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E9F12" w14:textId="77777777" w:rsidR="00000000" w:rsidRDefault="00195E73">
      <w:pPr>
        <w:divId w:val="664211414"/>
        <w:rPr>
          <w:rFonts w:eastAsia="Times New Roman"/>
          <w:vanish/>
        </w:rPr>
      </w:pPr>
      <w:r>
        <w:rPr>
          <w:rFonts w:eastAsia="Times New Roman"/>
          <w:vanish/>
        </w:rPr>
        <w:t>0000813762December 312019FYFALSE000103456300008137622019-01-012019-12-310000813762iep:IcahnEnterprisesHoldingsMember2019-01-012019-12-31iso4217:USD00008137622019-06-28xbrli:shares00008137622020-02-2800008137622019-12-3100008137622018-12-31</w:t>
      </w:r>
      <w:r>
        <w:rPr>
          <w:rFonts w:eastAsia="Times New Roman"/>
          <w:vanish/>
        </w:rPr>
        <w:t>00008137622018-01-012018-12-3100008137622017-01-012017-12-31iso4217:USDxbrli:shares0000813762us-gaap:LimitedPartnerMember2019-01-012019-12-310000813762us-gaap:LimitedPartnerMember2018-01-012018-12-310000813762us-gaap:LimitedPartnerMember2017-01-012017-12-3</w:t>
      </w:r>
      <w:r>
        <w:rPr>
          <w:rFonts w:eastAsia="Times New Roman"/>
          <w:vanish/>
        </w:rPr>
        <w:t>10000813762us-gaap:GeneralPartnerMember2019-01-012019-12-310000813762us-gaap:GeneralPartnerMember2018-01-012018-12-310000813762us-gaap:GeneralPartnerMember2017-01-012017-12-310000813762us-gaap:GeneralPartnerMember2016-12-310000813762us-gaap:LimitedPartnerM</w:t>
      </w:r>
      <w:r>
        <w:rPr>
          <w:rFonts w:eastAsia="Times New Roman"/>
          <w:vanish/>
        </w:rPr>
        <w:t>ember2016-12-310000813762us-gaap:ParentMember2016-12-310000813762us-gaap:NoncontrollingInterestMember2016-12-3100008137622016-12-310000813762us-gaap:ParentMember2017-01-012017-12-310000813762us-gaap:NoncontrollingInterestMember2017-01-012017-12-31000081376</w:t>
      </w:r>
      <w:r>
        <w:rPr>
          <w:rFonts w:eastAsia="Times New Roman"/>
          <w:vanish/>
        </w:rPr>
        <w:t>2us-gaap:GeneralPartnerMember2017-12-310000813762us-gaap:LimitedPartnerMember2017-12-310000813762us-gaap:ParentMember2017-12-310000813762us-gaap:NoncontrollingInterestMember2017-12-3100008137622017-12-310000813762us-gaap:ParentMember2018-01-012018-12-31000</w:t>
      </w:r>
      <w:r>
        <w:rPr>
          <w:rFonts w:eastAsia="Times New Roman"/>
          <w:vanish/>
        </w:rPr>
        <w:t>0813762us-gaap:NoncontrollingInterestMember2018-01-012018-12-310000813762us-gaap:GeneralPartnerMember2018-12-310000813762us-gaap:LimitedPartnerMember2018-12-310000813762us-gaap:ParentMember2018-12-310000813762us-gaap:NoncontrollingInterestMember2018-12-310</w:t>
      </w:r>
      <w:r>
        <w:rPr>
          <w:rFonts w:eastAsia="Times New Roman"/>
          <w:vanish/>
        </w:rPr>
        <w:t>000813762us-gaap:ParentMember2019-01-012019-12-310000813762us-gaap:NoncontrollingInterestMember2019-01-012019-12-310000813762us-gaap:GeneralPartnerMember2019-12-310000813762us-gaap:LimitedPartnerMember2019-12-310000813762us-gaap:ParentMember2019-12-3100008</w:t>
      </w:r>
      <w:r>
        <w:rPr>
          <w:rFonts w:eastAsia="Times New Roman"/>
          <w:vanish/>
        </w:rPr>
        <w:t>13762us-gaap:NoncontrollingInterestMember2019-12-310000813762iep:IcahnEnterprisesHoldingsMember2019-12-310000813762iep:IcahnEnterprisesHoldingsMember2018-12-310000813762iep:IcahnEnterprisesHoldingsMember2018-01-012018-12-310000813762iep:IcahnEnterprisesHol</w:t>
      </w:r>
      <w:r>
        <w:rPr>
          <w:rFonts w:eastAsia="Times New Roman"/>
          <w:vanish/>
        </w:rPr>
        <w:t>dingsMember2017-01-012017-12-310000813762us-gaap:LimitedPartnerMemberiep:IcahnEnterprisesHoldingsMember2019-01-012019-12-310000813762us-gaap:LimitedPartnerMemberiep:IcahnEnterprisesHoldingsMember2018-01-012018-12-310000813762us-gaap:LimitedPartnerMemberiep</w:t>
      </w:r>
      <w:r>
        <w:rPr>
          <w:rFonts w:eastAsia="Times New Roman"/>
          <w:vanish/>
        </w:rPr>
        <w:t>:IcahnEnterprisesHoldingsMember2017-01-012017-12-310000813762us-gaap:GeneralPartnerMemberiep:IcahnEnterprisesHoldingsMember2019-01-012019-12-310000813762us-gaap:GeneralPartnerMemberiep:IcahnEnterprisesHoldingsMember2018-01-012018-12-310000813762us-gaap:Gen</w:t>
      </w:r>
      <w:r>
        <w:rPr>
          <w:rFonts w:eastAsia="Times New Roman"/>
          <w:vanish/>
        </w:rPr>
        <w:t>eralPartnerMemberiep:IcahnEnterprisesHoldingsMember2017-01-012017-12-310000813762us-gaap:GeneralPartnerMemberiep:IcahnEnterprisesHoldingsMember2016-12-310000813762us-gaap:LimitedPartnerMemberiep:IcahnEnterprisesHoldingsMember2016-12-310000813762us-gaap:Par</w:t>
      </w:r>
      <w:r>
        <w:rPr>
          <w:rFonts w:eastAsia="Times New Roman"/>
          <w:vanish/>
        </w:rPr>
        <w:t>entMemberiep:IcahnEnterprisesHoldingsMember2016-12-310000813762iep:IcahnEnterprisesHoldingsMemberus-gaap:NoncontrollingInterestMember2016-12-310000813762iep:IcahnEnterprisesHoldingsMember2016-12-310000813762us-gaap:ParentMemberiep:IcahnEnterprisesHoldingsM</w:t>
      </w:r>
      <w:r>
        <w:rPr>
          <w:rFonts w:eastAsia="Times New Roman"/>
          <w:vanish/>
        </w:rPr>
        <w:t>ember2017-01-012017-12-310000813762iep:IcahnEnterprisesHoldingsMemberus-gaap:NoncontrollingInterestMember2017-01-012017-12-310000813762us-gaap:GeneralPartnerMemberiep:IcahnEnterprisesHoldingsMember2017-12-310000813762us-gaap:LimitedPartnerMemberiep:IcahnEn</w:t>
      </w:r>
      <w:r>
        <w:rPr>
          <w:rFonts w:eastAsia="Times New Roman"/>
          <w:vanish/>
        </w:rPr>
        <w:t>terprisesHoldingsMember2017-12-310000813762us-gaap:ParentMemberiep:IcahnEnterprisesHoldingsMember2017-12-310000813762iep:IcahnEnterprisesHoldingsMemberus-gaap:NoncontrollingInterestMember2017-12-310000813762iep:IcahnEnterprisesHoldingsMember2017-12-3100008</w:t>
      </w:r>
      <w:r>
        <w:rPr>
          <w:rFonts w:eastAsia="Times New Roman"/>
          <w:vanish/>
        </w:rPr>
        <w:t>13762us-gaap:ParentMemberiep:IcahnEnterprisesHoldingsMember2018-01-012018-12-310000813762iep:IcahnEnterprisesHoldingsMemberus-gaap:NoncontrollingInterestMember2018-01-012018-12-310000813762us-gaap:GeneralPartnerMemberiep:IcahnEnterprisesHoldingsMember2018-</w:t>
      </w:r>
      <w:r>
        <w:rPr>
          <w:rFonts w:eastAsia="Times New Roman"/>
          <w:vanish/>
        </w:rPr>
        <w:t>12-310000813762us-gaap:LimitedPartnerMemberiep:IcahnEnterprisesHoldingsMember2018-12-310000813762us-gaap:ParentMemberiep:IcahnEnterprisesHoldingsMember2018-12-310000813762iep:IcahnEnterprisesHoldingsMemberus-gaap:NoncontrollingInterestMember2018-12-3100008</w:t>
      </w:r>
      <w:r>
        <w:rPr>
          <w:rFonts w:eastAsia="Times New Roman"/>
          <w:vanish/>
        </w:rPr>
        <w:t>13762us-gaap:ParentMemberiep:IcahnEnterprisesHoldingsMember2019-01-012019-12-310000813762iep:IcahnEnterprisesHoldingsMemberus-gaap:NoncontrollingInterestMember2019-01-012019-12-310000813762us-gaap:GeneralPartnerMemberiep:IcahnEnterprisesHoldingsMember2019-</w:t>
      </w:r>
      <w:r>
        <w:rPr>
          <w:rFonts w:eastAsia="Times New Roman"/>
          <w:vanish/>
        </w:rPr>
        <w:t>12-310000813762us-gaap:LimitedPartnerMemberiep:IcahnEnterprisesHoldingsMember2019-12-310000813762us-gaap:ParentMemberiep:IcahnEnterprisesHoldingsMember2019-12-310000813762iep:IcahnEnterprisesHoldingsMemberus-gaap:NoncontrollingInterestMember2019-12-31xbrli</w:t>
      </w:r>
      <w:r>
        <w:rPr>
          <w:rFonts w:eastAsia="Times New Roman"/>
          <w:vanish/>
        </w:rPr>
        <w:t>:pure0000813762iep:IcahnEnterprisesGPMember2019-01-012019-12-310000813762iep:IcahnEnterprisesGPMemberiep:IcahnEnterprisesHoldingsMember2019-01-012019-12-310000813762iep:PrincipalOwnersAndAffiliatesMember2019-01-012019-12-310000813762iep:InvestmentFundsMemb</w:t>
      </w:r>
      <w:r>
        <w:rPr>
          <w:rFonts w:eastAsia="Times New Roman"/>
          <w:vanish/>
        </w:rPr>
        <w:t>er2019-12-310000813762iep:InvestmentFundsMember2018-12-310000813762iep:EnergySegmentMemberiep:CvrPartnersLpMember2019-01-012019-12-310000813762iep:EnergySegmentMemberiep:CvrEnergyIncMember2019-01-012019-12-310000813762iep:EnergySegmentMemberiep:CvrEnergyIn</w:t>
      </w:r>
      <w:r>
        <w:rPr>
          <w:rFonts w:eastAsia="Times New Roman"/>
          <w:vanish/>
        </w:rPr>
        <w:t>cMember2019-01-292019-01-290000813762iep:CvrRefiningLpMemberiep:EnergySegmentMember2019-01-292019-01-290000813762iep:CvrRefiningLpMemberiep:EnergySegmentMember2018-08-012018-08-010000813762iep:EnergySegmentMemberiep:CvrEnergyIncMember2018-08-012018-08-0100</w:t>
      </w:r>
      <w:r>
        <w:rPr>
          <w:rFonts w:eastAsia="Times New Roman"/>
          <w:vanish/>
        </w:rPr>
        <w:t>00813762iep:AutomotiveSegmentMemberiep:ADSAndPrecisionTuneMember2017-01-012017-12-310000813762iep:FoodPackagingSegmentMemberiep:ViskaseMember2018-01-012018-01-310000813762iep:FoodPackagingSegmentMemberiep:ViskaseMember2018-01-012018-12-310000813762iep:Food</w:t>
      </w:r>
      <w:r>
        <w:rPr>
          <w:rFonts w:eastAsia="Times New Roman"/>
          <w:vanish/>
        </w:rPr>
        <w:t>PackagingSegmentMemberiep:ViskaseMember2019-01-012019-12-310000813762iep:RealEstateSegmentMember2018-08-012018-08-310000813762iep:RealEstateSegmentMember2017-08-012017-08-310000813762iep:RealEstateSegmentMemberus-gaap:FirstMortgageMember2017-08-012017-08-3</w:t>
      </w:r>
      <w:r>
        <w:rPr>
          <w:rFonts w:eastAsia="Times New Roman"/>
          <w:vanish/>
        </w:rPr>
        <w:t>10000813762iep:RealEstateSegmentMemberus-gaap:SecondMortgageMember2017-08-012017-08-310000813762iep:MiningsegmentMemberiep:FerrousResourcesMember2019-07-312019-07-310000813762iep:MiningsegmentMemberiep:FerrousResourcesMember2018-12-050000813762iep:Miningse</w:t>
      </w:r>
      <w:r>
        <w:rPr>
          <w:rFonts w:eastAsia="Times New Roman"/>
          <w:vanish/>
        </w:rPr>
        <w:t>gmentMemberiep:FerrousResourcesMember2019-01-012019-12-310000813762iep:RailcarSegmentMemberiep:ArlMember2017-12-310000813762iep:RailcarSegmentMemberiep:ArlMember2018-01-012018-12-310000813762iep:RailcarSegmentMemberiep:ArlMember2017-01-012017-12-3100008137</w:t>
      </w:r>
      <w:r>
        <w:rPr>
          <w:rFonts w:eastAsia="Times New Roman"/>
          <w:vanish/>
        </w:rPr>
        <w:t>62iep:FederalMogulMember2017-01-012017-12-310000813762iep:FederalMogulMember2018-01-012018-12-310000813762iep:FederalMogulMember2017-01-012017-01-310000813762iep:FederalMogulMember2018-10-012018-10-010000813762iep:FederalMogulMember2018-10-010000813762iep:</w:t>
      </w:r>
      <w:r>
        <w:rPr>
          <w:rFonts w:eastAsia="Times New Roman"/>
          <w:vanish/>
        </w:rPr>
        <w:t>FederalMogulMember2019-10-012019-12-310000813762iep:TropicanaMember2017-01-012017-12-310000813762iep:TropicanaMember2018-01-012018-12-310000813762iep:TropicanaMember2018-10-010000813762iep:TropicanaMember2018-10-012018-10-010000813762iep:TropicanaMember201</w:t>
      </w:r>
      <w:r>
        <w:rPr>
          <w:rFonts w:eastAsia="Times New Roman"/>
          <w:vanish/>
        </w:rPr>
        <w:t>8-10-012018-12-310000813762iep:AriMember2018-12-052018-12-050000813762iep:AriMember2018-10-012018-12-310000813762us-gaap:OtherAssetsMember2018-12-310000813762us-gaap:PropertyPlantAndEquipmentMember2018-12-310000813762iep:DeferredTaxLiabilityMember2018-12-3</w:t>
      </w:r>
      <w:r>
        <w:rPr>
          <w:rFonts w:eastAsia="Times New Roman"/>
          <w:vanish/>
        </w:rPr>
        <w:t>10000813762us-gaap:StockholdersEquityTotalMember2018-12-310000813762iep:EquityAttributableToIcahnEnterprisesMember2018-12-310000813762srt:ScenarioPreviouslyReportedMember2018-01-012018-12-310000813762srt:RestatementAdjustmentMember2018-01-012018-12-3100008</w:t>
      </w:r>
      <w:r>
        <w:rPr>
          <w:rFonts w:eastAsia="Times New Roman"/>
          <w:vanish/>
        </w:rPr>
        <w:t>13762srt:ScenarioPreviouslyReportedMember2017-01-012017-12-310000813762srt:RestatementAdjustmentMember2017-01-012017-12-310000813762iep:ViskaseMember2019-01-012019-12-310000813762iep:IcahnEnterprisesHoldingsMemberus-gaap:VariableInterestEntityPrimaryBenefi</w:t>
      </w:r>
      <w:r>
        <w:rPr>
          <w:rFonts w:eastAsia="Times New Roman"/>
          <w:vanish/>
        </w:rPr>
        <w:t>ciaryMember2019-12-310000813762iep:IcahnEnterprisesHoldingsMemberus-gaap:VariableInterestEntityPrimaryBeneficiaryMember2018-12-310000813762iep:CashheldatconsolidatedaffiliatedpartnershipsMember2019-12-310000813762iep:Cashheldatconsolidatedaffiliatedpartner</w:t>
      </w:r>
      <w:r>
        <w:rPr>
          <w:rFonts w:eastAsia="Times New Roman"/>
          <w:vanish/>
        </w:rPr>
        <w:t>shipsMember2018-12-310000813762iep:RestrictedCashMember2019-12-310000813762iep:RestrictedCashMember2018-12-310000813762iep:InvestmentSegmentMember2019-01-012019-12-310000813762iep:OtherSegmentsAndHoldingCompanyMember2019-01-012019-12-310000813762iep:Energy</w:t>
      </w:r>
      <w:r>
        <w:rPr>
          <w:rFonts w:eastAsia="Times New Roman"/>
          <w:vanish/>
        </w:rPr>
        <w:t>SegmentMember2019-01-012019-12-310000813762iep:AutomotiveFoodPackagingandHomeFashionSegmentsMemberMember2019-01-012019-12-310000813762iep:MetalsSegmentMember2019-01-012019-12-310000813762iep:RealEstateSegmentMembersrt:MinimumMember2019-01-012019-12-3100008</w:t>
      </w:r>
      <w:r>
        <w:rPr>
          <w:rFonts w:eastAsia="Times New Roman"/>
          <w:vanish/>
        </w:rPr>
        <w:t>13762iep:RealEstateSegmentMembersrt:MaximumMember2019-01-012019-12-310000813762iep:EnergySegmentMember2019-12-310000813762iep:EnergySegmentMember2018-12-310000813762iep:EnergySegmentMember2018-01-012018-12-310000813762iep:AutomotiveSegmentMember2019-01-012</w:t>
      </w:r>
      <w:r>
        <w:rPr>
          <w:rFonts w:eastAsia="Times New Roman"/>
          <w:vanish/>
        </w:rPr>
        <w:t>019-12-310000813762iep:AutomotiveSegmentMember2019-12-310000813762iep:AutomotiveSegmentMember2018-12-310000813762iep:AutomotiveSegmentMember2018-01-012018-12-310000813762iep:FoodPackagingSegmentMember2019-01-012019-12-310000813762iep:HomeFashionSegmentMemb</w:t>
      </w:r>
      <w:r>
        <w:rPr>
          <w:rFonts w:eastAsia="Times New Roman"/>
          <w:vanish/>
        </w:rPr>
        <w:t>er2019-01-012019-12-310000813762iep:MiningsegmentMember2019-01-012019-12-310000813762iep:RealEstateSegmentMember2019-01-012019-12-310000813762iep:RailcarSegmentMember2019-01-012019-12-31iep:numberOfLeases0000813762iep:AutomotiveSegmentMember2019-01-0100008</w:t>
      </w:r>
      <w:r>
        <w:rPr>
          <w:rFonts w:eastAsia="Times New Roman"/>
          <w:vanish/>
        </w:rPr>
        <w:t>13762iep:EnergySegmentMember2019-01-010000813762iep:FoodPackagingSegmentMember2019-01-010000813762iep:OtherSegmentsAndHoldingCompanyMember2019-01-010000813762iep:PrincipalOwnersAndAffiliatesMemberiep:InvestmentinfundsMember2019-01-012019-12-310000813762iep</w:t>
      </w:r>
      <w:r>
        <w:rPr>
          <w:rFonts w:eastAsia="Times New Roman"/>
          <w:vanish/>
        </w:rPr>
        <w:t>:PrincipalOwnersAndAffiliatesMemberiep:InvestmentinfundsMember2018-01-012018-12-310000813762iep:PrincipalOwnersAndAffiliatesMemberiep:InvestmentinfundsMember2017-01-012017-12-310000813762iep:PrincipalOwnersAndAffiliatesMemberiep:InvestmentinfundsMember2019</w:t>
      </w:r>
      <w:r>
        <w:rPr>
          <w:rFonts w:eastAsia="Times New Roman"/>
          <w:vanish/>
        </w:rPr>
        <w:t>-12-310000813762iep:PrincipalOwnersAndAffiliatesMemberiep:InvestmentinfundsMember2018-12-310000813762iep:ExpenseSharingAgreementMemberiep:ConsolidatedVIEMember2019-01-012019-12-310000813762iep:ExpenseSharingAgreementMemberiep:ConsolidatedVIEMember2018-01-0</w:t>
      </w:r>
      <w:r>
        <w:rPr>
          <w:rFonts w:eastAsia="Times New Roman"/>
          <w:vanish/>
        </w:rPr>
        <w:t>12018-12-310000813762iep:ExpenseSharingAgreementMemberiep:ConsolidatedVIEMember2017-01-012017-12-310000813762us-gaap:EquityMethodInvesteeMembersic:Z76002019-01-012019-12-310000813762us-gaap:EquityMethodInvesteeMembersic:Z76002018-01-012018-12-310000813762u</w:t>
      </w:r>
      <w:r>
        <w:rPr>
          <w:rFonts w:eastAsia="Times New Roman"/>
          <w:vanish/>
        </w:rPr>
        <w:t>s-gaap:EquityMethodInvesteeMembersic:Z76002017-01-012017-12-310000813762us-gaap:EquityMethodInvesteeMemberiep:PurchasesfromrelatedpartyMember2018-01-012018-12-310000813762us-gaap:EquityMethodInvesteeMemberiep:PurchasesfromrelatedpartyMember2017-01-012017-1</w:t>
      </w:r>
      <w:r>
        <w:rPr>
          <w:rFonts w:eastAsia="Times New Roman"/>
          <w:vanish/>
        </w:rPr>
        <w:t>2-310000813762iep:InvestmentSegmentMemberiep:PurchasesfromrelatedpartyMemberiep:HertzMember2018-01-012018-12-310000813762iep:AutomotiveSegmentMemberiep:A767LeasingMember2019-12-310000813762iep:AutomotiveSegmentMemberiep:A767LeasingMember2018-12-31000081376</w:t>
      </w:r>
      <w:r>
        <w:rPr>
          <w:rFonts w:eastAsia="Times New Roman"/>
          <w:vanish/>
        </w:rPr>
        <w:t>2iep:AutomotiveSegmentMemberiep:A767LeasingMember2019-01-012019-12-310000813762iep:AutomotiveSegmentMemberiep:A767LeasingMember2018-01-012018-12-310000813762iep:AutomotiveSegmentMemberiep:A767LeasingMemberiep:IncomelossfromnonconsolidatedaffiliatesMember20</w:t>
      </w:r>
      <w:r>
        <w:rPr>
          <w:rFonts w:eastAsia="Times New Roman"/>
          <w:vanish/>
        </w:rPr>
        <w:t>19-01-012019-12-310000813762iep:AutomotiveSegmentMemberiep:A767LeasingMemberiep:IncomelossfromnonconsolidatedaffiliatesMember2018-01-012018-12-310000813762iep:PurchasesfromrelatedpartyMemberiep:AcfMember2018-01-012018-12-310000813762iep:Purchasesfromrelate</w:t>
      </w:r>
      <w:r>
        <w:rPr>
          <w:rFonts w:eastAsia="Times New Roman"/>
          <w:vanish/>
        </w:rPr>
        <w:t>dpartyMemberiep:AcfMember2017-01-012017-12-310000813762iep:RailcarcomponentsalesMemberiep:AcfMember2018-01-012018-12-310000813762iep:RailcarcomponentsalesMemberiep:AcfMember2017-01-012017-12-310000813762iep:InsightPortfolioGroupLLCMemberus-gaap:OperatingEx</w:t>
      </w:r>
      <w:r>
        <w:rPr>
          <w:rFonts w:eastAsia="Times New Roman"/>
          <w:vanish/>
        </w:rPr>
        <w:t>penseMember2019-01-012019-12-310000813762iep:InsightPortfolioGroupLLCMemberus-gaap:OperatingExpenseMember2018-01-012018-12-310000813762iep:InsightPortfolioGroupLLCMemberus-gaap:OperatingExpenseMember2017-01-012017-12-310000813762iep:InvestmentSegmentMember</w:t>
      </w:r>
      <w:r>
        <w:rPr>
          <w:rFonts w:eastAsia="Times New Roman"/>
          <w:vanish/>
        </w:rPr>
        <w:t>us-gaap:EquitySecuritiesMemberiep:BasicMaterialsMember2019-12-310000813762iep:InvestmentSegmentMemberus-gaap:EquitySecuritiesMemberiep:BasicMaterialsMember2018-12-310000813762iep:InvestmentSegmentMemberus-gaap:EquitySecuritiesMemberiep:ConsumerNonCyclicalM</w:t>
      </w:r>
      <w:r>
        <w:rPr>
          <w:rFonts w:eastAsia="Times New Roman"/>
          <w:vanish/>
        </w:rPr>
        <w:t>ember2019-12-310000813762iep:InvestmentSegmentMemberus-gaap:EquitySecuritiesMemberiep:ConsumerNonCyclicalMember2018-12-310000813762iep:InvestmentSegmentMemberus-gaap:EquitySecuritiesMemberiep:ConsumerCyclicalMember2019-12-310000813762iep:InvestmentSegmentM</w:t>
      </w:r>
      <w:r>
        <w:rPr>
          <w:rFonts w:eastAsia="Times New Roman"/>
          <w:vanish/>
        </w:rPr>
        <w:t>emberus-gaap:EquitySecuritiesMemberiep:ConsumerCyclicalMember2018-12-310000813762iep:InvestmentSegmentMemberiep:EnergySectorMemberus-gaap:EquitySecuritiesMember2019-12-310000813762iep:InvestmentSegmentMemberiep:EnergySectorMemberus-gaap:EquitySecuritiesMem</w:t>
      </w:r>
      <w:r>
        <w:rPr>
          <w:rFonts w:eastAsia="Times New Roman"/>
          <w:vanish/>
        </w:rPr>
        <w:t>ber2018-12-310000813762iep:InvestmentSegmentMemberiep:FinancialMemberus-gaap:EquitySecuritiesMember2019-12-310000813762iep:InvestmentSegmentMemberiep:FinancialMemberus-gaap:EquitySecuritiesMember2018-12-310000813762iep:InvestmentSegmentMemberus-gaap:Equity</w:t>
      </w:r>
      <w:r>
        <w:rPr>
          <w:rFonts w:eastAsia="Times New Roman"/>
          <w:vanish/>
        </w:rPr>
        <w:t>SecuritiesMemberiep:TechnologyMember2019-12-310000813762iep:InvestmentSegmentMemberus-gaap:EquitySecuritiesMemberiep:TechnologyMember2018-12-310000813762iep:InvestmentSegmentMemberus-gaap:EquitySecuritiesMemberiep:OtherMember2019-12-310000813762iep:Investm</w:t>
      </w:r>
      <w:r>
        <w:rPr>
          <w:rFonts w:eastAsia="Times New Roman"/>
          <w:vanish/>
        </w:rPr>
        <w:t>entSegmentMemberus-gaap:EquitySecuritiesMemberiep:OtherMember2018-12-310000813762iep:InvestmentSegmentMemberus-gaap:EquitySecuritiesMember2019-12-310000813762iep:InvestmentSegmentMemberus-gaap:EquitySecuritiesMember2018-12-310000813762iep:InvestmentSegment</w:t>
      </w:r>
      <w:r>
        <w:rPr>
          <w:rFonts w:eastAsia="Times New Roman"/>
          <w:vanish/>
        </w:rPr>
        <w:t>Memberus-gaap:DebtSecuritiesMember2019-12-310000813762iep:InvestmentSegmentMemberus-gaap:DebtSecuritiesMember2018-12-310000813762iep:InvestmentSegmentMember2019-12-310000813762iep:InvestmentSegmentMember2018-12-310000813762iep:InvestmentSegmentMemberiep:In</w:t>
      </w:r>
      <w:r>
        <w:rPr>
          <w:rFonts w:eastAsia="Times New Roman"/>
          <w:vanish/>
        </w:rPr>
        <w:t>dustrialMemberus-gaap:EquitySecuritiesMember2019-12-310000813762iep:InvestmentSegmentMemberiep:IndustrialMemberus-gaap:EquitySecuritiesMember2018-12-310000813762iep:InvestmentSegmentMember2018-01-012018-12-310000813762iep:InvestmentSegmentMember2017-01-012</w:t>
      </w:r>
      <w:r>
        <w:rPr>
          <w:rFonts w:eastAsia="Times New Roman"/>
          <w:vanish/>
        </w:rPr>
        <w:t>017-12-310000813762iep:InvestmentSegmentMemberiep:HerbalifeMember2019-12-310000813762iep:InvestmentSegmentMemberiep:HerbalifeMember2018-12-310000813762iep:InvestmentSegmentMemberiep:HerbalifeMember2019-01-012019-12-310000813762iep:InvestmentSegmentMemberie</w:t>
      </w:r>
      <w:r>
        <w:rPr>
          <w:rFonts w:eastAsia="Times New Roman"/>
          <w:vanish/>
        </w:rPr>
        <w:t>p:HerbalifeMember2018-01-012018-12-310000813762iep:InvestmentSegmentMemberiep:HerbalifeMember2017-01-012017-12-310000813762iep:InvestmentSegmentMemberiep:HertzMember2019-12-310000813762iep:InvestmentSegmentMemberiep:HertzMember2018-12-310000813762iep:Inves</w:t>
      </w:r>
      <w:r>
        <w:rPr>
          <w:rFonts w:eastAsia="Times New Roman"/>
          <w:vanish/>
        </w:rPr>
        <w:t>tmentSegmentMemberiep:HertzMember2019-01-012019-12-310000813762iep:InvestmentSegmentMemberiep:HertzMember2018-01-012018-12-310000813762iep:InvestmentSegmentMemberiep:HertzMember2017-01-012017-12-310000813762iep:InvestmentSegmentMemberiep:CaesarsMember2019-</w:t>
      </w:r>
      <w:r>
        <w:rPr>
          <w:rFonts w:eastAsia="Times New Roman"/>
          <w:vanish/>
        </w:rPr>
        <w:t>12-310000813762iep:InvestmentSegmentMemberiep:CaesarsMember2018-12-310000813762iep:InvestmentSegmentMemberiep:CaesarsMember2019-01-012019-12-310000813762iep:InvestmentSegmentMemberiep:CaesarsMember2018-01-012018-12-310000813762iep:InvestmentSegmentMemberie</w:t>
      </w:r>
      <w:r>
        <w:rPr>
          <w:rFonts w:eastAsia="Times New Roman"/>
          <w:vanish/>
        </w:rPr>
        <w:t>p:CaesarsMember2017-01-012017-12-310000813762us-gaap:EquityMethodInvestmentsMemberiep:OtherSegmentsAndHoldingCompanyMember2019-12-310000813762us-gaap:EquityMethodInvestmentsMemberiep:OtherSegmentsAndHoldingCompanyMember2018-12-310000813762us-gaap:OtherInve</w:t>
      </w:r>
      <w:r>
        <w:rPr>
          <w:rFonts w:eastAsia="Times New Roman"/>
          <w:vanish/>
        </w:rPr>
        <w:t>stmentsMemberiep:OtherSegmentsAndHoldingCompanyMember2019-12-310000813762us-gaap:OtherInvestmentsMemberiep:OtherSegmentsAndHoldingCompanyMember2018-12-310000813762iep:OtherSegmentsAndHoldingCompanyMember2019-12-310000813762iep:OtherSegmentsAndHoldingCompan</w:t>
      </w:r>
      <w:r>
        <w:rPr>
          <w:rFonts w:eastAsia="Times New Roman"/>
          <w:vanish/>
        </w:rPr>
        <w:t>yMember2018-12-310000813762iep:OtherSegmentsAndHoldingCompanyMember2018-01-012018-12-310000813762iep:OtherSegmentsAndHoldingCompanyMember2017-01-012017-12-310000813762us-gaap:FairValueMeasurementsRecurringMemberus-gaap:FairValueInputsLevel1Member2019-12-31</w:t>
      </w:r>
      <w:r>
        <w:rPr>
          <w:rFonts w:eastAsia="Times New Roman"/>
          <w:vanish/>
        </w:rPr>
        <w:t>0000813762us-gaap:FairValueMeasurementsRecurringMemberus-gaap:FairValueInputsLevel2Member2019-12-310000813762us-gaap:FairValueMeasurementsRecurringMemberus-gaap:FairValueInputsLevel3Member2019-12-310000813762us-gaap:FairValueMeasurementsRecurringMember2019</w:t>
      </w:r>
      <w:r>
        <w:rPr>
          <w:rFonts w:eastAsia="Times New Roman"/>
          <w:vanish/>
        </w:rPr>
        <w:t>-12-310000813762us-gaap:FairValueMeasurementsRecurringMemberus-gaap:FairValueInputsLevel1Member2018-12-310000813762us-gaap:FairValueMeasurementsRecurringMemberus-gaap:FairValueInputsLevel2Member2018-12-310000813762us-gaap:FairValueMeasurementsRecurringMemb</w:t>
      </w:r>
      <w:r>
        <w:rPr>
          <w:rFonts w:eastAsia="Times New Roman"/>
          <w:vanish/>
        </w:rPr>
        <w:t>erus-gaap:FairValueInputsLevel3Member2018-12-310000813762us-gaap:FairValueMeasurementsRecurringMember2018-12-310000813762us-gaap:FairValueMeasurementsRecurringMemberus-gaap:FairValueInputsLevel3Member2017-12-310000813762us-gaap:FairValueMeasurementsRecurri</w:t>
      </w:r>
      <w:r>
        <w:rPr>
          <w:rFonts w:eastAsia="Times New Roman"/>
          <w:vanish/>
        </w:rPr>
        <w:t>ngMemberus-gaap:FairValueInputsLevel3Member2019-01-012019-12-310000813762us-gaap:FairValueMeasurementsRecurringMemberus-gaap:FairValueInputsLevel3Member2018-01-012018-12-310000813762us-gaap:FairValueMeasurementsNonrecurringMember2019-01-012019-12-310000813</w:t>
      </w:r>
      <w:r>
        <w:rPr>
          <w:rFonts w:eastAsia="Times New Roman"/>
          <w:vanish/>
        </w:rPr>
        <w:t>762us-gaap:FairValueMeasurementsNonrecurringMember2018-01-012018-12-310000813762us-gaap:FairValueMeasurementsNonrecurringMember2017-01-012017-12-310000813762iep:InvestmentSegmentMemberus-gaap:EquityContractMember2019-12-310000813762iep:InvestmentSegmentMem</w:t>
      </w:r>
      <w:r>
        <w:rPr>
          <w:rFonts w:eastAsia="Times New Roman"/>
          <w:vanish/>
        </w:rPr>
        <w:t>berus-gaap:EquityContractMember2018-12-310000813762iep:InvestmentSegmentMemberus-gaap:CreditRiskContractMember2019-12-310000813762iep:InvestmentSegmentMemberus-gaap:CreditRiskContractMember2018-12-310000813762iep:InvestmentSegmentMemberus-gaap:CommodityCon</w:t>
      </w:r>
      <w:r>
        <w:rPr>
          <w:rFonts w:eastAsia="Times New Roman"/>
          <w:vanish/>
        </w:rPr>
        <w:t>tractMember2019-12-310000813762iep:InvestmentSegmentMemberus-gaap:CommodityContractMember2018-12-310000813762iep:InvestmentSegmentMemberus-gaap:CreditDefaultSwapMember2019-12-310000813762iep:InvestmentSegmentMemberus-gaap:CreditDefaultSwapMember2018-12-310</w:t>
      </w:r>
      <w:r>
        <w:rPr>
          <w:rFonts w:eastAsia="Times New Roman"/>
          <w:vanish/>
        </w:rPr>
        <w:t>000813762iep:InvestmentSegmentMemberus-gaap:EquityContractMemberus-gaap:NondesignatedMember2019-12-310000813762iep:InvestmentSegmentMemberus-gaap:EquityContractMemberus-gaap:NondesignatedMember2018-12-310000813762iep:InvestmentSegmentMemberus-gaap:CreditRi</w:t>
      </w:r>
      <w:r>
        <w:rPr>
          <w:rFonts w:eastAsia="Times New Roman"/>
          <w:vanish/>
        </w:rPr>
        <w:t>skContractMemberus-gaap:NondesignatedMember2019-12-310000813762iep:InvestmentSegmentMemberus-gaap:CreditRiskContractMemberus-gaap:NondesignatedMember2018-12-310000813762iep:InvestmentSegmentMemberus-gaap:CommodityContractMemberus-gaap:NondesignatedMember20</w:t>
      </w:r>
      <w:r>
        <w:rPr>
          <w:rFonts w:eastAsia="Times New Roman"/>
          <w:vanish/>
        </w:rPr>
        <w:t>19-12-310000813762iep:InvestmentSegmentMemberus-gaap:CommodityContractMemberus-gaap:NondesignatedMember2018-12-310000813762iep:InvestmentSegmentMemberus-gaap:NondesignatedMember2019-12-310000813762iep:InvestmentSegmentMemberus-gaap:NondesignatedMember2018-</w:t>
      </w:r>
      <w:r>
        <w:rPr>
          <w:rFonts w:eastAsia="Times New Roman"/>
          <w:vanish/>
        </w:rPr>
        <w:t>12-310000813762iep:InvestmentSegmentMemberus-gaap:OtherAssetsMemberus-gaap:NondesignatedMember2019-12-310000813762iep:InvestmentSegmentMemberus-gaap:OtherAssetsMemberus-gaap:NondesignatedMember2018-12-310000813762iep:InvestmentSegmentMemberiep:AccruedExpen</w:t>
      </w:r>
      <w:r>
        <w:rPr>
          <w:rFonts w:eastAsia="Times New Roman"/>
          <w:vanish/>
        </w:rPr>
        <w:t>sesAndOtherLiabilitiesMemberus-gaap:NondesignatedMember2019-12-310000813762iep:InvestmentSegmentMemberiep:AccruedExpensesAndOtherLiabilitiesMemberus-gaap:NondesignatedMember2018-12-310000813762iep:InvestmentSegmentMemberus-gaap:EquityContractMemberiep:NetG</w:t>
      </w:r>
      <w:r>
        <w:rPr>
          <w:rFonts w:eastAsia="Times New Roman"/>
          <w:vanish/>
        </w:rPr>
        <w:t>ainFromInvestmentActivitiesMember2019-01-012019-12-310000813762iep:InvestmentSegmentMemberus-gaap:EquityContractMemberiep:NetGainFromInvestmentActivitiesMember2018-01-012018-12-310000813762iep:InvestmentSegmentMemberus-gaap:EquityContractMemberiep:NetGainF</w:t>
      </w:r>
      <w:r>
        <w:rPr>
          <w:rFonts w:eastAsia="Times New Roman"/>
          <w:vanish/>
        </w:rPr>
        <w:t>romInvestmentActivitiesMember2017-01-012017-12-310000813762iep:InvestmentSegmentMemberus-gaap:CreditRiskContractMemberiep:NetGainFromInvestmentActivitiesMember2019-01-012019-12-310000813762iep:InvestmentSegmentMemberus-gaap:CreditRiskContractMemberiep:NetG</w:t>
      </w:r>
      <w:r>
        <w:rPr>
          <w:rFonts w:eastAsia="Times New Roman"/>
          <w:vanish/>
        </w:rPr>
        <w:t>ainFromInvestmentActivitiesMember2018-01-012018-12-310000813762iep:InvestmentSegmentMemberus-gaap:CreditRiskContractMemberiep:NetGainFromInvestmentActivitiesMember2017-01-012017-12-310000813762iep:InvestmentSegmentMemberiep:NetGainFromInvestmentActivitiesM</w:t>
      </w:r>
      <w:r>
        <w:rPr>
          <w:rFonts w:eastAsia="Times New Roman"/>
          <w:vanish/>
        </w:rPr>
        <w:t>emberus-gaap:CommodityContractMember2019-01-012019-12-310000813762iep:InvestmentSegmentMemberiep:NetGainFromInvestmentActivitiesMemberus-gaap:CommodityContractMember2018-01-012018-12-310000813762iep:InvestmentSegmentMemberiep:NetGainFromInvestmentActivitie</w:t>
      </w:r>
      <w:r>
        <w:rPr>
          <w:rFonts w:eastAsia="Times New Roman"/>
          <w:vanish/>
        </w:rPr>
        <w:t>sMemberus-gaap:CommodityContractMember2017-01-012017-12-310000813762iep:InvestmentSegmentMemberiep:NetGainFromInvestmentActivitiesMember2019-01-012019-12-310000813762iep:InvestmentSegmentMemberiep:NetGainFromInvestmentActivitiesMember2018-01-012018-12-3100</w:t>
      </w:r>
      <w:r>
        <w:rPr>
          <w:rFonts w:eastAsia="Times New Roman"/>
          <w:vanish/>
        </w:rPr>
        <w:t>00813762iep:InvestmentSegmentMemberiep:NetGainFromInvestmentActivitiesMember2017-01-012017-12-31utr:bbl0000813762iep:CommoditycontractsnotconsideredprobableofsettlementMemberiep:EnergySegmentMemberus-gaap:NondesignatedMember2019-01-012019-12-310000813762ie</w:t>
      </w:r>
      <w:r>
        <w:rPr>
          <w:rFonts w:eastAsia="Times New Roman"/>
          <w:vanish/>
        </w:rPr>
        <w:t>p:CommoditycontractsnotconsideredprobableofsettlementMemberiep:EnergySegmentMemberus-gaap:NondesignatedMember2018-01-012018-12-31iep:numberOfRINs0000813762iep:RINsContractsMemberiep:EnergySegmentMemberus-gaap:NondesignatedMember2019-12-310000813762iep:Ener</w:t>
      </w:r>
      <w:r>
        <w:rPr>
          <w:rFonts w:eastAsia="Times New Roman"/>
          <w:vanish/>
        </w:rPr>
        <w:t>gySegmentMemberus-gaap:NondesignatedMember2019-12-310000813762iep:EnergySegmentMemberus-gaap:NondesignatedMember2018-12-310000813762iep:EnergySegmentMemberus-gaap:OtherAssetsMemberus-gaap:NondesignatedMember2019-12-310000813762iep:EnergySegmentMemberus-gaa</w:t>
      </w:r>
      <w:r>
        <w:rPr>
          <w:rFonts w:eastAsia="Times New Roman"/>
          <w:vanish/>
        </w:rPr>
        <w:t>p:OtherAssetsMemberus-gaap:NondesignatedMember2018-12-310000813762iep:EnergySegmentMemberus-gaap:CostOfGoodsTotalMemberus-gaap:NondesignatedMember2019-01-012019-12-310000813762iep:EnergySegmentMemberus-gaap:CostOfGoodsTotalMemberus-gaap:NondesignatedMember</w:t>
      </w:r>
      <w:r>
        <w:rPr>
          <w:rFonts w:eastAsia="Times New Roman"/>
          <w:vanish/>
        </w:rPr>
        <w:t>2018-01-012018-12-310000813762iep:EnergySegmentMemberus-gaap:CostOfGoodsTotalMemberus-gaap:NondesignatedMember2017-01-012017-12-310000813762us-gaap:LandMember2019-12-310000813762us-gaap:LandMember2018-12-310000813762srt:MinimumMemberus-gaap:BuildingAndBuil</w:t>
      </w:r>
      <w:r>
        <w:rPr>
          <w:rFonts w:eastAsia="Times New Roman"/>
          <w:vanish/>
        </w:rPr>
        <w:t>dingImprovementsMember2019-01-012019-12-310000813762srt:MaximumMemberus-gaap:BuildingAndBuildingImprovementsMember2019-01-012019-12-310000813762us-gaap:BuildingAndBuildingImprovementsMember2019-12-310000813762us-gaap:BuildingAndBuildingImprovementsMember20</w:t>
      </w:r>
      <w:r>
        <w:rPr>
          <w:rFonts w:eastAsia="Times New Roman"/>
          <w:vanish/>
        </w:rPr>
        <w:t>18-12-310000813762iep:MachineryEquipmentAndFurnitureMembersrt:MinimumMember2019-01-012019-12-310000813762srt:MaximumMemberiep:MachineryEquipmentAndFurnitureMember2019-01-012019-12-310000813762iep:MachineryEquipmentAndFurnitureMember2019-12-310000813762iep:</w:t>
      </w:r>
      <w:r>
        <w:rPr>
          <w:rFonts w:eastAsia="Times New Roman"/>
          <w:vanish/>
        </w:rPr>
        <w:t>MachineryEquipmentAndFurnitureMember2018-12-310000813762us-gaap:AssetsLeasedToOthersMembersrt:MinimumMember2019-01-012019-12-310000813762srt:MaximumMemberus-gaap:AssetsLeasedToOthersMember2019-01-012019-12-310000813762us-gaap:AssetsLeasedToOthersMember2019</w:t>
      </w:r>
      <w:r>
        <w:rPr>
          <w:rFonts w:eastAsia="Times New Roman"/>
          <w:vanish/>
        </w:rPr>
        <w:t>-12-310000813762us-gaap:AssetsLeasedToOthersMember2018-12-310000813762iep:OtherFinancingLeasesMembersrt:MinimumMember2019-01-012019-12-310000813762srt:MaximumMemberiep:OtherFinancingLeasesMember2019-01-012019-12-310000813762iep:OtherFinancingLeasesMember20</w:t>
      </w:r>
      <w:r>
        <w:rPr>
          <w:rFonts w:eastAsia="Times New Roman"/>
          <w:vanish/>
        </w:rPr>
        <w:t>19-12-310000813762iep:OtherFinancingLeasesMember2018-12-310000813762us-gaap:ConstructionInProgressMember2019-12-310000813762us-gaap:ConstructionInProgressMember2018-12-310000813762iep:MetalsSegmentMember2019-01-010000813762iep:HomeFashionSegmentMember2019-</w:t>
      </w:r>
      <w:r>
        <w:rPr>
          <w:rFonts w:eastAsia="Times New Roman"/>
          <w:vanish/>
        </w:rPr>
        <w:t>01-0100008137622019-01-010000813762iep:FoodPackagingSegmentMember2019-12-310000813762iep:MetalsSegmentMember2019-12-310000813762iep:HomeFashionSegmentMember2019-12-310000813762iep:AutomotiveSegmentMember2018-01-010000813762iep:FoodPackagingSegmentMember201</w:t>
      </w:r>
      <w:r>
        <w:rPr>
          <w:rFonts w:eastAsia="Times New Roman"/>
          <w:vanish/>
        </w:rPr>
        <w:t>8-01-0100008137622018-01-010000813762iep:FoodPackagingSegmentMember2018-01-012018-12-310000813762iep:FoodPackagingSegmentMember2018-12-310000813762us-gaap:CustomerRelationshipsMember2019-12-310000813762us-gaap:CustomerRelationshipsMember2018-12-31000081376</w:t>
      </w:r>
      <w:r>
        <w:rPr>
          <w:rFonts w:eastAsia="Times New Roman"/>
          <w:vanish/>
        </w:rPr>
        <w:t>2us-gaap:UnclassifiedIndefinitelivedIntangibleAssetsMember2019-12-310000813762us-gaap:UnclassifiedIndefinitelivedIntangibleAssetsMember2018-12-310000813762iep:AutomotivepartsMember2018-07-012018-09-300000813762us-gaap:OtherAssetsMember2019-12-310000813762i</w:t>
      </w:r>
      <w:r>
        <w:rPr>
          <w:rFonts w:eastAsia="Times New Roman"/>
          <w:vanish/>
        </w:rPr>
        <w:t>ep:AccruedExpensesAndOtherLiabilitiesMember2019-12-310000813762iep:AccruedExpensesAndOtherLiabilitiesMember2018-12-310000813762us-gaap:PropertyPlantAndEquipmentMember2019-12-310000813762us-gaap:DebtMember2019-12-310000813762us-gaap:DebtMember2018-12-310000</w:t>
      </w:r>
      <w:r>
        <w:rPr>
          <w:rFonts w:eastAsia="Times New Roman"/>
          <w:vanish/>
        </w:rPr>
        <w:t>813762iep:EnergySegmentMemberus-gaap:OtherAssetsMember2019-12-310000813762iep:EnergySegmentMemberiep:AccruedExpensesAndOtherLiabilitiesMember2019-12-310000813762iep:AutomotiveSegmentMemberus-gaap:OtherAssetsMember2019-12-310000813762iep:AutomotiveSegmentMe</w:t>
      </w:r>
      <w:r>
        <w:rPr>
          <w:rFonts w:eastAsia="Times New Roman"/>
          <w:vanish/>
        </w:rPr>
        <w:t>mberiep:AccruedExpensesAndOtherLiabilitiesMember2019-12-310000813762us-gaap:OtherAssetsMemberiep:FoodPackagingSegmentMember2019-12-310000813762iep:AccruedExpensesAndOtherLiabilitiesMemberiep:FoodPackagingSegmentMember2019-12-310000813762iep:OtherSegmentsAn</w:t>
      </w:r>
      <w:r>
        <w:rPr>
          <w:rFonts w:eastAsia="Times New Roman"/>
          <w:vanish/>
        </w:rPr>
        <w:t>dHoldingCompanyMemberus-gaap:OtherAssetsMember2019-12-310000813762iep:OtherSegmentsAndHoldingCompanyMemberiep:AccruedExpensesAndOtherLiabilitiesMember2019-12-310000813762iep:RealEstateSegmentMemberus-gaap:AssetsLeasedToOthersMember2019-12-310000813762iep:R</w:t>
      </w:r>
      <w:r>
        <w:rPr>
          <w:rFonts w:eastAsia="Times New Roman"/>
          <w:vanish/>
        </w:rPr>
        <w:t>ealEstateSegmentMemberus-gaap:AssetsLeasedToOthersMember2018-12-310000813762iep:RealEstateSegmentMember2018-01-012018-12-310000813762iep:RealEstateSegmentMember2017-01-012017-12-310000813762iep:RealEstateSegmentMember2019-12-310000813762iep:HoldingCompanyM</w:t>
      </w:r>
      <w:r>
        <w:rPr>
          <w:rFonts w:eastAsia="Times New Roman"/>
          <w:vanish/>
        </w:rPr>
        <w:t>emberiep:A2020NotesMember2019-12-310000813762iep:HoldingCompanyMemberiep:A2020NotesMember2018-12-310000813762iep:A2022NotesMemberiep:HoldingCompanyMember2019-12-310000813762iep:A2022NotesMemberiep:HoldingCompanyMember2018-12-310000813762iep:HoldingCompanyM</w:t>
      </w:r>
      <w:r>
        <w:rPr>
          <w:rFonts w:eastAsia="Times New Roman"/>
          <w:vanish/>
        </w:rPr>
        <w:t>emberiep:New2022NotesMember2019-12-310000813762iep:HoldingCompanyMemberiep:New2022NotesMember2018-12-310000813762iep:HoldingCompanyMemberiep:A2024NotesMember2019-12-310000813762iep:HoldingCompanyMemberiep:A2024NotesMember2018-12-310000813762iep:HoldingComp</w:t>
      </w:r>
      <w:r>
        <w:rPr>
          <w:rFonts w:eastAsia="Times New Roman"/>
          <w:vanish/>
        </w:rPr>
        <w:t>anyMemberiep:New2024NotesMember2019-12-310000813762iep:HoldingCompanyMemberiep:New2024NotesMember2018-12-310000813762iep:HoldingCompanyMemberiep:A2025NotesMember2019-12-310000813762iep:HoldingCompanyMemberiep:A2025NotesMember2018-12-310000813762iep:A2026No</w:t>
      </w:r>
      <w:r>
        <w:rPr>
          <w:rFonts w:eastAsia="Times New Roman"/>
          <w:vanish/>
        </w:rPr>
        <w:t>tesMemberiep:HoldingCompanyMember2019-12-310000813762iep:A2026NotesMemberiep:HoldingCompanyMember2018-12-310000813762iep:HoldingCompanyMemberiep:A2027NotesMember2019-12-310000813762iep:HoldingCompanyMemberiep:A2027NotesMember2018-12-310000813762iep:Holding</w:t>
      </w:r>
      <w:r>
        <w:rPr>
          <w:rFonts w:eastAsia="Times New Roman"/>
          <w:vanish/>
        </w:rPr>
        <w:t>CompanyMember2019-12-310000813762iep:HoldingCompanyMember2018-12-310000813762iep:MetalsSegmentMember2018-12-310000813762iep:RealEstateSegmentMember2018-12-310000813762iep:HomeFashionSegmentMember2018-12-310000813762iep:ReportingSegmentsMember2019-12-310000</w:t>
      </w:r>
      <w:r>
        <w:rPr>
          <w:rFonts w:eastAsia="Times New Roman"/>
          <w:vanish/>
        </w:rPr>
        <w:t>813762iep:ReportingSegmentsMember2018-12-310000813762iep:A2026NotesMemberiep:HoldingCompanyMember2019-06-270000813762iep:HoldingCompanyMemberiep:New2024NotesMember2019-09-060000813762iep:HoldingCompanyMemberiep:A2027NotesMember2019-12-120000813762iep:Holdi</w:t>
      </w:r>
      <w:r>
        <w:rPr>
          <w:rFonts w:eastAsia="Times New Roman"/>
          <w:vanish/>
        </w:rPr>
        <w:t>ngCompanyMemberiep:A2024NotesMember2017-01-180000813762iep:HoldingCompanyMemberiep:New2022NotesMember2017-01-180000813762iep:HoldingCompanyMemberiep:A2025NotesMember2017-12-060000813762iep:HoldingCompanyMemberiep:New2022NotesMember2017-12-060000813762iep:H</w:t>
      </w:r>
      <w:r>
        <w:rPr>
          <w:rFonts w:eastAsia="Times New Roman"/>
          <w:vanish/>
        </w:rPr>
        <w:t>oldingCompanyMember2019-01-012019-12-310000813762iep:HoldingCompanyMember2017-01-012017-12-310000813762iep:HoldingCompanyMemberus-gaap:SubsequentEventMemberiep:New2024NotesMember2020-01-230000813762iep:HoldingCompanyMemberus-gaap:SubsequentEventMemberiep:A</w:t>
      </w:r>
      <w:r>
        <w:rPr>
          <w:rFonts w:eastAsia="Times New Roman"/>
          <w:vanish/>
        </w:rPr>
        <w:t>2027NotesMember2020-01-230000813762iep:CVR2022NotesMemberiep:EnergySegmentMember2019-12-310000813762iep:CVRPartners2023NotesMemberiep:EnergySegmentMember2019-12-310000813762us-gaap:RevolvingCreditFacilityMemberiep:EnergySegmentMember2019-12-310000813762us-</w:t>
      </w:r>
      <w:r>
        <w:rPr>
          <w:rFonts w:eastAsia="Times New Roman"/>
          <w:vanish/>
        </w:rPr>
        <w:t>gaap:RevolvingCreditFacilityMemberiep:EnergySegmentMember2018-12-310000813762iep:CVRRefiningCreditFacilityMemberiep:EnergySegmentMember2019-12-310000813762iep:CVRRefiningCreditFacilityMemberiep:EnergySegmentMember2018-12-310000813762us-gaap:SubsequentEvent</w:t>
      </w:r>
      <w:r>
        <w:rPr>
          <w:rFonts w:eastAsia="Times New Roman"/>
          <w:vanish/>
        </w:rPr>
        <w:t>Memberiep:CVR2025NotesMemberiep:EnergySegmentMember2020-02-270000813762us-gaap:SubsequentEventMemberiep:EnergySegmentMemberiep:CVR2028NotesMember2020-02-270000813762iep:IEPAutoCreditFacilityMemberiep:AutomotiveSegmentMember2019-12-310000813762iep:IEPAutoCr</w:t>
      </w:r>
      <w:r>
        <w:rPr>
          <w:rFonts w:eastAsia="Times New Roman"/>
          <w:vanish/>
        </w:rPr>
        <w:t>editFacilityMemberiep:AutomotiveSegmentMember2018-12-310000813762iep:FoodPackagingSegmentMemberiep:ViskasecreditfacilityMember2019-12-310000813762iep:FoodPackagingSegmentMemberiep:ViskasecreditfacilityMember2018-12-310000813762iep:PrincipalOwnersAndAffilia</w:t>
      </w:r>
      <w:r>
        <w:rPr>
          <w:rFonts w:eastAsia="Times New Roman"/>
          <w:vanish/>
        </w:rPr>
        <w:t>tesMember2016-12-310000813762iep:PublicUnitholdersMember2016-12-310000813762iep:PrincipalOwnersAndAffiliatesMember2017-01-012017-12-310000813762iep:PublicUnitholdersMember2017-01-012017-12-310000813762iep:PrincipalOwnersAndAffiliatesMember2017-12-310000813</w:t>
      </w:r>
      <w:r>
        <w:rPr>
          <w:rFonts w:eastAsia="Times New Roman"/>
          <w:vanish/>
        </w:rPr>
        <w:t>762iep:PublicUnitholdersMember2017-12-310000813762iep:PrincipalOwnersAndAffiliatesMember2018-01-012018-12-310000813762iep:PublicUnitholdersMember2018-01-012018-12-310000813762iep:PrincipalOwnersAndAffiliatesMember2018-12-310000813762iep:PublicUnitholdersMe</w:t>
      </w:r>
      <w:r>
        <w:rPr>
          <w:rFonts w:eastAsia="Times New Roman"/>
          <w:vanish/>
        </w:rPr>
        <w:t>mber2018-12-310000813762iep:PublicUnitholdersMember2019-01-012019-12-310000813762iep:PrincipalOwnersAndAffiliatesMember2019-12-310000813762iep:PublicUnitholdersMember2019-12-3100008137622019-05-022019-05-020000813762us-gaap:LimitedPartnerMember2017-01-0120</w:t>
      </w:r>
      <w:r>
        <w:rPr>
          <w:rFonts w:eastAsia="Times New Roman"/>
          <w:vanish/>
        </w:rPr>
        <w:t>17-01-310000813762us-gaap:GeneralPartnerMember2017-01-012017-01-310000813762iep:MetalsSegmentMember2018-01-012018-12-310000813762iep:HomeFashionSegmentMember2018-01-012018-12-310000813762iep:MiningsegmentMember2018-01-012018-12-310000813762iep:RailcarSegme</w:t>
      </w:r>
      <w:r>
        <w:rPr>
          <w:rFonts w:eastAsia="Times New Roman"/>
          <w:vanish/>
        </w:rPr>
        <w:t>ntMember2018-01-012018-12-310000813762iep:HoldingCompanyMember2018-01-012018-12-310000813762iep:EnergySegmentMember2017-01-012017-12-310000813762iep:AutomotiveSegmentMember2017-01-012017-12-310000813762iep:FoodPackagingSegmentMember2017-01-012017-12-310000</w:t>
      </w:r>
      <w:r>
        <w:rPr>
          <w:rFonts w:eastAsia="Times New Roman"/>
          <w:vanish/>
        </w:rPr>
        <w:t>813762iep:MetalsSegmentMember2017-01-012017-12-310000813762iep:HomeFashionSegmentMember2017-01-012017-12-310000813762iep:MiningsegmentMember2017-01-012017-12-310000813762iep:RailcarSegmentMember2017-01-012017-12-310000813762us-gaap:PublicUtilitiesInventory</w:t>
      </w:r>
      <w:r>
        <w:rPr>
          <w:rFonts w:eastAsia="Times New Roman"/>
          <w:vanish/>
        </w:rPr>
        <w:t>PetroleumProductsMemberiep:EnergySegmentMember2019-01-012019-12-310000813762us-gaap:PublicUtilitiesInventoryPetroleumProductsMemberiep:EnergySegmentMember2018-01-012018-12-310000813762us-gaap:PublicUtilitiesInventoryPetroleumProductsMemberiep:EnergySegment</w:t>
      </w:r>
      <w:r>
        <w:rPr>
          <w:rFonts w:eastAsia="Times New Roman"/>
          <w:vanish/>
        </w:rPr>
        <w:t>Member2017-01-012017-12-310000813762iep:NitrogenfertilizerproductsMemberiep:EnergySegmentMember2019-01-012019-12-310000813762iep:NitrogenfertilizerproductsMemberiep:EnergySegmentMember2018-01-012018-12-310000813762iep:NitrogenfertilizerproductsMemberiep:En</w:t>
      </w:r>
      <w:r>
        <w:rPr>
          <w:rFonts w:eastAsia="Times New Roman"/>
          <w:vanish/>
        </w:rPr>
        <w:t>ergySegmentMember2017-01-012017-12-310000813762iep:AutomotiveSegmentMemberiep:AutomotiveservicesrevenueMember2019-01-012019-12-310000813762iep:AutomotiveSegmentMemberiep:AutomotiveservicesrevenueMember2018-01-012018-12-310000813762iep:AutomotiveSegmentMemb</w:t>
      </w:r>
      <w:r>
        <w:rPr>
          <w:rFonts w:eastAsia="Times New Roman"/>
          <w:vanish/>
        </w:rPr>
        <w:t>eriep:AutomotiveservicesrevenueMember2017-01-012017-12-310000813762iep:AutomotivepartsMemberiep:AutomotiveSegmentMember2019-01-012019-12-310000813762iep:AutomotivepartsMemberiep:AutomotiveSegmentMember2018-01-012018-12-310000813762iep:AutomotivepartsMember</w:t>
      </w:r>
      <w:r>
        <w:rPr>
          <w:rFonts w:eastAsia="Times New Roman"/>
          <w:vanish/>
        </w:rPr>
        <w:t>iep:AutomotiveSegmentMember2017-01-012017-12-310000813762iep:MiningsegmentMember2019-12-310000813762iep:MiningsegmentMember2018-12-310000813762country:US2019-01-012019-12-310000813762country:US2018-01-012018-12-310000813762country:US2017-01-012017-12-31000</w:t>
      </w:r>
      <w:r>
        <w:rPr>
          <w:rFonts w:eastAsia="Times New Roman"/>
          <w:vanish/>
        </w:rPr>
        <w:t>0813762country:US2019-12-310000813762country:US2018-12-310000813762iep:SegmentgeographicOtherMember2019-01-012019-12-310000813762iep:SegmentgeographicOtherMember2018-01-012018-12-310000813762iep:SegmentgeographicOtherMember2017-01-012017-12-310000813762iep</w:t>
      </w:r>
      <w:r>
        <w:rPr>
          <w:rFonts w:eastAsia="Times New Roman"/>
          <w:vanish/>
        </w:rPr>
        <w:t>:SegmentgeographicOtherMember2019-12-310000813762iep:SegmentgeographicOtherMember2018-12-310000813762us-gaap:DiscontinuedOperationsHeldForSaleOrDisposedOfBySaleMemberiep:FederalMogulMember2019-01-012019-12-310000813762iep:TropicanaMemberus-gaap:Discontinue</w:t>
      </w:r>
      <w:r>
        <w:rPr>
          <w:rFonts w:eastAsia="Times New Roman"/>
          <w:vanish/>
        </w:rPr>
        <w:t>dOperationsHeldForSaleOrDisposedOfBySaleMember2019-01-012019-12-310000813762us-gaap:DiscontinuedOperationsHeldForSaleOrDisposedOfBySaleMemberiep:AmericanRailcarIndustriesMember2019-01-012019-12-310000813762us-gaap:DiscontinuedOperationsHeldForSaleOrDispose</w:t>
      </w:r>
      <w:r>
        <w:rPr>
          <w:rFonts w:eastAsia="Times New Roman"/>
          <w:vanish/>
        </w:rPr>
        <w:t>dOfBySaleMember2019-01-012019-12-310000813762us-gaap:DiscontinuedOperationsHeldForSaleOrDisposedOfBySaleMemberiep:FederalMogulMember2018-01-012018-12-310000813762iep:TropicanaMemberus-gaap:DiscontinuedOperationsHeldForSaleOrDisposedOfBySaleMember2018-01-01</w:t>
      </w:r>
      <w:r>
        <w:rPr>
          <w:rFonts w:eastAsia="Times New Roman"/>
          <w:vanish/>
        </w:rPr>
        <w:t>2018-12-310000813762us-gaap:DiscontinuedOperationsHeldForSaleOrDisposedOfBySaleMemberiep:AmericanRailcarIndustriesMember2018-01-012018-12-310000813762us-gaap:DiscontinuedOperationsHeldForSaleOrDisposedOfBySaleMember2018-01-012018-12-310000813762us-gaap:Dis</w:t>
      </w:r>
      <w:r>
        <w:rPr>
          <w:rFonts w:eastAsia="Times New Roman"/>
          <w:vanish/>
        </w:rPr>
        <w:t>continuedOperationsHeldForSaleOrDisposedOfBySaleMemberiep:FederalMogulMember2017-01-012017-12-310000813762iep:TropicanaMemberus-gaap:DiscontinuedOperationsHeldForSaleOrDisposedOfBySaleMember2017-01-012017-12-310000813762us-gaap:DiscontinuedOperationsHeldFo</w:t>
      </w:r>
      <w:r>
        <w:rPr>
          <w:rFonts w:eastAsia="Times New Roman"/>
          <w:vanish/>
        </w:rPr>
        <w:t>rSaleOrDisposedOfBySaleMemberiep:AmericanRailcarIndustriesMember2017-01-012017-12-310000813762us-gaap:DiscontinuedOperationsHeldForSaleOrDisposedOfBySaleMember2017-01-012017-12-310000813762us-gaap:DomesticCountryMember2019-01-012019-12-310000813762us-gaap:</w:t>
      </w:r>
      <w:r>
        <w:rPr>
          <w:rFonts w:eastAsia="Times New Roman"/>
          <w:vanish/>
        </w:rPr>
        <w:t>DomesticCountryMember2018-01-012018-12-310000813762us-gaap:DomesticCountryMember2017-01-012017-12-310000813762us-gaap:ForeignCountryMember2019-01-012019-12-310000813762us-gaap:ForeignCountryMember2018-01-012018-12-310000813762us-gaap:ForeignCountryMember20</w:t>
      </w:r>
      <w:r>
        <w:rPr>
          <w:rFonts w:eastAsia="Times New Roman"/>
          <w:vanish/>
        </w:rPr>
        <w:t>17-01-012017-12-310000813762iep:AmericanEntertainmentPropertiesCorpMember2019-12-310000813762iep:CvrEnergyIncMemberstpr:KS2019-01-012019-12-310000813762iep:ViskaseMembercountry:US2019-12-310000813762iep:OtherForeignCountriesMembersrt:MaximumMemberiep:Viska</w:t>
      </w:r>
      <w:r>
        <w:rPr>
          <w:rFonts w:eastAsia="Times New Roman"/>
          <w:vanish/>
        </w:rPr>
        <w:t>seMember2019-12-310000813762iep:OtherForeignCountriesMemberiep:ViskaseMembersrt:MinimumMember2019-12-310000813762iep:CvrEnergyIncMember2019-12-310000813762iep:OtherDerivativeLossIncomeMember2019-01-012019-12-310000813762iep:OtherDerivativeLossIncomeMember2</w:t>
      </w:r>
      <w:r>
        <w:rPr>
          <w:rFonts w:eastAsia="Times New Roman"/>
          <w:vanish/>
        </w:rPr>
        <w:t>018-01-012018-12-310000813762iep:OtherDerivativeLossIncomeMember2017-01-012017-12-310000813762iep:DividendexpenseMember2019-01-012019-12-310000813762iep:DividendexpenseMember2018-01-012018-12-310000813762iep:DividendexpenseMember2017-01-012017-12-310000813</w:t>
      </w:r>
      <w:r>
        <w:rPr>
          <w:rFonts w:eastAsia="Times New Roman"/>
          <w:vanish/>
        </w:rPr>
        <w:t>762iep:IncomelossfromnonconsolidatedaffiliatesMember2019-01-012019-12-310000813762iep:IncomelossfromnonconsolidatedaffiliatesMember2018-01-012018-12-310000813762iep:IncomelossfromnonconsolidatedaffiliatesMember2017-01-012017-12-310000813762us-gaap:ForeignC</w:t>
      </w:r>
      <w:r>
        <w:rPr>
          <w:rFonts w:eastAsia="Times New Roman"/>
          <w:vanish/>
        </w:rPr>
        <w:t>urrencyGainLossMember2019-01-012019-12-310000813762us-gaap:ForeignCurrencyGainLossMember2018-01-012018-12-310000813762us-gaap:ForeignCurrencyGainLossMember2017-01-012017-12-310000813762iep:TaxSettlementGainMember2019-01-012019-12-310000813762iep:TaxSettlem</w:t>
      </w:r>
      <w:r>
        <w:rPr>
          <w:rFonts w:eastAsia="Times New Roman"/>
          <w:vanish/>
        </w:rPr>
        <w:t>entGainMember2018-01-012018-12-310000813762iep:TaxSettlementGainMember2017-01-012017-12-310000813762iep:NonservicepensionandotherpostretirementbenefitsexpenseMember2019-01-012019-12-310000813762iep:NonservicepensionandotherpostretirementbenefitsexpenseMemb</w:t>
      </w:r>
      <w:r>
        <w:rPr>
          <w:rFonts w:eastAsia="Times New Roman"/>
          <w:vanish/>
        </w:rPr>
        <w:t>er2018-01-012018-12-310000813762iep:NonservicepensionandotherpostretirementbenefitsexpenseMember2017-01-012017-12-310000813762iep:LossOnDebtExtinguishmentMember2019-01-012019-12-310000813762iep:LossOnDebtExtinguishmentMember2018-01-012018-12-310000813762ie</w:t>
      </w:r>
      <w:r>
        <w:rPr>
          <w:rFonts w:eastAsia="Times New Roman"/>
          <w:vanish/>
        </w:rPr>
        <w:t>p:LossOnDebtExtinguishmentMember2017-01-012017-12-310000813762iep:OtherIncomeLossNotSpecifiedMember2019-01-012019-12-310000813762iep:OtherIncomeLossNotSpecifiedMember2018-01-012018-12-310000813762iep:OtherIncomeLossNotSpecifiedMember2017-01-012017-12-31000</w:t>
      </w:r>
      <w:r>
        <w:rPr>
          <w:rFonts w:eastAsia="Times New Roman"/>
          <w:vanish/>
        </w:rPr>
        <w:t>0813762iep:PrincipalOwnersAndAffiliatesMemberiep:IcahnEnterprisesGPMember2019-01-012019-12-310000813762iep:AcfMember2019-12-310000813762iep:StarfireHoldingCorporationMember2019-12-310000813762us-gaap:PensionPlansDefinedBenefitMember2018-12-310000813762us-g</w:t>
      </w:r>
      <w:r>
        <w:rPr>
          <w:rFonts w:eastAsia="Times New Roman"/>
          <w:vanish/>
        </w:rPr>
        <w:t>aap:PensionPlansDefinedBenefitMember2017-12-310000813762us-gaap:PensionPlansDefinedBenefitMember2019-12-310000813762us-gaap:FairValueMeasurementsRecurringMemberus-gaap:FairValueInputsLevel1Memberus-gaap:CashAndCashEquivalentsMember2019-12-310000813762us-ga</w:t>
      </w:r>
      <w:r>
        <w:rPr>
          <w:rFonts w:eastAsia="Times New Roman"/>
          <w:vanish/>
        </w:rPr>
        <w:t>ap:FairValueMeasurementsRecurringMemberus-gaap:FairValueInputsLevel2Memberus-gaap:CashAndCashEquivalentsMember2019-12-310000813762us-gaap:FairValueMeasurementsRecurringMemberus-gaap:CashAndCashEquivalentsMember2019-12-310000813762us-gaap:FairValueMeasureme</w:t>
      </w:r>
      <w:r>
        <w:rPr>
          <w:rFonts w:eastAsia="Times New Roman"/>
          <w:vanish/>
        </w:rPr>
        <w:t>ntsRecurringMemberus-gaap:FairValueInputsLevel1Memberus-gaap:CashAndCashEquivalentsMember2018-12-310000813762us-gaap:FairValueMeasurementsRecurringMemberus-gaap:FairValueInputsLevel2Memberus-gaap:CashAndCashEquivalentsMember2018-12-310000813762us-gaap:Fair</w:t>
      </w:r>
      <w:r>
        <w:rPr>
          <w:rFonts w:eastAsia="Times New Roman"/>
          <w:vanish/>
        </w:rPr>
        <w:t>ValueMeasurementsRecurringMemberus-gaap:CashAndCashEquivalentsMember2018-12-310000813762us-gaap:FairValueMeasurementsRecurringMemberus-gaap:FairValueInputsLevel1Memberus-gaap:SovereignDebtStateGovernmentUnspecifiedMember2019-12-310000813762us-gaap:FairValu</w:t>
      </w:r>
      <w:r>
        <w:rPr>
          <w:rFonts w:eastAsia="Times New Roman"/>
          <w:vanish/>
        </w:rPr>
        <w:t>eMeasurementsRecurringMemberus-gaap:FairValueInputsLevel2Memberus-gaap:SovereignDebtStateGovernmentUnspecifiedMember2019-12-310000813762us-gaap:FairValueMeasurementsRecurringMemberus-gaap:SovereignDebtStateGovernmentUnspecifiedMember2019-12-310000813762us-</w:t>
      </w:r>
      <w:r>
        <w:rPr>
          <w:rFonts w:eastAsia="Times New Roman"/>
          <w:vanish/>
        </w:rPr>
        <w:t>gaap:FairValueMeasurementsRecurringMemberus-gaap:FairValueInputsLevel1Memberus-gaap:SovereignDebtStateGovernmentUnspecifiedMember2018-12-310000813762us-gaap:FairValueMeasurementsRecurringMemberus-gaap:FairValueInputsLevel2Memberus-gaap:SovereignDebtStateGo</w:t>
      </w:r>
      <w:r>
        <w:rPr>
          <w:rFonts w:eastAsia="Times New Roman"/>
          <w:vanish/>
        </w:rPr>
        <w:t>vernmentUnspecifiedMember2018-12-310000813762us-gaap:FairValueMeasurementsRecurringMemberus-gaap:SovereignDebtStateGovernmentUnspecifiedMember2018-12-310000813762us-gaap:FairValueMeasurementsRecurringMemberus-gaap:FairValueInputsLevel1Memberus-gaap:Exchang</w:t>
      </w:r>
      <w:r>
        <w:rPr>
          <w:rFonts w:eastAsia="Times New Roman"/>
          <w:vanish/>
        </w:rPr>
        <w:t>eTradedFundsMember2019-12-310000813762us-gaap:FairValueMeasurementsRecurringMemberus-gaap:FairValueInputsLevel2Memberus-gaap:ExchangeTradedFundsMember2019-12-310000813762us-gaap:FairValueMeasurementsRecurringMemberus-gaap:ExchangeTradedFundsMember2019-12-3</w:t>
      </w:r>
      <w:r>
        <w:rPr>
          <w:rFonts w:eastAsia="Times New Roman"/>
          <w:vanish/>
        </w:rPr>
        <w:t>10000813762us-gaap:FairValueMeasurementsRecurringMemberus-gaap:FairValueInputsLevel1Memberus-gaap:ExchangeTradedFundsMember2018-12-310000813762us-gaap:FairValueMeasurementsRecurringMemberus-gaap:FairValueInputsLevel2Memberus-gaap:ExchangeTradedFundsMember2</w:t>
      </w:r>
      <w:r>
        <w:rPr>
          <w:rFonts w:eastAsia="Times New Roman"/>
          <w:vanish/>
        </w:rPr>
        <w:t>018-12-310000813762us-gaap:FairValueMeasurementsRecurringMemberus-gaap:ExchangeTradedFundsMember2018-12-310000813762us-gaap:FairValueMeasurementsRecurringMemberus-gaap:FairValueInputsLevel1Memberus-gaap:MutualFundMember2019-12-310000813762us-gaap:FairValue</w:t>
      </w:r>
      <w:r>
        <w:rPr>
          <w:rFonts w:eastAsia="Times New Roman"/>
          <w:vanish/>
        </w:rPr>
        <w:t>MeasurementsRecurringMemberus-gaap:FairValueInputsLevel2Memberus-gaap:MutualFundMember2019-12-310000813762us-gaap:FairValueMeasurementsRecurringMemberus-gaap:MutualFundMember2019-12-310000813762us-gaap:FairValueMeasurementsRecurringMemberus-gaap:FairValueI</w:t>
      </w:r>
      <w:r>
        <w:rPr>
          <w:rFonts w:eastAsia="Times New Roman"/>
          <w:vanish/>
        </w:rPr>
        <w:t>nputsLevel1Memberus-gaap:MutualFundMember2018-12-310000813762us-gaap:FairValueMeasurementsRecurringMemberus-gaap:FairValueInputsLevel2Memberus-gaap:MutualFundMember2018-12-310000813762us-gaap:FairValueMeasurementsRecurringMemberus-gaap:MutualFundMember2018</w:t>
      </w:r>
      <w:r>
        <w:rPr>
          <w:rFonts w:eastAsia="Times New Roman"/>
          <w:vanish/>
        </w:rPr>
        <w:t>-12-310000813762us-gaap:FairValueMeasurementsRecurringMemberus-gaap:FairValueInputsLevel1Memberus-gaap:CommonStockMember2019-12-310000813762us-gaap:FairValueMeasurementsRecurringMemberus-gaap:FairValueInputsLevel2Memberus-gaap:CommonStockMember2019-12-3100</w:t>
      </w:r>
      <w:r>
        <w:rPr>
          <w:rFonts w:eastAsia="Times New Roman"/>
          <w:vanish/>
        </w:rPr>
        <w:t>00813762us-gaap:FairValueMeasurementsRecurringMemberus-gaap:CommonStockMember2019-12-310000813762us-gaap:FairValueMeasurementsRecurringMemberus-gaap:FairValueInputsLevel1Memberus-gaap:CommonStockMember2018-12-310000813762us-gaap:FairValueMeasurementsRecurr</w:t>
      </w:r>
      <w:r>
        <w:rPr>
          <w:rFonts w:eastAsia="Times New Roman"/>
          <w:vanish/>
        </w:rPr>
        <w:t>ingMemberus-gaap:FairValueInputsLevel2Memberus-gaap:CommonStockMember2018-12-310000813762us-gaap:FairValueMeasurementsRecurringMemberus-gaap:CommonStockMember2018-12-310000813762us-gaap:FairValueMeasuredAtNetAssetValuePerShareMemberus-gaap:FairValueMeasure</w:t>
      </w:r>
      <w:r>
        <w:rPr>
          <w:rFonts w:eastAsia="Times New Roman"/>
          <w:vanish/>
        </w:rPr>
        <w:t>mentsRecurringMember2019-12-310000813762us-gaap:FairValueMeasuredAtNetAssetValuePerShareMemberus-gaap:FairValueMeasurementsRecurringMember2018-12-310000813762us-gaap:SubsequentEventMember2020-02-262020-02-2600008137622019-01-012019-03-3100008137622018-01-0</w:t>
      </w:r>
      <w:r>
        <w:rPr>
          <w:rFonts w:eastAsia="Times New Roman"/>
          <w:vanish/>
        </w:rPr>
        <w:t>12018-03-3100008137622019-04-012019-06-3000008137622018-04-012018-06-3000008137622019-07-012019-09-3000008137622018-07-012018-09-3000008137622019-10-012019-12-3100008137622018-10-012018-12-310000813762iep:FederalMogulTropicanaAndARIMember2018-10-012018-12-</w:t>
      </w:r>
      <w:r>
        <w:rPr>
          <w:rFonts w:eastAsia="Times New Roman"/>
          <w:vanish/>
        </w:rPr>
        <w:t>310000813762srt:ParentCompanyMember2019-01-012019-12-310000813762srt:ParentCompanyMember2019-12-310000813762srt:ParentCompanyMember2018-12-310000813762srt:ParentCompanyMember2018-01-012018-12-310000813762srt:ParentCompanyMember2017-01-012017-12-31000081376</w:t>
      </w:r>
      <w:r>
        <w:rPr>
          <w:rFonts w:eastAsia="Times New Roman"/>
          <w:vanish/>
        </w:rPr>
        <w:t>2srt:ParentCompanyMember2017-12-310000813762srt:ParentCompanyMember2016-12-310000813762iep:IcahnEnterprisesGPMembersrt:ParentCompanyMember2019-01-012019-12-310000813762iep:A2020NotesMembersrt:ParentCompanyMember2019-12-310000813762iep:A2020NotesMembersrt:P</w:t>
      </w:r>
      <w:r>
        <w:rPr>
          <w:rFonts w:eastAsia="Times New Roman"/>
          <w:vanish/>
        </w:rPr>
        <w:t>arentCompanyMember2018-12-310000813762iep:A2022NotesMembersrt:ParentCompanyMember2019-12-310000813762iep:A2022NotesMembersrt:ParentCompanyMember2018-12-310000813762srt:ParentCompanyMemberiep:New2022NotesMember2019-12-310000813762srt:ParentCompanyMemberiep:</w:t>
      </w:r>
      <w:r>
        <w:rPr>
          <w:rFonts w:eastAsia="Times New Roman"/>
          <w:vanish/>
        </w:rPr>
        <w:t>New2022NotesMember2018-12-310000813762srt:ParentCompanyMemberiep:A2024NotesMember2019-12-310000813762srt:ParentCompanyMemberiep:A2024NotesMember2018-12-310000813762iep:New2024NotesMembersrt:ParentCompanyMember2019-12-310000813762iep:New2024NotesMembersrt:P</w:t>
      </w:r>
      <w:r>
        <w:rPr>
          <w:rFonts w:eastAsia="Times New Roman"/>
          <w:vanish/>
        </w:rPr>
        <w:t>arentCompanyMember2018-12-310000813762srt:ParentCompanyMemberiep:A2025NotesMember2019-12-310000813762srt:ParentCompanyMemberiep:A2025NotesMember2018-12-310000813762iep:A2026NotesMembersrt:ParentCompanyMember2019-12-310000813762iep:A2026NotesMembersrt:Paren</w:t>
      </w:r>
      <w:r>
        <w:rPr>
          <w:rFonts w:eastAsia="Times New Roman"/>
          <w:vanish/>
        </w:rPr>
        <w:t>tCompanyMember2018-12-310000813762iep:A2027NotesMembersrt:ParentCompanyMember2019-12-310000813762iep:A2027NotesMembersrt:ParentCompanyMember2018-12-310000813762srt:GuarantorSubsidiariesMember2019-01-012019-12-310000813762srt:GuarantorSubsidiariesMember2019</w:t>
      </w:r>
      <w:r>
        <w:rPr>
          <w:rFonts w:eastAsia="Times New Roman"/>
          <w:vanish/>
        </w:rPr>
        <w:t>-12-310000813762srt:GuarantorSubsidiariesMember2018-12-310000813762srt:GuarantorSubsidiariesMember2018-01-012018-12-310000813762srt:GuarantorSubsidiariesMember2017-01-012017-12-310000813762srt:GuarantorSubsidiariesMember2017-12-310000813762srt:GuarantorSub</w:t>
      </w:r>
      <w:r>
        <w:rPr>
          <w:rFonts w:eastAsia="Times New Roman"/>
          <w:vanish/>
        </w:rPr>
        <w:t>sidiariesMember2016-12-310000813762iep:IcahnEnterprisesGPMembersrt:GuarantorSubsidiariesMember2019-01-012019-12-310000813762iep:A2020NotesMembersrt:GuarantorSubsidiariesMember2019-12-310000813762iep:A2020NotesMembersrt:GuarantorSubsidiariesMember2018-12-31</w:t>
      </w:r>
      <w:r>
        <w:rPr>
          <w:rFonts w:eastAsia="Times New Roman"/>
          <w:vanish/>
        </w:rPr>
        <w:t>0000813762iep:A2022NotesMembersrt:GuarantorSubsidiariesMember2019-12-310000813762iep:A2022NotesMembersrt:GuarantorSubsidiariesMember2018-12-310000813762srt:GuarantorSubsidiariesMemberiep:New2022NotesMember2019-12-310000813762srt:GuarantorSubsidiariesMember</w:t>
      </w:r>
      <w:r>
        <w:rPr>
          <w:rFonts w:eastAsia="Times New Roman"/>
          <w:vanish/>
        </w:rPr>
        <w:t>iep:New2022NotesMember2018-12-310000813762srt:GuarantorSubsidiariesMemberiep:A2024NotesMember2019-12-310000813762srt:GuarantorSubsidiariesMemberiep:A2024NotesMember2018-12-310000813762iep:New2024NotesMembersrt:GuarantorSubsidiariesMember2019-12-31000081376</w:t>
      </w:r>
      <w:r>
        <w:rPr>
          <w:rFonts w:eastAsia="Times New Roman"/>
          <w:vanish/>
        </w:rPr>
        <w:t>2iep:New2024NotesMembersrt:GuarantorSubsidiariesMember2018-12-310000813762srt:GuarantorSubsidiariesMemberiep:A2025NotesMember2019-12-310000813762srt:GuarantorSubsidiariesMemberiep:A2025NotesMember2018-12-310000813762iep:A2026NotesMembersrt:GuarantorSubsidi</w:t>
      </w:r>
      <w:r>
        <w:rPr>
          <w:rFonts w:eastAsia="Times New Roman"/>
          <w:vanish/>
        </w:rPr>
        <w:t>ariesMember2019-12-310000813762iep:A2026NotesMembersrt:GuarantorSubsidiariesMember2018-12-310000813762iep:A2027NotesMembersrt:GuarantorSubsidiariesMember2019-12-310000813762iep:A2027NotesMembersrt:GuarantorSubsidiariesMember2018-12-31</w:t>
      </w:r>
    </w:p>
    <w:p w14:paraId="40E93920" w14:textId="77777777" w:rsidR="00000000" w:rsidRDefault="00195E73">
      <w:pPr>
        <w:divId w:val="494993921"/>
        <w:rPr>
          <w:rFonts w:eastAsia="Times New Roman"/>
        </w:rPr>
      </w:pPr>
    </w:p>
    <w:p w14:paraId="4E415452" w14:textId="77777777" w:rsidR="00000000" w:rsidRDefault="00195E73">
      <w:pPr>
        <w:jc w:val="center"/>
        <w:divId w:val="304242362"/>
        <w:rPr>
          <w:rFonts w:eastAsia="Times New Roman"/>
        </w:rPr>
      </w:pPr>
      <w:r>
        <w:rPr>
          <w:rFonts w:eastAsia="Times New Roman"/>
          <w:b/>
          <w:bCs/>
          <w:color w:val="000000"/>
          <w:sz w:val="20"/>
          <w:szCs w:val="20"/>
        </w:rPr>
        <w:t>UNITED STATES</w:t>
      </w:r>
      <w:r>
        <w:rPr>
          <w:rFonts w:eastAsia="Times New Roman"/>
          <w:b/>
          <w:bCs/>
          <w:color w:val="000000"/>
          <w:sz w:val="20"/>
          <w:szCs w:val="20"/>
        </w:rPr>
        <w:t xml:space="preserve"> </w:t>
      </w:r>
    </w:p>
    <w:p w14:paraId="3B4CA382" w14:textId="77777777" w:rsidR="00000000" w:rsidRDefault="00195E73">
      <w:pPr>
        <w:jc w:val="center"/>
        <w:divId w:val="538593430"/>
        <w:rPr>
          <w:rFonts w:eastAsia="Times New Roman"/>
        </w:rPr>
      </w:pPr>
      <w:r>
        <w:rPr>
          <w:rFonts w:eastAsia="Times New Roman"/>
          <w:b/>
          <w:bCs/>
          <w:color w:val="000000"/>
          <w:sz w:val="20"/>
          <w:szCs w:val="20"/>
        </w:rPr>
        <w:t>SECU</w:t>
      </w:r>
      <w:r>
        <w:rPr>
          <w:rFonts w:eastAsia="Times New Roman"/>
          <w:b/>
          <w:bCs/>
          <w:color w:val="000000"/>
          <w:sz w:val="20"/>
          <w:szCs w:val="20"/>
        </w:rPr>
        <w:t>RITIES AND EXCHANGE COMMISSIO</w:t>
      </w:r>
      <w:r>
        <w:rPr>
          <w:rFonts w:eastAsia="Times New Roman"/>
          <w:b/>
          <w:bCs/>
          <w:color w:val="000000"/>
          <w:sz w:val="20"/>
          <w:szCs w:val="20"/>
        </w:rPr>
        <w:t>N</w:t>
      </w:r>
    </w:p>
    <w:p w14:paraId="06298447" w14:textId="77777777" w:rsidR="00000000" w:rsidRDefault="00195E73">
      <w:pPr>
        <w:jc w:val="center"/>
        <w:divId w:val="1268386161"/>
        <w:rPr>
          <w:rFonts w:eastAsia="Times New Roman"/>
        </w:rPr>
      </w:pPr>
      <w:r>
        <w:rPr>
          <w:rFonts w:eastAsia="Times New Roman"/>
          <w:b/>
          <w:bCs/>
          <w:color w:val="000000"/>
          <w:sz w:val="20"/>
          <w:szCs w:val="20"/>
        </w:rPr>
        <w:t>Washington, D.C. 2054</w:t>
      </w:r>
      <w:r>
        <w:rPr>
          <w:rFonts w:eastAsia="Times New Roman"/>
          <w:b/>
          <w:bCs/>
          <w:color w:val="000000"/>
          <w:sz w:val="20"/>
          <w:szCs w:val="20"/>
        </w:rPr>
        <w:t>9</w:t>
      </w:r>
    </w:p>
    <w:p w14:paraId="01C4474D" w14:textId="77777777" w:rsidR="00000000" w:rsidRDefault="00195E73">
      <w:pPr>
        <w:jc w:val="center"/>
        <w:divId w:val="857960504"/>
        <w:rPr>
          <w:rFonts w:eastAsia="Times New Roman"/>
        </w:rPr>
      </w:pPr>
      <w:r>
        <w:rPr>
          <w:rFonts w:eastAsia="Times New Roman"/>
          <w:b/>
          <w:bCs/>
          <w:color w:val="000000"/>
        </w:rPr>
        <w:t>FORM 10-</w:t>
      </w:r>
      <w:r>
        <w:rPr>
          <w:rFonts w:eastAsia="Times New Roman"/>
          <w:b/>
          <w:bCs/>
          <w:color w:val="000000"/>
        </w:rPr>
        <w:t>K</w:t>
      </w:r>
    </w:p>
    <w:p w14:paraId="61F00E97" w14:textId="77777777" w:rsidR="00000000" w:rsidRDefault="00195E73">
      <w:pPr>
        <w:divId w:val="1321543694"/>
        <w:rPr>
          <w:rFonts w:eastAsia="Times New Roman"/>
        </w:rPr>
      </w:pPr>
      <w:r>
        <w:rPr>
          <w:rFonts w:eastAsia="Times New Roman"/>
          <w:color w:val="000000"/>
          <w:sz w:val="16"/>
          <w:szCs w:val="16"/>
        </w:rPr>
        <w:t>(Mark one</w:t>
      </w:r>
      <w:r>
        <w:rPr>
          <w:rFonts w:eastAsia="Times New Roman"/>
          <w:color w:val="000000"/>
          <w:sz w:val="16"/>
          <w:szCs w:val="16"/>
        </w:rPr>
        <w:t>)</w:t>
      </w:r>
    </w:p>
    <w:p w14:paraId="516CAAD9" w14:textId="77777777" w:rsidR="00000000" w:rsidRDefault="00195E73">
      <w:pPr>
        <w:ind w:hanging="360"/>
        <w:divId w:val="651450678"/>
        <w:rPr>
          <w:rFonts w:eastAsia="Times New Roman"/>
        </w:rPr>
      </w:pPr>
      <w:r>
        <w:rPr>
          <w:rFonts w:ascii="Segoe UI Symbol" w:eastAsia="Times New Roman" w:hAnsi="Segoe UI Symbol" w:cs="Segoe UI Symbol"/>
          <w:color w:val="000000"/>
          <w:sz w:val="20"/>
          <w:szCs w:val="20"/>
        </w:rPr>
        <w:t>☒</w:t>
      </w:r>
      <w:r>
        <w:rPr>
          <w:rFonts w:ascii="Arial Unicode MS" w:eastAsia="Times New Roman" w:hAnsi="Arial Unicode MS"/>
          <w:color w:val="000000"/>
          <w:sz w:val="20"/>
          <w:szCs w:val="20"/>
        </w:rPr>
        <w:t xml:space="preserve"> </w:t>
      </w:r>
      <w:r>
        <w:rPr>
          <w:rFonts w:eastAsia="Times New Roman"/>
          <w:b/>
          <w:bCs/>
          <w:color w:val="000000"/>
          <w:sz w:val="20"/>
          <w:szCs w:val="20"/>
        </w:rPr>
        <w:t>ANNUAL REPORT PURSUANT TO SECTION 13 OR 15(d) OF THE SECURITIES EXCHANGE ACT OF 193</w:t>
      </w:r>
      <w:r>
        <w:rPr>
          <w:rFonts w:eastAsia="Times New Roman"/>
          <w:b/>
          <w:bCs/>
          <w:color w:val="000000"/>
          <w:sz w:val="20"/>
          <w:szCs w:val="20"/>
        </w:rPr>
        <w:t>4</w:t>
      </w:r>
    </w:p>
    <w:p w14:paraId="50E31834" w14:textId="77777777" w:rsidR="00000000" w:rsidRDefault="00195E73">
      <w:pPr>
        <w:jc w:val="center"/>
        <w:divId w:val="354622682"/>
        <w:rPr>
          <w:rFonts w:eastAsia="Times New Roman"/>
        </w:rPr>
      </w:pPr>
      <w:r>
        <w:rPr>
          <w:rFonts w:eastAsia="Times New Roman"/>
          <w:b/>
          <w:bCs/>
          <w:color w:val="000000"/>
          <w:sz w:val="16"/>
          <w:szCs w:val="16"/>
        </w:rPr>
        <w:t>For the Fiscal Year Ended December 31, 2019</w:t>
      </w:r>
      <w:r>
        <w:rPr>
          <w:rFonts w:eastAsia="Times New Roman"/>
          <w:b/>
          <w:bCs/>
          <w:color w:val="000000"/>
          <w:sz w:val="16"/>
          <w:szCs w:val="16"/>
        </w:rPr>
        <w:t xml:space="preserve"> </w:t>
      </w:r>
    </w:p>
    <w:p w14:paraId="332466C5" w14:textId="77777777" w:rsidR="00000000" w:rsidRDefault="00195E73">
      <w:pPr>
        <w:ind w:hanging="360"/>
        <w:divId w:val="1898937104"/>
        <w:rPr>
          <w:rFonts w:eastAsia="Times New Roman"/>
        </w:rPr>
      </w:pPr>
      <w:r>
        <w:rPr>
          <w:rFonts w:ascii="Segoe UI Symbol" w:eastAsia="Times New Roman" w:hAnsi="Segoe UI Symbol" w:cs="Segoe UI Symbol"/>
          <w:color w:val="000000"/>
          <w:sz w:val="20"/>
          <w:szCs w:val="20"/>
        </w:rPr>
        <w:t>☐</w:t>
      </w:r>
      <w:r>
        <w:rPr>
          <w:rFonts w:ascii="Arial Unicode MS" w:eastAsia="Times New Roman" w:hAnsi="Arial Unicode MS"/>
          <w:color w:val="000000"/>
          <w:sz w:val="20"/>
          <w:szCs w:val="20"/>
        </w:rPr>
        <w:t xml:space="preserve"> </w:t>
      </w:r>
      <w:r>
        <w:rPr>
          <w:rFonts w:eastAsia="Times New Roman"/>
          <w:b/>
          <w:bCs/>
          <w:color w:val="000000"/>
          <w:sz w:val="20"/>
          <w:szCs w:val="20"/>
        </w:rPr>
        <w:t>TRANSITION REPORT PURSUANT TO SECTION 13 OR 15(</w:t>
      </w:r>
      <w:r>
        <w:rPr>
          <w:rFonts w:eastAsia="Times New Roman"/>
          <w:b/>
          <w:bCs/>
          <w:color w:val="000000"/>
          <w:sz w:val="20"/>
          <w:szCs w:val="20"/>
        </w:rPr>
        <w:t>d) OF THE SECURITIES EXCHANGE ACT OF 1934</w:t>
      </w:r>
      <w:r>
        <w:rPr>
          <w:rFonts w:eastAsia="Times New Roman"/>
          <w:b/>
          <w:bCs/>
          <w:color w:val="000000"/>
          <w:sz w:val="20"/>
          <w:szCs w:val="20"/>
        </w:rPr>
        <w:t xml:space="preserve"> </w:t>
      </w:r>
    </w:p>
    <w:p w14:paraId="16877247" w14:textId="77777777" w:rsidR="00000000" w:rsidRDefault="00195E73">
      <w:pPr>
        <w:jc w:val="center"/>
        <w:rPr>
          <w:rFonts w:eastAsia="Times New Roman"/>
        </w:rPr>
      </w:pPr>
      <w:r>
        <w:rPr>
          <w:rFonts w:eastAsia="Times New Roman"/>
          <w:b/>
          <w:bCs/>
          <w:color w:val="000000"/>
          <w:sz w:val="16"/>
          <w:szCs w:val="16"/>
        </w:rPr>
        <w:t>For the Transition Period from to</w:t>
      </w:r>
      <w:r>
        <w:rPr>
          <w:rFonts w:eastAsia="Times New Roman"/>
          <w:b/>
          <w:bCs/>
          <w:color w:val="000000"/>
          <w:sz w:val="16"/>
          <w:szCs w:val="16"/>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4"/>
        <w:gridCol w:w="1934"/>
        <w:gridCol w:w="83"/>
        <w:gridCol w:w="83"/>
        <w:gridCol w:w="3939"/>
        <w:gridCol w:w="83"/>
        <w:gridCol w:w="83"/>
        <w:gridCol w:w="884"/>
        <w:gridCol w:w="83"/>
        <w:gridCol w:w="83"/>
        <w:gridCol w:w="884"/>
        <w:gridCol w:w="83"/>
      </w:tblGrid>
      <w:tr w:rsidR="00000000" w14:paraId="40F07DAD" w14:textId="77777777">
        <w:trPr>
          <w:divId w:val="305163807"/>
        </w:trPr>
        <w:tc>
          <w:tcPr>
            <w:tcW w:w="50" w:type="pct"/>
            <w:vAlign w:val="center"/>
            <w:hideMark/>
          </w:tcPr>
          <w:p w14:paraId="6537D80C" w14:textId="77777777" w:rsidR="00000000" w:rsidRDefault="00195E73">
            <w:pPr>
              <w:jc w:val="center"/>
              <w:rPr>
                <w:rFonts w:eastAsia="Times New Roman"/>
              </w:rPr>
            </w:pPr>
          </w:p>
        </w:tc>
        <w:tc>
          <w:tcPr>
            <w:tcW w:w="1164" w:type="pct"/>
            <w:vAlign w:val="center"/>
            <w:hideMark/>
          </w:tcPr>
          <w:p w14:paraId="2A681E6D" w14:textId="77777777" w:rsidR="00000000" w:rsidRDefault="00195E73">
            <w:pPr>
              <w:rPr>
                <w:rFonts w:eastAsia="Times New Roman"/>
                <w:sz w:val="20"/>
                <w:szCs w:val="20"/>
              </w:rPr>
            </w:pPr>
          </w:p>
        </w:tc>
        <w:tc>
          <w:tcPr>
            <w:tcW w:w="50" w:type="pct"/>
            <w:vAlign w:val="center"/>
            <w:hideMark/>
          </w:tcPr>
          <w:p w14:paraId="7763FBCF" w14:textId="77777777" w:rsidR="00000000" w:rsidRDefault="00195E73">
            <w:pPr>
              <w:rPr>
                <w:rFonts w:eastAsia="Times New Roman"/>
                <w:sz w:val="20"/>
                <w:szCs w:val="20"/>
              </w:rPr>
            </w:pPr>
          </w:p>
        </w:tc>
        <w:tc>
          <w:tcPr>
            <w:tcW w:w="50" w:type="pct"/>
            <w:vAlign w:val="center"/>
            <w:hideMark/>
          </w:tcPr>
          <w:p w14:paraId="51C02797" w14:textId="77777777" w:rsidR="00000000" w:rsidRDefault="00195E73">
            <w:pPr>
              <w:rPr>
                <w:rFonts w:eastAsia="Times New Roman"/>
                <w:sz w:val="20"/>
                <w:szCs w:val="20"/>
              </w:rPr>
            </w:pPr>
          </w:p>
        </w:tc>
        <w:tc>
          <w:tcPr>
            <w:tcW w:w="2371" w:type="pct"/>
            <w:vAlign w:val="center"/>
            <w:hideMark/>
          </w:tcPr>
          <w:p w14:paraId="53BB9B34" w14:textId="77777777" w:rsidR="00000000" w:rsidRDefault="00195E73">
            <w:pPr>
              <w:rPr>
                <w:rFonts w:eastAsia="Times New Roman"/>
                <w:sz w:val="20"/>
                <w:szCs w:val="20"/>
              </w:rPr>
            </w:pPr>
          </w:p>
        </w:tc>
        <w:tc>
          <w:tcPr>
            <w:tcW w:w="50" w:type="pct"/>
            <w:vAlign w:val="center"/>
            <w:hideMark/>
          </w:tcPr>
          <w:p w14:paraId="5F3E0171" w14:textId="77777777" w:rsidR="00000000" w:rsidRDefault="00195E73">
            <w:pPr>
              <w:rPr>
                <w:rFonts w:eastAsia="Times New Roman"/>
                <w:sz w:val="20"/>
                <w:szCs w:val="20"/>
              </w:rPr>
            </w:pPr>
          </w:p>
        </w:tc>
        <w:tc>
          <w:tcPr>
            <w:tcW w:w="50" w:type="pct"/>
            <w:vAlign w:val="center"/>
            <w:hideMark/>
          </w:tcPr>
          <w:p w14:paraId="68CA26F0" w14:textId="77777777" w:rsidR="00000000" w:rsidRDefault="00195E73">
            <w:pPr>
              <w:rPr>
                <w:rFonts w:eastAsia="Times New Roman"/>
                <w:sz w:val="20"/>
                <w:szCs w:val="20"/>
              </w:rPr>
            </w:pPr>
          </w:p>
        </w:tc>
        <w:tc>
          <w:tcPr>
            <w:tcW w:w="532" w:type="pct"/>
            <w:vAlign w:val="center"/>
            <w:hideMark/>
          </w:tcPr>
          <w:p w14:paraId="2E44ABB1" w14:textId="77777777" w:rsidR="00000000" w:rsidRDefault="00195E73">
            <w:pPr>
              <w:rPr>
                <w:rFonts w:eastAsia="Times New Roman"/>
                <w:sz w:val="20"/>
                <w:szCs w:val="20"/>
              </w:rPr>
            </w:pPr>
          </w:p>
        </w:tc>
        <w:tc>
          <w:tcPr>
            <w:tcW w:w="50" w:type="pct"/>
            <w:vAlign w:val="center"/>
            <w:hideMark/>
          </w:tcPr>
          <w:p w14:paraId="1B7B6B5C" w14:textId="77777777" w:rsidR="00000000" w:rsidRDefault="00195E73">
            <w:pPr>
              <w:rPr>
                <w:rFonts w:eastAsia="Times New Roman"/>
                <w:sz w:val="20"/>
                <w:szCs w:val="20"/>
              </w:rPr>
            </w:pPr>
          </w:p>
        </w:tc>
        <w:tc>
          <w:tcPr>
            <w:tcW w:w="50" w:type="pct"/>
            <w:vAlign w:val="center"/>
            <w:hideMark/>
          </w:tcPr>
          <w:p w14:paraId="68D27BE4" w14:textId="77777777" w:rsidR="00000000" w:rsidRDefault="00195E73">
            <w:pPr>
              <w:rPr>
                <w:rFonts w:eastAsia="Times New Roman"/>
                <w:sz w:val="20"/>
                <w:szCs w:val="20"/>
              </w:rPr>
            </w:pPr>
          </w:p>
        </w:tc>
        <w:tc>
          <w:tcPr>
            <w:tcW w:w="532" w:type="pct"/>
            <w:vAlign w:val="center"/>
            <w:hideMark/>
          </w:tcPr>
          <w:p w14:paraId="6DE7C100" w14:textId="77777777" w:rsidR="00000000" w:rsidRDefault="00195E73">
            <w:pPr>
              <w:rPr>
                <w:rFonts w:eastAsia="Times New Roman"/>
                <w:sz w:val="20"/>
                <w:szCs w:val="20"/>
              </w:rPr>
            </w:pPr>
          </w:p>
        </w:tc>
        <w:tc>
          <w:tcPr>
            <w:tcW w:w="50" w:type="pct"/>
            <w:vAlign w:val="center"/>
            <w:hideMark/>
          </w:tcPr>
          <w:p w14:paraId="6EE421C5" w14:textId="77777777" w:rsidR="00000000" w:rsidRDefault="00195E73">
            <w:pPr>
              <w:rPr>
                <w:rFonts w:eastAsia="Times New Roman"/>
                <w:sz w:val="20"/>
                <w:szCs w:val="20"/>
              </w:rPr>
            </w:pPr>
          </w:p>
        </w:tc>
      </w:tr>
      <w:tr w:rsidR="00000000" w14:paraId="1EE18063" w14:textId="77777777">
        <w:trPr>
          <w:divId w:val="305163807"/>
        </w:trPr>
        <w:tc>
          <w:tcPr>
            <w:tcW w:w="0" w:type="auto"/>
            <w:gridSpan w:val="3"/>
            <w:tcMar>
              <w:top w:w="30" w:type="dxa"/>
              <w:left w:w="20" w:type="dxa"/>
              <w:bottom w:w="30" w:type="dxa"/>
              <w:right w:w="20" w:type="dxa"/>
            </w:tcMar>
            <w:vAlign w:val="bottom"/>
            <w:hideMark/>
          </w:tcPr>
          <w:p w14:paraId="65121A1B" w14:textId="77777777" w:rsidR="00000000" w:rsidRDefault="00195E73">
            <w:pPr>
              <w:jc w:val="center"/>
              <w:rPr>
                <w:rFonts w:eastAsia="Times New Roman"/>
              </w:rPr>
            </w:pPr>
            <w:r>
              <w:rPr>
                <w:rFonts w:eastAsia="Times New Roman"/>
                <w:color w:val="000000"/>
                <w:sz w:val="14"/>
                <w:szCs w:val="14"/>
              </w:rPr>
              <w:t>(Commission File Number</w:t>
            </w:r>
            <w:r>
              <w:rPr>
                <w:rFonts w:eastAsia="Times New Roman"/>
                <w:color w:val="000000"/>
                <w:sz w:val="14"/>
                <w:szCs w:val="14"/>
              </w:rPr>
              <w:t>)</w:t>
            </w:r>
          </w:p>
        </w:tc>
        <w:tc>
          <w:tcPr>
            <w:tcW w:w="0" w:type="auto"/>
            <w:gridSpan w:val="3"/>
            <w:tcMar>
              <w:top w:w="30" w:type="dxa"/>
              <w:left w:w="20" w:type="dxa"/>
              <w:bottom w:w="30" w:type="dxa"/>
              <w:right w:w="20" w:type="dxa"/>
            </w:tcMar>
            <w:vAlign w:val="bottom"/>
            <w:hideMark/>
          </w:tcPr>
          <w:p w14:paraId="028069DC" w14:textId="77777777" w:rsidR="00000000" w:rsidRDefault="00195E73">
            <w:pPr>
              <w:jc w:val="center"/>
              <w:rPr>
                <w:rFonts w:eastAsia="Times New Roman"/>
              </w:rPr>
            </w:pPr>
            <w:r>
              <w:rPr>
                <w:rFonts w:eastAsia="Times New Roman"/>
                <w:color w:val="000000"/>
                <w:sz w:val="14"/>
                <w:szCs w:val="14"/>
              </w:rPr>
              <w:t>(Exact Name of Registrant as Specified in Its Charter</w:t>
            </w:r>
            <w:r>
              <w:rPr>
                <w:rFonts w:eastAsia="Times New Roman"/>
                <w:color w:val="000000"/>
                <w:sz w:val="14"/>
                <w:szCs w:val="14"/>
              </w:rPr>
              <w:t>)</w:t>
            </w:r>
          </w:p>
          <w:p w14:paraId="1369CD8E" w14:textId="77777777" w:rsidR="00000000" w:rsidRDefault="00195E73">
            <w:pPr>
              <w:jc w:val="center"/>
              <w:rPr>
                <w:rFonts w:eastAsia="Times New Roman"/>
              </w:rPr>
            </w:pPr>
            <w:r>
              <w:rPr>
                <w:rFonts w:eastAsia="Times New Roman"/>
                <w:color w:val="000000"/>
                <w:sz w:val="14"/>
                <w:szCs w:val="14"/>
              </w:rPr>
              <w:t>(Address of Principal Executive Offices) (Zip Code</w:t>
            </w:r>
            <w:r>
              <w:rPr>
                <w:rFonts w:eastAsia="Times New Roman"/>
                <w:color w:val="000000"/>
                <w:sz w:val="14"/>
                <w:szCs w:val="14"/>
              </w:rPr>
              <w:t>)</w:t>
            </w:r>
          </w:p>
          <w:p w14:paraId="5CFF6FA4" w14:textId="77777777" w:rsidR="00000000" w:rsidRDefault="00195E73">
            <w:pPr>
              <w:jc w:val="center"/>
              <w:rPr>
                <w:rFonts w:eastAsia="Times New Roman"/>
              </w:rPr>
            </w:pPr>
            <w:r>
              <w:rPr>
                <w:rFonts w:eastAsia="Times New Roman"/>
                <w:color w:val="000000"/>
                <w:sz w:val="14"/>
                <w:szCs w:val="14"/>
              </w:rPr>
              <w:t>(Telephone Number</w:t>
            </w:r>
            <w:r>
              <w:rPr>
                <w:rFonts w:eastAsia="Times New Roman"/>
                <w:color w:val="000000"/>
                <w:sz w:val="14"/>
                <w:szCs w:val="14"/>
              </w:rPr>
              <w:t>)</w:t>
            </w:r>
          </w:p>
        </w:tc>
        <w:tc>
          <w:tcPr>
            <w:tcW w:w="0" w:type="auto"/>
            <w:gridSpan w:val="3"/>
            <w:tcMar>
              <w:top w:w="30" w:type="dxa"/>
              <w:left w:w="20" w:type="dxa"/>
              <w:bottom w:w="30" w:type="dxa"/>
              <w:right w:w="20" w:type="dxa"/>
            </w:tcMar>
            <w:vAlign w:val="bottom"/>
            <w:hideMark/>
          </w:tcPr>
          <w:p w14:paraId="4E6ADA1E" w14:textId="77777777" w:rsidR="00000000" w:rsidRDefault="00195E73">
            <w:pPr>
              <w:jc w:val="center"/>
              <w:rPr>
                <w:rFonts w:eastAsia="Times New Roman"/>
              </w:rPr>
            </w:pPr>
            <w:r>
              <w:rPr>
                <w:rFonts w:eastAsia="Times New Roman"/>
                <w:color w:val="000000"/>
                <w:sz w:val="14"/>
                <w:szCs w:val="14"/>
              </w:rPr>
              <w:t>(State or Other Jurisdiction of Incorporation or Organization</w:t>
            </w:r>
            <w:r>
              <w:rPr>
                <w:rFonts w:eastAsia="Times New Roman"/>
                <w:color w:val="000000"/>
                <w:sz w:val="14"/>
                <w:szCs w:val="14"/>
              </w:rPr>
              <w:t>)</w:t>
            </w:r>
          </w:p>
        </w:tc>
        <w:tc>
          <w:tcPr>
            <w:tcW w:w="0" w:type="auto"/>
            <w:gridSpan w:val="3"/>
            <w:tcMar>
              <w:top w:w="30" w:type="dxa"/>
              <w:left w:w="20" w:type="dxa"/>
              <w:bottom w:w="30" w:type="dxa"/>
              <w:right w:w="20" w:type="dxa"/>
            </w:tcMar>
            <w:vAlign w:val="bottom"/>
            <w:hideMark/>
          </w:tcPr>
          <w:p w14:paraId="743E8E2E" w14:textId="77777777" w:rsidR="00000000" w:rsidRDefault="00195E73">
            <w:pPr>
              <w:jc w:val="center"/>
              <w:rPr>
                <w:rFonts w:eastAsia="Times New Roman"/>
              </w:rPr>
            </w:pPr>
            <w:r>
              <w:rPr>
                <w:rFonts w:eastAsia="Times New Roman"/>
                <w:color w:val="000000"/>
                <w:sz w:val="14"/>
                <w:szCs w:val="14"/>
              </w:rPr>
              <w:t>(IRS Employer Identification No.</w:t>
            </w:r>
            <w:r>
              <w:rPr>
                <w:rFonts w:eastAsia="Times New Roman"/>
                <w:color w:val="000000"/>
                <w:sz w:val="14"/>
                <w:szCs w:val="14"/>
              </w:rPr>
              <w:t>)</w:t>
            </w:r>
          </w:p>
        </w:tc>
      </w:tr>
      <w:tr w:rsidR="00000000" w14:paraId="2493ABCF" w14:textId="77777777">
        <w:trPr>
          <w:divId w:val="305163807"/>
        </w:trPr>
        <w:tc>
          <w:tcPr>
            <w:tcW w:w="0" w:type="auto"/>
            <w:gridSpan w:val="3"/>
            <w:tcMar>
              <w:top w:w="30" w:type="dxa"/>
              <w:left w:w="20" w:type="dxa"/>
              <w:bottom w:w="30" w:type="dxa"/>
              <w:right w:w="20" w:type="dxa"/>
            </w:tcMar>
            <w:vAlign w:val="bottom"/>
            <w:hideMark/>
          </w:tcPr>
          <w:p w14:paraId="4C070B3D" w14:textId="77777777" w:rsidR="00000000" w:rsidRDefault="00195E73">
            <w:pPr>
              <w:jc w:val="center"/>
              <w:rPr>
                <w:rFonts w:eastAsia="Times New Roman"/>
              </w:rPr>
            </w:pPr>
            <w:r>
              <w:rPr>
                <w:rFonts w:eastAsia="Times New Roman"/>
                <w:b/>
                <w:bCs/>
                <w:color w:val="000000"/>
                <w:sz w:val="16"/>
                <w:szCs w:val="16"/>
              </w:rPr>
              <w:t>001-0951</w:t>
            </w:r>
            <w:r>
              <w:rPr>
                <w:rFonts w:eastAsia="Times New Roman"/>
                <w:b/>
                <w:bCs/>
                <w:color w:val="000000"/>
                <w:sz w:val="16"/>
                <w:szCs w:val="16"/>
              </w:rPr>
              <w:t>6</w:t>
            </w:r>
          </w:p>
        </w:tc>
        <w:tc>
          <w:tcPr>
            <w:tcW w:w="0" w:type="auto"/>
            <w:gridSpan w:val="3"/>
            <w:tcMar>
              <w:top w:w="30" w:type="dxa"/>
              <w:left w:w="20" w:type="dxa"/>
              <w:bottom w:w="30" w:type="dxa"/>
              <w:right w:w="20" w:type="dxa"/>
            </w:tcMar>
            <w:vAlign w:val="bottom"/>
            <w:hideMark/>
          </w:tcPr>
          <w:p w14:paraId="4547029E" w14:textId="77777777" w:rsidR="00000000" w:rsidRDefault="00195E73">
            <w:pPr>
              <w:jc w:val="center"/>
              <w:rPr>
                <w:rFonts w:eastAsia="Times New Roman"/>
              </w:rPr>
            </w:pPr>
            <w:r>
              <w:rPr>
                <w:rFonts w:eastAsia="Times New Roman"/>
                <w:b/>
                <w:bCs/>
                <w:color w:val="000000"/>
              </w:rPr>
              <w:t>ICAHN ENTERPRISES L.P</w:t>
            </w:r>
            <w:r>
              <w:rPr>
                <w:rFonts w:eastAsia="Times New Roman"/>
                <w:b/>
                <w:bCs/>
                <w:color w:val="000000"/>
              </w:rPr>
              <w:t>.</w:t>
            </w:r>
          </w:p>
        </w:tc>
        <w:tc>
          <w:tcPr>
            <w:tcW w:w="0" w:type="auto"/>
            <w:gridSpan w:val="3"/>
            <w:tcMar>
              <w:top w:w="30" w:type="dxa"/>
              <w:left w:w="20" w:type="dxa"/>
              <w:bottom w:w="30" w:type="dxa"/>
              <w:right w:w="20" w:type="dxa"/>
            </w:tcMar>
            <w:vAlign w:val="bottom"/>
            <w:hideMark/>
          </w:tcPr>
          <w:p w14:paraId="503C50F9" w14:textId="77777777" w:rsidR="00000000" w:rsidRDefault="00195E73">
            <w:pPr>
              <w:jc w:val="center"/>
              <w:rPr>
                <w:rFonts w:eastAsia="Times New Roman"/>
              </w:rPr>
            </w:pPr>
            <w:r>
              <w:rPr>
                <w:rFonts w:eastAsia="Times New Roman"/>
                <w:b/>
                <w:bCs/>
                <w:color w:val="000000"/>
                <w:sz w:val="16"/>
                <w:szCs w:val="16"/>
              </w:rPr>
              <w:t>Delawar</w:t>
            </w:r>
            <w:r>
              <w:rPr>
                <w:rFonts w:eastAsia="Times New Roman"/>
                <w:b/>
                <w:bCs/>
                <w:color w:val="000000"/>
                <w:sz w:val="16"/>
                <w:szCs w:val="16"/>
              </w:rPr>
              <w:t>e</w:t>
            </w:r>
          </w:p>
        </w:tc>
        <w:tc>
          <w:tcPr>
            <w:tcW w:w="0" w:type="auto"/>
            <w:gridSpan w:val="3"/>
            <w:tcMar>
              <w:top w:w="30" w:type="dxa"/>
              <w:left w:w="20" w:type="dxa"/>
              <w:bottom w:w="30" w:type="dxa"/>
              <w:right w:w="20" w:type="dxa"/>
            </w:tcMar>
            <w:vAlign w:val="bottom"/>
            <w:hideMark/>
          </w:tcPr>
          <w:p w14:paraId="34FB37AD" w14:textId="77777777" w:rsidR="00000000" w:rsidRDefault="00195E73">
            <w:pPr>
              <w:jc w:val="center"/>
              <w:rPr>
                <w:rFonts w:eastAsia="Times New Roman"/>
              </w:rPr>
            </w:pPr>
            <w:r>
              <w:rPr>
                <w:rFonts w:eastAsia="Times New Roman"/>
                <w:b/>
                <w:bCs/>
                <w:color w:val="000000"/>
                <w:sz w:val="16"/>
                <w:szCs w:val="16"/>
              </w:rPr>
              <w:t>13-339876</w:t>
            </w:r>
            <w:r>
              <w:rPr>
                <w:rFonts w:eastAsia="Times New Roman"/>
                <w:b/>
                <w:bCs/>
                <w:color w:val="000000"/>
                <w:sz w:val="16"/>
                <w:szCs w:val="16"/>
              </w:rPr>
              <w:t>6</w:t>
            </w:r>
          </w:p>
        </w:tc>
      </w:tr>
    </w:tbl>
    <w:p w14:paraId="5032F45F" w14:textId="77777777" w:rsidR="00000000" w:rsidRDefault="00195E73">
      <w:pPr>
        <w:jc w:val="center"/>
        <w:rPr>
          <w:rFonts w:eastAsia="Times New Roman"/>
        </w:rPr>
      </w:pPr>
      <w:r>
        <w:rPr>
          <w:rFonts w:eastAsia="Times New Roman"/>
          <w:b/>
          <w:bCs/>
          <w:color w:val="000000"/>
          <w:sz w:val="16"/>
          <w:szCs w:val="16"/>
        </w:rPr>
        <w:t>767 Fifth Avenue, Suite 4700</w:t>
      </w:r>
      <w:r>
        <w:rPr>
          <w:rFonts w:eastAsia="Times New Roman"/>
          <w:b/>
          <w:bCs/>
          <w:color w:val="000000"/>
          <w:sz w:val="16"/>
          <w:szCs w:val="16"/>
        </w:rPr>
        <w:t xml:space="preserve"> </w:t>
      </w:r>
    </w:p>
    <w:p w14:paraId="4DD5C7FD" w14:textId="77777777" w:rsidR="00000000" w:rsidRDefault="00195E73">
      <w:pPr>
        <w:jc w:val="center"/>
        <w:rPr>
          <w:rFonts w:eastAsia="Times New Roman"/>
        </w:rPr>
      </w:pPr>
      <w:r>
        <w:rPr>
          <w:rFonts w:eastAsia="Times New Roman"/>
          <w:b/>
          <w:bCs/>
          <w:color w:val="000000"/>
          <w:sz w:val="16"/>
          <w:szCs w:val="16"/>
        </w:rPr>
        <w:t>New York, NY 10153</w:t>
      </w:r>
      <w:r>
        <w:rPr>
          <w:rFonts w:eastAsia="Times New Roman"/>
          <w:b/>
          <w:bCs/>
          <w:color w:val="000000"/>
          <w:sz w:val="16"/>
          <w:szCs w:val="16"/>
        </w:rPr>
        <w:t xml:space="preserve"> </w:t>
      </w:r>
    </w:p>
    <w:p w14:paraId="1D6608D5" w14:textId="77777777" w:rsidR="00000000" w:rsidRDefault="00195E73">
      <w:pPr>
        <w:jc w:val="center"/>
        <w:rPr>
          <w:rFonts w:eastAsia="Times New Roman"/>
        </w:rPr>
      </w:pPr>
      <w:r>
        <w:rPr>
          <w:rFonts w:eastAsia="Times New Roman"/>
          <w:b/>
          <w:bCs/>
          <w:color w:val="000000"/>
          <w:sz w:val="18"/>
          <w:szCs w:val="18"/>
        </w:rPr>
        <w:t>(212</w:t>
      </w:r>
      <w:r>
        <w:rPr>
          <w:rFonts w:eastAsia="Times New Roman"/>
          <w:b/>
          <w:bCs/>
          <w:color w:val="000000"/>
          <w:sz w:val="18"/>
          <w:szCs w:val="18"/>
        </w:rPr>
        <w:t>)</w:t>
      </w:r>
      <w:r>
        <w:rPr>
          <w:rFonts w:eastAsia="Times New Roman"/>
          <w:b/>
          <w:bCs/>
          <w:color w:val="000000"/>
          <w:sz w:val="16"/>
          <w:szCs w:val="16"/>
        </w:rPr>
        <w:t xml:space="preserve"> 702-4300</w:t>
      </w:r>
      <w:r>
        <w:rPr>
          <w:rFonts w:eastAsia="Times New Roman"/>
          <w:b/>
          <w:bCs/>
          <w:color w:val="000000"/>
          <w:sz w:val="16"/>
          <w:szCs w:val="16"/>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4"/>
        <w:gridCol w:w="1934"/>
        <w:gridCol w:w="83"/>
        <w:gridCol w:w="83"/>
        <w:gridCol w:w="3939"/>
        <w:gridCol w:w="83"/>
        <w:gridCol w:w="83"/>
        <w:gridCol w:w="884"/>
        <w:gridCol w:w="83"/>
        <w:gridCol w:w="83"/>
        <w:gridCol w:w="884"/>
        <w:gridCol w:w="83"/>
      </w:tblGrid>
      <w:tr w:rsidR="00000000" w14:paraId="1C88F85E" w14:textId="77777777">
        <w:trPr>
          <w:divId w:val="401217140"/>
        </w:trPr>
        <w:tc>
          <w:tcPr>
            <w:tcW w:w="50" w:type="pct"/>
            <w:vAlign w:val="center"/>
            <w:hideMark/>
          </w:tcPr>
          <w:p w14:paraId="6E6D97A3" w14:textId="77777777" w:rsidR="00000000" w:rsidRDefault="00195E73">
            <w:pPr>
              <w:jc w:val="center"/>
              <w:rPr>
                <w:rFonts w:eastAsia="Times New Roman"/>
              </w:rPr>
            </w:pPr>
          </w:p>
        </w:tc>
        <w:tc>
          <w:tcPr>
            <w:tcW w:w="1164" w:type="pct"/>
            <w:vAlign w:val="center"/>
            <w:hideMark/>
          </w:tcPr>
          <w:p w14:paraId="7D5F3442" w14:textId="77777777" w:rsidR="00000000" w:rsidRDefault="00195E73">
            <w:pPr>
              <w:rPr>
                <w:rFonts w:eastAsia="Times New Roman"/>
                <w:sz w:val="20"/>
                <w:szCs w:val="20"/>
              </w:rPr>
            </w:pPr>
          </w:p>
        </w:tc>
        <w:tc>
          <w:tcPr>
            <w:tcW w:w="50" w:type="pct"/>
            <w:vAlign w:val="center"/>
            <w:hideMark/>
          </w:tcPr>
          <w:p w14:paraId="4864C57B" w14:textId="77777777" w:rsidR="00000000" w:rsidRDefault="00195E73">
            <w:pPr>
              <w:rPr>
                <w:rFonts w:eastAsia="Times New Roman"/>
                <w:sz w:val="20"/>
                <w:szCs w:val="20"/>
              </w:rPr>
            </w:pPr>
          </w:p>
        </w:tc>
        <w:tc>
          <w:tcPr>
            <w:tcW w:w="50" w:type="pct"/>
            <w:vAlign w:val="center"/>
            <w:hideMark/>
          </w:tcPr>
          <w:p w14:paraId="5CF8E31D" w14:textId="77777777" w:rsidR="00000000" w:rsidRDefault="00195E73">
            <w:pPr>
              <w:rPr>
                <w:rFonts w:eastAsia="Times New Roman"/>
                <w:sz w:val="20"/>
                <w:szCs w:val="20"/>
              </w:rPr>
            </w:pPr>
          </w:p>
        </w:tc>
        <w:tc>
          <w:tcPr>
            <w:tcW w:w="2371" w:type="pct"/>
            <w:vAlign w:val="center"/>
            <w:hideMark/>
          </w:tcPr>
          <w:p w14:paraId="532DAACC" w14:textId="77777777" w:rsidR="00000000" w:rsidRDefault="00195E73">
            <w:pPr>
              <w:rPr>
                <w:rFonts w:eastAsia="Times New Roman"/>
                <w:sz w:val="20"/>
                <w:szCs w:val="20"/>
              </w:rPr>
            </w:pPr>
          </w:p>
        </w:tc>
        <w:tc>
          <w:tcPr>
            <w:tcW w:w="50" w:type="pct"/>
            <w:vAlign w:val="center"/>
            <w:hideMark/>
          </w:tcPr>
          <w:p w14:paraId="19FE3718" w14:textId="77777777" w:rsidR="00000000" w:rsidRDefault="00195E73">
            <w:pPr>
              <w:rPr>
                <w:rFonts w:eastAsia="Times New Roman"/>
                <w:sz w:val="20"/>
                <w:szCs w:val="20"/>
              </w:rPr>
            </w:pPr>
          </w:p>
        </w:tc>
        <w:tc>
          <w:tcPr>
            <w:tcW w:w="50" w:type="pct"/>
            <w:vAlign w:val="center"/>
            <w:hideMark/>
          </w:tcPr>
          <w:p w14:paraId="4894452C" w14:textId="77777777" w:rsidR="00000000" w:rsidRDefault="00195E73">
            <w:pPr>
              <w:rPr>
                <w:rFonts w:eastAsia="Times New Roman"/>
                <w:sz w:val="20"/>
                <w:szCs w:val="20"/>
              </w:rPr>
            </w:pPr>
          </w:p>
        </w:tc>
        <w:tc>
          <w:tcPr>
            <w:tcW w:w="532" w:type="pct"/>
            <w:vAlign w:val="center"/>
            <w:hideMark/>
          </w:tcPr>
          <w:p w14:paraId="7B2E7E53" w14:textId="77777777" w:rsidR="00000000" w:rsidRDefault="00195E73">
            <w:pPr>
              <w:rPr>
                <w:rFonts w:eastAsia="Times New Roman"/>
                <w:sz w:val="20"/>
                <w:szCs w:val="20"/>
              </w:rPr>
            </w:pPr>
          </w:p>
        </w:tc>
        <w:tc>
          <w:tcPr>
            <w:tcW w:w="50" w:type="pct"/>
            <w:vAlign w:val="center"/>
            <w:hideMark/>
          </w:tcPr>
          <w:p w14:paraId="41B13215" w14:textId="77777777" w:rsidR="00000000" w:rsidRDefault="00195E73">
            <w:pPr>
              <w:rPr>
                <w:rFonts w:eastAsia="Times New Roman"/>
                <w:sz w:val="20"/>
                <w:szCs w:val="20"/>
              </w:rPr>
            </w:pPr>
          </w:p>
        </w:tc>
        <w:tc>
          <w:tcPr>
            <w:tcW w:w="50" w:type="pct"/>
            <w:vAlign w:val="center"/>
            <w:hideMark/>
          </w:tcPr>
          <w:p w14:paraId="45DB3A40" w14:textId="77777777" w:rsidR="00000000" w:rsidRDefault="00195E73">
            <w:pPr>
              <w:rPr>
                <w:rFonts w:eastAsia="Times New Roman"/>
                <w:sz w:val="20"/>
                <w:szCs w:val="20"/>
              </w:rPr>
            </w:pPr>
          </w:p>
        </w:tc>
        <w:tc>
          <w:tcPr>
            <w:tcW w:w="532" w:type="pct"/>
            <w:vAlign w:val="center"/>
            <w:hideMark/>
          </w:tcPr>
          <w:p w14:paraId="0656954D" w14:textId="77777777" w:rsidR="00000000" w:rsidRDefault="00195E73">
            <w:pPr>
              <w:rPr>
                <w:rFonts w:eastAsia="Times New Roman"/>
                <w:sz w:val="20"/>
                <w:szCs w:val="20"/>
              </w:rPr>
            </w:pPr>
          </w:p>
        </w:tc>
        <w:tc>
          <w:tcPr>
            <w:tcW w:w="50" w:type="pct"/>
            <w:vAlign w:val="center"/>
            <w:hideMark/>
          </w:tcPr>
          <w:p w14:paraId="42AA5B9A" w14:textId="77777777" w:rsidR="00000000" w:rsidRDefault="00195E73">
            <w:pPr>
              <w:rPr>
                <w:rFonts w:eastAsia="Times New Roman"/>
                <w:sz w:val="20"/>
                <w:szCs w:val="20"/>
              </w:rPr>
            </w:pPr>
          </w:p>
        </w:tc>
      </w:tr>
      <w:tr w:rsidR="00000000" w14:paraId="0BE10B8E" w14:textId="77777777">
        <w:trPr>
          <w:divId w:val="401217140"/>
        </w:trPr>
        <w:tc>
          <w:tcPr>
            <w:tcW w:w="0" w:type="auto"/>
            <w:gridSpan w:val="3"/>
            <w:tcMar>
              <w:top w:w="30" w:type="dxa"/>
              <w:left w:w="20" w:type="dxa"/>
              <w:bottom w:w="30" w:type="dxa"/>
              <w:right w:w="20" w:type="dxa"/>
            </w:tcMar>
            <w:vAlign w:val="bottom"/>
            <w:hideMark/>
          </w:tcPr>
          <w:p w14:paraId="4DACE452" w14:textId="77777777" w:rsidR="00000000" w:rsidRDefault="00195E73">
            <w:pPr>
              <w:jc w:val="center"/>
              <w:rPr>
                <w:rFonts w:eastAsia="Times New Roman"/>
              </w:rPr>
            </w:pPr>
            <w:r>
              <w:rPr>
                <w:rFonts w:eastAsia="Times New Roman"/>
                <w:b/>
                <w:bCs/>
                <w:color w:val="000000"/>
                <w:sz w:val="16"/>
                <w:szCs w:val="16"/>
              </w:rPr>
              <w:t>333-118021-0</w:t>
            </w:r>
            <w:r>
              <w:rPr>
                <w:rFonts w:eastAsia="Times New Roman"/>
                <w:b/>
                <w:bCs/>
                <w:color w:val="000000"/>
                <w:sz w:val="16"/>
                <w:szCs w:val="16"/>
              </w:rPr>
              <w:t>1</w:t>
            </w:r>
          </w:p>
        </w:tc>
        <w:tc>
          <w:tcPr>
            <w:tcW w:w="0" w:type="auto"/>
            <w:gridSpan w:val="3"/>
            <w:tcMar>
              <w:top w:w="30" w:type="dxa"/>
              <w:left w:w="20" w:type="dxa"/>
              <w:bottom w:w="30" w:type="dxa"/>
              <w:right w:w="20" w:type="dxa"/>
            </w:tcMar>
            <w:vAlign w:val="bottom"/>
            <w:hideMark/>
          </w:tcPr>
          <w:p w14:paraId="7CC00423" w14:textId="77777777" w:rsidR="00000000" w:rsidRDefault="00195E73">
            <w:pPr>
              <w:jc w:val="center"/>
              <w:rPr>
                <w:rFonts w:eastAsia="Times New Roman"/>
              </w:rPr>
            </w:pPr>
            <w:r>
              <w:rPr>
                <w:rFonts w:eastAsia="Times New Roman"/>
                <w:b/>
                <w:bCs/>
                <w:color w:val="000000"/>
              </w:rPr>
              <w:t>ICAHN ENTERPRISES HOLDINGS L.P</w:t>
            </w:r>
            <w:r>
              <w:rPr>
                <w:rFonts w:eastAsia="Times New Roman"/>
                <w:b/>
                <w:bCs/>
                <w:color w:val="000000"/>
              </w:rPr>
              <w:t>.</w:t>
            </w:r>
          </w:p>
        </w:tc>
        <w:tc>
          <w:tcPr>
            <w:tcW w:w="0" w:type="auto"/>
            <w:gridSpan w:val="3"/>
            <w:tcMar>
              <w:top w:w="30" w:type="dxa"/>
              <w:left w:w="20" w:type="dxa"/>
              <w:bottom w:w="30" w:type="dxa"/>
              <w:right w:w="20" w:type="dxa"/>
            </w:tcMar>
            <w:vAlign w:val="bottom"/>
            <w:hideMark/>
          </w:tcPr>
          <w:p w14:paraId="6D6BB78F" w14:textId="77777777" w:rsidR="00000000" w:rsidRDefault="00195E73">
            <w:pPr>
              <w:jc w:val="center"/>
              <w:rPr>
                <w:rFonts w:eastAsia="Times New Roman"/>
              </w:rPr>
            </w:pPr>
            <w:r>
              <w:rPr>
                <w:rFonts w:eastAsia="Times New Roman"/>
                <w:b/>
                <w:bCs/>
                <w:color w:val="000000"/>
                <w:sz w:val="16"/>
                <w:szCs w:val="16"/>
              </w:rPr>
              <w:t>Delawar</w:t>
            </w:r>
            <w:r>
              <w:rPr>
                <w:rFonts w:eastAsia="Times New Roman"/>
                <w:b/>
                <w:bCs/>
                <w:color w:val="000000"/>
                <w:sz w:val="16"/>
                <w:szCs w:val="16"/>
              </w:rPr>
              <w:t>e</w:t>
            </w:r>
          </w:p>
        </w:tc>
        <w:tc>
          <w:tcPr>
            <w:tcW w:w="0" w:type="auto"/>
            <w:gridSpan w:val="3"/>
            <w:tcMar>
              <w:top w:w="30" w:type="dxa"/>
              <w:left w:w="20" w:type="dxa"/>
              <w:bottom w:w="30" w:type="dxa"/>
              <w:right w:w="20" w:type="dxa"/>
            </w:tcMar>
            <w:vAlign w:val="bottom"/>
            <w:hideMark/>
          </w:tcPr>
          <w:p w14:paraId="586DEB19" w14:textId="77777777" w:rsidR="00000000" w:rsidRDefault="00195E73">
            <w:pPr>
              <w:jc w:val="center"/>
              <w:rPr>
                <w:rFonts w:eastAsia="Times New Roman"/>
              </w:rPr>
            </w:pPr>
            <w:r>
              <w:rPr>
                <w:rFonts w:eastAsia="Times New Roman"/>
                <w:b/>
                <w:bCs/>
                <w:color w:val="000000"/>
                <w:sz w:val="16"/>
                <w:szCs w:val="16"/>
              </w:rPr>
              <w:t>13-339876</w:t>
            </w:r>
            <w:r>
              <w:rPr>
                <w:rFonts w:eastAsia="Times New Roman"/>
                <w:b/>
                <w:bCs/>
                <w:color w:val="000000"/>
                <w:sz w:val="16"/>
                <w:szCs w:val="16"/>
              </w:rPr>
              <w:t>7</w:t>
            </w:r>
          </w:p>
        </w:tc>
      </w:tr>
    </w:tbl>
    <w:p w14:paraId="53850886" w14:textId="77777777" w:rsidR="00000000" w:rsidRDefault="00195E73">
      <w:pPr>
        <w:jc w:val="center"/>
        <w:rPr>
          <w:rFonts w:eastAsia="Times New Roman"/>
        </w:rPr>
      </w:pPr>
      <w:r>
        <w:rPr>
          <w:rFonts w:eastAsia="Times New Roman"/>
          <w:b/>
          <w:bCs/>
          <w:color w:val="000000"/>
          <w:sz w:val="16"/>
          <w:szCs w:val="16"/>
        </w:rPr>
        <w:t>767 Fifth Avenue, Suite 4700</w:t>
      </w:r>
      <w:r>
        <w:rPr>
          <w:rFonts w:eastAsia="Times New Roman"/>
          <w:b/>
          <w:bCs/>
          <w:color w:val="000000"/>
          <w:sz w:val="16"/>
          <w:szCs w:val="16"/>
        </w:rPr>
        <w:t xml:space="preserve"> </w:t>
      </w:r>
    </w:p>
    <w:p w14:paraId="31A4D087" w14:textId="77777777" w:rsidR="00000000" w:rsidRDefault="00195E73">
      <w:pPr>
        <w:jc w:val="center"/>
        <w:rPr>
          <w:rFonts w:eastAsia="Times New Roman"/>
        </w:rPr>
      </w:pPr>
      <w:r>
        <w:rPr>
          <w:rFonts w:eastAsia="Times New Roman"/>
          <w:b/>
          <w:bCs/>
          <w:color w:val="000000"/>
          <w:sz w:val="16"/>
          <w:szCs w:val="16"/>
        </w:rPr>
        <w:t>New York, NY 10153</w:t>
      </w:r>
      <w:r>
        <w:rPr>
          <w:rFonts w:eastAsia="Times New Roman"/>
          <w:b/>
          <w:bCs/>
          <w:color w:val="000000"/>
          <w:sz w:val="16"/>
          <w:szCs w:val="16"/>
        </w:rPr>
        <w:t xml:space="preserve"> </w:t>
      </w:r>
    </w:p>
    <w:p w14:paraId="1AE08856" w14:textId="77777777" w:rsidR="00000000" w:rsidRDefault="00195E73">
      <w:pPr>
        <w:jc w:val="center"/>
        <w:rPr>
          <w:rFonts w:eastAsia="Times New Roman"/>
        </w:rPr>
      </w:pPr>
      <w:r>
        <w:rPr>
          <w:rFonts w:eastAsia="Times New Roman"/>
          <w:b/>
          <w:bCs/>
          <w:color w:val="000000"/>
          <w:sz w:val="18"/>
          <w:szCs w:val="18"/>
        </w:rPr>
        <w:t>(212</w:t>
      </w:r>
      <w:r>
        <w:rPr>
          <w:rFonts w:eastAsia="Times New Roman"/>
          <w:b/>
          <w:bCs/>
          <w:color w:val="000000"/>
          <w:sz w:val="18"/>
          <w:szCs w:val="18"/>
        </w:rPr>
        <w:t>)</w:t>
      </w:r>
      <w:r>
        <w:rPr>
          <w:rFonts w:eastAsia="Times New Roman"/>
          <w:b/>
          <w:bCs/>
          <w:color w:val="000000"/>
          <w:sz w:val="16"/>
          <w:szCs w:val="16"/>
        </w:rPr>
        <w:t xml:space="preserve"> 702-4300</w:t>
      </w:r>
      <w:r>
        <w:rPr>
          <w:rFonts w:eastAsia="Times New Roman"/>
          <w:b/>
          <w:bCs/>
          <w:color w:val="000000"/>
          <w:sz w:val="16"/>
          <w:szCs w:val="16"/>
        </w:rPr>
        <w:t xml:space="preserve"> </w:t>
      </w:r>
    </w:p>
    <w:p w14:paraId="32DB150C" w14:textId="77777777" w:rsidR="00000000" w:rsidRDefault="00195E73">
      <w:pPr>
        <w:jc w:val="center"/>
        <w:divId w:val="1798252803"/>
        <w:rPr>
          <w:rFonts w:eastAsia="Times New Roman"/>
        </w:rPr>
      </w:pPr>
      <w:r>
        <w:rPr>
          <w:rFonts w:eastAsia="Times New Roman"/>
          <w:color w:val="000000"/>
          <w:sz w:val="16"/>
          <w:szCs w:val="16"/>
        </w:rPr>
        <w:t>Securities registered pursuant to Section 12(b) of the Act</w:t>
      </w:r>
      <w:r>
        <w:rPr>
          <w:rFonts w:eastAsia="Times New Roman"/>
          <w:color w:val="000000"/>
          <w:sz w:val="16"/>
          <w:szCs w:val="16"/>
        </w:rPr>
        <w:t>:</w:t>
      </w:r>
    </w:p>
    <w:tbl>
      <w:tblPr>
        <w:tblW w:w="5000" w:type="pct"/>
        <w:tblCellMar>
          <w:top w:w="15" w:type="dxa"/>
          <w:left w:w="15" w:type="dxa"/>
          <w:bottom w:w="15" w:type="dxa"/>
          <w:right w:w="15" w:type="dxa"/>
        </w:tblCellMar>
        <w:tblLook w:val="04A0" w:firstRow="1" w:lastRow="0" w:firstColumn="1" w:lastColumn="0" w:noHBand="0" w:noVBand="1"/>
      </w:tblPr>
      <w:tblGrid>
        <w:gridCol w:w="73"/>
        <w:gridCol w:w="3020"/>
        <w:gridCol w:w="73"/>
        <w:gridCol w:w="36"/>
        <w:gridCol w:w="36"/>
        <w:gridCol w:w="36"/>
        <w:gridCol w:w="71"/>
        <w:gridCol w:w="1525"/>
        <w:gridCol w:w="74"/>
        <w:gridCol w:w="36"/>
        <w:gridCol w:w="36"/>
        <w:gridCol w:w="36"/>
        <w:gridCol w:w="73"/>
        <w:gridCol w:w="1184"/>
        <w:gridCol w:w="74"/>
        <w:gridCol w:w="74"/>
        <w:gridCol w:w="1667"/>
        <w:gridCol w:w="74"/>
        <w:gridCol w:w="36"/>
        <w:gridCol w:w="36"/>
        <w:gridCol w:w="36"/>
      </w:tblGrid>
      <w:tr w:rsidR="00000000" w14:paraId="482C87BF" w14:textId="77777777">
        <w:trPr>
          <w:gridAfter w:val="3"/>
          <w:divId w:val="1289815588"/>
        </w:trPr>
        <w:tc>
          <w:tcPr>
            <w:tcW w:w="50" w:type="pct"/>
            <w:vAlign w:val="center"/>
            <w:hideMark/>
          </w:tcPr>
          <w:p w14:paraId="19C343FB" w14:textId="77777777" w:rsidR="00000000" w:rsidRDefault="00195E73">
            <w:pPr>
              <w:jc w:val="center"/>
              <w:rPr>
                <w:rFonts w:eastAsia="Times New Roman"/>
              </w:rPr>
            </w:pPr>
          </w:p>
        </w:tc>
        <w:tc>
          <w:tcPr>
            <w:tcW w:w="1846" w:type="pct"/>
            <w:vAlign w:val="center"/>
            <w:hideMark/>
          </w:tcPr>
          <w:p w14:paraId="7313A6C2" w14:textId="77777777" w:rsidR="00000000" w:rsidRDefault="00195E73">
            <w:pPr>
              <w:rPr>
                <w:rFonts w:eastAsia="Times New Roman"/>
                <w:sz w:val="20"/>
                <w:szCs w:val="20"/>
              </w:rPr>
            </w:pPr>
          </w:p>
        </w:tc>
        <w:tc>
          <w:tcPr>
            <w:tcW w:w="50" w:type="pct"/>
            <w:vAlign w:val="center"/>
            <w:hideMark/>
          </w:tcPr>
          <w:p w14:paraId="53F1519E" w14:textId="77777777" w:rsidR="00000000" w:rsidRDefault="00195E73">
            <w:pPr>
              <w:rPr>
                <w:rFonts w:eastAsia="Times New Roman"/>
                <w:sz w:val="20"/>
                <w:szCs w:val="20"/>
              </w:rPr>
            </w:pPr>
          </w:p>
        </w:tc>
        <w:tc>
          <w:tcPr>
            <w:tcW w:w="5" w:type="pct"/>
            <w:vAlign w:val="center"/>
            <w:hideMark/>
          </w:tcPr>
          <w:p w14:paraId="6BD4FF06" w14:textId="77777777" w:rsidR="00000000" w:rsidRDefault="00195E73">
            <w:pPr>
              <w:rPr>
                <w:rFonts w:eastAsia="Times New Roman"/>
                <w:sz w:val="20"/>
                <w:szCs w:val="20"/>
              </w:rPr>
            </w:pPr>
          </w:p>
        </w:tc>
        <w:tc>
          <w:tcPr>
            <w:tcW w:w="25" w:type="pct"/>
            <w:vAlign w:val="center"/>
            <w:hideMark/>
          </w:tcPr>
          <w:p w14:paraId="65488735" w14:textId="77777777" w:rsidR="00000000" w:rsidRDefault="00195E73">
            <w:pPr>
              <w:rPr>
                <w:rFonts w:eastAsia="Times New Roman"/>
                <w:sz w:val="20"/>
                <w:szCs w:val="20"/>
              </w:rPr>
            </w:pPr>
          </w:p>
        </w:tc>
        <w:tc>
          <w:tcPr>
            <w:tcW w:w="5" w:type="pct"/>
            <w:vAlign w:val="center"/>
            <w:hideMark/>
          </w:tcPr>
          <w:p w14:paraId="2A77EA2D" w14:textId="77777777" w:rsidR="00000000" w:rsidRDefault="00195E73">
            <w:pPr>
              <w:rPr>
                <w:rFonts w:eastAsia="Times New Roman"/>
                <w:sz w:val="20"/>
                <w:szCs w:val="20"/>
              </w:rPr>
            </w:pPr>
          </w:p>
        </w:tc>
        <w:tc>
          <w:tcPr>
            <w:tcW w:w="50" w:type="pct"/>
            <w:vAlign w:val="center"/>
            <w:hideMark/>
          </w:tcPr>
          <w:p w14:paraId="555F85BB" w14:textId="77777777" w:rsidR="00000000" w:rsidRDefault="00195E73">
            <w:pPr>
              <w:rPr>
                <w:rFonts w:eastAsia="Times New Roman"/>
                <w:sz w:val="20"/>
                <w:szCs w:val="20"/>
              </w:rPr>
            </w:pPr>
          </w:p>
        </w:tc>
        <w:tc>
          <w:tcPr>
            <w:tcW w:w="934" w:type="pct"/>
            <w:vAlign w:val="center"/>
            <w:hideMark/>
          </w:tcPr>
          <w:p w14:paraId="4C9A386A" w14:textId="77777777" w:rsidR="00000000" w:rsidRDefault="00195E73">
            <w:pPr>
              <w:rPr>
                <w:rFonts w:eastAsia="Times New Roman"/>
                <w:sz w:val="20"/>
                <w:szCs w:val="20"/>
              </w:rPr>
            </w:pPr>
          </w:p>
        </w:tc>
        <w:tc>
          <w:tcPr>
            <w:tcW w:w="50" w:type="pct"/>
            <w:vAlign w:val="center"/>
            <w:hideMark/>
          </w:tcPr>
          <w:p w14:paraId="53732069" w14:textId="77777777" w:rsidR="00000000" w:rsidRDefault="00195E73">
            <w:pPr>
              <w:rPr>
                <w:rFonts w:eastAsia="Times New Roman"/>
                <w:sz w:val="20"/>
                <w:szCs w:val="20"/>
              </w:rPr>
            </w:pPr>
          </w:p>
        </w:tc>
        <w:tc>
          <w:tcPr>
            <w:tcW w:w="5" w:type="pct"/>
            <w:vAlign w:val="center"/>
            <w:hideMark/>
          </w:tcPr>
          <w:p w14:paraId="02AF3730" w14:textId="77777777" w:rsidR="00000000" w:rsidRDefault="00195E73">
            <w:pPr>
              <w:rPr>
                <w:rFonts w:eastAsia="Times New Roman"/>
                <w:sz w:val="20"/>
                <w:szCs w:val="20"/>
              </w:rPr>
            </w:pPr>
          </w:p>
        </w:tc>
        <w:tc>
          <w:tcPr>
            <w:tcW w:w="25" w:type="pct"/>
            <w:vAlign w:val="center"/>
            <w:hideMark/>
          </w:tcPr>
          <w:p w14:paraId="16E4D427" w14:textId="77777777" w:rsidR="00000000" w:rsidRDefault="00195E73">
            <w:pPr>
              <w:rPr>
                <w:rFonts w:eastAsia="Times New Roman"/>
                <w:sz w:val="20"/>
                <w:szCs w:val="20"/>
              </w:rPr>
            </w:pPr>
          </w:p>
        </w:tc>
        <w:tc>
          <w:tcPr>
            <w:tcW w:w="5" w:type="pct"/>
            <w:vAlign w:val="center"/>
            <w:hideMark/>
          </w:tcPr>
          <w:p w14:paraId="63AB99FC" w14:textId="77777777" w:rsidR="00000000" w:rsidRDefault="00195E73">
            <w:pPr>
              <w:rPr>
                <w:rFonts w:eastAsia="Times New Roman"/>
                <w:sz w:val="20"/>
                <w:szCs w:val="20"/>
              </w:rPr>
            </w:pPr>
          </w:p>
        </w:tc>
        <w:tc>
          <w:tcPr>
            <w:tcW w:w="50" w:type="pct"/>
            <w:vAlign w:val="center"/>
            <w:hideMark/>
          </w:tcPr>
          <w:p w14:paraId="493F43C5" w14:textId="77777777" w:rsidR="00000000" w:rsidRDefault="00195E73">
            <w:pPr>
              <w:rPr>
                <w:rFonts w:eastAsia="Times New Roman"/>
                <w:sz w:val="20"/>
                <w:szCs w:val="20"/>
              </w:rPr>
            </w:pPr>
          </w:p>
        </w:tc>
        <w:tc>
          <w:tcPr>
            <w:tcW w:w="726" w:type="pct"/>
            <w:vAlign w:val="center"/>
            <w:hideMark/>
          </w:tcPr>
          <w:p w14:paraId="1B17B3A3" w14:textId="77777777" w:rsidR="00000000" w:rsidRDefault="00195E73">
            <w:pPr>
              <w:rPr>
                <w:rFonts w:eastAsia="Times New Roman"/>
                <w:sz w:val="20"/>
                <w:szCs w:val="20"/>
              </w:rPr>
            </w:pPr>
          </w:p>
        </w:tc>
        <w:tc>
          <w:tcPr>
            <w:tcW w:w="50" w:type="pct"/>
            <w:vAlign w:val="center"/>
            <w:hideMark/>
          </w:tcPr>
          <w:p w14:paraId="77532A3C" w14:textId="77777777" w:rsidR="00000000" w:rsidRDefault="00195E73">
            <w:pPr>
              <w:rPr>
                <w:rFonts w:eastAsia="Times New Roman"/>
                <w:sz w:val="20"/>
                <w:szCs w:val="20"/>
              </w:rPr>
            </w:pPr>
          </w:p>
        </w:tc>
        <w:tc>
          <w:tcPr>
            <w:tcW w:w="50" w:type="pct"/>
            <w:vAlign w:val="center"/>
            <w:hideMark/>
          </w:tcPr>
          <w:p w14:paraId="4C883E93" w14:textId="77777777" w:rsidR="00000000" w:rsidRDefault="00195E73">
            <w:pPr>
              <w:rPr>
                <w:rFonts w:eastAsia="Times New Roman"/>
                <w:sz w:val="20"/>
                <w:szCs w:val="20"/>
              </w:rPr>
            </w:pPr>
          </w:p>
        </w:tc>
        <w:tc>
          <w:tcPr>
            <w:tcW w:w="1020" w:type="pct"/>
            <w:vAlign w:val="center"/>
            <w:hideMark/>
          </w:tcPr>
          <w:p w14:paraId="21D57422" w14:textId="77777777" w:rsidR="00000000" w:rsidRDefault="00195E73">
            <w:pPr>
              <w:rPr>
                <w:rFonts w:eastAsia="Times New Roman"/>
                <w:sz w:val="20"/>
                <w:szCs w:val="20"/>
              </w:rPr>
            </w:pPr>
          </w:p>
        </w:tc>
        <w:tc>
          <w:tcPr>
            <w:tcW w:w="50" w:type="pct"/>
            <w:vAlign w:val="center"/>
            <w:hideMark/>
          </w:tcPr>
          <w:p w14:paraId="14D4F0F4" w14:textId="77777777" w:rsidR="00000000" w:rsidRDefault="00195E73">
            <w:pPr>
              <w:rPr>
                <w:rFonts w:eastAsia="Times New Roman"/>
                <w:sz w:val="20"/>
                <w:szCs w:val="20"/>
              </w:rPr>
            </w:pPr>
          </w:p>
        </w:tc>
      </w:tr>
      <w:tr w:rsidR="00000000" w14:paraId="0FA39AE0" w14:textId="77777777">
        <w:trPr>
          <w:divId w:val="1289815588"/>
        </w:trPr>
        <w:tc>
          <w:tcPr>
            <w:tcW w:w="0" w:type="auto"/>
            <w:gridSpan w:val="3"/>
            <w:tcMar>
              <w:top w:w="30" w:type="dxa"/>
              <w:left w:w="20" w:type="dxa"/>
              <w:bottom w:w="30" w:type="dxa"/>
              <w:right w:w="20" w:type="dxa"/>
            </w:tcMar>
            <w:vAlign w:val="bottom"/>
            <w:hideMark/>
          </w:tcPr>
          <w:p w14:paraId="6F6092AF" w14:textId="77777777" w:rsidR="00000000" w:rsidRDefault="00195E73">
            <w:pPr>
              <w:jc w:val="center"/>
              <w:rPr>
                <w:rFonts w:eastAsia="Times New Roman"/>
              </w:rPr>
            </w:pPr>
            <w:r>
              <w:rPr>
                <w:rFonts w:eastAsia="Times New Roman"/>
                <w:b/>
                <w:bCs/>
                <w:color w:val="000000"/>
                <w:sz w:val="16"/>
                <w:szCs w:val="16"/>
              </w:rPr>
              <w:t>Title of Each Clas</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14:paraId="66E83DC8" w14:textId="77777777" w:rsidR="00000000" w:rsidRDefault="00195E73">
            <w:pPr>
              <w:jc w:val="center"/>
              <w:rPr>
                <w:rFonts w:eastAsia="Times New Roman"/>
              </w:rPr>
            </w:pPr>
          </w:p>
        </w:tc>
        <w:tc>
          <w:tcPr>
            <w:tcW w:w="0" w:type="auto"/>
            <w:gridSpan w:val="3"/>
            <w:tcMar>
              <w:top w:w="30" w:type="dxa"/>
              <w:left w:w="20" w:type="dxa"/>
              <w:bottom w:w="30" w:type="dxa"/>
              <w:right w:w="20" w:type="dxa"/>
            </w:tcMar>
            <w:vAlign w:val="bottom"/>
            <w:hideMark/>
          </w:tcPr>
          <w:p w14:paraId="76970562" w14:textId="77777777" w:rsidR="00000000" w:rsidRDefault="00195E73">
            <w:pPr>
              <w:jc w:val="center"/>
              <w:rPr>
                <w:rFonts w:eastAsia="Times New Roman"/>
              </w:rPr>
            </w:pPr>
            <w:r>
              <w:rPr>
                <w:rFonts w:eastAsia="Times New Roman"/>
                <w:b/>
                <w:bCs/>
                <w:color w:val="000000"/>
                <w:sz w:val="16"/>
                <w:szCs w:val="16"/>
              </w:rPr>
              <w:t>Trading Symbol(s</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14:paraId="1AB677BD" w14:textId="77777777" w:rsidR="00000000" w:rsidRDefault="00195E73">
            <w:pPr>
              <w:jc w:val="center"/>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vAlign w:val="bottom"/>
            <w:hideMark/>
          </w:tcPr>
          <w:p w14:paraId="651C604E" w14:textId="77777777" w:rsidR="00000000" w:rsidRDefault="00195E73">
            <w:pPr>
              <w:jc w:val="center"/>
              <w:rPr>
                <w:rFonts w:eastAsia="Times New Roman"/>
              </w:rPr>
            </w:pPr>
            <w:r>
              <w:rPr>
                <w:rFonts w:eastAsia="Times New Roman"/>
                <w:b/>
                <w:bCs/>
                <w:color w:val="000000"/>
                <w:sz w:val="16"/>
                <w:szCs w:val="16"/>
              </w:rPr>
              <w:t>Name of Each Exchange on Which Registere</w:t>
            </w:r>
            <w:r>
              <w:rPr>
                <w:rFonts w:eastAsia="Times New Roman"/>
                <w:b/>
                <w:bCs/>
                <w:color w:val="000000"/>
                <w:sz w:val="16"/>
                <w:szCs w:val="16"/>
              </w:rPr>
              <w:t>d</w:t>
            </w:r>
          </w:p>
        </w:tc>
        <w:tc>
          <w:tcPr>
            <w:tcW w:w="0" w:type="auto"/>
            <w:gridSpan w:val="3"/>
            <w:vAlign w:val="center"/>
            <w:hideMark/>
          </w:tcPr>
          <w:p w14:paraId="0CA77797" w14:textId="77777777" w:rsidR="00000000" w:rsidRDefault="00195E73">
            <w:pPr>
              <w:jc w:val="center"/>
              <w:rPr>
                <w:rFonts w:eastAsia="Times New Roman"/>
              </w:rPr>
            </w:pPr>
          </w:p>
        </w:tc>
      </w:tr>
      <w:tr w:rsidR="00000000" w14:paraId="38934B14" w14:textId="77777777">
        <w:trPr>
          <w:divId w:val="1289815588"/>
        </w:trPr>
        <w:tc>
          <w:tcPr>
            <w:tcW w:w="0" w:type="auto"/>
            <w:gridSpan w:val="3"/>
            <w:tcBorders>
              <w:top w:val="single" w:sz="8" w:space="0" w:color="000000"/>
            </w:tcBorders>
            <w:tcMar>
              <w:top w:w="30" w:type="dxa"/>
              <w:left w:w="20" w:type="dxa"/>
              <w:bottom w:w="30" w:type="dxa"/>
              <w:right w:w="20" w:type="dxa"/>
            </w:tcMar>
            <w:vAlign w:val="bottom"/>
            <w:hideMark/>
          </w:tcPr>
          <w:p w14:paraId="12792DA3" w14:textId="77777777" w:rsidR="00000000" w:rsidRDefault="00195E73">
            <w:pPr>
              <w:jc w:val="center"/>
              <w:rPr>
                <w:rFonts w:eastAsia="Times New Roman"/>
              </w:rPr>
            </w:pPr>
            <w:r>
              <w:rPr>
                <w:rFonts w:eastAsia="Times New Roman"/>
                <w:color w:val="000000"/>
                <w:sz w:val="16"/>
                <w:szCs w:val="16"/>
              </w:rPr>
              <w:t xml:space="preserve">Depositary Units of Icahn Enterprises L.P. </w:t>
            </w:r>
            <w:r>
              <w:rPr>
                <w:rFonts w:eastAsia="Times New Roman"/>
                <w:color w:val="000000"/>
                <w:sz w:val="16"/>
                <w:szCs w:val="16"/>
              </w:rPr>
              <w:br/>
              <w:t>Representing Limited Partner Interest</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14:paraId="4DD88AC6"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0750AF7D" w14:textId="77777777" w:rsidR="00000000" w:rsidRDefault="00195E73">
            <w:pPr>
              <w:jc w:val="center"/>
              <w:rPr>
                <w:rFonts w:eastAsia="Times New Roman"/>
              </w:rPr>
            </w:pPr>
            <w:r>
              <w:rPr>
                <w:rFonts w:eastAsia="Times New Roman"/>
                <w:color w:val="000000"/>
                <w:sz w:val="16"/>
                <w:szCs w:val="16"/>
              </w:rPr>
              <w:t>IE</w:t>
            </w:r>
            <w:r>
              <w:rPr>
                <w:rFonts w:eastAsia="Times New Roman"/>
                <w:color w:val="000000"/>
                <w:sz w:val="16"/>
                <w:szCs w:val="16"/>
              </w:rPr>
              <w:t>P</w:t>
            </w:r>
          </w:p>
        </w:tc>
        <w:tc>
          <w:tcPr>
            <w:tcW w:w="0" w:type="auto"/>
            <w:gridSpan w:val="3"/>
            <w:tcMar>
              <w:top w:w="30" w:type="dxa"/>
              <w:left w:w="20" w:type="dxa"/>
              <w:bottom w:w="30" w:type="dxa"/>
              <w:right w:w="20" w:type="dxa"/>
            </w:tcMar>
            <w:vAlign w:val="bottom"/>
            <w:hideMark/>
          </w:tcPr>
          <w:p w14:paraId="3D6914EB" w14:textId="77777777" w:rsidR="00000000" w:rsidRDefault="00195E73">
            <w:pPr>
              <w:jc w:val="cente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14:paraId="0354524B" w14:textId="77777777" w:rsidR="00000000" w:rsidRDefault="00195E73">
            <w:pPr>
              <w:jc w:val="right"/>
              <w:rPr>
                <w:rFonts w:eastAsia="Times New Roman"/>
              </w:rPr>
            </w:pPr>
            <w:r>
              <w:rPr>
                <w:rFonts w:eastAsia="Times New Roman"/>
                <w:color w:val="000000"/>
                <w:sz w:val="16"/>
                <w:szCs w:val="16"/>
              </w:rPr>
              <w:t>NASDA</w:t>
            </w:r>
            <w:r>
              <w:rPr>
                <w:rFonts w:eastAsia="Times New Roman"/>
                <w:color w:val="000000"/>
                <w:sz w:val="16"/>
                <w:szCs w:val="16"/>
              </w:rPr>
              <w:t>Q</w:t>
            </w:r>
          </w:p>
        </w:tc>
        <w:tc>
          <w:tcPr>
            <w:tcW w:w="0" w:type="auto"/>
            <w:gridSpan w:val="3"/>
            <w:tcBorders>
              <w:top w:val="single" w:sz="8" w:space="0" w:color="000000"/>
            </w:tcBorders>
            <w:tcMar>
              <w:top w:w="30" w:type="dxa"/>
              <w:left w:w="20" w:type="dxa"/>
              <w:bottom w:w="30" w:type="dxa"/>
              <w:right w:w="20" w:type="dxa"/>
            </w:tcMar>
            <w:vAlign w:val="center"/>
            <w:hideMark/>
          </w:tcPr>
          <w:p w14:paraId="54E5AF55" w14:textId="77777777" w:rsidR="00000000" w:rsidRDefault="00195E73">
            <w:pPr>
              <w:rPr>
                <w:rFonts w:eastAsia="Times New Roman"/>
              </w:rPr>
            </w:pPr>
            <w:r>
              <w:rPr>
                <w:rFonts w:eastAsia="Times New Roman"/>
                <w:color w:val="000000"/>
                <w:sz w:val="16"/>
                <w:szCs w:val="16"/>
              </w:rPr>
              <w:t>Global Select Marke</w:t>
            </w:r>
            <w:r>
              <w:rPr>
                <w:rFonts w:eastAsia="Times New Roman"/>
                <w:color w:val="000000"/>
                <w:sz w:val="16"/>
                <w:szCs w:val="16"/>
              </w:rPr>
              <w:t>t</w:t>
            </w:r>
          </w:p>
        </w:tc>
        <w:tc>
          <w:tcPr>
            <w:tcW w:w="0" w:type="auto"/>
            <w:vAlign w:val="center"/>
            <w:hideMark/>
          </w:tcPr>
          <w:p w14:paraId="0A84308B" w14:textId="77777777" w:rsidR="00000000" w:rsidRDefault="00195E73">
            <w:pPr>
              <w:rPr>
                <w:rFonts w:eastAsia="Times New Roman"/>
                <w:sz w:val="20"/>
                <w:szCs w:val="20"/>
              </w:rPr>
            </w:pPr>
          </w:p>
        </w:tc>
        <w:tc>
          <w:tcPr>
            <w:tcW w:w="0" w:type="auto"/>
            <w:vAlign w:val="center"/>
            <w:hideMark/>
          </w:tcPr>
          <w:p w14:paraId="0C46F4C1" w14:textId="77777777" w:rsidR="00000000" w:rsidRDefault="00195E73">
            <w:pPr>
              <w:rPr>
                <w:rFonts w:eastAsia="Times New Roman"/>
                <w:sz w:val="20"/>
                <w:szCs w:val="20"/>
              </w:rPr>
            </w:pPr>
          </w:p>
        </w:tc>
        <w:tc>
          <w:tcPr>
            <w:tcW w:w="0" w:type="auto"/>
            <w:vAlign w:val="center"/>
            <w:hideMark/>
          </w:tcPr>
          <w:p w14:paraId="192842B1" w14:textId="77777777" w:rsidR="00000000" w:rsidRDefault="00195E73">
            <w:pPr>
              <w:rPr>
                <w:rFonts w:eastAsia="Times New Roman"/>
                <w:sz w:val="20"/>
                <w:szCs w:val="20"/>
              </w:rPr>
            </w:pPr>
          </w:p>
        </w:tc>
      </w:tr>
    </w:tbl>
    <w:p w14:paraId="05B422C0" w14:textId="77777777" w:rsidR="00000000" w:rsidRDefault="00195E73">
      <w:pPr>
        <w:jc w:val="center"/>
        <w:divId w:val="544023306"/>
        <w:rPr>
          <w:rFonts w:eastAsia="Times New Roman"/>
        </w:rPr>
      </w:pPr>
      <w:r>
        <w:rPr>
          <w:rFonts w:eastAsia="Times New Roman"/>
          <w:color w:val="000000"/>
          <w:sz w:val="16"/>
          <w:szCs w:val="16"/>
        </w:rPr>
        <w:t>Securities registered pursuant to Section 12(g) of the Act:</w:t>
      </w:r>
      <w:r>
        <w:rPr>
          <w:rFonts w:eastAsia="Times New Roman"/>
          <w:color w:val="000000"/>
          <w:sz w:val="16"/>
          <w:szCs w:val="16"/>
        </w:rPr>
        <w:t xml:space="preserve"> </w:t>
      </w:r>
      <w:r>
        <w:rPr>
          <w:rFonts w:eastAsia="Times New Roman"/>
          <w:b/>
          <w:bCs/>
          <w:color w:val="000000"/>
          <w:sz w:val="16"/>
          <w:szCs w:val="16"/>
        </w:rPr>
        <w:t>Non</w:t>
      </w:r>
      <w:r>
        <w:rPr>
          <w:rFonts w:eastAsia="Times New Roman"/>
          <w:b/>
          <w:bCs/>
          <w:color w:val="000000"/>
          <w:sz w:val="16"/>
          <w:szCs w:val="16"/>
        </w:rPr>
        <w:t>e</w:t>
      </w:r>
    </w:p>
    <w:p w14:paraId="6AA5C31D" w14:textId="77777777" w:rsidR="00000000" w:rsidRDefault="00195E73">
      <w:pPr>
        <w:divId w:val="1017804485"/>
        <w:rPr>
          <w:rFonts w:eastAsia="Times New Roman"/>
        </w:rPr>
      </w:pPr>
      <w:r>
        <w:rPr>
          <w:rFonts w:eastAsia="Times New Roman"/>
          <w:color w:val="000000"/>
          <w:sz w:val="16"/>
          <w:szCs w:val="16"/>
        </w:rPr>
        <w:t>Indicate by check mark if the registrant is a well-known seasoned issuer, as defined by Rule 405 of the Securities Act</w:t>
      </w:r>
      <w:r>
        <w:rPr>
          <w:rFonts w:eastAsia="Times New Roman"/>
          <w:color w:val="000000"/>
          <w:sz w:val="16"/>
          <w:szCs w:val="16"/>
        </w:rPr>
        <w:t>.</w:t>
      </w:r>
    </w:p>
    <w:p w14:paraId="743B258B" w14:textId="77777777" w:rsidR="00000000" w:rsidRDefault="00195E73">
      <w:pPr>
        <w:ind w:firstLine="1440"/>
        <w:jc w:val="center"/>
        <w:divId w:val="511334424"/>
        <w:rPr>
          <w:rFonts w:eastAsia="Times New Roman"/>
        </w:rPr>
      </w:pPr>
      <w:r>
        <w:rPr>
          <w:rFonts w:eastAsia="Times New Roman"/>
          <w:color w:val="000000"/>
          <w:sz w:val="16"/>
          <w:szCs w:val="16"/>
        </w:rPr>
        <w:t>Icahn Enterprises L.P. Yes</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ascii="Arial" w:eastAsia="Times New Roman" w:hAnsi="Arial" w:cs="Arial"/>
          <w:color w:val="000000"/>
          <w:sz w:val="16"/>
          <w:szCs w:val="16"/>
        </w:rPr>
        <w:t> </w:t>
      </w:r>
      <w:r>
        <w:rPr>
          <w:rFonts w:ascii="Wingdings" w:eastAsia="Times New Roman" w:hAnsi="Wingdings"/>
          <w:color w:val="000000"/>
          <w:sz w:val="16"/>
          <w:szCs w:val="16"/>
        </w:rPr>
        <w:t xml:space="preserve"> </w:t>
      </w:r>
      <w:r>
        <w:rPr>
          <w:rFonts w:ascii="Arial" w:eastAsia="Times New Roman" w:hAnsi="Arial" w:cs="Arial"/>
          <w:color w:val="000000"/>
          <w:sz w:val="16"/>
          <w:szCs w:val="16"/>
        </w:rPr>
        <w:t> </w:t>
      </w:r>
      <w:r>
        <w:rPr>
          <w:rFonts w:eastAsia="Times New Roman"/>
          <w:color w:val="000000"/>
          <w:sz w:val="16"/>
          <w:szCs w:val="16"/>
        </w:rPr>
        <w:t>Icahn Enterprises Holdings L.P. Yes</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p>
    <w:p w14:paraId="1C1C48EC" w14:textId="77777777" w:rsidR="00000000" w:rsidRDefault="00195E73">
      <w:pPr>
        <w:divId w:val="803618449"/>
        <w:rPr>
          <w:rFonts w:eastAsia="Times New Roman"/>
        </w:rPr>
      </w:pPr>
      <w:r>
        <w:rPr>
          <w:rFonts w:eastAsia="Times New Roman"/>
          <w:color w:val="000000"/>
          <w:sz w:val="16"/>
          <w:szCs w:val="16"/>
        </w:rPr>
        <w:t>Indicate by check mark if the registrant is not required to file reports pursuant to Section 13 or 15(d) of the Exchange Act</w:t>
      </w:r>
      <w:r>
        <w:rPr>
          <w:rFonts w:eastAsia="Times New Roman"/>
          <w:color w:val="000000"/>
          <w:sz w:val="16"/>
          <w:szCs w:val="16"/>
        </w:rPr>
        <w:t>.</w:t>
      </w:r>
    </w:p>
    <w:p w14:paraId="0426504B" w14:textId="77777777" w:rsidR="00000000" w:rsidRDefault="00195E73">
      <w:pPr>
        <w:ind w:firstLine="1440"/>
        <w:jc w:val="center"/>
        <w:divId w:val="1691877637"/>
        <w:rPr>
          <w:rFonts w:eastAsia="Times New Roman"/>
        </w:rPr>
      </w:pPr>
      <w:r>
        <w:rPr>
          <w:rFonts w:eastAsia="Times New Roman"/>
          <w:color w:val="000000"/>
          <w:sz w:val="16"/>
          <w:szCs w:val="16"/>
        </w:rPr>
        <w:t>Icahn Enterprises L.P. Yes</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ascii="Arial" w:eastAsia="Times New Roman" w:hAnsi="Arial" w:cs="Arial"/>
          <w:color w:val="000000"/>
          <w:sz w:val="16"/>
          <w:szCs w:val="16"/>
        </w:rPr>
        <w:t>  </w:t>
      </w:r>
      <w:r>
        <w:rPr>
          <w:rFonts w:ascii="Arial" w:eastAsia="Times New Roman" w:hAnsi="Arial" w:cs="Arial"/>
          <w:color w:val="000000"/>
          <w:sz w:val="16"/>
          <w:szCs w:val="16"/>
        </w:rPr>
        <w:t> </w:t>
      </w:r>
      <w:r>
        <w:rPr>
          <w:rFonts w:eastAsia="Times New Roman"/>
          <w:color w:val="000000"/>
          <w:sz w:val="16"/>
          <w:szCs w:val="16"/>
        </w:rPr>
        <w:t>Icahn Enterprises Holdings L.P. Yes</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p>
    <w:p w14:paraId="4CE2F675" w14:textId="77777777" w:rsidR="00000000" w:rsidRDefault="00195E73">
      <w:pPr>
        <w:divId w:val="742796279"/>
        <w:rPr>
          <w:rFonts w:eastAsia="Times New Roman"/>
        </w:rPr>
      </w:pPr>
      <w:r>
        <w:rPr>
          <w:rFonts w:eastAsia="Times New Roman"/>
          <w:color w:val="000000"/>
          <w:sz w:val="16"/>
          <w:szCs w:val="16"/>
        </w:rPr>
        <w:t xml:space="preserve">Indicate by check mark whether the registrant (1) </w:t>
      </w:r>
      <w:r>
        <w:rPr>
          <w:rFonts w:eastAsia="Times New Roman"/>
          <w:color w:val="000000"/>
          <w:sz w:val="16"/>
          <w:szCs w:val="16"/>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6"/>
          <w:szCs w:val="16"/>
        </w:rPr>
        <w:t>ing requirements for the past 90 days.</w:t>
      </w:r>
      <w:r>
        <w:rPr>
          <w:rFonts w:eastAsia="Times New Roman"/>
          <w:color w:val="000000"/>
          <w:sz w:val="16"/>
          <w:szCs w:val="16"/>
        </w:rPr>
        <w:t xml:space="preserve"> </w:t>
      </w:r>
    </w:p>
    <w:p w14:paraId="3A15BC99" w14:textId="77777777" w:rsidR="00000000" w:rsidRDefault="00195E73">
      <w:pPr>
        <w:ind w:firstLine="1440"/>
        <w:jc w:val="center"/>
        <w:divId w:val="994915347"/>
        <w:rPr>
          <w:rFonts w:eastAsia="Times New Roman"/>
        </w:rPr>
      </w:pPr>
      <w:r>
        <w:rPr>
          <w:rFonts w:eastAsia="Times New Roman"/>
          <w:color w:val="000000"/>
          <w:sz w:val="16"/>
          <w:szCs w:val="16"/>
        </w:rPr>
        <w:t>Icahn Enterprises L.P. Yes</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ascii="Arial" w:eastAsia="Times New Roman" w:hAnsi="Arial" w:cs="Arial"/>
          <w:color w:val="000000"/>
          <w:sz w:val="16"/>
          <w:szCs w:val="16"/>
        </w:rPr>
        <w:t>  </w:t>
      </w:r>
      <w:r>
        <w:rPr>
          <w:rFonts w:ascii="Arial" w:eastAsia="Times New Roman" w:hAnsi="Arial" w:cs="Arial"/>
          <w:color w:val="000000"/>
          <w:sz w:val="16"/>
          <w:szCs w:val="16"/>
        </w:rPr>
        <w:t> </w:t>
      </w:r>
      <w:r>
        <w:rPr>
          <w:rFonts w:eastAsia="Times New Roman"/>
          <w:color w:val="000000"/>
          <w:sz w:val="16"/>
          <w:szCs w:val="16"/>
        </w:rPr>
        <w:t>Icahn Enterprises Holdings L.P. Yes</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p>
    <w:p w14:paraId="6EF1081B" w14:textId="77777777" w:rsidR="00000000" w:rsidRDefault="00195E73">
      <w:pPr>
        <w:divId w:val="1388921363"/>
        <w:rPr>
          <w:rFonts w:eastAsia="Times New Roman"/>
        </w:rPr>
      </w:pPr>
      <w:r>
        <w:rPr>
          <w:rFonts w:eastAsia="Times New Roman"/>
          <w:color w:val="000000"/>
          <w:sz w:val="16"/>
          <w:szCs w:val="16"/>
        </w:rPr>
        <w:t>Indicate by check mark whether the registrant has submitted electronically every Interactive Data File required to be submitted pursuan</w:t>
      </w:r>
      <w:r>
        <w:rPr>
          <w:rFonts w:eastAsia="Times New Roman"/>
          <w:color w:val="000000"/>
          <w:sz w:val="16"/>
          <w:szCs w:val="16"/>
        </w:rPr>
        <w:t>t to Rule 405 of Regulation S-T (§232.405 of this chapter) during the preceding 12 months (or for such shorter period that the registrant was required to submit and post such files).    </w:t>
      </w:r>
      <w:r>
        <w:rPr>
          <w:rFonts w:eastAsia="Times New Roman"/>
          <w:color w:val="000000"/>
          <w:sz w:val="16"/>
          <w:szCs w:val="16"/>
        </w:rPr>
        <w:t> </w:t>
      </w:r>
    </w:p>
    <w:p w14:paraId="2FD0DB70" w14:textId="77777777" w:rsidR="00000000" w:rsidRDefault="00195E73">
      <w:pPr>
        <w:ind w:firstLine="1440"/>
        <w:jc w:val="center"/>
        <w:divId w:val="1645231696"/>
        <w:rPr>
          <w:rFonts w:eastAsia="Times New Roman"/>
        </w:rPr>
      </w:pPr>
      <w:r>
        <w:rPr>
          <w:rFonts w:eastAsia="Times New Roman"/>
          <w:color w:val="000000"/>
          <w:sz w:val="16"/>
          <w:szCs w:val="16"/>
        </w:rPr>
        <w:t>Icahn Enterprises L.P. Yes</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ascii="Arial" w:eastAsia="Times New Roman" w:hAnsi="Arial" w:cs="Arial"/>
          <w:color w:val="000000"/>
          <w:sz w:val="16"/>
          <w:szCs w:val="16"/>
        </w:rPr>
        <w:t>  </w:t>
      </w:r>
      <w:r>
        <w:rPr>
          <w:rFonts w:ascii="Arial" w:eastAsia="Times New Roman" w:hAnsi="Arial" w:cs="Arial"/>
          <w:color w:val="000000"/>
          <w:sz w:val="16"/>
          <w:szCs w:val="16"/>
        </w:rPr>
        <w:t> </w:t>
      </w:r>
      <w:r>
        <w:rPr>
          <w:rFonts w:eastAsia="Times New Roman"/>
          <w:color w:val="000000"/>
          <w:sz w:val="16"/>
          <w:szCs w:val="16"/>
        </w:rPr>
        <w:t>Icahn Enterprises Holdings L.P.</w:t>
      </w:r>
      <w:r>
        <w:rPr>
          <w:rFonts w:eastAsia="Times New Roman"/>
          <w:color w:val="000000"/>
          <w:sz w:val="16"/>
          <w:szCs w:val="16"/>
        </w:rPr>
        <w:t xml:space="preserve"> Yes</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p>
    <w:p w14:paraId="7A7F1341" w14:textId="77777777" w:rsidR="00000000" w:rsidRDefault="00195E73">
      <w:pPr>
        <w:divId w:val="552035743"/>
        <w:rPr>
          <w:rFonts w:eastAsia="Times New Roman"/>
        </w:rPr>
      </w:pPr>
      <w:r>
        <w:rPr>
          <w:rFonts w:eastAsia="Times New Roman"/>
          <w:color w:val="000000"/>
          <w:sz w:val="16"/>
          <w:szCs w:val="16"/>
        </w:rPr>
        <w:t>Indicate by check mark whether the registrant is a large accelerated filer, an accelerated filer, a non-accelerated filer or a smaller reporting company or an emerging growth company. See the definitions of “large accelerated filer,” “accelera</w:t>
      </w:r>
      <w:r>
        <w:rPr>
          <w:rFonts w:eastAsia="Times New Roman"/>
          <w:color w:val="000000"/>
          <w:sz w:val="16"/>
          <w:szCs w:val="16"/>
        </w:rPr>
        <w:t>ted filer,” “smaller reporting company” and “emerging growth company” in Rule 12b-2 of the Exchange Act (Check One)</w:t>
      </w:r>
      <w:r>
        <w:rPr>
          <w:rFonts w:eastAsia="Times New Roman"/>
          <w:color w:val="000000"/>
          <w:sz w:val="16"/>
          <w:szCs w:val="16"/>
        </w:rPr>
        <w:t>:</w:t>
      </w:r>
    </w:p>
    <w:tbl>
      <w:tblPr>
        <w:tblW w:w="5000" w:type="pct"/>
        <w:tblCellMar>
          <w:top w:w="15" w:type="dxa"/>
          <w:left w:w="15" w:type="dxa"/>
          <w:bottom w:w="15" w:type="dxa"/>
          <w:right w:w="15" w:type="dxa"/>
        </w:tblCellMar>
        <w:tblLook w:val="04A0" w:firstRow="1" w:lastRow="0" w:firstColumn="1" w:lastColumn="0" w:noHBand="0" w:noVBand="1"/>
      </w:tblPr>
      <w:tblGrid>
        <w:gridCol w:w="44"/>
        <w:gridCol w:w="739"/>
        <w:gridCol w:w="44"/>
        <w:gridCol w:w="44"/>
        <w:gridCol w:w="460"/>
        <w:gridCol w:w="44"/>
        <w:gridCol w:w="37"/>
        <w:gridCol w:w="147"/>
        <w:gridCol w:w="37"/>
        <w:gridCol w:w="44"/>
        <w:gridCol w:w="460"/>
        <w:gridCol w:w="44"/>
        <w:gridCol w:w="65"/>
        <w:gridCol w:w="500"/>
        <w:gridCol w:w="65"/>
        <w:gridCol w:w="36"/>
        <w:gridCol w:w="162"/>
        <w:gridCol w:w="36"/>
        <w:gridCol w:w="37"/>
        <w:gridCol w:w="164"/>
        <w:gridCol w:w="37"/>
        <w:gridCol w:w="37"/>
        <w:gridCol w:w="127"/>
        <w:gridCol w:w="36"/>
        <w:gridCol w:w="36"/>
        <w:gridCol w:w="681"/>
        <w:gridCol w:w="46"/>
        <w:gridCol w:w="46"/>
        <w:gridCol w:w="462"/>
        <w:gridCol w:w="46"/>
        <w:gridCol w:w="37"/>
        <w:gridCol w:w="171"/>
        <w:gridCol w:w="37"/>
        <w:gridCol w:w="68"/>
        <w:gridCol w:w="486"/>
        <w:gridCol w:w="68"/>
        <w:gridCol w:w="46"/>
        <w:gridCol w:w="498"/>
        <w:gridCol w:w="46"/>
        <w:gridCol w:w="37"/>
        <w:gridCol w:w="165"/>
        <w:gridCol w:w="36"/>
        <w:gridCol w:w="38"/>
        <w:gridCol w:w="164"/>
        <w:gridCol w:w="37"/>
        <w:gridCol w:w="784"/>
        <w:gridCol w:w="213"/>
        <w:gridCol w:w="213"/>
        <w:gridCol w:w="55"/>
        <w:gridCol w:w="43"/>
        <w:gridCol w:w="43"/>
        <w:gridCol w:w="43"/>
        <w:gridCol w:w="101"/>
        <w:gridCol w:w="78"/>
        <w:gridCol w:w="36"/>
      </w:tblGrid>
      <w:tr w:rsidR="00000000" w14:paraId="76D66C94" w14:textId="77777777">
        <w:trPr>
          <w:gridAfter w:val="10"/>
          <w:divId w:val="673455156"/>
        </w:trPr>
        <w:tc>
          <w:tcPr>
            <w:tcW w:w="50" w:type="pct"/>
            <w:vAlign w:val="center"/>
            <w:hideMark/>
          </w:tcPr>
          <w:p w14:paraId="78128DF6" w14:textId="77777777" w:rsidR="00000000" w:rsidRDefault="00195E73">
            <w:pPr>
              <w:rPr>
                <w:rFonts w:eastAsia="Times New Roman"/>
              </w:rPr>
            </w:pPr>
          </w:p>
        </w:tc>
        <w:tc>
          <w:tcPr>
            <w:tcW w:w="567" w:type="pct"/>
            <w:vAlign w:val="center"/>
            <w:hideMark/>
          </w:tcPr>
          <w:p w14:paraId="7ADCFF30" w14:textId="77777777" w:rsidR="00000000" w:rsidRDefault="00195E73">
            <w:pPr>
              <w:rPr>
                <w:rFonts w:eastAsia="Times New Roman"/>
                <w:sz w:val="20"/>
                <w:szCs w:val="20"/>
              </w:rPr>
            </w:pPr>
          </w:p>
        </w:tc>
        <w:tc>
          <w:tcPr>
            <w:tcW w:w="50" w:type="pct"/>
            <w:vAlign w:val="center"/>
            <w:hideMark/>
          </w:tcPr>
          <w:p w14:paraId="0B36D924" w14:textId="77777777" w:rsidR="00000000" w:rsidRDefault="00195E73">
            <w:pPr>
              <w:rPr>
                <w:rFonts w:eastAsia="Times New Roman"/>
                <w:sz w:val="20"/>
                <w:szCs w:val="20"/>
              </w:rPr>
            </w:pPr>
          </w:p>
        </w:tc>
        <w:tc>
          <w:tcPr>
            <w:tcW w:w="50" w:type="pct"/>
            <w:vAlign w:val="center"/>
            <w:hideMark/>
          </w:tcPr>
          <w:p w14:paraId="5234E191" w14:textId="77777777" w:rsidR="00000000" w:rsidRDefault="00195E73">
            <w:pPr>
              <w:rPr>
                <w:rFonts w:eastAsia="Times New Roman"/>
                <w:sz w:val="20"/>
                <w:szCs w:val="20"/>
              </w:rPr>
            </w:pPr>
          </w:p>
        </w:tc>
        <w:tc>
          <w:tcPr>
            <w:tcW w:w="359" w:type="pct"/>
            <w:vAlign w:val="center"/>
            <w:hideMark/>
          </w:tcPr>
          <w:p w14:paraId="51BE46F3" w14:textId="77777777" w:rsidR="00000000" w:rsidRDefault="00195E73">
            <w:pPr>
              <w:rPr>
                <w:rFonts w:eastAsia="Times New Roman"/>
                <w:sz w:val="20"/>
                <w:szCs w:val="20"/>
              </w:rPr>
            </w:pPr>
          </w:p>
        </w:tc>
        <w:tc>
          <w:tcPr>
            <w:tcW w:w="50" w:type="pct"/>
            <w:vAlign w:val="center"/>
            <w:hideMark/>
          </w:tcPr>
          <w:p w14:paraId="0BB4B8DD" w14:textId="77777777" w:rsidR="00000000" w:rsidRDefault="00195E73">
            <w:pPr>
              <w:rPr>
                <w:rFonts w:eastAsia="Times New Roman"/>
                <w:sz w:val="20"/>
                <w:szCs w:val="20"/>
              </w:rPr>
            </w:pPr>
          </w:p>
        </w:tc>
        <w:tc>
          <w:tcPr>
            <w:tcW w:w="5" w:type="pct"/>
            <w:vAlign w:val="center"/>
            <w:hideMark/>
          </w:tcPr>
          <w:p w14:paraId="2F24AEEF" w14:textId="77777777" w:rsidR="00000000" w:rsidRDefault="00195E73">
            <w:pPr>
              <w:rPr>
                <w:rFonts w:eastAsia="Times New Roman"/>
                <w:sz w:val="20"/>
                <w:szCs w:val="20"/>
              </w:rPr>
            </w:pPr>
          </w:p>
        </w:tc>
        <w:tc>
          <w:tcPr>
            <w:tcW w:w="126" w:type="pct"/>
            <w:vAlign w:val="center"/>
            <w:hideMark/>
          </w:tcPr>
          <w:p w14:paraId="2D57C697" w14:textId="77777777" w:rsidR="00000000" w:rsidRDefault="00195E73">
            <w:pPr>
              <w:rPr>
                <w:rFonts w:eastAsia="Times New Roman"/>
                <w:sz w:val="20"/>
                <w:szCs w:val="20"/>
              </w:rPr>
            </w:pPr>
          </w:p>
        </w:tc>
        <w:tc>
          <w:tcPr>
            <w:tcW w:w="5" w:type="pct"/>
            <w:vAlign w:val="center"/>
            <w:hideMark/>
          </w:tcPr>
          <w:p w14:paraId="1B6A5870" w14:textId="77777777" w:rsidR="00000000" w:rsidRDefault="00195E73">
            <w:pPr>
              <w:rPr>
                <w:rFonts w:eastAsia="Times New Roman"/>
                <w:sz w:val="20"/>
                <w:szCs w:val="20"/>
              </w:rPr>
            </w:pPr>
          </w:p>
        </w:tc>
        <w:tc>
          <w:tcPr>
            <w:tcW w:w="50" w:type="pct"/>
            <w:vAlign w:val="center"/>
            <w:hideMark/>
          </w:tcPr>
          <w:p w14:paraId="59CF8266" w14:textId="77777777" w:rsidR="00000000" w:rsidRDefault="00195E73">
            <w:pPr>
              <w:rPr>
                <w:rFonts w:eastAsia="Times New Roman"/>
                <w:sz w:val="20"/>
                <w:szCs w:val="20"/>
              </w:rPr>
            </w:pPr>
          </w:p>
        </w:tc>
        <w:tc>
          <w:tcPr>
            <w:tcW w:w="359" w:type="pct"/>
            <w:vAlign w:val="center"/>
            <w:hideMark/>
          </w:tcPr>
          <w:p w14:paraId="08CA685D" w14:textId="77777777" w:rsidR="00000000" w:rsidRDefault="00195E73">
            <w:pPr>
              <w:rPr>
                <w:rFonts w:eastAsia="Times New Roman"/>
                <w:sz w:val="20"/>
                <w:szCs w:val="20"/>
              </w:rPr>
            </w:pPr>
          </w:p>
        </w:tc>
        <w:tc>
          <w:tcPr>
            <w:tcW w:w="50" w:type="pct"/>
            <w:vAlign w:val="center"/>
            <w:hideMark/>
          </w:tcPr>
          <w:p w14:paraId="58125B13" w14:textId="77777777" w:rsidR="00000000" w:rsidRDefault="00195E73">
            <w:pPr>
              <w:rPr>
                <w:rFonts w:eastAsia="Times New Roman"/>
                <w:sz w:val="20"/>
                <w:szCs w:val="20"/>
              </w:rPr>
            </w:pPr>
          </w:p>
        </w:tc>
        <w:tc>
          <w:tcPr>
            <w:tcW w:w="50" w:type="pct"/>
            <w:vAlign w:val="center"/>
            <w:hideMark/>
          </w:tcPr>
          <w:p w14:paraId="533CD6F2" w14:textId="77777777" w:rsidR="00000000" w:rsidRDefault="00195E73">
            <w:pPr>
              <w:rPr>
                <w:rFonts w:eastAsia="Times New Roman"/>
                <w:sz w:val="20"/>
                <w:szCs w:val="20"/>
              </w:rPr>
            </w:pPr>
          </w:p>
        </w:tc>
        <w:tc>
          <w:tcPr>
            <w:tcW w:w="387" w:type="pct"/>
            <w:vAlign w:val="center"/>
            <w:hideMark/>
          </w:tcPr>
          <w:p w14:paraId="600EE318" w14:textId="77777777" w:rsidR="00000000" w:rsidRDefault="00195E73">
            <w:pPr>
              <w:rPr>
                <w:rFonts w:eastAsia="Times New Roman"/>
                <w:sz w:val="20"/>
                <w:szCs w:val="20"/>
              </w:rPr>
            </w:pPr>
          </w:p>
        </w:tc>
        <w:tc>
          <w:tcPr>
            <w:tcW w:w="50" w:type="pct"/>
            <w:vAlign w:val="center"/>
            <w:hideMark/>
          </w:tcPr>
          <w:p w14:paraId="362B001D" w14:textId="77777777" w:rsidR="00000000" w:rsidRDefault="00195E73">
            <w:pPr>
              <w:rPr>
                <w:rFonts w:eastAsia="Times New Roman"/>
                <w:sz w:val="20"/>
                <w:szCs w:val="20"/>
              </w:rPr>
            </w:pPr>
          </w:p>
        </w:tc>
        <w:tc>
          <w:tcPr>
            <w:tcW w:w="5" w:type="pct"/>
            <w:vAlign w:val="center"/>
            <w:hideMark/>
          </w:tcPr>
          <w:p w14:paraId="2AB01DB2" w14:textId="77777777" w:rsidR="00000000" w:rsidRDefault="00195E73">
            <w:pPr>
              <w:rPr>
                <w:rFonts w:eastAsia="Times New Roman"/>
                <w:sz w:val="20"/>
                <w:szCs w:val="20"/>
              </w:rPr>
            </w:pPr>
          </w:p>
        </w:tc>
        <w:tc>
          <w:tcPr>
            <w:tcW w:w="126" w:type="pct"/>
            <w:vAlign w:val="center"/>
            <w:hideMark/>
          </w:tcPr>
          <w:p w14:paraId="4170023E" w14:textId="77777777" w:rsidR="00000000" w:rsidRDefault="00195E73">
            <w:pPr>
              <w:rPr>
                <w:rFonts w:eastAsia="Times New Roman"/>
                <w:sz w:val="20"/>
                <w:szCs w:val="20"/>
              </w:rPr>
            </w:pPr>
          </w:p>
        </w:tc>
        <w:tc>
          <w:tcPr>
            <w:tcW w:w="5" w:type="pct"/>
            <w:vAlign w:val="center"/>
            <w:hideMark/>
          </w:tcPr>
          <w:p w14:paraId="0112D06E" w14:textId="77777777" w:rsidR="00000000" w:rsidRDefault="00195E73">
            <w:pPr>
              <w:rPr>
                <w:rFonts w:eastAsia="Times New Roman"/>
                <w:sz w:val="20"/>
                <w:szCs w:val="20"/>
              </w:rPr>
            </w:pPr>
          </w:p>
        </w:tc>
        <w:tc>
          <w:tcPr>
            <w:tcW w:w="5" w:type="pct"/>
            <w:vAlign w:val="center"/>
            <w:hideMark/>
          </w:tcPr>
          <w:p w14:paraId="49D2BF83" w14:textId="77777777" w:rsidR="00000000" w:rsidRDefault="00195E73">
            <w:pPr>
              <w:rPr>
                <w:rFonts w:eastAsia="Times New Roman"/>
                <w:sz w:val="20"/>
                <w:szCs w:val="20"/>
              </w:rPr>
            </w:pPr>
          </w:p>
        </w:tc>
        <w:tc>
          <w:tcPr>
            <w:tcW w:w="126" w:type="pct"/>
            <w:vAlign w:val="center"/>
            <w:hideMark/>
          </w:tcPr>
          <w:p w14:paraId="3509DD3B" w14:textId="77777777" w:rsidR="00000000" w:rsidRDefault="00195E73">
            <w:pPr>
              <w:rPr>
                <w:rFonts w:eastAsia="Times New Roman"/>
                <w:sz w:val="20"/>
                <w:szCs w:val="20"/>
              </w:rPr>
            </w:pPr>
          </w:p>
        </w:tc>
        <w:tc>
          <w:tcPr>
            <w:tcW w:w="5" w:type="pct"/>
            <w:vAlign w:val="center"/>
            <w:hideMark/>
          </w:tcPr>
          <w:p w14:paraId="5679012A" w14:textId="77777777" w:rsidR="00000000" w:rsidRDefault="00195E73">
            <w:pPr>
              <w:rPr>
                <w:rFonts w:eastAsia="Times New Roman"/>
                <w:sz w:val="20"/>
                <w:szCs w:val="20"/>
              </w:rPr>
            </w:pPr>
          </w:p>
        </w:tc>
        <w:tc>
          <w:tcPr>
            <w:tcW w:w="5" w:type="pct"/>
            <w:vAlign w:val="center"/>
            <w:hideMark/>
          </w:tcPr>
          <w:p w14:paraId="7B2E9533" w14:textId="77777777" w:rsidR="00000000" w:rsidRDefault="00195E73">
            <w:pPr>
              <w:rPr>
                <w:rFonts w:eastAsia="Times New Roman"/>
                <w:sz w:val="20"/>
                <w:szCs w:val="20"/>
              </w:rPr>
            </w:pPr>
          </w:p>
        </w:tc>
        <w:tc>
          <w:tcPr>
            <w:tcW w:w="25" w:type="pct"/>
            <w:vAlign w:val="center"/>
            <w:hideMark/>
          </w:tcPr>
          <w:p w14:paraId="451EC9C7" w14:textId="77777777" w:rsidR="00000000" w:rsidRDefault="00195E73">
            <w:pPr>
              <w:rPr>
                <w:rFonts w:eastAsia="Times New Roman"/>
                <w:sz w:val="20"/>
                <w:szCs w:val="20"/>
              </w:rPr>
            </w:pPr>
          </w:p>
        </w:tc>
        <w:tc>
          <w:tcPr>
            <w:tcW w:w="5" w:type="pct"/>
            <w:vAlign w:val="center"/>
            <w:hideMark/>
          </w:tcPr>
          <w:p w14:paraId="492FA1B2" w14:textId="77777777" w:rsidR="00000000" w:rsidRDefault="00195E73">
            <w:pPr>
              <w:rPr>
                <w:rFonts w:eastAsia="Times New Roman"/>
                <w:sz w:val="20"/>
                <w:szCs w:val="20"/>
              </w:rPr>
            </w:pPr>
          </w:p>
        </w:tc>
        <w:tc>
          <w:tcPr>
            <w:tcW w:w="50" w:type="pct"/>
            <w:vAlign w:val="center"/>
            <w:hideMark/>
          </w:tcPr>
          <w:p w14:paraId="435B11AA" w14:textId="77777777" w:rsidR="00000000" w:rsidRDefault="00195E73">
            <w:pPr>
              <w:rPr>
                <w:rFonts w:eastAsia="Times New Roman"/>
                <w:sz w:val="20"/>
                <w:szCs w:val="20"/>
              </w:rPr>
            </w:pPr>
          </w:p>
        </w:tc>
        <w:tc>
          <w:tcPr>
            <w:tcW w:w="567" w:type="pct"/>
            <w:vAlign w:val="center"/>
            <w:hideMark/>
          </w:tcPr>
          <w:p w14:paraId="17C18518" w14:textId="77777777" w:rsidR="00000000" w:rsidRDefault="00195E73">
            <w:pPr>
              <w:rPr>
                <w:rFonts w:eastAsia="Times New Roman"/>
                <w:sz w:val="20"/>
                <w:szCs w:val="20"/>
              </w:rPr>
            </w:pPr>
          </w:p>
        </w:tc>
        <w:tc>
          <w:tcPr>
            <w:tcW w:w="50" w:type="pct"/>
            <w:vAlign w:val="center"/>
            <w:hideMark/>
          </w:tcPr>
          <w:p w14:paraId="761BB77E" w14:textId="77777777" w:rsidR="00000000" w:rsidRDefault="00195E73">
            <w:pPr>
              <w:rPr>
                <w:rFonts w:eastAsia="Times New Roman"/>
                <w:sz w:val="20"/>
                <w:szCs w:val="20"/>
              </w:rPr>
            </w:pPr>
          </w:p>
        </w:tc>
        <w:tc>
          <w:tcPr>
            <w:tcW w:w="50" w:type="pct"/>
            <w:vAlign w:val="center"/>
            <w:hideMark/>
          </w:tcPr>
          <w:p w14:paraId="205B4B72" w14:textId="77777777" w:rsidR="00000000" w:rsidRDefault="00195E73">
            <w:pPr>
              <w:rPr>
                <w:rFonts w:eastAsia="Times New Roman"/>
                <w:sz w:val="20"/>
                <w:szCs w:val="20"/>
              </w:rPr>
            </w:pPr>
          </w:p>
        </w:tc>
        <w:tc>
          <w:tcPr>
            <w:tcW w:w="359" w:type="pct"/>
            <w:vAlign w:val="center"/>
            <w:hideMark/>
          </w:tcPr>
          <w:p w14:paraId="696A12D4" w14:textId="77777777" w:rsidR="00000000" w:rsidRDefault="00195E73">
            <w:pPr>
              <w:rPr>
                <w:rFonts w:eastAsia="Times New Roman"/>
                <w:sz w:val="20"/>
                <w:szCs w:val="20"/>
              </w:rPr>
            </w:pPr>
          </w:p>
        </w:tc>
        <w:tc>
          <w:tcPr>
            <w:tcW w:w="50" w:type="pct"/>
            <w:vAlign w:val="center"/>
            <w:hideMark/>
          </w:tcPr>
          <w:p w14:paraId="2561349F" w14:textId="77777777" w:rsidR="00000000" w:rsidRDefault="00195E73">
            <w:pPr>
              <w:rPr>
                <w:rFonts w:eastAsia="Times New Roman"/>
                <w:sz w:val="20"/>
                <w:szCs w:val="20"/>
              </w:rPr>
            </w:pPr>
          </w:p>
        </w:tc>
        <w:tc>
          <w:tcPr>
            <w:tcW w:w="5" w:type="pct"/>
            <w:vAlign w:val="center"/>
            <w:hideMark/>
          </w:tcPr>
          <w:p w14:paraId="1D2C76EE" w14:textId="77777777" w:rsidR="00000000" w:rsidRDefault="00195E73">
            <w:pPr>
              <w:rPr>
                <w:rFonts w:eastAsia="Times New Roman"/>
                <w:sz w:val="20"/>
                <w:szCs w:val="20"/>
              </w:rPr>
            </w:pPr>
          </w:p>
        </w:tc>
        <w:tc>
          <w:tcPr>
            <w:tcW w:w="126" w:type="pct"/>
            <w:vAlign w:val="center"/>
            <w:hideMark/>
          </w:tcPr>
          <w:p w14:paraId="4DDB40A8" w14:textId="77777777" w:rsidR="00000000" w:rsidRDefault="00195E73">
            <w:pPr>
              <w:rPr>
                <w:rFonts w:eastAsia="Times New Roman"/>
                <w:sz w:val="20"/>
                <w:szCs w:val="20"/>
              </w:rPr>
            </w:pPr>
          </w:p>
        </w:tc>
        <w:tc>
          <w:tcPr>
            <w:tcW w:w="5" w:type="pct"/>
            <w:vAlign w:val="center"/>
            <w:hideMark/>
          </w:tcPr>
          <w:p w14:paraId="6F4C4FB6" w14:textId="77777777" w:rsidR="00000000" w:rsidRDefault="00195E73">
            <w:pPr>
              <w:rPr>
                <w:rFonts w:eastAsia="Times New Roman"/>
                <w:sz w:val="20"/>
                <w:szCs w:val="20"/>
              </w:rPr>
            </w:pPr>
          </w:p>
        </w:tc>
        <w:tc>
          <w:tcPr>
            <w:tcW w:w="50" w:type="pct"/>
            <w:vAlign w:val="center"/>
            <w:hideMark/>
          </w:tcPr>
          <w:p w14:paraId="5D9ADB6C" w14:textId="77777777" w:rsidR="00000000" w:rsidRDefault="00195E73">
            <w:pPr>
              <w:rPr>
                <w:rFonts w:eastAsia="Times New Roman"/>
                <w:sz w:val="20"/>
                <w:szCs w:val="20"/>
              </w:rPr>
            </w:pPr>
          </w:p>
        </w:tc>
        <w:tc>
          <w:tcPr>
            <w:tcW w:w="359" w:type="pct"/>
            <w:vAlign w:val="center"/>
            <w:hideMark/>
          </w:tcPr>
          <w:p w14:paraId="18E0A411" w14:textId="77777777" w:rsidR="00000000" w:rsidRDefault="00195E73">
            <w:pPr>
              <w:rPr>
                <w:rFonts w:eastAsia="Times New Roman"/>
                <w:sz w:val="20"/>
                <w:szCs w:val="20"/>
              </w:rPr>
            </w:pPr>
          </w:p>
        </w:tc>
        <w:tc>
          <w:tcPr>
            <w:tcW w:w="50" w:type="pct"/>
            <w:vAlign w:val="center"/>
            <w:hideMark/>
          </w:tcPr>
          <w:p w14:paraId="7D02CDE1" w14:textId="77777777" w:rsidR="00000000" w:rsidRDefault="00195E73">
            <w:pPr>
              <w:rPr>
                <w:rFonts w:eastAsia="Times New Roman"/>
                <w:sz w:val="20"/>
                <w:szCs w:val="20"/>
              </w:rPr>
            </w:pPr>
          </w:p>
        </w:tc>
        <w:tc>
          <w:tcPr>
            <w:tcW w:w="50" w:type="pct"/>
            <w:vAlign w:val="center"/>
            <w:hideMark/>
          </w:tcPr>
          <w:p w14:paraId="6FA1294C" w14:textId="77777777" w:rsidR="00000000" w:rsidRDefault="00195E73">
            <w:pPr>
              <w:rPr>
                <w:rFonts w:eastAsia="Times New Roman"/>
                <w:sz w:val="20"/>
                <w:szCs w:val="20"/>
              </w:rPr>
            </w:pPr>
          </w:p>
        </w:tc>
        <w:tc>
          <w:tcPr>
            <w:tcW w:w="387" w:type="pct"/>
            <w:vAlign w:val="center"/>
            <w:hideMark/>
          </w:tcPr>
          <w:p w14:paraId="14BA2C7E" w14:textId="77777777" w:rsidR="00000000" w:rsidRDefault="00195E73">
            <w:pPr>
              <w:rPr>
                <w:rFonts w:eastAsia="Times New Roman"/>
                <w:sz w:val="20"/>
                <w:szCs w:val="20"/>
              </w:rPr>
            </w:pPr>
          </w:p>
        </w:tc>
        <w:tc>
          <w:tcPr>
            <w:tcW w:w="50" w:type="pct"/>
            <w:vAlign w:val="center"/>
            <w:hideMark/>
          </w:tcPr>
          <w:p w14:paraId="45499632" w14:textId="77777777" w:rsidR="00000000" w:rsidRDefault="00195E73">
            <w:pPr>
              <w:rPr>
                <w:rFonts w:eastAsia="Times New Roman"/>
                <w:sz w:val="20"/>
                <w:szCs w:val="20"/>
              </w:rPr>
            </w:pPr>
          </w:p>
        </w:tc>
        <w:tc>
          <w:tcPr>
            <w:tcW w:w="5" w:type="pct"/>
            <w:vAlign w:val="center"/>
            <w:hideMark/>
          </w:tcPr>
          <w:p w14:paraId="3313CD63" w14:textId="77777777" w:rsidR="00000000" w:rsidRDefault="00195E73">
            <w:pPr>
              <w:rPr>
                <w:rFonts w:eastAsia="Times New Roman"/>
                <w:sz w:val="20"/>
                <w:szCs w:val="20"/>
              </w:rPr>
            </w:pPr>
          </w:p>
        </w:tc>
        <w:tc>
          <w:tcPr>
            <w:tcW w:w="126" w:type="pct"/>
            <w:vAlign w:val="center"/>
            <w:hideMark/>
          </w:tcPr>
          <w:p w14:paraId="19BB24E9" w14:textId="77777777" w:rsidR="00000000" w:rsidRDefault="00195E73">
            <w:pPr>
              <w:rPr>
                <w:rFonts w:eastAsia="Times New Roman"/>
                <w:sz w:val="20"/>
                <w:szCs w:val="20"/>
              </w:rPr>
            </w:pPr>
          </w:p>
        </w:tc>
        <w:tc>
          <w:tcPr>
            <w:tcW w:w="5" w:type="pct"/>
            <w:vAlign w:val="center"/>
            <w:hideMark/>
          </w:tcPr>
          <w:p w14:paraId="3B83BF3C" w14:textId="77777777" w:rsidR="00000000" w:rsidRDefault="00195E73">
            <w:pPr>
              <w:rPr>
                <w:rFonts w:eastAsia="Times New Roman"/>
                <w:sz w:val="20"/>
                <w:szCs w:val="20"/>
              </w:rPr>
            </w:pPr>
          </w:p>
        </w:tc>
        <w:tc>
          <w:tcPr>
            <w:tcW w:w="5" w:type="pct"/>
            <w:vAlign w:val="center"/>
            <w:hideMark/>
          </w:tcPr>
          <w:p w14:paraId="484C2A4D" w14:textId="77777777" w:rsidR="00000000" w:rsidRDefault="00195E73">
            <w:pPr>
              <w:rPr>
                <w:rFonts w:eastAsia="Times New Roman"/>
                <w:sz w:val="20"/>
                <w:szCs w:val="20"/>
              </w:rPr>
            </w:pPr>
          </w:p>
        </w:tc>
        <w:tc>
          <w:tcPr>
            <w:tcW w:w="126" w:type="pct"/>
            <w:vAlign w:val="center"/>
            <w:hideMark/>
          </w:tcPr>
          <w:p w14:paraId="2CFFAD15" w14:textId="77777777" w:rsidR="00000000" w:rsidRDefault="00195E73">
            <w:pPr>
              <w:rPr>
                <w:rFonts w:eastAsia="Times New Roman"/>
                <w:sz w:val="20"/>
                <w:szCs w:val="20"/>
              </w:rPr>
            </w:pPr>
          </w:p>
        </w:tc>
        <w:tc>
          <w:tcPr>
            <w:tcW w:w="5" w:type="pct"/>
            <w:vAlign w:val="center"/>
            <w:hideMark/>
          </w:tcPr>
          <w:p w14:paraId="679FC1B0" w14:textId="77777777" w:rsidR="00000000" w:rsidRDefault="00195E73">
            <w:pPr>
              <w:rPr>
                <w:rFonts w:eastAsia="Times New Roman"/>
                <w:sz w:val="20"/>
                <w:szCs w:val="20"/>
              </w:rPr>
            </w:pPr>
          </w:p>
        </w:tc>
      </w:tr>
      <w:tr w:rsidR="00000000" w14:paraId="03956EA9" w14:textId="77777777">
        <w:trPr>
          <w:divId w:val="673455156"/>
        </w:trPr>
        <w:tc>
          <w:tcPr>
            <w:tcW w:w="0" w:type="auto"/>
            <w:gridSpan w:val="21"/>
            <w:tcMar>
              <w:top w:w="30" w:type="dxa"/>
              <w:left w:w="20" w:type="dxa"/>
              <w:bottom w:w="30" w:type="dxa"/>
              <w:right w:w="20" w:type="dxa"/>
            </w:tcMar>
            <w:vAlign w:val="center"/>
            <w:hideMark/>
          </w:tcPr>
          <w:p w14:paraId="1B105C55" w14:textId="77777777" w:rsidR="00000000" w:rsidRDefault="00195E73">
            <w:pPr>
              <w:jc w:val="center"/>
              <w:rPr>
                <w:rFonts w:eastAsia="Times New Roman"/>
              </w:rPr>
            </w:pPr>
            <w:r>
              <w:rPr>
                <w:rFonts w:eastAsia="Times New Roman"/>
                <w:color w:val="000000"/>
                <w:sz w:val="16"/>
                <w:szCs w:val="16"/>
                <w:u w:val="single"/>
              </w:rPr>
              <w:t>Icahn Enterprises L.P</w:t>
            </w:r>
            <w:r>
              <w:rPr>
                <w:rFonts w:eastAsia="Times New Roman"/>
                <w:color w:val="000000"/>
                <w:sz w:val="16"/>
                <w:szCs w:val="16"/>
                <w:u w:val="single"/>
              </w:rPr>
              <w:t>.</w:t>
            </w:r>
          </w:p>
        </w:tc>
        <w:tc>
          <w:tcPr>
            <w:tcW w:w="0" w:type="auto"/>
            <w:gridSpan w:val="3"/>
            <w:vAlign w:val="center"/>
            <w:hideMark/>
          </w:tcPr>
          <w:p w14:paraId="5DB2F860" w14:textId="77777777" w:rsidR="00000000" w:rsidRDefault="00195E73">
            <w:pPr>
              <w:jc w:val="center"/>
              <w:rPr>
                <w:rFonts w:eastAsia="Times New Roman"/>
              </w:rPr>
            </w:pPr>
          </w:p>
        </w:tc>
        <w:tc>
          <w:tcPr>
            <w:tcW w:w="0" w:type="auto"/>
            <w:gridSpan w:val="3"/>
            <w:vAlign w:val="center"/>
            <w:hideMark/>
          </w:tcPr>
          <w:p w14:paraId="35EF705D" w14:textId="77777777" w:rsidR="00000000" w:rsidRDefault="00195E73">
            <w:pPr>
              <w:rPr>
                <w:rFonts w:eastAsia="Times New Roman"/>
                <w:sz w:val="20"/>
                <w:szCs w:val="20"/>
              </w:rPr>
            </w:pPr>
          </w:p>
        </w:tc>
        <w:tc>
          <w:tcPr>
            <w:tcW w:w="0" w:type="auto"/>
            <w:gridSpan w:val="3"/>
            <w:vAlign w:val="center"/>
            <w:hideMark/>
          </w:tcPr>
          <w:p w14:paraId="3DB6726E" w14:textId="77777777" w:rsidR="00000000" w:rsidRDefault="00195E73">
            <w:pPr>
              <w:rPr>
                <w:rFonts w:eastAsia="Times New Roman"/>
                <w:sz w:val="20"/>
                <w:szCs w:val="20"/>
              </w:rPr>
            </w:pPr>
          </w:p>
        </w:tc>
        <w:tc>
          <w:tcPr>
            <w:tcW w:w="0" w:type="auto"/>
            <w:gridSpan w:val="3"/>
            <w:vAlign w:val="center"/>
            <w:hideMark/>
          </w:tcPr>
          <w:p w14:paraId="1B50CD37" w14:textId="77777777" w:rsidR="00000000" w:rsidRDefault="00195E73">
            <w:pPr>
              <w:rPr>
                <w:rFonts w:eastAsia="Times New Roman"/>
                <w:sz w:val="20"/>
                <w:szCs w:val="20"/>
              </w:rPr>
            </w:pPr>
          </w:p>
        </w:tc>
        <w:tc>
          <w:tcPr>
            <w:tcW w:w="0" w:type="auto"/>
            <w:gridSpan w:val="3"/>
            <w:vAlign w:val="center"/>
            <w:hideMark/>
          </w:tcPr>
          <w:p w14:paraId="05DD7600" w14:textId="77777777" w:rsidR="00000000" w:rsidRDefault="00195E73">
            <w:pPr>
              <w:rPr>
                <w:rFonts w:eastAsia="Times New Roman"/>
                <w:sz w:val="20"/>
                <w:szCs w:val="20"/>
              </w:rPr>
            </w:pPr>
          </w:p>
        </w:tc>
        <w:tc>
          <w:tcPr>
            <w:tcW w:w="0" w:type="auto"/>
            <w:gridSpan w:val="3"/>
            <w:vAlign w:val="center"/>
            <w:hideMark/>
          </w:tcPr>
          <w:p w14:paraId="1C04884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4EC36E5" w14:textId="77777777" w:rsidR="00000000" w:rsidRDefault="00195E73">
            <w:pPr>
              <w:rPr>
                <w:rFonts w:eastAsia="Times New Roman"/>
                <w:sz w:val="20"/>
                <w:szCs w:val="20"/>
              </w:rPr>
            </w:pPr>
          </w:p>
        </w:tc>
        <w:tc>
          <w:tcPr>
            <w:tcW w:w="0" w:type="auto"/>
            <w:gridSpan w:val="12"/>
            <w:tcMar>
              <w:top w:w="30" w:type="dxa"/>
              <w:left w:w="20" w:type="dxa"/>
              <w:bottom w:w="30" w:type="dxa"/>
              <w:right w:w="20" w:type="dxa"/>
            </w:tcMar>
            <w:vAlign w:val="center"/>
            <w:hideMark/>
          </w:tcPr>
          <w:p w14:paraId="2502F71D" w14:textId="77777777" w:rsidR="00000000" w:rsidRDefault="00195E73">
            <w:pPr>
              <w:jc w:val="center"/>
              <w:rPr>
                <w:rFonts w:eastAsia="Times New Roman"/>
              </w:rPr>
            </w:pPr>
            <w:r>
              <w:rPr>
                <w:rFonts w:eastAsia="Times New Roman"/>
                <w:color w:val="000000"/>
                <w:sz w:val="16"/>
                <w:szCs w:val="16"/>
                <w:u w:val="single"/>
              </w:rPr>
              <w:t>Icahn Enterprises Holdings L.P</w:t>
            </w:r>
            <w:r>
              <w:rPr>
                <w:rFonts w:eastAsia="Times New Roman"/>
                <w:color w:val="000000"/>
                <w:sz w:val="16"/>
                <w:szCs w:val="16"/>
                <w:u w:val="single"/>
              </w:rPr>
              <w:t>.</w:t>
            </w:r>
          </w:p>
        </w:tc>
        <w:tc>
          <w:tcPr>
            <w:tcW w:w="0" w:type="auto"/>
            <w:vAlign w:val="center"/>
            <w:hideMark/>
          </w:tcPr>
          <w:p w14:paraId="7DCEDA30" w14:textId="77777777" w:rsidR="00000000" w:rsidRDefault="00195E73">
            <w:pPr>
              <w:jc w:val="center"/>
              <w:rPr>
                <w:rFonts w:eastAsia="Times New Roman"/>
              </w:rPr>
            </w:pPr>
          </w:p>
        </w:tc>
      </w:tr>
      <w:tr w:rsidR="00000000" w14:paraId="5AD8D69A" w14:textId="77777777">
        <w:trPr>
          <w:divId w:val="673455156"/>
        </w:trPr>
        <w:tc>
          <w:tcPr>
            <w:tcW w:w="0" w:type="auto"/>
            <w:gridSpan w:val="6"/>
            <w:tcMar>
              <w:top w:w="30" w:type="dxa"/>
              <w:left w:w="20" w:type="dxa"/>
              <w:bottom w:w="30" w:type="dxa"/>
              <w:right w:w="20" w:type="dxa"/>
            </w:tcMar>
            <w:vAlign w:val="center"/>
            <w:hideMark/>
          </w:tcPr>
          <w:p w14:paraId="16C2E964" w14:textId="77777777" w:rsidR="00000000" w:rsidRDefault="00195E73">
            <w:pPr>
              <w:jc w:val="right"/>
              <w:rPr>
                <w:rFonts w:eastAsia="Times New Roman"/>
              </w:rPr>
            </w:pPr>
            <w:r>
              <w:rPr>
                <w:rFonts w:eastAsia="Times New Roman"/>
                <w:color w:val="000000"/>
                <w:sz w:val="16"/>
                <w:szCs w:val="16"/>
              </w:rPr>
              <w:t>Large Accelerated File</w:t>
            </w:r>
            <w:r>
              <w:rPr>
                <w:rFonts w:eastAsia="Times New Roman"/>
                <w:color w:val="000000"/>
                <w:sz w:val="16"/>
                <w:szCs w:val="16"/>
              </w:rPr>
              <w:t>r</w:t>
            </w:r>
          </w:p>
        </w:tc>
        <w:tc>
          <w:tcPr>
            <w:tcW w:w="0" w:type="auto"/>
            <w:gridSpan w:val="3"/>
            <w:vAlign w:val="center"/>
            <w:hideMark/>
          </w:tcPr>
          <w:p w14:paraId="4E806A4F" w14:textId="77777777" w:rsidR="00000000" w:rsidRDefault="00195E73">
            <w:pPr>
              <w:jc w:val="right"/>
              <w:rPr>
                <w:rFonts w:eastAsia="Times New Roman"/>
              </w:rPr>
            </w:pPr>
          </w:p>
        </w:tc>
        <w:tc>
          <w:tcPr>
            <w:tcW w:w="0" w:type="auto"/>
            <w:gridSpan w:val="3"/>
            <w:tcMar>
              <w:top w:w="30" w:type="dxa"/>
              <w:left w:w="20" w:type="dxa"/>
              <w:bottom w:w="30" w:type="dxa"/>
              <w:right w:w="20" w:type="dxa"/>
            </w:tcMar>
            <w:vAlign w:val="center"/>
            <w:hideMark/>
          </w:tcPr>
          <w:p w14:paraId="2F7B2F65" w14:textId="77777777" w:rsidR="00000000" w:rsidRDefault="00195E73">
            <w:pPr>
              <w:rPr>
                <w:rFonts w:eastAsia="Times New Roman"/>
              </w:rPr>
            </w:pPr>
            <w:r>
              <w:rPr>
                <w:rFonts w:ascii="Segoe UI Symbol" w:eastAsia="Times New Roman" w:hAnsi="Segoe UI Symbol" w:cs="Segoe UI Symbol"/>
                <w:b/>
                <w:bCs/>
                <w:color w:val="000000"/>
                <w:sz w:val="16"/>
                <w:szCs w:val="16"/>
              </w:rPr>
              <w:t>☒</w:t>
            </w:r>
          </w:p>
        </w:tc>
        <w:tc>
          <w:tcPr>
            <w:tcW w:w="0" w:type="auto"/>
            <w:gridSpan w:val="6"/>
            <w:tcMar>
              <w:top w:w="30" w:type="dxa"/>
              <w:left w:w="20" w:type="dxa"/>
              <w:bottom w:w="30" w:type="dxa"/>
              <w:right w:w="20" w:type="dxa"/>
            </w:tcMar>
            <w:vAlign w:val="center"/>
            <w:hideMark/>
          </w:tcPr>
          <w:p w14:paraId="23D5EF3D" w14:textId="77777777" w:rsidR="00000000" w:rsidRDefault="00195E73">
            <w:pPr>
              <w:jc w:val="right"/>
              <w:rPr>
                <w:rFonts w:eastAsia="Times New Roman"/>
              </w:rPr>
            </w:pPr>
            <w:r>
              <w:rPr>
                <w:rFonts w:eastAsia="Times New Roman"/>
                <w:color w:val="000000"/>
                <w:sz w:val="16"/>
                <w:szCs w:val="16"/>
              </w:rPr>
              <w:t>Accelerated File</w:t>
            </w:r>
            <w:r>
              <w:rPr>
                <w:rFonts w:eastAsia="Times New Roman"/>
                <w:color w:val="000000"/>
                <w:sz w:val="16"/>
                <w:szCs w:val="16"/>
              </w:rPr>
              <w:t>r</w:t>
            </w:r>
          </w:p>
        </w:tc>
        <w:tc>
          <w:tcPr>
            <w:tcW w:w="0" w:type="auto"/>
            <w:gridSpan w:val="3"/>
            <w:vAlign w:val="center"/>
            <w:hideMark/>
          </w:tcPr>
          <w:p w14:paraId="6147BDD1" w14:textId="77777777" w:rsidR="00000000" w:rsidRDefault="00195E73">
            <w:pPr>
              <w:jc w:val="right"/>
              <w:rPr>
                <w:rFonts w:eastAsia="Times New Roman"/>
              </w:rPr>
            </w:pPr>
          </w:p>
        </w:tc>
        <w:tc>
          <w:tcPr>
            <w:tcW w:w="0" w:type="auto"/>
            <w:gridSpan w:val="3"/>
            <w:tcMar>
              <w:top w:w="30" w:type="dxa"/>
              <w:left w:w="20" w:type="dxa"/>
              <w:bottom w:w="30" w:type="dxa"/>
              <w:right w:w="20" w:type="dxa"/>
            </w:tcMar>
            <w:vAlign w:val="center"/>
            <w:hideMark/>
          </w:tcPr>
          <w:p w14:paraId="1849DFC8" w14:textId="77777777" w:rsidR="00000000" w:rsidRDefault="00195E73">
            <w:pPr>
              <w:rPr>
                <w:rFonts w:eastAsia="Times New Roman"/>
              </w:rPr>
            </w:pPr>
            <w:r>
              <w:rPr>
                <w:rFonts w:ascii="Segoe UI Symbol" w:eastAsia="Times New Roman" w:hAnsi="Segoe UI Symbol" w:cs="Segoe UI Symbol"/>
                <w:b/>
                <w:bCs/>
                <w:color w:val="000000"/>
                <w:sz w:val="16"/>
                <w:szCs w:val="16"/>
              </w:rPr>
              <w:t>☐</w:t>
            </w:r>
          </w:p>
        </w:tc>
        <w:tc>
          <w:tcPr>
            <w:tcW w:w="0" w:type="auto"/>
            <w:gridSpan w:val="3"/>
            <w:tcMar>
              <w:top w:w="15" w:type="dxa"/>
              <w:left w:w="20" w:type="dxa"/>
              <w:bottom w:w="15" w:type="dxa"/>
              <w:right w:w="20" w:type="dxa"/>
            </w:tcMar>
            <w:vAlign w:val="bottom"/>
            <w:hideMark/>
          </w:tcPr>
          <w:p w14:paraId="651AC1DD"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4E8C1CB1" w14:textId="77777777" w:rsidR="00000000" w:rsidRDefault="00195E73">
            <w:pPr>
              <w:rPr>
                <w:rFonts w:eastAsia="Times New Roman"/>
                <w:sz w:val="20"/>
                <w:szCs w:val="20"/>
              </w:rPr>
            </w:pPr>
          </w:p>
        </w:tc>
        <w:tc>
          <w:tcPr>
            <w:tcW w:w="0" w:type="auto"/>
            <w:gridSpan w:val="6"/>
            <w:tcMar>
              <w:top w:w="30" w:type="dxa"/>
              <w:left w:w="20" w:type="dxa"/>
              <w:bottom w:w="30" w:type="dxa"/>
              <w:right w:w="20" w:type="dxa"/>
            </w:tcMar>
            <w:vAlign w:val="center"/>
            <w:hideMark/>
          </w:tcPr>
          <w:p w14:paraId="7035913B" w14:textId="77777777" w:rsidR="00000000" w:rsidRDefault="00195E73">
            <w:pPr>
              <w:jc w:val="right"/>
              <w:rPr>
                <w:rFonts w:eastAsia="Times New Roman"/>
              </w:rPr>
            </w:pPr>
            <w:r>
              <w:rPr>
                <w:rFonts w:eastAsia="Times New Roman"/>
                <w:color w:val="000000"/>
                <w:sz w:val="16"/>
                <w:szCs w:val="16"/>
              </w:rPr>
              <w:t>Large Accelerated File</w:t>
            </w:r>
            <w:r>
              <w:rPr>
                <w:rFonts w:eastAsia="Times New Roman"/>
                <w:color w:val="000000"/>
                <w:sz w:val="16"/>
                <w:szCs w:val="16"/>
              </w:rPr>
              <w:t>r</w:t>
            </w:r>
          </w:p>
        </w:tc>
        <w:tc>
          <w:tcPr>
            <w:tcW w:w="0" w:type="auto"/>
            <w:gridSpan w:val="3"/>
            <w:vAlign w:val="center"/>
            <w:hideMark/>
          </w:tcPr>
          <w:p w14:paraId="521189F4" w14:textId="77777777" w:rsidR="00000000" w:rsidRDefault="00195E73">
            <w:pPr>
              <w:jc w:val="right"/>
              <w:rPr>
                <w:rFonts w:eastAsia="Times New Roman"/>
              </w:rPr>
            </w:pPr>
          </w:p>
        </w:tc>
        <w:tc>
          <w:tcPr>
            <w:tcW w:w="0" w:type="auto"/>
            <w:gridSpan w:val="3"/>
            <w:tcMar>
              <w:top w:w="30" w:type="dxa"/>
              <w:left w:w="20" w:type="dxa"/>
              <w:bottom w:w="30" w:type="dxa"/>
              <w:right w:w="20" w:type="dxa"/>
            </w:tcMar>
            <w:vAlign w:val="center"/>
            <w:hideMark/>
          </w:tcPr>
          <w:p w14:paraId="05E649DC" w14:textId="77777777" w:rsidR="00000000" w:rsidRDefault="00195E73">
            <w:pPr>
              <w:rPr>
                <w:rFonts w:eastAsia="Times New Roman"/>
              </w:rPr>
            </w:pPr>
            <w:r>
              <w:rPr>
                <w:rFonts w:ascii="Segoe UI Symbol" w:eastAsia="Times New Roman" w:hAnsi="Segoe UI Symbol" w:cs="Segoe UI Symbol"/>
                <w:b/>
                <w:bCs/>
                <w:color w:val="000000"/>
                <w:sz w:val="16"/>
                <w:szCs w:val="16"/>
              </w:rPr>
              <w:t>☐</w:t>
            </w:r>
          </w:p>
        </w:tc>
        <w:tc>
          <w:tcPr>
            <w:tcW w:w="0" w:type="auto"/>
            <w:gridSpan w:val="4"/>
            <w:tcMar>
              <w:top w:w="30" w:type="dxa"/>
              <w:left w:w="20" w:type="dxa"/>
              <w:bottom w:w="30" w:type="dxa"/>
              <w:right w:w="20" w:type="dxa"/>
            </w:tcMar>
            <w:vAlign w:val="center"/>
            <w:hideMark/>
          </w:tcPr>
          <w:p w14:paraId="6EAC25D5" w14:textId="77777777" w:rsidR="00000000" w:rsidRDefault="00195E73">
            <w:pPr>
              <w:jc w:val="right"/>
              <w:rPr>
                <w:rFonts w:eastAsia="Times New Roman"/>
              </w:rPr>
            </w:pPr>
            <w:r>
              <w:rPr>
                <w:rFonts w:eastAsia="Times New Roman"/>
                <w:color w:val="000000"/>
                <w:sz w:val="16"/>
                <w:szCs w:val="16"/>
              </w:rPr>
              <w:t>Accelerated File</w:t>
            </w:r>
            <w:r>
              <w:rPr>
                <w:rFonts w:eastAsia="Times New Roman"/>
                <w:color w:val="000000"/>
                <w:sz w:val="16"/>
                <w:szCs w:val="16"/>
              </w:rPr>
              <w:t>r</w:t>
            </w:r>
          </w:p>
        </w:tc>
        <w:tc>
          <w:tcPr>
            <w:tcW w:w="0" w:type="auto"/>
            <w:vAlign w:val="center"/>
            <w:hideMark/>
          </w:tcPr>
          <w:p w14:paraId="5D343CF6" w14:textId="77777777" w:rsidR="00000000" w:rsidRDefault="00195E73">
            <w:pPr>
              <w:jc w:val="right"/>
              <w:rPr>
                <w:rFonts w:eastAsia="Times New Roman"/>
              </w:rPr>
            </w:pPr>
          </w:p>
        </w:tc>
        <w:tc>
          <w:tcPr>
            <w:tcW w:w="0" w:type="auto"/>
            <w:tcMar>
              <w:top w:w="30" w:type="dxa"/>
              <w:left w:w="20" w:type="dxa"/>
              <w:bottom w:w="30" w:type="dxa"/>
              <w:right w:w="20" w:type="dxa"/>
            </w:tcMar>
            <w:vAlign w:val="center"/>
            <w:hideMark/>
          </w:tcPr>
          <w:p w14:paraId="38138874" w14:textId="77777777" w:rsidR="00000000" w:rsidRDefault="00195E73">
            <w:pPr>
              <w:rPr>
                <w:rFonts w:eastAsia="Times New Roman"/>
              </w:rPr>
            </w:pPr>
            <w:r>
              <w:rPr>
                <w:rFonts w:ascii="Segoe UI Symbol" w:eastAsia="Times New Roman" w:hAnsi="Segoe UI Symbol" w:cs="Segoe UI Symbol"/>
                <w:b/>
                <w:bCs/>
                <w:color w:val="000000"/>
                <w:sz w:val="16"/>
                <w:szCs w:val="16"/>
              </w:rPr>
              <w:t>☐</w:t>
            </w:r>
          </w:p>
        </w:tc>
        <w:tc>
          <w:tcPr>
            <w:tcW w:w="0" w:type="auto"/>
            <w:tcMar>
              <w:top w:w="15" w:type="dxa"/>
              <w:left w:w="20" w:type="dxa"/>
              <w:bottom w:w="15" w:type="dxa"/>
              <w:right w:w="20" w:type="dxa"/>
            </w:tcMar>
            <w:vAlign w:val="bottom"/>
            <w:hideMark/>
          </w:tcPr>
          <w:p w14:paraId="606690DF" w14:textId="77777777" w:rsidR="00000000" w:rsidRDefault="00195E73">
            <w:pPr>
              <w:rPr>
                <w:rFonts w:eastAsia="Times New Roman"/>
              </w:rPr>
            </w:pPr>
          </w:p>
        </w:tc>
        <w:tc>
          <w:tcPr>
            <w:tcW w:w="0" w:type="auto"/>
            <w:vAlign w:val="center"/>
            <w:hideMark/>
          </w:tcPr>
          <w:p w14:paraId="59D0A6D5" w14:textId="77777777" w:rsidR="00000000" w:rsidRDefault="00195E73">
            <w:pPr>
              <w:rPr>
                <w:rFonts w:eastAsia="Times New Roman"/>
                <w:sz w:val="20"/>
                <w:szCs w:val="20"/>
              </w:rPr>
            </w:pPr>
          </w:p>
        </w:tc>
        <w:tc>
          <w:tcPr>
            <w:tcW w:w="0" w:type="auto"/>
            <w:vAlign w:val="center"/>
            <w:hideMark/>
          </w:tcPr>
          <w:p w14:paraId="349D21D4" w14:textId="77777777" w:rsidR="00000000" w:rsidRDefault="00195E73">
            <w:pPr>
              <w:rPr>
                <w:rFonts w:eastAsia="Times New Roman"/>
                <w:sz w:val="20"/>
                <w:szCs w:val="20"/>
              </w:rPr>
            </w:pPr>
          </w:p>
        </w:tc>
        <w:tc>
          <w:tcPr>
            <w:tcW w:w="0" w:type="auto"/>
            <w:vAlign w:val="center"/>
            <w:hideMark/>
          </w:tcPr>
          <w:p w14:paraId="0B27A3CD" w14:textId="77777777" w:rsidR="00000000" w:rsidRDefault="00195E73">
            <w:pPr>
              <w:rPr>
                <w:rFonts w:eastAsia="Times New Roman"/>
                <w:sz w:val="20"/>
                <w:szCs w:val="20"/>
              </w:rPr>
            </w:pPr>
          </w:p>
        </w:tc>
        <w:tc>
          <w:tcPr>
            <w:tcW w:w="0" w:type="auto"/>
            <w:vAlign w:val="center"/>
            <w:hideMark/>
          </w:tcPr>
          <w:p w14:paraId="0AC3A487" w14:textId="77777777" w:rsidR="00000000" w:rsidRDefault="00195E73">
            <w:pPr>
              <w:rPr>
                <w:rFonts w:eastAsia="Times New Roman"/>
                <w:sz w:val="20"/>
                <w:szCs w:val="20"/>
              </w:rPr>
            </w:pPr>
          </w:p>
        </w:tc>
        <w:tc>
          <w:tcPr>
            <w:tcW w:w="0" w:type="auto"/>
            <w:vAlign w:val="center"/>
            <w:hideMark/>
          </w:tcPr>
          <w:p w14:paraId="0E8B733D" w14:textId="77777777" w:rsidR="00000000" w:rsidRDefault="00195E73">
            <w:pPr>
              <w:rPr>
                <w:rFonts w:eastAsia="Times New Roman"/>
                <w:sz w:val="20"/>
                <w:szCs w:val="20"/>
              </w:rPr>
            </w:pPr>
          </w:p>
        </w:tc>
        <w:tc>
          <w:tcPr>
            <w:tcW w:w="0" w:type="auto"/>
            <w:vAlign w:val="center"/>
            <w:hideMark/>
          </w:tcPr>
          <w:p w14:paraId="16D09460" w14:textId="77777777" w:rsidR="00000000" w:rsidRDefault="00195E73">
            <w:pPr>
              <w:rPr>
                <w:rFonts w:eastAsia="Times New Roman"/>
                <w:sz w:val="20"/>
                <w:szCs w:val="20"/>
              </w:rPr>
            </w:pPr>
          </w:p>
        </w:tc>
      </w:tr>
      <w:tr w:rsidR="00000000" w14:paraId="67122A58" w14:textId="77777777">
        <w:trPr>
          <w:divId w:val="673455156"/>
        </w:trPr>
        <w:tc>
          <w:tcPr>
            <w:tcW w:w="0" w:type="auto"/>
            <w:gridSpan w:val="6"/>
            <w:tcMar>
              <w:top w:w="30" w:type="dxa"/>
              <w:left w:w="20" w:type="dxa"/>
              <w:bottom w:w="30" w:type="dxa"/>
              <w:right w:w="20" w:type="dxa"/>
            </w:tcMar>
            <w:vAlign w:val="center"/>
            <w:hideMark/>
          </w:tcPr>
          <w:p w14:paraId="4BADC6D5" w14:textId="77777777" w:rsidR="00000000" w:rsidRDefault="00195E73">
            <w:pPr>
              <w:jc w:val="right"/>
              <w:rPr>
                <w:rFonts w:eastAsia="Times New Roman"/>
              </w:rPr>
            </w:pPr>
            <w:r>
              <w:rPr>
                <w:rFonts w:eastAsia="Times New Roman"/>
                <w:color w:val="000000"/>
                <w:sz w:val="16"/>
                <w:szCs w:val="16"/>
              </w:rPr>
              <w:lastRenderedPageBreak/>
              <w:t>Non-accelerated File</w:t>
            </w:r>
            <w:r>
              <w:rPr>
                <w:rFonts w:eastAsia="Times New Roman"/>
                <w:color w:val="000000"/>
                <w:sz w:val="16"/>
                <w:szCs w:val="16"/>
              </w:rPr>
              <w:t>r</w:t>
            </w:r>
          </w:p>
        </w:tc>
        <w:tc>
          <w:tcPr>
            <w:tcW w:w="0" w:type="auto"/>
            <w:gridSpan w:val="3"/>
            <w:vAlign w:val="center"/>
            <w:hideMark/>
          </w:tcPr>
          <w:p w14:paraId="64B1C101" w14:textId="77777777" w:rsidR="00000000" w:rsidRDefault="00195E73">
            <w:pPr>
              <w:jc w:val="right"/>
              <w:rPr>
                <w:rFonts w:eastAsia="Times New Roman"/>
              </w:rPr>
            </w:pPr>
          </w:p>
        </w:tc>
        <w:tc>
          <w:tcPr>
            <w:tcW w:w="0" w:type="auto"/>
            <w:gridSpan w:val="3"/>
            <w:tcMar>
              <w:top w:w="30" w:type="dxa"/>
              <w:left w:w="20" w:type="dxa"/>
              <w:bottom w:w="30" w:type="dxa"/>
              <w:right w:w="20" w:type="dxa"/>
            </w:tcMar>
            <w:vAlign w:val="center"/>
            <w:hideMark/>
          </w:tcPr>
          <w:p w14:paraId="12462539" w14:textId="77777777" w:rsidR="00000000" w:rsidRDefault="00195E73">
            <w:pPr>
              <w:rPr>
                <w:rFonts w:eastAsia="Times New Roman"/>
              </w:rPr>
            </w:pPr>
            <w:r>
              <w:rPr>
                <w:rFonts w:ascii="Segoe UI Symbol" w:eastAsia="Times New Roman" w:hAnsi="Segoe UI Symbol" w:cs="Segoe UI Symbol"/>
                <w:b/>
                <w:bCs/>
                <w:color w:val="000000"/>
                <w:sz w:val="16"/>
                <w:szCs w:val="16"/>
              </w:rPr>
              <w:t>☐</w:t>
            </w:r>
          </w:p>
        </w:tc>
        <w:tc>
          <w:tcPr>
            <w:tcW w:w="0" w:type="auto"/>
            <w:gridSpan w:val="9"/>
            <w:tcMar>
              <w:top w:w="30" w:type="dxa"/>
              <w:left w:w="20" w:type="dxa"/>
              <w:bottom w:w="30" w:type="dxa"/>
              <w:right w:w="20" w:type="dxa"/>
            </w:tcMar>
            <w:vAlign w:val="center"/>
            <w:hideMark/>
          </w:tcPr>
          <w:p w14:paraId="280EB7BA" w14:textId="77777777" w:rsidR="00000000" w:rsidRDefault="00195E73">
            <w:pPr>
              <w:jc w:val="right"/>
              <w:rPr>
                <w:rFonts w:eastAsia="Times New Roman"/>
              </w:rPr>
            </w:pPr>
            <w:r>
              <w:rPr>
                <w:rFonts w:eastAsia="Times New Roman"/>
                <w:color w:val="000000"/>
                <w:sz w:val="16"/>
                <w:szCs w:val="16"/>
              </w:rPr>
              <w:t>Smaller Reporting Compan</w:t>
            </w:r>
            <w:r>
              <w:rPr>
                <w:rFonts w:eastAsia="Times New Roman"/>
                <w:color w:val="000000"/>
                <w:sz w:val="16"/>
                <w:szCs w:val="16"/>
              </w:rPr>
              <w:t>y</w:t>
            </w:r>
          </w:p>
        </w:tc>
        <w:tc>
          <w:tcPr>
            <w:tcW w:w="0" w:type="auto"/>
            <w:gridSpan w:val="3"/>
            <w:vAlign w:val="center"/>
            <w:hideMark/>
          </w:tcPr>
          <w:p w14:paraId="57AB2100" w14:textId="77777777" w:rsidR="00000000" w:rsidRDefault="00195E73">
            <w:pPr>
              <w:jc w:val="right"/>
              <w:rPr>
                <w:rFonts w:eastAsia="Times New Roman"/>
              </w:rPr>
            </w:pPr>
          </w:p>
        </w:tc>
        <w:tc>
          <w:tcPr>
            <w:tcW w:w="0" w:type="auto"/>
            <w:gridSpan w:val="3"/>
            <w:vAlign w:val="center"/>
            <w:hideMark/>
          </w:tcPr>
          <w:p w14:paraId="5B1DF34F"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center"/>
            <w:hideMark/>
          </w:tcPr>
          <w:p w14:paraId="270C16A3" w14:textId="77777777" w:rsidR="00000000" w:rsidRDefault="00195E73">
            <w:pPr>
              <w:rPr>
                <w:rFonts w:eastAsia="Times New Roman"/>
              </w:rPr>
            </w:pPr>
            <w:r>
              <w:rPr>
                <w:rFonts w:ascii="Segoe UI Symbol" w:eastAsia="Times New Roman" w:hAnsi="Segoe UI Symbol" w:cs="Segoe UI Symbol"/>
                <w:b/>
                <w:bCs/>
                <w:color w:val="000000"/>
                <w:sz w:val="16"/>
                <w:szCs w:val="16"/>
              </w:rPr>
              <w:t>☐</w:t>
            </w:r>
          </w:p>
        </w:tc>
        <w:tc>
          <w:tcPr>
            <w:tcW w:w="0" w:type="auto"/>
            <w:gridSpan w:val="3"/>
            <w:tcMar>
              <w:top w:w="15" w:type="dxa"/>
              <w:left w:w="20" w:type="dxa"/>
              <w:bottom w:w="15" w:type="dxa"/>
              <w:right w:w="20" w:type="dxa"/>
            </w:tcMar>
            <w:vAlign w:val="bottom"/>
            <w:hideMark/>
          </w:tcPr>
          <w:p w14:paraId="15CD2523" w14:textId="77777777" w:rsidR="00000000" w:rsidRDefault="00195E73">
            <w:pPr>
              <w:rPr>
                <w:rFonts w:eastAsia="Times New Roman"/>
              </w:rPr>
            </w:pPr>
          </w:p>
        </w:tc>
        <w:tc>
          <w:tcPr>
            <w:tcW w:w="0" w:type="auto"/>
            <w:gridSpan w:val="6"/>
            <w:tcMar>
              <w:top w:w="30" w:type="dxa"/>
              <w:left w:w="20" w:type="dxa"/>
              <w:bottom w:w="30" w:type="dxa"/>
              <w:right w:w="20" w:type="dxa"/>
            </w:tcMar>
            <w:vAlign w:val="center"/>
            <w:hideMark/>
          </w:tcPr>
          <w:p w14:paraId="7A1672D9" w14:textId="77777777" w:rsidR="00000000" w:rsidRDefault="00195E73">
            <w:pPr>
              <w:jc w:val="right"/>
              <w:rPr>
                <w:rFonts w:eastAsia="Times New Roman"/>
              </w:rPr>
            </w:pPr>
            <w:r>
              <w:rPr>
                <w:rFonts w:eastAsia="Times New Roman"/>
                <w:color w:val="000000"/>
                <w:sz w:val="16"/>
                <w:szCs w:val="16"/>
              </w:rPr>
              <w:t>Non-accelerated File</w:t>
            </w:r>
            <w:r>
              <w:rPr>
                <w:rFonts w:eastAsia="Times New Roman"/>
                <w:color w:val="000000"/>
                <w:sz w:val="16"/>
                <w:szCs w:val="16"/>
              </w:rPr>
              <w:t>r</w:t>
            </w:r>
          </w:p>
        </w:tc>
        <w:tc>
          <w:tcPr>
            <w:tcW w:w="0" w:type="auto"/>
            <w:gridSpan w:val="3"/>
            <w:vAlign w:val="center"/>
            <w:hideMark/>
          </w:tcPr>
          <w:p w14:paraId="4A40E571" w14:textId="77777777" w:rsidR="00000000" w:rsidRDefault="00195E73">
            <w:pPr>
              <w:jc w:val="right"/>
              <w:rPr>
                <w:rFonts w:eastAsia="Times New Roman"/>
              </w:rPr>
            </w:pPr>
          </w:p>
        </w:tc>
        <w:tc>
          <w:tcPr>
            <w:tcW w:w="0" w:type="auto"/>
            <w:gridSpan w:val="3"/>
            <w:tcMar>
              <w:top w:w="30" w:type="dxa"/>
              <w:left w:w="20" w:type="dxa"/>
              <w:bottom w:w="30" w:type="dxa"/>
              <w:right w:w="20" w:type="dxa"/>
            </w:tcMar>
            <w:vAlign w:val="center"/>
            <w:hideMark/>
          </w:tcPr>
          <w:p w14:paraId="36AF0E92" w14:textId="77777777" w:rsidR="00000000" w:rsidRDefault="00195E73">
            <w:pPr>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center"/>
            <w:hideMark/>
          </w:tcPr>
          <w:p w14:paraId="74CECDCE" w14:textId="77777777" w:rsidR="00000000" w:rsidRDefault="00195E73">
            <w:pPr>
              <w:jc w:val="right"/>
              <w:rPr>
                <w:rFonts w:eastAsia="Times New Roman"/>
              </w:rPr>
            </w:pPr>
            <w:r>
              <w:rPr>
                <w:rFonts w:eastAsia="Times New Roman"/>
                <w:color w:val="000000"/>
                <w:sz w:val="16"/>
                <w:szCs w:val="16"/>
              </w:rPr>
              <w:t>Smaller Reporting Compan</w:t>
            </w:r>
            <w:r>
              <w:rPr>
                <w:rFonts w:eastAsia="Times New Roman"/>
                <w:color w:val="000000"/>
                <w:sz w:val="16"/>
                <w:szCs w:val="16"/>
              </w:rPr>
              <w:t>y</w:t>
            </w:r>
          </w:p>
        </w:tc>
        <w:tc>
          <w:tcPr>
            <w:tcW w:w="0" w:type="auto"/>
            <w:vAlign w:val="center"/>
            <w:hideMark/>
          </w:tcPr>
          <w:p w14:paraId="3CBA3EB7" w14:textId="77777777" w:rsidR="00000000" w:rsidRDefault="00195E73">
            <w:pPr>
              <w:jc w:val="right"/>
              <w:rPr>
                <w:rFonts w:eastAsia="Times New Roman"/>
              </w:rPr>
            </w:pPr>
          </w:p>
        </w:tc>
        <w:tc>
          <w:tcPr>
            <w:tcW w:w="0" w:type="auto"/>
            <w:gridSpan w:val="3"/>
            <w:vAlign w:val="center"/>
            <w:hideMark/>
          </w:tcPr>
          <w:p w14:paraId="5004B517" w14:textId="77777777" w:rsidR="00000000" w:rsidRDefault="00195E73">
            <w:pPr>
              <w:rPr>
                <w:rFonts w:eastAsia="Times New Roman"/>
                <w:sz w:val="20"/>
                <w:szCs w:val="20"/>
              </w:rPr>
            </w:pPr>
          </w:p>
        </w:tc>
        <w:tc>
          <w:tcPr>
            <w:tcW w:w="0" w:type="auto"/>
            <w:gridSpan w:val="2"/>
            <w:tcMar>
              <w:top w:w="30" w:type="dxa"/>
              <w:left w:w="20" w:type="dxa"/>
              <w:bottom w:w="30" w:type="dxa"/>
              <w:right w:w="20" w:type="dxa"/>
            </w:tcMar>
            <w:vAlign w:val="center"/>
            <w:hideMark/>
          </w:tcPr>
          <w:p w14:paraId="5FA41F8D" w14:textId="77777777" w:rsidR="00000000" w:rsidRDefault="00195E73">
            <w:pPr>
              <w:rPr>
                <w:rFonts w:eastAsia="Times New Roman"/>
              </w:rPr>
            </w:pPr>
            <w:r>
              <w:rPr>
                <w:rFonts w:ascii="Segoe UI Symbol" w:eastAsia="Times New Roman" w:hAnsi="Segoe UI Symbol" w:cs="Segoe UI Symbol"/>
                <w:b/>
                <w:bCs/>
                <w:color w:val="000000"/>
                <w:sz w:val="16"/>
                <w:szCs w:val="16"/>
              </w:rPr>
              <w:t>☐</w:t>
            </w:r>
          </w:p>
        </w:tc>
        <w:tc>
          <w:tcPr>
            <w:tcW w:w="0" w:type="auto"/>
            <w:vAlign w:val="center"/>
            <w:hideMark/>
          </w:tcPr>
          <w:p w14:paraId="365B4927" w14:textId="77777777" w:rsidR="00000000" w:rsidRDefault="00195E73">
            <w:pPr>
              <w:rPr>
                <w:rFonts w:eastAsia="Times New Roman"/>
                <w:sz w:val="20"/>
                <w:szCs w:val="20"/>
              </w:rPr>
            </w:pPr>
          </w:p>
        </w:tc>
      </w:tr>
      <w:tr w:rsidR="00000000" w14:paraId="3E0A7B14" w14:textId="77777777">
        <w:trPr>
          <w:divId w:val="673455156"/>
        </w:trPr>
        <w:tc>
          <w:tcPr>
            <w:tcW w:w="0" w:type="auto"/>
            <w:gridSpan w:val="3"/>
            <w:tcMar>
              <w:top w:w="15" w:type="dxa"/>
              <w:left w:w="20" w:type="dxa"/>
              <w:bottom w:w="15" w:type="dxa"/>
              <w:right w:w="20" w:type="dxa"/>
            </w:tcMar>
            <w:vAlign w:val="bottom"/>
            <w:hideMark/>
          </w:tcPr>
          <w:p w14:paraId="3EEF4F41" w14:textId="77777777" w:rsidR="00000000" w:rsidRDefault="00195E73">
            <w:pPr>
              <w:rPr>
                <w:rFonts w:eastAsia="Times New Roman"/>
              </w:rPr>
            </w:pPr>
          </w:p>
        </w:tc>
        <w:tc>
          <w:tcPr>
            <w:tcW w:w="0" w:type="auto"/>
            <w:gridSpan w:val="9"/>
            <w:tcMar>
              <w:top w:w="30" w:type="dxa"/>
              <w:left w:w="20" w:type="dxa"/>
              <w:bottom w:w="30" w:type="dxa"/>
              <w:right w:w="20" w:type="dxa"/>
            </w:tcMar>
            <w:vAlign w:val="center"/>
            <w:hideMark/>
          </w:tcPr>
          <w:p w14:paraId="7DC04FEB" w14:textId="77777777" w:rsidR="00000000" w:rsidRDefault="00195E73">
            <w:pPr>
              <w:jc w:val="right"/>
              <w:rPr>
                <w:rFonts w:eastAsia="Times New Roman"/>
              </w:rPr>
            </w:pPr>
            <w:r>
              <w:rPr>
                <w:rFonts w:eastAsia="Times New Roman"/>
                <w:color w:val="000000"/>
                <w:sz w:val="16"/>
                <w:szCs w:val="16"/>
              </w:rPr>
              <w:t>Emerging Growth Compan</w:t>
            </w:r>
            <w:r>
              <w:rPr>
                <w:rFonts w:eastAsia="Times New Roman"/>
                <w:color w:val="000000"/>
                <w:sz w:val="16"/>
                <w:szCs w:val="16"/>
              </w:rPr>
              <w:t>y</w:t>
            </w:r>
          </w:p>
        </w:tc>
        <w:tc>
          <w:tcPr>
            <w:tcW w:w="0" w:type="auto"/>
            <w:gridSpan w:val="3"/>
            <w:vAlign w:val="center"/>
            <w:hideMark/>
          </w:tcPr>
          <w:p w14:paraId="55C6EC5F" w14:textId="77777777" w:rsidR="00000000" w:rsidRDefault="00195E73">
            <w:pPr>
              <w:jc w:val="right"/>
              <w:rPr>
                <w:rFonts w:eastAsia="Times New Roman"/>
              </w:rPr>
            </w:pPr>
          </w:p>
        </w:tc>
        <w:tc>
          <w:tcPr>
            <w:tcW w:w="0" w:type="auto"/>
            <w:gridSpan w:val="3"/>
            <w:vAlign w:val="center"/>
            <w:hideMark/>
          </w:tcPr>
          <w:p w14:paraId="4B66D80B"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center"/>
            <w:hideMark/>
          </w:tcPr>
          <w:p w14:paraId="437B0E8A" w14:textId="77777777" w:rsidR="00000000" w:rsidRDefault="00195E73">
            <w:pPr>
              <w:rPr>
                <w:rFonts w:eastAsia="Times New Roman"/>
              </w:rPr>
            </w:pPr>
            <w:r>
              <w:rPr>
                <w:rFonts w:ascii="Segoe UI Symbol" w:eastAsia="Times New Roman" w:hAnsi="Segoe UI Symbol" w:cs="Segoe UI Symbol"/>
                <w:b/>
                <w:bCs/>
                <w:color w:val="000000"/>
                <w:sz w:val="16"/>
                <w:szCs w:val="16"/>
              </w:rPr>
              <w:t>☐</w:t>
            </w:r>
          </w:p>
        </w:tc>
        <w:tc>
          <w:tcPr>
            <w:tcW w:w="0" w:type="auto"/>
            <w:gridSpan w:val="3"/>
            <w:tcMar>
              <w:top w:w="15" w:type="dxa"/>
              <w:left w:w="20" w:type="dxa"/>
              <w:bottom w:w="15" w:type="dxa"/>
              <w:right w:w="20" w:type="dxa"/>
            </w:tcMar>
            <w:vAlign w:val="bottom"/>
            <w:hideMark/>
          </w:tcPr>
          <w:p w14:paraId="62E9973A"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365B76C5"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DE8303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F8EA736"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center"/>
            <w:hideMark/>
          </w:tcPr>
          <w:p w14:paraId="1EB1BEED" w14:textId="77777777" w:rsidR="00000000" w:rsidRDefault="00195E73">
            <w:pPr>
              <w:jc w:val="right"/>
              <w:rPr>
                <w:rFonts w:eastAsia="Times New Roman"/>
              </w:rPr>
            </w:pPr>
            <w:r>
              <w:rPr>
                <w:rFonts w:eastAsia="Times New Roman"/>
                <w:color w:val="000000"/>
                <w:sz w:val="16"/>
                <w:szCs w:val="16"/>
              </w:rPr>
              <w:t>Emerging Growth Compan</w:t>
            </w:r>
            <w:r>
              <w:rPr>
                <w:rFonts w:eastAsia="Times New Roman"/>
                <w:color w:val="000000"/>
                <w:sz w:val="16"/>
                <w:szCs w:val="16"/>
              </w:rPr>
              <w:t>y</w:t>
            </w:r>
          </w:p>
        </w:tc>
        <w:tc>
          <w:tcPr>
            <w:tcW w:w="0" w:type="auto"/>
            <w:gridSpan w:val="3"/>
            <w:vAlign w:val="center"/>
            <w:hideMark/>
          </w:tcPr>
          <w:p w14:paraId="23F64AC3" w14:textId="77777777" w:rsidR="00000000" w:rsidRDefault="00195E73">
            <w:pPr>
              <w:jc w:val="right"/>
              <w:rPr>
                <w:rFonts w:eastAsia="Times New Roman"/>
              </w:rPr>
            </w:pPr>
          </w:p>
        </w:tc>
        <w:tc>
          <w:tcPr>
            <w:tcW w:w="0" w:type="auto"/>
            <w:vAlign w:val="center"/>
            <w:hideMark/>
          </w:tcPr>
          <w:p w14:paraId="3A9EEB50" w14:textId="77777777" w:rsidR="00000000" w:rsidRDefault="00195E73">
            <w:pPr>
              <w:rPr>
                <w:rFonts w:eastAsia="Times New Roman"/>
                <w:sz w:val="20"/>
                <w:szCs w:val="20"/>
              </w:rPr>
            </w:pPr>
          </w:p>
        </w:tc>
        <w:tc>
          <w:tcPr>
            <w:tcW w:w="0" w:type="auto"/>
            <w:tcMar>
              <w:top w:w="30" w:type="dxa"/>
              <w:left w:w="20" w:type="dxa"/>
              <w:bottom w:w="30" w:type="dxa"/>
              <w:right w:w="20" w:type="dxa"/>
            </w:tcMar>
            <w:vAlign w:val="center"/>
            <w:hideMark/>
          </w:tcPr>
          <w:p w14:paraId="7DB6390C" w14:textId="77777777" w:rsidR="00000000" w:rsidRDefault="00195E73">
            <w:pPr>
              <w:rPr>
                <w:rFonts w:eastAsia="Times New Roman"/>
              </w:rPr>
            </w:pPr>
            <w:r>
              <w:rPr>
                <w:rFonts w:ascii="Segoe UI Symbol" w:eastAsia="Times New Roman" w:hAnsi="Segoe UI Symbol" w:cs="Segoe UI Symbol"/>
                <w:b/>
                <w:bCs/>
                <w:color w:val="000000"/>
                <w:sz w:val="16"/>
                <w:szCs w:val="16"/>
              </w:rPr>
              <w:t>☐</w:t>
            </w:r>
          </w:p>
        </w:tc>
        <w:tc>
          <w:tcPr>
            <w:tcW w:w="0" w:type="auto"/>
            <w:tcMar>
              <w:top w:w="15" w:type="dxa"/>
              <w:left w:w="20" w:type="dxa"/>
              <w:bottom w:w="15" w:type="dxa"/>
              <w:right w:w="20" w:type="dxa"/>
            </w:tcMar>
            <w:vAlign w:val="bottom"/>
            <w:hideMark/>
          </w:tcPr>
          <w:p w14:paraId="52B76B28" w14:textId="77777777" w:rsidR="00000000" w:rsidRDefault="00195E73">
            <w:pPr>
              <w:rPr>
                <w:rFonts w:eastAsia="Times New Roman"/>
              </w:rPr>
            </w:pPr>
          </w:p>
        </w:tc>
        <w:tc>
          <w:tcPr>
            <w:tcW w:w="0" w:type="auto"/>
            <w:tcMar>
              <w:top w:w="15" w:type="dxa"/>
              <w:left w:w="20" w:type="dxa"/>
              <w:bottom w:w="15" w:type="dxa"/>
              <w:right w:w="20" w:type="dxa"/>
            </w:tcMar>
            <w:vAlign w:val="bottom"/>
            <w:hideMark/>
          </w:tcPr>
          <w:p w14:paraId="6196C9A7" w14:textId="77777777" w:rsidR="00000000" w:rsidRDefault="00195E73">
            <w:pPr>
              <w:rPr>
                <w:rFonts w:eastAsia="Times New Roman"/>
                <w:sz w:val="20"/>
                <w:szCs w:val="20"/>
              </w:rPr>
            </w:pPr>
          </w:p>
        </w:tc>
        <w:tc>
          <w:tcPr>
            <w:tcW w:w="0" w:type="auto"/>
            <w:vAlign w:val="center"/>
            <w:hideMark/>
          </w:tcPr>
          <w:p w14:paraId="70C2E9A0" w14:textId="77777777" w:rsidR="00000000" w:rsidRDefault="00195E73">
            <w:pPr>
              <w:rPr>
                <w:rFonts w:eastAsia="Times New Roman"/>
                <w:sz w:val="20"/>
                <w:szCs w:val="20"/>
              </w:rPr>
            </w:pPr>
          </w:p>
        </w:tc>
        <w:tc>
          <w:tcPr>
            <w:tcW w:w="0" w:type="auto"/>
            <w:vAlign w:val="center"/>
            <w:hideMark/>
          </w:tcPr>
          <w:p w14:paraId="008996CA" w14:textId="77777777" w:rsidR="00000000" w:rsidRDefault="00195E73">
            <w:pPr>
              <w:rPr>
                <w:rFonts w:eastAsia="Times New Roman"/>
                <w:sz w:val="20"/>
                <w:szCs w:val="20"/>
              </w:rPr>
            </w:pPr>
          </w:p>
        </w:tc>
        <w:tc>
          <w:tcPr>
            <w:tcW w:w="0" w:type="auto"/>
            <w:vAlign w:val="center"/>
            <w:hideMark/>
          </w:tcPr>
          <w:p w14:paraId="396A7A02" w14:textId="77777777" w:rsidR="00000000" w:rsidRDefault="00195E73">
            <w:pPr>
              <w:rPr>
                <w:rFonts w:eastAsia="Times New Roman"/>
                <w:sz w:val="20"/>
                <w:szCs w:val="20"/>
              </w:rPr>
            </w:pPr>
          </w:p>
        </w:tc>
        <w:tc>
          <w:tcPr>
            <w:tcW w:w="0" w:type="auto"/>
            <w:vAlign w:val="center"/>
            <w:hideMark/>
          </w:tcPr>
          <w:p w14:paraId="44D7622A" w14:textId="77777777" w:rsidR="00000000" w:rsidRDefault="00195E73">
            <w:pPr>
              <w:rPr>
                <w:rFonts w:eastAsia="Times New Roman"/>
                <w:sz w:val="20"/>
                <w:szCs w:val="20"/>
              </w:rPr>
            </w:pPr>
          </w:p>
        </w:tc>
        <w:tc>
          <w:tcPr>
            <w:tcW w:w="0" w:type="auto"/>
            <w:vAlign w:val="center"/>
            <w:hideMark/>
          </w:tcPr>
          <w:p w14:paraId="15DDB67C" w14:textId="77777777" w:rsidR="00000000" w:rsidRDefault="00195E73">
            <w:pPr>
              <w:rPr>
                <w:rFonts w:eastAsia="Times New Roman"/>
                <w:sz w:val="20"/>
                <w:szCs w:val="20"/>
              </w:rPr>
            </w:pPr>
          </w:p>
        </w:tc>
        <w:tc>
          <w:tcPr>
            <w:tcW w:w="0" w:type="auto"/>
            <w:vAlign w:val="center"/>
            <w:hideMark/>
          </w:tcPr>
          <w:p w14:paraId="75AE62A0" w14:textId="77777777" w:rsidR="00000000" w:rsidRDefault="00195E73">
            <w:pPr>
              <w:rPr>
                <w:rFonts w:eastAsia="Times New Roman"/>
                <w:sz w:val="20"/>
                <w:szCs w:val="20"/>
              </w:rPr>
            </w:pPr>
          </w:p>
        </w:tc>
      </w:tr>
    </w:tbl>
    <w:p w14:paraId="332077EC" w14:textId="77777777" w:rsidR="00000000" w:rsidRDefault="00195E73">
      <w:pPr>
        <w:divId w:val="288055379"/>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16"/>
          <w:szCs w:val="16"/>
        </w:rPr>
        <w:t xml:space="preserve"> </w:t>
      </w:r>
      <w:r>
        <w:rPr>
          <w:rFonts w:ascii="Wingdings" w:eastAsia="Times New Roman" w:hAnsi="Wingdings"/>
          <w:color w:val="000000"/>
          <w:sz w:val="16"/>
          <w:szCs w:val="16"/>
        </w:rPr>
        <w:t>o</w:t>
      </w:r>
    </w:p>
    <w:p w14:paraId="7FA56169" w14:textId="77777777" w:rsidR="00000000" w:rsidRDefault="00195E73">
      <w:pPr>
        <w:divId w:val="2117669735"/>
        <w:rPr>
          <w:rFonts w:eastAsia="Times New Roman"/>
        </w:rPr>
      </w:pPr>
      <w:r>
        <w:rPr>
          <w:rFonts w:eastAsia="Times New Roman"/>
          <w:color w:val="000000"/>
          <w:sz w:val="16"/>
          <w:szCs w:val="16"/>
        </w:rPr>
        <w:t>Ind</w:t>
      </w:r>
      <w:r>
        <w:rPr>
          <w:rFonts w:eastAsia="Times New Roman"/>
          <w:color w:val="000000"/>
          <w:sz w:val="16"/>
          <w:szCs w:val="16"/>
        </w:rPr>
        <w:t>icate by check mark whether the registrant is a shell company (as defined in Rule 12b-2 of the Exchange Act)</w:t>
      </w:r>
      <w:r>
        <w:rPr>
          <w:rFonts w:eastAsia="Times New Roman"/>
          <w:color w:val="000000"/>
          <w:sz w:val="16"/>
          <w:szCs w:val="16"/>
        </w:rPr>
        <w:t>.</w:t>
      </w:r>
    </w:p>
    <w:p w14:paraId="069700B2" w14:textId="77777777" w:rsidR="00000000" w:rsidRDefault="00195E73">
      <w:pPr>
        <w:ind w:firstLine="1440"/>
        <w:jc w:val="center"/>
        <w:divId w:val="1635327665"/>
        <w:rPr>
          <w:rFonts w:eastAsia="Times New Roman"/>
        </w:rPr>
      </w:pPr>
      <w:r>
        <w:rPr>
          <w:rFonts w:eastAsia="Times New Roman"/>
          <w:color w:val="000000"/>
          <w:sz w:val="16"/>
          <w:szCs w:val="16"/>
        </w:rPr>
        <w:t>Icahn Enterprises L.P. Yes</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ascii="Arial" w:eastAsia="Times New Roman" w:hAnsi="Arial" w:cs="Arial"/>
          <w:color w:val="000000"/>
          <w:sz w:val="16"/>
          <w:szCs w:val="16"/>
        </w:rPr>
        <w:t> </w:t>
      </w:r>
      <w:r>
        <w:rPr>
          <w:rFonts w:ascii="Wingdings" w:eastAsia="Times New Roman" w:hAnsi="Wingdings"/>
          <w:color w:val="000000"/>
          <w:sz w:val="16"/>
          <w:szCs w:val="16"/>
        </w:rPr>
        <w:t xml:space="preserve"> </w:t>
      </w:r>
      <w:r>
        <w:rPr>
          <w:rFonts w:ascii="Arial" w:eastAsia="Times New Roman" w:hAnsi="Arial" w:cs="Arial"/>
          <w:color w:val="000000"/>
          <w:sz w:val="16"/>
          <w:szCs w:val="16"/>
        </w:rPr>
        <w:t> </w:t>
      </w:r>
      <w:r>
        <w:rPr>
          <w:rFonts w:eastAsia="Times New Roman"/>
          <w:color w:val="000000"/>
          <w:sz w:val="16"/>
          <w:szCs w:val="16"/>
        </w:rPr>
        <w:t>Icahn Enterprises Holdings L.P. Yes</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w:t>
      </w:r>
      <w:r>
        <w:rPr>
          <w:rFonts w:eastAsia="Times New Roman"/>
          <w:color w:val="000000"/>
          <w:sz w:val="16"/>
          <w:szCs w:val="16"/>
        </w:rPr>
        <w:t xml:space="preserve"> </w:t>
      </w:r>
      <w:r>
        <w:rPr>
          <w:rFonts w:ascii="Segoe UI Symbol" w:eastAsia="Times New Roman" w:hAnsi="Segoe UI Symbol" w:cs="Segoe UI Symbol"/>
          <w:color w:val="000000"/>
          <w:sz w:val="16"/>
          <w:szCs w:val="16"/>
        </w:rPr>
        <w:t>☒</w:t>
      </w:r>
    </w:p>
    <w:p w14:paraId="6A025067" w14:textId="77777777" w:rsidR="00000000" w:rsidRDefault="00195E73">
      <w:pPr>
        <w:divId w:val="228420050"/>
        <w:rPr>
          <w:rFonts w:eastAsia="Times New Roman"/>
        </w:rPr>
      </w:pPr>
      <w:r>
        <w:rPr>
          <w:rFonts w:eastAsia="Times New Roman"/>
          <w:color w:val="000000"/>
          <w:sz w:val="16"/>
          <w:szCs w:val="16"/>
        </w:rPr>
        <w:t>The aggregate market value of Icahn Enterprises’ depositary units held by non-affiliates of the registrant as of June 28, 2019, the last business day of the registrant’s most recently completed second fiscal quarter, based upon the closing price of deposit</w:t>
      </w:r>
      <w:r>
        <w:rPr>
          <w:rFonts w:eastAsia="Times New Roman"/>
          <w:color w:val="000000"/>
          <w:sz w:val="16"/>
          <w:szCs w:val="16"/>
        </w:rPr>
        <w:t>ary units on the Nasdaq Global Select Market on such date was $1,174 million. As of February 28, 2020, there were 214,078,558 of Icahn Enterprises’ depositary units outstanding</w:t>
      </w:r>
      <w:r>
        <w:rPr>
          <w:rFonts w:eastAsia="Times New Roman"/>
          <w:color w:val="000000"/>
          <w:sz w:val="16"/>
          <w:szCs w:val="16"/>
        </w:rPr>
        <w:t>.</w:t>
      </w:r>
    </w:p>
    <w:p w14:paraId="75D371E8" w14:textId="77777777" w:rsidR="00000000" w:rsidRDefault="00195E73">
      <w:pPr>
        <w:divId w:val="1060641520"/>
        <w:rPr>
          <w:rFonts w:eastAsia="Times New Roman"/>
        </w:rPr>
      </w:pPr>
    </w:p>
    <w:p w14:paraId="4BC5C01A" w14:textId="77777777" w:rsidR="00000000" w:rsidRDefault="00195E73">
      <w:pPr>
        <w:rPr>
          <w:rFonts w:eastAsia="Times New Roman"/>
        </w:rPr>
      </w:pPr>
      <w:r>
        <w:rPr>
          <w:rFonts w:eastAsia="Times New Roman"/>
        </w:rPr>
        <w:pict w14:anchorId="38B77548">
          <v:rect id="_x0000_i1025" style="width:0;height:1.5pt" o:hralign="center" o:hrstd="t" o:hr="t" fillcolor="#a0a0a0" stroked="f"/>
        </w:pict>
      </w:r>
    </w:p>
    <w:p w14:paraId="7C6771CB" w14:textId="77777777" w:rsidR="00000000" w:rsidRDefault="00195E73">
      <w:pPr>
        <w:divId w:val="1014959482"/>
        <w:rPr>
          <w:rFonts w:eastAsia="Times New Roman"/>
        </w:rPr>
      </w:pPr>
    </w:p>
    <w:p w14:paraId="27857C79" w14:textId="77777777" w:rsidR="00000000" w:rsidRDefault="00195E73">
      <w:pPr>
        <w:jc w:val="center"/>
        <w:rPr>
          <w:rFonts w:eastAsia="Times New Roman"/>
        </w:rPr>
      </w:pPr>
      <w:r>
        <w:rPr>
          <w:rFonts w:eastAsia="Times New Roman"/>
          <w:b/>
          <w:bCs/>
          <w:color w:val="000000"/>
          <w:sz w:val="20"/>
          <w:szCs w:val="20"/>
        </w:rPr>
        <w:t>ICAHN ENTERPRISES L.P</w:t>
      </w:r>
      <w:r>
        <w:rPr>
          <w:rFonts w:eastAsia="Times New Roman"/>
          <w:b/>
          <w:bCs/>
          <w:color w:val="000000"/>
          <w:sz w:val="20"/>
          <w:szCs w:val="20"/>
        </w:rPr>
        <w:t>.</w:t>
      </w:r>
    </w:p>
    <w:p w14:paraId="4704EE05" w14:textId="77777777" w:rsidR="00000000" w:rsidRDefault="00195E73">
      <w:pPr>
        <w:jc w:val="center"/>
        <w:rPr>
          <w:rFonts w:eastAsia="Times New Roman"/>
        </w:rPr>
      </w:pPr>
      <w:r>
        <w:rPr>
          <w:rFonts w:eastAsia="Times New Roman"/>
          <w:b/>
          <w:bCs/>
          <w:color w:val="000000"/>
          <w:sz w:val="20"/>
          <w:szCs w:val="20"/>
        </w:rPr>
        <w:t>ICAHN ENTERPRISES HOLDINGS L.P</w:t>
      </w:r>
      <w:r>
        <w:rPr>
          <w:rFonts w:eastAsia="Times New Roman"/>
          <w:b/>
          <w:bCs/>
          <w:color w:val="000000"/>
          <w:sz w:val="20"/>
          <w:szCs w:val="20"/>
        </w:rPr>
        <w:t>.</w:t>
      </w:r>
    </w:p>
    <w:p w14:paraId="232C1B45" w14:textId="77777777" w:rsidR="00000000" w:rsidRDefault="00195E73">
      <w:pPr>
        <w:jc w:val="center"/>
        <w:divId w:val="2127313293"/>
        <w:rPr>
          <w:rFonts w:eastAsia="Times New Roman"/>
        </w:rPr>
      </w:pPr>
      <w:r>
        <w:rPr>
          <w:rFonts w:eastAsia="Times New Roman"/>
          <w:b/>
          <w:bCs/>
          <w:color w:val="000000"/>
          <w:sz w:val="20"/>
          <w:szCs w:val="20"/>
        </w:rPr>
        <w:t>TABLE OF CONTENT</w:t>
      </w:r>
      <w:r>
        <w:rPr>
          <w:rFonts w:eastAsia="Times New Roman"/>
          <w:b/>
          <w:bCs/>
          <w:color w:val="000000"/>
          <w:sz w:val="20"/>
          <w:szCs w:val="20"/>
        </w:rPr>
        <w:t>S</w:t>
      </w:r>
    </w:p>
    <w:p w14:paraId="6E1EFDA8" w14:textId="77777777" w:rsidR="00000000" w:rsidRDefault="00195E73">
      <w:pPr>
        <w:divId w:val="173500752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3"/>
        <w:gridCol w:w="745"/>
        <w:gridCol w:w="83"/>
        <w:gridCol w:w="83"/>
        <w:gridCol w:w="6586"/>
        <w:gridCol w:w="83"/>
        <w:gridCol w:w="83"/>
        <w:gridCol w:w="464"/>
        <w:gridCol w:w="83"/>
      </w:tblGrid>
      <w:tr w:rsidR="00000000" w14:paraId="294B5B03" w14:textId="77777777">
        <w:trPr>
          <w:divId w:val="689647201"/>
          <w:jc w:val="center"/>
        </w:trPr>
        <w:tc>
          <w:tcPr>
            <w:tcW w:w="50" w:type="pct"/>
            <w:vAlign w:val="center"/>
            <w:hideMark/>
          </w:tcPr>
          <w:p w14:paraId="35F5FCD5" w14:textId="77777777" w:rsidR="00000000" w:rsidRDefault="00195E73">
            <w:pPr>
              <w:rPr>
                <w:rFonts w:eastAsia="Times New Roman"/>
              </w:rPr>
            </w:pPr>
          </w:p>
        </w:tc>
        <w:tc>
          <w:tcPr>
            <w:tcW w:w="449" w:type="pct"/>
            <w:vAlign w:val="center"/>
            <w:hideMark/>
          </w:tcPr>
          <w:p w14:paraId="38F15950" w14:textId="77777777" w:rsidR="00000000" w:rsidRDefault="00195E73">
            <w:pPr>
              <w:rPr>
                <w:rFonts w:eastAsia="Times New Roman"/>
                <w:sz w:val="20"/>
                <w:szCs w:val="20"/>
              </w:rPr>
            </w:pPr>
          </w:p>
        </w:tc>
        <w:tc>
          <w:tcPr>
            <w:tcW w:w="50" w:type="pct"/>
            <w:vAlign w:val="center"/>
            <w:hideMark/>
          </w:tcPr>
          <w:p w14:paraId="1DFC150D" w14:textId="77777777" w:rsidR="00000000" w:rsidRDefault="00195E73">
            <w:pPr>
              <w:rPr>
                <w:rFonts w:eastAsia="Times New Roman"/>
                <w:sz w:val="20"/>
                <w:szCs w:val="20"/>
              </w:rPr>
            </w:pPr>
          </w:p>
        </w:tc>
        <w:tc>
          <w:tcPr>
            <w:tcW w:w="50" w:type="pct"/>
            <w:vAlign w:val="center"/>
            <w:hideMark/>
          </w:tcPr>
          <w:p w14:paraId="6AC05608" w14:textId="77777777" w:rsidR="00000000" w:rsidRDefault="00195E73">
            <w:pPr>
              <w:rPr>
                <w:rFonts w:eastAsia="Times New Roman"/>
                <w:sz w:val="20"/>
                <w:szCs w:val="20"/>
              </w:rPr>
            </w:pPr>
          </w:p>
        </w:tc>
        <w:tc>
          <w:tcPr>
            <w:tcW w:w="3970" w:type="pct"/>
            <w:vAlign w:val="center"/>
            <w:hideMark/>
          </w:tcPr>
          <w:p w14:paraId="6FB16797" w14:textId="77777777" w:rsidR="00000000" w:rsidRDefault="00195E73">
            <w:pPr>
              <w:rPr>
                <w:rFonts w:eastAsia="Times New Roman"/>
                <w:sz w:val="20"/>
                <w:szCs w:val="20"/>
              </w:rPr>
            </w:pPr>
          </w:p>
        </w:tc>
        <w:tc>
          <w:tcPr>
            <w:tcW w:w="50" w:type="pct"/>
            <w:vAlign w:val="center"/>
            <w:hideMark/>
          </w:tcPr>
          <w:p w14:paraId="03E00146" w14:textId="77777777" w:rsidR="00000000" w:rsidRDefault="00195E73">
            <w:pPr>
              <w:rPr>
                <w:rFonts w:eastAsia="Times New Roman"/>
                <w:sz w:val="20"/>
                <w:szCs w:val="20"/>
              </w:rPr>
            </w:pPr>
          </w:p>
        </w:tc>
        <w:tc>
          <w:tcPr>
            <w:tcW w:w="50" w:type="pct"/>
            <w:vAlign w:val="center"/>
            <w:hideMark/>
          </w:tcPr>
          <w:p w14:paraId="439D7FD2" w14:textId="77777777" w:rsidR="00000000" w:rsidRDefault="00195E73">
            <w:pPr>
              <w:rPr>
                <w:rFonts w:eastAsia="Times New Roman"/>
                <w:sz w:val="20"/>
                <w:szCs w:val="20"/>
              </w:rPr>
            </w:pPr>
          </w:p>
        </w:tc>
        <w:tc>
          <w:tcPr>
            <w:tcW w:w="280" w:type="pct"/>
            <w:vAlign w:val="center"/>
            <w:hideMark/>
          </w:tcPr>
          <w:p w14:paraId="0C3D6745" w14:textId="77777777" w:rsidR="00000000" w:rsidRDefault="00195E73">
            <w:pPr>
              <w:rPr>
                <w:rFonts w:eastAsia="Times New Roman"/>
                <w:sz w:val="20"/>
                <w:szCs w:val="20"/>
              </w:rPr>
            </w:pPr>
          </w:p>
        </w:tc>
        <w:tc>
          <w:tcPr>
            <w:tcW w:w="50" w:type="pct"/>
            <w:vAlign w:val="center"/>
            <w:hideMark/>
          </w:tcPr>
          <w:p w14:paraId="2AAF7C96" w14:textId="77777777" w:rsidR="00000000" w:rsidRDefault="00195E73">
            <w:pPr>
              <w:rPr>
                <w:rFonts w:eastAsia="Times New Roman"/>
                <w:sz w:val="20"/>
                <w:szCs w:val="20"/>
              </w:rPr>
            </w:pPr>
          </w:p>
        </w:tc>
      </w:tr>
      <w:tr w:rsidR="00000000" w14:paraId="6D4C0156" w14:textId="77777777">
        <w:trPr>
          <w:divId w:val="689647201"/>
          <w:jc w:val="center"/>
        </w:trPr>
        <w:tc>
          <w:tcPr>
            <w:tcW w:w="0" w:type="auto"/>
            <w:gridSpan w:val="3"/>
            <w:tcMar>
              <w:top w:w="15" w:type="dxa"/>
              <w:left w:w="20" w:type="dxa"/>
              <w:bottom w:w="15" w:type="dxa"/>
              <w:right w:w="20" w:type="dxa"/>
            </w:tcMar>
            <w:vAlign w:val="bottom"/>
            <w:hideMark/>
          </w:tcPr>
          <w:p w14:paraId="4AEF57BC"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B059260"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7FCD46DC" w14:textId="77777777" w:rsidR="00000000" w:rsidRDefault="00195E73">
            <w:pPr>
              <w:jc w:val="center"/>
              <w:rPr>
                <w:rFonts w:eastAsia="Times New Roman"/>
              </w:rPr>
            </w:pPr>
            <w:r>
              <w:rPr>
                <w:rFonts w:eastAsia="Times New Roman"/>
                <w:b/>
                <w:bCs/>
                <w:color w:val="000000"/>
                <w:sz w:val="16"/>
                <w:szCs w:val="16"/>
              </w:rPr>
              <w:t>Pag</w:t>
            </w:r>
            <w:r>
              <w:rPr>
                <w:rFonts w:eastAsia="Times New Roman"/>
                <w:b/>
                <w:bCs/>
                <w:color w:val="000000"/>
                <w:sz w:val="16"/>
                <w:szCs w:val="16"/>
              </w:rPr>
              <w:t>e</w:t>
            </w:r>
          </w:p>
          <w:p w14:paraId="01246BE6" w14:textId="77777777" w:rsidR="00000000" w:rsidRDefault="00195E73">
            <w:pPr>
              <w:jc w:val="center"/>
              <w:rPr>
                <w:rFonts w:eastAsia="Times New Roman"/>
              </w:rPr>
            </w:pPr>
            <w:r>
              <w:rPr>
                <w:rFonts w:eastAsia="Times New Roman"/>
                <w:b/>
                <w:bCs/>
                <w:color w:val="000000"/>
                <w:sz w:val="16"/>
                <w:szCs w:val="16"/>
              </w:rPr>
              <w:t>N</w:t>
            </w:r>
            <w:r>
              <w:rPr>
                <w:rFonts w:eastAsia="Times New Roman"/>
                <w:b/>
                <w:bCs/>
                <w:color w:val="000000"/>
                <w:sz w:val="16"/>
                <w:szCs w:val="16"/>
              </w:rPr>
              <w:t>o</w:t>
            </w:r>
            <w:r>
              <w:rPr>
                <w:rFonts w:eastAsia="Times New Roman"/>
                <w:color w:val="000000"/>
                <w:sz w:val="16"/>
                <w:szCs w:val="16"/>
              </w:rPr>
              <w:t>.</w:t>
            </w:r>
          </w:p>
        </w:tc>
      </w:tr>
      <w:tr w:rsidR="00000000" w14:paraId="4DEBD3BD" w14:textId="77777777">
        <w:trPr>
          <w:divId w:val="689647201"/>
          <w:jc w:val="center"/>
        </w:trPr>
        <w:tc>
          <w:tcPr>
            <w:tcW w:w="0" w:type="auto"/>
            <w:gridSpan w:val="3"/>
            <w:shd w:val="clear" w:color="auto" w:fill="CCEEFF"/>
            <w:tcMar>
              <w:top w:w="15" w:type="dxa"/>
              <w:left w:w="20" w:type="dxa"/>
              <w:bottom w:w="15" w:type="dxa"/>
              <w:right w:w="20" w:type="dxa"/>
            </w:tcMar>
            <w:vAlign w:val="bottom"/>
            <w:hideMark/>
          </w:tcPr>
          <w:p w14:paraId="17DC3595" w14:textId="77777777" w:rsidR="00000000" w:rsidRDefault="00195E73">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6006560" w14:textId="77777777" w:rsidR="00000000" w:rsidRDefault="00195E73">
            <w:pPr>
              <w:divId w:val="2025285192"/>
              <w:rPr>
                <w:rFonts w:eastAsia="Times New Roman"/>
              </w:rPr>
            </w:pPr>
            <w:hyperlink w:anchor="ie32f54975c224c3bb6f920bef14ea8e4_10" w:history="1">
              <w:r>
                <w:rPr>
                  <w:rStyle w:val="a3"/>
                  <w:rFonts w:eastAsia="Times New Roman"/>
                  <w:sz w:val="20"/>
                  <w:szCs w:val="20"/>
                </w:rPr>
                <w:t>Explanatory Note and Forward-Looking Statements</w:t>
              </w:r>
            </w:hyperlink>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83E0253" w14:textId="77777777" w:rsidR="00000000" w:rsidRDefault="00195E73">
            <w:pPr>
              <w:jc w:val="center"/>
              <w:rPr>
                <w:rFonts w:eastAsia="Times New Roman"/>
              </w:rPr>
            </w:pPr>
            <w:hyperlink w:anchor="ie32f54975c224c3bb6f920bef14ea8e4_10" w:history="1">
              <w:r>
                <w:rPr>
                  <w:rStyle w:val="a3"/>
                  <w:rFonts w:eastAsia="Times New Roman"/>
                  <w:sz w:val="20"/>
                  <w:szCs w:val="20"/>
                </w:rPr>
                <w:t>1</w:t>
              </w:r>
            </w:hyperlink>
          </w:p>
        </w:tc>
      </w:tr>
      <w:tr w:rsidR="00000000" w14:paraId="55C3D94D" w14:textId="77777777">
        <w:trPr>
          <w:divId w:val="689647201"/>
          <w:trHeight w:val="240"/>
          <w:jc w:val="center"/>
        </w:trPr>
        <w:tc>
          <w:tcPr>
            <w:tcW w:w="0" w:type="auto"/>
            <w:gridSpan w:val="3"/>
            <w:shd w:val="clear" w:color="auto" w:fill="FFFFFF"/>
            <w:tcMar>
              <w:top w:w="15" w:type="dxa"/>
              <w:left w:w="20" w:type="dxa"/>
              <w:bottom w:w="15" w:type="dxa"/>
              <w:right w:w="20" w:type="dxa"/>
            </w:tcMar>
            <w:vAlign w:val="bottom"/>
            <w:hideMark/>
          </w:tcPr>
          <w:p w14:paraId="6B26CC3B" w14:textId="77777777" w:rsidR="00000000" w:rsidRDefault="00195E73">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A75D3B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547FD0E" w14:textId="77777777" w:rsidR="00000000" w:rsidRDefault="00195E73">
            <w:pPr>
              <w:rPr>
                <w:rFonts w:eastAsia="Times New Roman"/>
                <w:sz w:val="20"/>
                <w:szCs w:val="20"/>
              </w:rPr>
            </w:pPr>
          </w:p>
        </w:tc>
      </w:tr>
      <w:tr w:rsidR="00000000" w14:paraId="36D9C446" w14:textId="77777777">
        <w:trPr>
          <w:divId w:val="689647201"/>
          <w:jc w:val="center"/>
        </w:trPr>
        <w:tc>
          <w:tcPr>
            <w:tcW w:w="0" w:type="auto"/>
            <w:gridSpan w:val="3"/>
            <w:shd w:val="clear" w:color="auto" w:fill="CCEEFF"/>
            <w:tcMar>
              <w:top w:w="15" w:type="dxa"/>
              <w:left w:w="20" w:type="dxa"/>
              <w:bottom w:w="15" w:type="dxa"/>
              <w:right w:w="20" w:type="dxa"/>
            </w:tcMar>
            <w:vAlign w:val="bottom"/>
            <w:hideMark/>
          </w:tcPr>
          <w:p w14:paraId="5574494B" w14:textId="77777777" w:rsidR="00000000" w:rsidRDefault="00195E7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92CB8C8" w14:textId="77777777" w:rsidR="00000000" w:rsidRDefault="00195E73">
            <w:pPr>
              <w:jc w:val="center"/>
              <w:rPr>
                <w:rFonts w:eastAsia="Times New Roman"/>
              </w:rPr>
            </w:pPr>
            <w:r>
              <w:rPr>
                <w:rFonts w:eastAsia="Times New Roman"/>
                <w:b/>
                <w:bCs/>
                <w:color w:val="000000"/>
                <w:sz w:val="20"/>
                <w:szCs w:val="20"/>
              </w:rPr>
              <w:t xml:space="preserve">PART </w:t>
            </w:r>
            <w:r>
              <w:rPr>
                <w:rFonts w:eastAsia="Times New Roman"/>
                <w:b/>
                <w:bCs/>
                <w:color w:val="000000"/>
                <w:sz w:val="20"/>
                <w:szCs w:val="20"/>
              </w:rPr>
              <w:t>I</w:t>
            </w:r>
          </w:p>
        </w:tc>
        <w:tc>
          <w:tcPr>
            <w:tcW w:w="0" w:type="auto"/>
            <w:gridSpan w:val="3"/>
            <w:shd w:val="clear" w:color="auto" w:fill="CCEEFF"/>
            <w:tcMar>
              <w:top w:w="15" w:type="dxa"/>
              <w:left w:w="20" w:type="dxa"/>
              <w:bottom w:w="15" w:type="dxa"/>
              <w:right w:w="20" w:type="dxa"/>
            </w:tcMar>
            <w:vAlign w:val="bottom"/>
            <w:hideMark/>
          </w:tcPr>
          <w:p w14:paraId="73B9B821" w14:textId="77777777" w:rsidR="00000000" w:rsidRDefault="00195E73">
            <w:pPr>
              <w:jc w:val="center"/>
              <w:rPr>
                <w:rFonts w:eastAsia="Times New Roman"/>
              </w:rPr>
            </w:pPr>
          </w:p>
        </w:tc>
      </w:tr>
      <w:tr w:rsidR="00000000" w14:paraId="7379A1A0" w14:textId="77777777">
        <w:trPr>
          <w:divId w:val="689647201"/>
          <w:jc w:val="center"/>
        </w:trPr>
        <w:tc>
          <w:tcPr>
            <w:tcW w:w="0" w:type="auto"/>
            <w:gridSpan w:val="3"/>
            <w:shd w:val="clear" w:color="auto" w:fill="FFFFFF"/>
            <w:tcMar>
              <w:top w:w="30" w:type="dxa"/>
              <w:left w:w="20" w:type="dxa"/>
              <w:bottom w:w="30" w:type="dxa"/>
              <w:right w:w="20" w:type="dxa"/>
            </w:tcMar>
            <w:hideMark/>
          </w:tcPr>
          <w:p w14:paraId="5B4B75B0" w14:textId="77777777" w:rsidR="00000000" w:rsidRDefault="00195E73">
            <w:pPr>
              <w:divId w:val="202063702"/>
              <w:rPr>
                <w:rFonts w:eastAsia="Times New Roman"/>
              </w:rPr>
            </w:pPr>
            <w:hyperlink w:anchor="ie32f54975c224c3bb6f920bef14ea8e4_16"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vAlign w:val="bottom"/>
            <w:hideMark/>
          </w:tcPr>
          <w:p w14:paraId="78EECCFB" w14:textId="77777777" w:rsidR="00000000" w:rsidRDefault="00195E73">
            <w:pPr>
              <w:divId w:val="1434015458"/>
              <w:rPr>
                <w:rFonts w:eastAsia="Times New Roman"/>
              </w:rPr>
            </w:pPr>
            <w:hyperlink w:anchor="ie32f54975c224c3bb6f920bef14ea8e4_16" w:history="1">
              <w:r>
                <w:rPr>
                  <w:rStyle w:val="a3"/>
                  <w:rFonts w:eastAsia="Times New Roman"/>
                  <w:sz w:val="20"/>
                  <w:szCs w:val="20"/>
                </w:rPr>
                <w:t>Business</w:t>
              </w:r>
            </w:hyperlink>
          </w:p>
        </w:tc>
        <w:tc>
          <w:tcPr>
            <w:tcW w:w="0" w:type="auto"/>
            <w:gridSpan w:val="3"/>
            <w:shd w:val="clear" w:color="auto" w:fill="FFFFFF"/>
            <w:tcMar>
              <w:top w:w="30" w:type="dxa"/>
              <w:left w:w="20" w:type="dxa"/>
              <w:bottom w:w="30" w:type="dxa"/>
              <w:right w:w="20" w:type="dxa"/>
            </w:tcMar>
            <w:vAlign w:val="bottom"/>
            <w:hideMark/>
          </w:tcPr>
          <w:p w14:paraId="7C3AB689" w14:textId="77777777" w:rsidR="00000000" w:rsidRDefault="00195E73">
            <w:pPr>
              <w:jc w:val="center"/>
              <w:rPr>
                <w:rFonts w:eastAsia="Times New Roman"/>
              </w:rPr>
            </w:pPr>
            <w:hyperlink w:anchor="ie32f54975c224c3bb6f920bef14ea8e4_16" w:history="1">
              <w:r>
                <w:rPr>
                  <w:rStyle w:val="a3"/>
                  <w:rFonts w:eastAsia="Times New Roman"/>
                  <w:sz w:val="20"/>
                  <w:szCs w:val="20"/>
                </w:rPr>
                <w:t>2</w:t>
              </w:r>
            </w:hyperlink>
          </w:p>
        </w:tc>
      </w:tr>
      <w:tr w:rsidR="00000000" w14:paraId="5D2DECAC" w14:textId="77777777">
        <w:trPr>
          <w:divId w:val="689647201"/>
          <w:jc w:val="center"/>
        </w:trPr>
        <w:tc>
          <w:tcPr>
            <w:tcW w:w="0" w:type="auto"/>
            <w:gridSpan w:val="3"/>
            <w:shd w:val="clear" w:color="auto" w:fill="CCEEFF"/>
            <w:tcMar>
              <w:top w:w="30" w:type="dxa"/>
              <w:left w:w="20" w:type="dxa"/>
              <w:bottom w:w="30" w:type="dxa"/>
              <w:right w:w="20" w:type="dxa"/>
            </w:tcMar>
            <w:hideMark/>
          </w:tcPr>
          <w:p w14:paraId="1C3A5AB5" w14:textId="77777777" w:rsidR="00000000" w:rsidRDefault="00195E73">
            <w:pPr>
              <w:divId w:val="1031995616"/>
              <w:rPr>
                <w:rFonts w:eastAsia="Times New Roman"/>
              </w:rPr>
            </w:pPr>
            <w:hyperlink w:anchor="ie32f54975c224c3bb6f920bef14ea8e4_19" w:history="1">
              <w:r>
                <w:rPr>
                  <w:rStyle w:val="a3"/>
                  <w:rFonts w:eastAsia="Times New Roman"/>
                  <w:sz w:val="20"/>
                  <w:szCs w:val="20"/>
                </w:rPr>
                <w:t>Item 1A.</w:t>
              </w:r>
            </w:hyperlink>
          </w:p>
        </w:tc>
        <w:tc>
          <w:tcPr>
            <w:tcW w:w="0" w:type="auto"/>
            <w:gridSpan w:val="3"/>
            <w:shd w:val="clear" w:color="auto" w:fill="CCEEFF"/>
            <w:tcMar>
              <w:top w:w="30" w:type="dxa"/>
              <w:left w:w="20" w:type="dxa"/>
              <w:bottom w:w="30" w:type="dxa"/>
              <w:right w:w="20" w:type="dxa"/>
            </w:tcMar>
            <w:vAlign w:val="bottom"/>
            <w:hideMark/>
          </w:tcPr>
          <w:p w14:paraId="05B694AB" w14:textId="77777777" w:rsidR="00000000" w:rsidRDefault="00195E73">
            <w:pPr>
              <w:divId w:val="402486228"/>
              <w:rPr>
                <w:rFonts w:eastAsia="Times New Roman"/>
              </w:rPr>
            </w:pPr>
            <w:hyperlink w:anchor="ie32f54975c224c3bb6f920bef14ea8e4_19"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vAlign w:val="bottom"/>
            <w:hideMark/>
          </w:tcPr>
          <w:p w14:paraId="48721F77" w14:textId="77777777" w:rsidR="00000000" w:rsidRDefault="00195E73">
            <w:pPr>
              <w:jc w:val="center"/>
              <w:rPr>
                <w:rFonts w:eastAsia="Times New Roman"/>
              </w:rPr>
            </w:pPr>
            <w:hyperlink w:anchor="ie32f54975c224c3bb6f920bef14ea8e4_19" w:history="1">
              <w:r>
                <w:rPr>
                  <w:rStyle w:val="a3"/>
                  <w:rFonts w:eastAsia="Times New Roman"/>
                  <w:sz w:val="20"/>
                  <w:szCs w:val="20"/>
                </w:rPr>
                <w:t>9</w:t>
              </w:r>
            </w:hyperlink>
          </w:p>
        </w:tc>
      </w:tr>
      <w:tr w:rsidR="00000000" w14:paraId="4D3F9AD3" w14:textId="77777777">
        <w:trPr>
          <w:divId w:val="689647201"/>
          <w:jc w:val="center"/>
        </w:trPr>
        <w:tc>
          <w:tcPr>
            <w:tcW w:w="0" w:type="auto"/>
            <w:gridSpan w:val="3"/>
            <w:shd w:val="clear" w:color="auto" w:fill="FFFFFF"/>
            <w:tcMar>
              <w:top w:w="30" w:type="dxa"/>
              <w:left w:w="20" w:type="dxa"/>
              <w:bottom w:w="30" w:type="dxa"/>
              <w:right w:w="20" w:type="dxa"/>
            </w:tcMar>
            <w:hideMark/>
          </w:tcPr>
          <w:p w14:paraId="45DD7786" w14:textId="77777777" w:rsidR="00000000" w:rsidRDefault="00195E73">
            <w:pPr>
              <w:divId w:val="1219438370"/>
              <w:rPr>
                <w:rFonts w:eastAsia="Times New Roman"/>
              </w:rPr>
            </w:pPr>
            <w:hyperlink w:anchor="ie32f54975c224c3bb6f920bef14ea8e4_22" w:history="1">
              <w:r>
                <w:rPr>
                  <w:rStyle w:val="a3"/>
                  <w:rFonts w:eastAsia="Times New Roman"/>
                  <w:sz w:val="20"/>
                  <w:szCs w:val="20"/>
                </w:rPr>
                <w:t>Item 1B.</w:t>
              </w:r>
            </w:hyperlink>
          </w:p>
        </w:tc>
        <w:tc>
          <w:tcPr>
            <w:tcW w:w="0" w:type="auto"/>
            <w:gridSpan w:val="3"/>
            <w:shd w:val="clear" w:color="auto" w:fill="FFFFFF"/>
            <w:tcMar>
              <w:top w:w="30" w:type="dxa"/>
              <w:left w:w="20" w:type="dxa"/>
              <w:bottom w:w="30" w:type="dxa"/>
              <w:right w:w="20" w:type="dxa"/>
            </w:tcMar>
            <w:vAlign w:val="bottom"/>
            <w:hideMark/>
          </w:tcPr>
          <w:p w14:paraId="5C3F1EE1" w14:textId="77777777" w:rsidR="00000000" w:rsidRDefault="00195E73">
            <w:pPr>
              <w:divId w:val="1324822356"/>
              <w:rPr>
                <w:rFonts w:eastAsia="Times New Roman"/>
              </w:rPr>
            </w:pPr>
            <w:hyperlink w:anchor="ie32f54975c224c3bb6f920bef14ea8e4_22" w:history="1">
              <w:r>
                <w:rPr>
                  <w:rStyle w:val="a3"/>
                  <w:rFonts w:eastAsia="Times New Roman"/>
                  <w:sz w:val="20"/>
                  <w:szCs w:val="20"/>
                </w:rPr>
                <w:t>Unresolved Staff Comments</w:t>
              </w:r>
            </w:hyperlink>
          </w:p>
        </w:tc>
        <w:tc>
          <w:tcPr>
            <w:tcW w:w="0" w:type="auto"/>
            <w:gridSpan w:val="3"/>
            <w:shd w:val="clear" w:color="auto" w:fill="FFFFFF"/>
            <w:tcMar>
              <w:top w:w="30" w:type="dxa"/>
              <w:left w:w="20" w:type="dxa"/>
              <w:bottom w:w="30" w:type="dxa"/>
              <w:right w:w="20" w:type="dxa"/>
            </w:tcMar>
            <w:vAlign w:val="bottom"/>
            <w:hideMark/>
          </w:tcPr>
          <w:p w14:paraId="7C907759" w14:textId="77777777" w:rsidR="00000000" w:rsidRDefault="00195E73">
            <w:pPr>
              <w:jc w:val="center"/>
              <w:rPr>
                <w:rFonts w:eastAsia="Times New Roman"/>
              </w:rPr>
            </w:pPr>
            <w:hyperlink w:anchor="ie32f54975c224c3bb6f920bef14ea8e4_22" w:history="1">
              <w:r>
                <w:rPr>
                  <w:rStyle w:val="a3"/>
                  <w:rFonts w:eastAsia="Times New Roman"/>
                  <w:sz w:val="20"/>
                  <w:szCs w:val="20"/>
                </w:rPr>
                <w:t>27</w:t>
              </w:r>
            </w:hyperlink>
          </w:p>
        </w:tc>
      </w:tr>
      <w:tr w:rsidR="00000000" w14:paraId="4B9CE081" w14:textId="77777777">
        <w:trPr>
          <w:divId w:val="689647201"/>
          <w:jc w:val="center"/>
        </w:trPr>
        <w:tc>
          <w:tcPr>
            <w:tcW w:w="0" w:type="auto"/>
            <w:gridSpan w:val="3"/>
            <w:shd w:val="clear" w:color="auto" w:fill="CCEEFF"/>
            <w:tcMar>
              <w:top w:w="30" w:type="dxa"/>
              <w:left w:w="20" w:type="dxa"/>
              <w:bottom w:w="30" w:type="dxa"/>
              <w:right w:w="20" w:type="dxa"/>
            </w:tcMar>
            <w:hideMark/>
          </w:tcPr>
          <w:p w14:paraId="1C23767B" w14:textId="77777777" w:rsidR="00000000" w:rsidRDefault="00195E73">
            <w:pPr>
              <w:divId w:val="1303002422"/>
              <w:rPr>
                <w:rFonts w:eastAsia="Times New Roman"/>
              </w:rPr>
            </w:pPr>
            <w:hyperlink w:anchor="ie32f54975c224c3bb6f920bef14ea8e4_25" w:history="1">
              <w:r>
                <w:rPr>
                  <w:rStyle w:val="a3"/>
                  <w:rFonts w:eastAsia="Times New Roman"/>
                  <w:sz w:val="20"/>
                  <w:szCs w:val="20"/>
                </w:rPr>
                <w:t>Item 2.</w:t>
              </w:r>
            </w:hyperlink>
          </w:p>
        </w:tc>
        <w:tc>
          <w:tcPr>
            <w:tcW w:w="0" w:type="auto"/>
            <w:gridSpan w:val="3"/>
            <w:shd w:val="clear" w:color="auto" w:fill="CCEEFF"/>
            <w:tcMar>
              <w:top w:w="30" w:type="dxa"/>
              <w:left w:w="20" w:type="dxa"/>
              <w:bottom w:w="30" w:type="dxa"/>
              <w:right w:w="20" w:type="dxa"/>
            </w:tcMar>
            <w:vAlign w:val="bottom"/>
            <w:hideMark/>
          </w:tcPr>
          <w:p w14:paraId="178520C2" w14:textId="77777777" w:rsidR="00000000" w:rsidRDefault="00195E73">
            <w:pPr>
              <w:divId w:val="1223911151"/>
              <w:rPr>
                <w:rFonts w:eastAsia="Times New Roman"/>
              </w:rPr>
            </w:pPr>
            <w:hyperlink w:anchor="ie32f54975c224c3bb6f920bef14ea8e4_25" w:history="1">
              <w:r>
                <w:rPr>
                  <w:rStyle w:val="a3"/>
                  <w:rFonts w:eastAsia="Times New Roman"/>
                  <w:sz w:val="20"/>
                  <w:szCs w:val="20"/>
                </w:rPr>
                <w:t>Properties</w:t>
              </w:r>
            </w:hyperlink>
          </w:p>
        </w:tc>
        <w:tc>
          <w:tcPr>
            <w:tcW w:w="0" w:type="auto"/>
            <w:gridSpan w:val="3"/>
            <w:shd w:val="clear" w:color="auto" w:fill="CCEEFF"/>
            <w:tcMar>
              <w:top w:w="30" w:type="dxa"/>
              <w:left w:w="20" w:type="dxa"/>
              <w:bottom w:w="30" w:type="dxa"/>
              <w:right w:w="20" w:type="dxa"/>
            </w:tcMar>
            <w:vAlign w:val="bottom"/>
            <w:hideMark/>
          </w:tcPr>
          <w:p w14:paraId="69465E4F" w14:textId="77777777" w:rsidR="00000000" w:rsidRDefault="00195E73">
            <w:pPr>
              <w:jc w:val="center"/>
              <w:rPr>
                <w:rFonts w:eastAsia="Times New Roman"/>
              </w:rPr>
            </w:pPr>
            <w:hyperlink w:anchor="ie32f54975c224c3bb6f920bef14ea8e4_25" w:history="1">
              <w:r>
                <w:rPr>
                  <w:rStyle w:val="a3"/>
                  <w:rFonts w:eastAsia="Times New Roman"/>
                  <w:sz w:val="20"/>
                  <w:szCs w:val="20"/>
                </w:rPr>
                <w:t>27</w:t>
              </w:r>
            </w:hyperlink>
          </w:p>
        </w:tc>
      </w:tr>
      <w:tr w:rsidR="00000000" w14:paraId="6D80DF70" w14:textId="77777777">
        <w:trPr>
          <w:divId w:val="689647201"/>
          <w:jc w:val="center"/>
        </w:trPr>
        <w:tc>
          <w:tcPr>
            <w:tcW w:w="0" w:type="auto"/>
            <w:gridSpan w:val="3"/>
            <w:shd w:val="clear" w:color="auto" w:fill="FFFFFF"/>
            <w:tcMar>
              <w:top w:w="30" w:type="dxa"/>
              <w:left w:w="20" w:type="dxa"/>
              <w:bottom w:w="30" w:type="dxa"/>
              <w:right w:w="20" w:type="dxa"/>
            </w:tcMar>
            <w:hideMark/>
          </w:tcPr>
          <w:p w14:paraId="5C5D8C9A" w14:textId="77777777" w:rsidR="00000000" w:rsidRDefault="00195E73">
            <w:pPr>
              <w:divId w:val="293415845"/>
              <w:rPr>
                <w:rFonts w:eastAsia="Times New Roman"/>
              </w:rPr>
            </w:pPr>
            <w:hyperlink w:anchor="ie32f54975c224c3bb6f920bef14ea8e4_28" w:history="1">
              <w:r>
                <w:rPr>
                  <w:rStyle w:val="a3"/>
                  <w:rFonts w:eastAsia="Times New Roman"/>
                  <w:sz w:val="20"/>
                  <w:szCs w:val="20"/>
                </w:rPr>
                <w:t>Item 3.</w:t>
              </w:r>
            </w:hyperlink>
          </w:p>
        </w:tc>
        <w:tc>
          <w:tcPr>
            <w:tcW w:w="0" w:type="auto"/>
            <w:gridSpan w:val="3"/>
            <w:shd w:val="clear" w:color="auto" w:fill="FFFFFF"/>
            <w:tcMar>
              <w:top w:w="30" w:type="dxa"/>
              <w:left w:w="20" w:type="dxa"/>
              <w:bottom w:w="30" w:type="dxa"/>
              <w:right w:w="20" w:type="dxa"/>
            </w:tcMar>
            <w:vAlign w:val="bottom"/>
            <w:hideMark/>
          </w:tcPr>
          <w:p w14:paraId="0BE7E4B0" w14:textId="77777777" w:rsidR="00000000" w:rsidRDefault="00195E73">
            <w:pPr>
              <w:divId w:val="1648825873"/>
              <w:rPr>
                <w:rFonts w:eastAsia="Times New Roman"/>
              </w:rPr>
            </w:pPr>
            <w:hyperlink w:anchor="ie32f54975c224c3bb6f920bef14ea8e4_28"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vAlign w:val="bottom"/>
            <w:hideMark/>
          </w:tcPr>
          <w:p w14:paraId="5A3CE743" w14:textId="77777777" w:rsidR="00000000" w:rsidRDefault="00195E73">
            <w:pPr>
              <w:jc w:val="center"/>
              <w:rPr>
                <w:rFonts w:eastAsia="Times New Roman"/>
              </w:rPr>
            </w:pPr>
            <w:hyperlink w:anchor="ie32f54975c224c3bb6f920bef14ea8e4_28" w:history="1">
              <w:r>
                <w:rPr>
                  <w:rStyle w:val="a3"/>
                  <w:rFonts w:eastAsia="Times New Roman"/>
                  <w:sz w:val="20"/>
                  <w:szCs w:val="20"/>
                </w:rPr>
                <w:t>27</w:t>
              </w:r>
            </w:hyperlink>
          </w:p>
        </w:tc>
      </w:tr>
      <w:tr w:rsidR="00000000" w14:paraId="3335EE37" w14:textId="77777777">
        <w:trPr>
          <w:divId w:val="689647201"/>
          <w:jc w:val="center"/>
        </w:trPr>
        <w:tc>
          <w:tcPr>
            <w:tcW w:w="0" w:type="auto"/>
            <w:gridSpan w:val="3"/>
            <w:shd w:val="clear" w:color="auto" w:fill="CCEEFF"/>
            <w:tcMar>
              <w:top w:w="30" w:type="dxa"/>
              <w:left w:w="20" w:type="dxa"/>
              <w:bottom w:w="30" w:type="dxa"/>
              <w:right w:w="20" w:type="dxa"/>
            </w:tcMar>
            <w:hideMark/>
          </w:tcPr>
          <w:p w14:paraId="0408AD53" w14:textId="77777777" w:rsidR="00000000" w:rsidRDefault="00195E73">
            <w:pPr>
              <w:divId w:val="220557227"/>
              <w:rPr>
                <w:rFonts w:eastAsia="Times New Roman"/>
              </w:rPr>
            </w:pPr>
            <w:hyperlink w:anchor="ie32f54975c224c3bb6f920bef14ea8e4_31" w:history="1">
              <w:r>
                <w:rPr>
                  <w:rStyle w:val="a3"/>
                  <w:rFonts w:eastAsia="Times New Roman"/>
                  <w:sz w:val="20"/>
                  <w:szCs w:val="20"/>
                </w:rPr>
                <w:t>Item 4.</w:t>
              </w:r>
            </w:hyperlink>
          </w:p>
        </w:tc>
        <w:tc>
          <w:tcPr>
            <w:tcW w:w="0" w:type="auto"/>
            <w:gridSpan w:val="3"/>
            <w:shd w:val="clear" w:color="auto" w:fill="CCEEFF"/>
            <w:tcMar>
              <w:top w:w="30" w:type="dxa"/>
              <w:left w:w="20" w:type="dxa"/>
              <w:bottom w:w="30" w:type="dxa"/>
              <w:right w:w="20" w:type="dxa"/>
            </w:tcMar>
            <w:vAlign w:val="bottom"/>
            <w:hideMark/>
          </w:tcPr>
          <w:p w14:paraId="5BEDF057" w14:textId="77777777" w:rsidR="00000000" w:rsidRDefault="00195E73">
            <w:pPr>
              <w:divId w:val="573197921"/>
              <w:rPr>
                <w:rFonts w:eastAsia="Times New Roman"/>
              </w:rPr>
            </w:pPr>
            <w:hyperlink w:anchor="ie32f54975c224c3bb6f920bef14ea8e4_31" w:history="1">
              <w:r>
                <w:rPr>
                  <w:rStyle w:val="a3"/>
                  <w:rFonts w:eastAsia="Times New Roman"/>
                  <w:sz w:val="20"/>
                  <w:szCs w:val="20"/>
                </w:rPr>
                <w:t>Mine Safety Disclosures</w:t>
              </w:r>
            </w:hyperlink>
          </w:p>
        </w:tc>
        <w:tc>
          <w:tcPr>
            <w:tcW w:w="0" w:type="auto"/>
            <w:gridSpan w:val="3"/>
            <w:shd w:val="clear" w:color="auto" w:fill="CCEEFF"/>
            <w:tcMar>
              <w:top w:w="30" w:type="dxa"/>
              <w:left w:w="20" w:type="dxa"/>
              <w:bottom w:w="30" w:type="dxa"/>
              <w:right w:w="20" w:type="dxa"/>
            </w:tcMar>
            <w:vAlign w:val="bottom"/>
            <w:hideMark/>
          </w:tcPr>
          <w:p w14:paraId="522A135E" w14:textId="77777777" w:rsidR="00000000" w:rsidRDefault="00195E73">
            <w:pPr>
              <w:jc w:val="center"/>
              <w:rPr>
                <w:rFonts w:eastAsia="Times New Roman"/>
              </w:rPr>
            </w:pPr>
            <w:hyperlink w:anchor="ie32f54975c224c3bb6f920bef14ea8e4_31" w:history="1">
              <w:r>
                <w:rPr>
                  <w:rStyle w:val="a3"/>
                  <w:rFonts w:eastAsia="Times New Roman"/>
                  <w:sz w:val="20"/>
                  <w:szCs w:val="20"/>
                </w:rPr>
                <w:t>28</w:t>
              </w:r>
            </w:hyperlink>
          </w:p>
        </w:tc>
      </w:tr>
      <w:tr w:rsidR="00000000" w14:paraId="35AD6AA3" w14:textId="77777777">
        <w:trPr>
          <w:divId w:val="689647201"/>
          <w:trHeight w:val="280"/>
          <w:jc w:val="center"/>
        </w:trPr>
        <w:tc>
          <w:tcPr>
            <w:tcW w:w="0" w:type="auto"/>
            <w:gridSpan w:val="3"/>
            <w:shd w:val="clear" w:color="auto" w:fill="FFFFFF"/>
            <w:tcMar>
              <w:top w:w="15" w:type="dxa"/>
              <w:left w:w="20" w:type="dxa"/>
              <w:bottom w:w="15" w:type="dxa"/>
              <w:right w:w="20" w:type="dxa"/>
            </w:tcMar>
            <w:vAlign w:val="bottom"/>
            <w:hideMark/>
          </w:tcPr>
          <w:p w14:paraId="3700917E" w14:textId="77777777" w:rsidR="00000000" w:rsidRDefault="00195E73">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BDA5CA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3203565" w14:textId="77777777" w:rsidR="00000000" w:rsidRDefault="00195E73">
            <w:pPr>
              <w:rPr>
                <w:rFonts w:eastAsia="Times New Roman"/>
                <w:sz w:val="20"/>
                <w:szCs w:val="20"/>
              </w:rPr>
            </w:pPr>
          </w:p>
        </w:tc>
      </w:tr>
      <w:tr w:rsidR="00000000" w14:paraId="750C0710" w14:textId="77777777">
        <w:trPr>
          <w:divId w:val="689647201"/>
          <w:jc w:val="center"/>
        </w:trPr>
        <w:tc>
          <w:tcPr>
            <w:tcW w:w="0" w:type="auto"/>
            <w:gridSpan w:val="3"/>
            <w:shd w:val="clear" w:color="auto" w:fill="CCEEFF"/>
            <w:tcMar>
              <w:top w:w="15" w:type="dxa"/>
              <w:left w:w="20" w:type="dxa"/>
              <w:bottom w:w="15" w:type="dxa"/>
              <w:right w:w="20" w:type="dxa"/>
            </w:tcMar>
            <w:vAlign w:val="bottom"/>
            <w:hideMark/>
          </w:tcPr>
          <w:p w14:paraId="58E0CE4C" w14:textId="77777777" w:rsidR="00000000" w:rsidRDefault="00195E7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35726B5" w14:textId="77777777" w:rsidR="00000000" w:rsidRDefault="00195E73">
            <w:pPr>
              <w:jc w:val="center"/>
              <w:rPr>
                <w:rFonts w:eastAsia="Times New Roman"/>
              </w:rPr>
            </w:pPr>
            <w:r>
              <w:rPr>
                <w:rFonts w:eastAsia="Times New Roman"/>
                <w:b/>
                <w:bCs/>
                <w:color w:val="000000"/>
                <w:sz w:val="20"/>
                <w:szCs w:val="20"/>
              </w:rPr>
              <w:t>PART I</w:t>
            </w:r>
            <w:r>
              <w:rPr>
                <w:rFonts w:eastAsia="Times New Roman"/>
                <w:b/>
                <w:bCs/>
                <w:color w:val="000000"/>
                <w:sz w:val="20"/>
                <w:szCs w:val="20"/>
              </w:rPr>
              <w:t>I</w:t>
            </w:r>
          </w:p>
        </w:tc>
        <w:tc>
          <w:tcPr>
            <w:tcW w:w="0" w:type="auto"/>
            <w:gridSpan w:val="3"/>
            <w:shd w:val="clear" w:color="auto" w:fill="CCEEFF"/>
            <w:tcMar>
              <w:top w:w="15" w:type="dxa"/>
              <w:left w:w="20" w:type="dxa"/>
              <w:bottom w:w="15" w:type="dxa"/>
              <w:right w:w="20" w:type="dxa"/>
            </w:tcMar>
            <w:vAlign w:val="bottom"/>
            <w:hideMark/>
          </w:tcPr>
          <w:p w14:paraId="0174B337" w14:textId="77777777" w:rsidR="00000000" w:rsidRDefault="00195E73">
            <w:pPr>
              <w:jc w:val="center"/>
              <w:rPr>
                <w:rFonts w:eastAsia="Times New Roman"/>
              </w:rPr>
            </w:pPr>
          </w:p>
        </w:tc>
      </w:tr>
      <w:tr w:rsidR="00000000" w14:paraId="1257633A" w14:textId="77777777">
        <w:trPr>
          <w:divId w:val="689647201"/>
          <w:jc w:val="center"/>
        </w:trPr>
        <w:tc>
          <w:tcPr>
            <w:tcW w:w="0" w:type="auto"/>
            <w:gridSpan w:val="3"/>
            <w:shd w:val="clear" w:color="auto" w:fill="FFFFFF"/>
            <w:tcMar>
              <w:top w:w="30" w:type="dxa"/>
              <w:left w:w="20" w:type="dxa"/>
              <w:bottom w:w="30" w:type="dxa"/>
              <w:right w:w="20" w:type="dxa"/>
            </w:tcMar>
            <w:hideMark/>
          </w:tcPr>
          <w:p w14:paraId="6977F8F5" w14:textId="77777777" w:rsidR="00000000" w:rsidRDefault="00195E73">
            <w:pPr>
              <w:divId w:val="2026782154"/>
              <w:rPr>
                <w:rFonts w:eastAsia="Times New Roman"/>
              </w:rPr>
            </w:pPr>
            <w:hyperlink w:anchor="ie32f54975c224c3bb6f920bef14ea8e4_37" w:history="1">
              <w:r>
                <w:rPr>
                  <w:rStyle w:val="a3"/>
                  <w:rFonts w:eastAsia="Times New Roman"/>
                  <w:sz w:val="20"/>
                  <w:szCs w:val="20"/>
                </w:rPr>
                <w:t>Item 5.</w:t>
              </w:r>
            </w:hyperlink>
          </w:p>
        </w:tc>
        <w:tc>
          <w:tcPr>
            <w:tcW w:w="0" w:type="auto"/>
            <w:gridSpan w:val="3"/>
            <w:shd w:val="clear" w:color="auto" w:fill="FFFFFF"/>
            <w:tcMar>
              <w:top w:w="30" w:type="dxa"/>
              <w:left w:w="20" w:type="dxa"/>
              <w:bottom w:w="30" w:type="dxa"/>
              <w:right w:w="20" w:type="dxa"/>
            </w:tcMar>
            <w:vAlign w:val="bottom"/>
            <w:hideMark/>
          </w:tcPr>
          <w:p w14:paraId="3A96B608" w14:textId="77777777" w:rsidR="00000000" w:rsidRDefault="00195E73">
            <w:pPr>
              <w:ind w:hanging="90"/>
              <w:divId w:val="2074615365"/>
              <w:rPr>
                <w:rFonts w:eastAsia="Times New Roman"/>
              </w:rPr>
            </w:pPr>
            <w:hyperlink w:anchor="ie32f54975c224c3bb6f920bef14ea8e4_37" w:history="1">
              <w:r>
                <w:rPr>
                  <w:rStyle w:val="a3"/>
                  <w:rFonts w:eastAsia="Times New Roman"/>
                  <w:sz w:val="20"/>
                  <w:szCs w:val="20"/>
                </w:rPr>
                <w:t>Market for Registrant's Common Equity, Related Security Holder Matters and Issuer Purchases of Equity Securities</w:t>
              </w:r>
            </w:hyperlink>
          </w:p>
        </w:tc>
        <w:tc>
          <w:tcPr>
            <w:tcW w:w="0" w:type="auto"/>
            <w:gridSpan w:val="3"/>
            <w:shd w:val="clear" w:color="auto" w:fill="FFFFFF"/>
            <w:tcMar>
              <w:top w:w="30" w:type="dxa"/>
              <w:left w:w="20" w:type="dxa"/>
              <w:bottom w:w="30" w:type="dxa"/>
              <w:right w:w="20" w:type="dxa"/>
            </w:tcMar>
            <w:vAlign w:val="bottom"/>
            <w:hideMark/>
          </w:tcPr>
          <w:p w14:paraId="42D22161" w14:textId="77777777" w:rsidR="00000000" w:rsidRDefault="00195E73">
            <w:pPr>
              <w:jc w:val="center"/>
              <w:rPr>
                <w:rFonts w:eastAsia="Times New Roman"/>
              </w:rPr>
            </w:pPr>
            <w:hyperlink w:anchor="ie32f54975c224c3bb6f920bef14ea8e4_37" w:history="1">
              <w:r>
                <w:rPr>
                  <w:rStyle w:val="a3"/>
                  <w:rFonts w:eastAsia="Times New Roman"/>
                  <w:sz w:val="20"/>
                  <w:szCs w:val="20"/>
                </w:rPr>
                <w:t>29</w:t>
              </w:r>
            </w:hyperlink>
          </w:p>
        </w:tc>
      </w:tr>
      <w:tr w:rsidR="00000000" w14:paraId="44352086" w14:textId="77777777">
        <w:trPr>
          <w:divId w:val="689647201"/>
          <w:jc w:val="center"/>
        </w:trPr>
        <w:tc>
          <w:tcPr>
            <w:tcW w:w="0" w:type="auto"/>
            <w:gridSpan w:val="3"/>
            <w:shd w:val="clear" w:color="auto" w:fill="CCEEFF"/>
            <w:tcMar>
              <w:top w:w="30" w:type="dxa"/>
              <w:left w:w="20" w:type="dxa"/>
              <w:bottom w:w="30" w:type="dxa"/>
              <w:right w:w="20" w:type="dxa"/>
            </w:tcMar>
            <w:hideMark/>
          </w:tcPr>
          <w:p w14:paraId="3D866B82" w14:textId="77777777" w:rsidR="00000000" w:rsidRDefault="00195E73">
            <w:pPr>
              <w:divId w:val="1597520715"/>
              <w:rPr>
                <w:rFonts w:eastAsia="Times New Roman"/>
              </w:rPr>
            </w:pPr>
            <w:hyperlink w:anchor="ie32f54975c224c3bb6f920bef14ea8e4_40" w:history="1">
              <w:r>
                <w:rPr>
                  <w:rStyle w:val="a3"/>
                  <w:rFonts w:eastAsia="Times New Roman"/>
                  <w:sz w:val="20"/>
                  <w:szCs w:val="20"/>
                </w:rPr>
                <w:t>Item 6.</w:t>
              </w:r>
            </w:hyperlink>
          </w:p>
        </w:tc>
        <w:tc>
          <w:tcPr>
            <w:tcW w:w="0" w:type="auto"/>
            <w:gridSpan w:val="3"/>
            <w:shd w:val="clear" w:color="auto" w:fill="CCEEFF"/>
            <w:tcMar>
              <w:top w:w="30" w:type="dxa"/>
              <w:left w:w="20" w:type="dxa"/>
              <w:bottom w:w="30" w:type="dxa"/>
              <w:right w:w="20" w:type="dxa"/>
            </w:tcMar>
            <w:vAlign w:val="bottom"/>
            <w:hideMark/>
          </w:tcPr>
          <w:p w14:paraId="68D71FFC" w14:textId="77777777" w:rsidR="00000000" w:rsidRDefault="00195E73">
            <w:pPr>
              <w:divId w:val="998852674"/>
              <w:rPr>
                <w:rFonts w:eastAsia="Times New Roman"/>
              </w:rPr>
            </w:pPr>
            <w:hyperlink w:anchor="ie32f54975c224c3bb6f920bef14ea8e4_40" w:history="1">
              <w:r>
                <w:rPr>
                  <w:rStyle w:val="a3"/>
                  <w:rFonts w:eastAsia="Times New Roman"/>
                  <w:sz w:val="20"/>
                  <w:szCs w:val="20"/>
                </w:rPr>
                <w:t>Selected Financial Data</w:t>
              </w:r>
            </w:hyperlink>
          </w:p>
        </w:tc>
        <w:tc>
          <w:tcPr>
            <w:tcW w:w="0" w:type="auto"/>
            <w:gridSpan w:val="3"/>
            <w:shd w:val="clear" w:color="auto" w:fill="CCEEFF"/>
            <w:tcMar>
              <w:top w:w="30" w:type="dxa"/>
              <w:left w:w="20" w:type="dxa"/>
              <w:bottom w:w="30" w:type="dxa"/>
              <w:right w:w="20" w:type="dxa"/>
            </w:tcMar>
            <w:vAlign w:val="bottom"/>
            <w:hideMark/>
          </w:tcPr>
          <w:p w14:paraId="1FF2E482" w14:textId="77777777" w:rsidR="00000000" w:rsidRDefault="00195E73">
            <w:pPr>
              <w:jc w:val="center"/>
              <w:rPr>
                <w:rFonts w:eastAsia="Times New Roman"/>
              </w:rPr>
            </w:pPr>
            <w:hyperlink w:anchor="ie32f54975c224c3bb6f920bef14ea8e4_40" w:history="1">
              <w:r>
                <w:rPr>
                  <w:rStyle w:val="a3"/>
                  <w:rFonts w:eastAsia="Times New Roman"/>
                  <w:sz w:val="20"/>
                  <w:szCs w:val="20"/>
                </w:rPr>
                <w:t>30</w:t>
              </w:r>
            </w:hyperlink>
          </w:p>
        </w:tc>
      </w:tr>
      <w:tr w:rsidR="00000000" w14:paraId="0240C484" w14:textId="77777777">
        <w:trPr>
          <w:divId w:val="689647201"/>
          <w:jc w:val="center"/>
        </w:trPr>
        <w:tc>
          <w:tcPr>
            <w:tcW w:w="0" w:type="auto"/>
            <w:gridSpan w:val="3"/>
            <w:shd w:val="clear" w:color="auto" w:fill="FFFFFF"/>
            <w:tcMar>
              <w:top w:w="30" w:type="dxa"/>
              <w:left w:w="20" w:type="dxa"/>
              <w:bottom w:w="30" w:type="dxa"/>
              <w:right w:w="20" w:type="dxa"/>
            </w:tcMar>
            <w:hideMark/>
          </w:tcPr>
          <w:p w14:paraId="452D9197" w14:textId="77777777" w:rsidR="00000000" w:rsidRDefault="00195E73">
            <w:pPr>
              <w:divId w:val="902839160"/>
              <w:rPr>
                <w:rFonts w:eastAsia="Times New Roman"/>
              </w:rPr>
            </w:pPr>
            <w:hyperlink w:anchor="ie32f54975c224c3bb6f920bef14ea8e4_43" w:history="1">
              <w:r>
                <w:rPr>
                  <w:rStyle w:val="a3"/>
                  <w:rFonts w:eastAsia="Times New Roman"/>
                  <w:sz w:val="20"/>
                  <w:szCs w:val="20"/>
                </w:rPr>
                <w:t>Item 7.</w:t>
              </w:r>
            </w:hyperlink>
          </w:p>
        </w:tc>
        <w:tc>
          <w:tcPr>
            <w:tcW w:w="0" w:type="auto"/>
            <w:gridSpan w:val="3"/>
            <w:shd w:val="clear" w:color="auto" w:fill="FFFFFF"/>
            <w:tcMar>
              <w:top w:w="30" w:type="dxa"/>
              <w:left w:w="20" w:type="dxa"/>
              <w:bottom w:w="30" w:type="dxa"/>
              <w:right w:w="20" w:type="dxa"/>
            </w:tcMar>
            <w:vAlign w:val="bottom"/>
            <w:hideMark/>
          </w:tcPr>
          <w:p w14:paraId="003730B1" w14:textId="77777777" w:rsidR="00000000" w:rsidRDefault="00195E73">
            <w:pPr>
              <w:divId w:val="344096747"/>
              <w:rPr>
                <w:rFonts w:eastAsia="Times New Roman"/>
              </w:rPr>
            </w:pPr>
            <w:hyperlink w:anchor="ie32f54975c224c3bb6f920bef14ea8e4_43" w:history="1">
              <w:r>
                <w:rPr>
                  <w:rStyle w:val="a3"/>
                  <w:rFonts w:eastAsia="Times New Roman"/>
                  <w:sz w:val="20"/>
                  <w:szCs w:val="20"/>
                </w:rPr>
                <w:t>Management's Discussion and Analysis of Financial Condition and</w:t>
              </w:r>
              <w:r>
                <w:rPr>
                  <w:rStyle w:val="a3"/>
                  <w:rFonts w:eastAsia="Times New Roman"/>
                  <w:sz w:val="20"/>
                  <w:szCs w:val="20"/>
                </w:rPr>
                <w:t xml:space="preserve"> Results of Operations</w:t>
              </w:r>
            </w:hyperlink>
          </w:p>
        </w:tc>
        <w:tc>
          <w:tcPr>
            <w:tcW w:w="0" w:type="auto"/>
            <w:gridSpan w:val="3"/>
            <w:shd w:val="clear" w:color="auto" w:fill="FFFFFF"/>
            <w:tcMar>
              <w:top w:w="30" w:type="dxa"/>
              <w:left w:w="20" w:type="dxa"/>
              <w:bottom w:w="30" w:type="dxa"/>
              <w:right w:w="20" w:type="dxa"/>
            </w:tcMar>
            <w:vAlign w:val="bottom"/>
            <w:hideMark/>
          </w:tcPr>
          <w:p w14:paraId="605399D1" w14:textId="77777777" w:rsidR="00000000" w:rsidRDefault="00195E73">
            <w:pPr>
              <w:jc w:val="center"/>
              <w:rPr>
                <w:rFonts w:eastAsia="Times New Roman"/>
              </w:rPr>
            </w:pPr>
            <w:hyperlink w:anchor="ie32f54975c224c3bb6f920bef14ea8e4_43" w:history="1">
              <w:r>
                <w:rPr>
                  <w:rStyle w:val="a3"/>
                  <w:rFonts w:eastAsia="Times New Roman"/>
                  <w:sz w:val="20"/>
                  <w:szCs w:val="20"/>
                </w:rPr>
                <w:t>31</w:t>
              </w:r>
            </w:hyperlink>
          </w:p>
        </w:tc>
      </w:tr>
      <w:tr w:rsidR="00000000" w14:paraId="2758DE6B" w14:textId="77777777">
        <w:trPr>
          <w:divId w:val="689647201"/>
          <w:jc w:val="center"/>
        </w:trPr>
        <w:tc>
          <w:tcPr>
            <w:tcW w:w="0" w:type="auto"/>
            <w:gridSpan w:val="3"/>
            <w:shd w:val="clear" w:color="auto" w:fill="CCEEFF"/>
            <w:tcMar>
              <w:top w:w="30" w:type="dxa"/>
              <w:left w:w="20" w:type="dxa"/>
              <w:bottom w:w="30" w:type="dxa"/>
              <w:right w:w="20" w:type="dxa"/>
            </w:tcMar>
            <w:hideMark/>
          </w:tcPr>
          <w:p w14:paraId="09BFB8CC" w14:textId="77777777" w:rsidR="00000000" w:rsidRDefault="00195E73">
            <w:pPr>
              <w:divId w:val="2135445324"/>
              <w:rPr>
                <w:rFonts w:eastAsia="Times New Roman"/>
              </w:rPr>
            </w:pPr>
            <w:hyperlink w:anchor="ie32f54975c224c3bb6f920bef14ea8e4_70" w:history="1">
              <w:r>
                <w:rPr>
                  <w:rStyle w:val="a3"/>
                  <w:rFonts w:eastAsia="Times New Roman"/>
                  <w:sz w:val="20"/>
                  <w:szCs w:val="20"/>
                </w:rPr>
                <w:t>Item 7A.</w:t>
              </w:r>
            </w:hyperlink>
          </w:p>
        </w:tc>
        <w:tc>
          <w:tcPr>
            <w:tcW w:w="0" w:type="auto"/>
            <w:gridSpan w:val="3"/>
            <w:shd w:val="clear" w:color="auto" w:fill="CCEEFF"/>
            <w:tcMar>
              <w:top w:w="30" w:type="dxa"/>
              <w:left w:w="20" w:type="dxa"/>
              <w:bottom w:w="30" w:type="dxa"/>
              <w:right w:w="20" w:type="dxa"/>
            </w:tcMar>
            <w:vAlign w:val="bottom"/>
            <w:hideMark/>
          </w:tcPr>
          <w:p w14:paraId="1B213079" w14:textId="77777777" w:rsidR="00000000" w:rsidRDefault="00195E73">
            <w:pPr>
              <w:divId w:val="1156535280"/>
              <w:rPr>
                <w:rFonts w:eastAsia="Times New Roman"/>
              </w:rPr>
            </w:pPr>
            <w:hyperlink w:anchor="ie32f54975c224c3bb6f920bef14ea8e4_70" w:history="1">
              <w:r>
                <w:rPr>
                  <w:rStyle w:val="a3"/>
                  <w:rFonts w:eastAsia="Times New Roman"/>
                  <w:sz w:val="20"/>
                  <w:szCs w:val="20"/>
                </w:rPr>
                <w:t>Quantitative and Qualitative Disclosu</w:t>
              </w:r>
              <w:r>
                <w:rPr>
                  <w:rStyle w:val="a3"/>
                  <w:rFonts w:eastAsia="Times New Roman"/>
                  <w:sz w:val="20"/>
                  <w:szCs w:val="20"/>
                </w:rPr>
                <w:t>res about Market Risk</w:t>
              </w:r>
            </w:hyperlink>
          </w:p>
        </w:tc>
        <w:tc>
          <w:tcPr>
            <w:tcW w:w="0" w:type="auto"/>
            <w:gridSpan w:val="3"/>
            <w:shd w:val="clear" w:color="auto" w:fill="CCEEFF"/>
            <w:tcMar>
              <w:top w:w="30" w:type="dxa"/>
              <w:left w:w="20" w:type="dxa"/>
              <w:bottom w:w="30" w:type="dxa"/>
              <w:right w:w="20" w:type="dxa"/>
            </w:tcMar>
            <w:vAlign w:val="bottom"/>
            <w:hideMark/>
          </w:tcPr>
          <w:p w14:paraId="634D4B91" w14:textId="77777777" w:rsidR="00000000" w:rsidRDefault="00195E73">
            <w:pPr>
              <w:jc w:val="center"/>
              <w:rPr>
                <w:rFonts w:eastAsia="Times New Roman"/>
              </w:rPr>
            </w:pPr>
            <w:hyperlink w:anchor="ie32f54975c224c3bb6f920bef14ea8e4_70" w:history="1">
              <w:r>
                <w:rPr>
                  <w:rStyle w:val="a3"/>
                  <w:rFonts w:eastAsia="Times New Roman"/>
                  <w:sz w:val="20"/>
                  <w:szCs w:val="20"/>
                </w:rPr>
                <w:t>48</w:t>
              </w:r>
            </w:hyperlink>
          </w:p>
        </w:tc>
      </w:tr>
      <w:tr w:rsidR="00000000" w14:paraId="1583A9C2" w14:textId="77777777">
        <w:trPr>
          <w:divId w:val="689647201"/>
          <w:jc w:val="center"/>
        </w:trPr>
        <w:tc>
          <w:tcPr>
            <w:tcW w:w="0" w:type="auto"/>
            <w:gridSpan w:val="3"/>
            <w:shd w:val="clear" w:color="auto" w:fill="FFFFFF"/>
            <w:tcMar>
              <w:top w:w="30" w:type="dxa"/>
              <w:left w:w="20" w:type="dxa"/>
              <w:bottom w:w="30" w:type="dxa"/>
              <w:right w:w="20" w:type="dxa"/>
            </w:tcMar>
            <w:hideMark/>
          </w:tcPr>
          <w:p w14:paraId="17597DD9" w14:textId="77777777" w:rsidR="00000000" w:rsidRDefault="00195E73">
            <w:pPr>
              <w:divId w:val="773405989"/>
              <w:rPr>
                <w:rFonts w:eastAsia="Times New Roman"/>
              </w:rPr>
            </w:pPr>
            <w:hyperlink w:anchor="ie32f54975c224c3bb6f920bef14ea8e4_73" w:history="1">
              <w:r>
                <w:rPr>
                  <w:rStyle w:val="a3"/>
                  <w:rFonts w:eastAsia="Times New Roman"/>
                  <w:sz w:val="20"/>
                  <w:szCs w:val="20"/>
                </w:rPr>
                <w:t>Item 8.</w:t>
              </w:r>
            </w:hyperlink>
          </w:p>
        </w:tc>
        <w:tc>
          <w:tcPr>
            <w:tcW w:w="0" w:type="auto"/>
            <w:gridSpan w:val="3"/>
            <w:shd w:val="clear" w:color="auto" w:fill="FFFFFF"/>
            <w:tcMar>
              <w:top w:w="30" w:type="dxa"/>
              <w:left w:w="20" w:type="dxa"/>
              <w:bottom w:w="30" w:type="dxa"/>
              <w:right w:w="20" w:type="dxa"/>
            </w:tcMar>
            <w:vAlign w:val="bottom"/>
            <w:hideMark/>
          </w:tcPr>
          <w:p w14:paraId="5F3DB28A" w14:textId="77777777" w:rsidR="00000000" w:rsidRDefault="00195E73">
            <w:pPr>
              <w:divId w:val="1575818743"/>
              <w:rPr>
                <w:rFonts w:eastAsia="Times New Roman"/>
              </w:rPr>
            </w:pPr>
            <w:hyperlink w:anchor="ie32f54975c224c3bb6f920bef14ea8e4_73" w:history="1">
              <w:r>
                <w:rPr>
                  <w:rStyle w:val="a3"/>
                  <w:rFonts w:eastAsia="Times New Roman"/>
                  <w:sz w:val="20"/>
                  <w:szCs w:val="20"/>
                </w:rPr>
                <w:t>Financial Statements and Supplementary Data</w:t>
              </w:r>
            </w:hyperlink>
          </w:p>
        </w:tc>
        <w:tc>
          <w:tcPr>
            <w:tcW w:w="0" w:type="auto"/>
            <w:gridSpan w:val="3"/>
            <w:shd w:val="clear" w:color="auto" w:fill="FFFFFF"/>
            <w:tcMar>
              <w:top w:w="30" w:type="dxa"/>
              <w:left w:w="20" w:type="dxa"/>
              <w:bottom w:w="30" w:type="dxa"/>
              <w:right w:w="20" w:type="dxa"/>
            </w:tcMar>
            <w:vAlign w:val="bottom"/>
            <w:hideMark/>
          </w:tcPr>
          <w:p w14:paraId="5CF747A0" w14:textId="77777777" w:rsidR="00000000" w:rsidRDefault="00195E73">
            <w:pPr>
              <w:jc w:val="center"/>
              <w:rPr>
                <w:rFonts w:eastAsia="Times New Roman"/>
              </w:rPr>
            </w:pPr>
            <w:hyperlink w:anchor="ie32f54975c224c3bb6f920bef14ea8e4_73" w:history="1">
              <w:r>
                <w:rPr>
                  <w:rStyle w:val="a3"/>
                  <w:rFonts w:eastAsia="Times New Roman"/>
                  <w:sz w:val="20"/>
                  <w:szCs w:val="20"/>
                </w:rPr>
                <w:t>51</w:t>
              </w:r>
            </w:hyperlink>
          </w:p>
        </w:tc>
      </w:tr>
      <w:tr w:rsidR="00000000" w14:paraId="629A7C5B" w14:textId="77777777">
        <w:trPr>
          <w:divId w:val="689647201"/>
          <w:jc w:val="center"/>
        </w:trPr>
        <w:tc>
          <w:tcPr>
            <w:tcW w:w="0" w:type="auto"/>
            <w:gridSpan w:val="3"/>
            <w:shd w:val="clear" w:color="auto" w:fill="CCEEFF"/>
            <w:tcMar>
              <w:top w:w="30" w:type="dxa"/>
              <w:left w:w="20" w:type="dxa"/>
              <w:bottom w:w="30" w:type="dxa"/>
              <w:right w:w="20" w:type="dxa"/>
            </w:tcMar>
            <w:hideMark/>
          </w:tcPr>
          <w:p w14:paraId="771428C7" w14:textId="77777777" w:rsidR="00000000" w:rsidRDefault="00195E73">
            <w:pPr>
              <w:divId w:val="1069306438"/>
              <w:rPr>
                <w:rFonts w:eastAsia="Times New Roman"/>
              </w:rPr>
            </w:pPr>
            <w:hyperlink w:anchor="ie32f54975c224c3bb6f920bef14ea8e4_187" w:history="1">
              <w:r>
                <w:rPr>
                  <w:rStyle w:val="a3"/>
                  <w:rFonts w:eastAsia="Times New Roman"/>
                  <w:sz w:val="20"/>
                  <w:szCs w:val="20"/>
                </w:rPr>
                <w:t>Item 9.</w:t>
              </w:r>
            </w:hyperlink>
          </w:p>
        </w:tc>
        <w:tc>
          <w:tcPr>
            <w:tcW w:w="0" w:type="auto"/>
            <w:gridSpan w:val="3"/>
            <w:shd w:val="clear" w:color="auto" w:fill="CCEEFF"/>
            <w:tcMar>
              <w:top w:w="30" w:type="dxa"/>
              <w:left w:w="20" w:type="dxa"/>
              <w:bottom w:w="30" w:type="dxa"/>
              <w:right w:w="20" w:type="dxa"/>
            </w:tcMar>
            <w:vAlign w:val="bottom"/>
            <w:hideMark/>
          </w:tcPr>
          <w:p w14:paraId="5B6D4810" w14:textId="77777777" w:rsidR="00000000" w:rsidRDefault="00195E73">
            <w:pPr>
              <w:divId w:val="1831404415"/>
              <w:rPr>
                <w:rFonts w:eastAsia="Times New Roman"/>
              </w:rPr>
            </w:pPr>
            <w:hyperlink w:anchor="ie32f54975c224c3bb6f920bef14ea8e4_187" w:history="1">
              <w:r>
                <w:rPr>
                  <w:rStyle w:val="a3"/>
                  <w:rFonts w:eastAsia="Times New Roman"/>
                  <w:sz w:val="20"/>
                  <w:szCs w:val="20"/>
                </w:rPr>
                <w:t>Changes In and Disagreements With Accountants on Accounting and Financial Disclosure</w:t>
              </w:r>
            </w:hyperlink>
          </w:p>
        </w:tc>
        <w:tc>
          <w:tcPr>
            <w:tcW w:w="0" w:type="auto"/>
            <w:gridSpan w:val="3"/>
            <w:shd w:val="clear" w:color="auto" w:fill="CCEEFF"/>
            <w:tcMar>
              <w:top w:w="30" w:type="dxa"/>
              <w:left w:w="20" w:type="dxa"/>
              <w:bottom w:w="30" w:type="dxa"/>
              <w:right w:w="20" w:type="dxa"/>
            </w:tcMar>
            <w:vAlign w:val="bottom"/>
            <w:hideMark/>
          </w:tcPr>
          <w:p w14:paraId="0A726BB4" w14:textId="77777777" w:rsidR="00000000" w:rsidRDefault="00195E73">
            <w:pPr>
              <w:jc w:val="center"/>
              <w:rPr>
                <w:rFonts w:eastAsia="Times New Roman"/>
              </w:rPr>
            </w:pPr>
            <w:hyperlink w:anchor="ie32f54975c224c3bb6f920bef14ea8e4_187" w:history="1">
              <w:r>
                <w:rPr>
                  <w:rStyle w:val="a3"/>
                  <w:rFonts w:eastAsia="Times New Roman"/>
                  <w:sz w:val="20"/>
                  <w:szCs w:val="20"/>
                </w:rPr>
                <w:t>114</w:t>
              </w:r>
            </w:hyperlink>
          </w:p>
        </w:tc>
      </w:tr>
      <w:tr w:rsidR="00000000" w14:paraId="2D78AB8F" w14:textId="77777777">
        <w:trPr>
          <w:divId w:val="689647201"/>
          <w:jc w:val="center"/>
        </w:trPr>
        <w:tc>
          <w:tcPr>
            <w:tcW w:w="0" w:type="auto"/>
            <w:gridSpan w:val="3"/>
            <w:shd w:val="clear" w:color="auto" w:fill="FFFFFF"/>
            <w:tcMar>
              <w:top w:w="30" w:type="dxa"/>
              <w:left w:w="20" w:type="dxa"/>
              <w:bottom w:w="30" w:type="dxa"/>
              <w:right w:w="20" w:type="dxa"/>
            </w:tcMar>
            <w:hideMark/>
          </w:tcPr>
          <w:p w14:paraId="5BA19017" w14:textId="77777777" w:rsidR="00000000" w:rsidRDefault="00195E73">
            <w:pPr>
              <w:divId w:val="543294186"/>
              <w:rPr>
                <w:rFonts w:eastAsia="Times New Roman"/>
              </w:rPr>
            </w:pPr>
            <w:hyperlink w:anchor="ie32f54975c224c3bb6f920bef14ea8e4_190" w:history="1">
              <w:r>
                <w:rPr>
                  <w:rStyle w:val="a3"/>
                  <w:rFonts w:eastAsia="Times New Roman"/>
                  <w:sz w:val="20"/>
                  <w:szCs w:val="20"/>
                </w:rPr>
                <w:t>Item 9A.</w:t>
              </w:r>
            </w:hyperlink>
          </w:p>
        </w:tc>
        <w:tc>
          <w:tcPr>
            <w:tcW w:w="0" w:type="auto"/>
            <w:gridSpan w:val="3"/>
            <w:shd w:val="clear" w:color="auto" w:fill="FFFFFF"/>
            <w:tcMar>
              <w:top w:w="30" w:type="dxa"/>
              <w:left w:w="20" w:type="dxa"/>
              <w:bottom w:w="30" w:type="dxa"/>
              <w:right w:w="20" w:type="dxa"/>
            </w:tcMar>
            <w:vAlign w:val="bottom"/>
            <w:hideMark/>
          </w:tcPr>
          <w:p w14:paraId="6021A4CF" w14:textId="77777777" w:rsidR="00000000" w:rsidRDefault="00195E73">
            <w:pPr>
              <w:divId w:val="1355959065"/>
              <w:rPr>
                <w:rFonts w:eastAsia="Times New Roman"/>
              </w:rPr>
            </w:pPr>
            <w:hyperlink w:anchor="ie32f54975c224c3bb6f920bef14ea8e4_190" w:history="1">
              <w:r>
                <w:rPr>
                  <w:rStyle w:val="a3"/>
                  <w:rFonts w:eastAsia="Times New Roman"/>
                  <w:sz w:val="20"/>
                  <w:szCs w:val="20"/>
                </w:rPr>
                <w:t>Controls and Procedures</w:t>
              </w:r>
            </w:hyperlink>
          </w:p>
        </w:tc>
        <w:tc>
          <w:tcPr>
            <w:tcW w:w="0" w:type="auto"/>
            <w:gridSpan w:val="3"/>
            <w:shd w:val="clear" w:color="auto" w:fill="FFFFFF"/>
            <w:tcMar>
              <w:top w:w="30" w:type="dxa"/>
              <w:left w:w="20" w:type="dxa"/>
              <w:bottom w:w="30" w:type="dxa"/>
              <w:right w:w="20" w:type="dxa"/>
            </w:tcMar>
            <w:vAlign w:val="bottom"/>
            <w:hideMark/>
          </w:tcPr>
          <w:p w14:paraId="05BC8CF8" w14:textId="77777777" w:rsidR="00000000" w:rsidRDefault="00195E73">
            <w:pPr>
              <w:jc w:val="center"/>
              <w:rPr>
                <w:rFonts w:eastAsia="Times New Roman"/>
              </w:rPr>
            </w:pPr>
            <w:hyperlink w:anchor="ie32f54975c224c3bb6f920bef14ea8e4_190" w:history="1">
              <w:r>
                <w:rPr>
                  <w:rStyle w:val="a3"/>
                  <w:rFonts w:eastAsia="Times New Roman"/>
                  <w:sz w:val="20"/>
                  <w:szCs w:val="20"/>
                </w:rPr>
                <w:t>114</w:t>
              </w:r>
            </w:hyperlink>
          </w:p>
        </w:tc>
      </w:tr>
      <w:tr w:rsidR="00000000" w14:paraId="26503AF8" w14:textId="77777777">
        <w:trPr>
          <w:divId w:val="689647201"/>
          <w:jc w:val="center"/>
        </w:trPr>
        <w:tc>
          <w:tcPr>
            <w:tcW w:w="0" w:type="auto"/>
            <w:gridSpan w:val="3"/>
            <w:shd w:val="clear" w:color="auto" w:fill="CCEEFF"/>
            <w:tcMar>
              <w:top w:w="30" w:type="dxa"/>
              <w:left w:w="20" w:type="dxa"/>
              <w:bottom w:w="30" w:type="dxa"/>
              <w:right w:w="20" w:type="dxa"/>
            </w:tcMar>
            <w:hideMark/>
          </w:tcPr>
          <w:p w14:paraId="095A5FE6" w14:textId="77777777" w:rsidR="00000000" w:rsidRDefault="00195E73">
            <w:pPr>
              <w:divId w:val="299842473"/>
              <w:rPr>
                <w:rFonts w:eastAsia="Times New Roman"/>
              </w:rPr>
            </w:pPr>
            <w:hyperlink w:anchor="ie32f54975c224c3bb6f920bef14ea8e4_196" w:history="1">
              <w:r>
                <w:rPr>
                  <w:rStyle w:val="a3"/>
                  <w:rFonts w:eastAsia="Times New Roman"/>
                  <w:sz w:val="20"/>
                  <w:szCs w:val="20"/>
                </w:rPr>
                <w:t>Item 9B.</w:t>
              </w:r>
            </w:hyperlink>
          </w:p>
        </w:tc>
        <w:tc>
          <w:tcPr>
            <w:tcW w:w="0" w:type="auto"/>
            <w:gridSpan w:val="3"/>
            <w:shd w:val="clear" w:color="auto" w:fill="CCEEFF"/>
            <w:tcMar>
              <w:top w:w="30" w:type="dxa"/>
              <w:left w:w="20" w:type="dxa"/>
              <w:bottom w:w="30" w:type="dxa"/>
              <w:right w:w="20" w:type="dxa"/>
            </w:tcMar>
            <w:vAlign w:val="bottom"/>
            <w:hideMark/>
          </w:tcPr>
          <w:p w14:paraId="6B1DB0F3" w14:textId="77777777" w:rsidR="00000000" w:rsidRDefault="00195E73">
            <w:pPr>
              <w:divId w:val="1552495801"/>
              <w:rPr>
                <w:rFonts w:eastAsia="Times New Roman"/>
              </w:rPr>
            </w:pPr>
            <w:hyperlink w:anchor="ie32f54975c224c3bb6f920bef14ea8e4_196"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vAlign w:val="bottom"/>
            <w:hideMark/>
          </w:tcPr>
          <w:p w14:paraId="6D1A5588" w14:textId="77777777" w:rsidR="00000000" w:rsidRDefault="00195E73">
            <w:pPr>
              <w:jc w:val="center"/>
              <w:rPr>
                <w:rFonts w:eastAsia="Times New Roman"/>
              </w:rPr>
            </w:pPr>
            <w:hyperlink w:anchor="ie32f54975c224c3bb6f920bef14ea8e4_196" w:history="1">
              <w:r>
                <w:rPr>
                  <w:rStyle w:val="a3"/>
                  <w:rFonts w:eastAsia="Times New Roman"/>
                  <w:sz w:val="20"/>
                  <w:szCs w:val="20"/>
                </w:rPr>
                <w:t>116</w:t>
              </w:r>
            </w:hyperlink>
          </w:p>
        </w:tc>
      </w:tr>
      <w:tr w:rsidR="00000000" w14:paraId="535DF4B2" w14:textId="77777777">
        <w:trPr>
          <w:divId w:val="689647201"/>
          <w:trHeight w:val="280"/>
          <w:jc w:val="center"/>
        </w:trPr>
        <w:tc>
          <w:tcPr>
            <w:tcW w:w="0" w:type="auto"/>
            <w:gridSpan w:val="3"/>
            <w:shd w:val="clear" w:color="auto" w:fill="FFFFFF"/>
            <w:tcMar>
              <w:top w:w="15" w:type="dxa"/>
              <w:left w:w="20" w:type="dxa"/>
              <w:bottom w:w="15" w:type="dxa"/>
              <w:right w:w="20" w:type="dxa"/>
            </w:tcMar>
            <w:vAlign w:val="bottom"/>
            <w:hideMark/>
          </w:tcPr>
          <w:p w14:paraId="6EF2F99B" w14:textId="77777777" w:rsidR="00000000" w:rsidRDefault="00195E73">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7A5EB46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E3ADDDC" w14:textId="77777777" w:rsidR="00000000" w:rsidRDefault="00195E73">
            <w:pPr>
              <w:rPr>
                <w:rFonts w:eastAsia="Times New Roman"/>
                <w:sz w:val="20"/>
                <w:szCs w:val="20"/>
              </w:rPr>
            </w:pPr>
          </w:p>
        </w:tc>
      </w:tr>
      <w:tr w:rsidR="00000000" w14:paraId="67A13D72" w14:textId="77777777">
        <w:trPr>
          <w:divId w:val="689647201"/>
          <w:jc w:val="center"/>
        </w:trPr>
        <w:tc>
          <w:tcPr>
            <w:tcW w:w="0" w:type="auto"/>
            <w:gridSpan w:val="3"/>
            <w:shd w:val="clear" w:color="auto" w:fill="CCEEFF"/>
            <w:tcMar>
              <w:top w:w="15" w:type="dxa"/>
              <w:left w:w="20" w:type="dxa"/>
              <w:bottom w:w="15" w:type="dxa"/>
              <w:right w:w="20" w:type="dxa"/>
            </w:tcMar>
            <w:vAlign w:val="bottom"/>
            <w:hideMark/>
          </w:tcPr>
          <w:p w14:paraId="56813E35" w14:textId="77777777" w:rsidR="00000000" w:rsidRDefault="00195E7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73C6686" w14:textId="77777777" w:rsidR="00000000" w:rsidRDefault="00195E73">
            <w:pPr>
              <w:jc w:val="center"/>
              <w:rPr>
                <w:rFonts w:eastAsia="Times New Roman"/>
              </w:rPr>
            </w:pPr>
            <w:r>
              <w:rPr>
                <w:rFonts w:eastAsia="Times New Roman"/>
                <w:b/>
                <w:bCs/>
                <w:color w:val="000000"/>
                <w:sz w:val="20"/>
                <w:szCs w:val="20"/>
              </w:rPr>
              <w:t>PART II</w:t>
            </w:r>
            <w:r>
              <w:rPr>
                <w:rFonts w:eastAsia="Times New Roman"/>
                <w:b/>
                <w:bCs/>
                <w:color w:val="000000"/>
                <w:sz w:val="20"/>
                <w:szCs w:val="20"/>
              </w:rPr>
              <w:t>I</w:t>
            </w:r>
          </w:p>
        </w:tc>
        <w:tc>
          <w:tcPr>
            <w:tcW w:w="0" w:type="auto"/>
            <w:gridSpan w:val="3"/>
            <w:shd w:val="clear" w:color="auto" w:fill="CCEEFF"/>
            <w:tcMar>
              <w:top w:w="15" w:type="dxa"/>
              <w:left w:w="20" w:type="dxa"/>
              <w:bottom w:w="15" w:type="dxa"/>
              <w:right w:w="20" w:type="dxa"/>
            </w:tcMar>
            <w:vAlign w:val="bottom"/>
            <w:hideMark/>
          </w:tcPr>
          <w:p w14:paraId="2335F268" w14:textId="77777777" w:rsidR="00000000" w:rsidRDefault="00195E73">
            <w:pPr>
              <w:jc w:val="center"/>
              <w:rPr>
                <w:rFonts w:eastAsia="Times New Roman"/>
              </w:rPr>
            </w:pPr>
          </w:p>
        </w:tc>
      </w:tr>
      <w:tr w:rsidR="00000000" w14:paraId="55411FC3" w14:textId="77777777">
        <w:trPr>
          <w:divId w:val="689647201"/>
          <w:jc w:val="center"/>
        </w:trPr>
        <w:tc>
          <w:tcPr>
            <w:tcW w:w="0" w:type="auto"/>
            <w:gridSpan w:val="3"/>
            <w:shd w:val="clear" w:color="auto" w:fill="FFFFFF"/>
            <w:tcMar>
              <w:top w:w="30" w:type="dxa"/>
              <w:left w:w="20" w:type="dxa"/>
              <w:bottom w:w="30" w:type="dxa"/>
              <w:right w:w="20" w:type="dxa"/>
            </w:tcMar>
            <w:hideMark/>
          </w:tcPr>
          <w:p w14:paraId="2FBF2B10" w14:textId="77777777" w:rsidR="00000000" w:rsidRDefault="00195E73">
            <w:pPr>
              <w:divId w:val="904880639"/>
              <w:rPr>
                <w:rFonts w:eastAsia="Times New Roman"/>
              </w:rPr>
            </w:pPr>
            <w:hyperlink w:anchor="ie32f54975c224c3bb6f920bef14ea8e4_202" w:history="1">
              <w:r>
                <w:rPr>
                  <w:rStyle w:val="a3"/>
                  <w:rFonts w:eastAsia="Times New Roman"/>
                  <w:sz w:val="20"/>
                  <w:szCs w:val="20"/>
                </w:rPr>
                <w:t>Item 10.</w:t>
              </w:r>
            </w:hyperlink>
          </w:p>
        </w:tc>
        <w:tc>
          <w:tcPr>
            <w:tcW w:w="0" w:type="auto"/>
            <w:gridSpan w:val="3"/>
            <w:shd w:val="clear" w:color="auto" w:fill="FFFFFF"/>
            <w:tcMar>
              <w:top w:w="30" w:type="dxa"/>
              <w:left w:w="20" w:type="dxa"/>
              <w:bottom w:w="30" w:type="dxa"/>
              <w:right w:w="20" w:type="dxa"/>
            </w:tcMar>
            <w:vAlign w:val="bottom"/>
            <w:hideMark/>
          </w:tcPr>
          <w:p w14:paraId="53E3C6D3" w14:textId="77777777" w:rsidR="00000000" w:rsidRDefault="00195E73">
            <w:pPr>
              <w:divId w:val="127405749"/>
              <w:rPr>
                <w:rFonts w:eastAsia="Times New Roman"/>
              </w:rPr>
            </w:pPr>
            <w:hyperlink w:anchor="ie32f54975c224c3bb6f920bef14ea8e4_202" w:history="1">
              <w:r>
                <w:rPr>
                  <w:rStyle w:val="a3"/>
                  <w:rFonts w:eastAsia="Times New Roman"/>
                  <w:sz w:val="20"/>
                  <w:szCs w:val="20"/>
                </w:rPr>
                <w:t>Directors, Executive Officers and Corporate Governance</w:t>
              </w:r>
            </w:hyperlink>
          </w:p>
        </w:tc>
        <w:tc>
          <w:tcPr>
            <w:tcW w:w="0" w:type="auto"/>
            <w:gridSpan w:val="3"/>
            <w:shd w:val="clear" w:color="auto" w:fill="FFFFFF"/>
            <w:tcMar>
              <w:top w:w="30" w:type="dxa"/>
              <w:left w:w="20" w:type="dxa"/>
              <w:bottom w:w="30" w:type="dxa"/>
              <w:right w:w="20" w:type="dxa"/>
            </w:tcMar>
            <w:vAlign w:val="bottom"/>
            <w:hideMark/>
          </w:tcPr>
          <w:p w14:paraId="644F6777" w14:textId="77777777" w:rsidR="00000000" w:rsidRDefault="00195E73">
            <w:pPr>
              <w:jc w:val="center"/>
              <w:rPr>
                <w:rFonts w:eastAsia="Times New Roman"/>
              </w:rPr>
            </w:pPr>
            <w:hyperlink w:anchor="ie32f54975c224c3bb6f920bef14ea8e4_202" w:history="1">
              <w:r>
                <w:rPr>
                  <w:rStyle w:val="a3"/>
                  <w:rFonts w:eastAsia="Times New Roman"/>
                  <w:sz w:val="20"/>
                  <w:szCs w:val="20"/>
                </w:rPr>
                <w:t>117</w:t>
              </w:r>
            </w:hyperlink>
          </w:p>
        </w:tc>
      </w:tr>
      <w:tr w:rsidR="00000000" w14:paraId="5EF7C56F" w14:textId="77777777">
        <w:trPr>
          <w:divId w:val="689647201"/>
          <w:jc w:val="center"/>
        </w:trPr>
        <w:tc>
          <w:tcPr>
            <w:tcW w:w="0" w:type="auto"/>
            <w:gridSpan w:val="3"/>
            <w:shd w:val="clear" w:color="auto" w:fill="CCEEFF"/>
            <w:tcMar>
              <w:top w:w="30" w:type="dxa"/>
              <w:left w:w="20" w:type="dxa"/>
              <w:bottom w:w="30" w:type="dxa"/>
              <w:right w:w="20" w:type="dxa"/>
            </w:tcMar>
            <w:hideMark/>
          </w:tcPr>
          <w:p w14:paraId="3E6C6C62" w14:textId="77777777" w:rsidR="00000000" w:rsidRDefault="00195E73">
            <w:pPr>
              <w:divId w:val="1285499079"/>
              <w:rPr>
                <w:rFonts w:eastAsia="Times New Roman"/>
              </w:rPr>
            </w:pPr>
            <w:hyperlink w:anchor="ie32f54975c224c3bb6f920bef14ea8e4_205" w:history="1">
              <w:r>
                <w:rPr>
                  <w:rStyle w:val="a3"/>
                  <w:rFonts w:eastAsia="Times New Roman"/>
                  <w:sz w:val="20"/>
                  <w:szCs w:val="20"/>
                </w:rPr>
                <w:t>Item 11.</w:t>
              </w:r>
            </w:hyperlink>
          </w:p>
        </w:tc>
        <w:tc>
          <w:tcPr>
            <w:tcW w:w="0" w:type="auto"/>
            <w:gridSpan w:val="3"/>
            <w:shd w:val="clear" w:color="auto" w:fill="CCEEFF"/>
            <w:tcMar>
              <w:top w:w="30" w:type="dxa"/>
              <w:left w:w="20" w:type="dxa"/>
              <w:bottom w:w="30" w:type="dxa"/>
              <w:right w:w="20" w:type="dxa"/>
            </w:tcMar>
            <w:vAlign w:val="bottom"/>
            <w:hideMark/>
          </w:tcPr>
          <w:p w14:paraId="6086BEB2" w14:textId="77777777" w:rsidR="00000000" w:rsidRDefault="00195E73">
            <w:pPr>
              <w:divId w:val="1924030487"/>
              <w:rPr>
                <w:rFonts w:eastAsia="Times New Roman"/>
              </w:rPr>
            </w:pPr>
            <w:hyperlink w:anchor="ie32f54975c224c3bb6f920bef14ea8e4_205" w:history="1">
              <w:r>
                <w:rPr>
                  <w:rStyle w:val="a3"/>
                  <w:rFonts w:eastAsia="Times New Roman"/>
                  <w:sz w:val="20"/>
                  <w:szCs w:val="20"/>
                </w:rPr>
                <w:t>Executive Compensation</w:t>
              </w:r>
            </w:hyperlink>
          </w:p>
        </w:tc>
        <w:tc>
          <w:tcPr>
            <w:tcW w:w="0" w:type="auto"/>
            <w:gridSpan w:val="3"/>
            <w:shd w:val="clear" w:color="auto" w:fill="CCEEFF"/>
            <w:tcMar>
              <w:top w:w="30" w:type="dxa"/>
              <w:left w:w="20" w:type="dxa"/>
              <w:bottom w:w="30" w:type="dxa"/>
              <w:right w:w="20" w:type="dxa"/>
            </w:tcMar>
            <w:vAlign w:val="bottom"/>
            <w:hideMark/>
          </w:tcPr>
          <w:p w14:paraId="2C4E9D5D" w14:textId="77777777" w:rsidR="00000000" w:rsidRDefault="00195E73">
            <w:pPr>
              <w:jc w:val="center"/>
              <w:rPr>
                <w:rFonts w:eastAsia="Times New Roman"/>
              </w:rPr>
            </w:pPr>
            <w:hyperlink w:anchor="ie32f54975c224c3bb6f920bef14ea8e4_205" w:history="1">
              <w:r>
                <w:rPr>
                  <w:rStyle w:val="a3"/>
                  <w:rFonts w:eastAsia="Times New Roman"/>
                  <w:sz w:val="20"/>
                  <w:szCs w:val="20"/>
                </w:rPr>
                <w:t>121</w:t>
              </w:r>
            </w:hyperlink>
          </w:p>
        </w:tc>
      </w:tr>
      <w:tr w:rsidR="00000000" w14:paraId="73D19260" w14:textId="77777777">
        <w:trPr>
          <w:divId w:val="689647201"/>
          <w:jc w:val="center"/>
        </w:trPr>
        <w:tc>
          <w:tcPr>
            <w:tcW w:w="0" w:type="auto"/>
            <w:gridSpan w:val="3"/>
            <w:shd w:val="clear" w:color="auto" w:fill="FFFFFF"/>
            <w:tcMar>
              <w:top w:w="30" w:type="dxa"/>
              <w:left w:w="20" w:type="dxa"/>
              <w:bottom w:w="30" w:type="dxa"/>
              <w:right w:w="20" w:type="dxa"/>
            </w:tcMar>
            <w:hideMark/>
          </w:tcPr>
          <w:p w14:paraId="625E2C8E" w14:textId="77777777" w:rsidR="00000000" w:rsidRDefault="00195E73">
            <w:pPr>
              <w:divId w:val="2083287731"/>
              <w:rPr>
                <w:rFonts w:eastAsia="Times New Roman"/>
              </w:rPr>
            </w:pPr>
            <w:hyperlink w:anchor="ie32f54975c224c3bb6f920bef14ea8e4_208" w:history="1">
              <w:r>
                <w:rPr>
                  <w:rStyle w:val="a3"/>
                  <w:rFonts w:eastAsia="Times New Roman"/>
                  <w:sz w:val="20"/>
                  <w:szCs w:val="20"/>
                </w:rPr>
                <w:t>Item 12.</w:t>
              </w:r>
            </w:hyperlink>
          </w:p>
        </w:tc>
        <w:tc>
          <w:tcPr>
            <w:tcW w:w="0" w:type="auto"/>
            <w:gridSpan w:val="3"/>
            <w:shd w:val="clear" w:color="auto" w:fill="FFFFFF"/>
            <w:tcMar>
              <w:top w:w="30" w:type="dxa"/>
              <w:left w:w="20" w:type="dxa"/>
              <w:bottom w:w="30" w:type="dxa"/>
              <w:right w:w="20" w:type="dxa"/>
            </w:tcMar>
            <w:vAlign w:val="bottom"/>
            <w:hideMark/>
          </w:tcPr>
          <w:p w14:paraId="51E03FBE" w14:textId="77777777" w:rsidR="00000000" w:rsidRDefault="00195E73">
            <w:pPr>
              <w:ind w:hanging="90"/>
              <w:divId w:val="1816222297"/>
              <w:rPr>
                <w:rFonts w:eastAsia="Times New Roman"/>
              </w:rPr>
            </w:pPr>
            <w:hyperlink w:anchor="ie32f54975c224c3bb6f920bef14ea8e4_208" w:history="1">
              <w:r>
                <w:rPr>
                  <w:rStyle w:val="a3"/>
                  <w:rFonts w:eastAsia="Times New Roman"/>
                  <w:sz w:val="20"/>
                  <w:szCs w:val="20"/>
                </w:rPr>
                <w:t>Security Ownership of Certain Beneficial Owners and Management and Related Security Holder Matters</w:t>
              </w:r>
            </w:hyperlink>
          </w:p>
        </w:tc>
        <w:tc>
          <w:tcPr>
            <w:tcW w:w="0" w:type="auto"/>
            <w:gridSpan w:val="3"/>
            <w:shd w:val="clear" w:color="auto" w:fill="FFFFFF"/>
            <w:tcMar>
              <w:top w:w="30" w:type="dxa"/>
              <w:left w:w="20" w:type="dxa"/>
              <w:bottom w:w="30" w:type="dxa"/>
              <w:right w:w="20" w:type="dxa"/>
            </w:tcMar>
            <w:vAlign w:val="bottom"/>
            <w:hideMark/>
          </w:tcPr>
          <w:p w14:paraId="22FA350A" w14:textId="77777777" w:rsidR="00000000" w:rsidRDefault="00195E73">
            <w:pPr>
              <w:jc w:val="center"/>
              <w:rPr>
                <w:rFonts w:eastAsia="Times New Roman"/>
              </w:rPr>
            </w:pPr>
            <w:hyperlink w:anchor="ie32f54975c224c3bb6f920bef14ea8e4_208" w:history="1">
              <w:r>
                <w:rPr>
                  <w:rStyle w:val="a3"/>
                  <w:rFonts w:eastAsia="Times New Roman"/>
                  <w:sz w:val="20"/>
                  <w:szCs w:val="20"/>
                </w:rPr>
                <w:t>127</w:t>
              </w:r>
            </w:hyperlink>
          </w:p>
        </w:tc>
      </w:tr>
      <w:tr w:rsidR="00000000" w14:paraId="77EC1269" w14:textId="77777777">
        <w:trPr>
          <w:divId w:val="689647201"/>
          <w:jc w:val="center"/>
        </w:trPr>
        <w:tc>
          <w:tcPr>
            <w:tcW w:w="0" w:type="auto"/>
            <w:gridSpan w:val="3"/>
            <w:shd w:val="clear" w:color="auto" w:fill="CCEEFF"/>
            <w:tcMar>
              <w:top w:w="30" w:type="dxa"/>
              <w:left w:w="20" w:type="dxa"/>
              <w:bottom w:w="30" w:type="dxa"/>
              <w:right w:w="20" w:type="dxa"/>
            </w:tcMar>
            <w:hideMark/>
          </w:tcPr>
          <w:p w14:paraId="49E97399" w14:textId="77777777" w:rsidR="00000000" w:rsidRDefault="00195E73">
            <w:pPr>
              <w:divId w:val="408426815"/>
              <w:rPr>
                <w:rFonts w:eastAsia="Times New Roman"/>
              </w:rPr>
            </w:pPr>
            <w:hyperlink w:anchor="ie32f54975c224c3bb6f920bef14ea8e4_211" w:history="1">
              <w:r>
                <w:rPr>
                  <w:rStyle w:val="a3"/>
                  <w:rFonts w:eastAsia="Times New Roman"/>
                  <w:sz w:val="20"/>
                  <w:szCs w:val="20"/>
                </w:rPr>
                <w:t>Item 13.</w:t>
              </w:r>
            </w:hyperlink>
          </w:p>
        </w:tc>
        <w:tc>
          <w:tcPr>
            <w:tcW w:w="0" w:type="auto"/>
            <w:gridSpan w:val="3"/>
            <w:shd w:val="clear" w:color="auto" w:fill="CCEEFF"/>
            <w:tcMar>
              <w:top w:w="30" w:type="dxa"/>
              <w:left w:w="20" w:type="dxa"/>
              <w:bottom w:w="30" w:type="dxa"/>
              <w:right w:w="20" w:type="dxa"/>
            </w:tcMar>
            <w:vAlign w:val="bottom"/>
            <w:hideMark/>
          </w:tcPr>
          <w:p w14:paraId="1C047ED7" w14:textId="77777777" w:rsidR="00000000" w:rsidRDefault="00195E73">
            <w:pPr>
              <w:divId w:val="86465090"/>
              <w:rPr>
                <w:rFonts w:eastAsia="Times New Roman"/>
              </w:rPr>
            </w:pPr>
            <w:hyperlink w:anchor="ie32f54975c224c3bb6f920bef14ea8e4_211" w:history="1">
              <w:r>
                <w:rPr>
                  <w:rStyle w:val="a3"/>
                  <w:rFonts w:eastAsia="Times New Roman"/>
                  <w:sz w:val="20"/>
                  <w:szCs w:val="20"/>
                </w:rPr>
                <w:t>Certain Relationships and Related Transactions, and Director Independence</w:t>
              </w:r>
            </w:hyperlink>
          </w:p>
        </w:tc>
        <w:tc>
          <w:tcPr>
            <w:tcW w:w="0" w:type="auto"/>
            <w:gridSpan w:val="3"/>
            <w:shd w:val="clear" w:color="auto" w:fill="CCEEFF"/>
            <w:tcMar>
              <w:top w:w="30" w:type="dxa"/>
              <w:left w:w="20" w:type="dxa"/>
              <w:bottom w:w="30" w:type="dxa"/>
              <w:right w:w="20" w:type="dxa"/>
            </w:tcMar>
            <w:vAlign w:val="bottom"/>
            <w:hideMark/>
          </w:tcPr>
          <w:p w14:paraId="7382B1CE" w14:textId="77777777" w:rsidR="00000000" w:rsidRDefault="00195E73">
            <w:pPr>
              <w:jc w:val="center"/>
              <w:rPr>
                <w:rFonts w:eastAsia="Times New Roman"/>
              </w:rPr>
            </w:pPr>
            <w:hyperlink w:anchor="ie32f54975c224c3bb6f920bef14ea8e4_211" w:history="1">
              <w:r>
                <w:rPr>
                  <w:rStyle w:val="a3"/>
                  <w:rFonts w:eastAsia="Times New Roman"/>
                  <w:sz w:val="20"/>
                  <w:szCs w:val="20"/>
                </w:rPr>
                <w:t>128</w:t>
              </w:r>
            </w:hyperlink>
          </w:p>
        </w:tc>
      </w:tr>
      <w:tr w:rsidR="00000000" w14:paraId="1ACF4AC3" w14:textId="77777777">
        <w:trPr>
          <w:divId w:val="689647201"/>
          <w:jc w:val="center"/>
        </w:trPr>
        <w:tc>
          <w:tcPr>
            <w:tcW w:w="0" w:type="auto"/>
            <w:gridSpan w:val="3"/>
            <w:shd w:val="clear" w:color="auto" w:fill="FFFFFF"/>
            <w:tcMar>
              <w:top w:w="30" w:type="dxa"/>
              <w:left w:w="20" w:type="dxa"/>
              <w:bottom w:w="30" w:type="dxa"/>
              <w:right w:w="20" w:type="dxa"/>
            </w:tcMar>
            <w:hideMark/>
          </w:tcPr>
          <w:p w14:paraId="368B399C" w14:textId="77777777" w:rsidR="00000000" w:rsidRDefault="00195E73">
            <w:pPr>
              <w:divId w:val="1064453201"/>
              <w:rPr>
                <w:rFonts w:eastAsia="Times New Roman"/>
              </w:rPr>
            </w:pPr>
            <w:hyperlink w:anchor="ie32f54975c224c3bb6f920bef14ea8e4_214" w:history="1">
              <w:r>
                <w:rPr>
                  <w:rStyle w:val="a3"/>
                  <w:rFonts w:eastAsia="Times New Roman"/>
                  <w:sz w:val="20"/>
                  <w:szCs w:val="20"/>
                </w:rPr>
                <w:t>Item 14.</w:t>
              </w:r>
            </w:hyperlink>
          </w:p>
        </w:tc>
        <w:tc>
          <w:tcPr>
            <w:tcW w:w="0" w:type="auto"/>
            <w:gridSpan w:val="3"/>
            <w:shd w:val="clear" w:color="auto" w:fill="FFFFFF"/>
            <w:tcMar>
              <w:top w:w="30" w:type="dxa"/>
              <w:left w:w="20" w:type="dxa"/>
              <w:bottom w:w="30" w:type="dxa"/>
              <w:right w:w="20" w:type="dxa"/>
            </w:tcMar>
            <w:vAlign w:val="bottom"/>
            <w:hideMark/>
          </w:tcPr>
          <w:p w14:paraId="162DEC11" w14:textId="77777777" w:rsidR="00000000" w:rsidRDefault="00195E73">
            <w:pPr>
              <w:divId w:val="2091920543"/>
              <w:rPr>
                <w:rFonts w:eastAsia="Times New Roman"/>
              </w:rPr>
            </w:pPr>
            <w:hyperlink w:anchor="ie32f54975c224c3bb6f920bef14ea8e4_214" w:history="1">
              <w:r>
                <w:rPr>
                  <w:rStyle w:val="a3"/>
                  <w:rFonts w:eastAsia="Times New Roman"/>
                  <w:sz w:val="20"/>
                  <w:szCs w:val="20"/>
                </w:rPr>
                <w:t>Principal Accountant Fees and Services</w:t>
              </w:r>
            </w:hyperlink>
          </w:p>
        </w:tc>
        <w:tc>
          <w:tcPr>
            <w:tcW w:w="0" w:type="auto"/>
            <w:gridSpan w:val="3"/>
            <w:shd w:val="clear" w:color="auto" w:fill="FFFFFF"/>
            <w:tcMar>
              <w:top w:w="30" w:type="dxa"/>
              <w:left w:w="20" w:type="dxa"/>
              <w:bottom w:w="30" w:type="dxa"/>
              <w:right w:w="20" w:type="dxa"/>
            </w:tcMar>
            <w:vAlign w:val="bottom"/>
            <w:hideMark/>
          </w:tcPr>
          <w:p w14:paraId="7AC60C35" w14:textId="77777777" w:rsidR="00000000" w:rsidRDefault="00195E73">
            <w:pPr>
              <w:jc w:val="center"/>
              <w:rPr>
                <w:rFonts w:eastAsia="Times New Roman"/>
              </w:rPr>
            </w:pPr>
            <w:hyperlink w:anchor="ie32f54975c224c3bb6f920bef14ea8e4_214" w:history="1">
              <w:r>
                <w:rPr>
                  <w:rStyle w:val="a3"/>
                  <w:rFonts w:eastAsia="Times New Roman"/>
                  <w:sz w:val="20"/>
                  <w:szCs w:val="20"/>
                </w:rPr>
                <w:t>130</w:t>
              </w:r>
            </w:hyperlink>
          </w:p>
        </w:tc>
      </w:tr>
      <w:tr w:rsidR="00000000" w14:paraId="618AA523" w14:textId="77777777">
        <w:trPr>
          <w:divId w:val="689647201"/>
          <w:trHeight w:val="280"/>
          <w:jc w:val="center"/>
        </w:trPr>
        <w:tc>
          <w:tcPr>
            <w:tcW w:w="0" w:type="auto"/>
            <w:gridSpan w:val="3"/>
            <w:shd w:val="clear" w:color="auto" w:fill="CCEEFF"/>
            <w:tcMar>
              <w:top w:w="15" w:type="dxa"/>
              <w:left w:w="20" w:type="dxa"/>
              <w:bottom w:w="15" w:type="dxa"/>
              <w:right w:w="20" w:type="dxa"/>
            </w:tcMar>
            <w:vAlign w:val="bottom"/>
            <w:hideMark/>
          </w:tcPr>
          <w:p w14:paraId="1D73D7E9" w14:textId="77777777" w:rsidR="00000000" w:rsidRDefault="00195E73">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002EBA8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BB7497B" w14:textId="77777777" w:rsidR="00000000" w:rsidRDefault="00195E73">
            <w:pPr>
              <w:rPr>
                <w:rFonts w:eastAsia="Times New Roman"/>
                <w:sz w:val="20"/>
                <w:szCs w:val="20"/>
              </w:rPr>
            </w:pPr>
          </w:p>
        </w:tc>
      </w:tr>
      <w:tr w:rsidR="00000000" w14:paraId="23ADB624" w14:textId="77777777">
        <w:trPr>
          <w:divId w:val="689647201"/>
          <w:jc w:val="center"/>
        </w:trPr>
        <w:tc>
          <w:tcPr>
            <w:tcW w:w="0" w:type="auto"/>
            <w:gridSpan w:val="3"/>
            <w:shd w:val="clear" w:color="auto" w:fill="FFFFFF"/>
            <w:tcMar>
              <w:top w:w="15" w:type="dxa"/>
              <w:left w:w="20" w:type="dxa"/>
              <w:bottom w:w="15" w:type="dxa"/>
              <w:right w:w="20" w:type="dxa"/>
            </w:tcMar>
            <w:vAlign w:val="bottom"/>
            <w:hideMark/>
          </w:tcPr>
          <w:p w14:paraId="1EEE1372" w14:textId="77777777" w:rsidR="00000000" w:rsidRDefault="00195E7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E6CCD30" w14:textId="77777777" w:rsidR="00000000" w:rsidRDefault="00195E73">
            <w:pPr>
              <w:jc w:val="center"/>
              <w:rPr>
                <w:rFonts w:eastAsia="Times New Roman"/>
              </w:rPr>
            </w:pPr>
            <w:r>
              <w:rPr>
                <w:rFonts w:eastAsia="Times New Roman"/>
                <w:b/>
                <w:bCs/>
                <w:color w:val="000000"/>
                <w:sz w:val="20"/>
                <w:szCs w:val="20"/>
              </w:rPr>
              <w:t>PART I</w:t>
            </w:r>
            <w:r>
              <w:rPr>
                <w:rFonts w:eastAsia="Times New Roman"/>
                <w:b/>
                <w:bCs/>
                <w:color w:val="000000"/>
                <w:sz w:val="20"/>
                <w:szCs w:val="20"/>
              </w:rPr>
              <w:t>V</w:t>
            </w:r>
          </w:p>
        </w:tc>
        <w:tc>
          <w:tcPr>
            <w:tcW w:w="0" w:type="auto"/>
            <w:gridSpan w:val="3"/>
            <w:shd w:val="clear" w:color="auto" w:fill="FFFFFF"/>
            <w:tcMar>
              <w:top w:w="15" w:type="dxa"/>
              <w:left w:w="20" w:type="dxa"/>
              <w:bottom w:w="15" w:type="dxa"/>
              <w:right w:w="20" w:type="dxa"/>
            </w:tcMar>
            <w:vAlign w:val="bottom"/>
            <w:hideMark/>
          </w:tcPr>
          <w:p w14:paraId="1F087CF0" w14:textId="77777777" w:rsidR="00000000" w:rsidRDefault="00195E73">
            <w:pPr>
              <w:jc w:val="center"/>
              <w:rPr>
                <w:rFonts w:eastAsia="Times New Roman"/>
              </w:rPr>
            </w:pPr>
          </w:p>
        </w:tc>
      </w:tr>
      <w:tr w:rsidR="00000000" w14:paraId="117EF1E8" w14:textId="77777777">
        <w:trPr>
          <w:divId w:val="689647201"/>
          <w:jc w:val="center"/>
        </w:trPr>
        <w:tc>
          <w:tcPr>
            <w:tcW w:w="0" w:type="auto"/>
            <w:gridSpan w:val="3"/>
            <w:shd w:val="clear" w:color="auto" w:fill="CCEEFF"/>
            <w:tcMar>
              <w:top w:w="30" w:type="dxa"/>
              <w:left w:w="20" w:type="dxa"/>
              <w:bottom w:w="30" w:type="dxa"/>
              <w:right w:w="20" w:type="dxa"/>
            </w:tcMar>
            <w:hideMark/>
          </w:tcPr>
          <w:p w14:paraId="5A314A55" w14:textId="77777777" w:rsidR="00000000" w:rsidRDefault="00195E73">
            <w:pPr>
              <w:divId w:val="1417438254"/>
              <w:rPr>
                <w:rFonts w:eastAsia="Times New Roman"/>
              </w:rPr>
            </w:pPr>
            <w:hyperlink w:anchor="ie32f54975c224c3bb6f920bef14ea8e4_220" w:history="1">
              <w:r>
                <w:rPr>
                  <w:rStyle w:val="a3"/>
                  <w:rFonts w:eastAsia="Times New Roman"/>
                  <w:sz w:val="20"/>
                  <w:szCs w:val="20"/>
                </w:rPr>
                <w:t>Item 15.</w:t>
              </w:r>
            </w:hyperlink>
          </w:p>
        </w:tc>
        <w:tc>
          <w:tcPr>
            <w:tcW w:w="0" w:type="auto"/>
            <w:gridSpan w:val="3"/>
            <w:shd w:val="clear" w:color="auto" w:fill="CCEEFF"/>
            <w:tcMar>
              <w:top w:w="30" w:type="dxa"/>
              <w:left w:w="20" w:type="dxa"/>
              <w:bottom w:w="30" w:type="dxa"/>
              <w:right w:w="20" w:type="dxa"/>
            </w:tcMar>
            <w:vAlign w:val="bottom"/>
            <w:hideMark/>
          </w:tcPr>
          <w:p w14:paraId="2FFD951E" w14:textId="77777777" w:rsidR="00000000" w:rsidRDefault="00195E73">
            <w:pPr>
              <w:divId w:val="1558936028"/>
              <w:rPr>
                <w:rFonts w:eastAsia="Times New Roman"/>
              </w:rPr>
            </w:pPr>
            <w:hyperlink w:anchor="ie32f54975c224c3bb6f920bef14ea8e4_220" w:history="1">
              <w:r>
                <w:rPr>
                  <w:rStyle w:val="a3"/>
                  <w:rFonts w:eastAsia="Times New Roman"/>
                  <w:sz w:val="20"/>
                  <w:szCs w:val="20"/>
                </w:rPr>
                <w:t>Exhibits and Financial Statement Schedules</w:t>
              </w:r>
            </w:hyperlink>
          </w:p>
        </w:tc>
        <w:tc>
          <w:tcPr>
            <w:tcW w:w="0" w:type="auto"/>
            <w:gridSpan w:val="3"/>
            <w:shd w:val="clear" w:color="auto" w:fill="CCEEFF"/>
            <w:tcMar>
              <w:top w:w="30" w:type="dxa"/>
              <w:left w:w="20" w:type="dxa"/>
              <w:bottom w:w="30" w:type="dxa"/>
              <w:right w:w="20" w:type="dxa"/>
            </w:tcMar>
            <w:vAlign w:val="bottom"/>
            <w:hideMark/>
          </w:tcPr>
          <w:p w14:paraId="2E4E6B81" w14:textId="77777777" w:rsidR="00000000" w:rsidRDefault="00195E73">
            <w:pPr>
              <w:jc w:val="center"/>
              <w:rPr>
                <w:rFonts w:eastAsia="Times New Roman"/>
              </w:rPr>
            </w:pPr>
            <w:hyperlink w:anchor="ie32f54975c224c3bb6f920bef14ea8e4_220" w:history="1">
              <w:r>
                <w:rPr>
                  <w:rStyle w:val="a3"/>
                  <w:rFonts w:eastAsia="Times New Roman"/>
                  <w:sz w:val="20"/>
                  <w:szCs w:val="20"/>
                </w:rPr>
                <w:t>132</w:t>
              </w:r>
            </w:hyperlink>
          </w:p>
        </w:tc>
      </w:tr>
      <w:tr w:rsidR="00000000" w14:paraId="5CF9CCC1" w14:textId="77777777">
        <w:trPr>
          <w:divId w:val="689647201"/>
          <w:jc w:val="center"/>
        </w:trPr>
        <w:tc>
          <w:tcPr>
            <w:tcW w:w="0" w:type="auto"/>
            <w:gridSpan w:val="3"/>
            <w:shd w:val="clear" w:color="auto" w:fill="FFFFFF"/>
            <w:tcMar>
              <w:top w:w="30" w:type="dxa"/>
              <w:left w:w="20" w:type="dxa"/>
              <w:bottom w:w="30" w:type="dxa"/>
              <w:right w:w="20" w:type="dxa"/>
            </w:tcMar>
            <w:hideMark/>
          </w:tcPr>
          <w:p w14:paraId="4E13140B" w14:textId="77777777" w:rsidR="00000000" w:rsidRDefault="00195E73">
            <w:pPr>
              <w:divId w:val="105271997"/>
              <w:rPr>
                <w:rFonts w:eastAsia="Times New Roman"/>
              </w:rPr>
            </w:pPr>
            <w:hyperlink w:anchor="ie32f54975c224c3bb6f920bef14ea8e4_223" w:history="1">
              <w:r>
                <w:rPr>
                  <w:rStyle w:val="a3"/>
                  <w:rFonts w:eastAsia="Times New Roman"/>
                  <w:sz w:val="20"/>
                  <w:szCs w:val="20"/>
                </w:rPr>
                <w:t>Item 16.</w:t>
              </w:r>
            </w:hyperlink>
          </w:p>
        </w:tc>
        <w:tc>
          <w:tcPr>
            <w:tcW w:w="0" w:type="auto"/>
            <w:gridSpan w:val="3"/>
            <w:shd w:val="clear" w:color="auto" w:fill="FFFFFF"/>
            <w:tcMar>
              <w:top w:w="30" w:type="dxa"/>
              <w:left w:w="20" w:type="dxa"/>
              <w:bottom w:w="30" w:type="dxa"/>
              <w:right w:w="20" w:type="dxa"/>
            </w:tcMar>
            <w:vAlign w:val="bottom"/>
            <w:hideMark/>
          </w:tcPr>
          <w:p w14:paraId="4CF4BDC4" w14:textId="77777777" w:rsidR="00000000" w:rsidRDefault="00195E73">
            <w:pPr>
              <w:divId w:val="1172524869"/>
              <w:rPr>
                <w:rFonts w:eastAsia="Times New Roman"/>
              </w:rPr>
            </w:pPr>
            <w:hyperlink w:anchor="ie32f54975c224c3bb6f920bef14ea8e4_223" w:history="1">
              <w:r>
                <w:rPr>
                  <w:rStyle w:val="a3"/>
                  <w:rFonts w:eastAsia="Times New Roman"/>
                  <w:sz w:val="20"/>
                  <w:szCs w:val="20"/>
                </w:rPr>
                <w:t>Form 10-K Summary</w:t>
              </w:r>
            </w:hyperlink>
          </w:p>
        </w:tc>
        <w:tc>
          <w:tcPr>
            <w:tcW w:w="0" w:type="auto"/>
            <w:gridSpan w:val="3"/>
            <w:shd w:val="clear" w:color="auto" w:fill="FFFFFF"/>
            <w:tcMar>
              <w:top w:w="30" w:type="dxa"/>
              <w:left w:w="20" w:type="dxa"/>
              <w:bottom w:w="30" w:type="dxa"/>
              <w:right w:w="20" w:type="dxa"/>
            </w:tcMar>
            <w:vAlign w:val="bottom"/>
            <w:hideMark/>
          </w:tcPr>
          <w:p w14:paraId="6420E4E3" w14:textId="77777777" w:rsidR="00000000" w:rsidRDefault="00195E73">
            <w:pPr>
              <w:jc w:val="center"/>
              <w:rPr>
                <w:rFonts w:eastAsia="Times New Roman"/>
              </w:rPr>
            </w:pPr>
            <w:hyperlink w:anchor="ie32f54975c224c3bb6f920bef14ea8e4_223" w:history="1">
              <w:r>
                <w:rPr>
                  <w:rStyle w:val="a3"/>
                  <w:rFonts w:eastAsia="Times New Roman"/>
                  <w:sz w:val="20"/>
                  <w:szCs w:val="20"/>
                </w:rPr>
                <w:t>132</w:t>
              </w:r>
            </w:hyperlink>
          </w:p>
        </w:tc>
      </w:tr>
    </w:tbl>
    <w:p w14:paraId="7630DE5A" w14:textId="77777777" w:rsidR="00000000" w:rsidRDefault="00195E73">
      <w:pPr>
        <w:divId w:val="1698851204"/>
        <w:rPr>
          <w:rFonts w:eastAsia="Times New Roman"/>
        </w:rPr>
      </w:pPr>
    </w:p>
    <w:p w14:paraId="4BCF2585" w14:textId="77777777" w:rsidR="00000000" w:rsidRDefault="00195E73">
      <w:pPr>
        <w:divId w:val="170685292"/>
        <w:rPr>
          <w:rFonts w:eastAsia="Times New Roman"/>
        </w:rPr>
      </w:pPr>
    </w:p>
    <w:p w14:paraId="64DF3ED9" w14:textId="77777777" w:rsidR="00000000" w:rsidRDefault="00195E73">
      <w:pPr>
        <w:jc w:val="center"/>
        <w:divId w:val="736166167"/>
        <w:rPr>
          <w:rFonts w:eastAsia="Times New Roman"/>
        </w:rPr>
      </w:pPr>
      <w:r>
        <w:rPr>
          <w:rFonts w:eastAsia="Times New Roman"/>
          <w:color w:val="000000"/>
          <w:sz w:val="20"/>
          <w:szCs w:val="20"/>
        </w:rPr>
        <w:t>i</w:t>
      </w:r>
    </w:p>
    <w:p w14:paraId="637AFB5F" w14:textId="77777777" w:rsidR="00000000" w:rsidRDefault="00195E73">
      <w:pPr>
        <w:rPr>
          <w:rFonts w:eastAsia="Times New Roman"/>
        </w:rPr>
      </w:pPr>
      <w:r>
        <w:rPr>
          <w:rFonts w:eastAsia="Times New Roman"/>
        </w:rPr>
        <w:pict w14:anchorId="711B267E">
          <v:rect id="_x0000_i1026" style="width:0;height:1.5pt" o:hralign="center" o:hrstd="t" o:hr="t" fillcolor="#a0a0a0" stroked="f"/>
        </w:pict>
      </w:r>
    </w:p>
    <w:p w14:paraId="000A64FA" w14:textId="77777777" w:rsidR="00000000" w:rsidRDefault="00195E73">
      <w:pPr>
        <w:divId w:val="1565218868"/>
        <w:rPr>
          <w:rFonts w:eastAsia="Times New Roman"/>
        </w:rPr>
      </w:pPr>
    </w:p>
    <w:p w14:paraId="29D068CB" w14:textId="77777777" w:rsidR="00000000" w:rsidRDefault="00195E73">
      <w:pPr>
        <w:jc w:val="center"/>
        <w:rPr>
          <w:rFonts w:eastAsia="Times New Roman"/>
        </w:rPr>
      </w:pPr>
      <w:r>
        <w:rPr>
          <w:rFonts w:eastAsia="Times New Roman"/>
          <w:b/>
          <w:bCs/>
          <w:color w:val="000000"/>
          <w:sz w:val="20"/>
          <w:szCs w:val="20"/>
        </w:rPr>
        <w:t>EXPLANATORY NOT</w:t>
      </w:r>
      <w:r>
        <w:rPr>
          <w:rFonts w:eastAsia="Times New Roman"/>
          <w:b/>
          <w:bCs/>
          <w:color w:val="000000"/>
          <w:sz w:val="20"/>
          <w:szCs w:val="20"/>
        </w:rPr>
        <w:t>E</w:t>
      </w:r>
    </w:p>
    <w:p w14:paraId="3B510066" w14:textId="77777777" w:rsidR="00000000" w:rsidRDefault="00195E73">
      <w:pPr>
        <w:jc w:val="center"/>
        <w:rPr>
          <w:rFonts w:eastAsia="Times New Roman"/>
        </w:rPr>
      </w:pPr>
    </w:p>
    <w:p w14:paraId="2D892990" w14:textId="77777777" w:rsidR="00000000" w:rsidRDefault="00195E73">
      <w:pPr>
        <w:ind w:firstLine="450"/>
        <w:divId w:val="1630748329"/>
        <w:rPr>
          <w:rFonts w:eastAsia="Times New Roman"/>
        </w:rPr>
      </w:pPr>
      <w:r>
        <w:rPr>
          <w:rFonts w:eastAsia="Times New Roman"/>
          <w:color w:val="000000"/>
          <w:sz w:val="20"/>
          <w:szCs w:val="20"/>
        </w:rPr>
        <w:t>This Annual Report on Form 10-K (this “Report”) is a joint report being filed by Icahn Enterprises L.P. and Icahn Enterprises Holdings L.P. Each registrant hereto is filing on its own behalf all of t</w:t>
      </w:r>
      <w:r>
        <w:rPr>
          <w:rFonts w:eastAsia="Times New Roman"/>
          <w:color w:val="000000"/>
          <w:sz w:val="20"/>
          <w:szCs w:val="20"/>
        </w:rPr>
        <w:t>he information contained in this Report that relates to such registrant. Each registrant hereto is not filing any information that does not relate to such registrant, and therefore makes no representation as to any such information</w:t>
      </w:r>
      <w:r>
        <w:rPr>
          <w:rFonts w:eastAsia="Times New Roman"/>
          <w:color w:val="000000"/>
          <w:sz w:val="20"/>
          <w:szCs w:val="20"/>
        </w:rPr>
        <w:t>.</w:t>
      </w:r>
    </w:p>
    <w:p w14:paraId="020C515B" w14:textId="77777777" w:rsidR="00000000" w:rsidRDefault="00195E73">
      <w:pPr>
        <w:jc w:val="center"/>
        <w:divId w:val="2010014186"/>
        <w:rPr>
          <w:rFonts w:eastAsia="Times New Roman"/>
        </w:rPr>
      </w:pPr>
    </w:p>
    <w:p w14:paraId="2D99D3F2" w14:textId="77777777" w:rsidR="00000000" w:rsidRDefault="00195E73">
      <w:pPr>
        <w:jc w:val="center"/>
        <w:divId w:val="85544644"/>
        <w:rPr>
          <w:rFonts w:eastAsia="Times New Roman"/>
        </w:rPr>
      </w:pPr>
      <w:r>
        <w:rPr>
          <w:rFonts w:eastAsia="Times New Roman"/>
          <w:b/>
          <w:bCs/>
          <w:color w:val="000000"/>
          <w:sz w:val="20"/>
          <w:szCs w:val="20"/>
        </w:rPr>
        <w:t>FORWARD-LOOKING STATEMENT</w:t>
      </w:r>
      <w:r>
        <w:rPr>
          <w:rFonts w:eastAsia="Times New Roman"/>
          <w:b/>
          <w:bCs/>
          <w:color w:val="000000"/>
          <w:sz w:val="20"/>
          <w:szCs w:val="20"/>
        </w:rPr>
        <w:t>S</w:t>
      </w:r>
    </w:p>
    <w:p w14:paraId="0164B420" w14:textId="77777777" w:rsidR="00000000" w:rsidRDefault="00195E73">
      <w:pPr>
        <w:ind w:firstLine="405"/>
        <w:divId w:val="1227569429"/>
        <w:rPr>
          <w:rFonts w:eastAsia="Times New Roman"/>
        </w:rPr>
      </w:pPr>
      <w:r>
        <w:rPr>
          <w:rFonts w:eastAsia="Times New Roman"/>
          <w:color w:val="000000"/>
          <w:sz w:val="20"/>
          <w:szCs w:val="20"/>
        </w:rPr>
        <w:t>This Report contains certain statements that are, or may be deemed to be, “forward-looking statements” within the meaning of Section 27A of the Securities Act of 1933, as amended, and Section 21E of the Securities Exchange Act of</w:t>
      </w:r>
      <w:r>
        <w:rPr>
          <w:rFonts w:eastAsia="Times New Roman"/>
          <w:color w:val="000000"/>
          <w:sz w:val="20"/>
          <w:szCs w:val="20"/>
        </w:rPr>
        <w:t xml:space="preserve"> 1934, as amended (“the Exchange Act”), or by Public Law 104-67. All statements included in this Report, other than statements that relate solely to historical fact, are “forward-looking statements.” Such statements include, but are not limited to, any sta</w:t>
      </w:r>
      <w:r>
        <w:rPr>
          <w:rFonts w:eastAsia="Times New Roman"/>
          <w:color w:val="000000"/>
          <w:sz w:val="20"/>
          <w:szCs w:val="20"/>
        </w:rPr>
        <w:t>tement that may predict, forecast, indicate or imply future results, performance, achievements or events, or any statement that may relate to strategies, plans or objectives for, or potential results of, future operations, financial results, financial cond</w:t>
      </w:r>
      <w:r>
        <w:rPr>
          <w:rFonts w:eastAsia="Times New Roman"/>
          <w:color w:val="000000"/>
          <w:sz w:val="20"/>
          <w:szCs w:val="20"/>
        </w:rPr>
        <w:t>ition, business prospects, growth strategy or liquidity, and are based upon management’s current plans and beliefs or current estimates of future results or trends. Forward-looking statements can generally be identified by phrases such as “believes,” “expe</w:t>
      </w:r>
      <w:r>
        <w:rPr>
          <w:rFonts w:eastAsia="Times New Roman"/>
          <w:color w:val="000000"/>
          <w:sz w:val="20"/>
          <w:szCs w:val="20"/>
        </w:rPr>
        <w:t>cts,” “potential,” “continues,” “may,” “should,” “seeks,” “predicts,” “anticipates,” “intends,” “projects,” “estimates,” “plans,” “could,” “designed,” “should be” and other similar expressions that denote expectations of future or conditional events rather</w:t>
      </w:r>
      <w:r>
        <w:rPr>
          <w:rFonts w:eastAsia="Times New Roman"/>
          <w:color w:val="000000"/>
          <w:sz w:val="20"/>
          <w:szCs w:val="20"/>
        </w:rPr>
        <w:t xml:space="preserve"> than statements of fact.</w:t>
      </w:r>
      <w:r>
        <w:rPr>
          <w:rFonts w:eastAsia="Times New Roman"/>
          <w:color w:val="000000"/>
          <w:sz w:val="20"/>
          <w:szCs w:val="20"/>
        </w:rPr>
        <w:t xml:space="preserve"> </w:t>
      </w:r>
    </w:p>
    <w:p w14:paraId="0F5EE580" w14:textId="77777777" w:rsidR="00000000" w:rsidRDefault="00195E73">
      <w:pPr>
        <w:ind w:firstLine="405"/>
        <w:divId w:val="1681660700"/>
        <w:rPr>
          <w:rFonts w:eastAsia="Times New Roman"/>
        </w:rPr>
      </w:pPr>
      <w:r>
        <w:rPr>
          <w:rFonts w:eastAsia="Times New Roman"/>
          <w:color w:val="000000"/>
          <w:sz w:val="20"/>
          <w:szCs w:val="20"/>
        </w:rPr>
        <w:t>Forward-looking statements include certain statements made under the caption, “Management’s Discussion and Analysis of Financial Condition and Results of Operations,” under Item 7 of this Report, but also forward-looking statemen</w:t>
      </w:r>
      <w:r>
        <w:rPr>
          <w:rFonts w:eastAsia="Times New Roman"/>
          <w:color w:val="000000"/>
          <w:sz w:val="20"/>
          <w:szCs w:val="20"/>
        </w:rPr>
        <w:t>ts that appear in other parts of this Report. Forward-looking statements reflect our current views with respect to future events and are based on certain assumptions and are subject to risks and uncertainties that could cause our actual results to differ m</w:t>
      </w:r>
      <w:r>
        <w:rPr>
          <w:rFonts w:eastAsia="Times New Roman"/>
          <w:color w:val="000000"/>
          <w:sz w:val="20"/>
          <w:szCs w:val="20"/>
        </w:rPr>
        <w:t>aterially from trends, plans, or expectations set forth in the forward-looking statements. These risks and uncertainties may include the risks and uncertainties described elsewhere in this Report, including under the caption “Risk Factors,” under Item 1A o</w:t>
      </w:r>
      <w:r>
        <w:rPr>
          <w:rFonts w:eastAsia="Times New Roman"/>
          <w:color w:val="000000"/>
          <w:sz w:val="20"/>
          <w:szCs w:val="20"/>
        </w:rPr>
        <w:t>f this Report. Additionally, there may be other factors not presently known to us or which we currently consider to be immaterial that may cause our actual results to differ materially from the forward-looking statements.</w:t>
      </w:r>
      <w:r>
        <w:rPr>
          <w:rFonts w:eastAsia="Times New Roman"/>
          <w:color w:val="000000"/>
          <w:sz w:val="20"/>
          <w:szCs w:val="20"/>
        </w:rPr>
        <w:t xml:space="preserve"> </w:t>
      </w:r>
    </w:p>
    <w:p w14:paraId="469729FB" w14:textId="77777777" w:rsidR="00000000" w:rsidRDefault="00195E73">
      <w:pPr>
        <w:ind w:firstLine="405"/>
        <w:divId w:val="40138071"/>
        <w:rPr>
          <w:rFonts w:eastAsia="Times New Roman"/>
        </w:rPr>
      </w:pPr>
    </w:p>
    <w:p w14:paraId="3032564B" w14:textId="77777777" w:rsidR="00000000" w:rsidRDefault="00195E73">
      <w:pPr>
        <w:divId w:val="793906320"/>
        <w:rPr>
          <w:rFonts w:eastAsia="Times New Roman"/>
        </w:rPr>
      </w:pPr>
    </w:p>
    <w:p w14:paraId="16253DC9" w14:textId="77777777" w:rsidR="00000000" w:rsidRDefault="00195E73">
      <w:pPr>
        <w:jc w:val="center"/>
        <w:divId w:val="2118013894"/>
        <w:rPr>
          <w:rFonts w:eastAsia="Times New Roman"/>
        </w:rPr>
      </w:pPr>
      <w:r>
        <w:rPr>
          <w:rFonts w:eastAsia="Times New Roman"/>
          <w:color w:val="000000"/>
          <w:sz w:val="20"/>
          <w:szCs w:val="20"/>
        </w:rPr>
        <w:t>1</w:t>
      </w:r>
    </w:p>
    <w:p w14:paraId="2DC006E3" w14:textId="77777777" w:rsidR="00000000" w:rsidRDefault="00195E73">
      <w:pPr>
        <w:rPr>
          <w:rFonts w:eastAsia="Times New Roman"/>
        </w:rPr>
      </w:pPr>
      <w:r>
        <w:rPr>
          <w:rFonts w:eastAsia="Times New Roman"/>
        </w:rPr>
        <w:pict w14:anchorId="39A099B9">
          <v:rect id="_x0000_i1027" style="width:0;height:1.5pt" o:hralign="center" o:hrstd="t" o:hr="t" fillcolor="#a0a0a0" stroked="f"/>
        </w:pict>
      </w:r>
    </w:p>
    <w:p w14:paraId="3AD4F527" w14:textId="77777777" w:rsidR="00000000" w:rsidRDefault="00195E73">
      <w:pPr>
        <w:divId w:val="1729256858"/>
        <w:rPr>
          <w:rFonts w:eastAsia="Times New Roman"/>
        </w:rPr>
      </w:pPr>
    </w:p>
    <w:p w14:paraId="16CDA5F9" w14:textId="77777777" w:rsidR="00000000" w:rsidRDefault="00195E73">
      <w:pPr>
        <w:jc w:val="center"/>
        <w:rPr>
          <w:rFonts w:eastAsia="Times New Roman"/>
        </w:rPr>
      </w:pPr>
      <w:r>
        <w:rPr>
          <w:rFonts w:eastAsia="Times New Roman"/>
          <w:b/>
          <w:bCs/>
          <w:color w:val="000000"/>
          <w:sz w:val="20"/>
          <w:szCs w:val="20"/>
        </w:rPr>
        <w:t xml:space="preserve">PART </w:t>
      </w:r>
      <w:r>
        <w:rPr>
          <w:rFonts w:eastAsia="Times New Roman"/>
          <w:b/>
          <w:bCs/>
          <w:color w:val="000000"/>
          <w:sz w:val="20"/>
          <w:szCs w:val="20"/>
        </w:rPr>
        <w:t>I</w:t>
      </w:r>
    </w:p>
    <w:p w14:paraId="6A64FBE6" w14:textId="77777777" w:rsidR="00000000" w:rsidRDefault="00195E73">
      <w:pPr>
        <w:jc w:val="center"/>
        <w:rPr>
          <w:rFonts w:eastAsia="Times New Roman"/>
        </w:rPr>
      </w:pPr>
    </w:p>
    <w:p w14:paraId="3F209A78" w14:textId="77777777" w:rsidR="00000000" w:rsidRDefault="00195E73">
      <w:pPr>
        <w:divId w:val="1310940106"/>
        <w:rPr>
          <w:rFonts w:eastAsia="Times New Roman"/>
        </w:rPr>
      </w:pPr>
      <w:r>
        <w:rPr>
          <w:rFonts w:eastAsia="Times New Roman"/>
          <w:b/>
          <w:bCs/>
          <w:color w:val="000000"/>
          <w:sz w:val="20"/>
          <w:szCs w:val="20"/>
        </w:rPr>
        <w:t>Item 1. Business</w:t>
      </w:r>
      <w:r>
        <w:rPr>
          <w:rFonts w:eastAsia="Times New Roman"/>
          <w:b/>
          <w:bCs/>
          <w:color w:val="000000"/>
          <w:sz w:val="20"/>
          <w:szCs w:val="20"/>
        </w:rPr>
        <w:t>.</w:t>
      </w:r>
    </w:p>
    <w:p w14:paraId="60D2C75B" w14:textId="77777777" w:rsidR="00000000" w:rsidRDefault="00195E73">
      <w:pPr>
        <w:divId w:val="1717968706"/>
        <w:rPr>
          <w:rFonts w:eastAsia="Times New Roman"/>
        </w:rPr>
      </w:pPr>
      <w:r>
        <w:rPr>
          <w:rFonts w:eastAsia="Times New Roman"/>
          <w:b/>
          <w:bCs/>
          <w:color w:val="000000"/>
          <w:sz w:val="20"/>
          <w:szCs w:val="20"/>
        </w:rPr>
        <w:t>Business Overvie</w:t>
      </w:r>
      <w:r>
        <w:rPr>
          <w:rFonts w:eastAsia="Times New Roman"/>
          <w:b/>
          <w:bCs/>
          <w:color w:val="000000"/>
          <w:sz w:val="20"/>
          <w:szCs w:val="20"/>
        </w:rPr>
        <w:t>w</w:t>
      </w:r>
    </w:p>
    <w:p w14:paraId="1136DF21" w14:textId="77777777" w:rsidR="00000000" w:rsidRDefault="00195E73">
      <w:pPr>
        <w:ind w:firstLine="405"/>
        <w:divId w:val="1145463747"/>
        <w:rPr>
          <w:rFonts w:eastAsia="Times New Roman"/>
        </w:rPr>
      </w:pPr>
      <w:r>
        <w:rPr>
          <w:rFonts w:eastAsia="Times New Roman"/>
          <w:color w:val="000000"/>
          <w:sz w:val="20"/>
          <w:szCs w:val="20"/>
        </w:rPr>
        <w:t>Icahn Enterprises L.P. (“Icahn Enterprises”</w:t>
      </w:r>
      <w:r>
        <w:rPr>
          <w:rFonts w:eastAsia="Times New Roman"/>
          <w:color w:val="000000"/>
          <w:sz w:val="20"/>
          <w:szCs w:val="20"/>
        </w:rPr>
        <w:t xml:space="preserve">) is a master limited partnership formed in Delaware on February 17, 1987. Icahn Enterprises Holdings L.P. (“Icahn Enterprises Holdings”) is a limited </w:t>
      </w:r>
      <w:r>
        <w:rPr>
          <w:rFonts w:eastAsia="Times New Roman"/>
          <w:color w:val="000000"/>
          <w:sz w:val="20"/>
          <w:szCs w:val="20"/>
        </w:rPr>
        <w:lastRenderedPageBreak/>
        <w:t>partnership formed in Delaware on February 17, 1987. Icahn Enterprises and Icahn Enterprises Holdings are</w:t>
      </w:r>
      <w:r>
        <w:rPr>
          <w:rFonts w:eastAsia="Times New Roman"/>
          <w:color w:val="000000"/>
          <w:sz w:val="20"/>
          <w:szCs w:val="20"/>
        </w:rPr>
        <w:t xml:space="preserve"> headquartered in New York, NY. Effective March 2020, Icahn Enterprises and Icahn Enterprises Holdings will be headquartered in Sunny Isle Beach, FL and will no longer have offices in New York, NY. References to “we,” “our” or “us” herein include both Icah</w:t>
      </w:r>
      <w:r>
        <w:rPr>
          <w:rFonts w:eastAsia="Times New Roman"/>
          <w:color w:val="000000"/>
          <w:sz w:val="20"/>
          <w:szCs w:val="20"/>
        </w:rPr>
        <w:t>n Enterprises and Icahn Enterprises Holdings and their subsidiaries, unless the context otherwise requires.</w:t>
      </w:r>
      <w:r>
        <w:rPr>
          <w:rFonts w:eastAsia="Times New Roman"/>
          <w:color w:val="000000"/>
          <w:sz w:val="20"/>
          <w:szCs w:val="20"/>
        </w:rPr>
        <w:t xml:space="preserve"> </w:t>
      </w:r>
    </w:p>
    <w:p w14:paraId="011AAC24" w14:textId="77777777" w:rsidR="00000000" w:rsidRDefault="00195E73">
      <w:pPr>
        <w:ind w:firstLine="450"/>
        <w:divId w:val="1332412723"/>
        <w:rPr>
          <w:rFonts w:eastAsia="Times New Roman"/>
        </w:rPr>
      </w:pPr>
      <w:r>
        <w:rPr>
          <w:rFonts w:eastAsia="Times New Roman"/>
          <w:color w:val="000000"/>
          <w:sz w:val="20"/>
          <w:szCs w:val="20"/>
        </w:rPr>
        <w:t>Icahn Enterprises owns a 99% limited partner interest in Icahn Enterprises Holdings. Icahn Enterprises G.P. Inc. (“Icahn Enterprises GP”), which is</w:t>
      </w:r>
      <w:r>
        <w:rPr>
          <w:rFonts w:eastAsia="Times New Roman"/>
          <w:color w:val="000000"/>
          <w:sz w:val="20"/>
          <w:szCs w:val="20"/>
        </w:rPr>
        <w:t xml:space="preserve"> indirectly owned and controlled by Mr. Carl C. Icahn, owns a 1% general partner interest in each of Icahn Enterprises and Icahn Enterprises Holdings as of December 31, 2019. Icahn Enterprises Holdings and its subsidiaries own substantially all of our asse</w:t>
      </w:r>
      <w:r>
        <w:rPr>
          <w:rFonts w:eastAsia="Times New Roman"/>
          <w:color w:val="000000"/>
          <w:sz w:val="20"/>
          <w:szCs w:val="20"/>
        </w:rPr>
        <w:t>ts and liabilities and conduct substantially all of our operations. Therefore, the financial results of Icahn Enterprises and Icahn Enterprises Holdings are substantially the same, with differences relating primarily to the allocation of the general partne</w:t>
      </w:r>
      <w:r>
        <w:rPr>
          <w:rFonts w:eastAsia="Times New Roman"/>
          <w:color w:val="000000"/>
          <w:sz w:val="20"/>
          <w:szCs w:val="20"/>
        </w:rPr>
        <w:t>r interest, which is reflected as an aggregate 1.99% general partner interest in the financial statements of Icahn Enterprises. Mr. Icahn and his affiliates owned approximately 92.0% of Icahn Enterprises’ outstanding depositary units as of February 28, 202</w:t>
      </w:r>
      <w:r>
        <w:rPr>
          <w:rFonts w:eastAsia="Times New Roman"/>
          <w:color w:val="000000"/>
          <w:sz w:val="20"/>
          <w:szCs w:val="20"/>
        </w:rPr>
        <w:t>0.</w:t>
      </w:r>
      <w:r>
        <w:rPr>
          <w:rFonts w:eastAsia="Times New Roman"/>
          <w:color w:val="000000"/>
          <w:sz w:val="20"/>
          <w:szCs w:val="20"/>
        </w:rPr>
        <w:t xml:space="preserve"> </w:t>
      </w:r>
    </w:p>
    <w:p w14:paraId="774A8890" w14:textId="77777777" w:rsidR="00000000" w:rsidRDefault="00195E73">
      <w:pPr>
        <w:ind w:firstLine="450"/>
        <w:divId w:val="2004117155"/>
        <w:rPr>
          <w:rFonts w:eastAsia="Times New Roman"/>
        </w:rPr>
      </w:pPr>
      <w:r>
        <w:rPr>
          <w:rFonts w:eastAsia="Times New Roman"/>
          <w:color w:val="000000"/>
          <w:sz w:val="20"/>
          <w:szCs w:val="20"/>
        </w:rPr>
        <w:t>Mr. Icahn’s estate has been designed to assure the stability and continuation of Icahn Enterprises with no need to monetize his interests for estate tax or other purposes. In the event of Mr. Icahn’s death, control of Mr. Icahn’s interests in Icahn Ent</w:t>
      </w:r>
      <w:r>
        <w:rPr>
          <w:rFonts w:eastAsia="Times New Roman"/>
          <w:color w:val="000000"/>
          <w:sz w:val="20"/>
          <w:szCs w:val="20"/>
        </w:rPr>
        <w:t>erprises and its general partner will be placed in charitable and other trusts under the control of senior Icahn Enterprises executives and family members</w:t>
      </w:r>
      <w:r>
        <w:rPr>
          <w:rFonts w:eastAsia="Times New Roman"/>
          <w:color w:val="000000"/>
          <w:sz w:val="20"/>
          <w:szCs w:val="20"/>
        </w:rPr>
        <w:t>.</w:t>
      </w:r>
    </w:p>
    <w:p w14:paraId="0165F1F5" w14:textId="77777777" w:rsidR="00000000" w:rsidRDefault="00195E73">
      <w:pPr>
        <w:ind w:firstLine="450"/>
        <w:divId w:val="298076625"/>
        <w:rPr>
          <w:rFonts w:eastAsia="Times New Roman"/>
        </w:rPr>
      </w:pPr>
      <w:r>
        <w:rPr>
          <w:rFonts w:eastAsia="Times New Roman"/>
          <w:color w:val="231F20"/>
          <w:sz w:val="20"/>
          <w:szCs w:val="20"/>
        </w:rPr>
        <w:t>We are a diversified holding company owning subsidiaries engaged in the following operating business</w:t>
      </w:r>
      <w:r>
        <w:rPr>
          <w:rFonts w:eastAsia="Times New Roman"/>
          <w:color w:val="231F20"/>
          <w:sz w:val="20"/>
          <w:szCs w:val="20"/>
        </w:rPr>
        <w:t>es: Investment, Energy, Automotive, Food Packaging, Metals, Real Estate and Home Fashion. In addition, as discussed further below, prior to August 2019, we operated a Mining segment and prior to September 2018, we operated a Railcar segment.</w:t>
      </w:r>
      <w:r>
        <w:rPr>
          <w:rFonts w:eastAsia="Times New Roman"/>
          <w:color w:val="231F20"/>
          <w:sz w:val="20"/>
          <w:szCs w:val="20"/>
        </w:rPr>
        <w:t xml:space="preserve"> </w:t>
      </w:r>
    </w:p>
    <w:p w14:paraId="3EFFE366" w14:textId="77777777" w:rsidR="00000000" w:rsidRDefault="00195E73">
      <w:pPr>
        <w:ind w:firstLine="450"/>
        <w:divId w:val="24991556"/>
        <w:rPr>
          <w:rFonts w:eastAsia="Times New Roman"/>
        </w:rPr>
      </w:pPr>
      <w:r>
        <w:rPr>
          <w:rFonts w:eastAsia="Times New Roman"/>
          <w:color w:val="000000"/>
          <w:sz w:val="20"/>
          <w:szCs w:val="20"/>
        </w:rPr>
        <w:t>We conduct an</w:t>
      </w:r>
      <w:r>
        <w:rPr>
          <w:rFonts w:eastAsia="Times New Roman"/>
          <w:color w:val="000000"/>
          <w:sz w:val="20"/>
          <w:szCs w:val="20"/>
        </w:rPr>
        <w:t xml:space="preserve">d plan to continue to conduct our activities in such a manner as not to be deemed an investment company under the Investment Company Act of 1940, as amended (the “Investment Company Act”). Therefore, no more than 40% of our total assets can be invested in </w:t>
      </w:r>
      <w:r>
        <w:rPr>
          <w:rFonts w:eastAsia="Times New Roman"/>
          <w:color w:val="000000"/>
          <w:sz w:val="20"/>
          <w:szCs w:val="20"/>
        </w:rPr>
        <w:t>investment securities, as such term is defined in the Investment Company Act. In addition, we do not invest or intend to invest in securities as our primary business. We intend to structure our investments to continue to be taxed as a partnership rather th</w:t>
      </w:r>
      <w:r>
        <w:rPr>
          <w:rFonts w:eastAsia="Times New Roman"/>
          <w:color w:val="000000"/>
          <w:sz w:val="20"/>
          <w:szCs w:val="20"/>
        </w:rPr>
        <w:t>an as a corporation under the applicable publicly traded partnership rules of the Internal Revenue Code, as amended</w:t>
      </w:r>
      <w:r>
        <w:rPr>
          <w:rFonts w:eastAsia="Times New Roman"/>
          <w:color w:val="000000"/>
          <w:sz w:val="20"/>
          <w:szCs w:val="20"/>
        </w:rPr>
        <w:t>.</w:t>
      </w:r>
    </w:p>
    <w:p w14:paraId="79C39E03" w14:textId="77777777" w:rsidR="00000000" w:rsidRDefault="00195E73">
      <w:pPr>
        <w:divId w:val="1611006104"/>
        <w:rPr>
          <w:rFonts w:eastAsia="Times New Roman"/>
        </w:rPr>
      </w:pPr>
      <w:r>
        <w:rPr>
          <w:rFonts w:eastAsia="Times New Roman"/>
          <w:b/>
          <w:bCs/>
          <w:color w:val="000000"/>
          <w:sz w:val="20"/>
          <w:szCs w:val="20"/>
        </w:rPr>
        <w:t>Business Strategy and Core Strength</w:t>
      </w:r>
      <w:r>
        <w:rPr>
          <w:rFonts w:eastAsia="Times New Roman"/>
          <w:b/>
          <w:bCs/>
          <w:color w:val="000000"/>
          <w:sz w:val="20"/>
          <w:szCs w:val="20"/>
        </w:rPr>
        <w:t>s</w:t>
      </w:r>
    </w:p>
    <w:p w14:paraId="6091DC36" w14:textId="77777777" w:rsidR="00000000" w:rsidRDefault="00195E73">
      <w:pPr>
        <w:divId w:val="1414741542"/>
        <w:rPr>
          <w:rFonts w:eastAsia="Times New Roman"/>
        </w:rPr>
      </w:pPr>
      <w:r>
        <w:rPr>
          <w:rFonts w:eastAsia="Times New Roman"/>
          <w:b/>
          <w:bCs/>
          <w:i/>
          <w:iCs/>
          <w:color w:val="000000"/>
          <w:sz w:val="20"/>
          <w:szCs w:val="20"/>
        </w:rPr>
        <w:t>The Icahn Strateg</w:t>
      </w:r>
      <w:r>
        <w:rPr>
          <w:rFonts w:eastAsia="Times New Roman"/>
          <w:b/>
          <w:bCs/>
          <w:i/>
          <w:iCs/>
          <w:color w:val="000000"/>
          <w:sz w:val="20"/>
          <w:szCs w:val="20"/>
        </w:rPr>
        <w:t>y</w:t>
      </w:r>
    </w:p>
    <w:p w14:paraId="56B9FF06" w14:textId="77777777" w:rsidR="00000000" w:rsidRDefault="00195E73">
      <w:pPr>
        <w:ind w:firstLine="405"/>
        <w:divId w:val="1344362314"/>
        <w:rPr>
          <w:rFonts w:eastAsia="Times New Roman"/>
        </w:rPr>
      </w:pPr>
      <w:r>
        <w:rPr>
          <w:rFonts w:eastAsia="Times New Roman"/>
          <w:color w:val="000000"/>
          <w:sz w:val="20"/>
          <w:szCs w:val="20"/>
        </w:rPr>
        <w:t>Acros</w:t>
      </w:r>
      <w:r>
        <w:rPr>
          <w:rFonts w:eastAsia="Times New Roman"/>
          <w:color w:val="000000"/>
          <w:sz w:val="20"/>
          <w:szCs w:val="20"/>
        </w:rPr>
        <w:t>s</w:t>
      </w:r>
      <w:r>
        <w:rPr>
          <w:rFonts w:eastAsia="Times New Roman"/>
          <w:color w:val="231F20"/>
          <w:sz w:val="20"/>
          <w:szCs w:val="20"/>
        </w:rPr>
        <w:t xml:space="preserve"> all of our businesses, our success is based on a simple formula: we seek to </w:t>
      </w:r>
      <w:r>
        <w:rPr>
          <w:rFonts w:eastAsia="Times New Roman"/>
          <w:color w:val="231F20"/>
          <w:sz w:val="20"/>
          <w:szCs w:val="20"/>
        </w:rPr>
        <w:t>find undervalued companies in the Graham &amp; Dodd tradition, a methodology for valuing stocks that primarily looks for deeply depressed prices. However, while the typical Graham &amp; Dodd value investor purchases undervalued securities and waits for results, we</w:t>
      </w:r>
      <w:r>
        <w:rPr>
          <w:rFonts w:eastAsia="Times New Roman"/>
          <w:color w:val="231F20"/>
          <w:sz w:val="20"/>
          <w:szCs w:val="20"/>
        </w:rPr>
        <w:t xml:space="preserve"> often become actively involved in the companies we target. That activity may involve a broad range of approaches, from influencing the management of a target to take steps to improve shareholder value, to acquiring a controlling interest or outright owner</w:t>
      </w:r>
      <w:r>
        <w:rPr>
          <w:rFonts w:eastAsia="Times New Roman"/>
          <w:color w:val="231F20"/>
          <w:sz w:val="20"/>
          <w:szCs w:val="20"/>
        </w:rPr>
        <w:t>ship of the target company in order to implement changes that we believe are required to improve its business, and then operating and expanding that business. This activism has typically brought about very strong returns over the years</w:t>
      </w:r>
      <w:r>
        <w:rPr>
          <w:rFonts w:eastAsia="Times New Roman"/>
          <w:color w:val="231F20"/>
          <w:sz w:val="20"/>
          <w:szCs w:val="20"/>
        </w:rPr>
        <w:t>.</w:t>
      </w:r>
    </w:p>
    <w:p w14:paraId="3879693D" w14:textId="77777777" w:rsidR="00000000" w:rsidRDefault="00195E73">
      <w:pPr>
        <w:ind w:firstLine="405"/>
        <w:divId w:val="1282229498"/>
        <w:rPr>
          <w:rFonts w:eastAsia="Times New Roman"/>
        </w:rPr>
      </w:pPr>
      <w:r>
        <w:rPr>
          <w:rFonts w:eastAsia="Times New Roman"/>
          <w:color w:val="000000"/>
          <w:sz w:val="20"/>
          <w:szCs w:val="20"/>
        </w:rPr>
        <w:t>Toda</w:t>
      </w:r>
      <w:r>
        <w:rPr>
          <w:rFonts w:eastAsia="Times New Roman"/>
          <w:color w:val="000000"/>
          <w:sz w:val="20"/>
          <w:szCs w:val="20"/>
        </w:rPr>
        <w:t>y</w:t>
      </w:r>
      <w:r>
        <w:rPr>
          <w:rFonts w:eastAsia="Times New Roman"/>
          <w:color w:val="231F20"/>
          <w:sz w:val="20"/>
          <w:szCs w:val="20"/>
        </w:rPr>
        <w:t>, we are a div</w:t>
      </w:r>
      <w:r>
        <w:rPr>
          <w:rFonts w:eastAsia="Times New Roman"/>
          <w:color w:val="231F20"/>
          <w:sz w:val="20"/>
          <w:szCs w:val="20"/>
        </w:rPr>
        <w:t>ersified holding company owning subsidiaries engaged in seven diversified reporting segments. As of</w:t>
      </w:r>
      <w:r>
        <w:rPr>
          <w:rFonts w:eastAsia="Times New Roman"/>
          <w:color w:val="231F20"/>
          <w:sz w:val="20"/>
          <w:szCs w:val="20"/>
        </w:rPr>
        <w:t xml:space="preserve"> </w:t>
      </w:r>
      <w:r>
        <w:rPr>
          <w:rFonts w:eastAsia="Times New Roman"/>
          <w:color w:val="000000"/>
          <w:sz w:val="20"/>
          <w:szCs w:val="20"/>
        </w:rPr>
        <w:t>December 31, 201</w:t>
      </w:r>
      <w:r>
        <w:rPr>
          <w:rFonts w:eastAsia="Times New Roman"/>
          <w:color w:val="000000"/>
          <w:sz w:val="20"/>
          <w:szCs w:val="20"/>
        </w:rPr>
        <w:t>9</w:t>
      </w:r>
      <w:r>
        <w:rPr>
          <w:rFonts w:eastAsia="Times New Roman"/>
          <w:color w:val="231F20"/>
          <w:sz w:val="20"/>
          <w:szCs w:val="20"/>
        </w:rPr>
        <w:t>, through our Investment segment, we have significant positions in various investments, which include Herbalife Ltd. (HLF), Caesars Enterta</w:t>
      </w:r>
      <w:r>
        <w:rPr>
          <w:rFonts w:eastAsia="Times New Roman"/>
          <w:color w:val="231F20"/>
          <w:sz w:val="20"/>
          <w:szCs w:val="20"/>
        </w:rPr>
        <w:t>inment Corporation (CZR), HP Inc. (HPQ), Cheniere Energy Inc. (LNG), Occidental Petroleum Corporation (OXY), Xerox Corporation (XRX), Newell Brands, Inc. (NWL), Hertz Global Holdings, Inc. (HTZ) and Cloudera, Inc. (CLDR)</w:t>
      </w:r>
      <w:r>
        <w:rPr>
          <w:rFonts w:eastAsia="Times New Roman"/>
          <w:color w:val="231F20"/>
          <w:sz w:val="20"/>
          <w:szCs w:val="20"/>
        </w:rPr>
        <w:t>.</w:t>
      </w:r>
    </w:p>
    <w:p w14:paraId="24C71DC2" w14:textId="77777777" w:rsidR="00000000" w:rsidRDefault="00195E73">
      <w:pPr>
        <w:ind w:firstLine="405"/>
        <w:divId w:val="1466897809"/>
        <w:rPr>
          <w:rFonts w:eastAsia="Times New Roman"/>
        </w:rPr>
      </w:pPr>
      <w:r>
        <w:rPr>
          <w:rFonts w:eastAsia="Times New Roman"/>
          <w:color w:val="000000"/>
          <w:sz w:val="20"/>
          <w:szCs w:val="20"/>
        </w:rPr>
        <w:t>Severa</w:t>
      </w:r>
      <w:r>
        <w:rPr>
          <w:rFonts w:eastAsia="Times New Roman"/>
          <w:color w:val="000000"/>
          <w:sz w:val="20"/>
          <w:szCs w:val="20"/>
        </w:rPr>
        <w:t>l</w:t>
      </w:r>
      <w:r>
        <w:rPr>
          <w:rFonts w:eastAsia="Times New Roman"/>
          <w:color w:val="231F20"/>
          <w:sz w:val="20"/>
          <w:szCs w:val="20"/>
        </w:rPr>
        <w:t xml:space="preserve"> of our operating businesse</w:t>
      </w:r>
      <w:r>
        <w:rPr>
          <w:rFonts w:eastAsia="Times New Roman"/>
          <w:color w:val="231F20"/>
          <w:sz w:val="20"/>
          <w:szCs w:val="20"/>
        </w:rPr>
        <w:t>s started out as investment positions in debt or equity securities, held either directly by us or Mr. Icahn. Those positions ultimately resulted in control or complete ownership of the target company. For example, in 2012, we acquired a controlling interes</w:t>
      </w:r>
      <w:r>
        <w:rPr>
          <w:rFonts w:eastAsia="Times New Roman"/>
          <w:color w:val="231F20"/>
          <w:sz w:val="20"/>
          <w:szCs w:val="20"/>
        </w:rPr>
        <w:t>t in CVR Energy, Inc. (‘‘CVR Energy’’), which started out as a position in our Investment segment and is now an operating subsidiary that comprises our Energy segment. The acquisition of CVR Energy, like our other operating subsidiaries, reflects our oppor</w:t>
      </w:r>
      <w:r>
        <w:rPr>
          <w:rFonts w:eastAsia="Times New Roman"/>
          <w:color w:val="231F20"/>
          <w:sz w:val="20"/>
          <w:szCs w:val="20"/>
        </w:rPr>
        <w:t xml:space="preserve">tunistic approach to value creation, through which returns may be obtained by, among other things, promoting change through minority positions at </w:t>
      </w:r>
      <w:r>
        <w:rPr>
          <w:rFonts w:eastAsia="Times New Roman"/>
          <w:color w:val="231F20"/>
          <w:sz w:val="20"/>
          <w:szCs w:val="20"/>
        </w:rPr>
        <w:lastRenderedPageBreak/>
        <w:t>targeted companies in our Investment segment or by acquiring control of those target companies that we believe</w:t>
      </w:r>
      <w:r>
        <w:rPr>
          <w:rFonts w:eastAsia="Times New Roman"/>
          <w:color w:val="231F20"/>
          <w:sz w:val="20"/>
          <w:szCs w:val="20"/>
        </w:rPr>
        <w:t xml:space="preserve"> we could run more profitably ourselves</w:t>
      </w:r>
      <w:r>
        <w:rPr>
          <w:rFonts w:eastAsia="Times New Roman"/>
          <w:color w:val="231F20"/>
          <w:sz w:val="20"/>
          <w:szCs w:val="20"/>
        </w:rPr>
        <w:t>.</w:t>
      </w:r>
    </w:p>
    <w:p w14:paraId="05CD51BB" w14:textId="77777777" w:rsidR="00000000" w:rsidRDefault="00195E73">
      <w:pPr>
        <w:jc w:val="center"/>
        <w:divId w:val="1692563033"/>
        <w:rPr>
          <w:rFonts w:eastAsia="Times New Roman"/>
        </w:rPr>
      </w:pPr>
      <w:r>
        <w:rPr>
          <w:rFonts w:eastAsia="Times New Roman"/>
          <w:color w:val="000000"/>
          <w:sz w:val="20"/>
          <w:szCs w:val="20"/>
        </w:rPr>
        <w:t>2</w:t>
      </w:r>
    </w:p>
    <w:p w14:paraId="30C51387" w14:textId="77777777" w:rsidR="00000000" w:rsidRDefault="00195E73">
      <w:pPr>
        <w:rPr>
          <w:rFonts w:eastAsia="Times New Roman"/>
        </w:rPr>
      </w:pPr>
      <w:r>
        <w:rPr>
          <w:rFonts w:eastAsia="Times New Roman"/>
        </w:rPr>
        <w:pict w14:anchorId="6136220D">
          <v:rect id="_x0000_i1028" style="width:0;height:1.5pt" o:hralign="center" o:hrstd="t" o:hr="t" fillcolor="#a0a0a0" stroked="f"/>
        </w:pict>
      </w:r>
    </w:p>
    <w:p w14:paraId="138AFC69" w14:textId="77777777" w:rsidR="00000000" w:rsidRDefault="00195E73">
      <w:pPr>
        <w:divId w:val="426198612"/>
        <w:rPr>
          <w:rFonts w:eastAsia="Times New Roman"/>
        </w:rPr>
      </w:pPr>
    </w:p>
    <w:p w14:paraId="5601FDDE" w14:textId="77777777" w:rsidR="00000000" w:rsidRDefault="00195E73">
      <w:pPr>
        <w:ind w:firstLine="405"/>
        <w:divId w:val="1954896345"/>
        <w:rPr>
          <w:rFonts w:eastAsia="Times New Roman"/>
        </w:rPr>
      </w:pPr>
      <w:r>
        <w:rPr>
          <w:rFonts w:eastAsia="Times New Roman"/>
          <w:color w:val="000000"/>
          <w:sz w:val="20"/>
          <w:szCs w:val="20"/>
        </w:rPr>
        <w:t>Durin</w:t>
      </w:r>
      <w:r>
        <w:rPr>
          <w:rFonts w:eastAsia="Times New Roman"/>
          <w:color w:val="000000"/>
          <w:sz w:val="20"/>
          <w:szCs w:val="20"/>
        </w:rPr>
        <w:t>g</w:t>
      </w:r>
      <w:r>
        <w:rPr>
          <w:rFonts w:eastAsia="Times New Roman"/>
          <w:color w:val="231F20"/>
          <w:sz w:val="20"/>
          <w:szCs w:val="20"/>
        </w:rPr>
        <w:t xml:space="preserve"> the next several years, we see a favorable opportunity to follow an activist strategy that centers on the purchase of target stock and the subsequent removal of any ba</w:t>
      </w:r>
      <w:r>
        <w:rPr>
          <w:rFonts w:eastAsia="Times New Roman"/>
          <w:color w:val="231F20"/>
          <w:sz w:val="20"/>
          <w:szCs w:val="20"/>
        </w:rPr>
        <w:t>rriers that might interfere with a friendly purchase offer from a strong buyer. Alternatively, in appropriate circumstances, we or our subsidiaries may become the buyer of target companies, adding them to our portfolio of operating subsidiaries, thereby ex</w:t>
      </w:r>
      <w:r>
        <w:rPr>
          <w:rFonts w:eastAsia="Times New Roman"/>
          <w:color w:val="231F20"/>
          <w:sz w:val="20"/>
          <w:szCs w:val="20"/>
        </w:rPr>
        <w:t>panding our operations through such opportunistic acquisitions. We believe that the companies that we target for our activist activities are undervalued for many reasons, often including inept management. Unfortunately for the individual investor, in parti</w:t>
      </w:r>
      <w:r>
        <w:rPr>
          <w:rFonts w:eastAsia="Times New Roman"/>
          <w:color w:val="231F20"/>
          <w:sz w:val="20"/>
          <w:szCs w:val="20"/>
        </w:rPr>
        <w:t>cular, and the economy, in general, many poor management teams are often unaccountable and very difficult to remove</w:t>
      </w:r>
      <w:r>
        <w:rPr>
          <w:rFonts w:eastAsia="Times New Roman"/>
          <w:color w:val="231F20"/>
          <w:sz w:val="20"/>
          <w:szCs w:val="20"/>
        </w:rPr>
        <w:t>.</w:t>
      </w:r>
    </w:p>
    <w:p w14:paraId="2575108E" w14:textId="77777777" w:rsidR="00000000" w:rsidRDefault="00195E73">
      <w:pPr>
        <w:ind w:firstLine="405"/>
        <w:divId w:val="1829513461"/>
        <w:rPr>
          <w:rFonts w:eastAsia="Times New Roman"/>
        </w:rPr>
      </w:pPr>
      <w:r>
        <w:rPr>
          <w:rFonts w:eastAsia="Times New Roman"/>
          <w:color w:val="000000"/>
          <w:sz w:val="20"/>
          <w:szCs w:val="20"/>
        </w:rPr>
        <w:t>Unlike the individual investor, we have the wherewithal to purchase companies that we feel we can operate more effectively than incumbent m</w:t>
      </w:r>
      <w:r>
        <w:rPr>
          <w:rFonts w:eastAsia="Times New Roman"/>
          <w:color w:val="000000"/>
          <w:sz w:val="20"/>
          <w:szCs w:val="20"/>
        </w:rPr>
        <w:t>anagement. In addition, through our Investment segment, we are in a position to pursue our activist strategy by purchasing stock or debt positions and trying to promulgate change through a variety of activist approaches, ranging from speaking and negotiati</w:t>
      </w:r>
      <w:r>
        <w:rPr>
          <w:rFonts w:eastAsia="Times New Roman"/>
          <w:color w:val="000000"/>
          <w:sz w:val="20"/>
          <w:szCs w:val="20"/>
        </w:rPr>
        <w:t>ng with Boards of Directors and Chief Executive Officers (“CEOs”) to proxy fights, tender offers and acquiring control. We work diligently to enhance value for all shareholders and we believe that the best way to do this is to make underperforming manageme</w:t>
      </w:r>
      <w:r>
        <w:rPr>
          <w:rFonts w:eastAsia="Times New Roman"/>
          <w:color w:val="000000"/>
          <w:sz w:val="20"/>
          <w:szCs w:val="20"/>
        </w:rPr>
        <w:t>nt teams and Boards of Directors accountable or to replace them</w:t>
      </w:r>
      <w:r>
        <w:rPr>
          <w:rFonts w:eastAsia="Times New Roman"/>
          <w:color w:val="000000"/>
          <w:sz w:val="20"/>
          <w:szCs w:val="20"/>
        </w:rPr>
        <w:t>.</w:t>
      </w:r>
    </w:p>
    <w:p w14:paraId="1708E870" w14:textId="77777777" w:rsidR="00000000" w:rsidRDefault="00195E73">
      <w:pPr>
        <w:ind w:firstLine="405"/>
        <w:divId w:val="1276064114"/>
        <w:rPr>
          <w:rFonts w:eastAsia="Times New Roman"/>
        </w:rPr>
      </w:pPr>
      <w:r>
        <w:rPr>
          <w:rFonts w:eastAsia="Times New Roman"/>
          <w:color w:val="000000"/>
          <w:sz w:val="20"/>
          <w:szCs w:val="20"/>
        </w:rPr>
        <w:t xml:space="preserve">The Chairman of the Board of Directors of our general partner, Carl C. Icahn, has been an activist investor since 1980. Mr. Icahn believes that the current environment continues to be conducive to activism. Many major companies have substantial amounts of </w:t>
      </w:r>
      <w:r>
        <w:rPr>
          <w:rFonts w:eastAsia="Times New Roman"/>
          <w:color w:val="000000"/>
          <w:sz w:val="20"/>
          <w:szCs w:val="20"/>
        </w:rPr>
        <w:t>cash. We believe that they are hoarding cash, rather than spending it, because they do not believe investments in their business will translate to earnings</w:t>
      </w:r>
      <w:r>
        <w:rPr>
          <w:rFonts w:eastAsia="Times New Roman"/>
          <w:color w:val="000000"/>
          <w:sz w:val="20"/>
          <w:szCs w:val="20"/>
        </w:rPr>
        <w:t>.</w:t>
      </w:r>
    </w:p>
    <w:p w14:paraId="4BC9C3CA" w14:textId="77777777" w:rsidR="00000000" w:rsidRDefault="00195E73">
      <w:pPr>
        <w:ind w:firstLine="405"/>
        <w:divId w:val="87507407"/>
        <w:rPr>
          <w:rFonts w:eastAsia="Times New Roman"/>
        </w:rPr>
      </w:pPr>
      <w:r>
        <w:rPr>
          <w:rFonts w:eastAsia="Times New Roman"/>
          <w:color w:val="000000"/>
          <w:sz w:val="20"/>
          <w:szCs w:val="20"/>
        </w:rPr>
        <w:t xml:space="preserve">We believe that one of the best ways for many cash-rich companies to achieve increased earnings is </w:t>
      </w:r>
      <w:r>
        <w:rPr>
          <w:rFonts w:eastAsia="Times New Roman"/>
          <w:color w:val="000000"/>
          <w:sz w:val="20"/>
          <w:szCs w:val="20"/>
        </w:rPr>
        <w:t>to use their large amounts of excess cash, together with advantageous borrowing opportunities, to purchase other companies in their industries and take advantage of the meaningful synergies that could result. In our opinion, the CEOs and Boards of Director</w:t>
      </w:r>
      <w:r>
        <w:rPr>
          <w:rFonts w:eastAsia="Times New Roman"/>
          <w:color w:val="000000"/>
          <w:sz w:val="20"/>
          <w:szCs w:val="20"/>
        </w:rPr>
        <w:t>s of undervalued companies that would be acquisition targets are the major road blocks to this logical use of assets to increase value, because we believe those CEOs and Boards of Directors are not willing to give up their power and perquisites, even if th</w:t>
      </w:r>
      <w:r>
        <w:rPr>
          <w:rFonts w:eastAsia="Times New Roman"/>
          <w:color w:val="000000"/>
          <w:sz w:val="20"/>
          <w:szCs w:val="20"/>
        </w:rPr>
        <w:t>ey have done a poor job in administering the companies they have been running. In addition, acquirers are often unwilling to undertake the arduous task of launching a hostile campaign. This is precisely the situation in which we believe a strong activist c</w:t>
      </w:r>
      <w:r>
        <w:rPr>
          <w:rFonts w:eastAsia="Times New Roman"/>
          <w:color w:val="000000"/>
          <w:sz w:val="20"/>
          <w:szCs w:val="20"/>
        </w:rPr>
        <w:t>atalyst is necessary</w:t>
      </w:r>
      <w:r>
        <w:rPr>
          <w:rFonts w:eastAsia="Times New Roman"/>
          <w:color w:val="000000"/>
          <w:sz w:val="20"/>
          <w:szCs w:val="20"/>
        </w:rPr>
        <w:t>.</w:t>
      </w:r>
    </w:p>
    <w:p w14:paraId="1668F194" w14:textId="77777777" w:rsidR="00000000" w:rsidRDefault="00195E73">
      <w:pPr>
        <w:ind w:firstLine="405"/>
        <w:divId w:val="975065633"/>
        <w:rPr>
          <w:rFonts w:eastAsia="Times New Roman"/>
        </w:rPr>
      </w:pPr>
      <w:r>
        <w:rPr>
          <w:rFonts w:eastAsia="Times New Roman"/>
          <w:color w:val="000000"/>
          <w:sz w:val="20"/>
          <w:szCs w:val="20"/>
        </w:rPr>
        <w:t>We believe that the activist catalyst adds value because, for companies with strong balance sheets, acquisitions of their weaker industry rivals is often extremely compelling financially. We further believe that there are many transac</w:t>
      </w:r>
      <w:r>
        <w:rPr>
          <w:rFonts w:eastAsia="Times New Roman"/>
          <w:color w:val="000000"/>
          <w:sz w:val="20"/>
          <w:szCs w:val="20"/>
        </w:rPr>
        <w:t>tions that make economic sense, even at a large premium over market. Acquirers can use their excess cash, that is earning a very low return, and/or borrow at the advantageous interest rates now available, to acquire a target company. In either case, an acq</w:t>
      </w:r>
      <w:r>
        <w:rPr>
          <w:rFonts w:eastAsia="Times New Roman"/>
          <w:color w:val="000000"/>
          <w:sz w:val="20"/>
          <w:szCs w:val="20"/>
        </w:rPr>
        <w:t xml:space="preserve">uirer can add the target company’s earnings and the income from synergies to the acquirer’s bottom line, at a relatively low cost. But for these potential acquirers to act, the target company must be willing to at least entertain an offer. We believe that </w:t>
      </w:r>
      <w:r>
        <w:rPr>
          <w:rFonts w:eastAsia="Times New Roman"/>
          <w:color w:val="000000"/>
          <w:sz w:val="20"/>
          <w:szCs w:val="20"/>
        </w:rPr>
        <w:t>often the activist can step in and remove the obstacles that a target generally may seek to use to prevent an acquisition</w:t>
      </w:r>
      <w:r>
        <w:rPr>
          <w:rFonts w:eastAsia="Times New Roman"/>
          <w:color w:val="000000"/>
          <w:sz w:val="20"/>
          <w:szCs w:val="20"/>
        </w:rPr>
        <w:t>.</w:t>
      </w:r>
    </w:p>
    <w:p w14:paraId="53088265" w14:textId="77777777" w:rsidR="00000000" w:rsidRDefault="00195E73">
      <w:pPr>
        <w:ind w:firstLine="405"/>
        <w:divId w:val="1230732210"/>
        <w:rPr>
          <w:rFonts w:eastAsia="Times New Roman"/>
        </w:rPr>
      </w:pPr>
      <w:r>
        <w:rPr>
          <w:rFonts w:eastAsia="Times New Roman"/>
          <w:color w:val="000000"/>
          <w:sz w:val="20"/>
          <w:szCs w:val="20"/>
        </w:rPr>
        <w:t xml:space="preserve">It is our belief that our strategy will continue to produce strong results into the future. We believe that the strong cash flow and </w:t>
      </w:r>
      <w:r>
        <w:rPr>
          <w:rFonts w:eastAsia="Times New Roman"/>
          <w:color w:val="000000"/>
          <w:sz w:val="20"/>
          <w:szCs w:val="20"/>
        </w:rPr>
        <w:t>asset coverage from our operating subsidiaries will allow us to maintain a strong balance sheet and ample liquidity</w:t>
      </w:r>
      <w:r>
        <w:rPr>
          <w:rFonts w:eastAsia="Times New Roman"/>
          <w:color w:val="000000"/>
          <w:sz w:val="20"/>
          <w:szCs w:val="20"/>
        </w:rPr>
        <w:t>.</w:t>
      </w:r>
    </w:p>
    <w:p w14:paraId="087F4F69" w14:textId="77777777" w:rsidR="00000000" w:rsidRDefault="00195E73">
      <w:pPr>
        <w:divId w:val="152188129"/>
        <w:rPr>
          <w:rFonts w:eastAsia="Times New Roman"/>
        </w:rPr>
      </w:pPr>
      <w:r>
        <w:rPr>
          <w:rFonts w:eastAsia="Times New Roman"/>
          <w:b/>
          <w:bCs/>
          <w:i/>
          <w:iCs/>
          <w:color w:val="000000"/>
          <w:sz w:val="20"/>
          <w:szCs w:val="20"/>
        </w:rPr>
        <w:t>Core Strength</w:t>
      </w:r>
      <w:r>
        <w:rPr>
          <w:rFonts w:eastAsia="Times New Roman"/>
          <w:b/>
          <w:bCs/>
          <w:i/>
          <w:iCs/>
          <w:color w:val="000000"/>
          <w:sz w:val="20"/>
          <w:szCs w:val="20"/>
        </w:rPr>
        <w:t>s</w:t>
      </w:r>
    </w:p>
    <w:p w14:paraId="17162625" w14:textId="77777777" w:rsidR="00000000" w:rsidRDefault="00195E73">
      <w:pPr>
        <w:ind w:firstLine="405"/>
        <w:divId w:val="673652988"/>
        <w:rPr>
          <w:rFonts w:eastAsia="Times New Roman"/>
        </w:rPr>
      </w:pPr>
      <w:r>
        <w:rPr>
          <w:rFonts w:eastAsia="Times New Roman"/>
          <w:color w:val="000000"/>
          <w:sz w:val="20"/>
          <w:szCs w:val="20"/>
        </w:rPr>
        <w:t>We believe that our core strengths include: identifying and acquiring undervalued assets and businesses, often through the p</w:t>
      </w:r>
      <w:r>
        <w:rPr>
          <w:rFonts w:eastAsia="Times New Roman"/>
          <w:color w:val="000000"/>
          <w:sz w:val="20"/>
          <w:szCs w:val="20"/>
        </w:rPr>
        <w:t>urchase of distressed securities; increasing value through management, financial or other operational changes; and managing complex legal, regulatory or financial issues, which may include bankruptcy or insolvency, environmental, zoning, permitting and lic</w:t>
      </w:r>
      <w:r>
        <w:rPr>
          <w:rFonts w:eastAsia="Times New Roman"/>
          <w:color w:val="000000"/>
          <w:sz w:val="20"/>
          <w:szCs w:val="20"/>
        </w:rPr>
        <w:t>ensing issues</w:t>
      </w:r>
      <w:r>
        <w:rPr>
          <w:rFonts w:eastAsia="Times New Roman"/>
          <w:color w:val="000000"/>
          <w:sz w:val="20"/>
          <w:szCs w:val="20"/>
        </w:rPr>
        <w:t>.</w:t>
      </w:r>
    </w:p>
    <w:p w14:paraId="47C2195B" w14:textId="77777777" w:rsidR="00000000" w:rsidRDefault="00195E73">
      <w:pPr>
        <w:ind w:firstLine="405"/>
        <w:divId w:val="1701274791"/>
        <w:rPr>
          <w:rFonts w:eastAsia="Times New Roman"/>
        </w:rPr>
      </w:pPr>
      <w:r>
        <w:rPr>
          <w:rFonts w:eastAsia="Times New Roman"/>
          <w:color w:val="000000"/>
          <w:sz w:val="20"/>
          <w:szCs w:val="20"/>
        </w:rPr>
        <w:t>The key elements of our business strategy include the following</w:t>
      </w:r>
      <w:r>
        <w:rPr>
          <w:rFonts w:eastAsia="Times New Roman"/>
          <w:color w:val="000000"/>
          <w:sz w:val="20"/>
          <w:szCs w:val="20"/>
        </w:rPr>
        <w:t>:</w:t>
      </w:r>
    </w:p>
    <w:p w14:paraId="7C538F92" w14:textId="77777777" w:rsidR="00000000" w:rsidRDefault="00195E73">
      <w:pPr>
        <w:ind w:firstLine="405"/>
        <w:divId w:val="23605520"/>
        <w:rPr>
          <w:rFonts w:eastAsia="Times New Roman"/>
        </w:rPr>
      </w:pPr>
      <w:r>
        <w:rPr>
          <w:rFonts w:eastAsia="Times New Roman"/>
          <w:i/>
          <w:iCs/>
          <w:color w:val="000000"/>
          <w:sz w:val="20"/>
          <w:szCs w:val="20"/>
        </w:rPr>
        <w:t>Capitalize on Growth Opportunities in our Existing Businesse</w:t>
      </w:r>
      <w:r>
        <w:rPr>
          <w:rFonts w:eastAsia="Times New Roman"/>
          <w:i/>
          <w:iCs/>
          <w:color w:val="000000"/>
          <w:sz w:val="20"/>
          <w:szCs w:val="20"/>
        </w:rPr>
        <w:t>s</w:t>
      </w:r>
      <w:r>
        <w:rPr>
          <w:rFonts w:eastAsia="Times New Roman"/>
          <w:color w:val="000000"/>
          <w:sz w:val="20"/>
          <w:szCs w:val="20"/>
        </w:rPr>
        <w:t>.  We believe that we have developed a strong portfolio of businesses with experienced management teams. We may exp</w:t>
      </w:r>
      <w:r>
        <w:rPr>
          <w:rFonts w:eastAsia="Times New Roman"/>
          <w:color w:val="000000"/>
          <w:sz w:val="20"/>
          <w:szCs w:val="20"/>
        </w:rPr>
        <w:t xml:space="preserve">and our </w:t>
      </w:r>
      <w:r>
        <w:rPr>
          <w:rFonts w:eastAsia="Times New Roman"/>
          <w:color w:val="000000"/>
          <w:sz w:val="20"/>
          <w:szCs w:val="20"/>
        </w:rPr>
        <w:lastRenderedPageBreak/>
        <w:t>existing businesses if appropriate opportunities are identified, as well as use our established businesses as a platform for additional acquisitions in the same or related areas</w:t>
      </w:r>
      <w:r>
        <w:rPr>
          <w:rFonts w:eastAsia="Times New Roman"/>
          <w:color w:val="000000"/>
          <w:sz w:val="20"/>
          <w:szCs w:val="20"/>
        </w:rPr>
        <w:t>.</w:t>
      </w:r>
    </w:p>
    <w:p w14:paraId="2CB7DA3D" w14:textId="77777777" w:rsidR="00000000" w:rsidRDefault="00195E73">
      <w:pPr>
        <w:ind w:firstLine="405"/>
        <w:divId w:val="968390334"/>
        <w:rPr>
          <w:rFonts w:eastAsia="Times New Roman"/>
        </w:rPr>
      </w:pPr>
      <w:r>
        <w:rPr>
          <w:rFonts w:eastAsia="Times New Roman"/>
          <w:i/>
          <w:iCs/>
          <w:color w:val="000000"/>
          <w:sz w:val="20"/>
          <w:szCs w:val="20"/>
        </w:rPr>
        <w:t>Drive Accountability and Financial Discipline in the Management of ou</w:t>
      </w:r>
      <w:r>
        <w:rPr>
          <w:rFonts w:eastAsia="Times New Roman"/>
          <w:i/>
          <w:iCs/>
          <w:color w:val="000000"/>
          <w:sz w:val="20"/>
          <w:szCs w:val="20"/>
        </w:rPr>
        <w:t>r Business</w:t>
      </w:r>
      <w:r>
        <w:rPr>
          <w:rFonts w:eastAsia="Times New Roman"/>
          <w:i/>
          <w:iCs/>
          <w:color w:val="000000"/>
          <w:sz w:val="20"/>
          <w:szCs w:val="20"/>
        </w:rPr>
        <w:t>.</w:t>
      </w:r>
      <w:r>
        <w:rPr>
          <w:rFonts w:eastAsia="Times New Roman"/>
          <w:color w:val="000000"/>
          <w:sz w:val="20"/>
          <w:szCs w:val="20"/>
        </w:rPr>
        <w:t xml:space="preserve">  Our CEO is accountable directly to our Board of Directors of our general partner, including the Chairman, Carl C. Icahn, and has day-to-day responsibility, in consultation with our Chairman, for general oversight of our business segments. We c</w:t>
      </w:r>
      <w:r>
        <w:rPr>
          <w:rFonts w:eastAsia="Times New Roman"/>
          <w:color w:val="000000"/>
          <w:sz w:val="20"/>
          <w:szCs w:val="20"/>
        </w:rPr>
        <w:t>ontinually evaluate our operating subsidiaries with a view towards maximizing value and cost efficiencies, bringing an owner’s perspective to our operating businesses. In each of these businesses, we assemble senior management teams with the expertise to r</w:t>
      </w:r>
      <w:r>
        <w:rPr>
          <w:rFonts w:eastAsia="Times New Roman"/>
          <w:color w:val="000000"/>
          <w:sz w:val="20"/>
          <w:szCs w:val="20"/>
        </w:rPr>
        <w:t>un their businesses and boards of directors to oversee the management of those businesses. Each management team is responsible for the day-to-day operations of its businesses and directly accountable to its board of directors.</w:t>
      </w:r>
      <w:r>
        <w:rPr>
          <w:rFonts w:eastAsia="Times New Roman"/>
          <w:color w:val="000000"/>
          <w:sz w:val="20"/>
          <w:szCs w:val="20"/>
        </w:rPr>
        <w:t xml:space="preserve"> </w:t>
      </w:r>
    </w:p>
    <w:p w14:paraId="243C15ED" w14:textId="77777777" w:rsidR="00000000" w:rsidRDefault="00195E73">
      <w:pPr>
        <w:ind w:firstLine="405"/>
        <w:divId w:val="1976641165"/>
        <w:rPr>
          <w:rFonts w:eastAsia="Times New Roman"/>
        </w:rPr>
      </w:pPr>
      <w:r>
        <w:rPr>
          <w:rFonts w:eastAsia="Times New Roman"/>
          <w:i/>
          <w:iCs/>
          <w:color w:val="000000"/>
          <w:sz w:val="20"/>
          <w:szCs w:val="20"/>
        </w:rPr>
        <w:t xml:space="preserve">Seek to Acquire Undervalued </w:t>
      </w:r>
      <w:r>
        <w:rPr>
          <w:rFonts w:eastAsia="Times New Roman"/>
          <w:i/>
          <w:iCs/>
          <w:color w:val="000000"/>
          <w:sz w:val="20"/>
          <w:szCs w:val="20"/>
        </w:rPr>
        <w:t>Asset</w:t>
      </w:r>
      <w:r>
        <w:rPr>
          <w:rFonts w:eastAsia="Times New Roman"/>
          <w:i/>
          <w:iCs/>
          <w:color w:val="000000"/>
          <w:sz w:val="20"/>
          <w:szCs w:val="20"/>
        </w:rPr>
        <w:t>s</w:t>
      </w:r>
      <w:r>
        <w:rPr>
          <w:rFonts w:eastAsia="Times New Roman"/>
          <w:color w:val="000000"/>
          <w:sz w:val="20"/>
          <w:szCs w:val="20"/>
        </w:rPr>
        <w:t>.  We intend to continue to make investments in businesses that we believe are undervalued and have potential for growth. We also seek to capitalize on investment opportunities arising from market inefficiencies, economic or market trends that have n</w:t>
      </w:r>
      <w:r>
        <w:rPr>
          <w:rFonts w:eastAsia="Times New Roman"/>
          <w:color w:val="000000"/>
          <w:sz w:val="20"/>
          <w:szCs w:val="20"/>
        </w:rPr>
        <w:t>ot been identified and reflected in market value, or complex or special</w:t>
      </w:r>
      <w:r>
        <w:rPr>
          <w:rFonts w:eastAsia="Times New Roman"/>
          <w:color w:val="000000"/>
          <w:sz w:val="20"/>
          <w:szCs w:val="20"/>
        </w:rPr>
        <w:t xml:space="preserve"> </w:t>
      </w:r>
    </w:p>
    <w:p w14:paraId="3021EEAE" w14:textId="77777777" w:rsidR="00000000" w:rsidRDefault="00195E73">
      <w:pPr>
        <w:jc w:val="center"/>
        <w:divId w:val="294406763"/>
        <w:rPr>
          <w:rFonts w:eastAsia="Times New Roman"/>
        </w:rPr>
      </w:pPr>
      <w:r>
        <w:rPr>
          <w:rFonts w:eastAsia="Times New Roman"/>
          <w:color w:val="000000"/>
          <w:sz w:val="20"/>
          <w:szCs w:val="20"/>
        </w:rPr>
        <w:t>3</w:t>
      </w:r>
    </w:p>
    <w:p w14:paraId="20CE4AED" w14:textId="77777777" w:rsidR="00000000" w:rsidRDefault="00195E73">
      <w:pPr>
        <w:rPr>
          <w:rFonts w:eastAsia="Times New Roman"/>
        </w:rPr>
      </w:pPr>
      <w:r>
        <w:rPr>
          <w:rFonts w:eastAsia="Times New Roman"/>
        </w:rPr>
        <w:pict w14:anchorId="74C53060">
          <v:rect id="_x0000_i1029" style="width:0;height:1.5pt" o:hralign="center" o:hrstd="t" o:hr="t" fillcolor="#a0a0a0" stroked="f"/>
        </w:pict>
      </w:r>
    </w:p>
    <w:p w14:paraId="251D250A" w14:textId="77777777" w:rsidR="00000000" w:rsidRDefault="00195E73">
      <w:pPr>
        <w:divId w:val="797646916"/>
        <w:rPr>
          <w:rFonts w:eastAsia="Times New Roman"/>
        </w:rPr>
      </w:pPr>
    </w:p>
    <w:p w14:paraId="6A22BA49" w14:textId="77777777" w:rsidR="00000000" w:rsidRDefault="00195E73">
      <w:pPr>
        <w:divId w:val="1182015593"/>
        <w:rPr>
          <w:rFonts w:eastAsia="Times New Roman"/>
        </w:rPr>
      </w:pPr>
      <w:r>
        <w:rPr>
          <w:rFonts w:eastAsia="Times New Roman"/>
          <w:color w:val="000000"/>
          <w:sz w:val="20"/>
          <w:szCs w:val="20"/>
        </w:rPr>
        <w:t xml:space="preserve">situations. Certain opportunities may arise from companies that experience disappointing financial results, liquidity or capital needs, lowered credit ratings, revised industry forecasts or legal complications. We may acquire businesses or assets directly </w:t>
      </w:r>
      <w:r>
        <w:rPr>
          <w:rFonts w:eastAsia="Times New Roman"/>
          <w:color w:val="000000"/>
          <w:sz w:val="20"/>
          <w:szCs w:val="20"/>
        </w:rPr>
        <w:t>or we may establish an ownership position through the purchase of debt or equity securities in the open market or in privately negotiated transactions</w:t>
      </w:r>
      <w:r>
        <w:rPr>
          <w:rFonts w:eastAsia="Times New Roman"/>
          <w:color w:val="000000"/>
          <w:sz w:val="20"/>
          <w:szCs w:val="20"/>
        </w:rPr>
        <w:t>.</w:t>
      </w:r>
    </w:p>
    <w:p w14:paraId="51517190" w14:textId="77777777" w:rsidR="00000000" w:rsidRDefault="00195E73">
      <w:pPr>
        <w:ind w:firstLine="405"/>
        <w:divId w:val="2045398368"/>
        <w:rPr>
          <w:rFonts w:eastAsia="Times New Roman"/>
        </w:rPr>
      </w:pPr>
      <w:r>
        <w:rPr>
          <w:rFonts w:eastAsia="Times New Roman"/>
          <w:i/>
          <w:iCs/>
          <w:color w:val="000000"/>
          <w:sz w:val="20"/>
          <w:szCs w:val="20"/>
        </w:rPr>
        <w:t>Use Activism to Unlock Value.</w:t>
      </w:r>
      <w:r>
        <w:rPr>
          <w:rFonts w:eastAsia="Times New Roman"/>
          <w:i/>
          <w:iCs/>
          <w:color w:val="000000"/>
          <w:sz w:val="20"/>
          <w:szCs w:val="20"/>
        </w:rPr>
        <w:t xml:space="preserve"> </w:t>
      </w:r>
      <w:r>
        <w:rPr>
          <w:rFonts w:eastAsia="Times New Roman"/>
          <w:color w:val="000000"/>
          <w:sz w:val="20"/>
          <w:szCs w:val="20"/>
        </w:rPr>
        <w:t>As described above, we become actively involved in companies in which we i</w:t>
      </w:r>
      <w:r>
        <w:rPr>
          <w:rFonts w:eastAsia="Times New Roman"/>
          <w:color w:val="000000"/>
          <w:sz w:val="20"/>
          <w:szCs w:val="20"/>
        </w:rPr>
        <w:t>nvest. Such activism may involve a broad range of activities, from trying to influence management in a proxy fight, to taking outright control of a company in order to bring about the change we think is required to unlock value. The key is flexibility, per</w:t>
      </w:r>
      <w:r>
        <w:rPr>
          <w:rFonts w:eastAsia="Times New Roman"/>
          <w:color w:val="000000"/>
          <w:sz w:val="20"/>
          <w:szCs w:val="20"/>
        </w:rPr>
        <w:t>manent capital and the willingness and ability to have a long-term investment horizon</w:t>
      </w:r>
      <w:r>
        <w:rPr>
          <w:rFonts w:eastAsia="Times New Roman"/>
          <w:color w:val="000000"/>
          <w:sz w:val="20"/>
          <w:szCs w:val="20"/>
        </w:rPr>
        <w:t>.</w:t>
      </w:r>
    </w:p>
    <w:p w14:paraId="3C7E827F" w14:textId="77777777" w:rsidR="00000000" w:rsidRDefault="00195E73">
      <w:pPr>
        <w:divId w:val="2044283929"/>
        <w:rPr>
          <w:rFonts w:eastAsia="Times New Roman"/>
        </w:rPr>
      </w:pPr>
      <w:r>
        <w:rPr>
          <w:rFonts w:eastAsia="Times New Roman"/>
          <w:b/>
          <w:bCs/>
          <w:color w:val="000000"/>
          <w:sz w:val="20"/>
          <w:szCs w:val="20"/>
        </w:rPr>
        <w:t>Business Descriptio</w:t>
      </w:r>
      <w:r>
        <w:rPr>
          <w:rFonts w:eastAsia="Times New Roman"/>
          <w:b/>
          <w:bCs/>
          <w:color w:val="000000"/>
          <w:sz w:val="20"/>
          <w:szCs w:val="20"/>
        </w:rPr>
        <w:t>n</w:t>
      </w:r>
    </w:p>
    <w:p w14:paraId="5C610C2A" w14:textId="77777777" w:rsidR="00000000" w:rsidRDefault="00195E73">
      <w:pPr>
        <w:ind w:firstLine="405"/>
        <w:divId w:val="210387803"/>
        <w:rPr>
          <w:rFonts w:eastAsia="Times New Roman"/>
        </w:rPr>
      </w:pPr>
      <w:r>
        <w:rPr>
          <w:rFonts w:eastAsia="Times New Roman"/>
          <w:color w:val="000000"/>
          <w:sz w:val="20"/>
          <w:szCs w:val="20"/>
        </w:rPr>
        <w:t>Icahn Enterprises began as American Real Estate Partners L.P. in 1987 and currently operates a portfolio of seven diversified reporting segments. Wi</w:t>
      </w:r>
      <w:r>
        <w:rPr>
          <w:rFonts w:eastAsia="Times New Roman"/>
          <w:color w:val="000000"/>
          <w:sz w:val="20"/>
          <w:szCs w:val="20"/>
        </w:rPr>
        <w:t>th the exception of our Investment segment, our operating segments primarily comprise independently operated businesses that we have obtained a controlling interest in through execution of our business strategy. Our Investment segment derives revenues from</w:t>
      </w:r>
      <w:r>
        <w:rPr>
          <w:rFonts w:eastAsia="Times New Roman"/>
          <w:color w:val="000000"/>
          <w:sz w:val="20"/>
          <w:szCs w:val="20"/>
        </w:rPr>
        <w:t xml:space="preserve"> gains and losses from investment transactions. Our other operating segments derive revenues principally from net sales of various products, primarily within our Energy and Automotive segments, which together accounted for the significant majority of our c</w:t>
      </w:r>
      <w:r>
        <w:rPr>
          <w:rFonts w:eastAsia="Times New Roman"/>
          <w:color w:val="000000"/>
          <w:sz w:val="20"/>
          <w:szCs w:val="20"/>
        </w:rPr>
        <w:t>onsolidated net sales for each of the three years in the period ended December 31, 2019. Our other operating segments’ revenues are also derived through various other revenue streams which primarily consists of automotive services and real estate leasing o</w:t>
      </w:r>
      <w:r>
        <w:rPr>
          <w:rFonts w:eastAsia="Times New Roman"/>
          <w:color w:val="000000"/>
          <w:sz w:val="20"/>
          <w:szCs w:val="20"/>
        </w:rPr>
        <w:t>perations. The majority of our consolidated revenues are derived from customers in the United States. Our Food Packaging segment, and prior to August 2019, our Mining segment, accounted for the majority of our consolidated revenues derived from customers o</w:t>
      </w:r>
      <w:r>
        <w:rPr>
          <w:rFonts w:eastAsia="Times New Roman"/>
          <w:color w:val="000000"/>
          <w:sz w:val="20"/>
          <w:szCs w:val="20"/>
        </w:rPr>
        <w:t>utside the United States.</w:t>
      </w:r>
      <w:r>
        <w:rPr>
          <w:rFonts w:eastAsia="Times New Roman"/>
          <w:color w:val="000000"/>
          <w:sz w:val="20"/>
          <w:szCs w:val="20"/>
        </w:rPr>
        <w:t xml:space="preserve"> </w:t>
      </w:r>
    </w:p>
    <w:p w14:paraId="121C92C8" w14:textId="77777777" w:rsidR="00000000" w:rsidRDefault="00195E73">
      <w:pPr>
        <w:divId w:val="319580903"/>
        <w:rPr>
          <w:rFonts w:eastAsia="Times New Roman"/>
        </w:rPr>
      </w:pPr>
      <w:r>
        <w:rPr>
          <w:rFonts w:eastAsia="Times New Roman"/>
          <w:b/>
          <w:bCs/>
          <w:i/>
          <w:iCs/>
          <w:color w:val="000000"/>
          <w:sz w:val="20"/>
          <w:szCs w:val="20"/>
        </w:rPr>
        <w:t>Investmen</w:t>
      </w:r>
      <w:r>
        <w:rPr>
          <w:rFonts w:eastAsia="Times New Roman"/>
          <w:b/>
          <w:bCs/>
          <w:i/>
          <w:iCs/>
          <w:color w:val="000000"/>
          <w:sz w:val="20"/>
          <w:szCs w:val="20"/>
        </w:rPr>
        <w:t>t</w:t>
      </w:r>
    </w:p>
    <w:p w14:paraId="6D37CF3B" w14:textId="77777777" w:rsidR="00000000" w:rsidRDefault="00195E73">
      <w:pPr>
        <w:ind w:firstLine="405"/>
        <w:divId w:val="1250888865"/>
        <w:rPr>
          <w:rFonts w:eastAsia="Times New Roman"/>
        </w:rPr>
      </w:pPr>
      <w:r>
        <w:rPr>
          <w:rFonts w:eastAsia="Times New Roman"/>
          <w:color w:val="000000"/>
          <w:sz w:val="20"/>
          <w:szCs w:val="20"/>
        </w:rPr>
        <w:t>Our Investment segment is comprised of various private investment funds (“Investment Funds”) in which we have general partner interests and through which we invest our proprietary capital. We and certain of Mr. Icahn’s</w:t>
      </w:r>
      <w:r>
        <w:rPr>
          <w:rFonts w:eastAsia="Times New Roman"/>
          <w:color w:val="000000"/>
          <w:sz w:val="20"/>
          <w:szCs w:val="20"/>
        </w:rPr>
        <w:t xml:space="preserve"> wholly-owned affiliates are the sole investors in the Investment Funds. As general partner, we provide investment advisory and certain administrative and back office services to the Investment Funds but do not provide such services to any other entities, </w:t>
      </w:r>
      <w:r>
        <w:rPr>
          <w:rFonts w:eastAsia="Times New Roman"/>
          <w:color w:val="000000"/>
          <w:sz w:val="20"/>
          <w:szCs w:val="20"/>
        </w:rPr>
        <w:t>individuals or accounts. Interests in the Investment Funds are not offered to outside investors.</w:t>
      </w:r>
      <w:r>
        <w:rPr>
          <w:rFonts w:eastAsia="Times New Roman"/>
          <w:color w:val="000000"/>
          <w:sz w:val="20"/>
          <w:szCs w:val="20"/>
        </w:rPr>
        <w:t xml:space="preserve"> </w:t>
      </w:r>
    </w:p>
    <w:p w14:paraId="1115FCB4" w14:textId="77777777" w:rsidR="00000000" w:rsidRDefault="00195E73">
      <w:pPr>
        <w:divId w:val="1997218223"/>
        <w:rPr>
          <w:rFonts w:eastAsia="Times New Roman"/>
        </w:rPr>
      </w:pPr>
      <w:r>
        <w:rPr>
          <w:rFonts w:eastAsia="Times New Roman"/>
          <w:i/>
          <w:iCs/>
          <w:color w:val="000000"/>
          <w:sz w:val="20"/>
          <w:szCs w:val="20"/>
        </w:rPr>
        <w:t>Investment Strateg</w:t>
      </w:r>
      <w:r>
        <w:rPr>
          <w:rFonts w:eastAsia="Times New Roman"/>
          <w:i/>
          <w:iCs/>
          <w:color w:val="000000"/>
          <w:sz w:val="20"/>
          <w:szCs w:val="20"/>
        </w:rPr>
        <w:t>y</w:t>
      </w:r>
    </w:p>
    <w:p w14:paraId="138C3905" w14:textId="77777777" w:rsidR="00000000" w:rsidRDefault="00195E73">
      <w:pPr>
        <w:ind w:firstLine="405"/>
        <w:divId w:val="1433475623"/>
        <w:rPr>
          <w:rFonts w:eastAsia="Times New Roman"/>
        </w:rPr>
      </w:pPr>
      <w:r>
        <w:rPr>
          <w:rFonts w:eastAsia="Times New Roman"/>
          <w:color w:val="000000"/>
          <w:sz w:val="20"/>
          <w:szCs w:val="20"/>
        </w:rPr>
        <w:t xml:space="preserve">The investment strategy of the Investment Funds is set and led by Mr. Icahn. The Investment Funds seek to acquire securities in companies </w:t>
      </w:r>
      <w:r>
        <w:rPr>
          <w:rFonts w:eastAsia="Times New Roman"/>
          <w:color w:val="000000"/>
          <w:sz w:val="20"/>
          <w:szCs w:val="20"/>
        </w:rPr>
        <w:t>that trade at a discount to inherent value as determined by various metrics, including replacement cost, break-up value, cash flow and earnings power and liquidation value</w:t>
      </w:r>
      <w:r>
        <w:rPr>
          <w:rFonts w:eastAsia="Times New Roman"/>
          <w:color w:val="000000"/>
          <w:sz w:val="20"/>
          <w:szCs w:val="20"/>
        </w:rPr>
        <w:t>.</w:t>
      </w:r>
    </w:p>
    <w:p w14:paraId="05742E11" w14:textId="77777777" w:rsidR="00000000" w:rsidRDefault="00195E73">
      <w:pPr>
        <w:ind w:firstLine="405"/>
        <w:divId w:val="1343313640"/>
        <w:rPr>
          <w:rFonts w:eastAsia="Times New Roman"/>
        </w:rPr>
      </w:pPr>
      <w:r>
        <w:rPr>
          <w:rFonts w:eastAsia="Times New Roman"/>
          <w:color w:val="000000"/>
          <w:sz w:val="20"/>
          <w:szCs w:val="20"/>
        </w:rPr>
        <w:t>The Investment Funds utilize a process-oriented, research-intensive, value-based in</w:t>
      </w:r>
      <w:r>
        <w:rPr>
          <w:rFonts w:eastAsia="Times New Roman"/>
          <w:color w:val="000000"/>
          <w:sz w:val="20"/>
          <w:szCs w:val="20"/>
        </w:rPr>
        <w:t>vestment approach. This approach generally involves three critical steps: (i) fundamental credit, valuation and capital structure analysis; (ii) intense legal and tax analysis of fulcrum issues such as litigation and regulation that often affect valuation;</w:t>
      </w:r>
      <w:r>
        <w:rPr>
          <w:rFonts w:eastAsia="Times New Roman"/>
          <w:color w:val="000000"/>
          <w:sz w:val="20"/>
          <w:szCs w:val="20"/>
        </w:rPr>
        <w:t xml:space="preserve"> and (iii) combined business valuation analysis and legal and tax review to establish a strategy for gaining an attractive risk-adjusted investment position. This approach focuses on exploiting market dislocations or misjudgments that may result from marke</w:t>
      </w:r>
      <w:r>
        <w:rPr>
          <w:rFonts w:eastAsia="Times New Roman"/>
          <w:color w:val="000000"/>
          <w:sz w:val="20"/>
          <w:szCs w:val="20"/>
        </w:rPr>
        <w:t>t euphoria, litigation, complex contingent liabilities, corporate malfeasance and weak corporate governance, general economic conditions or market cycles and complex and inappropriate capital structures</w:t>
      </w:r>
      <w:r>
        <w:rPr>
          <w:rFonts w:eastAsia="Times New Roman"/>
          <w:color w:val="000000"/>
          <w:sz w:val="20"/>
          <w:szCs w:val="20"/>
        </w:rPr>
        <w:t>.</w:t>
      </w:r>
    </w:p>
    <w:p w14:paraId="5517ECF5" w14:textId="77777777" w:rsidR="00000000" w:rsidRDefault="00195E73">
      <w:pPr>
        <w:ind w:firstLine="405"/>
        <w:divId w:val="783111751"/>
        <w:rPr>
          <w:rFonts w:eastAsia="Times New Roman"/>
        </w:rPr>
      </w:pPr>
      <w:r>
        <w:rPr>
          <w:rFonts w:eastAsia="Times New Roman"/>
          <w:color w:val="000000"/>
          <w:sz w:val="20"/>
          <w:szCs w:val="20"/>
        </w:rPr>
        <w:t>The Investment Funds are often act as activist inves</w:t>
      </w:r>
      <w:r>
        <w:rPr>
          <w:rFonts w:eastAsia="Times New Roman"/>
          <w:color w:val="000000"/>
          <w:sz w:val="20"/>
          <w:szCs w:val="20"/>
        </w:rPr>
        <w:t>tors ready to take the steps necessary to seek to unlock value, including through tender offers, proxy contests and demands for management accountability. The Investment Funds may employ a number of strategies and are permitted to invest across a variety o</w:t>
      </w:r>
      <w:r>
        <w:rPr>
          <w:rFonts w:eastAsia="Times New Roman"/>
          <w:color w:val="000000"/>
          <w:sz w:val="20"/>
          <w:szCs w:val="20"/>
        </w:rPr>
        <w:t>f industries and types of securities, including long and short equities, long and short bonds, bank debt and other corporate obligations</w:t>
      </w:r>
      <w:r>
        <w:rPr>
          <w:rFonts w:eastAsia="Times New Roman"/>
          <w:color w:val="000000"/>
          <w:sz w:val="20"/>
          <w:szCs w:val="20"/>
        </w:rPr>
        <w:t>,</w:t>
      </w:r>
      <w:r>
        <w:rPr>
          <w:rFonts w:eastAsia="Times New Roman"/>
          <w:b/>
          <w:bCs/>
          <w:color w:val="000000"/>
          <w:sz w:val="16"/>
          <w:szCs w:val="16"/>
        </w:rPr>
        <w:t xml:space="preserve"> </w:t>
      </w:r>
      <w:r>
        <w:rPr>
          <w:rFonts w:eastAsia="Times New Roman"/>
          <w:color w:val="000000"/>
          <w:sz w:val="20"/>
          <w:szCs w:val="20"/>
        </w:rPr>
        <w:t>options, swaps and other derivative instruments thereof, risk arbitrage and capital structure arbitrage and other spec</w:t>
      </w:r>
      <w:r>
        <w:rPr>
          <w:rFonts w:eastAsia="Times New Roman"/>
          <w:color w:val="000000"/>
          <w:sz w:val="20"/>
          <w:szCs w:val="20"/>
        </w:rPr>
        <w:t xml:space="preserve">ial situations. The Investment Funds invest a material portion of their capital in publicly traded equity and debt securities of companies that they believe to be undervalued by the marketplace. The Investment Funds often take significant positions in the </w:t>
      </w:r>
      <w:r>
        <w:rPr>
          <w:rFonts w:eastAsia="Times New Roman"/>
          <w:color w:val="000000"/>
          <w:sz w:val="20"/>
          <w:szCs w:val="20"/>
        </w:rPr>
        <w:t>companies in which they invest</w:t>
      </w:r>
      <w:r>
        <w:rPr>
          <w:rFonts w:eastAsia="Times New Roman"/>
          <w:color w:val="000000"/>
          <w:sz w:val="20"/>
          <w:szCs w:val="20"/>
        </w:rPr>
        <w:t>.</w:t>
      </w:r>
    </w:p>
    <w:p w14:paraId="11EA6858" w14:textId="77777777" w:rsidR="00000000" w:rsidRDefault="00195E73">
      <w:pPr>
        <w:divId w:val="1995910975"/>
        <w:rPr>
          <w:rFonts w:eastAsia="Times New Roman"/>
        </w:rPr>
      </w:pPr>
      <w:r>
        <w:rPr>
          <w:rFonts w:eastAsia="Times New Roman"/>
          <w:i/>
          <w:iCs/>
          <w:color w:val="000000"/>
          <w:sz w:val="20"/>
          <w:szCs w:val="20"/>
        </w:rPr>
        <w:t>Incom</w:t>
      </w:r>
      <w:r>
        <w:rPr>
          <w:rFonts w:eastAsia="Times New Roman"/>
          <w:i/>
          <w:iCs/>
          <w:color w:val="000000"/>
          <w:sz w:val="20"/>
          <w:szCs w:val="20"/>
        </w:rPr>
        <w:t>e</w:t>
      </w:r>
    </w:p>
    <w:p w14:paraId="68B1BCAD" w14:textId="77777777" w:rsidR="00000000" w:rsidRDefault="00195E73">
      <w:pPr>
        <w:ind w:firstLine="405"/>
        <w:divId w:val="175000896"/>
        <w:rPr>
          <w:rFonts w:eastAsia="Times New Roman"/>
        </w:rPr>
      </w:pPr>
      <w:r>
        <w:rPr>
          <w:rFonts w:eastAsia="Times New Roman"/>
          <w:color w:val="000000"/>
          <w:sz w:val="20"/>
          <w:szCs w:val="20"/>
        </w:rPr>
        <w:t>Our Investment segment’s income or loss is driven by the amount of funds allocated to the Investment Funds and the performance of the underlying investments in the Investment Funds. Funds allocated to the Investment F</w:t>
      </w:r>
      <w:r>
        <w:rPr>
          <w:rFonts w:eastAsia="Times New Roman"/>
          <w:color w:val="000000"/>
          <w:sz w:val="20"/>
          <w:szCs w:val="20"/>
        </w:rPr>
        <w:t>unds are based on the net contributions and redemptions by our Holding Company and by Mr. Icahn and his affiliates.</w:t>
      </w:r>
      <w:r>
        <w:rPr>
          <w:rFonts w:eastAsia="Times New Roman"/>
          <w:color w:val="000000"/>
          <w:sz w:val="20"/>
          <w:szCs w:val="20"/>
        </w:rPr>
        <w:t xml:space="preserve"> </w:t>
      </w:r>
    </w:p>
    <w:p w14:paraId="05A02858" w14:textId="77777777" w:rsidR="00000000" w:rsidRDefault="00195E73">
      <w:pPr>
        <w:divId w:val="840849670"/>
        <w:rPr>
          <w:rFonts w:eastAsia="Times New Roman"/>
        </w:rPr>
      </w:pPr>
      <w:r>
        <w:rPr>
          <w:rFonts w:eastAsia="Times New Roman"/>
          <w:i/>
          <w:iCs/>
          <w:color w:val="000000"/>
          <w:sz w:val="20"/>
          <w:szCs w:val="20"/>
        </w:rPr>
        <w:t>Affiliate Investment</w:t>
      </w:r>
      <w:r>
        <w:rPr>
          <w:rFonts w:eastAsia="Times New Roman"/>
          <w:i/>
          <w:iCs/>
          <w:color w:val="000000"/>
          <w:sz w:val="20"/>
          <w:szCs w:val="20"/>
        </w:rPr>
        <w:t>s</w:t>
      </w:r>
    </w:p>
    <w:p w14:paraId="6C38763B" w14:textId="77777777" w:rsidR="00000000" w:rsidRDefault="00195E73">
      <w:pPr>
        <w:ind w:firstLine="405"/>
        <w:divId w:val="1802456531"/>
        <w:rPr>
          <w:rFonts w:eastAsia="Times New Roman"/>
        </w:rPr>
      </w:pPr>
      <w:r>
        <w:rPr>
          <w:rFonts w:eastAsia="Times New Roman"/>
          <w:color w:val="000000"/>
          <w:sz w:val="20"/>
          <w:szCs w:val="20"/>
        </w:rPr>
        <w:t>We and Mr. Icahn, along with the Investment Funds, have entered into a covered affiliate agreement, which was amended</w:t>
      </w:r>
      <w:r>
        <w:rPr>
          <w:rFonts w:eastAsia="Times New Roman"/>
          <w:color w:val="000000"/>
          <w:sz w:val="20"/>
          <w:szCs w:val="20"/>
        </w:rPr>
        <w:t xml:space="preserve"> on March 31, 2011, pursuant to which Mr. Icahn agreed (on behalf of himself and certain of his affiliates, excluding Icahn Enterprises, Icahn Enterprises Holdings and their subsidiaries) to be bound by certain restrictions on their investments in any</w:t>
      </w:r>
      <w:r>
        <w:rPr>
          <w:rFonts w:eastAsia="Times New Roman"/>
          <w:color w:val="000000"/>
          <w:sz w:val="20"/>
          <w:szCs w:val="20"/>
        </w:rPr>
        <w:t xml:space="preserve"> </w:t>
      </w:r>
    </w:p>
    <w:p w14:paraId="4D1CB376" w14:textId="77777777" w:rsidR="00000000" w:rsidRDefault="00195E73">
      <w:pPr>
        <w:jc w:val="center"/>
        <w:divId w:val="970017283"/>
        <w:rPr>
          <w:rFonts w:eastAsia="Times New Roman"/>
        </w:rPr>
      </w:pPr>
      <w:r>
        <w:rPr>
          <w:rFonts w:eastAsia="Times New Roman"/>
          <w:color w:val="000000"/>
          <w:sz w:val="20"/>
          <w:szCs w:val="20"/>
        </w:rPr>
        <w:t>4</w:t>
      </w:r>
    </w:p>
    <w:p w14:paraId="611DA3C9" w14:textId="77777777" w:rsidR="00000000" w:rsidRDefault="00195E73">
      <w:pPr>
        <w:rPr>
          <w:rFonts w:eastAsia="Times New Roman"/>
        </w:rPr>
      </w:pPr>
      <w:r>
        <w:rPr>
          <w:rFonts w:eastAsia="Times New Roman"/>
        </w:rPr>
        <w:pict w14:anchorId="4BDDC30B">
          <v:rect id="_x0000_i1030" style="width:0;height:1.5pt" o:hralign="center" o:hrstd="t" o:hr="t" fillcolor="#a0a0a0" stroked="f"/>
        </w:pict>
      </w:r>
    </w:p>
    <w:p w14:paraId="492141C4" w14:textId="77777777" w:rsidR="00000000" w:rsidRDefault="00195E73">
      <w:pPr>
        <w:divId w:val="75908813"/>
        <w:rPr>
          <w:rFonts w:eastAsia="Times New Roman"/>
        </w:rPr>
      </w:pPr>
    </w:p>
    <w:p w14:paraId="1BE4DDB0" w14:textId="77777777" w:rsidR="00000000" w:rsidRDefault="00195E73">
      <w:pPr>
        <w:divId w:val="292060186"/>
        <w:rPr>
          <w:rFonts w:eastAsia="Times New Roman"/>
        </w:rPr>
      </w:pPr>
      <w:r>
        <w:rPr>
          <w:rFonts w:eastAsia="Times New Roman"/>
          <w:color w:val="000000"/>
          <w:sz w:val="20"/>
          <w:szCs w:val="20"/>
        </w:rPr>
        <w:t xml:space="preserve">assets that we deem suitable for the Investment Funds, other than government and agency bonds and cash equivalents, unless otherwise approved by our Audit Committee. In addition, Mr. Icahn and such affiliates continue </w:t>
      </w:r>
      <w:r>
        <w:rPr>
          <w:rFonts w:eastAsia="Times New Roman"/>
          <w:color w:val="000000"/>
          <w:sz w:val="20"/>
          <w:szCs w:val="20"/>
        </w:rPr>
        <w:t>to have the right to co-invest with the Investment Funds. We have no interest in, nor do we generate any income from, any such co-investments, which have been and may continue to be substantial</w:t>
      </w:r>
      <w:r>
        <w:rPr>
          <w:rFonts w:eastAsia="Times New Roman"/>
          <w:color w:val="000000"/>
          <w:sz w:val="20"/>
          <w:szCs w:val="20"/>
        </w:rPr>
        <w:t>.</w:t>
      </w:r>
    </w:p>
    <w:p w14:paraId="3619687A" w14:textId="77777777" w:rsidR="00000000" w:rsidRDefault="00195E73">
      <w:pPr>
        <w:divId w:val="629022155"/>
        <w:rPr>
          <w:rFonts w:eastAsia="Times New Roman"/>
        </w:rPr>
      </w:pPr>
      <w:r>
        <w:rPr>
          <w:rFonts w:eastAsia="Times New Roman"/>
          <w:b/>
          <w:bCs/>
          <w:i/>
          <w:iCs/>
          <w:color w:val="000000"/>
          <w:sz w:val="20"/>
          <w:szCs w:val="20"/>
        </w:rPr>
        <w:t>Energ</w:t>
      </w:r>
      <w:r>
        <w:rPr>
          <w:rFonts w:eastAsia="Times New Roman"/>
          <w:b/>
          <w:bCs/>
          <w:i/>
          <w:iCs/>
          <w:color w:val="000000"/>
          <w:sz w:val="20"/>
          <w:szCs w:val="20"/>
        </w:rPr>
        <w:t>y</w:t>
      </w:r>
    </w:p>
    <w:p w14:paraId="07C9EB5D" w14:textId="77777777" w:rsidR="00000000" w:rsidRDefault="00195E73">
      <w:pPr>
        <w:ind w:firstLine="405"/>
        <w:divId w:val="224027633"/>
        <w:rPr>
          <w:rFonts w:eastAsia="Times New Roman"/>
        </w:rPr>
      </w:pPr>
      <w:r>
        <w:rPr>
          <w:rFonts w:eastAsia="Times New Roman"/>
          <w:color w:val="000000"/>
          <w:sz w:val="20"/>
          <w:szCs w:val="20"/>
        </w:rPr>
        <w:t>We conduct our Energy segment through our majority own</w:t>
      </w:r>
      <w:r>
        <w:rPr>
          <w:rFonts w:eastAsia="Times New Roman"/>
          <w:color w:val="000000"/>
          <w:sz w:val="20"/>
          <w:szCs w:val="20"/>
        </w:rPr>
        <w:t>ed subsidiary, CVR Energy. CVR Energy is headquartered in Sugar Land, Texas. We acquired a controlling interest in CVR Energy in 2012 through a cash tender offer for outstanding shares of CVR Energy common stock. CVR Energy is a reporting company under the</w:t>
      </w:r>
      <w:r>
        <w:rPr>
          <w:rFonts w:eastAsia="Times New Roman"/>
          <w:color w:val="000000"/>
          <w:sz w:val="20"/>
          <w:szCs w:val="20"/>
        </w:rPr>
        <w:t xml:space="preserve"> Securities Exchange Act of 1934, as amended, and files annual, quarterly and current reports, proxy statements and other information with the Securities and Exchange Commission (“SEC”) that are publicly available</w:t>
      </w:r>
      <w:r>
        <w:rPr>
          <w:rFonts w:eastAsia="Times New Roman"/>
          <w:color w:val="000000"/>
          <w:sz w:val="20"/>
          <w:szCs w:val="20"/>
        </w:rPr>
        <w:t>.</w:t>
      </w:r>
    </w:p>
    <w:p w14:paraId="6856F67F" w14:textId="77777777" w:rsidR="00000000" w:rsidRDefault="00195E73">
      <w:pPr>
        <w:ind w:firstLine="405"/>
        <w:divId w:val="700326582"/>
        <w:rPr>
          <w:rFonts w:eastAsia="Times New Roman"/>
        </w:rPr>
      </w:pPr>
      <w:r>
        <w:rPr>
          <w:rFonts w:eastAsia="Times New Roman"/>
          <w:color w:val="000000"/>
          <w:sz w:val="20"/>
          <w:szCs w:val="20"/>
        </w:rPr>
        <w:t>CVR Energy is a diversified holding compa</w:t>
      </w:r>
      <w:r>
        <w:rPr>
          <w:rFonts w:eastAsia="Times New Roman"/>
          <w:color w:val="000000"/>
          <w:sz w:val="20"/>
          <w:szCs w:val="20"/>
        </w:rPr>
        <w:t xml:space="preserve">ny primarily engaged in the petroleum refining and nitrogen fertilizer manufacturing businesses through its holdings in CVR Refining, LP (“CVR Refining”) and CVR Partners, LP (“CVR Partners”), respectively. CVR Refining is an independent petroleum refiner </w:t>
      </w:r>
      <w:r>
        <w:rPr>
          <w:rFonts w:eastAsia="Times New Roman"/>
          <w:color w:val="000000"/>
          <w:sz w:val="20"/>
          <w:szCs w:val="20"/>
        </w:rPr>
        <w:t>and marketer of high value transportation fuels. CVR Partners produces and markets nitrogen fertilizers in the form of ammonia and urea ammonium nitrate (“UAN”). CVR Energy has a general partner interest in each of CVR Refining and CVR Partners. In additio</w:t>
      </w:r>
      <w:r>
        <w:rPr>
          <w:rFonts w:eastAsia="Times New Roman"/>
          <w:color w:val="000000"/>
          <w:sz w:val="20"/>
          <w:szCs w:val="20"/>
        </w:rPr>
        <w:t>n, CVR Energy is the sole limited partner of CVR Refining and owns 34.4% of the outstanding common units of CVR Partners as of December 31, 2019.</w:t>
      </w:r>
      <w:r>
        <w:rPr>
          <w:rFonts w:eastAsia="Times New Roman"/>
          <w:color w:val="000000"/>
          <w:sz w:val="20"/>
          <w:szCs w:val="20"/>
        </w:rPr>
        <w:t xml:space="preserve"> </w:t>
      </w:r>
    </w:p>
    <w:p w14:paraId="6B3B4A50" w14:textId="77777777" w:rsidR="00000000" w:rsidRDefault="00195E73">
      <w:pPr>
        <w:ind w:firstLine="405"/>
        <w:divId w:val="1061900322"/>
        <w:rPr>
          <w:rFonts w:eastAsia="Times New Roman"/>
        </w:rPr>
      </w:pPr>
      <w:r>
        <w:rPr>
          <w:rFonts w:eastAsia="Times New Roman"/>
          <w:color w:val="000000"/>
          <w:sz w:val="20"/>
          <w:szCs w:val="20"/>
        </w:rPr>
        <w:t>As of December 31, 2019, we owned approximately 70.8% of the total outstanding common stock of CVR Energy.</w:t>
      </w:r>
      <w:r>
        <w:rPr>
          <w:rFonts w:eastAsia="Times New Roman"/>
          <w:color w:val="000000"/>
          <w:sz w:val="20"/>
          <w:szCs w:val="20"/>
        </w:rPr>
        <w:t xml:space="preserve"> </w:t>
      </w:r>
    </w:p>
    <w:p w14:paraId="5C9ED9A5" w14:textId="77777777" w:rsidR="00000000" w:rsidRDefault="00195E73">
      <w:pPr>
        <w:ind w:firstLine="405"/>
        <w:divId w:val="1226915329"/>
        <w:rPr>
          <w:rFonts w:eastAsia="Times New Roman"/>
        </w:rPr>
      </w:pPr>
      <w:r>
        <w:rPr>
          <w:rFonts w:eastAsia="Times New Roman"/>
          <w:color w:val="000000"/>
          <w:sz w:val="20"/>
          <w:szCs w:val="20"/>
        </w:rPr>
        <w:t>O</w:t>
      </w:r>
      <w:r>
        <w:rPr>
          <w:rFonts w:eastAsia="Times New Roman"/>
          <w:color w:val="000000"/>
          <w:sz w:val="20"/>
          <w:szCs w:val="20"/>
        </w:rPr>
        <w:t>n August 1, 2018, CVR Energy completed an exchange offer whereby CVR Refining’s public unitholders tendered a total of 21,625,106 common units of CVR Refining in exchange for 13,699,549 shares of CVR Energy common stock. On January 29, 2019, CVR Energy, pu</w:t>
      </w:r>
      <w:r>
        <w:rPr>
          <w:rFonts w:eastAsia="Times New Roman"/>
          <w:color w:val="000000"/>
          <w:sz w:val="20"/>
          <w:szCs w:val="20"/>
        </w:rPr>
        <w:t xml:space="preserve">rsuant to the exercise of its right to purchase all of the issued and outstanding common units in CVR Refining, purchased the remaining common units of CVR Refining not already owned by CVR Energy, including the purchase of CVR Refining common units owned </w:t>
      </w:r>
      <w:r>
        <w:rPr>
          <w:rFonts w:eastAsia="Times New Roman"/>
          <w:color w:val="000000"/>
          <w:sz w:val="20"/>
          <w:szCs w:val="20"/>
        </w:rPr>
        <w:t xml:space="preserve">directly by us. Prior to this, CVR Energy owned approximately 80.6% of the common units of CVR Refining and we directly owned approximately 3.9% of the common units of CVR Refining. As a result of exercising its purchase right, as of January 29, 2019, CVR </w:t>
      </w:r>
      <w:r>
        <w:rPr>
          <w:rFonts w:eastAsia="Times New Roman"/>
          <w:color w:val="000000"/>
          <w:sz w:val="20"/>
          <w:szCs w:val="20"/>
        </w:rPr>
        <w:t>Energy owns all of the common units of CVR Refining and we no longer have any direct ownership in CVR Refining. In addition, the common units of CVR Refining have subsequently ceased to be publicly traded or listed on the New York Stock Exchange or any oth</w:t>
      </w:r>
      <w:r>
        <w:rPr>
          <w:rFonts w:eastAsia="Times New Roman"/>
          <w:color w:val="000000"/>
          <w:sz w:val="20"/>
          <w:szCs w:val="20"/>
        </w:rPr>
        <w:t>er national securities exchange</w:t>
      </w:r>
      <w:r>
        <w:rPr>
          <w:rFonts w:eastAsia="Times New Roman"/>
          <w:color w:val="000000"/>
          <w:sz w:val="20"/>
          <w:szCs w:val="20"/>
        </w:rPr>
        <w:t>.</w:t>
      </w:r>
    </w:p>
    <w:p w14:paraId="55106F13" w14:textId="77777777" w:rsidR="00000000" w:rsidRDefault="00195E73">
      <w:pPr>
        <w:ind w:firstLine="405"/>
        <w:divId w:val="1327246808"/>
        <w:rPr>
          <w:rFonts w:eastAsia="Times New Roman"/>
        </w:rPr>
      </w:pPr>
      <w:r>
        <w:rPr>
          <w:rFonts w:eastAsia="Times New Roman"/>
          <w:color w:val="000000"/>
          <w:sz w:val="20"/>
          <w:szCs w:val="20"/>
        </w:rPr>
        <w:t>Our Energy segment’s net sales for the years ended December 31, 2019, 2018 and 2017 represented approximately 65%, 67% and 64%, respectively, of our consolidated net sales, primarily from the sale of its petroleum products</w:t>
      </w:r>
      <w:r>
        <w:rPr>
          <w:rFonts w:eastAsia="Times New Roman"/>
          <w:color w:val="000000"/>
          <w:sz w:val="20"/>
          <w:szCs w:val="20"/>
        </w:rPr>
        <w:t>.</w:t>
      </w:r>
    </w:p>
    <w:p w14:paraId="72820776" w14:textId="77777777" w:rsidR="00000000" w:rsidRDefault="00195E73">
      <w:pPr>
        <w:divId w:val="1368027139"/>
        <w:rPr>
          <w:rFonts w:eastAsia="Times New Roman"/>
        </w:rPr>
      </w:pPr>
      <w:r>
        <w:rPr>
          <w:rFonts w:eastAsia="Times New Roman"/>
          <w:i/>
          <w:iCs/>
          <w:color w:val="000000"/>
          <w:sz w:val="20"/>
          <w:szCs w:val="20"/>
        </w:rPr>
        <w:t>Products, Raw Materials and Suppl</w:t>
      </w:r>
      <w:r>
        <w:rPr>
          <w:rFonts w:eastAsia="Times New Roman"/>
          <w:i/>
          <w:iCs/>
          <w:color w:val="000000"/>
          <w:sz w:val="20"/>
          <w:szCs w:val="20"/>
        </w:rPr>
        <w:t>y</w:t>
      </w:r>
    </w:p>
    <w:p w14:paraId="016538BA" w14:textId="77777777" w:rsidR="00000000" w:rsidRDefault="00195E73">
      <w:pPr>
        <w:ind w:firstLine="405"/>
        <w:divId w:val="1435636663"/>
        <w:rPr>
          <w:rFonts w:eastAsia="Times New Roman"/>
        </w:rPr>
      </w:pPr>
      <w:r>
        <w:rPr>
          <w:rFonts w:eastAsia="Times New Roman"/>
          <w:color w:val="000000"/>
          <w:sz w:val="20"/>
          <w:szCs w:val="20"/>
        </w:rPr>
        <w:t>CVR Refining has the capability to process a variety of crude oil blends. CVR Refining’s oil refineries in Coffeyville, Kansas and Wynnewood, Oklahoma have a combined capacity of 206,500 barrels per day. In addition to t</w:t>
      </w:r>
      <w:r>
        <w:rPr>
          <w:rFonts w:eastAsia="Times New Roman"/>
          <w:color w:val="000000"/>
          <w:sz w:val="20"/>
          <w:szCs w:val="20"/>
        </w:rPr>
        <w:t>he use of third-party pipelines for the supply of crude oil, CVR Refining has an extensive gathering system consisting of logistics assets that are owned, leased or part of a joint venture operation. Petroleum refining product yield includes gasoline, dies</w:t>
      </w:r>
      <w:r>
        <w:rPr>
          <w:rFonts w:eastAsia="Times New Roman"/>
          <w:color w:val="000000"/>
          <w:sz w:val="20"/>
          <w:szCs w:val="20"/>
        </w:rPr>
        <w:t>el fuel, pet coke and other refined products such as natural gas liquids, asphalt and jet fuel among other products.</w:t>
      </w:r>
      <w:r>
        <w:rPr>
          <w:rFonts w:eastAsia="Times New Roman"/>
          <w:color w:val="000000"/>
          <w:sz w:val="20"/>
          <w:szCs w:val="20"/>
        </w:rPr>
        <w:t xml:space="preserve"> </w:t>
      </w:r>
    </w:p>
    <w:p w14:paraId="233DD89E" w14:textId="77777777" w:rsidR="00000000" w:rsidRDefault="00195E73">
      <w:pPr>
        <w:ind w:firstLine="405"/>
        <w:divId w:val="1700475032"/>
        <w:rPr>
          <w:rFonts w:eastAsia="Times New Roman"/>
        </w:rPr>
      </w:pPr>
      <w:r>
        <w:rPr>
          <w:rFonts w:eastAsia="Times New Roman"/>
          <w:color w:val="000000"/>
          <w:sz w:val="20"/>
          <w:szCs w:val="20"/>
        </w:rPr>
        <w:t>CVR Partners produces and distributes nitrogen fertilizer products, which are used by farmers to improve the yield and quality of their cr</w:t>
      </w:r>
      <w:r>
        <w:rPr>
          <w:rFonts w:eastAsia="Times New Roman"/>
          <w:color w:val="000000"/>
          <w:sz w:val="20"/>
          <w:szCs w:val="20"/>
        </w:rPr>
        <w:t>ops. The principal products are UAN and ammonia. CVR Partners’ Coffeyville, Kansas facility uses pet coke to produce nitrogen fertilizer and is supplied primarily by its adjacent crude oil refinery pursuant to a renewable long-term agreement with CVR Refin</w:t>
      </w:r>
      <w:r>
        <w:rPr>
          <w:rFonts w:eastAsia="Times New Roman"/>
          <w:color w:val="000000"/>
          <w:sz w:val="20"/>
          <w:szCs w:val="20"/>
        </w:rPr>
        <w:t>ing. Historically, the Coffeyville nitrogen fertilizer plant has obtained the remainder of its pet coke requirements from third parties such as other Midwestern refineries or pet coke brokers at spot-prices. CVR Partners’ East Dubuque, Illinois facility us</w:t>
      </w:r>
      <w:r>
        <w:rPr>
          <w:rFonts w:eastAsia="Times New Roman"/>
          <w:color w:val="000000"/>
          <w:sz w:val="20"/>
          <w:szCs w:val="20"/>
        </w:rPr>
        <w:t>es natural gas to produce nitrogen fertilizer. The East Dubuque facility is able to purchase natural gas at competitive prices due to its connection to the Norther Natural Gas interstate pipeline system, which is within one mile of the facility, and the AN</w:t>
      </w:r>
      <w:r>
        <w:rPr>
          <w:rFonts w:eastAsia="Times New Roman"/>
          <w:color w:val="000000"/>
          <w:sz w:val="20"/>
          <w:szCs w:val="20"/>
        </w:rPr>
        <w:t>R Pipeline Company pipeline.</w:t>
      </w:r>
      <w:r>
        <w:rPr>
          <w:rFonts w:eastAsia="Times New Roman"/>
          <w:color w:val="000000"/>
          <w:sz w:val="20"/>
          <w:szCs w:val="20"/>
        </w:rPr>
        <w:t xml:space="preserve"> </w:t>
      </w:r>
    </w:p>
    <w:p w14:paraId="16ABDCD9" w14:textId="77777777" w:rsidR="00000000" w:rsidRDefault="00195E73">
      <w:pPr>
        <w:divId w:val="1157963917"/>
        <w:rPr>
          <w:rFonts w:eastAsia="Times New Roman"/>
        </w:rPr>
      </w:pPr>
      <w:r>
        <w:rPr>
          <w:rFonts w:eastAsia="Times New Roman"/>
          <w:i/>
          <w:iCs/>
          <w:color w:val="000000"/>
          <w:sz w:val="20"/>
          <w:szCs w:val="20"/>
        </w:rPr>
        <w:t>Customers, Marketing and Distributio</w:t>
      </w:r>
      <w:r>
        <w:rPr>
          <w:rFonts w:eastAsia="Times New Roman"/>
          <w:i/>
          <w:iCs/>
          <w:color w:val="000000"/>
          <w:sz w:val="20"/>
          <w:szCs w:val="20"/>
        </w:rPr>
        <w:t>n</w:t>
      </w:r>
    </w:p>
    <w:p w14:paraId="5A443FB1" w14:textId="77777777" w:rsidR="00000000" w:rsidRDefault="00195E73">
      <w:pPr>
        <w:ind w:firstLine="405"/>
        <w:divId w:val="1672681005"/>
        <w:rPr>
          <w:rFonts w:eastAsia="Times New Roman"/>
        </w:rPr>
      </w:pPr>
      <w:r>
        <w:rPr>
          <w:rFonts w:eastAsia="Times New Roman"/>
          <w:color w:val="000000"/>
          <w:sz w:val="20"/>
          <w:szCs w:val="20"/>
        </w:rPr>
        <w:t xml:space="preserve">Customers for CVR Refining’s products primarily include retailers, railroads, and farm cooperatives and other refiners/marketers in Group 3 of the PADD II region because of their relative </w:t>
      </w:r>
      <w:r>
        <w:rPr>
          <w:rFonts w:eastAsia="Times New Roman"/>
          <w:color w:val="000000"/>
          <w:sz w:val="20"/>
          <w:szCs w:val="20"/>
        </w:rPr>
        <w:t>proximity to the refineries and pipeline access. CVR Refining sells bulk products to long-standing customers at spot market prices based on a Group 3 basis differential to prices quoted on the New York Mercantile Exchange, which are reported by industry ma</w:t>
      </w:r>
      <w:r>
        <w:rPr>
          <w:rFonts w:eastAsia="Times New Roman"/>
          <w:color w:val="000000"/>
          <w:sz w:val="20"/>
          <w:szCs w:val="20"/>
        </w:rPr>
        <w:t xml:space="preserve">rket-related indices such as Platts and Oil Price Information Service. CVR Refining’s rack sales are at posted prices that are influenced by competitor pricing and Group 3 spot market differentials. Additionally, CVR Refining supplies jet fuel to the U.S. </w:t>
      </w:r>
      <w:r>
        <w:rPr>
          <w:rFonts w:eastAsia="Times New Roman"/>
          <w:color w:val="000000"/>
          <w:sz w:val="20"/>
          <w:szCs w:val="20"/>
        </w:rPr>
        <w:t>Department of Defense. For the year ended December 31, 2019, two customers accounted for 25% of CVR Refining’s net sales</w:t>
      </w:r>
      <w:r>
        <w:rPr>
          <w:rFonts w:eastAsia="Times New Roman"/>
          <w:color w:val="000000"/>
          <w:sz w:val="20"/>
          <w:szCs w:val="20"/>
        </w:rPr>
        <w:t>.</w:t>
      </w:r>
    </w:p>
    <w:p w14:paraId="074C5D1B" w14:textId="77777777" w:rsidR="00000000" w:rsidRDefault="00195E73">
      <w:pPr>
        <w:ind w:firstLine="405"/>
        <w:divId w:val="1087769888"/>
        <w:rPr>
          <w:rFonts w:eastAsia="Times New Roman"/>
        </w:rPr>
      </w:pPr>
      <w:r>
        <w:rPr>
          <w:rFonts w:eastAsia="Times New Roman"/>
          <w:color w:val="000000"/>
          <w:sz w:val="20"/>
          <w:szCs w:val="20"/>
        </w:rPr>
        <w:t>CVR Refining focuses its marketing efforts in the central mid-continent area because of its relative proximity to its refineries and p</w:t>
      </w:r>
      <w:r>
        <w:rPr>
          <w:rFonts w:eastAsia="Times New Roman"/>
          <w:color w:val="000000"/>
          <w:sz w:val="20"/>
          <w:szCs w:val="20"/>
        </w:rPr>
        <w:t>ipeline access. CVR Refining engages in rack marketing, which is the supply of product through tanker trucks</w:t>
      </w:r>
      <w:r>
        <w:rPr>
          <w:rFonts w:eastAsia="Times New Roman"/>
          <w:color w:val="000000"/>
          <w:sz w:val="20"/>
          <w:szCs w:val="20"/>
        </w:rPr>
        <w:t xml:space="preserve"> </w:t>
      </w:r>
    </w:p>
    <w:p w14:paraId="179C90E7" w14:textId="77777777" w:rsidR="00000000" w:rsidRDefault="00195E73">
      <w:pPr>
        <w:jc w:val="center"/>
        <w:divId w:val="133837951"/>
        <w:rPr>
          <w:rFonts w:eastAsia="Times New Roman"/>
        </w:rPr>
      </w:pPr>
      <w:r>
        <w:rPr>
          <w:rFonts w:eastAsia="Times New Roman"/>
          <w:color w:val="000000"/>
          <w:sz w:val="20"/>
          <w:szCs w:val="20"/>
        </w:rPr>
        <w:t>5</w:t>
      </w:r>
    </w:p>
    <w:p w14:paraId="6C6FBB51" w14:textId="77777777" w:rsidR="00000000" w:rsidRDefault="00195E73">
      <w:pPr>
        <w:rPr>
          <w:rFonts w:eastAsia="Times New Roman"/>
        </w:rPr>
      </w:pPr>
      <w:r>
        <w:rPr>
          <w:rFonts w:eastAsia="Times New Roman"/>
        </w:rPr>
        <w:pict w14:anchorId="159053B1">
          <v:rect id="_x0000_i1031" style="width:0;height:1.5pt" o:hralign="center" o:hrstd="t" o:hr="t" fillcolor="#a0a0a0" stroked="f"/>
        </w:pict>
      </w:r>
    </w:p>
    <w:p w14:paraId="1572049F" w14:textId="77777777" w:rsidR="00000000" w:rsidRDefault="00195E73">
      <w:pPr>
        <w:divId w:val="560873476"/>
        <w:rPr>
          <w:rFonts w:eastAsia="Times New Roman"/>
        </w:rPr>
      </w:pPr>
    </w:p>
    <w:p w14:paraId="5227F458" w14:textId="77777777" w:rsidR="00000000" w:rsidRDefault="00195E73">
      <w:pPr>
        <w:divId w:val="808522327"/>
        <w:rPr>
          <w:rFonts w:eastAsia="Times New Roman"/>
        </w:rPr>
      </w:pPr>
      <w:r>
        <w:rPr>
          <w:rFonts w:eastAsia="Times New Roman"/>
          <w:color w:val="000000"/>
          <w:sz w:val="20"/>
          <w:szCs w:val="20"/>
        </w:rPr>
        <w:t xml:space="preserve">and railcars directly to customers located in close geographic proximity to its refineries and to customers at throughput terminals on third-party refined products distribution systems. CVR Refining also makes bulk sales (sales into third-party pipelines) </w:t>
      </w:r>
      <w:r>
        <w:rPr>
          <w:rFonts w:eastAsia="Times New Roman"/>
          <w:color w:val="000000"/>
          <w:sz w:val="20"/>
          <w:szCs w:val="20"/>
        </w:rPr>
        <w:t>into mid-continent markets and other destinations utilizing third-party product pipeline networks.</w:t>
      </w:r>
      <w:r>
        <w:rPr>
          <w:rFonts w:eastAsia="Times New Roman"/>
          <w:color w:val="000000"/>
          <w:sz w:val="20"/>
          <w:szCs w:val="20"/>
        </w:rPr>
        <w:t xml:space="preserve"> </w:t>
      </w:r>
    </w:p>
    <w:p w14:paraId="61D5B0BA" w14:textId="77777777" w:rsidR="00000000" w:rsidRDefault="00195E73">
      <w:pPr>
        <w:ind w:firstLine="405"/>
        <w:divId w:val="630524473"/>
        <w:rPr>
          <w:rFonts w:eastAsia="Times New Roman"/>
        </w:rPr>
      </w:pPr>
      <w:r>
        <w:rPr>
          <w:rFonts w:eastAsia="Times New Roman"/>
          <w:color w:val="000000"/>
          <w:sz w:val="20"/>
          <w:szCs w:val="20"/>
        </w:rPr>
        <w:t>CVR Partners sells UAN products to retailers and distributors and ammonia to agricultural and industrial customers. Its products are primarily distributed b</w:t>
      </w:r>
      <w:r>
        <w:rPr>
          <w:rFonts w:eastAsia="Times New Roman"/>
          <w:color w:val="000000"/>
          <w:sz w:val="20"/>
          <w:szCs w:val="20"/>
        </w:rPr>
        <w:t>y truck or by railcar. Given the nature of its business, and consistent with industry practice, CVR Partners does not have long-term minimum purchase contracts with most of its agricultural customers</w:t>
      </w:r>
      <w:r>
        <w:rPr>
          <w:rFonts w:eastAsia="Times New Roman"/>
          <w:color w:val="000000"/>
          <w:sz w:val="20"/>
          <w:szCs w:val="20"/>
        </w:rPr>
        <w:t>.</w:t>
      </w:r>
    </w:p>
    <w:p w14:paraId="5DE9CAD3" w14:textId="77777777" w:rsidR="00000000" w:rsidRDefault="00195E73">
      <w:pPr>
        <w:divId w:val="1096706933"/>
        <w:rPr>
          <w:rFonts w:eastAsia="Times New Roman"/>
        </w:rPr>
      </w:pPr>
      <w:r>
        <w:rPr>
          <w:rFonts w:eastAsia="Times New Roman"/>
          <w:i/>
          <w:iCs/>
          <w:color w:val="000000"/>
          <w:sz w:val="20"/>
          <w:szCs w:val="20"/>
        </w:rPr>
        <w:t>Competitio</w:t>
      </w:r>
      <w:r>
        <w:rPr>
          <w:rFonts w:eastAsia="Times New Roman"/>
          <w:i/>
          <w:iCs/>
          <w:color w:val="000000"/>
          <w:sz w:val="20"/>
          <w:szCs w:val="20"/>
        </w:rPr>
        <w:t>n</w:t>
      </w:r>
    </w:p>
    <w:p w14:paraId="6D16F922" w14:textId="77777777" w:rsidR="00000000" w:rsidRDefault="00195E73">
      <w:pPr>
        <w:ind w:firstLine="405"/>
        <w:divId w:val="300158572"/>
        <w:rPr>
          <w:rFonts w:eastAsia="Times New Roman"/>
        </w:rPr>
      </w:pPr>
      <w:r>
        <w:rPr>
          <w:rFonts w:eastAsia="Times New Roman"/>
          <w:color w:val="000000"/>
          <w:sz w:val="20"/>
          <w:szCs w:val="20"/>
        </w:rPr>
        <w:t>CVR Energy’s petroleum business competes pr</w:t>
      </w:r>
      <w:r>
        <w:rPr>
          <w:rFonts w:eastAsia="Times New Roman"/>
          <w:color w:val="000000"/>
          <w:sz w:val="20"/>
          <w:szCs w:val="20"/>
        </w:rPr>
        <w:t>imarily on the basis of price, reliability of supply, availability of multiple grades of products and location. The principal competitive factors affecting its refining operations are cost of crude oil and other feedstocks, refinery complexity, refinery ef</w:t>
      </w:r>
      <w:r>
        <w:rPr>
          <w:rFonts w:eastAsia="Times New Roman"/>
          <w:color w:val="000000"/>
          <w:sz w:val="20"/>
          <w:szCs w:val="20"/>
        </w:rPr>
        <w:t>ficiency, refinery product mix and product distribution and transportation costs. The location of refineries provides the petroleum business with a reliable supply of crude oil and a transportation cost advantage over its competitors. The petroleum busines</w:t>
      </w:r>
      <w:r>
        <w:rPr>
          <w:rFonts w:eastAsia="Times New Roman"/>
          <w:color w:val="000000"/>
          <w:sz w:val="20"/>
          <w:szCs w:val="20"/>
        </w:rPr>
        <w:t>s primarily competes against five refineries operated in the mid-continent region. In addition to these refineries, the refineries compete against trading companies, as well as other refineries located outside the region that are linked to the mid-continen</w:t>
      </w:r>
      <w:r>
        <w:rPr>
          <w:rFonts w:eastAsia="Times New Roman"/>
          <w:color w:val="000000"/>
          <w:sz w:val="20"/>
          <w:szCs w:val="20"/>
        </w:rPr>
        <w:t>t market through an extensive product pipeline system. These competitors include refineries located near the Gulf Coast, the Great Lakes and the Texas panhandle regions.</w:t>
      </w:r>
      <w:r>
        <w:rPr>
          <w:rFonts w:eastAsia="Times New Roman"/>
          <w:color w:val="000000"/>
          <w:sz w:val="20"/>
          <w:szCs w:val="20"/>
        </w:rPr>
        <w:t xml:space="preserve"> </w:t>
      </w:r>
    </w:p>
    <w:p w14:paraId="2560908E" w14:textId="77777777" w:rsidR="00000000" w:rsidRDefault="00195E73">
      <w:pPr>
        <w:ind w:firstLine="405"/>
        <w:divId w:val="1127355350"/>
        <w:rPr>
          <w:rFonts w:eastAsia="Times New Roman"/>
        </w:rPr>
      </w:pPr>
      <w:r>
        <w:rPr>
          <w:rFonts w:eastAsia="Times New Roman"/>
          <w:color w:val="000000"/>
          <w:sz w:val="20"/>
          <w:szCs w:val="20"/>
        </w:rPr>
        <w:t>The nitrogen fertilizer business has experienced, and CVR Partners expects to continu</w:t>
      </w:r>
      <w:r>
        <w:rPr>
          <w:rFonts w:eastAsia="Times New Roman"/>
          <w:color w:val="000000"/>
          <w:sz w:val="20"/>
          <w:szCs w:val="20"/>
        </w:rPr>
        <w:t>e to meet, significant levels of competition from current and potential competitors, many of whom have significantly greater financial and other resources. Competition in the nitrogen fertilizer industry is dominated by price considerations. However, durin</w:t>
      </w:r>
      <w:r>
        <w:rPr>
          <w:rFonts w:eastAsia="Times New Roman"/>
          <w:color w:val="000000"/>
          <w:sz w:val="20"/>
          <w:szCs w:val="20"/>
        </w:rPr>
        <w:t>g the spring and fall application seasons, farming activities intensify and delivery capacity is a significant competitive factor. Domestic competition is intense due to customers’ sophisticated buying tendencies and competitor strategies that focus on cos</w:t>
      </w:r>
      <w:r>
        <w:rPr>
          <w:rFonts w:eastAsia="Times New Roman"/>
          <w:color w:val="000000"/>
          <w:sz w:val="20"/>
          <w:szCs w:val="20"/>
        </w:rPr>
        <w:t>t and service. The nitrogen fertilizer business also encounters competition from producers of fertilizer products manufactured in foreign countries. In certain cases, foreign producers of fertilizer who export to the United States may be subsidized by thei</w:t>
      </w:r>
      <w:r>
        <w:rPr>
          <w:rFonts w:eastAsia="Times New Roman"/>
          <w:color w:val="000000"/>
          <w:sz w:val="20"/>
          <w:szCs w:val="20"/>
        </w:rPr>
        <w:t>r respective governments</w:t>
      </w:r>
      <w:r>
        <w:rPr>
          <w:rFonts w:eastAsia="Times New Roman"/>
          <w:color w:val="000000"/>
          <w:sz w:val="20"/>
          <w:szCs w:val="20"/>
        </w:rPr>
        <w:t>.</w:t>
      </w:r>
    </w:p>
    <w:p w14:paraId="04964D2A" w14:textId="77777777" w:rsidR="00000000" w:rsidRDefault="00195E73">
      <w:pPr>
        <w:divId w:val="410781390"/>
        <w:rPr>
          <w:rFonts w:eastAsia="Times New Roman"/>
        </w:rPr>
      </w:pPr>
      <w:r>
        <w:rPr>
          <w:rFonts w:eastAsia="Times New Roman"/>
          <w:i/>
          <w:iCs/>
          <w:color w:val="000000"/>
          <w:sz w:val="20"/>
          <w:szCs w:val="20"/>
        </w:rPr>
        <w:t>Environmental Regulation</w:t>
      </w:r>
      <w:r>
        <w:rPr>
          <w:rFonts w:eastAsia="Times New Roman"/>
          <w:i/>
          <w:iCs/>
          <w:color w:val="000000"/>
          <w:sz w:val="20"/>
          <w:szCs w:val="20"/>
        </w:rPr>
        <w:t>s</w:t>
      </w:r>
    </w:p>
    <w:p w14:paraId="151AF2DE" w14:textId="77777777" w:rsidR="00000000" w:rsidRDefault="00195E73">
      <w:pPr>
        <w:ind w:firstLine="405"/>
        <w:divId w:val="467089764"/>
        <w:rPr>
          <w:rFonts w:eastAsia="Times New Roman"/>
        </w:rPr>
      </w:pPr>
      <w:r>
        <w:rPr>
          <w:rFonts w:eastAsia="Times New Roman"/>
          <w:color w:val="000000"/>
          <w:sz w:val="20"/>
          <w:szCs w:val="20"/>
        </w:rPr>
        <w:t>CVR Energy’s petroleum and nitrogen fertilizer businesses are subject to extensive and frequently changing federal, state and local, environmental, health and safety laws and regulations governing the emi</w:t>
      </w:r>
      <w:r>
        <w:rPr>
          <w:rFonts w:eastAsia="Times New Roman"/>
          <w:color w:val="000000"/>
          <w:sz w:val="20"/>
          <w:szCs w:val="20"/>
        </w:rPr>
        <w:t>ssion and release of hazardous substances into the environment, the treatment and discharge of waste water, and the storage, handling, use and transportation of petroleum and nitrogen products, and the characteristics and composition of gasoline, diesel fu</w:t>
      </w:r>
      <w:r>
        <w:rPr>
          <w:rFonts w:eastAsia="Times New Roman"/>
          <w:color w:val="000000"/>
          <w:sz w:val="20"/>
          <w:szCs w:val="20"/>
        </w:rPr>
        <w:t>els, UAN and ammonia. These laws and regulations, their underlying regulatory requirements, and the enforcement thereof, impact the petroleum business and operations and the nitrogen fertilizer business and operations by imposing</w:t>
      </w:r>
      <w:r>
        <w:rPr>
          <w:rFonts w:eastAsia="Times New Roman"/>
          <w:color w:val="000000"/>
          <w:sz w:val="20"/>
          <w:szCs w:val="20"/>
        </w:rPr>
        <w:t>:</w:t>
      </w:r>
    </w:p>
    <w:p w14:paraId="45E3E160" w14:textId="77777777" w:rsidR="00000000" w:rsidRDefault="00195E73">
      <w:pPr>
        <w:ind w:hanging="270"/>
        <w:divId w:val="1063915414"/>
        <w:rPr>
          <w:rFonts w:eastAsia="Times New Roman"/>
        </w:rPr>
      </w:pPr>
      <w:r>
        <w:rPr>
          <w:rFonts w:eastAsia="Times New Roman"/>
          <w:color w:val="000000"/>
          <w:sz w:val="20"/>
          <w:szCs w:val="20"/>
        </w:rPr>
        <w:t>•</w:t>
      </w:r>
      <w:r>
        <w:rPr>
          <w:rFonts w:eastAsia="Times New Roman"/>
          <w:color w:val="000000"/>
          <w:sz w:val="20"/>
          <w:szCs w:val="20"/>
        </w:rPr>
        <w:t>restrictions on operatio</w:t>
      </w:r>
      <w:r>
        <w:rPr>
          <w:rFonts w:eastAsia="Times New Roman"/>
          <w:color w:val="000000"/>
          <w:sz w:val="20"/>
          <w:szCs w:val="20"/>
        </w:rPr>
        <w:t>ns or the need to install enhanced or additional controls</w:t>
      </w:r>
      <w:r>
        <w:rPr>
          <w:rFonts w:eastAsia="Times New Roman"/>
          <w:color w:val="000000"/>
          <w:sz w:val="20"/>
          <w:szCs w:val="20"/>
        </w:rPr>
        <w:t>;</w:t>
      </w:r>
    </w:p>
    <w:p w14:paraId="5249F897" w14:textId="77777777" w:rsidR="00000000" w:rsidRDefault="00195E73">
      <w:pPr>
        <w:ind w:hanging="270"/>
        <w:divId w:val="111481830"/>
        <w:rPr>
          <w:rFonts w:eastAsia="Times New Roman"/>
        </w:rPr>
      </w:pPr>
      <w:r>
        <w:rPr>
          <w:rFonts w:eastAsia="Times New Roman"/>
          <w:color w:val="000000"/>
          <w:sz w:val="20"/>
          <w:szCs w:val="20"/>
        </w:rPr>
        <w:t>•</w:t>
      </w:r>
      <w:r>
        <w:rPr>
          <w:rFonts w:eastAsia="Times New Roman"/>
          <w:color w:val="000000"/>
          <w:sz w:val="20"/>
          <w:szCs w:val="20"/>
        </w:rPr>
        <w:t>liability for the investigation and remediation of contaminated soil and groundwater at current and former facilities (if any) and for off-site waste disposal locations; an</w:t>
      </w:r>
      <w:r>
        <w:rPr>
          <w:rFonts w:eastAsia="Times New Roman"/>
          <w:color w:val="000000"/>
          <w:sz w:val="20"/>
          <w:szCs w:val="20"/>
        </w:rPr>
        <w:t>d</w:t>
      </w:r>
    </w:p>
    <w:p w14:paraId="7AD29517" w14:textId="77777777" w:rsidR="00000000" w:rsidRDefault="00195E73">
      <w:pPr>
        <w:ind w:hanging="270"/>
        <w:divId w:val="1596747120"/>
        <w:rPr>
          <w:rFonts w:eastAsia="Times New Roman"/>
        </w:rPr>
      </w:pPr>
      <w:r>
        <w:rPr>
          <w:rFonts w:eastAsia="Times New Roman"/>
          <w:color w:val="000000"/>
          <w:sz w:val="20"/>
          <w:szCs w:val="20"/>
        </w:rPr>
        <w:t>•</w:t>
      </w:r>
      <w:r>
        <w:rPr>
          <w:rFonts w:eastAsia="Times New Roman"/>
          <w:color w:val="000000"/>
          <w:sz w:val="20"/>
          <w:szCs w:val="20"/>
        </w:rPr>
        <w:t>specifications for the products marketed by the petroleum business and the nitrogen fertilizer business, primarily gasoline, diesel fuel, UAN and ammonia</w:t>
      </w:r>
      <w:r>
        <w:rPr>
          <w:rFonts w:eastAsia="Times New Roman"/>
          <w:color w:val="000000"/>
          <w:sz w:val="20"/>
          <w:szCs w:val="20"/>
        </w:rPr>
        <w:t>.</w:t>
      </w:r>
    </w:p>
    <w:p w14:paraId="7BAE8432" w14:textId="77777777" w:rsidR="00000000" w:rsidRDefault="00195E73">
      <w:pPr>
        <w:ind w:firstLine="405"/>
        <w:divId w:val="141896196"/>
        <w:rPr>
          <w:rFonts w:eastAsia="Times New Roman"/>
        </w:rPr>
      </w:pPr>
      <w:r>
        <w:rPr>
          <w:rFonts w:eastAsia="Times New Roman"/>
          <w:color w:val="000000"/>
          <w:sz w:val="20"/>
          <w:szCs w:val="20"/>
        </w:rPr>
        <w:t>CVR Energy’s operations require numerous permits, licenses and authorizations. Failure to comply with</w:t>
      </w:r>
      <w:r>
        <w:rPr>
          <w:rFonts w:eastAsia="Times New Roman"/>
          <w:color w:val="000000"/>
          <w:sz w:val="20"/>
          <w:szCs w:val="20"/>
        </w:rPr>
        <w:t xml:space="preserve"> these permits or environmental laws and regulations could result in fines, penalties or other sanctions or a revocation of CVR Energy’s permits. In addition, the laws and regulations to which CVR Energy is subject to are often evolving and many of them ha</w:t>
      </w:r>
      <w:r>
        <w:rPr>
          <w:rFonts w:eastAsia="Times New Roman"/>
          <w:color w:val="000000"/>
          <w:sz w:val="20"/>
          <w:szCs w:val="20"/>
        </w:rPr>
        <w:t>ve become more stringent or have become subject to more stringent interpretation or enforcement by federal or state agencies. These laws and regulations could result in increased capital, operating and compliance costs.</w:t>
      </w:r>
      <w:r>
        <w:rPr>
          <w:rFonts w:eastAsia="Times New Roman"/>
          <w:color w:val="000000"/>
          <w:sz w:val="20"/>
          <w:szCs w:val="20"/>
        </w:rPr>
        <w:t xml:space="preserve"> </w:t>
      </w:r>
    </w:p>
    <w:p w14:paraId="71126148" w14:textId="77777777" w:rsidR="00000000" w:rsidRDefault="00195E73">
      <w:pPr>
        <w:ind w:firstLine="405"/>
        <w:divId w:val="1590429602"/>
        <w:rPr>
          <w:rFonts w:eastAsia="Times New Roman"/>
        </w:rPr>
      </w:pPr>
      <w:r>
        <w:rPr>
          <w:rFonts w:eastAsia="Times New Roman"/>
          <w:color w:val="000000"/>
          <w:sz w:val="20"/>
          <w:szCs w:val="20"/>
        </w:rPr>
        <w:t>CVR Energy’s businesses are also su</w:t>
      </w:r>
      <w:r>
        <w:rPr>
          <w:rFonts w:eastAsia="Times New Roman"/>
          <w:color w:val="000000"/>
          <w:sz w:val="20"/>
          <w:szCs w:val="20"/>
        </w:rPr>
        <w:t>bject to, or impacted by, various other environmental laws and regulations such as the federal Clean Air Act, the federal Clean Water Act, release reporting requirements relating to the release of hazardous substances into the environment, certain fuel reg</w:t>
      </w:r>
      <w:r>
        <w:rPr>
          <w:rFonts w:eastAsia="Times New Roman"/>
          <w:color w:val="000000"/>
          <w:sz w:val="20"/>
          <w:szCs w:val="20"/>
        </w:rPr>
        <w:t>ulations, renewable fuel standards, as discussed below, and various other laws and regulations.</w:t>
      </w:r>
      <w:r>
        <w:rPr>
          <w:rFonts w:eastAsia="Times New Roman"/>
          <w:color w:val="000000"/>
          <w:sz w:val="20"/>
          <w:szCs w:val="20"/>
        </w:rPr>
        <w:t xml:space="preserve"> </w:t>
      </w:r>
    </w:p>
    <w:p w14:paraId="692AEF61" w14:textId="77777777" w:rsidR="00000000" w:rsidRDefault="00195E73">
      <w:pPr>
        <w:divId w:val="1790123223"/>
        <w:rPr>
          <w:rFonts w:eastAsia="Times New Roman"/>
        </w:rPr>
      </w:pPr>
      <w:r>
        <w:rPr>
          <w:rFonts w:eastAsia="Times New Roman"/>
          <w:i/>
          <w:iCs/>
          <w:color w:val="000000"/>
          <w:sz w:val="20"/>
          <w:szCs w:val="20"/>
        </w:rPr>
        <w:t>Renewable Fuel Standard</w:t>
      </w:r>
      <w:r>
        <w:rPr>
          <w:rFonts w:eastAsia="Times New Roman"/>
          <w:i/>
          <w:iCs/>
          <w:color w:val="000000"/>
          <w:sz w:val="20"/>
          <w:szCs w:val="20"/>
        </w:rPr>
        <w:t>s</w:t>
      </w:r>
    </w:p>
    <w:p w14:paraId="2F2E4F8E" w14:textId="77777777" w:rsidR="00000000" w:rsidRDefault="00195E73">
      <w:pPr>
        <w:ind w:firstLine="450"/>
        <w:divId w:val="1769958138"/>
        <w:rPr>
          <w:rFonts w:eastAsia="Times New Roman"/>
        </w:rPr>
      </w:pPr>
      <w:r>
        <w:rPr>
          <w:rFonts w:eastAsia="Times New Roman"/>
          <w:color w:val="000000"/>
          <w:sz w:val="20"/>
          <w:szCs w:val="20"/>
        </w:rPr>
        <w:t>CVR Refining is subject to the renewable fuel standards which requires refiners to either blend “renewable fuels” with their transport</w:t>
      </w:r>
      <w:r>
        <w:rPr>
          <w:rFonts w:eastAsia="Times New Roman"/>
          <w:color w:val="000000"/>
          <w:sz w:val="20"/>
          <w:szCs w:val="20"/>
        </w:rPr>
        <w:t>ation fuels or purchase renewable fuel credits, known as renewable identification numbers, in lieu of blending. See Item 1A, “Risk Factors” and Note 18, “Commitments and Contingencies,” to the consolidated financial statements for further discussion</w:t>
      </w:r>
      <w:r>
        <w:rPr>
          <w:rFonts w:eastAsia="Times New Roman"/>
          <w:color w:val="000000"/>
          <w:sz w:val="20"/>
          <w:szCs w:val="20"/>
        </w:rPr>
        <w:t>.</w:t>
      </w:r>
    </w:p>
    <w:p w14:paraId="1EAEC2F8" w14:textId="77777777" w:rsidR="00000000" w:rsidRDefault="00195E73">
      <w:pPr>
        <w:divId w:val="858930322"/>
        <w:rPr>
          <w:rFonts w:eastAsia="Times New Roman"/>
        </w:rPr>
      </w:pPr>
    </w:p>
    <w:p w14:paraId="317A6967" w14:textId="77777777" w:rsidR="00000000" w:rsidRDefault="00195E73">
      <w:pPr>
        <w:jc w:val="center"/>
        <w:divId w:val="1502693999"/>
        <w:rPr>
          <w:rFonts w:eastAsia="Times New Roman"/>
        </w:rPr>
      </w:pPr>
      <w:r>
        <w:rPr>
          <w:rFonts w:eastAsia="Times New Roman"/>
          <w:color w:val="000000"/>
          <w:sz w:val="20"/>
          <w:szCs w:val="20"/>
        </w:rPr>
        <w:t>6</w:t>
      </w:r>
    </w:p>
    <w:p w14:paraId="402A6EEF" w14:textId="77777777" w:rsidR="00000000" w:rsidRDefault="00195E73">
      <w:pPr>
        <w:rPr>
          <w:rFonts w:eastAsia="Times New Roman"/>
        </w:rPr>
      </w:pPr>
      <w:r>
        <w:rPr>
          <w:rFonts w:eastAsia="Times New Roman"/>
        </w:rPr>
        <w:pict w14:anchorId="5CE766D8">
          <v:rect id="_x0000_i1032" style="width:0;height:1.5pt" o:hralign="center" o:hrstd="t" o:hr="t" fillcolor="#a0a0a0" stroked="f"/>
        </w:pict>
      </w:r>
    </w:p>
    <w:p w14:paraId="36EE8A7C" w14:textId="77777777" w:rsidR="00000000" w:rsidRDefault="00195E73">
      <w:pPr>
        <w:divId w:val="424962653"/>
        <w:rPr>
          <w:rFonts w:eastAsia="Times New Roman"/>
        </w:rPr>
      </w:pPr>
    </w:p>
    <w:p w14:paraId="784391B5" w14:textId="77777777" w:rsidR="00000000" w:rsidRDefault="00195E73">
      <w:pPr>
        <w:divId w:val="552086149"/>
        <w:rPr>
          <w:rFonts w:eastAsia="Times New Roman"/>
        </w:rPr>
      </w:pPr>
      <w:r>
        <w:rPr>
          <w:rFonts w:eastAsia="Times New Roman"/>
          <w:i/>
          <w:iCs/>
          <w:color w:val="000000"/>
          <w:sz w:val="20"/>
          <w:szCs w:val="20"/>
        </w:rPr>
        <w:t>Health, Safety and Security Matter</w:t>
      </w:r>
      <w:r>
        <w:rPr>
          <w:rFonts w:eastAsia="Times New Roman"/>
          <w:i/>
          <w:iCs/>
          <w:color w:val="000000"/>
          <w:sz w:val="20"/>
          <w:szCs w:val="20"/>
        </w:rPr>
        <w:t>s</w:t>
      </w:r>
    </w:p>
    <w:p w14:paraId="5339C4B7" w14:textId="77777777" w:rsidR="00000000" w:rsidRDefault="00195E73">
      <w:pPr>
        <w:ind w:firstLine="450"/>
        <w:divId w:val="1359164635"/>
        <w:rPr>
          <w:rFonts w:eastAsia="Times New Roman"/>
        </w:rPr>
      </w:pPr>
      <w:r>
        <w:rPr>
          <w:rFonts w:eastAsia="Times New Roman"/>
          <w:color w:val="000000"/>
          <w:sz w:val="20"/>
          <w:szCs w:val="20"/>
        </w:rPr>
        <w:t>CVR Energy is subject to a number of federal and state laws and regulations related to safety, including the Occupational Safety and Health Act ("OSHA") and comparable state statutes</w:t>
      </w:r>
      <w:r>
        <w:rPr>
          <w:rFonts w:eastAsia="Times New Roman"/>
          <w:color w:val="000000"/>
          <w:sz w:val="20"/>
          <w:szCs w:val="20"/>
        </w:rPr>
        <w:t>, the purpose of which are to protect the health and safety of workers. CVR Energy is also subject to OSHA Process Safety Management regulations, which are designed to prevent or minimize the consequences of catastrophic releases of toxic, reactive, flamma</w:t>
      </w:r>
      <w:r>
        <w:rPr>
          <w:rFonts w:eastAsia="Times New Roman"/>
          <w:color w:val="000000"/>
          <w:sz w:val="20"/>
          <w:szCs w:val="20"/>
        </w:rPr>
        <w:t>ble or explosive chemicals.</w:t>
      </w:r>
      <w:r>
        <w:rPr>
          <w:rFonts w:eastAsia="Times New Roman"/>
          <w:color w:val="000000"/>
          <w:sz w:val="20"/>
          <w:szCs w:val="20"/>
        </w:rPr>
        <w:t xml:space="preserve"> </w:t>
      </w:r>
    </w:p>
    <w:p w14:paraId="6A3C72F9" w14:textId="77777777" w:rsidR="00000000" w:rsidRDefault="00195E73">
      <w:pPr>
        <w:ind w:firstLine="450"/>
        <w:divId w:val="1563441804"/>
        <w:rPr>
          <w:rFonts w:eastAsia="Times New Roman"/>
        </w:rPr>
      </w:pPr>
      <w:r>
        <w:rPr>
          <w:rFonts w:eastAsia="Times New Roman"/>
          <w:color w:val="000000"/>
          <w:sz w:val="20"/>
          <w:szCs w:val="20"/>
        </w:rPr>
        <w:t>CVR Energy operates a comprehensive safety, health and security program, with participation by employees at all levels of the organization. They have developed comprehensive safety programs aimed at preventing OSHA recordable i</w:t>
      </w:r>
      <w:r>
        <w:rPr>
          <w:rFonts w:eastAsia="Times New Roman"/>
          <w:color w:val="000000"/>
          <w:sz w:val="20"/>
          <w:szCs w:val="20"/>
        </w:rPr>
        <w:t xml:space="preserve">ncidents. Despite CVR Energy’s efforts to achieve excellence in its safety and health performance, there can be no assurances that there will not be accidents resulting in injuries or even fatalities. CVR Energy routinely audits its programs and considers </w:t>
      </w:r>
      <w:r>
        <w:rPr>
          <w:rFonts w:eastAsia="Times New Roman"/>
          <w:color w:val="000000"/>
          <w:sz w:val="20"/>
          <w:szCs w:val="20"/>
        </w:rPr>
        <w:t>improvements in its management systems</w:t>
      </w:r>
      <w:r>
        <w:rPr>
          <w:rFonts w:eastAsia="Times New Roman"/>
          <w:color w:val="000000"/>
          <w:sz w:val="20"/>
          <w:szCs w:val="20"/>
        </w:rPr>
        <w:t>.</w:t>
      </w:r>
    </w:p>
    <w:p w14:paraId="2C13BA23" w14:textId="77777777" w:rsidR="00000000" w:rsidRDefault="00195E73">
      <w:pPr>
        <w:divId w:val="904874055"/>
        <w:rPr>
          <w:rFonts w:eastAsia="Times New Roman"/>
        </w:rPr>
      </w:pPr>
      <w:r>
        <w:rPr>
          <w:rFonts w:eastAsia="Times New Roman"/>
          <w:b/>
          <w:bCs/>
          <w:i/>
          <w:iCs/>
          <w:color w:val="000000"/>
          <w:sz w:val="20"/>
          <w:szCs w:val="20"/>
        </w:rPr>
        <w:t>Automotiv</w:t>
      </w:r>
      <w:r>
        <w:rPr>
          <w:rFonts w:eastAsia="Times New Roman"/>
          <w:b/>
          <w:bCs/>
          <w:i/>
          <w:iCs/>
          <w:color w:val="000000"/>
          <w:sz w:val="20"/>
          <w:szCs w:val="20"/>
        </w:rPr>
        <w:t>e</w:t>
      </w:r>
    </w:p>
    <w:p w14:paraId="0BD897FA" w14:textId="77777777" w:rsidR="00000000" w:rsidRDefault="00195E73">
      <w:pPr>
        <w:ind w:firstLine="450"/>
        <w:divId w:val="1681539488"/>
        <w:rPr>
          <w:rFonts w:eastAsia="Times New Roman"/>
        </w:rPr>
      </w:pPr>
      <w:r>
        <w:rPr>
          <w:rFonts w:eastAsia="Times New Roman"/>
          <w:color w:val="000000"/>
          <w:sz w:val="20"/>
          <w:szCs w:val="20"/>
        </w:rPr>
        <w:t>We conduct our Automotive segment through our wholly owned subsidiary, Icahn Automotive Group LLC (“Icahn Automotive”). Icahn Automotive is headquartered in Kennesaw, Georgia.</w:t>
      </w:r>
      <w:r>
        <w:rPr>
          <w:rFonts w:eastAsia="Times New Roman"/>
          <w:color w:val="000000"/>
          <w:sz w:val="20"/>
          <w:szCs w:val="20"/>
        </w:rPr>
        <w:t xml:space="preserve"> </w:t>
      </w:r>
    </w:p>
    <w:p w14:paraId="0F4AFB55" w14:textId="77777777" w:rsidR="00000000" w:rsidRDefault="00195E73">
      <w:pPr>
        <w:ind w:firstLine="450"/>
        <w:divId w:val="936600712"/>
        <w:rPr>
          <w:rFonts w:eastAsia="Times New Roman"/>
        </w:rPr>
      </w:pPr>
      <w:r>
        <w:rPr>
          <w:rFonts w:eastAsia="Times New Roman"/>
          <w:color w:val="000000"/>
          <w:sz w:val="20"/>
          <w:szCs w:val="20"/>
        </w:rPr>
        <w:t xml:space="preserve">Icahn Automotive was formed </w:t>
      </w:r>
      <w:r>
        <w:rPr>
          <w:rFonts w:eastAsia="Times New Roman"/>
          <w:color w:val="000000"/>
          <w:sz w:val="20"/>
          <w:szCs w:val="20"/>
        </w:rPr>
        <w:t>by us to invest in and operate businesses involved in automotive repair and maintenance services (“automotive services”) as well as the distribution and sale of automotive aftermarket parts and accessories to end-user do-it-yourself customers, wholesale di</w:t>
      </w:r>
      <w:r>
        <w:rPr>
          <w:rFonts w:eastAsia="Times New Roman"/>
          <w:color w:val="000000"/>
          <w:sz w:val="20"/>
          <w:szCs w:val="20"/>
        </w:rPr>
        <w:t xml:space="preserve">stributors, and professional auto mechanics (“aftermarket parts”). Icahn Automotive acquired IEH Auto Parts Holding LLC in 2015, The Pep Boys - Manny, Moe &amp; Jack in 2016, the franchise businesses of Precision Tune Auto Care and American Driveline Systems, </w:t>
      </w:r>
      <w:r>
        <w:rPr>
          <w:rFonts w:eastAsia="Times New Roman"/>
          <w:color w:val="000000"/>
          <w:sz w:val="20"/>
          <w:szCs w:val="20"/>
        </w:rPr>
        <w:t>the franchisor of AAMCO and Cottman Transmission service centers, in 2017, and various other businesses in recent years</w:t>
      </w:r>
      <w:r>
        <w:rPr>
          <w:rFonts w:eastAsia="Times New Roman"/>
          <w:color w:val="000000"/>
          <w:sz w:val="20"/>
          <w:szCs w:val="20"/>
        </w:rPr>
        <w:t>.</w:t>
      </w:r>
    </w:p>
    <w:p w14:paraId="4A98B77B" w14:textId="77777777" w:rsidR="00000000" w:rsidRDefault="00195E73">
      <w:pPr>
        <w:ind w:firstLine="405"/>
        <w:divId w:val="1379934354"/>
        <w:rPr>
          <w:rFonts w:eastAsia="Times New Roman"/>
        </w:rPr>
      </w:pPr>
      <w:r>
        <w:rPr>
          <w:rFonts w:eastAsia="Times New Roman"/>
          <w:color w:val="000000"/>
          <w:sz w:val="20"/>
          <w:szCs w:val="20"/>
        </w:rPr>
        <w:t>Icahn Automotive’s automotive services and aftermarket parts businesses serve different customer channels and have distinct strategies,</w:t>
      </w:r>
      <w:r>
        <w:rPr>
          <w:rFonts w:eastAsia="Times New Roman"/>
          <w:color w:val="000000"/>
          <w:sz w:val="20"/>
          <w:szCs w:val="20"/>
        </w:rPr>
        <w:t xml:space="preserve"> opportunities and requirements. As a result, the board of directors of Icahn Automotive has approved the separation of its aftermarket parts and automotive services businesses into two independent operating companies, each with its own Chief Executive Off</w:t>
      </w:r>
      <w:r>
        <w:rPr>
          <w:rFonts w:eastAsia="Times New Roman"/>
          <w:color w:val="000000"/>
          <w:sz w:val="20"/>
          <w:szCs w:val="20"/>
        </w:rPr>
        <w:t>icer and management teams, and both of which are supported by a central shared service group. Our Automotive segment also includes our separate equity method investment in 767 Auto Leasing LLC (“767 Leasing”), a joint venture created by us to purchase vehi</w:t>
      </w:r>
      <w:r>
        <w:rPr>
          <w:rFonts w:eastAsia="Times New Roman"/>
          <w:color w:val="000000"/>
          <w:sz w:val="20"/>
          <w:szCs w:val="20"/>
        </w:rPr>
        <w:t>cles for lease. Although 767 Leasing is separate from Icahn Automotive, we include it as a component of our Automotive segment due to the nature of the joint venture activities.</w:t>
      </w:r>
      <w:r>
        <w:rPr>
          <w:rFonts w:eastAsia="Times New Roman"/>
          <w:color w:val="000000"/>
          <w:sz w:val="20"/>
          <w:szCs w:val="20"/>
        </w:rPr>
        <w:t xml:space="preserve"> </w:t>
      </w:r>
    </w:p>
    <w:p w14:paraId="5FC3CE16" w14:textId="77777777" w:rsidR="00000000" w:rsidRDefault="00195E73">
      <w:pPr>
        <w:ind w:firstLine="405"/>
        <w:divId w:val="390344433"/>
        <w:rPr>
          <w:rFonts w:eastAsia="Times New Roman"/>
        </w:rPr>
      </w:pPr>
      <w:r>
        <w:rPr>
          <w:rFonts w:eastAsia="Times New Roman"/>
          <w:color w:val="000000"/>
          <w:sz w:val="20"/>
          <w:szCs w:val="20"/>
        </w:rPr>
        <w:t>Our Automotive segment’s net sales for the years ended December 31, 2019, 201</w:t>
      </w:r>
      <w:r>
        <w:rPr>
          <w:rFonts w:eastAsia="Times New Roman"/>
          <w:color w:val="000000"/>
          <w:sz w:val="20"/>
          <w:szCs w:val="20"/>
        </w:rPr>
        <w:t>8 and 2017 represented approximately 24%, 22% and 24%, respectively, of our consolidated net sales</w:t>
      </w:r>
      <w:r>
        <w:rPr>
          <w:rFonts w:eastAsia="Times New Roman"/>
          <w:color w:val="000000"/>
          <w:sz w:val="20"/>
          <w:szCs w:val="20"/>
        </w:rPr>
        <w:t>.</w:t>
      </w:r>
    </w:p>
    <w:p w14:paraId="75C60B1D" w14:textId="77777777" w:rsidR="00000000" w:rsidRDefault="00195E73">
      <w:pPr>
        <w:jc w:val="both"/>
        <w:divId w:val="1677731044"/>
        <w:rPr>
          <w:rFonts w:eastAsia="Times New Roman"/>
        </w:rPr>
      </w:pPr>
      <w:r>
        <w:rPr>
          <w:rFonts w:eastAsia="Times New Roman"/>
          <w:i/>
          <w:iCs/>
          <w:color w:val="000000"/>
          <w:sz w:val="20"/>
          <w:szCs w:val="20"/>
        </w:rPr>
        <w:t>Products, Services and Customer</w:t>
      </w:r>
      <w:r>
        <w:rPr>
          <w:rFonts w:eastAsia="Times New Roman"/>
          <w:i/>
          <w:iCs/>
          <w:color w:val="000000"/>
          <w:sz w:val="20"/>
          <w:szCs w:val="20"/>
        </w:rPr>
        <w:t>s</w:t>
      </w:r>
    </w:p>
    <w:p w14:paraId="49A551AB" w14:textId="77777777" w:rsidR="00000000" w:rsidRDefault="00195E73">
      <w:pPr>
        <w:ind w:firstLine="405"/>
        <w:divId w:val="1615214845"/>
        <w:rPr>
          <w:rFonts w:eastAsia="Times New Roman"/>
        </w:rPr>
      </w:pPr>
      <w:r>
        <w:rPr>
          <w:rFonts w:eastAsia="Times New Roman"/>
          <w:color w:val="000000"/>
          <w:sz w:val="20"/>
          <w:szCs w:val="20"/>
        </w:rPr>
        <w:t>The automotive aftermarket industry is in the mature stage of its life cycle. Over the past decade, consumers have moved aw</w:t>
      </w:r>
      <w:r>
        <w:rPr>
          <w:rFonts w:eastAsia="Times New Roman"/>
          <w:color w:val="000000"/>
          <w:sz w:val="20"/>
          <w:szCs w:val="20"/>
        </w:rPr>
        <w:t>ay from do-it-yourself (retail) toward do-it-for-me (services) due to increasing vehicle complexity and electronic content, as well as decreasing availability of diagnostic equipment and know-how. Consistent with this long-term trend, Icahn Automotive’s lo</w:t>
      </w:r>
      <w:r>
        <w:rPr>
          <w:rFonts w:eastAsia="Times New Roman"/>
          <w:color w:val="000000"/>
          <w:sz w:val="20"/>
          <w:szCs w:val="20"/>
        </w:rPr>
        <w:t>ng-term strategy is to grow its commercial parts sales to automotive services businesses as well to grow its own automotive service business, while maintaining its retail parts customer bases by offering the newest and broadest product assortment in the au</w:t>
      </w:r>
      <w:r>
        <w:rPr>
          <w:rFonts w:eastAsia="Times New Roman"/>
          <w:color w:val="000000"/>
          <w:sz w:val="20"/>
          <w:szCs w:val="20"/>
        </w:rPr>
        <w:t>tomotive aftermarket. Icahn Automotive provides its customers with access to over two million replacement parts for domestic and imported vehicles through an extensive network of suppliers. Icahn Automotive seeks to provide (i) an extensive selection of pr</w:t>
      </w:r>
      <w:r>
        <w:rPr>
          <w:rFonts w:eastAsia="Times New Roman"/>
          <w:color w:val="000000"/>
          <w:sz w:val="20"/>
          <w:szCs w:val="20"/>
        </w:rPr>
        <w:t>oduct offerings, (ii) competitive pricing, (iii) exceptional in-store service experience and (iv) superior delivery to its customers</w:t>
      </w:r>
      <w:r>
        <w:rPr>
          <w:rFonts w:eastAsia="Times New Roman"/>
          <w:color w:val="000000"/>
          <w:sz w:val="20"/>
          <w:szCs w:val="20"/>
        </w:rPr>
        <w:t>.</w:t>
      </w:r>
    </w:p>
    <w:p w14:paraId="663AE9F5" w14:textId="77777777" w:rsidR="00000000" w:rsidRDefault="00195E73">
      <w:pPr>
        <w:jc w:val="both"/>
        <w:divId w:val="1322343524"/>
        <w:rPr>
          <w:rFonts w:eastAsia="Times New Roman"/>
        </w:rPr>
      </w:pPr>
      <w:r>
        <w:rPr>
          <w:rFonts w:eastAsia="Times New Roman"/>
          <w:i/>
          <w:iCs/>
          <w:color w:val="000000"/>
          <w:sz w:val="20"/>
          <w:szCs w:val="20"/>
        </w:rPr>
        <w:t>Supplier</w:t>
      </w:r>
      <w:r>
        <w:rPr>
          <w:rFonts w:eastAsia="Times New Roman"/>
          <w:i/>
          <w:iCs/>
          <w:color w:val="000000"/>
          <w:sz w:val="20"/>
          <w:szCs w:val="20"/>
        </w:rPr>
        <w:t>s</w:t>
      </w:r>
    </w:p>
    <w:p w14:paraId="7D2E37DD" w14:textId="77777777" w:rsidR="00000000" w:rsidRDefault="00195E73">
      <w:pPr>
        <w:ind w:firstLine="450"/>
        <w:jc w:val="both"/>
        <w:divId w:val="329217216"/>
        <w:rPr>
          <w:rFonts w:eastAsia="Times New Roman"/>
        </w:rPr>
      </w:pPr>
      <w:r>
        <w:rPr>
          <w:rFonts w:eastAsia="Times New Roman"/>
          <w:color w:val="000000"/>
          <w:sz w:val="20"/>
          <w:szCs w:val="20"/>
        </w:rPr>
        <w:t>Icahn Automotive purchases parts from manufacturers and other distributors for sale in the aftermarket. Purchase</w:t>
      </w:r>
      <w:r>
        <w:rPr>
          <w:rFonts w:eastAsia="Times New Roman"/>
          <w:color w:val="000000"/>
          <w:sz w:val="20"/>
          <w:szCs w:val="20"/>
        </w:rPr>
        <w:t>s are made based on current inventory or operational needs and are fulfilled by suppliers within short periods of time. During 2019, Icahn Automotive’s ten largest suppliers accounted for approximately 46% of the merchandise purchased and two supplier acco</w:t>
      </w:r>
      <w:r>
        <w:rPr>
          <w:rFonts w:eastAsia="Times New Roman"/>
          <w:color w:val="000000"/>
          <w:sz w:val="20"/>
          <w:szCs w:val="20"/>
        </w:rPr>
        <w:t>unted for more than 22% of the merchandise purchased. Icahn Automotive believes that the relationships that it has established with its suppliers are generally positive. In the past, Icahn Automotive has not experienced difficulty in obtaining satisfactory</w:t>
      </w:r>
      <w:r>
        <w:rPr>
          <w:rFonts w:eastAsia="Times New Roman"/>
          <w:color w:val="000000"/>
          <w:sz w:val="20"/>
          <w:szCs w:val="20"/>
        </w:rPr>
        <w:t xml:space="preserve"> sources of supply and it believes that adequate alternative sources of supply exist, at similar cost, for the types of merchandise sold in its stores</w:t>
      </w:r>
      <w:r>
        <w:rPr>
          <w:rFonts w:eastAsia="Times New Roman"/>
          <w:color w:val="000000"/>
          <w:sz w:val="20"/>
          <w:szCs w:val="20"/>
        </w:rPr>
        <w:t>.</w:t>
      </w:r>
    </w:p>
    <w:p w14:paraId="71220DA5" w14:textId="77777777" w:rsidR="00000000" w:rsidRDefault="00195E73">
      <w:pPr>
        <w:jc w:val="both"/>
        <w:divId w:val="342711306"/>
        <w:rPr>
          <w:rFonts w:eastAsia="Times New Roman"/>
        </w:rPr>
      </w:pPr>
      <w:r>
        <w:rPr>
          <w:rFonts w:eastAsia="Times New Roman"/>
          <w:i/>
          <w:iCs/>
          <w:color w:val="000000"/>
          <w:sz w:val="20"/>
          <w:szCs w:val="20"/>
        </w:rPr>
        <w:t>Competitio</w:t>
      </w:r>
      <w:r>
        <w:rPr>
          <w:rFonts w:eastAsia="Times New Roman"/>
          <w:i/>
          <w:iCs/>
          <w:color w:val="000000"/>
          <w:sz w:val="20"/>
          <w:szCs w:val="20"/>
        </w:rPr>
        <w:t>n</w:t>
      </w:r>
    </w:p>
    <w:p w14:paraId="42727697" w14:textId="77777777" w:rsidR="00000000" w:rsidRDefault="00195E73">
      <w:pPr>
        <w:ind w:firstLine="450"/>
        <w:jc w:val="both"/>
        <w:divId w:val="424226197"/>
        <w:rPr>
          <w:rFonts w:eastAsia="Times New Roman"/>
        </w:rPr>
      </w:pPr>
      <w:r>
        <w:rPr>
          <w:rFonts w:eastAsia="Times New Roman"/>
          <w:color w:val="000000"/>
          <w:sz w:val="20"/>
          <w:szCs w:val="20"/>
        </w:rPr>
        <w:t>Icahn Automotive operates in a highly competitive environment. Icahn Automotive’s competitor</w:t>
      </w:r>
      <w:r>
        <w:rPr>
          <w:rFonts w:eastAsia="Times New Roman"/>
          <w:color w:val="000000"/>
          <w:sz w:val="20"/>
          <w:szCs w:val="20"/>
        </w:rPr>
        <w:t>s for automotive service include national and regional chains, automotive dealerships, and local independent service providers. Its competitors for distribution and sales of auto parts and accessories include general, full range and discount retailers, nat</w:t>
      </w:r>
      <w:r>
        <w:rPr>
          <w:rFonts w:eastAsia="Times New Roman"/>
          <w:color w:val="000000"/>
          <w:sz w:val="20"/>
          <w:szCs w:val="20"/>
        </w:rPr>
        <w:t>ional and regional auto parts retailers, and online retailers which carry automotive parts and accessories. Icahn Automotive believes that its operations in both do-it-for-me and do-it-yourself differentiates it from most of its competitors</w:t>
      </w:r>
      <w:r>
        <w:rPr>
          <w:rFonts w:eastAsia="Times New Roman"/>
          <w:color w:val="000000"/>
          <w:sz w:val="20"/>
          <w:szCs w:val="20"/>
        </w:rPr>
        <w:t>.</w:t>
      </w:r>
    </w:p>
    <w:p w14:paraId="3C3C5E3D" w14:textId="77777777" w:rsidR="00000000" w:rsidRDefault="00195E73">
      <w:pPr>
        <w:jc w:val="center"/>
        <w:divId w:val="1187014458"/>
        <w:rPr>
          <w:rFonts w:eastAsia="Times New Roman"/>
        </w:rPr>
      </w:pPr>
      <w:r>
        <w:rPr>
          <w:rFonts w:eastAsia="Times New Roman"/>
          <w:color w:val="000000"/>
          <w:sz w:val="20"/>
          <w:szCs w:val="20"/>
        </w:rPr>
        <w:t>7</w:t>
      </w:r>
    </w:p>
    <w:p w14:paraId="72F82CC3" w14:textId="77777777" w:rsidR="00000000" w:rsidRDefault="00195E73">
      <w:pPr>
        <w:rPr>
          <w:rFonts w:eastAsia="Times New Roman"/>
        </w:rPr>
      </w:pPr>
      <w:r>
        <w:rPr>
          <w:rFonts w:eastAsia="Times New Roman"/>
        </w:rPr>
        <w:pict w14:anchorId="3461597E">
          <v:rect id="_x0000_i1033" style="width:0;height:1.5pt" o:hralign="center" o:hrstd="t" o:hr="t" fillcolor="#a0a0a0" stroked="f"/>
        </w:pict>
      </w:r>
    </w:p>
    <w:p w14:paraId="35DA368B" w14:textId="77777777" w:rsidR="00000000" w:rsidRDefault="00195E73">
      <w:pPr>
        <w:divId w:val="1389576782"/>
        <w:rPr>
          <w:rFonts w:eastAsia="Times New Roman"/>
        </w:rPr>
      </w:pPr>
    </w:p>
    <w:p w14:paraId="0F6B3629" w14:textId="77777777" w:rsidR="00000000" w:rsidRDefault="00195E73">
      <w:pPr>
        <w:divId w:val="524052982"/>
        <w:rPr>
          <w:rFonts w:eastAsia="Times New Roman"/>
        </w:rPr>
      </w:pPr>
      <w:r>
        <w:rPr>
          <w:rFonts w:eastAsia="Times New Roman"/>
          <w:b/>
          <w:bCs/>
          <w:i/>
          <w:iCs/>
          <w:color w:val="000000"/>
          <w:sz w:val="20"/>
          <w:szCs w:val="20"/>
        </w:rPr>
        <w:t>Food Packagin</w:t>
      </w:r>
      <w:r>
        <w:rPr>
          <w:rFonts w:eastAsia="Times New Roman"/>
          <w:b/>
          <w:bCs/>
          <w:i/>
          <w:iCs/>
          <w:color w:val="000000"/>
          <w:sz w:val="20"/>
          <w:szCs w:val="20"/>
        </w:rPr>
        <w:t>g</w:t>
      </w:r>
    </w:p>
    <w:p w14:paraId="1F097732" w14:textId="77777777" w:rsidR="00000000" w:rsidRDefault="00195E73">
      <w:pPr>
        <w:ind w:firstLine="405"/>
        <w:divId w:val="920329157"/>
        <w:rPr>
          <w:rFonts w:eastAsia="Times New Roman"/>
        </w:rPr>
      </w:pPr>
      <w:r>
        <w:rPr>
          <w:rFonts w:eastAsia="Times New Roman"/>
          <w:color w:val="000000"/>
          <w:sz w:val="20"/>
          <w:szCs w:val="20"/>
        </w:rPr>
        <w:t>We conduct our Food Packaging segment through our majority owned subsidiary, Viskase Companies, Inc. (“Viskase”</w:t>
      </w:r>
      <w:r>
        <w:rPr>
          <w:rFonts w:eastAsia="Times New Roman"/>
          <w:color w:val="000000"/>
          <w:sz w:val="20"/>
          <w:szCs w:val="20"/>
        </w:rPr>
        <w:t>). Viskase is headquartered in Lombard, Illinois. We acquired a controlling interest in Viskase in 2010 from affiliates of Mr. Icahn in a common control transaction. In January 2018, we increased our ownership in Viskase as a result of a rights offering an</w:t>
      </w:r>
      <w:r>
        <w:rPr>
          <w:rFonts w:eastAsia="Times New Roman"/>
          <w:color w:val="000000"/>
          <w:sz w:val="20"/>
          <w:szCs w:val="20"/>
        </w:rPr>
        <w:t>d as of December 31, 2019, we owned approximately 78.6% of the total outstanding common stock of Viskase. Viskase is a producer of cellulosic, fibrous and plastic casings used to prepare and package processed meat products. Approximately 69% of Viskase’s n</w:t>
      </w:r>
      <w:r>
        <w:rPr>
          <w:rFonts w:eastAsia="Times New Roman"/>
          <w:color w:val="000000"/>
          <w:sz w:val="20"/>
          <w:szCs w:val="20"/>
        </w:rPr>
        <w:t>et sales during 2019 were derived from customers outside the United States</w:t>
      </w:r>
      <w:r>
        <w:rPr>
          <w:rFonts w:eastAsia="Times New Roman"/>
          <w:color w:val="000000"/>
          <w:sz w:val="20"/>
          <w:szCs w:val="20"/>
        </w:rPr>
        <w:t>.</w:t>
      </w:r>
    </w:p>
    <w:p w14:paraId="492E8AC3" w14:textId="77777777" w:rsidR="00000000" w:rsidRDefault="00195E73">
      <w:pPr>
        <w:divId w:val="1733773007"/>
        <w:rPr>
          <w:rFonts w:eastAsia="Times New Roman"/>
        </w:rPr>
      </w:pPr>
      <w:r>
        <w:rPr>
          <w:rFonts w:eastAsia="Times New Roman"/>
          <w:b/>
          <w:bCs/>
          <w:i/>
          <w:iCs/>
          <w:color w:val="000000"/>
          <w:sz w:val="20"/>
          <w:szCs w:val="20"/>
        </w:rPr>
        <w:t>Metal</w:t>
      </w:r>
      <w:r>
        <w:rPr>
          <w:rFonts w:eastAsia="Times New Roman"/>
          <w:b/>
          <w:bCs/>
          <w:i/>
          <w:iCs/>
          <w:color w:val="000000"/>
          <w:sz w:val="20"/>
          <w:szCs w:val="20"/>
        </w:rPr>
        <w:t>s</w:t>
      </w:r>
    </w:p>
    <w:p w14:paraId="198E2D43" w14:textId="77777777" w:rsidR="00000000" w:rsidRDefault="00195E73">
      <w:pPr>
        <w:ind w:firstLine="450"/>
        <w:divId w:val="168645921"/>
        <w:rPr>
          <w:rFonts w:eastAsia="Times New Roman"/>
        </w:rPr>
      </w:pPr>
      <w:r>
        <w:rPr>
          <w:rFonts w:eastAsia="Times New Roman"/>
          <w:color w:val="000000"/>
          <w:sz w:val="20"/>
          <w:szCs w:val="20"/>
        </w:rPr>
        <w:t>We conduct our Metals segment through our wholly owned subsidiary, PSC Metals, LLC (“PSC Metals”). PSC Metals is headquartered in Mayfield Heights, Ohio. We acquired PSC Met</w:t>
      </w:r>
      <w:r>
        <w:rPr>
          <w:rFonts w:eastAsia="Times New Roman"/>
          <w:color w:val="000000"/>
          <w:sz w:val="20"/>
          <w:szCs w:val="20"/>
        </w:rPr>
        <w:t>als in 2007 from affiliates of Mr. Icahn in a common control transaction. PSC Metals is principally engaged in the business of collecting, processing and selling ferrous and non-ferrous metals, as well as the processing and distribution of steel pipe and p</w:t>
      </w:r>
      <w:r>
        <w:rPr>
          <w:rFonts w:eastAsia="Times New Roman"/>
          <w:color w:val="000000"/>
          <w:sz w:val="20"/>
          <w:szCs w:val="20"/>
        </w:rPr>
        <w:t>late products. PSC Metals collects industrial and obsolete scrap metal, processes it into reusable forms and supplies the recycled metals to its customer</w:t>
      </w:r>
      <w:r>
        <w:rPr>
          <w:rFonts w:eastAsia="Times New Roman"/>
          <w:color w:val="000000"/>
          <w:sz w:val="20"/>
          <w:szCs w:val="20"/>
        </w:rPr>
        <w:t>s</w:t>
      </w:r>
      <w:r>
        <w:rPr>
          <w:rFonts w:eastAsia="Times New Roman"/>
          <w:i/>
          <w:iCs/>
          <w:color w:val="000000"/>
          <w:sz w:val="20"/>
          <w:szCs w:val="20"/>
        </w:rPr>
        <w:t>.</w:t>
      </w:r>
    </w:p>
    <w:p w14:paraId="7E6B35AF" w14:textId="77777777" w:rsidR="00000000" w:rsidRDefault="00195E73">
      <w:pPr>
        <w:divId w:val="21826982"/>
        <w:rPr>
          <w:rFonts w:eastAsia="Times New Roman"/>
        </w:rPr>
      </w:pPr>
      <w:r>
        <w:rPr>
          <w:rFonts w:eastAsia="Times New Roman"/>
          <w:b/>
          <w:bCs/>
          <w:i/>
          <w:iCs/>
          <w:color w:val="000000"/>
          <w:sz w:val="20"/>
          <w:szCs w:val="20"/>
        </w:rPr>
        <w:t>Real Estat</w:t>
      </w:r>
      <w:r>
        <w:rPr>
          <w:rFonts w:eastAsia="Times New Roman"/>
          <w:b/>
          <w:bCs/>
          <w:i/>
          <w:iCs/>
          <w:color w:val="000000"/>
          <w:sz w:val="20"/>
          <w:szCs w:val="20"/>
        </w:rPr>
        <w:t>e</w:t>
      </w:r>
    </w:p>
    <w:p w14:paraId="71F76C50" w14:textId="77777777" w:rsidR="00000000" w:rsidRDefault="00195E73">
      <w:pPr>
        <w:ind w:firstLine="405"/>
        <w:divId w:val="931086611"/>
        <w:rPr>
          <w:rFonts w:eastAsia="Times New Roman"/>
        </w:rPr>
      </w:pPr>
      <w:r>
        <w:rPr>
          <w:rFonts w:eastAsia="Times New Roman"/>
          <w:color w:val="000000"/>
          <w:sz w:val="20"/>
          <w:szCs w:val="20"/>
        </w:rPr>
        <w:t>Our Real Estate segment is headquartered in New York, New York. Our Real Estate operations consist primarily of rental real estate, property development and associated club activities. Our rental real estate operations consist primarily of office and indus</w:t>
      </w:r>
      <w:r>
        <w:rPr>
          <w:rFonts w:eastAsia="Times New Roman"/>
          <w:color w:val="000000"/>
          <w:sz w:val="20"/>
          <w:szCs w:val="20"/>
        </w:rPr>
        <w:t>trial properties leased to single corporate tenants. Our property development operations are run primarily through a real estate investment, management and development subsidiary that focuses primarily on the construction and sale of single-family and mult</w:t>
      </w:r>
      <w:r>
        <w:rPr>
          <w:rFonts w:eastAsia="Times New Roman"/>
          <w:color w:val="000000"/>
          <w:sz w:val="20"/>
          <w:szCs w:val="20"/>
        </w:rPr>
        <w:t>i-family homes, lots in subdivisions and planned communities, and raw land for residential development. Our property development locations also operate golf and club operations. In addition, our Real Estate operations also includes a hotel, timeshare and c</w:t>
      </w:r>
      <w:r>
        <w:rPr>
          <w:rFonts w:eastAsia="Times New Roman"/>
          <w:color w:val="000000"/>
          <w:sz w:val="20"/>
          <w:szCs w:val="20"/>
        </w:rPr>
        <w:t>asino resort property in Aruba as well as a casino property in Atlantic City, New Jersey, which ceased operations in 2014 prior to our obtaining control of the property</w:t>
      </w:r>
      <w:r>
        <w:rPr>
          <w:rFonts w:eastAsia="Times New Roman"/>
          <w:color w:val="000000"/>
          <w:sz w:val="20"/>
          <w:szCs w:val="20"/>
        </w:rPr>
        <w:t>.</w:t>
      </w:r>
    </w:p>
    <w:p w14:paraId="3C032F13" w14:textId="77777777" w:rsidR="00000000" w:rsidRDefault="00195E73">
      <w:pPr>
        <w:divId w:val="292758040"/>
        <w:rPr>
          <w:rFonts w:eastAsia="Times New Roman"/>
        </w:rPr>
      </w:pPr>
      <w:r>
        <w:rPr>
          <w:rFonts w:eastAsia="Times New Roman"/>
          <w:b/>
          <w:bCs/>
          <w:i/>
          <w:iCs/>
          <w:color w:val="000000"/>
          <w:sz w:val="20"/>
          <w:szCs w:val="20"/>
        </w:rPr>
        <w:t>Home Fashio</w:t>
      </w:r>
      <w:r>
        <w:rPr>
          <w:rFonts w:eastAsia="Times New Roman"/>
          <w:b/>
          <w:bCs/>
          <w:i/>
          <w:iCs/>
          <w:color w:val="000000"/>
          <w:sz w:val="20"/>
          <w:szCs w:val="20"/>
        </w:rPr>
        <w:t>n</w:t>
      </w:r>
    </w:p>
    <w:p w14:paraId="6131C909" w14:textId="77777777" w:rsidR="00000000" w:rsidRDefault="00195E73">
      <w:pPr>
        <w:ind w:firstLine="405"/>
        <w:divId w:val="182597426"/>
        <w:rPr>
          <w:rFonts w:eastAsia="Times New Roman"/>
        </w:rPr>
      </w:pPr>
      <w:r>
        <w:rPr>
          <w:rFonts w:eastAsia="Times New Roman"/>
          <w:color w:val="000000"/>
          <w:sz w:val="20"/>
          <w:szCs w:val="20"/>
        </w:rPr>
        <w:t xml:space="preserve">We conduct our Home Fashion segment through our wholly owned subsidiary, </w:t>
      </w:r>
      <w:r>
        <w:rPr>
          <w:rFonts w:eastAsia="Times New Roman"/>
          <w:color w:val="000000"/>
          <w:sz w:val="20"/>
          <w:szCs w:val="20"/>
        </w:rPr>
        <w:t>WestPoint Home LLC (“WPH”). WPH is headquartered in New York, New York. We acquired a controlling interest in WPH out of bankruptcy in 2005 and became sole owner of WPH in 2011. WPH’s business consists of manufacturing, sourcing, marketing, distributing an</w:t>
      </w:r>
      <w:r>
        <w:rPr>
          <w:rFonts w:eastAsia="Times New Roman"/>
          <w:color w:val="000000"/>
          <w:sz w:val="20"/>
          <w:szCs w:val="20"/>
        </w:rPr>
        <w:t>d selling home fashion consumer products.</w:t>
      </w:r>
      <w:r>
        <w:rPr>
          <w:rFonts w:eastAsia="Times New Roman"/>
          <w:color w:val="000000"/>
          <w:sz w:val="20"/>
          <w:szCs w:val="20"/>
        </w:rPr>
        <w:t xml:space="preserve"> </w:t>
      </w:r>
    </w:p>
    <w:p w14:paraId="4DFA5601" w14:textId="77777777" w:rsidR="00000000" w:rsidRDefault="00195E73">
      <w:pPr>
        <w:divId w:val="8872623"/>
        <w:rPr>
          <w:rFonts w:eastAsia="Times New Roman"/>
        </w:rPr>
      </w:pPr>
      <w:r>
        <w:rPr>
          <w:rFonts w:eastAsia="Times New Roman"/>
          <w:b/>
          <w:bCs/>
          <w:i/>
          <w:iCs/>
          <w:color w:val="000000"/>
          <w:sz w:val="20"/>
          <w:szCs w:val="20"/>
        </w:rPr>
        <w:t>Minin</w:t>
      </w:r>
      <w:r>
        <w:rPr>
          <w:rFonts w:eastAsia="Times New Roman"/>
          <w:b/>
          <w:bCs/>
          <w:i/>
          <w:iCs/>
          <w:color w:val="000000"/>
          <w:sz w:val="20"/>
          <w:szCs w:val="20"/>
        </w:rPr>
        <w:t>g</w:t>
      </w:r>
    </w:p>
    <w:p w14:paraId="17C2483F" w14:textId="77777777" w:rsidR="00000000" w:rsidRDefault="00195E73">
      <w:pPr>
        <w:ind w:firstLine="405"/>
        <w:divId w:val="2137676063"/>
        <w:rPr>
          <w:rFonts w:eastAsia="Times New Roman"/>
        </w:rPr>
      </w:pPr>
      <w:r>
        <w:rPr>
          <w:rFonts w:eastAsia="Times New Roman"/>
          <w:color w:val="000000"/>
          <w:sz w:val="20"/>
          <w:szCs w:val="20"/>
        </w:rPr>
        <w:t>We conducted our Mining segment through our majority owned subsidiary, Ferrous Resources Ltd (“Ferrous Resources”). We acquired a controlling interest in Ferrous Resources in 2015 through a cash tender offe</w:t>
      </w:r>
      <w:r>
        <w:rPr>
          <w:rFonts w:eastAsia="Times New Roman"/>
          <w:color w:val="000000"/>
          <w:sz w:val="20"/>
          <w:szCs w:val="20"/>
        </w:rPr>
        <w:t>r for outstanding shares of Ferrous Resources common stock.</w:t>
      </w:r>
      <w:r>
        <w:rPr>
          <w:rFonts w:eastAsia="Times New Roman"/>
          <w:color w:val="000000"/>
          <w:sz w:val="20"/>
          <w:szCs w:val="20"/>
        </w:rPr>
        <w:t xml:space="preserve"> </w:t>
      </w:r>
    </w:p>
    <w:p w14:paraId="135A513C" w14:textId="77777777" w:rsidR="00000000" w:rsidRDefault="00195E73">
      <w:pPr>
        <w:ind w:firstLine="405"/>
        <w:divId w:val="299651698"/>
        <w:rPr>
          <w:rFonts w:eastAsia="Times New Roman"/>
        </w:rPr>
      </w:pPr>
      <w:r>
        <w:rPr>
          <w:rFonts w:eastAsia="Times New Roman"/>
          <w:color w:val="000000"/>
          <w:sz w:val="20"/>
          <w:szCs w:val="20"/>
        </w:rPr>
        <w:t>On August 1, 2019, we closed on the sale of Ferrous Resources. As a result, we no longer operate an active Mining segment</w:t>
      </w:r>
      <w:r>
        <w:rPr>
          <w:rFonts w:eastAsia="Times New Roman"/>
          <w:color w:val="000000"/>
          <w:sz w:val="20"/>
          <w:szCs w:val="20"/>
        </w:rPr>
        <w:t>.</w:t>
      </w:r>
    </w:p>
    <w:p w14:paraId="0AEB350E" w14:textId="77777777" w:rsidR="00000000" w:rsidRDefault="00195E73">
      <w:pPr>
        <w:divId w:val="268515632"/>
        <w:rPr>
          <w:rFonts w:eastAsia="Times New Roman"/>
        </w:rPr>
      </w:pPr>
      <w:r>
        <w:rPr>
          <w:rFonts w:eastAsia="Times New Roman"/>
          <w:b/>
          <w:bCs/>
          <w:i/>
          <w:iCs/>
          <w:color w:val="000000"/>
          <w:sz w:val="20"/>
          <w:szCs w:val="20"/>
        </w:rPr>
        <w:t>Railca</w:t>
      </w:r>
      <w:r>
        <w:rPr>
          <w:rFonts w:eastAsia="Times New Roman"/>
          <w:b/>
          <w:bCs/>
          <w:i/>
          <w:iCs/>
          <w:color w:val="000000"/>
          <w:sz w:val="20"/>
          <w:szCs w:val="20"/>
        </w:rPr>
        <w:t>r</w:t>
      </w:r>
    </w:p>
    <w:p w14:paraId="7C5F0DC8" w14:textId="77777777" w:rsidR="00000000" w:rsidRDefault="00195E73">
      <w:pPr>
        <w:ind w:firstLine="405"/>
        <w:divId w:val="305083897"/>
        <w:rPr>
          <w:rFonts w:eastAsia="Times New Roman"/>
        </w:rPr>
      </w:pPr>
      <w:r>
        <w:rPr>
          <w:rFonts w:eastAsia="Times New Roman"/>
          <w:color w:val="000000"/>
          <w:sz w:val="20"/>
          <w:szCs w:val="20"/>
        </w:rPr>
        <w:t>We conducted our Railcar segment through our wholly owned subsid</w:t>
      </w:r>
      <w:r>
        <w:rPr>
          <w:rFonts w:eastAsia="Times New Roman"/>
          <w:color w:val="000000"/>
          <w:sz w:val="20"/>
          <w:szCs w:val="20"/>
        </w:rPr>
        <w:t>iary, American Railcar Leasing, LLC (“ARL”). We acquired a controlling interest in ARL in 2010 from affiliates of Mr. Icahn in a common control transaction and acquired the remaining interests in ARL in 2016 from affiliates of Mr. Icahn. ARL operated a lea</w:t>
      </w:r>
      <w:r>
        <w:rPr>
          <w:rFonts w:eastAsia="Times New Roman"/>
          <w:color w:val="000000"/>
          <w:sz w:val="20"/>
          <w:szCs w:val="20"/>
        </w:rPr>
        <w:t>sing business consisting of purchased railcars leased to third parties under operating leases.</w:t>
      </w:r>
      <w:r>
        <w:rPr>
          <w:rFonts w:eastAsia="Times New Roman"/>
          <w:color w:val="000000"/>
          <w:sz w:val="20"/>
          <w:szCs w:val="20"/>
        </w:rPr>
        <w:t xml:space="preserve"> </w:t>
      </w:r>
    </w:p>
    <w:p w14:paraId="65A0BE98" w14:textId="77777777" w:rsidR="00000000" w:rsidRDefault="00195E73">
      <w:pPr>
        <w:ind w:firstLine="405"/>
        <w:divId w:val="711809444"/>
        <w:rPr>
          <w:rFonts w:eastAsia="Times New Roman"/>
        </w:rPr>
      </w:pPr>
      <w:r>
        <w:rPr>
          <w:rFonts w:eastAsia="Times New Roman"/>
          <w:color w:val="000000"/>
          <w:sz w:val="20"/>
          <w:szCs w:val="20"/>
        </w:rPr>
        <w:t>On June 1, 2017 we sold ARL along with a majority of its railcar lease fleet. We sold the remaining railcars previously owned by ARL throughout the remainder of</w:t>
      </w:r>
      <w:r>
        <w:rPr>
          <w:rFonts w:eastAsia="Times New Roman"/>
          <w:color w:val="000000"/>
          <w:sz w:val="20"/>
          <w:szCs w:val="20"/>
        </w:rPr>
        <w:t xml:space="preserve"> 2017 and the first nine months of 2018. As a result, we no longer operate an active Railcar segment</w:t>
      </w:r>
      <w:r>
        <w:rPr>
          <w:rFonts w:eastAsia="Times New Roman"/>
          <w:color w:val="000000"/>
          <w:sz w:val="20"/>
          <w:szCs w:val="20"/>
        </w:rPr>
        <w:t>.</w:t>
      </w:r>
    </w:p>
    <w:p w14:paraId="62BCC0AE" w14:textId="77777777" w:rsidR="00000000" w:rsidRDefault="00195E73">
      <w:pPr>
        <w:divId w:val="102115307"/>
        <w:rPr>
          <w:rFonts w:eastAsia="Times New Roman"/>
        </w:rPr>
      </w:pPr>
      <w:r>
        <w:rPr>
          <w:rFonts w:eastAsia="Times New Roman"/>
          <w:b/>
          <w:bCs/>
          <w:i/>
          <w:iCs/>
          <w:color w:val="000000"/>
          <w:sz w:val="20"/>
          <w:szCs w:val="20"/>
        </w:rPr>
        <w:t>Discontinued Operation</w:t>
      </w:r>
      <w:r>
        <w:rPr>
          <w:rFonts w:eastAsia="Times New Roman"/>
          <w:b/>
          <w:bCs/>
          <w:i/>
          <w:iCs/>
          <w:color w:val="000000"/>
          <w:sz w:val="20"/>
          <w:szCs w:val="20"/>
        </w:rPr>
        <w:t>s</w:t>
      </w:r>
    </w:p>
    <w:p w14:paraId="7E38CFE3" w14:textId="77777777" w:rsidR="00000000" w:rsidRDefault="00195E73">
      <w:pPr>
        <w:ind w:firstLine="405"/>
        <w:divId w:val="29258338"/>
        <w:rPr>
          <w:rFonts w:eastAsia="Times New Roman"/>
        </w:rPr>
      </w:pPr>
      <w:r>
        <w:rPr>
          <w:rFonts w:eastAsia="Times New Roman"/>
          <w:color w:val="000000"/>
          <w:sz w:val="20"/>
          <w:szCs w:val="20"/>
        </w:rPr>
        <w:t>In addition to certain dispositions described above, the following businesses were sold in 2018 and reclassified as discontinued o</w:t>
      </w:r>
      <w:r>
        <w:rPr>
          <w:rFonts w:eastAsia="Times New Roman"/>
          <w:color w:val="000000"/>
          <w:sz w:val="20"/>
          <w:szCs w:val="20"/>
        </w:rPr>
        <w:t>perations.</w:t>
      </w:r>
      <w:r>
        <w:rPr>
          <w:rFonts w:eastAsia="Times New Roman"/>
          <w:color w:val="000000"/>
          <w:sz w:val="20"/>
          <w:szCs w:val="20"/>
        </w:rPr>
        <w:t xml:space="preserve"> </w:t>
      </w:r>
    </w:p>
    <w:p w14:paraId="648C4142" w14:textId="77777777" w:rsidR="00000000" w:rsidRDefault="00195E73">
      <w:pPr>
        <w:divId w:val="1110589465"/>
        <w:rPr>
          <w:rFonts w:eastAsia="Times New Roman"/>
        </w:rPr>
      </w:pPr>
      <w:r>
        <w:rPr>
          <w:rFonts w:eastAsia="Times New Roman"/>
          <w:b/>
          <w:bCs/>
          <w:color w:val="000000"/>
          <w:sz w:val="20"/>
          <w:szCs w:val="20"/>
        </w:rPr>
        <w:t>Federal-Mogul LL</w:t>
      </w:r>
      <w:r>
        <w:rPr>
          <w:rFonts w:eastAsia="Times New Roman"/>
          <w:b/>
          <w:bCs/>
          <w:color w:val="000000"/>
          <w:sz w:val="20"/>
          <w:szCs w:val="20"/>
        </w:rPr>
        <w:t>C</w:t>
      </w:r>
    </w:p>
    <w:p w14:paraId="73B05C50" w14:textId="77777777" w:rsidR="00000000" w:rsidRDefault="00195E73">
      <w:pPr>
        <w:ind w:firstLine="405"/>
        <w:divId w:val="539897673"/>
        <w:rPr>
          <w:rFonts w:eastAsia="Times New Roman"/>
        </w:rPr>
      </w:pPr>
      <w:r>
        <w:rPr>
          <w:rFonts w:eastAsia="Times New Roman"/>
          <w:color w:val="000000"/>
          <w:sz w:val="20"/>
          <w:szCs w:val="20"/>
        </w:rPr>
        <w:t>Federal-Mogul LLC (“Federal-Mogul”) is a diversified, global supplier of automotive products to a variety of end markets. Federal-Mogul was previously reported within our Automotive segment prior to its reclassification as dis</w:t>
      </w:r>
      <w:r>
        <w:rPr>
          <w:rFonts w:eastAsia="Times New Roman"/>
          <w:color w:val="000000"/>
          <w:sz w:val="20"/>
          <w:szCs w:val="20"/>
        </w:rPr>
        <w:t>continued operations in the second quarter of 2018. In January 2017, we increased our ownership in Federal-Mogul to 100%. In February 2017,</w:t>
      </w:r>
      <w:r>
        <w:rPr>
          <w:rFonts w:eastAsia="Times New Roman"/>
          <w:color w:val="000000"/>
          <w:sz w:val="20"/>
          <w:szCs w:val="20"/>
        </w:rPr>
        <w:t xml:space="preserve"> </w:t>
      </w:r>
    </w:p>
    <w:p w14:paraId="4FD25303" w14:textId="77777777" w:rsidR="00000000" w:rsidRDefault="00195E73">
      <w:pPr>
        <w:jc w:val="center"/>
        <w:divId w:val="158086162"/>
        <w:rPr>
          <w:rFonts w:eastAsia="Times New Roman"/>
        </w:rPr>
      </w:pPr>
      <w:r>
        <w:rPr>
          <w:rFonts w:eastAsia="Times New Roman"/>
          <w:color w:val="000000"/>
          <w:sz w:val="20"/>
          <w:szCs w:val="20"/>
        </w:rPr>
        <w:t>8</w:t>
      </w:r>
    </w:p>
    <w:p w14:paraId="52C76DEF" w14:textId="77777777" w:rsidR="00000000" w:rsidRDefault="00195E73">
      <w:pPr>
        <w:rPr>
          <w:rFonts w:eastAsia="Times New Roman"/>
        </w:rPr>
      </w:pPr>
      <w:r>
        <w:rPr>
          <w:rFonts w:eastAsia="Times New Roman"/>
        </w:rPr>
        <w:pict w14:anchorId="15B2F544">
          <v:rect id="_x0000_i1034" style="width:0;height:1.5pt" o:hralign="center" o:hrstd="t" o:hr="t" fillcolor="#a0a0a0" stroked="f"/>
        </w:pict>
      </w:r>
    </w:p>
    <w:p w14:paraId="47D14D7B" w14:textId="77777777" w:rsidR="00000000" w:rsidRDefault="00195E73">
      <w:pPr>
        <w:divId w:val="965353950"/>
        <w:rPr>
          <w:rFonts w:eastAsia="Times New Roman"/>
        </w:rPr>
      </w:pPr>
    </w:p>
    <w:p w14:paraId="4396317D" w14:textId="77777777" w:rsidR="00000000" w:rsidRDefault="00195E73">
      <w:pPr>
        <w:divId w:val="1004698616"/>
        <w:rPr>
          <w:rFonts w:eastAsia="Times New Roman"/>
        </w:rPr>
      </w:pPr>
      <w:r>
        <w:rPr>
          <w:rFonts w:eastAsia="Times New Roman"/>
          <w:color w:val="000000"/>
          <w:sz w:val="20"/>
          <w:szCs w:val="20"/>
        </w:rPr>
        <w:t>Federal-Mogul was converted from a Delaware corporation to a Delaware limi</w:t>
      </w:r>
      <w:r>
        <w:rPr>
          <w:rFonts w:eastAsia="Times New Roman"/>
          <w:color w:val="000000"/>
          <w:sz w:val="20"/>
          <w:szCs w:val="20"/>
        </w:rPr>
        <w:t>ted liability company. Prior to this, Federal-Mogul was a majority owned subsidiary of ours with publicly traded common stock. In April 2018, we entered into an agreement to sell Federal-Mogul to Tenneco Inc. (“Tenneco”). On October 1, 2018, we closed on t</w:t>
      </w:r>
      <w:r>
        <w:rPr>
          <w:rFonts w:eastAsia="Times New Roman"/>
          <w:color w:val="000000"/>
          <w:sz w:val="20"/>
          <w:szCs w:val="20"/>
        </w:rPr>
        <w:t>he sale of Federal-Mogul to Tenneco for cash and shares of Tenneco common stock, which includes a 9.9% voting interest in Tenneco in addition to a non-voting interest in Tenneco</w:t>
      </w:r>
      <w:r>
        <w:rPr>
          <w:rFonts w:eastAsia="Times New Roman"/>
          <w:color w:val="000000"/>
          <w:sz w:val="20"/>
          <w:szCs w:val="20"/>
        </w:rPr>
        <w:t>.</w:t>
      </w:r>
    </w:p>
    <w:p w14:paraId="73F55F06" w14:textId="77777777" w:rsidR="00000000" w:rsidRDefault="00195E73">
      <w:pPr>
        <w:divId w:val="327634785"/>
        <w:rPr>
          <w:rFonts w:eastAsia="Times New Roman"/>
        </w:rPr>
      </w:pPr>
      <w:r>
        <w:rPr>
          <w:rFonts w:eastAsia="Times New Roman"/>
          <w:b/>
          <w:bCs/>
          <w:color w:val="000000"/>
          <w:sz w:val="20"/>
          <w:szCs w:val="20"/>
        </w:rPr>
        <w:t>Tropicana Entertainment, Inc</w:t>
      </w:r>
      <w:r>
        <w:rPr>
          <w:rFonts w:eastAsia="Times New Roman"/>
          <w:b/>
          <w:bCs/>
          <w:color w:val="000000"/>
          <w:sz w:val="20"/>
          <w:szCs w:val="20"/>
        </w:rPr>
        <w:t>.</w:t>
      </w:r>
    </w:p>
    <w:p w14:paraId="274B687C" w14:textId="77777777" w:rsidR="00000000" w:rsidRDefault="00195E73">
      <w:pPr>
        <w:ind w:firstLine="405"/>
        <w:divId w:val="1476529580"/>
        <w:rPr>
          <w:rFonts w:eastAsia="Times New Roman"/>
        </w:rPr>
      </w:pPr>
      <w:r>
        <w:rPr>
          <w:rFonts w:eastAsia="Times New Roman"/>
          <w:color w:val="000000"/>
          <w:sz w:val="20"/>
          <w:szCs w:val="20"/>
        </w:rPr>
        <w:t xml:space="preserve">Tropicana Entertainment, Inc. (“Tropicana”) is </w:t>
      </w:r>
      <w:r>
        <w:rPr>
          <w:rFonts w:eastAsia="Times New Roman"/>
          <w:color w:val="000000"/>
          <w:sz w:val="20"/>
          <w:szCs w:val="20"/>
        </w:rPr>
        <w:t>an owner and operator of regional casino and entertainment properties. Tropicana was previously reported within our former Gaming segment prior to its reclassification as discontinued operations in the second quarter of 2018. During August 2017, we increas</w:t>
      </w:r>
      <w:r>
        <w:rPr>
          <w:rFonts w:eastAsia="Times New Roman"/>
          <w:color w:val="000000"/>
          <w:sz w:val="20"/>
          <w:szCs w:val="20"/>
        </w:rPr>
        <w:t>ed our ownership in Tropicana from 72.5% to 83.9% through a tender offer for additional shares of Tropicana common stock not already owned by us. Tropicana was a majority owned subsidiary of ours with publicly traded common stock. In April 2018, we entered</w:t>
      </w:r>
      <w:r>
        <w:rPr>
          <w:rFonts w:eastAsia="Times New Roman"/>
          <w:color w:val="000000"/>
          <w:sz w:val="20"/>
          <w:szCs w:val="20"/>
        </w:rPr>
        <w:t xml:space="preserve"> into an agreement to sell Tropicana’s real estate to Gaming and Leisure Properties, Inc. and to merge Tropicana’s gaming and hotel operations into Eldorado Resorts, Inc. The transaction did not include Tropicana’s Aruba assets. On October 1, 2018, we clos</w:t>
      </w:r>
      <w:r>
        <w:rPr>
          <w:rFonts w:eastAsia="Times New Roman"/>
          <w:color w:val="000000"/>
          <w:sz w:val="20"/>
          <w:szCs w:val="20"/>
        </w:rPr>
        <w:t>ed on the Tropicana transaction</w:t>
      </w:r>
      <w:r>
        <w:rPr>
          <w:rFonts w:eastAsia="Times New Roman"/>
          <w:color w:val="000000"/>
          <w:sz w:val="20"/>
          <w:szCs w:val="20"/>
        </w:rPr>
        <w:t>.</w:t>
      </w:r>
    </w:p>
    <w:p w14:paraId="12F427E7" w14:textId="77777777" w:rsidR="00000000" w:rsidRDefault="00195E73">
      <w:pPr>
        <w:divId w:val="181283168"/>
        <w:rPr>
          <w:rFonts w:eastAsia="Times New Roman"/>
        </w:rPr>
      </w:pPr>
      <w:r>
        <w:rPr>
          <w:rFonts w:eastAsia="Times New Roman"/>
          <w:b/>
          <w:bCs/>
          <w:color w:val="000000"/>
          <w:sz w:val="20"/>
          <w:szCs w:val="20"/>
        </w:rPr>
        <w:t>American Railcar Industries, Inc</w:t>
      </w:r>
      <w:r>
        <w:rPr>
          <w:rFonts w:eastAsia="Times New Roman"/>
          <w:b/>
          <w:bCs/>
          <w:color w:val="000000"/>
          <w:sz w:val="20"/>
          <w:szCs w:val="20"/>
        </w:rPr>
        <w:t>.</w:t>
      </w:r>
    </w:p>
    <w:p w14:paraId="3BAB8E01" w14:textId="77777777" w:rsidR="00000000" w:rsidRDefault="00195E73">
      <w:pPr>
        <w:ind w:firstLine="405"/>
        <w:divId w:val="1636566343"/>
        <w:rPr>
          <w:rFonts w:eastAsia="Times New Roman"/>
        </w:rPr>
      </w:pPr>
      <w:r>
        <w:rPr>
          <w:rFonts w:eastAsia="Times New Roman"/>
          <w:color w:val="000000"/>
          <w:sz w:val="20"/>
          <w:szCs w:val="20"/>
        </w:rPr>
        <w:t>American Railcar Industries, Inc. (“ARI”) is a prominent North American designer and manufacturer of hopper and tank railcars that provides its railcar customers with integrated solutions t</w:t>
      </w:r>
      <w:r>
        <w:rPr>
          <w:rFonts w:eastAsia="Times New Roman"/>
          <w:color w:val="000000"/>
          <w:sz w:val="20"/>
          <w:szCs w:val="20"/>
        </w:rPr>
        <w:t xml:space="preserve">hrough a comprehensive set of high-quality products and related services through its railcar manufacturing, railcar leasing and railcar repair operations. ARI was previously reported within our Railcar segment prior to its reclassification as discontinued </w:t>
      </w:r>
      <w:r>
        <w:rPr>
          <w:rFonts w:eastAsia="Times New Roman"/>
          <w:color w:val="000000"/>
          <w:sz w:val="20"/>
          <w:szCs w:val="20"/>
        </w:rPr>
        <w:t>operations in the fourth quarter of 2018. ARI was a majority owned subsidiary of ours with publicly traded common stock. In October 2018, we entered into an agreement to sell ARI to ITE Rail Fund L.P. On December 5, 2018, we closed on the sale of ARI.</w:t>
      </w:r>
      <w:r>
        <w:rPr>
          <w:rFonts w:eastAsia="Times New Roman"/>
          <w:color w:val="000000"/>
          <w:sz w:val="20"/>
          <w:szCs w:val="20"/>
        </w:rPr>
        <w:t xml:space="preserve"> </w:t>
      </w:r>
    </w:p>
    <w:p w14:paraId="3F7381F9" w14:textId="77777777" w:rsidR="00000000" w:rsidRDefault="00195E73">
      <w:pPr>
        <w:divId w:val="103768106"/>
        <w:rPr>
          <w:rFonts w:eastAsia="Times New Roman"/>
        </w:rPr>
      </w:pPr>
      <w:r>
        <w:rPr>
          <w:rFonts w:eastAsia="Times New Roman"/>
          <w:b/>
          <w:bCs/>
          <w:i/>
          <w:iCs/>
          <w:color w:val="000000"/>
          <w:sz w:val="20"/>
          <w:szCs w:val="20"/>
        </w:rPr>
        <w:t>Holding Compan</w:t>
      </w:r>
      <w:r>
        <w:rPr>
          <w:rFonts w:eastAsia="Times New Roman"/>
          <w:b/>
          <w:bCs/>
          <w:i/>
          <w:iCs/>
          <w:color w:val="000000"/>
          <w:sz w:val="20"/>
          <w:szCs w:val="20"/>
        </w:rPr>
        <w:t>y</w:t>
      </w:r>
    </w:p>
    <w:p w14:paraId="4D4DFD7B" w14:textId="77777777" w:rsidR="00000000" w:rsidRDefault="00195E73">
      <w:pPr>
        <w:ind w:firstLine="405"/>
        <w:divId w:val="1393582649"/>
        <w:rPr>
          <w:rFonts w:eastAsia="Times New Roman"/>
        </w:rPr>
      </w:pPr>
      <w:r>
        <w:rPr>
          <w:rFonts w:eastAsia="Times New Roman"/>
          <w:color w:val="000000"/>
          <w:sz w:val="20"/>
          <w:szCs w:val="20"/>
        </w:rPr>
        <w:t>We seek to invest our available cash and cash equivalents in liquid investments with a view to enhancing returns as we continue to assess further acquisitions of, or investments in, operating businesses. As of December 31, 2019, we had inve</w:t>
      </w:r>
      <w:r>
        <w:rPr>
          <w:rFonts w:eastAsia="Times New Roman"/>
          <w:color w:val="000000"/>
          <w:sz w:val="20"/>
          <w:szCs w:val="20"/>
        </w:rPr>
        <w:t>stments with a fair market value of approximately $4.3 billion in the Investment Funds. In addition, as of December 31, 2019, our Holding Company had various other investments, primarily equity investments, with a fair market value of $522 million</w:t>
      </w:r>
      <w:r>
        <w:rPr>
          <w:rFonts w:eastAsia="Times New Roman"/>
          <w:color w:val="000000"/>
          <w:sz w:val="20"/>
          <w:szCs w:val="20"/>
        </w:rPr>
        <w:t>.</w:t>
      </w:r>
    </w:p>
    <w:p w14:paraId="44023139" w14:textId="77777777" w:rsidR="00000000" w:rsidRDefault="00195E73">
      <w:pPr>
        <w:divId w:val="1222516240"/>
        <w:rPr>
          <w:rFonts w:eastAsia="Times New Roman"/>
        </w:rPr>
      </w:pPr>
      <w:r>
        <w:rPr>
          <w:rFonts w:eastAsia="Times New Roman"/>
          <w:b/>
          <w:bCs/>
          <w:color w:val="000000"/>
          <w:sz w:val="20"/>
          <w:szCs w:val="20"/>
        </w:rPr>
        <w:t>Employe</w:t>
      </w:r>
      <w:r>
        <w:rPr>
          <w:rFonts w:eastAsia="Times New Roman"/>
          <w:b/>
          <w:bCs/>
          <w:color w:val="000000"/>
          <w:sz w:val="20"/>
          <w:szCs w:val="20"/>
        </w:rPr>
        <w:t>e</w:t>
      </w:r>
      <w:r>
        <w:rPr>
          <w:rFonts w:eastAsia="Times New Roman"/>
          <w:b/>
          <w:bCs/>
          <w:color w:val="000000"/>
          <w:sz w:val="20"/>
          <w:szCs w:val="20"/>
        </w:rPr>
        <w:t>s</w:t>
      </w:r>
    </w:p>
    <w:p w14:paraId="232733DF" w14:textId="77777777" w:rsidR="00000000" w:rsidRDefault="00195E73">
      <w:pPr>
        <w:ind w:firstLine="405"/>
        <w:divId w:val="1700424101"/>
        <w:rPr>
          <w:rFonts w:eastAsia="Times New Roman"/>
        </w:rPr>
      </w:pPr>
      <w:r>
        <w:rPr>
          <w:rFonts w:eastAsia="Times New Roman"/>
          <w:color w:val="000000"/>
          <w:sz w:val="20"/>
          <w:szCs w:val="20"/>
        </w:rPr>
        <w:t>We have an aggregate of 33 employees at our Holding Company and Investment segment. Our other reporting segments employ an aggregate of approximately 28,000 employees, of which approximately 74% are employed within our Automotive segment and less than 1</w:t>
      </w:r>
      <w:r>
        <w:rPr>
          <w:rFonts w:eastAsia="Times New Roman"/>
          <w:color w:val="000000"/>
          <w:sz w:val="20"/>
          <w:szCs w:val="20"/>
        </w:rPr>
        <w:t>0% at each of our other segments. Approximately 14% of our employees are employed internationally, primarily within our Food Packaging and Home Fashion segments.</w:t>
      </w:r>
      <w:r>
        <w:rPr>
          <w:rFonts w:eastAsia="Times New Roman"/>
          <w:color w:val="000000"/>
          <w:sz w:val="20"/>
          <w:szCs w:val="20"/>
        </w:rPr>
        <w:t xml:space="preserve"> </w:t>
      </w:r>
    </w:p>
    <w:p w14:paraId="31FDB586" w14:textId="77777777" w:rsidR="00000000" w:rsidRDefault="00195E73">
      <w:pPr>
        <w:divId w:val="39475113"/>
        <w:rPr>
          <w:rFonts w:eastAsia="Times New Roman"/>
        </w:rPr>
      </w:pPr>
      <w:r>
        <w:rPr>
          <w:rFonts w:eastAsia="Times New Roman"/>
          <w:b/>
          <w:bCs/>
          <w:color w:val="000000"/>
          <w:sz w:val="20"/>
          <w:szCs w:val="20"/>
        </w:rPr>
        <w:t>Available Informatio</w:t>
      </w:r>
      <w:r>
        <w:rPr>
          <w:rFonts w:eastAsia="Times New Roman"/>
          <w:b/>
          <w:bCs/>
          <w:color w:val="000000"/>
          <w:sz w:val="20"/>
          <w:szCs w:val="20"/>
        </w:rPr>
        <w:t>n</w:t>
      </w:r>
    </w:p>
    <w:p w14:paraId="6D29A267" w14:textId="77777777" w:rsidR="00000000" w:rsidRDefault="00195E73">
      <w:pPr>
        <w:ind w:firstLine="405"/>
        <w:divId w:val="539318059"/>
        <w:rPr>
          <w:rFonts w:eastAsia="Times New Roman"/>
        </w:rPr>
      </w:pPr>
      <w:r>
        <w:rPr>
          <w:rFonts w:eastAsia="Times New Roman"/>
          <w:color w:val="000000"/>
          <w:sz w:val="20"/>
          <w:szCs w:val="20"/>
        </w:rPr>
        <w:t>Icahn Enterprises maintains a website at</w:t>
      </w:r>
      <w:r>
        <w:rPr>
          <w:rFonts w:eastAsia="Times New Roman"/>
          <w:color w:val="000000"/>
          <w:sz w:val="20"/>
          <w:szCs w:val="20"/>
        </w:rPr>
        <w:t xml:space="preserve"> </w:t>
      </w:r>
      <w:r>
        <w:rPr>
          <w:rFonts w:eastAsia="Times New Roman"/>
          <w:i/>
          <w:iCs/>
          <w:color w:val="000000"/>
          <w:sz w:val="20"/>
          <w:szCs w:val="20"/>
        </w:rPr>
        <w:t>www.ielp.co</w:t>
      </w:r>
      <w:r>
        <w:rPr>
          <w:rFonts w:eastAsia="Times New Roman"/>
          <w:i/>
          <w:iCs/>
          <w:color w:val="000000"/>
          <w:sz w:val="20"/>
          <w:szCs w:val="20"/>
        </w:rPr>
        <w:t>m</w:t>
      </w:r>
      <w:r>
        <w:rPr>
          <w:rFonts w:eastAsia="Times New Roman"/>
          <w:color w:val="000000"/>
          <w:sz w:val="20"/>
          <w:szCs w:val="20"/>
        </w:rPr>
        <w:t>. We provide acces</w:t>
      </w:r>
      <w:r>
        <w:rPr>
          <w:rFonts w:eastAsia="Times New Roman"/>
          <w:color w:val="000000"/>
          <w:sz w:val="20"/>
          <w:szCs w:val="20"/>
        </w:rPr>
        <w:t>s to our annual reports on Form 10-K, quarterly reports on Form 10-Q, current reports on Form 8-K and all amendments to those reports free of charge through this website as soon as reasonably practicable after such material is electronically filed with the</w:t>
      </w:r>
      <w:r>
        <w:rPr>
          <w:rFonts w:eastAsia="Times New Roman"/>
          <w:color w:val="000000"/>
          <w:sz w:val="20"/>
          <w:szCs w:val="20"/>
        </w:rPr>
        <w:t xml:space="preserve"> SEC. Paper copies of annual and periodic reports filed with the SEC may be obtained free of charge upon written request by contacting our headquarters at the address located on the front cover of this report or under Investor Relations on our website. In </w:t>
      </w:r>
      <w:r>
        <w:rPr>
          <w:rFonts w:eastAsia="Times New Roman"/>
          <w:color w:val="000000"/>
          <w:sz w:val="20"/>
          <w:szCs w:val="20"/>
        </w:rPr>
        <w:t>addition, our corporate governance guidelines, including Code of Ethics and Business Conduct and Audit Committee Charter, are available on our website (under Corporate Governance) and are available in print without charge to any stockholder requesting them</w:t>
      </w:r>
      <w:r>
        <w:rPr>
          <w:rFonts w:eastAsia="Times New Roman"/>
          <w:color w:val="000000"/>
          <w:sz w:val="20"/>
          <w:szCs w:val="20"/>
        </w:rPr>
        <w:t>. You may obtain and copy any document we furnish or file with the SEC at the SEC’s public reference room at 100 F Street, NE, Room 1580, Washington, D.C. 20549. You may obtain information on the operation of the SEC’s public reference facilities by callin</w:t>
      </w:r>
      <w:r>
        <w:rPr>
          <w:rFonts w:eastAsia="Times New Roman"/>
          <w:color w:val="000000"/>
          <w:sz w:val="20"/>
          <w:szCs w:val="20"/>
        </w:rPr>
        <w:t>g the SEC at 1-800-SEC-0330. The SEC maintains a website that contains reports, information statements, and other information regarding issuers like us who file electronically with the SEC. The SEC’s website is located at</w:t>
      </w:r>
      <w:r>
        <w:rPr>
          <w:rFonts w:eastAsia="Times New Roman"/>
          <w:color w:val="000000"/>
          <w:sz w:val="20"/>
          <w:szCs w:val="20"/>
        </w:rPr>
        <w:t xml:space="preserve"> </w:t>
      </w:r>
      <w:r>
        <w:rPr>
          <w:rFonts w:eastAsia="Times New Roman"/>
          <w:i/>
          <w:iCs/>
          <w:color w:val="000000"/>
          <w:sz w:val="20"/>
          <w:szCs w:val="20"/>
        </w:rPr>
        <w:t>www.sec.go</w:t>
      </w:r>
      <w:r>
        <w:rPr>
          <w:rFonts w:eastAsia="Times New Roman"/>
          <w:i/>
          <w:iCs/>
          <w:color w:val="000000"/>
          <w:sz w:val="20"/>
          <w:szCs w:val="20"/>
        </w:rPr>
        <w:t>v</w:t>
      </w:r>
      <w:r>
        <w:rPr>
          <w:rFonts w:eastAsia="Times New Roman"/>
          <w:color w:val="000000"/>
          <w:sz w:val="20"/>
          <w:szCs w:val="20"/>
        </w:rPr>
        <w:t>.</w:t>
      </w:r>
    </w:p>
    <w:p w14:paraId="7148499E" w14:textId="77777777" w:rsidR="00000000" w:rsidRDefault="00195E73">
      <w:pPr>
        <w:divId w:val="548884203"/>
        <w:rPr>
          <w:rFonts w:eastAsia="Times New Roman"/>
        </w:rPr>
      </w:pPr>
    </w:p>
    <w:p w14:paraId="7D3D2A81" w14:textId="77777777" w:rsidR="00000000" w:rsidRDefault="00195E73">
      <w:pPr>
        <w:divId w:val="895971236"/>
        <w:rPr>
          <w:rFonts w:eastAsia="Times New Roman"/>
        </w:rPr>
      </w:pPr>
    </w:p>
    <w:p w14:paraId="2E949DA9" w14:textId="77777777" w:rsidR="00000000" w:rsidRDefault="00195E73">
      <w:pPr>
        <w:divId w:val="511915197"/>
        <w:rPr>
          <w:rFonts w:eastAsia="Times New Roman"/>
        </w:rPr>
      </w:pPr>
    </w:p>
    <w:p w14:paraId="16712D8B" w14:textId="77777777" w:rsidR="00000000" w:rsidRDefault="00195E73">
      <w:pPr>
        <w:jc w:val="center"/>
        <w:divId w:val="1235431761"/>
        <w:rPr>
          <w:rFonts w:eastAsia="Times New Roman"/>
        </w:rPr>
      </w:pPr>
      <w:r>
        <w:rPr>
          <w:rFonts w:eastAsia="Times New Roman"/>
          <w:color w:val="000000"/>
          <w:sz w:val="20"/>
          <w:szCs w:val="20"/>
        </w:rPr>
        <w:t>9</w:t>
      </w:r>
    </w:p>
    <w:p w14:paraId="0EECFC79" w14:textId="77777777" w:rsidR="00000000" w:rsidRDefault="00195E73">
      <w:pPr>
        <w:rPr>
          <w:rFonts w:eastAsia="Times New Roman"/>
        </w:rPr>
      </w:pPr>
      <w:r>
        <w:rPr>
          <w:rFonts w:eastAsia="Times New Roman"/>
        </w:rPr>
        <w:pict w14:anchorId="0D77F7EA">
          <v:rect id="_x0000_i1035" style="width:0;height:1.5pt" o:hralign="center" o:hrstd="t" o:hr="t" fillcolor="#a0a0a0" stroked="f"/>
        </w:pict>
      </w:r>
    </w:p>
    <w:p w14:paraId="349E72AB" w14:textId="77777777" w:rsidR="00000000" w:rsidRDefault="00195E73">
      <w:pPr>
        <w:divId w:val="895967070"/>
        <w:rPr>
          <w:rFonts w:eastAsia="Times New Roman"/>
        </w:rPr>
      </w:pPr>
    </w:p>
    <w:p w14:paraId="3DA1D340" w14:textId="77777777" w:rsidR="00000000" w:rsidRDefault="00195E73">
      <w:pPr>
        <w:divId w:val="1442453274"/>
        <w:rPr>
          <w:rFonts w:eastAsia="Times New Roman"/>
        </w:rPr>
      </w:pPr>
      <w:r>
        <w:rPr>
          <w:rFonts w:eastAsia="Times New Roman"/>
          <w:b/>
          <w:bCs/>
          <w:color w:val="000000"/>
          <w:sz w:val="20"/>
          <w:szCs w:val="20"/>
        </w:rPr>
        <w:t>Item 1A. Risk Factors</w:t>
      </w:r>
      <w:r>
        <w:rPr>
          <w:rFonts w:eastAsia="Times New Roman"/>
          <w:b/>
          <w:bCs/>
          <w:color w:val="000000"/>
          <w:sz w:val="20"/>
          <w:szCs w:val="20"/>
        </w:rPr>
        <w:t>.</w:t>
      </w:r>
    </w:p>
    <w:p w14:paraId="043222E2" w14:textId="77777777" w:rsidR="00000000" w:rsidRDefault="00195E73">
      <w:pPr>
        <w:ind w:firstLine="405"/>
        <w:divId w:val="1279608167"/>
        <w:rPr>
          <w:rFonts w:eastAsia="Times New Roman"/>
        </w:rPr>
      </w:pPr>
      <w:r>
        <w:rPr>
          <w:rFonts w:eastAsia="Times New Roman"/>
          <w:color w:val="000000"/>
          <w:sz w:val="20"/>
          <w:szCs w:val="20"/>
        </w:rPr>
        <w:t>We and our subsidiaries are subject to certain risks and uncertainties which are described below. The risks and uncertainties described below are not the only risks that affect our businesses. Additional ris</w:t>
      </w:r>
      <w:r>
        <w:rPr>
          <w:rFonts w:eastAsia="Times New Roman"/>
          <w:color w:val="000000"/>
          <w:sz w:val="20"/>
          <w:szCs w:val="20"/>
        </w:rPr>
        <w:t>ks and uncertainties that are unknown or not deemed significant may also have a negative impact on our businesses.</w:t>
      </w:r>
      <w:r>
        <w:rPr>
          <w:rFonts w:eastAsia="Times New Roman"/>
          <w:color w:val="000000"/>
          <w:sz w:val="20"/>
          <w:szCs w:val="20"/>
        </w:rPr>
        <w:t xml:space="preserve"> </w:t>
      </w:r>
    </w:p>
    <w:p w14:paraId="1270E968" w14:textId="77777777" w:rsidR="00000000" w:rsidRDefault="00195E73">
      <w:pPr>
        <w:jc w:val="center"/>
        <w:divId w:val="737744964"/>
        <w:rPr>
          <w:rFonts w:eastAsia="Times New Roman"/>
        </w:rPr>
      </w:pPr>
      <w:r>
        <w:rPr>
          <w:rFonts w:eastAsia="Times New Roman"/>
          <w:b/>
          <w:bCs/>
          <w:color w:val="000000"/>
          <w:sz w:val="20"/>
          <w:szCs w:val="20"/>
        </w:rPr>
        <w:t>Risks Relating to Our Structur</w:t>
      </w:r>
      <w:r>
        <w:rPr>
          <w:rFonts w:eastAsia="Times New Roman"/>
          <w:b/>
          <w:bCs/>
          <w:color w:val="000000"/>
          <w:sz w:val="20"/>
          <w:szCs w:val="20"/>
        </w:rPr>
        <w:t>e</w:t>
      </w:r>
    </w:p>
    <w:p w14:paraId="10B70231" w14:textId="77777777" w:rsidR="00000000" w:rsidRDefault="00195E73">
      <w:pPr>
        <w:divId w:val="2074424523"/>
        <w:rPr>
          <w:rFonts w:eastAsia="Times New Roman"/>
        </w:rPr>
      </w:pPr>
      <w:r>
        <w:rPr>
          <w:rFonts w:eastAsia="Times New Roman"/>
          <w:b/>
          <w:bCs/>
          <w:i/>
          <w:iCs/>
          <w:color w:val="000000"/>
          <w:sz w:val="20"/>
          <w:szCs w:val="20"/>
        </w:rPr>
        <w:t>Our general partner, and its control person, has significant influence over us</w:t>
      </w:r>
      <w:r>
        <w:rPr>
          <w:rFonts w:eastAsia="Times New Roman"/>
          <w:b/>
          <w:bCs/>
          <w:i/>
          <w:iCs/>
          <w:color w:val="000000"/>
          <w:sz w:val="20"/>
          <w:szCs w:val="20"/>
        </w:rPr>
        <w:t>.</w:t>
      </w:r>
    </w:p>
    <w:p w14:paraId="57DBC93F" w14:textId="77777777" w:rsidR="00000000" w:rsidRDefault="00195E73">
      <w:pPr>
        <w:ind w:firstLine="405"/>
        <w:divId w:val="1443332093"/>
        <w:rPr>
          <w:rFonts w:eastAsia="Times New Roman"/>
        </w:rPr>
      </w:pPr>
      <w:r>
        <w:rPr>
          <w:rFonts w:eastAsia="Times New Roman"/>
          <w:color w:val="000000"/>
          <w:sz w:val="20"/>
          <w:szCs w:val="20"/>
        </w:rPr>
        <w:t>Mr. Icahn, through affiliate</w:t>
      </w:r>
      <w:r>
        <w:rPr>
          <w:rFonts w:eastAsia="Times New Roman"/>
          <w:color w:val="000000"/>
          <w:sz w:val="20"/>
          <w:szCs w:val="20"/>
        </w:rPr>
        <w:t>s, owns 100% of Icahn Enterprises GP, the general partner of Icahn Enterprises and Icahn Enterprises Holdings, and approximately 92.0% of Icahn Enterprises’ outstanding depositary units as of December 31, 2019, and, as a result, has the ability to influenc</w:t>
      </w:r>
      <w:r>
        <w:rPr>
          <w:rFonts w:eastAsia="Times New Roman"/>
          <w:color w:val="000000"/>
          <w:sz w:val="20"/>
          <w:szCs w:val="20"/>
        </w:rPr>
        <w:t>e many aspects of our operations and affairs.</w:t>
      </w:r>
      <w:r>
        <w:rPr>
          <w:rFonts w:eastAsia="Times New Roman"/>
          <w:color w:val="000000"/>
          <w:sz w:val="20"/>
          <w:szCs w:val="20"/>
        </w:rPr>
        <w:t xml:space="preserve"> </w:t>
      </w:r>
    </w:p>
    <w:p w14:paraId="25C45F9D" w14:textId="77777777" w:rsidR="00000000" w:rsidRDefault="00195E73">
      <w:pPr>
        <w:ind w:firstLine="405"/>
        <w:divId w:val="697705802"/>
        <w:rPr>
          <w:rFonts w:eastAsia="Times New Roman"/>
        </w:rPr>
      </w:pPr>
      <w:r>
        <w:rPr>
          <w:rFonts w:eastAsia="Times New Roman"/>
          <w:color w:val="000000"/>
          <w:sz w:val="20"/>
          <w:szCs w:val="20"/>
        </w:rPr>
        <w:t>Mr. Icahn’</w:t>
      </w:r>
      <w:r>
        <w:rPr>
          <w:rFonts w:eastAsia="Times New Roman"/>
          <w:color w:val="000000"/>
          <w:sz w:val="20"/>
          <w:szCs w:val="20"/>
        </w:rPr>
        <w:t>s estate has been designed to assure the stability and continuation of Icahn Enterprises with no need to monetize his interests for estate tax or other purposes. In the event of Mr. Icahn’s death, control of Mr. Icahn’s interests in Icahn Enterprises and i</w:t>
      </w:r>
      <w:r>
        <w:rPr>
          <w:rFonts w:eastAsia="Times New Roman"/>
          <w:color w:val="000000"/>
          <w:sz w:val="20"/>
          <w:szCs w:val="20"/>
        </w:rPr>
        <w:t>ts general partner will be placed in charitable and other trusts under the control of senior Icahn Enterprises’ executives and Icahn family members. However, there can be no assurance that such planning will be effective</w:t>
      </w:r>
      <w:r>
        <w:rPr>
          <w:rFonts w:eastAsia="Times New Roman"/>
          <w:color w:val="000000"/>
          <w:sz w:val="20"/>
          <w:szCs w:val="20"/>
        </w:rPr>
        <w:t>.</w:t>
      </w:r>
    </w:p>
    <w:p w14:paraId="7994C8D2" w14:textId="77777777" w:rsidR="00000000" w:rsidRDefault="00195E73">
      <w:pPr>
        <w:divId w:val="538398938"/>
        <w:rPr>
          <w:rFonts w:eastAsia="Times New Roman"/>
        </w:rPr>
      </w:pPr>
      <w:r>
        <w:rPr>
          <w:rFonts w:eastAsia="Times New Roman"/>
          <w:b/>
          <w:bCs/>
          <w:i/>
          <w:iCs/>
          <w:color w:val="000000"/>
          <w:sz w:val="20"/>
          <w:szCs w:val="20"/>
        </w:rPr>
        <w:t>We have engaged, and in the future</w:t>
      </w:r>
      <w:r>
        <w:rPr>
          <w:rFonts w:eastAsia="Times New Roman"/>
          <w:b/>
          <w:bCs/>
          <w:i/>
          <w:iCs/>
          <w:color w:val="000000"/>
          <w:sz w:val="20"/>
          <w:szCs w:val="20"/>
        </w:rPr>
        <w:t xml:space="preserve"> may engage, in transactions with our affiliates</w:t>
      </w:r>
      <w:r>
        <w:rPr>
          <w:rFonts w:eastAsia="Times New Roman"/>
          <w:b/>
          <w:bCs/>
          <w:i/>
          <w:iCs/>
          <w:color w:val="000000"/>
          <w:sz w:val="20"/>
          <w:szCs w:val="20"/>
        </w:rPr>
        <w:t>.</w:t>
      </w:r>
    </w:p>
    <w:p w14:paraId="5BE928BB" w14:textId="77777777" w:rsidR="00000000" w:rsidRDefault="00195E73">
      <w:pPr>
        <w:ind w:firstLine="405"/>
        <w:divId w:val="1393969766"/>
        <w:rPr>
          <w:rFonts w:eastAsia="Times New Roman"/>
        </w:rPr>
      </w:pPr>
      <w:r>
        <w:rPr>
          <w:rFonts w:eastAsia="Times New Roman"/>
          <w:color w:val="000000"/>
          <w:sz w:val="20"/>
          <w:szCs w:val="20"/>
        </w:rPr>
        <w:t xml:space="preserve">We have invested and may in the future invest in entities in which Mr. Icahn also invests. We also have purchased and may in the future purchase entities or investments from him or his affiliates. Although </w:t>
      </w:r>
      <w:r>
        <w:rPr>
          <w:rFonts w:eastAsia="Times New Roman"/>
          <w:color w:val="000000"/>
          <w:sz w:val="20"/>
          <w:szCs w:val="20"/>
        </w:rPr>
        <w:t>Icahn Enterprises GP has never received fees in connection with our investments, our partnership agreement allows for the payment of these fees. Mr. Icahn may pursue other business opportunities in industries in which we compete and there is no requirement</w:t>
      </w:r>
      <w:r>
        <w:rPr>
          <w:rFonts w:eastAsia="Times New Roman"/>
          <w:color w:val="000000"/>
          <w:sz w:val="20"/>
          <w:szCs w:val="20"/>
        </w:rPr>
        <w:t xml:space="preserve"> that any additional business opportunities be presented to us. We continuously identify, evaluate and engage in discussions concerning potential investments and acquisitions, including potential investments in and acquisitions of affiliates of Mr. Icahn. </w:t>
      </w:r>
      <w:r>
        <w:rPr>
          <w:rFonts w:eastAsia="Times New Roman"/>
          <w:color w:val="000000"/>
          <w:sz w:val="20"/>
          <w:szCs w:val="20"/>
        </w:rPr>
        <w:t>There cannot be any assurance that any potential transactions that we consider will be completed</w:t>
      </w:r>
      <w:r>
        <w:rPr>
          <w:rFonts w:eastAsia="Times New Roman"/>
          <w:color w:val="000000"/>
          <w:sz w:val="20"/>
          <w:szCs w:val="20"/>
        </w:rPr>
        <w:t>.</w:t>
      </w:r>
    </w:p>
    <w:p w14:paraId="1ACC854C" w14:textId="77777777" w:rsidR="00000000" w:rsidRDefault="00195E73">
      <w:pPr>
        <w:divId w:val="1403061528"/>
        <w:rPr>
          <w:rFonts w:eastAsia="Times New Roman"/>
        </w:rPr>
      </w:pPr>
      <w:r>
        <w:rPr>
          <w:rFonts w:eastAsia="Times New Roman"/>
          <w:b/>
          <w:bCs/>
          <w:i/>
          <w:iCs/>
          <w:color w:val="000000"/>
          <w:sz w:val="20"/>
          <w:szCs w:val="20"/>
        </w:rPr>
        <w:t>We are subject to the risk of becoming an investment company</w:t>
      </w:r>
      <w:r>
        <w:rPr>
          <w:rFonts w:eastAsia="Times New Roman"/>
          <w:b/>
          <w:bCs/>
          <w:i/>
          <w:iCs/>
          <w:color w:val="000000"/>
          <w:sz w:val="20"/>
          <w:szCs w:val="20"/>
        </w:rPr>
        <w:t>.</w:t>
      </w:r>
    </w:p>
    <w:p w14:paraId="332275A6" w14:textId="77777777" w:rsidR="00000000" w:rsidRDefault="00195E73">
      <w:pPr>
        <w:ind w:firstLine="450"/>
        <w:divId w:val="1929803887"/>
        <w:rPr>
          <w:rFonts w:eastAsia="Times New Roman"/>
        </w:rPr>
      </w:pPr>
      <w:r>
        <w:rPr>
          <w:rFonts w:eastAsia="Times New Roman"/>
          <w:color w:val="000000"/>
          <w:sz w:val="20"/>
          <w:szCs w:val="20"/>
        </w:rPr>
        <w:t>Because we are a holding company and a significant portion of our assets may, from time to time,</w:t>
      </w:r>
      <w:r>
        <w:rPr>
          <w:rFonts w:eastAsia="Times New Roman"/>
          <w:color w:val="000000"/>
          <w:sz w:val="20"/>
          <w:szCs w:val="20"/>
        </w:rPr>
        <w:t xml:space="preserve"> consist of investments in companies in which we own less than a 50% interest, we run the risk of inadvertently becoming an investment company that is required to register under the Investment Company Act. Events beyond our control, including significant a</w:t>
      </w:r>
      <w:r>
        <w:rPr>
          <w:rFonts w:eastAsia="Times New Roman"/>
          <w:color w:val="000000"/>
          <w:sz w:val="20"/>
          <w:szCs w:val="20"/>
        </w:rPr>
        <w:t>ppreciation or depreciation in the market value of certain of our publicly traded holdings or adverse developments with respect to our ownership of certain of our subsidiaries, could result in our inadvertently becoming an investment company that is requir</w:t>
      </w:r>
      <w:r>
        <w:rPr>
          <w:rFonts w:eastAsia="Times New Roman"/>
          <w:color w:val="000000"/>
          <w:sz w:val="20"/>
          <w:szCs w:val="20"/>
        </w:rPr>
        <w:t>ed to register under the Investment Company Act. Our recent sales of businesses, including Federal-Mogul, Tropicana and ARI, did not result in our being considered an investment company. However, additional transactions involving the sale of certain assets</w:t>
      </w:r>
      <w:r>
        <w:rPr>
          <w:rFonts w:eastAsia="Times New Roman"/>
          <w:color w:val="000000"/>
          <w:sz w:val="20"/>
          <w:szCs w:val="20"/>
        </w:rPr>
        <w:t xml:space="preserve"> could result in our being considered an investment company. Following such events or transactions, an exemption under the Investment Company Act would provide us up to one year to take steps to avoid becoming classified as an investment company. We expect</w:t>
      </w:r>
      <w:r>
        <w:rPr>
          <w:rFonts w:eastAsia="Times New Roman"/>
          <w:color w:val="000000"/>
          <w:sz w:val="20"/>
          <w:szCs w:val="20"/>
        </w:rPr>
        <w:t xml:space="preserve"> to take steps to avoid becoming classified as an investment company, but no assurance can be made that we will successfully be able to take the steps necessary to avoid becoming classified as an investment company</w:t>
      </w:r>
      <w:r>
        <w:rPr>
          <w:rFonts w:eastAsia="Times New Roman"/>
          <w:color w:val="000000"/>
          <w:sz w:val="20"/>
          <w:szCs w:val="20"/>
        </w:rPr>
        <w:t>.</w:t>
      </w:r>
    </w:p>
    <w:p w14:paraId="4C082E41" w14:textId="77777777" w:rsidR="00000000" w:rsidRDefault="00195E73">
      <w:pPr>
        <w:ind w:firstLine="450"/>
        <w:divId w:val="1603414563"/>
        <w:rPr>
          <w:rFonts w:eastAsia="Times New Roman"/>
        </w:rPr>
      </w:pPr>
      <w:r>
        <w:rPr>
          <w:rFonts w:eastAsia="Times New Roman"/>
          <w:color w:val="000000"/>
          <w:sz w:val="20"/>
          <w:szCs w:val="20"/>
        </w:rPr>
        <w:t xml:space="preserve">If we are unsuccessful, then we will be </w:t>
      </w:r>
      <w:r>
        <w:rPr>
          <w:rFonts w:eastAsia="Times New Roman"/>
          <w:color w:val="000000"/>
          <w:sz w:val="20"/>
          <w:szCs w:val="20"/>
        </w:rPr>
        <w:t>required to register as a registered investment company and will be subject to extensive, restrictive and potentially adverse regulations relating to, among other things, operating methods, management, capital structure, dividends and transactions with aff</w:t>
      </w:r>
      <w:r>
        <w:rPr>
          <w:rFonts w:eastAsia="Times New Roman"/>
          <w:color w:val="000000"/>
          <w:sz w:val="20"/>
          <w:szCs w:val="20"/>
        </w:rPr>
        <w:t>iliates. Registered investment companies are not permitted to operate their business in the manner in which we currently operate our business, nor are registered investment companies permitted to have many of the relationships that we have with our affilia</w:t>
      </w:r>
      <w:r>
        <w:rPr>
          <w:rFonts w:eastAsia="Times New Roman"/>
          <w:color w:val="000000"/>
          <w:sz w:val="20"/>
          <w:szCs w:val="20"/>
        </w:rPr>
        <w:t>ted companies. In addition, if we become required to register under the Investment Company Act, it is likely that we would be treated as a corporation for U.S. federal income tax purposes and would be subject to the tax consequences described below under t</w:t>
      </w:r>
      <w:r>
        <w:rPr>
          <w:rFonts w:eastAsia="Times New Roman"/>
          <w:color w:val="000000"/>
          <w:sz w:val="20"/>
          <w:szCs w:val="20"/>
        </w:rPr>
        <w:t>he caption, “We may become taxable as a corporation if we are no longer treated as a partnership for federal income tax purposes.”</w:t>
      </w:r>
      <w:r>
        <w:rPr>
          <w:rFonts w:eastAsia="Times New Roman"/>
          <w:color w:val="000000"/>
          <w:sz w:val="20"/>
          <w:szCs w:val="20"/>
        </w:rPr>
        <w:t xml:space="preserve"> </w:t>
      </w:r>
    </w:p>
    <w:p w14:paraId="70E3625B" w14:textId="77777777" w:rsidR="00000000" w:rsidRDefault="00195E73">
      <w:pPr>
        <w:ind w:firstLine="450"/>
        <w:divId w:val="516429521"/>
        <w:rPr>
          <w:rFonts w:eastAsia="Times New Roman"/>
        </w:rPr>
      </w:pPr>
      <w:r>
        <w:rPr>
          <w:rFonts w:eastAsia="Times New Roman"/>
          <w:color w:val="000000"/>
          <w:sz w:val="20"/>
          <w:szCs w:val="20"/>
        </w:rPr>
        <w:t xml:space="preserve">If it were established that we were an investment company and did not register as an investment company when required to do </w:t>
      </w:r>
      <w:r>
        <w:rPr>
          <w:rFonts w:eastAsia="Times New Roman"/>
          <w:color w:val="000000"/>
          <w:sz w:val="20"/>
          <w:szCs w:val="20"/>
        </w:rPr>
        <w:t>so, there would be a risk, among other material adverse consequences, that we could become subject to monetary penalties or injunctive relief, or both, in an action brought by the SEC, that we would be unable to enforce contracts with third parties or that</w:t>
      </w:r>
      <w:r>
        <w:rPr>
          <w:rFonts w:eastAsia="Times New Roman"/>
          <w:color w:val="000000"/>
          <w:sz w:val="20"/>
          <w:szCs w:val="20"/>
        </w:rPr>
        <w:t xml:space="preserve"> third parties could seek to obtain rescission of transactions with us undertaken during the period it was established that we were an unregistered investment company</w:t>
      </w:r>
      <w:r>
        <w:rPr>
          <w:rFonts w:eastAsia="Times New Roman"/>
          <w:color w:val="000000"/>
          <w:sz w:val="20"/>
          <w:szCs w:val="20"/>
        </w:rPr>
        <w:t>.</w:t>
      </w:r>
    </w:p>
    <w:p w14:paraId="5E4128BB" w14:textId="77777777" w:rsidR="00000000" w:rsidRDefault="00195E73">
      <w:pPr>
        <w:divId w:val="1286235381"/>
        <w:rPr>
          <w:rFonts w:eastAsia="Times New Roman"/>
        </w:rPr>
      </w:pPr>
      <w:r>
        <w:rPr>
          <w:rFonts w:eastAsia="Times New Roman"/>
          <w:b/>
          <w:bCs/>
          <w:i/>
          <w:iCs/>
          <w:color w:val="000000"/>
          <w:sz w:val="20"/>
          <w:szCs w:val="20"/>
        </w:rPr>
        <w:t>We may structure transactions in a less advantageous manner to avoid becoming subject to</w:t>
      </w:r>
      <w:r>
        <w:rPr>
          <w:rFonts w:eastAsia="Times New Roman"/>
          <w:b/>
          <w:bCs/>
          <w:i/>
          <w:iCs/>
          <w:color w:val="000000"/>
          <w:sz w:val="20"/>
          <w:szCs w:val="20"/>
        </w:rPr>
        <w:t xml:space="preserve"> the Investment Company Act</w:t>
      </w:r>
      <w:r>
        <w:rPr>
          <w:rFonts w:eastAsia="Times New Roman"/>
          <w:b/>
          <w:bCs/>
          <w:i/>
          <w:iCs/>
          <w:color w:val="000000"/>
          <w:sz w:val="20"/>
          <w:szCs w:val="20"/>
        </w:rPr>
        <w:t>.</w:t>
      </w:r>
    </w:p>
    <w:p w14:paraId="04C46887" w14:textId="77777777" w:rsidR="00000000" w:rsidRDefault="00195E73">
      <w:pPr>
        <w:ind w:firstLine="405"/>
        <w:divId w:val="712654183"/>
        <w:rPr>
          <w:rFonts w:eastAsia="Times New Roman"/>
        </w:rPr>
      </w:pPr>
      <w:r>
        <w:rPr>
          <w:rFonts w:eastAsia="Times New Roman"/>
          <w:color w:val="000000"/>
          <w:sz w:val="20"/>
          <w:szCs w:val="20"/>
        </w:rPr>
        <w:t xml:space="preserve">In order not to become an investment company required to register under the Investment Company Act, we monitor the value of our investments and structure transactions with an eye toward the Investment Company Act. As a result, </w:t>
      </w:r>
      <w:r>
        <w:rPr>
          <w:rFonts w:eastAsia="Times New Roman"/>
          <w:color w:val="000000"/>
          <w:sz w:val="20"/>
          <w:szCs w:val="20"/>
        </w:rPr>
        <w:t>we may structure transactions in a less advantageous manner than if we did not have Investment Company Act concerns, or we may avoid otherwise economically desirable transactions due to those concerns.</w:t>
      </w:r>
      <w:r>
        <w:rPr>
          <w:rFonts w:eastAsia="Times New Roman"/>
          <w:color w:val="000000"/>
          <w:sz w:val="20"/>
          <w:szCs w:val="20"/>
        </w:rPr>
        <w:t xml:space="preserve"> </w:t>
      </w:r>
    </w:p>
    <w:p w14:paraId="7DEAA74E" w14:textId="77777777" w:rsidR="00000000" w:rsidRDefault="00195E73">
      <w:pPr>
        <w:jc w:val="center"/>
        <w:divId w:val="593173511"/>
        <w:rPr>
          <w:rFonts w:eastAsia="Times New Roman"/>
        </w:rPr>
      </w:pPr>
      <w:r>
        <w:rPr>
          <w:rFonts w:eastAsia="Times New Roman"/>
          <w:color w:val="000000"/>
          <w:sz w:val="20"/>
          <w:szCs w:val="20"/>
        </w:rPr>
        <w:t>1</w:t>
      </w:r>
      <w:r>
        <w:rPr>
          <w:rFonts w:eastAsia="Times New Roman"/>
          <w:color w:val="000000"/>
          <w:sz w:val="20"/>
          <w:szCs w:val="20"/>
        </w:rPr>
        <w:t>0</w:t>
      </w:r>
    </w:p>
    <w:p w14:paraId="2E21583E" w14:textId="77777777" w:rsidR="00000000" w:rsidRDefault="00195E73">
      <w:pPr>
        <w:rPr>
          <w:rFonts w:eastAsia="Times New Roman"/>
        </w:rPr>
      </w:pPr>
      <w:r>
        <w:rPr>
          <w:rFonts w:eastAsia="Times New Roman"/>
        </w:rPr>
        <w:pict w14:anchorId="4E6E870D">
          <v:rect id="_x0000_i1036" style="width:0;height:1.5pt" o:hralign="center" o:hrstd="t" o:hr="t" fillcolor="#a0a0a0" stroked="f"/>
        </w:pict>
      </w:r>
    </w:p>
    <w:p w14:paraId="50431492" w14:textId="77777777" w:rsidR="00000000" w:rsidRDefault="00195E73">
      <w:pPr>
        <w:divId w:val="1848212669"/>
        <w:rPr>
          <w:rFonts w:eastAsia="Times New Roman"/>
        </w:rPr>
      </w:pPr>
    </w:p>
    <w:p w14:paraId="3878FAE8" w14:textId="77777777" w:rsidR="00000000" w:rsidRDefault="00195E73">
      <w:pPr>
        <w:divId w:val="1960988758"/>
        <w:rPr>
          <w:rFonts w:eastAsia="Times New Roman"/>
        </w:rPr>
      </w:pPr>
      <w:r>
        <w:rPr>
          <w:rFonts w:eastAsia="Times New Roman"/>
          <w:b/>
          <w:bCs/>
          <w:i/>
          <w:iCs/>
          <w:color w:val="000000"/>
          <w:sz w:val="20"/>
          <w:szCs w:val="20"/>
        </w:rPr>
        <w:t>We may become taxable as a corporation if we are no longer treated as a partnership for U.S. federal income tax purposes</w:t>
      </w:r>
      <w:r>
        <w:rPr>
          <w:rFonts w:eastAsia="Times New Roman"/>
          <w:b/>
          <w:bCs/>
          <w:i/>
          <w:iCs/>
          <w:color w:val="000000"/>
          <w:sz w:val="20"/>
          <w:szCs w:val="20"/>
        </w:rPr>
        <w:t>.</w:t>
      </w:r>
    </w:p>
    <w:p w14:paraId="143E7644" w14:textId="77777777" w:rsidR="00000000" w:rsidRDefault="00195E73">
      <w:pPr>
        <w:ind w:firstLine="405"/>
        <w:divId w:val="643126160"/>
        <w:rPr>
          <w:rFonts w:eastAsia="Times New Roman"/>
        </w:rPr>
      </w:pPr>
      <w:r>
        <w:rPr>
          <w:rFonts w:eastAsia="Times New Roman"/>
          <w:color w:val="000000"/>
          <w:sz w:val="20"/>
          <w:szCs w:val="20"/>
        </w:rPr>
        <w:t>We believe that we have been and are properly treated as a partnership for U.S. federal income t</w:t>
      </w:r>
      <w:r>
        <w:rPr>
          <w:rFonts w:eastAsia="Times New Roman"/>
          <w:color w:val="000000"/>
          <w:sz w:val="20"/>
          <w:szCs w:val="20"/>
        </w:rPr>
        <w:t>ax purposes. This allows us to pass through our income and deductions to our partners. However, the Internal Revenue Service (“IRS”)could challenge our partnership status and we could fail to qualify as a partnership for past years as well as future years.</w:t>
      </w:r>
      <w:r>
        <w:rPr>
          <w:rFonts w:eastAsia="Times New Roman"/>
          <w:color w:val="000000"/>
          <w:sz w:val="20"/>
          <w:szCs w:val="20"/>
        </w:rPr>
        <w:t xml:space="preserve"> Qualification as a partnership involves the application of highly technical and complex provisions of the Internal Revenue Code, as amended. For example, a publicly traded partnership is generally taxable as a corporation unless 90% or more of its gross i</w:t>
      </w:r>
      <w:r>
        <w:rPr>
          <w:rFonts w:eastAsia="Times New Roman"/>
          <w:color w:val="000000"/>
          <w:sz w:val="20"/>
          <w:szCs w:val="20"/>
        </w:rPr>
        <w:t>ncome is “qualifying” income, which includes interest, dividends, oil and gas revenues, real property rents, gains from the sale or other disposition of real property, gain from the sale or other disposition of capital assets held for the production of int</w:t>
      </w:r>
      <w:r>
        <w:rPr>
          <w:rFonts w:eastAsia="Times New Roman"/>
          <w:color w:val="000000"/>
          <w:sz w:val="20"/>
          <w:szCs w:val="20"/>
        </w:rPr>
        <w:t>erest or dividends, and certain other items. We believe that in all prior years of our existence at least 90% of our gross income was “qualifying” income and we intend to structure our business in a manner such that at least 90% of our gross income will co</w:t>
      </w:r>
      <w:r>
        <w:rPr>
          <w:rFonts w:eastAsia="Times New Roman"/>
          <w:color w:val="000000"/>
          <w:sz w:val="20"/>
          <w:szCs w:val="20"/>
        </w:rPr>
        <w:t>nstitute “qualifying” income this year and in the future. However, there can be no assurance that such structuring will be effective in all events to avoid the receipt of more than 10% of non-qualifying income. If less than 90% of our gross income constitu</w:t>
      </w:r>
      <w:r>
        <w:rPr>
          <w:rFonts w:eastAsia="Times New Roman"/>
          <w:color w:val="000000"/>
          <w:sz w:val="20"/>
          <w:szCs w:val="20"/>
        </w:rPr>
        <w:t>tes “qualifying” income, we may be subject to corporate tax on our net income plus possible state taxes. Further, if less than 90% of our gross income constituted “qualifying” income for past years, we may be subject to corporate level tax plus interest an</w:t>
      </w:r>
      <w:r>
        <w:rPr>
          <w:rFonts w:eastAsia="Times New Roman"/>
          <w:color w:val="000000"/>
          <w:sz w:val="20"/>
          <w:szCs w:val="20"/>
        </w:rPr>
        <w:t>d possibly penalties. In addition, if we become required to register under the Investment Company Act, it is likely that we would be treated as a corporation for U.S. federal income tax purposes. The cost of paying federal and possibly state income tax, ei</w:t>
      </w:r>
      <w:r>
        <w:rPr>
          <w:rFonts w:eastAsia="Times New Roman"/>
          <w:color w:val="000000"/>
          <w:sz w:val="20"/>
          <w:szCs w:val="20"/>
        </w:rPr>
        <w:t xml:space="preserve">ther for past years or going forward could be a significant liability and would reduce our funds available to make distributions to holders of units, and to make interest and principal payments on our debt securities. To meet the “qualifying” income test, </w:t>
      </w:r>
      <w:r>
        <w:rPr>
          <w:rFonts w:eastAsia="Times New Roman"/>
          <w:color w:val="000000"/>
          <w:sz w:val="20"/>
          <w:szCs w:val="20"/>
        </w:rPr>
        <w:t>we may structure transactions in a manner which is less advantageous than if this were not a consideration, or we may avoid otherwise economically desirable transactions</w:t>
      </w:r>
      <w:r>
        <w:rPr>
          <w:rFonts w:eastAsia="Times New Roman"/>
          <w:color w:val="000000"/>
          <w:sz w:val="20"/>
          <w:szCs w:val="20"/>
        </w:rPr>
        <w:t>.</w:t>
      </w:r>
    </w:p>
    <w:p w14:paraId="3B4BDC54" w14:textId="77777777" w:rsidR="00000000" w:rsidRDefault="00195E73">
      <w:pPr>
        <w:divId w:val="1632053429"/>
        <w:rPr>
          <w:rFonts w:eastAsia="Times New Roman"/>
        </w:rPr>
      </w:pPr>
      <w:r>
        <w:rPr>
          <w:rFonts w:eastAsia="Times New Roman"/>
          <w:b/>
          <w:bCs/>
          <w:i/>
          <w:iCs/>
          <w:color w:val="000000"/>
          <w:sz w:val="20"/>
          <w:szCs w:val="20"/>
        </w:rPr>
        <w:t>We may be negatively impacted by the potential for changes in tax laws</w:t>
      </w:r>
      <w:r>
        <w:rPr>
          <w:rFonts w:eastAsia="Times New Roman"/>
          <w:b/>
          <w:bCs/>
          <w:i/>
          <w:iCs/>
          <w:color w:val="000000"/>
          <w:sz w:val="20"/>
          <w:szCs w:val="20"/>
        </w:rPr>
        <w:t>.</w:t>
      </w:r>
    </w:p>
    <w:p w14:paraId="6850633F" w14:textId="77777777" w:rsidR="00000000" w:rsidRDefault="00195E73">
      <w:pPr>
        <w:ind w:firstLine="405"/>
        <w:divId w:val="743407301"/>
        <w:rPr>
          <w:rFonts w:eastAsia="Times New Roman"/>
        </w:rPr>
      </w:pPr>
      <w:r>
        <w:rPr>
          <w:rFonts w:eastAsia="Times New Roman"/>
          <w:color w:val="000000"/>
          <w:sz w:val="20"/>
          <w:szCs w:val="20"/>
        </w:rPr>
        <w:t>Our investmen</w:t>
      </w:r>
      <w:r>
        <w:rPr>
          <w:rFonts w:eastAsia="Times New Roman"/>
          <w:color w:val="000000"/>
          <w:sz w:val="20"/>
          <w:szCs w:val="20"/>
        </w:rPr>
        <w:t>t strategy considers various tax related impacts. Past or future legislative proposals have been or may be introduced that, if enacted, could have a material and adverse effect on us. For example, past proposals have included taxing publicly traded partner</w:t>
      </w:r>
      <w:r>
        <w:rPr>
          <w:rFonts w:eastAsia="Times New Roman"/>
          <w:color w:val="000000"/>
          <w:sz w:val="20"/>
          <w:szCs w:val="20"/>
        </w:rPr>
        <w:t>ships, such as us, as corporations and introducing substantive changes to the definition of “qualifying” income, which could make it more difficult or impossible to for us to meet the exception that allows publicly traded partnerships generating “qualifyin</w:t>
      </w:r>
      <w:r>
        <w:rPr>
          <w:rFonts w:eastAsia="Times New Roman"/>
          <w:color w:val="000000"/>
          <w:sz w:val="20"/>
          <w:szCs w:val="20"/>
        </w:rPr>
        <w:t>g” income to be treated as partnerships (rather than corporations) for U.S. federal income tax purposes. We currently cannot predict the outcome of such legislative proposals, including, if enacted, their impact on our operations and financial position</w:t>
      </w:r>
      <w:r>
        <w:rPr>
          <w:rFonts w:eastAsia="Times New Roman"/>
          <w:color w:val="000000"/>
          <w:sz w:val="20"/>
          <w:szCs w:val="20"/>
        </w:rPr>
        <w:t>.</w:t>
      </w:r>
    </w:p>
    <w:p w14:paraId="6EFC54D4" w14:textId="77777777" w:rsidR="00000000" w:rsidRDefault="00195E73">
      <w:pPr>
        <w:divId w:val="123815524"/>
        <w:rPr>
          <w:rFonts w:eastAsia="Times New Roman"/>
        </w:rPr>
      </w:pPr>
      <w:r>
        <w:rPr>
          <w:rFonts w:eastAsia="Times New Roman"/>
          <w:b/>
          <w:bCs/>
          <w:i/>
          <w:iCs/>
          <w:color w:val="000000"/>
          <w:sz w:val="20"/>
          <w:szCs w:val="20"/>
        </w:rPr>
        <w:t>Ho</w:t>
      </w:r>
      <w:r>
        <w:rPr>
          <w:rFonts w:eastAsia="Times New Roman"/>
          <w:b/>
          <w:bCs/>
          <w:i/>
          <w:iCs/>
          <w:color w:val="000000"/>
          <w:sz w:val="20"/>
          <w:szCs w:val="20"/>
        </w:rPr>
        <w:t>lders of depositary units may be required to pay tax on their share of our income even if they did not receive cash distributions from us</w:t>
      </w:r>
      <w:r>
        <w:rPr>
          <w:rFonts w:eastAsia="Times New Roman"/>
          <w:b/>
          <w:bCs/>
          <w:i/>
          <w:iCs/>
          <w:color w:val="000000"/>
          <w:sz w:val="20"/>
          <w:szCs w:val="20"/>
        </w:rPr>
        <w:t>.</w:t>
      </w:r>
    </w:p>
    <w:p w14:paraId="614F4D43" w14:textId="77777777" w:rsidR="00000000" w:rsidRDefault="00195E73">
      <w:pPr>
        <w:ind w:firstLine="405"/>
        <w:divId w:val="348336187"/>
        <w:rPr>
          <w:rFonts w:eastAsia="Times New Roman"/>
        </w:rPr>
      </w:pPr>
      <w:r>
        <w:rPr>
          <w:rFonts w:eastAsia="Times New Roman"/>
          <w:color w:val="000000"/>
          <w:sz w:val="20"/>
          <w:szCs w:val="20"/>
        </w:rPr>
        <w:t>Because we are treated as a partnership for income tax purposes, unitholders generally are required to pay U.S. feder</w:t>
      </w:r>
      <w:r>
        <w:rPr>
          <w:rFonts w:eastAsia="Times New Roman"/>
          <w:color w:val="000000"/>
          <w:sz w:val="20"/>
          <w:szCs w:val="20"/>
        </w:rPr>
        <w:t>al income tax, and, in some cases, state or local income tax, on the portion of our taxable income allocated to them, whether or not such income is distributed. Accordingly, it is possible that holders of depositary units may not receive cash distributions</w:t>
      </w:r>
      <w:r>
        <w:rPr>
          <w:rFonts w:eastAsia="Times New Roman"/>
          <w:color w:val="000000"/>
          <w:sz w:val="20"/>
          <w:szCs w:val="20"/>
        </w:rPr>
        <w:t xml:space="preserve"> from us equal to their share of our taxable income, or even equal to their tax liability on the portion of our income allocated to them</w:t>
      </w:r>
      <w:r>
        <w:rPr>
          <w:rFonts w:eastAsia="Times New Roman"/>
          <w:color w:val="000000"/>
          <w:sz w:val="20"/>
          <w:szCs w:val="20"/>
        </w:rPr>
        <w:t>.</w:t>
      </w:r>
    </w:p>
    <w:p w14:paraId="3A53F41C" w14:textId="77777777" w:rsidR="00000000" w:rsidRDefault="00195E73">
      <w:pPr>
        <w:divId w:val="1281106996"/>
        <w:rPr>
          <w:rFonts w:eastAsia="Times New Roman"/>
        </w:rPr>
      </w:pPr>
      <w:r>
        <w:rPr>
          <w:rFonts w:eastAsia="Times New Roman"/>
          <w:b/>
          <w:bCs/>
          <w:i/>
          <w:iCs/>
          <w:color w:val="000000"/>
          <w:sz w:val="20"/>
          <w:szCs w:val="20"/>
        </w:rPr>
        <w:t>Tax gain or loss on the disposition of our depositary units could be more or less than expected.</w:t>
      </w:r>
      <w:r>
        <w:rPr>
          <w:rFonts w:eastAsia="Times New Roman"/>
          <w:b/>
          <w:bCs/>
          <w:i/>
          <w:iCs/>
          <w:color w:val="000000"/>
          <w:sz w:val="20"/>
          <w:szCs w:val="20"/>
        </w:rPr>
        <w:t xml:space="preserve"> </w:t>
      </w:r>
    </w:p>
    <w:p w14:paraId="41C897CF" w14:textId="77777777" w:rsidR="00000000" w:rsidRDefault="00195E73">
      <w:pPr>
        <w:ind w:firstLine="405"/>
        <w:divId w:val="1832018543"/>
        <w:rPr>
          <w:rFonts w:eastAsia="Times New Roman"/>
        </w:rPr>
      </w:pPr>
      <w:r>
        <w:rPr>
          <w:rFonts w:eastAsia="Times New Roman"/>
          <w:color w:val="000000"/>
          <w:sz w:val="20"/>
          <w:szCs w:val="20"/>
        </w:rPr>
        <w:t>If our unitholders s</w:t>
      </w:r>
      <w:r>
        <w:rPr>
          <w:rFonts w:eastAsia="Times New Roman"/>
          <w:color w:val="000000"/>
          <w:sz w:val="20"/>
          <w:szCs w:val="20"/>
        </w:rPr>
        <w:t xml:space="preserve">ell their units, they will recognize a gain or loss equal to the difference between the amount realized and their tax basis in those units. Prior distributions to our unitholders in excess of the total net taxable income our unitholders were allocated for </w:t>
      </w:r>
      <w:r>
        <w:rPr>
          <w:rFonts w:eastAsia="Times New Roman"/>
          <w:color w:val="000000"/>
          <w:sz w:val="20"/>
          <w:szCs w:val="20"/>
        </w:rPr>
        <w:t>a unit, which decreased their tax basis in that unit. As a result of the reduced basis, a unitholder will recognize a greater amount of income if the unit is later sold for an amount greater than such unit’s basis. A portion of the amount realized, whether</w:t>
      </w:r>
      <w:r>
        <w:rPr>
          <w:rFonts w:eastAsia="Times New Roman"/>
          <w:color w:val="000000"/>
          <w:sz w:val="20"/>
          <w:szCs w:val="20"/>
        </w:rPr>
        <w:t xml:space="preserve"> or not representing gain, may be ordinary income to the selling unitholder due to potential recapture items. In addition, because the amount realized includes a unitholder’s share of our nonrecourse liabilities, a unitholder who sells units may incur a ta</w:t>
      </w:r>
      <w:r>
        <w:rPr>
          <w:rFonts w:eastAsia="Times New Roman"/>
          <w:color w:val="000000"/>
          <w:sz w:val="20"/>
          <w:szCs w:val="20"/>
        </w:rPr>
        <w:t>x liability in excess of the amount of cash received from the sale.</w:t>
      </w:r>
      <w:r>
        <w:rPr>
          <w:rFonts w:eastAsia="Times New Roman"/>
          <w:color w:val="000000"/>
          <w:sz w:val="20"/>
          <w:szCs w:val="20"/>
        </w:rPr>
        <w:t xml:space="preserve"> </w:t>
      </w:r>
    </w:p>
    <w:p w14:paraId="4774BE89" w14:textId="77777777" w:rsidR="00000000" w:rsidRDefault="00195E73">
      <w:pPr>
        <w:divId w:val="1942832784"/>
        <w:rPr>
          <w:rFonts w:eastAsia="Times New Roman"/>
        </w:rPr>
      </w:pPr>
      <w:r>
        <w:rPr>
          <w:rFonts w:eastAsia="Times New Roman"/>
          <w:b/>
          <w:bCs/>
          <w:i/>
          <w:iCs/>
          <w:color w:val="000000"/>
          <w:sz w:val="20"/>
          <w:szCs w:val="20"/>
        </w:rPr>
        <w:t>Tax-exempt entities may recognize unrelated business taxable income they receive from holding our units, and may face other unique issues specific to their U.S. federal income tax classif</w:t>
      </w:r>
      <w:r>
        <w:rPr>
          <w:rFonts w:eastAsia="Times New Roman"/>
          <w:b/>
          <w:bCs/>
          <w:i/>
          <w:iCs/>
          <w:color w:val="000000"/>
          <w:sz w:val="20"/>
          <w:szCs w:val="20"/>
        </w:rPr>
        <w:t>ication</w:t>
      </w:r>
      <w:r>
        <w:rPr>
          <w:rFonts w:eastAsia="Times New Roman"/>
          <w:b/>
          <w:bCs/>
          <w:i/>
          <w:iCs/>
          <w:color w:val="000000"/>
          <w:sz w:val="20"/>
          <w:szCs w:val="20"/>
        </w:rPr>
        <w:t>.</w:t>
      </w:r>
    </w:p>
    <w:p w14:paraId="64BE5B8B" w14:textId="77777777" w:rsidR="00000000" w:rsidRDefault="00195E73">
      <w:pPr>
        <w:ind w:firstLine="405"/>
        <w:divId w:val="211842506"/>
        <w:rPr>
          <w:rFonts w:eastAsia="Times New Roman"/>
        </w:rPr>
      </w:pPr>
      <w:r>
        <w:rPr>
          <w:rFonts w:eastAsia="Times New Roman"/>
          <w:color w:val="000000"/>
          <w:sz w:val="20"/>
          <w:szCs w:val="20"/>
        </w:rPr>
        <w:t>Investment in units by tax-exempt entities, such as individual retirement accounts (known as IRAs), pension plans, and non-U.S. persons raises issues unique to them. For example, some portion of our income allocated to organizations exempt from U.</w:t>
      </w:r>
      <w:r>
        <w:rPr>
          <w:rFonts w:eastAsia="Times New Roman"/>
          <w:color w:val="000000"/>
          <w:sz w:val="20"/>
          <w:szCs w:val="20"/>
        </w:rPr>
        <w:t>S. federal income tax, particularly income arising from our debt-financed transactions, will likely be unrelated business taxable income and will be taxable to them</w:t>
      </w:r>
      <w:r>
        <w:rPr>
          <w:rFonts w:eastAsia="Times New Roman"/>
          <w:color w:val="000000"/>
          <w:sz w:val="20"/>
          <w:szCs w:val="20"/>
        </w:rPr>
        <w:t>.</w:t>
      </w:r>
    </w:p>
    <w:p w14:paraId="75CAD22A" w14:textId="77777777" w:rsidR="00000000" w:rsidRDefault="00195E73">
      <w:pPr>
        <w:divId w:val="2146317286"/>
        <w:rPr>
          <w:rFonts w:eastAsia="Times New Roman"/>
        </w:rPr>
      </w:pPr>
      <w:r>
        <w:rPr>
          <w:rFonts w:eastAsia="Times New Roman"/>
          <w:b/>
          <w:bCs/>
          <w:i/>
          <w:iCs/>
          <w:color w:val="000000"/>
          <w:sz w:val="20"/>
          <w:szCs w:val="20"/>
        </w:rPr>
        <w:t>Non-U.S. persons face unique tax issues from owning units that may result in adverse tax c</w:t>
      </w:r>
      <w:r>
        <w:rPr>
          <w:rFonts w:eastAsia="Times New Roman"/>
          <w:b/>
          <w:bCs/>
          <w:i/>
          <w:iCs/>
          <w:color w:val="000000"/>
          <w:sz w:val="20"/>
          <w:szCs w:val="20"/>
        </w:rPr>
        <w:t>onsequences to them, including being subject to withholding regimes and U.S. federal income tax on certain income they may earn from holding our units</w:t>
      </w:r>
      <w:r>
        <w:rPr>
          <w:rFonts w:eastAsia="Times New Roman"/>
          <w:b/>
          <w:bCs/>
          <w:i/>
          <w:iCs/>
          <w:color w:val="000000"/>
          <w:sz w:val="20"/>
          <w:szCs w:val="20"/>
        </w:rPr>
        <w:t>.</w:t>
      </w:r>
    </w:p>
    <w:p w14:paraId="00ED79F7" w14:textId="77777777" w:rsidR="00000000" w:rsidRDefault="00195E73">
      <w:pPr>
        <w:ind w:firstLine="405"/>
        <w:divId w:val="188884313"/>
        <w:rPr>
          <w:rFonts w:eastAsia="Times New Roman"/>
        </w:rPr>
      </w:pPr>
      <w:r>
        <w:rPr>
          <w:rFonts w:eastAsia="Times New Roman"/>
          <w:color w:val="000000"/>
          <w:sz w:val="20"/>
          <w:szCs w:val="20"/>
        </w:rPr>
        <w:t>Distributions to non-U.S. persons will be reduced by withholding taxes at the highest applicable effecti</w:t>
      </w:r>
      <w:r>
        <w:rPr>
          <w:rFonts w:eastAsia="Times New Roman"/>
          <w:color w:val="000000"/>
          <w:sz w:val="20"/>
          <w:szCs w:val="20"/>
        </w:rPr>
        <w:t>ve tax rate, and non-U.S. persons will be required to file U.S. federal income tax returns and pay tax on their share of our taxable income.</w:t>
      </w:r>
      <w:r>
        <w:rPr>
          <w:rFonts w:eastAsia="Times New Roman"/>
          <w:color w:val="000000"/>
          <w:sz w:val="20"/>
          <w:szCs w:val="20"/>
        </w:rPr>
        <w:t xml:space="preserve"> </w:t>
      </w:r>
    </w:p>
    <w:p w14:paraId="316CB101" w14:textId="77777777" w:rsidR="00000000" w:rsidRDefault="00195E73">
      <w:pPr>
        <w:jc w:val="center"/>
        <w:divId w:val="1441145061"/>
        <w:rPr>
          <w:rFonts w:eastAsia="Times New Roman"/>
        </w:rPr>
      </w:pPr>
      <w:r>
        <w:rPr>
          <w:rFonts w:eastAsia="Times New Roman"/>
          <w:color w:val="000000"/>
          <w:sz w:val="20"/>
          <w:szCs w:val="20"/>
        </w:rPr>
        <w:t>1</w:t>
      </w:r>
      <w:r>
        <w:rPr>
          <w:rFonts w:eastAsia="Times New Roman"/>
          <w:color w:val="000000"/>
          <w:sz w:val="20"/>
          <w:szCs w:val="20"/>
        </w:rPr>
        <w:t>1</w:t>
      </w:r>
    </w:p>
    <w:p w14:paraId="31CF36A7" w14:textId="77777777" w:rsidR="00000000" w:rsidRDefault="00195E73">
      <w:pPr>
        <w:rPr>
          <w:rFonts w:eastAsia="Times New Roman"/>
        </w:rPr>
      </w:pPr>
      <w:r>
        <w:rPr>
          <w:rFonts w:eastAsia="Times New Roman"/>
        </w:rPr>
        <w:pict w14:anchorId="013FDCA9">
          <v:rect id="_x0000_i1037" style="width:0;height:1.5pt" o:hralign="center" o:hrstd="t" o:hr="t" fillcolor="#a0a0a0" stroked="f"/>
        </w:pict>
      </w:r>
    </w:p>
    <w:p w14:paraId="757067FD" w14:textId="77777777" w:rsidR="00000000" w:rsidRDefault="00195E73">
      <w:pPr>
        <w:divId w:val="98795430"/>
        <w:rPr>
          <w:rFonts w:eastAsia="Times New Roman"/>
        </w:rPr>
      </w:pPr>
    </w:p>
    <w:p w14:paraId="745249C2" w14:textId="77777777" w:rsidR="00000000" w:rsidRDefault="00195E73">
      <w:pPr>
        <w:ind w:firstLine="405"/>
        <w:divId w:val="791748311"/>
        <w:rPr>
          <w:rFonts w:eastAsia="Times New Roman"/>
        </w:rPr>
      </w:pPr>
      <w:r>
        <w:rPr>
          <w:rFonts w:eastAsia="Times New Roman"/>
          <w:color w:val="000000"/>
          <w:sz w:val="20"/>
          <w:szCs w:val="20"/>
        </w:rPr>
        <w:t xml:space="preserve">In addition, under proposed Treasury regulations that are not currently </w:t>
      </w:r>
      <w:r>
        <w:rPr>
          <w:rFonts w:eastAsia="Times New Roman"/>
          <w:color w:val="000000"/>
          <w:sz w:val="20"/>
          <w:szCs w:val="20"/>
        </w:rPr>
        <w:t>applicable to us, the transferee of depositary units may be required to deduct and withhold a tax equal to 10% of the amount realized (or deemed realized) on the sale or exchange of such depositary units. The IRS had released a notice suspending the withho</w:t>
      </w:r>
      <w:r>
        <w:rPr>
          <w:rFonts w:eastAsia="Times New Roman"/>
          <w:color w:val="000000"/>
          <w:sz w:val="20"/>
          <w:szCs w:val="20"/>
        </w:rPr>
        <w:t>lding requirements described above for shares of publicly traded partnerships, such as us, until such time as regulations or other guidance have been issued. In May 2019, however, the IRS issued proposed regulations (the “Proposed Regulations”) that would,</w:t>
      </w:r>
      <w:r>
        <w:rPr>
          <w:rFonts w:eastAsia="Times New Roman"/>
          <w:color w:val="000000"/>
          <w:sz w:val="20"/>
          <w:szCs w:val="20"/>
        </w:rPr>
        <w:t xml:space="preserve"> if finalized, end the suspension of withholding rules with respect to the disposition of units in publicly traded partnerships by non-U.S. unitholders. Taxpayers are permitted to rely on the suspension provided by the earlier notice until finalized regula</w:t>
      </w:r>
      <w:r>
        <w:rPr>
          <w:rFonts w:eastAsia="Times New Roman"/>
          <w:color w:val="000000"/>
          <w:sz w:val="20"/>
          <w:szCs w:val="20"/>
        </w:rPr>
        <w:t xml:space="preserve">tions are put into effect. We cannot predict when or if the IRS will finalize the Proposed Regulations or release other guidance or what the finalized regulations or other guidance will say. If the Proposed Regulations are finalized in their current form, </w:t>
      </w:r>
      <w:r>
        <w:rPr>
          <w:rFonts w:eastAsia="Times New Roman"/>
          <w:color w:val="000000"/>
          <w:sz w:val="20"/>
          <w:szCs w:val="20"/>
        </w:rPr>
        <w:t>the recipient of the units being transferred, or the broker through which such transfer is effected, generally will be required to withhold 10% of the amount realized by the transferring unitholder, unless the transferring unitholder provides the recipient</w:t>
      </w:r>
      <w:r>
        <w:rPr>
          <w:rFonts w:eastAsia="Times New Roman"/>
          <w:color w:val="000000"/>
          <w:sz w:val="20"/>
          <w:szCs w:val="20"/>
        </w:rPr>
        <w:t xml:space="preserve"> unitholder (or the broker, as applicable) with either proper documentation proving that the transferring unitholder is not a nonresident alien individual or foreign corporation, or with certain other statements or certifications described in the Proposed </w:t>
      </w:r>
      <w:r>
        <w:rPr>
          <w:rFonts w:eastAsia="Times New Roman"/>
          <w:color w:val="000000"/>
          <w:sz w:val="20"/>
          <w:szCs w:val="20"/>
        </w:rPr>
        <w:t xml:space="preserve">Regulations that limit or relieve the recipient unitholder’s (or the broker’s, as applicable) withholding obligation. If the recipient unitholder (or the broker, as applicable) fails to properly withhold, then we generally would be obligated to deduct and </w:t>
      </w:r>
      <w:r>
        <w:rPr>
          <w:rFonts w:eastAsia="Times New Roman"/>
          <w:color w:val="000000"/>
          <w:sz w:val="20"/>
          <w:szCs w:val="20"/>
        </w:rPr>
        <w:t>withhold from distributions to the recipient unitholder a tax in an amount equal to the amount the transferring unitholder (or the broker, as applicable) failed to withhold (plus interest). If a potential unitholder is a tax-exempt entity or a non-U.S. per</w:t>
      </w:r>
      <w:r>
        <w:rPr>
          <w:rFonts w:eastAsia="Times New Roman"/>
          <w:color w:val="000000"/>
          <w:sz w:val="20"/>
          <w:szCs w:val="20"/>
        </w:rPr>
        <w:t>son, it should consult its tax advisor before investing in our units.</w:t>
      </w:r>
      <w:r>
        <w:rPr>
          <w:rFonts w:eastAsia="Times New Roman"/>
          <w:color w:val="000000"/>
          <w:sz w:val="20"/>
          <w:szCs w:val="20"/>
        </w:rPr>
        <w:t xml:space="preserve"> </w:t>
      </w:r>
    </w:p>
    <w:p w14:paraId="13E48ED7" w14:textId="77777777" w:rsidR="00000000" w:rsidRDefault="00195E73">
      <w:pPr>
        <w:divId w:val="630017042"/>
        <w:rPr>
          <w:rFonts w:eastAsia="Times New Roman"/>
        </w:rPr>
      </w:pPr>
      <w:r>
        <w:rPr>
          <w:rFonts w:eastAsia="Times New Roman"/>
          <w:b/>
          <w:bCs/>
          <w:i/>
          <w:iCs/>
          <w:color w:val="000000"/>
          <w:sz w:val="20"/>
          <w:szCs w:val="20"/>
        </w:rPr>
        <w:t>Our unitholders likely will be subject to state and local taxes and return filing or withholding requirements in states in which they do not live as a result of investing in our units.</w:t>
      </w:r>
      <w:r>
        <w:rPr>
          <w:rFonts w:eastAsia="Times New Roman"/>
          <w:b/>
          <w:bCs/>
          <w:i/>
          <w:iCs/>
          <w:color w:val="000000"/>
          <w:sz w:val="20"/>
          <w:szCs w:val="20"/>
        </w:rPr>
        <w:t xml:space="preserve"> </w:t>
      </w:r>
    </w:p>
    <w:p w14:paraId="42488F38" w14:textId="77777777" w:rsidR="00000000" w:rsidRDefault="00195E73">
      <w:pPr>
        <w:ind w:firstLine="405"/>
        <w:divId w:val="1850480470"/>
        <w:rPr>
          <w:rFonts w:eastAsia="Times New Roman"/>
        </w:rPr>
      </w:pPr>
      <w:r>
        <w:rPr>
          <w:rFonts w:eastAsia="Times New Roman"/>
          <w:color w:val="000000"/>
          <w:sz w:val="20"/>
          <w:szCs w:val="20"/>
        </w:rPr>
        <w:t>In addition to U.S. federal income taxes, our unitholders will likely be subject to other taxes, such as state and local income taxes, unincorporated business taxes and estate, inheritance, or intangible taxes that are imposed by the various jurisdictions</w:t>
      </w:r>
      <w:r>
        <w:rPr>
          <w:rFonts w:eastAsia="Times New Roman"/>
          <w:color w:val="000000"/>
          <w:sz w:val="20"/>
          <w:szCs w:val="20"/>
        </w:rPr>
        <w:t xml:space="preserve"> in which we do business or own property. Our unitholders may be required to file state and local income tax returns and pay state and local income taxes in certain of these various jurisdictions. Further, our unitholders may be subject to penalties for fa</w:t>
      </w:r>
      <w:r>
        <w:rPr>
          <w:rFonts w:eastAsia="Times New Roman"/>
          <w:color w:val="000000"/>
          <w:sz w:val="20"/>
          <w:szCs w:val="20"/>
        </w:rPr>
        <w:t>ilure to comply with those requirements. We own property and conduct business in Arkansas, Florida, Georgia, Illinois, Iowa, Kansas, Massachusetts, Missouri, Nebraska, Nevada, New York, Ohio, Oklahoma, Pennsylvania, Rhode Island and Texas. It is each unith</w:t>
      </w:r>
      <w:r>
        <w:rPr>
          <w:rFonts w:eastAsia="Times New Roman"/>
          <w:color w:val="000000"/>
          <w:sz w:val="20"/>
          <w:szCs w:val="20"/>
        </w:rPr>
        <w:t>older’s responsibility to file all federal, state and local tax returns. Our counsel has not rendered an opinion on the state and local tax consequences of an investment in our units.</w:t>
      </w:r>
      <w:r>
        <w:rPr>
          <w:rFonts w:eastAsia="Times New Roman"/>
          <w:color w:val="000000"/>
          <w:sz w:val="20"/>
          <w:szCs w:val="20"/>
        </w:rPr>
        <w:t xml:space="preserve"> </w:t>
      </w:r>
    </w:p>
    <w:p w14:paraId="74AB2B43" w14:textId="77777777" w:rsidR="00000000" w:rsidRDefault="00195E73">
      <w:pPr>
        <w:divId w:val="1564632507"/>
        <w:rPr>
          <w:rFonts w:eastAsia="Times New Roman"/>
        </w:rPr>
      </w:pPr>
      <w:r>
        <w:rPr>
          <w:rFonts w:eastAsia="Times New Roman"/>
          <w:b/>
          <w:bCs/>
          <w:i/>
          <w:iCs/>
          <w:color w:val="000000"/>
          <w:sz w:val="20"/>
          <w:szCs w:val="20"/>
        </w:rPr>
        <w:t>We prorate our items of income, gain, loss and deduction between transf</w:t>
      </w:r>
      <w:r>
        <w:rPr>
          <w:rFonts w:eastAsia="Times New Roman"/>
          <w:b/>
          <w:bCs/>
          <w:i/>
          <w:iCs/>
          <w:color w:val="000000"/>
          <w:sz w:val="20"/>
          <w:szCs w:val="20"/>
        </w:rPr>
        <w:t xml:space="preserve">erors and transferees of our units based upon the ownership of our units at the close of business on the last day of each month, instead of on the basis of the date a particular unit is transferred. The IRS may challenge this treatment, which could change </w:t>
      </w:r>
      <w:r>
        <w:rPr>
          <w:rFonts w:eastAsia="Times New Roman"/>
          <w:b/>
          <w:bCs/>
          <w:i/>
          <w:iCs/>
          <w:color w:val="000000"/>
          <w:sz w:val="20"/>
          <w:szCs w:val="20"/>
        </w:rPr>
        <w:t>the allocation of items of income, gain, loss and deduction among our unitholders.</w:t>
      </w:r>
      <w:r>
        <w:rPr>
          <w:rFonts w:eastAsia="Times New Roman"/>
          <w:b/>
          <w:bCs/>
          <w:i/>
          <w:iCs/>
          <w:color w:val="000000"/>
          <w:sz w:val="20"/>
          <w:szCs w:val="20"/>
        </w:rPr>
        <w:t xml:space="preserve"> </w:t>
      </w:r>
    </w:p>
    <w:p w14:paraId="65A793F6" w14:textId="77777777" w:rsidR="00000000" w:rsidRDefault="00195E73">
      <w:pPr>
        <w:ind w:firstLine="405"/>
        <w:divId w:val="1305432358"/>
        <w:rPr>
          <w:rFonts w:eastAsia="Times New Roman"/>
        </w:rPr>
      </w:pPr>
      <w:r>
        <w:rPr>
          <w:rFonts w:eastAsia="Times New Roman"/>
          <w:color w:val="000000"/>
          <w:sz w:val="20"/>
          <w:szCs w:val="20"/>
        </w:rPr>
        <w:t>We prorate our items of income, gain, loss and deduction between transferors and transferees of our units based upon the ownership of our units on the first business day of</w:t>
      </w:r>
      <w:r>
        <w:rPr>
          <w:rFonts w:eastAsia="Times New Roman"/>
          <w:color w:val="000000"/>
          <w:sz w:val="20"/>
          <w:szCs w:val="20"/>
        </w:rPr>
        <w:t xml:space="preserve"> each month, instead of on the basis of the date a particular unit is transferred. The U.S. Treasury Department adopted final Treasury regulations that provide that publicly traded partnerships may use a similar monthly simplifying convention to allocate t</w:t>
      </w:r>
      <w:r>
        <w:rPr>
          <w:rFonts w:eastAsia="Times New Roman"/>
          <w:color w:val="000000"/>
          <w:sz w:val="20"/>
          <w:szCs w:val="20"/>
        </w:rPr>
        <w:t>ax items among transferor and transferee unitholders. Nonetheless, the final regulations do not specifically authorize the use of the proration method we have adopted. If the IRS were to challenge this method, we may be required to change the allocation of</w:t>
      </w:r>
      <w:r>
        <w:rPr>
          <w:rFonts w:eastAsia="Times New Roman"/>
          <w:color w:val="000000"/>
          <w:sz w:val="20"/>
          <w:szCs w:val="20"/>
        </w:rPr>
        <w:t xml:space="preserve"> items of income, gain, loss and deduction among our unitholders.</w:t>
      </w:r>
      <w:r>
        <w:rPr>
          <w:rFonts w:eastAsia="Times New Roman"/>
          <w:color w:val="000000"/>
          <w:sz w:val="20"/>
          <w:szCs w:val="20"/>
        </w:rPr>
        <w:t xml:space="preserve"> </w:t>
      </w:r>
    </w:p>
    <w:p w14:paraId="68E4307D" w14:textId="77777777" w:rsidR="00000000" w:rsidRDefault="00195E73">
      <w:pPr>
        <w:divId w:val="1251811458"/>
        <w:rPr>
          <w:rFonts w:eastAsia="Times New Roman"/>
        </w:rPr>
      </w:pPr>
      <w:r>
        <w:rPr>
          <w:rFonts w:eastAsia="Times New Roman"/>
          <w:b/>
          <w:bCs/>
          <w:i/>
          <w:iCs/>
          <w:color w:val="000000"/>
          <w:sz w:val="20"/>
          <w:szCs w:val="20"/>
        </w:rPr>
        <w:t>A unitholder whose units are loaned to a “short seller” to cover a short sale of units may be considered as having disposed of those units. If so, such unitholder would no longer be treated</w:t>
      </w:r>
      <w:r>
        <w:rPr>
          <w:rFonts w:eastAsia="Times New Roman"/>
          <w:b/>
          <w:bCs/>
          <w:i/>
          <w:iCs/>
          <w:color w:val="000000"/>
          <w:sz w:val="20"/>
          <w:szCs w:val="20"/>
        </w:rPr>
        <w:t xml:space="preserve"> for U.S. federal income tax purposes as a partner with respect to those units during the period of the loan and may recognize gain or loss from the disposition.</w:t>
      </w:r>
      <w:r>
        <w:rPr>
          <w:rFonts w:eastAsia="Times New Roman"/>
          <w:b/>
          <w:bCs/>
          <w:i/>
          <w:iCs/>
          <w:color w:val="000000"/>
          <w:sz w:val="20"/>
          <w:szCs w:val="20"/>
        </w:rPr>
        <w:t xml:space="preserve"> </w:t>
      </w:r>
    </w:p>
    <w:p w14:paraId="15250960" w14:textId="77777777" w:rsidR="00000000" w:rsidRDefault="00195E73">
      <w:pPr>
        <w:ind w:firstLine="405"/>
        <w:divId w:val="791023239"/>
        <w:rPr>
          <w:rFonts w:eastAsia="Times New Roman"/>
        </w:rPr>
      </w:pPr>
      <w:r>
        <w:rPr>
          <w:rFonts w:eastAsia="Times New Roman"/>
          <w:color w:val="000000"/>
          <w:sz w:val="20"/>
          <w:szCs w:val="20"/>
        </w:rPr>
        <w:t>Because a unitholder whose units are loaned to a “short seller” to cover a short sale of unit</w:t>
      </w:r>
      <w:r>
        <w:rPr>
          <w:rFonts w:eastAsia="Times New Roman"/>
          <w:color w:val="000000"/>
          <w:sz w:val="20"/>
          <w:szCs w:val="20"/>
        </w:rPr>
        <w:t xml:space="preserve">s may be considered as having disposed of the loaned units, he or she may no longer be treated for U.S. federal income tax purposes as a partner with respect to those units during the period of the loan to the short seller and the unitholder may recognize </w:t>
      </w:r>
      <w:r>
        <w:rPr>
          <w:rFonts w:eastAsia="Times New Roman"/>
          <w:color w:val="000000"/>
          <w:sz w:val="20"/>
          <w:szCs w:val="20"/>
        </w:rPr>
        <w:t>gain or loss from such disposition. Moreover, during the period of the loan to the short seller, any of our income, gain, loss or deduction with respect to those units may not be reportable by the unitholder and any cash distributions received by the unith</w:t>
      </w:r>
      <w:r>
        <w:rPr>
          <w:rFonts w:eastAsia="Times New Roman"/>
          <w:color w:val="000000"/>
          <w:sz w:val="20"/>
          <w:szCs w:val="20"/>
        </w:rPr>
        <w:t>older as to those units could be fully taxable as ordinary income. Our counsel has not rendered an opinion regarding the treatment of a unitholder where units are loaned to a short seller to cover a short sale of units; therefore, unitholders desiring to a</w:t>
      </w:r>
      <w:r>
        <w:rPr>
          <w:rFonts w:eastAsia="Times New Roman"/>
          <w:color w:val="000000"/>
          <w:sz w:val="20"/>
          <w:szCs w:val="20"/>
        </w:rPr>
        <w:t>ssure their status as partners and avoid the risk of gain recognition from a loan to a short seller are urged to modify any applicable brokerage account agreements to prohibit their brokers from borrowing their units.</w:t>
      </w:r>
      <w:r>
        <w:rPr>
          <w:rFonts w:eastAsia="Times New Roman"/>
          <w:color w:val="000000"/>
          <w:sz w:val="20"/>
          <w:szCs w:val="20"/>
        </w:rPr>
        <w:t xml:space="preserve"> </w:t>
      </w:r>
    </w:p>
    <w:p w14:paraId="48E552CF" w14:textId="77777777" w:rsidR="00000000" w:rsidRDefault="00195E73">
      <w:pPr>
        <w:divId w:val="1301573285"/>
        <w:rPr>
          <w:rFonts w:eastAsia="Times New Roman"/>
        </w:rPr>
      </w:pPr>
    </w:p>
    <w:p w14:paraId="20A6AC1D" w14:textId="77777777" w:rsidR="00000000" w:rsidRDefault="00195E73">
      <w:pPr>
        <w:jc w:val="center"/>
        <w:divId w:val="1625845376"/>
        <w:rPr>
          <w:rFonts w:eastAsia="Times New Roman"/>
        </w:rPr>
      </w:pPr>
      <w:r>
        <w:rPr>
          <w:rFonts w:eastAsia="Times New Roman"/>
          <w:color w:val="000000"/>
          <w:sz w:val="20"/>
          <w:szCs w:val="20"/>
        </w:rPr>
        <w:t>1</w:t>
      </w:r>
      <w:r>
        <w:rPr>
          <w:rFonts w:eastAsia="Times New Roman"/>
          <w:color w:val="000000"/>
          <w:sz w:val="20"/>
          <w:szCs w:val="20"/>
        </w:rPr>
        <w:t>2</w:t>
      </w:r>
    </w:p>
    <w:p w14:paraId="35259101" w14:textId="77777777" w:rsidR="00000000" w:rsidRDefault="00195E73">
      <w:pPr>
        <w:rPr>
          <w:rFonts w:eastAsia="Times New Roman"/>
        </w:rPr>
      </w:pPr>
      <w:r>
        <w:rPr>
          <w:rFonts w:eastAsia="Times New Roman"/>
        </w:rPr>
        <w:pict w14:anchorId="0A00F832">
          <v:rect id="_x0000_i1038" style="width:0;height:1.5pt" o:hralign="center" o:hrstd="t" o:hr="t" fillcolor="#a0a0a0" stroked="f"/>
        </w:pict>
      </w:r>
    </w:p>
    <w:p w14:paraId="7D389D3D" w14:textId="77777777" w:rsidR="00000000" w:rsidRDefault="00195E73">
      <w:pPr>
        <w:divId w:val="477840398"/>
        <w:rPr>
          <w:rFonts w:eastAsia="Times New Roman"/>
        </w:rPr>
      </w:pPr>
    </w:p>
    <w:p w14:paraId="7FF5311B" w14:textId="77777777" w:rsidR="00000000" w:rsidRDefault="00195E73">
      <w:pPr>
        <w:divId w:val="1466509722"/>
        <w:rPr>
          <w:rFonts w:eastAsia="Times New Roman"/>
        </w:rPr>
      </w:pPr>
      <w:r>
        <w:rPr>
          <w:rFonts w:eastAsia="Times New Roman"/>
          <w:b/>
          <w:bCs/>
          <w:i/>
          <w:iCs/>
          <w:color w:val="000000"/>
          <w:sz w:val="20"/>
          <w:szCs w:val="20"/>
        </w:rPr>
        <w:t>If the IRS makes audit adjustments to our income tax returns for tax years beginning after 2017, it (and some states) may collect any resulting taxes (including any applicable penalties and interest) directly from us, in which case our cash available to se</w:t>
      </w:r>
      <w:r>
        <w:rPr>
          <w:rFonts w:eastAsia="Times New Roman"/>
          <w:b/>
          <w:bCs/>
          <w:i/>
          <w:iCs/>
          <w:color w:val="000000"/>
          <w:sz w:val="20"/>
          <w:szCs w:val="20"/>
        </w:rPr>
        <w:t>rvice debt or pay distributions to our unitholders, if and when resumed, could be substantially reduced.</w:t>
      </w:r>
      <w:r>
        <w:rPr>
          <w:rFonts w:eastAsia="Times New Roman"/>
          <w:b/>
          <w:bCs/>
          <w:i/>
          <w:iCs/>
          <w:color w:val="000000"/>
          <w:sz w:val="20"/>
          <w:szCs w:val="20"/>
        </w:rPr>
        <w:t xml:space="preserve"> </w:t>
      </w:r>
    </w:p>
    <w:p w14:paraId="7C69D410" w14:textId="77777777" w:rsidR="00000000" w:rsidRDefault="00195E73">
      <w:pPr>
        <w:ind w:firstLine="405"/>
        <w:divId w:val="347214582"/>
        <w:rPr>
          <w:rFonts w:eastAsia="Times New Roman"/>
        </w:rPr>
      </w:pPr>
      <w:r>
        <w:rPr>
          <w:rFonts w:eastAsia="Times New Roman"/>
          <w:color w:val="000000"/>
          <w:sz w:val="20"/>
          <w:szCs w:val="20"/>
        </w:rPr>
        <w:t>With respect to tax years beginning after December 31, 2017, if the IRS makes audit adjustments to our income tax returns, it (and some states) may as</w:t>
      </w:r>
      <w:r>
        <w:rPr>
          <w:rFonts w:eastAsia="Times New Roman"/>
          <w:color w:val="000000"/>
          <w:sz w:val="20"/>
          <w:szCs w:val="20"/>
        </w:rPr>
        <w:t xml:space="preserve">sess and collect any resulting taxes (including any applicable penalties and interest) resulting from such audit adjustment directly from us. Generally, we will have the option to seek to collect tax liability from our unitholders in accordance with their </w:t>
      </w:r>
      <w:r>
        <w:rPr>
          <w:rFonts w:eastAsia="Times New Roman"/>
          <w:color w:val="000000"/>
          <w:sz w:val="20"/>
          <w:szCs w:val="20"/>
        </w:rPr>
        <w:t>percentage interests during the year under audit, but there can be no assurance that we will elect to do so or be able to do so under all circumstances. If we do not collect such tax liability from our unitholders in accordance with their percentage intere</w:t>
      </w:r>
      <w:r>
        <w:rPr>
          <w:rFonts w:eastAsia="Times New Roman"/>
          <w:color w:val="000000"/>
          <w:sz w:val="20"/>
          <w:szCs w:val="20"/>
        </w:rPr>
        <w:t>sts in the tax year under audit, our net income and the available cash for quarterly distributions to current unitholders may be substantially reduced. Accordingly, our current unitholders may bear some or all of the tax liability resulting from such audit</w:t>
      </w:r>
      <w:r>
        <w:rPr>
          <w:rFonts w:eastAsia="Times New Roman"/>
          <w:color w:val="000000"/>
          <w:sz w:val="20"/>
          <w:szCs w:val="20"/>
        </w:rPr>
        <w:t xml:space="preserve"> adjustment, even if such unitholders did not own units during the tax year under audit. In particular, as a publicly traded partnership, our Partnership Representative (as defined below) may, in certain instances, request that any “imputed underpayment” r</w:t>
      </w:r>
      <w:r>
        <w:rPr>
          <w:rFonts w:eastAsia="Times New Roman"/>
          <w:color w:val="000000"/>
          <w:sz w:val="20"/>
          <w:szCs w:val="20"/>
        </w:rPr>
        <w:t>esulting from an audit be adjusted by amounts of certain of our passive losses. If we successfully make such a request, we would have to reduce suspended passive loss carryovers in a manner which is binding on the partners</w:t>
      </w:r>
      <w:r>
        <w:rPr>
          <w:rFonts w:eastAsia="Times New Roman"/>
          <w:color w:val="000000"/>
          <w:sz w:val="20"/>
          <w:szCs w:val="20"/>
        </w:rPr>
        <w:t>.</w:t>
      </w:r>
    </w:p>
    <w:p w14:paraId="02F96260" w14:textId="77777777" w:rsidR="00000000" w:rsidRDefault="00195E73">
      <w:pPr>
        <w:ind w:firstLine="405"/>
        <w:divId w:val="1920095086"/>
        <w:rPr>
          <w:rFonts w:eastAsia="Times New Roman"/>
        </w:rPr>
      </w:pPr>
      <w:r>
        <w:rPr>
          <w:rFonts w:eastAsia="Times New Roman"/>
          <w:color w:val="000000"/>
          <w:sz w:val="20"/>
          <w:szCs w:val="20"/>
        </w:rPr>
        <w:t>We are required to and have desi</w:t>
      </w:r>
      <w:r>
        <w:rPr>
          <w:rFonts w:eastAsia="Times New Roman"/>
          <w:color w:val="000000"/>
          <w:sz w:val="20"/>
          <w:szCs w:val="20"/>
        </w:rPr>
        <w:t>gnated a partner, or other person, with a substantial presence in the United States as the partnership representative (“Partnership Representative”). The Partnership Representative will have the sole authority to act on our behalf for purposes of, among ot</w:t>
      </w:r>
      <w:r>
        <w:rPr>
          <w:rFonts w:eastAsia="Times New Roman"/>
          <w:color w:val="000000"/>
          <w:sz w:val="20"/>
          <w:szCs w:val="20"/>
        </w:rPr>
        <w:t>her things, U.S. federal income tax audits and judicial review of administrative adjustments by the IRS. Any actions taken by us or by the Partnership Representative on our behalf with respect to, among other things, U.S. federal income tax audits and judi</w:t>
      </w:r>
      <w:r>
        <w:rPr>
          <w:rFonts w:eastAsia="Times New Roman"/>
          <w:color w:val="000000"/>
          <w:sz w:val="20"/>
          <w:szCs w:val="20"/>
        </w:rPr>
        <w:t>cial review of administrative adjustments by the IRS, will be binding on us and our unitholders</w:t>
      </w:r>
      <w:r>
        <w:rPr>
          <w:rFonts w:eastAsia="Times New Roman"/>
          <w:color w:val="000000"/>
          <w:sz w:val="20"/>
          <w:szCs w:val="20"/>
        </w:rPr>
        <w:t>.</w:t>
      </w:r>
    </w:p>
    <w:p w14:paraId="343FBA64" w14:textId="77777777" w:rsidR="00000000" w:rsidRDefault="00195E73">
      <w:pPr>
        <w:divId w:val="1455322619"/>
        <w:rPr>
          <w:rFonts w:eastAsia="Times New Roman"/>
        </w:rPr>
      </w:pPr>
      <w:r>
        <w:rPr>
          <w:rFonts w:eastAsia="Times New Roman"/>
          <w:b/>
          <w:bCs/>
          <w:i/>
          <w:iCs/>
          <w:color w:val="000000"/>
          <w:sz w:val="20"/>
          <w:szCs w:val="20"/>
        </w:rPr>
        <w:t>We may be subject to the pension liabilities of our affiliates</w:t>
      </w:r>
      <w:r>
        <w:rPr>
          <w:rFonts w:eastAsia="Times New Roman"/>
          <w:b/>
          <w:bCs/>
          <w:i/>
          <w:iCs/>
          <w:color w:val="000000"/>
          <w:sz w:val="20"/>
          <w:szCs w:val="20"/>
        </w:rPr>
        <w:t>.</w:t>
      </w:r>
    </w:p>
    <w:p w14:paraId="0BDE6D0B" w14:textId="77777777" w:rsidR="00000000" w:rsidRDefault="00195E73">
      <w:pPr>
        <w:ind w:firstLine="450"/>
        <w:divId w:val="1102456017"/>
        <w:rPr>
          <w:rFonts w:eastAsia="Times New Roman"/>
        </w:rPr>
      </w:pPr>
      <w:r>
        <w:rPr>
          <w:rFonts w:eastAsia="Times New Roman"/>
          <w:color w:val="000000"/>
          <w:sz w:val="20"/>
          <w:szCs w:val="20"/>
        </w:rPr>
        <w:t>Mr. Icahn, through certain affiliates, owns 100% of Icahn Enterprises GP and approximately 92.0</w:t>
      </w:r>
      <w:r>
        <w:rPr>
          <w:rFonts w:eastAsia="Times New Roman"/>
          <w:color w:val="000000"/>
          <w:sz w:val="20"/>
          <w:szCs w:val="20"/>
        </w:rPr>
        <w:t>% of Icahn Enterprises’ outstanding depositary units as of December 31, 2019. Applicable pension and tax laws make each member of a “controlled group” of entities, generally defined as entities in which there is at least an 80% common ownership interest, j</w:t>
      </w:r>
      <w:r>
        <w:rPr>
          <w:rFonts w:eastAsia="Times New Roman"/>
          <w:color w:val="000000"/>
          <w:sz w:val="20"/>
          <w:szCs w:val="20"/>
        </w:rPr>
        <w:t>ointly and severally liable for certain pension plan obligations of any member of the controlled group. These pension obligations include ongoing contributions to fund the plan, as well as liability for any unfunded liabilities that may exist at the time t</w:t>
      </w:r>
      <w:r>
        <w:rPr>
          <w:rFonts w:eastAsia="Times New Roman"/>
          <w:color w:val="000000"/>
          <w:sz w:val="20"/>
          <w:szCs w:val="20"/>
        </w:rPr>
        <w:t>he plan is terminated. In addition, the failure to pay these pension obligations when due may result in the creation of liens in favor of the pension plan or the Pension Benefit Guaranty Corporation (the “PBGC”) against the assets of each member of the con</w:t>
      </w:r>
      <w:r>
        <w:rPr>
          <w:rFonts w:eastAsia="Times New Roman"/>
          <w:color w:val="000000"/>
          <w:sz w:val="20"/>
          <w:szCs w:val="20"/>
        </w:rPr>
        <w:t>trolled group</w:t>
      </w:r>
      <w:r>
        <w:rPr>
          <w:rFonts w:eastAsia="Times New Roman"/>
          <w:color w:val="000000"/>
          <w:sz w:val="20"/>
          <w:szCs w:val="20"/>
        </w:rPr>
        <w:t>.</w:t>
      </w:r>
    </w:p>
    <w:p w14:paraId="6F09F9E3" w14:textId="77777777" w:rsidR="00000000" w:rsidRDefault="00195E73">
      <w:pPr>
        <w:ind w:firstLine="405"/>
        <w:divId w:val="1980039205"/>
        <w:rPr>
          <w:rFonts w:eastAsia="Times New Roman"/>
        </w:rPr>
      </w:pPr>
      <w:r>
        <w:rPr>
          <w:rFonts w:eastAsia="Times New Roman"/>
          <w:color w:val="000000"/>
          <w:sz w:val="20"/>
          <w:szCs w:val="20"/>
        </w:rPr>
        <w:t>As a result of the more than 80% ownership interest in us by Mr. Icahn’s affiliates, we and our subsidiaries are subject to the pension liabilities of entities in which Mr. Icahn has a direct or indirect ownership interest of at least 80%, w</w:t>
      </w:r>
      <w:r>
        <w:rPr>
          <w:rFonts w:eastAsia="Times New Roman"/>
          <w:color w:val="000000"/>
          <w:sz w:val="20"/>
          <w:szCs w:val="20"/>
        </w:rPr>
        <w:t>hich includes the liabilities of pension plans sponsored by ACF Industries LLC (“ACF”). All the minimum funding requirements of the Internal Revenue Code, as amended, and the Employee Retirement Income Security Act of 1974, as amended, for the ACF plans ha</w:t>
      </w:r>
      <w:r>
        <w:rPr>
          <w:rFonts w:eastAsia="Times New Roman"/>
          <w:color w:val="000000"/>
          <w:sz w:val="20"/>
          <w:szCs w:val="20"/>
        </w:rPr>
        <w:t>ve been met as of December 31, 2019. If the plans were voluntarily terminated, they would be underfunded by approximately $71 million as of December 31, 2019. These results are based on the most recent information provided by the plans’ actuary. These liab</w:t>
      </w:r>
      <w:r>
        <w:rPr>
          <w:rFonts w:eastAsia="Times New Roman"/>
          <w:color w:val="000000"/>
          <w:sz w:val="20"/>
          <w:szCs w:val="20"/>
        </w:rPr>
        <w:t>ilities could increase or decrease, depending on a number of factors, including future changes in benefits, investment returns, and the assumptions used to calculate the liability. As members of the controlled group, we would be liable for any failure of A</w:t>
      </w:r>
      <w:r>
        <w:rPr>
          <w:rFonts w:eastAsia="Times New Roman"/>
          <w:color w:val="000000"/>
          <w:sz w:val="20"/>
          <w:szCs w:val="20"/>
        </w:rPr>
        <w:t>CF to make ongoing pension contributions or to pay the unfunded liabilities upon a termination of the ACF pension plans. In addition, other entities now or in the future within the controlled group in which we are included may have pension plan obligations</w:t>
      </w:r>
      <w:r>
        <w:rPr>
          <w:rFonts w:eastAsia="Times New Roman"/>
          <w:color w:val="000000"/>
          <w:sz w:val="20"/>
          <w:szCs w:val="20"/>
        </w:rPr>
        <w:t xml:space="preserve"> that are, or may become, underfunded and we would be liable for any failure of such entities to make ongoing pension contributions or to pay the unfunded liabilities upon termination of such plans.</w:t>
      </w:r>
      <w:r>
        <w:rPr>
          <w:rFonts w:eastAsia="Times New Roman"/>
          <w:color w:val="000000"/>
          <w:sz w:val="20"/>
          <w:szCs w:val="20"/>
        </w:rPr>
        <w:t xml:space="preserve"> </w:t>
      </w:r>
    </w:p>
    <w:p w14:paraId="6CC470D3" w14:textId="77777777" w:rsidR="00000000" w:rsidRDefault="00195E73">
      <w:pPr>
        <w:ind w:firstLine="405"/>
        <w:divId w:val="129634208"/>
        <w:rPr>
          <w:rFonts w:eastAsia="Times New Roman"/>
        </w:rPr>
      </w:pPr>
      <w:r>
        <w:rPr>
          <w:rFonts w:eastAsia="Times New Roman"/>
          <w:color w:val="000000"/>
          <w:sz w:val="20"/>
          <w:szCs w:val="20"/>
        </w:rPr>
        <w:t>The current underfunded status of the ACF pension plans requires them to notify the PBGC of certain “reportable events,” such as if we cease to be a member of the ACF controlled group, or if we make certain extraordinary dividends or stock redemptions. The</w:t>
      </w:r>
      <w:r>
        <w:rPr>
          <w:rFonts w:eastAsia="Times New Roman"/>
          <w:color w:val="000000"/>
          <w:sz w:val="20"/>
          <w:szCs w:val="20"/>
        </w:rPr>
        <w:t xml:space="preserve"> obligation to report could cause us to seek to delay or reconsider the occurrence of such reportable events.</w:t>
      </w:r>
      <w:r>
        <w:rPr>
          <w:rFonts w:eastAsia="Times New Roman"/>
          <w:color w:val="000000"/>
          <w:sz w:val="20"/>
          <w:szCs w:val="20"/>
        </w:rPr>
        <w:t xml:space="preserve"> </w:t>
      </w:r>
    </w:p>
    <w:p w14:paraId="47293621" w14:textId="77777777" w:rsidR="00000000" w:rsidRDefault="00195E73">
      <w:pPr>
        <w:ind w:firstLine="405"/>
        <w:divId w:val="202718481"/>
        <w:rPr>
          <w:rFonts w:eastAsia="Times New Roman"/>
        </w:rPr>
      </w:pPr>
      <w:r>
        <w:rPr>
          <w:rFonts w:eastAsia="Times New Roman"/>
          <w:color w:val="000000"/>
          <w:sz w:val="20"/>
          <w:szCs w:val="20"/>
        </w:rPr>
        <w:t>Starfire Holding Corporation (“Starfire”), which is 99.6% owned by Mr. Icahn, has undertaken to indemnify us and our subsidiaries from losses res</w:t>
      </w:r>
      <w:r>
        <w:rPr>
          <w:rFonts w:eastAsia="Times New Roman"/>
          <w:color w:val="000000"/>
          <w:sz w:val="20"/>
          <w:szCs w:val="20"/>
        </w:rPr>
        <w:t>ulting from any imposition of certain pension funding or termination liabilities that may be imposed on us and our subsidiaries or our assets as a result of being a member of the Icahn controlled group, including ACF. The Starfire indemnity provides, among</w:t>
      </w:r>
      <w:r>
        <w:rPr>
          <w:rFonts w:eastAsia="Times New Roman"/>
          <w:color w:val="000000"/>
          <w:sz w:val="20"/>
          <w:szCs w:val="20"/>
        </w:rPr>
        <w:t xml:space="preserve"> other things, that so long as such contingent liabilities exist and could be imposed on us, Starfire will not make any distributions to its stockholders that would reduce its net worth to below $250 million. Nonetheless, Starfire may not be able to fund i</w:t>
      </w:r>
      <w:r>
        <w:rPr>
          <w:rFonts w:eastAsia="Times New Roman"/>
          <w:color w:val="000000"/>
          <w:sz w:val="20"/>
          <w:szCs w:val="20"/>
        </w:rPr>
        <w:t>ts indemnification obligations to us.</w:t>
      </w:r>
      <w:r>
        <w:rPr>
          <w:rFonts w:eastAsia="Times New Roman"/>
          <w:color w:val="000000"/>
          <w:sz w:val="20"/>
          <w:szCs w:val="20"/>
        </w:rPr>
        <w:t xml:space="preserve"> </w:t>
      </w:r>
    </w:p>
    <w:p w14:paraId="130E63FC" w14:textId="77777777" w:rsidR="00000000" w:rsidRDefault="00195E73">
      <w:pPr>
        <w:divId w:val="1057053930"/>
        <w:rPr>
          <w:rFonts w:eastAsia="Times New Roman"/>
        </w:rPr>
      </w:pPr>
    </w:p>
    <w:p w14:paraId="2A1E85C7" w14:textId="77777777" w:rsidR="00000000" w:rsidRDefault="00195E73">
      <w:pPr>
        <w:jc w:val="center"/>
        <w:divId w:val="835803136"/>
        <w:rPr>
          <w:rFonts w:eastAsia="Times New Roman"/>
        </w:rPr>
      </w:pPr>
      <w:r>
        <w:rPr>
          <w:rFonts w:eastAsia="Times New Roman"/>
          <w:color w:val="000000"/>
          <w:sz w:val="20"/>
          <w:szCs w:val="20"/>
        </w:rPr>
        <w:t>1</w:t>
      </w:r>
      <w:r>
        <w:rPr>
          <w:rFonts w:eastAsia="Times New Roman"/>
          <w:color w:val="000000"/>
          <w:sz w:val="20"/>
          <w:szCs w:val="20"/>
        </w:rPr>
        <w:t>3</w:t>
      </w:r>
    </w:p>
    <w:p w14:paraId="6FFEE4DA" w14:textId="77777777" w:rsidR="00000000" w:rsidRDefault="00195E73">
      <w:pPr>
        <w:rPr>
          <w:rFonts w:eastAsia="Times New Roman"/>
        </w:rPr>
      </w:pPr>
      <w:r>
        <w:rPr>
          <w:rFonts w:eastAsia="Times New Roman"/>
        </w:rPr>
        <w:pict w14:anchorId="623E3D80">
          <v:rect id="_x0000_i1039" style="width:0;height:1.5pt" o:hralign="center" o:hrstd="t" o:hr="t" fillcolor="#a0a0a0" stroked="f"/>
        </w:pict>
      </w:r>
    </w:p>
    <w:p w14:paraId="209E7CED" w14:textId="77777777" w:rsidR="00000000" w:rsidRDefault="00195E73">
      <w:pPr>
        <w:divId w:val="759519592"/>
        <w:rPr>
          <w:rFonts w:eastAsia="Times New Roman"/>
        </w:rPr>
      </w:pPr>
    </w:p>
    <w:p w14:paraId="7B2B6224" w14:textId="77777777" w:rsidR="00000000" w:rsidRDefault="00195E73">
      <w:pPr>
        <w:divId w:val="84308433"/>
        <w:rPr>
          <w:rFonts w:eastAsia="Times New Roman"/>
        </w:rPr>
      </w:pPr>
      <w:r>
        <w:rPr>
          <w:rFonts w:eastAsia="Times New Roman"/>
          <w:b/>
          <w:bCs/>
          <w:i/>
          <w:iCs/>
          <w:color w:val="000000"/>
          <w:sz w:val="20"/>
          <w:szCs w:val="20"/>
        </w:rPr>
        <w:t>We are a limited partnership and a ‘‘controlled company’’ within the meaning of the NASDAQ rules and as such are exempt from certain corporate governance requirements</w:t>
      </w:r>
      <w:r>
        <w:rPr>
          <w:rFonts w:eastAsia="Times New Roman"/>
          <w:b/>
          <w:bCs/>
          <w:i/>
          <w:iCs/>
          <w:color w:val="000000"/>
          <w:sz w:val="20"/>
          <w:szCs w:val="20"/>
        </w:rPr>
        <w:t>.</w:t>
      </w:r>
    </w:p>
    <w:p w14:paraId="4A60FB4F" w14:textId="77777777" w:rsidR="00000000" w:rsidRDefault="00195E73">
      <w:pPr>
        <w:ind w:firstLine="405"/>
        <w:divId w:val="370304632"/>
        <w:rPr>
          <w:rFonts w:eastAsia="Times New Roman"/>
        </w:rPr>
      </w:pPr>
      <w:r>
        <w:rPr>
          <w:rFonts w:eastAsia="Times New Roman"/>
          <w:color w:val="000000"/>
          <w:sz w:val="20"/>
          <w:szCs w:val="20"/>
        </w:rPr>
        <w:t>We are</w:t>
      </w:r>
      <w:r>
        <w:rPr>
          <w:rFonts w:eastAsia="Times New Roman"/>
          <w:color w:val="000000"/>
          <w:sz w:val="20"/>
          <w:szCs w:val="20"/>
        </w:rPr>
        <w:t xml:space="preserve"> a limited partnership and ‘‘controlled company’’ pursuant to Rule 5615(c) of the NASDAQ listing rules. As such we have elected, and intend to continue to elect, not to comply with certain corporate governance requirements of the NASDAQ listing rules, incl</w:t>
      </w:r>
      <w:r>
        <w:rPr>
          <w:rFonts w:eastAsia="Times New Roman"/>
          <w:color w:val="000000"/>
          <w:sz w:val="20"/>
          <w:szCs w:val="20"/>
        </w:rPr>
        <w:t xml:space="preserve">uding the requirements that a majority of the board of directors consist of independent directors and that independent directors determine the compensation of executive officers and the selection of nominees to the board of directors. We do not maintain a </w:t>
      </w:r>
      <w:r>
        <w:rPr>
          <w:rFonts w:eastAsia="Times New Roman"/>
          <w:color w:val="000000"/>
          <w:sz w:val="20"/>
          <w:szCs w:val="20"/>
        </w:rPr>
        <w:t>compensation or nominating committee and do not have a majority of independent directors. Accordingly, while we remain a controlled company and during any transition period following a time when we are no longer a controlled company, the NASDAQ listing rul</w:t>
      </w:r>
      <w:r>
        <w:rPr>
          <w:rFonts w:eastAsia="Times New Roman"/>
          <w:color w:val="000000"/>
          <w:sz w:val="20"/>
          <w:szCs w:val="20"/>
        </w:rPr>
        <w:t>es do not provide the same corporate governance protections applicable to stockholders of companies that are subject to all of the NASDAQ listing requirements</w:t>
      </w:r>
      <w:r>
        <w:rPr>
          <w:rFonts w:eastAsia="Times New Roman"/>
          <w:color w:val="000000"/>
          <w:sz w:val="20"/>
          <w:szCs w:val="20"/>
        </w:rPr>
        <w:t>.</w:t>
      </w:r>
    </w:p>
    <w:p w14:paraId="0595E5D6" w14:textId="77777777" w:rsidR="00000000" w:rsidRDefault="00195E73">
      <w:pPr>
        <w:divId w:val="885217053"/>
        <w:rPr>
          <w:rFonts w:eastAsia="Times New Roman"/>
        </w:rPr>
      </w:pPr>
      <w:r>
        <w:rPr>
          <w:rFonts w:eastAsia="Times New Roman"/>
          <w:b/>
          <w:bCs/>
          <w:i/>
          <w:iCs/>
          <w:color w:val="000000"/>
          <w:sz w:val="20"/>
          <w:szCs w:val="20"/>
        </w:rPr>
        <w:t>Certain members of our management team may be involved in other business activities that may inv</w:t>
      </w:r>
      <w:r>
        <w:rPr>
          <w:rFonts w:eastAsia="Times New Roman"/>
          <w:b/>
          <w:bCs/>
          <w:i/>
          <w:iCs/>
          <w:color w:val="000000"/>
          <w:sz w:val="20"/>
          <w:szCs w:val="20"/>
        </w:rPr>
        <w:t>olve conflicts of interest</w:t>
      </w:r>
      <w:r>
        <w:rPr>
          <w:rFonts w:eastAsia="Times New Roman"/>
          <w:b/>
          <w:bCs/>
          <w:i/>
          <w:iCs/>
          <w:color w:val="000000"/>
          <w:sz w:val="20"/>
          <w:szCs w:val="20"/>
        </w:rPr>
        <w:t>.</w:t>
      </w:r>
    </w:p>
    <w:p w14:paraId="629EF7F1" w14:textId="77777777" w:rsidR="00000000" w:rsidRDefault="00195E73">
      <w:pPr>
        <w:ind w:firstLine="405"/>
        <w:divId w:val="165244001"/>
        <w:rPr>
          <w:rFonts w:eastAsia="Times New Roman"/>
        </w:rPr>
      </w:pPr>
      <w:r>
        <w:rPr>
          <w:rFonts w:eastAsia="Times New Roman"/>
          <w:color w:val="000000"/>
          <w:sz w:val="20"/>
          <w:szCs w:val="20"/>
        </w:rPr>
        <w:t>Certain individual members of our management team may, from time to time, be involved in the management of other businesses, including those owned or controlled by Mr. Icahn and his affiliates. Accordingly, these individuals may</w:t>
      </w:r>
      <w:r>
        <w:rPr>
          <w:rFonts w:eastAsia="Times New Roman"/>
          <w:color w:val="000000"/>
          <w:sz w:val="20"/>
          <w:szCs w:val="20"/>
        </w:rPr>
        <w:t xml:space="preserve"> focus a portion of their time and attention on managing these other businesses. Conflicts may arise in the future between our interests and the interests of the other entities and business activities in which such individuals are involved</w:t>
      </w:r>
      <w:r>
        <w:rPr>
          <w:rFonts w:eastAsia="Times New Roman"/>
          <w:color w:val="000000"/>
          <w:sz w:val="20"/>
          <w:szCs w:val="20"/>
        </w:rPr>
        <w:t>.</w:t>
      </w:r>
    </w:p>
    <w:p w14:paraId="079AB10B" w14:textId="77777777" w:rsidR="00000000" w:rsidRDefault="00195E73">
      <w:pPr>
        <w:divId w:val="2119249353"/>
        <w:rPr>
          <w:rFonts w:eastAsia="Times New Roman"/>
        </w:rPr>
      </w:pPr>
      <w:r>
        <w:rPr>
          <w:rFonts w:eastAsia="Times New Roman"/>
          <w:b/>
          <w:bCs/>
          <w:i/>
          <w:iCs/>
          <w:color w:val="000000"/>
          <w:sz w:val="20"/>
          <w:szCs w:val="20"/>
        </w:rPr>
        <w:t>Holders of Icah</w:t>
      </w:r>
      <w:r>
        <w:rPr>
          <w:rFonts w:eastAsia="Times New Roman"/>
          <w:b/>
          <w:bCs/>
          <w:i/>
          <w:iCs/>
          <w:color w:val="000000"/>
          <w:sz w:val="20"/>
          <w:szCs w:val="20"/>
        </w:rPr>
        <w:t>n Enterprises’ depositary units have limited voting rights, including rights to participate in our management</w:t>
      </w:r>
      <w:r>
        <w:rPr>
          <w:rFonts w:eastAsia="Times New Roman"/>
          <w:b/>
          <w:bCs/>
          <w:i/>
          <w:iCs/>
          <w:color w:val="000000"/>
          <w:sz w:val="20"/>
          <w:szCs w:val="20"/>
        </w:rPr>
        <w:t>.</w:t>
      </w:r>
    </w:p>
    <w:p w14:paraId="5486BA54" w14:textId="77777777" w:rsidR="00000000" w:rsidRDefault="00195E73">
      <w:pPr>
        <w:ind w:firstLine="405"/>
        <w:divId w:val="97257996"/>
        <w:rPr>
          <w:rFonts w:eastAsia="Times New Roman"/>
        </w:rPr>
      </w:pPr>
      <w:r>
        <w:rPr>
          <w:rFonts w:eastAsia="Times New Roman"/>
          <w:color w:val="000000"/>
          <w:sz w:val="20"/>
          <w:szCs w:val="20"/>
        </w:rPr>
        <w:t>Our general partner manages and operates Icahn Enterprises. Unlike the holders of common stock in a corporation, holders of Icahn Enterprises’ ou</w:t>
      </w:r>
      <w:r>
        <w:rPr>
          <w:rFonts w:eastAsia="Times New Roman"/>
          <w:color w:val="000000"/>
          <w:sz w:val="20"/>
          <w:szCs w:val="20"/>
        </w:rPr>
        <w:t>tstanding depositary units have only limited voting rights on matters affecting our business. Holders of depositary units have no right to elect the general partner on an annual or other continuing basis, and our general partner generally may not be remove</w:t>
      </w:r>
      <w:r>
        <w:rPr>
          <w:rFonts w:eastAsia="Times New Roman"/>
          <w:color w:val="000000"/>
          <w:sz w:val="20"/>
          <w:szCs w:val="20"/>
        </w:rPr>
        <w:t>d except pursuant to the vote of the holders of not less than 75% of the outstanding depositary units. In addition, removal of the general partner may result in a default under the indentures governing our senior notes. As a result, holders of our deposita</w:t>
      </w:r>
      <w:r>
        <w:rPr>
          <w:rFonts w:eastAsia="Times New Roman"/>
          <w:color w:val="000000"/>
          <w:sz w:val="20"/>
          <w:szCs w:val="20"/>
        </w:rPr>
        <w:t>ry units have limited say in matters affecting our operations and others may find it difficult to attempt to gain control or influence our activities</w:t>
      </w:r>
      <w:r>
        <w:rPr>
          <w:rFonts w:eastAsia="Times New Roman"/>
          <w:color w:val="000000"/>
          <w:sz w:val="20"/>
          <w:szCs w:val="20"/>
        </w:rPr>
        <w:t>.</w:t>
      </w:r>
    </w:p>
    <w:p w14:paraId="4FA6FF5B" w14:textId="77777777" w:rsidR="00000000" w:rsidRDefault="00195E73">
      <w:pPr>
        <w:divId w:val="164370729"/>
        <w:rPr>
          <w:rFonts w:eastAsia="Times New Roman"/>
        </w:rPr>
      </w:pPr>
      <w:r>
        <w:rPr>
          <w:rFonts w:eastAsia="Times New Roman"/>
          <w:b/>
          <w:bCs/>
          <w:i/>
          <w:iCs/>
          <w:color w:val="000000"/>
          <w:sz w:val="20"/>
          <w:szCs w:val="20"/>
        </w:rPr>
        <w:t>Holders of Icahn Enterprises’ depositary units may not have limited liability in certain circumstances an</w:t>
      </w:r>
      <w:r>
        <w:rPr>
          <w:rFonts w:eastAsia="Times New Roman"/>
          <w:b/>
          <w:bCs/>
          <w:i/>
          <w:iCs/>
          <w:color w:val="000000"/>
          <w:sz w:val="20"/>
          <w:szCs w:val="20"/>
        </w:rPr>
        <w:t>d may be personally liable for the return of distributions that cause our liabilities to exceed our assets</w:t>
      </w:r>
      <w:r>
        <w:rPr>
          <w:rFonts w:eastAsia="Times New Roman"/>
          <w:b/>
          <w:bCs/>
          <w:i/>
          <w:iCs/>
          <w:color w:val="000000"/>
          <w:sz w:val="20"/>
          <w:szCs w:val="20"/>
        </w:rPr>
        <w:t>.</w:t>
      </w:r>
    </w:p>
    <w:p w14:paraId="549F33E7" w14:textId="77777777" w:rsidR="00000000" w:rsidRDefault="00195E73">
      <w:pPr>
        <w:ind w:firstLine="405"/>
        <w:divId w:val="1254360776"/>
        <w:rPr>
          <w:rFonts w:eastAsia="Times New Roman"/>
        </w:rPr>
      </w:pPr>
      <w:r>
        <w:rPr>
          <w:rFonts w:eastAsia="Times New Roman"/>
          <w:color w:val="000000"/>
          <w:sz w:val="20"/>
          <w:szCs w:val="20"/>
        </w:rPr>
        <w:t xml:space="preserve">We conduct our businesses through Icahn Enterprises Holdings in several states. Maintenance of limited liability will require compliance with legal </w:t>
      </w:r>
      <w:r>
        <w:rPr>
          <w:rFonts w:eastAsia="Times New Roman"/>
          <w:color w:val="000000"/>
          <w:sz w:val="20"/>
          <w:szCs w:val="20"/>
        </w:rPr>
        <w:t>requirements of those states. We are the sole limited partner of Icahn Enterprises Holdings. Limitations on the liability of a limited partner for the obligations of a limited partnership have not clearly been established in several states. If it were dete</w:t>
      </w:r>
      <w:r>
        <w:rPr>
          <w:rFonts w:eastAsia="Times New Roman"/>
          <w:color w:val="000000"/>
          <w:sz w:val="20"/>
          <w:szCs w:val="20"/>
        </w:rPr>
        <w:t>rmined that Icahn Enterprises Holdings has been conducting business in any state without compliance with the applicable limited partnership statute or the possession or exercise of the right by the partnership, as limited partner of Icahn Enterprises Holdi</w:t>
      </w:r>
      <w:r>
        <w:rPr>
          <w:rFonts w:eastAsia="Times New Roman"/>
          <w:color w:val="000000"/>
          <w:sz w:val="20"/>
          <w:szCs w:val="20"/>
        </w:rPr>
        <w:t>ngs, to remove its general partner, to approve certain amendments to the Icahn Enterprises Holdings partnership agreement or to take other action pursuant to the Icahn Enterprises Holdings partnership agreement, constituted “control” of Icahn Enterprises H</w:t>
      </w:r>
      <w:r>
        <w:rPr>
          <w:rFonts w:eastAsia="Times New Roman"/>
          <w:color w:val="000000"/>
          <w:sz w:val="20"/>
          <w:szCs w:val="20"/>
        </w:rPr>
        <w:t>oldings’ business for the purposes of the statutes of any relevant state, Icahn Enterprises and/or its unitholders, under certain circumstances, might be held personally liable for Icahn Enterprises Holdings’ obligations to the same extent as our general p</w:t>
      </w:r>
      <w:r>
        <w:rPr>
          <w:rFonts w:eastAsia="Times New Roman"/>
          <w:color w:val="000000"/>
          <w:sz w:val="20"/>
          <w:szCs w:val="20"/>
        </w:rPr>
        <w:t>artner. Further, under the laws of certain states, Icahn Enterprises might be liable for the amount of distributions made to Icahn Enterprises by Icahn Enterprises Holdings</w:t>
      </w:r>
      <w:r>
        <w:rPr>
          <w:rFonts w:eastAsia="Times New Roman"/>
          <w:color w:val="000000"/>
          <w:sz w:val="20"/>
          <w:szCs w:val="20"/>
        </w:rPr>
        <w:t>.</w:t>
      </w:r>
    </w:p>
    <w:p w14:paraId="7A9709B1" w14:textId="77777777" w:rsidR="00000000" w:rsidRDefault="00195E73">
      <w:pPr>
        <w:ind w:firstLine="405"/>
        <w:divId w:val="551111575"/>
        <w:rPr>
          <w:rFonts w:eastAsia="Times New Roman"/>
        </w:rPr>
      </w:pPr>
      <w:r>
        <w:rPr>
          <w:rFonts w:eastAsia="Times New Roman"/>
          <w:color w:val="000000"/>
          <w:sz w:val="20"/>
          <w:szCs w:val="20"/>
        </w:rPr>
        <w:t>Holders of Icahn Enterprises’ depositary units may also be required to repay Icahn</w:t>
      </w:r>
      <w:r>
        <w:rPr>
          <w:rFonts w:eastAsia="Times New Roman"/>
          <w:color w:val="000000"/>
          <w:sz w:val="20"/>
          <w:szCs w:val="20"/>
        </w:rPr>
        <w:t xml:space="preserve"> Enterprises amounts wrongfully distributed to them. Under Delaware law, we may not make a distribution to holders of our depositary units if the distribution causes our liabilities to exceed the fair value of our assets. Liabilities to partners on account</w:t>
      </w:r>
      <w:r>
        <w:rPr>
          <w:rFonts w:eastAsia="Times New Roman"/>
          <w:color w:val="000000"/>
          <w:sz w:val="20"/>
          <w:szCs w:val="20"/>
        </w:rPr>
        <w:t xml:space="preserve"> of their partnership interests and nonrecourse liabilities are not counted for purposes of determining whether a distribution is permitted. Delaware law provides that a limited partner who receives such a distribution and knew at the time of the distribut</w:t>
      </w:r>
      <w:r>
        <w:rPr>
          <w:rFonts w:eastAsia="Times New Roman"/>
          <w:color w:val="000000"/>
          <w:sz w:val="20"/>
          <w:szCs w:val="20"/>
        </w:rPr>
        <w:t>ion that the distribution violated Delaware law will be liable to the limited partnership for the distribution amount for three years from the distribution date</w:t>
      </w:r>
      <w:r>
        <w:rPr>
          <w:rFonts w:eastAsia="Times New Roman"/>
          <w:color w:val="000000"/>
          <w:sz w:val="20"/>
          <w:szCs w:val="20"/>
        </w:rPr>
        <w:t>.</w:t>
      </w:r>
    </w:p>
    <w:p w14:paraId="0F5BD745" w14:textId="77777777" w:rsidR="00000000" w:rsidRDefault="00195E73">
      <w:pPr>
        <w:ind w:firstLine="405"/>
        <w:divId w:val="177550993"/>
        <w:rPr>
          <w:rFonts w:eastAsia="Times New Roman"/>
        </w:rPr>
      </w:pPr>
      <w:r>
        <w:rPr>
          <w:rFonts w:eastAsia="Times New Roman"/>
          <w:color w:val="000000"/>
          <w:sz w:val="20"/>
          <w:szCs w:val="20"/>
        </w:rPr>
        <w:t>Additionally, under Delaware law an assignee who becomes a substituted limited partner of a li</w:t>
      </w:r>
      <w:r>
        <w:rPr>
          <w:rFonts w:eastAsia="Times New Roman"/>
          <w:color w:val="000000"/>
          <w:sz w:val="20"/>
          <w:szCs w:val="20"/>
        </w:rPr>
        <w:t>mited partnership is liable for the obligations, if any, of the assignor to make contributions to the partnership. However, such an assignee is not obligated for liabilities unknown to him or her at the time he or she became a limited partner if the liabil</w:t>
      </w:r>
      <w:r>
        <w:rPr>
          <w:rFonts w:eastAsia="Times New Roman"/>
          <w:color w:val="000000"/>
          <w:sz w:val="20"/>
          <w:szCs w:val="20"/>
        </w:rPr>
        <w:t>ities could not be determined from the partnership agreement</w:t>
      </w:r>
      <w:r>
        <w:rPr>
          <w:rFonts w:eastAsia="Times New Roman"/>
          <w:color w:val="000000"/>
          <w:sz w:val="20"/>
          <w:szCs w:val="20"/>
        </w:rPr>
        <w:t>.</w:t>
      </w:r>
    </w:p>
    <w:p w14:paraId="515E313B" w14:textId="77777777" w:rsidR="00000000" w:rsidRDefault="00195E73">
      <w:pPr>
        <w:divId w:val="1627201934"/>
        <w:rPr>
          <w:rFonts w:eastAsia="Times New Roman"/>
        </w:rPr>
      </w:pPr>
      <w:r>
        <w:rPr>
          <w:rFonts w:eastAsia="Times New Roman"/>
          <w:b/>
          <w:bCs/>
          <w:i/>
          <w:iCs/>
          <w:color w:val="000000"/>
          <w:sz w:val="20"/>
          <w:szCs w:val="20"/>
        </w:rPr>
        <w:t>Since we are a limited partnership, you may not be able to pursue legal claims against us in U.S. federal courts</w:t>
      </w:r>
      <w:r>
        <w:rPr>
          <w:rFonts w:eastAsia="Times New Roman"/>
          <w:b/>
          <w:bCs/>
          <w:i/>
          <w:iCs/>
          <w:color w:val="000000"/>
          <w:sz w:val="20"/>
          <w:szCs w:val="20"/>
        </w:rPr>
        <w:t>.</w:t>
      </w:r>
    </w:p>
    <w:p w14:paraId="259382FF" w14:textId="77777777" w:rsidR="00000000" w:rsidRDefault="00195E73">
      <w:pPr>
        <w:ind w:firstLine="405"/>
        <w:divId w:val="1756509135"/>
        <w:rPr>
          <w:rFonts w:eastAsia="Times New Roman"/>
        </w:rPr>
      </w:pPr>
      <w:r>
        <w:rPr>
          <w:rFonts w:eastAsia="Times New Roman"/>
          <w:color w:val="000000"/>
          <w:sz w:val="20"/>
          <w:szCs w:val="20"/>
        </w:rPr>
        <w:t xml:space="preserve">We are a limited partnership organized under the laws of the state of Delaware. </w:t>
      </w:r>
      <w:r>
        <w:rPr>
          <w:rFonts w:eastAsia="Times New Roman"/>
          <w:color w:val="000000"/>
          <w:sz w:val="20"/>
          <w:szCs w:val="20"/>
        </w:rPr>
        <w:t>Under the federal rules of civil procedure, you may not be able to sue us in federal court on claims other than those based solely on federal law, because of lack of complete diversity. Case law applying diversity jurisdiction deems us to have the citizens</w:t>
      </w:r>
      <w:r>
        <w:rPr>
          <w:rFonts w:eastAsia="Times New Roman"/>
          <w:color w:val="000000"/>
          <w:sz w:val="20"/>
          <w:szCs w:val="20"/>
        </w:rPr>
        <w:t>hip of each of our limited partners. Because we are a publicly traded limited partnership, it may not be possible for you to sue us in a federal court because we have citizenship in all 50 U.S. states and operations in many states. Accordingly, you will be</w:t>
      </w:r>
      <w:r>
        <w:rPr>
          <w:rFonts w:eastAsia="Times New Roman"/>
          <w:color w:val="000000"/>
          <w:sz w:val="20"/>
          <w:szCs w:val="20"/>
        </w:rPr>
        <w:t xml:space="preserve"> limited to bringing any claims in state court.</w:t>
      </w:r>
      <w:r>
        <w:rPr>
          <w:rFonts w:eastAsia="Times New Roman"/>
          <w:color w:val="000000"/>
          <w:sz w:val="20"/>
          <w:szCs w:val="20"/>
        </w:rPr>
        <w:t xml:space="preserve"> </w:t>
      </w:r>
    </w:p>
    <w:p w14:paraId="27152CF5" w14:textId="77777777" w:rsidR="00000000" w:rsidRDefault="00195E73">
      <w:pPr>
        <w:divId w:val="597908034"/>
        <w:rPr>
          <w:rFonts w:eastAsia="Times New Roman"/>
        </w:rPr>
      </w:pPr>
    </w:p>
    <w:p w14:paraId="726A6EF2" w14:textId="77777777" w:rsidR="00000000" w:rsidRDefault="00195E73">
      <w:pPr>
        <w:jc w:val="center"/>
        <w:divId w:val="947464488"/>
        <w:rPr>
          <w:rFonts w:eastAsia="Times New Roman"/>
        </w:rPr>
      </w:pPr>
      <w:r>
        <w:rPr>
          <w:rFonts w:eastAsia="Times New Roman"/>
          <w:color w:val="000000"/>
          <w:sz w:val="20"/>
          <w:szCs w:val="20"/>
        </w:rPr>
        <w:t>1</w:t>
      </w:r>
      <w:r>
        <w:rPr>
          <w:rFonts w:eastAsia="Times New Roman"/>
          <w:color w:val="000000"/>
          <w:sz w:val="20"/>
          <w:szCs w:val="20"/>
        </w:rPr>
        <w:t>4</w:t>
      </w:r>
    </w:p>
    <w:p w14:paraId="782F1FBD" w14:textId="77777777" w:rsidR="00000000" w:rsidRDefault="00195E73">
      <w:pPr>
        <w:rPr>
          <w:rFonts w:eastAsia="Times New Roman"/>
        </w:rPr>
      </w:pPr>
      <w:r>
        <w:rPr>
          <w:rFonts w:eastAsia="Times New Roman"/>
        </w:rPr>
        <w:pict w14:anchorId="08CA4AB5">
          <v:rect id="_x0000_i1040" style="width:0;height:1.5pt" o:hralign="center" o:hrstd="t" o:hr="t" fillcolor="#a0a0a0" stroked="f"/>
        </w:pict>
      </w:r>
    </w:p>
    <w:p w14:paraId="42E1902B" w14:textId="77777777" w:rsidR="00000000" w:rsidRDefault="00195E73">
      <w:pPr>
        <w:divId w:val="1876234577"/>
        <w:rPr>
          <w:rFonts w:eastAsia="Times New Roman"/>
        </w:rPr>
      </w:pPr>
    </w:p>
    <w:p w14:paraId="62649ADC" w14:textId="77777777" w:rsidR="00000000" w:rsidRDefault="00195E73">
      <w:pPr>
        <w:jc w:val="center"/>
        <w:divId w:val="183828908"/>
        <w:rPr>
          <w:rFonts w:eastAsia="Times New Roman"/>
        </w:rPr>
      </w:pPr>
      <w:r>
        <w:rPr>
          <w:rFonts w:eastAsia="Times New Roman"/>
          <w:b/>
          <w:bCs/>
          <w:color w:val="000000"/>
          <w:sz w:val="20"/>
          <w:szCs w:val="20"/>
        </w:rPr>
        <w:t>Risks Relating to Liquidity and Capital Requirement</w:t>
      </w:r>
      <w:r>
        <w:rPr>
          <w:rFonts w:eastAsia="Times New Roman"/>
          <w:b/>
          <w:bCs/>
          <w:color w:val="000000"/>
          <w:sz w:val="20"/>
          <w:szCs w:val="20"/>
        </w:rPr>
        <w:t>s</w:t>
      </w:r>
    </w:p>
    <w:p w14:paraId="4895D093" w14:textId="77777777" w:rsidR="00000000" w:rsidRDefault="00195E73">
      <w:pPr>
        <w:divId w:val="703023111"/>
        <w:rPr>
          <w:rFonts w:eastAsia="Times New Roman"/>
        </w:rPr>
      </w:pPr>
      <w:r>
        <w:rPr>
          <w:rFonts w:eastAsia="Times New Roman"/>
          <w:b/>
          <w:bCs/>
          <w:i/>
          <w:iCs/>
          <w:color w:val="000000"/>
          <w:sz w:val="20"/>
          <w:szCs w:val="20"/>
        </w:rPr>
        <w:t>We are a holding company and depend on the businesses of our subsidiaries to satisfy our obligations</w:t>
      </w:r>
      <w:r>
        <w:rPr>
          <w:rFonts w:eastAsia="Times New Roman"/>
          <w:b/>
          <w:bCs/>
          <w:i/>
          <w:iCs/>
          <w:color w:val="000000"/>
          <w:sz w:val="20"/>
          <w:szCs w:val="20"/>
        </w:rPr>
        <w:t>.</w:t>
      </w:r>
    </w:p>
    <w:p w14:paraId="366F6B66" w14:textId="77777777" w:rsidR="00000000" w:rsidRDefault="00195E73">
      <w:pPr>
        <w:ind w:firstLine="405"/>
        <w:divId w:val="1288897083"/>
        <w:rPr>
          <w:rFonts w:eastAsia="Times New Roman"/>
        </w:rPr>
      </w:pPr>
      <w:r>
        <w:rPr>
          <w:rFonts w:eastAsia="Times New Roman"/>
          <w:color w:val="000000"/>
          <w:sz w:val="20"/>
          <w:szCs w:val="20"/>
        </w:rPr>
        <w:t>We are a holding company. In addition to cash and cash equivalents, U.S. government and agency obligations, marketable equity and debt securities and othe</w:t>
      </w:r>
      <w:r>
        <w:rPr>
          <w:rFonts w:eastAsia="Times New Roman"/>
          <w:color w:val="000000"/>
          <w:sz w:val="20"/>
          <w:szCs w:val="20"/>
        </w:rPr>
        <w:t xml:space="preserve">r short-term investments, our assets consist primarily of investments in our subsidiaries. Moreover, if we make significant investments in new operating businesses, it is likely that we will reduce our liquid assets and those of Icahn Enterprises Holdings </w:t>
      </w:r>
      <w:r>
        <w:rPr>
          <w:rFonts w:eastAsia="Times New Roman"/>
          <w:color w:val="000000"/>
          <w:sz w:val="20"/>
          <w:szCs w:val="20"/>
        </w:rPr>
        <w:t xml:space="preserve">in order to fund those investments and the ongoing operations of our subsidiaries. Consequently, our cash flow and our ability to meet our debt service obligations and make distributions with respect to depositary units likely will depend on the cash flow </w:t>
      </w:r>
      <w:r>
        <w:rPr>
          <w:rFonts w:eastAsia="Times New Roman"/>
          <w:color w:val="000000"/>
          <w:sz w:val="20"/>
          <w:szCs w:val="20"/>
        </w:rPr>
        <w:t>of our subsidiaries and the payment of funds to us by our subsidiaries in the form of dividends, distributions, loans or otherwise</w:t>
      </w:r>
      <w:r>
        <w:rPr>
          <w:rFonts w:eastAsia="Times New Roman"/>
          <w:color w:val="000000"/>
          <w:sz w:val="20"/>
          <w:szCs w:val="20"/>
        </w:rPr>
        <w:t>.</w:t>
      </w:r>
    </w:p>
    <w:p w14:paraId="6B77F348" w14:textId="77777777" w:rsidR="00000000" w:rsidRDefault="00195E73">
      <w:pPr>
        <w:ind w:firstLine="405"/>
        <w:divId w:val="241331698"/>
        <w:rPr>
          <w:rFonts w:eastAsia="Times New Roman"/>
        </w:rPr>
      </w:pPr>
      <w:r>
        <w:rPr>
          <w:rFonts w:eastAsia="Times New Roman"/>
          <w:color w:val="000000"/>
          <w:sz w:val="20"/>
          <w:szCs w:val="20"/>
        </w:rPr>
        <w:t>The operating results of our subsidiaries may not be sufficient to make distributions to us. In addition, our subsidiaries a</w:t>
      </w:r>
      <w:r>
        <w:rPr>
          <w:rFonts w:eastAsia="Times New Roman"/>
          <w:color w:val="000000"/>
          <w:sz w:val="20"/>
          <w:szCs w:val="20"/>
        </w:rPr>
        <w:t>re not obligated to make funds available to us and distributions and intercompany transfers from our subsidiaries to us may be restricted by applicable law or covenants contained in debt agreements and other agreements to which these subsidiaries may be su</w:t>
      </w:r>
      <w:r>
        <w:rPr>
          <w:rFonts w:eastAsia="Times New Roman"/>
          <w:color w:val="000000"/>
          <w:sz w:val="20"/>
          <w:szCs w:val="20"/>
        </w:rPr>
        <w:t>bject or enter into in the future.</w:t>
      </w:r>
      <w:r>
        <w:rPr>
          <w:rFonts w:eastAsia="Times New Roman"/>
          <w:color w:val="000000"/>
          <w:sz w:val="20"/>
          <w:szCs w:val="20"/>
        </w:rPr>
        <w:t> </w:t>
      </w:r>
    </w:p>
    <w:p w14:paraId="73BCF914" w14:textId="77777777" w:rsidR="00000000" w:rsidRDefault="00195E73">
      <w:pPr>
        <w:ind w:firstLine="405"/>
        <w:divId w:val="2115398400"/>
        <w:rPr>
          <w:rFonts w:eastAsia="Times New Roman"/>
        </w:rPr>
      </w:pPr>
      <w:r>
        <w:rPr>
          <w:rFonts w:eastAsia="Times New Roman"/>
          <w:color w:val="000000"/>
          <w:sz w:val="20"/>
          <w:szCs w:val="20"/>
        </w:rPr>
        <w:t>The terms of certain borrowing agreements of our subsidiaries, or other entities in which we own equity, may restrict dividends, distributions or loans to us. To the degree any distributions and transfers are impaired or</w:t>
      </w:r>
      <w:r>
        <w:rPr>
          <w:rFonts w:eastAsia="Times New Roman"/>
          <w:color w:val="000000"/>
          <w:sz w:val="20"/>
          <w:szCs w:val="20"/>
        </w:rPr>
        <w:t xml:space="preserve"> prohibited, our ability to make payments on our debt and to make distributions on our depositary units will be limited</w:t>
      </w:r>
      <w:r>
        <w:rPr>
          <w:rFonts w:eastAsia="Times New Roman"/>
          <w:color w:val="000000"/>
          <w:sz w:val="20"/>
          <w:szCs w:val="20"/>
        </w:rPr>
        <w:t>.</w:t>
      </w:r>
    </w:p>
    <w:p w14:paraId="33AC7212" w14:textId="77777777" w:rsidR="00000000" w:rsidRDefault="00195E73">
      <w:pPr>
        <w:divId w:val="23099529"/>
        <w:rPr>
          <w:rFonts w:eastAsia="Times New Roman"/>
        </w:rPr>
      </w:pPr>
      <w:r>
        <w:rPr>
          <w:rFonts w:eastAsia="Times New Roman"/>
          <w:b/>
          <w:bCs/>
          <w:i/>
          <w:iCs/>
          <w:color w:val="000000"/>
          <w:sz w:val="20"/>
          <w:szCs w:val="20"/>
        </w:rPr>
        <w:t>To service our indebtedness, we will require a significant amount of cash. Our ability to maintain our current cash position or generat</w:t>
      </w:r>
      <w:r>
        <w:rPr>
          <w:rFonts w:eastAsia="Times New Roman"/>
          <w:b/>
          <w:bCs/>
          <w:i/>
          <w:iCs/>
          <w:color w:val="000000"/>
          <w:sz w:val="20"/>
          <w:szCs w:val="20"/>
        </w:rPr>
        <w:t>e cash depends on many factors beyond our control</w:t>
      </w:r>
      <w:r>
        <w:rPr>
          <w:rFonts w:eastAsia="Times New Roman"/>
          <w:b/>
          <w:bCs/>
          <w:i/>
          <w:iCs/>
          <w:color w:val="000000"/>
          <w:sz w:val="20"/>
          <w:szCs w:val="20"/>
        </w:rPr>
        <w:t>.</w:t>
      </w:r>
    </w:p>
    <w:p w14:paraId="79A0F57A" w14:textId="77777777" w:rsidR="00000000" w:rsidRDefault="00195E73">
      <w:pPr>
        <w:ind w:firstLine="405"/>
        <w:divId w:val="1012415839"/>
        <w:rPr>
          <w:rFonts w:eastAsia="Times New Roman"/>
        </w:rPr>
      </w:pPr>
      <w:r>
        <w:rPr>
          <w:rFonts w:eastAsia="Times New Roman"/>
          <w:color w:val="000000"/>
          <w:sz w:val="20"/>
          <w:szCs w:val="20"/>
        </w:rPr>
        <w:t>Our ability to make payments on and to refinance our indebtedness, and to fund operations will depend on existing cash balances and our ability to generate cash in the future. This, to a certain extent, is</w:t>
      </w:r>
      <w:r>
        <w:rPr>
          <w:rFonts w:eastAsia="Times New Roman"/>
          <w:color w:val="000000"/>
          <w:sz w:val="20"/>
          <w:szCs w:val="20"/>
        </w:rPr>
        <w:t xml:space="preserve"> subject to general economic, financial, competitive, regulatory and other factors that are beyond our control. Our current businesses and businesses that we acquire may not generate sufficient cash to service our outstanding indebtedness. In addition, we </w:t>
      </w:r>
      <w:r>
        <w:rPr>
          <w:rFonts w:eastAsia="Times New Roman"/>
          <w:color w:val="000000"/>
          <w:sz w:val="20"/>
          <w:szCs w:val="20"/>
        </w:rPr>
        <w:t>may not generate sufficient cash flow from operations or investments and future borrowings may not be available to us in an amount sufficient to enable us to service our outstanding indebtedness or to fund our other liquidity needs. We may need to refinanc</w:t>
      </w:r>
      <w:r>
        <w:rPr>
          <w:rFonts w:eastAsia="Times New Roman"/>
          <w:color w:val="000000"/>
          <w:sz w:val="20"/>
          <w:szCs w:val="20"/>
        </w:rPr>
        <w:t>e all or a portion of our outstanding indebtedness on or before maturity. We cannot assure you that we will be able to refinance any of our outstanding indebtedness on commercially reasonable terms or at all</w:t>
      </w:r>
      <w:r>
        <w:rPr>
          <w:rFonts w:eastAsia="Times New Roman"/>
          <w:color w:val="000000"/>
          <w:sz w:val="20"/>
          <w:szCs w:val="20"/>
        </w:rPr>
        <w:t>.</w:t>
      </w:r>
    </w:p>
    <w:p w14:paraId="2EF63A77" w14:textId="77777777" w:rsidR="00000000" w:rsidRDefault="00195E73">
      <w:pPr>
        <w:divId w:val="2104917238"/>
        <w:rPr>
          <w:rFonts w:eastAsia="Times New Roman"/>
        </w:rPr>
      </w:pPr>
      <w:r>
        <w:rPr>
          <w:rFonts w:eastAsia="Times New Roman"/>
          <w:b/>
          <w:bCs/>
          <w:i/>
          <w:iCs/>
          <w:color w:val="000000"/>
          <w:sz w:val="20"/>
          <w:szCs w:val="20"/>
        </w:rPr>
        <w:t>Our failure to comply with the covenants contai</w:t>
      </w:r>
      <w:r>
        <w:rPr>
          <w:rFonts w:eastAsia="Times New Roman"/>
          <w:b/>
          <w:bCs/>
          <w:i/>
          <w:iCs/>
          <w:color w:val="000000"/>
          <w:sz w:val="20"/>
          <w:szCs w:val="20"/>
        </w:rPr>
        <w:t xml:space="preserve">ned under any of our debt instruments, including the indentures governing our senior unsecured notes (including our failure to comply as a result of events beyond our control), could result in an event of default that would materially and adversely affect </w:t>
      </w:r>
      <w:r>
        <w:rPr>
          <w:rFonts w:eastAsia="Times New Roman"/>
          <w:b/>
          <w:bCs/>
          <w:i/>
          <w:iCs/>
          <w:color w:val="000000"/>
          <w:sz w:val="20"/>
          <w:szCs w:val="20"/>
        </w:rPr>
        <w:t>our financial condition</w:t>
      </w:r>
      <w:r>
        <w:rPr>
          <w:rFonts w:eastAsia="Times New Roman"/>
          <w:b/>
          <w:bCs/>
          <w:i/>
          <w:iCs/>
          <w:color w:val="000000"/>
          <w:sz w:val="20"/>
          <w:szCs w:val="20"/>
        </w:rPr>
        <w:t>.</w:t>
      </w:r>
    </w:p>
    <w:p w14:paraId="372DA57F" w14:textId="77777777" w:rsidR="00000000" w:rsidRDefault="00195E73">
      <w:pPr>
        <w:ind w:firstLine="405"/>
        <w:divId w:val="297342294"/>
        <w:rPr>
          <w:rFonts w:eastAsia="Times New Roman"/>
        </w:rPr>
      </w:pPr>
      <w:r>
        <w:rPr>
          <w:rFonts w:eastAsia="Times New Roman"/>
          <w:color w:val="000000"/>
          <w:sz w:val="20"/>
          <w:szCs w:val="20"/>
        </w:rPr>
        <w:t>Our failure to comply with the covenants under any of our debt instruments, including our indentures governing our senior unsecured notes, (including our failure to comply as a result of events beyond our control) may trigger a def</w:t>
      </w:r>
      <w:r>
        <w:rPr>
          <w:rFonts w:eastAsia="Times New Roman"/>
          <w:color w:val="000000"/>
          <w:sz w:val="20"/>
          <w:szCs w:val="20"/>
        </w:rPr>
        <w:t>ault or event of default under such instruments. If there were an event of default under one of our debt instruments, the holders of the defaulted debt could cause all amounts outstanding with respect to that debt to be due and payable immediately. In addi</w:t>
      </w:r>
      <w:r>
        <w:rPr>
          <w:rFonts w:eastAsia="Times New Roman"/>
          <w:color w:val="000000"/>
          <w:sz w:val="20"/>
          <w:szCs w:val="20"/>
        </w:rPr>
        <w:t>tion, any event of default or declaration of acceleration under one debt instrument could result in an event of default and declaration of acceleration under one or more of our other debt instruments, including the exchange notes. It is possible that, if t</w:t>
      </w:r>
      <w:r>
        <w:rPr>
          <w:rFonts w:eastAsia="Times New Roman"/>
          <w:color w:val="000000"/>
          <w:sz w:val="20"/>
          <w:szCs w:val="20"/>
        </w:rPr>
        <w:t>he defaulted debt is accelerated, our assets and cash flow may not be sufficient to fully repay borrowings under our outstanding debt instruments and we cannot assure you that we would be able to refinance or restructure the payments on those debt securiti</w:t>
      </w:r>
      <w:r>
        <w:rPr>
          <w:rFonts w:eastAsia="Times New Roman"/>
          <w:color w:val="000000"/>
          <w:sz w:val="20"/>
          <w:szCs w:val="20"/>
        </w:rPr>
        <w:t>es</w:t>
      </w:r>
      <w:r>
        <w:rPr>
          <w:rFonts w:eastAsia="Times New Roman"/>
          <w:color w:val="000000"/>
          <w:sz w:val="20"/>
          <w:szCs w:val="20"/>
        </w:rPr>
        <w:t>.</w:t>
      </w:r>
    </w:p>
    <w:p w14:paraId="6D32D0CD" w14:textId="77777777" w:rsidR="00000000" w:rsidRDefault="00195E73">
      <w:pPr>
        <w:divId w:val="22942152"/>
        <w:rPr>
          <w:rFonts w:eastAsia="Times New Roman"/>
        </w:rPr>
      </w:pPr>
      <w:r>
        <w:rPr>
          <w:rFonts w:eastAsia="Times New Roman"/>
          <w:b/>
          <w:bCs/>
          <w:i/>
          <w:iCs/>
          <w:color w:val="000000"/>
          <w:sz w:val="20"/>
          <w:szCs w:val="20"/>
        </w:rPr>
        <w:t>We may not have sufficient funds necessary to finance a change of control offer that may be required by the indentures governing our senior notes</w:t>
      </w:r>
      <w:r>
        <w:rPr>
          <w:rFonts w:eastAsia="Times New Roman"/>
          <w:b/>
          <w:bCs/>
          <w:i/>
          <w:iCs/>
          <w:color w:val="000000"/>
          <w:sz w:val="20"/>
          <w:szCs w:val="20"/>
        </w:rPr>
        <w:t>.</w:t>
      </w:r>
    </w:p>
    <w:p w14:paraId="5181363E" w14:textId="77777777" w:rsidR="00000000" w:rsidRDefault="00195E73">
      <w:pPr>
        <w:ind w:firstLine="405"/>
        <w:divId w:val="877623689"/>
        <w:rPr>
          <w:rFonts w:eastAsia="Times New Roman"/>
        </w:rPr>
      </w:pPr>
      <w:r>
        <w:rPr>
          <w:rFonts w:eastAsia="Times New Roman"/>
          <w:color w:val="000000"/>
          <w:sz w:val="20"/>
          <w:szCs w:val="20"/>
        </w:rPr>
        <w:t>If Mr. Icahn were to sell, or otherwise transfer, some or all of his interests in us to an unrelated part</w:t>
      </w:r>
      <w:r>
        <w:rPr>
          <w:rFonts w:eastAsia="Times New Roman"/>
          <w:color w:val="000000"/>
          <w:sz w:val="20"/>
          <w:szCs w:val="20"/>
        </w:rPr>
        <w:t>y or group, a change of control could be deemed to have occurred under the terms of the indentures governing our senior notes, which would require us to offer to repurchase all outstanding senior notes at 101% of their principal amount plus accrued and unp</w:t>
      </w:r>
      <w:r>
        <w:rPr>
          <w:rFonts w:eastAsia="Times New Roman"/>
          <w:color w:val="000000"/>
          <w:sz w:val="20"/>
          <w:szCs w:val="20"/>
        </w:rPr>
        <w:t>aid interest and liquidated damages, if any, to the date of repurchase. However, it is possible that we will not have sufficient funds at the time of the change of control to make the required repurchase of notes</w:t>
      </w:r>
      <w:r>
        <w:rPr>
          <w:rFonts w:eastAsia="Times New Roman"/>
          <w:color w:val="000000"/>
          <w:sz w:val="20"/>
          <w:szCs w:val="20"/>
        </w:rPr>
        <w:t>.</w:t>
      </w:r>
    </w:p>
    <w:p w14:paraId="650AC668" w14:textId="77777777" w:rsidR="00000000" w:rsidRDefault="00195E73">
      <w:pPr>
        <w:divId w:val="709763224"/>
        <w:rPr>
          <w:rFonts w:eastAsia="Times New Roman"/>
        </w:rPr>
      </w:pPr>
      <w:r>
        <w:rPr>
          <w:rFonts w:eastAsia="Times New Roman"/>
          <w:b/>
          <w:bCs/>
          <w:i/>
          <w:iCs/>
          <w:color w:val="000000"/>
          <w:sz w:val="20"/>
          <w:szCs w:val="20"/>
        </w:rPr>
        <w:t>We have made significant investments in th</w:t>
      </w:r>
      <w:r>
        <w:rPr>
          <w:rFonts w:eastAsia="Times New Roman"/>
          <w:b/>
          <w:bCs/>
          <w:i/>
          <w:iCs/>
          <w:color w:val="000000"/>
          <w:sz w:val="20"/>
          <w:szCs w:val="20"/>
        </w:rPr>
        <w:t>e Investment Funds and negative performance of the Investment Funds may result in a significant decline in the value of our investments</w:t>
      </w:r>
      <w:r>
        <w:rPr>
          <w:rFonts w:eastAsia="Times New Roman"/>
          <w:b/>
          <w:bCs/>
          <w:i/>
          <w:iCs/>
          <w:color w:val="000000"/>
          <w:sz w:val="20"/>
          <w:szCs w:val="20"/>
        </w:rPr>
        <w:t>.</w:t>
      </w:r>
    </w:p>
    <w:p w14:paraId="696A7479" w14:textId="77777777" w:rsidR="00000000" w:rsidRDefault="00195E73">
      <w:pPr>
        <w:ind w:firstLine="405"/>
        <w:divId w:val="1719936619"/>
        <w:rPr>
          <w:rFonts w:eastAsia="Times New Roman"/>
        </w:rPr>
      </w:pPr>
      <w:r>
        <w:rPr>
          <w:rFonts w:eastAsia="Times New Roman"/>
          <w:color w:val="000000"/>
          <w:sz w:val="20"/>
          <w:szCs w:val="20"/>
        </w:rPr>
        <w:t>As of December 31, 2019, we had investments in the Investment Funds with a fair market value of approximately $4.3 bill</w:t>
      </w:r>
      <w:r>
        <w:rPr>
          <w:rFonts w:eastAsia="Times New Roman"/>
          <w:color w:val="000000"/>
          <w:sz w:val="20"/>
          <w:szCs w:val="20"/>
        </w:rPr>
        <w:t>ion, which may be accessed on short notice to satisfy our liquidity needs. However, if the Investment Funds experience negative performance, the value of these investments will be negatively impacted, which could have a material adverse effect on our opera</w:t>
      </w:r>
      <w:r>
        <w:rPr>
          <w:rFonts w:eastAsia="Times New Roman"/>
          <w:color w:val="000000"/>
          <w:sz w:val="20"/>
          <w:szCs w:val="20"/>
        </w:rPr>
        <w:t>ting results, cash flows and financial position</w:t>
      </w:r>
      <w:r>
        <w:rPr>
          <w:rFonts w:eastAsia="Times New Roman"/>
          <w:color w:val="000000"/>
          <w:sz w:val="20"/>
          <w:szCs w:val="20"/>
        </w:rPr>
        <w:t>.</w:t>
      </w:r>
    </w:p>
    <w:p w14:paraId="340326FD" w14:textId="77777777" w:rsidR="00000000" w:rsidRDefault="00195E73">
      <w:pPr>
        <w:jc w:val="center"/>
        <w:divId w:val="2092315853"/>
        <w:rPr>
          <w:rFonts w:eastAsia="Times New Roman"/>
        </w:rPr>
      </w:pPr>
      <w:r>
        <w:rPr>
          <w:rFonts w:eastAsia="Times New Roman"/>
          <w:color w:val="000000"/>
          <w:sz w:val="20"/>
          <w:szCs w:val="20"/>
        </w:rPr>
        <w:t>1</w:t>
      </w:r>
      <w:r>
        <w:rPr>
          <w:rFonts w:eastAsia="Times New Roman"/>
          <w:color w:val="000000"/>
          <w:sz w:val="20"/>
          <w:szCs w:val="20"/>
        </w:rPr>
        <w:t>5</w:t>
      </w:r>
    </w:p>
    <w:p w14:paraId="77FB9A5D" w14:textId="77777777" w:rsidR="00000000" w:rsidRDefault="00195E73">
      <w:pPr>
        <w:rPr>
          <w:rFonts w:eastAsia="Times New Roman"/>
        </w:rPr>
      </w:pPr>
      <w:r>
        <w:rPr>
          <w:rFonts w:eastAsia="Times New Roman"/>
        </w:rPr>
        <w:pict w14:anchorId="53A0AC76">
          <v:rect id="_x0000_i1041" style="width:0;height:1.5pt" o:hralign="center" o:hrstd="t" o:hr="t" fillcolor="#a0a0a0" stroked="f"/>
        </w:pict>
      </w:r>
    </w:p>
    <w:p w14:paraId="0A5DD58E" w14:textId="77777777" w:rsidR="00000000" w:rsidRDefault="00195E73">
      <w:pPr>
        <w:divId w:val="1930500147"/>
        <w:rPr>
          <w:rFonts w:eastAsia="Times New Roman"/>
        </w:rPr>
      </w:pPr>
    </w:p>
    <w:p w14:paraId="4CD64E20" w14:textId="77777777" w:rsidR="00000000" w:rsidRDefault="00195E73">
      <w:pPr>
        <w:divId w:val="1368487657"/>
        <w:rPr>
          <w:rFonts w:eastAsia="Times New Roman"/>
        </w:rPr>
      </w:pPr>
      <w:r>
        <w:rPr>
          <w:rFonts w:eastAsia="Times New Roman"/>
          <w:b/>
          <w:bCs/>
          <w:i/>
          <w:iCs/>
          <w:color w:val="000000"/>
          <w:sz w:val="20"/>
          <w:szCs w:val="20"/>
        </w:rPr>
        <w:t>Future cash distributions to Icahn Enterprises’ unitholders, if any, can be affected by numerous factors</w:t>
      </w:r>
      <w:r>
        <w:rPr>
          <w:rFonts w:eastAsia="Times New Roman"/>
          <w:b/>
          <w:bCs/>
          <w:i/>
          <w:iCs/>
          <w:color w:val="000000"/>
          <w:sz w:val="20"/>
          <w:szCs w:val="20"/>
        </w:rPr>
        <w:t>.</w:t>
      </w:r>
    </w:p>
    <w:p w14:paraId="547FFB8A" w14:textId="77777777" w:rsidR="00000000" w:rsidRDefault="00195E73">
      <w:pPr>
        <w:ind w:firstLine="405"/>
        <w:divId w:val="1934317434"/>
        <w:rPr>
          <w:rFonts w:eastAsia="Times New Roman"/>
        </w:rPr>
      </w:pPr>
      <w:r>
        <w:rPr>
          <w:rFonts w:eastAsia="Times New Roman"/>
          <w:color w:val="000000"/>
          <w:sz w:val="20"/>
          <w:szCs w:val="20"/>
        </w:rPr>
        <w:t>While we made cash distributions to Icahn Enterprises’ unith</w:t>
      </w:r>
      <w:r>
        <w:rPr>
          <w:rFonts w:eastAsia="Times New Roman"/>
          <w:color w:val="000000"/>
          <w:sz w:val="20"/>
          <w:szCs w:val="20"/>
        </w:rPr>
        <w:t>olders in each of the four quarters of 2019, the payment of future distributions will be determined by the board of directors of Icahn Enterprises GP, our general partner, quarterly, based on a review of a number of factors, including those described below</w:t>
      </w:r>
      <w:r>
        <w:rPr>
          <w:rFonts w:eastAsia="Times New Roman"/>
          <w:color w:val="000000"/>
          <w:sz w:val="20"/>
          <w:szCs w:val="20"/>
        </w:rPr>
        <w:t xml:space="preserve"> and other factors that it deems relevant at the time that declaration of a distribution is considered</w:t>
      </w:r>
      <w:r>
        <w:rPr>
          <w:rFonts w:eastAsia="Times New Roman"/>
          <w:color w:val="000000"/>
          <w:sz w:val="20"/>
          <w:szCs w:val="20"/>
        </w:rPr>
        <w:t>.</w:t>
      </w:r>
    </w:p>
    <w:p w14:paraId="4CE1B5C6" w14:textId="77777777" w:rsidR="00000000" w:rsidRDefault="00195E73">
      <w:pPr>
        <w:ind w:firstLine="405"/>
        <w:divId w:val="253437726"/>
        <w:rPr>
          <w:rFonts w:eastAsia="Times New Roman"/>
        </w:rPr>
      </w:pPr>
      <w:r>
        <w:rPr>
          <w:rFonts w:eastAsia="Times New Roman"/>
          <w:color w:val="000000"/>
          <w:sz w:val="20"/>
          <w:szCs w:val="20"/>
        </w:rPr>
        <w:t>Our ability to pay distributions will depend on numerous factors, including the availability of adequate cash flow from operations; the proceeds, if any</w:t>
      </w:r>
      <w:r>
        <w:rPr>
          <w:rFonts w:eastAsia="Times New Roman"/>
          <w:color w:val="000000"/>
          <w:sz w:val="20"/>
          <w:szCs w:val="20"/>
        </w:rPr>
        <w:t xml:space="preserve">, from divestitures; our capital requirements and other obligations; restrictions contained in our financing arrangements, including the indentures governing our senior notes; and our issuances of additional equity and debt securities. The availability of </w:t>
      </w:r>
      <w:r>
        <w:rPr>
          <w:rFonts w:eastAsia="Times New Roman"/>
          <w:color w:val="000000"/>
          <w:sz w:val="20"/>
          <w:szCs w:val="20"/>
        </w:rPr>
        <w:t>cash flow in the future depends as well upon events and circumstances outside our control, including prevailing economic and industry conditions and financial, business and similar factors. No assurance can be given that we will be able to make distributio</w:t>
      </w:r>
      <w:r>
        <w:rPr>
          <w:rFonts w:eastAsia="Times New Roman"/>
          <w:color w:val="000000"/>
          <w:sz w:val="20"/>
          <w:szCs w:val="20"/>
        </w:rPr>
        <w:t>ns or as to the timing of any distribution. Even if distributions are made, there can be no assurance that holders of depositary units will not be required to recognize taxable income in excess of cash distributions made in respect of the period in which a</w:t>
      </w:r>
      <w:r>
        <w:rPr>
          <w:rFonts w:eastAsia="Times New Roman"/>
          <w:color w:val="000000"/>
          <w:sz w:val="20"/>
          <w:szCs w:val="20"/>
        </w:rPr>
        <w:t xml:space="preserve"> distribution is made</w:t>
      </w:r>
      <w:r>
        <w:rPr>
          <w:rFonts w:eastAsia="Times New Roman"/>
          <w:color w:val="000000"/>
          <w:sz w:val="20"/>
          <w:szCs w:val="20"/>
        </w:rPr>
        <w:t>.</w:t>
      </w:r>
    </w:p>
    <w:p w14:paraId="0A074234" w14:textId="77777777" w:rsidR="00000000" w:rsidRDefault="00195E73">
      <w:pPr>
        <w:divId w:val="1222641061"/>
        <w:rPr>
          <w:rFonts w:eastAsia="Times New Roman"/>
        </w:rPr>
      </w:pPr>
    </w:p>
    <w:p w14:paraId="53836D20" w14:textId="77777777" w:rsidR="00000000" w:rsidRDefault="00195E73">
      <w:pPr>
        <w:jc w:val="center"/>
        <w:divId w:val="491414703"/>
        <w:rPr>
          <w:rFonts w:eastAsia="Times New Roman"/>
        </w:rPr>
      </w:pPr>
      <w:r>
        <w:rPr>
          <w:rFonts w:eastAsia="Times New Roman"/>
          <w:b/>
          <w:bCs/>
          <w:color w:val="000000"/>
          <w:sz w:val="20"/>
          <w:szCs w:val="20"/>
        </w:rPr>
        <w:t>Risks Relating to All of Our Businesse</w:t>
      </w:r>
      <w:r>
        <w:rPr>
          <w:rFonts w:eastAsia="Times New Roman"/>
          <w:b/>
          <w:bCs/>
          <w:color w:val="000000"/>
          <w:sz w:val="20"/>
          <w:szCs w:val="20"/>
        </w:rPr>
        <w:t>s</w:t>
      </w:r>
    </w:p>
    <w:p w14:paraId="73FE5337" w14:textId="77777777" w:rsidR="00000000" w:rsidRDefault="00195E73">
      <w:pPr>
        <w:divId w:val="682897767"/>
        <w:rPr>
          <w:rFonts w:eastAsia="Times New Roman"/>
        </w:rPr>
      </w:pPr>
      <w:r>
        <w:rPr>
          <w:rFonts w:eastAsia="Times New Roman"/>
          <w:b/>
          <w:bCs/>
          <w:i/>
          <w:iCs/>
          <w:color w:val="000000"/>
          <w:sz w:val="20"/>
          <w:szCs w:val="20"/>
        </w:rPr>
        <w:t>Genera</w:t>
      </w:r>
      <w:r>
        <w:rPr>
          <w:rFonts w:eastAsia="Times New Roman"/>
          <w:b/>
          <w:bCs/>
          <w:i/>
          <w:iCs/>
          <w:color w:val="000000"/>
          <w:sz w:val="20"/>
          <w:szCs w:val="20"/>
        </w:rPr>
        <w:t>l</w:t>
      </w:r>
    </w:p>
    <w:p w14:paraId="7ECB6913" w14:textId="77777777" w:rsidR="00000000" w:rsidRDefault="00195E73">
      <w:pPr>
        <w:ind w:firstLine="405"/>
        <w:divId w:val="1242174890"/>
        <w:rPr>
          <w:rFonts w:eastAsia="Times New Roman"/>
        </w:rPr>
      </w:pPr>
      <w:r>
        <w:rPr>
          <w:rFonts w:eastAsia="Times New Roman"/>
          <w:color w:val="000000"/>
          <w:sz w:val="20"/>
          <w:szCs w:val="20"/>
        </w:rPr>
        <w:t>All of our businesses are subject to the effects of the following</w:t>
      </w:r>
      <w:r>
        <w:rPr>
          <w:rFonts w:eastAsia="Times New Roman"/>
          <w:color w:val="000000"/>
          <w:sz w:val="20"/>
          <w:szCs w:val="20"/>
        </w:rPr>
        <w:t>:</w:t>
      </w:r>
    </w:p>
    <w:p w14:paraId="5C8B0718" w14:textId="77777777" w:rsidR="00000000" w:rsidRDefault="00195E73">
      <w:pPr>
        <w:ind w:hanging="225"/>
        <w:divId w:val="716667228"/>
        <w:rPr>
          <w:rFonts w:eastAsia="Times New Roman"/>
        </w:rPr>
      </w:pPr>
      <w:r>
        <w:rPr>
          <w:rFonts w:eastAsia="Times New Roman"/>
          <w:color w:val="000000"/>
          <w:sz w:val="20"/>
          <w:szCs w:val="20"/>
        </w:rPr>
        <w:t>•</w:t>
      </w:r>
      <w:r>
        <w:rPr>
          <w:rFonts w:eastAsia="Times New Roman"/>
          <w:color w:val="000000"/>
          <w:sz w:val="20"/>
          <w:szCs w:val="20"/>
        </w:rPr>
        <w:t>the threat of terrorism or war</w:t>
      </w:r>
      <w:r>
        <w:rPr>
          <w:rFonts w:eastAsia="Times New Roman"/>
          <w:color w:val="000000"/>
          <w:sz w:val="20"/>
          <w:szCs w:val="20"/>
        </w:rPr>
        <w:t>;</w:t>
      </w:r>
    </w:p>
    <w:p w14:paraId="5C9C1409" w14:textId="77777777" w:rsidR="00000000" w:rsidRDefault="00195E73">
      <w:pPr>
        <w:ind w:hanging="225"/>
        <w:divId w:val="1686176613"/>
        <w:rPr>
          <w:rFonts w:eastAsia="Times New Roman"/>
        </w:rPr>
      </w:pPr>
      <w:r>
        <w:rPr>
          <w:rFonts w:eastAsia="Times New Roman"/>
          <w:color w:val="000000"/>
          <w:sz w:val="20"/>
          <w:szCs w:val="20"/>
        </w:rPr>
        <w:t>•</w:t>
      </w:r>
      <w:r>
        <w:rPr>
          <w:rFonts w:eastAsia="Times New Roman"/>
          <w:color w:val="000000"/>
          <w:sz w:val="20"/>
          <w:szCs w:val="20"/>
        </w:rPr>
        <w:t>health epidemics or pandemics (or expectations about them</w:t>
      </w:r>
      <w:r>
        <w:rPr>
          <w:rFonts w:eastAsia="Times New Roman"/>
          <w:color w:val="000000"/>
          <w:sz w:val="20"/>
          <w:szCs w:val="20"/>
        </w:rPr>
        <w:t>)</w:t>
      </w:r>
    </w:p>
    <w:p w14:paraId="6AB981D2" w14:textId="77777777" w:rsidR="00000000" w:rsidRDefault="00195E73">
      <w:pPr>
        <w:ind w:hanging="225"/>
        <w:divId w:val="968898912"/>
        <w:rPr>
          <w:rFonts w:eastAsia="Times New Roman"/>
        </w:rPr>
      </w:pPr>
      <w:r>
        <w:rPr>
          <w:rFonts w:eastAsia="Times New Roman"/>
          <w:color w:val="000000"/>
          <w:sz w:val="20"/>
          <w:szCs w:val="20"/>
        </w:rPr>
        <w:t>•</w:t>
      </w:r>
      <w:r>
        <w:rPr>
          <w:rFonts w:eastAsia="Times New Roman"/>
          <w:color w:val="000000"/>
          <w:sz w:val="20"/>
          <w:szCs w:val="20"/>
        </w:rPr>
        <w:t>loss of any of our or our subsidiaries’ key personnel</w:t>
      </w:r>
      <w:r>
        <w:rPr>
          <w:rFonts w:eastAsia="Times New Roman"/>
          <w:color w:val="000000"/>
          <w:sz w:val="20"/>
          <w:szCs w:val="20"/>
        </w:rPr>
        <w:t>;</w:t>
      </w:r>
    </w:p>
    <w:p w14:paraId="69B64C59" w14:textId="77777777" w:rsidR="00000000" w:rsidRDefault="00195E73">
      <w:pPr>
        <w:ind w:hanging="225"/>
        <w:divId w:val="542254063"/>
        <w:rPr>
          <w:rFonts w:eastAsia="Times New Roman"/>
        </w:rPr>
      </w:pPr>
      <w:r>
        <w:rPr>
          <w:rFonts w:eastAsia="Times New Roman"/>
          <w:color w:val="000000"/>
          <w:sz w:val="20"/>
          <w:szCs w:val="20"/>
        </w:rPr>
        <w:t>•</w:t>
      </w:r>
      <w:r>
        <w:rPr>
          <w:rFonts w:eastAsia="Times New Roman"/>
          <w:color w:val="000000"/>
          <w:sz w:val="20"/>
          <w:szCs w:val="20"/>
        </w:rPr>
        <w:t>the unavailability, as needed, of additional financing</w:t>
      </w:r>
      <w:r>
        <w:rPr>
          <w:rFonts w:eastAsia="Times New Roman"/>
          <w:color w:val="000000"/>
          <w:sz w:val="20"/>
          <w:szCs w:val="20"/>
        </w:rPr>
        <w:t>;</w:t>
      </w:r>
    </w:p>
    <w:p w14:paraId="119BE43A" w14:textId="77777777" w:rsidR="00000000" w:rsidRDefault="00195E73">
      <w:pPr>
        <w:ind w:hanging="225"/>
        <w:divId w:val="427163661"/>
        <w:rPr>
          <w:rFonts w:eastAsia="Times New Roman"/>
        </w:rPr>
      </w:pPr>
      <w:r>
        <w:rPr>
          <w:rFonts w:eastAsia="Times New Roman"/>
          <w:color w:val="000000"/>
          <w:sz w:val="20"/>
          <w:szCs w:val="20"/>
        </w:rPr>
        <w:t>•</w:t>
      </w:r>
      <w:r>
        <w:rPr>
          <w:rFonts w:eastAsia="Times New Roman"/>
          <w:color w:val="000000"/>
          <w:sz w:val="20"/>
          <w:szCs w:val="20"/>
        </w:rPr>
        <w:t>significant competition, varying by industry and geographic markets</w:t>
      </w:r>
      <w:r>
        <w:rPr>
          <w:rFonts w:eastAsia="Times New Roman"/>
          <w:color w:val="000000"/>
          <w:sz w:val="20"/>
          <w:szCs w:val="20"/>
        </w:rPr>
        <w:t>;</w:t>
      </w:r>
    </w:p>
    <w:p w14:paraId="248F3C25" w14:textId="77777777" w:rsidR="00000000" w:rsidRDefault="00195E73">
      <w:pPr>
        <w:ind w:hanging="225"/>
        <w:divId w:val="1828864456"/>
        <w:rPr>
          <w:rFonts w:eastAsia="Times New Roman"/>
        </w:rPr>
      </w:pPr>
      <w:r>
        <w:rPr>
          <w:rFonts w:eastAsia="Times New Roman"/>
          <w:color w:val="000000"/>
          <w:sz w:val="20"/>
          <w:szCs w:val="20"/>
        </w:rPr>
        <w:t>•</w:t>
      </w:r>
      <w:r>
        <w:rPr>
          <w:rFonts w:eastAsia="Times New Roman"/>
          <w:color w:val="000000"/>
          <w:sz w:val="20"/>
          <w:szCs w:val="20"/>
        </w:rPr>
        <w:t>the unavailability of insurance at acceptable rates; an</w:t>
      </w:r>
      <w:r>
        <w:rPr>
          <w:rFonts w:eastAsia="Times New Roman"/>
          <w:color w:val="000000"/>
          <w:sz w:val="20"/>
          <w:szCs w:val="20"/>
        </w:rPr>
        <w:t>d</w:t>
      </w:r>
    </w:p>
    <w:p w14:paraId="26031E53" w14:textId="77777777" w:rsidR="00000000" w:rsidRDefault="00195E73">
      <w:pPr>
        <w:ind w:hanging="225"/>
        <w:divId w:val="1114442376"/>
        <w:rPr>
          <w:rFonts w:eastAsia="Times New Roman"/>
        </w:rPr>
      </w:pPr>
      <w:r>
        <w:rPr>
          <w:rFonts w:eastAsia="Times New Roman"/>
          <w:color w:val="000000"/>
          <w:sz w:val="20"/>
          <w:szCs w:val="20"/>
        </w:rPr>
        <w:t>•</w:t>
      </w:r>
      <w:r>
        <w:rPr>
          <w:rFonts w:eastAsia="Times New Roman"/>
          <w:color w:val="000000"/>
          <w:sz w:val="20"/>
          <w:szCs w:val="20"/>
        </w:rPr>
        <w:t>litigation not in the ordinary course of business (see Item 3, “Legal Proceedings,” of this Report)</w:t>
      </w:r>
      <w:r>
        <w:rPr>
          <w:rFonts w:eastAsia="Times New Roman"/>
          <w:color w:val="000000"/>
          <w:sz w:val="20"/>
          <w:szCs w:val="20"/>
        </w:rPr>
        <w:t>.</w:t>
      </w:r>
    </w:p>
    <w:p w14:paraId="60AF298C" w14:textId="77777777" w:rsidR="00000000" w:rsidRDefault="00195E73">
      <w:pPr>
        <w:divId w:val="551962590"/>
        <w:rPr>
          <w:rFonts w:eastAsia="Times New Roman"/>
        </w:rPr>
      </w:pPr>
      <w:r>
        <w:rPr>
          <w:rFonts w:eastAsia="Times New Roman"/>
          <w:b/>
          <w:bCs/>
          <w:i/>
          <w:iCs/>
          <w:color w:val="000000"/>
          <w:sz w:val="20"/>
          <w:szCs w:val="20"/>
        </w:rPr>
        <w:t>We need qualified personnel</w:t>
      </w:r>
      <w:r>
        <w:rPr>
          <w:rFonts w:eastAsia="Times New Roman"/>
          <w:b/>
          <w:bCs/>
          <w:i/>
          <w:iCs/>
          <w:color w:val="000000"/>
          <w:sz w:val="20"/>
          <w:szCs w:val="20"/>
        </w:rPr>
        <w:t xml:space="preserve"> to manage and operate our various businesses</w:t>
      </w:r>
      <w:r>
        <w:rPr>
          <w:rFonts w:eastAsia="Times New Roman"/>
          <w:b/>
          <w:bCs/>
          <w:i/>
          <w:iCs/>
          <w:color w:val="000000"/>
          <w:sz w:val="20"/>
          <w:szCs w:val="20"/>
        </w:rPr>
        <w:t>.</w:t>
      </w:r>
    </w:p>
    <w:p w14:paraId="3AD9C011" w14:textId="77777777" w:rsidR="00000000" w:rsidRDefault="00195E73">
      <w:pPr>
        <w:ind w:firstLine="405"/>
        <w:divId w:val="497042407"/>
        <w:rPr>
          <w:rFonts w:eastAsia="Times New Roman"/>
        </w:rPr>
      </w:pPr>
      <w:r>
        <w:rPr>
          <w:rFonts w:eastAsia="Times New Roman"/>
          <w:color w:val="000000"/>
          <w:sz w:val="20"/>
          <w:szCs w:val="20"/>
        </w:rPr>
        <w:t>In our decentralized business model, we need qualified and competent management to direct day-to-day business activities of our operating subsidiaries. Our operating subsidiaries also need qualified and compet</w:t>
      </w:r>
      <w:r>
        <w:rPr>
          <w:rFonts w:eastAsia="Times New Roman"/>
          <w:color w:val="000000"/>
          <w:sz w:val="20"/>
          <w:szCs w:val="20"/>
        </w:rPr>
        <w:t>ent personnel in executing their business plans and serving their customers, suppliers and other stakeholders. Changes in demographics, training requirements and the unavailability of qualified personnel could negatively impact one or more of our significa</w:t>
      </w:r>
      <w:r>
        <w:rPr>
          <w:rFonts w:eastAsia="Times New Roman"/>
          <w:color w:val="000000"/>
          <w:sz w:val="20"/>
          <w:szCs w:val="20"/>
        </w:rPr>
        <w:t>nt operating subsidiaries ability to meet demands of customers to supply goods and services. Recruiting and retaining qualified personnel is important to all of our operations. Although we have adequate personnel for the current business environment, unpre</w:t>
      </w:r>
      <w:r>
        <w:rPr>
          <w:rFonts w:eastAsia="Times New Roman"/>
          <w:color w:val="000000"/>
          <w:sz w:val="20"/>
          <w:szCs w:val="20"/>
        </w:rPr>
        <w:t>dictable increases in demand for goods and services may exacerbate the risk of not having sufficient numbers of trained personnel, which could have a negative impact on our consolidated financial condition, results of operations or cash flows.</w:t>
      </w:r>
      <w:r>
        <w:rPr>
          <w:rFonts w:eastAsia="Times New Roman"/>
          <w:color w:val="000000"/>
          <w:sz w:val="20"/>
          <w:szCs w:val="20"/>
        </w:rPr>
        <w:t xml:space="preserve"> </w:t>
      </w:r>
    </w:p>
    <w:p w14:paraId="4EAA2EB5" w14:textId="77777777" w:rsidR="00000000" w:rsidRDefault="00195E73">
      <w:pPr>
        <w:divId w:val="475027469"/>
        <w:rPr>
          <w:rFonts w:eastAsia="Times New Roman"/>
        </w:rPr>
      </w:pPr>
      <w:r>
        <w:rPr>
          <w:rFonts w:eastAsia="Times New Roman"/>
          <w:b/>
          <w:bCs/>
          <w:i/>
          <w:iCs/>
          <w:color w:val="000000"/>
          <w:sz w:val="20"/>
          <w:szCs w:val="20"/>
        </w:rPr>
        <w:t>Global econ</w:t>
      </w:r>
      <w:r>
        <w:rPr>
          <w:rFonts w:eastAsia="Times New Roman"/>
          <w:b/>
          <w:bCs/>
          <w:i/>
          <w:iCs/>
          <w:color w:val="000000"/>
          <w:sz w:val="20"/>
          <w:szCs w:val="20"/>
        </w:rPr>
        <w:t>omic conditions may have adverse impacts on our businesses and financial condition</w:t>
      </w:r>
      <w:r>
        <w:rPr>
          <w:rFonts w:eastAsia="Times New Roman"/>
          <w:b/>
          <w:bCs/>
          <w:i/>
          <w:iCs/>
          <w:color w:val="000000"/>
          <w:sz w:val="20"/>
          <w:szCs w:val="20"/>
        </w:rPr>
        <w:t>.</w:t>
      </w:r>
    </w:p>
    <w:p w14:paraId="71CEAA1F" w14:textId="77777777" w:rsidR="00000000" w:rsidRDefault="00195E73">
      <w:pPr>
        <w:ind w:firstLine="405"/>
        <w:divId w:val="2128887402"/>
        <w:rPr>
          <w:rFonts w:eastAsia="Times New Roman"/>
        </w:rPr>
      </w:pPr>
      <w:r>
        <w:rPr>
          <w:rFonts w:eastAsia="Times New Roman"/>
          <w:color w:val="000000"/>
          <w:sz w:val="20"/>
          <w:szCs w:val="20"/>
        </w:rPr>
        <w:t>Changes in economic conditions could adversely affect our financial condition and results of operations. A number of economic factors, including, but not limited to, consum</w:t>
      </w:r>
      <w:r>
        <w:rPr>
          <w:rFonts w:eastAsia="Times New Roman"/>
          <w:color w:val="000000"/>
          <w:sz w:val="20"/>
          <w:szCs w:val="20"/>
        </w:rPr>
        <w:t>er interest rates, consumer confidence and debt levels, retail trends, housing starts, sales of existing homes, the level and availability of mortgage refinancing, and commodity prices, may generally adversely affect our businesses, financial condition and</w:t>
      </w:r>
      <w:r>
        <w:rPr>
          <w:rFonts w:eastAsia="Times New Roman"/>
          <w:color w:val="000000"/>
          <w:sz w:val="20"/>
          <w:szCs w:val="20"/>
        </w:rPr>
        <w:t xml:space="preserve"> results of operations. Recessionary economic cycles, higher and protracted unemployment rates, increased fuel and other energy and commodity costs, rising costs of transportation and increased tax rates can have a material adverse impact on our businesses</w:t>
      </w:r>
      <w:r>
        <w:rPr>
          <w:rFonts w:eastAsia="Times New Roman"/>
          <w:color w:val="000000"/>
          <w:sz w:val="20"/>
          <w:szCs w:val="20"/>
        </w:rPr>
        <w:t>, and may adversely affect demand for sales of our businesses’ products, or the costs of materials and services utilized in their operations. These factors could have a material adverse effect on our revenues, income from operations and our cash flows</w:t>
      </w:r>
      <w:r>
        <w:rPr>
          <w:rFonts w:eastAsia="Times New Roman"/>
          <w:color w:val="000000"/>
          <w:sz w:val="20"/>
          <w:szCs w:val="20"/>
        </w:rPr>
        <w:t>.</w:t>
      </w:r>
    </w:p>
    <w:p w14:paraId="20615555" w14:textId="77777777" w:rsidR="00000000" w:rsidRDefault="00195E73">
      <w:pPr>
        <w:divId w:val="1913008453"/>
        <w:rPr>
          <w:rFonts w:eastAsia="Times New Roman"/>
        </w:rPr>
      </w:pPr>
      <w:r>
        <w:rPr>
          <w:rFonts w:eastAsia="Times New Roman"/>
          <w:b/>
          <w:bCs/>
          <w:i/>
          <w:iCs/>
          <w:color w:val="000000"/>
          <w:sz w:val="20"/>
          <w:szCs w:val="20"/>
        </w:rPr>
        <w:t xml:space="preserve">We </w:t>
      </w:r>
      <w:r>
        <w:rPr>
          <w:rFonts w:eastAsia="Times New Roman"/>
          <w:b/>
          <w:bCs/>
          <w:i/>
          <w:iCs/>
          <w:color w:val="000000"/>
          <w:sz w:val="20"/>
          <w:szCs w:val="20"/>
        </w:rPr>
        <w:t>and our subsidiaries are subject to cybersecurity and other technological risks that could disrupt our information technology systems and adversely affect our financial performance</w:t>
      </w:r>
      <w:r>
        <w:rPr>
          <w:rFonts w:eastAsia="Times New Roman"/>
          <w:b/>
          <w:bCs/>
          <w:i/>
          <w:iCs/>
          <w:color w:val="000000"/>
          <w:sz w:val="20"/>
          <w:szCs w:val="20"/>
        </w:rPr>
        <w:t>.</w:t>
      </w:r>
    </w:p>
    <w:p w14:paraId="51137146" w14:textId="77777777" w:rsidR="00000000" w:rsidRDefault="00195E73">
      <w:pPr>
        <w:ind w:firstLine="405"/>
        <w:divId w:val="1029794030"/>
        <w:rPr>
          <w:rFonts w:eastAsia="Times New Roman"/>
        </w:rPr>
      </w:pPr>
      <w:r>
        <w:rPr>
          <w:rFonts w:eastAsia="Times New Roman"/>
          <w:color w:val="000000"/>
          <w:sz w:val="20"/>
          <w:szCs w:val="20"/>
        </w:rPr>
        <w:t>Threats to information technology systems associated with cybersecurity an</w:t>
      </w:r>
      <w:r>
        <w:rPr>
          <w:rFonts w:eastAsia="Times New Roman"/>
          <w:color w:val="000000"/>
          <w:sz w:val="20"/>
          <w:szCs w:val="20"/>
        </w:rPr>
        <w:t>d other technological risks and cyber incidents or attacks continue to grow. We and our subsidiaries depend on the accuracy, capacity and security of our information technology systems and those used by our third-party service providers. In addition, we an</w:t>
      </w:r>
      <w:r>
        <w:rPr>
          <w:rFonts w:eastAsia="Times New Roman"/>
          <w:color w:val="000000"/>
          <w:sz w:val="20"/>
          <w:szCs w:val="20"/>
        </w:rPr>
        <w:t>d our subsidiaries collect, process and retain sensitive and confidential information in the normal course of business, including information about our employees, customers and other third parties. Despite the security measures we have in place and any add</w:t>
      </w:r>
      <w:r>
        <w:rPr>
          <w:rFonts w:eastAsia="Times New Roman"/>
          <w:color w:val="000000"/>
          <w:sz w:val="20"/>
          <w:szCs w:val="20"/>
        </w:rPr>
        <w:t>itional measures we may implement in the future, our facilities, systems, and networks, and those of our third-party service providers, could be vulnerable to security breaches, computer viruses, lost or misplaced data, programming errors, human errors, em</w:t>
      </w:r>
      <w:r>
        <w:rPr>
          <w:rFonts w:eastAsia="Times New Roman"/>
          <w:color w:val="000000"/>
          <w:sz w:val="20"/>
          <w:szCs w:val="20"/>
        </w:rPr>
        <w:t>ployee misconduct, malicious attacks, acts of vandalism or other events. In addition, hardware, software or applications we develop or</w:t>
      </w:r>
      <w:r>
        <w:rPr>
          <w:rFonts w:eastAsia="Times New Roman"/>
          <w:color w:val="000000"/>
          <w:sz w:val="20"/>
          <w:szCs w:val="20"/>
        </w:rPr>
        <w:t xml:space="preserve"> </w:t>
      </w:r>
    </w:p>
    <w:p w14:paraId="71ED6AA3" w14:textId="77777777" w:rsidR="00000000" w:rsidRDefault="00195E73">
      <w:pPr>
        <w:jc w:val="center"/>
        <w:divId w:val="508057669"/>
        <w:rPr>
          <w:rFonts w:eastAsia="Times New Roman"/>
        </w:rPr>
      </w:pPr>
      <w:r>
        <w:rPr>
          <w:rFonts w:eastAsia="Times New Roman"/>
          <w:color w:val="000000"/>
          <w:sz w:val="20"/>
          <w:szCs w:val="20"/>
        </w:rPr>
        <w:t>1</w:t>
      </w:r>
      <w:r>
        <w:rPr>
          <w:rFonts w:eastAsia="Times New Roman"/>
          <w:color w:val="000000"/>
          <w:sz w:val="20"/>
          <w:szCs w:val="20"/>
        </w:rPr>
        <w:t>6</w:t>
      </w:r>
    </w:p>
    <w:p w14:paraId="3C20D1BF" w14:textId="77777777" w:rsidR="00000000" w:rsidRDefault="00195E73">
      <w:pPr>
        <w:rPr>
          <w:rFonts w:eastAsia="Times New Roman"/>
        </w:rPr>
      </w:pPr>
      <w:r>
        <w:rPr>
          <w:rFonts w:eastAsia="Times New Roman"/>
        </w:rPr>
        <w:pict w14:anchorId="5605193C">
          <v:rect id="_x0000_i1042" style="width:0;height:1.5pt" o:hralign="center" o:hrstd="t" o:hr="t" fillcolor="#a0a0a0" stroked="f"/>
        </w:pict>
      </w:r>
    </w:p>
    <w:p w14:paraId="521B60D5" w14:textId="77777777" w:rsidR="00000000" w:rsidRDefault="00195E73">
      <w:pPr>
        <w:divId w:val="707603761"/>
        <w:rPr>
          <w:rFonts w:eastAsia="Times New Roman"/>
        </w:rPr>
      </w:pPr>
    </w:p>
    <w:p w14:paraId="7F5E9A0D" w14:textId="77777777" w:rsidR="00000000" w:rsidRDefault="00195E73">
      <w:pPr>
        <w:divId w:val="1828790577"/>
        <w:rPr>
          <w:rFonts w:eastAsia="Times New Roman"/>
        </w:rPr>
      </w:pPr>
      <w:r>
        <w:rPr>
          <w:rFonts w:eastAsia="Times New Roman"/>
          <w:color w:val="000000"/>
          <w:sz w:val="20"/>
          <w:szCs w:val="20"/>
        </w:rPr>
        <w:t>obtain from third parties may contain defects in design or manufacture or othe</w:t>
      </w:r>
      <w:r>
        <w:rPr>
          <w:rFonts w:eastAsia="Times New Roman"/>
          <w:color w:val="000000"/>
          <w:sz w:val="20"/>
          <w:szCs w:val="20"/>
        </w:rPr>
        <w:t>r problems that could result in security breaches or disruptions. These events or any other disruption or compromise of our or our third-party service providers’ information technology systems could negatively impact our business operations or result in th</w:t>
      </w:r>
      <w:r>
        <w:rPr>
          <w:rFonts w:eastAsia="Times New Roman"/>
          <w:color w:val="000000"/>
          <w:sz w:val="20"/>
          <w:szCs w:val="20"/>
        </w:rPr>
        <w:t>e misappropriation, loss or other unauthorized disclosure of sensitive and confidential information. Such events could damage our reputation, expose us to the risks of litigation and liability, disrupt our business or otherwise affect our results of operat</w:t>
      </w:r>
      <w:r>
        <w:rPr>
          <w:rFonts w:eastAsia="Times New Roman"/>
          <w:color w:val="000000"/>
          <w:sz w:val="20"/>
          <w:szCs w:val="20"/>
        </w:rPr>
        <w:t>ions, any of which could adversely affect our financial performance.</w:t>
      </w:r>
      <w:r>
        <w:rPr>
          <w:rFonts w:eastAsia="Times New Roman"/>
          <w:color w:val="000000"/>
          <w:sz w:val="20"/>
          <w:szCs w:val="20"/>
        </w:rPr>
        <w:t xml:space="preserve"> </w:t>
      </w:r>
    </w:p>
    <w:p w14:paraId="6B48DA48" w14:textId="77777777" w:rsidR="00000000" w:rsidRDefault="00195E73">
      <w:pPr>
        <w:divId w:val="1791512698"/>
        <w:rPr>
          <w:rFonts w:eastAsia="Times New Roman"/>
        </w:rPr>
      </w:pPr>
      <w:r>
        <w:rPr>
          <w:rFonts w:eastAsia="Times New Roman"/>
          <w:b/>
          <w:bCs/>
          <w:i/>
          <w:iCs/>
          <w:color w:val="000000"/>
          <w:sz w:val="20"/>
          <w:szCs w:val="20"/>
        </w:rPr>
        <w:t>Software implementation and upgrades at certain of our subsidiaries may result in complications that adversely impact the timeliness, accuracy and reliability of internal and external re</w:t>
      </w:r>
      <w:r>
        <w:rPr>
          <w:rFonts w:eastAsia="Times New Roman"/>
          <w:b/>
          <w:bCs/>
          <w:i/>
          <w:iCs/>
          <w:color w:val="000000"/>
          <w:sz w:val="20"/>
          <w:szCs w:val="20"/>
        </w:rPr>
        <w:t>porting.</w:t>
      </w:r>
      <w:r>
        <w:rPr>
          <w:rFonts w:eastAsia="Times New Roman"/>
          <w:b/>
          <w:bCs/>
          <w:i/>
          <w:iCs/>
          <w:color w:val="000000"/>
          <w:sz w:val="20"/>
          <w:szCs w:val="20"/>
        </w:rPr>
        <w:t xml:space="preserve"> </w:t>
      </w:r>
    </w:p>
    <w:p w14:paraId="64EAFC35" w14:textId="77777777" w:rsidR="00000000" w:rsidRDefault="00195E73">
      <w:pPr>
        <w:ind w:firstLine="405"/>
        <w:divId w:val="1813715734"/>
        <w:rPr>
          <w:rFonts w:eastAsia="Times New Roman"/>
        </w:rPr>
      </w:pPr>
      <w:r>
        <w:rPr>
          <w:rFonts w:eastAsia="Times New Roman"/>
          <w:color w:val="000000"/>
          <w:sz w:val="20"/>
          <w:szCs w:val="20"/>
        </w:rPr>
        <w:t>Our operating subsidiaries are operated and managed on a decentralized basis and their software is not integrated with each other or with us. Certain of our subsidiaries are currently undergoing, or in the future may undergo, software implementat</w:t>
      </w:r>
      <w:r>
        <w:rPr>
          <w:rFonts w:eastAsia="Times New Roman"/>
          <w:color w:val="000000"/>
          <w:sz w:val="20"/>
          <w:szCs w:val="20"/>
        </w:rPr>
        <w:t xml:space="preserve">ion and/or upgrades. Software implementation and upgrades are complex, time consuming and require significant resources. Failure to properly implement or upgrade software, including failure to recruit/retain appropriate experts, train employees, implement </w:t>
      </w:r>
      <w:r>
        <w:rPr>
          <w:rFonts w:eastAsia="Times New Roman"/>
          <w:color w:val="000000"/>
          <w:sz w:val="20"/>
          <w:szCs w:val="20"/>
        </w:rPr>
        <w:t>processes and properly bridge to legacy software, among others, may negatively impact our subsidiaries’ ability to properly operate their businesses and to report internally and externally, including reporting to us. As a result, we may not adequately asse</w:t>
      </w:r>
      <w:r>
        <w:rPr>
          <w:rFonts w:eastAsia="Times New Roman"/>
          <w:color w:val="000000"/>
          <w:sz w:val="20"/>
          <w:szCs w:val="20"/>
        </w:rPr>
        <w:t>ss the performance of our subsidiaries, properly allocate resources report timely and accurate financial results.</w:t>
      </w:r>
      <w:r>
        <w:rPr>
          <w:rFonts w:eastAsia="Times New Roman"/>
          <w:color w:val="000000"/>
          <w:sz w:val="20"/>
          <w:szCs w:val="20"/>
        </w:rPr>
        <w:t xml:space="preserve"> </w:t>
      </w:r>
    </w:p>
    <w:p w14:paraId="25DA676E" w14:textId="77777777" w:rsidR="00000000" w:rsidRDefault="00195E73">
      <w:pPr>
        <w:jc w:val="both"/>
        <w:divId w:val="542720222"/>
        <w:rPr>
          <w:rFonts w:eastAsia="Times New Roman"/>
        </w:rPr>
      </w:pPr>
      <w:r>
        <w:rPr>
          <w:rFonts w:eastAsia="Times New Roman"/>
          <w:b/>
          <w:bCs/>
          <w:i/>
          <w:iCs/>
          <w:color w:val="000000"/>
          <w:sz w:val="20"/>
          <w:szCs w:val="20"/>
        </w:rPr>
        <w:t>We or our subsidiaries may pursue acquisitions or other affiliations that involve inherent risks, any of which may cause us not to realize an</w:t>
      </w:r>
      <w:r>
        <w:rPr>
          <w:rFonts w:eastAsia="Times New Roman"/>
          <w:b/>
          <w:bCs/>
          <w:i/>
          <w:iCs/>
          <w:color w:val="000000"/>
          <w:sz w:val="20"/>
          <w:szCs w:val="20"/>
        </w:rPr>
        <w:t>ticipated benefits, and we may have difficulty integrating the operations of any companies that may be acquired, which may adversely affect its operations</w:t>
      </w:r>
      <w:r>
        <w:rPr>
          <w:rFonts w:eastAsia="Times New Roman"/>
          <w:b/>
          <w:bCs/>
          <w:i/>
          <w:iCs/>
          <w:color w:val="000000"/>
          <w:sz w:val="20"/>
          <w:szCs w:val="20"/>
        </w:rPr>
        <w:t>.</w:t>
      </w:r>
    </w:p>
    <w:p w14:paraId="46BEA933" w14:textId="77777777" w:rsidR="00000000" w:rsidRDefault="00195E73">
      <w:pPr>
        <w:ind w:firstLine="405"/>
        <w:divId w:val="631181470"/>
        <w:rPr>
          <w:rFonts w:eastAsia="Times New Roman"/>
        </w:rPr>
      </w:pPr>
      <w:r>
        <w:rPr>
          <w:rFonts w:eastAsia="Times New Roman"/>
          <w:color w:val="000000"/>
          <w:sz w:val="20"/>
          <w:szCs w:val="20"/>
        </w:rPr>
        <w:t>We may expand our existing businesses if appropriate opportunities are identified, as well as use ou</w:t>
      </w:r>
      <w:r>
        <w:rPr>
          <w:rFonts w:eastAsia="Times New Roman"/>
          <w:color w:val="000000"/>
          <w:sz w:val="20"/>
          <w:szCs w:val="20"/>
        </w:rPr>
        <w:t>r established businesses as a platform for additional acquisitions in the same or related areas. We and our operating subsidiaries have at times grown through acquisitions and may make additional acquisitions in the future as part of our business strategy.</w:t>
      </w:r>
      <w:r>
        <w:rPr>
          <w:rFonts w:eastAsia="Times New Roman"/>
          <w:color w:val="000000"/>
          <w:sz w:val="20"/>
          <w:szCs w:val="20"/>
        </w:rPr>
        <w:t xml:space="preserve"> The full benefits of these acquisitions, however, require integration of manufacturing, administrative, financial, sales, and marketing approaches and personnel. We may invest significant resources towards realizing benefits. If we or our operating subsid</w:t>
      </w:r>
      <w:r>
        <w:rPr>
          <w:rFonts w:eastAsia="Times New Roman"/>
          <w:color w:val="000000"/>
          <w:sz w:val="20"/>
          <w:szCs w:val="20"/>
        </w:rPr>
        <w:t>iaries are unable to successfully integrate acquired businesses, we may not realize the benefits of the acquisitions, our financial results may be negatively affected, and additional cash may be required to integrate such operations. Additionally, any such</w:t>
      </w:r>
      <w:r>
        <w:rPr>
          <w:rFonts w:eastAsia="Times New Roman"/>
          <w:color w:val="000000"/>
          <w:sz w:val="20"/>
          <w:szCs w:val="20"/>
        </w:rPr>
        <w:t xml:space="preserve"> acquisition, if consummated, could involve risks not presently faced by us</w:t>
      </w:r>
      <w:r>
        <w:rPr>
          <w:rFonts w:eastAsia="Times New Roman"/>
          <w:color w:val="000000"/>
          <w:sz w:val="20"/>
          <w:szCs w:val="20"/>
        </w:rPr>
        <w:t>.</w:t>
      </w:r>
    </w:p>
    <w:p w14:paraId="1B6DD2E2" w14:textId="77777777" w:rsidR="00000000" w:rsidRDefault="00195E73">
      <w:pPr>
        <w:divId w:val="447627015"/>
        <w:rPr>
          <w:rFonts w:eastAsia="Times New Roman"/>
        </w:rPr>
      </w:pPr>
      <w:r>
        <w:rPr>
          <w:rFonts w:eastAsia="Times New Roman"/>
          <w:b/>
          <w:bCs/>
          <w:i/>
          <w:iCs/>
          <w:color w:val="000000"/>
          <w:sz w:val="20"/>
          <w:szCs w:val="20"/>
        </w:rPr>
        <w:t>We have identified a material weakness in our internal control over financial reporting that, if not properly remediated, could adversely affect our business and results of operat</w:t>
      </w:r>
      <w:r>
        <w:rPr>
          <w:rFonts w:eastAsia="Times New Roman"/>
          <w:b/>
          <w:bCs/>
          <w:i/>
          <w:iCs/>
          <w:color w:val="000000"/>
          <w:sz w:val="20"/>
          <w:szCs w:val="20"/>
        </w:rPr>
        <w:t>ions. The existence of a material weakness in our internal control over financial reporting may adversely affect our ability to provide timely and reliable financial information and satisfy our reporting obligations under the federal securities laws, which</w:t>
      </w:r>
      <w:r>
        <w:rPr>
          <w:rFonts w:eastAsia="Times New Roman"/>
          <w:b/>
          <w:bCs/>
          <w:i/>
          <w:iCs/>
          <w:color w:val="000000"/>
          <w:sz w:val="20"/>
          <w:szCs w:val="20"/>
        </w:rPr>
        <w:t xml:space="preserve"> also could affect the market price of our depositary units or our ability to remain listed on NASDAQ</w:t>
      </w:r>
      <w:r>
        <w:rPr>
          <w:rFonts w:eastAsia="Times New Roman"/>
          <w:b/>
          <w:bCs/>
          <w:i/>
          <w:iCs/>
          <w:color w:val="000000"/>
          <w:sz w:val="20"/>
          <w:szCs w:val="20"/>
        </w:rPr>
        <w:t>.</w:t>
      </w:r>
    </w:p>
    <w:p w14:paraId="5F3FFB45" w14:textId="77777777" w:rsidR="00000000" w:rsidRDefault="00195E73">
      <w:pPr>
        <w:ind w:firstLine="405"/>
        <w:divId w:val="2122651142"/>
        <w:rPr>
          <w:rFonts w:eastAsia="Times New Roman"/>
        </w:rPr>
      </w:pPr>
      <w:r>
        <w:rPr>
          <w:rFonts w:eastAsia="Times New Roman"/>
          <w:color w:val="000000"/>
          <w:sz w:val="20"/>
          <w:szCs w:val="20"/>
        </w:rPr>
        <w:t xml:space="preserve">In connection with our assessment of the effectiveness of internal control over financial reporting as of December 31, 2019, our management identified a </w:t>
      </w:r>
      <w:r>
        <w:rPr>
          <w:rFonts w:eastAsia="Times New Roman"/>
          <w:color w:val="000000"/>
          <w:sz w:val="20"/>
          <w:szCs w:val="20"/>
        </w:rPr>
        <w:t>material weakness in the design of one of our internal controls, as defined under the standards established by the PCAOB. A material weakness is a deficiency, or combination of deficiencies, in internal control over financial reporting such that there is a</w:t>
      </w:r>
      <w:r>
        <w:rPr>
          <w:rFonts w:eastAsia="Times New Roman"/>
          <w:color w:val="000000"/>
          <w:sz w:val="20"/>
          <w:szCs w:val="20"/>
        </w:rPr>
        <w:t xml:space="preserve"> reasonable possibility that a material misstatement of the annual or interim financial statements will not be prevented or detected on a timely basis. As a result of such material weakness, we concluded that our disclosure controls and procedures and inte</w:t>
      </w:r>
      <w:r>
        <w:rPr>
          <w:rFonts w:eastAsia="Times New Roman"/>
          <w:color w:val="000000"/>
          <w:sz w:val="20"/>
          <w:szCs w:val="20"/>
        </w:rPr>
        <w:t>rnal controls over financial reporting were not effective. The material weakness we identified relates to identifying significant investees for which summarized financial information or separate financial statements may be required under SEC rules and regu</w:t>
      </w:r>
      <w:r>
        <w:rPr>
          <w:rFonts w:eastAsia="Times New Roman"/>
          <w:color w:val="000000"/>
          <w:sz w:val="20"/>
          <w:szCs w:val="20"/>
        </w:rPr>
        <w:t>lations. As further described in “Item 9A. Controls and Procedures,” we are currently taking actions to remediate the material weakness and implementing additional processes and controls designed to address the underlying causes that led to the deficiencie</w:t>
      </w:r>
      <w:r>
        <w:rPr>
          <w:rFonts w:eastAsia="Times New Roman"/>
          <w:color w:val="000000"/>
          <w:sz w:val="20"/>
          <w:szCs w:val="20"/>
        </w:rPr>
        <w:t>s. If we are unable to successfully remediate this material weakness in our internal control over financial reporting, or if additional material weaknesses are discovered or occur in the future, the accuracy and timing of our financial reporting may be adv</w:t>
      </w:r>
      <w:r>
        <w:rPr>
          <w:rFonts w:eastAsia="Times New Roman"/>
          <w:color w:val="000000"/>
          <w:sz w:val="20"/>
          <w:szCs w:val="20"/>
        </w:rPr>
        <w:t>ersely affected, we may be unable to maintain compliance with the federal securities laws and NASDAQ listing requirements regarding the timely filing of periodic reports and investors may lose confidence in our financial reporting, which could have a negat</w:t>
      </w:r>
      <w:r>
        <w:rPr>
          <w:rFonts w:eastAsia="Times New Roman"/>
          <w:color w:val="000000"/>
          <w:sz w:val="20"/>
          <w:szCs w:val="20"/>
        </w:rPr>
        <w:t>ive effect on the trading price of our depositary units or the rating of our debt</w:t>
      </w:r>
      <w:r>
        <w:rPr>
          <w:rFonts w:eastAsia="Times New Roman"/>
          <w:color w:val="000000"/>
          <w:sz w:val="20"/>
          <w:szCs w:val="20"/>
        </w:rPr>
        <w:t>.</w:t>
      </w:r>
    </w:p>
    <w:p w14:paraId="349777BC" w14:textId="77777777" w:rsidR="00000000" w:rsidRDefault="00195E73">
      <w:pPr>
        <w:divId w:val="1642540969"/>
        <w:rPr>
          <w:rFonts w:eastAsia="Times New Roman"/>
        </w:rPr>
      </w:pPr>
      <w:r>
        <w:rPr>
          <w:rFonts w:eastAsia="Times New Roman"/>
          <w:b/>
          <w:bCs/>
          <w:i/>
          <w:iCs/>
          <w:color w:val="000000"/>
          <w:sz w:val="20"/>
          <w:szCs w:val="20"/>
        </w:rPr>
        <w:t xml:space="preserve">The existence of a material weakness in internal control over financial reporting of one of our consolidated subsidiaries or a recently acquired entity may adversely affect </w:t>
      </w:r>
      <w:r>
        <w:rPr>
          <w:rFonts w:eastAsia="Times New Roman"/>
          <w:b/>
          <w:bCs/>
          <w:i/>
          <w:iCs/>
          <w:color w:val="000000"/>
          <w:sz w:val="20"/>
          <w:szCs w:val="20"/>
        </w:rPr>
        <w:t>our ability to provide timely and reliable financial information necessary for the conduct of our business and satisfaction of our reporting obligations under the federal securities laws</w:t>
      </w:r>
      <w:r>
        <w:rPr>
          <w:rFonts w:eastAsia="Times New Roman"/>
          <w:b/>
          <w:bCs/>
          <w:i/>
          <w:iCs/>
          <w:color w:val="000000"/>
          <w:sz w:val="20"/>
          <w:szCs w:val="20"/>
        </w:rPr>
        <w:t>.</w:t>
      </w:r>
    </w:p>
    <w:p w14:paraId="31D92FD4" w14:textId="77777777" w:rsidR="00000000" w:rsidRDefault="00195E73">
      <w:pPr>
        <w:ind w:firstLine="405"/>
        <w:divId w:val="210927341"/>
        <w:rPr>
          <w:rFonts w:eastAsia="Times New Roman"/>
        </w:rPr>
      </w:pPr>
      <w:r>
        <w:rPr>
          <w:rFonts w:eastAsia="Times New Roman"/>
          <w:color w:val="000000"/>
          <w:sz w:val="20"/>
          <w:szCs w:val="20"/>
        </w:rPr>
        <w:t>To the extent that any material weakness or significant deficiency e</w:t>
      </w:r>
      <w:r>
        <w:rPr>
          <w:rFonts w:eastAsia="Times New Roman"/>
          <w:color w:val="000000"/>
          <w:sz w:val="20"/>
          <w:szCs w:val="20"/>
        </w:rPr>
        <w:t>xists in internal control over financial reporting of one of our consolidated subsidiaries or a recently acquired entity, such material weakness or significant deficiency may adversely affect our ability to provide timely and reliable financial information</w:t>
      </w:r>
      <w:r>
        <w:rPr>
          <w:rFonts w:eastAsia="Times New Roman"/>
          <w:color w:val="000000"/>
          <w:sz w:val="20"/>
          <w:szCs w:val="20"/>
        </w:rPr>
        <w:t xml:space="preserve"> necessary for the conduct of our business and satisfaction of our reporting obligations under the federal securities laws, that could affect our ability to remain listed on NASDAQ.</w:t>
      </w:r>
      <w:r>
        <w:rPr>
          <w:rFonts w:eastAsia="Times New Roman"/>
          <w:color w:val="000000"/>
          <w:sz w:val="20"/>
          <w:szCs w:val="20"/>
        </w:rPr>
        <w:t xml:space="preserve"> </w:t>
      </w:r>
    </w:p>
    <w:p w14:paraId="740CAB42" w14:textId="77777777" w:rsidR="00000000" w:rsidRDefault="00195E73">
      <w:pPr>
        <w:jc w:val="center"/>
        <w:divId w:val="2006400112"/>
        <w:rPr>
          <w:rFonts w:eastAsia="Times New Roman"/>
        </w:rPr>
      </w:pPr>
      <w:r>
        <w:rPr>
          <w:rFonts w:eastAsia="Times New Roman"/>
          <w:color w:val="000000"/>
          <w:sz w:val="20"/>
          <w:szCs w:val="20"/>
        </w:rPr>
        <w:t>1</w:t>
      </w:r>
      <w:r>
        <w:rPr>
          <w:rFonts w:eastAsia="Times New Roman"/>
          <w:color w:val="000000"/>
          <w:sz w:val="20"/>
          <w:szCs w:val="20"/>
        </w:rPr>
        <w:t>7</w:t>
      </w:r>
    </w:p>
    <w:p w14:paraId="2512FB9D" w14:textId="77777777" w:rsidR="00000000" w:rsidRDefault="00195E73">
      <w:pPr>
        <w:rPr>
          <w:rFonts w:eastAsia="Times New Roman"/>
        </w:rPr>
      </w:pPr>
      <w:r>
        <w:rPr>
          <w:rFonts w:eastAsia="Times New Roman"/>
        </w:rPr>
        <w:pict w14:anchorId="1CA601FE">
          <v:rect id="_x0000_i1043" style="width:0;height:1.5pt" o:hralign="center" o:hrstd="t" o:hr="t" fillcolor="#a0a0a0" stroked="f"/>
        </w:pict>
      </w:r>
    </w:p>
    <w:p w14:paraId="644B7A98" w14:textId="77777777" w:rsidR="00000000" w:rsidRDefault="00195E73">
      <w:pPr>
        <w:divId w:val="312563687"/>
        <w:rPr>
          <w:rFonts w:eastAsia="Times New Roman"/>
        </w:rPr>
      </w:pPr>
    </w:p>
    <w:p w14:paraId="3EAAFAC7" w14:textId="77777777" w:rsidR="00000000" w:rsidRDefault="00195E73">
      <w:pPr>
        <w:divId w:val="1336759542"/>
        <w:rPr>
          <w:rFonts w:eastAsia="Times New Roman"/>
        </w:rPr>
      </w:pPr>
      <w:r>
        <w:rPr>
          <w:rFonts w:eastAsia="Times New Roman"/>
          <w:color w:val="000000"/>
          <w:sz w:val="20"/>
          <w:szCs w:val="20"/>
        </w:rPr>
        <w:t>Ineffective internal and disclos</w:t>
      </w:r>
      <w:r>
        <w:rPr>
          <w:rFonts w:eastAsia="Times New Roman"/>
          <w:color w:val="000000"/>
          <w:sz w:val="20"/>
          <w:szCs w:val="20"/>
        </w:rPr>
        <w:t>ure controls could cause investors to lose confidence in our reported financial information, which could have a negative effect on the trading price of our depositary units or the rating of our debt</w:t>
      </w:r>
      <w:r>
        <w:rPr>
          <w:rFonts w:eastAsia="Times New Roman"/>
          <w:color w:val="000000"/>
          <w:sz w:val="20"/>
          <w:szCs w:val="20"/>
        </w:rPr>
        <w:t>.</w:t>
      </w:r>
    </w:p>
    <w:p w14:paraId="40636ACD" w14:textId="77777777" w:rsidR="00000000" w:rsidRDefault="00195E73">
      <w:pPr>
        <w:divId w:val="193081556"/>
        <w:rPr>
          <w:rFonts w:eastAsia="Times New Roman"/>
        </w:rPr>
      </w:pPr>
    </w:p>
    <w:p w14:paraId="41051164" w14:textId="77777777" w:rsidR="00000000" w:rsidRDefault="00195E73">
      <w:pPr>
        <w:jc w:val="center"/>
        <w:rPr>
          <w:rFonts w:eastAsia="Times New Roman"/>
        </w:rPr>
      </w:pPr>
      <w:r>
        <w:rPr>
          <w:rFonts w:eastAsia="Times New Roman"/>
          <w:b/>
          <w:bCs/>
          <w:color w:val="000000"/>
          <w:sz w:val="20"/>
          <w:szCs w:val="20"/>
        </w:rPr>
        <w:t>Risks Relating to Our Investment Segmen</w:t>
      </w:r>
      <w:r>
        <w:rPr>
          <w:rFonts w:eastAsia="Times New Roman"/>
          <w:b/>
          <w:bCs/>
          <w:color w:val="000000"/>
          <w:sz w:val="20"/>
          <w:szCs w:val="20"/>
        </w:rPr>
        <w:t>t</w:t>
      </w:r>
    </w:p>
    <w:p w14:paraId="7A78F7C6" w14:textId="77777777" w:rsidR="00000000" w:rsidRDefault="00195E73">
      <w:pPr>
        <w:divId w:val="1088042324"/>
        <w:rPr>
          <w:rFonts w:eastAsia="Times New Roman"/>
        </w:rPr>
      </w:pPr>
      <w:r>
        <w:rPr>
          <w:rFonts w:eastAsia="Times New Roman"/>
          <w:b/>
          <w:bCs/>
          <w:i/>
          <w:iCs/>
          <w:color w:val="000000"/>
          <w:sz w:val="20"/>
          <w:szCs w:val="20"/>
        </w:rPr>
        <w:t>Our investments may be subject to significant uncertainties</w:t>
      </w:r>
      <w:r>
        <w:rPr>
          <w:rFonts w:eastAsia="Times New Roman"/>
          <w:b/>
          <w:bCs/>
          <w:i/>
          <w:iCs/>
          <w:color w:val="000000"/>
          <w:sz w:val="20"/>
          <w:szCs w:val="20"/>
        </w:rPr>
        <w:t>.</w:t>
      </w:r>
    </w:p>
    <w:p w14:paraId="0DC66DF4" w14:textId="77777777" w:rsidR="00000000" w:rsidRDefault="00195E73">
      <w:pPr>
        <w:ind w:firstLine="405"/>
        <w:divId w:val="1758794168"/>
        <w:rPr>
          <w:rFonts w:eastAsia="Times New Roman"/>
        </w:rPr>
      </w:pPr>
      <w:r>
        <w:rPr>
          <w:rFonts w:eastAsia="Times New Roman"/>
          <w:color w:val="000000"/>
          <w:sz w:val="20"/>
          <w:szCs w:val="20"/>
        </w:rPr>
        <w:t>Our investments may not be successful for many reasons, including, but not limited to</w:t>
      </w:r>
      <w:r>
        <w:rPr>
          <w:rFonts w:eastAsia="Times New Roman"/>
          <w:color w:val="000000"/>
          <w:sz w:val="20"/>
          <w:szCs w:val="20"/>
        </w:rPr>
        <w:t>:</w:t>
      </w:r>
    </w:p>
    <w:p w14:paraId="1074E968" w14:textId="77777777" w:rsidR="00000000" w:rsidRDefault="00195E73">
      <w:pPr>
        <w:ind w:hanging="225"/>
        <w:divId w:val="1535076966"/>
        <w:rPr>
          <w:rFonts w:eastAsia="Times New Roman"/>
        </w:rPr>
      </w:pPr>
      <w:r>
        <w:rPr>
          <w:rFonts w:eastAsia="Times New Roman"/>
          <w:color w:val="000000"/>
          <w:sz w:val="20"/>
          <w:szCs w:val="20"/>
        </w:rPr>
        <w:t>•</w:t>
      </w:r>
      <w:r>
        <w:rPr>
          <w:rFonts w:eastAsia="Times New Roman"/>
          <w:color w:val="000000"/>
          <w:sz w:val="20"/>
          <w:szCs w:val="20"/>
        </w:rPr>
        <w:t>fluctuations of interest rates</w:t>
      </w:r>
      <w:r>
        <w:rPr>
          <w:rFonts w:eastAsia="Times New Roman"/>
          <w:color w:val="000000"/>
          <w:sz w:val="20"/>
          <w:szCs w:val="20"/>
        </w:rPr>
        <w:t>;</w:t>
      </w:r>
    </w:p>
    <w:p w14:paraId="702B045C" w14:textId="77777777" w:rsidR="00000000" w:rsidRDefault="00195E73">
      <w:pPr>
        <w:ind w:hanging="225"/>
        <w:divId w:val="1893542355"/>
        <w:rPr>
          <w:rFonts w:eastAsia="Times New Roman"/>
        </w:rPr>
      </w:pPr>
      <w:r>
        <w:rPr>
          <w:rFonts w:eastAsia="Times New Roman"/>
          <w:color w:val="000000"/>
          <w:sz w:val="20"/>
          <w:szCs w:val="20"/>
        </w:rPr>
        <w:t>•</w:t>
      </w:r>
      <w:r>
        <w:rPr>
          <w:rFonts w:eastAsia="Times New Roman"/>
          <w:color w:val="000000"/>
          <w:sz w:val="20"/>
          <w:szCs w:val="20"/>
        </w:rPr>
        <w:t>lack of control in minority inves</w:t>
      </w:r>
      <w:r>
        <w:rPr>
          <w:rFonts w:eastAsia="Times New Roman"/>
          <w:color w:val="000000"/>
          <w:sz w:val="20"/>
          <w:szCs w:val="20"/>
        </w:rPr>
        <w:t>tments</w:t>
      </w:r>
      <w:r>
        <w:rPr>
          <w:rFonts w:eastAsia="Times New Roman"/>
          <w:color w:val="000000"/>
          <w:sz w:val="20"/>
          <w:szCs w:val="20"/>
        </w:rPr>
        <w:t>;</w:t>
      </w:r>
    </w:p>
    <w:p w14:paraId="3D53257F" w14:textId="77777777" w:rsidR="00000000" w:rsidRDefault="00195E73">
      <w:pPr>
        <w:ind w:hanging="225"/>
        <w:divId w:val="560404272"/>
        <w:rPr>
          <w:rFonts w:eastAsia="Times New Roman"/>
        </w:rPr>
      </w:pPr>
      <w:r>
        <w:rPr>
          <w:rFonts w:eastAsia="Times New Roman"/>
          <w:color w:val="000000"/>
          <w:sz w:val="20"/>
          <w:szCs w:val="20"/>
        </w:rPr>
        <w:t>•</w:t>
      </w:r>
      <w:r>
        <w:rPr>
          <w:rFonts w:eastAsia="Times New Roman"/>
          <w:color w:val="000000"/>
          <w:sz w:val="20"/>
          <w:szCs w:val="20"/>
        </w:rPr>
        <w:t>worsening of general economic and market conditions</w:t>
      </w:r>
      <w:r>
        <w:rPr>
          <w:rFonts w:eastAsia="Times New Roman"/>
          <w:color w:val="000000"/>
          <w:sz w:val="20"/>
          <w:szCs w:val="20"/>
        </w:rPr>
        <w:t>;</w:t>
      </w:r>
    </w:p>
    <w:p w14:paraId="39D25E84" w14:textId="77777777" w:rsidR="00000000" w:rsidRDefault="00195E73">
      <w:pPr>
        <w:ind w:hanging="225"/>
        <w:divId w:val="497040374"/>
        <w:rPr>
          <w:rFonts w:eastAsia="Times New Roman"/>
        </w:rPr>
      </w:pPr>
      <w:r>
        <w:rPr>
          <w:rFonts w:eastAsia="Times New Roman"/>
          <w:color w:val="000000"/>
          <w:sz w:val="20"/>
          <w:szCs w:val="20"/>
        </w:rPr>
        <w:t>•</w:t>
      </w:r>
      <w:r>
        <w:rPr>
          <w:rFonts w:eastAsia="Times New Roman"/>
          <w:color w:val="000000"/>
          <w:sz w:val="20"/>
          <w:szCs w:val="20"/>
        </w:rPr>
        <w:t>lack of diversification</w:t>
      </w:r>
      <w:r>
        <w:rPr>
          <w:rFonts w:eastAsia="Times New Roman"/>
          <w:color w:val="000000"/>
          <w:sz w:val="20"/>
          <w:szCs w:val="20"/>
        </w:rPr>
        <w:t>;</w:t>
      </w:r>
    </w:p>
    <w:p w14:paraId="5680BE93" w14:textId="77777777" w:rsidR="00000000" w:rsidRDefault="00195E73">
      <w:pPr>
        <w:ind w:hanging="225"/>
        <w:divId w:val="1516846417"/>
        <w:rPr>
          <w:rFonts w:eastAsia="Times New Roman"/>
        </w:rPr>
      </w:pPr>
      <w:r>
        <w:rPr>
          <w:rFonts w:eastAsia="Times New Roman"/>
          <w:color w:val="000000"/>
          <w:sz w:val="20"/>
          <w:szCs w:val="20"/>
        </w:rPr>
        <w:t>•</w:t>
      </w:r>
      <w:r>
        <w:rPr>
          <w:rFonts w:eastAsia="Times New Roman"/>
          <w:color w:val="000000"/>
          <w:sz w:val="20"/>
          <w:szCs w:val="20"/>
        </w:rPr>
        <w:t>lack of success of the Investment Funds’ activist strategies</w:t>
      </w:r>
      <w:r>
        <w:rPr>
          <w:rFonts w:eastAsia="Times New Roman"/>
          <w:color w:val="000000"/>
          <w:sz w:val="20"/>
          <w:szCs w:val="20"/>
        </w:rPr>
        <w:t>;</w:t>
      </w:r>
    </w:p>
    <w:p w14:paraId="241BF854" w14:textId="77777777" w:rsidR="00000000" w:rsidRDefault="00195E73">
      <w:pPr>
        <w:ind w:hanging="225"/>
        <w:divId w:val="1628050427"/>
        <w:rPr>
          <w:rFonts w:eastAsia="Times New Roman"/>
        </w:rPr>
      </w:pPr>
      <w:r>
        <w:rPr>
          <w:rFonts w:eastAsia="Times New Roman"/>
          <w:color w:val="000000"/>
          <w:sz w:val="20"/>
          <w:szCs w:val="20"/>
        </w:rPr>
        <w:t>•</w:t>
      </w:r>
      <w:r>
        <w:rPr>
          <w:rFonts w:eastAsia="Times New Roman"/>
          <w:color w:val="000000"/>
          <w:sz w:val="20"/>
          <w:szCs w:val="20"/>
        </w:rPr>
        <w:t>fluctuations of U.S. dollar exchange rates; an</w:t>
      </w:r>
      <w:r>
        <w:rPr>
          <w:rFonts w:eastAsia="Times New Roman"/>
          <w:color w:val="000000"/>
          <w:sz w:val="20"/>
          <w:szCs w:val="20"/>
        </w:rPr>
        <w:t>d</w:t>
      </w:r>
    </w:p>
    <w:p w14:paraId="601269B5" w14:textId="77777777" w:rsidR="00000000" w:rsidRDefault="00195E73">
      <w:pPr>
        <w:ind w:hanging="225"/>
        <w:divId w:val="582178356"/>
        <w:rPr>
          <w:rFonts w:eastAsia="Times New Roman"/>
        </w:rPr>
      </w:pPr>
      <w:r>
        <w:rPr>
          <w:rFonts w:eastAsia="Times New Roman"/>
          <w:color w:val="000000"/>
          <w:sz w:val="20"/>
          <w:szCs w:val="20"/>
        </w:rPr>
        <w:t>•</w:t>
      </w:r>
      <w:r>
        <w:rPr>
          <w:rFonts w:eastAsia="Times New Roman"/>
          <w:color w:val="000000"/>
          <w:sz w:val="20"/>
          <w:szCs w:val="20"/>
        </w:rPr>
        <w:t>adverse legal and regulatory developments that may affe</w:t>
      </w:r>
      <w:r>
        <w:rPr>
          <w:rFonts w:eastAsia="Times New Roman"/>
          <w:color w:val="000000"/>
          <w:sz w:val="20"/>
          <w:szCs w:val="20"/>
        </w:rPr>
        <w:t>ct particular businesses</w:t>
      </w:r>
      <w:r>
        <w:rPr>
          <w:rFonts w:eastAsia="Times New Roman"/>
          <w:color w:val="000000"/>
          <w:sz w:val="20"/>
          <w:szCs w:val="20"/>
        </w:rPr>
        <w:t>.</w:t>
      </w:r>
    </w:p>
    <w:p w14:paraId="3D6E31A0" w14:textId="77777777" w:rsidR="00000000" w:rsidRDefault="00195E73">
      <w:pPr>
        <w:divId w:val="937325398"/>
        <w:rPr>
          <w:rFonts w:eastAsia="Times New Roman"/>
        </w:rPr>
      </w:pPr>
      <w:r>
        <w:rPr>
          <w:rFonts w:eastAsia="Times New Roman"/>
          <w:b/>
          <w:bCs/>
          <w:i/>
          <w:iCs/>
          <w:color w:val="000000"/>
          <w:sz w:val="20"/>
          <w:szCs w:val="20"/>
        </w:rPr>
        <w:t>The historical financial information for the Investment Funds is not necessarily indicative of its future performance</w:t>
      </w:r>
      <w:r>
        <w:rPr>
          <w:rFonts w:eastAsia="Times New Roman"/>
          <w:b/>
          <w:bCs/>
          <w:i/>
          <w:iCs/>
          <w:color w:val="000000"/>
          <w:sz w:val="20"/>
          <w:szCs w:val="20"/>
        </w:rPr>
        <w:t>.</w:t>
      </w:r>
    </w:p>
    <w:p w14:paraId="47729E0B" w14:textId="77777777" w:rsidR="00000000" w:rsidRDefault="00195E73">
      <w:pPr>
        <w:ind w:firstLine="405"/>
        <w:divId w:val="1453591916"/>
        <w:rPr>
          <w:rFonts w:eastAsia="Times New Roman"/>
        </w:rPr>
      </w:pPr>
      <w:r>
        <w:rPr>
          <w:rFonts w:eastAsia="Times New Roman"/>
          <w:color w:val="000000"/>
          <w:sz w:val="20"/>
          <w:szCs w:val="20"/>
        </w:rPr>
        <w:t>Our Investment segment’</w:t>
      </w:r>
      <w:r>
        <w:rPr>
          <w:rFonts w:eastAsia="Times New Roman"/>
          <w:color w:val="000000"/>
          <w:sz w:val="20"/>
          <w:szCs w:val="20"/>
        </w:rPr>
        <w:t>s financial information is driven by the amount of funds allocated to the Investment Funds and the performance of the underlying investments in the Investment Funds. Future funds allocated to the Investment Funds may increase or decrease based on the contr</w:t>
      </w:r>
      <w:r>
        <w:rPr>
          <w:rFonts w:eastAsia="Times New Roman"/>
          <w:color w:val="000000"/>
          <w:sz w:val="20"/>
          <w:szCs w:val="20"/>
        </w:rPr>
        <w:t>ibutions and redemptions by our Holding Company and by Mr. Icahn and his affiliates. Additionally, historical performance results of the Investment Funds are not indicative of future results as past market conditions, investment opportunities and investmen</w:t>
      </w:r>
      <w:r>
        <w:rPr>
          <w:rFonts w:eastAsia="Times New Roman"/>
          <w:color w:val="000000"/>
          <w:sz w:val="20"/>
          <w:szCs w:val="20"/>
        </w:rPr>
        <w:t>t decisions may not occur in the future. Changes in general market conditions coupled with changes in exposure to short and long positions have significant impact on our Investment segment’s results of operations and the comparability of results of operati</w:t>
      </w:r>
      <w:r>
        <w:rPr>
          <w:rFonts w:eastAsia="Times New Roman"/>
          <w:color w:val="000000"/>
          <w:sz w:val="20"/>
          <w:szCs w:val="20"/>
        </w:rPr>
        <w:t>ons year over year and as such, future results of operations will be impacted by our future exposures and future market conditions, which may not be consistent with prior trends. Additionally, future returns may be affected by additional risks, including r</w:t>
      </w:r>
      <w:r>
        <w:rPr>
          <w:rFonts w:eastAsia="Times New Roman"/>
          <w:color w:val="000000"/>
          <w:sz w:val="20"/>
          <w:szCs w:val="20"/>
        </w:rPr>
        <w:t>isks of the industries and businesses in which a particular fund invests</w:t>
      </w:r>
      <w:r>
        <w:rPr>
          <w:rFonts w:eastAsia="Times New Roman"/>
          <w:color w:val="000000"/>
          <w:sz w:val="20"/>
          <w:szCs w:val="20"/>
        </w:rPr>
        <w:t>.</w:t>
      </w:r>
    </w:p>
    <w:p w14:paraId="1325DA73" w14:textId="77777777" w:rsidR="00000000" w:rsidRDefault="00195E73">
      <w:pPr>
        <w:divId w:val="50348340"/>
        <w:rPr>
          <w:rFonts w:eastAsia="Times New Roman"/>
        </w:rPr>
      </w:pPr>
      <w:r>
        <w:rPr>
          <w:rFonts w:eastAsia="Times New Roman"/>
          <w:b/>
          <w:bCs/>
          <w:i/>
          <w:iCs/>
          <w:color w:val="000000"/>
          <w:sz w:val="20"/>
          <w:szCs w:val="20"/>
        </w:rPr>
        <w:t>We may not be able to identify suitable investments, and our investments may not result in favorable returns or may result in losses</w:t>
      </w:r>
      <w:r>
        <w:rPr>
          <w:rFonts w:eastAsia="Times New Roman"/>
          <w:b/>
          <w:bCs/>
          <w:i/>
          <w:iCs/>
          <w:color w:val="000000"/>
          <w:sz w:val="20"/>
          <w:szCs w:val="20"/>
        </w:rPr>
        <w:t>.</w:t>
      </w:r>
    </w:p>
    <w:p w14:paraId="2E3A2813" w14:textId="77777777" w:rsidR="00000000" w:rsidRDefault="00195E73">
      <w:pPr>
        <w:ind w:firstLine="405"/>
        <w:divId w:val="83962558"/>
        <w:rPr>
          <w:rFonts w:eastAsia="Times New Roman"/>
        </w:rPr>
      </w:pPr>
      <w:r>
        <w:rPr>
          <w:rFonts w:eastAsia="Times New Roman"/>
          <w:color w:val="000000"/>
          <w:sz w:val="20"/>
          <w:szCs w:val="20"/>
        </w:rPr>
        <w:t>Our partnership agreement allows us to take adva</w:t>
      </w:r>
      <w:r>
        <w:rPr>
          <w:rFonts w:eastAsia="Times New Roman"/>
          <w:color w:val="000000"/>
          <w:sz w:val="20"/>
          <w:szCs w:val="20"/>
        </w:rPr>
        <w:t>ntage of investment opportunities we believe exist outside of our operating businesses. The equity securities in which we may invest may include common stock, preferred stock and securities convertible into common stock, as well as warrants to purchase the</w:t>
      </w:r>
      <w:r>
        <w:rPr>
          <w:rFonts w:eastAsia="Times New Roman"/>
          <w:color w:val="000000"/>
          <w:sz w:val="20"/>
          <w:szCs w:val="20"/>
        </w:rPr>
        <w:t xml:space="preserve">se securities. The debt securities in which we may invest may include bonds, debentures, notes or non-rated mortgage-related securities, municipal obligations, bank debt and mezzanine loans. Certain of these securities may include lower rated or non-rated </w:t>
      </w:r>
      <w:r>
        <w:rPr>
          <w:rFonts w:eastAsia="Times New Roman"/>
          <w:color w:val="000000"/>
          <w:sz w:val="20"/>
          <w:szCs w:val="20"/>
        </w:rPr>
        <w:t>securities, which may provide the potential for higher yields and therefore may entail higher risk and may include the securities of bankrupt or distressed companies. In addition, we may engage in various investment techniques, including derivatives, optio</w:t>
      </w:r>
      <w:r>
        <w:rPr>
          <w:rFonts w:eastAsia="Times New Roman"/>
          <w:color w:val="000000"/>
          <w:sz w:val="20"/>
          <w:szCs w:val="20"/>
        </w:rPr>
        <w:t>ns and futures transactions, foreign currency transactions, “short” sales and leveraging for either hedging or other purposes. We may concentrate our activities by owning significant or controlling interests in certain investments. We may not be successful</w:t>
      </w:r>
      <w:r>
        <w:rPr>
          <w:rFonts w:eastAsia="Times New Roman"/>
          <w:color w:val="000000"/>
          <w:sz w:val="20"/>
          <w:szCs w:val="20"/>
        </w:rPr>
        <w:t xml:space="preserve"> in finding suitable opportunities to invest our cash and our strategy of investing in undervalued assets may expose us to numerous risks</w:t>
      </w:r>
      <w:r>
        <w:rPr>
          <w:rFonts w:eastAsia="Times New Roman"/>
          <w:color w:val="000000"/>
          <w:sz w:val="20"/>
          <w:szCs w:val="20"/>
        </w:rPr>
        <w:t>.</w:t>
      </w:r>
    </w:p>
    <w:p w14:paraId="08202085" w14:textId="77777777" w:rsidR="00000000" w:rsidRDefault="00195E73">
      <w:pPr>
        <w:divId w:val="1545485882"/>
        <w:rPr>
          <w:rFonts w:eastAsia="Times New Roman"/>
        </w:rPr>
      </w:pPr>
      <w:r>
        <w:rPr>
          <w:rFonts w:eastAsia="Times New Roman"/>
          <w:b/>
          <w:bCs/>
          <w:i/>
          <w:iCs/>
          <w:color w:val="000000"/>
          <w:sz w:val="20"/>
          <w:szCs w:val="20"/>
        </w:rPr>
        <w:t>Successful execution of our activist investment activities involves many risks, certain of which are outside of our c</w:t>
      </w:r>
      <w:r>
        <w:rPr>
          <w:rFonts w:eastAsia="Times New Roman"/>
          <w:b/>
          <w:bCs/>
          <w:i/>
          <w:iCs/>
          <w:color w:val="000000"/>
          <w:sz w:val="20"/>
          <w:szCs w:val="20"/>
        </w:rPr>
        <w:t>ontrol</w:t>
      </w:r>
      <w:r>
        <w:rPr>
          <w:rFonts w:eastAsia="Times New Roman"/>
          <w:b/>
          <w:bCs/>
          <w:i/>
          <w:iCs/>
          <w:color w:val="000000"/>
          <w:sz w:val="20"/>
          <w:szCs w:val="20"/>
        </w:rPr>
        <w:t>.</w:t>
      </w:r>
    </w:p>
    <w:p w14:paraId="538C49F5" w14:textId="77777777" w:rsidR="00000000" w:rsidRDefault="00195E73">
      <w:pPr>
        <w:ind w:firstLine="405"/>
        <w:divId w:val="1195075141"/>
        <w:rPr>
          <w:rFonts w:eastAsia="Times New Roman"/>
        </w:rPr>
      </w:pPr>
      <w:r>
        <w:rPr>
          <w:rFonts w:eastAsia="Times New Roman"/>
          <w:color w:val="000000"/>
          <w:sz w:val="20"/>
          <w:szCs w:val="20"/>
        </w:rPr>
        <w:t xml:space="preserve">The success of our investment strategy may require, among other things: (i) that we properly identify companies whose securities prices can be improved through corporate and/or strategic action or successful restructuring of their operations; (ii) </w:t>
      </w:r>
      <w:r>
        <w:rPr>
          <w:rFonts w:eastAsia="Times New Roman"/>
          <w:color w:val="000000"/>
          <w:sz w:val="20"/>
          <w:szCs w:val="20"/>
        </w:rPr>
        <w:t>that we acquire sufficient securities of such companies at a sufficiently attractive price; (iii) that we avoid triggering anti-takeover and regulatory obstacles while aggregating our positions; (iv) that management of portfolio companies and other securit</w:t>
      </w:r>
      <w:r>
        <w:rPr>
          <w:rFonts w:eastAsia="Times New Roman"/>
          <w:color w:val="000000"/>
          <w:sz w:val="20"/>
          <w:szCs w:val="20"/>
        </w:rPr>
        <w:t>y holders respond positively to our proposals; and (v) that the market price of portfolio companies’ securities increases in response to any actions taken by the portfolio companies. We cannot assure you that any of the foregoing will succeed</w:t>
      </w:r>
      <w:r>
        <w:rPr>
          <w:rFonts w:eastAsia="Times New Roman"/>
          <w:color w:val="000000"/>
          <w:sz w:val="20"/>
          <w:szCs w:val="20"/>
        </w:rPr>
        <w:t>.</w:t>
      </w:r>
    </w:p>
    <w:p w14:paraId="47FE2C52" w14:textId="77777777" w:rsidR="00000000" w:rsidRDefault="00195E73">
      <w:pPr>
        <w:ind w:firstLine="405"/>
        <w:divId w:val="229006124"/>
        <w:rPr>
          <w:rFonts w:eastAsia="Times New Roman"/>
        </w:rPr>
      </w:pPr>
      <w:r>
        <w:rPr>
          <w:rFonts w:eastAsia="Times New Roman"/>
          <w:color w:val="000000"/>
          <w:sz w:val="20"/>
          <w:szCs w:val="20"/>
        </w:rPr>
        <w:t xml:space="preserve">The success </w:t>
      </w:r>
      <w:r>
        <w:rPr>
          <w:rFonts w:eastAsia="Times New Roman"/>
          <w:color w:val="000000"/>
          <w:sz w:val="20"/>
          <w:szCs w:val="20"/>
        </w:rPr>
        <w:t>of the Investment Funds depends upon the ability of our Investment segment to successfully develop and implement investment strategies that achieve the Investment Funds’ objectives. Subjective decisions made by employees of our Investment segment may cause</w:t>
      </w:r>
      <w:r>
        <w:rPr>
          <w:rFonts w:eastAsia="Times New Roman"/>
          <w:color w:val="000000"/>
          <w:sz w:val="20"/>
          <w:szCs w:val="20"/>
        </w:rPr>
        <w:t xml:space="preserve"> the Investment Funds to incur losses or to miss profit opportunities on which the Investment Funds would otherwise have capitalized. In addition, in the event that Mr. Icahn ceases to participate in the management of the Investment Funds, the consequences</w:t>
      </w:r>
      <w:r>
        <w:rPr>
          <w:rFonts w:eastAsia="Times New Roman"/>
          <w:color w:val="000000"/>
          <w:sz w:val="20"/>
          <w:szCs w:val="20"/>
        </w:rPr>
        <w:t xml:space="preserve"> to the Investment Funds and our interest in them could be material and adverse and could lead to the premature termination of the Investment Funds</w:t>
      </w:r>
      <w:r>
        <w:rPr>
          <w:rFonts w:eastAsia="Times New Roman"/>
          <w:color w:val="000000"/>
          <w:sz w:val="20"/>
          <w:szCs w:val="20"/>
        </w:rPr>
        <w:t>.</w:t>
      </w:r>
    </w:p>
    <w:p w14:paraId="7CF72A57" w14:textId="77777777" w:rsidR="00000000" w:rsidRDefault="00195E73">
      <w:pPr>
        <w:divId w:val="1280794542"/>
        <w:rPr>
          <w:rFonts w:eastAsia="Times New Roman"/>
        </w:rPr>
      </w:pPr>
    </w:p>
    <w:p w14:paraId="312042AB" w14:textId="77777777" w:rsidR="00000000" w:rsidRDefault="00195E73">
      <w:pPr>
        <w:jc w:val="center"/>
        <w:divId w:val="853113906"/>
        <w:rPr>
          <w:rFonts w:eastAsia="Times New Roman"/>
        </w:rPr>
      </w:pPr>
      <w:r>
        <w:rPr>
          <w:rFonts w:eastAsia="Times New Roman"/>
          <w:color w:val="000000"/>
          <w:sz w:val="20"/>
          <w:szCs w:val="20"/>
        </w:rPr>
        <w:t>1</w:t>
      </w:r>
      <w:r>
        <w:rPr>
          <w:rFonts w:eastAsia="Times New Roman"/>
          <w:color w:val="000000"/>
          <w:sz w:val="20"/>
          <w:szCs w:val="20"/>
        </w:rPr>
        <w:t>8</w:t>
      </w:r>
    </w:p>
    <w:p w14:paraId="3DAA65B9" w14:textId="77777777" w:rsidR="00000000" w:rsidRDefault="00195E73">
      <w:pPr>
        <w:rPr>
          <w:rFonts w:eastAsia="Times New Roman"/>
        </w:rPr>
      </w:pPr>
      <w:r>
        <w:rPr>
          <w:rFonts w:eastAsia="Times New Roman"/>
        </w:rPr>
        <w:pict w14:anchorId="27A73608">
          <v:rect id="_x0000_i1044" style="width:0;height:1.5pt" o:hralign="center" o:hrstd="t" o:hr="t" fillcolor="#a0a0a0" stroked="f"/>
        </w:pict>
      </w:r>
    </w:p>
    <w:p w14:paraId="4D0D4E9C" w14:textId="77777777" w:rsidR="00000000" w:rsidRDefault="00195E73">
      <w:pPr>
        <w:divId w:val="941258667"/>
        <w:rPr>
          <w:rFonts w:eastAsia="Times New Roman"/>
        </w:rPr>
      </w:pPr>
    </w:p>
    <w:p w14:paraId="128D9FCD" w14:textId="77777777" w:rsidR="00000000" w:rsidRDefault="00195E73">
      <w:pPr>
        <w:divId w:val="1747602917"/>
        <w:rPr>
          <w:rFonts w:eastAsia="Times New Roman"/>
        </w:rPr>
      </w:pPr>
      <w:r>
        <w:rPr>
          <w:rFonts w:eastAsia="Times New Roman"/>
          <w:b/>
          <w:bCs/>
          <w:i/>
          <w:iCs/>
          <w:color w:val="000000"/>
          <w:sz w:val="20"/>
          <w:szCs w:val="20"/>
        </w:rPr>
        <w:t>The Investment Funds make investments in companies we do not con</w:t>
      </w:r>
      <w:r>
        <w:rPr>
          <w:rFonts w:eastAsia="Times New Roman"/>
          <w:b/>
          <w:bCs/>
          <w:i/>
          <w:iCs/>
          <w:color w:val="000000"/>
          <w:sz w:val="20"/>
          <w:szCs w:val="20"/>
        </w:rPr>
        <w:t>trol</w:t>
      </w:r>
      <w:r>
        <w:rPr>
          <w:rFonts w:eastAsia="Times New Roman"/>
          <w:b/>
          <w:bCs/>
          <w:i/>
          <w:iCs/>
          <w:color w:val="000000"/>
          <w:sz w:val="20"/>
          <w:szCs w:val="20"/>
        </w:rPr>
        <w:t>.</w:t>
      </w:r>
    </w:p>
    <w:p w14:paraId="5E3828E1" w14:textId="77777777" w:rsidR="00000000" w:rsidRDefault="00195E73">
      <w:pPr>
        <w:ind w:firstLine="405"/>
        <w:divId w:val="1688751024"/>
        <w:rPr>
          <w:rFonts w:eastAsia="Times New Roman"/>
        </w:rPr>
      </w:pPr>
      <w:r>
        <w:rPr>
          <w:rFonts w:eastAsia="Times New Roman"/>
          <w:color w:val="000000"/>
          <w:sz w:val="20"/>
          <w:szCs w:val="20"/>
        </w:rPr>
        <w:t>Investments by the Investment Funds include investments in debt or equity securities of publicly traded companies that we do not control. Such investments may be acquired by the Investment Funds through open market trading activities or through purch</w:t>
      </w:r>
      <w:r>
        <w:rPr>
          <w:rFonts w:eastAsia="Times New Roman"/>
          <w:color w:val="000000"/>
          <w:sz w:val="20"/>
          <w:szCs w:val="20"/>
        </w:rPr>
        <w:t>ases of securities from the issuer. These investments will be subject to the risk that the company in which the investment is made may make business, financial or management decisions with which our Investment segment disagree or that the majority of stake</w:t>
      </w:r>
      <w:r>
        <w:rPr>
          <w:rFonts w:eastAsia="Times New Roman"/>
          <w:color w:val="000000"/>
          <w:sz w:val="20"/>
          <w:szCs w:val="20"/>
        </w:rPr>
        <w:t xml:space="preserve">holders or the management of the company may take risks or otherwise act in a manner that does not serve the best interests of the Investment Funds. In addition, the Investment Funds may make investments in which it shares control over the investment with </w:t>
      </w:r>
      <w:r>
        <w:rPr>
          <w:rFonts w:eastAsia="Times New Roman"/>
          <w:color w:val="000000"/>
          <w:sz w:val="20"/>
          <w:szCs w:val="20"/>
        </w:rPr>
        <w:t>co-investors, which may make it more difficult for it to implement its investment approach or exit the investment when it otherwise would. If any of the foregoing were to occur, the values of the investments by the Investment Funds could decrease and our I</w:t>
      </w:r>
      <w:r>
        <w:rPr>
          <w:rFonts w:eastAsia="Times New Roman"/>
          <w:color w:val="000000"/>
          <w:sz w:val="20"/>
          <w:szCs w:val="20"/>
        </w:rPr>
        <w:t>nvestment segment revenues could suffer as a result</w:t>
      </w:r>
      <w:r>
        <w:rPr>
          <w:rFonts w:eastAsia="Times New Roman"/>
          <w:color w:val="000000"/>
          <w:sz w:val="20"/>
          <w:szCs w:val="20"/>
        </w:rPr>
        <w:t>.</w:t>
      </w:r>
    </w:p>
    <w:p w14:paraId="2B851C6D" w14:textId="77777777" w:rsidR="00000000" w:rsidRDefault="00195E73">
      <w:pPr>
        <w:divId w:val="969895628"/>
        <w:rPr>
          <w:rFonts w:eastAsia="Times New Roman"/>
        </w:rPr>
      </w:pPr>
      <w:r>
        <w:rPr>
          <w:rFonts w:eastAsia="Times New Roman"/>
          <w:b/>
          <w:bCs/>
          <w:i/>
          <w:iCs/>
          <w:color w:val="000000"/>
          <w:sz w:val="20"/>
          <w:szCs w:val="20"/>
        </w:rPr>
        <w:t>The Investment Funds’ investment strategy involves numerous and significant risks, including the risk that we may lose some or all of our investments in the Investment Funds. This risk may be magnified d</w:t>
      </w:r>
      <w:r>
        <w:rPr>
          <w:rFonts w:eastAsia="Times New Roman"/>
          <w:b/>
          <w:bCs/>
          <w:i/>
          <w:iCs/>
          <w:color w:val="000000"/>
          <w:sz w:val="20"/>
          <w:szCs w:val="20"/>
        </w:rPr>
        <w:t>ue to concentration of investments and investments in undervalued securities</w:t>
      </w:r>
      <w:r>
        <w:rPr>
          <w:rFonts w:eastAsia="Times New Roman"/>
          <w:b/>
          <w:bCs/>
          <w:i/>
          <w:iCs/>
          <w:color w:val="000000"/>
          <w:sz w:val="20"/>
          <w:szCs w:val="20"/>
        </w:rPr>
        <w:t>.</w:t>
      </w:r>
    </w:p>
    <w:p w14:paraId="2CA04F86" w14:textId="77777777" w:rsidR="00000000" w:rsidRDefault="00195E73">
      <w:pPr>
        <w:ind w:firstLine="405"/>
        <w:divId w:val="740638033"/>
        <w:rPr>
          <w:rFonts w:eastAsia="Times New Roman"/>
        </w:rPr>
      </w:pPr>
      <w:r>
        <w:rPr>
          <w:rFonts w:eastAsia="Times New Roman"/>
          <w:color w:val="000000"/>
          <w:sz w:val="20"/>
          <w:szCs w:val="20"/>
        </w:rPr>
        <w:t>Our Investment segment’s revenue depends on the investments made by the Investment Funds. There are numerous and significant risks associated with these investments, certain of w</w:t>
      </w:r>
      <w:r>
        <w:rPr>
          <w:rFonts w:eastAsia="Times New Roman"/>
          <w:color w:val="000000"/>
          <w:sz w:val="20"/>
          <w:szCs w:val="20"/>
        </w:rPr>
        <w:t>hich are described in this risk factor and in other risk factors set forth herein</w:t>
      </w:r>
      <w:r>
        <w:rPr>
          <w:rFonts w:eastAsia="Times New Roman"/>
          <w:color w:val="000000"/>
          <w:sz w:val="20"/>
          <w:szCs w:val="20"/>
        </w:rPr>
        <w:t>.</w:t>
      </w:r>
    </w:p>
    <w:p w14:paraId="1D179DED" w14:textId="77777777" w:rsidR="00000000" w:rsidRDefault="00195E73">
      <w:pPr>
        <w:ind w:firstLine="405"/>
        <w:divId w:val="1570194461"/>
        <w:rPr>
          <w:rFonts w:eastAsia="Times New Roman"/>
        </w:rPr>
      </w:pPr>
      <w:r>
        <w:rPr>
          <w:rFonts w:eastAsia="Times New Roman"/>
          <w:color w:val="000000"/>
          <w:sz w:val="20"/>
          <w:szCs w:val="20"/>
        </w:rPr>
        <w:t>Certain investment positions held by the Investment Funds may be illiquid. The Investment Funds may own restricted or non-publicly traded securities and securities traded on</w:t>
      </w:r>
      <w:r>
        <w:rPr>
          <w:rFonts w:eastAsia="Times New Roman"/>
          <w:color w:val="000000"/>
          <w:sz w:val="20"/>
          <w:szCs w:val="20"/>
        </w:rPr>
        <w:t xml:space="preserve"> foreign exchanges. We also have significant influence with respect to certain companies owned by the Investment Funds, including representation on the board of directors of certain companies, and may be subject to trading restrictions with respect to spec</w:t>
      </w:r>
      <w:r>
        <w:rPr>
          <w:rFonts w:eastAsia="Times New Roman"/>
          <w:color w:val="000000"/>
          <w:sz w:val="20"/>
          <w:szCs w:val="20"/>
        </w:rPr>
        <w:t>ific positions in the Investment Funds at any particular time. These investments and trading restrictions could prevent the Investment Funds from liquidating unfavorable positions promptly and subject the Investment Funds to substantial losses</w:t>
      </w:r>
      <w:r>
        <w:rPr>
          <w:rFonts w:eastAsia="Times New Roman"/>
          <w:color w:val="000000"/>
          <w:sz w:val="20"/>
          <w:szCs w:val="20"/>
        </w:rPr>
        <w:t>.</w:t>
      </w:r>
    </w:p>
    <w:p w14:paraId="2E124333" w14:textId="77777777" w:rsidR="00000000" w:rsidRDefault="00195E73">
      <w:pPr>
        <w:ind w:firstLine="405"/>
        <w:divId w:val="592209068"/>
        <w:rPr>
          <w:rFonts w:eastAsia="Times New Roman"/>
        </w:rPr>
      </w:pPr>
      <w:r>
        <w:rPr>
          <w:rFonts w:eastAsia="Times New Roman"/>
          <w:color w:val="000000"/>
          <w:sz w:val="20"/>
          <w:szCs w:val="20"/>
        </w:rPr>
        <w:t>At any given time, the Investment Funds’ assets may become highly concentrated within a particular company, industry, asset category, trading style or financial or economic market. In that event, the Investment Funds’ investment portfolio will be more susc</w:t>
      </w:r>
      <w:r>
        <w:rPr>
          <w:rFonts w:eastAsia="Times New Roman"/>
          <w:color w:val="000000"/>
          <w:sz w:val="20"/>
          <w:szCs w:val="20"/>
        </w:rPr>
        <w:t>eptible to fluctuations in value resulting from adverse events, developments or economic conditions affecting the performance of that particular company, industry, asset category, trading style or economic market than a less concentrated portfolio would be</w:t>
      </w:r>
      <w:r>
        <w:rPr>
          <w:rFonts w:eastAsia="Times New Roman"/>
          <w:color w:val="000000"/>
          <w:sz w:val="20"/>
          <w:szCs w:val="20"/>
        </w:rPr>
        <w:t>. As a result, the Investment Funds’ investment portfolio’s aggregate returns may be volatile and may be affected substantially by the performance of only one or a few holdings</w:t>
      </w:r>
      <w:r>
        <w:rPr>
          <w:rFonts w:eastAsia="Times New Roman"/>
          <w:color w:val="000000"/>
          <w:sz w:val="20"/>
          <w:szCs w:val="20"/>
        </w:rPr>
        <w:t>.</w:t>
      </w:r>
    </w:p>
    <w:p w14:paraId="0DA8B48D" w14:textId="77777777" w:rsidR="00000000" w:rsidRDefault="00195E73">
      <w:pPr>
        <w:ind w:firstLine="405"/>
        <w:divId w:val="908225918"/>
        <w:rPr>
          <w:rFonts w:eastAsia="Times New Roman"/>
        </w:rPr>
      </w:pPr>
      <w:r>
        <w:rPr>
          <w:rFonts w:eastAsia="Times New Roman"/>
          <w:color w:val="000000"/>
          <w:sz w:val="20"/>
          <w:szCs w:val="20"/>
        </w:rPr>
        <w:t>As of December 31, 2019, our top five holdings in the Investment Funds had a m</w:t>
      </w:r>
      <w:r>
        <w:rPr>
          <w:rFonts w:eastAsia="Times New Roman"/>
          <w:color w:val="000000"/>
          <w:sz w:val="20"/>
          <w:szCs w:val="20"/>
        </w:rPr>
        <w:t>arket value of approximately $6.2 billion, which represented approximately 70% of our assets under management for the Investment Segment. Our largest holding at December 31, 2019 was Caesars Entertainment Corporation, which had a market value of approximat</w:t>
      </w:r>
      <w:r>
        <w:rPr>
          <w:rFonts w:eastAsia="Times New Roman"/>
          <w:color w:val="000000"/>
          <w:sz w:val="20"/>
          <w:szCs w:val="20"/>
        </w:rPr>
        <w:t>ely $2.1 billion, and represented approximately 24% of our assets under management for the Investment Segment. We also had holdings in Herbalife Ltd. (“Herbalife”), which had a market value of approximately $1.3 billion, and represented approximately 15% o</w:t>
      </w:r>
      <w:r>
        <w:rPr>
          <w:rFonts w:eastAsia="Times New Roman"/>
          <w:color w:val="000000"/>
          <w:sz w:val="20"/>
          <w:szCs w:val="20"/>
        </w:rPr>
        <w:t xml:space="preserve">f our assets under management for the Investment Segment. Therefore, a significant decline in the fair market values of our larger positions may have a material adverse impact on our consolidated financial position, results of operations or cash flows and </w:t>
      </w:r>
      <w:r>
        <w:rPr>
          <w:rFonts w:eastAsia="Times New Roman"/>
          <w:color w:val="000000"/>
          <w:sz w:val="20"/>
          <w:szCs w:val="20"/>
        </w:rPr>
        <w:t>the trading price of our depositary units. For example, Herbalife previously disclosed in its public filings that the SEC and the Department of Justice have been conducting an investigation into Herbalife’s compliance with the Foreign Corrupt Practices Act</w:t>
      </w:r>
      <w:r>
        <w:rPr>
          <w:rFonts w:eastAsia="Times New Roman"/>
          <w:color w:val="000000"/>
          <w:sz w:val="20"/>
          <w:szCs w:val="20"/>
        </w:rPr>
        <w:t xml:space="preserve"> in China, which is mainly focused on Herbalife’s China external affairs expenditures, its China business activities, the adequacy of and compliance with Herbalife’s internal controls in China, and the accuracy of Herbalife’s books and records relating to </w:t>
      </w:r>
      <w:r>
        <w:rPr>
          <w:rFonts w:eastAsia="Times New Roman"/>
          <w:color w:val="000000"/>
          <w:sz w:val="20"/>
          <w:szCs w:val="20"/>
        </w:rPr>
        <w:t>its China operations. Herbalife has recognized an estimated aggregate accrued liability for these matters of $40 million within its consolidated balance sheet as of December 31, 2019. However, Herbalife cannot predict the eventual scope, duration, or outco</w:t>
      </w:r>
      <w:r>
        <w:rPr>
          <w:rFonts w:eastAsia="Times New Roman"/>
          <w:color w:val="000000"/>
          <w:sz w:val="20"/>
          <w:szCs w:val="20"/>
        </w:rPr>
        <w:t>me of the government investigation at this time, including whether a settlement will be reached, the amount of any potential monetary payments, or injunctive or other relief, the results of which may be materially adverse to Herbalife, its financial condit</w:t>
      </w:r>
      <w:r>
        <w:rPr>
          <w:rFonts w:eastAsia="Times New Roman"/>
          <w:color w:val="000000"/>
          <w:sz w:val="20"/>
          <w:szCs w:val="20"/>
        </w:rPr>
        <w:t xml:space="preserve">ion, results of operations, and operations and the trading price of its common shares, which could, in turn, have a material adverse impact on our consolidated financial position, results of operations or cash flows and the trading price of our depositary </w:t>
      </w:r>
      <w:r>
        <w:rPr>
          <w:rFonts w:eastAsia="Times New Roman"/>
          <w:color w:val="000000"/>
          <w:sz w:val="20"/>
          <w:szCs w:val="20"/>
        </w:rPr>
        <w:t>units. At the present time, Herbalife is unable to reasonably estimate or provide any assurance regarding the amount of any potential loss in excess of the amount accrued relating to these matters. Certain of the companies in our Investment Funds file annu</w:t>
      </w:r>
      <w:r>
        <w:rPr>
          <w:rFonts w:eastAsia="Times New Roman"/>
          <w:color w:val="000000"/>
          <w:sz w:val="20"/>
          <w:szCs w:val="20"/>
        </w:rPr>
        <w:t>al, quarterly and current reports with the SEC, which are publicly available, and contain additional risk factors with respect to such companies</w:t>
      </w:r>
      <w:r>
        <w:rPr>
          <w:rFonts w:eastAsia="Times New Roman"/>
          <w:color w:val="000000"/>
          <w:sz w:val="20"/>
          <w:szCs w:val="20"/>
        </w:rPr>
        <w:t>.</w:t>
      </w:r>
    </w:p>
    <w:p w14:paraId="1C234178" w14:textId="77777777" w:rsidR="00000000" w:rsidRDefault="00195E73">
      <w:pPr>
        <w:ind w:firstLine="405"/>
        <w:divId w:val="621496060"/>
        <w:rPr>
          <w:rFonts w:eastAsia="Times New Roman"/>
        </w:rPr>
      </w:pPr>
      <w:r>
        <w:rPr>
          <w:rFonts w:eastAsia="Times New Roman"/>
          <w:color w:val="000000"/>
          <w:sz w:val="20"/>
          <w:szCs w:val="20"/>
        </w:rPr>
        <w:t>The Investment Funds seek to invest in securities that are undervalued. The identification of investment oppor</w:t>
      </w:r>
      <w:r>
        <w:rPr>
          <w:rFonts w:eastAsia="Times New Roman"/>
          <w:color w:val="000000"/>
          <w:sz w:val="20"/>
          <w:szCs w:val="20"/>
        </w:rPr>
        <w:t>tunities in undervalued securities is challenging, and there are no assurances that such opportunities will be successfully recognized or acquired. While investments in undervalued securities offer the opportunity for above-average capital appreciation, th</w:t>
      </w:r>
      <w:r>
        <w:rPr>
          <w:rFonts w:eastAsia="Times New Roman"/>
          <w:color w:val="000000"/>
          <w:sz w:val="20"/>
          <w:szCs w:val="20"/>
        </w:rPr>
        <w:t>ese investments involve a high degree of financial risk and can result in substantial losses. Returns generated from the Investment Funds’ investments may not adequately compensate for the business and financial risks assumed</w:t>
      </w:r>
      <w:r>
        <w:rPr>
          <w:rFonts w:eastAsia="Times New Roman"/>
          <w:color w:val="000000"/>
          <w:sz w:val="20"/>
          <w:szCs w:val="20"/>
        </w:rPr>
        <w:t>.</w:t>
      </w:r>
    </w:p>
    <w:p w14:paraId="0F934D92" w14:textId="77777777" w:rsidR="00000000" w:rsidRDefault="00195E73">
      <w:pPr>
        <w:jc w:val="center"/>
        <w:divId w:val="1328901074"/>
        <w:rPr>
          <w:rFonts w:eastAsia="Times New Roman"/>
        </w:rPr>
      </w:pPr>
      <w:r>
        <w:rPr>
          <w:rFonts w:eastAsia="Times New Roman"/>
          <w:color w:val="000000"/>
          <w:sz w:val="20"/>
          <w:szCs w:val="20"/>
        </w:rPr>
        <w:t>1</w:t>
      </w:r>
      <w:r>
        <w:rPr>
          <w:rFonts w:eastAsia="Times New Roman"/>
          <w:color w:val="000000"/>
          <w:sz w:val="20"/>
          <w:szCs w:val="20"/>
        </w:rPr>
        <w:t>9</w:t>
      </w:r>
    </w:p>
    <w:p w14:paraId="21139DA0" w14:textId="77777777" w:rsidR="00000000" w:rsidRDefault="00195E73">
      <w:pPr>
        <w:rPr>
          <w:rFonts w:eastAsia="Times New Roman"/>
        </w:rPr>
      </w:pPr>
      <w:r>
        <w:rPr>
          <w:rFonts w:eastAsia="Times New Roman"/>
        </w:rPr>
        <w:pict w14:anchorId="54D092B1">
          <v:rect id="_x0000_i1045" style="width:0;height:1.5pt" o:hralign="center" o:hrstd="t" o:hr="t" fillcolor="#a0a0a0" stroked="f"/>
        </w:pict>
      </w:r>
    </w:p>
    <w:p w14:paraId="0892D6D3" w14:textId="77777777" w:rsidR="00000000" w:rsidRDefault="00195E73">
      <w:pPr>
        <w:divId w:val="1055785140"/>
        <w:rPr>
          <w:rFonts w:eastAsia="Times New Roman"/>
        </w:rPr>
      </w:pPr>
    </w:p>
    <w:p w14:paraId="04480C03" w14:textId="77777777" w:rsidR="00000000" w:rsidRDefault="00195E73">
      <w:pPr>
        <w:ind w:firstLine="405"/>
        <w:divId w:val="1697585871"/>
        <w:rPr>
          <w:rFonts w:eastAsia="Times New Roman"/>
        </w:rPr>
      </w:pPr>
      <w:r>
        <w:rPr>
          <w:rFonts w:eastAsia="Times New Roman"/>
          <w:color w:val="000000"/>
          <w:sz w:val="20"/>
          <w:szCs w:val="20"/>
        </w:rPr>
        <w:t>From time to time, the Investment Funds may invest in bonds or other fixed income securities, such as commercial paper and higher yielding (and, therefore, higher risk) debt securities. It is likely that a major economic recession could severel</w:t>
      </w:r>
      <w:r>
        <w:rPr>
          <w:rFonts w:eastAsia="Times New Roman"/>
          <w:color w:val="000000"/>
          <w:sz w:val="20"/>
          <w:szCs w:val="20"/>
        </w:rPr>
        <w:t>y disrupt the market for such securities and may have a material adverse impact on the value of such securities. In addition, it is likely that any such economic downturn could adversely affect the ability of the issuers of such securities to repay princip</w:t>
      </w:r>
      <w:r>
        <w:rPr>
          <w:rFonts w:eastAsia="Times New Roman"/>
          <w:color w:val="000000"/>
          <w:sz w:val="20"/>
          <w:szCs w:val="20"/>
        </w:rPr>
        <w:t>al and pay interest thereon and increase the incidence of default for such securities</w:t>
      </w:r>
      <w:r>
        <w:rPr>
          <w:rFonts w:eastAsia="Times New Roman"/>
          <w:color w:val="000000"/>
          <w:sz w:val="20"/>
          <w:szCs w:val="20"/>
        </w:rPr>
        <w:t>.</w:t>
      </w:r>
    </w:p>
    <w:p w14:paraId="5B017AC6" w14:textId="77777777" w:rsidR="00000000" w:rsidRDefault="00195E73">
      <w:pPr>
        <w:ind w:firstLine="405"/>
        <w:divId w:val="1962569419"/>
        <w:rPr>
          <w:rFonts w:eastAsia="Times New Roman"/>
        </w:rPr>
      </w:pPr>
      <w:r>
        <w:rPr>
          <w:rFonts w:eastAsia="Times New Roman"/>
          <w:color w:val="000000"/>
          <w:sz w:val="20"/>
          <w:szCs w:val="20"/>
        </w:rPr>
        <w:t>For reasons not necessarily attributable to any of the risks set forth in this Report (e.g., supply/demand imbalances or other market forces), the prices of the securiti</w:t>
      </w:r>
      <w:r>
        <w:rPr>
          <w:rFonts w:eastAsia="Times New Roman"/>
          <w:color w:val="000000"/>
          <w:sz w:val="20"/>
          <w:szCs w:val="20"/>
        </w:rPr>
        <w:t>es in which the Investment Funds invest may decline substantially. In particular, purchasing assets at what may appear to be undervalued levels is no guarantee that these assets will not be trading at even more undervalued levels at a future time of valuat</w:t>
      </w:r>
      <w:r>
        <w:rPr>
          <w:rFonts w:eastAsia="Times New Roman"/>
          <w:color w:val="000000"/>
          <w:sz w:val="20"/>
          <w:szCs w:val="20"/>
        </w:rPr>
        <w:t>ion or at the time of sale</w:t>
      </w:r>
      <w:r>
        <w:rPr>
          <w:rFonts w:eastAsia="Times New Roman"/>
          <w:color w:val="000000"/>
          <w:sz w:val="20"/>
          <w:szCs w:val="20"/>
        </w:rPr>
        <w:t>.</w:t>
      </w:r>
    </w:p>
    <w:p w14:paraId="62CFD3CC" w14:textId="77777777" w:rsidR="00000000" w:rsidRDefault="00195E73">
      <w:pPr>
        <w:ind w:firstLine="405"/>
        <w:divId w:val="371466353"/>
        <w:rPr>
          <w:rFonts w:eastAsia="Times New Roman"/>
        </w:rPr>
      </w:pPr>
      <w:r>
        <w:rPr>
          <w:rFonts w:eastAsia="Times New Roman"/>
          <w:color w:val="000000"/>
          <w:sz w:val="20"/>
          <w:szCs w:val="20"/>
        </w:rPr>
        <w:t xml:space="preserve">The prices of financial instruments in which the Investment Funds may invest can be highly volatile. Price movements of forward and other derivative contracts in which the Investment Funds’ assets may be invested are influenced </w:t>
      </w:r>
      <w:r>
        <w:rPr>
          <w:rFonts w:eastAsia="Times New Roman"/>
          <w:color w:val="000000"/>
          <w:sz w:val="20"/>
          <w:szCs w:val="20"/>
        </w:rPr>
        <w:t>by, among other things, interest rates, changing supply and demand relationships, trade, fiscal, monetary and exchange control programs and policies of governments, and national and international political and economic events and policies. The Investment F</w:t>
      </w:r>
      <w:r>
        <w:rPr>
          <w:rFonts w:eastAsia="Times New Roman"/>
          <w:color w:val="000000"/>
          <w:sz w:val="20"/>
          <w:szCs w:val="20"/>
        </w:rPr>
        <w:t>unds are subject to the risk of failure of any of the exchanges on which their positions trade or of their clearinghouses</w:t>
      </w:r>
      <w:r>
        <w:rPr>
          <w:rFonts w:eastAsia="Times New Roman"/>
          <w:color w:val="000000"/>
          <w:sz w:val="20"/>
          <w:szCs w:val="20"/>
        </w:rPr>
        <w:t>.</w:t>
      </w:r>
    </w:p>
    <w:p w14:paraId="59FD1917" w14:textId="77777777" w:rsidR="00000000" w:rsidRDefault="00195E73">
      <w:pPr>
        <w:divId w:val="263463084"/>
        <w:rPr>
          <w:rFonts w:eastAsia="Times New Roman"/>
        </w:rPr>
      </w:pPr>
      <w:r>
        <w:rPr>
          <w:rFonts w:eastAsia="Times New Roman"/>
          <w:b/>
          <w:bCs/>
          <w:i/>
          <w:iCs/>
          <w:color w:val="000000"/>
          <w:sz w:val="20"/>
          <w:szCs w:val="20"/>
        </w:rPr>
        <w:t>The use of leverage in investments by the Investment Funds may pose a significant degree of risk and may enhance the possibility of s</w:t>
      </w:r>
      <w:r>
        <w:rPr>
          <w:rFonts w:eastAsia="Times New Roman"/>
          <w:b/>
          <w:bCs/>
          <w:i/>
          <w:iCs/>
          <w:color w:val="000000"/>
          <w:sz w:val="20"/>
          <w:szCs w:val="20"/>
        </w:rPr>
        <w:t>ignificant loss in the value of the investments in the Investment Funds</w:t>
      </w:r>
      <w:r>
        <w:rPr>
          <w:rFonts w:eastAsia="Times New Roman"/>
          <w:b/>
          <w:bCs/>
          <w:i/>
          <w:iCs/>
          <w:color w:val="000000"/>
          <w:sz w:val="20"/>
          <w:szCs w:val="20"/>
        </w:rPr>
        <w:t>.</w:t>
      </w:r>
    </w:p>
    <w:p w14:paraId="5DB87B58" w14:textId="77777777" w:rsidR="00000000" w:rsidRDefault="00195E73">
      <w:pPr>
        <w:ind w:firstLine="405"/>
        <w:divId w:val="1773624254"/>
        <w:rPr>
          <w:rFonts w:eastAsia="Times New Roman"/>
        </w:rPr>
      </w:pPr>
      <w:r>
        <w:rPr>
          <w:rFonts w:eastAsia="Times New Roman"/>
          <w:color w:val="000000"/>
          <w:sz w:val="20"/>
          <w:szCs w:val="20"/>
        </w:rPr>
        <w:t>The Investment Funds may leverage their capital if their general partners believe that the use of leverage may enable the Investment Funds to achieve a higher rate of return. Accordin</w:t>
      </w:r>
      <w:r>
        <w:rPr>
          <w:rFonts w:eastAsia="Times New Roman"/>
          <w:color w:val="000000"/>
          <w:sz w:val="20"/>
          <w:szCs w:val="20"/>
        </w:rPr>
        <w:t>gly, the Investment Funds may pledge their securities in order to borrow additional funds for investment purposes. The Investment Funds may also leverage their investment return with options, short sales, swaps, forwards and other derivative instruments. T</w:t>
      </w:r>
      <w:r>
        <w:rPr>
          <w:rFonts w:eastAsia="Times New Roman"/>
          <w:color w:val="000000"/>
          <w:sz w:val="20"/>
          <w:szCs w:val="20"/>
        </w:rPr>
        <w:t xml:space="preserve">he amount of borrowings that the Investment Funds may have outstanding at any time may be substantial in relation to their capital. While leverage may present opportunities for increasing the Investment Funds’ total return, leverage may increase losses as </w:t>
      </w:r>
      <w:r>
        <w:rPr>
          <w:rFonts w:eastAsia="Times New Roman"/>
          <w:color w:val="000000"/>
          <w:sz w:val="20"/>
          <w:szCs w:val="20"/>
        </w:rPr>
        <w:t>well. Accordingly, any event that adversely affects the value of an investment by the Investment Funds would be magnified to the extent such fund is leveraged. The cumulative effect of the use of leverage by the Investment Funds in a market that moves adve</w:t>
      </w:r>
      <w:r>
        <w:rPr>
          <w:rFonts w:eastAsia="Times New Roman"/>
          <w:color w:val="000000"/>
          <w:sz w:val="20"/>
          <w:szCs w:val="20"/>
        </w:rPr>
        <w:t>rsely to the Investment Funds’ investments could result in a substantial loss to the Investment Funds that would be greater than if the Investment Funds were not leveraged. There is no assurance that leverage will be available on acceptable terms, if at al</w:t>
      </w:r>
      <w:r>
        <w:rPr>
          <w:rFonts w:eastAsia="Times New Roman"/>
          <w:color w:val="000000"/>
          <w:sz w:val="20"/>
          <w:szCs w:val="20"/>
        </w:rPr>
        <w:t>l</w:t>
      </w:r>
      <w:r>
        <w:rPr>
          <w:rFonts w:eastAsia="Times New Roman"/>
          <w:color w:val="000000"/>
          <w:sz w:val="20"/>
          <w:szCs w:val="20"/>
        </w:rPr>
        <w:t>.</w:t>
      </w:r>
    </w:p>
    <w:p w14:paraId="0960BFB4" w14:textId="77777777" w:rsidR="00000000" w:rsidRDefault="00195E73">
      <w:pPr>
        <w:ind w:firstLine="405"/>
        <w:divId w:val="577637955"/>
        <w:rPr>
          <w:rFonts w:eastAsia="Times New Roman"/>
        </w:rPr>
      </w:pPr>
      <w:r>
        <w:rPr>
          <w:rFonts w:eastAsia="Times New Roman"/>
          <w:color w:val="000000"/>
          <w:sz w:val="20"/>
          <w:szCs w:val="20"/>
        </w:rPr>
        <w:t>In general, the use of short-term margin borrowings results in certain additional risks to the Investment Funds. For example, should the securities pledged to brokers to secure any Investment Fund’s margin accounts decline in value, the Investment Funds</w:t>
      </w:r>
      <w:r>
        <w:rPr>
          <w:rFonts w:eastAsia="Times New Roman"/>
          <w:color w:val="000000"/>
          <w:sz w:val="20"/>
          <w:szCs w:val="20"/>
        </w:rPr>
        <w:t xml:space="preserve"> could be subject to a “margin call,” pursuant to which it must either deposit additional funds or securities with the broker, or suffer mandatory liquidation of the pledged securities to compensate for the decline in value. In the event of a sudden drop i</w:t>
      </w:r>
      <w:r>
        <w:rPr>
          <w:rFonts w:eastAsia="Times New Roman"/>
          <w:color w:val="000000"/>
          <w:sz w:val="20"/>
          <w:szCs w:val="20"/>
        </w:rPr>
        <w:t>n the value of any of the Investment Funds’ assets, the Investment Funds might not be able to liquidate assets quickly enough to satisfy its margin requirements</w:t>
      </w:r>
      <w:r>
        <w:rPr>
          <w:rFonts w:eastAsia="Times New Roman"/>
          <w:color w:val="000000"/>
          <w:sz w:val="20"/>
          <w:szCs w:val="20"/>
        </w:rPr>
        <w:t>.</w:t>
      </w:r>
    </w:p>
    <w:p w14:paraId="5FA722F9" w14:textId="77777777" w:rsidR="00000000" w:rsidRDefault="00195E73">
      <w:pPr>
        <w:ind w:firstLine="405"/>
        <w:divId w:val="488717133"/>
        <w:rPr>
          <w:rFonts w:eastAsia="Times New Roman"/>
        </w:rPr>
      </w:pPr>
      <w:r>
        <w:rPr>
          <w:rFonts w:eastAsia="Times New Roman"/>
          <w:color w:val="000000"/>
          <w:sz w:val="20"/>
          <w:szCs w:val="20"/>
        </w:rPr>
        <w:t>The Investment Funds may enter into repurchase and reverse repurchase agreements. When the Inv</w:t>
      </w:r>
      <w:r>
        <w:rPr>
          <w:rFonts w:eastAsia="Times New Roman"/>
          <w:color w:val="000000"/>
          <w:sz w:val="20"/>
          <w:szCs w:val="20"/>
        </w:rPr>
        <w:t>estment Funds enters into a repurchase agreement, it “sells” securities issued by the U.S. or a non-U.S. government, or agencies thereof, to a broker-dealer or financial institution, and agrees to repurchase such securities for the price paid by the broker</w:t>
      </w:r>
      <w:r>
        <w:rPr>
          <w:rFonts w:eastAsia="Times New Roman"/>
          <w:color w:val="000000"/>
          <w:sz w:val="20"/>
          <w:szCs w:val="20"/>
        </w:rPr>
        <w:t>-dealer or financial institution, plus interest at a negotiated rate. In a reverse repurchase transaction, the Investment Fund “buys” securities issued by the U.S. or a non-U.S. government, or agencies thereof, from a broker-dealer or financial institution</w:t>
      </w:r>
      <w:r>
        <w:rPr>
          <w:rFonts w:eastAsia="Times New Roman"/>
          <w:color w:val="000000"/>
          <w:sz w:val="20"/>
          <w:szCs w:val="20"/>
        </w:rPr>
        <w:t>, subject to the obligation of the broker-dealer or financial institution to repurchase such securities at the price paid by the Investment Funds, plus interest at a negotiated rate. The use of repurchase and reverse repurchase agreements by any of the Inv</w:t>
      </w:r>
      <w:r>
        <w:rPr>
          <w:rFonts w:eastAsia="Times New Roman"/>
          <w:color w:val="000000"/>
          <w:sz w:val="20"/>
          <w:szCs w:val="20"/>
        </w:rPr>
        <w:t xml:space="preserve">estment Funds involves certain risks. For example, if the seller of securities to the Investment Funds under a reverse repurchase agreement defaults on its obligation to repurchase the underlying securities, as a result of its bankruptcy or otherwise, the </w:t>
      </w:r>
      <w:r>
        <w:rPr>
          <w:rFonts w:eastAsia="Times New Roman"/>
          <w:color w:val="000000"/>
          <w:sz w:val="20"/>
          <w:szCs w:val="20"/>
        </w:rPr>
        <w:t>Investment Funds will seek to dispose of such securities, which action could involve costs or delays. If the seller becomes insolvent and subject to liquidation or reorganization under applicable bankruptcy or other laws, the Investment Funds’ ability to d</w:t>
      </w:r>
      <w:r>
        <w:rPr>
          <w:rFonts w:eastAsia="Times New Roman"/>
          <w:color w:val="000000"/>
          <w:sz w:val="20"/>
          <w:szCs w:val="20"/>
        </w:rPr>
        <w:t>ispose of the underlying securities may be restricted. Finally, if a seller defaults on its obligation to repurchase securities under a reverse repurchase agreement, the Investment Funds may suffer a loss to the extent it is forced to liquidate its positio</w:t>
      </w:r>
      <w:r>
        <w:rPr>
          <w:rFonts w:eastAsia="Times New Roman"/>
          <w:color w:val="000000"/>
          <w:sz w:val="20"/>
          <w:szCs w:val="20"/>
        </w:rPr>
        <w:t>n in the market, and proceeds from the sale of the underlying securities are less than the repurchase price agreed to by the defaulting seller</w:t>
      </w:r>
      <w:r>
        <w:rPr>
          <w:rFonts w:eastAsia="Times New Roman"/>
          <w:color w:val="000000"/>
          <w:sz w:val="20"/>
          <w:szCs w:val="20"/>
        </w:rPr>
        <w:t>.</w:t>
      </w:r>
    </w:p>
    <w:p w14:paraId="29F58858" w14:textId="77777777" w:rsidR="00000000" w:rsidRDefault="00195E73">
      <w:pPr>
        <w:ind w:firstLine="405"/>
        <w:divId w:val="398410380"/>
        <w:rPr>
          <w:rFonts w:eastAsia="Times New Roman"/>
        </w:rPr>
      </w:pPr>
      <w:r>
        <w:rPr>
          <w:rFonts w:eastAsia="Times New Roman"/>
          <w:color w:val="000000"/>
          <w:sz w:val="20"/>
          <w:szCs w:val="20"/>
        </w:rPr>
        <w:t xml:space="preserve">The financing used by the Investment Funds to leverage its portfolio will be extended by securities brokers and </w:t>
      </w:r>
      <w:r>
        <w:rPr>
          <w:rFonts w:eastAsia="Times New Roman"/>
          <w:color w:val="000000"/>
          <w:sz w:val="20"/>
          <w:szCs w:val="20"/>
        </w:rPr>
        <w:t>dealers in the marketplace in which the Investment Funds invest. While the Investment Funds will attempt to negotiate the terms of these financing arrangements with such brokers and dealers, its ability to do so will be limited. The Investment Funds are th</w:t>
      </w:r>
      <w:r>
        <w:rPr>
          <w:rFonts w:eastAsia="Times New Roman"/>
          <w:color w:val="000000"/>
          <w:sz w:val="20"/>
          <w:szCs w:val="20"/>
        </w:rPr>
        <w:t>erefore subject to changes in the value that the broker-dealer ascribes to a given security or position, the amount of margin required to support such security or position, the borrowing rate to finance such security or position and/or such broker-dealer’s</w:t>
      </w:r>
      <w:r>
        <w:rPr>
          <w:rFonts w:eastAsia="Times New Roman"/>
          <w:color w:val="000000"/>
          <w:sz w:val="20"/>
          <w:szCs w:val="20"/>
        </w:rPr>
        <w:t xml:space="preserve"> willingness to continue to provide any such credit to the Investment Funds. Because the Investment Funds currently have no alternative credit facility which could be used to finance its portfolio in the absence of financing from broker-dealers, it could b</w:t>
      </w:r>
      <w:r>
        <w:rPr>
          <w:rFonts w:eastAsia="Times New Roman"/>
          <w:color w:val="000000"/>
          <w:sz w:val="20"/>
          <w:szCs w:val="20"/>
        </w:rPr>
        <w:t>e forced to liquidate its portfolio on short notice to meet its financing obligations. The forced liquidation of all or a portion of the Investment Funds’ portfolios at distressed prices could result in significant losses to the Investment Funds</w:t>
      </w:r>
      <w:r>
        <w:rPr>
          <w:rFonts w:eastAsia="Times New Roman"/>
          <w:color w:val="000000"/>
          <w:sz w:val="20"/>
          <w:szCs w:val="20"/>
        </w:rPr>
        <w:t>.</w:t>
      </w:r>
    </w:p>
    <w:p w14:paraId="4B7C624C" w14:textId="77777777" w:rsidR="00000000" w:rsidRDefault="00195E73">
      <w:pPr>
        <w:jc w:val="center"/>
        <w:divId w:val="482357971"/>
        <w:rPr>
          <w:rFonts w:eastAsia="Times New Roman"/>
        </w:rPr>
      </w:pPr>
      <w:r>
        <w:rPr>
          <w:rFonts w:eastAsia="Times New Roman"/>
          <w:color w:val="000000"/>
          <w:sz w:val="20"/>
          <w:szCs w:val="20"/>
        </w:rPr>
        <w:t>2</w:t>
      </w:r>
      <w:r>
        <w:rPr>
          <w:rFonts w:eastAsia="Times New Roman"/>
          <w:color w:val="000000"/>
          <w:sz w:val="20"/>
          <w:szCs w:val="20"/>
        </w:rPr>
        <w:t>0</w:t>
      </w:r>
    </w:p>
    <w:p w14:paraId="7DD3DEA3" w14:textId="77777777" w:rsidR="00000000" w:rsidRDefault="00195E73">
      <w:pPr>
        <w:rPr>
          <w:rFonts w:eastAsia="Times New Roman"/>
        </w:rPr>
      </w:pPr>
      <w:r>
        <w:rPr>
          <w:rFonts w:eastAsia="Times New Roman"/>
        </w:rPr>
        <w:pict w14:anchorId="60987C92">
          <v:rect id="_x0000_i1046" style="width:0;height:1.5pt" o:hralign="center" o:hrstd="t" o:hr="t" fillcolor="#a0a0a0" stroked="f"/>
        </w:pict>
      </w:r>
    </w:p>
    <w:p w14:paraId="44111C09" w14:textId="77777777" w:rsidR="00000000" w:rsidRDefault="00195E73">
      <w:pPr>
        <w:divId w:val="895773462"/>
        <w:rPr>
          <w:rFonts w:eastAsia="Times New Roman"/>
        </w:rPr>
      </w:pPr>
    </w:p>
    <w:p w14:paraId="5F6D52D2" w14:textId="77777777" w:rsidR="00000000" w:rsidRDefault="00195E73">
      <w:pPr>
        <w:divId w:val="1154643669"/>
        <w:rPr>
          <w:rFonts w:eastAsia="Times New Roman"/>
        </w:rPr>
      </w:pPr>
      <w:r>
        <w:rPr>
          <w:rFonts w:eastAsia="Times New Roman"/>
          <w:b/>
          <w:bCs/>
          <w:i/>
          <w:iCs/>
          <w:color w:val="000000"/>
          <w:sz w:val="20"/>
          <w:szCs w:val="20"/>
        </w:rPr>
        <w:t>The possibility of increased regulation could result in additional burdens on our Investment segment.</w:t>
      </w:r>
      <w:r>
        <w:rPr>
          <w:rFonts w:eastAsia="Times New Roman"/>
          <w:b/>
          <w:bCs/>
          <w:i/>
          <w:iCs/>
          <w:color w:val="000000"/>
          <w:sz w:val="20"/>
          <w:szCs w:val="20"/>
        </w:rPr>
        <w:t xml:space="preserve"> </w:t>
      </w:r>
    </w:p>
    <w:p w14:paraId="000F1C0F" w14:textId="77777777" w:rsidR="00000000" w:rsidRDefault="00195E73">
      <w:pPr>
        <w:ind w:firstLine="405"/>
        <w:divId w:val="19211975"/>
        <w:rPr>
          <w:rFonts w:eastAsia="Times New Roman"/>
        </w:rPr>
      </w:pPr>
      <w:r>
        <w:rPr>
          <w:rFonts w:eastAsia="Times New Roman"/>
          <w:color w:val="000000"/>
          <w:sz w:val="20"/>
          <w:szCs w:val="20"/>
        </w:rPr>
        <w:t>The Dodd-Frank Wall Street Reform and Consumer Protection Act (the “Reform Act”), enacted into law in July 2010, resulted</w:t>
      </w:r>
      <w:r>
        <w:rPr>
          <w:rFonts w:eastAsia="Times New Roman"/>
          <w:color w:val="000000"/>
          <w:sz w:val="20"/>
          <w:szCs w:val="20"/>
        </w:rPr>
        <w:t xml:space="preserve"> in regulations affecting almost every part of the financial services industry</w:t>
      </w:r>
      <w:r>
        <w:rPr>
          <w:rFonts w:eastAsia="Times New Roman"/>
          <w:color w:val="000000"/>
          <w:sz w:val="20"/>
          <w:szCs w:val="20"/>
        </w:rPr>
        <w:t>.</w:t>
      </w:r>
    </w:p>
    <w:p w14:paraId="5EB40FCA" w14:textId="77777777" w:rsidR="00000000" w:rsidRDefault="00195E73">
      <w:pPr>
        <w:ind w:firstLine="405"/>
        <w:divId w:val="1065638284"/>
        <w:rPr>
          <w:rFonts w:eastAsia="Times New Roman"/>
        </w:rPr>
      </w:pPr>
      <w:r>
        <w:rPr>
          <w:rFonts w:eastAsia="Times New Roman"/>
          <w:color w:val="000000"/>
          <w:sz w:val="20"/>
          <w:szCs w:val="20"/>
        </w:rPr>
        <w:t>The regulatory environment in which our Investment segment operates is subject to further regulation in addition to the rules already promulgated, including the Reform Act. Our</w:t>
      </w:r>
      <w:r>
        <w:rPr>
          <w:rFonts w:eastAsia="Times New Roman"/>
          <w:color w:val="000000"/>
          <w:sz w:val="20"/>
          <w:szCs w:val="20"/>
        </w:rPr>
        <w:t xml:space="preserve"> Investment segment may be adversely affected by the enactment of new or revised regulations, or changes in the interpretation or enforcement of rules and regulations imposed by the SEC, other U.S. or foreign governmental regulatory authorities or self-reg</w:t>
      </w:r>
      <w:r>
        <w:rPr>
          <w:rFonts w:eastAsia="Times New Roman"/>
          <w:color w:val="000000"/>
          <w:sz w:val="20"/>
          <w:szCs w:val="20"/>
        </w:rPr>
        <w:t>ulatory organizations that supervise the financial markets. Such changes may limit the scope of investment activities that may be undertaken by the Investment Funds’ managers. Any such changes could increase the cost of our Investment segment doing busines</w:t>
      </w:r>
      <w:r>
        <w:rPr>
          <w:rFonts w:eastAsia="Times New Roman"/>
          <w:color w:val="000000"/>
          <w:sz w:val="20"/>
          <w:szCs w:val="20"/>
        </w:rPr>
        <w:t>s and/or materially adversely impact its profitability. Additionally, the securities and futures markets are subject to comprehensive statutes, regulations and margin requirements. The SEC, other regulators and self-regulatory organizations and exchanges h</w:t>
      </w:r>
      <w:r>
        <w:rPr>
          <w:rFonts w:eastAsia="Times New Roman"/>
          <w:color w:val="000000"/>
          <w:sz w:val="20"/>
          <w:szCs w:val="20"/>
        </w:rPr>
        <w:t>ave taken and are authorized to take extraordinary actions in the event of market emergencies. The regulation of derivatives transactions and funds that engage in such transactions is an evolving area of law and is subject to modification by government and</w:t>
      </w:r>
      <w:r>
        <w:rPr>
          <w:rFonts w:eastAsia="Times New Roman"/>
          <w:color w:val="000000"/>
          <w:sz w:val="20"/>
          <w:szCs w:val="20"/>
        </w:rPr>
        <w:t xml:space="preserve"> judicial action. The effect of any future regulatory change on the Investment Funds and the Investment segment could be substantial and adverse</w:t>
      </w:r>
      <w:r>
        <w:rPr>
          <w:rFonts w:eastAsia="Times New Roman"/>
          <w:color w:val="000000"/>
          <w:sz w:val="20"/>
          <w:szCs w:val="20"/>
        </w:rPr>
        <w:t>.</w:t>
      </w:r>
    </w:p>
    <w:p w14:paraId="3CCE95E5" w14:textId="77777777" w:rsidR="00000000" w:rsidRDefault="00195E73">
      <w:pPr>
        <w:divId w:val="1819688341"/>
        <w:rPr>
          <w:rFonts w:eastAsia="Times New Roman"/>
        </w:rPr>
      </w:pPr>
      <w:r>
        <w:rPr>
          <w:rFonts w:eastAsia="Times New Roman"/>
          <w:b/>
          <w:bCs/>
          <w:i/>
          <w:iCs/>
          <w:color w:val="000000"/>
          <w:sz w:val="20"/>
          <w:szCs w:val="20"/>
        </w:rPr>
        <w:t>The ability to hedge investments successfully is subject to numerous risks</w:t>
      </w:r>
      <w:r>
        <w:rPr>
          <w:rFonts w:eastAsia="Times New Roman"/>
          <w:b/>
          <w:bCs/>
          <w:i/>
          <w:iCs/>
          <w:color w:val="000000"/>
          <w:sz w:val="20"/>
          <w:szCs w:val="20"/>
        </w:rPr>
        <w:t>.</w:t>
      </w:r>
    </w:p>
    <w:p w14:paraId="5C594DAD" w14:textId="77777777" w:rsidR="00000000" w:rsidRDefault="00195E73">
      <w:pPr>
        <w:ind w:firstLine="405"/>
        <w:divId w:val="253364753"/>
        <w:rPr>
          <w:rFonts w:eastAsia="Times New Roman"/>
        </w:rPr>
      </w:pPr>
      <w:r>
        <w:rPr>
          <w:rFonts w:eastAsia="Times New Roman"/>
          <w:color w:val="000000"/>
          <w:sz w:val="20"/>
          <w:szCs w:val="20"/>
        </w:rPr>
        <w:t>The Investment Funds may utilize f</w:t>
      </w:r>
      <w:r>
        <w:rPr>
          <w:rFonts w:eastAsia="Times New Roman"/>
          <w:color w:val="000000"/>
          <w:sz w:val="20"/>
          <w:szCs w:val="20"/>
        </w:rPr>
        <w:t>inancial instruments, both for investment purposes and for risk management purposes in order to (i) protect against possible changes in the market value of the Investment Funds’ investment portfolios resulting from fluctuations in the securities markets an</w:t>
      </w:r>
      <w:r>
        <w:rPr>
          <w:rFonts w:eastAsia="Times New Roman"/>
          <w:color w:val="000000"/>
          <w:sz w:val="20"/>
          <w:szCs w:val="20"/>
        </w:rPr>
        <w:t>d changes in interest rates; (ii) protect the Investment Funds’ unrealized gains in the value of its investment portfolios; (iii) facilitate the sale of any such investments; (iv) enhance or preserve returns, spreads or gains on any investment in the Inves</w:t>
      </w:r>
      <w:r>
        <w:rPr>
          <w:rFonts w:eastAsia="Times New Roman"/>
          <w:color w:val="000000"/>
          <w:sz w:val="20"/>
          <w:szCs w:val="20"/>
        </w:rPr>
        <w:t>tment Funds’ portfolio; (v) hedge the interest rate or currency exchange rate on any of the Investment Funds’ liabilities or assets; (vi) protect against any increase in the price of any securities our Investment segment anticipate purchasing at a later da</w:t>
      </w:r>
      <w:r>
        <w:rPr>
          <w:rFonts w:eastAsia="Times New Roman"/>
          <w:color w:val="000000"/>
          <w:sz w:val="20"/>
          <w:szCs w:val="20"/>
        </w:rPr>
        <w:t>te; or (vii) for any other reason that our Investment segment deems appropriate</w:t>
      </w:r>
      <w:r>
        <w:rPr>
          <w:rFonts w:eastAsia="Times New Roman"/>
          <w:color w:val="000000"/>
          <w:sz w:val="20"/>
          <w:szCs w:val="20"/>
        </w:rPr>
        <w:t>.</w:t>
      </w:r>
    </w:p>
    <w:p w14:paraId="6905DDBB" w14:textId="77777777" w:rsidR="00000000" w:rsidRDefault="00195E73">
      <w:pPr>
        <w:ind w:firstLine="405"/>
        <w:divId w:val="784813714"/>
        <w:rPr>
          <w:rFonts w:eastAsia="Times New Roman"/>
        </w:rPr>
      </w:pPr>
      <w:r>
        <w:rPr>
          <w:rFonts w:eastAsia="Times New Roman"/>
          <w:color w:val="000000"/>
          <w:sz w:val="20"/>
          <w:szCs w:val="20"/>
        </w:rPr>
        <w:t>The success of any hedging activities will depend, in part, upon the degree of correlation between the performance of the instruments used in the hedging strategy and the perf</w:t>
      </w:r>
      <w:r>
        <w:rPr>
          <w:rFonts w:eastAsia="Times New Roman"/>
          <w:color w:val="000000"/>
          <w:sz w:val="20"/>
          <w:szCs w:val="20"/>
        </w:rPr>
        <w:t>ormance of the portfolio investments being hedged. However, hedging techniques may not always be possible or effective in limiting potential risks of loss. Since the characteristics of many securities change as markets change or time passes, the success of</w:t>
      </w:r>
      <w:r>
        <w:rPr>
          <w:rFonts w:eastAsia="Times New Roman"/>
          <w:color w:val="000000"/>
          <w:sz w:val="20"/>
          <w:szCs w:val="20"/>
        </w:rPr>
        <w:t xml:space="preserve"> our Investment segment’s hedging strategy will also be subject to the ability of our Investment segment to continually recalculate, readjust and execute hedges in an efficient and timely manner. While the Investment Funds may enter into hedging transactio</w:t>
      </w:r>
      <w:r>
        <w:rPr>
          <w:rFonts w:eastAsia="Times New Roman"/>
          <w:color w:val="000000"/>
          <w:sz w:val="20"/>
          <w:szCs w:val="20"/>
        </w:rPr>
        <w:t>ns to seek to reduce risk, such transactions may result in a poorer overall performance for the Investment Funds than if it had not engaged in such hedging transactions. For a variety of reasons, the Investment Funds may not seek to establish a perfect cor</w:t>
      </w:r>
      <w:r>
        <w:rPr>
          <w:rFonts w:eastAsia="Times New Roman"/>
          <w:color w:val="000000"/>
          <w:sz w:val="20"/>
          <w:szCs w:val="20"/>
        </w:rPr>
        <w:t>relation between the hedging instruments utilized and the portfolio holdings being hedged. Such an imperfect correlation may prevent the Investment Funds from achieving the intended hedge or expose the Investment Funds to risk of loss. The Investment Funds</w:t>
      </w:r>
      <w:r>
        <w:rPr>
          <w:rFonts w:eastAsia="Times New Roman"/>
          <w:color w:val="000000"/>
          <w:sz w:val="20"/>
          <w:szCs w:val="20"/>
        </w:rPr>
        <w:t xml:space="preserve"> do not intend to seek to hedge every position and may determine not to hedge against a particular risk for various reasons, including, but not limited to, because they do not regard the probability of the risk occurring to be sufficiently high as to justi</w:t>
      </w:r>
      <w:r>
        <w:rPr>
          <w:rFonts w:eastAsia="Times New Roman"/>
          <w:color w:val="000000"/>
          <w:sz w:val="20"/>
          <w:szCs w:val="20"/>
        </w:rPr>
        <w:t>fy the cost of the hedge. Our Investment segment may not foresee the occurrence of the risk and therefore may not hedge against all risks</w:t>
      </w:r>
      <w:r>
        <w:rPr>
          <w:rFonts w:eastAsia="Times New Roman"/>
          <w:color w:val="000000"/>
          <w:sz w:val="20"/>
          <w:szCs w:val="20"/>
        </w:rPr>
        <w:t>.</w:t>
      </w:r>
    </w:p>
    <w:p w14:paraId="211840C0" w14:textId="77777777" w:rsidR="00000000" w:rsidRDefault="00195E73">
      <w:pPr>
        <w:divId w:val="1140614621"/>
        <w:rPr>
          <w:rFonts w:eastAsia="Times New Roman"/>
        </w:rPr>
      </w:pPr>
      <w:r>
        <w:rPr>
          <w:rFonts w:eastAsia="Times New Roman"/>
          <w:b/>
          <w:bCs/>
          <w:i/>
          <w:iCs/>
          <w:color w:val="000000"/>
          <w:sz w:val="20"/>
          <w:szCs w:val="20"/>
        </w:rPr>
        <w:t>The Investment Funds invest in distressed securities, as well as bank loans, asset backed securities and mortgage bac</w:t>
      </w:r>
      <w:r>
        <w:rPr>
          <w:rFonts w:eastAsia="Times New Roman"/>
          <w:b/>
          <w:bCs/>
          <w:i/>
          <w:iCs/>
          <w:color w:val="000000"/>
          <w:sz w:val="20"/>
          <w:szCs w:val="20"/>
        </w:rPr>
        <w:t>ked securities</w:t>
      </w:r>
      <w:r>
        <w:rPr>
          <w:rFonts w:eastAsia="Times New Roman"/>
          <w:b/>
          <w:bCs/>
          <w:i/>
          <w:iCs/>
          <w:color w:val="000000"/>
          <w:sz w:val="20"/>
          <w:szCs w:val="20"/>
        </w:rPr>
        <w:t>.</w:t>
      </w:r>
    </w:p>
    <w:p w14:paraId="3A78DC38" w14:textId="77777777" w:rsidR="00000000" w:rsidRDefault="00195E73">
      <w:pPr>
        <w:ind w:firstLine="405"/>
        <w:divId w:val="1790666975"/>
        <w:rPr>
          <w:rFonts w:eastAsia="Times New Roman"/>
        </w:rPr>
      </w:pPr>
      <w:r>
        <w:rPr>
          <w:rFonts w:eastAsia="Times New Roman"/>
          <w:color w:val="000000"/>
          <w:sz w:val="20"/>
          <w:szCs w:val="20"/>
        </w:rPr>
        <w:t>The Investment Funds may invest in securities of U.S. and non-U.S. issuers in weak financial condition, experiencing poor operating results, having substantial capital needs or negative net worth, facing special competitive or product obsol</w:t>
      </w:r>
      <w:r>
        <w:rPr>
          <w:rFonts w:eastAsia="Times New Roman"/>
          <w:color w:val="000000"/>
          <w:sz w:val="20"/>
          <w:szCs w:val="20"/>
        </w:rPr>
        <w:t>escence problems, or that are involved in bankruptcy or reorganization proceedings. Investments of this type may involve substantial financial, legal and business risks that can result in substantial, or at times even total, losses. The market prices of su</w:t>
      </w:r>
      <w:r>
        <w:rPr>
          <w:rFonts w:eastAsia="Times New Roman"/>
          <w:color w:val="000000"/>
          <w:sz w:val="20"/>
          <w:szCs w:val="20"/>
        </w:rPr>
        <w:t xml:space="preserve">ch securities are subject to abrupt and erratic market movements and above-average price volatility. It may take a number of years for the market price of such securities to reflect their intrinsic value. In liquidation (both in and out of bankruptcy) and </w:t>
      </w:r>
      <w:r>
        <w:rPr>
          <w:rFonts w:eastAsia="Times New Roman"/>
          <w:color w:val="000000"/>
          <w:sz w:val="20"/>
          <w:szCs w:val="20"/>
        </w:rPr>
        <w:t xml:space="preserve">other forms of corporate insolvency and reorganization, there exists the risk that the reorganization either will be unsuccessful (due to, for example, failure to obtain requisite approvals), will be delayed (for example, until various liabilities, actual </w:t>
      </w:r>
      <w:r>
        <w:rPr>
          <w:rFonts w:eastAsia="Times New Roman"/>
          <w:color w:val="000000"/>
          <w:sz w:val="20"/>
          <w:szCs w:val="20"/>
        </w:rPr>
        <w:t>or contingent, have been satisfied) or will result in a distribution of cash, assets or a new security the value of which will be less than the purchase price to the Investment Funds of the security in respect to which such distribution was made and the te</w:t>
      </w:r>
      <w:r>
        <w:rPr>
          <w:rFonts w:eastAsia="Times New Roman"/>
          <w:color w:val="000000"/>
          <w:sz w:val="20"/>
          <w:szCs w:val="20"/>
        </w:rPr>
        <w:t>rms of which may render such security illiquid</w:t>
      </w:r>
      <w:r>
        <w:rPr>
          <w:rFonts w:eastAsia="Times New Roman"/>
          <w:color w:val="000000"/>
          <w:sz w:val="20"/>
          <w:szCs w:val="20"/>
        </w:rPr>
        <w:t>.</w:t>
      </w:r>
    </w:p>
    <w:p w14:paraId="49A51B59" w14:textId="77777777" w:rsidR="00000000" w:rsidRDefault="00195E73">
      <w:pPr>
        <w:divId w:val="1240796259"/>
        <w:rPr>
          <w:rFonts w:eastAsia="Times New Roman"/>
        </w:rPr>
      </w:pPr>
      <w:r>
        <w:rPr>
          <w:rFonts w:eastAsia="Times New Roman"/>
          <w:b/>
          <w:bCs/>
          <w:i/>
          <w:iCs/>
          <w:color w:val="000000"/>
          <w:sz w:val="20"/>
          <w:szCs w:val="20"/>
        </w:rPr>
        <w:t>The Investment Funds may invest in companies that are based outside of the United States, which may expose the Investment Funds to additional risks not typically associated with investing in companies that ar</w:t>
      </w:r>
      <w:r>
        <w:rPr>
          <w:rFonts w:eastAsia="Times New Roman"/>
          <w:b/>
          <w:bCs/>
          <w:i/>
          <w:iCs/>
          <w:color w:val="000000"/>
          <w:sz w:val="20"/>
          <w:szCs w:val="20"/>
        </w:rPr>
        <w:t>e based in the United States</w:t>
      </w:r>
      <w:r>
        <w:rPr>
          <w:rFonts w:eastAsia="Times New Roman"/>
          <w:b/>
          <w:bCs/>
          <w:i/>
          <w:iCs/>
          <w:color w:val="000000"/>
          <w:sz w:val="20"/>
          <w:szCs w:val="20"/>
        </w:rPr>
        <w:t>.</w:t>
      </w:r>
    </w:p>
    <w:p w14:paraId="5E16F85A" w14:textId="77777777" w:rsidR="00000000" w:rsidRDefault="00195E73">
      <w:pPr>
        <w:ind w:firstLine="405"/>
        <w:divId w:val="1121191786"/>
        <w:rPr>
          <w:rFonts w:eastAsia="Times New Roman"/>
        </w:rPr>
      </w:pPr>
      <w:r>
        <w:rPr>
          <w:rFonts w:eastAsia="Times New Roman"/>
          <w:color w:val="000000"/>
          <w:sz w:val="20"/>
          <w:szCs w:val="20"/>
        </w:rPr>
        <w:t>Investments in securities of non-U.S. issuers (including non-U.S. governments) and securities denominated or whose prices are quoted in non-U.S. currencies pose, to the extent not successfully hedged, currency exchange risks (</w:t>
      </w:r>
      <w:r>
        <w:rPr>
          <w:rFonts w:eastAsia="Times New Roman"/>
          <w:color w:val="000000"/>
          <w:sz w:val="20"/>
          <w:szCs w:val="20"/>
        </w:rPr>
        <w:t>including blockage, devaluation and non-exchangeability), as well as a range of other potential risks, which could include expropriation, confiscatory taxation, imposition of withholding or other taxes on dividends, interest, capital gains or other income,</w:t>
      </w:r>
      <w:r>
        <w:rPr>
          <w:rFonts w:eastAsia="Times New Roman"/>
          <w:color w:val="000000"/>
          <w:sz w:val="20"/>
          <w:szCs w:val="20"/>
        </w:rPr>
        <w:t xml:space="preserve"> political or</w:t>
      </w:r>
      <w:r>
        <w:rPr>
          <w:rFonts w:eastAsia="Times New Roman"/>
          <w:color w:val="000000"/>
          <w:sz w:val="20"/>
          <w:szCs w:val="20"/>
        </w:rPr>
        <w:t xml:space="preserve"> </w:t>
      </w:r>
    </w:p>
    <w:p w14:paraId="3242786D" w14:textId="77777777" w:rsidR="00000000" w:rsidRDefault="00195E73">
      <w:pPr>
        <w:jc w:val="center"/>
        <w:divId w:val="1788045275"/>
        <w:rPr>
          <w:rFonts w:eastAsia="Times New Roman"/>
        </w:rPr>
      </w:pPr>
      <w:r>
        <w:rPr>
          <w:rFonts w:eastAsia="Times New Roman"/>
          <w:color w:val="000000"/>
          <w:sz w:val="20"/>
          <w:szCs w:val="20"/>
        </w:rPr>
        <w:t>2</w:t>
      </w:r>
      <w:r>
        <w:rPr>
          <w:rFonts w:eastAsia="Times New Roman"/>
          <w:color w:val="000000"/>
          <w:sz w:val="20"/>
          <w:szCs w:val="20"/>
        </w:rPr>
        <w:t>1</w:t>
      </w:r>
    </w:p>
    <w:p w14:paraId="3B12BE5F" w14:textId="77777777" w:rsidR="00000000" w:rsidRDefault="00195E73">
      <w:pPr>
        <w:rPr>
          <w:rFonts w:eastAsia="Times New Roman"/>
        </w:rPr>
      </w:pPr>
      <w:r>
        <w:rPr>
          <w:rFonts w:eastAsia="Times New Roman"/>
        </w:rPr>
        <w:pict w14:anchorId="54EFD8EF">
          <v:rect id="_x0000_i1047" style="width:0;height:1.5pt" o:hralign="center" o:hrstd="t" o:hr="t" fillcolor="#a0a0a0" stroked="f"/>
        </w:pict>
      </w:r>
    </w:p>
    <w:p w14:paraId="591E1502" w14:textId="77777777" w:rsidR="00000000" w:rsidRDefault="00195E73">
      <w:pPr>
        <w:divId w:val="859513856"/>
        <w:rPr>
          <w:rFonts w:eastAsia="Times New Roman"/>
        </w:rPr>
      </w:pPr>
    </w:p>
    <w:p w14:paraId="7218C70A" w14:textId="77777777" w:rsidR="00000000" w:rsidRDefault="00195E73">
      <w:pPr>
        <w:divId w:val="382943782"/>
        <w:rPr>
          <w:rFonts w:eastAsia="Times New Roman"/>
        </w:rPr>
      </w:pPr>
      <w:r>
        <w:rPr>
          <w:rFonts w:eastAsia="Times New Roman"/>
          <w:color w:val="000000"/>
          <w:sz w:val="20"/>
          <w:szCs w:val="20"/>
        </w:rPr>
        <w:t>social instability, illiquidity, price volatility and market manipulation. In addition, less information may be available regarding securities of non-U.S. issuers, and non-U.S. issuers may not be subject to accounting, auditing and financial reporting stan</w:t>
      </w:r>
      <w:r>
        <w:rPr>
          <w:rFonts w:eastAsia="Times New Roman"/>
          <w:color w:val="000000"/>
          <w:sz w:val="20"/>
          <w:szCs w:val="20"/>
        </w:rPr>
        <w:t>dards and requirements comparable to, or as uniform as, those of U.S. issuers. Transaction costs of investing in non-U.S. securities markets are generally higher than in the United States. There is generally less government supervision and regulation of ex</w:t>
      </w:r>
      <w:r>
        <w:rPr>
          <w:rFonts w:eastAsia="Times New Roman"/>
          <w:color w:val="000000"/>
          <w:sz w:val="20"/>
          <w:szCs w:val="20"/>
        </w:rPr>
        <w:t>changes, brokers and issuers than there is in the United States. The Investment Funds may have greater difficulty taking appropriate legal action in non-U.S. courts. Non-U.S. markets also have different clearance and settlement procedures which in some mar</w:t>
      </w:r>
      <w:r>
        <w:rPr>
          <w:rFonts w:eastAsia="Times New Roman"/>
          <w:color w:val="000000"/>
          <w:sz w:val="20"/>
          <w:szCs w:val="20"/>
        </w:rPr>
        <w:t>kets have at times failed to keep pace with the volume of transactions, thereby creating substantial delays and settlement failures that could adversely affect the Investment Funds’ performance. Investments in non-U.S. markets may result in imposition of n</w:t>
      </w:r>
      <w:r>
        <w:rPr>
          <w:rFonts w:eastAsia="Times New Roman"/>
          <w:color w:val="000000"/>
          <w:sz w:val="20"/>
          <w:szCs w:val="20"/>
        </w:rPr>
        <w:t>on-U.S. taxes or withholding on income and gains recognized with respect to such securities. There can be no assurance that adverse developments with respect to such risks will not materially adversely affect the Investment Funds’ investments that are held</w:t>
      </w:r>
      <w:r>
        <w:rPr>
          <w:rFonts w:eastAsia="Times New Roman"/>
          <w:color w:val="000000"/>
          <w:sz w:val="20"/>
          <w:szCs w:val="20"/>
        </w:rPr>
        <w:t xml:space="preserve"> in certain countries or the returns from these investments</w:t>
      </w:r>
      <w:r>
        <w:rPr>
          <w:rFonts w:eastAsia="Times New Roman"/>
          <w:color w:val="000000"/>
          <w:sz w:val="20"/>
          <w:szCs w:val="20"/>
        </w:rPr>
        <w:t>.</w:t>
      </w:r>
    </w:p>
    <w:p w14:paraId="3B98B841" w14:textId="77777777" w:rsidR="00000000" w:rsidRDefault="00195E73">
      <w:pPr>
        <w:divId w:val="1157111792"/>
        <w:rPr>
          <w:rFonts w:eastAsia="Times New Roman"/>
        </w:rPr>
      </w:pPr>
      <w:r>
        <w:rPr>
          <w:rFonts w:eastAsia="Times New Roman"/>
          <w:b/>
          <w:bCs/>
          <w:i/>
          <w:iCs/>
          <w:color w:val="000000"/>
          <w:sz w:val="20"/>
          <w:szCs w:val="20"/>
        </w:rPr>
        <w:t>The Investment Funds’ investments are subject to numerous additional risks including those described below</w:t>
      </w:r>
      <w:r>
        <w:rPr>
          <w:rFonts w:eastAsia="Times New Roman"/>
          <w:b/>
          <w:bCs/>
          <w:i/>
          <w:iCs/>
          <w:color w:val="000000"/>
          <w:sz w:val="20"/>
          <w:szCs w:val="20"/>
        </w:rPr>
        <w:t>.</w:t>
      </w:r>
    </w:p>
    <w:p w14:paraId="6CE1658F" w14:textId="77777777" w:rsidR="00000000" w:rsidRDefault="00195E73">
      <w:pPr>
        <w:divId w:val="962350722"/>
        <w:rPr>
          <w:rFonts w:eastAsia="Times New Roman"/>
        </w:rPr>
      </w:pPr>
    </w:p>
    <w:p w14:paraId="1E0217E3" w14:textId="77777777" w:rsidR="00000000" w:rsidRDefault="00195E73">
      <w:pPr>
        <w:ind w:hanging="225"/>
        <w:divId w:val="1916476178"/>
        <w:rPr>
          <w:rFonts w:eastAsia="Times New Roman"/>
        </w:rPr>
      </w:pPr>
      <w:r>
        <w:rPr>
          <w:rFonts w:eastAsia="Times New Roman"/>
          <w:color w:val="000000"/>
          <w:sz w:val="20"/>
          <w:szCs w:val="20"/>
        </w:rPr>
        <w:t>•</w:t>
      </w:r>
      <w:r>
        <w:rPr>
          <w:rFonts w:eastAsia="Times New Roman"/>
          <w:color w:val="000000"/>
          <w:sz w:val="20"/>
          <w:szCs w:val="20"/>
        </w:rPr>
        <w:t>Generally, there are few limitations set forth in the governing documents of the Inv</w:t>
      </w:r>
      <w:r>
        <w:rPr>
          <w:rFonts w:eastAsia="Times New Roman"/>
          <w:color w:val="000000"/>
          <w:sz w:val="20"/>
          <w:szCs w:val="20"/>
        </w:rPr>
        <w:t>estment Funds on the execution of their investment activities, which are subject to the sole discretion of our Investment segment</w:t>
      </w:r>
      <w:r>
        <w:rPr>
          <w:rFonts w:eastAsia="Times New Roman"/>
          <w:color w:val="000000"/>
          <w:sz w:val="20"/>
          <w:szCs w:val="20"/>
        </w:rPr>
        <w:t>.</w:t>
      </w:r>
    </w:p>
    <w:p w14:paraId="515B1989" w14:textId="77777777" w:rsidR="00000000" w:rsidRDefault="00195E73">
      <w:pPr>
        <w:ind w:hanging="225"/>
        <w:divId w:val="241717150"/>
        <w:rPr>
          <w:rFonts w:eastAsia="Times New Roman"/>
        </w:rPr>
      </w:pPr>
      <w:r>
        <w:rPr>
          <w:rFonts w:eastAsia="Times New Roman"/>
          <w:color w:val="000000"/>
          <w:sz w:val="20"/>
          <w:szCs w:val="20"/>
        </w:rPr>
        <w:t>•</w:t>
      </w:r>
      <w:r>
        <w:rPr>
          <w:rFonts w:eastAsia="Times New Roman"/>
          <w:color w:val="000000"/>
          <w:sz w:val="20"/>
          <w:szCs w:val="20"/>
        </w:rPr>
        <w:t xml:space="preserve">The Investment Funds may buy or sell (or write) both call options and put options, and when it writes options, it may do so </w:t>
      </w:r>
      <w:r>
        <w:rPr>
          <w:rFonts w:eastAsia="Times New Roman"/>
          <w:color w:val="000000"/>
          <w:sz w:val="20"/>
          <w:szCs w:val="20"/>
        </w:rPr>
        <w:t>on a covered or an uncovered basis. When the Investment Funds sell (or write) an option, the risk can be substantially greater than when it buys an option. The seller of an uncovered call option bears the risk of an increase in the market price of the unde</w:t>
      </w:r>
      <w:r>
        <w:rPr>
          <w:rFonts w:eastAsia="Times New Roman"/>
          <w:color w:val="000000"/>
          <w:sz w:val="20"/>
          <w:szCs w:val="20"/>
        </w:rPr>
        <w:t>rlying security above the exercise price. The risk is theoretically unlimited unless the option is covered. If it is covered, the Investment Funds would forego the opportunity for profit on the underlying security should the market price of the security ri</w:t>
      </w:r>
      <w:r>
        <w:rPr>
          <w:rFonts w:eastAsia="Times New Roman"/>
          <w:color w:val="000000"/>
          <w:sz w:val="20"/>
          <w:szCs w:val="20"/>
        </w:rPr>
        <w:t xml:space="preserve">se above the exercise price. Swaps and certain options and other custom instruments are subject to the risk of non-performance by the swap counterparty, including risks relating to the creditworthiness of the swap counterparty, market risk, liquidity risk </w:t>
      </w:r>
      <w:r>
        <w:rPr>
          <w:rFonts w:eastAsia="Times New Roman"/>
          <w:color w:val="000000"/>
          <w:sz w:val="20"/>
          <w:szCs w:val="20"/>
        </w:rPr>
        <w:t>and operations risk</w:t>
      </w:r>
      <w:r>
        <w:rPr>
          <w:rFonts w:eastAsia="Times New Roman"/>
          <w:color w:val="000000"/>
          <w:sz w:val="20"/>
          <w:szCs w:val="20"/>
        </w:rPr>
        <w:t>.</w:t>
      </w:r>
    </w:p>
    <w:p w14:paraId="2EEF6DD8" w14:textId="77777777" w:rsidR="00000000" w:rsidRDefault="00195E73">
      <w:pPr>
        <w:ind w:hanging="225"/>
        <w:divId w:val="120929170"/>
        <w:rPr>
          <w:rFonts w:eastAsia="Times New Roman"/>
        </w:rPr>
      </w:pPr>
      <w:r>
        <w:rPr>
          <w:rFonts w:eastAsia="Times New Roman"/>
          <w:color w:val="000000"/>
          <w:sz w:val="20"/>
          <w:szCs w:val="20"/>
        </w:rPr>
        <w:t>•</w:t>
      </w:r>
      <w:r>
        <w:rPr>
          <w:rFonts w:eastAsia="Times New Roman"/>
          <w:color w:val="000000"/>
          <w:sz w:val="20"/>
          <w:szCs w:val="20"/>
        </w:rPr>
        <w:t>The Investment Funds may engage in short-selling, which is subject to a theoretically unlimited risk of loss because there is no limit on how much the price of a security may appreciate before the short position is closed out. The Inv</w:t>
      </w:r>
      <w:r>
        <w:rPr>
          <w:rFonts w:eastAsia="Times New Roman"/>
          <w:color w:val="000000"/>
          <w:sz w:val="20"/>
          <w:szCs w:val="20"/>
        </w:rPr>
        <w:t>estment Funds may be subject to losses if a security lender demands return of the borrowed securities and an alternative lending source cannot be found or if the Investment Funds are otherwise unable to borrow securities that are necessary to hedge its pos</w:t>
      </w:r>
      <w:r>
        <w:rPr>
          <w:rFonts w:eastAsia="Times New Roman"/>
          <w:color w:val="000000"/>
          <w:sz w:val="20"/>
          <w:szCs w:val="20"/>
        </w:rPr>
        <w:t>itions. There can be no assurance that the Investment Funds will be able to maintain the ability to borrow securities sold short. There also can be no assurance that the securities necessary to cover a short position will be available for purchase at or ne</w:t>
      </w:r>
      <w:r>
        <w:rPr>
          <w:rFonts w:eastAsia="Times New Roman"/>
          <w:color w:val="000000"/>
          <w:sz w:val="20"/>
          <w:szCs w:val="20"/>
        </w:rPr>
        <w:t>ar prices quoted in the market</w:t>
      </w:r>
      <w:r>
        <w:rPr>
          <w:rFonts w:eastAsia="Times New Roman"/>
          <w:color w:val="000000"/>
          <w:sz w:val="20"/>
          <w:szCs w:val="20"/>
        </w:rPr>
        <w:t>.</w:t>
      </w:r>
    </w:p>
    <w:p w14:paraId="3255BF7A" w14:textId="77777777" w:rsidR="00000000" w:rsidRDefault="00195E73">
      <w:pPr>
        <w:ind w:hanging="225"/>
        <w:divId w:val="1465460889"/>
        <w:rPr>
          <w:rFonts w:eastAsia="Times New Roman"/>
        </w:rPr>
      </w:pPr>
      <w:r>
        <w:rPr>
          <w:rFonts w:eastAsia="Times New Roman"/>
          <w:color w:val="000000"/>
          <w:sz w:val="20"/>
          <w:szCs w:val="20"/>
        </w:rPr>
        <w:t>•</w:t>
      </w:r>
      <w:r>
        <w:rPr>
          <w:rFonts w:eastAsia="Times New Roman"/>
          <w:color w:val="000000"/>
          <w:sz w:val="20"/>
          <w:szCs w:val="20"/>
        </w:rPr>
        <w:t>The ability of the Investment Funds to execute a short selling strategy may be materially adversely impacted by temporary and/or new permanent rules, interpretations, prohibitions and restrictions adopted in response to adv</w:t>
      </w:r>
      <w:r>
        <w:rPr>
          <w:rFonts w:eastAsia="Times New Roman"/>
          <w:color w:val="000000"/>
          <w:sz w:val="20"/>
          <w:szCs w:val="20"/>
        </w:rPr>
        <w:t>erse market events. Regulatory authorities may from time-to-time impose restrictions that adversely affect the Investment Funds’ ability to borrow certain securities in connection with short sale transactions. In addition, traditional lenders of securities</w:t>
      </w:r>
      <w:r>
        <w:rPr>
          <w:rFonts w:eastAsia="Times New Roman"/>
          <w:color w:val="000000"/>
          <w:sz w:val="20"/>
          <w:szCs w:val="20"/>
        </w:rPr>
        <w:t xml:space="preserve"> might be less likely to lend securities under certain market conditions. As a result, the Investment Funds may not be able to effectively pursue a short selling strategy due to a limited supply of securities available for borrowing</w:t>
      </w:r>
      <w:r>
        <w:rPr>
          <w:rFonts w:eastAsia="Times New Roman"/>
          <w:color w:val="000000"/>
          <w:sz w:val="20"/>
          <w:szCs w:val="20"/>
        </w:rPr>
        <w:t>.</w:t>
      </w:r>
    </w:p>
    <w:p w14:paraId="1E9F7427" w14:textId="77777777" w:rsidR="00000000" w:rsidRDefault="00195E73">
      <w:pPr>
        <w:ind w:hanging="225"/>
        <w:divId w:val="294337661"/>
        <w:rPr>
          <w:rFonts w:eastAsia="Times New Roman"/>
        </w:rPr>
      </w:pPr>
      <w:r>
        <w:rPr>
          <w:rFonts w:eastAsia="Times New Roman"/>
          <w:color w:val="000000"/>
          <w:sz w:val="20"/>
          <w:szCs w:val="20"/>
        </w:rPr>
        <w:t>•</w:t>
      </w:r>
      <w:r>
        <w:rPr>
          <w:rFonts w:eastAsia="Times New Roman"/>
          <w:color w:val="000000"/>
          <w:sz w:val="20"/>
          <w:szCs w:val="20"/>
        </w:rPr>
        <w:t xml:space="preserve">The Investment Funds </w:t>
      </w:r>
      <w:r>
        <w:rPr>
          <w:rFonts w:eastAsia="Times New Roman"/>
          <w:color w:val="000000"/>
          <w:sz w:val="20"/>
          <w:szCs w:val="20"/>
        </w:rPr>
        <w:t>may effect transactions through over-the-counter or inter-dealer markets. The participants in such markets are typically not subject to credit evaluation and regulatory oversight as are members of exchange-based markets. This exposes the Investment Funds t</w:t>
      </w:r>
      <w:r>
        <w:rPr>
          <w:rFonts w:eastAsia="Times New Roman"/>
          <w:color w:val="000000"/>
          <w:sz w:val="20"/>
          <w:szCs w:val="20"/>
        </w:rPr>
        <w:t>o the risk that a counterparty will not settle a transaction in accordance with its terms and conditions because of a dispute over the terms of the contract (whether or not bona fide) or because of a credit or liquidity problem, thus causing the Investment</w:t>
      </w:r>
      <w:r>
        <w:rPr>
          <w:rFonts w:eastAsia="Times New Roman"/>
          <w:color w:val="000000"/>
          <w:sz w:val="20"/>
          <w:szCs w:val="20"/>
        </w:rPr>
        <w:t xml:space="preserve"> Fund to suffer a loss. Such “counterparty risk” is accentuated for contracts with longer maturities where events may intervene to prevent settlement, or where the Investment Funds have concentrated its transactions with a single or small group of its coun</w:t>
      </w:r>
      <w:r>
        <w:rPr>
          <w:rFonts w:eastAsia="Times New Roman"/>
          <w:color w:val="000000"/>
          <w:sz w:val="20"/>
          <w:szCs w:val="20"/>
        </w:rPr>
        <w:t>terparties. The Investment Funds are not restricted from dealing with any particular counterparty or from concentrating any or all of the Investment Funds’ transactions with one counterparty</w:t>
      </w:r>
      <w:r>
        <w:rPr>
          <w:rFonts w:eastAsia="Times New Roman"/>
          <w:color w:val="000000"/>
          <w:sz w:val="20"/>
          <w:szCs w:val="20"/>
        </w:rPr>
        <w:t>.</w:t>
      </w:r>
    </w:p>
    <w:p w14:paraId="6637C4EC" w14:textId="77777777" w:rsidR="00000000" w:rsidRDefault="00195E73">
      <w:pPr>
        <w:ind w:hanging="225"/>
        <w:divId w:val="751196280"/>
        <w:rPr>
          <w:rFonts w:eastAsia="Times New Roman"/>
        </w:rPr>
      </w:pPr>
      <w:r>
        <w:rPr>
          <w:rFonts w:eastAsia="Times New Roman"/>
          <w:color w:val="000000"/>
          <w:sz w:val="20"/>
          <w:szCs w:val="20"/>
        </w:rPr>
        <w:t>•</w:t>
      </w:r>
      <w:r>
        <w:rPr>
          <w:rFonts w:eastAsia="Times New Roman"/>
          <w:color w:val="000000"/>
          <w:sz w:val="20"/>
          <w:szCs w:val="20"/>
        </w:rPr>
        <w:t>Credit risk may arise through a default by one of several large</w:t>
      </w:r>
      <w:r>
        <w:rPr>
          <w:rFonts w:eastAsia="Times New Roman"/>
          <w:color w:val="000000"/>
          <w:sz w:val="20"/>
          <w:szCs w:val="20"/>
        </w:rPr>
        <w:t xml:space="preserve"> institutions that are dependent on one another to meet their liquidity or operational needs, so that a default by one institution causes a series of defaults by other institutions. This systemic risk may materially adversely affect the financial intermedi</w:t>
      </w:r>
      <w:r>
        <w:rPr>
          <w:rFonts w:eastAsia="Times New Roman"/>
          <w:color w:val="000000"/>
          <w:sz w:val="20"/>
          <w:szCs w:val="20"/>
        </w:rPr>
        <w:t>aries (such as prime brokers, clearing agencies, clearing houses, banks, securities firms and exchanges) with which the Investment Funds interact on a daily basis</w:t>
      </w:r>
      <w:r>
        <w:rPr>
          <w:rFonts w:eastAsia="Times New Roman"/>
          <w:color w:val="000000"/>
          <w:sz w:val="20"/>
          <w:szCs w:val="20"/>
        </w:rPr>
        <w:t>.</w:t>
      </w:r>
    </w:p>
    <w:p w14:paraId="048A79E3" w14:textId="77777777" w:rsidR="00000000" w:rsidRDefault="00195E73">
      <w:pPr>
        <w:ind w:hanging="225"/>
        <w:divId w:val="257564198"/>
        <w:rPr>
          <w:rFonts w:eastAsia="Times New Roman"/>
        </w:rPr>
      </w:pPr>
      <w:r>
        <w:rPr>
          <w:rFonts w:eastAsia="Times New Roman"/>
          <w:color w:val="000000"/>
          <w:sz w:val="20"/>
          <w:szCs w:val="20"/>
        </w:rPr>
        <w:t>•</w:t>
      </w:r>
      <w:r>
        <w:rPr>
          <w:rFonts w:eastAsia="Times New Roman"/>
          <w:color w:val="000000"/>
          <w:sz w:val="20"/>
          <w:szCs w:val="20"/>
        </w:rPr>
        <w:t>The efficacy of investment and trading strategies depends largely on the ability to establi</w:t>
      </w:r>
      <w:r>
        <w:rPr>
          <w:rFonts w:eastAsia="Times New Roman"/>
          <w:color w:val="000000"/>
          <w:sz w:val="20"/>
          <w:szCs w:val="20"/>
        </w:rPr>
        <w:t>sh and maintain an overall market position in a combination of financial instruments. The Investment Funds’ trading orders may not be executed in a timely and efficient manner due to various circumstances, including systems failures or human error. In such</w:t>
      </w:r>
      <w:r>
        <w:rPr>
          <w:rFonts w:eastAsia="Times New Roman"/>
          <w:color w:val="000000"/>
          <w:sz w:val="20"/>
          <w:szCs w:val="20"/>
        </w:rPr>
        <w:t xml:space="preserve"> event, the Investment Funds might only be able to acquire some but not all of the components of the position, or if the overall positions were to need adjustment, the Investment Funds might not be able to make such adjustment. As a result, the Investment </w:t>
      </w:r>
      <w:r>
        <w:rPr>
          <w:rFonts w:eastAsia="Times New Roman"/>
          <w:color w:val="000000"/>
          <w:sz w:val="20"/>
          <w:szCs w:val="20"/>
        </w:rPr>
        <w:t>Funds may not be able to achieve the market position selected by our Investment segment and might incur a loss in liquidating their position</w:t>
      </w:r>
      <w:r>
        <w:rPr>
          <w:rFonts w:eastAsia="Times New Roman"/>
          <w:color w:val="000000"/>
          <w:sz w:val="20"/>
          <w:szCs w:val="20"/>
        </w:rPr>
        <w:t>.</w:t>
      </w:r>
    </w:p>
    <w:p w14:paraId="4F72BF5F" w14:textId="77777777" w:rsidR="00000000" w:rsidRDefault="00195E73">
      <w:pPr>
        <w:jc w:val="center"/>
        <w:divId w:val="907764844"/>
        <w:rPr>
          <w:rFonts w:eastAsia="Times New Roman"/>
        </w:rPr>
      </w:pPr>
      <w:r>
        <w:rPr>
          <w:rFonts w:eastAsia="Times New Roman"/>
          <w:color w:val="000000"/>
          <w:sz w:val="20"/>
          <w:szCs w:val="20"/>
        </w:rPr>
        <w:t>2</w:t>
      </w:r>
      <w:r>
        <w:rPr>
          <w:rFonts w:eastAsia="Times New Roman"/>
          <w:color w:val="000000"/>
          <w:sz w:val="20"/>
          <w:szCs w:val="20"/>
        </w:rPr>
        <w:t>2</w:t>
      </w:r>
    </w:p>
    <w:p w14:paraId="00248B6A" w14:textId="77777777" w:rsidR="00000000" w:rsidRDefault="00195E73">
      <w:pPr>
        <w:rPr>
          <w:rFonts w:eastAsia="Times New Roman"/>
        </w:rPr>
      </w:pPr>
      <w:r>
        <w:rPr>
          <w:rFonts w:eastAsia="Times New Roman"/>
        </w:rPr>
        <w:pict w14:anchorId="1062383F">
          <v:rect id="_x0000_i1048" style="width:0;height:1.5pt" o:hralign="center" o:hrstd="t" o:hr="t" fillcolor="#a0a0a0" stroked="f"/>
        </w:pict>
      </w:r>
    </w:p>
    <w:p w14:paraId="15050434" w14:textId="77777777" w:rsidR="00000000" w:rsidRDefault="00195E73">
      <w:pPr>
        <w:divId w:val="621113485"/>
        <w:rPr>
          <w:rFonts w:eastAsia="Times New Roman"/>
        </w:rPr>
      </w:pPr>
    </w:p>
    <w:p w14:paraId="7C7EF630" w14:textId="77777777" w:rsidR="00000000" w:rsidRDefault="00195E73">
      <w:pPr>
        <w:ind w:hanging="225"/>
        <w:divId w:val="371269742"/>
        <w:rPr>
          <w:rFonts w:eastAsia="Times New Roman"/>
        </w:rPr>
      </w:pPr>
      <w:r>
        <w:rPr>
          <w:rFonts w:eastAsia="Times New Roman"/>
          <w:color w:val="000000"/>
          <w:sz w:val="20"/>
          <w:szCs w:val="20"/>
        </w:rPr>
        <w:t>•</w:t>
      </w:r>
      <w:r>
        <w:rPr>
          <w:rFonts w:eastAsia="Times New Roman"/>
          <w:color w:val="000000"/>
          <w:sz w:val="20"/>
          <w:szCs w:val="20"/>
        </w:rPr>
        <w:t>The Investment Funds assets may be held in one or more accounts maintai</w:t>
      </w:r>
      <w:r>
        <w:rPr>
          <w:rFonts w:eastAsia="Times New Roman"/>
          <w:color w:val="000000"/>
          <w:sz w:val="20"/>
          <w:szCs w:val="20"/>
        </w:rPr>
        <w:t>ned for the Investment Fund by its prime brokers or at other brokers or custodian banks, which may be located in various jurisdictions. The prime broker, other brokers (including those acting as sub-custodians) and custodian banks are subject to various la</w:t>
      </w:r>
      <w:r>
        <w:rPr>
          <w:rFonts w:eastAsia="Times New Roman"/>
          <w:color w:val="000000"/>
          <w:sz w:val="20"/>
          <w:szCs w:val="20"/>
        </w:rPr>
        <w:t>ws and regulations in the relevant jurisdictions in the event of their insolvency. Accordingly, the practical effect of these laws and their application to the Investment Funds’ assets may be subject to substantial variations, limitations and uncertainties</w:t>
      </w:r>
      <w:r>
        <w:rPr>
          <w:rFonts w:eastAsia="Times New Roman"/>
          <w:color w:val="000000"/>
          <w:sz w:val="20"/>
          <w:szCs w:val="20"/>
        </w:rPr>
        <w:t xml:space="preserve">. The insolvency of any of the prime brokers, local brokers, custodian banks or clearing corporations may result in the loss of all or a substantial portion of the Investment Funds’ assets or in a significant delay in the Investment Funds having access to </w:t>
      </w:r>
      <w:r>
        <w:rPr>
          <w:rFonts w:eastAsia="Times New Roman"/>
          <w:color w:val="000000"/>
          <w:sz w:val="20"/>
          <w:szCs w:val="20"/>
        </w:rPr>
        <w:t>those assets</w:t>
      </w:r>
      <w:r>
        <w:rPr>
          <w:rFonts w:eastAsia="Times New Roman"/>
          <w:color w:val="000000"/>
          <w:sz w:val="20"/>
          <w:szCs w:val="20"/>
        </w:rPr>
        <w:t>.</w:t>
      </w:r>
    </w:p>
    <w:p w14:paraId="2DB77998" w14:textId="77777777" w:rsidR="00000000" w:rsidRDefault="00195E73">
      <w:pPr>
        <w:ind w:hanging="225"/>
        <w:divId w:val="797840202"/>
        <w:rPr>
          <w:rFonts w:eastAsia="Times New Roman"/>
        </w:rPr>
      </w:pPr>
      <w:r>
        <w:rPr>
          <w:rFonts w:eastAsia="Times New Roman"/>
          <w:color w:val="000000"/>
          <w:sz w:val="20"/>
          <w:szCs w:val="20"/>
        </w:rPr>
        <w:t>•</w:t>
      </w:r>
      <w:r>
        <w:rPr>
          <w:rFonts w:eastAsia="Times New Roman"/>
          <w:color w:val="000000"/>
          <w:sz w:val="20"/>
          <w:szCs w:val="20"/>
        </w:rPr>
        <w:t>The Investment Funds may invest in synthetic instruments with various counterparties. In the event of the insolvency of any counterparty, the Investment Funds’ recourse will be limited to the collateral, if any, posted by the counterparty an</w:t>
      </w:r>
      <w:r>
        <w:rPr>
          <w:rFonts w:eastAsia="Times New Roman"/>
          <w:color w:val="000000"/>
          <w:sz w:val="20"/>
          <w:szCs w:val="20"/>
        </w:rPr>
        <w:t>d, in the absence of collateral, the Investment Funds will be treated as a general creditor of the counterparty. While the Investment Funds expect that returns on a synthetic financial instrument may reflect those of each related reference security, as a r</w:t>
      </w:r>
      <w:r>
        <w:rPr>
          <w:rFonts w:eastAsia="Times New Roman"/>
          <w:color w:val="000000"/>
          <w:sz w:val="20"/>
          <w:szCs w:val="20"/>
        </w:rPr>
        <w:t>esult of the terms of the synthetic financial instrument and the assumption of the credit risk of the counterparty, a synthetic financial instrument may have a different expected return. The Investment Funds may also invest in credit default swaps</w:t>
      </w:r>
      <w:r>
        <w:rPr>
          <w:rFonts w:eastAsia="Times New Roman"/>
          <w:color w:val="000000"/>
          <w:sz w:val="20"/>
          <w:szCs w:val="20"/>
        </w:rPr>
        <w:t>.</w:t>
      </w:r>
    </w:p>
    <w:p w14:paraId="72C08652" w14:textId="77777777" w:rsidR="00000000" w:rsidRDefault="00195E73">
      <w:pPr>
        <w:divId w:val="227763157"/>
        <w:rPr>
          <w:rFonts w:eastAsia="Times New Roman"/>
        </w:rPr>
      </w:pPr>
    </w:p>
    <w:p w14:paraId="5EEDEA47" w14:textId="77777777" w:rsidR="00000000" w:rsidRDefault="00195E73">
      <w:pPr>
        <w:divId w:val="394595533"/>
        <w:rPr>
          <w:rFonts w:eastAsia="Times New Roman"/>
        </w:rPr>
      </w:pPr>
    </w:p>
    <w:p w14:paraId="6841949C" w14:textId="77777777" w:rsidR="00000000" w:rsidRDefault="00195E73">
      <w:pPr>
        <w:jc w:val="center"/>
        <w:divId w:val="714309287"/>
        <w:rPr>
          <w:rFonts w:eastAsia="Times New Roman"/>
        </w:rPr>
      </w:pPr>
      <w:r>
        <w:rPr>
          <w:rFonts w:eastAsia="Times New Roman"/>
          <w:b/>
          <w:bCs/>
          <w:color w:val="000000"/>
          <w:sz w:val="20"/>
          <w:szCs w:val="20"/>
        </w:rPr>
        <w:t>Ris</w:t>
      </w:r>
      <w:r>
        <w:rPr>
          <w:rFonts w:eastAsia="Times New Roman"/>
          <w:b/>
          <w:bCs/>
          <w:color w:val="000000"/>
          <w:sz w:val="20"/>
          <w:szCs w:val="20"/>
        </w:rPr>
        <w:t>ks Relating to our Consolidated Operating Subsidiarie</w:t>
      </w:r>
      <w:r>
        <w:rPr>
          <w:rFonts w:eastAsia="Times New Roman"/>
          <w:b/>
          <w:bCs/>
          <w:color w:val="000000"/>
          <w:sz w:val="20"/>
          <w:szCs w:val="20"/>
        </w:rPr>
        <w:t>s</w:t>
      </w:r>
    </w:p>
    <w:p w14:paraId="36EF1750" w14:textId="77777777" w:rsidR="00000000" w:rsidRDefault="00195E73">
      <w:pPr>
        <w:divId w:val="1753046981"/>
        <w:rPr>
          <w:rFonts w:eastAsia="Times New Roman"/>
        </w:rPr>
      </w:pPr>
      <w:r>
        <w:rPr>
          <w:rFonts w:eastAsia="Times New Roman"/>
          <w:b/>
          <w:bCs/>
          <w:i/>
          <w:iCs/>
          <w:color w:val="000000"/>
          <w:sz w:val="20"/>
          <w:szCs w:val="20"/>
        </w:rPr>
        <w:t>Changes in regulations and regulatory actions can adversely affect our operating results and our ability to allocate capital</w:t>
      </w:r>
      <w:r>
        <w:rPr>
          <w:rFonts w:eastAsia="Times New Roman"/>
          <w:b/>
          <w:bCs/>
          <w:i/>
          <w:iCs/>
          <w:color w:val="000000"/>
          <w:sz w:val="20"/>
          <w:szCs w:val="20"/>
        </w:rPr>
        <w:t>.</w:t>
      </w:r>
    </w:p>
    <w:p w14:paraId="0D5E2E75" w14:textId="77777777" w:rsidR="00000000" w:rsidRDefault="00195E73">
      <w:pPr>
        <w:ind w:firstLine="405"/>
        <w:divId w:val="696539281"/>
        <w:rPr>
          <w:rFonts w:eastAsia="Times New Roman"/>
        </w:rPr>
      </w:pPr>
      <w:r>
        <w:rPr>
          <w:rFonts w:eastAsia="Times New Roman"/>
          <w:color w:val="000000"/>
          <w:sz w:val="20"/>
          <w:szCs w:val="20"/>
        </w:rPr>
        <w:t>In recent years, regulatory authorities have increased their regulation and</w:t>
      </w:r>
      <w:r>
        <w:rPr>
          <w:rFonts w:eastAsia="Times New Roman"/>
          <w:color w:val="000000"/>
          <w:sz w:val="20"/>
          <w:szCs w:val="20"/>
        </w:rPr>
        <w:t xml:space="preserve"> scrutiny of businesses partially in response to financial markets crises, global economic recessions, and social and environmental issues. These initiatives may impact our operating subsidiaries, particularly those within our Energy segment. Changes in re</w:t>
      </w:r>
      <w:r>
        <w:rPr>
          <w:rFonts w:eastAsia="Times New Roman"/>
          <w:color w:val="000000"/>
          <w:sz w:val="20"/>
          <w:szCs w:val="20"/>
        </w:rPr>
        <w:t>gulation and regulatory actions may increase our compliance costs and may require changes to how our operating subsidiaries conduct their businesses. Any regulatory changes could have a significant negative impact on our financial condition, results of ope</w:t>
      </w:r>
      <w:r>
        <w:rPr>
          <w:rFonts w:eastAsia="Times New Roman"/>
          <w:color w:val="000000"/>
          <w:sz w:val="20"/>
          <w:szCs w:val="20"/>
        </w:rPr>
        <w:t>rations or cash flows</w:t>
      </w:r>
      <w:r>
        <w:rPr>
          <w:rFonts w:eastAsia="Times New Roman"/>
          <w:color w:val="000000"/>
          <w:sz w:val="20"/>
          <w:szCs w:val="20"/>
        </w:rPr>
        <w:t>.</w:t>
      </w:r>
    </w:p>
    <w:p w14:paraId="71290289" w14:textId="77777777" w:rsidR="00000000" w:rsidRDefault="00195E73">
      <w:pPr>
        <w:divId w:val="1458328256"/>
        <w:rPr>
          <w:rFonts w:eastAsia="Times New Roman"/>
        </w:rPr>
      </w:pPr>
      <w:r>
        <w:rPr>
          <w:rFonts w:eastAsia="Times New Roman"/>
          <w:b/>
          <w:bCs/>
          <w:i/>
          <w:iCs/>
          <w:color w:val="000000"/>
          <w:sz w:val="20"/>
          <w:szCs w:val="20"/>
        </w:rPr>
        <w:t>Our operating subsidiaries operate businesses which are subject to the risk of operational disruptions, damage to property, injury to persons or environmental and legal liability. Our operating subsidiaries could incur potentially si</w:t>
      </w:r>
      <w:r>
        <w:rPr>
          <w:rFonts w:eastAsia="Times New Roman"/>
          <w:b/>
          <w:bCs/>
          <w:i/>
          <w:iCs/>
          <w:color w:val="000000"/>
          <w:sz w:val="20"/>
          <w:szCs w:val="20"/>
        </w:rPr>
        <w:t>gnificant costs to the extent there are unforeseen events which are not fully insured.</w:t>
      </w:r>
      <w:r>
        <w:rPr>
          <w:rFonts w:eastAsia="Times New Roman"/>
          <w:b/>
          <w:bCs/>
          <w:i/>
          <w:iCs/>
          <w:color w:val="000000"/>
          <w:sz w:val="20"/>
          <w:szCs w:val="20"/>
        </w:rPr>
        <w:t xml:space="preserve"> </w:t>
      </w:r>
    </w:p>
    <w:p w14:paraId="4D533F46" w14:textId="77777777" w:rsidR="00000000" w:rsidRDefault="00195E73">
      <w:pPr>
        <w:ind w:firstLine="405"/>
        <w:divId w:val="548616918"/>
        <w:rPr>
          <w:rFonts w:eastAsia="Times New Roman"/>
        </w:rPr>
      </w:pPr>
      <w:r>
        <w:rPr>
          <w:rFonts w:eastAsia="Times New Roman"/>
          <w:color w:val="000000"/>
          <w:sz w:val="20"/>
          <w:szCs w:val="20"/>
        </w:rPr>
        <w:t>Our operating subsidiaries, particularly within our Energy segment, may become subject to catastrophic loss, which may cause operations to shut down or become significa</w:t>
      </w:r>
      <w:r>
        <w:rPr>
          <w:rFonts w:eastAsia="Times New Roman"/>
          <w:color w:val="000000"/>
          <w:sz w:val="20"/>
          <w:szCs w:val="20"/>
        </w:rPr>
        <w:t>ntly impaired. Our operating subsidiaries may also be subject to liability for hazards for which they cannot be insured, which could exceed policy limits or against which they may elect not to be insured due to high premium costs. Examples of such risks in</w:t>
      </w:r>
      <w:r>
        <w:rPr>
          <w:rFonts w:eastAsia="Times New Roman"/>
          <w:color w:val="000000"/>
          <w:sz w:val="20"/>
          <w:szCs w:val="20"/>
        </w:rPr>
        <w:t xml:space="preserve">clude but are not limited to industrial accidents, environmental hazards, power outages, equipment failures, structural failures, flooding, unusual or unexpected geological conditions and severe weather conditions, among others. These events may damage or </w:t>
      </w:r>
      <w:r>
        <w:rPr>
          <w:rFonts w:eastAsia="Times New Roman"/>
          <w:color w:val="000000"/>
          <w:sz w:val="20"/>
          <w:szCs w:val="20"/>
        </w:rPr>
        <w:t>destroy properties, production facilities, transport facilities and equipment, as well as lead to personal injury or death, environmental damage, waste from intermediary products or resources, production or transportation delays and monetary losses or lega</w:t>
      </w:r>
      <w:r>
        <w:rPr>
          <w:rFonts w:eastAsia="Times New Roman"/>
          <w:color w:val="000000"/>
          <w:sz w:val="20"/>
          <w:szCs w:val="20"/>
        </w:rPr>
        <w:t>l liability. Such damages are not limited to our operations or our employees and could significantly impact the surrounding areas. Operations at our subsidiaries could be curtailed, limited or completely shut down for an extended period of time, or indefin</w:t>
      </w:r>
      <w:r>
        <w:rPr>
          <w:rFonts w:eastAsia="Times New Roman"/>
          <w:color w:val="000000"/>
          <w:sz w:val="20"/>
          <w:szCs w:val="20"/>
        </w:rPr>
        <w:t>itely, as a result of one or more unforeseen events and circumstances, which may or may not be within our control, and which may not be adequately insured. Any one of these events and circumstances could have a material adverse impact on our operations, fi</w:t>
      </w:r>
      <w:r>
        <w:rPr>
          <w:rFonts w:eastAsia="Times New Roman"/>
          <w:color w:val="000000"/>
          <w:sz w:val="20"/>
          <w:szCs w:val="20"/>
        </w:rPr>
        <w:t>nancial condition and cash flows.</w:t>
      </w:r>
      <w:r>
        <w:rPr>
          <w:rFonts w:eastAsia="Times New Roman"/>
          <w:color w:val="000000"/>
          <w:sz w:val="20"/>
          <w:szCs w:val="20"/>
        </w:rPr>
        <w:t xml:space="preserve"> </w:t>
      </w:r>
    </w:p>
    <w:p w14:paraId="0DAF43DD" w14:textId="77777777" w:rsidR="00000000" w:rsidRDefault="00195E73">
      <w:pPr>
        <w:divId w:val="1148745440"/>
        <w:rPr>
          <w:rFonts w:eastAsia="Times New Roman"/>
        </w:rPr>
      </w:pPr>
      <w:r>
        <w:rPr>
          <w:rFonts w:eastAsia="Times New Roman"/>
          <w:b/>
          <w:bCs/>
          <w:i/>
          <w:iCs/>
          <w:color w:val="000000"/>
          <w:sz w:val="20"/>
          <w:szCs w:val="20"/>
        </w:rPr>
        <w:t>Environmental laws and regulations could require our operating subsidiaries to make substantial capital expenditures to remain in compliance or to remediate current or future contamination that could give rise to material</w:t>
      </w:r>
      <w:r>
        <w:rPr>
          <w:rFonts w:eastAsia="Times New Roman"/>
          <w:b/>
          <w:bCs/>
          <w:i/>
          <w:iCs/>
          <w:color w:val="000000"/>
          <w:sz w:val="20"/>
          <w:szCs w:val="20"/>
        </w:rPr>
        <w:t xml:space="preserve"> liabilities</w:t>
      </w:r>
      <w:r>
        <w:rPr>
          <w:rFonts w:eastAsia="Times New Roman"/>
          <w:b/>
          <w:bCs/>
          <w:i/>
          <w:iCs/>
          <w:color w:val="000000"/>
          <w:sz w:val="20"/>
          <w:szCs w:val="20"/>
        </w:rPr>
        <w:t>.</w:t>
      </w:r>
    </w:p>
    <w:p w14:paraId="17CB2A30" w14:textId="77777777" w:rsidR="00000000" w:rsidRDefault="00195E73">
      <w:pPr>
        <w:ind w:firstLine="405"/>
        <w:divId w:val="578178456"/>
        <w:rPr>
          <w:rFonts w:eastAsia="Times New Roman"/>
        </w:rPr>
      </w:pPr>
      <w:r>
        <w:rPr>
          <w:rFonts w:eastAsia="Times New Roman"/>
          <w:color w:val="000000"/>
          <w:sz w:val="20"/>
          <w:szCs w:val="20"/>
        </w:rPr>
        <w:t>Several of our subsidiaries are subject to a variety of federal, state and local environmental laws and regulations relating to the protection of the environment, including those governing the emission or discharge of pollutants into the envi</w:t>
      </w:r>
      <w:r>
        <w:rPr>
          <w:rFonts w:eastAsia="Times New Roman"/>
          <w:color w:val="000000"/>
          <w:sz w:val="20"/>
          <w:szCs w:val="20"/>
        </w:rPr>
        <w:t>ronment, product specifications and the generation, treatment, storage, transportation, disposal and remediation of solid and hazardous wastes. Violations of these laws and regulations or permit conditions can result in substantial penalties, injunctive or</w:t>
      </w:r>
      <w:r>
        <w:rPr>
          <w:rFonts w:eastAsia="Times New Roman"/>
          <w:color w:val="000000"/>
          <w:sz w:val="20"/>
          <w:szCs w:val="20"/>
        </w:rPr>
        <w:t>ders compelling installation of additional controls, civil and criminal sanctions, permit revocations and/or facility shutdowns</w:t>
      </w:r>
      <w:r>
        <w:rPr>
          <w:rFonts w:eastAsia="Times New Roman"/>
          <w:color w:val="000000"/>
          <w:sz w:val="20"/>
          <w:szCs w:val="20"/>
        </w:rPr>
        <w:t>.</w:t>
      </w:r>
    </w:p>
    <w:p w14:paraId="681E300D" w14:textId="77777777" w:rsidR="00000000" w:rsidRDefault="00195E73">
      <w:pPr>
        <w:ind w:firstLine="405"/>
        <w:divId w:val="1733456738"/>
        <w:rPr>
          <w:rFonts w:eastAsia="Times New Roman"/>
        </w:rPr>
      </w:pPr>
      <w:r>
        <w:rPr>
          <w:rFonts w:eastAsia="Times New Roman"/>
          <w:color w:val="000000"/>
          <w:sz w:val="20"/>
          <w:szCs w:val="20"/>
        </w:rPr>
        <w:t>In addition, new environmental laws and regulations, new interpretations of existing laws and regulations, increased government</w:t>
      </w:r>
      <w:r>
        <w:rPr>
          <w:rFonts w:eastAsia="Times New Roman"/>
          <w:color w:val="000000"/>
          <w:sz w:val="20"/>
          <w:szCs w:val="20"/>
        </w:rPr>
        <w:t>al enforcement of laws and regulations or other developments could require our businesses to make additional unforeseen expenditures. Many of these laws and regulations are becoming increasingly stringent, and the cost of compliance with these requirements</w:t>
      </w:r>
      <w:r>
        <w:rPr>
          <w:rFonts w:eastAsia="Times New Roman"/>
          <w:color w:val="000000"/>
          <w:sz w:val="20"/>
          <w:szCs w:val="20"/>
        </w:rPr>
        <w:t xml:space="preserve"> can be expected to increase over time. The requirements to be met, as well as the technology and length of time available to meet those requirements, continue to develop and change. These expenditures or costs for environmental compliance could have a mat</w:t>
      </w:r>
      <w:r>
        <w:rPr>
          <w:rFonts w:eastAsia="Times New Roman"/>
          <w:color w:val="000000"/>
          <w:sz w:val="20"/>
          <w:szCs w:val="20"/>
        </w:rPr>
        <w:t xml:space="preserve">erial adverse effect on our operating subsidiaries’ results of operations, financial condition and profitability. Certain of our subsidiaries’ facilities operate under a number of federal and state permits, licenses and approvals with terms and conditions </w:t>
      </w:r>
      <w:r>
        <w:rPr>
          <w:rFonts w:eastAsia="Times New Roman"/>
          <w:color w:val="000000"/>
          <w:sz w:val="20"/>
          <w:szCs w:val="20"/>
        </w:rPr>
        <w:t>containing a significant number of prescriptive limits and performance standards in order to operate.</w:t>
      </w:r>
      <w:r>
        <w:rPr>
          <w:rFonts w:eastAsia="Times New Roman"/>
          <w:color w:val="000000"/>
          <w:sz w:val="20"/>
          <w:szCs w:val="20"/>
        </w:rPr>
        <w:t xml:space="preserve"> </w:t>
      </w:r>
    </w:p>
    <w:p w14:paraId="692660E6" w14:textId="77777777" w:rsidR="00000000" w:rsidRDefault="00195E73">
      <w:pPr>
        <w:jc w:val="center"/>
        <w:divId w:val="581305843"/>
        <w:rPr>
          <w:rFonts w:eastAsia="Times New Roman"/>
        </w:rPr>
      </w:pPr>
      <w:r>
        <w:rPr>
          <w:rFonts w:eastAsia="Times New Roman"/>
          <w:color w:val="000000"/>
          <w:sz w:val="20"/>
          <w:szCs w:val="20"/>
        </w:rPr>
        <w:t>2</w:t>
      </w:r>
      <w:r>
        <w:rPr>
          <w:rFonts w:eastAsia="Times New Roman"/>
          <w:color w:val="000000"/>
          <w:sz w:val="20"/>
          <w:szCs w:val="20"/>
        </w:rPr>
        <w:t>3</w:t>
      </w:r>
    </w:p>
    <w:p w14:paraId="00605344" w14:textId="77777777" w:rsidR="00000000" w:rsidRDefault="00195E73">
      <w:pPr>
        <w:rPr>
          <w:rFonts w:eastAsia="Times New Roman"/>
        </w:rPr>
      </w:pPr>
      <w:r>
        <w:rPr>
          <w:rFonts w:eastAsia="Times New Roman"/>
        </w:rPr>
        <w:pict w14:anchorId="23148030">
          <v:rect id="_x0000_i1049" style="width:0;height:1.5pt" o:hralign="center" o:hrstd="t" o:hr="t" fillcolor="#a0a0a0" stroked="f"/>
        </w:pict>
      </w:r>
    </w:p>
    <w:p w14:paraId="0A6706E9" w14:textId="77777777" w:rsidR="00000000" w:rsidRDefault="00195E73">
      <w:pPr>
        <w:divId w:val="1015959618"/>
        <w:rPr>
          <w:rFonts w:eastAsia="Times New Roman"/>
        </w:rPr>
      </w:pPr>
    </w:p>
    <w:p w14:paraId="2D80DCC2" w14:textId="77777777" w:rsidR="00000000" w:rsidRDefault="00195E73">
      <w:pPr>
        <w:divId w:val="607738899"/>
        <w:rPr>
          <w:rFonts w:eastAsia="Times New Roman"/>
        </w:rPr>
      </w:pPr>
      <w:r>
        <w:rPr>
          <w:rFonts w:eastAsia="Times New Roman"/>
          <w:color w:val="000000"/>
          <w:sz w:val="20"/>
          <w:szCs w:val="20"/>
        </w:rPr>
        <w:t xml:space="preserve">These permits, licenses, approvals, limits and standards require a significant amount of monitoring, record keeping and reporting in order to demonstrate compliance with the underlying permit, license, approval, limit </w:t>
      </w:r>
      <w:r>
        <w:rPr>
          <w:rFonts w:eastAsia="Times New Roman"/>
          <w:color w:val="000000"/>
          <w:sz w:val="20"/>
          <w:szCs w:val="20"/>
        </w:rPr>
        <w:t xml:space="preserve">or standard. Non-compliance or incomplete documentation of our subsidiaries’ compliance status may result in the imposition of fines, penalties and injunctive relief. Additionally, there may be times when certain of our subsidiaries are unable to meet the </w:t>
      </w:r>
      <w:r>
        <w:rPr>
          <w:rFonts w:eastAsia="Times New Roman"/>
          <w:color w:val="000000"/>
          <w:sz w:val="20"/>
          <w:szCs w:val="20"/>
        </w:rPr>
        <w:t xml:space="preserve">standards and terms and conditions of our permits, licenses and approvals due to operational upsets or malfunctions, which may lead to the imposition of fines and penalties or operating restrictions that may have a material adverse effect on their ability </w:t>
      </w:r>
      <w:r>
        <w:rPr>
          <w:rFonts w:eastAsia="Times New Roman"/>
          <w:color w:val="000000"/>
          <w:sz w:val="20"/>
          <w:szCs w:val="20"/>
        </w:rPr>
        <w:t xml:space="preserve">to operate their facilities and accordingly on our consolidated financial position, results of operations or cash flows. Refer to Note 18, “Commitments and Contingencies,” to the consolidated financial statements for additional discussion of environmental </w:t>
      </w:r>
      <w:r>
        <w:rPr>
          <w:rFonts w:eastAsia="Times New Roman"/>
          <w:color w:val="000000"/>
          <w:sz w:val="20"/>
          <w:szCs w:val="20"/>
        </w:rPr>
        <w:t>matters affecting our businesses.</w:t>
      </w:r>
      <w:r>
        <w:rPr>
          <w:rFonts w:eastAsia="Times New Roman"/>
          <w:color w:val="000000"/>
          <w:sz w:val="20"/>
          <w:szCs w:val="20"/>
        </w:rPr>
        <w:t xml:space="preserve"> </w:t>
      </w:r>
    </w:p>
    <w:p w14:paraId="43A1C49A" w14:textId="77777777" w:rsidR="00000000" w:rsidRDefault="00195E73">
      <w:pPr>
        <w:divId w:val="2045402498"/>
        <w:rPr>
          <w:rFonts w:eastAsia="Times New Roman"/>
        </w:rPr>
      </w:pPr>
      <w:r>
        <w:rPr>
          <w:rFonts w:eastAsia="Times New Roman"/>
          <w:b/>
          <w:bCs/>
          <w:i/>
          <w:iCs/>
          <w:color w:val="000000"/>
          <w:sz w:val="20"/>
          <w:szCs w:val="20"/>
        </w:rPr>
        <w:t>Our Energy segment’s businesses are, and commodity prices are, cyclical and highly volatile, which could have a material adverse effect on our results of operations, financial condition and cash flows</w:t>
      </w:r>
      <w:r>
        <w:rPr>
          <w:rFonts w:eastAsia="Times New Roman"/>
          <w:b/>
          <w:bCs/>
          <w:i/>
          <w:iCs/>
          <w:color w:val="000000"/>
          <w:sz w:val="20"/>
          <w:szCs w:val="20"/>
        </w:rPr>
        <w:t>.</w:t>
      </w:r>
    </w:p>
    <w:p w14:paraId="30001323" w14:textId="77777777" w:rsidR="00000000" w:rsidRDefault="00195E73">
      <w:pPr>
        <w:ind w:firstLine="405"/>
        <w:divId w:val="1954481600"/>
        <w:rPr>
          <w:rFonts w:eastAsia="Times New Roman"/>
        </w:rPr>
      </w:pPr>
      <w:r>
        <w:rPr>
          <w:rFonts w:eastAsia="Times New Roman"/>
          <w:color w:val="000000"/>
          <w:sz w:val="20"/>
          <w:szCs w:val="20"/>
        </w:rPr>
        <w:t>Our Energy segment’</w:t>
      </w:r>
      <w:r>
        <w:rPr>
          <w:rFonts w:eastAsia="Times New Roman"/>
          <w:color w:val="000000"/>
          <w:sz w:val="20"/>
          <w:szCs w:val="20"/>
        </w:rPr>
        <w:t>s petroleum business’ financial results are primarily affected by the margin between refined product prices and the prices for crude oil and other feedstocks. Historically, refining margins have been volatile, and are expected to continue to be volatile in</w:t>
      </w:r>
      <w:r>
        <w:rPr>
          <w:rFonts w:eastAsia="Times New Roman"/>
          <w:color w:val="000000"/>
          <w:sz w:val="20"/>
          <w:szCs w:val="20"/>
        </w:rPr>
        <w:t xml:space="preserve"> the future. The petroleum business’ cost to acquire feedstocks and the price at which it can ultimately sell refined products depend upon several factors beyond its control, including regional and global supply of and demand for crude oil, gasoline, diese</w:t>
      </w:r>
      <w:r>
        <w:rPr>
          <w:rFonts w:eastAsia="Times New Roman"/>
          <w:color w:val="000000"/>
          <w:sz w:val="20"/>
          <w:szCs w:val="20"/>
        </w:rPr>
        <w:t>l and other feedstocks and refined products. These in turn depend on, among other things, the availability and quantity of imports, the production levels of U.S. and international suppliers, levels of refined petroleum product inventories, productivity and</w:t>
      </w:r>
      <w:r>
        <w:rPr>
          <w:rFonts w:eastAsia="Times New Roman"/>
          <w:color w:val="000000"/>
          <w:sz w:val="20"/>
          <w:szCs w:val="20"/>
        </w:rPr>
        <w:t xml:space="preserve"> growth (or the lack thereof) of U.S. and global economies, U.S. relationships with foreign governments, political affairs and the extent of governmental regulation</w:t>
      </w:r>
      <w:r>
        <w:rPr>
          <w:rFonts w:eastAsia="Times New Roman"/>
          <w:color w:val="000000"/>
          <w:sz w:val="20"/>
          <w:szCs w:val="20"/>
        </w:rPr>
        <w:t>.</w:t>
      </w:r>
    </w:p>
    <w:p w14:paraId="0DEAF6F1" w14:textId="77777777" w:rsidR="00000000" w:rsidRDefault="00195E73">
      <w:pPr>
        <w:ind w:firstLine="405"/>
        <w:divId w:val="476148536"/>
        <w:rPr>
          <w:rFonts w:eastAsia="Times New Roman"/>
        </w:rPr>
      </w:pPr>
      <w:r>
        <w:rPr>
          <w:rFonts w:eastAsia="Times New Roman"/>
          <w:color w:val="000000"/>
          <w:sz w:val="20"/>
          <w:szCs w:val="20"/>
        </w:rPr>
        <w:t>Some of these factors can vary by region and may change quickly, adding to market volatili</w:t>
      </w:r>
      <w:r>
        <w:rPr>
          <w:rFonts w:eastAsia="Times New Roman"/>
          <w:color w:val="000000"/>
          <w:sz w:val="20"/>
          <w:szCs w:val="20"/>
        </w:rPr>
        <w:t>ty, while others may have longer-term effects on refining and marketing margins, which are uncertain. CVR Refining does not produce crude oil and must purchase all of the crude oil it refines long before it refines them and sell the refined products. Price</w:t>
      </w:r>
      <w:r>
        <w:rPr>
          <w:rFonts w:eastAsia="Times New Roman"/>
          <w:color w:val="000000"/>
          <w:sz w:val="20"/>
          <w:szCs w:val="20"/>
        </w:rPr>
        <w:t xml:space="preserve"> level changes during the period between purchasing feedstocks and selling the refined petroleum products from these feedstocks could have a significant effect on our Energy segment’s financial results and a decline in market prices may negatively impact t</w:t>
      </w:r>
      <w:r>
        <w:rPr>
          <w:rFonts w:eastAsia="Times New Roman"/>
          <w:color w:val="000000"/>
          <w:sz w:val="20"/>
          <w:szCs w:val="20"/>
        </w:rPr>
        <w:t>he carrying value of its inventories</w:t>
      </w:r>
      <w:r>
        <w:rPr>
          <w:rFonts w:eastAsia="Times New Roman"/>
          <w:color w:val="000000"/>
          <w:sz w:val="20"/>
          <w:szCs w:val="20"/>
        </w:rPr>
        <w:t>.</w:t>
      </w:r>
    </w:p>
    <w:p w14:paraId="0A102B22" w14:textId="77777777" w:rsidR="00000000" w:rsidRDefault="00195E73">
      <w:pPr>
        <w:ind w:firstLine="405"/>
        <w:divId w:val="1438208009"/>
        <w:rPr>
          <w:rFonts w:eastAsia="Times New Roman"/>
        </w:rPr>
      </w:pPr>
      <w:r>
        <w:rPr>
          <w:rFonts w:eastAsia="Times New Roman"/>
          <w:color w:val="000000"/>
          <w:sz w:val="20"/>
          <w:szCs w:val="20"/>
        </w:rPr>
        <w:t>Profitability is also impacted by the ability to purchase crude oil at a discount to benchmark crude oils, such as WTI, as the petroleum business does not produce any crude oil and must purchase all of the crude oil it</w:t>
      </w:r>
      <w:r>
        <w:rPr>
          <w:rFonts w:eastAsia="Times New Roman"/>
          <w:color w:val="000000"/>
          <w:sz w:val="20"/>
          <w:szCs w:val="20"/>
        </w:rPr>
        <w:t xml:space="preserve"> refines. Crude oil differentials can fluctuate significantly based upon overall economic and crude oil market conditions. Adverse changes in crude oil differentials can adversely impact refining margins, earnings and cash flows. In addition, the petroleum</w:t>
      </w:r>
      <w:r>
        <w:rPr>
          <w:rFonts w:eastAsia="Times New Roman"/>
          <w:color w:val="000000"/>
          <w:sz w:val="20"/>
          <w:szCs w:val="20"/>
        </w:rPr>
        <w:t xml:space="preserve"> business’ purchases of crude oil, although based on WTI prices, have historically been at a discount to WTI because of the proximity of the refineries to the sources, existing logistics infrastructure and quality differences. Any change in the sources of </w:t>
      </w:r>
      <w:r>
        <w:rPr>
          <w:rFonts w:eastAsia="Times New Roman"/>
          <w:color w:val="000000"/>
          <w:sz w:val="20"/>
          <w:szCs w:val="20"/>
        </w:rPr>
        <w:t>crude oil, infrastructure or logistical improvements or quality differences could result in a reduction of the petroleum business’ historical discount to WTI and may result in a reduction of our Energy segment’s cost advantage</w:t>
      </w:r>
      <w:r>
        <w:rPr>
          <w:rFonts w:eastAsia="Times New Roman"/>
          <w:color w:val="000000"/>
          <w:sz w:val="20"/>
          <w:szCs w:val="20"/>
        </w:rPr>
        <w:t>.</w:t>
      </w:r>
    </w:p>
    <w:p w14:paraId="295377F1" w14:textId="77777777" w:rsidR="00000000" w:rsidRDefault="00195E73">
      <w:pPr>
        <w:ind w:firstLine="405"/>
        <w:divId w:val="299501717"/>
        <w:rPr>
          <w:rFonts w:eastAsia="Times New Roman"/>
        </w:rPr>
      </w:pPr>
      <w:r>
        <w:rPr>
          <w:rFonts w:eastAsia="Times New Roman"/>
          <w:color w:val="000000"/>
          <w:sz w:val="20"/>
          <w:szCs w:val="20"/>
        </w:rPr>
        <w:t xml:space="preserve">Volatile prices for natural </w:t>
      </w:r>
      <w:r>
        <w:rPr>
          <w:rFonts w:eastAsia="Times New Roman"/>
          <w:color w:val="000000"/>
          <w:sz w:val="20"/>
          <w:szCs w:val="20"/>
        </w:rPr>
        <w:t>gas and electricity affect the petroleum business’ manufacturing and operating costs. Natural gas and electricity prices have been, and will continue to be, affected by supply and demand for fuel and utility services in both local and regional markets</w:t>
      </w:r>
      <w:r>
        <w:rPr>
          <w:rFonts w:eastAsia="Times New Roman"/>
          <w:color w:val="000000"/>
          <w:sz w:val="20"/>
          <w:szCs w:val="20"/>
        </w:rPr>
        <w:t>.</w:t>
      </w:r>
    </w:p>
    <w:p w14:paraId="022D220F" w14:textId="77777777" w:rsidR="00000000" w:rsidRDefault="00195E73">
      <w:pPr>
        <w:divId w:val="1256785295"/>
        <w:rPr>
          <w:rFonts w:eastAsia="Times New Roman"/>
        </w:rPr>
      </w:pPr>
      <w:r>
        <w:rPr>
          <w:rFonts w:eastAsia="Times New Roman"/>
          <w:b/>
          <w:bCs/>
          <w:i/>
          <w:iCs/>
          <w:color w:val="000000"/>
          <w:sz w:val="20"/>
          <w:szCs w:val="20"/>
        </w:rPr>
        <w:t>Com</w:t>
      </w:r>
      <w:r>
        <w:rPr>
          <w:rFonts w:eastAsia="Times New Roman"/>
          <w:b/>
          <w:bCs/>
          <w:i/>
          <w:iCs/>
          <w:color w:val="000000"/>
          <w:sz w:val="20"/>
          <w:szCs w:val="20"/>
        </w:rPr>
        <w:t>pliance with the U.S. Environmental Protection Agency Renewable Fuel Standard, with respect to our Energy segment, could adversely affect our financial condition and results of operations</w:t>
      </w:r>
      <w:r>
        <w:rPr>
          <w:rFonts w:eastAsia="Times New Roman"/>
          <w:b/>
          <w:bCs/>
          <w:i/>
          <w:iCs/>
          <w:color w:val="000000"/>
          <w:sz w:val="20"/>
          <w:szCs w:val="20"/>
        </w:rPr>
        <w:t>.</w:t>
      </w:r>
    </w:p>
    <w:p w14:paraId="18805432" w14:textId="77777777" w:rsidR="00000000" w:rsidRDefault="00195E73">
      <w:pPr>
        <w:ind w:firstLine="405"/>
        <w:divId w:val="1024408161"/>
        <w:rPr>
          <w:rFonts w:eastAsia="Times New Roman"/>
        </w:rPr>
      </w:pPr>
      <w:r>
        <w:rPr>
          <w:rFonts w:eastAsia="Times New Roman"/>
          <w:color w:val="000000"/>
          <w:sz w:val="20"/>
          <w:szCs w:val="20"/>
        </w:rPr>
        <w:t>The Environmental Protection Agency (the “EPA”) has promulgated the</w:t>
      </w:r>
      <w:r>
        <w:rPr>
          <w:rFonts w:eastAsia="Times New Roman"/>
          <w:color w:val="000000"/>
          <w:sz w:val="20"/>
          <w:szCs w:val="20"/>
        </w:rPr>
        <w:t xml:space="preserve"> Renewable Fuel Standards (“RFS”), which requires refiners to either blend “renewable fuels,” such as ethanol and biodiesel, into their transportation fuels or purchase renewable fuel credits, known as renewable identification numbers (“RINs”), in lieu of </w:t>
      </w:r>
      <w:r>
        <w:rPr>
          <w:rFonts w:eastAsia="Times New Roman"/>
          <w:color w:val="000000"/>
          <w:sz w:val="20"/>
          <w:szCs w:val="20"/>
        </w:rPr>
        <w:t>blending. Under the RFS, the volume of renewable fuels that refineries like Coffeyville and Wynnewood are obligated to blend into their finished petroleum products is adjusted annually by the EPA. The petroleum business is not able to blend the substantial</w:t>
      </w:r>
      <w:r>
        <w:rPr>
          <w:rFonts w:eastAsia="Times New Roman"/>
          <w:color w:val="000000"/>
          <w:sz w:val="20"/>
          <w:szCs w:val="20"/>
        </w:rPr>
        <w:t xml:space="preserve"> majority of its transportation fuels, so it has to purchase RINs on the open market as well as waiver credits for cellulosic biofuels from the EPA, in order to comply with the RFS. The price of RINs has been extremely volatile as the EPA’s proposed renewa</w:t>
      </w:r>
      <w:r>
        <w:rPr>
          <w:rFonts w:eastAsia="Times New Roman"/>
          <w:color w:val="000000"/>
          <w:sz w:val="20"/>
          <w:szCs w:val="20"/>
        </w:rPr>
        <w:t>ble fuel volume mandates approached and exceeded the “blend wall.” The blend wall refers to the point at which the amount of ethanol blended into the transportation fuel supply exceeds the demand for transportation fuel containing such levels of ethanol. T</w:t>
      </w:r>
      <w:r>
        <w:rPr>
          <w:rFonts w:eastAsia="Times New Roman"/>
          <w:color w:val="000000"/>
          <w:sz w:val="20"/>
          <w:szCs w:val="20"/>
        </w:rPr>
        <w:t>he blend wall is generally considered to be reached when more than 10% ethanol by volume (“E10 gasoline”) is blended into transportation fuel</w:t>
      </w:r>
      <w:r>
        <w:rPr>
          <w:rFonts w:eastAsia="Times New Roman"/>
          <w:color w:val="000000"/>
          <w:sz w:val="20"/>
          <w:szCs w:val="20"/>
        </w:rPr>
        <w:t>.</w:t>
      </w:r>
    </w:p>
    <w:p w14:paraId="0E2AC53B" w14:textId="77777777" w:rsidR="00000000" w:rsidRDefault="00195E73">
      <w:pPr>
        <w:ind w:firstLine="405"/>
        <w:divId w:val="1179851541"/>
        <w:rPr>
          <w:rFonts w:eastAsia="Times New Roman"/>
        </w:rPr>
      </w:pPr>
      <w:r>
        <w:rPr>
          <w:rFonts w:eastAsia="Times New Roman"/>
          <w:color w:val="000000"/>
          <w:sz w:val="20"/>
          <w:szCs w:val="20"/>
        </w:rPr>
        <w:t>The petroleum business cannot predict the future prices of RINs. The price of RINs has been extremely volatile ov</w:t>
      </w:r>
      <w:r>
        <w:rPr>
          <w:rFonts w:eastAsia="Times New Roman"/>
          <w:color w:val="000000"/>
          <w:sz w:val="20"/>
          <w:szCs w:val="20"/>
        </w:rPr>
        <w:t>er the last year. Additionally, the cost of RINs is dependent upon a variety of factors, which include the availability of RINs for purchase, the price at which RINs can be purchased, transportation fuel production levels, the mix of the petroleum business</w:t>
      </w:r>
      <w:r>
        <w:rPr>
          <w:rFonts w:eastAsia="Times New Roman"/>
          <w:color w:val="000000"/>
          <w:sz w:val="20"/>
          <w:szCs w:val="20"/>
        </w:rPr>
        <w:t>’ petroleum products, as well as the fuel blending performed at the refineries and downstream terminals, all of which can vary significantly from period to period. However, the costs to obtain the necessary number of RINs and waiver credits could be</w:t>
      </w:r>
      <w:r>
        <w:rPr>
          <w:rFonts w:eastAsia="Times New Roman"/>
          <w:color w:val="000000"/>
          <w:sz w:val="20"/>
          <w:szCs w:val="20"/>
        </w:rPr>
        <w:t xml:space="preserve"> </w:t>
      </w:r>
    </w:p>
    <w:p w14:paraId="19DD225B" w14:textId="77777777" w:rsidR="00000000" w:rsidRDefault="00195E73">
      <w:pPr>
        <w:jc w:val="center"/>
        <w:divId w:val="264920822"/>
        <w:rPr>
          <w:rFonts w:eastAsia="Times New Roman"/>
        </w:rPr>
      </w:pPr>
      <w:r>
        <w:rPr>
          <w:rFonts w:eastAsia="Times New Roman"/>
          <w:color w:val="000000"/>
          <w:sz w:val="20"/>
          <w:szCs w:val="20"/>
        </w:rPr>
        <w:t>2</w:t>
      </w:r>
      <w:r>
        <w:rPr>
          <w:rFonts w:eastAsia="Times New Roman"/>
          <w:color w:val="000000"/>
          <w:sz w:val="20"/>
          <w:szCs w:val="20"/>
        </w:rPr>
        <w:t>4</w:t>
      </w:r>
    </w:p>
    <w:p w14:paraId="537BC032" w14:textId="77777777" w:rsidR="00000000" w:rsidRDefault="00195E73">
      <w:pPr>
        <w:rPr>
          <w:rFonts w:eastAsia="Times New Roman"/>
        </w:rPr>
      </w:pPr>
      <w:r>
        <w:rPr>
          <w:rFonts w:eastAsia="Times New Roman"/>
        </w:rPr>
        <w:pict w14:anchorId="648666DC">
          <v:rect id="_x0000_i1050" style="width:0;height:1.5pt" o:hralign="center" o:hrstd="t" o:hr="t" fillcolor="#a0a0a0" stroked="f"/>
        </w:pict>
      </w:r>
    </w:p>
    <w:p w14:paraId="4D890E69" w14:textId="77777777" w:rsidR="00000000" w:rsidRDefault="00195E73">
      <w:pPr>
        <w:divId w:val="1649748013"/>
        <w:rPr>
          <w:rFonts w:eastAsia="Times New Roman"/>
        </w:rPr>
      </w:pPr>
    </w:p>
    <w:p w14:paraId="1DFAC097" w14:textId="77777777" w:rsidR="00000000" w:rsidRDefault="00195E73">
      <w:pPr>
        <w:divId w:val="526212743"/>
        <w:rPr>
          <w:rFonts w:eastAsia="Times New Roman"/>
        </w:rPr>
      </w:pPr>
      <w:r>
        <w:rPr>
          <w:rFonts w:eastAsia="Times New Roman"/>
          <w:color w:val="000000"/>
          <w:sz w:val="20"/>
          <w:szCs w:val="20"/>
        </w:rPr>
        <w:t>material, if the price for RINs increases. Additionally, because the petroleum business does not produce renewable fuels, increasing the volume of renewable fuels that must be blended into its products displaces an incre</w:t>
      </w:r>
      <w:r>
        <w:rPr>
          <w:rFonts w:eastAsia="Times New Roman"/>
          <w:color w:val="000000"/>
          <w:sz w:val="20"/>
          <w:szCs w:val="20"/>
        </w:rPr>
        <w:t>asing volume of the refineries’ product pool, potentially resulting in lower earnings and materially adversely affecting the petroleum business’ cash flows. If the demand for the petroleum business’ transportation fuel decreases as a result of the use of i</w:t>
      </w:r>
      <w:r>
        <w:rPr>
          <w:rFonts w:eastAsia="Times New Roman"/>
          <w:color w:val="000000"/>
          <w:sz w:val="20"/>
          <w:szCs w:val="20"/>
        </w:rPr>
        <w:t>ncreasing volumes of renewable fuels, increased fuel economy as a result of new EPA fuel economy standards, or other factors, the impact on its business could be material. If sufficient RINs are unavailable for purchase, if the petroleum business has to pa</w:t>
      </w:r>
      <w:r>
        <w:rPr>
          <w:rFonts w:eastAsia="Times New Roman"/>
          <w:color w:val="000000"/>
          <w:sz w:val="20"/>
          <w:szCs w:val="20"/>
        </w:rPr>
        <w:t>y a significantly higher price for RINs or if the petroleum business is otherwise unable to meet the EPA’s RFS mandates, its business, financial condition and results of operations could be materially adversely affected</w:t>
      </w:r>
      <w:r>
        <w:rPr>
          <w:rFonts w:eastAsia="Times New Roman"/>
          <w:color w:val="000000"/>
          <w:sz w:val="20"/>
          <w:szCs w:val="20"/>
        </w:rPr>
        <w:t>.</w:t>
      </w:r>
    </w:p>
    <w:p w14:paraId="37BB30A8" w14:textId="77777777" w:rsidR="00000000" w:rsidRDefault="00195E73">
      <w:pPr>
        <w:divId w:val="2024090108"/>
        <w:rPr>
          <w:rFonts w:eastAsia="Times New Roman"/>
        </w:rPr>
      </w:pPr>
      <w:r>
        <w:rPr>
          <w:rFonts w:eastAsia="Times New Roman"/>
          <w:b/>
          <w:bCs/>
          <w:i/>
          <w:iCs/>
          <w:color w:val="000000"/>
          <w:sz w:val="20"/>
          <w:szCs w:val="20"/>
        </w:rPr>
        <w:t>Commodity derivative contracts, particularly with respect to our Energy segment, may limit our potential gains, exacerbate potential losses and involve other risks</w:t>
      </w:r>
      <w:r>
        <w:rPr>
          <w:rFonts w:eastAsia="Times New Roman"/>
          <w:b/>
          <w:bCs/>
          <w:i/>
          <w:iCs/>
          <w:color w:val="000000"/>
          <w:sz w:val="20"/>
          <w:szCs w:val="20"/>
        </w:rPr>
        <w:t>.</w:t>
      </w:r>
    </w:p>
    <w:p w14:paraId="234661AB" w14:textId="77777777" w:rsidR="00000000" w:rsidRDefault="00195E73">
      <w:pPr>
        <w:ind w:firstLine="405"/>
        <w:divId w:val="843007824"/>
        <w:rPr>
          <w:rFonts w:eastAsia="Times New Roman"/>
        </w:rPr>
      </w:pPr>
      <w:r>
        <w:rPr>
          <w:rFonts w:eastAsia="Times New Roman"/>
          <w:color w:val="000000"/>
          <w:sz w:val="20"/>
          <w:szCs w:val="20"/>
        </w:rPr>
        <w:t>Our Energy segment’s petroleum business may enter into commodity derivatives contracts to m</w:t>
      </w:r>
      <w:r>
        <w:rPr>
          <w:rFonts w:eastAsia="Times New Roman"/>
          <w:color w:val="000000"/>
          <w:sz w:val="20"/>
          <w:szCs w:val="20"/>
        </w:rPr>
        <w:t>itigate crack spread risk with respect to a portion of its expected refined products production. However, its hedging arrangements may fail to fully achieve these objectives for a variety of reasons, including its failure to have adequate hedging contracts</w:t>
      </w:r>
      <w:r>
        <w:rPr>
          <w:rFonts w:eastAsia="Times New Roman"/>
          <w:color w:val="000000"/>
          <w:sz w:val="20"/>
          <w:szCs w:val="20"/>
        </w:rPr>
        <w:t>, if any, in effect at any particular time and the failure of its hedging arrangements to produce the anticipated results. The petroleum business may not be able to procure adequate hedging arrangements due to a variety of factors. Moreover, such transacti</w:t>
      </w:r>
      <w:r>
        <w:rPr>
          <w:rFonts w:eastAsia="Times New Roman"/>
          <w:color w:val="000000"/>
          <w:sz w:val="20"/>
          <w:szCs w:val="20"/>
        </w:rPr>
        <w:t>ons may limit its ability to benefit from favorable changes in margins. In addition, the petroleum business’ hedging activities may expose it to the risk of financial loss in certain circumstances, including instances in which</w:t>
      </w:r>
      <w:r>
        <w:rPr>
          <w:rFonts w:eastAsia="Times New Roman"/>
          <w:color w:val="000000"/>
          <w:sz w:val="20"/>
          <w:szCs w:val="20"/>
        </w:rPr>
        <w:t>:</w:t>
      </w:r>
    </w:p>
    <w:p w14:paraId="5E1D9F48" w14:textId="77777777" w:rsidR="00000000" w:rsidRDefault="00195E73">
      <w:pPr>
        <w:ind w:firstLine="360"/>
        <w:divId w:val="1632130490"/>
        <w:rPr>
          <w:rFonts w:eastAsia="Times New Roman"/>
        </w:rPr>
      </w:pPr>
    </w:p>
    <w:p w14:paraId="317475E8" w14:textId="77777777" w:rsidR="00000000" w:rsidRDefault="00195E73">
      <w:pPr>
        <w:ind w:hanging="225"/>
        <w:divId w:val="1399865985"/>
        <w:rPr>
          <w:rFonts w:eastAsia="Times New Roman"/>
        </w:rPr>
      </w:pPr>
      <w:r>
        <w:rPr>
          <w:rFonts w:eastAsia="Times New Roman"/>
          <w:color w:val="000000"/>
          <w:sz w:val="20"/>
          <w:szCs w:val="20"/>
        </w:rPr>
        <w:t>•</w:t>
      </w:r>
      <w:r>
        <w:rPr>
          <w:rFonts w:eastAsia="Times New Roman"/>
          <w:color w:val="000000"/>
          <w:sz w:val="20"/>
          <w:szCs w:val="20"/>
        </w:rPr>
        <w:t>the volumes of its actual</w:t>
      </w:r>
      <w:r>
        <w:rPr>
          <w:rFonts w:eastAsia="Times New Roman"/>
          <w:color w:val="000000"/>
          <w:sz w:val="20"/>
          <w:szCs w:val="20"/>
        </w:rPr>
        <w:t xml:space="preserve"> use of crude oil or production of the applicable refined products is less than the volumes subject to the hedging arrangement</w:t>
      </w:r>
      <w:r>
        <w:rPr>
          <w:rFonts w:eastAsia="Times New Roman"/>
          <w:color w:val="000000"/>
          <w:sz w:val="20"/>
          <w:szCs w:val="20"/>
        </w:rPr>
        <w:t>;</w:t>
      </w:r>
    </w:p>
    <w:p w14:paraId="5BDC1C92" w14:textId="77777777" w:rsidR="00000000" w:rsidRDefault="00195E73">
      <w:pPr>
        <w:ind w:hanging="225"/>
        <w:divId w:val="1657295885"/>
        <w:rPr>
          <w:rFonts w:eastAsia="Times New Roman"/>
        </w:rPr>
      </w:pPr>
      <w:r>
        <w:rPr>
          <w:rFonts w:eastAsia="Times New Roman"/>
          <w:color w:val="000000"/>
          <w:sz w:val="20"/>
          <w:szCs w:val="20"/>
        </w:rPr>
        <w:t>•</w:t>
      </w:r>
      <w:r>
        <w:rPr>
          <w:rFonts w:eastAsia="Times New Roman"/>
          <w:color w:val="000000"/>
          <w:sz w:val="20"/>
          <w:szCs w:val="20"/>
        </w:rPr>
        <w:t>accidents, interruptions in transportation, inclement weather or other events cause unscheduled shutdowns or otherwise adversel</w:t>
      </w:r>
      <w:r>
        <w:rPr>
          <w:rFonts w:eastAsia="Times New Roman"/>
          <w:color w:val="000000"/>
          <w:sz w:val="20"/>
          <w:szCs w:val="20"/>
        </w:rPr>
        <w:t>y affect its refinery or suppliers or customers</w:t>
      </w:r>
      <w:r>
        <w:rPr>
          <w:rFonts w:eastAsia="Times New Roman"/>
          <w:color w:val="000000"/>
          <w:sz w:val="20"/>
          <w:szCs w:val="20"/>
        </w:rPr>
        <w:t>;</w:t>
      </w:r>
    </w:p>
    <w:p w14:paraId="2640FE55" w14:textId="77777777" w:rsidR="00000000" w:rsidRDefault="00195E73">
      <w:pPr>
        <w:ind w:hanging="225"/>
        <w:divId w:val="333723478"/>
        <w:rPr>
          <w:rFonts w:eastAsia="Times New Roman"/>
        </w:rPr>
      </w:pPr>
      <w:r>
        <w:rPr>
          <w:rFonts w:eastAsia="Times New Roman"/>
          <w:color w:val="000000"/>
          <w:sz w:val="20"/>
          <w:szCs w:val="20"/>
        </w:rPr>
        <w:t>•</w:t>
      </w:r>
      <w:r>
        <w:rPr>
          <w:rFonts w:eastAsia="Times New Roman"/>
          <w:color w:val="000000"/>
          <w:sz w:val="20"/>
          <w:szCs w:val="20"/>
        </w:rPr>
        <w:t>the counterparties to its futures contracts fail to perform under the contracts; o</w:t>
      </w:r>
      <w:r>
        <w:rPr>
          <w:rFonts w:eastAsia="Times New Roman"/>
          <w:color w:val="000000"/>
          <w:sz w:val="20"/>
          <w:szCs w:val="20"/>
        </w:rPr>
        <w:t>r</w:t>
      </w:r>
    </w:p>
    <w:p w14:paraId="2669CEEF" w14:textId="77777777" w:rsidR="00000000" w:rsidRDefault="00195E73">
      <w:pPr>
        <w:ind w:hanging="225"/>
        <w:divId w:val="1972437877"/>
        <w:rPr>
          <w:rFonts w:eastAsia="Times New Roman"/>
        </w:rPr>
      </w:pPr>
      <w:r>
        <w:rPr>
          <w:rFonts w:eastAsia="Times New Roman"/>
          <w:color w:val="000000"/>
          <w:sz w:val="20"/>
          <w:szCs w:val="20"/>
        </w:rPr>
        <w:t>•</w:t>
      </w:r>
      <w:r>
        <w:rPr>
          <w:rFonts w:eastAsia="Times New Roman"/>
          <w:color w:val="000000"/>
          <w:sz w:val="20"/>
          <w:szCs w:val="20"/>
        </w:rPr>
        <w:t>a sudden, unexpected event materially impacts the commodity or crack spread subject to the hedging arrangement</w:t>
      </w:r>
      <w:r>
        <w:rPr>
          <w:rFonts w:eastAsia="Times New Roman"/>
          <w:color w:val="000000"/>
          <w:sz w:val="20"/>
          <w:szCs w:val="20"/>
        </w:rPr>
        <w:t>.</w:t>
      </w:r>
    </w:p>
    <w:p w14:paraId="44346850" w14:textId="77777777" w:rsidR="00000000" w:rsidRDefault="00195E73">
      <w:pPr>
        <w:ind w:firstLine="405"/>
        <w:divId w:val="467548202"/>
        <w:rPr>
          <w:rFonts w:eastAsia="Times New Roman"/>
        </w:rPr>
      </w:pPr>
      <w:r>
        <w:rPr>
          <w:rFonts w:eastAsia="Times New Roman"/>
          <w:color w:val="000000"/>
          <w:sz w:val="20"/>
          <w:szCs w:val="20"/>
        </w:rPr>
        <w:t>As a resu</w:t>
      </w:r>
      <w:r>
        <w:rPr>
          <w:rFonts w:eastAsia="Times New Roman"/>
          <w:color w:val="000000"/>
          <w:sz w:val="20"/>
          <w:szCs w:val="20"/>
        </w:rPr>
        <w:t>lt, the effectiveness of CVR Energy’s risk mitigation strategy could have a material adverse impact on our Energy segment’s financial results and cash flows</w:t>
      </w:r>
      <w:r>
        <w:rPr>
          <w:rFonts w:eastAsia="Times New Roman"/>
          <w:color w:val="000000"/>
          <w:sz w:val="20"/>
          <w:szCs w:val="20"/>
        </w:rPr>
        <w:t>.</w:t>
      </w:r>
    </w:p>
    <w:p w14:paraId="29929576" w14:textId="77777777" w:rsidR="00000000" w:rsidRDefault="00195E73">
      <w:pPr>
        <w:divId w:val="1113675418"/>
        <w:rPr>
          <w:rFonts w:eastAsia="Times New Roman"/>
        </w:rPr>
      </w:pPr>
      <w:r>
        <w:rPr>
          <w:rFonts w:eastAsia="Times New Roman"/>
          <w:b/>
          <w:bCs/>
          <w:i/>
          <w:iCs/>
          <w:color w:val="000000"/>
          <w:sz w:val="20"/>
          <w:szCs w:val="20"/>
        </w:rPr>
        <w:t>Climate change laws and regulations could have a material adverse effect on our results of operati</w:t>
      </w:r>
      <w:r>
        <w:rPr>
          <w:rFonts w:eastAsia="Times New Roman"/>
          <w:b/>
          <w:bCs/>
          <w:i/>
          <w:iCs/>
          <w:color w:val="000000"/>
          <w:sz w:val="20"/>
          <w:szCs w:val="20"/>
        </w:rPr>
        <w:t>ons, financial condition, and cash flows</w:t>
      </w:r>
      <w:r>
        <w:rPr>
          <w:rFonts w:eastAsia="Times New Roman"/>
          <w:b/>
          <w:bCs/>
          <w:i/>
          <w:iCs/>
          <w:color w:val="000000"/>
          <w:sz w:val="20"/>
          <w:szCs w:val="20"/>
        </w:rPr>
        <w:t>.</w:t>
      </w:r>
    </w:p>
    <w:p w14:paraId="777CA5E2" w14:textId="77777777" w:rsidR="00000000" w:rsidRDefault="00195E73">
      <w:pPr>
        <w:ind w:firstLine="360"/>
        <w:divId w:val="1727096253"/>
        <w:rPr>
          <w:rFonts w:eastAsia="Times New Roman"/>
        </w:rPr>
      </w:pPr>
      <w:r>
        <w:rPr>
          <w:rFonts w:eastAsia="Times New Roman"/>
          <w:color w:val="000000"/>
          <w:sz w:val="20"/>
          <w:szCs w:val="20"/>
        </w:rPr>
        <w:t>The current administration has sought to implement a new or modified policy with respect to climate change. For example, the administration announced its intention to withdraw the United States from the Paris Clima</w:t>
      </w:r>
      <w:r>
        <w:rPr>
          <w:rFonts w:eastAsia="Times New Roman"/>
          <w:color w:val="000000"/>
          <w:sz w:val="20"/>
          <w:szCs w:val="20"/>
        </w:rPr>
        <w:t>te Agreement, though the earliest possible effective date of withdrawal for the United States is November 2020. If efforts to address climate change resume, at the federal legislative level, this could mean Congressional passage of legislation adopting som</w:t>
      </w:r>
      <w:r>
        <w:rPr>
          <w:rFonts w:eastAsia="Times New Roman"/>
          <w:color w:val="000000"/>
          <w:sz w:val="20"/>
          <w:szCs w:val="20"/>
        </w:rPr>
        <w:t>e form of federal mandatory GHG emission reduction, such as a nationwide cap-and-trade program. It is also possible that Congress may pass alternative climate change bills that do not mandate a nationwide cap-and-trade program and instead focus on promotin</w:t>
      </w:r>
      <w:r>
        <w:rPr>
          <w:rFonts w:eastAsia="Times New Roman"/>
          <w:color w:val="000000"/>
          <w:sz w:val="20"/>
          <w:szCs w:val="20"/>
        </w:rPr>
        <w:t>g renewable energy and energy efficiency</w:t>
      </w:r>
      <w:r>
        <w:rPr>
          <w:rFonts w:eastAsia="Times New Roman"/>
          <w:color w:val="000000"/>
          <w:sz w:val="20"/>
          <w:szCs w:val="20"/>
        </w:rPr>
        <w:t>.</w:t>
      </w:r>
    </w:p>
    <w:p w14:paraId="03F4BD06" w14:textId="77777777" w:rsidR="00000000" w:rsidRDefault="00195E73">
      <w:pPr>
        <w:ind w:firstLine="360"/>
        <w:divId w:val="840042795"/>
        <w:rPr>
          <w:rFonts w:eastAsia="Times New Roman"/>
        </w:rPr>
      </w:pPr>
      <w:r>
        <w:rPr>
          <w:rFonts w:eastAsia="Times New Roman"/>
          <w:color w:val="000000"/>
          <w:sz w:val="20"/>
          <w:szCs w:val="20"/>
        </w:rPr>
        <w:t>In addition to potential federal legislation, a number of states have adopted regional greenhouse gas initiatives to reduce carbon dioxide and other GHG emissions. In 2007, a group of Midwest states, including Kansas (where CVR Energy has a refinery and ni</w:t>
      </w:r>
      <w:r>
        <w:rPr>
          <w:rFonts w:eastAsia="Times New Roman"/>
          <w:color w:val="000000"/>
          <w:sz w:val="20"/>
          <w:szCs w:val="20"/>
        </w:rPr>
        <w:t xml:space="preserve">trogen fertilizer facility), formed the Midwestern Greenhouse Gas Reduction Accord, which calls for the development of a cap-and-trade system to control GHG emissions and for the inventory of such emissions. However, the individual states that have signed </w:t>
      </w:r>
      <w:r>
        <w:rPr>
          <w:rFonts w:eastAsia="Times New Roman"/>
          <w:color w:val="000000"/>
          <w:sz w:val="20"/>
          <w:szCs w:val="20"/>
        </w:rPr>
        <w:t>on to the accord must adopt laws or regulations that implement the trading scheme before it becomes effective. To date, Kansas has taken no meaningful action to implement the accord, and it’s unclear whether Kansas intends to do so in the future</w:t>
      </w:r>
      <w:r>
        <w:rPr>
          <w:rFonts w:eastAsia="Times New Roman"/>
          <w:color w:val="000000"/>
          <w:sz w:val="20"/>
          <w:szCs w:val="20"/>
        </w:rPr>
        <w:t>.</w:t>
      </w:r>
    </w:p>
    <w:p w14:paraId="5F0454A3" w14:textId="77777777" w:rsidR="00000000" w:rsidRDefault="00195E73">
      <w:pPr>
        <w:ind w:firstLine="360"/>
        <w:divId w:val="1073697673"/>
        <w:rPr>
          <w:rFonts w:eastAsia="Times New Roman"/>
        </w:rPr>
      </w:pPr>
      <w:r>
        <w:rPr>
          <w:rFonts w:eastAsia="Times New Roman"/>
          <w:color w:val="000000"/>
          <w:sz w:val="20"/>
          <w:szCs w:val="20"/>
        </w:rPr>
        <w:t>Alternati</w:t>
      </w:r>
      <w:r>
        <w:rPr>
          <w:rFonts w:eastAsia="Times New Roman"/>
          <w:color w:val="000000"/>
          <w:sz w:val="20"/>
          <w:szCs w:val="20"/>
        </w:rPr>
        <w:t>vely, the EPA may take further steps to regulate GHG emissions, although at this time it is unclear to what extent the EPA will pursue climate change regulation. The implementation of EPA regulations and/or the passage of federal or state climate change le</w:t>
      </w:r>
      <w:r>
        <w:rPr>
          <w:rFonts w:eastAsia="Times New Roman"/>
          <w:color w:val="000000"/>
          <w:sz w:val="20"/>
          <w:szCs w:val="20"/>
        </w:rPr>
        <w:t xml:space="preserve">gislation may result in increased costs to (i) operate and maintain certain of our subsidiaries’ facilities, (ii) install new emission controls on certain of our subsidiaries’ facilities and (iii) administer and manage any GHG emissions program. Increased </w:t>
      </w:r>
      <w:r>
        <w:rPr>
          <w:rFonts w:eastAsia="Times New Roman"/>
          <w:color w:val="000000"/>
          <w:sz w:val="20"/>
          <w:szCs w:val="20"/>
        </w:rPr>
        <w:t>costs associated with compliance with any current or future legislation or regulation of GHG emissions, if it occurs, may have a material adverse effect on our results of operations, financial condition and cash flows</w:t>
      </w:r>
      <w:r>
        <w:rPr>
          <w:rFonts w:eastAsia="Times New Roman"/>
          <w:color w:val="000000"/>
          <w:sz w:val="20"/>
          <w:szCs w:val="20"/>
        </w:rPr>
        <w:t>.</w:t>
      </w:r>
    </w:p>
    <w:p w14:paraId="442FD9AA" w14:textId="77777777" w:rsidR="00000000" w:rsidRDefault="00195E73">
      <w:pPr>
        <w:ind w:firstLine="360"/>
        <w:divId w:val="1144391054"/>
        <w:rPr>
          <w:rFonts w:eastAsia="Times New Roman"/>
        </w:rPr>
      </w:pPr>
      <w:r>
        <w:rPr>
          <w:rFonts w:eastAsia="Times New Roman"/>
          <w:color w:val="000000"/>
          <w:sz w:val="20"/>
          <w:szCs w:val="20"/>
        </w:rPr>
        <w:t>In addition, climate change legislati</w:t>
      </w:r>
      <w:r>
        <w:rPr>
          <w:rFonts w:eastAsia="Times New Roman"/>
          <w:color w:val="000000"/>
          <w:sz w:val="20"/>
          <w:szCs w:val="20"/>
        </w:rPr>
        <w:t>on and regulations may result in increased costs not only for our business but also users of our refined and fertilizer products, thereby potentially decreasing demand for our products. Decreased demand for our products may have a material adverse effect o</w:t>
      </w:r>
      <w:r>
        <w:rPr>
          <w:rFonts w:eastAsia="Times New Roman"/>
          <w:color w:val="000000"/>
          <w:sz w:val="20"/>
          <w:szCs w:val="20"/>
        </w:rPr>
        <w:t>n our consolidated financial position, results of operations or cash flows.</w:t>
      </w:r>
      <w:r>
        <w:rPr>
          <w:rFonts w:eastAsia="Times New Roman"/>
          <w:color w:val="000000"/>
          <w:sz w:val="20"/>
          <w:szCs w:val="20"/>
        </w:rPr>
        <w:t xml:space="preserve"> </w:t>
      </w:r>
    </w:p>
    <w:p w14:paraId="7ABE3089" w14:textId="77777777" w:rsidR="00000000" w:rsidRDefault="00195E73">
      <w:pPr>
        <w:divId w:val="867913683"/>
        <w:rPr>
          <w:rFonts w:eastAsia="Times New Roman"/>
        </w:rPr>
      </w:pPr>
    </w:p>
    <w:p w14:paraId="6D58F98B" w14:textId="77777777" w:rsidR="00000000" w:rsidRDefault="00195E73">
      <w:pPr>
        <w:jc w:val="center"/>
        <w:divId w:val="2078892017"/>
        <w:rPr>
          <w:rFonts w:eastAsia="Times New Roman"/>
        </w:rPr>
      </w:pPr>
      <w:r>
        <w:rPr>
          <w:rFonts w:eastAsia="Times New Roman"/>
          <w:color w:val="000000"/>
          <w:sz w:val="20"/>
          <w:szCs w:val="20"/>
        </w:rPr>
        <w:t>2</w:t>
      </w:r>
      <w:r>
        <w:rPr>
          <w:rFonts w:eastAsia="Times New Roman"/>
          <w:color w:val="000000"/>
          <w:sz w:val="20"/>
          <w:szCs w:val="20"/>
        </w:rPr>
        <w:t>5</w:t>
      </w:r>
    </w:p>
    <w:p w14:paraId="096A3A6B" w14:textId="77777777" w:rsidR="00000000" w:rsidRDefault="00195E73">
      <w:pPr>
        <w:rPr>
          <w:rFonts w:eastAsia="Times New Roman"/>
        </w:rPr>
      </w:pPr>
      <w:r>
        <w:rPr>
          <w:rFonts w:eastAsia="Times New Roman"/>
        </w:rPr>
        <w:pict w14:anchorId="1324F352">
          <v:rect id="_x0000_i1051" style="width:0;height:1.5pt" o:hralign="center" o:hrstd="t" o:hr="t" fillcolor="#a0a0a0" stroked="f"/>
        </w:pict>
      </w:r>
    </w:p>
    <w:p w14:paraId="4B4FC428" w14:textId="77777777" w:rsidR="00000000" w:rsidRDefault="00195E73">
      <w:pPr>
        <w:divId w:val="2145156974"/>
        <w:rPr>
          <w:rFonts w:eastAsia="Times New Roman"/>
        </w:rPr>
      </w:pPr>
    </w:p>
    <w:p w14:paraId="4E250F97" w14:textId="77777777" w:rsidR="00000000" w:rsidRDefault="00195E73">
      <w:pPr>
        <w:divId w:val="508250525"/>
        <w:rPr>
          <w:rFonts w:eastAsia="Times New Roman"/>
        </w:rPr>
      </w:pPr>
      <w:r>
        <w:rPr>
          <w:rFonts w:eastAsia="Times New Roman"/>
          <w:b/>
          <w:bCs/>
          <w:i/>
          <w:iCs/>
          <w:color w:val="000000"/>
          <w:sz w:val="20"/>
          <w:szCs w:val="20"/>
        </w:rPr>
        <w:t xml:space="preserve">Our subsidiaries’ competitors may be larger and have greater financial resources and operational capabilities than our subsidiaries do, </w:t>
      </w:r>
      <w:r>
        <w:rPr>
          <w:rFonts w:eastAsia="Times New Roman"/>
          <w:b/>
          <w:bCs/>
          <w:i/>
          <w:iCs/>
          <w:color w:val="000000"/>
          <w:sz w:val="20"/>
          <w:szCs w:val="20"/>
        </w:rPr>
        <w:t>which may require them or us to invest significant additional capital in order to effectively compete. Our investments, or our subsidiaries’ investments, may not achieve desired results</w:t>
      </w:r>
      <w:r>
        <w:rPr>
          <w:rFonts w:eastAsia="Times New Roman"/>
          <w:b/>
          <w:bCs/>
          <w:i/>
          <w:iCs/>
          <w:color w:val="000000"/>
          <w:sz w:val="20"/>
          <w:szCs w:val="20"/>
        </w:rPr>
        <w:t>.</w:t>
      </w:r>
    </w:p>
    <w:p w14:paraId="7ED4049E" w14:textId="77777777" w:rsidR="00000000" w:rsidRDefault="00195E73">
      <w:pPr>
        <w:ind w:firstLine="405"/>
        <w:divId w:val="466507953"/>
        <w:rPr>
          <w:rFonts w:eastAsia="Times New Roman"/>
        </w:rPr>
      </w:pPr>
      <w:r>
        <w:rPr>
          <w:rFonts w:eastAsia="Times New Roman"/>
          <w:color w:val="000000"/>
          <w:sz w:val="20"/>
          <w:szCs w:val="20"/>
        </w:rPr>
        <w:t xml:space="preserve">Our operating subsidiaries face competitive pressures within markets </w:t>
      </w:r>
      <w:r>
        <w:rPr>
          <w:rFonts w:eastAsia="Times New Roman"/>
          <w:color w:val="000000"/>
          <w:sz w:val="20"/>
          <w:szCs w:val="20"/>
        </w:rPr>
        <w:t>in which they operate. We manage our subsidiaries with the objective of growing their value over time by, among other means, investing in and strengthening our subsidiaries’ competitive advantages. Many factors, including availability of financial resource</w:t>
      </w:r>
      <w:r>
        <w:rPr>
          <w:rFonts w:eastAsia="Times New Roman"/>
          <w:color w:val="000000"/>
          <w:sz w:val="20"/>
          <w:szCs w:val="20"/>
        </w:rPr>
        <w:t>s, supply chain capabilities and local market changes, may limit our ability to strengthen our subsidiaries’ competitive advantages. In addition, competitors may be significantly larger than our subsidiaries are and may have greater financial resources and</w:t>
      </w:r>
      <w:r>
        <w:rPr>
          <w:rFonts w:eastAsia="Times New Roman"/>
          <w:color w:val="000000"/>
          <w:sz w:val="20"/>
          <w:szCs w:val="20"/>
        </w:rPr>
        <w:t xml:space="preserve"> operational capabilities. Accordingly, our subsidiaries may require significant additional resources, which may not be available to them through internally generated cash flows. With respect to our Automotive segment, we have invested significant resource</w:t>
      </w:r>
      <w:r>
        <w:rPr>
          <w:rFonts w:eastAsia="Times New Roman"/>
          <w:color w:val="000000"/>
          <w:sz w:val="20"/>
          <w:szCs w:val="20"/>
        </w:rPr>
        <w:t>s in various initiatives to remain competitive and stimulate growth. In addition, we will continue to consider strategic alternatives in our automotive aftermarket parts business to maximize value. If we are unable to implement these initiatives efficientl</w:t>
      </w:r>
      <w:r>
        <w:rPr>
          <w:rFonts w:eastAsia="Times New Roman"/>
          <w:color w:val="000000"/>
          <w:sz w:val="20"/>
          <w:szCs w:val="20"/>
        </w:rPr>
        <w:t>y and effectively, or if these initiatives are unsuccessful, our consolidated financial condition, results of operations and cash flows could be adversely affected.</w:t>
      </w:r>
      <w:r>
        <w:rPr>
          <w:rFonts w:eastAsia="Times New Roman"/>
          <w:color w:val="000000"/>
          <w:sz w:val="20"/>
          <w:szCs w:val="20"/>
        </w:rPr>
        <w:t xml:space="preserve"> </w:t>
      </w:r>
    </w:p>
    <w:p w14:paraId="26C22FC4" w14:textId="77777777" w:rsidR="00000000" w:rsidRDefault="00195E73">
      <w:pPr>
        <w:divId w:val="233055563"/>
        <w:rPr>
          <w:rFonts w:eastAsia="Times New Roman"/>
        </w:rPr>
      </w:pPr>
      <w:r>
        <w:rPr>
          <w:rFonts w:eastAsia="Times New Roman"/>
          <w:b/>
          <w:bCs/>
          <w:i/>
          <w:iCs/>
          <w:color w:val="000000"/>
          <w:sz w:val="20"/>
          <w:szCs w:val="20"/>
        </w:rPr>
        <w:t>Certain of our subsidiaries have operations in foreign countries which expose them to risk</w:t>
      </w:r>
      <w:r>
        <w:rPr>
          <w:rFonts w:eastAsia="Times New Roman"/>
          <w:b/>
          <w:bCs/>
          <w:i/>
          <w:iCs/>
          <w:color w:val="000000"/>
          <w:sz w:val="20"/>
          <w:szCs w:val="20"/>
        </w:rPr>
        <w:t>s related to economic and political conditions, currency fluctuations, import/export restrictions, regulatory and other risks.</w:t>
      </w:r>
      <w:r>
        <w:rPr>
          <w:rFonts w:eastAsia="Times New Roman"/>
          <w:b/>
          <w:bCs/>
          <w:i/>
          <w:iCs/>
          <w:color w:val="000000"/>
          <w:sz w:val="20"/>
          <w:szCs w:val="20"/>
        </w:rPr>
        <w:t> </w:t>
      </w:r>
    </w:p>
    <w:p w14:paraId="02AF2A2E" w14:textId="77777777" w:rsidR="00000000" w:rsidRDefault="00195E73">
      <w:pPr>
        <w:ind w:firstLine="405"/>
        <w:divId w:val="1120152728"/>
        <w:rPr>
          <w:rFonts w:eastAsia="Times New Roman"/>
        </w:rPr>
      </w:pPr>
      <w:r>
        <w:rPr>
          <w:rFonts w:eastAsia="Times New Roman"/>
          <w:color w:val="000000"/>
          <w:sz w:val="20"/>
          <w:szCs w:val="20"/>
        </w:rPr>
        <w:t>Certain of our subsidiaries are global businesses and have manufacturing and distribution facilities in many countries. Internat</w:t>
      </w:r>
      <w:r>
        <w:rPr>
          <w:rFonts w:eastAsia="Times New Roman"/>
          <w:color w:val="000000"/>
          <w:sz w:val="20"/>
          <w:szCs w:val="20"/>
        </w:rPr>
        <w:t>ional operations are subject to certain risks including</w:t>
      </w:r>
      <w:r>
        <w:rPr>
          <w:rFonts w:eastAsia="Times New Roman"/>
          <w:color w:val="000000"/>
          <w:sz w:val="20"/>
          <w:szCs w:val="20"/>
        </w:rPr>
        <w:t>:</w:t>
      </w:r>
    </w:p>
    <w:p w14:paraId="14F1CE20" w14:textId="77777777" w:rsidR="00000000" w:rsidRDefault="00195E73">
      <w:pPr>
        <w:ind w:hanging="225"/>
        <w:divId w:val="1303076242"/>
        <w:rPr>
          <w:rFonts w:eastAsia="Times New Roman"/>
        </w:rPr>
      </w:pPr>
      <w:r>
        <w:rPr>
          <w:rFonts w:eastAsia="Times New Roman"/>
          <w:color w:val="000000"/>
          <w:sz w:val="20"/>
          <w:szCs w:val="20"/>
        </w:rPr>
        <w:t>•</w:t>
      </w:r>
      <w:r>
        <w:rPr>
          <w:rFonts w:eastAsia="Times New Roman"/>
          <w:color w:val="000000"/>
          <w:sz w:val="20"/>
          <w:szCs w:val="20"/>
        </w:rPr>
        <w:t>exposure to local economic conditions;</w:t>
      </w:r>
      <w:r>
        <w:rPr>
          <w:rFonts w:eastAsia="Times New Roman"/>
          <w:color w:val="000000"/>
          <w:sz w:val="20"/>
          <w:szCs w:val="20"/>
        </w:rPr>
        <w:t xml:space="preserve"> </w:t>
      </w:r>
    </w:p>
    <w:p w14:paraId="1B7D69F0" w14:textId="77777777" w:rsidR="00000000" w:rsidRDefault="00195E73">
      <w:pPr>
        <w:ind w:hanging="225"/>
        <w:divId w:val="1548681972"/>
        <w:rPr>
          <w:rFonts w:eastAsia="Times New Roman"/>
        </w:rPr>
      </w:pPr>
      <w:r>
        <w:rPr>
          <w:rFonts w:eastAsia="Times New Roman"/>
          <w:color w:val="000000"/>
          <w:sz w:val="20"/>
          <w:szCs w:val="20"/>
        </w:rPr>
        <w:t>•</w:t>
      </w:r>
      <w:r>
        <w:rPr>
          <w:rFonts w:eastAsia="Times New Roman"/>
          <w:color w:val="000000"/>
          <w:sz w:val="20"/>
          <w:szCs w:val="20"/>
        </w:rPr>
        <w:t>exposure to local political conditions (including the risk of seizure of assets by foreign governments);</w:t>
      </w:r>
      <w:r>
        <w:rPr>
          <w:rFonts w:eastAsia="Times New Roman"/>
          <w:color w:val="000000"/>
          <w:sz w:val="20"/>
          <w:szCs w:val="20"/>
        </w:rPr>
        <w:t xml:space="preserve"> </w:t>
      </w:r>
    </w:p>
    <w:p w14:paraId="3555CB2B" w14:textId="77777777" w:rsidR="00000000" w:rsidRDefault="00195E73">
      <w:pPr>
        <w:ind w:hanging="225"/>
        <w:divId w:val="1543858714"/>
        <w:rPr>
          <w:rFonts w:eastAsia="Times New Roman"/>
        </w:rPr>
      </w:pPr>
      <w:r>
        <w:rPr>
          <w:rFonts w:eastAsia="Times New Roman"/>
          <w:color w:val="000000"/>
          <w:sz w:val="20"/>
          <w:szCs w:val="20"/>
        </w:rPr>
        <w:t>•</w:t>
      </w:r>
      <w:r>
        <w:rPr>
          <w:rFonts w:eastAsia="Times New Roman"/>
          <w:color w:val="000000"/>
          <w:sz w:val="20"/>
          <w:szCs w:val="20"/>
        </w:rPr>
        <w:t>currency exchange rate fluctuations (including, bu</w:t>
      </w:r>
      <w:r>
        <w:rPr>
          <w:rFonts w:eastAsia="Times New Roman"/>
          <w:color w:val="000000"/>
          <w:sz w:val="20"/>
          <w:szCs w:val="20"/>
        </w:rPr>
        <w:t>t not limited to, material exchange rate fluctuations, such as devaluations) and currency controls</w:t>
      </w:r>
      <w:r>
        <w:rPr>
          <w:rFonts w:eastAsia="Times New Roman"/>
          <w:color w:val="000000"/>
          <w:sz w:val="20"/>
          <w:szCs w:val="20"/>
        </w:rPr>
        <w:t>;</w:t>
      </w:r>
    </w:p>
    <w:p w14:paraId="37600631" w14:textId="77777777" w:rsidR="00000000" w:rsidRDefault="00195E73">
      <w:pPr>
        <w:ind w:hanging="225"/>
        <w:divId w:val="342436677"/>
        <w:rPr>
          <w:rFonts w:eastAsia="Times New Roman"/>
        </w:rPr>
      </w:pPr>
      <w:r>
        <w:rPr>
          <w:rFonts w:eastAsia="Times New Roman"/>
          <w:color w:val="000000"/>
          <w:sz w:val="20"/>
          <w:szCs w:val="20"/>
        </w:rPr>
        <w:t>•</w:t>
      </w:r>
      <w:r>
        <w:rPr>
          <w:rFonts w:eastAsia="Times New Roman"/>
          <w:color w:val="000000"/>
          <w:sz w:val="20"/>
          <w:szCs w:val="20"/>
        </w:rPr>
        <w:t>export and import restrictions;</w:t>
      </w:r>
      <w:r>
        <w:rPr>
          <w:rFonts w:eastAsia="Times New Roman"/>
          <w:color w:val="000000"/>
          <w:sz w:val="20"/>
          <w:szCs w:val="20"/>
        </w:rPr>
        <w:t xml:space="preserve"> </w:t>
      </w:r>
    </w:p>
    <w:p w14:paraId="79DA49E8" w14:textId="77777777" w:rsidR="00000000" w:rsidRDefault="00195E73">
      <w:pPr>
        <w:ind w:hanging="225"/>
        <w:divId w:val="110322510"/>
        <w:rPr>
          <w:rFonts w:eastAsia="Times New Roman"/>
        </w:rPr>
      </w:pPr>
      <w:r>
        <w:rPr>
          <w:rFonts w:eastAsia="Times New Roman"/>
          <w:color w:val="000000"/>
          <w:sz w:val="20"/>
          <w:szCs w:val="20"/>
        </w:rPr>
        <w:t>•</w:t>
      </w:r>
      <w:r>
        <w:rPr>
          <w:rFonts w:eastAsia="Times New Roman"/>
          <w:color w:val="000000"/>
          <w:sz w:val="20"/>
          <w:szCs w:val="20"/>
        </w:rPr>
        <w:t>restrictions on ability to repatriate foreign earnings;</w:t>
      </w:r>
      <w:r>
        <w:rPr>
          <w:rFonts w:eastAsia="Times New Roman"/>
          <w:color w:val="000000"/>
          <w:sz w:val="20"/>
          <w:szCs w:val="20"/>
        </w:rPr>
        <w:t xml:space="preserve"> </w:t>
      </w:r>
    </w:p>
    <w:p w14:paraId="46524DC1" w14:textId="77777777" w:rsidR="00000000" w:rsidRDefault="00195E73">
      <w:pPr>
        <w:ind w:hanging="225"/>
        <w:divId w:val="1259217141"/>
        <w:rPr>
          <w:rFonts w:eastAsia="Times New Roman"/>
        </w:rPr>
      </w:pPr>
      <w:r>
        <w:rPr>
          <w:rFonts w:eastAsia="Times New Roman"/>
          <w:color w:val="000000"/>
          <w:sz w:val="20"/>
          <w:szCs w:val="20"/>
        </w:rPr>
        <w:t>•</w:t>
      </w:r>
      <w:r>
        <w:rPr>
          <w:rFonts w:eastAsia="Times New Roman"/>
          <w:color w:val="000000"/>
          <w:sz w:val="20"/>
          <w:szCs w:val="20"/>
        </w:rPr>
        <w:t>labor unrest; and</w:t>
      </w:r>
      <w:r>
        <w:rPr>
          <w:rFonts w:eastAsia="Times New Roman"/>
          <w:color w:val="000000"/>
          <w:sz w:val="20"/>
          <w:szCs w:val="20"/>
        </w:rPr>
        <w:t xml:space="preserve"> </w:t>
      </w:r>
    </w:p>
    <w:p w14:paraId="5E7DC458" w14:textId="77777777" w:rsidR="00000000" w:rsidRDefault="00195E73">
      <w:pPr>
        <w:ind w:hanging="225"/>
        <w:divId w:val="1474446266"/>
        <w:rPr>
          <w:rFonts w:eastAsia="Times New Roman"/>
        </w:rPr>
      </w:pPr>
      <w:r>
        <w:rPr>
          <w:rFonts w:eastAsia="Times New Roman"/>
          <w:color w:val="000000"/>
          <w:sz w:val="20"/>
          <w:szCs w:val="20"/>
        </w:rPr>
        <w:t>•</w:t>
      </w:r>
      <w:r>
        <w:rPr>
          <w:rFonts w:eastAsia="Times New Roman"/>
          <w:color w:val="000000"/>
          <w:sz w:val="20"/>
          <w:szCs w:val="20"/>
        </w:rPr>
        <w:t>compliance with U.S. laws such as the Forei</w:t>
      </w:r>
      <w:r>
        <w:rPr>
          <w:rFonts w:eastAsia="Times New Roman"/>
          <w:color w:val="000000"/>
          <w:sz w:val="20"/>
          <w:szCs w:val="20"/>
        </w:rPr>
        <w:t>gn Corrupt Practices Act, and local laws prohibiting inappropriate payments.</w:t>
      </w:r>
      <w:r>
        <w:rPr>
          <w:rFonts w:eastAsia="Times New Roman"/>
          <w:color w:val="000000"/>
          <w:sz w:val="20"/>
          <w:szCs w:val="20"/>
        </w:rPr>
        <w:t xml:space="preserve"> </w:t>
      </w:r>
    </w:p>
    <w:p w14:paraId="19E25F01" w14:textId="77777777" w:rsidR="00000000" w:rsidRDefault="00195E73">
      <w:pPr>
        <w:ind w:firstLine="405"/>
        <w:divId w:val="1460109280"/>
        <w:rPr>
          <w:rFonts w:eastAsia="Times New Roman"/>
        </w:rPr>
      </w:pPr>
      <w:r>
        <w:rPr>
          <w:rFonts w:eastAsia="Times New Roman"/>
          <w:color w:val="000000"/>
          <w:sz w:val="20"/>
          <w:szCs w:val="20"/>
        </w:rPr>
        <w:t>The likelihood of such occurrences and their potential effect on our businesses are unpredictable and vary from country-to-country</w:t>
      </w:r>
      <w:r>
        <w:rPr>
          <w:rFonts w:eastAsia="Times New Roman"/>
          <w:color w:val="000000"/>
          <w:sz w:val="20"/>
          <w:szCs w:val="20"/>
        </w:rPr>
        <w:t>.</w:t>
      </w:r>
    </w:p>
    <w:p w14:paraId="1C636695" w14:textId="77777777" w:rsidR="00000000" w:rsidRDefault="00195E73">
      <w:pPr>
        <w:ind w:firstLine="405"/>
        <w:divId w:val="1543713779"/>
        <w:rPr>
          <w:rFonts w:eastAsia="Times New Roman"/>
        </w:rPr>
      </w:pPr>
      <w:r>
        <w:rPr>
          <w:rFonts w:eastAsia="Times New Roman"/>
          <w:color w:val="000000"/>
          <w:sz w:val="20"/>
          <w:szCs w:val="20"/>
        </w:rPr>
        <w:t xml:space="preserve">Certain of our businesses’ operating entities </w:t>
      </w:r>
      <w:r>
        <w:rPr>
          <w:rFonts w:eastAsia="Times New Roman"/>
          <w:color w:val="000000"/>
          <w:sz w:val="20"/>
          <w:szCs w:val="20"/>
        </w:rPr>
        <w:t>report their financial condition and results of operations in currencies other than the U.S. Dollar. The reported results of these entities are translated into U.S. Dollars at the applicable exchange rates for reporting in our consolidated financial statem</w:t>
      </w:r>
      <w:r>
        <w:rPr>
          <w:rFonts w:eastAsia="Times New Roman"/>
          <w:color w:val="000000"/>
          <w:sz w:val="20"/>
          <w:szCs w:val="20"/>
        </w:rPr>
        <w:t>ents. As a result, fluctuations in the U.S. Dollar against foreign currencies will affect the value at which the results of these entities are included within our consolidated results. Our businesses are exposed to a risk of loss from changes in foreign ex</w:t>
      </w:r>
      <w:r>
        <w:rPr>
          <w:rFonts w:eastAsia="Times New Roman"/>
          <w:color w:val="000000"/>
          <w:sz w:val="20"/>
          <w:szCs w:val="20"/>
        </w:rPr>
        <w:t>change rates whenever they, or one of their foreign subsidiaries, enters into a purchase or sales agreement in a currency other than its functional currency. Such changes in exchange rates could affect our businesses’ financial condition or results of oper</w:t>
      </w:r>
      <w:r>
        <w:rPr>
          <w:rFonts w:eastAsia="Times New Roman"/>
          <w:color w:val="000000"/>
          <w:sz w:val="20"/>
          <w:szCs w:val="20"/>
        </w:rPr>
        <w:t>ations</w:t>
      </w:r>
      <w:r>
        <w:rPr>
          <w:rFonts w:eastAsia="Times New Roman"/>
          <w:color w:val="000000"/>
          <w:sz w:val="20"/>
          <w:szCs w:val="20"/>
        </w:rPr>
        <w:t>.</w:t>
      </w:r>
    </w:p>
    <w:p w14:paraId="2C6324F7" w14:textId="77777777" w:rsidR="00000000" w:rsidRDefault="00195E73">
      <w:pPr>
        <w:divId w:val="113790830"/>
        <w:rPr>
          <w:rFonts w:eastAsia="Times New Roman"/>
        </w:rPr>
      </w:pPr>
      <w:r>
        <w:rPr>
          <w:rFonts w:eastAsia="Times New Roman"/>
          <w:b/>
          <w:bCs/>
          <w:i/>
          <w:iCs/>
          <w:color w:val="000000"/>
          <w:sz w:val="20"/>
          <w:szCs w:val="20"/>
        </w:rPr>
        <w:t>Certain of our businesses have substantial indebtedness, which could restrict their business activities and/or could subject them to significant interest rate risk</w:t>
      </w:r>
      <w:r>
        <w:rPr>
          <w:rFonts w:eastAsia="Times New Roman"/>
          <w:b/>
          <w:bCs/>
          <w:i/>
          <w:iCs/>
          <w:color w:val="000000"/>
          <w:sz w:val="20"/>
          <w:szCs w:val="20"/>
        </w:rPr>
        <w:t>.</w:t>
      </w:r>
    </w:p>
    <w:p w14:paraId="728DF277" w14:textId="77777777" w:rsidR="00000000" w:rsidRDefault="00195E73">
      <w:pPr>
        <w:ind w:firstLine="405"/>
        <w:divId w:val="1263419249"/>
        <w:rPr>
          <w:rFonts w:eastAsia="Times New Roman"/>
        </w:rPr>
      </w:pPr>
      <w:r>
        <w:rPr>
          <w:rFonts w:eastAsia="Times New Roman"/>
          <w:color w:val="000000"/>
          <w:sz w:val="20"/>
          <w:szCs w:val="20"/>
        </w:rPr>
        <w:t xml:space="preserve">Our subsidiaries’ inability to generate sufficient cash flow to satisfy their debt </w:t>
      </w:r>
      <w:r>
        <w:rPr>
          <w:rFonts w:eastAsia="Times New Roman"/>
          <w:color w:val="000000"/>
          <w:sz w:val="20"/>
          <w:szCs w:val="20"/>
        </w:rPr>
        <w:t>obligations, or to refinance their debt obligations on commercially reasonable terms, would have a material adverse effect on their businesses, financial condition, and results of operations. In addition, covenants in debt instruments could limit their abi</w:t>
      </w:r>
      <w:r>
        <w:rPr>
          <w:rFonts w:eastAsia="Times New Roman"/>
          <w:color w:val="000000"/>
          <w:sz w:val="20"/>
          <w:szCs w:val="20"/>
        </w:rPr>
        <w:t>lity to engage in certain transactions and pursue their business strategies, which could adversely affect liquidity.</w:t>
      </w:r>
      <w:r>
        <w:rPr>
          <w:rFonts w:eastAsia="Times New Roman"/>
          <w:color w:val="000000"/>
          <w:sz w:val="20"/>
          <w:szCs w:val="20"/>
        </w:rPr>
        <w:t xml:space="preserve"> </w:t>
      </w:r>
    </w:p>
    <w:p w14:paraId="4A9BBE29" w14:textId="77777777" w:rsidR="00000000" w:rsidRDefault="00195E73">
      <w:pPr>
        <w:ind w:firstLine="405"/>
        <w:divId w:val="1699355729"/>
        <w:rPr>
          <w:rFonts w:eastAsia="Times New Roman"/>
        </w:rPr>
      </w:pPr>
      <w:r>
        <w:rPr>
          <w:rFonts w:eastAsia="Times New Roman"/>
          <w:color w:val="000000"/>
          <w:sz w:val="20"/>
          <w:szCs w:val="20"/>
        </w:rPr>
        <w:t>Our subsidiaries’ indebtedness could</w:t>
      </w:r>
      <w:r>
        <w:rPr>
          <w:rFonts w:eastAsia="Times New Roman"/>
          <w:color w:val="000000"/>
          <w:sz w:val="20"/>
          <w:szCs w:val="20"/>
        </w:rPr>
        <w:t>:</w:t>
      </w:r>
    </w:p>
    <w:p w14:paraId="53DAF958" w14:textId="77777777" w:rsidR="00000000" w:rsidRDefault="00195E73">
      <w:pPr>
        <w:ind w:hanging="225"/>
        <w:divId w:val="1559049573"/>
        <w:rPr>
          <w:rFonts w:eastAsia="Times New Roman"/>
        </w:rPr>
      </w:pPr>
      <w:r>
        <w:rPr>
          <w:rFonts w:eastAsia="Times New Roman"/>
          <w:color w:val="000000"/>
          <w:sz w:val="20"/>
          <w:szCs w:val="20"/>
        </w:rPr>
        <w:t>•</w:t>
      </w:r>
      <w:r>
        <w:rPr>
          <w:rFonts w:eastAsia="Times New Roman"/>
          <w:color w:val="000000"/>
          <w:sz w:val="20"/>
          <w:szCs w:val="20"/>
        </w:rPr>
        <w:t>limit their ability to borrow money for working capital, capital expenditures, debt service require</w:t>
      </w:r>
      <w:r>
        <w:rPr>
          <w:rFonts w:eastAsia="Times New Roman"/>
          <w:color w:val="000000"/>
          <w:sz w:val="20"/>
          <w:szCs w:val="20"/>
        </w:rPr>
        <w:t>ments or other corporate purposes, guarantee additional debt or issue redeemable, convertible of preferred equity</w:t>
      </w:r>
      <w:r>
        <w:rPr>
          <w:rFonts w:eastAsia="Times New Roman"/>
          <w:color w:val="000000"/>
          <w:sz w:val="20"/>
          <w:szCs w:val="20"/>
        </w:rPr>
        <w:t>;</w:t>
      </w:r>
    </w:p>
    <w:p w14:paraId="129C85A1" w14:textId="77777777" w:rsidR="00000000" w:rsidRDefault="00195E73">
      <w:pPr>
        <w:ind w:hanging="225"/>
        <w:divId w:val="1846358718"/>
        <w:rPr>
          <w:rFonts w:eastAsia="Times New Roman"/>
        </w:rPr>
      </w:pPr>
      <w:r>
        <w:rPr>
          <w:rFonts w:eastAsia="Times New Roman"/>
          <w:color w:val="000000"/>
          <w:sz w:val="20"/>
          <w:szCs w:val="20"/>
        </w:rPr>
        <w:t>•</w:t>
      </w:r>
      <w:r>
        <w:rPr>
          <w:rFonts w:eastAsia="Times New Roman"/>
          <w:color w:val="000000"/>
          <w:sz w:val="20"/>
          <w:szCs w:val="20"/>
        </w:rPr>
        <w:t>limit their ability to make distributions or prepay its debt, incur liens, enter into agreements that restrict distributions from restricted</w:t>
      </w:r>
      <w:r>
        <w:rPr>
          <w:rFonts w:eastAsia="Times New Roman"/>
          <w:color w:val="000000"/>
          <w:sz w:val="20"/>
          <w:szCs w:val="20"/>
        </w:rPr>
        <w:t xml:space="preserve"> subsidiaries, sell or otherwise dispose of assets (including capital stock of subsidiaries), enter into transactions with affiliates and merger consolidate or sell substantially all of its assets</w:t>
      </w:r>
      <w:r>
        <w:rPr>
          <w:rFonts w:eastAsia="Times New Roman"/>
          <w:color w:val="000000"/>
          <w:sz w:val="20"/>
          <w:szCs w:val="20"/>
        </w:rPr>
        <w:t>;</w:t>
      </w:r>
    </w:p>
    <w:p w14:paraId="19BF311B" w14:textId="77777777" w:rsidR="00000000" w:rsidRDefault="00195E73">
      <w:pPr>
        <w:ind w:hanging="225"/>
        <w:divId w:val="914435580"/>
        <w:rPr>
          <w:rFonts w:eastAsia="Times New Roman"/>
        </w:rPr>
      </w:pPr>
      <w:r>
        <w:rPr>
          <w:rFonts w:eastAsia="Times New Roman"/>
          <w:color w:val="000000"/>
          <w:sz w:val="20"/>
          <w:szCs w:val="20"/>
        </w:rPr>
        <w:t>•</w:t>
      </w:r>
      <w:r>
        <w:rPr>
          <w:rFonts w:eastAsia="Times New Roman"/>
          <w:color w:val="000000"/>
          <w:sz w:val="20"/>
          <w:szCs w:val="20"/>
        </w:rPr>
        <w:t>require them to dedicate a substantial portion of its cas</w:t>
      </w:r>
      <w:r>
        <w:rPr>
          <w:rFonts w:eastAsia="Times New Roman"/>
          <w:color w:val="000000"/>
          <w:sz w:val="20"/>
          <w:szCs w:val="20"/>
        </w:rPr>
        <w:t>h flow to payments on indebtedness, which would reduce the amount of cash flow available to fund working capital, capital expenditures, product development, and other corporate requirements</w:t>
      </w:r>
      <w:r>
        <w:rPr>
          <w:rFonts w:eastAsia="Times New Roman"/>
          <w:color w:val="000000"/>
          <w:sz w:val="20"/>
          <w:szCs w:val="20"/>
        </w:rPr>
        <w:t>;</w:t>
      </w:r>
    </w:p>
    <w:p w14:paraId="56CB9473" w14:textId="77777777" w:rsidR="00000000" w:rsidRDefault="00195E73">
      <w:pPr>
        <w:ind w:hanging="225"/>
        <w:divId w:val="867717456"/>
        <w:rPr>
          <w:rFonts w:eastAsia="Times New Roman"/>
        </w:rPr>
      </w:pPr>
      <w:r>
        <w:rPr>
          <w:rFonts w:eastAsia="Times New Roman"/>
          <w:color w:val="000000"/>
          <w:sz w:val="20"/>
          <w:szCs w:val="20"/>
        </w:rPr>
        <w:t>•</w:t>
      </w:r>
      <w:r>
        <w:rPr>
          <w:rFonts w:eastAsia="Times New Roman"/>
          <w:color w:val="000000"/>
          <w:sz w:val="20"/>
          <w:szCs w:val="20"/>
        </w:rPr>
        <w:t>increase their vulnerability to general adverse economic and industry conditions; an</w:t>
      </w:r>
      <w:r>
        <w:rPr>
          <w:rFonts w:eastAsia="Times New Roman"/>
          <w:color w:val="000000"/>
          <w:sz w:val="20"/>
          <w:szCs w:val="20"/>
        </w:rPr>
        <w:t>d</w:t>
      </w:r>
    </w:p>
    <w:p w14:paraId="5B0AF018" w14:textId="77777777" w:rsidR="00000000" w:rsidRDefault="00195E73">
      <w:pPr>
        <w:ind w:hanging="225"/>
        <w:divId w:val="2070806978"/>
        <w:rPr>
          <w:rFonts w:eastAsia="Times New Roman"/>
        </w:rPr>
      </w:pPr>
      <w:r>
        <w:rPr>
          <w:rFonts w:eastAsia="Times New Roman"/>
          <w:color w:val="000000"/>
          <w:sz w:val="20"/>
          <w:szCs w:val="20"/>
        </w:rPr>
        <w:t>•</w:t>
      </w:r>
      <w:r>
        <w:rPr>
          <w:rFonts w:eastAsia="Times New Roman"/>
          <w:color w:val="000000"/>
          <w:sz w:val="20"/>
          <w:szCs w:val="20"/>
        </w:rPr>
        <w:t>limit their ability to respond to business opportunities</w:t>
      </w:r>
      <w:r>
        <w:rPr>
          <w:rFonts w:eastAsia="Times New Roman"/>
          <w:color w:val="000000"/>
          <w:sz w:val="20"/>
          <w:szCs w:val="20"/>
        </w:rPr>
        <w:t>.</w:t>
      </w:r>
    </w:p>
    <w:p w14:paraId="4DA9AD46" w14:textId="77777777" w:rsidR="00000000" w:rsidRDefault="00195E73">
      <w:pPr>
        <w:jc w:val="center"/>
        <w:divId w:val="123352875"/>
        <w:rPr>
          <w:rFonts w:eastAsia="Times New Roman"/>
        </w:rPr>
      </w:pPr>
      <w:r>
        <w:rPr>
          <w:rFonts w:eastAsia="Times New Roman"/>
          <w:color w:val="000000"/>
          <w:sz w:val="20"/>
          <w:szCs w:val="20"/>
        </w:rPr>
        <w:t>2</w:t>
      </w:r>
      <w:r>
        <w:rPr>
          <w:rFonts w:eastAsia="Times New Roman"/>
          <w:color w:val="000000"/>
          <w:sz w:val="20"/>
          <w:szCs w:val="20"/>
        </w:rPr>
        <w:t>6</w:t>
      </w:r>
    </w:p>
    <w:p w14:paraId="01692722" w14:textId="77777777" w:rsidR="00000000" w:rsidRDefault="00195E73">
      <w:pPr>
        <w:rPr>
          <w:rFonts w:eastAsia="Times New Roman"/>
        </w:rPr>
      </w:pPr>
      <w:r>
        <w:rPr>
          <w:rFonts w:eastAsia="Times New Roman"/>
        </w:rPr>
        <w:pict w14:anchorId="0B974BC3">
          <v:rect id="_x0000_i1052" style="width:0;height:1.5pt" o:hralign="center" o:hrstd="t" o:hr="t" fillcolor="#a0a0a0" stroked="f"/>
        </w:pict>
      </w:r>
    </w:p>
    <w:p w14:paraId="3A0EE884" w14:textId="77777777" w:rsidR="00000000" w:rsidRDefault="00195E73">
      <w:pPr>
        <w:divId w:val="1534878200"/>
        <w:rPr>
          <w:rFonts w:eastAsia="Times New Roman"/>
        </w:rPr>
      </w:pPr>
    </w:p>
    <w:p w14:paraId="68FAED63" w14:textId="77777777" w:rsidR="00000000" w:rsidRDefault="00195E73">
      <w:pPr>
        <w:ind w:firstLine="405"/>
        <w:divId w:val="366026097"/>
        <w:rPr>
          <w:rFonts w:eastAsia="Times New Roman"/>
        </w:rPr>
      </w:pPr>
      <w:r>
        <w:rPr>
          <w:rFonts w:eastAsia="Times New Roman"/>
          <w:color w:val="000000"/>
          <w:sz w:val="20"/>
          <w:szCs w:val="20"/>
        </w:rPr>
        <w:t xml:space="preserve">Certain of our subsidiaries’ indebtedness accrue interest at variable </w:t>
      </w:r>
      <w:r>
        <w:rPr>
          <w:rFonts w:eastAsia="Times New Roman"/>
          <w:color w:val="000000"/>
          <w:sz w:val="20"/>
          <w:szCs w:val="20"/>
        </w:rPr>
        <w:t>rates. To the extent market interest rates rise, the cost of their debt would increase, adversely affecting their financial condition, results of operations and cash flows</w:t>
      </w:r>
      <w:r>
        <w:rPr>
          <w:rFonts w:eastAsia="Times New Roman"/>
          <w:color w:val="000000"/>
          <w:sz w:val="20"/>
          <w:szCs w:val="20"/>
        </w:rPr>
        <w:t>.</w:t>
      </w:r>
    </w:p>
    <w:p w14:paraId="7D71E7AC" w14:textId="77777777" w:rsidR="00000000" w:rsidRDefault="00195E73">
      <w:pPr>
        <w:divId w:val="1975408380"/>
        <w:rPr>
          <w:rFonts w:eastAsia="Times New Roman"/>
        </w:rPr>
      </w:pPr>
      <w:r>
        <w:rPr>
          <w:rFonts w:eastAsia="Times New Roman"/>
          <w:b/>
          <w:bCs/>
          <w:i/>
          <w:iCs/>
          <w:color w:val="000000"/>
          <w:sz w:val="20"/>
          <w:szCs w:val="20"/>
        </w:rPr>
        <w:t>A significant labor dispute involving any of our businesses or one or more of their</w:t>
      </w:r>
      <w:r>
        <w:rPr>
          <w:rFonts w:eastAsia="Times New Roman"/>
          <w:b/>
          <w:bCs/>
          <w:i/>
          <w:iCs/>
          <w:color w:val="000000"/>
          <w:sz w:val="20"/>
          <w:szCs w:val="20"/>
        </w:rPr>
        <w:t xml:space="preserve"> customers or suppliers or that could otherwise affect our operations could adversely affect our financial performance</w:t>
      </w:r>
      <w:r>
        <w:rPr>
          <w:rFonts w:eastAsia="Times New Roman"/>
          <w:b/>
          <w:bCs/>
          <w:i/>
          <w:iCs/>
          <w:color w:val="000000"/>
          <w:sz w:val="20"/>
          <w:szCs w:val="20"/>
        </w:rPr>
        <w:t>.</w:t>
      </w:r>
    </w:p>
    <w:p w14:paraId="15D1A33A" w14:textId="77777777" w:rsidR="00000000" w:rsidRDefault="00195E73">
      <w:pPr>
        <w:ind w:firstLine="405"/>
        <w:divId w:val="385377681"/>
        <w:rPr>
          <w:rFonts w:eastAsia="Times New Roman"/>
        </w:rPr>
      </w:pPr>
      <w:r>
        <w:rPr>
          <w:rFonts w:eastAsia="Times New Roman"/>
          <w:color w:val="000000"/>
          <w:sz w:val="20"/>
          <w:szCs w:val="20"/>
        </w:rPr>
        <w:t>A substantial number of our operating subsidiaries’ employees and the employees of its largest customers and suppliers are represented b</w:t>
      </w:r>
      <w:r>
        <w:rPr>
          <w:rFonts w:eastAsia="Times New Roman"/>
          <w:color w:val="000000"/>
          <w:sz w:val="20"/>
          <w:szCs w:val="20"/>
        </w:rPr>
        <w:t>y labor unions under collective bargaining agreements. There can be no assurances that future negotiations with the unions will be resolved favorably or that our subsidiaries will not experience a work stoppage or disruption that could adversely affect its</w:t>
      </w:r>
      <w:r>
        <w:rPr>
          <w:rFonts w:eastAsia="Times New Roman"/>
          <w:color w:val="000000"/>
          <w:sz w:val="20"/>
          <w:szCs w:val="20"/>
        </w:rPr>
        <w:t xml:space="preserve"> financial condition, operating results and cash flows. A labor dispute involving any of our businesses, particularly within our Energy segment, any of its customers or suppliers or any other suppliers to its customers or that otherwise affects our subsidi</w:t>
      </w:r>
      <w:r>
        <w:rPr>
          <w:rFonts w:eastAsia="Times New Roman"/>
          <w:color w:val="000000"/>
          <w:sz w:val="20"/>
          <w:szCs w:val="20"/>
        </w:rPr>
        <w:t>aries’ operations, or the inability by it, any of its customers or suppliers or any other suppliers to its customers to negotiate, upon the expiration of a labor agreement, an extension of such agreement or a new agreement on satisfactory terms could adver</w:t>
      </w:r>
      <w:r>
        <w:rPr>
          <w:rFonts w:eastAsia="Times New Roman"/>
          <w:color w:val="000000"/>
          <w:sz w:val="20"/>
          <w:szCs w:val="20"/>
        </w:rPr>
        <w:t>sely affect our financial condition, operating results and cash flows. In addition, if any of our subsidiaries’ significant customers experience a material work stoppage, the customer may halt or limit the purchase of its products. This could require certa</w:t>
      </w:r>
      <w:r>
        <w:rPr>
          <w:rFonts w:eastAsia="Times New Roman"/>
          <w:color w:val="000000"/>
          <w:sz w:val="20"/>
          <w:szCs w:val="20"/>
        </w:rPr>
        <w:t>in businesses to shut down or significantly reduce production at facilities relating to such products, which could adversely affect our business</w:t>
      </w:r>
      <w:r>
        <w:rPr>
          <w:rFonts w:eastAsia="Times New Roman"/>
          <w:color w:val="000000"/>
          <w:sz w:val="20"/>
          <w:szCs w:val="20"/>
        </w:rPr>
        <w:t>.</w:t>
      </w:r>
    </w:p>
    <w:p w14:paraId="266FB7B9" w14:textId="77777777" w:rsidR="00000000" w:rsidRDefault="00195E73">
      <w:pPr>
        <w:divId w:val="417554225"/>
        <w:rPr>
          <w:rFonts w:eastAsia="Times New Roman"/>
        </w:rPr>
      </w:pPr>
    </w:p>
    <w:p w14:paraId="26E7EAE8" w14:textId="77777777" w:rsidR="00000000" w:rsidRDefault="00195E73">
      <w:pPr>
        <w:divId w:val="2051374093"/>
        <w:rPr>
          <w:rFonts w:eastAsia="Times New Roman"/>
        </w:rPr>
      </w:pPr>
    </w:p>
    <w:p w14:paraId="2A2B90B0" w14:textId="77777777" w:rsidR="00000000" w:rsidRDefault="00195E73">
      <w:pPr>
        <w:divId w:val="912204443"/>
        <w:rPr>
          <w:rFonts w:eastAsia="Times New Roman"/>
        </w:rPr>
      </w:pPr>
      <w:r>
        <w:rPr>
          <w:rFonts w:eastAsia="Times New Roman"/>
          <w:b/>
          <w:bCs/>
          <w:color w:val="000000"/>
          <w:sz w:val="20"/>
          <w:szCs w:val="20"/>
        </w:rPr>
        <w:t>Item 1B. Unresolved Staff Comments</w:t>
      </w:r>
      <w:r>
        <w:rPr>
          <w:rFonts w:eastAsia="Times New Roman"/>
          <w:b/>
          <w:bCs/>
          <w:color w:val="000000"/>
          <w:sz w:val="20"/>
          <w:szCs w:val="20"/>
        </w:rPr>
        <w:t>.</w:t>
      </w:r>
    </w:p>
    <w:p w14:paraId="645A7193" w14:textId="77777777" w:rsidR="00000000" w:rsidRDefault="00195E73">
      <w:pPr>
        <w:ind w:firstLine="405"/>
        <w:divId w:val="842744847"/>
        <w:rPr>
          <w:rFonts w:eastAsia="Times New Roman"/>
        </w:rPr>
      </w:pPr>
      <w:r>
        <w:rPr>
          <w:rFonts w:eastAsia="Times New Roman"/>
          <w:color w:val="000000"/>
          <w:sz w:val="20"/>
          <w:szCs w:val="20"/>
        </w:rPr>
        <w:t>None</w:t>
      </w:r>
      <w:r>
        <w:rPr>
          <w:rFonts w:eastAsia="Times New Roman"/>
          <w:color w:val="000000"/>
          <w:sz w:val="20"/>
          <w:szCs w:val="20"/>
        </w:rPr>
        <w:t>.</w:t>
      </w:r>
    </w:p>
    <w:p w14:paraId="7CC3F2BC" w14:textId="77777777" w:rsidR="00000000" w:rsidRDefault="00195E73">
      <w:pPr>
        <w:divId w:val="147286756"/>
        <w:rPr>
          <w:rFonts w:eastAsia="Times New Roman"/>
        </w:rPr>
      </w:pPr>
    </w:p>
    <w:p w14:paraId="04440A71" w14:textId="77777777" w:rsidR="00000000" w:rsidRDefault="00195E73">
      <w:pPr>
        <w:divId w:val="1593009223"/>
        <w:rPr>
          <w:rFonts w:eastAsia="Times New Roman"/>
        </w:rPr>
      </w:pPr>
    </w:p>
    <w:p w14:paraId="41513325" w14:textId="77777777" w:rsidR="00000000" w:rsidRDefault="00195E73">
      <w:pPr>
        <w:divId w:val="604383870"/>
        <w:rPr>
          <w:rFonts w:eastAsia="Times New Roman"/>
        </w:rPr>
      </w:pPr>
      <w:r>
        <w:rPr>
          <w:rFonts w:eastAsia="Times New Roman"/>
          <w:b/>
          <w:bCs/>
          <w:color w:val="000000"/>
          <w:sz w:val="20"/>
          <w:szCs w:val="20"/>
        </w:rPr>
        <w:t>Item 2. Properties</w:t>
      </w:r>
      <w:r>
        <w:rPr>
          <w:rFonts w:eastAsia="Times New Roman"/>
          <w:b/>
          <w:bCs/>
          <w:color w:val="000000"/>
          <w:sz w:val="20"/>
          <w:szCs w:val="20"/>
        </w:rPr>
        <w:t>.</w:t>
      </w:r>
    </w:p>
    <w:p w14:paraId="6323DEB7" w14:textId="77777777" w:rsidR="00000000" w:rsidRDefault="00195E73">
      <w:pPr>
        <w:divId w:val="638192294"/>
        <w:rPr>
          <w:rFonts w:eastAsia="Times New Roman"/>
        </w:rPr>
      </w:pPr>
      <w:r>
        <w:rPr>
          <w:rFonts w:eastAsia="Times New Roman"/>
          <w:i/>
          <w:iCs/>
          <w:color w:val="000000"/>
          <w:sz w:val="20"/>
          <w:szCs w:val="20"/>
        </w:rPr>
        <w:t>Energ</w:t>
      </w:r>
      <w:r>
        <w:rPr>
          <w:rFonts w:eastAsia="Times New Roman"/>
          <w:i/>
          <w:iCs/>
          <w:color w:val="000000"/>
          <w:sz w:val="20"/>
          <w:szCs w:val="20"/>
        </w:rPr>
        <w:t>y</w:t>
      </w:r>
    </w:p>
    <w:p w14:paraId="72240F3C" w14:textId="77777777" w:rsidR="00000000" w:rsidRDefault="00195E73">
      <w:pPr>
        <w:ind w:firstLine="405"/>
        <w:divId w:val="428161887"/>
        <w:rPr>
          <w:rFonts w:eastAsia="Times New Roman"/>
        </w:rPr>
      </w:pPr>
      <w:r>
        <w:rPr>
          <w:rFonts w:eastAsia="Times New Roman"/>
          <w:color w:val="000000"/>
          <w:sz w:val="20"/>
          <w:szCs w:val="20"/>
        </w:rPr>
        <w:t>CVR Energy owns and operates two oil refineries as well as office buildings located in Coffeyville, Kansas and Wynnewood, Oklahoma. CVR Energy also owns and operates two fertilizer plants in Coffeyville, Kansas and East Dubuque, Illinois. CVR Energy owns c</w:t>
      </w:r>
      <w:r>
        <w:rPr>
          <w:rFonts w:eastAsia="Times New Roman"/>
          <w:color w:val="000000"/>
          <w:sz w:val="20"/>
          <w:szCs w:val="20"/>
        </w:rPr>
        <w:t>rude oil storage facilities in Kansas and Oklahoma, refined oil storage facilities at its Wynnewood, Oklahoma refinery location, and fertilizer storage facilities at its East Dubuque, Illinois fertilizer plant location. CVR Energy also leases additional cr</w:t>
      </w:r>
      <w:r>
        <w:rPr>
          <w:rFonts w:eastAsia="Times New Roman"/>
          <w:color w:val="000000"/>
          <w:sz w:val="20"/>
          <w:szCs w:val="20"/>
        </w:rPr>
        <w:t>ude oil storage facilities.</w:t>
      </w:r>
      <w:r>
        <w:rPr>
          <w:rFonts w:eastAsia="Times New Roman"/>
          <w:color w:val="000000"/>
          <w:sz w:val="20"/>
          <w:szCs w:val="20"/>
        </w:rPr>
        <w:t xml:space="preserve"> </w:t>
      </w:r>
    </w:p>
    <w:p w14:paraId="6C695B31" w14:textId="77777777" w:rsidR="00000000" w:rsidRDefault="00195E73">
      <w:pPr>
        <w:divId w:val="1415735934"/>
        <w:rPr>
          <w:rFonts w:eastAsia="Times New Roman"/>
        </w:rPr>
      </w:pPr>
      <w:r>
        <w:rPr>
          <w:rFonts w:eastAsia="Times New Roman"/>
          <w:i/>
          <w:iCs/>
          <w:color w:val="000000"/>
          <w:sz w:val="20"/>
          <w:szCs w:val="20"/>
        </w:rPr>
        <w:t>Automotiv</w:t>
      </w:r>
      <w:r>
        <w:rPr>
          <w:rFonts w:eastAsia="Times New Roman"/>
          <w:i/>
          <w:iCs/>
          <w:color w:val="000000"/>
          <w:sz w:val="20"/>
          <w:szCs w:val="20"/>
        </w:rPr>
        <w:t>e</w:t>
      </w:r>
    </w:p>
    <w:p w14:paraId="20DC644F" w14:textId="77777777" w:rsidR="00000000" w:rsidRDefault="00195E73">
      <w:pPr>
        <w:ind w:firstLine="405"/>
        <w:divId w:val="407532899"/>
        <w:rPr>
          <w:rFonts w:eastAsia="Times New Roman"/>
        </w:rPr>
      </w:pPr>
      <w:r>
        <w:rPr>
          <w:rFonts w:eastAsia="Times New Roman"/>
          <w:color w:val="000000"/>
          <w:sz w:val="20"/>
          <w:szCs w:val="20"/>
        </w:rPr>
        <w:t xml:space="preserve">Icahn Automotive’s operations include 1,350 company operated store locations, 754 franchise locations and 29 distributions centers throughout the United States. Approximately 90% of Icahn Automotive’s facilities are </w:t>
      </w:r>
      <w:r>
        <w:rPr>
          <w:rFonts w:eastAsia="Times New Roman"/>
          <w:color w:val="000000"/>
          <w:sz w:val="20"/>
          <w:szCs w:val="20"/>
        </w:rPr>
        <w:t>leased and the remainder are owned</w:t>
      </w:r>
      <w:r>
        <w:rPr>
          <w:rFonts w:eastAsia="Times New Roman"/>
          <w:color w:val="000000"/>
          <w:sz w:val="20"/>
          <w:szCs w:val="20"/>
        </w:rPr>
        <w:t>.</w:t>
      </w:r>
    </w:p>
    <w:p w14:paraId="4200E7C4" w14:textId="77777777" w:rsidR="00000000" w:rsidRDefault="00195E73">
      <w:pPr>
        <w:divId w:val="1886486460"/>
        <w:rPr>
          <w:rFonts w:eastAsia="Times New Roman"/>
        </w:rPr>
      </w:pPr>
      <w:r>
        <w:rPr>
          <w:rFonts w:eastAsia="Times New Roman"/>
          <w:i/>
          <w:iCs/>
          <w:color w:val="000000"/>
          <w:sz w:val="20"/>
          <w:szCs w:val="20"/>
        </w:rPr>
        <w:t>Food Packagin</w:t>
      </w:r>
      <w:r>
        <w:rPr>
          <w:rFonts w:eastAsia="Times New Roman"/>
          <w:i/>
          <w:iCs/>
          <w:color w:val="000000"/>
          <w:sz w:val="20"/>
          <w:szCs w:val="20"/>
        </w:rPr>
        <w:t>g</w:t>
      </w:r>
    </w:p>
    <w:p w14:paraId="37C82577" w14:textId="77777777" w:rsidR="00000000" w:rsidRDefault="00195E73">
      <w:pPr>
        <w:ind w:firstLine="405"/>
        <w:divId w:val="2061592818"/>
        <w:rPr>
          <w:rFonts w:eastAsia="Times New Roman"/>
        </w:rPr>
      </w:pPr>
      <w:r>
        <w:rPr>
          <w:rFonts w:eastAsia="Times New Roman"/>
          <w:color w:val="000000"/>
          <w:sz w:val="20"/>
          <w:szCs w:val="20"/>
        </w:rPr>
        <w:t>Viskase’s operations include ten manufacturing facilities throughout North America, Europe, South America and Asia</w:t>
      </w:r>
      <w:r>
        <w:rPr>
          <w:rFonts w:eastAsia="Times New Roman"/>
          <w:color w:val="000000"/>
          <w:sz w:val="20"/>
          <w:szCs w:val="20"/>
        </w:rPr>
        <w:t>.</w:t>
      </w:r>
    </w:p>
    <w:p w14:paraId="14522937" w14:textId="77777777" w:rsidR="00000000" w:rsidRDefault="00195E73">
      <w:pPr>
        <w:divId w:val="740326935"/>
        <w:rPr>
          <w:rFonts w:eastAsia="Times New Roman"/>
        </w:rPr>
      </w:pPr>
      <w:r>
        <w:rPr>
          <w:rFonts w:eastAsia="Times New Roman"/>
          <w:i/>
          <w:iCs/>
          <w:color w:val="000000"/>
          <w:sz w:val="20"/>
          <w:szCs w:val="20"/>
        </w:rPr>
        <w:t>Metal</w:t>
      </w:r>
      <w:r>
        <w:rPr>
          <w:rFonts w:eastAsia="Times New Roman"/>
          <w:i/>
          <w:iCs/>
          <w:color w:val="000000"/>
          <w:sz w:val="20"/>
          <w:szCs w:val="20"/>
        </w:rPr>
        <w:t>s</w:t>
      </w:r>
    </w:p>
    <w:p w14:paraId="2F03D46F" w14:textId="77777777" w:rsidR="00000000" w:rsidRDefault="00195E73">
      <w:pPr>
        <w:ind w:firstLine="405"/>
        <w:divId w:val="1617835271"/>
        <w:rPr>
          <w:rFonts w:eastAsia="Times New Roman"/>
        </w:rPr>
      </w:pPr>
      <w:r>
        <w:rPr>
          <w:rFonts w:eastAsia="Times New Roman"/>
          <w:color w:val="000000"/>
          <w:sz w:val="20"/>
          <w:szCs w:val="20"/>
        </w:rPr>
        <w:t>PSC Metals’ operations consist of 31 recycling yards, three secondary plate storag</w:t>
      </w:r>
      <w:r>
        <w:rPr>
          <w:rFonts w:eastAsia="Times New Roman"/>
          <w:color w:val="000000"/>
          <w:sz w:val="20"/>
          <w:szCs w:val="20"/>
        </w:rPr>
        <w:t>e and distribution centers and one secondary pipe storage and distribution center located throughout the Midwestern and Southeastern United States.</w:t>
      </w:r>
      <w:r>
        <w:rPr>
          <w:rFonts w:eastAsia="Times New Roman"/>
          <w:color w:val="000000"/>
          <w:sz w:val="20"/>
          <w:szCs w:val="20"/>
        </w:rPr>
        <w:t xml:space="preserve"> </w:t>
      </w:r>
    </w:p>
    <w:p w14:paraId="40F97BAB" w14:textId="77777777" w:rsidR="00000000" w:rsidRDefault="00195E73">
      <w:pPr>
        <w:divId w:val="1822043983"/>
        <w:rPr>
          <w:rFonts w:eastAsia="Times New Roman"/>
        </w:rPr>
      </w:pPr>
      <w:r>
        <w:rPr>
          <w:rFonts w:eastAsia="Times New Roman"/>
          <w:i/>
          <w:iCs/>
          <w:color w:val="000000"/>
          <w:sz w:val="20"/>
          <w:szCs w:val="20"/>
        </w:rPr>
        <w:t>Real Estat</w:t>
      </w:r>
      <w:r>
        <w:rPr>
          <w:rFonts w:eastAsia="Times New Roman"/>
          <w:i/>
          <w:iCs/>
          <w:color w:val="000000"/>
          <w:sz w:val="20"/>
          <w:szCs w:val="20"/>
        </w:rPr>
        <w:t>e</w:t>
      </w:r>
    </w:p>
    <w:p w14:paraId="3E0A24B1" w14:textId="77777777" w:rsidR="00000000" w:rsidRDefault="00195E73">
      <w:pPr>
        <w:ind w:firstLine="405"/>
        <w:divId w:val="1933197562"/>
        <w:rPr>
          <w:rFonts w:eastAsia="Times New Roman"/>
        </w:rPr>
      </w:pPr>
      <w:r>
        <w:rPr>
          <w:rFonts w:eastAsia="Times New Roman"/>
          <w:color w:val="000000"/>
          <w:sz w:val="20"/>
          <w:szCs w:val="20"/>
        </w:rPr>
        <w:t>Our Real Estate segment’s operations include development properties as well as golf and club op</w:t>
      </w:r>
      <w:r>
        <w:rPr>
          <w:rFonts w:eastAsia="Times New Roman"/>
          <w:color w:val="000000"/>
          <w:sz w:val="20"/>
          <w:szCs w:val="20"/>
        </w:rPr>
        <w:t>erations in Cape Cod, Massachusetts and Vero Beach, Florida. In addition, our Real Estate segment has a hotel, timeshare and casino resort property in Aruba as well as a casino property in Atlantic City, New Jersey, which ceased operations in 2014</w:t>
      </w:r>
      <w:r>
        <w:rPr>
          <w:rFonts w:eastAsia="Times New Roman"/>
          <w:color w:val="000000"/>
          <w:sz w:val="20"/>
          <w:szCs w:val="20"/>
        </w:rPr>
        <w:t>.</w:t>
      </w:r>
    </w:p>
    <w:p w14:paraId="262E5E6A" w14:textId="77777777" w:rsidR="00000000" w:rsidRDefault="00195E73">
      <w:pPr>
        <w:divId w:val="1286472780"/>
        <w:rPr>
          <w:rFonts w:eastAsia="Times New Roman"/>
        </w:rPr>
      </w:pPr>
      <w:r>
        <w:rPr>
          <w:rFonts w:eastAsia="Times New Roman"/>
          <w:i/>
          <w:iCs/>
          <w:color w:val="000000"/>
          <w:sz w:val="20"/>
          <w:szCs w:val="20"/>
        </w:rPr>
        <w:t>Home Fa</w:t>
      </w:r>
      <w:r>
        <w:rPr>
          <w:rFonts w:eastAsia="Times New Roman"/>
          <w:i/>
          <w:iCs/>
          <w:color w:val="000000"/>
          <w:sz w:val="20"/>
          <w:szCs w:val="20"/>
        </w:rPr>
        <w:t>shio</w:t>
      </w:r>
      <w:r>
        <w:rPr>
          <w:rFonts w:eastAsia="Times New Roman"/>
          <w:i/>
          <w:iCs/>
          <w:color w:val="000000"/>
          <w:sz w:val="20"/>
          <w:szCs w:val="20"/>
        </w:rPr>
        <w:t>n</w:t>
      </w:r>
    </w:p>
    <w:p w14:paraId="5BE8C041" w14:textId="77777777" w:rsidR="00000000" w:rsidRDefault="00195E73">
      <w:pPr>
        <w:ind w:firstLine="405"/>
        <w:divId w:val="1826820262"/>
        <w:rPr>
          <w:rFonts w:eastAsia="Times New Roman"/>
        </w:rPr>
      </w:pPr>
      <w:r>
        <w:rPr>
          <w:rFonts w:eastAsia="Times New Roman"/>
          <w:color w:val="000000"/>
          <w:sz w:val="20"/>
          <w:szCs w:val="20"/>
        </w:rPr>
        <w:t>WPH’s operations include a manufacturing and distribution facility in Chipley, Florida and a manufacturing facility in Bahrain, both of which are owned facilities</w:t>
      </w:r>
      <w:r>
        <w:rPr>
          <w:rFonts w:eastAsia="Times New Roman"/>
          <w:color w:val="000000"/>
          <w:sz w:val="20"/>
          <w:szCs w:val="20"/>
        </w:rPr>
        <w:t>.</w:t>
      </w:r>
    </w:p>
    <w:p w14:paraId="0B245CDA" w14:textId="77777777" w:rsidR="00000000" w:rsidRDefault="00195E73">
      <w:pPr>
        <w:divId w:val="1260021318"/>
        <w:rPr>
          <w:rFonts w:eastAsia="Times New Roman"/>
        </w:rPr>
      </w:pPr>
    </w:p>
    <w:p w14:paraId="0D0AC581" w14:textId="77777777" w:rsidR="00000000" w:rsidRDefault="00195E73">
      <w:pPr>
        <w:divId w:val="1004626234"/>
        <w:rPr>
          <w:rFonts w:eastAsia="Times New Roman"/>
        </w:rPr>
      </w:pPr>
    </w:p>
    <w:p w14:paraId="7147A314" w14:textId="77777777" w:rsidR="00000000" w:rsidRDefault="00195E73">
      <w:pPr>
        <w:divId w:val="440076111"/>
        <w:rPr>
          <w:rFonts w:eastAsia="Times New Roman"/>
        </w:rPr>
      </w:pPr>
    </w:p>
    <w:p w14:paraId="64481F77" w14:textId="77777777" w:rsidR="00000000" w:rsidRDefault="00195E73">
      <w:pPr>
        <w:jc w:val="center"/>
        <w:divId w:val="1569461341"/>
        <w:rPr>
          <w:rFonts w:eastAsia="Times New Roman"/>
        </w:rPr>
      </w:pPr>
      <w:r>
        <w:rPr>
          <w:rFonts w:eastAsia="Times New Roman"/>
          <w:color w:val="000000"/>
          <w:sz w:val="20"/>
          <w:szCs w:val="20"/>
        </w:rPr>
        <w:t>2</w:t>
      </w:r>
      <w:r>
        <w:rPr>
          <w:rFonts w:eastAsia="Times New Roman"/>
          <w:color w:val="000000"/>
          <w:sz w:val="20"/>
          <w:szCs w:val="20"/>
        </w:rPr>
        <w:t>7</w:t>
      </w:r>
    </w:p>
    <w:p w14:paraId="3DEBF2F8" w14:textId="77777777" w:rsidR="00000000" w:rsidRDefault="00195E73">
      <w:pPr>
        <w:rPr>
          <w:rFonts w:eastAsia="Times New Roman"/>
        </w:rPr>
      </w:pPr>
      <w:r>
        <w:rPr>
          <w:rFonts w:eastAsia="Times New Roman"/>
        </w:rPr>
        <w:pict w14:anchorId="46422971">
          <v:rect id="_x0000_i1053" style="width:0;height:1.5pt" o:hralign="center" o:hrstd="t" o:hr="t" fillcolor="#a0a0a0" stroked="f"/>
        </w:pict>
      </w:r>
    </w:p>
    <w:p w14:paraId="1FD4ECA9" w14:textId="77777777" w:rsidR="00000000" w:rsidRDefault="00195E73">
      <w:pPr>
        <w:divId w:val="156187279"/>
        <w:rPr>
          <w:rFonts w:eastAsia="Times New Roman"/>
        </w:rPr>
      </w:pPr>
    </w:p>
    <w:p w14:paraId="4687DDB2" w14:textId="77777777" w:rsidR="00000000" w:rsidRDefault="00195E73">
      <w:pPr>
        <w:divId w:val="702679514"/>
        <w:rPr>
          <w:rFonts w:eastAsia="Times New Roman"/>
        </w:rPr>
      </w:pPr>
      <w:r>
        <w:rPr>
          <w:rFonts w:eastAsia="Times New Roman"/>
          <w:b/>
          <w:bCs/>
          <w:color w:val="000000"/>
          <w:sz w:val="20"/>
          <w:szCs w:val="20"/>
        </w:rPr>
        <w:t>Item 3. Legal Proceedings</w:t>
      </w:r>
      <w:r>
        <w:rPr>
          <w:rFonts w:eastAsia="Times New Roman"/>
          <w:b/>
          <w:bCs/>
          <w:color w:val="000000"/>
          <w:sz w:val="20"/>
          <w:szCs w:val="20"/>
        </w:rPr>
        <w:t>.</w:t>
      </w:r>
    </w:p>
    <w:p w14:paraId="6550C862" w14:textId="77777777" w:rsidR="00000000" w:rsidRDefault="00195E73">
      <w:pPr>
        <w:ind w:firstLine="405"/>
        <w:divId w:val="1919513071"/>
        <w:rPr>
          <w:rFonts w:eastAsia="Times New Roman"/>
        </w:rPr>
      </w:pPr>
      <w:r>
        <w:rPr>
          <w:rFonts w:eastAsia="Times New Roman"/>
          <w:color w:val="000000"/>
          <w:sz w:val="20"/>
          <w:szCs w:val="20"/>
        </w:rPr>
        <w:t xml:space="preserve">We are, and will continue to be, subject to litigation from time to time in the ordinary course of our business. We also incorporate by reference into this Part I, Item 3 of this Report, the </w:t>
      </w:r>
      <w:r>
        <w:rPr>
          <w:rFonts w:eastAsia="Times New Roman"/>
          <w:color w:val="000000"/>
          <w:sz w:val="20"/>
          <w:szCs w:val="20"/>
        </w:rPr>
        <w:t>information regarding the lawsuits and proceedings described and referenced in Note 18, “Commitments and Contingencies,” to the consolidated financial statements as set forth in Item 8 of this Report.</w:t>
      </w:r>
      <w:r>
        <w:rPr>
          <w:rFonts w:eastAsia="Times New Roman"/>
          <w:color w:val="000000"/>
          <w:sz w:val="20"/>
          <w:szCs w:val="20"/>
        </w:rPr>
        <w:t xml:space="preserve"> </w:t>
      </w:r>
    </w:p>
    <w:p w14:paraId="672445D2" w14:textId="77777777" w:rsidR="00000000" w:rsidRDefault="00195E73">
      <w:pPr>
        <w:divId w:val="2139444591"/>
        <w:rPr>
          <w:rFonts w:eastAsia="Times New Roman"/>
        </w:rPr>
      </w:pPr>
    </w:p>
    <w:p w14:paraId="75976A8B" w14:textId="77777777" w:rsidR="00000000" w:rsidRDefault="00195E73">
      <w:pPr>
        <w:divId w:val="733236072"/>
        <w:rPr>
          <w:rFonts w:eastAsia="Times New Roman"/>
        </w:rPr>
      </w:pPr>
    </w:p>
    <w:p w14:paraId="4CDF4DDB" w14:textId="77777777" w:rsidR="00000000" w:rsidRDefault="00195E73">
      <w:pPr>
        <w:divId w:val="1836719477"/>
        <w:rPr>
          <w:rFonts w:eastAsia="Times New Roman"/>
        </w:rPr>
      </w:pPr>
      <w:r>
        <w:rPr>
          <w:rFonts w:eastAsia="Times New Roman"/>
          <w:b/>
          <w:bCs/>
          <w:color w:val="000000"/>
          <w:sz w:val="20"/>
          <w:szCs w:val="20"/>
        </w:rPr>
        <w:t>Item 4. Mine Safety Disclosures</w:t>
      </w:r>
      <w:r>
        <w:rPr>
          <w:rFonts w:eastAsia="Times New Roman"/>
          <w:b/>
          <w:bCs/>
          <w:color w:val="000000"/>
          <w:sz w:val="20"/>
          <w:szCs w:val="20"/>
        </w:rPr>
        <w:t>.</w:t>
      </w:r>
    </w:p>
    <w:p w14:paraId="2DBAB209" w14:textId="77777777" w:rsidR="00000000" w:rsidRDefault="00195E73">
      <w:pPr>
        <w:ind w:firstLine="405"/>
        <w:divId w:val="843668950"/>
        <w:rPr>
          <w:rFonts w:eastAsia="Times New Roman"/>
        </w:rPr>
      </w:pPr>
      <w:r>
        <w:rPr>
          <w:rFonts w:eastAsia="Times New Roman"/>
          <w:color w:val="000000"/>
          <w:sz w:val="20"/>
          <w:szCs w:val="20"/>
        </w:rPr>
        <w:t>Not applicable</w:t>
      </w:r>
      <w:r>
        <w:rPr>
          <w:rFonts w:eastAsia="Times New Roman"/>
          <w:color w:val="000000"/>
          <w:sz w:val="20"/>
          <w:szCs w:val="20"/>
        </w:rPr>
        <w:t>.</w:t>
      </w:r>
    </w:p>
    <w:p w14:paraId="6E4CD730" w14:textId="77777777" w:rsidR="00000000" w:rsidRDefault="00195E73">
      <w:pPr>
        <w:jc w:val="center"/>
        <w:rPr>
          <w:rFonts w:eastAsia="Times New Roman"/>
        </w:rPr>
      </w:pPr>
    </w:p>
    <w:p w14:paraId="14E83710" w14:textId="77777777" w:rsidR="00000000" w:rsidRDefault="00195E73">
      <w:pPr>
        <w:jc w:val="center"/>
        <w:divId w:val="1825732822"/>
        <w:rPr>
          <w:rFonts w:eastAsia="Times New Roman"/>
        </w:rPr>
      </w:pPr>
      <w:r>
        <w:rPr>
          <w:rFonts w:eastAsia="Times New Roman"/>
          <w:color w:val="000000"/>
          <w:sz w:val="20"/>
          <w:szCs w:val="20"/>
        </w:rPr>
        <w:t>2</w:t>
      </w:r>
      <w:r>
        <w:rPr>
          <w:rFonts w:eastAsia="Times New Roman"/>
          <w:color w:val="000000"/>
          <w:sz w:val="20"/>
          <w:szCs w:val="20"/>
        </w:rPr>
        <w:t>8</w:t>
      </w:r>
    </w:p>
    <w:p w14:paraId="2B952693" w14:textId="77777777" w:rsidR="00000000" w:rsidRDefault="00195E73">
      <w:pPr>
        <w:rPr>
          <w:rFonts w:eastAsia="Times New Roman"/>
        </w:rPr>
      </w:pPr>
      <w:r>
        <w:rPr>
          <w:rFonts w:eastAsia="Times New Roman"/>
        </w:rPr>
        <w:pict w14:anchorId="733CB754">
          <v:rect id="_x0000_i1054" style="width:0;height:1.5pt" o:hralign="center" o:hrstd="t" o:hr="t" fillcolor="#a0a0a0" stroked="f"/>
        </w:pict>
      </w:r>
    </w:p>
    <w:p w14:paraId="13F58D01" w14:textId="77777777" w:rsidR="00000000" w:rsidRDefault="00195E73">
      <w:pPr>
        <w:divId w:val="2040352054"/>
        <w:rPr>
          <w:rFonts w:eastAsia="Times New Roman"/>
        </w:rPr>
      </w:pPr>
    </w:p>
    <w:p w14:paraId="4E2F0A4C" w14:textId="77777777" w:rsidR="00000000" w:rsidRDefault="00195E73">
      <w:pPr>
        <w:jc w:val="center"/>
        <w:rPr>
          <w:rFonts w:eastAsia="Times New Roman"/>
        </w:rPr>
      </w:pPr>
      <w:r>
        <w:rPr>
          <w:rFonts w:eastAsia="Times New Roman"/>
          <w:b/>
          <w:bCs/>
          <w:color w:val="000000"/>
          <w:sz w:val="20"/>
          <w:szCs w:val="20"/>
        </w:rPr>
        <w:t>PART I</w:t>
      </w:r>
      <w:r>
        <w:rPr>
          <w:rFonts w:eastAsia="Times New Roman"/>
          <w:b/>
          <w:bCs/>
          <w:color w:val="000000"/>
          <w:sz w:val="20"/>
          <w:szCs w:val="20"/>
        </w:rPr>
        <w:t>I</w:t>
      </w:r>
    </w:p>
    <w:p w14:paraId="7DAAE284" w14:textId="77777777" w:rsidR="00000000" w:rsidRDefault="00195E73">
      <w:pPr>
        <w:divId w:val="1440684637"/>
        <w:rPr>
          <w:rFonts w:eastAsia="Times New Roman"/>
        </w:rPr>
      </w:pPr>
    </w:p>
    <w:p w14:paraId="1FC0EB26" w14:textId="77777777" w:rsidR="00000000" w:rsidRDefault="00195E73">
      <w:pPr>
        <w:divId w:val="1823692998"/>
        <w:rPr>
          <w:rFonts w:eastAsia="Times New Roman"/>
        </w:rPr>
      </w:pPr>
      <w:r>
        <w:rPr>
          <w:rFonts w:eastAsia="Times New Roman"/>
          <w:b/>
          <w:bCs/>
          <w:color w:val="000000"/>
          <w:sz w:val="20"/>
          <w:szCs w:val="20"/>
        </w:rPr>
        <w:t>Item 5. Market for Registrant’s Common Equity, Related Security Holder Matters and Issuer Purchases of Equity Securities.</w:t>
      </w:r>
      <w:r>
        <w:rPr>
          <w:rFonts w:eastAsia="Times New Roman"/>
          <w:b/>
          <w:bCs/>
          <w:color w:val="000000"/>
          <w:sz w:val="20"/>
          <w:szCs w:val="20"/>
        </w:rPr>
        <w:t xml:space="preserve"> </w:t>
      </w:r>
    </w:p>
    <w:p w14:paraId="4709DAC2" w14:textId="77777777" w:rsidR="00000000" w:rsidRDefault="00195E73">
      <w:pPr>
        <w:divId w:val="1120105735"/>
        <w:rPr>
          <w:rFonts w:eastAsia="Times New Roman"/>
        </w:rPr>
      </w:pPr>
      <w:r>
        <w:rPr>
          <w:rFonts w:eastAsia="Times New Roman"/>
          <w:b/>
          <w:bCs/>
          <w:i/>
          <w:iCs/>
          <w:color w:val="000000"/>
          <w:sz w:val="20"/>
          <w:szCs w:val="20"/>
        </w:rPr>
        <w:t>Market Information</w:t>
      </w:r>
      <w:r>
        <w:rPr>
          <w:rFonts w:eastAsia="Times New Roman"/>
          <w:b/>
          <w:bCs/>
          <w:i/>
          <w:iCs/>
          <w:color w:val="000000"/>
          <w:sz w:val="20"/>
          <w:szCs w:val="20"/>
        </w:rPr>
        <w:t xml:space="preserve"> </w:t>
      </w:r>
    </w:p>
    <w:p w14:paraId="601A2907" w14:textId="77777777" w:rsidR="00000000" w:rsidRDefault="00195E73">
      <w:pPr>
        <w:ind w:firstLine="405"/>
        <w:divId w:val="738023241"/>
        <w:rPr>
          <w:rFonts w:eastAsia="Times New Roman"/>
        </w:rPr>
      </w:pPr>
      <w:r>
        <w:rPr>
          <w:rFonts w:eastAsia="Times New Roman"/>
          <w:color w:val="000000"/>
          <w:sz w:val="20"/>
          <w:szCs w:val="20"/>
        </w:rPr>
        <w:t xml:space="preserve">Icahn Enterprises’ depositary units are traded on the NASDAQ </w:t>
      </w:r>
      <w:r>
        <w:rPr>
          <w:rFonts w:eastAsia="Times New Roman"/>
          <w:color w:val="000000"/>
          <w:sz w:val="20"/>
          <w:szCs w:val="20"/>
        </w:rPr>
        <w:t>Global Select Market under the symbol “IEP.”</w:t>
      </w:r>
      <w:r>
        <w:rPr>
          <w:rFonts w:eastAsia="Times New Roman"/>
          <w:color w:val="000000"/>
          <w:sz w:val="20"/>
          <w:szCs w:val="20"/>
        </w:rPr>
        <w:t xml:space="preserve"> </w:t>
      </w:r>
    </w:p>
    <w:p w14:paraId="66A4E89A" w14:textId="77777777" w:rsidR="00000000" w:rsidRDefault="00195E73">
      <w:pPr>
        <w:divId w:val="752701756"/>
        <w:rPr>
          <w:rFonts w:eastAsia="Times New Roman"/>
        </w:rPr>
      </w:pPr>
      <w:r>
        <w:rPr>
          <w:rFonts w:eastAsia="Times New Roman"/>
          <w:b/>
          <w:bCs/>
          <w:i/>
          <w:iCs/>
          <w:color w:val="000000"/>
          <w:sz w:val="20"/>
          <w:szCs w:val="20"/>
        </w:rPr>
        <w:t>Holders of Recor</w:t>
      </w:r>
      <w:r>
        <w:rPr>
          <w:rFonts w:eastAsia="Times New Roman"/>
          <w:b/>
          <w:bCs/>
          <w:i/>
          <w:iCs/>
          <w:color w:val="000000"/>
          <w:sz w:val="20"/>
          <w:szCs w:val="20"/>
        </w:rPr>
        <w:t>d</w:t>
      </w:r>
    </w:p>
    <w:p w14:paraId="5F7C4DD6" w14:textId="77777777" w:rsidR="00000000" w:rsidRDefault="00195E73">
      <w:pPr>
        <w:ind w:firstLine="405"/>
        <w:divId w:val="2023043926"/>
        <w:rPr>
          <w:rFonts w:eastAsia="Times New Roman"/>
        </w:rPr>
      </w:pPr>
      <w:r>
        <w:rPr>
          <w:rFonts w:eastAsia="Times New Roman"/>
          <w:color w:val="000000"/>
          <w:sz w:val="20"/>
          <w:szCs w:val="20"/>
        </w:rPr>
        <w:t>As of December 31, 2019, there were approximately 1,900 record holders of Icahn Enterprises’ depositary units including multiple beneficial holders at depositories, banks and brokers listed as</w:t>
      </w:r>
      <w:r>
        <w:rPr>
          <w:rFonts w:eastAsia="Times New Roman"/>
          <w:color w:val="000000"/>
          <w:sz w:val="20"/>
          <w:szCs w:val="20"/>
        </w:rPr>
        <w:t xml:space="preserve"> a single record holder in the street name of each respective depository, bank or broker</w:t>
      </w:r>
      <w:r>
        <w:rPr>
          <w:rFonts w:eastAsia="Times New Roman"/>
          <w:color w:val="000000"/>
          <w:sz w:val="20"/>
          <w:szCs w:val="20"/>
        </w:rPr>
        <w:t>.</w:t>
      </w:r>
    </w:p>
    <w:p w14:paraId="3EC2E82E" w14:textId="77777777" w:rsidR="00000000" w:rsidRDefault="00195E73">
      <w:pPr>
        <w:ind w:firstLine="405"/>
        <w:divId w:val="2063359412"/>
        <w:rPr>
          <w:rFonts w:eastAsia="Times New Roman"/>
        </w:rPr>
      </w:pPr>
      <w:r>
        <w:rPr>
          <w:rFonts w:eastAsia="Times New Roman"/>
          <w:color w:val="000000"/>
          <w:sz w:val="20"/>
          <w:szCs w:val="20"/>
        </w:rPr>
        <w:t>There were no repurchases of Icahn Enterprises’ depositary units during 2019 or 2018</w:t>
      </w:r>
      <w:r>
        <w:rPr>
          <w:rFonts w:eastAsia="Times New Roman"/>
          <w:color w:val="000000"/>
          <w:sz w:val="20"/>
          <w:szCs w:val="20"/>
        </w:rPr>
        <w:t>.</w:t>
      </w:r>
    </w:p>
    <w:p w14:paraId="5651F398" w14:textId="77777777" w:rsidR="00000000" w:rsidRDefault="00195E73">
      <w:pPr>
        <w:divId w:val="1397239258"/>
        <w:rPr>
          <w:rFonts w:eastAsia="Times New Roman"/>
        </w:rPr>
      </w:pPr>
      <w:r>
        <w:rPr>
          <w:rFonts w:eastAsia="Times New Roman"/>
          <w:b/>
          <w:bCs/>
          <w:i/>
          <w:iCs/>
          <w:color w:val="000000"/>
          <w:sz w:val="20"/>
          <w:szCs w:val="20"/>
        </w:rPr>
        <w:t>Securities Authorized for Issuance Under Equity Compensation Plan</w:t>
      </w:r>
      <w:r>
        <w:rPr>
          <w:rFonts w:eastAsia="Times New Roman"/>
          <w:b/>
          <w:bCs/>
          <w:i/>
          <w:iCs/>
          <w:color w:val="000000"/>
          <w:sz w:val="20"/>
          <w:szCs w:val="20"/>
        </w:rPr>
        <w:t>s</w:t>
      </w:r>
    </w:p>
    <w:p w14:paraId="20FAE19E" w14:textId="77777777" w:rsidR="00000000" w:rsidRDefault="00195E73">
      <w:pPr>
        <w:ind w:firstLine="450"/>
        <w:divId w:val="146477747"/>
        <w:rPr>
          <w:rFonts w:eastAsia="Times New Roman"/>
        </w:rPr>
      </w:pPr>
      <w:r>
        <w:rPr>
          <w:rFonts w:eastAsia="Times New Roman"/>
          <w:color w:val="000000"/>
          <w:sz w:val="20"/>
          <w:szCs w:val="20"/>
        </w:rPr>
        <w:t>During the fi</w:t>
      </w:r>
      <w:r>
        <w:rPr>
          <w:rFonts w:eastAsia="Times New Roman"/>
          <w:color w:val="000000"/>
          <w:sz w:val="20"/>
          <w:szCs w:val="20"/>
        </w:rPr>
        <w:t>rst quarter of 2017, the board of directors of the general partner of Icahn Enterprises unanimously approved and adopted the Icahn Enterprises L.P. 2017 Long Term Incentive Plan (the “2017 Incentive Plan”), which became effective during the first quarter o</w:t>
      </w:r>
      <w:r>
        <w:rPr>
          <w:rFonts w:eastAsia="Times New Roman"/>
          <w:color w:val="000000"/>
          <w:sz w:val="20"/>
          <w:szCs w:val="20"/>
        </w:rPr>
        <w:t>f 2017 subject to the approval by holders of a majority of Icahn Enterprises depositary units. The 2017 Incentive Plan permits us to issue depositary units and grant options, restricted units or other unit-based awards to all of our, and our affiliates’, e</w:t>
      </w:r>
      <w:r>
        <w:rPr>
          <w:rFonts w:eastAsia="Times New Roman"/>
          <w:color w:val="000000"/>
          <w:sz w:val="20"/>
          <w:szCs w:val="20"/>
        </w:rPr>
        <w:t xml:space="preserve">mployees, consultants, members and partners, as well as the three non-employee directors of our general partner. One million of Icahn Enterprises’ depositary units were initially available under the 2017 Incentive Plan. As of December 31, 2019, there were </w:t>
      </w:r>
      <w:r>
        <w:rPr>
          <w:rFonts w:eastAsia="Times New Roman"/>
          <w:color w:val="000000"/>
          <w:sz w:val="20"/>
          <w:szCs w:val="20"/>
        </w:rPr>
        <w:t>no securities to be issued upon the exercise of outstanding options, warrants or rights. The number of securities remaining available for future issuance under equity the 2017 Incentive Plan as of December 31, 2019 is 949,999 of Icahn Enterprises’ deposita</w:t>
      </w:r>
      <w:r>
        <w:rPr>
          <w:rFonts w:eastAsia="Times New Roman"/>
          <w:color w:val="000000"/>
          <w:sz w:val="20"/>
          <w:szCs w:val="20"/>
        </w:rPr>
        <w:t>ry units.</w:t>
      </w:r>
      <w:r>
        <w:rPr>
          <w:rFonts w:eastAsia="Times New Roman"/>
          <w:color w:val="000000"/>
          <w:sz w:val="20"/>
          <w:szCs w:val="20"/>
        </w:rPr>
        <w:t xml:space="preserve"> </w:t>
      </w:r>
    </w:p>
    <w:p w14:paraId="53AE243E" w14:textId="77777777" w:rsidR="00000000" w:rsidRDefault="00195E73">
      <w:pPr>
        <w:divId w:val="1733190685"/>
        <w:rPr>
          <w:rFonts w:eastAsia="Times New Roman"/>
        </w:rPr>
      </w:pPr>
    </w:p>
    <w:p w14:paraId="5AB1410E" w14:textId="77777777" w:rsidR="00000000" w:rsidRDefault="00195E73">
      <w:pPr>
        <w:divId w:val="1509521042"/>
        <w:rPr>
          <w:rFonts w:eastAsia="Times New Roman"/>
        </w:rPr>
      </w:pPr>
    </w:p>
    <w:p w14:paraId="5D198A74" w14:textId="77777777" w:rsidR="00000000" w:rsidRDefault="00195E73">
      <w:pPr>
        <w:jc w:val="center"/>
        <w:divId w:val="1621185011"/>
        <w:rPr>
          <w:rFonts w:eastAsia="Times New Roman"/>
        </w:rPr>
      </w:pPr>
      <w:r>
        <w:rPr>
          <w:rFonts w:eastAsia="Times New Roman"/>
          <w:color w:val="000000"/>
          <w:sz w:val="20"/>
          <w:szCs w:val="20"/>
        </w:rPr>
        <w:t>2</w:t>
      </w:r>
      <w:r>
        <w:rPr>
          <w:rFonts w:eastAsia="Times New Roman"/>
          <w:color w:val="000000"/>
          <w:sz w:val="20"/>
          <w:szCs w:val="20"/>
        </w:rPr>
        <w:t>9</w:t>
      </w:r>
    </w:p>
    <w:p w14:paraId="37E17236" w14:textId="77777777" w:rsidR="00000000" w:rsidRDefault="00195E73">
      <w:pPr>
        <w:rPr>
          <w:rFonts w:eastAsia="Times New Roman"/>
        </w:rPr>
      </w:pPr>
      <w:r>
        <w:rPr>
          <w:rFonts w:eastAsia="Times New Roman"/>
        </w:rPr>
        <w:pict w14:anchorId="7B520534">
          <v:rect id="_x0000_i1055" style="width:0;height:1.5pt" o:hralign="center" o:hrstd="t" o:hr="t" fillcolor="#a0a0a0" stroked="f"/>
        </w:pict>
      </w:r>
    </w:p>
    <w:p w14:paraId="5EE754F0" w14:textId="77777777" w:rsidR="00000000" w:rsidRDefault="00195E73">
      <w:pPr>
        <w:divId w:val="1247496040"/>
        <w:rPr>
          <w:rFonts w:eastAsia="Times New Roman"/>
        </w:rPr>
      </w:pPr>
    </w:p>
    <w:p w14:paraId="6BB2546D" w14:textId="77777777" w:rsidR="00000000" w:rsidRDefault="00195E73">
      <w:pPr>
        <w:divId w:val="268047093"/>
        <w:rPr>
          <w:rFonts w:eastAsia="Times New Roman"/>
        </w:rPr>
      </w:pPr>
      <w:r>
        <w:rPr>
          <w:rFonts w:eastAsia="Times New Roman"/>
          <w:b/>
          <w:bCs/>
          <w:color w:val="000000"/>
          <w:sz w:val="20"/>
          <w:szCs w:val="20"/>
        </w:rPr>
        <w:t>Item 6. Selected Financial Data</w:t>
      </w:r>
      <w:r>
        <w:rPr>
          <w:rFonts w:eastAsia="Times New Roman"/>
          <w:b/>
          <w:bCs/>
          <w:color w:val="000000"/>
          <w:sz w:val="20"/>
          <w:szCs w:val="20"/>
        </w:rPr>
        <w:t>.</w:t>
      </w:r>
    </w:p>
    <w:p w14:paraId="335DC040" w14:textId="77777777" w:rsidR="00000000" w:rsidRDefault="00195E73">
      <w:pPr>
        <w:ind w:firstLine="405"/>
        <w:divId w:val="1479690673"/>
        <w:rPr>
          <w:rFonts w:eastAsia="Times New Roman"/>
        </w:rPr>
      </w:pPr>
      <w:r>
        <w:rPr>
          <w:rFonts w:eastAsia="Times New Roman"/>
          <w:color w:val="000000"/>
          <w:sz w:val="20"/>
          <w:szCs w:val="20"/>
        </w:rPr>
        <w:t>The following tables contain our selected historical consolidated financial data from continuing operations, which should be read in conjunction with our consolidated financial statements and the related notes thereto, and Management’s Discussion and Analy</w:t>
      </w:r>
      <w:r>
        <w:rPr>
          <w:rFonts w:eastAsia="Times New Roman"/>
          <w:color w:val="000000"/>
          <w:sz w:val="20"/>
          <w:szCs w:val="20"/>
        </w:rPr>
        <w:t>sis of Financial Condition and Results of Operations contained in this Report. The selected financial data has been derived from our historical financial statements, recasted for discontinued operations, as applicable, as well as our Energy segment’s accou</w:t>
      </w:r>
      <w:r>
        <w:rPr>
          <w:rFonts w:eastAsia="Times New Roman"/>
          <w:color w:val="000000"/>
          <w:sz w:val="20"/>
          <w:szCs w:val="20"/>
        </w:rPr>
        <w:t>nting change for turnaround expenses. The comparability of our selected financial data from continuing operations presented below is affected by, among other factors, (i) the performance of the Investment Funds, (ii) the results of our Energy segment’s ope</w:t>
      </w:r>
      <w:r>
        <w:rPr>
          <w:rFonts w:eastAsia="Times New Roman"/>
          <w:color w:val="000000"/>
          <w:sz w:val="20"/>
          <w:szCs w:val="20"/>
        </w:rPr>
        <w:t>rations, impacted by the relationship of its refined product prices and prices for crude oil and other feedstocks, (iii) impairment charges, primarily in our Automotive segment in 2018, our Energy segment in 2016 and 2015 and our Mining segment in 2015, (i</w:t>
      </w:r>
      <w:r>
        <w:rPr>
          <w:rFonts w:eastAsia="Times New Roman"/>
          <w:color w:val="000000"/>
          <w:sz w:val="20"/>
          <w:szCs w:val="20"/>
        </w:rPr>
        <w:t xml:space="preserve">v) acquisitions of businesses, primarily in our Automotive segment during 2017, 2016 and 2015, (v) gains on dispositions of assets, primarily in our Railcar and Real Estate segments in 2017, including the impact of the disposed income generating assets on </w:t>
      </w:r>
      <w:r>
        <w:rPr>
          <w:rFonts w:eastAsia="Times New Roman"/>
          <w:color w:val="000000"/>
          <w:sz w:val="20"/>
          <w:szCs w:val="20"/>
        </w:rPr>
        <w:t>subsequent operations, and in our Mining segment as a result of the sale of Ferrous Resources in 2019, (vi) our Holding Company’s unrealized equity investment gains and losses and (vii) the enactment of tax legislation in the United States in 2017.</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1071"/>
        <w:gridCol w:w="45"/>
        <w:gridCol w:w="115"/>
        <w:gridCol w:w="482"/>
        <w:gridCol w:w="75"/>
        <w:gridCol w:w="36"/>
        <w:gridCol w:w="36"/>
        <w:gridCol w:w="36"/>
        <w:gridCol w:w="115"/>
        <w:gridCol w:w="495"/>
        <w:gridCol w:w="75"/>
        <w:gridCol w:w="36"/>
        <w:gridCol w:w="36"/>
        <w:gridCol w:w="36"/>
        <w:gridCol w:w="115"/>
        <w:gridCol w:w="415"/>
        <w:gridCol w:w="75"/>
        <w:gridCol w:w="36"/>
        <w:gridCol w:w="36"/>
        <w:gridCol w:w="36"/>
        <w:gridCol w:w="115"/>
        <w:gridCol w:w="482"/>
        <w:gridCol w:w="75"/>
        <w:gridCol w:w="36"/>
        <w:gridCol w:w="36"/>
        <w:gridCol w:w="36"/>
        <w:gridCol w:w="115"/>
        <w:gridCol w:w="415"/>
        <w:gridCol w:w="75"/>
        <w:gridCol w:w="36"/>
        <w:gridCol w:w="36"/>
        <w:gridCol w:w="36"/>
        <w:gridCol w:w="115"/>
        <w:gridCol w:w="482"/>
        <w:gridCol w:w="75"/>
        <w:gridCol w:w="36"/>
        <w:gridCol w:w="36"/>
        <w:gridCol w:w="36"/>
        <w:gridCol w:w="115"/>
        <w:gridCol w:w="495"/>
        <w:gridCol w:w="75"/>
        <w:gridCol w:w="36"/>
        <w:gridCol w:w="36"/>
        <w:gridCol w:w="36"/>
        <w:gridCol w:w="115"/>
        <w:gridCol w:w="415"/>
        <w:gridCol w:w="75"/>
        <w:gridCol w:w="36"/>
        <w:gridCol w:w="36"/>
        <w:gridCol w:w="36"/>
        <w:gridCol w:w="115"/>
        <w:gridCol w:w="482"/>
        <w:gridCol w:w="75"/>
        <w:gridCol w:w="36"/>
        <w:gridCol w:w="36"/>
        <w:gridCol w:w="36"/>
        <w:gridCol w:w="115"/>
        <w:gridCol w:w="415"/>
        <w:gridCol w:w="75"/>
        <w:gridCol w:w="389"/>
        <w:gridCol w:w="389"/>
        <w:gridCol w:w="36"/>
      </w:tblGrid>
      <w:tr w:rsidR="00000000" w14:paraId="50B09880" w14:textId="77777777">
        <w:trPr>
          <w:gridAfter w:val="3"/>
          <w:divId w:val="10837737"/>
          <w:jc w:val="center"/>
        </w:trPr>
        <w:tc>
          <w:tcPr>
            <w:tcW w:w="50" w:type="pct"/>
            <w:vAlign w:val="center"/>
            <w:hideMark/>
          </w:tcPr>
          <w:p w14:paraId="2EA52B65" w14:textId="77777777" w:rsidR="00000000" w:rsidRDefault="00195E73">
            <w:pPr>
              <w:ind w:firstLine="405"/>
              <w:rPr>
                <w:rFonts w:eastAsia="Times New Roman"/>
              </w:rPr>
            </w:pPr>
          </w:p>
        </w:tc>
        <w:tc>
          <w:tcPr>
            <w:tcW w:w="1200" w:type="pct"/>
            <w:vAlign w:val="center"/>
            <w:hideMark/>
          </w:tcPr>
          <w:p w14:paraId="117E9ADC" w14:textId="77777777" w:rsidR="00000000" w:rsidRDefault="00195E73">
            <w:pPr>
              <w:rPr>
                <w:rFonts w:eastAsia="Times New Roman"/>
                <w:sz w:val="20"/>
                <w:szCs w:val="20"/>
              </w:rPr>
            </w:pPr>
          </w:p>
        </w:tc>
        <w:tc>
          <w:tcPr>
            <w:tcW w:w="50" w:type="pct"/>
            <w:vAlign w:val="center"/>
            <w:hideMark/>
          </w:tcPr>
          <w:p w14:paraId="4107A33E" w14:textId="77777777" w:rsidR="00000000" w:rsidRDefault="00195E73">
            <w:pPr>
              <w:rPr>
                <w:rFonts w:eastAsia="Times New Roman"/>
                <w:sz w:val="20"/>
                <w:szCs w:val="20"/>
              </w:rPr>
            </w:pPr>
          </w:p>
        </w:tc>
        <w:tc>
          <w:tcPr>
            <w:tcW w:w="50" w:type="pct"/>
            <w:vAlign w:val="center"/>
            <w:hideMark/>
          </w:tcPr>
          <w:p w14:paraId="5D0E59A3" w14:textId="77777777" w:rsidR="00000000" w:rsidRDefault="00195E73">
            <w:pPr>
              <w:rPr>
                <w:rFonts w:eastAsia="Times New Roman"/>
                <w:sz w:val="20"/>
                <w:szCs w:val="20"/>
              </w:rPr>
            </w:pPr>
          </w:p>
        </w:tc>
        <w:tc>
          <w:tcPr>
            <w:tcW w:w="237" w:type="pct"/>
            <w:vAlign w:val="center"/>
            <w:hideMark/>
          </w:tcPr>
          <w:p w14:paraId="0A91B36F" w14:textId="77777777" w:rsidR="00000000" w:rsidRDefault="00195E73">
            <w:pPr>
              <w:rPr>
                <w:rFonts w:eastAsia="Times New Roman"/>
                <w:sz w:val="20"/>
                <w:szCs w:val="20"/>
              </w:rPr>
            </w:pPr>
          </w:p>
        </w:tc>
        <w:tc>
          <w:tcPr>
            <w:tcW w:w="50" w:type="pct"/>
            <w:vAlign w:val="center"/>
            <w:hideMark/>
          </w:tcPr>
          <w:p w14:paraId="129D6E69" w14:textId="77777777" w:rsidR="00000000" w:rsidRDefault="00195E73">
            <w:pPr>
              <w:rPr>
                <w:rFonts w:eastAsia="Times New Roman"/>
                <w:sz w:val="20"/>
                <w:szCs w:val="20"/>
              </w:rPr>
            </w:pPr>
          </w:p>
        </w:tc>
        <w:tc>
          <w:tcPr>
            <w:tcW w:w="5" w:type="pct"/>
            <w:vAlign w:val="center"/>
            <w:hideMark/>
          </w:tcPr>
          <w:p w14:paraId="3CA177C1" w14:textId="77777777" w:rsidR="00000000" w:rsidRDefault="00195E73">
            <w:pPr>
              <w:rPr>
                <w:rFonts w:eastAsia="Times New Roman"/>
                <w:sz w:val="20"/>
                <w:szCs w:val="20"/>
              </w:rPr>
            </w:pPr>
          </w:p>
        </w:tc>
        <w:tc>
          <w:tcPr>
            <w:tcW w:w="25" w:type="pct"/>
            <w:vAlign w:val="center"/>
            <w:hideMark/>
          </w:tcPr>
          <w:p w14:paraId="197BF724" w14:textId="77777777" w:rsidR="00000000" w:rsidRDefault="00195E73">
            <w:pPr>
              <w:rPr>
                <w:rFonts w:eastAsia="Times New Roman"/>
                <w:sz w:val="20"/>
                <w:szCs w:val="20"/>
              </w:rPr>
            </w:pPr>
          </w:p>
        </w:tc>
        <w:tc>
          <w:tcPr>
            <w:tcW w:w="5" w:type="pct"/>
            <w:vAlign w:val="center"/>
            <w:hideMark/>
          </w:tcPr>
          <w:p w14:paraId="43C4D341" w14:textId="77777777" w:rsidR="00000000" w:rsidRDefault="00195E73">
            <w:pPr>
              <w:rPr>
                <w:rFonts w:eastAsia="Times New Roman"/>
                <w:sz w:val="20"/>
                <w:szCs w:val="20"/>
              </w:rPr>
            </w:pPr>
          </w:p>
        </w:tc>
        <w:tc>
          <w:tcPr>
            <w:tcW w:w="50" w:type="pct"/>
            <w:vAlign w:val="center"/>
            <w:hideMark/>
          </w:tcPr>
          <w:p w14:paraId="70E940C6" w14:textId="77777777" w:rsidR="00000000" w:rsidRDefault="00195E73">
            <w:pPr>
              <w:rPr>
                <w:rFonts w:eastAsia="Times New Roman"/>
                <w:sz w:val="20"/>
                <w:szCs w:val="20"/>
              </w:rPr>
            </w:pPr>
          </w:p>
        </w:tc>
        <w:tc>
          <w:tcPr>
            <w:tcW w:w="237" w:type="pct"/>
            <w:vAlign w:val="center"/>
            <w:hideMark/>
          </w:tcPr>
          <w:p w14:paraId="3F66D5CE" w14:textId="77777777" w:rsidR="00000000" w:rsidRDefault="00195E73">
            <w:pPr>
              <w:rPr>
                <w:rFonts w:eastAsia="Times New Roman"/>
                <w:sz w:val="20"/>
                <w:szCs w:val="20"/>
              </w:rPr>
            </w:pPr>
          </w:p>
        </w:tc>
        <w:tc>
          <w:tcPr>
            <w:tcW w:w="50" w:type="pct"/>
            <w:vAlign w:val="center"/>
            <w:hideMark/>
          </w:tcPr>
          <w:p w14:paraId="67250CA3" w14:textId="77777777" w:rsidR="00000000" w:rsidRDefault="00195E73">
            <w:pPr>
              <w:rPr>
                <w:rFonts w:eastAsia="Times New Roman"/>
                <w:sz w:val="20"/>
                <w:szCs w:val="20"/>
              </w:rPr>
            </w:pPr>
          </w:p>
        </w:tc>
        <w:tc>
          <w:tcPr>
            <w:tcW w:w="5" w:type="pct"/>
            <w:vAlign w:val="center"/>
            <w:hideMark/>
          </w:tcPr>
          <w:p w14:paraId="1362AA06" w14:textId="77777777" w:rsidR="00000000" w:rsidRDefault="00195E73">
            <w:pPr>
              <w:rPr>
                <w:rFonts w:eastAsia="Times New Roman"/>
                <w:sz w:val="20"/>
                <w:szCs w:val="20"/>
              </w:rPr>
            </w:pPr>
          </w:p>
        </w:tc>
        <w:tc>
          <w:tcPr>
            <w:tcW w:w="25" w:type="pct"/>
            <w:vAlign w:val="center"/>
            <w:hideMark/>
          </w:tcPr>
          <w:p w14:paraId="4B2175BB" w14:textId="77777777" w:rsidR="00000000" w:rsidRDefault="00195E73">
            <w:pPr>
              <w:rPr>
                <w:rFonts w:eastAsia="Times New Roman"/>
                <w:sz w:val="20"/>
                <w:szCs w:val="20"/>
              </w:rPr>
            </w:pPr>
          </w:p>
        </w:tc>
        <w:tc>
          <w:tcPr>
            <w:tcW w:w="5" w:type="pct"/>
            <w:vAlign w:val="center"/>
            <w:hideMark/>
          </w:tcPr>
          <w:p w14:paraId="5DAE60B2" w14:textId="77777777" w:rsidR="00000000" w:rsidRDefault="00195E73">
            <w:pPr>
              <w:rPr>
                <w:rFonts w:eastAsia="Times New Roman"/>
                <w:sz w:val="20"/>
                <w:szCs w:val="20"/>
              </w:rPr>
            </w:pPr>
          </w:p>
        </w:tc>
        <w:tc>
          <w:tcPr>
            <w:tcW w:w="50" w:type="pct"/>
            <w:vAlign w:val="center"/>
            <w:hideMark/>
          </w:tcPr>
          <w:p w14:paraId="05C07DBC" w14:textId="77777777" w:rsidR="00000000" w:rsidRDefault="00195E73">
            <w:pPr>
              <w:rPr>
                <w:rFonts w:eastAsia="Times New Roman"/>
                <w:sz w:val="20"/>
                <w:szCs w:val="20"/>
              </w:rPr>
            </w:pPr>
          </w:p>
        </w:tc>
        <w:tc>
          <w:tcPr>
            <w:tcW w:w="237" w:type="pct"/>
            <w:vAlign w:val="center"/>
            <w:hideMark/>
          </w:tcPr>
          <w:p w14:paraId="44A44C72" w14:textId="77777777" w:rsidR="00000000" w:rsidRDefault="00195E73">
            <w:pPr>
              <w:rPr>
                <w:rFonts w:eastAsia="Times New Roman"/>
                <w:sz w:val="20"/>
                <w:szCs w:val="20"/>
              </w:rPr>
            </w:pPr>
          </w:p>
        </w:tc>
        <w:tc>
          <w:tcPr>
            <w:tcW w:w="50" w:type="pct"/>
            <w:vAlign w:val="center"/>
            <w:hideMark/>
          </w:tcPr>
          <w:p w14:paraId="6E157F43" w14:textId="77777777" w:rsidR="00000000" w:rsidRDefault="00195E73">
            <w:pPr>
              <w:rPr>
                <w:rFonts w:eastAsia="Times New Roman"/>
                <w:sz w:val="20"/>
                <w:szCs w:val="20"/>
              </w:rPr>
            </w:pPr>
          </w:p>
        </w:tc>
        <w:tc>
          <w:tcPr>
            <w:tcW w:w="5" w:type="pct"/>
            <w:vAlign w:val="center"/>
            <w:hideMark/>
          </w:tcPr>
          <w:p w14:paraId="49C022FA" w14:textId="77777777" w:rsidR="00000000" w:rsidRDefault="00195E73">
            <w:pPr>
              <w:rPr>
                <w:rFonts w:eastAsia="Times New Roman"/>
                <w:sz w:val="20"/>
                <w:szCs w:val="20"/>
              </w:rPr>
            </w:pPr>
          </w:p>
        </w:tc>
        <w:tc>
          <w:tcPr>
            <w:tcW w:w="25" w:type="pct"/>
            <w:vAlign w:val="center"/>
            <w:hideMark/>
          </w:tcPr>
          <w:p w14:paraId="6B0AB18D" w14:textId="77777777" w:rsidR="00000000" w:rsidRDefault="00195E73">
            <w:pPr>
              <w:rPr>
                <w:rFonts w:eastAsia="Times New Roman"/>
                <w:sz w:val="20"/>
                <w:szCs w:val="20"/>
              </w:rPr>
            </w:pPr>
          </w:p>
        </w:tc>
        <w:tc>
          <w:tcPr>
            <w:tcW w:w="5" w:type="pct"/>
            <w:vAlign w:val="center"/>
            <w:hideMark/>
          </w:tcPr>
          <w:p w14:paraId="144A5B2C" w14:textId="77777777" w:rsidR="00000000" w:rsidRDefault="00195E73">
            <w:pPr>
              <w:rPr>
                <w:rFonts w:eastAsia="Times New Roman"/>
                <w:sz w:val="20"/>
                <w:szCs w:val="20"/>
              </w:rPr>
            </w:pPr>
          </w:p>
        </w:tc>
        <w:tc>
          <w:tcPr>
            <w:tcW w:w="50" w:type="pct"/>
            <w:vAlign w:val="center"/>
            <w:hideMark/>
          </w:tcPr>
          <w:p w14:paraId="03985EA9" w14:textId="77777777" w:rsidR="00000000" w:rsidRDefault="00195E73">
            <w:pPr>
              <w:rPr>
                <w:rFonts w:eastAsia="Times New Roman"/>
                <w:sz w:val="20"/>
                <w:szCs w:val="20"/>
              </w:rPr>
            </w:pPr>
          </w:p>
        </w:tc>
        <w:tc>
          <w:tcPr>
            <w:tcW w:w="237" w:type="pct"/>
            <w:vAlign w:val="center"/>
            <w:hideMark/>
          </w:tcPr>
          <w:p w14:paraId="07742B4D" w14:textId="77777777" w:rsidR="00000000" w:rsidRDefault="00195E73">
            <w:pPr>
              <w:rPr>
                <w:rFonts w:eastAsia="Times New Roman"/>
                <w:sz w:val="20"/>
                <w:szCs w:val="20"/>
              </w:rPr>
            </w:pPr>
          </w:p>
        </w:tc>
        <w:tc>
          <w:tcPr>
            <w:tcW w:w="50" w:type="pct"/>
            <w:vAlign w:val="center"/>
            <w:hideMark/>
          </w:tcPr>
          <w:p w14:paraId="0EADDB67" w14:textId="77777777" w:rsidR="00000000" w:rsidRDefault="00195E73">
            <w:pPr>
              <w:rPr>
                <w:rFonts w:eastAsia="Times New Roman"/>
                <w:sz w:val="20"/>
                <w:szCs w:val="20"/>
              </w:rPr>
            </w:pPr>
          </w:p>
        </w:tc>
        <w:tc>
          <w:tcPr>
            <w:tcW w:w="5" w:type="pct"/>
            <w:vAlign w:val="center"/>
            <w:hideMark/>
          </w:tcPr>
          <w:p w14:paraId="3EC6BB43" w14:textId="77777777" w:rsidR="00000000" w:rsidRDefault="00195E73">
            <w:pPr>
              <w:rPr>
                <w:rFonts w:eastAsia="Times New Roman"/>
                <w:sz w:val="20"/>
                <w:szCs w:val="20"/>
              </w:rPr>
            </w:pPr>
          </w:p>
        </w:tc>
        <w:tc>
          <w:tcPr>
            <w:tcW w:w="25" w:type="pct"/>
            <w:vAlign w:val="center"/>
            <w:hideMark/>
          </w:tcPr>
          <w:p w14:paraId="690ABFB2" w14:textId="77777777" w:rsidR="00000000" w:rsidRDefault="00195E73">
            <w:pPr>
              <w:rPr>
                <w:rFonts w:eastAsia="Times New Roman"/>
                <w:sz w:val="20"/>
                <w:szCs w:val="20"/>
              </w:rPr>
            </w:pPr>
          </w:p>
        </w:tc>
        <w:tc>
          <w:tcPr>
            <w:tcW w:w="5" w:type="pct"/>
            <w:vAlign w:val="center"/>
            <w:hideMark/>
          </w:tcPr>
          <w:p w14:paraId="5C68FF02" w14:textId="77777777" w:rsidR="00000000" w:rsidRDefault="00195E73">
            <w:pPr>
              <w:rPr>
                <w:rFonts w:eastAsia="Times New Roman"/>
                <w:sz w:val="20"/>
                <w:szCs w:val="20"/>
              </w:rPr>
            </w:pPr>
          </w:p>
        </w:tc>
        <w:tc>
          <w:tcPr>
            <w:tcW w:w="50" w:type="pct"/>
            <w:vAlign w:val="center"/>
            <w:hideMark/>
          </w:tcPr>
          <w:p w14:paraId="430BC66B" w14:textId="77777777" w:rsidR="00000000" w:rsidRDefault="00195E73">
            <w:pPr>
              <w:rPr>
                <w:rFonts w:eastAsia="Times New Roman"/>
                <w:sz w:val="20"/>
                <w:szCs w:val="20"/>
              </w:rPr>
            </w:pPr>
          </w:p>
        </w:tc>
        <w:tc>
          <w:tcPr>
            <w:tcW w:w="237" w:type="pct"/>
            <w:vAlign w:val="center"/>
            <w:hideMark/>
          </w:tcPr>
          <w:p w14:paraId="35C7D6C8" w14:textId="77777777" w:rsidR="00000000" w:rsidRDefault="00195E73">
            <w:pPr>
              <w:rPr>
                <w:rFonts w:eastAsia="Times New Roman"/>
                <w:sz w:val="20"/>
                <w:szCs w:val="20"/>
              </w:rPr>
            </w:pPr>
          </w:p>
        </w:tc>
        <w:tc>
          <w:tcPr>
            <w:tcW w:w="50" w:type="pct"/>
            <w:vAlign w:val="center"/>
            <w:hideMark/>
          </w:tcPr>
          <w:p w14:paraId="4E877D50" w14:textId="77777777" w:rsidR="00000000" w:rsidRDefault="00195E73">
            <w:pPr>
              <w:rPr>
                <w:rFonts w:eastAsia="Times New Roman"/>
                <w:sz w:val="20"/>
                <w:szCs w:val="20"/>
              </w:rPr>
            </w:pPr>
          </w:p>
        </w:tc>
        <w:tc>
          <w:tcPr>
            <w:tcW w:w="5" w:type="pct"/>
            <w:vAlign w:val="center"/>
            <w:hideMark/>
          </w:tcPr>
          <w:p w14:paraId="3EDF4AEB" w14:textId="77777777" w:rsidR="00000000" w:rsidRDefault="00195E73">
            <w:pPr>
              <w:rPr>
                <w:rFonts w:eastAsia="Times New Roman"/>
                <w:sz w:val="20"/>
                <w:szCs w:val="20"/>
              </w:rPr>
            </w:pPr>
          </w:p>
        </w:tc>
        <w:tc>
          <w:tcPr>
            <w:tcW w:w="25" w:type="pct"/>
            <w:vAlign w:val="center"/>
            <w:hideMark/>
          </w:tcPr>
          <w:p w14:paraId="1749DF95" w14:textId="77777777" w:rsidR="00000000" w:rsidRDefault="00195E73">
            <w:pPr>
              <w:rPr>
                <w:rFonts w:eastAsia="Times New Roman"/>
                <w:sz w:val="20"/>
                <w:szCs w:val="20"/>
              </w:rPr>
            </w:pPr>
          </w:p>
        </w:tc>
        <w:tc>
          <w:tcPr>
            <w:tcW w:w="5" w:type="pct"/>
            <w:vAlign w:val="center"/>
            <w:hideMark/>
          </w:tcPr>
          <w:p w14:paraId="0813122D" w14:textId="77777777" w:rsidR="00000000" w:rsidRDefault="00195E73">
            <w:pPr>
              <w:rPr>
                <w:rFonts w:eastAsia="Times New Roman"/>
                <w:sz w:val="20"/>
                <w:szCs w:val="20"/>
              </w:rPr>
            </w:pPr>
          </w:p>
        </w:tc>
        <w:tc>
          <w:tcPr>
            <w:tcW w:w="50" w:type="pct"/>
            <w:vAlign w:val="center"/>
            <w:hideMark/>
          </w:tcPr>
          <w:p w14:paraId="5EAD00EB" w14:textId="77777777" w:rsidR="00000000" w:rsidRDefault="00195E73">
            <w:pPr>
              <w:rPr>
                <w:rFonts w:eastAsia="Times New Roman"/>
                <w:sz w:val="20"/>
                <w:szCs w:val="20"/>
              </w:rPr>
            </w:pPr>
          </w:p>
        </w:tc>
        <w:tc>
          <w:tcPr>
            <w:tcW w:w="237" w:type="pct"/>
            <w:vAlign w:val="center"/>
            <w:hideMark/>
          </w:tcPr>
          <w:p w14:paraId="2E091688" w14:textId="77777777" w:rsidR="00000000" w:rsidRDefault="00195E73">
            <w:pPr>
              <w:rPr>
                <w:rFonts w:eastAsia="Times New Roman"/>
                <w:sz w:val="20"/>
                <w:szCs w:val="20"/>
              </w:rPr>
            </w:pPr>
          </w:p>
        </w:tc>
        <w:tc>
          <w:tcPr>
            <w:tcW w:w="50" w:type="pct"/>
            <w:vAlign w:val="center"/>
            <w:hideMark/>
          </w:tcPr>
          <w:p w14:paraId="2DB22D1C" w14:textId="77777777" w:rsidR="00000000" w:rsidRDefault="00195E73">
            <w:pPr>
              <w:rPr>
                <w:rFonts w:eastAsia="Times New Roman"/>
                <w:sz w:val="20"/>
                <w:szCs w:val="20"/>
              </w:rPr>
            </w:pPr>
          </w:p>
        </w:tc>
        <w:tc>
          <w:tcPr>
            <w:tcW w:w="5" w:type="pct"/>
            <w:vAlign w:val="center"/>
            <w:hideMark/>
          </w:tcPr>
          <w:p w14:paraId="27794C83" w14:textId="77777777" w:rsidR="00000000" w:rsidRDefault="00195E73">
            <w:pPr>
              <w:rPr>
                <w:rFonts w:eastAsia="Times New Roman"/>
                <w:sz w:val="20"/>
                <w:szCs w:val="20"/>
              </w:rPr>
            </w:pPr>
          </w:p>
        </w:tc>
        <w:tc>
          <w:tcPr>
            <w:tcW w:w="25" w:type="pct"/>
            <w:vAlign w:val="center"/>
            <w:hideMark/>
          </w:tcPr>
          <w:p w14:paraId="7379000C" w14:textId="77777777" w:rsidR="00000000" w:rsidRDefault="00195E73">
            <w:pPr>
              <w:rPr>
                <w:rFonts w:eastAsia="Times New Roman"/>
                <w:sz w:val="20"/>
                <w:szCs w:val="20"/>
              </w:rPr>
            </w:pPr>
          </w:p>
        </w:tc>
        <w:tc>
          <w:tcPr>
            <w:tcW w:w="5" w:type="pct"/>
            <w:vAlign w:val="center"/>
            <w:hideMark/>
          </w:tcPr>
          <w:p w14:paraId="0403D0FD" w14:textId="77777777" w:rsidR="00000000" w:rsidRDefault="00195E73">
            <w:pPr>
              <w:rPr>
                <w:rFonts w:eastAsia="Times New Roman"/>
                <w:sz w:val="20"/>
                <w:szCs w:val="20"/>
              </w:rPr>
            </w:pPr>
          </w:p>
        </w:tc>
        <w:tc>
          <w:tcPr>
            <w:tcW w:w="50" w:type="pct"/>
            <w:vAlign w:val="center"/>
            <w:hideMark/>
          </w:tcPr>
          <w:p w14:paraId="21751A82" w14:textId="77777777" w:rsidR="00000000" w:rsidRDefault="00195E73">
            <w:pPr>
              <w:rPr>
                <w:rFonts w:eastAsia="Times New Roman"/>
                <w:sz w:val="20"/>
                <w:szCs w:val="20"/>
              </w:rPr>
            </w:pPr>
          </w:p>
        </w:tc>
        <w:tc>
          <w:tcPr>
            <w:tcW w:w="237" w:type="pct"/>
            <w:vAlign w:val="center"/>
            <w:hideMark/>
          </w:tcPr>
          <w:p w14:paraId="2486A13B" w14:textId="77777777" w:rsidR="00000000" w:rsidRDefault="00195E73">
            <w:pPr>
              <w:rPr>
                <w:rFonts w:eastAsia="Times New Roman"/>
                <w:sz w:val="20"/>
                <w:szCs w:val="20"/>
              </w:rPr>
            </w:pPr>
          </w:p>
        </w:tc>
        <w:tc>
          <w:tcPr>
            <w:tcW w:w="50" w:type="pct"/>
            <w:vAlign w:val="center"/>
            <w:hideMark/>
          </w:tcPr>
          <w:p w14:paraId="5BE40A28" w14:textId="77777777" w:rsidR="00000000" w:rsidRDefault="00195E73">
            <w:pPr>
              <w:rPr>
                <w:rFonts w:eastAsia="Times New Roman"/>
                <w:sz w:val="20"/>
                <w:szCs w:val="20"/>
              </w:rPr>
            </w:pPr>
          </w:p>
        </w:tc>
        <w:tc>
          <w:tcPr>
            <w:tcW w:w="5" w:type="pct"/>
            <w:vAlign w:val="center"/>
            <w:hideMark/>
          </w:tcPr>
          <w:p w14:paraId="56668370" w14:textId="77777777" w:rsidR="00000000" w:rsidRDefault="00195E73">
            <w:pPr>
              <w:rPr>
                <w:rFonts w:eastAsia="Times New Roman"/>
                <w:sz w:val="20"/>
                <w:szCs w:val="20"/>
              </w:rPr>
            </w:pPr>
          </w:p>
        </w:tc>
        <w:tc>
          <w:tcPr>
            <w:tcW w:w="25" w:type="pct"/>
            <w:vAlign w:val="center"/>
            <w:hideMark/>
          </w:tcPr>
          <w:p w14:paraId="35CD3089" w14:textId="77777777" w:rsidR="00000000" w:rsidRDefault="00195E73">
            <w:pPr>
              <w:rPr>
                <w:rFonts w:eastAsia="Times New Roman"/>
                <w:sz w:val="20"/>
                <w:szCs w:val="20"/>
              </w:rPr>
            </w:pPr>
          </w:p>
        </w:tc>
        <w:tc>
          <w:tcPr>
            <w:tcW w:w="5" w:type="pct"/>
            <w:vAlign w:val="center"/>
            <w:hideMark/>
          </w:tcPr>
          <w:p w14:paraId="1BCBD13D" w14:textId="77777777" w:rsidR="00000000" w:rsidRDefault="00195E73">
            <w:pPr>
              <w:rPr>
                <w:rFonts w:eastAsia="Times New Roman"/>
                <w:sz w:val="20"/>
                <w:szCs w:val="20"/>
              </w:rPr>
            </w:pPr>
          </w:p>
        </w:tc>
        <w:tc>
          <w:tcPr>
            <w:tcW w:w="50" w:type="pct"/>
            <w:vAlign w:val="center"/>
            <w:hideMark/>
          </w:tcPr>
          <w:p w14:paraId="7526BFFD" w14:textId="77777777" w:rsidR="00000000" w:rsidRDefault="00195E73">
            <w:pPr>
              <w:rPr>
                <w:rFonts w:eastAsia="Times New Roman"/>
                <w:sz w:val="20"/>
                <w:szCs w:val="20"/>
              </w:rPr>
            </w:pPr>
          </w:p>
        </w:tc>
        <w:tc>
          <w:tcPr>
            <w:tcW w:w="237" w:type="pct"/>
            <w:vAlign w:val="center"/>
            <w:hideMark/>
          </w:tcPr>
          <w:p w14:paraId="6AA03AE7" w14:textId="77777777" w:rsidR="00000000" w:rsidRDefault="00195E73">
            <w:pPr>
              <w:rPr>
                <w:rFonts w:eastAsia="Times New Roman"/>
                <w:sz w:val="20"/>
                <w:szCs w:val="20"/>
              </w:rPr>
            </w:pPr>
          </w:p>
        </w:tc>
        <w:tc>
          <w:tcPr>
            <w:tcW w:w="50" w:type="pct"/>
            <w:vAlign w:val="center"/>
            <w:hideMark/>
          </w:tcPr>
          <w:p w14:paraId="2000A2A3" w14:textId="77777777" w:rsidR="00000000" w:rsidRDefault="00195E73">
            <w:pPr>
              <w:rPr>
                <w:rFonts w:eastAsia="Times New Roman"/>
                <w:sz w:val="20"/>
                <w:szCs w:val="20"/>
              </w:rPr>
            </w:pPr>
          </w:p>
        </w:tc>
        <w:tc>
          <w:tcPr>
            <w:tcW w:w="5" w:type="pct"/>
            <w:vAlign w:val="center"/>
            <w:hideMark/>
          </w:tcPr>
          <w:p w14:paraId="536BFE36" w14:textId="77777777" w:rsidR="00000000" w:rsidRDefault="00195E73">
            <w:pPr>
              <w:rPr>
                <w:rFonts w:eastAsia="Times New Roman"/>
                <w:sz w:val="20"/>
                <w:szCs w:val="20"/>
              </w:rPr>
            </w:pPr>
          </w:p>
        </w:tc>
        <w:tc>
          <w:tcPr>
            <w:tcW w:w="25" w:type="pct"/>
            <w:vAlign w:val="center"/>
            <w:hideMark/>
          </w:tcPr>
          <w:p w14:paraId="710443E4" w14:textId="77777777" w:rsidR="00000000" w:rsidRDefault="00195E73">
            <w:pPr>
              <w:rPr>
                <w:rFonts w:eastAsia="Times New Roman"/>
                <w:sz w:val="20"/>
                <w:szCs w:val="20"/>
              </w:rPr>
            </w:pPr>
          </w:p>
        </w:tc>
        <w:tc>
          <w:tcPr>
            <w:tcW w:w="5" w:type="pct"/>
            <w:vAlign w:val="center"/>
            <w:hideMark/>
          </w:tcPr>
          <w:p w14:paraId="4BAD7FB5" w14:textId="77777777" w:rsidR="00000000" w:rsidRDefault="00195E73">
            <w:pPr>
              <w:rPr>
                <w:rFonts w:eastAsia="Times New Roman"/>
                <w:sz w:val="20"/>
                <w:szCs w:val="20"/>
              </w:rPr>
            </w:pPr>
          </w:p>
        </w:tc>
        <w:tc>
          <w:tcPr>
            <w:tcW w:w="50" w:type="pct"/>
            <w:vAlign w:val="center"/>
            <w:hideMark/>
          </w:tcPr>
          <w:p w14:paraId="5A092296" w14:textId="77777777" w:rsidR="00000000" w:rsidRDefault="00195E73">
            <w:pPr>
              <w:rPr>
                <w:rFonts w:eastAsia="Times New Roman"/>
                <w:sz w:val="20"/>
                <w:szCs w:val="20"/>
              </w:rPr>
            </w:pPr>
          </w:p>
        </w:tc>
        <w:tc>
          <w:tcPr>
            <w:tcW w:w="237" w:type="pct"/>
            <w:vAlign w:val="center"/>
            <w:hideMark/>
          </w:tcPr>
          <w:p w14:paraId="2B80BA8C" w14:textId="77777777" w:rsidR="00000000" w:rsidRDefault="00195E73">
            <w:pPr>
              <w:rPr>
                <w:rFonts w:eastAsia="Times New Roman"/>
                <w:sz w:val="20"/>
                <w:szCs w:val="20"/>
              </w:rPr>
            </w:pPr>
          </w:p>
        </w:tc>
        <w:tc>
          <w:tcPr>
            <w:tcW w:w="50" w:type="pct"/>
            <w:vAlign w:val="center"/>
            <w:hideMark/>
          </w:tcPr>
          <w:p w14:paraId="04814F79" w14:textId="77777777" w:rsidR="00000000" w:rsidRDefault="00195E73">
            <w:pPr>
              <w:rPr>
                <w:rFonts w:eastAsia="Times New Roman"/>
                <w:sz w:val="20"/>
                <w:szCs w:val="20"/>
              </w:rPr>
            </w:pPr>
          </w:p>
        </w:tc>
        <w:tc>
          <w:tcPr>
            <w:tcW w:w="5" w:type="pct"/>
            <w:vAlign w:val="center"/>
            <w:hideMark/>
          </w:tcPr>
          <w:p w14:paraId="6FD29ACA" w14:textId="77777777" w:rsidR="00000000" w:rsidRDefault="00195E73">
            <w:pPr>
              <w:rPr>
                <w:rFonts w:eastAsia="Times New Roman"/>
                <w:sz w:val="20"/>
                <w:szCs w:val="20"/>
              </w:rPr>
            </w:pPr>
          </w:p>
        </w:tc>
        <w:tc>
          <w:tcPr>
            <w:tcW w:w="25" w:type="pct"/>
            <w:vAlign w:val="center"/>
            <w:hideMark/>
          </w:tcPr>
          <w:p w14:paraId="7D891C4F" w14:textId="77777777" w:rsidR="00000000" w:rsidRDefault="00195E73">
            <w:pPr>
              <w:rPr>
                <w:rFonts w:eastAsia="Times New Roman"/>
                <w:sz w:val="20"/>
                <w:szCs w:val="20"/>
              </w:rPr>
            </w:pPr>
          </w:p>
        </w:tc>
        <w:tc>
          <w:tcPr>
            <w:tcW w:w="5" w:type="pct"/>
            <w:vAlign w:val="center"/>
            <w:hideMark/>
          </w:tcPr>
          <w:p w14:paraId="100FF651" w14:textId="77777777" w:rsidR="00000000" w:rsidRDefault="00195E73">
            <w:pPr>
              <w:rPr>
                <w:rFonts w:eastAsia="Times New Roman"/>
                <w:sz w:val="20"/>
                <w:szCs w:val="20"/>
              </w:rPr>
            </w:pPr>
          </w:p>
        </w:tc>
        <w:tc>
          <w:tcPr>
            <w:tcW w:w="50" w:type="pct"/>
            <w:vAlign w:val="center"/>
            <w:hideMark/>
          </w:tcPr>
          <w:p w14:paraId="4F693F64" w14:textId="77777777" w:rsidR="00000000" w:rsidRDefault="00195E73">
            <w:pPr>
              <w:rPr>
                <w:rFonts w:eastAsia="Times New Roman"/>
                <w:sz w:val="20"/>
                <w:szCs w:val="20"/>
              </w:rPr>
            </w:pPr>
          </w:p>
        </w:tc>
        <w:tc>
          <w:tcPr>
            <w:tcW w:w="238" w:type="pct"/>
            <w:vAlign w:val="center"/>
            <w:hideMark/>
          </w:tcPr>
          <w:p w14:paraId="13B1C17D" w14:textId="77777777" w:rsidR="00000000" w:rsidRDefault="00195E73">
            <w:pPr>
              <w:rPr>
                <w:rFonts w:eastAsia="Times New Roman"/>
                <w:sz w:val="20"/>
                <w:szCs w:val="20"/>
              </w:rPr>
            </w:pPr>
          </w:p>
        </w:tc>
        <w:tc>
          <w:tcPr>
            <w:tcW w:w="50" w:type="pct"/>
            <w:vAlign w:val="center"/>
            <w:hideMark/>
          </w:tcPr>
          <w:p w14:paraId="255889F1" w14:textId="77777777" w:rsidR="00000000" w:rsidRDefault="00195E73">
            <w:pPr>
              <w:rPr>
                <w:rFonts w:eastAsia="Times New Roman"/>
                <w:sz w:val="20"/>
                <w:szCs w:val="20"/>
              </w:rPr>
            </w:pPr>
          </w:p>
        </w:tc>
      </w:tr>
      <w:tr w:rsidR="00000000" w14:paraId="515956AC" w14:textId="77777777">
        <w:trPr>
          <w:divId w:val="10837737"/>
          <w:jc w:val="center"/>
        </w:trPr>
        <w:tc>
          <w:tcPr>
            <w:tcW w:w="0" w:type="auto"/>
            <w:gridSpan w:val="3"/>
            <w:tcMar>
              <w:top w:w="15" w:type="dxa"/>
              <w:left w:w="20" w:type="dxa"/>
              <w:bottom w:w="15" w:type="dxa"/>
              <w:right w:w="20" w:type="dxa"/>
            </w:tcMar>
            <w:vAlign w:val="bottom"/>
            <w:hideMark/>
          </w:tcPr>
          <w:p w14:paraId="21D737F3" w14:textId="77777777" w:rsidR="00000000" w:rsidRDefault="00195E73">
            <w:pPr>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14:paraId="588A29C3" w14:textId="77777777" w:rsidR="00000000" w:rsidRDefault="00195E73">
            <w:pPr>
              <w:jc w:val="center"/>
              <w:rPr>
                <w:rFonts w:eastAsia="Times New Roman"/>
              </w:rPr>
            </w:pPr>
            <w:r>
              <w:rPr>
                <w:rFonts w:eastAsia="Times New Roman"/>
                <w:b/>
                <w:bCs/>
                <w:color w:val="000000"/>
                <w:sz w:val="16"/>
                <w:szCs w:val="16"/>
              </w:rPr>
              <w:t>Icahn Enterprise</w:t>
            </w:r>
            <w:r>
              <w:rPr>
                <w:rFonts w:eastAsia="Times New Roman"/>
                <w:b/>
                <w:bCs/>
                <w:color w:val="000000"/>
                <w:sz w:val="16"/>
                <w:szCs w:val="16"/>
              </w:rPr>
              <w:t>s</w:t>
            </w:r>
          </w:p>
        </w:tc>
        <w:tc>
          <w:tcPr>
            <w:tcW w:w="0" w:type="auto"/>
            <w:gridSpan w:val="3"/>
            <w:vAlign w:val="center"/>
            <w:hideMark/>
          </w:tcPr>
          <w:p w14:paraId="4770F86E" w14:textId="77777777" w:rsidR="00000000" w:rsidRDefault="00195E73">
            <w:pPr>
              <w:jc w:val="center"/>
              <w:rPr>
                <w:rFonts w:eastAsia="Times New Roman"/>
              </w:rPr>
            </w:pPr>
          </w:p>
        </w:tc>
        <w:tc>
          <w:tcPr>
            <w:tcW w:w="0" w:type="auto"/>
            <w:gridSpan w:val="3"/>
            <w:vAlign w:val="center"/>
            <w:hideMark/>
          </w:tcPr>
          <w:p w14:paraId="53F75E97" w14:textId="77777777" w:rsidR="00000000" w:rsidRDefault="00195E73">
            <w:pPr>
              <w:rPr>
                <w:rFonts w:eastAsia="Times New Roman"/>
                <w:sz w:val="20"/>
                <w:szCs w:val="20"/>
              </w:rPr>
            </w:pPr>
          </w:p>
        </w:tc>
        <w:tc>
          <w:tcPr>
            <w:tcW w:w="0" w:type="auto"/>
            <w:gridSpan w:val="3"/>
            <w:vAlign w:val="center"/>
            <w:hideMark/>
          </w:tcPr>
          <w:p w14:paraId="53F49D66" w14:textId="77777777" w:rsidR="00000000" w:rsidRDefault="00195E73">
            <w:pPr>
              <w:rPr>
                <w:rFonts w:eastAsia="Times New Roman"/>
                <w:sz w:val="20"/>
                <w:szCs w:val="20"/>
              </w:rPr>
            </w:pPr>
          </w:p>
        </w:tc>
        <w:tc>
          <w:tcPr>
            <w:tcW w:w="0" w:type="auto"/>
            <w:gridSpan w:val="3"/>
            <w:vAlign w:val="center"/>
            <w:hideMark/>
          </w:tcPr>
          <w:p w14:paraId="6A472406" w14:textId="77777777" w:rsidR="00000000" w:rsidRDefault="00195E73">
            <w:pPr>
              <w:rPr>
                <w:rFonts w:eastAsia="Times New Roman"/>
                <w:sz w:val="20"/>
                <w:szCs w:val="20"/>
              </w:rPr>
            </w:pPr>
          </w:p>
        </w:tc>
        <w:tc>
          <w:tcPr>
            <w:tcW w:w="0" w:type="auto"/>
            <w:gridSpan w:val="3"/>
            <w:vAlign w:val="center"/>
            <w:hideMark/>
          </w:tcPr>
          <w:p w14:paraId="463DEF71" w14:textId="77777777" w:rsidR="00000000" w:rsidRDefault="00195E73">
            <w:pPr>
              <w:rPr>
                <w:rFonts w:eastAsia="Times New Roman"/>
                <w:sz w:val="20"/>
                <w:szCs w:val="20"/>
              </w:rPr>
            </w:pPr>
          </w:p>
        </w:tc>
        <w:tc>
          <w:tcPr>
            <w:tcW w:w="0" w:type="auto"/>
            <w:gridSpan w:val="3"/>
            <w:vAlign w:val="center"/>
            <w:hideMark/>
          </w:tcPr>
          <w:p w14:paraId="5117A627" w14:textId="77777777" w:rsidR="00000000" w:rsidRDefault="00195E73">
            <w:pPr>
              <w:rPr>
                <w:rFonts w:eastAsia="Times New Roman"/>
                <w:sz w:val="20"/>
                <w:szCs w:val="20"/>
              </w:rPr>
            </w:pPr>
          </w:p>
        </w:tc>
        <w:tc>
          <w:tcPr>
            <w:tcW w:w="0" w:type="auto"/>
            <w:gridSpan w:val="3"/>
            <w:vAlign w:val="center"/>
            <w:hideMark/>
          </w:tcPr>
          <w:p w14:paraId="134E19C9" w14:textId="77777777" w:rsidR="00000000" w:rsidRDefault="00195E73">
            <w:pPr>
              <w:rPr>
                <w:rFonts w:eastAsia="Times New Roman"/>
                <w:sz w:val="20"/>
                <w:szCs w:val="20"/>
              </w:rPr>
            </w:pPr>
          </w:p>
        </w:tc>
        <w:tc>
          <w:tcPr>
            <w:tcW w:w="0" w:type="auto"/>
            <w:gridSpan w:val="3"/>
            <w:vAlign w:val="center"/>
            <w:hideMark/>
          </w:tcPr>
          <w:p w14:paraId="363FF1E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E3052D5" w14:textId="77777777" w:rsidR="00000000" w:rsidRDefault="00195E73">
            <w:pPr>
              <w:rPr>
                <w:rFonts w:eastAsia="Times New Roman"/>
                <w:sz w:val="20"/>
                <w:szCs w:val="20"/>
              </w:rPr>
            </w:pPr>
          </w:p>
        </w:tc>
        <w:tc>
          <w:tcPr>
            <w:tcW w:w="0" w:type="auto"/>
            <w:gridSpan w:val="5"/>
            <w:tcBorders>
              <w:bottom w:val="single" w:sz="8" w:space="0" w:color="000000"/>
            </w:tcBorders>
            <w:tcMar>
              <w:top w:w="30" w:type="dxa"/>
              <w:left w:w="20" w:type="dxa"/>
              <w:bottom w:w="30" w:type="dxa"/>
              <w:right w:w="20" w:type="dxa"/>
            </w:tcMar>
            <w:vAlign w:val="bottom"/>
            <w:hideMark/>
          </w:tcPr>
          <w:p w14:paraId="2EE69164" w14:textId="77777777" w:rsidR="00000000" w:rsidRDefault="00195E73">
            <w:pPr>
              <w:jc w:val="center"/>
              <w:rPr>
                <w:rFonts w:eastAsia="Times New Roman"/>
              </w:rPr>
            </w:pPr>
            <w:r>
              <w:rPr>
                <w:rFonts w:eastAsia="Times New Roman"/>
                <w:b/>
                <w:bCs/>
                <w:color w:val="000000"/>
                <w:sz w:val="16"/>
                <w:szCs w:val="16"/>
              </w:rPr>
              <w:t>Icahn Enterprises Holding</w:t>
            </w:r>
            <w:r>
              <w:rPr>
                <w:rFonts w:eastAsia="Times New Roman"/>
                <w:b/>
                <w:bCs/>
                <w:color w:val="000000"/>
                <w:sz w:val="16"/>
                <w:szCs w:val="16"/>
              </w:rPr>
              <w:t>s</w:t>
            </w:r>
          </w:p>
        </w:tc>
        <w:tc>
          <w:tcPr>
            <w:tcW w:w="0" w:type="auto"/>
            <w:vAlign w:val="center"/>
            <w:hideMark/>
          </w:tcPr>
          <w:p w14:paraId="5E648543" w14:textId="77777777" w:rsidR="00000000" w:rsidRDefault="00195E73">
            <w:pPr>
              <w:jc w:val="center"/>
              <w:rPr>
                <w:rFonts w:eastAsia="Times New Roman"/>
              </w:rPr>
            </w:pPr>
          </w:p>
        </w:tc>
      </w:tr>
      <w:tr w:rsidR="00000000" w14:paraId="493EF830" w14:textId="77777777">
        <w:trPr>
          <w:divId w:val="10837737"/>
          <w:jc w:val="center"/>
        </w:trPr>
        <w:tc>
          <w:tcPr>
            <w:tcW w:w="0" w:type="auto"/>
            <w:gridSpan w:val="3"/>
            <w:tcMar>
              <w:top w:w="15" w:type="dxa"/>
              <w:left w:w="20" w:type="dxa"/>
              <w:bottom w:w="15" w:type="dxa"/>
              <w:right w:w="20" w:type="dxa"/>
            </w:tcMar>
            <w:vAlign w:val="bottom"/>
            <w:hideMark/>
          </w:tcPr>
          <w:p w14:paraId="6B5EDD92" w14:textId="77777777" w:rsidR="00000000" w:rsidRDefault="00195E73">
            <w:pPr>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3167291E" w14:textId="77777777" w:rsidR="00000000" w:rsidRDefault="00195E73">
            <w:pPr>
              <w:jc w:val="center"/>
              <w:rPr>
                <w:rFonts w:eastAsia="Times New Roman"/>
              </w:rPr>
            </w:pPr>
            <w:r>
              <w:rPr>
                <w:rFonts w:eastAsia="Times New Roman"/>
                <w:b/>
                <w:bCs/>
                <w:color w:val="000000"/>
                <w:sz w:val="16"/>
                <w:szCs w:val="16"/>
              </w:rPr>
              <w:t>As of/Year Ended December 31</w:t>
            </w:r>
            <w:r>
              <w:rPr>
                <w:rFonts w:eastAsia="Times New Roman"/>
                <w:b/>
                <w:bCs/>
                <w:color w:val="000000"/>
                <w:sz w:val="16"/>
                <w:szCs w:val="16"/>
              </w:rPr>
              <w:t>,</w:t>
            </w:r>
          </w:p>
        </w:tc>
        <w:tc>
          <w:tcPr>
            <w:tcW w:w="0" w:type="auto"/>
            <w:gridSpan w:val="3"/>
            <w:vAlign w:val="center"/>
            <w:hideMark/>
          </w:tcPr>
          <w:p w14:paraId="5DA14022" w14:textId="77777777" w:rsidR="00000000" w:rsidRDefault="00195E73">
            <w:pPr>
              <w:jc w:val="center"/>
              <w:rPr>
                <w:rFonts w:eastAsia="Times New Roman"/>
              </w:rPr>
            </w:pPr>
          </w:p>
        </w:tc>
        <w:tc>
          <w:tcPr>
            <w:tcW w:w="0" w:type="auto"/>
            <w:gridSpan w:val="3"/>
            <w:vAlign w:val="center"/>
            <w:hideMark/>
          </w:tcPr>
          <w:p w14:paraId="0E264932" w14:textId="77777777" w:rsidR="00000000" w:rsidRDefault="00195E73">
            <w:pPr>
              <w:rPr>
                <w:rFonts w:eastAsia="Times New Roman"/>
                <w:sz w:val="20"/>
                <w:szCs w:val="20"/>
              </w:rPr>
            </w:pPr>
          </w:p>
        </w:tc>
        <w:tc>
          <w:tcPr>
            <w:tcW w:w="0" w:type="auto"/>
            <w:gridSpan w:val="3"/>
            <w:vAlign w:val="center"/>
            <w:hideMark/>
          </w:tcPr>
          <w:p w14:paraId="6DD2CBC4" w14:textId="77777777" w:rsidR="00000000" w:rsidRDefault="00195E73">
            <w:pPr>
              <w:rPr>
                <w:rFonts w:eastAsia="Times New Roman"/>
                <w:sz w:val="20"/>
                <w:szCs w:val="20"/>
              </w:rPr>
            </w:pPr>
          </w:p>
        </w:tc>
        <w:tc>
          <w:tcPr>
            <w:tcW w:w="0" w:type="auto"/>
            <w:gridSpan w:val="3"/>
            <w:vAlign w:val="center"/>
            <w:hideMark/>
          </w:tcPr>
          <w:p w14:paraId="4AE01EC8" w14:textId="77777777" w:rsidR="00000000" w:rsidRDefault="00195E73">
            <w:pPr>
              <w:rPr>
                <w:rFonts w:eastAsia="Times New Roman"/>
                <w:sz w:val="20"/>
                <w:szCs w:val="20"/>
              </w:rPr>
            </w:pPr>
          </w:p>
        </w:tc>
        <w:tc>
          <w:tcPr>
            <w:tcW w:w="0" w:type="auto"/>
            <w:gridSpan w:val="3"/>
            <w:vAlign w:val="center"/>
            <w:hideMark/>
          </w:tcPr>
          <w:p w14:paraId="1309ACCF" w14:textId="77777777" w:rsidR="00000000" w:rsidRDefault="00195E73">
            <w:pPr>
              <w:rPr>
                <w:rFonts w:eastAsia="Times New Roman"/>
                <w:sz w:val="20"/>
                <w:szCs w:val="20"/>
              </w:rPr>
            </w:pPr>
          </w:p>
        </w:tc>
        <w:tc>
          <w:tcPr>
            <w:tcW w:w="0" w:type="auto"/>
            <w:gridSpan w:val="3"/>
            <w:vAlign w:val="center"/>
            <w:hideMark/>
          </w:tcPr>
          <w:p w14:paraId="753745FB" w14:textId="77777777" w:rsidR="00000000" w:rsidRDefault="00195E73">
            <w:pPr>
              <w:rPr>
                <w:rFonts w:eastAsia="Times New Roman"/>
                <w:sz w:val="20"/>
                <w:szCs w:val="20"/>
              </w:rPr>
            </w:pPr>
          </w:p>
        </w:tc>
        <w:tc>
          <w:tcPr>
            <w:tcW w:w="0" w:type="auto"/>
            <w:gridSpan w:val="3"/>
            <w:vAlign w:val="center"/>
            <w:hideMark/>
          </w:tcPr>
          <w:p w14:paraId="6484A4A5" w14:textId="77777777" w:rsidR="00000000" w:rsidRDefault="00195E73">
            <w:pPr>
              <w:rPr>
                <w:rFonts w:eastAsia="Times New Roman"/>
                <w:sz w:val="20"/>
                <w:szCs w:val="20"/>
              </w:rPr>
            </w:pPr>
          </w:p>
        </w:tc>
        <w:tc>
          <w:tcPr>
            <w:tcW w:w="0" w:type="auto"/>
            <w:gridSpan w:val="3"/>
            <w:vAlign w:val="center"/>
            <w:hideMark/>
          </w:tcPr>
          <w:p w14:paraId="4FAD2E8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1DEA9B0" w14:textId="77777777" w:rsidR="00000000" w:rsidRDefault="00195E73">
            <w:pPr>
              <w:rPr>
                <w:rFonts w:eastAsia="Times New Roman"/>
                <w:sz w:val="20"/>
                <w:szCs w:val="20"/>
              </w:rPr>
            </w:pPr>
          </w:p>
        </w:tc>
        <w:tc>
          <w:tcPr>
            <w:tcW w:w="0" w:type="auto"/>
            <w:gridSpan w:val="5"/>
            <w:tcBorders>
              <w:top w:val="single" w:sz="8" w:space="0" w:color="000000"/>
            </w:tcBorders>
            <w:tcMar>
              <w:top w:w="30" w:type="dxa"/>
              <w:left w:w="20" w:type="dxa"/>
              <w:bottom w:w="30" w:type="dxa"/>
              <w:right w:w="20" w:type="dxa"/>
            </w:tcMar>
            <w:vAlign w:val="bottom"/>
            <w:hideMark/>
          </w:tcPr>
          <w:p w14:paraId="1620AB11" w14:textId="77777777" w:rsidR="00000000" w:rsidRDefault="00195E73">
            <w:pPr>
              <w:jc w:val="center"/>
              <w:rPr>
                <w:rFonts w:eastAsia="Times New Roman"/>
              </w:rPr>
            </w:pPr>
            <w:r>
              <w:rPr>
                <w:rFonts w:eastAsia="Times New Roman"/>
                <w:b/>
                <w:bCs/>
                <w:color w:val="000000"/>
                <w:sz w:val="16"/>
                <w:szCs w:val="16"/>
              </w:rPr>
              <w:t>As of/Year Ended December 31</w:t>
            </w:r>
            <w:r>
              <w:rPr>
                <w:rFonts w:eastAsia="Times New Roman"/>
                <w:b/>
                <w:bCs/>
                <w:color w:val="000000"/>
                <w:sz w:val="16"/>
                <w:szCs w:val="16"/>
              </w:rPr>
              <w:t>,</w:t>
            </w:r>
          </w:p>
        </w:tc>
        <w:tc>
          <w:tcPr>
            <w:tcW w:w="0" w:type="auto"/>
            <w:vAlign w:val="center"/>
            <w:hideMark/>
          </w:tcPr>
          <w:p w14:paraId="7E4F74C0" w14:textId="77777777" w:rsidR="00000000" w:rsidRDefault="00195E73">
            <w:pPr>
              <w:jc w:val="center"/>
              <w:rPr>
                <w:rFonts w:eastAsia="Times New Roman"/>
              </w:rPr>
            </w:pPr>
          </w:p>
        </w:tc>
      </w:tr>
      <w:tr w:rsidR="00000000" w14:paraId="1E6DF690" w14:textId="77777777">
        <w:trPr>
          <w:divId w:val="10837737"/>
          <w:jc w:val="center"/>
        </w:trPr>
        <w:tc>
          <w:tcPr>
            <w:tcW w:w="0" w:type="auto"/>
            <w:gridSpan w:val="3"/>
            <w:tcMar>
              <w:top w:w="15" w:type="dxa"/>
              <w:left w:w="20" w:type="dxa"/>
              <w:bottom w:w="15" w:type="dxa"/>
              <w:right w:w="20" w:type="dxa"/>
            </w:tcMar>
            <w:vAlign w:val="bottom"/>
            <w:hideMark/>
          </w:tcPr>
          <w:p w14:paraId="0FC42ED2"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444D88C" w14:textId="77777777" w:rsidR="00000000" w:rsidRDefault="00195E7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14:paraId="10345DC9"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FEA34A" w14:textId="77777777" w:rsidR="00000000" w:rsidRDefault="00195E7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14:paraId="1ACB1B5C"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CE56B37" w14:textId="77777777" w:rsidR="00000000" w:rsidRDefault="00195E73">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tcBorders>
              <w:top w:val="single" w:sz="8" w:space="0" w:color="000000"/>
            </w:tcBorders>
            <w:tcMar>
              <w:top w:w="15" w:type="dxa"/>
              <w:left w:w="20" w:type="dxa"/>
              <w:bottom w:w="15" w:type="dxa"/>
              <w:right w:w="20" w:type="dxa"/>
            </w:tcMar>
            <w:vAlign w:val="bottom"/>
            <w:hideMark/>
          </w:tcPr>
          <w:p w14:paraId="084F122C"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C78D8C1" w14:textId="77777777" w:rsidR="00000000" w:rsidRDefault="00195E73">
            <w:pPr>
              <w:jc w:val="center"/>
              <w:rPr>
                <w:rFonts w:eastAsia="Times New Roman"/>
              </w:rPr>
            </w:pPr>
            <w:r>
              <w:rPr>
                <w:rFonts w:eastAsia="Times New Roman"/>
                <w:b/>
                <w:bCs/>
                <w:color w:val="000000"/>
                <w:sz w:val="16"/>
                <w:szCs w:val="16"/>
              </w:rPr>
              <w:t>201</w:t>
            </w:r>
            <w:r>
              <w:rPr>
                <w:rFonts w:eastAsia="Times New Roman"/>
                <w:b/>
                <w:bCs/>
                <w:color w:val="000000"/>
                <w:sz w:val="16"/>
                <w:szCs w:val="16"/>
              </w:rPr>
              <w:t>6</w:t>
            </w:r>
          </w:p>
        </w:tc>
        <w:tc>
          <w:tcPr>
            <w:tcW w:w="0" w:type="auto"/>
            <w:gridSpan w:val="3"/>
            <w:tcBorders>
              <w:top w:val="single" w:sz="8" w:space="0" w:color="000000"/>
            </w:tcBorders>
            <w:tcMar>
              <w:top w:w="15" w:type="dxa"/>
              <w:left w:w="20" w:type="dxa"/>
              <w:bottom w:w="15" w:type="dxa"/>
              <w:right w:w="20" w:type="dxa"/>
            </w:tcMar>
            <w:vAlign w:val="bottom"/>
            <w:hideMark/>
          </w:tcPr>
          <w:p w14:paraId="23205BDA"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B7077B7" w14:textId="77777777" w:rsidR="00000000" w:rsidRDefault="00195E73">
            <w:pPr>
              <w:jc w:val="center"/>
              <w:rPr>
                <w:rFonts w:eastAsia="Times New Roman"/>
              </w:rPr>
            </w:pPr>
            <w:r>
              <w:rPr>
                <w:rFonts w:eastAsia="Times New Roman"/>
                <w:b/>
                <w:bCs/>
                <w:color w:val="000000"/>
                <w:sz w:val="16"/>
                <w:szCs w:val="16"/>
              </w:rPr>
              <w:t>201</w:t>
            </w:r>
            <w:r>
              <w:rPr>
                <w:rFonts w:eastAsia="Times New Roman"/>
                <w:b/>
                <w:bCs/>
                <w:color w:val="000000"/>
                <w:sz w:val="16"/>
                <w:szCs w:val="16"/>
              </w:rPr>
              <w:t>5</w:t>
            </w:r>
          </w:p>
        </w:tc>
        <w:tc>
          <w:tcPr>
            <w:tcW w:w="0" w:type="auto"/>
            <w:gridSpan w:val="3"/>
            <w:tcMar>
              <w:top w:w="15" w:type="dxa"/>
              <w:left w:w="20" w:type="dxa"/>
              <w:bottom w:w="15" w:type="dxa"/>
              <w:right w:w="20" w:type="dxa"/>
            </w:tcMar>
            <w:vAlign w:val="bottom"/>
            <w:hideMark/>
          </w:tcPr>
          <w:p w14:paraId="14AD5FD4"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421245" w14:textId="77777777" w:rsidR="00000000" w:rsidRDefault="00195E73">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14:paraId="33C3BB22"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EEC790" w14:textId="77777777" w:rsidR="00000000" w:rsidRDefault="00195E73">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14:paraId="416AD2B4"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A2212BE" w14:textId="77777777" w:rsidR="00000000" w:rsidRDefault="00195E73">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tcBorders>
              <w:top w:val="single" w:sz="8" w:space="0" w:color="000000"/>
            </w:tcBorders>
            <w:tcMar>
              <w:top w:w="15" w:type="dxa"/>
              <w:left w:w="20" w:type="dxa"/>
              <w:bottom w:w="15" w:type="dxa"/>
              <w:right w:w="20" w:type="dxa"/>
            </w:tcMar>
            <w:vAlign w:val="bottom"/>
            <w:hideMark/>
          </w:tcPr>
          <w:p w14:paraId="4835C43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B52681" w14:textId="77777777" w:rsidR="00000000" w:rsidRDefault="00195E73">
            <w:pPr>
              <w:jc w:val="center"/>
              <w:rPr>
                <w:rFonts w:eastAsia="Times New Roman"/>
              </w:rPr>
            </w:pPr>
            <w:r>
              <w:rPr>
                <w:rFonts w:eastAsia="Times New Roman"/>
                <w:b/>
                <w:bCs/>
                <w:color w:val="000000"/>
                <w:sz w:val="16"/>
                <w:szCs w:val="16"/>
              </w:rPr>
              <w:t>201</w:t>
            </w:r>
            <w:r>
              <w:rPr>
                <w:rFonts w:eastAsia="Times New Roman"/>
                <w:b/>
                <w:bCs/>
                <w:color w:val="000000"/>
                <w:sz w:val="16"/>
                <w:szCs w:val="16"/>
              </w:rPr>
              <w:t>6</w:t>
            </w:r>
          </w:p>
        </w:tc>
        <w:tc>
          <w:tcPr>
            <w:tcW w:w="0" w:type="auto"/>
            <w:gridSpan w:val="3"/>
            <w:tcBorders>
              <w:top w:val="single" w:sz="8" w:space="0" w:color="000000"/>
            </w:tcBorders>
            <w:tcMar>
              <w:top w:w="15" w:type="dxa"/>
              <w:left w:w="20" w:type="dxa"/>
              <w:bottom w:w="15" w:type="dxa"/>
              <w:right w:w="20" w:type="dxa"/>
            </w:tcMar>
            <w:vAlign w:val="bottom"/>
            <w:hideMark/>
          </w:tcPr>
          <w:p w14:paraId="2D93095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CDB2134" w14:textId="77777777" w:rsidR="00000000" w:rsidRDefault="00195E73">
            <w:pPr>
              <w:jc w:val="center"/>
              <w:rPr>
                <w:rFonts w:eastAsia="Times New Roman"/>
              </w:rPr>
            </w:pPr>
            <w:r>
              <w:rPr>
                <w:rFonts w:eastAsia="Times New Roman"/>
                <w:b/>
                <w:bCs/>
                <w:color w:val="000000"/>
                <w:sz w:val="16"/>
                <w:szCs w:val="16"/>
              </w:rPr>
              <w:t>201</w:t>
            </w:r>
            <w:r>
              <w:rPr>
                <w:rFonts w:eastAsia="Times New Roman"/>
                <w:b/>
                <w:bCs/>
                <w:color w:val="000000"/>
                <w:sz w:val="16"/>
                <w:szCs w:val="16"/>
              </w:rPr>
              <w:t>5</w:t>
            </w:r>
          </w:p>
        </w:tc>
        <w:tc>
          <w:tcPr>
            <w:tcW w:w="0" w:type="auto"/>
            <w:vAlign w:val="center"/>
            <w:hideMark/>
          </w:tcPr>
          <w:p w14:paraId="7D95C1B8" w14:textId="77777777" w:rsidR="00000000" w:rsidRDefault="00195E73">
            <w:pPr>
              <w:rPr>
                <w:rFonts w:eastAsia="Times New Roman"/>
                <w:sz w:val="20"/>
                <w:szCs w:val="20"/>
              </w:rPr>
            </w:pPr>
          </w:p>
        </w:tc>
        <w:tc>
          <w:tcPr>
            <w:tcW w:w="0" w:type="auto"/>
            <w:vAlign w:val="center"/>
            <w:hideMark/>
          </w:tcPr>
          <w:p w14:paraId="7535BD88" w14:textId="77777777" w:rsidR="00000000" w:rsidRDefault="00195E73">
            <w:pPr>
              <w:rPr>
                <w:rFonts w:eastAsia="Times New Roman"/>
                <w:sz w:val="20"/>
                <w:szCs w:val="20"/>
              </w:rPr>
            </w:pPr>
          </w:p>
        </w:tc>
        <w:tc>
          <w:tcPr>
            <w:tcW w:w="0" w:type="auto"/>
            <w:vAlign w:val="center"/>
            <w:hideMark/>
          </w:tcPr>
          <w:p w14:paraId="29B4F6D4" w14:textId="77777777" w:rsidR="00000000" w:rsidRDefault="00195E73">
            <w:pPr>
              <w:rPr>
                <w:rFonts w:eastAsia="Times New Roman"/>
                <w:sz w:val="20"/>
                <w:szCs w:val="20"/>
              </w:rPr>
            </w:pPr>
          </w:p>
        </w:tc>
      </w:tr>
      <w:tr w:rsidR="00000000" w14:paraId="2AF7364D" w14:textId="77777777">
        <w:trPr>
          <w:divId w:val="10837737"/>
          <w:jc w:val="center"/>
        </w:trPr>
        <w:tc>
          <w:tcPr>
            <w:tcW w:w="0" w:type="auto"/>
            <w:gridSpan w:val="3"/>
            <w:tcMar>
              <w:top w:w="15" w:type="dxa"/>
              <w:left w:w="20" w:type="dxa"/>
              <w:bottom w:w="15" w:type="dxa"/>
              <w:right w:w="20" w:type="dxa"/>
            </w:tcMar>
            <w:vAlign w:val="bottom"/>
            <w:hideMark/>
          </w:tcPr>
          <w:p w14:paraId="7B98BA17" w14:textId="77777777" w:rsidR="00000000" w:rsidRDefault="00195E73">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14:paraId="2D280502" w14:textId="77777777" w:rsidR="00000000" w:rsidRDefault="00195E73">
            <w:pPr>
              <w:jc w:val="center"/>
              <w:rPr>
                <w:rFonts w:eastAsia="Times New Roman"/>
              </w:rPr>
            </w:pPr>
            <w:r>
              <w:rPr>
                <w:rFonts w:eastAsia="Times New Roman"/>
                <w:color w:val="000000"/>
                <w:sz w:val="16"/>
                <w:szCs w:val="16"/>
              </w:rPr>
              <w:t>(in millions, except per unit data</w:t>
            </w:r>
            <w:r>
              <w:rPr>
                <w:rFonts w:eastAsia="Times New Roman"/>
                <w:color w:val="000000"/>
                <w:sz w:val="16"/>
                <w:szCs w:val="16"/>
              </w:rPr>
              <w:t>)</w:t>
            </w:r>
          </w:p>
        </w:tc>
        <w:tc>
          <w:tcPr>
            <w:tcW w:w="0" w:type="auto"/>
            <w:gridSpan w:val="3"/>
            <w:vAlign w:val="center"/>
            <w:hideMark/>
          </w:tcPr>
          <w:p w14:paraId="7354F2EB" w14:textId="77777777" w:rsidR="00000000" w:rsidRDefault="00195E73">
            <w:pPr>
              <w:jc w:val="center"/>
              <w:rPr>
                <w:rFonts w:eastAsia="Times New Roman"/>
              </w:rPr>
            </w:pPr>
          </w:p>
        </w:tc>
        <w:tc>
          <w:tcPr>
            <w:tcW w:w="0" w:type="auto"/>
            <w:gridSpan w:val="3"/>
            <w:vAlign w:val="center"/>
            <w:hideMark/>
          </w:tcPr>
          <w:p w14:paraId="1CF80F5E" w14:textId="77777777" w:rsidR="00000000" w:rsidRDefault="00195E73">
            <w:pPr>
              <w:rPr>
                <w:rFonts w:eastAsia="Times New Roman"/>
                <w:sz w:val="20"/>
                <w:szCs w:val="20"/>
              </w:rPr>
            </w:pPr>
          </w:p>
        </w:tc>
        <w:tc>
          <w:tcPr>
            <w:tcW w:w="0" w:type="auto"/>
            <w:gridSpan w:val="3"/>
            <w:vAlign w:val="center"/>
            <w:hideMark/>
          </w:tcPr>
          <w:p w14:paraId="7372557F" w14:textId="77777777" w:rsidR="00000000" w:rsidRDefault="00195E73">
            <w:pPr>
              <w:rPr>
                <w:rFonts w:eastAsia="Times New Roman"/>
                <w:sz w:val="20"/>
                <w:szCs w:val="20"/>
              </w:rPr>
            </w:pPr>
          </w:p>
        </w:tc>
        <w:tc>
          <w:tcPr>
            <w:tcW w:w="0" w:type="auto"/>
            <w:gridSpan w:val="3"/>
            <w:vAlign w:val="center"/>
            <w:hideMark/>
          </w:tcPr>
          <w:p w14:paraId="0446ECDD" w14:textId="77777777" w:rsidR="00000000" w:rsidRDefault="00195E73">
            <w:pPr>
              <w:rPr>
                <w:rFonts w:eastAsia="Times New Roman"/>
                <w:sz w:val="20"/>
                <w:szCs w:val="20"/>
              </w:rPr>
            </w:pPr>
          </w:p>
        </w:tc>
        <w:tc>
          <w:tcPr>
            <w:tcW w:w="0" w:type="auto"/>
            <w:gridSpan w:val="3"/>
            <w:vAlign w:val="center"/>
            <w:hideMark/>
          </w:tcPr>
          <w:p w14:paraId="2FF99A5A" w14:textId="77777777" w:rsidR="00000000" w:rsidRDefault="00195E73">
            <w:pPr>
              <w:rPr>
                <w:rFonts w:eastAsia="Times New Roman"/>
                <w:sz w:val="20"/>
                <w:szCs w:val="20"/>
              </w:rPr>
            </w:pPr>
          </w:p>
        </w:tc>
        <w:tc>
          <w:tcPr>
            <w:tcW w:w="0" w:type="auto"/>
            <w:gridSpan w:val="3"/>
            <w:vAlign w:val="center"/>
            <w:hideMark/>
          </w:tcPr>
          <w:p w14:paraId="15A32DCA" w14:textId="77777777" w:rsidR="00000000" w:rsidRDefault="00195E73">
            <w:pPr>
              <w:rPr>
                <w:rFonts w:eastAsia="Times New Roman"/>
                <w:sz w:val="20"/>
                <w:szCs w:val="20"/>
              </w:rPr>
            </w:pPr>
          </w:p>
        </w:tc>
        <w:tc>
          <w:tcPr>
            <w:tcW w:w="0" w:type="auto"/>
            <w:gridSpan w:val="3"/>
            <w:vAlign w:val="center"/>
            <w:hideMark/>
          </w:tcPr>
          <w:p w14:paraId="30204F9D" w14:textId="77777777" w:rsidR="00000000" w:rsidRDefault="00195E73">
            <w:pPr>
              <w:rPr>
                <w:rFonts w:eastAsia="Times New Roman"/>
                <w:sz w:val="20"/>
                <w:szCs w:val="20"/>
              </w:rPr>
            </w:pPr>
          </w:p>
        </w:tc>
        <w:tc>
          <w:tcPr>
            <w:tcW w:w="0" w:type="auto"/>
            <w:gridSpan w:val="3"/>
            <w:vAlign w:val="center"/>
            <w:hideMark/>
          </w:tcPr>
          <w:p w14:paraId="629AFA7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E87D5E3" w14:textId="77777777" w:rsidR="00000000" w:rsidRDefault="00195E73">
            <w:pPr>
              <w:rPr>
                <w:rFonts w:eastAsia="Times New Roman"/>
                <w:sz w:val="20"/>
                <w:szCs w:val="20"/>
              </w:rPr>
            </w:pPr>
          </w:p>
        </w:tc>
        <w:tc>
          <w:tcPr>
            <w:tcW w:w="0" w:type="auto"/>
            <w:gridSpan w:val="5"/>
            <w:tcBorders>
              <w:top w:val="single" w:sz="8" w:space="0" w:color="000000"/>
            </w:tcBorders>
            <w:tcMar>
              <w:top w:w="30" w:type="dxa"/>
              <w:left w:w="20" w:type="dxa"/>
              <w:bottom w:w="30" w:type="dxa"/>
              <w:right w:w="20" w:type="dxa"/>
            </w:tcMar>
            <w:vAlign w:val="bottom"/>
            <w:hideMark/>
          </w:tcPr>
          <w:p w14:paraId="6C254ED0"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vAlign w:val="center"/>
            <w:hideMark/>
          </w:tcPr>
          <w:p w14:paraId="6E4D6A62" w14:textId="77777777" w:rsidR="00000000" w:rsidRDefault="00195E73">
            <w:pPr>
              <w:jc w:val="center"/>
              <w:rPr>
                <w:rFonts w:eastAsia="Times New Roman"/>
              </w:rPr>
            </w:pPr>
          </w:p>
        </w:tc>
      </w:tr>
      <w:tr w:rsidR="00000000" w14:paraId="3C205986" w14:textId="77777777">
        <w:trPr>
          <w:divId w:val="10837737"/>
          <w:jc w:val="center"/>
        </w:trPr>
        <w:tc>
          <w:tcPr>
            <w:tcW w:w="0" w:type="auto"/>
            <w:gridSpan w:val="3"/>
            <w:tcMar>
              <w:top w:w="30" w:type="dxa"/>
              <w:left w:w="20" w:type="dxa"/>
              <w:bottom w:w="30" w:type="dxa"/>
              <w:right w:w="20" w:type="dxa"/>
            </w:tcMar>
            <w:vAlign w:val="bottom"/>
            <w:hideMark/>
          </w:tcPr>
          <w:p w14:paraId="68EAF5D2" w14:textId="77777777" w:rsidR="00000000" w:rsidRDefault="00195E73">
            <w:pPr>
              <w:ind w:hanging="90"/>
              <w:divId w:val="711223145"/>
              <w:rPr>
                <w:rFonts w:eastAsia="Times New Roman"/>
              </w:rPr>
            </w:pPr>
            <w:r>
              <w:rPr>
                <w:rFonts w:eastAsia="Times New Roman"/>
                <w:b/>
                <w:bCs/>
                <w:color w:val="000000"/>
                <w:sz w:val="16"/>
                <w:szCs w:val="16"/>
              </w:rPr>
              <w:t>Statement of Operations Data From Continuing Operations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14:paraId="18E56EEE" w14:textId="77777777" w:rsidR="00000000" w:rsidRDefault="00195E73">
            <w:pPr>
              <w:ind w:hanging="90"/>
              <w:rPr>
                <w:rFonts w:eastAsia="Times New Roman"/>
              </w:rPr>
            </w:pPr>
          </w:p>
        </w:tc>
        <w:tc>
          <w:tcPr>
            <w:tcW w:w="0" w:type="auto"/>
            <w:gridSpan w:val="3"/>
            <w:tcMar>
              <w:top w:w="15" w:type="dxa"/>
              <w:left w:w="20" w:type="dxa"/>
              <w:bottom w:w="15" w:type="dxa"/>
              <w:right w:w="20" w:type="dxa"/>
            </w:tcMar>
            <w:vAlign w:val="bottom"/>
            <w:hideMark/>
          </w:tcPr>
          <w:p w14:paraId="34DD5AA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AECA43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364DE7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FB7918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0571CD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8FA6FC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A9EC895"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881EB2C"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B27D82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29CB3A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0A4D2D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E38DB9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64D392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B95517A"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A63686C"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2A9CC6D"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7145F9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3A41692" w14:textId="77777777" w:rsidR="00000000" w:rsidRDefault="00195E73">
            <w:pPr>
              <w:rPr>
                <w:rFonts w:eastAsia="Times New Roman"/>
                <w:sz w:val="20"/>
                <w:szCs w:val="20"/>
              </w:rPr>
            </w:pPr>
          </w:p>
        </w:tc>
        <w:tc>
          <w:tcPr>
            <w:tcW w:w="0" w:type="auto"/>
            <w:vAlign w:val="center"/>
            <w:hideMark/>
          </w:tcPr>
          <w:p w14:paraId="5902BC66" w14:textId="77777777" w:rsidR="00000000" w:rsidRDefault="00195E73">
            <w:pPr>
              <w:rPr>
                <w:rFonts w:eastAsia="Times New Roman"/>
                <w:sz w:val="20"/>
                <w:szCs w:val="20"/>
              </w:rPr>
            </w:pPr>
          </w:p>
        </w:tc>
        <w:tc>
          <w:tcPr>
            <w:tcW w:w="0" w:type="auto"/>
            <w:vAlign w:val="center"/>
            <w:hideMark/>
          </w:tcPr>
          <w:p w14:paraId="59027B55" w14:textId="77777777" w:rsidR="00000000" w:rsidRDefault="00195E73">
            <w:pPr>
              <w:rPr>
                <w:rFonts w:eastAsia="Times New Roman"/>
                <w:sz w:val="20"/>
                <w:szCs w:val="20"/>
              </w:rPr>
            </w:pPr>
          </w:p>
        </w:tc>
        <w:tc>
          <w:tcPr>
            <w:tcW w:w="0" w:type="auto"/>
            <w:vAlign w:val="center"/>
            <w:hideMark/>
          </w:tcPr>
          <w:p w14:paraId="4F424365" w14:textId="77777777" w:rsidR="00000000" w:rsidRDefault="00195E73">
            <w:pPr>
              <w:rPr>
                <w:rFonts w:eastAsia="Times New Roman"/>
                <w:sz w:val="20"/>
                <w:szCs w:val="20"/>
              </w:rPr>
            </w:pPr>
          </w:p>
        </w:tc>
      </w:tr>
      <w:tr w:rsidR="00195E73" w14:paraId="186F20AE" w14:textId="77777777">
        <w:trPr>
          <w:divId w:val="10837737"/>
          <w:jc w:val="center"/>
        </w:trPr>
        <w:tc>
          <w:tcPr>
            <w:tcW w:w="0" w:type="auto"/>
            <w:gridSpan w:val="3"/>
            <w:shd w:val="clear" w:color="auto" w:fill="CCEEFF"/>
            <w:tcMar>
              <w:top w:w="30" w:type="dxa"/>
              <w:left w:w="20" w:type="dxa"/>
              <w:bottom w:w="30" w:type="dxa"/>
              <w:right w:w="20" w:type="dxa"/>
            </w:tcMar>
            <w:vAlign w:val="bottom"/>
            <w:hideMark/>
          </w:tcPr>
          <w:p w14:paraId="40174FBB" w14:textId="77777777" w:rsidR="00000000" w:rsidRDefault="00195E73">
            <w:pPr>
              <w:rPr>
                <w:rFonts w:eastAsia="Times New Roman"/>
              </w:rPr>
            </w:pPr>
            <w:r>
              <w:rPr>
                <w:rFonts w:eastAsia="Times New Roman"/>
                <w:color w:val="000000"/>
                <w:sz w:val="16"/>
                <w:szCs w:val="16"/>
              </w:rPr>
              <w:t>Net sale</w:t>
            </w:r>
            <w:r>
              <w:rPr>
                <w:rFonts w:eastAsia="Times New Roman"/>
                <w:color w:val="000000"/>
                <w:sz w:val="16"/>
                <w:szCs w:val="16"/>
              </w:rPr>
              <w:t>s</w:t>
            </w:r>
          </w:p>
        </w:tc>
        <w:tc>
          <w:tcPr>
            <w:tcW w:w="0" w:type="auto"/>
            <w:shd w:val="clear" w:color="auto" w:fill="CCEEFF"/>
            <w:tcMar>
              <w:top w:w="30" w:type="dxa"/>
              <w:left w:w="20" w:type="dxa"/>
              <w:bottom w:w="30" w:type="dxa"/>
              <w:right w:w="15" w:type="dxa"/>
            </w:tcMar>
            <w:vAlign w:val="bottom"/>
            <w:hideMark/>
          </w:tcPr>
          <w:p w14:paraId="595AA1E8"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05022D7B" w14:textId="77777777" w:rsidR="00000000" w:rsidRDefault="00195E73">
            <w:pPr>
              <w:jc w:val="right"/>
              <w:rPr>
                <w:rFonts w:eastAsia="Times New Roman"/>
              </w:rPr>
            </w:pPr>
            <w:r>
              <w:rPr>
                <w:rFonts w:eastAsia="Times New Roman"/>
                <w:color w:val="000000"/>
                <w:sz w:val="16"/>
                <w:szCs w:val="16"/>
              </w:rPr>
              <w:t>9,720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F978640"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306126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AFDBCE3"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43440969" w14:textId="77777777" w:rsidR="00000000" w:rsidRDefault="00195E73">
            <w:pPr>
              <w:jc w:val="right"/>
              <w:rPr>
                <w:rFonts w:eastAsia="Times New Roman"/>
              </w:rPr>
            </w:pPr>
            <w:r>
              <w:rPr>
                <w:rFonts w:eastAsia="Times New Roman"/>
                <w:color w:val="000000"/>
                <w:sz w:val="16"/>
                <w:szCs w:val="16"/>
              </w:rPr>
              <w:t>10,576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2429DCC9"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507C41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5FB761C"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5AEEE776" w14:textId="77777777" w:rsidR="00000000" w:rsidRDefault="00195E73">
            <w:pPr>
              <w:jc w:val="right"/>
              <w:rPr>
                <w:rFonts w:eastAsia="Times New Roman"/>
              </w:rPr>
            </w:pPr>
            <w:r>
              <w:rPr>
                <w:rFonts w:eastAsia="Times New Roman"/>
                <w:color w:val="000000"/>
                <w:sz w:val="16"/>
                <w:szCs w:val="16"/>
              </w:rPr>
              <w:t>9,306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A328B29"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0116FF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8007EC3"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260BF59A" w14:textId="77777777" w:rsidR="00000000" w:rsidRDefault="00195E73">
            <w:pPr>
              <w:jc w:val="right"/>
              <w:rPr>
                <w:rFonts w:eastAsia="Times New Roman"/>
              </w:rPr>
            </w:pPr>
            <w:r>
              <w:rPr>
                <w:rFonts w:eastAsia="Times New Roman"/>
                <w:color w:val="000000"/>
                <w:sz w:val="16"/>
                <w:szCs w:val="16"/>
              </w:rPr>
              <w:t>7,740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3D9EAF7"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A17CD4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E2B5545"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2F72F330" w14:textId="77777777" w:rsidR="00000000" w:rsidRDefault="00195E73">
            <w:pPr>
              <w:jc w:val="right"/>
              <w:rPr>
                <w:rFonts w:eastAsia="Times New Roman"/>
              </w:rPr>
            </w:pPr>
            <w:r>
              <w:rPr>
                <w:rFonts w:eastAsia="Times New Roman"/>
                <w:color w:val="000000"/>
                <w:sz w:val="16"/>
                <w:szCs w:val="16"/>
              </w:rPr>
              <w:t>6,771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7E837F9"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2B84CD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3696200"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7CE157D0" w14:textId="77777777" w:rsidR="00000000" w:rsidRDefault="00195E73">
            <w:pPr>
              <w:jc w:val="right"/>
              <w:rPr>
                <w:rFonts w:eastAsia="Times New Roman"/>
              </w:rPr>
            </w:pPr>
            <w:r>
              <w:rPr>
                <w:rFonts w:eastAsia="Times New Roman"/>
                <w:color w:val="000000"/>
                <w:sz w:val="16"/>
                <w:szCs w:val="16"/>
              </w:rPr>
              <w:t>9,720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BF2C12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AE8889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5CC4B0B"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29679E18" w14:textId="77777777" w:rsidR="00000000" w:rsidRDefault="00195E73">
            <w:pPr>
              <w:jc w:val="right"/>
              <w:rPr>
                <w:rFonts w:eastAsia="Times New Roman"/>
              </w:rPr>
            </w:pPr>
            <w:r>
              <w:rPr>
                <w:rFonts w:eastAsia="Times New Roman"/>
                <w:color w:val="000000"/>
                <w:sz w:val="16"/>
                <w:szCs w:val="16"/>
              </w:rPr>
              <w:t>10,576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728C1EF"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1A49EA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3683D2B"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30FF9129" w14:textId="77777777" w:rsidR="00000000" w:rsidRDefault="00195E73">
            <w:pPr>
              <w:jc w:val="right"/>
              <w:rPr>
                <w:rFonts w:eastAsia="Times New Roman"/>
              </w:rPr>
            </w:pPr>
            <w:r>
              <w:rPr>
                <w:rFonts w:eastAsia="Times New Roman"/>
                <w:color w:val="000000"/>
                <w:sz w:val="16"/>
                <w:szCs w:val="16"/>
              </w:rPr>
              <w:t>9,306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57709302"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4C487A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294AF90"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2D20135C" w14:textId="77777777" w:rsidR="00000000" w:rsidRDefault="00195E73">
            <w:pPr>
              <w:jc w:val="right"/>
              <w:rPr>
                <w:rFonts w:eastAsia="Times New Roman"/>
              </w:rPr>
            </w:pPr>
            <w:r>
              <w:rPr>
                <w:rFonts w:eastAsia="Times New Roman"/>
                <w:color w:val="000000"/>
                <w:sz w:val="16"/>
                <w:szCs w:val="16"/>
              </w:rPr>
              <w:t>7,740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293876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0BEC2E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148DAA3"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02F85F35" w14:textId="77777777" w:rsidR="00000000" w:rsidRDefault="00195E73">
            <w:pPr>
              <w:jc w:val="right"/>
              <w:rPr>
                <w:rFonts w:eastAsia="Times New Roman"/>
              </w:rPr>
            </w:pPr>
            <w:r>
              <w:rPr>
                <w:rFonts w:eastAsia="Times New Roman"/>
                <w:color w:val="000000"/>
                <w:sz w:val="16"/>
                <w:szCs w:val="16"/>
              </w:rPr>
              <w:t>6,771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D692C61"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16D83A98" w14:textId="77777777" w:rsidR="00000000" w:rsidRDefault="00195E73">
            <w:pPr>
              <w:rPr>
                <w:rFonts w:eastAsia="Times New Roman"/>
                <w:sz w:val="20"/>
                <w:szCs w:val="20"/>
              </w:rPr>
            </w:pPr>
          </w:p>
        </w:tc>
        <w:tc>
          <w:tcPr>
            <w:tcW w:w="0" w:type="auto"/>
            <w:vAlign w:val="center"/>
            <w:hideMark/>
          </w:tcPr>
          <w:p w14:paraId="004C89ED" w14:textId="77777777" w:rsidR="00000000" w:rsidRDefault="00195E73">
            <w:pPr>
              <w:rPr>
                <w:rFonts w:eastAsia="Times New Roman"/>
                <w:sz w:val="20"/>
                <w:szCs w:val="20"/>
              </w:rPr>
            </w:pPr>
          </w:p>
        </w:tc>
        <w:tc>
          <w:tcPr>
            <w:tcW w:w="0" w:type="auto"/>
            <w:vAlign w:val="center"/>
            <w:hideMark/>
          </w:tcPr>
          <w:p w14:paraId="1353FF20" w14:textId="77777777" w:rsidR="00000000" w:rsidRDefault="00195E73">
            <w:pPr>
              <w:rPr>
                <w:rFonts w:eastAsia="Times New Roman"/>
                <w:sz w:val="20"/>
                <w:szCs w:val="20"/>
              </w:rPr>
            </w:pPr>
          </w:p>
        </w:tc>
      </w:tr>
      <w:tr w:rsidR="00195E73" w14:paraId="10D4EDF3" w14:textId="77777777">
        <w:trPr>
          <w:divId w:val="10837737"/>
          <w:jc w:val="center"/>
        </w:trPr>
        <w:tc>
          <w:tcPr>
            <w:tcW w:w="0" w:type="auto"/>
            <w:gridSpan w:val="3"/>
            <w:shd w:val="clear" w:color="auto" w:fill="FFFFFF"/>
            <w:tcMar>
              <w:top w:w="30" w:type="dxa"/>
              <w:left w:w="20" w:type="dxa"/>
              <w:bottom w:w="30" w:type="dxa"/>
              <w:right w:w="20" w:type="dxa"/>
            </w:tcMar>
            <w:vAlign w:val="bottom"/>
            <w:hideMark/>
          </w:tcPr>
          <w:p w14:paraId="7A4581F0" w14:textId="77777777" w:rsidR="00000000" w:rsidRDefault="00195E73">
            <w:pPr>
              <w:rPr>
                <w:rFonts w:eastAsia="Times New Roman"/>
              </w:rPr>
            </w:pPr>
            <w:r>
              <w:rPr>
                <w:rFonts w:eastAsia="Times New Roman"/>
                <w:color w:val="000000"/>
                <w:sz w:val="16"/>
                <w:szCs w:val="16"/>
              </w:rPr>
              <w:t>Other revenues from operation</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14:paraId="5796D891" w14:textId="77777777" w:rsidR="00000000" w:rsidRDefault="00195E73">
            <w:pPr>
              <w:jc w:val="right"/>
              <w:rPr>
                <w:rFonts w:eastAsia="Times New Roman"/>
              </w:rPr>
            </w:pPr>
            <w:r>
              <w:rPr>
                <w:rFonts w:eastAsia="Times New Roman"/>
                <w:color w:val="000000"/>
                <w:sz w:val="16"/>
                <w:szCs w:val="16"/>
              </w:rPr>
              <w:t>666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0FF12CF"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4816AC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E99354" w14:textId="77777777" w:rsidR="00000000" w:rsidRDefault="00195E73">
            <w:pPr>
              <w:jc w:val="right"/>
              <w:rPr>
                <w:rFonts w:eastAsia="Times New Roman"/>
              </w:rPr>
            </w:pPr>
            <w:r>
              <w:rPr>
                <w:rFonts w:eastAsia="Times New Roman"/>
                <w:color w:val="000000"/>
                <w:sz w:val="16"/>
                <w:szCs w:val="16"/>
              </w:rPr>
              <w:t>647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42C5EB36"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DDD4D7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F16F59" w14:textId="77777777" w:rsidR="00000000" w:rsidRDefault="00195E73">
            <w:pPr>
              <w:jc w:val="right"/>
              <w:rPr>
                <w:rFonts w:eastAsia="Times New Roman"/>
              </w:rPr>
            </w:pPr>
            <w:r>
              <w:rPr>
                <w:rFonts w:eastAsia="Times New Roman"/>
                <w:color w:val="000000"/>
                <w:sz w:val="16"/>
                <w:szCs w:val="16"/>
              </w:rPr>
              <w:t>743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2498E1C"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ADDADD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634A54" w14:textId="77777777" w:rsidR="00000000" w:rsidRDefault="00195E73">
            <w:pPr>
              <w:jc w:val="right"/>
              <w:rPr>
                <w:rFonts w:eastAsia="Times New Roman"/>
              </w:rPr>
            </w:pPr>
            <w:r>
              <w:rPr>
                <w:rFonts w:eastAsia="Times New Roman"/>
                <w:color w:val="000000"/>
                <w:sz w:val="16"/>
                <w:szCs w:val="16"/>
              </w:rPr>
              <w:t>840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D2752F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8A63DB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99B472" w14:textId="77777777" w:rsidR="00000000" w:rsidRDefault="00195E73">
            <w:pPr>
              <w:jc w:val="right"/>
              <w:rPr>
                <w:rFonts w:eastAsia="Times New Roman"/>
              </w:rPr>
            </w:pPr>
            <w:r>
              <w:rPr>
                <w:rFonts w:eastAsia="Times New Roman"/>
                <w:color w:val="000000"/>
                <w:sz w:val="16"/>
                <w:szCs w:val="16"/>
              </w:rPr>
              <w:t>418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FAC7100"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577E2F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4A1E80" w14:textId="77777777" w:rsidR="00000000" w:rsidRDefault="00195E73">
            <w:pPr>
              <w:jc w:val="right"/>
              <w:rPr>
                <w:rFonts w:eastAsia="Times New Roman"/>
              </w:rPr>
            </w:pPr>
            <w:r>
              <w:rPr>
                <w:rFonts w:eastAsia="Times New Roman"/>
                <w:color w:val="000000"/>
                <w:sz w:val="16"/>
                <w:szCs w:val="16"/>
              </w:rPr>
              <w:t>666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D81045F"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9916B4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CC8609" w14:textId="77777777" w:rsidR="00000000" w:rsidRDefault="00195E73">
            <w:pPr>
              <w:jc w:val="right"/>
              <w:rPr>
                <w:rFonts w:eastAsia="Times New Roman"/>
              </w:rPr>
            </w:pPr>
            <w:r>
              <w:rPr>
                <w:rFonts w:eastAsia="Times New Roman"/>
                <w:color w:val="000000"/>
                <w:sz w:val="16"/>
                <w:szCs w:val="16"/>
              </w:rPr>
              <w:t>647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433EF6E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1933B5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5915C8" w14:textId="77777777" w:rsidR="00000000" w:rsidRDefault="00195E73">
            <w:pPr>
              <w:jc w:val="right"/>
              <w:rPr>
                <w:rFonts w:eastAsia="Times New Roman"/>
              </w:rPr>
            </w:pPr>
            <w:r>
              <w:rPr>
                <w:rFonts w:eastAsia="Times New Roman"/>
                <w:color w:val="000000"/>
                <w:sz w:val="16"/>
                <w:szCs w:val="16"/>
              </w:rPr>
              <w:t>743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3CA57FEF"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429CB5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6AA870" w14:textId="77777777" w:rsidR="00000000" w:rsidRDefault="00195E73">
            <w:pPr>
              <w:jc w:val="right"/>
              <w:rPr>
                <w:rFonts w:eastAsia="Times New Roman"/>
              </w:rPr>
            </w:pPr>
            <w:r>
              <w:rPr>
                <w:rFonts w:eastAsia="Times New Roman"/>
                <w:color w:val="000000"/>
                <w:sz w:val="16"/>
                <w:szCs w:val="16"/>
              </w:rPr>
              <w:t>840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0CCB6B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88B59A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FA880D" w14:textId="77777777" w:rsidR="00000000" w:rsidRDefault="00195E73">
            <w:pPr>
              <w:jc w:val="right"/>
              <w:rPr>
                <w:rFonts w:eastAsia="Times New Roman"/>
              </w:rPr>
            </w:pPr>
            <w:r>
              <w:rPr>
                <w:rFonts w:eastAsia="Times New Roman"/>
                <w:color w:val="000000"/>
                <w:sz w:val="16"/>
                <w:szCs w:val="16"/>
              </w:rPr>
              <w:t>418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A42194B"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24D0F910" w14:textId="77777777" w:rsidR="00000000" w:rsidRDefault="00195E73">
            <w:pPr>
              <w:rPr>
                <w:rFonts w:eastAsia="Times New Roman"/>
                <w:sz w:val="20"/>
                <w:szCs w:val="20"/>
              </w:rPr>
            </w:pPr>
          </w:p>
        </w:tc>
        <w:tc>
          <w:tcPr>
            <w:tcW w:w="0" w:type="auto"/>
            <w:vAlign w:val="center"/>
            <w:hideMark/>
          </w:tcPr>
          <w:p w14:paraId="7FEF91BB" w14:textId="77777777" w:rsidR="00000000" w:rsidRDefault="00195E73">
            <w:pPr>
              <w:rPr>
                <w:rFonts w:eastAsia="Times New Roman"/>
                <w:sz w:val="20"/>
                <w:szCs w:val="20"/>
              </w:rPr>
            </w:pPr>
          </w:p>
        </w:tc>
        <w:tc>
          <w:tcPr>
            <w:tcW w:w="0" w:type="auto"/>
            <w:vAlign w:val="center"/>
            <w:hideMark/>
          </w:tcPr>
          <w:p w14:paraId="24B6B89C" w14:textId="77777777" w:rsidR="00000000" w:rsidRDefault="00195E73">
            <w:pPr>
              <w:rPr>
                <w:rFonts w:eastAsia="Times New Roman"/>
                <w:sz w:val="20"/>
                <w:szCs w:val="20"/>
              </w:rPr>
            </w:pPr>
          </w:p>
        </w:tc>
      </w:tr>
      <w:tr w:rsidR="00195E73" w14:paraId="18AADE59" w14:textId="77777777">
        <w:trPr>
          <w:divId w:val="10837737"/>
          <w:jc w:val="center"/>
        </w:trPr>
        <w:tc>
          <w:tcPr>
            <w:tcW w:w="0" w:type="auto"/>
            <w:gridSpan w:val="3"/>
            <w:shd w:val="clear" w:color="auto" w:fill="CCEEFF"/>
            <w:tcMar>
              <w:top w:w="30" w:type="dxa"/>
              <w:left w:w="20" w:type="dxa"/>
              <w:bottom w:w="30" w:type="dxa"/>
              <w:right w:w="20" w:type="dxa"/>
            </w:tcMar>
            <w:vAlign w:val="bottom"/>
            <w:hideMark/>
          </w:tcPr>
          <w:p w14:paraId="53B93C5F" w14:textId="77777777" w:rsidR="00000000" w:rsidRDefault="00195E73">
            <w:pPr>
              <w:ind w:hanging="90"/>
              <w:divId w:val="1626890669"/>
              <w:rPr>
                <w:rFonts w:eastAsia="Times New Roman"/>
              </w:rPr>
            </w:pPr>
            <w:r>
              <w:rPr>
                <w:rFonts w:eastAsia="Times New Roman"/>
                <w:color w:val="000000"/>
                <w:sz w:val="16"/>
                <w:szCs w:val="16"/>
              </w:rPr>
              <w:t>Net (loss) gain from investment activitie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14:paraId="044DF217" w14:textId="77777777" w:rsidR="00000000" w:rsidRDefault="00195E73">
            <w:pPr>
              <w:jc w:val="right"/>
              <w:rPr>
                <w:rFonts w:eastAsia="Times New Roman"/>
              </w:rPr>
            </w:pPr>
            <w:r>
              <w:rPr>
                <w:rFonts w:eastAsia="Times New Roman"/>
                <w:color w:val="000000"/>
                <w:sz w:val="16"/>
                <w:szCs w:val="16"/>
              </w:rPr>
              <w:t>(1,931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3D4D0D36"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000949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50C1F0" w14:textId="77777777" w:rsidR="00000000" w:rsidRDefault="00195E73">
            <w:pPr>
              <w:jc w:val="right"/>
              <w:rPr>
                <w:rFonts w:eastAsia="Times New Roman"/>
              </w:rPr>
            </w:pPr>
            <w:r>
              <w:rPr>
                <w:rFonts w:eastAsia="Times New Roman"/>
                <w:color w:val="000000"/>
                <w:sz w:val="16"/>
                <w:szCs w:val="16"/>
              </w:rPr>
              <w:t>322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522CFBA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2BF7CA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1EE379" w14:textId="77777777" w:rsidR="00000000" w:rsidRDefault="00195E73">
            <w:pPr>
              <w:jc w:val="right"/>
              <w:rPr>
                <w:rFonts w:eastAsia="Times New Roman"/>
              </w:rPr>
            </w:pPr>
            <w:r>
              <w:rPr>
                <w:rFonts w:eastAsia="Times New Roman"/>
                <w:color w:val="000000"/>
                <w:sz w:val="16"/>
                <w:szCs w:val="16"/>
              </w:rPr>
              <w:t>302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7095EA3"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D80909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370674" w14:textId="77777777" w:rsidR="00000000" w:rsidRDefault="00195E73">
            <w:pPr>
              <w:jc w:val="right"/>
              <w:rPr>
                <w:rFonts w:eastAsia="Times New Roman"/>
              </w:rPr>
            </w:pPr>
            <w:r>
              <w:rPr>
                <w:rFonts w:eastAsia="Times New Roman"/>
                <w:color w:val="000000"/>
                <w:sz w:val="16"/>
                <w:szCs w:val="16"/>
              </w:rPr>
              <w:t>(1,373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71FF930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4B8CD0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9F9DF9" w14:textId="77777777" w:rsidR="00000000" w:rsidRDefault="00195E73">
            <w:pPr>
              <w:jc w:val="right"/>
              <w:rPr>
                <w:rFonts w:eastAsia="Times New Roman"/>
              </w:rPr>
            </w:pPr>
            <w:r>
              <w:rPr>
                <w:rFonts w:eastAsia="Times New Roman"/>
                <w:color w:val="000000"/>
                <w:sz w:val="16"/>
                <w:szCs w:val="16"/>
              </w:rPr>
              <w:t>(987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367C5E7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C4071D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5D1071" w14:textId="77777777" w:rsidR="00000000" w:rsidRDefault="00195E73">
            <w:pPr>
              <w:jc w:val="right"/>
              <w:rPr>
                <w:rFonts w:eastAsia="Times New Roman"/>
              </w:rPr>
            </w:pPr>
            <w:r>
              <w:rPr>
                <w:rFonts w:eastAsia="Times New Roman"/>
                <w:color w:val="000000"/>
                <w:sz w:val="16"/>
                <w:szCs w:val="16"/>
              </w:rPr>
              <w:t>(1,931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204C7AC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10EA87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62A3D8" w14:textId="77777777" w:rsidR="00000000" w:rsidRDefault="00195E73">
            <w:pPr>
              <w:jc w:val="right"/>
              <w:rPr>
                <w:rFonts w:eastAsia="Times New Roman"/>
              </w:rPr>
            </w:pPr>
            <w:r>
              <w:rPr>
                <w:rFonts w:eastAsia="Times New Roman"/>
                <w:color w:val="000000"/>
                <w:sz w:val="16"/>
                <w:szCs w:val="16"/>
              </w:rPr>
              <w:t>322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5534668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64EAA8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EFDFB2" w14:textId="77777777" w:rsidR="00000000" w:rsidRDefault="00195E73">
            <w:pPr>
              <w:jc w:val="right"/>
              <w:rPr>
                <w:rFonts w:eastAsia="Times New Roman"/>
              </w:rPr>
            </w:pPr>
            <w:r>
              <w:rPr>
                <w:rFonts w:eastAsia="Times New Roman"/>
                <w:color w:val="000000"/>
                <w:sz w:val="16"/>
                <w:szCs w:val="16"/>
              </w:rPr>
              <w:t>302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765786B"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AC9890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9A7116" w14:textId="77777777" w:rsidR="00000000" w:rsidRDefault="00195E73">
            <w:pPr>
              <w:jc w:val="right"/>
              <w:rPr>
                <w:rFonts w:eastAsia="Times New Roman"/>
              </w:rPr>
            </w:pPr>
            <w:r>
              <w:rPr>
                <w:rFonts w:eastAsia="Times New Roman"/>
                <w:color w:val="000000"/>
                <w:sz w:val="16"/>
                <w:szCs w:val="16"/>
              </w:rPr>
              <w:t>(1,373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1FF144E4"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5ECA7E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F166C3" w14:textId="77777777" w:rsidR="00000000" w:rsidRDefault="00195E73">
            <w:pPr>
              <w:jc w:val="right"/>
              <w:rPr>
                <w:rFonts w:eastAsia="Times New Roman"/>
              </w:rPr>
            </w:pPr>
            <w:r>
              <w:rPr>
                <w:rFonts w:eastAsia="Times New Roman"/>
                <w:color w:val="000000"/>
                <w:sz w:val="16"/>
                <w:szCs w:val="16"/>
              </w:rPr>
              <w:t>(987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620022A0"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3A3D4185" w14:textId="77777777" w:rsidR="00000000" w:rsidRDefault="00195E73">
            <w:pPr>
              <w:rPr>
                <w:rFonts w:eastAsia="Times New Roman"/>
                <w:sz w:val="20"/>
                <w:szCs w:val="20"/>
              </w:rPr>
            </w:pPr>
          </w:p>
        </w:tc>
        <w:tc>
          <w:tcPr>
            <w:tcW w:w="0" w:type="auto"/>
            <w:vAlign w:val="center"/>
            <w:hideMark/>
          </w:tcPr>
          <w:p w14:paraId="5B076CA6" w14:textId="77777777" w:rsidR="00000000" w:rsidRDefault="00195E73">
            <w:pPr>
              <w:rPr>
                <w:rFonts w:eastAsia="Times New Roman"/>
                <w:sz w:val="20"/>
                <w:szCs w:val="20"/>
              </w:rPr>
            </w:pPr>
          </w:p>
        </w:tc>
        <w:tc>
          <w:tcPr>
            <w:tcW w:w="0" w:type="auto"/>
            <w:vAlign w:val="center"/>
            <w:hideMark/>
          </w:tcPr>
          <w:p w14:paraId="46DFF445" w14:textId="77777777" w:rsidR="00000000" w:rsidRDefault="00195E73">
            <w:pPr>
              <w:rPr>
                <w:rFonts w:eastAsia="Times New Roman"/>
                <w:sz w:val="20"/>
                <w:szCs w:val="20"/>
              </w:rPr>
            </w:pPr>
          </w:p>
        </w:tc>
      </w:tr>
      <w:tr w:rsidR="00195E73" w14:paraId="27FE61C2" w14:textId="77777777">
        <w:trPr>
          <w:divId w:val="10837737"/>
          <w:jc w:val="center"/>
        </w:trPr>
        <w:tc>
          <w:tcPr>
            <w:tcW w:w="0" w:type="auto"/>
            <w:gridSpan w:val="3"/>
            <w:shd w:val="clear" w:color="auto" w:fill="FFFFFF"/>
            <w:tcMar>
              <w:top w:w="30" w:type="dxa"/>
              <w:left w:w="20" w:type="dxa"/>
              <w:bottom w:w="30" w:type="dxa"/>
              <w:right w:w="20" w:type="dxa"/>
            </w:tcMar>
            <w:vAlign w:val="bottom"/>
            <w:hideMark/>
          </w:tcPr>
          <w:p w14:paraId="6E20C9A8" w14:textId="77777777" w:rsidR="00000000" w:rsidRDefault="00195E73">
            <w:pPr>
              <w:ind w:hanging="90"/>
              <w:divId w:val="1637488894"/>
              <w:rPr>
                <w:rFonts w:eastAsia="Times New Roman"/>
              </w:rPr>
            </w:pPr>
            <w:r>
              <w:rPr>
                <w:rFonts w:eastAsia="Times New Roman"/>
                <w:color w:val="000000"/>
                <w:sz w:val="16"/>
                <w:szCs w:val="16"/>
              </w:rPr>
              <w:t>Gain on disposition of assets, ne</w:t>
            </w:r>
            <w:r>
              <w:rPr>
                <w:rFonts w:eastAsia="Times New Roman"/>
                <w:color w:val="000000"/>
                <w:sz w:val="16"/>
                <w:szCs w:val="16"/>
              </w:rPr>
              <w:t>t</w:t>
            </w:r>
          </w:p>
        </w:tc>
        <w:tc>
          <w:tcPr>
            <w:tcW w:w="0" w:type="auto"/>
            <w:gridSpan w:val="2"/>
            <w:shd w:val="clear" w:color="auto" w:fill="FFFFFF"/>
            <w:tcMar>
              <w:top w:w="30" w:type="dxa"/>
              <w:left w:w="20" w:type="dxa"/>
              <w:bottom w:w="30" w:type="dxa"/>
              <w:right w:w="0" w:type="dxa"/>
            </w:tcMar>
            <w:vAlign w:val="bottom"/>
            <w:hideMark/>
          </w:tcPr>
          <w:p w14:paraId="7AE51D40" w14:textId="77777777" w:rsidR="00000000" w:rsidRDefault="00195E73">
            <w:pPr>
              <w:jc w:val="right"/>
              <w:rPr>
                <w:rFonts w:eastAsia="Times New Roman"/>
              </w:rPr>
            </w:pPr>
            <w:r>
              <w:rPr>
                <w:rFonts w:eastAsia="Times New Roman"/>
                <w:color w:val="000000"/>
                <w:sz w:val="16"/>
                <w:szCs w:val="16"/>
              </w:rPr>
              <w:t>253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42A01DC1"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3A2588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2BA7C2" w14:textId="77777777" w:rsidR="00000000" w:rsidRDefault="00195E73">
            <w:pPr>
              <w:jc w:val="right"/>
              <w:rPr>
                <w:rFonts w:eastAsia="Times New Roman"/>
              </w:rPr>
            </w:pPr>
            <w:r>
              <w:rPr>
                <w:rFonts w:eastAsia="Times New Roman"/>
                <w:color w:val="000000"/>
                <w:sz w:val="16"/>
                <w:szCs w:val="16"/>
              </w:rPr>
              <w:t>84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3CFA074"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F4B805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869F21" w14:textId="77777777" w:rsidR="00000000" w:rsidRDefault="00195E73">
            <w:pPr>
              <w:jc w:val="right"/>
              <w:rPr>
                <w:rFonts w:eastAsia="Times New Roman"/>
              </w:rPr>
            </w:pPr>
            <w:r>
              <w:rPr>
                <w:rFonts w:eastAsia="Times New Roman"/>
                <w:color w:val="000000"/>
                <w:sz w:val="16"/>
                <w:szCs w:val="16"/>
              </w:rPr>
              <w:t>2,163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D93B0EC"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5F711F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7A2952" w14:textId="77777777" w:rsidR="00000000" w:rsidRDefault="00195E73">
            <w:pPr>
              <w:jc w:val="right"/>
              <w:rPr>
                <w:rFonts w:eastAsia="Times New Roman"/>
              </w:rPr>
            </w:pPr>
            <w:r>
              <w:rPr>
                <w:rFonts w:eastAsia="Times New Roman"/>
                <w:color w:val="000000"/>
                <w:sz w:val="16"/>
                <w:szCs w:val="16"/>
              </w:rPr>
              <w:t>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439005E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7405ED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824C38" w14:textId="77777777" w:rsidR="00000000" w:rsidRDefault="00195E73">
            <w:pPr>
              <w:jc w:val="right"/>
              <w:rPr>
                <w:rFonts w:eastAsia="Times New Roman"/>
              </w:rPr>
            </w:pPr>
            <w:r>
              <w:rPr>
                <w:rFonts w:eastAsia="Times New Roman"/>
                <w:color w:val="000000"/>
                <w:sz w:val="16"/>
                <w:szCs w:val="16"/>
              </w:rPr>
              <w:t>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0B2E772"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A65D7D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16C56D" w14:textId="77777777" w:rsidR="00000000" w:rsidRDefault="00195E73">
            <w:pPr>
              <w:jc w:val="right"/>
              <w:rPr>
                <w:rFonts w:eastAsia="Times New Roman"/>
              </w:rPr>
            </w:pPr>
            <w:r>
              <w:rPr>
                <w:rFonts w:eastAsia="Times New Roman"/>
                <w:color w:val="000000"/>
                <w:sz w:val="16"/>
                <w:szCs w:val="16"/>
              </w:rPr>
              <w:t>253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44A0AA68"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2B6406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D0B8F6" w14:textId="77777777" w:rsidR="00000000" w:rsidRDefault="00195E73">
            <w:pPr>
              <w:jc w:val="right"/>
              <w:rPr>
                <w:rFonts w:eastAsia="Times New Roman"/>
              </w:rPr>
            </w:pPr>
            <w:r>
              <w:rPr>
                <w:rFonts w:eastAsia="Times New Roman"/>
                <w:color w:val="000000"/>
                <w:sz w:val="16"/>
                <w:szCs w:val="16"/>
              </w:rPr>
              <w:t>84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654622C"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E4723A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2F8634" w14:textId="77777777" w:rsidR="00000000" w:rsidRDefault="00195E73">
            <w:pPr>
              <w:jc w:val="right"/>
              <w:rPr>
                <w:rFonts w:eastAsia="Times New Roman"/>
              </w:rPr>
            </w:pPr>
            <w:r>
              <w:rPr>
                <w:rFonts w:eastAsia="Times New Roman"/>
                <w:color w:val="000000"/>
                <w:sz w:val="16"/>
                <w:szCs w:val="16"/>
              </w:rPr>
              <w:t>2,163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C3C25C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A81EF3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C2624D" w14:textId="77777777" w:rsidR="00000000" w:rsidRDefault="00195E73">
            <w:pPr>
              <w:jc w:val="right"/>
              <w:rPr>
                <w:rFonts w:eastAsia="Times New Roman"/>
              </w:rPr>
            </w:pPr>
            <w:r>
              <w:rPr>
                <w:rFonts w:eastAsia="Times New Roman"/>
                <w:color w:val="000000"/>
                <w:sz w:val="16"/>
                <w:szCs w:val="16"/>
              </w:rPr>
              <w:t>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7D41F797"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6C450F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631057" w14:textId="77777777" w:rsidR="00000000" w:rsidRDefault="00195E73">
            <w:pPr>
              <w:jc w:val="right"/>
              <w:rPr>
                <w:rFonts w:eastAsia="Times New Roman"/>
              </w:rPr>
            </w:pPr>
            <w:r>
              <w:rPr>
                <w:rFonts w:eastAsia="Times New Roman"/>
                <w:color w:val="000000"/>
                <w:sz w:val="16"/>
                <w:szCs w:val="16"/>
              </w:rPr>
              <w:t>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37768FB4"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5A73CBC6" w14:textId="77777777" w:rsidR="00000000" w:rsidRDefault="00195E73">
            <w:pPr>
              <w:rPr>
                <w:rFonts w:eastAsia="Times New Roman"/>
                <w:sz w:val="20"/>
                <w:szCs w:val="20"/>
              </w:rPr>
            </w:pPr>
          </w:p>
        </w:tc>
        <w:tc>
          <w:tcPr>
            <w:tcW w:w="0" w:type="auto"/>
            <w:vAlign w:val="center"/>
            <w:hideMark/>
          </w:tcPr>
          <w:p w14:paraId="275D4D8A" w14:textId="77777777" w:rsidR="00000000" w:rsidRDefault="00195E73">
            <w:pPr>
              <w:rPr>
                <w:rFonts w:eastAsia="Times New Roman"/>
                <w:sz w:val="20"/>
                <w:szCs w:val="20"/>
              </w:rPr>
            </w:pPr>
          </w:p>
        </w:tc>
        <w:tc>
          <w:tcPr>
            <w:tcW w:w="0" w:type="auto"/>
            <w:vAlign w:val="center"/>
            <w:hideMark/>
          </w:tcPr>
          <w:p w14:paraId="41745C1B" w14:textId="77777777" w:rsidR="00000000" w:rsidRDefault="00195E73">
            <w:pPr>
              <w:rPr>
                <w:rFonts w:eastAsia="Times New Roman"/>
                <w:sz w:val="20"/>
                <w:szCs w:val="20"/>
              </w:rPr>
            </w:pPr>
          </w:p>
        </w:tc>
      </w:tr>
      <w:tr w:rsidR="00195E73" w14:paraId="333268AE" w14:textId="77777777">
        <w:trPr>
          <w:divId w:val="10837737"/>
          <w:jc w:val="center"/>
        </w:trPr>
        <w:tc>
          <w:tcPr>
            <w:tcW w:w="0" w:type="auto"/>
            <w:gridSpan w:val="3"/>
            <w:shd w:val="clear" w:color="auto" w:fill="CCEEFF"/>
            <w:tcMar>
              <w:top w:w="30" w:type="dxa"/>
              <w:left w:w="20" w:type="dxa"/>
              <w:bottom w:w="30" w:type="dxa"/>
              <w:right w:w="20" w:type="dxa"/>
            </w:tcMar>
            <w:vAlign w:val="bottom"/>
            <w:hideMark/>
          </w:tcPr>
          <w:p w14:paraId="64F9232B" w14:textId="77777777" w:rsidR="00000000" w:rsidRDefault="00195E73">
            <w:pPr>
              <w:ind w:hanging="90"/>
              <w:divId w:val="1650135868"/>
              <w:rPr>
                <w:rFonts w:eastAsia="Times New Roman"/>
              </w:rPr>
            </w:pPr>
            <w:r>
              <w:rPr>
                <w:rFonts w:eastAsia="Times New Roman"/>
                <w:color w:val="000000"/>
                <w:sz w:val="16"/>
                <w:szCs w:val="16"/>
              </w:rPr>
              <w:t>Net (loss) incom</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14:paraId="44C724B4" w14:textId="77777777" w:rsidR="00000000" w:rsidRDefault="00195E73">
            <w:pPr>
              <w:jc w:val="right"/>
              <w:rPr>
                <w:rFonts w:eastAsia="Times New Roman"/>
              </w:rPr>
            </w:pPr>
            <w:r>
              <w:rPr>
                <w:rFonts w:eastAsia="Times New Roman"/>
                <w:color w:val="000000"/>
                <w:sz w:val="16"/>
                <w:szCs w:val="16"/>
              </w:rPr>
              <w:t>(1,759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26D7DF70"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2A3A18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79A492" w14:textId="77777777" w:rsidR="00000000" w:rsidRDefault="00195E73">
            <w:pPr>
              <w:jc w:val="right"/>
              <w:rPr>
                <w:rFonts w:eastAsia="Times New Roman"/>
              </w:rPr>
            </w:pPr>
            <w:r>
              <w:rPr>
                <w:rFonts w:eastAsia="Times New Roman"/>
                <w:color w:val="000000"/>
                <w:sz w:val="16"/>
                <w:szCs w:val="16"/>
              </w:rPr>
              <w:t>237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7AB42A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029547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9B2C5C" w14:textId="77777777" w:rsidR="00000000" w:rsidRDefault="00195E73">
            <w:pPr>
              <w:jc w:val="right"/>
              <w:rPr>
                <w:rFonts w:eastAsia="Times New Roman"/>
              </w:rPr>
            </w:pPr>
            <w:r>
              <w:rPr>
                <w:rFonts w:eastAsia="Times New Roman"/>
                <w:color w:val="000000"/>
                <w:sz w:val="16"/>
                <w:szCs w:val="16"/>
              </w:rPr>
              <w:t>2,398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8017CF3"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C231A3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B29D8F" w14:textId="77777777" w:rsidR="00000000" w:rsidRDefault="00195E73">
            <w:pPr>
              <w:jc w:val="right"/>
              <w:rPr>
                <w:rFonts w:eastAsia="Times New Roman"/>
              </w:rPr>
            </w:pPr>
            <w:r>
              <w:rPr>
                <w:rFonts w:eastAsia="Times New Roman"/>
                <w:color w:val="000000"/>
                <w:sz w:val="16"/>
                <w:szCs w:val="16"/>
              </w:rPr>
              <w:t>(2,284</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4453330B"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6D9FA6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67E6E2" w14:textId="77777777" w:rsidR="00000000" w:rsidRDefault="00195E73">
            <w:pPr>
              <w:jc w:val="right"/>
              <w:rPr>
                <w:rFonts w:eastAsia="Times New Roman"/>
              </w:rPr>
            </w:pPr>
            <w:r>
              <w:rPr>
                <w:rFonts w:eastAsia="Times New Roman"/>
                <w:color w:val="000000"/>
                <w:sz w:val="16"/>
                <w:szCs w:val="16"/>
              </w:rPr>
              <w:t>(1,889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34113F0C"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4AC8C2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885628" w14:textId="77777777" w:rsidR="00000000" w:rsidRDefault="00195E73">
            <w:pPr>
              <w:jc w:val="right"/>
              <w:rPr>
                <w:rFonts w:eastAsia="Times New Roman"/>
              </w:rPr>
            </w:pPr>
            <w:r>
              <w:rPr>
                <w:rFonts w:eastAsia="Times New Roman"/>
                <w:color w:val="000000"/>
                <w:sz w:val="16"/>
                <w:szCs w:val="16"/>
              </w:rPr>
              <w:t>(1,758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1B5E0EA8"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264F98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C4A5B9" w14:textId="77777777" w:rsidR="00000000" w:rsidRDefault="00195E73">
            <w:pPr>
              <w:jc w:val="right"/>
              <w:rPr>
                <w:rFonts w:eastAsia="Times New Roman"/>
              </w:rPr>
            </w:pPr>
            <w:r>
              <w:rPr>
                <w:rFonts w:eastAsia="Times New Roman"/>
                <w:color w:val="000000"/>
                <w:sz w:val="16"/>
                <w:szCs w:val="16"/>
              </w:rPr>
              <w:t>238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1169E92"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BCE3B4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C3FBF7" w14:textId="77777777" w:rsidR="00000000" w:rsidRDefault="00195E73">
            <w:pPr>
              <w:jc w:val="right"/>
              <w:rPr>
                <w:rFonts w:eastAsia="Times New Roman"/>
              </w:rPr>
            </w:pPr>
            <w:r>
              <w:rPr>
                <w:rFonts w:eastAsia="Times New Roman"/>
                <w:color w:val="000000"/>
                <w:sz w:val="16"/>
                <w:szCs w:val="16"/>
              </w:rPr>
              <w:t>2,400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56A5F3EB"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78B594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EC367A" w14:textId="77777777" w:rsidR="00000000" w:rsidRDefault="00195E73">
            <w:pPr>
              <w:jc w:val="right"/>
              <w:rPr>
                <w:rFonts w:eastAsia="Times New Roman"/>
              </w:rPr>
            </w:pPr>
            <w:r>
              <w:rPr>
                <w:rFonts w:eastAsia="Times New Roman"/>
                <w:color w:val="000000"/>
                <w:sz w:val="16"/>
                <w:szCs w:val="16"/>
              </w:rPr>
              <w:t>(2,283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3BF2F00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1EF841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AAC1F2" w14:textId="77777777" w:rsidR="00000000" w:rsidRDefault="00195E73">
            <w:pPr>
              <w:jc w:val="right"/>
              <w:rPr>
                <w:rFonts w:eastAsia="Times New Roman"/>
              </w:rPr>
            </w:pPr>
            <w:r>
              <w:rPr>
                <w:rFonts w:eastAsia="Times New Roman"/>
                <w:color w:val="000000"/>
                <w:sz w:val="16"/>
                <w:szCs w:val="16"/>
              </w:rPr>
              <w:t>(1,888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0DDF09E7"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408BA41B" w14:textId="77777777" w:rsidR="00000000" w:rsidRDefault="00195E73">
            <w:pPr>
              <w:rPr>
                <w:rFonts w:eastAsia="Times New Roman"/>
                <w:sz w:val="20"/>
                <w:szCs w:val="20"/>
              </w:rPr>
            </w:pPr>
          </w:p>
        </w:tc>
        <w:tc>
          <w:tcPr>
            <w:tcW w:w="0" w:type="auto"/>
            <w:vAlign w:val="center"/>
            <w:hideMark/>
          </w:tcPr>
          <w:p w14:paraId="48237AB2" w14:textId="77777777" w:rsidR="00000000" w:rsidRDefault="00195E73">
            <w:pPr>
              <w:rPr>
                <w:rFonts w:eastAsia="Times New Roman"/>
                <w:sz w:val="20"/>
                <w:szCs w:val="20"/>
              </w:rPr>
            </w:pPr>
          </w:p>
        </w:tc>
        <w:tc>
          <w:tcPr>
            <w:tcW w:w="0" w:type="auto"/>
            <w:vAlign w:val="center"/>
            <w:hideMark/>
          </w:tcPr>
          <w:p w14:paraId="1426E52B" w14:textId="77777777" w:rsidR="00000000" w:rsidRDefault="00195E73">
            <w:pPr>
              <w:rPr>
                <w:rFonts w:eastAsia="Times New Roman"/>
                <w:sz w:val="20"/>
                <w:szCs w:val="20"/>
              </w:rPr>
            </w:pPr>
          </w:p>
        </w:tc>
      </w:tr>
      <w:tr w:rsidR="00195E73" w14:paraId="650A15D6" w14:textId="77777777">
        <w:trPr>
          <w:divId w:val="10837737"/>
          <w:jc w:val="center"/>
        </w:trPr>
        <w:tc>
          <w:tcPr>
            <w:tcW w:w="0" w:type="auto"/>
            <w:gridSpan w:val="3"/>
            <w:shd w:val="clear" w:color="auto" w:fill="FFFFFF"/>
            <w:tcMar>
              <w:top w:w="30" w:type="dxa"/>
              <w:left w:w="20" w:type="dxa"/>
              <w:bottom w:w="30" w:type="dxa"/>
              <w:right w:w="20" w:type="dxa"/>
            </w:tcMar>
            <w:vAlign w:val="bottom"/>
            <w:hideMark/>
          </w:tcPr>
          <w:p w14:paraId="2FE6AEAF" w14:textId="77777777" w:rsidR="00000000" w:rsidRDefault="00195E73">
            <w:pPr>
              <w:ind w:hanging="90"/>
              <w:divId w:val="1983733896"/>
              <w:rPr>
                <w:rFonts w:eastAsia="Times New Roman"/>
              </w:rPr>
            </w:pPr>
            <w:r>
              <w:rPr>
                <w:rFonts w:eastAsia="Times New Roman"/>
                <w:color w:val="000000"/>
                <w:sz w:val="16"/>
                <w:szCs w:val="16"/>
              </w:rPr>
              <w:t>Less: (Loss) income attributable to non-controlling interest</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14:paraId="3FC83063" w14:textId="77777777" w:rsidR="00000000" w:rsidRDefault="00195E73">
            <w:pPr>
              <w:jc w:val="right"/>
              <w:rPr>
                <w:rFonts w:eastAsia="Times New Roman"/>
              </w:rPr>
            </w:pPr>
            <w:r>
              <w:rPr>
                <w:rFonts w:eastAsia="Times New Roman"/>
                <w:color w:val="000000"/>
                <w:sz w:val="16"/>
                <w:szCs w:val="16"/>
              </w:rPr>
              <w:t>(693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7DF5245F"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0814B9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3ED706" w14:textId="77777777" w:rsidR="00000000" w:rsidRDefault="00195E73">
            <w:pPr>
              <w:jc w:val="right"/>
              <w:rPr>
                <w:rFonts w:eastAsia="Times New Roman"/>
              </w:rPr>
            </w:pPr>
            <w:r>
              <w:rPr>
                <w:rFonts w:eastAsia="Times New Roman"/>
                <w:color w:val="000000"/>
                <w:sz w:val="16"/>
                <w:szCs w:val="16"/>
              </w:rPr>
              <w:t>475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74CBC6DC"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898E34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53F04A" w14:textId="77777777" w:rsidR="00000000" w:rsidRDefault="00195E73">
            <w:pPr>
              <w:jc w:val="right"/>
              <w:rPr>
                <w:rFonts w:eastAsia="Times New Roman"/>
              </w:rPr>
            </w:pPr>
            <w:r>
              <w:rPr>
                <w:rFonts w:eastAsia="Times New Roman"/>
                <w:color w:val="000000"/>
                <w:sz w:val="16"/>
                <w:szCs w:val="16"/>
              </w:rPr>
              <w:t>101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B360407"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2453C6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2B6701" w14:textId="77777777" w:rsidR="00000000" w:rsidRDefault="00195E73">
            <w:pPr>
              <w:jc w:val="right"/>
              <w:rPr>
                <w:rFonts w:eastAsia="Times New Roman"/>
              </w:rPr>
            </w:pPr>
            <w:r>
              <w:rPr>
                <w:rFonts w:eastAsia="Times New Roman"/>
                <w:color w:val="000000"/>
                <w:sz w:val="16"/>
                <w:szCs w:val="16"/>
              </w:rPr>
              <w:t>(1,157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2D1B698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FAD3E6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40031D" w14:textId="77777777" w:rsidR="00000000" w:rsidRDefault="00195E73">
            <w:pPr>
              <w:jc w:val="right"/>
              <w:rPr>
                <w:rFonts w:eastAsia="Times New Roman"/>
              </w:rPr>
            </w:pPr>
            <w:r>
              <w:rPr>
                <w:rFonts w:eastAsia="Times New Roman"/>
                <w:color w:val="000000"/>
                <w:sz w:val="16"/>
                <w:szCs w:val="16"/>
              </w:rPr>
              <w:t>(911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26C40F28"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A863E0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06A435" w14:textId="77777777" w:rsidR="00000000" w:rsidRDefault="00195E73">
            <w:pPr>
              <w:jc w:val="right"/>
              <w:rPr>
                <w:rFonts w:eastAsia="Times New Roman"/>
              </w:rPr>
            </w:pPr>
            <w:r>
              <w:rPr>
                <w:rFonts w:eastAsia="Times New Roman"/>
                <w:color w:val="000000"/>
                <w:sz w:val="16"/>
                <w:szCs w:val="16"/>
              </w:rPr>
              <w:t>(693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68D63CEC"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DEC285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D55093" w14:textId="77777777" w:rsidR="00000000" w:rsidRDefault="00195E73">
            <w:pPr>
              <w:jc w:val="right"/>
              <w:rPr>
                <w:rFonts w:eastAsia="Times New Roman"/>
              </w:rPr>
            </w:pPr>
            <w:r>
              <w:rPr>
                <w:rFonts w:eastAsia="Times New Roman"/>
                <w:color w:val="000000"/>
                <w:sz w:val="16"/>
                <w:szCs w:val="16"/>
              </w:rPr>
              <w:t>475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7D80FAA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81DD8E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16DAC8" w14:textId="77777777" w:rsidR="00000000" w:rsidRDefault="00195E73">
            <w:pPr>
              <w:jc w:val="right"/>
              <w:rPr>
                <w:rFonts w:eastAsia="Times New Roman"/>
              </w:rPr>
            </w:pPr>
            <w:r>
              <w:rPr>
                <w:rFonts w:eastAsia="Times New Roman"/>
                <w:color w:val="000000"/>
                <w:sz w:val="16"/>
                <w:szCs w:val="16"/>
              </w:rPr>
              <w:t>101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3D3DB5C"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19334C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5DC19E" w14:textId="77777777" w:rsidR="00000000" w:rsidRDefault="00195E73">
            <w:pPr>
              <w:jc w:val="right"/>
              <w:rPr>
                <w:rFonts w:eastAsia="Times New Roman"/>
              </w:rPr>
            </w:pPr>
            <w:r>
              <w:rPr>
                <w:rFonts w:eastAsia="Times New Roman"/>
                <w:color w:val="000000"/>
                <w:sz w:val="16"/>
                <w:szCs w:val="16"/>
              </w:rPr>
              <w:t>(1,157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02D98AC4"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EAD35C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F5E6F3" w14:textId="77777777" w:rsidR="00000000" w:rsidRDefault="00195E73">
            <w:pPr>
              <w:jc w:val="right"/>
              <w:rPr>
                <w:rFonts w:eastAsia="Times New Roman"/>
              </w:rPr>
            </w:pPr>
            <w:r>
              <w:rPr>
                <w:rFonts w:eastAsia="Times New Roman"/>
                <w:color w:val="000000"/>
                <w:sz w:val="16"/>
                <w:szCs w:val="16"/>
              </w:rPr>
              <w:t>(911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45A9AADB"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190C5E57" w14:textId="77777777" w:rsidR="00000000" w:rsidRDefault="00195E73">
            <w:pPr>
              <w:rPr>
                <w:rFonts w:eastAsia="Times New Roman"/>
                <w:sz w:val="20"/>
                <w:szCs w:val="20"/>
              </w:rPr>
            </w:pPr>
          </w:p>
        </w:tc>
        <w:tc>
          <w:tcPr>
            <w:tcW w:w="0" w:type="auto"/>
            <w:vAlign w:val="center"/>
            <w:hideMark/>
          </w:tcPr>
          <w:p w14:paraId="0A8BEDBA" w14:textId="77777777" w:rsidR="00000000" w:rsidRDefault="00195E73">
            <w:pPr>
              <w:rPr>
                <w:rFonts w:eastAsia="Times New Roman"/>
                <w:sz w:val="20"/>
                <w:szCs w:val="20"/>
              </w:rPr>
            </w:pPr>
          </w:p>
        </w:tc>
        <w:tc>
          <w:tcPr>
            <w:tcW w:w="0" w:type="auto"/>
            <w:vAlign w:val="center"/>
            <w:hideMark/>
          </w:tcPr>
          <w:p w14:paraId="352B9BF0" w14:textId="77777777" w:rsidR="00000000" w:rsidRDefault="00195E73">
            <w:pPr>
              <w:rPr>
                <w:rFonts w:eastAsia="Times New Roman"/>
                <w:sz w:val="20"/>
                <w:szCs w:val="20"/>
              </w:rPr>
            </w:pPr>
          </w:p>
        </w:tc>
      </w:tr>
      <w:tr w:rsidR="00195E73" w14:paraId="76B50037" w14:textId="77777777">
        <w:trPr>
          <w:divId w:val="10837737"/>
          <w:jc w:val="center"/>
        </w:trPr>
        <w:tc>
          <w:tcPr>
            <w:tcW w:w="0" w:type="auto"/>
            <w:gridSpan w:val="3"/>
            <w:shd w:val="clear" w:color="auto" w:fill="CCEEFF"/>
            <w:tcMar>
              <w:top w:w="30" w:type="dxa"/>
              <w:left w:w="20" w:type="dxa"/>
              <w:bottom w:w="30" w:type="dxa"/>
              <w:right w:w="20" w:type="dxa"/>
            </w:tcMar>
            <w:vAlign w:val="bottom"/>
            <w:hideMark/>
          </w:tcPr>
          <w:p w14:paraId="4EF48FCD" w14:textId="77777777" w:rsidR="00000000" w:rsidRDefault="00195E73">
            <w:pPr>
              <w:ind w:hanging="90"/>
              <w:divId w:val="1572110121"/>
              <w:rPr>
                <w:rFonts w:eastAsia="Times New Roman"/>
              </w:rPr>
            </w:pPr>
            <w:r>
              <w:rPr>
                <w:rFonts w:eastAsia="Times New Roman"/>
                <w:color w:val="000000"/>
                <w:sz w:val="16"/>
                <w:szCs w:val="16"/>
              </w:rPr>
              <w:t>Net (loss) income attributable to Icahn Enterprises/Icahn Enterprises Holding</w:t>
            </w:r>
            <w:r>
              <w:rPr>
                <w:rFonts w:eastAsia="Times New Roman"/>
                <w:color w:val="000000"/>
                <w:sz w:val="16"/>
                <w:szCs w:val="16"/>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73D9C3E"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19FB829" w14:textId="77777777" w:rsidR="00000000" w:rsidRDefault="00195E73">
            <w:pPr>
              <w:jc w:val="right"/>
              <w:rPr>
                <w:rFonts w:eastAsia="Times New Roman"/>
              </w:rPr>
            </w:pPr>
            <w:r>
              <w:rPr>
                <w:rFonts w:eastAsia="Times New Roman"/>
                <w:color w:val="000000"/>
                <w:sz w:val="16"/>
                <w:szCs w:val="16"/>
              </w:rPr>
              <w:t>(1,066</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768DB3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CAF3435"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872C3ED"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5D31984" w14:textId="77777777" w:rsidR="00000000" w:rsidRDefault="00195E73">
            <w:pPr>
              <w:jc w:val="right"/>
              <w:rPr>
                <w:rFonts w:eastAsia="Times New Roman"/>
              </w:rPr>
            </w:pPr>
            <w:r>
              <w:rPr>
                <w:rFonts w:eastAsia="Times New Roman"/>
                <w:color w:val="000000"/>
                <w:sz w:val="16"/>
                <w:szCs w:val="16"/>
              </w:rPr>
              <w:t>(238</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E869C32"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D22E954"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F5E1A14"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81B2D94" w14:textId="77777777" w:rsidR="00000000" w:rsidRDefault="00195E73">
            <w:pPr>
              <w:jc w:val="right"/>
              <w:rPr>
                <w:rFonts w:eastAsia="Times New Roman"/>
              </w:rPr>
            </w:pPr>
            <w:r>
              <w:rPr>
                <w:rFonts w:eastAsia="Times New Roman"/>
                <w:color w:val="000000"/>
                <w:sz w:val="16"/>
                <w:szCs w:val="16"/>
              </w:rPr>
              <w:t>2,297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5B08F6F"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17B7B27"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9305B3D"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F29055B" w14:textId="77777777" w:rsidR="00000000" w:rsidRDefault="00195E73">
            <w:pPr>
              <w:jc w:val="right"/>
              <w:rPr>
                <w:rFonts w:eastAsia="Times New Roman"/>
              </w:rPr>
            </w:pPr>
            <w:r>
              <w:rPr>
                <w:rFonts w:eastAsia="Times New Roman"/>
                <w:color w:val="000000"/>
                <w:sz w:val="16"/>
                <w:szCs w:val="16"/>
              </w:rPr>
              <w:t>(1,127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3BF57D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E9A9107"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ABA87EA"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0FD1C0F" w14:textId="77777777" w:rsidR="00000000" w:rsidRDefault="00195E73">
            <w:pPr>
              <w:jc w:val="right"/>
              <w:rPr>
                <w:rFonts w:eastAsia="Times New Roman"/>
              </w:rPr>
            </w:pPr>
            <w:r>
              <w:rPr>
                <w:rFonts w:eastAsia="Times New Roman"/>
                <w:color w:val="000000"/>
                <w:sz w:val="16"/>
                <w:szCs w:val="16"/>
              </w:rPr>
              <w:t>(978</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92A559F"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8239D5D"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958C224"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D1CB240" w14:textId="77777777" w:rsidR="00000000" w:rsidRDefault="00195E73">
            <w:pPr>
              <w:jc w:val="right"/>
              <w:rPr>
                <w:rFonts w:eastAsia="Times New Roman"/>
              </w:rPr>
            </w:pPr>
            <w:r>
              <w:rPr>
                <w:rFonts w:eastAsia="Times New Roman"/>
                <w:color w:val="000000"/>
                <w:sz w:val="16"/>
                <w:szCs w:val="16"/>
              </w:rPr>
              <w:t>(1,065</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0EF0C8D"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DC16C1E"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05D8E26"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022F3B6" w14:textId="77777777" w:rsidR="00000000" w:rsidRDefault="00195E73">
            <w:pPr>
              <w:jc w:val="right"/>
              <w:rPr>
                <w:rFonts w:eastAsia="Times New Roman"/>
              </w:rPr>
            </w:pPr>
            <w:r>
              <w:rPr>
                <w:rFonts w:eastAsia="Times New Roman"/>
                <w:color w:val="000000"/>
                <w:sz w:val="16"/>
                <w:szCs w:val="16"/>
              </w:rPr>
              <w:t>(237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7EC77E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5C03987"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A6B9F67"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DCEDE1A" w14:textId="77777777" w:rsidR="00000000" w:rsidRDefault="00195E73">
            <w:pPr>
              <w:jc w:val="right"/>
              <w:rPr>
                <w:rFonts w:eastAsia="Times New Roman"/>
              </w:rPr>
            </w:pPr>
            <w:r>
              <w:rPr>
                <w:rFonts w:eastAsia="Times New Roman"/>
                <w:color w:val="000000"/>
                <w:sz w:val="16"/>
                <w:szCs w:val="16"/>
              </w:rPr>
              <w:t>2,299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42B6150"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F411A0B"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F910BFD"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A85A347" w14:textId="77777777" w:rsidR="00000000" w:rsidRDefault="00195E73">
            <w:pPr>
              <w:jc w:val="right"/>
              <w:rPr>
                <w:rFonts w:eastAsia="Times New Roman"/>
              </w:rPr>
            </w:pPr>
            <w:r>
              <w:rPr>
                <w:rFonts w:eastAsia="Times New Roman"/>
                <w:color w:val="000000"/>
                <w:sz w:val="16"/>
                <w:szCs w:val="16"/>
              </w:rPr>
              <w:t>(1,126</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3D5C7B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B5C7B8B"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5FC7431"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1023678" w14:textId="77777777" w:rsidR="00000000" w:rsidRDefault="00195E73">
            <w:pPr>
              <w:jc w:val="right"/>
              <w:rPr>
                <w:rFonts w:eastAsia="Times New Roman"/>
              </w:rPr>
            </w:pPr>
            <w:r>
              <w:rPr>
                <w:rFonts w:eastAsia="Times New Roman"/>
                <w:color w:val="000000"/>
                <w:sz w:val="16"/>
                <w:szCs w:val="16"/>
              </w:rPr>
              <w:t>(977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CF07C0E"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00D3CC21" w14:textId="77777777" w:rsidR="00000000" w:rsidRDefault="00195E73">
            <w:pPr>
              <w:rPr>
                <w:rFonts w:eastAsia="Times New Roman"/>
                <w:sz w:val="20"/>
                <w:szCs w:val="20"/>
              </w:rPr>
            </w:pPr>
          </w:p>
        </w:tc>
        <w:tc>
          <w:tcPr>
            <w:tcW w:w="0" w:type="auto"/>
            <w:vAlign w:val="center"/>
            <w:hideMark/>
          </w:tcPr>
          <w:p w14:paraId="584AB374" w14:textId="77777777" w:rsidR="00000000" w:rsidRDefault="00195E73">
            <w:pPr>
              <w:rPr>
                <w:rFonts w:eastAsia="Times New Roman"/>
                <w:sz w:val="20"/>
                <w:szCs w:val="20"/>
              </w:rPr>
            </w:pPr>
          </w:p>
        </w:tc>
        <w:tc>
          <w:tcPr>
            <w:tcW w:w="0" w:type="auto"/>
            <w:vAlign w:val="center"/>
            <w:hideMark/>
          </w:tcPr>
          <w:p w14:paraId="44D33C16" w14:textId="77777777" w:rsidR="00000000" w:rsidRDefault="00195E73">
            <w:pPr>
              <w:rPr>
                <w:rFonts w:eastAsia="Times New Roman"/>
                <w:sz w:val="20"/>
                <w:szCs w:val="20"/>
              </w:rPr>
            </w:pPr>
          </w:p>
        </w:tc>
      </w:tr>
      <w:tr w:rsidR="00000000" w14:paraId="02CF4E60" w14:textId="77777777">
        <w:trPr>
          <w:divId w:val="10837737"/>
          <w:jc w:val="center"/>
        </w:trPr>
        <w:tc>
          <w:tcPr>
            <w:tcW w:w="0" w:type="auto"/>
            <w:gridSpan w:val="3"/>
            <w:shd w:val="clear" w:color="auto" w:fill="FFFFFF"/>
            <w:tcMar>
              <w:top w:w="30" w:type="dxa"/>
              <w:left w:w="20" w:type="dxa"/>
              <w:bottom w:w="30" w:type="dxa"/>
              <w:right w:w="20" w:type="dxa"/>
            </w:tcMar>
            <w:vAlign w:val="bottom"/>
            <w:hideMark/>
          </w:tcPr>
          <w:p w14:paraId="18D63139" w14:textId="77777777" w:rsidR="00000000" w:rsidRDefault="00195E73">
            <w:pPr>
              <w:ind w:hanging="90"/>
              <w:divId w:val="1983850103"/>
              <w:rPr>
                <w:rFonts w:eastAsia="Times New Roman"/>
              </w:rPr>
            </w:pPr>
            <w:r>
              <w:rPr>
                <w:rFonts w:eastAsia="Times New Roman"/>
                <w:color w:val="000000"/>
                <w:sz w:val="16"/>
                <w:szCs w:val="16"/>
              </w:rPr>
              <w:t>Net (loss) income attributable to Icahn Enterprises/Icahn Enterprises Holdings allocable to</w:t>
            </w:r>
            <w:r>
              <w:rPr>
                <w:rFonts w:eastAsia="Times New Roman"/>
                <w:color w:val="000000"/>
                <w:sz w:val="16"/>
                <w:szCs w:val="16"/>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C2B1944" w14:textId="77777777" w:rsidR="00000000" w:rsidRDefault="00195E73">
            <w:pPr>
              <w:ind w:hanging="90"/>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C75436F"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49A8CB5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B8ED161"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103563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80F9668"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909FB7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F018682"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3892077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5360D37"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5A5E9C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9060EE6"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876495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CE8B33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56306E05"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AF98744"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71C7002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A5F0C06"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B5D3340" w14:textId="77777777" w:rsidR="00000000" w:rsidRDefault="00195E73">
            <w:pPr>
              <w:rPr>
                <w:rFonts w:eastAsia="Times New Roman"/>
                <w:sz w:val="20"/>
                <w:szCs w:val="20"/>
              </w:rPr>
            </w:pPr>
          </w:p>
        </w:tc>
        <w:tc>
          <w:tcPr>
            <w:tcW w:w="0" w:type="auto"/>
            <w:vAlign w:val="center"/>
            <w:hideMark/>
          </w:tcPr>
          <w:p w14:paraId="3183D579" w14:textId="77777777" w:rsidR="00000000" w:rsidRDefault="00195E73">
            <w:pPr>
              <w:rPr>
                <w:rFonts w:eastAsia="Times New Roman"/>
                <w:sz w:val="20"/>
                <w:szCs w:val="20"/>
              </w:rPr>
            </w:pPr>
          </w:p>
        </w:tc>
        <w:tc>
          <w:tcPr>
            <w:tcW w:w="0" w:type="auto"/>
            <w:vAlign w:val="center"/>
            <w:hideMark/>
          </w:tcPr>
          <w:p w14:paraId="29A157C7" w14:textId="77777777" w:rsidR="00000000" w:rsidRDefault="00195E73">
            <w:pPr>
              <w:rPr>
                <w:rFonts w:eastAsia="Times New Roman"/>
                <w:sz w:val="20"/>
                <w:szCs w:val="20"/>
              </w:rPr>
            </w:pPr>
          </w:p>
        </w:tc>
        <w:tc>
          <w:tcPr>
            <w:tcW w:w="0" w:type="auto"/>
            <w:vAlign w:val="center"/>
            <w:hideMark/>
          </w:tcPr>
          <w:p w14:paraId="2DB13873" w14:textId="77777777" w:rsidR="00000000" w:rsidRDefault="00195E73">
            <w:pPr>
              <w:rPr>
                <w:rFonts w:eastAsia="Times New Roman"/>
                <w:sz w:val="20"/>
                <w:szCs w:val="20"/>
              </w:rPr>
            </w:pPr>
          </w:p>
        </w:tc>
      </w:tr>
      <w:tr w:rsidR="00195E73" w14:paraId="4825AD3A" w14:textId="77777777">
        <w:trPr>
          <w:divId w:val="10837737"/>
          <w:jc w:val="center"/>
        </w:trPr>
        <w:tc>
          <w:tcPr>
            <w:tcW w:w="0" w:type="auto"/>
            <w:gridSpan w:val="3"/>
            <w:shd w:val="clear" w:color="auto" w:fill="CCEEFF"/>
            <w:tcMar>
              <w:top w:w="30" w:type="dxa"/>
              <w:left w:w="20" w:type="dxa"/>
              <w:bottom w:w="30" w:type="dxa"/>
              <w:right w:w="20" w:type="dxa"/>
            </w:tcMar>
            <w:vAlign w:val="bottom"/>
            <w:hideMark/>
          </w:tcPr>
          <w:p w14:paraId="65FE6DFF" w14:textId="77777777" w:rsidR="00000000" w:rsidRDefault="00195E73">
            <w:pPr>
              <w:ind w:hanging="180"/>
              <w:divId w:val="721321460"/>
              <w:rPr>
                <w:rFonts w:eastAsia="Times New Roman"/>
              </w:rPr>
            </w:pPr>
            <w:r>
              <w:rPr>
                <w:rFonts w:eastAsia="Times New Roman"/>
                <w:color w:val="000000"/>
                <w:sz w:val="16"/>
                <w:szCs w:val="16"/>
              </w:rPr>
              <w:t>Limited partner</w:t>
            </w:r>
            <w:r>
              <w:rPr>
                <w:rFonts w:eastAsia="Times New Roman"/>
                <w:color w:val="000000"/>
                <w:sz w:val="16"/>
                <w:szCs w:val="16"/>
              </w:rPr>
              <w:t>s</w:t>
            </w:r>
          </w:p>
        </w:tc>
        <w:tc>
          <w:tcPr>
            <w:tcW w:w="0" w:type="auto"/>
            <w:shd w:val="clear" w:color="auto" w:fill="CCEEFF"/>
            <w:tcMar>
              <w:top w:w="30" w:type="dxa"/>
              <w:left w:w="20" w:type="dxa"/>
              <w:bottom w:w="30" w:type="dxa"/>
              <w:right w:w="15" w:type="dxa"/>
            </w:tcMar>
            <w:vAlign w:val="bottom"/>
            <w:hideMark/>
          </w:tcPr>
          <w:p w14:paraId="6CCEC786"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53C94222" w14:textId="77777777" w:rsidR="00000000" w:rsidRDefault="00195E73">
            <w:pPr>
              <w:jc w:val="right"/>
              <w:rPr>
                <w:rFonts w:eastAsia="Times New Roman"/>
              </w:rPr>
            </w:pPr>
            <w:r>
              <w:rPr>
                <w:rFonts w:eastAsia="Times New Roman"/>
                <w:color w:val="000000"/>
                <w:sz w:val="16"/>
                <w:szCs w:val="16"/>
              </w:rPr>
              <w:t>(1,045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6AFB0643"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B2C387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A7F1E73"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69BFE6DC" w14:textId="77777777" w:rsidR="00000000" w:rsidRDefault="00195E73">
            <w:pPr>
              <w:jc w:val="right"/>
              <w:rPr>
                <w:rFonts w:eastAsia="Times New Roman"/>
              </w:rPr>
            </w:pPr>
            <w:r>
              <w:rPr>
                <w:rFonts w:eastAsia="Times New Roman"/>
                <w:color w:val="000000"/>
                <w:sz w:val="16"/>
                <w:szCs w:val="16"/>
              </w:rPr>
              <w:t>(233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020871E6"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9062E3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D27CD86"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1B045A7C" w14:textId="77777777" w:rsidR="00000000" w:rsidRDefault="00195E73">
            <w:pPr>
              <w:jc w:val="right"/>
              <w:rPr>
                <w:rFonts w:eastAsia="Times New Roman"/>
              </w:rPr>
            </w:pPr>
            <w:r>
              <w:rPr>
                <w:rFonts w:eastAsia="Times New Roman"/>
                <w:color w:val="000000"/>
                <w:sz w:val="16"/>
                <w:szCs w:val="16"/>
              </w:rPr>
              <w:t>2,251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110017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E160C5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EE3A5EB"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1E60F314" w14:textId="77777777" w:rsidR="00000000" w:rsidRDefault="00195E73">
            <w:pPr>
              <w:jc w:val="right"/>
              <w:rPr>
                <w:rFonts w:eastAsia="Times New Roman"/>
              </w:rPr>
            </w:pPr>
            <w:r>
              <w:rPr>
                <w:rFonts w:eastAsia="Times New Roman"/>
                <w:color w:val="000000"/>
                <w:sz w:val="16"/>
                <w:szCs w:val="16"/>
              </w:rPr>
              <w:t>(1,105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0859FD6B"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F5B995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8172DB1"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2C40E666" w14:textId="77777777" w:rsidR="00000000" w:rsidRDefault="00195E73">
            <w:pPr>
              <w:jc w:val="right"/>
              <w:rPr>
                <w:rFonts w:eastAsia="Times New Roman"/>
              </w:rPr>
            </w:pPr>
            <w:r>
              <w:rPr>
                <w:rFonts w:eastAsia="Times New Roman"/>
                <w:color w:val="000000"/>
                <w:sz w:val="16"/>
                <w:szCs w:val="16"/>
              </w:rPr>
              <w:t>(959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50D39DB6"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15633F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3149DAA"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08F1642B" w14:textId="77777777" w:rsidR="00000000" w:rsidRDefault="00195E73">
            <w:pPr>
              <w:jc w:val="right"/>
              <w:rPr>
                <w:rFonts w:eastAsia="Times New Roman"/>
              </w:rPr>
            </w:pPr>
            <w:r>
              <w:rPr>
                <w:rFonts w:eastAsia="Times New Roman"/>
                <w:color w:val="000000"/>
                <w:sz w:val="16"/>
                <w:szCs w:val="16"/>
              </w:rPr>
              <w:t>(1,054</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2F9C7E31"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1A1FCF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E723711"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5EB76EE0" w14:textId="77777777" w:rsidR="00000000" w:rsidRDefault="00195E73">
            <w:pPr>
              <w:jc w:val="right"/>
              <w:rPr>
                <w:rFonts w:eastAsia="Times New Roman"/>
              </w:rPr>
            </w:pPr>
            <w:r>
              <w:rPr>
                <w:rFonts w:eastAsia="Times New Roman"/>
                <w:color w:val="000000"/>
                <w:sz w:val="16"/>
                <w:szCs w:val="16"/>
              </w:rPr>
              <w:t>(235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3E257033"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D4E32C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BFF3630"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08CEC23B" w14:textId="77777777" w:rsidR="00000000" w:rsidRDefault="00195E73">
            <w:pPr>
              <w:jc w:val="right"/>
              <w:rPr>
                <w:rFonts w:eastAsia="Times New Roman"/>
              </w:rPr>
            </w:pPr>
            <w:r>
              <w:rPr>
                <w:rFonts w:eastAsia="Times New Roman"/>
                <w:color w:val="000000"/>
                <w:sz w:val="16"/>
                <w:szCs w:val="16"/>
              </w:rPr>
              <w:t>2,276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EFE0F6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3A19E3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A3F55A9"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0AC5F85C" w14:textId="77777777" w:rsidR="00000000" w:rsidRDefault="00195E73">
            <w:pPr>
              <w:jc w:val="right"/>
              <w:rPr>
                <w:rFonts w:eastAsia="Times New Roman"/>
              </w:rPr>
            </w:pPr>
            <w:r>
              <w:rPr>
                <w:rFonts w:eastAsia="Times New Roman"/>
                <w:color w:val="000000"/>
                <w:sz w:val="16"/>
                <w:szCs w:val="16"/>
              </w:rPr>
              <w:t>(1,115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67D58B3B"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64B3DE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F92E791"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11CA69F0" w14:textId="77777777" w:rsidR="00000000" w:rsidRDefault="00195E73">
            <w:pPr>
              <w:jc w:val="right"/>
              <w:rPr>
                <w:rFonts w:eastAsia="Times New Roman"/>
              </w:rPr>
            </w:pPr>
            <w:r>
              <w:rPr>
                <w:rFonts w:eastAsia="Times New Roman"/>
                <w:color w:val="000000"/>
                <w:sz w:val="16"/>
                <w:szCs w:val="16"/>
              </w:rPr>
              <w:t>(967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1D4EE1E0"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763BFF00" w14:textId="77777777" w:rsidR="00000000" w:rsidRDefault="00195E73">
            <w:pPr>
              <w:rPr>
                <w:rFonts w:eastAsia="Times New Roman"/>
                <w:sz w:val="20"/>
                <w:szCs w:val="20"/>
              </w:rPr>
            </w:pPr>
          </w:p>
        </w:tc>
        <w:tc>
          <w:tcPr>
            <w:tcW w:w="0" w:type="auto"/>
            <w:vAlign w:val="center"/>
            <w:hideMark/>
          </w:tcPr>
          <w:p w14:paraId="76B29EC7" w14:textId="77777777" w:rsidR="00000000" w:rsidRDefault="00195E73">
            <w:pPr>
              <w:rPr>
                <w:rFonts w:eastAsia="Times New Roman"/>
                <w:sz w:val="20"/>
                <w:szCs w:val="20"/>
              </w:rPr>
            </w:pPr>
          </w:p>
        </w:tc>
        <w:tc>
          <w:tcPr>
            <w:tcW w:w="0" w:type="auto"/>
            <w:vAlign w:val="center"/>
            <w:hideMark/>
          </w:tcPr>
          <w:p w14:paraId="3D823B31" w14:textId="77777777" w:rsidR="00000000" w:rsidRDefault="00195E73">
            <w:pPr>
              <w:rPr>
                <w:rFonts w:eastAsia="Times New Roman"/>
                <w:sz w:val="20"/>
                <w:szCs w:val="20"/>
              </w:rPr>
            </w:pPr>
          </w:p>
        </w:tc>
      </w:tr>
      <w:tr w:rsidR="00195E73" w14:paraId="78EFA6B1" w14:textId="77777777">
        <w:trPr>
          <w:divId w:val="10837737"/>
          <w:jc w:val="center"/>
        </w:trPr>
        <w:tc>
          <w:tcPr>
            <w:tcW w:w="0" w:type="auto"/>
            <w:gridSpan w:val="3"/>
            <w:shd w:val="clear" w:color="auto" w:fill="FFFFFF"/>
            <w:tcMar>
              <w:top w:w="30" w:type="dxa"/>
              <w:left w:w="20" w:type="dxa"/>
              <w:bottom w:w="30" w:type="dxa"/>
              <w:right w:w="20" w:type="dxa"/>
            </w:tcMar>
            <w:vAlign w:val="bottom"/>
            <w:hideMark/>
          </w:tcPr>
          <w:p w14:paraId="68736F85" w14:textId="77777777" w:rsidR="00000000" w:rsidRDefault="00195E73">
            <w:pPr>
              <w:ind w:hanging="180"/>
              <w:divId w:val="720128797"/>
              <w:rPr>
                <w:rFonts w:eastAsia="Times New Roman"/>
              </w:rPr>
            </w:pPr>
            <w:r>
              <w:rPr>
                <w:rFonts w:eastAsia="Times New Roman"/>
                <w:color w:val="000000"/>
                <w:sz w:val="16"/>
                <w:szCs w:val="16"/>
              </w:rPr>
              <w:t>General partne</w:t>
            </w:r>
            <w:r>
              <w:rPr>
                <w:rFonts w:eastAsia="Times New Roman"/>
                <w:color w:val="000000"/>
                <w:sz w:val="16"/>
                <w:szCs w:val="16"/>
              </w:rPr>
              <w:t>r</w:t>
            </w:r>
          </w:p>
        </w:tc>
        <w:tc>
          <w:tcPr>
            <w:tcW w:w="0" w:type="auto"/>
            <w:gridSpan w:val="2"/>
            <w:shd w:val="clear" w:color="auto" w:fill="FFFFFF"/>
            <w:tcMar>
              <w:top w:w="30" w:type="dxa"/>
              <w:left w:w="20" w:type="dxa"/>
              <w:bottom w:w="30" w:type="dxa"/>
              <w:right w:w="0" w:type="dxa"/>
            </w:tcMar>
            <w:vAlign w:val="bottom"/>
            <w:hideMark/>
          </w:tcPr>
          <w:p w14:paraId="2F8A3F46" w14:textId="77777777" w:rsidR="00000000" w:rsidRDefault="00195E73">
            <w:pPr>
              <w:jc w:val="right"/>
              <w:rPr>
                <w:rFonts w:eastAsia="Times New Roman"/>
              </w:rPr>
            </w:pPr>
            <w:r>
              <w:rPr>
                <w:rFonts w:eastAsia="Times New Roman"/>
                <w:color w:val="000000"/>
                <w:sz w:val="16"/>
                <w:szCs w:val="16"/>
              </w:rPr>
              <w:t>(21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65AA20D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ABBC69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BE051E" w14:textId="77777777" w:rsidR="00000000" w:rsidRDefault="00195E73">
            <w:pPr>
              <w:jc w:val="right"/>
              <w:rPr>
                <w:rFonts w:eastAsia="Times New Roman"/>
              </w:rPr>
            </w:pPr>
            <w:r>
              <w:rPr>
                <w:rFonts w:eastAsia="Times New Roman"/>
                <w:color w:val="000000"/>
                <w:sz w:val="16"/>
                <w:szCs w:val="16"/>
              </w:rPr>
              <w:t>(5</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34D71236"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9E271F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39F99A" w14:textId="77777777" w:rsidR="00000000" w:rsidRDefault="00195E73">
            <w:pPr>
              <w:jc w:val="right"/>
              <w:rPr>
                <w:rFonts w:eastAsia="Times New Roman"/>
              </w:rPr>
            </w:pPr>
            <w:r>
              <w:rPr>
                <w:rFonts w:eastAsia="Times New Roman"/>
                <w:color w:val="000000"/>
                <w:sz w:val="16"/>
                <w:szCs w:val="16"/>
              </w:rPr>
              <w:t>46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E2954A0"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2A0432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3C545B" w14:textId="77777777" w:rsidR="00000000" w:rsidRDefault="00195E73">
            <w:pPr>
              <w:jc w:val="right"/>
              <w:rPr>
                <w:rFonts w:eastAsia="Times New Roman"/>
              </w:rPr>
            </w:pPr>
            <w:r>
              <w:rPr>
                <w:rFonts w:eastAsia="Times New Roman"/>
                <w:color w:val="000000"/>
                <w:sz w:val="16"/>
                <w:szCs w:val="16"/>
              </w:rPr>
              <w:t>(22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7A7CFB34"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7BDEA0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C91824" w14:textId="77777777" w:rsidR="00000000" w:rsidRDefault="00195E73">
            <w:pPr>
              <w:jc w:val="right"/>
              <w:rPr>
                <w:rFonts w:eastAsia="Times New Roman"/>
              </w:rPr>
            </w:pPr>
            <w:r>
              <w:rPr>
                <w:rFonts w:eastAsia="Times New Roman"/>
                <w:color w:val="000000"/>
                <w:sz w:val="16"/>
                <w:szCs w:val="16"/>
              </w:rPr>
              <w:t>(19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2CAFFCFD"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6893C9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E56B88" w14:textId="77777777" w:rsidR="00000000" w:rsidRDefault="00195E73">
            <w:pPr>
              <w:jc w:val="right"/>
              <w:rPr>
                <w:rFonts w:eastAsia="Times New Roman"/>
              </w:rPr>
            </w:pPr>
            <w:r>
              <w:rPr>
                <w:rFonts w:eastAsia="Times New Roman"/>
                <w:color w:val="000000"/>
                <w:sz w:val="16"/>
                <w:szCs w:val="16"/>
              </w:rPr>
              <w:t>(11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415B06C4"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C1F562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3A1FC4" w14:textId="77777777" w:rsidR="00000000" w:rsidRDefault="00195E73">
            <w:pPr>
              <w:jc w:val="right"/>
              <w:rPr>
                <w:rFonts w:eastAsia="Times New Roman"/>
              </w:rPr>
            </w:pPr>
            <w:r>
              <w:rPr>
                <w:rFonts w:eastAsia="Times New Roman"/>
                <w:color w:val="000000"/>
                <w:sz w:val="16"/>
                <w:szCs w:val="16"/>
              </w:rPr>
              <w:t>(2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05E1821D"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749593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EF91A8" w14:textId="77777777" w:rsidR="00000000" w:rsidRDefault="00195E73">
            <w:pPr>
              <w:jc w:val="right"/>
              <w:rPr>
                <w:rFonts w:eastAsia="Times New Roman"/>
              </w:rPr>
            </w:pPr>
            <w:r>
              <w:rPr>
                <w:rFonts w:eastAsia="Times New Roman"/>
                <w:color w:val="000000"/>
                <w:sz w:val="16"/>
                <w:szCs w:val="16"/>
              </w:rPr>
              <w:t>23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8B3A03D"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E17259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090A9C" w14:textId="77777777" w:rsidR="00000000" w:rsidRDefault="00195E73">
            <w:pPr>
              <w:jc w:val="right"/>
              <w:rPr>
                <w:rFonts w:eastAsia="Times New Roman"/>
              </w:rPr>
            </w:pPr>
            <w:r>
              <w:rPr>
                <w:rFonts w:eastAsia="Times New Roman"/>
                <w:color w:val="000000"/>
                <w:sz w:val="16"/>
                <w:szCs w:val="16"/>
              </w:rPr>
              <w:t>(11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1AE8E1D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32C761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BAC4F8" w14:textId="77777777" w:rsidR="00000000" w:rsidRDefault="00195E73">
            <w:pPr>
              <w:jc w:val="right"/>
              <w:rPr>
                <w:rFonts w:eastAsia="Times New Roman"/>
              </w:rPr>
            </w:pPr>
            <w:r>
              <w:rPr>
                <w:rFonts w:eastAsia="Times New Roman"/>
                <w:color w:val="000000"/>
                <w:sz w:val="16"/>
                <w:szCs w:val="16"/>
              </w:rPr>
              <w:t>(10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1723208F"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39A4C5D9" w14:textId="77777777" w:rsidR="00000000" w:rsidRDefault="00195E73">
            <w:pPr>
              <w:rPr>
                <w:rFonts w:eastAsia="Times New Roman"/>
                <w:sz w:val="20"/>
                <w:szCs w:val="20"/>
              </w:rPr>
            </w:pPr>
          </w:p>
        </w:tc>
        <w:tc>
          <w:tcPr>
            <w:tcW w:w="0" w:type="auto"/>
            <w:vAlign w:val="center"/>
            <w:hideMark/>
          </w:tcPr>
          <w:p w14:paraId="0146DCA5" w14:textId="77777777" w:rsidR="00000000" w:rsidRDefault="00195E73">
            <w:pPr>
              <w:rPr>
                <w:rFonts w:eastAsia="Times New Roman"/>
                <w:sz w:val="20"/>
                <w:szCs w:val="20"/>
              </w:rPr>
            </w:pPr>
          </w:p>
        </w:tc>
        <w:tc>
          <w:tcPr>
            <w:tcW w:w="0" w:type="auto"/>
            <w:vAlign w:val="center"/>
            <w:hideMark/>
          </w:tcPr>
          <w:p w14:paraId="168B4C02" w14:textId="77777777" w:rsidR="00000000" w:rsidRDefault="00195E73">
            <w:pPr>
              <w:rPr>
                <w:rFonts w:eastAsia="Times New Roman"/>
                <w:sz w:val="20"/>
                <w:szCs w:val="20"/>
              </w:rPr>
            </w:pPr>
          </w:p>
        </w:tc>
      </w:tr>
      <w:tr w:rsidR="00195E73" w14:paraId="2BA8C48D" w14:textId="77777777">
        <w:trPr>
          <w:divId w:val="10837737"/>
          <w:jc w:val="center"/>
        </w:trPr>
        <w:tc>
          <w:tcPr>
            <w:tcW w:w="0" w:type="auto"/>
            <w:gridSpan w:val="3"/>
            <w:shd w:val="clear" w:color="auto" w:fill="CCEEFF"/>
            <w:tcMar>
              <w:top w:w="15" w:type="dxa"/>
              <w:left w:w="20" w:type="dxa"/>
              <w:bottom w:w="15" w:type="dxa"/>
              <w:right w:w="20" w:type="dxa"/>
            </w:tcMar>
            <w:vAlign w:val="bottom"/>
            <w:hideMark/>
          </w:tcPr>
          <w:p w14:paraId="1CDAC1F6"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F4FBA96"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0B5B329" w14:textId="77777777" w:rsidR="00000000" w:rsidRDefault="00195E73">
            <w:pPr>
              <w:jc w:val="right"/>
              <w:rPr>
                <w:rFonts w:eastAsia="Times New Roman"/>
              </w:rPr>
            </w:pPr>
            <w:r>
              <w:rPr>
                <w:rFonts w:eastAsia="Times New Roman"/>
                <w:color w:val="000000"/>
                <w:sz w:val="16"/>
                <w:szCs w:val="16"/>
              </w:rPr>
              <w:t>(1,066</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5A6D4E1"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C41A349"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D22343B"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43AC06F" w14:textId="77777777" w:rsidR="00000000" w:rsidRDefault="00195E73">
            <w:pPr>
              <w:jc w:val="right"/>
              <w:rPr>
                <w:rFonts w:eastAsia="Times New Roman"/>
              </w:rPr>
            </w:pPr>
            <w:r>
              <w:rPr>
                <w:rFonts w:eastAsia="Times New Roman"/>
                <w:color w:val="000000"/>
                <w:sz w:val="16"/>
                <w:szCs w:val="16"/>
              </w:rPr>
              <w:t>(238</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CF525A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3B38FBA"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A9DB4CC"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F2DFB56" w14:textId="77777777" w:rsidR="00000000" w:rsidRDefault="00195E73">
            <w:pPr>
              <w:jc w:val="right"/>
              <w:rPr>
                <w:rFonts w:eastAsia="Times New Roman"/>
              </w:rPr>
            </w:pPr>
            <w:r>
              <w:rPr>
                <w:rFonts w:eastAsia="Times New Roman"/>
                <w:color w:val="000000"/>
                <w:sz w:val="16"/>
                <w:szCs w:val="16"/>
              </w:rPr>
              <w:t>2,297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20FC437"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1E7781A"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7F75CAF"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7AB53E1" w14:textId="77777777" w:rsidR="00000000" w:rsidRDefault="00195E73">
            <w:pPr>
              <w:jc w:val="right"/>
              <w:rPr>
                <w:rFonts w:eastAsia="Times New Roman"/>
              </w:rPr>
            </w:pPr>
            <w:r>
              <w:rPr>
                <w:rFonts w:eastAsia="Times New Roman"/>
                <w:color w:val="000000"/>
                <w:sz w:val="16"/>
                <w:szCs w:val="16"/>
              </w:rPr>
              <w:t>(1,127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2BDC251"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4D486A1"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83D82DC"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AD230DA" w14:textId="77777777" w:rsidR="00000000" w:rsidRDefault="00195E73">
            <w:pPr>
              <w:jc w:val="right"/>
              <w:rPr>
                <w:rFonts w:eastAsia="Times New Roman"/>
              </w:rPr>
            </w:pPr>
            <w:r>
              <w:rPr>
                <w:rFonts w:eastAsia="Times New Roman"/>
                <w:color w:val="000000"/>
                <w:sz w:val="16"/>
                <w:szCs w:val="16"/>
              </w:rPr>
              <w:t>(978</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CA8E980"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7127FDC"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BBFE2C8"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B6BCD8C" w14:textId="77777777" w:rsidR="00000000" w:rsidRDefault="00195E73">
            <w:pPr>
              <w:jc w:val="right"/>
              <w:rPr>
                <w:rFonts w:eastAsia="Times New Roman"/>
              </w:rPr>
            </w:pPr>
            <w:r>
              <w:rPr>
                <w:rFonts w:eastAsia="Times New Roman"/>
                <w:color w:val="000000"/>
                <w:sz w:val="16"/>
                <w:szCs w:val="16"/>
              </w:rPr>
              <w:t>(1,065</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1B96B38"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1532AD1"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E9E8E49"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3C551D3" w14:textId="77777777" w:rsidR="00000000" w:rsidRDefault="00195E73">
            <w:pPr>
              <w:jc w:val="right"/>
              <w:rPr>
                <w:rFonts w:eastAsia="Times New Roman"/>
              </w:rPr>
            </w:pPr>
            <w:r>
              <w:rPr>
                <w:rFonts w:eastAsia="Times New Roman"/>
                <w:color w:val="000000"/>
                <w:sz w:val="16"/>
                <w:szCs w:val="16"/>
              </w:rPr>
              <w:t>(237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3E0D430"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338E251"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84F3610"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1D9C839" w14:textId="77777777" w:rsidR="00000000" w:rsidRDefault="00195E73">
            <w:pPr>
              <w:jc w:val="right"/>
              <w:rPr>
                <w:rFonts w:eastAsia="Times New Roman"/>
              </w:rPr>
            </w:pPr>
            <w:r>
              <w:rPr>
                <w:rFonts w:eastAsia="Times New Roman"/>
                <w:color w:val="000000"/>
                <w:sz w:val="16"/>
                <w:szCs w:val="16"/>
              </w:rPr>
              <w:t>2,299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AE3065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2769344"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9FC6DDF"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40FD981" w14:textId="77777777" w:rsidR="00000000" w:rsidRDefault="00195E73">
            <w:pPr>
              <w:jc w:val="right"/>
              <w:rPr>
                <w:rFonts w:eastAsia="Times New Roman"/>
              </w:rPr>
            </w:pPr>
            <w:r>
              <w:rPr>
                <w:rFonts w:eastAsia="Times New Roman"/>
                <w:color w:val="000000"/>
                <w:sz w:val="16"/>
                <w:szCs w:val="16"/>
              </w:rPr>
              <w:t>(1,126</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F180D5F"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8C5B161"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332B518" w14:textId="77777777" w:rsidR="00000000" w:rsidRDefault="00195E7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B5A5846" w14:textId="77777777" w:rsidR="00000000" w:rsidRDefault="00195E73">
            <w:pPr>
              <w:jc w:val="right"/>
              <w:rPr>
                <w:rFonts w:eastAsia="Times New Roman"/>
              </w:rPr>
            </w:pPr>
            <w:r>
              <w:rPr>
                <w:rFonts w:eastAsia="Times New Roman"/>
                <w:color w:val="000000"/>
                <w:sz w:val="16"/>
                <w:szCs w:val="16"/>
              </w:rPr>
              <w:t>(977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3F94740"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4D2F4993" w14:textId="77777777" w:rsidR="00000000" w:rsidRDefault="00195E73">
            <w:pPr>
              <w:rPr>
                <w:rFonts w:eastAsia="Times New Roman"/>
                <w:sz w:val="20"/>
                <w:szCs w:val="20"/>
              </w:rPr>
            </w:pPr>
          </w:p>
        </w:tc>
        <w:tc>
          <w:tcPr>
            <w:tcW w:w="0" w:type="auto"/>
            <w:vAlign w:val="center"/>
            <w:hideMark/>
          </w:tcPr>
          <w:p w14:paraId="2A2678C0" w14:textId="77777777" w:rsidR="00000000" w:rsidRDefault="00195E73">
            <w:pPr>
              <w:rPr>
                <w:rFonts w:eastAsia="Times New Roman"/>
                <w:sz w:val="20"/>
                <w:szCs w:val="20"/>
              </w:rPr>
            </w:pPr>
          </w:p>
        </w:tc>
        <w:tc>
          <w:tcPr>
            <w:tcW w:w="0" w:type="auto"/>
            <w:vAlign w:val="center"/>
            <w:hideMark/>
          </w:tcPr>
          <w:p w14:paraId="20F32A41" w14:textId="77777777" w:rsidR="00000000" w:rsidRDefault="00195E73">
            <w:pPr>
              <w:rPr>
                <w:rFonts w:eastAsia="Times New Roman"/>
                <w:sz w:val="20"/>
                <w:szCs w:val="20"/>
              </w:rPr>
            </w:pPr>
          </w:p>
        </w:tc>
      </w:tr>
      <w:tr w:rsidR="00195E73" w14:paraId="5EC6B4C8" w14:textId="77777777">
        <w:trPr>
          <w:divId w:val="10837737"/>
          <w:jc w:val="center"/>
        </w:trPr>
        <w:tc>
          <w:tcPr>
            <w:tcW w:w="0" w:type="auto"/>
            <w:gridSpan w:val="3"/>
            <w:shd w:val="clear" w:color="auto" w:fill="FFFFFF"/>
            <w:tcMar>
              <w:top w:w="30" w:type="dxa"/>
              <w:left w:w="20" w:type="dxa"/>
              <w:bottom w:w="30" w:type="dxa"/>
              <w:right w:w="20" w:type="dxa"/>
            </w:tcMar>
            <w:vAlign w:val="bottom"/>
            <w:hideMark/>
          </w:tcPr>
          <w:p w14:paraId="04890CE6" w14:textId="77777777" w:rsidR="00000000" w:rsidRDefault="00195E73">
            <w:pPr>
              <w:ind w:hanging="90"/>
              <w:divId w:val="680855199"/>
              <w:rPr>
                <w:rFonts w:eastAsia="Times New Roman"/>
              </w:rPr>
            </w:pPr>
            <w:r>
              <w:rPr>
                <w:rFonts w:eastAsia="Times New Roman"/>
                <w:color w:val="000000"/>
                <w:sz w:val="16"/>
                <w:szCs w:val="16"/>
              </w:rPr>
              <w:t>Basic and diluted (loss) income per LP uni</w:t>
            </w:r>
            <w:r>
              <w:rPr>
                <w:rFonts w:eastAsia="Times New Roman"/>
                <w:color w:val="000000"/>
                <w:sz w:val="16"/>
                <w:szCs w:val="16"/>
              </w:rPr>
              <w:t>t</w:t>
            </w: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18C08576" w14:textId="77777777" w:rsidR="00000000" w:rsidRDefault="00195E7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2CCCB24C" w14:textId="77777777" w:rsidR="00000000" w:rsidRDefault="00195E73">
            <w:pPr>
              <w:jc w:val="right"/>
              <w:rPr>
                <w:rFonts w:eastAsia="Times New Roman"/>
              </w:rPr>
            </w:pPr>
            <w:r>
              <w:rPr>
                <w:rFonts w:eastAsia="Times New Roman"/>
                <w:color w:val="000000"/>
                <w:sz w:val="16"/>
                <w:szCs w:val="16"/>
              </w:rPr>
              <w:t>(5.23</w:t>
            </w: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43E0CA74"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1C38A80" w14:textId="77777777" w:rsidR="00000000" w:rsidRDefault="00195E73">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65A5197A" w14:textId="77777777" w:rsidR="00000000" w:rsidRDefault="00195E7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09CF5A61" w14:textId="77777777" w:rsidR="00000000" w:rsidRDefault="00195E73">
            <w:pPr>
              <w:jc w:val="right"/>
              <w:rPr>
                <w:rFonts w:eastAsia="Times New Roman"/>
              </w:rPr>
            </w:pPr>
            <w:r>
              <w:rPr>
                <w:rFonts w:eastAsia="Times New Roman"/>
                <w:color w:val="000000"/>
                <w:sz w:val="16"/>
                <w:szCs w:val="16"/>
              </w:rPr>
              <w:t>(1.29</w:t>
            </w: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72CAF4C8"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F1D89AD" w14:textId="77777777" w:rsidR="00000000" w:rsidRDefault="00195E73">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5B3796C6" w14:textId="77777777" w:rsidR="00000000" w:rsidRDefault="00195E7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7EA01D8A" w14:textId="77777777" w:rsidR="00000000" w:rsidRDefault="00195E73">
            <w:pPr>
              <w:jc w:val="right"/>
              <w:rPr>
                <w:rFonts w:eastAsia="Times New Roman"/>
              </w:rPr>
            </w:pPr>
            <w:r>
              <w:rPr>
                <w:rFonts w:eastAsia="Times New Roman"/>
                <w:color w:val="000000"/>
                <w:sz w:val="16"/>
                <w:szCs w:val="16"/>
              </w:rPr>
              <w:t>13.98</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5F9A41C0"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BD93E17" w14:textId="77777777" w:rsidR="00000000" w:rsidRDefault="00195E73">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182FBBF2" w14:textId="77777777" w:rsidR="00000000" w:rsidRDefault="00195E7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7A49E03E" w14:textId="77777777" w:rsidR="00000000" w:rsidRDefault="00195E73">
            <w:pPr>
              <w:jc w:val="right"/>
              <w:rPr>
                <w:rFonts w:eastAsia="Times New Roman"/>
              </w:rPr>
            </w:pPr>
            <w:r>
              <w:rPr>
                <w:rFonts w:eastAsia="Times New Roman"/>
                <w:color w:val="000000"/>
                <w:sz w:val="16"/>
                <w:szCs w:val="16"/>
              </w:rPr>
              <w:t>(8.07</w:t>
            </w: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7F2CA69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F005A5A" w14:textId="77777777" w:rsidR="00000000" w:rsidRDefault="00195E73">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7B972AFF" w14:textId="77777777" w:rsidR="00000000" w:rsidRDefault="00195E7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71598606" w14:textId="77777777" w:rsidR="00000000" w:rsidRDefault="00195E73">
            <w:pPr>
              <w:jc w:val="right"/>
              <w:rPr>
                <w:rFonts w:eastAsia="Times New Roman"/>
              </w:rPr>
            </w:pPr>
            <w:r>
              <w:rPr>
                <w:rFonts w:eastAsia="Times New Roman"/>
                <w:color w:val="000000"/>
                <w:sz w:val="16"/>
                <w:szCs w:val="16"/>
              </w:rPr>
              <w:t>(7.61</w:t>
            </w: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12778B18"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F1FD563" w14:textId="77777777" w:rsidR="00000000" w:rsidRDefault="00195E73">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5349FD3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8854243" w14:textId="77777777" w:rsidR="00000000" w:rsidRDefault="00195E73">
            <w:pPr>
              <w:jc w:val="right"/>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B4BDF2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8BCBAB3"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7B53559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7069549"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299E3D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4C78707"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3593E70B" w14:textId="77777777" w:rsidR="00000000" w:rsidRDefault="00195E73">
            <w:pPr>
              <w:rPr>
                <w:rFonts w:eastAsia="Times New Roman"/>
                <w:sz w:val="20"/>
                <w:szCs w:val="20"/>
              </w:rPr>
            </w:pPr>
          </w:p>
        </w:tc>
        <w:tc>
          <w:tcPr>
            <w:tcW w:w="0" w:type="auto"/>
            <w:vAlign w:val="center"/>
            <w:hideMark/>
          </w:tcPr>
          <w:p w14:paraId="06136020" w14:textId="77777777" w:rsidR="00000000" w:rsidRDefault="00195E73">
            <w:pPr>
              <w:rPr>
                <w:rFonts w:eastAsia="Times New Roman"/>
                <w:sz w:val="20"/>
                <w:szCs w:val="20"/>
              </w:rPr>
            </w:pPr>
          </w:p>
        </w:tc>
        <w:tc>
          <w:tcPr>
            <w:tcW w:w="0" w:type="auto"/>
            <w:vAlign w:val="center"/>
            <w:hideMark/>
          </w:tcPr>
          <w:p w14:paraId="305B57E9" w14:textId="77777777" w:rsidR="00000000" w:rsidRDefault="00195E73">
            <w:pPr>
              <w:rPr>
                <w:rFonts w:eastAsia="Times New Roman"/>
                <w:sz w:val="20"/>
                <w:szCs w:val="20"/>
              </w:rPr>
            </w:pPr>
          </w:p>
        </w:tc>
        <w:tc>
          <w:tcPr>
            <w:tcW w:w="0" w:type="auto"/>
            <w:vAlign w:val="center"/>
            <w:hideMark/>
          </w:tcPr>
          <w:p w14:paraId="3B484688" w14:textId="77777777" w:rsidR="00000000" w:rsidRDefault="00195E73">
            <w:pPr>
              <w:rPr>
                <w:rFonts w:eastAsia="Times New Roman"/>
                <w:sz w:val="20"/>
                <w:szCs w:val="20"/>
              </w:rPr>
            </w:pPr>
          </w:p>
        </w:tc>
      </w:tr>
      <w:tr w:rsidR="00195E73" w14:paraId="099E169E" w14:textId="77777777">
        <w:trPr>
          <w:divId w:val="10837737"/>
          <w:jc w:val="center"/>
        </w:trPr>
        <w:tc>
          <w:tcPr>
            <w:tcW w:w="0" w:type="auto"/>
            <w:gridSpan w:val="3"/>
            <w:shd w:val="clear" w:color="auto" w:fill="CCEEFF"/>
            <w:tcMar>
              <w:top w:w="30" w:type="dxa"/>
              <w:left w:w="20" w:type="dxa"/>
              <w:bottom w:w="30" w:type="dxa"/>
              <w:right w:w="20" w:type="dxa"/>
            </w:tcMar>
            <w:vAlign w:val="bottom"/>
            <w:hideMark/>
          </w:tcPr>
          <w:p w14:paraId="081253A5" w14:textId="77777777" w:rsidR="00000000" w:rsidRDefault="00195E73">
            <w:pPr>
              <w:ind w:hanging="90"/>
              <w:divId w:val="365718931"/>
              <w:rPr>
                <w:rFonts w:eastAsia="Times New Roman"/>
              </w:rPr>
            </w:pPr>
            <w:r>
              <w:rPr>
                <w:rFonts w:eastAsia="Times New Roman"/>
                <w:color w:val="000000"/>
                <w:sz w:val="16"/>
                <w:szCs w:val="16"/>
              </w:rPr>
              <w:t>Basic and diluted weighted average LP units outstandin</w:t>
            </w:r>
            <w:r>
              <w:rPr>
                <w:rFonts w:eastAsia="Times New Roman"/>
                <w:color w:val="000000"/>
                <w:sz w:val="16"/>
                <w:szCs w:val="16"/>
              </w:rPr>
              <w:t>g</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21FA580" w14:textId="77777777" w:rsidR="00000000" w:rsidRDefault="00195E73">
            <w:pPr>
              <w:jc w:val="right"/>
              <w:rPr>
                <w:rFonts w:eastAsia="Times New Roman"/>
              </w:rPr>
            </w:pPr>
            <w:r>
              <w:rPr>
                <w:rFonts w:eastAsia="Times New Roman"/>
                <w:color w:val="000000"/>
                <w:sz w:val="16"/>
                <w:szCs w:val="16"/>
              </w:rPr>
              <w:t>200</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531D010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ABE62F6" w14:textId="77777777" w:rsidR="00000000" w:rsidRDefault="00195E73">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4E727EC" w14:textId="77777777" w:rsidR="00000000" w:rsidRDefault="00195E73">
            <w:pPr>
              <w:jc w:val="right"/>
              <w:rPr>
                <w:rFonts w:eastAsia="Times New Roman"/>
              </w:rPr>
            </w:pPr>
            <w:r>
              <w:rPr>
                <w:rFonts w:eastAsia="Times New Roman"/>
                <w:color w:val="000000"/>
                <w:sz w:val="16"/>
                <w:szCs w:val="16"/>
              </w:rPr>
              <w:t>180</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02F35730"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C6486BB" w14:textId="77777777" w:rsidR="00000000" w:rsidRDefault="00195E73">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79199EA" w14:textId="77777777" w:rsidR="00000000" w:rsidRDefault="00195E73">
            <w:pPr>
              <w:jc w:val="right"/>
              <w:rPr>
                <w:rFonts w:eastAsia="Times New Roman"/>
              </w:rPr>
            </w:pPr>
            <w:r>
              <w:rPr>
                <w:rFonts w:eastAsia="Times New Roman"/>
                <w:color w:val="000000"/>
                <w:sz w:val="16"/>
                <w:szCs w:val="16"/>
              </w:rPr>
              <w:t>161</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37CA78A8"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D8385EB" w14:textId="77777777" w:rsidR="00000000" w:rsidRDefault="00195E73">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9B56DBF" w14:textId="77777777" w:rsidR="00000000" w:rsidRDefault="00195E73">
            <w:pPr>
              <w:jc w:val="right"/>
              <w:rPr>
                <w:rFonts w:eastAsia="Times New Roman"/>
              </w:rPr>
            </w:pPr>
            <w:r>
              <w:rPr>
                <w:rFonts w:eastAsia="Times New Roman"/>
                <w:color w:val="000000"/>
                <w:sz w:val="16"/>
                <w:szCs w:val="16"/>
              </w:rPr>
              <w:t>137</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70402F72"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9691A4E" w14:textId="77777777" w:rsidR="00000000" w:rsidRDefault="00195E73">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0022FFC7" w14:textId="77777777" w:rsidR="00000000" w:rsidRDefault="00195E73">
            <w:pPr>
              <w:jc w:val="right"/>
              <w:rPr>
                <w:rFonts w:eastAsia="Times New Roman"/>
              </w:rPr>
            </w:pPr>
            <w:r>
              <w:rPr>
                <w:rFonts w:eastAsia="Times New Roman"/>
                <w:color w:val="000000"/>
                <w:sz w:val="16"/>
                <w:szCs w:val="16"/>
              </w:rPr>
              <w:t>126</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59BB15D0"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9409FF5"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F456899"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4CA9351"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A826D2E"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8A366FD"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FB2B340"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5939910"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A63A334"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B78B1B2"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045CF28" w14:textId="77777777" w:rsidR="00000000" w:rsidRDefault="00195E73">
            <w:pPr>
              <w:rPr>
                <w:rFonts w:eastAsia="Times New Roman"/>
                <w:sz w:val="20"/>
                <w:szCs w:val="20"/>
              </w:rPr>
            </w:pPr>
          </w:p>
        </w:tc>
        <w:tc>
          <w:tcPr>
            <w:tcW w:w="0" w:type="auto"/>
            <w:vAlign w:val="center"/>
            <w:hideMark/>
          </w:tcPr>
          <w:p w14:paraId="2129150A" w14:textId="77777777" w:rsidR="00000000" w:rsidRDefault="00195E73">
            <w:pPr>
              <w:rPr>
                <w:rFonts w:eastAsia="Times New Roman"/>
                <w:sz w:val="20"/>
                <w:szCs w:val="20"/>
              </w:rPr>
            </w:pPr>
          </w:p>
        </w:tc>
        <w:tc>
          <w:tcPr>
            <w:tcW w:w="0" w:type="auto"/>
            <w:vAlign w:val="center"/>
            <w:hideMark/>
          </w:tcPr>
          <w:p w14:paraId="4018DC80" w14:textId="77777777" w:rsidR="00000000" w:rsidRDefault="00195E73">
            <w:pPr>
              <w:rPr>
                <w:rFonts w:eastAsia="Times New Roman"/>
                <w:sz w:val="20"/>
                <w:szCs w:val="20"/>
              </w:rPr>
            </w:pPr>
          </w:p>
        </w:tc>
        <w:tc>
          <w:tcPr>
            <w:tcW w:w="0" w:type="auto"/>
            <w:vAlign w:val="center"/>
            <w:hideMark/>
          </w:tcPr>
          <w:p w14:paraId="14CFF95D" w14:textId="77777777" w:rsidR="00000000" w:rsidRDefault="00195E73">
            <w:pPr>
              <w:rPr>
                <w:rFonts w:eastAsia="Times New Roman"/>
                <w:sz w:val="20"/>
                <w:szCs w:val="20"/>
              </w:rPr>
            </w:pPr>
          </w:p>
        </w:tc>
      </w:tr>
      <w:tr w:rsidR="00000000" w14:paraId="037FEA56" w14:textId="77777777">
        <w:trPr>
          <w:divId w:val="10837737"/>
          <w:jc w:val="center"/>
        </w:trPr>
        <w:tc>
          <w:tcPr>
            <w:tcW w:w="0" w:type="auto"/>
            <w:gridSpan w:val="3"/>
            <w:vAlign w:val="center"/>
            <w:hideMark/>
          </w:tcPr>
          <w:p w14:paraId="10D656DC" w14:textId="77777777" w:rsidR="00000000" w:rsidRDefault="00195E73">
            <w:pPr>
              <w:rPr>
                <w:rFonts w:eastAsia="Times New Roman"/>
                <w:sz w:val="20"/>
                <w:szCs w:val="20"/>
              </w:rPr>
            </w:pPr>
          </w:p>
        </w:tc>
        <w:tc>
          <w:tcPr>
            <w:tcW w:w="0" w:type="auto"/>
            <w:gridSpan w:val="3"/>
            <w:vAlign w:val="center"/>
            <w:hideMark/>
          </w:tcPr>
          <w:p w14:paraId="09CEF6E3" w14:textId="77777777" w:rsidR="00000000" w:rsidRDefault="00195E73">
            <w:pPr>
              <w:rPr>
                <w:rFonts w:eastAsia="Times New Roman"/>
                <w:sz w:val="20"/>
                <w:szCs w:val="20"/>
              </w:rPr>
            </w:pPr>
          </w:p>
        </w:tc>
        <w:tc>
          <w:tcPr>
            <w:tcW w:w="0" w:type="auto"/>
            <w:gridSpan w:val="3"/>
            <w:vAlign w:val="center"/>
            <w:hideMark/>
          </w:tcPr>
          <w:p w14:paraId="63E22872" w14:textId="77777777" w:rsidR="00000000" w:rsidRDefault="00195E73">
            <w:pPr>
              <w:rPr>
                <w:rFonts w:eastAsia="Times New Roman"/>
                <w:sz w:val="20"/>
                <w:szCs w:val="20"/>
              </w:rPr>
            </w:pPr>
          </w:p>
        </w:tc>
        <w:tc>
          <w:tcPr>
            <w:tcW w:w="0" w:type="auto"/>
            <w:gridSpan w:val="3"/>
            <w:vAlign w:val="center"/>
            <w:hideMark/>
          </w:tcPr>
          <w:p w14:paraId="76369047" w14:textId="77777777" w:rsidR="00000000" w:rsidRDefault="00195E73">
            <w:pPr>
              <w:rPr>
                <w:rFonts w:eastAsia="Times New Roman"/>
                <w:sz w:val="20"/>
                <w:szCs w:val="20"/>
              </w:rPr>
            </w:pPr>
          </w:p>
        </w:tc>
        <w:tc>
          <w:tcPr>
            <w:tcW w:w="0" w:type="auto"/>
            <w:gridSpan w:val="3"/>
            <w:vAlign w:val="center"/>
            <w:hideMark/>
          </w:tcPr>
          <w:p w14:paraId="2649DF18" w14:textId="77777777" w:rsidR="00000000" w:rsidRDefault="00195E73">
            <w:pPr>
              <w:rPr>
                <w:rFonts w:eastAsia="Times New Roman"/>
                <w:sz w:val="20"/>
                <w:szCs w:val="20"/>
              </w:rPr>
            </w:pPr>
          </w:p>
        </w:tc>
        <w:tc>
          <w:tcPr>
            <w:tcW w:w="0" w:type="auto"/>
            <w:gridSpan w:val="3"/>
            <w:vAlign w:val="center"/>
            <w:hideMark/>
          </w:tcPr>
          <w:p w14:paraId="7B005363" w14:textId="77777777" w:rsidR="00000000" w:rsidRDefault="00195E73">
            <w:pPr>
              <w:rPr>
                <w:rFonts w:eastAsia="Times New Roman"/>
                <w:sz w:val="20"/>
                <w:szCs w:val="20"/>
              </w:rPr>
            </w:pPr>
          </w:p>
        </w:tc>
        <w:tc>
          <w:tcPr>
            <w:tcW w:w="0" w:type="auto"/>
            <w:gridSpan w:val="3"/>
            <w:vAlign w:val="center"/>
            <w:hideMark/>
          </w:tcPr>
          <w:p w14:paraId="568BFB98" w14:textId="77777777" w:rsidR="00000000" w:rsidRDefault="00195E73">
            <w:pPr>
              <w:rPr>
                <w:rFonts w:eastAsia="Times New Roman"/>
                <w:sz w:val="20"/>
                <w:szCs w:val="20"/>
              </w:rPr>
            </w:pPr>
          </w:p>
        </w:tc>
        <w:tc>
          <w:tcPr>
            <w:tcW w:w="0" w:type="auto"/>
            <w:gridSpan w:val="3"/>
            <w:vAlign w:val="center"/>
            <w:hideMark/>
          </w:tcPr>
          <w:p w14:paraId="533FCF28" w14:textId="77777777" w:rsidR="00000000" w:rsidRDefault="00195E73">
            <w:pPr>
              <w:rPr>
                <w:rFonts w:eastAsia="Times New Roman"/>
                <w:sz w:val="20"/>
                <w:szCs w:val="20"/>
              </w:rPr>
            </w:pPr>
          </w:p>
        </w:tc>
        <w:tc>
          <w:tcPr>
            <w:tcW w:w="0" w:type="auto"/>
            <w:gridSpan w:val="3"/>
            <w:vAlign w:val="center"/>
            <w:hideMark/>
          </w:tcPr>
          <w:p w14:paraId="51FB22AC" w14:textId="77777777" w:rsidR="00000000" w:rsidRDefault="00195E73">
            <w:pPr>
              <w:rPr>
                <w:rFonts w:eastAsia="Times New Roman"/>
                <w:sz w:val="20"/>
                <w:szCs w:val="20"/>
              </w:rPr>
            </w:pPr>
          </w:p>
        </w:tc>
        <w:tc>
          <w:tcPr>
            <w:tcW w:w="0" w:type="auto"/>
            <w:gridSpan w:val="3"/>
            <w:vAlign w:val="center"/>
            <w:hideMark/>
          </w:tcPr>
          <w:p w14:paraId="2A6E04F7" w14:textId="77777777" w:rsidR="00000000" w:rsidRDefault="00195E73">
            <w:pPr>
              <w:rPr>
                <w:rFonts w:eastAsia="Times New Roman"/>
                <w:sz w:val="20"/>
                <w:szCs w:val="20"/>
              </w:rPr>
            </w:pPr>
          </w:p>
        </w:tc>
        <w:tc>
          <w:tcPr>
            <w:tcW w:w="0" w:type="auto"/>
            <w:gridSpan w:val="3"/>
            <w:vAlign w:val="center"/>
            <w:hideMark/>
          </w:tcPr>
          <w:p w14:paraId="59C14175" w14:textId="77777777" w:rsidR="00000000" w:rsidRDefault="00195E73">
            <w:pPr>
              <w:rPr>
                <w:rFonts w:eastAsia="Times New Roman"/>
                <w:sz w:val="20"/>
                <w:szCs w:val="20"/>
              </w:rPr>
            </w:pPr>
          </w:p>
        </w:tc>
        <w:tc>
          <w:tcPr>
            <w:tcW w:w="0" w:type="auto"/>
            <w:gridSpan w:val="3"/>
            <w:vAlign w:val="center"/>
            <w:hideMark/>
          </w:tcPr>
          <w:p w14:paraId="65F91B84" w14:textId="77777777" w:rsidR="00000000" w:rsidRDefault="00195E73">
            <w:pPr>
              <w:rPr>
                <w:rFonts w:eastAsia="Times New Roman"/>
                <w:sz w:val="20"/>
                <w:szCs w:val="20"/>
              </w:rPr>
            </w:pPr>
          </w:p>
        </w:tc>
        <w:tc>
          <w:tcPr>
            <w:tcW w:w="0" w:type="auto"/>
            <w:gridSpan w:val="3"/>
            <w:vAlign w:val="center"/>
            <w:hideMark/>
          </w:tcPr>
          <w:p w14:paraId="20A17404" w14:textId="77777777" w:rsidR="00000000" w:rsidRDefault="00195E73">
            <w:pPr>
              <w:rPr>
                <w:rFonts w:eastAsia="Times New Roman"/>
                <w:sz w:val="20"/>
                <w:szCs w:val="20"/>
              </w:rPr>
            </w:pPr>
          </w:p>
        </w:tc>
        <w:tc>
          <w:tcPr>
            <w:tcW w:w="0" w:type="auto"/>
            <w:gridSpan w:val="3"/>
            <w:vAlign w:val="center"/>
            <w:hideMark/>
          </w:tcPr>
          <w:p w14:paraId="6CEC87DB" w14:textId="77777777" w:rsidR="00000000" w:rsidRDefault="00195E73">
            <w:pPr>
              <w:rPr>
                <w:rFonts w:eastAsia="Times New Roman"/>
                <w:sz w:val="20"/>
                <w:szCs w:val="20"/>
              </w:rPr>
            </w:pPr>
          </w:p>
        </w:tc>
        <w:tc>
          <w:tcPr>
            <w:tcW w:w="0" w:type="auto"/>
            <w:gridSpan w:val="3"/>
            <w:vAlign w:val="center"/>
            <w:hideMark/>
          </w:tcPr>
          <w:p w14:paraId="4924C48F" w14:textId="77777777" w:rsidR="00000000" w:rsidRDefault="00195E73">
            <w:pPr>
              <w:rPr>
                <w:rFonts w:eastAsia="Times New Roman"/>
                <w:sz w:val="20"/>
                <w:szCs w:val="20"/>
              </w:rPr>
            </w:pPr>
          </w:p>
        </w:tc>
        <w:tc>
          <w:tcPr>
            <w:tcW w:w="0" w:type="auto"/>
            <w:gridSpan w:val="3"/>
            <w:vAlign w:val="center"/>
            <w:hideMark/>
          </w:tcPr>
          <w:p w14:paraId="22958049" w14:textId="77777777" w:rsidR="00000000" w:rsidRDefault="00195E73">
            <w:pPr>
              <w:rPr>
                <w:rFonts w:eastAsia="Times New Roman"/>
                <w:sz w:val="20"/>
                <w:szCs w:val="20"/>
              </w:rPr>
            </w:pPr>
          </w:p>
        </w:tc>
        <w:tc>
          <w:tcPr>
            <w:tcW w:w="0" w:type="auto"/>
            <w:gridSpan w:val="3"/>
            <w:vAlign w:val="center"/>
            <w:hideMark/>
          </w:tcPr>
          <w:p w14:paraId="5C673E4B" w14:textId="77777777" w:rsidR="00000000" w:rsidRDefault="00195E73">
            <w:pPr>
              <w:rPr>
                <w:rFonts w:eastAsia="Times New Roman"/>
                <w:sz w:val="20"/>
                <w:szCs w:val="20"/>
              </w:rPr>
            </w:pPr>
          </w:p>
        </w:tc>
        <w:tc>
          <w:tcPr>
            <w:tcW w:w="0" w:type="auto"/>
            <w:gridSpan w:val="3"/>
            <w:vAlign w:val="center"/>
            <w:hideMark/>
          </w:tcPr>
          <w:p w14:paraId="7FCDB1E9" w14:textId="77777777" w:rsidR="00000000" w:rsidRDefault="00195E73">
            <w:pPr>
              <w:rPr>
                <w:rFonts w:eastAsia="Times New Roman"/>
                <w:sz w:val="20"/>
                <w:szCs w:val="20"/>
              </w:rPr>
            </w:pPr>
          </w:p>
        </w:tc>
        <w:tc>
          <w:tcPr>
            <w:tcW w:w="0" w:type="auto"/>
            <w:gridSpan w:val="3"/>
            <w:vAlign w:val="center"/>
            <w:hideMark/>
          </w:tcPr>
          <w:p w14:paraId="112F42B7" w14:textId="77777777" w:rsidR="00000000" w:rsidRDefault="00195E73">
            <w:pPr>
              <w:rPr>
                <w:rFonts w:eastAsia="Times New Roman"/>
                <w:sz w:val="20"/>
                <w:szCs w:val="20"/>
              </w:rPr>
            </w:pPr>
          </w:p>
        </w:tc>
        <w:tc>
          <w:tcPr>
            <w:tcW w:w="0" w:type="auto"/>
            <w:gridSpan w:val="3"/>
            <w:vAlign w:val="center"/>
            <w:hideMark/>
          </w:tcPr>
          <w:p w14:paraId="5D1F1EC0" w14:textId="77777777" w:rsidR="00000000" w:rsidRDefault="00195E73">
            <w:pPr>
              <w:rPr>
                <w:rFonts w:eastAsia="Times New Roman"/>
                <w:sz w:val="20"/>
                <w:szCs w:val="20"/>
              </w:rPr>
            </w:pPr>
          </w:p>
        </w:tc>
        <w:tc>
          <w:tcPr>
            <w:tcW w:w="0" w:type="auto"/>
            <w:vAlign w:val="center"/>
            <w:hideMark/>
          </w:tcPr>
          <w:p w14:paraId="0DEB9567" w14:textId="77777777" w:rsidR="00000000" w:rsidRDefault="00195E73">
            <w:pPr>
              <w:rPr>
                <w:rFonts w:eastAsia="Times New Roman"/>
                <w:sz w:val="20"/>
                <w:szCs w:val="20"/>
              </w:rPr>
            </w:pPr>
          </w:p>
        </w:tc>
        <w:tc>
          <w:tcPr>
            <w:tcW w:w="0" w:type="auto"/>
            <w:vAlign w:val="center"/>
            <w:hideMark/>
          </w:tcPr>
          <w:p w14:paraId="21CF483E" w14:textId="77777777" w:rsidR="00000000" w:rsidRDefault="00195E73">
            <w:pPr>
              <w:rPr>
                <w:rFonts w:eastAsia="Times New Roman"/>
                <w:sz w:val="20"/>
                <w:szCs w:val="20"/>
              </w:rPr>
            </w:pPr>
          </w:p>
        </w:tc>
        <w:tc>
          <w:tcPr>
            <w:tcW w:w="0" w:type="auto"/>
            <w:vAlign w:val="center"/>
            <w:hideMark/>
          </w:tcPr>
          <w:p w14:paraId="2813325D" w14:textId="77777777" w:rsidR="00000000" w:rsidRDefault="00195E73">
            <w:pPr>
              <w:rPr>
                <w:rFonts w:eastAsia="Times New Roman"/>
                <w:sz w:val="20"/>
                <w:szCs w:val="20"/>
              </w:rPr>
            </w:pPr>
          </w:p>
        </w:tc>
      </w:tr>
      <w:tr w:rsidR="00000000" w14:paraId="25C80B11" w14:textId="77777777">
        <w:trPr>
          <w:divId w:val="10837737"/>
          <w:jc w:val="center"/>
        </w:trPr>
        <w:tc>
          <w:tcPr>
            <w:tcW w:w="0" w:type="auto"/>
            <w:gridSpan w:val="3"/>
            <w:vAlign w:val="center"/>
            <w:hideMark/>
          </w:tcPr>
          <w:p w14:paraId="5D4DA2D5" w14:textId="77777777" w:rsidR="00000000" w:rsidRDefault="00195E73">
            <w:pPr>
              <w:rPr>
                <w:rFonts w:eastAsia="Times New Roman"/>
                <w:sz w:val="20"/>
                <w:szCs w:val="20"/>
              </w:rPr>
            </w:pPr>
          </w:p>
        </w:tc>
        <w:tc>
          <w:tcPr>
            <w:tcW w:w="0" w:type="auto"/>
            <w:gridSpan w:val="3"/>
            <w:vAlign w:val="center"/>
            <w:hideMark/>
          </w:tcPr>
          <w:p w14:paraId="066CAB0F" w14:textId="77777777" w:rsidR="00000000" w:rsidRDefault="00195E73">
            <w:pPr>
              <w:rPr>
                <w:rFonts w:eastAsia="Times New Roman"/>
                <w:sz w:val="20"/>
                <w:szCs w:val="20"/>
              </w:rPr>
            </w:pPr>
          </w:p>
        </w:tc>
        <w:tc>
          <w:tcPr>
            <w:tcW w:w="0" w:type="auto"/>
            <w:gridSpan w:val="3"/>
            <w:vAlign w:val="center"/>
            <w:hideMark/>
          </w:tcPr>
          <w:p w14:paraId="11EB2496" w14:textId="77777777" w:rsidR="00000000" w:rsidRDefault="00195E73">
            <w:pPr>
              <w:rPr>
                <w:rFonts w:eastAsia="Times New Roman"/>
                <w:sz w:val="20"/>
                <w:szCs w:val="20"/>
              </w:rPr>
            </w:pPr>
          </w:p>
        </w:tc>
        <w:tc>
          <w:tcPr>
            <w:tcW w:w="0" w:type="auto"/>
            <w:gridSpan w:val="3"/>
            <w:vAlign w:val="center"/>
            <w:hideMark/>
          </w:tcPr>
          <w:p w14:paraId="04E74292" w14:textId="77777777" w:rsidR="00000000" w:rsidRDefault="00195E73">
            <w:pPr>
              <w:rPr>
                <w:rFonts w:eastAsia="Times New Roman"/>
                <w:sz w:val="20"/>
                <w:szCs w:val="20"/>
              </w:rPr>
            </w:pPr>
          </w:p>
        </w:tc>
        <w:tc>
          <w:tcPr>
            <w:tcW w:w="0" w:type="auto"/>
            <w:gridSpan w:val="3"/>
            <w:vAlign w:val="center"/>
            <w:hideMark/>
          </w:tcPr>
          <w:p w14:paraId="36F197BB" w14:textId="77777777" w:rsidR="00000000" w:rsidRDefault="00195E73">
            <w:pPr>
              <w:rPr>
                <w:rFonts w:eastAsia="Times New Roman"/>
                <w:sz w:val="20"/>
                <w:szCs w:val="20"/>
              </w:rPr>
            </w:pPr>
          </w:p>
        </w:tc>
        <w:tc>
          <w:tcPr>
            <w:tcW w:w="0" w:type="auto"/>
            <w:gridSpan w:val="3"/>
            <w:vAlign w:val="center"/>
            <w:hideMark/>
          </w:tcPr>
          <w:p w14:paraId="6D56BFB7" w14:textId="77777777" w:rsidR="00000000" w:rsidRDefault="00195E73">
            <w:pPr>
              <w:rPr>
                <w:rFonts w:eastAsia="Times New Roman"/>
                <w:sz w:val="20"/>
                <w:szCs w:val="20"/>
              </w:rPr>
            </w:pPr>
          </w:p>
        </w:tc>
        <w:tc>
          <w:tcPr>
            <w:tcW w:w="0" w:type="auto"/>
            <w:gridSpan w:val="3"/>
            <w:vAlign w:val="center"/>
            <w:hideMark/>
          </w:tcPr>
          <w:p w14:paraId="3405C711" w14:textId="77777777" w:rsidR="00000000" w:rsidRDefault="00195E73">
            <w:pPr>
              <w:rPr>
                <w:rFonts w:eastAsia="Times New Roman"/>
                <w:sz w:val="20"/>
                <w:szCs w:val="20"/>
              </w:rPr>
            </w:pPr>
          </w:p>
        </w:tc>
        <w:tc>
          <w:tcPr>
            <w:tcW w:w="0" w:type="auto"/>
            <w:gridSpan w:val="3"/>
            <w:vAlign w:val="center"/>
            <w:hideMark/>
          </w:tcPr>
          <w:p w14:paraId="5CB2AD1E" w14:textId="77777777" w:rsidR="00000000" w:rsidRDefault="00195E73">
            <w:pPr>
              <w:rPr>
                <w:rFonts w:eastAsia="Times New Roman"/>
                <w:sz w:val="20"/>
                <w:szCs w:val="20"/>
              </w:rPr>
            </w:pPr>
          </w:p>
        </w:tc>
        <w:tc>
          <w:tcPr>
            <w:tcW w:w="0" w:type="auto"/>
            <w:gridSpan w:val="3"/>
            <w:vAlign w:val="center"/>
            <w:hideMark/>
          </w:tcPr>
          <w:p w14:paraId="4DA83ED9" w14:textId="77777777" w:rsidR="00000000" w:rsidRDefault="00195E73">
            <w:pPr>
              <w:rPr>
                <w:rFonts w:eastAsia="Times New Roman"/>
                <w:sz w:val="20"/>
                <w:szCs w:val="20"/>
              </w:rPr>
            </w:pPr>
          </w:p>
        </w:tc>
        <w:tc>
          <w:tcPr>
            <w:tcW w:w="0" w:type="auto"/>
            <w:gridSpan w:val="3"/>
            <w:vAlign w:val="center"/>
            <w:hideMark/>
          </w:tcPr>
          <w:p w14:paraId="4A7FFAB3" w14:textId="77777777" w:rsidR="00000000" w:rsidRDefault="00195E73">
            <w:pPr>
              <w:rPr>
                <w:rFonts w:eastAsia="Times New Roman"/>
                <w:sz w:val="20"/>
                <w:szCs w:val="20"/>
              </w:rPr>
            </w:pPr>
          </w:p>
        </w:tc>
        <w:tc>
          <w:tcPr>
            <w:tcW w:w="0" w:type="auto"/>
            <w:gridSpan w:val="3"/>
            <w:vAlign w:val="center"/>
            <w:hideMark/>
          </w:tcPr>
          <w:p w14:paraId="2AC18623" w14:textId="77777777" w:rsidR="00000000" w:rsidRDefault="00195E73">
            <w:pPr>
              <w:rPr>
                <w:rFonts w:eastAsia="Times New Roman"/>
                <w:sz w:val="20"/>
                <w:szCs w:val="20"/>
              </w:rPr>
            </w:pPr>
          </w:p>
        </w:tc>
        <w:tc>
          <w:tcPr>
            <w:tcW w:w="0" w:type="auto"/>
            <w:gridSpan w:val="3"/>
            <w:vAlign w:val="center"/>
            <w:hideMark/>
          </w:tcPr>
          <w:p w14:paraId="5D43AFC6" w14:textId="77777777" w:rsidR="00000000" w:rsidRDefault="00195E73">
            <w:pPr>
              <w:rPr>
                <w:rFonts w:eastAsia="Times New Roman"/>
                <w:sz w:val="20"/>
                <w:szCs w:val="20"/>
              </w:rPr>
            </w:pPr>
          </w:p>
        </w:tc>
        <w:tc>
          <w:tcPr>
            <w:tcW w:w="0" w:type="auto"/>
            <w:gridSpan w:val="3"/>
            <w:vAlign w:val="center"/>
            <w:hideMark/>
          </w:tcPr>
          <w:p w14:paraId="08BB2E94" w14:textId="77777777" w:rsidR="00000000" w:rsidRDefault="00195E73">
            <w:pPr>
              <w:rPr>
                <w:rFonts w:eastAsia="Times New Roman"/>
                <w:sz w:val="20"/>
                <w:szCs w:val="20"/>
              </w:rPr>
            </w:pPr>
          </w:p>
        </w:tc>
        <w:tc>
          <w:tcPr>
            <w:tcW w:w="0" w:type="auto"/>
            <w:gridSpan w:val="3"/>
            <w:vAlign w:val="center"/>
            <w:hideMark/>
          </w:tcPr>
          <w:p w14:paraId="0FF6899C" w14:textId="77777777" w:rsidR="00000000" w:rsidRDefault="00195E73">
            <w:pPr>
              <w:rPr>
                <w:rFonts w:eastAsia="Times New Roman"/>
                <w:sz w:val="20"/>
                <w:szCs w:val="20"/>
              </w:rPr>
            </w:pPr>
          </w:p>
        </w:tc>
        <w:tc>
          <w:tcPr>
            <w:tcW w:w="0" w:type="auto"/>
            <w:gridSpan w:val="3"/>
            <w:vAlign w:val="center"/>
            <w:hideMark/>
          </w:tcPr>
          <w:p w14:paraId="0009CEBD" w14:textId="77777777" w:rsidR="00000000" w:rsidRDefault="00195E73">
            <w:pPr>
              <w:rPr>
                <w:rFonts w:eastAsia="Times New Roman"/>
                <w:sz w:val="20"/>
                <w:szCs w:val="20"/>
              </w:rPr>
            </w:pPr>
          </w:p>
        </w:tc>
        <w:tc>
          <w:tcPr>
            <w:tcW w:w="0" w:type="auto"/>
            <w:gridSpan w:val="3"/>
            <w:vAlign w:val="center"/>
            <w:hideMark/>
          </w:tcPr>
          <w:p w14:paraId="134CCA75" w14:textId="77777777" w:rsidR="00000000" w:rsidRDefault="00195E73">
            <w:pPr>
              <w:rPr>
                <w:rFonts w:eastAsia="Times New Roman"/>
                <w:sz w:val="20"/>
                <w:szCs w:val="20"/>
              </w:rPr>
            </w:pPr>
          </w:p>
        </w:tc>
        <w:tc>
          <w:tcPr>
            <w:tcW w:w="0" w:type="auto"/>
            <w:gridSpan w:val="3"/>
            <w:vAlign w:val="center"/>
            <w:hideMark/>
          </w:tcPr>
          <w:p w14:paraId="03FF9AEA" w14:textId="77777777" w:rsidR="00000000" w:rsidRDefault="00195E73">
            <w:pPr>
              <w:rPr>
                <w:rFonts w:eastAsia="Times New Roman"/>
                <w:sz w:val="20"/>
                <w:szCs w:val="20"/>
              </w:rPr>
            </w:pPr>
          </w:p>
        </w:tc>
        <w:tc>
          <w:tcPr>
            <w:tcW w:w="0" w:type="auto"/>
            <w:gridSpan w:val="3"/>
            <w:vAlign w:val="center"/>
            <w:hideMark/>
          </w:tcPr>
          <w:p w14:paraId="7FE6AACF" w14:textId="77777777" w:rsidR="00000000" w:rsidRDefault="00195E73">
            <w:pPr>
              <w:rPr>
                <w:rFonts w:eastAsia="Times New Roman"/>
                <w:sz w:val="20"/>
                <w:szCs w:val="20"/>
              </w:rPr>
            </w:pPr>
          </w:p>
        </w:tc>
        <w:tc>
          <w:tcPr>
            <w:tcW w:w="0" w:type="auto"/>
            <w:gridSpan w:val="3"/>
            <w:vAlign w:val="center"/>
            <w:hideMark/>
          </w:tcPr>
          <w:p w14:paraId="4F33D0DC" w14:textId="77777777" w:rsidR="00000000" w:rsidRDefault="00195E73">
            <w:pPr>
              <w:rPr>
                <w:rFonts w:eastAsia="Times New Roman"/>
                <w:sz w:val="20"/>
                <w:szCs w:val="20"/>
              </w:rPr>
            </w:pPr>
          </w:p>
        </w:tc>
        <w:tc>
          <w:tcPr>
            <w:tcW w:w="0" w:type="auto"/>
            <w:gridSpan w:val="3"/>
            <w:vAlign w:val="center"/>
            <w:hideMark/>
          </w:tcPr>
          <w:p w14:paraId="11E073E6" w14:textId="77777777" w:rsidR="00000000" w:rsidRDefault="00195E73">
            <w:pPr>
              <w:rPr>
                <w:rFonts w:eastAsia="Times New Roman"/>
                <w:sz w:val="20"/>
                <w:szCs w:val="20"/>
              </w:rPr>
            </w:pPr>
          </w:p>
        </w:tc>
        <w:tc>
          <w:tcPr>
            <w:tcW w:w="0" w:type="auto"/>
            <w:vAlign w:val="center"/>
            <w:hideMark/>
          </w:tcPr>
          <w:p w14:paraId="6ACAE836" w14:textId="77777777" w:rsidR="00000000" w:rsidRDefault="00195E73">
            <w:pPr>
              <w:rPr>
                <w:rFonts w:eastAsia="Times New Roman"/>
                <w:sz w:val="20"/>
                <w:szCs w:val="20"/>
              </w:rPr>
            </w:pPr>
          </w:p>
        </w:tc>
        <w:tc>
          <w:tcPr>
            <w:tcW w:w="0" w:type="auto"/>
            <w:vAlign w:val="center"/>
            <w:hideMark/>
          </w:tcPr>
          <w:p w14:paraId="053B5F86" w14:textId="77777777" w:rsidR="00000000" w:rsidRDefault="00195E73">
            <w:pPr>
              <w:rPr>
                <w:rFonts w:eastAsia="Times New Roman"/>
                <w:sz w:val="20"/>
                <w:szCs w:val="20"/>
              </w:rPr>
            </w:pPr>
          </w:p>
        </w:tc>
        <w:tc>
          <w:tcPr>
            <w:tcW w:w="0" w:type="auto"/>
            <w:vAlign w:val="center"/>
            <w:hideMark/>
          </w:tcPr>
          <w:p w14:paraId="51CC4D8D" w14:textId="77777777" w:rsidR="00000000" w:rsidRDefault="00195E73">
            <w:pPr>
              <w:rPr>
                <w:rFonts w:eastAsia="Times New Roman"/>
                <w:sz w:val="20"/>
                <w:szCs w:val="20"/>
              </w:rPr>
            </w:pPr>
          </w:p>
        </w:tc>
      </w:tr>
      <w:tr w:rsidR="00195E73" w14:paraId="0E3B9AAE" w14:textId="77777777">
        <w:trPr>
          <w:divId w:val="10837737"/>
          <w:jc w:val="center"/>
        </w:trPr>
        <w:tc>
          <w:tcPr>
            <w:tcW w:w="0" w:type="auto"/>
            <w:gridSpan w:val="3"/>
            <w:shd w:val="clear" w:color="auto" w:fill="FFFFFF"/>
            <w:tcMar>
              <w:top w:w="30" w:type="dxa"/>
              <w:left w:w="20" w:type="dxa"/>
              <w:bottom w:w="30" w:type="dxa"/>
              <w:right w:w="20" w:type="dxa"/>
            </w:tcMar>
            <w:vAlign w:val="bottom"/>
            <w:hideMark/>
          </w:tcPr>
          <w:p w14:paraId="065D53C9" w14:textId="77777777" w:rsidR="00000000" w:rsidRDefault="00195E73">
            <w:pPr>
              <w:ind w:hanging="90"/>
              <w:divId w:val="1294824302"/>
              <w:rPr>
                <w:rFonts w:eastAsia="Times New Roman"/>
              </w:rPr>
            </w:pPr>
            <w:r>
              <w:rPr>
                <w:rFonts w:eastAsia="Times New Roman"/>
                <w:color w:val="000000"/>
                <w:sz w:val="16"/>
                <w:szCs w:val="16"/>
              </w:rPr>
              <w:t>Cash distributions declared per LP uni</w:t>
            </w:r>
            <w:r>
              <w:rPr>
                <w:rFonts w:eastAsia="Times New Roman"/>
                <w:color w:val="000000"/>
                <w:sz w:val="16"/>
                <w:szCs w:val="16"/>
              </w:rPr>
              <w:t>t</w:t>
            </w: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4563F9DF" w14:textId="77777777" w:rsidR="00000000" w:rsidRDefault="00195E7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2775AE2A" w14:textId="77777777" w:rsidR="00000000" w:rsidRDefault="00195E73">
            <w:pPr>
              <w:jc w:val="right"/>
              <w:rPr>
                <w:rFonts w:eastAsia="Times New Roman"/>
              </w:rPr>
            </w:pPr>
            <w:r>
              <w:rPr>
                <w:rFonts w:eastAsia="Times New Roman"/>
                <w:color w:val="000000"/>
                <w:sz w:val="16"/>
                <w:szCs w:val="16"/>
              </w:rPr>
              <w:t>8.00</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68A7460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436E417" w14:textId="77777777" w:rsidR="00000000" w:rsidRDefault="00195E73">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78D94D39" w14:textId="77777777" w:rsidR="00000000" w:rsidRDefault="00195E7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4374821C" w14:textId="77777777" w:rsidR="00000000" w:rsidRDefault="00195E73">
            <w:pPr>
              <w:jc w:val="right"/>
              <w:rPr>
                <w:rFonts w:eastAsia="Times New Roman"/>
              </w:rPr>
            </w:pPr>
            <w:r>
              <w:rPr>
                <w:rFonts w:eastAsia="Times New Roman"/>
                <w:color w:val="000000"/>
                <w:sz w:val="16"/>
                <w:szCs w:val="16"/>
              </w:rPr>
              <w:t>7.00</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67B0567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2F3164F" w14:textId="77777777" w:rsidR="00000000" w:rsidRDefault="00195E73">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72ABBC2C" w14:textId="77777777" w:rsidR="00000000" w:rsidRDefault="00195E7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415EDE58" w14:textId="77777777" w:rsidR="00000000" w:rsidRDefault="00195E73">
            <w:pPr>
              <w:jc w:val="right"/>
              <w:rPr>
                <w:rFonts w:eastAsia="Times New Roman"/>
              </w:rPr>
            </w:pPr>
            <w:r>
              <w:rPr>
                <w:rFonts w:eastAsia="Times New Roman"/>
                <w:color w:val="000000"/>
                <w:sz w:val="16"/>
                <w:szCs w:val="16"/>
              </w:rPr>
              <w:t>6.00</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6F84A14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E2BC2F6" w14:textId="77777777" w:rsidR="00000000" w:rsidRDefault="00195E73">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7FE32A9C" w14:textId="77777777" w:rsidR="00000000" w:rsidRDefault="00195E7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48E69B4E" w14:textId="77777777" w:rsidR="00000000" w:rsidRDefault="00195E73">
            <w:pPr>
              <w:jc w:val="right"/>
              <w:rPr>
                <w:rFonts w:eastAsia="Times New Roman"/>
              </w:rPr>
            </w:pPr>
            <w:r>
              <w:rPr>
                <w:rFonts w:eastAsia="Times New Roman"/>
                <w:color w:val="000000"/>
                <w:sz w:val="16"/>
                <w:szCs w:val="16"/>
              </w:rPr>
              <w:t>6.00</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51E0EA42"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C87C789" w14:textId="77777777" w:rsidR="00000000" w:rsidRDefault="00195E73">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3FFE9947" w14:textId="77777777" w:rsidR="00000000" w:rsidRDefault="00195E7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254B0FB6" w14:textId="77777777" w:rsidR="00000000" w:rsidRDefault="00195E73">
            <w:pPr>
              <w:jc w:val="right"/>
              <w:rPr>
                <w:rFonts w:eastAsia="Times New Roman"/>
              </w:rPr>
            </w:pPr>
            <w:r>
              <w:rPr>
                <w:rFonts w:eastAsia="Times New Roman"/>
                <w:color w:val="000000"/>
                <w:sz w:val="16"/>
                <w:szCs w:val="16"/>
              </w:rPr>
              <w:t>6.00</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4BA68791"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EABA655"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A18F0D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9DCE39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A12FBA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54C340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7755AB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C252A3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8D0773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07B260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F6F4765" w14:textId="77777777" w:rsidR="00000000" w:rsidRDefault="00195E73">
            <w:pPr>
              <w:rPr>
                <w:rFonts w:eastAsia="Times New Roman"/>
                <w:sz w:val="20"/>
                <w:szCs w:val="20"/>
              </w:rPr>
            </w:pPr>
          </w:p>
        </w:tc>
        <w:tc>
          <w:tcPr>
            <w:tcW w:w="0" w:type="auto"/>
            <w:vAlign w:val="center"/>
            <w:hideMark/>
          </w:tcPr>
          <w:p w14:paraId="0B12A78A" w14:textId="77777777" w:rsidR="00000000" w:rsidRDefault="00195E73">
            <w:pPr>
              <w:rPr>
                <w:rFonts w:eastAsia="Times New Roman"/>
                <w:sz w:val="20"/>
                <w:szCs w:val="20"/>
              </w:rPr>
            </w:pPr>
          </w:p>
        </w:tc>
        <w:tc>
          <w:tcPr>
            <w:tcW w:w="0" w:type="auto"/>
            <w:vAlign w:val="center"/>
            <w:hideMark/>
          </w:tcPr>
          <w:p w14:paraId="65B2154C" w14:textId="77777777" w:rsidR="00000000" w:rsidRDefault="00195E73">
            <w:pPr>
              <w:rPr>
                <w:rFonts w:eastAsia="Times New Roman"/>
                <w:sz w:val="20"/>
                <w:szCs w:val="20"/>
              </w:rPr>
            </w:pPr>
          </w:p>
        </w:tc>
        <w:tc>
          <w:tcPr>
            <w:tcW w:w="0" w:type="auto"/>
            <w:vAlign w:val="center"/>
            <w:hideMark/>
          </w:tcPr>
          <w:p w14:paraId="7BE7FF57" w14:textId="77777777" w:rsidR="00000000" w:rsidRDefault="00195E73">
            <w:pPr>
              <w:rPr>
                <w:rFonts w:eastAsia="Times New Roman"/>
                <w:sz w:val="20"/>
                <w:szCs w:val="20"/>
              </w:rPr>
            </w:pPr>
          </w:p>
        </w:tc>
      </w:tr>
      <w:tr w:rsidR="00000000" w14:paraId="47EAE94D" w14:textId="77777777">
        <w:trPr>
          <w:divId w:val="10837737"/>
          <w:trHeight w:val="240"/>
          <w:jc w:val="center"/>
        </w:trPr>
        <w:tc>
          <w:tcPr>
            <w:tcW w:w="0" w:type="auto"/>
            <w:gridSpan w:val="3"/>
            <w:shd w:val="clear" w:color="auto" w:fill="CCEEFF"/>
            <w:tcMar>
              <w:top w:w="15" w:type="dxa"/>
              <w:left w:w="20" w:type="dxa"/>
              <w:bottom w:w="15" w:type="dxa"/>
              <w:right w:w="20" w:type="dxa"/>
            </w:tcMar>
            <w:vAlign w:val="bottom"/>
            <w:hideMark/>
          </w:tcPr>
          <w:p w14:paraId="1FA9B23F"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4C27D4BB"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F18EC77"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A346599"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72A8CA6"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3662B5FD"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3EC8427"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3968C7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197387F"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15F51BB"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0CF347F"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81DC381"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8E20939"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288B5FB"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1BA5C11"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56AB1A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92DECFF"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1E9CC41"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14D9662"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88EECFF" w14:textId="77777777" w:rsidR="00000000" w:rsidRDefault="00195E73">
            <w:pPr>
              <w:rPr>
                <w:rFonts w:eastAsia="Times New Roman"/>
                <w:sz w:val="20"/>
                <w:szCs w:val="20"/>
              </w:rPr>
            </w:pPr>
          </w:p>
        </w:tc>
        <w:tc>
          <w:tcPr>
            <w:tcW w:w="0" w:type="auto"/>
            <w:vAlign w:val="center"/>
            <w:hideMark/>
          </w:tcPr>
          <w:p w14:paraId="3E26B05F" w14:textId="77777777" w:rsidR="00000000" w:rsidRDefault="00195E73">
            <w:pPr>
              <w:rPr>
                <w:rFonts w:eastAsia="Times New Roman"/>
                <w:sz w:val="20"/>
                <w:szCs w:val="20"/>
              </w:rPr>
            </w:pPr>
          </w:p>
        </w:tc>
        <w:tc>
          <w:tcPr>
            <w:tcW w:w="0" w:type="auto"/>
            <w:vAlign w:val="center"/>
            <w:hideMark/>
          </w:tcPr>
          <w:p w14:paraId="6D490D00" w14:textId="77777777" w:rsidR="00000000" w:rsidRDefault="00195E73">
            <w:pPr>
              <w:rPr>
                <w:rFonts w:eastAsia="Times New Roman"/>
                <w:sz w:val="20"/>
                <w:szCs w:val="20"/>
              </w:rPr>
            </w:pPr>
          </w:p>
        </w:tc>
        <w:tc>
          <w:tcPr>
            <w:tcW w:w="0" w:type="auto"/>
            <w:vAlign w:val="center"/>
            <w:hideMark/>
          </w:tcPr>
          <w:p w14:paraId="268498E9" w14:textId="77777777" w:rsidR="00000000" w:rsidRDefault="00195E73">
            <w:pPr>
              <w:rPr>
                <w:rFonts w:eastAsia="Times New Roman"/>
                <w:sz w:val="20"/>
                <w:szCs w:val="20"/>
              </w:rPr>
            </w:pPr>
          </w:p>
        </w:tc>
      </w:tr>
      <w:tr w:rsidR="00000000" w14:paraId="654CEE7B" w14:textId="77777777">
        <w:trPr>
          <w:divId w:val="10837737"/>
          <w:jc w:val="center"/>
        </w:trPr>
        <w:tc>
          <w:tcPr>
            <w:tcW w:w="0" w:type="auto"/>
            <w:gridSpan w:val="3"/>
            <w:shd w:val="clear" w:color="auto" w:fill="FFFFFF"/>
            <w:tcMar>
              <w:top w:w="30" w:type="dxa"/>
              <w:left w:w="20" w:type="dxa"/>
              <w:bottom w:w="30" w:type="dxa"/>
              <w:right w:w="20" w:type="dxa"/>
            </w:tcMar>
            <w:vAlign w:val="bottom"/>
            <w:hideMark/>
          </w:tcPr>
          <w:p w14:paraId="1A0513D4" w14:textId="77777777" w:rsidR="00000000" w:rsidRDefault="00195E73">
            <w:pPr>
              <w:rPr>
                <w:rFonts w:eastAsia="Times New Roman"/>
              </w:rPr>
            </w:pPr>
            <w:r>
              <w:rPr>
                <w:rFonts w:eastAsia="Times New Roman"/>
                <w:b/>
                <w:bCs/>
                <w:color w:val="000000"/>
                <w:sz w:val="16"/>
                <w:szCs w:val="16"/>
              </w:rPr>
              <w:t>Balance Sheet Data</w:t>
            </w:r>
            <w:r>
              <w:rPr>
                <w:rFonts w:eastAsia="Times New Roman"/>
                <w:b/>
                <w:bCs/>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4FD67239"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70E8D61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F6AF57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557DBD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69928B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CBAA52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F5EB25E"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EED9AE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C5BCF0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9223435"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039A7F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EEDE9A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82A732E"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F9183C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C78470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D48943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46A7A7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3E9E0F5"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E67DEDD" w14:textId="77777777" w:rsidR="00000000" w:rsidRDefault="00195E73">
            <w:pPr>
              <w:rPr>
                <w:rFonts w:eastAsia="Times New Roman"/>
                <w:sz w:val="20"/>
                <w:szCs w:val="20"/>
              </w:rPr>
            </w:pPr>
          </w:p>
        </w:tc>
        <w:tc>
          <w:tcPr>
            <w:tcW w:w="0" w:type="auto"/>
            <w:vAlign w:val="center"/>
            <w:hideMark/>
          </w:tcPr>
          <w:p w14:paraId="61DD7F2D" w14:textId="77777777" w:rsidR="00000000" w:rsidRDefault="00195E73">
            <w:pPr>
              <w:rPr>
                <w:rFonts w:eastAsia="Times New Roman"/>
                <w:sz w:val="20"/>
                <w:szCs w:val="20"/>
              </w:rPr>
            </w:pPr>
          </w:p>
        </w:tc>
        <w:tc>
          <w:tcPr>
            <w:tcW w:w="0" w:type="auto"/>
            <w:vAlign w:val="center"/>
            <w:hideMark/>
          </w:tcPr>
          <w:p w14:paraId="0964D8B6" w14:textId="77777777" w:rsidR="00000000" w:rsidRDefault="00195E73">
            <w:pPr>
              <w:rPr>
                <w:rFonts w:eastAsia="Times New Roman"/>
                <w:sz w:val="20"/>
                <w:szCs w:val="20"/>
              </w:rPr>
            </w:pPr>
          </w:p>
        </w:tc>
        <w:tc>
          <w:tcPr>
            <w:tcW w:w="0" w:type="auto"/>
            <w:vAlign w:val="center"/>
            <w:hideMark/>
          </w:tcPr>
          <w:p w14:paraId="7CDA7F27" w14:textId="77777777" w:rsidR="00000000" w:rsidRDefault="00195E73">
            <w:pPr>
              <w:rPr>
                <w:rFonts w:eastAsia="Times New Roman"/>
                <w:sz w:val="20"/>
                <w:szCs w:val="20"/>
              </w:rPr>
            </w:pPr>
          </w:p>
        </w:tc>
      </w:tr>
      <w:tr w:rsidR="00195E73" w14:paraId="286CE0B0" w14:textId="77777777">
        <w:trPr>
          <w:divId w:val="10837737"/>
          <w:jc w:val="center"/>
        </w:trPr>
        <w:tc>
          <w:tcPr>
            <w:tcW w:w="0" w:type="auto"/>
            <w:gridSpan w:val="3"/>
            <w:shd w:val="clear" w:color="auto" w:fill="CCEEFF"/>
            <w:tcMar>
              <w:top w:w="30" w:type="dxa"/>
              <w:left w:w="20" w:type="dxa"/>
              <w:bottom w:w="30" w:type="dxa"/>
              <w:right w:w="20" w:type="dxa"/>
            </w:tcMar>
            <w:vAlign w:val="bottom"/>
            <w:hideMark/>
          </w:tcPr>
          <w:p w14:paraId="5365D380" w14:textId="77777777" w:rsidR="00000000" w:rsidRDefault="00195E73">
            <w:pPr>
              <w:rPr>
                <w:rFonts w:eastAsia="Times New Roman"/>
              </w:rPr>
            </w:pPr>
            <w:r>
              <w:rPr>
                <w:rFonts w:eastAsia="Times New Roman"/>
                <w:color w:val="000000"/>
                <w:sz w:val="16"/>
                <w:szCs w:val="16"/>
              </w:rPr>
              <w:t>Cash and cash equivalent</w:t>
            </w:r>
            <w:r>
              <w:rPr>
                <w:rFonts w:eastAsia="Times New Roman"/>
                <w:color w:val="000000"/>
                <w:sz w:val="16"/>
                <w:szCs w:val="16"/>
              </w:rPr>
              <w:t>s</w:t>
            </w:r>
          </w:p>
        </w:tc>
        <w:tc>
          <w:tcPr>
            <w:tcW w:w="0" w:type="auto"/>
            <w:shd w:val="clear" w:color="auto" w:fill="CCEEFF"/>
            <w:tcMar>
              <w:top w:w="30" w:type="dxa"/>
              <w:left w:w="20" w:type="dxa"/>
              <w:bottom w:w="30" w:type="dxa"/>
              <w:right w:w="15" w:type="dxa"/>
            </w:tcMar>
            <w:vAlign w:val="bottom"/>
            <w:hideMark/>
          </w:tcPr>
          <w:p w14:paraId="046FC825"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4F5DE378" w14:textId="77777777" w:rsidR="00000000" w:rsidRDefault="00195E73">
            <w:pPr>
              <w:jc w:val="right"/>
              <w:rPr>
                <w:rFonts w:eastAsia="Times New Roman"/>
              </w:rPr>
            </w:pPr>
            <w:r>
              <w:rPr>
                <w:rFonts w:eastAsia="Times New Roman"/>
                <w:color w:val="000000"/>
                <w:sz w:val="16"/>
                <w:szCs w:val="16"/>
              </w:rPr>
              <w:t>3,794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5FEC5CF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9B8536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F64ECDC"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5DDFAE94" w14:textId="77777777" w:rsidR="00000000" w:rsidRDefault="00195E73">
            <w:pPr>
              <w:jc w:val="right"/>
              <w:rPr>
                <w:rFonts w:eastAsia="Times New Roman"/>
              </w:rPr>
            </w:pPr>
            <w:r>
              <w:rPr>
                <w:rFonts w:eastAsia="Times New Roman"/>
                <w:color w:val="000000"/>
                <w:sz w:val="16"/>
                <w:szCs w:val="16"/>
              </w:rPr>
              <w:t>2,656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9394AF1"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5FCDDF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0DBFB1C"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723D4BB8" w14:textId="77777777" w:rsidR="00000000" w:rsidRDefault="00195E73">
            <w:pPr>
              <w:jc w:val="right"/>
              <w:rPr>
                <w:rFonts w:eastAsia="Times New Roman"/>
              </w:rPr>
            </w:pPr>
            <w:r>
              <w:rPr>
                <w:rFonts w:eastAsia="Times New Roman"/>
                <w:color w:val="000000"/>
                <w:sz w:val="16"/>
                <w:szCs w:val="16"/>
              </w:rPr>
              <w:t>1,164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48EB6EC"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20C56E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E6F77C0"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6551B652" w14:textId="77777777" w:rsidR="00000000" w:rsidRDefault="00195E73">
            <w:pPr>
              <w:jc w:val="right"/>
              <w:rPr>
                <w:rFonts w:eastAsia="Times New Roman"/>
              </w:rPr>
            </w:pPr>
            <w:r>
              <w:rPr>
                <w:rFonts w:eastAsia="Times New Roman"/>
                <w:color w:val="000000"/>
                <w:sz w:val="16"/>
                <w:szCs w:val="16"/>
              </w:rPr>
              <w:t>1,114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ACC6320"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E03755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5B9D669"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05635663" w14:textId="77777777" w:rsidR="00000000" w:rsidRDefault="00195E73">
            <w:pPr>
              <w:jc w:val="right"/>
              <w:rPr>
                <w:rFonts w:eastAsia="Times New Roman"/>
              </w:rPr>
            </w:pPr>
            <w:r>
              <w:rPr>
                <w:rFonts w:eastAsia="Times New Roman"/>
                <w:color w:val="000000"/>
                <w:sz w:val="16"/>
                <w:szCs w:val="16"/>
              </w:rPr>
              <w:t>1,369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EF5B814"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3A3C63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CF8C602"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6ED12F3D" w14:textId="77777777" w:rsidR="00000000" w:rsidRDefault="00195E73">
            <w:pPr>
              <w:jc w:val="right"/>
              <w:rPr>
                <w:rFonts w:eastAsia="Times New Roman"/>
              </w:rPr>
            </w:pPr>
            <w:r>
              <w:rPr>
                <w:rFonts w:eastAsia="Times New Roman"/>
                <w:color w:val="000000"/>
                <w:sz w:val="16"/>
                <w:szCs w:val="16"/>
              </w:rPr>
              <w:t>3,794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A0E2261"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B49E0B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C3FBC62"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542AA988" w14:textId="77777777" w:rsidR="00000000" w:rsidRDefault="00195E73">
            <w:pPr>
              <w:jc w:val="right"/>
              <w:rPr>
                <w:rFonts w:eastAsia="Times New Roman"/>
              </w:rPr>
            </w:pPr>
            <w:r>
              <w:rPr>
                <w:rFonts w:eastAsia="Times New Roman"/>
                <w:color w:val="000000"/>
                <w:sz w:val="16"/>
                <w:szCs w:val="16"/>
              </w:rPr>
              <w:t>2,656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3B6AD83"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22B2BA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D3717FD"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65A008B8" w14:textId="77777777" w:rsidR="00000000" w:rsidRDefault="00195E73">
            <w:pPr>
              <w:jc w:val="right"/>
              <w:rPr>
                <w:rFonts w:eastAsia="Times New Roman"/>
              </w:rPr>
            </w:pPr>
            <w:r>
              <w:rPr>
                <w:rFonts w:eastAsia="Times New Roman"/>
                <w:color w:val="000000"/>
                <w:sz w:val="16"/>
                <w:szCs w:val="16"/>
              </w:rPr>
              <w:t>1,164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77B6372"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3A2D5C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8EFB9BC"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1FB552F7" w14:textId="77777777" w:rsidR="00000000" w:rsidRDefault="00195E73">
            <w:pPr>
              <w:jc w:val="right"/>
              <w:rPr>
                <w:rFonts w:eastAsia="Times New Roman"/>
              </w:rPr>
            </w:pPr>
            <w:r>
              <w:rPr>
                <w:rFonts w:eastAsia="Times New Roman"/>
                <w:color w:val="000000"/>
                <w:sz w:val="16"/>
                <w:szCs w:val="16"/>
              </w:rPr>
              <w:t>1,114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A3C9657"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1603B7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3D5C5A7" w14:textId="77777777" w:rsidR="00000000" w:rsidRDefault="00195E73">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6B0C82D0" w14:textId="77777777" w:rsidR="00000000" w:rsidRDefault="00195E73">
            <w:pPr>
              <w:jc w:val="right"/>
              <w:rPr>
                <w:rFonts w:eastAsia="Times New Roman"/>
              </w:rPr>
            </w:pPr>
            <w:r>
              <w:rPr>
                <w:rFonts w:eastAsia="Times New Roman"/>
                <w:color w:val="000000"/>
                <w:sz w:val="16"/>
                <w:szCs w:val="16"/>
              </w:rPr>
              <w:t>1,369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5A035C2C"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4DF3F281" w14:textId="77777777" w:rsidR="00000000" w:rsidRDefault="00195E73">
            <w:pPr>
              <w:rPr>
                <w:rFonts w:eastAsia="Times New Roman"/>
                <w:sz w:val="20"/>
                <w:szCs w:val="20"/>
              </w:rPr>
            </w:pPr>
          </w:p>
        </w:tc>
        <w:tc>
          <w:tcPr>
            <w:tcW w:w="0" w:type="auto"/>
            <w:vAlign w:val="center"/>
            <w:hideMark/>
          </w:tcPr>
          <w:p w14:paraId="22AB15A2" w14:textId="77777777" w:rsidR="00000000" w:rsidRDefault="00195E73">
            <w:pPr>
              <w:rPr>
                <w:rFonts w:eastAsia="Times New Roman"/>
                <w:sz w:val="20"/>
                <w:szCs w:val="20"/>
              </w:rPr>
            </w:pPr>
          </w:p>
        </w:tc>
        <w:tc>
          <w:tcPr>
            <w:tcW w:w="0" w:type="auto"/>
            <w:vAlign w:val="center"/>
            <w:hideMark/>
          </w:tcPr>
          <w:p w14:paraId="1869A85E" w14:textId="77777777" w:rsidR="00000000" w:rsidRDefault="00195E73">
            <w:pPr>
              <w:rPr>
                <w:rFonts w:eastAsia="Times New Roman"/>
                <w:sz w:val="20"/>
                <w:szCs w:val="20"/>
              </w:rPr>
            </w:pPr>
          </w:p>
        </w:tc>
      </w:tr>
      <w:tr w:rsidR="00195E73" w14:paraId="227913BB" w14:textId="77777777">
        <w:trPr>
          <w:divId w:val="10837737"/>
          <w:jc w:val="center"/>
        </w:trPr>
        <w:tc>
          <w:tcPr>
            <w:tcW w:w="0" w:type="auto"/>
            <w:gridSpan w:val="3"/>
            <w:shd w:val="clear" w:color="auto" w:fill="FFFFFF"/>
            <w:tcMar>
              <w:top w:w="30" w:type="dxa"/>
              <w:left w:w="20" w:type="dxa"/>
              <w:bottom w:w="30" w:type="dxa"/>
              <w:right w:w="20" w:type="dxa"/>
            </w:tcMar>
            <w:vAlign w:val="bottom"/>
            <w:hideMark/>
          </w:tcPr>
          <w:p w14:paraId="73F47ECD" w14:textId="77777777" w:rsidR="00000000" w:rsidRDefault="00195E73">
            <w:pPr>
              <w:rPr>
                <w:rFonts w:eastAsia="Times New Roman"/>
              </w:rPr>
            </w:pPr>
            <w:r>
              <w:rPr>
                <w:rFonts w:eastAsia="Times New Roman"/>
                <w:color w:val="000000"/>
                <w:sz w:val="16"/>
                <w:szCs w:val="16"/>
              </w:rPr>
              <w:t>Investment</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14:paraId="05B16787" w14:textId="77777777" w:rsidR="00000000" w:rsidRDefault="00195E73">
            <w:pPr>
              <w:jc w:val="right"/>
              <w:rPr>
                <w:rFonts w:eastAsia="Times New Roman"/>
              </w:rPr>
            </w:pPr>
            <w:r>
              <w:rPr>
                <w:rFonts w:eastAsia="Times New Roman"/>
                <w:color w:val="000000"/>
                <w:sz w:val="16"/>
                <w:szCs w:val="16"/>
              </w:rPr>
              <w:t>9,945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1DD4CA3"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1D1AB3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A2E21D" w14:textId="77777777" w:rsidR="00000000" w:rsidRDefault="00195E73">
            <w:pPr>
              <w:jc w:val="right"/>
              <w:rPr>
                <w:rFonts w:eastAsia="Times New Roman"/>
              </w:rPr>
            </w:pPr>
            <w:r>
              <w:rPr>
                <w:rFonts w:eastAsia="Times New Roman"/>
                <w:color w:val="000000"/>
                <w:sz w:val="16"/>
                <w:szCs w:val="16"/>
              </w:rPr>
              <w:t>8,337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AC91754"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F90AC1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2789A8" w14:textId="77777777" w:rsidR="00000000" w:rsidRDefault="00195E73">
            <w:pPr>
              <w:jc w:val="right"/>
              <w:rPr>
                <w:rFonts w:eastAsia="Times New Roman"/>
              </w:rPr>
            </w:pPr>
            <w:r>
              <w:rPr>
                <w:rFonts w:eastAsia="Times New Roman"/>
                <w:color w:val="000000"/>
                <w:sz w:val="16"/>
                <w:szCs w:val="16"/>
              </w:rPr>
              <w:t>10,015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73D8E9E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392A7D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3D2033" w14:textId="77777777" w:rsidR="00000000" w:rsidRDefault="00195E73">
            <w:pPr>
              <w:jc w:val="right"/>
              <w:rPr>
                <w:rFonts w:eastAsia="Times New Roman"/>
              </w:rPr>
            </w:pPr>
            <w:r>
              <w:rPr>
                <w:rFonts w:eastAsia="Times New Roman"/>
                <w:color w:val="000000"/>
                <w:sz w:val="16"/>
                <w:szCs w:val="16"/>
              </w:rPr>
              <w:t>9,559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008F023"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1F13D9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D59423" w14:textId="77777777" w:rsidR="00000000" w:rsidRDefault="00195E73">
            <w:pPr>
              <w:jc w:val="right"/>
              <w:rPr>
                <w:rFonts w:eastAsia="Times New Roman"/>
              </w:rPr>
            </w:pPr>
            <w:r>
              <w:rPr>
                <w:rFonts w:eastAsia="Times New Roman"/>
                <w:color w:val="000000"/>
                <w:sz w:val="16"/>
                <w:szCs w:val="16"/>
              </w:rPr>
              <w:t>15,002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2A0F65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416D8D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89B8A0" w14:textId="77777777" w:rsidR="00000000" w:rsidRDefault="00195E73">
            <w:pPr>
              <w:jc w:val="right"/>
              <w:rPr>
                <w:rFonts w:eastAsia="Times New Roman"/>
              </w:rPr>
            </w:pPr>
            <w:r>
              <w:rPr>
                <w:rFonts w:eastAsia="Times New Roman"/>
                <w:color w:val="000000"/>
                <w:sz w:val="16"/>
                <w:szCs w:val="16"/>
              </w:rPr>
              <w:t>9,945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D7CAA04"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29337C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CF2BA7" w14:textId="77777777" w:rsidR="00000000" w:rsidRDefault="00195E73">
            <w:pPr>
              <w:jc w:val="right"/>
              <w:rPr>
                <w:rFonts w:eastAsia="Times New Roman"/>
              </w:rPr>
            </w:pPr>
            <w:r>
              <w:rPr>
                <w:rFonts w:eastAsia="Times New Roman"/>
                <w:color w:val="000000"/>
                <w:sz w:val="16"/>
                <w:szCs w:val="16"/>
              </w:rPr>
              <w:t>8,337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ACA6A28"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25734C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8FC11B" w14:textId="77777777" w:rsidR="00000000" w:rsidRDefault="00195E73">
            <w:pPr>
              <w:jc w:val="right"/>
              <w:rPr>
                <w:rFonts w:eastAsia="Times New Roman"/>
              </w:rPr>
            </w:pPr>
            <w:r>
              <w:rPr>
                <w:rFonts w:eastAsia="Times New Roman"/>
                <w:color w:val="000000"/>
                <w:sz w:val="16"/>
                <w:szCs w:val="16"/>
              </w:rPr>
              <w:t>10,015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3EFFF5B"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923F1A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FAFC05" w14:textId="77777777" w:rsidR="00000000" w:rsidRDefault="00195E73">
            <w:pPr>
              <w:jc w:val="right"/>
              <w:rPr>
                <w:rFonts w:eastAsia="Times New Roman"/>
              </w:rPr>
            </w:pPr>
            <w:r>
              <w:rPr>
                <w:rFonts w:eastAsia="Times New Roman"/>
                <w:color w:val="000000"/>
                <w:sz w:val="16"/>
                <w:szCs w:val="16"/>
              </w:rPr>
              <w:t>9,559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1A32FFF"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C751DE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0A1A91" w14:textId="77777777" w:rsidR="00000000" w:rsidRDefault="00195E73">
            <w:pPr>
              <w:jc w:val="right"/>
              <w:rPr>
                <w:rFonts w:eastAsia="Times New Roman"/>
              </w:rPr>
            </w:pPr>
            <w:r>
              <w:rPr>
                <w:rFonts w:eastAsia="Times New Roman"/>
                <w:color w:val="000000"/>
                <w:sz w:val="16"/>
                <w:szCs w:val="16"/>
              </w:rPr>
              <w:t>15,002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2A9DDC2"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19AD0DFB" w14:textId="77777777" w:rsidR="00000000" w:rsidRDefault="00195E73">
            <w:pPr>
              <w:rPr>
                <w:rFonts w:eastAsia="Times New Roman"/>
                <w:sz w:val="20"/>
                <w:szCs w:val="20"/>
              </w:rPr>
            </w:pPr>
          </w:p>
        </w:tc>
        <w:tc>
          <w:tcPr>
            <w:tcW w:w="0" w:type="auto"/>
            <w:vAlign w:val="center"/>
            <w:hideMark/>
          </w:tcPr>
          <w:p w14:paraId="1EFE19FF" w14:textId="77777777" w:rsidR="00000000" w:rsidRDefault="00195E73">
            <w:pPr>
              <w:rPr>
                <w:rFonts w:eastAsia="Times New Roman"/>
                <w:sz w:val="20"/>
                <w:szCs w:val="20"/>
              </w:rPr>
            </w:pPr>
          </w:p>
        </w:tc>
        <w:tc>
          <w:tcPr>
            <w:tcW w:w="0" w:type="auto"/>
            <w:vAlign w:val="center"/>
            <w:hideMark/>
          </w:tcPr>
          <w:p w14:paraId="15380DE0" w14:textId="77777777" w:rsidR="00000000" w:rsidRDefault="00195E73">
            <w:pPr>
              <w:rPr>
                <w:rFonts w:eastAsia="Times New Roman"/>
                <w:sz w:val="20"/>
                <w:szCs w:val="20"/>
              </w:rPr>
            </w:pPr>
          </w:p>
        </w:tc>
      </w:tr>
      <w:tr w:rsidR="00195E73" w14:paraId="4DF7F928" w14:textId="77777777">
        <w:trPr>
          <w:divId w:val="10837737"/>
          <w:jc w:val="center"/>
        </w:trPr>
        <w:tc>
          <w:tcPr>
            <w:tcW w:w="0" w:type="auto"/>
            <w:gridSpan w:val="3"/>
            <w:shd w:val="clear" w:color="auto" w:fill="CCEEFF"/>
            <w:tcMar>
              <w:top w:w="30" w:type="dxa"/>
              <w:left w:w="20" w:type="dxa"/>
              <w:bottom w:w="30" w:type="dxa"/>
              <w:right w:w="20" w:type="dxa"/>
            </w:tcMar>
            <w:vAlign w:val="bottom"/>
            <w:hideMark/>
          </w:tcPr>
          <w:p w14:paraId="19F6C01B" w14:textId="77777777" w:rsidR="00000000" w:rsidRDefault="00195E73">
            <w:pPr>
              <w:ind w:hanging="90"/>
              <w:divId w:val="1842112552"/>
              <w:rPr>
                <w:rFonts w:eastAsia="Times New Roman"/>
              </w:rPr>
            </w:pPr>
            <w:r>
              <w:rPr>
                <w:rFonts w:eastAsia="Times New Roman"/>
                <w:color w:val="000000"/>
                <w:sz w:val="16"/>
                <w:szCs w:val="16"/>
              </w:rPr>
              <w:t>Property, plant and equipment, ne</w:t>
            </w:r>
            <w:r>
              <w:rPr>
                <w:rFonts w:eastAsia="Times New Roman"/>
                <w:color w:val="000000"/>
                <w:sz w:val="16"/>
                <w:szCs w:val="16"/>
              </w:rPr>
              <w:t>t</w:t>
            </w:r>
          </w:p>
        </w:tc>
        <w:tc>
          <w:tcPr>
            <w:tcW w:w="0" w:type="auto"/>
            <w:gridSpan w:val="2"/>
            <w:shd w:val="clear" w:color="auto" w:fill="CCEEFF"/>
            <w:tcMar>
              <w:top w:w="30" w:type="dxa"/>
              <w:left w:w="20" w:type="dxa"/>
              <w:bottom w:w="30" w:type="dxa"/>
              <w:right w:w="0" w:type="dxa"/>
            </w:tcMar>
            <w:vAlign w:val="bottom"/>
            <w:hideMark/>
          </w:tcPr>
          <w:p w14:paraId="2A34971D" w14:textId="77777777" w:rsidR="00000000" w:rsidRDefault="00195E73">
            <w:pPr>
              <w:jc w:val="right"/>
              <w:rPr>
                <w:rFonts w:eastAsia="Times New Roman"/>
              </w:rPr>
            </w:pPr>
            <w:r>
              <w:rPr>
                <w:rFonts w:eastAsia="Times New Roman"/>
                <w:color w:val="000000"/>
                <w:sz w:val="16"/>
                <w:szCs w:val="16"/>
              </w:rPr>
              <w:t>4,541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E95FC11"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AF3EB6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9B6082" w14:textId="77777777" w:rsidR="00000000" w:rsidRDefault="00195E73">
            <w:pPr>
              <w:jc w:val="right"/>
              <w:rPr>
                <w:rFonts w:eastAsia="Times New Roman"/>
              </w:rPr>
            </w:pPr>
            <w:r>
              <w:rPr>
                <w:rFonts w:eastAsia="Times New Roman"/>
                <w:color w:val="000000"/>
                <w:sz w:val="16"/>
                <w:szCs w:val="16"/>
              </w:rPr>
              <w:t>4,688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55D21FA3"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91483D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12777E" w14:textId="77777777" w:rsidR="00000000" w:rsidRDefault="00195E73">
            <w:pPr>
              <w:jc w:val="right"/>
              <w:rPr>
                <w:rFonts w:eastAsia="Times New Roman"/>
              </w:rPr>
            </w:pPr>
            <w:r>
              <w:rPr>
                <w:rFonts w:eastAsia="Times New Roman"/>
                <w:color w:val="000000"/>
                <w:sz w:val="16"/>
                <w:szCs w:val="16"/>
              </w:rPr>
              <w:t>5,166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67EF30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F3DBCE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853C65" w14:textId="77777777" w:rsidR="00000000" w:rsidRDefault="00195E73">
            <w:pPr>
              <w:jc w:val="right"/>
              <w:rPr>
                <w:rFonts w:eastAsia="Times New Roman"/>
              </w:rPr>
            </w:pPr>
            <w:r>
              <w:rPr>
                <w:rFonts w:eastAsia="Times New Roman"/>
                <w:color w:val="000000"/>
                <w:sz w:val="16"/>
                <w:szCs w:val="16"/>
              </w:rPr>
              <w:t>5,918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86AAAE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F2C6E2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8B04EB" w14:textId="77777777" w:rsidR="00000000" w:rsidRDefault="00195E73">
            <w:pPr>
              <w:jc w:val="right"/>
              <w:rPr>
                <w:rFonts w:eastAsia="Times New Roman"/>
              </w:rPr>
            </w:pPr>
            <w:r>
              <w:rPr>
                <w:rFonts w:eastAsia="Times New Roman"/>
                <w:color w:val="000000"/>
                <w:sz w:val="16"/>
                <w:szCs w:val="16"/>
              </w:rPr>
              <w:t>5,682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2E488609"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F4AD8D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6E8F11" w14:textId="77777777" w:rsidR="00000000" w:rsidRDefault="00195E73">
            <w:pPr>
              <w:jc w:val="right"/>
              <w:rPr>
                <w:rFonts w:eastAsia="Times New Roman"/>
              </w:rPr>
            </w:pPr>
            <w:r>
              <w:rPr>
                <w:rFonts w:eastAsia="Times New Roman"/>
                <w:color w:val="000000"/>
                <w:sz w:val="16"/>
                <w:szCs w:val="16"/>
              </w:rPr>
              <w:t>4,541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5D7377E2"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1CB0AD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6BCFF7" w14:textId="77777777" w:rsidR="00000000" w:rsidRDefault="00195E73">
            <w:pPr>
              <w:jc w:val="right"/>
              <w:rPr>
                <w:rFonts w:eastAsia="Times New Roman"/>
              </w:rPr>
            </w:pPr>
            <w:r>
              <w:rPr>
                <w:rFonts w:eastAsia="Times New Roman"/>
                <w:color w:val="000000"/>
                <w:sz w:val="16"/>
                <w:szCs w:val="16"/>
              </w:rPr>
              <w:t>4,688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24162C38"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1AB32F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CFFB2A" w14:textId="77777777" w:rsidR="00000000" w:rsidRDefault="00195E73">
            <w:pPr>
              <w:jc w:val="right"/>
              <w:rPr>
                <w:rFonts w:eastAsia="Times New Roman"/>
              </w:rPr>
            </w:pPr>
            <w:r>
              <w:rPr>
                <w:rFonts w:eastAsia="Times New Roman"/>
                <w:color w:val="000000"/>
                <w:sz w:val="16"/>
                <w:szCs w:val="16"/>
              </w:rPr>
              <w:t>5,166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8E33947"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0191A0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096CF2" w14:textId="77777777" w:rsidR="00000000" w:rsidRDefault="00195E73">
            <w:pPr>
              <w:jc w:val="right"/>
              <w:rPr>
                <w:rFonts w:eastAsia="Times New Roman"/>
              </w:rPr>
            </w:pPr>
            <w:r>
              <w:rPr>
                <w:rFonts w:eastAsia="Times New Roman"/>
                <w:color w:val="000000"/>
                <w:sz w:val="16"/>
                <w:szCs w:val="16"/>
              </w:rPr>
              <w:t>5,918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AA53BEF"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FF9064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71E1ED" w14:textId="77777777" w:rsidR="00000000" w:rsidRDefault="00195E73">
            <w:pPr>
              <w:jc w:val="right"/>
              <w:rPr>
                <w:rFonts w:eastAsia="Times New Roman"/>
              </w:rPr>
            </w:pPr>
            <w:r>
              <w:rPr>
                <w:rFonts w:eastAsia="Times New Roman"/>
                <w:color w:val="000000"/>
                <w:sz w:val="16"/>
                <w:szCs w:val="16"/>
              </w:rPr>
              <w:t>5,682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EF513BF"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6B034746" w14:textId="77777777" w:rsidR="00000000" w:rsidRDefault="00195E73">
            <w:pPr>
              <w:rPr>
                <w:rFonts w:eastAsia="Times New Roman"/>
                <w:sz w:val="20"/>
                <w:szCs w:val="20"/>
              </w:rPr>
            </w:pPr>
          </w:p>
        </w:tc>
        <w:tc>
          <w:tcPr>
            <w:tcW w:w="0" w:type="auto"/>
            <w:vAlign w:val="center"/>
            <w:hideMark/>
          </w:tcPr>
          <w:p w14:paraId="77D22DCE" w14:textId="77777777" w:rsidR="00000000" w:rsidRDefault="00195E73">
            <w:pPr>
              <w:rPr>
                <w:rFonts w:eastAsia="Times New Roman"/>
                <w:sz w:val="20"/>
                <w:szCs w:val="20"/>
              </w:rPr>
            </w:pPr>
          </w:p>
        </w:tc>
        <w:tc>
          <w:tcPr>
            <w:tcW w:w="0" w:type="auto"/>
            <w:vAlign w:val="center"/>
            <w:hideMark/>
          </w:tcPr>
          <w:p w14:paraId="55342EE5" w14:textId="77777777" w:rsidR="00000000" w:rsidRDefault="00195E73">
            <w:pPr>
              <w:rPr>
                <w:rFonts w:eastAsia="Times New Roman"/>
                <w:sz w:val="20"/>
                <w:szCs w:val="20"/>
              </w:rPr>
            </w:pPr>
          </w:p>
        </w:tc>
      </w:tr>
      <w:tr w:rsidR="00195E73" w14:paraId="4EBE4967" w14:textId="77777777">
        <w:trPr>
          <w:divId w:val="10837737"/>
          <w:jc w:val="center"/>
        </w:trPr>
        <w:tc>
          <w:tcPr>
            <w:tcW w:w="0" w:type="auto"/>
            <w:gridSpan w:val="3"/>
            <w:shd w:val="clear" w:color="auto" w:fill="FFFFFF"/>
            <w:tcMar>
              <w:top w:w="30" w:type="dxa"/>
              <w:left w:w="20" w:type="dxa"/>
              <w:bottom w:w="30" w:type="dxa"/>
              <w:right w:w="20" w:type="dxa"/>
            </w:tcMar>
            <w:vAlign w:val="bottom"/>
            <w:hideMark/>
          </w:tcPr>
          <w:p w14:paraId="3D1E57F0" w14:textId="77777777" w:rsidR="00000000" w:rsidRDefault="00195E73">
            <w:pPr>
              <w:rPr>
                <w:rFonts w:eastAsia="Times New Roman"/>
              </w:rPr>
            </w:pPr>
            <w:r>
              <w:rPr>
                <w:rFonts w:eastAsia="Times New Roman"/>
                <w:color w:val="000000"/>
                <w:sz w:val="16"/>
                <w:szCs w:val="16"/>
              </w:rPr>
              <w:t>Assets held for sal</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14:paraId="502054F3" w14:textId="77777777" w:rsidR="00000000" w:rsidRDefault="00195E73">
            <w:pPr>
              <w:jc w:val="right"/>
              <w:rPr>
                <w:rFonts w:eastAsia="Times New Roman"/>
              </w:rPr>
            </w:pPr>
            <w:r>
              <w:rPr>
                <w:rFonts w:eastAsia="Times New Roman"/>
                <w:color w:val="000000"/>
                <w:sz w:val="16"/>
                <w:szCs w:val="16"/>
              </w:rPr>
              <w:t>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367C20D"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E8C230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295149" w14:textId="77777777" w:rsidR="00000000" w:rsidRDefault="00195E73">
            <w:pPr>
              <w:jc w:val="right"/>
              <w:rPr>
                <w:rFonts w:eastAsia="Times New Roman"/>
              </w:rPr>
            </w:pPr>
            <w:r>
              <w:rPr>
                <w:rFonts w:eastAsia="Times New Roman"/>
                <w:color w:val="000000"/>
                <w:sz w:val="16"/>
                <w:szCs w:val="16"/>
              </w:rPr>
              <w:t>333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492033C3"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36E9C4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6F155A" w14:textId="77777777" w:rsidR="00000000" w:rsidRDefault="00195E73">
            <w:pPr>
              <w:jc w:val="right"/>
              <w:rPr>
                <w:rFonts w:eastAsia="Times New Roman"/>
              </w:rPr>
            </w:pPr>
            <w:r>
              <w:rPr>
                <w:rFonts w:eastAsia="Times New Roman"/>
                <w:color w:val="000000"/>
                <w:sz w:val="16"/>
                <w:szCs w:val="16"/>
              </w:rPr>
              <w:t>10,263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419326BD"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542030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7B836F" w14:textId="77777777" w:rsidR="00000000" w:rsidRDefault="00195E73">
            <w:pPr>
              <w:jc w:val="right"/>
              <w:rPr>
                <w:rFonts w:eastAsia="Times New Roman"/>
              </w:rPr>
            </w:pPr>
            <w:r>
              <w:rPr>
                <w:rFonts w:eastAsia="Times New Roman"/>
                <w:color w:val="000000"/>
                <w:sz w:val="16"/>
                <w:szCs w:val="16"/>
              </w:rPr>
              <w:t>11,493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D6DE2E8"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BA6D73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9B396A" w14:textId="77777777" w:rsidR="00000000" w:rsidRDefault="00195E73">
            <w:pPr>
              <w:jc w:val="right"/>
              <w:rPr>
                <w:rFonts w:eastAsia="Times New Roman"/>
              </w:rPr>
            </w:pPr>
            <w:r>
              <w:rPr>
                <w:rFonts w:eastAsia="Times New Roman"/>
                <w:color w:val="000000"/>
                <w:sz w:val="16"/>
                <w:szCs w:val="16"/>
              </w:rPr>
              <w:t>10,054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FF66894"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B16E42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3ADB9F" w14:textId="77777777" w:rsidR="00000000" w:rsidRDefault="00195E73">
            <w:pPr>
              <w:jc w:val="right"/>
              <w:rPr>
                <w:rFonts w:eastAsia="Times New Roman"/>
              </w:rPr>
            </w:pPr>
            <w:r>
              <w:rPr>
                <w:rFonts w:eastAsia="Times New Roman"/>
                <w:color w:val="000000"/>
                <w:sz w:val="16"/>
                <w:szCs w:val="16"/>
              </w:rPr>
              <w:t>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508327D"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685A31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CDFC8D" w14:textId="77777777" w:rsidR="00000000" w:rsidRDefault="00195E73">
            <w:pPr>
              <w:jc w:val="right"/>
              <w:rPr>
                <w:rFonts w:eastAsia="Times New Roman"/>
              </w:rPr>
            </w:pPr>
            <w:r>
              <w:rPr>
                <w:rFonts w:eastAsia="Times New Roman"/>
                <w:color w:val="000000"/>
                <w:sz w:val="16"/>
                <w:szCs w:val="16"/>
              </w:rPr>
              <w:t>333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C5E6F3B"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DDE2B9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3BDF34" w14:textId="77777777" w:rsidR="00000000" w:rsidRDefault="00195E73">
            <w:pPr>
              <w:jc w:val="right"/>
              <w:rPr>
                <w:rFonts w:eastAsia="Times New Roman"/>
              </w:rPr>
            </w:pPr>
            <w:r>
              <w:rPr>
                <w:rFonts w:eastAsia="Times New Roman"/>
                <w:color w:val="000000"/>
                <w:sz w:val="16"/>
                <w:szCs w:val="16"/>
              </w:rPr>
              <w:t>10,263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46EEBE82"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00F5B4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2E0C75" w14:textId="77777777" w:rsidR="00000000" w:rsidRDefault="00195E73">
            <w:pPr>
              <w:jc w:val="right"/>
              <w:rPr>
                <w:rFonts w:eastAsia="Times New Roman"/>
              </w:rPr>
            </w:pPr>
            <w:r>
              <w:rPr>
                <w:rFonts w:eastAsia="Times New Roman"/>
                <w:color w:val="000000"/>
                <w:sz w:val="16"/>
                <w:szCs w:val="16"/>
              </w:rPr>
              <w:t>11,493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9A0D7E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A873B8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0404AF" w14:textId="77777777" w:rsidR="00000000" w:rsidRDefault="00195E73">
            <w:pPr>
              <w:jc w:val="right"/>
              <w:rPr>
                <w:rFonts w:eastAsia="Times New Roman"/>
              </w:rPr>
            </w:pPr>
            <w:r>
              <w:rPr>
                <w:rFonts w:eastAsia="Times New Roman"/>
                <w:color w:val="000000"/>
                <w:sz w:val="16"/>
                <w:szCs w:val="16"/>
              </w:rPr>
              <w:t>10,054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2348876"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4463FD5F" w14:textId="77777777" w:rsidR="00000000" w:rsidRDefault="00195E73">
            <w:pPr>
              <w:rPr>
                <w:rFonts w:eastAsia="Times New Roman"/>
                <w:sz w:val="20"/>
                <w:szCs w:val="20"/>
              </w:rPr>
            </w:pPr>
          </w:p>
        </w:tc>
        <w:tc>
          <w:tcPr>
            <w:tcW w:w="0" w:type="auto"/>
            <w:vAlign w:val="center"/>
            <w:hideMark/>
          </w:tcPr>
          <w:p w14:paraId="4AFBEB92" w14:textId="77777777" w:rsidR="00000000" w:rsidRDefault="00195E73">
            <w:pPr>
              <w:rPr>
                <w:rFonts w:eastAsia="Times New Roman"/>
                <w:sz w:val="20"/>
                <w:szCs w:val="20"/>
              </w:rPr>
            </w:pPr>
          </w:p>
        </w:tc>
        <w:tc>
          <w:tcPr>
            <w:tcW w:w="0" w:type="auto"/>
            <w:vAlign w:val="center"/>
            <w:hideMark/>
          </w:tcPr>
          <w:p w14:paraId="3D891382" w14:textId="77777777" w:rsidR="00000000" w:rsidRDefault="00195E73">
            <w:pPr>
              <w:rPr>
                <w:rFonts w:eastAsia="Times New Roman"/>
                <w:sz w:val="20"/>
                <w:szCs w:val="20"/>
              </w:rPr>
            </w:pPr>
          </w:p>
        </w:tc>
      </w:tr>
      <w:tr w:rsidR="00195E73" w14:paraId="53349B2F" w14:textId="77777777">
        <w:trPr>
          <w:divId w:val="10837737"/>
          <w:jc w:val="center"/>
        </w:trPr>
        <w:tc>
          <w:tcPr>
            <w:tcW w:w="0" w:type="auto"/>
            <w:gridSpan w:val="3"/>
            <w:shd w:val="clear" w:color="auto" w:fill="CCEEFF"/>
            <w:tcMar>
              <w:top w:w="30" w:type="dxa"/>
              <w:left w:w="20" w:type="dxa"/>
              <w:bottom w:w="30" w:type="dxa"/>
              <w:right w:w="20" w:type="dxa"/>
            </w:tcMar>
            <w:vAlign w:val="bottom"/>
            <w:hideMark/>
          </w:tcPr>
          <w:p w14:paraId="7512D2D3" w14:textId="77777777" w:rsidR="00000000" w:rsidRDefault="00195E73">
            <w:pPr>
              <w:rPr>
                <w:rFonts w:eastAsia="Times New Roman"/>
              </w:rPr>
            </w:pPr>
            <w:r>
              <w:rPr>
                <w:rFonts w:eastAsia="Times New Roman"/>
                <w:color w:val="000000"/>
                <w:sz w:val="16"/>
                <w:szCs w:val="16"/>
              </w:rPr>
              <w:t>Total asset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14:paraId="6E2EE3C2" w14:textId="77777777" w:rsidR="00000000" w:rsidRDefault="00195E73">
            <w:pPr>
              <w:jc w:val="right"/>
              <w:rPr>
                <w:rFonts w:eastAsia="Times New Roman"/>
              </w:rPr>
            </w:pPr>
            <w:r>
              <w:rPr>
                <w:rFonts w:eastAsia="Times New Roman"/>
                <w:color w:val="000000"/>
                <w:sz w:val="16"/>
                <w:szCs w:val="16"/>
              </w:rPr>
              <w:t>24,639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7E4741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246CF3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87DBD9" w14:textId="77777777" w:rsidR="00000000" w:rsidRDefault="00195E73">
            <w:pPr>
              <w:jc w:val="right"/>
              <w:rPr>
                <w:rFonts w:eastAsia="Times New Roman"/>
              </w:rPr>
            </w:pPr>
            <w:r>
              <w:rPr>
                <w:rFonts w:eastAsia="Times New Roman"/>
                <w:color w:val="000000"/>
                <w:sz w:val="16"/>
                <w:szCs w:val="16"/>
              </w:rPr>
              <w:t>23,489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40A0B7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067BDB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E4C568" w14:textId="77777777" w:rsidR="00000000" w:rsidRDefault="00195E73">
            <w:pPr>
              <w:jc w:val="right"/>
              <w:rPr>
                <w:rFonts w:eastAsia="Times New Roman"/>
              </w:rPr>
            </w:pPr>
            <w:r>
              <w:rPr>
                <w:rFonts w:eastAsia="Times New Roman"/>
                <w:color w:val="000000"/>
                <w:sz w:val="16"/>
                <w:szCs w:val="16"/>
              </w:rPr>
              <w:t>31,946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175F0A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49E6F5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23392D" w14:textId="77777777" w:rsidR="00000000" w:rsidRDefault="00195E73">
            <w:pPr>
              <w:jc w:val="right"/>
              <w:rPr>
                <w:rFonts w:eastAsia="Times New Roman"/>
              </w:rPr>
            </w:pPr>
            <w:r>
              <w:rPr>
                <w:rFonts w:eastAsia="Times New Roman"/>
                <w:color w:val="000000"/>
                <w:sz w:val="16"/>
                <w:szCs w:val="16"/>
              </w:rPr>
              <w:t>33,479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B55268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CB3BED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AD2821" w14:textId="77777777" w:rsidR="00000000" w:rsidRDefault="00195E73">
            <w:pPr>
              <w:jc w:val="right"/>
              <w:rPr>
                <w:rFonts w:eastAsia="Times New Roman"/>
              </w:rPr>
            </w:pPr>
            <w:r>
              <w:rPr>
                <w:rFonts w:eastAsia="Times New Roman"/>
                <w:color w:val="000000"/>
                <w:sz w:val="16"/>
                <w:szCs w:val="16"/>
              </w:rPr>
              <w:t>36,521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BE954A7"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1615C4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1D6F20" w14:textId="77777777" w:rsidR="00000000" w:rsidRDefault="00195E73">
            <w:pPr>
              <w:jc w:val="right"/>
              <w:rPr>
                <w:rFonts w:eastAsia="Times New Roman"/>
              </w:rPr>
            </w:pPr>
            <w:r>
              <w:rPr>
                <w:rFonts w:eastAsia="Times New Roman"/>
                <w:color w:val="000000"/>
                <w:sz w:val="16"/>
                <w:szCs w:val="16"/>
              </w:rPr>
              <w:t>24,639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73CF0F9"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7F54BD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6B203D" w14:textId="77777777" w:rsidR="00000000" w:rsidRDefault="00195E73">
            <w:pPr>
              <w:jc w:val="right"/>
              <w:rPr>
                <w:rFonts w:eastAsia="Times New Roman"/>
              </w:rPr>
            </w:pPr>
            <w:r>
              <w:rPr>
                <w:rFonts w:eastAsia="Times New Roman"/>
                <w:color w:val="000000"/>
                <w:sz w:val="16"/>
                <w:szCs w:val="16"/>
              </w:rPr>
              <w:t>23,521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0C0B9A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C9EE7F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353C9A" w14:textId="77777777" w:rsidR="00000000" w:rsidRDefault="00195E73">
            <w:pPr>
              <w:jc w:val="right"/>
              <w:rPr>
                <w:rFonts w:eastAsia="Times New Roman"/>
              </w:rPr>
            </w:pPr>
            <w:r>
              <w:rPr>
                <w:rFonts w:eastAsia="Times New Roman"/>
                <w:color w:val="000000"/>
                <w:sz w:val="16"/>
                <w:szCs w:val="16"/>
              </w:rPr>
              <w:t>31,978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062CC4C"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94425B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68FBAF" w14:textId="77777777" w:rsidR="00000000" w:rsidRDefault="00195E73">
            <w:pPr>
              <w:jc w:val="right"/>
              <w:rPr>
                <w:rFonts w:eastAsia="Times New Roman"/>
              </w:rPr>
            </w:pPr>
            <w:r>
              <w:rPr>
                <w:rFonts w:eastAsia="Times New Roman"/>
                <w:color w:val="000000"/>
                <w:sz w:val="16"/>
                <w:szCs w:val="16"/>
              </w:rPr>
              <w:t>33,507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48C54FF"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6A58E3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4C68DC" w14:textId="77777777" w:rsidR="00000000" w:rsidRDefault="00195E73">
            <w:pPr>
              <w:jc w:val="right"/>
              <w:rPr>
                <w:rFonts w:eastAsia="Times New Roman"/>
              </w:rPr>
            </w:pPr>
            <w:r>
              <w:rPr>
                <w:rFonts w:eastAsia="Times New Roman"/>
                <w:color w:val="000000"/>
                <w:sz w:val="16"/>
                <w:szCs w:val="16"/>
              </w:rPr>
              <w:t>36,548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65F73D9"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56EC20F3" w14:textId="77777777" w:rsidR="00000000" w:rsidRDefault="00195E73">
            <w:pPr>
              <w:rPr>
                <w:rFonts w:eastAsia="Times New Roman"/>
                <w:sz w:val="20"/>
                <w:szCs w:val="20"/>
              </w:rPr>
            </w:pPr>
          </w:p>
        </w:tc>
        <w:tc>
          <w:tcPr>
            <w:tcW w:w="0" w:type="auto"/>
            <w:vAlign w:val="center"/>
            <w:hideMark/>
          </w:tcPr>
          <w:p w14:paraId="3BB8F14E" w14:textId="77777777" w:rsidR="00000000" w:rsidRDefault="00195E73">
            <w:pPr>
              <w:rPr>
                <w:rFonts w:eastAsia="Times New Roman"/>
                <w:sz w:val="20"/>
                <w:szCs w:val="20"/>
              </w:rPr>
            </w:pPr>
          </w:p>
        </w:tc>
        <w:tc>
          <w:tcPr>
            <w:tcW w:w="0" w:type="auto"/>
            <w:vAlign w:val="center"/>
            <w:hideMark/>
          </w:tcPr>
          <w:p w14:paraId="410E0DCF" w14:textId="77777777" w:rsidR="00000000" w:rsidRDefault="00195E73">
            <w:pPr>
              <w:rPr>
                <w:rFonts w:eastAsia="Times New Roman"/>
                <w:sz w:val="20"/>
                <w:szCs w:val="20"/>
              </w:rPr>
            </w:pPr>
          </w:p>
        </w:tc>
      </w:tr>
      <w:tr w:rsidR="00195E73" w14:paraId="4A3AB594" w14:textId="77777777">
        <w:trPr>
          <w:divId w:val="10837737"/>
          <w:jc w:val="center"/>
        </w:trPr>
        <w:tc>
          <w:tcPr>
            <w:tcW w:w="0" w:type="auto"/>
            <w:gridSpan w:val="3"/>
            <w:shd w:val="clear" w:color="auto" w:fill="FFFFFF"/>
            <w:tcMar>
              <w:top w:w="30" w:type="dxa"/>
              <w:left w:w="20" w:type="dxa"/>
              <w:bottom w:w="30" w:type="dxa"/>
              <w:right w:w="20" w:type="dxa"/>
            </w:tcMar>
            <w:vAlign w:val="bottom"/>
            <w:hideMark/>
          </w:tcPr>
          <w:p w14:paraId="243243E0" w14:textId="77777777" w:rsidR="00000000" w:rsidRDefault="00195E73">
            <w:pPr>
              <w:rPr>
                <w:rFonts w:eastAsia="Times New Roman"/>
              </w:rPr>
            </w:pPr>
            <w:r>
              <w:rPr>
                <w:rFonts w:eastAsia="Times New Roman"/>
                <w:color w:val="000000"/>
                <w:sz w:val="16"/>
                <w:szCs w:val="16"/>
              </w:rPr>
              <w:t>Deferred tax liabilit</w:t>
            </w:r>
            <w:r>
              <w:rPr>
                <w:rFonts w:eastAsia="Times New Roman"/>
                <w:color w:val="000000"/>
                <w:sz w:val="16"/>
                <w:szCs w:val="16"/>
              </w:rPr>
              <w:t>y</w:t>
            </w:r>
          </w:p>
        </w:tc>
        <w:tc>
          <w:tcPr>
            <w:tcW w:w="0" w:type="auto"/>
            <w:gridSpan w:val="2"/>
            <w:shd w:val="clear" w:color="auto" w:fill="FFFFFF"/>
            <w:tcMar>
              <w:top w:w="30" w:type="dxa"/>
              <w:left w:w="20" w:type="dxa"/>
              <w:bottom w:w="30" w:type="dxa"/>
              <w:right w:w="0" w:type="dxa"/>
            </w:tcMar>
            <w:vAlign w:val="bottom"/>
            <w:hideMark/>
          </w:tcPr>
          <w:p w14:paraId="3762AE22" w14:textId="77777777" w:rsidR="00000000" w:rsidRDefault="00195E73">
            <w:pPr>
              <w:jc w:val="right"/>
              <w:rPr>
                <w:rFonts w:eastAsia="Times New Roman"/>
              </w:rPr>
            </w:pPr>
            <w:r>
              <w:rPr>
                <w:rFonts w:eastAsia="Times New Roman"/>
                <w:color w:val="000000"/>
                <w:sz w:val="16"/>
                <w:szCs w:val="16"/>
              </w:rPr>
              <w:t>639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FBF2C4F"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413CA5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470855" w14:textId="77777777" w:rsidR="00000000" w:rsidRDefault="00195E73">
            <w:pPr>
              <w:jc w:val="right"/>
              <w:rPr>
                <w:rFonts w:eastAsia="Times New Roman"/>
              </w:rPr>
            </w:pPr>
            <w:r>
              <w:rPr>
                <w:rFonts w:eastAsia="Times New Roman"/>
                <w:color w:val="000000"/>
                <w:sz w:val="16"/>
                <w:szCs w:val="16"/>
              </w:rPr>
              <w:t>694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E1787B6"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7BE1AF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1E8639" w14:textId="77777777" w:rsidR="00000000" w:rsidRDefault="00195E73">
            <w:pPr>
              <w:jc w:val="right"/>
              <w:rPr>
                <w:rFonts w:eastAsia="Times New Roman"/>
              </w:rPr>
            </w:pPr>
            <w:r>
              <w:rPr>
                <w:rFonts w:eastAsia="Times New Roman"/>
                <w:color w:val="000000"/>
                <w:sz w:val="16"/>
                <w:szCs w:val="16"/>
              </w:rPr>
              <w:t>759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35100D87"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3E3BF3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2AC220" w14:textId="77777777" w:rsidR="00000000" w:rsidRDefault="00195E73">
            <w:pPr>
              <w:jc w:val="right"/>
              <w:rPr>
                <w:rFonts w:eastAsia="Times New Roman"/>
              </w:rPr>
            </w:pPr>
            <w:r>
              <w:rPr>
                <w:rFonts w:eastAsia="Times New Roman"/>
                <w:color w:val="000000"/>
                <w:sz w:val="16"/>
                <w:szCs w:val="16"/>
              </w:rPr>
              <w:t>1,178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A65FABF"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551694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406DE1" w14:textId="77777777" w:rsidR="00000000" w:rsidRDefault="00195E73">
            <w:pPr>
              <w:jc w:val="right"/>
              <w:rPr>
                <w:rFonts w:eastAsia="Times New Roman"/>
              </w:rPr>
            </w:pPr>
            <w:r>
              <w:rPr>
                <w:rFonts w:eastAsia="Times New Roman"/>
                <w:color w:val="000000"/>
                <w:sz w:val="16"/>
                <w:szCs w:val="16"/>
              </w:rPr>
              <w:t>821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5C44D91"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6E0A53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2E29C2" w14:textId="77777777" w:rsidR="00000000" w:rsidRDefault="00195E73">
            <w:pPr>
              <w:jc w:val="right"/>
              <w:rPr>
                <w:rFonts w:eastAsia="Times New Roman"/>
              </w:rPr>
            </w:pPr>
            <w:r>
              <w:rPr>
                <w:rFonts w:eastAsia="Times New Roman"/>
                <w:color w:val="000000"/>
                <w:sz w:val="16"/>
                <w:szCs w:val="16"/>
              </w:rPr>
              <w:t>639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7D04D2F6"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D1E1F4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A1CC11" w14:textId="77777777" w:rsidR="00000000" w:rsidRDefault="00195E73">
            <w:pPr>
              <w:jc w:val="right"/>
              <w:rPr>
                <w:rFonts w:eastAsia="Times New Roman"/>
              </w:rPr>
            </w:pPr>
            <w:r>
              <w:rPr>
                <w:rFonts w:eastAsia="Times New Roman"/>
                <w:color w:val="000000"/>
                <w:sz w:val="16"/>
                <w:szCs w:val="16"/>
              </w:rPr>
              <w:t>694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51E7EA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DED4AF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60F8F0" w14:textId="77777777" w:rsidR="00000000" w:rsidRDefault="00195E73">
            <w:pPr>
              <w:jc w:val="right"/>
              <w:rPr>
                <w:rFonts w:eastAsia="Times New Roman"/>
              </w:rPr>
            </w:pPr>
            <w:r>
              <w:rPr>
                <w:rFonts w:eastAsia="Times New Roman"/>
                <w:color w:val="000000"/>
                <w:sz w:val="16"/>
                <w:szCs w:val="16"/>
              </w:rPr>
              <w:t>759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A3ACC8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CC6345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D37FEB" w14:textId="77777777" w:rsidR="00000000" w:rsidRDefault="00195E73">
            <w:pPr>
              <w:jc w:val="right"/>
              <w:rPr>
                <w:rFonts w:eastAsia="Times New Roman"/>
              </w:rPr>
            </w:pPr>
            <w:r>
              <w:rPr>
                <w:rFonts w:eastAsia="Times New Roman"/>
                <w:color w:val="000000"/>
                <w:sz w:val="16"/>
                <w:szCs w:val="16"/>
              </w:rPr>
              <w:t>1,178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EDF33B0"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3CEAE3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FD8409" w14:textId="77777777" w:rsidR="00000000" w:rsidRDefault="00195E73">
            <w:pPr>
              <w:jc w:val="right"/>
              <w:rPr>
                <w:rFonts w:eastAsia="Times New Roman"/>
              </w:rPr>
            </w:pPr>
            <w:r>
              <w:rPr>
                <w:rFonts w:eastAsia="Times New Roman"/>
                <w:color w:val="000000"/>
                <w:sz w:val="16"/>
                <w:szCs w:val="16"/>
              </w:rPr>
              <w:t>821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ABF3F3D"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35E9C547" w14:textId="77777777" w:rsidR="00000000" w:rsidRDefault="00195E73">
            <w:pPr>
              <w:rPr>
                <w:rFonts w:eastAsia="Times New Roman"/>
                <w:sz w:val="20"/>
                <w:szCs w:val="20"/>
              </w:rPr>
            </w:pPr>
          </w:p>
        </w:tc>
        <w:tc>
          <w:tcPr>
            <w:tcW w:w="0" w:type="auto"/>
            <w:vAlign w:val="center"/>
            <w:hideMark/>
          </w:tcPr>
          <w:p w14:paraId="6441FE85" w14:textId="77777777" w:rsidR="00000000" w:rsidRDefault="00195E73">
            <w:pPr>
              <w:rPr>
                <w:rFonts w:eastAsia="Times New Roman"/>
                <w:sz w:val="20"/>
                <w:szCs w:val="20"/>
              </w:rPr>
            </w:pPr>
          </w:p>
        </w:tc>
        <w:tc>
          <w:tcPr>
            <w:tcW w:w="0" w:type="auto"/>
            <w:vAlign w:val="center"/>
            <w:hideMark/>
          </w:tcPr>
          <w:p w14:paraId="52CE2A54" w14:textId="77777777" w:rsidR="00000000" w:rsidRDefault="00195E73">
            <w:pPr>
              <w:rPr>
                <w:rFonts w:eastAsia="Times New Roman"/>
                <w:sz w:val="20"/>
                <w:szCs w:val="20"/>
              </w:rPr>
            </w:pPr>
          </w:p>
        </w:tc>
      </w:tr>
      <w:tr w:rsidR="00195E73" w14:paraId="7BABAC98" w14:textId="77777777">
        <w:trPr>
          <w:divId w:val="10837737"/>
          <w:jc w:val="center"/>
        </w:trPr>
        <w:tc>
          <w:tcPr>
            <w:tcW w:w="0" w:type="auto"/>
            <w:gridSpan w:val="3"/>
            <w:shd w:val="clear" w:color="auto" w:fill="CCEEFF"/>
            <w:tcMar>
              <w:top w:w="30" w:type="dxa"/>
              <w:left w:w="20" w:type="dxa"/>
              <w:bottom w:w="30" w:type="dxa"/>
              <w:right w:w="20" w:type="dxa"/>
            </w:tcMar>
            <w:vAlign w:val="bottom"/>
            <w:hideMark/>
          </w:tcPr>
          <w:p w14:paraId="4954B92B" w14:textId="77777777" w:rsidR="00000000" w:rsidRDefault="00195E73">
            <w:pPr>
              <w:rPr>
                <w:rFonts w:eastAsia="Times New Roman"/>
              </w:rPr>
            </w:pPr>
            <w:r>
              <w:rPr>
                <w:rFonts w:eastAsia="Times New Roman"/>
                <w:color w:val="000000"/>
                <w:sz w:val="16"/>
                <w:szCs w:val="16"/>
              </w:rPr>
              <w:t>Due to broker</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14:paraId="52508E9F" w14:textId="77777777" w:rsidR="00000000" w:rsidRDefault="00195E73">
            <w:pPr>
              <w:jc w:val="right"/>
              <w:rPr>
                <w:rFonts w:eastAsia="Times New Roman"/>
              </w:rPr>
            </w:pPr>
            <w:r>
              <w:rPr>
                <w:rFonts w:eastAsia="Times New Roman"/>
                <w:color w:val="000000"/>
                <w:sz w:val="16"/>
                <w:szCs w:val="16"/>
              </w:rPr>
              <w:t>54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77C4818"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5E6B4D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B52461" w14:textId="77777777" w:rsidR="00000000" w:rsidRDefault="00195E73">
            <w:pPr>
              <w:jc w:val="right"/>
              <w:rPr>
                <w:rFonts w:eastAsia="Times New Roman"/>
              </w:rPr>
            </w:pPr>
            <w:r>
              <w:rPr>
                <w:rFonts w:eastAsia="Times New Roman"/>
                <w:color w:val="000000"/>
                <w:sz w:val="16"/>
                <w:szCs w:val="16"/>
              </w:rPr>
              <w:t>141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6416996"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67CA33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8E5B69" w14:textId="77777777" w:rsidR="00000000" w:rsidRDefault="00195E73">
            <w:pPr>
              <w:jc w:val="right"/>
              <w:rPr>
                <w:rFonts w:eastAsia="Times New Roman"/>
              </w:rPr>
            </w:pPr>
            <w:r>
              <w:rPr>
                <w:rFonts w:eastAsia="Times New Roman"/>
                <w:color w:val="000000"/>
                <w:sz w:val="16"/>
                <w:szCs w:val="16"/>
              </w:rPr>
              <w:t>1,057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E558A3D"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2A4F76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B377C5" w14:textId="77777777" w:rsidR="00000000" w:rsidRDefault="00195E73">
            <w:pPr>
              <w:jc w:val="right"/>
              <w:rPr>
                <w:rFonts w:eastAsia="Times New Roman"/>
              </w:rPr>
            </w:pPr>
            <w:r>
              <w:rPr>
                <w:rFonts w:eastAsia="Times New Roman"/>
                <w:color w:val="000000"/>
                <w:sz w:val="16"/>
                <w:szCs w:val="16"/>
              </w:rPr>
              <w:t>3,725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9067C23"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8D524B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EDED00" w14:textId="77777777" w:rsidR="00000000" w:rsidRDefault="00195E73">
            <w:pPr>
              <w:jc w:val="right"/>
              <w:rPr>
                <w:rFonts w:eastAsia="Times New Roman"/>
              </w:rPr>
            </w:pPr>
            <w:r>
              <w:rPr>
                <w:rFonts w:eastAsia="Times New Roman"/>
                <w:color w:val="000000"/>
                <w:sz w:val="16"/>
                <w:szCs w:val="16"/>
              </w:rPr>
              <w:t>7,317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9A9EA26"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68882C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0DF75E" w14:textId="77777777" w:rsidR="00000000" w:rsidRDefault="00195E73">
            <w:pPr>
              <w:jc w:val="right"/>
              <w:rPr>
                <w:rFonts w:eastAsia="Times New Roman"/>
              </w:rPr>
            </w:pPr>
            <w:r>
              <w:rPr>
                <w:rFonts w:eastAsia="Times New Roman"/>
                <w:color w:val="000000"/>
                <w:sz w:val="16"/>
                <w:szCs w:val="16"/>
              </w:rPr>
              <w:t>54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8D79A47"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2467A6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D358E7" w14:textId="77777777" w:rsidR="00000000" w:rsidRDefault="00195E73">
            <w:pPr>
              <w:jc w:val="right"/>
              <w:rPr>
                <w:rFonts w:eastAsia="Times New Roman"/>
              </w:rPr>
            </w:pPr>
            <w:r>
              <w:rPr>
                <w:rFonts w:eastAsia="Times New Roman"/>
                <w:color w:val="000000"/>
                <w:sz w:val="16"/>
                <w:szCs w:val="16"/>
              </w:rPr>
              <w:t>141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2B065D54"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E3716F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78C518" w14:textId="77777777" w:rsidR="00000000" w:rsidRDefault="00195E73">
            <w:pPr>
              <w:jc w:val="right"/>
              <w:rPr>
                <w:rFonts w:eastAsia="Times New Roman"/>
              </w:rPr>
            </w:pPr>
            <w:r>
              <w:rPr>
                <w:rFonts w:eastAsia="Times New Roman"/>
                <w:color w:val="000000"/>
                <w:sz w:val="16"/>
                <w:szCs w:val="16"/>
              </w:rPr>
              <w:t>1,057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E2DE882"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23DA55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FB98A0" w14:textId="77777777" w:rsidR="00000000" w:rsidRDefault="00195E73">
            <w:pPr>
              <w:jc w:val="right"/>
              <w:rPr>
                <w:rFonts w:eastAsia="Times New Roman"/>
              </w:rPr>
            </w:pPr>
            <w:r>
              <w:rPr>
                <w:rFonts w:eastAsia="Times New Roman"/>
                <w:color w:val="000000"/>
                <w:sz w:val="16"/>
                <w:szCs w:val="16"/>
              </w:rPr>
              <w:t>3,725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C1AEC32"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FE4223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026389" w14:textId="77777777" w:rsidR="00000000" w:rsidRDefault="00195E73">
            <w:pPr>
              <w:jc w:val="right"/>
              <w:rPr>
                <w:rFonts w:eastAsia="Times New Roman"/>
              </w:rPr>
            </w:pPr>
            <w:r>
              <w:rPr>
                <w:rFonts w:eastAsia="Times New Roman"/>
                <w:color w:val="000000"/>
                <w:sz w:val="16"/>
                <w:szCs w:val="16"/>
              </w:rPr>
              <w:t>7,317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CB175C2"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5EFF5809" w14:textId="77777777" w:rsidR="00000000" w:rsidRDefault="00195E73">
            <w:pPr>
              <w:rPr>
                <w:rFonts w:eastAsia="Times New Roman"/>
                <w:sz w:val="20"/>
                <w:szCs w:val="20"/>
              </w:rPr>
            </w:pPr>
          </w:p>
        </w:tc>
        <w:tc>
          <w:tcPr>
            <w:tcW w:w="0" w:type="auto"/>
            <w:vAlign w:val="center"/>
            <w:hideMark/>
          </w:tcPr>
          <w:p w14:paraId="04E132D5" w14:textId="77777777" w:rsidR="00000000" w:rsidRDefault="00195E73">
            <w:pPr>
              <w:rPr>
                <w:rFonts w:eastAsia="Times New Roman"/>
                <w:sz w:val="20"/>
                <w:szCs w:val="20"/>
              </w:rPr>
            </w:pPr>
          </w:p>
        </w:tc>
        <w:tc>
          <w:tcPr>
            <w:tcW w:w="0" w:type="auto"/>
            <w:vAlign w:val="center"/>
            <w:hideMark/>
          </w:tcPr>
          <w:p w14:paraId="4E67B586" w14:textId="77777777" w:rsidR="00000000" w:rsidRDefault="00195E73">
            <w:pPr>
              <w:rPr>
                <w:rFonts w:eastAsia="Times New Roman"/>
                <w:sz w:val="20"/>
                <w:szCs w:val="20"/>
              </w:rPr>
            </w:pPr>
          </w:p>
        </w:tc>
      </w:tr>
      <w:tr w:rsidR="00195E73" w14:paraId="5E1E388E" w14:textId="77777777">
        <w:trPr>
          <w:divId w:val="10837737"/>
          <w:jc w:val="center"/>
        </w:trPr>
        <w:tc>
          <w:tcPr>
            <w:tcW w:w="0" w:type="auto"/>
            <w:gridSpan w:val="3"/>
            <w:shd w:val="clear" w:color="auto" w:fill="FFFFFF"/>
            <w:tcMar>
              <w:top w:w="30" w:type="dxa"/>
              <w:left w:w="20" w:type="dxa"/>
              <w:bottom w:w="30" w:type="dxa"/>
              <w:right w:w="20" w:type="dxa"/>
            </w:tcMar>
            <w:vAlign w:val="bottom"/>
            <w:hideMark/>
          </w:tcPr>
          <w:p w14:paraId="04093809" w14:textId="77777777" w:rsidR="00000000" w:rsidRDefault="00195E73">
            <w:pPr>
              <w:rPr>
                <w:rFonts w:eastAsia="Times New Roman"/>
              </w:rPr>
            </w:pPr>
            <w:r>
              <w:rPr>
                <w:rFonts w:eastAsia="Times New Roman"/>
                <w:color w:val="000000"/>
                <w:sz w:val="16"/>
                <w:szCs w:val="16"/>
              </w:rPr>
              <w:t>Liabilities held for sal</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14:paraId="70B76BA3" w14:textId="77777777" w:rsidR="00000000" w:rsidRDefault="00195E73">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47A93929"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202B7E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56FDB9" w14:textId="77777777" w:rsidR="00000000" w:rsidRDefault="00195E73">
            <w:pPr>
              <w:jc w:val="right"/>
              <w:rPr>
                <w:rFonts w:eastAsia="Times New Roman"/>
              </w:rPr>
            </w:pPr>
            <w:r>
              <w:rPr>
                <w:rFonts w:eastAsia="Times New Roman"/>
                <w:color w:val="000000"/>
                <w:sz w:val="16"/>
                <w:szCs w:val="16"/>
              </w:rPr>
              <w:t>112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D50A15D"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94B29B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8BABB8" w14:textId="77777777" w:rsidR="00000000" w:rsidRDefault="00195E73">
            <w:pPr>
              <w:jc w:val="right"/>
              <w:rPr>
                <w:rFonts w:eastAsia="Times New Roman"/>
              </w:rPr>
            </w:pPr>
            <w:r>
              <w:rPr>
                <w:rFonts w:eastAsia="Times New Roman"/>
                <w:color w:val="000000"/>
                <w:sz w:val="16"/>
                <w:szCs w:val="16"/>
              </w:rPr>
              <w:t>7,010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04776B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0A1AE7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AE9AE5" w14:textId="77777777" w:rsidR="00000000" w:rsidRDefault="00195E73">
            <w:pPr>
              <w:jc w:val="right"/>
              <w:rPr>
                <w:rFonts w:eastAsia="Times New Roman"/>
              </w:rPr>
            </w:pPr>
            <w:r>
              <w:rPr>
                <w:rFonts w:eastAsia="Times New Roman"/>
                <w:color w:val="000000"/>
                <w:sz w:val="16"/>
                <w:szCs w:val="16"/>
              </w:rPr>
              <w:t>9,103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678F552"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968121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8C061A" w14:textId="77777777" w:rsidR="00000000" w:rsidRDefault="00195E73">
            <w:pPr>
              <w:jc w:val="right"/>
              <w:rPr>
                <w:rFonts w:eastAsia="Times New Roman"/>
              </w:rPr>
            </w:pPr>
            <w:r>
              <w:rPr>
                <w:rFonts w:eastAsia="Times New Roman"/>
                <w:color w:val="000000"/>
                <w:sz w:val="16"/>
                <w:szCs w:val="16"/>
              </w:rPr>
              <w:t>7,521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ED3014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FE558A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8730FE" w14:textId="77777777" w:rsidR="00000000" w:rsidRDefault="00195E73">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96F8C2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76105E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2BE57A" w14:textId="77777777" w:rsidR="00000000" w:rsidRDefault="00195E73">
            <w:pPr>
              <w:jc w:val="right"/>
              <w:rPr>
                <w:rFonts w:eastAsia="Times New Roman"/>
              </w:rPr>
            </w:pPr>
            <w:r>
              <w:rPr>
                <w:rFonts w:eastAsia="Times New Roman"/>
                <w:color w:val="000000"/>
                <w:sz w:val="16"/>
                <w:szCs w:val="16"/>
              </w:rPr>
              <w:t>112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F0F57A9"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AA295C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59EE82" w14:textId="77777777" w:rsidR="00000000" w:rsidRDefault="00195E73">
            <w:pPr>
              <w:jc w:val="right"/>
              <w:rPr>
                <w:rFonts w:eastAsia="Times New Roman"/>
              </w:rPr>
            </w:pPr>
            <w:r>
              <w:rPr>
                <w:rFonts w:eastAsia="Times New Roman"/>
                <w:color w:val="000000"/>
                <w:sz w:val="16"/>
                <w:szCs w:val="16"/>
              </w:rPr>
              <w:t>7,010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71FAF91"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59F2C4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73BC58" w14:textId="77777777" w:rsidR="00000000" w:rsidRDefault="00195E73">
            <w:pPr>
              <w:jc w:val="right"/>
              <w:rPr>
                <w:rFonts w:eastAsia="Times New Roman"/>
              </w:rPr>
            </w:pPr>
            <w:r>
              <w:rPr>
                <w:rFonts w:eastAsia="Times New Roman"/>
                <w:color w:val="000000"/>
                <w:sz w:val="16"/>
                <w:szCs w:val="16"/>
              </w:rPr>
              <w:t>9,103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10D80AB"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E0DEDF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6F38BB" w14:textId="77777777" w:rsidR="00000000" w:rsidRDefault="00195E73">
            <w:pPr>
              <w:jc w:val="right"/>
              <w:rPr>
                <w:rFonts w:eastAsia="Times New Roman"/>
              </w:rPr>
            </w:pPr>
            <w:r>
              <w:rPr>
                <w:rFonts w:eastAsia="Times New Roman"/>
                <w:color w:val="000000"/>
                <w:sz w:val="16"/>
                <w:szCs w:val="16"/>
              </w:rPr>
              <w:t>7,521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0E03E85"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05CB2CF7" w14:textId="77777777" w:rsidR="00000000" w:rsidRDefault="00195E73">
            <w:pPr>
              <w:rPr>
                <w:rFonts w:eastAsia="Times New Roman"/>
                <w:sz w:val="20"/>
                <w:szCs w:val="20"/>
              </w:rPr>
            </w:pPr>
          </w:p>
        </w:tc>
        <w:tc>
          <w:tcPr>
            <w:tcW w:w="0" w:type="auto"/>
            <w:vAlign w:val="center"/>
            <w:hideMark/>
          </w:tcPr>
          <w:p w14:paraId="5E88BF7E" w14:textId="77777777" w:rsidR="00000000" w:rsidRDefault="00195E73">
            <w:pPr>
              <w:rPr>
                <w:rFonts w:eastAsia="Times New Roman"/>
                <w:sz w:val="20"/>
                <w:szCs w:val="20"/>
              </w:rPr>
            </w:pPr>
          </w:p>
        </w:tc>
        <w:tc>
          <w:tcPr>
            <w:tcW w:w="0" w:type="auto"/>
            <w:vAlign w:val="center"/>
            <w:hideMark/>
          </w:tcPr>
          <w:p w14:paraId="3F2734B7" w14:textId="77777777" w:rsidR="00000000" w:rsidRDefault="00195E73">
            <w:pPr>
              <w:rPr>
                <w:rFonts w:eastAsia="Times New Roman"/>
                <w:sz w:val="20"/>
                <w:szCs w:val="20"/>
              </w:rPr>
            </w:pPr>
          </w:p>
        </w:tc>
      </w:tr>
      <w:tr w:rsidR="00195E73" w14:paraId="46A346D5" w14:textId="77777777">
        <w:trPr>
          <w:divId w:val="10837737"/>
          <w:jc w:val="center"/>
        </w:trPr>
        <w:tc>
          <w:tcPr>
            <w:tcW w:w="0" w:type="auto"/>
            <w:gridSpan w:val="3"/>
            <w:shd w:val="clear" w:color="auto" w:fill="CCEEFF"/>
            <w:tcMar>
              <w:top w:w="30" w:type="dxa"/>
              <w:left w:w="20" w:type="dxa"/>
              <w:bottom w:w="30" w:type="dxa"/>
              <w:right w:w="20" w:type="dxa"/>
            </w:tcMar>
            <w:vAlign w:val="bottom"/>
            <w:hideMark/>
          </w:tcPr>
          <w:p w14:paraId="486C84E4" w14:textId="77777777" w:rsidR="00000000" w:rsidRDefault="00195E73">
            <w:pPr>
              <w:rPr>
                <w:rFonts w:eastAsia="Times New Roman"/>
              </w:rPr>
            </w:pPr>
            <w:r>
              <w:rPr>
                <w:rFonts w:eastAsia="Times New Roman"/>
                <w:color w:val="000000"/>
                <w:sz w:val="16"/>
                <w:szCs w:val="16"/>
              </w:rPr>
              <w:t>Deb</w:t>
            </w:r>
            <w:r>
              <w:rPr>
                <w:rFonts w:eastAsia="Times New Roman"/>
                <w:color w:val="000000"/>
                <w:sz w:val="16"/>
                <w:szCs w:val="16"/>
              </w:rPr>
              <w:t>t</w:t>
            </w:r>
          </w:p>
        </w:tc>
        <w:tc>
          <w:tcPr>
            <w:tcW w:w="0" w:type="auto"/>
            <w:gridSpan w:val="2"/>
            <w:shd w:val="clear" w:color="auto" w:fill="CCEEFF"/>
            <w:tcMar>
              <w:top w:w="30" w:type="dxa"/>
              <w:left w:w="20" w:type="dxa"/>
              <w:bottom w:w="30" w:type="dxa"/>
              <w:right w:w="0" w:type="dxa"/>
            </w:tcMar>
            <w:vAlign w:val="bottom"/>
            <w:hideMark/>
          </w:tcPr>
          <w:p w14:paraId="0632E87D" w14:textId="77777777" w:rsidR="00000000" w:rsidRDefault="00195E73">
            <w:pPr>
              <w:jc w:val="right"/>
              <w:rPr>
                <w:rFonts w:eastAsia="Times New Roman"/>
              </w:rPr>
            </w:pPr>
            <w:r>
              <w:rPr>
                <w:rFonts w:eastAsia="Times New Roman"/>
                <w:color w:val="000000"/>
                <w:sz w:val="16"/>
                <w:szCs w:val="16"/>
              </w:rPr>
              <w:t>8,192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A0DA5B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89BB1C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FF0324" w14:textId="77777777" w:rsidR="00000000" w:rsidRDefault="00195E73">
            <w:pPr>
              <w:jc w:val="right"/>
              <w:rPr>
                <w:rFonts w:eastAsia="Times New Roman"/>
              </w:rPr>
            </w:pPr>
            <w:r>
              <w:rPr>
                <w:rFonts w:eastAsia="Times New Roman"/>
                <w:color w:val="000000"/>
                <w:sz w:val="16"/>
                <w:szCs w:val="16"/>
              </w:rPr>
              <w:t>7,326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D28679B"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21B4B9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2FFF74" w14:textId="77777777" w:rsidR="00000000" w:rsidRDefault="00195E73">
            <w:pPr>
              <w:jc w:val="right"/>
              <w:rPr>
                <w:rFonts w:eastAsia="Times New Roman"/>
              </w:rPr>
            </w:pPr>
            <w:r>
              <w:rPr>
                <w:rFonts w:eastAsia="Times New Roman"/>
                <w:color w:val="000000"/>
                <w:sz w:val="16"/>
                <w:szCs w:val="16"/>
              </w:rPr>
              <w:t>7,372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867DAE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346DBD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6C98DB" w14:textId="77777777" w:rsidR="00000000" w:rsidRDefault="00195E73">
            <w:pPr>
              <w:jc w:val="right"/>
              <w:rPr>
                <w:rFonts w:eastAsia="Times New Roman"/>
              </w:rPr>
            </w:pPr>
            <w:r>
              <w:rPr>
                <w:rFonts w:eastAsia="Times New Roman"/>
                <w:color w:val="000000"/>
                <w:sz w:val="16"/>
                <w:szCs w:val="16"/>
              </w:rPr>
              <w:t>7,236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130C3A0"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6CDC89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940FC8" w14:textId="77777777" w:rsidR="00000000" w:rsidRDefault="00195E73">
            <w:pPr>
              <w:jc w:val="right"/>
              <w:rPr>
                <w:rFonts w:eastAsia="Times New Roman"/>
              </w:rPr>
            </w:pPr>
            <w:r>
              <w:rPr>
                <w:rFonts w:eastAsia="Times New Roman"/>
                <w:color w:val="000000"/>
                <w:sz w:val="16"/>
                <w:szCs w:val="16"/>
              </w:rPr>
              <w:t>8,556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2E2E52D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22C93C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2E8120" w14:textId="77777777" w:rsidR="00000000" w:rsidRDefault="00195E73">
            <w:pPr>
              <w:jc w:val="right"/>
              <w:rPr>
                <w:rFonts w:eastAsia="Times New Roman"/>
              </w:rPr>
            </w:pPr>
            <w:r>
              <w:rPr>
                <w:rFonts w:eastAsia="Times New Roman"/>
                <w:color w:val="000000"/>
                <w:sz w:val="16"/>
                <w:szCs w:val="16"/>
              </w:rPr>
              <w:t>8,195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A1C932C"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546E41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A814EC" w14:textId="77777777" w:rsidR="00000000" w:rsidRDefault="00195E73">
            <w:pPr>
              <w:jc w:val="right"/>
              <w:rPr>
                <w:rFonts w:eastAsia="Times New Roman"/>
              </w:rPr>
            </w:pPr>
            <w:r>
              <w:rPr>
                <w:rFonts w:eastAsia="Times New Roman"/>
                <w:color w:val="000000"/>
                <w:sz w:val="16"/>
                <w:szCs w:val="16"/>
              </w:rPr>
              <w:t>7,330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2A379D2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2944E3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89492D" w14:textId="77777777" w:rsidR="00000000" w:rsidRDefault="00195E73">
            <w:pPr>
              <w:jc w:val="right"/>
              <w:rPr>
                <w:rFonts w:eastAsia="Times New Roman"/>
              </w:rPr>
            </w:pPr>
            <w:r>
              <w:rPr>
                <w:rFonts w:eastAsia="Times New Roman"/>
                <w:color w:val="000000"/>
                <w:sz w:val="16"/>
                <w:szCs w:val="16"/>
              </w:rPr>
              <w:t>7,377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3C94233"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AFD8C4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FC1D7F" w14:textId="77777777" w:rsidR="00000000" w:rsidRDefault="00195E73">
            <w:pPr>
              <w:jc w:val="right"/>
              <w:rPr>
                <w:rFonts w:eastAsia="Times New Roman"/>
              </w:rPr>
            </w:pPr>
            <w:r>
              <w:rPr>
                <w:rFonts w:eastAsia="Times New Roman"/>
                <w:color w:val="000000"/>
                <w:sz w:val="16"/>
                <w:szCs w:val="16"/>
              </w:rPr>
              <w:t>7,239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52045B77"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C35C54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DD7DCD" w14:textId="77777777" w:rsidR="00000000" w:rsidRDefault="00195E73">
            <w:pPr>
              <w:jc w:val="right"/>
              <w:rPr>
                <w:rFonts w:eastAsia="Times New Roman"/>
              </w:rPr>
            </w:pPr>
            <w:r>
              <w:rPr>
                <w:rFonts w:eastAsia="Times New Roman"/>
                <w:color w:val="000000"/>
                <w:sz w:val="16"/>
                <w:szCs w:val="16"/>
              </w:rPr>
              <w:t>8,559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D2FC883"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4D2C156B" w14:textId="77777777" w:rsidR="00000000" w:rsidRDefault="00195E73">
            <w:pPr>
              <w:rPr>
                <w:rFonts w:eastAsia="Times New Roman"/>
                <w:sz w:val="20"/>
                <w:szCs w:val="20"/>
              </w:rPr>
            </w:pPr>
          </w:p>
        </w:tc>
        <w:tc>
          <w:tcPr>
            <w:tcW w:w="0" w:type="auto"/>
            <w:vAlign w:val="center"/>
            <w:hideMark/>
          </w:tcPr>
          <w:p w14:paraId="2F3E7CD1" w14:textId="77777777" w:rsidR="00000000" w:rsidRDefault="00195E73">
            <w:pPr>
              <w:rPr>
                <w:rFonts w:eastAsia="Times New Roman"/>
                <w:sz w:val="20"/>
                <w:szCs w:val="20"/>
              </w:rPr>
            </w:pPr>
          </w:p>
        </w:tc>
        <w:tc>
          <w:tcPr>
            <w:tcW w:w="0" w:type="auto"/>
            <w:vAlign w:val="center"/>
            <w:hideMark/>
          </w:tcPr>
          <w:p w14:paraId="0B473AB1" w14:textId="77777777" w:rsidR="00000000" w:rsidRDefault="00195E73">
            <w:pPr>
              <w:rPr>
                <w:rFonts w:eastAsia="Times New Roman"/>
                <w:sz w:val="20"/>
                <w:szCs w:val="20"/>
              </w:rPr>
            </w:pPr>
          </w:p>
        </w:tc>
      </w:tr>
      <w:tr w:rsidR="00195E73" w14:paraId="5E0BB4B5" w14:textId="77777777">
        <w:trPr>
          <w:divId w:val="10837737"/>
          <w:jc w:val="center"/>
        </w:trPr>
        <w:tc>
          <w:tcPr>
            <w:tcW w:w="0" w:type="auto"/>
            <w:gridSpan w:val="3"/>
            <w:shd w:val="clear" w:color="auto" w:fill="FFFFFF"/>
            <w:tcMar>
              <w:top w:w="30" w:type="dxa"/>
              <w:left w:w="20" w:type="dxa"/>
              <w:bottom w:w="30" w:type="dxa"/>
              <w:right w:w="20" w:type="dxa"/>
            </w:tcMar>
            <w:vAlign w:val="bottom"/>
            <w:hideMark/>
          </w:tcPr>
          <w:p w14:paraId="00E12B81" w14:textId="77777777" w:rsidR="00000000" w:rsidRDefault="00195E73">
            <w:pPr>
              <w:ind w:hanging="90"/>
              <w:divId w:val="1612585534"/>
              <w:rPr>
                <w:rFonts w:eastAsia="Times New Roman"/>
              </w:rPr>
            </w:pPr>
            <w:r>
              <w:rPr>
                <w:rFonts w:eastAsia="Times New Roman"/>
                <w:color w:val="000000"/>
                <w:sz w:val="16"/>
                <w:szCs w:val="16"/>
              </w:rPr>
              <w:t>Equity attributable to Icahn Enterprises/Icahn Enterprises Holding</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14:paraId="594EAA56" w14:textId="77777777" w:rsidR="00000000" w:rsidRDefault="00195E73">
            <w:pPr>
              <w:jc w:val="right"/>
              <w:rPr>
                <w:rFonts w:eastAsia="Times New Roman"/>
              </w:rPr>
            </w:pPr>
            <w:r>
              <w:rPr>
                <w:rFonts w:eastAsia="Times New Roman"/>
                <w:color w:val="000000"/>
                <w:sz w:val="16"/>
                <w:szCs w:val="16"/>
              </w:rPr>
              <w:t>5,456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39E9811B"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E0AC24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CBCCA0" w14:textId="77777777" w:rsidR="00000000" w:rsidRDefault="00195E73">
            <w:pPr>
              <w:jc w:val="right"/>
              <w:rPr>
                <w:rFonts w:eastAsia="Times New Roman"/>
              </w:rPr>
            </w:pPr>
            <w:r>
              <w:rPr>
                <w:rFonts w:eastAsia="Times New Roman"/>
                <w:color w:val="000000"/>
                <w:sz w:val="16"/>
                <w:szCs w:val="16"/>
              </w:rPr>
              <w:t>6,560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E75DDC1"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AC927D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09CD60" w14:textId="77777777" w:rsidR="00000000" w:rsidRDefault="00195E73">
            <w:pPr>
              <w:jc w:val="right"/>
              <w:rPr>
                <w:rFonts w:eastAsia="Times New Roman"/>
              </w:rPr>
            </w:pPr>
            <w:r>
              <w:rPr>
                <w:rFonts w:eastAsia="Times New Roman"/>
                <w:color w:val="000000"/>
                <w:sz w:val="16"/>
                <w:szCs w:val="16"/>
              </w:rPr>
              <w:t>5,168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D18C24E"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9E2E96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21D230" w14:textId="77777777" w:rsidR="00000000" w:rsidRDefault="00195E73">
            <w:pPr>
              <w:jc w:val="right"/>
              <w:rPr>
                <w:rFonts w:eastAsia="Times New Roman"/>
              </w:rPr>
            </w:pPr>
            <w:r>
              <w:rPr>
                <w:rFonts w:eastAsia="Times New Roman"/>
                <w:color w:val="000000"/>
                <w:sz w:val="16"/>
                <w:szCs w:val="16"/>
              </w:rPr>
              <w:t>2,192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989623D"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68AA01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2C7BB5" w14:textId="77777777" w:rsidR="00000000" w:rsidRDefault="00195E73">
            <w:pPr>
              <w:jc w:val="right"/>
              <w:rPr>
                <w:rFonts w:eastAsia="Times New Roman"/>
              </w:rPr>
            </w:pPr>
            <w:r>
              <w:rPr>
                <w:rFonts w:eastAsia="Times New Roman"/>
                <w:color w:val="000000"/>
                <w:sz w:val="16"/>
                <w:szCs w:val="16"/>
              </w:rPr>
              <w:t>4,025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8929112"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9D4097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7D428C" w14:textId="77777777" w:rsidR="00000000" w:rsidRDefault="00195E73">
            <w:pPr>
              <w:jc w:val="right"/>
              <w:rPr>
                <w:rFonts w:eastAsia="Times New Roman"/>
              </w:rPr>
            </w:pPr>
            <w:r>
              <w:rPr>
                <w:rFonts w:eastAsia="Times New Roman"/>
                <w:color w:val="000000"/>
                <w:sz w:val="16"/>
                <w:szCs w:val="16"/>
              </w:rPr>
              <w:t>5,453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E6EE6F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F9FD0C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1A02FE" w14:textId="77777777" w:rsidR="00000000" w:rsidRDefault="00195E73">
            <w:pPr>
              <w:jc w:val="right"/>
              <w:rPr>
                <w:rFonts w:eastAsia="Times New Roman"/>
              </w:rPr>
            </w:pPr>
            <w:r>
              <w:rPr>
                <w:rFonts w:eastAsia="Times New Roman"/>
                <w:color w:val="000000"/>
                <w:sz w:val="16"/>
                <w:szCs w:val="16"/>
              </w:rPr>
              <w:t>6,588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DF19ECA"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965A76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D3727A" w14:textId="77777777" w:rsidR="00000000" w:rsidRDefault="00195E73">
            <w:pPr>
              <w:jc w:val="right"/>
              <w:rPr>
                <w:rFonts w:eastAsia="Times New Roman"/>
              </w:rPr>
            </w:pPr>
            <w:r>
              <w:rPr>
                <w:rFonts w:eastAsia="Times New Roman"/>
                <w:color w:val="000000"/>
                <w:sz w:val="16"/>
                <w:szCs w:val="16"/>
              </w:rPr>
              <w:t>5,195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79DBB9A3"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D6DA43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41B183" w14:textId="77777777" w:rsidR="00000000" w:rsidRDefault="00195E73">
            <w:pPr>
              <w:jc w:val="right"/>
              <w:rPr>
                <w:rFonts w:eastAsia="Times New Roman"/>
              </w:rPr>
            </w:pPr>
            <w:r>
              <w:rPr>
                <w:rFonts w:eastAsia="Times New Roman"/>
                <w:color w:val="000000"/>
                <w:sz w:val="16"/>
                <w:szCs w:val="16"/>
              </w:rPr>
              <w:t>2,217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D43DF35" w14:textId="77777777" w:rsidR="00000000" w:rsidRDefault="00195E73">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FD6CE6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B8BFE0" w14:textId="77777777" w:rsidR="00000000" w:rsidRDefault="00195E73">
            <w:pPr>
              <w:jc w:val="right"/>
              <w:rPr>
                <w:rFonts w:eastAsia="Times New Roman"/>
              </w:rPr>
            </w:pPr>
            <w:r>
              <w:rPr>
                <w:rFonts w:eastAsia="Times New Roman"/>
                <w:color w:val="000000"/>
                <w:sz w:val="16"/>
                <w:szCs w:val="16"/>
              </w:rPr>
              <w:t>4,049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0A5BD48"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015B42E2" w14:textId="77777777" w:rsidR="00000000" w:rsidRDefault="00195E73">
            <w:pPr>
              <w:rPr>
                <w:rFonts w:eastAsia="Times New Roman"/>
                <w:sz w:val="20"/>
                <w:szCs w:val="20"/>
              </w:rPr>
            </w:pPr>
          </w:p>
        </w:tc>
        <w:tc>
          <w:tcPr>
            <w:tcW w:w="0" w:type="auto"/>
            <w:vAlign w:val="center"/>
            <w:hideMark/>
          </w:tcPr>
          <w:p w14:paraId="252195C5" w14:textId="77777777" w:rsidR="00000000" w:rsidRDefault="00195E73">
            <w:pPr>
              <w:rPr>
                <w:rFonts w:eastAsia="Times New Roman"/>
                <w:sz w:val="20"/>
                <w:szCs w:val="20"/>
              </w:rPr>
            </w:pPr>
          </w:p>
        </w:tc>
        <w:tc>
          <w:tcPr>
            <w:tcW w:w="0" w:type="auto"/>
            <w:vAlign w:val="center"/>
            <w:hideMark/>
          </w:tcPr>
          <w:p w14:paraId="147B6CDA" w14:textId="77777777" w:rsidR="00000000" w:rsidRDefault="00195E73">
            <w:pPr>
              <w:rPr>
                <w:rFonts w:eastAsia="Times New Roman"/>
                <w:sz w:val="20"/>
                <w:szCs w:val="20"/>
              </w:rPr>
            </w:pPr>
          </w:p>
        </w:tc>
      </w:tr>
    </w:tbl>
    <w:p w14:paraId="02206D38" w14:textId="77777777" w:rsidR="00000000" w:rsidRDefault="00195E73">
      <w:pPr>
        <w:divId w:val="589774870"/>
        <w:rPr>
          <w:rFonts w:eastAsia="Times New Roman"/>
        </w:rPr>
      </w:pPr>
    </w:p>
    <w:p w14:paraId="310AB6E4" w14:textId="77777777" w:rsidR="00000000" w:rsidRDefault="00195E73">
      <w:pPr>
        <w:jc w:val="center"/>
        <w:divId w:val="928855563"/>
        <w:rPr>
          <w:rFonts w:eastAsia="Times New Roman"/>
        </w:rPr>
      </w:pPr>
      <w:r>
        <w:rPr>
          <w:rFonts w:eastAsia="Times New Roman"/>
          <w:color w:val="000000"/>
          <w:sz w:val="20"/>
          <w:szCs w:val="20"/>
        </w:rPr>
        <w:t>3</w:t>
      </w:r>
      <w:r>
        <w:rPr>
          <w:rFonts w:eastAsia="Times New Roman"/>
          <w:color w:val="000000"/>
          <w:sz w:val="20"/>
          <w:szCs w:val="20"/>
        </w:rPr>
        <w:t>0</w:t>
      </w:r>
    </w:p>
    <w:p w14:paraId="03170F7E" w14:textId="77777777" w:rsidR="00000000" w:rsidRDefault="00195E73">
      <w:pPr>
        <w:rPr>
          <w:rFonts w:eastAsia="Times New Roman"/>
        </w:rPr>
      </w:pPr>
      <w:r>
        <w:rPr>
          <w:rFonts w:eastAsia="Times New Roman"/>
        </w:rPr>
        <w:pict w14:anchorId="149E871E">
          <v:rect id="_x0000_i1056" style="width:0;height:1.5pt" o:hralign="center" o:hrstd="t" o:hr="t" fillcolor="#a0a0a0" stroked="f"/>
        </w:pict>
      </w:r>
    </w:p>
    <w:p w14:paraId="26BA03E8" w14:textId="77777777" w:rsidR="00000000" w:rsidRDefault="00195E73">
      <w:pPr>
        <w:divId w:val="728310678"/>
        <w:rPr>
          <w:rFonts w:eastAsia="Times New Roman"/>
        </w:rPr>
      </w:pPr>
    </w:p>
    <w:p w14:paraId="4934986D" w14:textId="77777777" w:rsidR="00000000" w:rsidRDefault="00195E73">
      <w:pPr>
        <w:divId w:val="1767387985"/>
        <w:rPr>
          <w:rFonts w:eastAsia="Times New Roman"/>
        </w:rPr>
      </w:pPr>
      <w:r>
        <w:rPr>
          <w:rFonts w:eastAsia="Times New Roman"/>
          <w:b/>
          <w:bCs/>
          <w:color w:val="000000"/>
          <w:sz w:val="20"/>
          <w:szCs w:val="20"/>
        </w:rPr>
        <w:t>Item 7. Management’s Discussion and Analysis of Financial Condition and Results of Operations.</w:t>
      </w:r>
      <w:r>
        <w:rPr>
          <w:rFonts w:eastAsia="Times New Roman"/>
          <w:b/>
          <w:bCs/>
          <w:color w:val="000000"/>
          <w:sz w:val="20"/>
          <w:szCs w:val="20"/>
        </w:rPr>
        <w:t xml:space="preserve"> </w:t>
      </w:r>
    </w:p>
    <w:p w14:paraId="01C86079" w14:textId="77777777" w:rsidR="00000000" w:rsidRDefault="00195E73">
      <w:pPr>
        <w:ind w:firstLine="360"/>
        <w:divId w:val="919749274"/>
        <w:rPr>
          <w:rFonts w:eastAsia="Times New Roman"/>
        </w:rPr>
      </w:pPr>
      <w:r>
        <w:rPr>
          <w:rFonts w:eastAsia="Times New Roman"/>
          <w:i/>
          <w:iCs/>
          <w:color w:val="000000"/>
          <w:sz w:val="20"/>
          <w:szCs w:val="20"/>
        </w:rPr>
        <w:t>The following discussion is intended to assist you in understanding our present busi</w:t>
      </w:r>
      <w:r>
        <w:rPr>
          <w:rFonts w:eastAsia="Times New Roman"/>
          <w:i/>
          <w:iCs/>
          <w:color w:val="000000"/>
          <w:sz w:val="20"/>
          <w:szCs w:val="20"/>
        </w:rPr>
        <w:t>ness and the results of operations together with our present financial condition. This section should be read in conjunction with our consolidated financial statements and the accompanying notes contained in this Report</w:t>
      </w:r>
      <w:r>
        <w:rPr>
          <w:rFonts w:eastAsia="Times New Roman"/>
          <w:i/>
          <w:iCs/>
          <w:color w:val="000000"/>
          <w:sz w:val="20"/>
          <w:szCs w:val="20"/>
        </w:rPr>
        <w:t>.</w:t>
      </w:r>
    </w:p>
    <w:p w14:paraId="7F29B162" w14:textId="77777777" w:rsidR="00000000" w:rsidRDefault="00195E73">
      <w:pPr>
        <w:ind w:firstLine="360"/>
        <w:divId w:val="379327064"/>
        <w:rPr>
          <w:rFonts w:eastAsia="Times New Roman"/>
        </w:rPr>
      </w:pPr>
    </w:p>
    <w:p w14:paraId="7D86FBFB" w14:textId="77777777" w:rsidR="00000000" w:rsidRDefault="00195E73">
      <w:pPr>
        <w:divId w:val="953442467"/>
        <w:rPr>
          <w:rFonts w:eastAsia="Times New Roman"/>
        </w:rPr>
      </w:pPr>
      <w:r>
        <w:rPr>
          <w:rFonts w:eastAsia="Times New Roman"/>
          <w:b/>
          <w:bCs/>
          <w:color w:val="000000"/>
          <w:sz w:val="20"/>
          <w:szCs w:val="20"/>
        </w:rPr>
        <w:t>Executive Overvie</w:t>
      </w:r>
      <w:r>
        <w:rPr>
          <w:rFonts w:eastAsia="Times New Roman"/>
          <w:b/>
          <w:bCs/>
          <w:color w:val="000000"/>
          <w:sz w:val="20"/>
          <w:szCs w:val="20"/>
        </w:rPr>
        <w:t>w</w:t>
      </w:r>
    </w:p>
    <w:p w14:paraId="3E7DB502" w14:textId="77777777" w:rsidR="00000000" w:rsidRDefault="00195E73">
      <w:pPr>
        <w:divId w:val="2100442710"/>
        <w:rPr>
          <w:rFonts w:eastAsia="Times New Roman"/>
        </w:rPr>
      </w:pPr>
      <w:r>
        <w:rPr>
          <w:rFonts w:eastAsia="Times New Roman"/>
          <w:b/>
          <w:bCs/>
          <w:i/>
          <w:iCs/>
          <w:color w:val="000000"/>
          <w:sz w:val="20"/>
          <w:szCs w:val="20"/>
        </w:rPr>
        <w:t>Introductio</w:t>
      </w:r>
      <w:r>
        <w:rPr>
          <w:rFonts w:eastAsia="Times New Roman"/>
          <w:b/>
          <w:bCs/>
          <w:i/>
          <w:iCs/>
          <w:color w:val="000000"/>
          <w:sz w:val="20"/>
          <w:szCs w:val="20"/>
        </w:rPr>
        <w:t>n</w:t>
      </w:r>
    </w:p>
    <w:p w14:paraId="7795EC0F" w14:textId="77777777" w:rsidR="00000000" w:rsidRDefault="00195E73">
      <w:pPr>
        <w:ind w:firstLine="450"/>
        <w:divId w:val="722407739"/>
        <w:rPr>
          <w:rFonts w:eastAsia="Times New Roman"/>
        </w:rPr>
      </w:pPr>
      <w:r>
        <w:rPr>
          <w:rFonts w:eastAsia="Times New Roman"/>
          <w:color w:val="000000"/>
          <w:sz w:val="20"/>
          <w:szCs w:val="20"/>
        </w:rPr>
        <w:t>I</w:t>
      </w:r>
      <w:r>
        <w:rPr>
          <w:rFonts w:eastAsia="Times New Roman"/>
          <w:color w:val="000000"/>
          <w:sz w:val="20"/>
          <w:szCs w:val="20"/>
        </w:rPr>
        <w:t>cahn Enterprises L.P. (“Icahn Enterprises”) is a master limited partnership formed in Delaware on February 17, 1987. Icahn Enterprises Holdings L.P. (“Icahn Enterprises Holdings”) is a limited partnership formed in Delaware on February 17, 1987. References</w:t>
      </w:r>
      <w:r>
        <w:rPr>
          <w:rFonts w:eastAsia="Times New Roman"/>
          <w:color w:val="000000"/>
          <w:sz w:val="20"/>
          <w:szCs w:val="20"/>
        </w:rPr>
        <w:t xml:space="preserve"> to “we,” “our” or “us” herein include both Icahn Enterprises and Icahn Enterprises Holdings and their subsidiaries, unless the context otherwise requires.</w:t>
      </w:r>
      <w:r>
        <w:rPr>
          <w:rFonts w:eastAsia="Times New Roman"/>
          <w:color w:val="000000"/>
          <w:sz w:val="20"/>
          <w:szCs w:val="20"/>
        </w:rPr>
        <w:t xml:space="preserve"> </w:t>
      </w:r>
    </w:p>
    <w:p w14:paraId="4D8DEF96" w14:textId="77777777" w:rsidR="00000000" w:rsidRDefault="00195E73">
      <w:pPr>
        <w:ind w:firstLine="450"/>
        <w:divId w:val="388501271"/>
        <w:rPr>
          <w:rFonts w:eastAsia="Times New Roman"/>
        </w:rPr>
      </w:pPr>
      <w:r>
        <w:rPr>
          <w:rFonts w:eastAsia="Times New Roman"/>
          <w:color w:val="000000"/>
          <w:sz w:val="20"/>
          <w:szCs w:val="20"/>
        </w:rPr>
        <w:t>Icahn Enterprises owns a 99% limited partner interest in Icahn Enterprises Holdings.</w:t>
      </w:r>
      <w:r>
        <w:rPr>
          <w:rFonts w:eastAsia="Times New Roman"/>
          <w:color w:val="000000"/>
          <w:sz w:val="20"/>
          <w:szCs w:val="20"/>
        </w:rPr>
        <w:t xml:space="preserve"> </w:t>
      </w:r>
      <w:r>
        <w:rPr>
          <w:rFonts w:eastAsia="Times New Roman"/>
          <w:color w:val="000000"/>
          <w:sz w:val="20"/>
          <w:szCs w:val="20"/>
          <w:shd w:val="clear" w:color="auto" w:fill="FFFFFF"/>
        </w:rPr>
        <w:t>Icahn Enterpri</w:t>
      </w:r>
      <w:r>
        <w:rPr>
          <w:rFonts w:eastAsia="Times New Roman"/>
          <w:color w:val="000000"/>
          <w:sz w:val="20"/>
          <w:szCs w:val="20"/>
          <w:shd w:val="clear" w:color="auto" w:fill="FFFFFF"/>
        </w:rPr>
        <w:t>ses Holdings and its subsidiaries own substantially all of the assets and liabilities of Icahn Enterprises and conduct substantially all of its operations.</w:t>
      </w:r>
      <w:r>
        <w:rPr>
          <w:rFonts w:eastAsia="Times New Roman"/>
          <w:color w:val="000000"/>
          <w:sz w:val="20"/>
          <w:szCs w:val="20"/>
          <w:shd w:val="clear" w:color="auto" w:fill="FFFFFF"/>
        </w:rPr>
        <w:t xml:space="preserve"> </w:t>
      </w:r>
      <w:r>
        <w:rPr>
          <w:rFonts w:eastAsia="Times New Roman"/>
          <w:color w:val="000000"/>
          <w:sz w:val="20"/>
          <w:szCs w:val="20"/>
        </w:rPr>
        <w:t>Therefore, the financial results of Icahn Enterprises and Icahn Enterprises Holdings are substantial</w:t>
      </w:r>
      <w:r>
        <w:rPr>
          <w:rFonts w:eastAsia="Times New Roman"/>
          <w:color w:val="000000"/>
          <w:sz w:val="20"/>
          <w:szCs w:val="20"/>
        </w:rPr>
        <w:t>ly the same, with differences relating primarily to allocations to the general and limited partners. We do not discuss Icahn Enterprises and Icahn Enterprises Holdings separately unless we believe it is necessary to an understanding of the businesses</w:t>
      </w:r>
      <w:r>
        <w:rPr>
          <w:rFonts w:eastAsia="Times New Roman"/>
          <w:color w:val="000000"/>
          <w:sz w:val="20"/>
          <w:szCs w:val="20"/>
        </w:rPr>
        <w:t>.</w:t>
      </w:r>
    </w:p>
    <w:p w14:paraId="592D3C4F" w14:textId="77777777" w:rsidR="00000000" w:rsidRDefault="00195E73">
      <w:pPr>
        <w:ind w:firstLine="450"/>
        <w:divId w:val="1827479209"/>
        <w:rPr>
          <w:rFonts w:eastAsia="Times New Roman"/>
        </w:rPr>
      </w:pPr>
      <w:r>
        <w:rPr>
          <w:rFonts w:eastAsia="Times New Roman"/>
          <w:color w:val="000000"/>
          <w:sz w:val="20"/>
          <w:szCs w:val="20"/>
        </w:rPr>
        <w:t>We a</w:t>
      </w:r>
      <w:r>
        <w:rPr>
          <w:rFonts w:eastAsia="Times New Roman"/>
          <w:color w:val="000000"/>
          <w:sz w:val="20"/>
          <w:szCs w:val="20"/>
        </w:rPr>
        <w:t>re a diversified holding company owning subsidiaries currently engaged in the following continuing operating businesses:</w:t>
      </w:r>
      <w:r>
        <w:rPr>
          <w:rFonts w:eastAsia="Times New Roman"/>
          <w:color w:val="000000"/>
          <w:sz w:val="20"/>
          <w:szCs w:val="20"/>
        </w:rPr>
        <w:t xml:space="preserve"> </w:t>
      </w:r>
      <w:r>
        <w:rPr>
          <w:rFonts w:eastAsia="Times New Roman"/>
          <w:color w:val="231F20"/>
          <w:sz w:val="20"/>
          <w:szCs w:val="20"/>
        </w:rPr>
        <w:t>Investment, Energy, Automotive, Food Packaging, Metals, Real Estate and Home Fashio</w:t>
      </w:r>
      <w:r>
        <w:rPr>
          <w:rFonts w:eastAsia="Times New Roman"/>
          <w:color w:val="231F20"/>
          <w:sz w:val="20"/>
          <w:szCs w:val="20"/>
        </w:rPr>
        <w:t>n</w:t>
      </w:r>
      <w:r>
        <w:rPr>
          <w:rFonts w:eastAsia="Times New Roman"/>
          <w:color w:val="000000"/>
          <w:sz w:val="20"/>
          <w:szCs w:val="20"/>
        </w:rPr>
        <w:t>. We also report the results of our Holding Company</w:t>
      </w:r>
      <w:r>
        <w:rPr>
          <w:rFonts w:eastAsia="Times New Roman"/>
          <w:color w:val="000000"/>
          <w:sz w:val="20"/>
          <w:szCs w:val="20"/>
        </w:rPr>
        <w:t>, which includes the results of certain subsidiaries of Icahn Enterprises and Icahn Enterprises Holdings (unless otherwise noted), and investment activity and expenses associated with our Holding Company. Our historical results also report the results of o</w:t>
      </w:r>
      <w:r>
        <w:rPr>
          <w:rFonts w:eastAsia="Times New Roman"/>
          <w:color w:val="000000"/>
          <w:sz w:val="20"/>
          <w:szCs w:val="20"/>
        </w:rPr>
        <w:t>ur Mining segment, until sold on August 1, 2019, and our Railcar segment through the date we sold our last remaining railcars on lease, which occurred in the third quarter of 2018.</w:t>
      </w:r>
      <w:r>
        <w:rPr>
          <w:rFonts w:eastAsia="Times New Roman"/>
          <w:color w:val="000000"/>
          <w:sz w:val="20"/>
          <w:szCs w:val="20"/>
        </w:rPr>
        <w:t xml:space="preserve"> </w:t>
      </w:r>
    </w:p>
    <w:p w14:paraId="376F9557" w14:textId="77777777" w:rsidR="00000000" w:rsidRDefault="00195E73">
      <w:pPr>
        <w:divId w:val="1490101461"/>
        <w:rPr>
          <w:rFonts w:eastAsia="Times New Roman"/>
        </w:rPr>
      </w:pPr>
      <w:r>
        <w:rPr>
          <w:rFonts w:eastAsia="Times New Roman"/>
          <w:b/>
          <w:bCs/>
          <w:i/>
          <w:iCs/>
          <w:color w:val="000000"/>
          <w:sz w:val="20"/>
          <w:szCs w:val="20"/>
        </w:rPr>
        <w:t>Significant Transactions and Development</w:t>
      </w:r>
      <w:r>
        <w:rPr>
          <w:rFonts w:eastAsia="Times New Roman"/>
          <w:b/>
          <w:bCs/>
          <w:i/>
          <w:iCs/>
          <w:color w:val="000000"/>
          <w:sz w:val="20"/>
          <w:szCs w:val="20"/>
        </w:rPr>
        <w:t>s</w:t>
      </w:r>
    </w:p>
    <w:p w14:paraId="4EC100FF" w14:textId="77777777" w:rsidR="00000000" w:rsidRDefault="00195E73">
      <w:pPr>
        <w:ind w:firstLine="450"/>
        <w:divId w:val="347610620"/>
        <w:rPr>
          <w:rFonts w:eastAsia="Times New Roman"/>
        </w:rPr>
      </w:pPr>
      <w:r>
        <w:rPr>
          <w:rFonts w:eastAsia="Times New Roman"/>
          <w:color w:val="000000"/>
          <w:sz w:val="20"/>
          <w:szCs w:val="20"/>
        </w:rPr>
        <w:t xml:space="preserve">On May 2, 2019, Icahn Enterprises announced the commencement of its “at-the-market” offering pursuant to its Open Market Sale Agreement, pursuant to which Icahn Enterprises may sell its depositary units, from time </w:t>
      </w:r>
      <w:r>
        <w:rPr>
          <w:rFonts w:eastAsia="Times New Roman"/>
          <w:color w:val="000000"/>
          <w:sz w:val="20"/>
          <w:szCs w:val="20"/>
        </w:rPr>
        <w:t>to time, for up to $400 million in aggregate sale proceeds. Refer to “Liquidity and Capital Resources,” below for further discussion.</w:t>
      </w:r>
      <w:r>
        <w:rPr>
          <w:rFonts w:eastAsia="Times New Roman"/>
          <w:color w:val="000000"/>
          <w:sz w:val="20"/>
          <w:szCs w:val="20"/>
        </w:rPr>
        <w:t xml:space="preserve"> </w:t>
      </w:r>
    </w:p>
    <w:p w14:paraId="5D502109" w14:textId="77777777" w:rsidR="00000000" w:rsidRDefault="00195E73">
      <w:pPr>
        <w:ind w:firstLine="450"/>
        <w:divId w:val="1277524153"/>
        <w:rPr>
          <w:rFonts w:eastAsia="Times New Roman"/>
        </w:rPr>
      </w:pPr>
      <w:r>
        <w:rPr>
          <w:rFonts w:eastAsia="Times New Roman"/>
          <w:color w:val="000000"/>
          <w:sz w:val="20"/>
          <w:szCs w:val="20"/>
        </w:rPr>
        <w:t>On August 1, 2019, we closed on the previously announced sale of Ferrous Resources Ltd. (“Ferrous Resources”). Our propor</w:t>
      </w:r>
      <w:r>
        <w:rPr>
          <w:rFonts w:eastAsia="Times New Roman"/>
          <w:color w:val="000000"/>
          <w:sz w:val="20"/>
          <w:szCs w:val="20"/>
        </w:rPr>
        <w:t>tionate share of the cash proceeds from the sale, net of adjustments, was $463 million. As a result of the sale of Ferrous Resources, our Mining segment recorded a pretax gain on disposition of assets of $252 million</w:t>
      </w:r>
      <w:r>
        <w:rPr>
          <w:rFonts w:eastAsia="Times New Roman"/>
          <w:color w:val="000000"/>
          <w:sz w:val="20"/>
          <w:szCs w:val="20"/>
        </w:rPr>
        <w:t>.</w:t>
      </w:r>
    </w:p>
    <w:p w14:paraId="66102D69" w14:textId="77777777" w:rsidR="00000000" w:rsidRDefault="00195E73">
      <w:pPr>
        <w:ind w:firstLine="450"/>
        <w:divId w:val="2117405040"/>
        <w:rPr>
          <w:rFonts w:eastAsia="Times New Roman"/>
        </w:rPr>
      </w:pPr>
      <w:r>
        <w:rPr>
          <w:rFonts w:eastAsia="Times New Roman"/>
          <w:color w:val="000000"/>
          <w:sz w:val="20"/>
          <w:szCs w:val="20"/>
        </w:rPr>
        <w:t>During 2019, Icahn Enterprises and Ica</w:t>
      </w:r>
      <w:r>
        <w:rPr>
          <w:rFonts w:eastAsia="Times New Roman"/>
          <w:color w:val="000000"/>
          <w:sz w:val="20"/>
          <w:szCs w:val="20"/>
        </w:rPr>
        <w:t>hn Enterprises Finance Corp. (together the “Issuers”) issued $1.250 billion in aggregate principal amount of 6.250% senior unsecured notes due 2026 (the “New 2026 Notes”). The proceeds from the New 2026 Notes, together with cash on hand, were used to redee</w:t>
      </w:r>
      <w:r>
        <w:rPr>
          <w:rFonts w:eastAsia="Times New Roman"/>
          <w:color w:val="000000"/>
          <w:sz w:val="20"/>
          <w:szCs w:val="20"/>
        </w:rPr>
        <w:t>m all of our prior outstanding $1.7 billion principal amount of 6.000% senior unsecured notes due 2020, and to pay accrued interest, related fees and expenses.</w:t>
      </w:r>
      <w:r>
        <w:rPr>
          <w:rFonts w:eastAsia="Times New Roman"/>
          <w:color w:val="000000"/>
          <w:sz w:val="20"/>
          <w:szCs w:val="20"/>
        </w:rPr>
        <w:t xml:space="preserve"> </w:t>
      </w:r>
    </w:p>
    <w:p w14:paraId="15AAF881" w14:textId="77777777" w:rsidR="00000000" w:rsidRDefault="00195E73">
      <w:pPr>
        <w:ind w:firstLine="450"/>
        <w:divId w:val="641085882"/>
        <w:rPr>
          <w:rFonts w:eastAsia="Times New Roman"/>
        </w:rPr>
      </w:pPr>
      <w:r>
        <w:rPr>
          <w:rFonts w:eastAsia="Times New Roman"/>
          <w:color w:val="000000"/>
          <w:sz w:val="20"/>
          <w:szCs w:val="20"/>
        </w:rPr>
        <w:t>In addition, during 2019, the Issuers issued $500 million in aggregate principal amount of 4.75</w:t>
      </w:r>
      <w:r>
        <w:rPr>
          <w:rFonts w:eastAsia="Times New Roman"/>
          <w:color w:val="000000"/>
          <w:sz w:val="20"/>
          <w:szCs w:val="20"/>
        </w:rPr>
        <w:t>0% senior unsecured notes due 2024 (the “New 2024 Notes”) and $750 million in aggregate principal amount of 5.250% senior unsecured notes due 2027 (the “New 2027 Notes”). The proceeds from the New 2024 Notes and the New 2027 Notes were used for general lim</w:t>
      </w:r>
      <w:r>
        <w:rPr>
          <w:rFonts w:eastAsia="Times New Roman"/>
          <w:color w:val="000000"/>
          <w:sz w:val="20"/>
          <w:szCs w:val="20"/>
        </w:rPr>
        <w:t>ited partnership purposes.</w:t>
      </w:r>
      <w:r>
        <w:rPr>
          <w:rFonts w:eastAsia="Times New Roman"/>
          <w:color w:val="000000"/>
          <w:sz w:val="20"/>
          <w:szCs w:val="20"/>
        </w:rPr>
        <w:t xml:space="preserve"> </w:t>
      </w:r>
    </w:p>
    <w:p w14:paraId="5B0C1ACB" w14:textId="77777777" w:rsidR="00000000" w:rsidRDefault="00195E73">
      <w:pPr>
        <w:ind w:firstLine="450"/>
        <w:divId w:val="1120882962"/>
        <w:rPr>
          <w:rFonts w:eastAsia="Times New Roman"/>
        </w:rPr>
      </w:pPr>
      <w:r>
        <w:rPr>
          <w:rFonts w:eastAsia="Times New Roman"/>
          <w:color w:val="000000"/>
          <w:sz w:val="20"/>
          <w:szCs w:val="20"/>
        </w:rPr>
        <w:t xml:space="preserve">In January 2020, the Issuers issued an additional $600 million in aggregate principal amount of the New 2024 Notes and an additional $250 million in aggregate principal amount of the New 2027 Notes. The additional proceeds from </w:t>
      </w:r>
      <w:r>
        <w:rPr>
          <w:rFonts w:eastAsia="Times New Roman"/>
          <w:color w:val="000000"/>
          <w:sz w:val="20"/>
          <w:szCs w:val="20"/>
        </w:rPr>
        <w:t>the New 2024 Notes and the New 2027 Notes issued in January 2020, together with cash on hand, were used to redeem all of our prior outstanding $1.35 billion principal amount of 5.875% senior unsecured notes due 2022, and to pay accrued interest, related fe</w:t>
      </w:r>
      <w:r>
        <w:rPr>
          <w:rFonts w:eastAsia="Times New Roman"/>
          <w:color w:val="000000"/>
          <w:sz w:val="20"/>
          <w:szCs w:val="20"/>
        </w:rPr>
        <w:t>es and expenses</w:t>
      </w:r>
      <w:r>
        <w:rPr>
          <w:rFonts w:eastAsia="Times New Roman"/>
          <w:color w:val="000000"/>
          <w:sz w:val="20"/>
          <w:szCs w:val="20"/>
        </w:rPr>
        <w:t>.</w:t>
      </w:r>
    </w:p>
    <w:p w14:paraId="7A6CC4D8" w14:textId="77777777" w:rsidR="00000000" w:rsidRDefault="00195E73">
      <w:pPr>
        <w:divId w:val="1029721360"/>
        <w:rPr>
          <w:rFonts w:eastAsia="Times New Roman"/>
        </w:rPr>
      </w:pPr>
    </w:p>
    <w:p w14:paraId="39C89046" w14:textId="77777777" w:rsidR="00000000" w:rsidRDefault="00195E73">
      <w:pPr>
        <w:divId w:val="226768715"/>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p w14:paraId="5E53A65E" w14:textId="77777777" w:rsidR="00000000" w:rsidRDefault="00195E73">
      <w:pPr>
        <w:divId w:val="1334802810"/>
        <w:rPr>
          <w:rFonts w:eastAsia="Times New Roman"/>
        </w:rPr>
      </w:pPr>
      <w:r>
        <w:rPr>
          <w:rFonts w:eastAsia="Times New Roman"/>
          <w:b/>
          <w:bCs/>
          <w:i/>
          <w:iCs/>
          <w:color w:val="000000"/>
          <w:sz w:val="20"/>
          <w:szCs w:val="20"/>
        </w:rPr>
        <w:t>Consolidated Financial Result</w:t>
      </w:r>
      <w:r>
        <w:rPr>
          <w:rFonts w:eastAsia="Times New Roman"/>
          <w:b/>
          <w:bCs/>
          <w:i/>
          <w:iCs/>
          <w:color w:val="000000"/>
          <w:sz w:val="20"/>
          <w:szCs w:val="20"/>
        </w:rPr>
        <w:t>s</w:t>
      </w:r>
    </w:p>
    <w:p w14:paraId="4A22554A" w14:textId="77777777" w:rsidR="00000000" w:rsidRDefault="00195E73">
      <w:pPr>
        <w:ind w:firstLine="450"/>
        <w:divId w:val="1723559273"/>
        <w:rPr>
          <w:rFonts w:eastAsia="Times New Roman"/>
        </w:rPr>
      </w:pPr>
      <w:r>
        <w:rPr>
          <w:rFonts w:eastAsia="Times New Roman"/>
          <w:color w:val="000000"/>
          <w:sz w:val="20"/>
          <w:szCs w:val="20"/>
        </w:rPr>
        <w:t>Our operating businesses comprise consolidated subsidiaries which operate in various industries and are managed on a decentralized basis. In addition to our Investment segment’s revenu</w:t>
      </w:r>
      <w:r>
        <w:rPr>
          <w:rFonts w:eastAsia="Times New Roman"/>
          <w:color w:val="000000"/>
          <w:sz w:val="20"/>
          <w:szCs w:val="20"/>
        </w:rPr>
        <w:t>es from investment transactions, revenues for our continuing operating businesses primarily consist of net sales of various products, services revenue, franchisor operations and leasing of real estate. Due to the structure and nature of our business, we pr</w:t>
      </w:r>
      <w:r>
        <w:rPr>
          <w:rFonts w:eastAsia="Times New Roman"/>
          <w:color w:val="000000"/>
          <w:sz w:val="20"/>
          <w:szCs w:val="20"/>
        </w:rPr>
        <w:t>imarily discuss the results of operations by individual reporting segment in order to better understand our consolidated operating performance. Certain other financial information is discussed</w:t>
      </w:r>
      <w:r>
        <w:rPr>
          <w:rFonts w:eastAsia="Times New Roman"/>
          <w:color w:val="000000"/>
          <w:sz w:val="20"/>
          <w:szCs w:val="20"/>
        </w:rPr>
        <w:t xml:space="preserve"> </w:t>
      </w:r>
    </w:p>
    <w:p w14:paraId="222EDC5D" w14:textId="77777777" w:rsidR="00000000" w:rsidRDefault="00195E73">
      <w:pPr>
        <w:jc w:val="center"/>
        <w:divId w:val="86078143"/>
        <w:rPr>
          <w:rFonts w:eastAsia="Times New Roman"/>
        </w:rPr>
      </w:pPr>
      <w:r>
        <w:rPr>
          <w:rFonts w:eastAsia="Times New Roman"/>
          <w:color w:val="000000"/>
          <w:sz w:val="20"/>
          <w:szCs w:val="20"/>
        </w:rPr>
        <w:t>3</w:t>
      </w:r>
      <w:r>
        <w:rPr>
          <w:rFonts w:eastAsia="Times New Roman"/>
          <w:color w:val="000000"/>
          <w:sz w:val="20"/>
          <w:szCs w:val="20"/>
        </w:rPr>
        <w:t>1</w:t>
      </w:r>
    </w:p>
    <w:p w14:paraId="7AC8A583" w14:textId="77777777" w:rsidR="00000000" w:rsidRDefault="00195E73">
      <w:pPr>
        <w:rPr>
          <w:rFonts w:eastAsia="Times New Roman"/>
        </w:rPr>
      </w:pPr>
      <w:r>
        <w:rPr>
          <w:rFonts w:eastAsia="Times New Roman"/>
        </w:rPr>
        <w:pict w14:anchorId="20B23AAE">
          <v:rect id="_x0000_i1057" style="width:0;height:1.5pt" o:hralign="center" o:hrstd="t" o:hr="t" fillcolor="#a0a0a0" stroked="f"/>
        </w:pict>
      </w:r>
    </w:p>
    <w:p w14:paraId="7E828899" w14:textId="77777777" w:rsidR="00000000" w:rsidRDefault="00195E73">
      <w:pPr>
        <w:divId w:val="57680102"/>
        <w:rPr>
          <w:rFonts w:eastAsia="Times New Roman"/>
        </w:rPr>
      </w:pPr>
    </w:p>
    <w:p w14:paraId="70BF5914" w14:textId="77777777" w:rsidR="00000000" w:rsidRDefault="00195E73">
      <w:pPr>
        <w:divId w:val="1165633154"/>
        <w:rPr>
          <w:rFonts w:eastAsia="Times New Roman"/>
        </w:rPr>
      </w:pPr>
      <w:r>
        <w:rPr>
          <w:rFonts w:eastAsia="Times New Roman"/>
          <w:color w:val="000000"/>
          <w:sz w:val="20"/>
          <w:szCs w:val="20"/>
        </w:rPr>
        <w:t xml:space="preserve">on a consolidated basis following our segment discussion, including other revenues and expenses included in continuing operations as well as our results from discontinued operations. In addition to the summarized financial results below, refer to Note 13, </w:t>
      </w:r>
      <w:r>
        <w:rPr>
          <w:rFonts w:eastAsia="Times New Roman"/>
          <w:color w:val="000000"/>
          <w:sz w:val="20"/>
          <w:szCs w:val="20"/>
        </w:rPr>
        <w:t>“Segment and Geographic Reporting,” to the consolidated financial statements for a reconciliation of each of our reporting segment’s results of continuing operations to our consolidated results</w:t>
      </w:r>
      <w:r>
        <w:rPr>
          <w:rFonts w:eastAsia="Times New Roman"/>
          <w:color w:val="000000"/>
          <w:sz w:val="20"/>
          <w:szCs w:val="20"/>
        </w:rPr>
        <w:t>.</w:t>
      </w:r>
    </w:p>
    <w:p w14:paraId="77C94C13" w14:textId="77777777" w:rsidR="00000000" w:rsidRDefault="00195E73">
      <w:pPr>
        <w:ind w:firstLine="405"/>
        <w:divId w:val="1775976473"/>
        <w:rPr>
          <w:rFonts w:eastAsia="Times New Roman"/>
        </w:rPr>
      </w:pPr>
      <w:r>
        <w:rPr>
          <w:rFonts w:eastAsia="Times New Roman"/>
          <w:color w:val="000000"/>
          <w:sz w:val="20"/>
          <w:szCs w:val="20"/>
        </w:rPr>
        <w:t>The comparability of our summarized consolidated financial re</w:t>
      </w:r>
      <w:r>
        <w:rPr>
          <w:rFonts w:eastAsia="Times New Roman"/>
          <w:color w:val="000000"/>
          <w:sz w:val="20"/>
          <w:szCs w:val="20"/>
        </w:rPr>
        <w:t>sults presented below is affected by, among other factors, (i) the performance of the Investment Funds, (ii) the results of our Energy segment’s operations, impacted by the relationship of its refined product prices and prices for crude oil and other feeds</w:t>
      </w:r>
      <w:r>
        <w:rPr>
          <w:rFonts w:eastAsia="Times New Roman"/>
          <w:color w:val="000000"/>
          <w:sz w:val="20"/>
          <w:szCs w:val="20"/>
        </w:rPr>
        <w:t>tocks, (iii) impairment charges, primarily in our Automotive segment in 2018 and certain transformation expenses in 2019, (iv) acquisitions of businesses, primarily in our Automotive segment during 2017, (v) gains on dispositions of assets, primarily in ou</w:t>
      </w:r>
      <w:r>
        <w:rPr>
          <w:rFonts w:eastAsia="Times New Roman"/>
          <w:color w:val="000000"/>
          <w:sz w:val="20"/>
          <w:szCs w:val="20"/>
        </w:rPr>
        <w:t>r Railcar and Real Estate segments in 2017, including the impact of the disposed income generating assets on subsequent operations, and in our Mining segment as a result of the sale of Ferrous Resources in 2019, (vi) our Holding Company’s unrealized equity</w:t>
      </w:r>
      <w:r>
        <w:rPr>
          <w:rFonts w:eastAsia="Times New Roman"/>
          <w:color w:val="000000"/>
          <w:sz w:val="20"/>
          <w:szCs w:val="20"/>
        </w:rPr>
        <w:t xml:space="preserve"> investment gains and losses and (vii) the enactment of tax legislation in the United States in 2017. Refer to our respective segment discussions and “Other Consolidated Results of Operations,” below for further discussion.</w:t>
      </w:r>
      <w:r>
        <w:rPr>
          <w:rFonts w:eastAsia="Times New Roman"/>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50"/>
        <w:gridCol w:w="998"/>
        <w:gridCol w:w="50"/>
        <w:gridCol w:w="135"/>
        <w:gridCol w:w="599"/>
        <w:gridCol w:w="85"/>
        <w:gridCol w:w="36"/>
        <w:gridCol w:w="36"/>
        <w:gridCol w:w="36"/>
        <w:gridCol w:w="135"/>
        <w:gridCol w:w="615"/>
        <w:gridCol w:w="85"/>
        <w:gridCol w:w="36"/>
        <w:gridCol w:w="36"/>
        <w:gridCol w:w="36"/>
        <w:gridCol w:w="135"/>
        <w:gridCol w:w="615"/>
        <w:gridCol w:w="85"/>
        <w:gridCol w:w="36"/>
        <w:gridCol w:w="36"/>
        <w:gridCol w:w="36"/>
        <w:gridCol w:w="135"/>
        <w:gridCol w:w="599"/>
        <w:gridCol w:w="85"/>
        <w:gridCol w:w="36"/>
        <w:gridCol w:w="36"/>
        <w:gridCol w:w="36"/>
        <w:gridCol w:w="135"/>
        <w:gridCol w:w="365"/>
        <w:gridCol w:w="85"/>
        <w:gridCol w:w="36"/>
        <w:gridCol w:w="36"/>
        <w:gridCol w:w="36"/>
        <w:gridCol w:w="135"/>
        <w:gridCol w:w="515"/>
        <w:gridCol w:w="85"/>
        <w:gridCol w:w="36"/>
        <w:gridCol w:w="36"/>
        <w:gridCol w:w="36"/>
        <w:gridCol w:w="135"/>
        <w:gridCol w:w="599"/>
        <w:gridCol w:w="85"/>
        <w:gridCol w:w="36"/>
        <w:gridCol w:w="36"/>
        <w:gridCol w:w="36"/>
        <w:gridCol w:w="135"/>
        <w:gridCol w:w="449"/>
        <w:gridCol w:w="85"/>
        <w:gridCol w:w="36"/>
        <w:gridCol w:w="36"/>
        <w:gridCol w:w="36"/>
        <w:gridCol w:w="135"/>
        <w:gridCol w:w="515"/>
        <w:gridCol w:w="85"/>
        <w:gridCol w:w="36"/>
        <w:gridCol w:w="36"/>
        <w:gridCol w:w="36"/>
        <w:gridCol w:w="36"/>
        <w:gridCol w:w="36"/>
        <w:gridCol w:w="36"/>
        <w:gridCol w:w="36"/>
        <w:gridCol w:w="36"/>
        <w:gridCol w:w="1107"/>
      </w:tblGrid>
      <w:tr w:rsidR="00000000" w14:paraId="39DA23F2" w14:textId="77777777">
        <w:trPr>
          <w:gridAfter w:val="9"/>
          <w:divId w:val="850291618"/>
        </w:trPr>
        <w:tc>
          <w:tcPr>
            <w:tcW w:w="50" w:type="pct"/>
            <w:vAlign w:val="center"/>
            <w:hideMark/>
          </w:tcPr>
          <w:p w14:paraId="00785FD4" w14:textId="77777777" w:rsidR="00000000" w:rsidRDefault="00195E73">
            <w:pPr>
              <w:ind w:firstLine="405"/>
              <w:rPr>
                <w:rFonts w:eastAsia="Times New Roman"/>
              </w:rPr>
            </w:pPr>
          </w:p>
        </w:tc>
        <w:tc>
          <w:tcPr>
            <w:tcW w:w="1014" w:type="pct"/>
            <w:vAlign w:val="center"/>
            <w:hideMark/>
          </w:tcPr>
          <w:p w14:paraId="25010349" w14:textId="77777777" w:rsidR="00000000" w:rsidRDefault="00195E73">
            <w:pPr>
              <w:rPr>
                <w:rFonts w:eastAsia="Times New Roman"/>
                <w:sz w:val="20"/>
                <w:szCs w:val="20"/>
              </w:rPr>
            </w:pPr>
          </w:p>
        </w:tc>
        <w:tc>
          <w:tcPr>
            <w:tcW w:w="50" w:type="pct"/>
            <w:vAlign w:val="center"/>
            <w:hideMark/>
          </w:tcPr>
          <w:p w14:paraId="32E7D4FF" w14:textId="77777777" w:rsidR="00000000" w:rsidRDefault="00195E73">
            <w:pPr>
              <w:rPr>
                <w:rFonts w:eastAsia="Times New Roman"/>
                <w:sz w:val="20"/>
                <w:szCs w:val="20"/>
              </w:rPr>
            </w:pPr>
          </w:p>
        </w:tc>
        <w:tc>
          <w:tcPr>
            <w:tcW w:w="50" w:type="pct"/>
            <w:vAlign w:val="center"/>
            <w:hideMark/>
          </w:tcPr>
          <w:p w14:paraId="02E318F0" w14:textId="77777777" w:rsidR="00000000" w:rsidRDefault="00195E73">
            <w:pPr>
              <w:rPr>
                <w:rFonts w:eastAsia="Times New Roman"/>
                <w:sz w:val="20"/>
                <w:szCs w:val="20"/>
              </w:rPr>
            </w:pPr>
          </w:p>
        </w:tc>
        <w:tc>
          <w:tcPr>
            <w:tcW w:w="303" w:type="pct"/>
            <w:vAlign w:val="center"/>
            <w:hideMark/>
          </w:tcPr>
          <w:p w14:paraId="5D40664C" w14:textId="77777777" w:rsidR="00000000" w:rsidRDefault="00195E73">
            <w:pPr>
              <w:rPr>
                <w:rFonts w:eastAsia="Times New Roman"/>
                <w:sz w:val="20"/>
                <w:szCs w:val="20"/>
              </w:rPr>
            </w:pPr>
          </w:p>
        </w:tc>
        <w:tc>
          <w:tcPr>
            <w:tcW w:w="50" w:type="pct"/>
            <w:vAlign w:val="center"/>
            <w:hideMark/>
          </w:tcPr>
          <w:p w14:paraId="0AA14F2A" w14:textId="77777777" w:rsidR="00000000" w:rsidRDefault="00195E73">
            <w:pPr>
              <w:rPr>
                <w:rFonts w:eastAsia="Times New Roman"/>
                <w:sz w:val="20"/>
                <w:szCs w:val="20"/>
              </w:rPr>
            </w:pPr>
          </w:p>
        </w:tc>
        <w:tc>
          <w:tcPr>
            <w:tcW w:w="5" w:type="pct"/>
            <w:vAlign w:val="center"/>
            <w:hideMark/>
          </w:tcPr>
          <w:p w14:paraId="6966AD03" w14:textId="77777777" w:rsidR="00000000" w:rsidRDefault="00195E73">
            <w:pPr>
              <w:rPr>
                <w:rFonts w:eastAsia="Times New Roman"/>
                <w:sz w:val="20"/>
                <w:szCs w:val="20"/>
              </w:rPr>
            </w:pPr>
          </w:p>
        </w:tc>
        <w:tc>
          <w:tcPr>
            <w:tcW w:w="26" w:type="pct"/>
            <w:vAlign w:val="center"/>
            <w:hideMark/>
          </w:tcPr>
          <w:p w14:paraId="2308331E" w14:textId="77777777" w:rsidR="00000000" w:rsidRDefault="00195E73">
            <w:pPr>
              <w:rPr>
                <w:rFonts w:eastAsia="Times New Roman"/>
                <w:sz w:val="20"/>
                <w:szCs w:val="20"/>
              </w:rPr>
            </w:pPr>
          </w:p>
        </w:tc>
        <w:tc>
          <w:tcPr>
            <w:tcW w:w="5" w:type="pct"/>
            <w:vAlign w:val="center"/>
            <w:hideMark/>
          </w:tcPr>
          <w:p w14:paraId="0C9DD660" w14:textId="77777777" w:rsidR="00000000" w:rsidRDefault="00195E73">
            <w:pPr>
              <w:rPr>
                <w:rFonts w:eastAsia="Times New Roman"/>
                <w:sz w:val="20"/>
                <w:szCs w:val="20"/>
              </w:rPr>
            </w:pPr>
          </w:p>
        </w:tc>
        <w:tc>
          <w:tcPr>
            <w:tcW w:w="50" w:type="pct"/>
            <w:vAlign w:val="center"/>
            <w:hideMark/>
          </w:tcPr>
          <w:p w14:paraId="1E35D780" w14:textId="77777777" w:rsidR="00000000" w:rsidRDefault="00195E73">
            <w:pPr>
              <w:rPr>
                <w:rFonts w:eastAsia="Times New Roman"/>
                <w:sz w:val="20"/>
                <w:szCs w:val="20"/>
              </w:rPr>
            </w:pPr>
          </w:p>
        </w:tc>
        <w:tc>
          <w:tcPr>
            <w:tcW w:w="281" w:type="pct"/>
            <w:vAlign w:val="center"/>
            <w:hideMark/>
          </w:tcPr>
          <w:p w14:paraId="12990CF0" w14:textId="77777777" w:rsidR="00000000" w:rsidRDefault="00195E73">
            <w:pPr>
              <w:rPr>
                <w:rFonts w:eastAsia="Times New Roman"/>
                <w:sz w:val="20"/>
                <w:szCs w:val="20"/>
              </w:rPr>
            </w:pPr>
          </w:p>
        </w:tc>
        <w:tc>
          <w:tcPr>
            <w:tcW w:w="50" w:type="pct"/>
            <w:vAlign w:val="center"/>
            <w:hideMark/>
          </w:tcPr>
          <w:p w14:paraId="149218F3" w14:textId="77777777" w:rsidR="00000000" w:rsidRDefault="00195E73">
            <w:pPr>
              <w:rPr>
                <w:rFonts w:eastAsia="Times New Roman"/>
                <w:sz w:val="20"/>
                <w:szCs w:val="20"/>
              </w:rPr>
            </w:pPr>
          </w:p>
        </w:tc>
        <w:tc>
          <w:tcPr>
            <w:tcW w:w="5" w:type="pct"/>
            <w:vAlign w:val="center"/>
            <w:hideMark/>
          </w:tcPr>
          <w:p w14:paraId="43D3D9E0" w14:textId="77777777" w:rsidR="00000000" w:rsidRDefault="00195E73">
            <w:pPr>
              <w:rPr>
                <w:rFonts w:eastAsia="Times New Roman"/>
                <w:sz w:val="20"/>
                <w:szCs w:val="20"/>
              </w:rPr>
            </w:pPr>
          </w:p>
        </w:tc>
        <w:tc>
          <w:tcPr>
            <w:tcW w:w="26" w:type="pct"/>
            <w:vAlign w:val="center"/>
            <w:hideMark/>
          </w:tcPr>
          <w:p w14:paraId="315A37AC" w14:textId="77777777" w:rsidR="00000000" w:rsidRDefault="00195E73">
            <w:pPr>
              <w:rPr>
                <w:rFonts w:eastAsia="Times New Roman"/>
                <w:sz w:val="20"/>
                <w:szCs w:val="20"/>
              </w:rPr>
            </w:pPr>
          </w:p>
        </w:tc>
        <w:tc>
          <w:tcPr>
            <w:tcW w:w="5" w:type="pct"/>
            <w:vAlign w:val="center"/>
            <w:hideMark/>
          </w:tcPr>
          <w:p w14:paraId="6D169E65" w14:textId="77777777" w:rsidR="00000000" w:rsidRDefault="00195E73">
            <w:pPr>
              <w:rPr>
                <w:rFonts w:eastAsia="Times New Roman"/>
                <w:sz w:val="20"/>
                <w:szCs w:val="20"/>
              </w:rPr>
            </w:pPr>
          </w:p>
        </w:tc>
        <w:tc>
          <w:tcPr>
            <w:tcW w:w="50" w:type="pct"/>
            <w:vAlign w:val="center"/>
            <w:hideMark/>
          </w:tcPr>
          <w:p w14:paraId="17C76B86" w14:textId="77777777" w:rsidR="00000000" w:rsidRDefault="00195E73">
            <w:pPr>
              <w:rPr>
                <w:rFonts w:eastAsia="Times New Roman"/>
                <w:sz w:val="20"/>
                <w:szCs w:val="20"/>
              </w:rPr>
            </w:pPr>
          </w:p>
        </w:tc>
        <w:tc>
          <w:tcPr>
            <w:tcW w:w="310" w:type="pct"/>
            <w:vAlign w:val="center"/>
            <w:hideMark/>
          </w:tcPr>
          <w:p w14:paraId="5874BDA2" w14:textId="77777777" w:rsidR="00000000" w:rsidRDefault="00195E73">
            <w:pPr>
              <w:rPr>
                <w:rFonts w:eastAsia="Times New Roman"/>
                <w:sz w:val="20"/>
                <w:szCs w:val="20"/>
              </w:rPr>
            </w:pPr>
          </w:p>
        </w:tc>
        <w:tc>
          <w:tcPr>
            <w:tcW w:w="50" w:type="pct"/>
            <w:vAlign w:val="center"/>
            <w:hideMark/>
          </w:tcPr>
          <w:p w14:paraId="119BD469" w14:textId="77777777" w:rsidR="00000000" w:rsidRDefault="00195E73">
            <w:pPr>
              <w:rPr>
                <w:rFonts w:eastAsia="Times New Roman"/>
                <w:sz w:val="20"/>
                <w:szCs w:val="20"/>
              </w:rPr>
            </w:pPr>
          </w:p>
        </w:tc>
        <w:tc>
          <w:tcPr>
            <w:tcW w:w="5" w:type="pct"/>
            <w:vAlign w:val="center"/>
            <w:hideMark/>
          </w:tcPr>
          <w:p w14:paraId="22306A7B" w14:textId="77777777" w:rsidR="00000000" w:rsidRDefault="00195E73">
            <w:pPr>
              <w:rPr>
                <w:rFonts w:eastAsia="Times New Roman"/>
                <w:sz w:val="20"/>
                <w:szCs w:val="20"/>
              </w:rPr>
            </w:pPr>
          </w:p>
        </w:tc>
        <w:tc>
          <w:tcPr>
            <w:tcW w:w="26" w:type="pct"/>
            <w:vAlign w:val="center"/>
            <w:hideMark/>
          </w:tcPr>
          <w:p w14:paraId="3671BC36" w14:textId="77777777" w:rsidR="00000000" w:rsidRDefault="00195E73">
            <w:pPr>
              <w:rPr>
                <w:rFonts w:eastAsia="Times New Roman"/>
                <w:sz w:val="20"/>
                <w:szCs w:val="20"/>
              </w:rPr>
            </w:pPr>
          </w:p>
        </w:tc>
        <w:tc>
          <w:tcPr>
            <w:tcW w:w="5" w:type="pct"/>
            <w:vAlign w:val="center"/>
            <w:hideMark/>
          </w:tcPr>
          <w:p w14:paraId="444E410E" w14:textId="77777777" w:rsidR="00000000" w:rsidRDefault="00195E73">
            <w:pPr>
              <w:rPr>
                <w:rFonts w:eastAsia="Times New Roman"/>
                <w:sz w:val="20"/>
                <w:szCs w:val="20"/>
              </w:rPr>
            </w:pPr>
          </w:p>
        </w:tc>
        <w:tc>
          <w:tcPr>
            <w:tcW w:w="50" w:type="pct"/>
            <w:vAlign w:val="center"/>
            <w:hideMark/>
          </w:tcPr>
          <w:p w14:paraId="09227CF9" w14:textId="77777777" w:rsidR="00000000" w:rsidRDefault="00195E73">
            <w:pPr>
              <w:rPr>
                <w:rFonts w:eastAsia="Times New Roman"/>
                <w:sz w:val="20"/>
                <w:szCs w:val="20"/>
              </w:rPr>
            </w:pPr>
          </w:p>
        </w:tc>
        <w:tc>
          <w:tcPr>
            <w:tcW w:w="281" w:type="pct"/>
            <w:vAlign w:val="center"/>
            <w:hideMark/>
          </w:tcPr>
          <w:p w14:paraId="0B21097E" w14:textId="77777777" w:rsidR="00000000" w:rsidRDefault="00195E73">
            <w:pPr>
              <w:rPr>
                <w:rFonts w:eastAsia="Times New Roman"/>
                <w:sz w:val="20"/>
                <w:szCs w:val="20"/>
              </w:rPr>
            </w:pPr>
          </w:p>
        </w:tc>
        <w:tc>
          <w:tcPr>
            <w:tcW w:w="50" w:type="pct"/>
            <w:vAlign w:val="center"/>
            <w:hideMark/>
          </w:tcPr>
          <w:p w14:paraId="0D75E09F" w14:textId="77777777" w:rsidR="00000000" w:rsidRDefault="00195E73">
            <w:pPr>
              <w:rPr>
                <w:rFonts w:eastAsia="Times New Roman"/>
                <w:sz w:val="20"/>
                <w:szCs w:val="20"/>
              </w:rPr>
            </w:pPr>
          </w:p>
        </w:tc>
        <w:tc>
          <w:tcPr>
            <w:tcW w:w="5" w:type="pct"/>
            <w:vAlign w:val="center"/>
            <w:hideMark/>
          </w:tcPr>
          <w:p w14:paraId="7E36EFED" w14:textId="77777777" w:rsidR="00000000" w:rsidRDefault="00195E73">
            <w:pPr>
              <w:rPr>
                <w:rFonts w:eastAsia="Times New Roman"/>
                <w:sz w:val="20"/>
                <w:szCs w:val="20"/>
              </w:rPr>
            </w:pPr>
          </w:p>
        </w:tc>
        <w:tc>
          <w:tcPr>
            <w:tcW w:w="26" w:type="pct"/>
            <w:vAlign w:val="center"/>
            <w:hideMark/>
          </w:tcPr>
          <w:p w14:paraId="1C9F51D5" w14:textId="77777777" w:rsidR="00000000" w:rsidRDefault="00195E73">
            <w:pPr>
              <w:rPr>
                <w:rFonts w:eastAsia="Times New Roman"/>
                <w:sz w:val="20"/>
                <w:szCs w:val="20"/>
              </w:rPr>
            </w:pPr>
          </w:p>
        </w:tc>
        <w:tc>
          <w:tcPr>
            <w:tcW w:w="5" w:type="pct"/>
            <w:vAlign w:val="center"/>
            <w:hideMark/>
          </w:tcPr>
          <w:p w14:paraId="2713203D" w14:textId="77777777" w:rsidR="00000000" w:rsidRDefault="00195E73">
            <w:pPr>
              <w:rPr>
                <w:rFonts w:eastAsia="Times New Roman"/>
                <w:sz w:val="20"/>
                <w:szCs w:val="20"/>
              </w:rPr>
            </w:pPr>
          </w:p>
        </w:tc>
        <w:tc>
          <w:tcPr>
            <w:tcW w:w="50" w:type="pct"/>
            <w:vAlign w:val="center"/>
            <w:hideMark/>
          </w:tcPr>
          <w:p w14:paraId="23C87F0E" w14:textId="77777777" w:rsidR="00000000" w:rsidRDefault="00195E73">
            <w:pPr>
              <w:rPr>
                <w:rFonts w:eastAsia="Times New Roman"/>
                <w:sz w:val="20"/>
                <w:szCs w:val="20"/>
              </w:rPr>
            </w:pPr>
          </w:p>
        </w:tc>
        <w:tc>
          <w:tcPr>
            <w:tcW w:w="303" w:type="pct"/>
            <w:vAlign w:val="center"/>
            <w:hideMark/>
          </w:tcPr>
          <w:p w14:paraId="5DBF0D15" w14:textId="77777777" w:rsidR="00000000" w:rsidRDefault="00195E73">
            <w:pPr>
              <w:rPr>
                <w:rFonts w:eastAsia="Times New Roman"/>
                <w:sz w:val="20"/>
                <w:szCs w:val="20"/>
              </w:rPr>
            </w:pPr>
          </w:p>
        </w:tc>
        <w:tc>
          <w:tcPr>
            <w:tcW w:w="50" w:type="pct"/>
            <w:vAlign w:val="center"/>
            <w:hideMark/>
          </w:tcPr>
          <w:p w14:paraId="0565C609" w14:textId="77777777" w:rsidR="00000000" w:rsidRDefault="00195E73">
            <w:pPr>
              <w:rPr>
                <w:rFonts w:eastAsia="Times New Roman"/>
                <w:sz w:val="20"/>
                <w:szCs w:val="20"/>
              </w:rPr>
            </w:pPr>
          </w:p>
        </w:tc>
        <w:tc>
          <w:tcPr>
            <w:tcW w:w="5" w:type="pct"/>
            <w:vAlign w:val="center"/>
            <w:hideMark/>
          </w:tcPr>
          <w:p w14:paraId="2C6AEDDC" w14:textId="77777777" w:rsidR="00000000" w:rsidRDefault="00195E73">
            <w:pPr>
              <w:rPr>
                <w:rFonts w:eastAsia="Times New Roman"/>
                <w:sz w:val="20"/>
                <w:szCs w:val="20"/>
              </w:rPr>
            </w:pPr>
          </w:p>
        </w:tc>
        <w:tc>
          <w:tcPr>
            <w:tcW w:w="26" w:type="pct"/>
            <w:vAlign w:val="center"/>
            <w:hideMark/>
          </w:tcPr>
          <w:p w14:paraId="1D33D94E" w14:textId="77777777" w:rsidR="00000000" w:rsidRDefault="00195E73">
            <w:pPr>
              <w:rPr>
                <w:rFonts w:eastAsia="Times New Roman"/>
                <w:sz w:val="20"/>
                <w:szCs w:val="20"/>
              </w:rPr>
            </w:pPr>
          </w:p>
        </w:tc>
        <w:tc>
          <w:tcPr>
            <w:tcW w:w="5" w:type="pct"/>
            <w:vAlign w:val="center"/>
            <w:hideMark/>
          </w:tcPr>
          <w:p w14:paraId="69244AA4" w14:textId="77777777" w:rsidR="00000000" w:rsidRDefault="00195E73">
            <w:pPr>
              <w:rPr>
                <w:rFonts w:eastAsia="Times New Roman"/>
                <w:sz w:val="20"/>
                <w:szCs w:val="20"/>
              </w:rPr>
            </w:pPr>
          </w:p>
        </w:tc>
        <w:tc>
          <w:tcPr>
            <w:tcW w:w="50" w:type="pct"/>
            <w:vAlign w:val="center"/>
            <w:hideMark/>
          </w:tcPr>
          <w:p w14:paraId="30507675" w14:textId="77777777" w:rsidR="00000000" w:rsidRDefault="00195E73">
            <w:pPr>
              <w:rPr>
                <w:rFonts w:eastAsia="Times New Roman"/>
                <w:sz w:val="20"/>
                <w:szCs w:val="20"/>
              </w:rPr>
            </w:pPr>
          </w:p>
        </w:tc>
        <w:tc>
          <w:tcPr>
            <w:tcW w:w="303" w:type="pct"/>
            <w:vAlign w:val="center"/>
            <w:hideMark/>
          </w:tcPr>
          <w:p w14:paraId="19DD2A2B" w14:textId="77777777" w:rsidR="00000000" w:rsidRDefault="00195E73">
            <w:pPr>
              <w:rPr>
                <w:rFonts w:eastAsia="Times New Roman"/>
                <w:sz w:val="20"/>
                <w:szCs w:val="20"/>
              </w:rPr>
            </w:pPr>
          </w:p>
        </w:tc>
        <w:tc>
          <w:tcPr>
            <w:tcW w:w="50" w:type="pct"/>
            <w:vAlign w:val="center"/>
            <w:hideMark/>
          </w:tcPr>
          <w:p w14:paraId="54A767EC" w14:textId="77777777" w:rsidR="00000000" w:rsidRDefault="00195E73">
            <w:pPr>
              <w:rPr>
                <w:rFonts w:eastAsia="Times New Roman"/>
                <w:sz w:val="20"/>
                <w:szCs w:val="20"/>
              </w:rPr>
            </w:pPr>
          </w:p>
        </w:tc>
        <w:tc>
          <w:tcPr>
            <w:tcW w:w="5" w:type="pct"/>
            <w:vAlign w:val="center"/>
            <w:hideMark/>
          </w:tcPr>
          <w:p w14:paraId="354A9A55" w14:textId="77777777" w:rsidR="00000000" w:rsidRDefault="00195E73">
            <w:pPr>
              <w:rPr>
                <w:rFonts w:eastAsia="Times New Roman"/>
                <w:sz w:val="20"/>
                <w:szCs w:val="20"/>
              </w:rPr>
            </w:pPr>
          </w:p>
        </w:tc>
        <w:tc>
          <w:tcPr>
            <w:tcW w:w="26" w:type="pct"/>
            <w:vAlign w:val="center"/>
            <w:hideMark/>
          </w:tcPr>
          <w:p w14:paraId="0A0F814E" w14:textId="77777777" w:rsidR="00000000" w:rsidRDefault="00195E73">
            <w:pPr>
              <w:rPr>
                <w:rFonts w:eastAsia="Times New Roman"/>
                <w:sz w:val="20"/>
                <w:szCs w:val="20"/>
              </w:rPr>
            </w:pPr>
          </w:p>
        </w:tc>
        <w:tc>
          <w:tcPr>
            <w:tcW w:w="5" w:type="pct"/>
            <w:vAlign w:val="center"/>
            <w:hideMark/>
          </w:tcPr>
          <w:p w14:paraId="0FE03952" w14:textId="77777777" w:rsidR="00000000" w:rsidRDefault="00195E73">
            <w:pPr>
              <w:rPr>
                <w:rFonts w:eastAsia="Times New Roman"/>
                <w:sz w:val="20"/>
                <w:szCs w:val="20"/>
              </w:rPr>
            </w:pPr>
          </w:p>
        </w:tc>
        <w:tc>
          <w:tcPr>
            <w:tcW w:w="50" w:type="pct"/>
            <w:vAlign w:val="center"/>
            <w:hideMark/>
          </w:tcPr>
          <w:p w14:paraId="2803CA2B" w14:textId="77777777" w:rsidR="00000000" w:rsidRDefault="00195E73">
            <w:pPr>
              <w:rPr>
                <w:rFonts w:eastAsia="Times New Roman"/>
                <w:sz w:val="20"/>
                <w:szCs w:val="20"/>
              </w:rPr>
            </w:pPr>
          </w:p>
        </w:tc>
        <w:tc>
          <w:tcPr>
            <w:tcW w:w="288" w:type="pct"/>
            <w:vAlign w:val="center"/>
            <w:hideMark/>
          </w:tcPr>
          <w:p w14:paraId="346FA31F" w14:textId="77777777" w:rsidR="00000000" w:rsidRDefault="00195E73">
            <w:pPr>
              <w:rPr>
                <w:rFonts w:eastAsia="Times New Roman"/>
                <w:sz w:val="20"/>
                <w:szCs w:val="20"/>
              </w:rPr>
            </w:pPr>
          </w:p>
        </w:tc>
        <w:tc>
          <w:tcPr>
            <w:tcW w:w="50" w:type="pct"/>
            <w:vAlign w:val="center"/>
            <w:hideMark/>
          </w:tcPr>
          <w:p w14:paraId="39D1AB63" w14:textId="77777777" w:rsidR="00000000" w:rsidRDefault="00195E73">
            <w:pPr>
              <w:rPr>
                <w:rFonts w:eastAsia="Times New Roman"/>
                <w:sz w:val="20"/>
                <w:szCs w:val="20"/>
              </w:rPr>
            </w:pPr>
          </w:p>
        </w:tc>
        <w:tc>
          <w:tcPr>
            <w:tcW w:w="5" w:type="pct"/>
            <w:vAlign w:val="center"/>
            <w:hideMark/>
          </w:tcPr>
          <w:p w14:paraId="3BA8C79D" w14:textId="77777777" w:rsidR="00000000" w:rsidRDefault="00195E73">
            <w:pPr>
              <w:rPr>
                <w:rFonts w:eastAsia="Times New Roman"/>
                <w:sz w:val="20"/>
                <w:szCs w:val="20"/>
              </w:rPr>
            </w:pPr>
          </w:p>
        </w:tc>
        <w:tc>
          <w:tcPr>
            <w:tcW w:w="26" w:type="pct"/>
            <w:vAlign w:val="center"/>
            <w:hideMark/>
          </w:tcPr>
          <w:p w14:paraId="54FE92EC" w14:textId="77777777" w:rsidR="00000000" w:rsidRDefault="00195E73">
            <w:pPr>
              <w:rPr>
                <w:rFonts w:eastAsia="Times New Roman"/>
                <w:sz w:val="20"/>
                <w:szCs w:val="20"/>
              </w:rPr>
            </w:pPr>
          </w:p>
        </w:tc>
        <w:tc>
          <w:tcPr>
            <w:tcW w:w="5" w:type="pct"/>
            <w:vAlign w:val="center"/>
            <w:hideMark/>
          </w:tcPr>
          <w:p w14:paraId="45574D1D" w14:textId="77777777" w:rsidR="00000000" w:rsidRDefault="00195E73">
            <w:pPr>
              <w:rPr>
                <w:rFonts w:eastAsia="Times New Roman"/>
                <w:sz w:val="20"/>
                <w:szCs w:val="20"/>
              </w:rPr>
            </w:pPr>
          </w:p>
        </w:tc>
        <w:tc>
          <w:tcPr>
            <w:tcW w:w="50" w:type="pct"/>
            <w:vAlign w:val="center"/>
            <w:hideMark/>
          </w:tcPr>
          <w:p w14:paraId="41362229" w14:textId="77777777" w:rsidR="00000000" w:rsidRDefault="00195E73">
            <w:pPr>
              <w:rPr>
                <w:rFonts w:eastAsia="Times New Roman"/>
                <w:sz w:val="20"/>
                <w:szCs w:val="20"/>
              </w:rPr>
            </w:pPr>
          </w:p>
        </w:tc>
        <w:tc>
          <w:tcPr>
            <w:tcW w:w="303" w:type="pct"/>
            <w:vAlign w:val="center"/>
            <w:hideMark/>
          </w:tcPr>
          <w:p w14:paraId="54C94374" w14:textId="77777777" w:rsidR="00000000" w:rsidRDefault="00195E73">
            <w:pPr>
              <w:rPr>
                <w:rFonts w:eastAsia="Times New Roman"/>
                <w:sz w:val="20"/>
                <w:szCs w:val="20"/>
              </w:rPr>
            </w:pPr>
          </w:p>
        </w:tc>
        <w:tc>
          <w:tcPr>
            <w:tcW w:w="50" w:type="pct"/>
            <w:vAlign w:val="center"/>
            <w:hideMark/>
          </w:tcPr>
          <w:p w14:paraId="482D9AB2" w14:textId="77777777" w:rsidR="00000000" w:rsidRDefault="00195E73">
            <w:pPr>
              <w:rPr>
                <w:rFonts w:eastAsia="Times New Roman"/>
                <w:sz w:val="20"/>
                <w:szCs w:val="20"/>
              </w:rPr>
            </w:pPr>
          </w:p>
        </w:tc>
        <w:tc>
          <w:tcPr>
            <w:tcW w:w="5" w:type="pct"/>
            <w:vAlign w:val="center"/>
            <w:hideMark/>
          </w:tcPr>
          <w:p w14:paraId="18948B8A" w14:textId="77777777" w:rsidR="00000000" w:rsidRDefault="00195E73">
            <w:pPr>
              <w:rPr>
                <w:rFonts w:eastAsia="Times New Roman"/>
                <w:sz w:val="20"/>
                <w:szCs w:val="20"/>
              </w:rPr>
            </w:pPr>
          </w:p>
        </w:tc>
        <w:tc>
          <w:tcPr>
            <w:tcW w:w="26" w:type="pct"/>
            <w:vAlign w:val="center"/>
            <w:hideMark/>
          </w:tcPr>
          <w:p w14:paraId="15B9DDB0" w14:textId="77777777" w:rsidR="00000000" w:rsidRDefault="00195E73">
            <w:pPr>
              <w:rPr>
                <w:rFonts w:eastAsia="Times New Roman"/>
                <w:sz w:val="20"/>
                <w:szCs w:val="20"/>
              </w:rPr>
            </w:pPr>
          </w:p>
        </w:tc>
        <w:tc>
          <w:tcPr>
            <w:tcW w:w="5" w:type="pct"/>
            <w:vAlign w:val="center"/>
            <w:hideMark/>
          </w:tcPr>
          <w:p w14:paraId="167A7764" w14:textId="77777777" w:rsidR="00000000" w:rsidRDefault="00195E73">
            <w:pPr>
              <w:rPr>
                <w:rFonts w:eastAsia="Times New Roman"/>
                <w:sz w:val="20"/>
                <w:szCs w:val="20"/>
              </w:rPr>
            </w:pPr>
          </w:p>
        </w:tc>
        <w:tc>
          <w:tcPr>
            <w:tcW w:w="50" w:type="pct"/>
            <w:vAlign w:val="center"/>
            <w:hideMark/>
          </w:tcPr>
          <w:p w14:paraId="7342F19F" w14:textId="77777777" w:rsidR="00000000" w:rsidRDefault="00195E73">
            <w:pPr>
              <w:rPr>
                <w:rFonts w:eastAsia="Times New Roman"/>
                <w:sz w:val="20"/>
                <w:szCs w:val="20"/>
              </w:rPr>
            </w:pPr>
          </w:p>
        </w:tc>
        <w:tc>
          <w:tcPr>
            <w:tcW w:w="318" w:type="pct"/>
            <w:vAlign w:val="center"/>
            <w:hideMark/>
          </w:tcPr>
          <w:p w14:paraId="6A3C46BD" w14:textId="77777777" w:rsidR="00000000" w:rsidRDefault="00195E73">
            <w:pPr>
              <w:rPr>
                <w:rFonts w:eastAsia="Times New Roman"/>
                <w:sz w:val="20"/>
                <w:szCs w:val="20"/>
              </w:rPr>
            </w:pPr>
          </w:p>
        </w:tc>
        <w:tc>
          <w:tcPr>
            <w:tcW w:w="50" w:type="pct"/>
            <w:vAlign w:val="center"/>
            <w:hideMark/>
          </w:tcPr>
          <w:p w14:paraId="2572A2BE" w14:textId="77777777" w:rsidR="00000000" w:rsidRDefault="00195E73">
            <w:pPr>
              <w:rPr>
                <w:rFonts w:eastAsia="Times New Roman"/>
                <w:sz w:val="20"/>
                <w:szCs w:val="20"/>
              </w:rPr>
            </w:pPr>
          </w:p>
        </w:tc>
      </w:tr>
      <w:tr w:rsidR="00000000" w14:paraId="04404B1D" w14:textId="77777777">
        <w:trPr>
          <w:divId w:val="850291618"/>
        </w:trPr>
        <w:tc>
          <w:tcPr>
            <w:tcW w:w="0" w:type="auto"/>
            <w:gridSpan w:val="3"/>
            <w:tcMar>
              <w:top w:w="15" w:type="dxa"/>
              <w:left w:w="20" w:type="dxa"/>
              <w:bottom w:w="15" w:type="dxa"/>
              <w:right w:w="20" w:type="dxa"/>
            </w:tcMar>
            <w:vAlign w:val="bottom"/>
            <w:hideMark/>
          </w:tcPr>
          <w:p w14:paraId="00A1DB5A" w14:textId="77777777" w:rsidR="00000000" w:rsidRDefault="00195E73">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5C68B667" w14:textId="77777777" w:rsidR="00000000" w:rsidRDefault="00195E73">
            <w:pPr>
              <w:jc w:val="center"/>
              <w:rPr>
                <w:rFonts w:eastAsia="Times New Roman"/>
              </w:rPr>
            </w:pPr>
            <w:r>
              <w:rPr>
                <w:rFonts w:eastAsia="Times New Roman"/>
                <w:b/>
                <w:bCs/>
                <w:color w:val="000000"/>
                <w:sz w:val="20"/>
                <w:szCs w:val="20"/>
              </w:rPr>
              <w:t>Revenue</w:t>
            </w:r>
            <w:r>
              <w:rPr>
                <w:rFonts w:eastAsia="Times New Roman"/>
                <w:b/>
                <w:bCs/>
                <w:color w:val="000000"/>
                <w:sz w:val="20"/>
                <w:szCs w:val="20"/>
              </w:rPr>
              <w:t>s</w:t>
            </w:r>
          </w:p>
        </w:tc>
        <w:tc>
          <w:tcPr>
            <w:tcW w:w="0" w:type="auto"/>
            <w:gridSpan w:val="3"/>
            <w:vAlign w:val="center"/>
            <w:hideMark/>
          </w:tcPr>
          <w:p w14:paraId="382A7BCA" w14:textId="77777777" w:rsidR="00000000" w:rsidRDefault="00195E73">
            <w:pPr>
              <w:jc w:val="center"/>
              <w:rPr>
                <w:rFonts w:eastAsia="Times New Roman"/>
              </w:rPr>
            </w:pPr>
          </w:p>
        </w:tc>
        <w:tc>
          <w:tcPr>
            <w:tcW w:w="0" w:type="auto"/>
            <w:gridSpan w:val="3"/>
            <w:vAlign w:val="center"/>
            <w:hideMark/>
          </w:tcPr>
          <w:p w14:paraId="50DBC8AD" w14:textId="77777777" w:rsidR="00000000" w:rsidRDefault="00195E73">
            <w:pPr>
              <w:rPr>
                <w:rFonts w:eastAsia="Times New Roman"/>
                <w:sz w:val="20"/>
                <w:szCs w:val="20"/>
              </w:rPr>
            </w:pPr>
          </w:p>
        </w:tc>
        <w:tc>
          <w:tcPr>
            <w:tcW w:w="0" w:type="auto"/>
            <w:gridSpan w:val="3"/>
            <w:vAlign w:val="center"/>
            <w:hideMark/>
          </w:tcPr>
          <w:p w14:paraId="1AAE7BF4" w14:textId="77777777" w:rsidR="00000000" w:rsidRDefault="00195E73">
            <w:pPr>
              <w:rPr>
                <w:rFonts w:eastAsia="Times New Roman"/>
                <w:sz w:val="20"/>
                <w:szCs w:val="20"/>
              </w:rPr>
            </w:pPr>
          </w:p>
        </w:tc>
        <w:tc>
          <w:tcPr>
            <w:tcW w:w="0" w:type="auto"/>
            <w:gridSpan w:val="3"/>
            <w:vAlign w:val="center"/>
            <w:hideMark/>
          </w:tcPr>
          <w:p w14:paraId="32D5F0B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4809BB5" w14:textId="77777777" w:rsidR="00000000" w:rsidRDefault="00195E73">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64E258ED" w14:textId="77777777" w:rsidR="00000000" w:rsidRDefault="00195E73">
            <w:pPr>
              <w:jc w:val="center"/>
              <w:rPr>
                <w:rFonts w:eastAsia="Times New Roman"/>
              </w:rPr>
            </w:pPr>
            <w:r>
              <w:rPr>
                <w:rFonts w:eastAsia="Times New Roman"/>
                <w:b/>
                <w:bCs/>
                <w:color w:val="000000"/>
                <w:sz w:val="20"/>
                <w:szCs w:val="20"/>
              </w:rPr>
              <w:t>Net Income (Loss) From Continuing Operation</w:t>
            </w:r>
            <w:r>
              <w:rPr>
                <w:rFonts w:eastAsia="Times New Roman"/>
                <w:b/>
                <w:bCs/>
                <w:color w:val="000000"/>
                <w:sz w:val="20"/>
                <w:szCs w:val="20"/>
              </w:rPr>
              <w:t>s</w:t>
            </w:r>
          </w:p>
        </w:tc>
        <w:tc>
          <w:tcPr>
            <w:tcW w:w="0" w:type="auto"/>
            <w:gridSpan w:val="3"/>
            <w:vAlign w:val="center"/>
            <w:hideMark/>
          </w:tcPr>
          <w:p w14:paraId="5A7A64B2" w14:textId="77777777" w:rsidR="00000000" w:rsidRDefault="00195E73">
            <w:pPr>
              <w:jc w:val="center"/>
              <w:rPr>
                <w:rFonts w:eastAsia="Times New Roman"/>
              </w:rPr>
            </w:pPr>
          </w:p>
        </w:tc>
        <w:tc>
          <w:tcPr>
            <w:tcW w:w="0" w:type="auto"/>
            <w:gridSpan w:val="3"/>
            <w:vAlign w:val="center"/>
            <w:hideMark/>
          </w:tcPr>
          <w:p w14:paraId="2475F062" w14:textId="77777777" w:rsidR="00000000" w:rsidRDefault="00195E73">
            <w:pPr>
              <w:rPr>
                <w:rFonts w:eastAsia="Times New Roman"/>
                <w:sz w:val="20"/>
                <w:szCs w:val="20"/>
              </w:rPr>
            </w:pPr>
          </w:p>
        </w:tc>
        <w:tc>
          <w:tcPr>
            <w:tcW w:w="0" w:type="auto"/>
            <w:gridSpan w:val="3"/>
            <w:vAlign w:val="center"/>
            <w:hideMark/>
          </w:tcPr>
          <w:p w14:paraId="5B93B2C5" w14:textId="77777777" w:rsidR="00000000" w:rsidRDefault="00195E73">
            <w:pPr>
              <w:rPr>
                <w:rFonts w:eastAsia="Times New Roman"/>
                <w:sz w:val="20"/>
                <w:szCs w:val="20"/>
              </w:rPr>
            </w:pPr>
          </w:p>
        </w:tc>
        <w:tc>
          <w:tcPr>
            <w:tcW w:w="0" w:type="auto"/>
            <w:gridSpan w:val="3"/>
            <w:vAlign w:val="center"/>
            <w:hideMark/>
          </w:tcPr>
          <w:p w14:paraId="4C3E213B" w14:textId="77777777" w:rsidR="00000000" w:rsidRDefault="00195E73">
            <w:pPr>
              <w:rPr>
                <w:rFonts w:eastAsia="Times New Roman"/>
                <w:sz w:val="20"/>
                <w:szCs w:val="20"/>
              </w:rPr>
            </w:pPr>
          </w:p>
        </w:tc>
        <w:tc>
          <w:tcPr>
            <w:tcW w:w="0" w:type="auto"/>
            <w:gridSpan w:val="2"/>
            <w:tcMar>
              <w:top w:w="15" w:type="dxa"/>
              <w:left w:w="20" w:type="dxa"/>
              <w:bottom w:w="15" w:type="dxa"/>
              <w:right w:w="20" w:type="dxa"/>
            </w:tcMar>
            <w:vAlign w:val="bottom"/>
            <w:hideMark/>
          </w:tcPr>
          <w:p w14:paraId="068DC355" w14:textId="77777777" w:rsidR="00000000" w:rsidRDefault="00195E73">
            <w:pPr>
              <w:rPr>
                <w:rFonts w:eastAsia="Times New Roman"/>
                <w:sz w:val="20"/>
                <w:szCs w:val="20"/>
              </w:rPr>
            </w:pPr>
          </w:p>
        </w:tc>
        <w:tc>
          <w:tcPr>
            <w:tcW w:w="0" w:type="auto"/>
            <w:tcBorders>
              <w:bottom w:val="single" w:sz="8" w:space="0" w:color="000000"/>
            </w:tcBorders>
            <w:tcMar>
              <w:top w:w="30" w:type="dxa"/>
              <w:left w:w="20" w:type="dxa"/>
              <w:bottom w:w="30" w:type="dxa"/>
              <w:right w:w="20" w:type="dxa"/>
            </w:tcMar>
            <w:vAlign w:val="bottom"/>
            <w:hideMark/>
          </w:tcPr>
          <w:p w14:paraId="078B40C4" w14:textId="77777777" w:rsidR="00000000" w:rsidRDefault="00195E73">
            <w:pPr>
              <w:jc w:val="center"/>
              <w:rPr>
                <w:rFonts w:eastAsia="Times New Roman"/>
              </w:rPr>
            </w:pPr>
            <w:r>
              <w:rPr>
                <w:rFonts w:eastAsia="Times New Roman"/>
                <w:b/>
                <w:bCs/>
                <w:color w:val="000000"/>
                <w:sz w:val="20"/>
                <w:szCs w:val="20"/>
              </w:rPr>
              <w:t>Net Income (Loss) From Continuing Operations Attributable to Icahn Enterprise</w:t>
            </w:r>
            <w:r>
              <w:rPr>
                <w:rFonts w:eastAsia="Times New Roman"/>
                <w:b/>
                <w:bCs/>
                <w:color w:val="000000"/>
                <w:sz w:val="20"/>
                <w:szCs w:val="20"/>
              </w:rPr>
              <w:t>s</w:t>
            </w:r>
          </w:p>
        </w:tc>
      </w:tr>
      <w:tr w:rsidR="00000000" w14:paraId="5D544C96" w14:textId="77777777">
        <w:trPr>
          <w:divId w:val="850291618"/>
        </w:trPr>
        <w:tc>
          <w:tcPr>
            <w:tcW w:w="0" w:type="auto"/>
            <w:gridSpan w:val="3"/>
            <w:tcMar>
              <w:top w:w="15" w:type="dxa"/>
              <w:left w:w="20" w:type="dxa"/>
              <w:bottom w:w="15" w:type="dxa"/>
              <w:right w:w="20" w:type="dxa"/>
            </w:tcMar>
            <w:vAlign w:val="bottom"/>
            <w:hideMark/>
          </w:tcPr>
          <w:p w14:paraId="318E5BF2" w14:textId="77777777" w:rsidR="00000000" w:rsidRDefault="00195E73">
            <w:pPr>
              <w:jc w:val="center"/>
              <w:rPr>
                <w:rFonts w:eastAsia="Times New Roman"/>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14:paraId="3D6A2689"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2C552485" w14:textId="77777777" w:rsidR="00000000" w:rsidRDefault="00195E73">
            <w:pPr>
              <w:jc w:val="center"/>
              <w:rPr>
                <w:rFonts w:eastAsia="Times New Roman"/>
              </w:rPr>
            </w:pPr>
          </w:p>
        </w:tc>
        <w:tc>
          <w:tcPr>
            <w:tcW w:w="0" w:type="auto"/>
            <w:gridSpan w:val="3"/>
            <w:vAlign w:val="center"/>
            <w:hideMark/>
          </w:tcPr>
          <w:p w14:paraId="5966D87C" w14:textId="77777777" w:rsidR="00000000" w:rsidRDefault="00195E73">
            <w:pPr>
              <w:rPr>
                <w:rFonts w:eastAsia="Times New Roman"/>
                <w:sz w:val="20"/>
                <w:szCs w:val="20"/>
              </w:rPr>
            </w:pPr>
          </w:p>
        </w:tc>
        <w:tc>
          <w:tcPr>
            <w:tcW w:w="0" w:type="auto"/>
            <w:gridSpan w:val="3"/>
            <w:vAlign w:val="center"/>
            <w:hideMark/>
          </w:tcPr>
          <w:p w14:paraId="598BE28A" w14:textId="77777777" w:rsidR="00000000" w:rsidRDefault="00195E73">
            <w:pPr>
              <w:rPr>
                <w:rFonts w:eastAsia="Times New Roman"/>
                <w:sz w:val="20"/>
                <w:szCs w:val="20"/>
              </w:rPr>
            </w:pPr>
          </w:p>
        </w:tc>
        <w:tc>
          <w:tcPr>
            <w:tcW w:w="0" w:type="auto"/>
            <w:gridSpan w:val="3"/>
            <w:vAlign w:val="center"/>
            <w:hideMark/>
          </w:tcPr>
          <w:p w14:paraId="667EABA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48B6E73" w14:textId="77777777" w:rsidR="00000000" w:rsidRDefault="00195E73">
            <w:pPr>
              <w:rPr>
                <w:rFonts w:eastAsia="Times New Roman"/>
                <w:sz w:val="20"/>
                <w:szCs w:val="20"/>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14:paraId="1418EA47"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1AE0579F" w14:textId="77777777" w:rsidR="00000000" w:rsidRDefault="00195E73">
            <w:pPr>
              <w:jc w:val="center"/>
              <w:rPr>
                <w:rFonts w:eastAsia="Times New Roman"/>
              </w:rPr>
            </w:pPr>
          </w:p>
        </w:tc>
        <w:tc>
          <w:tcPr>
            <w:tcW w:w="0" w:type="auto"/>
            <w:gridSpan w:val="3"/>
            <w:vAlign w:val="center"/>
            <w:hideMark/>
          </w:tcPr>
          <w:p w14:paraId="2B8E4096" w14:textId="77777777" w:rsidR="00000000" w:rsidRDefault="00195E73">
            <w:pPr>
              <w:rPr>
                <w:rFonts w:eastAsia="Times New Roman"/>
                <w:sz w:val="20"/>
                <w:szCs w:val="20"/>
              </w:rPr>
            </w:pPr>
          </w:p>
        </w:tc>
        <w:tc>
          <w:tcPr>
            <w:tcW w:w="0" w:type="auto"/>
            <w:gridSpan w:val="3"/>
            <w:vAlign w:val="center"/>
            <w:hideMark/>
          </w:tcPr>
          <w:p w14:paraId="0B507B75" w14:textId="77777777" w:rsidR="00000000" w:rsidRDefault="00195E73">
            <w:pPr>
              <w:rPr>
                <w:rFonts w:eastAsia="Times New Roman"/>
                <w:sz w:val="20"/>
                <w:szCs w:val="20"/>
              </w:rPr>
            </w:pPr>
          </w:p>
        </w:tc>
        <w:tc>
          <w:tcPr>
            <w:tcW w:w="0" w:type="auto"/>
            <w:gridSpan w:val="3"/>
            <w:vAlign w:val="center"/>
            <w:hideMark/>
          </w:tcPr>
          <w:p w14:paraId="299CFD7D"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06B570EA" w14:textId="77777777" w:rsidR="00000000" w:rsidRDefault="00195E73">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20" w:type="dxa"/>
            </w:tcMar>
            <w:vAlign w:val="bottom"/>
            <w:hideMark/>
          </w:tcPr>
          <w:p w14:paraId="79B985F0"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r>
      <w:tr w:rsidR="00000000" w14:paraId="7E14B252" w14:textId="77777777">
        <w:trPr>
          <w:divId w:val="850291618"/>
        </w:trPr>
        <w:tc>
          <w:tcPr>
            <w:tcW w:w="0" w:type="auto"/>
            <w:gridSpan w:val="3"/>
            <w:tcMar>
              <w:top w:w="15" w:type="dxa"/>
              <w:left w:w="20" w:type="dxa"/>
              <w:bottom w:w="15" w:type="dxa"/>
              <w:right w:w="20" w:type="dxa"/>
            </w:tcMar>
            <w:vAlign w:val="bottom"/>
            <w:hideMark/>
          </w:tcPr>
          <w:p w14:paraId="060AEED6"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794123"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02C4BAC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03F1147"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1E86C39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30A2676"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gridSpan w:val="3"/>
            <w:tcMar>
              <w:top w:w="15" w:type="dxa"/>
              <w:left w:w="20" w:type="dxa"/>
              <w:bottom w:w="15" w:type="dxa"/>
              <w:right w:w="20" w:type="dxa"/>
            </w:tcMar>
            <w:vAlign w:val="bottom"/>
            <w:hideMark/>
          </w:tcPr>
          <w:p w14:paraId="277255F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85870B8"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23E91F1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15A331C"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3C6781C7"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9EA898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gridSpan w:val="3"/>
            <w:tcMar>
              <w:top w:w="15" w:type="dxa"/>
              <w:left w:w="20" w:type="dxa"/>
              <w:bottom w:w="15" w:type="dxa"/>
              <w:right w:w="20" w:type="dxa"/>
            </w:tcMar>
            <w:vAlign w:val="bottom"/>
            <w:hideMark/>
          </w:tcPr>
          <w:p w14:paraId="65AA0E6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7F66406"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52680A47"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C5F264C"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694D3003"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37CD6A"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64D02BAE" w14:textId="77777777" w:rsidR="00000000" w:rsidRDefault="00195E73">
            <w:pPr>
              <w:rPr>
                <w:rFonts w:eastAsia="Times New Roman"/>
                <w:sz w:val="20"/>
                <w:szCs w:val="20"/>
              </w:rPr>
            </w:pPr>
          </w:p>
        </w:tc>
        <w:tc>
          <w:tcPr>
            <w:tcW w:w="0" w:type="auto"/>
            <w:vAlign w:val="center"/>
            <w:hideMark/>
          </w:tcPr>
          <w:p w14:paraId="212899B0" w14:textId="77777777" w:rsidR="00000000" w:rsidRDefault="00195E73">
            <w:pPr>
              <w:rPr>
                <w:rFonts w:eastAsia="Times New Roman"/>
                <w:sz w:val="20"/>
                <w:szCs w:val="20"/>
              </w:rPr>
            </w:pPr>
          </w:p>
        </w:tc>
        <w:tc>
          <w:tcPr>
            <w:tcW w:w="0" w:type="auto"/>
            <w:vAlign w:val="center"/>
            <w:hideMark/>
          </w:tcPr>
          <w:p w14:paraId="2D9CC8DC" w14:textId="77777777" w:rsidR="00000000" w:rsidRDefault="00195E73">
            <w:pPr>
              <w:rPr>
                <w:rFonts w:eastAsia="Times New Roman"/>
                <w:sz w:val="20"/>
                <w:szCs w:val="20"/>
              </w:rPr>
            </w:pPr>
          </w:p>
        </w:tc>
        <w:tc>
          <w:tcPr>
            <w:tcW w:w="0" w:type="auto"/>
            <w:vAlign w:val="center"/>
            <w:hideMark/>
          </w:tcPr>
          <w:p w14:paraId="72D2642E" w14:textId="77777777" w:rsidR="00000000" w:rsidRDefault="00195E73">
            <w:pPr>
              <w:rPr>
                <w:rFonts w:eastAsia="Times New Roman"/>
                <w:sz w:val="20"/>
                <w:szCs w:val="20"/>
              </w:rPr>
            </w:pPr>
          </w:p>
        </w:tc>
        <w:tc>
          <w:tcPr>
            <w:tcW w:w="0" w:type="auto"/>
            <w:vAlign w:val="center"/>
            <w:hideMark/>
          </w:tcPr>
          <w:p w14:paraId="0C5A24C3" w14:textId="77777777" w:rsidR="00000000" w:rsidRDefault="00195E73">
            <w:pPr>
              <w:rPr>
                <w:rFonts w:eastAsia="Times New Roman"/>
                <w:sz w:val="20"/>
                <w:szCs w:val="20"/>
              </w:rPr>
            </w:pPr>
          </w:p>
        </w:tc>
        <w:tc>
          <w:tcPr>
            <w:tcW w:w="0" w:type="auto"/>
            <w:vAlign w:val="center"/>
            <w:hideMark/>
          </w:tcPr>
          <w:p w14:paraId="7940FD9D" w14:textId="77777777" w:rsidR="00000000" w:rsidRDefault="00195E73">
            <w:pPr>
              <w:rPr>
                <w:rFonts w:eastAsia="Times New Roman"/>
                <w:sz w:val="20"/>
                <w:szCs w:val="20"/>
              </w:rPr>
            </w:pPr>
          </w:p>
        </w:tc>
        <w:tc>
          <w:tcPr>
            <w:tcW w:w="0" w:type="auto"/>
            <w:vAlign w:val="center"/>
            <w:hideMark/>
          </w:tcPr>
          <w:p w14:paraId="4D4E79C1" w14:textId="77777777" w:rsidR="00000000" w:rsidRDefault="00195E73">
            <w:pPr>
              <w:rPr>
                <w:rFonts w:eastAsia="Times New Roman"/>
                <w:sz w:val="20"/>
                <w:szCs w:val="20"/>
              </w:rPr>
            </w:pPr>
          </w:p>
        </w:tc>
        <w:tc>
          <w:tcPr>
            <w:tcW w:w="0" w:type="auto"/>
            <w:vAlign w:val="center"/>
            <w:hideMark/>
          </w:tcPr>
          <w:p w14:paraId="56A1B58E" w14:textId="77777777" w:rsidR="00000000" w:rsidRDefault="00195E73">
            <w:pPr>
              <w:rPr>
                <w:rFonts w:eastAsia="Times New Roman"/>
                <w:sz w:val="20"/>
                <w:szCs w:val="20"/>
              </w:rPr>
            </w:pPr>
          </w:p>
        </w:tc>
        <w:tc>
          <w:tcPr>
            <w:tcW w:w="0" w:type="auto"/>
            <w:vAlign w:val="center"/>
            <w:hideMark/>
          </w:tcPr>
          <w:p w14:paraId="14BEFDA0" w14:textId="77777777" w:rsidR="00000000" w:rsidRDefault="00195E73">
            <w:pPr>
              <w:rPr>
                <w:rFonts w:eastAsia="Times New Roman"/>
                <w:sz w:val="20"/>
                <w:szCs w:val="20"/>
              </w:rPr>
            </w:pPr>
          </w:p>
        </w:tc>
      </w:tr>
      <w:tr w:rsidR="00000000" w14:paraId="0D22D9AE" w14:textId="77777777">
        <w:trPr>
          <w:divId w:val="850291618"/>
        </w:trPr>
        <w:tc>
          <w:tcPr>
            <w:tcW w:w="0" w:type="auto"/>
            <w:gridSpan w:val="3"/>
            <w:tcMar>
              <w:top w:w="15" w:type="dxa"/>
              <w:left w:w="20" w:type="dxa"/>
              <w:bottom w:w="15" w:type="dxa"/>
              <w:right w:w="20" w:type="dxa"/>
            </w:tcMar>
            <w:vAlign w:val="bottom"/>
            <w:hideMark/>
          </w:tcPr>
          <w:p w14:paraId="7B09F3C3" w14:textId="77777777" w:rsidR="00000000" w:rsidRDefault="00195E73">
            <w:pPr>
              <w:jc w:val="center"/>
              <w:rPr>
                <w:rFonts w:eastAsia="Times New Roman"/>
              </w:rPr>
            </w:pPr>
          </w:p>
        </w:tc>
        <w:tc>
          <w:tcPr>
            <w:tcW w:w="0" w:type="auto"/>
            <w:gridSpan w:val="50"/>
            <w:tcBorders>
              <w:top w:val="single" w:sz="8" w:space="0" w:color="000000"/>
            </w:tcBorders>
            <w:tcMar>
              <w:top w:w="30" w:type="dxa"/>
              <w:left w:w="20" w:type="dxa"/>
              <w:bottom w:w="30" w:type="dxa"/>
              <w:right w:w="0" w:type="dxa"/>
            </w:tcMar>
            <w:vAlign w:val="bottom"/>
            <w:hideMark/>
          </w:tcPr>
          <w:p w14:paraId="47D98955"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7F7667B4"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7C755ED2" w14:textId="77777777" w:rsidR="00000000" w:rsidRDefault="00195E73">
            <w:pPr>
              <w:jc w:val="right"/>
              <w:rPr>
                <w:rFonts w:eastAsia="Times New Roman"/>
              </w:rPr>
            </w:pPr>
          </w:p>
        </w:tc>
        <w:tc>
          <w:tcPr>
            <w:tcW w:w="0" w:type="auto"/>
            <w:gridSpan w:val="3"/>
            <w:vAlign w:val="center"/>
            <w:hideMark/>
          </w:tcPr>
          <w:p w14:paraId="3DC39700" w14:textId="77777777" w:rsidR="00000000" w:rsidRDefault="00195E73">
            <w:pPr>
              <w:rPr>
                <w:rFonts w:eastAsia="Times New Roman"/>
                <w:sz w:val="20"/>
                <w:szCs w:val="20"/>
              </w:rPr>
            </w:pPr>
          </w:p>
        </w:tc>
        <w:tc>
          <w:tcPr>
            <w:tcW w:w="0" w:type="auto"/>
            <w:gridSpan w:val="2"/>
            <w:vAlign w:val="center"/>
            <w:hideMark/>
          </w:tcPr>
          <w:p w14:paraId="1384A675" w14:textId="77777777" w:rsidR="00000000" w:rsidRDefault="00195E73">
            <w:pPr>
              <w:rPr>
                <w:rFonts w:eastAsia="Times New Roman"/>
                <w:sz w:val="20"/>
                <w:szCs w:val="20"/>
              </w:rPr>
            </w:pPr>
          </w:p>
        </w:tc>
        <w:tc>
          <w:tcPr>
            <w:tcW w:w="0" w:type="auto"/>
            <w:vAlign w:val="center"/>
            <w:hideMark/>
          </w:tcPr>
          <w:p w14:paraId="62F2869B" w14:textId="77777777" w:rsidR="00000000" w:rsidRDefault="00195E73">
            <w:pPr>
              <w:rPr>
                <w:rFonts w:eastAsia="Times New Roman"/>
                <w:sz w:val="20"/>
                <w:szCs w:val="20"/>
              </w:rPr>
            </w:pPr>
          </w:p>
        </w:tc>
      </w:tr>
      <w:tr w:rsidR="00195E73" w14:paraId="2F9AEAC0" w14:textId="77777777">
        <w:trPr>
          <w:divId w:val="850291618"/>
        </w:trPr>
        <w:tc>
          <w:tcPr>
            <w:tcW w:w="0" w:type="auto"/>
            <w:gridSpan w:val="3"/>
            <w:shd w:val="clear" w:color="auto" w:fill="CCEEFF"/>
            <w:tcMar>
              <w:top w:w="30" w:type="dxa"/>
              <w:left w:w="20" w:type="dxa"/>
              <w:bottom w:w="30" w:type="dxa"/>
              <w:right w:w="20" w:type="dxa"/>
            </w:tcMar>
            <w:vAlign w:val="bottom"/>
            <w:hideMark/>
          </w:tcPr>
          <w:p w14:paraId="0D0594DF" w14:textId="77777777" w:rsidR="00000000" w:rsidRDefault="00195E73">
            <w:pPr>
              <w:rPr>
                <w:rFonts w:eastAsia="Times New Roman"/>
              </w:rPr>
            </w:pPr>
            <w:r>
              <w:rPr>
                <w:rFonts w:eastAsia="Times New Roman"/>
                <w:color w:val="000000"/>
                <w:sz w:val="20"/>
                <w:szCs w:val="20"/>
              </w:rPr>
              <w:t>Investmen</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14:paraId="2A2CEC6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8751604" w14:textId="77777777" w:rsidR="00000000" w:rsidRDefault="00195E73">
            <w:pPr>
              <w:jc w:val="right"/>
              <w:rPr>
                <w:rFonts w:eastAsia="Times New Roman"/>
              </w:rPr>
            </w:pPr>
            <w:r>
              <w:rPr>
                <w:rFonts w:eastAsia="Times New Roman"/>
                <w:color w:val="000000"/>
                <w:sz w:val="20"/>
                <w:szCs w:val="20"/>
              </w:rPr>
              <w:t>(1,414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EDA439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5FAAC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F288E7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1EDEE73" w14:textId="77777777" w:rsidR="00000000" w:rsidRDefault="00195E73">
            <w:pPr>
              <w:jc w:val="right"/>
              <w:rPr>
                <w:rFonts w:eastAsia="Times New Roman"/>
              </w:rPr>
            </w:pPr>
            <w:r>
              <w:rPr>
                <w:rFonts w:eastAsia="Times New Roman"/>
                <w:color w:val="000000"/>
                <w:sz w:val="20"/>
                <w:szCs w:val="20"/>
              </w:rPr>
              <w:t>737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FE1AAB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F5EE867"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7067AA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E9B49B4" w14:textId="77777777" w:rsidR="00000000" w:rsidRDefault="00195E73">
            <w:pPr>
              <w:jc w:val="right"/>
              <w:rPr>
                <w:rFonts w:eastAsia="Times New Roman"/>
              </w:rPr>
            </w:pPr>
            <w:r>
              <w:rPr>
                <w:rFonts w:eastAsia="Times New Roman"/>
                <w:color w:val="000000"/>
                <w:sz w:val="20"/>
                <w:szCs w:val="20"/>
              </w:rPr>
              <w:t>297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66768B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2904A7"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8A4622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555F95D" w14:textId="77777777" w:rsidR="00000000" w:rsidRDefault="00195E73">
            <w:pPr>
              <w:jc w:val="right"/>
              <w:rPr>
                <w:rFonts w:eastAsia="Times New Roman"/>
              </w:rPr>
            </w:pPr>
            <w:r>
              <w:rPr>
                <w:rFonts w:eastAsia="Times New Roman"/>
                <w:color w:val="000000"/>
                <w:sz w:val="20"/>
                <w:szCs w:val="20"/>
              </w:rPr>
              <w:t>(1,543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E4C290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ACF770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416B7F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69D3A54" w14:textId="77777777" w:rsidR="00000000" w:rsidRDefault="00195E73">
            <w:pPr>
              <w:jc w:val="right"/>
              <w:rPr>
                <w:rFonts w:eastAsia="Times New Roman"/>
              </w:rPr>
            </w:pPr>
            <w:r>
              <w:rPr>
                <w:rFonts w:eastAsia="Times New Roman"/>
                <w:color w:val="000000"/>
                <w:sz w:val="20"/>
                <w:szCs w:val="20"/>
              </w:rPr>
              <w:t>679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8D3850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A42A1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5EEF96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BE226AD" w14:textId="77777777" w:rsidR="00000000" w:rsidRDefault="00195E73">
            <w:pPr>
              <w:jc w:val="right"/>
              <w:rPr>
                <w:rFonts w:eastAsia="Times New Roman"/>
              </w:rPr>
            </w:pPr>
            <w:r>
              <w:rPr>
                <w:rFonts w:eastAsia="Times New Roman"/>
                <w:color w:val="000000"/>
                <w:sz w:val="20"/>
                <w:szCs w:val="20"/>
              </w:rPr>
              <w:t>118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DF2A14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021DFE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E96B8B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738451B" w14:textId="77777777" w:rsidR="00000000" w:rsidRDefault="00195E73">
            <w:pPr>
              <w:jc w:val="right"/>
              <w:rPr>
                <w:rFonts w:eastAsia="Times New Roman"/>
              </w:rPr>
            </w:pPr>
            <w:r>
              <w:rPr>
                <w:rFonts w:eastAsia="Times New Roman"/>
                <w:color w:val="000000"/>
                <w:sz w:val="20"/>
                <w:szCs w:val="20"/>
              </w:rPr>
              <w:t>(775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4BFD86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EDCC43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660A76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5022AED" w14:textId="77777777" w:rsidR="00000000" w:rsidRDefault="00195E73">
            <w:pPr>
              <w:jc w:val="right"/>
              <w:rPr>
                <w:rFonts w:eastAsia="Times New Roman"/>
              </w:rPr>
            </w:pPr>
            <w:r>
              <w:rPr>
                <w:rFonts w:eastAsia="Times New Roman"/>
                <w:color w:val="000000"/>
                <w:sz w:val="20"/>
                <w:szCs w:val="20"/>
              </w:rPr>
              <w:t>319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F35952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A79E7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A77C00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F0FBE17" w14:textId="77777777" w:rsidR="00000000" w:rsidRDefault="00195E73">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9FC4C8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F0FA3AA" w14:textId="77777777" w:rsidR="00000000" w:rsidRDefault="00195E73">
            <w:pPr>
              <w:rPr>
                <w:rFonts w:eastAsia="Times New Roman"/>
                <w:sz w:val="20"/>
                <w:szCs w:val="20"/>
              </w:rPr>
            </w:pPr>
          </w:p>
        </w:tc>
        <w:tc>
          <w:tcPr>
            <w:tcW w:w="0" w:type="auto"/>
            <w:vAlign w:val="center"/>
            <w:hideMark/>
          </w:tcPr>
          <w:p w14:paraId="56069071" w14:textId="77777777" w:rsidR="00000000" w:rsidRDefault="00195E73">
            <w:pPr>
              <w:rPr>
                <w:rFonts w:eastAsia="Times New Roman"/>
                <w:sz w:val="20"/>
                <w:szCs w:val="20"/>
              </w:rPr>
            </w:pPr>
          </w:p>
        </w:tc>
        <w:tc>
          <w:tcPr>
            <w:tcW w:w="0" w:type="auto"/>
            <w:vAlign w:val="center"/>
            <w:hideMark/>
          </w:tcPr>
          <w:p w14:paraId="54E0172A" w14:textId="77777777" w:rsidR="00000000" w:rsidRDefault="00195E73">
            <w:pPr>
              <w:rPr>
                <w:rFonts w:eastAsia="Times New Roman"/>
                <w:sz w:val="20"/>
                <w:szCs w:val="20"/>
              </w:rPr>
            </w:pPr>
          </w:p>
        </w:tc>
        <w:tc>
          <w:tcPr>
            <w:tcW w:w="0" w:type="auto"/>
            <w:vAlign w:val="center"/>
            <w:hideMark/>
          </w:tcPr>
          <w:p w14:paraId="33E5977A" w14:textId="77777777" w:rsidR="00000000" w:rsidRDefault="00195E73">
            <w:pPr>
              <w:rPr>
                <w:rFonts w:eastAsia="Times New Roman"/>
                <w:sz w:val="20"/>
                <w:szCs w:val="20"/>
              </w:rPr>
            </w:pPr>
          </w:p>
        </w:tc>
        <w:tc>
          <w:tcPr>
            <w:tcW w:w="0" w:type="auto"/>
            <w:vAlign w:val="center"/>
            <w:hideMark/>
          </w:tcPr>
          <w:p w14:paraId="09F0E868" w14:textId="77777777" w:rsidR="00000000" w:rsidRDefault="00195E73">
            <w:pPr>
              <w:rPr>
                <w:rFonts w:eastAsia="Times New Roman"/>
                <w:sz w:val="20"/>
                <w:szCs w:val="20"/>
              </w:rPr>
            </w:pPr>
          </w:p>
        </w:tc>
        <w:tc>
          <w:tcPr>
            <w:tcW w:w="0" w:type="auto"/>
            <w:vAlign w:val="center"/>
            <w:hideMark/>
          </w:tcPr>
          <w:p w14:paraId="7A10A363" w14:textId="77777777" w:rsidR="00000000" w:rsidRDefault="00195E73">
            <w:pPr>
              <w:rPr>
                <w:rFonts w:eastAsia="Times New Roman"/>
                <w:sz w:val="20"/>
                <w:szCs w:val="20"/>
              </w:rPr>
            </w:pPr>
          </w:p>
        </w:tc>
        <w:tc>
          <w:tcPr>
            <w:tcW w:w="0" w:type="auto"/>
            <w:vAlign w:val="center"/>
            <w:hideMark/>
          </w:tcPr>
          <w:p w14:paraId="6B590359" w14:textId="77777777" w:rsidR="00000000" w:rsidRDefault="00195E73">
            <w:pPr>
              <w:rPr>
                <w:rFonts w:eastAsia="Times New Roman"/>
                <w:sz w:val="20"/>
                <w:szCs w:val="20"/>
              </w:rPr>
            </w:pPr>
          </w:p>
        </w:tc>
        <w:tc>
          <w:tcPr>
            <w:tcW w:w="0" w:type="auto"/>
            <w:vAlign w:val="center"/>
            <w:hideMark/>
          </w:tcPr>
          <w:p w14:paraId="50E26D3C" w14:textId="77777777" w:rsidR="00000000" w:rsidRDefault="00195E73">
            <w:pPr>
              <w:rPr>
                <w:rFonts w:eastAsia="Times New Roman"/>
                <w:sz w:val="20"/>
                <w:szCs w:val="20"/>
              </w:rPr>
            </w:pPr>
          </w:p>
        </w:tc>
        <w:tc>
          <w:tcPr>
            <w:tcW w:w="0" w:type="auto"/>
            <w:vAlign w:val="center"/>
            <w:hideMark/>
          </w:tcPr>
          <w:p w14:paraId="19857309" w14:textId="77777777" w:rsidR="00000000" w:rsidRDefault="00195E73">
            <w:pPr>
              <w:rPr>
                <w:rFonts w:eastAsia="Times New Roman"/>
                <w:sz w:val="20"/>
                <w:szCs w:val="20"/>
              </w:rPr>
            </w:pPr>
          </w:p>
        </w:tc>
      </w:tr>
      <w:tr w:rsidR="00195E73" w14:paraId="618B851D" w14:textId="77777777">
        <w:trPr>
          <w:divId w:val="850291618"/>
        </w:trPr>
        <w:tc>
          <w:tcPr>
            <w:tcW w:w="0" w:type="auto"/>
            <w:gridSpan w:val="3"/>
            <w:shd w:val="clear" w:color="auto" w:fill="FFFFFF"/>
            <w:tcMar>
              <w:top w:w="30" w:type="dxa"/>
              <w:left w:w="20" w:type="dxa"/>
              <w:bottom w:w="30" w:type="dxa"/>
              <w:right w:w="20" w:type="dxa"/>
            </w:tcMar>
            <w:vAlign w:val="bottom"/>
            <w:hideMark/>
          </w:tcPr>
          <w:p w14:paraId="652C905B" w14:textId="77777777" w:rsidR="00000000" w:rsidRDefault="00195E73">
            <w:pPr>
              <w:rPr>
                <w:rFonts w:eastAsia="Times New Roman"/>
              </w:rPr>
            </w:pPr>
            <w:r>
              <w:rPr>
                <w:rFonts w:eastAsia="Times New Roman"/>
                <w:color w:val="000000"/>
                <w:sz w:val="20"/>
                <w:szCs w:val="20"/>
              </w:rPr>
              <w:t>Holding Compan</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14:paraId="79AACD45" w14:textId="77777777" w:rsidR="00000000" w:rsidRDefault="00195E73">
            <w:pPr>
              <w:jc w:val="right"/>
              <w:rPr>
                <w:rFonts w:eastAsia="Times New Roman"/>
              </w:rPr>
            </w:pPr>
            <w:r>
              <w:rPr>
                <w:rFonts w:eastAsia="Times New Roman"/>
                <w:color w:val="000000"/>
                <w:sz w:val="20"/>
                <w:szCs w:val="20"/>
              </w:rPr>
              <w:t>(261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891C49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B2F4CF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A95CFA" w14:textId="77777777" w:rsidR="00000000" w:rsidRDefault="00195E73">
            <w:pPr>
              <w:jc w:val="right"/>
              <w:rPr>
                <w:rFonts w:eastAsia="Times New Roman"/>
              </w:rPr>
            </w:pPr>
            <w:r>
              <w:rPr>
                <w:rFonts w:eastAsia="Times New Roman"/>
                <w:color w:val="000000"/>
                <w:sz w:val="20"/>
                <w:szCs w:val="20"/>
              </w:rPr>
              <w:t>(291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C60BF5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699EC6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0F56A1" w14:textId="77777777" w:rsidR="00000000" w:rsidRDefault="00195E73">
            <w:pPr>
              <w:jc w:val="right"/>
              <w:rPr>
                <w:rFonts w:eastAsia="Times New Roman"/>
              </w:rPr>
            </w:pPr>
            <w:r>
              <w:rPr>
                <w:rFonts w:eastAsia="Times New Roman"/>
                <w:color w:val="000000"/>
                <w:sz w:val="20"/>
                <w:szCs w:val="20"/>
              </w:rPr>
              <w:t>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97B3A3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7749CF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B62218" w14:textId="77777777" w:rsidR="00000000" w:rsidRDefault="00195E73">
            <w:pPr>
              <w:jc w:val="right"/>
              <w:rPr>
                <w:rFonts w:eastAsia="Times New Roman"/>
              </w:rPr>
            </w:pPr>
            <w:r>
              <w:rPr>
                <w:rFonts w:eastAsia="Times New Roman"/>
                <w:color w:val="000000"/>
                <w:sz w:val="20"/>
                <w:szCs w:val="20"/>
              </w:rPr>
              <w:t>(599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946CA4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BCC1F8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E1536F" w14:textId="77777777" w:rsidR="00000000" w:rsidRDefault="00195E73">
            <w:pPr>
              <w:jc w:val="right"/>
              <w:rPr>
                <w:rFonts w:eastAsia="Times New Roman"/>
              </w:rPr>
            </w:pPr>
            <w:r>
              <w:rPr>
                <w:rFonts w:eastAsia="Times New Roman"/>
                <w:color w:val="000000"/>
                <w:sz w:val="20"/>
                <w:szCs w:val="20"/>
              </w:rPr>
              <w:t>(639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F4A8C4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9F59B5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568247" w14:textId="77777777" w:rsidR="00000000" w:rsidRDefault="00195E73">
            <w:pPr>
              <w:jc w:val="right"/>
              <w:rPr>
                <w:rFonts w:eastAsia="Times New Roman"/>
              </w:rPr>
            </w:pPr>
            <w:r>
              <w:rPr>
                <w:rFonts w:eastAsia="Times New Roman"/>
                <w:color w:val="000000"/>
                <w:sz w:val="20"/>
                <w:szCs w:val="20"/>
              </w:rPr>
              <w:t>355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7D08D7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6CF3C5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4A74A0" w14:textId="77777777" w:rsidR="00000000" w:rsidRDefault="00195E73">
            <w:pPr>
              <w:jc w:val="right"/>
              <w:rPr>
                <w:rFonts w:eastAsia="Times New Roman"/>
              </w:rPr>
            </w:pPr>
            <w:r>
              <w:rPr>
                <w:rFonts w:eastAsia="Times New Roman"/>
                <w:color w:val="000000"/>
                <w:sz w:val="20"/>
                <w:szCs w:val="20"/>
              </w:rPr>
              <w:t>(599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E68FF9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D22C33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A7C9A8" w14:textId="77777777" w:rsidR="00000000" w:rsidRDefault="00195E73">
            <w:pPr>
              <w:jc w:val="right"/>
              <w:rPr>
                <w:rFonts w:eastAsia="Times New Roman"/>
              </w:rPr>
            </w:pPr>
            <w:r>
              <w:rPr>
                <w:rFonts w:eastAsia="Times New Roman"/>
                <w:color w:val="000000"/>
                <w:sz w:val="20"/>
                <w:szCs w:val="20"/>
              </w:rPr>
              <w:t>(638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4F0002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643CFD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89FB2B" w14:textId="77777777" w:rsidR="00000000" w:rsidRDefault="00195E73">
            <w:pPr>
              <w:jc w:val="right"/>
              <w:rPr>
                <w:rFonts w:eastAsia="Times New Roman"/>
              </w:rPr>
            </w:pPr>
            <w:r>
              <w:rPr>
                <w:rFonts w:eastAsia="Times New Roman"/>
                <w:color w:val="000000"/>
                <w:sz w:val="20"/>
                <w:szCs w:val="20"/>
              </w:rPr>
              <w:t>355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2758F1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2FE4EF9" w14:textId="77777777" w:rsidR="00000000" w:rsidRDefault="00195E73">
            <w:pPr>
              <w:rPr>
                <w:rFonts w:eastAsia="Times New Roman"/>
                <w:sz w:val="20"/>
                <w:szCs w:val="20"/>
              </w:rPr>
            </w:pPr>
          </w:p>
        </w:tc>
        <w:tc>
          <w:tcPr>
            <w:tcW w:w="0" w:type="auto"/>
            <w:vAlign w:val="center"/>
            <w:hideMark/>
          </w:tcPr>
          <w:p w14:paraId="01289175" w14:textId="77777777" w:rsidR="00000000" w:rsidRDefault="00195E73">
            <w:pPr>
              <w:rPr>
                <w:rFonts w:eastAsia="Times New Roman"/>
                <w:sz w:val="20"/>
                <w:szCs w:val="20"/>
              </w:rPr>
            </w:pPr>
          </w:p>
        </w:tc>
        <w:tc>
          <w:tcPr>
            <w:tcW w:w="0" w:type="auto"/>
            <w:vAlign w:val="center"/>
            <w:hideMark/>
          </w:tcPr>
          <w:p w14:paraId="0C60F7AB" w14:textId="77777777" w:rsidR="00000000" w:rsidRDefault="00195E73">
            <w:pPr>
              <w:rPr>
                <w:rFonts w:eastAsia="Times New Roman"/>
                <w:sz w:val="20"/>
                <w:szCs w:val="20"/>
              </w:rPr>
            </w:pPr>
          </w:p>
        </w:tc>
        <w:tc>
          <w:tcPr>
            <w:tcW w:w="0" w:type="auto"/>
            <w:vAlign w:val="center"/>
            <w:hideMark/>
          </w:tcPr>
          <w:p w14:paraId="7F0A1D81" w14:textId="77777777" w:rsidR="00000000" w:rsidRDefault="00195E73">
            <w:pPr>
              <w:rPr>
                <w:rFonts w:eastAsia="Times New Roman"/>
                <w:sz w:val="20"/>
                <w:szCs w:val="20"/>
              </w:rPr>
            </w:pPr>
          </w:p>
        </w:tc>
        <w:tc>
          <w:tcPr>
            <w:tcW w:w="0" w:type="auto"/>
            <w:vAlign w:val="center"/>
            <w:hideMark/>
          </w:tcPr>
          <w:p w14:paraId="421AE705" w14:textId="77777777" w:rsidR="00000000" w:rsidRDefault="00195E73">
            <w:pPr>
              <w:rPr>
                <w:rFonts w:eastAsia="Times New Roman"/>
                <w:sz w:val="20"/>
                <w:szCs w:val="20"/>
              </w:rPr>
            </w:pPr>
          </w:p>
        </w:tc>
        <w:tc>
          <w:tcPr>
            <w:tcW w:w="0" w:type="auto"/>
            <w:vAlign w:val="center"/>
            <w:hideMark/>
          </w:tcPr>
          <w:p w14:paraId="1D1D8482" w14:textId="77777777" w:rsidR="00000000" w:rsidRDefault="00195E73">
            <w:pPr>
              <w:rPr>
                <w:rFonts w:eastAsia="Times New Roman"/>
                <w:sz w:val="20"/>
                <w:szCs w:val="20"/>
              </w:rPr>
            </w:pPr>
          </w:p>
        </w:tc>
        <w:tc>
          <w:tcPr>
            <w:tcW w:w="0" w:type="auto"/>
            <w:vAlign w:val="center"/>
            <w:hideMark/>
          </w:tcPr>
          <w:p w14:paraId="107132F7" w14:textId="77777777" w:rsidR="00000000" w:rsidRDefault="00195E73">
            <w:pPr>
              <w:rPr>
                <w:rFonts w:eastAsia="Times New Roman"/>
                <w:sz w:val="20"/>
                <w:szCs w:val="20"/>
              </w:rPr>
            </w:pPr>
          </w:p>
        </w:tc>
        <w:tc>
          <w:tcPr>
            <w:tcW w:w="0" w:type="auto"/>
            <w:vAlign w:val="center"/>
            <w:hideMark/>
          </w:tcPr>
          <w:p w14:paraId="61BCE8FF" w14:textId="77777777" w:rsidR="00000000" w:rsidRDefault="00195E73">
            <w:pPr>
              <w:rPr>
                <w:rFonts w:eastAsia="Times New Roman"/>
                <w:sz w:val="20"/>
                <w:szCs w:val="20"/>
              </w:rPr>
            </w:pPr>
          </w:p>
        </w:tc>
        <w:tc>
          <w:tcPr>
            <w:tcW w:w="0" w:type="auto"/>
            <w:vAlign w:val="center"/>
            <w:hideMark/>
          </w:tcPr>
          <w:p w14:paraId="2743727A" w14:textId="77777777" w:rsidR="00000000" w:rsidRDefault="00195E73">
            <w:pPr>
              <w:rPr>
                <w:rFonts w:eastAsia="Times New Roman"/>
                <w:sz w:val="20"/>
                <w:szCs w:val="20"/>
              </w:rPr>
            </w:pPr>
          </w:p>
        </w:tc>
      </w:tr>
      <w:tr w:rsidR="00000000" w14:paraId="7881239A" w14:textId="77777777">
        <w:trPr>
          <w:divId w:val="850291618"/>
          <w:trHeight w:val="300"/>
        </w:trPr>
        <w:tc>
          <w:tcPr>
            <w:tcW w:w="0" w:type="auto"/>
            <w:gridSpan w:val="3"/>
            <w:shd w:val="clear" w:color="auto" w:fill="CCEEFF"/>
            <w:tcMar>
              <w:top w:w="15" w:type="dxa"/>
              <w:left w:w="20" w:type="dxa"/>
              <w:bottom w:w="15" w:type="dxa"/>
              <w:right w:w="20" w:type="dxa"/>
            </w:tcMar>
            <w:vAlign w:val="bottom"/>
            <w:hideMark/>
          </w:tcPr>
          <w:p w14:paraId="407E9EB9"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549BFC58"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F2C8D56"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B37267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DCC41D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00659AD"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EAB1EC2"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5C7DB4F"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F352FA7"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671FE39"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E32A168"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766DE50"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06B5A22"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16DB79A"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9293BFA"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DEEC606"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C2FDD13"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340F658" w14:textId="77777777" w:rsidR="00000000" w:rsidRDefault="00195E73">
            <w:pPr>
              <w:rPr>
                <w:rFonts w:eastAsia="Times New Roman"/>
                <w:sz w:val="20"/>
                <w:szCs w:val="20"/>
              </w:rPr>
            </w:pPr>
          </w:p>
        </w:tc>
        <w:tc>
          <w:tcPr>
            <w:tcW w:w="0" w:type="auto"/>
            <w:vAlign w:val="center"/>
            <w:hideMark/>
          </w:tcPr>
          <w:p w14:paraId="4E378302" w14:textId="77777777" w:rsidR="00000000" w:rsidRDefault="00195E73">
            <w:pPr>
              <w:rPr>
                <w:rFonts w:eastAsia="Times New Roman"/>
                <w:sz w:val="20"/>
                <w:szCs w:val="20"/>
              </w:rPr>
            </w:pPr>
          </w:p>
        </w:tc>
        <w:tc>
          <w:tcPr>
            <w:tcW w:w="0" w:type="auto"/>
            <w:vAlign w:val="center"/>
            <w:hideMark/>
          </w:tcPr>
          <w:p w14:paraId="42A9B2ED" w14:textId="77777777" w:rsidR="00000000" w:rsidRDefault="00195E73">
            <w:pPr>
              <w:rPr>
                <w:rFonts w:eastAsia="Times New Roman"/>
                <w:sz w:val="20"/>
                <w:szCs w:val="20"/>
              </w:rPr>
            </w:pPr>
          </w:p>
        </w:tc>
        <w:tc>
          <w:tcPr>
            <w:tcW w:w="0" w:type="auto"/>
            <w:vAlign w:val="center"/>
            <w:hideMark/>
          </w:tcPr>
          <w:p w14:paraId="034207B7" w14:textId="77777777" w:rsidR="00000000" w:rsidRDefault="00195E73">
            <w:pPr>
              <w:rPr>
                <w:rFonts w:eastAsia="Times New Roman"/>
                <w:sz w:val="20"/>
                <w:szCs w:val="20"/>
              </w:rPr>
            </w:pPr>
          </w:p>
        </w:tc>
        <w:tc>
          <w:tcPr>
            <w:tcW w:w="0" w:type="auto"/>
            <w:vAlign w:val="center"/>
            <w:hideMark/>
          </w:tcPr>
          <w:p w14:paraId="172EB440" w14:textId="77777777" w:rsidR="00000000" w:rsidRDefault="00195E73">
            <w:pPr>
              <w:rPr>
                <w:rFonts w:eastAsia="Times New Roman"/>
                <w:sz w:val="20"/>
                <w:szCs w:val="20"/>
              </w:rPr>
            </w:pPr>
          </w:p>
        </w:tc>
        <w:tc>
          <w:tcPr>
            <w:tcW w:w="0" w:type="auto"/>
            <w:vAlign w:val="center"/>
            <w:hideMark/>
          </w:tcPr>
          <w:p w14:paraId="75C5BAA4" w14:textId="77777777" w:rsidR="00000000" w:rsidRDefault="00195E73">
            <w:pPr>
              <w:rPr>
                <w:rFonts w:eastAsia="Times New Roman"/>
                <w:sz w:val="20"/>
                <w:szCs w:val="20"/>
              </w:rPr>
            </w:pPr>
          </w:p>
        </w:tc>
        <w:tc>
          <w:tcPr>
            <w:tcW w:w="0" w:type="auto"/>
            <w:vAlign w:val="center"/>
            <w:hideMark/>
          </w:tcPr>
          <w:p w14:paraId="3D9609AF" w14:textId="77777777" w:rsidR="00000000" w:rsidRDefault="00195E73">
            <w:pPr>
              <w:rPr>
                <w:rFonts w:eastAsia="Times New Roman"/>
                <w:sz w:val="20"/>
                <w:szCs w:val="20"/>
              </w:rPr>
            </w:pPr>
          </w:p>
        </w:tc>
        <w:tc>
          <w:tcPr>
            <w:tcW w:w="0" w:type="auto"/>
            <w:vAlign w:val="center"/>
            <w:hideMark/>
          </w:tcPr>
          <w:p w14:paraId="3FFE4BD3" w14:textId="77777777" w:rsidR="00000000" w:rsidRDefault="00195E73">
            <w:pPr>
              <w:rPr>
                <w:rFonts w:eastAsia="Times New Roman"/>
                <w:sz w:val="20"/>
                <w:szCs w:val="20"/>
              </w:rPr>
            </w:pPr>
          </w:p>
        </w:tc>
        <w:tc>
          <w:tcPr>
            <w:tcW w:w="0" w:type="auto"/>
            <w:vAlign w:val="center"/>
            <w:hideMark/>
          </w:tcPr>
          <w:p w14:paraId="19AFC1E9" w14:textId="77777777" w:rsidR="00000000" w:rsidRDefault="00195E73">
            <w:pPr>
              <w:rPr>
                <w:rFonts w:eastAsia="Times New Roman"/>
                <w:sz w:val="20"/>
                <w:szCs w:val="20"/>
              </w:rPr>
            </w:pPr>
          </w:p>
        </w:tc>
        <w:tc>
          <w:tcPr>
            <w:tcW w:w="0" w:type="auto"/>
            <w:vAlign w:val="center"/>
            <w:hideMark/>
          </w:tcPr>
          <w:p w14:paraId="06AEBC79" w14:textId="77777777" w:rsidR="00000000" w:rsidRDefault="00195E73">
            <w:pPr>
              <w:rPr>
                <w:rFonts w:eastAsia="Times New Roman"/>
                <w:sz w:val="20"/>
                <w:szCs w:val="20"/>
              </w:rPr>
            </w:pPr>
          </w:p>
        </w:tc>
      </w:tr>
      <w:tr w:rsidR="00000000" w14:paraId="263F17F0" w14:textId="77777777">
        <w:trPr>
          <w:divId w:val="850291618"/>
        </w:trPr>
        <w:tc>
          <w:tcPr>
            <w:tcW w:w="0" w:type="auto"/>
            <w:gridSpan w:val="54"/>
            <w:shd w:val="clear" w:color="auto" w:fill="FFFFFF"/>
            <w:tcMar>
              <w:top w:w="30" w:type="dxa"/>
              <w:left w:w="20" w:type="dxa"/>
              <w:bottom w:w="30" w:type="dxa"/>
              <w:right w:w="20" w:type="dxa"/>
            </w:tcMar>
            <w:vAlign w:val="bottom"/>
            <w:hideMark/>
          </w:tcPr>
          <w:p w14:paraId="0D3FCD40" w14:textId="77777777" w:rsidR="00000000" w:rsidRDefault="00195E73">
            <w:pPr>
              <w:rPr>
                <w:rFonts w:eastAsia="Times New Roman"/>
              </w:rPr>
            </w:pPr>
            <w:r>
              <w:rPr>
                <w:rFonts w:eastAsia="Times New Roman"/>
                <w:color w:val="000000"/>
                <w:sz w:val="20"/>
                <w:szCs w:val="20"/>
                <w:u w:val="single"/>
              </w:rPr>
              <w:t>Other Operating Segments</w:t>
            </w:r>
            <w:r>
              <w:rPr>
                <w:rFonts w:eastAsia="Times New Roman"/>
                <w:color w:val="000000"/>
                <w:sz w:val="20"/>
                <w:szCs w:val="20"/>
                <w:u w:val="single"/>
              </w:rPr>
              <w:t>:</w:t>
            </w:r>
          </w:p>
        </w:tc>
        <w:tc>
          <w:tcPr>
            <w:tcW w:w="0" w:type="auto"/>
            <w:gridSpan w:val="3"/>
            <w:vAlign w:val="center"/>
            <w:hideMark/>
          </w:tcPr>
          <w:p w14:paraId="63B1BEEE" w14:textId="77777777" w:rsidR="00000000" w:rsidRDefault="00195E73">
            <w:pPr>
              <w:rPr>
                <w:rFonts w:eastAsia="Times New Roman"/>
              </w:rPr>
            </w:pPr>
          </w:p>
        </w:tc>
        <w:tc>
          <w:tcPr>
            <w:tcW w:w="0" w:type="auto"/>
            <w:gridSpan w:val="3"/>
            <w:vAlign w:val="center"/>
            <w:hideMark/>
          </w:tcPr>
          <w:p w14:paraId="34F69085" w14:textId="77777777" w:rsidR="00000000" w:rsidRDefault="00195E73">
            <w:pPr>
              <w:rPr>
                <w:rFonts w:eastAsia="Times New Roman"/>
                <w:sz w:val="20"/>
                <w:szCs w:val="20"/>
              </w:rPr>
            </w:pPr>
          </w:p>
        </w:tc>
        <w:tc>
          <w:tcPr>
            <w:tcW w:w="0" w:type="auto"/>
            <w:gridSpan w:val="2"/>
            <w:vAlign w:val="center"/>
            <w:hideMark/>
          </w:tcPr>
          <w:p w14:paraId="721312E8" w14:textId="77777777" w:rsidR="00000000" w:rsidRDefault="00195E73">
            <w:pPr>
              <w:rPr>
                <w:rFonts w:eastAsia="Times New Roman"/>
                <w:sz w:val="20"/>
                <w:szCs w:val="20"/>
              </w:rPr>
            </w:pPr>
          </w:p>
        </w:tc>
        <w:tc>
          <w:tcPr>
            <w:tcW w:w="0" w:type="auto"/>
            <w:vAlign w:val="center"/>
            <w:hideMark/>
          </w:tcPr>
          <w:p w14:paraId="60C95141" w14:textId="77777777" w:rsidR="00000000" w:rsidRDefault="00195E73">
            <w:pPr>
              <w:rPr>
                <w:rFonts w:eastAsia="Times New Roman"/>
                <w:sz w:val="20"/>
                <w:szCs w:val="20"/>
              </w:rPr>
            </w:pPr>
          </w:p>
        </w:tc>
      </w:tr>
      <w:tr w:rsidR="00195E73" w14:paraId="1883C671" w14:textId="77777777">
        <w:trPr>
          <w:divId w:val="850291618"/>
        </w:trPr>
        <w:tc>
          <w:tcPr>
            <w:tcW w:w="0" w:type="auto"/>
            <w:gridSpan w:val="3"/>
            <w:shd w:val="clear" w:color="auto" w:fill="CCEEFF"/>
            <w:tcMar>
              <w:top w:w="30" w:type="dxa"/>
              <w:left w:w="20" w:type="dxa"/>
              <w:bottom w:w="30" w:type="dxa"/>
              <w:right w:w="20" w:type="dxa"/>
            </w:tcMar>
            <w:vAlign w:val="bottom"/>
            <w:hideMark/>
          </w:tcPr>
          <w:p w14:paraId="5D860630" w14:textId="77777777" w:rsidR="00000000" w:rsidRDefault="00195E73">
            <w:pPr>
              <w:rPr>
                <w:rFonts w:eastAsia="Times New Roman"/>
              </w:rPr>
            </w:pPr>
            <w:r>
              <w:rPr>
                <w:rFonts w:eastAsia="Times New Roman"/>
                <w:color w:val="000000"/>
                <w:sz w:val="20"/>
                <w:szCs w:val="20"/>
              </w:rPr>
              <w:t>Energ</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79A83B85" w14:textId="77777777" w:rsidR="00000000" w:rsidRDefault="00195E73">
            <w:pPr>
              <w:jc w:val="right"/>
              <w:rPr>
                <w:rFonts w:eastAsia="Times New Roman"/>
              </w:rPr>
            </w:pPr>
            <w:r>
              <w:rPr>
                <w:rFonts w:eastAsia="Times New Roman"/>
                <w:color w:val="000000"/>
                <w:sz w:val="20"/>
                <w:szCs w:val="20"/>
              </w:rPr>
              <w:t>6,385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00669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86C595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AC3813" w14:textId="77777777" w:rsidR="00000000" w:rsidRDefault="00195E73">
            <w:pPr>
              <w:jc w:val="right"/>
              <w:rPr>
                <w:rFonts w:eastAsia="Times New Roman"/>
              </w:rPr>
            </w:pPr>
            <w:r>
              <w:rPr>
                <w:rFonts w:eastAsia="Times New Roman"/>
                <w:color w:val="000000"/>
                <w:sz w:val="20"/>
                <w:szCs w:val="20"/>
              </w:rPr>
              <w:t>7,135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CEFDFB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966F6E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1BD4CF" w14:textId="77777777" w:rsidR="00000000" w:rsidRDefault="00195E73">
            <w:pPr>
              <w:jc w:val="right"/>
              <w:rPr>
                <w:rFonts w:eastAsia="Times New Roman"/>
              </w:rPr>
            </w:pPr>
            <w:r>
              <w:rPr>
                <w:rFonts w:eastAsia="Times New Roman"/>
                <w:color w:val="000000"/>
                <w:sz w:val="20"/>
                <w:szCs w:val="20"/>
              </w:rPr>
              <w:t>5,988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CC00D0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BF7FF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9CB45E" w14:textId="77777777" w:rsidR="00000000" w:rsidRDefault="00195E73">
            <w:pPr>
              <w:jc w:val="right"/>
              <w:rPr>
                <w:rFonts w:eastAsia="Times New Roman"/>
              </w:rPr>
            </w:pPr>
            <w:r>
              <w:rPr>
                <w:rFonts w:eastAsia="Times New Roman"/>
                <w:color w:val="000000"/>
                <w:sz w:val="20"/>
                <w:szCs w:val="20"/>
              </w:rPr>
              <w:t>314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DC0563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6B91EB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DBB03D" w14:textId="77777777" w:rsidR="00000000" w:rsidRDefault="00195E73">
            <w:pPr>
              <w:jc w:val="right"/>
              <w:rPr>
                <w:rFonts w:eastAsia="Times New Roman"/>
              </w:rPr>
            </w:pPr>
            <w:r>
              <w:rPr>
                <w:rFonts w:eastAsia="Times New Roman"/>
                <w:color w:val="000000"/>
                <w:sz w:val="20"/>
                <w:szCs w:val="20"/>
              </w:rPr>
              <w:t>334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04EDA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91CE85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09596C" w14:textId="77777777" w:rsidR="00000000" w:rsidRDefault="00195E73">
            <w:pPr>
              <w:jc w:val="right"/>
              <w:rPr>
                <w:rFonts w:eastAsia="Times New Roman"/>
              </w:rPr>
            </w:pPr>
            <w:r>
              <w:rPr>
                <w:rFonts w:eastAsia="Times New Roman"/>
                <w:color w:val="000000"/>
                <w:sz w:val="20"/>
                <w:szCs w:val="20"/>
              </w:rPr>
              <w:t>316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2B8509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3F867D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B4FC79" w14:textId="77777777" w:rsidR="00000000" w:rsidRDefault="00195E73">
            <w:pPr>
              <w:jc w:val="right"/>
              <w:rPr>
                <w:rFonts w:eastAsia="Times New Roman"/>
              </w:rPr>
            </w:pPr>
            <w:r>
              <w:rPr>
                <w:rFonts w:eastAsia="Times New Roman"/>
                <w:color w:val="000000"/>
                <w:sz w:val="20"/>
                <w:szCs w:val="20"/>
              </w:rPr>
              <w:t>246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46857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7B52C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23F56F" w14:textId="77777777" w:rsidR="00000000" w:rsidRDefault="00195E73">
            <w:pPr>
              <w:jc w:val="right"/>
              <w:rPr>
                <w:rFonts w:eastAsia="Times New Roman"/>
              </w:rPr>
            </w:pPr>
            <w:r>
              <w:rPr>
                <w:rFonts w:eastAsia="Times New Roman"/>
                <w:color w:val="000000"/>
                <w:sz w:val="20"/>
                <w:szCs w:val="20"/>
              </w:rPr>
              <w:t>213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8B8C4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922BC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A762C4" w14:textId="77777777" w:rsidR="00000000" w:rsidRDefault="00195E73">
            <w:pPr>
              <w:jc w:val="right"/>
              <w:rPr>
                <w:rFonts w:eastAsia="Times New Roman"/>
              </w:rPr>
            </w:pPr>
            <w:r>
              <w:rPr>
                <w:rFonts w:eastAsia="Times New Roman"/>
                <w:color w:val="000000"/>
                <w:sz w:val="20"/>
                <w:szCs w:val="20"/>
              </w:rPr>
              <w:t>253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784C66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BBB5485" w14:textId="77777777" w:rsidR="00000000" w:rsidRDefault="00195E73">
            <w:pPr>
              <w:rPr>
                <w:rFonts w:eastAsia="Times New Roman"/>
                <w:sz w:val="20"/>
                <w:szCs w:val="20"/>
              </w:rPr>
            </w:pPr>
          </w:p>
        </w:tc>
        <w:tc>
          <w:tcPr>
            <w:tcW w:w="0" w:type="auto"/>
            <w:vAlign w:val="center"/>
            <w:hideMark/>
          </w:tcPr>
          <w:p w14:paraId="5CA677FD" w14:textId="77777777" w:rsidR="00000000" w:rsidRDefault="00195E73">
            <w:pPr>
              <w:rPr>
                <w:rFonts w:eastAsia="Times New Roman"/>
                <w:sz w:val="20"/>
                <w:szCs w:val="20"/>
              </w:rPr>
            </w:pPr>
          </w:p>
        </w:tc>
        <w:tc>
          <w:tcPr>
            <w:tcW w:w="0" w:type="auto"/>
            <w:vAlign w:val="center"/>
            <w:hideMark/>
          </w:tcPr>
          <w:p w14:paraId="7956008B" w14:textId="77777777" w:rsidR="00000000" w:rsidRDefault="00195E73">
            <w:pPr>
              <w:rPr>
                <w:rFonts w:eastAsia="Times New Roman"/>
                <w:sz w:val="20"/>
                <w:szCs w:val="20"/>
              </w:rPr>
            </w:pPr>
          </w:p>
        </w:tc>
        <w:tc>
          <w:tcPr>
            <w:tcW w:w="0" w:type="auto"/>
            <w:vAlign w:val="center"/>
            <w:hideMark/>
          </w:tcPr>
          <w:p w14:paraId="735FDA51" w14:textId="77777777" w:rsidR="00000000" w:rsidRDefault="00195E73">
            <w:pPr>
              <w:rPr>
                <w:rFonts w:eastAsia="Times New Roman"/>
                <w:sz w:val="20"/>
                <w:szCs w:val="20"/>
              </w:rPr>
            </w:pPr>
          </w:p>
        </w:tc>
        <w:tc>
          <w:tcPr>
            <w:tcW w:w="0" w:type="auto"/>
            <w:vAlign w:val="center"/>
            <w:hideMark/>
          </w:tcPr>
          <w:p w14:paraId="3F473F26" w14:textId="77777777" w:rsidR="00000000" w:rsidRDefault="00195E73">
            <w:pPr>
              <w:rPr>
                <w:rFonts w:eastAsia="Times New Roman"/>
                <w:sz w:val="20"/>
                <w:szCs w:val="20"/>
              </w:rPr>
            </w:pPr>
          </w:p>
        </w:tc>
        <w:tc>
          <w:tcPr>
            <w:tcW w:w="0" w:type="auto"/>
            <w:vAlign w:val="center"/>
            <w:hideMark/>
          </w:tcPr>
          <w:p w14:paraId="2B4E7A09" w14:textId="77777777" w:rsidR="00000000" w:rsidRDefault="00195E73">
            <w:pPr>
              <w:rPr>
                <w:rFonts w:eastAsia="Times New Roman"/>
                <w:sz w:val="20"/>
                <w:szCs w:val="20"/>
              </w:rPr>
            </w:pPr>
          </w:p>
        </w:tc>
        <w:tc>
          <w:tcPr>
            <w:tcW w:w="0" w:type="auto"/>
            <w:vAlign w:val="center"/>
            <w:hideMark/>
          </w:tcPr>
          <w:p w14:paraId="7CAC6DF4" w14:textId="77777777" w:rsidR="00000000" w:rsidRDefault="00195E73">
            <w:pPr>
              <w:rPr>
                <w:rFonts w:eastAsia="Times New Roman"/>
                <w:sz w:val="20"/>
                <w:szCs w:val="20"/>
              </w:rPr>
            </w:pPr>
          </w:p>
        </w:tc>
        <w:tc>
          <w:tcPr>
            <w:tcW w:w="0" w:type="auto"/>
            <w:vAlign w:val="center"/>
            <w:hideMark/>
          </w:tcPr>
          <w:p w14:paraId="7E031CCD" w14:textId="77777777" w:rsidR="00000000" w:rsidRDefault="00195E73">
            <w:pPr>
              <w:rPr>
                <w:rFonts w:eastAsia="Times New Roman"/>
                <w:sz w:val="20"/>
                <w:szCs w:val="20"/>
              </w:rPr>
            </w:pPr>
          </w:p>
        </w:tc>
        <w:tc>
          <w:tcPr>
            <w:tcW w:w="0" w:type="auto"/>
            <w:vAlign w:val="center"/>
            <w:hideMark/>
          </w:tcPr>
          <w:p w14:paraId="5874EBB8" w14:textId="77777777" w:rsidR="00000000" w:rsidRDefault="00195E73">
            <w:pPr>
              <w:rPr>
                <w:rFonts w:eastAsia="Times New Roman"/>
                <w:sz w:val="20"/>
                <w:szCs w:val="20"/>
              </w:rPr>
            </w:pPr>
          </w:p>
        </w:tc>
      </w:tr>
      <w:tr w:rsidR="00195E73" w14:paraId="38EC20F7" w14:textId="77777777">
        <w:trPr>
          <w:divId w:val="850291618"/>
        </w:trPr>
        <w:tc>
          <w:tcPr>
            <w:tcW w:w="0" w:type="auto"/>
            <w:gridSpan w:val="3"/>
            <w:shd w:val="clear" w:color="auto" w:fill="FFFFFF"/>
            <w:tcMar>
              <w:top w:w="30" w:type="dxa"/>
              <w:left w:w="20" w:type="dxa"/>
              <w:bottom w:w="30" w:type="dxa"/>
              <w:right w:w="20" w:type="dxa"/>
            </w:tcMar>
            <w:vAlign w:val="bottom"/>
            <w:hideMark/>
          </w:tcPr>
          <w:p w14:paraId="1260934D" w14:textId="77777777" w:rsidR="00000000" w:rsidRDefault="00195E73">
            <w:pPr>
              <w:rPr>
                <w:rFonts w:eastAsia="Times New Roman"/>
              </w:rPr>
            </w:pPr>
            <w:r>
              <w:rPr>
                <w:rFonts w:eastAsia="Times New Roman"/>
                <w:color w:val="000000"/>
                <w:sz w:val="20"/>
                <w:szCs w:val="20"/>
              </w:rPr>
              <w:t>Automotiv</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1DFFB7EF" w14:textId="77777777" w:rsidR="00000000" w:rsidRDefault="00195E73">
            <w:pPr>
              <w:jc w:val="right"/>
              <w:rPr>
                <w:rFonts w:eastAsia="Times New Roman"/>
              </w:rPr>
            </w:pPr>
            <w:r>
              <w:rPr>
                <w:rFonts w:eastAsia="Times New Roman"/>
                <w:color w:val="000000"/>
                <w:sz w:val="20"/>
                <w:szCs w:val="20"/>
              </w:rPr>
              <w:t>2,895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63FFFD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0461DB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EFBEA3" w14:textId="77777777" w:rsidR="00000000" w:rsidRDefault="00195E73">
            <w:pPr>
              <w:jc w:val="right"/>
              <w:rPr>
                <w:rFonts w:eastAsia="Times New Roman"/>
              </w:rPr>
            </w:pPr>
            <w:r>
              <w:rPr>
                <w:rFonts w:eastAsia="Times New Roman"/>
                <w:color w:val="000000"/>
                <w:sz w:val="20"/>
                <w:szCs w:val="20"/>
              </w:rPr>
              <w:t>2,856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471716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F18050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85FFD6" w14:textId="77777777" w:rsidR="00000000" w:rsidRDefault="00195E73">
            <w:pPr>
              <w:jc w:val="right"/>
              <w:rPr>
                <w:rFonts w:eastAsia="Times New Roman"/>
              </w:rPr>
            </w:pPr>
            <w:r>
              <w:rPr>
                <w:rFonts w:eastAsia="Times New Roman"/>
                <w:color w:val="000000"/>
                <w:sz w:val="20"/>
                <w:szCs w:val="20"/>
              </w:rPr>
              <w:t>2,728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AB49F3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E4CDF1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175498" w14:textId="77777777" w:rsidR="00000000" w:rsidRDefault="00195E73">
            <w:pPr>
              <w:jc w:val="right"/>
              <w:rPr>
                <w:rFonts w:eastAsia="Times New Roman"/>
              </w:rPr>
            </w:pPr>
            <w:r>
              <w:rPr>
                <w:rFonts w:eastAsia="Times New Roman"/>
                <w:color w:val="000000"/>
                <w:sz w:val="20"/>
                <w:szCs w:val="20"/>
              </w:rPr>
              <w:t>(197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814F98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B56D4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2D662D" w14:textId="77777777" w:rsidR="00000000" w:rsidRDefault="00195E73">
            <w:pPr>
              <w:jc w:val="right"/>
              <w:rPr>
                <w:rFonts w:eastAsia="Times New Roman"/>
              </w:rPr>
            </w:pPr>
            <w:r>
              <w:rPr>
                <w:rFonts w:eastAsia="Times New Roman"/>
                <w:color w:val="000000"/>
                <w:sz w:val="20"/>
                <w:szCs w:val="20"/>
              </w:rPr>
              <w:t>(230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6B5A71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D7CF9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426F40" w14:textId="77777777" w:rsidR="00000000" w:rsidRDefault="00195E73">
            <w:pPr>
              <w:jc w:val="right"/>
              <w:rPr>
                <w:rFonts w:eastAsia="Times New Roman"/>
              </w:rPr>
            </w:pPr>
            <w:r>
              <w:rPr>
                <w:rFonts w:eastAsia="Times New Roman"/>
                <w:color w:val="000000"/>
                <w:sz w:val="20"/>
                <w:szCs w:val="20"/>
              </w:rPr>
              <w:t>(51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2B2BCF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E087B5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6FAA9F" w14:textId="77777777" w:rsidR="00000000" w:rsidRDefault="00195E73">
            <w:pPr>
              <w:jc w:val="right"/>
              <w:rPr>
                <w:rFonts w:eastAsia="Times New Roman"/>
              </w:rPr>
            </w:pPr>
            <w:r>
              <w:rPr>
                <w:rFonts w:eastAsia="Times New Roman"/>
                <w:color w:val="000000"/>
                <w:sz w:val="20"/>
                <w:szCs w:val="20"/>
              </w:rPr>
              <w:t>(197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4F1413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65FE8A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6DD478" w14:textId="77777777" w:rsidR="00000000" w:rsidRDefault="00195E73">
            <w:pPr>
              <w:jc w:val="right"/>
              <w:rPr>
                <w:rFonts w:eastAsia="Times New Roman"/>
              </w:rPr>
            </w:pPr>
            <w:r>
              <w:rPr>
                <w:rFonts w:eastAsia="Times New Roman"/>
                <w:color w:val="000000"/>
                <w:sz w:val="20"/>
                <w:szCs w:val="20"/>
              </w:rPr>
              <w:t>(230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87CCC1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6AEA00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3D977D" w14:textId="77777777" w:rsidR="00000000" w:rsidRDefault="00195E73">
            <w:pPr>
              <w:jc w:val="right"/>
              <w:rPr>
                <w:rFonts w:eastAsia="Times New Roman"/>
              </w:rPr>
            </w:pPr>
            <w:r>
              <w:rPr>
                <w:rFonts w:eastAsia="Times New Roman"/>
                <w:color w:val="000000"/>
                <w:sz w:val="20"/>
                <w:szCs w:val="20"/>
              </w:rPr>
              <w:t>(51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9E96EC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B4A9B82" w14:textId="77777777" w:rsidR="00000000" w:rsidRDefault="00195E73">
            <w:pPr>
              <w:rPr>
                <w:rFonts w:eastAsia="Times New Roman"/>
                <w:sz w:val="20"/>
                <w:szCs w:val="20"/>
              </w:rPr>
            </w:pPr>
          </w:p>
        </w:tc>
        <w:tc>
          <w:tcPr>
            <w:tcW w:w="0" w:type="auto"/>
            <w:vAlign w:val="center"/>
            <w:hideMark/>
          </w:tcPr>
          <w:p w14:paraId="383CA950" w14:textId="77777777" w:rsidR="00000000" w:rsidRDefault="00195E73">
            <w:pPr>
              <w:rPr>
                <w:rFonts w:eastAsia="Times New Roman"/>
                <w:sz w:val="20"/>
                <w:szCs w:val="20"/>
              </w:rPr>
            </w:pPr>
          </w:p>
        </w:tc>
        <w:tc>
          <w:tcPr>
            <w:tcW w:w="0" w:type="auto"/>
            <w:vAlign w:val="center"/>
            <w:hideMark/>
          </w:tcPr>
          <w:p w14:paraId="0A3828CC" w14:textId="77777777" w:rsidR="00000000" w:rsidRDefault="00195E73">
            <w:pPr>
              <w:rPr>
                <w:rFonts w:eastAsia="Times New Roman"/>
                <w:sz w:val="20"/>
                <w:szCs w:val="20"/>
              </w:rPr>
            </w:pPr>
          </w:p>
        </w:tc>
        <w:tc>
          <w:tcPr>
            <w:tcW w:w="0" w:type="auto"/>
            <w:vAlign w:val="center"/>
            <w:hideMark/>
          </w:tcPr>
          <w:p w14:paraId="2781DF92" w14:textId="77777777" w:rsidR="00000000" w:rsidRDefault="00195E73">
            <w:pPr>
              <w:rPr>
                <w:rFonts w:eastAsia="Times New Roman"/>
                <w:sz w:val="20"/>
                <w:szCs w:val="20"/>
              </w:rPr>
            </w:pPr>
          </w:p>
        </w:tc>
        <w:tc>
          <w:tcPr>
            <w:tcW w:w="0" w:type="auto"/>
            <w:vAlign w:val="center"/>
            <w:hideMark/>
          </w:tcPr>
          <w:p w14:paraId="3C6AA620" w14:textId="77777777" w:rsidR="00000000" w:rsidRDefault="00195E73">
            <w:pPr>
              <w:rPr>
                <w:rFonts w:eastAsia="Times New Roman"/>
                <w:sz w:val="20"/>
                <w:szCs w:val="20"/>
              </w:rPr>
            </w:pPr>
          </w:p>
        </w:tc>
        <w:tc>
          <w:tcPr>
            <w:tcW w:w="0" w:type="auto"/>
            <w:vAlign w:val="center"/>
            <w:hideMark/>
          </w:tcPr>
          <w:p w14:paraId="6273FB68" w14:textId="77777777" w:rsidR="00000000" w:rsidRDefault="00195E73">
            <w:pPr>
              <w:rPr>
                <w:rFonts w:eastAsia="Times New Roman"/>
                <w:sz w:val="20"/>
                <w:szCs w:val="20"/>
              </w:rPr>
            </w:pPr>
          </w:p>
        </w:tc>
        <w:tc>
          <w:tcPr>
            <w:tcW w:w="0" w:type="auto"/>
            <w:vAlign w:val="center"/>
            <w:hideMark/>
          </w:tcPr>
          <w:p w14:paraId="1680A032" w14:textId="77777777" w:rsidR="00000000" w:rsidRDefault="00195E73">
            <w:pPr>
              <w:rPr>
                <w:rFonts w:eastAsia="Times New Roman"/>
                <w:sz w:val="20"/>
                <w:szCs w:val="20"/>
              </w:rPr>
            </w:pPr>
          </w:p>
        </w:tc>
        <w:tc>
          <w:tcPr>
            <w:tcW w:w="0" w:type="auto"/>
            <w:vAlign w:val="center"/>
            <w:hideMark/>
          </w:tcPr>
          <w:p w14:paraId="5F8E68B7" w14:textId="77777777" w:rsidR="00000000" w:rsidRDefault="00195E73">
            <w:pPr>
              <w:rPr>
                <w:rFonts w:eastAsia="Times New Roman"/>
                <w:sz w:val="20"/>
                <w:szCs w:val="20"/>
              </w:rPr>
            </w:pPr>
          </w:p>
        </w:tc>
        <w:tc>
          <w:tcPr>
            <w:tcW w:w="0" w:type="auto"/>
            <w:vAlign w:val="center"/>
            <w:hideMark/>
          </w:tcPr>
          <w:p w14:paraId="75542A6A" w14:textId="77777777" w:rsidR="00000000" w:rsidRDefault="00195E73">
            <w:pPr>
              <w:rPr>
                <w:rFonts w:eastAsia="Times New Roman"/>
                <w:sz w:val="20"/>
                <w:szCs w:val="20"/>
              </w:rPr>
            </w:pPr>
          </w:p>
        </w:tc>
      </w:tr>
      <w:tr w:rsidR="00195E73" w14:paraId="48A63F9B" w14:textId="77777777">
        <w:trPr>
          <w:divId w:val="850291618"/>
        </w:trPr>
        <w:tc>
          <w:tcPr>
            <w:tcW w:w="0" w:type="auto"/>
            <w:gridSpan w:val="3"/>
            <w:shd w:val="clear" w:color="auto" w:fill="CCEEFF"/>
            <w:tcMar>
              <w:top w:w="30" w:type="dxa"/>
              <w:left w:w="20" w:type="dxa"/>
              <w:bottom w:w="30" w:type="dxa"/>
              <w:right w:w="20" w:type="dxa"/>
            </w:tcMar>
            <w:vAlign w:val="bottom"/>
            <w:hideMark/>
          </w:tcPr>
          <w:p w14:paraId="55B97254" w14:textId="77777777" w:rsidR="00000000" w:rsidRDefault="00195E73">
            <w:pPr>
              <w:rPr>
                <w:rFonts w:eastAsia="Times New Roman"/>
              </w:rPr>
            </w:pPr>
            <w:r>
              <w:rPr>
                <w:rFonts w:eastAsia="Times New Roman"/>
                <w:color w:val="000000"/>
                <w:sz w:val="20"/>
                <w:szCs w:val="20"/>
              </w:rPr>
              <w:t>Food Packagin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14:paraId="4663EF1C" w14:textId="77777777" w:rsidR="00000000" w:rsidRDefault="00195E73">
            <w:pPr>
              <w:jc w:val="right"/>
              <w:rPr>
                <w:rFonts w:eastAsia="Times New Roman"/>
              </w:rPr>
            </w:pPr>
            <w:r>
              <w:rPr>
                <w:rFonts w:eastAsia="Times New Roman"/>
                <w:color w:val="000000"/>
                <w:sz w:val="20"/>
                <w:szCs w:val="20"/>
              </w:rPr>
              <w:t>375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2D8E2E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585C10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4B5F8D" w14:textId="77777777" w:rsidR="00000000" w:rsidRDefault="00195E73">
            <w:pPr>
              <w:jc w:val="right"/>
              <w:rPr>
                <w:rFonts w:eastAsia="Times New Roman"/>
              </w:rPr>
            </w:pPr>
            <w:r>
              <w:rPr>
                <w:rFonts w:eastAsia="Times New Roman"/>
                <w:color w:val="000000"/>
                <w:sz w:val="20"/>
                <w:szCs w:val="20"/>
              </w:rPr>
              <w:t>379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19D503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B1ACCA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293281" w14:textId="77777777" w:rsidR="00000000" w:rsidRDefault="00195E73">
            <w:pPr>
              <w:jc w:val="right"/>
              <w:rPr>
                <w:rFonts w:eastAsia="Times New Roman"/>
              </w:rPr>
            </w:pPr>
            <w:r>
              <w:rPr>
                <w:rFonts w:eastAsia="Times New Roman"/>
                <w:color w:val="000000"/>
                <w:sz w:val="20"/>
                <w:szCs w:val="20"/>
              </w:rPr>
              <w:t>389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D83358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AA9FB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BE177B" w14:textId="77777777" w:rsidR="00000000" w:rsidRDefault="00195E73">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897A80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D15959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18B086" w14:textId="77777777" w:rsidR="00000000" w:rsidRDefault="00195E73">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E38E97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861131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26D855" w14:textId="77777777" w:rsidR="00000000" w:rsidRDefault="00195E73">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04639C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124504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298A38" w14:textId="77777777" w:rsidR="00000000" w:rsidRDefault="00195E73">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9A83DB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54783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957F13" w14:textId="77777777" w:rsidR="00000000" w:rsidRDefault="00195E73">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F38B75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DDDA03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57B571"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1D8A5F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F64B127" w14:textId="77777777" w:rsidR="00000000" w:rsidRDefault="00195E73">
            <w:pPr>
              <w:rPr>
                <w:rFonts w:eastAsia="Times New Roman"/>
                <w:sz w:val="20"/>
                <w:szCs w:val="20"/>
              </w:rPr>
            </w:pPr>
          </w:p>
        </w:tc>
        <w:tc>
          <w:tcPr>
            <w:tcW w:w="0" w:type="auto"/>
            <w:vAlign w:val="center"/>
            <w:hideMark/>
          </w:tcPr>
          <w:p w14:paraId="14ED01A2" w14:textId="77777777" w:rsidR="00000000" w:rsidRDefault="00195E73">
            <w:pPr>
              <w:rPr>
                <w:rFonts w:eastAsia="Times New Roman"/>
                <w:sz w:val="20"/>
                <w:szCs w:val="20"/>
              </w:rPr>
            </w:pPr>
          </w:p>
        </w:tc>
        <w:tc>
          <w:tcPr>
            <w:tcW w:w="0" w:type="auto"/>
            <w:vAlign w:val="center"/>
            <w:hideMark/>
          </w:tcPr>
          <w:p w14:paraId="63645CDF" w14:textId="77777777" w:rsidR="00000000" w:rsidRDefault="00195E73">
            <w:pPr>
              <w:rPr>
                <w:rFonts w:eastAsia="Times New Roman"/>
                <w:sz w:val="20"/>
                <w:szCs w:val="20"/>
              </w:rPr>
            </w:pPr>
          </w:p>
        </w:tc>
        <w:tc>
          <w:tcPr>
            <w:tcW w:w="0" w:type="auto"/>
            <w:vAlign w:val="center"/>
            <w:hideMark/>
          </w:tcPr>
          <w:p w14:paraId="1C4BB99F" w14:textId="77777777" w:rsidR="00000000" w:rsidRDefault="00195E73">
            <w:pPr>
              <w:rPr>
                <w:rFonts w:eastAsia="Times New Roman"/>
                <w:sz w:val="20"/>
                <w:szCs w:val="20"/>
              </w:rPr>
            </w:pPr>
          </w:p>
        </w:tc>
        <w:tc>
          <w:tcPr>
            <w:tcW w:w="0" w:type="auto"/>
            <w:vAlign w:val="center"/>
            <w:hideMark/>
          </w:tcPr>
          <w:p w14:paraId="201CBDBD" w14:textId="77777777" w:rsidR="00000000" w:rsidRDefault="00195E73">
            <w:pPr>
              <w:rPr>
                <w:rFonts w:eastAsia="Times New Roman"/>
                <w:sz w:val="20"/>
                <w:szCs w:val="20"/>
              </w:rPr>
            </w:pPr>
          </w:p>
        </w:tc>
        <w:tc>
          <w:tcPr>
            <w:tcW w:w="0" w:type="auto"/>
            <w:vAlign w:val="center"/>
            <w:hideMark/>
          </w:tcPr>
          <w:p w14:paraId="09A7BF40" w14:textId="77777777" w:rsidR="00000000" w:rsidRDefault="00195E73">
            <w:pPr>
              <w:rPr>
                <w:rFonts w:eastAsia="Times New Roman"/>
                <w:sz w:val="20"/>
                <w:szCs w:val="20"/>
              </w:rPr>
            </w:pPr>
          </w:p>
        </w:tc>
        <w:tc>
          <w:tcPr>
            <w:tcW w:w="0" w:type="auto"/>
            <w:vAlign w:val="center"/>
            <w:hideMark/>
          </w:tcPr>
          <w:p w14:paraId="0360A796" w14:textId="77777777" w:rsidR="00000000" w:rsidRDefault="00195E73">
            <w:pPr>
              <w:rPr>
                <w:rFonts w:eastAsia="Times New Roman"/>
                <w:sz w:val="20"/>
                <w:szCs w:val="20"/>
              </w:rPr>
            </w:pPr>
          </w:p>
        </w:tc>
        <w:tc>
          <w:tcPr>
            <w:tcW w:w="0" w:type="auto"/>
            <w:vAlign w:val="center"/>
            <w:hideMark/>
          </w:tcPr>
          <w:p w14:paraId="2E09D4D9" w14:textId="77777777" w:rsidR="00000000" w:rsidRDefault="00195E73">
            <w:pPr>
              <w:rPr>
                <w:rFonts w:eastAsia="Times New Roman"/>
                <w:sz w:val="20"/>
                <w:szCs w:val="20"/>
              </w:rPr>
            </w:pPr>
          </w:p>
        </w:tc>
        <w:tc>
          <w:tcPr>
            <w:tcW w:w="0" w:type="auto"/>
            <w:vAlign w:val="center"/>
            <w:hideMark/>
          </w:tcPr>
          <w:p w14:paraId="4A375AE1" w14:textId="77777777" w:rsidR="00000000" w:rsidRDefault="00195E73">
            <w:pPr>
              <w:rPr>
                <w:rFonts w:eastAsia="Times New Roman"/>
                <w:sz w:val="20"/>
                <w:szCs w:val="20"/>
              </w:rPr>
            </w:pPr>
          </w:p>
        </w:tc>
      </w:tr>
      <w:tr w:rsidR="00195E73" w14:paraId="12A61C69" w14:textId="77777777">
        <w:trPr>
          <w:divId w:val="850291618"/>
        </w:trPr>
        <w:tc>
          <w:tcPr>
            <w:tcW w:w="0" w:type="auto"/>
            <w:gridSpan w:val="3"/>
            <w:shd w:val="clear" w:color="auto" w:fill="FFFFFF"/>
            <w:tcMar>
              <w:top w:w="30" w:type="dxa"/>
              <w:left w:w="20" w:type="dxa"/>
              <w:bottom w:w="30" w:type="dxa"/>
              <w:right w:w="20" w:type="dxa"/>
            </w:tcMar>
            <w:vAlign w:val="bottom"/>
            <w:hideMark/>
          </w:tcPr>
          <w:p w14:paraId="2CE2FD4B" w14:textId="77777777" w:rsidR="00000000" w:rsidRDefault="00195E73">
            <w:pPr>
              <w:rPr>
                <w:rFonts w:eastAsia="Times New Roman"/>
              </w:rPr>
            </w:pPr>
            <w:r>
              <w:rPr>
                <w:rFonts w:eastAsia="Times New Roman"/>
                <w:color w:val="000000"/>
                <w:sz w:val="20"/>
                <w:szCs w:val="20"/>
              </w:rPr>
              <w:t>Metal</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B1BF3E0" w14:textId="77777777" w:rsidR="00000000" w:rsidRDefault="00195E73">
            <w:pPr>
              <w:jc w:val="right"/>
              <w:rPr>
                <w:rFonts w:eastAsia="Times New Roman"/>
              </w:rPr>
            </w:pPr>
            <w:r>
              <w:rPr>
                <w:rFonts w:eastAsia="Times New Roman"/>
                <w:color w:val="000000"/>
                <w:sz w:val="20"/>
                <w:szCs w:val="20"/>
              </w:rPr>
              <w:t>341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A6792B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756FF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555AFB" w14:textId="77777777" w:rsidR="00000000" w:rsidRDefault="00195E73">
            <w:pPr>
              <w:jc w:val="right"/>
              <w:rPr>
                <w:rFonts w:eastAsia="Times New Roman"/>
              </w:rPr>
            </w:pPr>
            <w:r>
              <w:rPr>
                <w:rFonts w:eastAsia="Times New Roman"/>
                <w:color w:val="000000"/>
                <w:sz w:val="20"/>
                <w:szCs w:val="20"/>
              </w:rPr>
              <w:t>467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B90198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2F97A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D8914B" w14:textId="77777777" w:rsidR="00000000" w:rsidRDefault="00195E73">
            <w:pPr>
              <w:jc w:val="right"/>
              <w:rPr>
                <w:rFonts w:eastAsia="Times New Roman"/>
              </w:rPr>
            </w:pPr>
            <w:r>
              <w:rPr>
                <w:rFonts w:eastAsia="Times New Roman"/>
                <w:color w:val="000000"/>
                <w:sz w:val="20"/>
                <w:szCs w:val="20"/>
              </w:rPr>
              <w:t>408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D4ABE9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77F7B1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A28E34" w14:textId="77777777" w:rsidR="00000000" w:rsidRDefault="00195E73">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736411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76C3E9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AAE167"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C961A7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58300C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C2BF1F" w14:textId="77777777" w:rsidR="00000000" w:rsidRDefault="00195E73">
            <w:pPr>
              <w:jc w:val="right"/>
              <w:rPr>
                <w:rFonts w:eastAsia="Times New Roman"/>
              </w:rPr>
            </w:pPr>
            <w:r>
              <w:rPr>
                <w:rFonts w:eastAsia="Times New Roman"/>
                <w:color w:val="000000"/>
                <w:sz w:val="20"/>
                <w:szCs w:val="20"/>
              </w:rPr>
              <w:t>(44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32ACB6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BC9D84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7BF06B" w14:textId="77777777" w:rsidR="00000000" w:rsidRDefault="00195E73">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2C308A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F30731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BD2E6D"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4AACE0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7AFF3B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255F77" w14:textId="77777777" w:rsidR="00000000" w:rsidRDefault="00195E73">
            <w:pPr>
              <w:jc w:val="right"/>
              <w:rPr>
                <w:rFonts w:eastAsia="Times New Roman"/>
              </w:rPr>
            </w:pPr>
            <w:r>
              <w:rPr>
                <w:rFonts w:eastAsia="Times New Roman"/>
                <w:color w:val="000000"/>
                <w:sz w:val="20"/>
                <w:szCs w:val="20"/>
              </w:rPr>
              <w:t>(44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8CC239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A7EE72C" w14:textId="77777777" w:rsidR="00000000" w:rsidRDefault="00195E73">
            <w:pPr>
              <w:rPr>
                <w:rFonts w:eastAsia="Times New Roman"/>
                <w:sz w:val="20"/>
                <w:szCs w:val="20"/>
              </w:rPr>
            </w:pPr>
          </w:p>
        </w:tc>
        <w:tc>
          <w:tcPr>
            <w:tcW w:w="0" w:type="auto"/>
            <w:vAlign w:val="center"/>
            <w:hideMark/>
          </w:tcPr>
          <w:p w14:paraId="01775230" w14:textId="77777777" w:rsidR="00000000" w:rsidRDefault="00195E73">
            <w:pPr>
              <w:rPr>
                <w:rFonts w:eastAsia="Times New Roman"/>
                <w:sz w:val="20"/>
                <w:szCs w:val="20"/>
              </w:rPr>
            </w:pPr>
          </w:p>
        </w:tc>
        <w:tc>
          <w:tcPr>
            <w:tcW w:w="0" w:type="auto"/>
            <w:vAlign w:val="center"/>
            <w:hideMark/>
          </w:tcPr>
          <w:p w14:paraId="5998AEB0" w14:textId="77777777" w:rsidR="00000000" w:rsidRDefault="00195E73">
            <w:pPr>
              <w:rPr>
                <w:rFonts w:eastAsia="Times New Roman"/>
                <w:sz w:val="20"/>
                <w:szCs w:val="20"/>
              </w:rPr>
            </w:pPr>
          </w:p>
        </w:tc>
        <w:tc>
          <w:tcPr>
            <w:tcW w:w="0" w:type="auto"/>
            <w:vAlign w:val="center"/>
            <w:hideMark/>
          </w:tcPr>
          <w:p w14:paraId="51727911" w14:textId="77777777" w:rsidR="00000000" w:rsidRDefault="00195E73">
            <w:pPr>
              <w:rPr>
                <w:rFonts w:eastAsia="Times New Roman"/>
                <w:sz w:val="20"/>
                <w:szCs w:val="20"/>
              </w:rPr>
            </w:pPr>
          </w:p>
        </w:tc>
        <w:tc>
          <w:tcPr>
            <w:tcW w:w="0" w:type="auto"/>
            <w:vAlign w:val="center"/>
            <w:hideMark/>
          </w:tcPr>
          <w:p w14:paraId="2F9B7265" w14:textId="77777777" w:rsidR="00000000" w:rsidRDefault="00195E73">
            <w:pPr>
              <w:rPr>
                <w:rFonts w:eastAsia="Times New Roman"/>
                <w:sz w:val="20"/>
                <w:szCs w:val="20"/>
              </w:rPr>
            </w:pPr>
          </w:p>
        </w:tc>
        <w:tc>
          <w:tcPr>
            <w:tcW w:w="0" w:type="auto"/>
            <w:vAlign w:val="center"/>
            <w:hideMark/>
          </w:tcPr>
          <w:p w14:paraId="798051C6" w14:textId="77777777" w:rsidR="00000000" w:rsidRDefault="00195E73">
            <w:pPr>
              <w:rPr>
                <w:rFonts w:eastAsia="Times New Roman"/>
                <w:sz w:val="20"/>
                <w:szCs w:val="20"/>
              </w:rPr>
            </w:pPr>
          </w:p>
        </w:tc>
        <w:tc>
          <w:tcPr>
            <w:tcW w:w="0" w:type="auto"/>
            <w:vAlign w:val="center"/>
            <w:hideMark/>
          </w:tcPr>
          <w:p w14:paraId="4ACE04E7" w14:textId="77777777" w:rsidR="00000000" w:rsidRDefault="00195E73">
            <w:pPr>
              <w:rPr>
                <w:rFonts w:eastAsia="Times New Roman"/>
                <w:sz w:val="20"/>
                <w:szCs w:val="20"/>
              </w:rPr>
            </w:pPr>
          </w:p>
        </w:tc>
        <w:tc>
          <w:tcPr>
            <w:tcW w:w="0" w:type="auto"/>
            <w:vAlign w:val="center"/>
            <w:hideMark/>
          </w:tcPr>
          <w:p w14:paraId="5C9EE204" w14:textId="77777777" w:rsidR="00000000" w:rsidRDefault="00195E73">
            <w:pPr>
              <w:rPr>
                <w:rFonts w:eastAsia="Times New Roman"/>
                <w:sz w:val="20"/>
                <w:szCs w:val="20"/>
              </w:rPr>
            </w:pPr>
          </w:p>
        </w:tc>
        <w:tc>
          <w:tcPr>
            <w:tcW w:w="0" w:type="auto"/>
            <w:vAlign w:val="center"/>
            <w:hideMark/>
          </w:tcPr>
          <w:p w14:paraId="565193F6" w14:textId="77777777" w:rsidR="00000000" w:rsidRDefault="00195E73">
            <w:pPr>
              <w:rPr>
                <w:rFonts w:eastAsia="Times New Roman"/>
                <w:sz w:val="20"/>
                <w:szCs w:val="20"/>
              </w:rPr>
            </w:pPr>
          </w:p>
        </w:tc>
      </w:tr>
      <w:tr w:rsidR="00195E73" w14:paraId="4CF9DE8A" w14:textId="77777777">
        <w:trPr>
          <w:divId w:val="850291618"/>
        </w:trPr>
        <w:tc>
          <w:tcPr>
            <w:tcW w:w="0" w:type="auto"/>
            <w:gridSpan w:val="3"/>
            <w:shd w:val="clear" w:color="auto" w:fill="CCEEFF"/>
            <w:tcMar>
              <w:top w:w="30" w:type="dxa"/>
              <w:left w:w="20" w:type="dxa"/>
              <w:bottom w:w="30" w:type="dxa"/>
              <w:right w:w="20" w:type="dxa"/>
            </w:tcMar>
            <w:vAlign w:val="bottom"/>
            <w:hideMark/>
          </w:tcPr>
          <w:p w14:paraId="099CAC09" w14:textId="77777777" w:rsidR="00000000" w:rsidRDefault="00195E73">
            <w:pPr>
              <w:rPr>
                <w:rFonts w:eastAsia="Times New Roman"/>
              </w:rPr>
            </w:pPr>
            <w:r>
              <w:rPr>
                <w:rFonts w:eastAsia="Times New Roman"/>
                <w:color w:val="000000"/>
                <w:sz w:val="20"/>
                <w:szCs w:val="20"/>
              </w:rPr>
              <w:t>Real Estat</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5A80781C" w14:textId="77777777" w:rsidR="00000000" w:rsidRDefault="00195E73">
            <w:pPr>
              <w:jc w:val="right"/>
              <w:rPr>
                <w:rFonts w:eastAsia="Times New Roman"/>
              </w:rPr>
            </w:pPr>
            <w:r>
              <w:rPr>
                <w:rFonts w:eastAsia="Times New Roman"/>
                <w:color w:val="000000"/>
                <w:sz w:val="20"/>
                <w:szCs w:val="20"/>
              </w:rPr>
              <w:t>103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D8CB5C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A261A1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C49251" w14:textId="77777777" w:rsidR="00000000" w:rsidRDefault="00195E73">
            <w:pPr>
              <w:jc w:val="right"/>
              <w:rPr>
                <w:rFonts w:eastAsia="Times New Roman"/>
              </w:rPr>
            </w:pPr>
            <w:r>
              <w:rPr>
                <w:rFonts w:eastAsia="Times New Roman"/>
                <w:color w:val="000000"/>
                <w:sz w:val="20"/>
                <w:szCs w:val="20"/>
              </w:rPr>
              <w:t>212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A2E07B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2EACC9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B7F09B" w14:textId="77777777" w:rsidR="00000000" w:rsidRDefault="00195E73">
            <w:pPr>
              <w:jc w:val="right"/>
              <w:rPr>
                <w:rFonts w:eastAsia="Times New Roman"/>
              </w:rPr>
            </w:pPr>
            <w:r>
              <w:rPr>
                <w:rFonts w:eastAsia="Times New Roman"/>
                <w:color w:val="000000"/>
                <w:sz w:val="20"/>
                <w:szCs w:val="20"/>
              </w:rPr>
              <w:t>628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F96612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19A59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F1F024" w14:textId="77777777" w:rsidR="00000000" w:rsidRDefault="00195E73">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596529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2EB6FE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31C7B7" w14:textId="77777777" w:rsidR="00000000" w:rsidRDefault="00195E73">
            <w:pPr>
              <w:jc w:val="right"/>
              <w:rPr>
                <w:rFonts w:eastAsia="Times New Roman"/>
              </w:rPr>
            </w:pPr>
            <w:r>
              <w:rPr>
                <w:rFonts w:eastAsia="Times New Roman"/>
                <w:color w:val="000000"/>
                <w:sz w:val="20"/>
                <w:szCs w:val="20"/>
              </w:rPr>
              <w:t>112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9C7918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827681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D06DED" w14:textId="77777777" w:rsidR="00000000" w:rsidRDefault="00195E73">
            <w:pPr>
              <w:jc w:val="right"/>
              <w:rPr>
                <w:rFonts w:eastAsia="Times New Roman"/>
              </w:rPr>
            </w:pPr>
            <w:r>
              <w:rPr>
                <w:rFonts w:eastAsia="Times New Roman"/>
                <w:color w:val="000000"/>
                <w:sz w:val="20"/>
                <w:szCs w:val="20"/>
              </w:rPr>
              <w:t>549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1612D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DC76D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C75E81" w14:textId="77777777" w:rsidR="00000000" w:rsidRDefault="00195E73">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D81839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CA2BE2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66C1A2" w14:textId="77777777" w:rsidR="00000000" w:rsidRDefault="00195E73">
            <w:pPr>
              <w:jc w:val="right"/>
              <w:rPr>
                <w:rFonts w:eastAsia="Times New Roman"/>
              </w:rPr>
            </w:pPr>
            <w:r>
              <w:rPr>
                <w:rFonts w:eastAsia="Times New Roman"/>
                <w:color w:val="000000"/>
                <w:sz w:val="20"/>
                <w:szCs w:val="20"/>
              </w:rPr>
              <w:t>112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31F0BF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919D6D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540272" w14:textId="77777777" w:rsidR="00000000" w:rsidRDefault="00195E73">
            <w:pPr>
              <w:jc w:val="right"/>
              <w:rPr>
                <w:rFonts w:eastAsia="Times New Roman"/>
              </w:rPr>
            </w:pPr>
            <w:r>
              <w:rPr>
                <w:rFonts w:eastAsia="Times New Roman"/>
                <w:color w:val="000000"/>
                <w:sz w:val="20"/>
                <w:szCs w:val="20"/>
              </w:rPr>
              <w:t>549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4EEB18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41C2622" w14:textId="77777777" w:rsidR="00000000" w:rsidRDefault="00195E73">
            <w:pPr>
              <w:rPr>
                <w:rFonts w:eastAsia="Times New Roman"/>
                <w:sz w:val="20"/>
                <w:szCs w:val="20"/>
              </w:rPr>
            </w:pPr>
          </w:p>
        </w:tc>
        <w:tc>
          <w:tcPr>
            <w:tcW w:w="0" w:type="auto"/>
            <w:vAlign w:val="center"/>
            <w:hideMark/>
          </w:tcPr>
          <w:p w14:paraId="56EFCDC0" w14:textId="77777777" w:rsidR="00000000" w:rsidRDefault="00195E73">
            <w:pPr>
              <w:rPr>
                <w:rFonts w:eastAsia="Times New Roman"/>
                <w:sz w:val="20"/>
                <w:szCs w:val="20"/>
              </w:rPr>
            </w:pPr>
          </w:p>
        </w:tc>
        <w:tc>
          <w:tcPr>
            <w:tcW w:w="0" w:type="auto"/>
            <w:vAlign w:val="center"/>
            <w:hideMark/>
          </w:tcPr>
          <w:p w14:paraId="48B53210" w14:textId="77777777" w:rsidR="00000000" w:rsidRDefault="00195E73">
            <w:pPr>
              <w:rPr>
                <w:rFonts w:eastAsia="Times New Roman"/>
                <w:sz w:val="20"/>
                <w:szCs w:val="20"/>
              </w:rPr>
            </w:pPr>
          </w:p>
        </w:tc>
        <w:tc>
          <w:tcPr>
            <w:tcW w:w="0" w:type="auto"/>
            <w:vAlign w:val="center"/>
            <w:hideMark/>
          </w:tcPr>
          <w:p w14:paraId="6A4E7E8E" w14:textId="77777777" w:rsidR="00000000" w:rsidRDefault="00195E73">
            <w:pPr>
              <w:rPr>
                <w:rFonts w:eastAsia="Times New Roman"/>
                <w:sz w:val="20"/>
                <w:szCs w:val="20"/>
              </w:rPr>
            </w:pPr>
          </w:p>
        </w:tc>
        <w:tc>
          <w:tcPr>
            <w:tcW w:w="0" w:type="auto"/>
            <w:vAlign w:val="center"/>
            <w:hideMark/>
          </w:tcPr>
          <w:p w14:paraId="6059F942" w14:textId="77777777" w:rsidR="00000000" w:rsidRDefault="00195E73">
            <w:pPr>
              <w:rPr>
                <w:rFonts w:eastAsia="Times New Roman"/>
                <w:sz w:val="20"/>
                <w:szCs w:val="20"/>
              </w:rPr>
            </w:pPr>
          </w:p>
        </w:tc>
        <w:tc>
          <w:tcPr>
            <w:tcW w:w="0" w:type="auto"/>
            <w:vAlign w:val="center"/>
            <w:hideMark/>
          </w:tcPr>
          <w:p w14:paraId="76BC337D" w14:textId="77777777" w:rsidR="00000000" w:rsidRDefault="00195E73">
            <w:pPr>
              <w:rPr>
                <w:rFonts w:eastAsia="Times New Roman"/>
                <w:sz w:val="20"/>
                <w:szCs w:val="20"/>
              </w:rPr>
            </w:pPr>
          </w:p>
        </w:tc>
        <w:tc>
          <w:tcPr>
            <w:tcW w:w="0" w:type="auto"/>
            <w:vAlign w:val="center"/>
            <w:hideMark/>
          </w:tcPr>
          <w:p w14:paraId="2D102C6F" w14:textId="77777777" w:rsidR="00000000" w:rsidRDefault="00195E73">
            <w:pPr>
              <w:rPr>
                <w:rFonts w:eastAsia="Times New Roman"/>
                <w:sz w:val="20"/>
                <w:szCs w:val="20"/>
              </w:rPr>
            </w:pPr>
          </w:p>
        </w:tc>
        <w:tc>
          <w:tcPr>
            <w:tcW w:w="0" w:type="auto"/>
            <w:vAlign w:val="center"/>
            <w:hideMark/>
          </w:tcPr>
          <w:p w14:paraId="60857910" w14:textId="77777777" w:rsidR="00000000" w:rsidRDefault="00195E73">
            <w:pPr>
              <w:rPr>
                <w:rFonts w:eastAsia="Times New Roman"/>
                <w:sz w:val="20"/>
                <w:szCs w:val="20"/>
              </w:rPr>
            </w:pPr>
          </w:p>
        </w:tc>
        <w:tc>
          <w:tcPr>
            <w:tcW w:w="0" w:type="auto"/>
            <w:vAlign w:val="center"/>
            <w:hideMark/>
          </w:tcPr>
          <w:p w14:paraId="7B823360" w14:textId="77777777" w:rsidR="00000000" w:rsidRDefault="00195E73">
            <w:pPr>
              <w:rPr>
                <w:rFonts w:eastAsia="Times New Roman"/>
                <w:sz w:val="20"/>
                <w:szCs w:val="20"/>
              </w:rPr>
            </w:pPr>
          </w:p>
        </w:tc>
      </w:tr>
      <w:tr w:rsidR="00195E73" w14:paraId="4F95B2C3" w14:textId="77777777">
        <w:trPr>
          <w:divId w:val="850291618"/>
        </w:trPr>
        <w:tc>
          <w:tcPr>
            <w:tcW w:w="0" w:type="auto"/>
            <w:gridSpan w:val="3"/>
            <w:shd w:val="clear" w:color="auto" w:fill="FFFFFF"/>
            <w:tcMar>
              <w:top w:w="30" w:type="dxa"/>
              <w:left w:w="20" w:type="dxa"/>
              <w:bottom w:w="30" w:type="dxa"/>
              <w:right w:w="20" w:type="dxa"/>
            </w:tcMar>
            <w:vAlign w:val="bottom"/>
            <w:hideMark/>
          </w:tcPr>
          <w:p w14:paraId="28DB26EE" w14:textId="77777777" w:rsidR="00000000" w:rsidRDefault="00195E73">
            <w:pPr>
              <w:rPr>
                <w:rFonts w:eastAsia="Times New Roman"/>
              </w:rPr>
            </w:pPr>
            <w:r>
              <w:rPr>
                <w:rFonts w:eastAsia="Times New Roman"/>
                <w:color w:val="000000"/>
                <w:sz w:val="20"/>
                <w:szCs w:val="20"/>
              </w:rPr>
              <w:t>Home Fashio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7A714748" w14:textId="77777777" w:rsidR="00000000" w:rsidRDefault="00195E73">
            <w:pPr>
              <w:jc w:val="right"/>
              <w:rPr>
                <w:rFonts w:eastAsia="Times New Roman"/>
              </w:rPr>
            </w:pPr>
            <w:r>
              <w:rPr>
                <w:rFonts w:eastAsia="Times New Roman"/>
                <w:color w:val="000000"/>
                <w:sz w:val="20"/>
                <w:szCs w:val="20"/>
              </w:rPr>
              <w:t>186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6C898A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895367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57D12B" w14:textId="77777777" w:rsidR="00000000" w:rsidRDefault="00195E73">
            <w:pPr>
              <w:jc w:val="right"/>
              <w:rPr>
                <w:rFonts w:eastAsia="Times New Roman"/>
              </w:rPr>
            </w:pPr>
            <w:r>
              <w:rPr>
                <w:rFonts w:eastAsia="Times New Roman"/>
                <w:color w:val="000000"/>
                <w:sz w:val="20"/>
                <w:szCs w:val="20"/>
              </w:rPr>
              <w:t>171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700393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E9F973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7A226E" w14:textId="77777777" w:rsidR="00000000" w:rsidRDefault="00195E73">
            <w:pPr>
              <w:jc w:val="right"/>
              <w:rPr>
                <w:rFonts w:eastAsia="Times New Roman"/>
              </w:rPr>
            </w:pPr>
            <w:r>
              <w:rPr>
                <w:rFonts w:eastAsia="Times New Roman"/>
                <w:color w:val="000000"/>
                <w:sz w:val="20"/>
                <w:szCs w:val="20"/>
              </w:rPr>
              <w:t>183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787A7F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A424AB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397F4F" w14:textId="77777777" w:rsidR="00000000" w:rsidRDefault="00195E73">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4D5ED5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DFDFA5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78D09D" w14:textId="77777777" w:rsidR="00000000" w:rsidRDefault="00195E73">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CE7F30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963EF4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E00B95" w14:textId="77777777" w:rsidR="00000000" w:rsidRDefault="00195E73">
            <w:pPr>
              <w:jc w:val="right"/>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32905D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7D27B4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D008AC" w14:textId="77777777" w:rsidR="00000000" w:rsidRDefault="00195E73">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7E9529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12A68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8C54E7" w14:textId="77777777" w:rsidR="00000000" w:rsidRDefault="00195E73">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5A1E80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F50152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48A8F3" w14:textId="77777777" w:rsidR="00000000" w:rsidRDefault="00195E73">
            <w:pPr>
              <w:jc w:val="right"/>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486511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FE0A409" w14:textId="77777777" w:rsidR="00000000" w:rsidRDefault="00195E73">
            <w:pPr>
              <w:rPr>
                <w:rFonts w:eastAsia="Times New Roman"/>
                <w:sz w:val="20"/>
                <w:szCs w:val="20"/>
              </w:rPr>
            </w:pPr>
          </w:p>
        </w:tc>
        <w:tc>
          <w:tcPr>
            <w:tcW w:w="0" w:type="auto"/>
            <w:vAlign w:val="center"/>
            <w:hideMark/>
          </w:tcPr>
          <w:p w14:paraId="7801C336" w14:textId="77777777" w:rsidR="00000000" w:rsidRDefault="00195E73">
            <w:pPr>
              <w:rPr>
                <w:rFonts w:eastAsia="Times New Roman"/>
                <w:sz w:val="20"/>
                <w:szCs w:val="20"/>
              </w:rPr>
            </w:pPr>
          </w:p>
        </w:tc>
        <w:tc>
          <w:tcPr>
            <w:tcW w:w="0" w:type="auto"/>
            <w:vAlign w:val="center"/>
            <w:hideMark/>
          </w:tcPr>
          <w:p w14:paraId="76AAD591" w14:textId="77777777" w:rsidR="00000000" w:rsidRDefault="00195E73">
            <w:pPr>
              <w:rPr>
                <w:rFonts w:eastAsia="Times New Roman"/>
                <w:sz w:val="20"/>
                <w:szCs w:val="20"/>
              </w:rPr>
            </w:pPr>
          </w:p>
        </w:tc>
        <w:tc>
          <w:tcPr>
            <w:tcW w:w="0" w:type="auto"/>
            <w:vAlign w:val="center"/>
            <w:hideMark/>
          </w:tcPr>
          <w:p w14:paraId="12D00BB2" w14:textId="77777777" w:rsidR="00000000" w:rsidRDefault="00195E73">
            <w:pPr>
              <w:rPr>
                <w:rFonts w:eastAsia="Times New Roman"/>
                <w:sz w:val="20"/>
                <w:szCs w:val="20"/>
              </w:rPr>
            </w:pPr>
          </w:p>
        </w:tc>
        <w:tc>
          <w:tcPr>
            <w:tcW w:w="0" w:type="auto"/>
            <w:vAlign w:val="center"/>
            <w:hideMark/>
          </w:tcPr>
          <w:p w14:paraId="525D746B" w14:textId="77777777" w:rsidR="00000000" w:rsidRDefault="00195E73">
            <w:pPr>
              <w:rPr>
                <w:rFonts w:eastAsia="Times New Roman"/>
                <w:sz w:val="20"/>
                <w:szCs w:val="20"/>
              </w:rPr>
            </w:pPr>
          </w:p>
        </w:tc>
        <w:tc>
          <w:tcPr>
            <w:tcW w:w="0" w:type="auto"/>
            <w:vAlign w:val="center"/>
            <w:hideMark/>
          </w:tcPr>
          <w:p w14:paraId="66481505" w14:textId="77777777" w:rsidR="00000000" w:rsidRDefault="00195E73">
            <w:pPr>
              <w:rPr>
                <w:rFonts w:eastAsia="Times New Roman"/>
                <w:sz w:val="20"/>
                <w:szCs w:val="20"/>
              </w:rPr>
            </w:pPr>
          </w:p>
        </w:tc>
        <w:tc>
          <w:tcPr>
            <w:tcW w:w="0" w:type="auto"/>
            <w:vAlign w:val="center"/>
            <w:hideMark/>
          </w:tcPr>
          <w:p w14:paraId="765B4D16" w14:textId="77777777" w:rsidR="00000000" w:rsidRDefault="00195E73">
            <w:pPr>
              <w:rPr>
                <w:rFonts w:eastAsia="Times New Roman"/>
                <w:sz w:val="20"/>
                <w:szCs w:val="20"/>
              </w:rPr>
            </w:pPr>
          </w:p>
        </w:tc>
        <w:tc>
          <w:tcPr>
            <w:tcW w:w="0" w:type="auto"/>
            <w:vAlign w:val="center"/>
            <w:hideMark/>
          </w:tcPr>
          <w:p w14:paraId="27A930E4" w14:textId="77777777" w:rsidR="00000000" w:rsidRDefault="00195E73">
            <w:pPr>
              <w:rPr>
                <w:rFonts w:eastAsia="Times New Roman"/>
                <w:sz w:val="20"/>
                <w:szCs w:val="20"/>
              </w:rPr>
            </w:pPr>
          </w:p>
        </w:tc>
        <w:tc>
          <w:tcPr>
            <w:tcW w:w="0" w:type="auto"/>
            <w:vAlign w:val="center"/>
            <w:hideMark/>
          </w:tcPr>
          <w:p w14:paraId="20C563E3" w14:textId="77777777" w:rsidR="00000000" w:rsidRDefault="00195E73">
            <w:pPr>
              <w:rPr>
                <w:rFonts w:eastAsia="Times New Roman"/>
                <w:sz w:val="20"/>
                <w:szCs w:val="20"/>
              </w:rPr>
            </w:pPr>
          </w:p>
        </w:tc>
      </w:tr>
      <w:tr w:rsidR="00195E73" w14:paraId="0112533D" w14:textId="77777777">
        <w:trPr>
          <w:divId w:val="850291618"/>
        </w:trPr>
        <w:tc>
          <w:tcPr>
            <w:tcW w:w="0" w:type="auto"/>
            <w:gridSpan w:val="3"/>
            <w:shd w:val="clear" w:color="auto" w:fill="CCEEFF"/>
            <w:tcMar>
              <w:top w:w="30" w:type="dxa"/>
              <w:left w:w="20" w:type="dxa"/>
              <w:bottom w:w="30" w:type="dxa"/>
              <w:right w:w="20" w:type="dxa"/>
            </w:tcMar>
            <w:vAlign w:val="bottom"/>
            <w:hideMark/>
          </w:tcPr>
          <w:p w14:paraId="3CF7BEA1" w14:textId="77777777" w:rsidR="00000000" w:rsidRDefault="00195E73">
            <w:pPr>
              <w:rPr>
                <w:rFonts w:eastAsia="Times New Roman"/>
              </w:rPr>
            </w:pPr>
            <w:r>
              <w:rPr>
                <w:rFonts w:eastAsia="Times New Roman"/>
                <w:color w:val="000000"/>
                <w:sz w:val="20"/>
                <w:szCs w:val="20"/>
              </w:rPr>
              <w:t>Minin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14:paraId="0758ED86" w14:textId="77777777" w:rsidR="00000000" w:rsidRDefault="00195E73">
            <w:pPr>
              <w:jc w:val="right"/>
              <w:rPr>
                <w:rFonts w:eastAsia="Times New Roman"/>
              </w:rPr>
            </w:pPr>
            <w:r>
              <w:rPr>
                <w:rFonts w:eastAsia="Times New Roman"/>
                <w:color w:val="000000"/>
                <w:sz w:val="20"/>
                <w:szCs w:val="20"/>
              </w:rPr>
              <w:t>382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99CE8A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396004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953A7E" w14:textId="77777777" w:rsidR="00000000" w:rsidRDefault="00195E73">
            <w:pPr>
              <w:jc w:val="right"/>
              <w:rPr>
                <w:rFonts w:eastAsia="Times New Roman"/>
              </w:rPr>
            </w:pPr>
            <w:r>
              <w:rPr>
                <w:rFonts w:eastAsia="Times New Roman"/>
                <w:color w:val="000000"/>
                <w:sz w:val="20"/>
                <w:szCs w:val="20"/>
              </w:rPr>
              <w:t>106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3F1F56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4602D2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B249D4" w14:textId="77777777" w:rsidR="00000000" w:rsidRDefault="00195E73">
            <w:pPr>
              <w:jc w:val="right"/>
              <w:rPr>
                <w:rFonts w:eastAsia="Times New Roman"/>
              </w:rPr>
            </w:pPr>
            <w:r>
              <w:rPr>
                <w:rFonts w:eastAsia="Times New Roman"/>
                <w:color w:val="000000"/>
                <w:sz w:val="20"/>
                <w:szCs w:val="20"/>
              </w:rPr>
              <w:t>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AC7174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D46FF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D7E531" w14:textId="77777777" w:rsidR="00000000" w:rsidRDefault="00195E73">
            <w:pPr>
              <w:jc w:val="right"/>
              <w:rPr>
                <w:rFonts w:eastAsia="Times New Roman"/>
              </w:rPr>
            </w:pPr>
            <w:r>
              <w:rPr>
                <w:rFonts w:eastAsia="Times New Roman"/>
                <w:color w:val="000000"/>
                <w:sz w:val="20"/>
                <w:szCs w:val="20"/>
              </w:rPr>
              <w:t>311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78064D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3A85B7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CB1279"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905ED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92F80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421EE6" w14:textId="77777777" w:rsidR="00000000" w:rsidRDefault="00195E73">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EA84F3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9F4063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A02568" w14:textId="77777777" w:rsidR="00000000" w:rsidRDefault="00195E73">
            <w:pPr>
              <w:jc w:val="right"/>
              <w:rPr>
                <w:rFonts w:eastAsia="Times New Roman"/>
              </w:rPr>
            </w:pPr>
            <w:r>
              <w:rPr>
                <w:rFonts w:eastAsia="Times New Roman"/>
                <w:color w:val="000000"/>
                <w:sz w:val="20"/>
                <w:szCs w:val="20"/>
              </w:rPr>
              <w:t>299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7C7D90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8DEB27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7285C3"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E82323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3CDB13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1546A8" w14:textId="77777777" w:rsidR="00000000" w:rsidRDefault="00195E73">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C44584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4FA5216" w14:textId="77777777" w:rsidR="00000000" w:rsidRDefault="00195E73">
            <w:pPr>
              <w:rPr>
                <w:rFonts w:eastAsia="Times New Roman"/>
                <w:sz w:val="20"/>
                <w:szCs w:val="20"/>
              </w:rPr>
            </w:pPr>
          </w:p>
        </w:tc>
        <w:tc>
          <w:tcPr>
            <w:tcW w:w="0" w:type="auto"/>
            <w:vAlign w:val="center"/>
            <w:hideMark/>
          </w:tcPr>
          <w:p w14:paraId="022BF0BC" w14:textId="77777777" w:rsidR="00000000" w:rsidRDefault="00195E73">
            <w:pPr>
              <w:rPr>
                <w:rFonts w:eastAsia="Times New Roman"/>
                <w:sz w:val="20"/>
                <w:szCs w:val="20"/>
              </w:rPr>
            </w:pPr>
          </w:p>
        </w:tc>
        <w:tc>
          <w:tcPr>
            <w:tcW w:w="0" w:type="auto"/>
            <w:vAlign w:val="center"/>
            <w:hideMark/>
          </w:tcPr>
          <w:p w14:paraId="6ABF0E7F" w14:textId="77777777" w:rsidR="00000000" w:rsidRDefault="00195E73">
            <w:pPr>
              <w:rPr>
                <w:rFonts w:eastAsia="Times New Roman"/>
                <w:sz w:val="20"/>
                <w:szCs w:val="20"/>
              </w:rPr>
            </w:pPr>
          </w:p>
        </w:tc>
        <w:tc>
          <w:tcPr>
            <w:tcW w:w="0" w:type="auto"/>
            <w:vAlign w:val="center"/>
            <w:hideMark/>
          </w:tcPr>
          <w:p w14:paraId="3E9C12CE" w14:textId="77777777" w:rsidR="00000000" w:rsidRDefault="00195E73">
            <w:pPr>
              <w:rPr>
                <w:rFonts w:eastAsia="Times New Roman"/>
                <w:sz w:val="20"/>
                <w:szCs w:val="20"/>
              </w:rPr>
            </w:pPr>
          </w:p>
        </w:tc>
        <w:tc>
          <w:tcPr>
            <w:tcW w:w="0" w:type="auto"/>
            <w:vAlign w:val="center"/>
            <w:hideMark/>
          </w:tcPr>
          <w:p w14:paraId="048A2C33" w14:textId="77777777" w:rsidR="00000000" w:rsidRDefault="00195E73">
            <w:pPr>
              <w:rPr>
                <w:rFonts w:eastAsia="Times New Roman"/>
                <w:sz w:val="20"/>
                <w:szCs w:val="20"/>
              </w:rPr>
            </w:pPr>
          </w:p>
        </w:tc>
        <w:tc>
          <w:tcPr>
            <w:tcW w:w="0" w:type="auto"/>
            <w:vAlign w:val="center"/>
            <w:hideMark/>
          </w:tcPr>
          <w:p w14:paraId="43CE5F51" w14:textId="77777777" w:rsidR="00000000" w:rsidRDefault="00195E73">
            <w:pPr>
              <w:rPr>
                <w:rFonts w:eastAsia="Times New Roman"/>
                <w:sz w:val="20"/>
                <w:szCs w:val="20"/>
              </w:rPr>
            </w:pPr>
          </w:p>
        </w:tc>
        <w:tc>
          <w:tcPr>
            <w:tcW w:w="0" w:type="auto"/>
            <w:vAlign w:val="center"/>
            <w:hideMark/>
          </w:tcPr>
          <w:p w14:paraId="5F2B8881" w14:textId="77777777" w:rsidR="00000000" w:rsidRDefault="00195E73">
            <w:pPr>
              <w:rPr>
                <w:rFonts w:eastAsia="Times New Roman"/>
                <w:sz w:val="20"/>
                <w:szCs w:val="20"/>
              </w:rPr>
            </w:pPr>
          </w:p>
        </w:tc>
        <w:tc>
          <w:tcPr>
            <w:tcW w:w="0" w:type="auto"/>
            <w:vAlign w:val="center"/>
            <w:hideMark/>
          </w:tcPr>
          <w:p w14:paraId="2420B427" w14:textId="77777777" w:rsidR="00000000" w:rsidRDefault="00195E73">
            <w:pPr>
              <w:rPr>
                <w:rFonts w:eastAsia="Times New Roman"/>
                <w:sz w:val="20"/>
                <w:szCs w:val="20"/>
              </w:rPr>
            </w:pPr>
          </w:p>
        </w:tc>
        <w:tc>
          <w:tcPr>
            <w:tcW w:w="0" w:type="auto"/>
            <w:vAlign w:val="center"/>
            <w:hideMark/>
          </w:tcPr>
          <w:p w14:paraId="15ABF63E" w14:textId="77777777" w:rsidR="00000000" w:rsidRDefault="00195E73">
            <w:pPr>
              <w:rPr>
                <w:rFonts w:eastAsia="Times New Roman"/>
                <w:sz w:val="20"/>
                <w:szCs w:val="20"/>
              </w:rPr>
            </w:pPr>
          </w:p>
        </w:tc>
      </w:tr>
      <w:tr w:rsidR="00195E73" w14:paraId="429B28BF" w14:textId="77777777">
        <w:trPr>
          <w:divId w:val="850291618"/>
        </w:trPr>
        <w:tc>
          <w:tcPr>
            <w:tcW w:w="0" w:type="auto"/>
            <w:gridSpan w:val="3"/>
            <w:shd w:val="clear" w:color="auto" w:fill="FFFFFF"/>
            <w:tcMar>
              <w:top w:w="30" w:type="dxa"/>
              <w:left w:w="20" w:type="dxa"/>
              <w:bottom w:w="30" w:type="dxa"/>
              <w:right w:w="20" w:type="dxa"/>
            </w:tcMar>
            <w:vAlign w:val="bottom"/>
            <w:hideMark/>
          </w:tcPr>
          <w:p w14:paraId="370FECCE" w14:textId="77777777" w:rsidR="00000000" w:rsidRDefault="00195E73">
            <w:pPr>
              <w:rPr>
                <w:rFonts w:eastAsia="Times New Roman"/>
              </w:rPr>
            </w:pPr>
            <w:r>
              <w:rPr>
                <w:rFonts w:eastAsia="Times New Roman"/>
                <w:color w:val="000000"/>
                <w:sz w:val="20"/>
                <w:szCs w:val="20"/>
              </w:rPr>
              <w:t>Railca</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78FC63AA"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5886B5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8AC8B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43D639"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7E213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2CC68D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DF96C4" w14:textId="77777777" w:rsidR="00000000" w:rsidRDefault="00195E73">
            <w:pPr>
              <w:jc w:val="right"/>
              <w:rPr>
                <w:rFonts w:eastAsia="Times New Roman"/>
              </w:rPr>
            </w:pPr>
            <w:r>
              <w:rPr>
                <w:rFonts w:eastAsia="Times New Roman"/>
                <w:color w:val="000000"/>
                <w:sz w:val="20"/>
                <w:szCs w:val="20"/>
              </w:rPr>
              <w:t>1,837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AA7A4A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C65B25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780C4C"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C7CA52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4D80E5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AB55FB"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0E5C5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0FA685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82153F" w14:textId="77777777" w:rsidR="00000000" w:rsidRDefault="00195E73">
            <w:pPr>
              <w:jc w:val="right"/>
              <w:rPr>
                <w:rFonts w:eastAsia="Times New Roman"/>
              </w:rPr>
            </w:pPr>
            <w:r>
              <w:rPr>
                <w:rFonts w:eastAsia="Times New Roman"/>
                <w:color w:val="000000"/>
                <w:sz w:val="20"/>
                <w:szCs w:val="20"/>
              </w:rPr>
              <w:t>1,171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675CF7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0A5610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870EC0"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F4D95B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E768A7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ABCFF9"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E56793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6762E0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D132D7" w14:textId="77777777" w:rsidR="00000000" w:rsidRDefault="00195E73">
            <w:pPr>
              <w:jc w:val="right"/>
              <w:rPr>
                <w:rFonts w:eastAsia="Times New Roman"/>
              </w:rPr>
            </w:pPr>
            <w:r>
              <w:rPr>
                <w:rFonts w:eastAsia="Times New Roman"/>
                <w:color w:val="000000"/>
                <w:sz w:val="20"/>
                <w:szCs w:val="20"/>
              </w:rPr>
              <w:t>1,171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A98299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A804446" w14:textId="77777777" w:rsidR="00000000" w:rsidRDefault="00195E73">
            <w:pPr>
              <w:rPr>
                <w:rFonts w:eastAsia="Times New Roman"/>
                <w:sz w:val="20"/>
                <w:szCs w:val="20"/>
              </w:rPr>
            </w:pPr>
          </w:p>
        </w:tc>
        <w:tc>
          <w:tcPr>
            <w:tcW w:w="0" w:type="auto"/>
            <w:vAlign w:val="center"/>
            <w:hideMark/>
          </w:tcPr>
          <w:p w14:paraId="75C7F0AB" w14:textId="77777777" w:rsidR="00000000" w:rsidRDefault="00195E73">
            <w:pPr>
              <w:rPr>
                <w:rFonts w:eastAsia="Times New Roman"/>
                <w:sz w:val="20"/>
                <w:szCs w:val="20"/>
              </w:rPr>
            </w:pPr>
          </w:p>
        </w:tc>
        <w:tc>
          <w:tcPr>
            <w:tcW w:w="0" w:type="auto"/>
            <w:vAlign w:val="center"/>
            <w:hideMark/>
          </w:tcPr>
          <w:p w14:paraId="1268B5A7" w14:textId="77777777" w:rsidR="00000000" w:rsidRDefault="00195E73">
            <w:pPr>
              <w:rPr>
                <w:rFonts w:eastAsia="Times New Roman"/>
                <w:sz w:val="20"/>
                <w:szCs w:val="20"/>
              </w:rPr>
            </w:pPr>
          </w:p>
        </w:tc>
        <w:tc>
          <w:tcPr>
            <w:tcW w:w="0" w:type="auto"/>
            <w:vAlign w:val="center"/>
            <w:hideMark/>
          </w:tcPr>
          <w:p w14:paraId="560D7FF0" w14:textId="77777777" w:rsidR="00000000" w:rsidRDefault="00195E73">
            <w:pPr>
              <w:rPr>
                <w:rFonts w:eastAsia="Times New Roman"/>
                <w:sz w:val="20"/>
                <w:szCs w:val="20"/>
              </w:rPr>
            </w:pPr>
          </w:p>
        </w:tc>
        <w:tc>
          <w:tcPr>
            <w:tcW w:w="0" w:type="auto"/>
            <w:vAlign w:val="center"/>
            <w:hideMark/>
          </w:tcPr>
          <w:p w14:paraId="5EF203D6" w14:textId="77777777" w:rsidR="00000000" w:rsidRDefault="00195E73">
            <w:pPr>
              <w:rPr>
                <w:rFonts w:eastAsia="Times New Roman"/>
                <w:sz w:val="20"/>
                <w:szCs w:val="20"/>
              </w:rPr>
            </w:pPr>
          </w:p>
        </w:tc>
        <w:tc>
          <w:tcPr>
            <w:tcW w:w="0" w:type="auto"/>
            <w:vAlign w:val="center"/>
            <w:hideMark/>
          </w:tcPr>
          <w:p w14:paraId="058A06EE" w14:textId="77777777" w:rsidR="00000000" w:rsidRDefault="00195E73">
            <w:pPr>
              <w:rPr>
                <w:rFonts w:eastAsia="Times New Roman"/>
                <w:sz w:val="20"/>
                <w:szCs w:val="20"/>
              </w:rPr>
            </w:pPr>
          </w:p>
        </w:tc>
        <w:tc>
          <w:tcPr>
            <w:tcW w:w="0" w:type="auto"/>
            <w:vAlign w:val="center"/>
            <w:hideMark/>
          </w:tcPr>
          <w:p w14:paraId="1B38984D" w14:textId="77777777" w:rsidR="00000000" w:rsidRDefault="00195E73">
            <w:pPr>
              <w:rPr>
                <w:rFonts w:eastAsia="Times New Roman"/>
                <w:sz w:val="20"/>
                <w:szCs w:val="20"/>
              </w:rPr>
            </w:pPr>
          </w:p>
        </w:tc>
        <w:tc>
          <w:tcPr>
            <w:tcW w:w="0" w:type="auto"/>
            <w:vAlign w:val="center"/>
            <w:hideMark/>
          </w:tcPr>
          <w:p w14:paraId="65379285" w14:textId="77777777" w:rsidR="00000000" w:rsidRDefault="00195E73">
            <w:pPr>
              <w:rPr>
                <w:rFonts w:eastAsia="Times New Roman"/>
                <w:sz w:val="20"/>
                <w:szCs w:val="20"/>
              </w:rPr>
            </w:pPr>
          </w:p>
        </w:tc>
        <w:tc>
          <w:tcPr>
            <w:tcW w:w="0" w:type="auto"/>
            <w:vAlign w:val="center"/>
            <w:hideMark/>
          </w:tcPr>
          <w:p w14:paraId="1FFCDC46" w14:textId="77777777" w:rsidR="00000000" w:rsidRDefault="00195E73">
            <w:pPr>
              <w:rPr>
                <w:rFonts w:eastAsia="Times New Roman"/>
                <w:sz w:val="20"/>
                <w:szCs w:val="20"/>
              </w:rPr>
            </w:pPr>
          </w:p>
        </w:tc>
      </w:tr>
      <w:tr w:rsidR="00195E73" w14:paraId="30695549" w14:textId="77777777">
        <w:trPr>
          <w:divId w:val="850291618"/>
        </w:trPr>
        <w:tc>
          <w:tcPr>
            <w:tcW w:w="0" w:type="auto"/>
            <w:gridSpan w:val="3"/>
            <w:shd w:val="clear" w:color="auto" w:fill="CCEEFF"/>
            <w:tcMar>
              <w:top w:w="30" w:type="dxa"/>
              <w:left w:w="20" w:type="dxa"/>
              <w:bottom w:w="30" w:type="dxa"/>
              <w:right w:w="20" w:type="dxa"/>
            </w:tcMar>
            <w:vAlign w:val="bottom"/>
            <w:hideMark/>
          </w:tcPr>
          <w:p w14:paraId="5576ED85" w14:textId="77777777" w:rsidR="00000000" w:rsidRDefault="00195E73">
            <w:pPr>
              <w:ind w:hanging="90"/>
              <w:divId w:val="711922900"/>
              <w:rPr>
                <w:rFonts w:eastAsia="Times New Roman"/>
              </w:rPr>
            </w:pPr>
            <w:r>
              <w:rPr>
                <w:rFonts w:eastAsia="Times New Roman"/>
                <w:color w:val="000000"/>
                <w:sz w:val="20"/>
                <w:szCs w:val="20"/>
              </w:rPr>
              <w:t>Other operating segment</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82E1C1" w14:textId="77777777" w:rsidR="00000000" w:rsidRDefault="00195E73">
            <w:pPr>
              <w:jc w:val="right"/>
              <w:rPr>
                <w:rFonts w:eastAsia="Times New Roman"/>
              </w:rPr>
            </w:pPr>
            <w:r>
              <w:rPr>
                <w:rFonts w:eastAsia="Times New Roman"/>
                <w:color w:val="000000"/>
                <w:sz w:val="20"/>
                <w:szCs w:val="20"/>
              </w:rPr>
              <w:t>10,667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E1B8C2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1DD2C68"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FD6301" w14:textId="77777777" w:rsidR="00000000" w:rsidRDefault="00195E73">
            <w:pPr>
              <w:jc w:val="right"/>
              <w:rPr>
                <w:rFonts w:eastAsia="Times New Roman"/>
              </w:rPr>
            </w:pPr>
            <w:r>
              <w:rPr>
                <w:rFonts w:eastAsia="Times New Roman"/>
                <w:color w:val="000000"/>
                <w:sz w:val="20"/>
                <w:szCs w:val="20"/>
              </w:rPr>
              <w:t>11,331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FCBF34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E41DE4A"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F98663" w14:textId="77777777" w:rsidR="00000000" w:rsidRDefault="00195E73">
            <w:pPr>
              <w:jc w:val="right"/>
              <w:rPr>
                <w:rFonts w:eastAsia="Times New Roman"/>
              </w:rPr>
            </w:pPr>
            <w:r>
              <w:rPr>
                <w:rFonts w:eastAsia="Times New Roman"/>
                <w:color w:val="000000"/>
                <w:sz w:val="20"/>
                <w:szCs w:val="20"/>
              </w:rPr>
              <w:t>12,254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2A5651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E234CF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4C6903" w14:textId="77777777" w:rsidR="00000000" w:rsidRDefault="00195E73">
            <w:pPr>
              <w:jc w:val="right"/>
              <w:rPr>
                <w:rFonts w:eastAsia="Times New Roman"/>
              </w:rPr>
            </w:pPr>
            <w:r>
              <w:rPr>
                <w:rFonts w:eastAsia="Times New Roman"/>
                <w:color w:val="000000"/>
                <w:sz w:val="20"/>
                <w:szCs w:val="20"/>
              </w:rPr>
              <w:t>383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D657B4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937D8F8"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8B6B12" w14:textId="77777777" w:rsidR="00000000" w:rsidRDefault="00195E73">
            <w:pPr>
              <w:jc w:val="right"/>
              <w:rPr>
                <w:rFonts w:eastAsia="Times New Roman"/>
              </w:rPr>
            </w:pPr>
            <w:r>
              <w:rPr>
                <w:rFonts w:eastAsia="Times New Roman"/>
                <w:color w:val="000000"/>
                <w:sz w:val="20"/>
                <w:szCs w:val="20"/>
              </w:rPr>
              <w:t>197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5978E9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463D3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A6C184" w14:textId="77777777" w:rsidR="00000000" w:rsidRDefault="00195E73">
            <w:pPr>
              <w:jc w:val="right"/>
              <w:rPr>
                <w:rFonts w:eastAsia="Times New Roman"/>
              </w:rPr>
            </w:pPr>
            <w:r>
              <w:rPr>
                <w:rFonts w:eastAsia="Times New Roman"/>
                <w:color w:val="000000"/>
                <w:sz w:val="20"/>
                <w:szCs w:val="20"/>
              </w:rPr>
              <w:t>1,925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75AC5B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5EB785"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B34734" w14:textId="77777777" w:rsidR="00000000" w:rsidRDefault="00195E73">
            <w:pPr>
              <w:jc w:val="right"/>
              <w:rPr>
                <w:rFonts w:eastAsia="Times New Roman"/>
              </w:rPr>
            </w:pPr>
            <w:r>
              <w:rPr>
                <w:rFonts w:eastAsia="Times New Roman"/>
                <w:color w:val="000000"/>
                <w:sz w:val="20"/>
                <w:szCs w:val="20"/>
              </w:rPr>
              <w:t>308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4BF603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CDB2560"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35B656" w14:textId="77777777" w:rsidR="00000000" w:rsidRDefault="00195E73">
            <w:pPr>
              <w:jc w:val="right"/>
              <w:rPr>
                <w:rFonts w:eastAsia="Times New Roman"/>
              </w:rPr>
            </w:pPr>
            <w:r>
              <w:rPr>
                <w:rFonts w:eastAsia="Times New Roman"/>
                <w:color w:val="000000"/>
                <w:sz w:val="20"/>
                <w:szCs w:val="20"/>
              </w:rPr>
              <w:t>81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DA0A84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649DFC"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0D9F7E" w14:textId="77777777" w:rsidR="00000000" w:rsidRDefault="00195E73">
            <w:pPr>
              <w:jc w:val="right"/>
              <w:rPr>
                <w:rFonts w:eastAsia="Times New Roman"/>
              </w:rPr>
            </w:pPr>
            <w:r>
              <w:rPr>
                <w:rFonts w:eastAsia="Times New Roman"/>
                <w:color w:val="000000"/>
                <w:sz w:val="20"/>
                <w:szCs w:val="20"/>
              </w:rPr>
              <w:t>1,862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7AC818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FF239A9" w14:textId="77777777" w:rsidR="00000000" w:rsidRDefault="00195E73">
            <w:pPr>
              <w:rPr>
                <w:rFonts w:eastAsia="Times New Roman"/>
                <w:sz w:val="20"/>
                <w:szCs w:val="20"/>
              </w:rPr>
            </w:pPr>
          </w:p>
        </w:tc>
        <w:tc>
          <w:tcPr>
            <w:tcW w:w="0" w:type="auto"/>
            <w:vAlign w:val="center"/>
            <w:hideMark/>
          </w:tcPr>
          <w:p w14:paraId="0A9B00E2" w14:textId="77777777" w:rsidR="00000000" w:rsidRDefault="00195E73">
            <w:pPr>
              <w:rPr>
                <w:rFonts w:eastAsia="Times New Roman"/>
                <w:sz w:val="20"/>
                <w:szCs w:val="20"/>
              </w:rPr>
            </w:pPr>
          </w:p>
        </w:tc>
        <w:tc>
          <w:tcPr>
            <w:tcW w:w="0" w:type="auto"/>
            <w:vAlign w:val="center"/>
            <w:hideMark/>
          </w:tcPr>
          <w:p w14:paraId="777D9492" w14:textId="77777777" w:rsidR="00000000" w:rsidRDefault="00195E73">
            <w:pPr>
              <w:rPr>
                <w:rFonts w:eastAsia="Times New Roman"/>
                <w:sz w:val="20"/>
                <w:szCs w:val="20"/>
              </w:rPr>
            </w:pPr>
          </w:p>
        </w:tc>
        <w:tc>
          <w:tcPr>
            <w:tcW w:w="0" w:type="auto"/>
            <w:vAlign w:val="center"/>
            <w:hideMark/>
          </w:tcPr>
          <w:p w14:paraId="27B9A744" w14:textId="77777777" w:rsidR="00000000" w:rsidRDefault="00195E73">
            <w:pPr>
              <w:rPr>
                <w:rFonts w:eastAsia="Times New Roman"/>
                <w:sz w:val="20"/>
                <w:szCs w:val="20"/>
              </w:rPr>
            </w:pPr>
          </w:p>
        </w:tc>
        <w:tc>
          <w:tcPr>
            <w:tcW w:w="0" w:type="auto"/>
            <w:vAlign w:val="center"/>
            <w:hideMark/>
          </w:tcPr>
          <w:p w14:paraId="1852A9DB" w14:textId="77777777" w:rsidR="00000000" w:rsidRDefault="00195E73">
            <w:pPr>
              <w:rPr>
                <w:rFonts w:eastAsia="Times New Roman"/>
                <w:sz w:val="20"/>
                <w:szCs w:val="20"/>
              </w:rPr>
            </w:pPr>
          </w:p>
        </w:tc>
        <w:tc>
          <w:tcPr>
            <w:tcW w:w="0" w:type="auto"/>
            <w:vAlign w:val="center"/>
            <w:hideMark/>
          </w:tcPr>
          <w:p w14:paraId="364AFB58" w14:textId="77777777" w:rsidR="00000000" w:rsidRDefault="00195E73">
            <w:pPr>
              <w:rPr>
                <w:rFonts w:eastAsia="Times New Roman"/>
                <w:sz w:val="20"/>
                <w:szCs w:val="20"/>
              </w:rPr>
            </w:pPr>
          </w:p>
        </w:tc>
        <w:tc>
          <w:tcPr>
            <w:tcW w:w="0" w:type="auto"/>
            <w:vAlign w:val="center"/>
            <w:hideMark/>
          </w:tcPr>
          <w:p w14:paraId="75992F10" w14:textId="77777777" w:rsidR="00000000" w:rsidRDefault="00195E73">
            <w:pPr>
              <w:rPr>
                <w:rFonts w:eastAsia="Times New Roman"/>
                <w:sz w:val="20"/>
                <w:szCs w:val="20"/>
              </w:rPr>
            </w:pPr>
          </w:p>
        </w:tc>
        <w:tc>
          <w:tcPr>
            <w:tcW w:w="0" w:type="auto"/>
            <w:vAlign w:val="center"/>
            <w:hideMark/>
          </w:tcPr>
          <w:p w14:paraId="10AF7FB0" w14:textId="77777777" w:rsidR="00000000" w:rsidRDefault="00195E73">
            <w:pPr>
              <w:rPr>
                <w:rFonts w:eastAsia="Times New Roman"/>
                <w:sz w:val="20"/>
                <w:szCs w:val="20"/>
              </w:rPr>
            </w:pPr>
          </w:p>
        </w:tc>
        <w:tc>
          <w:tcPr>
            <w:tcW w:w="0" w:type="auto"/>
            <w:vAlign w:val="center"/>
            <w:hideMark/>
          </w:tcPr>
          <w:p w14:paraId="37C2349E" w14:textId="77777777" w:rsidR="00000000" w:rsidRDefault="00195E73">
            <w:pPr>
              <w:rPr>
                <w:rFonts w:eastAsia="Times New Roman"/>
                <w:sz w:val="20"/>
                <w:szCs w:val="20"/>
              </w:rPr>
            </w:pPr>
          </w:p>
        </w:tc>
      </w:tr>
      <w:tr w:rsidR="00195E73" w14:paraId="06CFFABE" w14:textId="77777777">
        <w:trPr>
          <w:divId w:val="850291618"/>
        </w:trPr>
        <w:tc>
          <w:tcPr>
            <w:tcW w:w="0" w:type="auto"/>
            <w:gridSpan w:val="3"/>
            <w:shd w:val="clear" w:color="auto" w:fill="FFFFFF"/>
            <w:tcMar>
              <w:top w:w="30" w:type="dxa"/>
              <w:left w:w="20" w:type="dxa"/>
              <w:bottom w:w="30" w:type="dxa"/>
              <w:right w:w="20" w:type="dxa"/>
            </w:tcMar>
            <w:vAlign w:val="bottom"/>
            <w:hideMark/>
          </w:tcPr>
          <w:p w14:paraId="53F99AB9" w14:textId="77777777" w:rsidR="00000000" w:rsidRDefault="00195E73">
            <w:pPr>
              <w:rPr>
                <w:rFonts w:eastAsia="Times New Roman"/>
              </w:rPr>
            </w:pPr>
            <w:r>
              <w:rPr>
                <w:rFonts w:eastAsia="Times New Roman"/>
                <w:color w:val="000000"/>
                <w:sz w:val="20"/>
                <w:szCs w:val="20"/>
              </w:rPr>
              <w:t>Consolidate</w:t>
            </w:r>
            <w:r>
              <w:rPr>
                <w:rFonts w:eastAsia="Times New Roman"/>
                <w:color w:val="000000"/>
                <w:sz w:val="20"/>
                <w:szCs w:val="20"/>
              </w:rPr>
              <w:t>d</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9B196C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CF33062" w14:textId="77777777" w:rsidR="00000000" w:rsidRDefault="00195E73">
            <w:pPr>
              <w:jc w:val="right"/>
              <w:rPr>
                <w:rFonts w:eastAsia="Times New Roman"/>
              </w:rPr>
            </w:pPr>
            <w:r>
              <w:rPr>
                <w:rFonts w:eastAsia="Times New Roman"/>
                <w:color w:val="000000"/>
                <w:sz w:val="20"/>
                <w:szCs w:val="20"/>
              </w:rPr>
              <w:t>8,992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893E76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D2074E5"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13123F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53CE1F1" w14:textId="77777777" w:rsidR="00000000" w:rsidRDefault="00195E73">
            <w:pPr>
              <w:jc w:val="right"/>
              <w:rPr>
                <w:rFonts w:eastAsia="Times New Roman"/>
              </w:rPr>
            </w:pPr>
            <w:r>
              <w:rPr>
                <w:rFonts w:eastAsia="Times New Roman"/>
                <w:color w:val="000000"/>
                <w:sz w:val="20"/>
                <w:szCs w:val="20"/>
              </w:rPr>
              <w:t>11,777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BB4AB0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D11EDA0"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3D61B4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7E1018E" w14:textId="77777777" w:rsidR="00000000" w:rsidRDefault="00195E73">
            <w:pPr>
              <w:jc w:val="right"/>
              <w:rPr>
                <w:rFonts w:eastAsia="Times New Roman"/>
              </w:rPr>
            </w:pPr>
            <w:r>
              <w:rPr>
                <w:rFonts w:eastAsia="Times New Roman"/>
                <w:color w:val="000000"/>
                <w:sz w:val="20"/>
                <w:szCs w:val="20"/>
              </w:rPr>
              <w:t>12,619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E05761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290DBA0"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A465F9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8CE153A" w14:textId="77777777" w:rsidR="00000000" w:rsidRDefault="00195E73">
            <w:pPr>
              <w:jc w:val="right"/>
              <w:rPr>
                <w:rFonts w:eastAsia="Times New Roman"/>
              </w:rPr>
            </w:pPr>
            <w:r>
              <w:rPr>
                <w:rFonts w:eastAsia="Times New Roman"/>
                <w:color w:val="000000"/>
                <w:sz w:val="20"/>
                <w:szCs w:val="20"/>
              </w:rPr>
              <w:t>(1,759</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510FEB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809094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DB69FB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21B34E3" w14:textId="77777777" w:rsidR="00000000" w:rsidRDefault="00195E73">
            <w:pPr>
              <w:jc w:val="right"/>
              <w:rPr>
                <w:rFonts w:eastAsia="Times New Roman"/>
              </w:rPr>
            </w:pPr>
            <w:r>
              <w:rPr>
                <w:rFonts w:eastAsia="Times New Roman"/>
                <w:color w:val="000000"/>
                <w:sz w:val="20"/>
                <w:szCs w:val="20"/>
              </w:rPr>
              <w:t>237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8C89B7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301FF01"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EA06EC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BC5AE17" w14:textId="77777777" w:rsidR="00000000" w:rsidRDefault="00195E73">
            <w:pPr>
              <w:jc w:val="right"/>
              <w:rPr>
                <w:rFonts w:eastAsia="Times New Roman"/>
              </w:rPr>
            </w:pPr>
            <w:r>
              <w:rPr>
                <w:rFonts w:eastAsia="Times New Roman"/>
                <w:color w:val="000000"/>
                <w:sz w:val="20"/>
                <w:szCs w:val="20"/>
              </w:rPr>
              <w:t>2,398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9B4A05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17715E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090D80D"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FBD31FB" w14:textId="77777777" w:rsidR="00000000" w:rsidRDefault="00195E73">
            <w:pPr>
              <w:jc w:val="right"/>
              <w:rPr>
                <w:rFonts w:eastAsia="Times New Roman"/>
              </w:rPr>
            </w:pPr>
            <w:r>
              <w:rPr>
                <w:rFonts w:eastAsia="Times New Roman"/>
                <w:color w:val="000000"/>
                <w:sz w:val="20"/>
                <w:szCs w:val="20"/>
              </w:rPr>
              <w:t>(1,066</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8333A0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0471D0E"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332602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E9E94C0" w14:textId="77777777" w:rsidR="00000000" w:rsidRDefault="00195E73">
            <w:pPr>
              <w:jc w:val="right"/>
              <w:rPr>
                <w:rFonts w:eastAsia="Times New Roman"/>
              </w:rPr>
            </w:pPr>
            <w:r>
              <w:rPr>
                <w:rFonts w:eastAsia="Times New Roman"/>
                <w:color w:val="000000"/>
                <w:sz w:val="20"/>
                <w:szCs w:val="20"/>
              </w:rPr>
              <w:t>(238</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4BD5D8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FB99401"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D6FB84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41FDC520" w14:textId="77777777" w:rsidR="00000000" w:rsidRDefault="00195E73">
            <w:pPr>
              <w:jc w:val="right"/>
              <w:rPr>
                <w:rFonts w:eastAsia="Times New Roman"/>
              </w:rPr>
            </w:pPr>
            <w:r>
              <w:rPr>
                <w:rFonts w:eastAsia="Times New Roman"/>
                <w:color w:val="000000"/>
                <w:sz w:val="20"/>
                <w:szCs w:val="20"/>
              </w:rPr>
              <w:t>2,297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F80392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51DC03F" w14:textId="77777777" w:rsidR="00000000" w:rsidRDefault="00195E73">
            <w:pPr>
              <w:rPr>
                <w:rFonts w:eastAsia="Times New Roman"/>
                <w:sz w:val="20"/>
                <w:szCs w:val="20"/>
              </w:rPr>
            </w:pPr>
          </w:p>
        </w:tc>
        <w:tc>
          <w:tcPr>
            <w:tcW w:w="0" w:type="auto"/>
            <w:vAlign w:val="center"/>
            <w:hideMark/>
          </w:tcPr>
          <w:p w14:paraId="51650F5F" w14:textId="77777777" w:rsidR="00000000" w:rsidRDefault="00195E73">
            <w:pPr>
              <w:rPr>
                <w:rFonts w:eastAsia="Times New Roman"/>
                <w:sz w:val="20"/>
                <w:szCs w:val="20"/>
              </w:rPr>
            </w:pPr>
          </w:p>
        </w:tc>
        <w:tc>
          <w:tcPr>
            <w:tcW w:w="0" w:type="auto"/>
            <w:vAlign w:val="center"/>
            <w:hideMark/>
          </w:tcPr>
          <w:p w14:paraId="2D0B8B3A" w14:textId="77777777" w:rsidR="00000000" w:rsidRDefault="00195E73">
            <w:pPr>
              <w:rPr>
                <w:rFonts w:eastAsia="Times New Roman"/>
                <w:sz w:val="20"/>
                <w:szCs w:val="20"/>
              </w:rPr>
            </w:pPr>
          </w:p>
        </w:tc>
        <w:tc>
          <w:tcPr>
            <w:tcW w:w="0" w:type="auto"/>
            <w:vAlign w:val="center"/>
            <w:hideMark/>
          </w:tcPr>
          <w:p w14:paraId="2EE8F023" w14:textId="77777777" w:rsidR="00000000" w:rsidRDefault="00195E73">
            <w:pPr>
              <w:rPr>
                <w:rFonts w:eastAsia="Times New Roman"/>
                <w:sz w:val="20"/>
                <w:szCs w:val="20"/>
              </w:rPr>
            </w:pPr>
          </w:p>
        </w:tc>
        <w:tc>
          <w:tcPr>
            <w:tcW w:w="0" w:type="auto"/>
            <w:vAlign w:val="center"/>
            <w:hideMark/>
          </w:tcPr>
          <w:p w14:paraId="39512DCE" w14:textId="77777777" w:rsidR="00000000" w:rsidRDefault="00195E73">
            <w:pPr>
              <w:rPr>
                <w:rFonts w:eastAsia="Times New Roman"/>
                <w:sz w:val="20"/>
                <w:szCs w:val="20"/>
              </w:rPr>
            </w:pPr>
          </w:p>
        </w:tc>
        <w:tc>
          <w:tcPr>
            <w:tcW w:w="0" w:type="auto"/>
            <w:vAlign w:val="center"/>
            <w:hideMark/>
          </w:tcPr>
          <w:p w14:paraId="7A570F6D" w14:textId="77777777" w:rsidR="00000000" w:rsidRDefault="00195E73">
            <w:pPr>
              <w:rPr>
                <w:rFonts w:eastAsia="Times New Roman"/>
                <w:sz w:val="20"/>
                <w:szCs w:val="20"/>
              </w:rPr>
            </w:pPr>
          </w:p>
        </w:tc>
        <w:tc>
          <w:tcPr>
            <w:tcW w:w="0" w:type="auto"/>
            <w:vAlign w:val="center"/>
            <w:hideMark/>
          </w:tcPr>
          <w:p w14:paraId="78F7AF65" w14:textId="77777777" w:rsidR="00000000" w:rsidRDefault="00195E73">
            <w:pPr>
              <w:rPr>
                <w:rFonts w:eastAsia="Times New Roman"/>
                <w:sz w:val="20"/>
                <w:szCs w:val="20"/>
              </w:rPr>
            </w:pPr>
          </w:p>
        </w:tc>
        <w:tc>
          <w:tcPr>
            <w:tcW w:w="0" w:type="auto"/>
            <w:vAlign w:val="center"/>
            <w:hideMark/>
          </w:tcPr>
          <w:p w14:paraId="5110BDFC" w14:textId="77777777" w:rsidR="00000000" w:rsidRDefault="00195E73">
            <w:pPr>
              <w:rPr>
                <w:rFonts w:eastAsia="Times New Roman"/>
                <w:sz w:val="20"/>
                <w:szCs w:val="20"/>
              </w:rPr>
            </w:pPr>
          </w:p>
        </w:tc>
        <w:tc>
          <w:tcPr>
            <w:tcW w:w="0" w:type="auto"/>
            <w:vAlign w:val="center"/>
            <w:hideMark/>
          </w:tcPr>
          <w:p w14:paraId="0A5555F9" w14:textId="77777777" w:rsidR="00000000" w:rsidRDefault="00195E73">
            <w:pPr>
              <w:rPr>
                <w:rFonts w:eastAsia="Times New Roman"/>
                <w:sz w:val="20"/>
                <w:szCs w:val="20"/>
              </w:rPr>
            </w:pPr>
          </w:p>
        </w:tc>
      </w:tr>
    </w:tbl>
    <w:p w14:paraId="73D2F0DC" w14:textId="77777777" w:rsidR="00000000" w:rsidRDefault="00195E73">
      <w:pPr>
        <w:divId w:val="1445536312"/>
        <w:rPr>
          <w:rFonts w:eastAsia="Times New Roman"/>
        </w:rPr>
      </w:pPr>
    </w:p>
    <w:p w14:paraId="7E6F1DB5" w14:textId="77777777" w:rsidR="00000000" w:rsidRDefault="00195E73">
      <w:pPr>
        <w:ind w:firstLine="450"/>
        <w:divId w:val="1654143460"/>
        <w:rPr>
          <w:rFonts w:eastAsia="Times New Roman"/>
        </w:rPr>
      </w:pPr>
      <w:r>
        <w:rPr>
          <w:rFonts w:eastAsia="Times New Roman"/>
          <w:color w:val="000000"/>
          <w:sz w:val="20"/>
          <w:szCs w:val="20"/>
        </w:rPr>
        <w:t>Management’s Discussion and Analysis of Results of Operations discusses the comparisons between the years ended Dece</w:t>
      </w:r>
      <w:r>
        <w:rPr>
          <w:rFonts w:eastAsia="Times New Roman"/>
          <w:color w:val="000000"/>
          <w:sz w:val="20"/>
          <w:szCs w:val="20"/>
        </w:rPr>
        <w:t>mber 31, 2019 and 2018. Certain discussions of results of operations for the comparisons between the years ended December 31, 2018 and 2017 are not included in this Report. Refer to “Management’s Discussion and Analysis of Financial Condition and Results o</w:t>
      </w:r>
      <w:r>
        <w:rPr>
          <w:rFonts w:eastAsia="Times New Roman"/>
          <w:color w:val="000000"/>
          <w:sz w:val="20"/>
          <w:szCs w:val="20"/>
        </w:rPr>
        <w:t>f Operations” in Part II, Item 7 of our Annual Report on Form 10-K for the fiscal year ended December 31, 2018, filed on March 1, 2019, for such discussions</w:t>
      </w:r>
      <w:r>
        <w:rPr>
          <w:rFonts w:eastAsia="Times New Roman"/>
          <w:color w:val="000000"/>
          <w:sz w:val="20"/>
          <w:szCs w:val="20"/>
        </w:rPr>
        <w:t>.</w:t>
      </w:r>
    </w:p>
    <w:p w14:paraId="07D39747" w14:textId="77777777" w:rsidR="00000000" w:rsidRDefault="00195E73">
      <w:pPr>
        <w:divId w:val="1898393391"/>
        <w:rPr>
          <w:rFonts w:eastAsia="Times New Roman"/>
        </w:rPr>
      </w:pPr>
      <w:r>
        <w:rPr>
          <w:rFonts w:eastAsia="Times New Roman"/>
          <w:b/>
          <w:bCs/>
          <w:i/>
          <w:iCs/>
          <w:color w:val="000000"/>
          <w:sz w:val="20"/>
          <w:szCs w:val="20"/>
        </w:rPr>
        <w:t>Investmen</w:t>
      </w:r>
      <w:r>
        <w:rPr>
          <w:rFonts w:eastAsia="Times New Roman"/>
          <w:b/>
          <w:bCs/>
          <w:i/>
          <w:iCs/>
          <w:color w:val="000000"/>
          <w:sz w:val="20"/>
          <w:szCs w:val="20"/>
        </w:rPr>
        <w:t>t</w:t>
      </w:r>
    </w:p>
    <w:p w14:paraId="5B5F2F45" w14:textId="77777777" w:rsidR="00000000" w:rsidRDefault="00195E73">
      <w:pPr>
        <w:ind w:firstLine="450"/>
        <w:divId w:val="703023699"/>
        <w:rPr>
          <w:rFonts w:eastAsia="Times New Roman"/>
        </w:rPr>
      </w:pPr>
      <w:r>
        <w:rPr>
          <w:rFonts w:eastAsia="Times New Roman"/>
          <w:color w:val="000000"/>
          <w:sz w:val="20"/>
          <w:szCs w:val="20"/>
        </w:rPr>
        <w:t>We invest our proprietary capital through various private investment funds (the “Invest</w:t>
      </w:r>
      <w:r>
        <w:rPr>
          <w:rFonts w:eastAsia="Times New Roman"/>
          <w:color w:val="000000"/>
          <w:sz w:val="20"/>
          <w:szCs w:val="20"/>
        </w:rPr>
        <w:t xml:space="preserve">ment Funds”). As of December 31, 2019 and 2018, we had investments with a fair market value of approximately $4.3 billion and $5.1 billion, respectively, in the Investment Funds. As of December 31, 2019 and 2018, the total fair market value of investments </w:t>
      </w:r>
      <w:r>
        <w:rPr>
          <w:rFonts w:eastAsia="Times New Roman"/>
          <w:color w:val="000000"/>
          <w:sz w:val="20"/>
          <w:szCs w:val="20"/>
        </w:rPr>
        <w:t>in the Investment Funds made by Mr. Icahn and his affiliates (excluding us) was approximately $4.5 billion and $5.0 billion, respectively.</w:t>
      </w:r>
      <w:r>
        <w:rPr>
          <w:rFonts w:eastAsia="Times New Roman"/>
          <w:color w:val="000000"/>
          <w:sz w:val="20"/>
          <w:szCs w:val="20"/>
        </w:rPr>
        <w:t xml:space="preserve"> </w:t>
      </w:r>
    </w:p>
    <w:p w14:paraId="6DA557E9" w14:textId="77777777" w:rsidR="00000000" w:rsidRDefault="00195E73">
      <w:pPr>
        <w:ind w:firstLine="405"/>
        <w:divId w:val="1716923818"/>
        <w:rPr>
          <w:rFonts w:eastAsia="Times New Roman"/>
        </w:rPr>
      </w:pPr>
      <w:r>
        <w:rPr>
          <w:rFonts w:eastAsia="Times New Roman"/>
          <w:color w:val="000000"/>
          <w:sz w:val="20"/>
          <w:szCs w:val="20"/>
        </w:rPr>
        <w:t>Our Investment segment’</w:t>
      </w:r>
      <w:r>
        <w:rPr>
          <w:rFonts w:eastAsia="Times New Roman"/>
          <w:color w:val="000000"/>
          <w:sz w:val="20"/>
          <w:szCs w:val="20"/>
        </w:rPr>
        <w:t>s results of operations are reflected in net income (loss) in the consolidated statements of operations. Our Investment segment’s net income (loss) is driven by the amount of funds allocated to the Investment Funds and the performance of the underlying inv</w:t>
      </w:r>
      <w:r>
        <w:rPr>
          <w:rFonts w:eastAsia="Times New Roman"/>
          <w:color w:val="000000"/>
          <w:sz w:val="20"/>
          <w:szCs w:val="20"/>
        </w:rPr>
        <w:t>estments in the Investment Funds. Future funds allocated to the Investment Funds may increase or decrease based on the contributions and redemptions by our Holding Company and by Mr. Icahn and his affiliates. Additionally, historical performance results of</w:t>
      </w:r>
      <w:r>
        <w:rPr>
          <w:rFonts w:eastAsia="Times New Roman"/>
          <w:color w:val="000000"/>
          <w:sz w:val="20"/>
          <w:szCs w:val="20"/>
        </w:rPr>
        <w:t xml:space="preserve"> the Investment Funds are not indicative of future results as past market conditions, investment opportunities and investment decisions may not occur in the future. Changes in general market</w:t>
      </w:r>
      <w:r>
        <w:rPr>
          <w:rFonts w:eastAsia="Times New Roman"/>
          <w:color w:val="000000"/>
          <w:sz w:val="20"/>
          <w:szCs w:val="20"/>
        </w:rPr>
        <w:t xml:space="preserve"> </w:t>
      </w:r>
    </w:p>
    <w:p w14:paraId="7B2A6A6B" w14:textId="77777777" w:rsidR="00000000" w:rsidRDefault="00195E73">
      <w:pPr>
        <w:jc w:val="center"/>
        <w:divId w:val="1945962168"/>
        <w:rPr>
          <w:rFonts w:eastAsia="Times New Roman"/>
        </w:rPr>
      </w:pPr>
      <w:r>
        <w:rPr>
          <w:rFonts w:eastAsia="Times New Roman"/>
          <w:color w:val="000000"/>
          <w:sz w:val="20"/>
          <w:szCs w:val="20"/>
        </w:rPr>
        <w:t>3</w:t>
      </w:r>
      <w:r>
        <w:rPr>
          <w:rFonts w:eastAsia="Times New Roman"/>
          <w:color w:val="000000"/>
          <w:sz w:val="20"/>
          <w:szCs w:val="20"/>
        </w:rPr>
        <w:t>2</w:t>
      </w:r>
    </w:p>
    <w:p w14:paraId="254196EA" w14:textId="77777777" w:rsidR="00000000" w:rsidRDefault="00195E73">
      <w:pPr>
        <w:rPr>
          <w:rFonts w:eastAsia="Times New Roman"/>
        </w:rPr>
      </w:pPr>
      <w:r>
        <w:rPr>
          <w:rFonts w:eastAsia="Times New Roman"/>
        </w:rPr>
        <w:pict w14:anchorId="7081E233">
          <v:rect id="_x0000_i1058" style="width:0;height:1.5pt" o:hralign="center" o:hrstd="t" o:hr="t" fillcolor="#a0a0a0" stroked="f"/>
        </w:pict>
      </w:r>
    </w:p>
    <w:p w14:paraId="60475537" w14:textId="77777777" w:rsidR="00000000" w:rsidRDefault="00195E73">
      <w:pPr>
        <w:divId w:val="1352805052"/>
        <w:rPr>
          <w:rFonts w:eastAsia="Times New Roman"/>
        </w:rPr>
      </w:pPr>
    </w:p>
    <w:p w14:paraId="2B9D0064" w14:textId="77777777" w:rsidR="00000000" w:rsidRDefault="00195E73">
      <w:pPr>
        <w:divId w:val="2016035787"/>
        <w:rPr>
          <w:rFonts w:eastAsia="Times New Roman"/>
        </w:rPr>
      </w:pPr>
      <w:r>
        <w:rPr>
          <w:rFonts w:eastAsia="Times New Roman"/>
          <w:color w:val="000000"/>
          <w:sz w:val="20"/>
          <w:szCs w:val="20"/>
        </w:rPr>
        <w:t>conditions coupled wit</w:t>
      </w:r>
      <w:r>
        <w:rPr>
          <w:rFonts w:eastAsia="Times New Roman"/>
          <w:color w:val="000000"/>
          <w:sz w:val="20"/>
          <w:szCs w:val="20"/>
        </w:rPr>
        <w:t>h changes in exposure to short and long positions have significant impact on our Investment segment’s results of operations and the comparability of results of operations year over year and as such, future results of operations will be impacted by our futu</w:t>
      </w:r>
      <w:r>
        <w:rPr>
          <w:rFonts w:eastAsia="Times New Roman"/>
          <w:color w:val="000000"/>
          <w:sz w:val="20"/>
          <w:szCs w:val="20"/>
        </w:rPr>
        <w:t xml:space="preserve">re exposures and future market conditions, which may not be consistent with prior trends. Refer to the “Investment Segment Liquidity” section of our “Liquidity and Capital Resources” discussion for additional information regarding our Investment segment’s </w:t>
      </w:r>
      <w:r>
        <w:rPr>
          <w:rFonts w:eastAsia="Times New Roman"/>
          <w:color w:val="000000"/>
          <w:sz w:val="20"/>
          <w:szCs w:val="20"/>
        </w:rPr>
        <w:t>exposure as of December 31, 2019</w:t>
      </w:r>
      <w:r>
        <w:rPr>
          <w:rFonts w:eastAsia="Times New Roman"/>
          <w:color w:val="000000"/>
          <w:sz w:val="20"/>
          <w:szCs w:val="20"/>
        </w:rPr>
        <w:t>.</w:t>
      </w:r>
    </w:p>
    <w:p w14:paraId="4124B4E6" w14:textId="77777777" w:rsidR="00000000" w:rsidRDefault="00195E73">
      <w:pPr>
        <w:ind w:firstLine="405"/>
        <w:divId w:val="1666780705"/>
        <w:rPr>
          <w:rFonts w:eastAsia="Times New Roman"/>
        </w:rPr>
      </w:pPr>
      <w:r>
        <w:rPr>
          <w:rFonts w:eastAsia="Times New Roman"/>
          <w:color w:val="000000"/>
          <w:sz w:val="20"/>
          <w:szCs w:val="20"/>
        </w:rPr>
        <w:t>For the years ended December 31, 2019, 2018 and 2017, our Investment Funds’ returns were (15.4)%, 7.9% and 2.1%, respectively. Our Investment Funds’ returns represent a weighted-average composite of the average returns, ne</w:t>
      </w:r>
      <w:r>
        <w:rPr>
          <w:rFonts w:eastAsia="Times New Roman"/>
          <w:color w:val="000000"/>
          <w:sz w:val="20"/>
          <w:szCs w:val="20"/>
        </w:rPr>
        <w:t>t of expenses. The following table sets forth the performance attribution for the Investment Funds’ returns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4783"/>
        <w:gridCol w:w="36"/>
        <w:gridCol w:w="48"/>
        <w:gridCol w:w="703"/>
        <w:gridCol w:w="203"/>
        <w:gridCol w:w="36"/>
        <w:gridCol w:w="36"/>
        <w:gridCol w:w="36"/>
        <w:gridCol w:w="39"/>
        <w:gridCol w:w="675"/>
        <w:gridCol w:w="203"/>
        <w:gridCol w:w="36"/>
        <w:gridCol w:w="36"/>
        <w:gridCol w:w="36"/>
        <w:gridCol w:w="39"/>
        <w:gridCol w:w="676"/>
        <w:gridCol w:w="203"/>
        <w:gridCol w:w="36"/>
        <w:gridCol w:w="36"/>
        <w:gridCol w:w="36"/>
        <w:gridCol w:w="36"/>
        <w:gridCol w:w="36"/>
        <w:gridCol w:w="36"/>
        <w:gridCol w:w="36"/>
        <w:gridCol w:w="36"/>
        <w:gridCol w:w="36"/>
        <w:gridCol w:w="36"/>
        <w:gridCol w:w="36"/>
        <w:gridCol w:w="36"/>
      </w:tblGrid>
      <w:tr w:rsidR="00000000" w14:paraId="3E785B0B" w14:textId="77777777">
        <w:trPr>
          <w:gridAfter w:val="12"/>
          <w:divId w:val="132842356"/>
          <w:jc w:val="center"/>
        </w:trPr>
        <w:tc>
          <w:tcPr>
            <w:tcW w:w="50" w:type="pct"/>
            <w:vAlign w:val="center"/>
            <w:hideMark/>
          </w:tcPr>
          <w:p w14:paraId="383CBAB7" w14:textId="77777777" w:rsidR="00000000" w:rsidRDefault="00195E73">
            <w:pPr>
              <w:ind w:firstLine="405"/>
              <w:rPr>
                <w:rFonts w:eastAsia="Times New Roman"/>
              </w:rPr>
            </w:pPr>
          </w:p>
        </w:tc>
        <w:tc>
          <w:tcPr>
            <w:tcW w:w="3069" w:type="pct"/>
            <w:vAlign w:val="center"/>
            <w:hideMark/>
          </w:tcPr>
          <w:p w14:paraId="0CD3CC2F" w14:textId="77777777" w:rsidR="00000000" w:rsidRDefault="00195E73">
            <w:pPr>
              <w:rPr>
                <w:rFonts w:eastAsia="Times New Roman"/>
                <w:sz w:val="20"/>
                <w:szCs w:val="20"/>
              </w:rPr>
            </w:pPr>
          </w:p>
        </w:tc>
        <w:tc>
          <w:tcPr>
            <w:tcW w:w="50" w:type="pct"/>
            <w:vAlign w:val="center"/>
            <w:hideMark/>
          </w:tcPr>
          <w:p w14:paraId="344CE86A" w14:textId="77777777" w:rsidR="00000000" w:rsidRDefault="00195E73">
            <w:pPr>
              <w:rPr>
                <w:rFonts w:eastAsia="Times New Roman"/>
                <w:sz w:val="20"/>
                <w:szCs w:val="20"/>
              </w:rPr>
            </w:pPr>
          </w:p>
        </w:tc>
        <w:tc>
          <w:tcPr>
            <w:tcW w:w="50" w:type="pct"/>
            <w:vAlign w:val="center"/>
            <w:hideMark/>
          </w:tcPr>
          <w:p w14:paraId="057CECF9" w14:textId="77777777" w:rsidR="00000000" w:rsidRDefault="00195E73">
            <w:pPr>
              <w:rPr>
                <w:rFonts w:eastAsia="Times New Roman"/>
                <w:sz w:val="20"/>
                <w:szCs w:val="20"/>
              </w:rPr>
            </w:pPr>
          </w:p>
        </w:tc>
        <w:tc>
          <w:tcPr>
            <w:tcW w:w="485" w:type="pct"/>
            <w:vAlign w:val="center"/>
            <w:hideMark/>
          </w:tcPr>
          <w:p w14:paraId="249BC45B" w14:textId="77777777" w:rsidR="00000000" w:rsidRDefault="00195E73">
            <w:pPr>
              <w:rPr>
                <w:rFonts w:eastAsia="Times New Roman"/>
                <w:sz w:val="20"/>
                <w:szCs w:val="20"/>
              </w:rPr>
            </w:pPr>
          </w:p>
        </w:tc>
        <w:tc>
          <w:tcPr>
            <w:tcW w:w="50" w:type="pct"/>
            <w:vAlign w:val="center"/>
            <w:hideMark/>
          </w:tcPr>
          <w:p w14:paraId="06C89DDF" w14:textId="77777777" w:rsidR="00000000" w:rsidRDefault="00195E73">
            <w:pPr>
              <w:rPr>
                <w:rFonts w:eastAsia="Times New Roman"/>
                <w:sz w:val="20"/>
                <w:szCs w:val="20"/>
              </w:rPr>
            </w:pPr>
          </w:p>
        </w:tc>
        <w:tc>
          <w:tcPr>
            <w:tcW w:w="5" w:type="pct"/>
            <w:vAlign w:val="center"/>
            <w:hideMark/>
          </w:tcPr>
          <w:p w14:paraId="595D1A13" w14:textId="77777777" w:rsidR="00000000" w:rsidRDefault="00195E73">
            <w:pPr>
              <w:rPr>
                <w:rFonts w:eastAsia="Times New Roman"/>
                <w:sz w:val="20"/>
                <w:szCs w:val="20"/>
              </w:rPr>
            </w:pPr>
          </w:p>
        </w:tc>
        <w:tc>
          <w:tcPr>
            <w:tcW w:w="26" w:type="pct"/>
            <w:vAlign w:val="center"/>
            <w:hideMark/>
          </w:tcPr>
          <w:p w14:paraId="63BE2F3B" w14:textId="77777777" w:rsidR="00000000" w:rsidRDefault="00195E73">
            <w:pPr>
              <w:rPr>
                <w:rFonts w:eastAsia="Times New Roman"/>
                <w:sz w:val="20"/>
                <w:szCs w:val="20"/>
              </w:rPr>
            </w:pPr>
          </w:p>
        </w:tc>
        <w:tc>
          <w:tcPr>
            <w:tcW w:w="5" w:type="pct"/>
            <w:vAlign w:val="center"/>
            <w:hideMark/>
          </w:tcPr>
          <w:p w14:paraId="1226CC98" w14:textId="77777777" w:rsidR="00000000" w:rsidRDefault="00195E73">
            <w:pPr>
              <w:rPr>
                <w:rFonts w:eastAsia="Times New Roman"/>
                <w:sz w:val="20"/>
                <w:szCs w:val="20"/>
              </w:rPr>
            </w:pPr>
          </w:p>
        </w:tc>
        <w:tc>
          <w:tcPr>
            <w:tcW w:w="50" w:type="pct"/>
            <w:vAlign w:val="center"/>
            <w:hideMark/>
          </w:tcPr>
          <w:p w14:paraId="758394BE" w14:textId="77777777" w:rsidR="00000000" w:rsidRDefault="00195E73">
            <w:pPr>
              <w:rPr>
                <w:rFonts w:eastAsia="Times New Roman"/>
                <w:sz w:val="20"/>
                <w:szCs w:val="20"/>
              </w:rPr>
            </w:pPr>
          </w:p>
        </w:tc>
        <w:tc>
          <w:tcPr>
            <w:tcW w:w="485" w:type="pct"/>
            <w:vAlign w:val="center"/>
            <w:hideMark/>
          </w:tcPr>
          <w:p w14:paraId="53EE3FB3" w14:textId="77777777" w:rsidR="00000000" w:rsidRDefault="00195E73">
            <w:pPr>
              <w:rPr>
                <w:rFonts w:eastAsia="Times New Roman"/>
                <w:sz w:val="20"/>
                <w:szCs w:val="20"/>
              </w:rPr>
            </w:pPr>
          </w:p>
        </w:tc>
        <w:tc>
          <w:tcPr>
            <w:tcW w:w="50" w:type="pct"/>
            <w:vAlign w:val="center"/>
            <w:hideMark/>
          </w:tcPr>
          <w:p w14:paraId="760E8779" w14:textId="77777777" w:rsidR="00000000" w:rsidRDefault="00195E73">
            <w:pPr>
              <w:rPr>
                <w:rFonts w:eastAsia="Times New Roman"/>
                <w:sz w:val="20"/>
                <w:szCs w:val="20"/>
              </w:rPr>
            </w:pPr>
          </w:p>
        </w:tc>
        <w:tc>
          <w:tcPr>
            <w:tcW w:w="5" w:type="pct"/>
            <w:vAlign w:val="center"/>
            <w:hideMark/>
          </w:tcPr>
          <w:p w14:paraId="267017CF" w14:textId="77777777" w:rsidR="00000000" w:rsidRDefault="00195E73">
            <w:pPr>
              <w:rPr>
                <w:rFonts w:eastAsia="Times New Roman"/>
                <w:sz w:val="20"/>
                <w:szCs w:val="20"/>
              </w:rPr>
            </w:pPr>
          </w:p>
        </w:tc>
        <w:tc>
          <w:tcPr>
            <w:tcW w:w="26" w:type="pct"/>
            <w:vAlign w:val="center"/>
            <w:hideMark/>
          </w:tcPr>
          <w:p w14:paraId="354E1493" w14:textId="77777777" w:rsidR="00000000" w:rsidRDefault="00195E73">
            <w:pPr>
              <w:rPr>
                <w:rFonts w:eastAsia="Times New Roman"/>
                <w:sz w:val="20"/>
                <w:szCs w:val="20"/>
              </w:rPr>
            </w:pPr>
          </w:p>
        </w:tc>
        <w:tc>
          <w:tcPr>
            <w:tcW w:w="5" w:type="pct"/>
            <w:vAlign w:val="center"/>
            <w:hideMark/>
          </w:tcPr>
          <w:p w14:paraId="0F7823F9" w14:textId="77777777" w:rsidR="00000000" w:rsidRDefault="00195E73">
            <w:pPr>
              <w:rPr>
                <w:rFonts w:eastAsia="Times New Roman"/>
                <w:sz w:val="20"/>
                <w:szCs w:val="20"/>
              </w:rPr>
            </w:pPr>
          </w:p>
        </w:tc>
        <w:tc>
          <w:tcPr>
            <w:tcW w:w="50" w:type="pct"/>
            <w:vAlign w:val="center"/>
            <w:hideMark/>
          </w:tcPr>
          <w:p w14:paraId="0F08AF66" w14:textId="77777777" w:rsidR="00000000" w:rsidRDefault="00195E73">
            <w:pPr>
              <w:rPr>
                <w:rFonts w:eastAsia="Times New Roman"/>
                <w:sz w:val="20"/>
                <w:szCs w:val="20"/>
              </w:rPr>
            </w:pPr>
          </w:p>
        </w:tc>
        <w:tc>
          <w:tcPr>
            <w:tcW w:w="485" w:type="pct"/>
            <w:vAlign w:val="center"/>
            <w:hideMark/>
          </w:tcPr>
          <w:p w14:paraId="5B3D8869" w14:textId="77777777" w:rsidR="00000000" w:rsidRDefault="00195E73">
            <w:pPr>
              <w:rPr>
                <w:rFonts w:eastAsia="Times New Roman"/>
                <w:sz w:val="20"/>
                <w:szCs w:val="20"/>
              </w:rPr>
            </w:pPr>
          </w:p>
        </w:tc>
        <w:tc>
          <w:tcPr>
            <w:tcW w:w="50" w:type="pct"/>
            <w:vAlign w:val="center"/>
            <w:hideMark/>
          </w:tcPr>
          <w:p w14:paraId="62A7125D" w14:textId="77777777" w:rsidR="00000000" w:rsidRDefault="00195E73">
            <w:pPr>
              <w:rPr>
                <w:rFonts w:eastAsia="Times New Roman"/>
                <w:sz w:val="20"/>
                <w:szCs w:val="20"/>
              </w:rPr>
            </w:pPr>
          </w:p>
        </w:tc>
      </w:tr>
      <w:tr w:rsidR="00000000" w14:paraId="12AD48EC" w14:textId="77777777">
        <w:trPr>
          <w:divId w:val="132842356"/>
          <w:jc w:val="center"/>
        </w:trPr>
        <w:tc>
          <w:tcPr>
            <w:tcW w:w="0" w:type="auto"/>
            <w:gridSpan w:val="3"/>
            <w:tcMar>
              <w:top w:w="15" w:type="dxa"/>
              <w:left w:w="20" w:type="dxa"/>
              <w:bottom w:w="15" w:type="dxa"/>
              <w:right w:w="20" w:type="dxa"/>
            </w:tcMar>
            <w:vAlign w:val="bottom"/>
            <w:hideMark/>
          </w:tcPr>
          <w:p w14:paraId="2A4985FF"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61A648AC"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433EE1CD" w14:textId="77777777" w:rsidR="00000000" w:rsidRDefault="00195E73">
            <w:pPr>
              <w:jc w:val="center"/>
              <w:rPr>
                <w:rFonts w:eastAsia="Times New Roman"/>
              </w:rPr>
            </w:pPr>
          </w:p>
        </w:tc>
        <w:tc>
          <w:tcPr>
            <w:tcW w:w="0" w:type="auto"/>
            <w:gridSpan w:val="3"/>
            <w:vAlign w:val="center"/>
            <w:hideMark/>
          </w:tcPr>
          <w:p w14:paraId="5E693DDA" w14:textId="77777777" w:rsidR="00000000" w:rsidRDefault="00195E73">
            <w:pPr>
              <w:rPr>
                <w:rFonts w:eastAsia="Times New Roman"/>
                <w:sz w:val="20"/>
                <w:szCs w:val="20"/>
              </w:rPr>
            </w:pPr>
          </w:p>
        </w:tc>
        <w:tc>
          <w:tcPr>
            <w:tcW w:w="0" w:type="auto"/>
            <w:gridSpan w:val="3"/>
            <w:vAlign w:val="center"/>
            <w:hideMark/>
          </w:tcPr>
          <w:p w14:paraId="0676BFDF" w14:textId="77777777" w:rsidR="00000000" w:rsidRDefault="00195E73">
            <w:pPr>
              <w:rPr>
                <w:rFonts w:eastAsia="Times New Roman"/>
                <w:sz w:val="20"/>
                <w:szCs w:val="20"/>
              </w:rPr>
            </w:pPr>
          </w:p>
        </w:tc>
        <w:tc>
          <w:tcPr>
            <w:tcW w:w="0" w:type="auto"/>
            <w:gridSpan w:val="3"/>
            <w:vAlign w:val="center"/>
            <w:hideMark/>
          </w:tcPr>
          <w:p w14:paraId="14AB822A" w14:textId="77777777" w:rsidR="00000000" w:rsidRDefault="00195E73">
            <w:pPr>
              <w:rPr>
                <w:rFonts w:eastAsia="Times New Roman"/>
                <w:sz w:val="20"/>
                <w:szCs w:val="20"/>
              </w:rPr>
            </w:pPr>
          </w:p>
        </w:tc>
      </w:tr>
      <w:tr w:rsidR="00000000" w14:paraId="2E6CC952" w14:textId="77777777">
        <w:trPr>
          <w:divId w:val="132842356"/>
          <w:jc w:val="center"/>
        </w:trPr>
        <w:tc>
          <w:tcPr>
            <w:tcW w:w="0" w:type="auto"/>
            <w:gridSpan w:val="3"/>
            <w:tcMar>
              <w:top w:w="15" w:type="dxa"/>
              <w:left w:w="20" w:type="dxa"/>
              <w:bottom w:w="15" w:type="dxa"/>
              <w:right w:w="20" w:type="dxa"/>
            </w:tcMar>
            <w:vAlign w:val="bottom"/>
            <w:hideMark/>
          </w:tcPr>
          <w:p w14:paraId="1CD33A09"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E663CDD"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6339E311"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C8FBE3"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3F73FED8"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0473F7"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25E1C038" w14:textId="77777777" w:rsidR="00000000" w:rsidRDefault="00195E73">
            <w:pPr>
              <w:rPr>
                <w:rFonts w:eastAsia="Times New Roman"/>
                <w:sz w:val="20"/>
                <w:szCs w:val="20"/>
              </w:rPr>
            </w:pPr>
          </w:p>
        </w:tc>
        <w:tc>
          <w:tcPr>
            <w:tcW w:w="0" w:type="auto"/>
            <w:vAlign w:val="center"/>
            <w:hideMark/>
          </w:tcPr>
          <w:p w14:paraId="6097F6FD" w14:textId="77777777" w:rsidR="00000000" w:rsidRDefault="00195E73">
            <w:pPr>
              <w:rPr>
                <w:rFonts w:eastAsia="Times New Roman"/>
                <w:sz w:val="20"/>
                <w:szCs w:val="20"/>
              </w:rPr>
            </w:pPr>
          </w:p>
        </w:tc>
        <w:tc>
          <w:tcPr>
            <w:tcW w:w="0" w:type="auto"/>
            <w:vAlign w:val="center"/>
            <w:hideMark/>
          </w:tcPr>
          <w:p w14:paraId="40EB2F29" w14:textId="77777777" w:rsidR="00000000" w:rsidRDefault="00195E73">
            <w:pPr>
              <w:rPr>
                <w:rFonts w:eastAsia="Times New Roman"/>
                <w:sz w:val="20"/>
                <w:szCs w:val="20"/>
              </w:rPr>
            </w:pPr>
          </w:p>
        </w:tc>
        <w:tc>
          <w:tcPr>
            <w:tcW w:w="0" w:type="auto"/>
            <w:vAlign w:val="center"/>
            <w:hideMark/>
          </w:tcPr>
          <w:p w14:paraId="197D1D46" w14:textId="77777777" w:rsidR="00000000" w:rsidRDefault="00195E73">
            <w:pPr>
              <w:rPr>
                <w:rFonts w:eastAsia="Times New Roman"/>
                <w:sz w:val="20"/>
                <w:szCs w:val="20"/>
              </w:rPr>
            </w:pPr>
          </w:p>
        </w:tc>
        <w:tc>
          <w:tcPr>
            <w:tcW w:w="0" w:type="auto"/>
            <w:vAlign w:val="center"/>
            <w:hideMark/>
          </w:tcPr>
          <w:p w14:paraId="6FD8D70D" w14:textId="77777777" w:rsidR="00000000" w:rsidRDefault="00195E73">
            <w:pPr>
              <w:rPr>
                <w:rFonts w:eastAsia="Times New Roman"/>
                <w:sz w:val="20"/>
                <w:szCs w:val="20"/>
              </w:rPr>
            </w:pPr>
          </w:p>
        </w:tc>
        <w:tc>
          <w:tcPr>
            <w:tcW w:w="0" w:type="auto"/>
            <w:vAlign w:val="center"/>
            <w:hideMark/>
          </w:tcPr>
          <w:p w14:paraId="6CBEF8A5" w14:textId="77777777" w:rsidR="00000000" w:rsidRDefault="00195E73">
            <w:pPr>
              <w:rPr>
                <w:rFonts w:eastAsia="Times New Roman"/>
                <w:sz w:val="20"/>
                <w:szCs w:val="20"/>
              </w:rPr>
            </w:pPr>
          </w:p>
        </w:tc>
        <w:tc>
          <w:tcPr>
            <w:tcW w:w="0" w:type="auto"/>
            <w:vAlign w:val="center"/>
            <w:hideMark/>
          </w:tcPr>
          <w:p w14:paraId="7555B392" w14:textId="77777777" w:rsidR="00000000" w:rsidRDefault="00195E73">
            <w:pPr>
              <w:rPr>
                <w:rFonts w:eastAsia="Times New Roman"/>
                <w:sz w:val="20"/>
                <w:szCs w:val="20"/>
              </w:rPr>
            </w:pPr>
          </w:p>
        </w:tc>
        <w:tc>
          <w:tcPr>
            <w:tcW w:w="0" w:type="auto"/>
            <w:vAlign w:val="center"/>
            <w:hideMark/>
          </w:tcPr>
          <w:p w14:paraId="73D6DBF3" w14:textId="77777777" w:rsidR="00000000" w:rsidRDefault="00195E73">
            <w:pPr>
              <w:rPr>
                <w:rFonts w:eastAsia="Times New Roman"/>
                <w:sz w:val="20"/>
                <w:szCs w:val="20"/>
              </w:rPr>
            </w:pPr>
          </w:p>
        </w:tc>
        <w:tc>
          <w:tcPr>
            <w:tcW w:w="0" w:type="auto"/>
            <w:vAlign w:val="center"/>
            <w:hideMark/>
          </w:tcPr>
          <w:p w14:paraId="14C0F97C" w14:textId="77777777" w:rsidR="00000000" w:rsidRDefault="00195E73">
            <w:pPr>
              <w:rPr>
                <w:rFonts w:eastAsia="Times New Roman"/>
                <w:sz w:val="20"/>
                <w:szCs w:val="20"/>
              </w:rPr>
            </w:pPr>
          </w:p>
        </w:tc>
        <w:tc>
          <w:tcPr>
            <w:tcW w:w="0" w:type="auto"/>
            <w:vAlign w:val="center"/>
            <w:hideMark/>
          </w:tcPr>
          <w:p w14:paraId="4A2FB56E" w14:textId="77777777" w:rsidR="00000000" w:rsidRDefault="00195E73">
            <w:pPr>
              <w:rPr>
                <w:rFonts w:eastAsia="Times New Roman"/>
                <w:sz w:val="20"/>
                <w:szCs w:val="20"/>
              </w:rPr>
            </w:pPr>
          </w:p>
        </w:tc>
        <w:tc>
          <w:tcPr>
            <w:tcW w:w="0" w:type="auto"/>
            <w:vAlign w:val="center"/>
            <w:hideMark/>
          </w:tcPr>
          <w:p w14:paraId="23501D52" w14:textId="77777777" w:rsidR="00000000" w:rsidRDefault="00195E73">
            <w:pPr>
              <w:rPr>
                <w:rFonts w:eastAsia="Times New Roman"/>
                <w:sz w:val="20"/>
                <w:szCs w:val="20"/>
              </w:rPr>
            </w:pPr>
          </w:p>
        </w:tc>
        <w:tc>
          <w:tcPr>
            <w:tcW w:w="0" w:type="auto"/>
            <w:vAlign w:val="center"/>
            <w:hideMark/>
          </w:tcPr>
          <w:p w14:paraId="53819CE4" w14:textId="77777777" w:rsidR="00000000" w:rsidRDefault="00195E73">
            <w:pPr>
              <w:rPr>
                <w:rFonts w:eastAsia="Times New Roman"/>
                <w:sz w:val="20"/>
                <w:szCs w:val="20"/>
              </w:rPr>
            </w:pPr>
          </w:p>
        </w:tc>
      </w:tr>
      <w:tr w:rsidR="00000000" w14:paraId="2591FCDE" w14:textId="77777777">
        <w:trPr>
          <w:divId w:val="132842356"/>
          <w:jc w:val="center"/>
        </w:trPr>
        <w:tc>
          <w:tcPr>
            <w:tcW w:w="0" w:type="auto"/>
            <w:gridSpan w:val="3"/>
            <w:shd w:val="clear" w:color="auto" w:fill="CCEEFF"/>
            <w:tcMar>
              <w:top w:w="30" w:type="dxa"/>
              <w:left w:w="20" w:type="dxa"/>
              <w:bottom w:w="30" w:type="dxa"/>
              <w:right w:w="20" w:type="dxa"/>
            </w:tcMar>
            <w:vAlign w:val="bottom"/>
            <w:hideMark/>
          </w:tcPr>
          <w:p w14:paraId="1E74173F" w14:textId="77777777" w:rsidR="00000000" w:rsidRDefault="00195E73">
            <w:pPr>
              <w:rPr>
                <w:rFonts w:eastAsia="Times New Roman"/>
              </w:rPr>
            </w:pPr>
            <w:r>
              <w:rPr>
                <w:rFonts w:eastAsia="Times New Roman"/>
                <w:color w:val="000000"/>
                <w:sz w:val="20"/>
                <w:szCs w:val="20"/>
              </w:rPr>
              <w:t>Long position</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AC9829" w14:textId="77777777" w:rsidR="00000000" w:rsidRDefault="00195E73">
            <w:pPr>
              <w:jc w:val="right"/>
              <w:rPr>
                <w:rFonts w:eastAsia="Times New Roman"/>
              </w:rPr>
            </w:pPr>
            <w:r>
              <w:rPr>
                <w:rFonts w:eastAsia="Times New Roman"/>
                <w:color w:val="000000"/>
                <w:sz w:val="20"/>
                <w:szCs w:val="20"/>
              </w:rPr>
              <w:t>16.4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65659A7" w14:textId="77777777" w:rsidR="00000000" w:rsidRDefault="00195E73">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39BA1FB4"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5F1389" w14:textId="77777777" w:rsidR="00000000" w:rsidRDefault="00195E73">
            <w:pPr>
              <w:jc w:val="right"/>
              <w:rPr>
                <w:rFonts w:eastAsia="Times New Roman"/>
              </w:rPr>
            </w:pPr>
            <w:r>
              <w:rPr>
                <w:rFonts w:eastAsia="Times New Roman"/>
                <w:color w:val="000000"/>
                <w:sz w:val="20"/>
                <w:szCs w:val="20"/>
              </w:rPr>
              <w:t>(0.8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E7D2BC3" w14:textId="77777777" w:rsidR="00000000" w:rsidRDefault="00195E73">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6304AC22"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4C7B74" w14:textId="77777777" w:rsidR="00000000" w:rsidRDefault="00195E73">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228E896" w14:textId="77777777" w:rsidR="00000000" w:rsidRDefault="00195E73">
            <w:pPr>
              <w:jc w:val="right"/>
              <w:rPr>
                <w:rFonts w:eastAsia="Times New Roman"/>
              </w:rPr>
            </w:pPr>
            <w:r>
              <w:rPr>
                <w:rFonts w:eastAsia="Times New Roman"/>
                <w:color w:val="000000"/>
                <w:sz w:val="20"/>
                <w:szCs w:val="20"/>
              </w:rPr>
              <w:t>%</w:t>
            </w:r>
          </w:p>
        </w:tc>
        <w:tc>
          <w:tcPr>
            <w:tcW w:w="0" w:type="auto"/>
            <w:vAlign w:val="center"/>
            <w:hideMark/>
          </w:tcPr>
          <w:p w14:paraId="166F74FF" w14:textId="77777777" w:rsidR="00000000" w:rsidRDefault="00195E73">
            <w:pPr>
              <w:rPr>
                <w:rFonts w:eastAsia="Times New Roman"/>
                <w:sz w:val="20"/>
                <w:szCs w:val="20"/>
              </w:rPr>
            </w:pPr>
          </w:p>
        </w:tc>
        <w:tc>
          <w:tcPr>
            <w:tcW w:w="0" w:type="auto"/>
            <w:vAlign w:val="center"/>
            <w:hideMark/>
          </w:tcPr>
          <w:p w14:paraId="4CE81E72" w14:textId="77777777" w:rsidR="00000000" w:rsidRDefault="00195E73">
            <w:pPr>
              <w:rPr>
                <w:rFonts w:eastAsia="Times New Roman"/>
                <w:sz w:val="20"/>
                <w:szCs w:val="20"/>
              </w:rPr>
            </w:pPr>
          </w:p>
        </w:tc>
        <w:tc>
          <w:tcPr>
            <w:tcW w:w="0" w:type="auto"/>
            <w:vAlign w:val="center"/>
            <w:hideMark/>
          </w:tcPr>
          <w:p w14:paraId="7FE4E403" w14:textId="77777777" w:rsidR="00000000" w:rsidRDefault="00195E73">
            <w:pPr>
              <w:rPr>
                <w:rFonts w:eastAsia="Times New Roman"/>
                <w:sz w:val="20"/>
                <w:szCs w:val="20"/>
              </w:rPr>
            </w:pPr>
          </w:p>
        </w:tc>
        <w:tc>
          <w:tcPr>
            <w:tcW w:w="0" w:type="auto"/>
            <w:vAlign w:val="center"/>
            <w:hideMark/>
          </w:tcPr>
          <w:p w14:paraId="0B0C36D0" w14:textId="77777777" w:rsidR="00000000" w:rsidRDefault="00195E73">
            <w:pPr>
              <w:rPr>
                <w:rFonts w:eastAsia="Times New Roman"/>
                <w:sz w:val="20"/>
                <w:szCs w:val="20"/>
              </w:rPr>
            </w:pPr>
          </w:p>
        </w:tc>
        <w:tc>
          <w:tcPr>
            <w:tcW w:w="0" w:type="auto"/>
            <w:vAlign w:val="center"/>
            <w:hideMark/>
          </w:tcPr>
          <w:p w14:paraId="6E9F7671" w14:textId="77777777" w:rsidR="00000000" w:rsidRDefault="00195E73">
            <w:pPr>
              <w:rPr>
                <w:rFonts w:eastAsia="Times New Roman"/>
                <w:sz w:val="20"/>
                <w:szCs w:val="20"/>
              </w:rPr>
            </w:pPr>
          </w:p>
        </w:tc>
        <w:tc>
          <w:tcPr>
            <w:tcW w:w="0" w:type="auto"/>
            <w:vAlign w:val="center"/>
            <w:hideMark/>
          </w:tcPr>
          <w:p w14:paraId="768FC5AF" w14:textId="77777777" w:rsidR="00000000" w:rsidRDefault="00195E73">
            <w:pPr>
              <w:rPr>
                <w:rFonts w:eastAsia="Times New Roman"/>
                <w:sz w:val="20"/>
                <w:szCs w:val="20"/>
              </w:rPr>
            </w:pPr>
          </w:p>
        </w:tc>
        <w:tc>
          <w:tcPr>
            <w:tcW w:w="0" w:type="auto"/>
            <w:vAlign w:val="center"/>
            <w:hideMark/>
          </w:tcPr>
          <w:p w14:paraId="049FB580" w14:textId="77777777" w:rsidR="00000000" w:rsidRDefault="00195E73">
            <w:pPr>
              <w:rPr>
                <w:rFonts w:eastAsia="Times New Roman"/>
                <w:sz w:val="20"/>
                <w:szCs w:val="20"/>
              </w:rPr>
            </w:pPr>
          </w:p>
        </w:tc>
        <w:tc>
          <w:tcPr>
            <w:tcW w:w="0" w:type="auto"/>
            <w:vAlign w:val="center"/>
            <w:hideMark/>
          </w:tcPr>
          <w:p w14:paraId="7E02AAC4" w14:textId="77777777" w:rsidR="00000000" w:rsidRDefault="00195E73">
            <w:pPr>
              <w:rPr>
                <w:rFonts w:eastAsia="Times New Roman"/>
                <w:sz w:val="20"/>
                <w:szCs w:val="20"/>
              </w:rPr>
            </w:pPr>
          </w:p>
        </w:tc>
        <w:tc>
          <w:tcPr>
            <w:tcW w:w="0" w:type="auto"/>
            <w:vAlign w:val="center"/>
            <w:hideMark/>
          </w:tcPr>
          <w:p w14:paraId="475E150B" w14:textId="77777777" w:rsidR="00000000" w:rsidRDefault="00195E73">
            <w:pPr>
              <w:rPr>
                <w:rFonts w:eastAsia="Times New Roman"/>
                <w:sz w:val="20"/>
                <w:szCs w:val="20"/>
              </w:rPr>
            </w:pPr>
          </w:p>
        </w:tc>
        <w:tc>
          <w:tcPr>
            <w:tcW w:w="0" w:type="auto"/>
            <w:vAlign w:val="center"/>
            <w:hideMark/>
          </w:tcPr>
          <w:p w14:paraId="7F5A19F0" w14:textId="77777777" w:rsidR="00000000" w:rsidRDefault="00195E73">
            <w:pPr>
              <w:rPr>
                <w:rFonts w:eastAsia="Times New Roman"/>
                <w:sz w:val="20"/>
                <w:szCs w:val="20"/>
              </w:rPr>
            </w:pPr>
          </w:p>
        </w:tc>
        <w:tc>
          <w:tcPr>
            <w:tcW w:w="0" w:type="auto"/>
            <w:vAlign w:val="center"/>
            <w:hideMark/>
          </w:tcPr>
          <w:p w14:paraId="3EA20F50" w14:textId="77777777" w:rsidR="00000000" w:rsidRDefault="00195E73">
            <w:pPr>
              <w:rPr>
                <w:rFonts w:eastAsia="Times New Roman"/>
                <w:sz w:val="20"/>
                <w:szCs w:val="20"/>
              </w:rPr>
            </w:pPr>
          </w:p>
        </w:tc>
        <w:tc>
          <w:tcPr>
            <w:tcW w:w="0" w:type="auto"/>
            <w:vAlign w:val="center"/>
            <w:hideMark/>
          </w:tcPr>
          <w:p w14:paraId="6A32451B" w14:textId="77777777" w:rsidR="00000000" w:rsidRDefault="00195E73">
            <w:pPr>
              <w:rPr>
                <w:rFonts w:eastAsia="Times New Roman"/>
                <w:sz w:val="20"/>
                <w:szCs w:val="20"/>
              </w:rPr>
            </w:pPr>
          </w:p>
        </w:tc>
      </w:tr>
      <w:tr w:rsidR="00000000" w14:paraId="1B465CAD" w14:textId="77777777">
        <w:trPr>
          <w:divId w:val="132842356"/>
          <w:jc w:val="center"/>
        </w:trPr>
        <w:tc>
          <w:tcPr>
            <w:tcW w:w="0" w:type="auto"/>
            <w:gridSpan w:val="3"/>
            <w:shd w:val="clear" w:color="auto" w:fill="FFFFFF"/>
            <w:tcMar>
              <w:top w:w="30" w:type="dxa"/>
              <w:left w:w="20" w:type="dxa"/>
              <w:bottom w:w="30" w:type="dxa"/>
              <w:right w:w="20" w:type="dxa"/>
            </w:tcMar>
            <w:vAlign w:val="bottom"/>
            <w:hideMark/>
          </w:tcPr>
          <w:p w14:paraId="6C9EA53D" w14:textId="77777777" w:rsidR="00000000" w:rsidRDefault="00195E73">
            <w:pPr>
              <w:rPr>
                <w:rFonts w:eastAsia="Times New Roman"/>
              </w:rPr>
            </w:pPr>
            <w:r>
              <w:rPr>
                <w:rFonts w:eastAsia="Times New Roman"/>
                <w:color w:val="000000"/>
                <w:sz w:val="20"/>
                <w:szCs w:val="20"/>
              </w:rPr>
              <w:t>Short position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D361823" w14:textId="77777777" w:rsidR="00000000" w:rsidRDefault="00195E73">
            <w:pPr>
              <w:jc w:val="right"/>
              <w:rPr>
                <w:rFonts w:eastAsia="Times New Roman"/>
              </w:rPr>
            </w:pPr>
            <w:r>
              <w:rPr>
                <w:rFonts w:eastAsia="Times New Roman"/>
                <w:color w:val="000000"/>
                <w:sz w:val="20"/>
                <w:szCs w:val="20"/>
              </w:rPr>
              <w:t>(31.9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F48BDAC" w14:textId="77777777" w:rsidR="00000000" w:rsidRDefault="00195E73">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64A149D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9AE5EC" w14:textId="77777777" w:rsidR="00000000" w:rsidRDefault="00195E73">
            <w:pPr>
              <w:jc w:val="right"/>
              <w:rPr>
                <w:rFonts w:eastAsia="Times New Roman"/>
              </w:rPr>
            </w:pPr>
            <w:r>
              <w:rPr>
                <w:rFonts w:eastAsia="Times New Roman"/>
                <w:color w:val="000000"/>
                <w:sz w:val="20"/>
                <w:szCs w:val="20"/>
              </w:rPr>
              <w:t>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3734B47" w14:textId="77777777" w:rsidR="00000000" w:rsidRDefault="00195E73">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391BB3A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C7740A" w14:textId="77777777" w:rsidR="00000000" w:rsidRDefault="00195E73">
            <w:pPr>
              <w:jc w:val="right"/>
              <w:rPr>
                <w:rFonts w:eastAsia="Times New Roman"/>
              </w:rPr>
            </w:pPr>
            <w:r>
              <w:rPr>
                <w:rFonts w:eastAsia="Times New Roman"/>
                <w:color w:val="000000"/>
                <w:sz w:val="20"/>
                <w:szCs w:val="20"/>
              </w:rPr>
              <w:t>(3.0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CBB9F30" w14:textId="77777777" w:rsidR="00000000" w:rsidRDefault="00195E73">
            <w:pPr>
              <w:jc w:val="right"/>
              <w:rPr>
                <w:rFonts w:eastAsia="Times New Roman"/>
              </w:rPr>
            </w:pPr>
            <w:r>
              <w:rPr>
                <w:rFonts w:eastAsia="Times New Roman"/>
                <w:color w:val="000000"/>
                <w:sz w:val="20"/>
                <w:szCs w:val="20"/>
              </w:rPr>
              <w:t>%</w:t>
            </w:r>
          </w:p>
        </w:tc>
        <w:tc>
          <w:tcPr>
            <w:tcW w:w="0" w:type="auto"/>
            <w:vAlign w:val="center"/>
            <w:hideMark/>
          </w:tcPr>
          <w:p w14:paraId="24D6E282" w14:textId="77777777" w:rsidR="00000000" w:rsidRDefault="00195E73">
            <w:pPr>
              <w:rPr>
                <w:rFonts w:eastAsia="Times New Roman"/>
                <w:sz w:val="20"/>
                <w:szCs w:val="20"/>
              </w:rPr>
            </w:pPr>
          </w:p>
        </w:tc>
        <w:tc>
          <w:tcPr>
            <w:tcW w:w="0" w:type="auto"/>
            <w:vAlign w:val="center"/>
            <w:hideMark/>
          </w:tcPr>
          <w:p w14:paraId="62BC688C" w14:textId="77777777" w:rsidR="00000000" w:rsidRDefault="00195E73">
            <w:pPr>
              <w:rPr>
                <w:rFonts w:eastAsia="Times New Roman"/>
                <w:sz w:val="20"/>
                <w:szCs w:val="20"/>
              </w:rPr>
            </w:pPr>
          </w:p>
        </w:tc>
        <w:tc>
          <w:tcPr>
            <w:tcW w:w="0" w:type="auto"/>
            <w:vAlign w:val="center"/>
            <w:hideMark/>
          </w:tcPr>
          <w:p w14:paraId="71039C19" w14:textId="77777777" w:rsidR="00000000" w:rsidRDefault="00195E73">
            <w:pPr>
              <w:rPr>
                <w:rFonts w:eastAsia="Times New Roman"/>
                <w:sz w:val="20"/>
                <w:szCs w:val="20"/>
              </w:rPr>
            </w:pPr>
          </w:p>
        </w:tc>
        <w:tc>
          <w:tcPr>
            <w:tcW w:w="0" w:type="auto"/>
            <w:vAlign w:val="center"/>
            <w:hideMark/>
          </w:tcPr>
          <w:p w14:paraId="328851BC" w14:textId="77777777" w:rsidR="00000000" w:rsidRDefault="00195E73">
            <w:pPr>
              <w:rPr>
                <w:rFonts w:eastAsia="Times New Roman"/>
                <w:sz w:val="20"/>
                <w:szCs w:val="20"/>
              </w:rPr>
            </w:pPr>
          </w:p>
        </w:tc>
        <w:tc>
          <w:tcPr>
            <w:tcW w:w="0" w:type="auto"/>
            <w:vAlign w:val="center"/>
            <w:hideMark/>
          </w:tcPr>
          <w:p w14:paraId="32B46D71" w14:textId="77777777" w:rsidR="00000000" w:rsidRDefault="00195E73">
            <w:pPr>
              <w:rPr>
                <w:rFonts w:eastAsia="Times New Roman"/>
                <w:sz w:val="20"/>
                <w:szCs w:val="20"/>
              </w:rPr>
            </w:pPr>
          </w:p>
        </w:tc>
        <w:tc>
          <w:tcPr>
            <w:tcW w:w="0" w:type="auto"/>
            <w:vAlign w:val="center"/>
            <w:hideMark/>
          </w:tcPr>
          <w:p w14:paraId="4ED76137" w14:textId="77777777" w:rsidR="00000000" w:rsidRDefault="00195E73">
            <w:pPr>
              <w:rPr>
                <w:rFonts w:eastAsia="Times New Roman"/>
                <w:sz w:val="20"/>
                <w:szCs w:val="20"/>
              </w:rPr>
            </w:pPr>
          </w:p>
        </w:tc>
        <w:tc>
          <w:tcPr>
            <w:tcW w:w="0" w:type="auto"/>
            <w:vAlign w:val="center"/>
            <w:hideMark/>
          </w:tcPr>
          <w:p w14:paraId="37B95AAA" w14:textId="77777777" w:rsidR="00000000" w:rsidRDefault="00195E73">
            <w:pPr>
              <w:rPr>
                <w:rFonts w:eastAsia="Times New Roman"/>
                <w:sz w:val="20"/>
                <w:szCs w:val="20"/>
              </w:rPr>
            </w:pPr>
          </w:p>
        </w:tc>
        <w:tc>
          <w:tcPr>
            <w:tcW w:w="0" w:type="auto"/>
            <w:vAlign w:val="center"/>
            <w:hideMark/>
          </w:tcPr>
          <w:p w14:paraId="5CD803DF" w14:textId="77777777" w:rsidR="00000000" w:rsidRDefault="00195E73">
            <w:pPr>
              <w:rPr>
                <w:rFonts w:eastAsia="Times New Roman"/>
                <w:sz w:val="20"/>
                <w:szCs w:val="20"/>
              </w:rPr>
            </w:pPr>
          </w:p>
        </w:tc>
        <w:tc>
          <w:tcPr>
            <w:tcW w:w="0" w:type="auto"/>
            <w:vAlign w:val="center"/>
            <w:hideMark/>
          </w:tcPr>
          <w:p w14:paraId="6619733A" w14:textId="77777777" w:rsidR="00000000" w:rsidRDefault="00195E73">
            <w:pPr>
              <w:rPr>
                <w:rFonts w:eastAsia="Times New Roman"/>
                <w:sz w:val="20"/>
                <w:szCs w:val="20"/>
              </w:rPr>
            </w:pPr>
          </w:p>
        </w:tc>
        <w:tc>
          <w:tcPr>
            <w:tcW w:w="0" w:type="auto"/>
            <w:vAlign w:val="center"/>
            <w:hideMark/>
          </w:tcPr>
          <w:p w14:paraId="79666384" w14:textId="77777777" w:rsidR="00000000" w:rsidRDefault="00195E73">
            <w:pPr>
              <w:rPr>
                <w:rFonts w:eastAsia="Times New Roman"/>
                <w:sz w:val="20"/>
                <w:szCs w:val="20"/>
              </w:rPr>
            </w:pPr>
          </w:p>
        </w:tc>
        <w:tc>
          <w:tcPr>
            <w:tcW w:w="0" w:type="auto"/>
            <w:vAlign w:val="center"/>
            <w:hideMark/>
          </w:tcPr>
          <w:p w14:paraId="6804AAEC" w14:textId="77777777" w:rsidR="00000000" w:rsidRDefault="00195E73">
            <w:pPr>
              <w:rPr>
                <w:rFonts w:eastAsia="Times New Roman"/>
                <w:sz w:val="20"/>
                <w:szCs w:val="20"/>
              </w:rPr>
            </w:pPr>
          </w:p>
        </w:tc>
        <w:tc>
          <w:tcPr>
            <w:tcW w:w="0" w:type="auto"/>
            <w:vAlign w:val="center"/>
            <w:hideMark/>
          </w:tcPr>
          <w:p w14:paraId="161E1633" w14:textId="77777777" w:rsidR="00000000" w:rsidRDefault="00195E73">
            <w:pPr>
              <w:rPr>
                <w:rFonts w:eastAsia="Times New Roman"/>
                <w:sz w:val="20"/>
                <w:szCs w:val="20"/>
              </w:rPr>
            </w:pPr>
          </w:p>
        </w:tc>
      </w:tr>
      <w:tr w:rsidR="00000000" w14:paraId="4E015A8A" w14:textId="77777777">
        <w:trPr>
          <w:divId w:val="132842356"/>
          <w:jc w:val="center"/>
        </w:trPr>
        <w:tc>
          <w:tcPr>
            <w:tcW w:w="0" w:type="auto"/>
            <w:gridSpan w:val="3"/>
            <w:shd w:val="clear" w:color="auto" w:fill="CCEEFF"/>
            <w:tcMar>
              <w:top w:w="30" w:type="dxa"/>
              <w:left w:w="20" w:type="dxa"/>
              <w:bottom w:w="30" w:type="dxa"/>
              <w:right w:w="20" w:type="dxa"/>
            </w:tcMar>
            <w:vAlign w:val="bottom"/>
            <w:hideMark/>
          </w:tcPr>
          <w:p w14:paraId="755E0A86" w14:textId="77777777" w:rsidR="00000000" w:rsidRDefault="00195E73">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33C6A0EE" w14:textId="77777777" w:rsidR="00000000" w:rsidRDefault="00195E73">
            <w:pPr>
              <w:jc w:val="right"/>
              <w:rPr>
                <w:rFonts w:eastAsia="Times New Roman"/>
              </w:rPr>
            </w:pPr>
            <w:r>
              <w:rPr>
                <w:rFonts w:eastAsia="Times New Roman"/>
                <w:color w:val="000000"/>
                <w:sz w:val="20"/>
                <w:szCs w:val="20"/>
              </w:rPr>
              <w:t>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61893D0" w14:textId="77777777" w:rsidR="00000000" w:rsidRDefault="00195E73">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57EB8C1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6A6664" w14:textId="77777777" w:rsidR="00000000" w:rsidRDefault="00195E73">
            <w:pPr>
              <w:jc w:val="right"/>
              <w:rPr>
                <w:rFonts w:eastAsia="Times New Roman"/>
              </w:rPr>
            </w:pPr>
            <w:r>
              <w:rPr>
                <w:rFonts w:eastAsia="Times New Roman"/>
                <w:color w:val="000000"/>
                <w:sz w:val="20"/>
                <w:szCs w:val="20"/>
              </w:rPr>
              <w:t>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E6AC7F" w14:textId="77777777" w:rsidR="00000000" w:rsidRDefault="00195E73">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1A74576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4933DF" w14:textId="77777777" w:rsidR="00000000" w:rsidRDefault="00195E73">
            <w:pPr>
              <w:jc w:val="right"/>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F57FA15" w14:textId="77777777" w:rsidR="00000000" w:rsidRDefault="00195E73">
            <w:pPr>
              <w:jc w:val="right"/>
              <w:rPr>
                <w:rFonts w:eastAsia="Times New Roman"/>
              </w:rPr>
            </w:pPr>
            <w:r>
              <w:rPr>
                <w:rFonts w:eastAsia="Times New Roman"/>
                <w:color w:val="000000"/>
                <w:sz w:val="20"/>
                <w:szCs w:val="20"/>
              </w:rPr>
              <w:t>%</w:t>
            </w:r>
          </w:p>
        </w:tc>
        <w:tc>
          <w:tcPr>
            <w:tcW w:w="0" w:type="auto"/>
            <w:vAlign w:val="center"/>
            <w:hideMark/>
          </w:tcPr>
          <w:p w14:paraId="0D21CC14" w14:textId="77777777" w:rsidR="00000000" w:rsidRDefault="00195E73">
            <w:pPr>
              <w:rPr>
                <w:rFonts w:eastAsia="Times New Roman"/>
                <w:sz w:val="20"/>
                <w:szCs w:val="20"/>
              </w:rPr>
            </w:pPr>
          </w:p>
        </w:tc>
        <w:tc>
          <w:tcPr>
            <w:tcW w:w="0" w:type="auto"/>
            <w:vAlign w:val="center"/>
            <w:hideMark/>
          </w:tcPr>
          <w:p w14:paraId="649EC393" w14:textId="77777777" w:rsidR="00000000" w:rsidRDefault="00195E73">
            <w:pPr>
              <w:rPr>
                <w:rFonts w:eastAsia="Times New Roman"/>
                <w:sz w:val="20"/>
                <w:szCs w:val="20"/>
              </w:rPr>
            </w:pPr>
          </w:p>
        </w:tc>
        <w:tc>
          <w:tcPr>
            <w:tcW w:w="0" w:type="auto"/>
            <w:vAlign w:val="center"/>
            <w:hideMark/>
          </w:tcPr>
          <w:p w14:paraId="39C1D3F7" w14:textId="77777777" w:rsidR="00000000" w:rsidRDefault="00195E73">
            <w:pPr>
              <w:rPr>
                <w:rFonts w:eastAsia="Times New Roman"/>
                <w:sz w:val="20"/>
                <w:szCs w:val="20"/>
              </w:rPr>
            </w:pPr>
          </w:p>
        </w:tc>
        <w:tc>
          <w:tcPr>
            <w:tcW w:w="0" w:type="auto"/>
            <w:vAlign w:val="center"/>
            <w:hideMark/>
          </w:tcPr>
          <w:p w14:paraId="5BED8458" w14:textId="77777777" w:rsidR="00000000" w:rsidRDefault="00195E73">
            <w:pPr>
              <w:rPr>
                <w:rFonts w:eastAsia="Times New Roman"/>
                <w:sz w:val="20"/>
                <w:szCs w:val="20"/>
              </w:rPr>
            </w:pPr>
          </w:p>
        </w:tc>
        <w:tc>
          <w:tcPr>
            <w:tcW w:w="0" w:type="auto"/>
            <w:vAlign w:val="center"/>
            <w:hideMark/>
          </w:tcPr>
          <w:p w14:paraId="41FB0719" w14:textId="77777777" w:rsidR="00000000" w:rsidRDefault="00195E73">
            <w:pPr>
              <w:rPr>
                <w:rFonts w:eastAsia="Times New Roman"/>
                <w:sz w:val="20"/>
                <w:szCs w:val="20"/>
              </w:rPr>
            </w:pPr>
          </w:p>
        </w:tc>
        <w:tc>
          <w:tcPr>
            <w:tcW w:w="0" w:type="auto"/>
            <w:vAlign w:val="center"/>
            <w:hideMark/>
          </w:tcPr>
          <w:p w14:paraId="564C2FD5" w14:textId="77777777" w:rsidR="00000000" w:rsidRDefault="00195E73">
            <w:pPr>
              <w:rPr>
                <w:rFonts w:eastAsia="Times New Roman"/>
                <w:sz w:val="20"/>
                <w:szCs w:val="20"/>
              </w:rPr>
            </w:pPr>
          </w:p>
        </w:tc>
        <w:tc>
          <w:tcPr>
            <w:tcW w:w="0" w:type="auto"/>
            <w:vAlign w:val="center"/>
            <w:hideMark/>
          </w:tcPr>
          <w:p w14:paraId="43D3F1D8" w14:textId="77777777" w:rsidR="00000000" w:rsidRDefault="00195E73">
            <w:pPr>
              <w:rPr>
                <w:rFonts w:eastAsia="Times New Roman"/>
                <w:sz w:val="20"/>
                <w:szCs w:val="20"/>
              </w:rPr>
            </w:pPr>
          </w:p>
        </w:tc>
        <w:tc>
          <w:tcPr>
            <w:tcW w:w="0" w:type="auto"/>
            <w:vAlign w:val="center"/>
            <w:hideMark/>
          </w:tcPr>
          <w:p w14:paraId="34F1C1CA" w14:textId="77777777" w:rsidR="00000000" w:rsidRDefault="00195E73">
            <w:pPr>
              <w:rPr>
                <w:rFonts w:eastAsia="Times New Roman"/>
                <w:sz w:val="20"/>
                <w:szCs w:val="20"/>
              </w:rPr>
            </w:pPr>
          </w:p>
        </w:tc>
        <w:tc>
          <w:tcPr>
            <w:tcW w:w="0" w:type="auto"/>
            <w:vAlign w:val="center"/>
            <w:hideMark/>
          </w:tcPr>
          <w:p w14:paraId="39A41F73" w14:textId="77777777" w:rsidR="00000000" w:rsidRDefault="00195E73">
            <w:pPr>
              <w:rPr>
                <w:rFonts w:eastAsia="Times New Roman"/>
                <w:sz w:val="20"/>
                <w:szCs w:val="20"/>
              </w:rPr>
            </w:pPr>
          </w:p>
        </w:tc>
        <w:tc>
          <w:tcPr>
            <w:tcW w:w="0" w:type="auto"/>
            <w:vAlign w:val="center"/>
            <w:hideMark/>
          </w:tcPr>
          <w:p w14:paraId="68575A0A" w14:textId="77777777" w:rsidR="00000000" w:rsidRDefault="00195E73">
            <w:pPr>
              <w:rPr>
                <w:rFonts w:eastAsia="Times New Roman"/>
                <w:sz w:val="20"/>
                <w:szCs w:val="20"/>
              </w:rPr>
            </w:pPr>
          </w:p>
        </w:tc>
        <w:tc>
          <w:tcPr>
            <w:tcW w:w="0" w:type="auto"/>
            <w:vAlign w:val="center"/>
            <w:hideMark/>
          </w:tcPr>
          <w:p w14:paraId="7A26149C" w14:textId="77777777" w:rsidR="00000000" w:rsidRDefault="00195E73">
            <w:pPr>
              <w:rPr>
                <w:rFonts w:eastAsia="Times New Roman"/>
                <w:sz w:val="20"/>
                <w:szCs w:val="20"/>
              </w:rPr>
            </w:pPr>
          </w:p>
        </w:tc>
        <w:tc>
          <w:tcPr>
            <w:tcW w:w="0" w:type="auto"/>
            <w:vAlign w:val="center"/>
            <w:hideMark/>
          </w:tcPr>
          <w:p w14:paraId="21F1A2DA" w14:textId="77777777" w:rsidR="00000000" w:rsidRDefault="00195E73">
            <w:pPr>
              <w:rPr>
                <w:rFonts w:eastAsia="Times New Roman"/>
                <w:sz w:val="20"/>
                <w:szCs w:val="20"/>
              </w:rPr>
            </w:pPr>
          </w:p>
        </w:tc>
      </w:tr>
      <w:tr w:rsidR="00000000" w14:paraId="77B5630E" w14:textId="77777777">
        <w:trPr>
          <w:divId w:val="132842356"/>
          <w:jc w:val="center"/>
        </w:trPr>
        <w:tc>
          <w:tcPr>
            <w:tcW w:w="0" w:type="auto"/>
            <w:gridSpan w:val="3"/>
            <w:shd w:val="clear" w:color="auto" w:fill="FFFFFF"/>
            <w:tcMar>
              <w:top w:w="15" w:type="dxa"/>
              <w:left w:w="20" w:type="dxa"/>
              <w:bottom w:w="15" w:type="dxa"/>
              <w:right w:w="20" w:type="dxa"/>
            </w:tcMar>
            <w:vAlign w:val="bottom"/>
            <w:hideMark/>
          </w:tcPr>
          <w:p w14:paraId="24FB35B4" w14:textId="77777777" w:rsidR="00000000" w:rsidRDefault="00195E73">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47FE80" w14:textId="77777777" w:rsidR="00000000" w:rsidRDefault="00195E73">
            <w:pPr>
              <w:jc w:val="right"/>
              <w:rPr>
                <w:rFonts w:eastAsia="Times New Roman"/>
              </w:rPr>
            </w:pPr>
            <w:r>
              <w:rPr>
                <w:rFonts w:eastAsia="Times New Roman"/>
                <w:color w:val="000000"/>
                <w:sz w:val="20"/>
                <w:szCs w:val="20"/>
              </w:rPr>
              <w:t>(15.4</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8FB529C" w14:textId="77777777" w:rsidR="00000000" w:rsidRDefault="00195E73">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0C9D09E9" w14:textId="77777777" w:rsidR="00000000" w:rsidRDefault="00195E73">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91DDF2" w14:textId="77777777" w:rsidR="00000000" w:rsidRDefault="00195E73">
            <w:pPr>
              <w:jc w:val="right"/>
              <w:rPr>
                <w:rFonts w:eastAsia="Times New Roman"/>
              </w:rPr>
            </w:pPr>
            <w:r>
              <w:rPr>
                <w:rFonts w:eastAsia="Times New Roman"/>
                <w:color w:val="000000"/>
                <w:sz w:val="20"/>
                <w:szCs w:val="20"/>
              </w:rPr>
              <w:t>7.9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9FC96DC" w14:textId="77777777" w:rsidR="00000000" w:rsidRDefault="00195E73">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0A3438D6" w14:textId="77777777" w:rsidR="00000000" w:rsidRDefault="00195E73">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752517" w14:textId="77777777" w:rsidR="00000000" w:rsidRDefault="00195E73">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91C916F" w14:textId="77777777" w:rsidR="00000000" w:rsidRDefault="00195E73">
            <w:pPr>
              <w:jc w:val="right"/>
              <w:rPr>
                <w:rFonts w:eastAsia="Times New Roman"/>
              </w:rPr>
            </w:pPr>
            <w:r>
              <w:rPr>
                <w:rFonts w:eastAsia="Times New Roman"/>
                <w:color w:val="000000"/>
                <w:sz w:val="20"/>
                <w:szCs w:val="20"/>
              </w:rPr>
              <w:t>%</w:t>
            </w:r>
          </w:p>
        </w:tc>
        <w:tc>
          <w:tcPr>
            <w:tcW w:w="0" w:type="auto"/>
            <w:vAlign w:val="center"/>
            <w:hideMark/>
          </w:tcPr>
          <w:p w14:paraId="5804445C" w14:textId="77777777" w:rsidR="00000000" w:rsidRDefault="00195E73">
            <w:pPr>
              <w:rPr>
                <w:rFonts w:eastAsia="Times New Roman"/>
                <w:sz w:val="20"/>
                <w:szCs w:val="20"/>
              </w:rPr>
            </w:pPr>
          </w:p>
        </w:tc>
        <w:tc>
          <w:tcPr>
            <w:tcW w:w="0" w:type="auto"/>
            <w:vAlign w:val="center"/>
            <w:hideMark/>
          </w:tcPr>
          <w:p w14:paraId="36BF7323" w14:textId="77777777" w:rsidR="00000000" w:rsidRDefault="00195E73">
            <w:pPr>
              <w:rPr>
                <w:rFonts w:eastAsia="Times New Roman"/>
                <w:sz w:val="20"/>
                <w:szCs w:val="20"/>
              </w:rPr>
            </w:pPr>
          </w:p>
        </w:tc>
        <w:tc>
          <w:tcPr>
            <w:tcW w:w="0" w:type="auto"/>
            <w:vAlign w:val="center"/>
            <w:hideMark/>
          </w:tcPr>
          <w:p w14:paraId="69B0C6E6" w14:textId="77777777" w:rsidR="00000000" w:rsidRDefault="00195E73">
            <w:pPr>
              <w:rPr>
                <w:rFonts w:eastAsia="Times New Roman"/>
                <w:sz w:val="20"/>
                <w:szCs w:val="20"/>
              </w:rPr>
            </w:pPr>
          </w:p>
        </w:tc>
        <w:tc>
          <w:tcPr>
            <w:tcW w:w="0" w:type="auto"/>
            <w:vAlign w:val="center"/>
            <w:hideMark/>
          </w:tcPr>
          <w:p w14:paraId="3DCB66CE" w14:textId="77777777" w:rsidR="00000000" w:rsidRDefault="00195E73">
            <w:pPr>
              <w:rPr>
                <w:rFonts w:eastAsia="Times New Roman"/>
                <w:sz w:val="20"/>
                <w:szCs w:val="20"/>
              </w:rPr>
            </w:pPr>
          </w:p>
        </w:tc>
        <w:tc>
          <w:tcPr>
            <w:tcW w:w="0" w:type="auto"/>
            <w:vAlign w:val="center"/>
            <w:hideMark/>
          </w:tcPr>
          <w:p w14:paraId="3F33D357" w14:textId="77777777" w:rsidR="00000000" w:rsidRDefault="00195E73">
            <w:pPr>
              <w:rPr>
                <w:rFonts w:eastAsia="Times New Roman"/>
                <w:sz w:val="20"/>
                <w:szCs w:val="20"/>
              </w:rPr>
            </w:pPr>
          </w:p>
        </w:tc>
        <w:tc>
          <w:tcPr>
            <w:tcW w:w="0" w:type="auto"/>
            <w:vAlign w:val="center"/>
            <w:hideMark/>
          </w:tcPr>
          <w:p w14:paraId="423F76AA" w14:textId="77777777" w:rsidR="00000000" w:rsidRDefault="00195E73">
            <w:pPr>
              <w:rPr>
                <w:rFonts w:eastAsia="Times New Roman"/>
                <w:sz w:val="20"/>
                <w:szCs w:val="20"/>
              </w:rPr>
            </w:pPr>
          </w:p>
        </w:tc>
        <w:tc>
          <w:tcPr>
            <w:tcW w:w="0" w:type="auto"/>
            <w:vAlign w:val="center"/>
            <w:hideMark/>
          </w:tcPr>
          <w:p w14:paraId="17B82B3B" w14:textId="77777777" w:rsidR="00000000" w:rsidRDefault="00195E73">
            <w:pPr>
              <w:rPr>
                <w:rFonts w:eastAsia="Times New Roman"/>
                <w:sz w:val="20"/>
                <w:szCs w:val="20"/>
              </w:rPr>
            </w:pPr>
          </w:p>
        </w:tc>
        <w:tc>
          <w:tcPr>
            <w:tcW w:w="0" w:type="auto"/>
            <w:vAlign w:val="center"/>
            <w:hideMark/>
          </w:tcPr>
          <w:p w14:paraId="0F5F3740" w14:textId="77777777" w:rsidR="00000000" w:rsidRDefault="00195E73">
            <w:pPr>
              <w:rPr>
                <w:rFonts w:eastAsia="Times New Roman"/>
                <w:sz w:val="20"/>
                <w:szCs w:val="20"/>
              </w:rPr>
            </w:pPr>
          </w:p>
        </w:tc>
        <w:tc>
          <w:tcPr>
            <w:tcW w:w="0" w:type="auto"/>
            <w:vAlign w:val="center"/>
            <w:hideMark/>
          </w:tcPr>
          <w:p w14:paraId="52D74A4C" w14:textId="77777777" w:rsidR="00000000" w:rsidRDefault="00195E73">
            <w:pPr>
              <w:rPr>
                <w:rFonts w:eastAsia="Times New Roman"/>
                <w:sz w:val="20"/>
                <w:szCs w:val="20"/>
              </w:rPr>
            </w:pPr>
          </w:p>
        </w:tc>
        <w:tc>
          <w:tcPr>
            <w:tcW w:w="0" w:type="auto"/>
            <w:vAlign w:val="center"/>
            <w:hideMark/>
          </w:tcPr>
          <w:p w14:paraId="284A1A5B" w14:textId="77777777" w:rsidR="00000000" w:rsidRDefault="00195E73">
            <w:pPr>
              <w:rPr>
                <w:rFonts w:eastAsia="Times New Roman"/>
                <w:sz w:val="20"/>
                <w:szCs w:val="20"/>
              </w:rPr>
            </w:pPr>
          </w:p>
        </w:tc>
        <w:tc>
          <w:tcPr>
            <w:tcW w:w="0" w:type="auto"/>
            <w:vAlign w:val="center"/>
            <w:hideMark/>
          </w:tcPr>
          <w:p w14:paraId="3DE1D93E" w14:textId="77777777" w:rsidR="00000000" w:rsidRDefault="00195E73">
            <w:pPr>
              <w:rPr>
                <w:rFonts w:eastAsia="Times New Roman"/>
                <w:sz w:val="20"/>
                <w:szCs w:val="20"/>
              </w:rPr>
            </w:pPr>
          </w:p>
        </w:tc>
        <w:tc>
          <w:tcPr>
            <w:tcW w:w="0" w:type="auto"/>
            <w:vAlign w:val="center"/>
            <w:hideMark/>
          </w:tcPr>
          <w:p w14:paraId="1C58049B" w14:textId="77777777" w:rsidR="00000000" w:rsidRDefault="00195E73">
            <w:pPr>
              <w:rPr>
                <w:rFonts w:eastAsia="Times New Roman"/>
                <w:sz w:val="20"/>
                <w:szCs w:val="20"/>
              </w:rPr>
            </w:pPr>
          </w:p>
        </w:tc>
      </w:tr>
    </w:tbl>
    <w:p w14:paraId="04A60B7F" w14:textId="77777777" w:rsidR="00000000" w:rsidRDefault="00195E73">
      <w:pPr>
        <w:ind w:firstLine="405"/>
        <w:divId w:val="1990283094"/>
        <w:rPr>
          <w:rFonts w:eastAsia="Times New Roman"/>
        </w:rPr>
      </w:pPr>
    </w:p>
    <w:p w14:paraId="7113C0E7" w14:textId="77777777" w:rsidR="00000000" w:rsidRDefault="00195E73">
      <w:pPr>
        <w:ind w:firstLine="405"/>
        <w:divId w:val="762650174"/>
        <w:rPr>
          <w:rFonts w:eastAsia="Times New Roman"/>
        </w:rPr>
      </w:pPr>
      <w:r>
        <w:rPr>
          <w:rFonts w:eastAsia="Times New Roman"/>
          <w:color w:val="000000"/>
          <w:sz w:val="20"/>
          <w:szCs w:val="20"/>
        </w:rPr>
        <w:t>The following table presents net income (loss) for our Investment segment</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4792"/>
        <w:gridCol w:w="40"/>
        <w:gridCol w:w="135"/>
        <w:gridCol w:w="725"/>
        <w:gridCol w:w="85"/>
        <w:gridCol w:w="36"/>
        <w:gridCol w:w="36"/>
        <w:gridCol w:w="36"/>
        <w:gridCol w:w="135"/>
        <w:gridCol w:w="694"/>
        <w:gridCol w:w="85"/>
        <w:gridCol w:w="36"/>
        <w:gridCol w:w="36"/>
        <w:gridCol w:w="36"/>
        <w:gridCol w:w="135"/>
        <w:gridCol w:w="694"/>
        <w:gridCol w:w="85"/>
        <w:gridCol w:w="36"/>
        <w:gridCol w:w="36"/>
        <w:gridCol w:w="36"/>
        <w:gridCol w:w="36"/>
        <w:gridCol w:w="36"/>
        <w:gridCol w:w="36"/>
        <w:gridCol w:w="36"/>
        <w:gridCol w:w="36"/>
        <w:gridCol w:w="36"/>
        <w:gridCol w:w="36"/>
        <w:gridCol w:w="36"/>
        <w:gridCol w:w="36"/>
      </w:tblGrid>
      <w:tr w:rsidR="00000000" w14:paraId="1FAA43BC" w14:textId="77777777">
        <w:trPr>
          <w:gridAfter w:val="12"/>
          <w:divId w:val="528951266"/>
          <w:jc w:val="center"/>
        </w:trPr>
        <w:tc>
          <w:tcPr>
            <w:tcW w:w="50" w:type="pct"/>
            <w:vAlign w:val="center"/>
            <w:hideMark/>
          </w:tcPr>
          <w:p w14:paraId="1DDC5FD9" w14:textId="77777777" w:rsidR="00000000" w:rsidRDefault="00195E73">
            <w:pPr>
              <w:ind w:firstLine="405"/>
              <w:rPr>
                <w:rFonts w:eastAsia="Times New Roman"/>
              </w:rPr>
            </w:pPr>
          </w:p>
        </w:tc>
        <w:tc>
          <w:tcPr>
            <w:tcW w:w="3069" w:type="pct"/>
            <w:vAlign w:val="center"/>
            <w:hideMark/>
          </w:tcPr>
          <w:p w14:paraId="2A55BA1C" w14:textId="77777777" w:rsidR="00000000" w:rsidRDefault="00195E73">
            <w:pPr>
              <w:rPr>
                <w:rFonts w:eastAsia="Times New Roman"/>
                <w:sz w:val="20"/>
                <w:szCs w:val="20"/>
              </w:rPr>
            </w:pPr>
          </w:p>
        </w:tc>
        <w:tc>
          <w:tcPr>
            <w:tcW w:w="50" w:type="pct"/>
            <w:vAlign w:val="center"/>
            <w:hideMark/>
          </w:tcPr>
          <w:p w14:paraId="35D19971" w14:textId="77777777" w:rsidR="00000000" w:rsidRDefault="00195E73">
            <w:pPr>
              <w:rPr>
                <w:rFonts w:eastAsia="Times New Roman"/>
                <w:sz w:val="20"/>
                <w:szCs w:val="20"/>
              </w:rPr>
            </w:pPr>
          </w:p>
        </w:tc>
        <w:tc>
          <w:tcPr>
            <w:tcW w:w="50" w:type="pct"/>
            <w:vAlign w:val="center"/>
            <w:hideMark/>
          </w:tcPr>
          <w:p w14:paraId="44F852A7" w14:textId="77777777" w:rsidR="00000000" w:rsidRDefault="00195E73">
            <w:pPr>
              <w:rPr>
                <w:rFonts w:eastAsia="Times New Roman"/>
                <w:sz w:val="20"/>
                <w:szCs w:val="20"/>
              </w:rPr>
            </w:pPr>
          </w:p>
        </w:tc>
        <w:tc>
          <w:tcPr>
            <w:tcW w:w="485" w:type="pct"/>
            <w:vAlign w:val="center"/>
            <w:hideMark/>
          </w:tcPr>
          <w:p w14:paraId="058798E7" w14:textId="77777777" w:rsidR="00000000" w:rsidRDefault="00195E73">
            <w:pPr>
              <w:rPr>
                <w:rFonts w:eastAsia="Times New Roman"/>
                <w:sz w:val="20"/>
                <w:szCs w:val="20"/>
              </w:rPr>
            </w:pPr>
          </w:p>
        </w:tc>
        <w:tc>
          <w:tcPr>
            <w:tcW w:w="50" w:type="pct"/>
            <w:vAlign w:val="center"/>
            <w:hideMark/>
          </w:tcPr>
          <w:p w14:paraId="3E018D4A" w14:textId="77777777" w:rsidR="00000000" w:rsidRDefault="00195E73">
            <w:pPr>
              <w:rPr>
                <w:rFonts w:eastAsia="Times New Roman"/>
                <w:sz w:val="20"/>
                <w:szCs w:val="20"/>
              </w:rPr>
            </w:pPr>
          </w:p>
        </w:tc>
        <w:tc>
          <w:tcPr>
            <w:tcW w:w="5" w:type="pct"/>
            <w:vAlign w:val="center"/>
            <w:hideMark/>
          </w:tcPr>
          <w:p w14:paraId="5C9632A3" w14:textId="77777777" w:rsidR="00000000" w:rsidRDefault="00195E73">
            <w:pPr>
              <w:rPr>
                <w:rFonts w:eastAsia="Times New Roman"/>
                <w:sz w:val="20"/>
                <w:szCs w:val="20"/>
              </w:rPr>
            </w:pPr>
          </w:p>
        </w:tc>
        <w:tc>
          <w:tcPr>
            <w:tcW w:w="26" w:type="pct"/>
            <w:vAlign w:val="center"/>
            <w:hideMark/>
          </w:tcPr>
          <w:p w14:paraId="0921807E" w14:textId="77777777" w:rsidR="00000000" w:rsidRDefault="00195E73">
            <w:pPr>
              <w:rPr>
                <w:rFonts w:eastAsia="Times New Roman"/>
                <w:sz w:val="20"/>
                <w:szCs w:val="20"/>
              </w:rPr>
            </w:pPr>
          </w:p>
        </w:tc>
        <w:tc>
          <w:tcPr>
            <w:tcW w:w="5" w:type="pct"/>
            <w:vAlign w:val="center"/>
            <w:hideMark/>
          </w:tcPr>
          <w:p w14:paraId="654B1D1D" w14:textId="77777777" w:rsidR="00000000" w:rsidRDefault="00195E73">
            <w:pPr>
              <w:rPr>
                <w:rFonts w:eastAsia="Times New Roman"/>
                <w:sz w:val="20"/>
                <w:szCs w:val="20"/>
              </w:rPr>
            </w:pPr>
          </w:p>
        </w:tc>
        <w:tc>
          <w:tcPr>
            <w:tcW w:w="50" w:type="pct"/>
            <w:vAlign w:val="center"/>
            <w:hideMark/>
          </w:tcPr>
          <w:p w14:paraId="0DA8DC59" w14:textId="77777777" w:rsidR="00000000" w:rsidRDefault="00195E73">
            <w:pPr>
              <w:rPr>
                <w:rFonts w:eastAsia="Times New Roman"/>
                <w:sz w:val="20"/>
                <w:szCs w:val="20"/>
              </w:rPr>
            </w:pPr>
          </w:p>
        </w:tc>
        <w:tc>
          <w:tcPr>
            <w:tcW w:w="485" w:type="pct"/>
            <w:vAlign w:val="center"/>
            <w:hideMark/>
          </w:tcPr>
          <w:p w14:paraId="2219EAA5" w14:textId="77777777" w:rsidR="00000000" w:rsidRDefault="00195E73">
            <w:pPr>
              <w:rPr>
                <w:rFonts w:eastAsia="Times New Roman"/>
                <w:sz w:val="20"/>
                <w:szCs w:val="20"/>
              </w:rPr>
            </w:pPr>
          </w:p>
        </w:tc>
        <w:tc>
          <w:tcPr>
            <w:tcW w:w="50" w:type="pct"/>
            <w:vAlign w:val="center"/>
            <w:hideMark/>
          </w:tcPr>
          <w:p w14:paraId="574B8B24" w14:textId="77777777" w:rsidR="00000000" w:rsidRDefault="00195E73">
            <w:pPr>
              <w:rPr>
                <w:rFonts w:eastAsia="Times New Roman"/>
                <w:sz w:val="20"/>
                <w:szCs w:val="20"/>
              </w:rPr>
            </w:pPr>
          </w:p>
        </w:tc>
        <w:tc>
          <w:tcPr>
            <w:tcW w:w="5" w:type="pct"/>
            <w:vAlign w:val="center"/>
            <w:hideMark/>
          </w:tcPr>
          <w:p w14:paraId="0825BDB2" w14:textId="77777777" w:rsidR="00000000" w:rsidRDefault="00195E73">
            <w:pPr>
              <w:rPr>
                <w:rFonts w:eastAsia="Times New Roman"/>
                <w:sz w:val="20"/>
                <w:szCs w:val="20"/>
              </w:rPr>
            </w:pPr>
          </w:p>
        </w:tc>
        <w:tc>
          <w:tcPr>
            <w:tcW w:w="26" w:type="pct"/>
            <w:vAlign w:val="center"/>
            <w:hideMark/>
          </w:tcPr>
          <w:p w14:paraId="2AEB126F" w14:textId="77777777" w:rsidR="00000000" w:rsidRDefault="00195E73">
            <w:pPr>
              <w:rPr>
                <w:rFonts w:eastAsia="Times New Roman"/>
                <w:sz w:val="20"/>
                <w:szCs w:val="20"/>
              </w:rPr>
            </w:pPr>
          </w:p>
        </w:tc>
        <w:tc>
          <w:tcPr>
            <w:tcW w:w="5" w:type="pct"/>
            <w:vAlign w:val="center"/>
            <w:hideMark/>
          </w:tcPr>
          <w:p w14:paraId="172EEBB7" w14:textId="77777777" w:rsidR="00000000" w:rsidRDefault="00195E73">
            <w:pPr>
              <w:rPr>
                <w:rFonts w:eastAsia="Times New Roman"/>
                <w:sz w:val="20"/>
                <w:szCs w:val="20"/>
              </w:rPr>
            </w:pPr>
          </w:p>
        </w:tc>
        <w:tc>
          <w:tcPr>
            <w:tcW w:w="50" w:type="pct"/>
            <w:vAlign w:val="center"/>
            <w:hideMark/>
          </w:tcPr>
          <w:p w14:paraId="7E159894" w14:textId="77777777" w:rsidR="00000000" w:rsidRDefault="00195E73">
            <w:pPr>
              <w:rPr>
                <w:rFonts w:eastAsia="Times New Roman"/>
                <w:sz w:val="20"/>
                <w:szCs w:val="20"/>
              </w:rPr>
            </w:pPr>
          </w:p>
        </w:tc>
        <w:tc>
          <w:tcPr>
            <w:tcW w:w="485" w:type="pct"/>
            <w:vAlign w:val="center"/>
            <w:hideMark/>
          </w:tcPr>
          <w:p w14:paraId="1D8B6273" w14:textId="77777777" w:rsidR="00000000" w:rsidRDefault="00195E73">
            <w:pPr>
              <w:rPr>
                <w:rFonts w:eastAsia="Times New Roman"/>
                <w:sz w:val="20"/>
                <w:szCs w:val="20"/>
              </w:rPr>
            </w:pPr>
          </w:p>
        </w:tc>
        <w:tc>
          <w:tcPr>
            <w:tcW w:w="50" w:type="pct"/>
            <w:vAlign w:val="center"/>
            <w:hideMark/>
          </w:tcPr>
          <w:p w14:paraId="074C92D9" w14:textId="77777777" w:rsidR="00000000" w:rsidRDefault="00195E73">
            <w:pPr>
              <w:rPr>
                <w:rFonts w:eastAsia="Times New Roman"/>
                <w:sz w:val="20"/>
                <w:szCs w:val="20"/>
              </w:rPr>
            </w:pPr>
          </w:p>
        </w:tc>
      </w:tr>
      <w:tr w:rsidR="00000000" w14:paraId="5E07D46C" w14:textId="77777777">
        <w:trPr>
          <w:divId w:val="528951266"/>
          <w:jc w:val="center"/>
        </w:trPr>
        <w:tc>
          <w:tcPr>
            <w:tcW w:w="0" w:type="auto"/>
            <w:gridSpan w:val="3"/>
            <w:tcMar>
              <w:top w:w="15" w:type="dxa"/>
              <w:left w:w="20" w:type="dxa"/>
              <w:bottom w:w="15" w:type="dxa"/>
              <w:right w:w="20" w:type="dxa"/>
            </w:tcMar>
            <w:vAlign w:val="bottom"/>
            <w:hideMark/>
          </w:tcPr>
          <w:p w14:paraId="61F53FEA"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18A1CBD4"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12153300" w14:textId="77777777" w:rsidR="00000000" w:rsidRDefault="00195E73">
            <w:pPr>
              <w:jc w:val="center"/>
              <w:rPr>
                <w:rFonts w:eastAsia="Times New Roman"/>
              </w:rPr>
            </w:pPr>
          </w:p>
        </w:tc>
        <w:tc>
          <w:tcPr>
            <w:tcW w:w="0" w:type="auto"/>
            <w:gridSpan w:val="3"/>
            <w:vAlign w:val="center"/>
            <w:hideMark/>
          </w:tcPr>
          <w:p w14:paraId="52523634" w14:textId="77777777" w:rsidR="00000000" w:rsidRDefault="00195E73">
            <w:pPr>
              <w:rPr>
                <w:rFonts w:eastAsia="Times New Roman"/>
                <w:sz w:val="20"/>
                <w:szCs w:val="20"/>
              </w:rPr>
            </w:pPr>
          </w:p>
        </w:tc>
        <w:tc>
          <w:tcPr>
            <w:tcW w:w="0" w:type="auto"/>
            <w:gridSpan w:val="3"/>
            <w:vAlign w:val="center"/>
            <w:hideMark/>
          </w:tcPr>
          <w:p w14:paraId="36F6535D" w14:textId="77777777" w:rsidR="00000000" w:rsidRDefault="00195E73">
            <w:pPr>
              <w:rPr>
                <w:rFonts w:eastAsia="Times New Roman"/>
                <w:sz w:val="20"/>
                <w:szCs w:val="20"/>
              </w:rPr>
            </w:pPr>
          </w:p>
        </w:tc>
        <w:tc>
          <w:tcPr>
            <w:tcW w:w="0" w:type="auto"/>
            <w:gridSpan w:val="3"/>
            <w:vAlign w:val="center"/>
            <w:hideMark/>
          </w:tcPr>
          <w:p w14:paraId="22E8F4E6" w14:textId="77777777" w:rsidR="00000000" w:rsidRDefault="00195E73">
            <w:pPr>
              <w:rPr>
                <w:rFonts w:eastAsia="Times New Roman"/>
                <w:sz w:val="20"/>
                <w:szCs w:val="20"/>
              </w:rPr>
            </w:pPr>
          </w:p>
        </w:tc>
      </w:tr>
      <w:tr w:rsidR="00000000" w14:paraId="4734E98E" w14:textId="77777777">
        <w:trPr>
          <w:divId w:val="528951266"/>
          <w:jc w:val="center"/>
        </w:trPr>
        <w:tc>
          <w:tcPr>
            <w:tcW w:w="0" w:type="auto"/>
            <w:gridSpan w:val="3"/>
            <w:tcMar>
              <w:top w:w="15" w:type="dxa"/>
              <w:left w:w="20" w:type="dxa"/>
              <w:bottom w:w="15" w:type="dxa"/>
              <w:right w:w="20" w:type="dxa"/>
            </w:tcMar>
            <w:vAlign w:val="bottom"/>
            <w:hideMark/>
          </w:tcPr>
          <w:p w14:paraId="6D6D2E44"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094CA4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3721156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B3FFEAC"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3119BA91"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171B5A"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68811AE4" w14:textId="77777777" w:rsidR="00000000" w:rsidRDefault="00195E73">
            <w:pPr>
              <w:rPr>
                <w:rFonts w:eastAsia="Times New Roman"/>
                <w:sz w:val="20"/>
                <w:szCs w:val="20"/>
              </w:rPr>
            </w:pPr>
          </w:p>
        </w:tc>
        <w:tc>
          <w:tcPr>
            <w:tcW w:w="0" w:type="auto"/>
            <w:vAlign w:val="center"/>
            <w:hideMark/>
          </w:tcPr>
          <w:p w14:paraId="3BF19CCE" w14:textId="77777777" w:rsidR="00000000" w:rsidRDefault="00195E73">
            <w:pPr>
              <w:rPr>
                <w:rFonts w:eastAsia="Times New Roman"/>
                <w:sz w:val="20"/>
                <w:szCs w:val="20"/>
              </w:rPr>
            </w:pPr>
          </w:p>
        </w:tc>
        <w:tc>
          <w:tcPr>
            <w:tcW w:w="0" w:type="auto"/>
            <w:vAlign w:val="center"/>
            <w:hideMark/>
          </w:tcPr>
          <w:p w14:paraId="3F196DF7" w14:textId="77777777" w:rsidR="00000000" w:rsidRDefault="00195E73">
            <w:pPr>
              <w:rPr>
                <w:rFonts w:eastAsia="Times New Roman"/>
                <w:sz w:val="20"/>
                <w:szCs w:val="20"/>
              </w:rPr>
            </w:pPr>
          </w:p>
        </w:tc>
        <w:tc>
          <w:tcPr>
            <w:tcW w:w="0" w:type="auto"/>
            <w:vAlign w:val="center"/>
            <w:hideMark/>
          </w:tcPr>
          <w:p w14:paraId="4D9C827C" w14:textId="77777777" w:rsidR="00000000" w:rsidRDefault="00195E73">
            <w:pPr>
              <w:rPr>
                <w:rFonts w:eastAsia="Times New Roman"/>
                <w:sz w:val="20"/>
                <w:szCs w:val="20"/>
              </w:rPr>
            </w:pPr>
          </w:p>
        </w:tc>
        <w:tc>
          <w:tcPr>
            <w:tcW w:w="0" w:type="auto"/>
            <w:vAlign w:val="center"/>
            <w:hideMark/>
          </w:tcPr>
          <w:p w14:paraId="08469C27" w14:textId="77777777" w:rsidR="00000000" w:rsidRDefault="00195E73">
            <w:pPr>
              <w:rPr>
                <w:rFonts w:eastAsia="Times New Roman"/>
                <w:sz w:val="20"/>
                <w:szCs w:val="20"/>
              </w:rPr>
            </w:pPr>
          </w:p>
        </w:tc>
        <w:tc>
          <w:tcPr>
            <w:tcW w:w="0" w:type="auto"/>
            <w:vAlign w:val="center"/>
            <w:hideMark/>
          </w:tcPr>
          <w:p w14:paraId="17E13420" w14:textId="77777777" w:rsidR="00000000" w:rsidRDefault="00195E73">
            <w:pPr>
              <w:rPr>
                <w:rFonts w:eastAsia="Times New Roman"/>
                <w:sz w:val="20"/>
                <w:szCs w:val="20"/>
              </w:rPr>
            </w:pPr>
          </w:p>
        </w:tc>
        <w:tc>
          <w:tcPr>
            <w:tcW w:w="0" w:type="auto"/>
            <w:vAlign w:val="center"/>
            <w:hideMark/>
          </w:tcPr>
          <w:p w14:paraId="35996CB1" w14:textId="77777777" w:rsidR="00000000" w:rsidRDefault="00195E73">
            <w:pPr>
              <w:rPr>
                <w:rFonts w:eastAsia="Times New Roman"/>
                <w:sz w:val="20"/>
                <w:szCs w:val="20"/>
              </w:rPr>
            </w:pPr>
          </w:p>
        </w:tc>
        <w:tc>
          <w:tcPr>
            <w:tcW w:w="0" w:type="auto"/>
            <w:vAlign w:val="center"/>
            <w:hideMark/>
          </w:tcPr>
          <w:p w14:paraId="59EB9D90" w14:textId="77777777" w:rsidR="00000000" w:rsidRDefault="00195E73">
            <w:pPr>
              <w:rPr>
                <w:rFonts w:eastAsia="Times New Roman"/>
                <w:sz w:val="20"/>
                <w:szCs w:val="20"/>
              </w:rPr>
            </w:pPr>
          </w:p>
        </w:tc>
        <w:tc>
          <w:tcPr>
            <w:tcW w:w="0" w:type="auto"/>
            <w:vAlign w:val="center"/>
            <w:hideMark/>
          </w:tcPr>
          <w:p w14:paraId="3F08804B" w14:textId="77777777" w:rsidR="00000000" w:rsidRDefault="00195E73">
            <w:pPr>
              <w:rPr>
                <w:rFonts w:eastAsia="Times New Roman"/>
                <w:sz w:val="20"/>
                <w:szCs w:val="20"/>
              </w:rPr>
            </w:pPr>
          </w:p>
        </w:tc>
        <w:tc>
          <w:tcPr>
            <w:tcW w:w="0" w:type="auto"/>
            <w:vAlign w:val="center"/>
            <w:hideMark/>
          </w:tcPr>
          <w:p w14:paraId="442E9510" w14:textId="77777777" w:rsidR="00000000" w:rsidRDefault="00195E73">
            <w:pPr>
              <w:rPr>
                <w:rFonts w:eastAsia="Times New Roman"/>
                <w:sz w:val="20"/>
                <w:szCs w:val="20"/>
              </w:rPr>
            </w:pPr>
          </w:p>
        </w:tc>
        <w:tc>
          <w:tcPr>
            <w:tcW w:w="0" w:type="auto"/>
            <w:vAlign w:val="center"/>
            <w:hideMark/>
          </w:tcPr>
          <w:p w14:paraId="4A195C28" w14:textId="77777777" w:rsidR="00000000" w:rsidRDefault="00195E73">
            <w:pPr>
              <w:rPr>
                <w:rFonts w:eastAsia="Times New Roman"/>
                <w:sz w:val="20"/>
                <w:szCs w:val="20"/>
              </w:rPr>
            </w:pPr>
          </w:p>
        </w:tc>
        <w:tc>
          <w:tcPr>
            <w:tcW w:w="0" w:type="auto"/>
            <w:vAlign w:val="center"/>
            <w:hideMark/>
          </w:tcPr>
          <w:p w14:paraId="49F14019" w14:textId="77777777" w:rsidR="00000000" w:rsidRDefault="00195E73">
            <w:pPr>
              <w:rPr>
                <w:rFonts w:eastAsia="Times New Roman"/>
                <w:sz w:val="20"/>
                <w:szCs w:val="20"/>
              </w:rPr>
            </w:pPr>
          </w:p>
        </w:tc>
      </w:tr>
      <w:tr w:rsidR="00000000" w14:paraId="6BE997F6" w14:textId="77777777">
        <w:trPr>
          <w:divId w:val="528951266"/>
          <w:jc w:val="center"/>
        </w:trPr>
        <w:tc>
          <w:tcPr>
            <w:tcW w:w="0" w:type="auto"/>
            <w:gridSpan w:val="3"/>
            <w:tcMar>
              <w:top w:w="15" w:type="dxa"/>
              <w:left w:w="20" w:type="dxa"/>
              <w:bottom w:w="15" w:type="dxa"/>
              <w:right w:w="20" w:type="dxa"/>
            </w:tcMar>
            <w:vAlign w:val="bottom"/>
            <w:hideMark/>
          </w:tcPr>
          <w:p w14:paraId="53F0CAB2" w14:textId="77777777" w:rsidR="00000000" w:rsidRDefault="00195E73">
            <w:pPr>
              <w:jc w:val="center"/>
              <w:rPr>
                <w:rFonts w:eastAsia="Times New Roman"/>
              </w:rPr>
            </w:pPr>
          </w:p>
        </w:tc>
        <w:tc>
          <w:tcPr>
            <w:tcW w:w="0" w:type="auto"/>
            <w:gridSpan w:val="14"/>
            <w:tcBorders>
              <w:top w:val="single" w:sz="8" w:space="0" w:color="000000"/>
            </w:tcBorders>
            <w:tcMar>
              <w:top w:w="30" w:type="dxa"/>
              <w:left w:w="20" w:type="dxa"/>
              <w:bottom w:w="30" w:type="dxa"/>
              <w:right w:w="0" w:type="dxa"/>
            </w:tcMar>
            <w:vAlign w:val="bottom"/>
            <w:hideMark/>
          </w:tcPr>
          <w:p w14:paraId="579CEDE6"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3A5F6539"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78BB1F49" w14:textId="77777777" w:rsidR="00000000" w:rsidRDefault="00195E73">
            <w:pPr>
              <w:jc w:val="right"/>
              <w:rPr>
                <w:rFonts w:eastAsia="Times New Roman"/>
              </w:rPr>
            </w:pPr>
          </w:p>
        </w:tc>
        <w:tc>
          <w:tcPr>
            <w:tcW w:w="0" w:type="auto"/>
            <w:gridSpan w:val="3"/>
            <w:vAlign w:val="center"/>
            <w:hideMark/>
          </w:tcPr>
          <w:p w14:paraId="3DAC1CB8" w14:textId="77777777" w:rsidR="00000000" w:rsidRDefault="00195E73">
            <w:pPr>
              <w:rPr>
                <w:rFonts w:eastAsia="Times New Roman"/>
                <w:sz w:val="20"/>
                <w:szCs w:val="20"/>
              </w:rPr>
            </w:pPr>
          </w:p>
        </w:tc>
        <w:tc>
          <w:tcPr>
            <w:tcW w:w="0" w:type="auto"/>
            <w:gridSpan w:val="3"/>
            <w:vAlign w:val="center"/>
            <w:hideMark/>
          </w:tcPr>
          <w:p w14:paraId="0ED69996" w14:textId="77777777" w:rsidR="00000000" w:rsidRDefault="00195E73">
            <w:pPr>
              <w:rPr>
                <w:rFonts w:eastAsia="Times New Roman"/>
                <w:sz w:val="20"/>
                <w:szCs w:val="20"/>
              </w:rPr>
            </w:pPr>
          </w:p>
        </w:tc>
        <w:tc>
          <w:tcPr>
            <w:tcW w:w="0" w:type="auto"/>
            <w:gridSpan w:val="3"/>
            <w:vAlign w:val="center"/>
            <w:hideMark/>
          </w:tcPr>
          <w:p w14:paraId="59CEC1B1" w14:textId="77777777" w:rsidR="00000000" w:rsidRDefault="00195E73">
            <w:pPr>
              <w:rPr>
                <w:rFonts w:eastAsia="Times New Roman"/>
                <w:sz w:val="20"/>
                <w:szCs w:val="20"/>
              </w:rPr>
            </w:pPr>
          </w:p>
        </w:tc>
      </w:tr>
      <w:tr w:rsidR="00000000" w14:paraId="4FFFB596" w14:textId="77777777">
        <w:trPr>
          <w:divId w:val="528951266"/>
          <w:jc w:val="center"/>
        </w:trPr>
        <w:tc>
          <w:tcPr>
            <w:tcW w:w="0" w:type="auto"/>
            <w:gridSpan w:val="3"/>
            <w:shd w:val="clear" w:color="auto" w:fill="CCEEFF"/>
            <w:tcMar>
              <w:top w:w="30" w:type="dxa"/>
              <w:left w:w="20" w:type="dxa"/>
              <w:bottom w:w="30" w:type="dxa"/>
              <w:right w:w="20" w:type="dxa"/>
            </w:tcMar>
            <w:vAlign w:val="bottom"/>
            <w:hideMark/>
          </w:tcPr>
          <w:p w14:paraId="7B77B173" w14:textId="77777777" w:rsidR="00000000" w:rsidRDefault="00195E73">
            <w:pPr>
              <w:rPr>
                <w:rFonts w:eastAsia="Times New Roman"/>
              </w:rPr>
            </w:pPr>
            <w:r>
              <w:rPr>
                <w:rFonts w:eastAsia="Times New Roman"/>
                <w:color w:val="000000"/>
                <w:sz w:val="20"/>
                <w:szCs w:val="20"/>
              </w:rPr>
              <w:t>Long position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39DF76F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CE4F5F8" w14:textId="77777777" w:rsidR="00000000" w:rsidRDefault="00195E73">
            <w:pPr>
              <w:jc w:val="right"/>
              <w:rPr>
                <w:rFonts w:eastAsia="Times New Roman"/>
              </w:rPr>
            </w:pPr>
            <w:r>
              <w:rPr>
                <w:rFonts w:eastAsia="Times New Roman"/>
                <w:color w:val="000000"/>
                <w:sz w:val="20"/>
                <w:szCs w:val="20"/>
              </w:rPr>
              <w:t>1,492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6BD031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C2B39B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152884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6423734" w14:textId="77777777" w:rsidR="00000000" w:rsidRDefault="00195E73">
            <w:pPr>
              <w:jc w:val="right"/>
              <w:rPr>
                <w:rFonts w:eastAsia="Times New Roman"/>
              </w:rPr>
            </w:pPr>
            <w:r>
              <w:rPr>
                <w:rFonts w:eastAsia="Times New Roman"/>
                <w:color w:val="000000"/>
                <w:sz w:val="20"/>
                <w:szCs w:val="20"/>
              </w:rPr>
              <w:t>(329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54C769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16E819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76EEFB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5EF72F0" w14:textId="77777777" w:rsidR="00000000" w:rsidRDefault="00195E73">
            <w:pPr>
              <w:jc w:val="right"/>
              <w:rPr>
                <w:rFonts w:eastAsia="Times New Roman"/>
              </w:rPr>
            </w:pPr>
            <w:r>
              <w:rPr>
                <w:rFonts w:eastAsia="Times New Roman"/>
                <w:color w:val="000000"/>
                <w:sz w:val="20"/>
                <w:szCs w:val="20"/>
              </w:rPr>
              <w:t>2,035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E1915C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365AD7D" w14:textId="77777777" w:rsidR="00000000" w:rsidRDefault="00195E73">
            <w:pPr>
              <w:rPr>
                <w:rFonts w:eastAsia="Times New Roman"/>
                <w:sz w:val="20"/>
                <w:szCs w:val="20"/>
              </w:rPr>
            </w:pPr>
          </w:p>
        </w:tc>
        <w:tc>
          <w:tcPr>
            <w:tcW w:w="0" w:type="auto"/>
            <w:vAlign w:val="center"/>
            <w:hideMark/>
          </w:tcPr>
          <w:p w14:paraId="7EBD7CC8" w14:textId="77777777" w:rsidR="00000000" w:rsidRDefault="00195E73">
            <w:pPr>
              <w:rPr>
                <w:rFonts w:eastAsia="Times New Roman"/>
                <w:sz w:val="20"/>
                <w:szCs w:val="20"/>
              </w:rPr>
            </w:pPr>
          </w:p>
        </w:tc>
        <w:tc>
          <w:tcPr>
            <w:tcW w:w="0" w:type="auto"/>
            <w:vAlign w:val="center"/>
            <w:hideMark/>
          </w:tcPr>
          <w:p w14:paraId="466905D5" w14:textId="77777777" w:rsidR="00000000" w:rsidRDefault="00195E73">
            <w:pPr>
              <w:rPr>
                <w:rFonts w:eastAsia="Times New Roman"/>
                <w:sz w:val="20"/>
                <w:szCs w:val="20"/>
              </w:rPr>
            </w:pPr>
          </w:p>
        </w:tc>
        <w:tc>
          <w:tcPr>
            <w:tcW w:w="0" w:type="auto"/>
            <w:vAlign w:val="center"/>
            <w:hideMark/>
          </w:tcPr>
          <w:p w14:paraId="46119BEA" w14:textId="77777777" w:rsidR="00000000" w:rsidRDefault="00195E73">
            <w:pPr>
              <w:rPr>
                <w:rFonts w:eastAsia="Times New Roman"/>
                <w:sz w:val="20"/>
                <w:szCs w:val="20"/>
              </w:rPr>
            </w:pPr>
          </w:p>
        </w:tc>
        <w:tc>
          <w:tcPr>
            <w:tcW w:w="0" w:type="auto"/>
            <w:vAlign w:val="center"/>
            <w:hideMark/>
          </w:tcPr>
          <w:p w14:paraId="2C972A30" w14:textId="77777777" w:rsidR="00000000" w:rsidRDefault="00195E73">
            <w:pPr>
              <w:rPr>
                <w:rFonts w:eastAsia="Times New Roman"/>
                <w:sz w:val="20"/>
                <w:szCs w:val="20"/>
              </w:rPr>
            </w:pPr>
          </w:p>
        </w:tc>
        <w:tc>
          <w:tcPr>
            <w:tcW w:w="0" w:type="auto"/>
            <w:vAlign w:val="center"/>
            <w:hideMark/>
          </w:tcPr>
          <w:p w14:paraId="3E3A4689" w14:textId="77777777" w:rsidR="00000000" w:rsidRDefault="00195E73">
            <w:pPr>
              <w:rPr>
                <w:rFonts w:eastAsia="Times New Roman"/>
                <w:sz w:val="20"/>
                <w:szCs w:val="20"/>
              </w:rPr>
            </w:pPr>
          </w:p>
        </w:tc>
        <w:tc>
          <w:tcPr>
            <w:tcW w:w="0" w:type="auto"/>
            <w:vAlign w:val="center"/>
            <w:hideMark/>
          </w:tcPr>
          <w:p w14:paraId="5CB0BA1A" w14:textId="77777777" w:rsidR="00000000" w:rsidRDefault="00195E73">
            <w:pPr>
              <w:rPr>
                <w:rFonts w:eastAsia="Times New Roman"/>
                <w:sz w:val="20"/>
                <w:szCs w:val="20"/>
              </w:rPr>
            </w:pPr>
          </w:p>
        </w:tc>
        <w:tc>
          <w:tcPr>
            <w:tcW w:w="0" w:type="auto"/>
            <w:vAlign w:val="center"/>
            <w:hideMark/>
          </w:tcPr>
          <w:p w14:paraId="02E06A77" w14:textId="77777777" w:rsidR="00000000" w:rsidRDefault="00195E73">
            <w:pPr>
              <w:rPr>
                <w:rFonts w:eastAsia="Times New Roman"/>
                <w:sz w:val="20"/>
                <w:szCs w:val="20"/>
              </w:rPr>
            </w:pPr>
          </w:p>
        </w:tc>
        <w:tc>
          <w:tcPr>
            <w:tcW w:w="0" w:type="auto"/>
            <w:vAlign w:val="center"/>
            <w:hideMark/>
          </w:tcPr>
          <w:p w14:paraId="766103BC" w14:textId="77777777" w:rsidR="00000000" w:rsidRDefault="00195E73">
            <w:pPr>
              <w:rPr>
                <w:rFonts w:eastAsia="Times New Roman"/>
                <w:sz w:val="20"/>
                <w:szCs w:val="20"/>
              </w:rPr>
            </w:pPr>
          </w:p>
        </w:tc>
        <w:tc>
          <w:tcPr>
            <w:tcW w:w="0" w:type="auto"/>
            <w:vAlign w:val="center"/>
            <w:hideMark/>
          </w:tcPr>
          <w:p w14:paraId="02D93F76" w14:textId="77777777" w:rsidR="00000000" w:rsidRDefault="00195E73">
            <w:pPr>
              <w:rPr>
                <w:rFonts w:eastAsia="Times New Roman"/>
                <w:sz w:val="20"/>
                <w:szCs w:val="20"/>
              </w:rPr>
            </w:pPr>
          </w:p>
        </w:tc>
        <w:tc>
          <w:tcPr>
            <w:tcW w:w="0" w:type="auto"/>
            <w:vAlign w:val="center"/>
            <w:hideMark/>
          </w:tcPr>
          <w:p w14:paraId="63643528" w14:textId="77777777" w:rsidR="00000000" w:rsidRDefault="00195E73">
            <w:pPr>
              <w:rPr>
                <w:rFonts w:eastAsia="Times New Roman"/>
                <w:sz w:val="20"/>
                <w:szCs w:val="20"/>
              </w:rPr>
            </w:pPr>
          </w:p>
        </w:tc>
        <w:tc>
          <w:tcPr>
            <w:tcW w:w="0" w:type="auto"/>
            <w:vAlign w:val="center"/>
            <w:hideMark/>
          </w:tcPr>
          <w:p w14:paraId="16582E95" w14:textId="77777777" w:rsidR="00000000" w:rsidRDefault="00195E73">
            <w:pPr>
              <w:rPr>
                <w:rFonts w:eastAsia="Times New Roman"/>
                <w:sz w:val="20"/>
                <w:szCs w:val="20"/>
              </w:rPr>
            </w:pPr>
          </w:p>
        </w:tc>
      </w:tr>
      <w:tr w:rsidR="00000000" w14:paraId="3C5D2C15" w14:textId="77777777">
        <w:trPr>
          <w:divId w:val="528951266"/>
          <w:jc w:val="center"/>
        </w:trPr>
        <w:tc>
          <w:tcPr>
            <w:tcW w:w="0" w:type="auto"/>
            <w:gridSpan w:val="3"/>
            <w:shd w:val="clear" w:color="auto" w:fill="FFFFFF"/>
            <w:tcMar>
              <w:top w:w="30" w:type="dxa"/>
              <w:left w:w="20" w:type="dxa"/>
              <w:bottom w:w="30" w:type="dxa"/>
              <w:right w:w="20" w:type="dxa"/>
            </w:tcMar>
            <w:vAlign w:val="bottom"/>
            <w:hideMark/>
          </w:tcPr>
          <w:p w14:paraId="1FE622D2" w14:textId="77777777" w:rsidR="00000000" w:rsidRDefault="00195E73">
            <w:pPr>
              <w:rPr>
                <w:rFonts w:eastAsia="Times New Roman"/>
              </w:rPr>
            </w:pPr>
            <w:r>
              <w:rPr>
                <w:rFonts w:eastAsia="Times New Roman"/>
                <w:color w:val="000000"/>
                <w:sz w:val="20"/>
                <w:szCs w:val="20"/>
              </w:rPr>
              <w:t>Short position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AD29845" w14:textId="77777777" w:rsidR="00000000" w:rsidRDefault="00195E73">
            <w:pPr>
              <w:jc w:val="right"/>
              <w:rPr>
                <w:rFonts w:eastAsia="Times New Roman"/>
              </w:rPr>
            </w:pPr>
            <w:r>
              <w:rPr>
                <w:rFonts w:eastAsia="Times New Roman"/>
                <w:color w:val="000000"/>
                <w:sz w:val="20"/>
                <w:szCs w:val="20"/>
              </w:rPr>
              <w:t>(3,045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C2881E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90D72C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F85A83" w14:textId="77777777" w:rsidR="00000000" w:rsidRDefault="00195E73">
            <w:pPr>
              <w:jc w:val="right"/>
              <w:rPr>
                <w:rFonts w:eastAsia="Times New Roman"/>
              </w:rPr>
            </w:pPr>
            <w:r>
              <w:rPr>
                <w:rFonts w:eastAsia="Times New Roman"/>
                <w:color w:val="000000"/>
                <w:sz w:val="20"/>
                <w:szCs w:val="20"/>
              </w:rPr>
              <w:t>931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9B52BD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660495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EABE8A" w14:textId="77777777" w:rsidR="00000000" w:rsidRDefault="00195E73">
            <w:pPr>
              <w:jc w:val="right"/>
              <w:rPr>
                <w:rFonts w:eastAsia="Times New Roman"/>
              </w:rPr>
            </w:pPr>
            <w:r>
              <w:rPr>
                <w:rFonts w:eastAsia="Times New Roman"/>
                <w:color w:val="000000"/>
                <w:sz w:val="20"/>
                <w:szCs w:val="20"/>
              </w:rPr>
              <w:t>(1,787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69C7A7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C13FCC0" w14:textId="77777777" w:rsidR="00000000" w:rsidRDefault="00195E73">
            <w:pPr>
              <w:rPr>
                <w:rFonts w:eastAsia="Times New Roman"/>
                <w:sz w:val="20"/>
                <w:szCs w:val="20"/>
              </w:rPr>
            </w:pPr>
          </w:p>
        </w:tc>
        <w:tc>
          <w:tcPr>
            <w:tcW w:w="0" w:type="auto"/>
            <w:vAlign w:val="center"/>
            <w:hideMark/>
          </w:tcPr>
          <w:p w14:paraId="55D44EF4" w14:textId="77777777" w:rsidR="00000000" w:rsidRDefault="00195E73">
            <w:pPr>
              <w:rPr>
                <w:rFonts w:eastAsia="Times New Roman"/>
                <w:sz w:val="20"/>
                <w:szCs w:val="20"/>
              </w:rPr>
            </w:pPr>
          </w:p>
        </w:tc>
        <w:tc>
          <w:tcPr>
            <w:tcW w:w="0" w:type="auto"/>
            <w:vAlign w:val="center"/>
            <w:hideMark/>
          </w:tcPr>
          <w:p w14:paraId="4CE5D48F" w14:textId="77777777" w:rsidR="00000000" w:rsidRDefault="00195E73">
            <w:pPr>
              <w:rPr>
                <w:rFonts w:eastAsia="Times New Roman"/>
                <w:sz w:val="20"/>
                <w:szCs w:val="20"/>
              </w:rPr>
            </w:pPr>
          </w:p>
        </w:tc>
        <w:tc>
          <w:tcPr>
            <w:tcW w:w="0" w:type="auto"/>
            <w:vAlign w:val="center"/>
            <w:hideMark/>
          </w:tcPr>
          <w:p w14:paraId="28185DB3" w14:textId="77777777" w:rsidR="00000000" w:rsidRDefault="00195E73">
            <w:pPr>
              <w:rPr>
                <w:rFonts w:eastAsia="Times New Roman"/>
                <w:sz w:val="20"/>
                <w:szCs w:val="20"/>
              </w:rPr>
            </w:pPr>
          </w:p>
        </w:tc>
        <w:tc>
          <w:tcPr>
            <w:tcW w:w="0" w:type="auto"/>
            <w:vAlign w:val="center"/>
            <w:hideMark/>
          </w:tcPr>
          <w:p w14:paraId="49CF5725" w14:textId="77777777" w:rsidR="00000000" w:rsidRDefault="00195E73">
            <w:pPr>
              <w:rPr>
                <w:rFonts w:eastAsia="Times New Roman"/>
                <w:sz w:val="20"/>
                <w:szCs w:val="20"/>
              </w:rPr>
            </w:pPr>
          </w:p>
        </w:tc>
        <w:tc>
          <w:tcPr>
            <w:tcW w:w="0" w:type="auto"/>
            <w:vAlign w:val="center"/>
            <w:hideMark/>
          </w:tcPr>
          <w:p w14:paraId="324F0C58" w14:textId="77777777" w:rsidR="00000000" w:rsidRDefault="00195E73">
            <w:pPr>
              <w:rPr>
                <w:rFonts w:eastAsia="Times New Roman"/>
                <w:sz w:val="20"/>
                <w:szCs w:val="20"/>
              </w:rPr>
            </w:pPr>
          </w:p>
        </w:tc>
        <w:tc>
          <w:tcPr>
            <w:tcW w:w="0" w:type="auto"/>
            <w:vAlign w:val="center"/>
            <w:hideMark/>
          </w:tcPr>
          <w:p w14:paraId="1D996702" w14:textId="77777777" w:rsidR="00000000" w:rsidRDefault="00195E73">
            <w:pPr>
              <w:rPr>
                <w:rFonts w:eastAsia="Times New Roman"/>
                <w:sz w:val="20"/>
                <w:szCs w:val="20"/>
              </w:rPr>
            </w:pPr>
          </w:p>
        </w:tc>
        <w:tc>
          <w:tcPr>
            <w:tcW w:w="0" w:type="auto"/>
            <w:vAlign w:val="center"/>
            <w:hideMark/>
          </w:tcPr>
          <w:p w14:paraId="211185CE" w14:textId="77777777" w:rsidR="00000000" w:rsidRDefault="00195E73">
            <w:pPr>
              <w:rPr>
                <w:rFonts w:eastAsia="Times New Roman"/>
                <w:sz w:val="20"/>
                <w:szCs w:val="20"/>
              </w:rPr>
            </w:pPr>
          </w:p>
        </w:tc>
        <w:tc>
          <w:tcPr>
            <w:tcW w:w="0" w:type="auto"/>
            <w:vAlign w:val="center"/>
            <w:hideMark/>
          </w:tcPr>
          <w:p w14:paraId="3846EDA7" w14:textId="77777777" w:rsidR="00000000" w:rsidRDefault="00195E73">
            <w:pPr>
              <w:rPr>
                <w:rFonts w:eastAsia="Times New Roman"/>
                <w:sz w:val="20"/>
                <w:szCs w:val="20"/>
              </w:rPr>
            </w:pPr>
          </w:p>
        </w:tc>
        <w:tc>
          <w:tcPr>
            <w:tcW w:w="0" w:type="auto"/>
            <w:vAlign w:val="center"/>
            <w:hideMark/>
          </w:tcPr>
          <w:p w14:paraId="1417F3E4" w14:textId="77777777" w:rsidR="00000000" w:rsidRDefault="00195E73">
            <w:pPr>
              <w:rPr>
                <w:rFonts w:eastAsia="Times New Roman"/>
                <w:sz w:val="20"/>
                <w:szCs w:val="20"/>
              </w:rPr>
            </w:pPr>
          </w:p>
        </w:tc>
        <w:tc>
          <w:tcPr>
            <w:tcW w:w="0" w:type="auto"/>
            <w:vAlign w:val="center"/>
            <w:hideMark/>
          </w:tcPr>
          <w:p w14:paraId="75F42B98" w14:textId="77777777" w:rsidR="00000000" w:rsidRDefault="00195E73">
            <w:pPr>
              <w:rPr>
                <w:rFonts w:eastAsia="Times New Roman"/>
                <w:sz w:val="20"/>
                <w:szCs w:val="20"/>
              </w:rPr>
            </w:pPr>
          </w:p>
        </w:tc>
        <w:tc>
          <w:tcPr>
            <w:tcW w:w="0" w:type="auto"/>
            <w:vAlign w:val="center"/>
            <w:hideMark/>
          </w:tcPr>
          <w:p w14:paraId="33396825" w14:textId="77777777" w:rsidR="00000000" w:rsidRDefault="00195E73">
            <w:pPr>
              <w:rPr>
                <w:rFonts w:eastAsia="Times New Roman"/>
                <w:sz w:val="20"/>
                <w:szCs w:val="20"/>
              </w:rPr>
            </w:pPr>
          </w:p>
        </w:tc>
      </w:tr>
      <w:tr w:rsidR="00000000" w14:paraId="161E64A3" w14:textId="77777777">
        <w:trPr>
          <w:divId w:val="528951266"/>
          <w:jc w:val="center"/>
        </w:trPr>
        <w:tc>
          <w:tcPr>
            <w:tcW w:w="0" w:type="auto"/>
            <w:gridSpan w:val="3"/>
            <w:shd w:val="clear" w:color="auto" w:fill="CCEEFF"/>
            <w:tcMar>
              <w:top w:w="30" w:type="dxa"/>
              <w:left w:w="20" w:type="dxa"/>
              <w:bottom w:w="30" w:type="dxa"/>
              <w:right w:w="20" w:type="dxa"/>
            </w:tcMar>
            <w:vAlign w:val="bottom"/>
            <w:hideMark/>
          </w:tcPr>
          <w:p w14:paraId="5D70F6E5" w14:textId="77777777" w:rsidR="00000000" w:rsidRDefault="00195E73">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51BCA427" w14:textId="77777777" w:rsidR="00000000" w:rsidRDefault="00195E73">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CF25AC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890C89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6B9229" w14:textId="77777777" w:rsidR="00000000" w:rsidRDefault="00195E73">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AD2F1C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9934D8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12A1F0" w14:textId="77777777" w:rsidR="00000000" w:rsidRDefault="00195E73">
            <w:pPr>
              <w:jc w:val="right"/>
              <w:rPr>
                <w:rFonts w:eastAsia="Times New Roman"/>
              </w:rPr>
            </w:pPr>
            <w:r>
              <w:rPr>
                <w:rFonts w:eastAsia="Times New Roman"/>
                <w:color w:val="000000"/>
                <w:sz w:val="20"/>
                <w:szCs w:val="20"/>
              </w:rPr>
              <w:t>(130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CDB693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860A56B" w14:textId="77777777" w:rsidR="00000000" w:rsidRDefault="00195E73">
            <w:pPr>
              <w:rPr>
                <w:rFonts w:eastAsia="Times New Roman"/>
                <w:sz w:val="20"/>
                <w:szCs w:val="20"/>
              </w:rPr>
            </w:pPr>
          </w:p>
        </w:tc>
        <w:tc>
          <w:tcPr>
            <w:tcW w:w="0" w:type="auto"/>
            <w:vAlign w:val="center"/>
            <w:hideMark/>
          </w:tcPr>
          <w:p w14:paraId="2EB6E16C" w14:textId="77777777" w:rsidR="00000000" w:rsidRDefault="00195E73">
            <w:pPr>
              <w:rPr>
                <w:rFonts w:eastAsia="Times New Roman"/>
                <w:sz w:val="20"/>
                <w:szCs w:val="20"/>
              </w:rPr>
            </w:pPr>
          </w:p>
        </w:tc>
        <w:tc>
          <w:tcPr>
            <w:tcW w:w="0" w:type="auto"/>
            <w:vAlign w:val="center"/>
            <w:hideMark/>
          </w:tcPr>
          <w:p w14:paraId="38F2C746" w14:textId="77777777" w:rsidR="00000000" w:rsidRDefault="00195E73">
            <w:pPr>
              <w:rPr>
                <w:rFonts w:eastAsia="Times New Roman"/>
                <w:sz w:val="20"/>
                <w:szCs w:val="20"/>
              </w:rPr>
            </w:pPr>
          </w:p>
        </w:tc>
        <w:tc>
          <w:tcPr>
            <w:tcW w:w="0" w:type="auto"/>
            <w:vAlign w:val="center"/>
            <w:hideMark/>
          </w:tcPr>
          <w:p w14:paraId="54D39681" w14:textId="77777777" w:rsidR="00000000" w:rsidRDefault="00195E73">
            <w:pPr>
              <w:rPr>
                <w:rFonts w:eastAsia="Times New Roman"/>
                <w:sz w:val="20"/>
                <w:szCs w:val="20"/>
              </w:rPr>
            </w:pPr>
          </w:p>
        </w:tc>
        <w:tc>
          <w:tcPr>
            <w:tcW w:w="0" w:type="auto"/>
            <w:vAlign w:val="center"/>
            <w:hideMark/>
          </w:tcPr>
          <w:p w14:paraId="5441B70B" w14:textId="77777777" w:rsidR="00000000" w:rsidRDefault="00195E73">
            <w:pPr>
              <w:rPr>
                <w:rFonts w:eastAsia="Times New Roman"/>
                <w:sz w:val="20"/>
                <w:szCs w:val="20"/>
              </w:rPr>
            </w:pPr>
          </w:p>
        </w:tc>
        <w:tc>
          <w:tcPr>
            <w:tcW w:w="0" w:type="auto"/>
            <w:vAlign w:val="center"/>
            <w:hideMark/>
          </w:tcPr>
          <w:p w14:paraId="7817F536" w14:textId="77777777" w:rsidR="00000000" w:rsidRDefault="00195E73">
            <w:pPr>
              <w:rPr>
                <w:rFonts w:eastAsia="Times New Roman"/>
                <w:sz w:val="20"/>
                <w:szCs w:val="20"/>
              </w:rPr>
            </w:pPr>
          </w:p>
        </w:tc>
        <w:tc>
          <w:tcPr>
            <w:tcW w:w="0" w:type="auto"/>
            <w:vAlign w:val="center"/>
            <w:hideMark/>
          </w:tcPr>
          <w:p w14:paraId="4A271F1D" w14:textId="77777777" w:rsidR="00000000" w:rsidRDefault="00195E73">
            <w:pPr>
              <w:rPr>
                <w:rFonts w:eastAsia="Times New Roman"/>
                <w:sz w:val="20"/>
                <w:szCs w:val="20"/>
              </w:rPr>
            </w:pPr>
          </w:p>
        </w:tc>
        <w:tc>
          <w:tcPr>
            <w:tcW w:w="0" w:type="auto"/>
            <w:vAlign w:val="center"/>
            <w:hideMark/>
          </w:tcPr>
          <w:p w14:paraId="59E1772C" w14:textId="77777777" w:rsidR="00000000" w:rsidRDefault="00195E73">
            <w:pPr>
              <w:rPr>
                <w:rFonts w:eastAsia="Times New Roman"/>
                <w:sz w:val="20"/>
                <w:szCs w:val="20"/>
              </w:rPr>
            </w:pPr>
          </w:p>
        </w:tc>
        <w:tc>
          <w:tcPr>
            <w:tcW w:w="0" w:type="auto"/>
            <w:vAlign w:val="center"/>
            <w:hideMark/>
          </w:tcPr>
          <w:p w14:paraId="39A5B272" w14:textId="77777777" w:rsidR="00000000" w:rsidRDefault="00195E73">
            <w:pPr>
              <w:rPr>
                <w:rFonts w:eastAsia="Times New Roman"/>
                <w:sz w:val="20"/>
                <w:szCs w:val="20"/>
              </w:rPr>
            </w:pPr>
          </w:p>
        </w:tc>
        <w:tc>
          <w:tcPr>
            <w:tcW w:w="0" w:type="auto"/>
            <w:vAlign w:val="center"/>
            <w:hideMark/>
          </w:tcPr>
          <w:p w14:paraId="24BB82A0" w14:textId="77777777" w:rsidR="00000000" w:rsidRDefault="00195E73">
            <w:pPr>
              <w:rPr>
                <w:rFonts w:eastAsia="Times New Roman"/>
                <w:sz w:val="20"/>
                <w:szCs w:val="20"/>
              </w:rPr>
            </w:pPr>
          </w:p>
        </w:tc>
        <w:tc>
          <w:tcPr>
            <w:tcW w:w="0" w:type="auto"/>
            <w:vAlign w:val="center"/>
            <w:hideMark/>
          </w:tcPr>
          <w:p w14:paraId="488F0B57" w14:textId="77777777" w:rsidR="00000000" w:rsidRDefault="00195E73">
            <w:pPr>
              <w:rPr>
                <w:rFonts w:eastAsia="Times New Roman"/>
                <w:sz w:val="20"/>
                <w:szCs w:val="20"/>
              </w:rPr>
            </w:pPr>
          </w:p>
        </w:tc>
        <w:tc>
          <w:tcPr>
            <w:tcW w:w="0" w:type="auto"/>
            <w:vAlign w:val="center"/>
            <w:hideMark/>
          </w:tcPr>
          <w:p w14:paraId="32B2F2EE" w14:textId="77777777" w:rsidR="00000000" w:rsidRDefault="00195E73">
            <w:pPr>
              <w:rPr>
                <w:rFonts w:eastAsia="Times New Roman"/>
                <w:sz w:val="20"/>
                <w:szCs w:val="20"/>
              </w:rPr>
            </w:pPr>
          </w:p>
        </w:tc>
      </w:tr>
      <w:tr w:rsidR="00000000" w14:paraId="346AC755" w14:textId="77777777">
        <w:trPr>
          <w:divId w:val="528951266"/>
          <w:jc w:val="center"/>
        </w:trPr>
        <w:tc>
          <w:tcPr>
            <w:tcW w:w="0" w:type="auto"/>
            <w:gridSpan w:val="3"/>
            <w:shd w:val="clear" w:color="auto" w:fill="FFFFFF"/>
            <w:tcMar>
              <w:top w:w="15" w:type="dxa"/>
              <w:left w:w="20" w:type="dxa"/>
              <w:bottom w:w="15" w:type="dxa"/>
              <w:right w:w="20" w:type="dxa"/>
            </w:tcMar>
            <w:vAlign w:val="bottom"/>
            <w:hideMark/>
          </w:tcPr>
          <w:p w14:paraId="27078254"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61FA46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6F420F2" w14:textId="77777777" w:rsidR="00000000" w:rsidRDefault="00195E73">
            <w:pPr>
              <w:jc w:val="right"/>
              <w:rPr>
                <w:rFonts w:eastAsia="Times New Roman"/>
              </w:rPr>
            </w:pPr>
            <w:r>
              <w:rPr>
                <w:rFonts w:eastAsia="Times New Roman"/>
                <w:color w:val="000000"/>
                <w:sz w:val="20"/>
                <w:szCs w:val="20"/>
              </w:rPr>
              <w:t>(1,543</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EA0CFF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A56E75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2F689D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712D9A5" w14:textId="77777777" w:rsidR="00000000" w:rsidRDefault="00195E73">
            <w:pPr>
              <w:jc w:val="right"/>
              <w:rPr>
                <w:rFonts w:eastAsia="Times New Roman"/>
              </w:rPr>
            </w:pPr>
            <w:r>
              <w:rPr>
                <w:rFonts w:eastAsia="Times New Roman"/>
                <w:color w:val="000000"/>
                <w:sz w:val="20"/>
                <w:szCs w:val="20"/>
              </w:rPr>
              <w:t>679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9344EE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6C4DEF3"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9A9C5A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10F718E" w14:textId="77777777" w:rsidR="00000000" w:rsidRDefault="00195E73">
            <w:pPr>
              <w:jc w:val="right"/>
              <w:rPr>
                <w:rFonts w:eastAsia="Times New Roman"/>
              </w:rPr>
            </w:pPr>
            <w:r>
              <w:rPr>
                <w:rFonts w:eastAsia="Times New Roman"/>
                <w:color w:val="000000"/>
                <w:sz w:val="20"/>
                <w:szCs w:val="20"/>
              </w:rPr>
              <w:t>118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88413A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DF3AB71" w14:textId="77777777" w:rsidR="00000000" w:rsidRDefault="00195E73">
            <w:pPr>
              <w:rPr>
                <w:rFonts w:eastAsia="Times New Roman"/>
                <w:sz w:val="20"/>
                <w:szCs w:val="20"/>
              </w:rPr>
            </w:pPr>
          </w:p>
        </w:tc>
        <w:tc>
          <w:tcPr>
            <w:tcW w:w="0" w:type="auto"/>
            <w:vAlign w:val="center"/>
            <w:hideMark/>
          </w:tcPr>
          <w:p w14:paraId="7804CE7C" w14:textId="77777777" w:rsidR="00000000" w:rsidRDefault="00195E73">
            <w:pPr>
              <w:rPr>
                <w:rFonts w:eastAsia="Times New Roman"/>
                <w:sz w:val="20"/>
                <w:szCs w:val="20"/>
              </w:rPr>
            </w:pPr>
          </w:p>
        </w:tc>
        <w:tc>
          <w:tcPr>
            <w:tcW w:w="0" w:type="auto"/>
            <w:vAlign w:val="center"/>
            <w:hideMark/>
          </w:tcPr>
          <w:p w14:paraId="6B727357" w14:textId="77777777" w:rsidR="00000000" w:rsidRDefault="00195E73">
            <w:pPr>
              <w:rPr>
                <w:rFonts w:eastAsia="Times New Roman"/>
                <w:sz w:val="20"/>
                <w:szCs w:val="20"/>
              </w:rPr>
            </w:pPr>
          </w:p>
        </w:tc>
        <w:tc>
          <w:tcPr>
            <w:tcW w:w="0" w:type="auto"/>
            <w:vAlign w:val="center"/>
            <w:hideMark/>
          </w:tcPr>
          <w:p w14:paraId="20BFBA08" w14:textId="77777777" w:rsidR="00000000" w:rsidRDefault="00195E73">
            <w:pPr>
              <w:rPr>
                <w:rFonts w:eastAsia="Times New Roman"/>
                <w:sz w:val="20"/>
                <w:szCs w:val="20"/>
              </w:rPr>
            </w:pPr>
          </w:p>
        </w:tc>
        <w:tc>
          <w:tcPr>
            <w:tcW w:w="0" w:type="auto"/>
            <w:vAlign w:val="center"/>
            <w:hideMark/>
          </w:tcPr>
          <w:p w14:paraId="76508E42" w14:textId="77777777" w:rsidR="00000000" w:rsidRDefault="00195E73">
            <w:pPr>
              <w:rPr>
                <w:rFonts w:eastAsia="Times New Roman"/>
                <w:sz w:val="20"/>
                <w:szCs w:val="20"/>
              </w:rPr>
            </w:pPr>
          </w:p>
        </w:tc>
        <w:tc>
          <w:tcPr>
            <w:tcW w:w="0" w:type="auto"/>
            <w:vAlign w:val="center"/>
            <w:hideMark/>
          </w:tcPr>
          <w:p w14:paraId="0B6E7384" w14:textId="77777777" w:rsidR="00000000" w:rsidRDefault="00195E73">
            <w:pPr>
              <w:rPr>
                <w:rFonts w:eastAsia="Times New Roman"/>
                <w:sz w:val="20"/>
                <w:szCs w:val="20"/>
              </w:rPr>
            </w:pPr>
          </w:p>
        </w:tc>
        <w:tc>
          <w:tcPr>
            <w:tcW w:w="0" w:type="auto"/>
            <w:vAlign w:val="center"/>
            <w:hideMark/>
          </w:tcPr>
          <w:p w14:paraId="2752340B" w14:textId="77777777" w:rsidR="00000000" w:rsidRDefault="00195E73">
            <w:pPr>
              <w:rPr>
                <w:rFonts w:eastAsia="Times New Roman"/>
                <w:sz w:val="20"/>
                <w:szCs w:val="20"/>
              </w:rPr>
            </w:pPr>
          </w:p>
        </w:tc>
        <w:tc>
          <w:tcPr>
            <w:tcW w:w="0" w:type="auto"/>
            <w:vAlign w:val="center"/>
            <w:hideMark/>
          </w:tcPr>
          <w:p w14:paraId="17A36077" w14:textId="77777777" w:rsidR="00000000" w:rsidRDefault="00195E73">
            <w:pPr>
              <w:rPr>
                <w:rFonts w:eastAsia="Times New Roman"/>
                <w:sz w:val="20"/>
                <w:szCs w:val="20"/>
              </w:rPr>
            </w:pPr>
          </w:p>
        </w:tc>
        <w:tc>
          <w:tcPr>
            <w:tcW w:w="0" w:type="auto"/>
            <w:vAlign w:val="center"/>
            <w:hideMark/>
          </w:tcPr>
          <w:p w14:paraId="71B8803B" w14:textId="77777777" w:rsidR="00000000" w:rsidRDefault="00195E73">
            <w:pPr>
              <w:rPr>
                <w:rFonts w:eastAsia="Times New Roman"/>
                <w:sz w:val="20"/>
                <w:szCs w:val="20"/>
              </w:rPr>
            </w:pPr>
          </w:p>
        </w:tc>
        <w:tc>
          <w:tcPr>
            <w:tcW w:w="0" w:type="auto"/>
            <w:vAlign w:val="center"/>
            <w:hideMark/>
          </w:tcPr>
          <w:p w14:paraId="4E1C50D1" w14:textId="77777777" w:rsidR="00000000" w:rsidRDefault="00195E73">
            <w:pPr>
              <w:rPr>
                <w:rFonts w:eastAsia="Times New Roman"/>
                <w:sz w:val="20"/>
                <w:szCs w:val="20"/>
              </w:rPr>
            </w:pPr>
          </w:p>
        </w:tc>
        <w:tc>
          <w:tcPr>
            <w:tcW w:w="0" w:type="auto"/>
            <w:vAlign w:val="center"/>
            <w:hideMark/>
          </w:tcPr>
          <w:p w14:paraId="2F5545A8" w14:textId="77777777" w:rsidR="00000000" w:rsidRDefault="00195E73">
            <w:pPr>
              <w:rPr>
                <w:rFonts w:eastAsia="Times New Roman"/>
                <w:sz w:val="20"/>
                <w:szCs w:val="20"/>
              </w:rPr>
            </w:pPr>
          </w:p>
        </w:tc>
        <w:tc>
          <w:tcPr>
            <w:tcW w:w="0" w:type="auto"/>
            <w:vAlign w:val="center"/>
            <w:hideMark/>
          </w:tcPr>
          <w:p w14:paraId="755E0ECD" w14:textId="77777777" w:rsidR="00000000" w:rsidRDefault="00195E73">
            <w:pPr>
              <w:rPr>
                <w:rFonts w:eastAsia="Times New Roman"/>
                <w:sz w:val="20"/>
                <w:szCs w:val="20"/>
              </w:rPr>
            </w:pPr>
          </w:p>
        </w:tc>
      </w:tr>
    </w:tbl>
    <w:p w14:paraId="7F6DE144" w14:textId="77777777" w:rsidR="00000000" w:rsidRDefault="00195E73">
      <w:pPr>
        <w:ind w:firstLine="405"/>
        <w:divId w:val="597568338"/>
        <w:rPr>
          <w:rFonts w:eastAsia="Times New Roman"/>
        </w:rPr>
      </w:pPr>
      <w:r>
        <w:rPr>
          <w:rFonts w:eastAsia="Times New Roman"/>
          <w:color w:val="000000"/>
          <w:sz w:val="20"/>
          <w:szCs w:val="20"/>
        </w:rPr>
        <w:t>For 2019, the Investment Funds’ negative performance was driven by net losses in their short positions offset in part by net gains in their long positions. The negative perform</w:t>
      </w:r>
      <w:r>
        <w:rPr>
          <w:rFonts w:eastAsia="Times New Roman"/>
          <w:color w:val="000000"/>
          <w:sz w:val="20"/>
          <w:szCs w:val="20"/>
        </w:rPr>
        <w:t>ance of our Investment segment’s short positions was driven by the negative performance of broad market hedges of approximately $2.5 billion and the aggregate performance of short positions with net losses across various sectors. The positive performance o</w:t>
      </w:r>
      <w:r>
        <w:rPr>
          <w:rFonts w:eastAsia="Times New Roman"/>
          <w:color w:val="000000"/>
          <w:sz w:val="20"/>
          <w:szCs w:val="20"/>
        </w:rPr>
        <w:t>f our Investment segment’s long positions was driven by gains from a consumer, cyclical sector investment, two technology sector investments, two financial sector investments and a consumer, non-cyclical sector investment with gains aggregating approximate</w:t>
      </w:r>
      <w:r>
        <w:rPr>
          <w:rFonts w:eastAsia="Times New Roman"/>
          <w:color w:val="000000"/>
          <w:sz w:val="20"/>
          <w:szCs w:val="20"/>
        </w:rPr>
        <w:t>ly $1.7 billion. The aggregate performance of investments with net gains across various other sectors accounted for an additional $495 million positive performance of our Investment segment’s long positions. The positive performance of long positions was o</w:t>
      </w:r>
      <w:r>
        <w:rPr>
          <w:rFonts w:eastAsia="Times New Roman"/>
          <w:color w:val="000000"/>
          <w:sz w:val="20"/>
          <w:szCs w:val="20"/>
        </w:rPr>
        <w:t>ffset in part by losses from a consumer, non-cyclical sector investment, an energy sector investment and a technology sector investment with losses aggregating $727 million</w:t>
      </w:r>
      <w:r>
        <w:rPr>
          <w:rFonts w:eastAsia="Times New Roman"/>
          <w:color w:val="000000"/>
          <w:sz w:val="20"/>
          <w:szCs w:val="20"/>
        </w:rPr>
        <w:t>.</w:t>
      </w:r>
    </w:p>
    <w:p w14:paraId="3567E24B" w14:textId="77777777" w:rsidR="00000000" w:rsidRDefault="00195E73">
      <w:pPr>
        <w:ind w:firstLine="405"/>
        <w:divId w:val="1793859440"/>
        <w:rPr>
          <w:rFonts w:eastAsia="Times New Roman"/>
        </w:rPr>
      </w:pPr>
      <w:r>
        <w:rPr>
          <w:rFonts w:eastAsia="Times New Roman"/>
          <w:color w:val="000000"/>
          <w:sz w:val="20"/>
          <w:szCs w:val="20"/>
        </w:rPr>
        <w:t xml:space="preserve">For 2018, the Investment Funds’ </w:t>
      </w:r>
      <w:r>
        <w:rPr>
          <w:rFonts w:eastAsia="Times New Roman"/>
          <w:color w:val="000000"/>
          <w:sz w:val="20"/>
          <w:szCs w:val="20"/>
        </w:rPr>
        <w:t>positive performance was driven by net gains in their short positions offset in part by net losses in their long positions. The positive performance of our Investment segment’s short positions was driven by the positive performance of broad market hedges o</w:t>
      </w:r>
      <w:r>
        <w:rPr>
          <w:rFonts w:eastAsia="Times New Roman"/>
          <w:color w:val="000000"/>
          <w:sz w:val="20"/>
          <w:szCs w:val="20"/>
        </w:rPr>
        <w:t>f $642 million and the aggregate performance of multiple other short positions with net gains across various sectors, primarily the energy sector. The negative performance of our Investment segment’s long positions was driven by losses from two consumer, c</w:t>
      </w:r>
      <w:r>
        <w:rPr>
          <w:rFonts w:eastAsia="Times New Roman"/>
          <w:color w:val="000000"/>
          <w:sz w:val="20"/>
          <w:szCs w:val="20"/>
        </w:rPr>
        <w:t xml:space="preserve">yclical sector investments, a basic material sector investment, two consumer, non-cyclical sector investments, a technology sector investment and an industrial sector investment with losses aggregating approximately $1.4 billion. The aggregate performance </w:t>
      </w:r>
      <w:r>
        <w:rPr>
          <w:rFonts w:eastAsia="Times New Roman"/>
          <w:color w:val="000000"/>
          <w:sz w:val="20"/>
          <w:szCs w:val="20"/>
        </w:rPr>
        <w:t xml:space="preserve">of investments with net losses across various other sectors accounted for an additional negative performance of our Investment segment’s long positions. Losses in long positions were offset in part by gains from a consumer, non-cyclical sector investment, </w:t>
      </w:r>
      <w:r>
        <w:rPr>
          <w:rFonts w:eastAsia="Times New Roman"/>
          <w:color w:val="000000"/>
          <w:sz w:val="20"/>
          <w:szCs w:val="20"/>
        </w:rPr>
        <w:t>a technology sector investment and an energy sector investment with gains aggregating approximately $1.3 billion.</w:t>
      </w:r>
      <w:r>
        <w:rPr>
          <w:rFonts w:eastAsia="Times New Roman"/>
          <w:color w:val="000000"/>
          <w:sz w:val="20"/>
          <w:szCs w:val="20"/>
        </w:rPr>
        <w:t xml:space="preserve"> </w:t>
      </w:r>
    </w:p>
    <w:p w14:paraId="6D6122FF" w14:textId="77777777" w:rsidR="00000000" w:rsidRDefault="00195E73">
      <w:pPr>
        <w:divId w:val="706492511"/>
        <w:rPr>
          <w:rFonts w:eastAsia="Times New Roman"/>
        </w:rPr>
      </w:pPr>
      <w:r>
        <w:rPr>
          <w:rFonts w:eastAsia="Times New Roman"/>
          <w:b/>
          <w:bCs/>
          <w:i/>
          <w:iCs/>
          <w:color w:val="000000"/>
          <w:sz w:val="20"/>
          <w:szCs w:val="20"/>
        </w:rPr>
        <w:t>Energy</w:t>
      </w:r>
      <w:r>
        <w:rPr>
          <w:rFonts w:eastAsia="Times New Roman"/>
          <w:b/>
          <w:bCs/>
          <w:i/>
          <w:iCs/>
          <w:color w:val="000000"/>
          <w:sz w:val="20"/>
          <w:szCs w:val="20"/>
        </w:rPr>
        <w:t xml:space="preserve"> </w:t>
      </w:r>
    </w:p>
    <w:p w14:paraId="428882FA" w14:textId="77777777" w:rsidR="00000000" w:rsidRDefault="00195E73">
      <w:pPr>
        <w:ind w:firstLine="450"/>
        <w:divId w:val="622688915"/>
        <w:rPr>
          <w:rFonts w:eastAsia="Times New Roman"/>
        </w:rPr>
      </w:pPr>
      <w:r>
        <w:rPr>
          <w:rFonts w:eastAsia="Times New Roman"/>
          <w:color w:val="000000"/>
          <w:sz w:val="20"/>
          <w:szCs w:val="20"/>
        </w:rPr>
        <w:t>Our Energy segment is primarily engaged in the petroleum refining and nitrogen fertilizer manufacturing businesses. The sale of petro</w:t>
      </w:r>
      <w:r>
        <w:rPr>
          <w:rFonts w:eastAsia="Times New Roman"/>
          <w:color w:val="000000"/>
          <w:sz w:val="20"/>
          <w:szCs w:val="20"/>
        </w:rPr>
        <w:t>leum products accounted for approximately 94%, 95% and 94% of our Energy segment’s net sales for the years ended December 31, 2019, 2018 and 2017, respectively</w:t>
      </w:r>
      <w:r>
        <w:rPr>
          <w:rFonts w:eastAsia="Times New Roman"/>
          <w:color w:val="000000"/>
          <w:sz w:val="20"/>
          <w:szCs w:val="20"/>
        </w:rPr>
        <w:t>.</w:t>
      </w:r>
    </w:p>
    <w:p w14:paraId="0A1591DB" w14:textId="77777777" w:rsidR="00000000" w:rsidRDefault="00195E73">
      <w:pPr>
        <w:ind w:firstLine="405"/>
        <w:divId w:val="392579623"/>
        <w:rPr>
          <w:rFonts w:eastAsia="Times New Roman"/>
        </w:rPr>
      </w:pPr>
      <w:r>
        <w:rPr>
          <w:rFonts w:eastAsia="Times New Roman"/>
          <w:color w:val="000000"/>
          <w:sz w:val="20"/>
          <w:szCs w:val="20"/>
        </w:rPr>
        <w:t xml:space="preserve">The results of operations of the petroleum business are primarily affected by the relationship </w:t>
      </w:r>
      <w:r>
        <w:rPr>
          <w:rFonts w:eastAsia="Times New Roman"/>
          <w:color w:val="000000"/>
          <w:sz w:val="20"/>
          <w:szCs w:val="20"/>
        </w:rPr>
        <w:t>between refined product prices and the prices for crude oil and other feedstocks that are processed and blended into petroleum products, such as gasoline, diesel fuel and jet fuel, that are produced by a refinery (“refined products”). The cost to acquire c</w:t>
      </w:r>
      <w:r>
        <w:rPr>
          <w:rFonts w:eastAsia="Times New Roman"/>
          <w:color w:val="000000"/>
          <w:sz w:val="20"/>
          <w:szCs w:val="20"/>
        </w:rPr>
        <w:t>rude oil and other feedstocks and the price for which refined products are ultimately sold depend on factors beyond our Energy segment’s control,</w:t>
      </w:r>
      <w:r>
        <w:rPr>
          <w:rFonts w:eastAsia="Times New Roman"/>
          <w:color w:val="000000"/>
          <w:sz w:val="20"/>
          <w:szCs w:val="20"/>
        </w:rPr>
        <w:t xml:space="preserve"> </w:t>
      </w:r>
    </w:p>
    <w:p w14:paraId="78893AA6" w14:textId="77777777" w:rsidR="00000000" w:rsidRDefault="00195E73">
      <w:pPr>
        <w:jc w:val="center"/>
        <w:divId w:val="1662659630"/>
        <w:rPr>
          <w:rFonts w:eastAsia="Times New Roman"/>
        </w:rPr>
      </w:pPr>
      <w:r>
        <w:rPr>
          <w:rFonts w:eastAsia="Times New Roman"/>
          <w:color w:val="000000"/>
          <w:sz w:val="20"/>
          <w:szCs w:val="20"/>
        </w:rPr>
        <w:t>3</w:t>
      </w:r>
      <w:r>
        <w:rPr>
          <w:rFonts w:eastAsia="Times New Roman"/>
          <w:color w:val="000000"/>
          <w:sz w:val="20"/>
          <w:szCs w:val="20"/>
        </w:rPr>
        <w:t>3</w:t>
      </w:r>
    </w:p>
    <w:p w14:paraId="439BE612" w14:textId="77777777" w:rsidR="00000000" w:rsidRDefault="00195E73">
      <w:pPr>
        <w:rPr>
          <w:rFonts w:eastAsia="Times New Roman"/>
        </w:rPr>
      </w:pPr>
      <w:r>
        <w:rPr>
          <w:rFonts w:eastAsia="Times New Roman"/>
        </w:rPr>
        <w:pict w14:anchorId="41CFB92F">
          <v:rect id="_x0000_i1059" style="width:0;height:1.5pt" o:hralign="center" o:hrstd="t" o:hr="t" fillcolor="#a0a0a0" stroked="f"/>
        </w:pict>
      </w:r>
    </w:p>
    <w:p w14:paraId="4ED60C71" w14:textId="77777777" w:rsidR="00000000" w:rsidRDefault="00195E73">
      <w:pPr>
        <w:divId w:val="725950890"/>
        <w:rPr>
          <w:rFonts w:eastAsia="Times New Roman"/>
        </w:rPr>
      </w:pPr>
    </w:p>
    <w:p w14:paraId="04A824F8" w14:textId="77777777" w:rsidR="00000000" w:rsidRDefault="00195E73">
      <w:pPr>
        <w:divId w:val="435909692"/>
        <w:rPr>
          <w:rFonts w:eastAsia="Times New Roman"/>
        </w:rPr>
      </w:pPr>
      <w:r>
        <w:rPr>
          <w:rFonts w:eastAsia="Times New Roman"/>
          <w:color w:val="000000"/>
          <w:sz w:val="20"/>
          <w:szCs w:val="20"/>
        </w:rPr>
        <w:t>including the supply of and demand for crude oil, as well as gasolin</w:t>
      </w:r>
      <w:r>
        <w:rPr>
          <w:rFonts w:eastAsia="Times New Roman"/>
          <w:color w:val="000000"/>
          <w:sz w:val="20"/>
          <w:szCs w:val="20"/>
        </w:rPr>
        <w:t>e and other refined products. This supply and demand depend on, among other factors, changes in domestic and foreign economies, weather conditions, domestic and foreign political affairs, production levels, the availability of imports, the marketing of com</w:t>
      </w:r>
      <w:r>
        <w:rPr>
          <w:rFonts w:eastAsia="Times New Roman"/>
          <w:color w:val="000000"/>
          <w:sz w:val="20"/>
          <w:szCs w:val="20"/>
        </w:rPr>
        <w:t>petitive fuels and the extent of government regulation. Because the petroleum business applies first-in, first-out accounting to value its inventory, crude oil price movements may impact gross margin in the short-term fluctuations in the market price of in</w:t>
      </w:r>
      <w:r>
        <w:rPr>
          <w:rFonts w:eastAsia="Times New Roman"/>
          <w:color w:val="000000"/>
          <w:sz w:val="20"/>
          <w:szCs w:val="20"/>
        </w:rPr>
        <w:t>ventory. The effect of changes in crude oil prices on the petroleum business’ results of operations is influenced by the rate at which the prices of refined products adjust to reflect these changes</w:t>
      </w:r>
      <w:r>
        <w:rPr>
          <w:rFonts w:eastAsia="Times New Roman"/>
          <w:color w:val="000000"/>
          <w:sz w:val="20"/>
          <w:szCs w:val="20"/>
        </w:rPr>
        <w:t>.</w:t>
      </w:r>
    </w:p>
    <w:p w14:paraId="419EF05F" w14:textId="77777777" w:rsidR="00000000" w:rsidRDefault="00195E73">
      <w:pPr>
        <w:ind w:firstLine="405"/>
        <w:divId w:val="1211066034"/>
        <w:rPr>
          <w:rFonts w:eastAsia="Times New Roman"/>
        </w:rPr>
      </w:pPr>
      <w:r>
        <w:rPr>
          <w:rFonts w:eastAsia="Times New Roman"/>
          <w:color w:val="000000"/>
          <w:sz w:val="20"/>
          <w:szCs w:val="20"/>
        </w:rPr>
        <w:t>In addition to current market conditions, there are long-</w:t>
      </w:r>
      <w:r>
        <w:rPr>
          <w:rFonts w:eastAsia="Times New Roman"/>
          <w:color w:val="000000"/>
          <w:sz w:val="20"/>
          <w:szCs w:val="20"/>
        </w:rPr>
        <w:t>term factors that may impact the demand for refined products. These factors include mandated renewable fuels standards, proposed climate change laws and regulations, and increased mileage standards for vehicles. The petroleum business is also subject to th</w:t>
      </w:r>
      <w:r>
        <w:rPr>
          <w:rFonts w:eastAsia="Times New Roman"/>
          <w:color w:val="000000"/>
          <w:sz w:val="20"/>
          <w:szCs w:val="20"/>
        </w:rPr>
        <w:t xml:space="preserve">e Renewable Fuel Standard of the United States Environmental Protection Agency, which requires it to either blend “renewable fuels” with its transportation fuels or purchase renewable identification numbers (“RINs”), in lieu of blending. The price of RINs </w:t>
      </w:r>
      <w:r>
        <w:rPr>
          <w:rFonts w:eastAsia="Times New Roman"/>
          <w:color w:val="000000"/>
          <w:sz w:val="20"/>
          <w:szCs w:val="20"/>
        </w:rPr>
        <w:t>has been extremely volatile and the future cost of RINs for the petroleum business is difficult to estimate. Additionally, the cost of RINs is dependent upon a variety of factors, which include the availability of RINs for purchase, the price at which RINs</w:t>
      </w:r>
      <w:r>
        <w:rPr>
          <w:rFonts w:eastAsia="Times New Roman"/>
          <w:color w:val="000000"/>
          <w:sz w:val="20"/>
          <w:szCs w:val="20"/>
        </w:rPr>
        <w:t xml:space="preserve"> can be purchased, transportation fuel production levels, the mix of the petroleum business’ petroleum products, as well as the fuel blending performed at its refineries and downstream terminals, all of which can vary significantly from period to period. R</w:t>
      </w:r>
      <w:r>
        <w:rPr>
          <w:rFonts w:eastAsia="Times New Roman"/>
          <w:color w:val="000000"/>
          <w:sz w:val="20"/>
          <w:szCs w:val="20"/>
        </w:rPr>
        <w:t>efer to Note 18, “Commitments and Contingencies,” to the consolidated financial statements for further discussion of RINs.</w:t>
      </w:r>
      <w:r>
        <w:rPr>
          <w:rFonts w:eastAsia="Times New Roman"/>
          <w:color w:val="000000"/>
          <w:sz w:val="20"/>
          <w:szCs w:val="20"/>
        </w:rPr>
        <w:t xml:space="preserve"> </w:t>
      </w:r>
    </w:p>
    <w:p w14:paraId="097841C9" w14:textId="77777777" w:rsidR="00000000" w:rsidRDefault="00195E73">
      <w:pPr>
        <w:ind w:firstLine="405"/>
        <w:divId w:val="1868715309"/>
        <w:rPr>
          <w:rFonts w:eastAsia="Times New Roman"/>
        </w:rPr>
      </w:pPr>
      <w:r>
        <w:rPr>
          <w:rFonts w:eastAsia="Times New Roman"/>
          <w:color w:val="000000"/>
          <w:sz w:val="20"/>
          <w:szCs w:val="20"/>
        </w:rPr>
        <w:t>The following table presents our Energy segment’s net sales, cost of goods sold and gross margin:</w:t>
      </w:r>
      <w:r>
        <w:rPr>
          <w:rFonts w:eastAsia="Times New Roman"/>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331"/>
        <w:gridCol w:w="40"/>
        <w:gridCol w:w="135"/>
        <w:gridCol w:w="875"/>
        <w:gridCol w:w="85"/>
        <w:gridCol w:w="36"/>
        <w:gridCol w:w="36"/>
        <w:gridCol w:w="36"/>
        <w:gridCol w:w="135"/>
        <w:gridCol w:w="843"/>
        <w:gridCol w:w="85"/>
        <w:gridCol w:w="36"/>
        <w:gridCol w:w="36"/>
        <w:gridCol w:w="36"/>
        <w:gridCol w:w="135"/>
        <w:gridCol w:w="844"/>
        <w:gridCol w:w="85"/>
        <w:gridCol w:w="36"/>
        <w:gridCol w:w="36"/>
        <w:gridCol w:w="36"/>
        <w:gridCol w:w="36"/>
        <w:gridCol w:w="36"/>
        <w:gridCol w:w="36"/>
        <w:gridCol w:w="36"/>
        <w:gridCol w:w="36"/>
        <w:gridCol w:w="36"/>
        <w:gridCol w:w="36"/>
        <w:gridCol w:w="36"/>
        <w:gridCol w:w="36"/>
      </w:tblGrid>
      <w:tr w:rsidR="00000000" w14:paraId="67D5C882" w14:textId="77777777">
        <w:trPr>
          <w:gridAfter w:val="12"/>
          <w:divId w:val="1704939965"/>
          <w:jc w:val="center"/>
        </w:trPr>
        <w:tc>
          <w:tcPr>
            <w:tcW w:w="50" w:type="pct"/>
            <w:vAlign w:val="center"/>
            <w:hideMark/>
          </w:tcPr>
          <w:p w14:paraId="65806441" w14:textId="77777777" w:rsidR="00000000" w:rsidRDefault="00195E73">
            <w:pPr>
              <w:ind w:firstLine="405"/>
              <w:rPr>
                <w:rFonts w:eastAsia="Times New Roman"/>
              </w:rPr>
            </w:pPr>
          </w:p>
        </w:tc>
        <w:tc>
          <w:tcPr>
            <w:tcW w:w="2781" w:type="pct"/>
            <w:vAlign w:val="center"/>
            <w:hideMark/>
          </w:tcPr>
          <w:p w14:paraId="09930036" w14:textId="77777777" w:rsidR="00000000" w:rsidRDefault="00195E73">
            <w:pPr>
              <w:rPr>
                <w:rFonts w:eastAsia="Times New Roman"/>
                <w:sz w:val="20"/>
                <w:szCs w:val="20"/>
              </w:rPr>
            </w:pPr>
          </w:p>
        </w:tc>
        <w:tc>
          <w:tcPr>
            <w:tcW w:w="50" w:type="pct"/>
            <w:vAlign w:val="center"/>
            <w:hideMark/>
          </w:tcPr>
          <w:p w14:paraId="677BCEFD" w14:textId="77777777" w:rsidR="00000000" w:rsidRDefault="00195E73">
            <w:pPr>
              <w:rPr>
                <w:rFonts w:eastAsia="Times New Roman"/>
                <w:sz w:val="20"/>
                <w:szCs w:val="20"/>
              </w:rPr>
            </w:pPr>
          </w:p>
        </w:tc>
        <w:tc>
          <w:tcPr>
            <w:tcW w:w="50" w:type="pct"/>
            <w:vAlign w:val="center"/>
            <w:hideMark/>
          </w:tcPr>
          <w:p w14:paraId="13C0A2AB" w14:textId="77777777" w:rsidR="00000000" w:rsidRDefault="00195E73">
            <w:pPr>
              <w:rPr>
                <w:rFonts w:eastAsia="Times New Roman"/>
                <w:sz w:val="20"/>
                <w:szCs w:val="20"/>
              </w:rPr>
            </w:pPr>
          </w:p>
        </w:tc>
        <w:tc>
          <w:tcPr>
            <w:tcW w:w="581" w:type="pct"/>
            <w:vAlign w:val="center"/>
            <w:hideMark/>
          </w:tcPr>
          <w:p w14:paraId="602D3D08" w14:textId="77777777" w:rsidR="00000000" w:rsidRDefault="00195E73">
            <w:pPr>
              <w:rPr>
                <w:rFonts w:eastAsia="Times New Roman"/>
                <w:sz w:val="20"/>
                <w:szCs w:val="20"/>
              </w:rPr>
            </w:pPr>
          </w:p>
        </w:tc>
        <w:tc>
          <w:tcPr>
            <w:tcW w:w="50" w:type="pct"/>
            <w:vAlign w:val="center"/>
            <w:hideMark/>
          </w:tcPr>
          <w:p w14:paraId="428B3D9D" w14:textId="77777777" w:rsidR="00000000" w:rsidRDefault="00195E73">
            <w:pPr>
              <w:rPr>
                <w:rFonts w:eastAsia="Times New Roman"/>
                <w:sz w:val="20"/>
                <w:szCs w:val="20"/>
              </w:rPr>
            </w:pPr>
          </w:p>
        </w:tc>
        <w:tc>
          <w:tcPr>
            <w:tcW w:w="5" w:type="pct"/>
            <w:vAlign w:val="center"/>
            <w:hideMark/>
          </w:tcPr>
          <w:p w14:paraId="72C7847A" w14:textId="77777777" w:rsidR="00000000" w:rsidRDefault="00195E73">
            <w:pPr>
              <w:rPr>
                <w:rFonts w:eastAsia="Times New Roman"/>
                <w:sz w:val="20"/>
                <w:szCs w:val="20"/>
              </w:rPr>
            </w:pPr>
          </w:p>
        </w:tc>
        <w:tc>
          <w:tcPr>
            <w:tcW w:w="26" w:type="pct"/>
            <w:vAlign w:val="center"/>
            <w:hideMark/>
          </w:tcPr>
          <w:p w14:paraId="6B32315B" w14:textId="77777777" w:rsidR="00000000" w:rsidRDefault="00195E73">
            <w:pPr>
              <w:rPr>
                <w:rFonts w:eastAsia="Times New Roman"/>
                <w:sz w:val="20"/>
                <w:szCs w:val="20"/>
              </w:rPr>
            </w:pPr>
          </w:p>
        </w:tc>
        <w:tc>
          <w:tcPr>
            <w:tcW w:w="5" w:type="pct"/>
            <w:vAlign w:val="center"/>
            <w:hideMark/>
          </w:tcPr>
          <w:p w14:paraId="7F9C65C4" w14:textId="77777777" w:rsidR="00000000" w:rsidRDefault="00195E73">
            <w:pPr>
              <w:rPr>
                <w:rFonts w:eastAsia="Times New Roman"/>
                <w:sz w:val="20"/>
                <w:szCs w:val="20"/>
              </w:rPr>
            </w:pPr>
          </w:p>
        </w:tc>
        <w:tc>
          <w:tcPr>
            <w:tcW w:w="50" w:type="pct"/>
            <w:vAlign w:val="center"/>
            <w:hideMark/>
          </w:tcPr>
          <w:p w14:paraId="2DF91E32" w14:textId="77777777" w:rsidR="00000000" w:rsidRDefault="00195E73">
            <w:pPr>
              <w:rPr>
                <w:rFonts w:eastAsia="Times New Roman"/>
                <w:sz w:val="20"/>
                <w:szCs w:val="20"/>
              </w:rPr>
            </w:pPr>
          </w:p>
        </w:tc>
        <w:tc>
          <w:tcPr>
            <w:tcW w:w="581" w:type="pct"/>
            <w:vAlign w:val="center"/>
            <w:hideMark/>
          </w:tcPr>
          <w:p w14:paraId="49081FBB" w14:textId="77777777" w:rsidR="00000000" w:rsidRDefault="00195E73">
            <w:pPr>
              <w:rPr>
                <w:rFonts w:eastAsia="Times New Roman"/>
                <w:sz w:val="20"/>
                <w:szCs w:val="20"/>
              </w:rPr>
            </w:pPr>
          </w:p>
        </w:tc>
        <w:tc>
          <w:tcPr>
            <w:tcW w:w="50" w:type="pct"/>
            <w:vAlign w:val="center"/>
            <w:hideMark/>
          </w:tcPr>
          <w:p w14:paraId="57B63248" w14:textId="77777777" w:rsidR="00000000" w:rsidRDefault="00195E73">
            <w:pPr>
              <w:rPr>
                <w:rFonts w:eastAsia="Times New Roman"/>
                <w:sz w:val="20"/>
                <w:szCs w:val="20"/>
              </w:rPr>
            </w:pPr>
          </w:p>
        </w:tc>
        <w:tc>
          <w:tcPr>
            <w:tcW w:w="5" w:type="pct"/>
            <w:vAlign w:val="center"/>
            <w:hideMark/>
          </w:tcPr>
          <w:p w14:paraId="03B3DCD6" w14:textId="77777777" w:rsidR="00000000" w:rsidRDefault="00195E73">
            <w:pPr>
              <w:rPr>
                <w:rFonts w:eastAsia="Times New Roman"/>
                <w:sz w:val="20"/>
                <w:szCs w:val="20"/>
              </w:rPr>
            </w:pPr>
          </w:p>
        </w:tc>
        <w:tc>
          <w:tcPr>
            <w:tcW w:w="26" w:type="pct"/>
            <w:vAlign w:val="center"/>
            <w:hideMark/>
          </w:tcPr>
          <w:p w14:paraId="262BA7B4" w14:textId="77777777" w:rsidR="00000000" w:rsidRDefault="00195E73">
            <w:pPr>
              <w:rPr>
                <w:rFonts w:eastAsia="Times New Roman"/>
                <w:sz w:val="20"/>
                <w:szCs w:val="20"/>
              </w:rPr>
            </w:pPr>
          </w:p>
        </w:tc>
        <w:tc>
          <w:tcPr>
            <w:tcW w:w="5" w:type="pct"/>
            <w:vAlign w:val="center"/>
            <w:hideMark/>
          </w:tcPr>
          <w:p w14:paraId="73CD7370" w14:textId="77777777" w:rsidR="00000000" w:rsidRDefault="00195E73">
            <w:pPr>
              <w:rPr>
                <w:rFonts w:eastAsia="Times New Roman"/>
                <w:sz w:val="20"/>
                <w:szCs w:val="20"/>
              </w:rPr>
            </w:pPr>
          </w:p>
        </w:tc>
        <w:tc>
          <w:tcPr>
            <w:tcW w:w="50" w:type="pct"/>
            <w:vAlign w:val="center"/>
            <w:hideMark/>
          </w:tcPr>
          <w:p w14:paraId="2BD281BB" w14:textId="77777777" w:rsidR="00000000" w:rsidRDefault="00195E73">
            <w:pPr>
              <w:rPr>
                <w:rFonts w:eastAsia="Times New Roman"/>
                <w:sz w:val="20"/>
                <w:szCs w:val="20"/>
              </w:rPr>
            </w:pPr>
          </w:p>
        </w:tc>
        <w:tc>
          <w:tcPr>
            <w:tcW w:w="581" w:type="pct"/>
            <w:vAlign w:val="center"/>
            <w:hideMark/>
          </w:tcPr>
          <w:p w14:paraId="45C7A818" w14:textId="77777777" w:rsidR="00000000" w:rsidRDefault="00195E73">
            <w:pPr>
              <w:rPr>
                <w:rFonts w:eastAsia="Times New Roman"/>
                <w:sz w:val="20"/>
                <w:szCs w:val="20"/>
              </w:rPr>
            </w:pPr>
          </w:p>
        </w:tc>
        <w:tc>
          <w:tcPr>
            <w:tcW w:w="50" w:type="pct"/>
            <w:vAlign w:val="center"/>
            <w:hideMark/>
          </w:tcPr>
          <w:p w14:paraId="17886D4C" w14:textId="77777777" w:rsidR="00000000" w:rsidRDefault="00195E73">
            <w:pPr>
              <w:rPr>
                <w:rFonts w:eastAsia="Times New Roman"/>
                <w:sz w:val="20"/>
                <w:szCs w:val="20"/>
              </w:rPr>
            </w:pPr>
          </w:p>
        </w:tc>
      </w:tr>
      <w:tr w:rsidR="00000000" w14:paraId="76C49E24" w14:textId="77777777">
        <w:trPr>
          <w:divId w:val="1704939965"/>
          <w:jc w:val="center"/>
        </w:trPr>
        <w:tc>
          <w:tcPr>
            <w:tcW w:w="0" w:type="auto"/>
            <w:gridSpan w:val="3"/>
            <w:tcMar>
              <w:top w:w="15" w:type="dxa"/>
              <w:left w:w="20" w:type="dxa"/>
              <w:bottom w:w="15" w:type="dxa"/>
              <w:right w:w="20" w:type="dxa"/>
            </w:tcMar>
            <w:vAlign w:val="bottom"/>
            <w:hideMark/>
          </w:tcPr>
          <w:p w14:paraId="0F7A2382"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5BB0E481"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2C3AFE22" w14:textId="77777777" w:rsidR="00000000" w:rsidRDefault="00195E73">
            <w:pPr>
              <w:jc w:val="center"/>
              <w:rPr>
                <w:rFonts w:eastAsia="Times New Roman"/>
              </w:rPr>
            </w:pPr>
          </w:p>
        </w:tc>
        <w:tc>
          <w:tcPr>
            <w:tcW w:w="0" w:type="auto"/>
            <w:gridSpan w:val="3"/>
            <w:vAlign w:val="center"/>
            <w:hideMark/>
          </w:tcPr>
          <w:p w14:paraId="6E342CF3" w14:textId="77777777" w:rsidR="00000000" w:rsidRDefault="00195E73">
            <w:pPr>
              <w:rPr>
                <w:rFonts w:eastAsia="Times New Roman"/>
                <w:sz w:val="20"/>
                <w:szCs w:val="20"/>
              </w:rPr>
            </w:pPr>
          </w:p>
        </w:tc>
        <w:tc>
          <w:tcPr>
            <w:tcW w:w="0" w:type="auto"/>
            <w:gridSpan w:val="3"/>
            <w:vAlign w:val="center"/>
            <w:hideMark/>
          </w:tcPr>
          <w:p w14:paraId="62AD54DF" w14:textId="77777777" w:rsidR="00000000" w:rsidRDefault="00195E73">
            <w:pPr>
              <w:rPr>
                <w:rFonts w:eastAsia="Times New Roman"/>
                <w:sz w:val="20"/>
                <w:szCs w:val="20"/>
              </w:rPr>
            </w:pPr>
          </w:p>
        </w:tc>
        <w:tc>
          <w:tcPr>
            <w:tcW w:w="0" w:type="auto"/>
            <w:gridSpan w:val="3"/>
            <w:vAlign w:val="center"/>
            <w:hideMark/>
          </w:tcPr>
          <w:p w14:paraId="2E9DCCC0" w14:textId="77777777" w:rsidR="00000000" w:rsidRDefault="00195E73">
            <w:pPr>
              <w:rPr>
                <w:rFonts w:eastAsia="Times New Roman"/>
                <w:sz w:val="20"/>
                <w:szCs w:val="20"/>
              </w:rPr>
            </w:pPr>
          </w:p>
        </w:tc>
      </w:tr>
      <w:tr w:rsidR="00000000" w14:paraId="230EACCE" w14:textId="77777777">
        <w:trPr>
          <w:divId w:val="1704939965"/>
          <w:jc w:val="center"/>
        </w:trPr>
        <w:tc>
          <w:tcPr>
            <w:tcW w:w="0" w:type="auto"/>
            <w:gridSpan w:val="3"/>
            <w:tcMar>
              <w:top w:w="15" w:type="dxa"/>
              <w:left w:w="20" w:type="dxa"/>
              <w:bottom w:w="15" w:type="dxa"/>
              <w:right w:w="20" w:type="dxa"/>
            </w:tcMar>
            <w:vAlign w:val="bottom"/>
            <w:hideMark/>
          </w:tcPr>
          <w:p w14:paraId="6FF3B45A"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35AC27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7BE39DC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629DFCB"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6F7B679A"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C427E9F"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4E008762" w14:textId="77777777" w:rsidR="00000000" w:rsidRDefault="00195E73">
            <w:pPr>
              <w:rPr>
                <w:rFonts w:eastAsia="Times New Roman"/>
                <w:sz w:val="20"/>
                <w:szCs w:val="20"/>
              </w:rPr>
            </w:pPr>
          </w:p>
        </w:tc>
        <w:tc>
          <w:tcPr>
            <w:tcW w:w="0" w:type="auto"/>
            <w:vAlign w:val="center"/>
            <w:hideMark/>
          </w:tcPr>
          <w:p w14:paraId="05568A8E" w14:textId="77777777" w:rsidR="00000000" w:rsidRDefault="00195E73">
            <w:pPr>
              <w:rPr>
                <w:rFonts w:eastAsia="Times New Roman"/>
                <w:sz w:val="20"/>
                <w:szCs w:val="20"/>
              </w:rPr>
            </w:pPr>
          </w:p>
        </w:tc>
        <w:tc>
          <w:tcPr>
            <w:tcW w:w="0" w:type="auto"/>
            <w:vAlign w:val="center"/>
            <w:hideMark/>
          </w:tcPr>
          <w:p w14:paraId="640E15CB" w14:textId="77777777" w:rsidR="00000000" w:rsidRDefault="00195E73">
            <w:pPr>
              <w:rPr>
                <w:rFonts w:eastAsia="Times New Roman"/>
                <w:sz w:val="20"/>
                <w:szCs w:val="20"/>
              </w:rPr>
            </w:pPr>
          </w:p>
        </w:tc>
        <w:tc>
          <w:tcPr>
            <w:tcW w:w="0" w:type="auto"/>
            <w:vAlign w:val="center"/>
            <w:hideMark/>
          </w:tcPr>
          <w:p w14:paraId="0B66ED08" w14:textId="77777777" w:rsidR="00000000" w:rsidRDefault="00195E73">
            <w:pPr>
              <w:rPr>
                <w:rFonts w:eastAsia="Times New Roman"/>
                <w:sz w:val="20"/>
                <w:szCs w:val="20"/>
              </w:rPr>
            </w:pPr>
          </w:p>
        </w:tc>
        <w:tc>
          <w:tcPr>
            <w:tcW w:w="0" w:type="auto"/>
            <w:vAlign w:val="center"/>
            <w:hideMark/>
          </w:tcPr>
          <w:p w14:paraId="06A00F0C" w14:textId="77777777" w:rsidR="00000000" w:rsidRDefault="00195E73">
            <w:pPr>
              <w:rPr>
                <w:rFonts w:eastAsia="Times New Roman"/>
                <w:sz w:val="20"/>
                <w:szCs w:val="20"/>
              </w:rPr>
            </w:pPr>
          </w:p>
        </w:tc>
        <w:tc>
          <w:tcPr>
            <w:tcW w:w="0" w:type="auto"/>
            <w:vAlign w:val="center"/>
            <w:hideMark/>
          </w:tcPr>
          <w:p w14:paraId="456DE93F" w14:textId="77777777" w:rsidR="00000000" w:rsidRDefault="00195E73">
            <w:pPr>
              <w:rPr>
                <w:rFonts w:eastAsia="Times New Roman"/>
                <w:sz w:val="20"/>
                <w:szCs w:val="20"/>
              </w:rPr>
            </w:pPr>
          </w:p>
        </w:tc>
        <w:tc>
          <w:tcPr>
            <w:tcW w:w="0" w:type="auto"/>
            <w:vAlign w:val="center"/>
            <w:hideMark/>
          </w:tcPr>
          <w:p w14:paraId="2499DDF8" w14:textId="77777777" w:rsidR="00000000" w:rsidRDefault="00195E73">
            <w:pPr>
              <w:rPr>
                <w:rFonts w:eastAsia="Times New Roman"/>
                <w:sz w:val="20"/>
                <w:szCs w:val="20"/>
              </w:rPr>
            </w:pPr>
          </w:p>
        </w:tc>
        <w:tc>
          <w:tcPr>
            <w:tcW w:w="0" w:type="auto"/>
            <w:vAlign w:val="center"/>
            <w:hideMark/>
          </w:tcPr>
          <w:p w14:paraId="3DE542E5" w14:textId="77777777" w:rsidR="00000000" w:rsidRDefault="00195E73">
            <w:pPr>
              <w:rPr>
                <w:rFonts w:eastAsia="Times New Roman"/>
                <w:sz w:val="20"/>
                <w:szCs w:val="20"/>
              </w:rPr>
            </w:pPr>
          </w:p>
        </w:tc>
        <w:tc>
          <w:tcPr>
            <w:tcW w:w="0" w:type="auto"/>
            <w:vAlign w:val="center"/>
            <w:hideMark/>
          </w:tcPr>
          <w:p w14:paraId="1F440FD4" w14:textId="77777777" w:rsidR="00000000" w:rsidRDefault="00195E73">
            <w:pPr>
              <w:rPr>
                <w:rFonts w:eastAsia="Times New Roman"/>
                <w:sz w:val="20"/>
                <w:szCs w:val="20"/>
              </w:rPr>
            </w:pPr>
          </w:p>
        </w:tc>
        <w:tc>
          <w:tcPr>
            <w:tcW w:w="0" w:type="auto"/>
            <w:vAlign w:val="center"/>
            <w:hideMark/>
          </w:tcPr>
          <w:p w14:paraId="111FFA2E" w14:textId="77777777" w:rsidR="00000000" w:rsidRDefault="00195E73">
            <w:pPr>
              <w:rPr>
                <w:rFonts w:eastAsia="Times New Roman"/>
                <w:sz w:val="20"/>
                <w:szCs w:val="20"/>
              </w:rPr>
            </w:pPr>
          </w:p>
        </w:tc>
        <w:tc>
          <w:tcPr>
            <w:tcW w:w="0" w:type="auto"/>
            <w:vAlign w:val="center"/>
            <w:hideMark/>
          </w:tcPr>
          <w:p w14:paraId="12CD791A" w14:textId="77777777" w:rsidR="00000000" w:rsidRDefault="00195E73">
            <w:pPr>
              <w:rPr>
                <w:rFonts w:eastAsia="Times New Roman"/>
                <w:sz w:val="20"/>
                <w:szCs w:val="20"/>
              </w:rPr>
            </w:pPr>
          </w:p>
        </w:tc>
        <w:tc>
          <w:tcPr>
            <w:tcW w:w="0" w:type="auto"/>
            <w:vAlign w:val="center"/>
            <w:hideMark/>
          </w:tcPr>
          <w:p w14:paraId="6FAB8B5F" w14:textId="77777777" w:rsidR="00000000" w:rsidRDefault="00195E73">
            <w:pPr>
              <w:rPr>
                <w:rFonts w:eastAsia="Times New Roman"/>
                <w:sz w:val="20"/>
                <w:szCs w:val="20"/>
              </w:rPr>
            </w:pPr>
          </w:p>
        </w:tc>
      </w:tr>
      <w:tr w:rsidR="00000000" w14:paraId="1763AF1C" w14:textId="77777777">
        <w:trPr>
          <w:divId w:val="1704939965"/>
          <w:jc w:val="center"/>
        </w:trPr>
        <w:tc>
          <w:tcPr>
            <w:tcW w:w="0" w:type="auto"/>
            <w:gridSpan w:val="3"/>
            <w:tcMar>
              <w:top w:w="15" w:type="dxa"/>
              <w:left w:w="20" w:type="dxa"/>
              <w:bottom w:w="15" w:type="dxa"/>
              <w:right w:w="20" w:type="dxa"/>
            </w:tcMar>
            <w:vAlign w:val="bottom"/>
            <w:hideMark/>
          </w:tcPr>
          <w:p w14:paraId="050826E4"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4C8BA51"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43A085D3" w14:textId="77777777" w:rsidR="00000000" w:rsidRDefault="00195E73">
            <w:pPr>
              <w:jc w:val="center"/>
              <w:rPr>
                <w:rFonts w:eastAsia="Times New Roman"/>
              </w:rPr>
            </w:pPr>
          </w:p>
        </w:tc>
        <w:tc>
          <w:tcPr>
            <w:tcW w:w="0" w:type="auto"/>
            <w:gridSpan w:val="3"/>
            <w:vAlign w:val="center"/>
            <w:hideMark/>
          </w:tcPr>
          <w:p w14:paraId="003AC5AD" w14:textId="77777777" w:rsidR="00000000" w:rsidRDefault="00195E73">
            <w:pPr>
              <w:rPr>
                <w:rFonts w:eastAsia="Times New Roman"/>
                <w:sz w:val="20"/>
                <w:szCs w:val="20"/>
              </w:rPr>
            </w:pPr>
          </w:p>
        </w:tc>
        <w:tc>
          <w:tcPr>
            <w:tcW w:w="0" w:type="auto"/>
            <w:gridSpan w:val="3"/>
            <w:vAlign w:val="center"/>
            <w:hideMark/>
          </w:tcPr>
          <w:p w14:paraId="69BE1F0A" w14:textId="77777777" w:rsidR="00000000" w:rsidRDefault="00195E73">
            <w:pPr>
              <w:rPr>
                <w:rFonts w:eastAsia="Times New Roman"/>
                <w:sz w:val="20"/>
                <w:szCs w:val="20"/>
              </w:rPr>
            </w:pPr>
          </w:p>
        </w:tc>
        <w:tc>
          <w:tcPr>
            <w:tcW w:w="0" w:type="auto"/>
            <w:gridSpan w:val="3"/>
            <w:vAlign w:val="center"/>
            <w:hideMark/>
          </w:tcPr>
          <w:p w14:paraId="3DB9AE62" w14:textId="77777777" w:rsidR="00000000" w:rsidRDefault="00195E73">
            <w:pPr>
              <w:rPr>
                <w:rFonts w:eastAsia="Times New Roman"/>
                <w:sz w:val="20"/>
                <w:szCs w:val="20"/>
              </w:rPr>
            </w:pPr>
          </w:p>
        </w:tc>
      </w:tr>
      <w:tr w:rsidR="00000000" w14:paraId="5A4418FE" w14:textId="77777777">
        <w:trPr>
          <w:divId w:val="1704939965"/>
          <w:jc w:val="center"/>
        </w:trPr>
        <w:tc>
          <w:tcPr>
            <w:tcW w:w="0" w:type="auto"/>
            <w:gridSpan w:val="3"/>
            <w:shd w:val="clear" w:color="auto" w:fill="CCEEFF"/>
            <w:tcMar>
              <w:top w:w="30" w:type="dxa"/>
              <w:left w:w="20" w:type="dxa"/>
              <w:bottom w:w="30" w:type="dxa"/>
              <w:right w:w="20" w:type="dxa"/>
            </w:tcMar>
            <w:vAlign w:val="bottom"/>
            <w:hideMark/>
          </w:tcPr>
          <w:p w14:paraId="66417FEA" w14:textId="77777777" w:rsidR="00000000" w:rsidRDefault="00195E73">
            <w:pPr>
              <w:rPr>
                <w:rFonts w:eastAsia="Times New Roman"/>
              </w:rPr>
            </w:pPr>
            <w:r>
              <w:rPr>
                <w:rFonts w:eastAsia="Times New Roman"/>
                <w:color w:val="000000"/>
                <w:sz w:val="20"/>
                <w:szCs w:val="20"/>
              </w:rPr>
              <w:t>Net sale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79D51D6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FD6F49A" w14:textId="77777777" w:rsidR="00000000" w:rsidRDefault="00195E73">
            <w:pPr>
              <w:jc w:val="right"/>
              <w:rPr>
                <w:rFonts w:eastAsia="Times New Roman"/>
              </w:rPr>
            </w:pPr>
            <w:r>
              <w:rPr>
                <w:rFonts w:eastAsia="Times New Roman"/>
                <w:color w:val="000000"/>
                <w:sz w:val="20"/>
                <w:szCs w:val="20"/>
              </w:rPr>
              <w:t>6,364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472AAA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E09F2D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EB59C57"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83B69AE" w14:textId="77777777" w:rsidR="00000000" w:rsidRDefault="00195E73">
            <w:pPr>
              <w:jc w:val="right"/>
              <w:rPr>
                <w:rFonts w:eastAsia="Times New Roman"/>
              </w:rPr>
            </w:pPr>
            <w:r>
              <w:rPr>
                <w:rFonts w:eastAsia="Times New Roman"/>
                <w:color w:val="000000"/>
                <w:sz w:val="20"/>
                <w:szCs w:val="20"/>
              </w:rPr>
              <w:t>7,124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A521B4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AECDE7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C2032A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A4346CB" w14:textId="77777777" w:rsidR="00000000" w:rsidRDefault="00195E73">
            <w:pPr>
              <w:jc w:val="right"/>
              <w:rPr>
                <w:rFonts w:eastAsia="Times New Roman"/>
              </w:rPr>
            </w:pPr>
            <w:r>
              <w:rPr>
                <w:rFonts w:eastAsia="Times New Roman"/>
                <w:color w:val="000000"/>
                <w:sz w:val="20"/>
                <w:szCs w:val="20"/>
              </w:rPr>
              <w:t>5,988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1FFC0C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B933C7A" w14:textId="77777777" w:rsidR="00000000" w:rsidRDefault="00195E73">
            <w:pPr>
              <w:rPr>
                <w:rFonts w:eastAsia="Times New Roman"/>
                <w:sz w:val="20"/>
                <w:szCs w:val="20"/>
              </w:rPr>
            </w:pPr>
          </w:p>
        </w:tc>
        <w:tc>
          <w:tcPr>
            <w:tcW w:w="0" w:type="auto"/>
            <w:vAlign w:val="center"/>
            <w:hideMark/>
          </w:tcPr>
          <w:p w14:paraId="6A83F846" w14:textId="77777777" w:rsidR="00000000" w:rsidRDefault="00195E73">
            <w:pPr>
              <w:rPr>
                <w:rFonts w:eastAsia="Times New Roman"/>
                <w:sz w:val="20"/>
                <w:szCs w:val="20"/>
              </w:rPr>
            </w:pPr>
          </w:p>
        </w:tc>
        <w:tc>
          <w:tcPr>
            <w:tcW w:w="0" w:type="auto"/>
            <w:vAlign w:val="center"/>
            <w:hideMark/>
          </w:tcPr>
          <w:p w14:paraId="63D8921C" w14:textId="77777777" w:rsidR="00000000" w:rsidRDefault="00195E73">
            <w:pPr>
              <w:rPr>
                <w:rFonts w:eastAsia="Times New Roman"/>
                <w:sz w:val="20"/>
                <w:szCs w:val="20"/>
              </w:rPr>
            </w:pPr>
          </w:p>
        </w:tc>
        <w:tc>
          <w:tcPr>
            <w:tcW w:w="0" w:type="auto"/>
            <w:vAlign w:val="center"/>
            <w:hideMark/>
          </w:tcPr>
          <w:p w14:paraId="066A1F9B" w14:textId="77777777" w:rsidR="00000000" w:rsidRDefault="00195E73">
            <w:pPr>
              <w:rPr>
                <w:rFonts w:eastAsia="Times New Roman"/>
                <w:sz w:val="20"/>
                <w:szCs w:val="20"/>
              </w:rPr>
            </w:pPr>
          </w:p>
        </w:tc>
        <w:tc>
          <w:tcPr>
            <w:tcW w:w="0" w:type="auto"/>
            <w:vAlign w:val="center"/>
            <w:hideMark/>
          </w:tcPr>
          <w:p w14:paraId="304B3236" w14:textId="77777777" w:rsidR="00000000" w:rsidRDefault="00195E73">
            <w:pPr>
              <w:rPr>
                <w:rFonts w:eastAsia="Times New Roman"/>
                <w:sz w:val="20"/>
                <w:szCs w:val="20"/>
              </w:rPr>
            </w:pPr>
          </w:p>
        </w:tc>
        <w:tc>
          <w:tcPr>
            <w:tcW w:w="0" w:type="auto"/>
            <w:vAlign w:val="center"/>
            <w:hideMark/>
          </w:tcPr>
          <w:p w14:paraId="4FD1FE3C" w14:textId="77777777" w:rsidR="00000000" w:rsidRDefault="00195E73">
            <w:pPr>
              <w:rPr>
                <w:rFonts w:eastAsia="Times New Roman"/>
                <w:sz w:val="20"/>
                <w:szCs w:val="20"/>
              </w:rPr>
            </w:pPr>
          </w:p>
        </w:tc>
        <w:tc>
          <w:tcPr>
            <w:tcW w:w="0" w:type="auto"/>
            <w:vAlign w:val="center"/>
            <w:hideMark/>
          </w:tcPr>
          <w:p w14:paraId="46131B9D" w14:textId="77777777" w:rsidR="00000000" w:rsidRDefault="00195E73">
            <w:pPr>
              <w:rPr>
                <w:rFonts w:eastAsia="Times New Roman"/>
                <w:sz w:val="20"/>
                <w:szCs w:val="20"/>
              </w:rPr>
            </w:pPr>
          </w:p>
        </w:tc>
        <w:tc>
          <w:tcPr>
            <w:tcW w:w="0" w:type="auto"/>
            <w:vAlign w:val="center"/>
            <w:hideMark/>
          </w:tcPr>
          <w:p w14:paraId="66172B60" w14:textId="77777777" w:rsidR="00000000" w:rsidRDefault="00195E73">
            <w:pPr>
              <w:rPr>
                <w:rFonts w:eastAsia="Times New Roman"/>
                <w:sz w:val="20"/>
                <w:szCs w:val="20"/>
              </w:rPr>
            </w:pPr>
          </w:p>
        </w:tc>
        <w:tc>
          <w:tcPr>
            <w:tcW w:w="0" w:type="auto"/>
            <w:vAlign w:val="center"/>
            <w:hideMark/>
          </w:tcPr>
          <w:p w14:paraId="21E7FDCF" w14:textId="77777777" w:rsidR="00000000" w:rsidRDefault="00195E73">
            <w:pPr>
              <w:rPr>
                <w:rFonts w:eastAsia="Times New Roman"/>
                <w:sz w:val="20"/>
                <w:szCs w:val="20"/>
              </w:rPr>
            </w:pPr>
          </w:p>
        </w:tc>
        <w:tc>
          <w:tcPr>
            <w:tcW w:w="0" w:type="auto"/>
            <w:vAlign w:val="center"/>
            <w:hideMark/>
          </w:tcPr>
          <w:p w14:paraId="5C00B24F" w14:textId="77777777" w:rsidR="00000000" w:rsidRDefault="00195E73">
            <w:pPr>
              <w:rPr>
                <w:rFonts w:eastAsia="Times New Roman"/>
                <w:sz w:val="20"/>
                <w:szCs w:val="20"/>
              </w:rPr>
            </w:pPr>
          </w:p>
        </w:tc>
        <w:tc>
          <w:tcPr>
            <w:tcW w:w="0" w:type="auto"/>
            <w:vAlign w:val="center"/>
            <w:hideMark/>
          </w:tcPr>
          <w:p w14:paraId="21C55ED0" w14:textId="77777777" w:rsidR="00000000" w:rsidRDefault="00195E73">
            <w:pPr>
              <w:rPr>
                <w:rFonts w:eastAsia="Times New Roman"/>
                <w:sz w:val="20"/>
                <w:szCs w:val="20"/>
              </w:rPr>
            </w:pPr>
          </w:p>
        </w:tc>
        <w:tc>
          <w:tcPr>
            <w:tcW w:w="0" w:type="auto"/>
            <w:vAlign w:val="center"/>
            <w:hideMark/>
          </w:tcPr>
          <w:p w14:paraId="2BD30A6F" w14:textId="77777777" w:rsidR="00000000" w:rsidRDefault="00195E73">
            <w:pPr>
              <w:rPr>
                <w:rFonts w:eastAsia="Times New Roman"/>
                <w:sz w:val="20"/>
                <w:szCs w:val="20"/>
              </w:rPr>
            </w:pPr>
          </w:p>
        </w:tc>
      </w:tr>
      <w:tr w:rsidR="00000000" w14:paraId="12CE691B" w14:textId="77777777">
        <w:trPr>
          <w:divId w:val="1704939965"/>
          <w:jc w:val="center"/>
        </w:trPr>
        <w:tc>
          <w:tcPr>
            <w:tcW w:w="0" w:type="auto"/>
            <w:gridSpan w:val="3"/>
            <w:shd w:val="clear" w:color="auto" w:fill="FFFFFF"/>
            <w:tcMar>
              <w:top w:w="30" w:type="dxa"/>
              <w:left w:w="20" w:type="dxa"/>
              <w:bottom w:w="30" w:type="dxa"/>
              <w:right w:w="20" w:type="dxa"/>
            </w:tcMar>
            <w:vAlign w:val="bottom"/>
            <w:hideMark/>
          </w:tcPr>
          <w:p w14:paraId="017FABDB" w14:textId="77777777" w:rsidR="00000000" w:rsidRDefault="00195E73">
            <w:pPr>
              <w:rPr>
                <w:rFonts w:eastAsia="Times New Roman"/>
              </w:rPr>
            </w:pPr>
            <w:r>
              <w:rPr>
                <w:rFonts w:eastAsia="Times New Roman"/>
                <w:color w:val="000000"/>
                <w:sz w:val="20"/>
                <w:szCs w:val="20"/>
              </w:rPr>
              <w:t>Cost of goods sol</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19F0B366" w14:textId="77777777" w:rsidR="00000000" w:rsidRDefault="00195E73">
            <w:pPr>
              <w:jc w:val="right"/>
              <w:rPr>
                <w:rFonts w:eastAsia="Times New Roman"/>
              </w:rPr>
            </w:pPr>
            <w:r>
              <w:rPr>
                <w:rFonts w:eastAsia="Times New Roman"/>
                <w:color w:val="000000"/>
                <w:sz w:val="20"/>
                <w:szCs w:val="20"/>
              </w:rPr>
              <w:t>5,707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21F046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AF9D40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47ED75" w14:textId="77777777" w:rsidR="00000000" w:rsidRDefault="00195E73">
            <w:pPr>
              <w:jc w:val="right"/>
              <w:rPr>
                <w:rFonts w:eastAsia="Times New Roman"/>
              </w:rPr>
            </w:pPr>
            <w:r>
              <w:rPr>
                <w:rFonts w:eastAsia="Times New Roman"/>
                <w:color w:val="000000"/>
                <w:sz w:val="20"/>
                <w:szCs w:val="20"/>
              </w:rPr>
              <w:t>6,508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B6D5DF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BAE35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B037FA" w14:textId="77777777" w:rsidR="00000000" w:rsidRDefault="00195E73">
            <w:pPr>
              <w:jc w:val="right"/>
              <w:rPr>
                <w:rFonts w:eastAsia="Times New Roman"/>
              </w:rPr>
            </w:pPr>
            <w:r>
              <w:rPr>
                <w:rFonts w:eastAsia="Times New Roman"/>
                <w:color w:val="000000"/>
                <w:sz w:val="20"/>
                <w:szCs w:val="20"/>
              </w:rPr>
              <w:t>5,761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460549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E9974AD" w14:textId="77777777" w:rsidR="00000000" w:rsidRDefault="00195E73">
            <w:pPr>
              <w:rPr>
                <w:rFonts w:eastAsia="Times New Roman"/>
                <w:sz w:val="20"/>
                <w:szCs w:val="20"/>
              </w:rPr>
            </w:pPr>
          </w:p>
        </w:tc>
        <w:tc>
          <w:tcPr>
            <w:tcW w:w="0" w:type="auto"/>
            <w:vAlign w:val="center"/>
            <w:hideMark/>
          </w:tcPr>
          <w:p w14:paraId="101DF28F" w14:textId="77777777" w:rsidR="00000000" w:rsidRDefault="00195E73">
            <w:pPr>
              <w:rPr>
                <w:rFonts w:eastAsia="Times New Roman"/>
                <w:sz w:val="20"/>
                <w:szCs w:val="20"/>
              </w:rPr>
            </w:pPr>
          </w:p>
        </w:tc>
        <w:tc>
          <w:tcPr>
            <w:tcW w:w="0" w:type="auto"/>
            <w:vAlign w:val="center"/>
            <w:hideMark/>
          </w:tcPr>
          <w:p w14:paraId="67EF0607" w14:textId="77777777" w:rsidR="00000000" w:rsidRDefault="00195E73">
            <w:pPr>
              <w:rPr>
                <w:rFonts w:eastAsia="Times New Roman"/>
                <w:sz w:val="20"/>
                <w:szCs w:val="20"/>
              </w:rPr>
            </w:pPr>
          </w:p>
        </w:tc>
        <w:tc>
          <w:tcPr>
            <w:tcW w:w="0" w:type="auto"/>
            <w:vAlign w:val="center"/>
            <w:hideMark/>
          </w:tcPr>
          <w:p w14:paraId="57C72F94" w14:textId="77777777" w:rsidR="00000000" w:rsidRDefault="00195E73">
            <w:pPr>
              <w:rPr>
                <w:rFonts w:eastAsia="Times New Roman"/>
                <w:sz w:val="20"/>
                <w:szCs w:val="20"/>
              </w:rPr>
            </w:pPr>
          </w:p>
        </w:tc>
        <w:tc>
          <w:tcPr>
            <w:tcW w:w="0" w:type="auto"/>
            <w:vAlign w:val="center"/>
            <w:hideMark/>
          </w:tcPr>
          <w:p w14:paraId="0F793655" w14:textId="77777777" w:rsidR="00000000" w:rsidRDefault="00195E73">
            <w:pPr>
              <w:rPr>
                <w:rFonts w:eastAsia="Times New Roman"/>
                <w:sz w:val="20"/>
                <w:szCs w:val="20"/>
              </w:rPr>
            </w:pPr>
          </w:p>
        </w:tc>
        <w:tc>
          <w:tcPr>
            <w:tcW w:w="0" w:type="auto"/>
            <w:vAlign w:val="center"/>
            <w:hideMark/>
          </w:tcPr>
          <w:p w14:paraId="38260E21" w14:textId="77777777" w:rsidR="00000000" w:rsidRDefault="00195E73">
            <w:pPr>
              <w:rPr>
                <w:rFonts w:eastAsia="Times New Roman"/>
                <w:sz w:val="20"/>
                <w:szCs w:val="20"/>
              </w:rPr>
            </w:pPr>
          </w:p>
        </w:tc>
        <w:tc>
          <w:tcPr>
            <w:tcW w:w="0" w:type="auto"/>
            <w:vAlign w:val="center"/>
            <w:hideMark/>
          </w:tcPr>
          <w:p w14:paraId="26F8EB1F" w14:textId="77777777" w:rsidR="00000000" w:rsidRDefault="00195E73">
            <w:pPr>
              <w:rPr>
                <w:rFonts w:eastAsia="Times New Roman"/>
                <w:sz w:val="20"/>
                <w:szCs w:val="20"/>
              </w:rPr>
            </w:pPr>
          </w:p>
        </w:tc>
        <w:tc>
          <w:tcPr>
            <w:tcW w:w="0" w:type="auto"/>
            <w:vAlign w:val="center"/>
            <w:hideMark/>
          </w:tcPr>
          <w:p w14:paraId="3660C3A7" w14:textId="77777777" w:rsidR="00000000" w:rsidRDefault="00195E73">
            <w:pPr>
              <w:rPr>
                <w:rFonts w:eastAsia="Times New Roman"/>
                <w:sz w:val="20"/>
                <w:szCs w:val="20"/>
              </w:rPr>
            </w:pPr>
          </w:p>
        </w:tc>
        <w:tc>
          <w:tcPr>
            <w:tcW w:w="0" w:type="auto"/>
            <w:vAlign w:val="center"/>
            <w:hideMark/>
          </w:tcPr>
          <w:p w14:paraId="393EAAC5" w14:textId="77777777" w:rsidR="00000000" w:rsidRDefault="00195E73">
            <w:pPr>
              <w:rPr>
                <w:rFonts w:eastAsia="Times New Roman"/>
                <w:sz w:val="20"/>
                <w:szCs w:val="20"/>
              </w:rPr>
            </w:pPr>
          </w:p>
        </w:tc>
        <w:tc>
          <w:tcPr>
            <w:tcW w:w="0" w:type="auto"/>
            <w:vAlign w:val="center"/>
            <w:hideMark/>
          </w:tcPr>
          <w:p w14:paraId="342A1DE3" w14:textId="77777777" w:rsidR="00000000" w:rsidRDefault="00195E73">
            <w:pPr>
              <w:rPr>
                <w:rFonts w:eastAsia="Times New Roman"/>
                <w:sz w:val="20"/>
                <w:szCs w:val="20"/>
              </w:rPr>
            </w:pPr>
          </w:p>
        </w:tc>
        <w:tc>
          <w:tcPr>
            <w:tcW w:w="0" w:type="auto"/>
            <w:vAlign w:val="center"/>
            <w:hideMark/>
          </w:tcPr>
          <w:p w14:paraId="4EC94A88" w14:textId="77777777" w:rsidR="00000000" w:rsidRDefault="00195E73">
            <w:pPr>
              <w:rPr>
                <w:rFonts w:eastAsia="Times New Roman"/>
                <w:sz w:val="20"/>
                <w:szCs w:val="20"/>
              </w:rPr>
            </w:pPr>
          </w:p>
        </w:tc>
        <w:tc>
          <w:tcPr>
            <w:tcW w:w="0" w:type="auto"/>
            <w:vAlign w:val="center"/>
            <w:hideMark/>
          </w:tcPr>
          <w:p w14:paraId="1B3D1EAC" w14:textId="77777777" w:rsidR="00000000" w:rsidRDefault="00195E73">
            <w:pPr>
              <w:rPr>
                <w:rFonts w:eastAsia="Times New Roman"/>
                <w:sz w:val="20"/>
                <w:szCs w:val="20"/>
              </w:rPr>
            </w:pPr>
          </w:p>
        </w:tc>
      </w:tr>
      <w:tr w:rsidR="00000000" w14:paraId="2E3E3B5C" w14:textId="77777777">
        <w:trPr>
          <w:divId w:val="1704939965"/>
          <w:jc w:val="center"/>
        </w:trPr>
        <w:tc>
          <w:tcPr>
            <w:tcW w:w="0" w:type="auto"/>
            <w:gridSpan w:val="3"/>
            <w:shd w:val="clear" w:color="auto" w:fill="CCEEFF"/>
            <w:tcMar>
              <w:top w:w="30" w:type="dxa"/>
              <w:left w:w="20" w:type="dxa"/>
              <w:bottom w:w="30" w:type="dxa"/>
              <w:right w:w="20" w:type="dxa"/>
            </w:tcMar>
            <w:vAlign w:val="bottom"/>
            <w:hideMark/>
          </w:tcPr>
          <w:p w14:paraId="13A2E244" w14:textId="77777777" w:rsidR="00000000" w:rsidRDefault="00195E73">
            <w:pPr>
              <w:rPr>
                <w:rFonts w:eastAsia="Times New Roman"/>
              </w:rPr>
            </w:pPr>
            <w:r>
              <w:rPr>
                <w:rFonts w:eastAsia="Times New Roman"/>
                <w:color w:val="000000"/>
                <w:sz w:val="20"/>
                <w:szCs w:val="20"/>
              </w:rPr>
              <w:t>Gross margi</w:t>
            </w:r>
            <w:r>
              <w:rPr>
                <w:rFonts w:eastAsia="Times New Roman"/>
                <w:color w:val="000000"/>
                <w:sz w:val="20"/>
                <w:szCs w:val="20"/>
              </w:rPr>
              <w:t>n</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ACEF9A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14D8425" w14:textId="77777777" w:rsidR="00000000" w:rsidRDefault="00195E73">
            <w:pPr>
              <w:jc w:val="right"/>
              <w:rPr>
                <w:rFonts w:eastAsia="Times New Roman"/>
              </w:rPr>
            </w:pPr>
            <w:r>
              <w:rPr>
                <w:rFonts w:eastAsia="Times New Roman"/>
                <w:color w:val="000000"/>
                <w:sz w:val="20"/>
                <w:szCs w:val="20"/>
              </w:rPr>
              <w:t>657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5D343B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4D91614"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730ADE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18BFF9C" w14:textId="77777777" w:rsidR="00000000" w:rsidRDefault="00195E73">
            <w:pPr>
              <w:jc w:val="right"/>
              <w:rPr>
                <w:rFonts w:eastAsia="Times New Roman"/>
              </w:rPr>
            </w:pPr>
            <w:r>
              <w:rPr>
                <w:rFonts w:eastAsia="Times New Roman"/>
                <w:color w:val="000000"/>
                <w:sz w:val="20"/>
                <w:szCs w:val="20"/>
              </w:rPr>
              <w:t>616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2D9E03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B7B379B"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11113C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7312E89" w14:textId="77777777" w:rsidR="00000000" w:rsidRDefault="00195E73">
            <w:pPr>
              <w:jc w:val="right"/>
              <w:rPr>
                <w:rFonts w:eastAsia="Times New Roman"/>
              </w:rPr>
            </w:pPr>
            <w:r>
              <w:rPr>
                <w:rFonts w:eastAsia="Times New Roman"/>
                <w:color w:val="000000"/>
                <w:sz w:val="20"/>
                <w:szCs w:val="20"/>
              </w:rPr>
              <w:t>227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4D304E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E6EEDAC" w14:textId="77777777" w:rsidR="00000000" w:rsidRDefault="00195E73">
            <w:pPr>
              <w:rPr>
                <w:rFonts w:eastAsia="Times New Roman"/>
                <w:sz w:val="20"/>
                <w:szCs w:val="20"/>
              </w:rPr>
            </w:pPr>
          </w:p>
        </w:tc>
        <w:tc>
          <w:tcPr>
            <w:tcW w:w="0" w:type="auto"/>
            <w:vAlign w:val="center"/>
            <w:hideMark/>
          </w:tcPr>
          <w:p w14:paraId="60A0D9B1" w14:textId="77777777" w:rsidR="00000000" w:rsidRDefault="00195E73">
            <w:pPr>
              <w:rPr>
                <w:rFonts w:eastAsia="Times New Roman"/>
                <w:sz w:val="20"/>
                <w:szCs w:val="20"/>
              </w:rPr>
            </w:pPr>
          </w:p>
        </w:tc>
        <w:tc>
          <w:tcPr>
            <w:tcW w:w="0" w:type="auto"/>
            <w:vAlign w:val="center"/>
            <w:hideMark/>
          </w:tcPr>
          <w:p w14:paraId="15CC3EF5" w14:textId="77777777" w:rsidR="00000000" w:rsidRDefault="00195E73">
            <w:pPr>
              <w:rPr>
                <w:rFonts w:eastAsia="Times New Roman"/>
                <w:sz w:val="20"/>
                <w:szCs w:val="20"/>
              </w:rPr>
            </w:pPr>
          </w:p>
        </w:tc>
        <w:tc>
          <w:tcPr>
            <w:tcW w:w="0" w:type="auto"/>
            <w:vAlign w:val="center"/>
            <w:hideMark/>
          </w:tcPr>
          <w:p w14:paraId="579806CF" w14:textId="77777777" w:rsidR="00000000" w:rsidRDefault="00195E73">
            <w:pPr>
              <w:rPr>
                <w:rFonts w:eastAsia="Times New Roman"/>
                <w:sz w:val="20"/>
                <w:szCs w:val="20"/>
              </w:rPr>
            </w:pPr>
          </w:p>
        </w:tc>
        <w:tc>
          <w:tcPr>
            <w:tcW w:w="0" w:type="auto"/>
            <w:vAlign w:val="center"/>
            <w:hideMark/>
          </w:tcPr>
          <w:p w14:paraId="7E4A09D0" w14:textId="77777777" w:rsidR="00000000" w:rsidRDefault="00195E73">
            <w:pPr>
              <w:rPr>
                <w:rFonts w:eastAsia="Times New Roman"/>
                <w:sz w:val="20"/>
                <w:szCs w:val="20"/>
              </w:rPr>
            </w:pPr>
          </w:p>
        </w:tc>
        <w:tc>
          <w:tcPr>
            <w:tcW w:w="0" w:type="auto"/>
            <w:vAlign w:val="center"/>
            <w:hideMark/>
          </w:tcPr>
          <w:p w14:paraId="79676FDD" w14:textId="77777777" w:rsidR="00000000" w:rsidRDefault="00195E73">
            <w:pPr>
              <w:rPr>
                <w:rFonts w:eastAsia="Times New Roman"/>
                <w:sz w:val="20"/>
                <w:szCs w:val="20"/>
              </w:rPr>
            </w:pPr>
          </w:p>
        </w:tc>
        <w:tc>
          <w:tcPr>
            <w:tcW w:w="0" w:type="auto"/>
            <w:vAlign w:val="center"/>
            <w:hideMark/>
          </w:tcPr>
          <w:p w14:paraId="103B6281" w14:textId="77777777" w:rsidR="00000000" w:rsidRDefault="00195E73">
            <w:pPr>
              <w:rPr>
                <w:rFonts w:eastAsia="Times New Roman"/>
                <w:sz w:val="20"/>
                <w:szCs w:val="20"/>
              </w:rPr>
            </w:pPr>
          </w:p>
        </w:tc>
        <w:tc>
          <w:tcPr>
            <w:tcW w:w="0" w:type="auto"/>
            <w:vAlign w:val="center"/>
            <w:hideMark/>
          </w:tcPr>
          <w:p w14:paraId="513EB405" w14:textId="77777777" w:rsidR="00000000" w:rsidRDefault="00195E73">
            <w:pPr>
              <w:rPr>
                <w:rFonts w:eastAsia="Times New Roman"/>
                <w:sz w:val="20"/>
                <w:szCs w:val="20"/>
              </w:rPr>
            </w:pPr>
          </w:p>
        </w:tc>
        <w:tc>
          <w:tcPr>
            <w:tcW w:w="0" w:type="auto"/>
            <w:vAlign w:val="center"/>
            <w:hideMark/>
          </w:tcPr>
          <w:p w14:paraId="6D8D16C1" w14:textId="77777777" w:rsidR="00000000" w:rsidRDefault="00195E73">
            <w:pPr>
              <w:rPr>
                <w:rFonts w:eastAsia="Times New Roman"/>
                <w:sz w:val="20"/>
                <w:szCs w:val="20"/>
              </w:rPr>
            </w:pPr>
          </w:p>
        </w:tc>
        <w:tc>
          <w:tcPr>
            <w:tcW w:w="0" w:type="auto"/>
            <w:vAlign w:val="center"/>
            <w:hideMark/>
          </w:tcPr>
          <w:p w14:paraId="58AEDC61" w14:textId="77777777" w:rsidR="00000000" w:rsidRDefault="00195E73">
            <w:pPr>
              <w:rPr>
                <w:rFonts w:eastAsia="Times New Roman"/>
                <w:sz w:val="20"/>
                <w:szCs w:val="20"/>
              </w:rPr>
            </w:pPr>
          </w:p>
        </w:tc>
        <w:tc>
          <w:tcPr>
            <w:tcW w:w="0" w:type="auto"/>
            <w:vAlign w:val="center"/>
            <w:hideMark/>
          </w:tcPr>
          <w:p w14:paraId="47494F3A" w14:textId="77777777" w:rsidR="00000000" w:rsidRDefault="00195E73">
            <w:pPr>
              <w:rPr>
                <w:rFonts w:eastAsia="Times New Roman"/>
                <w:sz w:val="20"/>
                <w:szCs w:val="20"/>
              </w:rPr>
            </w:pPr>
          </w:p>
        </w:tc>
        <w:tc>
          <w:tcPr>
            <w:tcW w:w="0" w:type="auto"/>
            <w:vAlign w:val="center"/>
            <w:hideMark/>
          </w:tcPr>
          <w:p w14:paraId="627143AD" w14:textId="77777777" w:rsidR="00000000" w:rsidRDefault="00195E73">
            <w:pPr>
              <w:rPr>
                <w:rFonts w:eastAsia="Times New Roman"/>
                <w:sz w:val="20"/>
                <w:szCs w:val="20"/>
              </w:rPr>
            </w:pPr>
          </w:p>
        </w:tc>
      </w:tr>
      <w:tr w:rsidR="00000000" w14:paraId="66C3DD1B" w14:textId="77777777">
        <w:trPr>
          <w:divId w:val="1704939965"/>
          <w:jc w:val="center"/>
        </w:trPr>
        <w:tc>
          <w:tcPr>
            <w:tcW w:w="0" w:type="auto"/>
            <w:gridSpan w:val="3"/>
            <w:vAlign w:val="center"/>
            <w:hideMark/>
          </w:tcPr>
          <w:p w14:paraId="24780766" w14:textId="77777777" w:rsidR="00000000" w:rsidRDefault="00195E73">
            <w:pPr>
              <w:jc w:val="right"/>
              <w:rPr>
                <w:rFonts w:eastAsia="Times New Roman"/>
              </w:rPr>
            </w:pPr>
          </w:p>
        </w:tc>
        <w:tc>
          <w:tcPr>
            <w:tcW w:w="0" w:type="auto"/>
            <w:gridSpan w:val="3"/>
            <w:vAlign w:val="center"/>
            <w:hideMark/>
          </w:tcPr>
          <w:p w14:paraId="2BC098C4" w14:textId="77777777" w:rsidR="00000000" w:rsidRDefault="00195E73">
            <w:pPr>
              <w:rPr>
                <w:rFonts w:eastAsia="Times New Roman"/>
                <w:sz w:val="20"/>
                <w:szCs w:val="20"/>
              </w:rPr>
            </w:pPr>
          </w:p>
        </w:tc>
        <w:tc>
          <w:tcPr>
            <w:tcW w:w="0" w:type="auto"/>
            <w:gridSpan w:val="3"/>
            <w:vAlign w:val="center"/>
            <w:hideMark/>
          </w:tcPr>
          <w:p w14:paraId="16B16056" w14:textId="77777777" w:rsidR="00000000" w:rsidRDefault="00195E73">
            <w:pPr>
              <w:rPr>
                <w:rFonts w:eastAsia="Times New Roman"/>
                <w:sz w:val="20"/>
                <w:szCs w:val="20"/>
              </w:rPr>
            </w:pPr>
          </w:p>
        </w:tc>
        <w:tc>
          <w:tcPr>
            <w:tcW w:w="0" w:type="auto"/>
            <w:gridSpan w:val="3"/>
            <w:vAlign w:val="center"/>
            <w:hideMark/>
          </w:tcPr>
          <w:p w14:paraId="2DC98182" w14:textId="77777777" w:rsidR="00000000" w:rsidRDefault="00195E73">
            <w:pPr>
              <w:rPr>
                <w:rFonts w:eastAsia="Times New Roman"/>
                <w:sz w:val="20"/>
                <w:szCs w:val="20"/>
              </w:rPr>
            </w:pPr>
          </w:p>
        </w:tc>
        <w:tc>
          <w:tcPr>
            <w:tcW w:w="0" w:type="auto"/>
            <w:gridSpan w:val="3"/>
            <w:vAlign w:val="center"/>
            <w:hideMark/>
          </w:tcPr>
          <w:p w14:paraId="267A2FE5" w14:textId="77777777" w:rsidR="00000000" w:rsidRDefault="00195E73">
            <w:pPr>
              <w:rPr>
                <w:rFonts w:eastAsia="Times New Roman"/>
                <w:sz w:val="20"/>
                <w:szCs w:val="20"/>
              </w:rPr>
            </w:pPr>
          </w:p>
        </w:tc>
        <w:tc>
          <w:tcPr>
            <w:tcW w:w="0" w:type="auto"/>
            <w:gridSpan w:val="3"/>
            <w:vAlign w:val="center"/>
            <w:hideMark/>
          </w:tcPr>
          <w:p w14:paraId="388C2B99" w14:textId="77777777" w:rsidR="00000000" w:rsidRDefault="00195E73">
            <w:pPr>
              <w:rPr>
                <w:rFonts w:eastAsia="Times New Roman"/>
                <w:sz w:val="20"/>
                <w:szCs w:val="20"/>
              </w:rPr>
            </w:pPr>
          </w:p>
        </w:tc>
        <w:tc>
          <w:tcPr>
            <w:tcW w:w="0" w:type="auto"/>
            <w:vAlign w:val="center"/>
            <w:hideMark/>
          </w:tcPr>
          <w:p w14:paraId="74716A64" w14:textId="77777777" w:rsidR="00000000" w:rsidRDefault="00195E73">
            <w:pPr>
              <w:rPr>
                <w:rFonts w:eastAsia="Times New Roman"/>
                <w:sz w:val="20"/>
                <w:szCs w:val="20"/>
              </w:rPr>
            </w:pPr>
          </w:p>
        </w:tc>
        <w:tc>
          <w:tcPr>
            <w:tcW w:w="0" w:type="auto"/>
            <w:vAlign w:val="center"/>
            <w:hideMark/>
          </w:tcPr>
          <w:p w14:paraId="3E0B680D" w14:textId="77777777" w:rsidR="00000000" w:rsidRDefault="00195E73">
            <w:pPr>
              <w:rPr>
                <w:rFonts w:eastAsia="Times New Roman"/>
                <w:sz w:val="20"/>
                <w:szCs w:val="20"/>
              </w:rPr>
            </w:pPr>
          </w:p>
        </w:tc>
        <w:tc>
          <w:tcPr>
            <w:tcW w:w="0" w:type="auto"/>
            <w:vAlign w:val="center"/>
            <w:hideMark/>
          </w:tcPr>
          <w:p w14:paraId="56A39FF3" w14:textId="77777777" w:rsidR="00000000" w:rsidRDefault="00195E73">
            <w:pPr>
              <w:rPr>
                <w:rFonts w:eastAsia="Times New Roman"/>
                <w:sz w:val="20"/>
                <w:szCs w:val="20"/>
              </w:rPr>
            </w:pPr>
          </w:p>
        </w:tc>
        <w:tc>
          <w:tcPr>
            <w:tcW w:w="0" w:type="auto"/>
            <w:vAlign w:val="center"/>
            <w:hideMark/>
          </w:tcPr>
          <w:p w14:paraId="5E3C1653" w14:textId="77777777" w:rsidR="00000000" w:rsidRDefault="00195E73">
            <w:pPr>
              <w:rPr>
                <w:rFonts w:eastAsia="Times New Roman"/>
                <w:sz w:val="20"/>
                <w:szCs w:val="20"/>
              </w:rPr>
            </w:pPr>
          </w:p>
        </w:tc>
        <w:tc>
          <w:tcPr>
            <w:tcW w:w="0" w:type="auto"/>
            <w:vAlign w:val="center"/>
            <w:hideMark/>
          </w:tcPr>
          <w:p w14:paraId="42316151" w14:textId="77777777" w:rsidR="00000000" w:rsidRDefault="00195E73">
            <w:pPr>
              <w:rPr>
                <w:rFonts w:eastAsia="Times New Roman"/>
                <w:sz w:val="20"/>
                <w:szCs w:val="20"/>
              </w:rPr>
            </w:pPr>
          </w:p>
        </w:tc>
        <w:tc>
          <w:tcPr>
            <w:tcW w:w="0" w:type="auto"/>
            <w:vAlign w:val="center"/>
            <w:hideMark/>
          </w:tcPr>
          <w:p w14:paraId="7B6F413B" w14:textId="77777777" w:rsidR="00000000" w:rsidRDefault="00195E73">
            <w:pPr>
              <w:rPr>
                <w:rFonts w:eastAsia="Times New Roman"/>
                <w:sz w:val="20"/>
                <w:szCs w:val="20"/>
              </w:rPr>
            </w:pPr>
          </w:p>
        </w:tc>
        <w:tc>
          <w:tcPr>
            <w:tcW w:w="0" w:type="auto"/>
            <w:vAlign w:val="center"/>
            <w:hideMark/>
          </w:tcPr>
          <w:p w14:paraId="76266858" w14:textId="77777777" w:rsidR="00000000" w:rsidRDefault="00195E73">
            <w:pPr>
              <w:rPr>
                <w:rFonts w:eastAsia="Times New Roman"/>
                <w:sz w:val="20"/>
                <w:szCs w:val="20"/>
              </w:rPr>
            </w:pPr>
          </w:p>
        </w:tc>
        <w:tc>
          <w:tcPr>
            <w:tcW w:w="0" w:type="auto"/>
            <w:vAlign w:val="center"/>
            <w:hideMark/>
          </w:tcPr>
          <w:p w14:paraId="3A7DF82C" w14:textId="77777777" w:rsidR="00000000" w:rsidRDefault="00195E73">
            <w:pPr>
              <w:rPr>
                <w:rFonts w:eastAsia="Times New Roman"/>
                <w:sz w:val="20"/>
                <w:szCs w:val="20"/>
              </w:rPr>
            </w:pPr>
          </w:p>
        </w:tc>
        <w:tc>
          <w:tcPr>
            <w:tcW w:w="0" w:type="auto"/>
            <w:vAlign w:val="center"/>
            <w:hideMark/>
          </w:tcPr>
          <w:p w14:paraId="0DA681BC" w14:textId="77777777" w:rsidR="00000000" w:rsidRDefault="00195E73">
            <w:pPr>
              <w:rPr>
                <w:rFonts w:eastAsia="Times New Roman"/>
                <w:sz w:val="20"/>
                <w:szCs w:val="20"/>
              </w:rPr>
            </w:pPr>
          </w:p>
        </w:tc>
        <w:tc>
          <w:tcPr>
            <w:tcW w:w="0" w:type="auto"/>
            <w:vAlign w:val="center"/>
            <w:hideMark/>
          </w:tcPr>
          <w:p w14:paraId="47CBC34B" w14:textId="77777777" w:rsidR="00000000" w:rsidRDefault="00195E73">
            <w:pPr>
              <w:rPr>
                <w:rFonts w:eastAsia="Times New Roman"/>
                <w:sz w:val="20"/>
                <w:szCs w:val="20"/>
              </w:rPr>
            </w:pPr>
          </w:p>
        </w:tc>
        <w:tc>
          <w:tcPr>
            <w:tcW w:w="0" w:type="auto"/>
            <w:vAlign w:val="center"/>
            <w:hideMark/>
          </w:tcPr>
          <w:p w14:paraId="6F0FDE59" w14:textId="77777777" w:rsidR="00000000" w:rsidRDefault="00195E73">
            <w:pPr>
              <w:rPr>
                <w:rFonts w:eastAsia="Times New Roman"/>
                <w:sz w:val="20"/>
                <w:szCs w:val="20"/>
              </w:rPr>
            </w:pPr>
          </w:p>
        </w:tc>
        <w:tc>
          <w:tcPr>
            <w:tcW w:w="0" w:type="auto"/>
            <w:vAlign w:val="center"/>
            <w:hideMark/>
          </w:tcPr>
          <w:p w14:paraId="4ED1EED2" w14:textId="77777777" w:rsidR="00000000" w:rsidRDefault="00195E73">
            <w:pPr>
              <w:rPr>
                <w:rFonts w:eastAsia="Times New Roman"/>
                <w:sz w:val="20"/>
                <w:szCs w:val="20"/>
              </w:rPr>
            </w:pPr>
          </w:p>
        </w:tc>
      </w:tr>
      <w:tr w:rsidR="00000000" w14:paraId="7331FB42" w14:textId="77777777">
        <w:trPr>
          <w:divId w:val="1704939965"/>
          <w:jc w:val="center"/>
        </w:trPr>
        <w:tc>
          <w:tcPr>
            <w:tcW w:w="0" w:type="auto"/>
            <w:gridSpan w:val="3"/>
            <w:vAlign w:val="center"/>
            <w:hideMark/>
          </w:tcPr>
          <w:p w14:paraId="03064774" w14:textId="77777777" w:rsidR="00000000" w:rsidRDefault="00195E73">
            <w:pPr>
              <w:rPr>
                <w:rFonts w:eastAsia="Times New Roman"/>
                <w:sz w:val="20"/>
                <w:szCs w:val="20"/>
              </w:rPr>
            </w:pPr>
          </w:p>
        </w:tc>
        <w:tc>
          <w:tcPr>
            <w:tcW w:w="0" w:type="auto"/>
            <w:gridSpan w:val="3"/>
            <w:vAlign w:val="center"/>
            <w:hideMark/>
          </w:tcPr>
          <w:p w14:paraId="22EFDD2C" w14:textId="77777777" w:rsidR="00000000" w:rsidRDefault="00195E73">
            <w:pPr>
              <w:rPr>
                <w:rFonts w:eastAsia="Times New Roman"/>
                <w:sz w:val="20"/>
                <w:szCs w:val="20"/>
              </w:rPr>
            </w:pPr>
          </w:p>
        </w:tc>
        <w:tc>
          <w:tcPr>
            <w:tcW w:w="0" w:type="auto"/>
            <w:gridSpan w:val="3"/>
            <w:vAlign w:val="center"/>
            <w:hideMark/>
          </w:tcPr>
          <w:p w14:paraId="6704A505" w14:textId="77777777" w:rsidR="00000000" w:rsidRDefault="00195E73">
            <w:pPr>
              <w:rPr>
                <w:rFonts w:eastAsia="Times New Roman"/>
                <w:sz w:val="20"/>
                <w:szCs w:val="20"/>
              </w:rPr>
            </w:pPr>
          </w:p>
        </w:tc>
        <w:tc>
          <w:tcPr>
            <w:tcW w:w="0" w:type="auto"/>
            <w:gridSpan w:val="3"/>
            <w:vAlign w:val="center"/>
            <w:hideMark/>
          </w:tcPr>
          <w:p w14:paraId="383B9EF6" w14:textId="77777777" w:rsidR="00000000" w:rsidRDefault="00195E73">
            <w:pPr>
              <w:rPr>
                <w:rFonts w:eastAsia="Times New Roman"/>
                <w:sz w:val="20"/>
                <w:szCs w:val="20"/>
              </w:rPr>
            </w:pPr>
          </w:p>
        </w:tc>
        <w:tc>
          <w:tcPr>
            <w:tcW w:w="0" w:type="auto"/>
            <w:gridSpan w:val="3"/>
            <w:vAlign w:val="center"/>
            <w:hideMark/>
          </w:tcPr>
          <w:p w14:paraId="624E1DA7" w14:textId="77777777" w:rsidR="00000000" w:rsidRDefault="00195E73">
            <w:pPr>
              <w:rPr>
                <w:rFonts w:eastAsia="Times New Roman"/>
                <w:sz w:val="20"/>
                <w:szCs w:val="20"/>
              </w:rPr>
            </w:pPr>
          </w:p>
        </w:tc>
        <w:tc>
          <w:tcPr>
            <w:tcW w:w="0" w:type="auto"/>
            <w:gridSpan w:val="3"/>
            <w:vAlign w:val="center"/>
            <w:hideMark/>
          </w:tcPr>
          <w:p w14:paraId="69D48B26" w14:textId="77777777" w:rsidR="00000000" w:rsidRDefault="00195E73">
            <w:pPr>
              <w:rPr>
                <w:rFonts w:eastAsia="Times New Roman"/>
                <w:sz w:val="20"/>
                <w:szCs w:val="20"/>
              </w:rPr>
            </w:pPr>
          </w:p>
        </w:tc>
        <w:tc>
          <w:tcPr>
            <w:tcW w:w="0" w:type="auto"/>
            <w:vAlign w:val="center"/>
            <w:hideMark/>
          </w:tcPr>
          <w:p w14:paraId="19EB17D5" w14:textId="77777777" w:rsidR="00000000" w:rsidRDefault="00195E73">
            <w:pPr>
              <w:rPr>
                <w:rFonts w:eastAsia="Times New Roman"/>
                <w:sz w:val="20"/>
                <w:szCs w:val="20"/>
              </w:rPr>
            </w:pPr>
          </w:p>
        </w:tc>
        <w:tc>
          <w:tcPr>
            <w:tcW w:w="0" w:type="auto"/>
            <w:vAlign w:val="center"/>
            <w:hideMark/>
          </w:tcPr>
          <w:p w14:paraId="6AFE16D9" w14:textId="77777777" w:rsidR="00000000" w:rsidRDefault="00195E73">
            <w:pPr>
              <w:rPr>
                <w:rFonts w:eastAsia="Times New Roman"/>
                <w:sz w:val="20"/>
                <w:szCs w:val="20"/>
              </w:rPr>
            </w:pPr>
          </w:p>
        </w:tc>
        <w:tc>
          <w:tcPr>
            <w:tcW w:w="0" w:type="auto"/>
            <w:vAlign w:val="center"/>
            <w:hideMark/>
          </w:tcPr>
          <w:p w14:paraId="30BF862F" w14:textId="77777777" w:rsidR="00000000" w:rsidRDefault="00195E73">
            <w:pPr>
              <w:rPr>
                <w:rFonts w:eastAsia="Times New Roman"/>
                <w:sz w:val="20"/>
                <w:szCs w:val="20"/>
              </w:rPr>
            </w:pPr>
          </w:p>
        </w:tc>
        <w:tc>
          <w:tcPr>
            <w:tcW w:w="0" w:type="auto"/>
            <w:vAlign w:val="center"/>
            <w:hideMark/>
          </w:tcPr>
          <w:p w14:paraId="3E8B7C96" w14:textId="77777777" w:rsidR="00000000" w:rsidRDefault="00195E73">
            <w:pPr>
              <w:rPr>
                <w:rFonts w:eastAsia="Times New Roman"/>
                <w:sz w:val="20"/>
                <w:szCs w:val="20"/>
              </w:rPr>
            </w:pPr>
          </w:p>
        </w:tc>
        <w:tc>
          <w:tcPr>
            <w:tcW w:w="0" w:type="auto"/>
            <w:vAlign w:val="center"/>
            <w:hideMark/>
          </w:tcPr>
          <w:p w14:paraId="08375339" w14:textId="77777777" w:rsidR="00000000" w:rsidRDefault="00195E73">
            <w:pPr>
              <w:rPr>
                <w:rFonts w:eastAsia="Times New Roman"/>
                <w:sz w:val="20"/>
                <w:szCs w:val="20"/>
              </w:rPr>
            </w:pPr>
          </w:p>
        </w:tc>
        <w:tc>
          <w:tcPr>
            <w:tcW w:w="0" w:type="auto"/>
            <w:vAlign w:val="center"/>
            <w:hideMark/>
          </w:tcPr>
          <w:p w14:paraId="4D80652F" w14:textId="77777777" w:rsidR="00000000" w:rsidRDefault="00195E73">
            <w:pPr>
              <w:rPr>
                <w:rFonts w:eastAsia="Times New Roman"/>
                <w:sz w:val="20"/>
                <w:szCs w:val="20"/>
              </w:rPr>
            </w:pPr>
          </w:p>
        </w:tc>
        <w:tc>
          <w:tcPr>
            <w:tcW w:w="0" w:type="auto"/>
            <w:vAlign w:val="center"/>
            <w:hideMark/>
          </w:tcPr>
          <w:p w14:paraId="51B68DBF" w14:textId="77777777" w:rsidR="00000000" w:rsidRDefault="00195E73">
            <w:pPr>
              <w:rPr>
                <w:rFonts w:eastAsia="Times New Roman"/>
                <w:sz w:val="20"/>
                <w:szCs w:val="20"/>
              </w:rPr>
            </w:pPr>
          </w:p>
        </w:tc>
        <w:tc>
          <w:tcPr>
            <w:tcW w:w="0" w:type="auto"/>
            <w:vAlign w:val="center"/>
            <w:hideMark/>
          </w:tcPr>
          <w:p w14:paraId="6368B1C6" w14:textId="77777777" w:rsidR="00000000" w:rsidRDefault="00195E73">
            <w:pPr>
              <w:rPr>
                <w:rFonts w:eastAsia="Times New Roman"/>
                <w:sz w:val="20"/>
                <w:szCs w:val="20"/>
              </w:rPr>
            </w:pPr>
          </w:p>
        </w:tc>
        <w:tc>
          <w:tcPr>
            <w:tcW w:w="0" w:type="auto"/>
            <w:vAlign w:val="center"/>
            <w:hideMark/>
          </w:tcPr>
          <w:p w14:paraId="4278ED85" w14:textId="77777777" w:rsidR="00000000" w:rsidRDefault="00195E73">
            <w:pPr>
              <w:rPr>
                <w:rFonts w:eastAsia="Times New Roman"/>
                <w:sz w:val="20"/>
                <w:szCs w:val="20"/>
              </w:rPr>
            </w:pPr>
          </w:p>
        </w:tc>
        <w:tc>
          <w:tcPr>
            <w:tcW w:w="0" w:type="auto"/>
            <w:vAlign w:val="center"/>
            <w:hideMark/>
          </w:tcPr>
          <w:p w14:paraId="343CD312" w14:textId="77777777" w:rsidR="00000000" w:rsidRDefault="00195E73">
            <w:pPr>
              <w:rPr>
                <w:rFonts w:eastAsia="Times New Roman"/>
                <w:sz w:val="20"/>
                <w:szCs w:val="20"/>
              </w:rPr>
            </w:pPr>
          </w:p>
        </w:tc>
        <w:tc>
          <w:tcPr>
            <w:tcW w:w="0" w:type="auto"/>
            <w:vAlign w:val="center"/>
            <w:hideMark/>
          </w:tcPr>
          <w:p w14:paraId="1C7A2585" w14:textId="77777777" w:rsidR="00000000" w:rsidRDefault="00195E73">
            <w:pPr>
              <w:rPr>
                <w:rFonts w:eastAsia="Times New Roman"/>
                <w:sz w:val="20"/>
                <w:szCs w:val="20"/>
              </w:rPr>
            </w:pPr>
          </w:p>
        </w:tc>
        <w:tc>
          <w:tcPr>
            <w:tcW w:w="0" w:type="auto"/>
            <w:vAlign w:val="center"/>
            <w:hideMark/>
          </w:tcPr>
          <w:p w14:paraId="14FE19D7" w14:textId="77777777" w:rsidR="00000000" w:rsidRDefault="00195E73">
            <w:pPr>
              <w:rPr>
                <w:rFonts w:eastAsia="Times New Roman"/>
                <w:sz w:val="20"/>
                <w:szCs w:val="20"/>
              </w:rPr>
            </w:pPr>
          </w:p>
        </w:tc>
      </w:tr>
    </w:tbl>
    <w:p w14:paraId="5F810EFB" w14:textId="77777777" w:rsidR="00000000" w:rsidRDefault="00195E73">
      <w:pPr>
        <w:divId w:val="1876429196"/>
        <w:rPr>
          <w:rFonts w:eastAsia="Times New Roman"/>
        </w:rPr>
      </w:pPr>
    </w:p>
    <w:p w14:paraId="7528A4B2" w14:textId="77777777" w:rsidR="00000000" w:rsidRDefault="00195E73">
      <w:pPr>
        <w:ind w:firstLine="405"/>
        <w:divId w:val="1031303929"/>
        <w:rPr>
          <w:rFonts w:eastAsia="Times New Roman"/>
        </w:rPr>
      </w:pPr>
      <w:r>
        <w:rPr>
          <w:rFonts w:eastAsia="Times New Roman"/>
          <w:color w:val="000000"/>
          <w:sz w:val="20"/>
          <w:szCs w:val="20"/>
        </w:rPr>
        <w:t>Net sales for our Energy segment decreased by approximately $760 million (11%) for the year ended December 31, 2019 as compared to the comparable prior year period. The decrease was primarily due to a decrease in our petroleum business’ net sales offset in</w:t>
      </w:r>
      <w:r>
        <w:rPr>
          <w:rFonts w:eastAsia="Times New Roman"/>
          <w:color w:val="000000"/>
          <w:sz w:val="20"/>
          <w:szCs w:val="20"/>
        </w:rPr>
        <w:t xml:space="preserve"> part by an increase in our nitrogen fertilizer business’ net sales. Our petroleum business’ net sales decreased $813 million due to a decrease in sales of gasoline as well as a decrease in distillates sales, with higher volumes more than offset by unfavor</w:t>
      </w:r>
      <w:r>
        <w:rPr>
          <w:rFonts w:eastAsia="Times New Roman"/>
          <w:color w:val="000000"/>
          <w:sz w:val="20"/>
          <w:szCs w:val="20"/>
        </w:rPr>
        <w:t>able pricing conditions. Our nitrogen fertilizer business’ net sales increased $53 million primarily due to an increase in UAN and ammonia sales due to favorable pricing and higher volumes.</w:t>
      </w:r>
      <w:r>
        <w:rPr>
          <w:rFonts w:eastAsia="Times New Roman"/>
          <w:color w:val="000000"/>
          <w:sz w:val="20"/>
          <w:szCs w:val="20"/>
        </w:rPr>
        <w:t xml:space="preserve"> </w:t>
      </w:r>
    </w:p>
    <w:p w14:paraId="334347FC" w14:textId="77777777" w:rsidR="00000000" w:rsidRDefault="00195E73">
      <w:pPr>
        <w:ind w:firstLine="405"/>
        <w:divId w:val="1840148576"/>
        <w:rPr>
          <w:rFonts w:eastAsia="Times New Roman"/>
        </w:rPr>
      </w:pPr>
      <w:r>
        <w:rPr>
          <w:rFonts w:eastAsia="Times New Roman"/>
          <w:color w:val="000000"/>
          <w:sz w:val="20"/>
          <w:szCs w:val="20"/>
        </w:rPr>
        <w:t>Cost of goods sold for our Energy segment decreased by $801 milli</w:t>
      </w:r>
      <w:r>
        <w:rPr>
          <w:rFonts w:eastAsia="Times New Roman"/>
          <w:color w:val="000000"/>
          <w:sz w:val="20"/>
          <w:szCs w:val="20"/>
        </w:rPr>
        <w:t>on (12%) for the year ended December 31, 2019 as compared to the comparable prior year period. The decrease was primarily due to our petroleum business as a result of lower cost of consumed crude oil due to a decrease in crude oil prices and lower RINs exp</w:t>
      </w:r>
      <w:r>
        <w:rPr>
          <w:rFonts w:eastAsia="Times New Roman"/>
          <w:color w:val="000000"/>
          <w:sz w:val="20"/>
          <w:szCs w:val="20"/>
        </w:rPr>
        <w:t>ense, offset in part by lower derivative gains.</w:t>
      </w:r>
      <w:r>
        <w:rPr>
          <w:rFonts w:eastAsia="Times New Roman"/>
          <w:color w:val="000000"/>
          <w:sz w:val="20"/>
          <w:szCs w:val="20"/>
        </w:rPr>
        <w:t xml:space="preserve"> </w:t>
      </w:r>
    </w:p>
    <w:p w14:paraId="372D6A2F" w14:textId="77777777" w:rsidR="00000000" w:rsidRDefault="00195E73">
      <w:pPr>
        <w:ind w:firstLine="405"/>
        <w:divId w:val="1127241108"/>
        <w:rPr>
          <w:rFonts w:eastAsia="Times New Roman"/>
        </w:rPr>
      </w:pPr>
      <w:r>
        <w:rPr>
          <w:rFonts w:eastAsia="Times New Roman"/>
          <w:color w:val="000000"/>
          <w:sz w:val="20"/>
          <w:szCs w:val="20"/>
        </w:rPr>
        <w:t>Gross margin for our Energy segment increased by $41 million for the year ended December 31, 2019 as compared to the comparable prior year period. Gross margin as a percentage of net sales was 10% and 9% for</w:t>
      </w:r>
      <w:r>
        <w:rPr>
          <w:rFonts w:eastAsia="Times New Roman"/>
          <w:color w:val="000000"/>
          <w:sz w:val="20"/>
          <w:szCs w:val="20"/>
        </w:rPr>
        <w:t xml:space="preserve"> the year ended December 31, 2019 and 2018, respectively. The increase in the gross margin as a percentage of net sales for our petroleum business was primarily due to due to an increase in volumes and lower RINs expense, offset in part by lower derivative</w:t>
      </w:r>
      <w:r>
        <w:rPr>
          <w:rFonts w:eastAsia="Times New Roman"/>
          <w:color w:val="000000"/>
          <w:sz w:val="20"/>
          <w:szCs w:val="20"/>
        </w:rPr>
        <w:t xml:space="preserve"> gains over the comparable periods. The increase in the gross margin as a percentage of net sales for our nitrogen fertilizer business was due to improved pricing for UAN and ammonia</w:t>
      </w:r>
      <w:r>
        <w:rPr>
          <w:rFonts w:eastAsia="Times New Roman"/>
          <w:color w:val="000000"/>
          <w:sz w:val="20"/>
          <w:szCs w:val="20"/>
        </w:rPr>
        <w:t>.</w:t>
      </w:r>
    </w:p>
    <w:p w14:paraId="644F6C88" w14:textId="77777777" w:rsidR="00000000" w:rsidRDefault="00195E73">
      <w:pPr>
        <w:divId w:val="712538879"/>
        <w:rPr>
          <w:rFonts w:eastAsia="Times New Roman"/>
        </w:rPr>
      </w:pPr>
      <w:r>
        <w:rPr>
          <w:rFonts w:eastAsia="Times New Roman"/>
          <w:b/>
          <w:bCs/>
          <w:i/>
          <w:iCs/>
          <w:color w:val="000000"/>
          <w:sz w:val="20"/>
          <w:szCs w:val="20"/>
        </w:rPr>
        <w:t>Automotive</w:t>
      </w:r>
      <w:r>
        <w:rPr>
          <w:rFonts w:eastAsia="Times New Roman"/>
          <w:b/>
          <w:bCs/>
          <w:i/>
          <w:iCs/>
          <w:color w:val="000000"/>
          <w:sz w:val="20"/>
          <w:szCs w:val="20"/>
        </w:rPr>
        <w:t xml:space="preserve"> </w:t>
      </w:r>
    </w:p>
    <w:p w14:paraId="560386FB" w14:textId="77777777" w:rsidR="00000000" w:rsidRDefault="00195E73">
      <w:pPr>
        <w:ind w:firstLine="405"/>
        <w:divId w:val="728184676"/>
        <w:rPr>
          <w:rFonts w:eastAsia="Times New Roman"/>
        </w:rPr>
      </w:pPr>
      <w:r>
        <w:rPr>
          <w:rFonts w:eastAsia="Times New Roman"/>
          <w:color w:val="000000"/>
          <w:sz w:val="20"/>
          <w:szCs w:val="20"/>
        </w:rPr>
        <w:t>Our Automotive segment’s results of operations are generally</w:t>
      </w:r>
      <w:r>
        <w:rPr>
          <w:rFonts w:eastAsia="Times New Roman"/>
          <w:color w:val="000000"/>
          <w:sz w:val="20"/>
          <w:szCs w:val="20"/>
        </w:rPr>
        <w:t xml:space="preserve"> driven by the distribution and installation of automotive aftermarket parts and are affected by the relative strength of automotive part replacement trends, among other factors. Acquisitions in recent years within our Automotive segment provided operating</w:t>
      </w:r>
      <w:r>
        <w:rPr>
          <w:rFonts w:eastAsia="Times New Roman"/>
          <w:color w:val="000000"/>
          <w:sz w:val="20"/>
          <w:szCs w:val="20"/>
        </w:rPr>
        <w:t xml:space="preserve"> synergies, expanded our market presence, strengthened our parts distribution channel and enhanced our Automotive segment’s ability to better service its customers. However, our automotive aftermarket parts business is in a highly competitive industry and </w:t>
      </w:r>
      <w:r>
        <w:rPr>
          <w:rFonts w:eastAsia="Times New Roman"/>
          <w:color w:val="000000"/>
          <w:sz w:val="20"/>
          <w:szCs w:val="20"/>
        </w:rPr>
        <w:t>is smaller than several of its competitors, who have greater financial resources and operational capabilities.</w:t>
      </w:r>
      <w:r>
        <w:rPr>
          <w:rFonts w:eastAsia="Times New Roman"/>
          <w:color w:val="000000"/>
          <w:sz w:val="20"/>
          <w:szCs w:val="20"/>
        </w:rPr>
        <w:t xml:space="preserve"> </w:t>
      </w:r>
    </w:p>
    <w:p w14:paraId="605E2266" w14:textId="77777777" w:rsidR="00000000" w:rsidRDefault="00195E73">
      <w:pPr>
        <w:ind w:firstLine="450"/>
        <w:divId w:val="482934994"/>
        <w:rPr>
          <w:rFonts w:eastAsia="Times New Roman"/>
        </w:rPr>
      </w:pPr>
      <w:r>
        <w:rPr>
          <w:rFonts w:eastAsia="Times New Roman"/>
          <w:color w:val="000000"/>
          <w:sz w:val="20"/>
          <w:szCs w:val="20"/>
        </w:rPr>
        <w:t>Our Automotive segment is in the process of implementing a multi-year transformation plan, which includes the integration and restructuring of t</w:t>
      </w:r>
      <w:r>
        <w:rPr>
          <w:rFonts w:eastAsia="Times New Roman"/>
          <w:color w:val="000000"/>
          <w:sz w:val="20"/>
          <w:szCs w:val="20"/>
        </w:rPr>
        <w:t>he operations of its businesses. The transformation plan includes streamlining Icahn Automotive’s corporate and field support teams; facility closures, consolidations and conversions; inventory optimization</w:t>
      </w:r>
      <w:r>
        <w:rPr>
          <w:rFonts w:eastAsia="Times New Roman"/>
          <w:color w:val="000000"/>
          <w:sz w:val="20"/>
          <w:szCs w:val="20"/>
        </w:rPr>
        <w:t xml:space="preserve"> </w:t>
      </w:r>
    </w:p>
    <w:p w14:paraId="165A8D61" w14:textId="77777777" w:rsidR="00000000" w:rsidRDefault="00195E73">
      <w:pPr>
        <w:jc w:val="center"/>
        <w:divId w:val="313415181"/>
        <w:rPr>
          <w:rFonts w:eastAsia="Times New Roman"/>
        </w:rPr>
      </w:pPr>
      <w:r>
        <w:rPr>
          <w:rFonts w:eastAsia="Times New Roman"/>
          <w:color w:val="000000"/>
          <w:sz w:val="20"/>
          <w:szCs w:val="20"/>
        </w:rPr>
        <w:t>3</w:t>
      </w:r>
      <w:r>
        <w:rPr>
          <w:rFonts w:eastAsia="Times New Roman"/>
          <w:color w:val="000000"/>
          <w:sz w:val="20"/>
          <w:szCs w:val="20"/>
        </w:rPr>
        <w:t>4</w:t>
      </w:r>
    </w:p>
    <w:p w14:paraId="2AEE926A" w14:textId="77777777" w:rsidR="00000000" w:rsidRDefault="00195E73">
      <w:pPr>
        <w:rPr>
          <w:rFonts w:eastAsia="Times New Roman"/>
        </w:rPr>
      </w:pPr>
      <w:r>
        <w:rPr>
          <w:rFonts w:eastAsia="Times New Roman"/>
        </w:rPr>
        <w:pict w14:anchorId="59002740">
          <v:rect id="_x0000_i1060" style="width:0;height:1.5pt" o:hralign="center" o:hrstd="t" o:hr="t" fillcolor="#a0a0a0" stroked="f"/>
        </w:pict>
      </w:r>
    </w:p>
    <w:p w14:paraId="1D73AD9F" w14:textId="77777777" w:rsidR="00000000" w:rsidRDefault="00195E73">
      <w:pPr>
        <w:divId w:val="578442444"/>
        <w:rPr>
          <w:rFonts w:eastAsia="Times New Roman"/>
        </w:rPr>
      </w:pPr>
    </w:p>
    <w:p w14:paraId="79D880AE" w14:textId="77777777" w:rsidR="00000000" w:rsidRDefault="00195E73">
      <w:pPr>
        <w:divId w:val="114563612"/>
        <w:rPr>
          <w:rFonts w:eastAsia="Times New Roman"/>
        </w:rPr>
      </w:pPr>
      <w:r>
        <w:rPr>
          <w:rFonts w:eastAsia="Times New Roman"/>
          <w:color w:val="000000"/>
          <w:sz w:val="20"/>
          <w:szCs w:val="20"/>
        </w:rPr>
        <w:t>action</w:t>
      </w:r>
      <w:r>
        <w:rPr>
          <w:rFonts w:eastAsia="Times New Roman"/>
          <w:color w:val="000000"/>
          <w:sz w:val="20"/>
          <w:szCs w:val="20"/>
        </w:rPr>
        <w:t>s; and the re-focusing of its automotive parts business on certain core markets. Costs to implement the transformation plan will include restructuring charges, which will be recorded when specific plans are approved and which may be significant</w:t>
      </w:r>
      <w:r>
        <w:rPr>
          <w:rFonts w:eastAsia="Times New Roman"/>
          <w:color w:val="000000"/>
          <w:sz w:val="20"/>
          <w:szCs w:val="20"/>
        </w:rPr>
        <w:t>.</w:t>
      </w:r>
    </w:p>
    <w:p w14:paraId="01CD7DD7" w14:textId="77777777" w:rsidR="00000000" w:rsidRDefault="00195E73">
      <w:pPr>
        <w:ind w:firstLine="450"/>
        <w:divId w:val="973021867"/>
        <w:rPr>
          <w:rFonts w:eastAsia="Times New Roman"/>
        </w:rPr>
      </w:pPr>
      <w:r>
        <w:rPr>
          <w:rFonts w:eastAsia="Times New Roman"/>
          <w:color w:val="000000"/>
          <w:sz w:val="20"/>
          <w:szCs w:val="20"/>
        </w:rPr>
        <w:t>Our Automo</w:t>
      </w:r>
      <w:r>
        <w:rPr>
          <w:rFonts w:eastAsia="Times New Roman"/>
          <w:color w:val="000000"/>
          <w:sz w:val="20"/>
          <w:szCs w:val="20"/>
        </w:rPr>
        <w:t>tive segment’s priorities include</w:t>
      </w:r>
      <w:r>
        <w:rPr>
          <w:rFonts w:eastAsia="Times New Roman"/>
          <w:color w:val="000000"/>
          <w:sz w:val="20"/>
          <w:szCs w:val="20"/>
        </w:rPr>
        <w:t>:</w:t>
      </w:r>
    </w:p>
    <w:p w14:paraId="43614080" w14:textId="77777777" w:rsidR="00000000" w:rsidRDefault="00195E73">
      <w:pPr>
        <w:ind w:hanging="180"/>
        <w:divId w:val="346054952"/>
        <w:rPr>
          <w:rFonts w:eastAsia="Times New Roman"/>
        </w:rPr>
      </w:pPr>
      <w:r>
        <w:rPr>
          <w:rFonts w:eastAsia="Times New Roman"/>
          <w:color w:val="000000"/>
          <w:sz w:val="20"/>
          <w:szCs w:val="20"/>
        </w:rPr>
        <w:t>•</w:t>
      </w:r>
      <w:r>
        <w:rPr>
          <w:rFonts w:eastAsia="Times New Roman"/>
          <w:color w:val="000000"/>
          <w:sz w:val="20"/>
          <w:szCs w:val="20"/>
        </w:rPr>
        <w:t>Positioning the service business to take advantage of opportunities in the do-it-for-me market and vehicle fleets</w:t>
      </w:r>
      <w:r>
        <w:rPr>
          <w:rFonts w:eastAsia="Times New Roman"/>
          <w:color w:val="000000"/>
          <w:sz w:val="20"/>
          <w:szCs w:val="20"/>
        </w:rPr>
        <w:t>;</w:t>
      </w:r>
    </w:p>
    <w:p w14:paraId="04F44C77" w14:textId="77777777" w:rsidR="00000000" w:rsidRDefault="00195E73">
      <w:pPr>
        <w:ind w:hanging="180"/>
        <w:divId w:val="1383793229"/>
        <w:rPr>
          <w:rFonts w:eastAsia="Times New Roman"/>
        </w:rPr>
      </w:pPr>
      <w:r>
        <w:rPr>
          <w:rFonts w:eastAsia="Times New Roman"/>
          <w:color w:val="000000"/>
          <w:sz w:val="20"/>
          <w:szCs w:val="20"/>
        </w:rPr>
        <w:t>•</w:t>
      </w:r>
      <w:r>
        <w:rPr>
          <w:rFonts w:eastAsia="Times New Roman"/>
          <w:color w:val="000000"/>
          <w:sz w:val="20"/>
          <w:szCs w:val="20"/>
        </w:rPr>
        <w:t>Optimizing the value of the commercial parts distribution business in certain high-volume core markets</w:t>
      </w:r>
      <w:r>
        <w:rPr>
          <w:rFonts w:eastAsia="Times New Roman"/>
          <w:color w:val="000000"/>
          <w:sz w:val="20"/>
          <w:szCs w:val="20"/>
        </w:rPr>
        <w:t>;</w:t>
      </w:r>
    </w:p>
    <w:p w14:paraId="2B26332B" w14:textId="77777777" w:rsidR="00000000" w:rsidRDefault="00195E73">
      <w:pPr>
        <w:ind w:hanging="180"/>
        <w:divId w:val="1312905948"/>
        <w:rPr>
          <w:rFonts w:eastAsia="Times New Roman"/>
        </w:rPr>
      </w:pPr>
      <w:r>
        <w:rPr>
          <w:rFonts w:eastAsia="Times New Roman"/>
          <w:color w:val="000000"/>
          <w:sz w:val="20"/>
          <w:szCs w:val="20"/>
        </w:rPr>
        <w:t>•</w:t>
      </w:r>
      <w:r>
        <w:rPr>
          <w:rFonts w:eastAsia="Times New Roman"/>
          <w:color w:val="000000"/>
          <w:sz w:val="20"/>
          <w:szCs w:val="20"/>
        </w:rPr>
        <w:t>Exiting the automotive parts distribution business in certain low volume, non-core markets</w:t>
      </w:r>
      <w:r>
        <w:rPr>
          <w:rFonts w:eastAsia="Times New Roman"/>
          <w:color w:val="000000"/>
          <w:sz w:val="20"/>
          <w:szCs w:val="20"/>
        </w:rPr>
        <w:t>;</w:t>
      </w:r>
    </w:p>
    <w:p w14:paraId="7385CC77" w14:textId="77777777" w:rsidR="00000000" w:rsidRDefault="00195E73">
      <w:pPr>
        <w:ind w:hanging="180"/>
        <w:divId w:val="1042828930"/>
        <w:rPr>
          <w:rFonts w:eastAsia="Times New Roman"/>
        </w:rPr>
      </w:pPr>
      <w:r>
        <w:rPr>
          <w:rFonts w:eastAsia="Times New Roman"/>
          <w:color w:val="000000"/>
          <w:sz w:val="20"/>
          <w:szCs w:val="20"/>
        </w:rPr>
        <w:t>•</w:t>
      </w:r>
      <w:r>
        <w:rPr>
          <w:rFonts w:eastAsia="Times New Roman"/>
          <w:color w:val="000000"/>
          <w:sz w:val="20"/>
          <w:szCs w:val="20"/>
        </w:rPr>
        <w:t>Improving inventory management across Icahn Automotive’s parts and tire distribution network</w:t>
      </w:r>
      <w:r>
        <w:rPr>
          <w:rFonts w:eastAsia="Times New Roman"/>
          <w:color w:val="000000"/>
          <w:sz w:val="20"/>
          <w:szCs w:val="20"/>
        </w:rPr>
        <w:t>;</w:t>
      </w:r>
    </w:p>
    <w:p w14:paraId="6F01D4E2" w14:textId="77777777" w:rsidR="00000000" w:rsidRDefault="00195E73">
      <w:pPr>
        <w:ind w:hanging="180"/>
        <w:divId w:val="1969973946"/>
        <w:rPr>
          <w:rFonts w:eastAsia="Times New Roman"/>
        </w:rPr>
      </w:pPr>
      <w:r>
        <w:rPr>
          <w:rFonts w:eastAsia="Times New Roman"/>
          <w:color w:val="000000"/>
          <w:sz w:val="20"/>
          <w:szCs w:val="20"/>
        </w:rPr>
        <w:t>•</w:t>
      </w:r>
      <w:r>
        <w:rPr>
          <w:rFonts w:eastAsia="Times New Roman"/>
          <w:color w:val="000000"/>
          <w:sz w:val="20"/>
          <w:szCs w:val="20"/>
        </w:rPr>
        <w:t>Select digital initiatives that support revenue growth</w:t>
      </w:r>
      <w:r>
        <w:rPr>
          <w:rFonts w:eastAsia="Times New Roman"/>
          <w:color w:val="000000"/>
          <w:sz w:val="20"/>
          <w:szCs w:val="20"/>
        </w:rPr>
        <w:t>;</w:t>
      </w:r>
    </w:p>
    <w:p w14:paraId="3450D26C" w14:textId="77777777" w:rsidR="00000000" w:rsidRDefault="00195E73">
      <w:pPr>
        <w:ind w:hanging="180"/>
        <w:divId w:val="115949992"/>
        <w:rPr>
          <w:rFonts w:eastAsia="Times New Roman"/>
        </w:rPr>
      </w:pPr>
      <w:r>
        <w:rPr>
          <w:rFonts w:eastAsia="Times New Roman"/>
          <w:color w:val="000000"/>
          <w:sz w:val="20"/>
          <w:szCs w:val="20"/>
        </w:rPr>
        <w:t>•</w:t>
      </w:r>
      <w:r>
        <w:rPr>
          <w:rFonts w:eastAsia="Times New Roman"/>
          <w:color w:val="000000"/>
          <w:sz w:val="20"/>
          <w:szCs w:val="20"/>
        </w:rPr>
        <w:t>Investment</w:t>
      </w:r>
      <w:r>
        <w:rPr>
          <w:rFonts w:eastAsia="Times New Roman"/>
          <w:color w:val="000000"/>
          <w:sz w:val="20"/>
          <w:szCs w:val="20"/>
        </w:rPr>
        <w:t xml:space="preserve"> in customer experience initiatives such as enhanced customer loyalty programs and selective upgrades in facilities</w:t>
      </w:r>
      <w:r>
        <w:rPr>
          <w:rFonts w:eastAsia="Times New Roman"/>
          <w:color w:val="000000"/>
          <w:sz w:val="20"/>
          <w:szCs w:val="20"/>
        </w:rPr>
        <w:t>;</w:t>
      </w:r>
    </w:p>
    <w:p w14:paraId="1BA53781" w14:textId="77777777" w:rsidR="00000000" w:rsidRDefault="00195E73">
      <w:pPr>
        <w:ind w:hanging="180"/>
        <w:divId w:val="1672096819"/>
        <w:rPr>
          <w:rFonts w:eastAsia="Times New Roman"/>
        </w:rPr>
      </w:pPr>
      <w:r>
        <w:rPr>
          <w:rFonts w:eastAsia="Times New Roman"/>
          <w:color w:val="000000"/>
          <w:sz w:val="20"/>
          <w:szCs w:val="20"/>
        </w:rPr>
        <w:t>•</w:t>
      </w:r>
      <w:r>
        <w:rPr>
          <w:rFonts w:eastAsia="Times New Roman"/>
          <w:color w:val="000000"/>
          <w:sz w:val="20"/>
          <w:szCs w:val="20"/>
        </w:rPr>
        <w:t>Investment in employees with focus on training and career development investments; an</w:t>
      </w:r>
      <w:r>
        <w:rPr>
          <w:rFonts w:eastAsia="Times New Roman"/>
          <w:color w:val="000000"/>
          <w:sz w:val="20"/>
          <w:szCs w:val="20"/>
        </w:rPr>
        <w:t>d</w:t>
      </w:r>
    </w:p>
    <w:p w14:paraId="2C4F012B" w14:textId="77777777" w:rsidR="00000000" w:rsidRDefault="00195E73">
      <w:pPr>
        <w:ind w:hanging="180"/>
        <w:divId w:val="801267673"/>
        <w:rPr>
          <w:rFonts w:eastAsia="Times New Roman"/>
        </w:rPr>
      </w:pPr>
      <w:r>
        <w:rPr>
          <w:rFonts w:eastAsia="Times New Roman"/>
          <w:color w:val="000000"/>
          <w:sz w:val="20"/>
          <w:szCs w:val="20"/>
        </w:rPr>
        <w:t>•</w:t>
      </w:r>
      <w:r>
        <w:rPr>
          <w:rFonts w:eastAsia="Times New Roman"/>
          <w:color w:val="000000"/>
          <w:sz w:val="20"/>
          <w:szCs w:val="20"/>
        </w:rPr>
        <w:t>Business process improvements, including investments in our supply chain and information technology capabilities</w:t>
      </w:r>
      <w:r>
        <w:rPr>
          <w:rFonts w:eastAsia="Times New Roman"/>
          <w:color w:val="000000"/>
          <w:sz w:val="20"/>
          <w:szCs w:val="20"/>
        </w:rPr>
        <w:t>.</w:t>
      </w:r>
    </w:p>
    <w:p w14:paraId="6DEC9606" w14:textId="77777777" w:rsidR="00000000" w:rsidRDefault="00195E73">
      <w:pPr>
        <w:ind w:firstLine="405"/>
        <w:divId w:val="466581971"/>
        <w:rPr>
          <w:rFonts w:eastAsia="Times New Roman"/>
        </w:rPr>
      </w:pPr>
    </w:p>
    <w:p w14:paraId="2844685B" w14:textId="77777777" w:rsidR="00000000" w:rsidRDefault="00195E73">
      <w:pPr>
        <w:ind w:firstLine="405"/>
        <w:divId w:val="1050376255"/>
        <w:rPr>
          <w:rFonts w:eastAsia="Times New Roman"/>
        </w:rPr>
      </w:pPr>
      <w:r>
        <w:rPr>
          <w:rFonts w:eastAsia="Times New Roman"/>
          <w:color w:val="000000"/>
          <w:sz w:val="20"/>
          <w:szCs w:val="20"/>
        </w:rPr>
        <w:t>The following table presents our Automotive segment’</w:t>
      </w:r>
      <w:r>
        <w:rPr>
          <w:rFonts w:eastAsia="Times New Roman"/>
          <w:color w:val="000000"/>
          <w:sz w:val="20"/>
          <w:szCs w:val="20"/>
        </w:rPr>
        <w:t>s operating revenue, cost of revenue and gross margin. Our Automotive segment’s results of operations also include automotive services labor. Automotive services labor revenues are included in other revenues from operations in our consolidated statements o</w:t>
      </w:r>
      <w:r>
        <w:rPr>
          <w:rFonts w:eastAsia="Times New Roman"/>
          <w:color w:val="000000"/>
          <w:sz w:val="20"/>
          <w:szCs w:val="20"/>
        </w:rPr>
        <w:t>f operations; however, the sale of any installed parts or materials related to automotive services are included in net sales. Therefore, we discuss the combined results of our automotive net sales and automotive services labor revenues below</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331"/>
        <w:gridCol w:w="40"/>
        <w:gridCol w:w="135"/>
        <w:gridCol w:w="875"/>
        <w:gridCol w:w="85"/>
        <w:gridCol w:w="36"/>
        <w:gridCol w:w="36"/>
        <w:gridCol w:w="36"/>
        <w:gridCol w:w="135"/>
        <w:gridCol w:w="843"/>
        <w:gridCol w:w="85"/>
        <w:gridCol w:w="36"/>
        <w:gridCol w:w="36"/>
        <w:gridCol w:w="36"/>
        <w:gridCol w:w="135"/>
        <w:gridCol w:w="844"/>
        <w:gridCol w:w="85"/>
        <w:gridCol w:w="36"/>
        <w:gridCol w:w="36"/>
        <w:gridCol w:w="36"/>
        <w:gridCol w:w="36"/>
        <w:gridCol w:w="36"/>
        <w:gridCol w:w="36"/>
        <w:gridCol w:w="36"/>
        <w:gridCol w:w="36"/>
        <w:gridCol w:w="36"/>
        <w:gridCol w:w="36"/>
        <w:gridCol w:w="36"/>
        <w:gridCol w:w="36"/>
      </w:tblGrid>
      <w:tr w:rsidR="00000000" w14:paraId="7EC07753" w14:textId="77777777">
        <w:trPr>
          <w:gridAfter w:val="12"/>
          <w:divId w:val="867717940"/>
          <w:jc w:val="center"/>
        </w:trPr>
        <w:tc>
          <w:tcPr>
            <w:tcW w:w="50" w:type="pct"/>
            <w:vAlign w:val="center"/>
            <w:hideMark/>
          </w:tcPr>
          <w:p w14:paraId="63642E6B" w14:textId="77777777" w:rsidR="00000000" w:rsidRDefault="00195E73">
            <w:pPr>
              <w:ind w:firstLine="405"/>
              <w:rPr>
                <w:rFonts w:eastAsia="Times New Roman"/>
              </w:rPr>
            </w:pPr>
          </w:p>
        </w:tc>
        <w:tc>
          <w:tcPr>
            <w:tcW w:w="2781" w:type="pct"/>
            <w:vAlign w:val="center"/>
            <w:hideMark/>
          </w:tcPr>
          <w:p w14:paraId="1555A407" w14:textId="77777777" w:rsidR="00000000" w:rsidRDefault="00195E73">
            <w:pPr>
              <w:rPr>
                <w:rFonts w:eastAsia="Times New Roman"/>
                <w:sz w:val="20"/>
                <w:szCs w:val="20"/>
              </w:rPr>
            </w:pPr>
          </w:p>
        </w:tc>
        <w:tc>
          <w:tcPr>
            <w:tcW w:w="50" w:type="pct"/>
            <w:vAlign w:val="center"/>
            <w:hideMark/>
          </w:tcPr>
          <w:p w14:paraId="11825C44" w14:textId="77777777" w:rsidR="00000000" w:rsidRDefault="00195E73">
            <w:pPr>
              <w:rPr>
                <w:rFonts w:eastAsia="Times New Roman"/>
                <w:sz w:val="20"/>
                <w:szCs w:val="20"/>
              </w:rPr>
            </w:pPr>
          </w:p>
        </w:tc>
        <w:tc>
          <w:tcPr>
            <w:tcW w:w="50" w:type="pct"/>
            <w:vAlign w:val="center"/>
            <w:hideMark/>
          </w:tcPr>
          <w:p w14:paraId="511A4743" w14:textId="77777777" w:rsidR="00000000" w:rsidRDefault="00195E73">
            <w:pPr>
              <w:rPr>
                <w:rFonts w:eastAsia="Times New Roman"/>
                <w:sz w:val="20"/>
                <w:szCs w:val="20"/>
              </w:rPr>
            </w:pPr>
          </w:p>
        </w:tc>
        <w:tc>
          <w:tcPr>
            <w:tcW w:w="581" w:type="pct"/>
            <w:vAlign w:val="center"/>
            <w:hideMark/>
          </w:tcPr>
          <w:p w14:paraId="782CB5C5" w14:textId="77777777" w:rsidR="00000000" w:rsidRDefault="00195E73">
            <w:pPr>
              <w:rPr>
                <w:rFonts w:eastAsia="Times New Roman"/>
                <w:sz w:val="20"/>
                <w:szCs w:val="20"/>
              </w:rPr>
            </w:pPr>
          </w:p>
        </w:tc>
        <w:tc>
          <w:tcPr>
            <w:tcW w:w="50" w:type="pct"/>
            <w:vAlign w:val="center"/>
            <w:hideMark/>
          </w:tcPr>
          <w:p w14:paraId="66463E00" w14:textId="77777777" w:rsidR="00000000" w:rsidRDefault="00195E73">
            <w:pPr>
              <w:rPr>
                <w:rFonts w:eastAsia="Times New Roman"/>
                <w:sz w:val="20"/>
                <w:szCs w:val="20"/>
              </w:rPr>
            </w:pPr>
          </w:p>
        </w:tc>
        <w:tc>
          <w:tcPr>
            <w:tcW w:w="5" w:type="pct"/>
            <w:vAlign w:val="center"/>
            <w:hideMark/>
          </w:tcPr>
          <w:p w14:paraId="2FC57485" w14:textId="77777777" w:rsidR="00000000" w:rsidRDefault="00195E73">
            <w:pPr>
              <w:rPr>
                <w:rFonts w:eastAsia="Times New Roman"/>
                <w:sz w:val="20"/>
                <w:szCs w:val="20"/>
              </w:rPr>
            </w:pPr>
          </w:p>
        </w:tc>
        <w:tc>
          <w:tcPr>
            <w:tcW w:w="26" w:type="pct"/>
            <w:vAlign w:val="center"/>
            <w:hideMark/>
          </w:tcPr>
          <w:p w14:paraId="4513E915" w14:textId="77777777" w:rsidR="00000000" w:rsidRDefault="00195E73">
            <w:pPr>
              <w:rPr>
                <w:rFonts w:eastAsia="Times New Roman"/>
                <w:sz w:val="20"/>
                <w:szCs w:val="20"/>
              </w:rPr>
            </w:pPr>
          </w:p>
        </w:tc>
        <w:tc>
          <w:tcPr>
            <w:tcW w:w="5" w:type="pct"/>
            <w:vAlign w:val="center"/>
            <w:hideMark/>
          </w:tcPr>
          <w:p w14:paraId="27E1B182" w14:textId="77777777" w:rsidR="00000000" w:rsidRDefault="00195E73">
            <w:pPr>
              <w:rPr>
                <w:rFonts w:eastAsia="Times New Roman"/>
                <w:sz w:val="20"/>
                <w:szCs w:val="20"/>
              </w:rPr>
            </w:pPr>
          </w:p>
        </w:tc>
        <w:tc>
          <w:tcPr>
            <w:tcW w:w="50" w:type="pct"/>
            <w:vAlign w:val="center"/>
            <w:hideMark/>
          </w:tcPr>
          <w:p w14:paraId="18638AC4" w14:textId="77777777" w:rsidR="00000000" w:rsidRDefault="00195E73">
            <w:pPr>
              <w:rPr>
                <w:rFonts w:eastAsia="Times New Roman"/>
                <w:sz w:val="20"/>
                <w:szCs w:val="20"/>
              </w:rPr>
            </w:pPr>
          </w:p>
        </w:tc>
        <w:tc>
          <w:tcPr>
            <w:tcW w:w="581" w:type="pct"/>
            <w:vAlign w:val="center"/>
            <w:hideMark/>
          </w:tcPr>
          <w:p w14:paraId="3DCF4012" w14:textId="77777777" w:rsidR="00000000" w:rsidRDefault="00195E73">
            <w:pPr>
              <w:rPr>
                <w:rFonts w:eastAsia="Times New Roman"/>
                <w:sz w:val="20"/>
                <w:szCs w:val="20"/>
              </w:rPr>
            </w:pPr>
          </w:p>
        </w:tc>
        <w:tc>
          <w:tcPr>
            <w:tcW w:w="50" w:type="pct"/>
            <w:vAlign w:val="center"/>
            <w:hideMark/>
          </w:tcPr>
          <w:p w14:paraId="52D9B539" w14:textId="77777777" w:rsidR="00000000" w:rsidRDefault="00195E73">
            <w:pPr>
              <w:rPr>
                <w:rFonts w:eastAsia="Times New Roman"/>
                <w:sz w:val="20"/>
                <w:szCs w:val="20"/>
              </w:rPr>
            </w:pPr>
          </w:p>
        </w:tc>
        <w:tc>
          <w:tcPr>
            <w:tcW w:w="5" w:type="pct"/>
            <w:vAlign w:val="center"/>
            <w:hideMark/>
          </w:tcPr>
          <w:p w14:paraId="050A3EE0" w14:textId="77777777" w:rsidR="00000000" w:rsidRDefault="00195E73">
            <w:pPr>
              <w:rPr>
                <w:rFonts w:eastAsia="Times New Roman"/>
                <w:sz w:val="20"/>
                <w:szCs w:val="20"/>
              </w:rPr>
            </w:pPr>
          </w:p>
        </w:tc>
        <w:tc>
          <w:tcPr>
            <w:tcW w:w="26" w:type="pct"/>
            <w:vAlign w:val="center"/>
            <w:hideMark/>
          </w:tcPr>
          <w:p w14:paraId="751AD1D1" w14:textId="77777777" w:rsidR="00000000" w:rsidRDefault="00195E73">
            <w:pPr>
              <w:rPr>
                <w:rFonts w:eastAsia="Times New Roman"/>
                <w:sz w:val="20"/>
                <w:szCs w:val="20"/>
              </w:rPr>
            </w:pPr>
          </w:p>
        </w:tc>
        <w:tc>
          <w:tcPr>
            <w:tcW w:w="5" w:type="pct"/>
            <w:vAlign w:val="center"/>
            <w:hideMark/>
          </w:tcPr>
          <w:p w14:paraId="20F032D8" w14:textId="77777777" w:rsidR="00000000" w:rsidRDefault="00195E73">
            <w:pPr>
              <w:rPr>
                <w:rFonts w:eastAsia="Times New Roman"/>
                <w:sz w:val="20"/>
                <w:szCs w:val="20"/>
              </w:rPr>
            </w:pPr>
          </w:p>
        </w:tc>
        <w:tc>
          <w:tcPr>
            <w:tcW w:w="50" w:type="pct"/>
            <w:vAlign w:val="center"/>
            <w:hideMark/>
          </w:tcPr>
          <w:p w14:paraId="39DB3BF2" w14:textId="77777777" w:rsidR="00000000" w:rsidRDefault="00195E73">
            <w:pPr>
              <w:rPr>
                <w:rFonts w:eastAsia="Times New Roman"/>
                <w:sz w:val="20"/>
                <w:szCs w:val="20"/>
              </w:rPr>
            </w:pPr>
          </w:p>
        </w:tc>
        <w:tc>
          <w:tcPr>
            <w:tcW w:w="581" w:type="pct"/>
            <w:vAlign w:val="center"/>
            <w:hideMark/>
          </w:tcPr>
          <w:p w14:paraId="2A978496" w14:textId="77777777" w:rsidR="00000000" w:rsidRDefault="00195E73">
            <w:pPr>
              <w:rPr>
                <w:rFonts w:eastAsia="Times New Roman"/>
                <w:sz w:val="20"/>
                <w:szCs w:val="20"/>
              </w:rPr>
            </w:pPr>
          </w:p>
        </w:tc>
        <w:tc>
          <w:tcPr>
            <w:tcW w:w="50" w:type="pct"/>
            <w:vAlign w:val="center"/>
            <w:hideMark/>
          </w:tcPr>
          <w:p w14:paraId="11C647E3" w14:textId="77777777" w:rsidR="00000000" w:rsidRDefault="00195E73">
            <w:pPr>
              <w:rPr>
                <w:rFonts w:eastAsia="Times New Roman"/>
                <w:sz w:val="20"/>
                <w:szCs w:val="20"/>
              </w:rPr>
            </w:pPr>
          </w:p>
        </w:tc>
      </w:tr>
      <w:tr w:rsidR="00000000" w14:paraId="7DD243E3" w14:textId="77777777">
        <w:trPr>
          <w:divId w:val="867717940"/>
          <w:jc w:val="center"/>
        </w:trPr>
        <w:tc>
          <w:tcPr>
            <w:tcW w:w="0" w:type="auto"/>
            <w:gridSpan w:val="3"/>
            <w:tcMar>
              <w:top w:w="15" w:type="dxa"/>
              <w:left w:w="20" w:type="dxa"/>
              <w:bottom w:w="15" w:type="dxa"/>
              <w:right w:w="20" w:type="dxa"/>
            </w:tcMar>
            <w:vAlign w:val="bottom"/>
            <w:hideMark/>
          </w:tcPr>
          <w:p w14:paraId="38AE9D45"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1DD42C1F"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6FAD62BF" w14:textId="77777777" w:rsidR="00000000" w:rsidRDefault="00195E73">
            <w:pPr>
              <w:jc w:val="center"/>
              <w:rPr>
                <w:rFonts w:eastAsia="Times New Roman"/>
              </w:rPr>
            </w:pPr>
          </w:p>
        </w:tc>
        <w:tc>
          <w:tcPr>
            <w:tcW w:w="0" w:type="auto"/>
            <w:gridSpan w:val="3"/>
            <w:vAlign w:val="center"/>
            <w:hideMark/>
          </w:tcPr>
          <w:p w14:paraId="69B23025" w14:textId="77777777" w:rsidR="00000000" w:rsidRDefault="00195E73">
            <w:pPr>
              <w:rPr>
                <w:rFonts w:eastAsia="Times New Roman"/>
                <w:sz w:val="20"/>
                <w:szCs w:val="20"/>
              </w:rPr>
            </w:pPr>
          </w:p>
        </w:tc>
        <w:tc>
          <w:tcPr>
            <w:tcW w:w="0" w:type="auto"/>
            <w:gridSpan w:val="3"/>
            <w:vAlign w:val="center"/>
            <w:hideMark/>
          </w:tcPr>
          <w:p w14:paraId="73EDF7E5" w14:textId="77777777" w:rsidR="00000000" w:rsidRDefault="00195E73">
            <w:pPr>
              <w:rPr>
                <w:rFonts w:eastAsia="Times New Roman"/>
                <w:sz w:val="20"/>
                <w:szCs w:val="20"/>
              </w:rPr>
            </w:pPr>
          </w:p>
        </w:tc>
        <w:tc>
          <w:tcPr>
            <w:tcW w:w="0" w:type="auto"/>
            <w:gridSpan w:val="3"/>
            <w:vAlign w:val="center"/>
            <w:hideMark/>
          </w:tcPr>
          <w:p w14:paraId="0B4C0115" w14:textId="77777777" w:rsidR="00000000" w:rsidRDefault="00195E73">
            <w:pPr>
              <w:rPr>
                <w:rFonts w:eastAsia="Times New Roman"/>
                <w:sz w:val="20"/>
                <w:szCs w:val="20"/>
              </w:rPr>
            </w:pPr>
          </w:p>
        </w:tc>
      </w:tr>
      <w:tr w:rsidR="00000000" w14:paraId="098F6D32" w14:textId="77777777">
        <w:trPr>
          <w:divId w:val="867717940"/>
          <w:jc w:val="center"/>
        </w:trPr>
        <w:tc>
          <w:tcPr>
            <w:tcW w:w="0" w:type="auto"/>
            <w:gridSpan w:val="3"/>
            <w:tcMar>
              <w:top w:w="15" w:type="dxa"/>
              <w:left w:w="20" w:type="dxa"/>
              <w:bottom w:w="15" w:type="dxa"/>
              <w:right w:w="20" w:type="dxa"/>
            </w:tcMar>
            <w:vAlign w:val="bottom"/>
            <w:hideMark/>
          </w:tcPr>
          <w:p w14:paraId="068363B0"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994131A"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40ADC72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5BEF79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6A2C56E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20FDFD2"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760A62B0" w14:textId="77777777" w:rsidR="00000000" w:rsidRDefault="00195E73">
            <w:pPr>
              <w:rPr>
                <w:rFonts w:eastAsia="Times New Roman"/>
                <w:sz w:val="20"/>
                <w:szCs w:val="20"/>
              </w:rPr>
            </w:pPr>
          </w:p>
        </w:tc>
        <w:tc>
          <w:tcPr>
            <w:tcW w:w="0" w:type="auto"/>
            <w:vAlign w:val="center"/>
            <w:hideMark/>
          </w:tcPr>
          <w:p w14:paraId="0778ED42" w14:textId="77777777" w:rsidR="00000000" w:rsidRDefault="00195E73">
            <w:pPr>
              <w:rPr>
                <w:rFonts w:eastAsia="Times New Roman"/>
                <w:sz w:val="20"/>
                <w:szCs w:val="20"/>
              </w:rPr>
            </w:pPr>
          </w:p>
        </w:tc>
        <w:tc>
          <w:tcPr>
            <w:tcW w:w="0" w:type="auto"/>
            <w:vAlign w:val="center"/>
            <w:hideMark/>
          </w:tcPr>
          <w:p w14:paraId="45329F12" w14:textId="77777777" w:rsidR="00000000" w:rsidRDefault="00195E73">
            <w:pPr>
              <w:rPr>
                <w:rFonts w:eastAsia="Times New Roman"/>
                <w:sz w:val="20"/>
                <w:szCs w:val="20"/>
              </w:rPr>
            </w:pPr>
          </w:p>
        </w:tc>
        <w:tc>
          <w:tcPr>
            <w:tcW w:w="0" w:type="auto"/>
            <w:vAlign w:val="center"/>
            <w:hideMark/>
          </w:tcPr>
          <w:p w14:paraId="420D41D1" w14:textId="77777777" w:rsidR="00000000" w:rsidRDefault="00195E73">
            <w:pPr>
              <w:rPr>
                <w:rFonts w:eastAsia="Times New Roman"/>
                <w:sz w:val="20"/>
                <w:szCs w:val="20"/>
              </w:rPr>
            </w:pPr>
          </w:p>
        </w:tc>
        <w:tc>
          <w:tcPr>
            <w:tcW w:w="0" w:type="auto"/>
            <w:vAlign w:val="center"/>
            <w:hideMark/>
          </w:tcPr>
          <w:p w14:paraId="11A2C552" w14:textId="77777777" w:rsidR="00000000" w:rsidRDefault="00195E73">
            <w:pPr>
              <w:rPr>
                <w:rFonts w:eastAsia="Times New Roman"/>
                <w:sz w:val="20"/>
                <w:szCs w:val="20"/>
              </w:rPr>
            </w:pPr>
          </w:p>
        </w:tc>
        <w:tc>
          <w:tcPr>
            <w:tcW w:w="0" w:type="auto"/>
            <w:vAlign w:val="center"/>
            <w:hideMark/>
          </w:tcPr>
          <w:p w14:paraId="2C789ED3" w14:textId="77777777" w:rsidR="00000000" w:rsidRDefault="00195E73">
            <w:pPr>
              <w:rPr>
                <w:rFonts w:eastAsia="Times New Roman"/>
                <w:sz w:val="20"/>
                <w:szCs w:val="20"/>
              </w:rPr>
            </w:pPr>
          </w:p>
        </w:tc>
        <w:tc>
          <w:tcPr>
            <w:tcW w:w="0" w:type="auto"/>
            <w:vAlign w:val="center"/>
            <w:hideMark/>
          </w:tcPr>
          <w:p w14:paraId="2A71DBCC" w14:textId="77777777" w:rsidR="00000000" w:rsidRDefault="00195E73">
            <w:pPr>
              <w:rPr>
                <w:rFonts w:eastAsia="Times New Roman"/>
                <w:sz w:val="20"/>
                <w:szCs w:val="20"/>
              </w:rPr>
            </w:pPr>
          </w:p>
        </w:tc>
        <w:tc>
          <w:tcPr>
            <w:tcW w:w="0" w:type="auto"/>
            <w:vAlign w:val="center"/>
            <w:hideMark/>
          </w:tcPr>
          <w:p w14:paraId="6D09DE19" w14:textId="77777777" w:rsidR="00000000" w:rsidRDefault="00195E73">
            <w:pPr>
              <w:rPr>
                <w:rFonts w:eastAsia="Times New Roman"/>
                <w:sz w:val="20"/>
                <w:szCs w:val="20"/>
              </w:rPr>
            </w:pPr>
          </w:p>
        </w:tc>
        <w:tc>
          <w:tcPr>
            <w:tcW w:w="0" w:type="auto"/>
            <w:vAlign w:val="center"/>
            <w:hideMark/>
          </w:tcPr>
          <w:p w14:paraId="2E9A5FBE" w14:textId="77777777" w:rsidR="00000000" w:rsidRDefault="00195E73">
            <w:pPr>
              <w:rPr>
                <w:rFonts w:eastAsia="Times New Roman"/>
                <w:sz w:val="20"/>
                <w:szCs w:val="20"/>
              </w:rPr>
            </w:pPr>
          </w:p>
        </w:tc>
        <w:tc>
          <w:tcPr>
            <w:tcW w:w="0" w:type="auto"/>
            <w:vAlign w:val="center"/>
            <w:hideMark/>
          </w:tcPr>
          <w:p w14:paraId="7357BCD5" w14:textId="77777777" w:rsidR="00000000" w:rsidRDefault="00195E73">
            <w:pPr>
              <w:rPr>
                <w:rFonts w:eastAsia="Times New Roman"/>
                <w:sz w:val="20"/>
                <w:szCs w:val="20"/>
              </w:rPr>
            </w:pPr>
          </w:p>
        </w:tc>
        <w:tc>
          <w:tcPr>
            <w:tcW w:w="0" w:type="auto"/>
            <w:vAlign w:val="center"/>
            <w:hideMark/>
          </w:tcPr>
          <w:p w14:paraId="07F43C28" w14:textId="77777777" w:rsidR="00000000" w:rsidRDefault="00195E73">
            <w:pPr>
              <w:rPr>
                <w:rFonts w:eastAsia="Times New Roman"/>
                <w:sz w:val="20"/>
                <w:szCs w:val="20"/>
              </w:rPr>
            </w:pPr>
          </w:p>
        </w:tc>
        <w:tc>
          <w:tcPr>
            <w:tcW w:w="0" w:type="auto"/>
            <w:vAlign w:val="center"/>
            <w:hideMark/>
          </w:tcPr>
          <w:p w14:paraId="3FB478EA" w14:textId="77777777" w:rsidR="00000000" w:rsidRDefault="00195E73">
            <w:pPr>
              <w:rPr>
                <w:rFonts w:eastAsia="Times New Roman"/>
                <w:sz w:val="20"/>
                <w:szCs w:val="20"/>
              </w:rPr>
            </w:pPr>
          </w:p>
        </w:tc>
      </w:tr>
      <w:tr w:rsidR="00000000" w14:paraId="39717D36" w14:textId="77777777">
        <w:trPr>
          <w:divId w:val="867717940"/>
          <w:jc w:val="center"/>
        </w:trPr>
        <w:tc>
          <w:tcPr>
            <w:tcW w:w="0" w:type="auto"/>
            <w:gridSpan w:val="3"/>
            <w:tcMar>
              <w:top w:w="15" w:type="dxa"/>
              <w:left w:w="20" w:type="dxa"/>
              <w:bottom w:w="15" w:type="dxa"/>
              <w:right w:w="20" w:type="dxa"/>
            </w:tcMar>
            <w:vAlign w:val="bottom"/>
            <w:hideMark/>
          </w:tcPr>
          <w:p w14:paraId="5E5CD5E1"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A85F3DA"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6FE8C73C" w14:textId="77777777" w:rsidR="00000000" w:rsidRDefault="00195E73">
            <w:pPr>
              <w:jc w:val="center"/>
              <w:rPr>
                <w:rFonts w:eastAsia="Times New Roman"/>
              </w:rPr>
            </w:pPr>
          </w:p>
        </w:tc>
        <w:tc>
          <w:tcPr>
            <w:tcW w:w="0" w:type="auto"/>
            <w:gridSpan w:val="3"/>
            <w:vAlign w:val="center"/>
            <w:hideMark/>
          </w:tcPr>
          <w:p w14:paraId="50304F38" w14:textId="77777777" w:rsidR="00000000" w:rsidRDefault="00195E73">
            <w:pPr>
              <w:rPr>
                <w:rFonts w:eastAsia="Times New Roman"/>
                <w:sz w:val="20"/>
                <w:szCs w:val="20"/>
              </w:rPr>
            </w:pPr>
          </w:p>
        </w:tc>
        <w:tc>
          <w:tcPr>
            <w:tcW w:w="0" w:type="auto"/>
            <w:gridSpan w:val="3"/>
            <w:vAlign w:val="center"/>
            <w:hideMark/>
          </w:tcPr>
          <w:p w14:paraId="685BEC16" w14:textId="77777777" w:rsidR="00000000" w:rsidRDefault="00195E73">
            <w:pPr>
              <w:rPr>
                <w:rFonts w:eastAsia="Times New Roman"/>
                <w:sz w:val="20"/>
                <w:szCs w:val="20"/>
              </w:rPr>
            </w:pPr>
          </w:p>
        </w:tc>
        <w:tc>
          <w:tcPr>
            <w:tcW w:w="0" w:type="auto"/>
            <w:gridSpan w:val="3"/>
            <w:vAlign w:val="center"/>
            <w:hideMark/>
          </w:tcPr>
          <w:p w14:paraId="297CF28B" w14:textId="77777777" w:rsidR="00000000" w:rsidRDefault="00195E73">
            <w:pPr>
              <w:rPr>
                <w:rFonts w:eastAsia="Times New Roman"/>
                <w:sz w:val="20"/>
                <w:szCs w:val="20"/>
              </w:rPr>
            </w:pPr>
          </w:p>
        </w:tc>
      </w:tr>
      <w:tr w:rsidR="00000000" w14:paraId="040FFF23" w14:textId="77777777">
        <w:trPr>
          <w:divId w:val="867717940"/>
          <w:jc w:val="center"/>
        </w:trPr>
        <w:tc>
          <w:tcPr>
            <w:tcW w:w="0" w:type="auto"/>
            <w:gridSpan w:val="3"/>
            <w:vAlign w:val="center"/>
            <w:hideMark/>
          </w:tcPr>
          <w:p w14:paraId="51DD5BBB" w14:textId="77777777" w:rsidR="00000000" w:rsidRDefault="00195E73">
            <w:pPr>
              <w:rPr>
                <w:rFonts w:eastAsia="Times New Roman"/>
                <w:sz w:val="20"/>
                <w:szCs w:val="20"/>
              </w:rPr>
            </w:pPr>
          </w:p>
        </w:tc>
        <w:tc>
          <w:tcPr>
            <w:tcW w:w="0" w:type="auto"/>
            <w:gridSpan w:val="3"/>
            <w:vAlign w:val="center"/>
            <w:hideMark/>
          </w:tcPr>
          <w:p w14:paraId="3414E9FA" w14:textId="77777777" w:rsidR="00000000" w:rsidRDefault="00195E73">
            <w:pPr>
              <w:rPr>
                <w:rFonts w:eastAsia="Times New Roman"/>
                <w:sz w:val="20"/>
                <w:szCs w:val="20"/>
              </w:rPr>
            </w:pPr>
          </w:p>
        </w:tc>
        <w:tc>
          <w:tcPr>
            <w:tcW w:w="0" w:type="auto"/>
            <w:gridSpan w:val="3"/>
            <w:vAlign w:val="center"/>
            <w:hideMark/>
          </w:tcPr>
          <w:p w14:paraId="2160FBE1" w14:textId="77777777" w:rsidR="00000000" w:rsidRDefault="00195E73">
            <w:pPr>
              <w:rPr>
                <w:rFonts w:eastAsia="Times New Roman"/>
                <w:sz w:val="20"/>
                <w:szCs w:val="20"/>
              </w:rPr>
            </w:pPr>
          </w:p>
        </w:tc>
        <w:tc>
          <w:tcPr>
            <w:tcW w:w="0" w:type="auto"/>
            <w:gridSpan w:val="3"/>
            <w:vAlign w:val="center"/>
            <w:hideMark/>
          </w:tcPr>
          <w:p w14:paraId="20ABBB56" w14:textId="77777777" w:rsidR="00000000" w:rsidRDefault="00195E73">
            <w:pPr>
              <w:rPr>
                <w:rFonts w:eastAsia="Times New Roman"/>
                <w:sz w:val="20"/>
                <w:szCs w:val="20"/>
              </w:rPr>
            </w:pPr>
          </w:p>
        </w:tc>
        <w:tc>
          <w:tcPr>
            <w:tcW w:w="0" w:type="auto"/>
            <w:gridSpan w:val="3"/>
            <w:vAlign w:val="center"/>
            <w:hideMark/>
          </w:tcPr>
          <w:p w14:paraId="773E887D" w14:textId="77777777" w:rsidR="00000000" w:rsidRDefault="00195E73">
            <w:pPr>
              <w:rPr>
                <w:rFonts w:eastAsia="Times New Roman"/>
                <w:sz w:val="20"/>
                <w:szCs w:val="20"/>
              </w:rPr>
            </w:pPr>
          </w:p>
        </w:tc>
        <w:tc>
          <w:tcPr>
            <w:tcW w:w="0" w:type="auto"/>
            <w:gridSpan w:val="3"/>
            <w:vAlign w:val="center"/>
            <w:hideMark/>
          </w:tcPr>
          <w:p w14:paraId="350710BB" w14:textId="77777777" w:rsidR="00000000" w:rsidRDefault="00195E73">
            <w:pPr>
              <w:rPr>
                <w:rFonts w:eastAsia="Times New Roman"/>
                <w:sz w:val="20"/>
                <w:szCs w:val="20"/>
              </w:rPr>
            </w:pPr>
          </w:p>
        </w:tc>
        <w:tc>
          <w:tcPr>
            <w:tcW w:w="0" w:type="auto"/>
            <w:vAlign w:val="center"/>
            <w:hideMark/>
          </w:tcPr>
          <w:p w14:paraId="6B19B05F" w14:textId="77777777" w:rsidR="00000000" w:rsidRDefault="00195E73">
            <w:pPr>
              <w:rPr>
                <w:rFonts w:eastAsia="Times New Roman"/>
                <w:sz w:val="20"/>
                <w:szCs w:val="20"/>
              </w:rPr>
            </w:pPr>
          </w:p>
        </w:tc>
        <w:tc>
          <w:tcPr>
            <w:tcW w:w="0" w:type="auto"/>
            <w:vAlign w:val="center"/>
            <w:hideMark/>
          </w:tcPr>
          <w:p w14:paraId="53900F91" w14:textId="77777777" w:rsidR="00000000" w:rsidRDefault="00195E73">
            <w:pPr>
              <w:rPr>
                <w:rFonts w:eastAsia="Times New Roman"/>
                <w:sz w:val="20"/>
                <w:szCs w:val="20"/>
              </w:rPr>
            </w:pPr>
          </w:p>
        </w:tc>
        <w:tc>
          <w:tcPr>
            <w:tcW w:w="0" w:type="auto"/>
            <w:vAlign w:val="center"/>
            <w:hideMark/>
          </w:tcPr>
          <w:p w14:paraId="58B20C9C" w14:textId="77777777" w:rsidR="00000000" w:rsidRDefault="00195E73">
            <w:pPr>
              <w:rPr>
                <w:rFonts w:eastAsia="Times New Roman"/>
                <w:sz w:val="20"/>
                <w:szCs w:val="20"/>
              </w:rPr>
            </w:pPr>
          </w:p>
        </w:tc>
        <w:tc>
          <w:tcPr>
            <w:tcW w:w="0" w:type="auto"/>
            <w:vAlign w:val="center"/>
            <w:hideMark/>
          </w:tcPr>
          <w:p w14:paraId="419A9BD5" w14:textId="77777777" w:rsidR="00000000" w:rsidRDefault="00195E73">
            <w:pPr>
              <w:rPr>
                <w:rFonts w:eastAsia="Times New Roman"/>
                <w:sz w:val="20"/>
                <w:szCs w:val="20"/>
              </w:rPr>
            </w:pPr>
          </w:p>
        </w:tc>
        <w:tc>
          <w:tcPr>
            <w:tcW w:w="0" w:type="auto"/>
            <w:vAlign w:val="center"/>
            <w:hideMark/>
          </w:tcPr>
          <w:p w14:paraId="63590814" w14:textId="77777777" w:rsidR="00000000" w:rsidRDefault="00195E73">
            <w:pPr>
              <w:rPr>
                <w:rFonts w:eastAsia="Times New Roman"/>
                <w:sz w:val="20"/>
                <w:szCs w:val="20"/>
              </w:rPr>
            </w:pPr>
          </w:p>
        </w:tc>
        <w:tc>
          <w:tcPr>
            <w:tcW w:w="0" w:type="auto"/>
            <w:vAlign w:val="center"/>
            <w:hideMark/>
          </w:tcPr>
          <w:p w14:paraId="6997CEF7" w14:textId="77777777" w:rsidR="00000000" w:rsidRDefault="00195E73">
            <w:pPr>
              <w:rPr>
                <w:rFonts w:eastAsia="Times New Roman"/>
                <w:sz w:val="20"/>
                <w:szCs w:val="20"/>
              </w:rPr>
            </w:pPr>
          </w:p>
        </w:tc>
        <w:tc>
          <w:tcPr>
            <w:tcW w:w="0" w:type="auto"/>
            <w:vAlign w:val="center"/>
            <w:hideMark/>
          </w:tcPr>
          <w:p w14:paraId="7FEBC28D" w14:textId="77777777" w:rsidR="00000000" w:rsidRDefault="00195E73">
            <w:pPr>
              <w:rPr>
                <w:rFonts w:eastAsia="Times New Roman"/>
                <w:sz w:val="20"/>
                <w:szCs w:val="20"/>
              </w:rPr>
            </w:pPr>
          </w:p>
        </w:tc>
        <w:tc>
          <w:tcPr>
            <w:tcW w:w="0" w:type="auto"/>
            <w:vAlign w:val="center"/>
            <w:hideMark/>
          </w:tcPr>
          <w:p w14:paraId="12939FD9" w14:textId="77777777" w:rsidR="00000000" w:rsidRDefault="00195E73">
            <w:pPr>
              <w:rPr>
                <w:rFonts w:eastAsia="Times New Roman"/>
                <w:sz w:val="20"/>
                <w:szCs w:val="20"/>
              </w:rPr>
            </w:pPr>
          </w:p>
        </w:tc>
        <w:tc>
          <w:tcPr>
            <w:tcW w:w="0" w:type="auto"/>
            <w:vAlign w:val="center"/>
            <w:hideMark/>
          </w:tcPr>
          <w:p w14:paraId="44680ECA" w14:textId="77777777" w:rsidR="00000000" w:rsidRDefault="00195E73">
            <w:pPr>
              <w:rPr>
                <w:rFonts w:eastAsia="Times New Roman"/>
                <w:sz w:val="20"/>
                <w:szCs w:val="20"/>
              </w:rPr>
            </w:pPr>
          </w:p>
        </w:tc>
        <w:tc>
          <w:tcPr>
            <w:tcW w:w="0" w:type="auto"/>
            <w:vAlign w:val="center"/>
            <w:hideMark/>
          </w:tcPr>
          <w:p w14:paraId="670C35BF" w14:textId="77777777" w:rsidR="00000000" w:rsidRDefault="00195E73">
            <w:pPr>
              <w:rPr>
                <w:rFonts w:eastAsia="Times New Roman"/>
                <w:sz w:val="20"/>
                <w:szCs w:val="20"/>
              </w:rPr>
            </w:pPr>
          </w:p>
        </w:tc>
        <w:tc>
          <w:tcPr>
            <w:tcW w:w="0" w:type="auto"/>
            <w:vAlign w:val="center"/>
            <w:hideMark/>
          </w:tcPr>
          <w:p w14:paraId="5A76BC79" w14:textId="77777777" w:rsidR="00000000" w:rsidRDefault="00195E73">
            <w:pPr>
              <w:rPr>
                <w:rFonts w:eastAsia="Times New Roman"/>
                <w:sz w:val="20"/>
                <w:szCs w:val="20"/>
              </w:rPr>
            </w:pPr>
          </w:p>
        </w:tc>
        <w:tc>
          <w:tcPr>
            <w:tcW w:w="0" w:type="auto"/>
            <w:vAlign w:val="center"/>
            <w:hideMark/>
          </w:tcPr>
          <w:p w14:paraId="182950DD" w14:textId="77777777" w:rsidR="00000000" w:rsidRDefault="00195E73">
            <w:pPr>
              <w:rPr>
                <w:rFonts w:eastAsia="Times New Roman"/>
                <w:sz w:val="20"/>
                <w:szCs w:val="20"/>
              </w:rPr>
            </w:pPr>
          </w:p>
        </w:tc>
      </w:tr>
      <w:tr w:rsidR="00000000" w14:paraId="17C09839" w14:textId="77777777">
        <w:trPr>
          <w:divId w:val="867717940"/>
          <w:jc w:val="center"/>
        </w:trPr>
        <w:tc>
          <w:tcPr>
            <w:tcW w:w="0" w:type="auto"/>
            <w:gridSpan w:val="3"/>
            <w:vAlign w:val="center"/>
            <w:hideMark/>
          </w:tcPr>
          <w:p w14:paraId="74BB94D0" w14:textId="77777777" w:rsidR="00000000" w:rsidRDefault="00195E73">
            <w:pPr>
              <w:rPr>
                <w:rFonts w:eastAsia="Times New Roman"/>
                <w:sz w:val="20"/>
                <w:szCs w:val="20"/>
              </w:rPr>
            </w:pPr>
          </w:p>
        </w:tc>
        <w:tc>
          <w:tcPr>
            <w:tcW w:w="0" w:type="auto"/>
            <w:gridSpan w:val="3"/>
            <w:vAlign w:val="center"/>
            <w:hideMark/>
          </w:tcPr>
          <w:p w14:paraId="5B48EB1E" w14:textId="77777777" w:rsidR="00000000" w:rsidRDefault="00195E73">
            <w:pPr>
              <w:rPr>
                <w:rFonts w:eastAsia="Times New Roman"/>
                <w:sz w:val="20"/>
                <w:szCs w:val="20"/>
              </w:rPr>
            </w:pPr>
          </w:p>
        </w:tc>
        <w:tc>
          <w:tcPr>
            <w:tcW w:w="0" w:type="auto"/>
            <w:gridSpan w:val="3"/>
            <w:vAlign w:val="center"/>
            <w:hideMark/>
          </w:tcPr>
          <w:p w14:paraId="1770CBF9" w14:textId="77777777" w:rsidR="00000000" w:rsidRDefault="00195E73">
            <w:pPr>
              <w:rPr>
                <w:rFonts w:eastAsia="Times New Roman"/>
                <w:sz w:val="20"/>
                <w:szCs w:val="20"/>
              </w:rPr>
            </w:pPr>
          </w:p>
        </w:tc>
        <w:tc>
          <w:tcPr>
            <w:tcW w:w="0" w:type="auto"/>
            <w:gridSpan w:val="3"/>
            <w:vAlign w:val="center"/>
            <w:hideMark/>
          </w:tcPr>
          <w:p w14:paraId="5D4DBC6A" w14:textId="77777777" w:rsidR="00000000" w:rsidRDefault="00195E73">
            <w:pPr>
              <w:rPr>
                <w:rFonts w:eastAsia="Times New Roman"/>
                <w:sz w:val="20"/>
                <w:szCs w:val="20"/>
              </w:rPr>
            </w:pPr>
          </w:p>
        </w:tc>
        <w:tc>
          <w:tcPr>
            <w:tcW w:w="0" w:type="auto"/>
            <w:gridSpan w:val="3"/>
            <w:vAlign w:val="center"/>
            <w:hideMark/>
          </w:tcPr>
          <w:p w14:paraId="0A4207C0" w14:textId="77777777" w:rsidR="00000000" w:rsidRDefault="00195E73">
            <w:pPr>
              <w:rPr>
                <w:rFonts w:eastAsia="Times New Roman"/>
                <w:sz w:val="20"/>
                <w:szCs w:val="20"/>
              </w:rPr>
            </w:pPr>
          </w:p>
        </w:tc>
        <w:tc>
          <w:tcPr>
            <w:tcW w:w="0" w:type="auto"/>
            <w:gridSpan w:val="3"/>
            <w:vAlign w:val="center"/>
            <w:hideMark/>
          </w:tcPr>
          <w:p w14:paraId="2230110A" w14:textId="77777777" w:rsidR="00000000" w:rsidRDefault="00195E73">
            <w:pPr>
              <w:rPr>
                <w:rFonts w:eastAsia="Times New Roman"/>
                <w:sz w:val="20"/>
                <w:szCs w:val="20"/>
              </w:rPr>
            </w:pPr>
          </w:p>
        </w:tc>
        <w:tc>
          <w:tcPr>
            <w:tcW w:w="0" w:type="auto"/>
            <w:vAlign w:val="center"/>
            <w:hideMark/>
          </w:tcPr>
          <w:p w14:paraId="290A80A1" w14:textId="77777777" w:rsidR="00000000" w:rsidRDefault="00195E73">
            <w:pPr>
              <w:rPr>
                <w:rFonts w:eastAsia="Times New Roman"/>
                <w:sz w:val="20"/>
                <w:szCs w:val="20"/>
              </w:rPr>
            </w:pPr>
          </w:p>
        </w:tc>
        <w:tc>
          <w:tcPr>
            <w:tcW w:w="0" w:type="auto"/>
            <w:vAlign w:val="center"/>
            <w:hideMark/>
          </w:tcPr>
          <w:p w14:paraId="12F56BB8" w14:textId="77777777" w:rsidR="00000000" w:rsidRDefault="00195E73">
            <w:pPr>
              <w:rPr>
                <w:rFonts w:eastAsia="Times New Roman"/>
                <w:sz w:val="20"/>
                <w:szCs w:val="20"/>
              </w:rPr>
            </w:pPr>
          </w:p>
        </w:tc>
        <w:tc>
          <w:tcPr>
            <w:tcW w:w="0" w:type="auto"/>
            <w:vAlign w:val="center"/>
            <w:hideMark/>
          </w:tcPr>
          <w:p w14:paraId="6C323367" w14:textId="77777777" w:rsidR="00000000" w:rsidRDefault="00195E73">
            <w:pPr>
              <w:rPr>
                <w:rFonts w:eastAsia="Times New Roman"/>
                <w:sz w:val="20"/>
                <w:szCs w:val="20"/>
              </w:rPr>
            </w:pPr>
          </w:p>
        </w:tc>
        <w:tc>
          <w:tcPr>
            <w:tcW w:w="0" w:type="auto"/>
            <w:vAlign w:val="center"/>
            <w:hideMark/>
          </w:tcPr>
          <w:p w14:paraId="5CEAF425" w14:textId="77777777" w:rsidR="00000000" w:rsidRDefault="00195E73">
            <w:pPr>
              <w:rPr>
                <w:rFonts w:eastAsia="Times New Roman"/>
                <w:sz w:val="20"/>
                <w:szCs w:val="20"/>
              </w:rPr>
            </w:pPr>
          </w:p>
        </w:tc>
        <w:tc>
          <w:tcPr>
            <w:tcW w:w="0" w:type="auto"/>
            <w:vAlign w:val="center"/>
            <w:hideMark/>
          </w:tcPr>
          <w:p w14:paraId="3CA527DA" w14:textId="77777777" w:rsidR="00000000" w:rsidRDefault="00195E73">
            <w:pPr>
              <w:rPr>
                <w:rFonts w:eastAsia="Times New Roman"/>
                <w:sz w:val="20"/>
                <w:szCs w:val="20"/>
              </w:rPr>
            </w:pPr>
          </w:p>
        </w:tc>
        <w:tc>
          <w:tcPr>
            <w:tcW w:w="0" w:type="auto"/>
            <w:vAlign w:val="center"/>
            <w:hideMark/>
          </w:tcPr>
          <w:p w14:paraId="26F6AC11" w14:textId="77777777" w:rsidR="00000000" w:rsidRDefault="00195E73">
            <w:pPr>
              <w:rPr>
                <w:rFonts w:eastAsia="Times New Roman"/>
                <w:sz w:val="20"/>
                <w:szCs w:val="20"/>
              </w:rPr>
            </w:pPr>
          </w:p>
        </w:tc>
        <w:tc>
          <w:tcPr>
            <w:tcW w:w="0" w:type="auto"/>
            <w:vAlign w:val="center"/>
            <w:hideMark/>
          </w:tcPr>
          <w:p w14:paraId="6033C1CB" w14:textId="77777777" w:rsidR="00000000" w:rsidRDefault="00195E73">
            <w:pPr>
              <w:rPr>
                <w:rFonts w:eastAsia="Times New Roman"/>
                <w:sz w:val="20"/>
                <w:szCs w:val="20"/>
              </w:rPr>
            </w:pPr>
          </w:p>
        </w:tc>
        <w:tc>
          <w:tcPr>
            <w:tcW w:w="0" w:type="auto"/>
            <w:vAlign w:val="center"/>
            <w:hideMark/>
          </w:tcPr>
          <w:p w14:paraId="3C9E7CBC" w14:textId="77777777" w:rsidR="00000000" w:rsidRDefault="00195E73">
            <w:pPr>
              <w:rPr>
                <w:rFonts w:eastAsia="Times New Roman"/>
                <w:sz w:val="20"/>
                <w:szCs w:val="20"/>
              </w:rPr>
            </w:pPr>
          </w:p>
        </w:tc>
        <w:tc>
          <w:tcPr>
            <w:tcW w:w="0" w:type="auto"/>
            <w:vAlign w:val="center"/>
            <w:hideMark/>
          </w:tcPr>
          <w:p w14:paraId="27241908" w14:textId="77777777" w:rsidR="00000000" w:rsidRDefault="00195E73">
            <w:pPr>
              <w:rPr>
                <w:rFonts w:eastAsia="Times New Roman"/>
                <w:sz w:val="20"/>
                <w:szCs w:val="20"/>
              </w:rPr>
            </w:pPr>
          </w:p>
        </w:tc>
        <w:tc>
          <w:tcPr>
            <w:tcW w:w="0" w:type="auto"/>
            <w:vAlign w:val="center"/>
            <w:hideMark/>
          </w:tcPr>
          <w:p w14:paraId="2EE10E7D" w14:textId="77777777" w:rsidR="00000000" w:rsidRDefault="00195E73">
            <w:pPr>
              <w:rPr>
                <w:rFonts w:eastAsia="Times New Roman"/>
                <w:sz w:val="20"/>
                <w:szCs w:val="20"/>
              </w:rPr>
            </w:pPr>
          </w:p>
        </w:tc>
        <w:tc>
          <w:tcPr>
            <w:tcW w:w="0" w:type="auto"/>
            <w:vAlign w:val="center"/>
            <w:hideMark/>
          </w:tcPr>
          <w:p w14:paraId="0AF5AF4D" w14:textId="77777777" w:rsidR="00000000" w:rsidRDefault="00195E73">
            <w:pPr>
              <w:rPr>
                <w:rFonts w:eastAsia="Times New Roman"/>
                <w:sz w:val="20"/>
                <w:szCs w:val="20"/>
              </w:rPr>
            </w:pPr>
          </w:p>
        </w:tc>
        <w:tc>
          <w:tcPr>
            <w:tcW w:w="0" w:type="auto"/>
            <w:vAlign w:val="center"/>
            <w:hideMark/>
          </w:tcPr>
          <w:p w14:paraId="0E52C0F1" w14:textId="77777777" w:rsidR="00000000" w:rsidRDefault="00195E73">
            <w:pPr>
              <w:rPr>
                <w:rFonts w:eastAsia="Times New Roman"/>
                <w:sz w:val="20"/>
                <w:szCs w:val="20"/>
              </w:rPr>
            </w:pPr>
          </w:p>
        </w:tc>
      </w:tr>
      <w:tr w:rsidR="00000000" w14:paraId="57186F32" w14:textId="77777777">
        <w:trPr>
          <w:divId w:val="867717940"/>
          <w:jc w:val="center"/>
        </w:trPr>
        <w:tc>
          <w:tcPr>
            <w:tcW w:w="0" w:type="auto"/>
            <w:gridSpan w:val="3"/>
            <w:shd w:val="clear" w:color="auto" w:fill="CCEEFF"/>
            <w:tcMar>
              <w:top w:w="30" w:type="dxa"/>
              <w:left w:w="20" w:type="dxa"/>
              <w:bottom w:w="30" w:type="dxa"/>
              <w:right w:w="20" w:type="dxa"/>
            </w:tcMar>
            <w:vAlign w:val="bottom"/>
            <w:hideMark/>
          </w:tcPr>
          <w:p w14:paraId="529C7ECC" w14:textId="77777777" w:rsidR="00000000" w:rsidRDefault="00195E73">
            <w:pPr>
              <w:rPr>
                <w:rFonts w:eastAsia="Times New Roman"/>
              </w:rPr>
            </w:pPr>
            <w:r>
              <w:rPr>
                <w:rFonts w:eastAsia="Times New Roman"/>
                <w:color w:val="000000"/>
                <w:sz w:val="20"/>
                <w:szCs w:val="20"/>
              </w:rPr>
              <w:t>Net sales and other revenue from operation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58B94BD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7A09C34" w14:textId="77777777" w:rsidR="00000000" w:rsidRDefault="00195E73">
            <w:pPr>
              <w:jc w:val="right"/>
              <w:rPr>
                <w:rFonts w:eastAsia="Times New Roman"/>
              </w:rPr>
            </w:pPr>
            <w:r>
              <w:rPr>
                <w:rFonts w:eastAsia="Times New Roman"/>
                <w:color w:val="000000"/>
                <w:sz w:val="20"/>
                <w:szCs w:val="20"/>
              </w:rPr>
              <w:t>2,884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79549D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53E738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7E1F0C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1DE149A" w14:textId="77777777" w:rsidR="00000000" w:rsidRDefault="00195E73">
            <w:pPr>
              <w:jc w:val="right"/>
              <w:rPr>
                <w:rFonts w:eastAsia="Times New Roman"/>
              </w:rPr>
            </w:pPr>
            <w:r>
              <w:rPr>
                <w:rFonts w:eastAsia="Times New Roman"/>
                <w:color w:val="000000"/>
                <w:sz w:val="20"/>
                <w:szCs w:val="20"/>
              </w:rPr>
              <w:t>2,858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FC90E6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3AFAB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4B1E34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769D51E" w14:textId="77777777" w:rsidR="00000000" w:rsidRDefault="00195E73">
            <w:pPr>
              <w:jc w:val="right"/>
              <w:rPr>
                <w:rFonts w:eastAsia="Times New Roman"/>
              </w:rPr>
            </w:pPr>
            <w:r>
              <w:rPr>
                <w:rFonts w:eastAsia="Times New Roman"/>
                <w:color w:val="000000"/>
                <w:sz w:val="20"/>
                <w:szCs w:val="20"/>
              </w:rPr>
              <w:t>2,723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221B91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2C57A80" w14:textId="77777777" w:rsidR="00000000" w:rsidRDefault="00195E73">
            <w:pPr>
              <w:rPr>
                <w:rFonts w:eastAsia="Times New Roman"/>
                <w:sz w:val="20"/>
                <w:szCs w:val="20"/>
              </w:rPr>
            </w:pPr>
          </w:p>
        </w:tc>
        <w:tc>
          <w:tcPr>
            <w:tcW w:w="0" w:type="auto"/>
            <w:vAlign w:val="center"/>
            <w:hideMark/>
          </w:tcPr>
          <w:p w14:paraId="6CF93240" w14:textId="77777777" w:rsidR="00000000" w:rsidRDefault="00195E73">
            <w:pPr>
              <w:rPr>
                <w:rFonts w:eastAsia="Times New Roman"/>
                <w:sz w:val="20"/>
                <w:szCs w:val="20"/>
              </w:rPr>
            </w:pPr>
          </w:p>
        </w:tc>
        <w:tc>
          <w:tcPr>
            <w:tcW w:w="0" w:type="auto"/>
            <w:vAlign w:val="center"/>
            <w:hideMark/>
          </w:tcPr>
          <w:p w14:paraId="2F09B278" w14:textId="77777777" w:rsidR="00000000" w:rsidRDefault="00195E73">
            <w:pPr>
              <w:rPr>
                <w:rFonts w:eastAsia="Times New Roman"/>
                <w:sz w:val="20"/>
                <w:szCs w:val="20"/>
              </w:rPr>
            </w:pPr>
          </w:p>
        </w:tc>
        <w:tc>
          <w:tcPr>
            <w:tcW w:w="0" w:type="auto"/>
            <w:vAlign w:val="center"/>
            <w:hideMark/>
          </w:tcPr>
          <w:p w14:paraId="221081AF" w14:textId="77777777" w:rsidR="00000000" w:rsidRDefault="00195E73">
            <w:pPr>
              <w:rPr>
                <w:rFonts w:eastAsia="Times New Roman"/>
                <w:sz w:val="20"/>
                <w:szCs w:val="20"/>
              </w:rPr>
            </w:pPr>
          </w:p>
        </w:tc>
        <w:tc>
          <w:tcPr>
            <w:tcW w:w="0" w:type="auto"/>
            <w:vAlign w:val="center"/>
            <w:hideMark/>
          </w:tcPr>
          <w:p w14:paraId="6E4BD31D" w14:textId="77777777" w:rsidR="00000000" w:rsidRDefault="00195E73">
            <w:pPr>
              <w:rPr>
                <w:rFonts w:eastAsia="Times New Roman"/>
                <w:sz w:val="20"/>
                <w:szCs w:val="20"/>
              </w:rPr>
            </w:pPr>
          </w:p>
        </w:tc>
        <w:tc>
          <w:tcPr>
            <w:tcW w:w="0" w:type="auto"/>
            <w:vAlign w:val="center"/>
            <w:hideMark/>
          </w:tcPr>
          <w:p w14:paraId="6DEEF6BE" w14:textId="77777777" w:rsidR="00000000" w:rsidRDefault="00195E73">
            <w:pPr>
              <w:rPr>
                <w:rFonts w:eastAsia="Times New Roman"/>
                <w:sz w:val="20"/>
                <w:szCs w:val="20"/>
              </w:rPr>
            </w:pPr>
          </w:p>
        </w:tc>
        <w:tc>
          <w:tcPr>
            <w:tcW w:w="0" w:type="auto"/>
            <w:vAlign w:val="center"/>
            <w:hideMark/>
          </w:tcPr>
          <w:p w14:paraId="037CD6EE" w14:textId="77777777" w:rsidR="00000000" w:rsidRDefault="00195E73">
            <w:pPr>
              <w:rPr>
                <w:rFonts w:eastAsia="Times New Roman"/>
                <w:sz w:val="20"/>
                <w:szCs w:val="20"/>
              </w:rPr>
            </w:pPr>
          </w:p>
        </w:tc>
        <w:tc>
          <w:tcPr>
            <w:tcW w:w="0" w:type="auto"/>
            <w:vAlign w:val="center"/>
            <w:hideMark/>
          </w:tcPr>
          <w:p w14:paraId="674E1E55" w14:textId="77777777" w:rsidR="00000000" w:rsidRDefault="00195E73">
            <w:pPr>
              <w:rPr>
                <w:rFonts w:eastAsia="Times New Roman"/>
                <w:sz w:val="20"/>
                <w:szCs w:val="20"/>
              </w:rPr>
            </w:pPr>
          </w:p>
        </w:tc>
        <w:tc>
          <w:tcPr>
            <w:tcW w:w="0" w:type="auto"/>
            <w:vAlign w:val="center"/>
            <w:hideMark/>
          </w:tcPr>
          <w:p w14:paraId="3AEE93B9" w14:textId="77777777" w:rsidR="00000000" w:rsidRDefault="00195E73">
            <w:pPr>
              <w:rPr>
                <w:rFonts w:eastAsia="Times New Roman"/>
                <w:sz w:val="20"/>
                <w:szCs w:val="20"/>
              </w:rPr>
            </w:pPr>
          </w:p>
        </w:tc>
        <w:tc>
          <w:tcPr>
            <w:tcW w:w="0" w:type="auto"/>
            <w:vAlign w:val="center"/>
            <w:hideMark/>
          </w:tcPr>
          <w:p w14:paraId="6DA5E8CF" w14:textId="77777777" w:rsidR="00000000" w:rsidRDefault="00195E73">
            <w:pPr>
              <w:rPr>
                <w:rFonts w:eastAsia="Times New Roman"/>
                <w:sz w:val="20"/>
                <w:szCs w:val="20"/>
              </w:rPr>
            </w:pPr>
          </w:p>
        </w:tc>
        <w:tc>
          <w:tcPr>
            <w:tcW w:w="0" w:type="auto"/>
            <w:vAlign w:val="center"/>
            <w:hideMark/>
          </w:tcPr>
          <w:p w14:paraId="10E14DC8" w14:textId="77777777" w:rsidR="00000000" w:rsidRDefault="00195E73">
            <w:pPr>
              <w:rPr>
                <w:rFonts w:eastAsia="Times New Roman"/>
                <w:sz w:val="20"/>
                <w:szCs w:val="20"/>
              </w:rPr>
            </w:pPr>
          </w:p>
        </w:tc>
        <w:tc>
          <w:tcPr>
            <w:tcW w:w="0" w:type="auto"/>
            <w:vAlign w:val="center"/>
            <w:hideMark/>
          </w:tcPr>
          <w:p w14:paraId="2E719972" w14:textId="77777777" w:rsidR="00000000" w:rsidRDefault="00195E73">
            <w:pPr>
              <w:rPr>
                <w:rFonts w:eastAsia="Times New Roman"/>
                <w:sz w:val="20"/>
                <w:szCs w:val="20"/>
              </w:rPr>
            </w:pPr>
          </w:p>
        </w:tc>
      </w:tr>
      <w:tr w:rsidR="00000000" w14:paraId="0497B790" w14:textId="77777777">
        <w:trPr>
          <w:divId w:val="867717940"/>
          <w:jc w:val="center"/>
        </w:trPr>
        <w:tc>
          <w:tcPr>
            <w:tcW w:w="0" w:type="auto"/>
            <w:gridSpan w:val="3"/>
            <w:vAlign w:val="center"/>
            <w:hideMark/>
          </w:tcPr>
          <w:p w14:paraId="5F6EC7A0" w14:textId="77777777" w:rsidR="00000000" w:rsidRDefault="00195E73">
            <w:pPr>
              <w:jc w:val="right"/>
              <w:rPr>
                <w:rFonts w:eastAsia="Times New Roman"/>
              </w:rPr>
            </w:pPr>
          </w:p>
        </w:tc>
        <w:tc>
          <w:tcPr>
            <w:tcW w:w="0" w:type="auto"/>
            <w:gridSpan w:val="3"/>
            <w:vAlign w:val="center"/>
            <w:hideMark/>
          </w:tcPr>
          <w:p w14:paraId="37ED25A2" w14:textId="77777777" w:rsidR="00000000" w:rsidRDefault="00195E73">
            <w:pPr>
              <w:rPr>
                <w:rFonts w:eastAsia="Times New Roman"/>
                <w:sz w:val="20"/>
                <w:szCs w:val="20"/>
              </w:rPr>
            </w:pPr>
          </w:p>
        </w:tc>
        <w:tc>
          <w:tcPr>
            <w:tcW w:w="0" w:type="auto"/>
            <w:gridSpan w:val="3"/>
            <w:vAlign w:val="center"/>
            <w:hideMark/>
          </w:tcPr>
          <w:p w14:paraId="1FC98FE5" w14:textId="77777777" w:rsidR="00000000" w:rsidRDefault="00195E73">
            <w:pPr>
              <w:rPr>
                <w:rFonts w:eastAsia="Times New Roman"/>
                <w:sz w:val="20"/>
                <w:szCs w:val="20"/>
              </w:rPr>
            </w:pPr>
          </w:p>
        </w:tc>
        <w:tc>
          <w:tcPr>
            <w:tcW w:w="0" w:type="auto"/>
            <w:gridSpan w:val="3"/>
            <w:vAlign w:val="center"/>
            <w:hideMark/>
          </w:tcPr>
          <w:p w14:paraId="12A20814" w14:textId="77777777" w:rsidR="00000000" w:rsidRDefault="00195E73">
            <w:pPr>
              <w:rPr>
                <w:rFonts w:eastAsia="Times New Roman"/>
                <w:sz w:val="20"/>
                <w:szCs w:val="20"/>
              </w:rPr>
            </w:pPr>
          </w:p>
        </w:tc>
        <w:tc>
          <w:tcPr>
            <w:tcW w:w="0" w:type="auto"/>
            <w:gridSpan w:val="3"/>
            <w:vAlign w:val="center"/>
            <w:hideMark/>
          </w:tcPr>
          <w:p w14:paraId="6D1CB078" w14:textId="77777777" w:rsidR="00000000" w:rsidRDefault="00195E73">
            <w:pPr>
              <w:rPr>
                <w:rFonts w:eastAsia="Times New Roman"/>
                <w:sz w:val="20"/>
                <w:szCs w:val="20"/>
              </w:rPr>
            </w:pPr>
          </w:p>
        </w:tc>
        <w:tc>
          <w:tcPr>
            <w:tcW w:w="0" w:type="auto"/>
            <w:gridSpan w:val="3"/>
            <w:vAlign w:val="center"/>
            <w:hideMark/>
          </w:tcPr>
          <w:p w14:paraId="00AAD732" w14:textId="77777777" w:rsidR="00000000" w:rsidRDefault="00195E73">
            <w:pPr>
              <w:rPr>
                <w:rFonts w:eastAsia="Times New Roman"/>
                <w:sz w:val="20"/>
                <w:szCs w:val="20"/>
              </w:rPr>
            </w:pPr>
          </w:p>
        </w:tc>
        <w:tc>
          <w:tcPr>
            <w:tcW w:w="0" w:type="auto"/>
            <w:vAlign w:val="center"/>
            <w:hideMark/>
          </w:tcPr>
          <w:p w14:paraId="350E4659" w14:textId="77777777" w:rsidR="00000000" w:rsidRDefault="00195E73">
            <w:pPr>
              <w:rPr>
                <w:rFonts w:eastAsia="Times New Roman"/>
                <w:sz w:val="20"/>
                <w:szCs w:val="20"/>
              </w:rPr>
            </w:pPr>
          </w:p>
        </w:tc>
        <w:tc>
          <w:tcPr>
            <w:tcW w:w="0" w:type="auto"/>
            <w:vAlign w:val="center"/>
            <w:hideMark/>
          </w:tcPr>
          <w:p w14:paraId="7FAD8C1C" w14:textId="77777777" w:rsidR="00000000" w:rsidRDefault="00195E73">
            <w:pPr>
              <w:rPr>
                <w:rFonts w:eastAsia="Times New Roman"/>
                <w:sz w:val="20"/>
                <w:szCs w:val="20"/>
              </w:rPr>
            </w:pPr>
          </w:p>
        </w:tc>
        <w:tc>
          <w:tcPr>
            <w:tcW w:w="0" w:type="auto"/>
            <w:vAlign w:val="center"/>
            <w:hideMark/>
          </w:tcPr>
          <w:p w14:paraId="3FE51A53" w14:textId="77777777" w:rsidR="00000000" w:rsidRDefault="00195E73">
            <w:pPr>
              <w:rPr>
                <w:rFonts w:eastAsia="Times New Roman"/>
                <w:sz w:val="20"/>
                <w:szCs w:val="20"/>
              </w:rPr>
            </w:pPr>
          </w:p>
        </w:tc>
        <w:tc>
          <w:tcPr>
            <w:tcW w:w="0" w:type="auto"/>
            <w:vAlign w:val="center"/>
            <w:hideMark/>
          </w:tcPr>
          <w:p w14:paraId="532FC608" w14:textId="77777777" w:rsidR="00000000" w:rsidRDefault="00195E73">
            <w:pPr>
              <w:rPr>
                <w:rFonts w:eastAsia="Times New Roman"/>
                <w:sz w:val="20"/>
                <w:szCs w:val="20"/>
              </w:rPr>
            </w:pPr>
          </w:p>
        </w:tc>
        <w:tc>
          <w:tcPr>
            <w:tcW w:w="0" w:type="auto"/>
            <w:vAlign w:val="center"/>
            <w:hideMark/>
          </w:tcPr>
          <w:p w14:paraId="6ACCFF9D" w14:textId="77777777" w:rsidR="00000000" w:rsidRDefault="00195E73">
            <w:pPr>
              <w:rPr>
                <w:rFonts w:eastAsia="Times New Roman"/>
                <w:sz w:val="20"/>
                <w:szCs w:val="20"/>
              </w:rPr>
            </w:pPr>
          </w:p>
        </w:tc>
        <w:tc>
          <w:tcPr>
            <w:tcW w:w="0" w:type="auto"/>
            <w:vAlign w:val="center"/>
            <w:hideMark/>
          </w:tcPr>
          <w:p w14:paraId="55771AA7" w14:textId="77777777" w:rsidR="00000000" w:rsidRDefault="00195E73">
            <w:pPr>
              <w:rPr>
                <w:rFonts w:eastAsia="Times New Roman"/>
                <w:sz w:val="20"/>
                <w:szCs w:val="20"/>
              </w:rPr>
            </w:pPr>
          </w:p>
        </w:tc>
        <w:tc>
          <w:tcPr>
            <w:tcW w:w="0" w:type="auto"/>
            <w:vAlign w:val="center"/>
            <w:hideMark/>
          </w:tcPr>
          <w:p w14:paraId="554652CE" w14:textId="77777777" w:rsidR="00000000" w:rsidRDefault="00195E73">
            <w:pPr>
              <w:rPr>
                <w:rFonts w:eastAsia="Times New Roman"/>
                <w:sz w:val="20"/>
                <w:szCs w:val="20"/>
              </w:rPr>
            </w:pPr>
          </w:p>
        </w:tc>
        <w:tc>
          <w:tcPr>
            <w:tcW w:w="0" w:type="auto"/>
            <w:vAlign w:val="center"/>
            <w:hideMark/>
          </w:tcPr>
          <w:p w14:paraId="05E39663" w14:textId="77777777" w:rsidR="00000000" w:rsidRDefault="00195E73">
            <w:pPr>
              <w:rPr>
                <w:rFonts w:eastAsia="Times New Roman"/>
                <w:sz w:val="20"/>
                <w:szCs w:val="20"/>
              </w:rPr>
            </w:pPr>
          </w:p>
        </w:tc>
        <w:tc>
          <w:tcPr>
            <w:tcW w:w="0" w:type="auto"/>
            <w:vAlign w:val="center"/>
            <w:hideMark/>
          </w:tcPr>
          <w:p w14:paraId="070CF683" w14:textId="77777777" w:rsidR="00000000" w:rsidRDefault="00195E73">
            <w:pPr>
              <w:rPr>
                <w:rFonts w:eastAsia="Times New Roman"/>
                <w:sz w:val="20"/>
                <w:szCs w:val="20"/>
              </w:rPr>
            </w:pPr>
          </w:p>
        </w:tc>
        <w:tc>
          <w:tcPr>
            <w:tcW w:w="0" w:type="auto"/>
            <w:vAlign w:val="center"/>
            <w:hideMark/>
          </w:tcPr>
          <w:p w14:paraId="1759A8F4" w14:textId="77777777" w:rsidR="00000000" w:rsidRDefault="00195E73">
            <w:pPr>
              <w:rPr>
                <w:rFonts w:eastAsia="Times New Roman"/>
                <w:sz w:val="20"/>
                <w:szCs w:val="20"/>
              </w:rPr>
            </w:pPr>
          </w:p>
        </w:tc>
        <w:tc>
          <w:tcPr>
            <w:tcW w:w="0" w:type="auto"/>
            <w:vAlign w:val="center"/>
            <w:hideMark/>
          </w:tcPr>
          <w:p w14:paraId="65B3564E" w14:textId="77777777" w:rsidR="00000000" w:rsidRDefault="00195E73">
            <w:pPr>
              <w:rPr>
                <w:rFonts w:eastAsia="Times New Roman"/>
                <w:sz w:val="20"/>
                <w:szCs w:val="20"/>
              </w:rPr>
            </w:pPr>
          </w:p>
        </w:tc>
        <w:tc>
          <w:tcPr>
            <w:tcW w:w="0" w:type="auto"/>
            <w:vAlign w:val="center"/>
            <w:hideMark/>
          </w:tcPr>
          <w:p w14:paraId="2C02DAFC" w14:textId="77777777" w:rsidR="00000000" w:rsidRDefault="00195E73">
            <w:pPr>
              <w:rPr>
                <w:rFonts w:eastAsia="Times New Roman"/>
                <w:sz w:val="20"/>
                <w:szCs w:val="20"/>
              </w:rPr>
            </w:pPr>
          </w:p>
        </w:tc>
      </w:tr>
      <w:tr w:rsidR="00000000" w14:paraId="1012FB5A" w14:textId="77777777">
        <w:trPr>
          <w:divId w:val="867717940"/>
          <w:jc w:val="center"/>
        </w:trPr>
        <w:tc>
          <w:tcPr>
            <w:tcW w:w="0" w:type="auto"/>
            <w:gridSpan w:val="3"/>
            <w:vAlign w:val="center"/>
            <w:hideMark/>
          </w:tcPr>
          <w:p w14:paraId="4B69C3C3" w14:textId="77777777" w:rsidR="00000000" w:rsidRDefault="00195E73">
            <w:pPr>
              <w:rPr>
                <w:rFonts w:eastAsia="Times New Roman"/>
                <w:sz w:val="20"/>
                <w:szCs w:val="20"/>
              </w:rPr>
            </w:pPr>
          </w:p>
        </w:tc>
        <w:tc>
          <w:tcPr>
            <w:tcW w:w="0" w:type="auto"/>
            <w:gridSpan w:val="3"/>
            <w:vAlign w:val="center"/>
            <w:hideMark/>
          </w:tcPr>
          <w:p w14:paraId="3387EF60" w14:textId="77777777" w:rsidR="00000000" w:rsidRDefault="00195E73">
            <w:pPr>
              <w:rPr>
                <w:rFonts w:eastAsia="Times New Roman"/>
                <w:sz w:val="20"/>
                <w:szCs w:val="20"/>
              </w:rPr>
            </w:pPr>
          </w:p>
        </w:tc>
        <w:tc>
          <w:tcPr>
            <w:tcW w:w="0" w:type="auto"/>
            <w:gridSpan w:val="3"/>
            <w:vAlign w:val="center"/>
            <w:hideMark/>
          </w:tcPr>
          <w:p w14:paraId="00F7000F" w14:textId="77777777" w:rsidR="00000000" w:rsidRDefault="00195E73">
            <w:pPr>
              <w:rPr>
                <w:rFonts w:eastAsia="Times New Roman"/>
                <w:sz w:val="20"/>
                <w:szCs w:val="20"/>
              </w:rPr>
            </w:pPr>
          </w:p>
        </w:tc>
        <w:tc>
          <w:tcPr>
            <w:tcW w:w="0" w:type="auto"/>
            <w:gridSpan w:val="3"/>
            <w:vAlign w:val="center"/>
            <w:hideMark/>
          </w:tcPr>
          <w:p w14:paraId="1EC9EC2F" w14:textId="77777777" w:rsidR="00000000" w:rsidRDefault="00195E73">
            <w:pPr>
              <w:rPr>
                <w:rFonts w:eastAsia="Times New Roman"/>
                <w:sz w:val="20"/>
                <w:szCs w:val="20"/>
              </w:rPr>
            </w:pPr>
          </w:p>
        </w:tc>
        <w:tc>
          <w:tcPr>
            <w:tcW w:w="0" w:type="auto"/>
            <w:gridSpan w:val="3"/>
            <w:vAlign w:val="center"/>
            <w:hideMark/>
          </w:tcPr>
          <w:p w14:paraId="43768B69" w14:textId="77777777" w:rsidR="00000000" w:rsidRDefault="00195E73">
            <w:pPr>
              <w:rPr>
                <w:rFonts w:eastAsia="Times New Roman"/>
                <w:sz w:val="20"/>
                <w:szCs w:val="20"/>
              </w:rPr>
            </w:pPr>
          </w:p>
        </w:tc>
        <w:tc>
          <w:tcPr>
            <w:tcW w:w="0" w:type="auto"/>
            <w:gridSpan w:val="3"/>
            <w:vAlign w:val="center"/>
            <w:hideMark/>
          </w:tcPr>
          <w:p w14:paraId="35CF134C" w14:textId="77777777" w:rsidR="00000000" w:rsidRDefault="00195E73">
            <w:pPr>
              <w:rPr>
                <w:rFonts w:eastAsia="Times New Roman"/>
                <w:sz w:val="20"/>
                <w:szCs w:val="20"/>
              </w:rPr>
            </w:pPr>
          </w:p>
        </w:tc>
        <w:tc>
          <w:tcPr>
            <w:tcW w:w="0" w:type="auto"/>
            <w:vAlign w:val="center"/>
            <w:hideMark/>
          </w:tcPr>
          <w:p w14:paraId="64242C2A" w14:textId="77777777" w:rsidR="00000000" w:rsidRDefault="00195E73">
            <w:pPr>
              <w:rPr>
                <w:rFonts w:eastAsia="Times New Roman"/>
                <w:sz w:val="20"/>
                <w:szCs w:val="20"/>
              </w:rPr>
            </w:pPr>
          </w:p>
        </w:tc>
        <w:tc>
          <w:tcPr>
            <w:tcW w:w="0" w:type="auto"/>
            <w:vAlign w:val="center"/>
            <w:hideMark/>
          </w:tcPr>
          <w:p w14:paraId="5ABF3421" w14:textId="77777777" w:rsidR="00000000" w:rsidRDefault="00195E73">
            <w:pPr>
              <w:rPr>
                <w:rFonts w:eastAsia="Times New Roman"/>
                <w:sz w:val="20"/>
                <w:szCs w:val="20"/>
              </w:rPr>
            </w:pPr>
          </w:p>
        </w:tc>
        <w:tc>
          <w:tcPr>
            <w:tcW w:w="0" w:type="auto"/>
            <w:vAlign w:val="center"/>
            <w:hideMark/>
          </w:tcPr>
          <w:p w14:paraId="743FACE7" w14:textId="77777777" w:rsidR="00000000" w:rsidRDefault="00195E73">
            <w:pPr>
              <w:rPr>
                <w:rFonts w:eastAsia="Times New Roman"/>
                <w:sz w:val="20"/>
                <w:szCs w:val="20"/>
              </w:rPr>
            </w:pPr>
          </w:p>
        </w:tc>
        <w:tc>
          <w:tcPr>
            <w:tcW w:w="0" w:type="auto"/>
            <w:vAlign w:val="center"/>
            <w:hideMark/>
          </w:tcPr>
          <w:p w14:paraId="49D90EBB" w14:textId="77777777" w:rsidR="00000000" w:rsidRDefault="00195E73">
            <w:pPr>
              <w:rPr>
                <w:rFonts w:eastAsia="Times New Roman"/>
                <w:sz w:val="20"/>
                <w:szCs w:val="20"/>
              </w:rPr>
            </w:pPr>
          </w:p>
        </w:tc>
        <w:tc>
          <w:tcPr>
            <w:tcW w:w="0" w:type="auto"/>
            <w:vAlign w:val="center"/>
            <w:hideMark/>
          </w:tcPr>
          <w:p w14:paraId="2716FCAB" w14:textId="77777777" w:rsidR="00000000" w:rsidRDefault="00195E73">
            <w:pPr>
              <w:rPr>
                <w:rFonts w:eastAsia="Times New Roman"/>
                <w:sz w:val="20"/>
                <w:szCs w:val="20"/>
              </w:rPr>
            </w:pPr>
          </w:p>
        </w:tc>
        <w:tc>
          <w:tcPr>
            <w:tcW w:w="0" w:type="auto"/>
            <w:vAlign w:val="center"/>
            <w:hideMark/>
          </w:tcPr>
          <w:p w14:paraId="37E7F2B4" w14:textId="77777777" w:rsidR="00000000" w:rsidRDefault="00195E73">
            <w:pPr>
              <w:rPr>
                <w:rFonts w:eastAsia="Times New Roman"/>
                <w:sz w:val="20"/>
                <w:szCs w:val="20"/>
              </w:rPr>
            </w:pPr>
          </w:p>
        </w:tc>
        <w:tc>
          <w:tcPr>
            <w:tcW w:w="0" w:type="auto"/>
            <w:vAlign w:val="center"/>
            <w:hideMark/>
          </w:tcPr>
          <w:p w14:paraId="5856C146" w14:textId="77777777" w:rsidR="00000000" w:rsidRDefault="00195E73">
            <w:pPr>
              <w:rPr>
                <w:rFonts w:eastAsia="Times New Roman"/>
                <w:sz w:val="20"/>
                <w:szCs w:val="20"/>
              </w:rPr>
            </w:pPr>
          </w:p>
        </w:tc>
        <w:tc>
          <w:tcPr>
            <w:tcW w:w="0" w:type="auto"/>
            <w:vAlign w:val="center"/>
            <w:hideMark/>
          </w:tcPr>
          <w:p w14:paraId="13418B20" w14:textId="77777777" w:rsidR="00000000" w:rsidRDefault="00195E73">
            <w:pPr>
              <w:rPr>
                <w:rFonts w:eastAsia="Times New Roman"/>
                <w:sz w:val="20"/>
                <w:szCs w:val="20"/>
              </w:rPr>
            </w:pPr>
          </w:p>
        </w:tc>
        <w:tc>
          <w:tcPr>
            <w:tcW w:w="0" w:type="auto"/>
            <w:vAlign w:val="center"/>
            <w:hideMark/>
          </w:tcPr>
          <w:p w14:paraId="5483054B" w14:textId="77777777" w:rsidR="00000000" w:rsidRDefault="00195E73">
            <w:pPr>
              <w:rPr>
                <w:rFonts w:eastAsia="Times New Roman"/>
                <w:sz w:val="20"/>
                <w:szCs w:val="20"/>
              </w:rPr>
            </w:pPr>
          </w:p>
        </w:tc>
        <w:tc>
          <w:tcPr>
            <w:tcW w:w="0" w:type="auto"/>
            <w:vAlign w:val="center"/>
            <w:hideMark/>
          </w:tcPr>
          <w:p w14:paraId="416EF0B4" w14:textId="77777777" w:rsidR="00000000" w:rsidRDefault="00195E73">
            <w:pPr>
              <w:rPr>
                <w:rFonts w:eastAsia="Times New Roman"/>
                <w:sz w:val="20"/>
                <w:szCs w:val="20"/>
              </w:rPr>
            </w:pPr>
          </w:p>
        </w:tc>
        <w:tc>
          <w:tcPr>
            <w:tcW w:w="0" w:type="auto"/>
            <w:vAlign w:val="center"/>
            <w:hideMark/>
          </w:tcPr>
          <w:p w14:paraId="5814F6CA" w14:textId="77777777" w:rsidR="00000000" w:rsidRDefault="00195E73">
            <w:pPr>
              <w:rPr>
                <w:rFonts w:eastAsia="Times New Roman"/>
                <w:sz w:val="20"/>
                <w:szCs w:val="20"/>
              </w:rPr>
            </w:pPr>
          </w:p>
        </w:tc>
        <w:tc>
          <w:tcPr>
            <w:tcW w:w="0" w:type="auto"/>
            <w:vAlign w:val="center"/>
            <w:hideMark/>
          </w:tcPr>
          <w:p w14:paraId="374C9593" w14:textId="77777777" w:rsidR="00000000" w:rsidRDefault="00195E73">
            <w:pPr>
              <w:rPr>
                <w:rFonts w:eastAsia="Times New Roman"/>
                <w:sz w:val="20"/>
                <w:szCs w:val="20"/>
              </w:rPr>
            </w:pPr>
          </w:p>
        </w:tc>
      </w:tr>
      <w:tr w:rsidR="00000000" w14:paraId="7AA6757D" w14:textId="77777777">
        <w:trPr>
          <w:divId w:val="867717940"/>
          <w:jc w:val="center"/>
        </w:trPr>
        <w:tc>
          <w:tcPr>
            <w:tcW w:w="0" w:type="auto"/>
            <w:gridSpan w:val="3"/>
            <w:shd w:val="clear" w:color="auto" w:fill="FFFFFF"/>
            <w:tcMar>
              <w:top w:w="30" w:type="dxa"/>
              <w:left w:w="20" w:type="dxa"/>
              <w:bottom w:w="30" w:type="dxa"/>
              <w:right w:w="20" w:type="dxa"/>
            </w:tcMar>
            <w:vAlign w:val="bottom"/>
            <w:hideMark/>
          </w:tcPr>
          <w:p w14:paraId="43416218" w14:textId="77777777" w:rsidR="00000000" w:rsidRDefault="00195E73">
            <w:pPr>
              <w:rPr>
                <w:rFonts w:eastAsia="Times New Roman"/>
              </w:rPr>
            </w:pPr>
            <w:r>
              <w:rPr>
                <w:rFonts w:eastAsia="Times New Roman"/>
                <w:color w:val="000000"/>
                <w:sz w:val="20"/>
                <w:szCs w:val="20"/>
              </w:rPr>
              <w:t>Cost of goods sold and other expenses from operation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E5D079D" w14:textId="77777777" w:rsidR="00000000" w:rsidRDefault="00195E73">
            <w:pPr>
              <w:jc w:val="right"/>
              <w:rPr>
                <w:rFonts w:eastAsia="Times New Roman"/>
              </w:rPr>
            </w:pPr>
            <w:r>
              <w:rPr>
                <w:rFonts w:eastAsia="Times New Roman"/>
                <w:color w:val="000000"/>
                <w:sz w:val="20"/>
                <w:szCs w:val="20"/>
              </w:rPr>
              <w:t>2,089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1F9E42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AB2AF5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FE8502" w14:textId="77777777" w:rsidR="00000000" w:rsidRDefault="00195E73">
            <w:pPr>
              <w:jc w:val="right"/>
              <w:rPr>
                <w:rFonts w:eastAsia="Times New Roman"/>
              </w:rPr>
            </w:pPr>
            <w:r>
              <w:rPr>
                <w:rFonts w:eastAsia="Times New Roman"/>
                <w:color w:val="000000"/>
                <w:sz w:val="20"/>
                <w:szCs w:val="20"/>
              </w:rPr>
              <w:t>1,976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641921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C8E59A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11C7E4" w14:textId="77777777" w:rsidR="00000000" w:rsidRDefault="00195E73">
            <w:pPr>
              <w:jc w:val="right"/>
              <w:rPr>
                <w:rFonts w:eastAsia="Times New Roman"/>
              </w:rPr>
            </w:pPr>
            <w:r>
              <w:rPr>
                <w:rFonts w:eastAsia="Times New Roman"/>
                <w:color w:val="000000"/>
                <w:sz w:val="20"/>
                <w:szCs w:val="20"/>
              </w:rPr>
              <w:t>1,978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12E2B1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33863E8" w14:textId="77777777" w:rsidR="00000000" w:rsidRDefault="00195E73">
            <w:pPr>
              <w:rPr>
                <w:rFonts w:eastAsia="Times New Roman"/>
                <w:sz w:val="20"/>
                <w:szCs w:val="20"/>
              </w:rPr>
            </w:pPr>
          </w:p>
        </w:tc>
        <w:tc>
          <w:tcPr>
            <w:tcW w:w="0" w:type="auto"/>
            <w:vAlign w:val="center"/>
            <w:hideMark/>
          </w:tcPr>
          <w:p w14:paraId="755D7EA4" w14:textId="77777777" w:rsidR="00000000" w:rsidRDefault="00195E73">
            <w:pPr>
              <w:rPr>
                <w:rFonts w:eastAsia="Times New Roman"/>
                <w:sz w:val="20"/>
                <w:szCs w:val="20"/>
              </w:rPr>
            </w:pPr>
          </w:p>
        </w:tc>
        <w:tc>
          <w:tcPr>
            <w:tcW w:w="0" w:type="auto"/>
            <w:vAlign w:val="center"/>
            <w:hideMark/>
          </w:tcPr>
          <w:p w14:paraId="1ED03EBC" w14:textId="77777777" w:rsidR="00000000" w:rsidRDefault="00195E73">
            <w:pPr>
              <w:rPr>
                <w:rFonts w:eastAsia="Times New Roman"/>
                <w:sz w:val="20"/>
                <w:szCs w:val="20"/>
              </w:rPr>
            </w:pPr>
          </w:p>
        </w:tc>
        <w:tc>
          <w:tcPr>
            <w:tcW w:w="0" w:type="auto"/>
            <w:vAlign w:val="center"/>
            <w:hideMark/>
          </w:tcPr>
          <w:p w14:paraId="36036E2A" w14:textId="77777777" w:rsidR="00000000" w:rsidRDefault="00195E73">
            <w:pPr>
              <w:rPr>
                <w:rFonts w:eastAsia="Times New Roman"/>
                <w:sz w:val="20"/>
                <w:szCs w:val="20"/>
              </w:rPr>
            </w:pPr>
          </w:p>
        </w:tc>
        <w:tc>
          <w:tcPr>
            <w:tcW w:w="0" w:type="auto"/>
            <w:vAlign w:val="center"/>
            <w:hideMark/>
          </w:tcPr>
          <w:p w14:paraId="3CA6201E" w14:textId="77777777" w:rsidR="00000000" w:rsidRDefault="00195E73">
            <w:pPr>
              <w:rPr>
                <w:rFonts w:eastAsia="Times New Roman"/>
                <w:sz w:val="20"/>
                <w:szCs w:val="20"/>
              </w:rPr>
            </w:pPr>
          </w:p>
        </w:tc>
        <w:tc>
          <w:tcPr>
            <w:tcW w:w="0" w:type="auto"/>
            <w:vAlign w:val="center"/>
            <w:hideMark/>
          </w:tcPr>
          <w:p w14:paraId="4C2AF717" w14:textId="77777777" w:rsidR="00000000" w:rsidRDefault="00195E73">
            <w:pPr>
              <w:rPr>
                <w:rFonts w:eastAsia="Times New Roman"/>
                <w:sz w:val="20"/>
                <w:szCs w:val="20"/>
              </w:rPr>
            </w:pPr>
          </w:p>
        </w:tc>
        <w:tc>
          <w:tcPr>
            <w:tcW w:w="0" w:type="auto"/>
            <w:vAlign w:val="center"/>
            <w:hideMark/>
          </w:tcPr>
          <w:p w14:paraId="2755FF2E" w14:textId="77777777" w:rsidR="00000000" w:rsidRDefault="00195E73">
            <w:pPr>
              <w:rPr>
                <w:rFonts w:eastAsia="Times New Roman"/>
                <w:sz w:val="20"/>
                <w:szCs w:val="20"/>
              </w:rPr>
            </w:pPr>
          </w:p>
        </w:tc>
        <w:tc>
          <w:tcPr>
            <w:tcW w:w="0" w:type="auto"/>
            <w:vAlign w:val="center"/>
            <w:hideMark/>
          </w:tcPr>
          <w:p w14:paraId="292B48AD" w14:textId="77777777" w:rsidR="00000000" w:rsidRDefault="00195E73">
            <w:pPr>
              <w:rPr>
                <w:rFonts w:eastAsia="Times New Roman"/>
                <w:sz w:val="20"/>
                <w:szCs w:val="20"/>
              </w:rPr>
            </w:pPr>
          </w:p>
        </w:tc>
        <w:tc>
          <w:tcPr>
            <w:tcW w:w="0" w:type="auto"/>
            <w:vAlign w:val="center"/>
            <w:hideMark/>
          </w:tcPr>
          <w:p w14:paraId="7C8FDAD4" w14:textId="77777777" w:rsidR="00000000" w:rsidRDefault="00195E73">
            <w:pPr>
              <w:rPr>
                <w:rFonts w:eastAsia="Times New Roman"/>
                <w:sz w:val="20"/>
                <w:szCs w:val="20"/>
              </w:rPr>
            </w:pPr>
          </w:p>
        </w:tc>
        <w:tc>
          <w:tcPr>
            <w:tcW w:w="0" w:type="auto"/>
            <w:vAlign w:val="center"/>
            <w:hideMark/>
          </w:tcPr>
          <w:p w14:paraId="35CAE9E2" w14:textId="77777777" w:rsidR="00000000" w:rsidRDefault="00195E73">
            <w:pPr>
              <w:rPr>
                <w:rFonts w:eastAsia="Times New Roman"/>
                <w:sz w:val="20"/>
                <w:szCs w:val="20"/>
              </w:rPr>
            </w:pPr>
          </w:p>
        </w:tc>
        <w:tc>
          <w:tcPr>
            <w:tcW w:w="0" w:type="auto"/>
            <w:vAlign w:val="center"/>
            <w:hideMark/>
          </w:tcPr>
          <w:p w14:paraId="447B481C" w14:textId="77777777" w:rsidR="00000000" w:rsidRDefault="00195E73">
            <w:pPr>
              <w:rPr>
                <w:rFonts w:eastAsia="Times New Roman"/>
                <w:sz w:val="20"/>
                <w:szCs w:val="20"/>
              </w:rPr>
            </w:pPr>
          </w:p>
        </w:tc>
        <w:tc>
          <w:tcPr>
            <w:tcW w:w="0" w:type="auto"/>
            <w:vAlign w:val="center"/>
            <w:hideMark/>
          </w:tcPr>
          <w:p w14:paraId="488A3F2D" w14:textId="77777777" w:rsidR="00000000" w:rsidRDefault="00195E73">
            <w:pPr>
              <w:rPr>
                <w:rFonts w:eastAsia="Times New Roman"/>
                <w:sz w:val="20"/>
                <w:szCs w:val="20"/>
              </w:rPr>
            </w:pPr>
          </w:p>
        </w:tc>
      </w:tr>
      <w:tr w:rsidR="00000000" w14:paraId="5A4D9E0A" w14:textId="77777777">
        <w:trPr>
          <w:divId w:val="867717940"/>
          <w:jc w:val="center"/>
        </w:trPr>
        <w:tc>
          <w:tcPr>
            <w:tcW w:w="0" w:type="auto"/>
            <w:gridSpan w:val="3"/>
            <w:shd w:val="clear" w:color="auto" w:fill="CCEEFF"/>
            <w:tcMar>
              <w:top w:w="30" w:type="dxa"/>
              <w:left w:w="20" w:type="dxa"/>
              <w:bottom w:w="30" w:type="dxa"/>
              <w:right w:w="20" w:type="dxa"/>
            </w:tcMar>
            <w:vAlign w:val="bottom"/>
            <w:hideMark/>
          </w:tcPr>
          <w:p w14:paraId="5EF63BF0" w14:textId="77777777" w:rsidR="00000000" w:rsidRDefault="00195E73">
            <w:pPr>
              <w:rPr>
                <w:rFonts w:eastAsia="Times New Roman"/>
              </w:rPr>
            </w:pPr>
            <w:r>
              <w:rPr>
                <w:rFonts w:eastAsia="Times New Roman"/>
                <w:color w:val="000000"/>
                <w:sz w:val="20"/>
                <w:szCs w:val="20"/>
              </w:rPr>
              <w:t>Gross margi</w:t>
            </w:r>
            <w:r>
              <w:rPr>
                <w:rFonts w:eastAsia="Times New Roman"/>
                <w:color w:val="000000"/>
                <w:sz w:val="20"/>
                <w:szCs w:val="20"/>
              </w:rPr>
              <w:t>n</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766460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99913DF" w14:textId="77777777" w:rsidR="00000000" w:rsidRDefault="00195E73">
            <w:pPr>
              <w:jc w:val="right"/>
              <w:rPr>
                <w:rFonts w:eastAsia="Times New Roman"/>
              </w:rPr>
            </w:pPr>
            <w:r>
              <w:rPr>
                <w:rFonts w:eastAsia="Times New Roman"/>
                <w:color w:val="000000"/>
                <w:sz w:val="20"/>
                <w:szCs w:val="20"/>
              </w:rPr>
              <w:t>795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09C14A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ED003F6"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D34B2E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9C14800" w14:textId="77777777" w:rsidR="00000000" w:rsidRDefault="00195E73">
            <w:pPr>
              <w:jc w:val="right"/>
              <w:rPr>
                <w:rFonts w:eastAsia="Times New Roman"/>
              </w:rPr>
            </w:pPr>
            <w:r>
              <w:rPr>
                <w:rFonts w:eastAsia="Times New Roman"/>
                <w:color w:val="000000"/>
                <w:sz w:val="20"/>
                <w:szCs w:val="20"/>
              </w:rPr>
              <w:t>882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6F4054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A7BA0D4"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3D5C0A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A4CA621" w14:textId="77777777" w:rsidR="00000000" w:rsidRDefault="00195E73">
            <w:pPr>
              <w:jc w:val="right"/>
              <w:rPr>
                <w:rFonts w:eastAsia="Times New Roman"/>
              </w:rPr>
            </w:pPr>
            <w:r>
              <w:rPr>
                <w:rFonts w:eastAsia="Times New Roman"/>
                <w:color w:val="000000"/>
                <w:sz w:val="20"/>
                <w:szCs w:val="20"/>
              </w:rPr>
              <w:t>745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98E033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81D92BF" w14:textId="77777777" w:rsidR="00000000" w:rsidRDefault="00195E73">
            <w:pPr>
              <w:rPr>
                <w:rFonts w:eastAsia="Times New Roman"/>
                <w:sz w:val="20"/>
                <w:szCs w:val="20"/>
              </w:rPr>
            </w:pPr>
          </w:p>
        </w:tc>
        <w:tc>
          <w:tcPr>
            <w:tcW w:w="0" w:type="auto"/>
            <w:vAlign w:val="center"/>
            <w:hideMark/>
          </w:tcPr>
          <w:p w14:paraId="61936D58" w14:textId="77777777" w:rsidR="00000000" w:rsidRDefault="00195E73">
            <w:pPr>
              <w:rPr>
                <w:rFonts w:eastAsia="Times New Roman"/>
                <w:sz w:val="20"/>
                <w:szCs w:val="20"/>
              </w:rPr>
            </w:pPr>
          </w:p>
        </w:tc>
        <w:tc>
          <w:tcPr>
            <w:tcW w:w="0" w:type="auto"/>
            <w:vAlign w:val="center"/>
            <w:hideMark/>
          </w:tcPr>
          <w:p w14:paraId="6FD6BF81" w14:textId="77777777" w:rsidR="00000000" w:rsidRDefault="00195E73">
            <w:pPr>
              <w:rPr>
                <w:rFonts w:eastAsia="Times New Roman"/>
                <w:sz w:val="20"/>
                <w:szCs w:val="20"/>
              </w:rPr>
            </w:pPr>
          </w:p>
        </w:tc>
        <w:tc>
          <w:tcPr>
            <w:tcW w:w="0" w:type="auto"/>
            <w:vAlign w:val="center"/>
            <w:hideMark/>
          </w:tcPr>
          <w:p w14:paraId="1C7D9F57" w14:textId="77777777" w:rsidR="00000000" w:rsidRDefault="00195E73">
            <w:pPr>
              <w:rPr>
                <w:rFonts w:eastAsia="Times New Roman"/>
                <w:sz w:val="20"/>
                <w:szCs w:val="20"/>
              </w:rPr>
            </w:pPr>
          </w:p>
        </w:tc>
        <w:tc>
          <w:tcPr>
            <w:tcW w:w="0" w:type="auto"/>
            <w:vAlign w:val="center"/>
            <w:hideMark/>
          </w:tcPr>
          <w:p w14:paraId="1A56A09A" w14:textId="77777777" w:rsidR="00000000" w:rsidRDefault="00195E73">
            <w:pPr>
              <w:rPr>
                <w:rFonts w:eastAsia="Times New Roman"/>
                <w:sz w:val="20"/>
                <w:szCs w:val="20"/>
              </w:rPr>
            </w:pPr>
          </w:p>
        </w:tc>
        <w:tc>
          <w:tcPr>
            <w:tcW w:w="0" w:type="auto"/>
            <w:vAlign w:val="center"/>
            <w:hideMark/>
          </w:tcPr>
          <w:p w14:paraId="085BFF2D" w14:textId="77777777" w:rsidR="00000000" w:rsidRDefault="00195E73">
            <w:pPr>
              <w:rPr>
                <w:rFonts w:eastAsia="Times New Roman"/>
                <w:sz w:val="20"/>
                <w:szCs w:val="20"/>
              </w:rPr>
            </w:pPr>
          </w:p>
        </w:tc>
        <w:tc>
          <w:tcPr>
            <w:tcW w:w="0" w:type="auto"/>
            <w:vAlign w:val="center"/>
            <w:hideMark/>
          </w:tcPr>
          <w:p w14:paraId="4C5922E9" w14:textId="77777777" w:rsidR="00000000" w:rsidRDefault="00195E73">
            <w:pPr>
              <w:rPr>
                <w:rFonts w:eastAsia="Times New Roman"/>
                <w:sz w:val="20"/>
                <w:szCs w:val="20"/>
              </w:rPr>
            </w:pPr>
          </w:p>
        </w:tc>
        <w:tc>
          <w:tcPr>
            <w:tcW w:w="0" w:type="auto"/>
            <w:vAlign w:val="center"/>
            <w:hideMark/>
          </w:tcPr>
          <w:p w14:paraId="129D1C04" w14:textId="77777777" w:rsidR="00000000" w:rsidRDefault="00195E73">
            <w:pPr>
              <w:rPr>
                <w:rFonts w:eastAsia="Times New Roman"/>
                <w:sz w:val="20"/>
                <w:szCs w:val="20"/>
              </w:rPr>
            </w:pPr>
          </w:p>
        </w:tc>
        <w:tc>
          <w:tcPr>
            <w:tcW w:w="0" w:type="auto"/>
            <w:vAlign w:val="center"/>
            <w:hideMark/>
          </w:tcPr>
          <w:p w14:paraId="304870FD" w14:textId="77777777" w:rsidR="00000000" w:rsidRDefault="00195E73">
            <w:pPr>
              <w:rPr>
                <w:rFonts w:eastAsia="Times New Roman"/>
                <w:sz w:val="20"/>
                <w:szCs w:val="20"/>
              </w:rPr>
            </w:pPr>
          </w:p>
        </w:tc>
        <w:tc>
          <w:tcPr>
            <w:tcW w:w="0" w:type="auto"/>
            <w:vAlign w:val="center"/>
            <w:hideMark/>
          </w:tcPr>
          <w:p w14:paraId="662361D7" w14:textId="77777777" w:rsidR="00000000" w:rsidRDefault="00195E73">
            <w:pPr>
              <w:rPr>
                <w:rFonts w:eastAsia="Times New Roman"/>
                <w:sz w:val="20"/>
                <w:szCs w:val="20"/>
              </w:rPr>
            </w:pPr>
          </w:p>
        </w:tc>
        <w:tc>
          <w:tcPr>
            <w:tcW w:w="0" w:type="auto"/>
            <w:vAlign w:val="center"/>
            <w:hideMark/>
          </w:tcPr>
          <w:p w14:paraId="766D5D54" w14:textId="77777777" w:rsidR="00000000" w:rsidRDefault="00195E73">
            <w:pPr>
              <w:rPr>
                <w:rFonts w:eastAsia="Times New Roman"/>
                <w:sz w:val="20"/>
                <w:szCs w:val="20"/>
              </w:rPr>
            </w:pPr>
          </w:p>
        </w:tc>
        <w:tc>
          <w:tcPr>
            <w:tcW w:w="0" w:type="auto"/>
            <w:vAlign w:val="center"/>
            <w:hideMark/>
          </w:tcPr>
          <w:p w14:paraId="5CA252C1" w14:textId="77777777" w:rsidR="00000000" w:rsidRDefault="00195E73">
            <w:pPr>
              <w:rPr>
                <w:rFonts w:eastAsia="Times New Roman"/>
                <w:sz w:val="20"/>
                <w:szCs w:val="20"/>
              </w:rPr>
            </w:pPr>
          </w:p>
        </w:tc>
      </w:tr>
      <w:tr w:rsidR="00000000" w14:paraId="24ACEE9F" w14:textId="77777777">
        <w:trPr>
          <w:divId w:val="867717940"/>
          <w:jc w:val="center"/>
        </w:trPr>
        <w:tc>
          <w:tcPr>
            <w:tcW w:w="0" w:type="auto"/>
            <w:gridSpan w:val="3"/>
            <w:vAlign w:val="center"/>
            <w:hideMark/>
          </w:tcPr>
          <w:p w14:paraId="6EB4BCFF" w14:textId="77777777" w:rsidR="00000000" w:rsidRDefault="00195E73">
            <w:pPr>
              <w:jc w:val="right"/>
              <w:rPr>
                <w:rFonts w:eastAsia="Times New Roman"/>
              </w:rPr>
            </w:pPr>
          </w:p>
        </w:tc>
        <w:tc>
          <w:tcPr>
            <w:tcW w:w="0" w:type="auto"/>
            <w:gridSpan w:val="3"/>
            <w:vAlign w:val="center"/>
            <w:hideMark/>
          </w:tcPr>
          <w:p w14:paraId="26C37AE6" w14:textId="77777777" w:rsidR="00000000" w:rsidRDefault="00195E73">
            <w:pPr>
              <w:rPr>
                <w:rFonts w:eastAsia="Times New Roman"/>
                <w:sz w:val="20"/>
                <w:szCs w:val="20"/>
              </w:rPr>
            </w:pPr>
          </w:p>
        </w:tc>
        <w:tc>
          <w:tcPr>
            <w:tcW w:w="0" w:type="auto"/>
            <w:gridSpan w:val="3"/>
            <w:vAlign w:val="center"/>
            <w:hideMark/>
          </w:tcPr>
          <w:p w14:paraId="344E9190" w14:textId="77777777" w:rsidR="00000000" w:rsidRDefault="00195E73">
            <w:pPr>
              <w:rPr>
                <w:rFonts w:eastAsia="Times New Roman"/>
                <w:sz w:val="20"/>
                <w:szCs w:val="20"/>
              </w:rPr>
            </w:pPr>
          </w:p>
        </w:tc>
        <w:tc>
          <w:tcPr>
            <w:tcW w:w="0" w:type="auto"/>
            <w:gridSpan w:val="3"/>
            <w:vAlign w:val="center"/>
            <w:hideMark/>
          </w:tcPr>
          <w:p w14:paraId="45330A25" w14:textId="77777777" w:rsidR="00000000" w:rsidRDefault="00195E73">
            <w:pPr>
              <w:rPr>
                <w:rFonts w:eastAsia="Times New Roman"/>
                <w:sz w:val="20"/>
                <w:szCs w:val="20"/>
              </w:rPr>
            </w:pPr>
          </w:p>
        </w:tc>
        <w:tc>
          <w:tcPr>
            <w:tcW w:w="0" w:type="auto"/>
            <w:gridSpan w:val="3"/>
            <w:vAlign w:val="center"/>
            <w:hideMark/>
          </w:tcPr>
          <w:p w14:paraId="5218F632" w14:textId="77777777" w:rsidR="00000000" w:rsidRDefault="00195E73">
            <w:pPr>
              <w:rPr>
                <w:rFonts w:eastAsia="Times New Roman"/>
                <w:sz w:val="20"/>
                <w:szCs w:val="20"/>
              </w:rPr>
            </w:pPr>
          </w:p>
        </w:tc>
        <w:tc>
          <w:tcPr>
            <w:tcW w:w="0" w:type="auto"/>
            <w:gridSpan w:val="3"/>
            <w:vAlign w:val="center"/>
            <w:hideMark/>
          </w:tcPr>
          <w:p w14:paraId="22A9C451" w14:textId="77777777" w:rsidR="00000000" w:rsidRDefault="00195E73">
            <w:pPr>
              <w:rPr>
                <w:rFonts w:eastAsia="Times New Roman"/>
                <w:sz w:val="20"/>
                <w:szCs w:val="20"/>
              </w:rPr>
            </w:pPr>
          </w:p>
        </w:tc>
        <w:tc>
          <w:tcPr>
            <w:tcW w:w="0" w:type="auto"/>
            <w:vAlign w:val="center"/>
            <w:hideMark/>
          </w:tcPr>
          <w:p w14:paraId="65DD1D55" w14:textId="77777777" w:rsidR="00000000" w:rsidRDefault="00195E73">
            <w:pPr>
              <w:rPr>
                <w:rFonts w:eastAsia="Times New Roman"/>
                <w:sz w:val="20"/>
                <w:szCs w:val="20"/>
              </w:rPr>
            </w:pPr>
          </w:p>
        </w:tc>
        <w:tc>
          <w:tcPr>
            <w:tcW w:w="0" w:type="auto"/>
            <w:vAlign w:val="center"/>
            <w:hideMark/>
          </w:tcPr>
          <w:p w14:paraId="6EBB31C6" w14:textId="77777777" w:rsidR="00000000" w:rsidRDefault="00195E73">
            <w:pPr>
              <w:rPr>
                <w:rFonts w:eastAsia="Times New Roman"/>
                <w:sz w:val="20"/>
                <w:szCs w:val="20"/>
              </w:rPr>
            </w:pPr>
          </w:p>
        </w:tc>
        <w:tc>
          <w:tcPr>
            <w:tcW w:w="0" w:type="auto"/>
            <w:vAlign w:val="center"/>
            <w:hideMark/>
          </w:tcPr>
          <w:p w14:paraId="1E71685A" w14:textId="77777777" w:rsidR="00000000" w:rsidRDefault="00195E73">
            <w:pPr>
              <w:rPr>
                <w:rFonts w:eastAsia="Times New Roman"/>
                <w:sz w:val="20"/>
                <w:szCs w:val="20"/>
              </w:rPr>
            </w:pPr>
          </w:p>
        </w:tc>
        <w:tc>
          <w:tcPr>
            <w:tcW w:w="0" w:type="auto"/>
            <w:vAlign w:val="center"/>
            <w:hideMark/>
          </w:tcPr>
          <w:p w14:paraId="7FBCFC10" w14:textId="77777777" w:rsidR="00000000" w:rsidRDefault="00195E73">
            <w:pPr>
              <w:rPr>
                <w:rFonts w:eastAsia="Times New Roman"/>
                <w:sz w:val="20"/>
                <w:szCs w:val="20"/>
              </w:rPr>
            </w:pPr>
          </w:p>
        </w:tc>
        <w:tc>
          <w:tcPr>
            <w:tcW w:w="0" w:type="auto"/>
            <w:vAlign w:val="center"/>
            <w:hideMark/>
          </w:tcPr>
          <w:p w14:paraId="101EFAEF" w14:textId="77777777" w:rsidR="00000000" w:rsidRDefault="00195E73">
            <w:pPr>
              <w:rPr>
                <w:rFonts w:eastAsia="Times New Roman"/>
                <w:sz w:val="20"/>
                <w:szCs w:val="20"/>
              </w:rPr>
            </w:pPr>
          </w:p>
        </w:tc>
        <w:tc>
          <w:tcPr>
            <w:tcW w:w="0" w:type="auto"/>
            <w:vAlign w:val="center"/>
            <w:hideMark/>
          </w:tcPr>
          <w:p w14:paraId="0F8D65E3" w14:textId="77777777" w:rsidR="00000000" w:rsidRDefault="00195E73">
            <w:pPr>
              <w:rPr>
                <w:rFonts w:eastAsia="Times New Roman"/>
                <w:sz w:val="20"/>
                <w:szCs w:val="20"/>
              </w:rPr>
            </w:pPr>
          </w:p>
        </w:tc>
        <w:tc>
          <w:tcPr>
            <w:tcW w:w="0" w:type="auto"/>
            <w:vAlign w:val="center"/>
            <w:hideMark/>
          </w:tcPr>
          <w:p w14:paraId="3E8A7EBF" w14:textId="77777777" w:rsidR="00000000" w:rsidRDefault="00195E73">
            <w:pPr>
              <w:rPr>
                <w:rFonts w:eastAsia="Times New Roman"/>
                <w:sz w:val="20"/>
                <w:szCs w:val="20"/>
              </w:rPr>
            </w:pPr>
          </w:p>
        </w:tc>
        <w:tc>
          <w:tcPr>
            <w:tcW w:w="0" w:type="auto"/>
            <w:vAlign w:val="center"/>
            <w:hideMark/>
          </w:tcPr>
          <w:p w14:paraId="622D3196" w14:textId="77777777" w:rsidR="00000000" w:rsidRDefault="00195E73">
            <w:pPr>
              <w:rPr>
                <w:rFonts w:eastAsia="Times New Roman"/>
                <w:sz w:val="20"/>
                <w:szCs w:val="20"/>
              </w:rPr>
            </w:pPr>
          </w:p>
        </w:tc>
        <w:tc>
          <w:tcPr>
            <w:tcW w:w="0" w:type="auto"/>
            <w:vAlign w:val="center"/>
            <w:hideMark/>
          </w:tcPr>
          <w:p w14:paraId="7AD43D47" w14:textId="77777777" w:rsidR="00000000" w:rsidRDefault="00195E73">
            <w:pPr>
              <w:rPr>
                <w:rFonts w:eastAsia="Times New Roman"/>
                <w:sz w:val="20"/>
                <w:szCs w:val="20"/>
              </w:rPr>
            </w:pPr>
          </w:p>
        </w:tc>
        <w:tc>
          <w:tcPr>
            <w:tcW w:w="0" w:type="auto"/>
            <w:vAlign w:val="center"/>
            <w:hideMark/>
          </w:tcPr>
          <w:p w14:paraId="3B3FBB50" w14:textId="77777777" w:rsidR="00000000" w:rsidRDefault="00195E73">
            <w:pPr>
              <w:rPr>
                <w:rFonts w:eastAsia="Times New Roman"/>
                <w:sz w:val="20"/>
                <w:szCs w:val="20"/>
              </w:rPr>
            </w:pPr>
          </w:p>
        </w:tc>
        <w:tc>
          <w:tcPr>
            <w:tcW w:w="0" w:type="auto"/>
            <w:vAlign w:val="center"/>
            <w:hideMark/>
          </w:tcPr>
          <w:p w14:paraId="1701C2E8" w14:textId="77777777" w:rsidR="00000000" w:rsidRDefault="00195E73">
            <w:pPr>
              <w:rPr>
                <w:rFonts w:eastAsia="Times New Roman"/>
                <w:sz w:val="20"/>
                <w:szCs w:val="20"/>
              </w:rPr>
            </w:pPr>
          </w:p>
        </w:tc>
        <w:tc>
          <w:tcPr>
            <w:tcW w:w="0" w:type="auto"/>
            <w:vAlign w:val="center"/>
            <w:hideMark/>
          </w:tcPr>
          <w:p w14:paraId="399F05C3" w14:textId="77777777" w:rsidR="00000000" w:rsidRDefault="00195E73">
            <w:pPr>
              <w:rPr>
                <w:rFonts w:eastAsia="Times New Roman"/>
                <w:sz w:val="20"/>
                <w:szCs w:val="20"/>
              </w:rPr>
            </w:pPr>
          </w:p>
        </w:tc>
      </w:tr>
      <w:tr w:rsidR="00000000" w14:paraId="1B079FE5" w14:textId="77777777">
        <w:trPr>
          <w:divId w:val="867717940"/>
          <w:jc w:val="center"/>
        </w:trPr>
        <w:tc>
          <w:tcPr>
            <w:tcW w:w="0" w:type="auto"/>
            <w:gridSpan w:val="3"/>
            <w:vAlign w:val="center"/>
            <w:hideMark/>
          </w:tcPr>
          <w:p w14:paraId="194B0901" w14:textId="77777777" w:rsidR="00000000" w:rsidRDefault="00195E73">
            <w:pPr>
              <w:rPr>
                <w:rFonts w:eastAsia="Times New Roman"/>
                <w:sz w:val="20"/>
                <w:szCs w:val="20"/>
              </w:rPr>
            </w:pPr>
          </w:p>
        </w:tc>
        <w:tc>
          <w:tcPr>
            <w:tcW w:w="0" w:type="auto"/>
            <w:gridSpan w:val="3"/>
            <w:vAlign w:val="center"/>
            <w:hideMark/>
          </w:tcPr>
          <w:p w14:paraId="6EA52A86" w14:textId="77777777" w:rsidR="00000000" w:rsidRDefault="00195E73">
            <w:pPr>
              <w:rPr>
                <w:rFonts w:eastAsia="Times New Roman"/>
                <w:sz w:val="20"/>
                <w:szCs w:val="20"/>
              </w:rPr>
            </w:pPr>
          </w:p>
        </w:tc>
        <w:tc>
          <w:tcPr>
            <w:tcW w:w="0" w:type="auto"/>
            <w:gridSpan w:val="3"/>
            <w:vAlign w:val="center"/>
            <w:hideMark/>
          </w:tcPr>
          <w:p w14:paraId="515D5B9A" w14:textId="77777777" w:rsidR="00000000" w:rsidRDefault="00195E73">
            <w:pPr>
              <w:rPr>
                <w:rFonts w:eastAsia="Times New Roman"/>
                <w:sz w:val="20"/>
                <w:szCs w:val="20"/>
              </w:rPr>
            </w:pPr>
          </w:p>
        </w:tc>
        <w:tc>
          <w:tcPr>
            <w:tcW w:w="0" w:type="auto"/>
            <w:gridSpan w:val="3"/>
            <w:vAlign w:val="center"/>
            <w:hideMark/>
          </w:tcPr>
          <w:p w14:paraId="059005C8" w14:textId="77777777" w:rsidR="00000000" w:rsidRDefault="00195E73">
            <w:pPr>
              <w:rPr>
                <w:rFonts w:eastAsia="Times New Roman"/>
                <w:sz w:val="20"/>
                <w:szCs w:val="20"/>
              </w:rPr>
            </w:pPr>
          </w:p>
        </w:tc>
        <w:tc>
          <w:tcPr>
            <w:tcW w:w="0" w:type="auto"/>
            <w:gridSpan w:val="3"/>
            <w:vAlign w:val="center"/>
            <w:hideMark/>
          </w:tcPr>
          <w:p w14:paraId="013A6D2D" w14:textId="77777777" w:rsidR="00000000" w:rsidRDefault="00195E73">
            <w:pPr>
              <w:rPr>
                <w:rFonts w:eastAsia="Times New Roman"/>
                <w:sz w:val="20"/>
                <w:szCs w:val="20"/>
              </w:rPr>
            </w:pPr>
          </w:p>
        </w:tc>
        <w:tc>
          <w:tcPr>
            <w:tcW w:w="0" w:type="auto"/>
            <w:gridSpan w:val="3"/>
            <w:vAlign w:val="center"/>
            <w:hideMark/>
          </w:tcPr>
          <w:p w14:paraId="397B0E92" w14:textId="77777777" w:rsidR="00000000" w:rsidRDefault="00195E73">
            <w:pPr>
              <w:rPr>
                <w:rFonts w:eastAsia="Times New Roman"/>
                <w:sz w:val="20"/>
                <w:szCs w:val="20"/>
              </w:rPr>
            </w:pPr>
          </w:p>
        </w:tc>
        <w:tc>
          <w:tcPr>
            <w:tcW w:w="0" w:type="auto"/>
            <w:vAlign w:val="center"/>
            <w:hideMark/>
          </w:tcPr>
          <w:p w14:paraId="40EACBDC" w14:textId="77777777" w:rsidR="00000000" w:rsidRDefault="00195E73">
            <w:pPr>
              <w:rPr>
                <w:rFonts w:eastAsia="Times New Roman"/>
                <w:sz w:val="20"/>
                <w:szCs w:val="20"/>
              </w:rPr>
            </w:pPr>
          </w:p>
        </w:tc>
        <w:tc>
          <w:tcPr>
            <w:tcW w:w="0" w:type="auto"/>
            <w:vAlign w:val="center"/>
            <w:hideMark/>
          </w:tcPr>
          <w:p w14:paraId="0A9B8D8B" w14:textId="77777777" w:rsidR="00000000" w:rsidRDefault="00195E73">
            <w:pPr>
              <w:rPr>
                <w:rFonts w:eastAsia="Times New Roman"/>
                <w:sz w:val="20"/>
                <w:szCs w:val="20"/>
              </w:rPr>
            </w:pPr>
          </w:p>
        </w:tc>
        <w:tc>
          <w:tcPr>
            <w:tcW w:w="0" w:type="auto"/>
            <w:vAlign w:val="center"/>
            <w:hideMark/>
          </w:tcPr>
          <w:p w14:paraId="0C91C013" w14:textId="77777777" w:rsidR="00000000" w:rsidRDefault="00195E73">
            <w:pPr>
              <w:rPr>
                <w:rFonts w:eastAsia="Times New Roman"/>
                <w:sz w:val="20"/>
                <w:szCs w:val="20"/>
              </w:rPr>
            </w:pPr>
          </w:p>
        </w:tc>
        <w:tc>
          <w:tcPr>
            <w:tcW w:w="0" w:type="auto"/>
            <w:vAlign w:val="center"/>
            <w:hideMark/>
          </w:tcPr>
          <w:p w14:paraId="4E8263AE" w14:textId="77777777" w:rsidR="00000000" w:rsidRDefault="00195E73">
            <w:pPr>
              <w:rPr>
                <w:rFonts w:eastAsia="Times New Roman"/>
                <w:sz w:val="20"/>
                <w:szCs w:val="20"/>
              </w:rPr>
            </w:pPr>
          </w:p>
        </w:tc>
        <w:tc>
          <w:tcPr>
            <w:tcW w:w="0" w:type="auto"/>
            <w:vAlign w:val="center"/>
            <w:hideMark/>
          </w:tcPr>
          <w:p w14:paraId="7B36EEB0" w14:textId="77777777" w:rsidR="00000000" w:rsidRDefault="00195E73">
            <w:pPr>
              <w:rPr>
                <w:rFonts w:eastAsia="Times New Roman"/>
                <w:sz w:val="20"/>
                <w:szCs w:val="20"/>
              </w:rPr>
            </w:pPr>
          </w:p>
        </w:tc>
        <w:tc>
          <w:tcPr>
            <w:tcW w:w="0" w:type="auto"/>
            <w:vAlign w:val="center"/>
            <w:hideMark/>
          </w:tcPr>
          <w:p w14:paraId="056FC609" w14:textId="77777777" w:rsidR="00000000" w:rsidRDefault="00195E73">
            <w:pPr>
              <w:rPr>
                <w:rFonts w:eastAsia="Times New Roman"/>
                <w:sz w:val="20"/>
                <w:szCs w:val="20"/>
              </w:rPr>
            </w:pPr>
          </w:p>
        </w:tc>
        <w:tc>
          <w:tcPr>
            <w:tcW w:w="0" w:type="auto"/>
            <w:vAlign w:val="center"/>
            <w:hideMark/>
          </w:tcPr>
          <w:p w14:paraId="2C0CF08E" w14:textId="77777777" w:rsidR="00000000" w:rsidRDefault="00195E73">
            <w:pPr>
              <w:rPr>
                <w:rFonts w:eastAsia="Times New Roman"/>
                <w:sz w:val="20"/>
                <w:szCs w:val="20"/>
              </w:rPr>
            </w:pPr>
          </w:p>
        </w:tc>
        <w:tc>
          <w:tcPr>
            <w:tcW w:w="0" w:type="auto"/>
            <w:vAlign w:val="center"/>
            <w:hideMark/>
          </w:tcPr>
          <w:p w14:paraId="077554A7" w14:textId="77777777" w:rsidR="00000000" w:rsidRDefault="00195E73">
            <w:pPr>
              <w:rPr>
                <w:rFonts w:eastAsia="Times New Roman"/>
                <w:sz w:val="20"/>
                <w:szCs w:val="20"/>
              </w:rPr>
            </w:pPr>
          </w:p>
        </w:tc>
        <w:tc>
          <w:tcPr>
            <w:tcW w:w="0" w:type="auto"/>
            <w:vAlign w:val="center"/>
            <w:hideMark/>
          </w:tcPr>
          <w:p w14:paraId="3B3D2EB6" w14:textId="77777777" w:rsidR="00000000" w:rsidRDefault="00195E73">
            <w:pPr>
              <w:rPr>
                <w:rFonts w:eastAsia="Times New Roman"/>
                <w:sz w:val="20"/>
                <w:szCs w:val="20"/>
              </w:rPr>
            </w:pPr>
          </w:p>
        </w:tc>
        <w:tc>
          <w:tcPr>
            <w:tcW w:w="0" w:type="auto"/>
            <w:vAlign w:val="center"/>
            <w:hideMark/>
          </w:tcPr>
          <w:p w14:paraId="3535BDC1" w14:textId="77777777" w:rsidR="00000000" w:rsidRDefault="00195E73">
            <w:pPr>
              <w:rPr>
                <w:rFonts w:eastAsia="Times New Roman"/>
                <w:sz w:val="20"/>
                <w:szCs w:val="20"/>
              </w:rPr>
            </w:pPr>
          </w:p>
        </w:tc>
        <w:tc>
          <w:tcPr>
            <w:tcW w:w="0" w:type="auto"/>
            <w:vAlign w:val="center"/>
            <w:hideMark/>
          </w:tcPr>
          <w:p w14:paraId="69BD7372" w14:textId="77777777" w:rsidR="00000000" w:rsidRDefault="00195E73">
            <w:pPr>
              <w:rPr>
                <w:rFonts w:eastAsia="Times New Roman"/>
                <w:sz w:val="20"/>
                <w:szCs w:val="20"/>
              </w:rPr>
            </w:pPr>
          </w:p>
        </w:tc>
        <w:tc>
          <w:tcPr>
            <w:tcW w:w="0" w:type="auto"/>
            <w:vAlign w:val="center"/>
            <w:hideMark/>
          </w:tcPr>
          <w:p w14:paraId="2402D08E" w14:textId="77777777" w:rsidR="00000000" w:rsidRDefault="00195E73">
            <w:pPr>
              <w:rPr>
                <w:rFonts w:eastAsia="Times New Roman"/>
                <w:sz w:val="20"/>
                <w:szCs w:val="20"/>
              </w:rPr>
            </w:pPr>
          </w:p>
        </w:tc>
      </w:tr>
      <w:tr w:rsidR="00000000" w14:paraId="416D2932" w14:textId="77777777">
        <w:trPr>
          <w:divId w:val="867717940"/>
          <w:jc w:val="center"/>
        </w:trPr>
        <w:tc>
          <w:tcPr>
            <w:tcW w:w="0" w:type="auto"/>
            <w:gridSpan w:val="3"/>
            <w:vAlign w:val="center"/>
            <w:hideMark/>
          </w:tcPr>
          <w:p w14:paraId="0E8DD289" w14:textId="77777777" w:rsidR="00000000" w:rsidRDefault="00195E73">
            <w:pPr>
              <w:rPr>
                <w:rFonts w:eastAsia="Times New Roman"/>
                <w:sz w:val="20"/>
                <w:szCs w:val="20"/>
              </w:rPr>
            </w:pPr>
          </w:p>
        </w:tc>
        <w:tc>
          <w:tcPr>
            <w:tcW w:w="0" w:type="auto"/>
            <w:gridSpan w:val="3"/>
            <w:vAlign w:val="center"/>
            <w:hideMark/>
          </w:tcPr>
          <w:p w14:paraId="71D28A0A" w14:textId="77777777" w:rsidR="00000000" w:rsidRDefault="00195E73">
            <w:pPr>
              <w:rPr>
                <w:rFonts w:eastAsia="Times New Roman"/>
                <w:sz w:val="20"/>
                <w:szCs w:val="20"/>
              </w:rPr>
            </w:pPr>
          </w:p>
        </w:tc>
        <w:tc>
          <w:tcPr>
            <w:tcW w:w="0" w:type="auto"/>
            <w:gridSpan w:val="3"/>
            <w:vAlign w:val="center"/>
            <w:hideMark/>
          </w:tcPr>
          <w:p w14:paraId="35068B48" w14:textId="77777777" w:rsidR="00000000" w:rsidRDefault="00195E73">
            <w:pPr>
              <w:rPr>
                <w:rFonts w:eastAsia="Times New Roman"/>
                <w:sz w:val="20"/>
                <w:szCs w:val="20"/>
              </w:rPr>
            </w:pPr>
          </w:p>
        </w:tc>
        <w:tc>
          <w:tcPr>
            <w:tcW w:w="0" w:type="auto"/>
            <w:gridSpan w:val="3"/>
            <w:vAlign w:val="center"/>
            <w:hideMark/>
          </w:tcPr>
          <w:p w14:paraId="571A277D" w14:textId="77777777" w:rsidR="00000000" w:rsidRDefault="00195E73">
            <w:pPr>
              <w:rPr>
                <w:rFonts w:eastAsia="Times New Roman"/>
                <w:sz w:val="20"/>
                <w:szCs w:val="20"/>
              </w:rPr>
            </w:pPr>
          </w:p>
        </w:tc>
        <w:tc>
          <w:tcPr>
            <w:tcW w:w="0" w:type="auto"/>
            <w:gridSpan w:val="3"/>
            <w:vAlign w:val="center"/>
            <w:hideMark/>
          </w:tcPr>
          <w:p w14:paraId="2169DA8D" w14:textId="77777777" w:rsidR="00000000" w:rsidRDefault="00195E73">
            <w:pPr>
              <w:rPr>
                <w:rFonts w:eastAsia="Times New Roman"/>
                <w:sz w:val="20"/>
                <w:szCs w:val="20"/>
              </w:rPr>
            </w:pPr>
          </w:p>
        </w:tc>
        <w:tc>
          <w:tcPr>
            <w:tcW w:w="0" w:type="auto"/>
            <w:gridSpan w:val="3"/>
            <w:vAlign w:val="center"/>
            <w:hideMark/>
          </w:tcPr>
          <w:p w14:paraId="74F21B87" w14:textId="77777777" w:rsidR="00000000" w:rsidRDefault="00195E73">
            <w:pPr>
              <w:rPr>
                <w:rFonts w:eastAsia="Times New Roman"/>
                <w:sz w:val="20"/>
                <w:szCs w:val="20"/>
              </w:rPr>
            </w:pPr>
          </w:p>
        </w:tc>
        <w:tc>
          <w:tcPr>
            <w:tcW w:w="0" w:type="auto"/>
            <w:vAlign w:val="center"/>
            <w:hideMark/>
          </w:tcPr>
          <w:p w14:paraId="0716EEC0" w14:textId="77777777" w:rsidR="00000000" w:rsidRDefault="00195E73">
            <w:pPr>
              <w:rPr>
                <w:rFonts w:eastAsia="Times New Roman"/>
                <w:sz w:val="20"/>
                <w:szCs w:val="20"/>
              </w:rPr>
            </w:pPr>
          </w:p>
        </w:tc>
        <w:tc>
          <w:tcPr>
            <w:tcW w:w="0" w:type="auto"/>
            <w:vAlign w:val="center"/>
            <w:hideMark/>
          </w:tcPr>
          <w:p w14:paraId="15D1F406" w14:textId="77777777" w:rsidR="00000000" w:rsidRDefault="00195E73">
            <w:pPr>
              <w:rPr>
                <w:rFonts w:eastAsia="Times New Roman"/>
                <w:sz w:val="20"/>
                <w:szCs w:val="20"/>
              </w:rPr>
            </w:pPr>
          </w:p>
        </w:tc>
        <w:tc>
          <w:tcPr>
            <w:tcW w:w="0" w:type="auto"/>
            <w:vAlign w:val="center"/>
            <w:hideMark/>
          </w:tcPr>
          <w:p w14:paraId="328B4D77" w14:textId="77777777" w:rsidR="00000000" w:rsidRDefault="00195E73">
            <w:pPr>
              <w:rPr>
                <w:rFonts w:eastAsia="Times New Roman"/>
                <w:sz w:val="20"/>
                <w:szCs w:val="20"/>
              </w:rPr>
            </w:pPr>
          </w:p>
        </w:tc>
        <w:tc>
          <w:tcPr>
            <w:tcW w:w="0" w:type="auto"/>
            <w:vAlign w:val="center"/>
            <w:hideMark/>
          </w:tcPr>
          <w:p w14:paraId="2527AC6B" w14:textId="77777777" w:rsidR="00000000" w:rsidRDefault="00195E73">
            <w:pPr>
              <w:rPr>
                <w:rFonts w:eastAsia="Times New Roman"/>
                <w:sz w:val="20"/>
                <w:szCs w:val="20"/>
              </w:rPr>
            </w:pPr>
          </w:p>
        </w:tc>
        <w:tc>
          <w:tcPr>
            <w:tcW w:w="0" w:type="auto"/>
            <w:vAlign w:val="center"/>
            <w:hideMark/>
          </w:tcPr>
          <w:p w14:paraId="7E0E44B5" w14:textId="77777777" w:rsidR="00000000" w:rsidRDefault="00195E73">
            <w:pPr>
              <w:rPr>
                <w:rFonts w:eastAsia="Times New Roman"/>
                <w:sz w:val="20"/>
                <w:szCs w:val="20"/>
              </w:rPr>
            </w:pPr>
          </w:p>
        </w:tc>
        <w:tc>
          <w:tcPr>
            <w:tcW w:w="0" w:type="auto"/>
            <w:vAlign w:val="center"/>
            <w:hideMark/>
          </w:tcPr>
          <w:p w14:paraId="046ECAAB" w14:textId="77777777" w:rsidR="00000000" w:rsidRDefault="00195E73">
            <w:pPr>
              <w:rPr>
                <w:rFonts w:eastAsia="Times New Roman"/>
                <w:sz w:val="20"/>
                <w:szCs w:val="20"/>
              </w:rPr>
            </w:pPr>
          </w:p>
        </w:tc>
        <w:tc>
          <w:tcPr>
            <w:tcW w:w="0" w:type="auto"/>
            <w:vAlign w:val="center"/>
            <w:hideMark/>
          </w:tcPr>
          <w:p w14:paraId="2961BFCA" w14:textId="77777777" w:rsidR="00000000" w:rsidRDefault="00195E73">
            <w:pPr>
              <w:rPr>
                <w:rFonts w:eastAsia="Times New Roman"/>
                <w:sz w:val="20"/>
                <w:szCs w:val="20"/>
              </w:rPr>
            </w:pPr>
          </w:p>
        </w:tc>
        <w:tc>
          <w:tcPr>
            <w:tcW w:w="0" w:type="auto"/>
            <w:vAlign w:val="center"/>
            <w:hideMark/>
          </w:tcPr>
          <w:p w14:paraId="26076EAB" w14:textId="77777777" w:rsidR="00000000" w:rsidRDefault="00195E73">
            <w:pPr>
              <w:rPr>
                <w:rFonts w:eastAsia="Times New Roman"/>
                <w:sz w:val="20"/>
                <w:szCs w:val="20"/>
              </w:rPr>
            </w:pPr>
          </w:p>
        </w:tc>
        <w:tc>
          <w:tcPr>
            <w:tcW w:w="0" w:type="auto"/>
            <w:vAlign w:val="center"/>
            <w:hideMark/>
          </w:tcPr>
          <w:p w14:paraId="062D5823" w14:textId="77777777" w:rsidR="00000000" w:rsidRDefault="00195E73">
            <w:pPr>
              <w:rPr>
                <w:rFonts w:eastAsia="Times New Roman"/>
                <w:sz w:val="20"/>
                <w:szCs w:val="20"/>
              </w:rPr>
            </w:pPr>
          </w:p>
        </w:tc>
        <w:tc>
          <w:tcPr>
            <w:tcW w:w="0" w:type="auto"/>
            <w:vAlign w:val="center"/>
            <w:hideMark/>
          </w:tcPr>
          <w:p w14:paraId="149AEB2B" w14:textId="77777777" w:rsidR="00000000" w:rsidRDefault="00195E73">
            <w:pPr>
              <w:rPr>
                <w:rFonts w:eastAsia="Times New Roman"/>
                <w:sz w:val="20"/>
                <w:szCs w:val="20"/>
              </w:rPr>
            </w:pPr>
          </w:p>
        </w:tc>
        <w:tc>
          <w:tcPr>
            <w:tcW w:w="0" w:type="auto"/>
            <w:vAlign w:val="center"/>
            <w:hideMark/>
          </w:tcPr>
          <w:p w14:paraId="163C89CB" w14:textId="77777777" w:rsidR="00000000" w:rsidRDefault="00195E73">
            <w:pPr>
              <w:rPr>
                <w:rFonts w:eastAsia="Times New Roman"/>
                <w:sz w:val="20"/>
                <w:szCs w:val="20"/>
              </w:rPr>
            </w:pPr>
          </w:p>
        </w:tc>
        <w:tc>
          <w:tcPr>
            <w:tcW w:w="0" w:type="auto"/>
            <w:vAlign w:val="center"/>
            <w:hideMark/>
          </w:tcPr>
          <w:p w14:paraId="2B7EFAED" w14:textId="77777777" w:rsidR="00000000" w:rsidRDefault="00195E73">
            <w:pPr>
              <w:rPr>
                <w:rFonts w:eastAsia="Times New Roman"/>
                <w:sz w:val="20"/>
                <w:szCs w:val="20"/>
              </w:rPr>
            </w:pPr>
          </w:p>
        </w:tc>
      </w:tr>
      <w:tr w:rsidR="00000000" w14:paraId="7CEAEE96" w14:textId="77777777">
        <w:trPr>
          <w:divId w:val="867717940"/>
          <w:jc w:val="center"/>
        </w:trPr>
        <w:tc>
          <w:tcPr>
            <w:tcW w:w="0" w:type="auto"/>
            <w:gridSpan w:val="3"/>
            <w:vAlign w:val="center"/>
            <w:hideMark/>
          </w:tcPr>
          <w:p w14:paraId="13D22780" w14:textId="77777777" w:rsidR="00000000" w:rsidRDefault="00195E73">
            <w:pPr>
              <w:rPr>
                <w:rFonts w:eastAsia="Times New Roman"/>
                <w:sz w:val="20"/>
                <w:szCs w:val="20"/>
              </w:rPr>
            </w:pPr>
          </w:p>
        </w:tc>
        <w:tc>
          <w:tcPr>
            <w:tcW w:w="0" w:type="auto"/>
            <w:gridSpan w:val="3"/>
            <w:vAlign w:val="center"/>
            <w:hideMark/>
          </w:tcPr>
          <w:p w14:paraId="00422628" w14:textId="77777777" w:rsidR="00000000" w:rsidRDefault="00195E73">
            <w:pPr>
              <w:rPr>
                <w:rFonts w:eastAsia="Times New Roman"/>
                <w:sz w:val="20"/>
                <w:szCs w:val="20"/>
              </w:rPr>
            </w:pPr>
          </w:p>
        </w:tc>
        <w:tc>
          <w:tcPr>
            <w:tcW w:w="0" w:type="auto"/>
            <w:gridSpan w:val="3"/>
            <w:vAlign w:val="center"/>
            <w:hideMark/>
          </w:tcPr>
          <w:p w14:paraId="04BE790B" w14:textId="77777777" w:rsidR="00000000" w:rsidRDefault="00195E73">
            <w:pPr>
              <w:rPr>
                <w:rFonts w:eastAsia="Times New Roman"/>
                <w:sz w:val="20"/>
                <w:szCs w:val="20"/>
              </w:rPr>
            </w:pPr>
          </w:p>
        </w:tc>
        <w:tc>
          <w:tcPr>
            <w:tcW w:w="0" w:type="auto"/>
            <w:gridSpan w:val="3"/>
            <w:vAlign w:val="center"/>
            <w:hideMark/>
          </w:tcPr>
          <w:p w14:paraId="1A364A6E" w14:textId="77777777" w:rsidR="00000000" w:rsidRDefault="00195E73">
            <w:pPr>
              <w:rPr>
                <w:rFonts w:eastAsia="Times New Roman"/>
                <w:sz w:val="20"/>
                <w:szCs w:val="20"/>
              </w:rPr>
            </w:pPr>
          </w:p>
        </w:tc>
        <w:tc>
          <w:tcPr>
            <w:tcW w:w="0" w:type="auto"/>
            <w:gridSpan w:val="3"/>
            <w:vAlign w:val="center"/>
            <w:hideMark/>
          </w:tcPr>
          <w:p w14:paraId="2FD21EFC" w14:textId="77777777" w:rsidR="00000000" w:rsidRDefault="00195E73">
            <w:pPr>
              <w:rPr>
                <w:rFonts w:eastAsia="Times New Roman"/>
                <w:sz w:val="20"/>
                <w:szCs w:val="20"/>
              </w:rPr>
            </w:pPr>
          </w:p>
        </w:tc>
        <w:tc>
          <w:tcPr>
            <w:tcW w:w="0" w:type="auto"/>
            <w:gridSpan w:val="3"/>
            <w:vAlign w:val="center"/>
            <w:hideMark/>
          </w:tcPr>
          <w:p w14:paraId="2AFB85F9" w14:textId="77777777" w:rsidR="00000000" w:rsidRDefault="00195E73">
            <w:pPr>
              <w:rPr>
                <w:rFonts w:eastAsia="Times New Roman"/>
                <w:sz w:val="20"/>
                <w:szCs w:val="20"/>
              </w:rPr>
            </w:pPr>
          </w:p>
        </w:tc>
        <w:tc>
          <w:tcPr>
            <w:tcW w:w="0" w:type="auto"/>
            <w:vAlign w:val="center"/>
            <w:hideMark/>
          </w:tcPr>
          <w:p w14:paraId="0E4F6A2E" w14:textId="77777777" w:rsidR="00000000" w:rsidRDefault="00195E73">
            <w:pPr>
              <w:rPr>
                <w:rFonts w:eastAsia="Times New Roman"/>
                <w:sz w:val="20"/>
                <w:szCs w:val="20"/>
              </w:rPr>
            </w:pPr>
          </w:p>
        </w:tc>
        <w:tc>
          <w:tcPr>
            <w:tcW w:w="0" w:type="auto"/>
            <w:vAlign w:val="center"/>
            <w:hideMark/>
          </w:tcPr>
          <w:p w14:paraId="17A911D6" w14:textId="77777777" w:rsidR="00000000" w:rsidRDefault="00195E73">
            <w:pPr>
              <w:rPr>
                <w:rFonts w:eastAsia="Times New Roman"/>
                <w:sz w:val="20"/>
                <w:szCs w:val="20"/>
              </w:rPr>
            </w:pPr>
          </w:p>
        </w:tc>
        <w:tc>
          <w:tcPr>
            <w:tcW w:w="0" w:type="auto"/>
            <w:vAlign w:val="center"/>
            <w:hideMark/>
          </w:tcPr>
          <w:p w14:paraId="4C1DF387" w14:textId="77777777" w:rsidR="00000000" w:rsidRDefault="00195E73">
            <w:pPr>
              <w:rPr>
                <w:rFonts w:eastAsia="Times New Roman"/>
                <w:sz w:val="20"/>
                <w:szCs w:val="20"/>
              </w:rPr>
            </w:pPr>
          </w:p>
        </w:tc>
        <w:tc>
          <w:tcPr>
            <w:tcW w:w="0" w:type="auto"/>
            <w:vAlign w:val="center"/>
            <w:hideMark/>
          </w:tcPr>
          <w:p w14:paraId="34146DC1" w14:textId="77777777" w:rsidR="00000000" w:rsidRDefault="00195E73">
            <w:pPr>
              <w:rPr>
                <w:rFonts w:eastAsia="Times New Roman"/>
                <w:sz w:val="20"/>
                <w:szCs w:val="20"/>
              </w:rPr>
            </w:pPr>
          </w:p>
        </w:tc>
        <w:tc>
          <w:tcPr>
            <w:tcW w:w="0" w:type="auto"/>
            <w:vAlign w:val="center"/>
            <w:hideMark/>
          </w:tcPr>
          <w:p w14:paraId="0EC34FE5" w14:textId="77777777" w:rsidR="00000000" w:rsidRDefault="00195E73">
            <w:pPr>
              <w:rPr>
                <w:rFonts w:eastAsia="Times New Roman"/>
                <w:sz w:val="20"/>
                <w:szCs w:val="20"/>
              </w:rPr>
            </w:pPr>
          </w:p>
        </w:tc>
        <w:tc>
          <w:tcPr>
            <w:tcW w:w="0" w:type="auto"/>
            <w:vAlign w:val="center"/>
            <w:hideMark/>
          </w:tcPr>
          <w:p w14:paraId="75DCC24E" w14:textId="77777777" w:rsidR="00000000" w:rsidRDefault="00195E73">
            <w:pPr>
              <w:rPr>
                <w:rFonts w:eastAsia="Times New Roman"/>
                <w:sz w:val="20"/>
                <w:szCs w:val="20"/>
              </w:rPr>
            </w:pPr>
          </w:p>
        </w:tc>
        <w:tc>
          <w:tcPr>
            <w:tcW w:w="0" w:type="auto"/>
            <w:vAlign w:val="center"/>
            <w:hideMark/>
          </w:tcPr>
          <w:p w14:paraId="31171A6E" w14:textId="77777777" w:rsidR="00000000" w:rsidRDefault="00195E73">
            <w:pPr>
              <w:rPr>
                <w:rFonts w:eastAsia="Times New Roman"/>
                <w:sz w:val="20"/>
                <w:szCs w:val="20"/>
              </w:rPr>
            </w:pPr>
          </w:p>
        </w:tc>
        <w:tc>
          <w:tcPr>
            <w:tcW w:w="0" w:type="auto"/>
            <w:vAlign w:val="center"/>
            <w:hideMark/>
          </w:tcPr>
          <w:p w14:paraId="5E5DBD9C" w14:textId="77777777" w:rsidR="00000000" w:rsidRDefault="00195E73">
            <w:pPr>
              <w:rPr>
                <w:rFonts w:eastAsia="Times New Roman"/>
                <w:sz w:val="20"/>
                <w:szCs w:val="20"/>
              </w:rPr>
            </w:pPr>
          </w:p>
        </w:tc>
        <w:tc>
          <w:tcPr>
            <w:tcW w:w="0" w:type="auto"/>
            <w:vAlign w:val="center"/>
            <w:hideMark/>
          </w:tcPr>
          <w:p w14:paraId="4D3FE6BB" w14:textId="77777777" w:rsidR="00000000" w:rsidRDefault="00195E73">
            <w:pPr>
              <w:rPr>
                <w:rFonts w:eastAsia="Times New Roman"/>
                <w:sz w:val="20"/>
                <w:szCs w:val="20"/>
              </w:rPr>
            </w:pPr>
          </w:p>
        </w:tc>
        <w:tc>
          <w:tcPr>
            <w:tcW w:w="0" w:type="auto"/>
            <w:vAlign w:val="center"/>
            <w:hideMark/>
          </w:tcPr>
          <w:p w14:paraId="278384B4" w14:textId="77777777" w:rsidR="00000000" w:rsidRDefault="00195E73">
            <w:pPr>
              <w:rPr>
                <w:rFonts w:eastAsia="Times New Roman"/>
                <w:sz w:val="20"/>
                <w:szCs w:val="20"/>
              </w:rPr>
            </w:pPr>
          </w:p>
        </w:tc>
        <w:tc>
          <w:tcPr>
            <w:tcW w:w="0" w:type="auto"/>
            <w:vAlign w:val="center"/>
            <w:hideMark/>
          </w:tcPr>
          <w:p w14:paraId="7B86AF06" w14:textId="77777777" w:rsidR="00000000" w:rsidRDefault="00195E73">
            <w:pPr>
              <w:rPr>
                <w:rFonts w:eastAsia="Times New Roman"/>
                <w:sz w:val="20"/>
                <w:szCs w:val="20"/>
              </w:rPr>
            </w:pPr>
          </w:p>
        </w:tc>
        <w:tc>
          <w:tcPr>
            <w:tcW w:w="0" w:type="auto"/>
            <w:vAlign w:val="center"/>
            <w:hideMark/>
          </w:tcPr>
          <w:p w14:paraId="78F57DE0" w14:textId="77777777" w:rsidR="00000000" w:rsidRDefault="00195E73">
            <w:pPr>
              <w:rPr>
                <w:rFonts w:eastAsia="Times New Roman"/>
                <w:sz w:val="20"/>
                <w:szCs w:val="20"/>
              </w:rPr>
            </w:pPr>
          </w:p>
        </w:tc>
      </w:tr>
    </w:tbl>
    <w:p w14:paraId="5BCFE634" w14:textId="77777777" w:rsidR="00000000" w:rsidRDefault="00195E73">
      <w:pPr>
        <w:jc w:val="center"/>
        <w:divId w:val="396168156"/>
        <w:rPr>
          <w:rFonts w:eastAsia="Times New Roman"/>
        </w:rPr>
      </w:pPr>
    </w:p>
    <w:p w14:paraId="51BF4084" w14:textId="77777777" w:rsidR="00000000" w:rsidRDefault="00195E73">
      <w:pPr>
        <w:ind w:firstLine="450"/>
        <w:divId w:val="2065375178"/>
        <w:rPr>
          <w:rFonts w:eastAsia="Times New Roman"/>
        </w:rPr>
      </w:pPr>
      <w:r>
        <w:rPr>
          <w:rFonts w:eastAsia="Times New Roman"/>
          <w:color w:val="000000"/>
          <w:sz w:val="20"/>
          <w:szCs w:val="20"/>
        </w:rPr>
        <w:t>Net sales and other revenue from operations for our Automotive segment for the year ended December 31, 2019 increased by $26 million (1%) as compared to the comparable prior year period. The increase was attributable to an increase in automotive services r</w:t>
      </w:r>
      <w:r>
        <w:rPr>
          <w:rFonts w:eastAsia="Times New Roman"/>
          <w:color w:val="000000"/>
          <w:sz w:val="20"/>
          <w:szCs w:val="20"/>
        </w:rPr>
        <w:t xml:space="preserve">evenues of $52 million (4%), including an increase of $46 million on an organic basis, due to growing do-it-for-me and fleet businesses, offset in part by a decrease in aftermarket parts sales of $26 million (2)%, including $10 million on an organic basis </w:t>
      </w:r>
      <w:r>
        <w:rPr>
          <w:rFonts w:eastAsia="Times New Roman"/>
          <w:color w:val="000000"/>
          <w:sz w:val="20"/>
          <w:szCs w:val="20"/>
        </w:rPr>
        <w:t>and additional declines primarily resulting due to store closures. On an organic basis, the decrease in aftermarket parts sales over the comparable periods was due to a decrease in retail sales of $49 million offset in part by an increase in commercial sal</w:t>
      </w:r>
      <w:r>
        <w:rPr>
          <w:rFonts w:eastAsia="Times New Roman"/>
          <w:color w:val="000000"/>
          <w:sz w:val="20"/>
          <w:szCs w:val="20"/>
        </w:rPr>
        <w:t>es of $39 million, driven by increases in Pep Boys commercial programs</w:t>
      </w:r>
      <w:r>
        <w:rPr>
          <w:rFonts w:eastAsia="Times New Roman"/>
          <w:color w:val="000000"/>
          <w:sz w:val="20"/>
          <w:szCs w:val="20"/>
        </w:rPr>
        <w:t>.</w:t>
      </w:r>
    </w:p>
    <w:p w14:paraId="311AE9D0" w14:textId="77777777" w:rsidR="00000000" w:rsidRDefault="00195E73">
      <w:pPr>
        <w:ind w:firstLine="450"/>
        <w:divId w:val="522591743"/>
        <w:rPr>
          <w:rFonts w:eastAsia="Times New Roman"/>
        </w:rPr>
      </w:pPr>
      <w:r>
        <w:rPr>
          <w:rFonts w:eastAsia="Times New Roman"/>
          <w:color w:val="000000"/>
          <w:sz w:val="20"/>
          <w:szCs w:val="20"/>
        </w:rPr>
        <w:t xml:space="preserve">Cost of goods sold and other expenses from operations for the year ended December 31, 2019 increased by $113 million (6%) as compared to the comparable prior year period. The increase </w:t>
      </w:r>
      <w:r>
        <w:rPr>
          <w:rFonts w:eastAsia="Times New Roman"/>
          <w:color w:val="000000"/>
          <w:sz w:val="20"/>
          <w:szCs w:val="20"/>
        </w:rPr>
        <w:t xml:space="preserve">was primarily due to additional costs to source inventory subsequent to the sale of Federal-Mogul on October 1, 2018, which contributed $45 million to the increase. The increase was also due to higher sales volumes as well as a reduction in vendor support </w:t>
      </w:r>
      <w:r>
        <w:rPr>
          <w:rFonts w:eastAsia="Times New Roman"/>
          <w:color w:val="000000"/>
          <w:sz w:val="20"/>
          <w:szCs w:val="20"/>
        </w:rPr>
        <w:t xml:space="preserve">funds. Gross margin on net sales and other revenue from operations for the year ended December 31, 2019 decreased by $87 million (10%) as compared to the comparable prior year period. Gross margin as a percentage of net sales and automotive services labor </w:t>
      </w:r>
      <w:r>
        <w:rPr>
          <w:rFonts w:eastAsia="Times New Roman"/>
          <w:color w:val="000000"/>
          <w:sz w:val="20"/>
          <w:szCs w:val="20"/>
        </w:rPr>
        <w:t>revenues was 28% and 31% for the year ended December 31, 2019 and 2018, respectively. The additional costs to source inventory, as described above, was the primary reason for the decline. Our Automotive segment has also experienced some margin rate contrac</w:t>
      </w:r>
      <w:r>
        <w:rPr>
          <w:rFonts w:eastAsia="Times New Roman"/>
          <w:color w:val="000000"/>
          <w:sz w:val="20"/>
          <w:szCs w:val="20"/>
        </w:rPr>
        <w:t>tion for its services and parts businesses due to the reduction in vendor support funds and other unfavorable margin adjustments, including from a shift in aftermarket parts sales from retail to commercial, as described above</w:t>
      </w:r>
      <w:r>
        <w:rPr>
          <w:rFonts w:eastAsia="Times New Roman"/>
          <w:color w:val="000000"/>
          <w:sz w:val="20"/>
          <w:szCs w:val="20"/>
        </w:rPr>
        <w:t>.</w:t>
      </w:r>
    </w:p>
    <w:p w14:paraId="70888C94" w14:textId="77777777" w:rsidR="00000000" w:rsidRDefault="00195E73">
      <w:pPr>
        <w:divId w:val="1292053889"/>
        <w:rPr>
          <w:rFonts w:eastAsia="Times New Roman"/>
        </w:rPr>
      </w:pPr>
      <w:r>
        <w:rPr>
          <w:rFonts w:eastAsia="Times New Roman"/>
          <w:b/>
          <w:bCs/>
          <w:i/>
          <w:iCs/>
          <w:color w:val="000000"/>
          <w:sz w:val="20"/>
          <w:szCs w:val="20"/>
        </w:rPr>
        <w:t>Food Packaging</w:t>
      </w:r>
      <w:r>
        <w:rPr>
          <w:rFonts w:eastAsia="Times New Roman"/>
          <w:b/>
          <w:bCs/>
          <w:i/>
          <w:iCs/>
          <w:color w:val="000000"/>
          <w:sz w:val="20"/>
          <w:szCs w:val="20"/>
        </w:rPr>
        <w:t xml:space="preserve"> </w:t>
      </w:r>
    </w:p>
    <w:p w14:paraId="4185F690" w14:textId="77777777" w:rsidR="00000000" w:rsidRDefault="00195E73">
      <w:pPr>
        <w:ind w:firstLine="450"/>
        <w:divId w:val="963581495"/>
        <w:rPr>
          <w:rFonts w:eastAsia="Times New Roman"/>
        </w:rPr>
      </w:pPr>
      <w:r>
        <w:rPr>
          <w:rFonts w:eastAsia="Times New Roman"/>
          <w:color w:val="000000"/>
          <w:sz w:val="20"/>
          <w:szCs w:val="20"/>
        </w:rPr>
        <w:t>Our Food pack</w:t>
      </w:r>
      <w:r>
        <w:rPr>
          <w:rFonts w:eastAsia="Times New Roman"/>
          <w:color w:val="000000"/>
          <w:sz w:val="20"/>
          <w:szCs w:val="20"/>
        </w:rPr>
        <w:t>aging segment’s results of operations are primarily driven by the production and sale of cellulosic, fibrous and plastic casings for the processed meat and poultry industry and derives a majority of its total net sales from customers located outside the Un</w:t>
      </w:r>
      <w:r>
        <w:rPr>
          <w:rFonts w:eastAsia="Times New Roman"/>
          <w:color w:val="000000"/>
          <w:sz w:val="20"/>
          <w:szCs w:val="20"/>
        </w:rPr>
        <w:t>ited States.</w:t>
      </w:r>
      <w:r>
        <w:rPr>
          <w:rFonts w:eastAsia="Times New Roman"/>
          <w:color w:val="000000"/>
          <w:sz w:val="20"/>
          <w:szCs w:val="20"/>
        </w:rPr>
        <w:t xml:space="preserve"> </w:t>
      </w:r>
    </w:p>
    <w:p w14:paraId="4B50C243" w14:textId="77777777" w:rsidR="00000000" w:rsidRDefault="00195E73">
      <w:pPr>
        <w:ind w:firstLine="450"/>
        <w:divId w:val="1376349328"/>
        <w:rPr>
          <w:rFonts w:eastAsia="Times New Roman"/>
        </w:rPr>
      </w:pPr>
      <w:r>
        <w:rPr>
          <w:rFonts w:eastAsia="Times New Roman"/>
          <w:color w:val="000000"/>
          <w:sz w:val="20"/>
          <w:szCs w:val="20"/>
        </w:rPr>
        <w:t>Net sales for the year ended December 31, 2019 decreased by $12 million (3%) as compared to the comparable prior year period. The decrease was primarily due to lower volumes and the unfavorable effects of foreign exchange offset in part by in</w:t>
      </w:r>
      <w:r>
        <w:rPr>
          <w:rFonts w:eastAsia="Times New Roman"/>
          <w:color w:val="000000"/>
          <w:sz w:val="20"/>
          <w:szCs w:val="20"/>
        </w:rPr>
        <w:t>creases due to price and product mix. Cost of goods sold for the year ended December 31, 2019 decreased by $7 million (2%)</w:t>
      </w:r>
      <w:r>
        <w:rPr>
          <w:rFonts w:eastAsia="Times New Roman"/>
          <w:color w:val="000000"/>
          <w:sz w:val="20"/>
          <w:szCs w:val="20"/>
        </w:rPr>
        <w:t xml:space="preserve"> </w:t>
      </w:r>
    </w:p>
    <w:p w14:paraId="743956E8" w14:textId="77777777" w:rsidR="00000000" w:rsidRDefault="00195E73">
      <w:pPr>
        <w:jc w:val="center"/>
        <w:divId w:val="27263402"/>
        <w:rPr>
          <w:rFonts w:eastAsia="Times New Roman"/>
        </w:rPr>
      </w:pPr>
      <w:r>
        <w:rPr>
          <w:rFonts w:eastAsia="Times New Roman"/>
          <w:color w:val="000000"/>
          <w:sz w:val="20"/>
          <w:szCs w:val="20"/>
        </w:rPr>
        <w:t>3</w:t>
      </w:r>
      <w:r>
        <w:rPr>
          <w:rFonts w:eastAsia="Times New Roman"/>
          <w:color w:val="000000"/>
          <w:sz w:val="20"/>
          <w:szCs w:val="20"/>
        </w:rPr>
        <w:t>5</w:t>
      </w:r>
    </w:p>
    <w:p w14:paraId="56C808ED" w14:textId="77777777" w:rsidR="00000000" w:rsidRDefault="00195E73">
      <w:pPr>
        <w:rPr>
          <w:rFonts w:eastAsia="Times New Roman"/>
        </w:rPr>
      </w:pPr>
      <w:r>
        <w:rPr>
          <w:rFonts w:eastAsia="Times New Roman"/>
        </w:rPr>
        <w:pict w14:anchorId="75EEA0A8">
          <v:rect id="_x0000_i1061" style="width:0;height:1.5pt" o:hralign="center" o:hrstd="t" o:hr="t" fillcolor="#a0a0a0" stroked="f"/>
        </w:pict>
      </w:r>
    </w:p>
    <w:p w14:paraId="530B55AC" w14:textId="77777777" w:rsidR="00000000" w:rsidRDefault="00195E73">
      <w:pPr>
        <w:divId w:val="1338339079"/>
        <w:rPr>
          <w:rFonts w:eastAsia="Times New Roman"/>
        </w:rPr>
      </w:pPr>
    </w:p>
    <w:p w14:paraId="74E27EB3" w14:textId="77777777" w:rsidR="00000000" w:rsidRDefault="00195E73">
      <w:pPr>
        <w:divId w:val="488711117"/>
        <w:rPr>
          <w:rFonts w:eastAsia="Times New Roman"/>
        </w:rPr>
      </w:pPr>
      <w:r>
        <w:rPr>
          <w:rFonts w:eastAsia="Times New Roman"/>
          <w:color w:val="000000"/>
          <w:sz w:val="20"/>
          <w:szCs w:val="20"/>
        </w:rPr>
        <w:t>as compared to the comparable prior year period primarily due to lower volume. Gross margi</w:t>
      </w:r>
      <w:r>
        <w:rPr>
          <w:rFonts w:eastAsia="Times New Roman"/>
          <w:color w:val="000000"/>
          <w:sz w:val="20"/>
          <w:szCs w:val="20"/>
        </w:rPr>
        <w:t>n as a percentage of net sales was 19% and 20% for the year ended December 31, 2019 and 2018, respectively.</w:t>
      </w:r>
      <w:r>
        <w:rPr>
          <w:rFonts w:eastAsia="Times New Roman"/>
          <w:color w:val="000000"/>
          <w:sz w:val="20"/>
          <w:szCs w:val="20"/>
        </w:rPr>
        <w:t xml:space="preserve"> </w:t>
      </w:r>
    </w:p>
    <w:p w14:paraId="3023835A" w14:textId="77777777" w:rsidR="00000000" w:rsidRDefault="00195E73">
      <w:pPr>
        <w:divId w:val="1920942695"/>
        <w:rPr>
          <w:rFonts w:eastAsia="Times New Roman"/>
        </w:rPr>
      </w:pPr>
      <w:r>
        <w:rPr>
          <w:rFonts w:eastAsia="Times New Roman"/>
          <w:b/>
          <w:bCs/>
          <w:i/>
          <w:iCs/>
          <w:color w:val="000000"/>
          <w:sz w:val="20"/>
          <w:szCs w:val="20"/>
        </w:rPr>
        <w:t>Meta</w:t>
      </w:r>
      <w:r>
        <w:rPr>
          <w:rFonts w:eastAsia="Times New Roman"/>
          <w:b/>
          <w:bCs/>
          <w:i/>
          <w:iCs/>
          <w:color w:val="000000"/>
          <w:sz w:val="20"/>
          <w:szCs w:val="20"/>
        </w:rPr>
        <w:t>l</w:t>
      </w:r>
      <w:r>
        <w:rPr>
          <w:rFonts w:eastAsia="Times New Roman"/>
          <w:b/>
          <w:bCs/>
          <w:i/>
          <w:iCs/>
          <w:color w:val="000000"/>
          <w:sz w:val="22"/>
          <w:szCs w:val="22"/>
        </w:rPr>
        <w:t>s</w:t>
      </w:r>
    </w:p>
    <w:p w14:paraId="5D72E3F1" w14:textId="77777777" w:rsidR="00000000" w:rsidRDefault="00195E73">
      <w:pPr>
        <w:ind w:firstLine="405"/>
        <w:divId w:val="278225913"/>
        <w:rPr>
          <w:rFonts w:eastAsia="Times New Roman"/>
        </w:rPr>
      </w:pPr>
      <w:r>
        <w:rPr>
          <w:rFonts w:eastAsia="Times New Roman"/>
          <w:color w:val="000000"/>
          <w:sz w:val="20"/>
          <w:szCs w:val="20"/>
        </w:rPr>
        <w:t>The scrap metals business is highly cyclical and is substantially dependent upon the overall economic conditions in the United States and ot</w:t>
      </w:r>
      <w:r>
        <w:rPr>
          <w:rFonts w:eastAsia="Times New Roman"/>
          <w:color w:val="000000"/>
          <w:sz w:val="20"/>
          <w:szCs w:val="20"/>
        </w:rPr>
        <w:t>her global markets. Ferrous and non-ferrous scrap has been historically vulnerable to significant declines in consumption and product pricing during prolonged periods of economic downturn or stagnation.</w:t>
      </w:r>
      <w:r>
        <w:rPr>
          <w:rFonts w:eastAsia="Times New Roman"/>
          <w:color w:val="000000"/>
          <w:sz w:val="20"/>
          <w:szCs w:val="20"/>
        </w:rPr>
        <w:t> </w:t>
      </w:r>
    </w:p>
    <w:p w14:paraId="1B9F82FF" w14:textId="77777777" w:rsidR="00000000" w:rsidRDefault="00195E73">
      <w:pPr>
        <w:ind w:firstLine="405"/>
        <w:divId w:val="2068406246"/>
        <w:rPr>
          <w:rFonts w:eastAsia="Times New Roman"/>
        </w:rPr>
      </w:pPr>
      <w:r>
        <w:rPr>
          <w:rFonts w:eastAsia="Times New Roman"/>
          <w:color w:val="000000"/>
          <w:sz w:val="20"/>
          <w:szCs w:val="20"/>
        </w:rPr>
        <w:t>Net sales for the year ended December 31, 2019 decre</w:t>
      </w:r>
      <w:r>
        <w:rPr>
          <w:rFonts w:eastAsia="Times New Roman"/>
          <w:color w:val="000000"/>
          <w:sz w:val="20"/>
          <w:szCs w:val="20"/>
        </w:rPr>
        <w:t>ased by $126 million (27%) compared to the comparable prior year period due to lower shipment volumes of ferrous and non-ferrous material and lower market selling prices for most grades of metal due to unfavorable market conditions and lower prices on non-</w:t>
      </w:r>
      <w:r>
        <w:rPr>
          <w:rFonts w:eastAsia="Times New Roman"/>
          <w:color w:val="000000"/>
          <w:sz w:val="20"/>
          <w:szCs w:val="20"/>
        </w:rPr>
        <w:t>ferrous residue resulting from uncertainty with the trade dispute with China.</w:t>
      </w:r>
      <w:r>
        <w:rPr>
          <w:rFonts w:eastAsia="Times New Roman"/>
          <w:color w:val="000000"/>
          <w:sz w:val="20"/>
          <w:szCs w:val="20"/>
        </w:rPr>
        <w:t xml:space="preserve"> </w:t>
      </w:r>
    </w:p>
    <w:p w14:paraId="5171406F" w14:textId="77777777" w:rsidR="00000000" w:rsidRDefault="00195E73">
      <w:pPr>
        <w:ind w:firstLine="405"/>
        <w:divId w:val="809789672"/>
        <w:rPr>
          <w:rFonts w:eastAsia="Times New Roman"/>
        </w:rPr>
      </w:pPr>
      <w:r>
        <w:rPr>
          <w:rFonts w:eastAsia="Times New Roman"/>
          <w:color w:val="000000"/>
          <w:sz w:val="20"/>
          <w:szCs w:val="20"/>
        </w:rPr>
        <w:t>Cost of goods sold for the year ended December 31, 2019 decreased by $98 million (22%) compared to the comparable prior year period. The decrease was primarily due to lower ship</w:t>
      </w:r>
      <w:r>
        <w:rPr>
          <w:rFonts w:eastAsia="Times New Roman"/>
          <w:color w:val="000000"/>
          <w:sz w:val="20"/>
          <w:szCs w:val="20"/>
        </w:rPr>
        <w:t>ment volumes, as discussed above, and lower material costs due to lower market prices. Gross margin as a percentage of net sales was (1)% and 5% for the year ended December 31, 2019 and 2018, respectively. The decrease was primarily due to lower selling pr</w:t>
      </w:r>
      <w:r>
        <w:rPr>
          <w:rFonts w:eastAsia="Times New Roman"/>
          <w:color w:val="000000"/>
          <w:sz w:val="20"/>
          <w:szCs w:val="20"/>
        </w:rPr>
        <w:t>ices</w:t>
      </w:r>
      <w:r>
        <w:rPr>
          <w:rFonts w:eastAsia="Times New Roman"/>
          <w:color w:val="000000"/>
          <w:sz w:val="20"/>
          <w:szCs w:val="20"/>
        </w:rPr>
        <w:t>.</w:t>
      </w:r>
    </w:p>
    <w:p w14:paraId="00C1CD53" w14:textId="77777777" w:rsidR="00000000" w:rsidRDefault="00195E73">
      <w:pPr>
        <w:divId w:val="765033361"/>
        <w:rPr>
          <w:rFonts w:eastAsia="Times New Roman"/>
        </w:rPr>
      </w:pPr>
      <w:r>
        <w:rPr>
          <w:rFonts w:eastAsia="Times New Roman"/>
          <w:b/>
          <w:bCs/>
          <w:i/>
          <w:iCs/>
          <w:color w:val="000000"/>
          <w:sz w:val="20"/>
          <w:szCs w:val="20"/>
        </w:rPr>
        <w:t>Real Estat</w:t>
      </w:r>
      <w:r>
        <w:rPr>
          <w:rFonts w:eastAsia="Times New Roman"/>
          <w:b/>
          <w:bCs/>
          <w:i/>
          <w:iCs/>
          <w:color w:val="000000"/>
          <w:sz w:val="20"/>
          <w:szCs w:val="20"/>
        </w:rPr>
        <w:t>e</w:t>
      </w:r>
    </w:p>
    <w:p w14:paraId="25EEAB51" w14:textId="77777777" w:rsidR="00000000" w:rsidRDefault="00195E73">
      <w:pPr>
        <w:ind w:firstLine="450"/>
        <w:divId w:val="207761573"/>
        <w:rPr>
          <w:rFonts w:eastAsia="Times New Roman"/>
        </w:rPr>
      </w:pPr>
      <w:r>
        <w:rPr>
          <w:rFonts w:eastAsia="Times New Roman"/>
          <w:color w:val="000000"/>
          <w:sz w:val="20"/>
          <w:szCs w:val="20"/>
        </w:rPr>
        <w:t>Real Estate revenues and expenses primarily include sales of residential units, results from club operations, rental income and expenses, including income from financing leases, and hotel, timeshare and casino operations. Sales of residen</w:t>
      </w:r>
      <w:r>
        <w:rPr>
          <w:rFonts w:eastAsia="Times New Roman"/>
          <w:color w:val="000000"/>
          <w:sz w:val="20"/>
          <w:szCs w:val="20"/>
        </w:rPr>
        <w:t>tial units are included in net sales in our consolidated statements of operations. Results from club and rental operations, including financing lease income, and hotel, timeshare and casino operations are included in other revenues from operations in our c</w:t>
      </w:r>
      <w:r>
        <w:rPr>
          <w:rFonts w:eastAsia="Times New Roman"/>
          <w:color w:val="000000"/>
          <w:sz w:val="20"/>
          <w:szCs w:val="20"/>
        </w:rPr>
        <w:t>onsolidated financial statements. Revenue from our real estate operations for the years ended December 31, 2019, 2018 and 2017 were substantially derived from income from club and rental operations</w:t>
      </w:r>
      <w:r>
        <w:rPr>
          <w:rFonts w:eastAsia="Times New Roman"/>
          <w:color w:val="000000"/>
          <w:sz w:val="20"/>
          <w:szCs w:val="20"/>
        </w:rPr>
        <w:t>.</w:t>
      </w:r>
    </w:p>
    <w:p w14:paraId="502F04D0" w14:textId="77777777" w:rsidR="00000000" w:rsidRDefault="00195E73">
      <w:pPr>
        <w:divId w:val="1294402852"/>
        <w:rPr>
          <w:rFonts w:eastAsia="Times New Roman"/>
        </w:rPr>
      </w:pPr>
      <w:r>
        <w:rPr>
          <w:rFonts w:eastAsia="Times New Roman"/>
          <w:b/>
          <w:bCs/>
          <w:i/>
          <w:iCs/>
          <w:color w:val="000000"/>
          <w:sz w:val="20"/>
          <w:szCs w:val="20"/>
        </w:rPr>
        <w:t>Home Fashio</w:t>
      </w:r>
      <w:r>
        <w:rPr>
          <w:rFonts w:eastAsia="Times New Roman"/>
          <w:b/>
          <w:bCs/>
          <w:i/>
          <w:iCs/>
          <w:color w:val="000000"/>
          <w:sz w:val="20"/>
          <w:szCs w:val="20"/>
        </w:rPr>
        <w:t>n</w:t>
      </w:r>
    </w:p>
    <w:p w14:paraId="36D8825B" w14:textId="77777777" w:rsidR="00000000" w:rsidRDefault="00195E73">
      <w:pPr>
        <w:ind w:firstLine="450"/>
        <w:divId w:val="1369063943"/>
        <w:rPr>
          <w:rFonts w:eastAsia="Times New Roman"/>
        </w:rPr>
      </w:pPr>
      <w:r>
        <w:rPr>
          <w:rFonts w:eastAsia="Times New Roman"/>
          <w:color w:val="000000"/>
          <w:sz w:val="20"/>
          <w:szCs w:val="20"/>
        </w:rPr>
        <w:t>Our Home Fashion segment is significantly influenced by the overall economic environment, including consumer spending, at the retail level, for home textile products.</w:t>
      </w:r>
      <w:r>
        <w:rPr>
          <w:rFonts w:eastAsia="Times New Roman"/>
          <w:color w:val="000000"/>
          <w:sz w:val="20"/>
          <w:szCs w:val="20"/>
        </w:rPr>
        <w:t xml:space="preserve"> </w:t>
      </w:r>
    </w:p>
    <w:p w14:paraId="2B0DB6AD" w14:textId="77777777" w:rsidR="00000000" w:rsidRDefault="00195E73">
      <w:pPr>
        <w:ind w:firstLine="450"/>
        <w:divId w:val="519466836"/>
        <w:rPr>
          <w:rFonts w:eastAsia="Times New Roman"/>
        </w:rPr>
      </w:pPr>
      <w:r>
        <w:rPr>
          <w:rFonts w:eastAsia="Times New Roman"/>
          <w:color w:val="000000"/>
          <w:sz w:val="20"/>
          <w:szCs w:val="20"/>
        </w:rPr>
        <w:t>Net sales for the year ended December 31, 2019 increased by $16 million (9%) compared to</w:t>
      </w:r>
      <w:r>
        <w:rPr>
          <w:rFonts w:eastAsia="Times New Roman"/>
          <w:color w:val="000000"/>
          <w:sz w:val="20"/>
          <w:szCs w:val="20"/>
        </w:rPr>
        <w:t xml:space="preserve"> the comparable prior year period due to higher sales volume attributable to a business acquired in the second quarter of 2019, offset in part by lower organic net sales of $14 million. Cost of goods sold for the year ended December 31, 2019 increased by $</w:t>
      </w:r>
      <w:r>
        <w:rPr>
          <w:rFonts w:eastAsia="Times New Roman"/>
          <w:color w:val="000000"/>
          <w:sz w:val="20"/>
          <w:szCs w:val="20"/>
        </w:rPr>
        <w:t>15 million (10%) compared to the comparable prior year period which was also attributable to the acquired business. Gross margin as a percentage of net sales was 15% for the year ended December 31, 2019 compared to 16%, with the increase primarily due to s</w:t>
      </w:r>
      <w:r>
        <w:rPr>
          <w:rFonts w:eastAsia="Times New Roman"/>
          <w:color w:val="000000"/>
          <w:sz w:val="20"/>
          <w:szCs w:val="20"/>
        </w:rPr>
        <w:t>ale mix.</w:t>
      </w:r>
      <w:r>
        <w:rPr>
          <w:rFonts w:eastAsia="Times New Roman"/>
          <w:color w:val="000000"/>
          <w:sz w:val="20"/>
          <w:szCs w:val="20"/>
        </w:rPr>
        <w:t xml:space="preserve"> </w:t>
      </w:r>
    </w:p>
    <w:p w14:paraId="4825C79D" w14:textId="77777777" w:rsidR="00000000" w:rsidRDefault="00195E73">
      <w:pPr>
        <w:divId w:val="590049247"/>
        <w:rPr>
          <w:rFonts w:eastAsia="Times New Roman"/>
        </w:rPr>
      </w:pPr>
      <w:r>
        <w:rPr>
          <w:rFonts w:eastAsia="Times New Roman"/>
          <w:b/>
          <w:bCs/>
          <w:i/>
          <w:iCs/>
          <w:color w:val="000000"/>
          <w:sz w:val="20"/>
          <w:szCs w:val="20"/>
        </w:rPr>
        <w:t>Minin</w:t>
      </w:r>
      <w:r>
        <w:rPr>
          <w:rFonts w:eastAsia="Times New Roman"/>
          <w:b/>
          <w:bCs/>
          <w:i/>
          <w:iCs/>
          <w:color w:val="000000"/>
          <w:sz w:val="20"/>
          <w:szCs w:val="20"/>
        </w:rPr>
        <w:t>g</w:t>
      </w:r>
    </w:p>
    <w:p w14:paraId="6C67B7C9" w14:textId="77777777" w:rsidR="00000000" w:rsidRDefault="00195E73">
      <w:pPr>
        <w:ind w:firstLine="450"/>
        <w:divId w:val="1849369324"/>
        <w:rPr>
          <w:rFonts w:eastAsia="Times New Roman"/>
        </w:rPr>
      </w:pPr>
      <w:r>
        <w:rPr>
          <w:rFonts w:eastAsia="Times New Roman"/>
          <w:color w:val="000000"/>
          <w:sz w:val="20"/>
          <w:szCs w:val="20"/>
        </w:rPr>
        <w:t>Our Mining segment’s performance was driven by global iron ore prices and demand for raw materials from Chinese steelmakers. Since acquiring Ferrous Resources Ltd in 2015, our Mining segment concentrated on sales in its domestic market, Br</w:t>
      </w:r>
      <w:r>
        <w:rPr>
          <w:rFonts w:eastAsia="Times New Roman"/>
          <w:color w:val="000000"/>
          <w:sz w:val="20"/>
          <w:szCs w:val="20"/>
        </w:rPr>
        <w:t>azil. As disclosed above, we sold Ferrous Resources on August 1, 2019.</w:t>
      </w:r>
      <w:r>
        <w:rPr>
          <w:rFonts w:eastAsia="Times New Roman"/>
          <w:color w:val="000000"/>
          <w:sz w:val="20"/>
          <w:szCs w:val="20"/>
        </w:rPr>
        <w:t xml:space="preserve"> </w:t>
      </w:r>
    </w:p>
    <w:p w14:paraId="62028D7B" w14:textId="77777777" w:rsidR="00000000" w:rsidRDefault="00195E73">
      <w:pPr>
        <w:ind w:firstLine="450"/>
        <w:divId w:val="1350714867"/>
        <w:rPr>
          <w:rFonts w:eastAsia="Times New Roman"/>
        </w:rPr>
      </w:pPr>
      <w:r>
        <w:rPr>
          <w:rFonts w:eastAsia="Times New Roman"/>
          <w:color w:val="000000"/>
          <w:sz w:val="20"/>
          <w:szCs w:val="20"/>
        </w:rPr>
        <w:t>Our Mining segment’s results of operations during 2019 are for the seven-month period ended August 1, 2019 and therefore, are not comparative to the full year 2018. However, the increa</w:t>
      </w:r>
      <w:r>
        <w:rPr>
          <w:rFonts w:eastAsia="Times New Roman"/>
          <w:color w:val="000000"/>
          <w:sz w:val="20"/>
          <w:szCs w:val="20"/>
        </w:rPr>
        <w:t>se in our Mining segment’s net sales for the seven-month period ended August 1, 2019 compared to the year ended December 31, 2018 was due to iron ore price increases as well as volume increases</w:t>
      </w:r>
      <w:r>
        <w:rPr>
          <w:rFonts w:eastAsia="Times New Roman"/>
          <w:color w:val="000000"/>
          <w:sz w:val="20"/>
          <w:szCs w:val="20"/>
        </w:rPr>
        <w:t>.</w:t>
      </w:r>
    </w:p>
    <w:p w14:paraId="16FAA471" w14:textId="77777777" w:rsidR="00000000" w:rsidRDefault="00195E73">
      <w:pPr>
        <w:divId w:val="338043578"/>
        <w:rPr>
          <w:rFonts w:eastAsia="Times New Roman"/>
        </w:rPr>
      </w:pPr>
      <w:r>
        <w:rPr>
          <w:rFonts w:eastAsia="Times New Roman"/>
          <w:b/>
          <w:bCs/>
          <w:i/>
          <w:iCs/>
          <w:color w:val="000000"/>
          <w:sz w:val="20"/>
          <w:szCs w:val="20"/>
        </w:rPr>
        <w:t>Railca</w:t>
      </w:r>
      <w:r>
        <w:rPr>
          <w:rFonts w:eastAsia="Times New Roman"/>
          <w:b/>
          <w:bCs/>
          <w:i/>
          <w:iCs/>
          <w:color w:val="000000"/>
          <w:sz w:val="20"/>
          <w:szCs w:val="20"/>
        </w:rPr>
        <w:t>r</w:t>
      </w:r>
    </w:p>
    <w:p w14:paraId="28834716" w14:textId="77777777" w:rsidR="00000000" w:rsidRDefault="00195E73">
      <w:pPr>
        <w:ind w:firstLine="450"/>
        <w:divId w:val="1525359152"/>
        <w:rPr>
          <w:rFonts w:eastAsia="Times New Roman"/>
        </w:rPr>
      </w:pPr>
      <w:r>
        <w:rPr>
          <w:rFonts w:eastAsia="Times New Roman"/>
          <w:color w:val="000000"/>
          <w:sz w:val="20"/>
          <w:szCs w:val="20"/>
        </w:rPr>
        <w:t xml:space="preserve">Our Railcar segment’s other revenues from operations </w:t>
      </w:r>
      <w:r>
        <w:rPr>
          <w:rFonts w:eastAsia="Times New Roman"/>
          <w:color w:val="000000"/>
          <w:sz w:val="20"/>
          <w:szCs w:val="20"/>
        </w:rPr>
        <w:t>primarily related to its railcar leasing revenue. On June 1, 2017 we sold American Railcar Leasing, LLC (“ARL”) along with a majority of its railcar lease fleet. We sold the remaining railcars previously owned by ARL throughout the remainder of 2017 and th</w:t>
      </w:r>
      <w:r>
        <w:rPr>
          <w:rFonts w:eastAsia="Times New Roman"/>
          <w:color w:val="000000"/>
          <w:sz w:val="20"/>
          <w:szCs w:val="20"/>
        </w:rPr>
        <w:t>e first nine months of 2018.</w:t>
      </w:r>
      <w:r>
        <w:rPr>
          <w:rFonts w:eastAsia="Times New Roman"/>
          <w:color w:val="000000"/>
          <w:sz w:val="20"/>
          <w:szCs w:val="20"/>
        </w:rPr>
        <w:t xml:space="preserve"> </w:t>
      </w:r>
    </w:p>
    <w:p w14:paraId="4F4AEE22" w14:textId="77777777" w:rsidR="00000000" w:rsidRDefault="00195E73">
      <w:pPr>
        <w:divId w:val="625896109"/>
        <w:rPr>
          <w:rFonts w:eastAsia="Times New Roman"/>
        </w:rPr>
      </w:pPr>
      <w:r>
        <w:rPr>
          <w:rFonts w:eastAsia="Times New Roman"/>
          <w:b/>
          <w:bCs/>
          <w:i/>
          <w:iCs/>
          <w:color w:val="000000"/>
          <w:sz w:val="20"/>
          <w:szCs w:val="20"/>
        </w:rPr>
        <w:t>Holding Compan</w:t>
      </w:r>
      <w:r>
        <w:rPr>
          <w:rFonts w:eastAsia="Times New Roman"/>
          <w:b/>
          <w:bCs/>
          <w:i/>
          <w:iCs/>
          <w:color w:val="000000"/>
          <w:sz w:val="20"/>
          <w:szCs w:val="20"/>
        </w:rPr>
        <w:t>y</w:t>
      </w:r>
    </w:p>
    <w:p w14:paraId="089E71B6" w14:textId="77777777" w:rsidR="00000000" w:rsidRDefault="00195E73">
      <w:pPr>
        <w:ind w:firstLine="405"/>
        <w:divId w:val="331373308"/>
        <w:rPr>
          <w:rFonts w:eastAsia="Times New Roman"/>
        </w:rPr>
      </w:pPr>
      <w:r>
        <w:rPr>
          <w:rFonts w:eastAsia="Times New Roman"/>
          <w:color w:val="000000"/>
          <w:sz w:val="20"/>
          <w:szCs w:val="20"/>
        </w:rPr>
        <w:t>Our Holding Company’s results of operations primarily reflect the interest expense on its senior unsecured notes for each of the years ended December 31, 2019, 2018 and 2017. We discuss interest expense in cons</w:t>
      </w:r>
      <w:r>
        <w:rPr>
          <w:rFonts w:eastAsia="Times New Roman"/>
          <w:color w:val="000000"/>
          <w:sz w:val="20"/>
          <w:szCs w:val="20"/>
        </w:rPr>
        <w:t>olidation below. In addition, our Holding Company has investment gains and losses from debt and equity investments. During the year ended December 31, 2019, net gains and losses from investment activities were primarily attributable to unrealized losses fr</w:t>
      </w:r>
      <w:r>
        <w:rPr>
          <w:rFonts w:eastAsia="Times New Roman"/>
          <w:color w:val="000000"/>
          <w:sz w:val="20"/>
          <w:szCs w:val="20"/>
        </w:rPr>
        <w:t>om an equity investment offset in part by realized gains from an equity investment. During 2018, net loss from investment activities was primarily attributable to an unrealized loss from an equity investment offset in part by unrealized gains from an equit</w:t>
      </w:r>
      <w:r>
        <w:rPr>
          <w:rFonts w:eastAsia="Times New Roman"/>
          <w:color w:val="000000"/>
          <w:sz w:val="20"/>
          <w:szCs w:val="20"/>
        </w:rPr>
        <w:t>y and debt</w:t>
      </w:r>
      <w:r>
        <w:rPr>
          <w:rFonts w:eastAsia="Times New Roman"/>
          <w:color w:val="000000"/>
          <w:sz w:val="20"/>
          <w:szCs w:val="20"/>
        </w:rPr>
        <w:t xml:space="preserve"> </w:t>
      </w:r>
    </w:p>
    <w:p w14:paraId="417D010C" w14:textId="77777777" w:rsidR="00000000" w:rsidRDefault="00195E73">
      <w:pPr>
        <w:jc w:val="center"/>
        <w:divId w:val="464782596"/>
        <w:rPr>
          <w:rFonts w:eastAsia="Times New Roman"/>
        </w:rPr>
      </w:pPr>
      <w:r>
        <w:rPr>
          <w:rFonts w:eastAsia="Times New Roman"/>
          <w:color w:val="000000"/>
          <w:sz w:val="20"/>
          <w:szCs w:val="20"/>
        </w:rPr>
        <w:t>3</w:t>
      </w:r>
      <w:r>
        <w:rPr>
          <w:rFonts w:eastAsia="Times New Roman"/>
          <w:color w:val="000000"/>
          <w:sz w:val="20"/>
          <w:szCs w:val="20"/>
        </w:rPr>
        <w:t>6</w:t>
      </w:r>
    </w:p>
    <w:p w14:paraId="739E1075" w14:textId="77777777" w:rsidR="00000000" w:rsidRDefault="00195E73">
      <w:pPr>
        <w:rPr>
          <w:rFonts w:eastAsia="Times New Roman"/>
        </w:rPr>
      </w:pPr>
      <w:r>
        <w:rPr>
          <w:rFonts w:eastAsia="Times New Roman"/>
        </w:rPr>
        <w:pict w14:anchorId="5E964823">
          <v:rect id="_x0000_i1062" style="width:0;height:1.5pt" o:hralign="center" o:hrstd="t" o:hr="t" fillcolor="#a0a0a0" stroked="f"/>
        </w:pict>
      </w:r>
    </w:p>
    <w:p w14:paraId="11EA5650" w14:textId="77777777" w:rsidR="00000000" w:rsidRDefault="00195E73">
      <w:pPr>
        <w:divId w:val="1312368906"/>
        <w:rPr>
          <w:rFonts w:eastAsia="Times New Roman"/>
        </w:rPr>
      </w:pPr>
    </w:p>
    <w:p w14:paraId="65FDEDA3" w14:textId="77777777" w:rsidR="00000000" w:rsidRDefault="00195E73">
      <w:pPr>
        <w:divId w:val="946696630"/>
        <w:rPr>
          <w:rFonts w:eastAsia="Times New Roman"/>
        </w:rPr>
      </w:pPr>
      <w:r>
        <w:rPr>
          <w:rFonts w:eastAsia="Times New Roman"/>
          <w:color w:val="000000"/>
          <w:sz w:val="20"/>
          <w:szCs w:val="20"/>
        </w:rPr>
        <w:t>investment. During 2017, unrealized gains from an equity investment was offset in part by unrealized losses from a debt investment.</w:t>
      </w:r>
      <w:r>
        <w:rPr>
          <w:rFonts w:eastAsia="Times New Roman"/>
          <w:color w:val="000000"/>
          <w:sz w:val="20"/>
          <w:szCs w:val="20"/>
        </w:rPr>
        <w:t xml:space="preserve"> </w:t>
      </w:r>
    </w:p>
    <w:p w14:paraId="5992775B" w14:textId="77777777" w:rsidR="00000000" w:rsidRDefault="00195E73">
      <w:pPr>
        <w:divId w:val="187373067"/>
        <w:rPr>
          <w:rFonts w:eastAsia="Times New Roman"/>
        </w:rPr>
      </w:pPr>
      <w:r>
        <w:rPr>
          <w:rFonts w:eastAsia="Times New Roman"/>
          <w:b/>
          <w:bCs/>
          <w:i/>
          <w:iCs/>
          <w:color w:val="000000"/>
          <w:sz w:val="20"/>
          <w:szCs w:val="20"/>
        </w:rPr>
        <w:t>Other Consolidated Results of Operation</w:t>
      </w:r>
      <w:r>
        <w:rPr>
          <w:rFonts w:eastAsia="Times New Roman"/>
          <w:b/>
          <w:bCs/>
          <w:i/>
          <w:iCs/>
          <w:color w:val="000000"/>
          <w:sz w:val="20"/>
          <w:szCs w:val="20"/>
        </w:rPr>
        <w:t>s</w:t>
      </w:r>
    </w:p>
    <w:p w14:paraId="62F9C289" w14:textId="77777777" w:rsidR="00000000" w:rsidRDefault="00195E73">
      <w:pPr>
        <w:divId w:val="1126777715"/>
        <w:rPr>
          <w:rFonts w:eastAsia="Times New Roman"/>
        </w:rPr>
      </w:pPr>
      <w:r>
        <w:rPr>
          <w:rFonts w:eastAsia="Times New Roman"/>
          <w:b/>
          <w:bCs/>
          <w:color w:val="000000"/>
          <w:sz w:val="20"/>
          <w:szCs w:val="20"/>
        </w:rPr>
        <w:t>Gain On Disposition of Asset</w:t>
      </w:r>
      <w:r>
        <w:rPr>
          <w:rFonts w:eastAsia="Times New Roman"/>
          <w:b/>
          <w:bCs/>
          <w:color w:val="000000"/>
          <w:sz w:val="20"/>
          <w:szCs w:val="20"/>
        </w:rPr>
        <w:t>s, Ne</w:t>
      </w:r>
      <w:r>
        <w:rPr>
          <w:rFonts w:eastAsia="Times New Roman"/>
          <w:b/>
          <w:bCs/>
          <w:color w:val="000000"/>
          <w:sz w:val="20"/>
          <w:szCs w:val="20"/>
        </w:rPr>
        <w:t>t</w:t>
      </w:r>
    </w:p>
    <w:p w14:paraId="22A8F1DD" w14:textId="77777777" w:rsidR="00000000" w:rsidRDefault="00195E73">
      <w:pPr>
        <w:ind w:firstLine="450"/>
        <w:divId w:val="776877127"/>
        <w:rPr>
          <w:rFonts w:eastAsia="Times New Roman"/>
        </w:rPr>
      </w:pPr>
      <w:r>
        <w:rPr>
          <w:rFonts w:eastAsia="Times New Roman"/>
          <w:color w:val="000000"/>
          <w:sz w:val="20"/>
          <w:szCs w:val="20"/>
        </w:rPr>
        <w:t>As discussed in Note 1, "Description of Business," to the consolidated financial statements, we sold Ferrous Resources, resulting in a pretax gain on disposition of assets of $252 million for the year ended December 31, 2019</w:t>
      </w:r>
      <w:r>
        <w:rPr>
          <w:rFonts w:eastAsia="Times New Roman"/>
          <w:color w:val="000000"/>
          <w:sz w:val="20"/>
          <w:szCs w:val="20"/>
        </w:rPr>
        <w:t>.</w:t>
      </w:r>
    </w:p>
    <w:p w14:paraId="46537AEF" w14:textId="77777777" w:rsidR="00000000" w:rsidRDefault="00195E73">
      <w:pPr>
        <w:ind w:firstLine="450"/>
        <w:divId w:val="827088065"/>
        <w:rPr>
          <w:rFonts w:eastAsia="Times New Roman"/>
        </w:rPr>
      </w:pPr>
      <w:r>
        <w:rPr>
          <w:rFonts w:eastAsia="Times New Roman"/>
          <w:color w:val="000000"/>
          <w:sz w:val="20"/>
          <w:szCs w:val="20"/>
        </w:rPr>
        <w:t>During 2018, our Real E</w:t>
      </w:r>
      <w:r>
        <w:rPr>
          <w:rFonts w:eastAsia="Times New Roman"/>
          <w:color w:val="000000"/>
          <w:sz w:val="20"/>
          <w:szCs w:val="20"/>
        </w:rPr>
        <w:t>state segment sold two commercial rental properties, resulting in aggregate pretax gain on disposition of assets of $89 million for the year ended December 31, 2018. In addition, our Railcar segment sold its remaining railcars previously owned by ARL, resu</w:t>
      </w:r>
      <w:r>
        <w:rPr>
          <w:rFonts w:eastAsia="Times New Roman"/>
          <w:color w:val="000000"/>
          <w:sz w:val="20"/>
          <w:szCs w:val="20"/>
        </w:rPr>
        <w:t>lting in aggregate pretax gain on disposition of assets of $5 million for the year ended December 31, 2018</w:t>
      </w:r>
      <w:r>
        <w:rPr>
          <w:rFonts w:eastAsia="Times New Roman"/>
          <w:color w:val="000000"/>
          <w:sz w:val="20"/>
          <w:szCs w:val="20"/>
        </w:rPr>
        <w:t>.</w:t>
      </w:r>
    </w:p>
    <w:p w14:paraId="0B9FFFE4" w14:textId="77777777" w:rsidR="00000000" w:rsidRDefault="00195E73">
      <w:pPr>
        <w:ind w:firstLine="450"/>
        <w:divId w:val="1955357675"/>
        <w:rPr>
          <w:rFonts w:eastAsia="Times New Roman"/>
        </w:rPr>
      </w:pPr>
      <w:r>
        <w:rPr>
          <w:rFonts w:eastAsia="Times New Roman"/>
          <w:color w:val="000000"/>
          <w:sz w:val="20"/>
          <w:szCs w:val="20"/>
        </w:rPr>
        <w:t>During 2017, we sold ARL along with a majority of its railcar lease fleet, resulting in an aggregate pretax gain on disposition of assets of approxi</w:t>
      </w:r>
      <w:r>
        <w:rPr>
          <w:rFonts w:eastAsia="Times New Roman"/>
          <w:color w:val="000000"/>
          <w:sz w:val="20"/>
          <w:szCs w:val="20"/>
        </w:rPr>
        <w:t>mately $1.7 billion recorded by our Railcar segment for the year ended December 31, 2017. In August 2017, our Real Estate segment sold a development property in Las Vegas Nevada, resulting in a pretax gain on disposition of assets of $456 million for the y</w:t>
      </w:r>
      <w:r>
        <w:rPr>
          <w:rFonts w:eastAsia="Times New Roman"/>
          <w:color w:val="000000"/>
          <w:sz w:val="20"/>
          <w:szCs w:val="20"/>
        </w:rPr>
        <w:t>ear ended December 31, 2017. Our Real Estate segment also sold additional properties during 2017, primarily within its rental operations, resulting in an additional pretax gain on disposition of assets aggregating $40 million for the year ended December 31</w:t>
      </w:r>
      <w:r>
        <w:rPr>
          <w:rFonts w:eastAsia="Times New Roman"/>
          <w:color w:val="000000"/>
          <w:sz w:val="20"/>
          <w:szCs w:val="20"/>
        </w:rPr>
        <w:t>, 2017.</w:t>
      </w:r>
      <w:r>
        <w:rPr>
          <w:rFonts w:eastAsia="Times New Roman"/>
          <w:color w:val="000000"/>
          <w:sz w:val="20"/>
          <w:szCs w:val="20"/>
        </w:rPr>
        <w:t xml:space="preserve"> </w:t>
      </w:r>
    </w:p>
    <w:p w14:paraId="142871DF" w14:textId="77777777" w:rsidR="00000000" w:rsidRDefault="00195E73">
      <w:pPr>
        <w:divId w:val="1132402678"/>
        <w:rPr>
          <w:rFonts w:eastAsia="Times New Roman"/>
        </w:rPr>
      </w:pPr>
      <w:r>
        <w:rPr>
          <w:rFonts w:eastAsia="Times New Roman"/>
          <w:b/>
          <w:bCs/>
          <w:color w:val="000000"/>
          <w:sz w:val="20"/>
          <w:szCs w:val="20"/>
        </w:rPr>
        <w:t>Selling, General and Administrativ</w:t>
      </w:r>
      <w:r>
        <w:rPr>
          <w:rFonts w:eastAsia="Times New Roman"/>
          <w:b/>
          <w:bCs/>
          <w:color w:val="000000"/>
          <w:sz w:val="20"/>
          <w:szCs w:val="20"/>
        </w:rPr>
        <w:t>e</w:t>
      </w:r>
    </w:p>
    <w:p w14:paraId="6EA539A5" w14:textId="77777777" w:rsidR="00000000" w:rsidRDefault="00195E73">
      <w:pPr>
        <w:ind w:firstLine="450"/>
        <w:divId w:val="986544888"/>
        <w:rPr>
          <w:rFonts w:eastAsia="Times New Roman"/>
        </w:rPr>
      </w:pPr>
      <w:r>
        <w:rPr>
          <w:rFonts w:eastAsia="Times New Roman"/>
          <w:color w:val="000000"/>
          <w:sz w:val="20"/>
          <w:szCs w:val="20"/>
        </w:rPr>
        <w:t>Our consolidated selling, general and administrative for the year ended December 31, 2019 decreased by $10 million (1%) as compared to the comparable prior year period. The decrease was primarily attributable to</w:t>
      </w:r>
      <w:r>
        <w:rPr>
          <w:rFonts w:eastAsia="Times New Roman"/>
          <w:color w:val="000000"/>
          <w:sz w:val="20"/>
          <w:szCs w:val="20"/>
        </w:rPr>
        <w:t xml:space="preserve"> our Automotive segment as a result of certain shared service center cost reductions as well as other cost reduction initiatives offset in part by an increase from our Energy segment of $8 million primarily related to certain asset write offs in 2019 as we</w:t>
      </w:r>
      <w:r>
        <w:rPr>
          <w:rFonts w:eastAsia="Times New Roman"/>
          <w:color w:val="000000"/>
          <w:sz w:val="20"/>
          <w:szCs w:val="20"/>
        </w:rPr>
        <w:t>ll as increased personnel costs.</w:t>
      </w:r>
      <w:r>
        <w:rPr>
          <w:rFonts w:eastAsia="Times New Roman"/>
          <w:color w:val="000000"/>
          <w:sz w:val="20"/>
          <w:szCs w:val="20"/>
        </w:rPr>
        <w:t xml:space="preserve"> </w:t>
      </w:r>
    </w:p>
    <w:p w14:paraId="53A173A3" w14:textId="77777777" w:rsidR="00000000" w:rsidRDefault="00195E73">
      <w:pPr>
        <w:divId w:val="626736601"/>
        <w:rPr>
          <w:rFonts w:eastAsia="Times New Roman"/>
        </w:rPr>
      </w:pPr>
      <w:r>
        <w:rPr>
          <w:rFonts w:eastAsia="Times New Roman"/>
          <w:b/>
          <w:bCs/>
          <w:color w:val="000000"/>
          <w:sz w:val="20"/>
          <w:szCs w:val="20"/>
        </w:rPr>
        <w:t>Restructurin</w:t>
      </w:r>
      <w:r>
        <w:rPr>
          <w:rFonts w:eastAsia="Times New Roman"/>
          <w:b/>
          <w:bCs/>
          <w:color w:val="000000"/>
          <w:sz w:val="20"/>
          <w:szCs w:val="20"/>
        </w:rPr>
        <w:t>g</w:t>
      </w:r>
    </w:p>
    <w:p w14:paraId="73DE286D" w14:textId="77777777" w:rsidR="00000000" w:rsidRDefault="00195E73">
      <w:pPr>
        <w:ind w:firstLine="450"/>
        <w:divId w:val="1241448993"/>
        <w:rPr>
          <w:rFonts w:eastAsia="Times New Roman"/>
        </w:rPr>
      </w:pPr>
      <w:r>
        <w:rPr>
          <w:rFonts w:eastAsia="Times New Roman"/>
          <w:color w:val="000000"/>
          <w:sz w:val="20"/>
          <w:szCs w:val="20"/>
        </w:rPr>
        <w:t>Our consolidated restructuring, net for the years ended December </w:t>
      </w:r>
      <w:r>
        <w:rPr>
          <w:rFonts w:eastAsia="Times New Roman"/>
          <w:color w:val="000000"/>
          <w:sz w:val="20"/>
          <w:szCs w:val="20"/>
        </w:rPr>
        <w:t>31, 2019, 2018 and 2017 was $18 million, $21 million and $4 million, respectively, and was primarily attributable to our Food Packaging segment. During the years ended December 31, 2019 and 2018, our Food Packaging segment recorded $8 million and $9 millio</w:t>
      </w:r>
      <w:r>
        <w:rPr>
          <w:rFonts w:eastAsia="Times New Roman"/>
          <w:color w:val="000000"/>
          <w:sz w:val="20"/>
          <w:szCs w:val="20"/>
        </w:rPr>
        <w:t>n, respectively, of restructuring charges for employee costs relating to certain of its European operations. During the year ended December 31, 2018, our Energy segment recorded $5 million of restructuring charges for employee costs and other exit costs re</w:t>
      </w:r>
      <w:r>
        <w:rPr>
          <w:rFonts w:eastAsia="Times New Roman"/>
          <w:color w:val="000000"/>
          <w:sz w:val="20"/>
          <w:szCs w:val="20"/>
        </w:rPr>
        <w:t>lating to an office closure. During the year ended December 31, 2019 and 2018, our Automotive segment recorded $6 million and $5 million, respectively, of restructuring charges primarily for exit costs relating to facility closures. Refer to Note 13, “Segm</w:t>
      </w:r>
      <w:r>
        <w:rPr>
          <w:rFonts w:eastAsia="Times New Roman"/>
          <w:color w:val="000000"/>
          <w:sz w:val="20"/>
          <w:szCs w:val="20"/>
        </w:rPr>
        <w:t>ent and Geographic Reporting,” to the consolidated financial statements for net restructuring charges recorded by each of our segments.</w:t>
      </w:r>
      <w:r>
        <w:rPr>
          <w:rFonts w:eastAsia="Times New Roman"/>
          <w:color w:val="000000"/>
          <w:sz w:val="20"/>
          <w:szCs w:val="20"/>
        </w:rPr>
        <w:t xml:space="preserve"> </w:t>
      </w:r>
    </w:p>
    <w:p w14:paraId="2CC1D33D" w14:textId="77777777" w:rsidR="00000000" w:rsidRDefault="00195E73">
      <w:pPr>
        <w:divId w:val="628556058"/>
        <w:rPr>
          <w:rFonts w:eastAsia="Times New Roman"/>
        </w:rPr>
      </w:pPr>
      <w:r>
        <w:rPr>
          <w:rFonts w:eastAsia="Times New Roman"/>
          <w:b/>
          <w:bCs/>
          <w:color w:val="000000"/>
          <w:sz w:val="20"/>
          <w:szCs w:val="20"/>
        </w:rPr>
        <w:t>Impairmen</w:t>
      </w:r>
      <w:r>
        <w:rPr>
          <w:rFonts w:eastAsia="Times New Roman"/>
          <w:b/>
          <w:bCs/>
          <w:color w:val="000000"/>
          <w:sz w:val="20"/>
          <w:szCs w:val="20"/>
        </w:rPr>
        <w:t>t</w:t>
      </w:r>
    </w:p>
    <w:p w14:paraId="22D18588" w14:textId="77777777" w:rsidR="00000000" w:rsidRDefault="00195E73">
      <w:pPr>
        <w:ind w:firstLine="450"/>
        <w:divId w:val="1076903647"/>
        <w:rPr>
          <w:rFonts w:eastAsia="Times New Roman"/>
        </w:rPr>
      </w:pPr>
      <w:r>
        <w:rPr>
          <w:rFonts w:eastAsia="Times New Roman"/>
          <w:color w:val="000000"/>
          <w:sz w:val="20"/>
          <w:szCs w:val="20"/>
        </w:rPr>
        <w:t>Refer to Note 5, “Fair Value Measurements,” and Note 9, “Goodwill and Intangible Assets, Net,” to the consol</w:t>
      </w:r>
      <w:r>
        <w:rPr>
          <w:rFonts w:eastAsia="Times New Roman"/>
          <w:color w:val="000000"/>
          <w:sz w:val="20"/>
          <w:szCs w:val="20"/>
        </w:rPr>
        <w:t>idated financial statements for a discussion of impairments of assets.</w:t>
      </w:r>
      <w:r>
        <w:rPr>
          <w:rFonts w:eastAsia="Times New Roman"/>
          <w:color w:val="000000"/>
          <w:sz w:val="20"/>
          <w:szCs w:val="20"/>
        </w:rPr>
        <w:t xml:space="preserve"> </w:t>
      </w:r>
    </w:p>
    <w:p w14:paraId="5AFC78FD" w14:textId="77777777" w:rsidR="00000000" w:rsidRDefault="00195E73">
      <w:pPr>
        <w:divId w:val="195242581"/>
        <w:rPr>
          <w:rFonts w:eastAsia="Times New Roman"/>
        </w:rPr>
      </w:pPr>
      <w:r>
        <w:rPr>
          <w:rFonts w:eastAsia="Times New Roman"/>
          <w:b/>
          <w:bCs/>
          <w:color w:val="000000"/>
          <w:sz w:val="20"/>
          <w:szCs w:val="20"/>
        </w:rPr>
        <w:t>Interest Expens</w:t>
      </w:r>
      <w:r>
        <w:rPr>
          <w:rFonts w:eastAsia="Times New Roman"/>
          <w:b/>
          <w:bCs/>
          <w:color w:val="000000"/>
          <w:sz w:val="20"/>
          <w:szCs w:val="20"/>
        </w:rPr>
        <w:t>e</w:t>
      </w:r>
    </w:p>
    <w:p w14:paraId="22BA5FCC" w14:textId="77777777" w:rsidR="00000000" w:rsidRDefault="00195E73">
      <w:pPr>
        <w:ind w:firstLine="450"/>
        <w:divId w:val="623971815"/>
        <w:rPr>
          <w:rFonts w:eastAsia="Times New Roman"/>
        </w:rPr>
      </w:pPr>
      <w:r>
        <w:rPr>
          <w:rFonts w:eastAsia="Times New Roman"/>
          <w:color w:val="000000"/>
          <w:sz w:val="20"/>
          <w:szCs w:val="20"/>
        </w:rPr>
        <w:t>Our consolidated interest expense during the year ended December 31, 2019 increased by $81 million (15%) as compared the comparable prior year period. The increase was</w:t>
      </w:r>
      <w:r>
        <w:rPr>
          <w:rFonts w:eastAsia="Times New Roman"/>
          <w:color w:val="000000"/>
          <w:sz w:val="20"/>
          <w:szCs w:val="20"/>
        </w:rPr>
        <w:t xml:space="preserve"> primarily due to higher interest expense from our Investment segment attributable to an increase in average due to broker balances over the respective periods as well as higher interest expense at our Holding Company as a result of certain debt offerings </w:t>
      </w:r>
      <w:r>
        <w:rPr>
          <w:rFonts w:eastAsia="Times New Roman"/>
          <w:color w:val="000000"/>
          <w:sz w:val="20"/>
          <w:szCs w:val="20"/>
        </w:rPr>
        <w:t>in the second and fourth quarters of 2019.</w:t>
      </w:r>
      <w:r>
        <w:rPr>
          <w:rFonts w:eastAsia="Times New Roman"/>
          <w:color w:val="000000"/>
          <w:sz w:val="20"/>
          <w:szCs w:val="20"/>
        </w:rPr>
        <w:t xml:space="preserve"> </w:t>
      </w:r>
    </w:p>
    <w:p w14:paraId="62F9DF70" w14:textId="77777777" w:rsidR="00000000" w:rsidRDefault="00195E73">
      <w:pPr>
        <w:divId w:val="1623415825"/>
        <w:rPr>
          <w:rFonts w:eastAsia="Times New Roman"/>
        </w:rPr>
      </w:pPr>
      <w:r>
        <w:rPr>
          <w:rFonts w:eastAsia="Times New Roman"/>
          <w:b/>
          <w:bCs/>
          <w:color w:val="000000"/>
          <w:sz w:val="20"/>
          <w:szCs w:val="20"/>
        </w:rPr>
        <w:t>Income Tax Expens</w:t>
      </w:r>
      <w:r>
        <w:rPr>
          <w:rFonts w:eastAsia="Times New Roman"/>
          <w:b/>
          <w:bCs/>
          <w:color w:val="000000"/>
          <w:sz w:val="20"/>
          <w:szCs w:val="20"/>
        </w:rPr>
        <w:t>e</w:t>
      </w:r>
    </w:p>
    <w:p w14:paraId="26FDACB9" w14:textId="77777777" w:rsidR="00000000" w:rsidRDefault="00195E73">
      <w:pPr>
        <w:ind w:firstLine="450"/>
        <w:divId w:val="605502946"/>
        <w:rPr>
          <w:rFonts w:eastAsia="Times New Roman"/>
        </w:rPr>
      </w:pPr>
      <w:r>
        <w:rPr>
          <w:rFonts w:eastAsia="Times New Roman"/>
          <w:color w:val="000000"/>
          <w:sz w:val="20"/>
          <w:szCs w:val="20"/>
        </w:rPr>
        <w:t>Certain of our subsidiaries are partnerships not subject to taxation in our consolidated financial statements and certain other subsidiaries are corporations, or subsidiaries of corporations, subject to taxation in our consolidated financial statements. Th</w:t>
      </w:r>
      <w:r>
        <w:rPr>
          <w:rFonts w:eastAsia="Times New Roman"/>
          <w:color w:val="000000"/>
          <w:sz w:val="20"/>
          <w:szCs w:val="20"/>
        </w:rPr>
        <w:t>erefore, our consolidated effective tax rate generally differs from the statutory federal tax rate. Refer to Note 15, “Income Taxes,” to the consolidated financial statements for a discussion of income taxes.</w:t>
      </w:r>
      <w:r>
        <w:rPr>
          <w:rFonts w:eastAsia="Times New Roman"/>
          <w:color w:val="000000"/>
          <w:sz w:val="20"/>
          <w:szCs w:val="20"/>
        </w:rPr>
        <w:t xml:space="preserve"> </w:t>
      </w:r>
    </w:p>
    <w:p w14:paraId="6CD7F14C" w14:textId="77777777" w:rsidR="00000000" w:rsidRDefault="00195E73">
      <w:pPr>
        <w:ind w:firstLine="450"/>
        <w:divId w:val="305858788"/>
        <w:rPr>
          <w:rFonts w:eastAsia="Times New Roman"/>
        </w:rPr>
      </w:pPr>
      <w:r>
        <w:rPr>
          <w:rFonts w:eastAsia="Times New Roman"/>
          <w:color w:val="000000"/>
          <w:sz w:val="20"/>
          <w:szCs w:val="20"/>
        </w:rPr>
        <w:t>In addition, in accordance with FASB ASC Topic</w:t>
      </w:r>
      <w:r>
        <w:rPr>
          <w:rFonts w:eastAsia="Times New Roman"/>
          <w:color w:val="000000"/>
          <w:sz w:val="20"/>
          <w:szCs w:val="20"/>
        </w:rPr>
        <w:t xml:space="preserve"> 740,</w:t>
      </w:r>
      <w:r>
        <w:rPr>
          <w:rFonts w:eastAsia="Times New Roman"/>
          <w:color w:val="000000"/>
          <w:sz w:val="20"/>
          <w:szCs w:val="20"/>
        </w:rPr>
        <w:t xml:space="preserve"> </w:t>
      </w:r>
      <w:r>
        <w:rPr>
          <w:rFonts w:eastAsia="Times New Roman"/>
          <w:i/>
          <w:iCs/>
          <w:color w:val="000000"/>
          <w:sz w:val="20"/>
          <w:szCs w:val="20"/>
        </w:rPr>
        <w:t>Income Taxe</w:t>
      </w:r>
      <w:r>
        <w:rPr>
          <w:rFonts w:eastAsia="Times New Roman"/>
          <w:i/>
          <w:iCs/>
          <w:color w:val="000000"/>
          <w:sz w:val="20"/>
          <w:szCs w:val="20"/>
        </w:rPr>
        <w:t>s</w:t>
      </w:r>
      <w:r>
        <w:rPr>
          <w:rFonts w:eastAsia="Times New Roman"/>
          <w:color w:val="000000"/>
          <w:sz w:val="20"/>
          <w:szCs w:val="20"/>
        </w:rPr>
        <w:t>, we analyze all positive and negative evidence and maintain a valuation allowance on deferred tax assets that are not considered more likely than not to be realized</w:t>
      </w:r>
      <w:r>
        <w:rPr>
          <w:rFonts w:eastAsia="Times New Roman"/>
          <w:color w:val="000000"/>
          <w:sz w:val="20"/>
          <w:szCs w:val="20"/>
        </w:rPr>
        <w:t>.</w:t>
      </w:r>
    </w:p>
    <w:p w14:paraId="3350E460" w14:textId="77777777" w:rsidR="00000000" w:rsidRDefault="00195E73">
      <w:pPr>
        <w:divId w:val="342821590"/>
        <w:rPr>
          <w:rFonts w:eastAsia="Times New Roman"/>
        </w:rPr>
      </w:pPr>
    </w:p>
    <w:p w14:paraId="415602C7" w14:textId="77777777" w:rsidR="00000000" w:rsidRDefault="00195E73">
      <w:pPr>
        <w:divId w:val="804348969"/>
        <w:rPr>
          <w:rFonts w:eastAsia="Times New Roman"/>
        </w:rPr>
      </w:pPr>
    </w:p>
    <w:p w14:paraId="1BB56636" w14:textId="77777777" w:rsidR="00000000" w:rsidRDefault="00195E73">
      <w:pPr>
        <w:jc w:val="center"/>
        <w:divId w:val="362873128"/>
        <w:rPr>
          <w:rFonts w:eastAsia="Times New Roman"/>
        </w:rPr>
      </w:pPr>
      <w:r>
        <w:rPr>
          <w:rFonts w:eastAsia="Times New Roman"/>
          <w:color w:val="000000"/>
          <w:sz w:val="20"/>
          <w:szCs w:val="20"/>
        </w:rPr>
        <w:t>3</w:t>
      </w:r>
      <w:r>
        <w:rPr>
          <w:rFonts w:eastAsia="Times New Roman"/>
          <w:color w:val="000000"/>
          <w:sz w:val="20"/>
          <w:szCs w:val="20"/>
        </w:rPr>
        <w:t>7</w:t>
      </w:r>
    </w:p>
    <w:p w14:paraId="191ED7E6" w14:textId="77777777" w:rsidR="00000000" w:rsidRDefault="00195E73">
      <w:pPr>
        <w:rPr>
          <w:rFonts w:eastAsia="Times New Roman"/>
        </w:rPr>
      </w:pPr>
      <w:r>
        <w:rPr>
          <w:rFonts w:eastAsia="Times New Roman"/>
        </w:rPr>
        <w:pict w14:anchorId="465A5156">
          <v:rect id="_x0000_i1063" style="width:0;height:1.5pt" o:hralign="center" o:hrstd="t" o:hr="t" fillcolor="#a0a0a0" stroked="f"/>
        </w:pict>
      </w:r>
    </w:p>
    <w:p w14:paraId="4F4D4176" w14:textId="77777777" w:rsidR="00000000" w:rsidRDefault="00195E73">
      <w:pPr>
        <w:divId w:val="646325127"/>
        <w:rPr>
          <w:rFonts w:eastAsia="Times New Roman"/>
        </w:rPr>
      </w:pPr>
    </w:p>
    <w:p w14:paraId="61D51A77" w14:textId="77777777" w:rsidR="00000000" w:rsidRDefault="00195E73">
      <w:pPr>
        <w:divId w:val="1858083140"/>
        <w:rPr>
          <w:rFonts w:eastAsia="Times New Roman"/>
        </w:rPr>
      </w:pPr>
      <w:r>
        <w:rPr>
          <w:rFonts w:eastAsia="Times New Roman"/>
          <w:b/>
          <w:bCs/>
          <w:color w:val="000000"/>
          <w:sz w:val="20"/>
          <w:szCs w:val="20"/>
        </w:rPr>
        <w:t>Liquidity and Capital Reso</w:t>
      </w:r>
      <w:r>
        <w:rPr>
          <w:rFonts w:eastAsia="Times New Roman"/>
          <w:b/>
          <w:bCs/>
          <w:color w:val="000000"/>
          <w:sz w:val="20"/>
          <w:szCs w:val="20"/>
        </w:rPr>
        <w:t>urce</w:t>
      </w:r>
      <w:r>
        <w:rPr>
          <w:rFonts w:eastAsia="Times New Roman"/>
          <w:b/>
          <w:bCs/>
          <w:color w:val="000000"/>
          <w:sz w:val="20"/>
          <w:szCs w:val="20"/>
        </w:rPr>
        <w:t>s</w:t>
      </w:r>
    </w:p>
    <w:p w14:paraId="476535D3" w14:textId="77777777" w:rsidR="00000000" w:rsidRDefault="00195E73">
      <w:pPr>
        <w:divId w:val="1338342539"/>
        <w:rPr>
          <w:rFonts w:eastAsia="Times New Roman"/>
        </w:rPr>
      </w:pPr>
      <w:r>
        <w:rPr>
          <w:rFonts w:eastAsia="Times New Roman"/>
          <w:b/>
          <w:bCs/>
          <w:i/>
          <w:iCs/>
          <w:color w:val="000000"/>
          <w:sz w:val="20"/>
          <w:szCs w:val="20"/>
        </w:rPr>
        <w:t>Holding Company Liquidit</w:t>
      </w:r>
      <w:r>
        <w:rPr>
          <w:rFonts w:eastAsia="Times New Roman"/>
          <w:b/>
          <w:bCs/>
          <w:i/>
          <w:iCs/>
          <w:color w:val="000000"/>
          <w:sz w:val="20"/>
          <w:szCs w:val="20"/>
        </w:rPr>
        <w:t>y</w:t>
      </w:r>
    </w:p>
    <w:p w14:paraId="10CEBD64" w14:textId="77777777" w:rsidR="00000000" w:rsidRDefault="00195E73">
      <w:pPr>
        <w:ind w:firstLine="450"/>
        <w:divId w:val="182206548"/>
        <w:rPr>
          <w:rFonts w:eastAsia="Times New Roman"/>
        </w:rPr>
      </w:pPr>
      <w:r>
        <w:rPr>
          <w:rFonts w:eastAsia="Times New Roman"/>
          <w:color w:val="000000"/>
          <w:sz w:val="20"/>
          <w:szCs w:val="20"/>
        </w:rPr>
        <w:t>We are a holding company. Our cash flow and our ability to meet our debt service obligations and make distributions with respect to depositary units likely will depend on the cash flow resulting from divestitures, equity and</w:t>
      </w:r>
      <w:r>
        <w:rPr>
          <w:rFonts w:eastAsia="Times New Roman"/>
          <w:color w:val="000000"/>
          <w:sz w:val="20"/>
          <w:szCs w:val="20"/>
        </w:rPr>
        <w:t xml:space="preserve"> debt financings, interest income, returns on our interests in the Investment Funds and the payment of funds to us by our subsidiaries in the form of loans, dividends and distributions. We may pursue various means to raise cash from our subsidiaries. To da</w:t>
      </w:r>
      <w:r>
        <w:rPr>
          <w:rFonts w:eastAsia="Times New Roman"/>
          <w:color w:val="000000"/>
          <w:sz w:val="20"/>
          <w:szCs w:val="20"/>
        </w:rPr>
        <w:t xml:space="preserve">te, such means include receipt of dividends and distributions from subsidiaries, obtaining loans or other financings based on the asset values of subsidiaries or selling debt or equity securities of subsidiaries through capital market transactions. To the </w:t>
      </w:r>
      <w:r>
        <w:rPr>
          <w:rFonts w:eastAsia="Times New Roman"/>
          <w:color w:val="000000"/>
          <w:sz w:val="20"/>
          <w:szCs w:val="20"/>
        </w:rPr>
        <w:t>degree any distributions and transfers are impaired or prohibited, our ability to make payments on our debt or distributions on our depositary units could be limited. The operating results of our subsidiaries may not be sufficient for them to make distribu</w:t>
      </w:r>
      <w:r>
        <w:rPr>
          <w:rFonts w:eastAsia="Times New Roman"/>
          <w:color w:val="000000"/>
          <w:sz w:val="20"/>
          <w:szCs w:val="20"/>
        </w:rPr>
        <w:t>tions to us. In addition, our subsidiaries are not obligated to make funds available to us and distributions and intercompany transfers from our subsidiaries to us may be restricted by applicable law or covenants contained in debt agreements and other agre</w:t>
      </w:r>
      <w:r>
        <w:rPr>
          <w:rFonts w:eastAsia="Times New Roman"/>
          <w:color w:val="000000"/>
          <w:sz w:val="20"/>
          <w:szCs w:val="20"/>
        </w:rPr>
        <w:t>ements.</w:t>
      </w:r>
      <w:r>
        <w:rPr>
          <w:rFonts w:eastAsia="Times New Roman"/>
          <w:color w:val="000000"/>
          <w:sz w:val="20"/>
          <w:szCs w:val="20"/>
        </w:rPr>
        <w:t xml:space="preserve"> </w:t>
      </w:r>
    </w:p>
    <w:p w14:paraId="664461B8" w14:textId="77777777" w:rsidR="00000000" w:rsidRDefault="00195E73">
      <w:pPr>
        <w:ind w:firstLine="450"/>
        <w:divId w:val="1873495792"/>
        <w:rPr>
          <w:rFonts w:eastAsia="Times New Roman"/>
        </w:rPr>
      </w:pPr>
      <w:r>
        <w:rPr>
          <w:rFonts w:eastAsia="Times New Roman"/>
          <w:color w:val="000000"/>
          <w:sz w:val="20"/>
          <w:szCs w:val="20"/>
        </w:rPr>
        <w:t>As of December 31, 2019, our Holding Company had cash and cash equivalents of approximately $3.0 billion and total debt of approximately $6.3 billion. As of December 31, 2019, our Holding Company had investments in the Investment Funds with a tota</w:t>
      </w:r>
      <w:r>
        <w:rPr>
          <w:rFonts w:eastAsia="Times New Roman"/>
          <w:color w:val="000000"/>
          <w:sz w:val="20"/>
          <w:szCs w:val="20"/>
        </w:rPr>
        <w:t xml:space="preserve">l fair market value of approximately $4.3 billion. Subsequent to December 31, 2019, we invested an additional $1.0 billion in the Investment Funds. We may redeem our direct investment in the Investment Funds upon notice. See “Investment Segment Liquidity” </w:t>
      </w:r>
      <w:r>
        <w:rPr>
          <w:rFonts w:eastAsia="Times New Roman"/>
          <w:color w:val="000000"/>
          <w:sz w:val="20"/>
          <w:szCs w:val="20"/>
        </w:rPr>
        <w:t>below for additional information with respect to our Investment segment liquidity. See “Consolidated Cash Flows” below for additional information with respect to our Holding Company liquidity</w:t>
      </w:r>
      <w:r>
        <w:rPr>
          <w:rFonts w:eastAsia="Times New Roman"/>
          <w:color w:val="000000"/>
          <w:sz w:val="20"/>
          <w:szCs w:val="20"/>
        </w:rPr>
        <w:t>.</w:t>
      </w:r>
    </w:p>
    <w:p w14:paraId="6865B91E" w14:textId="77777777" w:rsidR="00000000" w:rsidRDefault="00195E73">
      <w:pPr>
        <w:divId w:val="2001888977"/>
        <w:rPr>
          <w:rFonts w:eastAsia="Times New Roman"/>
        </w:rPr>
      </w:pPr>
      <w:r>
        <w:rPr>
          <w:rFonts w:eastAsia="Times New Roman"/>
          <w:i/>
          <w:iCs/>
          <w:color w:val="000000"/>
          <w:sz w:val="20"/>
          <w:szCs w:val="20"/>
        </w:rPr>
        <w:t>Holding Company Borrowings and Availabilit</w:t>
      </w:r>
      <w:r>
        <w:rPr>
          <w:rFonts w:eastAsia="Times New Roman"/>
          <w:i/>
          <w:iCs/>
          <w:color w:val="000000"/>
          <w:sz w:val="20"/>
          <w:szCs w:val="20"/>
        </w:rPr>
        <w:t>y</w:t>
      </w:r>
    </w:p>
    <w:tbl>
      <w:tblPr>
        <w:tblW w:w="4985" w:type="pct"/>
        <w:jc w:val="center"/>
        <w:tblCellMar>
          <w:top w:w="15" w:type="dxa"/>
          <w:left w:w="15" w:type="dxa"/>
          <w:bottom w:w="15" w:type="dxa"/>
          <w:right w:w="15" w:type="dxa"/>
        </w:tblCellMar>
        <w:tblLook w:val="04A0" w:firstRow="1" w:lastRow="0" w:firstColumn="1" w:lastColumn="0" w:noHBand="0" w:noVBand="1"/>
      </w:tblPr>
      <w:tblGrid>
        <w:gridCol w:w="52"/>
        <w:gridCol w:w="5619"/>
        <w:gridCol w:w="52"/>
        <w:gridCol w:w="135"/>
        <w:gridCol w:w="908"/>
        <w:gridCol w:w="85"/>
        <w:gridCol w:w="36"/>
        <w:gridCol w:w="36"/>
        <w:gridCol w:w="36"/>
        <w:gridCol w:w="135"/>
        <w:gridCol w:w="886"/>
        <w:gridCol w:w="85"/>
        <w:gridCol w:w="36"/>
        <w:gridCol w:w="36"/>
        <w:gridCol w:w="36"/>
        <w:gridCol w:w="36"/>
        <w:gridCol w:w="36"/>
        <w:gridCol w:w="36"/>
      </w:tblGrid>
      <w:tr w:rsidR="00000000" w14:paraId="25E01500" w14:textId="77777777">
        <w:trPr>
          <w:gridAfter w:val="6"/>
          <w:divId w:val="2081051051"/>
          <w:jc w:val="center"/>
        </w:trPr>
        <w:tc>
          <w:tcPr>
            <w:tcW w:w="50" w:type="pct"/>
            <w:vAlign w:val="center"/>
            <w:hideMark/>
          </w:tcPr>
          <w:p w14:paraId="217B959B" w14:textId="77777777" w:rsidR="00000000" w:rsidRDefault="00195E73">
            <w:pPr>
              <w:rPr>
                <w:rFonts w:eastAsia="Times New Roman"/>
              </w:rPr>
            </w:pPr>
          </w:p>
        </w:tc>
        <w:tc>
          <w:tcPr>
            <w:tcW w:w="3499" w:type="pct"/>
            <w:vAlign w:val="center"/>
            <w:hideMark/>
          </w:tcPr>
          <w:p w14:paraId="1D272FC1" w14:textId="77777777" w:rsidR="00000000" w:rsidRDefault="00195E73">
            <w:pPr>
              <w:rPr>
                <w:rFonts w:eastAsia="Times New Roman"/>
                <w:sz w:val="20"/>
                <w:szCs w:val="20"/>
              </w:rPr>
            </w:pPr>
          </w:p>
        </w:tc>
        <w:tc>
          <w:tcPr>
            <w:tcW w:w="50" w:type="pct"/>
            <w:vAlign w:val="center"/>
            <w:hideMark/>
          </w:tcPr>
          <w:p w14:paraId="035FCDCB" w14:textId="77777777" w:rsidR="00000000" w:rsidRDefault="00195E73">
            <w:pPr>
              <w:rPr>
                <w:rFonts w:eastAsia="Times New Roman"/>
                <w:sz w:val="20"/>
                <w:szCs w:val="20"/>
              </w:rPr>
            </w:pPr>
          </w:p>
        </w:tc>
        <w:tc>
          <w:tcPr>
            <w:tcW w:w="50" w:type="pct"/>
            <w:vAlign w:val="center"/>
            <w:hideMark/>
          </w:tcPr>
          <w:p w14:paraId="0D668D96" w14:textId="77777777" w:rsidR="00000000" w:rsidRDefault="00195E73">
            <w:pPr>
              <w:rPr>
                <w:rFonts w:eastAsia="Times New Roman"/>
                <w:sz w:val="20"/>
                <w:szCs w:val="20"/>
              </w:rPr>
            </w:pPr>
          </w:p>
        </w:tc>
        <w:tc>
          <w:tcPr>
            <w:tcW w:w="581" w:type="pct"/>
            <w:vAlign w:val="center"/>
            <w:hideMark/>
          </w:tcPr>
          <w:p w14:paraId="325266BF" w14:textId="77777777" w:rsidR="00000000" w:rsidRDefault="00195E73">
            <w:pPr>
              <w:rPr>
                <w:rFonts w:eastAsia="Times New Roman"/>
                <w:sz w:val="20"/>
                <w:szCs w:val="20"/>
              </w:rPr>
            </w:pPr>
          </w:p>
        </w:tc>
        <w:tc>
          <w:tcPr>
            <w:tcW w:w="50" w:type="pct"/>
            <w:vAlign w:val="center"/>
            <w:hideMark/>
          </w:tcPr>
          <w:p w14:paraId="1E3C6A28" w14:textId="77777777" w:rsidR="00000000" w:rsidRDefault="00195E73">
            <w:pPr>
              <w:rPr>
                <w:rFonts w:eastAsia="Times New Roman"/>
                <w:sz w:val="20"/>
                <w:szCs w:val="20"/>
              </w:rPr>
            </w:pPr>
          </w:p>
        </w:tc>
        <w:tc>
          <w:tcPr>
            <w:tcW w:w="5" w:type="pct"/>
            <w:vAlign w:val="center"/>
            <w:hideMark/>
          </w:tcPr>
          <w:p w14:paraId="0EC13FED" w14:textId="77777777" w:rsidR="00000000" w:rsidRDefault="00195E73">
            <w:pPr>
              <w:rPr>
                <w:rFonts w:eastAsia="Times New Roman"/>
                <w:sz w:val="20"/>
                <w:szCs w:val="20"/>
              </w:rPr>
            </w:pPr>
          </w:p>
        </w:tc>
        <w:tc>
          <w:tcPr>
            <w:tcW w:w="26" w:type="pct"/>
            <w:vAlign w:val="center"/>
            <w:hideMark/>
          </w:tcPr>
          <w:p w14:paraId="26BE0DD6" w14:textId="77777777" w:rsidR="00000000" w:rsidRDefault="00195E73">
            <w:pPr>
              <w:rPr>
                <w:rFonts w:eastAsia="Times New Roman"/>
                <w:sz w:val="20"/>
                <w:szCs w:val="20"/>
              </w:rPr>
            </w:pPr>
          </w:p>
        </w:tc>
        <w:tc>
          <w:tcPr>
            <w:tcW w:w="5" w:type="pct"/>
            <w:vAlign w:val="center"/>
            <w:hideMark/>
          </w:tcPr>
          <w:p w14:paraId="6425A10F" w14:textId="77777777" w:rsidR="00000000" w:rsidRDefault="00195E73">
            <w:pPr>
              <w:rPr>
                <w:rFonts w:eastAsia="Times New Roman"/>
                <w:sz w:val="20"/>
                <w:szCs w:val="20"/>
              </w:rPr>
            </w:pPr>
          </w:p>
        </w:tc>
        <w:tc>
          <w:tcPr>
            <w:tcW w:w="50" w:type="pct"/>
            <w:vAlign w:val="center"/>
            <w:hideMark/>
          </w:tcPr>
          <w:p w14:paraId="12A09FE2" w14:textId="77777777" w:rsidR="00000000" w:rsidRDefault="00195E73">
            <w:pPr>
              <w:rPr>
                <w:rFonts w:eastAsia="Times New Roman"/>
                <w:sz w:val="20"/>
                <w:szCs w:val="20"/>
              </w:rPr>
            </w:pPr>
          </w:p>
        </w:tc>
        <w:tc>
          <w:tcPr>
            <w:tcW w:w="581" w:type="pct"/>
            <w:vAlign w:val="center"/>
            <w:hideMark/>
          </w:tcPr>
          <w:p w14:paraId="37225600" w14:textId="77777777" w:rsidR="00000000" w:rsidRDefault="00195E73">
            <w:pPr>
              <w:rPr>
                <w:rFonts w:eastAsia="Times New Roman"/>
                <w:sz w:val="20"/>
                <w:szCs w:val="20"/>
              </w:rPr>
            </w:pPr>
          </w:p>
        </w:tc>
        <w:tc>
          <w:tcPr>
            <w:tcW w:w="50" w:type="pct"/>
            <w:vAlign w:val="center"/>
            <w:hideMark/>
          </w:tcPr>
          <w:p w14:paraId="3B4A20FB" w14:textId="77777777" w:rsidR="00000000" w:rsidRDefault="00195E73">
            <w:pPr>
              <w:rPr>
                <w:rFonts w:eastAsia="Times New Roman"/>
                <w:sz w:val="20"/>
                <w:szCs w:val="20"/>
              </w:rPr>
            </w:pPr>
          </w:p>
        </w:tc>
      </w:tr>
      <w:tr w:rsidR="00000000" w14:paraId="08049F17" w14:textId="77777777">
        <w:trPr>
          <w:divId w:val="2081051051"/>
          <w:jc w:val="center"/>
        </w:trPr>
        <w:tc>
          <w:tcPr>
            <w:tcW w:w="0" w:type="auto"/>
            <w:gridSpan w:val="3"/>
            <w:tcMar>
              <w:top w:w="15" w:type="dxa"/>
              <w:left w:w="20" w:type="dxa"/>
              <w:bottom w:w="15" w:type="dxa"/>
              <w:right w:w="20" w:type="dxa"/>
            </w:tcMar>
            <w:vAlign w:val="bottom"/>
            <w:hideMark/>
          </w:tcPr>
          <w:p w14:paraId="20927658"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2DD2E38A"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0E6FE93F" w14:textId="77777777" w:rsidR="00000000" w:rsidRDefault="00195E73">
            <w:pPr>
              <w:jc w:val="center"/>
              <w:rPr>
                <w:rFonts w:eastAsia="Times New Roman"/>
              </w:rPr>
            </w:pPr>
          </w:p>
        </w:tc>
        <w:tc>
          <w:tcPr>
            <w:tcW w:w="0" w:type="auto"/>
            <w:gridSpan w:val="3"/>
            <w:vAlign w:val="center"/>
            <w:hideMark/>
          </w:tcPr>
          <w:p w14:paraId="7653CDA1" w14:textId="77777777" w:rsidR="00000000" w:rsidRDefault="00195E73">
            <w:pPr>
              <w:rPr>
                <w:rFonts w:eastAsia="Times New Roman"/>
                <w:sz w:val="20"/>
                <w:szCs w:val="20"/>
              </w:rPr>
            </w:pPr>
          </w:p>
        </w:tc>
      </w:tr>
      <w:tr w:rsidR="00000000" w14:paraId="6F1653B8" w14:textId="77777777">
        <w:trPr>
          <w:divId w:val="2081051051"/>
          <w:jc w:val="center"/>
        </w:trPr>
        <w:tc>
          <w:tcPr>
            <w:tcW w:w="0" w:type="auto"/>
            <w:gridSpan w:val="3"/>
            <w:tcMar>
              <w:top w:w="15" w:type="dxa"/>
              <w:left w:w="20" w:type="dxa"/>
              <w:bottom w:w="15" w:type="dxa"/>
              <w:right w:w="20" w:type="dxa"/>
            </w:tcMar>
            <w:vAlign w:val="bottom"/>
            <w:hideMark/>
          </w:tcPr>
          <w:p w14:paraId="3457E3BD"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AC88DD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6AF67C8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D14E1FA"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752DE27F" w14:textId="77777777" w:rsidR="00000000" w:rsidRDefault="00195E73">
            <w:pPr>
              <w:rPr>
                <w:rFonts w:eastAsia="Times New Roman"/>
                <w:sz w:val="20"/>
                <w:szCs w:val="20"/>
              </w:rPr>
            </w:pPr>
          </w:p>
        </w:tc>
        <w:tc>
          <w:tcPr>
            <w:tcW w:w="0" w:type="auto"/>
            <w:vAlign w:val="center"/>
            <w:hideMark/>
          </w:tcPr>
          <w:p w14:paraId="7C57288E" w14:textId="77777777" w:rsidR="00000000" w:rsidRDefault="00195E73">
            <w:pPr>
              <w:rPr>
                <w:rFonts w:eastAsia="Times New Roman"/>
                <w:sz w:val="20"/>
                <w:szCs w:val="20"/>
              </w:rPr>
            </w:pPr>
          </w:p>
        </w:tc>
        <w:tc>
          <w:tcPr>
            <w:tcW w:w="0" w:type="auto"/>
            <w:vAlign w:val="center"/>
            <w:hideMark/>
          </w:tcPr>
          <w:p w14:paraId="36BBCAB2" w14:textId="77777777" w:rsidR="00000000" w:rsidRDefault="00195E73">
            <w:pPr>
              <w:rPr>
                <w:rFonts w:eastAsia="Times New Roman"/>
                <w:sz w:val="20"/>
                <w:szCs w:val="20"/>
              </w:rPr>
            </w:pPr>
          </w:p>
        </w:tc>
        <w:tc>
          <w:tcPr>
            <w:tcW w:w="0" w:type="auto"/>
            <w:vAlign w:val="center"/>
            <w:hideMark/>
          </w:tcPr>
          <w:p w14:paraId="5D5BD2EC" w14:textId="77777777" w:rsidR="00000000" w:rsidRDefault="00195E73">
            <w:pPr>
              <w:rPr>
                <w:rFonts w:eastAsia="Times New Roman"/>
                <w:sz w:val="20"/>
                <w:szCs w:val="20"/>
              </w:rPr>
            </w:pPr>
          </w:p>
        </w:tc>
        <w:tc>
          <w:tcPr>
            <w:tcW w:w="0" w:type="auto"/>
            <w:vAlign w:val="center"/>
            <w:hideMark/>
          </w:tcPr>
          <w:p w14:paraId="26B793C8" w14:textId="77777777" w:rsidR="00000000" w:rsidRDefault="00195E73">
            <w:pPr>
              <w:rPr>
                <w:rFonts w:eastAsia="Times New Roman"/>
                <w:sz w:val="20"/>
                <w:szCs w:val="20"/>
              </w:rPr>
            </w:pPr>
          </w:p>
        </w:tc>
        <w:tc>
          <w:tcPr>
            <w:tcW w:w="0" w:type="auto"/>
            <w:vAlign w:val="center"/>
            <w:hideMark/>
          </w:tcPr>
          <w:p w14:paraId="6BAD36A5" w14:textId="77777777" w:rsidR="00000000" w:rsidRDefault="00195E73">
            <w:pPr>
              <w:rPr>
                <w:rFonts w:eastAsia="Times New Roman"/>
                <w:sz w:val="20"/>
                <w:szCs w:val="20"/>
              </w:rPr>
            </w:pPr>
          </w:p>
        </w:tc>
      </w:tr>
      <w:tr w:rsidR="00000000" w14:paraId="3FA79FFB" w14:textId="77777777">
        <w:trPr>
          <w:divId w:val="2081051051"/>
          <w:jc w:val="center"/>
        </w:trPr>
        <w:tc>
          <w:tcPr>
            <w:tcW w:w="0" w:type="auto"/>
            <w:gridSpan w:val="3"/>
            <w:tcMar>
              <w:top w:w="15" w:type="dxa"/>
              <w:left w:w="20" w:type="dxa"/>
              <w:bottom w:w="15" w:type="dxa"/>
              <w:right w:w="20" w:type="dxa"/>
            </w:tcMar>
            <w:vAlign w:val="bottom"/>
            <w:hideMark/>
          </w:tcPr>
          <w:p w14:paraId="4696BCBE"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FD3AB74"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1665403C" w14:textId="77777777" w:rsidR="00000000" w:rsidRDefault="00195E73">
            <w:pPr>
              <w:jc w:val="center"/>
              <w:rPr>
                <w:rFonts w:eastAsia="Times New Roman"/>
              </w:rPr>
            </w:pPr>
          </w:p>
        </w:tc>
        <w:tc>
          <w:tcPr>
            <w:tcW w:w="0" w:type="auto"/>
            <w:gridSpan w:val="3"/>
            <w:vAlign w:val="center"/>
            <w:hideMark/>
          </w:tcPr>
          <w:p w14:paraId="455DEF06" w14:textId="77777777" w:rsidR="00000000" w:rsidRDefault="00195E73">
            <w:pPr>
              <w:rPr>
                <w:rFonts w:eastAsia="Times New Roman"/>
                <w:sz w:val="20"/>
                <w:szCs w:val="20"/>
              </w:rPr>
            </w:pPr>
          </w:p>
        </w:tc>
      </w:tr>
      <w:tr w:rsidR="00000000" w14:paraId="690A83C5" w14:textId="77777777">
        <w:trPr>
          <w:divId w:val="2081051051"/>
          <w:jc w:val="center"/>
        </w:trPr>
        <w:tc>
          <w:tcPr>
            <w:tcW w:w="0" w:type="auto"/>
            <w:gridSpan w:val="3"/>
            <w:shd w:val="clear" w:color="auto" w:fill="CCEEFF"/>
            <w:tcMar>
              <w:top w:w="30" w:type="dxa"/>
              <w:left w:w="20" w:type="dxa"/>
              <w:bottom w:w="30" w:type="dxa"/>
              <w:right w:w="20" w:type="dxa"/>
            </w:tcMar>
            <w:vAlign w:val="bottom"/>
            <w:hideMark/>
          </w:tcPr>
          <w:p w14:paraId="1CB1421E" w14:textId="77777777" w:rsidR="00000000" w:rsidRDefault="00195E73">
            <w:pPr>
              <w:rPr>
                <w:rFonts w:eastAsia="Times New Roman"/>
              </w:rPr>
            </w:pPr>
            <w:r>
              <w:rPr>
                <w:rFonts w:eastAsia="Times New Roman"/>
                <w:color w:val="000000"/>
                <w:sz w:val="20"/>
                <w:szCs w:val="20"/>
              </w:rPr>
              <w:t>6.000% senior unsecured notes due 202</w:t>
            </w:r>
            <w:r>
              <w:rPr>
                <w:rFonts w:eastAsia="Times New Roman"/>
                <w:color w:val="000000"/>
                <w:sz w:val="20"/>
                <w:szCs w:val="20"/>
              </w:rPr>
              <w:t>0</w:t>
            </w:r>
          </w:p>
        </w:tc>
        <w:tc>
          <w:tcPr>
            <w:tcW w:w="0" w:type="auto"/>
            <w:shd w:val="clear" w:color="auto" w:fill="CCEEFF"/>
            <w:tcMar>
              <w:top w:w="30" w:type="dxa"/>
              <w:left w:w="20" w:type="dxa"/>
              <w:bottom w:w="30" w:type="dxa"/>
              <w:right w:w="15" w:type="dxa"/>
            </w:tcMar>
            <w:vAlign w:val="bottom"/>
            <w:hideMark/>
          </w:tcPr>
          <w:p w14:paraId="57423BE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30035C7"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A1BE39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AF7F37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5434E7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225A3A9" w14:textId="77777777" w:rsidR="00000000" w:rsidRDefault="00195E73">
            <w:pPr>
              <w:jc w:val="right"/>
              <w:rPr>
                <w:rFonts w:eastAsia="Times New Roman"/>
              </w:rPr>
            </w:pPr>
            <w:r>
              <w:rPr>
                <w:rFonts w:eastAsia="Times New Roman"/>
                <w:color w:val="000000"/>
                <w:sz w:val="20"/>
                <w:szCs w:val="20"/>
              </w:rPr>
              <w:t>1,702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9047D5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C491826" w14:textId="77777777" w:rsidR="00000000" w:rsidRDefault="00195E73">
            <w:pPr>
              <w:rPr>
                <w:rFonts w:eastAsia="Times New Roman"/>
                <w:sz w:val="20"/>
                <w:szCs w:val="20"/>
              </w:rPr>
            </w:pPr>
          </w:p>
        </w:tc>
        <w:tc>
          <w:tcPr>
            <w:tcW w:w="0" w:type="auto"/>
            <w:vAlign w:val="center"/>
            <w:hideMark/>
          </w:tcPr>
          <w:p w14:paraId="6B301D5A" w14:textId="77777777" w:rsidR="00000000" w:rsidRDefault="00195E73">
            <w:pPr>
              <w:rPr>
                <w:rFonts w:eastAsia="Times New Roman"/>
                <w:sz w:val="20"/>
                <w:szCs w:val="20"/>
              </w:rPr>
            </w:pPr>
          </w:p>
        </w:tc>
        <w:tc>
          <w:tcPr>
            <w:tcW w:w="0" w:type="auto"/>
            <w:vAlign w:val="center"/>
            <w:hideMark/>
          </w:tcPr>
          <w:p w14:paraId="2FE304B3" w14:textId="77777777" w:rsidR="00000000" w:rsidRDefault="00195E73">
            <w:pPr>
              <w:rPr>
                <w:rFonts w:eastAsia="Times New Roman"/>
                <w:sz w:val="20"/>
                <w:szCs w:val="20"/>
              </w:rPr>
            </w:pPr>
          </w:p>
        </w:tc>
        <w:tc>
          <w:tcPr>
            <w:tcW w:w="0" w:type="auto"/>
            <w:vAlign w:val="center"/>
            <w:hideMark/>
          </w:tcPr>
          <w:p w14:paraId="33381C5F" w14:textId="77777777" w:rsidR="00000000" w:rsidRDefault="00195E73">
            <w:pPr>
              <w:rPr>
                <w:rFonts w:eastAsia="Times New Roman"/>
                <w:sz w:val="20"/>
                <w:szCs w:val="20"/>
              </w:rPr>
            </w:pPr>
          </w:p>
        </w:tc>
        <w:tc>
          <w:tcPr>
            <w:tcW w:w="0" w:type="auto"/>
            <w:vAlign w:val="center"/>
            <w:hideMark/>
          </w:tcPr>
          <w:p w14:paraId="0AA53E15" w14:textId="77777777" w:rsidR="00000000" w:rsidRDefault="00195E73">
            <w:pPr>
              <w:rPr>
                <w:rFonts w:eastAsia="Times New Roman"/>
                <w:sz w:val="20"/>
                <w:szCs w:val="20"/>
              </w:rPr>
            </w:pPr>
          </w:p>
        </w:tc>
        <w:tc>
          <w:tcPr>
            <w:tcW w:w="0" w:type="auto"/>
            <w:vAlign w:val="center"/>
            <w:hideMark/>
          </w:tcPr>
          <w:p w14:paraId="004B6FBE" w14:textId="77777777" w:rsidR="00000000" w:rsidRDefault="00195E73">
            <w:pPr>
              <w:rPr>
                <w:rFonts w:eastAsia="Times New Roman"/>
                <w:sz w:val="20"/>
                <w:szCs w:val="20"/>
              </w:rPr>
            </w:pPr>
          </w:p>
        </w:tc>
      </w:tr>
      <w:tr w:rsidR="00000000" w14:paraId="3DA50A3B" w14:textId="77777777">
        <w:trPr>
          <w:divId w:val="2081051051"/>
          <w:jc w:val="center"/>
        </w:trPr>
        <w:tc>
          <w:tcPr>
            <w:tcW w:w="0" w:type="auto"/>
            <w:gridSpan w:val="3"/>
            <w:shd w:val="clear" w:color="auto" w:fill="FFFFFF"/>
            <w:tcMar>
              <w:top w:w="30" w:type="dxa"/>
              <w:left w:w="20" w:type="dxa"/>
              <w:bottom w:w="30" w:type="dxa"/>
              <w:right w:w="20" w:type="dxa"/>
            </w:tcMar>
            <w:vAlign w:val="bottom"/>
            <w:hideMark/>
          </w:tcPr>
          <w:p w14:paraId="536DFBCD" w14:textId="77777777" w:rsidR="00000000" w:rsidRDefault="00195E73">
            <w:pPr>
              <w:rPr>
                <w:rFonts w:eastAsia="Times New Roman"/>
              </w:rPr>
            </w:pPr>
            <w:r>
              <w:rPr>
                <w:rFonts w:eastAsia="Times New Roman"/>
                <w:color w:val="000000"/>
                <w:sz w:val="20"/>
                <w:szCs w:val="20"/>
              </w:rPr>
              <w:t>5.875% senior unsecured notes due 202</w:t>
            </w:r>
            <w:r>
              <w:rPr>
                <w:rFonts w:eastAsia="Times New Roman"/>
                <w:color w:val="000000"/>
                <w:sz w:val="20"/>
                <w:szCs w:val="20"/>
              </w:rPr>
              <w:t>2</w:t>
            </w:r>
          </w:p>
        </w:tc>
        <w:tc>
          <w:tcPr>
            <w:tcW w:w="0" w:type="auto"/>
            <w:gridSpan w:val="2"/>
            <w:shd w:val="clear" w:color="auto" w:fill="FFFFFF"/>
            <w:tcMar>
              <w:top w:w="30" w:type="dxa"/>
              <w:left w:w="20" w:type="dxa"/>
              <w:bottom w:w="30" w:type="dxa"/>
              <w:right w:w="0" w:type="dxa"/>
            </w:tcMar>
            <w:vAlign w:val="bottom"/>
            <w:hideMark/>
          </w:tcPr>
          <w:p w14:paraId="3D61CA87" w14:textId="77777777" w:rsidR="00000000" w:rsidRDefault="00195E73">
            <w:pPr>
              <w:jc w:val="right"/>
              <w:rPr>
                <w:rFonts w:eastAsia="Times New Roman"/>
              </w:rPr>
            </w:pPr>
            <w:r>
              <w:rPr>
                <w:rFonts w:eastAsia="Times New Roman"/>
                <w:color w:val="000000"/>
                <w:sz w:val="20"/>
                <w:szCs w:val="20"/>
              </w:rPr>
              <w:t>1,345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BA37BD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9D2453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B70B1B" w14:textId="77777777" w:rsidR="00000000" w:rsidRDefault="00195E73">
            <w:pPr>
              <w:jc w:val="right"/>
              <w:rPr>
                <w:rFonts w:eastAsia="Times New Roman"/>
              </w:rPr>
            </w:pPr>
            <w:r>
              <w:rPr>
                <w:rFonts w:eastAsia="Times New Roman"/>
                <w:color w:val="000000"/>
                <w:sz w:val="20"/>
                <w:szCs w:val="20"/>
              </w:rPr>
              <w:t>1,344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331CB7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857B16D" w14:textId="77777777" w:rsidR="00000000" w:rsidRDefault="00195E73">
            <w:pPr>
              <w:rPr>
                <w:rFonts w:eastAsia="Times New Roman"/>
                <w:sz w:val="20"/>
                <w:szCs w:val="20"/>
              </w:rPr>
            </w:pPr>
          </w:p>
        </w:tc>
        <w:tc>
          <w:tcPr>
            <w:tcW w:w="0" w:type="auto"/>
            <w:vAlign w:val="center"/>
            <w:hideMark/>
          </w:tcPr>
          <w:p w14:paraId="573EA5F2" w14:textId="77777777" w:rsidR="00000000" w:rsidRDefault="00195E73">
            <w:pPr>
              <w:rPr>
                <w:rFonts w:eastAsia="Times New Roman"/>
                <w:sz w:val="20"/>
                <w:szCs w:val="20"/>
              </w:rPr>
            </w:pPr>
          </w:p>
        </w:tc>
        <w:tc>
          <w:tcPr>
            <w:tcW w:w="0" w:type="auto"/>
            <w:vAlign w:val="center"/>
            <w:hideMark/>
          </w:tcPr>
          <w:p w14:paraId="19711ECA" w14:textId="77777777" w:rsidR="00000000" w:rsidRDefault="00195E73">
            <w:pPr>
              <w:rPr>
                <w:rFonts w:eastAsia="Times New Roman"/>
                <w:sz w:val="20"/>
                <w:szCs w:val="20"/>
              </w:rPr>
            </w:pPr>
          </w:p>
        </w:tc>
        <w:tc>
          <w:tcPr>
            <w:tcW w:w="0" w:type="auto"/>
            <w:vAlign w:val="center"/>
            <w:hideMark/>
          </w:tcPr>
          <w:p w14:paraId="23B6F81D" w14:textId="77777777" w:rsidR="00000000" w:rsidRDefault="00195E73">
            <w:pPr>
              <w:rPr>
                <w:rFonts w:eastAsia="Times New Roman"/>
                <w:sz w:val="20"/>
                <w:szCs w:val="20"/>
              </w:rPr>
            </w:pPr>
          </w:p>
        </w:tc>
        <w:tc>
          <w:tcPr>
            <w:tcW w:w="0" w:type="auto"/>
            <w:vAlign w:val="center"/>
            <w:hideMark/>
          </w:tcPr>
          <w:p w14:paraId="3D592403" w14:textId="77777777" w:rsidR="00000000" w:rsidRDefault="00195E73">
            <w:pPr>
              <w:rPr>
                <w:rFonts w:eastAsia="Times New Roman"/>
                <w:sz w:val="20"/>
                <w:szCs w:val="20"/>
              </w:rPr>
            </w:pPr>
          </w:p>
        </w:tc>
        <w:tc>
          <w:tcPr>
            <w:tcW w:w="0" w:type="auto"/>
            <w:vAlign w:val="center"/>
            <w:hideMark/>
          </w:tcPr>
          <w:p w14:paraId="1FC758C4" w14:textId="77777777" w:rsidR="00000000" w:rsidRDefault="00195E73">
            <w:pPr>
              <w:rPr>
                <w:rFonts w:eastAsia="Times New Roman"/>
                <w:sz w:val="20"/>
                <w:szCs w:val="20"/>
              </w:rPr>
            </w:pPr>
          </w:p>
        </w:tc>
      </w:tr>
      <w:tr w:rsidR="00000000" w14:paraId="633B5995" w14:textId="77777777">
        <w:trPr>
          <w:divId w:val="2081051051"/>
          <w:jc w:val="center"/>
        </w:trPr>
        <w:tc>
          <w:tcPr>
            <w:tcW w:w="0" w:type="auto"/>
            <w:gridSpan w:val="3"/>
            <w:shd w:val="clear" w:color="auto" w:fill="CCEEFF"/>
            <w:tcMar>
              <w:top w:w="30" w:type="dxa"/>
              <w:left w:w="20" w:type="dxa"/>
              <w:bottom w:w="30" w:type="dxa"/>
              <w:right w:w="20" w:type="dxa"/>
            </w:tcMar>
            <w:vAlign w:val="bottom"/>
            <w:hideMark/>
          </w:tcPr>
          <w:p w14:paraId="7F8647A8" w14:textId="77777777" w:rsidR="00000000" w:rsidRDefault="00195E73">
            <w:pPr>
              <w:rPr>
                <w:rFonts w:eastAsia="Times New Roman"/>
              </w:rPr>
            </w:pPr>
            <w:r>
              <w:rPr>
                <w:rFonts w:eastAsia="Times New Roman"/>
                <w:color w:val="000000"/>
                <w:sz w:val="20"/>
                <w:szCs w:val="20"/>
              </w:rPr>
              <w:t>6.250% senior unsecured notes due 202</w:t>
            </w:r>
            <w:r>
              <w:rPr>
                <w:rFonts w:eastAsia="Times New Roman"/>
                <w:color w:val="000000"/>
                <w:sz w:val="20"/>
                <w:szCs w:val="20"/>
              </w:rPr>
              <w:t>2</w:t>
            </w:r>
          </w:p>
        </w:tc>
        <w:tc>
          <w:tcPr>
            <w:tcW w:w="0" w:type="auto"/>
            <w:gridSpan w:val="2"/>
            <w:shd w:val="clear" w:color="auto" w:fill="CCEEFF"/>
            <w:tcMar>
              <w:top w:w="30" w:type="dxa"/>
              <w:left w:w="20" w:type="dxa"/>
              <w:bottom w:w="30" w:type="dxa"/>
              <w:right w:w="0" w:type="dxa"/>
            </w:tcMar>
            <w:vAlign w:val="bottom"/>
            <w:hideMark/>
          </w:tcPr>
          <w:p w14:paraId="5D77EA25" w14:textId="77777777" w:rsidR="00000000" w:rsidRDefault="00195E73">
            <w:pPr>
              <w:jc w:val="right"/>
              <w:rPr>
                <w:rFonts w:eastAsia="Times New Roman"/>
              </w:rPr>
            </w:pPr>
            <w:r>
              <w:rPr>
                <w:rFonts w:eastAsia="Times New Roman"/>
                <w:color w:val="000000"/>
                <w:sz w:val="20"/>
                <w:szCs w:val="20"/>
              </w:rPr>
              <w:t>1,211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C5E7FD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05BDC6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23788B" w14:textId="77777777" w:rsidR="00000000" w:rsidRDefault="00195E73">
            <w:pPr>
              <w:jc w:val="right"/>
              <w:rPr>
                <w:rFonts w:eastAsia="Times New Roman"/>
              </w:rPr>
            </w:pPr>
            <w:r>
              <w:rPr>
                <w:rFonts w:eastAsia="Times New Roman"/>
                <w:color w:val="000000"/>
                <w:sz w:val="20"/>
                <w:szCs w:val="20"/>
              </w:rPr>
              <w:t>1,213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ED4428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0088982" w14:textId="77777777" w:rsidR="00000000" w:rsidRDefault="00195E73">
            <w:pPr>
              <w:rPr>
                <w:rFonts w:eastAsia="Times New Roman"/>
                <w:sz w:val="20"/>
                <w:szCs w:val="20"/>
              </w:rPr>
            </w:pPr>
          </w:p>
        </w:tc>
        <w:tc>
          <w:tcPr>
            <w:tcW w:w="0" w:type="auto"/>
            <w:vAlign w:val="center"/>
            <w:hideMark/>
          </w:tcPr>
          <w:p w14:paraId="72902BF8" w14:textId="77777777" w:rsidR="00000000" w:rsidRDefault="00195E73">
            <w:pPr>
              <w:rPr>
                <w:rFonts w:eastAsia="Times New Roman"/>
                <w:sz w:val="20"/>
                <w:szCs w:val="20"/>
              </w:rPr>
            </w:pPr>
          </w:p>
        </w:tc>
        <w:tc>
          <w:tcPr>
            <w:tcW w:w="0" w:type="auto"/>
            <w:vAlign w:val="center"/>
            <w:hideMark/>
          </w:tcPr>
          <w:p w14:paraId="1FF3D0F1" w14:textId="77777777" w:rsidR="00000000" w:rsidRDefault="00195E73">
            <w:pPr>
              <w:rPr>
                <w:rFonts w:eastAsia="Times New Roman"/>
                <w:sz w:val="20"/>
                <w:szCs w:val="20"/>
              </w:rPr>
            </w:pPr>
          </w:p>
        </w:tc>
        <w:tc>
          <w:tcPr>
            <w:tcW w:w="0" w:type="auto"/>
            <w:vAlign w:val="center"/>
            <w:hideMark/>
          </w:tcPr>
          <w:p w14:paraId="67A36D2A" w14:textId="77777777" w:rsidR="00000000" w:rsidRDefault="00195E73">
            <w:pPr>
              <w:rPr>
                <w:rFonts w:eastAsia="Times New Roman"/>
                <w:sz w:val="20"/>
                <w:szCs w:val="20"/>
              </w:rPr>
            </w:pPr>
          </w:p>
        </w:tc>
        <w:tc>
          <w:tcPr>
            <w:tcW w:w="0" w:type="auto"/>
            <w:vAlign w:val="center"/>
            <w:hideMark/>
          </w:tcPr>
          <w:p w14:paraId="039FC645" w14:textId="77777777" w:rsidR="00000000" w:rsidRDefault="00195E73">
            <w:pPr>
              <w:rPr>
                <w:rFonts w:eastAsia="Times New Roman"/>
                <w:sz w:val="20"/>
                <w:szCs w:val="20"/>
              </w:rPr>
            </w:pPr>
          </w:p>
        </w:tc>
        <w:tc>
          <w:tcPr>
            <w:tcW w:w="0" w:type="auto"/>
            <w:vAlign w:val="center"/>
            <w:hideMark/>
          </w:tcPr>
          <w:p w14:paraId="2385E8A9" w14:textId="77777777" w:rsidR="00000000" w:rsidRDefault="00195E73">
            <w:pPr>
              <w:rPr>
                <w:rFonts w:eastAsia="Times New Roman"/>
                <w:sz w:val="20"/>
                <w:szCs w:val="20"/>
              </w:rPr>
            </w:pPr>
          </w:p>
        </w:tc>
      </w:tr>
      <w:tr w:rsidR="00000000" w14:paraId="7308635C" w14:textId="77777777">
        <w:trPr>
          <w:divId w:val="2081051051"/>
          <w:jc w:val="center"/>
        </w:trPr>
        <w:tc>
          <w:tcPr>
            <w:tcW w:w="0" w:type="auto"/>
            <w:gridSpan w:val="3"/>
            <w:shd w:val="clear" w:color="auto" w:fill="FFFFFF"/>
            <w:tcMar>
              <w:top w:w="30" w:type="dxa"/>
              <w:left w:w="20" w:type="dxa"/>
              <w:bottom w:w="30" w:type="dxa"/>
              <w:right w:w="20" w:type="dxa"/>
            </w:tcMar>
            <w:vAlign w:val="bottom"/>
            <w:hideMark/>
          </w:tcPr>
          <w:p w14:paraId="76E8A030" w14:textId="77777777" w:rsidR="00000000" w:rsidRDefault="00195E73">
            <w:pPr>
              <w:rPr>
                <w:rFonts w:eastAsia="Times New Roman"/>
              </w:rPr>
            </w:pPr>
            <w:r>
              <w:rPr>
                <w:rFonts w:eastAsia="Times New Roman"/>
                <w:color w:val="000000"/>
                <w:sz w:val="20"/>
                <w:szCs w:val="20"/>
              </w:rPr>
              <w:t>6.750% senior unsecured notes due 202</w:t>
            </w:r>
            <w:r>
              <w:rPr>
                <w:rFonts w:eastAsia="Times New Roman"/>
                <w:color w:val="000000"/>
                <w:sz w:val="20"/>
                <w:szCs w:val="20"/>
              </w:rPr>
              <w:t>4</w:t>
            </w:r>
          </w:p>
        </w:tc>
        <w:tc>
          <w:tcPr>
            <w:tcW w:w="0" w:type="auto"/>
            <w:gridSpan w:val="2"/>
            <w:shd w:val="clear" w:color="auto" w:fill="FFFFFF"/>
            <w:tcMar>
              <w:top w:w="30" w:type="dxa"/>
              <w:left w:w="20" w:type="dxa"/>
              <w:bottom w:w="30" w:type="dxa"/>
              <w:right w:w="0" w:type="dxa"/>
            </w:tcMar>
            <w:vAlign w:val="bottom"/>
            <w:hideMark/>
          </w:tcPr>
          <w:p w14:paraId="55564354" w14:textId="77777777" w:rsidR="00000000" w:rsidRDefault="00195E73">
            <w:pPr>
              <w:jc w:val="right"/>
              <w:rPr>
                <w:rFonts w:eastAsia="Times New Roman"/>
              </w:rPr>
            </w:pPr>
            <w:r>
              <w:rPr>
                <w:rFonts w:eastAsia="Times New Roman"/>
                <w:color w:val="000000"/>
                <w:sz w:val="20"/>
                <w:szCs w:val="20"/>
              </w:rPr>
              <w:t>498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961CAF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B3B98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E11D12" w14:textId="77777777" w:rsidR="00000000" w:rsidRDefault="00195E73">
            <w:pPr>
              <w:jc w:val="right"/>
              <w:rPr>
                <w:rFonts w:eastAsia="Times New Roman"/>
              </w:rPr>
            </w:pPr>
            <w:r>
              <w:rPr>
                <w:rFonts w:eastAsia="Times New Roman"/>
                <w:color w:val="000000"/>
                <w:sz w:val="20"/>
                <w:szCs w:val="20"/>
              </w:rPr>
              <w:t>498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B25421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F660EB3" w14:textId="77777777" w:rsidR="00000000" w:rsidRDefault="00195E73">
            <w:pPr>
              <w:rPr>
                <w:rFonts w:eastAsia="Times New Roman"/>
                <w:sz w:val="20"/>
                <w:szCs w:val="20"/>
              </w:rPr>
            </w:pPr>
          </w:p>
        </w:tc>
        <w:tc>
          <w:tcPr>
            <w:tcW w:w="0" w:type="auto"/>
            <w:vAlign w:val="center"/>
            <w:hideMark/>
          </w:tcPr>
          <w:p w14:paraId="694EE3D5" w14:textId="77777777" w:rsidR="00000000" w:rsidRDefault="00195E73">
            <w:pPr>
              <w:rPr>
                <w:rFonts w:eastAsia="Times New Roman"/>
                <w:sz w:val="20"/>
                <w:szCs w:val="20"/>
              </w:rPr>
            </w:pPr>
          </w:p>
        </w:tc>
        <w:tc>
          <w:tcPr>
            <w:tcW w:w="0" w:type="auto"/>
            <w:vAlign w:val="center"/>
            <w:hideMark/>
          </w:tcPr>
          <w:p w14:paraId="1287576C" w14:textId="77777777" w:rsidR="00000000" w:rsidRDefault="00195E73">
            <w:pPr>
              <w:rPr>
                <w:rFonts w:eastAsia="Times New Roman"/>
                <w:sz w:val="20"/>
                <w:szCs w:val="20"/>
              </w:rPr>
            </w:pPr>
          </w:p>
        </w:tc>
        <w:tc>
          <w:tcPr>
            <w:tcW w:w="0" w:type="auto"/>
            <w:vAlign w:val="center"/>
            <w:hideMark/>
          </w:tcPr>
          <w:p w14:paraId="6D317311" w14:textId="77777777" w:rsidR="00000000" w:rsidRDefault="00195E73">
            <w:pPr>
              <w:rPr>
                <w:rFonts w:eastAsia="Times New Roman"/>
                <w:sz w:val="20"/>
                <w:szCs w:val="20"/>
              </w:rPr>
            </w:pPr>
          </w:p>
        </w:tc>
        <w:tc>
          <w:tcPr>
            <w:tcW w:w="0" w:type="auto"/>
            <w:vAlign w:val="center"/>
            <w:hideMark/>
          </w:tcPr>
          <w:p w14:paraId="1D185328" w14:textId="77777777" w:rsidR="00000000" w:rsidRDefault="00195E73">
            <w:pPr>
              <w:rPr>
                <w:rFonts w:eastAsia="Times New Roman"/>
                <w:sz w:val="20"/>
                <w:szCs w:val="20"/>
              </w:rPr>
            </w:pPr>
          </w:p>
        </w:tc>
        <w:tc>
          <w:tcPr>
            <w:tcW w:w="0" w:type="auto"/>
            <w:vAlign w:val="center"/>
            <w:hideMark/>
          </w:tcPr>
          <w:p w14:paraId="493AE24C" w14:textId="77777777" w:rsidR="00000000" w:rsidRDefault="00195E73">
            <w:pPr>
              <w:rPr>
                <w:rFonts w:eastAsia="Times New Roman"/>
                <w:sz w:val="20"/>
                <w:szCs w:val="20"/>
              </w:rPr>
            </w:pPr>
          </w:p>
        </w:tc>
      </w:tr>
      <w:tr w:rsidR="00000000" w14:paraId="2A34C508" w14:textId="77777777">
        <w:trPr>
          <w:divId w:val="2081051051"/>
          <w:jc w:val="center"/>
        </w:trPr>
        <w:tc>
          <w:tcPr>
            <w:tcW w:w="0" w:type="auto"/>
            <w:gridSpan w:val="3"/>
            <w:shd w:val="clear" w:color="auto" w:fill="CCEEFF"/>
            <w:tcMar>
              <w:top w:w="30" w:type="dxa"/>
              <w:left w:w="20" w:type="dxa"/>
              <w:bottom w:w="30" w:type="dxa"/>
              <w:right w:w="20" w:type="dxa"/>
            </w:tcMar>
            <w:vAlign w:val="bottom"/>
            <w:hideMark/>
          </w:tcPr>
          <w:p w14:paraId="23D8B3E3" w14:textId="77777777" w:rsidR="00000000" w:rsidRDefault="00195E73">
            <w:pPr>
              <w:rPr>
                <w:rFonts w:eastAsia="Times New Roman"/>
              </w:rPr>
            </w:pPr>
            <w:r>
              <w:rPr>
                <w:rFonts w:eastAsia="Times New Roman"/>
                <w:color w:val="000000"/>
                <w:sz w:val="20"/>
                <w:szCs w:val="20"/>
              </w:rPr>
              <w:t>4.750% senior unsecured notes due 202</w:t>
            </w:r>
            <w:r>
              <w:rPr>
                <w:rFonts w:eastAsia="Times New Roman"/>
                <w:color w:val="000000"/>
                <w:sz w:val="20"/>
                <w:szCs w:val="20"/>
              </w:rPr>
              <w:t>4</w:t>
            </w:r>
          </w:p>
        </w:tc>
        <w:tc>
          <w:tcPr>
            <w:tcW w:w="0" w:type="auto"/>
            <w:gridSpan w:val="2"/>
            <w:shd w:val="clear" w:color="auto" w:fill="CCEEFF"/>
            <w:tcMar>
              <w:top w:w="30" w:type="dxa"/>
              <w:left w:w="20" w:type="dxa"/>
              <w:bottom w:w="30" w:type="dxa"/>
              <w:right w:w="0" w:type="dxa"/>
            </w:tcMar>
            <w:vAlign w:val="bottom"/>
            <w:hideMark/>
          </w:tcPr>
          <w:p w14:paraId="4B79E1DB" w14:textId="77777777" w:rsidR="00000000" w:rsidRDefault="00195E73">
            <w:pPr>
              <w:jc w:val="right"/>
              <w:rPr>
                <w:rFonts w:eastAsia="Times New Roman"/>
              </w:rPr>
            </w:pPr>
            <w:r>
              <w:rPr>
                <w:rFonts w:eastAsia="Times New Roman"/>
                <w:color w:val="000000"/>
                <w:sz w:val="20"/>
                <w:szCs w:val="20"/>
              </w:rPr>
              <w:t>498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DDA78F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15F262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473CC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9F4326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83E8084" w14:textId="77777777" w:rsidR="00000000" w:rsidRDefault="00195E73">
            <w:pPr>
              <w:rPr>
                <w:rFonts w:eastAsia="Times New Roman"/>
                <w:sz w:val="20"/>
                <w:szCs w:val="20"/>
              </w:rPr>
            </w:pPr>
          </w:p>
        </w:tc>
        <w:tc>
          <w:tcPr>
            <w:tcW w:w="0" w:type="auto"/>
            <w:vAlign w:val="center"/>
            <w:hideMark/>
          </w:tcPr>
          <w:p w14:paraId="40D545C2" w14:textId="77777777" w:rsidR="00000000" w:rsidRDefault="00195E73">
            <w:pPr>
              <w:rPr>
                <w:rFonts w:eastAsia="Times New Roman"/>
                <w:sz w:val="20"/>
                <w:szCs w:val="20"/>
              </w:rPr>
            </w:pPr>
          </w:p>
        </w:tc>
        <w:tc>
          <w:tcPr>
            <w:tcW w:w="0" w:type="auto"/>
            <w:vAlign w:val="center"/>
            <w:hideMark/>
          </w:tcPr>
          <w:p w14:paraId="50E1FC57" w14:textId="77777777" w:rsidR="00000000" w:rsidRDefault="00195E73">
            <w:pPr>
              <w:rPr>
                <w:rFonts w:eastAsia="Times New Roman"/>
                <w:sz w:val="20"/>
                <w:szCs w:val="20"/>
              </w:rPr>
            </w:pPr>
          </w:p>
        </w:tc>
        <w:tc>
          <w:tcPr>
            <w:tcW w:w="0" w:type="auto"/>
            <w:vAlign w:val="center"/>
            <w:hideMark/>
          </w:tcPr>
          <w:p w14:paraId="089A7FC8" w14:textId="77777777" w:rsidR="00000000" w:rsidRDefault="00195E73">
            <w:pPr>
              <w:rPr>
                <w:rFonts w:eastAsia="Times New Roman"/>
                <w:sz w:val="20"/>
                <w:szCs w:val="20"/>
              </w:rPr>
            </w:pPr>
          </w:p>
        </w:tc>
        <w:tc>
          <w:tcPr>
            <w:tcW w:w="0" w:type="auto"/>
            <w:vAlign w:val="center"/>
            <w:hideMark/>
          </w:tcPr>
          <w:p w14:paraId="2A24DDE5" w14:textId="77777777" w:rsidR="00000000" w:rsidRDefault="00195E73">
            <w:pPr>
              <w:rPr>
                <w:rFonts w:eastAsia="Times New Roman"/>
                <w:sz w:val="20"/>
                <w:szCs w:val="20"/>
              </w:rPr>
            </w:pPr>
          </w:p>
        </w:tc>
        <w:tc>
          <w:tcPr>
            <w:tcW w:w="0" w:type="auto"/>
            <w:vAlign w:val="center"/>
            <w:hideMark/>
          </w:tcPr>
          <w:p w14:paraId="6361638B" w14:textId="77777777" w:rsidR="00000000" w:rsidRDefault="00195E73">
            <w:pPr>
              <w:rPr>
                <w:rFonts w:eastAsia="Times New Roman"/>
                <w:sz w:val="20"/>
                <w:szCs w:val="20"/>
              </w:rPr>
            </w:pPr>
          </w:p>
        </w:tc>
      </w:tr>
      <w:tr w:rsidR="00000000" w14:paraId="2E0616F9" w14:textId="77777777">
        <w:trPr>
          <w:divId w:val="2081051051"/>
          <w:jc w:val="center"/>
        </w:trPr>
        <w:tc>
          <w:tcPr>
            <w:tcW w:w="0" w:type="auto"/>
            <w:gridSpan w:val="3"/>
            <w:shd w:val="clear" w:color="auto" w:fill="FFFFFF"/>
            <w:tcMar>
              <w:top w:w="30" w:type="dxa"/>
              <w:left w:w="20" w:type="dxa"/>
              <w:bottom w:w="30" w:type="dxa"/>
              <w:right w:w="20" w:type="dxa"/>
            </w:tcMar>
            <w:vAlign w:val="bottom"/>
            <w:hideMark/>
          </w:tcPr>
          <w:p w14:paraId="45778F36" w14:textId="77777777" w:rsidR="00000000" w:rsidRDefault="00195E73">
            <w:pPr>
              <w:rPr>
                <w:rFonts w:eastAsia="Times New Roman"/>
              </w:rPr>
            </w:pPr>
            <w:r>
              <w:rPr>
                <w:rFonts w:eastAsia="Times New Roman"/>
                <w:color w:val="000000"/>
                <w:sz w:val="20"/>
                <w:szCs w:val="20"/>
              </w:rPr>
              <w:t>6.375% senior unsecured notes due 202</w:t>
            </w:r>
            <w:r>
              <w:rPr>
                <w:rFonts w:eastAsia="Times New Roman"/>
                <w:color w:val="000000"/>
                <w:sz w:val="20"/>
                <w:szCs w:val="20"/>
              </w:rPr>
              <w:t>5</w:t>
            </w:r>
          </w:p>
        </w:tc>
        <w:tc>
          <w:tcPr>
            <w:tcW w:w="0" w:type="auto"/>
            <w:gridSpan w:val="2"/>
            <w:shd w:val="clear" w:color="auto" w:fill="FFFFFF"/>
            <w:tcMar>
              <w:top w:w="30" w:type="dxa"/>
              <w:left w:w="20" w:type="dxa"/>
              <w:bottom w:w="30" w:type="dxa"/>
              <w:right w:w="0" w:type="dxa"/>
            </w:tcMar>
            <w:vAlign w:val="bottom"/>
            <w:hideMark/>
          </w:tcPr>
          <w:p w14:paraId="16BDD327" w14:textId="77777777" w:rsidR="00000000" w:rsidRDefault="00195E73">
            <w:pPr>
              <w:jc w:val="right"/>
              <w:rPr>
                <w:rFonts w:eastAsia="Times New Roman"/>
              </w:rPr>
            </w:pPr>
            <w:r>
              <w:rPr>
                <w:rFonts w:eastAsia="Times New Roman"/>
                <w:color w:val="000000"/>
                <w:sz w:val="20"/>
                <w:szCs w:val="20"/>
              </w:rPr>
              <w:t>748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B5A2C0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D58C0F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F0BB0B" w14:textId="77777777" w:rsidR="00000000" w:rsidRDefault="00195E73">
            <w:pPr>
              <w:jc w:val="right"/>
              <w:rPr>
                <w:rFonts w:eastAsia="Times New Roman"/>
              </w:rPr>
            </w:pPr>
            <w:r>
              <w:rPr>
                <w:rFonts w:eastAsia="Times New Roman"/>
                <w:color w:val="000000"/>
                <w:sz w:val="20"/>
                <w:szCs w:val="20"/>
              </w:rPr>
              <w:t>748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E448EF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72E01F0" w14:textId="77777777" w:rsidR="00000000" w:rsidRDefault="00195E73">
            <w:pPr>
              <w:rPr>
                <w:rFonts w:eastAsia="Times New Roman"/>
                <w:sz w:val="20"/>
                <w:szCs w:val="20"/>
              </w:rPr>
            </w:pPr>
          </w:p>
        </w:tc>
        <w:tc>
          <w:tcPr>
            <w:tcW w:w="0" w:type="auto"/>
            <w:vAlign w:val="center"/>
            <w:hideMark/>
          </w:tcPr>
          <w:p w14:paraId="0B0D03FF" w14:textId="77777777" w:rsidR="00000000" w:rsidRDefault="00195E73">
            <w:pPr>
              <w:rPr>
                <w:rFonts w:eastAsia="Times New Roman"/>
                <w:sz w:val="20"/>
                <w:szCs w:val="20"/>
              </w:rPr>
            </w:pPr>
          </w:p>
        </w:tc>
        <w:tc>
          <w:tcPr>
            <w:tcW w:w="0" w:type="auto"/>
            <w:vAlign w:val="center"/>
            <w:hideMark/>
          </w:tcPr>
          <w:p w14:paraId="0D5EFCC5" w14:textId="77777777" w:rsidR="00000000" w:rsidRDefault="00195E73">
            <w:pPr>
              <w:rPr>
                <w:rFonts w:eastAsia="Times New Roman"/>
                <w:sz w:val="20"/>
                <w:szCs w:val="20"/>
              </w:rPr>
            </w:pPr>
          </w:p>
        </w:tc>
        <w:tc>
          <w:tcPr>
            <w:tcW w:w="0" w:type="auto"/>
            <w:vAlign w:val="center"/>
            <w:hideMark/>
          </w:tcPr>
          <w:p w14:paraId="1013CEB6" w14:textId="77777777" w:rsidR="00000000" w:rsidRDefault="00195E73">
            <w:pPr>
              <w:rPr>
                <w:rFonts w:eastAsia="Times New Roman"/>
                <w:sz w:val="20"/>
                <w:szCs w:val="20"/>
              </w:rPr>
            </w:pPr>
          </w:p>
        </w:tc>
        <w:tc>
          <w:tcPr>
            <w:tcW w:w="0" w:type="auto"/>
            <w:vAlign w:val="center"/>
            <w:hideMark/>
          </w:tcPr>
          <w:p w14:paraId="62EDD7FC" w14:textId="77777777" w:rsidR="00000000" w:rsidRDefault="00195E73">
            <w:pPr>
              <w:rPr>
                <w:rFonts w:eastAsia="Times New Roman"/>
                <w:sz w:val="20"/>
                <w:szCs w:val="20"/>
              </w:rPr>
            </w:pPr>
          </w:p>
        </w:tc>
        <w:tc>
          <w:tcPr>
            <w:tcW w:w="0" w:type="auto"/>
            <w:vAlign w:val="center"/>
            <w:hideMark/>
          </w:tcPr>
          <w:p w14:paraId="5983BD68" w14:textId="77777777" w:rsidR="00000000" w:rsidRDefault="00195E73">
            <w:pPr>
              <w:rPr>
                <w:rFonts w:eastAsia="Times New Roman"/>
                <w:sz w:val="20"/>
                <w:szCs w:val="20"/>
              </w:rPr>
            </w:pPr>
          </w:p>
        </w:tc>
      </w:tr>
      <w:tr w:rsidR="00000000" w14:paraId="5515AD9F" w14:textId="77777777">
        <w:trPr>
          <w:divId w:val="2081051051"/>
          <w:jc w:val="center"/>
        </w:trPr>
        <w:tc>
          <w:tcPr>
            <w:tcW w:w="0" w:type="auto"/>
            <w:gridSpan w:val="3"/>
            <w:shd w:val="clear" w:color="auto" w:fill="CCEEFF"/>
            <w:tcMar>
              <w:top w:w="30" w:type="dxa"/>
              <w:left w:w="20" w:type="dxa"/>
              <w:bottom w:w="30" w:type="dxa"/>
              <w:right w:w="20" w:type="dxa"/>
            </w:tcMar>
            <w:vAlign w:val="bottom"/>
            <w:hideMark/>
          </w:tcPr>
          <w:p w14:paraId="3AAC2048" w14:textId="77777777" w:rsidR="00000000" w:rsidRDefault="00195E73">
            <w:pPr>
              <w:rPr>
                <w:rFonts w:eastAsia="Times New Roman"/>
              </w:rPr>
            </w:pPr>
            <w:r>
              <w:rPr>
                <w:rFonts w:eastAsia="Times New Roman"/>
                <w:color w:val="000000"/>
                <w:sz w:val="20"/>
                <w:szCs w:val="20"/>
              </w:rPr>
              <w:t>6.250% senior unsecured notes due 202</w:t>
            </w:r>
            <w:r>
              <w:rPr>
                <w:rFonts w:eastAsia="Times New Roman"/>
                <w:color w:val="000000"/>
                <w:sz w:val="20"/>
                <w:szCs w:val="20"/>
              </w:rPr>
              <w:t>6</w:t>
            </w:r>
          </w:p>
        </w:tc>
        <w:tc>
          <w:tcPr>
            <w:tcW w:w="0" w:type="auto"/>
            <w:gridSpan w:val="2"/>
            <w:shd w:val="clear" w:color="auto" w:fill="CCEEFF"/>
            <w:tcMar>
              <w:top w:w="30" w:type="dxa"/>
              <w:left w:w="20" w:type="dxa"/>
              <w:bottom w:w="30" w:type="dxa"/>
              <w:right w:w="0" w:type="dxa"/>
            </w:tcMar>
            <w:vAlign w:val="bottom"/>
            <w:hideMark/>
          </w:tcPr>
          <w:p w14:paraId="785F2B1E" w14:textId="77777777" w:rsidR="00000000" w:rsidRDefault="00195E73">
            <w:pPr>
              <w:jc w:val="right"/>
              <w:rPr>
                <w:rFonts w:eastAsia="Times New Roman"/>
              </w:rPr>
            </w:pPr>
            <w:r>
              <w:rPr>
                <w:rFonts w:eastAsia="Times New Roman"/>
                <w:color w:val="000000"/>
                <w:sz w:val="20"/>
                <w:szCs w:val="20"/>
              </w:rPr>
              <w:t>1,250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6060A3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0C3DF8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63841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5CED00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A0F7170" w14:textId="77777777" w:rsidR="00000000" w:rsidRDefault="00195E73">
            <w:pPr>
              <w:rPr>
                <w:rFonts w:eastAsia="Times New Roman"/>
                <w:sz w:val="20"/>
                <w:szCs w:val="20"/>
              </w:rPr>
            </w:pPr>
          </w:p>
        </w:tc>
        <w:tc>
          <w:tcPr>
            <w:tcW w:w="0" w:type="auto"/>
            <w:vAlign w:val="center"/>
            <w:hideMark/>
          </w:tcPr>
          <w:p w14:paraId="4D7FA7CF" w14:textId="77777777" w:rsidR="00000000" w:rsidRDefault="00195E73">
            <w:pPr>
              <w:rPr>
                <w:rFonts w:eastAsia="Times New Roman"/>
                <w:sz w:val="20"/>
                <w:szCs w:val="20"/>
              </w:rPr>
            </w:pPr>
          </w:p>
        </w:tc>
        <w:tc>
          <w:tcPr>
            <w:tcW w:w="0" w:type="auto"/>
            <w:vAlign w:val="center"/>
            <w:hideMark/>
          </w:tcPr>
          <w:p w14:paraId="35558D09" w14:textId="77777777" w:rsidR="00000000" w:rsidRDefault="00195E73">
            <w:pPr>
              <w:rPr>
                <w:rFonts w:eastAsia="Times New Roman"/>
                <w:sz w:val="20"/>
                <w:szCs w:val="20"/>
              </w:rPr>
            </w:pPr>
          </w:p>
        </w:tc>
        <w:tc>
          <w:tcPr>
            <w:tcW w:w="0" w:type="auto"/>
            <w:vAlign w:val="center"/>
            <w:hideMark/>
          </w:tcPr>
          <w:p w14:paraId="2E106E22" w14:textId="77777777" w:rsidR="00000000" w:rsidRDefault="00195E73">
            <w:pPr>
              <w:rPr>
                <w:rFonts w:eastAsia="Times New Roman"/>
                <w:sz w:val="20"/>
                <w:szCs w:val="20"/>
              </w:rPr>
            </w:pPr>
          </w:p>
        </w:tc>
        <w:tc>
          <w:tcPr>
            <w:tcW w:w="0" w:type="auto"/>
            <w:vAlign w:val="center"/>
            <w:hideMark/>
          </w:tcPr>
          <w:p w14:paraId="475DDC5A" w14:textId="77777777" w:rsidR="00000000" w:rsidRDefault="00195E73">
            <w:pPr>
              <w:rPr>
                <w:rFonts w:eastAsia="Times New Roman"/>
                <w:sz w:val="20"/>
                <w:szCs w:val="20"/>
              </w:rPr>
            </w:pPr>
          </w:p>
        </w:tc>
        <w:tc>
          <w:tcPr>
            <w:tcW w:w="0" w:type="auto"/>
            <w:vAlign w:val="center"/>
            <w:hideMark/>
          </w:tcPr>
          <w:p w14:paraId="76DB45E7" w14:textId="77777777" w:rsidR="00000000" w:rsidRDefault="00195E73">
            <w:pPr>
              <w:rPr>
                <w:rFonts w:eastAsia="Times New Roman"/>
                <w:sz w:val="20"/>
                <w:szCs w:val="20"/>
              </w:rPr>
            </w:pPr>
          </w:p>
        </w:tc>
      </w:tr>
      <w:tr w:rsidR="00000000" w14:paraId="24D99CE2" w14:textId="77777777">
        <w:trPr>
          <w:divId w:val="2081051051"/>
          <w:jc w:val="center"/>
        </w:trPr>
        <w:tc>
          <w:tcPr>
            <w:tcW w:w="0" w:type="auto"/>
            <w:gridSpan w:val="3"/>
            <w:shd w:val="clear" w:color="auto" w:fill="FFFFFF"/>
            <w:tcMar>
              <w:top w:w="30" w:type="dxa"/>
              <w:left w:w="20" w:type="dxa"/>
              <w:bottom w:w="30" w:type="dxa"/>
              <w:right w:w="20" w:type="dxa"/>
            </w:tcMar>
            <w:vAlign w:val="bottom"/>
            <w:hideMark/>
          </w:tcPr>
          <w:p w14:paraId="3BB28C98" w14:textId="77777777" w:rsidR="00000000" w:rsidRDefault="00195E73">
            <w:pPr>
              <w:rPr>
                <w:rFonts w:eastAsia="Times New Roman"/>
              </w:rPr>
            </w:pPr>
            <w:r>
              <w:rPr>
                <w:rFonts w:eastAsia="Times New Roman"/>
                <w:color w:val="000000"/>
                <w:sz w:val="20"/>
                <w:szCs w:val="20"/>
              </w:rPr>
              <w:t>5.250% senior unsecured notes due 202</w:t>
            </w:r>
            <w:r>
              <w:rPr>
                <w:rFonts w:eastAsia="Times New Roman"/>
                <w:color w:val="000000"/>
                <w:sz w:val="20"/>
                <w:szCs w:val="20"/>
              </w:rPr>
              <w:t>7</w:t>
            </w:r>
          </w:p>
        </w:tc>
        <w:tc>
          <w:tcPr>
            <w:tcW w:w="0" w:type="auto"/>
            <w:gridSpan w:val="2"/>
            <w:shd w:val="clear" w:color="auto" w:fill="FFFFFF"/>
            <w:tcMar>
              <w:top w:w="30" w:type="dxa"/>
              <w:left w:w="20" w:type="dxa"/>
              <w:bottom w:w="30" w:type="dxa"/>
              <w:right w:w="0" w:type="dxa"/>
            </w:tcMar>
            <w:vAlign w:val="bottom"/>
            <w:hideMark/>
          </w:tcPr>
          <w:p w14:paraId="4BC88945" w14:textId="77777777" w:rsidR="00000000" w:rsidRDefault="00195E73">
            <w:pPr>
              <w:jc w:val="right"/>
              <w:rPr>
                <w:rFonts w:eastAsia="Times New Roman"/>
              </w:rPr>
            </w:pPr>
            <w:r>
              <w:rPr>
                <w:rFonts w:eastAsia="Times New Roman"/>
                <w:color w:val="000000"/>
                <w:sz w:val="20"/>
                <w:szCs w:val="20"/>
              </w:rPr>
              <w:t>747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747050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A993CD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BF75F1"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31C921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A1D59A5" w14:textId="77777777" w:rsidR="00000000" w:rsidRDefault="00195E73">
            <w:pPr>
              <w:rPr>
                <w:rFonts w:eastAsia="Times New Roman"/>
                <w:sz w:val="20"/>
                <w:szCs w:val="20"/>
              </w:rPr>
            </w:pPr>
          </w:p>
        </w:tc>
        <w:tc>
          <w:tcPr>
            <w:tcW w:w="0" w:type="auto"/>
            <w:vAlign w:val="center"/>
            <w:hideMark/>
          </w:tcPr>
          <w:p w14:paraId="4304C7F6" w14:textId="77777777" w:rsidR="00000000" w:rsidRDefault="00195E73">
            <w:pPr>
              <w:rPr>
                <w:rFonts w:eastAsia="Times New Roman"/>
                <w:sz w:val="20"/>
                <w:szCs w:val="20"/>
              </w:rPr>
            </w:pPr>
          </w:p>
        </w:tc>
        <w:tc>
          <w:tcPr>
            <w:tcW w:w="0" w:type="auto"/>
            <w:vAlign w:val="center"/>
            <w:hideMark/>
          </w:tcPr>
          <w:p w14:paraId="29780AF9" w14:textId="77777777" w:rsidR="00000000" w:rsidRDefault="00195E73">
            <w:pPr>
              <w:rPr>
                <w:rFonts w:eastAsia="Times New Roman"/>
                <w:sz w:val="20"/>
                <w:szCs w:val="20"/>
              </w:rPr>
            </w:pPr>
          </w:p>
        </w:tc>
        <w:tc>
          <w:tcPr>
            <w:tcW w:w="0" w:type="auto"/>
            <w:vAlign w:val="center"/>
            <w:hideMark/>
          </w:tcPr>
          <w:p w14:paraId="7D49CDCB" w14:textId="77777777" w:rsidR="00000000" w:rsidRDefault="00195E73">
            <w:pPr>
              <w:rPr>
                <w:rFonts w:eastAsia="Times New Roman"/>
                <w:sz w:val="20"/>
                <w:szCs w:val="20"/>
              </w:rPr>
            </w:pPr>
          </w:p>
        </w:tc>
        <w:tc>
          <w:tcPr>
            <w:tcW w:w="0" w:type="auto"/>
            <w:vAlign w:val="center"/>
            <w:hideMark/>
          </w:tcPr>
          <w:p w14:paraId="1368CEB3" w14:textId="77777777" w:rsidR="00000000" w:rsidRDefault="00195E73">
            <w:pPr>
              <w:rPr>
                <w:rFonts w:eastAsia="Times New Roman"/>
                <w:sz w:val="20"/>
                <w:szCs w:val="20"/>
              </w:rPr>
            </w:pPr>
          </w:p>
        </w:tc>
        <w:tc>
          <w:tcPr>
            <w:tcW w:w="0" w:type="auto"/>
            <w:vAlign w:val="center"/>
            <w:hideMark/>
          </w:tcPr>
          <w:p w14:paraId="36CE5682" w14:textId="77777777" w:rsidR="00000000" w:rsidRDefault="00195E73">
            <w:pPr>
              <w:rPr>
                <w:rFonts w:eastAsia="Times New Roman"/>
                <w:sz w:val="20"/>
                <w:szCs w:val="20"/>
              </w:rPr>
            </w:pPr>
          </w:p>
        </w:tc>
      </w:tr>
      <w:tr w:rsidR="00000000" w14:paraId="405E6566" w14:textId="77777777">
        <w:trPr>
          <w:divId w:val="2081051051"/>
          <w:jc w:val="center"/>
        </w:trPr>
        <w:tc>
          <w:tcPr>
            <w:tcW w:w="0" w:type="auto"/>
            <w:gridSpan w:val="3"/>
            <w:shd w:val="clear" w:color="auto" w:fill="CCEEFF"/>
            <w:tcMar>
              <w:top w:w="15" w:type="dxa"/>
              <w:left w:w="20" w:type="dxa"/>
              <w:bottom w:w="15" w:type="dxa"/>
              <w:right w:w="20" w:type="dxa"/>
            </w:tcMar>
            <w:vAlign w:val="bottom"/>
            <w:hideMark/>
          </w:tcPr>
          <w:p w14:paraId="4B6453E8"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2F3C1E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C626D7F" w14:textId="77777777" w:rsidR="00000000" w:rsidRDefault="00195E73">
            <w:pPr>
              <w:jc w:val="right"/>
              <w:rPr>
                <w:rFonts w:eastAsia="Times New Roman"/>
              </w:rPr>
            </w:pPr>
            <w:r>
              <w:rPr>
                <w:rFonts w:eastAsia="Times New Roman"/>
                <w:color w:val="000000"/>
                <w:sz w:val="20"/>
                <w:szCs w:val="20"/>
              </w:rPr>
              <w:t>6,297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70F6BE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ABD47D"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C03892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EB0F9BA" w14:textId="77777777" w:rsidR="00000000" w:rsidRDefault="00195E73">
            <w:pPr>
              <w:jc w:val="right"/>
              <w:rPr>
                <w:rFonts w:eastAsia="Times New Roman"/>
              </w:rPr>
            </w:pPr>
            <w:r>
              <w:rPr>
                <w:rFonts w:eastAsia="Times New Roman"/>
                <w:color w:val="000000"/>
                <w:sz w:val="20"/>
                <w:szCs w:val="20"/>
              </w:rPr>
              <w:t>5,505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66931B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CA4BE21" w14:textId="77777777" w:rsidR="00000000" w:rsidRDefault="00195E73">
            <w:pPr>
              <w:rPr>
                <w:rFonts w:eastAsia="Times New Roman"/>
                <w:sz w:val="20"/>
                <w:szCs w:val="20"/>
              </w:rPr>
            </w:pPr>
          </w:p>
        </w:tc>
        <w:tc>
          <w:tcPr>
            <w:tcW w:w="0" w:type="auto"/>
            <w:vAlign w:val="center"/>
            <w:hideMark/>
          </w:tcPr>
          <w:p w14:paraId="771EB580" w14:textId="77777777" w:rsidR="00000000" w:rsidRDefault="00195E73">
            <w:pPr>
              <w:rPr>
                <w:rFonts w:eastAsia="Times New Roman"/>
                <w:sz w:val="20"/>
                <w:szCs w:val="20"/>
              </w:rPr>
            </w:pPr>
          </w:p>
        </w:tc>
        <w:tc>
          <w:tcPr>
            <w:tcW w:w="0" w:type="auto"/>
            <w:vAlign w:val="center"/>
            <w:hideMark/>
          </w:tcPr>
          <w:p w14:paraId="7025F492" w14:textId="77777777" w:rsidR="00000000" w:rsidRDefault="00195E73">
            <w:pPr>
              <w:rPr>
                <w:rFonts w:eastAsia="Times New Roman"/>
                <w:sz w:val="20"/>
                <w:szCs w:val="20"/>
              </w:rPr>
            </w:pPr>
          </w:p>
        </w:tc>
        <w:tc>
          <w:tcPr>
            <w:tcW w:w="0" w:type="auto"/>
            <w:vAlign w:val="center"/>
            <w:hideMark/>
          </w:tcPr>
          <w:p w14:paraId="7B2475A7" w14:textId="77777777" w:rsidR="00000000" w:rsidRDefault="00195E73">
            <w:pPr>
              <w:rPr>
                <w:rFonts w:eastAsia="Times New Roman"/>
                <w:sz w:val="20"/>
                <w:szCs w:val="20"/>
              </w:rPr>
            </w:pPr>
          </w:p>
        </w:tc>
        <w:tc>
          <w:tcPr>
            <w:tcW w:w="0" w:type="auto"/>
            <w:vAlign w:val="center"/>
            <w:hideMark/>
          </w:tcPr>
          <w:p w14:paraId="40C2882C" w14:textId="77777777" w:rsidR="00000000" w:rsidRDefault="00195E73">
            <w:pPr>
              <w:rPr>
                <w:rFonts w:eastAsia="Times New Roman"/>
                <w:sz w:val="20"/>
                <w:szCs w:val="20"/>
              </w:rPr>
            </w:pPr>
          </w:p>
        </w:tc>
        <w:tc>
          <w:tcPr>
            <w:tcW w:w="0" w:type="auto"/>
            <w:vAlign w:val="center"/>
            <w:hideMark/>
          </w:tcPr>
          <w:p w14:paraId="01EEC73F" w14:textId="77777777" w:rsidR="00000000" w:rsidRDefault="00195E73">
            <w:pPr>
              <w:rPr>
                <w:rFonts w:eastAsia="Times New Roman"/>
                <w:sz w:val="20"/>
                <w:szCs w:val="20"/>
              </w:rPr>
            </w:pPr>
          </w:p>
        </w:tc>
      </w:tr>
    </w:tbl>
    <w:p w14:paraId="0064C5AA" w14:textId="77777777" w:rsidR="00000000" w:rsidRDefault="00195E73">
      <w:pPr>
        <w:ind w:firstLine="450"/>
        <w:divId w:val="507870411"/>
        <w:rPr>
          <w:rFonts w:eastAsia="Times New Roman"/>
        </w:rPr>
      </w:pPr>
      <w:r>
        <w:rPr>
          <w:rFonts w:eastAsia="Times New Roman"/>
          <w:color w:val="000000"/>
          <w:sz w:val="20"/>
          <w:szCs w:val="20"/>
        </w:rPr>
        <w:t>Holding Company debt consists of various issues of fixed-rate senior unsecured notes issued by the Issuers and guaranteed by Icahn Enterprises Holdings (the “Guarantor”). Interest on each tranche of senior unsecured notes are payable semi-annually</w:t>
      </w:r>
      <w:r>
        <w:rPr>
          <w:rFonts w:eastAsia="Times New Roman"/>
          <w:color w:val="000000"/>
          <w:sz w:val="20"/>
          <w:szCs w:val="20"/>
        </w:rPr>
        <w:t>.</w:t>
      </w:r>
    </w:p>
    <w:p w14:paraId="34FFB970" w14:textId="77777777" w:rsidR="00000000" w:rsidRDefault="00195E73">
      <w:pPr>
        <w:ind w:firstLine="450"/>
        <w:divId w:val="708458220"/>
        <w:rPr>
          <w:rFonts w:eastAsia="Times New Roman"/>
        </w:rPr>
      </w:pPr>
      <w:r>
        <w:rPr>
          <w:rFonts w:eastAsia="Times New Roman"/>
          <w:color w:val="000000"/>
          <w:sz w:val="20"/>
          <w:szCs w:val="20"/>
        </w:rPr>
        <w:t>During 2019, the Issuers issued $1.250 billion in aggregate principal amount of the New 2026 Notes. The proceeds from the New 2026 Notes, together with cash on hand, were used to redeem all of our prior outstanding 6.000% senior unsecured notes due 2020, a</w:t>
      </w:r>
      <w:r>
        <w:rPr>
          <w:rFonts w:eastAsia="Times New Roman"/>
          <w:color w:val="000000"/>
          <w:sz w:val="20"/>
          <w:szCs w:val="20"/>
        </w:rPr>
        <w:t>nd to pay accrued interest, related fees and expenses.</w:t>
      </w:r>
      <w:r>
        <w:rPr>
          <w:rFonts w:eastAsia="Times New Roman"/>
          <w:color w:val="000000"/>
          <w:sz w:val="20"/>
          <w:szCs w:val="20"/>
        </w:rPr>
        <w:t xml:space="preserve"> </w:t>
      </w:r>
    </w:p>
    <w:p w14:paraId="5179DDBF" w14:textId="77777777" w:rsidR="00000000" w:rsidRDefault="00195E73">
      <w:pPr>
        <w:ind w:firstLine="450"/>
        <w:divId w:val="548031907"/>
        <w:rPr>
          <w:rFonts w:eastAsia="Times New Roman"/>
        </w:rPr>
      </w:pPr>
      <w:r>
        <w:rPr>
          <w:rFonts w:eastAsia="Times New Roman"/>
          <w:color w:val="000000"/>
          <w:sz w:val="20"/>
          <w:szCs w:val="20"/>
        </w:rPr>
        <w:t>In addition, during 2019, the Issuers issued $500 million in aggregate principal amount of the New 2024 Notes and $750 million in aggregate principal amount of the New 2027 Notes. The proceeds from th</w:t>
      </w:r>
      <w:r>
        <w:rPr>
          <w:rFonts w:eastAsia="Times New Roman"/>
          <w:color w:val="000000"/>
          <w:sz w:val="20"/>
          <w:szCs w:val="20"/>
        </w:rPr>
        <w:t>e New 2024 Notes and the New 2027 Notes were used for general limited partnership purposes.</w:t>
      </w:r>
      <w:r>
        <w:rPr>
          <w:rFonts w:eastAsia="Times New Roman"/>
          <w:color w:val="000000"/>
          <w:sz w:val="20"/>
          <w:szCs w:val="20"/>
        </w:rPr>
        <w:t xml:space="preserve"> </w:t>
      </w:r>
    </w:p>
    <w:p w14:paraId="4B3CCB5E" w14:textId="77777777" w:rsidR="00000000" w:rsidRDefault="00195E73">
      <w:pPr>
        <w:ind w:firstLine="450"/>
        <w:divId w:val="393622969"/>
        <w:rPr>
          <w:rFonts w:eastAsia="Times New Roman"/>
        </w:rPr>
      </w:pPr>
      <w:r>
        <w:rPr>
          <w:rFonts w:eastAsia="Times New Roman"/>
          <w:color w:val="000000"/>
          <w:sz w:val="20"/>
          <w:szCs w:val="20"/>
        </w:rPr>
        <w:t>In January 2020, the Issuers issued an additional $600 million in aggregate principal amount of the New 2024 Notes and an additional $250 million in aggregate prin</w:t>
      </w:r>
      <w:r>
        <w:rPr>
          <w:rFonts w:eastAsia="Times New Roman"/>
          <w:color w:val="000000"/>
          <w:sz w:val="20"/>
          <w:szCs w:val="20"/>
        </w:rPr>
        <w:t>cipal amount of the New 2027 Notes. The additional proceeds from the New 2024 Notes and the New 2027 Notes issued in January 2020, together with cash on hand, were used to redeem all of our prior outstanding 5.875% senior unsecured notes due 2022, and to p</w:t>
      </w:r>
      <w:r>
        <w:rPr>
          <w:rFonts w:eastAsia="Times New Roman"/>
          <w:color w:val="000000"/>
          <w:sz w:val="20"/>
          <w:szCs w:val="20"/>
        </w:rPr>
        <w:t>ay accrued interest, related fees and expenses</w:t>
      </w:r>
      <w:r>
        <w:rPr>
          <w:rFonts w:eastAsia="Times New Roman"/>
          <w:color w:val="000000"/>
          <w:sz w:val="20"/>
          <w:szCs w:val="20"/>
        </w:rPr>
        <w:t>.</w:t>
      </w:r>
    </w:p>
    <w:p w14:paraId="7652ACF6" w14:textId="77777777" w:rsidR="00000000" w:rsidRDefault="00195E73">
      <w:pPr>
        <w:ind w:firstLine="450"/>
        <w:divId w:val="116225151"/>
        <w:rPr>
          <w:rFonts w:eastAsia="Times New Roman"/>
        </w:rPr>
      </w:pPr>
      <w:r>
        <w:rPr>
          <w:rFonts w:eastAsia="Times New Roman"/>
          <w:color w:val="000000"/>
          <w:sz w:val="20"/>
          <w:szCs w:val="20"/>
        </w:rPr>
        <w:t>Each of our senior unsecured notes and the related guarantees are the senior unsecured obligations of the Issuers and rank equally with all of the Issuers’ and the Guarantor’s existing and future senior unsec</w:t>
      </w:r>
      <w:r>
        <w:rPr>
          <w:rFonts w:eastAsia="Times New Roman"/>
          <w:color w:val="000000"/>
          <w:sz w:val="20"/>
          <w:szCs w:val="20"/>
        </w:rPr>
        <w:t>ured indebtedness and senior to all of the Issuers’ and the Guarantor’s existing and future subordinated indebtedness. Each of our senior unsecured notes and the related guarantees are effectively subordinated to the Issuers’ and the Guarantor’s existing a</w:t>
      </w:r>
      <w:r>
        <w:rPr>
          <w:rFonts w:eastAsia="Times New Roman"/>
          <w:color w:val="000000"/>
          <w:sz w:val="20"/>
          <w:szCs w:val="20"/>
        </w:rPr>
        <w:t>nd future secured indebtedness to the extent of the collateral securing such indebtedness. Each of our senior unsecured notes and the related guarantees are also effectively subordinated to all indebtedness and other liabilities of the Issuers’ subsidiarie</w:t>
      </w:r>
      <w:r>
        <w:rPr>
          <w:rFonts w:eastAsia="Times New Roman"/>
          <w:color w:val="000000"/>
          <w:sz w:val="20"/>
          <w:szCs w:val="20"/>
        </w:rPr>
        <w:t>s other than the Guarantor</w:t>
      </w:r>
      <w:r>
        <w:rPr>
          <w:rFonts w:eastAsia="Times New Roman"/>
          <w:color w:val="000000"/>
          <w:sz w:val="20"/>
          <w:szCs w:val="20"/>
        </w:rPr>
        <w:t>.</w:t>
      </w:r>
    </w:p>
    <w:p w14:paraId="5CC25513" w14:textId="77777777" w:rsidR="00000000" w:rsidRDefault="00195E73">
      <w:pPr>
        <w:jc w:val="center"/>
        <w:divId w:val="1287199967"/>
        <w:rPr>
          <w:rFonts w:eastAsia="Times New Roman"/>
        </w:rPr>
      </w:pPr>
      <w:r>
        <w:rPr>
          <w:rFonts w:eastAsia="Times New Roman"/>
          <w:color w:val="000000"/>
          <w:sz w:val="20"/>
          <w:szCs w:val="20"/>
        </w:rPr>
        <w:t>3</w:t>
      </w:r>
      <w:r>
        <w:rPr>
          <w:rFonts w:eastAsia="Times New Roman"/>
          <w:color w:val="000000"/>
          <w:sz w:val="20"/>
          <w:szCs w:val="20"/>
        </w:rPr>
        <w:t>8</w:t>
      </w:r>
    </w:p>
    <w:p w14:paraId="26468F8C" w14:textId="77777777" w:rsidR="00000000" w:rsidRDefault="00195E73">
      <w:pPr>
        <w:rPr>
          <w:rFonts w:eastAsia="Times New Roman"/>
        </w:rPr>
      </w:pPr>
      <w:r>
        <w:rPr>
          <w:rFonts w:eastAsia="Times New Roman"/>
        </w:rPr>
        <w:pict w14:anchorId="11EF3C4B">
          <v:rect id="_x0000_i1064" style="width:0;height:1.5pt" o:hralign="center" o:hrstd="t" o:hr="t" fillcolor="#a0a0a0" stroked="f"/>
        </w:pict>
      </w:r>
    </w:p>
    <w:p w14:paraId="7BFDB8EF" w14:textId="77777777" w:rsidR="00000000" w:rsidRDefault="00195E73">
      <w:pPr>
        <w:divId w:val="606734678"/>
        <w:rPr>
          <w:rFonts w:eastAsia="Times New Roman"/>
        </w:rPr>
      </w:pPr>
    </w:p>
    <w:p w14:paraId="4FACA92D" w14:textId="77777777" w:rsidR="00000000" w:rsidRDefault="00195E73">
      <w:pPr>
        <w:ind w:firstLine="450"/>
        <w:divId w:val="73205556"/>
        <w:rPr>
          <w:rFonts w:eastAsia="Times New Roman"/>
        </w:rPr>
      </w:pPr>
      <w:r>
        <w:rPr>
          <w:rFonts w:eastAsia="Times New Roman"/>
          <w:color w:val="000000"/>
          <w:sz w:val="20"/>
          <w:szCs w:val="20"/>
        </w:rPr>
        <w:t>The indentures governing each of our senior unsecured notes restrict the payment of cash distributions, the purchase of equity interests or the purchase, redemption, defeasance or acquis</w:t>
      </w:r>
      <w:r>
        <w:rPr>
          <w:rFonts w:eastAsia="Times New Roman"/>
          <w:color w:val="000000"/>
          <w:sz w:val="20"/>
          <w:szCs w:val="20"/>
        </w:rPr>
        <w:t>ition of debt subordinated to the senior unsecured notes. The indentures also restrict the incurrence of debt or the issuance of disqualified stock, as defined in the indentures, with certain exceptions. In addition, the indentures require that on each qua</w:t>
      </w:r>
      <w:r>
        <w:rPr>
          <w:rFonts w:eastAsia="Times New Roman"/>
          <w:color w:val="000000"/>
          <w:sz w:val="20"/>
          <w:szCs w:val="20"/>
        </w:rPr>
        <w:t>rterly determination date, we and the guarantor of the notes (currently only Icahn Enterprises Holdings) maintain certain minimum financial ratios, as defined therein. The indentures also restrict the creation of liens, mergers, consolidations and sales of</w:t>
      </w:r>
      <w:r>
        <w:rPr>
          <w:rFonts w:eastAsia="Times New Roman"/>
          <w:color w:val="000000"/>
          <w:sz w:val="20"/>
          <w:szCs w:val="20"/>
        </w:rPr>
        <w:t xml:space="preserve"> substantially all of our assets, and transactions with affiliates. Additionally, each of the senior unsecured notes outstanding as of December 31, 2019, except for the New 2024 Notes and the New 2027 Notes, are subject to optional redemption premiums in t</w:t>
      </w:r>
      <w:r>
        <w:rPr>
          <w:rFonts w:eastAsia="Times New Roman"/>
          <w:color w:val="000000"/>
          <w:sz w:val="20"/>
          <w:szCs w:val="20"/>
        </w:rPr>
        <w:t>he event we redeem any of the notes prior to certain dates as described in the indentures.</w:t>
      </w:r>
      <w:r>
        <w:rPr>
          <w:rFonts w:eastAsia="Times New Roman"/>
          <w:color w:val="000000"/>
          <w:sz w:val="20"/>
          <w:szCs w:val="20"/>
        </w:rPr>
        <w:t xml:space="preserve"> </w:t>
      </w:r>
    </w:p>
    <w:p w14:paraId="2DE30308" w14:textId="77777777" w:rsidR="00000000" w:rsidRDefault="00195E73">
      <w:pPr>
        <w:ind w:firstLine="450"/>
        <w:divId w:val="1394547702"/>
        <w:rPr>
          <w:rFonts w:eastAsia="Times New Roman"/>
        </w:rPr>
      </w:pPr>
      <w:r>
        <w:rPr>
          <w:rFonts w:eastAsia="Times New Roman"/>
          <w:color w:val="000000"/>
          <w:sz w:val="20"/>
          <w:szCs w:val="20"/>
        </w:rPr>
        <w:t>As of December 31, 2019, we were in compliance with all covenants, including maintaining certain minimum financial ratios, as defined in the indentures. Additionall</w:t>
      </w:r>
      <w:r>
        <w:rPr>
          <w:rFonts w:eastAsia="Times New Roman"/>
          <w:color w:val="000000"/>
          <w:sz w:val="20"/>
          <w:szCs w:val="20"/>
        </w:rPr>
        <w:t>y, as of December 31, 2019, based on covenants in the indentures governing our senior unsecured notes, we are not permitted to incur additional indebtedness. However, as a result of our subsequent debt activity in January 2020, as described above, we are p</w:t>
      </w:r>
      <w:r>
        <w:rPr>
          <w:rFonts w:eastAsia="Times New Roman"/>
          <w:color w:val="000000"/>
          <w:sz w:val="20"/>
          <w:szCs w:val="20"/>
        </w:rPr>
        <w:t>ermitted to borrow an additional $469 million as of the date of this Report.</w:t>
      </w:r>
      <w:r>
        <w:rPr>
          <w:rFonts w:eastAsia="Times New Roman"/>
          <w:color w:val="000000"/>
          <w:sz w:val="20"/>
          <w:szCs w:val="20"/>
        </w:rPr>
        <w:t xml:space="preserve"> </w:t>
      </w:r>
    </w:p>
    <w:p w14:paraId="78F82205" w14:textId="77777777" w:rsidR="00000000" w:rsidRDefault="00195E73">
      <w:pPr>
        <w:divId w:val="951976318"/>
        <w:rPr>
          <w:rFonts w:eastAsia="Times New Roman"/>
        </w:rPr>
      </w:pPr>
      <w:r>
        <w:rPr>
          <w:rFonts w:eastAsia="Times New Roman"/>
          <w:i/>
          <w:iCs/>
          <w:color w:val="000000"/>
          <w:sz w:val="20"/>
          <w:szCs w:val="20"/>
        </w:rPr>
        <w:t>2019 At-The-Market Offerin</w:t>
      </w:r>
      <w:r>
        <w:rPr>
          <w:rFonts w:eastAsia="Times New Roman"/>
          <w:i/>
          <w:iCs/>
          <w:color w:val="000000"/>
          <w:sz w:val="20"/>
          <w:szCs w:val="20"/>
        </w:rPr>
        <w:t>g</w:t>
      </w:r>
    </w:p>
    <w:p w14:paraId="623E0B08" w14:textId="77777777" w:rsidR="00000000" w:rsidRDefault="00195E73">
      <w:pPr>
        <w:ind w:firstLine="450"/>
        <w:divId w:val="920523501"/>
        <w:rPr>
          <w:rFonts w:eastAsia="Times New Roman"/>
        </w:rPr>
      </w:pPr>
      <w:r>
        <w:rPr>
          <w:rFonts w:eastAsia="Times New Roman"/>
          <w:color w:val="000000"/>
          <w:sz w:val="20"/>
          <w:szCs w:val="20"/>
        </w:rPr>
        <w:t>On May 2, 2019, Icahn Enterprises announced the commencement of its “at-the-market” offering pursuant to its Open Market Sale Agreement, pursuant to w</w:t>
      </w:r>
      <w:r>
        <w:rPr>
          <w:rFonts w:eastAsia="Times New Roman"/>
          <w:color w:val="000000"/>
          <w:sz w:val="20"/>
          <w:szCs w:val="20"/>
        </w:rPr>
        <w:t>hich Icahn Enterprises may sell its depositary units, from time to time, during the term of the program ending on March 31, 2021, for up to $400 million in aggregate sale proceeds. During 2019, Icahn Enterprises sold 794,349 depositary units pursuant to th</w:t>
      </w:r>
      <w:r>
        <w:rPr>
          <w:rFonts w:eastAsia="Times New Roman"/>
          <w:color w:val="000000"/>
          <w:sz w:val="20"/>
          <w:szCs w:val="20"/>
        </w:rPr>
        <w:t>is agreement, resulting in gross proceeds of $54 million. No assurance can be made that any or all amounts will be sold during the term of the program.</w:t>
      </w:r>
      <w:r>
        <w:rPr>
          <w:rFonts w:eastAsia="Times New Roman"/>
          <w:color w:val="000000"/>
          <w:sz w:val="20"/>
          <w:szCs w:val="20"/>
        </w:rPr>
        <w:t xml:space="preserve"> </w:t>
      </w:r>
    </w:p>
    <w:p w14:paraId="013A1D6F" w14:textId="77777777" w:rsidR="00000000" w:rsidRDefault="00195E73">
      <w:pPr>
        <w:divId w:val="185142867"/>
        <w:rPr>
          <w:rFonts w:eastAsia="Times New Roman"/>
        </w:rPr>
      </w:pPr>
      <w:r>
        <w:rPr>
          <w:rFonts w:eastAsia="Times New Roman"/>
          <w:i/>
          <w:iCs/>
          <w:color w:val="000000"/>
          <w:sz w:val="20"/>
          <w:szCs w:val="20"/>
        </w:rPr>
        <w:t>LP Unit Distribution</w:t>
      </w:r>
      <w:r>
        <w:rPr>
          <w:rFonts w:eastAsia="Times New Roman"/>
          <w:i/>
          <w:iCs/>
          <w:color w:val="000000"/>
          <w:sz w:val="20"/>
          <w:szCs w:val="20"/>
        </w:rPr>
        <w:t>s</w:t>
      </w:r>
    </w:p>
    <w:p w14:paraId="2D87D18A" w14:textId="77777777" w:rsidR="00000000" w:rsidRDefault="00195E73">
      <w:pPr>
        <w:ind w:firstLine="450"/>
        <w:divId w:val="136074327"/>
        <w:rPr>
          <w:rFonts w:eastAsia="Times New Roman"/>
        </w:rPr>
      </w:pPr>
      <w:r>
        <w:rPr>
          <w:rFonts w:eastAsia="Times New Roman"/>
          <w:color w:val="000000"/>
          <w:sz w:val="20"/>
          <w:szCs w:val="20"/>
        </w:rPr>
        <w:t>On February 26, 2020, the Board of Directors of the general partner of Icahn Ente</w:t>
      </w:r>
      <w:r>
        <w:rPr>
          <w:rFonts w:eastAsia="Times New Roman"/>
          <w:color w:val="000000"/>
          <w:sz w:val="20"/>
          <w:szCs w:val="20"/>
        </w:rPr>
        <w:t xml:space="preserve">rprises declared a quarterly distribution in the amount of $2.00 per depositary unit. The quarterly distribution is payable in either cash or additional depositary units, at the election of each depositary unitholder and will be paid on or about April 28, </w:t>
      </w:r>
      <w:r>
        <w:rPr>
          <w:rFonts w:eastAsia="Times New Roman"/>
          <w:color w:val="000000"/>
          <w:sz w:val="20"/>
          <w:szCs w:val="20"/>
        </w:rPr>
        <w:t>2020 to depositary unitholders of record at the close of business on March 20, 2020.</w:t>
      </w:r>
      <w:r>
        <w:rPr>
          <w:rFonts w:eastAsia="Times New Roman"/>
          <w:color w:val="000000"/>
          <w:sz w:val="20"/>
          <w:szCs w:val="20"/>
        </w:rPr>
        <w:t xml:space="preserve"> </w:t>
      </w:r>
    </w:p>
    <w:p w14:paraId="4E7E6709" w14:textId="77777777" w:rsidR="00000000" w:rsidRDefault="00195E73">
      <w:pPr>
        <w:ind w:firstLine="405"/>
        <w:divId w:val="686446696"/>
        <w:rPr>
          <w:rFonts w:eastAsia="Times New Roman"/>
        </w:rPr>
      </w:pPr>
      <w:r>
        <w:rPr>
          <w:rFonts w:eastAsia="Times New Roman"/>
          <w:color w:val="000000"/>
          <w:sz w:val="20"/>
          <w:szCs w:val="20"/>
        </w:rPr>
        <w:t>During the year ended December 31, 2019, we declared four quarterly distributions aggregating $8.00 per depositary unit. Mr. Icahn and his affiliates elected to receive t</w:t>
      </w:r>
      <w:r>
        <w:rPr>
          <w:rFonts w:eastAsia="Times New Roman"/>
          <w:color w:val="000000"/>
          <w:sz w:val="20"/>
          <w:szCs w:val="20"/>
        </w:rPr>
        <w:t>heir proportionate share of these distributions in depositary units. Mr. Icahn and his affiliates owned approximately 92.0% of Icahn Enterprises’ outstanding depositary units as of December 31, 2019. In connection with these distributions, aggregate cash d</w:t>
      </w:r>
      <w:r>
        <w:rPr>
          <w:rFonts w:eastAsia="Times New Roman"/>
          <w:color w:val="000000"/>
          <w:sz w:val="20"/>
          <w:szCs w:val="20"/>
        </w:rPr>
        <w:t>istributions to all depositary unitholders was $110 million during the year ended December 31, 2019.</w:t>
      </w:r>
      <w:r>
        <w:rPr>
          <w:rFonts w:eastAsia="Times New Roman"/>
          <w:color w:val="000000"/>
          <w:sz w:val="20"/>
          <w:szCs w:val="20"/>
        </w:rPr>
        <w:t xml:space="preserve"> </w:t>
      </w:r>
    </w:p>
    <w:p w14:paraId="6243A9AF" w14:textId="77777777" w:rsidR="00000000" w:rsidRDefault="00195E73">
      <w:pPr>
        <w:ind w:firstLine="405"/>
        <w:divId w:val="563954333"/>
        <w:rPr>
          <w:rFonts w:eastAsia="Times New Roman"/>
        </w:rPr>
      </w:pPr>
      <w:r>
        <w:rPr>
          <w:rFonts w:eastAsia="Times New Roman"/>
          <w:color w:val="000000"/>
          <w:sz w:val="20"/>
          <w:szCs w:val="20"/>
        </w:rPr>
        <w:t>The declaration and payment of distributions is reviewed quarterly by Icahn Enterprises GP’s board of directors based upon a review of our balance sheet a</w:t>
      </w:r>
      <w:r>
        <w:rPr>
          <w:rFonts w:eastAsia="Times New Roman"/>
          <w:color w:val="000000"/>
          <w:sz w:val="20"/>
          <w:szCs w:val="20"/>
        </w:rPr>
        <w:t>nd cash flow, our expected capital and liquidity requirements, the provisions of our partnership agreement and provisions in our financing arrangements governing distributions, and keeping in mind that limited partners subject to U.S. federal income tax ha</w:t>
      </w:r>
      <w:r>
        <w:rPr>
          <w:rFonts w:eastAsia="Times New Roman"/>
          <w:color w:val="000000"/>
          <w:sz w:val="20"/>
          <w:szCs w:val="20"/>
        </w:rPr>
        <w:t>ve recognized income on our earnings even if they do not receive distributions that could be used to satisfy any resulting tax obligations. The payment of future distributions will be determined by the board of directors quarterly, based upon the factors d</w:t>
      </w:r>
      <w:r>
        <w:rPr>
          <w:rFonts w:eastAsia="Times New Roman"/>
          <w:color w:val="000000"/>
          <w:sz w:val="20"/>
          <w:szCs w:val="20"/>
        </w:rPr>
        <w:t>escribed above and other factors that it deems relevant at the time that declaration of a distribution is considered. Payments of distributions are subject to certain restrictions, including certain restrictions on our subsidiaries which limit their abilit</w:t>
      </w:r>
      <w:r>
        <w:rPr>
          <w:rFonts w:eastAsia="Times New Roman"/>
          <w:color w:val="000000"/>
          <w:sz w:val="20"/>
          <w:szCs w:val="20"/>
        </w:rPr>
        <w:t>y to distribute dividends to us. There can be no assurance as to whether or in what amounts any future distributions might be paid.</w:t>
      </w:r>
      <w:r>
        <w:rPr>
          <w:rFonts w:eastAsia="Times New Roman"/>
          <w:color w:val="000000"/>
          <w:sz w:val="20"/>
          <w:szCs w:val="20"/>
        </w:rPr>
        <w:t xml:space="preserve"> </w:t>
      </w:r>
    </w:p>
    <w:p w14:paraId="58D185D3" w14:textId="77777777" w:rsidR="00000000" w:rsidRDefault="00195E73">
      <w:pPr>
        <w:divId w:val="570192001"/>
        <w:rPr>
          <w:rFonts w:eastAsia="Times New Roman"/>
        </w:rPr>
      </w:pPr>
      <w:r>
        <w:rPr>
          <w:rFonts w:eastAsia="Times New Roman"/>
          <w:i/>
          <w:iCs/>
          <w:color w:val="000000"/>
          <w:sz w:val="20"/>
          <w:szCs w:val="20"/>
        </w:rPr>
        <w:t>Subsequent Event</w:t>
      </w:r>
      <w:r>
        <w:rPr>
          <w:rFonts w:eastAsia="Times New Roman"/>
          <w:i/>
          <w:iCs/>
          <w:color w:val="000000"/>
          <w:sz w:val="20"/>
          <w:szCs w:val="20"/>
        </w:rPr>
        <w:t>s</w:t>
      </w:r>
    </w:p>
    <w:p w14:paraId="7907D507" w14:textId="77777777" w:rsidR="00000000" w:rsidRDefault="00195E73">
      <w:pPr>
        <w:ind w:firstLine="450"/>
        <w:divId w:val="966158709"/>
        <w:rPr>
          <w:rFonts w:eastAsia="Times New Roman"/>
        </w:rPr>
      </w:pPr>
      <w:r>
        <w:rPr>
          <w:rFonts w:eastAsia="Times New Roman"/>
          <w:color w:val="000000"/>
          <w:sz w:val="20"/>
          <w:szCs w:val="20"/>
        </w:rPr>
        <w:t>Subsequent to December 31, 2019, CVR Energy declared a quarterly dividend which should result in an addit</w:t>
      </w:r>
      <w:r>
        <w:rPr>
          <w:rFonts w:eastAsia="Times New Roman"/>
          <w:color w:val="000000"/>
          <w:sz w:val="20"/>
          <w:szCs w:val="20"/>
        </w:rPr>
        <w:t>ional $57 million in dividends payable to us in the first quarter of 2020</w:t>
      </w:r>
      <w:r>
        <w:rPr>
          <w:rFonts w:eastAsia="Times New Roman"/>
          <w:color w:val="000000"/>
          <w:sz w:val="20"/>
          <w:szCs w:val="20"/>
        </w:rPr>
        <w:t>.</w:t>
      </w:r>
    </w:p>
    <w:p w14:paraId="3C846488" w14:textId="77777777" w:rsidR="00000000" w:rsidRDefault="00195E73">
      <w:pPr>
        <w:divId w:val="1205093068"/>
        <w:rPr>
          <w:rFonts w:eastAsia="Times New Roman"/>
        </w:rPr>
      </w:pPr>
      <w:r>
        <w:rPr>
          <w:rFonts w:eastAsia="Times New Roman"/>
          <w:b/>
          <w:bCs/>
          <w:i/>
          <w:iCs/>
          <w:color w:val="000000"/>
          <w:sz w:val="20"/>
          <w:szCs w:val="20"/>
        </w:rPr>
        <w:t>Investment Segment Liquidit</w:t>
      </w:r>
      <w:r>
        <w:rPr>
          <w:rFonts w:eastAsia="Times New Roman"/>
          <w:b/>
          <w:bCs/>
          <w:i/>
          <w:iCs/>
          <w:color w:val="000000"/>
          <w:sz w:val="20"/>
          <w:szCs w:val="20"/>
        </w:rPr>
        <w:t>y</w:t>
      </w:r>
    </w:p>
    <w:p w14:paraId="3E1179F7" w14:textId="77777777" w:rsidR="00000000" w:rsidRDefault="00195E73">
      <w:pPr>
        <w:ind w:firstLine="405"/>
        <w:divId w:val="467361804"/>
        <w:rPr>
          <w:rFonts w:eastAsia="Times New Roman"/>
        </w:rPr>
      </w:pPr>
      <w:r>
        <w:rPr>
          <w:rFonts w:eastAsia="Times New Roman"/>
          <w:color w:val="000000"/>
          <w:sz w:val="20"/>
          <w:szCs w:val="20"/>
        </w:rPr>
        <w:t>During the year ended December 31, 2019, affiliates of Mr. Icahn (excluding us and our subsidiaries) invested $220 million in the Investment Funds. Subs</w:t>
      </w:r>
      <w:r>
        <w:rPr>
          <w:rFonts w:eastAsia="Times New Roman"/>
          <w:color w:val="000000"/>
          <w:sz w:val="20"/>
          <w:szCs w:val="20"/>
        </w:rPr>
        <w:t>equent to December 31, 2019, we invested an additional $1.0 billion in the Investment Funds. In addition to investments by us and Mr. Icahn, the Investment Funds historically have access to significant amounts of cash available from prime brokerage lines o</w:t>
      </w:r>
      <w:r>
        <w:rPr>
          <w:rFonts w:eastAsia="Times New Roman"/>
          <w:color w:val="000000"/>
          <w:sz w:val="20"/>
          <w:szCs w:val="20"/>
        </w:rPr>
        <w:t>f credit, subject to customary terms and market conditions.</w:t>
      </w:r>
      <w:r>
        <w:rPr>
          <w:rFonts w:eastAsia="Times New Roman"/>
          <w:color w:val="000000"/>
          <w:sz w:val="20"/>
          <w:szCs w:val="20"/>
        </w:rPr>
        <w:t xml:space="preserve"> </w:t>
      </w:r>
    </w:p>
    <w:p w14:paraId="3F80DA4A" w14:textId="77777777" w:rsidR="00000000" w:rsidRDefault="00195E73">
      <w:pPr>
        <w:ind w:firstLine="450"/>
        <w:divId w:val="1120145548"/>
        <w:rPr>
          <w:rFonts w:eastAsia="Times New Roman"/>
        </w:rPr>
      </w:pPr>
      <w:r>
        <w:rPr>
          <w:rFonts w:eastAsia="Times New Roman"/>
          <w:color w:val="000000"/>
          <w:sz w:val="20"/>
          <w:szCs w:val="20"/>
        </w:rPr>
        <w:t>Additionally, our Investment segment liquidity is driven by the investment activities and performance of the Investment Funds. As of December 31, 2019, the Investment Funds’ had a net short notio</w:t>
      </w:r>
      <w:r>
        <w:rPr>
          <w:rFonts w:eastAsia="Times New Roman"/>
          <w:color w:val="000000"/>
          <w:sz w:val="20"/>
          <w:szCs w:val="20"/>
        </w:rPr>
        <w:t xml:space="preserve">nal exposure of 56%. The Investment Funds’ long exposure was 114% (112% long equity and 2% long credit and other) and its short exposure was 170% (163% short equity and 7% short credit and other). The notional exposure represents the ratio of the notional </w:t>
      </w:r>
      <w:r>
        <w:rPr>
          <w:rFonts w:eastAsia="Times New Roman"/>
          <w:color w:val="000000"/>
          <w:sz w:val="20"/>
          <w:szCs w:val="20"/>
        </w:rPr>
        <w:t>exposure of the Investment Funds’ invested capital to the net asset value of the Investment Funds at December 31, 2019.</w:t>
      </w:r>
      <w:r>
        <w:rPr>
          <w:rFonts w:eastAsia="Times New Roman"/>
          <w:color w:val="000000"/>
          <w:sz w:val="20"/>
          <w:szCs w:val="20"/>
        </w:rPr>
        <w:t xml:space="preserve"> </w:t>
      </w:r>
    </w:p>
    <w:p w14:paraId="4D430F64" w14:textId="77777777" w:rsidR="00000000" w:rsidRDefault="00195E73">
      <w:pPr>
        <w:jc w:val="center"/>
        <w:divId w:val="1177772925"/>
        <w:rPr>
          <w:rFonts w:eastAsia="Times New Roman"/>
        </w:rPr>
      </w:pPr>
      <w:r>
        <w:rPr>
          <w:rFonts w:eastAsia="Times New Roman"/>
          <w:color w:val="000000"/>
          <w:sz w:val="20"/>
          <w:szCs w:val="20"/>
        </w:rPr>
        <w:t>3</w:t>
      </w:r>
      <w:r>
        <w:rPr>
          <w:rFonts w:eastAsia="Times New Roman"/>
          <w:color w:val="000000"/>
          <w:sz w:val="20"/>
          <w:szCs w:val="20"/>
        </w:rPr>
        <w:t>9</w:t>
      </w:r>
    </w:p>
    <w:p w14:paraId="20B2463F" w14:textId="77777777" w:rsidR="00000000" w:rsidRDefault="00195E73">
      <w:pPr>
        <w:rPr>
          <w:rFonts w:eastAsia="Times New Roman"/>
        </w:rPr>
      </w:pPr>
      <w:r>
        <w:rPr>
          <w:rFonts w:eastAsia="Times New Roman"/>
        </w:rPr>
        <w:pict w14:anchorId="21E8B9E0">
          <v:rect id="_x0000_i1065" style="width:0;height:1.5pt" o:hralign="center" o:hrstd="t" o:hr="t" fillcolor="#a0a0a0" stroked="f"/>
        </w:pict>
      </w:r>
    </w:p>
    <w:p w14:paraId="723DAD55" w14:textId="77777777" w:rsidR="00000000" w:rsidRDefault="00195E73">
      <w:pPr>
        <w:divId w:val="1814711103"/>
        <w:rPr>
          <w:rFonts w:eastAsia="Times New Roman"/>
        </w:rPr>
      </w:pPr>
    </w:p>
    <w:p w14:paraId="432F9CE6" w14:textId="77777777" w:rsidR="00000000" w:rsidRDefault="00195E73">
      <w:pPr>
        <w:ind w:firstLine="405"/>
        <w:divId w:val="1305745065"/>
        <w:rPr>
          <w:rFonts w:eastAsia="Times New Roman"/>
        </w:rPr>
      </w:pPr>
      <w:r>
        <w:rPr>
          <w:rFonts w:eastAsia="Times New Roman"/>
          <w:color w:val="000000"/>
          <w:sz w:val="20"/>
          <w:szCs w:val="20"/>
        </w:rPr>
        <w:t xml:space="preserve">Of the Investment Funds’ 114% long exposure, 105% was comprised of the fair value of its long </w:t>
      </w:r>
      <w:r>
        <w:rPr>
          <w:rFonts w:eastAsia="Times New Roman"/>
          <w:color w:val="000000"/>
          <w:sz w:val="20"/>
          <w:szCs w:val="20"/>
        </w:rPr>
        <w:t>positions (with certain adjustments) and 9% was comprised of single name equity forward contracts and credit contracts. Of the Investment Funds’ 170% short exposure, 0.13 was comprised of the fair value of our short positions and 157% was comprised of shor</w:t>
      </w:r>
      <w:r>
        <w:rPr>
          <w:rFonts w:eastAsia="Times New Roman"/>
          <w:color w:val="000000"/>
          <w:sz w:val="20"/>
          <w:szCs w:val="20"/>
        </w:rPr>
        <w:t>t credit default swap contracts and short broad market index swap derivative contracts</w:t>
      </w:r>
      <w:r>
        <w:rPr>
          <w:rFonts w:eastAsia="Times New Roman"/>
          <w:color w:val="000000"/>
          <w:sz w:val="20"/>
          <w:szCs w:val="20"/>
        </w:rPr>
        <w:t>.</w:t>
      </w:r>
    </w:p>
    <w:p w14:paraId="14A309AF" w14:textId="77777777" w:rsidR="00000000" w:rsidRDefault="00195E73">
      <w:pPr>
        <w:ind w:firstLine="405"/>
        <w:divId w:val="1390109319"/>
        <w:rPr>
          <w:rFonts w:eastAsia="Times New Roman"/>
        </w:rPr>
      </w:pPr>
      <w:r>
        <w:rPr>
          <w:rFonts w:eastAsia="Times New Roman"/>
          <w:color w:val="000000"/>
          <w:sz w:val="20"/>
          <w:szCs w:val="20"/>
        </w:rPr>
        <w:t>With respect to both our long positions that are not notionalized (105% long exposure) and our short positions that are not notionalized (0.13 short), each 1% change in</w:t>
      </w:r>
      <w:r>
        <w:rPr>
          <w:rFonts w:eastAsia="Times New Roman"/>
          <w:color w:val="000000"/>
          <w:sz w:val="20"/>
          <w:szCs w:val="20"/>
        </w:rPr>
        <w:t xml:space="preserve"> exposure as a result of purchases or sales (assuming no change in value) would have a 1% impact on our cash and cash equivalents (as a percentage of net asset value). Changes in exposure as a result of purchases and sales as well as adverse changes in mar</w:t>
      </w:r>
      <w:r>
        <w:rPr>
          <w:rFonts w:eastAsia="Times New Roman"/>
          <w:color w:val="000000"/>
          <w:sz w:val="20"/>
          <w:szCs w:val="20"/>
        </w:rPr>
        <w:t>ket value would also have an effect on funds available to us pursuant to prime brokerage lines of credit</w:t>
      </w:r>
      <w:r>
        <w:rPr>
          <w:rFonts w:eastAsia="Times New Roman"/>
          <w:color w:val="000000"/>
          <w:sz w:val="20"/>
          <w:szCs w:val="20"/>
        </w:rPr>
        <w:t>.</w:t>
      </w:r>
    </w:p>
    <w:p w14:paraId="4DB74827" w14:textId="77777777" w:rsidR="00000000" w:rsidRDefault="00195E73">
      <w:pPr>
        <w:ind w:firstLine="405"/>
        <w:divId w:val="140005631"/>
        <w:rPr>
          <w:rFonts w:eastAsia="Times New Roman"/>
        </w:rPr>
      </w:pPr>
      <w:r>
        <w:rPr>
          <w:rFonts w:eastAsia="Times New Roman"/>
          <w:color w:val="000000"/>
          <w:sz w:val="20"/>
          <w:szCs w:val="20"/>
        </w:rPr>
        <w:t>With respect to the notional value of our other short positions (157% short exposure), our liquidity would decrease by the balance sheet unrealized lo</w:t>
      </w:r>
      <w:r>
        <w:rPr>
          <w:rFonts w:eastAsia="Times New Roman"/>
          <w:color w:val="000000"/>
          <w:sz w:val="20"/>
          <w:szCs w:val="20"/>
        </w:rPr>
        <w:t>ss if we were to close the positions at year end prices. This would be offset by a release of restricted cash balances collateralizing these positions as well as an increase in funds available to us pursuant to certain prime brokerage lines of credit. If w</w:t>
      </w:r>
      <w:r>
        <w:rPr>
          <w:rFonts w:eastAsia="Times New Roman"/>
          <w:color w:val="000000"/>
          <w:sz w:val="20"/>
          <w:szCs w:val="20"/>
        </w:rPr>
        <w:t>e were to increase our short exposure by adding to these short positions, we would be required to provide cash collateral equal to a small percentage of the initial notional value at counterparties that require cash as collateral and then post additional c</w:t>
      </w:r>
      <w:r>
        <w:rPr>
          <w:rFonts w:eastAsia="Times New Roman"/>
          <w:color w:val="000000"/>
          <w:sz w:val="20"/>
          <w:szCs w:val="20"/>
        </w:rPr>
        <w:t>ollateral equal to 100% of the mark to market on adverse changes in fair value. For our counterparties who do not require cash collateral, funds available from lines of credit would decrease</w:t>
      </w:r>
      <w:r>
        <w:rPr>
          <w:rFonts w:eastAsia="Times New Roman"/>
          <w:color w:val="000000"/>
          <w:sz w:val="20"/>
          <w:szCs w:val="20"/>
        </w:rPr>
        <w:t>.</w:t>
      </w:r>
    </w:p>
    <w:p w14:paraId="0B57E83F" w14:textId="77777777" w:rsidR="00000000" w:rsidRDefault="00195E73">
      <w:pPr>
        <w:divId w:val="1661545010"/>
        <w:rPr>
          <w:rFonts w:eastAsia="Times New Roman"/>
        </w:rPr>
      </w:pPr>
      <w:r>
        <w:rPr>
          <w:rFonts w:eastAsia="Times New Roman"/>
          <w:b/>
          <w:bCs/>
          <w:i/>
          <w:iCs/>
          <w:color w:val="000000"/>
          <w:sz w:val="20"/>
          <w:szCs w:val="20"/>
        </w:rPr>
        <w:t>Other Segment Liquidit</w:t>
      </w:r>
      <w:r>
        <w:rPr>
          <w:rFonts w:eastAsia="Times New Roman"/>
          <w:b/>
          <w:bCs/>
          <w:i/>
          <w:iCs/>
          <w:color w:val="000000"/>
          <w:sz w:val="20"/>
          <w:szCs w:val="20"/>
        </w:rPr>
        <w:t>y</w:t>
      </w:r>
    </w:p>
    <w:p w14:paraId="467577D4" w14:textId="77777777" w:rsidR="00000000" w:rsidRDefault="00195E73">
      <w:pPr>
        <w:divId w:val="1411660593"/>
        <w:rPr>
          <w:rFonts w:eastAsia="Times New Roman"/>
        </w:rPr>
      </w:pPr>
      <w:r>
        <w:rPr>
          <w:rFonts w:eastAsia="Times New Roman"/>
          <w:i/>
          <w:iCs/>
          <w:color w:val="000000"/>
          <w:sz w:val="20"/>
          <w:szCs w:val="20"/>
        </w:rPr>
        <w:t>Segment Cash and Cash Equivalent</w:t>
      </w:r>
      <w:r>
        <w:rPr>
          <w:rFonts w:eastAsia="Times New Roman"/>
          <w:i/>
          <w:iCs/>
          <w:color w:val="000000"/>
          <w:sz w:val="20"/>
          <w:szCs w:val="20"/>
        </w:rPr>
        <w:t>s</w:t>
      </w:r>
    </w:p>
    <w:p w14:paraId="2382C9AC" w14:textId="77777777" w:rsidR="00000000" w:rsidRDefault="00195E73">
      <w:pPr>
        <w:ind w:firstLine="450"/>
        <w:divId w:val="1746535674"/>
        <w:rPr>
          <w:rFonts w:eastAsia="Times New Roman"/>
        </w:rPr>
      </w:pPr>
      <w:r>
        <w:rPr>
          <w:rFonts w:eastAsia="Times New Roman"/>
          <w:color w:val="000000"/>
          <w:sz w:val="20"/>
          <w:szCs w:val="20"/>
        </w:rPr>
        <w:t>Segment cash and cash equivalents (excluding our Investment segment) consists of the following</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2"/>
        <w:gridCol w:w="5619"/>
        <w:gridCol w:w="52"/>
        <w:gridCol w:w="135"/>
        <w:gridCol w:w="908"/>
        <w:gridCol w:w="85"/>
        <w:gridCol w:w="36"/>
        <w:gridCol w:w="36"/>
        <w:gridCol w:w="36"/>
        <w:gridCol w:w="135"/>
        <w:gridCol w:w="886"/>
        <w:gridCol w:w="85"/>
        <w:gridCol w:w="36"/>
        <w:gridCol w:w="36"/>
        <w:gridCol w:w="36"/>
        <w:gridCol w:w="36"/>
        <w:gridCol w:w="36"/>
        <w:gridCol w:w="36"/>
      </w:tblGrid>
      <w:tr w:rsidR="00000000" w14:paraId="4B9A9CD8" w14:textId="77777777">
        <w:trPr>
          <w:gridAfter w:val="6"/>
          <w:divId w:val="1739815712"/>
          <w:jc w:val="center"/>
        </w:trPr>
        <w:tc>
          <w:tcPr>
            <w:tcW w:w="50" w:type="pct"/>
            <w:vAlign w:val="center"/>
            <w:hideMark/>
          </w:tcPr>
          <w:p w14:paraId="6B7F942A" w14:textId="77777777" w:rsidR="00000000" w:rsidRDefault="00195E73">
            <w:pPr>
              <w:ind w:firstLine="450"/>
              <w:rPr>
                <w:rFonts w:eastAsia="Times New Roman"/>
              </w:rPr>
            </w:pPr>
          </w:p>
        </w:tc>
        <w:tc>
          <w:tcPr>
            <w:tcW w:w="3499" w:type="pct"/>
            <w:vAlign w:val="center"/>
            <w:hideMark/>
          </w:tcPr>
          <w:p w14:paraId="1863F071" w14:textId="77777777" w:rsidR="00000000" w:rsidRDefault="00195E73">
            <w:pPr>
              <w:rPr>
                <w:rFonts w:eastAsia="Times New Roman"/>
                <w:sz w:val="20"/>
                <w:szCs w:val="20"/>
              </w:rPr>
            </w:pPr>
          </w:p>
        </w:tc>
        <w:tc>
          <w:tcPr>
            <w:tcW w:w="50" w:type="pct"/>
            <w:vAlign w:val="center"/>
            <w:hideMark/>
          </w:tcPr>
          <w:p w14:paraId="4D0BE928" w14:textId="77777777" w:rsidR="00000000" w:rsidRDefault="00195E73">
            <w:pPr>
              <w:rPr>
                <w:rFonts w:eastAsia="Times New Roman"/>
                <w:sz w:val="20"/>
                <w:szCs w:val="20"/>
              </w:rPr>
            </w:pPr>
          </w:p>
        </w:tc>
        <w:tc>
          <w:tcPr>
            <w:tcW w:w="50" w:type="pct"/>
            <w:vAlign w:val="center"/>
            <w:hideMark/>
          </w:tcPr>
          <w:p w14:paraId="5CFC6FA8" w14:textId="77777777" w:rsidR="00000000" w:rsidRDefault="00195E73">
            <w:pPr>
              <w:rPr>
                <w:rFonts w:eastAsia="Times New Roman"/>
                <w:sz w:val="20"/>
                <w:szCs w:val="20"/>
              </w:rPr>
            </w:pPr>
          </w:p>
        </w:tc>
        <w:tc>
          <w:tcPr>
            <w:tcW w:w="581" w:type="pct"/>
            <w:vAlign w:val="center"/>
            <w:hideMark/>
          </w:tcPr>
          <w:p w14:paraId="5B546ED9" w14:textId="77777777" w:rsidR="00000000" w:rsidRDefault="00195E73">
            <w:pPr>
              <w:rPr>
                <w:rFonts w:eastAsia="Times New Roman"/>
                <w:sz w:val="20"/>
                <w:szCs w:val="20"/>
              </w:rPr>
            </w:pPr>
          </w:p>
        </w:tc>
        <w:tc>
          <w:tcPr>
            <w:tcW w:w="50" w:type="pct"/>
            <w:vAlign w:val="center"/>
            <w:hideMark/>
          </w:tcPr>
          <w:p w14:paraId="512D6D79" w14:textId="77777777" w:rsidR="00000000" w:rsidRDefault="00195E73">
            <w:pPr>
              <w:rPr>
                <w:rFonts w:eastAsia="Times New Roman"/>
                <w:sz w:val="20"/>
                <w:szCs w:val="20"/>
              </w:rPr>
            </w:pPr>
          </w:p>
        </w:tc>
        <w:tc>
          <w:tcPr>
            <w:tcW w:w="5" w:type="pct"/>
            <w:vAlign w:val="center"/>
            <w:hideMark/>
          </w:tcPr>
          <w:p w14:paraId="56CD9159" w14:textId="77777777" w:rsidR="00000000" w:rsidRDefault="00195E73">
            <w:pPr>
              <w:rPr>
                <w:rFonts w:eastAsia="Times New Roman"/>
                <w:sz w:val="20"/>
                <w:szCs w:val="20"/>
              </w:rPr>
            </w:pPr>
          </w:p>
        </w:tc>
        <w:tc>
          <w:tcPr>
            <w:tcW w:w="26" w:type="pct"/>
            <w:vAlign w:val="center"/>
            <w:hideMark/>
          </w:tcPr>
          <w:p w14:paraId="274DEDBB" w14:textId="77777777" w:rsidR="00000000" w:rsidRDefault="00195E73">
            <w:pPr>
              <w:rPr>
                <w:rFonts w:eastAsia="Times New Roman"/>
                <w:sz w:val="20"/>
                <w:szCs w:val="20"/>
              </w:rPr>
            </w:pPr>
          </w:p>
        </w:tc>
        <w:tc>
          <w:tcPr>
            <w:tcW w:w="5" w:type="pct"/>
            <w:vAlign w:val="center"/>
            <w:hideMark/>
          </w:tcPr>
          <w:p w14:paraId="73A5F613" w14:textId="77777777" w:rsidR="00000000" w:rsidRDefault="00195E73">
            <w:pPr>
              <w:rPr>
                <w:rFonts w:eastAsia="Times New Roman"/>
                <w:sz w:val="20"/>
                <w:szCs w:val="20"/>
              </w:rPr>
            </w:pPr>
          </w:p>
        </w:tc>
        <w:tc>
          <w:tcPr>
            <w:tcW w:w="50" w:type="pct"/>
            <w:vAlign w:val="center"/>
            <w:hideMark/>
          </w:tcPr>
          <w:p w14:paraId="40DE1A42" w14:textId="77777777" w:rsidR="00000000" w:rsidRDefault="00195E73">
            <w:pPr>
              <w:rPr>
                <w:rFonts w:eastAsia="Times New Roman"/>
                <w:sz w:val="20"/>
                <w:szCs w:val="20"/>
              </w:rPr>
            </w:pPr>
          </w:p>
        </w:tc>
        <w:tc>
          <w:tcPr>
            <w:tcW w:w="581" w:type="pct"/>
            <w:vAlign w:val="center"/>
            <w:hideMark/>
          </w:tcPr>
          <w:p w14:paraId="23A22A6C" w14:textId="77777777" w:rsidR="00000000" w:rsidRDefault="00195E73">
            <w:pPr>
              <w:rPr>
                <w:rFonts w:eastAsia="Times New Roman"/>
                <w:sz w:val="20"/>
                <w:szCs w:val="20"/>
              </w:rPr>
            </w:pPr>
          </w:p>
        </w:tc>
        <w:tc>
          <w:tcPr>
            <w:tcW w:w="50" w:type="pct"/>
            <w:vAlign w:val="center"/>
            <w:hideMark/>
          </w:tcPr>
          <w:p w14:paraId="1F423FE9" w14:textId="77777777" w:rsidR="00000000" w:rsidRDefault="00195E73">
            <w:pPr>
              <w:rPr>
                <w:rFonts w:eastAsia="Times New Roman"/>
                <w:sz w:val="20"/>
                <w:szCs w:val="20"/>
              </w:rPr>
            </w:pPr>
          </w:p>
        </w:tc>
      </w:tr>
      <w:tr w:rsidR="00000000" w14:paraId="1816F617" w14:textId="77777777">
        <w:trPr>
          <w:divId w:val="1739815712"/>
          <w:jc w:val="center"/>
        </w:trPr>
        <w:tc>
          <w:tcPr>
            <w:tcW w:w="0" w:type="auto"/>
            <w:gridSpan w:val="3"/>
            <w:tcMar>
              <w:top w:w="15" w:type="dxa"/>
              <w:left w:w="20" w:type="dxa"/>
              <w:bottom w:w="15" w:type="dxa"/>
              <w:right w:w="20" w:type="dxa"/>
            </w:tcMar>
            <w:vAlign w:val="bottom"/>
            <w:hideMark/>
          </w:tcPr>
          <w:p w14:paraId="057FE416"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165DDCC3"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29EAE43B" w14:textId="77777777" w:rsidR="00000000" w:rsidRDefault="00195E73">
            <w:pPr>
              <w:jc w:val="center"/>
              <w:rPr>
                <w:rFonts w:eastAsia="Times New Roman"/>
              </w:rPr>
            </w:pPr>
          </w:p>
        </w:tc>
        <w:tc>
          <w:tcPr>
            <w:tcW w:w="0" w:type="auto"/>
            <w:gridSpan w:val="3"/>
            <w:vAlign w:val="center"/>
            <w:hideMark/>
          </w:tcPr>
          <w:p w14:paraId="33427889" w14:textId="77777777" w:rsidR="00000000" w:rsidRDefault="00195E73">
            <w:pPr>
              <w:rPr>
                <w:rFonts w:eastAsia="Times New Roman"/>
                <w:sz w:val="20"/>
                <w:szCs w:val="20"/>
              </w:rPr>
            </w:pPr>
          </w:p>
        </w:tc>
      </w:tr>
      <w:tr w:rsidR="00000000" w14:paraId="266E7E25" w14:textId="77777777">
        <w:trPr>
          <w:divId w:val="1739815712"/>
          <w:jc w:val="center"/>
        </w:trPr>
        <w:tc>
          <w:tcPr>
            <w:tcW w:w="0" w:type="auto"/>
            <w:gridSpan w:val="3"/>
            <w:tcMar>
              <w:top w:w="15" w:type="dxa"/>
              <w:left w:w="20" w:type="dxa"/>
              <w:bottom w:w="15" w:type="dxa"/>
              <w:right w:w="20" w:type="dxa"/>
            </w:tcMar>
            <w:vAlign w:val="bottom"/>
            <w:hideMark/>
          </w:tcPr>
          <w:p w14:paraId="43EB8D6C"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E9D437F"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3233421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7C50B6"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033151D4" w14:textId="77777777" w:rsidR="00000000" w:rsidRDefault="00195E73">
            <w:pPr>
              <w:rPr>
                <w:rFonts w:eastAsia="Times New Roman"/>
                <w:sz w:val="20"/>
                <w:szCs w:val="20"/>
              </w:rPr>
            </w:pPr>
          </w:p>
        </w:tc>
        <w:tc>
          <w:tcPr>
            <w:tcW w:w="0" w:type="auto"/>
            <w:vAlign w:val="center"/>
            <w:hideMark/>
          </w:tcPr>
          <w:p w14:paraId="161CE14C" w14:textId="77777777" w:rsidR="00000000" w:rsidRDefault="00195E73">
            <w:pPr>
              <w:rPr>
                <w:rFonts w:eastAsia="Times New Roman"/>
                <w:sz w:val="20"/>
                <w:szCs w:val="20"/>
              </w:rPr>
            </w:pPr>
          </w:p>
        </w:tc>
        <w:tc>
          <w:tcPr>
            <w:tcW w:w="0" w:type="auto"/>
            <w:vAlign w:val="center"/>
            <w:hideMark/>
          </w:tcPr>
          <w:p w14:paraId="6CFBEBB0" w14:textId="77777777" w:rsidR="00000000" w:rsidRDefault="00195E73">
            <w:pPr>
              <w:rPr>
                <w:rFonts w:eastAsia="Times New Roman"/>
                <w:sz w:val="20"/>
                <w:szCs w:val="20"/>
              </w:rPr>
            </w:pPr>
          </w:p>
        </w:tc>
        <w:tc>
          <w:tcPr>
            <w:tcW w:w="0" w:type="auto"/>
            <w:vAlign w:val="center"/>
            <w:hideMark/>
          </w:tcPr>
          <w:p w14:paraId="178DAFEF" w14:textId="77777777" w:rsidR="00000000" w:rsidRDefault="00195E73">
            <w:pPr>
              <w:rPr>
                <w:rFonts w:eastAsia="Times New Roman"/>
                <w:sz w:val="20"/>
                <w:szCs w:val="20"/>
              </w:rPr>
            </w:pPr>
          </w:p>
        </w:tc>
        <w:tc>
          <w:tcPr>
            <w:tcW w:w="0" w:type="auto"/>
            <w:vAlign w:val="center"/>
            <w:hideMark/>
          </w:tcPr>
          <w:p w14:paraId="31A31401" w14:textId="77777777" w:rsidR="00000000" w:rsidRDefault="00195E73">
            <w:pPr>
              <w:rPr>
                <w:rFonts w:eastAsia="Times New Roman"/>
                <w:sz w:val="20"/>
                <w:szCs w:val="20"/>
              </w:rPr>
            </w:pPr>
          </w:p>
        </w:tc>
        <w:tc>
          <w:tcPr>
            <w:tcW w:w="0" w:type="auto"/>
            <w:vAlign w:val="center"/>
            <w:hideMark/>
          </w:tcPr>
          <w:p w14:paraId="58433C55" w14:textId="77777777" w:rsidR="00000000" w:rsidRDefault="00195E73">
            <w:pPr>
              <w:rPr>
                <w:rFonts w:eastAsia="Times New Roman"/>
                <w:sz w:val="20"/>
                <w:szCs w:val="20"/>
              </w:rPr>
            </w:pPr>
          </w:p>
        </w:tc>
      </w:tr>
      <w:tr w:rsidR="00000000" w14:paraId="43968AFF" w14:textId="77777777">
        <w:trPr>
          <w:divId w:val="1739815712"/>
          <w:jc w:val="center"/>
        </w:trPr>
        <w:tc>
          <w:tcPr>
            <w:tcW w:w="0" w:type="auto"/>
            <w:gridSpan w:val="3"/>
            <w:tcMar>
              <w:top w:w="15" w:type="dxa"/>
              <w:left w:w="20" w:type="dxa"/>
              <w:bottom w:w="15" w:type="dxa"/>
              <w:right w:w="20" w:type="dxa"/>
            </w:tcMar>
            <w:vAlign w:val="bottom"/>
            <w:hideMark/>
          </w:tcPr>
          <w:p w14:paraId="77EA0F2E"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9554B53"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0837937C" w14:textId="77777777" w:rsidR="00000000" w:rsidRDefault="00195E73">
            <w:pPr>
              <w:jc w:val="center"/>
              <w:rPr>
                <w:rFonts w:eastAsia="Times New Roman"/>
              </w:rPr>
            </w:pPr>
          </w:p>
        </w:tc>
        <w:tc>
          <w:tcPr>
            <w:tcW w:w="0" w:type="auto"/>
            <w:gridSpan w:val="3"/>
            <w:vAlign w:val="center"/>
            <w:hideMark/>
          </w:tcPr>
          <w:p w14:paraId="5721B7D7" w14:textId="77777777" w:rsidR="00000000" w:rsidRDefault="00195E73">
            <w:pPr>
              <w:rPr>
                <w:rFonts w:eastAsia="Times New Roman"/>
                <w:sz w:val="20"/>
                <w:szCs w:val="20"/>
              </w:rPr>
            </w:pPr>
          </w:p>
        </w:tc>
      </w:tr>
      <w:tr w:rsidR="00000000" w14:paraId="4D20B2CE" w14:textId="77777777">
        <w:trPr>
          <w:divId w:val="1739815712"/>
          <w:jc w:val="center"/>
        </w:trPr>
        <w:tc>
          <w:tcPr>
            <w:tcW w:w="0" w:type="auto"/>
            <w:gridSpan w:val="3"/>
            <w:shd w:val="clear" w:color="auto" w:fill="CCEEFF"/>
            <w:tcMar>
              <w:top w:w="30" w:type="dxa"/>
              <w:left w:w="20" w:type="dxa"/>
              <w:bottom w:w="30" w:type="dxa"/>
              <w:right w:w="20" w:type="dxa"/>
            </w:tcMar>
            <w:vAlign w:val="bottom"/>
            <w:hideMark/>
          </w:tcPr>
          <w:p w14:paraId="015F34F4" w14:textId="77777777" w:rsidR="00000000" w:rsidRDefault="00195E73">
            <w:pPr>
              <w:rPr>
                <w:rFonts w:eastAsia="Times New Roman"/>
              </w:rPr>
            </w:pPr>
            <w:r>
              <w:rPr>
                <w:rFonts w:eastAsia="Times New Roman"/>
                <w:color w:val="000000"/>
                <w:sz w:val="20"/>
                <w:szCs w:val="20"/>
              </w:rPr>
              <w:t>Energ</w:t>
            </w:r>
            <w:r>
              <w:rPr>
                <w:rFonts w:eastAsia="Times New Roman"/>
                <w:color w:val="000000"/>
                <w:sz w:val="20"/>
                <w:szCs w:val="20"/>
              </w:rPr>
              <w:t>y</w:t>
            </w:r>
          </w:p>
        </w:tc>
        <w:tc>
          <w:tcPr>
            <w:tcW w:w="0" w:type="auto"/>
            <w:shd w:val="clear" w:color="auto" w:fill="CCEEFF"/>
            <w:tcMar>
              <w:top w:w="30" w:type="dxa"/>
              <w:left w:w="20" w:type="dxa"/>
              <w:bottom w:w="30" w:type="dxa"/>
              <w:right w:w="15" w:type="dxa"/>
            </w:tcMar>
            <w:vAlign w:val="bottom"/>
            <w:hideMark/>
          </w:tcPr>
          <w:p w14:paraId="3C7F1FB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3F0E70E" w14:textId="77777777" w:rsidR="00000000" w:rsidRDefault="00195E73">
            <w:pPr>
              <w:jc w:val="right"/>
              <w:rPr>
                <w:rFonts w:eastAsia="Times New Roman"/>
              </w:rPr>
            </w:pPr>
            <w:r>
              <w:rPr>
                <w:rFonts w:eastAsia="Times New Roman"/>
                <w:color w:val="000000"/>
                <w:sz w:val="20"/>
                <w:szCs w:val="20"/>
              </w:rPr>
              <w:t>652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BDCEA2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0F29D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1C4F0F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B5C7DEE" w14:textId="77777777" w:rsidR="00000000" w:rsidRDefault="00195E73">
            <w:pPr>
              <w:jc w:val="right"/>
              <w:rPr>
                <w:rFonts w:eastAsia="Times New Roman"/>
              </w:rPr>
            </w:pPr>
            <w:r>
              <w:rPr>
                <w:rFonts w:eastAsia="Times New Roman"/>
                <w:color w:val="000000"/>
                <w:sz w:val="20"/>
                <w:szCs w:val="20"/>
              </w:rPr>
              <w:t>668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65803A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9900E1A" w14:textId="77777777" w:rsidR="00000000" w:rsidRDefault="00195E73">
            <w:pPr>
              <w:rPr>
                <w:rFonts w:eastAsia="Times New Roman"/>
                <w:sz w:val="20"/>
                <w:szCs w:val="20"/>
              </w:rPr>
            </w:pPr>
          </w:p>
        </w:tc>
        <w:tc>
          <w:tcPr>
            <w:tcW w:w="0" w:type="auto"/>
            <w:vAlign w:val="center"/>
            <w:hideMark/>
          </w:tcPr>
          <w:p w14:paraId="5679FABF" w14:textId="77777777" w:rsidR="00000000" w:rsidRDefault="00195E73">
            <w:pPr>
              <w:rPr>
                <w:rFonts w:eastAsia="Times New Roman"/>
                <w:sz w:val="20"/>
                <w:szCs w:val="20"/>
              </w:rPr>
            </w:pPr>
          </w:p>
        </w:tc>
        <w:tc>
          <w:tcPr>
            <w:tcW w:w="0" w:type="auto"/>
            <w:vAlign w:val="center"/>
            <w:hideMark/>
          </w:tcPr>
          <w:p w14:paraId="20956288" w14:textId="77777777" w:rsidR="00000000" w:rsidRDefault="00195E73">
            <w:pPr>
              <w:rPr>
                <w:rFonts w:eastAsia="Times New Roman"/>
                <w:sz w:val="20"/>
                <w:szCs w:val="20"/>
              </w:rPr>
            </w:pPr>
          </w:p>
        </w:tc>
        <w:tc>
          <w:tcPr>
            <w:tcW w:w="0" w:type="auto"/>
            <w:vAlign w:val="center"/>
            <w:hideMark/>
          </w:tcPr>
          <w:p w14:paraId="1DF1B986" w14:textId="77777777" w:rsidR="00000000" w:rsidRDefault="00195E73">
            <w:pPr>
              <w:rPr>
                <w:rFonts w:eastAsia="Times New Roman"/>
                <w:sz w:val="20"/>
                <w:szCs w:val="20"/>
              </w:rPr>
            </w:pPr>
          </w:p>
        </w:tc>
        <w:tc>
          <w:tcPr>
            <w:tcW w:w="0" w:type="auto"/>
            <w:vAlign w:val="center"/>
            <w:hideMark/>
          </w:tcPr>
          <w:p w14:paraId="5D671368" w14:textId="77777777" w:rsidR="00000000" w:rsidRDefault="00195E73">
            <w:pPr>
              <w:rPr>
                <w:rFonts w:eastAsia="Times New Roman"/>
                <w:sz w:val="20"/>
                <w:szCs w:val="20"/>
              </w:rPr>
            </w:pPr>
          </w:p>
        </w:tc>
        <w:tc>
          <w:tcPr>
            <w:tcW w:w="0" w:type="auto"/>
            <w:vAlign w:val="center"/>
            <w:hideMark/>
          </w:tcPr>
          <w:p w14:paraId="566072CB" w14:textId="77777777" w:rsidR="00000000" w:rsidRDefault="00195E73">
            <w:pPr>
              <w:rPr>
                <w:rFonts w:eastAsia="Times New Roman"/>
                <w:sz w:val="20"/>
                <w:szCs w:val="20"/>
              </w:rPr>
            </w:pPr>
          </w:p>
        </w:tc>
      </w:tr>
      <w:tr w:rsidR="00000000" w14:paraId="54670AD7" w14:textId="77777777">
        <w:trPr>
          <w:divId w:val="1739815712"/>
          <w:jc w:val="center"/>
        </w:trPr>
        <w:tc>
          <w:tcPr>
            <w:tcW w:w="0" w:type="auto"/>
            <w:gridSpan w:val="3"/>
            <w:shd w:val="clear" w:color="auto" w:fill="FFFFFF"/>
            <w:tcMar>
              <w:top w:w="30" w:type="dxa"/>
              <w:left w:w="20" w:type="dxa"/>
              <w:bottom w:w="30" w:type="dxa"/>
              <w:right w:w="20" w:type="dxa"/>
            </w:tcMar>
            <w:vAlign w:val="bottom"/>
            <w:hideMark/>
          </w:tcPr>
          <w:p w14:paraId="7A78799A" w14:textId="77777777" w:rsidR="00000000" w:rsidRDefault="00195E73">
            <w:pPr>
              <w:rPr>
                <w:rFonts w:eastAsia="Times New Roman"/>
              </w:rPr>
            </w:pPr>
            <w:r>
              <w:rPr>
                <w:rFonts w:eastAsia="Times New Roman"/>
                <w:color w:val="000000"/>
                <w:sz w:val="20"/>
                <w:szCs w:val="20"/>
              </w:rPr>
              <w:t>Automotiv</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7ADDF0F1" w14:textId="77777777" w:rsidR="00000000" w:rsidRDefault="00195E73">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F71524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96D2F1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B4C7B8" w14:textId="77777777" w:rsidR="00000000" w:rsidRDefault="00195E73">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E5EBE6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3BC3A9C" w14:textId="77777777" w:rsidR="00000000" w:rsidRDefault="00195E73">
            <w:pPr>
              <w:rPr>
                <w:rFonts w:eastAsia="Times New Roman"/>
                <w:sz w:val="20"/>
                <w:szCs w:val="20"/>
              </w:rPr>
            </w:pPr>
          </w:p>
        </w:tc>
        <w:tc>
          <w:tcPr>
            <w:tcW w:w="0" w:type="auto"/>
            <w:vAlign w:val="center"/>
            <w:hideMark/>
          </w:tcPr>
          <w:p w14:paraId="5721326F" w14:textId="77777777" w:rsidR="00000000" w:rsidRDefault="00195E73">
            <w:pPr>
              <w:rPr>
                <w:rFonts w:eastAsia="Times New Roman"/>
                <w:sz w:val="20"/>
                <w:szCs w:val="20"/>
              </w:rPr>
            </w:pPr>
          </w:p>
        </w:tc>
        <w:tc>
          <w:tcPr>
            <w:tcW w:w="0" w:type="auto"/>
            <w:vAlign w:val="center"/>
            <w:hideMark/>
          </w:tcPr>
          <w:p w14:paraId="2F98BC45" w14:textId="77777777" w:rsidR="00000000" w:rsidRDefault="00195E73">
            <w:pPr>
              <w:rPr>
                <w:rFonts w:eastAsia="Times New Roman"/>
                <w:sz w:val="20"/>
                <w:szCs w:val="20"/>
              </w:rPr>
            </w:pPr>
          </w:p>
        </w:tc>
        <w:tc>
          <w:tcPr>
            <w:tcW w:w="0" w:type="auto"/>
            <w:vAlign w:val="center"/>
            <w:hideMark/>
          </w:tcPr>
          <w:p w14:paraId="117B64C8" w14:textId="77777777" w:rsidR="00000000" w:rsidRDefault="00195E73">
            <w:pPr>
              <w:rPr>
                <w:rFonts w:eastAsia="Times New Roman"/>
                <w:sz w:val="20"/>
                <w:szCs w:val="20"/>
              </w:rPr>
            </w:pPr>
          </w:p>
        </w:tc>
        <w:tc>
          <w:tcPr>
            <w:tcW w:w="0" w:type="auto"/>
            <w:vAlign w:val="center"/>
            <w:hideMark/>
          </w:tcPr>
          <w:p w14:paraId="45D60B99" w14:textId="77777777" w:rsidR="00000000" w:rsidRDefault="00195E73">
            <w:pPr>
              <w:rPr>
                <w:rFonts w:eastAsia="Times New Roman"/>
                <w:sz w:val="20"/>
                <w:szCs w:val="20"/>
              </w:rPr>
            </w:pPr>
          </w:p>
        </w:tc>
        <w:tc>
          <w:tcPr>
            <w:tcW w:w="0" w:type="auto"/>
            <w:vAlign w:val="center"/>
            <w:hideMark/>
          </w:tcPr>
          <w:p w14:paraId="3F87B63D" w14:textId="77777777" w:rsidR="00000000" w:rsidRDefault="00195E73">
            <w:pPr>
              <w:rPr>
                <w:rFonts w:eastAsia="Times New Roman"/>
                <w:sz w:val="20"/>
                <w:szCs w:val="20"/>
              </w:rPr>
            </w:pPr>
          </w:p>
        </w:tc>
      </w:tr>
      <w:tr w:rsidR="00000000" w14:paraId="4318D4DE" w14:textId="77777777">
        <w:trPr>
          <w:divId w:val="1739815712"/>
          <w:jc w:val="center"/>
        </w:trPr>
        <w:tc>
          <w:tcPr>
            <w:tcW w:w="0" w:type="auto"/>
            <w:gridSpan w:val="3"/>
            <w:shd w:val="clear" w:color="auto" w:fill="CCEEFF"/>
            <w:tcMar>
              <w:top w:w="30" w:type="dxa"/>
              <w:left w:w="20" w:type="dxa"/>
              <w:bottom w:w="30" w:type="dxa"/>
              <w:right w:w="20" w:type="dxa"/>
            </w:tcMar>
            <w:vAlign w:val="bottom"/>
            <w:hideMark/>
          </w:tcPr>
          <w:p w14:paraId="1017BB4A" w14:textId="77777777" w:rsidR="00000000" w:rsidRDefault="00195E73">
            <w:pPr>
              <w:rPr>
                <w:rFonts w:eastAsia="Times New Roman"/>
              </w:rPr>
            </w:pPr>
            <w:r>
              <w:rPr>
                <w:rFonts w:eastAsia="Times New Roman"/>
                <w:color w:val="000000"/>
                <w:sz w:val="20"/>
                <w:szCs w:val="20"/>
              </w:rPr>
              <w:t>Food Packagin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14:paraId="7978CFE9" w14:textId="77777777" w:rsidR="00000000" w:rsidRDefault="00195E73">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ACD092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6E5834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E9E74C" w14:textId="77777777" w:rsidR="00000000" w:rsidRDefault="00195E73">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15B4AC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6501A4A" w14:textId="77777777" w:rsidR="00000000" w:rsidRDefault="00195E73">
            <w:pPr>
              <w:rPr>
                <w:rFonts w:eastAsia="Times New Roman"/>
                <w:sz w:val="20"/>
                <w:szCs w:val="20"/>
              </w:rPr>
            </w:pPr>
          </w:p>
        </w:tc>
        <w:tc>
          <w:tcPr>
            <w:tcW w:w="0" w:type="auto"/>
            <w:vAlign w:val="center"/>
            <w:hideMark/>
          </w:tcPr>
          <w:p w14:paraId="7A0D87F5" w14:textId="77777777" w:rsidR="00000000" w:rsidRDefault="00195E73">
            <w:pPr>
              <w:rPr>
                <w:rFonts w:eastAsia="Times New Roman"/>
                <w:sz w:val="20"/>
                <w:szCs w:val="20"/>
              </w:rPr>
            </w:pPr>
          </w:p>
        </w:tc>
        <w:tc>
          <w:tcPr>
            <w:tcW w:w="0" w:type="auto"/>
            <w:vAlign w:val="center"/>
            <w:hideMark/>
          </w:tcPr>
          <w:p w14:paraId="7425C49A" w14:textId="77777777" w:rsidR="00000000" w:rsidRDefault="00195E73">
            <w:pPr>
              <w:rPr>
                <w:rFonts w:eastAsia="Times New Roman"/>
                <w:sz w:val="20"/>
                <w:szCs w:val="20"/>
              </w:rPr>
            </w:pPr>
          </w:p>
        </w:tc>
        <w:tc>
          <w:tcPr>
            <w:tcW w:w="0" w:type="auto"/>
            <w:vAlign w:val="center"/>
            <w:hideMark/>
          </w:tcPr>
          <w:p w14:paraId="67F438DC" w14:textId="77777777" w:rsidR="00000000" w:rsidRDefault="00195E73">
            <w:pPr>
              <w:rPr>
                <w:rFonts w:eastAsia="Times New Roman"/>
                <w:sz w:val="20"/>
                <w:szCs w:val="20"/>
              </w:rPr>
            </w:pPr>
          </w:p>
        </w:tc>
        <w:tc>
          <w:tcPr>
            <w:tcW w:w="0" w:type="auto"/>
            <w:vAlign w:val="center"/>
            <w:hideMark/>
          </w:tcPr>
          <w:p w14:paraId="1F3645F0" w14:textId="77777777" w:rsidR="00000000" w:rsidRDefault="00195E73">
            <w:pPr>
              <w:rPr>
                <w:rFonts w:eastAsia="Times New Roman"/>
                <w:sz w:val="20"/>
                <w:szCs w:val="20"/>
              </w:rPr>
            </w:pPr>
          </w:p>
        </w:tc>
        <w:tc>
          <w:tcPr>
            <w:tcW w:w="0" w:type="auto"/>
            <w:vAlign w:val="center"/>
            <w:hideMark/>
          </w:tcPr>
          <w:p w14:paraId="0025BEE4" w14:textId="77777777" w:rsidR="00000000" w:rsidRDefault="00195E73">
            <w:pPr>
              <w:rPr>
                <w:rFonts w:eastAsia="Times New Roman"/>
                <w:sz w:val="20"/>
                <w:szCs w:val="20"/>
              </w:rPr>
            </w:pPr>
          </w:p>
        </w:tc>
      </w:tr>
      <w:tr w:rsidR="00000000" w14:paraId="77F725CE" w14:textId="77777777">
        <w:trPr>
          <w:divId w:val="1739815712"/>
          <w:jc w:val="center"/>
        </w:trPr>
        <w:tc>
          <w:tcPr>
            <w:tcW w:w="0" w:type="auto"/>
            <w:gridSpan w:val="3"/>
            <w:shd w:val="clear" w:color="auto" w:fill="FFFFFF"/>
            <w:tcMar>
              <w:top w:w="30" w:type="dxa"/>
              <w:left w:w="20" w:type="dxa"/>
              <w:bottom w:w="30" w:type="dxa"/>
              <w:right w:w="20" w:type="dxa"/>
            </w:tcMar>
            <w:vAlign w:val="bottom"/>
            <w:hideMark/>
          </w:tcPr>
          <w:p w14:paraId="2AAB30A7" w14:textId="77777777" w:rsidR="00000000" w:rsidRDefault="00195E73">
            <w:pPr>
              <w:rPr>
                <w:rFonts w:eastAsia="Times New Roman"/>
              </w:rPr>
            </w:pPr>
            <w:r>
              <w:rPr>
                <w:rFonts w:eastAsia="Times New Roman"/>
                <w:color w:val="000000"/>
                <w:sz w:val="20"/>
                <w:szCs w:val="20"/>
              </w:rPr>
              <w:t>Metal</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4763D08"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0FFE8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BA4315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06E96B" w14:textId="77777777" w:rsidR="00000000" w:rsidRDefault="00195E73">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5359AE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48401C2" w14:textId="77777777" w:rsidR="00000000" w:rsidRDefault="00195E73">
            <w:pPr>
              <w:rPr>
                <w:rFonts w:eastAsia="Times New Roman"/>
                <w:sz w:val="20"/>
                <w:szCs w:val="20"/>
              </w:rPr>
            </w:pPr>
          </w:p>
        </w:tc>
        <w:tc>
          <w:tcPr>
            <w:tcW w:w="0" w:type="auto"/>
            <w:vAlign w:val="center"/>
            <w:hideMark/>
          </w:tcPr>
          <w:p w14:paraId="27443CA8" w14:textId="77777777" w:rsidR="00000000" w:rsidRDefault="00195E73">
            <w:pPr>
              <w:rPr>
                <w:rFonts w:eastAsia="Times New Roman"/>
                <w:sz w:val="20"/>
                <w:szCs w:val="20"/>
              </w:rPr>
            </w:pPr>
          </w:p>
        </w:tc>
        <w:tc>
          <w:tcPr>
            <w:tcW w:w="0" w:type="auto"/>
            <w:vAlign w:val="center"/>
            <w:hideMark/>
          </w:tcPr>
          <w:p w14:paraId="7FD7AFF3" w14:textId="77777777" w:rsidR="00000000" w:rsidRDefault="00195E73">
            <w:pPr>
              <w:rPr>
                <w:rFonts w:eastAsia="Times New Roman"/>
                <w:sz w:val="20"/>
                <w:szCs w:val="20"/>
              </w:rPr>
            </w:pPr>
          </w:p>
        </w:tc>
        <w:tc>
          <w:tcPr>
            <w:tcW w:w="0" w:type="auto"/>
            <w:vAlign w:val="center"/>
            <w:hideMark/>
          </w:tcPr>
          <w:p w14:paraId="108602F4" w14:textId="77777777" w:rsidR="00000000" w:rsidRDefault="00195E73">
            <w:pPr>
              <w:rPr>
                <w:rFonts w:eastAsia="Times New Roman"/>
                <w:sz w:val="20"/>
                <w:szCs w:val="20"/>
              </w:rPr>
            </w:pPr>
          </w:p>
        </w:tc>
        <w:tc>
          <w:tcPr>
            <w:tcW w:w="0" w:type="auto"/>
            <w:vAlign w:val="center"/>
            <w:hideMark/>
          </w:tcPr>
          <w:p w14:paraId="002BFFEB" w14:textId="77777777" w:rsidR="00000000" w:rsidRDefault="00195E73">
            <w:pPr>
              <w:rPr>
                <w:rFonts w:eastAsia="Times New Roman"/>
                <w:sz w:val="20"/>
                <w:szCs w:val="20"/>
              </w:rPr>
            </w:pPr>
          </w:p>
        </w:tc>
        <w:tc>
          <w:tcPr>
            <w:tcW w:w="0" w:type="auto"/>
            <w:vAlign w:val="center"/>
            <w:hideMark/>
          </w:tcPr>
          <w:p w14:paraId="33059378" w14:textId="77777777" w:rsidR="00000000" w:rsidRDefault="00195E73">
            <w:pPr>
              <w:rPr>
                <w:rFonts w:eastAsia="Times New Roman"/>
                <w:sz w:val="20"/>
                <w:szCs w:val="20"/>
              </w:rPr>
            </w:pPr>
          </w:p>
        </w:tc>
      </w:tr>
      <w:tr w:rsidR="00000000" w14:paraId="1780D85C" w14:textId="77777777">
        <w:trPr>
          <w:divId w:val="1739815712"/>
          <w:jc w:val="center"/>
        </w:trPr>
        <w:tc>
          <w:tcPr>
            <w:tcW w:w="0" w:type="auto"/>
            <w:gridSpan w:val="3"/>
            <w:shd w:val="clear" w:color="auto" w:fill="CCEEFF"/>
            <w:tcMar>
              <w:top w:w="30" w:type="dxa"/>
              <w:left w:w="20" w:type="dxa"/>
              <w:bottom w:w="30" w:type="dxa"/>
              <w:right w:w="20" w:type="dxa"/>
            </w:tcMar>
            <w:vAlign w:val="bottom"/>
            <w:hideMark/>
          </w:tcPr>
          <w:p w14:paraId="5F723570" w14:textId="77777777" w:rsidR="00000000" w:rsidRDefault="00195E73">
            <w:pPr>
              <w:rPr>
                <w:rFonts w:eastAsia="Times New Roman"/>
              </w:rPr>
            </w:pPr>
            <w:r>
              <w:rPr>
                <w:rFonts w:eastAsia="Times New Roman"/>
                <w:color w:val="000000"/>
                <w:sz w:val="20"/>
                <w:szCs w:val="20"/>
              </w:rPr>
              <w:t>Real Estat</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3B78EF37" w14:textId="77777777" w:rsidR="00000000" w:rsidRDefault="00195E73">
            <w:pPr>
              <w:jc w:val="right"/>
              <w:rPr>
                <w:rFonts w:eastAsia="Times New Roman"/>
              </w:rPr>
            </w:pPr>
            <w:r>
              <w:rPr>
                <w:rFonts w:eastAsia="Times New Roman"/>
                <w:color w:val="000000"/>
                <w:sz w:val="20"/>
                <w:szCs w:val="20"/>
              </w:rPr>
              <w:t>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7DEF8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F5B63D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1104DE" w14:textId="77777777" w:rsidR="00000000" w:rsidRDefault="00195E73">
            <w:pPr>
              <w:jc w:val="right"/>
              <w:rPr>
                <w:rFonts w:eastAsia="Times New Roman"/>
              </w:rPr>
            </w:pPr>
            <w:r>
              <w:rPr>
                <w:rFonts w:eastAsia="Times New Roman"/>
                <w:color w:val="000000"/>
                <w:sz w:val="20"/>
                <w:szCs w:val="20"/>
              </w:rPr>
              <w:t>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7F49E7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E708264" w14:textId="77777777" w:rsidR="00000000" w:rsidRDefault="00195E73">
            <w:pPr>
              <w:rPr>
                <w:rFonts w:eastAsia="Times New Roman"/>
                <w:sz w:val="20"/>
                <w:szCs w:val="20"/>
              </w:rPr>
            </w:pPr>
          </w:p>
        </w:tc>
        <w:tc>
          <w:tcPr>
            <w:tcW w:w="0" w:type="auto"/>
            <w:vAlign w:val="center"/>
            <w:hideMark/>
          </w:tcPr>
          <w:p w14:paraId="7D470885" w14:textId="77777777" w:rsidR="00000000" w:rsidRDefault="00195E73">
            <w:pPr>
              <w:rPr>
                <w:rFonts w:eastAsia="Times New Roman"/>
                <w:sz w:val="20"/>
                <w:szCs w:val="20"/>
              </w:rPr>
            </w:pPr>
          </w:p>
        </w:tc>
        <w:tc>
          <w:tcPr>
            <w:tcW w:w="0" w:type="auto"/>
            <w:vAlign w:val="center"/>
            <w:hideMark/>
          </w:tcPr>
          <w:p w14:paraId="291EE07C" w14:textId="77777777" w:rsidR="00000000" w:rsidRDefault="00195E73">
            <w:pPr>
              <w:rPr>
                <w:rFonts w:eastAsia="Times New Roman"/>
                <w:sz w:val="20"/>
                <w:szCs w:val="20"/>
              </w:rPr>
            </w:pPr>
          </w:p>
        </w:tc>
        <w:tc>
          <w:tcPr>
            <w:tcW w:w="0" w:type="auto"/>
            <w:vAlign w:val="center"/>
            <w:hideMark/>
          </w:tcPr>
          <w:p w14:paraId="2096CCCA" w14:textId="77777777" w:rsidR="00000000" w:rsidRDefault="00195E73">
            <w:pPr>
              <w:rPr>
                <w:rFonts w:eastAsia="Times New Roman"/>
                <w:sz w:val="20"/>
                <w:szCs w:val="20"/>
              </w:rPr>
            </w:pPr>
          </w:p>
        </w:tc>
        <w:tc>
          <w:tcPr>
            <w:tcW w:w="0" w:type="auto"/>
            <w:vAlign w:val="center"/>
            <w:hideMark/>
          </w:tcPr>
          <w:p w14:paraId="543B2FC2" w14:textId="77777777" w:rsidR="00000000" w:rsidRDefault="00195E73">
            <w:pPr>
              <w:rPr>
                <w:rFonts w:eastAsia="Times New Roman"/>
                <w:sz w:val="20"/>
                <w:szCs w:val="20"/>
              </w:rPr>
            </w:pPr>
          </w:p>
        </w:tc>
        <w:tc>
          <w:tcPr>
            <w:tcW w:w="0" w:type="auto"/>
            <w:vAlign w:val="center"/>
            <w:hideMark/>
          </w:tcPr>
          <w:p w14:paraId="7DA3FF2A" w14:textId="77777777" w:rsidR="00000000" w:rsidRDefault="00195E73">
            <w:pPr>
              <w:rPr>
                <w:rFonts w:eastAsia="Times New Roman"/>
                <w:sz w:val="20"/>
                <w:szCs w:val="20"/>
              </w:rPr>
            </w:pPr>
          </w:p>
        </w:tc>
      </w:tr>
      <w:tr w:rsidR="00000000" w14:paraId="280E3784" w14:textId="77777777">
        <w:trPr>
          <w:divId w:val="1739815712"/>
          <w:jc w:val="center"/>
        </w:trPr>
        <w:tc>
          <w:tcPr>
            <w:tcW w:w="0" w:type="auto"/>
            <w:gridSpan w:val="3"/>
            <w:shd w:val="clear" w:color="auto" w:fill="FFFFFF"/>
            <w:tcMar>
              <w:top w:w="30" w:type="dxa"/>
              <w:left w:w="20" w:type="dxa"/>
              <w:bottom w:w="30" w:type="dxa"/>
              <w:right w:w="20" w:type="dxa"/>
            </w:tcMar>
            <w:vAlign w:val="bottom"/>
            <w:hideMark/>
          </w:tcPr>
          <w:p w14:paraId="44F8FCB1" w14:textId="77777777" w:rsidR="00000000" w:rsidRDefault="00195E73">
            <w:pPr>
              <w:rPr>
                <w:rFonts w:eastAsia="Times New Roman"/>
              </w:rPr>
            </w:pPr>
            <w:r>
              <w:rPr>
                <w:rFonts w:eastAsia="Times New Roman"/>
                <w:color w:val="000000"/>
                <w:sz w:val="20"/>
                <w:szCs w:val="20"/>
              </w:rPr>
              <w:t>Home Fashio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1F02DFC7"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C4FA81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6F0492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3446D8"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F8EC43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309E2EC" w14:textId="77777777" w:rsidR="00000000" w:rsidRDefault="00195E73">
            <w:pPr>
              <w:rPr>
                <w:rFonts w:eastAsia="Times New Roman"/>
                <w:sz w:val="20"/>
                <w:szCs w:val="20"/>
              </w:rPr>
            </w:pPr>
          </w:p>
        </w:tc>
        <w:tc>
          <w:tcPr>
            <w:tcW w:w="0" w:type="auto"/>
            <w:vAlign w:val="center"/>
            <w:hideMark/>
          </w:tcPr>
          <w:p w14:paraId="1D533E05" w14:textId="77777777" w:rsidR="00000000" w:rsidRDefault="00195E73">
            <w:pPr>
              <w:rPr>
                <w:rFonts w:eastAsia="Times New Roman"/>
                <w:sz w:val="20"/>
                <w:szCs w:val="20"/>
              </w:rPr>
            </w:pPr>
          </w:p>
        </w:tc>
        <w:tc>
          <w:tcPr>
            <w:tcW w:w="0" w:type="auto"/>
            <w:vAlign w:val="center"/>
            <w:hideMark/>
          </w:tcPr>
          <w:p w14:paraId="1D7F07D5" w14:textId="77777777" w:rsidR="00000000" w:rsidRDefault="00195E73">
            <w:pPr>
              <w:rPr>
                <w:rFonts w:eastAsia="Times New Roman"/>
                <w:sz w:val="20"/>
                <w:szCs w:val="20"/>
              </w:rPr>
            </w:pPr>
          </w:p>
        </w:tc>
        <w:tc>
          <w:tcPr>
            <w:tcW w:w="0" w:type="auto"/>
            <w:vAlign w:val="center"/>
            <w:hideMark/>
          </w:tcPr>
          <w:p w14:paraId="2D5C2AD5" w14:textId="77777777" w:rsidR="00000000" w:rsidRDefault="00195E73">
            <w:pPr>
              <w:rPr>
                <w:rFonts w:eastAsia="Times New Roman"/>
                <w:sz w:val="20"/>
                <w:szCs w:val="20"/>
              </w:rPr>
            </w:pPr>
          </w:p>
        </w:tc>
        <w:tc>
          <w:tcPr>
            <w:tcW w:w="0" w:type="auto"/>
            <w:vAlign w:val="center"/>
            <w:hideMark/>
          </w:tcPr>
          <w:p w14:paraId="43E3E68D" w14:textId="77777777" w:rsidR="00000000" w:rsidRDefault="00195E73">
            <w:pPr>
              <w:rPr>
                <w:rFonts w:eastAsia="Times New Roman"/>
                <w:sz w:val="20"/>
                <w:szCs w:val="20"/>
              </w:rPr>
            </w:pPr>
          </w:p>
        </w:tc>
        <w:tc>
          <w:tcPr>
            <w:tcW w:w="0" w:type="auto"/>
            <w:vAlign w:val="center"/>
            <w:hideMark/>
          </w:tcPr>
          <w:p w14:paraId="19107968" w14:textId="77777777" w:rsidR="00000000" w:rsidRDefault="00195E73">
            <w:pPr>
              <w:rPr>
                <w:rFonts w:eastAsia="Times New Roman"/>
                <w:sz w:val="20"/>
                <w:szCs w:val="20"/>
              </w:rPr>
            </w:pPr>
          </w:p>
        </w:tc>
      </w:tr>
      <w:tr w:rsidR="00000000" w14:paraId="24E9B6F8" w14:textId="77777777">
        <w:trPr>
          <w:divId w:val="1739815712"/>
          <w:jc w:val="center"/>
        </w:trPr>
        <w:tc>
          <w:tcPr>
            <w:tcW w:w="0" w:type="auto"/>
            <w:gridSpan w:val="3"/>
            <w:shd w:val="clear" w:color="auto" w:fill="CCEEFF"/>
            <w:tcMar>
              <w:top w:w="15" w:type="dxa"/>
              <w:left w:w="20" w:type="dxa"/>
              <w:bottom w:w="15" w:type="dxa"/>
              <w:right w:w="20" w:type="dxa"/>
            </w:tcMar>
            <w:vAlign w:val="bottom"/>
            <w:hideMark/>
          </w:tcPr>
          <w:p w14:paraId="4474874A"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576EE8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EA9D0A3" w14:textId="77777777" w:rsidR="00000000" w:rsidRDefault="00195E73">
            <w:pPr>
              <w:jc w:val="right"/>
              <w:rPr>
                <w:rFonts w:eastAsia="Times New Roman"/>
              </w:rPr>
            </w:pPr>
            <w:r>
              <w:rPr>
                <w:rFonts w:eastAsia="Times New Roman"/>
                <w:color w:val="000000"/>
                <w:sz w:val="20"/>
                <w:szCs w:val="20"/>
              </w:rPr>
              <w:t>777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3B5F95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72C8A9B"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2CE0EA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61545A2" w14:textId="77777777" w:rsidR="00000000" w:rsidRDefault="00195E73">
            <w:pPr>
              <w:jc w:val="right"/>
              <w:rPr>
                <w:rFonts w:eastAsia="Times New Roman"/>
              </w:rPr>
            </w:pPr>
            <w:r>
              <w:rPr>
                <w:rFonts w:eastAsia="Times New Roman"/>
                <w:color w:val="000000"/>
                <w:sz w:val="20"/>
                <w:szCs w:val="20"/>
              </w:rPr>
              <w:t>817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91D225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DBADF7C" w14:textId="77777777" w:rsidR="00000000" w:rsidRDefault="00195E73">
            <w:pPr>
              <w:rPr>
                <w:rFonts w:eastAsia="Times New Roman"/>
                <w:sz w:val="20"/>
                <w:szCs w:val="20"/>
              </w:rPr>
            </w:pPr>
          </w:p>
        </w:tc>
        <w:tc>
          <w:tcPr>
            <w:tcW w:w="0" w:type="auto"/>
            <w:vAlign w:val="center"/>
            <w:hideMark/>
          </w:tcPr>
          <w:p w14:paraId="751C7242" w14:textId="77777777" w:rsidR="00000000" w:rsidRDefault="00195E73">
            <w:pPr>
              <w:rPr>
                <w:rFonts w:eastAsia="Times New Roman"/>
                <w:sz w:val="20"/>
                <w:szCs w:val="20"/>
              </w:rPr>
            </w:pPr>
          </w:p>
        </w:tc>
        <w:tc>
          <w:tcPr>
            <w:tcW w:w="0" w:type="auto"/>
            <w:vAlign w:val="center"/>
            <w:hideMark/>
          </w:tcPr>
          <w:p w14:paraId="5F58427D" w14:textId="77777777" w:rsidR="00000000" w:rsidRDefault="00195E73">
            <w:pPr>
              <w:rPr>
                <w:rFonts w:eastAsia="Times New Roman"/>
                <w:sz w:val="20"/>
                <w:szCs w:val="20"/>
              </w:rPr>
            </w:pPr>
          </w:p>
        </w:tc>
        <w:tc>
          <w:tcPr>
            <w:tcW w:w="0" w:type="auto"/>
            <w:vAlign w:val="center"/>
            <w:hideMark/>
          </w:tcPr>
          <w:p w14:paraId="57FBA0A2" w14:textId="77777777" w:rsidR="00000000" w:rsidRDefault="00195E73">
            <w:pPr>
              <w:rPr>
                <w:rFonts w:eastAsia="Times New Roman"/>
                <w:sz w:val="20"/>
                <w:szCs w:val="20"/>
              </w:rPr>
            </w:pPr>
          </w:p>
        </w:tc>
        <w:tc>
          <w:tcPr>
            <w:tcW w:w="0" w:type="auto"/>
            <w:vAlign w:val="center"/>
            <w:hideMark/>
          </w:tcPr>
          <w:p w14:paraId="6B4E3DEA" w14:textId="77777777" w:rsidR="00000000" w:rsidRDefault="00195E73">
            <w:pPr>
              <w:rPr>
                <w:rFonts w:eastAsia="Times New Roman"/>
                <w:sz w:val="20"/>
                <w:szCs w:val="20"/>
              </w:rPr>
            </w:pPr>
          </w:p>
        </w:tc>
        <w:tc>
          <w:tcPr>
            <w:tcW w:w="0" w:type="auto"/>
            <w:vAlign w:val="center"/>
            <w:hideMark/>
          </w:tcPr>
          <w:p w14:paraId="33AA3CC2" w14:textId="77777777" w:rsidR="00000000" w:rsidRDefault="00195E73">
            <w:pPr>
              <w:rPr>
                <w:rFonts w:eastAsia="Times New Roman"/>
                <w:sz w:val="20"/>
                <w:szCs w:val="20"/>
              </w:rPr>
            </w:pPr>
          </w:p>
        </w:tc>
      </w:tr>
    </w:tbl>
    <w:p w14:paraId="351D0F6D" w14:textId="77777777" w:rsidR="00000000" w:rsidRDefault="00195E73">
      <w:pPr>
        <w:divId w:val="617952150"/>
        <w:rPr>
          <w:rFonts w:eastAsia="Times New Roman"/>
        </w:rPr>
      </w:pPr>
      <w:r>
        <w:rPr>
          <w:rFonts w:eastAsia="Times New Roman"/>
          <w:i/>
          <w:iCs/>
          <w:color w:val="000000"/>
          <w:sz w:val="20"/>
          <w:szCs w:val="20"/>
        </w:rPr>
        <w:t>Segment Borrowings and Availabilit</w:t>
      </w:r>
      <w:r>
        <w:rPr>
          <w:rFonts w:eastAsia="Times New Roman"/>
          <w:i/>
          <w:iCs/>
          <w:color w:val="000000"/>
          <w:sz w:val="20"/>
          <w:szCs w:val="20"/>
        </w:rPr>
        <w:t>y</w:t>
      </w:r>
    </w:p>
    <w:p w14:paraId="36E59F71" w14:textId="77777777" w:rsidR="00000000" w:rsidRDefault="00195E73">
      <w:pPr>
        <w:ind w:firstLine="450"/>
        <w:divId w:val="314649049"/>
        <w:rPr>
          <w:rFonts w:eastAsia="Times New Roman"/>
        </w:rPr>
      </w:pPr>
      <w:r>
        <w:rPr>
          <w:rFonts w:eastAsia="Times New Roman"/>
          <w:color w:val="000000"/>
          <w:sz w:val="20"/>
          <w:szCs w:val="20"/>
        </w:rPr>
        <w:t>Segment debt consists of the following</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2"/>
        <w:gridCol w:w="5619"/>
        <w:gridCol w:w="52"/>
        <w:gridCol w:w="135"/>
        <w:gridCol w:w="908"/>
        <w:gridCol w:w="85"/>
        <w:gridCol w:w="36"/>
        <w:gridCol w:w="36"/>
        <w:gridCol w:w="36"/>
        <w:gridCol w:w="135"/>
        <w:gridCol w:w="886"/>
        <w:gridCol w:w="85"/>
        <w:gridCol w:w="36"/>
        <w:gridCol w:w="36"/>
        <w:gridCol w:w="36"/>
        <w:gridCol w:w="36"/>
        <w:gridCol w:w="36"/>
        <w:gridCol w:w="36"/>
      </w:tblGrid>
      <w:tr w:rsidR="00000000" w14:paraId="0EDE09AC" w14:textId="77777777">
        <w:trPr>
          <w:gridAfter w:val="6"/>
          <w:divId w:val="1616517829"/>
          <w:jc w:val="center"/>
        </w:trPr>
        <w:tc>
          <w:tcPr>
            <w:tcW w:w="50" w:type="pct"/>
            <w:vAlign w:val="center"/>
            <w:hideMark/>
          </w:tcPr>
          <w:p w14:paraId="22227989" w14:textId="77777777" w:rsidR="00000000" w:rsidRDefault="00195E73">
            <w:pPr>
              <w:ind w:firstLine="450"/>
              <w:rPr>
                <w:rFonts w:eastAsia="Times New Roman"/>
              </w:rPr>
            </w:pPr>
          </w:p>
        </w:tc>
        <w:tc>
          <w:tcPr>
            <w:tcW w:w="3499" w:type="pct"/>
            <w:vAlign w:val="center"/>
            <w:hideMark/>
          </w:tcPr>
          <w:p w14:paraId="1F9D3B30" w14:textId="77777777" w:rsidR="00000000" w:rsidRDefault="00195E73">
            <w:pPr>
              <w:rPr>
                <w:rFonts w:eastAsia="Times New Roman"/>
                <w:sz w:val="20"/>
                <w:szCs w:val="20"/>
              </w:rPr>
            </w:pPr>
          </w:p>
        </w:tc>
        <w:tc>
          <w:tcPr>
            <w:tcW w:w="50" w:type="pct"/>
            <w:vAlign w:val="center"/>
            <w:hideMark/>
          </w:tcPr>
          <w:p w14:paraId="6DF45FAD" w14:textId="77777777" w:rsidR="00000000" w:rsidRDefault="00195E73">
            <w:pPr>
              <w:rPr>
                <w:rFonts w:eastAsia="Times New Roman"/>
                <w:sz w:val="20"/>
                <w:szCs w:val="20"/>
              </w:rPr>
            </w:pPr>
          </w:p>
        </w:tc>
        <w:tc>
          <w:tcPr>
            <w:tcW w:w="50" w:type="pct"/>
            <w:vAlign w:val="center"/>
            <w:hideMark/>
          </w:tcPr>
          <w:p w14:paraId="53075560" w14:textId="77777777" w:rsidR="00000000" w:rsidRDefault="00195E73">
            <w:pPr>
              <w:rPr>
                <w:rFonts w:eastAsia="Times New Roman"/>
                <w:sz w:val="20"/>
                <w:szCs w:val="20"/>
              </w:rPr>
            </w:pPr>
          </w:p>
        </w:tc>
        <w:tc>
          <w:tcPr>
            <w:tcW w:w="581" w:type="pct"/>
            <w:vAlign w:val="center"/>
            <w:hideMark/>
          </w:tcPr>
          <w:p w14:paraId="5B632282" w14:textId="77777777" w:rsidR="00000000" w:rsidRDefault="00195E73">
            <w:pPr>
              <w:rPr>
                <w:rFonts w:eastAsia="Times New Roman"/>
                <w:sz w:val="20"/>
                <w:szCs w:val="20"/>
              </w:rPr>
            </w:pPr>
          </w:p>
        </w:tc>
        <w:tc>
          <w:tcPr>
            <w:tcW w:w="50" w:type="pct"/>
            <w:vAlign w:val="center"/>
            <w:hideMark/>
          </w:tcPr>
          <w:p w14:paraId="052FBEE1" w14:textId="77777777" w:rsidR="00000000" w:rsidRDefault="00195E73">
            <w:pPr>
              <w:rPr>
                <w:rFonts w:eastAsia="Times New Roman"/>
                <w:sz w:val="20"/>
                <w:szCs w:val="20"/>
              </w:rPr>
            </w:pPr>
          </w:p>
        </w:tc>
        <w:tc>
          <w:tcPr>
            <w:tcW w:w="5" w:type="pct"/>
            <w:vAlign w:val="center"/>
            <w:hideMark/>
          </w:tcPr>
          <w:p w14:paraId="13BA7590" w14:textId="77777777" w:rsidR="00000000" w:rsidRDefault="00195E73">
            <w:pPr>
              <w:rPr>
                <w:rFonts w:eastAsia="Times New Roman"/>
                <w:sz w:val="20"/>
                <w:szCs w:val="20"/>
              </w:rPr>
            </w:pPr>
          </w:p>
        </w:tc>
        <w:tc>
          <w:tcPr>
            <w:tcW w:w="26" w:type="pct"/>
            <w:vAlign w:val="center"/>
            <w:hideMark/>
          </w:tcPr>
          <w:p w14:paraId="733CD526" w14:textId="77777777" w:rsidR="00000000" w:rsidRDefault="00195E73">
            <w:pPr>
              <w:rPr>
                <w:rFonts w:eastAsia="Times New Roman"/>
                <w:sz w:val="20"/>
                <w:szCs w:val="20"/>
              </w:rPr>
            </w:pPr>
          </w:p>
        </w:tc>
        <w:tc>
          <w:tcPr>
            <w:tcW w:w="5" w:type="pct"/>
            <w:vAlign w:val="center"/>
            <w:hideMark/>
          </w:tcPr>
          <w:p w14:paraId="7FCA09B6" w14:textId="77777777" w:rsidR="00000000" w:rsidRDefault="00195E73">
            <w:pPr>
              <w:rPr>
                <w:rFonts w:eastAsia="Times New Roman"/>
                <w:sz w:val="20"/>
                <w:szCs w:val="20"/>
              </w:rPr>
            </w:pPr>
          </w:p>
        </w:tc>
        <w:tc>
          <w:tcPr>
            <w:tcW w:w="50" w:type="pct"/>
            <w:vAlign w:val="center"/>
            <w:hideMark/>
          </w:tcPr>
          <w:p w14:paraId="04E39584" w14:textId="77777777" w:rsidR="00000000" w:rsidRDefault="00195E73">
            <w:pPr>
              <w:rPr>
                <w:rFonts w:eastAsia="Times New Roman"/>
                <w:sz w:val="20"/>
                <w:szCs w:val="20"/>
              </w:rPr>
            </w:pPr>
          </w:p>
        </w:tc>
        <w:tc>
          <w:tcPr>
            <w:tcW w:w="581" w:type="pct"/>
            <w:vAlign w:val="center"/>
            <w:hideMark/>
          </w:tcPr>
          <w:p w14:paraId="29EB88F3" w14:textId="77777777" w:rsidR="00000000" w:rsidRDefault="00195E73">
            <w:pPr>
              <w:rPr>
                <w:rFonts w:eastAsia="Times New Roman"/>
                <w:sz w:val="20"/>
                <w:szCs w:val="20"/>
              </w:rPr>
            </w:pPr>
          </w:p>
        </w:tc>
        <w:tc>
          <w:tcPr>
            <w:tcW w:w="50" w:type="pct"/>
            <w:vAlign w:val="center"/>
            <w:hideMark/>
          </w:tcPr>
          <w:p w14:paraId="4BF19B42" w14:textId="77777777" w:rsidR="00000000" w:rsidRDefault="00195E73">
            <w:pPr>
              <w:rPr>
                <w:rFonts w:eastAsia="Times New Roman"/>
                <w:sz w:val="20"/>
                <w:szCs w:val="20"/>
              </w:rPr>
            </w:pPr>
          </w:p>
        </w:tc>
      </w:tr>
      <w:tr w:rsidR="00000000" w14:paraId="06E79E43" w14:textId="77777777">
        <w:trPr>
          <w:divId w:val="1616517829"/>
          <w:jc w:val="center"/>
        </w:trPr>
        <w:tc>
          <w:tcPr>
            <w:tcW w:w="0" w:type="auto"/>
            <w:gridSpan w:val="3"/>
            <w:tcMar>
              <w:top w:w="15" w:type="dxa"/>
              <w:left w:w="20" w:type="dxa"/>
              <w:bottom w:w="15" w:type="dxa"/>
              <w:right w:w="20" w:type="dxa"/>
            </w:tcMar>
            <w:vAlign w:val="bottom"/>
            <w:hideMark/>
          </w:tcPr>
          <w:p w14:paraId="7725C507"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7F048A8F"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6C449B3D" w14:textId="77777777" w:rsidR="00000000" w:rsidRDefault="00195E73">
            <w:pPr>
              <w:jc w:val="center"/>
              <w:rPr>
                <w:rFonts w:eastAsia="Times New Roman"/>
              </w:rPr>
            </w:pPr>
          </w:p>
        </w:tc>
        <w:tc>
          <w:tcPr>
            <w:tcW w:w="0" w:type="auto"/>
            <w:gridSpan w:val="3"/>
            <w:vAlign w:val="center"/>
            <w:hideMark/>
          </w:tcPr>
          <w:p w14:paraId="1F0466C7" w14:textId="77777777" w:rsidR="00000000" w:rsidRDefault="00195E73">
            <w:pPr>
              <w:rPr>
                <w:rFonts w:eastAsia="Times New Roman"/>
                <w:sz w:val="20"/>
                <w:szCs w:val="20"/>
              </w:rPr>
            </w:pPr>
          </w:p>
        </w:tc>
      </w:tr>
      <w:tr w:rsidR="00000000" w14:paraId="5430E9AD" w14:textId="77777777">
        <w:trPr>
          <w:divId w:val="1616517829"/>
          <w:jc w:val="center"/>
        </w:trPr>
        <w:tc>
          <w:tcPr>
            <w:tcW w:w="0" w:type="auto"/>
            <w:gridSpan w:val="3"/>
            <w:tcMar>
              <w:top w:w="15" w:type="dxa"/>
              <w:left w:w="20" w:type="dxa"/>
              <w:bottom w:w="15" w:type="dxa"/>
              <w:right w:w="20" w:type="dxa"/>
            </w:tcMar>
            <w:vAlign w:val="bottom"/>
            <w:hideMark/>
          </w:tcPr>
          <w:p w14:paraId="7EAF2C21"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13CEC3F"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393FE2E9"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2F0DD0F"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4D5D6F2D" w14:textId="77777777" w:rsidR="00000000" w:rsidRDefault="00195E73">
            <w:pPr>
              <w:rPr>
                <w:rFonts w:eastAsia="Times New Roman"/>
                <w:sz w:val="20"/>
                <w:szCs w:val="20"/>
              </w:rPr>
            </w:pPr>
          </w:p>
        </w:tc>
        <w:tc>
          <w:tcPr>
            <w:tcW w:w="0" w:type="auto"/>
            <w:vAlign w:val="center"/>
            <w:hideMark/>
          </w:tcPr>
          <w:p w14:paraId="147EEC50" w14:textId="77777777" w:rsidR="00000000" w:rsidRDefault="00195E73">
            <w:pPr>
              <w:rPr>
                <w:rFonts w:eastAsia="Times New Roman"/>
                <w:sz w:val="20"/>
                <w:szCs w:val="20"/>
              </w:rPr>
            </w:pPr>
          </w:p>
        </w:tc>
        <w:tc>
          <w:tcPr>
            <w:tcW w:w="0" w:type="auto"/>
            <w:vAlign w:val="center"/>
            <w:hideMark/>
          </w:tcPr>
          <w:p w14:paraId="643C802B" w14:textId="77777777" w:rsidR="00000000" w:rsidRDefault="00195E73">
            <w:pPr>
              <w:rPr>
                <w:rFonts w:eastAsia="Times New Roman"/>
                <w:sz w:val="20"/>
                <w:szCs w:val="20"/>
              </w:rPr>
            </w:pPr>
          </w:p>
        </w:tc>
        <w:tc>
          <w:tcPr>
            <w:tcW w:w="0" w:type="auto"/>
            <w:vAlign w:val="center"/>
            <w:hideMark/>
          </w:tcPr>
          <w:p w14:paraId="000DD9ED" w14:textId="77777777" w:rsidR="00000000" w:rsidRDefault="00195E73">
            <w:pPr>
              <w:rPr>
                <w:rFonts w:eastAsia="Times New Roman"/>
                <w:sz w:val="20"/>
                <w:szCs w:val="20"/>
              </w:rPr>
            </w:pPr>
          </w:p>
        </w:tc>
        <w:tc>
          <w:tcPr>
            <w:tcW w:w="0" w:type="auto"/>
            <w:vAlign w:val="center"/>
            <w:hideMark/>
          </w:tcPr>
          <w:p w14:paraId="2E6E0695" w14:textId="77777777" w:rsidR="00000000" w:rsidRDefault="00195E73">
            <w:pPr>
              <w:rPr>
                <w:rFonts w:eastAsia="Times New Roman"/>
                <w:sz w:val="20"/>
                <w:szCs w:val="20"/>
              </w:rPr>
            </w:pPr>
          </w:p>
        </w:tc>
        <w:tc>
          <w:tcPr>
            <w:tcW w:w="0" w:type="auto"/>
            <w:vAlign w:val="center"/>
            <w:hideMark/>
          </w:tcPr>
          <w:p w14:paraId="4DFF3F6C" w14:textId="77777777" w:rsidR="00000000" w:rsidRDefault="00195E73">
            <w:pPr>
              <w:rPr>
                <w:rFonts w:eastAsia="Times New Roman"/>
                <w:sz w:val="20"/>
                <w:szCs w:val="20"/>
              </w:rPr>
            </w:pPr>
          </w:p>
        </w:tc>
      </w:tr>
      <w:tr w:rsidR="00000000" w14:paraId="656C837A" w14:textId="77777777">
        <w:trPr>
          <w:divId w:val="1616517829"/>
          <w:jc w:val="center"/>
        </w:trPr>
        <w:tc>
          <w:tcPr>
            <w:tcW w:w="0" w:type="auto"/>
            <w:gridSpan w:val="3"/>
            <w:tcMar>
              <w:top w:w="15" w:type="dxa"/>
              <w:left w:w="20" w:type="dxa"/>
              <w:bottom w:w="15" w:type="dxa"/>
              <w:right w:w="20" w:type="dxa"/>
            </w:tcMar>
            <w:vAlign w:val="bottom"/>
            <w:hideMark/>
          </w:tcPr>
          <w:p w14:paraId="73816AB6"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6E7B24A"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41AFA98F" w14:textId="77777777" w:rsidR="00000000" w:rsidRDefault="00195E73">
            <w:pPr>
              <w:jc w:val="center"/>
              <w:rPr>
                <w:rFonts w:eastAsia="Times New Roman"/>
              </w:rPr>
            </w:pPr>
          </w:p>
        </w:tc>
        <w:tc>
          <w:tcPr>
            <w:tcW w:w="0" w:type="auto"/>
            <w:gridSpan w:val="3"/>
            <w:vAlign w:val="center"/>
            <w:hideMark/>
          </w:tcPr>
          <w:p w14:paraId="0B08A347" w14:textId="77777777" w:rsidR="00000000" w:rsidRDefault="00195E73">
            <w:pPr>
              <w:rPr>
                <w:rFonts w:eastAsia="Times New Roman"/>
                <w:sz w:val="20"/>
                <w:szCs w:val="20"/>
              </w:rPr>
            </w:pPr>
          </w:p>
        </w:tc>
      </w:tr>
      <w:tr w:rsidR="00000000" w14:paraId="6DC894DB" w14:textId="77777777">
        <w:trPr>
          <w:divId w:val="1616517829"/>
          <w:jc w:val="center"/>
        </w:trPr>
        <w:tc>
          <w:tcPr>
            <w:tcW w:w="0" w:type="auto"/>
            <w:gridSpan w:val="3"/>
            <w:shd w:val="clear" w:color="auto" w:fill="CCEEFF"/>
            <w:tcMar>
              <w:top w:w="30" w:type="dxa"/>
              <w:left w:w="20" w:type="dxa"/>
              <w:bottom w:w="30" w:type="dxa"/>
              <w:right w:w="20" w:type="dxa"/>
            </w:tcMar>
            <w:vAlign w:val="bottom"/>
            <w:hideMark/>
          </w:tcPr>
          <w:p w14:paraId="0EFCD15D" w14:textId="77777777" w:rsidR="00000000" w:rsidRDefault="00195E73">
            <w:pPr>
              <w:rPr>
                <w:rFonts w:eastAsia="Times New Roman"/>
              </w:rPr>
            </w:pPr>
            <w:r>
              <w:rPr>
                <w:rFonts w:eastAsia="Times New Roman"/>
                <w:color w:val="000000"/>
                <w:sz w:val="20"/>
                <w:szCs w:val="20"/>
              </w:rPr>
              <w:t>Energ</w:t>
            </w:r>
            <w:r>
              <w:rPr>
                <w:rFonts w:eastAsia="Times New Roman"/>
                <w:color w:val="000000"/>
                <w:sz w:val="20"/>
                <w:szCs w:val="20"/>
              </w:rPr>
              <w:t>y</w:t>
            </w:r>
          </w:p>
        </w:tc>
        <w:tc>
          <w:tcPr>
            <w:tcW w:w="0" w:type="auto"/>
            <w:shd w:val="clear" w:color="auto" w:fill="CCEEFF"/>
            <w:tcMar>
              <w:top w:w="30" w:type="dxa"/>
              <w:left w:w="20" w:type="dxa"/>
              <w:bottom w:w="30" w:type="dxa"/>
              <w:right w:w="15" w:type="dxa"/>
            </w:tcMar>
            <w:vAlign w:val="bottom"/>
            <w:hideMark/>
          </w:tcPr>
          <w:p w14:paraId="13F8A1C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463CDC0" w14:textId="77777777" w:rsidR="00000000" w:rsidRDefault="00195E73">
            <w:pPr>
              <w:jc w:val="right"/>
              <w:rPr>
                <w:rFonts w:eastAsia="Times New Roman"/>
              </w:rPr>
            </w:pPr>
            <w:r>
              <w:rPr>
                <w:rFonts w:eastAsia="Times New Roman"/>
                <w:color w:val="000000"/>
                <w:sz w:val="20"/>
                <w:szCs w:val="20"/>
              </w:rPr>
              <w:t>1,195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3D912E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9B6B45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131E6B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26DDF37" w14:textId="77777777" w:rsidR="00000000" w:rsidRDefault="00195E73">
            <w:pPr>
              <w:jc w:val="right"/>
              <w:rPr>
                <w:rFonts w:eastAsia="Times New Roman"/>
              </w:rPr>
            </w:pPr>
            <w:r>
              <w:rPr>
                <w:rFonts w:eastAsia="Times New Roman"/>
                <w:color w:val="000000"/>
                <w:sz w:val="20"/>
                <w:szCs w:val="20"/>
              </w:rPr>
              <w:t>1,170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C1912E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8F609AC" w14:textId="77777777" w:rsidR="00000000" w:rsidRDefault="00195E73">
            <w:pPr>
              <w:rPr>
                <w:rFonts w:eastAsia="Times New Roman"/>
                <w:sz w:val="20"/>
                <w:szCs w:val="20"/>
              </w:rPr>
            </w:pPr>
          </w:p>
        </w:tc>
        <w:tc>
          <w:tcPr>
            <w:tcW w:w="0" w:type="auto"/>
            <w:vAlign w:val="center"/>
            <w:hideMark/>
          </w:tcPr>
          <w:p w14:paraId="31DDCD59" w14:textId="77777777" w:rsidR="00000000" w:rsidRDefault="00195E73">
            <w:pPr>
              <w:rPr>
                <w:rFonts w:eastAsia="Times New Roman"/>
                <w:sz w:val="20"/>
                <w:szCs w:val="20"/>
              </w:rPr>
            </w:pPr>
          </w:p>
        </w:tc>
        <w:tc>
          <w:tcPr>
            <w:tcW w:w="0" w:type="auto"/>
            <w:vAlign w:val="center"/>
            <w:hideMark/>
          </w:tcPr>
          <w:p w14:paraId="251B9C36" w14:textId="77777777" w:rsidR="00000000" w:rsidRDefault="00195E73">
            <w:pPr>
              <w:rPr>
                <w:rFonts w:eastAsia="Times New Roman"/>
                <w:sz w:val="20"/>
                <w:szCs w:val="20"/>
              </w:rPr>
            </w:pPr>
          </w:p>
        </w:tc>
        <w:tc>
          <w:tcPr>
            <w:tcW w:w="0" w:type="auto"/>
            <w:vAlign w:val="center"/>
            <w:hideMark/>
          </w:tcPr>
          <w:p w14:paraId="2F448508" w14:textId="77777777" w:rsidR="00000000" w:rsidRDefault="00195E73">
            <w:pPr>
              <w:rPr>
                <w:rFonts w:eastAsia="Times New Roman"/>
                <w:sz w:val="20"/>
                <w:szCs w:val="20"/>
              </w:rPr>
            </w:pPr>
          </w:p>
        </w:tc>
        <w:tc>
          <w:tcPr>
            <w:tcW w:w="0" w:type="auto"/>
            <w:vAlign w:val="center"/>
            <w:hideMark/>
          </w:tcPr>
          <w:p w14:paraId="72B04D55" w14:textId="77777777" w:rsidR="00000000" w:rsidRDefault="00195E73">
            <w:pPr>
              <w:rPr>
                <w:rFonts w:eastAsia="Times New Roman"/>
                <w:sz w:val="20"/>
                <w:szCs w:val="20"/>
              </w:rPr>
            </w:pPr>
          </w:p>
        </w:tc>
        <w:tc>
          <w:tcPr>
            <w:tcW w:w="0" w:type="auto"/>
            <w:vAlign w:val="center"/>
            <w:hideMark/>
          </w:tcPr>
          <w:p w14:paraId="7093B661" w14:textId="77777777" w:rsidR="00000000" w:rsidRDefault="00195E73">
            <w:pPr>
              <w:rPr>
                <w:rFonts w:eastAsia="Times New Roman"/>
                <w:sz w:val="20"/>
                <w:szCs w:val="20"/>
              </w:rPr>
            </w:pPr>
          </w:p>
        </w:tc>
      </w:tr>
      <w:tr w:rsidR="00000000" w14:paraId="70B4CA59" w14:textId="77777777">
        <w:trPr>
          <w:divId w:val="1616517829"/>
          <w:jc w:val="center"/>
        </w:trPr>
        <w:tc>
          <w:tcPr>
            <w:tcW w:w="0" w:type="auto"/>
            <w:gridSpan w:val="3"/>
            <w:shd w:val="clear" w:color="auto" w:fill="FFFFFF"/>
            <w:tcMar>
              <w:top w:w="30" w:type="dxa"/>
              <w:left w:w="20" w:type="dxa"/>
              <w:bottom w:w="30" w:type="dxa"/>
              <w:right w:w="20" w:type="dxa"/>
            </w:tcMar>
            <w:vAlign w:val="bottom"/>
            <w:hideMark/>
          </w:tcPr>
          <w:p w14:paraId="43038BDF" w14:textId="77777777" w:rsidR="00000000" w:rsidRDefault="00195E73">
            <w:pPr>
              <w:rPr>
                <w:rFonts w:eastAsia="Times New Roman"/>
              </w:rPr>
            </w:pPr>
            <w:r>
              <w:rPr>
                <w:rFonts w:eastAsia="Times New Roman"/>
                <w:color w:val="000000"/>
                <w:sz w:val="20"/>
                <w:szCs w:val="20"/>
              </w:rPr>
              <w:t>Automotiv</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7A19BCA8" w14:textId="77777777" w:rsidR="00000000" w:rsidRDefault="00195E73">
            <w:pPr>
              <w:jc w:val="right"/>
              <w:rPr>
                <w:rFonts w:eastAsia="Times New Roman"/>
              </w:rPr>
            </w:pPr>
            <w:r>
              <w:rPr>
                <w:rFonts w:eastAsia="Times New Roman"/>
                <w:color w:val="000000"/>
                <w:sz w:val="20"/>
                <w:szCs w:val="20"/>
              </w:rPr>
              <w:t>405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867604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0E58FA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C60B22" w14:textId="77777777" w:rsidR="00000000" w:rsidRDefault="00195E73">
            <w:pPr>
              <w:jc w:val="right"/>
              <w:rPr>
                <w:rFonts w:eastAsia="Times New Roman"/>
              </w:rPr>
            </w:pPr>
            <w:r>
              <w:rPr>
                <w:rFonts w:eastAsia="Times New Roman"/>
                <w:color w:val="000000"/>
                <w:sz w:val="20"/>
                <w:szCs w:val="20"/>
              </w:rPr>
              <w:t>372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5A5FA0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B75E737" w14:textId="77777777" w:rsidR="00000000" w:rsidRDefault="00195E73">
            <w:pPr>
              <w:rPr>
                <w:rFonts w:eastAsia="Times New Roman"/>
                <w:sz w:val="20"/>
                <w:szCs w:val="20"/>
              </w:rPr>
            </w:pPr>
          </w:p>
        </w:tc>
        <w:tc>
          <w:tcPr>
            <w:tcW w:w="0" w:type="auto"/>
            <w:vAlign w:val="center"/>
            <w:hideMark/>
          </w:tcPr>
          <w:p w14:paraId="6533E871" w14:textId="77777777" w:rsidR="00000000" w:rsidRDefault="00195E73">
            <w:pPr>
              <w:rPr>
                <w:rFonts w:eastAsia="Times New Roman"/>
                <w:sz w:val="20"/>
                <w:szCs w:val="20"/>
              </w:rPr>
            </w:pPr>
          </w:p>
        </w:tc>
        <w:tc>
          <w:tcPr>
            <w:tcW w:w="0" w:type="auto"/>
            <w:vAlign w:val="center"/>
            <w:hideMark/>
          </w:tcPr>
          <w:p w14:paraId="1369317D" w14:textId="77777777" w:rsidR="00000000" w:rsidRDefault="00195E73">
            <w:pPr>
              <w:rPr>
                <w:rFonts w:eastAsia="Times New Roman"/>
                <w:sz w:val="20"/>
                <w:szCs w:val="20"/>
              </w:rPr>
            </w:pPr>
          </w:p>
        </w:tc>
        <w:tc>
          <w:tcPr>
            <w:tcW w:w="0" w:type="auto"/>
            <w:vAlign w:val="center"/>
            <w:hideMark/>
          </w:tcPr>
          <w:p w14:paraId="459C343E" w14:textId="77777777" w:rsidR="00000000" w:rsidRDefault="00195E73">
            <w:pPr>
              <w:rPr>
                <w:rFonts w:eastAsia="Times New Roman"/>
                <w:sz w:val="20"/>
                <w:szCs w:val="20"/>
              </w:rPr>
            </w:pPr>
          </w:p>
        </w:tc>
        <w:tc>
          <w:tcPr>
            <w:tcW w:w="0" w:type="auto"/>
            <w:vAlign w:val="center"/>
            <w:hideMark/>
          </w:tcPr>
          <w:p w14:paraId="148D1255" w14:textId="77777777" w:rsidR="00000000" w:rsidRDefault="00195E73">
            <w:pPr>
              <w:rPr>
                <w:rFonts w:eastAsia="Times New Roman"/>
                <w:sz w:val="20"/>
                <w:szCs w:val="20"/>
              </w:rPr>
            </w:pPr>
          </w:p>
        </w:tc>
        <w:tc>
          <w:tcPr>
            <w:tcW w:w="0" w:type="auto"/>
            <w:vAlign w:val="center"/>
            <w:hideMark/>
          </w:tcPr>
          <w:p w14:paraId="0304F843" w14:textId="77777777" w:rsidR="00000000" w:rsidRDefault="00195E73">
            <w:pPr>
              <w:rPr>
                <w:rFonts w:eastAsia="Times New Roman"/>
                <w:sz w:val="20"/>
                <w:szCs w:val="20"/>
              </w:rPr>
            </w:pPr>
          </w:p>
        </w:tc>
      </w:tr>
      <w:tr w:rsidR="00000000" w14:paraId="4BFDADEE" w14:textId="77777777">
        <w:trPr>
          <w:divId w:val="1616517829"/>
          <w:jc w:val="center"/>
        </w:trPr>
        <w:tc>
          <w:tcPr>
            <w:tcW w:w="0" w:type="auto"/>
            <w:gridSpan w:val="3"/>
            <w:shd w:val="clear" w:color="auto" w:fill="CCEEFF"/>
            <w:tcMar>
              <w:top w:w="30" w:type="dxa"/>
              <w:left w:w="20" w:type="dxa"/>
              <w:bottom w:w="30" w:type="dxa"/>
              <w:right w:w="20" w:type="dxa"/>
            </w:tcMar>
            <w:vAlign w:val="bottom"/>
            <w:hideMark/>
          </w:tcPr>
          <w:p w14:paraId="62C3B863" w14:textId="77777777" w:rsidR="00000000" w:rsidRDefault="00195E73">
            <w:pPr>
              <w:rPr>
                <w:rFonts w:eastAsia="Times New Roman"/>
              </w:rPr>
            </w:pPr>
            <w:r>
              <w:rPr>
                <w:rFonts w:eastAsia="Times New Roman"/>
                <w:color w:val="000000"/>
                <w:sz w:val="20"/>
                <w:szCs w:val="20"/>
              </w:rPr>
              <w:t>Food Packagin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14:paraId="098588B5" w14:textId="77777777" w:rsidR="00000000" w:rsidRDefault="00195E73">
            <w:pPr>
              <w:jc w:val="right"/>
              <w:rPr>
                <w:rFonts w:eastAsia="Times New Roman"/>
              </w:rPr>
            </w:pPr>
            <w:r>
              <w:rPr>
                <w:rFonts w:eastAsia="Times New Roman"/>
                <w:color w:val="000000"/>
                <w:sz w:val="20"/>
                <w:szCs w:val="20"/>
              </w:rPr>
              <w:t>268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2DA39F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8EE3A4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3F950F" w14:textId="77777777" w:rsidR="00000000" w:rsidRDefault="00195E73">
            <w:pPr>
              <w:jc w:val="right"/>
              <w:rPr>
                <w:rFonts w:eastAsia="Times New Roman"/>
              </w:rPr>
            </w:pPr>
            <w:r>
              <w:rPr>
                <w:rFonts w:eastAsia="Times New Roman"/>
                <w:color w:val="000000"/>
                <w:sz w:val="20"/>
                <w:szCs w:val="20"/>
              </w:rPr>
              <w:t>273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46284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E851998" w14:textId="77777777" w:rsidR="00000000" w:rsidRDefault="00195E73">
            <w:pPr>
              <w:rPr>
                <w:rFonts w:eastAsia="Times New Roman"/>
                <w:sz w:val="20"/>
                <w:szCs w:val="20"/>
              </w:rPr>
            </w:pPr>
          </w:p>
        </w:tc>
        <w:tc>
          <w:tcPr>
            <w:tcW w:w="0" w:type="auto"/>
            <w:vAlign w:val="center"/>
            <w:hideMark/>
          </w:tcPr>
          <w:p w14:paraId="1333AD38" w14:textId="77777777" w:rsidR="00000000" w:rsidRDefault="00195E73">
            <w:pPr>
              <w:rPr>
                <w:rFonts w:eastAsia="Times New Roman"/>
                <w:sz w:val="20"/>
                <w:szCs w:val="20"/>
              </w:rPr>
            </w:pPr>
          </w:p>
        </w:tc>
        <w:tc>
          <w:tcPr>
            <w:tcW w:w="0" w:type="auto"/>
            <w:vAlign w:val="center"/>
            <w:hideMark/>
          </w:tcPr>
          <w:p w14:paraId="4088FE62" w14:textId="77777777" w:rsidR="00000000" w:rsidRDefault="00195E73">
            <w:pPr>
              <w:rPr>
                <w:rFonts w:eastAsia="Times New Roman"/>
                <w:sz w:val="20"/>
                <w:szCs w:val="20"/>
              </w:rPr>
            </w:pPr>
          </w:p>
        </w:tc>
        <w:tc>
          <w:tcPr>
            <w:tcW w:w="0" w:type="auto"/>
            <w:vAlign w:val="center"/>
            <w:hideMark/>
          </w:tcPr>
          <w:p w14:paraId="6293C28D" w14:textId="77777777" w:rsidR="00000000" w:rsidRDefault="00195E73">
            <w:pPr>
              <w:rPr>
                <w:rFonts w:eastAsia="Times New Roman"/>
                <w:sz w:val="20"/>
                <w:szCs w:val="20"/>
              </w:rPr>
            </w:pPr>
          </w:p>
        </w:tc>
        <w:tc>
          <w:tcPr>
            <w:tcW w:w="0" w:type="auto"/>
            <w:vAlign w:val="center"/>
            <w:hideMark/>
          </w:tcPr>
          <w:p w14:paraId="599B89F7" w14:textId="77777777" w:rsidR="00000000" w:rsidRDefault="00195E73">
            <w:pPr>
              <w:rPr>
                <w:rFonts w:eastAsia="Times New Roman"/>
                <w:sz w:val="20"/>
                <w:szCs w:val="20"/>
              </w:rPr>
            </w:pPr>
          </w:p>
        </w:tc>
        <w:tc>
          <w:tcPr>
            <w:tcW w:w="0" w:type="auto"/>
            <w:vAlign w:val="center"/>
            <w:hideMark/>
          </w:tcPr>
          <w:p w14:paraId="3F08B467" w14:textId="77777777" w:rsidR="00000000" w:rsidRDefault="00195E73">
            <w:pPr>
              <w:rPr>
                <w:rFonts w:eastAsia="Times New Roman"/>
                <w:sz w:val="20"/>
                <w:szCs w:val="20"/>
              </w:rPr>
            </w:pPr>
          </w:p>
        </w:tc>
      </w:tr>
      <w:tr w:rsidR="00000000" w14:paraId="298D8B93" w14:textId="77777777">
        <w:trPr>
          <w:divId w:val="1616517829"/>
          <w:jc w:val="center"/>
        </w:trPr>
        <w:tc>
          <w:tcPr>
            <w:tcW w:w="0" w:type="auto"/>
            <w:gridSpan w:val="3"/>
            <w:shd w:val="clear" w:color="auto" w:fill="FFFFFF"/>
            <w:tcMar>
              <w:top w:w="30" w:type="dxa"/>
              <w:left w:w="20" w:type="dxa"/>
              <w:bottom w:w="30" w:type="dxa"/>
              <w:right w:w="20" w:type="dxa"/>
            </w:tcMar>
            <w:vAlign w:val="bottom"/>
            <w:hideMark/>
          </w:tcPr>
          <w:p w14:paraId="5E066D7C" w14:textId="77777777" w:rsidR="00000000" w:rsidRDefault="00195E73">
            <w:pPr>
              <w:ind w:hanging="180"/>
              <w:divId w:val="1889299798"/>
              <w:rPr>
                <w:rFonts w:eastAsia="Times New Roman"/>
              </w:rPr>
            </w:pPr>
            <w:r>
              <w:rPr>
                <w:rFonts w:eastAsia="Times New Roman"/>
                <w:color w:val="000000"/>
                <w:sz w:val="20"/>
                <w:szCs w:val="20"/>
              </w:rPr>
              <w:t>Metal</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7A308B6"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491FFB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00BE1E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E62D4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363552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4C6B600" w14:textId="77777777" w:rsidR="00000000" w:rsidRDefault="00195E73">
            <w:pPr>
              <w:rPr>
                <w:rFonts w:eastAsia="Times New Roman"/>
                <w:sz w:val="20"/>
                <w:szCs w:val="20"/>
              </w:rPr>
            </w:pPr>
          </w:p>
        </w:tc>
        <w:tc>
          <w:tcPr>
            <w:tcW w:w="0" w:type="auto"/>
            <w:vAlign w:val="center"/>
            <w:hideMark/>
          </w:tcPr>
          <w:p w14:paraId="4640E901" w14:textId="77777777" w:rsidR="00000000" w:rsidRDefault="00195E73">
            <w:pPr>
              <w:rPr>
                <w:rFonts w:eastAsia="Times New Roman"/>
                <w:sz w:val="20"/>
                <w:szCs w:val="20"/>
              </w:rPr>
            </w:pPr>
          </w:p>
        </w:tc>
        <w:tc>
          <w:tcPr>
            <w:tcW w:w="0" w:type="auto"/>
            <w:vAlign w:val="center"/>
            <w:hideMark/>
          </w:tcPr>
          <w:p w14:paraId="43379E62" w14:textId="77777777" w:rsidR="00000000" w:rsidRDefault="00195E73">
            <w:pPr>
              <w:rPr>
                <w:rFonts w:eastAsia="Times New Roman"/>
                <w:sz w:val="20"/>
                <w:szCs w:val="20"/>
              </w:rPr>
            </w:pPr>
          </w:p>
        </w:tc>
        <w:tc>
          <w:tcPr>
            <w:tcW w:w="0" w:type="auto"/>
            <w:vAlign w:val="center"/>
            <w:hideMark/>
          </w:tcPr>
          <w:p w14:paraId="47C3F955" w14:textId="77777777" w:rsidR="00000000" w:rsidRDefault="00195E73">
            <w:pPr>
              <w:rPr>
                <w:rFonts w:eastAsia="Times New Roman"/>
                <w:sz w:val="20"/>
                <w:szCs w:val="20"/>
              </w:rPr>
            </w:pPr>
          </w:p>
        </w:tc>
        <w:tc>
          <w:tcPr>
            <w:tcW w:w="0" w:type="auto"/>
            <w:vAlign w:val="center"/>
            <w:hideMark/>
          </w:tcPr>
          <w:p w14:paraId="444102A7" w14:textId="77777777" w:rsidR="00000000" w:rsidRDefault="00195E73">
            <w:pPr>
              <w:rPr>
                <w:rFonts w:eastAsia="Times New Roman"/>
                <w:sz w:val="20"/>
                <w:szCs w:val="20"/>
              </w:rPr>
            </w:pPr>
          </w:p>
        </w:tc>
        <w:tc>
          <w:tcPr>
            <w:tcW w:w="0" w:type="auto"/>
            <w:vAlign w:val="center"/>
            <w:hideMark/>
          </w:tcPr>
          <w:p w14:paraId="0D0F932B" w14:textId="77777777" w:rsidR="00000000" w:rsidRDefault="00195E73">
            <w:pPr>
              <w:rPr>
                <w:rFonts w:eastAsia="Times New Roman"/>
                <w:sz w:val="20"/>
                <w:szCs w:val="20"/>
              </w:rPr>
            </w:pPr>
          </w:p>
        </w:tc>
      </w:tr>
      <w:tr w:rsidR="00000000" w14:paraId="2479755E" w14:textId="77777777">
        <w:trPr>
          <w:divId w:val="1616517829"/>
          <w:jc w:val="center"/>
        </w:trPr>
        <w:tc>
          <w:tcPr>
            <w:tcW w:w="0" w:type="auto"/>
            <w:gridSpan w:val="3"/>
            <w:shd w:val="clear" w:color="auto" w:fill="CCEEFF"/>
            <w:tcMar>
              <w:top w:w="30" w:type="dxa"/>
              <w:left w:w="20" w:type="dxa"/>
              <w:bottom w:w="30" w:type="dxa"/>
              <w:right w:w="20" w:type="dxa"/>
            </w:tcMar>
            <w:vAlign w:val="bottom"/>
            <w:hideMark/>
          </w:tcPr>
          <w:p w14:paraId="36304DA9" w14:textId="77777777" w:rsidR="00000000" w:rsidRDefault="00195E73">
            <w:pPr>
              <w:ind w:hanging="180"/>
              <w:divId w:val="359626609"/>
              <w:rPr>
                <w:rFonts w:eastAsia="Times New Roman"/>
              </w:rPr>
            </w:pPr>
            <w:r>
              <w:rPr>
                <w:rFonts w:eastAsia="Times New Roman"/>
                <w:color w:val="000000"/>
                <w:sz w:val="20"/>
                <w:szCs w:val="20"/>
              </w:rPr>
              <w:t>Real Estat</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76201C44"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8E94EA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97BDA9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7E0FAC"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22C2F8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426F832" w14:textId="77777777" w:rsidR="00000000" w:rsidRDefault="00195E73">
            <w:pPr>
              <w:rPr>
                <w:rFonts w:eastAsia="Times New Roman"/>
                <w:sz w:val="20"/>
                <w:szCs w:val="20"/>
              </w:rPr>
            </w:pPr>
          </w:p>
        </w:tc>
        <w:tc>
          <w:tcPr>
            <w:tcW w:w="0" w:type="auto"/>
            <w:vAlign w:val="center"/>
            <w:hideMark/>
          </w:tcPr>
          <w:p w14:paraId="160C86F0" w14:textId="77777777" w:rsidR="00000000" w:rsidRDefault="00195E73">
            <w:pPr>
              <w:rPr>
                <w:rFonts w:eastAsia="Times New Roman"/>
                <w:sz w:val="20"/>
                <w:szCs w:val="20"/>
              </w:rPr>
            </w:pPr>
          </w:p>
        </w:tc>
        <w:tc>
          <w:tcPr>
            <w:tcW w:w="0" w:type="auto"/>
            <w:vAlign w:val="center"/>
            <w:hideMark/>
          </w:tcPr>
          <w:p w14:paraId="79A15776" w14:textId="77777777" w:rsidR="00000000" w:rsidRDefault="00195E73">
            <w:pPr>
              <w:rPr>
                <w:rFonts w:eastAsia="Times New Roman"/>
                <w:sz w:val="20"/>
                <w:szCs w:val="20"/>
              </w:rPr>
            </w:pPr>
          </w:p>
        </w:tc>
        <w:tc>
          <w:tcPr>
            <w:tcW w:w="0" w:type="auto"/>
            <w:vAlign w:val="center"/>
            <w:hideMark/>
          </w:tcPr>
          <w:p w14:paraId="3DA54580" w14:textId="77777777" w:rsidR="00000000" w:rsidRDefault="00195E73">
            <w:pPr>
              <w:rPr>
                <w:rFonts w:eastAsia="Times New Roman"/>
                <w:sz w:val="20"/>
                <w:szCs w:val="20"/>
              </w:rPr>
            </w:pPr>
          </w:p>
        </w:tc>
        <w:tc>
          <w:tcPr>
            <w:tcW w:w="0" w:type="auto"/>
            <w:vAlign w:val="center"/>
            <w:hideMark/>
          </w:tcPr>
          <w:p w14:paraId="08680E41" w14:textId="77777777" w:rsidR="00000000" w:rsidRDefault="00195E73">
            <w:pPr>
              <w:rPr>
                <w:rFonts w:eastAsia="Times New Roman"/>
                <w:sz w:val="20"/>
                <w:szCs w:val="20"/>
              </w:rPr>
            </w:pPr>
          </w:p>
        </w:tc>
        <w:tc>
          <w:tcPr>
            <w:tcW w:w="0" w:type="auto"/>
            <w:vAlign w:val="center"/>
            <w:hideMark/>
          </w:tcPr>
          <w:p w14:paraId="1AF7836C" w14:textId="77777777" w:rsidR="00000000" w:rsidRDefault="00195E73">
            <w:pPr>
              <w:rPr>
                <w:rFonts w:eastAsia="Times New Roman"/>
                <w:sz w:val="20"/>
                <w:szCs w:val="20"/>
              </w:rPr>
            </w:pPr>
          </w:p>
        </w:tc>
      </w:tr>
      <w:tr w:rsidR="00000000" w14:paraId="7BB9709F" w14:textId="77777777">
        <w:trPr>
          <w:divId w:val="1616517829"/>
          <w:jc w:val="center"/>
        </w:trPr>
        <w:tc>
          <w:tcPr>
            <w:tcW w:w="0" w:type="auto"/>
            <w:gridSpan w:val="3"/>
            <w:shd w:val="clear" w:color="auto" w:fill="FFFFFF"/>
            <w:tcMar>
              <w:top w:w="30" w:type="dxa"/>
              <w:left w:w="20" w:type="dxa"/>
              <w:bottom w:w="30" w:type="dxa"/>
              <w:right w:w="20" w:type="dxa"/>
            </w:tcMar>
            <w:vAlign w:val="bottom"/>
            <w:hideMark/>
          </w:tcPr>
          <w:p w14:paraId="6298544A" w14:textId="77777777" w:rsidR="00000000" w:rsidRDefault="00195E73">
            <w:pPr>
              <w:rPr>
                <w:rFonts w:eastAsia="Times New Roman"/>
              </w:rPr>
            </w:pPr>
            <w:r>
              <w:rPr>
                <w:rFonts w:eastAsia="Times New Roman"/>
                <w:color w:val="000000"/>
                <w:sz w:val="20"/>
                <w:szCs w:val="20"/>
              </w:rPr>
              <w:t>Home Fashio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08E67D1E" w14:textId="77777777" w:rsidR="00000000" w:rsidRDefault="00195E73">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D5AA06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C81AE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BC21EC"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F6E420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3E925CB" w14:textId="77777777" w:rsidR="00000000" w:rsidRDefault="00195E73">
            <w:pPr>
              <w:rPr>
                <w:rFonts w:eastAsia="Times New Roman"/>
                <w:sz w:val="20"/>
                <w:szCs w:val="20"/>
              </w:rPr>
            </w:pPr>
          </w:p>
        </w:tc>
        <w:tc>
          <w:tcPr>
            <w:tcW w:w="0" w:type="auto"/>
            <w:vAlign w:val="center"/>
            <w:hideMark/>
          </w:tcPr>
          <w:p w14:paraId="325BCF9D" w14:textId="77777777" w:rsidR="00000000" w:rsidRDefault="00195E73">
            <w:pPr>
              <w:rPr>
                <w:rFonts w:eastAsia="Times New Roman"/>
                <w:sz w:val="20"/>
                <w:szCs w:val="20"/>
              </w:rPr>
            </w:pPr>
          </w:p>
        </w:tc>
        <w:tc>
          <w:tcPr>
            <w:tcW w:w="0" w:type="auto"/>
            <w:vAlign w:val="center"/>
            <w:hideMark/>
          </w:tcPr>
          <w:p w14:paraId="07387EF9" w14:textId="77777777" w:rsidR="00000000" w:rsidRDefault="00195E73">
            <w:pPr>
              <w:rPr>
                <w:rFonts w:eastAsia="Times New Roman"/>
                <w:sz w:val="20"/>
                <w:szCs w:val="20"/>
              </w:rPr>
            </w:pPr>
          </w:p>
        </w:tc>
        <w:tc>
          <w:tcPr>
            <w:tcW w:w="0" w:type="auto"/>
            <w:vAlign w:val="center"/>
            <w:hideMark/>
          </w:tcPr>
          <w:p w14:paraId="1D6BCE22" w14:textId="77777777" w:rsidR="00000000" w:rsidRDefault="00195E73">
            <w:pPr>
              <w:rPr>
                <w:rFonts w:eastAsia="Times New Roman"/>
                <w:sz w:val="20"/>
                <w:szCs w:val="20"/>
              </w:rPr>
            </w:pPr>
          </w:p>
        </w:tc>
        <w:tc>
          <w:tcPr>
            <w:tcW w:w="0" w:type="auto"/>
            <w:vAlign w:val="center"/>
            <w:hideMark/>
          </w:tcPr>
          <w:p w14:paraId="4BCFA041" w14:textId="77777777" w:rsidR="00000000" w:rsidRDefault="00195E73">
            <w:pPr>
              <w:rPr>
                <w:rFonts w:eastAsia="Times New Roman"/>
                <w:sz w:val="20"/>
                <w:szCs w:val="20"/>
              </w:rPr>
            </w:pPr>
          </w:p>
        </w:tc>
        <w:tc>
          <w:tcPr>
            <w:tcW w:w="0" w:type="auto"/>
            <w:vAlign w:val="center"/>
            <w:hideMark/>
          </w:tcPr>
          <w:p w14:paraId="7743B666" w14:textId="77777777" w:rsidR="00000000" w:rsidRDefault="00195E73">
            <w:pPr>
              <w:rPr>
                <w:rFonts w:eastAsia="Times New Roman"/>
                <w:sz w:val="20"/>
                <w:szCs w:val="20"/>
              </w:rPr>
            </w:pPr>
          </w:p>
        </w:tc>
      </w:tr>
      <w:tr w:rsidR="00000000" w14:paraId="45AE8198" w14:textId="77777777">
        <w:trPr>
          <w:divId w:val="1616517829"/>
          <w:jc w:val="center"/>
        </w:trPr>
        <w:tc>
          <w:tcPr>
            <w:tcW w:w="0" w:type="auto"/>
            <w:gridSpan w:val="3"/>
            <w:shd w:val="clear" w:color="auto" w:fill="CCEEFF"/>
            <w:tcMar>
              <w:top w:w="15" w:type="dxa"/>
              <w:left w:w="20" w:type="dxa"/>
              <w:bottom w:w="15" w:type="dxa"/>
              <w:right w:w="20" w:type="dxa"/>
            </w:tcMar>
            <w:vAlign w:val="bottom"/>
            <w:hideMark/>
          </w:tcPr>
          <w:p w14:paraId="1422707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8420E1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923D91A" w14:textId="77777777" w:rsidR="00000000" w:rsidRDefault="00195E73">
            <w:pPr>
              <w:jc w:val="right"/>
              <w:rPr>
                <w:rFonts w:eastAsia="Times New Roman"/>
              </w:rPr>
            </w:pPr>
            <w:r>
              <w:rPr>
                <w:rFonts w:eastAsia="Times New Roman"/>
                <w:color w:val="000000"/>
                <w:sz w:val="20"/>
                <w:szCs w:val="20"/>
              </w:rPr>
              <w:t>1,895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F4CBC9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DEC009D"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1E0685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910B61D" w14:textId="77777777" w:rsidR="00000000" w:rsidRDefault="00195E73">
            <w:pPr>
              <w:jc w:val="right"/>
              <w:rPr>
                <w:rFonts w:eastAsia="Times New Roman"/>
              </w:rPr>
            </w:pPr>
            <w:r>
              <w:rPr>
                <w:rFonts w:eastAsia="Times New Roman"/>
                <w:color w:val="000000"/>
                <w:sz w:val="20"/>
                <w:szCs w:val="20"/>
              </w:rPr>
              <w:t>1,821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12759D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DAD7441" w14:textId="77777777" w:rsidR="00000000" w:rsidRDefault="00195E73">
            <w:pPr>
              <w:rPr>
                <w:rFonts w:eastAsia="Times New Roman"/>
                <w:sz w:val="20"/>
                <w:szCs w:val="20"/>
              </w:rPr>
            </w:pPr>
          </w:p>
        </w:tc>
        <w:tc>
          <w:tcPr>
            <w:tcW w:w="0" w:type="auto"/>
            <w:vAlign w:val="center"/>
            <w:hideMark/>
          </w:tcPr>
          <w:p w14:paraId="5251A679" w14:textId="77777777" w:rsidR="00000000" w:rsidRDefault="00195E73">
            <w:pPr>
              <w:rPr>
                <w:rFonts w:eastAsia="Times New Roman"/>
                <w:sz w:val="20"/>
                <w:szCs w:val="20"/>
              </w:rPr>
            </w:pPr>
          </w:p>
        </w:tc>
        <w:tc>
          <w:tcPr>
            <w:tcW w:w="0" w:type="auto"/>
            <w:vAlign w:val="center"/>
            <w:hideMark/>
          </w:tcPr>
          <w:p w14:paraId="216C4707" w14:textId="77777777" w:rsidR="00000000" w:rsidRDefault="00195E73">
            <w:pPr>
              <w:rPr>
                <w:rFonts w:eastAsia="Times New Roman"/>
                <w:sz w:val="20"/>
                <w:szCs w:val="20"/>
              </w:rPr>
            </w:pPr>
          </w:p>
        </w:tc>
        <w:tc>
          <w:tcPr>
            <w:tcW w:w="0" w:type="auto"/>
            <w:vAlign w:val="center"/>
            <w:hideMark/>
          </w:tcPr>
          <w:p w14:paraId="51ED8D91" w14:textId="77777777" w:rsidR="00000000" w:rsidRDefault="00195E73">
            <w:pPr>
              <w:rPr>
                <w:rFonts w:eastAsia="Times New Roman"/>
                <w:sz w:val="20"/>
                <w:szCs w:val="20"/>
              </w:rPr>
            </w:pPr>
          </w:p>
        </w:tc>
        <w:tc>
          <w:tcPr>
            <w:tcW w:w="0" w:type="auto"/>
            <w:vAlign w:val="center"/>
            <w:hideMark/>
          </w:tcPr>
          <w:p w14:paraId="215CCC18" w14:textId="77777777" w:rsidR="00000000" w:rsidRDefault="00195E73">
            <w:pPr>
              <w:rPr>
                <w:rFonts w:eastAsia="Times New Roman"/>
                <w:sz w:val="20"/>
                <w:szCs w:val="20"/>
              </w:rPr>
            </w:pPr>
          </w:p>
        </w:tc>
        <w:tc>
          <w:tcPr>
            <w:tcW w:w="0" w:type="auto"/>
            <w:vAlign w:val="center"/>
            <w:hideMark/>
          </w:tcPr>
          <w:p w14:paraId="000E7516" w14:textId="77777777" w:rsidR="00000000" w:rsidRDefault="00195E73">
            <w:pPr>
              <w:rPr>
                <w:rFonts w:eastAsia="Times New Roman"/>
                <w:sz w:val="20"/>
                <w:szCs w:val="20"/>
              </w:rPr>
            </w:pPr>
          </w:p>
        </w:tc>
      </w:tr>
    </w:tbl>
    <w:p w14:paraId="52AE6B54" w14:textId="77777777" w:rsidR="00000000" w:rsidRDefault="00195E73">
      <w:pPr>
        <w:ind w:firstLine="450"/>
        <w:divId w:val="261455361"/>
        <w:rPr>
          <w:rFonts w:eastAsia="Times New Roman"/>
        </w:rPr>
      </w:pPr>
    </w:p>
    <w:p w14:paraId="08584518" w14:textId="77777777" w:rsidR="00000000" w:rsidRDefault="00195E73">
      <w:pPr>
        <w:ind w:firstLine="450"/>
        <w:divId w:val="339550412"/>
        <w:rPr>
          <w:rFonts w:eastAsia="Times New Roman"/>
        </w:rPr>
      </w:pPr>
      <w:r>
        <w:rPr>
          <w:rFonts w:eastAsia="Times New Roman"/>
          <w:color w:val="000000"/>
          <w:sz w:val="20"/>
          <w:szCs w:val="20"/>
        </w:rPr>
        <w:t>As of December </w:t>
      </w:r>
      <w:r>
        <w:rPr>
          <w:rFonts w:eastAsia="Times New Roman"/>
          <w:color w:val="000000"/>
          <w:sz w:val="20"/>
          <w:szCs w:val="20"/>
        </w:rPr>
        <w:t>31, 2019, all of our subsidiaries were in compliance with all debt covenants</w:t>
      </w:r>
      <w:r>
        <w:rPr>
          <w:rFonts w:eastAsia="Times New Roman"/>
          <w:color w:val="000000"/>
          <w:sz w:val="20"/>
          <w:szCs w:val="20"/>
        </w:rPr>
        <w:t>.</w:t>
      </w:r>
    </w:p>
    <w:p w14:paraId="3D5F5973" w14:textId="77777777" w:rsidR="00000000" w:rsidRDefault="00195E73">
      <w:pPr>
        <w:ind w:firstLine="450"/>
        <w:divId w:val="950018276"/>
        <w:rPr>
          <w:rFonts w:eastAsia="Times New Roman"/>
        </w:rPr>
      </w:pPr>
    </w:p>
    <w:p w14:paraId="0DF75F4E" w14:textId="77777777" w:rsidR="00000000" w:rsidRDefault="00195E73">
      <w:pPr>
        <w:jc w:val="center"/>
        <w:divId w:val="1688946529"/>
        <w:rPr>
          <w:rFonts w:eastAsia="Times New Roman"/>
        </w:rPr>
      </w:pPr>
      <w:r>
        <w:rPr>
          <w:rFonts w:eastAsia="Times New Roman"/>
          <w:color w:val="000000"/>
          <w:sz w:val="20"/>
          <w:szCs w:val="20"/>
        </w:rPr>
        <w:t>4</w:t>
      </w:r>
      <w:r>
        <w:rPr>
          <w:rFonts w:eastAsia="Times New Roman"/>
          <w:color w:val="000000"/>
          <w:sz w:val="20"/>
          <w:szCs w:val="20"/>
        </w:rPr>
        <w:t>0</w:t>
      </w:r>
    </w:p>
    <w:p w14:paraId="660FF499" w14:textId="77777777" w:rsidR="00000000" w:rsidRDefault="00195E73">
      <w:pPr>
        <w:rPr>
          <w:rFonts w:eastAsia="Times New Roman"/>
        </w:rPr>
      </w:pPr>
      <w:r>
        <w:rPr>
          <w:rFonts w:eastAsia="Times New Roman"/>
        </w:rPr>
        <w:pict w14:anchorId="782F9BCA">
          <v:rect id="_x0000_i1066" style="width:0;height:1.5pt" o:hralign="center" o:hrstd="t" o:hr="t" fillcolor="#a0a0a0" stroked="f"/>
        </w:pict>
      </w:r>
    </w:p>
    <w:p w14:paraId="0D277371" w14:textId="77777777" w:rsidR="00000000" w:rsidRDefault="00195E73">
      <w:pPr>
        <w:divId w:val="990325729"/>
        <w:rPr>
          <w:rFonts w:eastAsia="Times New Roman"/>
        </w:rPr>
      </w:pPr>
    </w:p>
    <w:p w14:paraId="3D847212" w14:textId="77777777" w:rsidR="00000000" w:rsidRDefault="00195E73">
      <w:pPr>
        <w:ind w:firstLine="450"/>
        <w:divId w:val="399180031"/>
        <w:rPr>
          <w:rFonts w:eastAsia="Times New Roman"/>
        </w:rPr>
      </w:pPr>
      <w:r>
        <w:rPr>
          <w:rFonts w:eastAsia="Times New Roman"/>
          <w:color w:val="000000"/>
          <w:sz w:val="20"/>
          <w:szCs w:val="20"/>
        </w:rPr>
        <w:t>Our segments have additional borrowing availability under certain revolving credit facilities as summarized below</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6974"/>
        <w:gridCol w:w="69"/>
        <w:gridCol w:w="136"/>
        <w:gridCol w:w="948"/>
        <w:gridCol w:w="85"/>
      </w:tblGrid>
      <w:tr w:rsidR="00000000" w14:paraId="11D87FB8" w14:textId="77777777">
        <w:trPr>
          <w:divId w:val="413746567"/>
          <w:jc w:val="center"/>
        </w:trPr>
        <w:tc>
          <w:tcPr>
            <w:tcW w:w="50" w:type="pct"/>
            <w:vAlign w:val="center"/>
            <w:hideMark/>
          </w:tcPr>
          <w:p w14:paraId="1D18E2F9" w14:textId="77777777" w:rsidR="00000000" w:rsidRDefault="00195E73">
            <w:pPr>
              <w:ind w:firstLine="450"/>
              <w:rPr>
                <w:rFonts w:eastAsia="Times New Roman"/>
              </w:rPr>
            </w:pPr>
          </w:p>
        </w:tc>
        <w:tc>
          <w:tcPr>
            <w:tcW w:w="4218" w:type="pct"/>
            <w:vAlign w:val="center"/>
            <w:hideMark/>
          </w:tcPr>
          <w:p w14:paraId="5EC83A67" w14:textId="77777777" w:rsidR="00000000" w:rsidRDefault="00195E73">
            <w:pPr>
              <w:rPr>
                <w:rFonts w:eastAsia="Times New Roman"/>
                <w:sz w:val="20"/>
                <w:szCs w:val="20"/>
              </w:rPr>
            </w:pPr>
          </w:p>
        </w:tc>
        <w:tc>
          <w:tcPr>
            <w:tcW w:w="50" w:type="pct"/>
            <w:vAlign w:val="center"/>
            <w:hideMark/>
          </w:tcPr>
          <w:p w14:paraId="42757A5A" w14:textId="77777777" w:rsidR="00000000" w:rsidRDefault="00195E73">
            <w:pPr>
              <w:rPr>
                <w:rFonts w:eastAsia="Times New Roman"/>
                <w:sz w:val="20"/>
                <w:szCs w:val="20"/>
              </w:rPr>
            </w:pPr>
          </w:p>
        </w:tc>
        <w:tc>
          <w:tcPr>
            <w:tcW w:w="50" w:type="pct"/>
            <w:vAlign w:val="center"/>
            <w:hideMark/>
          </w:tcPr>
          <w:p w14:paraId="2FE3AEFB" w14:textId="77777777" w:rsidR="00000000" w:rsidRDefault="00195E73">
            <w:pPr>
              <w:rPr>
                <w:rFonts w:eastAsia="Times New Roman"/>
                <w:sz w:val="20"/>
                <w:szCs w:val="20"/>
              </w:rPr>
            </w:pPr>
          </w:p>
        </w:tc>
        <w:tc>
          <w:tcPr>
            <w:tcW w:w="581" w:type="pct"/>
            <w:vAlign w:val="center"/>
            <w:hideMark/>
          </w:tcPr>
          <w:p w14:paraId="4CBC9652" w14:textId="77777777" w:rsidR="00000000" w:rsidRDefault="00195E73">
            <w:pPr>
              <w:rPr>
                <w:rFonts w:eastAsia="Times New Roman"/>
                <w:sz w:val="20"/>
                <w:szCs w:val="20"/>
              </w:rPr>
            </w:pPr>
          </w:p>
        </w:tc>
        <w:tc>
          <w:tcPr>
            <w:tcW w:w="50" w:type="pct"/>
            <w:vAlign w:val="center"/>
            <w:hideMark/>
          </w:tcPr>
          <w:p w14:paraId="79DF9809" w14:textId="77777777" w:rsidR="00000000" w:rsidRDefault="00195E73">
            <w:pPr>
              <w:rPr>
                <w:rFonts w:eastAsia="Times New Roman"/>
                <w:sz w:val="20"/>
                <w:szCs w:val="20"/>
              </w:rPr>
            </w:pPr>
          </w:p>
        </w:tc>
      </w:tr>
      <w:tr w:rsidR="00000000" w14:paraId="42B02EB0" w14:textId="77777777">
        <w:trPr>
          <w:divId w:val="413746567"/>
          <w:jc w:val="center"/>
        </w:trPr>
        <w:tc>
          <w:tcPr>
            <w:tcW w:w="0" w:type="auto"/>
            <w:gridSpan w:val="3"/>
            <w:tcMar>
              <w:top w:w="15" w:type="dxa"/>
              <w:left w:w="20" w:type="dxa"/>
              <w:bottom w:w="15" w:type="dxa"/>
              <w:right w:w="20" w:type="dxa"/>
            </w:tcMar>
            <w:vAlign w:val="bottom"/>
            <w:hideMark/>
          </w:tcPr>
          <w:p w14:paraId="39A85F6E"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0B61D189" w14:textId="77777777" w:rsidR="00000000" w:rsidRDefault="00195E73">
            <w:pPr>
              <w:jc w:val="center"/>
              <w:rPr>
                <w:rFonts w:eastAsia="Times New Roman"/>
              </w:rPr>
            </w:pPr>
            <w:r>
              <w:rPr>
                <w:rFonts w:eastAsia="Times New Roman"/>
                <w:b/>
                <w:bCs/>
                <w:color w:val="000000"/>
                <w:sz w:val="20"/>
                <w:szCs w:val="20"/>
              </w:rPr>
              <w:t>December 31, 201</w:t>
            </w:r>
            <w:r>
              <w:rPr>
                <w:rFonts w:eastAsia="Times New Roman"/>
                <w:b/>
                <w:bCs/>
                <w:color w:val="000000"/>
                <w:sz w:val="20"/>
                <w:szCs w:val="20"/>
              </w:rPr>
              <w:t>9</w:t>
            </w:r>
          </w:p>
        </w:tc>
      </w:tr>
      <w:tr w:rsidR="00000000" w14:paraId="7E9F2E57" w14:textId="77777777">
        <w:trPr>
          <w:divId w:val="413746567"/>
          <w:jc w:val="center"/>
        </w:trPr>
        <w:tc>
          <w:tcPr>
            <w:tcW w:w="0" w:type="auto"/>
            <w:gridSpan w:val="3"/>
            <w:tcMar>
              <w:top w:w="15" w:type="dxa"/>
              <w:left w:w="20" w:type="dxa"/>
              <w:bottom w:w="15" w:type="dxa"/>
              <w:right w:w="20" w:type="dxa"/>
            </w:tcMar>
            <w:vAlign w:val="bottom"/>
            <w:hideMark/>
          </w:tcPr>
          <w:p w14:paraId="7BFBFF6F"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833BF0"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r>
      <w:tr w:rsidR="00000000" w14:paraId="1DE451F9" w14:textId="77777777">
        <w:trPr>
          <w:divId w:val="413746567"/>
          <w:jc w:val="center"/>
        </w:trPr>
        <w:tc>
          <w:tcPr>
            <w:tcW w:w="0" w:type="auto"/>
            <w:gridSpan w:val="3"/>
            <w:shd w:val="clear" w:color="auto" w:fill="CCEEFF"/>
            <w:tcMar>
              <w:top w:w="30" w:type="dxa"/>
              <w:left w:w="20" w:type="dxa"/>
              <w:bottom w:w="30" w:type="dxa"/>
              <w:right w:w="20" w:type="dxa"/>
            </w:tcMar>
            <w:vAlign w:val="bottom"/>
            <w:hideMark/>
          </w:tcPr>
          <w:p w14:paraId="3BC1BCBC" w14:textId="77777777" w:rsidR="00000000" w:rsidRDefault="00195E73">
            <w:pPr>
              <w:rPr>
                <w:rFonts w:eastAsia="Times New Roman"/>
              </w:rPr>
            </w:pPr>
            <w:r>
              <w:rPr>
                <w:rFonts w:eastAsia="Times New Roman"/>
                <w:color w:val="000000"/>
                <w:sz w:val="20"/>
                <w:szCs w:val="20"/>
              </w:rPr>
              <w:t>Energ</w:t>
            </w:r>
            <w:r>
              <w:rPr>
                <w:rFonts w:eastAsia="Times New Roman"/>
                <w:color w:val="000000"/>
                <w:sz w:val="20"/>
                <w:szCs w:val="20"/>
              </w:rPr>
              <w:t>y</w:t>
            </w:r>
          </w:p>
        </w:tc>
        <w:tc>
          <w:tcPr>
            <w:tcW w:w="0" w:type="auto"/>
            <w:shd w:val="clear" w:color="auto" w:fill="CCEEFF"/>
            <w:tcMar>
              <w:top w:w="30" w:type="dxa"/>
              <w:left w:w="20" w:type="dxa"/>
              <w:bottom w:w="30" w:type="dxa"/>
              <w:right w:w="15" w:type="dxa"/>
            </w:tcMar>
            <w:vAlign w:val="bottom"/>
            <w:hideMark/>
          </w:tcPr>
          <w:p w14:paraId="12725F5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8BFC3A0" w14:textId="77777777" w:rsidR="00000000" w:rsidRDefault="00195E73">
            <w:pPr>
              <w:jc w:val="right"/>
              <w:rPr>
                <w:rFonts w:eastAsia="Times New Roman"/>
              </w:rPr>
            </w:pPr>
            <w:r>
              <w:rPr>
                <w:rFonts w:eastAsia="Times New Roman"/>
                <w:color w:val="000000"/>
                <w:sz w:val="20"/>
                <w:szCs w:val="20"/>
              </w:rPr>
              <w:t>443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FC0AE1C" w14:textId="77777777" w:rsidR="00000000" w:rsidRDefault="00195E73">
            <w:pPr>
              <w:jc w:val="right"/>
              <w:rPr>
                <w:rFonts w:eastAsia="Times New Roman"/>
              </w:rPr>
            </w:pPr>
            <w:r>
              <w:rPr>
                <w:rFonts w:eastAsia="Times New Roman"/>
                <w:color w:val="000000"/>
                <w:sz w:val="20"/>
                <w:szCs w:val="20"/>
              </w:rPr>
              <w:t> </w:t>
            </w:r>
          </w:p>
        </w:tc>
      </w:tr>
      <w:tr w:rsidR="00000000" w14:paraId="6BF099BE" w14:textId="77777777">
        <w:trPr>
          <w:divId w:val="413746567"/>
          <w:jc w:val="center"/>
        </w:trPr>
        <w:tc>
          <w:tcPr>
            <w:tcW w:w="0" w:type="auto"/>
            <w:gridSpan w:val="3"/>
            <w:shd w:val="clear" w:color="auto" w:fill="FFFFFF"/>
            <w:tcMar>
              <w:top w:w="30" w:type="dxa"/>
              <w:left w:w="20" w:type="dxa"/>
              <w:bottom w:w="30" w:type="dxa"/>
              <w:right w:w="20" w:type="dxa"/>
            </w:tcMar>
            <w:vAlign w:val="bottom"/>
            <w:hideMark/>
          </w:tcPr>
          <w:p w14:paraId="5B298337" w14:textId="77777777" w:rsidR="00000000" w:rsidRDefault="00195E73">
            <w:pPr>
              <w:rPr>
                <w:rFonts w:eastAsia="Times New Roman"/>
              </w:rPr>
            </w:pPr>
            <w:r>
              <w:rPr>
                <w:rFonts w:eastAsia="Times New Roman"/>
                <w:color w:val="000000"/>
                <w:sz w:val="20"/>
                <w:szCs w:val="20"/>
              </w:rPr>
              <w:t>Automotiv</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629BB2F0" w14:textId="77777777" w:rsidR="00000000" w:rsidRDefault="00195E73">
            <w:pPr>
              <w:jc w:val="right"/>
              <w:rPr>
                <w:rFonts w:eastAsia="Times New Roman"/>
              </w:rPr>
            </w:pPr>
            <w:r>
              <w:rPr>
                <w:rFonts w:eastAsia="Times New Roman"/>
                <w:color w:val="000000"/>
                <w:sz w:val="20"/>
                <w:szCs w:val="20"/>
              </w:rPr>
              <w:t>107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A2C98DA" w14:textId="77777777" w:rsidR="00000000" w:rsidRDefault="00195E73">
            <w:pPr>
              <w:jc w:val="right"/>
              <w:rPr>
                <w:rFonts w:eastAsia="Times New Roman"/>
              </w:rPr>
            </w:pPr>
            <w:r>
              <w:rPr>
                <w:rFonts w:eastAsia="Times New Roman"/>
                <w:color w:val="000000"/>
                <w:sz w:val="20"/>
                <w:szCs w:val="20"/>
              </w:rPr>
              <w:t> </w:t>
            </w:r>
          </w:p>
        </w:tc>
      </w:tr>
      <w:tr w:rsidR="00000000" w14:paraId="55E76D23" w14:textId="77777777">
        <w:trPr>
          <w:divId w:val="413746567"/>
          <w:jc w:val="center"/>
        </w:trPr>
        <w:tc>
          <w:tcPr>
            <w:tcW w:w="0" w:type="auto"/>
            <w:gridSpan w:val="3"/>
            <w:shd w:val="clear" w:color="auto" w:fill="CCEEFF"/>
            <w:tcMar>
              <w:top w:w="30" w:type="dxa"/>
              <w:left w:w="20" w:type="dxa"/>
              <w:bottom w:w="30" w:type="dxa"/>
              <w:right w:w="20" w:type="dxa"/>
            </w:tcMar>
            <w:vAlign w:val="bottom"/>
            <w:hideMark/>
          </w:tcPr>
          <w:p w14:paraId="0846F0DC" w14:textId="77777777" w:rsidR="00000000" w:rsidRDefault="00195E73">
            <w:pPr>
              <w:ind w:hanging="180"/>
              <w:divId w:val="1103646603"/>
              <w:rPr>
                <w:rFonts w:eastAsia="Times New Roman"/>
              </w:rPr>
            </w:pPr>
            <w:r>
              <w:rPr>
                <w:rFonts w:eastAsia="Times New Roman"/>
                <w:color w:val="000000"/>
                <w:sz w:val="20"/>
                <w:szCs w:val="20"/>
              </w:rPr>
              <w:t>Food Packagin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14:paraId="2492CB84"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E964525" w14:textId="77777777" w:rsidR="00000000" w:rsidRDefault="00195E73">
            <w:pPr>
              <w:jc w:val="right"/>
              <w:rPr>
                <w:rFonts w:eastAsia="Times New Roman"/>
              </w:rPr>
            </w:pPr>
            <w:r>
              <w:rPr>
                <w:rFonts w:eastAsia="Times New Roman"/>
                <w:color w:val="000000"/>
                <w:sz w:val="20"/>
                <w:szCs w:val="20"/>
              </w:rPr>
              <w:t> </w:t>
            </w:r>
          </w:p>
        </w:tc>
      </w:tr>
      <w:tr w:rsidR="00000000" w14:paraId="673C3476" w14:textId="77777777">
        <w:trPr>
          <w:divId w:val="413746567"/>
          <w:jc w:val="center"/>
        </w:trPr>
        <w:tc>
          <w:tcPr>
            <w:tcW w:w="0" w:type="auto"/>
            <w:gridSpan w:val="3"/>
            <w:shd w:val="clear" w:color="auto" w:fill="FFFFFF"/>
            <w:tcMar>
              <w:top w:w="30" w:type="dxa"/>
              <w:left w:w="20" w:type="dxa"/>
              <w:bottom w:w="30" w:type="dxa"/>
              <w:right w:w="20" w:type="dxa"/>
            </w:tcMar>
            <w:vAlign w:val="bottom"/>
            <w:hideMark/>
          </w:tcPr>
          <w:p w14:paraId="2A52C99C" w14:textId="77777777" w:rsidR="00000000" w:rsidRDefault="00195E73">
            <w:pPr>
              <w:rPr>
                <w:rFonts w:eastAsia="Times New Roman"/>
              </w:rPr>
            </w:pPr>
            <w:r>
              <w:rPr>
                <w:rFonts w:eastAsia="Times New Roman"/>
                <w:color w:val="000000"/>
                <w:sz w:val="20"/>
                <w:szCs w:val="20"/>
              </w:rPr>
              <w:t>Metal</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50D1CBF" w14:textId="77777777" w:rsidR="00000000" w:rsidRDefault="00195E73">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3149245" w14:textId="77777777" w:rsidR="00000000" w:rsidRDefault="00195E73">
            <w:pPr>
              <w:jc w:val="right"/>
              <w:rPr>
                <w:rFonts w:eastAsia="Times New Roman"/>
              </w:rPr>
            </w:pPr>
            <w:r>
              <w:rPr>
                <w:rFonts w:eastAsia="Times New Roman"/>
                <w:color w:val="000000"/>
                <w:sz w:val="20"/>
                <w:szCs w:val="20"/>
              </w:rPr>
              <w:t> </w:t>
            </w:r>
          </w:p>
        </w:tc>
      </w:tr>
      <w:tr w:rsidR="00000000" w14:paraId="7B2B645E" w14:textId="77777777">
        <w:trPr>
          <w:divId w:val="413746567"/>
          <w:jc w:val="center"/>
        </w:trPr>
        <w:tc>
          <w:tcPr>
            <w:tcW w:w="0" w:type="auto"/>
            <w:gridSpan w:val="3"/>
            <w:shd w:val="clear" w:color="auto" w:fill="CCEEFF"/>
            <w:tcMar>
              <w:top w:w="30" w:type="dxa"/>
              <w:left w:w="20" w:type="dxa"/>
              <w:bottom w:w="30" w:type="dxa"/>
              <w:right w:w="20" w:type="dxa"/>
            </w:tcMar>
            <w:vAlign w:val="bottom"/>
            <w:hideMark/>
          </w:tcPr>
          <w:p w14:paraId="0BB57314" w14:textId="77777777" w:rsidR="00000000" w:rsidRDefault="00195E73">
            <w:pPr>
              <w:rPr>
                <w:rFonts w:eastAsia="Times New Roman"/>
              </w:rPr>
            </w:pPr>
            <w:r>
              <w:rPr>
                <w:rFonts w:eastAsia="Times New Roman"/>
                <w:color w:val="000000"/>
                <w:sz w:val="20"/>
                <w:szCs w:val="20"/>
              </w:rPr>
              <w:t>Home Fashio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4B0C826F" w14:textId="77777777" w:rsidR="00000000" w:rsidRDefault="00195E73">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9F4B0B2" w14:textId="77777777" w:rsidR="00000000" w:rsidRDefault="00195E73">
            <w:pPr>
              <w:jc w:val="right"/>
              <w:rPr>
                <w:rFonts w:eastAsia="Times New Roman"/>
              </w:rPr>
            </w:pPr>
            <w:r>
              <w:rPr>
                <w:rFonts w:eastAsia="Times New Roman"/>
                <w:color w:val="000000"/>
                <w:sz w:val="20"/>
                <w:szCs w:val="20"/>
              </w:rPr>
              <w:t> </w:t>
            </w:r>
          </w:p>
        </w:tc>
      </w:tr>
      <w:tr w:rsidR="00000000" w14:paraId="2BA22713" w14:textId="77777777">
        <w:trPr>
          <w:divId w:val="413746567"/>
          <w:jc w:val="center"/>
        </w:trPr>
        <w:tc>
          <w:tcPr>
            <w:tcW w:w="0" w:type="auto"/>
            <w:gridSpan w:val="3"/>
            <w:shd w:val="clear" w:color="auto" w:fill="FFFFFF"/>
            <w:tcMar>
              <w:top w:w="15" w:type="dxa"/>
              <w:left w:w="20" w:type="dxa"/>
              <w:bottom w:w="15" w:type="dxa"/>
              <w:right w:w="20" w:type="dxa"/>
            </w:tcMar>
            <w:vAlign w:val="bottom"/>
            <w:hideMark/>
          </w:tcPr>
          <w:p w14:paraId="4AB663D5"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220BB9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4CCA830D" w14:textId="77777777" w:rsidR="00000000" w:rsidRDefault="00195E73">
            <w:pPr>
              <w:jc w:val="right"/>
              <w:rPr>
                <w:rFonts w:eastAsia="Times New Roman"/>
              </w:rPr>
            </w:pPr>
            <w:r>
              <w:rPr>
                <w:rFonts w:eastAsia="Times New Roman"/>
                <w:color w:val="000000"/>
                <w:sz w:val="20"/>
                <w:szCs w:val="20"/>
              </w:rPr>
              <w:t>607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0125DB8" w14:textId="77777777" w:rsidR="00000000" w:rsidRDefault="00195E73">
            <w:pPr>
              <w:jc w:val="right"/>
              <w:rPr>
                <w:rFonts w:eastAsia="Times New Roman"/>
              </w:rPr>
            </w:pPr>
            <w:r>
              <w:rPr>
                <w:rFonts w:eastAsia="Times New Roman"/>
                <w:color w:val="000000"/>
                <w:sz w:val="20"/>
                <w:szCs w:val="20"/>
              </w:rPr>
              <w:t> </w:t>
            </w:r>
          </w:p>
        </w:tc>
      </w:tr>
    </w:tbl>
    <w:p w14:paraId="06C1C578" w14:textId="77777777" w:rsidR="00000000" w:rsidRDefault="00195E73">
      <w:pPr>
        <w:ind w:firstLine="450"/>
        <w:divId w:val="1585603278"/>
        <w:rPr>
          <w:rFonts w:eastAsia="Times New Roman"/>
        </w:rPr>
      </w:pPr>
      <w:r>
        <w:rPr>
          <w:rFonts w:eastAsia="Times New Roman"/>
          <w:color w:val="000000"/>
          <w:sz w:val="20"/>
          <w:szCs w:val="20"/>
        </w:rPr>
        <w:t>The above outstanding debt and borrowing availability with respect to each of our continuing operating segments reflects third-party obligations. Certain terms of financings for certain of our businesses impose restrictions on the business’ ability to tran</w:t>
      </w:r>
      <w:r>
        <w:rPr>
          <w:rFonts w:eastAsia="Times New Roman"/>
          <w:color w:val="000000"/>
          <w:sz w:val="20"/>
          <w:szCs w:val="20"/>
        </w:rPr>
        <w:t>sfer funds to us, including restrictions on dividends, distribution, loans and other transactions. See Note 11, “Debt,” to the consolidated financial statements for further discussion regarding our segment debt, including information relating to maturities</w:t>
      </w:r>
      <w:r>
        <w:rPr>
          <w:rFonts w:eastAsia="Times New Roman"/>
          <w:color w:val="000000"/>
          <w:sz w:val="20"/>
          <w:szCs w:val="20"/>
        </w:rPr>
        <w:t>, interest rates and borrowing availabilities</w:t>
      </w:r>
      <w:r>
        <w:rPr>
          <w:rFonts w:eastAsia="Times New Roman"/>
          <w:color w:val="000000"/>
          <w:sz w:val="20"/>
          <w:szCs w:val="20"/>
        </w:rPr>
        <w:t>.</w:t>
      </w:r>
    </w:p>
    <w:p w14:paraId="52C13D99" w14:textId="77777777" w:rsidR="00000000" w:rsidRDefault="00195E73">
      <w:pPr>
        <w:ind w:firstLine="450"/>
        <w:divId w:val="328602851"/>
        <w:rPr>
          <w:rFonts w:eastAsia="Times New Roman"/>
        </w:rPr>
      </w:pPr>
      <w:r>
        <w:rPr>
          <w:rFonts w:eastAsia="Times New Roman"/>
          <w:color w:val="000000"/>
          <w:sz w:val="20"/>
          <w:szCs w:val="20"/>
        </w:rPr>
        <w:t>On January 27, 2020, CVR Energy issued $600 million in aggregate principal amount of 5.25% senior unsecured notes due 2025 and $400 million in aggregate principal amount of 5.75% senior unsecured notes due 202</w:t>
      </w:r>
      <w:r>
        <w:rPr>
          <w:rFonts w:eastAsia="Times New Roman"/>
          <w:color w:val="000000"/>
          <w:sz w:val="20"/>
          <w:szCs w:val="20"/>
        </w:rPr>
        <w:t>8. A portion of the net proceeds from the issuance of these notes were used to fund the redemption of CVR Energy’s existing senior unsecured notes due 2022. The remaining net proceeds will be used for CVR Energy’s general corporate purposes, which may incl</w:t>
      </w:r>
      <w:r>
        <w:rPr>
          <w:rFonts w:eastAsia="Times New Roman"/>
          <w:color w:val="000000"/>
          <w:sz w:val="20"/>
          <w:szCs w:val="20"/>
        </w:rPr>
        <w:t>ude funding (i) acquisitions, (ii) capital projects, and/or (iii) share repurchases or other distributions to CVR Energy’s stockholders.</w:t>
      </w:r>
      <w:r>
        <w:rPr>
          <w:rFonts w:eastAsia="Times New Roman"/>
          <w:color w:val="000000"/>
          <w:sz w:val="20"/>
          <w:szCs w:val="20"/>
        </w:rPr>
        <w:t xml:space="preserve"> </w:t>
      </w:r>
    </w:p>
    <w:p w14:paraId="5A64E87A" w14:textId="77777777" w:rsidR="00000000" w:rsidRDefault="00195E73">
      <w:pPr>
        <w:divId w:val="1376274375"/>
        <w:rPr>
          <w:rFonts w:eastAsia="Times New Roman"/>
        </w:rPr>
      </w:pPr>
      <w:r>
        <w:rPr>
          <w:rFonts w:eastAsia="Times New Roman"/>
          <w:i/>
          <w:iCs/>
          <w:color w:val="000000"/>
          <w:sz w:val="20"/>
          <w:szCs w:val="20"/>
        </w:rPr>
        <w:t>Subsidiary Stock Repurchase Progra</w:t>
      </w:r>
      <w:r>
        <w:rPr>
          <w:rFonts w:eastAsia="Times New Roman"/>
          <w:i/>
          <w:iCs/>
          <w:color w:val="000000"/>
          <w:sz w:val="20"/>
          <w:szCs w:val="20"/>
        </w:rPr>
        <w:t>m</w:t>
      </w:r>
    </w:p>
    <w:p w14:paraId="6C377E9D" w14:textId="77777777" w:rsidR="00000000" w:rsidRDefault="00195E73">
      <w:pPr>
        <w:ind w:firstLine="450"/>
        <w:divId w:val="875391517"/>
        <w:rPr>
          <w:rFonts w:eastAsia="Times New Roman"/>
        </w:rPr>
      </w:pPr>
      <w:r>
        <w:rPr>
          <w:rFonts w:eastAsia="Times New Roman"/>
          <w:color w:val="000000"/>
          <w:sz w:val="20"/>
          <w:szCs w:val="20"/>
        </w:rPr>
        <w:t>On October 23, 2019, the Board of Directors of CVR Energy approved a stock repurch</w:t>
      </w:r>
      <w:r>
        <w:rPr>
          <w:rFonts w:eastAsia="Times New Roman"/>
          <w:color w:val="000000"/>
          <w:sz w:val="20"/>
          <w:szCs w:val="20"/>
        </w:rPr>
        <w:t>ase program which would enable it to repurchase up to $300 million of its common stock from time to time through open market transactions, block trades, privately negotiated transactions or otherwise in accordance with applicable securities laws. The stock</w:t>
      </w:r>
      <w:r>
        <w:rPr>
          <w:rFonts w:eastAsia="Times New Roman"/>
          <w:color w:val="000000"/>
          <w:sz w:val="20"/>
          <w:szCs w:val="20"/>
        </w:rPr>
        <w:t xml:space="preserve"> repurchase program has a duration of four years, which may be terminated by the Board of Directors of CVR Energy at any time. Repurchases, if any, including the timing, price and amount, may be made at the discretion of CVR Energy management and CVR Energ</w:t>
      </w:r>
      <w:r>
        <w:rPr>
          <w:rFonts w:eastAsia="Times New Roman"/>
          <w:color w:val="000000"/>
          <w:sz w:val="20"/>
          <w:szCs w:val="20"/>
        </w:rPr>
        <w:t>y is not obligated to make any repurchases. CVR Energy did not repurchase any of its shares of common stock during 2019</w:t>
      </w:r>
      <w:r>
        <w:rPr>
          <w:rFonts w:eastAsia="Times New Roman"/>
          <w:color w:val="000000"/>
          <w:sz w:val="20"/>
          <w:szCs w:val="20"/>
        </w:rPr>
        <w:t>.</w:t>
      </w:r>
    </w:p>
    <w:p w14:paraId="28013543" w14:textId="77777777" w:rsidR="00000000" w:rsidRDefault="00195E73">
      <w:pPr>
        <w:divId w:val="1884631887"/>
        <w:rPr>
          <w:rFonts w:eastAsia="Times New Roman"/>
        </w:rPr>
      </w:pPr>
      <w:r>
        <w:rPr>
          <w:rFonts w:eastAsia="Times New Roman"/>
          <w:b/>
          <w:bCs/>
          <w:i/>
          <w:iCs/>
          <w:color w:val="000000"/>
          <w:sz w:val="20"/>
          <w:szCs w:val="20"/>
        </w:rPr>
        <w:t>Consolidated Cash Flow</w:t>
      </w:r>
      <w:r>
        <w:rPr>
          <w:rFonts w:eastAsia="Times New Roman"/>
          <w:b/>
          <w:bCs/>
          <w:i/>
          <w:iCs/>
          <w:color w:val="000000"/>
          <w:sz w:val="20"/>
          <w:szCs w:val="20"/>
        </w:rPr>
        <w:t>s</w:t>
      </w:r>
    </w:p>
    <w:p w14:paraId="5165184A" w14:textId="77777777" w:rsidR="00000000" w:rsidRDefault="00195E73">
      <w:pPr>
        <w:ind w:firstLine="450"/>
        <w:divId w:val="1704011097"/>
        <w:rPr>
          <w:rFonts w:eastAsia="Times New Roman"/>
        </w:rPr>
      </w:pPr>
      <w:r>
        <w:rPr>
          <w:rFonts w:eastAsia="Times New Roman"/>
          <w:color w:val="000000"/>
          <w:sz w:val="20"/>
          <w:szCs w:val="20"/>
        </w:rPr>
        <w:t>Our Holding Company’</w:t>
      </w:r>
      <w:r>
        <w:rPr>
          <w:rFonts w:eastAsia="Times New Roman"/>
          <w:color w:val="000000"/>
          <w:sz w:val="20"/>
          <w:szCs w:val="20"/>
        </w:rPr>
        <w:t>s cash flows are generally driven by payments and proceeds associated with our senior unsecured debt obligations and payments and proceeds associated with equity transactions with Icahn Enterprises’ depositary unitholders. Additionally, our Holding Company</w:t>
      </w:r>
      <w:r>
        <w:rPr>
          <w:rFonts w:eastAsia="Times New Roman"/>
          <w:color w:val="000000"/>
          <w:sz w:val="20"/>
          <w:szCs w:val="20"/>
        </w:rPr>
        <w:t>’s cash flows include transactions with our Investment and other operating segments. Our Investment segment’s cash flows are primarily driven by investment transactions, which are included in net cash flows from operating activities due to the nature of it</w:t>
      </w:r>
      <w:r>
        <w:rPr>
          <w:rFonts w:eastAsia="Times New Roman"/>
          <w:color w:val="000000"/>
          <w:sz w:val="20"/>
          <w:szCs w:val="20"/>
        </w:rPr>
        <w:t>s business, as well as contributions to and distributions from Mr. Icahn and his affiliates (including Icahn Enterprises and Icahn Enterprises Holdings), which are included in net cash flows from financing activities. Our other operating segments’ cash flo</w:t>
      </w:r>
      <w:r>
        <w:rPr>
          <w:rFonts w:eastAsia="Times New Roman"/>
          <w:color w:val="000000"/>
          <w:sz w:val="20"/>
          <w:szCs w:val="20"/>
        </w:rPr>
        <w:t>ws are driven by the activities and performance of each business as well as transactions with our Holding Company, as discussed below.</w:t>
      </w:r>
      <w:r>
        <w:rPr>
          <w:rFonts w:eastAsia="Times New Roman"/>
          <w:color w:val="000000"/>
          <w:sz w:val="20"/>
          <w:szCs w:val="20"/>
        </w:rPr>
        <w:t xml:space="preserve"> </w:t>
      </w:r>
    </w:p>
    <w:p w14:paraId="2E61BDA1" w14:textId="77777777" w:rsidR="00000000" w:rsidRDefault="00195E73">
      <w:pPr>
        <w:ind w:firstLine="450"/>
        <w:divId w:val="1391996904"/>
        <w:rPr>
          <w:rFonts w:eastAsia="Times New Roman"/>
        </w:rPr>
      </w:pPr>
    </w:p>
    <w:p w14:paraId="76B48ECB" w14:textId="77777777" w:rsidR="00000000" w:rsidRDefault="00195E73">
      <w:pPr>
        <w:jc w:val="center"/>
        <w:divId w:val="1703439463"/>
        <w:rPr>
          <w:rFonts w:eastAsia="Times New Roman"/>
        </w:rPr>
      </w:pPr>
      <w:r>
        <w:rPr>
          <w:rFonts w:eastAsia="Times New Roman"/>
          <w:color w:val="000000"/>
          <w:sz w:val="20"/>
          <w:szCs w:val="20"/>
        </w:rPr>
        <w:t>4</w:t>
      </w:r>
      <w:r>
        <w:rPr>
          <w:rFonts w:eastAsia="Times New Roman"/>
          <w:color w:val="000000"/>
          <w:sz w:val="20"/>
          <w:szCs w:val="20"/>
        </w:rPr>
        <w:t>1</w:t>
      </w:r>
    </w:p>
    <w:p w14:paraId="07D702A0" w14:textId="77777777" w:rsidR="00000000" w:rsidRDefault="00195E73">
      <w:pPr>
        <w:rPr>
          <w:rFonts w:eastAsia="Times New Roman"/>
        </w:rPr>
      </w:pPr>
      <w:r>
        <w:rPr>
          <w:rFonts w:eastAsia="Times New Roman"/>
        </w:rPr>
        <w:pict w14:anchorId="55789748">
          <v:rect id="_x0000_i1067" style="width:0;height:1.5pt" o:hralign="center" o:hrstd="t" o:hr="t" fillcolor="#a0a0a0" stroked="f"/>
        </w:pict>
      </w:r>
    </w:p>
    <w:p w14:paraId="5E8C77C9" w14:textId="77777777" w:rsidR="00000000" w:rsidRDefault="00195E73">
      <w:pPr>
        <w:divId w:val="561915423"/>
        <w:rPr>
          <w:rFonts w:eastAsia="Times New Roman"/>
        </w:rPr>
      </w:pPr>
    </w:p>
    <w:p w14:paraId="4DDC34AF" w14:textId="77777777" w:rsidR="00000000" w:rsidRDefault="00195E73">
      <w:pPr>
        <w:ind w:firstLine="450"/>
        <w:divId w:val="412626355"/>
        <w:rPr>
          <w:rFonts w:eastAsia="Times New Roman"/>
        </w:rPr>
      </w:pPr>
      <w:r>
        <w:rPr>
          <w:rFonts w:eastAsia="Times New Roman"/>
          <w:color w:val="000000"/>
          <w:sz w:val="20"/>
          <w:szCs w:val="20"/>
        </w:rPr>
        <w:t xml:space="preserve">The following table summarizes cash flow information for Icahn Enterprises’ </w:t>
      </w:r>
      <w:r>
        <w:rPr>
          <w:rFonts w:eastAsia="Times New Roman"/>
          <w:color w:val="000000"/>
          <w:sz w:val="20"/>
          <w:szCs w:val="20"/>
        </w:rPr>
        <w:t>reporting segments and our Holding Company</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0"/>
        <w:gridCol w:w="937"/>
        <w:gridCol w:w="50"/>
        <w:gridCol w:w="125"/>
        <w:gridCol w:w="540"/>
        <w:gridCol w:w="80"/>
        <w:gridCol w:w="36"/>
        <w:gridCol w:w="36"/>
        <w:gridCol w:w="36"/>
        <w:gridCol w:w="126"/>
        <w:gridCol w:w="511"/>
        <w:gridCol w:w="84"/>
        <w:gridCol w:w="36"/>
        <w:gridCol w:w="36"/>
        <w:gridCol w:w="36"/>
        <w:gridCol w:w="126"/>
        <w:gridCol w:w="546"/>
        <w:gridCol w:w="89"/>
        <w:gridCol w:w="36"/>
        <w:gridCol w:w="36"/>
        <w:gridCol w:w="36"/>
        <w:gridCol w:w="126"/>
        <w:gridCol w:w="562"/>
        <w:gridCol w:w="90"/>
        <w:gridCol w:w="36"/>
        <w:gridCol w:w="36"/>
        <w:gridCol w:w="36"/>
        <w:gridCol w:w="126"/>
        <w:gridCol w:w="511"/>
        <w:gridCol w:w="84"/>
        <w:gridCol w:w="36"/>
        <w:gridCol w:w="36"/>
        <w:gridCol w:w="36"/>
        <w:gridCol w:w="126"/>
        <w:gridCol w:w="546"/>
        <w:gridCol w:w="89"/>
        <w:gridCol w:w="36"/>
        <w:gridCol w:w="36"/>
        <w:gridCol w:w="36"/>
        <w:gridCol w:w="125"/>
        <w:gridCol w:w="540"/>
        <w:gridCol w:w="80"/>
        <w:gridCol w:w="36"/>
        <w:gridCol w:w="36"/>
        <w:gridCol w:w="36"/>
        <w:gridCol w:w="126"/>
        <w:gridCol w:w="511"/>
        <w:gridCol w:w="84"/>
        <w:gridCol w:w="36"/>
        <w:gridCol w:w="36"/>
        <w:gridCol w:w="36"/>
        <w:gridCol w:w="126"/>
        <w:gridCol w:w="546"/>
        <w:gridCol w:w="89"/>
        <w:gridCol w:w="36"/>
        <w:gridCol w:w="36"/>
        <w:gridCol w:w="36"/>
        <w:gridCol w:w="36"/>
        <w:gridCol w:w="36"/>
        <w:gridCol w:w="36"/>
        <w:gridCol w:w="36"/>
        <w:gridCol w:w="36"/>
        <w:gridCol w:w="733"/>
      </w:tblGrid>
      <w:tr w:rsidR="00000000" w14:paraId="3ECB57C0" w14:textId="77777777">
        <w:trPr>
          <w:gridAfter w:val="9"/>
          <w:divId w:val="1470898262"/>
          <w:jc w:val="center"/>
        </w:trPr>
        <w:tc>
          <w:tcPr>
            <w:tcW w:w="50" w:type="pct"/>
            <w:vAlign w:val="center"/>
            <w:hideMark/>
          </w:tcPr>
          <w:p w14:paraId="13DDEF2D" w14:textId="77777777" w:rsidR="00000000" w:rsidRDefault="00195E73">
            <w:pPr>
              <w:ind w:firstLine="450"/>
              <w:rPr>
                <w:rFonts w:eastAsia="Times New Roman"/>
              </w:rPr>
            </w:pPr>
          </w:p>
        </w:tc>
        <w:tc>
          <w:tcPr>
            <w:tcW w:w="955" w:type="pct"/>
            <w:vAlign w:val="center"/>
            <w:hideMark/>
          </w:tcPr>
          <w:p w14:paraId="442D3D68" w14:textId="77777777" w:rsidR="00000000" w:rsidRDefault="00195E73">
            <w:pPr>
              <w:rPr>
                <w:rFonts w:eastAsia="Times New Roman"/>
                <w:sz w:val="20"/>
                <w:szCs w:val="20"/>
              </w:rPr>
            </w:pPr>
          </w:p>
        </w:tc>
        <w:tc>
          <w:tcPr>
            <w:tcW w:w="50" w:type="pct"/>
            <w:vAlign w:val="center"/>
            <w:hideMark/>
          </w:tcPr>
          <w:p w14:paraId="16999121" w14:textId="77777777" w:rsidR="00000000" w:rsidRDefault="00195E73">
            <w:pPr>
              <w:rPr>
                <w:rFonts w:eastAsia="Times New Roman"/>
                <w:sz w:val="20"/>
                <w:szCs w:val="20"/>
              </w:rPr>
            </w:pPr>
          </w:p>
        </w:tc>
        <w:tc>
          <w:tcPr>
            <w:tcW w:w="50" w:type="pct"/>
            <w:vAlign w:val="center"/>
            <w:hideMark/>
          </w:tcPr>
          <w:p w14:paraId="1C616A5E" w14:textId="77777777" w:rsidR="00000000" w:rsidRDefault="00195E73">
            <w:pPr>
              <w:rPr>
                <w:rFonts w:eastAsia="Times New Roman"/>
                <w:sz w:val="20"/>
                <w:szCs w:val="20"/>
              </w:rPr>
            </w:pPr>
          </w:p>
        </w:tc>
        <w:tc>
          <w:tcPr>
            <w:tcW w:w="310" w:type="pct"/>
            <w:vAlign w:val="center"/>
            <w:hideMark/>
          </w:tcPr>
          <w:p w14:paraId="603A67A5" w14:textId="77777777" w:rsidR="00000000" w:rsidRDefault="00195E73">
            <w:pPr>
              <w:rPr>
                <w:rFonts w:eastAsia="Times New Roman"/>
                <w:sz w:val="20"/>
                <w:szCs w:val="20"/>
              </w:rPr>
            </w:pPr>
          </w:p>
        </w:tc>
        <w:tc>
          <w:tcPr>
            <w:tcW w:w="50" w:type="pct"/>
            <w:vAlign w:val="center"/>
            <w:hideMark/>
          </w:tcPr>
          <w:p w14:paraId="3BA71A6E" w14:textId="77777777" w:rsidR="00000000" w:rsidRDefault="00195E73">
            <w:pPr>
              <w:rPr>
                <w:rFonts w:eastAsia="Times New Roman"/>
                <w:sz w:val="20"/>
                <w:szCs w:val="20"/>
              </w:rPr>
            </w:pPr>
          </w:p>
        </w:tc>
        <w:tc>
          <w:tcPr>
            <w:tcW w:w="5" w:type="pct"/>
            <w:vAlign w:val="center"/>
            <w:hideMark/>
          </w:tcPr>
          <w:p w14:paraId="14ADC09C" w14:textId="77777777" w:rsidR="00000000" w:rsidRDefault="00195E73">
            <w:pPr>
              <w:rPr>
                <w:rFonts w:eastAsia="Times New Roman"/>
                <w:sz w:val="20"/>
                <w:szCs w:val="20"/>
              </w:rPr>
            </w:pPr>
          </w:p>
        </w:tc>
        <w:tc>
          <w:tcPr>
            <w:tcW w:w="26" w:type="pct"/>
            <w:vAlign w:val="center"/>
            <w:hideMark/>
          </w:tcPr>
          <w:p w14:paraId="68C2E18F" w14:textId="77777777" w:rsidR="00000000" w:rsidRDefault="00195E73">
            <w:pPr>
              <w:rPr>
                <w:rFonts w:eastAsia="Times New Roman"/>
                <w:sz w:val="20"/>
                <w:szCs w:val="20"/>
              </w:rPr>
            </w:pPr>
          </w:p>
        </w:tc>
        <w:tc>
          <w:tcPr>
            <w:tcW w:w="5" w:type="pct"/>
            <w:vAlign w:val="center"/>
            <w:hideMark/>
          </w:tcPr>
          <w:p w14:paraId="17541054" w14:textId="77777777" w:rsidR="00000000" w:rsidRDefault="00195E73">
            <w:pPr>
              <w:rPr>
                <w:rFonts w:eastAsia="Times New Roman"/>
                <w:sz w:val="20"/>
                <w:szCs w:val="20"/>
              </w:rPr>
            </w:pPr>
          </w:p>
        </w:tc>
        <w:tc>
          <w:tcPr>
            <w:tcW w:w="50" w:type="pct"/>
            <w:vAlign w:val="center"/>
            <w:hideMark/>
          </w:tcPr>
          <w:p w14:paraId="0F033724" w14:textId="77777777" w:rsidR="00000000" w:rsidRDefault="00195E73">
            <w:pPr>
              <w:rPr>
                <w:rFonts w:eastAsia="Times New Roman"/>
                <w:sz w:val="20"/>
                <w:szCs w:val="20"/>
              </w:rPr>
            </w:pPr>
          </w:p>
        </w:tc>
        <w:tc>
          <w:tcPr>
            <w:tcW w:w="303" w:type="pct"/>
            <w:vAlign w:val="center"/>
            <w:hideMark/>
          </w:tcPr>
          <w:p w14:paraId="096724A4" w14:textId="77777777" w:rsidR="00000000" w:rsidRDefault="00195E73">
            <w:pPr>
              <w:rPr>
                <w:rFonts w:eastAsia="Times New Roman"/>
                <w:sz w:val="20"/>
                <w:szCs w:val="20"/>
              </w:rPr>
            </w:pPr>
          </w:p>
        </w:tc>
        <w:tc>
          <w:tcPr>
            <w:tcW w:w="50" w:type="pct"/>
            <w:vAlign w:val="center"/>
            <w:hideMark/>
          </w:tcPr>
          <w:p w14:paraId="54F562C5" w14:textId="77777777" w:rsidR="00000000" w:rsidRDefault="00195E73">
            <w:pPr>
              <w:rPr>
                <w:rFonts w:eastAsia="Times New Roman"/>
                <w:sz w:val="20"/>
                <w:szCs w:val="20"/>
              </w:rPr>
            </w:pPr>
          </w:p>
        </w:tc>
        <w:tc>
          <w:tcPr>
            <w:tcW w:w="5" w:type="pct"/>
            <w:vAlign w:val="center"/>
            <w:hideMark/>
          </w:tcPr>
          <w:p w14:paraId="64DB0C6F" w14:textId="77777777" w:rsidR="00000000" w:rsidRDefault="00195E73">
            <w:pPr>
              <w:rPr>
                <w:rFonts w:eastAsia="Times New Roman"/>
                <w:sz w:val="20"/>
                <w:szCs w:val="20"/>
              </w:rPr>
            </w:pPr>
          </w:p>
        </w:tc>
        <w:tc>
          <w:tcPr>
            <w:tcW w:w="26" w:type="pct"/>
            <w:vAlign w:val="center"/>
            <w:hideMark/>
          </w:tcPr>
          <w:p w14:paraId="4278FB9B" w14:textId="77777777" w:rsidR="00000000" w:rsidRDefault="00195E73">
            <w:pPr>
              <w:rPr>
                <w:rFonts w:eastAsia="Times New Roman"/>
                <w:sz w:val="20"/>
                <w:szCs w:val="20"/>
              </w:rPr>
            </w:pPr>
          </w:p>
        </w:tc>
        <w:tc>
          <w:tcPr>
            <w:tcW w:w="5" w:type="pct"/>
            <w:vAlign w:val="center"/>
            <w:hideMark/>
          </w:tcPr>
          <w:p w14:paraId="365937C2" w14:textId="77777777" w:rsidR="00000000" w:rsidRDefault="00195E73">
            <w:pPr>
              <w:rPr>
                <w:rFonts w:eastAsia="Times New Roman"/>
                <w:sz w:val="20"/>
                <w:szCs w:val="20"/>
              </w:rPr>
            </w:pPr>
          </w:p>
        </w:tc>
        <w:tc>
          <w:tcPr>
            <w:tcW w:w="50" w:type="pct"/>
            <w:vAlign w:val="center"/>
            <w:hideMark/>
          </w:tcPr>
          <w:p w14:paraId="17BCEE23" w14:textId="77777777" w:rsidR="00000000" w:rsidRDefault="00195E73">
            <w:pPr>
              <w:rPr>
                <w:rFonts w:eastAsia="Times New Roman"/>
                <w:sz w:val="20"/>
                <w:szCs w:val="20"/>
              </w:rPr>
            </w:pPr>
          </w:p>
        </w:tc>
        <w:tc>
          <w:tcPr>
            <w:tcW w:w="303" w:type="pct"/>
            <w:vAlign w:val="center"/>
            <w:hideMark/>
          </w:tcPr>
          <w:p w14:paraId="46087454" w14:textId="77777777" w:rsidR="00000000" w:rsidRDefault="00195E73">
            <w:pPr>
              <w:rPr>
                <w:rFonts w:eastAsia="Times New Roman"/>
                <w:sz w:val="20"/>
                <w:szCs w:val="20"/>
              </w:rPr>
            </w:pPr>
          </w:p>
        </w:tc>
        <w:tc>
          <w:tcPr>
            <w:tcW w:w="50" w:type="pct"/>
            <w:vAlign w:val="center"/>
            <w:hideMark/>
          </w:tcPr>
          <w:p w14:paraId="4D639C85" w14:textId="77777777" w:rsidR="00000000" w:rsidRDefault="00195E73">
            <w:pPr>
              <w:rPr>
                <w:rFonts w:eastAsia="Times New Roman"/>
                <w:sz w:val="20"/>
                <w:szCs w:val="20"/>
              </w:rPr>
            </w:pPr>
          </w:p>
        </w:tc>
        <w:tc>
          <w:tcPr>
            <w:tcW w:w="5" w:type="pct"/>
            <w:vAlign w:val="center"/>
            <w:hideMark/>
          </w:tcPr>
          <w:p w14:paraId="01788AA3" w14:textId="77777777" w:rsidR="00000000" w:rsidRDefault="00195E73">
            <w:pPr>
              <w:rPr>
                <w:rFonts w:eastAsia="Times New Roman"/>
                <w:sz w:val="20"/>
                <w:szCs w:val="20"/>
              </w:rPr>
            </w:pPr>
          </w:p>
        </w:tc>
        <w:tc>
          <w:tcPr>
            <w:tcW w:w="26" w:type="pct"/>
            <w:vAlign w:val="center"/>
            <w:hideMark/>
          </w:tcPr>
          <w:p w14:paraId="086B4D69" w14:textId="77777777" w:rsidR="00000000" w:rsidRDefault="00195E73">
            <w:pPr>
              <w:rPr>
                <w:rFonts w:eastAsia="Times New Roman"/>
                <w:sz w:val="20"/>
                <w:szCs w:val="20"/>
              </w:rPr>
            </w:pPr>
          </w:p>
        </w:tc>
        <w:tc>
          <w:tcPr>
            <w:tcW w:w="5" w:type="pct"/>
            <w:vAlign w:val="center"/>
            <w:hideMark/>
          </w:tcPr>
          <w:p w14:paraId="17855F7C" w14:textId="77777777" w:rsidR="00000000" w:rsidRDefault="00195E73">
            <w:pPr>
              <w:rPr>
                <w:rFonts w:eastAsia="Times New Roman"/>
                <w:sz w:val="20"/>
                <w:szCs w:val="20"/>
              </w:rPr>
            </w:pPr>
          </w:p>
        </w:tc>
        <w:tc>
          <w:tcPr>
            <w:tcW w:w="50" w:type="pct"/>
            <w:vAlign w:val="center"/>
            <w:hideMark/>
          </w:tcPr>
          <w:p w14:paraId="72ACC8B6" w14:textId="77777777" w:rsidR="00000000" w:rsidRDefault="00195E73">
            <w:pPr>
              <w:rPr>
                <w:rFonts w:eastAsia="Times New Roman"/>
                <w:sz w:val="20"/>
                <w:szCs w:val="20"/>
              </w:rPr>
            </w:pPr>
          </w:p>
        </w:tc>
        <w:tc>
          <w:tcPr>
            <w:tcW w:w="310" w:type="pct"/>
            <w:vAlign w:val="center"/>
            <w:hideMark/>
          </w:tcPr>
          <w:p w14:paraId="699CDA33" w14:textId="77777777" w:rsidR="00000000" w:rsidRDefault="00195E73">
            <w:pPr>
              <w:rPr>
                <w:rFonts w:eastAsia="Times New Roman"/>
                <w:sz w:val="20"/>
                <w:szCs w:val="20"/>
              </w:rPr>
            </w:pPr>
          </w:p>
        </w:tc>
        <w:tc>
          <w:tcPr>
            <w:tcW w:w="50" w:type="pct"/>
            <w:vAlign w:val="center"/>
            <w:hideMark/>
          </w:tcPr>
          <w:p w14:paraId="416BC44C" w14:textId="77777777" w:rsidR="00000000" w:rsidRDefault="00195E73">
            <w:pPr>
              <w:rPr>
                <w:rFonts w:eastAsia="Times New Roman"/>
                <w:sz w:val="20"/>
                <w:szCs w:val="20"/>
              </w:rPr>
            </w:pPr>
          </w:p>
        </w:tc>
        <w:tc>
          <w:tcPr>
            <w:tcW w:w="5" w:type="pct"/>
            <w:vAlign w:val="center"/>
            <w:hideMark/>
          </w:tcPr>
          <w:p w14:paraId="5E56756B" w14:textId="77777777" w:rsidR="00000000" w:rsidRDefault="00195E73">
            <w:pPr>
              <w:rPr>
                <w:rFonts w:eastAsia="Times New Roman"/>
                <w:sz w:val="20"/>
                <w:szCs w:val="20"/>
              </w:rPr>
            </w:pPr>
          </w:p>
        </w:tc>
        <w:tc>
          <w:tcPr>
            <w:tcW w:w="26" w:type="pct"/>
            <w:vAlign w:val="center"/>
            <w:hideMark/>
          </w:tcPr>
          <w:p w14:paraId="35E37399" w14:textId="77777777" w:rsidR="00000000" w:rsidRDefault="00195E73">
            <w:pPr>
              <w:rPr>
                <w:rFonts w:eastAsia="Times New Roman"/>
                <w:sz w:val="20"/>
                <w:szCs w:val="20"/>
              </w:rPr>
            </w:pPr>
          </w:p>
        </w:tc>
        <w:tc>
          <w:tcPr>
            <w:tcW w:w="5" w:type="pct"/>
            <w:vAlign w:val="center"/>
            <w:hideMark/>
          </w:tcPr>
          <w:p w14:paraId="71D6735F" w14:textId="77777777" w:rsidR="00000000" w:rsidRDefault="00195E73">
            <w:pPr>
              <w:rPr>
                <w:rFonts w:eastAsia="Times New Roman"/>
                <w:sz w:val="20"/>
                <w:szCs w:val="20"/>
              </w:rPr>
            </w:pPr>
          </w:p>
        </w:tc>
        <w:tc>
          <w:tcPr>
            <w:tcW w:w="50" w:type="pct"/>
            <w:vAlign w:val="center"/>
            <w:hideMark/>
          </w:tcPr>
          <w:p w14:paraId="4B14E598" w14:textId="77777777" w:rsidR="00000000" w:rsidRDefault="00195E73">
            <w:pPr>
              <w:rPr>
                <w:rFonts w:eastAsia="Times New Roman"/>
                <w:sz w:val="20"/>
                <w:szCs w:val="20"/>
              </w:rPr>
            </w:pPr>
          </w:p>
        </w:tc>
        <w:tc>
          <w:tcPr>
            <w:tcW w:w="303" w:type="pct"/>
            <w:vAlign w:val="center"/>
            <w:hideMark/>
          </w:tcPr>
          <w:p w14:paraId="7BB8C937" w14:textId="77777777" w:rsidR="00000000" w:rsidRDefault="00195E73">
            <w:pPr>
              <w:rPr>
                <w:rFonts w:eastAsia="Times New Roman"/>
                <w:sz w:val="20"/>
                <w:szCs w:val="20"/>
              </w:rPr>
            </w:pPr>
          </w:p>
        </w:tc>
        <w:tc>
          <w:tcPr>
            <w:tcW w:w="50" w:type="pct"/>
            <w:vAlign w:val="center"/>
            <w:hideMark/>
          </w:tcPr>
          <w:p w14:paraId="7B0C2A61" w14:textId="77777777" w:rsidR="00000000" w:rsidRDefault="00195E73">
            <w:pPr>
              <w:rPr>
                <w:rFonts w:eastAsia="Times New Roman"/>
                <w:sz w:val="20"/>
                <w:szCs w:val="20"/>
              </w:rPr>
            </w:pPr>
          </w:p>
        </w:tc>
        <w:tc>
          <w:tcPr>
            <w:tcW w:w="5" w:type="pct"/>
            <w:vAlign w:val="center"/>
            <w:hideMark/>
          </w:tcPr>
          <w:p w14:paraId="1CC2BE8E" w14:textId="77777777" w:rsidR="00000000" w:rsidRDefault="00195E73">
            <w:pPr>
              <w:rPr>
                <w:rFonts w:eastAsia="Times New Roman"/>
                <w:sz w:val="20"/>
                <w:szCs w:val="20"/>
              </w:rPr>
            </w:pPr>
          </w:p>
        </w:tc>
        <w:tc>
          <w:tcPr>
            <w:tcW w:w="26" w:type="pct"/>
            <w:vAlign w:val="center"/>
            <w:hideMark/>
          </w:tcPr>
          <w:p w14:paraId="7615160A" w14:textId="77777777" w:rsidR="00000000" w:rsidRDefault="00195E73">
            <w:pPr>
              <w:rPr>
                <w:rFonts w:eastAsia="Times New Roman"/>
                <w:sz w:val="20"/>
                <w:szCs w:val="20"/>
              </w:rPr>
            </w:pPr>
          </w:p>
        </w:tc>
        <w:tc>
          <w:tcPr>
            <w:tcW w:w="5" w:type="pct"/>
            <w:vAlign w:val="center"/>
            <w:hideMark/>
          </w:tcPr>
          <w:p w14:paraId="21FB7046" w14:textId="77777777" w:rsidR="00000000" w:rsidRDefault="00195E73">
            <w:pPr>
              <w:rPr>
                <w:rFonts w:eastAsia="Times New Roman"/>
                <w:sz w:val="20"/>
                <w:szCs w:val="20"/>
              </w:rPr>
            </w:pPr>
          </w:p>
        </w:tc>
        <w:tc>
          <w:tcPr>
            <w:tcW w:w="50" w:type="pct"/>
            <w:vAlign w:val="center"/>
            <w:hideMark/>
          </w:tcPr>
          <w:p w14:paraId="460F03F9" w14:textId="77777777" w:rsidR="00000000" w:rsidRDefault="00195E73">
            <w:pPr>
              <w:rPr>
                <w:rFonts w:eastAsia="Times New Roman"/>
                <w:sz w:val="20"/>
                <w:szCs w:val="20"/>
              </w:rPr>
            </w:pPr>
          </w:p>
        </w:tc>
        <w:tc>
          <w:tcPr>
            <w:tcW w:w="303" w:type="pct"/>
            <w:vAlign w:val="center"/>
            <w:hideMark/>
          </w:tcPr>
          <w:p w14:paraId="4918396E" w14:textId="77777777" w:rsidR="00000000" w:rsidRDefault="00195E73">
            <w:pPr>
              <w:rPr>
                <w:rFonts w:eastAsia="Times New Roman"/>
                <w:sz w:val="20"/>
                <w:szCs w:val="20"/>
              </w:rPr>
            </w:pPr>
          </w:p>
        </w:tc>
        <w:tc>
          <w:tcPr>
            <w:tcW w:w="50" w:type="pct"/>
            <w:vAlign w:val="center"/>
            <w:hideMark/>
          </w:tcPr>
          <w:p w14:paraId="415FFFDC" w14:textId="77777777" w:rsidR="00000000" w:rsidRDefault="00195E73">
            <w:pPr>
              <w:rPr>
                <w:rFonts w:eastAsia="Times New Roman"/>
                <w:sz w:val="20"/>
                <w:szCs w:val="20"/>
              </w:rPr>
            </w:pPr>
          </w:p>
        </w:tc>
        <w:tc>
          <w:tcPr>
            <w:tcW w:w="5" w:type="pct"/>
            <w:vAlign w:val="center"/>
            <w:hideMark/>
          </w:tcPr>
          <w:p w14:paraId="1AE77F07" w14:textId="77777777" w:rsidR="00000000" w:rsidRDefault="00195E73">
            <w:pPr>
              <w:rPr>
                <w:rFonts w:eastAsia="Times New Roman"/>
                <w:sz w:val="20"/>
                <w:szCs w:val="20"/>
              </w:rPr>
            </w:pPr>
          </w:p>
        </w:tc>
        <w:tc>
          <w:tcPr>
            <w:tcW w:w="26" w:type="pct"/>
            <w:vAlign w:val="center"/>
            <w:hideMark/>
          </w:tcPr>
          <w:p w14:paraId="3E00FCCB" w14:textId="77777777" w:rsidR="00000000" w:rsidRDefault="00195E73">
            <w:pPr>
              <w:rPr>
                <w:rFonts w:eastAsia="Times New Roman"/>
                <w:sz w:val="20"/>
                <w:szCs w:val="20"/>
              </w:rPr>
            </w:pPr>
          </w:p>
        </w:tc>
        <w:tc>
          <w:tcPr>
            <w:tcW w:w="5" w:type="pct"/>
            <w:vAlign w:val="center"/>
            <w:hideMark/>
          </w:tcPr>
          <w:p w14:paraId="46EEDC00" w14:textId="77777777" w:rsidR="00000000" w:rsidRDefault="00195E73">
            <w:pPr>
              <w:rPr>
                <w:rFonts w:eastAsia="Times New Roman"/>
                <w:sz w:val="20"/>
                <w:szCs w:val="20"/>
              </w:rPr>
            </w:pPr>
          </w:p>
        </w:tc>
        <w:tc>
          <w:tcPr>
            <w:tcW w:w="50" w:type="pct"/>
            <w:vAlign w:val="center"/>
            <w:hideMark/>
          </w:tcPr>
          <w:p w14:paraId="547AC730" w14:textId="77777777" w:rsidR="00000000" w:rsidRDefault="00195E73">
            <w:pPr>
              <w:rPr>
                <w:rFonts w:eastAsia="Times New Roman"/>
                <w:sz w:val="20"/>
                <w:szCs w:val="20"/>
              </w:rPr>
            </w:pPr>
          </w:p>
        </w:tc>
        <w:tc>
          <w:tcPr>
            <w:tcW w:w="310" w:type="pct"/>
            <w:vAlign w:val="center"/>
            <w:hideMark/>
          </w:tcPr>
          <w:p w14:paraId="05385874" w14:textId="77777777" w:rsidR="00000000" w:rsidRDefault="00195E73">
            <w:pPr>
              <w:rPr>
                <w:rFonts w:eastAsia="Times New Roman"/>
                <w:sz w:val="20"/>
                <w:szCs w:val="20"/>
              </w:rPr>
            </w:pPr>
          </w:p>
        </w:tc>
        <w:tc>
          <w:tcPr>
            <w:tcW w:w="50" w:type="pct"/>
            <w:vAlign w:val="center"/>
            <w:hideMark/>
          </w:tcPr>
          <w:p w14:paraId="5DA60FB6" w14:textId="77777777" w:rsidR="00000000" w:rsidRDefault="00195E73">
            <w:pPr>
              <w:rPr>
                <w:rFonts w:eastAsia="Times New Roman"/>
                <w:sz w:val="20"/>
                <w:szCs w:val="20"/>
              </w:rPr>
            </w:pPr>
          </w:p>
        </w:tc>
        <w:tc>
          <w:tcPr>
            <w:tcW w:w="5" w:type="pct"/>
            <w:vAlign w:val="center"/>
            <w:hideMark/>
          </w:tcPr>
          <w:p w14:paraId="46B5B473" w14:textId="77777777" w:rsidR="00000000" w:rsidRDefault="00195E73">
            <w:pPr>
              <w:rPr>
                <w:rFonts w:eastAsia="Times New Roman"/>
                <w:sz w:val="20"/>
                <w:szCs w:val="20"/>
              </w:rPr>
            </w:pPr>
          </w:p>
        </w:tc>
        <w:tc>
          <w:tcPr>
            <w:tcW w:w="26" w:type="pct"/>
            <w:vAlign w:val="center"/>
            <w:hideMark/>
          </w:tcPr>
          <w:p w14:paraId="43D878DE" w14:textId="77777777" w:rsidR="00000000" w:rsidRDefault="00195E73">
            <w:pPr>
              <w:rPr>
                <w:rFonts w:eastAsia="Times New Roman"/>
                <w:sz w:val="20"/>
                <w:szCs w:val="20"/>
              </w:rPr>
            </w:pPr>
          </w:p>
        </w:tc>
        <w:tc>
          <w:tcPr>
            <w:tcW w:w="5" w:type="pct"/>
            <w:vAlign w:val="center"/>
            <w:hideMark/>
          </w:tcPr>
          <w:p w14:paraId="62A1B55D" w14:textId="77777777" w:rsidR="00000000" w:rsidRDefault="00195E73">
            <w:pPr>
              <w:rPr>
                <w:rFonts w:eastAsia="Times New Roman"/>
                <w:sz w:val="20"/>
                <w:szCs w:val="20"/>
              </w:rPr>
            </w:pPr>
          </w:p>
        </w:tc>
        <w:tc>
          <w:tcPr>
            <w:tcW w:w="50" w:type="pct"/>
            <w:vAlign w:val="center"/>
            <w:hideMark/>
          </w:tcPr>
          <w:p w14:paraId="70B78D05" w14:textId="77777777" w:rsidR="00000000" w:rsidRDefault="00195E73">
            <w:pPr>
              <w:rPr>
                <w:rFonts w:eastAsia="Times New Roman"/>
                <w:sz w:val="20"/>
                <w:szCs w:val="20"/>
              </w:rPr>
            </w:pPr>
          </w:p>
        </w:tc>
        <w:tc>
          <w:tcPr>
            <w:tcW w:w="303" w:type="pct"/>
            <w:vAlign w:val="center"/>
            <w:hideMark/>
          </w:tcPr>
          <w:p w14:paraId="4CA9E9A8" w14:textId="77777777" w:rsidR="00000000" w:rsidRDefault="00195E73">
            <w:pPr>
              <w:rPr>
                <w:rFonts w:eastAsia="Times New Roman"/>
                <w:sz w:val="20"/>
                <w:szCs w:val="20"/>
              </w:rPr>
            </w:pPr>
          </w:p>
        </w:tc>
        <w:tc>
          <w:tcPr>
            <w:tcW w:w="50" w:type="pct"/>
            <w:vAlign w:val="center"/>
            <w:hideMark/>
          </w:tcPr>
          <w:p w14:paraId="2D75C127" w14:textId="77777777" w:rsidR="00000000" w:rsidRDefault="00195E73">
            <w:pPr>
              <w:rPr>
                <w:rFonts w:eastAsia="Times New Roman"/>
                <w:sz w:val="20"/>
                <w:szCs w:val="20"/>
              </w:rPr>
            </w:pPr>
          </w:p>
        </w:tc>
        <w:tc>
          <w:tcPr>
            <w:tcW w:w="5" w:type="pct"/>
            <w:vAlign w:val="center"/>
            <w:hideMark/>
          </w:tcPr>
          <w:p w14:paraId="197FB6F5" w14:textId="77777777" w:rsidR="00000000" w:rsidRDefault="00195E73">
            <w:pPr>
              <w:rPr>
                <w:rFonts w:eastAsia="Times New Roman"/>
                <w:sz w:val="20"/>
                <w:szCs w:val="20"/>
              </w:rPr>
            </w:pPr>
          </w:p>
        </w:tc>
        <w:tc>
          <w:tcPr>
            <w:tcW w:w="26" w:type="pct"/>
            <w:vAlign w:val="center"/>
            <w:hideMark/>
          </w:tcPr>
          <w:p w14:paraId="539A9AE9" w14:textId="77777777" w:rsidR="00000000" w:rsidRDefault="00195E73">
            <w:pPr>
              <w:rPr>
                <w:rFonts w:eastAsia="Times New Roman"/>
                <w:sz w:val="20"/>
                <w:szCs w:val="20"/>
              </w:rPr>
            </w:pPr>
          </w:p>
        </w:tc>
        <w:tc>
          <w:tcPr>
            <w:tcW w:w="5" w:type="pct"/>
            <w:vAlign w:val="center"/>
            <w:hideMark/>
          </w:tcPr>
          <w:p w14:paraId="6D35C88A" w14:textId="77777777" w:rsidR="00000000" w:rsidRDefault="00195E73">
            <w:pPr>
              <w:rPr>
                <w:rFonts w:eastAsia="Times New Roman"/>
                <w:sz w:val="20"/>
                <w:szCs w:val="20"/>
              </w:rPr>
            </w:pPr>
          </w:p>
        </w:tc>
        <w:tc>
          <w:tcPr>
            <w:tcW w:w="50" w:type="pct"/>
            <w:vAlign w:val="center"/>
            <w:hideMark/>
          </w:tcPr>
          <w:p w14:paraId="435B458D" w14:textId="77777777" w:rsidR="00000000" w:rsidRDefault="00195E73">
            <w:pPr>
              <w:rPr>
                <w:rFonts w:eastAsia="Times New Roman"/>
                <w:sz w:val="20"/>
                <w:szCs w:val="20"/>
              </w:rPr>
            </w:pPr>
          </w:p>
        </w:tc>
        <w:tc>
          <w:tcPr>
            <w:tcW w:w="303" w:type="pct"/>
            <w:vAlign w:val="center"/>
            <w:hideMark/>
          </w:tcPr>
          <w:p w14:paraId="1F880FF6" w14:textId="77777777" w:rsidR="00000000" w:rsidRDefault="00195E73">
            <w:pPr>
              <w:rPr>
                <w:rFonts w:eastAsia="Times New Roman"/>
                <w:sz w:val="20"/>
                <w:szCs w:val="20"/>
              </w:rPr>
            </w:pPr>
          </w:p>
        </w:tc>
        <w:tc>
          <w:tcPr>
            <w:tcW w:w="50" w:type="pct"/>
            <w:vAlign w:val="center"/>
            <w:hideMark/>
          </w:tcPr>
          <w:p w14:paraId="41D90CC2" w14:textId="77777777" w:rsidR="00000000" w:rsidRDefault="00195E73">
            <w:pPr>
              <w:rPr>
                <w:rFonts w:eastAsia="Times New Roman"/>
                <w:sz w:val="20"/>
                <w:szCs w:val="20"/>
              </w:rPr>
            </w:pPr>
          </w:p>
        </w:tc>
      </w:tr>
      <w:tr w:rsidR="00000000" w14:paraId="372C4BA4" w14:textId="77777777">
        <w:trPr>
          <w:divId w:val="1470898262"/>
          <w:jc w:val="center"/>
        </w:trPr>
        <w:tc>
          <w:tcPr>
            <w:tcW w:w="0" w:type="auto"/>
            <w:gridSpan w:val="3"/>
            <w:tcMar>
              <w:top w:w="15" w:type="dxa"/>
              <w:left w:w="20" w:type="dxa"/>
              <w:bottom w:w="15" w:type="dxa"/>
              <w:right w:w="20" w:type="dxa"/>
            </w:tcMar>
            <w:vAlign w:val="bottom"/>
            <w:hideMark/>
          </w:tcPr>
          <w:p w14:paraId="19F24276" w14:textId="77777777" w:rsidR="00000000" w:rsidRDefault="00195E73">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7DEC56F2" w14:textId="77777777" w:rsidR="00000000" w:rsidRDefault="00195E73">
            <w:pPr>
              <w:jc w:val="center"/>
              <w:rPr>
                <w:rFonts w:eastAsia="Times New Roman"/>
              </w:rPr>
            </w:pPr>
            <w:r>
              <w:rPr>
                <w:rFonts w:eastAsia="Times New Roman"/>
                <w:b/>
                <w:bCs/>
                <w:color w:val="000000"/>
                <w:sz w:val="16"/>
                <w:szCs w:val="16"/>
              </w:rPr>
              <w:t>Year Ended December 31, 201</w:t>
            </w:r>
            <w:r>
              <w:rPr>
                <w:rFonts w:eastAsia="Times New Roman"/>
                <w:b/>
                <w:bCs/>
                <w:color w:val="000000"/>
                <w:sz w:val="16"/>
                <w:szCs w:val="16"/>
              </w:rPr>
              <w:t>9</w:t>
            </w:r>
          </w:p>
        </w:tc>
        <w:tc>
          <w:tcPr>
            <w:tcW w:w="0" w:type="auto"/>
            <w:gridSpan w:val="3"/>
            <w:vAlign w:val="center"/>
            <w:hideMark/>
          </w:tcPr>
          <w:p w14:paraId="6ED076F3" w14:textId="77777777" w:rsidR="00000000" w:rsidRDefault="00195E73">
            <w:pPr>
              <w:jc w:val="center"/>
              <w:rPr>
                <w:rFonts w:eastAsia="Times New Roman"/>
              </w:rPr>
            </w:pPr>
          </w:p>
        </w:tc>
        <w:tc>
          <w:tcPr>
            <w:tcW w:w="0" w:type="auto"/>
            <w:gridSpan w:val="3"/>
            <w:vAlign w:val="center"/>
            <w:hideMark/>
          </w:tcPr>
          <w:p w14:paraId="4E703DFD" w14:textId="77777777" w:rsidR="00000000" w:rsidRDefault="00195E73">
            <w:pPr>
              <w:rPr>
                <w:rFonts w:eastAsia="Times New Roman"/>
                <w:sz w:val="20"/>
                <w:szCs w:val="20"/>
              </w:rPr>
            </w:pPr>
          </w:p>
        </w:tc>
        <w:tc>
          <w:tcPr>
            <w:tcW w:w="0" w:type="auto"/>
            <w:gridSpan w:val="3"/>
            <w:vAlign w:val="center"/>
            <w:hideMark/>
          </w:tcPr>
          <w:p w14:paraId="4306FA89" w14:textId="77777777" w:rsidR="00000000" w:rsidRDefault="00195E73">
            <w:pPr>
              <w:rPr>
                <w:rFonts w:eastAsia="Times New Roman"/>
                <w:sz w:val="20"/>
                <w:szCs w:val="20"/>
              </w:rPr>
            </w:pPr>
          </w:p>
        </w:tc>
        <w:tc>
          <w:tcPr>
            <w:tcW w:w="0" w:type="auto"/>
            <w:gridSpan w:val="3"/>
            <w:vAlign w:val="center"/>
            <w:hideMark/>
          </w:tcPr>
          <w:p w14:paraId="7DC63B9F"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8EA4B82" w14:textId="77777777" w:rsidR="00000000" w:rsidRDefault="00195E73">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0F5F80BD" w14:textId="77777777" w:rsidR="00000000" w:rsidRDefault="00195E73">
            <w:pPr>
              <w:jc w:val="center"/>
              <w:rPr>
                <w:rFonts w:eastAsia="Times New Roman"/>
              </w:rPr>
            </w:pPr>
            <w:r>
              <w:rPr>
                <w:rFonts w:eastAsia="Times New Roman"/>
                <w:b/>
                <w:bCs/>
                <w:color w:val="000000"/>
                <w:sz w:val="16"/>
                <w:szCs w:val="16"/>
              </w:rPr>
              <w:t>Year Ended December 31, 201</w:t>
            </w:r>
            <w:r>
              <w:rPr>
                <w:rFonts w:eastAsia="Times New Roman"/>
                <w:b/>
                <w:bCs/>
                <w:color w:val="000000"/>
                <w:sz w:val="16"/>
                <w:szCs w:val="16"/>
              </w:rPr>
              <w:t>8</w:t>
            </w:r>
          </w:p>
        </w:tc>
        <w:tc>
          <w:tcPr>
            <w:tcW w:w="0" w:type="auto"/>
            <w:gridSpan w:val="3"/>
            <w:vAlign w:val="center"/>
            <w:hideMark/>
          </w:tcPr>
          <w:p w14:paraId="5DDA8336" w14:textId="77777777" w:rsidR="00000000" w:rsidRDefault="00195E73">
            <w:pPr>
              <w:jc w:val="center"/>
              <w:rPr>
                <w:rFonts w:eastAsia="Times New Roman"/>
              </w:rPr>
            </w:pPr>
          </w:p>
        </w:tc>
        <w:tc>
          <w:tcPr>
            <w:tcW w:w="0" w:type="auto"/>
            <w:gridSpan w:val="3"/>
            <w:vAlign w:val="center"/>
            <w:hideMark/>
          </w:tcPr>
          <w:p w14:paraId="22E8A36F" w14:textId="77777777" w:rsidR="00000000" w:rsidRDefault="00195E73">
            <w:pPr>
              <w:rPr>
                <w:rFonts w:eastAsia="Times New Roman"/>
                <w:sz w:val="20"/>
                <w:szCs w:val="20"/>
              </w:rPr>
            </w:pPr>
          </w:p>
        </w:tc>
        <w:tc>
          <w:tcPr>
            <w:tcW w:w="0" w:type="auto"/>
            <w:gridSpan w:val="3"/>
            <w:vAlign w:val="center"/>
            <w:hideMark/>
          </w:tcPr>
          <w:p w14:paraId="51D2939E" w14:textId="77777777" w:rsidR="00000000" w:rsidRDefault="00195E73">
            <w:pPr>
              <w:rPr>
                <w:rFonts w:eastAsia="Times New Roman"/>
                <w:sz w:val="20"/>
                <w:szCs w:val="20"/>
              </w:rPr>
            </w:pPr>
          </w:p>
        </w:tc>
        <w:tc>
          <w:tcPr>
            <w:tcW w:w="0" w:type="auto"/>
            <w:gridSpan w:val="3"/>
            <w:vAlign w:val="center"/>
            <w:hideMark/>
          </w:tcPr>
          <w:p w14:paraId="1675FA61" w14:textId="77777777" w:rsidR="00000000" w:rsidRDefault="00195E73">
            <w:pPr>
              <w:rPr>
                <w:rFonts w:eastAsia="Times New Roman"/>
                <w:sz w:val="20"/>
                <w:szCs w:val="20"/>
              </w:rPr>
            </w:pPr>
          </w:p>
        </w:tc>
        <w:tc>
          <w:tcPr>
            <w:tcW w:w="0" w:type="auto"/>
            <w:gridSpan w:val="2"/>
            <w:tcMar>
              <w:top w:w="15" w:type="dxa"/>
              <w:left w:w="20" w:type="dxa"/>
              <w:bottom w:w="15" w:type="dxa"/>
              <w:right w:w="20" w:type="dxa"/>
            </w:tcMar>
            <w:vAlign w:val="bottom"/>
            <w:hideMark/>
          </w:tcPr>
          <w:p w14:paraId="471316E2" w14:textId="77777777" w:rsidR="00000000" w:rsidRDefault="00195E73">
            <w:pPr>
              <w:rPr>
                <w:rFonts w:eastAsia="Times New Roman"/>
                <w:sz w:val="20"/>
                <w:szCs w:val="20"/>
              </w:rPr>
            </w:pPr>
          </w:p>
        </w:tc>
        <w:tc>
          <w:tcPr>
            <w:tcW w:w="0" w:type="auto"/>
            <w:tcBorders>
              <w:bottom w:val="single" w:sz="8" w:space="0" w:color="000000"/>
            </w:tcBorders>
            <w:tcMar>
              <w:top w:w="30" w:type="dxa"/>
              <w:left w:w="20" w:type="dxa"/>
              <w:bottom w:w="30" w:type="dxa"/>
              <w:right w:w="20" w:type="dxa"/>
            </w:tcMar>
            <w:vAlign w:val="bottom"/>
            <w:hideMark/>
          </w:tcPr>
          <w:p w14:paraId="4261A60E" w14:textId="77777777" w:rsidR="00000000" w:rsidRDefault="00195E73">
            <w:pPr>
              <w:jc w:val="center"/>
              <w:rPr>
                <w:rFonts w:eastAsia="Times New Roman"/>
              </w:rPr>
            </w:pPr>
            <w:r>
              <w:rPr>
                <w:rFonts w:eastAsia="Times New Roman"/>
                <w:b/>
                <w:bCs/>
                <w:color w:val="000000"/>
                <w:sz w:val="16"/>
                <w:szCs w:val="16"/>
              </w:rPr>
              <w:t>Year Ended December 31, 201</w:t>
            </w:r>
            <w:r>
              <w:rPr>
                <w:rFonts w:eastAsia="Times New Roman"/>
                <w:b/>
                <w:bCs/>
                <w:color w:val="000000"/>
                <w:sz w:val="16"/>
                <w:szCs w:val="16"/>
              </w:rPr>
              <w:t>7</w:t>
            </w:r>
          </w:p>
        </w:tc>
      </w:tr>
      <w:tr w:rsidR="00000000" w14:paraId="1E79F161" w14:textId="77777777">
        <w:trPr>
          <w:divId w:val="1470898262"/>
          <w:jc w:val="center"/>
        </w:trPr>
        <w:tc>
          <w:tcPr>
            <w:tcW w:w="0" w:type="auto"/>
            <w:gridSpan w:val="3"/>
            <w:tcMar>
              <w:top w:w="15" w:type="dxa"/>
              <w:left w:w="20" w:type="dxa"/>
              <w:bottom w:w="15" w:type="dxa"/>
              <w:right w:w="20" w:type="dxa"/>
            </w:tcMar>
            <w:vAlign w:val="bottom"/>
            <w:hideMark/>
          </w:tcPr>
          <w:p w14:paraId="395EA347"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7EAAA651" w14:textId="77777777" w:rsidR="00000000" w:rsidRDefault="00195E73">
            <w:pPr>
              <w:jc w:val="center"/>
              <w:rPr>
                <w:rFonts w:eastAsia="Times New Roman"/>
              </w:rPr>
            </w:pPr>
            <w:r>
              <w:rPr>
                <w:rFonts w:eastAsia="Times New Roman"/>
                <w:b/>
                <w:bCs/>
                <w:color w:val="000000"/>
                <w:sz w:val="16"/>
                <w:szCs w:val="16"/>
              </w:rPr>
              <w:t>Net Cash Provided By (Used In)</w:t>
            </w:r>
            <w:r>
              <w:rPr>
                <w:rFonts w:eastAsia="Times New Roman"/>
                <w:b/>
                <w:bCs/>
                <w:color w:val="000000"/>
                <w:sz w:val="16"/>
                <w:szCs w:val="16"/>
              </w:rPr>
              <w:t xml:space="preserve"> </w:t>
            </w:r>
          </w:p>
        </w:tc>
        <w:tc>
          <w:tcPr>
            <w:tcW w:w="0" w:type="auto"/>
            <w:gridSpan w:val="3"/>
            <w:vAlign w:val="center"/>
            <w:hideMark/>
          </w:tcPr>
          <w:p w14:paraId="73BB7539" w14:textId="77777777" w:rsidR="00000000" w:rsidRDefault="00195E73">
            <w:pPr>
              <w:jc w:val="center"/>
              <w:rPr>
                <w:rFonts w:eastAsia="Times New Roman"/>
              </w:rPr>
            </w:pPr>
          </w:p>
        </w:tc>
        <w:tc>
          <w:tcPr>
            <w:tcW w:w="0" w:type="auto"/>
            <w:gridSpan w:val="3"/>
            <w:vAlign w:val="center"/>
            <w:hideMark/>
          </w:tcPr>
          <w:p w14:paraId="798CF906" w14:textId="77777777" w:rsidR="00000000" w:rsidRDefault="00195E73">
            <w:pPr>
              <w:rPr>
                <w:rFonts w:eastAsia="Times New Roman"/>
                <w:sz w:val="20"/>
                <w:szCs w:val="20"/>
              </w:rPr>
            </w:pPr>
          </w:p>
        </w:tc>
        <w:tc>
          <w:tcPr>
            <w:tcW w:w="0" w:type="auto"/>
            <w:gridSpan w:val="3"/>
            <w:vAlign w:val="center"/>
            <w:hideMark/>
          </w:tcPr>
          <w:p w14:paraId="303A5BFC" w14:textId="77777777" w:rsidR="00000000" w:rsidRDefault="00195E73">
            <w:pPr>
              <w:rPr>
                <w:rFonts w:eastAsia="Times New Roman"/>
                <w:sz w:val="20"/>
                <w:szCs w:val="20"/>
              </w:rPr>
            </w:pPr>
          </w:p>
        </w:tc>
        <w:tc>
          <w:tcPr>
            <w:tcW w:w="0" w:type="auto"/>
            <w:gridSpan w:val="3"/>
            <w:vAlign w:val="center"/>
            <w:hideMark/>
          </w:tcPr>
          <w:p w14:paraId="49E78F5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371D5D0" w14:textId="77777777" w:rsidR="00000000" w:rsidRDefault="00195E73">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51248007" w14:textId="77777777" w:rsidR="00000000" w:rsidRDefault="00195E73">
            <w:pPr>
              <w:jc w:val="center"/>
              <w:rPr>
                <w:rFonts w:eastAsia="Times New Roman"/>
              </w:rPr>
            </w:pPr>
            <w:r>
              <w:rPr>
                <w:rFonts w:eastAsia="Times New Roman"/>
                <w:b/>
                <w:bCs/>
                <w:color w:val="000000"/>
                <w:sz w:val="16"/>
                <w:szCs w:val="16"/>
              </w:rPr>
              <w:t>Net Cash Provided By (Used In)</w:t>
            </w:r>
            <w:r>
              <w:rPr>
                <w:rFonts w:eastAsia="Times New Roman"/>
                <w:b/>
                <w:bCs/>
                <w:color w:val="000000"/>
                <w:sz w:val="16"/>
                <w:szCs w:val="16"/>
              </w:rPr>
              <w:t xml:space="preserve"> </w:t>
            </w:r>
          </w:p>
        </w:tc>
        <w:tc>
          <w:tcPr>
            <w:tcW w:w="0" w:type="auto"/>
            <w:gridSpan w:val="3"/>
            <w:vAlign w:val="center"/>
            <w:hideMark/>
          </w:tcPr>
          <w:p w14:paraId="005062DD" w14:textId="77777777" w:rsidR="00000000" w:rsidRDefault="00195E73">
            <w:pPr>
              <w:jc w:val="center"/>
              <w:rPr>
                <w:rFonts w:eastAsia="Times New Roman"/>
              </w:rPr>
            </w:pPr>
          </w:p>
        </w:tc>
        <w:tc>
          <w:tcPr>
            <w:tcW w:w="0" w:type="auto"/>
            <w:gridSpan w:val="3"/>
            <w:vAlign w:val="center"/>
            <w:hideMark/>
          </w:tcPr>
          <w:p w14:paraId="26ED755B" w14:textId="77777777" w:rsidR="00000000" w:rsidRDefault="00195E73">
            <w:pPr>
              <w:rPr>
                <w:rFonts w:eastAsia="Times New Roman"/>
                <w:sz w:val="20"/>
                <w:szCs w:val="20"/>
              </w:rPr>
            </w:pPr>
          </w:p>
        </w:tc>
        <w:tc>
          <w:tcPr>
            <w:tcW w:w="0" w:type="auto"/>
            <w:gridSpan w:val="3"/>
            <w:vAlign w:val="center"/>
            <w:hideMark/>
          </w:tcPr>
          <w:p w14:paraId="7EBBD8F5" w14:textId="77777777" w:rsidR="00000000" w:rsidRDefault="00195E73">
            <w:pPr>
              <w:rPr>
                <w:rFonts w:eastAsia="Times New Roman"/>
                <w:sz w:val="20"/>
                <w:szCs w:val="20"/>
              </w:rPr>
            </w:pPr>
          </w:p>
        </w:tc>
        <w:tc>
          <w:tcPr>
            <w:tcW w:w="0" w:type="auto"/>
            <w:gridSpan w:val="3"/>
            <w:vAlign w:val="center"/>
            <w:hideMark/>
          </w:tcPr>
          <w:p w14:paraId="077F2060" w14:textId="77777777" w:rsidR="00000000" w:rsidRDefault="00195E73">
            <w:pPr>
              <w:rPr>
                <w:rFonts w:eastAsia="Times New Roman"/>
                <w:sz w:val="20"/>
                <w:szCs w:val="20"/>
              </w:rPr>
            </w:pPr>
          </w:p>
        </w:tc>
        <w:tc>
          <w:tcPr>
            <w:tcW w:w="0" w:type="auto"/>
            <w:gridSpan w:val="2"/>
            <w:tcMar>
              <w:top w:w="15" w:type="dxa"/>
              <w:left w:w="20" w:type="dxa"/>
              <w:bottom w:w="15" w:type="dxa"/>
              <w:right w:w="20" w:type="dxa"/>
            </w:tcMar>
            <w:vAlign w:val="bottom"/>
            <w:hideMark/>
          </w:tcPr>
          <w:p w14:paraId="3309AF9C" w14:textId="77777777" w:rsidR="00000000" w:rsidRDefault="00195E73">
            <w:pPr>
              <w:rPr>
                <w:rFonts w:eastAsia="Times New Roman"/>
                <w:sz w:val="20"/>
                <w:szCs w:val="20"/>
              </w:rPr>
            </w:pPr>
          </w:p>
        </w:tc>
        <w:tc>
          <w:tcPr>
            <w:tcW w:w="0" w:type="auto"/>
            <w:tcBorders>
              <w:top w:val="single" w:sz="8" w:space="0" w:color="000000"/>
            </w:tcBorders>
            <w:tcMar>
              <w:top w:w="30" w:type="dxa"/>
              <w:left w:w="20" w:type="dxa"/>
              <w:bottom w:w="30" w:type="dxa"/>
              <w:right w:w="20" w:type="dxa"/>
            </w:tcMar>
            <w:vAlign w:val="bottom"/>
            <w:hideMark/>
          </w:tcPr>
          <w:p w14:paraId="15A2B802" w14:textId="77777777" w:rsidR="00000000" w:rsidRDefault="00195E73">
            <w:pPr>
              <w:jc w:val="center"/>
              <w:rPr>
                <w:rFonts w:eastAsia="Times New Roman"/>
              </w:rPr>
            </w:pPr>
            <w:r>
              <w:rPr>
                <w:rFonts w:eastAsia="Times New Roman"/>
                <w:b/>
                <w:bCs/>
                <w:color w:val="000000"/>
                <w:sz w:val="16"/>
                <w:szCs w:val="16"/>
              </w:rPr>
              <w:t>Net Cash Provided By (Used In)</w:t>
            </w:r>
            <w:r>
              <w:rPr>
                <w:rFonts w:eastAsia="Times New Roman"/>
                <w:b/>
                <w:bCs/>
                <w:color w:val="000000"/>
                <w:sz w:val="16"/>
                <w:szCs w:val="16"/>
              </w:rPr>
              <w:t xml:space="preserve"> </w:t>
            </w:r>
          </w:p>
        </w:tc>
      </w:tr>
      <w:tr w:rsidR="00000000" w14:paraId="1CD58639" w14:textId="77777777">
        <w:trPr>
          <w:divId w:val="1470898262"/>
          <w:jc w:val="center"/>
        </w:trPr>
        <w:tc>
          <w:tcPr>
            <w:tcW w:w="0" w:type="auto"/>
            <w:gridSpan w:val="3"/>
            <w:tcMar>
              <w:top w:w="15" w:type="dxa"/>
              <w:left w:w="20" w:type="dxa"/>
              <w:bottom w:w="15" w:type="dxa"/>
              <w:right w:w="20" w:type="dxa"/>
            </w:tcMar>
            <w:vAlign w:val="bottom"/>
            <w:hideMark/>
          </w:tcPr>
          <w:p w14:paraId="472DE91C"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54ACF7" w14:textId="77777777" w:rsidR="00000000" w:rsidRDefault="00195E73">
            <w:pPr>
              <w:jc w:val="center"/>
              <w:rPr>
                <w:rFonts w:eastAsia="Times New Roman"/>
              </w:rPr>
            </w:pPr>
            <w:r>
              <w:rPr>
                <w:rFonts w:eastAsia="Times New Roman"/>
                <w:b/>
                <w:bCs/>
                <w:color w:val="000000"/>
                <w:sz w:val="16"/>
                <w:szCs w:val="16"/>
              </w:rPr>
              <w:t>Operating Activitie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14:paraId="167C58C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B656922" w14:textId="77777777" w:rsidR="00000000" w:rsidRDefault="00195E73">
            <w:pPr>
              <w:jc w:val="center"/>
              <w:rPr>
                <w:rFonts w:eastAsia="Times New Roman"/>
              </w:rPr>
            </w:pPr>
            <w:r>
              <w:rPr>
                <w:rFonts w:eastAsia="Times New Roman"/>
                <w:b/>
                <w:bCs/>
                <w:color w:val="000000"/>
                <w:sz w:val="16"/>
                <w:szCs w:val="16"/>
              </w:rPr>
              <w:t>Investing Activitie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14:paraId="3C7F1DB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A39938" w14:textId="77777777" w:rsidR="00000000" w:rsidRDefault="00195E73">
            <w:pPr>
              <w:jc w:val="center"/>
              <w:rPr>
                <w:rFonts w:eastAsia="Times New Roman"/>
              </w:rPr>
            </w:pPr>
            <w:r>
              <w:rPr>
                <w:rFonts w:eastAsia="Times New Roman"/>
                <w:b/>
                <w:bCs/>
                <w:color w:val="000000"/>
                <w:sz w:val="16"/>
                <w:szCs w:val="16"/>
              </w:rPr>
              <w:t>Financing Activitie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14:paraId="6639EBD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7193932" w14:textId="77777777" w:rsidR="00000000" w:rsidRDefault="00195E73">
            <w:pPr>
              <w:jc w:val="center"/>
              <w:rPr>
                <w:rFonts w:eastAsia="Times New Roman"/>
              </w:rPr>
            </w:pPr>
            <w:r>
              <w:rPr>
                <w:rFonts w:eastAsia="Times New Roman"/>
                <w:b/>
                <w:bCs/>
                <w:color w:val="000000"/>
                <w:sz w:val="16"/>
                <w:szCs w:val="16"/>
              </w:rPr>
              <w:t>Operating Activitie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14:paraId="7DB425CD"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31B263B" w14:textId="77777777" w:rsidR="00000000" w:rsidRDefault="00195E73">
            <w:pPr>
              <w:jc w:val="center"/>
              <w:rPr>
                <w:rFonts w:eastAsia="Times New Roman"/>
              </w:rPr>
            </w:pPr>
            <w:r>
              <w:rPr>
                <w:rFonts w:eastAsia="Times New Roman"/>
                <w:b/>
                <w:bCs/>
                <w:color w:val="000000"/>
                <w:sz w:val="16"/>
                <w:szCs w:val="16"/>
              </w:rPr>
              <w:t>Investing Activitie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14:paraId="4396698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C5BD79B" w14:textId="77777777" w:rsidR="00000000" w:rsidRDefault="00195E73">
            <w:pPr>
              <w:jc w:val="center"/>
              <w:rPr>
                <w:rFonts w:eastAsia="Times New Roman"/>
              </w:rPr>
            </w:pPr>
            <w:r>
              <w:rPr>
                <w:rFonts w:eastAsia="Times New Roman"/>
                <w:b/>
                <w:bCs/>
                <w:color w:val="000000"/>
                <w:sz w:val="16"/>
                <w:szCs w:val="16"/>
              </w:rPr>
              <w:t>Financing Activitie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14:paraId="6A6B4B8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3E059D" w14:textId="77777777" w:rsidR="00000000" w:rsidRDefault="00195E73">
            <w:pPr>
              <w:jc w:val="center"/>
              <w:rPr>
                <w:rFonts w:eastAsia="Times New Roman"/>
              </w:rPr>
            </w:pPr>
            <w:r>
              <w:rPr>
                <w:rFonts w:eastAsia="Times New Roman"/>
                <w:b/>
                <w:bCs/>
                <w:color w:val="000000"/>
                <w:sz w:val="16"/>
                <w:szCs w:val="16"/>
              </w:rPr>
              <w:t>Operating Activitie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14:paraId="336A2403"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9F467FA" w14:textId="77777777" w:rsidR="00000000" w:rsidRDefault="00195E73">
            <w:pPr>
              <w:jc w:val="center"/>
              <w:rPr>
                <w:rFonts w:eastAsia="Times New Roman"/>
              </w:rPr>
            </w:pPr>
            <w:r>
              <w:rPr>
                <w:rFonts w:eastAsia="Times New Roman"/>
                <w:b/>
                <w:bCs/>
                <w:color w:val="000000"/>
                <w:sz w:val="16"/>
                <w:szCs w:val="16"/>
              </w:rPr>
              <w:t>Investing Activitie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14:paraId="00458FF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7B13F78" w14:textId="77777777" w:rsidR="00000000" w:rsidRDefault="00195E73">
            <w:pPr>
              <w:jc w:val="center"/>
              <w:rPr>
                <w:rFonts w:eastAsia="Times New Roman"/>
              </w:rPr>
            </w:pPr>
            <w:r>
              <w:rPr>
                <w:rFonts w:eastAsia="Times New Roman"/>
                <w:b/>
                <w:bCs/>
                <w:color w:val="000000"/>
                <w:sz w:val="16"/>
                <w:szCs w:val="16"/>
              </w:rPr>
              <w:t>Financing Activitie</w:t>
            </w:r>
            <w:r>
              <w:rPr>
                <w:rFonts w:eastAsia="Times New Roman"/>
                <w:b/>
                <w:bCs/>
                <w:color w:val="000000"/>
                <w:sz w:val="16"/>
                <w:szCs w:val="16"/>
              </w:rPr>
              <w:t>s</w:t>
            </w:r>
          </w:p>
        </w:tc>
        <w:tc>
          <w:tcPr>
            <w:tcW w:w="0" w:type="auto"/>
            <w:vAlign w:val="center"/>
            <w:hideMark/>
          </w:tcPr>
          <w:p w14:paraId="35DC8350" w14:textId="77777777" w:rsidR="00000000" w:rsidRDefault="00195E73">
            <w:pPr>
              <w:rPr>
                <w:rFonts w:eastAsia="Times New Roman"/>
                <w:sz w:val="20"/>
                <w:szCs w:val="20"/>
              </w:rPr>
            </w:pPr>
          </w:p>
        </w:tc>
        <w:tc>
          <w:tcPr>
            <w:tcW w:w="0" w:type="auto"/>
            <w:vAlign w:val="center"/>
            <w:hideMark/>
          </w:tcPr>
          <w:p w14:paraId="67A65610" w14:textId="77777777" w:rsidR="00000000" w:rsidRDefault="00195E73">
            <w:pPr>
              <w:rPr>
                <w:rFonts w:eastAsia="Times New Roman"/>
                <w:sz w:val="20"/>
                <w:szCs w:val="20"/>
              </w:rPr>
            </w:pPr>
          </w:p>
        </w:tc>
        <w:tc>
          <w:tcPr>
            <w:tcW w:w="0" w:type="auto"/>
            <w:vAlign w:val="center"/>
            <w:hideMark/>
          </w:tcPr>
          <w:p w14:paraId="734095B3" w14:textId="77777777" w:rsidR="00000000" w:rsidRDefault="00195E73">
            <w:pPr>
              <w:rPr>
                <w:rFonts w:eastAsia="Times New Roman"/>
                <w:sz w:val="20"/>
                <w:szCs w:val="20"/>
              </w:rPr>
            </w:pPr>
          </w:p>
        </w:tc>
        <w:tc>
          <w:tcPr>
            <w:tcW w:w="0" w:type="auto"/>
            <w:vAlign w:val="center"/>
            <w:hideMark/>
          </w:tcPr>
          <w:p w14:paraId="0FBBF7D4" w14:textId="77777777" w:rsidR="00000000" w:rsidRDefault="00195E73">
            <w:pPr>
              <w:rPr>
                <w:rFonts w:eastAsia="Times New Roman"/>
                <w:sz w:val="20"/>
                <w:szCs w:val="20"/>
              </w:rPr>
            </w:pPr>
          </w:p>
        </w:tc>
        <w:tc>
          <w:tcPr>
            <w:tcW w:w="0" w:type="auto"/>
            <w:vAlign w:val="center"/>
            <w:hideMark/>
          </w:tcPr>
          <w:p w14:paraId="391F46F9" w14:textId="77777777" w:rsidR="00000000" w:rsidRDefault="00195E73">
            <w:pPr>
              <w:rPr>
                <w:rFonts w:eastAsia="Times New Roman"/>
                <w:sz w:val="20"/>
                <w:szCs w:val="20"/>
              </w:rPr>
            </w:pPr>
          </w:p>
        </w:tc>
        <w:tc>
          <w:tcPr>
            <w:tcW w:w="0" w:type="auto"/>
            <w:vAlign w:val="center"/>
            <w:hideMark/>
          </w:tcPr>
          <w:p w14:paraId="7FF298D1" w14:textId="77777777" w:rsidR="00000000" w:rsidRDefault="00195E73">
            <w:pPr>
              <w:rPr>
                <w:rFonts w:eastAsia="Times New Roman"/>
                <w:sz w:val="20"/>
                <w:szCs w:val="20"/>
              </w:rPr>
            </w:pPr>
          </w:p>
        </w:tc>
        <w:tc>
          <w:tcPr>
            <w:tcW w:w="0" w:type="auto"/>
            <w:vAlign w:val="center"/>
            <w:hideMark/>
          </w:tcPr>
          <w:p w14:paraId="18DD8C61" w14:textId="77777777" w:rsidR="00000000" w:rsidRDefault="00195E73">
            <w:pPr>
              <w:rPr>
                <w:rFonts w:eastAsia="Times New Roman"/>
                <w:sz w:val="20"/>
                <w:szCs w:val="20"/>
              </w:rPr>
            </w:pPr>
          </w:p>
        </w:tc>
        <w:tc>
          <w:tcPr>
            <w:tcW w:w="0" w:type="auto"/>
            <w:vAlign w:val="center"/>
            <w:hideMark/>
          </w:tcPr>
          <w:p w14:paraId="065F21DC" w14:textId="77777777" w:rsidR="00000000" w:rsidRDefault="00195E73">
            <w:pPr>
              <w:rPr>
                <w:rFonts w:eastAsia="Times New Roman"/>
                <w:sz w:val="20"/>
                <w:szCs w:val="20"/>
              </w:rPr>
            </w:pPr>
          </w:p>
        </w:tc>
        <w:tc>
          <w:tcPr>
            <w:tcW w:w="0" w:type="auto"/>
            <w:vAlign w:val="center"/>
            <w:hideMark/>
          </w:tcPr>
          <w:p w14:paraId="0AA2A661" w14:textId="77777777" w:rsidR="00000000" w:rsidRDefault="00195E73">
            <w:pPr>
              <w:rPr>
                <w:rFonts w:eastAsia="Times New Roman"/>
                <w:sz w:val="20"/>
                <w:szCs w:val="20"/>
              </w:rPr>
            </w:pPr>
          </w:p>
        </w:tc>
      </w:tr>
      <w:tr w:rsidR="00000000" w14:paraId="30168008" w14:textId="77777777">
        <w:trPr>
          <w:divId w:val="1470898262"/>
          <w:jc w:val="center"/>
        </w:trPr>
        <w:tc>
          <w:tcPr>
            <w:tcW w:w="0" w:type="auto"/>
            <w:gridSpan w:val="3"/>
            <w:tcMar>
              <w:top w:w="15" w:type="dxa"/>
              <w:left w:w="20" w:type="dxa"/>
              <w:bottom w:w="15" w:type="dxa"/>
              <w:right w:w="20" w:type="dxa"/>
            </w:tcMar>
            <w:vAlign w:val="bottom"/>
            <w:hideMark/>
          </w:tcPr>
          <w:p w14:paraId="468AE7E9" w14:textId="77777777" w:rsidR="00000000" w:rsidRDefault="00195E73">
            <w:pPr>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14:paraId="59EFC01E"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5DAA1D02" w14:textId="77777777" w:rsidR="00000000" w:rsidRDefault="00195E73">
            <w:pPr>
              <w:jc w:val="center"/>
              <w:rPr>
                <w:rFonts w:eastAsia="Times New Roman"/>
              </w:rPr>
            </w:pPr>
          </w:p>
        </w:tc>
        <w:tc>
          <w:tcPr>
            <w:tcW w:w="0" w:type="auto"/>
            <w:gridSpan w:val="3"/>
            <w:vAlign w:val="center"/>
            <w:hideMark/>
          </w:tcPr>
          <w:p w14:paraId="6227B4F5" w14:textId="77777777" w:rsidR="00000000" w:rsidRDefault="00195E73">
            <w:pPr>
              <w:rPr>
                <w:rFonts w:eastAsia="Times New Roman"/>
                <w:sz w:val="20"/>
                <w:szCs w:val="20"/>
              </w:rPr>
            </w:pPr>
          </w:p>
        </w:tc>
        <w:tc>
          <w:tcPr>
            <w:tcW w:w="0" w:type="auto"/>
            <w:gridSpan w:val="2"/>
            <w:vAlign w:val="center"/>
            <w:hideMark/>
          </w:tcPr>
          <w:p w14:paraId="2856160A" w14:textId="77777777" w:rsidR="00000000" w:rsidRDefault="00195E73">
            <w:pPr>
              <w:rPr>
                <w:rFonts w:eastAsia="Times New Roman"/>
                <w:sz w:val="20"/>
                <w:szCs w:val="20"/>
              </w:rPr>
            </w:pPr>
          </w:p>
        </w:tc>
        <w:tc>
          <w:tcPr>
            <w:tcW w:w="0" w:type="auto"/>
            <w:vAlign w:val="center"/>
            <w:hideMark/>
          </w:tcPr>
          <w:p w14:paraId="09983ADA" w14:textId="77777777" w:rsidR="00000000" w:rsidRDefault="00195E73">
            <w:pPr>
              <w:rPr>
                <w:rFonts w:eastAsia="Times New Roman"/>
                <w:sz w:val="20"/>
                <w:szCs w:val="20"/>
              </w:rPr>
            </w:pPr>
          </w:p>
        </w:tc>
      </w:tr>
      <w:tr w:rsidR="00195E73" w14:paraId="0DE19CD5" w14:textId="77777777">
        <w:trPr>
          <w:divId w:val="1470898262"/>
          <w:jc w:val="center"/>
        </w:trPr>
        <w:tc>
          <w:tcPr>
            <w:tcW w:w="0" w:type="auto"/>
            <w:gridSpan w:val="3"/>
            <w:shd w:val="clear" w:color="auto" w:fill="CCEEFF"/>
            <w:tcMar>
              <w:top w:w="30" w:type="dxa"/>
              <w:left w:w="20" w:type="dxa"/>
              <w:bottom w:w="30" w:type="dxa"/>
              <w:right w:w="20" w:type="dxa"/>
            </w:tcMar>
            <w:vAlign w:val="bottom"/>
            <w:hideMark/>
          </w:tcPr>
          <w:p w14:paraId="6A3A8DA4" w14:textId="77777777" w:rsidR="00000000" w:rsidRDefault="00195E73">
            <w:pPr>
              <w:rPr>
                <w:rFonts w:eastAsia="Times New Roman"/>
              </w:rPr>
            </w:pPr>
            <w:r>
              <w:rPr>
                <w:rFonts w:eastAsia="Times New Roman"/>
                <w:color w:val="000000"/>
                <w:sz w:val="18"/>
                <w:szCs w:val="18"/>
              </w:rPr>
              <w:t>Holding Compan</w:t>
            </w:r>
            <w:r>
              <w:rPr>
                <w:rFonts w:eastAsia="Times New Roman"/>
                <w:color w:val="000000"/>
                <w:sz w:val="18"/>
                <w:szCs w:val="18"/>
              </w:rPr>
              <w:t>y</w:t>
            </w:r>
          </w:p>
        </w:tc>
        <w:tc>
          <w:tcPr>
            <w:tcW w:w="0" w:type="auto"/>
            <w:shd w:val="clear" w:color="auto" w:fill="CCEEFF"/>
            <w:tcMar>
              <w:top w:w="30" w:type="dxa"/>
              <w:left w:w="20" w:type="dxa"/>
              <w:bottom w:w="30" w:type="dxa"/>
              <w:right w:w="15" w:type="dxa"/>
            </w:tcMar>
            <w:vAlign w:val="bottom"/>
            <w:hideMark/>
          </w:tcPr>
          <w:p w14:paraId="6358CB81"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60840886" w14:textId="77777777" w:rsidR="00000000" w:rsidRDefault="00195E73">
            <w:pPr>
              <w:jc w:val="right"/>
              <w:rPr>
                <w:rFonts w:eastAsia="Times New Roman"/>
              </w:rPr>
            </w:pPr>
            <w:r>
              <w:rPr>
                <w:rFonts w:eastAsia="Times New Roman"/>
                <w:color w:val="000000"/>
                <w:sz w:val="18"/>
                <w:szCs w:val="18"/>
              </w:rPr>
              <w:t>(322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4447F5C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7AC281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289A8B5"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3619F8C1" w14:textId="77777777" w:rsidR="00000000" w:rsidRDefault="00195E73">
            <w:pPr>
              <w:jc w:val="right"/>
              <w:rPr>
                <w:rFonts w:eastAsia="Times New Roman"/>
              </w:rPr>
            </w:pPr>
            <w:r>
              <w:rPr>
                <w:rFonts w:eastAsia="Times New Roman"/>
                <w:color w:val="000000"/>
                <w:sz w:val="18"/>
                <w:szCs w:val="18"/>
              </w:rPr>
              <w:t>898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1D68C52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760361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1090BA5"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73107E3F" w14:textId="77777777" w:rsidR="00000000" w:rsidRDefault="00195E73">
            <w:pPr>
              <w:jc w:val="right"/>
              <w:rPr>
                <w:rFonts w:eastAsia="Times New Roman"/>
              </w:rPr>
            </w:pPr>
            <w:r>
              <w:rPr>
                <w:rFonts w:eastAsia="Times New Roman"/>
                <w:color w:val="000000"/>
                <w:sz w:val="18"/>
                <w:szCs w:val="18"/>
              </w:rPr>
              <w:t>738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AC837C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E101DD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B5681F2"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20C418E0" w14:textId="77777777" w:rsidR="00000000" w:rsidRDefault="00195E73">
            <w:pPr>
              <w:jc w:val="right"/>
              <w:rPr>
                <w:rFonts w:eastAsia="Times New Roman"/>
              </w:rPr>
            </w:pPr>
            <w:r>
              <w:rPr>
                <w:rFonts w:eastAsia="Times New Roman"/>
                <w:color w:val="000000"/>
                <w:sz w:val="18"/>
                <w:szCs w:val="18"/>
              </w:rPr>
              <w:t>(315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1DFB1BC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566337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CD0DAE1"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7369DF99" w14:textId="77777777" w:rsidR="00000000" w:rsidRDefault="00195E73">
            <w:pPr>
              <w:jc w:val="right"/>
              <w:rPr>
                <w:rFonts w:eastAsia="Times New Roman"/>
              </w:rPr>
            </w:pPr>
            <w:r>
              <w:rPr>
                <w:rFonts w:eastAsia="Times New Roman"/>
                <w:color w:val="000000"/>
                <w:sz w:val="18"/>
                <w:szCs w:val="18"/>
              </w:rPr>
              <w:t>1,729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FB3E62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390F32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ACC2317"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246AE4A0" w14:textId="77777777" w:rsidR="00000000" w:rsidRDefault="00195E73">
            <w:pPr>
              <w:jc w:val="right"/>
              <w:rPr>
                <w:rFonts w:eastAsia="Times New Roman"/>
              </w:rPr>
            </w:pPr>
            <w:r>
              <w:rPr>
                <w:rFonts w:eastAsia="Times New Roman"/>
                <w:color w:val="000000"/>
                <w:sz w:val="18"/>
                <w:szCs w:val="18"/>
              </w:rPr>
              <w:t>(102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3D19B9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B4B35B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F5988D9"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08E3C9F9" w14:textId="77777777" w:rsidR="00000000" w:rsidRDefault="00195E73">
            <w:pPr>
              <w:jc w:val="right"/>
              <w:rPr>
                <w:rFonts w:eastAsia="Times New Roman"/>
              </w:rPr>
            </w:pPr>
            <w:r>
              <w:rPr>
                <w:rFonts w:eastAsia="Times New Roman"/>
                <w:color w:val="000000"/>
                <w:sz w:val="18"/>
                <w:szCs w:val="18"/>
              </w:rPr>
              <w:t>(340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5C8007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4C6B91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6B845E1"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765DB95A" w14:textId="77777777" w:rsidR="00000000" w:rsidRDefault="00195E73">
            <w:pPr>
              <w:jc w:val="right"/>
              <w:rPr>
                <w:rFonts w:eastAsia="Times New Roman"/>
              </w:rPr>
            </w:pPr>
            <w:r>
              <w:rPr>
                <w:rFonts w:eastAsia="Times New Roman"/>
                <w:color w:val="000000"/>
                <w:sz w:val="18"/>
                <w:szCs w:val="18"/>
              </w:rPr>
              <w:t>565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49CB22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A6A35F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7A605E0"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273C297C" w14:textId="77777777" w:rsidR="00000000" w:rsidRDefault="00195E73">
            <w:pPr>
              <w:jc w:val="right"/>
              <w:rPr>
                <w:rFonts w:eastAsia="Times New Roman"/>
              </w:rPr>
            </w:pPr>
            <w:r>
              <w:rPr>
                <w:rFonts w:eastAsia="Times New Roman"/>
                <w:color w:val="000000"/>
                <w:sz w:val="18"/>
                <w:szCs w:val="18"/>
              </w:rPr>
              <w:t>73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A103BFC"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6BDA0664" w14:textId="77777777" w:rsidR="00000000" w:rsidRDefault="00195E73">
            <w:pPr>
              <w:rPr>
                <w:rFonts w:eastAsia="Times New Roman"/>
                <w:sz w:val="20"/>
                <w:szCs w:val="20"/>
              </w:rPr>
            </w:pPr>
          </w:p>
        </w:tc>
        <w:tc>
          <w:tcPr>
            <w:tcW w:w="0" w:type="auto"/>
            <w:vAlign w:val="center"/>
            <w:hideMark/>
          </w:tcPr>
          <w:p w14:paraId="26340DFC" w14:textId="77777777" w:rsidR="00000000" w:rsidRDefault="00195E73">
            <w:pPr>
              <w:rPr>
                <w:rFonts w:eastAsia="Times New Roman"/>
                <w:sz w:val="20"/>
                <w:szCs w:val="20"/>
              </w:rPr>
            </w:pPr>
          </w:p>
        </w:tc>
        <w:tc>
          <w:tcPr>
            <w:tcW w:w="0" w:type="auto"/>
            <w:vAlign w:val="center"/>
            <w:hideMark/>
          </w:tcPr>
          <w:p w14:paraId="36094681" w14:textId="77777777" w:rsidR="00000000" w:rsidRDefault="00195E73">
            <w:pPr>
              <w:rPr>
                <w:rFonts w:eastAsia="Times New Roman"/>
                <w:sz w:val="20"/>
                <w:szCs w:val="20"/>
              </w:rPr>
            </w:pPr>
          </w:p>
        </w:tc>
        <w:tc>
          <w:tcPr>
            <w:tcW w:w="0" w:type="auto"/>
            <w:vAlign w:val="center"/>
            <w:hideMark/>
          </w:tcPr>
          <w:p w14:paraId="1CE2810E" w14:textId="77777777" w:rsidR="00000000" w:rsidRDefault="00195E73">
            <w:pPr>
              <w:rPr>
                <w:rFonts w:eastAsia="Times New Roman"/>
                <w:sz w:val="20"/>
                <w:szCs w:val="20"/>
              </w:rPr>
            </w:pPr>
          </w:p>
        </w:tc>
        <w:tc>
          <w:tcPr>
            <w:tcW w:w="0" w:type="auto"/>
            <w:vAlign w:val="center"/>
            <w:hideMark/>
          </w:tcPr>
          <w:p w14:paraId="387DC6C9" w14:textId="77777777" w:rsidR="00000000" w:rsidRDefault="00195E73">
            <w:pPr>
              <w:rPr>
                <w:rFonts w:eastAsia="Times New Roman"/>
                <w:sz w:val="20"/>
                <w:szCs w:val="20"/>
              </w:rPr>
            </w:pPr>
          </w:p>
        </w:tc>
        <w:tc>
          <w:tcPr>
            <w:tcW w:w="0" w:type="auto"/>
            <w:vAlign w:val="center"/>
            <w:hideMark/>
          </w:tcPr>
          <w:p w14:paraId="4C3FD88C" w14:textId="77777777" w:rsidR="00000000" w:rsidRDefault="00195E73">
            <w:pPr>
              <w:rPr>
                <w:rFonts w:eastAsia="Times New Roman"/>
                <w:sz w:val="20"/>
                <w:szCs w:val="20"/>
              </w:rPr>
            </w:pPr>
          </w:p>
        </w:tc>
        <w:tc>
          <w:tcPr>
            <w:tcW w:w="0" w:type="auto"/>
            <w:vAlign w:val="center"/>
            <w:hideMark/>
          </w:tcPr>
          <w:p w14:paraId="4863504B" w14:textId="77777777" w:rsidR="00000000" w:rsidRDefault="00195E73">
            <w:pPr>
              <w:rPr>
                <w:rFonts w:eastAsia="Times New Roman"/>
                <w:sz w:val="20"/>
                <w:szCs w:val="20"/>
              </w:rPr>
            </w:pPr>
          </w:p>
        </w:tc>
        <w:tc>
          <w:tcPr>
            <w:tcW w:w="0" w:type="auto"/>
            <w:vAlign w:val="center"/>
            <w:hideMark/>
          </w:tcPr>
          <w:p w14:paraId="250C3A7E" w14:textId="77777777" w:rsidR="00000000" w:rsidRDefault="00195E73">
            <w:pPr>
              <w:rPr>
                <w:rFonts w:eastAsia="Times New Roman"/>
                <w:sz w:val="20"/>
                <w:szCs w:val="20"/>
              </w:rPr>
            </w:pPr>
          </w:p>
        </w:tc>
        <w:tc>
          <w:tcPr>
            <w:tcW w:w="0" w:type="auto"/>
            <w:vAlign w:val="center"/>
            <w:hideMark/>
          </w:tcPr>
          <w:p w14:paraId="612CC72B" w14:textId="77777777" w:rsidR="00000000" w:rsidRDefault="00195E73">
            <w:pPr>
              <w:rPr>
                <w:rFonts w:eastAsia="Times New Roman"/>
                <w:sz w:val="20"/>
                <w:szCs w:val="20"/>
              </w:rPr>
            </w:pPr>
          </w:p>
        </w:tc>
      </w:tr>
      <w:tr w:rsidR="00195E73" w14:paraId="5A11864B" w14:textId="77777777">
        <w:trPr>
          <w:divId w:val="1470898262"/>
          <w:jc w:val="center"/>
        </w:trPr>
        <w:tc>
          <w:tcPr>
            <w:tcW w:w="0" w:type="auto"/>
            <w:gridSpan w:val="3"/>
            <w:shd w:val="clear" w:color="auto" w:fill="FFFFFF"/>
            <w:tcMar>
              <w:top w:w="30" w:type="dxa"/>
              <w:left w:w="20" w:type="dxa"/>
              <w:bottom w:w="30" w:type="dxa"/>
              <w:right w:w="20" w:type="dxa"/>
            </w:tcMar>
            <w:vAlign w:val="bottom"/>
            <w:hideMark/>
          </w:tcPr>
          <w:p w14:paraId="234A538C" w14:textId="77777777" w:rsidR="00000000" w:rsidRDefault="00195E73">
            <w:pPr>
              <w:rPr>
                <w:rFonts w:eastAsia="Times New Roman"/>
              </w:rPr>
            </w:pPr>
            <w:r>
              <w:rPr>
                <w:rFonts w:eastAsia="Times New Roman"/>
                <w:color w:val="000000"/>
                <w:sz w:val="18"/>
                <w:szCs w:val="18"/>
              </w:rPr>
              <w:t>Investmen</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14:paraId="7573F63A" w14:textId="77777777" w:rsidR="00000000" w:rsidRDefault="00195E73">
            <w:pPr>
              <w:jc w:val="right"/>
              <w:rPr>
                <w:rFonts w:eastAsia="Times New Roman"/>
              </w:rPr>
            </w:pPr>
            <w:r>
              <w:rPr>
                <w:rFonts w:eastAsia="Times New Roman"/>
                <w:color w:val="000000"/>
                <w:sz w:val="18"/>
                <w:szCs w:val="18"/>
              </w:rPr>
              <w:t>(1,873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7CB9FD2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631217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DDFF3E"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095B0A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9A713A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A96906" w14:textId="77777777" w:rsidR="00000000" w:rsidRDefault="00195E73">
            <w:pPr>
              <w:jc w:val="right"/>
              <w:rPr>
                <w:rFonts w:eastAsia="Times New Roman"/>
              </w:rPr>
            </w:pPr>
            <w:r>
              <w:rPr>
                <w:rFonts w:eastAsia="Times New Roman"/>
                <w:color w:val="000000"/>
                <w:sz w:val="18"/>
                <w:szCs w:val="18"/>
              </w:rPr>
              <w:t>220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32EDAF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79393D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9AA173" w14:textId="77777777" w:rsidR="00000000" w:rsidRDefault="00195E73">
            <w:pPr>
              <w:jc w:val="right"/>
              <w:rPr>
                <w:rFonts w:eastAsia="Times New Roman"/>
              </w:rPr>
            </w:pPr>
            <w:r>
              <w:rPr>
                <w:rFonts w:eastAsia="Times New Roman"/>
                <w:color w:val="000000"/>
                <w:sz w:val="18"/>
                <w:szCs w:val="18"/>
              </w:rPr>
              <w:t>(116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3E30A18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AB18F5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D4A12C"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037E10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AC0FE2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E1BBA9" w14:textId="77777777" w:rsidR="00000000" w:rsidRDefault="00195E73">
            <w:pPr>
              <w:jc w:val="right"/>
              <w:rPr>
                <w:rFonts w:eastAsia="Times New Roman"/>
              </w:rPr>
            </w:pPr>
            <w:r>
              <w:rPr>
                <w:rFonts w:eastAsia="Times New Roman"/>
                <w:color w:val="000000"/>
                <w:sz w:val="18"/>
                <w:szCs w:val="18"/>
              </w:rPr>
              <w:t>2,018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6E9186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75A621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70EBA3" w14:textId="77777777" w:rsidR="00000000" w:rsidRDefault="00195E73">
            <w:pPr>
              <w:jc w:val="right"/>
              <w:rPr>
                <w:rFonts w:eastAsia="Times New Roman"/>
              </w:rPr>
            </w:pPr>
            <w:r>
              <w:rPr>
                <w:rFonts w:eastAsia="Times New Roman"/>
                <w:color w:val="000000"/>
                <w:sz w:val="18"/>
                <w:szCs w:val="18"/>
              </w:rPr>
              <w:t>(1,914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340C8E4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0BC01C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9C2487"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C32199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90CD22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E71EA0" w14:textId="77777777" w:rsidR="00000000" w:rsidRDefault="00195E73">
            <w:pPr>
              <w:jc w:val="right"/>
              <w:rPr>
                <w:rFonts w:eastAsia="Times New Roman"/>
              </w:rPr>
            </w:pPr>
            <w:r>
              <w:rPr>
                <w:rFonts w:eastAsia="Times New Roman"/>
                <w:color w:val="000000"/>
                <w:sz w:val="18"/>
                <w:szCs w:val="18"/>
              </w:rPr>
              <w:t>1,900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0C8EAEA7"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58CEFDEE" w14:textId="77777777" w:rsidR="00000000" w:rsidRDefault="00195E73">
            <w:pPr>
              <w:rPr>
                <w:rFonts w:eastAsia="Times New Roman"/>
                <w:sz w:val="20"/>
                <w:szCs w:val="20"/>
              </w:rPr>
            </w:pPr>
          </w:p>
        </w:tc>
        <w:tc>
          <w:tcPr>
            <w:tcW w:w="0" w:type="auto"/>
            <w:vAlign w:val="center"/>
            <w:hideMark/>
          </w:tcPr>
          <w:p w14:paraId="17F07552" w14:textId="77777777" w:rsidR="00000000" w:rsidRDefault="00195E73">
            <w:pPr>
              <w:rPr>
                <w:rFonts w:eastAsia="Times New Roman"/>
                <w:sz w:val="20"/>
                <w:szCs w:val="20"/>
              </w:rPr>
            </w:pPr>
          </w:p>
        </w:tc>
        <w:tc>
          <w:tcPr>
            <w:tcW w:w="0" w:type="auto"/>
            <w:vAlign w:val="center"/>
            <w:hideMark/>
          </w:tcPr>
          <w:p w14:paraId="7ED186CE" w14:textId="77777777" w:rsidR="00000000" w:rsidRDefault="00195E73">
            <w:pPr>
              <w:rPr>
                <w:rFonts w:eastAsia="Times New Roman"/>
                <w:sz w:val="20"/>
                <w:szCs w:val="20"/>
              </w:rPr>
            </w:pPr>
          </w:p>
        </w:tc>
        <w:tc>
          <w:tcPr>
            <w:tcW w:w="0" w:type="auto"/>
            <w:vAlign w:val="center"/>
            <w:hideMark/>
          </w:tcPr>
          <w:p w14:paraId="472D79A2" w14:textId="77777777" w:rsidR="00000000" w:rsidRDefault="00195E73">
            <w:pPr>
              <w:rPr>
                <w:rFonts w:eastAsia="Times New Roman"/>
                <w:sz w:val="20"/>
                <w:szCs w:val="20"/>
              </w:rPr>
            </w:pPr>
          </w:p>
        </w:tc>
        <w:tc>
          <w:tcPr>
            <w:tcW w:w="0" w:type="auto"/>
            <w:vAlign w:val="center"/>
            <w:hideMark/>
          </w:tcPr>
          <w:p w14:paraId="36A00BCD" w14:textId="77777777" w:rsidR="00000000" w:rsidRDefault="00195E73">
            <w:pPr>
              <w:rPr>
                <w:rFonts w:eastAsia="Times New Roman"/>
                <w:sz w:val="20"/>
                <w:szCs w:val="20"/>
              </w:rPr>
            </w:pPr>
          </w:p>
        </w:tc>
        <w:tc>
          <w:tcPr>
            <w:tcW w:w="0" w:type="auto"/>
            <w:vAlign w:val="center"/>
            <w:hideMark/>
          </w:tcPr>
          <w:p w14:paraId="34F18A0B" w14:textId="77777777" w:rsidR="00000000" w:rsidRDefault="00195E73">
            <w:pPr>
              <w:rPr>
                <w:rFonts w:eastAsia="Times New Roman"/>
                <w:sz w:val="20"/>
                <w:szCs w:val="20"/>
              </w:rPr>
            </w:pPr>
          </w:p>
        </w:tc>
        <w:tc>
          <w:tcPr>
            <w:tcW w:w="0" w:type="auto"/>
            <w:vAlign w:val="center"/>
            <w:hideMark/>
          </w:tcPr>
          <w:p w14:paraId="3149A848" w14:textId="77777777" w:rsidR="00000000" w:rsidRDefault="00195E73">
            <w:pPr>
              <w:rPr>
                <w:rFonts w:eastAsia="Times New Roman"/>
                <w:sz w:val="20"/>
                <w:szCs w:val="20"/>
              </w:rPr>
            </w:pPr>
          </w:p>
        </w:tc>
        <w:tc>
          <w:tcPr>
            <w:tcW w:w="0" w:type="auto"/>
            <w:vAlign w:val="center"/>
            <w:hideMark/>
          </w:tcPr>
          <w:p w14:paraId="71C9954A" w14:textId="77777777" w:rsidR="00000000" w:rsidRDefault="00195E73">
            <w:pPr>
              <w:rPr>
                <w:rFonts w:eastAsia="Times New Roman"/>
                <w:sz w:val="20"/>
                <w:szCs w:val="20"/>
              </w:rPr>
            </w:pPr>
          </w:p>
        </w:tc>
        <w:tc>
          <w:tcPr>
            <w:tcW w:w="0" w:type="auto"/>
            <w:vAlign w:val="center"/>
            <w:hideMark/>
          </w:tcPr>
          <w:p w14:paraId="5D712E7E" w14:textId="77777777" w:rsidR="00000000" w:rsidRDefault="00195E73">
            <w:pPr>
              <w:rPr>
                <w:rFonts w:eastAsia="Times New Roman"/>
                <w:sz w:val="20"/>
                <w:szCs w:val="20"/>
              </w:rPr>
            </w:pPr>
          </w:p>
        </w:tc>
      </w:tr>
      <w:tr w:rsidR="00000000" w14:paraId="096223EF" w14:textId="77777777">
        <w:trPr>
          <w:divId w:val="1470898262"/>
          <w:trHeight w:val="300"/>
          <w:jc w:val="center"/>
        </w:trPr>
        <w:tc>
          <w:tcPr>
            <w:tcW w:w="0" w:type="auto"/>
            <w:gridSpan w:val="3"/>
            <w:shd w:val="clear" w:color="auto" w:fill="CCEEFF"/>
            <w:tcMar>
              <w:top w:w="15" w:type="dxa"/>
              <w:left w:w="20" w:type="dxa"/>
              <w:bottom w:w="15" w:type="dxa"/>
              <w:right w:w="20" w:type="dxa"/>
            </w:tcMar>
            <w:vAlign w:val="bottom"/>
            <w:hideMark/>
          </w:tcPr>
          <w:p w14:paraId="6D59C203"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774D3F8"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7F493B4"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CD34C97"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12DFB6C" w14:textId="77777777" w:rsidR="00000000" w:rsidRDefault="00195E73">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C132B68"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675386F"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A02B358"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4A71993" w14:textId="77777777" w:rsidR="00000000" w:rsidRDefault="00195E73">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98CF7BE"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008F79D" w14:textId="77777777" w:rsidR="00000000" w:rsidRDefault="00195E73">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30FEF5D"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55EBEDE" w14:textId="77777777" w:rsidR="00000000" w:rsidRDefault="00195E73">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ECD2A7B" w14:textId="77777777" w:rsidR="00000000" w:rsidRDefault="00195E73">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FE396BB" w14:textId="77777777" w:rsidR="00000000" w:rsidRDefault="00195E73">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91A9345" w14:textId="77777777" w:rsidR="00000000" w:rsidRDefault="00195E73">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B90AA56" w14:textId="77777777" w:rsidR="00000000" w:rsidRDefault="00195E73">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7E39124" w14:textId="77777777" w:rsidR="00000000" w:rsidRDefault="00195E73">
            <w:pPr>
              <w:jc w:val="right"/>
              <w:rPr>
                <w:rFonts w:eastAsia="Times New Roman"/>
                <w:sz w:val="20"/>
                <w:szCs w:val="20"/>
              </w:rPr>
            </w:pPr>
          </w:p>
        </w:tc>
        <w:tc>
          <w:tcPr>
            <w:tcW w:w="0" w:type="auto"/>
            <w:vAlign w:val="center"/>
            <w:hideMark/>
          </w:tcPr>
          <w:p w14:paraId="6043DB22" w14:textId="77777777" w:rsidR="00000000" w:rsidRDefault="00195E73">
            <w:pPr>
              <w:rPr>
                <w:rFonts w:eastAsia="Times New Roman"/>
                <w:sz w:val="20"/>
                <w:szCs w:val="20"/>
              </w:rPr>
            </w:pPr>
          </w:p>
        </w:tc>
        <w:tc>
          <w:tcPr>
            <w:tcW w:w="0" w:type="auto"/>
            <w:vAlign w:val="center"/>
            <w:hideMark/>
          </w:tcPr>
          <w:p w14:paraId="263A8504" w14:textId="77777777" w:rsidR="00000000" w:rsidRDefault="00195E73">
            <w:pPr>
              <w:rPr>
                <w:rFonts w:eastAsia="Times New Roman"/>
                <w:sz w:val="20"/>
                <w:szCs w:val="20"/>
              </w:rPr>
            </w:pPr>
          </w:p>
        </w:tc>
        <w:tc>
          <w:tcPr>
            <w:tcW w:w="0" w:type="auto"/>
            <w:vAlign w:val="center"/>
            <w:hideMark/>
          </w:tcPr>
          <w:p w14:paraId="2E0D9FE1" w14:textId="77777777" w:rsidR="00000000" w:rsidRDefault="00195E73">
            <w:pPr>
              <w:rPr>
                <w:rFonts w:eastAsia="Times New Roman"/>
                <w:sz w:val="20"/>
                <w:szCs w:val="20"/>
              </w:rPr>
            </w:pPr>
          </w:p>
        </w:tc>
        <w:tc>
          <w:tcPr>
            <w:tcW w:w="0" w:type="auto"/>
            <w:vAlign w:val="center"/>
            <w:hideMark/>
          </w:tcPr>
          <w:p w14:paraId="5BBB41C5" w14:textId="77777777" w:rsidR="00000000" w:rsidRDefault="00195E73">
            <w:pPr>
              <w:rPr>
                <w:rFonts w:eastAsia="Times New Roman"/>
                <w:sz w:val="20"/>
                <w:szCs w:val="20"/>
              </w:rPr>
            </w:pPr>
          </w:p>
        </w:tc>
        <w:tc>
          <w:tcPr>
            <w:tcW w:w="0" w:type="auto"/>
            <w:vAlign w:val="center"/>
            <w:hideMark/>
          </w:tcPr>
          <w:p w14:paraId="39D703E6" w14:textId="77777777" w:rsidR="00000000" w:rsidRDefault="00195E73">
            <w:pPr>
              <w:rPr>
                <w:rFonts w:eastAsia="Times New Roman"/>
                <w:sz w:val="20"/>
                <w:szCs w:val="20"/>
              </w:rPr>
            </w:pPr>
          </w:p>
        </w:tc>
        <w:tc>
          <w:tcPr>
            <w:tcW w:w="0" w:type="auto"/>
            <w:vAlign w:val="center"/>
            <w:hideMark/>
          </w:tcPr>
          <w:p w14:paraId="08BD6686" w14:textId="77777777" w:rsidR="00000000" w:rsidRDefault="00195E73">
            <w:pPr>
              <w:rPr>
                <w:rFonts w:eastAsia="Times New Roman"/>
                <w:sz w:val="20"/>
                <w:szCs w:val="20"/>
              </w:rPr>
            </w:pPr>
          </w:p>
        </w:tc>
        <w:tc>
          <w:tcPr>
            <w:tcW w:w="0" w:type="auto"/>
            <w:vAlign w:val="center"/>
            <w:hideMark/>
          </w:tcPr>
          <w:p w14:paraId="6512DF98" w14:textId="77777777" w:rsidR="00000000" w:rsidRDefault="00195E73">
            <w:pPr>
              <w:rPr>
                <w:rFonts w:eastAsia="Times New Roman"/>
                <w:sz w:val="20"/>
                <w:szCs w:val="20"/>
              </w:rPr>
            </w:pPr>
          </w:p>
        </w:tc>
        <w:tc>
          <w:tcPr>
            <w:tcW w:w="0" w:type="auto"/>
            <w:vAlign w:val="center"/>
            <w:hideMark/>
          </w:tcPr>
          <w:p w14:paraId="2018BDE9" w14:textId="77777777" w:rsidR="00000000" w:rsidRDefault="00195E73">
            <w:pPr>
              <w:rPr>
                <w:rFonts w:eastAsia="Times New Roman"/>
                <w:sz w:val="20"/>
                <w:szCs w:val="20"/>
              </w:rPr>
            </w:pPr>
          </w:p>
        </w:tc>
        <w:tc>
          <w:tcPr>
            <w:tcW w:w="0" w:type="auto"/>
            <w:vAlign w:val="center"/>
            <w:hideMark/>
          </w:tcPr>
          <w:p w14:paraId="703A5880" w14:textId="77777777" w:rsidR="00000000" w:rsidRDefault="00195E73">
            <w:pPr>
              <w:rPr>
                <w:rFonts w:eastAsia="Times New Roman"/>
                <w:sz w:val="20"/>
                <w:szCs w:val="20"/>
              </w:rPr>
            </w:pPr>
          </w:p>
        </w:tc>
      </w:tr>
      <w:tr w:rsidR="00000000" w14:paraId="48B6EB06" w14:textId="77777777">
        <w:trPr>
          <w:divId w:val="1470898262"/>
          <w:jc w:val="center"/>
        </w:trPr>
        <w:tc>
          <w:tcPr>
            <w:tcW w:w="0" w:type="auto"/>
            <w:gridSpan w:val="3"/>
            <w:shd w:val="clear" w:color="auto" w:fill="FFFFFF"/>
            <w:tcMar>
              <w:top w:w="30" w:type="dxa"/>
              <w:left w:w="20" w:type="dxa"/>
              <w:bottom w:w="30" w:type="dxa"/>
              <w:right w:w="20" w:type="dxa"/>
            </w:tcMar>
            <w:vAlign w:val="bottom"/>
            <w:hideMark/>
          </w:tcPr>
          <w:p w14:paraId="15093E00" w14:textId="77777777" w:rsidR="00000000" w:rsidRDefault="00195E73">
            <w:pPr>
              <w:rPr>
                <w:rFonts w:eastAsia="Times New Roman"/>
              </w:rPr>
            </w:pPr>
            <w:r>
              <w:rPr>
                <w:rFonts w:eastAsia="Times New Roman"/>
                <w:color w:val="000000"/>
                <w:sz w:val="18"/>
                <w:szCs w:val="18"/>
                <w:u w:val="single"/>
              </w:rPr>
              <w:t>Other Operating Segments</w:t>
            </w:r>
            <w:r>
              <w:rPr>
                <w:rFonts w:eastAsia="Times New Roman"/>
                <w:color w:val="000000"/>
                <w:sz w:val="18"/>
                <w:szCs w:val="18"/>
                <w:u w:val="single"/>
              </w:rPr>
              <w:t>:</w:t>
            </w:r>
          </w:p>
        </w:tc>
        <w:tc>
          <w:tcPr>
            <w:tcW w:w="0" w:type="auto"/>
            <w:gridSpan w:val="3"/>
            <w:shd w:val="clear" w:color="auto" w:fill="FFFFFF"/>
            <w:tcMar>
              <w:top w:w="15" w:type="dxa"/>
              <w:left w:w="20" w:type="dxa"/>
              <w:bottom w:w="15" w:type="dxa"/>
              <w:right w:w="20" w:type="dxa"/>
            </w:tcMar>
            <w:vAlign w:val="bottom"/>
            <w:hideMark/>
          </w:tcPr>
          <w:p w14:paraId="1E9C45FE"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C35D96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8E1D36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A77FCD8" w14:textId="77777777" w:rsidR="00000000" w:rsidRDefault="00195E73">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82BCFE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3D4685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6B31EF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0B75892" w14:textId="77777777" w:rsidR="00000000" w:rsidRDefault="00195E73">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4CDC27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4AA1884" w14:textId="77777777" w:rsidR="00000000" w:rsidRDefault="00195E73">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C7B25C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B65AC2B" w14:textId="77777777" w:rsidR="00000000" w:rsidRDefault="00195E73">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68ADC24" w14:textId="77777777" w:rsidR="00000000" w:rsidRDefault="00195E73">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82C27EC" w14:textId="77777777" w:rsidR="00000000" w:rsidRDefault="00195E73">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1045038" w14:textId="77777777" w:rsidR="00000000" w:rsidRDefault="00195E73">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D8632C2" w14:textId="77777777" w:rsidR="00000000" w:rsidRDefault="00195E73">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0562214" w14:textId="77777777" w:rsidR="00000000" w:rsidRDefault="00195E73">
            <w:pPr>
              <w:jc w:val="right"/>
              <w:rPr>
                <w:rFonts w:eastAsia="Times New Roman"/>
                <w:sz w:val="20"/>
                <w:szCs w:val="20"/>
              </w:rPr>
            </w:pPr>
          </w:p>
        </w:tc>
        <w:tc>
          <w:tcPr>
            <w:tcW w:w="0" w:type="auto"/>
            <w:vAlign w:val="center"/>
            <w:hideMark/>
          </w:tcPr>
          <w:p w14:paraId="63663ECB" w14:textId="77777777" w:rsidR="00000000" w:rsidRDefault="00195E73">
            <w:pPr>
              <w:rPr>
                <w:rFonts w:eastAsia="Times New Roman"/>
                <w:sz w:val="20"/>
                <w:szCs w:val="20"/>
              </w:rPr>
            </w:pPr>
          </w:p>
        </w:tc>
        <w:tc>
          <w:tcPr>
            <w:tcW w:w="0" w:type="auto"/>
            <w:vAlign w:val="center"/>
            <w:hideMark/>
          </w:tcPr>
          <w:p w14:paraId="6483D04E" w14:textId="77777777" w:rsidR="00000000" w:rsidRDefault="00195E73">
            <w:pPr>
              <w:rPr>
                <w:rFonts w:eastAsia="Times New Roman"/>
                <w:sz w:val="20"/>
                <w:szCs w:val="20"/>
              </w:rPr>
            </w:pPr>
          </w:p>
        </w:tc>
        <w:tc>
          <w:tcPr>
            <w:tcW w:w="0" w:type="auto"/>
            <w:vAlign w:val="center"/>
            <w:hideMark/>
          </w:tcPr>
          <w:p w14:paraId="2FDB2305" w14:textId="77777777" w:rsidR="00000000" w:rsidRDefault="00195E73">
            <w:pPr>
              <w:rPr>
                <w:rFonts w:eastAsia="Times New Roman"/>
                <w:sz w:val="20"/>
                <w:szCs w:val="20"/>
              </w:rPr>
            </w:pPr>
          </w:p>
        </w:tc>
        <w:tc>
          <w:tcPr>
            <w:tcW w:w="0" w:type="auto"/>
            <w:vAlign w:val="center"/>
            <w:hideMark/>
          </w:tcPr>
          <w:p w14:paraId="04DB32C3" w14:textId="77777777" w:rsidR="00000000" w:rsidRDefault="00195E73">
            <w:pPr>
              <w:rPr>
                <w:rFonts w:eastAsia="Times New Roman"/>
                <w:sz w:val="20"/>
                <w:szCs w:val="20"/>
              </w:rPr>
            </w:pPr>
          </w:p>
        </w:tc>
        <w:tc>
          <w:tcPr>
            <w:tcW w:w="0" w:type="auto"/>
            <w:vAlign w:val="center"/>
            <w:hideMark/>
          </w:tcPr>
          <w:p w14:paraId="6837224D" w14:textId="77777777" w:rsidR="00000000" w:rsidRDefault="00195E73">
            <w:pPr>
              <w:rPr>
                <w:rFonts w:eastAsia="Times New Roman"/>
                <w:sz w:val="20"/>
                <w:szCs w:val="20"/>
              </w:rPr>
            </w:pPr>
          </w:p>
        </w:tc>
        <w:tc>
          <w:tcPr>
            <w:tcW w:w="0" w:type="auto"/>
            <w:vAlign w:val="center"/>
            <w:hideMark/>
          </w:tcPr>
          <w:p w14:paraId="262BDE68" w14:textId="77777777" w:rsidR="00000000" w:rsidRDefault="00195E73">
            <w:pPr>
              <w:rPr>
                <w:rFonts w:eastAsia="Times New Roman"/>
                <w:sz w:val="20"/>
                <w:szCs w:val="20"/>
              </w:rPr>
            </w:pPr>
          </w:p>
        </w:tc>
        <w:tc>
          <w:tcPr>
            <w:tcW w:w="0" w:type="auto"/>
            <w:vAlign w:val="center"/>
            <w:hideMark/>
          </w:tcPr>
          <w:p w14:paraId="7C000DF9" w14:textId="77777777" w:rsidR="00000000" w:rsidRDefault="00195E73">
            <w:pPr>
              <w:rPr>
                <w:rFonts w:eastAsia="Times New Roman"/>
                <w:sz w:val="20"/>
                <w:szCs w:val="20"/>
              </w:rPr>
            </w:pPr>
          </w:p>
        </w:tc>
        <w:tc>
          <w:tcPr>
            <w:tcW w:w="0" w:type="auto"/>
            <w:vAlign w:val="center"/>
            <w:hideMark/>
          </w:tcPr>
          <w:p w14:paraId="292513A0" w14:textId="77777777" w:rsidR="00000000" w:rsidRDefault="00195E73">
            <w:pPr>
              <w:rPr>
                <w:rFonts w:eastAsia="Times New Roman"/>
                <w:sz w:val="20"/>
                <w:szCs w:val="20"/>
              </w:rPr>
            </w:pPr>
          </w:p>
        </w:tc>
        <w:tc>
          <w:tcPr>
            <w:tcW w:w="0" w:type="auto"/>
            <w:vAlign w:val="center"/>
            <w:hideMark/>
          </w:tcPr>
          <w:p w14:paraId="0E6EB8DF" w14:textId="77777777" w:rsidR="00000000" w:rsidRDefault="00195E73">
            <w:pPr>
              <w:rPr>
                <w:rFonts w:eastAsia="Times New Roman"/>
                <w:sz w:val="20"/>
                <w:szCs w:val="20"/>
              </w:rPr>
            </w:pPr>
          </w:p>
        </w:tc>
      </w:tr>
      <w:tr w:rsidR="00195E73" w14:paraId="258221DC" w14:textId="77777777">
        <w:trPr>
          <w:divId w:val="1470898262"/>
          <w:jc w:val="center"/>
        </w:trPr>
        <w:tc>
          <w:tcPr>
            <w:tcW w:w="0" w:type="auto"/>
            <w:gridSpan w:val="3"/>
            <w:shd w:val="clear" w:color="auto" w:fill="CCEEFF"/>
            <w:tcMar>
              <w:top w:w="30" w:type="dxa"/>
              <w:left w:w="20" w:type="dxa"/>
              <w:bottom w:w="30" w:type="dxa"/>
              <w:right w:w="20" w:type="dxa"/>
            </w:tcMar>
            <w:vAlign w:val="bottom"/>
            <w:hideMark/>
          </w:tcPr>
          <w:p w14:paraId="2C631EDF" w14:textId="77777777" w:rsidR="00000000" w:rsidRDefault="00195E73">
            <w:pPr>
              <w:rPr>
                <w:rFonts w:eastAsia="Times New Roman"/>
              </w:rPr>
            </w:pPr>
            <w:r>
              <w:rPr>
                <w:rFonts w:eastAsia="Times New Roman"/>
                <w:color w:val="000000"/>
                <w:sz w:val="18"/>
                <w:szCs w:val="18"/>
              </w:rPr>
              <w:t>   Energ</w:t>
            </w:r>
            <w:r>
              <w:rPr>
                <w:rFonts w:eastAsia="Times New Roman"/>
                <w:color w:val="000000"/>
                <w:sz w:val="18"/>
                <w:szCs w:val="18"/>
              </w:rPr>
              <w:t>y</w:t>
            </w:r>
          </w:p>
        </w:tc>
        <w:tc>
          <w:tcPr>
            <w:tcW w:w="0" w:type="auto"/>
            <w:gridSpan w:val="2"/>
            <w:shd w:val="clear" w:color="auto" w:fill="CCEEFF"/>
            <w:tcMar>
              <w:top w:w="30" w:type="dxa"/>
              <w:left w:w="20" w:type="dxa"/>
              <w:bottom w:w="30" w:type="dxa"/>
              <w:right w:w="0" w:type="dxa"/>
            </w:tcMar>
            <w:vAlign w:val="bottom"/>
            <w:hideMark/>
          </w:tcPr>
          <w:p w14:paraId="71A414BF" w14:textId="77777777" w:rsidR="00000000" w:rsidRDefault="00195E73">
            <w:pPr>
              <w:jc w:val="right"/>
              <w:rPr>
                <w:rFonts w:eastAsia="Times New Roman"/>
              </w:rPr>
            </w:pPr>
            <w:r>
              <w:rPr>
                <w:rFonts w:eastAsia="Times New Roman"/>
                <w:color w:val="000000"/>
                <w:sz w:val="18"/>
                <w:szCs w:val="18"/>
              </w:rPr>
              <w:t>747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EBCC50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ADF1E5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9CD5EA" w14:textId="77777777" w:rsidR="00000000" w:rsidRDefault="00195E73">
            <w:pPr>
              <w:jc w:val="right"/>
              <w:rPr>
                <w:rFonts w:eastAsia="Times New Roman"/>
              </w:rPr>
            </w:pPr>
            <w:r>
              <w:rPr>
                <w:rFonts w:eastAsia="Times New Roman"/>
                <w:color w:val="000000"/>
                <w:sz w:val="18"/>
                <w:szCs w:val="18"/>
              </w:rPr>
              <w:t>(121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77C73CD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176AF5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329545" w14:textId="77777777" w:rsidR="00000000" w:rsidRDefault="00195E73">
            <w:pPr>
              <w:jc w:val="right"/>
              <w:rPr>
                <w:rFonts w:eastAsia="Times New Roman"/>
              </w:rPr>
            </w:pPr>
            <w:r>
              <w:rPr>
                <w:rFonts w:eastAsia="Times New Roman"/>
                <w:color w:val="000000"/>
                <w:sz w:val="18"/>
                <w:szCs w:val="18"/>
              </w:rPr>
              <w:t>(642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7C95560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8121BD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C2E418" w14:textId="77777777" w:rsidR="00000000" w:rsidRDefault="00195E73">
            <w:pPr>
              <w:jc w:val="right"/>
              <w:rPr>
                <w:rFonts w:eastAsia="Times New Roman"/>
              </w:rPr>
            </w:pPr>
            <w:r>
              <w:rPr>
                <w:rFonts w:eastAsia="Times New Roman"/>
                <w:color w:val="000000"/>
                <w:sz w:val="18"/>
                <w:szCs w:val="18"/>
              </w:rPr>
              <w:t>628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4B5302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605344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B3D8D9" w14:textId="77777777" w:rsidR="00000000" w:rsidRDefault="00195E73">
            <w:pPr>
              <w:jc w:val="right"/>
              <w:rPr>
                <w:rFonts w:eastAsia="Times New Roman"/>
              </w:rPr>
            </w:pPr>
            <w:r>
              <w:rPr>
                <w:rFonts w:eastAsia="Times New Roman"/>
                <w:color w:val="000000"/>
                <w:sz w:val="18"/>
                <w:szCs w:val="18"/>
              </w:rPr>
              <w:t>(108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0E92A7C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B3AE71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C131DF" w14:textId="77777777" w:rsidR="00000000" w:rsidRDefault="00195E73">
            <w:pPr>
              <w:jc w:val="right"/>
              <w:rPr>
                <w:rFonts w:eastAsia="Times New Roman"/>
              </w:rPr>
            </w:pPr>
            <w:r>
              <w:rPr>
                <w:rFonts w:eastAsia="Times New Roman"/>
                <w:color w:val="000000"/>
                <w:sz w:val="18"/>
                <w:szCs w:val="18"/>
              </w:rPr>
              <w:t>(334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47A2EA2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FFE9E5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0D7DF7" w14:textId="77777777" w:rsidR="00000000" w:rsidRDefault="00195E73">
            <w:pPr>
              <w:jc w:val="right"/>
              <w:rPr>
                <w:rFonts w:eastAsia="Times New Roman"/>
              </w:rPr>
            </w:pPr>
            <w:r>
              <w:rPr>
                <w:rFonts w:eastAsia="Times New Roman"/>
                <w:color w:val="000000"/>
                <w:sz w:val="18"/>
                <w:szCs w:val="18"/>
              </w:rPr>
              <w:t>248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EA6716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25A56D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C138E9" w14:textId="77777777" w:rsidR="00000000" w:rsidRDefault="00195E73">
            <w:pPr>
              <w:jc w:val="right"/>
              <w:rPr>
                <w:rFonts w:eastAsia="Times New Roman"/>
              </w:rPr>
            </w:pPr>
            <w:r>
              <w:rPr>
                <w:rFonts w:eastAsia="Times New Roman"/>
                <w:color w:val="000000"/>
                <w:sz w:val="18"/>
                <w:szCs w:val="18"/>
              </w:rPr>
              <w:t>(276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05B12A3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8AC9B3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CAE7F8" w14:textId="77777777" w:rsidR="00000000" w:rsidRDefault="00195E73">
            <w:pPr>
              <w:jc w:val="right"/>
              <w:rPr>
                <w:rFonts w:eastAsia="Times New Roman"/>
              </w:rPr>
            </w:pPr>
            <w:r>
              <w:rPr>
                <w:rFonts w:eastAsia="Times New Roman"/>
                <w:color w:val="000000"/>
                <w:sz w:val="18"/>
                <w:szCs w:val="18"/>
              </w:rPr>
              <w:t>(226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5331D30F"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397AC89B" w14:textId="77777777" w:rsidR="00000000" w:rsidRDefault="00195E73">
            <w:pPr>
              <w:rPr>
                <w:rFonts w:eastAsia="Times New Roman"/>
                <w:sz w:val="20"/>
                <w:szCs w:val="20"/>
              </w:rPr>
            </w:pPr>
          </w:p>
        </w:tc>
        <w:tc>
          <w:tcPr>
            <w:tcW w:w="0" w:type="auto"/>
            <w:vAlign w:val="center"/>
            <w:hideMark/>
          </w:tcPr>
          <w:p w14:paraId="366EBA33" w14:textId="77777777" w:rsidR="00000000" w:rsidRDefault="00195E73">
            <w:pPr>
              <w:rPr>
                <w:rFonts w:eastAsia="Times New Roman"/>
                <w:sz w:val="20"/>
                <w:szCs w:val="20"/>
              </w:rPr>
            </w:pPr>
          </w:p>
        </w:tc>
        <w:tc>
          <w:tcPr>
            <w:tcW w:w="0" w:type="auto"/>
            <w:vAlign w:val="center"/>
            <w:hideMark/>
          </w:tcPr>
          <w:p w14:paraId="50EA12D7" w14:textId="77777777" w:rsidR="00000000" w:rsidRDefault="00195E73">
            <w:pPr>
              <w:rPr>
                <w:rFonts w:eastAsia="Times New Roman"/>
                <w:sz w:val="20"/>
                <w:szCs w:val="20"/>
              </w:rPr>
            </w:pPr>
          </w:p>
        </w:tc>
        <w:tc>
          <w:tcPr>
            <w:tcW w:w="0" w:type="auto"/>
            <w:vAlign w:val="center"/>
            <w:hideMark/>
          </w:tcPr>
          <w:p w14:paraId="3EE1938E" w14:textId="77777777" w:rsidR="00000000" w:rsidRDefault="00195E73">
            <w:pPr>
              <w:rPr>
                <w:rFonts w:eastAsia="Times New Roman"/>
                <w:sz w:val="20"/>
                <w:szCs w:val="20"/>
              </w:rPr>
            </w:pPr>
          </w:p>
        </w:tc>
        <w:tc>
          <w:tcPr>
            <w:tcW w:w="0" w:type="auto"/>
            <w:vAlign w:val="center"/>
            <w:hideMark/>
          </w:tcPr>
          <w:p w14:paraId="6EE67311" w14:textId="77777777" w:rsidR="00000000" w:rsidRDefault="00195E73">
            <w:pPr>
              <w:rPr>
                <w:rFonts w:eastAsia="Times New Roman"/>
                <w:sz w:val="20"/>
                <w:szCs w:val="20"/>
              </w:rPr>
            </w:pPr>
          </w:p>
        </w:tc>
        <w:tc>
          <w:tcPr>
            <w:tcW w:w="0" w:type="auto"/>
            <w:vAlign w:val="center"/>
            <w:hideMark/>
          </w:tcPr>
          <w:p w14:paraId="19D95421" w14:textId="77777777" w:rsidR="00000000" w:rsidRDefault="00195E73">
            <w:pPr>
              <w:rPr>
                <w:rFonts w:eastAsia="Times New Roman"/>
                <w:sz w:val="20"/>
                <w:szCs w:val="20"/>
              </w:rPr>
            </w:pPr>
          </w:p>
        </w:tc>
        <w:tc>
          <w:tcPr>
            <w:tcW w:w="0" w:type="auto"/>
            <w:vAlign w:val="center"/>
            <w:hideMark/>
          </w:tcPr>
          <w:p w14:paraId="417D40B1" w14:textId="77777777" w:rsidR="00000000" w:rsidRDefault="00195E73">
            <w:pPr>
              <w:rPr>
                <w:rFonts w:eastAsia="Times New Roman"/>
                <w:sz w:val="20"/>
                <w:szCs w:val="20"/>
              </w:rPr>
            </w:pPr>
          </w:p>
        </w:tc>
        <w:tc>
          <w:tcPr>
            <w:tcW w:w="0" w:type="auto"/>
            <w:vAlign w:val="center"/>
            <w:hideMark/>
          </w:tcPr>
          <w:p w14:paraId="7D27A3CF" w14:textId="77777777" w:rsidR="00000000" w:rsidRDefault="00195E73">
            <w:pPr>
              <w:rPr>
                <w:rFonts w:eastAsia="Times New Roman"/>
                <w:sz w:val="20"/>
                <w:szCs w:val="20"/>
              </w:rPr>
            </w:pPr>
          </w:p>
        </w:tc>
        <w:tc>
          <w:tcPr>
            <w:tcW w:w="0" w:type="auto"/>
            <w:vAlign w:val="center"/>
            <w:hideMark/>
          </w:tcPr>
          <w:p w14:paraId="74C43069" w14:textId="77777777" w:rsidR="00000000" w:rsidRDefault="00195E73">
            <w:pPr>
              <w:rPr>
                <w:rFonts w:eastAsia="Times New Roman"/>
                <w:sz w:val="20"/>
                <w:szCs w:val="20"/>
              </w:rPr>
            </w:pPr>
          </w:p>
        </w:tc>
      </w:tr>
      <w:tr w:rsidR="00195E73" w14:paraId="5804CD5A" w14:textId="77777777">
        <w:trPr>
          <w:divId w:val="1470898262"/>
          <w:jc w:val="center"/>
        </w:trPr>
        <w:tc>
          <w:tcPr>
            <w:tcW w:w="0" w:type="auto"/>
            <w:gridSpan w:val="3"/>
            <w:shd w:val="clear" w:color="auto" w:fill="FFFFFF"/>
            <w:tcMar>
              <w:top w:w="30" w:type="dxa"/>
              <w:left w:w="20" w:type="dxa"/>
              <w:bottom w:w="30" w:type="dxa"/>
              <w:right w:w="20" w:type="dxa"/>
            </w:tcMar>
            <w:vAlign w:val="bottom"/>
            <w:hideMark/>
          </w:tcPr>
          <w:p w14:paraId="0C59B630" w14:textId="77777777" w:rsidR="00000000" w:rsidRDefault="00195E73">
            <w:pPr>
              <w:rPr>
                <w:rFonts w:eastAsia="Times New Roman"/>
              </w:rPr>
            </w:pPr>
            <w:r>
              <w:rPr>
                <w:rFonts w:eastAsia="Times New Roman"/>
                <w:color w:val="000000"/>
                <w:sz w:val="18"/>
                <w:szCs w:val="18"/>
              </w:rPr>
              <w:t>   Automotiv</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14:paraId="68AF0AEE" w14:textId="77777777" w:rsidR="00000000" w:rsidRDefault="00195E73">
            <w:pPr>
              <w:jc w:val="right"/>
              <w:rPr>
                <w:rFonts w:eastAsia="Times New Roman"/>
              </w:rPr>
            </w:pPr>
            <w:r>
              <w:rPr>
                <w:rFonts w:eastAsia="Times New Roman"/>
                <w:color w:val="000000"/>
                <w:sz w:val="18"/>
                <w:szCs w:val="18"/>
              </w:rPr>
              <w:t>(134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1E432ED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268DAE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A29FDD" w14:textId="77777777" w:rsidR="00000000" w:rsidRDefault="00195E73">
            <w:pPr>
              <w:jc w:val="right"/>
              <w:rPr>
                <w:rFonts w:eastAsia="Times New Roman"/>
              </w:rPr>
            </w:pPr>
            <w:r>
              <w:rPr>
                <w:rFonts w:eastAsia="Times New Roman"/>
                <w:color w:val="000000"/>
                <w:sz w:val="18"/>
                <w:szCs w:val="18"/>
              </w:rPr>
              <w:t>(104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08DBDA3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54F76A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86C1A1" w14:textId="77777777" w:rsidR="00000000" w:rsidRDefault="00195E73">
            <w:pPr>
              <w:jc w:val="right"/>
              <w:rPr>
                <w:rFonts w:eastAsia="Times New Roman"/>
              </w:rPr>
            </w:pPr>
            <w:r>
              <w:rPr>
                <w:rFonts w:eastAsia="Times New Roman"/>
                <w:color w:val="000000"/>
                <w:sz w:val="18"/>
                <w:szCs w:val="18"/>
              </w:rPr>
              <w:t>241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0BEE76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6BF15F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BA27CE" w14:textId="77777777" w:rsidR="00000000" w:rsidRDefault="00195E73">
            <w:pPr>
              <w:jc w:val="right"/>
              <w:rPr>
                <w:rFonts w:eastAsia="Times New Roman"/>
              </w:rPr>
            </w:pPr>
            <w:r>
              <w:rPr>
                <w:rFonts w:eastAsia="Times New Roman"/>
                <w:color w:val="000000"/>
                <w:sz w:val="18"/>
                <w:szCs w:val="18"/>
              </w:rPr>
              <w:t>(190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4F95CE8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12199F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1D638A" w14:textId="77777777" w:rsidR="00000000" w:rsidRDefault="00195E73">
            <w:pPr>
              <w:jc w:val="right"/>
              <w:rPr>
                <w:rFonts w:eastAsia="Times New Roman"/>
              </w:rPr>
            </w:pPr>
            <w:r>
              <w:rPr>
                <w:rFonts w:eastAsia="Times New Roman"/>
                <w:color w:val="000000"/>
                <w:sz w:val="18"/>
                <w:szCs w:val="18"/>
              </w:rPr>
              <w:t>(134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1F807CC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F408BE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43148D" w14:textId="77777777" w:rsidR="00000000" w:rsidRDefault="00195E73">
            <w:pPr>
              <w:jc w:val="right"/>
              <w:rPr>
                <w:rFonts w:eastAsia="Times New Roman"/>
              </w:rPr>
            </w:pPr>
            <w:r>
              <w:rPr>
                <w:rFonts w:eastAsia="Times New Roman"/>
                <w:color w:val="000000"/>
                <w:sz w:val="18"/>
                <w:szCs w:val="18"/>
              </w:rPr>
              <w:t>315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A78289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EB9C14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38C93D" w14:textId="77777777" w:rsidR="00000000" w:rsidRDefault="00195E73">
            <w:pPr>
              <w:jc w:val="right"/>
              <w:rPr>
                <w:rFonts w:eastAsia="Times New Roman"/>
              </w:rPr>
            </w:pPr>
            <w:r>
              <w:rPr>
                <w:rFonts w:eastAsia="Times New Roman"/>
                <w:color w:val="000000"/>
                <w:sz w:val="18"/>
                <w:szCs w:val="18"/>
              </w:rPr>
              <w:t>(284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188CFA2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365B7E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4E18C7" w14:textId="77777777" w:rsidR="00000000" w:rsidRDefault="00195E73">
            <w:pPr>
              <w:jc w:val="right"/>
              <w:rPr>
                <w:rFonts w:eastAsia="Times New Roman"/>
              </w:rPr>
            </w:pPr>
            <w:r>
              <w:rPr>
                <w:rFonts w:eastAsia="Times New Roman"/>
                <w:color w:val="000000"/>
                <w:sz w:val="18"/>
                <w:szCs w:val="18"/>
              </w:rPr>
              <w:t>(302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6F1952B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9885C0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3F4F16" w14:textId="77777777" w:rsidR="00000000" w:rsidRDefault="00195E73">
            <w:pPr>
              <w:jc w:val="right"/>
              <w:rPr>
                <w:rFonts w:eastAsia="Times New Roman"/>
              </w:rPr>
            </w:pPr>
            <w:r>
              <w:rPr>
                <w:rFonts w:eastAsia="Times New Roman"/>
                <w:color w:val="000000"/>
                <w:sz w:val="18"/>
                <w:szCs w:val="18"/>
              </w:rPr>
              <w:t>583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AC9D0F6"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B6262A2" w14:textId="77777777" w:rsidR="00000000" w:rsidRDefault="00195E73">
            <w:pPr>
              <w:rPr>
                <w:rFonts w:eastAsia="Times New Roman"/>
                <w:sz w:val="20"/>
                <w:szCs w:val="20"/>
              </w:rPr>
            </w:pPr>
          </w:p>
        </w:tc>
        <w:tc>
          <w:tcPr>
            <w:tcW w:w="0" w:type="auto"/>
            <w:vAlign w:val="center"/>
            <w:hideMark/>
          </w:tcPr>
          <w:p w14:paraId="786E9EAA" w14:textId="77777777" w:rsidR="00000000" w:rsidRDefault="00195E73">
            <w:pPr>
              <w:rPr>
                <w:rFonts w:eastAsia="Times New Roman"/>
                <w:sz w:val="20"/>
                <w:szCs w:val="20"/>
              </w:rPr>
            </w:pPr>
          </w:p>
        </w:tc>
        <w:tc>
          <w:tcPr>
            <w:tcW w:w="0" w:type="auto"/>
            <w:vAlign w:val="center"/>
            <w:hideMark/>
          </w:tcPr>
          <w:p w14:paraId="46C9DA57" w14:textId="77777777" w:rsidR="00000000" w:rsidRDefault="00195E73">
            <w:pPr>
              <w:rPr>
                <w:rFonts w:eastAsia="Times New Roman"/>
                <w:sz w:val="20"/>
                <w:szCs w:val="20"/>
              </w:rPr>
            </w:pPr>
          </w:p>
        </w:tc>
        <w:tc>
          <w:tcPr>
            <w:tcW w:w="0" w:type="auto"/>
            <w:vAlign w:val="center"/>
            <w:hideMark/>
          </w:tcPr>
          <w:p w14:paraId="48CA1BBD" w14:textId="77777777" w:rsidR="00000000" w:rsidRDefault="00195E73">
            <w:pPr>
              <w:rPr>
                <w:rFonts w:eastAsia="Times New Roman"/>
                <w:sz w:val="20"/>
                <w:szCs w:val="20"/>
              </w:rPr>
            </w:pPr>
          </w:p>
        </w:tc>
        <w:tc>
          <w:tcPr>
            <w:tcW w:w="0" w:type="auto"/>
            <w:vAlign w:val="center"/>
            <w:hideMark/>
          </w:tcPr>
          <w:p w14:paraId="0C96FD3A" w14:textId="77777777" w:rsidR="00000000" w:rsidRDefault="00195E73">
            <w:pPr>
              <w:rPr>
                <w:rFonts w:eastAsia="Times New Roman"/>
                <w:sz w:val="20"/>
                <w:szCs w:val="20"/>
              </w:rPr>
            </w:pPr>
          </w:p>
        </w:tc>
        <w:tc>
          <w:tcPr>
            <w:tcW w:w="0" w:type="auto"/>
            <w:vAlign w:val="center"/>
            <w:hideMark/>
          </w:tcPr>
          <w:p w14:paraId="177D4C33" w14:textId="77777777" w:rsidR="00000000" w:rsidRDefault="00195E73">
            <w:pPr>
              <w:rPr>
                <w:rFonts w:eastAsia="Times New Roman"/>
                <w:sz w:val="20"/>
                <w:szCs w:val="20"/>
              </w:rPr>
            </w:pPr>
          </w:p>
        </w:tc>
        <w:tc>
          <w:tcPr>
            <w:tcW w:w="0" w:type="auto"/>
            <w:vAlign w:val="center"/>
            <w:hideMark/>
          </w:tcPr>
          <w:p w14:paraId="3CE107DC" w14:textId="77777777" w:rsidR="00000000" w:rsidRDefault="00195E73">
            <w:pPr>
              <w:rPr>
                <w:rFonts w:eastAsia="Times New Roman"/>
                <w:sz w:val="20"/>
                <w:szCs w:val="20"/>
              </w:rPr>
            </w:pPr>
          </w:p>
        </w:tc>
        <w:tc>
          <w:tcPr>
            <w:tcW w:w="0" w:type="auto"/>
            <w:vAlign w:val="center"/>
            <w:hideMark/>
          </w:tcPr>
          <w:p w14:paraId="1FF759C4" w14:textId="77777777" w:rsidR="00000000" w:rsidRDefault="00195E73">
            <w:pPr>
              <w:rPr>
                <w:rFonts w:eastAsia="Times New Roman"/>
                <w:sz w:val="20"/>
                <w:szCs w:val="20"/>
              </w:rPr>
            </w:pPr>
          </w:p>
        </w:tc>
        <w:tc>
          <w:tcPr>
            <w:tcW w:w="0" w:type="auto"/>
            <w:vAlign w:val="center"/>
            <w:hideMark/>
          </w:tcPr>
          <w:p w14:paraId="6F3B7BAF" w14:textId="77777777" w:rsidR="00000000" w:rsidRDefault="00195E73">
            <w:pPr>
              <w:rPr>
                <w:rFonts w:eastAsia="Times New Roman"/>
                <w:sz w:val="20"/>
                <w:szCs w:val="20"/>
              </w:rPr>
            </w:pPr>
          </w:p>
        </w:tc>
      </w:tr>
      <w:tr w:rsidR="00195E73" w14:paraId="0A9D0CFE" w14:textId="77777777">
        <w:trPr>
          <w:divId w:val="1470898262"/>
          <w:jc w:val="center"/>
        </w:trPr>
        <w:tc>
          <w:tcPr>
            <w:tcW w:w="0" w:type="auto"/>
            <w:gridSpan w:val="3"/>
            <w:shd w:val="clear" w:color="auto" w:fill="CCEEFF"/>
            <w:tcMar>
              <w:top w:w="30" w:type="dxa"/>
              <w:left w:w="20" w:type="dxa"/>
              <w:bottom w:w="30" w:type="dxa"/>
              <w:right w:w="20" w:type="dxa"/>
            </w:tcMar>
            <w:vAlign w:val="bottom"/>
            <w:hideMark/>
          </w:tcPr>
          <w:p w14:paraId="4B46DB5F" w14:textId="77777777" w:rsidR="00000000" w:rsidRDefault="00195E73">
            <w:pPr>
              <w:rPr>
                <w:rFonts w:eastAsia="Times New Roman"/>
              </w:rPr>
            </w:pPr>
            <w:r>
              <w:rPr>
                <w:rFonts w:eastAsia="Times New Roman"/>
                <w:color w:val="000000"/>
                <w:sz w:val="18"/>
                <w:szCs w:val="18"/>
              </w:rPr>
              <w:t>   Food Packagin</w:t>
            </w:r>
            <w:r>
              <w:rPr>
                <w:rFonts w:eastAsia="Times New Roman"/>
                <w:color w:val="000000"/>
                <w:sz w:val="18"/>
                <w:szCs w:val="18"/>
              </w:rPr>
              <w:t>g</w:t>
            </w:r>
          </w:p>
        </w:tc>
        <w:tc>
          <w:tcPr>
            <w:tcW w:w="0" w:type="auto"/>
            <w:gridSpan w:val="2"/>
            <w:shd w:val="clear" w:color="auto" w:fill="CCEEFF"/>
            <w:tcMar>
              <w:top w:w="30" w:type="dxa"/>
              <w:left w:w="20" w:type="dxa"/>
              <w:bottom w:w="30" w:type="dxa"/>
              <w:right w:w="0" w:type="dxa"/>
            </w:tcMar>
            <w:vAlign w:val="bottom"/>
            <w:hideMark/>
          </w:tcPr>
          <w:p w14:paraId="785AB801"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B51FF2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3B6D16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8BA8B8" w14:textId="77777777" w:rsidR="00000000" w:rsidRDefault="00195E73">
            <w:pPr>
              <w:jc w:val="right"/>
              <w:rPr>
                <w:rFonts w:eastAsia="Times New Roman"/>
              </w:rPr>
            </w:pPr>
            <w:r>
              <w:rPr>
                <w:rFonts w:eastAsia="Times New Roman"/>
                <w:color w:val="000000"/>
                <w:sz w:val="18"/>
                <w:szCs w:val="18"/>
              </w:rPr>
              <w:t>(17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03D467F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6A4853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980BDC" w14:textId="77777777" w:rsidR="00000000" w:rsidRDefault="00195E73">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140BF88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A4AF5F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CBD0AA" w14:textId="77777777" w:rsidR="00000000" w:rsidRDefault="00195E73">
            <w:pPr>
              <w:jc w:val="right"/>
              <w:rPr>
                <w:rFonts w:eastAsia="Times New Roman"/>
              </w:rPr>
            </w:pPr>
            <w:r>
              <w:rPr>
                <w:rFonts w:eastAsia="Times New Roman"/>
                <w:color w:val="000000"/>
                <w:sz w:val="18"/>
                <w:szCs w:val="18"/>
              </w:rPr>
              <w:t>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E10D6D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70F8C3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83E397" w14:textId="77777777" w:rsidR="00000000" w:rsidRDefault="00195E73">
            <w:pPr>
              <w:jc w:val="right"/>
              <w:rPr>
                <w:rFonts w:eastAsia="Times New Roman"/>
              </w:rPr>
            </w:pPr>
            <w:r>
              <w:rPr>
                <w:rFonts w:eastAsia="Times New Roman"/>
                <w:color w:val="000000"/>
                <w:sz w:val="18"/>
                <w:szCs w:val="18"/>
              </w:rPr>
              <w:t>(25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70BEF31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881A8E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3897A1" w14:textId="77777777" w:rsidR="00000000" w:rsidRDefault="00195E73">
            <w:pPr>
              <w:jc w:val="right"/>
              <w:rPr>
                <w:rFonts w:eastAsia="Times New Roman"/>
              </w:rPr>
            </w:pPr>
            <w:r>
              <w:rPr>
                <w:rFonts w:eastAsia="Times New Roman"/>
                <w:color w:val="000000"/>
                <w:sz w:val="18"/>
                <w:szCs w:val="18"/>
              </w:rPr>
              <w:t>46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31DD7C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AECA4E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7FB638" w14:textId="77777777" w:rsidR="00000000" w:rsidRDefault="00195E73">
            <w:pPr>
              <w:jc w:val="right"/>
              <w:rPr>
                <w:rFonts w:eastAsia="Times New Roman"/>
              </w:rPr>
            </w:pPr>
            <w:r>
              <w:rPr>
                <w:rFonts w:eastAsia="Times New Roman"/>
                <w:color w:val="000000"/>
                <w:sz w:val="18"/>
                <w:szCs w:val="18"/>
              </w:rPr>
              <w:t>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57E73E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F327FC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5BC01F" w14:textId="77777777" w:rsidR="00000000" w:rsidRDefault="00195E73">
            <w:pPr>
              <w:jc w:val="right"/>
              <w:rPr>
                <w:rFonts w:eastAsia="Times New Roman"/>
              </w:rPr>
            </w:pPr>
            <w:r>
              <w:rPr>
                <w:rFonts w:eastAsia="Times New Roman"/>
                <w:color w:val="000000"/>
                <w:sz w:val="18"/>
                <w:szCs w:val="18"/>
              </w:rPr>
              <w:t>(57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4DE610C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E1F2A0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9CA9DB" w14:textId="77777777" w:rsidR="00000000" w:rsidRDefault="00195E73">
            <w:pPr>
              <w:jc w:val="right"/>
              <w:rPr>
                <w:rFonts w:eastAsia="Times New Roman"/>
              </w:rPr>
            </w:pPr>
            <w:r>
              <w:rPr>
                <w:rFonts w:eastAsia="Times New Roman"/>
                <w:color w:val="000000"/>
                <w:sz w:val="18"/>
                <w:szCs w:val="18"/>
              </w:rPr>
              <w:t>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12D29CD"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3CA95EE3" w14:textId="77777777" w:rsidR="00000000" w:rsidRDefault="00195E73">
            <w:pPr>
              <w:rPr>
                <w:rFonts w:eastAsia="Times New Roman"/>
                <w:sz w:val="20"/>
                <w:szCs w:val="20"/>
              </w:rPr>
            </w:pPr>
          </w:p>
        </w:tc>
        <w:tc>
          <w:tcPr>
            <w:tcW w:w="0" w:type="auto"/>
            <w:vAlign w:val="center"/>
            <w:hideMark/>
          </w:tcPr>
          <w:p w14:paraId="48A9F3E5" w14:textId="77777777" w:rsidR="00000000" w:rsidRDefault="00195E73">
            <w:pPr>
              <w:rPr>
                <w:rFonts w:eastAsia="Times New Roman"/>
                <w:sz w:val="20"/>
                <w:szCs w:val="20"/>
              </w:rPr>
            </w:pPr>
          </w:p>
        </w:tc>
        <w:tc>
          <w:tcPr>
            <w:tcW w:w="0" w:type="auto"/>
            <w:vAlign w:val="center"/>
            <w:hideMark/>
          </w:tcPr>
          <w:p w14:paraId="3AFE7DCB" w14:textId="77777777" w:rsidR="00000000" w:rsidRDefault="00195E73">
            <w:pPr>
              <w:rPr>
                <w:rFonts w:eastAsia="Times New Roman"/>
                <w:sz w:val="20"/>
                <w:szCs w:val="20"/>
              </w:rPr>
            </w:pPr>
          </w:p>
        </w:tc>
        <w:tc>
          <w:tcPr>
            <w:tcW w:w="0" w:type="auto"/>
            <w:vAlign w:val="center"/>
            <w:hideMark/>
          </w:tcPr>
          <w:p w14:paraId="502CBA46" w14:textId="77777777" w:rsidR="00000000" w:rsidRDefault="00195E73">
            <w:pPr>
              <w:rPr>
                <w:rFonts w:eastAsia="Times New Roman"/>
                <w:sz w:val="20"/>
                <w:szCs w:val="20"/>
              </w:rPr>
            </w:pPr>
          </w:p>
        </w:tc>
        <w:tc>
          <w:tcPr>
            <w:tcW w:w="0" w:type="auto"/>
            <w:vAlign w:val="center"/>
            <w:hideMark/>
          </w:tcPr>
          <w:p w14:paraId="5EF2EDFD" w14:textId="77777777" w:rsidR="00000000" w:rsidRDefault="00195E73">
            <w:pPr>
              <w:rPr>
                <w:rFonts w:eastAsia="Times New Roman"/>
                <w:sz w:val="20"/>
                <w:szCs w:val="20"/>
              </w:rPr>
            </w:pPr>
          </w:p>
        </w:tc>
        <w:tc>
          <w:tcPr>
            <w:tcW w:w="0" w:type="auto"/>
            <w:vAlign w:val="center"/>
            <w:hideMark/>
          </w:tcPr>
          <w:p w14:paraId="28A0E598" w14:textId="77777777" w:rsidR="00000000" w:rsidRDefault="00195E73">
            <w:pPr>
              <w:rPr>
                <w:rFonts w:eastAsia="Times New Roman"/>
                <w:sz w:val="20"/>
                <w:szCs w:val="20"/>
              </w:rPr>
            </w:pPr>
          </w:p>
        </w:tc>
        <w:tc>
          <w:tcPr>
            <w:tcW w:w="0" w:type="auto"/>
            <w:vAlign w:val="center"/>
            <w:hideMark/>
          </w:tcPr>
          <w:p w14:paraId="3F94B429" w14:textId="77777777" w:rsidR="00000000" w:rsidRDefault="00195E73">
            <w:pPr>
              <w:rPr>
                <w:rFonts w:eastAsia="Times New Roman"/>
                <w:sz w:val="20"/>
                <w:szCs w:val="20"/>
              </w:rPr>
            </w:pPr>
          </w:p>
        </w:tc>
        <w:tc>
          <w:tcPr>
            <w:tcW w:w="0" w:type="auto"/>
            <w:vAlign w:val="center"/>
            <w:hideMark/>
          </w:tcPr>
          <w:p w14:paraId="46D06EB9" w14:textId="77777777" w:rsidR="00000000" w:rsidRDefault="00195E73">
            <w:pPr>
              <w:rPr>
                <w:rFonts w:eastAsia="Times New Roman"/>
                <w:sz w:val="20"/>
                <w:szCs w:val="20"/>
              </w:rPr>
            </w:pPr>
          </w:p>
        </w:tc>
        <w:tc>
          <w:tcPr>
            <w:tcW w:w="0" w:type="auto"/>
            <w:vAlign w:val="center"/>
            <w:hideMark/>
          </w:tcPr>
          <w:p w14:paraId="45348347" w14:textId="77777777" w:rsidR="00000000" w:rsidRDefault="00195E73">
            <w:pPr>
              <w:rPr>
                <w:rFonts w:eastAsia="Times New Roman"/>
                <w:sz w:val="20"/>
                <w:szCs w:val="20"/>
              </w:rPr>
            </w:pPr>
          </w:p>
        </w:tc>
      </w:tr>
      <w:tr w:rsidR="00195E73" w14:paraId="4824D2D6" w14:textId="77777777">
        <w:trPr>
          <w:divId w:val="1470898262"/>
          <w:jc w:val="center"/>
        </w:trPr>
        <w:tc>
          <w:tcPr>
            <w:tcW w:w="0" w:type="auto"/>
            <w:gridSpan w:val="3"/>
            <w:shd w:val="clear" w:color="auto" w:fill="FFFFFF"/>
            <w:tcMar>
              <w:top w:w="30" w:type="dxa"/>
              <w:left w:w="20" w:type="dxa"/>
              <w:bottom w:w="30" w:type="dxa"/>
              <w:right w:w="20" w:type="dxa"/>
            </w:tcMar>
            <w:vAlign w:val="bottom"/>
            <w:hideMark/>
          </w:tcPr>
          <w:p w14:paraId="460829B7" w14:textId="77777777" w:rsidR="00000000" w:rsidRDefault="00195E73">
            <w:pPr>
              <w:rPr>
                <w:rFonts w:eastAsia="Times New Roman"/>
              </w:rPr>
            </w:pPr>
            <w:r>
              <w:rPr>
                <w:rFonts w:eastAsia="Times New Roman"/>
                <w:color w:val="000000"/>
                <w:sz w:val="18"/>
                <w:szCs w:val="18"/>
              </w:rPr>
              <w:t>   Metal</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42352939" w14:textId="77777777" w:rsidR="00000000" w:rsidRDefault="00195E73">
            <w:pPr>
              <w:jc w:val="right"/>
              <w:rPr>
                <w:rFonts w:eastAsia="Times New Roman"/>
              </w:rPr>
            </w:pPr>
            <w:r>
              <w:rPr>
                <w:rFonts w:eastAsia="Times New Roman"/>
                <w:color w:val="000000"/>
                <w:sz w:val="18"/>
                <w:szCs w:val="18"/>
              </w:rPr>
              <w:t>13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0C7B3E1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F09855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4C5E86" w14:textId="77777777" w:rsidR="00000000" w:rsidRDefault="00195E73">
            <w:pPr>
              <w:jc w:val="right"/>
              <w:rPr>
                <w:rFonts w:eastAsia="Times New Roman"/>
              </w:rPr>
            </w:pPr>
            <w:r>
              <w:rPr>
                <w:rFonts w:eastAsia="Times New Roman"/>
                <w:color w:val="000000"/>
                <w:sz w:val="18"/>
                <w:szCs w:val="18"/>
              </w:rPr>
              <w:t>(30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1BD31C5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CF1F68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8BDEEE" w14:textId="77777777" w:rsidR="00000000" w:rsidRDefault="00195E73">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5F41F4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16110A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C8CE67" w14:textId="77777777" w:rsidR="00000000" w:rsidRDefault="00195E73">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09A3294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374275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153F0B" w14:textId="77777777" w:rsidR="00000000" w:rsidRDefault="00195E73">
            <w:pPr>
              <w:jc w:val="right"/>
              <w:rPr>
                <w:rFonts w:eastAsia="Times New Roman"/>
              </w:rPr>
            </w:pPr>
            <w:r>
              <w:rPr>
                <w:rFonts w:eastAsia="Times New Roman"/>
                <w:color w:val="000000"/>
                <w:sz w:val="18"/>
                <w:szCs w:val="18"/>
              </w:rPr>
              <w:t>(20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0C20631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1851D0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B76291"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684D4A6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82B9F9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9645B6" w14:textId="77777777" w:rsidR="00000000" w:rsidRDefault="00195E73">
            <w:pPr>
              <w:jc w:val="right"/>
              <w:rPr>
                <w:rFonts w:eastAsia="Times New Roman"/>
              </w:rPr>
            </w:pPr>
            <w:r>
              <w:rPr>
                <w:rFonts w:eastAsia="Times New Roman"/>
                <w:color w:val="000000"/>
                <w:sz w:val="18"/>
                <w:szCs w:val="18"/>
              </w:rPr>
              <w:t>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BFD39A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C9969A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77D9B4" w14:textId="77777777" w:rsidR="00000000" w:rsidRDefault="00195E73">
            <w:pPr>
              <w:jc w:val="right"/>
              <w:rPr>
                <w:rFonts w:eastAsia="Times New Roman"/>
              </w:rPr>
            </w:pPr>
            <w:r>
              <w:rPr>
                <w:rFonts w:eastAsia="Times New Roman"/>
                <w:color w:val="000000"/>
                <w:sz w:val="18"/>
                <w:szCs w:val="18"/>
              </w:rPr>
              <w:t>(29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14E7AFB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74D242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718F45" w14:textId="77777777" w:rsidR="00000000" w:rsidRDefault="00195E73">
            <w:pPr>
              <w:jc w:val="right"/>
              <w:rPr>
                <w:rFonts w:eastAsia="Times New Roman"/>
              </w:rPr>
            </w:pPr>
            <w:r>
              <w:rPr>
                <w:rFonts w:eastAsia="Times New Roman"/>
                <w:color w:val="000000"/>
                <w:sz w:val="18"/>
                <w:szCs w:val="18"/>
              </w:rPr>
              <w:t>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091F107"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9D884C4" w14:textId="77777777" w:rsidR="00000000" w:rsidRDefault="00195E73">
            <w:pPr>
              <w:rPr>
                <w:rFonts w:eastAsia="Times New Roman"/>
                <w:sz w:val="20"/>
                <w:szCs w:val="20"/>
              </w:rPr>
            </w:pPr>
          </w:p>
        </w:tc>
        <w:tc>
          <w:tcPr>
            <w:tcW w:w="0" w:type="auto"/>
            <w:vAlign w:val="center"/>
            <w:hideMark/>
          </w:tcPr>
          <w:p w14:paraId="726A2A58" w14:textId="77777777" w:rsidR="00000000" w:rsidRDefault="00195E73">
            <w:pPr>
              <w:rPr>
                <w:rFonts w:eastAsia="Times New Roman"/>
                <w:sz w:val="20"/>
                <w:szCs w:val="20"/>
              </w:rPr>
            </w:pPr>
          </w:p>
        </w:tc>
        <w:tc>
          <w:tcPr>
            <w:tcW w:w="0" w:type="auto"/>
            <w:vAlign w:val="center"/>
            <w:hideMark/>
          </w:tcPr>
          <w:p w14:paraId="6DE75552" w14:textId="77777777" w:rsidR="00000000" w:rsidRDefault="00195E73">
            <w:pPr>
              <w:rPr>
                <w:rFonts w:eastAsia="Times New Roman"/>
                <w:sz w:val="20"/>
                <w:szCs w:val="20"/>
              </w:rPr>
            </w:pPr>
          </w:p>
        </w:tc>
        <w:tc>
          <w:tcPr>
            <w:tcW w:w="0" w:type="auto"/>
            <w:vAlign w:val="center"/>
            <w:hideMark/>
          </w:tcPr>
          <w:p w14:paraId="5EC12598" w14:textId="77777777" w:rsidR="00000000" w:rsidRDefault="00195E73">
            <w:pPr>
              <w:rPr>
                <w:rFonts w:eastAsia="Times New Roman"/>
                <w:sz w:val="20"/>
                <w:szCs w:val="20"/>
              </w:rPr>
            </w:pPr>
          </w:p>
        </w:tc>
        <w:tc>
          <w:tcPr>
            <w:tcW w:w="0" w:type="auto"/>
            <w:vAlign w:val="center"/>
            <w:hideMark/>
          </w:tcPr>
          <w:p w14:paraId="32CC2D55" w14:textId="77777777" w:rsidR="00000000" w:rsidRDefault="00195E73">
            <w:pPr>
              <w:rPr>
                <w:rFonts w:eastAsia="Times New Roman"/>
                <w:sz w:val="20"/>
                <w:szCs w:val="20"/>
              </w:rPr>
            </w:pPr>
          </w:p>
        </w:tc>
        <w:tc>
          <w:tcPr>
            <w:tcW w:w="0" w:type="auto"/>
            <w:vAlign w:val="center"/>
            <w:hideMark/>
          </w:tcPr>
          <w:p w14:paraId="5DF3EC0C" w14:textId="77777777" w:rsidR="00000000" w:rsidRDefault="00195E73">
            <w:pPr>
              <w:rPr>
                <w:rFonts w:eastAsia="Times New Roman"/>
                <w:sz w:val="20"/>
                <w:szCs w:val="20"/>
              </w:rPr>
            </w:pPr>
          </w:p>
        </w:tc>
        <w:tc>
          <w:tcPr>
            <w:tcW w:w="0" w:type="auto"/>
            <w:vAlign w:val="center"/>
            <w:hideMark/>
          </w:tcPr>
          <w:p w14:paraId="71B35DDA" w14:textId="77777777" w:rsidR="00000000" w:rsidRDefault="00195E73">
            <w:pPr>
              <w:rPr>
                <w:rFonts w:eastAsia="Times New Roman"/>
                <w:sz w:val="20"/>
                <w:szCs w:val="20"/>
              </w:rPr>
            </w:pPr>
          </w:p>
        </w:tc>
        <w:tc>
          <w:tcPr>
            <w:tcW w:w="0" w:type="auto"/>
            <w:vAlign w:val="center"/>
            <w:hideMark/>
          </w:tcPr>
          <w:p w14:paraId="092457B4" w14:textId="77777777" w:rsidR="00000000" w:rsidRDefault="00195E73">
            <w:pPr>
              <w:rPr>
                <w:rFonts w:eastAsia="Times New Roman"/>
                <w:sz w:val="20"/>
                <w:szCs w:val="20"/>
              </w:rPr>
            </w:pPr>
          </w:p>
        </w:tc>
        <w:tc>
          <w:tcPr>
            <w:tcW w:w="0" w:type="auto"/>
            <w:vAlign w:val="center"/>
            <w:hideMark/>
          </w:tcPr>
          <w:p w14:paraId="52455042" w14:textId="77777777" w:rsidR="00000000" w:rsidRDefault="00195E73">
            <w:pPr>
              <w:rPr>
                <w:rFonts w:eastAsia="Times New Roman"/>
                <w:sz w:val="20"/>
                <w:szCs w:val="20"/>
              </w:rPr>
            </w:pPr>
          </w:p>
        </w:tc>
      </w:tr>
      <w:tr w:rsidR="00195E73" w14:paraId="02C4DD23" w14:textId="77777777">
        <w:trPr>
          <w:divId w:val="1470898262"/>
          <w:jc w:val="center"/>
        </w:trPr>
        <w:tc>
          <w:tcPr>
            <w:tcW w:w="0" w:type="auto"/>
            <w:gridSpan w:val="3"/>
            <w:shd w:val="clear" w:color="auto" w:fill="CCEEFF"/>
            <w:tcMar>
              <w:top w:w="30" w:type="dxa"/>
              <w:left w:w="20" w:type="dxa"/>
              <w:bottom w:w="30" w:type="dxa"/>
              <w:right w:w="20" w:type="dxa"/>
            </w:tcMar>
            <w:vAlign w:val="bottom"/>
            <w:hideMark/>
          </w:tcPr>
          <w:p w14:paraId="47B933EF" w14:textId="77777777" w:rsidR="00000000" w:rsidRDefault="00195E73">
            <w:pPr>
              <w:rPr>
                <w:rFonts w:eastAsia="Times New Roman"/>
              </w:rPr>
            </w:pPr>
            <w:r>
              <w:rPr>
                <w:rFonts w:eastAsia="Times New Roman"/>
                <w:color w:val="000000"/>
                <w:sz w:val="18"/>
                <w:szCs w:val="18"/>
              </w:rPr>
              <w:t>   Real Estat</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14:paraId="270A29A6" w14:textId="77777777" w:rsidR="00000000" w:rsidRDefault="00195E73">
            <w:pPr>
              <w:jc w:val="right"/>
              <w:rPr>
                <w:rFonts w:eastAsia="Times New Roman"/>
              </w:rPr>
            </w:pPr>
            <w:r>
              <w:rPr>
                <w:rFonts w:eastAsia="Times New Roman"/>
                <w:color w:val="000000"/>
                <w:sz w:val="18"/>
                <w:szCs w:val="18"/>
              </w:rPr>
              <w:t>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BEC864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BE7CB0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657E3A" w14:textId="77777777" w:rsidR="00000000" w:rsidRDefault="00195E73">
            <w:pPr>
              <w:jc w:val="right"/>
              <w:rPr>
                <w:rFonts w:eastAsia="Times New Roman"/>
              </w:rPr>
            </w:pPr>
            <w:r>
              <w:rPr>
                <w:rFonts w:eastAsia="Times New Roman"/>
                <w:color w:val="000000"/>
                <w:sz w:val="18"/>
                <w:szCs w:val="18"/>
              </w:rPr>
              <w:t>(22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4EA83C0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712D06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D1B153" w14:textId="77777777" w:rsidR="00000000" w:rsidRDefault="00195E73">
            <w:pPr>
              <w:jc w:val="right"/>
              <w:rPr>
                <w:rFonts w:eastAsia="Times New Roman"/>
              </w:rPr>
            </w:pPr>
            <w:r>
              <w:rPr>
                <w:rFonts w:eastAsia="Times New Roman"/>
                <w:color w:val="000000"/>
                <w:sz w:val="18"/>
                <w:szCs w:val="18"/>
              </w:rPr>
              <w:t>(8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628C6F9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0A163F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850DD1" w14:textId="77777777" w:rsidR="00000000" w:rsidRDefault="00195E73">
            <w:pPr>
              <w:jc w:val="right"/>
              <w:rPr>
                <w:rFonts w:eastAsia="Times New Roman"/>
              </w:rPr>
            </w:pPr>
            <w:r>
              <w:rPr>
                <w:rFonts w:eastAsia="Times New Roman"/>
                <w:color w:val="000000"/>
                <w:sz w:val="18"/>
                <w:szCs w:val="18"/>
              </w:rPr>
              <w:t>412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D6FD3E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62141F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ECCD5E" w14:textId="77777777" w:rsidR="00000000" w:rsidRDefault="00195E73">
            <w:pPr>
              <w:jc w:val="right"/>
              <w:rPr>
                <w:rFonts w:eastAsia="Times New Roman"/>
              </w:rPr>
            </w:pPr>
            <w:r>
              <w:rPr>
                <w:rFonts w:eastAsia="Times New Roman"/>
                <w:color w:val="000000"/>
                <w:sz w:val="18"/>
                <w:szCs w:val="18"/>
              </w:rPr>
              <w:t>168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B8F55C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4DBA4B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49E0A9" w14:textId="77777777" w:rsidR="00000000" w:rsidRDefault="00195E73">
            <w:pPr>
              <w:jc w:val="right"/>
              <w:rPr>
                <w:rFonts w:eastAsia="Times New Roman"/>
              </w:rPr>
            </w:pPr>
            <w:r>
              <w:rPr>
                <w:rFonts w:eastAsia="Times New Roman"/>
                <w:color w:val="000000"/>
                <w:sz w:val="18"/>
                <w:szCs w:val="18"/>
              </w:rPr>
              <w:t>(552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623C7C5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57C459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85AB95" w14:textId="77777777" w:rsidR="00000000" w:rsidRDefault="00195E73">
            <w:pPr>
              <w:jc w:val="right"/>
              <w:rPr>
                <w:rFonts w:eastAsia="Times New Roman"/>
              </w:rPr>
            </w:pPr>
            <w:r>
              <w:rPr>
                <w:rFonts w:eastAsia="Times New Roman"/>
                <w:color w:val="000000"/>
                <w:sz w:val="18"/>
                <w:szCs w:val="18"/>
              </w:rPr>
              <w:t>110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214602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2B976A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09F79A" w14:textId="77777777" w:rsidR="00000000" w:rsidRDefault="00195E73">
            <w:pPr>
              <w:jc w:val="right"/>
              <w:rPr>
                <w:rFonts w:eastAsia="Times New Roman"/>
              </w:rPr>
            </w:pPr>
            <w:r>
              <w:rPr>
                <w:rFonts w:eastAsia="Times New Roman"/>
                <w:color w:val="000000"/>
                <w:sz w:val="18"/>
                <w:szCs w:val="18"/>
              </w:rPr>
              <w:t>269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96CB05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9B64BA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803EB9" w14:textId="77777777" w:rsidR="00000000" w:rsidRDefault="00195E73">
            <w:pPr>
              <w:jc w:val="right"/>
              <w:rPr>
                <w:rFonts w:eastAsia="Times New Roman"/>
              </w:rPr>
            </w:pPr>
            <w:r>
              <w:rPr>
                <w:rFonts w:eastAsia="Times New Roman"/>
                <w:color w:val="000000"/>
                <w:sz w:val="18"/>
                <w:szCs w:val="18"/>
              </w:rPr>
              <w:t>(410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6FF313E0"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5B4E5BF4" w14:textId="77777777" w:rsidR="00000000" w:rsidRDefault="00195E73">
            <w:pPr>
              <w:rPr>
                <w:rFonts w:eastAsia="Times New Roman"/>
                <w:sz w:val="20"/>
                <w:szCs w:val="20"/>
              </w:rPr>
            </w:pPr>
          </w:p>
        </w:tc>
        <w:tc>
          <w:tcPr>
            <w:tcW w:w="0" w:type="auto"/>
            <w:vAlign w:val="center"/>
            <w:hideMark/>
          </w:tcPr>
          <w:p w14:paraId="682A88EA" w14:textId="77777777" w:rsidR="00000000" w:rsidRDefault="00195E73">
            <w:pPr>
              <w:rPr>
                <w:rFonts w:eastAsia="Times New Roman"/>
                <w:sz w:val="20"/>
                <w:szCs w:val="20"/>
              </w:rPr>
            </w:pPr>
          </w:p>
        </w:tc>
        <w:tc>
          <w:tcPr>
            <w:tcW w:w="0" w:type="auto"/>
            <w:vAlign w:val="center"/>
            <w:hideMark/>
          </w:tcPr>
          <w:p w14:paraId="42D35AB7" w14:textId="77777777" w:rsidR="00000000" w:rsidRDefault="00195E73">
            <w:pPr>
              <w:rPr>
                <w:rFonts w:eastAsia="Times New Roman"/>
                <w:sz w:val="20"/>
                <w:szCs w:val="20"/>
              </w:rPr>
            </w:pPr>
          </w:p>
        </w:tc>
        <w:tc>
          <w:tcPr>
            <w:tcW w:w="0" w:type="auto"/>
            <w:vAlign w:val="center"/>
            <w:hideMark/>
          </w:tcPr>
          <w:p w14:paraId="414BF2ED" w14:textId="77777777" w:rsidR="00000000" w:rsidRDefault="00195E73">
            <w:pPr>
              <w:rPr>
                <w:rFonts w:eastAsia="Times New Roman"/>
                <w:sz w:val="20"/>
                <w:szCs w:val="20"/>
              </w:rPr>
            </w:pPr>
          </w:p>
        </w:tc>
        <w:tc>
          <w:tcPr>
            <w:tcW w:w="0" w:type="auto"/>
            <w:vAlign w:val="center"/>
            <w:hideMark/>
          </w:tcPr>
          <w:p w14:paraId="19B33CC6" w14:textId="77777777" w:rsidR="00000000" w:rsidRDefault="00195E73">
            <w:pPr>
              <w:rPr>
                <w:rFonts w:eastAsia="Times New Roman"/>
                <w:sz w:val="20"/>
                <w:szCs w:val="20"/>
              </w:rPr>
            </w:pPr>
          </w:p>
        </w:tc>
        <w:tc>
          <w:tcPr>
            <w:tcW w:w="0" w:type="auto"/>
            <w:vAlign w:val="center"/>
            <w:hideMark/>
          </w:tcPr>
          <w:p w14:paraId="0C2F4722" w14:textId="77777777" w:rsidR="00000000" w:rsidRDefault="00195E73">
            <w:pPr>
              <w:rPr>
                <w:rFonts w:eastAsia="Times New Roman"/>
                <w:sz w:val="20"/>
                <w:szCs w:val="20"/>
              </w:rPr>
            </w:pPr>
          </w:p>
        </w:tc>
        <w:tc>
          <w:tcPr>
            <w:tcW w:w="0" w:type="auto"/>
            <w:vAlign w:val="center"/>
            <w:hideMark/>
          </w:tcPr>
          <w:p w14:paraId="0CC8969B" w14:textId="77777777" w:rsidR="00000000" w:rsidRDefault="00195E73">
            <w:pPr>
              <w:rPr>
                <w:rFonts w:eastAsia="Times New Roman"/>
                <w:sz w:val="20"/>
                <w:szCs w:val="20"/>
              </w:rPr>
            </w:pPr>
          </w:p>
        </w:tc>
        <w:tc>
          <w:tcPr>
            <w:tcW w:w="0" w:type="auto"/>
            <w:vAlign w:val="center"/>
            <w:hideMark/>
          </w:tcPr>
          <w:p w14:paraId="06467514" w14:textId="77777777" w:rsidR="00000000" w:rsidRDefault="00195E73">
            <w:pPr>
              <w:rPr>
                <w:rFonts w:eastAsia="Times New Roman"/>
                <w:sz w:val="20"/>
                <w:szCs w:val="20"/>
              </w:rPr>
            </w:pPr>
          </w:p>
        </w:tc>
        <w:tc>
          <w:tcPr>
            <w:tcW w:w="0" w:type="auto"/>
            <w:vAlign w:val="center"/>
            <w:hideMark/>
          </w:tcPr>
          <w:p w14:paraId="58063FA7" w14:textId="77777777" w:rsidR="00000000" w:rsidRDefault="00195E73">
            <w:pPr>
              <w:rPr>
                <w:rFonts w:eastAsia="Times New Roman"/>
                <w:sz w:val="20"/>
                <w:szCs w:val="20"/>
              </w:rPr>
            </w:pPr>
          </w:p>
        </w:tc>
      </w:tr>
      <w:tr w:rsidR="00195E73" w14:paraId="64735EA1" w14:textId="77777777">
        <w:trPr>
          <w:divId w:val="1470898262"/>
          <w:jc w:val="center"/>
        </w:trPr>
        <w:tc>
          <w:tcPr>
            <w:tcW w:w="0" w:type="auto"/>
            <w:gridSpan w:val="3"/>
            <w:shd w:val="clear" w:color="auto" w:fill="FFFFFF"/>
            <w:tcMar>
              <w:top w:w="30" w:type="dxa"/>
              <w:left w:w="20" w:type="dxa"/>
              <w:bottom w:w="30" w:type="dxa"/>
              <w:right w:w="20" w:type="dxa"/>
            </w:tcMar>
            <w:vAlign w:val="bottom"/>
            <w:hideMark/>
          </w:tcPr>
          <w:p w14:paraId="556437AB" w14:textId="77777777" w:rsidR="00000000" w:rsidRDefault="00195E73">
            <w:pPr>
              <w:rPr>
                <w:rFonts w:eastAsia="Times New Roman"/>
              </w:rPr>
            </w:pPr>
            <w:r>
              <w:rPr>
                <w:rFonts w:eastAsia="Times New Roman"/>
                <w:color w:val="000000"/>
                <w:sz w:val="18"/>
                <w:szCs w:val="18"/>
              </w:rPr>
              <w:t>   Home Fashio</w:t>
            </w:r>
            <w:r>
              <w:rPr>
                <w:rFonts w:eastAsia="Times New Roman"/>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14:paraId="00B87E8F" w14:textId="77777777" w:rsidR="00000000" w:rsidRDefault="00195E73">
            <w:pPr>
              <w:jc w:val="right"/>
              <w:rPr>
                <w:rFonts w:eastAsia="Times New Roman"/>
              </w:rPr>
            </w:pPr>
            <w:r>
              <w:rPr>
                <w:rFonts w:eastAsia="Times New Roman"/>
                <w:color w:val="000000"/>
                <w:sz w:val="18"/>
                <w:szCs w:val="18"/>
              </w:rPr>
              <w:t>(4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40DBD97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D336A5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82D642" w14:textId="77777777" w:rsidR="00000000" w:rsidRDefault="00195E73">
            <w:pPr>
              <w:jc w:val="right"/>
              <w:rPr>
                <w:rFonts w:eastAsia="Times New Roman"/>
              </w:rPr>
            </w:pPr>
            <w:r>
              <w:rPr>
                <w:rFonts w:eastAsia="Times New Roman"/>
                <w:color w:val="000000"/>
                <w:sz w:val="18"/>
                <w:szCs w:val="18"/>
              </w:rPr>
              <w:t>(27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5E626F3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151E85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4A9357" w14:textId="77777777" w:rsidR="00000000" w:rsidRDefault="00195E73">
            <w:pPr>
              <w:jc w:val="right"/>
              <w:rPr>
                <w:rFonts w:eastAsia="Times New Roman"/>
              </w:rPr>
            </w:pPr>
            <w:r>
              <w:rPr>
                <w:rFonts w:eastAsia="Times New Roman"/>
                <w:color w:val="000000"/>
                <w:sz w:val="18"/>
                <w:szCs w:val="18"/>
              </w:rPr>
              <w:t>36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E034C9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F9F30C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1FF56C" w14:textId="77777777" w:rsidR="00000000" w:rsidRDefault="00195E73">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A171F0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40F285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8C4E2E" w14:textId="77777777" w:rsidR="00000000" w:rsidRDefault="00195E73">
            <w:pPr>
              <w:jc w:val="right"/>
              <w:rPr>
                <w:rFonts w:eastAsia="Times New Roman"/>
              </w:rPr>
            </w:pPr>
            <w:r>
              <w:rPr>
                <w:rFonts w:eastAsia="Times New Roman"/>
                <w:color w:val="000000"/>
                <w:sz w:val="18"/>
                <w:szCs w:val="18"/>
              </w:rPr>
              <w:t>(4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359FFEB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5FCBC8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D96A66"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ED39F5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795006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3E79C5" w14:textId="77777777" w:rsidR="00000000" w:rsidRDefault="00195E73">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19D22D1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F17CF5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7A71EF" w14:textId="77777777" w:rsidR="00000000" w:rsidRDefault="00195E73">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5771A72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E2762E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094369" w14:textId="77777777" w:rsidR="00000000" w:rsidRDefault="00195E73">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66BB54F"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4D17914F" w14:textId="77777777" w:rsidR="00000000" w:rsidRDefault="00195E73">
            <w:pPr>
              <w:rPr>
                <w:rFonts w:eastAsia="Times New Roman"/>
                <w:sz w:val="20"/>
                <w:szCs w:val="20"/>
              </w:rPr>
            </w:pPr>
          </w:p>
        </w:tc>
        <w:tc>
          <w:tcPr>
            <w:tcW w:w="0" w:type="auto"/>
            <w:vAlign w:val="center"/>
            <w:hideMark/>
          </w:tcPr>
          <w:p w14:paraId="1C2E55F9" w14:textId="77777777" w:rsidR="00000000" w:rsidRDefault="00195E73">
            <w:pPr>
              <w:rPr>
                <w:rFonts w:eastAsia="Times New Roman"/>
                <w:sz w:val="20"/>
                <w:szCs w:val="20"/>
              </w:rPr>
            </w:pPr>
          </w:p>
        </w:tc>
        <w:tc>
          <w:tcPr>
            <w:tcW w:w="0" w:type="auto"/>
            <w:vAlign w:val="center"/>
            <w:hideMark/>
          </w:tcPr>
          <w:p w14:paraId="38A4F5DE" w14:textId="77777777" w:rsidR="00000000" w:rsidRDefault="00195E73">
            <w:pPr>
              <w:rPr>
                <w:rFonts w:eastAsia="Times New Roman"/>
                <w:sz w:val="20"/>
                <w:szCs w:val="20"/>
              </w:rPr>
            </w:pPr>
          </w:p>
        </w:tc>
        <w:tc>
          <w:tcPr>
            <w:tcW w:w="0" w:type="auto"/>
            <w:vAlign w:val="center"/>
            <w:hideMark/>
          </w:tcPr>
          <w:p w14:paraId="2B791945" w14:textId="77777777" w:rsidR="00000000" w:rsidRDefault="00195E73">
            <w:pPr>
              <w:rPr>
                <w:rFonts w:eastAsia="Times New Roman"/>
                <w:sz w:val="20"/>
                <w:szCs w:val="20"/>
              </w:rPr>
            </w:pPr>
          </w:p>
        </w:tc>
        <w:tc>
          <w:tcPr>
            <w:tcW w:w="0" w:type="auto"/>
            <w:vAlign w:val="center"/>
            <w:hideMark/>
          </w:tcPr>
          <w:p w14:paraId="5FCB3AD0" w14:textId="77777777" w:rsidR="00000000" w:rsidRDefault="00195E73">
            <w:pPr>
              <w:rPr>
                <w:rFonts w:eastAsia="Times New Roman"/>
                <w:sz w:val="20"/>
                <w:szCs w:val="20"/>
              </w:rPr>
            </w:pPr>
          </w:p>
        </w:tc>
        <w:tc>
          <w:tcPr>
            <w:tcW w:w="0" w:type="auto"/>
            <w:vAlign w:val="center"/>
            <w:hideMark/>
          </w:tcPr>
          <w:p w14:paraId="129C3A19" w14:textId="77777777" w:rsidR="00000000" w:rsidRDefault="00195E73">
            <w:pPr>
              <w:rPr>
                <w:rFonts w:eastAsia="Times New Roman"/>
                <w:sz w:val="20"/>
                <w:szCs w:val="20"/>
              </w:rPr>
            </w:pPr>
          </w:p>
        </w:tc>
        <w:tc>
          <w:tcPr>
            <w:tcW w:w="0" w:type="auto"/>
            <w:vAlign w:val="center"/>
            <w:hideMark/>
          </w:tcPr>
          <w:p w14:paraId="0E6D8037" w14:textId="77777777" w:rsidR="00000000" w:rsidRDefault="00195E73">
            <w:pPr>
              <w:rPr>
                <w:rFonts w:eastAsia="Times New Roman"/>
                <w:sz w:val="20"/>
                <w:szCs w:val="20"/>
              </w:rPr>
            </w:pPr>
          </w:p>
        </w:tc>
        <w:tc>
          <w:tcPr>
            <w:tcW w:w="0" w:type="auto"/>
            <w:vAlign w:val="center"/>
            <w:hideMark/>
          </w:tcPr>
          <w:p w14:paraId="19DC7B20" w14:textId="77777777" w:rsidR="00000000" w:rsidRDefault="00195E73">
            <w:pPr>
              <w:rPr>
                <w:rFonts w:eastAsia="Times New Roman"/>
                <w:sz w:val="20"/>
                <w:szCs w:val="20"/>
              </w:rPr>
            </w:pPr>
          </w:p>
        </w:tc>
        <w:tc>
          <w:tcPr>
            <w:tcW w:w="0" w:type="auto"/>
            <w:vAlign w:val="center"/>
            <w:hideMark/>
          </w:tcPr>
          <w:p w14:paraId="3A6C367E" w14:textId="77777777" w:rsidR="00000000" w:rsidRDefault="00195E73">
            <w:pPr>
              <w:rPr>
                <w:rFonts w:eastAsia="Times New Roman"/>
                <w:sz w:val="20"/>
                <w:szCs w:val="20"/>
              </w:rPr>
            </w:pPr>
          </w:p>
        </w:tc>
      </w:tr>
      <w:tr w:rsidR="00195E73" w14:paraId="3A793019" w14:textId="77777777">
        <w:trPr>
          <w:divId w:val="1470898262"/>
          <w:jc w:val="center"/>
        </w:trPr>
        <w:tc>
          <w:tcPr>
            <w:tcW w:w="0" w:type="auto"/>
            <w:gridSpan w:val="3"/>
            <w:shd w:val="clear" w:color="auto" w:fill="CCEEFF"/>
            <w:tcMar>
              <w:top w:w="30" w:type="dxa"/>
              <w:left w:w="20" w:type="dxa"/>
              <w:bottom w:w="30" w:type="dxa"/>
              <w:right w:w="20" w:type="dxa"/>
            </w:tcMar>
            <w:vAlign w:val="bottom"/>
            <w:hideMark/>
          </w:tcPr>
          <w:p w14:paraId="3902450B" w14:textId="77777777" w:rsidR="00000000" w:rsidRDefault="00195E73">
            <w:pPr>
              <w:rPr>
                <w:rFonts w:eastAsia="Times New Roman"/>
              </w:rPr>
            </w:pPr>
            <w:r>
              <w:rPr>
                <w:rFonts w:eastAsia="Times New Roman"/>
                <w:color w:val="000000"/>
                <w:sz w:val="18"/>
                <w:szCs w:val="18"/>
              </w:rPr>
              <w:t>   Minin</w:t>
            </w:r>
            <w:r>
              <w:rPr>
                <w:rFonts w:eastAsia="Times New Roman"/>
                <w:color w:val="000000"/>
                <w:sz w:val="18"/>
                <w:szCs w:val="18"/>
              </w:rPr>
              <w:t>g</w:t>
            </w:r>
          </w:p>
        </w:tc>
        <w:tc>
          <w:tcPr>
            <w:tcW w:w="0" w:type="auto"/>
            <w:gridSpan w:val="2"/>
            <w:shd w:val="clear" w:color="auto" w:fill="CCEEFF"/>
            <w:tcMar>
              <w:top w:w="30" w:type="dxa"/>
              <w:left w:w="20" w:type="dxa"/>
              <w:bottom w:w="30" w:type="dxa"/>
              <w:right w:w="0" w:type="dxa"/>
            </w:tcMar>
            <w:vAlign w:val="bottom"/>
            <w:hideMark/>
          </w:tcPr>
          <w:p w14:paraId="271F88D2" w14:textId="77777777" w:rsidR="00000000" w:rsidRDefault="00195E73">
            <w:pPr>
              <w:jc w:val="right"/>
              <w:rPr>
                <w:rFonts w:eastAsia="Times New Roman"/>
              </w:rPr>
            </w:pPr>
            <w:r>
              <w:rPr>
                <w:rFonts w:eastAsia="Times New Roman"/>
                <w:color w:val="000000"/>
                <w:sz w:val="18"/>
                <w:szCs w:val="18"/>
              </w:rPr>
              <w:t>93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FD0A14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1C7009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6EBA3C" w14:textId="77777777" w:rsidR="00000000" w:rsidRDefault="00195E73">
            <w:pPr>
              <w:jc w:val="right"/>
              <w:rPr>
                <w:rFonts w:eastAsia="Times New Roman"/>
              </w:rPr>
            </w:pPr>
            <w:r>
              <w:rPr>
                <w:rFonts w:eastAsia="Times New Roman"/>
                <w:color w:val="000000"/>
                <w:sz w:val="18"/>
                <w:szCs w:val="18"/>
              </w:rPr>
              <w:t>(14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14EB62A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53526E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22D553" w14:textId="77777777" w:rsidR="00000000" w:rsidRDefault="00195E73">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A5E7D5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5FC12B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6683E4" w14:textId="77777777" w:rsidR="00000000" w:rsidRDefault="00195E73">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1DEAF5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6FABEE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7B8E1F" w14:textId="77777777" w:rsidR="00000000" w:rsidRDefault="00195E73">
            <w:pPr>
              <w:jc w:val="right"/>
              <w:rPr>
                <w:rFonts w:eastAsia="Times New Roman"/>
              </w:rPr>
            </w:pPr>
            <w:r>
              <w:rPr>
                <w:rFonts w:eastAsia="Times New Roman"/>
                <w:color w:val="000000"/>
                <w:sz w:val="18"/>
                <w:szCs w:val="18"/>
              </w:rPr>
              <w:t>(40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B08170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06914C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4E1173" w14:textId="77777777" w:rsidR="00000000" w:rsidRDefault="00195E73">
            <w:pPr>
              <w:jc w:val="right"/>
              <w:rPr>
                <w:rFonts w:eastAsia="Times New Roman"/>
              </w:rPr>
            </w:pPr>
            <w:r>
              <w:rPr>
                <w:rFonts w:eastAsia="Times New Roman"/>
                <w:color w:val="000000"/>
                <w:sz w:val="18"/>
                <w:szCs w:val="18"/>
              </w:rPr>
              <w:t>32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0001A6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F00DE8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6561A5" w14:textId="77777777" w:rsidR="00000000" w:rsidRDefault="00195E73">
            <w:pPr>
              <w:jc w:val="right"/>
              <w:rPr>
                <w:rFonts w:eastAsia="Times New Roman"/>
              </w:rPr>
            </w:pPr>
            <w:r>
              <w:rPr>
                <w:rFonts w:eastAsia="Times New Roman"/>
                <w:color w:val="000000"/>
                <w:sz w:val="18"/>
                <w:szCs w:val="18"/>
              </w:rPr>
              <w:t>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F5FBBC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6B47E8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675085" w14:textId="77777777" w:rsidR="00000000" w:rsidRDefault="00195E73">
            <w:pPr>
              <w:jc w:val="right"/>
              <w:rPr>
                <w:rFonts w:eastAsia="Times New Roman"/>
              </w:rPr>
            </w:pPr>
            <w:r>
              <w:rPr>
                <w:rFonts w:eastAsia="Times New Roman"/>
                <w:color w:val="000000"/>
                <w:sz w:val="18"/>
                <w:szCs w:val="18"/>
              </w:rPr>
              <w:t>(38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7788D6B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7A2AAA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79F06F" w14:textId="77777777" w:rsidR="00000000" w:rsidRDefault="00195E73">
            <w:pPr>
              <w:jc w:val="right"/>
              <w:rPr>
                <w:rFonts w:eastAsia="Times New Roman"/>
              </w:rPr>
            </w:pPr>
            <w:r>
              <w:rPr>
                <w:rFonts w:eastAsia="Times New Roman"/>
                <w:color w:val="000000"/>
                <w:sz w:val="18"/>
                <w:szCs w:val="18"/>
              </w:rPr>
              <w:t>31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F09A066"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0F5B4D3D" w14:textId="77777777" w:rsidR="00000000" w:rsidRDefault="00195E73">
            <w:pPr>
              <w:rPr>
                <w:rFonts w:eastAsia="Times New Roman"/>
                <w:sz w:val="20"/>
                <w:szCs w:val="20"/>
              </w:rPr>
            </w:pPr>
          </w:p>
        </w:tc>
        <w:tc>
          <w:tcPr>
            <w:tcW w:w="0" w:type="auto"/>
            <w:vAlign w:val="center"/>
            <w:hideMark/>
          </w:tcPr>
          <w:p w14:paraId="3CAECB04" w14:textId="77777777" w:rsidR="00000000" w:rsidRDefault="00195E73">
            <w:pPr>
              <w:rPr>
                <w:rFonts w:eastAsia="Times New Roman"/>
                <w:sz w:val="20"/>
                <w:szCs w:val="20"/>
              </w:rPr>
            </w:pPr>
          </w:p>
        </w:tc>
        <w:tc>
          <w:tcPr>
            <w:tcW w:w="0" w:type="auto"/>
            <w:vAlign w:val="center"/>
            <w:hideMark/>
          </w:tcPr>
          <w:p w14:paraId="18AF3897" w14:textId="77777777" w:rsidR="00000000" w:rsidRDefault="00195E73">
            <w:pPr>
              <w:rPr>
                <w:rFonts w:eastAsia="Times New Roman"/>
                <w:sz w:val="20"/>
                <w:szCs w:val="20"/>
              </w:rPr>
            </w:pPr>
          </w:p>
        </w:tc>
        <w:tc>
          <w:tcPr>
            <w:tcW w:w="0" w:type="auto"/>
            <w:vAlign w:val="center"/>
            <w:hideMark/>
          </w:tcPr>
          <w:p w14:paraId="151AAE0F" w14:textId="77777777" w:rsidR="00000000" w:rsidRDefault="00195E73">
            <w:pPr>
              <w:rPr>
                <w:rFonts w:eastAsia="Times New Roman"/>
                <w:sz w:val="20"/>
                <w:szCs w:val="20"/>
              </w:rPr>
            </w:pPr>
          </w:p>
        </w:tc>
        <w:tc>
          <w:tcPr>
            <w:tcW w:w="0" w:type="auto"/>
            <w:vAlign w:val="center"/>
            <w:hideMark/>
          </w:tcPr>
          <w:p w14:paraId="3B942794" w14:textId="77777777" w:rsidR="00000000" w:rsidRDefault="00195E73">
            <w:pPr>
              <w:rPr>
                <w:rFonts w:eastAsia="Times New Roman"/>
                <w:sz w:val="20"/>
                <w:szCs w:val="20"/>
              </w:rPr>
            </w:pPr>
          </w:p>
        </w:tc>
        <w:tc>
          <w:tcPr>
            <w:tcW w:w="0" w:type="auto"/>
            <w:vAlign w:val="center"/>
            <w:hideMark/>
          </w:tcPr>
          <w:p w14:paraId="3DBF2019" w14:textId="77777777" w:rsidR="00000000" w:rsidRDefault="00195E73">
            <w:pPr>
              <w:rPr>
                <w:rFonts w:eastAsia="Times New Roman"/>
                <w:sz w:val="20"/>
                <w:szCs w:val="20"/>
              </w:rPr>
            </w:pPr>
          </w:p>
        </w:tc>
        <w:tc>
          <w:tcPr>
            <w:tcW w:w="0" w:type="auto"/>
            <w:vAlign w:val="center"/>
            <w:hideMark/>
          </w:tcPr>
          <w:p w14:paraId="683F35EC" w14:textId="77777777" w:rsidR="00000000" w:rsidRDefault="00195E73">
            <w:pPr>
              <w:rPr>
                <w:rFonts w:eastAsia="Times New Roman"/>
                <w:sz w:val="20"/>
                <w:szCs w:val="20"/>
              </w:rPr>
            </w:pPr>
          </w:p>
        </w:tc>
        <w:tc>
          <w:tcPr>
            <w:tcW w:w="0" w:type="auto"/>
            <w:vAlign w:val="center"/>
            <w:hideMark/>
          </w:tcPr>
          <w:p w14:paraId="5C048C94" w14:textId="77777777" w:rsidR="00000000" w:rsidRDefault="00195E73">
            <w:pPr>
              <w:rPr>
                <w:rFonts w:eastAsia="Times New Roman"/>
                <w:sz w:val="20"/>
                <w:szCs w:val="20"/>
              </w:rPr>
            </w:pPr>
          </w:p>
        </w:tc>
        <w:tc>
          <w:tcPr>
            <w:tcW w:w="0" w:type="auto"/>
            <w:vAlign w:val="center"/>
            <w:hideMark/>
          </w:tcPr>
          <w:p w14:paraId="3591EE8C" w14:textId="77777777" w:rsidR="00000000" w:rsidRDefault="00195E73">
            <w:pPr>
              <w:rPr>
                <w:rFonts w:eastAsia="Times New Roman"/>
                <w:sz w:val="20"/>
                <w:szCs w:val="20"/>
              </w:rPr>
            </w:pPr>
          </w:p>
        </w:tc>
      </w:tr>
      <w:tr w:rsidR="00195E73" w14:paraId="3F5D2516" w14:textId="77777777">
        <w:trPr>
          <w:divId w:val="1470898262"/>
          <w:jc w:val="center"/>
        </w:trPr>
        <w:tc>
          <w:tcPr>
            <w:tcW w:w="0" w:type="auto"/>
            <w:gridSpan w:val="3"/>
            <w:shd w:val="clear" w:color="auto" w:fill="FFFFFF"/>
            <w:tcMar>
              <w:top w:w="30" w:type="dxa"/>
              <w:left w:w="20" w:type="dxa"/>
              <w:bottom w:w="30" w:type="dxa"/>
              <w:right w:w="20" w:type="dxa"/>
            </w:tcMar>
            <w:vAlign w:val="bottom"/>
            <w:hideMark/>
          </w:tcPr>
          <w:p w14:paraId="5637149C" w14:textId="77777777" w:rsidR="00000000" w:rsidRDefault="00195E73">
            <w:pPr>
              <w:rPr>
                <w:rFonts w:eastAsia="Times New Roman"/>
              </w:rPr>
            </w:pPr>
            <w:r>
              <w:rPr>
                <w:rFonts w:eastAsia="Times New Roman"/>
                <w:color w:val="000000"/>
                <w:sz w:val="18"/>
                <w:szCs w:val="18"/>
              </w:rPr>
              <w:t>   </w:t>
            </w:r>
            <w:r>
              <w:rPr>
                <w:rFonts w:eastAsia="Times New Roman"/>
                <w:color w:val="000000"/>
                <w:sz w:val="18"/>
                <w:szCs w:val="18"/>
              </w:rPr>
              <w:t>Railca</w:t>
            </w:r>
            <w:r>
              <w:rPr>
                <w:rFonts w:eastAsia="Times New Roman"/>
                <w:color w:val="000000"/>
                <w:sz w:val="18"/>
                <w:szCs w:val="18"/>
              </w:rPr>
              <w:t>r</w:t>
            </w:r>
          </w:p>
        </w:tc>
        <w:tc>
          <w:tcPr>
            <w:tcW w:w="0" w:type="auto"/>
            <w:gridSpan w:val="2"/>
            <w:shd w:val="clear" w:color="auto" w:fill="FFFFFF"/>
            <w:tcMar>
              <w:top w:w="30" w:type="dxa"/>
              <w:left w:w="20" w:type="dxa"/>
              <w:bottom w:w="30" w:type="dxa"/>
              <w:right w:w="0" w:type="dxa"/>
            </w:tcMar>
            <w:vAlign w:val="bottom"/>
            <w:hideMark/>
          </w:tcPr>
          <w:p w14:paraId="1A1E833C"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F9D511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13DA7D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5CC8EE"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3954CF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1B69F4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0886A9"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022D98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3FF587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F0EFCC"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72C2B9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492235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61A8E0"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E987A0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A8E6AE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A7421C"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F9FF62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6B20E2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D6CB69" w14:textId="77777777" w:rsidR="00000000" w:rsidRDefault="00195E73">
            <w:pPr>
              <w:jc w:val="right"/>
              <w:rPr>
                <w:rFonts w:eastAsia="Times New Roman"/>
              </w:rPr>
            </w:pPr>
            <w:r>
              <w:rPr>
                <w:rFonts w:eastAsia="Times New Roman"/>
                <w:color w:val="000000"/>
                <w:sz w:val="18"/>
                <w:szCs w:val="18"/>
              </w:rPr>
              <w:t>94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64646B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114F1C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8CBB82" w14:textId="77777777" w:rsidR="00000000" w:rsidRDefault="00195E73">
            <w:pPr>
              <w:jc w:val="right"/>
              <w:rPr>
                <w:rFonts w:eastAsia="Times New Roman"/>
              </w:rPr>
            </w:pPr>
            <w:r>
              <w:rPr>
                <w:rFonts w:eastAsia="Times New Roman"/>
                <w:color w:val="000000"/>
                <w:sz w:val="18"/>
                <w:szCs w:val="18"/>
              </w:rPr>
              <w:t>11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01023E0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E1147D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FD463B" w14:textId="77777777" w:rsidR="00000000" w:rsidRDefault="00195E73">
            <w:pPr>
              <w:jc w:val="right"/>
              <w:rPr>
                <w:rFonts w:eastAsia="Times New Roman"/>
              </w:rPr>
            </w:pPr>
            <w:r>
              <w:rPr>
                <w:rFonts w:eastAsia="Times New Roman"/>
                <w:color w:val="000000"/>
                <w:sz w:val="18"/>
                <w:szCs w:val="18"/>
              </w:rPr>
              <w:t>(222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1A7C013B"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247E5F7" w14:textId="77777777" w:rsidR="00000000" w:rsidRDefault="00195E73">
            <w:pPr>
              <w:rPr>
                <w:rFonts w:eastAsia="Times New Roman"/>
                <w:sz w:val="20"/>
                <w:szCs w:val="20"/>
              </w:rPr>
            </w:pPr>
          </w:p>
        </w:tc>
        <w:tc>
          <w:tcPr>
            <w:tcW w:w="0" w:type="auto"/>
            <w:vAlign w:val="center"/>
            <w:hideMark/>
          </w:tcPr>
          <w:p w14:paraId="3B4DEAAE" w14:textId="77777777" w:rsidR="00000000" w:rsidRDefault="00195E73">
            <w:pPr>
              <w:rPr>
                <w:rFonts w:eastAsia="Times New Roman"/>
                <w:sz w:val="20"/>
                <w:szCs w:val="20"/>
              </w:rPr>
            </w:pPr>
          </w:p>
        </w:tc>
        <w:tc>
          <w:tcPr>
            <w:tcW w:w="0" w:type="auto"/>
            <w:vAlign w:val="center"/>
            <w:hideMark/>
          </w:tcPr>
          <w:p w14:paraId="3730E6A9" w14:textId="77777777" w:rsidR="00000000" w:rsidRDefault="00195E73">
            <w:pPr>
              <w:rPr>
                <w:rFonts w:eastAsia="Times New Roman"/>
                <w:sz w:val="20"/>
                <w:szCs w:val="20"/>
              </w:rPr>
            </w:pPr>
          </w:p>
        </w:tc>
        <w:tc>
          <w:tcPr>
            <w:tcW w:w="0" w:type="auto"/>
            <w:vAlign w:val="center"/>
            <w:hideMark/>
          </w:tcPr>
          <w:p w14:paraId="6A0DA5E0" w14:textId="77777777" w:rsidR="00000000" w:rsidRDefault="00195E73">
            <w:pPr>
              <w:rPr>
                <w:rFonts w:eastAsia="Times New Roman"/>
                <w:sz w:val="20"/>
                <w:szCs w:val="20"/>
              </w:rPr>
            </w:pPr>
          </w:p>
        </w:tc>
        <w:tc>
          <w:tcPr>
            <w:tcW w:w="0" w:type="auto"/>
            <w:vAlign w:val="center"/>
            <w:hideMark/>
          </w:tcPr>
          <w:p w14:paraId="28A18354" w14:textId="77777777" w:rsidR="00000000" w:rsidRDefault="00195E73">
            <w:pPr>
              <w:rPr>
                <w:rFonts w:eastAsia="Times New Roman"/>
                <w:sz w:val="20"/>
                <w:szCs w:val="20"/>
              </w:rPr>
            </w:pPr>
          </w:p>
        </w:tc>
        <w:tc>
          <w:tcPr>
            <w:tcW w:w="0" w:type="auto"/>
            <w:vAlign w:val="center"/>
            <w:hideMark/>
          </w:tcPr>
          <w:p w14:paraId="5737F825" w14:textId="77777777" w:rsidR="00000000" w:rsidRDefault="00195E73">
            <w:pPr>
              <w:rPr>
                <w:rFonts w:eastAsia="Times New Roman"/>
                <w:sz w:val="20"/>
                <w:szCs w:val="20"/>
              </w:rPr>
            </w:pPr>
          </w:p>
        </w:tc>
        <w:tc>
          <w:tcPr>
            <w:tcW w:w="0" w:type="auto"/>
            <w:vAlign w:val="center"/>
            <w:hideMark/>
          </w:tcPr>
          <w:p w14:paraId="193779FC" w14:textId="77777777" w:rsidR="00000000" w:rsidRDefault="00195E73">
            <w:pPr>
              <w:rPr>
                <w:rFonts w:eastAsia="Times New Roman"/>
                <w:sz w:val="20"/>
                <w:szCs w:val="20"/>
              </w:rPr>
            </w:pPr>
          </w:p>
        </w:tc>
        <w:tc>
          <w:tcPr>
            <w:tcW w:w="0" w:type="auto"/>
            <w:vAlign w:val="center"/>
            <w:hideMark/>
          </w:tcPr>
          <w:p w14:paraId="004F8A86" w14:textId="77777777" w:rsidR="00000000" w:rsidRDefault="00195E73">
            <w:pPr>
              <w:rPr>
                <w:rFonts w:eastAsia="Times New Roman"/>
                <w:sz w:val="20"/>
                <w:szCs w:val="20"/>
              </w:rPr>
            </w:pPr>
          </w:p>
        </w:tc>
        <w:tc>
          <w:tcPr>
            <w:tcW w:w="0" w:type="auto"/>
            <w:vAlign w:val="center"/>
            <w:hideMark/>
          </w:tcPr>
          <w:p w14:paraId="0681DF38" w14:textId="77777777" w:rsidR="00000000" w:rsidRDefault="00195E73">
            <w:pPr>
              <w:rPr>
                <w:rFonts w:eastAsia="Times New Roman"/>
                <w:sz w:val="20"/>
                <w:szCs w:val="20"/>
              </w:rPr>
            </w:pPr>
          </w:p>
        </w:tc>
      </w:tr>
      <w:tr w:rsidR="00195E73" w14:paraId="53EC2E4B" w14:textId="77777777">
        <w:trPr>
          <w:divId w:val="1470898262"/>
          <w:jc w:val="center"/>
        </w:trPr>
        <w:tc>
          <w:tcPr>
            <w:tcW w:w="0" w:type="auto"/>
            <w:gridSpan w:val="3"/>
            <w:shd w:val="clear" w:color="auto" w:fill="CCEEFF"/>
            <w:tcMar>
              <w:top w:w="30" w:type="dxa"/>
              <w:left w:w="20" w:type="dxa"/>
              <w:bottom w:w="30" w:type="dxa"/>
              <w:right w:w="20" w:type="dxa"/>
            </w:tcMar>
            <w:vAlign w:val="bottom"/>
            <w:hideMark/>
          </w:tcPr>
          <w:p w14:paraId="7364989D" w14:textId="77777777" w:rsidR="00000000" w:rsidRDefault="00195E73">
            <w:pPr>
              <w:rPr>
                <w:rFonts w:eastAsia="Times New Roman"/>
              </w:rPr>
            </w:pPr>
            <w:r>
              <w:rPr>
                <w:rFonts w:eastAsia="Times New Roman"/>
                <w:color w:val="000000"/>
                <w:sz w:val="18"/>
                <w:szCs w:val="18"/>
              </w:rPr>
              <w:t>   Other operating segment</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3FAE00" w14:textId="77777777" w:rsidR="00000000" w:rsidRDefault="00195E73">
            <w:pPr>
              <w:jc w:val="right"/>
              <w:rPr>
                <w:rFonts w:eastAsia="Times New Roman"/>
              </w:rPr>
            </w:pPr>
            <w:r>
              <w:rPr>
                <w:rFonts w:eastAsia="Times New Roman"/>
                <w:color w:val="000000"/>
                <w:sz w:val="18"/>
                <w:szCs w:val="18"/>
              </w:rPr>
              <w:t>735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70336A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15479DD"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D3DAEA" w14:textId="77777777" w:rsidR="00000000" w:rsidRDefault="00195E73">
            <w:pPr>
              <w:jc w:val="right"/>
              <w:rPr>
                <w:rFonts w:eastAsia="Times New Roman"/>
              </w:rPr>
            </w:pPr>
            <w:r>
              <w:rPr>
                <w:rFonts w:eastAsia="Times New Roman"/>
                <w:color w:val="000000"/>
                <w:sz w:val="18"/>
                <w:szCs w:val="18"/>
              </w:rPr>
              <w:t>(335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A8235B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053D792"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81BBF5" w14:textId="77777777" w:rsidR="00000000" w:rsidRDefault="00195E73">
            <w:pPr>
              <w:jc w:val="right"/>
              <w:rPr>
                <w:rFonts w:eastAsia="Times New Roman"/>
              </w:rPr>
            </w:pPr>
            <w:r>
              <w:rPr>
                <w:rFonts w:eastAsia="Times New Roman"/>
                <w:color w:val="000000"/>
                <w:sz w:val="18"/>
                <w:szCs w:val="18"/>
              </w:rPr>
              <w:t>(369</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B14572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660795E"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1CCAD7" w14:textId="77777777" w:rsidR="00000000" w:rsidRDefault="00195E73">
            <w:pPr>
              <w:jc w:val="right"/>
              <w:rPr>
                <w:rFonts w:eastAsia="Times New Roman"/>
              </w:rPr>
            </w:pPr>
            <w:r>
              <w:rPr>
                <w:rFonts w:eastAsia="Times New Roman"/>
                <w:color w:val="000000"/>
                <w:sz w:val="18"/>
                <w:szCs w:val="18"/>
              </w:rPr>
              <w:t>880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19E5CB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357C4AD"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2105C6" w14:textId="77777777" w:rsidR="00000000" w:rsidRDefault="00195E73">
            <w:pPr>
              <w:jc w:val="right"/>
              <w:rPr>
                <w:rFonts w:eastAsia="Times New Roman"/>
              </w:rPr>
            </w:pPr>
            <w:r>
              <w:rPr>
                <w:rFonts w:eastAsia="Times New Roman"/>
                <w:color w:val="000000"/>
                <w:sz w:val="18"/>
                <w:szCs w:val="18"/>
              </w:rPr>
              <w:t>(163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2E7707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3D288E0"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D9FF0B" w14:textId="77777777" w:rsidR="00000000" w:rsidRDefault="00195E73">
            <w:pPr>
              <w:jc w:val="right"/>
              <w:rPr>
                <w:rFonts w:eastAsia="Times New Roman"/>
              </w:rPr>
            </w:pPr>
            <w:r>
              <w:rPr>
                <w:rFonts w:eastAsia="Times New Roman"/>
                <w:color w:val="000000"/>
                <w:sz w:val="18"/>
                <w:szCs w:val="18"/>
              </w:rPr>
              <w:t>(494</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C1A4AF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7BBF82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2C7A29" w14:textId="77777777" w:rsidR="00000000" w:rsidRDefault="00195E73">
            <w:pPr>
              <w:jc w:val="right"/>
              <w:rPr>
                <w:rFonts w:eastAsia="Times New Roman"/>
              </w:rPr>
            </w:pPr>
            <w:r>
              <w:rPr>
                <w:rFonts w:eastAsia="Times New Roman"/>
                <w:color w:val="000000"/>
                <w:sz w:val="18"/>
                <w:szCs w:val="18"/>
              </w:rPr>
              <w:t>215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257705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F7E1764"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544A58" w14:textId="77777777" w:rsidR="00000000" w:rsidRDefault="00195E73">
            <w:pPr>
              <w:jc w:val="right"/>
              <w:rPr>
                <w:rFonts w:eastAsia="Times New Roman"/>
              </w:rPr>
            </w:pPr>
            <w:r>
              <w:rPr>
                <w:rFonts w:eastAsia="Times New Roman"/>
                <w:color w:val="000000"/>
                <w:sz w:val="18"/>
                <w:szCs w:val="18"/>
              </w:rPr>
              <w:t>(427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3B4FBD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12E5A32"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470A00" w14:textId="77777777" w:rsidR="00000000" w:rsidRDefault="00195E73">
            <w:pPr>
              <w:jc w:val="right"/>
              <w:rPr>
                <w:rFonts w:eastAsia="Times New Roman"/>
              </w:rPr>
            </w:pPr>
            <w:r>
              <w:rPr>
                <w:rFonts w:eastAsia="Times New Roman"/>
                <w:color w:val="000000"/>
                <w:sz w:val="18"/>
                <w:szCs w:val="18"/>
              </w:rPr>
              <w:t>(200</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2579A08"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5BD24A9" w14:textId="77777777" w:rsidR="00000000" w:rsidRDefault="00195E73">
            <w:pPr>
              <w:rPr>
                <w:rFonts w:eastAsia="Times New Roman"/>
                <w:sz w:val="20"/>
                <w:szCs w:val="20"/>
              </w:rPr>
            </w:pPr>
          </w:p>
        </w:tc>
        <w:tc>
          <w:tcPr>
            <w:tcW w:w="0" w:type="auto"/>
            <w:vAlign w:val="center"/>
            <w:hideMark/>
          </w:tcPr>
          <w:p w14:paraId="643435B1" w14:textId="77777777" w:rsidR="00000000" w:rsidRDefault="00195E73">
            <w:pPr>
              <w:rPr>
                <w:rFonts w:eastAsia="Times New Roman"/>
                <w:sz w:val="20"/>
                <w:szCs w:val="20"/>
              </w:rPr>
            </w:pPr>
          </w:p>
        </w:tc>
        <w:tc>
          <w:tcPr>
            <w:tcW w:w="0" w:type="auto"/>
            <w:vAlign w:val="center"/>
            <w:hideMark/>
          </w:tcPr>
          <w:p w14:paraId="41FCC063" w14:textId="77777777" w:rsidR="00000000" w:rsidRDefault="00195E73">
            <w:pPr>
              <w:rPr>
                <w:rFonts w:eastAsia="Times New Roman"/>
                <w:sz w:val="20"/>
                <w:szCs w:val="20"/>
              </w:rPr>
            </w:pPr>
          </w:p>
        </w:tc>
        <w:tc>
          <w:tcPr>
            <w:tcW w:w="0" w:type="auto"/>
            <w:vAlign w:val="center"/>
            <w:hideMark/>
          </w:tcPr>
          <w:p w14:paraId="186D5DD3" w14:textId="77777777" w:rsidR="00000000" w:rsidRDefault="00195E73">
            <w:pPr>
              <w:rPr>
                <w:rFonts w:eastAsia="Times New Roman"/>
                <w:sz w:val="20"/>
                <w:szCs w:val="20"/>
              </w:rPr>
            </w:pPr>
          </w:p>
        </w:tc>
        <w:tc>
          <w:tcPr>
            <w:tcW w:w="0" w:type="auto"/>
            <w:vAlign w:val="center"/>
            <w:hideMark/>
          </w:tcPr>
          <w:p w14:paraId="36B5228C" w14:textId="77777777" w:rsidR="00000000" w:rsidRDefault="00195E73">
            <w:pPr>
              <w:rPr>
                <w:rFonts w:eastAsia="Times New Roman"/>
                <w:sz w:val="20"/>
                <w:szCs w:val="20"/>
              </w:rPr>
            </w:pPr>
          </w:p>
        </w:tc>
        <w:tc>
          <w:tcPr>
            <w:tcW w:w="0" w:type="auto"/>
            <w:vAlign w:val="center"/>
            <w:hideMark/>
          </w:tcPr>
          <w:p w14:paraId="5DFB25DB" w14:textId="77777777" w:rsidR="00000000" w:rsidRDefault="00195E73">
            <w:pPr>
              <w:rPr>
                <w:rFonts w:eastAsia="Times New Roman"/>
                <w:sz w:val="20"/>
                <w:szCs w:val="20"/>
              </w:rPr>
            </w:pPr>
          </w:p>
        </w:tc>
        <w:tc>
          <w:tcPr>
            <w:tcW w:w="0" w:type="auto"/>
            <w:vAlign w:val="center"/>
            <w:hideMark/>
          </w:tcPr>
          <w:p w14:paraId="06E829F7" w14:textId="77777777" w:rsidR="00000000" w:rsidRDefault="00195E73">
            <w:pPr>
              <w:rPr>
                <w:rFonts w:eastAsia="Times New Roman"/>
                <w:sz w:val="20"/>
                <w:szCs w:val="20"/>
              </w:rPr>
            </w:pPr>
          </w:p>
        </w:tc>
        <w:tc>
          <w:tcPr>
            <w:tcW w:w="0" w:type="auto"/>
            <w:vAlign w:val="center"/>
            <w:hideMark/>
          </w:tcPr>
          <w:p w14:paraId="139E8F52" w14:textId="77777777" w:rsidR="00000000" w:rsidRDefault="00195E73">
            <w:pPr>
              <w:rPr>
                <w:rFonts w:eastAsia="Times New Roman"/>
                <w:sz w:val="20"/>
                <w:szCs w:val="20"/>
              </w:rPr>
            </w:pPr>
          </w:p>
        </w:tc>
        <w:tc>
          <w:tcPr>
            <w:tcW w:w="0" w:type="auto"/>
            <w:vAlign w:val="center"/>
            <w:hideMark/>
          </w:tcPr>
          <w:p w14:paraId="44ED052B" w14:textId="77777777" w:rsidR="00000000" w:rsidRDefault="00195E73">
            <w:pPr>
              <w:rPr>
                <w:rFonts w:eastAsia="Times New Roman"/>
                <w:sz w:val="20"/>
                <w:szCs w:val="20"/>
              </w:rPr>
            </w:pPr>
          </w:p>
        </w:tc>
      </w:tr>
      <w:tr w:rsidR="00195E73" w14:paraId="0D523566" w14:textId="77777777">
        <w:trPr>
          <w:divId w:val="1470898262"/>
          <w:jc w:val="center"/>
        </w:trPr>
        <w:tc>
          <w:tcPr>
            <w:tcW w:w="0" w:type="auto"/>
            <w:gridSpan w:val="3"/>
            <w:shd w:val="clear" w:color="auto" w:fill="FFFFFF"/>
            <w:tcMar>
              <w:top w:w="30" w:type="dxa"/>
              <w:left w:w="20" w:type="dxa"/>
              <w:bottom w:w="30" w:type="dxa"/>
              <w:right w:w="20" w:type="dxa"/>
            </w:tcMar>
            <w:vAlign w:val="bottom"/>
            <w:hideMark/>
          </w:tcPr>
          <w:p w14:paraId="26B8CDC3" w14:textId="77777777" w:rsidR="00000000" w:rsidRDefault="00195E73">
            <w:pPr>
              <w:rPr>
                <w:rFonts w:eastAsia="Times New Roman"/>
              </w:rPr>
            </w:pPr>
            <w:r>
              <w:rPr>
                <w:rFonts w:eastAsia="Times New Roman"/>
                <w:color w:val="000000"/>
                <w:sz w:val="18"/>
                <w:szCs w:val="18"/>
              </w:rPr>
              <w:t>Discontinued operation</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BA7581"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E3A8A2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6D33ED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1F2A0F"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39D346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0F01AA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3C2ECC"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DDC1AC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FFB455D"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A0E629" w14:textId="77777777" w:rsidR="00000000" w:rsidRDefault="00195E73">
            <w:pPr>
              <w:jc w:val="right"/>
              <w:rPr>
                <w:rFonts w:eastAsia="Times New Roman"/>
              </w:rPr>
            </w:pPr>
            <w:r>
              <w:rPr>
                <w:rFonts w:eastAsia="Times New Roman"/>
                <w:color w:val="000000"/>
                <w:sz w:val="18"/>
                <w:szCs w:val="18"/>
              </w:rPr>
              <w:t>474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8AAA9E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64407AA"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E6BFF3" w14:textId="77777777" w:rsidR="00000000" w:rsidRDefault="00195E73">
            <w:pPr>
              <w:jc w:val="right"/>
              <w:rPr>
                <w:rFonts w:eastAsia="Times New Roman"/>
              </w:rPr>
            </w:pPr>
            <w:r>
              <w:rPr>
                <w:rFonts w:eastAsia="Times New Roman"/>
                <w:color w:val="000000"/>
                <w:sz w:val="18"/>
                <w:szCs w:val="18"/>
              </w:rPr>
              <w:t>(437</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15EBA2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A181AC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C8D987" w14:textId="77777777" w:rsidR="00000000" w:rsidRDefault="00195E73">
            <w:pPr>
              <w:jc w:val="right"/>
              <w:rPr>
                <w:rFonts w:eastAsia="Times New Roman"/>
              </w:rPr>
            </w:pPr>
            <w:r>
              <w:rPr>
                <w:rFonts w:eastAsia="Times New Roman"/>
                <w:color w:val="000000"/>
                <w:sz w:val="18"/>
                <w:szCs w:val="18"/>
              </w:rPr>
              <w:t>(121</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94DF81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F330C6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6EBB68" w14:textId="77777777" w:rsidR="00000000" w:rsidRDefault="00195E73">
            <w:pPr>
              <w:jc w:val="right"/>
              <w:rPr>
                <w:rFonts w:eastAsia="Times New Roman"/>
              </w:rPr>
            </w:pPr>
            <w:r>
              <w:rPr>
                <w:rFonts w:eastAsia="Times New Roman"/>
                <w:color w:val="000000"/>
                <w:sz w:val="18"/>
                <w:szCs w:val="18"/>
              </w:rPr>
              <w:t>691</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7185A4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C4C12E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7F3D0E" w14:textId="77777777" w:rsidR="00000000" w:rsidRDefault="00195E73">
            <w:pPr>
              <w:jc w:val="right"/>
              <w:rPr>
                <w:rFonts w:eastAsia="Times New Roman"/>
              </w:rPr>
            </w:pPr>
            <w:r>
              <w:rPr>
                <w:rFonts w:eastAsia="Times New Roman"/>
                <w:color w:val="000000"/>
                <w:sz w:val="18"/>
                <w:szCs w:val="18"/>
              </w:rPr>
              <w:t>(580</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55620F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43ABC1A"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4F29A2" w14:textId="77777777" w:rsidR="00000000" w:rsidRDefault="00195E73">
            <w:pPr>
              <w:jc w:val="right"/>
              <w:rPr>
                <w:rFonts w:eastAsia="Times New Roman"/>
              </w:rPr>
            </w:pPr>
            <w:r>
              <w:rPr>
                <w:rFonts w:eastAsia="Times New Roman"/>
                <w:color w:val="000000"/>
                <w:sz w:val="18"/>
                <w:szCs w:val="18"/>
              </w:rPr>
              <w:t>(280</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3FCECD0"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915D3E9" w14:textId="77777777" w:rsidR="00000000" w:rsidRDefault="00195E73">
            <w:pPr>
              <w:rPr>
                <w:rFonts w:eastAsia="Times New Roman"/>
                <w:sz w:val="20"/>
                <w:szCs w:val="20"/>
              </w:rPr>
            </w:pPr>
          </w:p>
        </w:tc>
        <w:tc>
          <w:tcPr>
            <w:tcW w:w="0" w:type="auto"/>
            <w:vAlign w:val="center"/>
            <w:hideMark/>
          </w:tcPr>
          <w:p w14:paraId="456F5E25" w14:textId="77777777" w:rsidR="00000000" w:rsidRDefault="00195E73">
            <w:pPr>
              <w:rPr>
                <w:rFonts w:eastAsia="Times New Roman"/>
                <w:sz w:val="20"/>
                <w:szCs w:val="20"/>
              </w:rPr>
            </w:pPr>
          </w:p>
        </w:tc>
        <w:tc>
          <w:tcPr>
            <w:tcW w:w="0" w:type="auto"/>
            <w:vAlign w:val="center"/>
            <w:hideMark/>
          </w:tcPr>
          <w:p w14:paraId="5C7B9CBD" w14:textId="77777777" w:rsidR="00000000" w:rsidRDefault="00195E73">
            <w:pPr>
              <w:rPr>
                <w:rFonts w:eastAsia="Times New Roman"/>
                <w:sz w:val="20"/>
                <w:szCs w:val="20"/>
              </w:rPr>
            </w:pPr>
          </w:p>
        </w:tc>
        <w:tc>
          <w:tcPr>
            <w:tcW w:w="0" w:type="auto"/>
            <w:vAlign w:val="center"/>
            <w:hideMark/>
          </w:tcPr>
          <w:p w14:paraId="0D38DCB3" w14:textId="77777777" w:rsidR="00000000" w:rsidRDefault="00195E73">
            <w:pPr>
              <w:rPr>
                <w:rFonts w:eastAsia="Times New Roman"/>
                <w:sz w:val="20"/>
                <w:szCs w:val="20"/>
              </w:rPr>
            </w:pPr>
          </w:p>
        </w:tc>
        <w:tc>
          <w:tcPr>
            <w:tcW w:w="0" w:type="auto"/>
            <w:vAlign w:val="center"/>
            <w:hideMark/>
          </w:tcPr>
          <w:p w14:paraId="597770EE" w14:textId="77777777" w:rsidR="00000000" w:rsidRDefault="00195E73">
            <w:pPr>
              <w:rPr>
                <w:rFonts w:eastAsia="Times New Roman"/>
                <w:sz w:val="20"/>
                <w:szCs w:val="20"/>
              </w:rPr>
            </w:pPr>
          </w:p>
        </w:tc>
        <w:tc>
          <w:tcPr>
            <w:tcW w:w="0" w:type="auto"/>
            <w:vAlign w:val="center"/>
            <w:hideMark/>
          </w:tcPr>
          <w:p w14:paraId="56343340" w14:textId="77777777" w:rsidR="00000000" w:rsidRDefault="00195E73">
            <w:pPr>
              <w:rPr>
                <w:rFonts w:eastAsia="Times New Roman"/>
                <w:sz w:val="20"/>
                <w:szCs w:val="20"/>
              </w:rPr>
            </w:pPr>
          </w:p>
        </w:tc>
        <w:tc>
          <w:tcPr>
            <w:tcW w:w="0" w:type="auto"/>
            <w:vAlign w:val="center"/>
            <w:hideMark/>
          </w:tcPr>
          <w:p w14:paraId="2B9F0175" w14:textId="77777777" w:rsidR="00000000" w:rsidRDefault="00195E73">
            <w:pPr>
              <w:rPr>
                <w:rFonts w:eastAsia="Times New Roman"/>
                <w:sz w:val="20"/>
                <w:szCs w:val="20"/>
              </w:rPr>
            </w:pPr>
          </w:p>
        </w:tc>
        <w:tc>
          <w:tcPr>
            <w:tcW w:w="0" w:type="auto"/>
            <w:vAlign w:val="center"/>
            <w:hideMark/>
          </w:tcPr>
          <w:p w14:paraId="0E07ABDD" w14:textId="77777777" w:rsidR="00000000" w:rsidRDefault="00195E73">
            <w:pPr>
              <w:rPr>
                <w:rFonts w:eastAsia="Times New Roman"/>
                <w:sz w:val="20"/>
                <w:szCs w:val="20"/>
              </w:rPr>
            </w:pPr>
          </w:p>
        </w:tc>
        <w:tc>
          <w:tcPr>
            <w:tcW w:w="0" w:type="auto"/>
            <w:vAlign w:val="center"/>
            <w:hideMark/>
          </w:tcPr>
          <w:p w14:paraId="57590644" w14:textId="77777777" w:rsidR="00000000" w:rsidRDefault="00195E73">
            <w:pPr>
              <w:rPr>
                <w:rFonts w:eastAsia="Times New Roman"/>
                <w:sz w:val="20"/>
                <w:szCs w:val="20"/>
              </w:rPr>
            </w:pPr>
          </w:p>
        </w:tc>
      </w:tr>
      <w:tr w:rsidR="00195E73" w14:paraId="2B531F32" w14:textId="77777777">
        <w:trPr>
          <w:divId w:val="1470898262"/>
          <w:jc w:val="center"/>
        </w:trPr>
        <w:tc>
          <w:tcPr>
            <w:tcW w:w="0" w:type="auto"/>
            <w:gridSpan w:val="3"/>
            <w:shd w:val="clear" w:color="auto" w:fill="CCEEFF"/>
            <w:tcMar>
              <w:top w:w="30" w:type="dxa"/>
              <w:left w:w="20" w:type="dxa"/>
              <w:bottom w:w="30" w:type="dxa"/>
              <w:right w:w="20" w:type="dxa"/>
            </w:tcMar>
            <w:vAlign w:val="bottom"/>
            <w:hideMark/>
          </w:tcPr>
          <w:p w14:paraId="25D7439A" w14:textId="77777777" w:rsidR="00000000" w:rsidRDefault="00195E73">
            <w:pPr>
              <w:rPr>
                <w:rFonts w:eastAsia="Times New Roman"/>
              </w:rPr>
            </w:pPr>
            <w:r>
              <w:rPr>
                <w:rFonts w:eastAsia="Times New Roman"/>
                <w:color w:val="000000"/>
                <w:sz w:val="18"/>
                <w:szCs w:val="18"/>
              </w:rPr>
              <w:t>Total before elimination</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49319A" w14:textId="77777777" w:rsidR="00000000" w:rsidRDefault="00195E73">
            <w:pPr>
              <w:jc w:val="right"/>
              <w:rPr>
                <w:rFonts w:eastAsia="Times New Roman"/>
              </w:rPr>
            </w:pPr>
            <w:r>
              <w:rPr>
                <w:rFonts w:eastAsia="Times New Roman"/>
                <w:color w:val="000000"/>
                <w:sz w:val="18"/>
                <w:szCs w:val="18"/>
              </w:rPr>
              <w:t>(1,460</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900C5C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DB10FAE"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B3679E" w14:textId="77777777" w:rsidR="00000000" w:rsidRDefault="00195E73">
            <w:pPr>
              <w:jc w:val="right"/>
              <w:rPr>
                <w:rFonts w:eastAsia="Times New Roman"/>
              </w:rPr>
            </w:pPr>
            <w:r>
              <w:rPr>
                <w:rFonts w:eastAsia="Times New Roman"/>
                <w:color w:val="000000"/>
                <w:sz w:val="18"/>
                <w:szCs w:val="18"/>
              </w:rPr>
              <w:t>563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99AF75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90F571E"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8DC835" w14:textId="77777777" w:rsidR="00000000" w:rsidRDefault="00195E73">
            <w:pPr>
              <w:jc w:val="right"/>
              <w:rPr>
                <w:rFonts w:eastAsia="Times New Roman"/>
              </w:rPr>
            </w:pPr>
            <w:r>
              <w:rPr>
                <w:rFonts w:eastAsia="Times New Roman"/>
                <w:color w:val="000000"/>
                <w:sz w:val="18"/>
                <w:szCs w:val="18"/>
              </w:rPr>
              <w:t>589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646567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37022C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F3A07C" w14:textId="77777777" w:rsidR="00000000" w:rsidRDefault="00195E73">
            <w:pPr>
              <w:jc w:val="right"/>
              <w:rPr>
                <w:rFonts w:eastAsia="Times New Roman"/>
              </w:rPr>
            </w:pPr>
            <w:r>
              <w:rPr>
                <w:rFonts w:eastAsia="Times New Roman"/>
                <w:color w:val="000000"/>
                <w:sz w:val="18"/>
                <w:szCs w:val="18"/>
              </w:rPr>
              <w:t>923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0608D9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3258E56"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D24BF7" w14:textId="77777777" w:rsidR="00000000" w:rsidRDefault="00195E73">
            <w:pPr>
              <w:jc w:val="right"/>
              <w:rPr>
                <w:rFonts w:eastAsia="Times New Roman"/>
              </w:rPr>
            </w:pPr>
            <w:r>
              <w:rPr>
                <w:rFonts w:eastAsia="Times New Roman"/>
                <w:color w:val="000000"/>
                <w:sz w:val="18"/>
                <w:szCs w:val="18"/>
              </w:rPr>
              <w:t>1,129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8B90A9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DD7FDC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2E7FC0" w14:textId="77777777" w:rsidR="00000000" w:rsidRDefault="00195E73">
            <w:pPr>
              <w:jc w:val="right"/>
              <w:rPr>
                <w:rFonts w:eastAsia="Times New Roman"/>
              </w:rPr>
            </w:pPr>
            <w:r>
              <w:rPr>
                <w:rFonts w:eastAsia="Times New Roman"/>
                <w:color w:val="000000"/>
                <w:sz w:val="18"/>
                <w:szCs w:val="18"/>
              </w:rPr>
              <w:t>1,301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CE7A9C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E697756"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13E69F" w14:textId="77777777" w:rsidR="00000000" w:rsidRDefault="00195E73">
            <w:pPr>
              <w:jc w:val="right"/>
              <w:rPr>
                <w:rFonts w:eastAsia="Times New Roman"/>
              </w:rPr>
            </w:pPr>
            <w:r>
              <w:rPr>
                <w:rFonts w:eastAsia="Times New Roman"/>
                <w:color w:val="000000"/>
                <w:sz w:val="18"/>
                <w:szCs w:val="18"/>
              </w:rPr>
              <w:t>(1,348</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9834D6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D3E75D6"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3B7CC3" w14:textId="77777777" w:rsidR="00000000" w:rsidRDefault="00195E73">
            <w:pPr>
              <w:jc w:val="right"/>
              <w:rPr>
                <w:rFonts w:eastAsia="Times New Roman"/>
              </w:rPr>
            </w:pPr>
            <w:r>
              <w:rPr>
                <w:rFonts w:eastAsia="Times New Roman"/>
                <w:color w:val="000000"/>
                <w:sz w:val="18"/>
                <w:szCs w:val="18"/>
              </w:rPr>
              <w:t>(442</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52E45D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B3B2765"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632E0D" w14:textId="77777777" w:rsidR="00000000" w:rsidRDefault="00195E73">
            <w:pPr>
              <w:jc w:val="right"/>
              <w:rPr>
                <w:rFonts w:eastAsia="Times New Roman"/>
              </w:rPr>
            </w:pPr>
            <w:r>
              <w:rPr>
                <w:rFonts w:eastAsia="Times New Roman"/>
                <w:color w:val="000000"/>
                <w:sz w:val="18"/>
                <w:szCs w:val="18"/>
              </w:rPr>
              <w:t>1,493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2EA72D3"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743FB25" w14:textId="77777777" w:rsidR="00000000" w:rsidRDefault="00195E73">
            <w:pPr>
              <w:rPr>
                <w:rFonts w:eastAsia="Times New Roman"/>
                <w:sz w:val="20"/>
                <w:szCs w:val="20"/>
              </w:rPr>
            </w:pPr>
          </w:p>
        </w:tc>
        <w:tc>
          <w:tcPr>
            <w:tcW w:w="0" w:type="auto"/>
            <w:vAlign w:val="center"/>
            <w:hideMark/>
          </w:tcPr>
          <w:p w14:paraId="760682E5" w14:textId="77777777" w:rsidR="00000000" w:rsidRDefault="00195E73">
            <w:pPr>
              <w:rPr>
                <w:rFonts w:eastAsia="Times New Roman"/>
                <w:sz w:val="20"/>
                <w:szCs w:val="20"/>
              </w:rPr>
            </w:pPr>
          </w:p>
        </w:tc>
        <w:tc>
          <w:tcPr>
            <w:tcW w:w="0" w:type="auto"/>
            <w:vAlign w:val="center"/>
            <w:hideMark/>
          </w:tcPr>
          <w:p w14:paraId="72D87DD4" w14:textId="77777777" w:rsidR="00000000" w:rsidRDefault="00195E73">
            <w:pPr>
              <w:rPr>
                <w:rFonts w:eastAsia="Times New Roman"/>
                <w:sz w:val="20"/>
                <w:szCs w:val="20"/>
              </w:rPr>
            </w:pPr>
          </w:p>
        </w:tc>
        <w:tc>
          <w:tcPr>
            <w:tcW w:w="0" w:type="auto"/>
            <w:vAlign w:val="center"/>
            <w:hideMark/>
          </w:tcPr>
          <w:p w14:paraId="76602AEB" w14:textId="77777777" w:rsidR="00000000" w:rsidRDefault="00195E73">
            <w:pPr>
              <w:rPr>
                <w:rFonts w:eastAsia="Times New Roman"/>
                <w:sz w:val="20"/>
                <w:szCs w:val="20"/>
              </w:rPr>
            </w:pPr>
          </w:p>
        </w:tc>
        <w:tc>
          <w:tcPr>
            <w:tcW w:w="0" w:type="auto"/>
            <w:vAlign w:val="center"/>
            <w:hideMark/>
          </w:tcPr>
          <w:p w14:paraId="625B71C7" w14:textId="77777777" w:rsidR="00000000" w:rsidRDefault="00195E73">
            <w:pPr>
              <w:rPr>
                <w:rFonts w:eastAsia="Times New Roman"/>
                <w:sz w:val="20"/>
                <w:szCs w:val="20"/>
              </w:rPr>
            </w:pPr>
          </w:p>
        </w:tc>
        <w:tc>
          <w:tcPr>
            <w:tcW w:w="0" w:type="auto"/>
            <w:vAlign w:val="center"/>
            <w:hideMark/>
          </w:tcPr>
          <w:p w14:paraId="6928DB99" w14:textId="77777777" w:rsidR="00000000" w:rsidRDefault="00195E73">
            <w:pPr>
              <w:rPr>
                <w:rFonts w:eastAsia="Times New Roman"/>
                <w:sz w:val="20"/>
                <w:szCs w:val="20"/>
              </w:rPr>
            </w:pPr>
          </w:p>
        </w:tc>
        <w:tc>
          <w:tcPr>
            <w:tcW w:w="0" w:type="auto"/>
            <w:vAlign w:val="center"/>
            <w:hideMark/>
          </w:tcPr>
          <w:p w14:paraId="5F7D6388" w14:textId="77777777" w:rsidR="00000000" w:rsidRDefault="00195E73">
            <w:pPr>
              <w:rPr>
                <w:rFonts w:eastAsia="Times New Roman"/>
                <w:sz w:val="20"/>
                <w:szCs w:val="20"/>
              </w:rPr>
            </w:pPr>
          </w:p>
        </w:tc>
        <w:tc>
          <w:tcPr>
            <w:tcW w:w="0" w:type="auto"/>
            <w:vAlign w:val="center"/>
            <w:hideMark/>
          </w:tcPr>
          <w:p w14:paraId="68604846" w14:textId="77777777" w:rsidR="00000000" w:rsidRDefault="00195E73">
            <w:pPr>
              <w:rPr>
                <w:rFonts w:eastAsia="Times New Roman"/>
                <w:sz w:val="20"/>
                <w:szCs w:val="20"/>
              </w:rPr>
            </w:pPr>
          </w:p>
        </w:tc>
        <w:tc>
          <w:tcPr>
            <w:tcW w:w="0" w:type="auto"/>
            <w:vAlign w:val="center"/>
            <w:hideMark/>
          </w:tcPr>
          <w:p w14:paraId="50C18689" w14:textId="77777777" w:rsidR="00000000" w:rsidRDefault="00195E73">
            <w:pPr>
              <w:rPr>
                <w:rFonts w:eastAsia="Times New Roman"/>
                <w:sz w:val="20"/>
                <w:szCs w:val="20"/>
              </w:rPr>
            </w:pPr>
          </w:p>
        </w:tc>
      </w:tr>
      <w:tr w:rsidR="00195E73" w14:paraId="7D044A23" w14:textId="77777777">
        <w:trPr>
          <w:divId w:val="1470898262"/>
          <w:jc w:val="center"/>
        </w:trPr>
        <w:tc>
          <w:tcPr>
            <w:tcW w:w="0" w:type="auto"/>
            <w:gridSpan w:val="3"/>
            <w:shd w:val="clear" w:color="auto" w:fill="FFFFFF"/>
            <w:tcMar>
              <w:top w:w="30" w:type="dxa"/>
              <w:left w:w="20" w:type="dxa"/>
              <w:bottom w:w="30" w:type="dxa"/>
              <w:right w:w="20" w:type="dxa"/>
            </w:tcMar>
            <w:vAlign w:val="bottom"/>
            <w:hideMark/>
          </w:tcPr>
          <w:p w14:paraId="2EE08A72" w14:textId="77777777" w:rsidR="00000000" w:rsidRDefault="00195E73">
            <w:pPr>
              <w:rPr>
                <w:rFonts w:eastAsia="Times New Roman"/>
              </w:rPr>
            </w:pPr>
            <w:r>
              <w:rPr>
                <w:rFonts w:eastAsia="Times New Roman"/>
                <w:color w:val="000000"/>
                <w:sz w:val="18"/>
                <w:szCs w:val="18"/>
              </w:rPr>
              <w:t>Elimination</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2C039D"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E9393D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E9ACDC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D6550C" w14:textId="77777777" w:rsidR="00000000" w:rsidRDefault="00195E73">
            <w:pPr>
              <w:jc w:val="right"/>
              <w:rPr>
                <w:rFonts w:eastAsia="Times New Roman"/>
              </w:rPr>
            </w:pPr>
            <w:r>
              <w:rPr>
                <w:rFonts w:eastAsia="Times New Roman"/>
                <w:color w:val="000000"/>
                <w:sz w:val="18"/>
                <w:szCs w:val="18"/>
              </w:rPr>
              <w:t>23</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0894E7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E94831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763BAF" w14:textId="77777777" w:rsidR="00000000" w:rsidRDefault="00195E73">
            <w:pPr>
              <w:jc w:val="right"/>
              <w:rPr>
                <w:rFonts w:eastAsia="Times New Roman"/>
              </w:rPr>
            </w:pPr>
            <w:r>
              <w:rPr>
                <w:rFonts w:eastAsia="Times New Roman"/>
                <w:color w:val="000000"/>
                <w:sz w:val="18"/>
                <w:szCs w:val="18"/>
              </w:rPr>
              <w:t>(23</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CDC8E1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4445A0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3DBB32"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443370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1A37E9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3BEEF3" w14:textId="77777777" w:rsidR="00000000" w:rsidRDefault="00195E73">
            <w:pPr>
              <w:jc w:val="right"/>
              <w:rPr>
                <w:rFonts w:eastAsia="Times New Roman"/>
              </w:rPr>
            </w:pPr>
            <w:r>
              <w:rPr>
                <w:rFonts w:eastAsia="Times New Roman"/>
                <w:color w:val="000000"/>
                <w:sz w:val="18"/>
                <w:szCs w:val="18"/>
              </w:rPr>
              <w:t>1,458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E4AAB6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19F7BE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61C1DB" w14:textId="77777777" w:rsidR="00000000" w:rsidRDefault="00195E73">
            <w:pPr>
              <w:jc w:val="right"/>
              <w:rPr>
                <w:rFonts w:eastAsia="Times New Roman"/>
              </w:rPr>
            </w:pPr>
            <w:r>
              <w:rPr>
                <w:rFonts w:eastAsia="Times New Roman"/>
                <w:color w:val="000000"/>
                <w:sz w:val="18"/>
                <w:szCs w:val="18"/>
              </w:rPr>
              <w:t>(1,458</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756E67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BD36ED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51111E"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60A76E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A804EF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6130EA" w14:textId="77777777" w:rsidR="00000000" w:rsidRDefault="00195E73">
            <w:pPr>
              <w:jc w:val="right"/>
              <w:rPr>
                <w:rFonts w:eastAsia="Times New Roman"/>
              </w:rPr>
            </w:pPr>
            <w:r>
              <w:rPr>
                <w:rFonts w:eastAsia="Times New Roman"/>
                <w:color w:val="000000"/>
                <w:sz w:val="18"/>
                <w:szCs w:val="18"/>
              </w:rPr>
              <w:t>1,124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69E782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873F5F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AED181" w14:textId="77777777" w:rsidR="00000000" w:rsidRDefault="00195E73">
            <w:pPr>
              <w:jc w:val="right"/>
              <w:rPr>
                <w:rFonts w:eastAsia="Times New Roman"/>
              </w:rPr>
            </w:pPr>
            <w:r>
              <w:rPr>
                <w:rFonts w:eastAsia="Times New Roman"/>
                <w:color w:val="000000"/>
                <w:sz w:val="18"/>
                <w:szCs w:val="18"/>
              </w:rPr>
              <w:t>(1,124</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4A80920"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3D72BA23" w14:textId="77777777" w:rsidR="00000000" w:rsidRDefault="00195E73">
            <w:pPr>
              <w:rPr>
                <w:rFonts w:eastAsia="Times New Roman"/>
                <w:sz w:val="20"/>
                <w:szCs w:val="20"/>
              </w:rPr>
            </w:pPr>
          </w:p>
        </w:tc>
        <w:tc>
          <w:tcPr>
            <w:tcW w:w="0" w:type="auto"/>
            <w:vAlign w:val="center"/>
            <w:hideMark/>
          </w:tcPr>
          <w:p w14:paraId="755B9C51" w14:textId="77777777" w:rsidR="00000000" w:rsidRDefault="00195E73">
            <w:pPr>
              <w:rPr>
                <w:rFonts w:eastAsia="Times New Roman"/>
                <w:sz w:val="20"/>
                <w:szCs w:val="20"/>
              </w:rPr>
            </w:pPr>
          </w:p>
        </w:tc>
        <w:tc>
          <w:tcPr>
            <w:tcW w:w="0" w:type="auto"/>
            <w:vAlign w:val="center"/>
            <w:hideMark/>
          </w:tcPr>
          <w:p w14:paraId="5688B3D4" w14:textId="77777777" w:rsidR="00000000" w:rsidRDefault="00195E73">
            <w:pPr>
              <w:rPr>
                <w:rFonts w:eastAsia="Times New Roman"/>
                <w:sz w:val="20"/>
                <w:szCs w:val="20"/>
              </w:rPr>
            </w:pPr>
          </w:p>
        </w:tc>
        <w:tc>
          <w:tcPr>
            <w:tcW w:w="0" w:type="auto"/>
            <w:vAlign w:val="center"/>
            <w:hideMark/>
          </w:tcPr>
          <w:p w14:paraId="5567B524" w14:textId="77777777" w:rsidR="00000000" w:rsidRDefault="00195E73">
            <w:pPr>
              <w:rPr>
                <w:rFonts w:eastAsia="Times New Roman"/>
                <w:sz w:val="20"/>
                <w:szCs w:val="20"/>
              </w:rPr>
            </w:pPr>
          </w:p>
        </w:tc>
        <w:tc>
          <w:tcPr>
            <w:tcW w:w="0" w:type="auto"/>
            <w:vAlign w:val="center"/>
            <w:hideMark/>
          </w:tcPr>
          <w:p w14:paraId="069CF9DA" w14:textId="77777777" w:rsidR="00000000" w:rsidRDefault="00195E73">
            <w:pPr>
              <w:rPr>
                <w:rFonts w:eastAsia="Times New Roman"/>
                <w:sz w:val="20"/>
                <w:szCs w:val="20"/>
              </w:rPr>
            </w:pPr>
          </w:p>
        </w:tc>
        <w:tc>
          <w:tcPr>
            <w:tcW w:w="0" w:type="auto"/>
            <w:vAlign w:val="center"/>
            <w:hideMark/>
          </w:tcPr>
          <w:p w14:paraId="4F29D685" w14:textId="77777777" w:rsidR="00000000" w:rsidRDefault="00195E73">
            <w:pPr>
              <w:rPr>
                <w:rFonts w:eastAsia="Times New Roman"/>
                <w:sz w:val="20"/>
                <w:szCs w:val="20"/>
              </w:rPr>
            </w:pPr>
          </w:p>
        </w:tc>
        <w:tc>
          <w:tcPr>
            <w:tcW w:w="0" w:type="auto"/>
            <w:vAlign w:val="center"/>
            <w:hideMark/>
          </w:tcPr>
          <w:p w14:paraId="13177A3F" w14:textId="77777777" w:rsidR="00000000" w:rsidRDefault="00195E73">
            <w:pPr>
              <w:rPr>
                <w:rFonts w:eastAsia="Times New Roman"/>
                <w:sz w:val="20"/>
                <w:szCs w:val="20"/>
              </w:rPr>
            </w:pPr>
          </w:p>
        </w:tc>
        <w:tc>
          <w:tcPr>
            <w:tcW w:w="0" w:type="auto"/>
            <w:vAlign w:val="center"/>
            <w:hideMark/>
          </w:tcPr>
          <w:p w14:paraId="06B972C5" w14:textId="77777777" w:rsidR="00000000" w:rsidRDefault="00195E73">
            <w:pPr>
              <w:rPr>
                <w:rFonts w:eastAsia="Times New Roman"/>
                <w:sz w:val="20"/>
                <w:szCs w:val="20"/>
              </w:rPr>
            </w:pPr>
          </w:p>
        </w:tc>
        <w:tc>
          <w:tcPr>
            <w:tcW w:w="0" w:type="auto"/>
            <w:vAlign w:val="center"/>
            <w:hideMark/>
          </w:tcPr>
          <w:p w14:paraId="1374A5AB" w14:textId="77777777" w:rsidR="00000000" w:rsidRDefault="00195E73">
            <w:pPr>
              <w:rPr>
                <w:rFonts w:eastAsia="Times New Roman"/>
                <w:sz w:val="20"/>
                <w:szCs w:val="20"/>
              </w:rPr>
            </w:pPr>
          </w:p>
        </w:tc>
      </w:tr>
      <w:tr w:rsidR="00195E73" w14:paraId="56E2A92F" w14:textId="77777777">
        <w:trPr>
          <w:divId w:val="1470898262"/>
          <w:jc w:val="center"/>
        </w:trPr>
        <w:tc>
          <w:tcPr>
            <w:tcW w:w="0" w:type="auto"/>
            <w:gridSpan w:val="3"/>
            <w:shd w:val="clear" w:color="auto" w:fill="CCEEFF"/>
            <w:tcMar>
              <w:top w:w="30" w:type="dxa"/>
              <w:left w:w="20" w:type="dxa"/>
              <w:bottom w:w="30" w:type="dxa"/>
              <w:right w:w="20" w:type="dxa"/>
            </w:tcMar>
            <w:vAlign w:val="bottom"/>
            <w:hideMark/>
          </w:tcPr>
          <w:p w14:paraId="289D29AF" w14:textId="77777777" w:rsidR="00000000" w:rsidRDefault="00195E73">
            <w:pPr>
              <w:rPr>
                <w:rFonts w:eastAsia="Times New Roman"/>
              </w:rPr>
            </w:pPr>
            <w:r>
              <w:rPr>
                <w:rFonts w:eastAsia="Times New Roman"/>
                <w:color w:val="000000"/>
                <w:sz w:val="18"/>
                <w:szCs w:val="18"/>
              </w:rPr>
              <w:t>Consolidate</w:t>
            </w:r>
            <w:r>
              <w:rPr>
                <w:rFonts w:eastAsia="Times New Roman"/>
                <w:color w:val="000000"/>
                <w:sz w:val="18"/>
                <w:szCs w:val="18"/>
              </w:rPr>
              <w:t>d</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054F9EA"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7044998" w14:textId="77777777" w:rsidR="00000000" w:rsidRDefault="00195E73">
            <w:pPr>
              <w:jc w:val="right"/>
              <w:rPr>
                <w:rFonts w:eastAsia="Times New Roman"/>
              </w:rPr>
            </w:pPr>
            <w:r>
              <w:rPr>
                <w:rFonts w:eastAsia="Times New Roman"/>
                <w:color w:val="000000"/>
                <w:sz w:val="18"/>
                <w:szCs w:val="18"/>
              </w:rPr>
              <w:t>(1,460</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A881FE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33D29BA"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C76969D"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C7D0144" w14:textId="77777777" w:rsidR="00000000" w:rsidRDefault="00195E73">
            <w:pPr>
              <w:jc w:val="right"/>
              <w:rPr>
                <w:rFonts w:eastAsia="Times New Roman"/>
              </w:rPr>
            </w:pPr>
            <w:r>
              <w:rPr>
                <w:rFonts w:eastAsia="Times New Roman"/>
                <w:color w:val="000000"/>
                <w:sz w:val="18"/>
                <w:szCs w:val="18"/>
              </w:rPr>
              <w:t>586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2A66DD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5D0866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BC016B2"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333943E" w14:textId="77777777" w:rsidR="00000000" w:rsidRDefault="00195E73">
            <w:pPr>
              <w:jc w:val="right"/>
              <w:rPr>
                <w:rFonts w:eastAsia="Times New Roman"/>
              </w:rPr>
            </w:pPr>
            <w:r>
              <w:rPr>
                <w:rFonts w:eastAsia="Times New Roman"/>
                <w:color w:val="000000"/>
                <w:sz w:val="18"/>
                <w:szCs w:val="18"/>
              </w:rPr>
              <w:t>566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CCABF7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91F901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AE6CE97"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3905EB4" w14:textId="77777777" w:rsidR="00000000" w:rsidRDefault="00195E73">
            <w:pPr>
              <w:jc w:val="right"/>
              <w:rPr>
                <w:rFonts w:eastAsia="Times New Roman"/>
              </w:rPr>
            </w:pPr>
            <w:r>
              <w:rPr>
                <w:rFonts w:eastAsia="Times New Roman"/>
                <w:color w:val="000000"/>
                <w:sz w:val="18"/>
                <w:szCs w:val="18"/>
              </w:rPr>
              <w:t>923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48E162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9F4AC2F"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A7E74FE"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05B2005" w14:textId="77777777" w:rsidR="00000000" w:rsidRDefault="00195E73">
            <w:pPr>
              <w:jc w:val="right"/>
              <w:rPr>
                <w:rFonts w:eastAsia="Times New Roman"/>
              </w:rPr>
            </w:pPr>
            <w:r>
              <w:rPr>
                <w:rFonts w:eastAsia="Times New Roman"/>
                <w:color w:val="000000"/>
                <w:sz w:val="18"/>
                <w:szCs w:val="18"/>
              </w:rPr>
              <w:t>2,587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2E8414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31DE696"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D23EA93"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5EADA54" w14:textId="77777777" w:rsidR="00000000" w:rsidRDefault="00195E73">
            <w:pPr>
              <w:jc w:val="right"/>
              <w:rPr>
                <w:rFonts w:eastAsia="Times New Roman"/>
              </w:rPr>
            </w:pPr>
            <w:r>
              <w:rPr>
                <w:rFonts w:eastAsia="Times New Roman"/>
                <w:color w:val="000000"/>
                <w:sz w:val="18"/>
                <w:szCs w:val="18"/>
              </w:rPr>
              <w:t>(157</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DC6829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38C859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0ECD3AF"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881A967" w14:textId="77777777" w:rsidR="00000000" w:rsidRDefault="00195E73">
            <w:pPr>
              <w:jc w:val="right"/>
              <w:rPr>
                <w:rFonts w:eastAsia="Times New Roman"/>
              </w:rPr>
            </w:pPr>
            <w:r>
              <w:rPr>
                <w:rFonts w:eastAsia="Times New Roman"/>
                <w:color w:val="000000"/>
                <w:sz w:val="18"/>
                <w:szCs w:val="18"/>
              </w:rPr>
              <w:t>(1,348</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14CC38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8F646EB"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B0B91A5"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5DF3817" w14:textId="77777777" w:rsidR="00000000" w:rsidRDefault="00195E73">
            <w:pPr>
              <w:jc w:val="right"/>
              <w:rPr>
                <w:rFonts w:eastAsia="Times New Roman"/>
              </w:rPr>
            </w:pPr>
            <w:r>
              <w:rPr>
                <w:rFonts w:eastAsia="Times New Roman"/>
                <w:color w:val="000000"/>
                <w:sz w:val="18"/>
                <w:szCs w:val="18"/>
              </w:rPr>
              <w:t>682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F77995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A421697"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469680F"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AC9F30D" w14:textId="77777777" w:rsidR="00000000" w:rsidRDefault="00195E73">
            <w:pPr>
              <w:jc w:val="right"/>
              <w:rPr>
                <w:rFonts w:eastAsia="Times New Roman"/>
              </w:rPr>
            </w:pPr>
            <w:r>
              <w:rPr>
                <w:rFonts w:eastAsia="Times New Roman"/>
                <w:color w:val="000000"/>
                <w:sz w:val="18"/>
                <w:szCs w:val="18"/>
              </w:rPr>
              <w:t>369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07DE6E7"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09101A11" w14:textId="77777777" w:rsidR="00000000" w:rsidRDefault="00195E73">
            <w:pPr>
              <w:rPr>
                <w:rFonts w:eastAsia="Times New Roman"/>
                <w:sz w:val="20"/>
                <w:szCs w:val="20"/>
              </w:rPr>
            </w:pPr>
          </w:p>
        </w:tc>
        <w:tc>
          <w:tcPr>
            <w:tcW w:w="0" w:type="auto"/>
            <w:vAlign w:val="center"/>
            <w:hideMark/>
          </w:tcPr>
          <w:p w14:paraId="49C4B21A" w14:textId="77777777" w:rsidR="00000000" w:rsidRDefault="00195E73">
            <w:pPr>
              <w:rPr>
                <w:rFonts w:eastAsia="Times New Roman"/>
                <w:sz w:val="20"/>
                <w:szCs w:val="20"/>
              </w:rPr>
            </w:pPr>
          </w:p>
        </w:tc>
        <w:tc>
          <w:tcPr>
            <w:tcW w:w="0" w:type="auto"/>
            <w:vAlign w:val="center"/>
            <w:hideMark/>
          </w:tcPr>
          <w:p w14:paraId="19F16491" w14:textId="77777777" w:rsidR="00000000" w:rsidRDefault="00195E73">
            <w:pPr>
              <w:rPr>
                <w:rFonts w:eastAsia="Times New Roman"/>
                <w:sz w:val="20"/>
                <w:szCs w:val="20"/>
              </w:rPr>
            </w:pPr>
          </w:p>
        </w:tc>
        <w:tc>
          <w:tcPr>
            <w:tcW w:w="0" w:type="auto"/>
            <w:vAlign w:val="center"/>
            <w:hideMark/>
          </w:tcPr>
          <w:p w14:paraId="5CABCF56" w14:textId="77777777" w:rsidR="00000000" w:rsidRDefault="00195E73">
            <w:pPr>
              <w:rPr>
                <w:rFonts w:eastAsia="Times New Roman"/>
                <w:sz w:val="20"/>
                <w:szCs w:val="20"/>
              </w:rPr>
            </w:pPr>
          </w:p>
        </w:tc>
        <w:tc>
          <w:tcPr>
            <w:tcW w:w="0" w:type="auto"/>
            <w:vAlign w:val="center"/>
            <w:hideMark/>
          </w:tcPr>
          <w:p w14:paraId="463E0D14" w14:textId="77777777" w:rsidR="00000000" w:rsidRDefault="00195E73">
            <w:pPr>
              <w:rPr>
                <w:rFonts w:eastAsia="Times New Roman"/>
                <w:sz w:val="20"/>
                <w:szCs w:val="20"/>
              </w:rPr>
            </w:pPr>
          </w:p>
        </w:tc>
        <w:tc>
          <w:tcPr>
            <w:tcW w:w="0" w:type="auto"/>
            <w:vAlign w:val="center"/>
            <w:hideMark/>
          </w:tcPr>
          <w:p w14:paraId="55889540" w14:textId="77777777" w:rsidR="00000000" w:rsidRDefault="00195E73">
            <w:pPr>
              <w:rPr>
                <w:rFonts w:eastAsia="Times New Roman"/>
                <w:sz w:val="20"/>
                <w:szCs w:val="20"/>
              </w:rPr>
            </w:pPr>
          </w:p>
        </w:tc>
        <w:tc>
          <w:tcPr>
            <w:tcW w:w="0" w:type="auto"/>
            <w:vAlign w:val="center"/>
            <w:hideMark/>
          </w:tcPr>
          <w:p w14:paraId="73D2A20C" w14:textId="77777777" w:rsidR="00000000" w:rsidRDefault="00195E73">
            <w:pPr>
              <w:rPr>
                <w:rFonts w:eastAsia="Times New Roman"/>
                <w:sz w:val="20"/>
                <w:szCs w:val="20"/>
              </w:rPr>
            </w:pPr>
          </w:p>
        </w:tc>
        <w:tc>
          <w:tcPr>
            <w:tcW w:w="0" w:type="auto"/>
            <w:vAlign w:val="center"/>
            <w:hideMark/>
          </w:tcPr>
          <w:p w14:paraId="729F927A" w14:textId="77777777" w:rsidR="00000000" w:rsidRDefault="00195E73">
            <w:pPr>
              <w:rPr>
                <w:rFonts w:eastAsia="Times New Roman"/>
                <w:sz w:val="20"/>
                <w:szCs w:val="20"/>
              </w:rPr>
            </w:pPr>
          </w:p>
        </w:tc>
        <w:tc>
          <w:tcPr>
            <w:tcW w:w="0" w:type="auto"/>
            <w:vAlign w:val="center"/>
            <w:hideMark/>
          </w:tcPr>
          <w:p w14:paraId="6EC356B7" w14:textId="77777777" w:rsidR="00000000" w:rsidRDefault="00195E73">
            <w:pPr>
              <w:rPr>
                <w:rFonts w:eastAsia="Times New Roman"/>
                <w:sz w:val="20"/>
                <w:szCs w:val="20"/>
              </w:rPr>
            </w:pPr>
          </w:p>
        </w:tc>
      </w:tr>
    </w:tbl>
    <w:p w14:paraId="50814FE8" w14:textId="77777777" w:rsidR="00000000" w:rsidRDefault="00195E73">
      <w:pPr>
        <w:divId w:val="268314693"/>
        <w:rPr>
          <w:rFonts w:eastAsia="Times New Roman"/>
        </w:rPr>
      </w:pPr>
    </w:p>
    <w:p w14:paraId="0BE35D56" w14:textId="77777777" w:rsidR="00000000" w:rsidRDefault="00195E73">
      <w:pPr>
        <w:divId w:val="1668560706"/>
        <w:rPr>
          <w:rFonts w:eastAsia="Times New Roman"/>
        </w:rPr>
      </w:pPr>
      <w:r>
        <w:rPr>
          <w:rFonts w:eastAsia="Times New Roman"/>
          <w:i/>
          <w:iCs/>
          <w:color w:val="000000"/>
          <w:sz w:val="20"/>
          <w:szCs w:val="20"/>
        </w:rPr>
        <w:t>Elimination</w:t>
      </w:r>
      <w:r>
        <w:rPr>
          <w:rFonts w:eastAsia="Times New Roman"/>
          <w:i/>
          <w:iCs/>
          <w:color w:val="000000"/>
          <w:sz w:val="20"/>
          <w:szCs w:val="20"/>
        </w:rPr>
        <w:t>s</w:t>
      </w:r>
    </w:p>
    <w:p w14:paraId="2C806EDB" w14:textId="77777777" w:rsidR="00000000" w:rsidRDefault="00195E73">
      <w:pPr>
        <w:ind w:firstLine="450"/>
        <w:divId w:val="2012024242"/>
        <w:rPr>
          <w:rFonts w:eastAsia="Times New Roman"/>
        </w:rPr>
      </w:pPr>
      <w:r>
        <w:rPr>
          <w:rFonts w:eastAsia="Times New Roman"/>
          <w:color w:val="000000"/>
          <w:sz w:val="20"/>
          <w:szCs w:val="20"/>
        </w:rPr>
        <w:t xml:space="preserve">Eliminations in the table above relate to certain of our Holding Company’s transactions with our Investment and other operating segments. Our Holding </w:t>
      </w:r>
      <w:r>
        <w:rPr>
          <w:rFonts w:eastAsia="Times New Roman"/>
          <w:color w:val="000000"/>
          <w:sz w:val="20"/>
          <w:szCs w:val="20"/>
        </w:rPr>
        <w:t>Company’s net (investments in) distributions from the Investments Funds, when applicable, are included in cash flows from investing activities for our Holding Company and cash flows from financing activities for our Investment segment. Similarly, our Holdi</w:t>
      </w:r>
      <w:r>
        <w:rPr>
          <w:rFonts w:eastAsia="Times New Roman"/>
          <w:color w:val="000000"/>
          <w:sz w:val="20"/>
          <w:szCs w:val="20"/>
        </w:rPr>
        <w:t>ng Company’s net distributions from (investments in) our other operating segments are included in cash flows from investing activities for our Holding Company and cash flows from financing activities for our other operating segments. In addition, during Ja</w:t>
      </w:r>
      <w:r>
        <w:rPr>
          <w:rFonts w:eastAsia="Times New Roman"/>
          <w:color w:val="000000"/>
          <w:sz w:val="20"/>
          <w:szCs w:val="20"/>
        </w:rPr>
        <w:t>nuary 2019, our Holding Company sold its direct investment in CVR Refining to CVR Energy, which is included in cash flows from investing activities for our Holding Company and cash flows from financing activities for our Energy segment.</w:t>
      </w:r>
      <w:r>
        <w:rPr>
          <w:rFonts w:eastAsia="Times New Roman"/>
          <w:color w:val="000000"/>
          <w:sz w:val="20"/>
          <w:szCs w:val="20"/>
        </w:rPr>
        <w:t xml:space="preserve"> </w:t>
      </w:r>
    </w:p>
    <w:p w14:paraId="56298D64" w14:textId="77777777" w:rsidR="00000000" w:rsidRDefault="00195E73">
      <w:pPr>
        <w:divId w:val="2001233249"/>
        <w:rPr>
          <w:rFonts w:eastAsia="Times New Roman"/>
        </w:rPr>
      </w:pPr>
    </w:p>
    <w:p w14:paraId="13221A42" w14:textId="77777777" w:rsidR="00000000" w:rsidRDefault="00195E73">
      <w:pPr>
        <w:jc w:val="center"/>
        <w:divId w:val="1610699899"/>
        <w:rPr>
          <w:rFonts w:eastAsia="Times New Roman"/>
        </w:rPr>
      </w:pPr>
      <w:r>
        <w:rPr>
          <w:rFonts w:eastAsia="Times New Roman"/>
          <w:color w:val="000000"/>
          <w:sz w:val="20"/>
          <w:szCs w:val="20"/>
        </w:rPr>
        <w:t>4</w:t>
      </w:r>
      <w:r>
        <w:rPr>
          <w:rFonts w:eastAsia="Times New Roman"/>
          <w:color w:val="000000"/>
          <w:sz w:val="20"/>
          <w:szCs w:val="20"/>
        </w:rPr>
        <w:t>2</w:t>
      </w:r>
    </w:p>
    <w:p w14:paraId="1E562328" w14:textId="77777777" w:rsidR="00000000" w:rsidRDefault="00195E73">
      <w:pPr>
        <w:rPr>
          <w:rFonts w:eastAsia="Times New Roman"/>
        </w:rPr>
      </w:pPr>
      <w:r>
        <w:rPr>
          <w:rFonts w:eastAsia="Times New Roman"/>
        </w:rPr>
        <w:pict w14:anchorId="0E508B96">
          <v:rect id="_x0000_i1068" style="width:0;height:1.5pt" o:hralign="center" o:hrstd="t" o:hr="t" fillcolor="#a0a0a0" stroked="f"/>
        </w:pict>
      </w:r>
    </w:p>
    <w:p w14:paraId="698F6C74" w14:textId="77777777" w:rsidR="00000000" w:rsidRDefault="00195E73">
      <w:pPr>
        <w:divId w:val="1146051654"/>
        <w:rPr>
          <w:rFonts w:eastAsia="Times New Roman"/>
        </w:rPr>
      </w:pPr>
    </w:p>
    <w:p w14:paraId="3E407D73" w14:textId="77777777" w:rsidR="00000000" w:rsidRDefault="00195E73">
      <w:pPr>
        <w:divId w:val="231278995"/>
        <w:rPr>
          <w:rFonts w:eastAsia="Times New Roman"/>
        </w:rPr>
      </w:pPr>
      <w:r>
        <w:rPr>
          <w:rFonts w:eastAsia="Times New Roman"/>
          <w:i/>
          <w:iCs/>
          <w:color w:val="000000"/>
          <w:sz w:val="20"/>
          <w:szCs w:val="20"/>
        </w:rPr>
        <w:t>Holding Compan</w:t>
      </w:r>
      <w:r>
        <w:rPr>
          <w:rFonts w:eastAsia="Times New Roman"/>
          <w:i/>
          <w:iCs/>
          <w:color w:val="000000"/>
          <w:sz w:val="20"/>
          <w:szCs w:val="20"/>
        </w:rPr>
        <w:t>y</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4099"/>
        <w:gridCol w:w="40"/>
        <w:gridCol w:w="135"/>
        <w:gridCol w:w="956"/>
        <w:gridCol w:w="85"/>
        <w:gridCol w:w="36"/>
        <w:gridCol w:w="36"/>
        <w:gridCol w:w="36"/>
        <w:gridCol w:w="135"/>
        <w:gridCol w:w="925"/>
        <w:gridCol w:w="85"/>
        <w:gridCol w:w="36"/>
        <w:gridCol w:w="36"/>
        <w:gridCol w:w="36"/>
        <w:gridCol w:w="135"/>
        <w:gridCol w:w="925"/>
        <w:gridCol w:w="85"/>
        <w:gridCol w:w="36"/>
        <w:gridCol w:w="36"/>
        <w:gridCol w:w="36"/>
        <w:gridCol w:w="36"/>
        <w:gridCol w:w="36"/>
        <w:gridCol w:w="36"/>
        <w:gridCol w:w="36"/>
        <w:gridCol w:w="36"/>
        <w:gridCol w:w="36"/>
        <w:gridCol w:w="36"/>
        <w:gridCol w:w="36"/>
        <w:gridCol w:w="36"/>
      </w:tblGrid>
      <w:tr w:rsidR="00000000" w14:paraId="092F31F3" w14:textId="77777777">
        <w:trPr>
          <w:gridAfter w:val="12"/>
          <w:divId w:val="1134299048"/>
          <w:jc w:val="center"/>
        </w:trPr>
        <w:tc>
          <w:tcPr>
            <w:tcW w:w="50" w:type="pct"/>
            <w:vAlign w:val="center"/>
            <w:hideMark/>
          </w:tcPr>
          <w:p w14:paraId="4B19806A" w14:textId="77777777" w:rsidR="00000000" w:rsidRDefault="00195E73">
            <w:pPr>
              <w:rPr>
                <w:rFonts w:eastAsia="Times New Roman"/>
              </w:rPr>
            </w:pPr>
          </w:p>
        </w:tc>
        <w:tc>
          <w:tcPr>
            <w:tcW w:w="2630" w:type="pct"/>
            <w:vAlign w:val="center"/>
            <w:hideMark/>
          </w:tcPr>
          <w:p w14:paraId="2C6041F8" w14:textId="77777777" w:rsidR="00000000" w:rsidRDefault="00195E73">
            <w:pPr>
              <w:rPr>
                <w:rFonts w:eastAsia="Times New Roman"/>
                <w:sz w:val="20"/>
                <w:szCs w:val="20"/>
              </w:rPr>
            </w:pPr>
          </w:p>
        </w:tc>
        <w:tc>
          <w:tcPr>
            <w:tcW w:w="50" w:type="pct"/>
            <w:vAlign w:val="center"/>
            <w:hideMark/>
          </w:tcPr>
          <w:p w14:paraId="03CF8A4F" w14:textId="77777777" w:rsidR="00000000" w:rsidRDefault="00195E73">
            <w:pPr>
              <w:rPr>
                <w:rFonts w:eastAsia="Times New Roman"/>
                <w:sz w:val="20"/>
                <w:szCs w:val="20"/>
              </w:rPr>
            </w:pPr>
          </w:p>
        </w:tc>
        <w:tc>
          <w:tcPr>
            <w:tcW w:w="50" w:type="pct"/>
            <w:vAlign w:val="center"/>
            <w:hideMark/>
          </w:tcPr>
          <w:p w14:paraId="4BF9A98D" w14:textId="77777777" w:rsidR="00000000" w:rsidRDefault="00195E73">
            <w:pPr>
              <w:rPr>
                <w:rFonts w:eastAsia="Times New Roman"/>
                <w:sz w:val="20"/>
                <w:szCs w:val="20"/>
              </w:rPr>
            </w:pPr>
          </w:p>
        </w:tc>
        <w:tc>
          <w:tcPr>
            <w:tcW w:w="632" w:type="pct"/>
            <w:vAlign w:val="center"/>
            <w:hideMark/>
          </w:tcPr>
          <w:p w14:paraId="43EA708C" w14:textId="77777777" w:rsidR="00000000" w:rsidRDefault="00195E73">
            <w:pPr>
              <w:rPr>
                <w:rFonts w:eastAsia="Times New Roman"/>
                <w:sz w:val="20"/>
                <w:szCs w:val="20"/>
              </w:rPr>
            </w:pPr>
          </w:p>
        </w:tc>
        <w:tc>
          <w:tcPr>
            <w:tcW w:w="50" w:type="pct"/>
            <w:vAlign w:val="center"/>
            <w:hideMark/>
          </w:tcPr>
          <w:p w14:paraId="13EC7B09" w14:textId="77777777" w:rsidR="00000000" w:rsidRDefault="00195E73">
            <w:pPr>
              <w:rPr>
                <w:rFonts w:eastAsia="Times New Roman"/>
                <w:sz w:val="20"/>
                <w:szCs w:val="20"/>
              </w:rPr>
            </w:pPr>
          </w:p>
        </w:tc>
        <w:tc>
          <w:tcPr>
            <w:tcW w:w="5" w:type="pct"/>
            <w:vAlign w:val="center"/>
            <w:hideMark/>
          </w:tcPr>
          <w:p w14:paraId="7238C961" w14:textId="77777777" w:rsidR="00000000" w:rsidRDefault="00195E73">
            <w:pPr>
              <w:rPr>
                <w:rFonts w:eastAsia="Times New Roman"/>
                <w:sz w:val="20"/>
                <w:szCs w:val="20"/>
              </w:rPr>
            </w:pPr>
          </w:p>
        </w:tc>
        <w:tc>
          <w:tcPr>
            <w:tcW w:w="26" w:type="pct"/>
            <w:vAlign w:val="center"/>
            <w:hideMark/>
          </w:tcPr>
          <w:p w14:paraId="07928886" w14:textId="77777777" w:rsidR="00000000" w:rsidRDefault="00195E73">
            <w:pPr>
              <w:rPr>
                <w:rFonts w:eastAsia="Times New Roman"/>
                <w:sz w:val="20"/>
                <w:szCs w:val="20"/>
              </w:rPr>
            </w:pPr>
          </w:p>
        </w:tc>
        <w:tc>
          <w:tcPr>
            <w:tcW w:w="5" w:type="pct"/>
            <w:vAlign w:val="center"/>
            <w:hideMark/>
          </w:tcPr>
          <w:p w14:paraId="1B8C40F1" w14:textId="77777777" w:rsidR="00000000" w:rsidRDefault="00195E73">
            <w:pPr>
              <w:rPr>
                <w:rFonts w:eastAsia="Times New Roman"/>
                <w:sz w:val="20"/>
                <w:szCs w:val="20"/>
              </w:rPr>
            </w:pPr>
          </w:p>
        </w:tc>
        <w:tc>
          <w:tcPr>
            <w:tcW w:w="50" w:type="pct"/>
            <w:vAlign w:val="center"/>
            <w:hideMark/>
          </w:tcPr>
          <w:p w14:paraId="6EA4233B" w14:textId="77777777" w:rsidR="00000000" w:rsidRDefault="00195E73">
            <w:pPr>
              <w:rPr>
                <w:rFonts w:eastAsia="Times New Roman"/>
                <w:sz w:val="20"/>
                <w:szCs w:val="20"/>
              </w:rPr>
            </w:pPr>
          </w:p>
        </w:tc>
        <w:tc>
          <w:tcPr>
            <w:tcW w:w="632" w:type="pct"/>
            <w:vAlign w:val="center"/>
            <w:hideMark/>
          </w:tcPr>
          <w:p w14:paraId="29E88BCA" w14:textId="77777777" w:rsidR="00000000" w:rsidRDefault="00195E73">
            <w:pPr>
              <w:rPr>
                <w:rFonts w:eastAsia="Times New Roman"/>
                <w:sz w:val="20"/>
                <w:szCs w:val="20"/>
              </w:rPr>
            </w:pPr>
          </w:p>
        </w:tc>
        <w:tc>
          <w:tcPr>
            <w:tcW w:w="50" w:type="pct"/>
            <w:vAlign w:val="center"/>
            <w:hideMark/>
          </w:tcPr>
          <w:p w14:paraId="594799E0" w14:textId="77777777" w:rsidR="00000000" w:rsidRDefault="00195E73">
            <w:pPr>
              <w:rPr>
                <w:rFonts w:eastAsia="Times New Roman"/>
                <w:sz w:val="20"/>
                <w:szCs w:val="20"/>
              </w:rPr>
            </w:pPr>
          </w:p>
        </w:tc>
        <w:tc>
          <w:tcPr>
            <w:tcW w:w="5" w:type="pct"/>
            <w:vAlign w:val="center"/>
            <w:hideMark/>
          </w:tcPr>
          <w:p w14:paraId="2AE709E2" w14:textId="77777777" w:rsidR="00000000" w:rsidRDefault="00195E73">
            <w:pPr>
              <w:rPr>
                <w:rFonts w:eastAsia="Times New Roman"/>
                <w:sz w:val="20"/>
                <w:szCs w:val="20"/>
              </w:rPr>
            </w:pPr>
          </w:p>
        </w:tc>
        <w:tc>
          <w:tcPr>
            <w:tcW w:w="26" w:type="pct"/>
            <w:vAlign w:val="center"/>
            <w:hideMark/>
          </w:tcPr>
          <w:p w14:paraId="7C72DEF7" w14:textId="77777777" w:rsidR="00000000" w:rsidRDefault="00195E73">
            <w:pPr>
              <w:rPr>
                <w:rFonts w:eastAsia="Times New Roman"/>
                <w:sz w:val="20"/>
                <w:szCs w:val="20"/>
              </w:rPr>
            </w:pPr>
          </w:p>
        </w:tc>
        <w:tc>
          <w:tcPr>
            <w:tcW w:w="5" w:type="pct"/>
            <w:vAlign w:val="center"/>
            <w:hideMark/>
          </w:tcPr>
          <w:p w14:paraId="5DE0AEF4" w14:textId="77777777" w:rsidR="00000000" w:rsidRDefault="00195E73">
            <w:pPr>
              <w:rPr>
                <w:rFonts w:eastAsia="Times New Roman"/>
                <w:sz w:val="20"/>
                <w:szCs w:val="20"/>
              </w:rPr>
            </w:pPr>
          </w:p>
        </w:tc>
        <w:tc>
          <w:tcPr>
            <w:tcW w:w="50" w:type="pct"/>
            <w:vAlign w:val="center"/>
            <w:hideMark/>
          </w:tcPr>
          <w:p w14:paraId="0FA49EFC" w14:textId="77777777" w:rsidR="00000000" w:rsidRDefault="00195E73">
            <w:pPr>
              <w:rPr>
                <w:rFonts w:eastAsia="Times New Roman"/>
                <w:sz w:val="20"/>
                <w:szCs w:val="20"/>
              </w:rPr>
            </w:pPr>
          </w:p>
        </w:tc>
        <w:tc>
          <w:tcPr>
            <w:tcW w:w="632" w:type="pct"/>
            <w:vAlign w:val="center"/>
            <w:hideMark/>
          </w:tcPr>
          <w:p w14:paraId="3973E2F1" w14:textId="77777777" w:rsidR="00000000" w:rsidRDefault="00195E73">
            <w:pPr>
              <w:rPr>
                <w:rFonts w:eastAsia="Times New Roman"/>
                <w:sz w:val="20"/>
                <w:szCs w:val="20"/>
              </w:rPr>
            </w:pPr>
          </w:p>
        </w:tc>
        <w:tc>
          <w:tcPr>
            <w:tcW w:w="50" w:type="pct"/>
            <w:vAlign w:val="center"/>
            <w:hideMark/>
          </w:tcPr>
          <w:p w14:paraId="2DD616A3" w14:textId="77777777" w:rsidR="00000000" w:rsidRDefault="00195E73">
            <w:pPr>
              <w:rPr>
                <w:rFonts w:eastAsia="Times New Roman"/>
                <w:sz w:val="20"/>
                <w:szCs w:val="20"/>
              </w:rPr>
            </w:pPr>
          </w:p>
        </w:tc>
      </w:tr>
      <w:tr w:rsidR="00000000" w14:paraId="3EC4AFE8" w14:textId="77777777">
        <w:trPr>
          <w:divId w:val="1134299048"/>
          <w:jc w:val="center"/>
        </w:trPr>
        <w:tc>
          <w:tcPr>
            <w:tcW w:w="0" w:type="auto"/>
            <w:gridSpan w:val="3"/>
            <w:tcMar>
              <w:top w:w="15" w:type="dxa"/>
              <w:left w:w="20" w:type="dxa"/>
              <w:bottom w:w="15" w:type="dxa"/>
              <w:right w:w="20" w:type="dxa"/>
            </w:tcMar>
            <w:vAlign w:val="bottom"/>
            <w:hideMark/>
          </w:tcPr>
          <w:p w14:paraId="729BFCBC"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653BA0BF"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3B92A152" w14:textId="77777777" w:rsidR="00000000" w:rsidRDefault="00195E73">
            <w:pPr>
              <w:jc w:val="center"/>
              <w:rPr>
                <w:rFonts w:eastAsia="Times New Roman"/>
              </w:rPr>
            </w:pPr>
          </w:p>
        </w:tc>
        <w:tc>
          <w:tcPr>
            <w:tcW w:w="0" w:type="auto"/>
            <w:gridSpan w:val="3"/>
            <w:vAlign w:val="center"/>
            <w:hideMark/>
          </w:tcPr>
          <w:p w14:paraId="034389C7" w14:textId="77777777" w:rsidR="00000000" w:rsidRDefault="00195E73">
            <w:pPr>
              <w:rPr>
                <w:rFonts w:eastAsia="Times New Roman"/>
                <w:sz w:val="20"/>
                <w:szCs w:val="20"/>
              </w:rPr>
            </w:pPr>
          </w:p>
        </w:tc>
        <w:tc>
          <w:tcPr>
            <w:tcW w:w="0" w:type="auto"/>
            <w:gridSpan w:val="3"/>
            <w:vAlign w:val="center"/>
            <w:hideMark/>
          </w:tcPr>
          <w:p w14:paraId="5109599B" w14:textId="77777777" w:rsidR="00000000" w:rsidRDefault="00195E73">
            <w:pPr>
              <w:rPr>
                <w:rFonts w:eastAsia="Times New Roman"/>
                <w:sz w:val="20"/>
                <w:szCs w:val="20"/>
              </w:rPr>
            </w:pPr>
          </w:p>
        </w:tc>
        <w:tc>
          <w:tcPr>
            <w:tcW w:w="0" w:type="auto"/>
            <w:gridSpan w:val="3"/>
            <w:vAlign w:val="center"/>
            <w:hideMark/>
          </w:tcPr>
          <w:p w14:paraId="6EBF5FA2" w14:textId="77777777" w:rsidR="00000000" w:rsidRDefault="00195E73">
            <w:pPr>
              <w:rPr>
                <w:rFonts w:eastAsia="Times New Roman"/>
                <w:sz w:val="20"/>
                <w:szCs w:val="20"/>
              </w:rPr>
            </w:pPr>
          </w:p>
        </w:tc>
      </w:tr>
      <w:tr w:rsidR="00000000" w14:paraId="3804FA21" w14:textId="77777777">
        <w:trPr>
          <w:divId w:val="1134299048"/>
          <w:jc w:val="center"/>
        </w:trPr>
        <w:tc>
          <w:tcPr>
            <w:tcW w:w="0" w:type="auto"/>
            <w:gridSpan w:val="3"/>
            <w:tcMar>
              <w:top w:w="15" w:type="dxa"/>
              <w:left w:w="20" w:type="dxa"/>
              <w:bottom w:w="15" w:type="dxa"/>
              <w:right w:w="20" w:type="dxa"/>
            </w:tcMar>
            <w:vAlign w:val="bottom"/>
            <w:hideMark/>
          </w:tcPr>
          <w:p w14:paraId="1A9D1A0C"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7FCEBC5"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5CED9AE3"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25BEAC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3B49C45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7FEB386"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2139D4B4" w14:textId="77777777" w:rsidR="00000000" w:rsidRDefault="00195E73">
            <w:pPr>
              <w:rPr>
                <w:rFonts w:eastAsia="Times New Roman"/>
                <w:sz w:val="20"/>
                <w:szCs w:val="20"/>
              </w:rPr>
            </w:pPr>
          </w:p>
        </w:tc>
        <w:tc>
          <w:tcPr>
            <w:tcW w:w="0" w:type="auto"/>
            <w:vAlign w:val="center"/>
            <w:hideMark/>
          </w:tcPr>
          <w:p w14:paraId="42A1B9A2" w14:textId="77777777" w:rsidR="00000000" w:rsidRDefault="00195E73">
            <w:pPr>
              <w:rPr>
                <w:rFonts w:eastAsia="Times New Roman"/>
                <w:sz w:val="20"/>
                <w:szCs w:val="20"/>
              </w:rPr>
            </w:pPr>
          </w:p>
        </w:tc>
        <w:tc>
          <w:tcPr>
            <w:tcW w:w="0" w:type="auto"/>
            <w:vAlign w:val="center"/>
            <w:hideMark/>
          </w:tcPr>
          <w:p w14:paraId="515B5730" w14:textId="77777777" w:rsidR="00000000" w:rsidRDefault="00195E73">
            <w:pPr>
              <w:rPr>
                <w:rFonts w:eastAsia="Times New Roman"/>
                <w:sz w:val="20"/>
                <w:szCs w:val="20"/>
              </w:rPr>
            </w:pPr>
          </w:p>
        </w:tc>
        <w:tc>
          <w:tcPr>
            <w:tcW w:w="0" w:type="auto"/>
            <w:vAlign w:val="center"/>
            <w:hideMark/>
          </w:tcPr>
          <w:p w14:paraId="382CB663" w14:textId="77777777" w:rsidR="00000000" w:rsidRDefault="00195E73">
            <w:pPr>
              <w:rPr>
                <w:rFonts w:eastAsia="Times New Roman"/>
                <w:sz w:val="20"/>
                <w:szCs w:val="20"/>
              </w:rPr>
            </w:pPr>
          </w:p>
        </w:tc>
        <w:tc>
          <w:tcPr>
            <w:tcW w:w="0" w:type="auto"/>
            <w:vAlign w:val="center"/>
            <w:hideMark/>
          </w:tcPr>
          <w:p w14:paraId="265DC7A9" w14:textId="77777777" w:rsidR="00000000" w:rsidRDefault="00195E73">
            <w:pPr>
              <w:rPr>
                <w:rFonts w:eastAsia="Times New Roman"/>
                <w:sz w:val="20"/>
                <w:szCs w:val="20"/>
              </w:rPr>
            </w:pPr>
          </w:p>
        </w:tc>
        <w:tc>
          <w:tcPr>
            <w:tcW w:w="0" w:type="auto"/>
            <w:vAlign w:val="center"/>
            <w:hideMark/>
          </w:tcPr>
          <w:p w14:paraId="76C1741C" w14:textId="77777777" w:rsidR="00000000" w:rsidRDefault="00195E73">
            <w:pPr>
              <w:rPr>
                <w:rFonts w:eastAsia="Times New Roman"/>
                <w:sz w:val="20"/>
                <w:szCs w:val="20"/>
              </w:rPr>
            </w:pPr>
          </w:p>
        </w:tc>
        <w:tc>
          <w:tcPr>
            <w:tcW w:w="0" w:type="auto"/>
            <w:vAlign w:val="center"/>
            <w:hideMark/>
          </w:tcPr>
          <w:p w14:paraId="76904E94" w14:textId="77777777" w:rsidR="00000000" w:rsidRDefault="00195E73">
            <w:pPr>
              <w:rPr>
                <w:rFonts w:eastAsia="Times New Roman"/>
                <w:sz w:val="20"/>
                <w:szCs w:val="20"/>
              </w:rPr>
            </w:pPr>
          </w:p>
        </w:tc>
        <w:tc>
          <w:tcPr>
            <w:tcW w:w="0" w:type="auto"/>
            <w:vAlign w:val="center"/>
            <w:hideMark/>
          </w:tcPr>
          <w:p w14:paraId="19238013" w14:textId="77777777" w:rsidR="00000000" w:rsidRDefault="00195E73">
            <w:pPr>
              <w:rPr>
                <w:rFonts w:eastAsia="Times New Roman"/>
                <w:sz w:val="20"/>
                <w:szCs w:val="20"/>
              </w:rPr>
            </w:pPr>
          </w:p>
        </w:tc>
        <w:tc>
          <w:tcPr>
            <w:tcW w:w="0" w:type="auto"/>
            <w:vAlign w:val="center"/>
            <w:hideMark/>
          </w:tcPr>
          <w:p w14:paraId="01F51992" w14:textId="77777777" w:rsidR="00000000" w:rsidRDefault="00195E73">
            <w:pPr>
              <w:rPr>
                <w:rFonts w:eastAsia="Times New Roman"/>
                <w:sz w:val="20"/>
                <w:szCs w:val="20"/>
              </w:rPr>
            </w:pPr>
          </w:p>
        </w:tc>
        <w:tc>
          <w:tcPr>
            <w:tcW w:w="0" w:type="auto"/>
            <w:vAlign w:val="center"/>
            <w:hideMark/>
          </w:tcPr>
          <w:p w14:paraId="32E2A026" w14:textId="77777777" w:rsidR="00000000" w:rsidRDefault="00195E73">
            <w:pPr>
              <w:rPr>
                <w:rFonts w:eastAsia="Times New Roman"/>
                <w:sz w:val="20"/>
                <w:szCs w:val="20"/>
              </w:rPr>
            </w:pPr>
          </w:p>
        </w:tc>
        <w:tc>
          <w:tcPr>
            <w:tcW w:w="0" w:type="auto"/>
            <w:vAlign w:val="center"/>
            <w:hideMark/>
          </w:tcPr>
          <w:p w14:paraId="3B26AECB" w14:textId="77777777" w:rsidR="00000000" w:rsidRDefault="00195E73">
            <w:pPr>
              <w:rPr>
                <w:rFonts w:eastAsia="Times New Roman"/>
                <w:sz w:val="20"/>
                <w:szCs w:val="20"/>
              </w:rPr>
            </w:pPr>
          </w:p>
        </w:tc>
        <w:tc>
          <w:tcPr>
            <w:tcW w:w="0" w:type="auto"/>
            <w:vAlign w:val="center"/>
            <w:hideMark/>
          </w:tcPr>
          <w:p w14:paraId="560C7C2F" w14:textId="77777777" w:rsidR="00000000" w:rsidRDefault="00195E73">
            <w:pPr>
              <w:rPr>
                <w:rFonts w:eastAsia="Times New Roman"/>
                <w:sz w:val="20"/>
                <w:szCs w:val="20"/>
              </w:rPr>
            </w:pPr>
          </w:p>
        </w:tc>
      </w:tr>
      <w:tr w:rsidR="00000000" w14:paraId="78383C24" w14:textId="77777777">
        <w:trPr>
          <w:divId w:val="1134299048"/>
          <w:jc w:val="center"/>
        </w:trPr>
        <w:tc>
          <w:tcPr>
            <w:tcW w:w="0" w:type="auto"/>
            <w:gridSpan w:val="3"/>
            <w:tcMar>
              <w:top w:w="15" w:type="dxa"/>
              <w:left w:w="20" w:type="dxa"/>
              <w:bottom w:w="15" w:type="dxa"/>
              <w:right w:w="20" w:type="dxa"/>
            </w:tcMar>
            <w:vAlign w:val="bottom"/>
            <w:hideMark/>
          </w:tcPr>
          <w:p w14:paraId="31FCA2C6"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3FD5727"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6905491C" w14:textId="77777777" w:rsidR="00000000" w:rsidRDefault="00195E73">
            <w:pPr>
              <w:jc w:val="center"/>
              <w:rPr>
                <w:rFonts w:eastAsia="Times New Roman"/>
              </w:rPr>
            </w:pPr>
          </w:p>
        </w:tc>
        <w:tc>
          <w:tcPr>
            <w:tcW w:w="0" w:type="auto"/>
            <w:gridSpan w:val="3"/>
            <w:vAlign w:val="center"/>
            <w:hideMark/>
          </w:tcPr>
          <w:p w14:paraId="0AD29E20" w14:textId="77777777" w:rsidR="00000000" w:rsidRDefault="00195E73">
            <w:pPr>
              <w:rPr>
                <w:rFonts w:eastAsia="Times New Roman"/>
                <w:sz w:val="20"/>
                <w:szCs w:val="20"/>
              </w:rPr>
            </w:pPr>
          </w:p>
        </w:tc>
        <w:tc>
          <w:tcPr>
            <w:tcW w:w="0" w:type="auto"/>
            <w:gridSpan w:val="3"/>
            <w:vAlign w:val="center"/>
            <w:hideMark/>
          </w:tcPr>
          <w:p w14:paraId="4D08FB21" w14:textId="77777777" w:rsidR="00000000" w:rsidRDefault="00195E73">
            <w:pPr>
              <w:rPr>
                <w:rFonts w:eastAsia="Times New Roman"/>
                <w:sz w:val="20"/>
                <w:szCs w:val="20"/>
              </w:rPr>
            </w:pPr>
          </w:p>
        </w:tc>
        <w:tc>
          <w:tcPr>
            <w:tcW w:w="0" w:type="auto"/>
            <w:gridSpan w:val="3"/>
            <w:vAlign w:val="center"/>
            <w:hideMark/>
          </w:tcPr>
          <w:p w14:paraId="6C970218" w14:textId="77777777" w:rsidR="00000000" w:rsidRDefault="00195E73">
            <w:pPr>
              <w:rPr>
                <w:rFonts w:eastAsia="Times New Roman"/>
                <w:sz w:val="20"/>
                <w:szCs w:val="20"/>
              </w:rPr>
            </w:pPr>
          </w:p>
        </w:tc>
      </w:tr>
      <w:tr w:rsidR="00000000" w14:paraId="4BFA9736" w14:textId="77777777">
        <w:trPr>
          <w:divId w:val="1134299048"/>
          <w:jc w:val="center"/>
        </w:trPr>
        <w:tc>
          <w:tcPr>
            <w:tcW w:w="0" w:type="auto"/>
            <w:gridSpan w:val="3"/>
            <w:tcMar>
              <w:top w:w="30" w:type="dxa"/>
              <w:left w:w="20" w:type="dxa"/>
              <w:bottom w:w="30" w:type="dxa"/>
              <w:right w:w="20" w:type="dxa"/>
            </w:tcMar>
            <w:vAlign w:val="bottom"/>
            <w:hideMark/>
          </w:tcPr>
          <w:p w14:paraId="206820CC" w14:textId="77777777" w:rsidR="00000000" w:rsidRDefault="00195E73">
            <w:pPr>
              <w:rPr>
                <w:rFonts w:eastAsia="Times New Roman"/>
              </w:rPr>
            </w:pPr>
            <w:r>
              <w:rPr>
                <w:rFonts w:eastAsia="Times New Roman"/>
                <w:b/>
                <w:bCs/>
                <w:color w:val="000000"/>
                <w:sz w:val="20"/>
                <w:szCs w:val="20"/>
              </w:rPr>
              <w:t>Operating Activities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14:paraId="55BF055B"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1C3D4655"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5BFEF4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F4BBD8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7B1CC9C" w14:textId="77777777" w:rsidR="00000000" w:rsidRDefault="00195E73">
            <w:pPr>
              <w:rPr>
                <w:rFonts w:eastAsia="Times New Roman"/>
                <w:sz w:val="20"/>
                <w:szCs w:val="20"/>
              </w:rPr>
            </w:pPr>
          </w:p>
        </w:tc>
        <w:tc>
          <w:tcPr>
            <w:tcW w:w="0" w:type="auto"/>
            <w:vAlign w:val="center"/>
            <w:hideMark/>
          </w:tcPr>
          <w:p w14:paraId="7B037933" w14:textId="77777777" w:rsidR="00000000" w:rsidRDefault="00195E73">
            <w:pPr>
              <w:rPr>
                <w:rFonts w:eastAsia="Times New Roman"/>
                <w:sz w:val="20"/>
                <w:szCs w:val="20"/>
              </w:rPr>
            </w:pPr>
          </w:p>
        </w:tc>
        <w:tc>
          <w:tcPr>
            <w:tcW w:w="0" w:type="auto"/>
            <w:vAlign w:val="center"/>
            <w:hideMark/>
          </w:tcPr>
          <w:p w14:paraId="4F4D9588" w14:textId="77777777" w:rsidR="00000000" w:rsidRDefault="00195E73">
            <w:pPr>
              <w:rPr>
                <w:rFonts w:eastAsia="Times New Roman"/>
                <w:sz w:val="20"/>
                <w:szCs w:val="20"/>
              </w:rPr>
            </w:pPr>
          </w:p>
        </w:tc>
        <w:tc>
          <w:tcPr>
            <w:tcW w:w="0" w:type="auto"/>
            <w:vAlign w:val="center"/>
            <w:hideMark/>
          </w:tcPr>
          <w:p w14:paraId="6E6E73EC" w14:textId="77777777" w:rsidR="00000000" w:rsidRDefault="00195E73">
            <w:pPr>
              <w:rPr>
                <w:rFonts w:eastAsia="Times New Roman"/>
                <w:sz w:val="20"/>
                <w:szCs w:val="20"/>
              </w:rPr>
            </w:pPr>
          </w:p>
        </w:tc>
        <w:tc>
          <w:tcPr>
            <w:tcW w:w="0" w:type="auto"/>
            <w:vAlign w:val="center"/>
            <w:hideMark/>
          </w:tcPr>
          <w:p w14:paraId="1E6205B2" w14:textId="77777777" w:rsidR="00000000" w:rsidRDefault="00195E73">
            <w:pPr>
              <w:rPr>
                <w:rFonts w:eastAsia="Times New Roman"/>
                <w:sz w:val="20"/>
                <w:szCs w:val="20"/>
              </w:rPr>
            </w:pPr>
          </w:p>
        </w:tc>
        <w:tc>
          <w:tcPr>
            <w:tcW w:w="0" w:type="auto"/>
            <w:vAlign w:val="center"/>
            <w:hideMark/>
          </w:tcPr>
          <w:p w14:paraId="318132F0" w14:textId="77777777" w:rsidR="00000000" w:rsidRDefault="00195E73">
            <w:pPr>
              <w:rPr>
                <w:rFonts w:eastAsia="Times New Roman"/>
                <w:sz w:val="20"/>
                <w:szCs w:val="20"/>
              </w:rPr>
            </w:pPr>
          </w:p>
        </w:tc>
        <w:tc>
          <w:tcPr>
            <w:tcW w:w="0" w:type="auto"/>
            <w:vAlign w:val="center"/>
            <w:hideMark/>
          </w:tcPr>
          <w:p w14:paraId="448C00A5" w14:textId="77777777" w:rsidR="00000000" w:rsidRDefault="00195E73">
            <w:pPr>
              <w:rPr>
                <w:rFonts w:eastAsia="Times New Roman"/>
                <w:sz w:val="20"/>
                <w:szCs w:val="20"/>
              </w:rPr>
            </w:pPr>
          </w:p>
        </w:tc>
        <w:tc>
          <w:tcPr>
            <w:tcW w:w="0" w:type="auto"/>
            <w:vAlign w:val="center"/>
            <w:hideMark/>
          </w:tcPr>
          <w:p w14:paraId="4A01A384" w14:textId="77777777" w:rsidR="00000000" w:rsidRDefault="00195E73">
            <w:pPr>
              <w:rPr>
                <w:rFonts w:eastAsia="Times New Roman"/>
                <w:sz w:val="20"/>
                <w:szCs w:val="20"/>
              </w:rPr>
            </w:pPr>
          </w:p>
        </w:tc>
        <w:tc>
          <w:tcPr>
            <w:tcW w:w="0" w:type="auto"/>
            <w:vAlign w:val="center"/>
            <w:hideMark/>
          </w:tcPr>
          <w:p w14:paraId="3BEAD62C" w14:textId="77777777" w:rsidR="00000000" w:rsidRDefault="00195E73">
            <w:pPr>
              <w:rPr>
                <w:rFonts w:eastAsia="Times New Roman"/>
                <w:sz w:val="20"/>
                <w:szCs w:val="20"/>
              </w:rPr>
            </w:pPr>
          </w:p>
        </w:tc>
        <w:tc>
          <w:tcPr>
            <w:tcW w:w="0" w:type="auto"/>
            <w:vAlign w:val="center"/>
            <w:hideMark/>
          </w:tcPr>
          <w:p w14:paraId="3B2719F2" w14:textId="77777777" w:rsidR="00000000" w:rsidRDefault="00195E73">
            <w:pPr>
              <w:rPr>
                <w:rFonts w:eastAsia="Times New Roman"/>
                <w:sz w:val="20"/>
                <w:szCs w:val="20"/>
              </w:rPr>
            </w:pPr>
          </w:p>
        </w:tc>
        <w:tc>
          <w:tcPr>
            <w:tcW w:w="0" w:type="auto"/>
            <w:vAlign w:val="center"/>
            <w:hideMark/>
          </w:tcPr>
          <w:p w14:paraId="661B2916" w14:textId="77777777" w:rsidR="00000000" w:rsidRDefault="00195E73">
            <w:pPr>
              <w:rPr>
                <w:rFonts w:eastAsia="Times New Roman"/>
                <w:sz w:val="20"/>
                <w:szCs w:val="20"/>
              </w:rPr>
            </w:pPr>
          </w:p>
        </w:tc>
        <w:tc>
          <w:tcPr>
            <w:tcW w:w="0" w:type="auto"/>
            <w:vAlign w:val="center"/>
            <w:hideMark/>
          </w:tcPr>
          <w:p w14:paraId="3B041878" w14:textId="77777777" w:rsidR="00000000" w:rsidRDefault="00195E73">
            <w:pPr>
              <w:rPr>
                <w:rFonts w:eastAsia="Times New Roman"/>
                <w:sz w:val="20"/>
                <w:szCs w:val="20"/>
              </w:rPr>
            </w:pPr>
          </w:p>
        </w:tc>
        <w:tc>
          <w:tcPr>
            <w:tcW w:w="0" w:type="auto"/>
            <w:vAlign w:val="center"/>
            <w:hideMark/>
          </w:tcPr>
          <w:p w14:paraId="272B8784" w14:textId="77777777" w:rsidR="00000000" w:rsidRDefault="00195E73">
            <w:pPr>
              <w:rPr>
                <w:rFonts w:eastAsia="Times New Roman"/>
                <w:sz w:val="20"/>
                <w:szCs w:val="20"/>
              </w:rPr>
            </w:pPr>
          </w:p>
        </w:tc>
      </w:tr>
      <w:tr w:rsidR="00000000" w14:paraId="21F81430" w14:textId="77777777">
        <w:trPr>
          <w:divId w:val="1134299048"/>
          <w:jc w:val="center"/>
        </w:trPr>
        <w:tc>
          <w:tcPr>
            <w:tcW w:w="0" w:type="auto"/>
            <w:gridSpan w:val="3"/>
            <w:shd w:val="clear" w:color="auto" w:fill="CCEEFF"/>
            <w:tcMar>
              <w:top w:w="30" w:type="dxa"/>
              <w:left w:w="20" w:type="dxa"/>
              <w:bottom w:w="30" w:type="dxa"/>
              <w:right w:w="20" w:type="dxa"/>
            </w:tcMar>
            <w:vAlign w:val="bottom"/>
            <w:hideMark/>
          </w:tcPr>
          <w:p w14:paraId="6787DEA9" w14:textId="77777777" w:rsidR="00000000" w:rsidRDefault="00195E73">
            <w:pPr>
              <w:rPr>
                <w:rFonts w:eastAsia="Times New Roman"/>
              </w:rPr>
            </w:pPr>
            <w:r>
              <w:rPr>
                <w:rFonts w:eastAsia="Times New Roman"/>
                <w:color w:val="000000"/>
                <w:sz w:val="20"/>
                <w:szCs w:val="20"/>
              </w:rPr>
              <w:t>Cash payments for interest on senior unsecured note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6275F6B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287F92B" w14:textId="77777777" w:rsidR="00000000" w:rsidRDefault="00195E73">
            <w:pPr>
              <w:jc w:val="right"/>
              <w:rPr>
                <w:rFonts w:eastAsia="Times New Roman"/>
              </w:rPr>
            </w:pPr>
            <w:r>
              <w:rPr>
                <w:rFonts w:eastAsia="Times New Roman"/>
                <w:color w:val="000000"/>
                <w:sz w:val="20"/>
                <w:szCs w:val="20"/>
              </w:rPr>
              <w:t>(374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56EC32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541BBE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5D1AB9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7B07534" w14:textId="77777777" w:rsidR="00000000" w:rsidRDefault="00195E73">
            <w:pPr>
              <w:jc w:val="right"/>
              <w:rPr>
                <w:rFonts w:eastAsia="Times New Roman"/>
              </w:rPr>
            </w:pPr>
            <w:r>
              <w:rPr>
                <w:rFonts w:eastAsia="Times New Roman"/>
                <w:color w:val="000000"/>
                <w:sz w:val="20"/>
                <w:szCs w:val="20"/>
              </w:rPr>
              <w:t>(339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78D325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D032E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43CB97B"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8A47221" w14:textId="77777777" w:rsidR="00000000" w:rsidRDefault="00195E73">
            <w:pPr>
              <w:jc w:val="right"/>
              <w:rPr>
                <w:rFonts w:eastAsia="Times New Roman"/>
              </w:rPr>
            </w:pPr>
            <w:r>
              <w:rPr>
                <w:rFonts w:eastAsia="Times New Roman"/>
                <w:color w:val="000000"/>
                <w:sz w:val="20"/>
                <w:szCs w:val="20"/>
              </w:rPr>
              <w:t>(312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7BB630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AD229DA" w14:textId="77777777" w:rsidR="00000000" w:rsidRDefault="00195E73">
            <w:pPr>
              <w:rPr>
                <w:rFonts w:eastAsia="Times New Roman"/>
                <w:sz w:val="20"/>
                <w:szCs w:val="20"/>
              </w:rPr>
            </w:pPr>
          </w:p>
        </w:tc>
        <w:tc>
          <w:tcPr>
            <w:tcW w:w="0" w:type="auto"/>
            <w:vAlign w:val="center"/>
            <w:hideMark/>
          </w:tcPr>
          <w:p w14:paraId="7B9C8023" w14:textId="77777777" w:rsidR="00000000" w:rsidRDefault="00195E73">
            <w:pPr>
              <w:rPr>
                <w:rFonts w:eastAsia="Times New Roman"/>
                <w:sz w:val="20"/>
                <w:szCs w:val="20"/>
              </w:rPr>
            </w:pPr>
          </w:p>
        </w:tc>
        <w:tc>
          <w:tcPr>
            <w:tcW w:w="0" w:type="auto"/>
            <w:vAlign w:val="center"/>
            <w:hideMark/>
          </w:tcPr>
          <w:p w14:paraId="3DECA6CA" w14:textId="77777777" w:rsidR="00000000" w:rsidRDefault="00195E73">
            <w:pPr>
              <w:rPr>
                <w:rFonts w:eastAsia="Times New Roman"/>
                <w:sz w:val="20"/>
                <w:szCs w:val="20"/>
              </w:rPr>
            </w:pPr>
          </w:p>
        </w:tc>
        <w:tc>
          <w:tcPr>
            <w:tcW w:w="0" w:type="auto"/>
            <w:vAlign w:val="center"/>
            <w:hideMark/>
          </w:tcPr>
          <w:p w14:paraId="3AC778C3" w14:textId="77777777" w:rsidR="00000000" w:rsidRDefault="00195E73">
            <w:pPr>
              <w:rPr>
                <w:rFonts w:eastAsia="Times New Roman"/>
                <w:sz w:val="20"/>
                <w:szCs w:val="20"/>
              </w:rPr>
            </w:pPr>
          </w:p>
        </w:tc>
        <w:tc>
          <w:tcPr>
            <w:tcW w:w="0" w:type="auto"/>
            <w:vAlign w:val="center"/>
            <w:hideMark/>
          </w:tcPr>
          <w:p w14:paraId="1170A177" w14:textId="77777777" w:rsidR="00000000" w:rsidRDefault="00195E73">
            <w:pPr>
              <w:rPr>
                <w:rFonts w:eastAsia="Times New Roman"/>
                <w:sz w:val="20"/>
                <w:szCs w:val="20"/>
              </w:rPr>
            </w:pPr>
          </w:p>
        </w:tc>
        <w:tc>
          <w:tcPr>
            <w:tcW w:w="0" w:type="auto"/>
            <w:vAlign w:val="center"/>
            <w:hideMark/>
          </w:tcPr>
          <w:p w14:paraId="28EF16CB" w14:textId="77777777" w:rsidR="00000000" w:rsidRDefault="00195E73">
            <w:pPr>
              <w:rPr>
                <w:rFonts w:eastAsia="Times New Roman"/>
                <w:sz w:val="20"/>
                <w:szCs w:val="20"/>
              </w:rPr>
            </w:pPr>
          </w:p>
        </w:tc>
        <w:tc>
          <w:tcPr>
            <w:tcW w:w="0" w:type="auto"/>
            <w:vAlign w:val="center"/>
            <w:hideMark/>
          </w:tcPr>
          <w:p w14:paraId="774A24F0" w14:textId="77777777" w:rsidR="00000000" w:rsidRDefault="00195E73">
            <w:pPr>
              <w:rPr>
                <w:rFonts w:eastAsia="Times New Roman"/>
                <w:sz w:val="20"/>
                <w:szCs w:val="20"/>
              </w:rPr>
            </w:pPr>
          </w:p>
        </w:tc>
        <w:tc>
          <w:tcPr>
            <w:tcW w:w="0" w:type="auto"/>
            <w:vAlign w:val="center"/>
            <w:hideMark/>
          </w:tcPr>
          <w:p w14:paraId="7277F80E" w14:textId="77777777" w:rsidR="00000000" w:rsidRDefault="00195E73">
            <w:pPr>
              <w:rPr>
                <w:rFonts w:eastAsia="Times New Roman"/>
                <w:sz w:val="20"/>
                <w:szCs w:val="20"/>
              </w:rPr>
            </w:pPr>
          </w:p>
        </w:tc>
        <w:tc>
          <w:tcPr>
            <w:tcW w:w="0" w:type="auto"/>
            <w:vAlign w:val="center"/>
            <w:hideMark/>
          </w:tcPr>
          <w:p w14:paraId="7F742E70" w14:textId="77777777" w:rsidR="00000000" w:rsidRDefault="00195E73">
            <w:pPr>
              <w:rPr>
                <w:rFonts w:eastAsia="Times New Roman"/>
                <w:sz w:val="20"/>
                <w:szCs w:val="20"/>
              </w:rPr>
            </w:pPr>
          </w:p>
        </w:tc>
        <w:tc>
          <w:tcPr>
            <w:tcW w:w="0" w:type="auto"/>
            <w:vAlign w:val="center"/>
            <w:hideMark/>
          </w:tcPr>
          <w:p w14:paraId="27267A8C" w14:textId="77777777" w:rsidR="00000000" w:rsidRDefault="00195E73">
            <w:pPr>
              <w:rPr>
                <w:rFonts w:eastAsia="Times New Roman"/>
                <w:sz w:val="20"/>
                <w:szCs w:val="20"/>
              </w:rPr>
            </w:pPr>
          </w:p>
        </w:tc>
        <w:tc>
          <w:tcPr>
            <w:tcW w:w="0" w:type="auto"/>
            <w:vAlign w:val="center"/>
            <w:hideMark/>
          </w:tcPr>
          <w:p w14:paraId="0A380A14" w14:textId="77777777" w:rsidR="00000000" w:rsidRDefault="00195E73">
            <w:pPr>
              <w:rPr>
                <w:rFonts w:eastAsia="Times New Roman"/>
                <w:sz w:val="20"/>
                <w:szCs w:val="20"/>
              </w:rPr>
            </w:pPr>
          </w:p>
        </w:tc>
        <w:tc>
          <w:tcPr>
            <w:tcW w:w="0" w:type="auto"/>
            <w:vAlign w:val="center"/>
            <w:hideMark/>
          </w:tcPr>
          <w:p w14:paraId="22E7641B" w14:textId="77777777" w:rsidR="00000000" w:rsidRDefault="00195E73">
            <w:pPr>
              <w:rPr>
                <w:rFonts w:eastAsia="Times New Roman"/>
                <w:sz w:val="20"/>
                <w:szCs w:val="20"/>
              </w:rPr>
            </w:pPr>
          </w:p>
        </w:tc>
      </w:tr>
      <w:tr w:rsidR="00000000" w14:paraId="676D7F1D" w14:textId="77777777">
        <w:trPr>
          <w:divId w:val="1134299048"/>
          <w:jc w:val="center"/>
        </w:trPr>
        <w:tc>
          <w:tcPr>
            <w:tcW w:w="0" w:type="auto"/>
            <w:gridSpan w:val="3"/>
            <w:shd w:val="clear" w:color="auto" w:fill="FFFFFF"/>
            <w:tcMar>
              <w:top w:w="30" w:type="dxa"/>
              <w:left w:w="20" w:type="dxa"/>
              <w:bottom w:w="30" w:type="dxa"/>
              <w:right w:w="20" w:type="dxa"/>
            </w:tcMar>
            <w:vAlign w:val="bottom"/>
            <w:hideMark/>
          </w:tcPr>
          <w:p w14:paraId="452B27A4" w14:textId="77777777" w:rsidR="00000000" w:rsidRDefault="00195E73">
            <w:pPr>
              <w:rPr>
                <w:rFonts w:eastAsia="Times New Roman"/>
              </w:rPr>
            </w:pPr>
            <w:r>
              <w:rPr>
                <w:rFonts w:eastAsia="Times New Roman"/>
                <w:color w:val="000000"/>
                <w:sz w:val="20"/>
                <w:szCs w:val="20"/>
              </w:rPr>
              <w:t>Interest and dividend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239C8CE1" w14:textId="77777777" w:rsidR="00000000" w:rsidRDefault="00195E73">
            <w:pPr>
              <w:jc w:val="right"/>
              <w:rPr>
                <w:rFonts w:eastAsia="Times New Roman"/>
              </w:rPr>
            </w:pPr>
            <w:r>
              <w:rPr>
                <w:rFonts w:eastAsia="Times New Roman"/>
                <w:color w:val="000000"/>
                <w:sz w:val="20"/>
                <w:szCs w:val="20"/>
              </w:rPr>
              <w:t>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D5667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0C884B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988E78" w14:textId="77777777" w:rsidR="00000000" w:rsidRDefault="00195E73">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29E3C3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B79647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1042E9" w14:textId="77777777" w:rsidR="00000000" w:rsidRDefault="00195E73">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9E3C40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1E3C723" w14:textId="77777777" w:rsidR="00000000" w:rsidRDefault="00195E73">
            <w:pPr>
              <w:rPr>
                <w:rFonts w:eastAsia="Times New Roman"/>
                <w:sz w:val="20"/>
                <w:szCs w:val="20"/>
              </w:rPr>
            </w:pPr>
          </w:p>
        </w:tc>
        <w:tc>
          <w:tcPr>
            <w:tcW w:w="0" w:type="auto"/>
            <w:vAlign w:val="center"/>
            <w:hideMark/>
          </w:tcPr>
          <w:p w14:paraId="5A5B62F4" w14:textId="77777777" w:rsidR="00000000" w:rsidRDefault="00195E73">
            <w:pPr>
              <w:rPr>
                <w:rFonts w:eastAsia="Times New Roman"/>
                <w:sz w:val="20"/>
                <w:szCs w:val="20"/>
              </w:rPr>
            </w:pPr>
          </w:p>
        </w:tc>
        <w:tc>
          <w:tcPr>
            <w:tcW w:w="0" w:type="auto"/>
            <w:vAlign w:val="center"/>
            <w:hideMark/>
          </w:tcPr>
          <w:p w14:paraId="7EF0114A" w14:textId="77777777" w:rsidR="00000000" w:rsidRDefault="00195E73">
            <w:pPr>
              <w:rPr>
                <w:rFonts w:eastAsia="Times New Roman"/>
                <w:sz w:val="20"/>
                <w:szCs w:val="20"/>
              </w:rPr>
            </w:pPr>
          </w:p>
        </w:tc>
        <w:tc>
          <w:tcPr>
            <w:tcW w:w="0" w:type="auto"/>
            <w:vAlign w:val="center"/>
            <w:hideMark/>
          </w:tcPr>
          <w:p w14:paraId="5AD43E3D" w14:textId="77777777" w:rsidR="00000000" w:rsidRDefault="00195E73">
            <w:pPr>
              <w:rPr>
                <w:rFonts w:eastAsia="Times New Roman"/>
                <w:sz w:val="20"/>
                <w:szCs w:val="20"/>
              </w:rPr>
            </w:pPr>
          </w:p>
        </w:tc>
        <w:tc>
          <w:tcPr>
            <w:tcW w:w="0" w:type="auto"/>
            <w:vAlign w:val="center"/>
            <w:hideMark/>
          </w:tcPr>
          <w:p w14:paraId="1B649BD4" w14:textId="77777777" w:rsidR="00000000" w:rsidRDefault="00195E73">
            <w:pPr>
              <w:rPr>
                <w:rFonts w:eastAsia="Times New Roman"/>
                <w:sz w:val="20"/>
                <w:szCs w:val="20"/>
              </w:rPr>
            </w:pPr>
          </w:p>
        </w:tc>
        <w:tc>
          <w:tcPr>
            <w:tcW w:w="0" w:type="auto"/>
            <w:vAlign w:val="center"/>
            <w:hideMark/>
          </w:tcPr>
          <w:p w14:paraId="7DBADC8B" w14:textId="77777777" w:rsidR="00000000" w:rsidRDefault="00195E73">
            <w:pPr>
              <w:rPr>
                <w:rFonts w:eastAsia="Times New Roman"/>
                <w:sz w:val="20"/>
                <w:szCs w:val="20"/>
              </w:rPr>
            </w:pPr>
          </w:p>
        </w:tc>
        <w:tc>
          <w:tcPr>
            <w:tcW w:w="0" w:type="auto"/>
            <w:vAlign w:val="center"/>
            <w:hideMark/>
          </w:tcPr>
          <w:p w14:paraId="04ABBA1C" w14:textId="77777777" w:rsidR="00000000" w:rsidRDefault="00195E73">
            <w:pPr>
              <w:rPr>
                <w:rFonts w:eastAsia="Times New Roman"/>
                <w:sz w:val="20"/>
                <w:szCs w:val="20"/>
              </w:rPr>
            </w:pPr>
          </w:p>
        </w:tc>
        <w:tc>
          <w:tcPr>
            <w:tcW w:w="0" w:type="auto"/>
            <w:vAlign w:val="center"/>
            <w:hideMark/>
          </w:tcPr>
          <w:p w14:paraId="4B0F7028" w14:textId="77777777" w:rsidR="00000000" w:rsidRDefault="00195E73">
            <w:pPr>
              <w:rPr>
                <w:rFonts w:eastAsia="Times New Roman"/>
                <w:sz w:val="20"/>
                <w:szCs w:val="20"/>
              </w:rPr>
            </w:pPr>
          </w:p>
        </w:tc>
        <w:tc>
          <w:tcPr>
            <w:tcW w:w="0" w:type="auto"/>
            <w:vAlign w:val="center"/>
            <w:hideMark/>
          </w:tcPr>
          <w:p w14:paraId="2A4E79E9" w14:textId="77777777" w:rsidR="00000000" w:rsidRDefault="00195E73">
            <w:pPr>
              <w:rPr>
                <w:rFonts w:eastAsia="Times New Roman"/>
                <w:sz w:val="20"/>
                <w:szCs w:val="20"/>
              </w:rPr>
            </w:pPr>
          </w:p>
        </w:tc>
        <w:tc>
          <w:tcPr>
            <w:tcW w:w="0" w:type="auto"/>
            <w:vAlign w:val="center"/>
            <w:hideMark/>
          </w:tcPr>
          <w:p w14:paraId="1FA7AF25" w14:textId="77777777" w:rsidR="00000000" w:rsidRDefault="00195E73">
            <w:pPr>
              <w:rPr>
                <w:rFonts w:eastAsia="Times New Roman"/>
                <w:sz w:val="20"/>
                <w:szCs w:val="20"/>
              </w:rPr>
            </w:pPr>
          </w:p>
        </w:tc>
        <w:tc>
          <w:tcPr>
            <w:tcW w:w="0" w:type="auto"/>
            <w:vAlign w:val="center"/>
            <w:hideMark/>
          </w:tcPr>
          <w:p w14:paraId="7EF6ED90" w14:textId="77777777" w:rsidR="00000000" w:rsidRDefault="00195E73">
            <w:pPr>
              <w:rPr>
                <w:rFonts w:eastAsia="Times New Roman"/>
                <w:sz w:val="20"/>
                <w:szCs w:val="20"/>
              </w:rPr>
            </w:pPr>
          </w:p>
        </w:tc>
        <w:tc>
          <w:tcPr>
            <w:tcW w:w="0" w:type="auto"/>
            <w:vAlign w:val="center"/>
            <w:hideMark/>
          </w:tcPr>
          <w:p w14:paraId="6204A652" w14:textId="77777777" w:rsidR="00000000" w:rsidRDefault="00195E73">
            <w:pPr>
              <w:rPr>
                <w:rFonts w:eastAsia="Times New Roman"/>
                <w:sz w:val="20"/>
                <w:szCs w:val="20"/>
              </w:rPr>
            </w:pPr>
          </w:p>
        </w:tc>
      </w:tr>
      <w:tr w:rsidR="00000000" w14:paraId="28CFDADD" w14:textId="77777777">
        <w:trPr>
          <w:divId w:val="1134299048"/>
          <w:jc w:val="center"/>
        </w:trPr>
        <w:tc>
          <w:tcPr>
            <w:tcW w:w="0" w:type="auto"/>
            <w:gridSpan w:val="3"/>
            <w:shd w:val="clear" w:color="auto" w:fill="CCEEFF"/>
            <w:tcMar>
              <w:top w:w="30" w:type="dxa"/>
              <w:left w:w="20" w:type="dxa"/>
              <w:bottom w:w="30" w:type="dxa"/>
              <w:right w:w="20" w:type="dxa"/>
            </w:tcMar>
            <w:vAlign w:val="bottom"/>
            <w:hideMark/>
          </w:tcPr>
          <w:p w14:paraId="6EB267E1" w14:textId="77777777" w:rsidR="00000000" w:rsidRDefault="00195E73">
            <w:pPr>
              <w:rPr>
                <w:rFonts w:eastAsia="Times New Roman"/>
              </w:rPr>
            </w:pPr>
            <w:r>
              <w:rPr>
                <w:rFonts w:eastAsia="Times New Roman"/>
                <w:color w:val="000000"/>
                <w:sz w:val="20"/>
                <w:szCs w:val="20"/>
              </w:rPr>
              <w:t>Net cash receipts (payments) for income taxes, net of refund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D48159A"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171A05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F20286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BBD81A" w14:textId="77777777" w:rsidR="00000000" w:rsidRDefault="00195E73">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45E5CF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3219C4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75A8F0" w14:textId="77777777" w:rsidR="00000000" w:rsidRDefault="00195E73">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BDEC1C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BBDB250" w14:textId="77777777" w:rsidR="00000000" w:rsidRDefault="00195E73">
            <w:pPr>
              <w:rPr>
                <w:rFonts w:eastAsia="Times New Roman"/>
                <w:sz w:val="20"/>
                <w:szCs w:val="20"/>
              </w:rPr>
            </w:pPr>
          </w:p>
        </w:tc>
        <w:tc>
          <w:tcPr>
            <w:tcW w:w="0" w:type="auto"/>
            <w:vAlign w:val="center"/>
            <w:hideMark/>
          </w:tcPr>
          <w:p w14:paraId="576E5C8F" w14:textId="77777777" w:rsidR="00000000" w:rsidRDefault="00195E73">
            <w:pPr>
              <w:rPr>
                <w:rFonts w:eastAsia="Times New Roman"/>
                <w:sz w:val="20"/>
                <w:szCs w:val="20"/>
              </w:rPr>
            </w:pPr>
          </w:p>
        </w:tc>
        <w:tc>
          <w:tcPr>
            <w:tcW w:w="0" w:type="auto"/>
            <w:vAlign w:val="center"/>
            <w:hideMark/>
          </w:tcPr>
          <w:p w14:paraId="3FE1CE50" w14:textId="77777777" w:rsidR="00000000" w:rsidRDefault="00195E73">
            <w:pPr>
              <w:rPr>
                <w:rFonts w:eastAsia="Times New Roman"/>
                <w:sz w:val="20"/>
                <w:szCs w:val="20"/>
              </w:rPr>
            </w:pPr>
          </w:p>
        </w:tc>
        <w:tc>
          <w:tcPr>
            <w:tcW w:w="0" w:type="auto"/>
            <w:vAlign w:val="center"/>
            <w:hideMark/>
          </w:tcPr>
          <w:p w14:paraId="54B4B046" w14:textId="77777777" w:rsidR="00000000" w:rsidRDefault="00195E73">
            <w:pPr>
              <w:rPr>
                <w:rFonts w:eastAsia="Times New Roman"/>
                <w:sz w:val="20"/>
                <w:szCs w:val="20"/>
              </w:rPr>
            </w:pPr>
          </w:p>
        </w:tc>
        <w:tc>
          <w:tcPr>
            <w:tcW w:w="0" w:type="auto"/>
            <w:vAlign w:val="center"/>
            <w:hideMark/>
          </w:tcPr>
          <w:p w14:paraId="32DB45C5" w14:textId="77777777" w:rsidR="00000000" w:rsidRDefault="00195E73">
            <w:pPr>
              <w:rPr>
                <w:rFonts w:eastAsia="Times New Roman"/>
                <w:sz w:val="20"/>
                <w:szCs w:val="20"/>
              </w:rPr>
            </w:pPr>
          </w:p>
        </w:tc>
        <w:tc>
          <w:tcPr>
            <w:tcW w:w="0" w:type="auto"/>
            <w:vAlign w:val="center"/>
            <w:hideMark/>
          </w:tcPr>
          <w:p w14:paraId="21107654" w14:textId="77777777" w:rsidR="00000000" w:rsidRDefault="00195E73">
            <w:pPr>
              <w:rPr>
                <w:rFonts w:eastAsia="Times New Roman"/>
                <w:sz w:val="20"/>
                <w:szCs w:val="20"/>
              </w:rPr>
            </w:pPr>
          </w:p>
        </w:tc>
        <w:tc>
          <w:tcPr>
            <w:tcW w:w="0" w:type="auto"/>
            <w:vAlign w:val="center"/>
            <w:hideMark/>
          </w:tcPr>
          <w:p w14:paraId="0F982D3D" w14:textId="77777777" w:rsidR="00000000" w:rsidRDefault="00195E73">
            <w:pPr>
              <w:rPr>
                <w:rFonts w:eastAsia="Times New Roman"/>
                <w:sz w:val="20"/>
                <w:szCs w:val="20"/>
              </w:rPr>
            </w:pPr>
          </w:p>
        </w:tc>
        <w:tc>
          <w:tcPr>
            <w:tcW w:w="0" w:type="auto"/>
            <w:vAlign w:val="center"/>
            <w:hideMark/>
          </w:tcPr>
          <w:p w14:paraId="5C0C43E4" w14:textId="77777777" w:rsidR="00000000" w:rsidRDefault="00195E73">
            <w:pPr>
              <w:rPr>
                <w:rFonts w:eastAsia="Times New Roman"/>
                <w:sz w:val="20"/>
                <w:szCs w:val="20"/>
              </w:rPr>
            </w:pPr>
          </w:p>
        </w:tc>
        <w:tc>
          <w:tcPr>
            <w:tcW w:w="0" w:type="auto"/>
            <w:vAlign w:val="center"/>
            <w:hideMark/>
          </w:tcPr>
          <w:p w14:paraId="5D956DA6" w14:textId="77777777" w:rsidR="00000000" w:rsidRDefault="00195E73">
            <w:pPr>
              <w:rPr>
                <w:rFonts w:eastAsia="Times New Roman"/>
                <w:sz w:val="20"/>
                <w:szCs w:val="20"/>
              </w:rPr>
            </w:pPr>
          </w:p>
        </w:tc>
        <w:tc>
          <w:tcPr>
            <w:tcW w:w="0" w:type="auto"/>
            <w:vAlign w:val="center"/>
            <w:hideMark/>
          </w:tcPr>
          <w:p w14:paraId="489C61C1" w14:textId="77777777" w:rsidR="00000000" w:rsidRDefault="00195E73">
            <w:pPr>
              <w:rPr>
                <w:rFonts w:eastAsia="Times New Roman"/>
                <w:sz w:val="20"/>
                <w:szCs w:val="20"/>
              </w:rPr>
            </w:pPr>
          </w:p>
        </w:tc>
        <w:tc>
          <w:tcPr>
            <w:tcW w:w="0" w:type="auto"/>
            <w:vAlign w:val="center"/>
            <w:hideMark/>
          </w:tcPr>
          <w:p w14:paraId="325F0AE5" w14:textId="77777777" w:rsidR="00000000" w:rsidRDefault="00195E73">
            <w:pPr>
              <w:rPr>
                <w:rFonts w:eastAsia="Times New Roman"/>
                <w:sz w:val="20"/>
                <w:szCs w:val="20"/>
              </w:rPr>
            </w:pPr>
          </w:p>
        </w:tc>
        <w:tc>
          <w:tcPr>
            <w:tcW w:w="0" w:type="auto"/>
            <w:vAlign w:val="center"/>
            <w:hideMark/>
          </w:tcPr>
          <w:p w14:paraId="0331CE9C" w14:textId="77777777" w:rsidR="00000000" w:rsidRDefault="00195E73">
            <w:pPr>
              <w:rPr>
                <w:rFonts w:eastAsia="Times New Roman"/>
                <w:sz w:val="20"/>
                <w:szCs w:val="20"/>
              </w:rPr>
            </w:pPr>
          </w:p>
        </w:tc>
      </w:tr>
      <w:tr w:rsidR="00000000" w14:paraId="34E2FA11" w14:textId="77777777">
        <w:trPr>
          <w:divId w:val="1134299048"/>
          <w:jc w:val="center"/>
        </w:trPr>
        <w:tc>
          <w:tcPr>
            <w:tcW w:w="0" w:type="auto"/>
            <w:gridSpan w:val="3"/>
            <w:shd w:val="clear" w:color="auto" w:fill="FFFFFF"/>
            <w:tcMar>
              <w:top w:w="30" w:type="dxa"/>
              <w:left w:w="20" w:type="dxa"/>
              <w:bottom w:w="30" w:type="dxa"/>
              <w:right w:w="20" w:type="dxa"/>
            </w:tcMar>
            <w:vAlign w:val="bottom"/>
            <w:hideMark/>
          </w:tcPr>
          <w:p w14:paraId="490C1FDC" w14:textId="77777777" w:rsidR="00000000" w:rsidRDefault="00195E73">
            <w:pPr>
              <w:rPr>
                <w:rFonts w:eastAsia="Times New Roman"/>
              </w:rPr>
            </w:pPr>
            <w:r>
              <w:rPr>
                <w:rFonts w:eastAsia="Times New Roman"/>
                <w:color w:val="000000"/>
                <w:sz w:val="20"/>
                <w:szCs w:val="20"/>
              </w:rPr>
              <w:t>Operating transactions with subsidiarie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12F280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91F0D4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74D1EF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A95F63" w14:textId="77777777" w:rsidR="00000000" w:rsidRDefault="00195E73">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0BD56C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B69C6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9C1223"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0708AF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88F7BFF" w14:textId="77777777" w:rsidR="00000000" w:rsidRDefault="00195E73">
            <w:pPr>
              <w:rPr>
                <w:rFonts w:eastAsia="Times New Roman"/>
                <w:sz w:val="20"/>
                <w:szCs w:val="20"/>
              </w:rPr>
            </w:pPr>
          </w:p>
        </w:tc>
        <w:tc>
          <w:tcPr>
            <w:tcW w:w="0" w:type="auto"/>
            <w:vAlign w:val="center"/>
            <w:hideMark/>
          </w:tcPr>
          <w:p w14:paraId="2394B8E2" w14:textId="77777777" w:rsidR="00000000" w:rsidRDefault="00195E73">
            <w:pPr>
              <w:rPr>
                <w:rFonts w:eastAsia="Times New Roman"/>
                <w:sz w:val="20"/>
                <w:szCs w:val="20"/>
              </w:rPr>
            </w:pPr>
          </w:p>
        </w:tc>
        <w:tc>
          <w:tcPr>
            <w:tcW w:w="0" w:type="auto"/>
            <w:vAlign w:val="center"/>
            <w:hideMark/>
          </w:tcPr>
          <w:p w14:paraId="1B858860" w14:textId="77777777" w:rsidR="00000000" w:rsidRDefault="00195E73">
            <w:pPr>
              <w:rPr>
                <w:rFonts w:eastAsia="Times New Roman"/>
                <w:sz w:val="20"/>
                <w:szCs w:val="20"/>
              </w:rPr>
            </w:pPr>
          </w:p>
        </w:tc>
        <w:tc>
          <w:tcPr>
            <w:tcW w:w="0" w:type="auto"/>
            <w:vAlign w:val="center"/>
            <w:hideMark/>
          </w:tcPr>
          <w:p w14:paraId="6CCD8F48" w14:textId="77777777" w:rsidR="00000000" w:rsidRDefault="00195E73">
            <w:pPr>
              <w:rPr>
                <w:rFonts w:eastAsia="Times New Roman"/>
                <w:sz w:val="20"/>
                <w:szCs w:val="20"/>
              </w:rPr>
            </w:pPr>
          </w:p>
        </w:tc>
        <w:tc>
          <w:tcPr>
            <w:tcW w:w="0" w:type="auto"/>
            <w:vAlign w:val="center"/>
            <w:hideMark/>
          </w:tcPr>
          <w:p w14:paraId="24FEB724" w14:textId="77777777" w:rsidR="00000000" w:rsidRDefault="00195E73">
            <w:pPr>
              <w:rPr>
                <w:rFonts w:eastAsia="Times New Roman"/>
                <w:sz w:val="20"/>
                <w:szCs w:val="20"/>
              </w:rPr>
            </w:pPr>
          </w:p>
        </w:tc>
        <w:tc>
          <w:tcPr>
            <w:tcW w:w="0" w:type="auto"/>
            <w:vAlign w:val="center"/>
            <w:hideMark/>
          </w:tcPr>
          <w:p w14:paraId="5AC4AED4" w14:textId="77777777" w:rsidR="00000000" w:rsidRDefault="00195E73">
            <w:pPr>
              <w:rPr>
                <w:rFonts w:eastAsia="Times New Roman"/>
                <w:sz w:val="20"/>
                <w:szCs w:val="20"/>
              </w:rPr>
            </w:pPr>
          </w:p>
        </w:tc>
        <w:tc>
          <w:tcPr>
            <w:tcW w:w="0" w:type="auto"/>
            <w:vAlign w:val="center"/>
            <w:hideMark/>
          </w:tcPr>
          <w:p w14:paraId="4673D12F" w14:textId="77777777" w:rsidR="00000000" w:rsidRDefault="00195E73">
            <w:pPr>
              <w:rPr>
                <w:rFonts w:eastAsia="Times New Roman"/>
                <w:sz w:val="20"/>
                <w:szCs w:val="20"/>
              </w:rPr>
            </w:pPr>
          </w:p>
        </w:tc>
        <w:tc>
          <w:tcPr>
            <w:tcW w:w="0" w:type="auto"/>
            <w:vAlign w:val="center"/>
            <w:hideMark/>
          </w:tcPr>
          <w:p w14:paraId="642CCD91" w14:textId="77777777" w:rsidR="00000000" w:rsidRDefault="00195E73">
            <w:pPr>
              <w:rPr>
                <w:rFonts w:eastAsia="Times New Roman"/>
                <w:sz w:val="20"/>
                <w:szCs w:val="20"/>
              </w:rPr>
            </w:pPr>
          </w:p>
        </w:tc>
        <w:tc>
          <w:tcPr>
            <w:tcW w:w="0" w:type="auto"/>
            <w:vAlign w:val="center"/>
            <w:hideMark/>
          </w:tcPr>
          <w:p w14:paraId="25D7172F" w14:textId="77777777" w:rsidR="00000000" w:rsidRDefault="00195E73">
            <w:pPr>
              <w:rPr>
                <w:rFonts w:eastAsia="Times New Roman"/>
                <w:sz w:val="20"/>
                <w:szCs w:val="20"/>
              </w:rPr>
            </w:pPr>
          </w:p>
        </w:tc>
        <w:tc>
          <w:tcPr>
            <w:tcW w:w="0" w:type="auto"/>
            <w:vAlign w:val="center"/>
            <w:hideMark/>
          </w:tcPr>
          <w:p w14:paraId="47A121F1" w14:textId="77777777" w:rsidR="00000000" w:rsidRDefault="00195E73">
            <w:pPr>
              <w:rPr>
                <w:rFonts w:eastAsia="Times New Roman"/>
                <w:sz w:val="20"/>
                <w:szCs w:val="20"/>
              </w:rPr>
            </w:pPr>
          </w:p>
        </w:tc>
        <w:tc>
          <w:tcPr>
            <w:tcW w:w="0" w:type="auto"/>
            <w:vAlign w:val="center"/>
            <w:hideMark/>
          </w:tcPr>
          <w:p w14:paraId="0B9FF96A" w14:textId="77777777" w:rsidR="00000000" w:rsidRDefault="00195E73">
            <w:pPr>
              <w:rPr>
                <w:rFonts w:eastAsia="Times New Roman"/>
                <w:sz w:val="20"/>
                <w:szCs w:val="20"/>
              </w:rPr>
            </w:pPr>
          </w:p>
        </w:tc>
        <w:tc>
          <w:tcPr>
            <w:tcW w:w="0" w:type="auto"/>
            <w:vAlign w:val="center"/>
            <w:hideMark/>
          </w:tcPr>
          <w:p w14:paraId="13300957" w14:textId="77777777" w:rsidR="00000000" w:rsidRDefault="00195E73">
            <w:pPr>
              <w:rPr>
                <w:rFonts w:eastAsia="Times New Roman"/>
                <w:sz w:val="20"/>
                <w:szCs w:val="20"/>
              </w:rPr>
            </w:pPr>
          </w:p>
        </w:tc>
      </w:tr>
      <w:tr w:rsidR="00000000" w14:paraId="7F25292B" w14:textId="77777777">
        <w:trPr>
          <w:divId w:val="1134299048"/>
          <w:jc w:val="center"/>
        </w:trPr>
        <w:tc>
          <w:tcPr>
            <w:tcW w:w="0" w:type="auto"/>
            <w:gridSpan w:val="3"/>
            <w:shd w:val="clear" w:color="auto" w:fill="CCEEFF"/>
            <w:tcMar>
              <w:top w:w="30" w:type="dxa"/>
              <w:left w:w="20" w:type="dxa"/>
              <w:bottom w:w="30" w:type="dxa"/>
              <w:right w:w="20" w:type="dxa"/>
            </w:tcMar>
            <w:vAlign w:val="bottom"/>
            <w:hideMark/>
          </w:tcPr>
          <w:p w14:paraId="02A01F25" w14:textId="77777777" w:rsidR="00000000" w:rsidRDefault="00195E73">
            <w:pPr>
              <w:rPr>
                <w:rFonts w:eastAsia="Times New Roman"/>
              </w:rPr>
            </w:pPr>
            <w:r>
              <w:rPr>
                <w:rFonts w:eastAsia="Times New Roman"/>
                <w:color w:val="000000"/>
                <w:sz w:val="20"/>
                <w:szCs w:val="20"/>
              </w:rPr>
              <w:t>Operating costs and 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53D76E0F" w14:textId="77777777" w:rsidR="00000000" w:rsidRDefault="00195E73">
            <w:pPr>
              <w:jc w:val="right"/>
              <w:rPr>
                <w:rFonts w:eastAsia="Times New Roman"/>
              </w:rPr>
            </w:pPr>
            <w:r>
              <w:rPr>
                <w:rFonts w:eastAsia="Times New Roman"/>
                <w:color w:val="000000"/>
                <w:sz w:val="20"/>
                <w:szCs w:val="20"/>
              </w:rPr>
              <w:t>(24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AA6285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365875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06CFC2" w14:textId="77777777" w:rsidR="00000000" w:rsidRDefault="00195E73">
            <w:pPr>
              <w:jc w:val="right"/>
              <w:rPr>
                <w:rFonts w:eastAsia="Times New Roman"/>
              </w:rPr>
            </w:pPr>
            <w:r>
              <w:rPr>
                <w:rFonts w:eastAsia="Times New Roman"/>
                <w:color w:val="000000"/>
                <w:sz w:val="20"/>
                <w:szCs w:val="20"/>
              </w:rPr>
              <w:t>(28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55CF83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AAABB9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EC058C" w14:textId="77777777" w:rsidR="00000000" w:rsidRDefault="00195E73">
            <w:pPr>
              <w:jc w:val="right"/>
              <w:rPr>
                <w:rFonts w:eastAsia="Times New Roman"/>
              </w:rPr>
            </w:pPr>
            <w:r>
              <w:rPr>
                <w:rFonts w:eastAsia="Times New Roman"/>
                <w:color w:val="000000"/>
                <w:sz w:val="20"/>
                <w:szCs w:val="20"/>
              </w:rPr>
              <w:t>(21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39D965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F9D5035" w14:textId="77777777" w:rsidR="00000000" w:rsidRDefault="00195E73">
            <w:pPr>
              <w:rPr>
                <w:rFonts w:eastAsia="Times New Roman"/>
                <w:sz w:val="20"/>
                <w:szCs w:val="20"/>
              </w:rPr>
            </w:pPr>
          </w:p>
        </w:tc>
        <w:tc>
          <w:tcPr>
            <w:tcW w:w="0" w:type="auto"/>
            <w:vAlign w:val="center"/>
            <w:hideMark/>
          </w:tcPr>
          <w:p w14:paraId="511B01E8" w14:textId="77777777" w:rsidR="00000000" w:rsidRDefault="00195E73">
            <w:pPr>
              <w:rPr>
                <w:rFonts w:eastAsia="Times New Roman"/>
                <w:sz w:val="20"/>
                <w:szCs w:val="20"/>
              </w:rPr>
            </w:pPr>
          </w:p>
        </w:tc>
        <w:tc>
          <w:tcPr>
            <w:tcW w:w="0" w:type="auto"/>
            <w:vAlign w:val="center"/>
            <w:hideMark/>
          </w:tcPr>
          <w:p w14:paraId="1424F67A" w14:textId="77777777" w:rsidR="00000000" w:rsidRDefault="00195E73">
            <w:pPr>
              <w:rPr>
                <w:rFonts w:eastAsia="Times New Roman"/>
                <w:sz w:val="20"/>
                <w:szCs w:val="20"/>
              </w:rPr>
            </w:pPr>
          </w:p>
        </w:tc>
        <w:tc>
          <w:tcPr>
            <w:tcW w:w="0" w:type="auto"/>
            <w:vAlign w:val="center"/>
            <w:hideMark/>
          </w:tcPr>
          <w:p w14:paraId="69106DF3" w14:textId="77777777" w:rsidR="00000000" w:rsidRDefault="00195E73">
            <w:pPr>
              <w:rPr>
                <w:rFonts w:eastAsia="Times New Roman"/>
                <w:sz w:val="20"/>
                <w:szCs w:val="20"/>
              </w:rPr>
            </w:pPr>
          </w:p>
        </w:tc>
        <w:tc>
          <w:tcPr>
            <w:tcW w:w="0" w:type="auto"/>
            <w:vAlign w:val="center"/>
            <w:hideMark/>
          </w:tcPr>
          <w:p w14:paraId="3656F5FE" w14:textId="77777777" w:rsidR="00000000" w:rsidRDefault="00195E73">
            <w:pPr>
              <w:rPr>
                <w:rFonts w:eastAsia="Times New Roman"/>
                <w:sz w:val="20"/>
                <w:szCs w:val="20"/>
              </w:rPr>
            </w:pPr>
          </w:p>
        </w:tc>
        <w:tc>
          <w:tcPr>
            <w:tcW w:w="0" w:type="auto"/>
            <w:vAlign w:val="center"/>
            <w:hideMark/>
          </w:tcPr>
          <w:p w14:paraId="4127EEA2" w14:textId="77777777" w:rsidR="00000000" w:rsidRDefault="00195E73">
            <w:pPr>
              <w:rPr>
                <w:rFonts w:eastAsia="Times New Roman"/>
                <w:sz w:val="20"/>
                <w:szCs w:val="20"/>
              </w:rPr>
            </w:pPr>
          </w:p>
        </w:tc>
        <w:tc>
          <w:tcPr>
            <w:tcW w:w="0" w:type="auto"/>
            <w:vAlign w:val="center"/>
            <w:hideMark/>
          </w:tcPr>
          <w:p w14:paraId="33FAA321" w14:textId="77777777" w:rsidR="00000000" w:rsidRDefault="00195E73">
            <w:pPr>
              <w:rPr>
                <w:rFonts w:eastAsia="Times New Roman"/>
                <w:sz w:val="20"/>
                <w:szCs w:val="20"/>
              </w:rPr>
            </w:pPr>
          </w:p>
        </w:tc>
        <w:tc>
          <w:tcPr>
            <w:tcW w:w="0" w:type="auto"/>
            <w:vAlign w:val="center"/>
            <w:hideMark/>
          </w:tcPr>
          <w:p w14:paraId="31510081" w14:textId="77777777" w:rsidR="00000000" w:rsidRDefault="00195E73">
            <w:pPr>
              <w:rPr>
                <w:rFonts w:eastAsia="Times New Roman"/>
                <w:sz w:val="20"/>
                <w:szCs w:val="20"/>
              </w:rPr>
            </w:pPr>
          </w:p>
        </w:tc>
        <w:tc>
          <w:tcPr>
            <w:tcW w:w="0" w:type="auto"/>
            <w:vAlign w:val="center"/>
            <w:hideMark/>
          </w:tcPr>
          <w:p w14:paraId="0B8D34B3" w14:textId="77777777" w:rsidR="00000000" w:rsidRDefault="00195E73">
            <w:pPr>
              <w:rPr>
                <w:rFonts w:eastAsia="Times New Roman"/>
                <w:sz w:val="20"/>
                <w:szCs w:val="20"/>
              </w:rPr>
            </w:pPr>
          </w:p>
        </w:tc>
        <w:tc>
          <w:tcPr>
            <w:tcW w:w="0" w:type="auto"/>
            <w:vAlign w:val="center"/>
            <w:hideMark/>
          </w:tcPr>
          <w:p w14:paraId="432B76B7" w14:textId="77777777" w:rsidR="00000000" w:rsidRDefault="00195E73">
            <w:pPr>
              <w:rPr>
                <w:rFonts w:eastAsia="Times New Roman"/>
                <w:sz w:val="20"/>
                <w:szCs w:val="20"/>
              </w:rPr>
            </w:pPr>
          </w:p>
        </w:tc>
        <w:tc>
          <w:tcPr>
            <w:tcW w:w="0" w:type="auto"/>
            <w:vAlign w:val="center"/>
            <w:hideMark/>
          </w:tcPr>
          <w:p w14:paraId="75763374" w14:textId="77777777" w:rsidR="00000000" w:rsidRDefault="00195E73">
            <w:pPr>
              <w:rPr>
                <w:rFonts w:eastAsia="Times New Roman"/>
                <w:sz w:val="20"/>
                <w:szCs w:val="20"/>
              </w:rPr>
            </w:pPr>
          </w:p>
        </w:tc>
        <w:tc>
          <w:tcPr>
            <w:tcW w:w="0" w:type="auto"/>
            <w:vAlign w:val="center"/>
            <w:hideMark/>
          </w:tcPr>
          <w:p w14:paraId="52A0D556" w14:textId="77777777" w:rsidR="00000000" w:rsidRDefault="00195E73">
            <w:pPr>
              <w:rPr>
                <w:rFonts w:eastAsia="Times New Roman"/>
                <w:sz w:val="20"/>
                <w:szCs w:val="20"/>
              </w:rPr>
            </w:pPr>
          </w:p>
        </w:tc>
      </w:tr>
      <w:tr w:rsidR="00000000" w14:paraId="5EE9F960" w14:textId="77777777">
        <w:trPr>
          <w:divId w:val="1134299048"/>
          <w:jc w:val="center"/>
        </w:trPr>
        <w:tc>
          <w:tcPr>
            <w:tcW w:w="0" w:type="auto"/>
            <w:gridSpan w:val="3"/>
            <w:shd w:val="clear" w:color="auto" w:fill="FFFFFF"/>
            <w:tcMar>
              <w:top w:w="15" w:type="dxa"/>
              <w:left w:w="20" w:type="dxa"/>
              <w:bottom w:w="15" w:type="dxa"/>
              <w:right w:w="20" w:type="dxa"/>
            </w:tcMar>
            <w:vAlign w:val="bottom"/>
            <w:hideMark/>
          </w:tcPr>
          <w:p w14:paraId="4FA94A29"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C8EE45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0DA57C4" w14:textId="77777777" w:rsidR="00000000" w:rsidRDefault="00195E73">
            <w:pPr>
              <w:jc w:val="right"/>
              <w:rPr>
                <w:rFonts w:eastAsia="Times New Roman"/>
              </w:rPr>
            </w:pPr>
            <w:r>
              <w:rPr>
                <w:rFonts w:eastAsia="Times New Roman"/>
                <w:color w:val="000000"/>
                <w:sz w:val="20"/>
                <w:szCs w:val="20"/>
              </w:rPr>
              <w:t>(322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365A73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DCD8901"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10DD95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B586AC7" w14:textId="77777777" w:rsidR="00000000" w:rsidRDefault="00195E73">
            <w:pPr>
              <w:jc w:val="right"/>
              <w:rPr>
                <w:rFonts w:eastAsia="Times New Roman"/>
              </w:rPr>
            </w:pPr>
            <w:r>
              <w:rPr>
                <w:rFonts w:eastAsia="Times New Roman"/>
                <w:color w:val="000000"/>
                <w:sz w:val="20"/>
                <w:szCs w:val="20"/>
              </w:rPr>
              <w:t>(315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A050B4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E8EFC2A"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E6C886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4BA03FA" w14:textId="77777777" w:rsidR="00000000" w:rsidRDefault="00195E73">
            <w:pPr>
              <w:jc w:val="right"/>
              <w:rPr>
                <w:rFonts w:eastAsia="Times New Roman"/>
              </w:rPr>
            </w:pPr>
            <w:r>
              <w:rPr>
                <w:rFonts w:eastAsia="Times New Roman"/>
                <w:color w:val="000000"/>
                <w:sz w:val="20"/>
                <w:szCs w:val="20"/>
              </w:rPr>
              <w:t>(340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F3773F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D67FADC" w14:textId="77777777" w:rsidR="00000000" w:rsidRDefault="00195E73">
            <w:pPr>
              <w:rPr>
                <w:rFonts w:eastAsia="Times New Roman"/>
                <w:sz w:val="20"/>
                <w:szCs w:val="20"/>
              </w:rPr>
            </w:pPr>
          </w:p>
        </w:tc>
        <w:tc>
          <w:tcPr>
            <w:tcW w:w="0" w:type="auto"/>
            <w:vAlign w:val="center"/>
            <w:hideMark/>
          </w:tcPr>
          <w:p w14:paraId="690F8BC8" w14:textId="77777777" w:rsidR="00000000" w:rsidRDefault="00195E73">
            <w:pPr>
              <w:rPr>
                <w:rFonts w:eastAsia="Times New Roman"/>
                <w:sz w:val="20"/>
                <w:szCs w:val="20"/>
              </w:rPr>
            </w:pPr>
          </w:p>
        </w:tc>
        <w:tc>
          <w:tcPr>
            <w:tcW w:w="0" w:type="auto"/>
            <w:vAlign w:val="center"/>
            <w:hideMark/>
          </w:tcPr>
          <w:p w14:paraId="14726AE6" w14:textId="77777777" w:rsidR="00000000" w:rsidRDefault="00195E73">
            <w:pPr>
              <w:rPr>
                <w:rFonts w:eastAsia="Times New Roman"/>
                <w:sz w:val="20"/>
                <w:szCs w:val="20"/>
              </w:rPr>
            </w:pPr>
          </w:p>
        </w:tc>
        <w:tc>
          <w:tcPr>
            <w:tcW w:w="0" w:type="auto"/>
            <w:vAlign w:val="center"/>
            <w:hideMark/>
          </w:tcPr>
          <w:p w14:paraId="047BBAF9" w14:textId="77777777" w:rsidR="00000000" w:rsidRDefault="00195E73">
            <w:pPr>
              <w:rPr>
                <w:rFonts w:eastAsia="Times New Roman"/>
                <w:sz w:val="20"/>
                <w:szCs w:val="20"/>
              </w:rPr>
            </w:pPr>
          </w:p>
        </w:tc>
        <w:tc>
          <w:tcPr>
            <w:tcW w:w="0" w:type="auto"/>
            <w:vAlign w:val="center"/>
            <w:hideMark/>
          </w:tcPr>
          <w:p w14:paraId="19C08587" w14:textId="77777777" w:rsidR="00000000" w:rsidRDefault="00195E73">
            <w:pPr>
              <w:rPr>
                <w:rFonts w:eastAsia="Times New Roman"/>
                <w:sz w:val="20"/>
                <w:szCs w:val="20"/>
              </w:rPr>
            </w:pPr>
          </w:p>
        </w:tc>
        <w:tc>
          <w:tcPr>
            <w:tcW w:w="0" w:type="auto"/>
            <w:vAlign w:val="center"/>
            <w:hideMark/>
          </w:tcPr>
          <w:p w14:paraId="09CF3FD2" w14:textId="77777777" w:rsidR="00000000" w:rsidRDefault="00195E73">
            <w:pPr>
              <w:rPr>
                <w:rFonts w:eastAsia="Times New Roman"/>
                <w:sz w:val="20"/>
                <w:szCs w:val="20"/>
              </w:rPr>
            </w:pPr>
          </w:p>
        </w:tc>
        <w:tc>
          <w:tcPr>
            <w:tcW w:w="0" w:type="auto"/>
            <w:vAlign w:val="center"/>
            <w:hideMark/>
          </w:tcPr>
          <w:p w14:paraId="6ED02278" w14:textId="77777777" w:rsidR="00000000" w:rsidRDefault="00195E73">
            <w:pPr>
              <w:rPr>
                <w:rFonts w:eastAsia="Times New Roman"/>
                <w:sz w:val="20"/>
                <w:szCs w:val="20"/>
              </w:rPr>
            </w:pPr>
          </w:p>
        </w:tc>
        <w:tc>
          <w:tcPr>
            <w:tcW w:w="0" w:type="auto"/>
            <w:vAlign w:val="center"/>
            <w:hideMark/>
          </w:tcPr>
          <w:p w14:paraId="41C744DD" w14:textId="77777777" w:rsidR="00000000" w:rsidRDefault="00195E73">
            <w:pPr>
              <w:rPr>
                <w:rFonts w:eastAsia="Times New Roman"/>
                <w:sz w:val="20"/>
                <w:szCs w:val="20"/>
              </w:rPr>
            </w:pPr>
          </w:p>
        </w:tc>
        <w:tc>
          <w:tcPr>
            <w:tcW w:w="0" w:type="auto"/>
            <w:vAlign w:val="center"/>
            <w:hideMark/>
          </w:tcPr>
          <w:p w14:paraId="14A9A216" w14:textId="77777777" w:rsidR="00000000" w:rsidRDefault="00195E73">
            <w:pPr>
              <w:rPr>
                <w:rFonts w:eastAsia="Times New Roman"/>
                <w:sz w:val="20"/>
                <w:szCs w:val="20"/>
              </w:rPr>
            </w:pPr>
          </w:p>
        </w:tc>
        <w:tc>
          <w:tcPr>
            <w:tcW w:w="0" w:type="auto"/>
            <w:vAlign w:val="center"/>
            <w:hideMark/>
          </w:tcPr>
          <w:p w14:paraId="4ABBEAA0" w14:textId="77777777" w:rsidR="00000000" w:rsidRDefault="00195E73">
            <w:pPr>
              <w:rPr>
                <w:rFonts w:eastAsia="Times New Roman"/>
                <w:sz w:val="20"/>
                <w:szCs w:val="20"/>
              </w:rPr>
            </w:pPr>
          </w:p>
        </w:tc>
        <w:tc>
          <w:tcPr>
            <w:tcW w:w="0" w:type="auto"/>
            <w:vAlign w:val="center"/>
            <w:hideMark/>
          </w:tcPr>
          <w:p w14:paraId="2624E4A7" w14:textId="77777777" w:rsidR="00000000" w:rsidRDefault="00195E73">
            <w:pPr>
              <w:rPr>
                <w:rFonts w:eastAsia="Times New Roman"/>
                <w:sz w:val="20"/>
                <w:szCs w:val="20"/>
              </w:rPr>
            </w:pPr>
          </w:p>
        </w:tc>
        <w:tc>
          <w:tcPr>
            <w:tcW w:w="0" w:type="auto"/>
            <w:vAlign w:val="center"/>
            <w:hideMark/>
          </w:tcPr>
          <w:p w14:paraId="70649D0D" w14:textId="77777777" w:rsidR="00000000" w:rsidRDefault="00195E73">
            <w:pPr>
              <w:rPr>
                <w:rFonts w:eastAsia="Times New Roman"/>
                <w:sz w:val="20"/>
                <w:szCs w:val="20"/>
              </w:rPr>
            </w:pPr>
          </w:p>
        </w:tc>
      </w:tr>
      <w:tr w:rsidR="00000000" w14:paraId="0050A9FA" w14:textId="77777777">
        <w:trPr>
          <w:divId w:val="1134299048"/>
          <w:jc w:val="center"/>
        </w:trPr>
        <w:tc>
          <w:tcPr>
            <w:tcW w:w="0" w:type="auto"/>
            <w:gridSpan w:val="3"/>
            <w:shd w:val="clear" w:color="auto" w:fill="CCEEFF"/>
            <w:tcMar>
              <w:top w:w="30" w:type="dxa"/>
              <w:left w:w="20" w:type="dxa"/>
              <w:bottom w:w="30" w:type="dxa"/>
              <w:right w:w="20" w:type="dxa"/>
            </w:tcMar>
            <w:vAlign w:val="bottom"/>
            <w:hideMark/>
          </w:tcPr>
          <w:p w14:paraId="5110C93E" w14:textId="77777777" w:rsidR="00000000" w:rsidRDefault="00195E73">
            <w:pPr>
              <w:rPr>
                <w:rFonts w:eastAsia="Times New Roman"/>
              </w:rPr>
            </w:pPr>
            <w:r>
              <w:rPr>
                <w:rFonts w:eastAsia="Times New Roman"/>
                <w:b/>
                <w:bCs/>
                <w:color w:val="000000"/>
                <w:sz w:val="20"/>
                <w:szCs w:val="20"/>
              </w:rPr>
              <w:t>Investing Activities</w:t>
            </w:r>
            <w:r>
              <w:rPr>
                <w:rFonts w:eastAsia="Times New Roman"/>
                <w:b/>
                <w:bCs/>
                <w:color w:val="000000"/>
                <w:sz w:val="20"/>
                <w:szCs w:val="20"/>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C05228C"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C0B123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FC70BD9"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21E2FF7"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3B22F00C" w14:textId="77777777" w:rsidR="00000000" w:rsidRDefault="00195E73">
            <w:pPr>
              <w:rPr>
                <w:rFonts w:eastAsia="Times New Roman"/>
                <w:sz w:val="20"/>
                <w:szCs w:val="20"/>
              </w:rPr>
            </w:pPr>
          </w:p>
        </w:tc>
        <w:tc>
          <w:tcPr>
            <w:tcW w:w="0" w:type="auto"/>
            <w:vAlign w:val="center"/>
            <w:hideMark/>
          </w:tcPr>
          <w:p w14:paraId="465FC39E" w14:textId="77777777" w:rsidR="00000000" w:rsidRDefault="00195E73">
            <w:pPr>
              <w:rPr>
                <w:rFonts w:eastAsia="Times New Roman"/>
                <w:sz w:val="20"/>
                <w:szCs w:val="20"/>
              </w:rPr>
            </w:pPr>
          </w:p>
        </w:tc>
        <w:tc>
          <w:tcPr>
            <w:tcW w:w="0" w:type="auto"/>
            <w:vAlign w:val="center"/>
            <w:hideMark/>
          </w:tcPr>
          <w:p w14:paraId="62E05445" w14:textId="77777777" w:rsidR="00000000" w:rsidRDefault="00195E73">
            <w:pPr>
              <w:rPr>
                <w:rFonts w:eastAsia="Times New Roman"/>
                <w:sz w:val="20"/>
                <w:szCs w:val="20"/>
              </w:rPr>
            </w:pPr>
          </w:p>
        </w:tc>
        <w:tc>
          <w:tcPr>
            <w:tcW w:w="0" w:type="auto"/>
            <w:vAlign w:val="center"/>
            <w:hideMark/>
          </w:tcPr>
          <w:p w14:paraId="530DCD08" w14:textId="77777777" w:rsidR="00000000" w:rsidRDefault="00195E73">
            <w:pPr>
              <w:rPr>
                <w:rFonts w:eastAsia="Times New Roman"/>
                <w:sz w:val="20"/>
                <w:szCs w:val="20"/>
              </w:rPr>
            </w:pPr>
          </w:p>
        </w:tc>
        <w:tc>
          <w:tcPr>
            <w:tcW w:w="0" w:type="auto"/>
            <w:vAlign w:val="center"/>
            <w:hideMark/>
          </w:tcPr>
          <w:p w14:paraId="537F904F" w14:textId="77777777" w:rsidR="00000000" w:rsidRDefault="00195E73">
            <w:pPr>
              <w:rPr>
                <w:rFonts w:eastAsia="Times New Roman"/>
                <w:sz w:val="20"/>
                <w:szCs w:val="20"/>
              </w:rPr>
            </w:pPr>
          </w:p>
        </w:tc>
        <w:tc>
          <w:tcPr>
            <w:tcW w:w="0" w:type="auto"/>
            <w:vAlign w:val="center"/>
            <w:hideMark/>
          </w:tcPr>
          <w:p w14:paraId="5FD00FD2" w14:textId="77777777" w:rsidR="00000000" w:rsidRDefault="00195E73">
            <w:pPr>
              <w:rPr>
                <w:rFonts w:eastAsia="Times New Roman"/>
                <w:sz w:val="20"/>
                <w:szCs w:val="20"/>
              </w:rPr>
            </w:pPr>
          </w:p>
        </w:tc>
        <w:tc>
          <w:tcPr>
            <w:tcW w:w="0" w:type="auto"/>
            <w:vAlign w:val="center"/>
            <w:hideMark/>
          </w:tcPr>
          <w:p w14:paraId="4BFBE56C" w14:textId="77777777" w:rsidR="00000000" w:rsidRDefault="00195E73">
            <w:pPr>
              <w:rPr>
                <w:rFonts w:eastAsia="Times New Roman"/>
                <w:sz w:val="20"/>
                <w:szCs w:val="20"/>
              </w:rPr>
            </w:pPr>
          </w:p>
        </w:tc>
        <w:tc>
          <w:tcPr>
            <w:tcW w:w="0" w:type="auto"/>
            <w:vAlign w:val="center"/>
            <w:hideMark/>
          </w:tcPr>
          <w:p w14:paraId="199D3CEC" w14:textId="77777777" w:rsidR="00000000" w:rsidRDefault="00195E73">
            <w:pPr>
              <w:rPr>
                <w:rFonts w:eastAsia="Times New Roman"/>
                <w:sz w:val="20"/>
                <w:szCs w:val="20"/>
              </w:rPr>
            </w:pPr>
          </w:p>
        </w:tc>
        <w:tc>
          <w:tcPr>
            <w:tcW w:w="0" w:type="auto"/>
            <w:vAlign w:val="center"/>
            <w:hideMark/>
          </w:tcPr>
          <w:p w14:paraId="4036F7A9" w14:textId="77777777" w:rsidR="00000000" w:rsidRDefault="00195E73">
            <w:pPr>
              <w:rPr>
                <w:rFonts w:eastAsia="Times New Roman"/>
                <w:sz w:val="20"/>
                <w:szCs w:val="20"/>
              </w:rPr>
            </w:pPr>
          </w:p>
        </w:tc>
        <w:tc>
          <w:tcPr>
            <w:tcW w:w="0" w:type="auto"/>
            <w:vAlign w:val="center"/>
            <w:hideMark/>
          </w:tcPr>
          <w:p w14:paraId="17C7E4A4" w14:textId="77777777" w:rsidR="00000000" w:rsidRDefault="00195E73">
            <w:pPr>
              <w:rPr>
                <w:rFonts w:eastAsia="Times New Roman"/>
                <w:sz w:val="20"/>
                <w:szCs w:val="20"/>
              </w:rPr>
            </w:pPr>
          </w:p>
        </w:tc>
        <w:tc>
          <w:tcPr>
            <w:tcW w:w="0" w:type="auto"/>
            <w:vAlign w:val="center"/>
            <w:hideMark/>
          </w:tcPr>
          <w:p w14:paraId="6A9B1DAD" w14:textId="77777777" w:rsidR="00000000" w:rsidRDefault="00195E73">
            <w:pPr>
              <w:rPr>
                <w:rFonts w:eastAsia="Times New Roman"/>
                <w:sz w:val="20"/>
                <w:szCs w:val="20"/>
              </w:rPr>
            </w:pPr>
          </w:p>
        </w:tc>
        <w:tc>
          <w:tcPr>
            <w:tcW w:w="0" w:type="auto"/>
            <w:vAlign w:val="center"/>
            <w:hideMark/>
          </w:tcPr>
          <w:p w14:paraId="5BCE553B" w14:textId="77777777" w:rsidR="00000000" w:rsidRDefault="00195E73">
            <w:pPr>
              <w:rPr>
                <w:rFonts w:eastAsia="Times New Roman"/>
                <w:sz w:val="20"/>
                <w:szCs w:val="20"/>
              </w:rPr>
            </w:pPr>
          </w:p>
        </w:tc>
        <w:tc>
          <w:tcPr>
            <w:tcW w:w="0" w:type="auto"/>
            <w:vAlign w:val="center"/>
            <w:hideMark/>
          </w:tcPr>
          <w:p w14:paraId="15A89B0B" w14:textId="77777777" w:rsidR="00000000" w:rsidRDefault="00195E73">
            <w:pPr>
              <w:rPr>
                <w:rFonts w:eastAsia="Times New Roman"/>
                <w:sz w:val="20"/>
                <w:szCs w:val="20"/>
              </w:rPr>
            </w:pPr>
          </w:p>
        </w:tc>
      </w:tr>
      <w:tr w:rsidR="00000000" w14:paraId="16ECCF22" w14:textId="77777777">
        <w:trPr>
          <w:divId w:val="1134299048"/>
          <w:jc w:val="center"/>
        </w:trPr>
        <w:tc>
          <w:tcPr>
            <w:tcW w:w="0" w:type="auto"/>
            <w:gridSpan w:val="3"/>
            <w:shd w:val="clear" w:color="auto" w:fill="FFFFFF"/>
            <w:tcMar>
              <w:top w:w="30" w:type="dxa"/>
              <w:left w:w="20" w:type="dxa"/>
              <w:bottom w:w="30" w:type="dxa"/>
              <w:right w:w="20" w:type="dxa"/>
            </w:tcMar>
            <w:vAlign w:val="bottom"/>
            <w:hideMark/>
          </w:tcPr>
          <w:p w14:paraId="3195790B" w14:textId="77777777" w:rsidR="00000000" w:rsidRDefault="00195E73">
            <w:pPr>
              <w:rPr>
                <w:rFonts w:eastAsia="Times New Roman"/>
              </w:rPr>
            </w:pPr>
            <w:r>
              <w:rPr>
                <w:rFonts w:eastAsia="Times New Roman"/>
                <w:color w:val="000000"/>
                <w:sz w:val="20"/>
                <w:szCs w:val="20"/>
              </w:rPr>
              <w:t>Proceeds from sale of businesses and asset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14:paraId="4E516EB1"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5106068" w14:textId="77777777" w:rsidR="00000000" w:rsidRDefault="00195E73">
            <w:pPr>
              <w:jc w:val="right"/>
              <w:rPr>
                <w:rFonts w:eastAsia="Times New Roman"/>
              </w:rPr>
            </w:pPr>
            <w:r>
              <w:rPr>
                <w:rFonts w:eastAsia="Times New Roman"/>
                <w:color w:val="000000"/>
                <w:sz w:val="20"/>
                <w:szCs w:val="20"/>
              </w:rPr>
              <w:t>463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04F430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BCB6E28"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64DF615"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7E66E1A" w14:textId="77777777" w:rsidR="00000000" w:rsidRDefault="00195E73">
            <w:pPr>
              <w:jc w:val="right"/>
              <w:rPr>
                <w:rFonts w:eastAsia="Times New Roman"/>
              </w:rPr>
            </w:pPr>
            <w:r>
              <w:rPr>
                <w:rFonts w:eastAsia="Times New Roman"/>
                <w:color w:val="000000"/>
                <w:sz w:val="20"/>
                <w:szCs w:val="20"/>
              </w:rPr>
              <w:t>3,187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E1AB98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24D5BD3"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6CC85BF5"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D7CA996" w14:textId="77777777" w:rsidR="00000000" w:rsidRDefault="00195E73">
            <w:pPr>
              <w:jc w:val="right"/>
              <w:rPr>
                <w:rFonts w:eastAsia="Times New Roman"/>
              </w:rPr>
            </w:pPr>
            <w:r>
              <w:rPr>
                <w:rFonts w:eastAsia="Times New Roman"/>
                <w:color w:val="000000"/>
                <w:sz w:val="20"/>
                <w:szCs w:val="20"/>
              </w:rPr>
              <w:t>1,808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282B95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C0CC38D" w14:textId="77777777" w:rsidR="00000000" w:rsidRDefault="00195E73">
            <w:pPr>
              <w:rPr>
                <w:rFonts w:eastAsia="Times New Roman"/>
                <w:sz w:val="20"/>
                <w:szCs w:val="20"/>
              </w:rPr>
            </w:pPr>
          </w:p>
        </w:tc>
        <w:tc>
          <w:tcPr>
            <w:tcW w:w="0" w:type="auto"/>
            <w:vAlign w:val="center"/>
            <w:hideMark/>
          </w:tcPr>
          <w:p w14:paraId="50B6D19D" w14:textId="77777777" w:rsidR="00000000" w:rsidRDefault="00195E73">
            <w:pPr>
              <w:rPr>
                <w:rFonts w:eastAsia="Times New Roman"/>
                <w:sz w:val="20"/>
                <w:szCs w:val="20"/>
              </w:rPr>
            </w:pPr>
          </w:p>
        </w:tc>
        <w:tc>
          <w:tcPr>
            <w:tcW w:w="0" w:type="auto"/>
            <w:vAlign w:val="center"/>
            <w:hideMark/>
          </w:tcPr>
          <w:p w14:paraId="10944243" w14:textId="77777777" w:rsidR="00000000" w:rsidRDefault="00195E73">
            <w:pPr>
              <w:rPr>
                <w:rFonts w:eastAsia="Times New Roman"/>
                <w:sz w:val="20"/>
                <w:szCs w:val="20"/>
              </w:rPr>
            </w:pPr>
          </w:p>
        </w:tc>
        <w:tc>
          <w:tcPr>
            <w:tcW w:w="0" w:type="auto"/>
            <w:vAlign w:val="center"/>
            <w:hideMark/>
          </w:tcPr>
          <w:p w14:paraId="22BED018" w14:textId="77777777" w:rsidR="00000000" w:rsidRDefault="00195E73">
            <w:pPr>
              <w:rPr>
                <w:rFonts w:eastAsia="Times New Roman"/>
                <w:sz w:val="20"/>
                <w:szCs w:val="20"/>
              </w:rPr>
            </w:pPr>
          </w:p>
        </w:tc>
        <w:tc>
          <w:tcPr>
            <w:tcW w:w="0" w:type="auto"/>
            <w:vAlign w:val="center"/>
            <w:hideMark/>
          </w:tcPr>
          <w:p w14:paraId="0D41F4B3" w14:textId="77777777" w:rsidR="00000000" w:rsidRDefault="00195E73">
            <w:pPr>
              <w:rPr>
                <w:rFonts w:eastAsia="Times New Roman"/>
                <w:sz w:val="20"/>
                <w:szCs w:val="20"/>
              </w:rPr>
            </w:pPr>
          </w:p>
        </w:tc>
        <w:tc>
          <w:tcPr>
            <w:tcW w:w="0" w:type="auto"/>
            <w:vAlign w:val="center"/>
            <w:hideMark/>
          </w:tcPr>
          <w:p w14:paraId="3655318C" w14:textId="77777777" w:rsidR="00000000" w:rsidRDefault="00195E73">
            <w:pPr>
              <w:rPr>
                <w:rFonts w:eastAsia="Times New Roman"/>
                <w:sz w:val="20"/>
                <w:szCs w:val="20"/>
              </w:rPr>
            </w:pPr>
          </w:p>
        </w:tc>
        <w:tc>
          <w:tcPr>
            <w:tcW w:w="0" w:type="auto"/>
            <w:vAlign w:val="center"/>
            <w:hideMark/>
          </w:tcPr>
          <w:p w14:paraId="7D5A9C60" w14:textId="77777777" w:rsidR="00000000" w:rsidRDefault="00195E73">
            <w:pPr>
              <w:rPr>
                <w:rFonts w:eastAsia="Times New Roman"/>
                <w:sz w:val="20"/>
                <w:szCs w:val="20"/>
              </w:rPr>
            </w:pPr>
          </w:p>
        </w:tc>
        <w:tc>
          <w:tcPr>
            <w:tcW w:w="0" w:type="auto"/>
            <w:vAlign w:val="center"/>
            <w:hideMark/>
          </w:tcPr>
          <w:p w14:paraId="182E0AE2" w14:textId="77777777" w:rsidR="00000000" w:rsidRDefault="00195E73">
            <w:pPr>
              <w:rPr>
                <w:rFonts w:eastAsia="Times New Roman"/>
                <w:sz w:val="20"/>
                <w:szCs w:val="20"/>
              </w:rPr>
            </w:pPr>
          </w:p>
        </w:tc>
        <w:tc>
          <w:tcPr>
            <w:tcW w:w="0" w:type="auto"/>
            <w:vAlign w:val="center"/>
            <w:hideMark/>
          </w:tcPr>
          <w:p w14:paraId="39644B41" w14:textId="77777777" w:rsidR="00000000" w:rsidRDefault="00195E73">
            <w:pPr>
              <w:rPr>
                <w:rFonts w:eastAsia="Times New Roman"/>
                <w:sz w:val="20"/>
                <w:szCs w:val="20"/>
              </w:rPr>
            </w:pPr>
          </w:p>
        </w:tc>
        <w:tc>
          <w:tcPr>
            <w:tcW w:w="0" w:type="auto"/>
            <w:vAlign w:val="center"/>
            <w:hideMark/>
          </w:tcPr>
          <w:p w14:paraId="57A7DD92" w14:textId="77777777" w:rsidR="00000000" w:rsidRDefault="00195E73">
            <w:pPr>
              <w:rPr>
                <w:rFonts w:eastAsia="Times New Roman"/>
                <w:sz w:val="20"/>
                <w:szCs w:val="20"/>
              </w:rPr>
            </w:pPr>
          </w:p>
        </w:tc>
        <w:tc>
          <w:tcPr>
            <w:tcW w:w="0" w:type="auto"/>
            <w:vAlign w:val="center"/>
            <w:hideMark/>
          </w:tcPr>
          <w:p w14:paraId="5DEC0586" w14:textId="77777777" w:rsidR="00000000" w:rsidRDefault="00195E73">
            <w:pPr>
              <w:rPr>
                <w:rFonts w:eastAsia="Times New Roman"/>
                <w:sz w:val="20"/>
                <w:szCs w:val="20"/>
              </w:rPr>
            </w:pPr>
          </w:p>
        </w:tc>
        <w:tc>
          <w:tcPr>
            <w:tcW w:w="0" w:type="auto"/>
            <w:vAlign w:val="center"/>
            <w:hideMark/>
          </w:tcPr>
          <w:p w14:paraId="429CDD91" w14:textId="77777777" w:rsidR="00000000" w:rsidRDefault="00195E73">
            <w:pPr>
              <w:rPr>
                <w:rFonts w:eastAsia="Times New Roman"/>
                <w:sz w:val="20"/>
                <w:szCs w:val="20"/>
              </w:rPr>
            </w:pPr>
          </w:p>
        </w:tc>
      </w:tr>
      <w:tr w:rsidR="00000000" w14:paraId="54C31E6E" w14:textId="77777777">
        <w:trPr>
          <w:divId w:val="1134299048"/>
          <w:jc w:val="center"/>
        </w:trPr>
        <w:tc>
          <w:tcPr>
            <w:tcW w:w="0" w:type="auto"/>
            <w:gridSpan w:val="3"/>
            <w:shd w:val="clear" w:color="auto" w:fill="CCEEFF"/>
            <w:tcMar>
              <w:top w:w="30" w:type="dxa"/>
              <w:left w:w="20" w:type="dxa"/>
              <w:bottom w:w="30" w:type="dxa"/>
              <w:right w:w="20" w:type="dxa"/>
            </w:tcMar>
            <w:vAlign w:val="bottom"/>
            <w:hideMark/>
          </w:tcPr>
          <w:p w14:paraId="15D2FB75" w14:textId="77777777" w:rsidR="00000000" w:rsidRDefault="00195E73">
            <w:pPr>
              <w:rPr>
                <w:rFonts w:eastAsia="Times New Roman"/>
              </w:rPr>
            </w:pPr>
            <w:r>
              <w:rPr>
                <w:rFonts w:eastAsia="Times New Roman"/>
                <w:color w:val="000000"/>
                <w:sz w:val="20"/>
                <w:szCs w:val="20"/>
              </w:rPr>
              <w:t>Proceeds from sale of investment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5A058282" w14:textId="77777777" w:rsidR="00000000" w:rsidRDefault="00195E73">
            <w:pPr>
              <w:jc w:val="right"/>
              <w:rPr>
                <w:rFonts w:eastAsia="Times New Roman"/>
              </w:rPr>
            </w:pPr>
            <w:r>
              <w:rPr>
                <w:rFonts w:eastAsia="Times New Roman"/>
                <w:color w:val="000000"/>
                <w:sz w:val="20"/>
                <w:szCs w:val="20"/>
              </w:rPr>
              <w:t>458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6C884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B3BC9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57CA2C"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2F3CCA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DFE23B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ADEF0A"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0B8235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3303F69" w14:textId="77777777" w:rsidR="00000000" w:rsidRDefault="00195E73">
            <w:pPr>
              <w:rPr>
                <w:rFonts w:eastAsia="Times New Roman"/>
                <w:sz w:val="20"/>
                <w:szCs w:val="20"/>
              </w:rPr>
            </w:pPr>
          </w:p>
        </w:tc>
        <w:tc>
          <w:tcPr>
            <w:tcW w:w="0" w:type="auto"/>
            <w:vAlign w:val="center"/>
            <w:hideMark/>
          </w:tcPr>
          <w:p w14:paraId="0CFD5638" w14:textId="77777777" w:rsidR="00000000" w:rsidRDefault="00195E73">
            <w:pPr>
              <w:rPr>
                <w:rFonts w:eastAsia="Times New Roman"/>
                <w:sz w:val="20"/>
                <w:szCs w:val="20"/>
              </w:rPr>
            </w:pPr>
          </w:p>
        </w:tc>
        <w:tc>
          <w:tcPr>
            <w:tcW w:w="0" w:type="auto"/>
            <w:vAlign w:val="center"/>
            <w:hideMark/>
          </w:tcPr>
          <w:p w14:paraId="6DE16939" w14:textId="77777777" w:rsidR="00000000" w:rsidRDefault="00195E73">
            <w:pPr>
              <w:rPr>
                <w:rFonts w:eastAsia="Times New Roman"/>
                <w:sz w:val="20"/>
                <w:szCs w:val="20"/>
              </w:rPr>
            </w:pPr>
          </w:p>
        </w:tc>
        <w:tc>
          <w:tcPr>
            <w:tcW w:w="0" w:type="auto"/>
            <w:vAlign w:val="center"/>
            <w:hideMark/>
          </w:tcPr>
          <w:p w14:paraId="7B8EA976" w14:textId="77777777" w:rsidR="00000000" w:rsidRDefault="00195E73">
            <w:pPr>
              <w:rPr>
                <w:rFonts w:eastAsia="Times New Roman"/>
                <w:sz w:val="20"/>
                <w:szCs w:val="20"/>
              </w:rPr>
            </w:pPr>
          </w:p>
        </w:tc>
        <w:tc>
          <w:tcPr>
            <w:tcW w:w="0" w:type="auto"/>
            <w:vAlign w:val="center"/>
            <w:hideMark/>
          </w:tcPr>
          <w:p w14:paraId="2B081A84" w14:textId="77777777" w:rsidR="00000000" w:rsidRDefault="00195E73">
            <w:pPr>
              <w:rPr>
                <w:rFonts w:eastAsia="Times New Roman"/>
                <w:sz w:val="20"/>
                <w:szCs w:val="20"/>
              </w:rPr>
            </w:pPr>
          </w:p>
        </w:tc>
        <w:tc>
          <w:tcPr>
            <w:tcW w:w="0" w:type="auto"/>
            <w:vAlign w:val="center"/>
            <w:hideMark/>
          </w:tcPr>
          <w:p w14:paraId="70EDFD29" w14:textId="77777777" w:rsidR="00000000" w:rsidRDefault="00195E73">
            <w:pPr>
              <w:rPr>
                <w:rFonts w:eastAsia="Times New Roman"/>
                <w:sz w:val="20"/>
                <w:szCs w:val="20"/>
              </w:rPr>
            </w:pPr>
          </w:p>
        </w:tc>
        <w:tc>
          <w:tcPr>
            <w:tcW w:w="0" w:type="auto"/>
            <w:vAlign w:val="center"/>
            <w:hideMark/>
          </w:tcPr>
          <w:p w14:paraId="75160B79" w14:textId="77777777" w:rsidR="00000000" w:rsidRDefault="00195E73">
            <w:pPr>
              <w:rPr>
                <w:rFonts w:eastAsia="Times New Roman"/>
                <w:sz w:val="20"/>
                <w:szCs w:val="20"/>
              </w:rPr>
            </w:pPr>
          </w:p>
        </w:tc>
        <w:tc>
          <w:tcPr>
            <w:tcW w:w="0" w:type="auto"/>
            <w:vAlign w:val="center"/>
            <w:hideMark/>
          </w:tcPr>
          <w:p w14:paraId="69C30B47" w14:textId="77777777" w:rsidR="00000000" w:rsidRDefault="00195E73">
            <w:pPr>
              <w:rPr>
                <w:rFonts w:eastAsia="Times New Roman"/>
                <w:sz w:val="20"/>
                <w:szCs w:val="20"/>
              </w:rPr>
            </w:pPr>
          </w:p>
        </w:tc>
        <w:tc>
          <w:tcPr>
            <w:tcW w:w="0" w:type="auto"/>
            <w:vAlign w:val="center"/>
            <w:hideMark/>
          </w:tcPr>
          <w:p w14:paraId="7A949967" w14:textId="77777777" w:rsidR="00000000" w:rsidRDefault="00195E73">
            <w:pPr>
              <w:rPr>
                <w:rFonts w:eastAsia="Times New Roman"/>
                <w:sz w:val="20"/>
                <w:szCs w:val="20"/>
              </w:rPr>
            </w:pPr>
          </w:p>
        </w:tc>
        <w:tc>
          <w:tcPr>
            <w:tcW w:w="0" w:type="auto"/>
            <w:vAlign w:val="center"/>
            <w:hideMark/>
          </w:tcPr>
          <w:p w14:paraId="31CDF2DD" w14:textId="77777777" w:rsidR="00000000" w:rsidRDefault="00195E73">
            <w:pPr>
              <w:rPr>
                <w:rFonts w:eastAsia="Times New Roman"/>
                <w:sz w:val="20"/>
                <w:szCs w:val="20"/>
              </w:rPr>
            </w:pPr>
          </w:p>
        </w:tc>
        <w:tc>
          <w:tcPr>
            <w:tcW w:w="0" w:type="auto"/>
            <w:vAlign w:val="center"/>
            <w:hideMark/>
          </w:tcPr>
          <w:p w14:paraId="44EAD83C" w14:textId="77777777" w:rsidR="00000000" w:rsidRDefault="00195E73">
            <w:pPr>
              <w:rPr>
                <w:rFonts w:eastAsia="Times New Roman"/>
                <w:sz w:val="20"/>
                <w:szCs w:val="20"/>
              </w:rPr>
            </w:pPr>
          </w:p>
        </w:tc>
        <w:tc>
          <w:tcPr>
            <w:tcW w:w="0" w:type="auto"/>
            <w:vAlign w:val="center"/>
            <w:hideMark/>
          </w:tcPr>
          <w:p w14:paraId="0076485F" w14:textId="77777777" w:rsidR="00000000" w:rsidRDefault="00195E73">
            <w:pPr>
              <w:rPr>
                <w:rFonts w:eastAsia="Times New Roman"/>
                <w:sz w:val="20"/>
                <w:szCs w:val="20"/>
              </w:rPr>
            </w:pPr>
          </w:p>
        </w:tc>
      </w:tr>
      <w:tr w:rsidR="00000000" w14:paraId="27C4D634" w14:textId="77777777">
        <w:trPr>
          <w:divId w:val="1134299048"/>
          <w:jc w:val="center"/>
        </w:trPr>
        <w:tc>
          <w:tcPr>
            <w:tcW w:w="0" w:type="auto"/>
            <w:gridSpan w:val="3"/>
            <w:shd w:val="clear" w:color="auto" w:fill="FFFFFF"/>
            <w:tcMar>
              <w:top w:w="30" w:type="dxa"/>
              <w:left w:w="20" w:type="dxa"/>
              <w:bottom w:w="30" w:type="dxa"/>
              <w:right w:w="20" w:type="dxa"/>
            </w:tcMar>
            <w:vAlign w:val="bottom"/>
            <w:hideMark/>
          </w:tcPr>
          <w:p w14:paraId="5C734B76" w14:textId="77777777" w:rsidR="00000000" w:rsidRDefault="00195E73">
            <w:pPr>
              <w:rPr>
                <w:rFonts w:eastAsia="Times New Roman"/>
              </w:rPr>
            </w:pPr>
            <w:r>
              <w:rPr>
                <w:rFonts w:eastAsia="Times New Roman"/>
                <w:color w:val="000000"/>
                <w:sz w:val="20"/>
                <w:szCs w:val="20"/>
              </w:rPr>
              <w:t>Proceeds from sale of CVR Refining common units to CVR Energ</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14:paraId="4E22C994" w14:textId="77777777" w:rsidR="00000000" w:rsidRDefault="00195E73">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79C193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A7F524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835F3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7E834B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23A4C3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8B5CC9"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A734D5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46A9D35" w14:textId="77777777" w:rsidR="00000000" w:rsidRDefault="00195E73">
            <w:pPr>
              <w:rPr>
                <w:rFonts w:eastAsia="Times New Roman"/>
                <w:sz w:val="20"/>
                <w:szCs w:val="20"/>
              </w:rPr>
            </w:pPr>
          </w:p>
        </w:tc>
        <w:tc>
          <w:tcPr>
            <w:tcW w:w="0" w:type="auto"/>
            <w:vAlign w:val="center"/>
            <w:hideMark/>
          </w:tcPr>
          <w:p w14:paraId="291DC03D" w14:textId="77777777" w:rsidR="00000000" w:rsidRDefault="00195E73">
            <w:pPr>
              <w:rPr>
                <w:rFonts w:eastAsia="Times New Roman"/>
                <w:sz w:val="20"/>
                <w:szCs w:val="20"/>
              </w:rPr>
            </w:pPr>
          </w:p>
        </w:tc>
        <w:tc>
          <w:tcPr>
            <w:tcW w:w="0" w:type="auto"/>
            <w:vAlign w:val="center"/>
            <w:hideMark/>
          </w:tcPr>
          <w:p w14:paraId="7564B0A9" w14:textId="77777777" w:rsidR="00000000" w:rsidRDefault="00195E73">
            <w:pPr>
              <w:rPr>
                <w:rFonts w:eastAsia="Times New Roman"/>
                <w:sz w:val="20"/>
                <w:szCs w:val="20"/>
              </w:rPr>
            </w:pPr>
          </w:p>
        </w:tc>
        <w:tc>
          <w:tcPr>
            <w:tcW w:w="0" w:type="auto"/>
            <w:vAlign w:val="center"/>
            <w:hideMark/>
          </w:tcPr>
          <w:p w14:paraId="32DA2EB1" w14:textId="77777777" w:rsidR="00000000" w:rsidRDefault="00195E73">
            <w:pPr>
              <w:rPr>
                <w:rFonts w:eastAsia="Times New Roman"/>
                <w:sz w:val="20"/>
                <w:szCs w:val="20"/>
              </w:rPr>
            </w:pPr>
          </w:p>
        </w:tc>
        <w:tc>
          <w:tcPr>
            <w:tcW w:w="0" w:type="auto"/>
            <w:vAlign w:val="center"/>
            <w:hideMark/>
          </w:tcPr>
          <w:p w14:paraId="773E1A55" w14:textId="77777777" w:rsidR="00000000" w:rsidRDefault="00195E73">
            <w:pPr>
              <w:rPr>
                <w:rFonts w:eastAsia="Times New Roman"/>
                <w:sz w:val="20"/>
                <w:szCs w:val="20"/>
              </w:rPr>
            </w:pPr>
          </w:p>
        </w:tc>
        <w:tc>
          <w:tcPr>
            <w:tcW w:w="0" w:type="auto"/>
            <w:vAlign w:val="center"/>
            <w:hideMark/>
          </w:tcPr>
          <w:p w14:paraId="24852D82" w14:textId="77777777" w:rsidR="00000000" w:rsidRDefault="00195E73">
            <w:pPr>
              <w:rPr>
                <w:rFonts w:eastAsia="Times New Roman"/>
                <w:sz w:val="20"/>
                <w:szCs w:val="20"/>
              </w:rPr>
            </w:pPr>
          </w:p>
        </w:tc>
        <w:tc>
          <w:tcPr>
            <w:tcW w:w="0" w:type="auto"/>
            <w:vAlign w:val="center"/>
            <w:hideMark/>
          </w:tcPr>
          <w:p w14:paraId="242FAD2B" w14:textId="77777777" w:rsidR="00000000" w:rsidRDefault="00195E73">
            <w:pPr>
              <w:rPr>
                <w:rFonts w:eastAsia="Times New Roman"/>
                <w:sz w:val="20"/>
                <w:szCs w:val="20"/>
              </w:rPr>
            </w:pPr>
          </w:p>
        </w:tc>
        <w:tc>
          <w:tcPr>
            <w:tcW w:w="0" w:type="auto"/>
            <w:vAlign w:val="center"/>
            <w:hideMark/>
          </w:tcPr>
          <w:p w14:paraId="54131566" w14:textId="77777777" w:rsidR="00000000" w:rsidRDefault="00195E73">
            <w:pPr>
              <w:rPr>
                <w:rFonts w:eastAsia="Times New Roman"/>
                <w:sz w:val="20"/>
                <w:szCs w:val="20"/>
              </w:rPr>
            </w:pPr>
          </w:p>
        </w:tc>
        <w:tc>
          <w:tcPr>
            <w:tcW w:w="0" w:type="auto"/>
            <w:vAlign w:val="center"/>
            <w:hideMark/>
          </w:tcPr>
          <w:p w14:paraId="7B28CE88" w14:textId="77777777" w:rsidR="00000000" w:rsidRDefault="00195E73">
            <w:pPr>
              <w:rPr>
                <w:rFonts w:eastAsia="Times New Roman"/>
                <w:sz w:val="20"/>
                <w:szCs w:val="20"/>
              </w:rPr>
            </w:pPr>
          </w:p>
        </w:tc>
        <w:tc>
          <w:tcPr>
            <w:tcW w:w="0" w:type="auto"/>
            <w:vAlign w:val="center"/>
            <w:hideMark/>
          </w:tcPr>
          <w:p w14:paraId="6788277F" w14:textId="77777777" w:rsidR="00000000" w:rsidRDefault="00195E73">
            <w:pPr>
              <w:rPr>
                <w:rFonts w:eastAsia="Times New Roman"/>
                <w:sz w:val="20"/>
                <w:szCs w:val="20"/>
              </w:rPr>
            </w:pPr>
          </w:p>
        </w:tc>
        <w:tc>
          <w:tcPr>
            <w:tcW w:w="0" w:type="auto"/>
            <w:vAlign w:val="center"/>
            <w:hideMark/>
          </w:tcPr>
          <w:p w14:paraId="6D602925" w14:textId="77777777" w:rsidR="00000000" w:rsidRDefault="00195E73">
            <w:pPr>
              <w:rPr>
                <w:rFonts w:eastAsia="Times New Roman"/>
                <w:sz w:val="20"/>
                <w:szCs w:val="20"/>
              </w:rPr>
            </w:pPr>
          </w:p>
        </w:tc>
        <w:tc>
          <w:tcPr>
            <w:tcW w:w="0" w:type="auto"/>
            <w:vAlign w:val="center"/>
            <w:hideMark/>
          </w:tcPr>
          <w:p w14:paraId="1D1773DE" w14:textId="77777777" w:rsidR="00000000" w:rsidRDefault="00195E73">
            <w:pPr>
              <w:rPr>
                <w:rFonts w:eastAsia="Times New Roman"/>
                <w:sz w:val="20"/>
                <w:szCs w:val="20"/>
              </w:rPr>
            </w:pPr>
          </w:p>
        </w:tc>
      </w:tr>
      <w:tr w:rsidR="00000000" w14:paraId="5FC82EC2" w14:textId="77777777">
        <w:trPr>
          <w:divId w:val="1134299048"/>
          <w:jc w:val="center"/>
        </w:trPr>
        <w:tc>
          <w:tcPr>
            <w:tcW w:w="0" w:type="auto"/>
            <w:gridSpan w:val="3"/>
            <w:shd w:val="clear" w:color="auto" w:fill="CCEEFF"/>
            <w:tcMar>
              <w:top w:w="30" w:type="dxa"/>
              <w:left w:w="20" w:type="dxa"/>
              <w:bottom w:w="30" w:type="dxa"/>
              <w:right w:w="20" w:type="dxa"/>
            </w:tcMar>
            <w:vAlign w:val="bottom"/>
            <w:hideMark/>
          </w:tcPr>
          <w:p w14:paraId="455A5877" w14:textId="77777777" w:rsidR="00000000" w:rsidRDefault="00195E73">
            <w:pPr>
              <w:rPr>
                <w:rFonts w:eastAsia="Times New Roman"/>
              </w:rPr>
            </w:pPr>
            <w:r>
              <w:rPr>
                <w:rFonts w:eastAsia="Times New Roman"/>
                <w:color w:val="000000"/>
                <w:sz w:val="20"/>
                <w:szCs w:val="20"/>
              </w:rPr>
              <w:t>Net (investments in) distributions from the Investment Fund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600A353"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18675A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5D557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A4E4D0" w14:textId="77777777" w:rsidR="00000000" w:rsidRDefault="00195E73">
            <w:pPr>
              <w:jc w:val="right"/>
              <w:rPr>
                <w:rFonts w:eastAsia="Times New Roman"/>
              </w:rPr>
            </w:pPr>
            <w:r>
              <w:rPr>
                <w:rFonts w:eastAsia="Times New Roman"/>
                <w:color w:val="000000"/>
                <w:sz w:val="20"/>
                <w:szCs w:val="20"/>
              </w:rPr>
              <w:t>(1,708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9EAE1F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2EAC75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EE7149" w14:textId="77777777" w:rsidR="00000000" w:rsidRDefault="00195E73">
            <w:pPr>
              <w:jc w:val="right"/>
              <w:rPr>
                <w:rFonts w:eastAsia="Times New Roman"/>
              </w:rPr>
            </w:pPr>
            <w:r>
              <w:rPr>
                <w:rFonts w:eastAsia="Times New Roman"/>
                <w:color w:val="000000"/>
                <w:sz w:val="20"/>
                <w:szCs w:val="20"/>
              </w:rPr>
              <w:t>(1,300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D7CA9B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28824DA" w14:textId="77777777" w:rsidR="00000000" w:rsidRDefault="00195E73">
            <w:pPr>
              <w:rPr>
                <w:rFonts w:eastAsia="Times New Roman"/>
                <w:sz w:val="20"/>
                <w:szCs w:val="20"/>
              </w:rPr>
            </w:pPr>
          </w:p>
        </w:tc>
        <w:tc>
          <w:tcPr>
            <w:tcW w:w="0" w:type="auto"/>
            <w:vAlign w:val="center"/>
            <w:hideMark/>
          </w:tcPr>
          <w:p w14:paraId="6BFAA8B1" w14:textId="77777777" w:rsidR="00000000" w:rsidRDefault="00195E73">
            <w:pPr>
              <w:rPr>
                <w:rFonts w:eastAsia="Times New Roman"/>
                <w:sz w:val="20"/>
                <w:szCs w:val="20"/>
              </w:rPr>
            </w:pPr>
          </w:p>
        </w:tc>
        <w:tc>
          <w:tcPr>
            <w:tcW w:w="0" w:type="auto"/>
            <w:vAlign w:val="center"/>
            <w:hideMark/>
          </w:tcPr>
          <w:p w14:paraId="0A2684EA" w14:textId="77777777" w:rsidR="00000000" w:rsidRDefault="00195E73">
            <w:pPr>
              <w:rPr>
                <w:rFonts w:eastAsia="Times New Roman"/>
                <w:sz w:val="20"/>
                <w:szCs w:val="20"/>
              </w:rPr>
            </w:pPr>
          </w:p>
        </w:tc>
        <w:tc>
          <w:tcPr>
            <w:tcW w:w="0" w:type="auto"/>
            <w:vAlign w:val="center"/>
            <w:hideMark/>
          </w:tcPr>
          <w:p w14:paraId="02C5CD2B" w14:textId="77777777" w:rsidR="00000000" w:rsidRDefault="00195E73">
            <w:pPr>
              <w:rPr>
                <w:rFonts w:eastAsia="Times New Roman"/>
                <w:sz w:val="20"/>
                <w:szCs w:val="20"/>
              </w:rPr>
            </w:pPr>
          </w:p>
        </w:tc>
        <w:tc>
          <w:tcPr>
            <w:tcW w:w="0" w:type="auto"/>
            <w:vAlign w:val="center"/>
            <w:hideMark/>
          </w:tcPr>
          <w:p w14:paraId="795C9B06" w14:textId="77777777" w:rsidR="00000000" w:rsidRDefault="00195E73">
            <w:pPr>
              <w:rPr>
                <w:rFonts w:eastAsia="Times New Roman"/>
                <w:sz w:val="20"/>
                <w:szCs w:val="20"/>
              </w:rPr>
            </w:pPr>
          </w:p>
        </w:tc>
        <w:tc>
          <w:tcPr>
            <w:tcW w:w="0" w:type="auto"/>
            <w:vAlign w:val="center"/>
            <w:hideMark/>
          </w:tcPr>
          <w:p w14:paraId="70B41C0E" w14:textId="77777777" w:rsidR="00000000" w:rsidRDefault="00195E73">
            <w:pPr>
              <w:rPr>
                <w:rFonts w:eastAsia="Times New Roman"/>
                <w:sz w:val="20"/>
                <w:szCs w:val="20"/>
              </w:rPr>
            </w:pPr>
          </w:p>
        </w:tc>
        <w:tc>
          <w:tcPr>
            <w:tcW w:w="0" w:type="auto"/>
            <w:vAlign w:val="center"/>
            <w:hideMark/>
          </w:tcPr>
          <w:p w14:paraId="48A544FD" w14:textId="77777777" w:rsidR="00000000" w:rsidRDefault="00195E73">
            <w:pPr>
              <w:rPr>
                <w:rFonts w:eastAsia="Times New Roman"/>
                <w:sz w:val="20"/>
                <w:szCs w:val="20"/>
              </w:rPr>
            </w:pPr>
          </w:p>
        </w:tc>
        <w:tc>
          <w:tcPr>
            <w:tcW w:w="0" w:type="auto"/>
            <w:vAlign w:val="center"/>
            <w:hideMark/>
          </w:tcPr>
          <w:p w14:paraId="07547A27" w14:textId="77777777" w:rsidR="00000000" w:rsidRDefault="00195E73">
            <w:pPr>
              <w:rPr>
                <w:rFonts w:eastAsia="Times New Roman"/>
                <w:sz w:val="20"/>
                <w:szCs w:val="20"/>
              </w:rPr>
            </w:pPr>
          </w:p>
        </w:tc>
        <w:tc>
          <w:tcPr>
            <w:tcW w:w="0" w:type="auto"/>
            <w:vAlign w:val="center"/>
            <w:hideMark/>
          </w:tcPr>
          <w:p w14:paraId="4EDECE48" w14:textId="77777777" w:rsidR="00000000" w:rsidRDefault="00195E73">
            <w:pPr>
              <w:rPr>
                <w:rFonts w:eastAsia="Times New Roman"/>
                <w:sz w:val="20"/>
                <w:szCs w:val="20"/>
              </w:rPr>
            </w:pPr>
          </w:p>
        </w:tc>
        <w:tc>
          <w:tcPr>
            <w:tcW w:w="0" w:type="auto"/>
            <w:vAlign w:val="center"/>
            <w:hideMark/>
          </w:tcPr>
          <w:p w14:paraId="549C8F20" w14:textId="77777777" w:rsidR="00000000" w:rsidRDefault="00195E73">
            <w:pPr>
              <w:rPr>
                <w:rFonts w:eastAsia="Times New Roman"/>
                <w:sz w:val="20"/>
                <w:szCs w:val="20"/>
              </w:rPr>
            </w:pPr>
          </w:p>
        </w:tc>
        <w:tc>
          <w:tcPr>
            <w:tcW w:w="0" w:type="auto"/>
            <w:vAlign w:val="center"/>
            <w:hideMark/>
          </w:tcPr>
          <w:p w14:paraId="152B98D7" w14:textId="77777777" w:rsidR="00000000" w:rsidRDefault="00195E73">
            <w:pPr>
              <w:rPr>
                <w:rFonts w:eastAsia="Times New Roman"/>
                <w:sz w:val="20"/>
                <w:szCs w:val="20"/>
              </w:rPr>
            </w:pPr>
          </w:p>
        </w:tc>
        <w:tc>
          <w:tcPr>
            <w:tcW w:w="0" w:type="auto"/>
            <w:vAlign w:val="center"/>
            <w:hideMark/>
          </w:tcPr>
          <w:p w14:paraId="44933E41" w14:textId="77777777" w:rsidR="00000000" w:rsidRDefault="00195E73">
            <w:pPr>
              <w:rPr>
                <w:rFonts w:eastAsia="Times New Roman"/>
                <w:sz w:val="20"/>
                <w:szCs w:val="20"/>
              </w:rPr>
            </w:pPr>
          </w:p>
        </w:tc>
      </w:tr>
      <w:tr w:rsidR="00000000" w14:paraId="724E127E" w14:textId="77777777">
        <w:trPr>
          <w:divId w:val="1134299048"/>
          <w:jc w:val="center"/>
        </w:trPr>
        <w:tc>
          <w:tcPr>
            <w:tcW w:w="0" w:type="auto"/>
            <w:gridSpan w:val="3"/>
            <w:shd w:val="clear" w:color="auto" w:fill="FFFFFF"/>
            <w:tcMar>
              <w:top w:w="30" w:type="dxa"/>
              <w:left w:w="20" w:type="dxa"/>
              <w:bottom w:w="30" w:type="dxa"/>
              <w:right w:w="20" w:type="dxa"/>
            </w:tcMar>
            <w:vAlign w:val="bottom"/>
            <w:hideMark/>
          </w:tcPr>
          <w:p w14:paraId="1DB6BEF1" w14:textId="77777777" w:rsidR="00000000" w:rsidRDefault="00195E73">
            <w:pPr>
              <w:rPr>
                <w:rFonts w:eastAsia="Times New Roman"/>
              </w:rPr>
            </w:pPr>
            <w:r>
              <w:rPr>
                <w:rFonts w:eastAsia="Times New Roman"/>
                <w:color w:val="000000"/>
                <w:sz w:val="20"/>
                <w:szCs w:val="20"/>
              </w:rPr>
              <w:t>Net distributions from (investments in) other operating segment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6C7DDB3" w14:textId="77777777" w:rsidR="00000000" w:rsidRDefault="00195E73">
            <w:pPr>
              <w:jc w:val="right"/>
              <w:rPr>
                <w:rFonts w:eastAsia="Times New Roman"/>
              </w:rPr>
            </w:pPr>
            <w:r>
              <w:rPr>
                <w:rFonts w:eastAsia="Times New Roman"/>
                <w:color w:val="000000"/>
                <w:sz w:val="20"/>
                <w:szCs w:val="20"/>
              </w:rPr>
              <w:t>(83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C90CDB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A305CA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5EC8C8" w14:textId="77777777" w:rsidR="00000000" w:rsidRDefault="00195E73">
            <w:pPr>
              <w:jc w:val="right"/>
              <w:rPr>
                <w:rFonts w:eastAsia="Times New Roman"/>
              </w:rPr>
            </w:pPr>
            <w:r>
              <w:rPr>
                <w:rFonts w:eastAsia="Times New Roman"/>
                <w:color w:val="000000"/>
                <w:sz w:val="20"/>
                <w:szCs w:val="20"/>
              </w:rPr>
              <w:t>250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B498C4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F966D2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E685C0" w14:textId="77777777" w:rsidR="00000000" w:rsidRDefault="00195E73">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EA5F81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02B1598" w14:textId="77777777" w:rsidR="00000000" w:rsidRDefault="00195E73">
            <w:pPr>
              <w:rPr>
                <w:rFonts w:eastAsia="Times New Roman"/>
                <w:sz w:val="20"/>
                <w:szCs w:val="20"/>
              </w:rPr>
            </w:pPr>
          </w:p>
        </w:tc>
        <w:tc>
          <w:tcPr>
            <w:tcW w:w="0" w:type="auto"/>
            <w:vAlign w:val="center"/>
            <w:hideMark/>
          </w:tcPr>
          <w:p w14:paraId="1FE84B80" w14:textId="77777777" w:rsidR="00000000" w:rsidRDefault="00195E73">
            <w:pPr>
              <w:rPr>
                <w:rFonts w:eastAsia="Times New Roman"/>
                <w:sz w:val="20"/>
                <w:szCs w:val="20"/>
              </w:rPr>
            </w:pPr>
          </w:p>
        </w:tc>
        <w:tc>
          <w:tcPr>
            <w:tcW w:w="0" w:type="auto"/>
            <w:vAlign w:val="center"/>
            <w:hideMark/>
          </w:tcPr>
          <w:p w14:paraId="2DA53AD4" w14:textId="77777777" w:rsidR="00000000" w:rsidRDefault="00195E73">
            <w:pPr>
              <w:rPr>
                <w:rFonts w:eastAsia="Times New Roman"/>
                <w:sz w:val="20"/>
                <w:szCs w:val="20"/>
              </w:rPr>
            </w:pPr>
          </w:p>
        </w:tc>
        <w:tc>
          <w:tcPr>
            <w:tcW w:w="0" w:type="auto"/>
            <w:vAlign w:val="center"/>
            <w:hideMark/>
          </w:tcPr>
          <w:p w14:paraId="36CE9BE0" w14:textId="77777777" w:rsidR="00000000" w:rsidRDefault="00195E73">
            <w:pPr>
              <w:rPr>
                <w:rFonts w:eastAsia="Times New Roman"/>
                <w:sz w:val="20"/>
                <w:szCs w:val="20"/>
              </w:rPr>
            </w:pPr>
          </w:p>
        </w:tc>
        <w:tc>
          <w:tcPr>
            <w:tcW w:w="0" w:type="auto"/>
            <w:vAlign w:val="center"/>
            <w:hideMark/>
          </w:tcPr>
          <w:p w14:paraId="2F3EB771" w14:textId="77777777" w:rsidR="00000000" w:rsidRDefault="00195E73">
            <w:pPr>
              <w:rPr>
                <w:rFonts w:eastAsia="Times New Roman"/>
                <w:sz w:val="20"/>
                <w:szCs w:val="20"/>
              </w:rPr>
            </w:pPr>
          </w:p>
        </w:tc>
        <w:tc>
          <w:tcPr>
            <w:tcW w:w="0" w:type="auto"/>
            <w:vAlign w:val="center"/>
            <w:hideMark/>
          </w:tcPr>
          <w:p w14:paraId="14104671" w14:textId="77777777" w:rsidR="00000000" w:rsidRDefault="00195E73">
            <w:pPr>
              <w:rPr>
                <w:rFonts w:eastAsia="Times New Roman"/>
                <w:sz w:val="20"/>
                <w:szCs w:val="20"/>
              </w:rPr>
            </w:pPr>
          </w:p>
        </w:tc>
        <w:tc>
          <w:tcPr>
            <w:tcW w:w="0" w:type="auto"/>
            <w:vAlign w:val="center"/>
            <w:hideMark/>
          </w:tcPr>
          <w:p w14:paraId="4F6B0F1A" w14:textId="77777777" w:rsidR="00000000" w:rsidRDefault="00195E73">
            <w:pPr>
              <w:rPr>
                <w:rFonts w:eastAsia="Times New Roman"/>
                <w:sz w:val="20"/>
                <w:szCs w:val="20"/>
              </w:rPr>
            </w:pPr>
          </w:p>
        </w:tc>
        <w:tc>
          <w:tcPr>
            <w:tcW w:w="0" w:type="auto"/>
            <w:vAlign w:val="center"/>
            <w:hideMark/>
          </w:tcPr>
          <w:p w14:paraId="592F3F2C" w14:textId="77777777" w:rsidR="00000000" w:rsidRDefault="00195E73">
            <w:pPr>
              <w:rPr>
                <w:rFonts w:eastAsia="Times New Roman"/>
                <w:sz w:val="20"/>
                <w:szCs w:val="20"/>
              </w:rPr>
            </w:pPr>
          </w:p>
        </w:tc>
        <w:tc>
          <w:tcPr>
            <w:tcW w:w="0" w:type="auto"/>
            <w:vAlign w:val="center"/>
            <w:hideMark/>
          </w:tcPr>
          <w:p w14:paraId="049755F4" w14:textId="77777777" w:rsidR="00000000" w:rsidRDefault="00195E73">
            <w:pPr>
              <w:rPr>
                <w:rFonts w:eastAsia="Times New Roman"/>
                <w:sz w:val="20"/>
                <w:szCs w:val="20"/>
              </w:rPr>
            </w:pPr>
          </w:p>
        </w:tc>
        <w:tc>
          <w:tcPr>
            <w:tcW w:w="0" w:type="auto"/>
            <w:vAlign w:val="center"/>
            <w:hideMark/>
          </w:tcPr>
          <w:p w14:paraId="3CC91263" w14:textId="77777777" w:rsidR="00000000" w:rsidRDefault="00195E73">
            <w:pPr>
              <w:rPr>
                <w:rFonts w:eastAsia="Times New Roman"/>
                <w:sz w:val="20"/>
                <w:szCs w:val="20"/>
              </w:rPr>
            </w:pPr>
          </w:p>
        </w:tc>
        <w:tc>
          <w:tcPr>
            <w:tcW w:w="0" w:type="auto"/>
            <w:vAlign w:val="center"/>
            <w:hideMark/>
          </w:tcPr>
          <w:p w14:paraId="08D321E8" w14:textId="77777777" w:rsidR="00000000" w:rsidRDefault="00195E73">
            <w:pPr>
              <w:rPr>
                <w:rFonts w:eastAsia="Times New Roman"/>
                <w:sz w:val="20"/>
                <w:szCs w:val="20"/>
              </w:rPr>
            </w:pPr>
          </w:p>
        </w:tc>
        <w:tc>
          <w:tcPr>
            <w:tcW w:w="0" w:type="auto"/>
            <w:vAlign w:val="center"/>
            <w:hideMark/>
          </w:tcPr>
          <w:p w14:paraId="26C86EC4" w14:textId="77777777" w:rsidR="00000000" w:rsidRDefault="00195E73">
            <w:pPr>
              <w:rPr>
                <w:rFonts w:eastAsia="Times New Roman"/>
                <w:sz w:val="20"/>
                <w:szCs w:val="20"/>
              </w:rPr>
            </w:pPr>
          </w:p>
        </w:tc>
      </w:tr>
      <w:tr w:rsidR="00000000" w14:paraId="2E37823E" w14:textId="77777777">
        <w:trPr>
          <w:divId w:val="1134299048"/>
          <w:jc w:val="center"/>
        </w:trPr>
        <w:tc>
          <w:tcPr>
            <w:tcW w:w="0" w:type="auto"/>
            <w:gridSpan w:val="3"/>
            <w:vAlign w:val="center"/>
            <w:hideMark/>
          </w:tcPr>
          <w:p w14:paraId="38285BF1" w14:textId="77777777" w:rsidR="00000000" w:rsidRDefault="00195E73">
            <w:pPr>
              <w:jc w:val="right"/>
              <w:rPr>
                <w:rFonts w:eastAsia="Times New Roman"/>
              </w:rPr>
            </w:pPr>
          </w:p>
        </w:tc>
        <w:tc>
          <w:tcPr>
            <w:tcW w:w="0" w:type="auto"/>
            <w:gridSpan w:val="3"/>
            <w:vAlign w:val="center"/>
            <w:hideMark/>
          </w:tcPr>
          <w:p w14:paraId="7F5C033D" w14:textId="77777777" w:rsidR="00000000" w:rsidRDefault="00195E73">
            <w:pPr>
              <w:rPr>
                <w:rFonts w:eastAsia="Times New Roman"/>
                <w:sz w:val="20"/>
                <w:szCs w:val="20"/>
              </w:rPr>
            </w:pPr>
          </w:p>
        </w:tc>
        <w:tc>
          <w:tcPr>
            <w:tcW w:w="0" w:type="auto"/>
            <w:gridSpan w:val="3"/>
            <w:vAlign w:val="center"/>
            <w:hideMark/>
          </w:tcPr>
          <w:p w14:paraId="07F5416F" w14:textId="77777777" w:rsidR="00000000" w:rsidRDefault="00195E73">
            <w:pPr>
              <w:rPr>
                <w:rFonts w:eastAsia="Times New Roman"/>
                <w:sz w:val="20"/>
                <w:szCs w:val="20"/>
              </w:rPr>
            </w:pPr>
          </w:p>
        </w:tc>
        <w:tc>
          <w:tcPr>
            <w:tcW w:w="0" w:type="auto"/>
            <w:gridSpan w:val="3"/>
            <w:vAlign w:val="center"/>
            <w:hideMark/>
          </w:tcPr>
          <w:p w14:paraId="66DC05FB" w14:textId="77777777" w:rsidR="00000000" w:rsidRDefault="00195E73">
            <w:pPr>
              <w:rPr>
                <w:rFonts w:eastAsia="Times New Roman"/>
                <w:sz w:val="20"/>
                <w:szCs w:val="20"/>
              </w:rPr>
            </w:pPr>
          </w:p>
        </w:tc>
        <w:tc>
          <w:tcPr>
            <w:tcW w:w="0" w:type="auto"/>
            <w:gridSpan w:val="3"/>
            <w:vAlign w:val="center"/>
            <w:hideMark/>
          </w:tcPr>
          <w:p w14:paraId="21DE530A" w14:textId="77777777" w:rsidR="00000000" w:rsidRDefault="00195E73">
            <w:pPr>
              <w:rPr>
                <w:rFonts w:eastAsia="Times New Roman"/>
                <w:sz w:val="20"/>
                <w:szCs w:val="20"/>
              </w:rPr>
            </w:pPr>
          </w:p>
        </w:tc>
        <w:tc>
          <w:tcPr>
            <w:tcW w:w="0" w:type="auto"/>
            <w:gridSpan w:val="3"/>
            <w:vAlign w:val="center"/>
            <w:hideMark/>
          </w:tcPr>
          <w:p w14:paraId="69246CD7" w14:textId="77777777" w:rsidR="00000000" w:rsidRDefault="00195E73">
            <w:pPr>
              <w:rPr>
                <w:rFonts w:eastAsia="Times New Roman"/>
                <w:sz w:val="20"/>
                <w:szCs w:val="20"/>
              </w:rPr>
            </w:pPr>
          </w:p>
        </w:tc>
        <w:tc>
          <w:tcPr>
            <w:tcW w:w="0" w:type="auto"/>
            <w:vAlign w:val="center"/>
            <w:hideMark/>
          </w:tcPr>
          <w:p w14:paraId="35705583" w14:textId="77777777" w:rsidR="00000000" w:rsidRDefault="00195E73">
            <w:pPr>
              <w:rPr>
                <w:rFonts w:eastAsia="Times New Roman"/>
                <w:sz w:val="20"/>
                <w:szCs w:val="20"/>
              </w:rPr>
            </w:pPr>
          </w:p>
        </w:tc>
        <w:tc>
          <w:tcPr>
            <w:tcW w:w="0" w:type="auto"/>
            <w:vAlign w:val="center"/>
            <w:hideMark/>
          </w:tcPr>
          <w:p w14:paraId="318D6186" w14:textId="77777777" w:rsidR="00000000" w:rsidRDefault="00195E73">
            <w:pPr>
              <w:rPr>
                <w:rFonts w:eastAsia="Times New Roman"/>
                <w:sz w:val="20"/>
                <w:szCs w:val="20"/>
              </w:rPr>
            </w:pPr>
          </w:p>
        </w:tc>
        <w:tc>
          <w:tcPr>
            <w:tcW w:w="0" w:type="auto"/>
            <w:vAlign w:val="center"/>
            <w:hideMark/>
          </w:tcPr>
          <w:p w14:paraId="17E330D7" w14:textId="77777777" w:rsidR="00000000" w:rsidRDefault="00195E73">
            <w:pPr>
              <w:rPr>
                <w:rFonts w:eastAsia="Times New Roman"/>
                <w:sz w:val="20"/>
                <w:szCs w:val="20"/>
              </w:rPr>
            </w:pPr>
          </w:p>
        </w:tc>
        <w:tc>
          <w:tcPr>
            <w:tcW w:w="0" w:type="auto"/>
            <w:vAlign w:val="center"/>
            <w:hideMark/>
          </w:tcPr>
          <w:p w14:paraId="01D575CF" w14:textId="77777777" w:rsidR="00000000" w:rsidRDefault="00195E73">
            <w:pPr>
              <w:rPr>
                <w:rFonts w:eastAsia="Times New Roman"/>
                <w:sz w:val="20"/>
                <w:szCs w:val="20"/>
              </w:rPr>
            </w:pPr>
          </w:p>
        </w:tc>
        <w:tc>
          <w:tcPr>
            <w:tcW w:w="0" w:type="auto"/>
            <w:vAlign w:val="center"/>
            <w:hideMark/>
          </w:tcPr>
          <w:p w14:paraId="75154789" w14:textId="77777777" w:rsidR="00000000" w:rsidRDefault="00195E73">
            <w:pPr>
              <w:rPr>
                <w:rFonts w:eastAsia="Times New Roman"/>
                <w:sz w:val="20"/>
                <w:szCs w:val="20"/>
              </w:rPr>
            </w:pPr>
          </w:p>
        </w:tc>
        <w:tc>
          <w:tcPr>
            <w:tcW w:w="0" w:type="auto"/>
            <w:vAlign w:val="center"/>
            <w:hideMark/>
          </w:tcPr>
          <w:p w14:paraId="4C663B99" w14:textId="77777777" w:rsidR="00000000" w:rsidRDefault="00195E73">
            <w:pPr>
              <w:rPr>
                <w:rFonts w:eastAsia="Times New Roman"/>
                <w:sz w:val="20"/>
                <w:szCs w:val="20"/>
              </w:rPr>
            </w:pPr>
          </w:p>
        </w:tc>
        <w:tc>
          <w:tcPr>
            <w:tcW w:w="0" w:type="auto"/>
            <w:vAlign w:val="center"/>
            <w:hideMark/>
          </w:tcPr>
          <w:p w14:paraId="09092B7C" w14:textId="77777777" w:rsidR="00000000" w:rsidRDefault="00195E73">
            <w:pPr>
              <w:rPr>
                <w:rFonts w:eastAsia="Times New Roman"/>
                <w:sz w:val="20"/>
                <w:szCs w:val="20"/>
              </w:rPr>
            </w:pPr>
          </w:p>
        </w:tc>
        <w:tc>
          <w:tcPr>
            <w:tcW w:w="0" w:type="auto"/>
            <w:vAlign w:val="center"/>
            <w:hideMark/>
          </w:tcPr>
          <w:p w14:paraId="3FD5F1CA" w14:textId="77777777" w:rsidR="00000000" w:rsidRDefault="00195E73">
            <w:pPr>
              <w:rPr>
                <w:rFonts w:eastAsia="Times New Roman"/>
                <w:sz w:val="20"/>
                <w:szCs w:val="20"/>
              </w:rPr>
            </w:pPr>
          </w:p>
        </w:tc>
        <w:tc>
          <w:tcPr>
            <w:tcW w:w="0" w:type="auto"/>
            <w:vAlign w:val="center"/>
            <w:hideMark/>
          </w:tcPr>
          <w:p w14:paraId="0DA99FA3" w14:textId="77777777" w:rsidR="00000000" w:rsidRDefault="00195E73">
            <w:pPr>
              <w:rPr>
                <w:rFonts w:eastAsia="Times New Roman"/>
                <w:sz w:val="20"/>
                <w:szCs w:val="20"/>
              </w:rPr>
            </w:pPr>
          </w:p>
        </w:tc>
        <w:tc>
          <w:tcPr>
            <w:tcW w:w="0" w:type="auto"/>
            <w:vAlign w:val="center"/>
            <w:hideMark/>
          </w:tcPr>
          <w:p w14:paraId="3F5DEE1B" w14:textId="77777777" w:rsidR="00000000" w:rsidRDefault="00195E73">
            <w:pPr>
              <w:rPr>
                <w:rFonts w:eastAsia="Times New Roman"/>
                <w:sz w:val="20"/>
                <w:szCs w:val="20"/>
              </w:rPr>
            </w:pPr>
          </w:p>
        </w:tc>
        <w:tc>
          <w:tcPr>
            <w:tcW w:w="0" w:type="auto"/>
            <w:vAlign w:val="center"/>
            <w:hideMark/>
          </w:tcPr>
          <w:p w14:paraId="11845D00" w14:textId="77777777" w:rsidR="00000000" w:rsidRDefault="00195E73">
            <w:pPr>
              <w:rPr>
                <w:rFonts w:eastAsia="Times New Roman"/>
                <w:sz w:val="20"/>
                <w:szCs w:val="20"/>
              </w:rPr>
            </w:pPr>
          </w:p>
        </w:tc>
        <w:tc>
          <w:tcPr>
            <w:tcW w:w="0" w:type="auto"/>
            <w:vAlign w:val="center"/>
            <w:hideMark/>
          </w:tcPr>
          <w:p w14:paraId="1DF07EA7" w14:textId="77777777" w:rsidR="00000000" w:rsidRDefault="00195E73">
            <w:pPr>
              <w:rPr>
                <w:rFonts w:eastAsia="Times New Roman"/>
                <w:sz w:val="20"/>
                <w:szCs w:val="20"/>
              </w:rPr>
            </w:pPr>
          </w:p>
        </w:tc>
      </w:tr>
      <w:tr w:rsidR="00000000" w14:paraId="51D57582" w14:textId="77777777">
        <w:trPr>
          <w:divId w:val="1134299048"/>
          <w:jc w:val="center"/>
        </w:trPr>
        <w:tc>
          <w:tcPr>
            <w:tcW w:w="0" w:type="auto"/>
            <w:gridSpan w:val="3"/>
            <w:shd w:val="clear" w:color="auto" w:fill="CCEEFF"/>
            <w:tcMar>
              <w:top w:w="15" w:type="dxa"/>
              <w:left w:w="20" w:type="dxa"/>
              <w:bottom w:w="15" w:type="dxa"/>
              <w:right w:w="20" w:type="dxa"/>
            </w:tcMar>
            <w:vAlign w:val="bottom"/>
            <w:hideMark/>
          </w:tcPr>
          <w:p w14:paraId="228C597F" w14:textId="77777777" w:rsidR="00000000" w:rsidRDefault="00195E73">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D520FDC"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0376A00" w14:textId="77777777" w:rsidR="00000000" w:rsidRDefault="00195E73">
            <w:pPr>
              <w:jc w:val="right"/>
              <w:rPr>
                <w:rFonts w:eastAsia="Times New Roman"/>
              </w:rPr>
            </w:pPr>
            <w:r>
              <w:rPr>
                <w:rFonts w:eastAsia="Times New Roman"/>
                <w:color w:val="000000"/>
                <w:sz w:val="20"/>
                <w:szCs w:val="20"/>
              </w:rPr>
              <w:t>898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8EA5E3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22E14A3"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CDAA05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A45C507" w14:textId="77777777" w:rsidR="00000000" w:rsidRDefault="00195E73">
            <w:pPr>
              <w:jc w:val="right"/>
              <w:rPr>
                <w:rFonts w:eastAsia="Times New Roman"/>
              </w:rPr>
            </w:pPr>
            <w:r>
              <w:rPr>
                <w:rFonts w:eastAsia="Times New Roman"/>
                <w:color w:val="000000"/>
                <w:sz w:val="20"/>
                <w:szCs w:val="20"/>
              </w:rPr>
              <w:t>1,729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1A489D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047DC8A"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FE443C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3099C49" w14:textId="77777777" w:rsidR="00000000" w:rsidRDefault="00195E73">
            <w:pPr>
              <w:jc w:val="right"/>
              <w:rPr>
                <w:rFonts w:eastAsia="Times New Roman"/>
              </w:rPr>
            </w:pPr>
            <w:r>
              <w:rPr>
                <w:rFonts w:eastAsia="Times New Roman"/>
                <w:color w:val="000000"/>
                <w:sz w:val="20"/>
                <w:szCs w:val="20"/>
              </w:rPr>
              <w:t>565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2BD871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BF37C41" w14:textId="77777777" w:rsidR="00000000" w:rsidRDefault="00195E73">
            <w:pPr>
              <w:rPr>
                <w:rFonts w:eastAsia="Times New Roman"/>
                <w:sz w:val="20"/>
                <w:szCs w:val="20"/>
              </w:rPr>
            </w:pPr>
          </w:p>
        </w:tc>
        <w:tc>
          <w:tcPr>
            <w:tcW w:w="0" w:type="auto"/>
            <w:vAlign w:val="center"/>
            <w:hideMark/>
          </w:tcPr>
          <w:p w14:paraId="36F2A4BA" w14:textId="77777777" w:rsidR="00000000" w:rsidRDefault="00195E73">
            <w:pPr>
              <w:rPr>
                <w:rFonts w:eastAsia="Times New Roman"/>
                <w:sz w:val="20"/>
                <w:szCs w:val="20"/>
              </w:rPr>
            </w:pPr>
          </w:p>
        </w:tc>
        <w:tc>
          <w:tcPr>
            <w:tcW w:w="0" w:type="auto"/>
            <w:vAlign w:val="center"/>
            <w:hideMark/>
          </w:tcPr>
          <w:p w14:paraId="15A6489E" w14:textId="77777777" w:rsidR="00000000" w:rsidRDefault="00195E73">
            <w:pPr>
              <w:rPr>
                <w:rFonts w:eastAsia="Times New Roman"/>
                <w:sz w:val="20"/>
                <w:szCs w:val="20"/>
              </w:rPr>
            </w:pPr>
          </w:p>
        </w:tc>
        <w:tc>
          <w:tcPr>
            <w:tcW w:w="0" w:type="auto"/>
            <w:vAlign w:val="center"/>
            <w:hideMark/>
          </w:tcPr>
          <w:p w14:paraId="273C8F18" w14:textId="77777777" w:rsidR="00000000" w:rsidRDefault="00195E73">
            <w:pPr>
              <w:rPr>
                <w:rFonts w:eastAsia="Times New Roman"/>
                <w:sz w:val="20"/>
                <w:szCs w:val="20"/>
              </w:rPr>
            </w:pPr>
          </w:p>
        </w:tc>
        <w:tc>
          <w:tcPr>
            <w:tcW w:w="0" w:type="auto"/>
            <w:vAlign w:val="center"/>
            <w:hideMark/>
          </w:tcPr>
          <w:p w14:paraId="594A6050" w14:textId="77777777" w:rsidR="00000000" w:rsidRDefault="00195E73">
            <w:pPr>
              <w:rPr>
                <w:rFonts w:eastAsia="Times New Roman"/>
                <w:sz w:val="20"/>
                <w:szCs w:val="20"/>
              </w:rPr>
            </w:pPr>
          </w:p>
        </w:tc>
        <w:tc>
          <w:tcPr>
            <w:tcW w:w="0" w:type="auto"/>
            <w:vAlign w:val="center"/>
            <w:hideMark/>
          </w:tcPr>
          <w:p w14:paraId="155DB9AD" w14:textId="77777777" w:rsidR="00000000" w:rsidRDefault="00195E73">
            <w:pPr>
              <w:rPr>
                <w:rFonts w:eastAsia="Times New Roman"/>
                <w:sz w:val="20"/>
                <w:szCs w:val="20"/>
              </w:rPr>
            </w:pPr>
          </w:p>
        </w:tc>
        <w:tc>
          <w:tcPr>
            <w:tcW w:w="0" w:type="auto"/>
            <w:vAlign w:val="center"/>
            <w:hideMark/>
          </w:tcPr>
          <w:p w14:paraId="47A8E8CE" w14:textId="77777777" w:rsidR="00000000" w:rsidRDefault="00195E73">
            <w:pPr>
              <w:rPr>
                <w:rFonts w:eastAsia="Times New Roman"/>
                <w:sz w:val="20"/>
                <w:szCs w:val="20"/>
              </w:rPr>
            </w:pPr>
          </w:p>
        </w:tc>
        <w:tc>
          <w:tcPr>
            <w:tcW w:w="0" w:type="auto"/>
            <w:vAlign w:val="center"/>
            <w:hideMark/>
          </w:tcPr>
          <w:p w14:paraId="35F80133" w14:textId="77777777" w:rsidR="00000000" w:rsidRDefault="00195E73">
            <w:pPr>
              <w:rPr>
                <w:rFonts w:eastAsia="Times New Roman"/>
                <w:sz w:val="20"/>
                <w:szCs w:val="20"/>
              </w:rPr>
            </w:pPr>
          </w:p>
        </w:tc>
        <w:tc>
          <w:tcPr>
            <w:tcW w:w="0" w:type="auto"/>
            <w:vAlign w:val="center"/>
            <w:hideMark/>
          </w:tcPr>
          <w:p w14:paraId="0652DD9E" w14:textId="77777777" w:rsidR="00000000" w:rsidRDefault="00195E73">
            <w:pPr>
              <w:rPr>
                <w:rFonts w:eastAsia="Times New Roman"/>
                <w:sz w:val="20"/>
                <w:szCs w:val="20"/>
              </w:rPr>
            </w:pPr>
          </w:p>
        </w:tc>
        <w:tc>
          <w:tcPr>
            <w:tcW w:w="0" w:type="auto"/>
            <w:vAlign w:val="center"/>
            <w:hideMark/>
          </w:tcPr>
          <w:p w14:paraId="340CB2F1" w14:textId="77777777" w:rsidR="00000000" w:rsidRDefault="00195E73">
            <w:pPr>
              <w:rPr>
                <w:rFonts w:eastAsia="Times New Roman"/>
                <w:sz w:val="20"/>
                <w:szCs w:val="20"/>
              </w:rPr>
            </w:pPr>
          </w:p>
        </w:tc>
        <w:tc>
          <w:tcPr>
            <w:tcW w:w="0" w:type="auto"/>
            <w:vAlign w:val="center"/>
            <w:hideMark/>
          </w:tcPr>
          <w:p w14:paraId="66399865" w14:textId="77777777" w:rsidR="00000000" w:rsidRDefault="00195E73">
            <w:pPr>
              <w:rPr>
                <w:rFonts w:eastAsia="Times New Roman"/>
                <w:sz w:val="20"/>
                <w:szCs w:val="20"/>
              </w:rPr>
            </w:pPr>
          </w:p>
        </w:tc>
        <w:tc>
          <w:tcPr>
            <w:tcW w:w="0" w:type="auto"/>
            <w:vAlign w:val="center"/>
            <w:hideMark/>
          </w:tcPr>
          <w:p w14:paraId="4A985A85" w14:textId="77777777" w:rsidR="00000000" w:rsidRDefault="00195E73">
            <w:pPr>
              <w:rPr>
                <w:rFonts w:eastAsia="Times New Roman"/>
                <w:sz w:val="20"/>
                <w:szCs w:val="20"/>
              </w:rPr>
            </w:pPr>
          </w:p>
        </w:tc>
      </w:tr>
      <w:tr w:rsidR="00000000" w14:paraId="4AB3AB56" w14:textId="77777777">
        <w:trPr>
          <w:divId w:val="1134299048"/>
          <w:jc w:val="center"/>
        </w:trPr>
        <w:tc>
          <w:tcPr>
            <w:tcW w:w="0" w:type="auto"/>
            <w:gridSpan w:val="3"/>
            <w:shd w:val="clear" w:color="auto" w:fill="FFFFFF"/>
            <w:tcMar>
              <w:top w:w="30" w:type="dxa"/>
              <w:left w:w="20" w:type="dxa"/>
              <w:bottom w:w="30" w:type="dxa"/>
              <w:right w:w="20" w:type="dxa"/>
            </w:tcMar>
            <w:vAlign w:val="bottom"/>
            <w:hideMark/>
          </w:tcPr>
          <w:p w14:paraId="0509EA3A" w14:textId="77777777" w:rsidR="00000000" w:rsidRDefault="00195E73">
            <w:pPr>
              <w:rPr>
                <w:rFonts w:eastAsia="Times New Roman"/>
              </w:rPr>
            </w:pPr>
            <w:r>
              <w:rPr>
                <w:rFonts w:eastAsia="Times New Roman"/>
                <w:b/>
                <w:bCs/>
                <w:color w:val="000000"/>
                <w:sz w:val="20"/>
                <w:szCs w:val="20"/>
              </w:rPr>
              <w:t>Financing Activities</w:t>
            </w:r>
            <w:r>
              <w:rPr>
                <w:rFonts w:eastAsia="Times New Roman"/>
                <w:b/>
                <w:bCs/>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86B590F"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794471CF"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51CEF87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C1F37E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4B0CC73" w14:textId="77777777" w:rsidR="00000000" w:rsidRDefault="00195E73">
            <w:pPr>
              <w:rPr>
                <w:rFonts w:eastAsia="Times New Roman"/>
                <w:sz w:val="20"/>
                <w:szCs w:val="20"/>
              </w:rPr>
            </w:pPr>
          </w:p>
        </w:tc>
        <w:tc>
          <w:tcPr>
            <w:tcW w:w="0" w:type="auto"/>
            <w:vAlign w:val="center"/>
            <w:hideMark/>
          </w:tcPr>
          <w:p w14:paraId="2DA01359" w14:textId="77777777" w:rsidR="00000000" w:rsidRDefault="00195E73">
            <w:pPr>
              <w:rPr>
                <w:rFonts w:eastAsia="Times New Roman"/>
                <w:sz w:val="20"/>
                <w:szCs w:val="20"/>
              </w:rPr>
            </w:pPr>
          </w:p>
        </w:tc>
        <w:tc>
          <w:tcPr>
            <w:tcW w:w="0" w:type="auto"/>
            <w:vAlign w:val="center"/>
            <w:hideMark/>
          </w:tcPr>
          <w:p w14:paraId="71130051" w14:textId="77777777" w:rsidR="00000000" w:rsidRDefault="00195E73">
            <w:pPr>
              <w:rPr>
                <w:rFonts w:eastAsia="Times New Roman"/>
                <w:sz w:val="20"/>
                <w:szCs w:val="20"/>
              </w:rPr>
            </w:pPr>
          </w:p>
        </w:tc>
        <w:tc>
          <w:tcPr>
            <w:tcW w:w="0" w:type="auto"/>
            <w:vAlign w:val="center"/>
            <w:hideMark/>
          </w:tcPr>
          <w:p w14:paraId="01000C1B" w14:textId="77777777" w:rsidR="00000000" w:rsidRDefault="00195E73">
            <w:pPr>
              <w:rPr>
                <w:rFonts w:eastAsia="Times New Roman"/>
                <w:sz w:val="20"/>
                <w:szCs w:val="20"/>
              </w:rPr>
            </w:pPr>
          </w:p>
        </w:tc>
        <w:tc>
          <w:tcPr>
            <w:tcW w:w="0" w:type="auto"/>
            <w:vAlign w:val="center"/>
            <w:hideMark/>
          </w:tcPr>
          <w:p w14:paraId="79DD11D7" w14:textId="77777777" w:rsidR="00000000" w:rsidRDefault="00195E73">
            <w:pPr>
              <w:rPr>
                <w:rFonts w:eastAsia="Times New Roman"/>
                <w:sz w:val="20"/>
                <w:szCs w:val="20"/>
              </w:rPr>
            </w:pPr>
          </w:p>
        </w:tc>
        <w:tc>
          <w:tcPr>
            <w:tcW w:w="0" w:type="auto"/>
            <w:vAlign w:val="center"/>
            <w:hideMark/>
          </w:tcPr>
          <w:p w14:paraId="3102617D" w14:textId="77777777" w:rsidR="00000000" w:rsidRDefault="00195E73">
            <w:pPr>
              <w:rPr>
                <w:rFonts w:eastAsia="Times New Roman"/>
                <w:sz w:val="20"/>
                <w:szCs w:val="20"/>
              </w:rPr>
            </w:pPr>
          </w:p>
        </w:tc>
        <w:tc>
          <w:tcPr>
            <w:tcW w:w="0" w:type="auto"/>
            <w:vAlign w:val="center"/>
            <w:hideMark/>
          </w:tcPr>
          <w:p w14:paraId="4362CB81" w14:textId="77777777" w:rsidR="00000000" w:rsidRDefault="00195E73">
            <w:pPr>
              <w:rPr>
                <w:rFonts w:eastAsia="Times New Roman"/>
                <w:sz w:val="20"/>
                <w:szCs w:val="20"/>
              </w:rPr>
            </w:pPr>
          </w:p>
        </w:tc>
        <w:tc>
          <w:tcPr>
            <w:tcW w:w="0" w:type="auto"/>
            <w:vAlign w:val="center"/>
            <w:hideMark/>
          </w:tcPr>
          <w:p w14:paraId="4025FE90" w14:textId="77777777" w:rsidR="00000000" w:rsidRDefault="00195E73">
            <w:pPr>
              <w:rPr>
                <w:rFonts w:eastAsia="Times New Roman"/>
                <w:sz w:val="20"/>
                <w:szCs w:val="20"/>
              </w:rPr>
            </w:pPr>
          </w:p>
        </w:tc>
        <w:tc>
          <w:tcPr>
            <w:tcW w:w="0" w:type="auto"/>
            <w:vAlign w:val="center"/>
            <w:hideMark/>
          </w:tcPr>
          <w:p w14:paraId="0CA3A6F8" w14:textId="77777777" w:rsidR="00000000" w:rsidRDefault="00195E73">
            <w:pPr>
              <w:rPr>
                <w:rFonts w:eastAsia="Times New Roman"/>
                <w:sz w:val="20"/>
                <w:szCs w:val="20"/>
              </w:rPr>
            </w:pPr>
          </w:p>
        </w:tc>
        <w:tc>
          <w:tcPr>
            <w:tcW w:w="0" w:type="auto"/>
            <w:vAlign w:val="center"/>
            <w:hideMark/>
          </w:tcPr>
          <w:p w14:paraId="7D492499" w14:textId="77777777" w:rsidR="00000000" w:rsidRDefault="00195E73">
            <w:pPr>
              <w:rPr>
                <w:rFonts w:eastAsia="Times New Roman"/>
                <w:sz w:val="20"/>
                <w:szCs w:val="20"/>
              </w:rPr>
            </w:pPr>
          </w:p>
        </w:tc>
        <w:tc>
          <w:tcPr>
            <w:tcW w:w="0" w:type="auto"/>
            <w:vAlign w:val="center"/>
            <w:hideMark/>
          </w:tcPr>
          <w:p w14:paraId="7A0DFDBC" w14:textId="77777777" w:rsidR="00000000" w:rsidRDefault="00195E73">
            <w:pPr>
              <w:rPr>
                <w:rFonts w:eastAsia="Times New Roman"/>
                <w:sz w:val="20"/>
                <w:szCs w:val="20"/>
              </w:rPr>
            </w:pPr>
          </w:p>
        </w:tc>
        <w:tc>
          <w:tcPr>
            <w:tcW w:w="0" w:type="auto"/>
            <w:vAlign w:val="center"/>
            <w:hideMark/>
          </w:tcPr>
          <w:p w14:paraId="05CC14C1" w14:textId="77777777" w:rsidR="00000000" w:rsidRDefault="00195E73">
            <w:pPr>
              <w:rPr>
                <w:rFonts w:eastAsia="Times New Roman"/>
                <w:sz w:val="20"/>
                <w:szCs w:val="20"/>
              </w:rPr>
            </w:pPr>
          </w:p>
        </w:tc>
        <w:tc>
          <w:tcPr>
            <w:tcW w:w="0" w:type="auto"/>
            <w:vAlign w:val="center"/>
            <w:hideMark/>
          </w:tcPr>
          <w:p w14:paraId="0144E28B" w14:textId="77777777" w:rsidR="00000000" w:rsidRDefault="00195E73">
            <w:pPr>
              <w:rPr>
                <w:rFonts w:eastAsia="Times New Roman"/>
                <w:sz w:val="20"/>
                <w:szCs w:val="20"/>
              </w:rPr>
            </w:pPr>
          </w:p>
        </w:tc>
      </w:tr>
      <w:tr w:rsidR="00000000" w14:paraId="66A54609" w14:textId="77777777">
        <w:trPr>
          <w:divId w:val="1134299048"/>
          <w:jc w:val="center"/>
        </w:trPr>
        <w:tc>
          <w:tcPr>
            <w:tcW w:w="0" w:type="auto"/>
            <w:gridSpan w:val="3"/>
            <w:shd w:val="clear" w:color="auto" w:fill="CCEEFF"/>
            <w:tcMar>
              <w:top w:w="30" w:type="dxa"/>
              <w:left w:w="20" w:type="dxa"/>
              <w:bottom w:w="30" w:type="dxa"/>
              <w:right w:w="20" w:type="dxa"/>
            </w:tcMar>
            <w:vAlign w:val="bottom"/>
            <w:hideMark/>
          </w:tcPr>
          <w:p w14:paraId="69C0EEF6" w14:textId="77777777" w:rsidR="00000000" w:rsidRDefault="00195E73">
            <w:pPr>
              <w:rPr>
                <w:rFonts w:eastAsia="Times New Roman"/>
              </w:rPr>
            </w:pPr>
            <w:r>
              <w:rPr>
                <w:rFonts w:eastAsia="Times New Roman"/>
                <w:color w:val="000000"/>
                <w:sz w:val="20"/>
                <w:szCs w:val="20"/>
              </w:rPr>
              <w:t>Partnership contribution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299C4E2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C6FE305" w14:textId="77777777" w:rsidR="00000000" w:rsidRDefault="00195E73">
            <w:pPr>
              <w:jc w:val="right"/>
              <w:rPr>
                <w:rFonts w:eastAsia="Times New Roman"/>
              </w:rPr>
            </w:pPr>
            <w:r>
              <w:rPr>
                <w:rFonts w:eastAsia="Times New Roman"/>
                <w:color w:val="000000"/>
                <w:sz w:val="20"/>
                <w:szCs w:val="20"/>
              </w:rPr>
              <w:t>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B652C6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3645EE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C9A943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13423CC"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84E169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6C54B4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9E624B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D1B10E3" w14:textId="77777777" w:rsidR="00000000" w:rsidRDefault="00195E73">
            <w:pPr>
              <w:jc w:val="right"/>
              <w:rPr>
                <w:rFonts w:eastAsia="Times New Roman"/>
              </w:rPr>
            </w:pPr>
            <w:r>
              <w:rPr>
                <w:rFonts w:eastAsia="Times New Roman"/>
                <w:color w:val="000000"/>
                <w:sz w:val="20"/>
                <w:szCs w:val="20"/>
              </w:rPr>
              <w:t>612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263CC3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99DA48F" w14:textId="77777777" w:rsidR="00000000" w:rsidRDefault="00195E73">
            <w:pPr>
              <w:rPr>
                <w:rFonts w:eastAsia="Times New Roman"/>
                <w:sz w:val="20"/>
                <w:szCs w:val="20"/>
              </w:rPr>
            </w:pPr>
          </w:p>
        </w:tc>
        <w:tc>
          <w:tcPr>
            <w:tcW w:w="0" w:type="auto"/>
            <w:vAlign w:val="center"/>
            <w:hideMark/>
          </w:tcPr>
          <w:p w14:paraId="4FBEC83B" w14:textId="77777777" w:rsidR="00000000" w:rsidRDefault="00195E73">
            <w:pPr>
              <w:rPr>
                <w:rFonts w:eastAsia="Times New Roman"/>
                <w:sz w:val="20"/>
                <w:szCs w:val="20"/>
              </w:rPr>
            </w:pPr>
          </w:p>
        </w:tc>
        <w:tc>
          <w:tcPr>
            <w:tcW w:w="0" w:type="auto"/>
            <w:vAlign w:val="center"/>
            <w:hideMark/>
          </w:tcPr>
          <w:p w14:paraId="651467CF" w14:textId="77777777" w:rsidR="00000000" w:rsidRDefault="00195E73">
            <w:pPr>
              <w:rPr>
                <w:rFonts w:eastAsia="Times New Roman"/>
                <w:sz w:val="20"/>
                <w:szCs w:val="20"/>
              </w:rPr>
            </w:pPr>
          </w:p>
        </w:tc>
        <w:tc>
          <w:tcPr>
            <w:tcW w:w="0" w:type="auto"/>
            <w:vAlign w:val="center"/>
            <w:hideMark/>
          </w:tcPr>
          <w:p w14:paraId="5ADF4B03" w14:textId="77777777" w:rsidR="00000000" w:rsidRDefault="00195E73">
            <w:pPr>
              <w:rPr>
                <w:rFonts w:eastAsia="Times New Roman"/>
                <w:sz w:val="20"/>
                <w:szCs w:val="20"/>
              </w:rPr>
            </w:pPr>
          </w:p>
        </w:tc>
        <w:tc>
          <w:tcPr>
            <w:tcW w:w="0" w:type="auto"/>
            <w:vAlign w:val="center"/>
            <w:hideMark/>
          </w:tcPr>
          <w:p w14:paraId="434D91A0" w14:textId="77777777" w:rsidR="00000000" w:rsidRDefault="00195E73">
            <w:pPr>
              <w:rPr>
                <w:rFonts w:eastAsia="Times New Roman"/>
                <w:sz w:val="20"/>
                <w:szCs w:val="20"/>
              </w:rPr>
            </w:pPr>
          </w:p>
        </w:tc>
        <w:tc>
          <w:tcPr>
            <w:tcW w:w="0" w:type="auto"/>
            <w:vAlign w:val="center"/>
            <w:hideMark/>
          </w:tcPr>
          <w:p w14:paraId="11D8714F" w14:textId="77777777" w:rsidR="00000000" w:rsidRDefault="00195E73">
            <w:pPr>
              <w:rPr>
                <w:rFonts w:eastAsia="Times New Roman"/>
                <w:sz w:val="20"/>
                <w:szCs w:val="20"/>
              </w:rPr>
            </w:pPr>
          </w:p>
        </w:tc>
        <w:tc>
          <w:tcPr>
            <w:tcW w:w="0" w:type="auto"/>
            <w:vAlign w:val="center"/>
            <w:hideMark/>
          </w:tcPr>
          <w:p w14:paraId="377F906F" w14:textId="77777777" w:rsidR="00000000" w:rsidRDefault="00195E73">
            <w:pPr>
              <w:rPr>
                <w:rFonts w:eastAsia="Times New Roman"/>
                <w:sz w:val="20"/>
                <w:szCs w:val="20"/>
              </w:rPr>
            </w:pPr>
          </w:p>
        </w:tc>
        <w:tc>
          <w:tcPr>
            <w:tcW w:w="0" w:type="auto"/>
            <w:vAlign w:val="center"/>
            <w:hideMark/>
          </w:tcPr>
          <w:p w14:paraId="33D4B6A9" w14:textId="77777777" w:rsidR="00000000" w:rsidRDefault="00195E73">
            <w:pPr>
              <w:rPr>
                <w:rFonts w:eastAsia="Times New Roman"/>
                <w:sz w:val="20"/>
                <w:szCs w:val="20"/>
              </w:rPr>
            </w:pPr>
          </w:p>
        </w:tc>
        <w:tc>
          <w:tcPr>
            <w:tcW w:w="0" w:type="auto"/>
            <w:vAlign w:val="center"/>
            <w:hideMark/>
          </w:tcPr>
          <w:p w14:paraId="02703E0D" w14:textId="77777777" w:rsidR="00000000" w:rsidRDefault="00195E73">
            <w:pPr>
              <w:rPr>
                <w:rFonts w:eastAsia="Times New Roman"/>
                <w:sz w:val="20"/>
                <w:szCs w:val="20"/>
              </w:rPr>
            </w:pPr>
          </w:p>
        </w:tc>
        <w:tc>
          <w:tcPr>
            <w:tcW w:w="0" w:type="auto"/>
            <w:vAlign w:val="center"/>
            <w:hideMark/>
          </w:tcPr>
          <w:p w14:paraId="2709253B" w14:textId="77777777" w:rsidR="00000000" w:rsidRDefault="00195E73">
            <w:pPr>
              <w:rPr>
                <w:rFonts w:eastAsia="Times New Roman"/>
                <w:sz w:val="20"/>
                <w:szCs w:val="20"/>
              </w:rPr>
            </w:pPr>
          </w:p>
        </w:tc>
        <w:tc>
          <w:tcPr>
            <w:tcW w:w="0" w:type="auto"/>
            <w:vAlign w:val="center"/>
            <w:hideMark/>
          </w:tcPr>
          <w:p w14:paraId="24E61E3B" w14:textId="77777777" w:rsidR="00000000" w:rsidRDefault="00195E73">
            <w:pPr>
              <w:rPr>
                <w:rFonts w:eastAsia="Times New Roman"/>
                <w:sz w:val="20"/>
                <w:szCs w:val="20"/>
              </w:rPr>
            </w:pPr>
          </w:p>
        </w:tc>
        <w:tc>
          <w:tcPr>
            <w:tcW w:w="0" w:type="auto"/>
            <w:vAlign w:val="center"/>
            <w:hideMark/>
          </w:tcPr>
          <w:p w14:paraId="2B228717" w14:textId="77777777" w:rsidR="00000000" w:rsidRDefault="00195E73">
            <w:pPr>
              <w:rPr>
                <w:rFonts w:eastAsia="Times New Roman"/>
                <w:sz w:val="20"/>
                <w:szCs w:val="20"/>
              </w:rPr>
            </w:pPr>
          </w:p>
        </w:tc>
      </w:tr>
      <w:tr w:rsidR="00000000" w14:paraId="0194B17D" w14:textId="77777777">
        <w:trPr>
          <w:divId w:val="1134299048"/>
          <w:jc w:val="center"/>
        </w:trPr>
        <w:tc>
          <w:tcPr>
            <w:tcW w:w="0" w:type="auto"/>
            <w:gridSpan w:val="3"/>
            <w:shd w:val="clear" w:color="auto" w:fill="FFFFFF"/>
            <w:tcMar>
              <w:top w:w="30" w:type="dxa"/>
              <w:left w:w="20" w:type="dxa"/>
              <w:bottom w:w="30" w:type="dxa"/>
              <w:right w:w="20" w:type="dxa"/>
            </w:tcMar>
            <w:vAlign w:val="bottom"/>
            <w:hideMark/>
          </w:tcPr>
          <w:p w14:paraId="6D7CA873" w14:textId="77777777" w:rsidR="00000000" w:rsidRDefault="00195E73">
            <w:pPr>
              <w:rPr>
                <w:rFonts w:eastAsia="Times New Roman"/>
              </w:rPr>
            </w:pPr>
            <w:r>
              <w:rPr>
                <w:rFonts w:eastAsia="Times New Roman"/>
                <w:color w:val="000000"/>
                <w:sz w:val="20"/>
                <w:szCs w:val="20"/>
              </w:rPr>
              <w:t>Partnership distribution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257342B" w14:textId="77777777" w:rsidR="00000000" w:rsidRDefault="00195E73">
            <w:pPr>
              <w:jc w:val="right"/>
              <w:rPr>
                <w:rFonts w:eastAsia="Times New Roman"/>
              </w:rPr>
            </w:pPr>
            <w:r>
              <w:rPr>
                <w:rFonts w:eastAsia="Times New Roman"/>
                <w:color w:val="000000"/>
                <w:sz w:val="20"/>
                <w:szCs w:val="20"/>
              </w:rPr>
              <w:t>(112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679412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C4F50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F88CB9" w14:textId="77777777" w:rsidR="00000000" w:rsidRDefault="00195E73">
            <w:pPr>
              <w:jc w:val="right"/>
              <w:rPr>
                <w:rFonts w:eastAsia="Times New Roman"/>
              </w:rPr>
            </w:pPr>
            <w:r>
              <w:rPr>
                <w:rFonts w:eastAsia="Times New Roman"/>
                <w:color w:val="000000"/>
                <w:sz w:val="20"/>
                <w:szCs w:val="20"/>
              </w:rPr>
              <w:t>(97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43B48C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163131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E1522C" w14:textId="77777777" w:rsidR="00000000" w:rsidRDefault="00195E73">
            <w:pPr>
              <w:jc w:val="right"/>
              <w:rPr>
                <w:rFonts w:eastAsia="Times New Roman"/>
              </w:rPr>
            </w:pPr>
            <w:r>
              <w:rPr>
                <w:rFonts w:eastAsia="Times New Roman"/>
                <w:color w:val="000000"/>
                <w:sz w:val="20"/>
                <w:szCs w:val="20"/>
              </w:rPr>
              <w:t>(81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F1A278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96AE260" w14:textId="77777777" w:rsidR="00000000" w:rsidRDefault="00195E73">
            <w:pPr>
              <w:rPr>
                <w:rFonts w:eastAsia="Times New Roman"/>
                <w:sz w:val="20"/>
                <w:szCs w:val="20"/>
              </w:rPr>
            </w:pPr>
          </w:p>
        </w:tc>
        <w:tc>
          <w:tcPr>
            <w:tcW w:w="0" w:type="auto"/>
            <w:vAlign w:val="center"/>
            <w:hideMark/>
          </w:tcPr>
          <w:p w14:paraId="347B342C" w14:textId="77777777" w:rsidR="00000000" w:rsidRDefault="00195E73">
            <w:pPr>
              <w:rPr>
                <w:rFonts w:eastAsia="Times New Roman"/>
                <w:sz w:val="20"/>
                <w:szCs w:val="20"/>
              </w:rPr>
            </w:pPr>
          </w:p>
        </w:tc>
        <w:tc>
          <w:tcPr>
            <w:tcW w:w="0" w:type="auto"/>
            <w:vAlign w:val="center"/>
            <w:hideMark/>
          </w:tcPr>
          <w:p w14:paraId="758D57C5" w14:textId="77777777" w:rsidR="00000000" w:rsidRDefault="00195E73">
            <w:pPr>
              <w:rPr>
                <w:rFonts w:eastAsia="Times New Roman"/>
                <w:sz w:val="20"/>
                <w:szCs w:val="20"/>
              </w:rPr>
            </w:pPr>
          </w:p>
        </w:tc>
        <w:tc>
          <w:tcPr>
            <w:tcW w:w="0" w:type="auto"/>
            <w:vAlign w:val="center"/>
            <w:hideMark/>
          </w:tcPr>
          <w:p w14:paraId="4A6D0DF6" w14:textId="77777777" w:rsidR="00000000" w:rsidRDefault="00195E73">
            <w:pPr>
              <w:rPr>
                <w:rFonts w:eastAsia="Times New Roman"/>
                <w:sz w:val="20"/>
                <w:szCs w:val="20"/>
              </w:rPr>
            </w:pPr>
          </w:p>
        </w:tc>
        <w:tc>
          <w:tcPr>
            <w:tcW w:w="0" w:type="auto"/>
            <w:vAlign w:val="center"/>
            <w:hideMark/>
          </w:tcPr>
          <w:p w14:paraId="54BD77B3" w14:textId="77777777" w:rsidR="00000000" w:rsidRDefault="00195E73">
            <w:pPr>
              <w:rPr>
                <w:rFonts w:eastAsia="Times New Roman"/>
                <w:sz w:val="20"/>
                <w:szCs w:val="20"/>
              </w:rPr>
            </w:pPr>
          </w:p>
        </w:tc>
        <w:tc>
          <w:tcPr>
            <w:tcW w:w="0" w:type="auto"/>
            <w:vAlign w:val="center"/>
            <w:hideMark/>
          </w:tcPr>
          <w:p w14:paraId="03A5E5FF" w14:textId="77777777" w:rsidR="00000000" w:rsidRDefault="00195E73">
            <w:pPr>
              <w:rPr>
                <w:rFonts w:eastAsia="Times New Roman"/>
                <w:sz w:val="20"/>
                <w:szCs w:val="20"/>
              </w:rPr>
            </w:pPr>
          </w:p>
        </w:tc>
        <w:tc>
          <w:tcPr>
            <w:tcW w:w="0" w:type="auto"/>
            <w:vAlign w:val="center"/>
            <w:hideMark/>
          </w:tcPr>
          <w:p w14:paraId="0E75248F" w14:textId="77777777" w:rsidR="00000000" w:rsidRDefault="00195E73">
            <w:pPr>
              <w:rPr>
                <w:rFonts w:eastAsia="Times New Roman"/>
                <w:sz w:val="20"/>
                <w:szCs w:val="20"/>
              </w:rPr>
            </w:pPr>
          </w:p>
        </w:tc>
        <w:tc>
          <w:tcPr>
            <w:tcW w:w="0" w:type="auto"/>
            <w:vAlign w:val="center"/>
            <w:hideMark/>
          </w:tcPr>
          <w:p w14:paraId="3F0828EA" w14:textId="77777777" w:rsidR="00000000" w:rsidRDefault="00195E73">
            <w:pPr>
              <w:rPr>
                <w:rFonts w:eastAsia="Times New Roman"/>
                <w:sz w:val="20"/>
                <w:szCs w:val="20"/>
              </w:rPr>
            </w:pPr>
          </w:p>
        </w:tc>
        <w:tc>
          <w:tcPr>
            <w:tcW w:w="0" w:type="auto"/>
            <w:vAlign w:val="center"/>
            <w:hideMark/>
          </w:tcPr>
          <w:p w14:paraId="37165DDE" w14:textId="77777777" w:rsidR="00000000" w:rsidRDefault="00195E73">
            <w:pPr>
              <w:rPr>
                <w:rFonts w:eastAsia="Times New Roman"/>
                <w:sz w:val="20"/>
                <w:szCs w:val="20"/>
              </w:rPr>
            </w:pPr>
          </w:p>
        </w:tc>
        <w:tc>
          <w:tcPr>
            <w:tcW w:w="0" w:type="auto"/>
            <w:vAlign w:val="center"/>
            <w:hideMark/>
          </w:tcPr>
          <w:p w14:paraId="701BE4B6" w14:textId="77777777" w:rsidR="00000000" w:rsidRDefault="00195E73">
            <w:pPr>
              <w:rPr>
                <w:rFonts w:eastAsia="Times New Roman"/>
                <w:sz w:val="20"/>
                <w:szCs w:val="20"/>
              </w:rPr>
            </w:pPr>
          </w:p>
        </w:tc>
        <w:tc>
          <w:tcPr>
            <w:tcW w:w="0" w:type="auto"/>
            <w:vAlign w:val="center"/>
            <w:hideMark/>
          </w:tcPr>
          <w:p w14:paraId="79221CDD" w14:textId="77777777" w:rsidR="00000000" w:rsidRDefault="00195E73">
            <w:pPr>
              <w:rPr>
                <w:rFonts w:eastAsia="Times New Roman"/>
                <w:sz w:val="20"/>
                <w:szCs w:val="20"/>
              </w:rPr>
            </w:pPr>
          </w:p>
        </w:tc>
        <w:tc>
          <w:tcPr>
            <w:tcW w:w="0" w:type="auto"/>
            <w:vAlign w:val="center"/>
            <w:hideMark/>
          </w:tcPr>
          <w:p w14:paraId="2CBA4924" w14:textId="77777777" w:rsidR="00000000" w:rsidRDefault="00195E73">
            <w:pPr>
              <w:rPr>
                <w:rFonts w:eastAsia="Times New Roman"/>
                <w:sz w:val="20"/>
                <w:szCs w:val="20"/>
              </w:rPr>
            </w:pPr>
          </w:p>
        </w:tc>
      </w:tr>
      <w:tr w:rsidR="00000000" w14:paraId="3615B136" w14:textId="77777777">
        <w:trPr>
          <w:divId w:val="1134299048"/>
          <w:jc w:val="center"/>
        </w:trPr>
        <w:tc>
          <w:tcPr>
            <w:tcW w:w="0" w:type="auto"/>
            <w:gridSpan w:val="3"/>
            <w:shd w:val="clear" w:color="auto" w:fill="CCEEFF"/>
            <w:tcMar>
              <w:top w:w="30" w:type="dxa"/>
              <w:left w:w="20" w:type="dxa"/>
              <w:bottom w:w="30" w:type="dxa"/>
              <w:right w:w="20" w:type="dxa"/>
            </w:tcMar>
            <w:vAlign w:val="bottom"/>
            <w:hideMark/>
          </w:tcPr>
          <w:p w14:paraId="4069BFDB" w14:textId="77777777" w:rsidR="00000000" w:rsidRDefault="00195E73">
            <w:pPr>
              <w:rPr>
                <w:rFonts w:eastAsia="Times New Roman"/>
              </w:rPr>
            </w:pPr>
            <w:r>
              <w:rPr>
                <w:rFonts w:eastAsia="Times New Roman"/>
                <w:color w:val="000000"/>
                <w:sz w:val="20"/>
                <w:szCs w:val="20"/>
              </w:rPr>
              <w:t>Payments to acquire additional interests in subsidiarie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3F21E49"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A80A0C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3A4A5F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80E7DA"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24B633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12A510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746DB6" w14:textId="77777777" w:rsidR="00000000" w:rsidRDefault="00195E73">
            <w:pPr>
              <w:jc w:val="right"/>
              <w:rPr>
                <w:rFonts w:eastAsia="Times New Roman"/>
              </w:rPr>
            </w:pPr>
            <w:r>
              <w:rPr>
                <w:rFonts w:eastAsia="Times New Roman"/>
                <w:color w:val="000000"/>
                <w:sz w:val="20"/>
                <w:szCs w:val="20"/>
              </w:rPr>
              <w:t>(349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0A1C0F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874F2D7" w14:textId="77777777" w:rsidR="00000000" w:rsidRDefault="00195E73">
            <w:pPr>
              <w:rPr>
                <w:rFonts w:eastAsia="Times New Roman"/>
                <w:sz w:val="20"/>
                <w:szCs w:val="20"/>
              </w:rPr>
            </w:pPr>
          </w:p>
        </w:tc>
        <w:tc>
          <w:tcPr>
            <w:tcW w:w="0" w:type="auto"/>
            <w:vAlign w:val="center"/>
            <w:hideMark/>
          </w:tcPr>
          <w:p w14:paraId="2994E88A" w14:textId="77777777" w:rsidR="00000000" w:rsidRDefault="00195E73">
            <w:pPr>
              <w:rPr>
                <w:rFonts w:eastAsia="Times New Roman"/>
                <w:sz w:val="20"/>
                <w:szCs w:val="20"/>
              </w:rPr>
            </w:pPr>
          </w:p>
        </w:tc>
        <w:tc>
          <w:tcPr>
            <w:tcW w:w="0" w:type="auto"/>
            <w:vAlign w:val="center"/>
            <w:hideMark/>
          </w:tcPr>
          <w:p w14:paraId="50A9C615" w14:textId="77777777" w:rsidR="00000000" w:rsidRDefault="00195E73">
            <w:pPr>
              <w:rPr>
                <w:rFonts w:eastAsia="Times New Roman"/>
                <w:sz w:val="20"/>
                <w:szCs w:val="20"/>
              </w:rPr>
            </w:pPr>
          </w:p>
        </w:tc>
        <w:tc>
          <w:tcPr>
            <w:tcW w:w="0" w:type="auto"/>
            <w:vAlign w:val="center"/>
            <w:hideMark/>
          </w:tcPr>
          <w:p w14:paraId="1C20E634" w14:textId="77777777" w:rsidR="00000000" w:rsidRDefault="00195E73">
            <w:pPr>
              <w:rPr>
                <w:rFonts w:eastAsia="Times New Roman"/>
                <w:sz w:val="20"/>
                <w:szCs w:val="20"/>
              </w:rPr>
            </w:pPr>
          </w:p>
        </w:tc>
        <w:tc>
          <w:tcPr>
            <w:tcW w:w="0" w:type="auto"/>
            <w:vAlign w:val="center"/>
            <w:hideMark/>
          </w:tcPr>
          <w:p w14:paraId="352C12D0" w14:textId="77777777" w:rsidR="00000000" w:rsidRDefault="00195E73">
            <w:pPr>
              <w:rPr>
                <w:rFonts w:eastAsia="Times New Roman"/>
                <w:sz w:val="20"/>
                <w:szCs w:val="20"/>
              </w:rPr>
            </w:pPr>
          </w:p>
        </w:tc>
        <w:tc>
          <w:tcPr>
            <w:tcW w:w="0" w:type="auto"/>
            <w:vAlign w:val="center"/>
            <w:hideMark/>
          </w:tcPr>
          <w:p w14:paraId="76DA78B2" w14:textId="77777777" w:rsidR="00000000" w:rsidRDefault="00195E73">
            <w:pPr>
              <w:rPr>
                <w:rFonts w:eastAsia="Times New Roman"/>
                <w:sz w:val="20"/>
                <w:szCs w:val="20"/>
              </w:rPr>
            </w:pPr>
          </w:p>
        </w:tc>
        <w:tc>
          <w:tcPr>
            <w:tcW w:w="0" w:type="auto"/>
            <w:vAlign w:val="center"/>
            <w:hideMark/>
          </w:tcPr>
          <w:p w14:paraId="36553B47" w14:textId="77777777" w:rsidR="00000000" w:rsidRDefault="00195E73">
            <w:pPr>
              <w:rPr>
                <w:rFonts w:eastAsia="Times New Roman"/>
                <w:sz w:val="20"/>
                <w:szCs w:val="20"/>
              </w:rPr>
            </w:pPr>
          </w:p>
        </w:tc>
        <w:tc>
          <w:tcPr>
            <w:tcW w:w="0" w:type="auto"/>
            <w:vAlign w:val="center"/>
            <w:hideMark/>
          </w:tcPr>
          <w:p w14:paraId="7ECFDAF2" w14:textId="77777777" w:rsidR="00000000" w:rsidRDefault="00195E73">
            <w:pPr>
              <w:rPr>
                <w:rFonts w:eastAsia="Times New Roman"/>
                <w:sz w:val="20"/>
                <w:szCs w:val="20"/>
              </w:rPr>
            </w:pPr>
          </w:p>
        </w:tc>
        <w:tc>
          <w:tcPr>
            <w:tcW w:w="0" w:type="auto"/>
            <w:vAlign w:val="center"/>
            <w:hideMark/>
          </w:tcPr>
          <w:p w14:paraId="070F730C" w14:textId="77777777" w:rsidR="00000000" w:rsidRDefault="00195E73">
            <w:pPr>
              <w:rPr>
                <w:rFonts w:eastAsia="Times New Roman"/>
                <w:sz w:val="20"/>
                <w:szCs w:val="20"/>
              </w:rPr>
            </w:pPr>
          </w:p>
        </w:tc>
        <w:tc>
          <w:tcPr>
            <w:tcW w:w="0" w:type="auto"/>
            <w:vAlign w:val="center"/>
            <w:hideMark/>
          </w:tcPr>
          <w:p w14:paraId="76BD5405" w14:textId="77777777" w:rsidR="00000000" w:rsidRDefault="00195E73">
            <w:pPr>
              <w:rPr>
                <w:rFonts w:eastAsia="Times New Roman"/>
                <w:sz w:val="20"/>
                <w:szCs w:val="20"/>
              </w:rPr>
            </w:pPr>
          </w:p>
        </w:tc>
        <w:tc>
          <w:tcPr>
            <w:tcW w:w="0" w:type="auto"/>
            <w:vAlign w:val="center"/>
            <w:hideMark/>
          </w:tcPr>
          <w:p w14:paraId="584D3AA7" w14:textId="77777777" w:rsidR="00000000" w:rsidRDefault="00195E73">
            <w:pPr>
              <w:rPr>
                <w:rFonts w:eastAsia="Times New Roman"/>
                <w:sz w:val="20"/>
                <w:szCs w:val="20"/>
              </w:rPr>
            </w:pPr>
          </w:p>
        </w:tc>
        <w:tc>
          <w:tcPr>
            <w:tcW w:w="0" w:type="auto"/>
            <w:vAlign w:val="center"/>
            <w:hideMark/>
          </w:tcPr>
          <w:p w14:paraId="25CFF5CE" w14:textId="77777777" w:rsidR="00000000" w:rsidRDefault="00195E73">
            <w:pPr>
              <w:rPr>
                <w:rFonts w:eastAsia="Times New Roman"/>
                <w:sz w:val="20"/>
                <w:szCs w:val="20"/>
              </w:rPr>
            </w:pPr>
          </w:p>
        </w:tc>
      </w:tr>
      <w:tr w:rsidR="00000000" w14:paraId="3A75E580" w14:textId="77777777">
        <w:trPr>
          <w:divId w:val="1134299048"/>
          <w:jc w:val="center"/>
        </w:trPr>
        <w:tc>
          <w:tcPr>
            <w:tcW w:w="0" w:type="auto"/>
            <w:gridSpan w:val="3"/>
            <w:shd w:val="clear" w:color="auto" w:fill="FFFFFF"/>
            <w:tcMar>
              <w:top w:w="30" w:type="dxa"/>
              <w:left w:w="20" w:type="dxa"/>
              <w:bottom w:w="30" w:type="dxa"/>
              <w:right w:w="20" w:type="dxa"/>
            </w:tcMar>
            <w:vAlign w:val="bottom"/>
            <w:hideMark/>
          </w:tcPr>
          <w:p w14:paraId="793C2221" w14:textId="77777777" w:rsidR="00000000" w:rsidRDefault="00195E73">
            <w:pPr>
              <w:rPr>
                <w:rFonts w:eastAsia="Times New Roman"/>
              </w:rPr>
            </w:pPr>
            <w:r>
              <w:rPr>
                <w:rFonts w:eastAsia="Times New Roman"/>
                <w:color w:val="000000"/>
                <w:sz w:val="20"/>
                <w:szCs w:val="20"/>
              </w:rPr>
              <w:t>Net debt transaction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2F65110" w14:textId="77777777" w:rsidR="00000000" w:rsidRDefault="00195E73">
            <w:pPr>
              <w:jc w:val="right"/>
              <w:rPr>
                <w:rFonts w:eastAsia="Times New Roman"/>
              </w:rPr>
            </w:pPr>
            <w:r>
              <w:rPr>
                <w:rFonts w:eastAsia="Times New Roman"/>
                <w:color w:val="000000"/>
                <w:sz w:val="20"/>
                <w:szCs w:val="20"/>
              </w:rPr>
              <w:t>795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E909D1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CE66F3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465DBE"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986E8B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99774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821313" w14:textId="77777777" w:rsidR="00000000" w:rsidRDefault="00195E73">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A22746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6D96019" w14:textId="77777777" w:rsidR="00000000" w:rsidRDefault="00195E73">
            <w:pPr>
              <w:rPr>
                <w:rFonts w:eastAsia="Times New Roman"/>
                <w:sz w:val="20"/>
                <w:szCs w:val="20"/>
              </w:rPr>
            </w:pPr>
          </w:p>
        </w:tc>
        <w:tc>
          <w:tcPr>
            <w:tcW w:w="0" w:type="auto"/>
            <w:vAlign w:val="center"/>
            <w:hideMark/>
          </w:tcPr>
          <w:p w14:paraId="1C488B81" w14:textId="77777777" w:rsidR="00000000" w:rsidRDefault="00195E73">
            <w:pPr>
              <w:rPr>
                <w:rFonts w:eastAsia="Times New Roman"/>
                <w:sz w:val="20"/>
                <w:szCs w:val="20"/>
              </w:rPr>
            </w:pPr>
          </w:p>
        </w:tc>
        <w:tc>
          <w:tcPr>
            <w:tcW w:w="0" w:type="auto"/>
            <w:vAlign w:val="center"/>
            <w:hideMark/>
          </w:tcPr>
          <w:p w14:paraId="261CA756" w14:textId="77777777" w:rsidR="00000000" w:rsidRDefault="00195E73">
            <w:pPr>
              <w:rPr>
                <w:rFonts w:eastAsia="Times New Roman"/>
                <w:sz w:val="20"/>
                <w:szCs w:val="20"/>
              </w:rPr>
            </w:pPr>
          </w:p>
        </w:tc>
        <w:tc>
          <w:tcPr>
            <w:tcW w:w="0" w:type="auto"/>
            <w:vAlign w:val="center"/>
            <w:hideMark/>
          </w:tcPr>
          <w:p w14:paraId="344C4F0E" w14:textId="77777777" w:rsidR="00000000" w:rsidRDefault="00195E73">
            <w:pPr>
              <w:rPr>
                <w:rFonts w:eastAsia="Times New Roman"/>
                <w:sz w:val="20"/>
                <w:szCs w:val="20"/>
              </w:rPr>
            </w:pPr>
          </w:p>
        </w:tc>
        <w:tc>
          <w:tcPr>
            <w:tcW w:w="0" w:type="auto"/>
            <w:vAlign w:val="center"/>
            <w:hideMark/>
          </w:tcPr>
          <w:p w14:paraId="6E81AA7E" w14:textId="77777777" w:rsidR="00000000" w:rsidRDefault="00195E73">
            <w:pPr>
              <w:rPr>
                <w:rFonts w:eastAsia="Times New Roman"/>
                <w:sz w:val="20"/>
                <w:szCs w:val="20"/>
              </w:rPr>
            </w:pPr>
          </w:p>
        </w:tc>
        <w:tc>
          <w:tcPr>
            <w:tcW w:w="0" w:type="auto"/>
            <w:vAlign w:val="center"/>
            <w:hideMark/>
          </w:tcPr>
          <w:p w14:paraId="7F769EE1" w14:textId="77777777" w:rsidR="00000000" w:rsidRDefault="00195E73">
            <w:pPr>
              <w:rPr>
                <w:rFonts w:eastAsia="Times New Roman"/>
                <w:sz w:val="20"/>
                <w:szCs w:val="20"/>
              </w:rPr>
            </w:pPr>
          </w:p>
        </w:tc>
        <w:tc>
          <w:tcPr>
            <w:tcW w:w="0" w:type="auto"/>
            <w:vAlign w:val="center"/>
            <w:hideMark/>
          </w:tcPr>
          <w:p w14:paraId="04BA085D" w14:textId="77777777" w:rsidR="00000000" w:rsidRDefault="00195E73">
            <w:pPr>
              <w:rPr>
                <w:rFonts w:eastAsia="Times New Roman"/>
                <w:sz w:val="20"/>
                <w:szCs w:val="20"/>
              </w:rPr>
            </w:pPr>
          </w:p>
        </w:tc>
        <w:tc>
          <w:tcPr>
            <w:tcW w:w="0" w:type="auto"/>
            <w:vAlign w:val="center"/>
            <w:hideMark/>
          </w:tcPr>
          <w:p w14:paraId="6FDF9D8A" w14:textId="77777777" w:rsidR="00000000" w:rsidRDefault="00195E73">
            <w:pPr>
              <w:rPr>
                <w:rFonts w:eastAsia="Times New Roman"/>
                <w:sz w:val="20"/>
                <w:szCs w:val="20"/>
              </w:rPr>
            </w:pPr>
          </w:p>
        </w:tc>
        <w:tc>
          <w:tcPr>
            <w:tcW w:w="0" w:type="auto"/>
            <w:vAlign w:val="center"/>
            <w:hideMark/>
          </w:tcPr>
          <w:p w14:paraId="70ABBB74" w14:textId="77777777" w:rsidR="00000000" w:rsidRDefault="00195E73">
            <w:pPr>
              <w:rPr>
                <w:rFonts w:eastAsia="Times New Roman"/>
                <w:sz w:val="20"/>
                <w:szCs w:val="20"/>
              </w:rPr>
            </w:pPr>
          </w:p>
        </w:tc>
        <w:tc>
          <w:tcPr>
            <w:tcW w:w="0" w:type="auto"/>
            <w:vAlign w:val="center"/>
            <w:hideMark/>
          </w:tcPr>
          <w:p w14:paraId="074348F4" w14:textId="77777777" w:rsidR="00000000" w:rsidRDefault="00195E73">
            <w:pPr>
              <w:rPr>
                <w:rFonts w:eastAsia="Times New Roman"/>
                <w:sz w:val="20"/>
                <w:szCs w:val="20"/>
              </w:rPr>
            </w:pPr>
          </w:p>
        </w:tc>
        <w:tc>
          <w:tcPr>
            <w:tcW w:w="0" w:type="auto"/>
            <w:vAlign w:val="center"/>
            <w:hideMark/>
          </w:tcPr>
          <w:p w14:paraId="3B527D33" w14:textId="77777777" w:rsidR="00000000" w:rsidRDefault="00195E73">
            <w:pPr>
              <w:rPr>
                <w:rFonts w:eastAsia="Times New Roman"/>
                <w:sz w:val="20"/>
                <w:szCs w:val="20"/>
              </w:rPr>
            </w:pPr>
          </w:p>
        </w:tc>
        <w:tc>
          <w:tcPr>
            <w:tcW w:w="0" w:type="auto"/>
            <w:vAlign w:val="center"/>
            <w:hideMark/>
          </w:tcPr>
          <w:p w14:paraId="6699EF15" w14:textId="77777777" w:rsidR="00000000" w:rsidRDefault="00195E73">
            <w:pPr>
              <w:rPr>
                <w:rFonts w:eastAsia="Times New Roman"/>
                <w:sz w:val="20"/>
                <w:szCs w:val="20"/>
              </w:rPr>
            </w:pPr>
          </w:p>
        </w:tc>
      </w:tr>
      <w:tr w:rsidR="00000000" w14:paraId="555CCCC2" w14:textId="77777777">
        <w:trPr>
          <w:divId w:val="1134299048"/>
          <w:jc w:val="center"/>
        </w:trPr>
        <w:tc>
          <w:tcPr>
            <w:tcW w:w="0" w:type="auto"/>
            <w:gridSpan w:val="3"/>
            <w:shd w:val="clear" w:color="auto" w:fill="CCEEFF"/>
            <w:tcMar>
              <w:top w:w="30" w:type="dxa"/>
              <w:left w:w="20" w:type="dxa"/>
              <w:bottom w:w="30" w:type="dxa"/>
              <w:right w:w="20" w:type="dxa"/>
            </w:tcMar>
            <w:vAlign w:val="bottom"/>
            <w:hideMark/>
          </w:tcPr>
          <w:p w14:paraId="57F2366A" w14:textId="77777777" w:rsidR="00000000" w:rsidRDefault="00195E73">
            <w:pPr>
              <w:rPr>
                <w:rFonts w:eastAsia="Times New Roman"/>
              </w:rPr>
            </w:pPr>
            <w:r>
              <w:rPr>
                <w:rFonts w:eastAsia="Times New Roman"/>
                <w:color w:val="000000"/>
                <w:sz w:val="20"/>
                <w:szCs w:val="20"/>
              </w:rPr>
              <w:t>Note (repayment) proceeds from other operating segment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21E7553"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587AB7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0C91A6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066756"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6B7357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D8C082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2190CA" w14:textId="77777777" w:rsidR="00000000" w:rsidRDefault="00195E73">
            <w:pPr>
              <w:jc w:val="right"/>
              <w:rPr>
                <w:rFonts w:eastAsia="Times New Roman"/>
              </w:rPr>
            </w:pPr>
            <w:r>
              <w:rPr>
                <w:rFonts w:eastAsia="Times New Roman"/>
                <w:color w:val="000000"/>
                <w:sz w:val="20"/>
                <w:szCs w:val="20"/>
              </w:rPr>
              <w:t>(120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2BC804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49311F8" w14:textId="77777777" w:rsidR="00000000" w:rsidRDefault="00195E73">
            <w:pPr>
              <w:rPr>
                <w:rFonts w:eastAsia="Times New Roman"/>
                <w:sz w:val="20"/>
                <w:szCs w:val="20"/>
              </w:rPr>
            </w:pPr>
          </w:p>
        </w:tc>
        <w:tc>
          <w:tcPr>
            <w:tcW w:w="0" w:type="auto"/>
            <w:vAlign w:val="center"/>
            <w:hideMark/>
          </w:tcPr>
          <w:p w14:paraId="39252492" w14:textId="77777777" w:rsidR="00000000" w:rsidRDefault="00195E73">
            <w:pPr>
              <w:rPr>
                <w:rFonts w:eastAsia="Times New Roman"/>
                <w:sz w:val="20"/>
                <w:szCs w:val="20"/>
              </w:rPr>
            </w:pPr>
          </w:p>
        </w:tc>
        <w:tc>
          <w:tcPr>
            <w:tcW w:w="0" w:type="auto"/>
            <w:vAlign w:val="center"/>
            <w:hideMark/>
          </w:tcPr>
          <w:p w14:paraId="60F8C7D5" w14:textId="77777777" w:rsidR="00000000" w:rsidRDefault="00195E73">
            <w:pPr>
              <w:rPr>
                <w:rFonts w:eastAsia="Times New Roman"/>
                <w:sz w:val="20"/>
                <w:szCs w:val="20"/>
              </w:rPr>
            </w:pPr>
          </w:p>
        </w:tc>
        <w:tc>
          <w:tcPr>
            <w:tcW w:w="0" w:type="auto"/>
            <w:vAlign w:val="center"/>
            <w:hideMark/>
          </w:tcPr>
          <w:p w14:paraId="43172B91" w14:textId="77777777" w:rsidR="00000000" w:rsidRDefault="00195E73">
            <w:pPr>
              <w:rPr>
                <w:rFonts w:eastAsia="Times New Roman"/>
                <w:sz w:val="20"/>
                <w:szCs w:val="20"/>
              </w:rPr>
            </w:pPr>
          </w:p>
        </w:tc>
        <w:tc>
          <w:tcPr>
            <w:tcW w:w="0" w:type="auto"/>
            <w:vAlign w:val="center"/>
            <w:hideMark/>
          </w:tcPr>
          <w:p w14:paraId="6AEF36CF" w14:textId="77777777" w:rsidR="00000000" w:rsidRDefault="00195E73">
            <w:pPr>
              <w:rPr>
                <w:rFonts w:eastAsia="Times New Roman"/>
                <w:sz w:val="20"/>
                <w:szCs w:val="20"/>
              </w:rPr>
            </w:pPr>
          </w:p>
        </w:tc>
        <w:tc>
          <w:tcPr>
            <w:tcW w:w="0" w:type="auto"/>
            <w:vAlign w:val="center"/>
            <w:hideMark/>
          </w:tcPr>
          <w:p w14:paraId="76169AEF" w14:textId="77777777" w:rsidR="00000000" w:rsidRDefault="00195E73">
            <w:pPr>
              <w:rPr>
                <w:rFonts w:eastAsia="Times New Roman"/>
                <w:sz w:val="20"/>
                <w:szCs w:val="20"/>
              </w:rPr>
            </w:pPr>
          </w:p>
        </w:tc>
        <w:tc>
          <w:tcPr>
            <w:tcW w:w="0" w:type="auto"/>
            <w:vAlign w:val="center"/>
            <w:hideMark/>
          </w:tcPr>
          <w:p w14:paraId="5C42A6DA" w14:textId="77777777" w:rsidR="00000000" w:rsidRDefault="00195E73">
            <w:pPr>
              <w:rPr>
                <w:rFonts w:eastAsia="Times New Roman"/>
                <w:sz w:val="20"/>
                <w:szCs w:val="20"/>
              </w:rPr>
            </w:pPr>
          </w:p>
        </w:tc>
        <w:tc>
          <w:tcPr>
            <w:tcW w:w="0" w:type="auto"/>
            <w:vAlign w:val="center"/>
            <w:hideMark/>
          </w:tcPr>
          <w:p w14:paraId="0407E5EC" w14:textId="77777777" w:rsidR="00000000" w:rsidRDefault="00195E73">
            <w:pPr>
              <w:rPr>
                <w:rFonts w:eastAsia="Times New Roman"/>
                <w:sz w:val="20"/>
                <w:szCs w:val="20"/>
              </w:rPr>
            </w:pPr>
          </w:p>
        </w:tc>
        <w:tc>
          <w:tcPr>
            <w:tcW w:w="0" w:type="auto"/>
            <w:vAlign w:val="center"/>
            <w:hideMark/>
          </w:tcPr>
          <w:p w14:paraId="3E0C315A" w14:textId="77777777" w:rsidR="00000000" w:rsidRDefault="00195E73">
            <w:pPr>
              <w:rPr>
                <w:rFonts w:eastAsia="Times New Roman"/>
                <w:sz w:val="20"/>
                <w:szCs w:val="20"/>
              </w:rPr>
            </w:pPr>
          </w:p>
        </w:tc>
        <w:tc>
          <w:tcPr>
            <w:tcW w:w="0" w:type="auto"/>
            <w:vAlign w:val="center"/>
            <w:hideMark/>
          </w:tcPr>
          <w:p w14:paraId="74CE2062" w14:textId="77777777" w:rsidR="00000000" w:rsidRDefault="00195E73">
            <w:pPr>
              <w:rPr>
                <w:rFonts w:eastAsia="Times New Roman"/>
                <w:sz w:val="20"/>
                <w:szCs w:val="20"/>
              </w:rPr>
            </w:pPr>
          </w:p>
        </w:tc>
        <w:tc>
          <w:tcPr>
            <w:tcW w:w="0" w:type="auto"/>
            <w:vAlign w:val="center"/>
            <w:hideMark/>
          </w:tcPr>
          <w:p w14:paraId="22BD55E0" w14:textId="77777777" w:rsidR="00000000" w:rsidRDefault="00195E73">
            <w:pPr>
              <w:rPr>
                <w:rFonts w:eastAsia="Times New Roman"/>
                <w:sz w:val="20"/>
                <w:szCs w:val="20"/>
              </w:rPr>
            </w:pPr>
          </w:p>
        </w:tc>
        <w:tc>
          <w:tcPr>
            <w:tcW w:w="0" w:type="auto"/>
            <w:vAlign w:val="center"/>
            <w:hideMark/>
          </w:tcPr>
          <w:p w14:paraId="54943908" w14:textId="77777777" w:rsidR="00000000" w:rsidRDefault="00195E73">
            <w:pPr>
              <w:rPr>
                <w:rFonts w:eastAsia="Times New Roman"/>
                <w:sz w:val="20"/>
                <w:szCs w:val="20"/>
              </w:rPr>
            </w:pPr>
          </w:p>
        </w:tc>
      </w:tr>
      <w:tr w:rsidR="00000000" w14:paraId="25F35553" w14:textId="77777777">
        <w:trPr>
          <w:divId w:val="1134299048"/>
          <w:jc w:val="center"/>
        </w:trPr>
        <w:tc>
          <w:tcPr>
            <w:tcW w:w="0" w:type="auto"/>
            <w:gridSpan w:val="3"/>
            <w:shd w:val="clear" w:color="auto" w:fill="FFFFFF"/>
            <w:tcMar>
              <w:top w:w="15" w:type="dxa"/>
              <w:left w:w="20" w:type="dxa"/>
              <w:bottom w:w="15" w:type="dxa"/>
              <w:right w:w="20" w:type="dxa"/>
            </w:tcMar>
            <w:vAlign w:val="bottom"/>
            <w:hideMark/>
          </w:tcPr>
          <w:p w14:paraId="64281B0C"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1A27CC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1994A24" w14:textId="77777777" w:rsidR="00000000" w:rsidRDefault="00195E73">
            <w:pPr>
              <w:jc w:val="right"/>
              <w:rPr>
                <w:rFonts w:eastAsia="Times New Roman"/>
              </w:rPr>
            </w:pPr>
            <w:r>
              <w:rPr>
                <w:rFonts w:eastAsia="Times New Roman"/>
                <w:color w:val="000000"/>
                <w:sz w:val="20"/>
                <w:szCs w:val="20"/>
              </w:rPr>
              <w:t>738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0BDFFF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410E1F3"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6B8F00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FDD4B0F" w14:textId="77777777" w:rsidR="00000000" w:rsidRDefault="00195E73">
            <w:pPr>
              <w:jc w:val="right"/>
              <w:rPr>
                <w:rFonts w:eastAsia="Times New Roman"/>
              </w:rPr>
            </w:pPr>
            <w:r>
              <w:rPr>
                <w:rFonts w:eastAsia="Times New Roman"/>
                <w:color w:val="000000"/>
                <w:sz w:val="20"/>
                <w:szCs w:val="20"/>
              </w:rPr>
              <w:t>(102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795445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46C42F4"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8517A0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8C46F2F" w14:textId="77777777" w:rsidR="00000000" w:rsidRDefault="00195E73">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2EA40E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FC8CE28" w14:textId="77777777" w:rsidR="00000000" w:rsidRDefault="00195E73">
            <w:pPr>
              <w:rPr>
                <w:rFonts w:eastAsia="Times New Roman"/>
                <w:sz w:val="20"/>
                <w:szCs w:val="20"/>
              </w:rPr>
            </w:pPr>
          </w:p>
        </w:tc>
        <w:tc>
          <w:tcPr>
            <w:tcW w:w="0" w:type="auto"/>
            <w:vAlign w:val="center"/>
            <w:hideMark/>
          </w:tcPr>
          <w:p w14:paraId="5599D87B" w14:textId="77777777" w:rsidR="00000000" w:rsidRDefault="00195E73">
            <w:pPr>
              <w:rPr>
                <w:rFonts w:eastAsia="Times New Roman"/>
                <w:sz w:val="20"/>
                <w:szCs w:val="20"/>
              </w:rPr>
            </w:pPr>
          </w:p>
        </w:tc>
        <w:tc>
          <w:tcPr>
            <w:tcW w:w="0" w:type="auto"/>
            <w:vAlign w:val="center"/>
            <w:hideMark/>
          </w:tcPr>
          <w:p w14:paraId="0A12BB95" w14:textId="77777777" w:rsidR="00000000" w:rsidRDefault="00195E73">
            <w:pPr>
              <w:rPr>
                <w:rFonts w:eastAsia="Times New Roman"/>
                <w:sz w:val="20"/>
                <w:szCs w:val="20"/>
              </w:rPr>
            </w:pPr>
          </w:p>
        </w:tc>
        <w:tc>
          <w:tcPr>
            <w:tcW w:w="0" w:type="auto"/>
            <w:vAlign w:val="center"/>
            <w:hideMark/>
          </w:tcPr>
          <w:p w14:paraId="0BB2EEE4" w14:textId="77777777" w:rsidR="00000000" w:rsidRDefault="00195E73">
            <w:pPr>
              <w:rPr>
                <w:rFonts w:eastAsia="Times New Roman"/>
                <w:sz w:val="20"/>
                <w:szCs w:val="20"/>
              </w:rPr>
            </w:pPr>
          </w:p>
        </w:tc>
        <w:tc>
          <w:tcPr>
            <w:tcW w:w="0" w:type="auto"/>
            <w:vAlign w:val="center"/>
            <w:hideMark/>
          </w:tcPr>
          <w:p w14:paraId="6A83574C" w14:textId="77777777" w:rsidR="00000000" w:rsidRDefault="00195E73">
            <w:pPr>
              <w:rPr>
                <w:rFonts w:eastAsia="Times New Roman"/>
                <w:sz w:val="20"/>
                <w:szCs w:val="20"/>
              </w:rPr>
            </w:pPr>
          </w:p>
        </w:tc>
        <w:tc>
          <w:tcPr>
            <w:tcW w:w="0" w:type="auto"/>
            <w:vAlign w:val="center"/>
            <w:hideMark/>
          </w:tcPr>
          <w:p w14:paraId="4BB900D6" w14:textId="77777777" w:rsidR="00000000" w:rsidRDefault="00195E73">
            <w:pPr>
              <w:rPr>
                <w:rFonts w:eastAsia="Times New Roman"/>
                <w:sz w:val="20"/>
                <w:szCs w:val="20"/>
              </w:rPr>
            </w:pPr>
          </w:p>
        </w:tc>
        <w:tc>
          <w:tcPr>
            <w:tcW w:w="0" w:type="auto"/>
            <w:vAlign w:val="center"/>
            <w:hideMark/>
          </w:tcPr>
          <w:p w14:paraId="1361DFBF" w14:textId="77777777" w:rsidR="00000000" w:rsidRDefault="00195E73">
            <w:pPr>
              <w:rPr>
                <w:rFonts w:eastAsia="Times New Roman"/>
                <w:sz w:val="20"/>
                <w:szCs w:val="20"/>
              </w:rPr>
            </w:pPr>
          </w:p>
        </w:tc>
        <w:tc>
          <w:tcPr>
            <w:tcW w:w="0" w:type="auto"/>
            <w:vAlign w:val="center"/>
            <w:hideMark/>
          </w:tcPr>
          <w:p w14:paraId="2CD1593C" w14:textId="77777777" w:rsidR="00000000" w:rsidRDefault="00195E73">
            <w:pPr>
              <w:rPr>
                <w:rFonts w:eastAsia="Times New Roman"/>
                <w:sz w:val="20"/>
                <w:szCs w:val="20"/>
              </w:rPr>
            </w:pPr>
          </w:p>
        </w:tc>
        <w:tc>
          <w:tcPr>
            <w:tcW w:w="0" w:type="auto"/>
            <w:vAlign w:val="center"/>
            <w:hideMark/>
          </w:tcPr>
          <w:p w14:paraId="76592B22" w14:textId="77777777" w:rsidR="00000000" w:rsidRDefault="00195E73">
            <w:pPr>
              <w:rPr>
                <w:rFonts w:eastAsia="Times New Roman"/>
                <w:sz w:val="20"/>
                <w:szCs w:val="20"/>
              </w:rPr>
            </w:pPr>
          </w:p>
        </w:tc>
        <w:tc>
          <w:tcPr>
            <w:tcW w:w="0" w:type="auto"/>
            <w:vAlign w:val="center"/>
            <w:hideMark/>
          </w:tcPr>
          <w:p w14:paraId="55D8BD79" w14:textId="77777777" w:rsidR="00000000" w:rsidRDefault="00195E73">
            <w:pPr>
              <w:rPr>
                <w:rFonts w:eastAsia="Times New Roman"/>
                <w:sz w:val="20"/>
                <w:szCs w:val="20"/>
              </w:rPr>
            </w:pPr>
          </w:p>
        </w:tc>
        <w:tc>
          <w:tcPr>
            <w:tcW w:w="0" w:type="auto"/>
            <w:vAlign w:val="center"/>
            <w:hideMark/>
          </w:tcPr>
          <w:p w14:paraId="76E9AA30" w14:textId="77777777" w:rsidR="00000000" w:rsidRDefault="00195E73">
            <w:pPr>
              <w:rPr>
                <w:rFonts w:eastAsia="Times New Roman"/>
                <w:sz w:val="20"/>
                <w:szCs w:val="20"/>
              </w:rPr>
            </w:pPr>
          </w:p>
        </w:tc>
        <w:tc>
          <w:tcPr>
            <w:tcW w:w="0" w:type="auto"/>
            <w:vAlign w:val="center"/>
            <w:hideMark/>
          </w:tcPr>
          <w:p w14:paraId="7D32EE77" w14:textId="77777777" w:rsidR="00000000" w:rsidRDefault="00195E73">
            <w:pPr>
              <w:rPr>
                <w:rFonts w:eastAsia="Times New Roman"/>
                <w:sz w:val="20"/>
                <w:szCs w:val="20"/>
              </w:rPr>
            </w:pPr>
          </w:p>
        </w:tc>
      </w:tr>
      <w:tr w:rsidR="00000000" w14:paraId="07FABA23" w14:textId="77777777">
        <w:trPr>
          <w:divId w:val="1134299048"/>
          <w:jc w:val="center"/>
        </w:trPr>
        <w:tc>
          <w:tcPr>
            <w:tcW w:w="0" w:type="auto"/>
            <w:gridSpan w:val="3"/>
            <w:shd w:val="clear" w:color="auto" w:fill="CCEEFF"/>
            <w:tcMar>
              <w:top w:w="30" w:type="dxa"/>
              <w:left w:w="20" w:type="dxa"/>
              <w:bottom w:w="30" w:type="dxa"/>
              <w:right w:w="20" w:type="dxa"/>
            </w:tcMar>
            <w:vAlign w:val="bottom"/>
            <w:hideMark/>
          </w:tcPr>
          <w:p w14:paraId="031D2201" w14:textId="77777777" w:rsidR="00000000" w:rsidRDefault="00195E73">
            <w:pPr>
              <w:ind w:hanging="180"/>
              <w:divId w:val="1673095878"/>
              <w:rPr>
                <w:rFonts w:eastAsia="Times New Roman"/>
              </w:rPr>
            </w:pPr>
            <w:r>
              <w:rPr>
                <w:rFonts w:eastAsia="Times New Roman"/>
                <w:color w:val="000000"/>
                <w:sz w:val="20"/>
                <w:szCs w:val="20"/>
              </w:rPr>
              <w:t>Increase in cash and cash equivalents and restricted cash and restricted cash equivalent</w:t>
            </w:r>
            <w:r>
              <w:rPr>
                <w:rFonts w:eastAsia="Times New Roman"/>
                <w:color w:val="000000"/>
                <w:sz w:val="20"/>
                <w:szCs w:val="20"/>
              </w:rPr>
              <w:t>s</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0FAE3378"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28F9316E" w14:textId="77777777" w:rsidR="00000000" w:rsidRDefault="00195E73">
            <w:pPr>
              <w:jc w:val="right"/>
              <w:rPr>
                <w:rFonts w:eastAsia="Times New Roman"/>
              </w:rPr>
            </w:pPr>
            <w:r>
              <w:rPr>
                <w:rFonts w:eastAsia="Times New Roman"/>
                <w:color w:val="000000"/>
                <w:sz w:val="20"/>
                <w:szCs w:val="20"/>
              </w:rPr>
              <w:t>1,314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7AEA013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3E1E14" w14:textId="77777777" w:rsidR="00000000" w:rsidRDefault="00195E73">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3014E9F7"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2D607695" w14:textId="77777777" w:rsidR="00000000" w:rsidRDefault="00195E73">
            <w:pPr>
              <w:jc w:val="right"/>
              <w:rPr>
                <w:rFonts w:eastAsia="Times New Roman"/>
              </w:rPr>
            </w:pPr>
            <w:r>
              <w:rPr>
                <w:rFonts w:eastAsia="Times New Roman"/>
                <w:color w:val="000000"/>
                <w:sz w:val="20"/>
                <w:szCs w:val="20"/>
              </w:rPr>
              <w:t>1,312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68B2016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FECAD01" w14:textId="77777777" w:rsidR="00000000" w:rsidRDefault="00195E73">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05B5B803"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27610ADB" w14:textId="77777777" w:rsidR="00000000" w:rsidRDefault="00195E73">
            <w:pPr>
              <w:jc w:val="right"/>
              <w:rPr>
                <w:rFonts w:eastAsia="Times New Roman"/>
              </w:rPr>
            </w:pPr>
            <w:r>
              <w:rPr>
                <w:rFonts w:eastAsia="Times New Roman"/>
                <w:color w:val="000000"/>
                <w:sz w:val="20"/>
                <w:szCs w:val="20"/>
              </w:rPr>
              <w:t>298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50EA3D2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5384FCA" w14:textId="77777777" w:rsidR="00000000" w:rsidRDefault="00195E73">
            <w:pPr>
              <w:rPr>
                <w:rFonts w:eastAsia="Times New Roman"/>
                <w:sz w:val="20"/>
                <w:szCs w:val="20"/>
              </w:rPr>
            </w:pPr>
          </w:p>
        </w:tc>
        <w:tc>
          <w:tcPr>
            <w:tcW w:w="0" w:type="auto"/>
            <w:vAlign w:val="center"/>
            <w:hideMark/>
          </w:tcPr>
          <w:p w14:paraId="1C59DDB0" w14:textId="77777777" w:rsidR="00000000" w:rsidRDefault="00195E73">
            <w:pPr>
              <w:rPr>
                <w:rFonts w:eastAsia="Times New Roman"/>
                <w:sz w:val="20"/>
                <w:szCs w:val="20"/>
              </w:rPr>
            </w:pPr>
          </w:p>
        </w:tc>
        <w:tc>
          <w:tcPr>
            <w:tcW w:w="0" w:type="auto"/>
            <w:vAlign w:val="center"/>
            <w:hideMark/>
          </w:tcPr>
          <w:p w14:paraId="3E9A7298" w14:textId="77777777" w:rsidR="00000000" w:rsidRDefault="00195E73">
            <w:pPr>
              <w:rPr>
                <w:rFonts w:eastAsia="Times New Roman"/>
                <w:sz w:val="20"/>
                <w:szCs w:val="20"/>
              </w:rPr>
            </w:pPr>
          </w:p>
        </w:tc>
        <w:tc>
          <w:tcPr>
            <w:tcW w:w="0" w:type="auto"/>
            <w:vAlign w:val="center"/>
            <w:hideMark/>
          </w:tcPr>
          <w:p w14:paraId="462AF9E6" w14:textId="77777777" w:rsidR="00000000" w:rsidRDefault="00195E73">
            <w:pPr>
              <w:rPr>
                <w:rFonts w:eastAsia="Times New Roman"/>
                <w:sz w:val="20"/>
                <w:szCs w:val="20"/>
              </w:rPr>
            </w:pPr>
          </w:p>
        </w:tc>
        <w:tc>
          <w:tcPr>
            <w:tcW w:w="0" w:type="auto"/>
            <w:vAlign w:val="center"/>
            <w:hideMark/>
          </w:tcPr>
          <w:p w14:paraId="79C1CDBC" w14:textId="77777777" w:rsidR="00000000" w:rsidRDefault="00195E73">
            <w:pPr>
              <w:rPr>
                <w:rFonts w:eastAsia="Times New Roman"/>
                <w:sz w:val="20"/>
                <w:szCs w:val="20"/>
              </w:rPr>
            </w:pPr>
          </w:p>
        </w:tc>
        <w:tc>
          <w:tcPr>
            <w:tcW w:w="0" w:type="auto"/>
            <w:vAlign w:val="center"/>
            <w:hideMark/>
          </w:tcPr>
          <w:p w14:paraId="1AFE95B1" w14:textId="77777777" w:rsidR="00000000" w:rsidRDefault="00195E73">
            <w:pPr>
              <w:rPr>
                <w:rFonts w:eastAsia="Times New Roman"/>
                <w:sz w:val="20"/>
                <w:szCs w:val="20"/>
              </w:rPr>
            </w:pPr>
          </w:p>
        </w:tc>
        <w:tc>
          <w:tcPr>
            <w:tcW w:w="0" w:type="auto"/>
            <w:vAlign w:val="center"/>
            <w:hideMark/>
          </w:tcPr>
          <w:p w14:paraId="33C16C76" w14:textId="77777777" w:rsidR="00000000" w:rsidRDefault="00195E73">
            <w:pPr>
              <w:rPr>
                <w:rFonts w:eastAsia="Times New Roman"/>
                <w:sz w:val="20"/>
                <w:szCs w:val="20"/>
              </w:rPr>
            </w:pPr>
          </w:p>
        </w:tc>
        <w:tc>
          <w:tcPr>
            <w:tcW w:w="0" w:type="auto"/>
            <w:vAlign w:val="center"/>
            <w:hideMark/>
          </w:tcPr>
          <w:p w14:paraId="1E6AB772" w14:textId="77777777" w:rsidR="00000000" w:rsidRDefault="00195E73">
            <w:pPr>
              <w:rPr>
                <w:rFonts w:eastAsia="Times New Roman"/>
                <w:sz w:val="20"/>
                <w:szCs w:val="20"/>
              </w:rPr>
            </w:pPr>
          </w:p>
        </w:tc>
        <w:tc>
          <w:tcPr>
            <w:tcW w:w="0" w:type="auto"/>
            <w:vAlign w:val="center"/>
            <w:hideMark/>
          </w:tcPr>
          <w:p w14:paraId="7F0C5C50" w14:textId="77777777" w:rsidR="00000000" w:rsidRDefault="00195E73">
            <w:pPr>
              <w:rPr>
                <w:rFonts w:eastAsia="Times New Roman"/>
                <w:sz w:val="20"/>
                <w:szCs w:val="20"/>
              </w:rPr>
            </w:pPr>
          </w:p>
        </w:tc>
        <w:tc>
          <w:tcPr>
            <w:tcW w:w="0" w:type="auto"/>
            <w:vAlign w:val="center"/>
            <w:hideMark/>
          </w:tcPr>
          <w:p w14:paraId="183E6958" w14:textId="77777777" w:rsidR="00000000" w:rsidRDefault="00195E73">
            <w:pPr>
              <w:rPr>
                <w:rFonts w:eastAsia="Times New Roman"/>
                <w:sz w:val="20"/>
                <w:szCs w:val="20"/>
              </w:rPr>
            </w:pPr>
          </w:p>
        </w:tc>
        <w:tc>
          <w:tcPr>
            <w:tcW w:w="0" w:type="auto"/>
            <w:vAlign w:val="center"/>
            <w:hideMark/>
          </w:tcPr>
          <w:p w14:paraId="2D5C073F" w14:textId="77777777" w:rsidR="00000000" w:rsidRDefault="00195E73">
            <w:pPr>
              <w:rPr>
                <w:rFonts w:eastAsia="Times New Roman"/>
                <w:sz w:val="20"/>
                <w:szCs w:val="20"/>
              </w:rPr>
            </w:pPr>
          </w:p>
        </w:tc>
        <w:tc>
          <w:tcPr>
            <w:tcW w:w="0" w:type="auto"/>
            <w:vAlign w:val="center"/>
            <w:hideMark/>
          </w:tcPr>
          <w:p w14:paraId="3E8ED128" w14:textId="77777777" w:rsidR="00000000" w:rsidRDefault="00195E73">
            <w:pPr>
              <w:rPr>
                <w:rFonts w:eastAsia="Times New Roman"/>
                <w:sz w:val="20"/>
                <w:szCs w:val="20"/>
              </w:rPr>
            </w:pPr>
          </w:p>
        </w:tc>
      </w:tr>
    </w:tbl>
    <w:p w14:paraId="38C37295" w14:textId="77777777" w:rsidR="00000000" w:rsidRDefault="00195E73">
      <w:pPr>
        <w:ind w:firstLine="450"/>
        <w:divId w:val="1180434784"/>
        <w:rPr>
          <w:rFonts w:eastAsia="Times New Roman"/>
        </w:rPr>
      </w:pPr>
    </w:p>
    <w:p w14:paraId="3D0F9BDD" w14:textId="77777777" w:rsidR="00000000" w:rsidRDefault="00195E73">
      <w:pPr>
        <w:ind w:firstLine="450"/>
        <w:divId w:val="1328822810"/>
        <w:rPr>
          <w:rFonts w:eastAsia="Times New Roman"/>
        </w:rPr>
      </w:pPr>
      <w:r>
        <w:rPr>
          <w:rFonts w:eastAsia="Times New Roman"/>
          <w:color w:val="000000"/>
          <w:sz w:val="20"/>
          <w:szCs w:val="20"/>
        </w:rPr>
        <w:t>The increase in interest payments in 2019 compared to 2018 is primarily due to timing of debt refinancing transactions. The increases in interest payments during 2018 compared to 2017 is due to higher interest rates on certain of our senior unsecured notes</w:t>
      </w:r>
      <w:r>
        <w:rPr>
          <w:rFonts w:eastAsia="Times New Roman"/>
          <w:color w:val="000000"/>
          <w:sz w:val="20"/>
          <w:szCs w:val="20"/>
        </w:rPr>
        <w:t xml:space="preserve"> due to certain debt refinancings in the first and fourth quarters of 2017</w:t>
      </w:r>
      <w:r>
        <w:rPr>
          <w:rFonts w:eastAsia="Times New Roman"/>
          <w:color w:val="000000"/>
          <w:sz w:val="20"/>
          <w:szCs w:val="20"/>
        </w:rPr>
        <w:t>.</w:t>
      </w:r>
    </w:p>
    <w:p w14:paraId="1ADB500B" w14:textId="77777777" w:rsidR="00000000" w:rsidRDefault="00195E73">
      <w:pPr>
        <w:ind w:firstLine="450"/>
        <w:divId w:val="444082248"/>
        <w:rPr>
          <w:rFonts w:eastAsia="Times New Roman"/>
        </w:rPr>
      </w:pPr>
      <w:r>
        <w:rPr>
          <w:rFonts w:eastAsia="Times New Roman"/>
          <w:color w:val="000000"/>
          <w:sz w:val="20"/>
          <w:szCs w:val="20"/>
        </w:rPr>
        <w:t>Interest and dividend income increased over the comparable periods primarily due to the increase in our cash balances, which were held in interest bearing accounts.</w:t>
      </w:r>
      <w:r>
        <w:rPr>
          <w:rFonts w:eastAsia="Times New Roman"/>
          <w:color w:val="000000"/>
          <w:sz w:val="20"/>
          <w:szCs w:val="20"/>
        </w:rPr>
        <w:t xml:space="preserve"> </w:t>
      </w:r>
    </w:p>
    <w:p w14:paraId="6A9A78E8" w14:textId="77777777" w:rsidR="00000000" w:rsidRDefault="00195E73">
      <w:pPr>
        <w:ind w:firstLine="450"/>
        <w:divId w:val="1467315072"/>
        <w:rPr>
          <w:rFonts w:eastAsia="Times New Roman"/>
        </w:rPr>
      </w:pPr>
      <w:r>
        <w:rPr>
          <w:rFonts w:eastAsia="Times New Roman"/>
          <w:color w:val="000000"/>
          <w:sz w:val="20"/>
          <w:szCs w:val="20"/>
        </w:rPr>
        <w:t>Net cash recei</w:t>
      </w:r>
      <w:r>
        <w:rPr>
          <w:rFonts w:eastAsia="Times New Roman"/>
          <w:color w:val="000000"/>
          <w:sz w:val="20"/>
          <w:szCs w:val="20"/>
        </w:rPr>
        <w:t>pts (payments) for income taxes, net of refunds, is net of tax sharing (payments) receipts from certain of our consolidated subsidiaries aggregating $(3) million, $27 million and $28 million during the years ended December 31, 2019, 2018 and 2017, respecti</w:t>
      </w:r>
      <w:r>
        <w:rPr>
          <w:rFonts w:eastAsia="Times New Roman"/>
          <w:color w:val="000000"/>
          <w:sz w:val="20"/>
          <w:szCs w:val="20"/>
        </w:rPr>
        <w:t>vely.</w:t>
      </w:r>
      <w:r>
        <w:rPr>
          <w:rFonts w:eastAsia="Times New Roman"/>
          <w:color w:val="000000"/>
          <w:sz w:val="20"/>
          <w:szCs w:val="20"/>
        </w:rPr>
        <w:t xml:space="preserve"> </w:t>
      </w:r>
    </w:p>
    <w:p w14:paraId="431D3DFD" w14:textId="77777777" w:rsidR="00000000" w:rsidRDefault="00195E73">
      <w:pPr>
        <w:ind w:firstLine="450"/>
        <w:divId w:val="485391526"/>
        <w:rPr>
          <w:rFonts w:eastAsia="Times New Roman"/>
        </w:rPr>
      </w:pPr>
      <w:r>
        <w:rPr>
          <w:rFonts w:eastAsia="Times New Roman"/>
          <w:color w:val="000000"/>
          <w:sz w:val="20"/>
          <w:szCs w:val="20"/>
        </w:rPr>
        <w:t>Proceeds from the sale of businesses includes proceeds from the sales Ferrous Resources in 2019, Federal-Mogul, Tropicana and ARI in 2018 and ARL in 2017 (and residual sales of ARL’s remaining railcars in 2018). The cash flows with respect to each o</w:t>
      </w:r>
      <w:r>
        <w:rPr>
          <w:rFonts w:eastAsia="Times New Roman"/>
          <w:color w:val="000000"/>
          <w:sz w:val="20"/>
          <w:szCs w:val="20"/>
        </w:rPr>
        <w:t>f Federal-Mogul, Tropicana and ARI are reported in discontinued operations for all periods presented and the cash proceeds from each of the sales remain with our Holding Company in continuing operations.</w:t>
      </w:r>
      <w:r>
        <w:rPr>
          <w:rFonts w:eastAsia="Times New Roman"/>
          <w:color w:val="000000"/>
          <w:sz w:val="20"/>
          <w:szCs w:val="20"/>
        </w:rPr>
        <w:t xml:space="preserve"> </w:t>
      </w:r>
    </w:p>
    <w:p w14:paraId="53DFE75A" w14:textId="77777777" w:rsidR="00000000" w:rsidRDefault="00195E73">
      <w:pPr>
        <w:ind w:firstLine="450"/>
        <w:divId w:val="723723885"/>
        <w:rPr>
          <w:rFonts w:eastAsia="Times New Roman"/>
        </w:rPr>
      </w:pPr>
      <w:r>
        <w:rPr>
          <w:rFonts w:eastAsia="Times New Roman"/>
          <w:color w:val="000000"/>
          <w:sz w:val="20"/>
          <w:szCs w:val="20"/>
        </w:rPr>
        <w:t>Proceeds from the sale of investments in 2019 relat</w:t>
      </w:r>
      <w:r>
        <w:rPr>
          <w:rFonts w:eastAsia="Times New Roman"/>
          <w:color w:val="000000"/>
          <w:sz w:val="20"/>
          <w:szCs w:val="20"/>
        </w:rPr>
        <w:t>ed to the sale of a certain equity investment</w:t>
      </w:r>
      <w:r>
        <w:rPr>
          <w:rFonts w:eastAsia="Times New Roman"/>
          <w:color w:val="000000"/>
          <w:sz w:val="20"/>
          <w:szCs w:val="20"/>
        </w:rPr>
        <w:t>.</w:t>
      </w:r>
    </w:p>
    <w:p w14:paraId="4FBB5CBC" w14:textId="77777777" w:rsidR="00000000" w:rsidRDefault="00195E73">
      <w:pPr>
        <w:ind w:firstLine="450"/>
        <w:divId w:val="1094204554"/>
        <w:rPr>
          <w:rFonts w:eastAsia="Times New Roman"/>
        </w:rPr>
      </w:pPr>
      <w:r>
        <w:rPr>
          <w:rFonts w:eastAsia="Times New Roman"/>
          <w:color w:val="000000"/>
          <w:sz w:val="20"/>
          <w:szCs w:val="20"/>
        </w:rPr>
        <w:t>During 2019, we received $55 million (including $1 million from our general partner) in connection with our “at-the-market” offering pursuant to our Open Market Sale Agreement announced in May 2019, as discuss</w:t>
      </w:r>
      <w:r>
        <w:rPr>
          <w:rFonts w:eastAsia="Times New Roman"/>
          <w:color w:val="000000"/>
          <w:sz w:val="20"/>
          <w:szCs w:val="20"/>
        </w:rPr>
        <w:t>ed above. During 2017, we received $600 million in connection with a rights offering for Icahn Enterprises depositary units as well as $12 million from our general partner in connection with the rights offering in order to maintain its aggregate 1.99% gene</w:t>
      </w:r>
      <w:r>
        <w:rPr>
          <w:rFonts w:eastAsia="Times New Roman"/>
          <w:color w:val="000000"/>
          <w:sz w:val="20"/>
          <w:szCs w:val="20"/>
        </w:rPr>
        <w:t>ral partner interest in Icahn Enterprises</w:t>
      </w:r>
      <w:r>
        <w:rPr>
          <w:rFonts w:eastAsia="Times New Roman"/>
          <w:color w:val="000000"/>
          <w:sz w:val="20"/>
          <w:szCs w:val="20"/>
        </w:rPr>
        <w:t>.</w:t>
      </w:r>
    </w:p>
    <w:p w14:paraId="61E1677F" w14:textId="77777777" w:rsidR="00000000" w:rsidRDefault="00195E73">
      <w:pPr>
        <w:ind w:firstLine="450"/>
        <w:divId w:val="89470659"/>
        <w:rPr>
          <w:rFonts w:eastAsia="Times New Roman"/>
        </w:rPr>
      </w:pPr>
      <w:r>
        <w:rPr>
          <w:rFonts w:eastAsia="Times New Roman"/>
          <w:color w:val="000000"/>
          <w:sz w:val="20"/>
          <w:szCs w:val="20"/>
        </w:rPr>
        <w:t>Payments to acquire additional interests in subsidiaries during 2018 relates to the acquisition of the remaining interests in a hotel, timeshare and casino resort property in Aruba, previously a subsidiary of Trop</w:t>
      </w:r>
      <w:r>
        <w:rPr>
          <w:rFonts w:eastAsia="Times New Roman"/>
          <w:color w:val="000000"/>
          <w:sz w:val="20"/>
          <w:szCs w:val="20"/>
        </w:rPr>
        <w:t>icana, in which we had an indirect majority controlling interest in. During 2017, we increased our ownership in Federal-Mogul and Tropicana.</w:t>
      </w:r>
      <w:r>
        <w:rPr>
          <w:rFonts w:eastAsia="Times New Roman"/>
          <w:color w:val="000000"/>
          <w:sz w:val="20"/>
          <w:szCs w:val="20"/>
        </w:rPr>
        <w:t xml:space="preserve"> </w:t>
      </w:r>
    </w:p>
    <w:p w14:paraId="1F4C4CC1" w14:textId="77777777" w:rsidR="00000000" w:rsidRDefault="00195E73">
      <w:pPr>
        <w:jc w:val="center"/>
        <w:divId w:val="1881504416"/>
        <w:rPr>
          <w:rFonts w:eastAsia="Times New Roman"/>
        </w:rPr>
      </w:pPr>
      <w:r>
        <w:rPr>
          <w:rFonts w:eastAsia="Times New Roman"/>
          <w:color w:val="000000"/>
          <w:sz w:val="20"/>
          <w:szCs w:val="20"/>
        </w:rPr>
        <w:t>4</w:t>
      </w:r>
      <w:r>
        <w:rPr>
          <w:rFonts w:eastAsia="Times New Roman"/>
          <w:color w:val="000000"/>
          <w:sz w:val="20"/>
          <w:szCs w:val="20"/>
        </w:rPr>
        <w:t>3</w:t>
      </w:r>
    </w:p>
    <w:p w14:paraId="4D2944E1" w14:textId="77777777" w:rsidR="00000000" w:rsidRDefault="00195E73">
      <w:pPr>
        <w:rPr>
          <w:rFonts w:eastAsia="Times New Roman"/>
        </w:rPr>
      </w:pPr>
      <w:r>
        <w:rPr>
          <w:rFonts w:eastAsia="Times New Roman"/>
        </w:rPr>
        <w:pict w14:anchorId="4307B895">
          <v:rect id="_x0000_i1069" style="width:0;height:1.5pt" o:hralign="center" o:hrstd="t" o:hr="t" fillcolor="#a0a0a0" stroked="f"/>
        </w:pict>
      </w:r>
    </w:p>
    <w:p w14:paraId="4344517E" w14:textId="77777777" w:rsidR="00000000" w:rsidRDefault="00195E73">
      <w:pPr>
        <w:divId w:val="552277479"/>
        <w:rPr>
          <w:rFonts w:eastAsia="Times New Roman"/>
        </w:rPr>
      </w:pPr>
    </w:p>
    <w:p w14:paraId="2EF71BE0" w14:textId="77777777" w:rsidR="00000000" w:rsidRDefault="00195E73">
      <w:pPr>
        <w:ind w:firstLine="450"/>
        <w:divId w:val="1437211066"/>
        <w:rPr>
          <w:rFonts w:eastAsia="Times New Roman"/>
        </w:rPr>
      </w:pPr>
      <w:r>
        <w:rPr>
          <w:rFonts w:eastAsia="Times New Roman"/>
          <w:color w:val="000000"/>
          <w:sz w:val="20"/>
          <w:szCs w:val="20"/>
        </w:rPr>
        <w:t>Net (investments in) distributions from the Investment Funds, Net distri</w:t>
      </w:r>
      <w:r>
        <w:rPr>
          <w:rFonts w:eastAsia="Times New Roman"/>
          <w:color w:val="000000"/>
          <w:sz w:val="20"/>
          <w:szCs w:val="20"/>
        </w:rPr>
        <w:t>butions from (investments in) other operating segments and Note (repayment) proceeds from other operating segments are eliminated in consolidation and discussed further below</w:t>
      </w:r>
      <w:r>
        <w:rPr>
          <w:rFonts w:eastAsia="Times New Roman"/>
          <w:color w:val="000000"/>
          <w:sz w:val="20"/>
          <w:szCs w:val="20"/>
        </w:rPr>
        <w:t>.</w:t>
      </w:r>
    </w:p>
    <w:p w14:paraId="58F536B1" w14:textId="77777777" w:rsidR="00000000" w:rsidRDefault="00195E73">
      <w:pPr>
        <w:divId w:val="1972516591"/>
        <w:rPr>
          <w:rFonts w:eastAsia="Times New Roman"/>
        </w:rPr>
      </w:pPr>
      <w:r>
        <w:rPr>
          <w:rFonts w:eastAsia="Times New Roman"/>
          <w:i/>
          <w:iCs/>
          <w:color w:val="000000"/>
          <w:sz w:val="20"/>
          <w:szCs w:val="20"/>
        </w:rPr>
        <w:t>Investment Segmen</w:t>
      </w:r>
      <w:r>
        <w:rPr>
          <w:rFonts w:eastAsia="Times New Roman"/>
          <w:i/>
          <w:iCs/>
          <w:color w:val="000000"/>
          <w:sz w:val="20"/>
          <w:szCs w:val="20"/>
        </w:rPr>
        <w:t>t</w:t>
      </w:r>
    </w:p>
    <w:p w14:paraId="524007BB" w14:textId="77777777" w:rsidR="00000000" w:rsidRDefault="00195E73">
      <w:pPr>
        <w:ind w:firstLine="450"/>
        <w:divId w:val="2022320209"/>
        <w:rPr>
          <w:rFonts w:eastAsia="Times New Roman"/>
        </w:rPr>
      </w:pPr>
      <w:r>
        <w:rPr>
          <w:rFonts w:eastAsia="Times New Roman"/>
          <w:color w:val="000000"/>
          <w:sz w:val="20"/>
          <w:szCs w:val="20"/>
        </w:rPr>
        <w:t>Our Investment segment’s cash flows from operating activities</w:t>
      </w:r>
      <w:r>
        <w:rPr>
          <w:rFonts w:eastAsia="Times New Roman"/>
          <w:color w:val="000000"/>
          <w:sz w:val="20"/>
          <w:szCs w:val="20"/>
        </w:rPr>
        <w:t xml:space="preserve"> for the comparable periods were attributable to its net investment transactions.</w:t>
      </w:r>
      <w:r>
        <w:rPr>
          <w:rFonts w:eastAsia="Times New Roman"/>
          <w:color w:val="000000"/>
          <w:sz w:val="20"/>
          <w:szCs w:val="20"/>
        </w:rPr>
        <w:t xml:space="preserve"> </w:t>
      </w:r>
    </w:p>
    <w:p w14:paraId="7D756C31" w14:textId="77777777" w:rsidR="00000000" w:rsidRDefault="00195E73">
      <w:pPr>
        <w:ind w:firstLine="450"/>
        <w:divId w:val="1105030208"/>
        <w:rPr>
          <w:rFonts w:eastAsia="Times New Roman"/>
        </w:rPr>
      </w:pPr>
      <w:r>
        <w:rPr>
          <w:rFonts w:eastAsia="Times New Roman"/>
          <w:color w:val="000000"/>
          <w:sz w:val="20"/>
          <w:szCs w:val="20"/>
        </w:rPr>
        <w:t>Our Investment segment’s cash flows from financing activities for the comparable periods were due to contributions from, and distributions to, our Holding Company and Mr. Ic</w:t>
      </w:r>
      <w:r>
        <w:rPr>
          <w:rFonts w:eastAsia="Times New Roman"/>
          <w:color w:val="000000"/>
          <w:sz w:val="20"/>
          <w:szCs w:val="20"/>
        </w:rPr>
        <w:t xml:space="preserve">ahn and his affiliates. Our Investment segment had net cash provided by financing activities of $220 million for the year ended December 31, 2019, for contributions received from Mr. Icahn and his affiliates (excluding us). For the year ended December 31, </w:t>
      </w:r>
      <w:r>
        <w:rPr>
          <w:rFonts w:eastAsia="Times New Roman"/>
          <w:color w:val="000000"/>
          <w:sz w:val="20"/>
          <w:szCs w:val="20"/>
        </w:rPr>
        <w:t>2018, our Investment segment had net cash provided by financing activities of $2.0 billion, which included our $1.7 billion net investment in the Investment Funds as well as $310 million received from Mr. Icahn and his affiliates (excluding us). For the ye</w:t>
      </w:r>
      <w:r>
        <w:rPr>
          <w:rFonts w:eastAsia="Times New Roman"/>
          <w:color w:val="000000"/>
          <w:sz w:val="20"/>
          <w:szCs w:val="20"/>
        </w:rPr>
        <w:t>ar ended December 31, 2017, our Investment segment had net cash provided by financing activities of $1,900 million, which included our $1.3 billion net investment in the Investment Funds as well as $600 million received from Mr. Icahn and his affiliates (e</w:t>
      </w:r>
      <w:r>
        <w:rPr>
          <w:rFonts w:eastAsia="Times New Roman"/>
          <w:color w:val="000000"/>
          <w:sz w:val="20"/>
          <w:szCs w:val="20"/>
        </w:rPr>
        <w:t>xcluding us).</w:t>
      </w:r>
      <w:r>
        <w:rPr>
          <w:rFonts w:eastAsia="Times New Roman"/>
          <w:color w:val="000000"/>
          <w:sz w:val="20"/>
          <w:szCs w:val="20"/>
        </w:rPr>
        <w:t xml:space="preserve"> </w:t>
      </w:r>
    </w:p>
    <w:p w14:paraId="1CC49D26" w14:textId="77777777" w:rsidR="00000000" w:rsidRDefault="00195E73">
      <w:pPr>
        <w:divId w:val="1868134511"/>
        <w:rPr>
          <w:rFonts w:eastAsia="Times New Roman"/>
        </w:rPr>
      </w:pPr>
      <w:r>
        <w:rPr>
          <w:rFonts w:eastAsia="Times New Roman"/>
          <w:i/>
          <w:iCs/>
          <w:color w:val="000000"/>
          <w:sz w:val="20"/>
          <w:szCs w:val="20"/>
        </w:rPr>
        <w:t>Other Operating Segment</w:t>
      </w:r>
      <w:r>
        <w:rPr>
          <w:rFonts w:eastAsia="Times New Roman"/>
          <w:i/>
          <w:iCs/>
          <w:color w:val="000000"/>
          <w:sz w:val="20"/>
          <w:szCs w:val="20"/>
        </w:rPr>
        <w:t>s</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4099"/>
        <w:gridCol w:w="40"/>
        <w:gridCol w:w="135"/>
        <w:gridCol w:w="956"/>
        <w:gridCol w:w="85"/>
        <w:gridCol w:w="36"/>
        <w:gridCol w:w="36"/>
        <w:gridCol w:w="36"/>
        <w:gridCol w:w="135"/>
        <w:gridCol w:w="925"/>
        <w:gridCol w:w="85"/>
        <w:gridCol w:w="36"/>
        <w:gridCol w:w="36"/>
        <w:gridCol w:w="36"/>
        <w:gridCol w:w="135"/>
        <w:gridCol w:w="925"/>
        <w:gridCol w:w="85"/>
        <w:gridCol w:w="36"/>
        <w:gridCol w:w="36"/>
        <w:gridCol w:w="36"/>
        <w:gridCol w:w="36"/>
        <w:gridCol w:w="36"/>
        <w:gridCol w:w="36"/>
        <w:gridCol w:w="36"/>
        <w:gridCol w:w="36"/>
        <w:gridCol w:w="36"/>
        <w:gridCol w:w="36"/>
        <w:gridCol w:w="36"/>
        <w:gridCol w:w="36"/>
      </w:tblGrid>
      <w:tr w:rsidR="00000000" w14:paraId="753186BF" w14:textId="77777777">
        <w:trPr>
          <w:gridAfter w:val="12"/>
          <w:divId w:val="2056880066"/>
          <w:jc w:val="center"/>
        </w:trPr>
        <w:tc>
          <w:tcPr>
            <w:tcW w:w="50" w:type="pct"/>
            <w:vAlign w:val="center"/>
            <w:hideMark/>
          </w:tcPr>
          <w:p w14:paraId="3DCD6C55" w14:textId="77777777" w:rsidR="00000000" w:rsidRDefault="00195E73">
            <w:pPr>
              <w:rPr>
                <w:rFonts w:eastAsia="Times New Roman"/>
              </w:rPr>
            </w:pPr>
          </w:p>
        </w:tc>
        <w:tc>
          <w:tcPr>
            <w:tcW w:w="2630" w:type="pct"/>
            <w:vAlign w:val="center"/>
            <w:hideMark/>
          </w:tcPr>
          <w:p w14:paraId="0CC1D532" w14:textId="77777777" w:rsidR="00000000" w:rsidRDefault="00195E73">
            <w:pPr>
              <w:rPr>
                <w:rFonts w:eastAsia="Times New Roman"/>
                <w:sz w:val="20"/>
                <w:szCs w:val="20"/>
              </w:rPr>
            </w:pPr>
          </w:p>
        </w:tc>
        <w:tc>
          <w:tcPr>
            <w:tcW w:w="50" w:type="pct"/>
            <w:vAlign w:val="center"/>
            <w:hideMark/>
          </w:tcPr>
          <w:p w14:paraId="031C8A40" w14:textId="77777777" w:rsidR="00000000" w:rsidRDefault="00195E73">
            <w:pPr>
              <w:rPr>
                <w:rFonts w:eastAsia="Times New Roman"/>
                <w:sz w:val="20"/>
                <w:szCs w:val="20"/>
              </w:rPr>
            </w:pPr>
          </w:p>
        </w:tc>
        <w:tc>
          <w:tcPr>
            <w:tcW w:w="50" w:type="pct"/>
            <w:vAlign w:val="center"/>
            <w:hideMark/>
          </w:tcPr>
          <w:p w14:paraId="78F07DBB" w14:textId="77777777" w:rsidR="00000000" w:rsidRDefault="00195E73">
            <w:pPr>
              <w:rPr>
                <w:rFonts w:eastAsia="Times New Roman"/>
                <w:sz w:val="20"/>
                <w:szCs w:val="20"/>
              </w:rPr>
            </w:pPr>
          </w:p>
        </w:tc>
        <w:tc>
          <w:tcPr>
            <w:tcW w:w="632" w:type="pct"/>
            <w:vAlign w:val="center"/>
            <w:hideMark/>
          </w:tcPr>
          <w:p w14:paraId="3D146FE3" w14:textId="77777777" w:rsidR="00000000" w:rsidRDefault="00195E73">
            <w:pPr>
              <w:rPr>
                <w:rFonts w:eastAsia="Times New Roman"/>
                <w:sz w:val="20"/>
                <w:szCs w:val="20"/>
              </w:rPr>
            </w:pPr>
          </w:p>
        </w:tc>
        <w:tc>
          <w:tcPr>
            <w:tcW w:w="50" w:type="pct"/>
            <w:vAlign w:val="center"/>
            <w:hideMark/>
          </w:tcPr>
          <w:p w14:paraId="54153918" w14:textId="77777777" w:rsidR="00000000" w:rsidRDefault="00195E73">
            <w:pPr>
              <w:rPr>
                <w:rFonts w:eastAsia="Times New Roman"/>
                <w:sz w:val="20"/>
                <w:szCs w:val="20"/>
              </w:rPr>
            </w:pPr>
          </w:p>
        </w:tc>
        <w:tc>
          <w:tcPr>
            <w:tcW w:w="5" w:type="pct"/>
            <w:vAlign w:val="center"/>
            <w:hideMark/>
          </w:tcPr>
          <w:p w14:paraId="4D3C418F" w14:textId="77777777" w:rsidR="00000000" w:rsidRDefault="00195E73">
            <w:pPr>
              <w:rPr>
                <w:rFonts w:eastAsia="Times New Roman"/>
                <w:sz w:val="20"/>
                <w:szCs w:val="20"/>
              </w:rPr>
            </w:pPr>
          </w:p>
        </w:tc>
        <w:tc>
          <w:tcPr>
            <w:tcW w:w="26" w:type="pct"/>
            <w:vAlign w:val="center"/>
            <w:hideMark/>
          </w:tcPr>
          <w:p w14:paraId="1BABDDBF" w14:textId="77777777" w:rsidR="00000000" w:rsidRDefault="00195E73">
            <w:pPr>
              <w:rPr>
                <w:rFonts w:eastAsia="Times New Roman"/>
                <w:sz w:val="20"/>
                <w:szCs w:val="20"/>
              </w:rPr>
            </w:pPr>
          </w:p>
        </w:tc>
        <w:tc>
          <w:tcPr>
            <w:tcW w:w="5" w:type="pct"/>
            <w:vAlign w:val="center"/>
            <w:hideMark/>
          </w:tcPr>
          <w:p w14:paraId="2B66B736" w14:textId="77777777" w:rsidR="00000000" w:rsidRDefault="00195E73">
            <w:pPr>
              <w:rPr>
                <w:rFonts w:eastAsia="Times New Roman"/>
                <w:sz w:val="20"/>
                <w:szCs w:val="20"/>
              </w:rPr>
            </w:pPr>
          </w:p>
        </w:tc>
        <w:tc>
          <w:tcPr>
            <w:tcW w:w="50" w:type="pct"/>
            <w:vAlign w:val="center"/>
            <w:hideMark/>
          </w:tcPr>
          <w:p w14:paraId="1E8F6FC1" w14:textId="77777777" w:rsidR="00000000" w:rsidRDefault="00195E73">
            <w:pPr>
              <w:rPr>
                <w:rFonts w:eastAsia="Times New Roman"/>
                <w:sz w:val="20"/>
                <w:szCs w:val="20"/>
              </w:rPr>
            </w:pPr>
          </w:p>
        </w:tc>
        <w:tc>
          <w:tcPr>
            <w:tcW w:w="632" w:type="pct"/>
            <w:vAlign w:val="center"/>
            <w:hideMark/>
          </w:tcPr>
          <w:p w14:paraId="7FBF107B" w14:textId="77777777" w:rsidR="00000000" w:rsidRDefault="00195E73">
            <w:pPr>
              <w:rPr>
                <w:rFonts w:eastAsia="Times New Roman"/>
                <w:sz w:val="20"/>
                <w:szCs w:val="20"/>
              </w:rPr>
            </w:pPr>
          </w:p>
        </w:tc>
        <w:tc>
          <w:tcPr>
            <w:tcW w:w="50" w:type="pct"/>
            <w:vAlign w:val="center"/>
            <w:hideMark/>
          </w:tcPr>
          <w:p w14:paraId="5FE848ED" w14:textId="77777777" w:rsidR="00000000" w:rsidRDefault="00195E73">
            <w:pPr>
              <w:rPr>
                <w:rFonts w:eastAsia="Times New Roman"/>
                <w:sz w:val="20"/>
                <w:szCs w:val="20"/>
              </w:rPr>
            </w:pPr>
          </w:p>
        </w:tc>
        <w:tc>
          <w:tcPr>
            <w:tcW w:w="5" w:type="pct"/>
            <w:vAlign w:val="center"/>
            <w:hideMark/>
          </w:tcPr>
          <w:p w14:paraId="6D428AE1" w14:textId="77777777" w:rsidR="00000000" w:rsidRDefault="00195E73">
            <w:pPr>
              <w:rPr>
                <w:rFonts w:eastAsia="Times New Roman"/>
                <w:sz w:val="20"/>
                <w:szCs w:val="20"/>
              </w:rPr>
            </w:pPr>
          </w:p>
        </w:tc>
        <w:tc>
          <w:tcPr>
            <w:tcW w:w="26" w:type="pct"/>
            <w:vAlign w:val="center"/>
            <w:hideMark/>
          </w:tcPr>
          <w:p w14:paraId="2CD6D153" w14:textId="77777777" w:rsidR="00000000" w:rsidRDefault="00195E73">
            <w:pPr>
              <w:rPr>
                <w:rFonts w:eastAsia="Times New Roman"/>
                <w:sz w:val="20"/>
                <w:szCs w:val="20"/>
              </w:rPr>
            </w:pPr>
          </w:p>
        </w:tc>
        <w:tc>
          <w:tcPr>
            <w:tcW w:w="5" w:type="pct"/>
            <w:vAlign w:val="center"/>
            <w:hideMark/>
          </w:tcPr>
          <w:p w14:paraId="48293318" w14:textId="77777777" w:rsidR="00000000" w:rsidRDefault="00195E73">
            <w:pPr>
              <w:rPr>
                <w:rFonts w:eastAsia="Times New Roman"/>
                <w:sz w:val="20"/>
                <w:szCs w:val="20"/>
              </w:rPr>
            </w:pPr>
          </w:p>
        </w:tc>
        <w:tc>
          <w:tcPr>
            <w:tcW w:w="50" w:type="pct"/>
            <w:vAlign w:val="center"/>
            <w:hideMark/>
          </w:tcPr>
          <w:p w14:paraId="6F9A06AB" w14:textId="77777777" w:rsidR="00000000" w:rsidRDefault="00195E73">
            <w:pPr>
              <w:rPr>
                <w:rFonts w:eastAsia="Times New Roman"/>
                <w:sz w:val="20"/>
                <w:szCs w:val="20"/>
              </w:rPr>
            </w:pPr>
          </w:p>
        </w:tc>
        <w:tc>
          <w:tcPr>
            <w:tcW w:w="632" w:type="pct"/>
            <w:vAlign w:val="center"/>
            <w:hideMark/>
          </w:tcPr>
          <w:p w14:paraId="02FEBDFE" w14:textId="77777777" w:rsidR="00000000" w:rsidRDefault="00195E73">
            <w:pPr>
              <w:rPr>
                <w:rFonts w:eastAsia="Times New Roman"/>
                <w:sz w:val="20"/>
                <w:szCs w:val="20"/>
              </w:rPr>
            </w:pPr>
          </w:p>
        </w:tc>
        <w:tc>
          <w:tcPr>
            <w:tcW w:w="50" w:type="pct"/>
            <w:vAlign w:val="center"/>
            <w:hideMark/>
          </w:tcPr>
          <w:p w14:paraId="01CB7419" w14:textId="77777777" w:rsidR="00000000" w:rsidRDefault="00195E73">
            <w:pPr>
              <w:rPr>
                <w:rFonts w:eastAsia="Times New Roman"/>
                <w:sz w:val="20"/>
                <w:szCs w:val="20"/>
              </w:rPr>
            </w:pPr>
          </w:p>
        </w:tc>
      </w:tr>
      <w:tr w:rsidR="00000000" w14:paraId="1A769E0A" w14:textId="77777777">
        <w:trPr>
          <w:divId w:val="2056880066"/>
          <w:jc w:val="center"/>
        </w:trPr>
        <w:tc>
          <w:tcPr>
            <w:tcW w:w="0" w:type="auto"/>
            <w:gridSpan w:val="3"/>
            <w:tcMar>
              <w:top w:w="15" w:type="dxa"/>
              <w:left w:w="20" w:type="dxa"/>
              <w:bottom w:w="15" w:type="dxa"/>
              <w:right w:w="20" w:type="dxa"/>
            </w:tcMar>
            <w:vAlign w:val="bottom"/>
            <w:hideMark/>
          </w:tcPr>
          <w:p w14:paraId="080B4FE9"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350559AA"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294D9531" w14:textId="77777777" w:rsidR="00000000" w:rsidRDefault="00195E73">
            <w:pPr>
              <w:jc w:val="center"/>
              <w:rPr>
                <w:rFonts w:eastAsia="Times New Roman"/>
              </w:rPr>
            </w:pPr>
          </w:p>
        </w:tc>
        <w:tc>
          <w:tcPr>
            <w:tcW w:w="0" w:type="auto"/>
            <w:gridSpan w:val="3"/>
            <w:vAlign w:val="center"/>
            <w:hideMark/>
          </w:tcPr>
          <w:p w14:paraId="206148C0" w14:textId="77777777" w:rsidR="00000000" w:rsidRDefault="00195E73">
            <w:pPr>
              <w:rPr>
                <w:rFonts w:eastAsia="Times New Roman"/>
                <w:sz w:val="20"/>
                <w:szCs w:val="20"/>
              </w:rPr>
            </w:pPr>
          </w:p>
        </w:tc>
        <w:tc>
          <w:tcPr>
            <w:tcW w:w="0" w:type="auto"/>
            <w:gridSpan w:val="3"/>
            <w:vAlign w:val="center"/>
            <w:hideMark/>
          </w:tcPr>
          <w:p w14:paraId="4F30C052" w14:textId="77777777" w:rsidR="00000000" w:rsidRDefault="00195E73">
            <w:pPr>
              <w:rPr>
                <w:rFonts w:eastAsia="Times New Roman"/>
                <w:sz w:val="20"/>
                <w:szCs w:val="20"/>
              </w:rPr>
            </w:pPr>
          </w:p>
        </w:tc>
        <w:tc>
          <w:tcPr>
            <w:tcW w:w="0" w:type="auto"/>
            <w:gridSpan w:val="3"/>
            <w:vAlign w:val="center"/>
            <w:hideMark/>
          </w:tcPr>
          <w:p w14:paraId="1C4EEA13" w14:textId="77777777" w:rsidR="00000000" w:rsidRDefault="00195E73">
            <w:pPr>
              <w:rPr>
                <w:rFonts w:eastAsia="Times New Roman"/>
                <w:sz w:val="20"/>
                <w:szCs w:val="20"/>
              </w:rPr>
            </w:pPr>
          </w:p>
        </w:tc>
      </w:tr>
      <w:tr w:rsidR="00000000" w14:paraId="0294DCC9" w14:textId="77777777">
        <w:trPr>
          <w:divId w:val="2056880066"/>
          <w:jc w:val="center"/>
        </w:trPr>
        <w:tc>
          <w:tcPr>
            <w:tcW w:w="0" w:type="auto"/>
            <w:gridSpan w:val="3"/>
            <w:tcMar>
              <w:top w:w="15" w:type="dxa"/>
              <w:left w:w="20" w:type="dxa"/>
              <w:bottom w:w="15" w:type="dxa"/>
              <w:right w:w="20" w:type="dxa"/>
            </w:tcMar>
            <w:vAlign w:val="bottom"/>
            <w:hideMark/>
          </w:tcPr>
          <w:p w14:paraId="5399B5E1"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AE3672F"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10FA45E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C576702"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7017A04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56BA013"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1CE8D73D" w14:textId="77777777" w:rsidR="00000000" w:rsidRDefault="00195E73">
            <w:pPr>
              <w:rPr>
                <w:rFonts w:eastAsia="Times New Roman"/>
                <w:sz w:val="20"/>
                <w:szCs w:val="20"/>
              </w:rPr>
            </w:pPr>
          </w:p>
        </w:tc>
        <w:tc>
          <w:tcPr>
            <w:tcW w:w="0" w:type="auto"/>
            <w:vAlign w:val="center"/>
            <w:hideMark/>
          </w:tcPr>
          <w:p w14:paraId="2B960CF0" w14:textId="77777777" w:rsidR="00000000" w:rsidRDefault="00195E73">
            <w:pPr>
              <w:rPr>
                <w:rFonts w:eastAsia="Times New Roman"/>
                <w:sz w:val="20"/>
                <w:szCs w:val="20"/>
              </w:rPr>
            </w:pPr>
          </w:p>
        </w:tc>
        <w:tc>
          <w:tcPr>
            <w:tcW w:w="0" w:type="auto"/>
            <w:vAlign w:val="center"/>
            <w:hideMark/>
          </w:tcPr>
          <w:p w14:paraId="367B1B7F" w14:textId="77777777" w:rsidR="00000000" w:rsidRDefault="00195E73">
            <w:pPr>
              <w:rPr>
                <w:rFonts w:eastAsia="Times New Roman"/>
                <w:sz w:val="20"/>
                <w:szCs w:val="20"/>
              </w:rPr>
            </w:pPr>
          </w:p>
        </w:tc>
        <w:tc>
          <w:tcPr>
            <w:tcW w:w="0" w:type="auto"/>
            <w:vAlign w:val="center"/>
            <w:hideMark/>
          </w:tcPr>
          <w:p w14:paraId="2BDA957B" w14:textId="77777777" w:rsidR="00000000" w:rsidRDefault="00195E73">
            <w:pPr>
              <w:rPr>
                <w:rFonts w:eastAsia="Times New Roman"/>
                <w:sz w:val="20"/>
                <w:szCs w:val="20"/>
              </w:rPr>
            </w:pPr>
          </w:p>
        </w:tc>
        <w:tc>
          <w:tcPr>
            <w:tcW w:w="0" w:type="auto"/>
            <w:vAlign w:val="center"/>
            <w:hideMark/>
          </w:tcPr>
          <w:p w14:paraId="7BA547F4" w14:textId="77777777" w:rsidR="00000000" w:rsidRDefault="00195E73">
            <w:pPr>
              <w:rPr>
                <w:rFonts w:eastAsia="Times New Roman"/>
                <w:sz w:val="20"/>
                <w:szCs w:val="20"/>
              </w:rPr>
            </w:pPr>
          </w:p>
        </w:tc>
        <w:tc>
          <w:tcPr>
            <w:tcW w:w="0" w:type="auto"/>
            <w:vAlign w:val="center"/>
            <w:hideMark/>
          </w:tcPr>
          <w:p w14:paraId="0EC6454B" w14:textId="77777777" w:rsidR="00000000" w:rsidRDefault="00195E73">
            <w:pPr>
              <w:rPr>
                <w:rFonts w:eastAsia="Times New Roman"/>
                <w:sz w:val="20"/>
                <w:szCs w:val="20"/>
              </w:rPr>
            </w:pPr>
          </w:p>
        </w:tc>
        <w:tc>
          <w:tcPr>
            <w:tcW w:w="0" w:type="auto"/>
            <w:vAlign w:val="center"/>
            <w:hideMark/>
          </w:tcPr>
          <w:p w14:paraId="675D0637" w14:textId="77777777" w:rsidR="00000000" w:rsidRDefault="00195E73">
            <w:pPr>
              <w:rPr>
                <w:rFonts w:eastAsia="Times New Roman"/>
                <w:sz w:val="20"/>
                <w:szCs w:val="20"/>
              </w:rPr>
            </w:pPr>
          </w:p>
        </w:tc>
        <w:tc>
          <w:tcPr>
            <w:tcW w:w="0" w:type="auto"/>
            <w:vAlign w:val="center"/>
            <w:hideMark/>
          </w:tcPr>
          <w:p w14:paraId="76C4601E" w14:textId="77777777" w:rsidR="00000000" w:rsidRDefault="00195E73">
            <w:pPr>
              <w:rPr>
                <w:rFonts w:eastAsia="Times New Roman"/>
                <w:sz w:val="20"/>
                <w:szCs w:val="20"/>
              </w:rPr>
            </w:pPr>
          </w:p>
        </w:tc>
        <w:tc>
          <w:tcPr>
            <w:tcW w:w="0" w:type="auto"/>
            <w:vAlign w:val="center"/>
            <w:hideMark/>
          </w:tcPr>
          <w:p w14:paraId="66A84D91" w14:textId="77777777" w:rsidR="00000000" w:rsidRDefault="00195E73">
            <w:pPr>
              <w:rPr>
                <w:rFonts w:eastAsia="Times New Roman"/>
                <w:sz w:val="20"/>
                <w:szCs w:val="20"/>
              </w:rPr>
            </w:pPr>
          </w:p>
        </w:tc>
        <w:tc>
          <w:tcPr>
            <w:tcW w:w="0" w:type="auto"/>
            <w:vAlign w:val="center"/>
            <w:hideMark/>
          </w:tcPr>
          <w:p w14:paraId="61B49874" w14:textId="77777777" w:rsidR="00000000" w:rsidRDefault="00195E73">
            <w:pPr>
              <w:rPr>
                <w:rFonts w:eastAsia="Times New Roman"/>
                <w:sz w:val="20"/>
                <w:szCs w:val="20"/>
              </w:rPr>
            </w:pPr>
          </w:p>
        </w:tc>
        <w:tc>
          <w:tcPr>
            <w:tcW w:w="0" w:type="auto"/>
            <w:vAlign w:val="center"/>
            <w:hideMark/>
          </w:tcPr>
          <w:p w14:paraId="68497FBE" w14:textId="77777777" w:rsidR="00000000" w:rsidRDefault="00195E73">
            <w:pPr>
              <w:rPr>
                <w:rFonts w:eastAsia="Times New Roman"/>
                <w:sz w:val="20"/>
                <w:szCs w:val="20"/>
              </w:rPr>
            </w:pPr>
          </w:p>
        </w:tc>
        <w:tc>
          <w:tcPr>
            <w:tcW w:w="0" w:type="auto"/>
            <w:vAlign w:val="center"/>
            <w:hideMark/>
          </w:tcPr>
          <w:p w14:paraId="66B6818D" w14:textId="77777777" w:rsidR="00000000" w:rsidRDefault="00195E73">
            <w:pPr>
              <w:rPr>
                <w:rFonts w:eastAsia="Times New Roman"/>
                <w:sz w:val="20"/>
                <w:szCs w:val="20"/>
              </w:rPr>
            </w:pPr>
          </w:p>
        </w:tc>
      </w:tr>
      <w:tr w:rsidR="00000000" w14:paraId="0290AB29" w14:textId="77777777">
        <w:trPr>
          <w:divId w:val="2056880066"/>
          <w:jc w:val="center"/>
        </w:trPr>
        <w:tc>
          <w:tcPr>
            <w:tcW w:w="0" w:type="auto"/>
            <w:gridSpan w:val="3"/>
            <w:tcMar>
              <w:top w:w="15" w:type="dxa"/>
              <w:left w:w="20" w:type="dxa"/>
              <w:bottom w:w="15" w:type="dxa"/>
              <w:right w:w="20" w:type="dxa"/>
            </w:tcMar>
            <w:vAlign w:val="bottom"/>
            <w:hideMark/>
          </w:tcPr>
          <w:p w14:paraId="23E6C757"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77A108C"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50D9C7B0" w14:textId="77777777" w:rsidR="00000000" w:rsidRDefault="00195E73">
            <w:pPr>
              <w:jc w:val="center"/>
              <w:rPr>
                <w:rFonts w:eastAsia="Times New Roman"/>
              </w:rPr>
            </w:pPr>
          </w:p>
        </w:tc>
        <w:tc>
          <w:tcPr>
            <w:tcW w:w="0" w:type="auto"/>
            <w:gridSpan w:val="3"/>
            <w:vAlign w:val="center"/>
            <w:hideMark/>
          </w:tcPr>
          <w:p w14:paraId="4DCE9C4E" w14:textId="77777777" w:rsidR="00000000" w:rsidRDefault="00195E73">
            <w:pPr>
              <w:rPr>
                <w:rFonts w:eastAsia="Times New Roman"/>
                <w:sz w:val="20"/>
                <w:szCs w:val="20"/>
              </w:rPr>
            </w:pPr>
          </w:p>
        </w:tc>
        <w:tc>
          <w:tcPr>
            <w:tcW w:w="0" w:type="auto"/>
            <w:gridSpan w:val="3"/>
            <w:vAlign w:val="center"/>
            <w:hideMark/>
          </w:tcPr>
          <w:p w14:paraId="0A4F2F5C" w14:textId="77777777" w:rsidR="00000000" w:rsidRDefault="00195E73">
            <w:pPr>
              <w:rPr>
                <w:rFonts w:eastAsia="Times New Roman"/>
                <w:sz w:val="20"/>
                <w:szCs w:val="20"/>
              </w:rPr>
            </w:pPr>
          </w:p>
        </w:tc>
        <w:tc>
          <w:tcPr>
            <w:tcW w:w="0" w:type="auto"/>
            <w:gridSpan w:val="3"/>
            <w:vAlign w:val="center"/>
            <w:hideMark/>
          </w:tcPr>
          <w:p w14:paraId="1AD899CA" w14:textId="77777777" w:rsidR="00000000" w:rsidRDefault="00195E73">
            <w:pPr>
              <w:rPr>
                <w:rFonts w:eastAsia="Times New Roman"/>
                <w:sz w:val="20"/>
                <w:szCs w:val="20"/>
              </w:rPr>
            </w:pPr>
          </w:p>
        </w:tc>
      </w:tr>
      <w:tr w:rsidR="00000000" w14:paraId="60E5CC5B" w14:textId="77777777">
        <w:trPr>
          <w:divId w:val="2056880066"/>
          <w:jc w:val="center"/>
        </w:trPr>
        <w:tc>
          <w:tcPr>
            <w:tcW w:w="0" w:type="auto"/>
            <w:gridSpan w:val="3"/>
            <w:tcMar>
              <w:top w:w="30" w:type="dxa"/>
              <w:left w:w="20" w:type="dxa"/>
              <w:bottom w:w="30" w:type="dxa"/>
              <w:right w:w="20" w:type="dxa"/>
            </w:tcMar>
            <w:vAlign w:val="bottom"/>
            <w:hideMark/>
          </w:tcPr>
          <w:p w14:paraId="0302F008" w14:textId="77777777" w:rsidR="00000000" w:rsidRDefault="00195E73">
            <w:pPr>
              <w:rPr>
                <w:rFonts w:eastAsia="Times New Roman"/>
              </w:rPr>
            </w:pPr>
            <w:r>
              <w:rPr>
                <w:rFonts w:eastAsia="Times New Roman"/>
                <w:b/>
                <w:bCs/>
                <w:color w:val="000000"/>
                <w:sz w:val="20"/>
                <w:szCs w:val="20"/>
              </w:rPr>
              <w:t>Operating Activities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14:paraId="22BF15DD"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17B6772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E06DEE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8A115E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6D35481" w14:textId="77777777" w:rsidR="00000000" w:rsidRDefault="00195E73">
            <w:pPr>
              <w:rPr>
                <w:rFonts w:eastAsia="Times New Roman"/>
                <w:sz w:val="20"/>
                <w:szCs w:val="20"/>
              </w:rPr>
            </w:pPr>
          </w:p>
        </w:tc>
        <w:tc>
          <w:tcPr>
            <w:tcW w:w="0" w:type="auto"/>
            <w:vAlign w:val="center"/>
            <w:hideMark/>
          </w:tcPr>
          <w:p w14:paraId="045DBB40" w14:textId="77777777" w:rsidR="00000000" w:rsidRDefault="00195E73">
            <w:pPr>
              <w:rPr>
                <w:rFonts w:eastAsia="Times New Roman"/>
                <w:sz w:val="20"/>
                <w:szCs w:val="20"/>
              </w:rPr>
            </w:pPr>
          </w:p>
        </w:tc>
        <w:tc>
          <w:tcPr>
            <w:tcW w:w="0" w:type="auto"/>
            <w:vAlign w:val="center"/>
            <w:hideMark/>
          </w:tcPr>
          <w:p w14:paraId="1AE52652" w14:textId="77777777" w:rsidR="00000000" w:rsidRDefault="00195E73">
            <w:pPr>
              <w:rPr>
                <w:rFonts w:eastAsia="Times New Roman"/>
                <w:sz w:val="20"/>
                <w:szCs w:val="20"/>
              </w:rPr>
            </w:pPr>
          </w:p>
        </w:tc>
        <w:tc>
          <w:tcPr>
            <w:tcW w:w="0" w:type="auto"/>
            <w:vAlign w:val="center"/>
            <w:hideMark/>
          </w:tcPr>
          <w:p w14:paraId="63FBE7BC" w14:textId="77777777" w:rsidR="00000000" w:rsidRDefault="00195E73">
            <w:pPr>
              <w:rPr>
                <w:rFonts w:eastAsia="Times New Roman"/>
                <w:sz w:val="20"/>
                <w:szCs w:val="20"/>
              </w:rPr>
            </w:pPr>
          </w:p>
        </w:tc>
        <w:tc>
          <w:tcPr>
            <w:tcW w:w="0" w:type="auto"/>
            <w:vAlign w:val="center"/>
            <w:hideMark/>
          </w:tcPr>
          <w:p w14:paraId="51F6103B" w14:textId="77777777" w:rsidR="00000000" w:rsidRDefault="00195E73">
            <w:pPr>
              <w:rPr>
                <w:rFonts w:eastAsia="Times New Roman"/>
                <w:sz w:val="20"/>
                <w:szCs w:val="20"/>
              </w:rPr>
            </w:pPr>
          </w:p>
        </w:tc>
        <w:tc>
          <w:tcPr>
            <w:tcW w:w="0" w:type="auto"/>
            <w:vAlign w:val="center"/>
            <w:hideMark/>
          </w:tcPr>
          <w:p w14:paraId="67D987B7" w14:textId="77777777" w:rsidR="00000000" w:rsidRDefault="00195E73">
            <w:pPr>
              <w:rPr>
                <w:rFonts w:eastAsia="Times New Roman"/>
                <w:sz w:val="20"/>
                <w:szCs w:val="20"/>
              </w:rPr>
            </w:pPr>
          </w:p>
        </w:tc>
        <w:tc>
          <w:tcPr>
            <w:tcW w:w="0" w:type="auto"/>
            <w:vAlign w:val="center"/>
            <w:hideMark/>
          </w:tcPr>
          <w:p w14:paraId="1F3860FB" w14:textId="77777777" w:rsidR="00000000" w:rsidRDefault="00195E73">
            <w:pPr>
              <w:rPr>
                <w:rFonts w:eastAsia="Times New Roman"/>
                <w:sz w:val="20"/>
                <w:szCs w:val="20"/>
              </w:rPr>
            </w:pPr>
          </w:p>
        </w:tc>
        <w:tc>
          <w:tcPr>
            <w:tcW w:w="0" w:type="auto"/>
            <w:vAlign w:val="center"/>
            <w:hideMark/>
          </w:tcPr>
          <w:p w14:paraId="50ED4D6E" w14:textId="77777777" w:rsidR="00000000" w:rsidRDefault="00195E73">
            <w:pPr>
              <w:rPr>
                <w:rFonts w:eastAsia="Times New Roman"/>
                <w:sz w:val="20"/>
                <w:szCs w:val="20"/>
              </w:rPr>
            </w:pPr>
          </w:p>
        </w:tc>
        <w:tc>
          <w:tcPr>
            <w:tcW w:w="0" w:type="auto"/>
            <w:vAlign w:val="center"/>
            <w:hideMark/>
          </w:tcPr>
          <w:p w14:paraId="3AC06368" w14:textId="77777777" w:rsidR="00000000" w:rsidRDefault="00195E73">
            <w:pPr>
              <w:rPr>
                <w:rFonts w:eastAsia="Times New Roman"/>
                <w:sz w:val="20"/>
                <w:szCs w:val="20"/>
              </w:rPr>
            </w:pPr>
          </w:p>
        </w:tc>
        <w:tc>
          <w:tcPr>
            <w:tcW w:w="0" w:type="auto"/>
            <w:vAlign w:val="center"/>
            <w:hideMark/>
          </w:tcPr>
          <w:p w14:paraId="01B25C96" w14:textId="77777777" w:rsidR="00000000" w:rsidRDefault="00195E73">
            <w:pPr>
              <w:rPr>
                <w:rFonts w:eastAsia="Times New Roman"/>
                <w:sz w:val="20"/>
                <w:szCs w:val="20"/>
              </w:rPr>
            </w:pPr>
          </w:p>
        </w:tc>
        <w:tc>
          <w:tcPr>
            <w:tcW w:w="0" w:type="auto"/>
            <w:vAlign w:val="center"/>
            <w:hideMark/>
          </w:tcPr>
          <w:p w14:paraId="329684C4" w14:textId="77777777" w:rsidR="00000000" w:rsidRDefault="00195E73">
            <w:pPr>
              <w:rPr>
                <w:rFonts w:eastAsia="Times New Roman"/>
                <w:sz w:val="20"/>
                <w:szCs w:val="20"/>
              </w:rPr>
            </w:pPr>
          </w:p>
        </w:tc>
        <w:tc>
          <w:tcPr>
            <w:tcW w:w="0" w:type="auto"/>
            <w:vAlign w:val="center"/>
            <w:hideMark/>
          </w:tcPr>
          <w:p w14:paraId="5370155E" w14:textId="77777777" w:rsidR="00000000" w:rsidRDefault="00195E73">
            <w:pPr>
              <w:rPr>
                <w:rFonts w:eastAsia="Times New Roman"/>
                <w:sz w:val="20"/>
                <w:szCs w:val="20"/>
              </w:rPr>
            </w:pPr>
          </w:p>
        </w:tc>
        <w:tc>
          <w:tcPr>
            <w:tcW w:w="0" w:type="auto"/>
            <w:vAlign w:val="center"/>
            <w:hideMark/>
          </w:tcPr>
          <w:p w14:paraId="0DF0908B" w14:textId="77777777" w:rsidR="00000000" w:rsidRDefault="00195E73">
            <w:pPr>
              <w:rPr>
                <w:rFonts w:eastAsia="Times New Roman"/>
                <w:sz w:val="20"/>
                <w:szCs w:val="20"/>
              </w:rPr>
            </w:pPr>
          </w:p>
        </w:tc>
      </w:tr>
      <w:tr w:rsidR="00000000" w14:paraId="530D22DD" w14:textId="77777777">
        <w:trPr>
          <w:divId w:val="2056880066"/>
          <w:jc w:val="center"/>
        </w:trPr>
        <w:tc>
          <w:tcPr>
            <w:tcW w:w="0" w:type="auto"/>
            <w:gridSpan w:val="3"/>
            <w:shd w:val="clear" w:color="auto" w:fill="CCEEFF"/>
            <w:tcMar>
              <w:top w:w="30" w:type="dxa"/>
              <w:left w:w="20" w:type="dxa"/>
              <w:bottom w:w="30" w:type="dxa"/>
              <w:right w:w="20" w:type="dxa"/>
            </w:tcMar>
            <w:vAlign w:val="bottom"/>
            <w:hideMark/>
          </w:tcPr>
          <w:p w14:paraId="6ADDB12C" w14:textId="77777777" w:rsidR="00000000" w:rsidRDefault="00195E73">
            <w:pPr>
              <w:ind w:hanging="180"/>
              <w:divId w:val="1724865521"/>
              <w:rPr>
                <w:rFonts w:eastAsia="Times New Roman"/>
              </w:rPr>
            </w:pPr>
            <w:r>
              <w:rPr>
                <w:rFonts w:eastAsia="Times New Roman"/>
                <w:color w:val="000000"/>
                <w:sz w:val="20"/>
                <w:szCs w:val="20"/>
              </w:rPr>
              <w:t>Net cash flow from operating activities before changes in operating assets and liabilitie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55E2D75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A6B6C2E" w14:textId="77777777" w:rsidR="00000000" w:rsidRDefault="00195E73">
            <w:pPr>
              <w:jc w:val="right"/>
              <w:rPr>
                <w:rFonts w:eastAsia="Times New Roman"/>
              </w:rPr>
            </w:pPr>
            <w:r>
              <w:rPr>
                <w:rFonts w:eastAsia="Times New Roman"/>
                <w:color w:val="000000"/>
                <w:sz w:val="20"/>
                <w:szCs w:val="20"/>
              </w:rPr>
              <w:t>652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622298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7A013F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32A77C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F418B46" w14:textId="77777777" w:rsidR="00000000" w:rsidRDefault="00195E73">
            <w:pPr>
              <w:jc w:val="right"/>
              <w:rPr>
                <w:rFonts w:eastAsia="Times New Roman"/>
              </w:rPr>
            </w:pPr>
            <w:r>
              <w:rPr>
                <w:rFonts w:eastAsia="Times New Roman"/>
                <w:color w:val="000000"/>
                <w:sz w:val="20"/>
                <w:szCs w:val="20"/>
              </w:rPr>
              <w:t>784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088B39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75E199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009AEF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E8A4193" w14:textId="77777777" w:rsidR="00000000" w:rsidRDefault="00195E73">
            <w:pPr>
              <w:jc w:val="right"/>
              <w:rPr>
                <w:rFonts w:eastAsia="Times New Roman"/>
              </w:rPr>
            </w:pPr>
            <w:r>
              <w:rPr>
                <w:rFonts w:eastAsia="Times New Roman"/>
                <w:color w:val="000000"/>
                <w:sz w:val="20"/>
                <w:szCs w:val="20"/>
              </w:rPr>
              <w:t>419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9028A6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1838D3E" w14:textId="77777777" w:rsidR="00000000" w:rsidRDefault="00195E73">
            <w:pPr>
              <w:rPr>
                <w:rFonts w:eastAsia="Times New Roman"/>
                <w:sz w:val="20"/>
                <w:szCs w:val="20"/>
              </w:rPr>
            </w:pPr>
          </w:p>
        </w:tc>
        <w:tc>
          <w:tcPr>
            <w:tcW w:w="0" w:type="auto"/>
            <w:vAlign w:val="center"/>
            <w:hideMark/>
          </w:tcPr>
          <w:p w14:paraId="3ECE73D7" w14:textId="77777777" w:rsidR="00000000" w:rsidRDefault="00195E73">
            <w:pPr>
              <w:rPr>
                <w:rFonts w:eastAsia="Times New Roman"/>
                <w:sz w:val="20"/>
                <w:szCs w:val="20"/>
              </w:rPr>
            </w:pPr>
          </w:p>
        </w:tc>
        <w:tc>
          <w:tcPr>
            <w:tcW w:w="0" w:type="auto"/>
            <w:vAlign w:val="center"/>
            <w:hideMark/>
          </w:tcPr>
          <w:p w14:paraId="113EE3AA" w14:textId="77777777" w:rsidR="00000000" w:rsidRDefault="00195E73">
            <w:pPr>
              <w:rPr>
                <w:rFonts w:eastAsia="Times New Roman"/>
                <w:sz w:val="20"/>
                <w:szCs w:val="20"/>
              </w:rPr>
            </w:pPr>
          </w:p>
        </w:tc>
        <w:tc>
          <w:tcPr>
            <w:tcW w:w="0" w:type="auto"/>
            <w:vAlign w:val="center"/>
            <w:hideMark/>
          </w:tcPr>
          <w:p w14:paraId="34B09B18" w14:textId="77777777" w:rsidR="00000000" w:rsidRDefault="00195E73">
            <w:pPr>
              <w:rPr>
                <w:rFonts w:eastAsia="Times New Roman"/>
                <w:sz w:val="20"/>
                <w:szCs w:val="20"/>
              </w:rPr>
            </w:pPr>
          </w:p>
        </w:tc>
        <w:tc>
          <w:tcPr>
            <w:tcW w:w="0" w:type="auto"/>
            <w:vAlign w:val="center"/>
            <w:hideMark/>
          </w:tcPr>
          <w:p w14:paraId="763AB33E" w14:textId="77777777" w:rsidR="00000000" w:rsidRDefault="00195E73">
            <w:pPr>
              <w:rPr>
                <w:rFonts w:eastAsia="Times New Roman"/>
                <w:sz w:val="20"/>
                <w:szCs w:val="20"/>
              </w:rPr>
            </w:pPr>
          </w:p>
        </w:tc>
        <w:tc>
          <w:tcPr>
            <w:tcW w:w="0" w:type="auto"/>
            <w:vAlign w:val="center"/>
            <w:hideMark/>
          </w:tcPr>
          <w:p w14:paraId="44FB5553" w14:textId="77777777" w:rsidR="00000000" w:rsidRDefault="00195E73">
            <w:pPr>
              <w:rPr>
                <w:rFonts w:eastAsia="Times New Roman"/>
                <w:sz w:val="20"/>
                <w:szCs w:val="20"/>
              </w:rPr>
            </w:pPr>
          </w:p>
        </w:tc>
        <w:tc>
          <w:tcPr>
            <w:tcW w:w="0" w:type="auto"/>
            <w:vAlign w:val="center"/>
            <w:hideMark/>
          </w:tcPr>
          <w:p w14:paraId="7905181B" w14:textId="77777777" w:rsidR="00000000" w:rsidRDefault="00195E73">
            <w:pPr>
              <w:rPr>
                <w:rFonts w:eastAsia="Times New Roman"/>
                <w:sz w:val="20"/>
                <w:szCs w:val="20"/>
              </w:rPr>
            </w:pPr>
          </w:p>
        </w:tc>
        <w:tc>
          <w:tcPr>
            <w:tcW w:w="0" w:type="auto"/>
            <w:vAlign w:val="center"/>
            <w:hideMark/>
          </w:tcPr>
          <w:p w14:paraId="537AC489" w14:textId="77777777" w:rsidR="00000000" w:rsidRDefault="00195E73">
            <w:pPr>
              <w:rPr>
                <w:rFonts w:eastAsia="Times New Roman"/>
                <w:sz w:val="20"/>
                <w:szCs w:val="20"/>
              </w:rPr>
            </w:pPr>
          </w:p>
        </w:tc>
        <w:tc>
          <w:tcPr>
            <w:tcW w:w="0" w:type="auto"/>
            <w:vAlign w:val="center"/>
            <w:hideMark/>
          </w:tcPr>
          <w:p w14:paraId="27D29802" w14:textId="77777777" w:rsidR="00000000" w:rsidRDefault="00195E73">
            <w:pPr>
              <w:rPr>
                <w:rFonts w:eastAsia="Times New Roman"/>
                <w:sz w:val="20"/>
                <w:szCs w:val="20"/>
              </w:rPr>
            </w:pPr>
          </w:p>
        </w:tc>
        <w:tc>
          <w:tcPr>
            <w:tcW w:w="0" w:type="auto"/>
            <w:vAlign w:val="center"/>
            <w:hideMark/>
          </w:tcPr>
          <w:p w14:paraId="551E4F34" w14:textId="77777777" w:rsidR="00000000" w:rsidRDefault="00195E73">
            <w:pPr>
              <w:rPr>
                <w:rFonts w:eastAsia="Times New Roman"/>
                <w:sz w:val="20"/>
                <w:szCs w:val="20"/>
              </w:rPr>
            </w:pPr>
          </w:p>
        </w:tc>
        <w:tc>
          <w:tcPr>
            <w:tcW w:w="0" w:type="auto"/>
            <w:vAlign w:val="center"/>
            <w:hideMark/>
          </w:tcPr>
          <w:p w14:paraId="06D16CDD" w14:textId="77777777" w:rsidR="00000000" w:rsidRDefault="00195E73">
            <w:pPr>
              <w:rPr>
                <w:rFonts w:eastAsia="Times New Roman"/>
                <w:sz w:val="20"/>
                <w:szCs w:val="20"/>
              </w:rPr>
            </w:pPr>
          </w:p>
        </w:tc>
        <w:tc>
          <w:tcPr>
            <w:tcW w:w="0" w:type="auto"/>
            <w:vAlign w:val="center"/>
            <w:hideMark/>
          </w:tcPr>
          <w:p w14:paraId="2B4A0E23" w14:textId="77777777" w:rsidR="00000000" w:rsidRDefault="00195E73">
            <w:pPr>
              <w:rPr>
                <w:rFonts w:eastAsia="Times New Roman"/>
                <w:sz w:val="20"/>
                <w:szCs w:val="20"/>
              </w:rPr>
            </w:pPr>
          </w:p>
        </w:tc>
      </w:tr>
      <w:tr w:rsidR="00000000" w14:paraId="446DD325" w14:textId="77777777">
        <w:trPr>
          <w:divId w:val="2056880066"/>
          <w:jc w:val="center"/>
        </w:trPr>
        <w:tc>
          <w:tcPr>
            <w:tcW w:w="0" w:type="auto"/>
            <w:gridSpan w:val="3"/>
            <w:shd w:val="clear" w:color="auto" w:fill="FFFFFF"/>
            <w:tcMar>
              <w:top w:w="30" w:type="dxa"/>
              <w:left w:w="20" w:type="dxa"/>
              <w:bottom w:w="30" w:type="dxa"/>
              <w:right w:w="20" w:type="dxa"/>
            </w:tcMar>
            <w:vAlign w:val="bottom"/>
            <w:hideMark/>
          </w:tcPr>
          <w:p w14:paraId="39FF636F" w14:textId="77777777" w:rsidR="00000000" w:rsidRDefault="00195E73">
            <w:pPr>
              <w:rPr>
                <w:rFonts w:eastAsia="Times New Roman"/>
              </w:rPr>
            </w:pPr>
            <w:r>
              <w:rPr>
                <w:rFonts w:eastAsia="Times New Roman"/>
                <w:color w:val="000000"/>
                <w:sz w:val="20"/>
                <w:szCs w:val="20"/>
              </w:rPr>
              <w:t>Changes in operating assets and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596696D" w14:textId="77777777" w:rsidR="00000000" w:rsidRDefault="00195E73">
            <w:pPr>
              <w:jc w:val="right"/>
              <w:rPr>
                <w:rFonts w:eastAsia="Times New Roman"/>
              </w:rPr>
            </w:pPr>
            <w:r>
              <w:rPr>
                <w:rFonts w:eastAsia="Times New Roman"/>
                <w:color w:val="000000"/>
                <w:sz w:val="20"/>
                <w:szCs w:val="20"/>
              </w:rPr>
              <w:t>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65734B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A8F351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F39111" w14:textId="77777777" w:rsidR="00000000" w:rsidRDefault="00195E73">
            <w:pPr>
              <w:jc w:val="right"/>
              <w:rPr>
                <w:rFonts w:eastAsia="Times New Roman"/>
              </w:rPr>
            </w:pPr>
            <w:r>
              <w:rPr>
                <w:rFonts w:eastAsia="Times New Roman"/>
                <w:color w:val="000000"/>
                <w:sz w:val="20"/>
                <w:szCs w:val="20"/>
              </w:rPr>
              <w:t>104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510DC0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2D5710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5EEA45" w14:textId="77777777" w:rsidR="00000000" w:rsidRDefault="00195E73">
            <w:pPr>
              <w:jc w:val="right"/>
              <w:rPr>
                <w:rFonts w:eastAsia="Times New Roman"/>
              </w:rPr>
            </w:pPr>
            <w:r>
              <w:rPr>
                <w:rFonts w:eastAsia="Times New Roman"/>
                <w:color w:val="000000"/>
                <w:sz w:val="20"/>
                <w:szCs w:val="20"/>
              </w:rPr>
              <w:t>(205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14E3E2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1B3038E" w14:textId="77777777" w:rsidR="00000000" w:rsidRDefault="00195E73">
            <w:pPr>
              <w:rPr>
                <w:rFonts w:eastAsia="Times New Roman"/>
                <w:sz w:val="20"/>
                <w:szCs w:val="20"/>
              </w:rPr>
            </w:pPr>
          </w:p>
        </w:tc>
        <w:tc>
          <w:tcPr>
            <w:tcW w:w="0" w:type="auto"/>
            <w:vAlign w:val="center"/>
            <w:hideMark/>
          </w:tcPr>
          <w:p w14:paraId="7B9C50EC" w14:textId="77777777" w:rsidR="00000000" w:rsidRDefault="00195E73">
            <w:pPr>
              <w:rPr>
                <w:rFonts w:eastAsia="Times New Roman"/>
                <w:sz w:val="20"/>
                <w:szCs w:val="20"/>
              </w:rPr>
            </w:pPr>
          </w:p>
        </w:tc>
        <w:tc>
          <w:tcPr>
            <w:tcW w:w="0" w:type="auto"/>
            <w:vAlign w:val="center"/>
            <w:hideMark/>
          </w:tcPr>
          <w:p w14:paraId="36D97521" w14:textId="77777777" w:rsidR="00000000" w:rsidRDefault="00195E73">
            <w:pPr>
              <w:rPr>
                <w:rFonts w:eastAsia="Times New Roman"/>
                <w:sz w:val="20"/>
                <w:szCs w:val="20"/>
              </w:rPr>
            </w:pPr>
          </w:p>
        </w:tc>
        <w:tc>
          <w:tcPr>
            <w:tcW w:w="0" w:type="auto"/>
            <w:vAlign w:val="center"/>
            <w:hideMark/>
          </w:tcPr>
          <w:p w14:paraId="4F6F5585" w14:textId="77777777" w:rsidR="00000000" w:rsidRDefault="00195E73">
            <w:pPr>
              <w:rPr>
                <w:rFonts w:eastAsia="Times New Roman"/>
                <w:sz w:val="20"/>
                <w:szCs w:val="20"/>
              </w:rPr>
            </w:pPr>
          </w:p>
        </w:tc>
        <w:tc>
          <w:tcPr>
            <w:tcW w:w="0" w:type="auto"/>
            <w:vAlign w:val="center"/>
            <w:hideMark/>
          </w:tcPr>
          <w:p w14:paraId="7D30A3AF" w14:textId="77777777" w:rsidR="00000000" w:rsidRDefault="00195E73">
            <w:pPr>
              <w:rPr>
                <w:rFonts w:eastAsia="Times New Roman"/>
                <w:sz w:val="20"/>
                <w:szCs w:val="20"/>
              </w:rPr>
            </w:pPr>
          </w:p>
        </w:tc>
        <w:tc>
          <w:tcPr>
            <w:tcW w:w="0" w:type="auto"/>
            <w:vAlign w:val="center"/>
            <w:hideMark/>
          </w:tcPr>
          <w:p w14:paraId="4E045EA5" w14:textId="77777777" w:rsidR="00000000" w:rsidRDefault="00195E73">
            <w:pPr>
              <w:rPr>
                <w:rFonts w:eastAsia="Times New Roman"/>
                <w:sz w:val="20"/>
                <w:szCs w:val="20"/>
              </w:rPr>
            </w:pPr>
          </w:p>
        </w:tc>
        <w:tc>
          <w:tcPr>
            <w:tcW w:w="0" w:type="auto"/>
            <w:vAlign w:val="center"/>
            <w:hideMark/>
          </w:tcPr>
          <w:p w14:paraId="18AFB357" w14:textId="77777777" w:rsidR="00000000" w:rsidRDefault="00195E73">
            <w:pPr>
              <w:rPr>
                <w:rFonts w:eastAsia="Times New Roman"/>
                <w:sz w:val="20"/>
                <w:szCs w:val="20"/>
              </w:rPr>
            </w:pPr>
          </w:p>
        </w:tc>
        <w:tc>
          <w:tcPr>
            <w:tcW w:w="0" w:type="auto"/>
            <w:vAlign w:val="center"/>
            <w:hideMark/>
          </w:tcPr>
          <w:p w14:paraId="277FCA74" w14:textId="77777777" w:rsidR="00000000" w:rsidRDefault="00195E73">
            <w:pPr>
              <w:rPr>
                <w:rFonts w:eastAsia="Times New Roman"/>
                <w:sz w:val="20"/>
                <w:szCs w:val="20"/>
              </w:rPr>
            </w:pPr>
          </w:p>
        </w:tc>
        <w:tc>
          <w:tcPr>
            <w:tcW w:w="0" w:type="auto"/>
            <w:vAlign w:val="center"/>
            <w:hideMark/>
          </w:tcPr>
          <w:p w14:paraId="6C86804E" w14:textId="77777777" w:rsidR="00000000" w:rsidRDefault="00195E73">
            <w:pPr>
              <w:rPr>
                <w:rFonts w:eastAsia="Times New Roman"/>
                <w:sz w:val="20"/>
                <w:szCs w:val="20"/>
              </w:rPr>
            </w:pPr>
          </w:p>
        </w:tc>
        <w:tc>
          <w:tcPr>
            <w:tcW w:w="0" w:type="auto"/>
            <w:vAlign w:val="center"/>
            <w:hideMark/>
          </w:tcPr>
          <w:p w14:paraId="7EF52B11" w14:textId="77777777" w:rsidR="00000000" w:rsidRDefault="00195E73">
            <w:pPr>
              <w:rPr>
                <w:rFonts w:eastAsia="Times New Roman"/>
                <w:sz w:val="20"/>
                <w:szCs w:val="20"/>
              </w:rPr>
            </w:pPr>
          </w:p>
        </w:tc>
        <w:tc>
          <w:tcPr>
            <w:tcW w:w="0" w:type="auto"/>
            <w:vAlign w:val="center"/>
            <w:hideMark/>
          </w:tcPr>
          <w:p w14:paraId="1E821966" w14:textId="77777777" w:rsidR="00000000" w:rsidRDefault="00195E73">
            <w:pPr>
              <w:rPr>
                <w:rFonts w:eastAsia="Times New Roman"/>
                <w:sz w:val="20"/>
                <w:szCs w:val="20"/>
              </w:rPr>
            </w:pPr>
          </w:p>
        </w:tc>
        <w:tc>
          <w:tcPr>
            <w:tcW w:w="0" w:type="auto"/>
            <w:vAlign w:val="center"/>
            <w:hideMark/>
          </w:tcPr>
          <w:p w14:paraId="00151907" w14:textId="77777777" w:rsidR="00000000" w:rsidRDefault="00195E73">
            <w:pPr>
              <w:rPr>
                <w:rFonts w:eastAsia="Times New Roman"/>
                <w:sz w:val="20"/>
                <w:szCs w:val="20"/>
              </w:rPr>
            </w:pPr>
          </w:p>
        </w:tc>
      </w:tr>
      <w:tr w:rsidR="00000000" w14:paraId="46787E61" w14:textId="77777777">
        <w:trPr>
          <w:divId w:val="2056880066"/>
          <w:jc w:val="center"/>
        </w:trPr>
        <w:tc>
          <w:tcPr>
            <w:tcW w:w="0" w:type="auto"/>
            <w:gridSpan w:val="3"/>
            <w:shd w:val="clear" w:color="auto" w:fill="CCEEFF"/>
            <w:tcMar>
              <w:top w:w="30" w:type="dxa"/>
              <w:left w:w="20" w:type="dxa"/>
              <w:bottom w:w="30" w:type="dxa"/>
              <w:right w:w="20" w:type="dxa"/>
            </w:tcMar>
            <w:vAlign w:val="bottom"/>
            <w:hideMark/>
          </w:tcPr>
          <w:p w14:paraId="444A15B9" w14:textId="77777777" w:rsidR="00000000" w:rsidRDefault="00195E73">
            <w:pPr>
              <w:rPr>
                <w:rFonts w:eastAsia="Times New Roman"/>
              </w:rPr>
            </w:pPr>
            <w:r>
              <w:rPr>
                <w:rFonts w:eastAsia="Times New Roman"/>
                <w:color w:val="000000"/>
                <w:sz w:val="20"/>
                <w:szCs w:val="20"/>
              </w:rPr>
              <w:t>Transactions with Holding Compan</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6930352B"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974A01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A2E7AA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2452E1" w14:textId="77777777" w:rsidR="00000000" w:rsidRDefault="00195E73">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08C3F0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F5ADFB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451FCF"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2E2281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92980D5" w14:textId="77777777" w:rsidR="00000000" w:rsidRDefault="00195E73">
            <w:pPr>
              <w:rPr>
                <w:rFonts w:eastAsia="Times New Roman"/>
                <w:sz w:val="20"/>
                <w:szCs w:val="20"/>
              </w:rPr>
            </w:pPr>
          </w:p>
        </w:tc>
        <w:tc>
          <w:tcPr>
            <w:tcW w:w="0" w:type="auto"/>
            <w:vAlign w:val="center"/>
            <w:hideMark/>
          </w:tcPr>
          <w:p w14:paraId="384029DF" w14:textId="77777777" w:rsidR="00000000" w:rsidRDefault="00195E73">
            <w:pPr>
              <w:rPr>
                <w:rFonts w:eastAsia="Times New Roman"/>
                <w:sz w:val="20"/>
                <w:szCs w:val="20"/>
              </w:rPr>
            </w:pPr>
          </w:p>
        </w:tc>
        <w:tc>
          <w:tcPr>
            <w:tcW w:w="0" w:type="auto"/>
            <w:vAlign w:val="center"/>
            <w:hideMark/>
          </w:tcPr>
          <w:p w14:paraId="10931639" w14:textId="77777777" w:rsidR="00000000" w:rsidRDefault="00195E73">
            <w:pPr>
              <w:rPr>
                <w:rFonts w:eastAsia="Times New Roman"/>
                <w:sz w:val="20"/>
                <w:szCs w:val="20"/>
              </w:rPr>
            </w:pPr>
          </w:p>
        </w:tc>
        <w:tc>
          <w:tcPr>
            <w:tcW w:w="0" w:type="auto"/>
            <w:vAlign w:val="center"/>
            <w:hideMark/>
          </w:tcPr>
          <w:p w14:paraId="75C843BF" w14:textId="77777777" w:rsidR="00000000" w:rsidRDefault="00195E73">
            <w:pPr>
              <w:rPr>
                <w:rFonts w:eastAsia="Times New Roman"/>
                <w:sz w:val="20"/>
                <w:szCs w:val="20"/>
              </w:rPr>
            </w:pPr>
          </w:p>
        </w:tc>
        <w:tc>
          <w:tcPr>
            <w:tcW w:w="0" w:type="auto"/>
            <w:vAlign w:val="center"/>
            <w:hideMark/>
          </w:tcPr>
          <w:p w14:paraId="1EDBFBB0" w14:textId="77777777" w:rsidR="00000000" w:rsidRDefault="00195E73">
            <w:pPr>
              <w:rPr>
                <w:rFonts w:eastAsia="Times New Roman"/>
                <w:sz w:val="20"/>
                <w:szCs w:val="20"/>
              </w:rPr>
            </w:pPr>
          </w:p>
        </w:tc>
        <w:tc>
          <w:tcPr>
            <w:tcW w:w="0" w:type="auto"/>
            <w:vAlign w:val="center"/>
            <w:hideMark/>
          </w:tcPr>
          <w:p w14:paraId="785347CE" w14:textId="77777777" w:rsidR="00000000" w:rsidRDefault="00195E73">
            <w:pPr>
              <w:rPr>
                <w:rFonts w:eastAsia="Times New Roman"/>
                <w:sz w:val="20"/>
                <w:szCs w:val="20"/>
              </w:rPr>
            </w:pPr>
          </w:p>
        </w:tc>
        <w:tc>
          <w:tcPr>
            <w:tcW w:w="0" w:type="auto"/>
            <w:vAlign w:val="center"/>
            <w:hideMark/>
          </w:tcPr>
          <w:p w14:paraId="2DF6A4DF" w14:textId="77777777" w:rsidR="00000000" w:rsidRDefault="00195E73">
            <w:pPr>
              <w:rPr>
                <w:rFonts w:eastAsia="Times New Roman"/>
                <w:sz w:val="20"/>
                <w:szCs w:val="20"/>
              </w:rPr>
            </w:pPr>
          </w:p>
        </w:tc>
        <w:tc>
          <w:tcPr>
            <w:tcW w:w="0" w:type="auto"/>
            <w:vAlign w:val="center"/>
            <w:hideMark/>
          </w:tcPr>
          <w:p w14:paraId="6A1FBC60" w14:textId="77777777" w:rsidR="00000000" w:rsidRDefault="00195E73">
            <w:pPr>
              <w:rPr>
                <w:rFonts w:eastAsia="Times New Roman"/>
                <w:sz w:val="20"/>
                <w:szCs w:val="20"/>
              </w:rPr>
            </w:pPr>
          </w:p>
        </w:tc>
        <w:tc>
          <w:tcPr>
            <w:tcW w:w="0" w:type="auto"/>
            <w:vAlign w:val="center"/>
            <w:hideMark/>
          </w:tcPr>
          <w:p w14:paraId="5E8AA602" w14:textId="77777777" w:rsidR="00000000" w:rsidRDefault="00195E73">
            <w:pPr>
              <w:rPr>
                <w:rFonts w:eastAsia="Times New Roman"/>
                <w:sz w:val="20"/>
                <w:szCs w:val="20"/>
              </w:rPr>
            </w:pPr>
          </w:p>
        </w:tc>
        <w:tc>
          <w:tcPr>
            <w:tcW w:w="0" w:type="auto"/>
            <w:vAlign w:val="center"/>
            <w:hideMark/>
          </w:tcPr>
          <w:p w14:paraId="080F9397" w14:textId="77777777" w:rsidR="00000000" w:rsidRDefault="00195E73">
            <w:pPr>
              <w:rPr>
                <w:rFonts w:eastAsia="Times New Roman"/>
                <w:sz w:val="20"/>
                <w:szCs w:val="20"/>
              </w:rPr>
            </w:pPr>
          </w:p>
        </w:tc>
        <w:tc>
          <w:tcPr>
            <w:tcW w:w="0" w:type="auto"/>
            <w:vAlign w:val="center"/>
            <w:hideMark/>
          </w:tcPr>
          <w:p w14:paraId="589DBACE" w14:textId="77777777" w:rsidR="00000000" w:rsidRDefault="00195E73">
            <w:pPr>
              <w:rPr>
                <w:rFonts w:eastAsia="Times New Roman"/>
                <w:sz w:val="20"/>
                <w:szCs w:val="20"/>
              </w:rPr>
            </w:pPr>
          </w:p>
        </w:tc>
        <w:tc>
          <w:tcPr>
            <w:tcW w:w="0" w:type="auto"/>
            <w:vAlign w:val="center"/>
            <w:hideMark/>
          </w:tcPr>
          <w:p w14:paraId="36145E75" w14:textId="77777777" w:rsidR="00000000" w:rsidRDefault="00195E73">
            <w:pPr>
              <w:rPr>
                <w:rFonts w:eastAsia="Times New Roman"/>
                <w:sz w:val="20"/>
                <w:szCs w:val="20"/>
              </w:rPr>
            </w:pPr>
          </w:p>
        </w:tc>
      </w:tr>
      <w:tr w:rsidR="00000000" w14:paraId="1A05C468" w14:textId="77777777">
        <w:trPr>
          <w:divId w:val="2056880066"/>
          <w:jc w:val="center"/>
        </w:trPr>
        <w:tc>
          <w:tcPr>
            <w:tcW w:w="0" w:type="auto"/>
            <w:gridSpan w:val="3"/>
            <w:shd w:val="clear" w:color="auto" w:fill="FFFFFF"/>
            <w:tcMar>
              <w:top w:w="15" w:type="dxa"/>
              <w:left w:w="20" w:type="dxa"/>
              <w:bottom w:w="15" w:type="dxa"/>
              <w:right w:w="20" w:type="dxa"/>
            </w:tcMar>
            <w:vAlign w:val="bottom"/>
            <w:hideMark/>
          </w:tcPr>
          <w:p w14:paraId="17951AD8"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E338E8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AEEFA5A" w14:textId="77777777" w:rsidR="00000000" w:rsidRDefault="00195E73">
            <w:pPr>
              <w:jc w:val="right"/>
              <w:rPr>
                <w:rFonts w:eastAsia="Times New Roman"/>
              </w:rPr>
            </w:pPr>
            <w:r>
              <w:rPr>
                <w:rFonts w:eastAsia="Times New Roman"/>
                <w:color w:val="000000"/>
                <w:sz w:val="20"/>
                <w:szCs w:val="20"/>
              </w:rPr>
              <w:t>735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D07227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5C20BEC"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050044D"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8C1ADDB" w14:textId="77777777" w:rsidR="00000000" w:rsidRDefault="00195E73">
            <w:pPr>
              <w:jc w:val="right"/>
              <w:rPr>
                <w:rFonts w:eastAsia="Times New Roman"/>
              </w:rPr>
            </w:pPr>
            <w:r>
              <w:rPr>
                <w:rFonts w:eastAsia="Times New Roman"/>
                <w:color w:val="000000"/>
                <w:sz w:val="20"/>
                <w:szCs w:val="20"/>
              </w:rPr>
              <w:t>880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93760A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C83FAC8"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E38B05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FD19960" w14:textId="77777777" w:rsidR="00000000" w:rsidRDefault="00195E73">
            <w:pPr>
              <w:jc w:val="right"/>
              <w:rPr>
                <w:rFonts w:eastAsia="Times New Roman"/>
              </w:rPr>
            </w:pPr>
            <w:r>
              <w:rPr>
                <w:rFonts w:eastAsia="Times New Roman"/>
                <w:color w:val="000000"/>
                <w:sz w:val="20"/>
                <w:szCs w:val="20"/>
              </w:rPr>
              <w:t>215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6F5D25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F922A1F" w14:textId="77777777" w:rsidR="00000000" w:rsidRDefault="00195E73">
            <w:pPr>
              <w:rPr>
                <w:rFonts w:eastAsia="Times New Roman"/>
                <w:sz w:val="20"/>
                <w:szCs w:val="20"/>
              </w:rPr>
            </w:pPr>
          </w:p>
        </w:tc>
        <w:tc>
          <w:tcPr>
            <w:tcW w:w="0" w:type="auto"/>
            <w:vAlign w:val="center"/>
            <w:hideMark/>
          </w:tcPr>
          <w:p w14:paraId="75669FAE" w14:textId="77777777" w:rsidR="00000000" w:rsidRDefault="00195E73">
            <w:pPr>
              <w:rPr>
                <w:rFonts w:eastAsia="Times New Roman"/>
                <w:sz w:val="20"/>
                <w:szCs w:val="20"/>
              </w:rPr>
            </w:pPr>
          </w:p>
        </w:tc>
        <w:tc>
          <w:tcPr>
            <w:tcW w:w="0" w:type="auto"/>
            <w:vAlign w:val="center"/>
            <w:hideMark/>
          </w:tcPr>
          <w:p w14:paraId="7D08CDCB" w14:textId="77777777" w:rsidR="00000000" w:rsidRDefault="00195E73">
            <w:pPr>
              <w:rPr>
                <w:rFonts w:eastAsia="Times New Roman"/>
                <w:sz w:val="20"/>
                <w:szCs w:val="20"/>
              </w:rPr>
            </w:pPr>
          </w:p>
        </w:tc>
        <w:tc>
          <w:tcPr>
            <w:tcW w:w="0" w:type="auto"/>
            <w:vAlign w:val="center"/>
            <w:hideMark/>
          </w:tcPr>
          <w:p w14:paraId="55CBE10D" w14:textId="77777777" w:rsidR="00000000" w:rsidRDefault="00195E73">
            <w:pPr>
              <w:rPr>
                <w:rFonts w:eastAsia="Times New Roman"/>
                <w:sz w:val="20"/>
                <w:szCs w:val="20"/>
              </w:rPr>
            </w:pPr>
          </w:p>
        </w:tc>
        <w:tc>
          <w:tcPr>
            <w:tcW w:w="0" w:type="auto"/>
            <w:vAlign w:val="center"/>
            <w:hideMark/>
          </w:tcPr>
          <w:p w14:paraId="098596C1" w14:textId="77777777" w:rsidR="00000000" w:rsidRDefault="00195E73">
            <w:pPr>
              <w:rPr>
                <w:rFonts w:eastAsia="Times New Roman"/>
                <w:sz w:val="20"/>
                <w:szCs w:val="20"/>
              </w:rPr>
            </w:pPr>
          </w:p>
        </w:tc>
        <w:tc>
          <w:tcPr>
            <w:tcW w:w="0" w:type="auto"/>
            <w:vAlign w:val="center"/>
            <w:hideMark/>
          </w:tcPr>
          <w:p w14:paraId="64F51439" w14:textId="77777777" w:rsidR="00000000" w:rsidRDefault="00195E73">
            <w:pPr>
              <w:rPr>
                <w:rFonts w:eastAsia="Times New Roman"/>
                <w:sz w:val="20"/>
                <w:szCs w:val="20"/>
              </w:rPr>
            </w:pPr>
          </w:p>
        </w:tc>
        <w:tc>
          <w:tcPr>
            <w:tcW w:w="0" w:type="auto"/>
            <w:vAlign w:val="center"/>
            <w:hideMark/>
          </w:tcPr>
          <w:p w14:paraId="2915ABB2" w14:textId="77777777" w:rsidR="00000000" w:rsidRDefault="00195E73">
            <w:pPr>
              <w:rPr>
                <w:rFonts w:eastAsia="Times New Roman"/>
                <w:sz w:val="20"/>
                <w:szCs w:val="20"/>
              </w:rPr>
            </w:pPr>
          </w:p>
        </w:tc>
        <w:tc>
          <w:tcPr>
            <w:tcW w:w="0" w:type="auto"/>
            <w:vAlign w:val="center"/>
            <w:hideMark/>
          </w:tcPr>
          <w:p w14:paraId="3F688F1A" w14:textId="77777777" w:rsidR="00000000" w:rsidRDefault="00195E73">
            <w:pPr>
              <w:rPr>
                <w:rFonts w:eastAsia="Times New Roman"/>
                <w:sz w:val="20"/>
                <w:szCs w:val="20"/>
              </w:rPr>
            </w:pPr>
          </w:p>
        </w:tc>
        <w:tc>
          <w:tcPr>
            <w:tcW w:w="0" w:type="auto"/>
            <w:vAlign w:val="center"/>
            <w:hideMark/>
          </w:tcPr>
          <w:p w14:paraId="29469E35" w14:textId="77777777" w:rsidR="00000000" w:rsidRDefault="00195E73">
            <w:pPr>
              <w:rPr>
                <w:rFonts w:eastAsia="Times New Roman"/>
                <w:sz w:val="20"/>
                <w:szCs w:val="20"/>
              </w:rPr>
            </w:pPr>
          </w:p>
        </w:tc>
        <w:tc>
          <w:tcPr>
            <w:tcW w:w="0" w:type="auto"/>
            <w:vAlign w:val="center"/>
            <w:hideMark/>
          </w:tcPr>
          <w:p w14:paraId="15300EDB" w14:textId="77777777" w:rsidR="00000000" w:rsidRDefault="00195E73">
            <w:pPr>
              <w:rPr>
                <w:rFonts w:eastAsia="Times New Roman"/>
                <w:sz w:val="20"/>
                <w:szCs w:val="20"/>
              </w:rPr>
            </w:pPr>
          </w:p>
        </w:tc>
        <w:tc>
          <w:tcPr>
            <w:tcW w:w="0" w:type="auto"/>
            <w:vAlign w:val="center"/>
            <w:hideMark/>
          </w:tcPr>
          <w:p w14:paraId="6FB6927D" w14:textId="77777777" w:rsidR="00000000" w:rsidRDefault="00195E73">
            <w:pPr>
              <w:rPr>
                <w:rFonts w:eastAsia="Times New Roman"/>
                <w:sz w:val="20"/>
                <w:szCs w:val="20"/>
              </w:rPr>
            </w:pPr>
          </w:p>
        </w:tc>
        <w:tc>
          <w:tcPr>
            <w:tcW w:w="0" w:type="auto"/>
            <w:vAlign w:val="center"/>
            <w:hideMark/>
          </w:tcPr>
          <w:p w14:paraId="4A1EC8AF" w14:textId="77777777" w:rsidR="00000000" w:rsidRDefault="00195E73">
            <w:pPr>
              <w:rPr>
                <w:rFonts w:eastAsia="Times New Roman"/>
                <w:sz w:val="20"/>
                <w:szCs w:val="20"/>
              </w:rPr>
            </w:pPr>
          </w:p>
        </w:tc>
      </w:tr>
      <w:tr w:rsidR="00000000" w14:paraId="3D8FBB63" w14:textId="77777777">
        <w:trPr>
          <w:divId w:val="2056880066"/>
          <w:jc w:val="center"/>
        </w:trPr>
        <w:tc>
          <w:tcPr>
            <w:tcW w:w="0" w:type="auto"/>
            <w:gridSpan w:val="3"/>
            <w:shd w:val="clear" w:color="auto" w:fill="CCEEFF"/>
            <w:tcMar>
              <w:top w:w="30" w:type="dxa"/>
              <w:left w:w="20" w:type="dxa"/>
              <w:bottom w:w="30" w:type="dxa"/>
              <w:right w:w="20" w:type="dxa"/>
            </w:tcMar>
            <w:vAlign w:val="bottom"/>
            <w:hideMark/>
          </w:tcPr>
          <w:p w14:paraId="6A4C93A9" w14:textId="77777777" w:rsidR="00000000" w:rsidRDefault="00195E73">
            <w:pPr>
              <w:rPr>
                <w:rFonts w:eastAsia="Times New Roman"/>
              </w:rPr>
            </w:pPr>
            <w:r>
              <w:rPr>
                <w:rFonts w:eastAsia="Times New Roman"/>
                <w:b/>
                <w:bCs/>
                <w:color w:val="000000"/>
                <w:sz w:val="20"/>
                <w:szCs w:val="20"/>
              </w:rPr>
              <w:t>Investing Activities</w:t>
            </w:r>
            <w:r>
              <w:rPr>
                <w:rFonts w:eastAsia="Times New Roman"/>
                <w:b/>
                <w:bCs/>
                <w:color w:val="000000"/>
                <w:sz w:val="20"/>
                <w:szCs w:val="20"/>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6C997FC"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ED84D00"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5B0EEA84"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647AAE9"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6748821" w14:textId="77777777" w:rsidR="00000000" w:rsidRDefault="00195E73">
            <w:pPr>
              <w:rPr>
                <w:rFonts w:eastAsia="Times New Roman"/>
                <w:sz w:val="20"/>
                <w:szCs w:val="20"/>
              </w:rPr>
            </w:pPr>
          </w:p>
        </w:tc>
        <w:tc>
          <w:tcPr>
            <w:tcW w:w="0" w:type="auto"/>
            <w:vAlign w:val="center"/>
            <w:hideMark/>
          </w:tcPr>
          <w:p w14:paraId="1F9751E0" w14:textId="77777777" w:rsidR="00000000" w:rsidRDefault="00195E73">
            <w:pPr>
              <w:rPr>
                <w:rFonts w:eastAsia="Times New Roman"/>
                <w:sz w:val="20"/>
                <w:szCs w:val="20"/>
              </w:rPr>
            </w:pPr>
          </w:p>
        </w:tc>
        <w:tc>
          <w:tcPr>
            <w:tcW w:w="0" w:type="auto"/>
            <w:vAlign w:val="center"/>
            <w:hideMark/>
          </w:tcPr>
          <w:p w14:paraId="0B2CC9D5" w14:textId="77777777" w:rsidR="00000000" w:rsidRDefault="00195E73">
            <w:pPr>
              <w:rPr>
                <w:rFonts w:eastAsia="Times New Roman"/>
                <w:sz w:val="20"/>
                <w:szCs w:val="20"/>
              </w:rPr>
            </w:pPr>
          </w:p>
        </w:tc>
        <w:tc>
          <w:tcPr>
            <w:tcW w:w="0" w:type="auto"/>
            <w:vAlign w:val="center"/>
            <w:hideMark/>
          </w:tcPr>
          <w:p w14:paraId="5047A07B" w14:textId="77777777" w:rsidR="00000000" w:rsidRDefault="00195E73">
            <w:pPr>
              <w:rPr>
                <w:rFonts w:eastAsia="Times New Roman"/>
                <w:sz w:val="20"/>
                <w:szCs w:val="20"/>
              </w:rPr>
            </w:pPr>
          </w:p>
        </w:tc>
        <w:tc>
          <w:tcPr>
            <w:tcW w:w="0" w:type="auto"/>
            <w:vAlign w:val="center"/>
            <w:hideMark/>
          </w:tcPr>
          <w:p w14:paraId="66E4800C" w14:textId="77777777" w:rsidR="00000000" w:rsidRDefault="00195E73">
            <w:pPr>
              <w:rPr>
                <w:rFonts w:eastAsia="Times New Roman"/>
                <w:sz w:val="20"/>
                <w:szCs w:val="20"/>
              </w:rPr>
            </w:pPr>
          </w:p>
        </w:tc>
        <w:tc>
          <w:tcPr>
            <w:tcW w:w="0" w:type="auto"/>
            <w:vAlign w:val="center"/>
            <w:hideMark/>
          </w:tcPr>
          <w:p w14:paraId="671145BE" w14:textId="77777777" w:rsidR="00000000" w:rsidRDefault="00195E73">
            <w:pPr>
              <w:rPr>
                <w:rFonts w:eastAsia="Times New Roman"/>
                <w:sz w:val="20"/>
                <w:szCs w:val="20"/>
              </w:rPr>
            </w:pPr>
          </w:p>
        </w:tc>
        <w:tc>
          <w:tcPr>
            <w:tcW w:w="0" w:type="auto"/>
            <w:vAlign w:val="center"/>
            <w:hideMark/>
          </w:tcPr>
          <w:p w14:paraId="1CAD6DC1" w14:textId="77777777" w:rsidR="00000000" w:rsidRDefault="00195E73">
            <w:pPr>
              <w:rPr>
                <w:rFonts w:eastAsia="Times New Roman"/>
                <w:sz w:val="20"/>
                <w:szCs w:val="20"/>
              </w:rPr>
            </w:pPr>
          </w:p>
        </w:tc>
        <w:tc>
          <w:tcPr>
            <w:tcW w:w="0" w:type="auto"/>
            <w:vAlign w:val="center"/>
            <w:hideMark/>
          </w:tcPr>
          <w:p w14:paraId="445855E3" w14:textId="77777777" w:rsidR="00000000" w:rsidRDefault="00195E73">
            <w:pPr>
              <w:rPr>
                <w:rFonts w:eastAsia="Times New Roman"/>
                <w:sz w:val="20"/>
                <w:szCs w:val="20"/>
              </w:rPr>
            </w:pPr>
          </w:p>
        </w:tc>
        <w:tc>
          <w:tcPr>
            <w:tcW w:w="0" w:type="auto"/>
            <w:vAlign w:val="center"/>
            <w:hideMark/>
          </w:tcPr>
          <w:p w14:paraId="0BE3B7F7" w14:textId="77777777" w:rsidR="00000000" w:rsidRDefault="00195E73">
            <w:pPr>
              <w:rPr>
                <w:rFonts w:eastAsia="Times New Roman"/>
                <w:sz w:val="20"/>
                <w:szCs w:val="20"/>
              </w:rPr>
            </w:pPr>
          </w:p>
        </w:tc>
        <w:tc>
          <w:tcPr>
            <w:tcW w:w="0" w:type="auto"/>
            <w:vAlign w:val="center"/>
            <w:hideMark/>
          </w:tcPr>
          <w:p w14:paraId="3A1531AF" w14:textId="77777777" w:rsidR="00000000" w:rsidRDefault="00195E73">
            <w:pPr>
              <w:rPr>
                <w:rFonts w:eastAsia="Times New Roman"/>
                <w:sz w:val="20"/>
                <w:szCs w:val="20"/>
              </w:rPr>
            </w:pPr>
          </w:p>
        </w:tc>
        <w:tc>
          <w:tcPr>
            <w:tcW w:w="0" w:type="auto"/>
            <w:vAlign w:val="center"/>
            <w:hideMark/>
          </w:tcPr>
          <w:p w14:paraId="5A1FCDD4" w14:textId="77777777" w:rsidR="00000000" w:rsidRDefault="00195E73">
            <w:pPr>
              <w:rPr>
                <w:rFonts w:eastAsia="Times New Roman"/>
                <w:sz w:val="20"/>
                <w:szCs w:val="20"/>
              </w:rPr>
            </w:pPr>
          </w:p>
        </w:tc>
        <w:tc>
          <w:tcPr>
            <w:tcW w:w="0" w:type="auto"/>
            <w:vAlign w:val="center"/>
            <w:hideMark/>
          </w:tcPr>
          <w:p w14:paraId="11283441" w14:textId="77777777" w:rsidR="00000000" w:rsidRDefault="00195E73">
            <w:pPr>
              <w:rPr>
                <w:rFonts w:eastAsia="Times New Roman"/>
                <w:sz w:val="20"/>
                <w:szCs w:val="20"/>
              </w:rPr>
            </w:pPr>
          </w:p>
        </w:tc>
        <w:tc>
          <w:tcPr>
            <w:tcW w:w="0" w:type="auto"/>
            <w:vAlign w:val="center"/>
            <w:hideMark/>
          </w:tcPr>
          <w:p w14:paraId="4E696D37" w14:textId="77777777" w:rsidR="00000000" w:rsidRDefault="00195E73">
            <w:pPr>
              <w:rPr>
                <w:rFonts w:eastAsia="Times New Roman"/>
                <w:sz w:val="20"/>
                <w:szCs w:val="20"/>
              </w:rPr>
            </w:pPr>
          </w:p>
        </w:tc>
      </w:tr>
      <w:tr w:rsidR="00000000" w14:paraId="224AC8A1" w14:textId="77777777">
        <w:trPr>
          <w:divId w:val="2056880066"/>
          <w:jc w:val="center"/>
        </w:trPr>
        <w:tc>
          <w:tcPr>
            <w:tcW w:w="0" w:type="auto"/>
            <w:gridSpan w:val="3"/>
            <w:shd w:val="clear" w:color="auto" w:fill="FFFFFF"/>
            <w:tcMar>
              <w:top w:w="30" w:type="dxa"/>
              <w:left w:w="20" w:type="dxa"/>
              <w:bottom w:w="30" w:type="dxa"/>
              <w:right w:w="20" w:type="dxa"/>
            </w:tcMar>
            <w:vAlign w:val="bottom"/>
            <w:hideMark/>
          </w:tcPr>
          <w:p w14:paraId="4E1487BA" w14:textId="77777777" w:rsidR="00000000" w:rsidRDefault="00195E73">
            <w:pPr>
              <w:rPr>
                <w:rFonts w:eastAsia="Times New Roman"/>
              </w:rPr>
            </w:pPr>
            <w:r>
              <w:rPr>
                <w:rFonts w:eastAsia="Times New Roman"/>
                <w:color w:val="000000"/>
                <w:sz w:val="20"/>
                <w:szCs w:val="20"/>
              </w:rPr>
              <w:t>Capital expenditure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14:paraId="04A7BE58"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23DEC4B" w14:textId="77777777" w:rsidR="00000000" w:rsidRDefault="00195E73">
            <w:pPr>
              <w:jc w:val="right"/>
              <w:rPr>
                <w:rFonts w:eastAsia="Times New Roman"/>
              </w:rPr>
            </w:pPr>
            <w:r>
              <w:rPr>
                <w:rFonts w:eastAsia="Times New Roman"/>
                <w:color w:val="000000"/>
                <w:sz w:val="20"/>
                <w:szCs w:val="20"/>
              </w:rPr>
              <w:t>(250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C9EC72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24BB93A"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6E0DC288"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0ECBACB" w14:textId="77777777" w:rsidR="00000000" w:rsidRDefault="00195E73">
            <w:pPr>
              <w:jc w:val="right"/>
              <w:rPr>
                <w:rFonts w:eastAsia="Times New Roman"/>
              </w:rPr>
            </w:pPr>
            <w:r>
              <w:rPr>
                <w:rFonts w:eastAsia="Times New Roman"/>
                <w:color w:val="000000"/>
                <w:sz w:val="20"/>
                <w:szCs w:val="20"/>
              </w:rPr>
              <w:t>(272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4C6BA1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DCDA1E"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1A896BA"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BAB31A3" w14:textId="77777777" w:rsidR="00000000" w:rsidRDefault="00195E73">
            <w:pPr>
              <w:jc w:val="right"/>
              <w:rPr>
                <w:rFonts w:eastAsia="Times New Roman"/>
              </w:rPr>
            </w:pPr>
            <w:r>
              <w:rPr>
                <w:rFonts w:eastAsia="Times New Roman"/>
                <w:color w:val="000000"/>
                <w:sz w:val="20"/>
                <w:szCs w:val="20"/>
              </w:rPr>
              <w:t>(316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19C32C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054B9BB" w14:textId="77777777" w:rsidR="00000000" w:rsidRDefault="00195E73">
            <w:pPr>
              <w:rPr>
                <w:rFonts w:eastAsia="Times New Roman"/>
                <w:sz w:val="20"/>
                <w:szCs w:val="20"/>
              </w:rPr>
            </w:pPr>
          </w:p>
        </w:tc>
        <w:tc>
          <w:tcPr>
            <w:tcW w:w="0" w:type="auto"/>
            <w:vAlign w:val="center"/>
            <w:hideMark/>
          </w:tcPr>
          <w:p w14:paraId="7D663909" w14:textId="77777777" w:rsidR="00000000" w:rsidRDefault="00195E73">
            <w:pPr>
              <w:rPr>
                <w:rFonts w:eastAsia="Times New Roman"/>
                <w:sz w:val="20"/>
                <w:szCs w:val="20"/>
              </w:rPr>
            </w:pPr>
          </w:p>
        </w:tc>
        <w:tc>
          <w:tcPr>
            <w:tcW w:w="0" w:type="auto"/>
            <w:vAlign w:val="center"/>
            <w:hideMark/>
          </w:tcPr>
          <w:p w14:paraId="55A70315" w14:textId="77777777" w:rsidR="00000000" w:rsidRDefault="00195E73">
            <w:pPr>
              <w:rPr>
                <w:rFonts w:eastAsia="Times New Roman"/>
                <w:sz w:val="20"/>
                <w:szCs w:val="20"/>
              </w:rPr>
            </w:pPr>
          </w:p>
        </w:tc>
        <w:tc>
          <w:tcPr>
            <w:tcW w:w="0" w:type="auto"/>
            <w:vAlign w:val="center"/>
            <w:hideMark/>
          </w:tcPr>
          <w:p w14:paraId="032E1D5E" w14:textId="77777777" w:rsidR="00000000" w:rsidRDefault="00195E73">
            <w:pPr>
              <w:rPr>
                <w:rFonts w:eastAsia="Times New Roman"/>
                <w:sz w:val="20"/>
                <w:szCs w:val="20"/>
              </w:rPr>
            </w:pPr>
          </w:p>
        </w:tc>
        <w:tc>
          <w:tcPr>
            <w:tcW w:w="0" w:type="auto"/>
            <w:vAlign w:val="center"/>
            <w:hideMark/>
          </w:tcPr>
          <w:p w14:paraId="1B293F5F" w14:textId="77777777" w:rsidR="00000000" w:rsidRDefault="00195E73">
            <w:pPr>
              <w:rPr>
                <w:rFonts w:eastAsia="Times New Roman"/>
                <w:sz w:val="20"/>
                <w:szCs w:val="20"/>
              </w:rPr>
            </w:pPr>
          </w:p>
        </w:tc>
        <w:tc>
          <w:tcPr>
            <w:tcW w:w="0" w:type="auto"/>
            <w:vAlign w:val="center"/>
            <w:hideMark/>
          </w:tcPr>
          <w:p w14:paraId="1870D70A" w14:textId="77777777" w:rsidR="00000000" w:rsidRDefault="00195E73">
            <w:pPr>
              <w:rPr>
                <w:rFonts w:eastAsia="Times New Roman"/>
                <w:sz w:val="20"/>
                <w:szCs w:val="20"/>
              </w:rPr>
            </w:pPr>
          </w:p>
        </w:tc>
        <w:tc>
          <w:tcPr>
            <w:tcW w:w="0" w:type="auto"/>
            <w:vAlign w:val="center"/>
            <w:hideMark/>
          </w:tcPr>
          <w:p w14:paraId="3BF6559A" w14:textId="77777777" w:rsidR="00000000" w:rsidRDefault="00195E73">
            <w:pPr>
              <w:rPr>
                <w:rFonts w:eastAsia="Times New Roman"/>
                <w:sz w:val="20"/>
                <w:szCs w:val="20"/>
              </w:rPr>
            </w:pPr>
          </w:p>
        </w:tc>
        <w:tc>
          <w:tcPr>
            <w:tcW w:w="0" w:type="auto"/>
            <w:vAlign w:val="center"/>
            <w:hideMark/>
          </w:tcPr>
          <w:p w14:paraId="743ECCE9" w14:textId="77777777" w:rsidR="00000000" w:rsidRDefault="00195E73">
            <w:pPr>
              <w:rPr>
                <w:rFonts w:eastAsia="Times New Roman"/>
                <w:sz w:val="20"/>
                <w:szCs w:val="20"/>
              </w:rPr>
            </w:pPr>
          </w:p>
        </w:tc>
        <w:tc>
          <w:tcPr>
            <w:tcW w:w="0" w:type="auto"/>
            <w:vAlign w:val="center"/>
            <w:hideMark/>
          </w:tcPr>
          <w:p w14:paraId="2847E9ED" w14:textId="77777777" w:rsidR="00000000" w:rsidRDefault="00195E73">
            <w:pPr>
              <w:rPr>
                <w:rFonts w:eastAsia="Times New Roman"/>
                <w:sz w:val="20"/>
                <w:szCs w:val="20"/>
              </w:rPr>
            </w:pPr>
          </w:p>
        </w:tc>
        <w:tc>
          <w:tcPr>
            <w:tcW w:w="0" w:type="auto"/>
            <w:vAlign w:val="center"/>
            <w:hideMark/>
          </w:tcPr>
          <w:p w14:paraId="69E5F67F" w14:textId="77777777" w:rsidR="00000000" w:rsidRDefault="00195E73">
            <w:pPr>
              <w:rPr>
                <w:rFonts w:eastAsia="Times New Roman"/>
                <w:sz w:val="20"/>
                <w:szCs w:val="20"/>
              </w:rPr>
            </w:pPr>
          </w:p>
        </w:tc>
        <w:tc>
          <w:tcPr>
            <w:tcW w:w="0" w:type="auto"/>
            <w:vAlign w:val="center"/>
            <w:hideMark/>
          </w:tcPr>
          <w:p w14:paraId="362E5854" w14:textId="77777777" w:rsidR="00000000" w:rsidRDefault="00195E73">
            <w:pPr>
              <w:rPr>
                <w:rFonts w:eastAsia="Times New Roman"/>
                <w:sz w:val="20"/>
                <w:szCs w:val="20"/>
              </w:rPr>
            </w:pPr>
          </w:p>
        </w:tc>
        <w:tc>
          <w:tcPr>
            <w:tcW w:w="0" w:type="auto"/>
            <w:vAlign w:val="center"/>
            <w:hideMark/>
          </w:tcPr>
          <w:p w14:paraId="2AFF6176" w14:textId="77777777" w:rsidR="00000000" w:rsidRDefault="00195E73">
            <w:pPr>
              <w:rPr>
                <w:rFonts w:eastAsia="Times New Roman"/>
                <w:sz w:val="20"/>
                <w:szCs w:val="20"/>
              </w:rPr>
            </w:pPr>
          </w:p>
        </w:tc>
      </w:tr>
      <w:tr w:rsidR="00000000" w14:paraId="2F8D64CD" w14:textId="77777777">
        <w:trPr>
          <w:divId w:val="2056880066"/>
          <w:jc w:val="center"/>
        </w:trPr>
        <w:tc>
          <w:tcPr>
            <w:tcW w:w="0" w:type="auto"/>
            <w:gridSpan w:val="3"/>
            <w:shd w:val="clear" w:color="auto" w:fill="CCEEFF"/>
            <w:tcMar>
              <w:top w:w="30" w:type="dxa"/>
              <w:left w:w="20" w:type="dxa"/>
              <w:bottom w:w="30" w:type="dxa"/>
              <w:right w:w="20" w:type="dxa"/>
            </w:tcMar>
            <w:vAlign w:val="bottom"/>
            <w:hideMark/>
          </w:tcPr>
          <w:p w14:paraId="29FF9D62" w14:textId="77777777" w:rsidR="00000000" w:rsidRDefault="00195E73">
            <w:pPr>
              <w:rPr>
                <w:rFonts w:eastAsia="Times New Roman"/>
              </w:rPr>
            </w:pPr>
            <w:r>
              <w:rPr>
                <w:rFonts w:eastAsia="Times New Roman"/>
                <w:color w:val="000000"/>
                <w:sz w:val="20"/>
                <w:szCs w:val="20"/>
              </w:rPr>
              <w:t>Acquisition of businesses, net of cash acquire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4E458AB9" w14:textId="77777777" w:rsidR="00000000" w:rsidRDefault="00195E73">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CE7B80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8C59D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601AEC" w14:textId="77777777" w:rsidR="00000000" w:rsidRDefault="00195E73">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8F5ACF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3F8984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F5D572" w14:textId="77777777" w:rsidR="00000000" w:rsidRDefault="00195E73">
            <w:pPr>
              <w:jc w:val="right"/>
              <w:rPr>
                <w:rFonts w:eastAsia="Times New Roman"/>
              </w:rPr>
            </w:pPr>
            <w:r>
              <w:rPr>
                <w:rFonts w:eastAsia="Times New Roman"/>
                <w:color w:val="000000"/>
                <w:sz w:val="20"/>
                <w:szCs w:val="20"/>
              </w:rPr>
              <w:t>(249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C0A5C7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48A2A5C" w14:textId="77777777" w:rsidR="00000000" w:rsidRDefault="00195E73">
            <w:pPr>
              <w:rPr>
                <w:rFonts w:eastAsia="Times New Roman"/>
                <w:sz w:val="20"/>
                <w:szCs w:val="20"/>
              </w:rPr>
            </w:pPr>
          </w:p>
        </w:tc>
        <w:tc>
          <w:tcPr>
            <w:tcW w:w="0" w:type="auto"/>
            <w:vAlign w:val="center"/>
            <w:hideMark/>
          </w:tcPr>
          <w:p w14:paraId="1387B8D5" w14:textId="77777777" w:rsidR="00000000" w:rsidRDefault="00195E73">
            <w:pPr>
              <w:rPr>
                <w:rFonts w:eastAsia="Times New Roman"/>
                <w:sz w:val="20"/>
                <w:szCs w:val="20"/>
              </w:rPr>
            </w:pPr>
          </w:p>
        </w:tc>
        <w:tc>
          <w:tcPr>
            <w:tcW w:w="0" w:type="auto"/>
            <w:vAlign w:val="center"/>
            <w:hideMark/>
          </w:tcPr>
          <w:p w14:paraId="58CA79B3" w14:textId="77777777" w:rsidR="00000000" w:rsidRDefault="00195E73">
            <w:pPr>
              <w:rPr>
                <w:rFonts w:eastAsia="Times New Roman"/>
                <w:sz w:val="20"/>
                <w:szCs w:val="20"/>
              </w:rPr>
            </w:pPr>
          </w:p>
        </w:tc>
        <w:tc>
          <w:tcPr>
            <w:tcW w:w="0" w:type="auto"/>
            <w:vAlign w:val="center"/>
            <w:hideMark/>
          </w:tcPr>
          <w:p w14:paraId="6AABBC50" w14:textId="77777777" w:rsidR="00000000" w:rsidRDefault="00195E73">
            <w:pPr>
              <w:rPr>
                <w:rFonts w:eastAsia="Times New Roman"/>
                <w:sz w:val="20"/>
                <w:szCs w:val="20"/>
              </w:rPr>
            </w:pPr>
          </w:p>
        </w:tc>
        <w:tc>
          <w:tcPr>
            <w:tcW w:w="0" w:type="auto"/>
            <w:vAlign w:val="center"/>
            <w:hideMark/>
          </w:tcPr>
          <w:p w14:paraId="596445AB" w14:textId="77777777" w:rsidR="00000000" w:rsidRDefault="00195E73">
            <w:pPr>
              <w:rPr>
                <w:rFonts w:eastAsia="Times New Roman"/>
                <w:sz w:val="20"/>
                <w:szCs w:val="20"/>
              </w:rPr>
            </w:pPr>
          </w:p>
        </w:tc>
        <w:tc>
          <w:tcPr>
            <w:tcW w:w="0" w:type="auto"/>
            <w:vAlign w:val="center"/>
            <w:hideMark/>
          </w:tcPr>
          <w:p w14:paraId="76D18D94" w14:textId="77777777" w:rsidR="00000000" w:rsidRDefault="00195E73">
            <w:pPr>
              <w:rPr>
                <w:rFonts w:eastAsia="Times New Roman"/>
                <w:sz w:val="20"/>
                <w:szCs w:val="20"/>
              </w:rPr>
            </w:pPr>
          </w:p>
        </w:tc>
        <w:tc>
          <w:tcPr>
            <w:tcW w:w="0" w:type="auto"/>
            <w:vAlign w:val="center"/>
            <w:hideMark/>
          </w:tcPr>
          <w:p w14:paraId="60316C83" w14:textId="77777777" w:rsidR="00000000" w:rsidRDefault="00195E73">
            <w:pPr>
              <w:rPr>
                <w:rFonts w:eastAsia="Times New Roman"/>
                <w:sz w:val="20"/>
                <w:szCs w:val="20"/>
              </w:rPr>
            </w:pPr>
          </w:p>
        </w:tc>
        <w:tc>
          <w:tcPr>
            <w:tcW w:w="0" w:type="auto"/>
            <w:vAlign w:val="center"/>
            <w:hideMark/>
          </w:tcPr>
          <w:p w14:paraId="631CC045" w14:textId="77777777" w:rsidR="00000000" w:rsidRDefault="00195E73">
            <w:pPr>
              <w:rPr>
                <w:rFonts w:eastAsia="Times New Roman"/>
                <w:sz w:val="20"/>
                <w:szCs w:val="20"/>
              </w:rPr>
            </w:pPr>
          </w:p>
        </w:tc>
        <w:tc>
          <w:tcPr>
            <w:tcW w:w="0" w:type="auto"/>
            <w:vAlign w:val="center"/>
            <w:hideMark/>
          </w:tcPr>
          <w:p w14:paraId="6108F95F" w14:textId="77777777" w:rsidR="00000000" w:rsidRDefault="00195E73">
            <w:pPr>
              <w:rPr>
                <w:rFonts w:eastAsia="Times New Roman"/>
                <w:sz w:val="20"/>
                <w:szCs w:val="20"/>
              </w:rPr>
            </w:pPr>
          </w:p>
        </w:tc>
        <w:tc>
          <w:tcPr>
            <w:tcW w:w="0" w:type="auto"/>
            <w:vAlign w:val="center"/>
            <w:hideMark/>
          </w:tcPr>
          <w:p w14:paraId="30539757" w14:textId="77777777" w:rsidR="00000000" w:rsidRDefault="00195E73">
            <w:pPr>
              <w:rPr>
                <w:rFonts w:eastAsia="Times New Roman"/>
                <w:sz w:val="20"/>
                <w:szCs w:val="20"/>
              </w:rPr>
            </w:pPr>
          </w:p>
        </w:tc>
        <w:tc>
          <w:tcPr>
            <w:tcW w:w="0" w:type="auto"/>
            <w:vAlign w:val="center"/>
            <w:hideMark/>
          </w:tcPr>
          <w:p w14:paraId="11E1B8AE" w14:textId="77777777" w:rsidR="00000000" w:rsidRDefault="00195E73">
            <w:pPr>
              <w:rPr>
                <w:rFonts w:eastAsia="Times New Roman"/>
                <w:sz w:val="20"/>
                <w:szCs w:val="20"/>
              </w:rPr>
            </w:pPr>
          </w:p>
        </w:tc>
        <w:tc>
          <w:tcPr>
            <w:tcW w:w="0" w:type="auto"/>
            <w:vAlign w:val="center"/>
            <w:hideMark/>
          </w:tcPr>
          <w:p w14:paraId="1B76970C" w14:textId="77777777" w:rsidR="00000000" w:rsidRDefault="00195E73">
            <w:pPr>
              <w:rPr>
                <w:rFonts w:eastAsia="Times New Roman"/>
                <w:sz w:val="20"/>
                <w:szCs w:val="20"/>
              </w:rPr>
            </w:pPr>
          </w:p>
        </w:tc>
      </w:tr>
      <w:tr w:rsidR="00000000" w14:paraId="6FBE3B0D" w14:textId="77777777">
        <w:trPr>
          <w:divId w:val="2056880066"/>
          <w:jc w:val="center"/>
        </w:trPr>
        <w:tc>
          <w:tcPr>
            <w:tcW w:w="0" w:type="auto"/>
            <w:gridSpan w:val="3"/>
            <w:shd w:val="clear" w:color="auto" w:fill="FFFFFF"/>
            <w:tcMar>
              <w:top w:w="30" w:type="dxa"/>
              <w:left w:w="20" w:type="dxa"/>
              <w:bottom w:w="30" w:type="dxa"/>
              <w:right w:w="20" w:type="dxa"/>
            </w:tcMar>
            <w:vAlign w:val="bottom"/>
            <w:hideMark/>
          </w:tcPr>
          <w:p w14:paraId="5E60E436" w14:textId="77777777" w:rsidR="00000000" w:rsidRDefault="00195E73">
            <w:pPr>
              <w:rPr>
                <w:rFonts w:eastAsia="Times New Roman"/>
              </w:rPr>
            </w:pPr>
            <w:r>
              <w:rPr>
                <w:rFonts w:eastAsia="Times New Roman"/>
                <w:color w:val="000000"/>
                <w:sz w:val="20"/>
                <w:szCs w:val="20"/>
              </w:rPr>
              <w:t>Proceeds from sale of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61FE05B" w14:textId="77777777" w:rsidR="00000000" w:rsidRDefault="00195E73">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FEEDCB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997757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82F7AD" w14:textId="77777777" w:rsidR="00000000" w:rsidRDefault="00195E73">
            <w:pPr>
              <w:jc w:val="right"/>
              <w:rPr>
                <w:rFonts w:eastAsia="Times New Roman"/>
              </w:rPr>
            </w:pPr>
            <w:r>
              <w:rPr>
                <w:rFonts w:eastAsia="Times New Roman"/>
                <w:color w:val="000000"/>
                <w:sz w:val="20"/>
                <w:szCs w:val="20"/>
              </w:rPr>
              <w:t>183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5649BB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FB581B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3ED81F" w14:textId="77777777" w:rsidR="00000000" w:rsidRDefault="00195E73">
            <w:pPr>
              <w:jc w:val="right"/>
              <w:rPr>
                <w:rFonts w:eastAsia="Times New Roman"/>
              </w:rPr>
            </w:pPr>
            <w:r>
              <w:rPr>
                <w:rFonts w:eastAsia="Times New Roman"/>
                <w:color w:val="000000"/>
                <w:sz w:val="20"/>
                <w:szCs w:val="20"/>
              </w:rPr>
              <w:t>175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2F5FA6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193EC6D" w14:textId="77777777" w:rsidR="00000000" w:rsidRDefault="00195E73">
            <w:pPr>
              <w:rPr>
                <w:rFonts w:eastAsia="Times New Roman"/>
                <w:sz w:val="20"/>
                <w:szCs w:val="20"/>
              </w:rPr>
            </w:pPr>
          </w:p>
        </w:tc>
        <w:tc>
          <w:tcPr>
            <w:tcW w:w="0" w:type="auto"/>
            <w:vAlign w:val="center"/>
            <w:hideMark/>
          </w:tcPr>
          <w:p w14:paraId="32E1F57A" w14:textId="77777777" w:rsidR="00000000" w:rsidRDefault="00195E73">
            <w:pPr>
              <w:rPr>
                <w:rFonts w:eastAsia="Times New Roman"/>
                <w:sz w:val="20"/>
                <w:szCs w:val="20"/>
              </w:rPr>
            </w:pPr>
          </w:p>
        </w:tc>
        <w:tc>
          <w:tcPr>
            <w:tcW w:w="0" w:type="auto"/>
            <w:vAlign w:val="center"/>
            <w:hideMark/>
          </w:tcPr>
          <w:p w14:paraId="21932808" w14:textId="77777777" w:rsidR="00000000" w:rsidRDefault="00195E73">
            <w:pPr>
              <w:rPr>
                <w:rFonts w:eastAsia="Times New Roman"/>
                <w:sz w:val="20"/>
                <w:szCs w:val="20"/>
              </w:rPr>
            </w:pPr>
          </w:p>
        </w:tc>
        <w:tc>
          <w:tcPr>
            <w:tcW w:w="0" w:type="auto"/>
            <w:vAlign w:val="center"/>
            <w:hideMark/>
          </w:tcPr>
          <w:p w14:paraId="2573852A" w14:textId="77777777" w:rsidR="00000000" w:rsidRDefault="00195E73">
            <w:pPr>
              <w:rPr>
                <w:rFonts w:eastAsia="Times New Roman"/>
                <w:sz w:val="20"/>
                <w:szCs w:val="20"/>
              </w:rPr>
            </w:pPr>
          </w:p>
        </w:tc>
        <w:tc>
          <w:tcPr>
            <w:tcW w:w="0" w:type="auto"/>
            <w:vAlign w:val="center"/>
            <w:hideMark/>
          </w:tcPr>
          <w:p w14:paraId="5BC84FF5" w14:textId="77777777" w:rsidR="00000000" w:rsidRDefault="00195E73">
            <w:pPr>
              <w:rPr>
                <w:rFonts w:eastAsia="Times New Roman"/>
                <w:sz w:val="20"/>
                <w:szCs w:val="20"/>
              </w:rPr>
            </w:pPr>
          </w:p>
        </w:tc>
        <w:tc>
          <w:tcPr>
            <w:tcW w:w="0" w:type="auto"/>
            <w:vAlign w:val="center"/>
            <w:hideMark/>
          </w:tcPr>
          <w:p w14:paraId="2EB05095" w14:textId="77777777" w:rsidR="00000000" w:rsidRDefault="00195E73">
            <w:pPr>
              <w:rPr>
                <w:rFonts w:eastAsia="Times New Roman"/>
                <w:sz w:val="20"/>
                <w:szCs w:val="20"/>
              </w:rPr>
            </w:pPr>
          </w:p>
        </w:tc>
        <w:tc>
          <w:tcPr>
            <w:tcW w:w="0" w:type="auto"/>
            <w:vAlign w:val="center"/>
            <w:hideMark/>
          </w:tcPr>
          <w:p w14:paraId="3D103128" w14:textId="77777777" w:rsidR="00000000" w:rsidRDefault="00195E73">
            <w:pPr>
              <w:rPr>
                <w:rFonts w:eastAsia="Times New Roman"/>
                <w:sz w:val="20"/>
                <w:szCs w:val="20"/>
              </w:rPr>
            </w:pPr>
          </w:p>
        </w:tc>
        <w:tc>
          <w:tcPr>
            <w:tcW w:w="0" w:type="auto"/>
            <w:vAlign w:val="center"/>
            <w:hideMark/>
          </w:tcPr>
          <w:p w14:paraId="313A9AE2" w14:textId="77777777" w:rsidR="00000000" w:rsidRDefault="00195E73">
            <w:pPr>
              <w:rPr>
                <w:rFonts w:eastAsia="Times New Roman"/>
                <w:sz w:val="20"/>
                <w:szCs w:val="20"/>
              </w:rPr>
            </w:pPr>
          </w:p>
        </w:tc>
        <w:tc>
          <w:tcPr>
            <w:tcW w:w="0" w:type="auto"/>
            <w:vAlign w:val="center"/>
            <w:hideMark/>
          </w:tcPr>
          <w:p w14:paraId="3054914A" w14:textId="77777777" w:rsidR="00000000" w:rsidRDefault="00195E73">
            <w:pPr>
              <w:rPr>
                <w:rFonts w:eastAsia="Times New Roman"/>
                <w:sz w:val="20"/>
                <w:szCs w:val="20"/>
              </w:rPr>
            </w:pPr>
          </w:p>
        </w:tc>
        <w:tc>
          <w:tcPr>
            <w:tcW w:w="0" w:type="auto"/>
            <w:vAlign w:val="center"/>
            <w:hideMark/>
          </w:tcPr>
          <w:p w14:paraId="37569EC6" w14:textId="77777777" w:rsidR="00000000" w:rsidRDefault="00195E73">
            <w:pPr>
              <w:rPr>
                <w:rFonts w:eastAsia="Times New Roman"/>
                <w:sz w:val="20"/>
                <w:szCs w:val="20"/>
              </w:rPr>
            </w:pPr>
          </w:p>
        </w:tc>
        <w:tc>
          <w:tcPr>
            <w:tcW w:w="0" w:type="auto"/>
            <w:vAlign w:val="center"/>
            <w:hideMark/>
          </w:tcPr>
          <w:p w14:paraId="1115D212" w14:textId="77777777" w:rsidR="00000000" w:rsidRDefault="00195E73">
            <w:pPr>
              <w:rPr>
                <w:rFonts w:eastAsia="Times New Roman"/>
                <w:sz w:val="20"/>
                <w:szCs w:val="20"/>
              </w:rPr>
            </w:pPr>
          </w:p>
        </w:tc>
        <w:tc>
          <w:tcPr>
            <w:tcW w:w="0" w:type="auto"/>
            <w:vAlign w:val="center"/>
            <w:hideMark/>
          </w:tcPr>
          <w:p w14:paraId="0D28C29A" w14:textId="77777777" w:rsidR="00000000" w:rsidRDefault="00195E73">
            <w:pPr>
              <w:rPr>
                <w:rFonts w:eastAsia="Times New Roman"/>
                <w:sz w:val="20"/>
                <w:szCs w:val="20"/>
              </w:rPr>
            </w:pPr>
          </w:p>
        </w:tc>
      </w:tr>
      <w:tr w:rsidR="00000000" w14:paraId="6CBBCC70" w14:textId="77777777">
        <w:trPr>
          <w:divId w:val="2056880066"/>
          <w:jc w:val="center"/>
        </w:trPr>
        <w:tc>
          <w:tcPr>
            <w:tcW w:w="0" w:type="auto"/>
            <w:gridSpan w:val="3"/>
            <w:shd w:val="clear" w:color="auto" w:fill="CCEEFF"/>
            <w:tcMar>
              <w:top w:w="30" w:type="dxa"/>
              <w:left w:w="20" w:type="dxa"/>
              <w:bottom w:w="30" w:type="dxa"/>
              <w:right w:w="20" w:type="dxa"/>
            </w:tcMar>
            <w:vAlign w:val="bottom"/>
            <w:hideMark/>
          </w:tcPr>
          <w:p w14:paraId="6FEC48E5" w14:textId="77777777" w:rsidR="00000000" w:rsidRDefault="00195E73">
            <w:pPr>
              <w:rPr>
                <w:rFonts w:eastAsia="Times New Roman"/>
              </w:rPr>
            </w:pPr>
            <w:r>
              <w:rPr>
                <w:rFonts w:eastAsia="Times New Roman"/>
                <w:color w:val="000000"/>
                <w:sz w:val="20"/>
                <w:szCs w:val="20"/>
              </w:rPr>
              <w:t>Note loan repayment from Holding Compan</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56B57E0A"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BB1216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5BF34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905909"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3B4863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8E8F1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13BF98" w14:textId="77777777" w:rsidR="00000000" w:rsidRDefault="00195E73">
            <w:pPr>
              <w:jc w:val="right"/>
              <w:rPr>
                <w:rFonts w:eastAsia="Times New Roman"/>
              </w:rPr>
            </w:pPr>
            <w:r>
              <w:rPr>
                <w:rFonts w:eastAsia="Times New Roman"/>
                <w:color w:val="000000"/>
                <w:sz w:val="20"/>
                <w:szCs w:val="20"/>
              </w:rPr>
              <w:t>120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FA9EF1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545A955" w14:textId="77777777" w:rsidR="00000000" w:rsidRDefault="00195E73">
            <w:pPr>
              <w:rPr>
                <w:rFonts w:eastAsia="Times New Roman"/>
                <w:sz w:val="20"/>
                <w:szCs w:val="20"/>
              </w:rPr>
            </w:pPr>
          </w:p>
        </w:tc>
        <w:tc>
          <w:tcPr>
            <w:tcW w:w="0" w:type="auto"/>
            <w:vAlign w:val="center"/>
            <w:hideMark/>
          </w:tcPr>
          <w:p w14:paraId="4C7DFE6A" w14:textId="77777777" w:rsidR="00000000" w:rsidRDefault="00195E73">
            <w:pPr>
              <w:rPr>
                <w:rFonts w:eastAsia="Times New Roman"/>
                <w:sz w:val="20"/>
                <w:szCs w:val="20"/>
              </w:rPr>
            </w:pPr>
          </w:p>
        </w:tc>
        <w:tc>
          <w:tcPr>
            <w:tcW w:w="0" w:type="auto"/>
            <w:vAlign w:val="center"/>
            <w:hideMark/>
          </w:tcPr>
          <w:p w14:paraId="18960EDD" w14:textId="77777777" w:rsidR="00000000" w:rsidRDefault="00195E73">
            <w:pPr>
              <w:rPr>
                <w:rFonts w:eastAsia="Times New Roman"/>
                <w:sz w:val="20"/>
                <w:szCs w:val="20"/>
              </w:rPr>
            </w:pPr>
          </w:p>
        </w:tc>
        <w:tc>
          <w:tcPr>
            <w:tcW w:w="0" w:type="auto"/>
            <w:vAlign w:val="center"/>
            <w:hideMark/>
          </w:tcPr>
          <w:p w14:paraId="4FC4EC68" w14:textId="77777777" w:rsidR="00000000" w:rsidRDefault="00195E73">
            <w:pPr>
              <w:rPr>
                <w:rFonts w:eastAsia="Times New Roman"/>
                <w:sz w:val="20"/>
                <w:szCs w:val="20"/>
              </w:rPr>
            </w:pPr>
          </w:p>
        </w:tc>
        <w:tc>
          <w:tcPr>
            <w:tcW w:w="0" w:type="auto"/>
            <w:vAlign w:val="center"/>
            <w:hideMark/>
          </w:tcPr>
          <w:p w14:paraId="50AE2D7E" w14:textId="77777777" w:rsidR="00000000" w:rsidRDefault="00195E73">
            <w:pPr>
              <w:rPr>
                <w:rFonts w:eastAsia="Times New Roman"/>
                <w:sz w:val="20"/>
                <w:szCs w:val="20"/>
              </w:rPr>
            </w:pPr>
          </w:p>
        </w:tc>
        <w:tc>
          <w:tcPr>
            <w:tcW w:w="0" w:type="auto"/>
            <w:vAlign w:val="center"/>
            <w:hideMark/>
          </w:tcPr>
          <w:p w14:paraId="45142133" w14:textId="77777777" w:rsidR="00000000" w:rsidRDefault="00195E73">
            <w:pPr>
              <w:rPr>
                <w:rFonts w:eastAsia="Times New Roman"/>
                <w:sz w:val="20"/>
                <w:szCs w:val="20"/>
              </w:rPr>
            </w:pPr>
          </w:p>
        </w:tc>
        <w:tc>
          <w:tcPr>
            <w:tcW w:w="0" w:type="auto"/>
            <w:vAlign w:val="center"/>
            <w:hideMark/>
          </w:tcPr>
          <w:p w14:paraId="304A86FB" w14:textId="77777777" w:rsidR="00000000" w:rsidRDefault="00195E73">
            <w:pPr>
              <w:rPr>
                <w:rFonts w:eastAsia="Times New Roman"/>
                <w:sz w:val="20"/>
                <w:szCs w:val="20"/>
              </w:rPr>
            </w:pPr>
          </w:p>
        </w:tc>
        <w:tc>
          <w:tcPr>
            <w:tcW w:w="0" w:type="auto"/>
            <w:vAlign w:val="center"/>
            <w:hideMark/>
          </w:tcPr>
          <w:p w14:paraId="362922C7" w14:textId="77777777" w:rsidR="00000000" w:rsidRDefault="00195E73">
            <w:pPr>
              <w:rPr>
                <w:rFonts w:eastAsia="Times New Roman"/>
                <w:sz w:val="20"/>
                <w:szCs w:val="20"/>
              </w:rPr>
            </w:pPr>
          </w:p>
        </w:tc>
        <w:tc>
          <w:tcPr>
            <w:tcW w:w="0" w:type="auto"/>
            <w:vAlign w:val="center"/>
            <w:hideMark/>
          </w:tcPr>
          <w:p w14:paraId="6327ECBB" w14:textId="77777777" w:rsidR="00000000" w:rsidRDefault="00195E73">
            <w:pPr>
              <w:rPr>
                <w:rFonts w:eastAsia="Times New Roman"/>
                <w:sz w:val="20"/>
                <w:szCs w:val="20"/>
              </w:rPr>
            </w:pPr>
          </w:p>
        </w:tc>
        <w:tc>
          <w:tcPr>
            <w:tcW w:w="0" w:type="auto"/>
            <w:vAlign w:val="center"/>
            <w:hideMark/>
          </w:tcPr>
          <w:p w14:paraId="0DB1A3DE" w14:textId="77777777" w:rsidR="00000000" w:rsidRDefault="00195E73">
            <w:pPr>
              <w:rPr>
                <w:rFonts w:eastAsia="Times New Roman"/>
                <w:sz w:val="20"/>
                <w:szCs w:val="20"/>
              </w:rPr>
            </w:pPr>
          </w:p>
        </w:tc>
        <w:tc>
          <w:tcPr>
            <w:tcW w:w="0" w:type="auto"/>
            <w:vAlign w:val="center"/>
            <w:hideMark/>
          </w:tcPr>
          <w:p w14:paraId="72E83EA2" w14:textId="77777777" w:rsidR="00000000" w:rsidRDefault="00195E73">
            <w:pPr>
              <w:rPr>
                <w:rFonts w:eastAsia="Times New Roman"/>
                <w:sz w:val="20"/>
                <w:szCs w:val="20"/>
              </w:rPr>
            </w:pPr>
          </w:p>
        </w:tc>
        <w:tc>
          <w:tcPr>
            <w:tcW w:w="0" w:type="auto"/>
            <w:vAlign w:val="center"/>
            <w:hideMark/>
          </w:tcPr>
          <w:p w14:paraId="52B7B587" w14:textId="77777777" w:rsidR="00000000" w:rsidRDefault="00195E73">
            <w:pPr>
              <w:rPr>
                <w:rFonts w:eastAsia="Times New Roman"/>
                <w:sz w:val="20"/>
                <w:szCs w:val="20"/>
              </w:rPr>
            </w:pPr>
          </w:p>
        </w:tc>
      </w:tr>
      <w:tr w:rsidR="00000000" w14:paraId="1B4C63DD" w14:textId="77777777">
        <w:trPr>
          <w:divId w:val="2056880066"/>
          <w:jc w:val="center"/>
        </w:trPr>
        <w:tc>
          <w:tcPr>
            <w:tcW w:w="0" w:type="auto"/>
            <w:gridSpan w:val="3"/>
            <w:shd w:val="clear" w:color="auto" w:fill="FFFFFF"/>
            <w:tcMar>
              <w:top w:w="30" w:type="dxa"/>
              <w:left w:w="20" w:type="dxa"/>
              <w:bottom w:w="30" w:type="dxa"/>
              <w:right w:w="20" w:type="dxa"/>
            </w:tcMar>
            <w:vAlign w:val="bottom"/>
            <w:hideMark/>
          </w:tcPr>
          <w:p w14:paraId="7B9EE111" w14:textId="77777777" w:rsidR="00000000" w:rsidRDefault="00195E73">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192D3719" w14:textId="77777777" w:rsidR="00000000" w:rsidRDefault="00195E73">
            <w:pPr>
              <w:jc w:val="right"/>
              <w:rPr>
                <w:rFonts w:eastAsia="Times New Roman"/>
              </w:rPr>
            </w:pPr>
            <w:r>
              <w:rPr>
                <w:rFonts w:eastAsia="Times New Roman"/>
                <w:color w:val="000000"/>
                <w:sz w:val="20"/>
                <w:szCs w:val="20"/>
              </w:rPr>
              <w:t>(88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6A77F8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D4B99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E06B10" w14:textId="77777777" w:rsidR="00000000" w:rsidRDefault="00195E73">
            <w:pPr>
              <w:jc w:val="right"/>
              <w:rPr>
                <w:rFonts w:eastAsia="Times New Roman"/>
              </w:rPr>
            </w:pPr>
            <w:r>
              <w:rPr>
                <w:rFonts w:eastAsia="Times New Roman"/>
                <w:color w:val="000000"/>
                <w:sz w:val="20"/>
                <w:szCs w:val="20"/>
              </w:rPr>
              <w:t>(59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D7807C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0D005C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7AC057" w14:textId="77777777" w:rsidR="00000000" w:rsidRDefault="00195E73">
            <w:pPr>
              <w:jc w:val="right"/>
              <w:rPr>
                <w:rFonts w:eastAsia="Times New Roman"/>
              </w:rPr>
            </w:pPr>
            <w:r>
              <w:rPr>
                <w:rFonts w:eastAsia="Times New Roman"/>
                <w:color w:val="000000"/>
                <w:sz w:val="20"/>
                <w:szCs w:val="20"/>
              </w:rPr>
              <w:t>(157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B31BF0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E79EE7E" w14:textId="77777777" w:rsidR="00000000" w:rsidRDefault="00195E73">
            <w:pPr>
              <w:rPr>
                <w:rFonts w:eastAsia="Times New Roman"/>
                <w:sz w:val="20"/>
                <w:szCs w:val="20"/>
              </w:rPr>
            </w:pPr>
          </w:p>
        </w:tc>
        <w:tc>
          <w:tcPr>
            <w:tcW w:w="0" w:type="auto"/>
            <w:vAlign w:val="center"/>
            <w:hideMark/>
          </w:tcPr>
          <w:p w14:paraId="06BF4326" w14:textId="77777777" w:rsidR="00000000" w:rsidRDefault="00195E73">
            <w:pPr>
              <w:rPr>
                <w:rFonts w:eastAsia="Times New Roman"/>
                <w:sz w:val="20"/>
                <w:szCs w:val="20"/>
              </w:rPr>
            </w:pPr>
          </w:p>
        </w:tc>
        <w:tc>
          <w:tcPr>
            <w:tcW w:w="0" w:type="auto"/>
            <w:vAlign w:val="center"/>
            <w:hideMark/>
          </w:tcPr>
          <w:p w14:paraId="727FC771" w14:textId="77777777" w:rsidR="00000000" w:rsidRDefault="00195E73">
            <w:pPr>
              <w:rPr>
                <w:rFonts w:eastAsia="Times New Roman"/>
                <w:sz w:val="20"/>
                <w:szCs w:val="20"/>
              </w:rPr>
            </w:pPr>
          </w:p>
        </w:tc>
        <w:tc>
          <w:tcPr>
            <w:tcW w:w="0" w:type="auto"/>
            <w:vAlign w:val="center"/>
            <w:hideMark/>
          </w:tcPr>
          <w:p w14:paraId="2B13348F" w14:textId="77777777" w:rsidR="00000000" w:rsidRDefault="00195E73">
            <w:pPr>
              <w:rPr>
                <w:rFonts w:eastAsia="Times New Roman"/>
                <w:sz w:val="20"/>
                <w:szCs w:val="20"/>
              </w:rPr>
            </w:pPr>
          </w:p>
        </w:tc>
        <w:tc>
          <w:tcPr>
            <w:tcW w:w="0" w:type="auto"/>
            <w:vAlign w:val="center"/>
            <w:hideMark/>
          </w:tcPr>
          <w:p w14:paraId="1AD42B31" w14:textId="77777777" w:rsidR="00000000" w:rsidRDefault="00195E73">
            <w:pPr>
              <w:rPr>
                <w:rFonts w:eastAsia="Times New Roman"/>
                <w:sz w:val="20"/>
                <w:szCs w:val="20"/>
              </w:rPr>
            </w:pPr>
          </w:p>
        </w:tc>
        <w:tc>
          <w:tcPr>
            <w:tcW w:w="0" w:type="auto"/>
            <w:vAlign w:val="center"/>
            <w:hideMark/>
          </w:tcPr>
          <w:p w14:paraId="5889B717" w14:textId="77777777" w:rsidR="00000000" w:rsidRDefault="00195E73">
            <w:pPr>
              <w:rPr>
                <w:rFonts w:eastAsia="Times New Roman"/>
                <w:sz w:val="20"/>
                <w:szCs w:val="20"/>
              </w:rPr>
            </w:pPr>
          </w:p>
        </w:tc>
        <w:tc>
          <w:tcPr>
            <w:tcW w:w="0" w:type="auto"/>
            <w:vAlign w:val="center"/>
            <w:hideMark/>
          </w:tcPr>
          <w:p w14:paraId="3641C15A" w14:textId="77777777" w:rsidR="00000000" w:rsidRDefault="00195E73">
            <w:pPr>
              <w:rPr>
                <w:rFonts w:eastAsia="Times New Roman"/>
                <w:sz w:val="20"/>
                <w:szCs w:val="20"/>
              </w:rPr>
            </w:pPr>
          </w:p>
        </w:tc>
        <w:tc>
          <w:tcPr>
            <w:tcW w:w="0" w:type="auto"/>
            <w:vAlign w:val="center"/>
            <w:hideMark/>
          </w:tcPr>
          <w:p w14:paraId="13A364ED" w14:textId="77777777" w:rsidR="00000000" w:rsidRDefault="00195E73">
            <w:pPr>
              <w:rPr>
                <w:rFonts w:eastAsia="Times New Roman"/>
                <w:sz w:val="20"/>
                <w:szCs w:val="20"/>
              </w:rPr>
            </w:pPr>
          </w:p>
        </w:tc>
        <w:tc>
          <w:tcPr>
            <w:tcW w:w="0" w:type="auto"/>
            <w:vAlign w:val="center"/>
            <w:hideMark/>
          </w:tcPr>
          <w:p w14:paraId="7E6399A8" w14:textId="77777777" w:rsidR="00000000" w:rsidRDefault="00195E73">
            <w:pPr>
              <w:rPr>
                <w:rFonts w:eastAsia="Times New Roman"/>
                <w:sz w:val="20"/>
                <w:szCs w:val="20"/>
              </w:rPr>
            </w:pPr>
          </w:p>
        </w:tc>
        <w:tc>
          <w:tcPr>
            <w:tcW w:w="0" w:type="auto"/>
            <w:vAlign w:val="center"/>
            <w:hideMark/>
          </w:tcPr>
          <w:p w14:paraId="4E0ABFC3" w14:textId="77777777" w:rsidR="00000000" w:rsidRDefault="00195E73">
            <w:pPr>
              <w:rPr>
                <w:rFonts w:eastAsia="Times New Roman"/>
                <w:sz w:val="20"/>
                <w:szCs w:val="20"/>
              </w:rPr>
            </w:pPr>
          </w:p>
        </w:tc>
        <w:tc>
          <w:tcPr>
            <w:tcW w:w="0" w:type="auto"/>
            <w:vAlign w:val="center"/>
            <w:hideMark/>
          </w:tcPr>
          <w:p w14:paraId="0D6B6DE4" w14:textId="77777777" w:rsidR="00000000" w:rsidRDefault="00195E73">
            <w:pPr>
              <w:rPr>
                <w:rFonts w:eastAsia="Times New Roman"/>
                <w:sz w:val="20"/>
                <w:szCs w:val="20"/>
              </w:rPr>
            </w:pPr>
          </w:p>
        </w:tc>
        <w:tc>
          <w:tcPr>
            <w:tcW w:w="0" w:type="auto"/>
            <w:vAlign w:val="center"/>
            <w:hideMark/>
          </w:tcPr>
          <w:p w14:paraId="6D637355" w14:textId="77777777" w:rsidR="00000000" w:rsidRDefault="00195E73">
            <w:pPr>
              <w:rPr>
                <w:rFonts w:eastAsia="Times New Roman"/>
                <w:sz w:val="20"/>
                <w:szCs w:val="20"/>
              </w:rPr>
            </w:pPr>
          </w:p>
        </w:tc>
      </w:tr>
      <w:tr w:rsidR="00000000" w14:paraId="5608F54F" w14:textId="77777777">
        <w:trPr>
          <w:divId w:val="2056880066"/>
          <w:jc w:val="center"/>
        </w:trPr>
        <w:tc>
          <w:tcPr>
            <w:tcW w:w="0" w:type="auto"/>
            <w:gridSpan w:val="3"/>
            <w:shd w:val="clear" w:color="auto" w:fill="CCEEFF"/>
            <w:tcMar>
              <w:top w:w="15" w:type="dxa"/>
              <w:left w:w="20" w:type="dxa"/>
              <w:bottom w:w="15" w:type="dxa"/>
              <w:right w:w="20" w:type="dxa"/>
            </w:tcMar>
            <w:vAlign w:val="bottom"/>
            <w:hideMark/>
          </w:tcPr>
          <w:p w14:paraId="5C9FE2FC"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CD3C53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342EAB6" w14:textId="77777777" w:rsidR="00000000" w:rsidRDefault="00195E73">
            <w:pPr>
              <w:jc w:val="right"/>
              <w:rPr>
                <w:rFonts w:eastAsia="Times New Roman"/>
              </w:rPr>
            </w:pPr>
            <w:r>
              <w:rPr>
                <w:rFonts w:eastAsia="Times New Roman"/>
                <w:color w:val="000000"/>
                <w:sz w:val="20"/>
                <w:szCs w:val="20"/>
              </w:rPr>
              <w:t>(335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933267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A56FDEA"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657E8AD"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586198E" w14:textId="77777777" w:rsidR="00000000" w:rsidRDefault="00195E73">
            <w:pPr>
              <w:jc w:val="right"/>
              <w:rPr>
                <w:rFonts w:eastAsia="Times New Roman"/>
              </w:rPr>
            </w:pPr>
            <w:r>
              <w:rPr>
                <w:rFonts w:eastAsia="Times New Roman"/>
                <w:color w:val="000000"/>
                <w:sz w:val="20"/>
                <w:szCs w:val="20"/>
              </w:rPr>
              <w:t>(163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48F14D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01FFF36"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68E727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1C918E5" w14:textId="77777777" w:rsidR="00000000" w:rsidRDefault="00195E73">
            <w:pPr>
              <w:jc w:val="right"/>
              <w:rPr>
                <w:rFonts w:eastAsia="Times New Roman"/>
              </w:rPr>
            </w:pPr>
            <w:r>
              <w:rPr>
                <w:rFonts w:eastAsia="Times New Roman"/>
                <w:color w:val="000000"/>
                <w:sz w:val="20"/>
                <w:szCs w:val="20"/>
              </w:rPr>
              <w:t>(427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ACCC1C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C323500" w14:textId="77777777" w:rsidR="00000000" w:rsidRDefault="00195E73">
            <w:pPr>
              <w:rPr>
                <w:rFonts w:eastAsia="Times New Roman"/>
                <w:sz w:val="20"/>
                <w:szCs w:val="20"/>
              </w:rPr>
            </w:pPr>
          </w:p>
        </w:tc>
        <w:tc>
          <w:tcPr>
            <w:tcW w:w="0" w:type="auto"/>
            <w:vAlign w:val="center"/>
            <w:hideMark/>
          </w:tcPr>
          <w:p w14:paraId="6D2825B4" w14:textId="77777777" w:rsidR="00000000" w:rsidRDefault="00195E73">
            <w:pPr>
              <w:rPr>
                <w:rFonts w:eastAsia="Times New Roman"/>
                <w:sz w:val="20"/>
                <w:szCs w:val="20"/>
              </w:rPr>
            </w:pPr>
          </w:p>
        </w:tc>
        <w:tc>
          <w:tcPr>
            <w:tcW w:w="0" w:type="auto"/>
            <w:vAlign w:val="center"/>
            <w:hideMark/>
          </w:tcPr>
          <w:p w14:paraId="383B4907" w14:textId="77777777" w:rsidR="00000000" w:rsidRDefault="00195E73">
            <w:pPr>
              <w:rPr>
                <w:rFonts w:eastAsia="Times New Roman"/>
                <w:sz w:val="20"/>
                <w:szCs w:val="20"/>
              </w:rPr>
            </w:pPr>
          </w:p>
        </w:tc>
        <w:tc>
          <w:tcPr>
            <w:tcW w:w="0" w:type="auto"/>
            <w:vAlign w:val="center"/>
            <w:hideMark/>
          </w:tcPr>
          <w:p w14:paraId="556D54E7" w14:textId="77777777" w:rsidR="00000000" w:rsidRDefault="00195E73">
            <w:pPr>
              <w:rPr>
                <w:rFonts w:eastAsia="Times New Roman"/>
                <w:sz w:val="20"/>
                <w:szCs w:val="20"/>
              </w:rPr>
            </w:pPr>
          </w:p>
        </w:tc>
        <w:tc>
          <w:tcPr>
            <w:tcW w:w="0" w:type="auto"/>
            <w:vAlign w:val="center"/>
            <w:hideMark/>
          </w:tcPr>
          <w:p w14:paraId="5E5F0712" w14:textId="77777777" w:rsidR="00000000" w:rsidRDefault="00195E73">
            <w:pPr>
              <w:rPr>
                <w:rFonts w:eastAsia="Times New Roman"/>
                <w:sz w:val="20"/>
                <w:szCs w:val="20"/>
              </w:rPr>
            </w:pPr>
          </w:p>
        </w:tc>
        <w:tc>
          <w:tcPr>
            <w:tcW w:w="0" w:type="auto"/>
            <w:vAlign w:val="center"/>
            <w:hideMark/>
          </w:tcPr>
          <w:p w14:paraId="7E9F1F9E" w14:textId="77777777" w:rsidR="00000000" w:rsidRDefault="00195E73">
            <w:pPr>
              <w:rPr>
                <w:rFonts w:eastAsia="Times New Roman"/>
                <w:sz w:val="20"/>
                <w:szCs w:val="20"/>
              </w:rPr>
            </w:pPr>
          </w:p>
        </w:tc>
        <w:tc>
          <w:tcPr>
            <w:tcW w:w="0" w:type="auto"/>
            <w:vAlign w:val="center"/>
            <w:hideMark/>
          </w:tcPr>
          <w:p w14:paraId="398CE7AF" w14:textId="77777777" w:rsidR="00000000" w:rsidRDefault="00195E73">
            <w:pPr>
              <w:rPr>
                <w:rFonts w:eastAsia="Times New Roman"/>
                <w:sz w:val="20"/>
                <w:szCs w:val="20"/>
              </w:rPr>
            </w:pPr>
          </w:p>
        </w:tc>
        <w:tc>
          <w:tcPr>
            <w:tcW w:w="0" w:type="auto"/>
            <w:vAlign w:val="center"/>
            <w:hideMark/>
          </w:tcPr>
          <w:p w14:paraId="6DA10501" w14:textId="77777777" w:rsidR="00000000" w:rsidRDefault="00195E73">
            <w:pPr>
              <w:rPr>
                <w:rFonts w:eastAsia="Times New Roman"/>
                <w:sz w:val="20"/>
                <w:szCs w:val="20"/>
              </w:rPr>
            </w:pPr>
          </w:p>
        </w:tc>
        <w:tc>
          <w:tcPr>
            <w:tcW w:w="0" w:type="auto"/>
            <w:vAlign w:val="center"/>
            <w:hideMark/>
          </w:tcPr>
          <w:p w14:paraId="5549EECC" w14:textId="77777777" w:rsidR="00000000" w:rsidRDefault="00195E73">
            <w:pPr>
              <w:rPr>
                <w:rFonts w:eastAsia="Times New Roman"/>
                <w:sz w:val="20"/>
                <w:szCs w:val="20"/>
              </w:rPr>
            </w:pPr>
          </w:p>
        </w:tc>
        <w:tc>
          <w:tcPr>
            <w:tcW w:w="0" w:type="auto"/>
            <w:vAlign w:val="center"/>
            <w:hideMark/>
          </w:tcPr>
          <w:p w14:paraId="105AF6A2" w14:textId="77777777" w:rsidR="00000000" w:rsidRDefault="00195E73">
            <w:pPr>
              <w:rPr>
                <w:rFonts w:eastAsia="Times New Roman"/>
                <w:sz w:val="20"/>
                <w:szCs w:val="20"/>
              </w:rPr>
            </w:pPr>
          </w:p>
        </w:tc>
        <w:tc>
          <w:tcPr>
            <w:tcW w:w="0" w:type="auto"/>
            <w:vAlign w:val="center"/>
            <w:hideMark/>
          </w:tcPr>
          <w:p w14:paraId="0CB45542" w14:textId="77777777" w:rsidR="00000000" w:rsidRDefault="00195E73">
            <w:pPr>
              <w:rPr>
                <w:rFonts w:eastAsia="Times New Roman"/>
                <w:sz w:val="20"/>
                <w:szCs w:val="20"/>
              </w:rPr>
            </w:pPr>
          </w:p>
        </w:tc>
        <w:tc>
          <w:tcPr>
            <w:tcW w:w="0" w:type="auto"/>
            <w:vAlign w:val="center"/>
            <w:hideMark/>
          </w:tcPr>
          <w:p w14:paraId="7D37857D" w14:textId="77777777" w:rsidR="00000000" w:rsidRDefault="00195E73">
            <w:pPr>
              <w:rPr>
                <w:rFonts w:eastAsia="Times New Roman"/>
                <w:sz w:val="20"/>
                <w:szCs w:val="20"/>
              </w:rPr>
            </w:pPr>
          </w:p>
        </w:tc>
      </w:tr>
      <w:tr w:rsidR="00000000" w14:paraId="3E2EE9C2" w14:textId="77777777">
        <w:trPr>
          <w:divId w:val="2056880066"/>
          <w:jc w:val="center"/>
        </w:trPr>
        <w:tc>
          <w:tcPr>
            <w:tcW w:w="0" w:type="auto"/>
            <w:gridSpan w:val="3"/>
            <w:shd w:val="clear" w:color="auto" w:fill="FFFFFF"/>
            <w:tcMar>
              <w:top w:w="30" w:type="dxa"/>
              <w:left w:w="20" w:type="dxa"/>
              <w:bottom w:w="30" w:type="dxa"/>
              <w:right w:w="20" w:type="dxa"/>
            </w:tcMar>
            <w:vAlign w:val="bottom"/>
            <w:hideMark/>
          </w:tcPr>
          <w:p w14:paraId="30B7BCEE" w14:textId="77777777" w:rsidR="00000000" w:rsidRDefault="00195E73">
            <w:pPr>
              <w:rPr>
                <w:rFonts w:eastAsia="Times New Roman"/>
              </w:rPr>
            </w:pPr>
            <w:r>
              <w:rPr>
                <w:rFonts w:eastAsia="Times New Roman"/>
                <w:b/>
                <w:bCs/>
                <w:color w:val="000000"/>
                <w:sz w:val="20"/>
                <w:szCs w:val="20"/>
              </w:rPr>
              <w:t>Financing Activities</w:t>
            </w:r>
            <w:r>
              <w:rPr>
                <w:rFonts w:eastAsia="Times New Roman"/>
                <w:b/>
                <w:bCs/>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3D7B926"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55E6B39B"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E85221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47AA674"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050638B" w14:textId="77777777" w:rsidR="00000000" w:rsidRDefault="00195E73">
            <w:pPr>
              <w:rPr>
                <w:rFonts w:eastAsia="Times New Roman"/>
                <w:sz w:val="20"/>
                <w:szCs w:val="20"/>
              </w:rPr>
            </w:pPr>
          </w:p>
        </w:tc>
        <w:tc>
          <w:tcPr>
            <w:tcW w:w="0" w:type="auto"/>
            <w:vAlign w:val="center"/>
            <w:hideMark/>
          </w:tcPr>
          <w:p w14:paraId="77079632" w14:textId="77777777" w:rsidR="00000000" w:rsidRDefault="00195E73">
            <w:pPr>
              <w:rPr>
                <w:rFonts w:eastAsia="Times New Roman"/>
                <w:sz w:val="20"/>
                <w:szCs w:val="20"/>
              </w:rPr>
            </w:pPr>
          </w:p>
        </w:tc>
        <w:tc>
          <w:tcPr>
            <w:tcW w:w="0" w:type="auto"/>
            <w:vAlign w:val="center"/>
            <w:hideMark/>
          </w:tcPr>
          <w:p w14:paraId="791A0009" w14:textId="77777777" w:rsidR="00000000" w:rsidRDefault="00195E73">
            <w:pPr>
              <w:rPr>
                <w:rFonts w:eastAsia="Times New Roman"/>
                <w:sz w:val="20"/>
                <w:szCs w:val="20"/>
              </w:rPr>
            </w:pPr>
          </w:p>
        </w:tc>
        <w:tc>
          <w:tcPr>
            <w:tcW w:w="0" w:type="auto"/>
            <w:vAlign w:val="center"/>
            <w:hideMark/>
          </w:tcPr>
          <w:p w14:paraId="75804D7B" w14:textId="77777777" w:rsidR="00000000" w:rsidRDefault="00195E73">
            <w:pPr>
              <w:rPr>
                <w:rFonts w:eastAsia="Times New Roman"/>
                <w:sz w:val="20"/>
                <w:szCs w:val="20"/>
              </w:rPr>
            </w:pPr>
          </w:p>
        </w:tc>
        <w:tc>
          <w:tcPr>
            <w:tcW w:w="0" w:type="auto"/>
            <w:vAlign w:val="center"/>
            <w:hideMark/>
          </w:tcPr>
          <w:p w14:paraId="56295D65" w14:textId="77777777" w:rsidR="00000000" w:rsidRDefault="00195E73">
            <w:pPr>
              <w:rPr>
                <w:rFonts w:eastAsia="Times New Roman"/>
                <w:sz w:val="20"/>
                <w:szCs w:val="20"/>
              </w:rPr>
            </w:pPr>
          </w:p>
        </w:tc>
        <w:tc>
          <w:tcPr>
            <w:tcW w:w="0" w:type="auto"/>
            <w:vAlign w:val="center"/>
            <w:hideMark/>
          </w:tcPr>
          <w:p w14:paraId="0BF0D352" w14:textId="77777777" w:rsidR="00000000" w:rsidRDefault="00195E73">
            <w:pPr>
              <w:rPr>
                <w:rFonts w:eastAsia="Times New Roman"/>
                <w:sz w:val="20"/>
                <w:szCs w:val="20"/>
              </w:rPr>
            </w:pPr>
          </w:p>
        </w:tc>
        <w:tc>
          <w:tcPr>
            <w:tcW w:w="0" w:type="auto"/>
            <w:vAlign w:val="center"/>
            <w:hideMark/>
          </w:tcPr>
          <w:p w14:paraId="30E7AC49" w14:textId="77777777" w:rsidR="00000000" w:rsidRDefault="00195E73">
            <w:pPr>
              <w:rPr>
                <w:rFonts w:eastAsia="Times New Roman"/>
                <w:sz w:val="20"/>
                <w:szCs w:val="20"/>
              </w:rPr>
            </w:pPr>
          </w:p>
        </w:tc>
        <w:tc>
          <w:tcPr>
            <w:tcW w:w="0" w:type="auto"/>
            <w:vAlign w:val="center"/>
            <w:hideMark/>
          </w:tcPr>
          <w:p w14:paraId="42C9288A" w14:textId="77777777" w:rsidR="00000000" w:rsidRDefault="00195E73">
            <w:pPr>
              <w:rPr>
                <w:rFonts w:eastAsia="Times New Roman"/>
                <w:sz w:val="20"/>
                <w:szCs w:val="20"/>
              </w:rPr>
            </w:pPr>
          </w:p>
        </w:tc>
        <w:tc>
          <w:tcPr>
            <w:tcW w:w="0" w:type="auto"/>
            <w:vAlign w:val="center"/>
            <w:hideMark/>
          </w:tcPr>
          <w:p w14:paraId="3A24FC91" w14:textId="77777777" w:rsidR="00000000" w:rsidRDefault="00195E73">
            <w:pPr>
              <w:rPr>
                <w:rFonts w:eastAsia="Times New Roman"/>
                <w:sz w:val="20"/>
                <w:szCs w:val="20"/>
              </w:rPr>
            </w:pPr>
          </w:p>
        </w:tc>
        <w:tc>
          <w:tcPr>
            <w:tcW w:w="0" w:type="auto"/>
            <w:vAlign w:val="center"/>
            <w:hideMark/>
          </w:tcPr>
          <w:p w14:paraId="37FA16A0" w14:textId="77777777" w:rsidR="00000000" w:rsidRDefault="00195E73">
            <w:pPr>
              <w:rPr>
                <w:rFonts w:eastAsia="Times New Roman"/>
                <w:sz w:val="20"/>
                <w:szCs w:val="20"/>
              </w:rPr>
            </w:pPr>
          </w:p>
        </w:tc>
        <w:tc>
          <w:tcPr>
            <w:tcW w:w="0" w:type="auto"/>
            <w:vAlign w:val="center"/>
            <w:hideMark/>
          </w:tcPr>
          <w:p w14:paraId="1042CAB3" w14:textId="77777777" w:rsidR="00000000" w:rsidRDefault="00195E73">
            <w:pPr>
              <w:rPr>
                <w:rFonts w:eastAsia="Times New Roman"/>
                <w:sz w:val="20"/>
                <w:szCs w:val="20"/>
              </w:rPr>
            </w:pPr>
          </w:p>
        </w:tc>
        <w:tc>
          <w:tcPr>
            <w:tcW w:w="0" w:type="auto"/>
            <w:vAlign w:val="center"/>
            <w:hideMark/>
          </w:tcPr>
          <w:p w14:paraId="6D66EEF2" w14:textId="77777777" w:rsidR="00000000" w:rsidRDefault="00195E73">
            <w:pPr>
              <w:rPr>
                <w:rFonts w:eastAsia="Times New Roman"/>
                <w:sz w:val="20"/>
                <w:szCs w:val="20"/>
              </w:rPr>
            </w:pPr>
          </w:p>
        </w:tc>
        <w:tc>
          <w:tcPr>
            <w:tcW w:w="0" w:type="auto"/>
            <w:vAlign w:val="center"/>
            <w:hideMark/>
          </w:tcPr>
          <w:p w14:paraId="20E9A36A" w14:textId="77777777" w:rsidR="00000000" w:rsidRDefault="00195E73">
            <w:pPr>
              <w:rPr>
                <w:rFonts w:eastAsia="Times New Roman"/>
                <w:sz w:val="20"/>
                <w:szCs w:val="20"/>
              </w:rPr>
            </w:pPr>
          </w:p>
        </w:tc>
      </w:tr>
      <w:tr w:rsidR="00000000" w14:paraId="643CBE76" w14:textId="77777777">
        <w:trPr>
          <w:divId w:val="2056880066"/>
          <w:jc w:val="center"/>
        </w:trPr>
        <w:tc>
          <w:tcPr>
            <w:tcW w:w="0" w:type="auto"/>
            <w:gridSpan w:val="3"/>
            <w:shd w:val="clear" w:color="auto" w:fill="CCEEFF"/>
            <w:tcMar>
              <w:top w:w="30" w:type="dxa"/>
              <w:left w:w="20" w:type="dxa"/>
              <w:bottom w:w="30" w:type="dxa"/>
              <w:right w:w="20" w:type="dxa"/>
            </w:tcMar>
            <w:vAlign w:val="bottom"/>
            <w:hideMark/>
          </w:tcPr>
          <w:p w14:paraId="28CA7F8F" w14:textId="77777777" w:rsidR="00000000" w:rsidRDefault="00195E73">
            <w:pPr>
              <w:rPr>
                <w:rFonts w:eastAsia="Times New Roman"/>
              </w:rPr>
            </w:pPr>
            <w:r>
              <w:rPr>
                <w:rFonts w:eastAsia="Times New Roman"/>
                <w:color w:val="000000"/>
                <w:sz w:val="20"/>
                <w:szCs w:val="20"/>
              </w:rPr>
              <w:t>Net debt and supply chain financing activit</w:t>
            </w:r>
            <w:r>
              <w:rPr>
                <w:rFonts w:eastAsia="Times New Roman"/>
                <w:color w:val="000000"/>
                <w:sz w:val="20"/>
                <w:szCs w:val="20"/>
              </w:rPr>
              <w:t>y</w:t>
            </w:r>
          </w:p>
        </w:tc>
        <w:tc>
          <w:tcPr>
            <w:tcW w:w="0" w:type="auto"/>
            <w:shd w:val="clear" w:color="auto" w:fill="CCEEFF"/>
            <w:tcMar>
              <w:top w:w="30" w:type="dxa"/>
              <w:left w:w="20" w:type="dxa"/>
              <w:bottom w:w="30" w:type="dxa"/>
              <w:right w:w="15" w:type="dxa"/>
            </w:tcMar>
            <w:vAlign w:val="bottom"/>
            <w:hideMark/>
          </w:tcPr>
          <w:p w14:paraId="7B8C60B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3686A62" w14:textId="77777777" w:rsidR="00000000" w:rsidRDefault="00195E73">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7C61A2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E5266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2FE082B"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68C248C" w14:textId="77777777" w:rsidR="00000000" w:rsidRDefault="00195E73">
            <w:pPr>
              <w:jc w:val="right"/>
              <w:rPr>
                <w:rFonts w:eastAsia="Times New Roman"/>
              </w:rPr>
            </w:pPr>
            <w:r>
              <w:rPr>
                <w:rFonts w:eastAsia="Times New Roman"/>
                <w:color w:val="000000"/>
                <w:sz w:val="20"/>
                <w:szCs w:val="20"/>
              </w:rPr>
              <w:t>(78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963014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634C24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10E148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437619B" w14:textId="77777777" w:rsidR="00000000" w:rsidRDefault="00195E73">
            <w:pPr>
              <w:jc w:val="right"/>
              <w:rPr>
                <w:rFonts w:eastAsia="Times New Roman"/>
              </w:rPr>
            </w:pPr>
            <w:r>
              <w:rPr>
                <w:rFonts w:eastAsia="Times New Roman"/>
                <w:color w:val="000000"/>
                <w:sz w:val="20"/>
                <w:szCs w:val="20"/>
              </w:rPr>
              <w:t>(96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BA83ED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0809009" w14:textId="77777777" w:rsidR="00000000" w:rsidRDefault="00195E73">
            <w:pPr>
              <w:rPr>
                <w:rFonts w:eastAsia="Times New Roman"/>
                <w:sz w:val="20"/>
                <w:szCs w:val="20"/>
              </w:rPr>
            </w:pPr>
          </w:p>
        </w:tc>
        <w:tc>
          <w:tcPr>
            <w:tcW w:w="0" w:type="auto"/>
            <w:vAlign w:val="center"/>
            <w:hideMark/>
          </w:tcPr>
          <w:p w14:paraId="7F226462" w14:textId="77777777" w:rsidR="00000000" w:rsidRDefault="00195E73">
            <w:pPr>
              <w:rPr>
                <w:rFonts w:eastAsia="Times New Roman"/>
                <w:sz w:val="20"/>
                <w:szCs w:val="20"/>
              </w:rPr>
            </w:pPr>
          </w:p>
        </w:tc>
        <w:tc>
          <w:tcPr>
            <w:tcW w:w="0" w:type="auto"/>
            <w:vAlign w:val="center"/>
            <w:hideMark/>
          </w:tcPr>
          <w:p w14:paraId="65720FDE" w14:textId="77777777" w:rsidR="00000000" w:rsidRDefault="00195E73">
            <w:pPr>
              <w:rPr>
                <w:rFonts w:eastAsia="Times New Roman"/>
                <w:sz w:val="20"/>
                <w:szCs w:val="20"/>
              </w:rPr>
            </w:pPr>
          </w:p>
        </w:tc>
        <w:tc>
          <w:tcPr>
            <w:tcW w:w="0" w:type="auto"/>
            <w:vAlign w:val="center"/>
            <w:hideMark/>
          </w:tcPr>
          <w:p w14:paraId="63D792AF" w14:textId="77777777" w:rsidR="00000000" w:rsidRDefault="00195E73">
            <w:pPr>
              <w:rPr>
                <w:rFonts w:eastAsia="Times New Roman"/>
                <w:sz w:val="20"/>
                <w:szCs w:val="20"/>
              </w:rPr>
            </w:pPr>
          </w:p>
        </w:tc>
        <w:tc>
          <w:tcPr>
            <w:tcW w:w="0" w:type="auto"/>
            <w:vAlign w:val="center"/>
            <w:hideMark/>
          </w:tcPr>
          <w:p w14:paraId="60233803" w14:textId="77777777" w:rsidR="00000000" w:rsidRDefault="00195E73">
            <w:pPr>
              <w:rPr>
                <w:rFonts w:eastAsia="Times New Roman"/>
                <w:sz w:val="20"/>
                <w:szCs w:val="20"/>
              </w:rPr>
            </w:pPr>
          </w:p>
        </w:tc>
        <w:tc>
          <w:tcPr>
            <w:tcW w:w="0" w:type="auto"/>
            <w:vAlign w:val="center"/>
            <w:hideMark/>
          </w:tcPr>
          <w:p w14:paraId="4228AF45" w14:textId="77777777" w:rsidR="00000000" w:rsidRDefault="00195E73">
            <w:pPr>
              <w:rPr>
                <w:rFonts w:eastAsia="Times New Roman"/>
                <w:sz w:val="20"/>
                <w:szCs w:val="20"/>
              </w:rPr>
            </w:pPr>
          </w:p>
        </w:tc>
        <w:tc>
          <w:tcPr>
            <w:tcW w:w="0" w:type="auto"/>
            <w:vAlign w:val="center"/>
            <w:hideMark/>
          </w:tcPr>
          <w:p w14:paraId="2DD8BE4A" w14:textId="77777777" w:rsidR="00000000" w:rsidRDefault="00195E73">
            <w:pPr>
              <w:rPr>
                <w:rFonts w:eastAsia="Times New Roman"/>
                <w:sz w:val="20"/>
                <w:szCs w:val="20"/>
              </w:rPr>
            </w:pPr>
          </w:p>
        </w:tc>
        <w:tc>
          <w:tcPr>
            <w:tcW w:w="0" w:type="auto"/>
            <w:vAlign w:val="center"/>
            <w:hideMark/>
          </w:tcPr>
          <w:p w14:paraId="6F08D6A6" w14:textId="77777777" w:rsidR="00000000" w:rsidRDefault="00195E73">
            <w:pPr>
              <w:rPr>
                <w:rFonts w:eastAsia="Times New Roman"/>
                <w:sz w:val="20"/>
                <w:szCs w:val="20"/>
              </w:rPr>
            </w:pPr>
          </w:p>
        </w:tc>
        <w:tc>
          <w:tcPr>
            <w:tcW w:w="0" w:type="auto"/>
            <w:vAlign w:val="center"/>
            <w:hideMark/>
          </w:tcPr>
          <w:p w14:paraId="411FA03B" w14:textId="77777777" w:rsidR="00000000" w:rsidRDefault="00195E73">
            <w:pPr>
              <w:rPr>
                <w:rFonts w:eastAsia="Times New Roman"/>
                <w:sz w:val="20"/>
                <w:szCs w:val="20"/>
              </w:rPr>
            </w:pPr>
          </w:p>
        </w:tc>
        <w:tc>
          <w:tcPr>
            <w:tcW w:w="0" w:type="auto"/>
            <w:vAlign w:val="center"/>
            <w:hideMark/>
          </w:tcPr>
          <w:p w14:paraId="7552D012" w14:textId="77777777" w:rsidR="00000000" w:rsidRDefault="00195E73">
            <w:pPr>
              <w:rPr>
                <w:rFonts w:eastAsia="Times New Roman"/>
                <w:sz w:val="20"/>
                <w:szCs w:val="20"/>
              </w:rPr>
            </w:pPr>
          </w:p>
        </w:tc>
        <w:tc>
          <w:tcPr>
            <w:tcW w:w="0" w:type="auto"/>
            <w:vAlign w:val="center"/>
            <w:hideMark/>
          </w:tcPr>
          <w:p w14:paraId="05053E2D" w14:textId="77777777" w:rsidR="00000000" w:rsidRDefault="00195E73">
            <w:pPr>
              <w:rPr>
                <w:rFonts w:eastAsia="Times New Roman"/>
                <w:sz w:val="20"/>
                <w:szCs w:val="20"/>
              </w:rPr>
            </w:pPr>
          </w:p>
        </w:tc>
        <w:tc>
          <w:tcPr>
            <w:tcW w:w="0" w:type="auto"/>
            <w:vAlign w:val="center"/>
            <w:hideMark/>
          </w:tcPr>
          <w:p w14:paraId="352EECBC" w14:textId="77777777" w:rsidR="00000000" w:rsidRDefault="00195E73">
            <w:pPr>
              <w:rPr>
                <w:rFonts w:eastAsia="Times New Roman"/>
                <w:sz w:val="20"/>
                <w:szCs w:val="20"/>
              </w:rPr>
            </w:pPr>
          </w:p>
        </w:tc>
      </w:tr>
      <w:tr w:rsidR="00000000" w14:paraId="128F1DD8" w14:textId="77777777">
        <w:trPr>
          <w:divId w:val="2056880066"/>
          <w:jc w:val="center"/>
        </w:trPr>
        <w:tc>
          <w:tcPr>
            <w:tcW w:w="0" w:type="auto"/>
            <w:gridSpan w:val="3"/>
            <w:shd w:val="clear" w:color="auto" w:fill="FFFFFF"/>
            <w:tcMar>
              <w:top w:w="30" w:type="dxa"/>
              <w:left w:w="20" w:type="dxa"/>
              <w:bottom w:w="30" w:type="dxa"/>
              <w:right w:w="20" w:type="dxa"/>
            </w:tcMar>
            <w:vAlign w:val="bottom"/>
            <w:hideMark/>
          </w:tcPr>
          <w:p w14:paraId="0963B0BA" w14:textId="77777777" w:rsidR="00000000" w:rsidRDefault="00195E73">
            <w:pPr>
              <w:rPr>
                <w:rFonts w:eastAsia="Times New Roman"/>
              </w:rPr>
            </w:pPr>
            <w:r>
              <w:rPr>
                <w:rFonts w:eastAsia="Times New Roman"/>
                <w:color w:val="000000"/>
                <w:sz w:val="20"/>
                <w:szCs w:val="20"/>
              </w:rPr>
              <w:t>Distributions to non-controlling interest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07F8CB6" w14:textId="77777777" w:rsidR="00000000" w:rsidRDefault="00195E73">
            <w:pPr>
              <w:jc w:val="right"/>
              <w:rPr>
                <w:rFonts w:eastAsia="Times New Roman"/>
              </w:rPr>
            </w:pPr>
            <w:r>
              <w:rPr>
                <w:rFonts w:eastAsia="Times New Roman"/>
                <w:color w:val="000000"/>
                <w:sz w:val="20"/>
                <w:szCs w:val="20"/>
              </w:rPr>
              <w:t>(119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846045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121A93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6494FE" w14:textId="77777777" w:rsidR="00000000" w:rsidRDefault="00195E73">
            <w:pPr>
              <w:jc w:val="right"/>
              <w:rPr>
                <w:rFonts w:eastAsia="Times New Roman"/>
              </w:rPr>
            </w:pPr>
            <w:r>
              <w:rPr>
                <w:rFonts w:eastAsia="Times New Roman"/>
                <w:color w:val="000000"/>
                <w:sz w:val="20"/>
                <w:szCs w:val="20"/>
              </w:rPr>
              <w:t>(139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4B4A61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154CE0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716858" w14:textId="77777777" w:rsidR="00000000" w:rsidRDefault="00195E73">
            <w:pPr>
              <w:jc w:val="right"/>
              <w:rPr>
                <w:rFonts w:eastAsia="Times New Roman"/>
              </w:rPr>
            </w:pPr>
            <w:r>
              <w:rPr>
                <w:rFonts w:eastAsia="Times New Roman"/>
                <w:color w:val="000000"/>
                <w:sz w:val="20"/>
                <w:szCs w:val="20"/>
              </w:rPr>
              <w:t>(75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2BCC47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ECA1AE3" w14:textId="77777777" w:rsidR="00000000" w:rsidRDefault="00195E73">
            <w:pPr>
              <w:rPr>
                <w:rFonts w:eastAsia="Times New Roman"/>
                <w:sz w:val="20"/>
                <w:szCs w:val="20"/>
              </w:rPr>
            </w:pPr>
          </w:p>
        </w:tc>
        <w:tc>
          <w:tcPr>
            <w:tcW w:w="0" w:type="auto"/>
            <w:vAlign w:val="center"/>
            <w:hideMark/>
          </w:tcPr>
          <w:p w14:paraId="5A767ADD" w14:textId="77777777" w:rsidR="00000000" w:rsidRDefault="00195E73">
            <w:pPr>
              <w:rPr>
                <w:rFonts w:eastAsia="Times New Roman"/>
                <w:sz w:val="20"/>
                <w:szCs w:val="20"/>
              </w:rPr>
            </w:pPr>
          </w:p>
        </w:tc>
        <w:tc>
          <w:tcPr>
            <w:tcW w:w="0" w:type="auto"/>
            <w:vAlign w:val="center"/>
            <w:hideMark/>
          </w:tcPr>
          <w:p w14:paraId="0E5448A1" w14:textId="77777777" w:rsidR="00000000" w:rsidRDefault="00195E73">
            <w:pPr>
              <w:rPr>
                <w:rFonts w:eastAsia="Times New Roman"/>
                <w:sz w:val="20"/>
                <w:szCs w:val="20"/>
              </w:rPr>
            </w:pPr>
          </w:p>
        </w:tc>
        <w:tc>
          <w:tcPr>
            <w:tcW w:w="0" w:type="auto"/>
            <w:vAlign w:val="center"/>
            <w:hideMark/>
          </w:tcPr>
          <w:p w14:paraId="527301E2" w14:textId="77777777" w:rsidR="00000000" w:rsidRDefault="00195E73">
            <w:pPr>
              <w:rPr>
                <w:rFonts w:eastAsia="Times New Roman"/>
                <w:sz w:val="20"/>
                <w:szCs w:val="20"/>
              </w:rPr>
            </w:pPr>
          </w:p>
        </w:tc>
        <w:tc>
          <w:tcPr>
            <w:tcW w:w="0" w:type="auto"/>
            <w:vAlign w:val="center"/>
            <w:hideMark/>
          </w:tcPr>
          <w:p w14:paraId="211C1A30" w14:textId="77777777" w:rsidR="00000000" w:rsidRDefault="00195E73">
            <w:pPr>
              <w:rPr>
                <w:rFonts w:eastAsia="Times New Roman"/>
                <w:sz w:val="20"/>
                <w:szCs w:val="20"/>
              </w:rPr>
            </w:pPr>
          </w:p>
        </w:tc>
        <w:tc>
          <w:tcPr>
            <w:tcW w:w="0" w:type="auto"/>
            <w:vAlign w:val="center"/>
            <w:hideMark/>
          </w:tcPr>
          <w:p w14:paraId="4E256A2B" w14:textId="77777777" w:rsidR="00000000" w:rsidRDefault="00195E73">
            <w:pPr>
              <w:rPr>
                <w:rFonts w:eastAsia="Times New Roman"/>
                <w:sz w:val="20"/>
                <w:szCs w:val="20"/>
              </w:rPr>
            </w:pPr>
          </w:p>
        </w:tc>
        <w:tc>
          <w:tcPr>
            <w:tcW w:w="0" w:type="auto"/>
            <w:vAlign w:val="center"/>
            <w:hideMark/>
          </w:tcPr>
          <w:p w14:paraId="0C66DF72" w14:textId="77777777" w:rsidR="00000000" w:rsidRDefault="00195E73">
            <w:pPr>
              <w:rPr>
                <w:rFonts w:eastAsia="Times New Roman"/>
                <w:sz w:val="20"/>
                <w:szCs w:val="20"/>
              </w:rPr>
            </w:pPr>
          </w:p>
        </w:tc>
        <w:tc>
          <w:tcPr>
            <w:tcW w:w="0" w:type="auto"/>
            <w:vAlign w:val="center"/>
            <w:hideMark/>
          </w:tcPr>
          <w:p w14:paraId="6196DA80" w14:textId="77777777" w:rsidR="00000000" w:rsidRDefault="00195E73">
            <w:pPr>
              <w:rPr>
                <w:rFonts w:eastAsia="Times New Roman"/>
                <w:sz w:val="20"/>
                <w:szCs w:val="20"/>
              </w:rPr>
            </w:pPr>
          </w:p>
        </w:tc>
        <w:tc>
          <w:tcPr>
            <w:tcW w:w="0" w:type="auto"/>
            <w:vAlign w:val="center"/>
            <w:hideMark/>
          </w:tcPr>
          <w:p w14:paraId="73494247" w14:textId="77777777" w:rsidR="00000000" w:rsidRDefault="00195E73">
            <w:pPr>
              <w:rPr>
                <w:rFonts w:eastAsia="Times New Roman"/>
                <w:sz w:val="20"/>
                <w:szCs w:val="20"/>
              </w:rPr>
            </w:pPr>
          </w:p>
        </w:tc>
        <w:tc>
          <w:tcPr>
            <w:tcW w:w="0" w:type="auto"/>
            <w:vAlign w:val="center"/>
            <w:hideMark/>
          </w:tcPr>
          <w:p w14:paraId="5C809F91" w14:textId="77777777" w:rsidR="00000000" w:rsidRDefault="00195E73">
            <w:pPr>
              <w:rPr>
                <w:rFonts w:eastAsia="Times New Roman"/>
                <w:sz w:val="20"/>
                <w:szCs w:val="20"/>
              </w:rPr>
            </w:pPr>
          </w:p>
        </w:tc>
        <w:tc>
          <w:tcPr>
            <w:tcW w:w="0" w:type="auto"/>
            <w:vAlign w:val="center"/>
            <w:hideMark/>
          </w:tcPr>
          <w:p w14:paraId="4D766E98" w14:textId="77777777" w:rsidR="00000000" w:rsidRDefault="00195E73">
            <w:pPr>
              <w:rPr>
                <w:rFonts w:eastAsia="Times New Roman"/>
                <w:sz w:val="20"/>
                <w:szCs w:val="20"/>
              </w:rPr>
            </w:pPr>
          </w:p>
        </w:tc>
        <w:tc>
          <w:tcPr>
            <w:tcW w:w="0" w:type="auto"/>
            <w:vAlign w:val="center"/>
            <w:hideMark/>
          </w:tcPr>
          <w:p w14:paraId="537D8CCB" w14:textId="77777777" w:rsidR="00000000" w:rsidRDefault="00195E73">
            <w:pPr>
              <w:rPr>
                <w:rFonts w:eastAsia="Times New Roman"/>
                <w:sz w:val="20"/>
                <w:szCs w:val="20"/>
              </w:rPr>
            </w:pPr>
          </w:p>
        </w:tc>
      </w:tr>
      <w:tr w:rsidR="00000000" w14:paraId="5869185E" w14:textId="77777777">
        <w:trPr>
          <w:divId w:val="2056880066"/>
          <w:jc w:val="center"/>
        </w:trPr>
        <w:tc>
          <w:tcPr>
            <w:tcW w:w="0" w:type="auto"/>
            <w:gridSpan w:val="3"/>
            <w:shd w:val="clear" w:color="auto" w:fill="CCEEFF"/>
            <w:tcMar>
              <w:top w:w="30" w:type="dxa"/>
              <w:left w:w="20" w:type="dxa"/>
              <w:bottom w:w="30" w:type="dxa"/>
              <w:right w:w="20" w:type="dxa"/>
            </w:tcMar>
            <w:vAlign w:val="bottom"/>
            <w:hideMark/>
          </w:tcPr>
          <w:p w14:paraId="17788FA2" w14:textId="77777777" w:rsidR="00000000" w:rsidRDefault="00195E73">
            <w:pPr>
              <w:rPr>
                <w:rFonts w:eastAsia="Times New Roman"/>
              </w:rPr>
            </w:pPr>
            <w:r>
              <w:rPr>
                <w:rFonts w:eastAsia="Times New Roman"/>
                <w:color w:val="000000"/>
                <w:sz w:val="20"/>
                <w:szCs w:val="20"/>
              </w:rPr>
              <w:t>Payments to acquire additional interests in consolidated subsidiarie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72AFB1E" w14:textId="77777777" w:rsidR="00000000" w:rsidRDefault="00195E73">
            <w:pPr>
              <w:jc w:val="right"/>
              <w:rPr>
                <w:rFonts w:eastAsia="Times New Roman"/>
              </w:rPr>
            </w:pPr>
            <w:r>
              <w:rPr>
                <w:rFonts w:eastAsia="Times New Roman"/>
                <w:color w:val="000000"/>
                <w:sz w:val="20"/>
                <w:szCs w:val="20"/>
              </w:rPr>
              <w:t>(301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6F0696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00803B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83238C"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7F7A82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2FB72A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6971B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F3D450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C8E6154" w14:textId="77777777" w:rsidR="00000000" w:rsidRDefault="00195E73">
            <w:pPr>
              <w:rPr>
                <w:rFonts w:eastAsia="Times New Roman"/>
                <w:sz w:val="20"/>
                <w:szCs w:val="20"/>
              </w:rPr>
            </w:pPr>
          </w:p>
        </w:tc>
        <w:tc>
          <w:tcPr>
            <w:tcW w:w="0" w:type="auto"/>
            <w:vAlign w:val="center"/>
            <w:hideMark/>
          </w:tcPr>
          <w:p w14:paraId="5D38C568" w14:textId="77777777" w:rsidR="00000000" w:rsidRDefault="00195E73">
            <w:pPr>
              <w:rPr>
                <w:rFonts w:eastAsia="Times New Roman"/>
                <w:sz w:val="20"/>
                <w:szCs w:val="20"/>
              </w:rPr>
            </w:pPr>
          </w:p>
        </w:tc>
        <w:tc>
          <w:tcPr>
            <w:tcW w:w="0" w:type="auto"/>
            <w:vAlign w:val="center"/>
            <w:hideMark/>
          </w:tcPr>
          <w:p w14:paraId="65FA0437" w14:textId="77777777" w:rsidR="00000000" w:rsidRDefault="00195E73">
            <w:pPr>
              <w:rPr>
                <w:rFonts w:eastAsia="Times New Roman"/>
                <w:sz w:val="20"/>
                <w:szCs w:val="20"/>
              </w:rPr>
            </w:pPr>
          </w:p>
        </w:tc>
        <w:tc>
          <w:tcPr>
            <w:tcW w:w="0" w:type="auto"/>
            <w:vAlign w:val="center"/>
            <w:hideMark/>
          </w:tcPr>
          <w:p w14:paraId="43809F3A" w14:textId="77777777" w:rsidR="00000000" w:rsidRDefault="00195E73">
            <w:pPr>
              <w:rPr>
                <w:rFonts w:eastAsia="Times New Roman"/>
                <w:sz w:val="20"/>
                <w:szCs w:val="20"/>
              </w:rPr>
            </w:pPr>
          </w:p>
        </w:tc>
        <w:tc>
          <w:tcPr>
            <w:tcW w:w="0" w:type="auto"/>
            <w:vAlign w:val="center"/>
            <w:hideMark/>
          </w:tcPr>
          <w:p w14:paraId="38694777" w14:textId="77777777" w:rsidR="00000000" w:rsidRDefault="00195E73">
            <w:pPr>
              <w:rPr>
                <w:rFonts w:eastAsia="Times New Roman"/>
                <w:sz w:val="20"/>
                <w:szCs w:val="20"/>
              </w:rPr>
            </w:pPr>
          </w:p>
        </w:tc>
        <w:tc>
          <w:tcPr>
            <w:tcW w:w="0" w:type="auto"/>
            <w:vAlign w:val="center"/>
            <w:hideMark/>
          </w:tcPr>
          <w:p w14:paraId="39E78070" w14:textId="77777777" w:rsidR="00000000" w:rsidRDefault="00195E73">
            <w:pPr>
              <w:rPr>
                <w:rFonts w:eastAsia="Times New Roman"/>
                <w:sz w:val="20"/>
                <w:szCs w:val="20"/>
              </w:rPr>
            </w:pPr>
          </w:p>
        </w:tc>
        <w:tc>
          <w:tcPr>
            <w:tcW w:w="0" w:type="auto"/>
            <w:vAlign w:val="center"/>
            <w:hideMark/>
          </w:tcPr>
          <w:p w14:paraId="01372B39" w14:textId="77777777" w:rsidR="00000000" w:rsidRDefault="00195E73">
            <w:pPr>
              <w:rPr>
                <w:rFonts w:eastAsia="Times New Roman"/>
                <w:sz w:val="20"/>
                <w:szCs w:val="20"/>
              </w:rPr>
            </w:pPr>
          </w:p>
        </w:tc>
        <w:tc>
          <w:tcPr>
            <w:tcW w:w="0" w:type="auto"/>
            <w:vAlign w:val="center"/>
            <w:hideMark/>
          </w:tcPr>
          <w:p w14:paraId="3C81D7B7" w14:textId="77777777" w:rsidR="00000000" w:rsidRDefault="00195E73">
            <w:pPr>
              <w:rPr>
                <w:rFonts w:eastAsia="Times New Roman"/>
                <w:sz w:val="20"/>
                <w:szCs w:val="20"/>
              </w:rPr>
            </w:pPr>
          </w:p>
        </w:tc>
        <w:tc>
          <w:tcPr>
            <w:tcW w:w="0" w:type="auto"/>
            <w:vAlign w:val="center"/>
            <w:hideMark/>
          </w:tcPr>
          <w:p w14:paraId="5C3D4F30" w14:textId="77777777" w:rsidR="00000000" w:rsidRDefault="00195E73">
            <w:pPr>
              <w:rPr>
                <w:rFonts w:eastAsia="Times New Roman"/>
                <w:sz w:val="20"/>
                <w:szCs w:val="20"/>
              </w:rPr>
            </w:pPr>
          </w:p>
        </w:tc>
        <w:tc>
          <w:tcPr>
            <w:tcW w:w="0" w:type="auto"/>
            <w:vAlign w:val="center"/>
            <w:hideMark/>
          </w:tcPr>
          <w:p w14:paraId="3713C339" w14:textId="77777777" w:rsidR="00000000" w:rsidRDefault="00195E73">
            <w:pPr>
              <w:rPr>
                <w:rFonts w:eastAsia="Times New Roman"/>
                <w:sz w:val="20"/>
                <w:szCs w:val="20"/>
              </w:rPr>
            </w:pPr>
          </w:p>
        </w:tc>
        <w:tc>
          <w:tcPr>
            <w:tcW w:w="0" w:type="auto"/>
            <w:vAlign w:val="center"/>
            <w:hideMark/>
          </w:tcPr>
          <w:p w14:paraId="0C3532EF" w14:textId="77777777" w:rsidR="00000000" w:rsidRDefault="00195E73">
            <w:pPr>
              <w:rPr>
                <w:rFonts w:eastAsia="Times New Roman"/>
                <w:sz w:val="20"/>
                <w:szCs w:val="20"/>
              </w:rPr>
            </w:pPr>
          </w:p>
        </w:tc>
        <w:tc>
          <w:tcPr>
            <w:tcW w:w="0" w:type="auto"/>
            <w:vAlign w:val="center"/>
            <w:hideMark/>
          </w:tcPr>
          <w:p w14:paraId="6FEFAA67" w14:textId="77777777" w:rsidR="00000000" w:rsidRDefault="00195E73">
            <w:pPr>
              <w:rPr>
                <w:rFonts w:eastAsia="Times New Roman"/>
                <w:sz w:val="20"/>
                <w:szCs w:val="20"/>
              </w:rPr>
            </w:pPr>
          </w:p>
        </w:tc>
      </w:tr>
      <w:tr w:rsidR="00000000" w14:paraId="3AEEF1CA" w14:textId="77777777">
        <w:trPr>
          <w:divId w:val="2056880066"/>
          <w:jc w:val="center"/>
        </w:trPr>
        <w:tc>
          <w:tcPr>
            <w:tcW w:w="0" w:type="auto"/>
            <w:gridSpan w:val="3"/>
            <w:shd w:val="clear" w:color="auto" w:fill="FFFFFF"/>
            <w:tcMar>
              <w:top w:w="30" w:type="dxa"/>
              <w:left w:w="20" w:type="dxa"/>
              <w:bottom w:w="30" w:type="dxa"/>
              <w:right w:w="20" w:type="dxa"/>
            </w:tcMar>
            <w:vAlign w:val="bottom"/>
            <w:hideMark/>
          </w:tcPr>
          <w:p w14:paraId="52D8BE2A" w14:textId="77777777" w:rsidR="00000000" w:rsidRDefault="00195E73">
            <w:pPr>
              <w:rPr>
                <w:rFonts w:eastAsia="Times New Roman"/>
              </w:rPr>
            </w:pPr>
            <w:r>
              <w:rPr>
                <w:rFonts w:eastAsia="Times New Roman"/>
                <w:color w:val="000000"/>
                <w:sz w:val="20"/>
                <w:szCs w:val="20"/>
              </w:rPr>
              <w:t>Net contributions from (distributions to) Holding Compan</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14:paraId="6004404D" w14:textId="77777777" w:rsidR="00000000" w:rsidRDefault="00195E73">
            <w:pPr>
              <w:jc w:val="right"/>
              <w:rPr>
                <w:rFonts w:eastAsia="Times New Roman"/>
              </w:rPr>
            </w:pPr>
            <w:r>
              <w:rPr>
                <w:rFonts w:eastAsia="Times New Roman"/>
                <w:color w:val="000000"/>
                <w:sz w:val="20"/>
                <w:szCs w:val="20"/>
              </w:rPr>
              <w:t>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E23AB2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969E78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E54479" w14:textId="77777777" w:rsidR="00000000" w:rsidRDefault="00195E73">
            <w:pPr>
              <w:jc w:val="right"/>
              <w:rPr>
                <w:rFonts w:eastAsia="Times New Roman"/>
              </w:rPr>
            </w:pPr>
            <w:r>
              <w:rPr>
                <w:rFonts w:eastAsia="Times New Roman"/>
                <w:color w:val="000000"/>
                <w:sz w:val="20"/>
                <w:szCs w:val="20"/>
              </w:rPr>
              <w:t>(292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C80A28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DE82DA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2CF966" w14:textId="77777777" w:rsidR="00000000" w:rsidRDefault="00195E73">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B6896B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669FFEF" w14:textId="77777777" w:rsidR="00000000" w:rsidRDefault="00195E73">
            <w:pPr>
              <w:rPr>
                <w:rFonts w:eastAsia="Times New Roman"/>
                <w:sz w:val="20"/>
                <w:szCs w:val="20"/>
              </w:rPr>
            </w:pPr>
          </w:p>
        </w:tc>
        <w:tc>
          <w:tcPr>
            <w:tcW w:w="0" w:type="auto"/>
            <w:vAlign w:val="center"/>
            <w:hideMark/>
          </w:tcPr>
          <w:p w14:paraId="6B8C426C" w14:textId="77777777" w:rsidR="00000000" w:rsidRDefault="00195E73">
            <w:pPr>
              <w:rPr>
                <w:rFonts w:eastAsia="Times New Roman"/>
                <w:sz w:val="20"/>
                <w:szCs w:val="20"/>
              </w:rPr>
            </w:pPr>
          </w:p>
        </w:tc>
        <w:tc>
          <w:tcPr>
            <w:tcW w:w="0" w:type="auto"/>
            <w:vAlign w:val="center"/>
            <w:hideMark/>
          </w:tcPr>
          <w:p w14:paraId="7EDD17D3" w14:textId="77777777" w:rsidR="00000000" w:rsidRDefault="00195E73">
            <w:pPr>
              <w:rPr>
                <w:rFonts w:eastAsia="Times New Roman"/>
                <w:sz w:val="20"/>
                <w:szCs w:val="20"/>
              </w:rPr>
            </w:pPr>
          </w:p>
        </w:tc>
        <w:tc>
          <w:tcPr>
            <w:tcW w:w="0" w:type="auto"/>
            <w:vAlign w:val="center"/>
            <w:hideMark/>
          </w:tcPr>
          <w:p w14:paraId="02E7FDC1" w14:textId="77777777" w:rsidR="00000000" w:rsidRDefault="00195E73">
            <w:pPr>
              <w:rPr>
                <w:rFonts w:eastAsia="Times New Roman"/>
                <w:sz w:val="20"/>
                <w:szCs w:val="20"/>
              </w:rPr>
            </w:pPr>
          </w:p>
        </w:tc>
        <w:tc>
          <w:tcPr>
            <w:tcW w:w="0" w:type="auto"/>
            <w:vAlign w:val="center"/>
            <w:hideMark/>
          </w:tcPr>
          <w:p w14:paraId="18FE9195" w14:textId="77777777" w:rsidR="00000000" w:rsidRDefault="00195E73">
            <w:pPr>
              <w:rPr>
                <w:rFonts w:eastAsia="Times New Roman"/>
                <w:sz w:val="20"/>
                <w:szCs w:val="20"/>
              </w:rPr>
            </w:pPr>
          </w:p>
        </w:tc>
        <w:tc>
          <w:tcPr>
            <w:tcW w:w="0" w:type="auto"/>
            <w:vAlign w:val="center"/>
            <w:hideMark/>
          </w:tcPr>
          <w:p w14:paraId="7923CB02" w14:textId="77777777" w:rsidR="00000000" w:rsidRDefault="00195E73">
            <w:pPr>
              <w:rPr>
                <w:rFonts w:eastAsia="Times New Roman"/>
                <w:sz w:val="20"/>
                <w:szCs w:val="20"/>
              </w:rPr>
            </w:pPr>
          </w:p>
        </w:tc>
        <w:tc>
          <w:tcPr>
            <w:tcW w:w="0" w:type="auto"/>
            <w:vAlign w:val="center"/>
            <w:hideMark/>
          </w:tcPr>
          <w:p w14:paraId="6D300050" w14:textId="77777777" w:rsidR="00000000" w:rsidRDefault="00195E73">
            <w:pPr>
              <w:rPr>
                <w:rFonts w:eastAsia="Times New Roman"/>
                <w:sz w:val="20"/>
                <w:szCs w:val="20"/>
              </w:rPr>
            </w:pPr>
          </w:p>
        </w:tc>
        <w:tc>
          <w:tcPr>
            <w:tcW w:w="0" w:type="auto"/>
            <w:vAlign w:val="center"/>
            <w:hideMark/>
          </w:tcPr>
          <w:p w14:paraId="6588EF2D" w14:textId="77777777" w:rsidR="00000000" w:rsidRDefault="00195E73">
            <w:pPr>
              <w:rPr>
                <w:rFonts w:eastAsia="Times New Roman"/>
                <w:sz w:val="20"/>
                <w:szCs w:val="20"/>
              </w:rPr>
            </w:pPr>
          </w:p>
        </w:tc>
        <w:tc>
          <w:tcPr>
            <w:tcW w:w="0" w:type="auto"/>
            <w:vAlign w:val="center"/>
            <w:hideMark/>
          </w:tcPr>
          <w:p w14:paraId="514C83C3" w14:textId="77777777" w:rsidR="00000000" w:rsidRDefault="00195E73">
            <w:pPr>
              <w:rPr>
                <w:rFonts w:eastAsia="Times New Roman"/>
                <w:sz w:val="20"/>
                <w:szCs w:val="20"/>
              </w:rPr>
            </w:pPr>
          </w:p>
        </w:tc>
        <w:tc>
          <w:tcPr>
            <w:tcW w:w="0" w:type="auto"/>
            <w:vAlign w:val="center"/>
            <w:hideMark/>
          </w:tcPr>
          <w:p w14:paraId="7F67B7B0" w14:textId="77777777" w:rsidR="00000000" w:rsidRDefault="00195E73">
            <w:pPr>
              <w:rPr>
                <w:rFonts w:eastAsia="Times New Roman"/>
                <w:sz w:val="20"/>
                <w:szCs w:val="20"/>
              </w:rPr>
            </w:pPr>
          </w:p>
        </w:tc>
        <w:tc>
          <w:tcPr>
            <w:tcW w:w="0" w:type="auto"/>
            <w:vAlign w:val="center"/>
            <w:hideMark/>
          </w:tcPr>
          <w:p w14:paraId="48FED1B3" w14:textId="77777777" w:rsidR="00000000" w:rsidRDefault="00195E73">
            <w:pPr>
              <w:rPr>
                <w:rFonts w:eastAsia="Times New Roman"/>
                <w:sz w:val="20"/>
                <w:szCs w:val="20"/>
              </w:rPr>
            </w:pPr>
          </w:p>
        </w:tc>
        <w:tc>
          <w:tcPr>
            <w:tcW w:w="0" w:type="auto"/>
            <w:vAlign w:val="center"/>
            <w:hideMark/>
          </w:tcPr>
          <w:p w14:paraId="72BF961E" w14:textId="77777777" w:rsidR="00000000" w:rsidRDefault="00195E73">
            <w:pPr>
              <w:rPr>
                <w:rFonts w:eastAsia="Times New Roman"/>
                <w:sz w:val="20"/>
                <w:szCs w:val="20"/>
              </w:rPr>
            </w:pPr>
          </w:p>
        </w:tc>
      </w:tr>
      <w:tr w:rsidR="00000000" w14:paraId="407F06B6" w14:textId="77777777">
        <w:trPr>
          <w:divId w:val="2056880066"/>
          <w:jc w:val="center"/>
        </w:trPr>
        <w:tc>
          <w:tcPr>
            <w:tcW w:w="0" w:type="auto"/>
            <w:gridSpan w:val="3"/>
            <w:shd w:val="clear" w:color="auto" w:fill="CCEEFF"/>
            <w:tcMar>
              <w:top w:w="30" w:type="dxa"/>
              <w:left w:w="20" w:type="dxa"/>
              <w:bottom w:w="30" w:type="dxa"/>
              <w:right w:w="20" w:type="dxa"/>
            </w:tcMar>
            <w:vAlign w:val="bottom"/>
            <w:hideMark/>
          </w:tcPr>
          <w:p w14:paraId="7BBE93A4" w14:textId="77777777" w:rsidR="00000000" w:rsidRDefault="00195E73">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593302CC"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4FF2EA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CAD1DF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62BAFC" w14:textId="77777777" w:rsidR="00000000" w:rsidRDefault="00195E73">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EAC28D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DA8A5E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F0DC1D" w14:textId="77777777" w:rsidR="00000000" w:rsidRDefault="00195E73">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8393F0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734623D" w14:textId="77777777" w:rsidR="00000000" w:rsidRDefault="00195E73">
            <w:pPr>
              <w:rPr>
                <w:rFonts w:eastAsia="Times New Roman"/>
                <w:sz w:val="20"/>
                <w:szCs w:val="20"/>
              </w:rPr>
            </w:pPr>
          </w:p>
        </w:tc>
        <w:tc>
          <w:tcPr>
            <w:tcW w:w="0" w:type="auto"/>
            <w:vAlign w:val="center"/>
            <w:hideMark/>
          </w:tcPr>
          <w:p w14:paraId="6FA97E72" w14:textId="77777777" w:rsidR="00000000" w:rsidRDefault="00195E73">
            <w:pPr>
              <w:rPr>
                <w:rFonts w:eastAsia="Times New Roman"/>
                <w:sz w:val="20"/>
                <w:szCs w:val="20"/>
              </w:rPr>
            </w:pPr>
          </w:p>
        </w:tc>
        <w:tc>
          <w:tcPr>
            <w:tcW w:w="0" w:type="auto"/>
            <w:vAlign w:val="center"/>
            <w:hideMark/>
          </w:tcPr>
          <w:p w14:paraId="5464D5C5" w14:textId="77777777" w:rsidR="00000000" w:rsidRDefault="00195E73">
            <w:pPr>
              <w:rPr>
                <w:rFonts w:eastAsia="Times New Roman"/>
                <w:sz w:val="20"/>
                <w:szCs w:val="20"/>
              </w:rPr>
            </w:pPr>
          </w:p>
        </w:tc>
        <w:tc>
          <w:tcPr>
            <w:tcW w:w="0" w:type="auto"/>
            <w:vAlign w:val="center"/>
            <w:hideMark/>
          </w:tcPr>
          <w:p w14:paraId="3B69D83C" w14:textId="77777777" w:rsidR="00000000" w:rsidRDefault="00195E73">
            <w:pPr>
              <w:rPr>
                <w:rFonts w:eastAsia="Times New Roman"/>
                <w:sz w:val="20"/>
                <w:szCs w:val="20"/>
              </w:rPr>
            </w:pPr>
          </w:p>
        </w:tc>
        <w:tc>
          <w:tcPr>
            <w:tcW w:w="0" w:type="auto"/>
            <w:vAlign w:val="center"/>
            <w:hideMark/>
          </w:tcPr>
          <w:p w14:paraId="66993E53" w14:textId="77777777" w:rsidR="00000000" w:rsidRDefault="00195E73">
            <w:pPr>
              <w:rPr>
                <w:rFonts w:eastAsia="Times New Roman"/>
                <w:sz w:val="20"/>
                <w:szCs w:val="20"/>
              </w:rPr>
            </w:pPr>
          </w:p>
        </w:tc>
        <w:tc>
          <w:tcPr>
            <w:tcW w:w="0" w:type="auto"/>
            <w:vAlign w:val="center"/>
            <w:hideMark/>
          </w:tcPr>
          <w:p w14:paraId="1FF8EFC3" w14:textId="77777777" w:rsidR="00000000" w:rsidRDefault="00195E73">
            <w:pPr>
              <w:rPr>
                <w:rFonts w:eastAsia="Times New Roman"/>
                <w:sz w:val="20"/>
                <w:szCs w:val="20"/>
              </w:rPr>
            </w:pPr>
          </w:p>
        </w:tc>
        <w:tc>
          <w:tcPr>
            <w:tcW w:w="0" w:type="auto"/>
            <w:vAlign w:val="center"/>
            <w:hideMark/>
          </w:tcPr>
          <w:p w14:paraId="2C12DE1D" w14:textId="77777777" w:rsidR="00000000" w:rsidRDefault="00195E73">
            <w:pPr>
              <w:rPr>
                <w:rFonts w:eastAsia="Times New Roman"/>
                <w:sz w:val="20"/>
                <w:szCs w:val="20"/>
              </w:rPr>
            </w:pPr>
          </w:p>
        </w:tc>
        <w:tc>
          <w:tcPr>
            <w:tcW w:w="0" w:type="auto"/>
            <w:vAlign w:val="center"/>
            <w:hideMark/>
          </w:tcPr>
          <w:p w14:paraId="6ADFC2F1" w14:textId="77777777" w:rsidR="00000000" w:rsidRDefault="00195E73">
            <w:pPr>
              <w:rPr>
                <w:rFonts w:eastAsia="Times New Roman"/>
                <w:sz w:val="20"/>
                <w:szCs w:val="20"/>
              </w:rPr>
            </w:pPr>
          </w:p>
        </w:tc>
        <w:tc>
          <w:tcPr>
            <w:tcW w:w="0" w:type="auto"/>
            <w:vAlign w:val="center"/>
            <w:hideMark/>
          </w:tcPr>
          <w:p w14:paraId="25469189" w14:textId="77777777" w:rsidR="00000000" w:rsidRDefault="00195E73">
            <w:pPr>
              <w:rPr>
                <w:rFonts w:eastAsia="Times New Roman"/>
                <w:sz w:val="20"/>
                <w:szCs w:val="20"/>
              </w:rPr>
            </w:pPr>
          </w:p>
        </w:tc>
        <w:tc>
          <w:tcPr>
            <w:tcW w:w="0" w:type="auto"/>
            <w:vAlign w:val="center"/>
            <w:hideMark/>
          </w:tcPr>
          <w:p w14:paraId="1F4A0386" w14:textId="77777777" w:rsidR="00000000" w:rsidRDefault="00195E73">
            <w:pPr>
              <w:rPr>
                <w:rFonts w:eastAsia="Times New Roman"/>
                <w:sz w:val="20"/>
                <w:szCs w:val="20"/>
              </w:rPr>
            </w:pPr>
          </w:p>
        </w:tc>
        <w:tc>
          <w:tcPr>
            <w:tcW w:w="0" w:type="auto"/>
            <w:vAlign w:val="center"/>
            <w:hideMark/>
          </w:tcPr>
          <w:p w14:paraId="7575DB7B" w14:textId="77777777" w:rsidR="00000000" w:rsidRDefault="00195E73">
            <w:pPr>
              <w:rPr>
                <w:rFonts w:eastAsia="Times New Roman"/>
                <w:sz w:val="20"/>
                <w:szCs w:val="20"/>
              </w:rPr>
            </w:pPr>
          </w:p>
        </w:tc>
        <w:tc>
          <w:tcPr>
            <w:tcW w:w="0" w:type="auto"/>
            <w:vAlign w:val="center"/>
            <w:hideMark/>
          </w:tcPr>
          <w:p w14:paraId="4571F98A" w14:textId="77777777" w:rsidR="00000000" w:rsidRDefault="00195E73">
            <w:pPr>
              <w:rPr>
                <w:rFonts w:eastAsia="Times New Roman"/>
                <w:sz w:val="20"/>
                <w:szCs w:val="20"/>
              </w:rPr>
            </w:pPr>
          </w:p>
        </w:tc>
      </w:tr>
      <w:tr w:rsidR="00000000" w14:paraId="11BB20DE" w14:textId="77777777">
        <w:trPr>
          <w:divId w:val="2056880066"/>
          <w:jc w:val="center"/>
        </w:trPr>
        <w:tc>
          <w:tcPr>
            <w:tcW w:w="0" w:type="auto"/>
            <w:gridSpan w:val="3"/>
            <w:shd w:val="clear" w:color="auto" w:fill="FFFFFF"/>
            <w:tcMar>
              <w:top w:w="15" w:type="dxa"/>
              <w:left w:w="20" w:type="dxa"/>
              <w:bottom w:w="15" w:type="dxa"/>
              <w:right w:w="20" w:type="dxa"/>
            </w:tcMar>
            <w:vAlign w:val="bottom"/>
            <w:hideMark/>
          </w:tcPr>
          <w:p w14:paraId="64315D51"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4D5C72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8466ED3" w14:textId="77777777" w:rsidR="00000000" w:rsidRDefault="00195E73">
            <w:pPr>
              <w:jc w:val="right"/>
              <w:rPr>
                <w:rFonts w:eastAsia="Times New Roman"/>
              </w:rPr>
            </w:pPr>
            <w:r>
              <w:rPr>
                <w:rFonts w:eastAsia="Times New Roman"/>
                <w:color w:val="000000"/>
                <w:sz w:val="20"/>
                <w:szCs w:val="20"/>
              </w:rPr>
              <w:t>(369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11662F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2DEFD5D"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FAAA0A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FE194D6" w14:textId="77777777" w:rsidR="00000000" w:rsidRDefault="00195E73">
            <w:pPr>
              <w:jc w:val="right"/>
              <w:rPr>
                <w:rFonts w:eastAsia="Times New Roman"/>
              </w:rPr>
            </w:pPr>
            <w:r>
              <w:rPr>
                <w:rFonts w:eastAsia="Times New Roman"/>
                <w:color w:val="000000"/>
                <w:sz w:val="20"/>
                <w:szCs w:val="20"/>
              </w:rPr>
              <w:t>(494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C17A6E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6A47CD"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2516E8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90AB9FE" w14:textId="77777777" w:rsidR="00000000" w:rsidRDefault="00195E73">
            <w:pPr>
              <w:jc w:val="right"/>
              <w:rPr>
                <w:rFonts w:eastAsia="Times New Roman"/>
              </w:rPr>
            </w:pPr>
            <w:r>
              <w:rPr>
                <w:rFonts w:eastAsia="Times New Roman"/>
                <w:color w:val="000000"/>
                <w:sz w:val="20"/>
                <w:szCs w:val="20"/>
              </w:rPr>
              <w:t>(200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B8E038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22A9CCD" w14:textId="77777777" w:rsidR="00000000" w:rsidRDefault="00195E73">
            <w:pPr>
              <w:rPr>
                <w:rFonts w:eastAsia="Times New Roman"/>
                <w:sz w:val="20"/>
                <w:szCs w:val="20"/>
              </w:rPr>
            </w:pPr>
          </w:p>
        </w:tc>
        <w:tc>
          <w:tcPr>
            <w:tcW w:w="0" w:type="auto"/>
            <w:vAlign w:val="center"/>
            <w:hideMark/>
          </w:tcPr>
          <w:p w14:paraId="57CE2BE1" w14:textId="77777777" w:rsidR="00000000" w:rsidRDefault="00195E73">
            <w:pPr>
              <w:rPr>
                <w:rFonts w:eastAsia="Times New Roman"/>
                <w:sz w:val="20"/>
                <w:szCs w:val="20"/>
              </w:rPr>
            </w:pPr>
          </w:p>
        </w:tc>
        <w:tc>
          <w:tcPr>
            <w:tcW w:w="0" w:type="auto"/>
            <w:vAlign w:val="center"/>
            <w:hideMark/>
          </w:tcPr>
          <w:p w14:paraId="1B76348D" w14:textId="77777777" w:rsidR="00000000" w:rsidRDefault="00195E73">
            <w:pPr>
              <w:rPr>
                <w:rFonts w:eastAsia="Times New Roman"/>
                <w:sz w:val="20"/>
                <w:szCs w:val="20"/>
              </w:rPr>
            </w:pPr>
          </w:p>
        </w:tc>
        <w:tc>
          <w:tcPr>
            <w:tcW w:w="0" w:type="auto"/>
            <w:vAlign w:val="center"/>
            <w:hideMark/>
          </w:tcPr>
          <w:p w14:paraId="20CAC896" w14:textId="77777777" w:rsidR="00000000" w:rsidRDefault="00195E73">
            <w:pPr>
              <w:rPr>
                <w:rFonts w:eastAsia="Times New Roman"/>
                <w:sz w:val="20"/>
                <w:szCs w:val="20"/>
              </w:rPr>
            </w:pPr>
          </w:p>
        </w:tc>
        <w:tc>
          <w:tcPr>
            <w:tcW w:w="0" w:type="auto"/>
            <w:vAlign w:val="center"/>
            <w:hideMark/>
          </w:tcPr>
          <w:p w14:paraId="1E7DE149" w14:textId="77777777" w:rsidR="00000000" w:rsidRDefault="00195E73">
            <w:pPr>
              <w:rPr>
                <w:rFonts w:eastAsia="Times New Roman"/>
                <w:sz w:val="20"/>
                <w:szCs w:val="20"/>
              </w:rPr>
            </w:pPr>
          </w:p>
        </w:tc>
        <w:tc>
          <w:tcPr>
            <w:tcW w:w="0" w:type="auto"/>
            <w:vAlign w:val="center"/>
            <w:hideMark/>
          </w:tcPr>
          <w:p w14:paraId="5E38693C" w14:textId="77777777" w:rsidR="00000000" w:rsidRDefault="00195E73">
            <w:pPr>
              <w:rPr>
                <w:rFonts w:eastAsia="Times New Roman"/>
                <w:sz w:val="20"/>
                <w:szCs w:val="20"/>
              </w:rPr>
            </w:pPr>
          </w:p>
        </w:tc>
        <w:tc>
          <w:tcPr>
            <w:tcW w:w="0" w:type="auto"/>
            <w:vAlign w:val="center"/>
            <w:hideMark/>
          </w:tcPr>
          <w:p w14:paraId="352A1A15" w14:textId="77777777" w:rsidR="00000000" w:rsidRDefault="00195E73">
            <w:pPr>
              <w:rPr>
                <w:rFonts w:eastAsia="Times New Roman"/>
                <w:sz w:val="20"/>
                <w:szCs w:val="20"/>
              </w:rPr>
            </w:pPr>
          </w:p>
        </w:tc>
        <w:tc>
          <w:tcPr>
            <w:tcW w:w="0" w:type="auto"/>
            <w:vAlign w:val="center"/>
            <w:hideMark/>
          </w:tcPr>
          <w:p w14:paraId="2B377810" w14:textId="77777777" w:rsidR="00000000" w:rsidRDefault="00195E73">
            <w:pPr>
              <w:rPr>
                <w:rFonts w:eastAsia="Times New Roman"/>
                <w:sz w:val="20"/>
                <w:szCs w:val="20"/>
              </w:rPr>
            </w:pPr>
          </w:p>
        </w:tc>
        <w:tc>
          <w:tcPr>
            <w:tcW w:w="0" w:type="auto"/>
            <w:vAlign w:val="center"/>
            <w:hideMark/>
          </w:tcPr>
          <w:p w14:paraId="0A05CEE3" w14:textId="77777777" w:rsidR="00000000" w:rsidRDefault="00195E73">
            <w:pPr>
              <w:rPr>
                <w:rFonts w:eastAsia="Times New Roman"/>
                <w:sz w:val="20"/>
                <w:szCs w:val="20"/>
              </w:rPr>
            </w:pPr>
          </w:p>
        </w:tc>
        <w:tc>
          <w:tcPr>
            <w:tcW w:w="0" w:type="auto"/>
            <w:vAlign w:val="center"/>
            <w:hideMark/>
          </w:tcPr>
          <w:p w14:paraId="1BDEA279" w14:textId="77777777" w:rsidR="00000000" w:rsidRDefault="00195E73">
            <w:pPr>
              <w:rPr>
                <w:rFonts w:eastAsia="Times New Roman"/>
                <w:sz w:val="20"/>
                <w:szCs w:val="20"/>
              </w:rPr>
            </w:pPr>
          </w:p>
        </w:tc>
        <w:tc>
          <w:tcPr>
            <w:tcW w:w="0" w:type="auto"/>
            <w:vAlign w:val="center"/>
            <w:hideMark/>
          </w:tcPr>
          <w:p w14:paraId="470BC4CA" w14:textId="77777777" w:rsidR="00000000" w:rsidRDefault="00195E73">
            <w:pPr>
              <w:rPr>
                <w:rFonts w:eastAsia="Times New Roman"/>
                <w:sz w:val="20"/>
                <w:szCs w:val="20"/>
              </w:rPr>
            </w:pPr>
          </w:p>
        </w:tc>
        <w:tc>
          <w:tcPr>
            <w:tcW w:w="0" w:type="auto"/>
            <w:vAlign w:val="center"/>
            <w:hideMark/>
          </w:tcPr>
          <w:p w14:paraId="29894224" w14:textId="77777777" w:rsidR="00000000" w:rsidRDefault="00195E73">
            <w:pPr>
              <w:rPr>
                <w:rFonts w:eastAsia="Times New Roman"/>
                <w:sz w:val="20"/>
                <w:szCs w:val="20"/>
              </w:rPr>
            </w:pPr>
          </w:p>
        </w:tc>
      </w:tr>
      <w:tr w:rsidR="00000000" w14:paraId="6D9A4FE1" w14:textId="77777777">
        <w:trPr>
          <w:divId w:val="2056880066"/>
          <w:jc w:val="center"/>
        </w:trPr>
        <w:tc>
          <w:tcPr>
            <w:tcW w:w="0" w:type="auto"/>
            <w:gridSpan w:val="3"/>
            <w:shd w:val="clear" w:color="auto" w:fill="CCEEFF"/>
            <w:tcMar>
              <w:top w:w="30" w:type="dxa"/>
              <w:left w:w="20" w:type="dxa"/>
              <w:bottom w:w="30" w:type="dxa"/>
              <w:right w:w="20" w:type="dxa"/>
            </w:tcMar>
            <w:vAlign w:val="bottom"/>
            <w:hideMark/>
          </w:tcPr>
          <w:p w14:paraId="52E8AA8E" w14:textId="77777777" w:rsidR="00000000" w:rsidRDefault="00195E73">
            <w:pPr>
              <w:ind w:hanging="180"/>
              <w:divId w:val="1323705530"/>
              <w:rPr>
                <w:rFonts w:eastAsia="Times New Roman"/>
              </w:rPr>
            </w:pPr>
            <w:r>
              <w:rPr>
                <w:rFonts w:eastAsia="Times New Roman"/>
                <w:color w:val="000000"/>
                <w:sz w:val="20"/>
                <w:szCs w:val="20"/>
              </w:rPr>
              <w:t>Effect of exchange rate changes on cash and cash equivalents and restricted cash and restricted cash equivalent</w:t>
            </w:r>
            <w:r>
              <w:rPr>
                <w:rFonts w:eastAsia="Times New Roman"/>
                <w:color w:val="000000"/>
                <w:sz w:val="20"/>
                <w:szCs w:val="20"/>
              </w:rPr>
              <w:t>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2E3F57C"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3E4D5F1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946461B" w14:textId="77777777" w:rsidR="00000000" w:rsidRDefault="00195E73">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57FC5598"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066C959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EB4895F" w14:textId="77777777" w:rsidR="00000000" w:rsidRDefault="00195E73">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F06B31D"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7F1242D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A9A1940" w14:textId="77777777" w:rsidR="00000000" w:rsidRDefault="00195E73">
            <w:pPr>
              <w:rPr>
                <w:rFonts w:eastAsia="Times New Roman"/>
                <w:sz w:val="20"/>
                <w:szCs w:val="20"/>
              </w:rPr>
            </w:pPr>
          </w:p>
        </w:tc>
        <w:tc>
          <w:tcPr>
            <w:tcW w:w="0" w:type="auto"/>
            <w:vAlign w:val="center"/>
            <w:hideMark/>
          </w:tcPr>
          <w:p w14:paraId="04C7977A" w14:textId="77777777" w:rsidR="00000000" w:rsidRDefault="00195E73">
            <w:pPr>
              <w:rPr>
                <w:rFonts w:eastAsia="Times New Roman"/>
                <w:sz w:val="20"/>
                <w:szCs w:val="20"/>
              </w:rPr>
            </w:pPr>
          </w:p>
        </w:tc>
        <w:tc>
          <w:tcPr>
            <w:tcW w:w="0" w:type="auto"/>
            <w:vAlign w:val="center"/>
            <w:hideMark/>
          </w:tcPr>
          <w:p w14:paraId="780AD418" w14:textId="77777777" w:rsidR="00000000" w:rsidRDefault="00195E73">
            <w:pPr>
              <w:rPr>
                <w:rFonts w:eastAsia="Times New Roman"/>
                <w:sz w:val="20"/>
                <w:szCs w:val="20"/>
              </w:rPr>
            </w:pPr>
          </w:p>
        </w:tc>
        <w:tc>
          <w:tcPr>
            <w:tcW w:w="0" w:type="auto"/>
            <w:vAlign w:val="center"/>
            <w:hideMark/>
          </w:tcPr>
          <w:p w14:paraId="5277A670" w14:textId="77777777" w:rsidR="00000000" w:rsidRDefault="00195E73">
            <w:pPr>
              <w:rPr>
                <w:rFonts w:eastAsia="Times New Roman"/>
                <w:sz w:val="20"/>
                <w:szCs w:val="20"/>
              </w:rPr>
            </w:pPr>
          </w:p>
        </w:tc>
        <w:tc>
          <w:tcPr>
            <w:tcW w:w="0" w:type="auto"/>
            <w:vAlign w:val="center"/>
            <w:hideMark/>
          </w:tcPr>
          <w:p w14:paraId="5338EB21" w14:textId="77777777" w:rsidR="00000000" w:rsidRDefault="00195E73">
            <w:pPr>
              <w:rPr>
                <w:rFonts w:eastAsia="Times New Roman"/>
                <w:sz w:val="20"/>
                <w:szCs w:val="20"/>
              </w:rPr>
            </w:pPr>
          </w:p>
        </w:tc>
        <w:tc>
          <w:tcPr>
            <w:tcW w:w="0" w:type="auto"/>
            <w:vAlign w:val="center"/>
            <w:hideMark/>
          </w:tcPr>
          <w:p w14:paraId="49A14607" w14:textId="77777777" w:rsidR="00000000" w:rsidRDefault="00195E73">
            <w:pPr>
              <w:rPr>
                <w:rFonts w:eastAsia="Times New Roman"/>
                <w:sz w:val="20"/>
                <w:szCs w:val="20"/>
              </w:rPr>
            </w:pPr>
          </w:p>
        </w:tc>
        <w:tc>
          <w:tcPr>
            <w:tcW w:w="0" w:type="auto"/>
            <w:vAlign w:val="center"/>
            <w:hideMark/>
          </w:tcPr>
          <w:p w14:paraId="4B0849BE" w14:textId="77777777" w:rsidR="00000000" w:rsidRDefault="00195E73">
            <w:pPr>
              <w:rPr>
                <w:rFonts w:eastAsia="Times New Roman"/>
                <w:sz w:val="20"/>
                <w:szCs w:val="20"/>
              </w:rPr>
            </w:pPr>
          </w:p>
        </w:tc>
        <w:tc>
          <w:tcPr>
            <w:tcW w:w="0" w:type="auto"/>
            <w:vAlign w:val="center"/>
            <w:hideMark/>
          </w:tcPr>
          <w:p w14:paraId="1801D7A4" w14:textId="77777777" w:rsidR="00000000" w:rsidRDefault="00195E73">
            <w:pPr>
              <w:rPr>
                <w:rFonts w:eastAsia="Times New Roman"/>
                <w:sz w:val="20"/>
                <w:szCs w:val="20"/>
              </w:rPr>
            </w:pPr>
          </w:p>
        </w:tc>
        <w:tc>
          <w:tcPr>
            <w:tcW w:w="0" w:type="auto"/>
            <w:vAlign w:val="center"/>
            <w:hideMark/>
          </w:tcPr>
          <w:p w14:paraId="19BA6B59" w14:textId="77777777" w:rsidR="00000000" w:rsidRDefault="00195E73">
            <w:pPr>
              <w:rPr>
                <w:rFonts w:eastAsia="Times New Roman"/>
                <w:sz w:val="20"/>
                <w:szCs w:val="20"/>
              </w:rPr>
            </w:pPr>
          </w:p>
        </w:tc>
        <w:tc>
          <w:tcPr>
            <w:tcW w:w="0" w:type="auto"/>
            <w:vAlign w:val="center"/>
            <w:hideMark/>
          </w:tcPr>
          <w:p w14:paraId="1FB4F4B9" w14:textId="77777777" w:rsidR="00000000" w:rsidRDefault="00195E73">
            <w:pPr>
              <w:rPr>
                <w:rFonts w:eastAsia="Times New Roman"/>
                <w:sz w:val="20"/>
                <w:szCs w:val="20"/>
              </w:rPr>
            </w:pPr>
          </w:p>
        </w:tc>
        <w:tc>
          <w:tcPr>
            <w:tcW w:w="0" w:type="auto"/>
            <w:vAlign w:val="center"/>
            <w:hideMark/>
          </w:tcPr>
          <w:p w14:paraId="7C1D2A4E" w14:textId="77777777" w:rsidR="00000000" w:rsidRDefault="00195E73">
            <w:pPr>
              <w:rPr>
                <w:rFonts w:eastAsia="Times New Roman"/>
                <w:sz w:val="20"/>
                <w:szCs w:val="20"/>
              </w:rPr>
            </w:pPr>
          </w:p>
        </w:tc>
        <w:tc>
          <w:tcPr>
            <w:tcW w:w="0" w:type="auto"/>
            <w:vAlign w:val="center"/>
            <w:hideMark/>
          </w:tcPr>
          <w:p w14:paraId="05ECEF05" w14:textId="77777777" w:rsidR="00000000" w:rsidRDefault="00195E73">
            <w:pPr>
              <w:rPr>
                <w:rFonts w:eastAsia="Times New Roman"/>
                <w:sz w:val="20"/>
                <w:szCs w:val="20"/>
              </w:rPr>
            </w:pPr>
          </w:p>
        </w:tc>
      </w:tr>
      <w:tr w:rsidR="00000000" w14:paraId="26291A72" w14:textId="77777777">
        <w:trPr>
          <w:divId w:val="2056880066"/>
          <w:jc w:val="center"/>
        </w:trPr>
        <w:tc>
          <w:tcPr>
            <w:tcW w:w="0" w:type="auto"/>
            <w:gridSpan w:val="3"/>
            <w:shd w:val="clear" w:color="auto" w:fill="FFFFFF"/>
            <w:tcMar>
              <w:top w:w="30" w:type="dxa"/>
              <w:left w:w="20" w:type="dxa"/>
              <w:bottom w:w="30" w:type="dxa"/>
              <w:right w:w="20" w:type="dxa"/>
            </w:tcMar>
            <w:vAlign w:val="bottom"/>
            <w:hideMark/>
          </w:tcPr>
          <w:p w14:paraId="53F76C5D" w14:textId="77777777" w:rsidR="00000000" w:rsidRDefault="00195E73">
            <w:pPr>
              <w:rPr>
                <w:rFonts w:eastAsia="Times New Roman"/>
              </w:rPr>
            </w:pPr>
            <w:r>
              <w:rPr>
                <w:rFonts w:eastAsia="Times New Roman"/>
                <w:color w:val="000000"/>
                <w:sz w:val="20"/>
                <w:szCs w:val="20"/>
              </w:rPr>
              <w:t>Add back change in cash and restricted cash of assets held for sal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56050EEA"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1A0CC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16861F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8230DF" w14:textId="77777777" w:rsidR="00000000" w:rsidRDefault="00195E73">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999981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6C128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0FA806" w14:textId="77777777" w:rsidR="00000000" w:rsidRDefault="00195E73">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0ADC5F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5919CFA" w14:textId="77777777" w:rsidR="00000000" w:rsidRDefault="00195E73">
            <w:pPr>
              <w:rPr>
                <w:rFonts w:eastAsia="Times New Roman"/>
                <w:sz w:val="20"/>
                <w:szCs w:val="20"/>
              </w:rPr>
            </w:pPr>
          </w:p>
        </w:tc>
        <w:tc>
          <w:tcPr>
            <w:tcW w:w="0" w:type="auto"/>
            <w:vAlign w:val="center"/>
            <w:hideMark/>
          </w:tcPr>
          <w:p w14:paraId="1E401EC1" w14:textId="77777777" w:rsidR="00000000" w:rsidRDefault="00195E73">
            <w:pPr>
              <w:rPr>
                <w:rFonts w:eastAsia="Times New Roman"/>
                <w:sz w:val="20"/>
                <w:szCs w:val="20"/>
              </w:rPr>
            </w:pPr>
          </w:p>
        </w:tc>
        <w:tc>
          <w:tcPr>
            <w:tcW w:w="0" w:type="auto"/>
            <w:vAlign w:val="center"/>
            <w:hideMark/>
          </w:tcPr>
          <w:p w14:paraId="1CE8963A" w14:textId="77777777" w:rsidR="00000000" w:rsidRDefault="00195E73">
            <w:pPr>
              <w:rPr>
                <w:rFonts w:eastAsia="Times New Roman"/>
                <w:sz w:val="20"/>
                <w:szCs w:val="20"/>
              </w:rPr>
            </w:pPr>
          </w:p>
        </w:tc>
        <w:tc>
          <w:tcPr>
            <w:tcW w:w="0" w:type="auto"/>
            <w:vAlign w:val="center"/>
            <w:hideMark/>
          </w:tcPr>
          <w:p w14:paraId="21D7E6D2" w14:textId="77777777" w:rsidR="00000000" w:rsidRDefault="00195E73">
            <w:pPr>
              <w:rPr>
                <w:rFonts w:eastAsia="Times New Roman"/>
                <w:sz w:val="20"/>
                <w:szCs w:val="20"/>
              </w:rPr>
            </w:pPr>
          </w:p>
        </w:tc>
        <w:tc>
          <w:tcPr>
            <w:tcW w:w="0" w:type="auto"/>
            <w:vAlign w:val="center"/>
            <w:hideMark/>
          </w:tcPr>
          <w:p w14:paraId="72BEBF28" w14:textId="77777777" w:rsidR="00000000" w:rsidRDefault="00195E73">
            <w:pPr>
              <w:rPr>
                <w:rFonts w:eastAsia="Times New Roman"/>
                <w:sz w:val="20"/>
                <w:szCs w:val="20"/>
              </w:rPr>
            </w:pPr>
          </w:p>
        </w:tc>
        <w:tc>
          <w:tcPr>
            <w:tcW w:w="0" w:type="auto"/>
            <w:vAlign w:val="center"/>
            <w:hideMark/>
          </w:tcPr>
          <w:p w14:paraId="1AB85C91" w14:textId="77777777" w:rsidR="00000000" w:rsidRDefault="00195E73">
            <w:pPr>
              <w:rPr>
                <w:rFonts w:eastAsia="Times New Roman"/>
                <w:sz w:val="20"/>
                <w:szCs w:val="20"/>
              </w:rPr>
            </w:pPr>
          </w:p>
        </w:tc>
        <w:tc>
          <w:tcPr>
            <w:tcW w:w="0" w:type="auto"/>
            <w:vAlign w:val="center"/>
            <w:hideMark/>
          </w:tcPr>
          <w:p w14:paraId="2DC3E40B" w14:textId="77777777" w:rsidR="00000000" w:rsidRDefault="00195E73">
            <w:pPr>
              <w:rPr>
                <w:rFonts w:eastAsia="Times New Roman"/>
                <w:sz w:val="20"/>
                <w:szCs w:val="20"/>
              </w:rPr>
            </w:pPr>
          </w:p>
        </w:tc>
        <w:tc>
          <w:tcPr>
            <w:tcW w:w="0" w:type="auto"/>
            <w:vAlign w:val="center"/>
            <w:hideMark/>
          </w:tcPr>
          <w:p w14:paraId="4F104AC5" w14:textId="77777777" w:rsidR="00000000" w:rsidRDefault="00195E73">
            <w:pPr>
              <w:rPr>
                <w:rFonts w:eastAsia="Times New Roman"/>
                <w:sz w:val="20"/>
                <w:szCs w:val="20"/>
              </w:rPr>
            </w:pPr>
          </w:p>
        </w:tc>
        <w:tc>
          <w:tcPr>
            <w:tcW w:w="0" w:type="auto"/>
            <w:vAlign w:val="center"/>
            <w:hideMark/>
          </w:tcPr>
          <w:p w14:paraId="3F113A10" w14:textId="77777777" w:rsidR="00000000" w:rsidRDefault="00195E73">
            <w:pPr>
              <w:rPr>
                <w:rFonts w:eastAsia="Times New Roman"/>
                <w:sz w:val="20"/>
                <w:szCs w:val="20"/>
              </w:rPr>
            </w:pPr>
          </w:p>
        </w:tc>
        <w:tc>
          <w:tcPr>
            <w:tcW w:w="0" w:type="auto"/>
            <w:vAlign w:val="center"/>
            <w:hideMark/>
          </w:tcPr>
          <w:p w14:paraId="12ED5121" w14:textId="77777777" w:rsidR="00000000" w:rsidRDefault="00195E73">
            <w:pPr>
              <w:rPr>
                <w:rFonts w:eastAsia="Times New Roman"/>
                <w:sz w:val="20"/>
                <w:szCs w:val="20"/>
              </w:rPr>
            </w:pPr>
          </w:p>
        </w:tc>
        <w:tc>
          <w:tcPr>
            <w:tcW w:w="0" w:type="auto"/>
            <w:vAlign w:val="center"/>
            <w:hideMark/>
          </w:tcPr>
          <w:p w14:paraId="354E263F" w14:textId="77777777" w:rsidR="00000000" w:rsidRDefault="00195E73">
            <w:pPr>
              <w:rPr>
                <w:rFonts w:eastAsia="Times New Roman"/>
                <w:sz w:val="20"/>
                <w:szCs w:val="20"/>
              </w:rPr>
            </w:pPr>
          </w:p>
        </w:tc>
        <w:tc>
          <w:tcPr>
            <w:tcW w:w="0" w:type="auto"/>
            <w:vAlign w:val="center"/>
            <w:hideMark/>
          </w:tcPr>
          <w:p w14:paraId="121E0EC3" w14:textId="77777777" w:rsidR="00000000" w:rsidRDefault="00195E73">
            <w:pPr>
              <w:rPr>
                <w:rFonts w:eastAsia="Times New Roman"/>
                <w:sz w:val="20"/>
                <w:szCs w:val="20"/>
              </w:rPr>
            </w:pPr>
          </w:p>
        </w:tc>
      </w:tr>
      <w:tr w:rsidR="00000000" w14:paraId="4319C6C4" w14:textId="77777777">
        <w:trPr>
          <w:divId w:val="2056880066"/>
          <w:jc w:val="center"/>
        </w:trPr>
        <w:tc>
          <w:tcPr>
            <w:tcW w:w="0" w:type="auto"/>
            <w:gridSpan w:val="3"/>
            <w:shd w:val="clear" w:color="auto" w:fill="CCEEFF"/>
            <w:tcMar>
              <w:top w:w="30" w:type="dxa"/>
              <w:left w:w="20" w:type="dxa"/>
              <w:bottom w:w="30" w:type="dxa"/>
              <w:right w:w="20" w:type="dxa"/>
            </w:tcMar>
            <w:vAlign w:val="bottom"/>
            <w:hideMark/>
          </w:tcPr>
          <w:p w14:paraId="11E84575" w14:textId="77777777" w:rsidR="00000000" w:rsidRDefault="00195E73">
            <w:pPr>
              <w:ind w:hanging="180"/>
              <w:divId w:val="3169908"/>
              <w:rPr>
                <w:rFonts w:eastAsia="Times New Roman"/>
              </w:rPr>
            </w:pPr>
            <w:r>
              <w:rPr>
                <w:rFonts w:eastAsia="Times New Roman"/>
                <w:color w:val="000000"/>
                <w:sz w:val="20"/>
                <w:szCs w:val="20"/>
              </w:rPr>
              <w:t>Increase in cash and cash equivalents and restricted cash and restricted cash equivalent</w:t>
            </w:r>
            <w:r>
              <w:rPr>
                <w:rFonts w:eastAsia="Times New Roman"/>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6BD5C4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9897078" w14:textId="77777777" w:rsidR="00000000" w:rsidRDefault="00195E73">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8ACAEA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3B4BDF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7E7A3C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C82482F" w14:textId="77777777" w:rsidR="00000000" w:rsidRDefault="00195E73">
            <w:pPr>
              <w:jc w:val="right"/>
              <w:rPr>
                <w:rFonts w:eastAsia="Times New Roman"/>
              </w:rPr>
            </w:pPr>
            <w:r>
              <w:rPr>
                <w:rFonts w:eastAsia="Times New Roman"/>
                <w:color w:val="000000"/>
                <w:sz w:val="20"/>
                <w:szCs w:val="20"/>
              </w:rPr>
              <w:t>213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D17EC7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9D796AE"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EBC57F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A86A460" w14:textId="77777777" w:rsidR="00000000" w:rsidRDefault="00195E73">
            <w:pPr>
              <w:jc w:val="right"/>
              <w:rPr>
                <w:rFonts w:eastAsia="Times New Roman"/>
              </w:rPr>
            </w:pPr>
            <w:r>
              <w:rPr>
                <w:rFonts w:eastAsia="Times New Roman"/>
                <w:color w:val="000000"/>
                <w:sz w:val="20"/>
                <w:szCs w:val="20"/>
              </w:rPr>
              <w:t>(400</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A5CB8F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2309727" w14:textId="77777777" w:rsidR="00000000" w:rsidRDefault="00195E73">
            <w:pPr>
              <w:rPr>
                <w:rFonts w:eastAsia="Times New Roman"/>
                <w:sz w:val="20"/>
                <w:szCs w:val="20"/>
              </w:rPr>
            </w:pPr>
          </w:p>
        </w:tc>
        <w:tc>
          <w:tcPr>
            <w:tcW w:w="0" w:type="auto"/>
            <w:vAlign w:val="center"/>
            <w:hideMark/>
          </w:tcPr>
          <w:p w14:paraId="3D236838" w14:textId="77777777" w:rsidR="00000000" w:rsidRDefault="00195E73">
            <w:pPr>
              <w:rPr>
                <w:rFonts w:eastAsia="Times New Roman"/>
                <w:sz w:val="20"/>
                <w:szCs w:val="20"/>
              </w:rPr>
            </w:pPr>
          </w:p>
        </w:tc>
        <w:tc>
          <w:tcPr>
            <w:tcW w:w="0" w:type="auto"/>
            <w:vAlign w:val="center"/>
            <w:hideMark/>
          </w:tcPr>
          <w:p w14:paraId="1261F6E7" w14:textId="77777777" w:rsidR="00000000" w:rsidRDefault="00195E73">
            <w:pPr>
              <w:rPr>
                <w:rFonts w:eastAsia="Times New Roman"/>
                <w:sz w:val="20"/>
                <w:szCs w:val="20"/>
              </w:rPr>
            </w:pPr>
          </w:p>
        </w:tc>
        <w:tc>
          <w:tcPr>
            <w:tcW w:w="0" w:type="auto"/>
            <w:vAlign w:val="center"/>
            <w:hideMark/>
          </w:tcPr>
          <w:p w14:paraId="5349A521" w14:textId="77777777" w:rsidR="00000000" w:rsidRDefault="00195E73">
            <w:pPr>
              <w:rPr>
                <w:rFonts w:eastAsia="Times New Roman"/>
                <w:sz w:val="20"/>
                <w:szCs w:val="20"/>
              </w:rPr>
            </w:pPr>
          </w:p>
        </w:tc>
        <w:tc>
          <w:tcPr>
            <w:tcW w:w="0" w:type="auto"/>
            <w:vAlign w:val="center"/>
            <w:hideMark/>
          </w:tcPr>
          <w:p w14:paraId="4B50B915" w14:textId="77777777" w:rsidR="00000000" w:rsidRDefault="00195E73">
            <w:pPr>
              <w:rPr>
                <w:rFonts w:eastAsia="Times New Roman"/>
                <w:sz w:val="20"/>
                <w:szCs w:val="20"/>
              </w:rPr>
            </w:pPr>
          </w:p>
        </w:tc>
        <w:tc>
          <w:tcPr>
            <w:tcW w:w="0" w:type="auto"/>
            <w:vAlign w:val="center"/>
            <w:hideMark/>
          </w:tcPr>
          <w:p w14:paraId="72D92927" w14:textId="77777777" w:rsidR="00000000" w:rsidRDefault="00195E73">
            <w:pPr>
              <w:rPr>
                <w:rFonts w:eastAsia="Times New Roman"/>
                <w:sz w:val="20"/>
                <w:szCs w:val="20"/>
              </w:rPr>
            </w:pPr>
          </w:p>
        </w:tc>
        <w:tc>
          <w:tcPr>
            <w:tcW w:w="0" w:type="auto"/>
            <w:vAlign w:val="center"/>
            <w:hideMark/>
          </w:tcPr>
          <w:p w14:paraId="100CA4CC" w14:textId="77777777" w:rsidR="00000000" w:rsidRDefault="00195E73">
            <w:pPr>
              <w:rPr>
                <w:rFonts w:eastAsia="Times New Roman"/>
                <w:sz w:val="20"/>
                <w:szCs w:val="20"/>
              </w:rPr>
            </w:pPr>
          </w:p>
        </w:tc>
        <w:tc>
          <w:tcPr>
            <w:tcW w:w="0" w:type="auto"/>
            <w:vAlign w:val="center"/>
            <w:hideMark/>
          </w:tcPr>
          <w:p w14:paraId="501AE1AD" w14:textId="77777777" w:rsidR="00000000" w:rsidRDefault="00195E73">
            <w:pPr>
              <w:rPr>
                <w:rFonts w:eastAsia="Times New Roman"/>
                <w:sz w:val="20"/>
                <w:szCs w:val="20"/>
              </w:rPr>
            </w:pPr>
          </w:p>
        </w:tc>
        <w:tc>
          <w:tcPr>
            <w:tcW w:w="0" w:type="auto"/>
            <w:vAlign w:val="center"/>
            <w:hideMark/>
          </w:tcPr>
          <w:p w14:paraId="32509333" w14:textId="77777777" w:rsidR="00000000" w:rsidRDefault="00195E73">
            <w:pPr>
              <w:rPr>
                <w:rFonts w:eastAsia="Times New Roman"/>
                <w:sz w:val="20"/>
                <w:szCs w:val="20"/>
              </w:rPr>
            </w:pPr>
          </w:p>
        </w:tc>
        <w:tc>
          <w:tcPr>
            <w:tcW w:w="0" w:type="auto"/>
            <w:vAlign w:val="center"/>
            <w:hideMark/>
          </w:tcPr>
          <w:p w14:paraId="582BCDD6" w14:textId="77777777" w:rsidR="00000000" w:rsidRDefault="00195E73">
            <w:pPr>
              <w:rPr>
                <w:rFonts w:eastAsia="Times New Roman"/>
                <w:sz w:val="20"/>
                <w:szCs w:val="20"/>
              </w:rPr>
            </w:pPr>
          </w:p>
        </w:tc>
        <w:tc>
          <w:tcPr>
            <w:tcW w:w="0" w:type="auto"/>
            <w:vAlign w:val="center"/>
            <w:hideMark/>
          </w:tcPr>
          <w:p w14:paraId="2384816E" w14:textId="77777777" w:rsidR="00000000" w:rsidRDefault="00195E73">
            <w:pPr>
              <w:rPr>
                <w:rFonts w:eastAsia="Times New Roman"/>
                <w:sz w:val="20"/>
                <w:szCs w:val="20"/>
              </w:rPr>
            </w:pPr>
          </w:p>
        </w:tc>
        <w:tc>
          <w:tcPr>
            <w:tcW w:w="0" w:type="auto"/>
            <w:vAlign w:val="center"/>
            <w:hideMark/>
          </w:tcPr>
          <w:p w14:paraId="2D662803" w14:textId="77777777" w:rsidR="00000000" w:rsidRDefault="00195E73">
            <w:pPr>
              <w:rPr>
                <w:rFonts w:eastAsia="Times New Roman"/>
                <w:sz w:val="20"/>
                <w:szCs w:val="20"/>
              </w:rPr>
            </w:pPr>
          </w:p>
        </w:tc>
      </w:tr>
    </w:tbl>
    <w:p w14:paraId="4EEB3893" w14:textId="77777777" w:rsidR="00000000" w:rsidRDefault="00195E73">
      <w:pPr>
        <w:ind w:firstLine="450"/>
        <w:divId w:val="1560245510"/>
        <w:rPr>
          <w:rFonts w:eastAsia="Times New Roman"/>
        </w:rPr>
      </w:pPr>
      <w:r>
        <w:rPr>
          <w:rFonts w:eastAsia="Times New Roman"/>
          <w:color w:val="000000"/>
          <w:sz w:val="20"/>
          <w:szCs w:val="20"/>
        </w:rPr>
        <w:t xml:space="preserve">Our other operating segments’ </w:t>
      </w:r>
      <w:r>
        <w:rPr>
          <w:rFonts w:eastAsia="Times New Roman"/>
          <w:color w:val="000000"/>
          <w:sz w:val="20"/>
          <w:szCs w:val="20"/>
        </w:rPr>
        <w:t>net cash flow from operating activities before changes in operating assets and liabilities were primarily attributable to our Energy segment’s positive results from operations for all periods, and for 2017, were also attributable to our Railcar segment pri</w:t>
      </w:r>
      <w:r>
        <w:rPr>
          <w:rFonts w:eastAsia="Times New Roman"/>
          <w:color w:val="000000"/>
          <w:sz w:val="20"/>
          <w:szCs w:val="20"/>
        </w:rPr>
        <w:t>or to the sale of its railcar lease fleet.</w:t>
      </w:r>
      <w:r>
        <w:rPr>
          <w:rFonts w:eastAsia="Times New Roman"/>
          <w:color w:val="000000"/>
          <w:sz w:val="20"/>
          <w:szCs w:val="20"/>
        </w:rPr>
        <w:t xml:space="preserve"> </w:t>
      </w:r>
    </w:p>
    <w:p w14:paraId="30E64468" w14:textId="77777777" w:rsidR="00000000" w:rsidRDefault="00195E73">
      <w:pPr>
        <w:ind w:firstLine="450"/>
        <w:divId w:val="356929235"/>
        <w:rPr>
          <w:rFonts w:eastAsia="Times New Roman"/>
        </w:rPr>
      </w:pPr>
      <w:r>
        <w:rPr>
          <w:rFonts w:eastAsia="Times New Roman"/>
          <w:color w:val="000000"/>
          <w:sz w:val="20"/>
          <w:szCs w:val="20"/>
        </w:rPr>
        <w:t>Changes in operating assets and liabilities for 2019 were primarily attributable to our Energy segment resulting primarily from an increase in accounts payable. Changes in operating assets and liabilities for 201</w:t>
      </w:r>
      <w:r>
        <w:rPr>
          <w:rFonts w:eastAsia="Times New Roman"/>
          <w:color w:val="000000"/>
          <w:sz w:val="20"/>
          <w:szCs w:val="20"/>
        </w:rPr>
        <w:t>8 were primarily attributable to our Real Estate segment receiving payment for its mortgage receivables relating to its 2017 sale of a development property in Las Vegas, Nevada, offset in part by changes in operating assets and liabilities for our Energy a</w:t>
      </w:r>
      <w:r>
        <w:rPr>
          <w:rFonts w:eastAsia="Times New Roman"/>
          <w:color w:val="000000"/>
          <w:sz w:val="20"/>
          <w:szCs w:val="20"/>
        </w:rPr>
        <w:t>nd Automotive segments. Changes</w:t>
      </w:r>
      <w:r>
        <w:rPr>
          <w:rFonts w:eastAsia="Times New Roman"/>
          <w:color w:val="000000"/>
          <w:sz w:val="20"/>
          <w:szCs w:val="20"/>
        </w:rPr>
        <w:t xml:space="preserve"> </w:t>
      </w:r>
    </w:p>
    <w:p w14:paraId="0CDB1DEE" w14:textId="77777777" w:rsidR="00000000" w:rsidRDefault="00195E73">
      <w:pPr>
        <w:jc w:val="center"/>
        <w:divId w:val="456795377"/>
        <w:rPr>
          <w:rFonts w:eastAsia="Times New Roman"/>
        </w:rPr>
      </w:pPr>
      <w:r>
        <w:rPr>
          <w:rFonts w:eastAsia="Times New Roman"/>
          <w:color w:val="000000"/>
          <w:sz w:val="20"/>
          <w:szCs w:val="20"/>
        </w:rPr>
        <w:t>4</w:t>
      </w:r>
      <w:r>
        <w:rPr>
          <w:rFonts w:eastAsia="Times New Roman"/>
          <w:color w:val="000000"/>
          <w:sz w:val="20"/>
          <w:szCs w:val="20"/>
        </w:rPr>
        <w:t>4</w:t>
      </w:r>
    </w:p>
    <w:p w14:paraId="4D17E643" w14:textId="77777777" w:rsidR="00000000" w:rsidRDefault="00195E73">
      <w:pPr>
        <w:rPr>
          <w:rFonts w:eastAsia="Times New Roman"/>
        </w:rPr>
      </w:pPr>
      <w:r>
        <w:rPr>
          <w:rFonts w:eastAsia="Times New Roman"/>
        </w:rPr>
        <w:pict w14:anchorId="1A4103B9">
          <v:rect id="_x0000_i1070" style="width:0;height:1.5pt" o:hralign="center" o:hrstd="t" o:hr="t" fillcolor="#a0a0a0" stroked="f"/>
        </w:pict>
      </w:r>
    </w:p>
    <w:p w14:paraId="28E97806" w14:textId="77777777" w:rsidR="00000000" w:rsidRDefault="00195E73">
      <w:pPr>
        <w:divId w:val="332608656"/>
        <w:rPr>
          <w:rFonts w:eastAsia="Times New Roman"/>
        </w:rPr>
      </w:pPr>
    </w:p>
    <w:p w14:paraId="1FAE564C" w14:textId="77777777" w:rsidR="00000000" w:rsidRDefault="00195E73">
      <w:pPr>
        <w:divId w:val="385840357"/>
        <w:rPr>
          <w:rFonts w:eastAsia="Times New Roman"/>
        </w:rPr>
      </w:pPr>
      <w:r>
        <w:rPr>
          <w:rFonts w:eastAsia="Times New Roman"/>
          <w:color w:val="000000"/>
          <w:sz w:val="20"/>
          <w:szCs w:val="20"/>
        </w:rPr>
        <w:t>in operating assets and liabilities for 2017 were primarily attributable to our Energy segment resulting from changes in the biofuel blending obligation caused by changes in RINs prices.</w:t>
      </w:r>
      <w:r>
        <w:rPr>
          <w:rFonts w:eastAsia="Times New Roman"/>
          <w:color w:val="000000"/>
          <w:sz w:val="20"/>
          <w:szCs w:val="20"/>
        </w:rPr>
        <w:t xml:space="preserve"> </w:t>
      </w:r>
    </w:p>
    <w:p w14:paraId="7E316C76" w14:textId="77777777" w:rsidR="00000000" w:rsidRDefault="00195E73">
      <w:pPr>
        <w:ind w:firstLine="450"/>
        <w:divId w:val="834683130"/>
        <w:rPr>
          <w:rFonts w:eastAsia="Times New Roman"/>
        </w:rPr>
      </w:pPr>
      <w:r>
        <w:rPr>
          <w:rFonts w:eastAsia="Times New Roman"/>
          <w:color w:val="000000"/>
          <w:sz w:val="20"/>
          <w:szCs w:val="20"/>
        </w:rPr>
        <w:t>Capital expenditures are primarily from our Energy and Automotive se</w:t>
      </w:r>
      <w:r>
        <w:rPr>
          <w:rFonts w:eastAsia="Times New Roman"/>
          <w:color w:val="000000"/>
          <w:sz w:val="20"/>
          <w:szCs w:val="20"/>
        </w:rPr>
        <w:t>gments. For the year ended December 31, 2019, our Energy segment’s capital expenditures were $121 million, primarily for maintenance, and our Automotive segment’s capital expenditures were $47 million, primarily for store improvements,. For the years ended</w:t>
      </w:r>
      <w:r>
        <w:rPr>
          <w:rFonts w:eastAsia="Times New Roman"/>
          <w:color w:val="000000"/>
          <w:sz w:val="20"/>
          <w:szCs w:val="20"/>
        </w:rPr>
        <w:t xml:space="preserve"> December 31, 2018 and 2017, our Energy segment’s capital expenditures were $102 million and $120 million, respectively, and our Automotive segment’s capital expenditures were $66 million and $86 million, respectively.</w:t>
      </w:r>
      <w:r>
        <w:rPr>
          <w:rFonts w:eastAsia="Times New Roman"/>
          <w:color w:val="000000"/>
          <w:sz w:val="20"/>
          <w:szCs w:val="20"/>
        </w:rPr>
        <w:t xml:space="preserve"> </w:t>
      </w:r>
    </w:p>
    <w:p w14:paraId="491AD650" w14:textId="77777777" w:rsidR="00000000" w:rsidRDefault="00195E73">
      <w:pPr>
        <w:ind w:firstLine="450"/>
        <w:divId w:val="1558781933"/>
        <w:rPr>
          <w:rFonts w:eastAsia="Times New Roman"/>
        </w:rPr>
      </w:pPr>
      <w:r>
        <w:rPr>
          <w:rFonts w:eastAsia="Times New Roman"/>
          <w:color w:val="000000"/>
          <w:sz w:val="20"/>
          <w:szCs w:val="20"/>
        </w:rPr>
        <w:t>Acquisition of businesses, net of ca</w:t>
      </w:r>
      <w:r>
        <w:rPr>
          <w:rFonts w:eastAsia="Times New Roman"/>
          <w:color w:val="000000"/>
          <w:sz w:val="20"/>
          <w:szCs w:val="20"/>
        </w:rPr>
        <w:t>sh acquired, primarily relates to our Automotive segment. Our Automotive segment’s acquisitions included various service businesses aggregating $10 million in 2019, $15 million in 2018, and the acquisitions of Precision Tune, American Driveline and various</w:t>
      </w:r>
      <w:r>
        <w:rPr>
          <w:rFonts w:eastAsia="Times New Roman"/>
          <w:color w:val="000000"/>
          <w:sz w:val="20"/>
          <w:szCs w:val="20"/>
        </w:rPr>
        <w:t xml:space="preserve"> other service businesses aggregating $218 million in 2017. In addition, our Home Fashion and Metals segments acquired businesses for $21 million and $8 million, respectively, in 2019 (excluding contingent consideration not yet paid), and our Food Packagin</w:t>
      </w:r>
      <w:r>
        <w:rPr>
          <w:rFonts w:eastAsia="Times New Roman"/>
          <w:color w:val="000000"/>
          <w:sz w:val="20"/>
          <w:szCs w:val="20"/>
        </w:rPr>
        <w:t>g segment acquired a casings manufacturer for $31 million in 2017.</w:t>
      </w:r>
      <w:r>
        <w:rPr>
          <w:rFonts w:eastAsia="Times New Roman"/>
          <w:color w:val="000000"/>
          <w:sz w:val="20"/>
          <w:szCs w:val="20"/>
        </w:rPr>
        <w:t xml:space="preserve"> </w:t>
      </w:r>
    </w:p>
    <w:p w14:paraId="259CA730" w14:textId="77777777" w:rsidR="00000000" w:rsidRDefault="00195E73">
      <w:pPr>
        <w:ind w:firstLine="450"/>
        <w:divId w:val="1321734943"/>
        <w:rPr>
          <w:rFonts w:eastAsia="Times New Roman"/>
        </w:rPr>
      </w:pPr>
      <w:r>
        <w:rPr>
          <w:rFonts w:eastAsia="Times New Roman"/>
          <w:color w:val="000000"/>
          <w:sz w:val="20"/>
          <w:szCs w:val="20"/>
        </w:rPr>
        <w:t>Proceeds from sale of assets are primarily due to our Energy segment in 2019 and our Real Estate segment’s dispositions of certain properties in 2018 and 2017.</w:t>
      </w:r>
      <w:r>
        <w:rPr>
          <w:rFonts w:eastAsia="Times New Roman"/>
          <w:color w:val="000000"/>
          <w:sz w:val="20"/>
          <w:szCs w:val="20"/>
        </w:rPr>
        <w:t xml:space="preserve"> </w:t>
      </w:r>
    </w:p>
    <w:p w14:paraId="05C6940A" w14:textId="77777777" w:rsidR="00000000" w:rsidRDefault="00195E73">
      <w:pPr>
        <w:ind w:firstLine="450"/>
        <w:divId w:val="408160171"/>
        <w:rPr>
          <w:rFonts w:eastAsia="Times New Roman"/>
        </w:rPr>
      </w:pPr>
      <w:r>
        <w:rPr>
          <w:rFonts w:eastAsia="Times New Roman"/>
          <w:color w:val="000000"/>
          <w:sz w:val="20"/>
          <w:szCs w:val="20"/>
        </w:rPr>
        <w:t>During the year ended Decem</w:t>
      </w:r>
      <w:r>
        <w:rPr>
          <w:rFonts w:eastAsia="Times New Roman"/>
          <w:color w:val="000000"/>
          <w:sz w:val="20"/>
          <w:szCs w:val="20"/>
        </w:rPr>
        <w:t>ber 31, 2017, our Railcar segment received $120 million from our Holding Company for the repayment of an intercompany loan</w:t>
      </w:r>
      <w:r>
        <w:rPr>
          <w:rFonts w:eastAsia="Times New Roman"/>
          <w:color w:val="000000"/>
          <w:sz w:val="20"/>
          <w:szCs w:val="20"/>
        </w:rPr>
        <w:t>.</w:t>
      </w:r>
    </w:p>
    <w:p w14:paraId="2E29EE91" w14:textId="77777777" w:rsidR="00000000" w:rsidRDefault="00195E73">
      <w:pPr>
        <w:ind w:firstLine="450"/>
        <w:divId w:val="727875246"/>
        <w:rPr>
          <w:rFonts w:eastAsia="Times New Roman"/>
        </w:rPr>
      </w:pPr>
      <w:r>
        <w:rPr>
          <w:rFonts w:eastAsia="Times New Roman"/>
          <w:color w:val="000000"/>
          <w:sz w:val="20"/>
          <w:szCs w:val="20"/>
        </w:rPr>
        <w:t>Distributions to non-controlling interests were from our Energy segment for the years ended December 31, 2019, 2018 and 2017, relati</w:t>
      </w:r>
      <w:r>
        <w:rPr>
          <w:rFonts w:eastAsia="Times New Roman"/>
          <w:color w:val="000000"/>
          <w:sz w:val="20"/>
          <w:szCs w:val="20"/>
        </w:rPr>
        <w:t>ng to its regular quarterly dividends and distributions, excluding payments made to us.</w:t>
      </w:r>
      <w:r>
        <w:rPr>
          <w:rFonts w:eastAsia="Times New Roman"/>
          <w:color w:val="000000"/>
          <w:sz w:val="20"/>
          <w:szCs w:val="20"/>
        </w:rPr>
        <w:t xml:space="preserve"> </w:t>
      </w:r>
    </w:p>
    <w:p w14:paraId="19B20D97" w14:textId="77777777" w:rsidR="00000000" w:rsidRDefault="00195E73">
      <w:pPr>
        <w:ind w:firstLine="450"/>
        <w:divId w:val="71858731"/>
        <w:rPr>
          <w:rFonts w:eastAsia="Times New Roman"/>
        </w:rPr>
      </w:pPr>
      <w:r>
        <w:rPr>
          <w:rFonts w:eastAsia="Times New Roman"/>
          <w:color w:val="000000"/>
          <w:sz w:val="20"/>
          <w:szCs w:val="20"/>
        </w:rPr>
        <w:t>Net distributions to and contributions from our Holding Company include the dividends and distributions paid by our Energy segment of $217 million, $192 million and $1</w:t>
      </w:r>
      <w:r>
        <w:rPr>
          <w:rFonts w:eastAsia="Times New Roman"/>
          <w:color w:val="000000"/>
          <w:sz w:val="20"/>
          <w:szCs w:val="20"/>
        </w:rPr>
        <w:t>48 million for the years ended December 31, 2019, 2018 and 2017, respectively, as well as by our Real Estate segment of $24 million, $543 million and $374 million, respectively, and by our Railcar segment of $47 million in 2017. During the years ended Dece</w:t>
      </w:r>
      <w:r>
        <w:rPr>
          <w:rFonts w:eastAsia="Times New Roman"/>
          <w:color w:val="000000"/>
          <w:sz w:val="20"/>
          <w:szCs w:val="20"/>
        </w:rPr>
        <w:t>mber 31, 2019, 2018 and 2017, our Automotive segment received funds in the form of investments from our Holding Company of $276 million, $365 million and $504 million, respectively, for the acquisition of businesses, investments in 767 Auto Leasing LLC and</w:t>
      </w:r>
      <w:r>
        <w:rPr>
          <w:rFonts w:eastAsia="Times New Roman"/>
          <w:color w:val="000000"/>
          <w:sz w:val="20"/>
          <w:szCs w:val="20"/>
        </w:rPr>
        <w:t xml:space="preserve"> costs associated with our Automotive segment's multi-year transformation plan. Our other operating segments received funds in the form of loans and investments from our Holding Company aggregating $17 million, $34 million and $28 million during the years </w:t>
      </w:r>
      <w:r>
        <w:rPr>
          <w:rFonts w:eastAsia="Times New Roman"/>
          <w:color w:val="000000"/>
          <w:sz w:val="20"/>
          <w:szCs w:val="20"/>
        </w:rPr>
        <w:t>ended December 31, 2019, 2018 and 2017, respectively. Our Food Packaging segment also received $50 million in 2018 in connection with a rights offering, including $44 million from our Holding Company.</w:t>
      </w:r>
      <w:r>
        <w:rPr>
          <w:rFonts w:eastAsia="Times New Roman"/>
          <w:color w:val="000000"/>
          <w:sz w:val="20"/>
          <w:szCs w:val="20"/>
        </w:rPr>
        <w:t xml:space="preserve"> </w:t>
      </w:r>
    </w:p>
    <w:p w14:paraId="5EC01652" w14:textId="77777777" w:rsidR="00000000" w:rsidRDefault="00195E73">
      <w:pPr>
        <w:divId w:val="1877039901"/>
        <w:rPr>
          <w:rFonts w:eastAsia="Times New Roman"/>
        </w:rPr>
      </w:pPr>
      <w:r>
        <w:rPr>
          <w:rFonts w:eastAsia="Times New Roman"/>
          <w:i/>
          <w:iCs/>
          <w:color w:val="000000"/>
          <w:sz w:val="20"/>
          <w:szCs w:val="20"/>
        </w:rPr>
        <w:t>Discontinued Operation</w:t>
      </w:r>
      <w:r>
        <w:rPr>
          <w:rFonts w:eastAsia="Times New Roman"/>
          <w:i/>
          <w:iCs/>
          <w:color w:val="000000"/>
          <w:sz w:val="20"/>
          <w:szCs w:val="20"/>
        </w:rPr>
        <w: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5476"/>
        <w:gridCol w:w="52"/>
        <w:gridCol w:w="135"/>
        <w:gridCol w:w="991"/>
        <w:gridCol w:w="85"/>
        <w:gridCol w:w="36"/>
        <w:gridCol w:w="36"/>
        <w:gridCol w:w="36"/>
        <w:gridCol w:w="135"/>
        <w:gridCol w:w="971"/>
        <w:gridCol w:w="85"/>
        <w:gridCol w:w="36"/>
        <w:gridCol w:w="36"/>
        <w:gridCol w:w="36"/>
        <w:gridCol w:w="36"/>
        <w:gridCol w:w="36"/>
        <w:gridCol w:w="36"/>
      </w:tblGrid>
      <w:tr w:rsidR="00000000" w14:paraId="249B01D2" w14:textId="77777777">
        <w:trPr>
          <w:gridAfter w:val="6"/>
          <w:divId w:val="730621155"/>
          <w:jc w:val="center"/>
        </w:trPr>
        <w:tc>
          <w:tcPr>
            <w:tcW w:w="50" w:type="pct"/>
            <w:vAlign w:val="center"/>
            <w:hideMark/>
          </w:tcPr>
          <w:p w14:paraId="0A253809" w14:textId="77777777" w:rsidR="00000000" w:rsidRDefault="00195E73">
            <w:pPr>
              <w:rPr>
                <w:rFonts w:eastAsia="Times New Roman"/>
              </w:rPr>
            </w:pPr>
          </w:p>
        </w:tc>
        <w:tc>
          <w:tcPr>
            <w:tcW w:w="3401" w:type="pct"/>
            <w:vAlign w:val="center"/>
            <w:hideMark/>
          </w:tcPr>
          <w:p w14:paraId="50E3687E" w14:textId="77777777" w:rsidR="00000000" w:rsidRDefault="00195E73">
            <w:pPr>
              <w:rPr>
                <w:rFonts w:eastAsia="Times New Roman"/>
                <w:sz w:val="20"/>
                <w:szCs w:val="20"/>
              </w:rPr>
            </w:pPr>
          </w:p>
        </w:tc>
        <w:tc>
          <w:tcPr>
            <w:tcW w:w="50" w:type="pct"/>
            <w:vAlign w:val="center"/>
            <w:hideMark/>
          </w:tcPr>
          <w:p w14:paraId="3F2C7E98" w14:textId="77777777" w:rsidR="00000000" w:rsidRDefault="00195E73">
            <w:pPr>
              <w:rPr>
                <w:rFonts w:eastAsia="Times New Roman"/>
                <w:sz w:val="20"/>
                <w:szCs w:val="20"/>
              </w:rPr>
            </w:pPr>
          </w:p>
        </w:tc>
        <w:tc>
          <w:tcPr>
            <w:tcW w:w="50" w:type="pct"/>
            <w:vAlign w:val="center"/>
            <w:hideMark/>
          </w:tcPr>
          <w:p w14:paraId="29015860" w14:textId="77777777" w:rsidR="00000000" w:rsidRDefault="00195E73">
            <w:pPr>
              <w:rPr>
                <w:rFonts w:eastAsia="Times New Roman"/>
                <w:sz w:val="20"/>
                <w:szCs w:val="20"/>
              </w:rPr>
            </w:pPr>
          </w:p>
        </w:tc>
        <w:tc>
          <w:tcPr>
            <w:tcW w:w="630" w:type="pct"/>
            <w:vAlign w:val="center"/>
            <w:hideMark/>
          </w:tcPr>
          <w:p w14:paraId="33A81578" w14:textId="77777777" w:rsidR="00000000" w:rsidRDefault="00195E73">
            <w:pPr>
              <w:rPr>
                <w:rFonts w:eastAsia="Times New Roman"/>
                <w:sz w:val="20"/>
                <w:szCs w:val="20"/>
              </w:rPr>
            </w:pPr>
          </w:p>
        </w:tc>
        <w:tc>
          <w:tcPr>
            <w:tcW w:w="50" w:type="pct"/>
            <w:vAlign w:val="center"/>
            <w:hideMark/>
          </w:tcPr>
          <w:p w14:paraId="524C7815" w14:textId="77777777" w:rsidR="00000000" w:rsidRDefault="00195E73">
            <w:pPr>
              <w:rPr>
                <w:rFonts w:eastAsia="Times New Roman"/>
                <w:sz w:val="20"/>
                <w:szCs w:val="20"/>
              </w:rPr>
            </w:pPr>
          </w:p>
        </w:tc>
        <w:tc>
          <w:tcPr>
            <w:tcW w:w="5" w:type="pct"/>
            <w:vAlign w:val="center"/>
            <w:hideMark/>
          </w:tcPr>
          <w:p w14:paraId="5AA78F26" w14:textId="77777777" w:rsidR="00000000" w:rsidRDefault="00195E73">
            <w:pPr>
              <w:rPr>
                <w:rFonts w:eastAsia="Times New Roman"/>
                <w:sz w:val="20"/>
                <w:szCs w:val="20"/>
              </w:rPr>
            </w:pPr>
          </w:p>
        </w:tc>
        <w:tc>
          <w:tcPr>
            <w:tcW w:w="26" w:type="pct"/>
            <w:vAlign w:val="center"/>
            <w:hideMark/>
          </w:tcPr>
          <w:p w14:paraId="692B969E" w14:textId="77777777" w:rsidR="00000000" w:rsidRDefault="00195E73">
            <w:pPr>
              <w:rPr>
                <w:rFonts w:eastAsia="Times New Roman"/>
                <w:sz w:val="20"/>
                <w:szCs w:val="20"/>
              </w:rPr>
            </w:pPr>
          </w:p>
        </w:tc>
        <w:tc>
          <w:tcPr>
            <w:tcW w:w="5" w:type="pct"/>
            <w:vAlign w:val="center"/>
            <w:hideMark/>
          </w:tcPr>
          <w:p w14:paraId="483E283B" w14:textId="77777777" w:rsidR="00000000" w:rsidRDefault="00195E73">
            <w:pPr>
              <w:rPr>
                <w:rFonts w:eastAsia="Times New Roman"/>
                <w:sz w:val="20"/>
                <w:szCs w:val="20"/>
              </w:rPr>
            </w:pPr>
          </w:p>
        </w:tc>
        <w:tc>
          <w:tcPr>
            <w:tcW w:w="50" w:type="pct"/>
            <w:vAlign w:val="center"/>
            <w:hideMark/>
          </w:tcPr>
          <w:p w14:paraId="139A2A71" w14:textId="77777777" w:rsidR="00000000" w:rsidRDefault="00195E73">
            <w:pPr>
              <w:rPr>
                <w:rFonts w:eastAsia="Times New Roman"/>
                <w:sz w:val="20"/>
                <w:szCs w:val="20"/>
              </w:rPr>
            </w:pPr>
          </w:p>
        </w:tc>
        <w:tc>
          <w:tcPr>
            <w:tcW w:w="631" w:type="pct"/>
            <w:vAlign w:val="center"/>
            <w:hideMark/>
          </w:tcPr>
          <w:p w14:paraId="1C5ADDB6" w14:textId="77777777" w:rsidR="00000000" w:rsidRDefault="00195E73">
            <w:pPr>
              <w:rPr>
                <w:rFonts w:eastAsia="Times New Roman"/>
                <w:sz w:val="20"/>
                <w:szCs w:val="20"/>
              </w:rPr>
            </w:pPr>
          </w:p>
        </w:tc>
        <w:tc>
          <w:tcPr>
            <w:tcW w:w="50" w:type="pct"/>
            <w:vAlign w:val="center"/>
            <w:hideMark/>
          </w:tcPr>
          <w:p w14:paraId="64F84C7B" w14:textId="77777777" w:rsidR="00000000" w:rsidRDefault="00195E73">
            <w:pPr>
              <w:rPr>
                <w:rFonts w:eastAsia="Times New Roman"/>
                <w:sz w:val="20"/>
                <w:szCs w:val="20"/>
              </w:rPr>
            </w:pPr>
          </w:p>
        </w:tc>
      </w:tr>
      <w:tr w:rsidR="00000000" w14:paraId="6DDAFD59" w14:textId="77777777">
        <w:trPr>
          <w:divId w:val="730621155"/>
          <w:jc w:val="center"/>
        </w:trPr>
        <w:tc>
          <w:tcPr>
            <w:tcW w:w="0" w:type="auto"/>
            <w:gridSpan w:val="3"/>
            <w:tcMar>
              <w:top w:w="15" w:type="dxa"/>
              <w:left w:w="20" w:type="dxa"/>
              <w:bottom w:w="15" w:type="dxa"/>
              <w:right w:w="20" w:type="dxa"/>
            </w:tcMar>
            <w:vAlign w:val="bottom"/>
            <w:hideMark/>
          </w:tcPr>
          <w:p w14:paraId="69A1A7C8"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79AEA355"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3BBCE180" w14:textId="77777777" w:rsidR="00000000" w:rsidRDefault="00195E73">
            <w:pPr>
              <w:jc w:val="center"/>
              <w:rPr>
                <w:rFonts w:eastAsia="Times New Roman"/>
              </w:rPr>
            </w:pPr>
          </w:p>
        </w:tc>
        <w:tc>
          <w:tcPr>
            <w:tcW w:w="0" w:type="auto"/>
            <w:gridSpan w:val="3"/>
            <w:vAlign w:val="center"/>
            <w:hideMark/>
          </w:tcPr>
          <w:p w14:paraId="5823BB73" w14:textId="77777777" w:rsidR="00000000" w:rsidRDefault="00195E73">
            <w:pPr>
              <w:rPr>
                <w:rFonts w:eastAsia="Times New Roman"/>
                <w:sz w:val="20"/>
                <w:szCs w:val="20"/>
              </w:rPr>
            </w:pPr>
          </w:p>
        </w:tc>
      </w:tr>
      <w:tr w:rsidR="00000000" w14:paraId="0EF414E4" w14:textId="77777777">
        <w:trPr>
          <w:divId w:val="730621155"/>
          <w:jc w:val="center"/>
        </w:trPr>
        <w:tc>
          <w:tcPr>
            <w:tcW w:w="0" w:type="auto"/>
            <w:gridSpan w:val="3"/>
            <w:tcMar>
              <w:top w:w="15" w:type="dxa"/>
              <w:left w:w="20" w:type="dxa"/>
              <w:bottom w:w="15" w:type="dxa"/>
              <w:right w:w="20" w:type="dxa"/>
            </w:tcMar>
            <w:vAlign w:val="bottom"/>
            <w:hideMark/>
          </w:tcPr>
          <w:p w14:paraId="05361F9E"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867B39D"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0D623EE4"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D1374CB"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3E74398E" w14:textId="77777777" w:rsidR="00000000" w:rsidRDefault="00195E73">
            <w:pPr>
              <w:rPr>
                <w:rFonts w:eastAsia="Times New Roman"/>
                <w:sz w:val="20"/>
                <w:szCs w:val="20"/>
              </w:rPr>
            </w:pPr>
          </w:p>
        </w:tc>
        <w:tc>
          <w:tcPr>
            <w:tcW w:w="0" w:type="auto"/>
            <w:vAlign w:val="center"/>
            <w:hideMark/>
          </w:tcPr>
          <w:p w14:paraId="0BD0E411" w14:textId="77777777" w:rsidR="00000000" w:rsidRDefault="00195E73">
            <w:pPr>
              <w:rPr>
                <w:rFonts w:eastAsia="Times New Roman"/>
                <w:sz w:val="20"/>
                <w:szCs w:val="20"/>
              </w:rPr>
            </w:pPr>
          </w:p>
        </w:tc>
        <w:tc>
          <w:tcPr>
            <w:tcW w:w="0" w:type="auto"/>
            <w:vAlign w:val="center"/>
            <w:hideMark/>
          </w:tcPr>
          <w:p w14:paraId="67CA0DBB" w14:textId="77777777" w:rsidR="00000000" w:rsidRDefault="00195E73">
            <w:pPr>
              <w:rPr>
                <w:rFonts w:eastAsia="Times New Roman"/>
                <w:sz w:val="20"/>
                <w:szCs w:val="20"/>
              </w:rPr>
            </w:pPr>
          </w:p>
        </w:tc>
        <w:tc>
          <w:tcPr>
            <w:tcW w:w="0" w:type="auto"/>
            <w:vAlign w:val="center"/>
            <w:hideMark/>
          </w:tcPr>
          <w:p w14:paraId="4D7DA98E" w14:textId="77777777" w:rsidR="00000000" w:rsidRDefault="00195E73">
            <w:pPr>
              <w:rPr>
                <w:rFonts w:eastAsia="Times New Roman"/>
                <w:sz w:val="20"/>
                <w:szCs w:val="20"/>
              </w:rPr>
            </w:pPr>
          </w:p>
        </w:tc>
        <w:tc>
          <w:tcPr>
            <w:tcW w:w="0" w:type="auto"/>
            <w:vAlign w:val="center"/>
            <w:hideMark/>
          </w:tcPr>
          <w:p w14:paraId="68DE98A1" w14:textId="77777777" w:rsidR="00000000" w:rsidRDefault="00195E73">
            <w:pPr>
              <w:rPr>
                <w:rFonts w:eastAsia="Times New Roman"/>
                <w:sz w:val="20"/>
                <w:szCs w:val="20"/>
              </w:rPr>
            </w:pPr>
          </w:p>
        </w:tc>
        <w:tc>
          <w:tcPr>
            <w:tcW w:w="0" w:type="auto"/>
            <w:vAlign w:val="center"/>
            <w:hideMark/>
          </w:tcPr>
          <w:p w14:paraId="3E9255D8" w14:textId="77777777" w:rsidR="00000000" w:rsidRDefault="00195E73">
            <w:pPr>
              <w:rPr>
                <w:rFonts w:eastAsia="Times New Roman"/>
                <w:sz w:val="20"/>
                <w:szCs w:val="20"/>
              </w:rPr>
            </w:pPr>
          </w:p>
        </w:tc>
      </w:tr>
      <w:tr w:rsidR="00000000" w14:paraId="0B0DFBAA" w14:textId="77777777">
        <w:trPr>
          <w:divId w:val="730621155"/>
          <w:jc w:val="center"/>
        </w:trPr>
        <w:tc>
          <w:tcPr>
            <w:tcW w:w="0" w:type="auto"/>
            <w:gridSpan w:val="3"/>
            <w:tcMar>
              <w:top w:w="15" w:type="dxa"/>
              <w:left w:w="20" w:type="dxa"/>
              <w:bottom w:w="15" w:type="dxa"/>
              <w:right w:w="20" w:type="dxa"/>
            </w:tcMar>
            <w:vAlign w:val="bottom"/>
            <w:hideMark/>
          </w:tcPr>
          <w:p w14:paraId="44D22500"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CE2575A"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223DF62F" w14:textId="77777777" w:rsidR="00000000" w:rsidRDefault="00195E73">
            <w:pPr>
              <w:jc w:val="center"/>
              <w:rPr>
                <w:rFonts w:eastAsia="Times New Roman"/>
              </w:rPr>
            </w:pPr>
          </w:p>
        </w:tc>
        <w:tc>
          <w:tcPr>
            <w:tcW w:w="0" w:type="auto"/>
            <w:gridSpan w:val="3"/>
            <w:vAlign w:val="center"/>
            <w:hideMark/>
          </w:tcPr>
          <w:p w14:paraId="3E1A1E6C" w14:textId="77777777" w:rsidR="00000000" w:rsidRDefault="00195E73">
            <w:pPr>
              <w:rPr>
                <w:rFonts w:eastAsia="Times New Roman"/>
                <w:sz w:val="20"/>
                <w:szCs w:val="20"/>
              </w:rPr>
            </w:pPr>
          </w:p>
        </w:tc>
      </w:tr>
      <w:tr w:rsidR="00000000" w14:paraId="00E8F767" w14:textId="77777777">
        <w:trPr>
          <w:divId w:val="730621155"/>
          <w:jc w:val="center"/>
        </w:trPr>
        <w:tc>
          <w:tcPr>
            <w:tcW w:w="0" w:type="auto"/>
            <w:gridSpan w:val="3"/>
            <w:tcMar>
              <w:top w:w="30" w:type="dxa"/>
              <w:left w:w="20" w:type="dxa"/>
              <w:bottom w:w="30" w:type="dxa"/>
              <w:right w:w="20" w:type="dxa"/>
            </w:tcMar>
            <w:vAlign w:val="bottom"/>
            <w:hideMark/>
          </w:tcPr>
          <w:p w14:paraId="327C67D9" w14:textId="77777777" w:rsidR="00000000" w:rsidRDefault="00195E73">
            <w:pPr>
              <w:rPr>
                <w:rFonts w:eastAsia="Times New Roman"/>
              </w:rPr>
            </w:pPr>
            <w:r>
              <w:rPr>
                <w:rFonts w:eastAsia="Times New Roman"/>
                <w:b/>
                <w:bCs/>
                <w:color w:val="000000"/>
                <w:sz w:val="20"/>
                <w:szCs w:val="20"/>
              </w:rPr>
              <w:t>Operating Activities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14:paraId="69A8C76C"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0AF7610A"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F527833" w14:textId="77777777" w:rsidR="00000000" w:rsidRDefault="00195E73">
            <w:pPr>
              <w:rPr>
                <w:rFonts w:eastAsia="Times New Roman"/>
                <w:sz w:val="20"/>
                <w:szCs w:val="20"/>
              </w:rPr>
            </w:pPr>
          </w:p>
        </w:tc>
        <w:tc>
          <w:tcPr>
            <w:tcW w:w="0" w:type="auto"/>
            <w:vAlign w:val="center"/>
            <w:hideMark/>
          </w:tcPr>
          <w:p w14:paraId="29DA25E1" w14:textId="77777777" w:rsidR="00000000" w:rsidRDefault="00195E73">
            <w:pPr>
              <w:rPr>
                <w:rFonts w:eastAsia="Times New Roman"/>
                <w:sz w:val="20"/>
                <w:szCs w:val="20"/>
              </w:rPr>
            </w:pPr>
          </w:p>
        </w:tc>
        <w:tc>
          <w:tcPr>
            <w:tcW w:w="0" w:type="auto"/>
            <w:vAlign w:val="center"/>
            <w:hideMark/>
          </w:tcPr>
          <w:p w14:paraId="30EBEB0D" w14:textId="77777777" w:rsidR="00000000" w:rsidRDefault="00195E73">
            <w:pPr>
              <w:rPr>
                <w:rFonts w:eastAsia="Times New Roman"/>
                <w:sz w:val="20"/>
                <w:szCs w:val="20"/>
              </w:rPr>
            </w:pPr>
          </w:p>
        </w:tc>
        <w:tc>
          <w:tcPr>
            <w:tcW w:w="0" w:type="auto"/>
            <w:vAlign w:val="center"/>
            <w:hideMark/>
          </w:tcPr>
          <w:p w14:paraId="65A5220B" w14:textId="77777777" w:rsidR="00000000" w:rsidRDefault="00195E73">
            <w:pPr>
              <w:rPr>
                <w:rFonts w:eastAsia="Times New Roman"/>
                <w:sz w:val="20"/>
                <w:szCs w:val="20"/>
              </w:rPr>
            </w:pPr>
          </w:p>
        </w:tc>
        <w:tc>
          <w:tcPr>
            <w:tcW w:w="0" w:type="auto"/>
            <w:vAlign w:val="center"/>
            <w:hideMark/>
          </w:tcPr>
          <w:p w14:paraId="0B17F56A" w14:textId="77777777" w:rsidR="00000000" w:rsidRDefault="00195E73">
            <w:pPr>
              <w:rPr>
                <w:rFonts w:eastAsia="Times New Roman"/>
                <w:sz w:val="20"/>
                <w:szCs w:val="20"/>
              </w:rPr>
            </w:pPr>
          </w:p>
        </w:tc>
        <w:tc>
          <w:tcPr>
            <w:tcW w:w="0" w:type="auto"/>
            <w:vAlign w:val="center"/>
            <w:hideMark/>
          </w:tcPr>
          <w:p w14:paraId="312E88D3" w14:textId="77777777" w:rsidR="00000000" w:rsidRDefault="00195E73">
            <w:pPr>
              <w:rPr>
                <w:rFonts w:eastAsia="Times New Roman"/>
                <w:sz w:val="20"/>
                <w:szCs w:val="20"/>
              </w:rPr>
            </w:pPr>
          </w:p>
        </w:tc>
        <w:tc>
          <w:tcPr>
            <w:tcW w:w="0" w:type="auto"/>
            <w:vAlign w:val="center"/>
            <w:hideMark/>
          </w:tcPr>
          <w:p w14:paraId="6143CBA9" w14:textId="77777777" w:rsidR="00000000" w:rsidRDefault="00195E73">
            <w:pPr>
              <w:rPr>
                <w:rFonts w:eastAsia="Times New Roman"/>
                <w:sz w:val="20"/>
                <w:szCs w:val="20"/>
              </w:rPr>
            </w:pPr>
          </w:p>
        </w:tc>
      </w:tr>
      <w:tr w:rsidR="00000000" w14:paraId="08FE0B16" w14:textId="77777777">
        <w:trPr>
          <w:divId w:val="730621155"/>
          <w:jc w:val="center"/>
        </w:trPr>
        <w:tc>
          <w:tcPr>
            <w:tcW w:w="0" w:type="auto"/>
            <w:gridSpan w:val="3"/>
            <w:shd w:val="clear" w:color="auto" w:fill="CCEEFF"/>
            <w:tcMar>
              <w:top w:w="30" w:type="dxa"/>
              <w:left w:w="20" w:type="dxa"/>
              <w:bottom w:w="30" w:type="dxa"/>
              <w:right w:w="20" w:type="dxa"/>
            </w:tcMar>
            <w:vAlign w:val="bottom"/>
            <w:hideMark/>
          </w:tcPr>
          <w:p w14:paraId="0467D834" w14:textId="77777777" w:rsidR="00000000" w:rsidRDefault="00195E73">
            <w:pPr>
              <w:rPr>
                <w:rFonts w:eastAsia="Times New Roman"/>
              </w:rPr>
            </w:pPr>
            <w:r>
              <w:rPr>
                <w:rFonts w:eastAsia="Times New Roman"/>
                <w:color w:val="000000"/>
                <w:sz w:val="20"/>
                <w:szCs w:val="20"/>
              </w:rPr>
              <w:t>Federal-Mogu</w:t>
            </w:r>
            <w:r>
              <w:rPr>
                <w:rFonts w:eastAsia="Times New Roman"/>
                <w:color w:val="000000"/>
                <w:sz w:val="20"/>
                <w:szCs w:val="20"/>
              </w:rPr>
              <w:t>l</w:t>
            </w:r>
          </w:p>
        </w:tc>
        <w:tc>
          <w:tcPr>
            <w:tcW w:w="0" w:type="auto"/>
            <w:shd w:val="clear" w:color="auto" w:fill="CCEEFF"/>
            <w:tcMar>
              <w:top w:w="30" w:type="dxa"/>
              <w:left w:w="20" w:type="dxa"/>
              <w:bottom w:w="30" w:type="dxa"/>
              <w:right w:w="15" w:type="dxa"/>
            </w:tcMar>
            <w:vAlign w:val="bottom"/>
            <w:hideMark/>
          </w:tcPr>
          <w:p w14:paraId="1EDDF5B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427727B" w14:textId="77777777" w:rsidR="00000000" w:rsidRDefault="00195E73">
            <w:pPr>
              <w:jc w:val="right"/>
              <w:rPr>
                <w:rFonts w:eastAsia="Times New Roman"/>
              </w:rPr>
            </w:pPr>
            <w:r>
              <w:rPr>
                <w:rFonts w:eastAsia="Times New Roman"/>
                <w:color w:val="000000"/>
                <w:sz w:val="20"/>
                <w:szCs w:val="20"/>
              </w:rPr>
              <w:t>225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85FB7C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B1B373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E215F7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1574992" w14:textId="77777777" w:rsidR="00000000" w:rsidRDefault="00195E73">
            <w:pPr>
              <w:jc w:val="right"/>
              <w:rPr>
                <w:rFonts w:eastAsia="Times New Roman"/>
              </w:rPr>
            </w:pPr>
            <w:r>
              <w:rPr>
                <w:rFonts w:eastAsia="Times New Roman"/>
                <w:color w:val="000000"/>
                <w:sz w:val="20"/>
                <w:szCs w:val="20"/>
              </w:rPr>
              <w:t>416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CAE1F8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EFBA448" w14:textId="77777777" w:rsidR="00000000" w:rsidRDefault="00195E73">
            <w:pPr>
              <w:rPr>
                <w:rFonts w:eastAsia="Times New Roman"/>
                <w:sz w:val="20"/>
                <w:szCs w:val="20"/>
              </w:rPr>
            </w:pPr>
          </w:p>
        </w:tc>
        <w:tc>
          <w:tcPr>
            <w:tcW w:w="0" w:type="auto"/>
            <w:vAlign w:val="center"/>
            <w:hideMark/>
          </w:tcPr>
          <w:p w14:paraId="36DA20C5" w14:textId="77777777" w:rsidR="00000000" w:rsidRDefault="00195E73">
            <w:pPr>
              <w:rPr>
                <w:rFonts w:eastAsia="Times New Roman"/>
                <w:sz w:val="20"/>
                <w:szCs w:val="20"/>
              </w:rPr>
            </w:pPr>
          </w:p>
        </w:tc>
        <w:tc>
          <w:tcPr>
            <w:tcW w:w="0" w:type="auto"/>
            <w:vAlign w:val="center"/>
            <w:hideMark/>
          </w:tcPr>
          <w:p w14:paraId="6927EB66" w14:textId="77777777" w:rsidR="00000000" w:rsidRDefault="00195E73">
            <w:pPr>
              <w:rPr>
                <w:rFonts w:eastAsia="Times New Roman"/>
                <w:sz w:val="20"/>
                <w:szCs w:val="20"/>
              </w:rPr>
            </w:pPr>
          </w:p>
        </w:tc>
        <w:tc>
          <w:tcPr>
            <w:tcW w:w="0" w:type="auto"/>
            <w:vAlign w:val="center"/>
            <w:hideMark/>
          </w:tcPr>
          <w:p w14:paraId="3B7E8CFC" w14:textId="77777777" w:rsidR="00000000" w:rsidRDefault="00195E73">
            <w:pPr>
              <w:rPr>
                <w:rFonts w:eastAsia="Times New Roman"/>
                <w:sz w:val="20"/>
                <w:szCs w:val="20"/>
              </w:rPr>
            </w:pPr>
          </w:p>
        </w:tc>
        <w:tc>
          <w:tcPr>
            <w:tcW w:w="0" w:type="auto"/>
            <w:vAlign w:val="center"/>
            <w:hideMark/>
          </w:tcPr>
          <w:p w14:paraId="00F36CBA" w14:textId="77777777" w:rsidR="00000000" w:rsidRDefault="00195E73">
            <w:pPr>
              <w:rPr>
                <w:rFonts w:eastAsia="Times New Roman"/>
                <w:sz w:val="20"/>
                <w:szCs w:val="20"/>
              </w:rPr>
            </w:pPr>
          </w:p>
        </w:tc>
        <w:tc>
          <w:tcPr>
            <w:tcW w:w="0" w:type="auto"/>
            <w:vAlign w:val="center"/>
            <w:hideMark/>
          </w:tcPr>
          <w:p w14:paraId="159ED27F" w14:textId="77777777" w:rsidR="00000000" w:rsidRDefault="00195E73">
            <w:pPr>
              <w:rPr>
                <w:rFonts w:eastAsia="Times New Roman"/>
                <w:sz w:val="20"/>
                <w:szCs w:val="20"/>
              </w:rPr>
            </w:pPr>
          </w:p>
        </w:tc>
      </w:tr>
      <w:tr w:rsidR="00000000" w14:paraId="7BD47EB1" w14:textId="77777777">
        <w:trPr>
          <w:divId w:val="730621155"/>
          <w:jc w:val="center"/>
        </w:trPr>
        <w:tc>
          <w:tcPr>
            <w:tcW w:w="0" w:type="auto"/>
            <w:gridSpan w:val="3"/>
            <w:shd w:val="clear" w:color="auto" w:fill="FFFFFF"/>
            <w:tcMar>
              <w:top w:w="30" w:type="dxa"/>
              <w:left w:w="20" w:type="dxa"/>
              <w:bottom w:w="30" w:type="dxa"/>
              <w:right w:w="20" w:type="dxa"/>
            </w:tcMar>
            <w:vAlign w:val="bottom"/>
            <w:hideMark/>
          </w:tcPr>
          <w:p w14:paraId="14FC0BC5" w14:textId="77777777" w:rsidR="00000000" w:rsidRDefault="00195E73">
            <w:pPr>
              <w:rPr>
                <w:rFonts w:eastAsia="Times New Roman"/>
              </w:rPr>
            </w:pPr>
            <w:r>
              <w:rPr>
                <w:rFonts w:eastAsia="Times New Roman"/>
                <w:color w:val="000000"/>
                <w:sz w:val="20"/>
                <w:szCs w:val="20"/>
              </w:rPr>
              <w:t>Tropican</w:t>
            </w:r>
            <w:r>
              <w:rPr>
                <w:rFonts w:eastAsia="Times New Roman"/>
                <w:color w:val="000000"/>
                <w:sz w:val="20"/>
                <w:szCs w:val="20"/>
              </w:rPr>
              <w:t>a</w:t>
            </w:r>
          </w:p>
        </w:tc>
        <w:tc>
          <w:tcPr>
            <w:tcW w:w="0" w:type="auto"/>
            <w:gridSpan w:val="2"/>
            <w:shd w:val="clear" w:color="auto" w:fill="FFFFFF"/>
            <w:tcMar>
              <w:top w:w="30" w:type="dxa"/>
              <w:left w:w="20" w:type="dxa"/>
              <w:bottom w:w="30" w:type="dxa"/>
              <w:right w:w="0" w:type="dxa"/>
            </w:tcMar>
            <w:vAlign w:val="bottom"/>
            <w:hideMark/>
          </w:tcPr>
          <w:p w14:paraId="245C4C50" w14:textId="77777777" w:rsidR="00000000" w:rsidRDefault="00195E73">
            <w:pPr>
              <w:jc w:val="right"/>
              <w:rPr>
                <w:rFonts w:eastAsia="Times New Roman"/>
              </w:rPr>
            </w:pPr>
            <w:r>
              <w:rPr>
                <w:rFonts w:eastAsia="Times New Roman"/>
                <w:color w:val="000000"/>
                <w:sz w:val="20"/>
                <w:szCs w:val="20"/>
              </w:rPr>
              <w:t>120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E85CB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4388FF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F6AAAB" w14:textId="77777777" w:rsidR="00000000" w:rsidRDefault="00195E73">
            <w:pPr>
              <w:jc w:val="right"/>
              <w:rPr>
                <w:rFonts w:eastAsia="Times New Roman"/>
              </w:rPr>
            </w:pPr>
            <w:r>
              <w:rPr>
                <w:rFonts w:eastAsia="Times New Roman"/>
                <w:color w:val="000000"/>
                <w:sz w:val="20"/>
                <w:szCs w:val="20"/>
              </w:rPr>
              <w:t>150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9FE0DF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26B9D62" w14:textId="77777777" w:rsidR="00000000" w:rsidRDefault="00195E73">
            <w:pPr>
              <w:rPr>
                <w:rFonts w:eastAsia="Times New Roman"/>
                <w:sz w:val="20"/>
                <w:szCs w:val="20"/>
              </w:rPr>
            </w:pPr>
          </w:p>
        </w:tc>
        <w:tc>
          <w:tcPr>
            <w:tcW w:w="0" w:type="auto"/>
            <w:vAlign w:val="center"/>
            <w:hideMark/>
          </w:tcPr>
          <w:p w14:paraId="15817B37" w14:textId="77777777" w:rsidR="00000000" w:rsidRDefault="00195E73">
            <w:pPr>
              <w:rPr>
                <w:rFonts w:eastAsia="Times New Roman"/>
                <w:sz w:val="20"/>
                <w:szCs w:val="20"/>
              </w:rPr>
            </w:pPr>
          </w:p>
        </w:tc>
        <w:tc>
          <w:tcPr>
            <w:tcW w:w="0" w:type="auto"/>
            <w:vAlign w:val="center"/>
            <w:hideMark/>
          </w:tcPr>
          <w:p w14:paraId="2360B2D1" w14:textId="77777777" w:rsidR="00000000" w:rsidRDefault="00195E73">
            <w:pPr>
              <w:rPr>
                <w:rFonts w:eastAsia="Times New Roman"/>
                <w:sz w:val="20"/>
                <w:szCs w:val="20"/>
              </w:rPr>
            </w:pPr>
          </w:p>
        </w:tc>
        <w:tc>
          <w:tcPr>
            <w:tcW w:w="0" w:type="auto"/>
            <w:vAlign w:val="center"/>
            <w:hideMark/>
          </w:tcPr>
          <w:p w14:paraId="4FB8BA7E" w14:textId="77777777" w:rsidR="00000000" w:rsidRDefault="00195E73">
            <w:pPr>
              <w:rPr>
                <w:rFonts w:eastAsia="Times New Roman"/>
                <w:sz w:val="20"/>
                <w:szCs w:val="20"/>
              </w:rPr>
            </w:pPr>
          </w:p>
        </w:tc>
        <w:tc>
          <w:tcPr>
            <w:tcW w:w="0" w:type="auto"/>
            <w:vAlign w:val="center"/>
            <w:hideMark/>
          </w:tcPr>
          <w:p w14:paraId="7CD740F2" w14:textId="77777777" w:rsidR="00000000" w:rsidRDefault="00195E73">
            <w:pPr>
              <w:rPr>
                <w:rFonts w:eastAsia="Times New Roman"/>
                <w:sz w:val="20"/>
                <w:szCs w:val="20"/>
              </w:rPr>
            </w:pPr>
          </w:p>
        </w:tc>
        <w:tc>
          <w:tcPr>
            <w:tcW w:w="0" w:type="auto"/>
            <w:vAlign w:val="center"/>
            <w:hideMark/>
          </w:tcPr>
          <w:p w14:paraId="68E38790" w14:textId="77777777" w:rsidR="00000000" w:rsidRDefault="00195E73">
            <w:pPr>
              <w:rPr>
                <w:rFonts w:eastAsia="Times New Roman"/>
                <w:sz w:val="20"/>
                <w:szCs w:val="20"/>
              </w:rPr>
            </w:pPr>
          </w:p>
        </w:tc>
      </w:tr>
      <w:tr w:rsidR="00000000" w14:paraId="3AFB32D6" w14:textId="77777777">
        <w:trPr>
          <w:divId w:val="730621155"/>
          <w:jc w:val="center"/>
        </w:trPr>
        <w:tc>
          <w:tcPr>
            <w:tcW w:w="0" w:type="auto"/>
            <w:gridSpan w:val="3"/>
            <w:shd w:val="clear" w:color="auto" w:fill="CCEEFF"/>
            <w:tcMar>
              <w:top w:w="30" w:type="dxa"/>
              <w:left w:w="20" w:type="dxa"/>
              <w:bottom w:w="30" w:type="dxa"/>
              <w:right w:w="20" w:type="dxa"/>
            </w:tcMar>
            <w:vAlign w:val="bottom"/>
            <w:hideMark/>
          </w:tcPr>
          <w:p w14:paraId="220D5546" w14:textId="77777777" w:rsidR="00000000" w:rsidRDefault="00195E73">
            <w:pPr>
              <w:rPr>
                <w:rFonts w:eastAsia="Times New Roman"/>
              </w:rPr>
            </w:pPr>
            <w:r>
              <w:rPr>
                <w:rFonts w:eastAsia="Times New Roman"/>
                <w:color w:val="000000"/>
                <w:sz w:val="20"/>
                <w:szCs w:val="20"/>
              </w:rPr>
              <w:t>AR</w:t>
            </w:r>
            <w:r>
              <w:rPr>
                <w:rFonts w:eastAsia="Times New Roman"/>
                <w:color w:val="000000"/>
                <w:sz w:val="20"/>
                <w:szCs w:val="20"/>
              </w:rPr>
              <w:t>I</w:t>
            </w:r>
          </w:p>
        </w:tc>
        <w:tc>
          <w:tcPr>
            <w:tcW w:w="0" w:type="auto"/>
            <w:gridSpan w:val="2"/>
            <w:shd w:val="clear" w:color="auto" w:fill="CCEEFF"/>
            <w:tcMar>
              <w:top w:w="30" w:type="dxa"/>
              <w:left w:w="20" w:type="dxa"/>
              <w:bottom w:w="30" w:type="dxa"/>
              <w:right w:w="0" w:type="dxa"/>
            </w:tcMar>
            <w:vAlign w:val="bottom"/>
            <w:hideMark/>
          </w:tcPr>
          <w:p w14:paraId="748D1367" w14:textId="77777777" w:rsidR="00000000" w:rsidRDefault="00195E73">
            <w:pPr>
              <w:jc w:val="right"/>
              <w:rPr>
                <w:rFonts w:eastAsia="Times New Roman"/>
              </w:rPr>
            </w:pPr>
            <w:r>
              <w:rPr>
                <w:rFonts w:eastAsia="Times New Roman"/>
                <w:color w:val="000000"/>
                <w:sz w:val="20"/>
                <w:szCs w:val="20"/>
              </w:rPr>
              <w:t>122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32E405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06829F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1FD8EE" w14:textId="77777777" w:rsidR="00000000" w:rsidRDefault="00195E73">
            <w:pPr>
              <w:jc w:val="right"/>
              <w:rPr>
                <w:rFonts w:eastAsia="Times New Roman"/>
              </w:rPr>
            </w:pPr>
            <w:r>
              <w:rPr>
                <w:rFonts w:eastAsia="Times New Roman"/>
                <w:color w:val="000000"/>
                <w:sz w:val="20"/>
                <w:szCs w:val="20"/>
              </w:rPr>
              <w:t>128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BD1EC4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F61D1B5" w14:textId="77777777" w:rsidR="00000000" w:rsidRDefault="00195E73">
            <w:pPr>
              <w:rPr>
                <w:rFonts w:eastAsia="Times New Roman"/>
                <w:sz w:val="20"/>
                <w:szCs w:val="20"/>
              </w:rPr>
            </w:pPr>
          </w:p>
        </w:tc>
        <w:tc>
          <w:tcPr>
            <w:tcW w:w="0" w:type="auto"/>
            <w:vAlign w:val="center"/>
            <w:hideMark/>
          </w:tcPr>
          <w:p w14:paraId="06B6E0E7" w14:textId="77777777" w:rsidR="00000000" w:rsidRDefault="00195E73">
            <w:pPr>
              <w:rPr>
                <w:rFonts w:eastAsia="Times New Roman"/>
                <w:sz w:val="20"/>
                <w:szCs w:val="20"/>
              </w:rPr>
            </w:pPr>
          </w:p>
        </w:tc>
        <w:tc>
          <w:tcPr>
            <w:tcW w:w="0" w:type="auto"/>
            <w:vAlign w:val="center"/>
            <w:hideMark/>
          </w:tcPr>
          <w:p w14:paraId="30DEB0B8" w14:textId="77777777" w:rsidR="00000000" w:rsidRDefault="00195E73">
            <w:pPr>
              <w:rPr>
                <w:rFonts w:eastAsia="Times New Roman"/>
                <w:sz w:val="20"/>
                <w:szCs w:val="20"/>
              </w:rPr>
            </w:pPr>
          </w:p>
        </w:tc>
        <w:tc>
          <w:tcPr>
            <w:tcW w:w="0" w:type="auto"/>
            <w:vAlign w:val="center"/>
            <w:hideMark/>
          </w:tcPr>
          <w:p w14:paraId="6A2E6286" w14:textId="77777777" w:rsidR="00000000" w:rsidRDefault="00195E73">
            <w:pPr>
              <w:rPr>
                <w:rFonts w:eastAsia="Times New Roman"/>
                <w:sz w:val="20"/>
                <w:szCs w:val="20"/>
              </w:rPr>
            </w:pPr>
          </w:p>
        </w:tc>
        <w:tc>
          <w:tcPr>
            <w:tcW w:w="0" w:type="auto"/>
            <w:vAlign w:val="center"/>
            <w:hideMark/>
          </w:tcPr>
          <w:p w14:paraId="1086AD29" w14:textId="77777777" w:rsidR="00000000" w:rsidRDefault="00195E73">
            <w:pPr>
              <w:rPr>
                <w:rFonts w:eastAsia="Times New Roman"/>
                <w:sz w:val="20"/>
                <w:szCs w:val="20"/>
              </w:rPr>
            </w:pPr>
          </w:p>
        </w:tc>
        <w:tc>
          <w:tcPr>
            <w:tcW w:w="0" w:type="auto"/>
            <w:vAlign w:val="center"/>
            <w:hideMark/>
          </w:tcPr>
          <w:p w14:paraId="19ADC8C0" w14:textId="77777777" w:rsidR="00000000" w:rsidRDefault="00195E73">
            <w:pPr>
              <w:rPr>
                <w:rFonts w:eastAsia="Times New Roman"/>
                <w:sz w:val="20"/>
                <w:szCs w:val="20"/>
              </w:rPr>
            </w:pPr>
          </w:p>
        </w:tc>
      </w:tr>
      <w:tr w:rsidR="00000000" w14:paraId="7C111EDD" w14:textId="77777777">
        <w:trPr>
          <w:divId w:val="730621155"/>
          <w:jc w:val="center"/>
        </w:trPr>
        <w:tc>
          <w:tcPr>
            <w:tcW w:w="0" w:type="auto"/>
            <w:gridSpan w:val="3"/>
            <w:shd w:val="clear" w:color="auto" w:fill="FFFFFF"/>
            <w:tcMar>
              <w:top w:w="30" w:type="dxa"/>
              <w:left w:w="20" w:type="dxa"/>
              <w:bottom w:w="30" w:type="dxa"/>
              <w:right w:w="20" w:type="dxa"/>
            </w:tcMar>
            <w:vAlign w:val="bottom"/>
            <w:hideMark/>
          </w:tcPr>
          <w:p w14:paraId="51DA015A" w14:textId="77777777" w:rsidR="00000000" w:rsidRDefault="00195E73">
            <w:pPr>
              <w:rPr>
                <w:rFonts w:eastAsia="Times New Roman"/>
              </w:rPr>
            </w:pPr>
            <w:r>
              <w:rPr>
                <w:rFonts w:eastAsia="Times New Roman"/>
                <w:color w:val="000000"/>
                <w:sz w:val="20"/>
                <w:szCs w:val="20"/>
              </w:rPr>
              <w:t>Transactions with Holding Compan</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14:paraId="3372A9B8"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0E5D16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B9E78C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8BBAB7"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086CB3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E2E8A17" w14:textId="77777777" w:rsidR="00000000" w:rsidRDefault="00195E73">
            <w:pPr>
              <w:rPr>
                <w:rFonts w:eastAsia="Times New Roman"/>
                <w:sz w:val="20"/>
                <w:szCs w:val="20"/>
              </w:rPr>
            </w:pPr>
          </w:p>
        </w:tc>
        <w:tc>
          <w:tcPr>
            <w:tcW w:w="0" w:type="auto"/>
            <w:vAlign w:val="center"/>
            <w:hideMark/>
          </w:tcPr>
          <w:p w14:paraId="5A748C77" w14:textId="77777777" w:rsidR="00000000" w:rsidRDefault="00195E73">
            <w:pPr>
              <w:rPr>
                <w:rFonts w:eastAsia="Times New Roman"/>
                <w:sz w:val="20"/>
                <w:szCs w:val="20"/>
              </w:rPr>
            </w:pPr>
          </w:p>
        </w:tc>
        <w:tc>
          <w:tcPr>
            <w:tcW w:w="0" w:type="auto"/>
            <w:vAlign w:val="center"/>
            <w:hideMark/>
          </w:tcPr>
          <w:p w14:paraId="443D91AA" w14:textId="77777777" w:rsidR="00000000" w:rsidRDefault="00195E73">
            <w:pPr>
              <w:rPr>
                <w:rFonts w:eastAsia="Times New Roman"/>
                <w:sz w:val="20"/>
                <w:szCs w:val="20"/>
              </w:rPr>
            </w:pPr>
          </w:p>
        </w:tc>
        <w:tc>
          <w:tcPr>
            <w:tcW w:w="0" w:type="auto"/>
            <w:vAlign w:val="center"/>
            <w:hideMark/>
          </w:tcPr>
          <w:p w14:paraId="0909F7D5" w14:textId="77777777" w:rsidR="00000000" w:rsidRDefault="00195E73">
            <w:pPr>
              <w:rPr>
                <w:rFonts w:eastAsia="Times New Roman"/>
                <w:sz w:val="20"/>
                <w:szCs w:val="20"/>
              </w:rPr>
            </w:pPr>
          </w:p>
        </w:tc>
        <w:tc>
          <w:tcPr>
            <w:tcW w:w="0" w:type="auto"/>
            <w:vAlign w:val="center"/>
            <w:hideMark/>
          </w:tcPr>
          <w:p w14:paraId="5E756E62" w14:textId="77777777" w:rsidR="00000000" w:rsidRDefault="00195E73">
            <w:pPr>
              <w:rPr>
                <w:rFonts w:eastAsia="Times New Roman"/>
                <w:sz w:val="20"/>
                <w:szCs w:val="20"/>
              </w:rPr>
            </w:pPr>
          </w:p>
        </w:tc>
        <w:tc>
          <w:tcPr>
            <w:tcW w:w="0" w:type="auto"/>
            <w:vAlign w:val="center"/>
            <w:hideMark/>
          </w:tcPr>
          <w:p w14:paraId="5A1894CB" w14:textId="77777777" w:rsidR="00000000" w:rsidRDefault="00195E73">
            <w:pPr>
              <w:rPr>
                <w:rFonts w:eastAsia="Times New Roman"/>
                <w:sz w:val="20"/>
                <w:szCs w:val="20"/>
              </w:rPr>
            </w:pPr>
          </w:p>
        </w:tc>
      </w:tr>
      <w:tr w:rsidR="00000000" w14:paraId="0DC68998" w14:textId="77777777">
        <w:trPr>
          <w:divId w:val="730621155"/>
          <w:jc w:val="center"/>
        </w:trPr>
        <w:tc>
          <w:tcPr>
            <w:tcW w:w="0" w:type="auto"/>
            <w:gridSpan w:val="3"/>
            <w:shd w:val="clear" w:color="auto" w:fill="CCEEFF"/>
            <w:tcMar>
              <w:top w:w="15" w:type="dxa"/>
              <w:left w:w="20" w:type="dxa"/>
              <w:bottom w:w="15" w:type="dxa"/>
              <w:right w:w="20" w:type="dxa"/>
            </w:tcMar>
            <w:vAlign w:val="bottom"/>
            <w:hideMark/>
          </w:tcPr>
          <w:p w14:paraId="37D9EC70"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E504AB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95054DC" w14:textId="77777777" w:rsidR="00000000" w:rsidRDefault="00195E73">
            <w:pPr>
              <w:jc w:val="right"/>
              <w:rPr>
                <w:rFonts w:eastAsia="Times New Roman"/>
              </w:rPr>
            </w:pPr>
            <w:r>
              <w:rPr>
                <w:rFonts w:eastAsia="Times New Roman"/>
                <w:color w:val="000000"/>
                <w:sz w:val="20"/>
                <w:szCs w:val="20"/>
              </w:rPr>
              <w:t>474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9D43CB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2AD6B5"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C7BB28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07B9CAF" w14:textId="77777777" w:rsidR="00000000" w:rsidRDefault="00195E73">
            <w:pPr>
              <w:jc w:val="right"/>
              <w:rPr>
                <w:rFonts w:eastAsia="Times New Roman"/>
              </w:rPr>
            </w:pPr>
            <w:r>
              <w:rPr>
                <w:rFonts w:eastAsia="Times New Roman"/>
                <w:color w:val="000000"/>
                <w:sz w:val="20"/>
                <w:szCs w:val="20"/>
              </w:rPr>
              <w:t>691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136CAA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E0943DB" w14:textId="77777777" w:rsidR="00000000" w:rsidRDefault="00195E73">
            <w:pPr>
              <w:rPr>
                <w:rFonts w:eastAsia="Times New Roman"/>
                <w:sz w:val="20"/>
                <w:szCs w:val="20"/>
              </w:rPr>
            </w:pPr>
          </w:p>
        </w:tc>
        <w:tc>
          <w:tcPr>
            <w:tcW w:w="0" w:type="auto"/>
            <w:vAlign w:val="center"/>
            <w:hideMark/>
          </w:tcPr>
          <w:p w14:paraId="047D0493" w14:textId="77777777" w:rsidR="00000000" w:rsidRDefault="00195E73">
            <w:pPr>
              <w:rPr>
                <w:rFonts w:eastAsia="Times New Roman"/>
                <w:sz w:val="20"/>
                <w:szCs w:val="20"/>
              </w:rPr>
            </w:pPr>
          </w:p>
        </w:tc>
        <w:tc>
          <w:tcPr>
            <w:tcW w:w="0" w:type="auto"/>
            <w:vAlign w:val="center"/>
            <w:hideMark/>
          </w:tcPr>
          <w:p w14:paraId="4B2530FA" w14:textId="77777777" w:rsidR="00000000" w:rsidRDefault="00195E73">
            <w:pPr>
              <w:rPr>
                <w:rFonts w:eastAsia="Times New Roman"/>
                <w:sz w:val="20"/>
                <w:szCs w:val="20"/>
              </w:rPr>
            </w:pPr>
          </w:p>
        </w:tc>
        <w:tc>
          <w:tcPr>
            <w:tcW w:w="0" w:type="auto"/>
            <w:vAlign w:val="center"/>
            <w:hideMark/>
          </w:tcPr>
          <w:p w14:paraId="6CD4BBC9" w14:textId="77777777" w:rsidR="00000000" w:rsidRDefault="00195E73">
            <w:pPr>
              <w:rPr>
                <w:rFonts w:eastAsia="Times New Roman"/>
                <w:sz w:val="20"/>
                <w:szCs w:val="20"/>
              </w:rPr>
            </w:pPr>
          </w:p>
        </w:tc>
        <w:tc>
          <w:tcPr>
            <w:tcW w:w="0" w:type="auto"/>
            <w:vAlign w:val="center"/>
            <w:hideMark/>
          </w:tcPr>
          <w:p w14:paraId="38350D79" w14:textId="77777777" w:rsidR="00000000" w:rsidRDefault="00195E73">
            <w:pPr>
              <w:rPr>
                <w:rFonts w:eastAsia="Times New Roman"/>
                <w:sz w:val="20"/>
                <w:szCs w:val="20"/>
              </w:rPr>
            </w:pPr>
          </w:p>
        </w:tc>
        <w:tc>
          <w:tcPr>
            <w:tcW w:w="0" w:type="auto"/>
            <w:vAlign w:val="center"/>
            <w:hideMark/>
          </w:tcPr>
          <w:p w14:paraId="6652B3BF" w14:textId="77777777" w:rsidR="00000000" w:rsidRDefault="00195E73">
            <w:pPr>
              <w:rPr>
                <w:rFonts w:eastAsia="Times New Roman"/>
                <w:sz w:val="20"/>
                <w:szCs w:val="20"/>
              </w:rPr>
            </w:pPr>
          </w:p>
        </w:tc>
      </w:tr>
      <w:tr w:rsidR="00000000" w14:paraId="6D2FFE64" w14:textId="77777777">
        <w:trPr>
          <w:divId w:val="730621155"/>
          <w:jc w:val="center"/>
        </w:trPr>
        <w:tc>
          <w:tcPr>
            <w:tcW w:w="0" w:type="auto"/>
            <w:gridSpan w:val="3"/>
            <w:shd w:val="clear" w:color="auto" w:fill="FFFFFF"/>
            <w:tcMar>
              <w:top w:w="30" w:type="dxa"/>
              <w:left w:w="20" w:type="dxa"/>
              <w:bottom w:w="30" w:type="dxa"/>
              <w:right w:w="20" w:type="dxa"/>
            </w:tcMar>
            <w:vAlign w:val="bottom"/>
            <w:hideMark/>
          </w:tcPr>
          <w:p w14:paraId="14995294" w14:textId="77777777" w:rsidR="00000000" w:rsidRDefault="00195E73">
            <w:pPr>
              <w:rPr>
                <w:rFonts w:eastAsia="Times New Roman"/>
              </w:rPr>
            </w:pPr>
            <w:r>
              <w:rPr>
                <w:rFonts w:eastAsia="Times New Roman"/>
                <w:b/>
                <w:bCs/>
                <w:color w:val="000000"/>
                <w:sz w:val="20"/>
                <w:szCs w:val="20"/>
              </w:rPr>
              <w:t>Investing Activities</w:t>
            </w:r>
            <w:r>
              <w:rPr>
                <w:rFonts w:eastAsia="Times New Roman"/>
                <w:b/>
                <w:bCs/>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5901C0BF"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34C3614"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DC37D2D" w14:textId="77777777" w:rsidR="00000000" w:rsidRDefault="00195E73">
            <w:pPr>
              <w:rPr>
                <w:rFonts w:eastAsia="Times New Roman"/>
                <w:sz w:val="20"/>
                <w:szCs w:val="20"/>
              </w:rPr>
            </w:pPr>
          </w:p>
        </w:tc>
        <w:tc>
          <w:tcPr>
            <w:tcW w:w="0" w:type="auto"/>
            <w:vAlign w:val="center"/>
            <w:hideMark/>
          </w:tcPr>
          <w:p w14:paraId="1FA5EE02" w14:textId="77777777" w:rsidR="00000000" w:rsidRDefault="00195E73">
            <w:pPr>
              <w:rPr>
                <w:rFonts w:eastAsia="Times New Roman"/>
                <w:sz w:val="20"/>
                <w:szCs w:val="20"/>
              </w:rPr>
            </w:pPr>
          </w:p>
        </w:tc>
        <w:tc>
          <w:tcPr>
            <w:tcW w:w="0" w:type="auto"/>
            <w:vAlign w:val="center"/>
            <w:hideMark/>
          </w:tcPr>
          <w:p w14:paraId="3BA88138" w14:textId="77777777" w:rsidR="00000000" w:rsidRDefault="00195E73">
            <w:pPr>
              <w:rPr>
                <w:rFonts w:eastAsia="Times New Roman"/>
                <w:sz w:val="20"/>
                <w:szCs w:val="20"/>
              </w:rPr>
            </w:pPr>
          </w:p>
        </w:tc>
        <w:tc>
          <w:tcPr>
            <w:tcW w:w="0" w:type="auto"/>
            <w:vAlign w:val="center"/>
            <w:hideMark/>
          </w:tcPr>
          <w:p w14:paraId="4A72078D" w14:textId="77777777" w:rsidR="00000000" w:rsidRDefault="00195E73">
            <w:pPr>
              <w:rPr>
                <w:rFonts w:eastAsia="Times New Roman"/>
                <w:sz w:val="20"/>
                <w:szCs w:val="20"/>
              </w:rPr>
            </w:pPr>
          </w:p>
        </w:tc>
        <w:tc>
          <w:tcPr>
            <w:tcW w:w="0" w:type="auto"/>
            <w:vAlign w:val="center"/>
            <w:hideMark/>
          </w:tcPr>
          <w:p w14:paraId="13988DA2" w14:textId="77777777" w:rsidR="00000000" w:rsidRDefault="00195E73">
            <w:pPr>
              <w:rPr>
                <w:rFonts w:eastAsia="Times New Roman"/>
                <w:sz w:val="20"/>
                <w:szCs w:val="20"/>
              </w:rPr>
            </w:pPr>
          </w:p>
        </w:tc>
        <w:tc>
          <w:tcPr>
            <w:tcW w:w="0" w:type="auto"/>
            <w:vAlign w:val="center"/>
            <w:hideMark/>
          </w:tcPr>
          <w:p w14:paraId="5E7E386C" w14:textId="77777777" w:rsidR="00000000" w:rsidRDefault="00195E73">
            <w:pPr>
              <w:rPr>
                <w:rFonts w:eastAsia="Times New Roman"/>
                <w:sz w:val="20"/>
                <w:szCs w:val="20"/>
              </w:rPr>
            </w:pPr>
          </w:p>
        </w:tc>
        <w:tc>
          <w:tcPr>
            <w:tcW w:w="0" w:type="auto"/>
            <w:vAlign w:val="center"/>
            <w:hideMark/>
          </w:tcPr>
          <w:p w14:paraId="2B476665" w14:textId="77777777" w:rsidR="00000000" w:rsidRDefault="00195E73">
            <w:pPr>
              <w:rPr>
                <w:rFonts w:eastAsia="Times New Roman"/>
                <w:sz w:val="20"/>
                <w:szCs w:val="20"/>
              </w:rPr>
            </w:pPr>
          </w:p>
        </w:tc>
      </w:tr>
      <w:tr w:rsidR="00000000" w14:paraId="1A81FE11" w14:textId="77777777">
        <w:trPr>
          <w:divId w:val="730621155"/>
          <w:jc w:val="center"/>
        </w:trPr>
        <w:tc>
          <w:tcPr>
            <w:tcW w:w="0" w:type="auto"/>
            <w:gridSpan w:val="3"/>
            <w:shd w:val="clear" w:color="auto" w:fill="CCEEFF"/>
            <w:tcMar>
              <w:top w:w="30" w:type="dxa"/>
              <w:left w:w="20" w:type="dxa"/>
              <w:bottom w:w="30" w:type="dxa"/>
              <w:right w:w="20" w:type="dxa"/>
            </w:tcMar>
            <w:vAlign w:val="bottom"/>
            <w:hideMark/>
          </w:tcPr>
          <w:p w14:paraId="653F2A07" w14:textId="77777777" w:rsidR="00000000" w:rsidRDefault="00195E73">
            <w:pPr>
              <w:rPr>
                <w:rFonts w:eastAsia="Times New Roman"/>
              </w:rPr>
            </w:pPr>
            <w:r>
              <w:rPr>
                <w:rFonts w:eastAsia="Times New Roman"/>
                <w:color w:val="000000"/>
                <w:sz w:val="20"/>
                <w:szCs w:val="20"/>
              </w:rPr>
              <w:t>Federal-Mogu</w:t>
            </w:r>
            <w:r>
              <w:rPr>
                <w:rFonts w:eastAsia="Times New Roman"/>
                <w:color w:val="000000"/>
                <w:sz w:val="20"/>
                <w:szCs w:val="20"/>
              </w:rPr>
              <w:t>l</w:t>
            </w:r>
          </w:p>
        </w:tc>
        <w:tc>
          <w:tcPr>
            <w:tcW w:w="0" w:type="auto"/>
            <w:shd w:val="clear" w:color="auto" w:fill="CCEEFF"/>
            <w:tcMar>
              <w:top w:w="30" w:type="dxa"/>
              <w:left w:w="20" w:type="dxa"/>
              <w:bottom w:w="30" w:type="dxa"/>
              <w:right w:w="15" w:type="dxa"/>
            </w:tcMar>
            <w:vAlign w:val="bottom"/>
            <w:hideMark/>
          </w:tcPr>
          <w:p w14:paraId="433C375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824EF68" w14:textId="77777777" w:rsidR="00000000" w:rsidRDefault="00195E73">
            <w:pPr>
              <w:jc w:val="right"/>
              <w:rPr>
                <w:rFonts w:eastAsia="Times New Roman"/>
              </w:rPr>
            </w:pPr>
            <w:r>
              <w:rPr>
                <w:rFonts w:eastAsia="Times New Roman"/>
                <w:color w:val="000000"/>
                <w:sz w:val="20"/>
                <w:szCs w:val="20"/>
              </w:rPr>
              <w:t>(263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C0155F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4B3E2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39BD66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C7BFEEA" w14:textId="77777777" w:rsidR="00000000" w:rsidRDefault="00195E73">
            <w:pPr>
              <w:jc w:val="right"/>
              <w:rPr>
                <w:rFonts w:eastAsia="Times New Roman"/>
              </w:rPr>
            </w:pPr>
            <w:r>
              <w:rPr>
                <w:rFonts w:eastAsia="Times New Roman"/>
                <w:color w:val="000000"/>
                <w:sz w:val="20"/>
                <w:szCs w:val="20"/>
              </w:rPr>
              <w:t>(370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BEF08E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C35AB6E" w14:textId="77777777" w:rsidR="00000000" w:rsidRDefault="00195E73">
            <w:pPr>
              <w:rPr>
                <w:rFonts w:eastAsia="Times New Roman"/>
                <w:sz w:val="20"/>
                <w:szCs w:val="20"/>
              </w:rPr>
            </w:pPr>
          </w:p>
        </w:tc>
        <w:tc>
          <w:tcPr>
            <w:tcW w:w="0" w:type="auto"/>
            <w:vAlign w:val="center"/>
            <w:hideMark/>
          </w:tcPr>
          <w:p w14:paraId="31FEA488" w14:textId="77777777" w:rsidR="00000000" w:rsidRDefault="00195E73">
            <w:pPr>
              <w:rPr>
                <w:rFonts w:eastAsia="Times New Roman"/>
                <w:sz w:val="20"/>
                <w:szCs w:val="20"/>
              </w:rPr>
            </w:pPr>
          </w:p>
        </w:tc>
        <w:tc>
          <w:tcPr>
            <w:tcW w:w="0" w:type="auto"/>
            <w:vAlign w:val="center"/>
            <w:hideMark/>
          </w:tcPr>
          <w:p w14:paraId="10FABBC4" w14:textId="77777777" w:rsidR="00000000" w:rsidRDefault="00195E73">
            <w:pPr>
              <w:rPr>
                <w:rFonts w:eastAsia="Times New Roman"/>
                <w:sz w:val="20"/>
                <w:szCs w:val="20"/>
              </w:rPr>
            </w:pPr>
          </w:p>
        </w:tc>
        <w:tc>
          <w:tcPr>
            <w:tcW w:w="0" w:type="auto"/>
            <w:vAlign w:val="center"/>
            <w:hideMark/>
          </w:tcPr>
          <w:p w14:paraId="7E02172E" w14:textId="77777777" w:rsidR="00000000" w:rsidRDefault="00195E73">
            <w:pPr>
              <w:rPr>
                <w:rFonts w:eastAsia="Times New Roman"/>
                <w:sz w:val="20"/>
                <w:szCs w:val="20"/>
              </w:rPr>
            </w:pPr>
          </w:p>
        </w:tc>
        <w:tc>
          <w:tcPr>
            <w:tcW w:w="0" w:type="auto"/>
            <w:vAlign w:val="center"/>
            <w:hideMark/>
          </w:tcPr>
          <w:p w14:paraId="31403CC4" w14:textId="77777777" w:rsidR="00000000" w:rsidRDefault="00195E73">
            <w:pPr>
              <w:rPr>
                <w:rFonts w:eastAsia="Times New Roman"/>
                <w:sz w:val="20"/>
                <w:szCs w:val="20"/>
              </w:rPr>
            </w:pPr>
          </w:p>
        </w:tc>
        <w:tc>
          <w:tcPr>
            <w:tcW w:w="0" w:type="auto"/>
            <w:vAlign w:val="center"/>
            <w:hideMark/>
          </w:tcPr>
          <w:p w14:paraId="08680B31" w14:textId="77777777" w:rsidR="00000000" w:rsidRDefault="00195E73">
            <w:pPr>
              <w:rPr>
                <w:rFonts w:eastAsia="Times New Roman"/>
                <w:sz w:val="20"/>
                <w:szCs w:val="20"/>
              </w:rPr>
            </w:pPr>
          </w:p>
        </w:tc>
      </w:tr>
      <w:tr w:rsidR="00000000" w14:paraId="47E6A995" w14:textId="77777777">
        <w:trPr>
          <w:divId w:val="730621155"/>
          <w:jc w:val="center"/>
        </w:trPr>
        <w:tc>
          <w:tcPr>
            <w:tcW w:w="0" w:type="auto"/>
            <w:gridSpan w:val="3"/>
            <w:shd w:val="clear" w:color="auto" w:fill="FFFFFF"/>
            <w:tcMar>
              <w:top w:w="30" w:type="dxa"/>
              <w:left w:w="20" w:type="dxa"/>
              <w:bottom w:w="30" w:type="dxa"/>
              <w:right w:w="20" w:type="dxa"/>
            </w:tcMar>
            <w:vAlign w:val="bottom"/>
            <w:hideMark/>
          </w:tcPr>
          <w:p w14:paraId="07FC8C8C" w14:textId="77777777" w:rsidR="00000000" w:rsidRDefault="00195E73">
            <w:pPr>
              <w:rPr>
                <w:rFonts w:eastAsia="Times New Roman"/>
              </w:rPr>
            </w:pPr>
            <w:r>
              <w:rPr>
                <w:rFonts w:eastAsia="Times New Roman"/>
                <w:color w:val="000000"/>
                <w:sz w:val="20"/>
                <w:szCs w:val="20"/>
              </w:rPr>
              <w:t>Tropican</w:t>
            </w:r>
            <w:r>
              <w:rPr>
                <w:rFonts w:eastAsia="Times New Roman"/>
                <w:color w:val="000000"/>
                <w:sz w:val="20"/>
                <w:szCs w:val="20"/>
              </w:rPr>
              <w:t>a</w:t>
            </w:r>
          </w:p>
        </w:tc>
        <w:tc>
          <w:tcPr>
            <w:tcW w:w="0" w:type="auto"/>
            <w:gridSpan w:val="2"/>
            <w:shd w:val="clear" w:color="auto" w:fill="FFFFFF"/>
            <w:tcMar>
              <w:top w:w="30" w:type="dxa"/>
              <w:left w:w="20" w:type="dxa"/>
              <w:bottom w:w="30" w:type="dxa"/>
              <w:right w:w="0" w:type="dxa"/>
            </w:tcMar>
            <w:vAlign w:val="bottom"/>
            <w:hideMark/>
          </w:tcPr>
          <w:p w14:paraId="7EA89D70" w14:textId="77777777" w:rsidR="00000000" w:rsidRDefault="00195E73">
            <w:pPr>
              <w:jc w:val="right"/>
              <w:rPr>
                <w:rFonts w:eastAsia="Times New Roman"/>
              </w:rPr>
            </w:pPr>
            <w:r>
              <w:rPr>
                <w:rFonts w:eastAsia="Times New Roman"/>
                <w:color w:val="000000"/>
                <w:sz w:val="20"/>
                <w:szCs w:val="20"/>
              </w:rPr>
              <w:t>(55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5ACD5F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298229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73E2DB" w14:textId="77777777" w:rsidR="00000000" w:rsidRDefault="00195E73">
            <w:pPr>
              <w:jc w:val="right"/>
              <w:rPr>
                <w:rFonts w:eastAsia="Times New Roman"/>
              </w:rPr>
            </w:pPr>
            <w:r>
              <w:rPr>
                <w:rFonts w:eastAsia="Times New Roman"/>
                <w:color w:val="000000"/>
                <w:sz w:val="20"/>
                <w:szCs w:val="20"/>
              </w:rPr>
              <w:t>(56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5D2C9E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29823F7" w14:textId="77777777" w:rsidR="00000000" w:rsidRDefault="00195E73">
            <w:pPr>
              <w:rPr>
                <w:rFonts w:eastAsia="Times New Roman"/>
                <w:sz w:val="20"/>
                <w:szCs w:val="20"/>
              </w:rPr>
            </w:pPr>
          </w:p>
        </w:tc>
        <w:tc>
          <w:tcPr>
            <w:tcW w:w="0" w:type="auto"/>
            <w:vAlign w:val="center"/>
            <w:hideMark/>
          </w:tcPr>
          <w:p w14:paraId="01A8A967" w14:textId="77777777" w:rsidR="00000000" w:rsidRDefault="00195E73">
            <w:pPr>
              <w:rPr>
                <w:rFonts w:eastAsia="Times New Roman"/>
                <w:sz w:val="20"/>
                <w:szCs w:val="20"/>
              </w:rPr>
            </w:pPr>
          </w:p>
        </w:tc>
        <w:tc>
          <w:tcPr>
            <w:tcW w:w="0" w:type="auto"/>
            <w:vAlign w:val="center"/>
            <w:hideMark/>
          </w:tcPr>
          <w:p w14:paraId="3E7792C2" w14:textId="77777777" w:rsidR="00000000" w:rsidRDefault="00195E73">
            <w:pPr>
              <w:rPr>
                <w:rFonts w:eastAsia="Times New Roman"/>
                <w:sz w:val="20"/>
                <w:szCs w:val="20"/>
              </w:rPr>
            </w:pPr>
          </w:p>
        </w:tc>
        <w:tc>
          <w:tcPr>
            <w:tcW w:w="0" w:type="auto"/>
            <w:vAlign w:val="center"/>
            <w:hideMark/>
          </w:tcPr>
          <w:p w14:paraId="0C45FB1E" w14:textId="77777777" w:rsidR="00000000" w:rsidRDefault="00195E73">
            <w:pPr>
              <w:rPr>
                <w:rFonts w:eastAsia="Times New Roman"/>
                <w:sz w:val="20"/>
                <w:szCs w:val="20"/>
              </w:rPr>
            </w:pPr>
          </w:p>
        </w:tc>
        <w:tc>
          <w:tcPr>
            <w:tcW w:w="0" w:type="auto"/>
            <w:vAlign w:val="center"/>
            <w:hideMark/>
          </w:tcPr>
          <w:p w14:paraId="73BF5648" w14:textId="77777777" w:rsidR="00000000" w:rsidRDefault="00195E73">
            <w:pPr>
              <w:rPr>
                <w:rFonts w:eastAsia="Times New Roman"/>
                <w:sz w:val="20"/>
                <w:szCs w:val="20"/>
              </w:rPr>
            </w:pPr>
          </w:p>
        </w:tc>
        <w:tc>
          <w:tcPr>
            <w:tcW w:w="0" w:type="auto"/>
            <w:vAlign w:val="center"/>
            <w:hideMark/>
          </w:tcPr>
          <w:p w14:paraId="0E5E04B1" w14:textId="77777777" w:rsidR="00000000" w:rsidRDefault="00195E73">
            <w:pPr>
              <w:rPr>
                <w:rFonts w:eastAsia="Times New Roman"/>
                <w:sz w:val="20"/>
                <w:szCs w:val="20"/>
              </w:rPr>
            </w:pPr>
          </w:p>
        </w:tc>
      </w:tr>
      <w:tr w:rsidR="00000000" w14:paraId="77CF8D21" w14:textId="77777777">
        <w:trPr>
          <w:divId w:val="730621155"/>
          <w:jc w:val="center"/>
        </w:trPr>
        <w:tc>
          <w:tcPr>
            <w:tcW w:w="0" w:type="auto"/>
            <w:gridSpan w:val="3"/>
            <w:shd w:val="clear" w:color="auto" w:fill="CCEEFF"/>
            <w:tcMar>
              <w:top w:w="30" w:type="dxa"/>
              <w:left w:w="20" w:type="dxa"/>
              <w:bottom w:w="30" w:type="dxa"/>
              <w:right w:w="20" w:type="dxa"/>
            </w:tcMar>
            <w:vAlign w:val="bottom"/>
            <w:hideMark/>
          </w:tcPr>
          <w:p w14:paraId="77048434" w14:textId="77777777" w:rsidR="00000000" w:rsidRDefault="00195E73">
            <w:pPr>
              <w:rPr>
                <w:rFonts w:eastAsia="Times New Roman"/>
              </w:rPr>
            </w:pPr>
            <w:r>
              <w:rPr>
                <w:rFonts w:eastAsia="Times New Roman"/>
                <w:color w:val="000000"/>
                <w:sz w:val="20"/>
                <w:szCs w:val="20"/>
              </w:rPr>
              <w:t>AR</w:t>
            </w:r>
            <w:r>
              <w:rPr>
                <w:rFonts w:eastAsia="Times New Roman"/>
                <w:color w:val="000000"/>
                <w:sz w:val="20"/>
                <w:szCs w:val="20"/>
              </w:rPr>
              <w:t>I</w:t>
            </w:r>
          </w:p>
        </w:tc>
        <w:tc>
          <w:tcPr>
            <w:tcW w:w="0" w:type="auto"/>
            <w:gridSpan w:val="2"/>
            <w:shd w:val="clear" w:color="auto" w:fill="CCEEFF"/>
            <w:tcMar>
              <w:top w:w="30" w:type="dxa"/>
              <w:left w:w="20" w:type="dxa"/>
              <w:bottom w:w="30" w:type="dxa"/>
              <w:right w:w="0" w:type="dxa"/>
            </w:tcMar>
            <w:vAlign w:val="bottom"/>
            <w:hideMark/>
          </w:tcPr>
          <w:p w14:paraId="0350BF3F" w14:textId="77777777" w:rsidR="00000000" w:rsidRDefault="00195E73">
            <w:pPr>
              <w:jc w:val="right"/>
              <w:rPr>
                <w:rFonts w:eastAsia="Times New Roman"/>
              </w:rPr>
            </w:pPr>
            <w:r>
              <w:rPr>
                <w:rFonts w:eastAsia="Times New Roman"/>
                <w:color w:val="000000"/>
                <w:sz w:val="20"/>
                <w:szCs w:val="20"/>
              </w:rPr>
              <w:t>(119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BC58D3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4C7025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B2D85F" w14:textId="77777777" w:rsidR="00000000" w:rsidRDefault="00195E73">
            <w:pPr>
              <w:jc w:val="right"/>
              <w:rPr>
                <w:rFonts w:eastAsia="Times New Roman"/>
              </w:rPr>
            </w:pPr>
            <w:r>
              <w:rPr>
                <w:rFonts w:eastAsia="Times New Roman"/>
                <w:color w:val="000000"/>
                <w:sz w:val="20"/>
                <w:szCs w:val="20"/>
              </w:rPr>
              <w:t>(154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52370A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BA69795" w14:textId="77777777" w:rsidR="00000000" w:rsidRDefault="00195E73">
            <w:pPr>
              <w:rPr>
                <w:rFonts w:eastAsia="Times New Roman"/>
                <w:sz w:val="20"/>
                <w:szCs w:val="20"/>
              </w:rPr>
            </w:pPr>
          </w:p>
        </w:tc>
        <w:tc>
          <w:tcPr>
            <w:tcW w:w="0" w:type="auto"/>
            <w:vAlign w:val="center"/>
            <w:hideMark/>
          </w:tcPr>
          <w:p w14:paraId="1111F6D7" w14:textId="77777777" w:rsidR="00000000" w:rsidRDefault="00195E73">
            <w:pPr>
              <w:rPr>
                <w:rFonts w:eastAsia="Times New Roman"/>
                <w:sz w:val="20"/>
                <w:szCs w:val="20"/>
              </w:rPr>
            </w:pPr>
          </w:p>
        </w:tc>
        <w:tc>
          <w:tcPr>
            <w:tcW w:w="0" w:type="auto"/>
            <w:vAlign w:val="center"/>
            <w:hideMark/>
          </w:tcPr>
          <w:p w14:paraId="7937430F" w14:textId="77777777" w:rsidR="00000000" w:rsidRDefault="00195E73">
            <w:pPr>
              <w:rPr>
                <w:rFonts w:eastAsia="Times New Roman"/>
                <w:sz w:val="20"/>
                <w:szCs w:val="20"/>
              </w:rPr>
            </w:pPr>
          </w:p>
        </w:tc>
        <w:tc>
          <w:tcPr>
            <w:tcW w:w="0" w:type="auto"/>
            <w:vAlign w:val="center"/>
            <w:hideMark/>
          </w:tcPr>
          <w:p w14:paraId="5814960D" w14:textId="77777777" w:rsidR="00000000" w:rsidRDefault="00195E73">
            <w:pPr>
              <w:rPr>
                <w:rFonts w:eastAsia="Times New Roman"/>
                <w:sz w:val="20"/>
                <w:szCs w:val="20"/>
              </w:rPr>
            </w:pPr>
          </w:p>
        </w:tc>
        <w:tc>
          <w:tcPr>
            <w:tcW w:w="0" w:type="auto"/>
            <w:vAlign w:val="center"/>
            <w:hideMark/>
          </w:tcPr>
          <w:p w14:paraId="28CD5773" w14:textId="77777777" w:rsidR="00000000" w:rsidRDefault="00195E73">
            <w:pPr>
              <w:rPr>
                <w:rFonts w:eastAsia="Times New Roman"/>
                <w:sz w:val="20"/>
                <w:szCs w:val="20"/>
              </w:rPr>
            </w:pPr>
          </w:p>
        </w:tc>
        <w:tc>
          <w:tcPr>
            <w:tcW w:w="0" w:type="auto"/>
            <w:vAlign w:val="center"/>
            <w:hideMark/>
          </w:tcPr>
          <w:p w14:paraId="68A0B1BD" w14:textId="77777777" w:rsidR="00000000" w:rsidRDefault="00195E73">
            <w:pPr>
              <w:rPr>
                <w:rFonts w:eastAsia="Times New Roman"/>
                <w:sz w:val="20"/>
                <w:szCs w:val="20"/>
              </w:rPr>
            </w:pPr>
          </w:p>
        </w:tc>
      </w:tr>
      <w:tr w:rsidR="00000000" w14:paraId="04CD013B" w14:textId="77777777">
        <w:trPr>
          <w:divId w:val="730621155"/>
          <w:jc w:val="center"/>
        </w:trPr>
        <w:tc>
          <w:tcPr>
            <w:tcW w:w="0" w:type="auto"/>
            <w:gridSpan w:val="3"/>
            <w:shd w:val="clear" w:color="auto" w:fill="FFFFFF"/>
            <w:tcMar>
              <w:top w:w="15" w:type="dxa"/>
              <w:left w:w="20" w:type="dxa"/>
              <w:bottom w:w="15" w:type="dxa"/>
              <w:right w:w="20" w:type="dxa"/>
            </w:tcMar>
            <w:vAlign w:val="bottom"/>
            <w:hideMark/>
          </w:tcPr>
          <w:p w14:paraId="70661349"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6FED1B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8C0B04D" w14:textId="77777777" w:rsidR="00000000" w:rsidRDefault="00195E73">
            <w:pPr>
              <w:jc w:val="right"/>
              <w:rPr>
                <w:rFonts w:eastAsia="Times New Roman"/>
              </w:rPr>
            </w:pPr>
            <w:r>
              <w:rPr>
                <w:rFonts w:eastAsia="Times New Roman"/>
                <w:color w:val="000000"/>
                <w:sz w:val="20"/>
                <w:szCs w:val="20"/>
              </w:rPr>
              <w:t>(437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3384AB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19853E2"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BD6DE6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D1F7621" w14:textId="77777777" w:rsidR="00000000" w:rsidRDefault="00195E73">
            <w:pPr>
              <w:jc w:val="right"/>
              <w:rPr>
                <w:rFonts w:eastAsia="Times New Roman"/>
              </w:rPr>
            </w:pPr>
            <w:r>
              <w:rPr>
                <w:rFonts w:eastAsia="Times New Roman"/>
                <w:color w:val="000000"/>
                <w:sz w:val="20"/>
                <w:szCs w:val="20"/>
              </w:rPr>
              <w:t>(580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B039FD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518ACE3" w14:textId="77777777" w:rsidR="00000000" w:rsidRDefault="00195E73">
            <w:pPr>
              <w:rPr>
                <w:rFonts w:eastAsia="Times New Roman"/>
                <w:sz w:val="20"/>
                <w:szCs w:val="20"/>
              </w:rPr>
            </w:pPr>
          </w:p>
        </w:tc>
        <w:tc>
          <w:tcPr>
            <w:tcW w:w="0" w:type="auto"/>
            <w:vAlign w:val="center"/>
            <w:hideMark/>
          </w:tcPr>
          <w:p w14:paraId="7EAD64DE" w14:textId="77777777" w:rsidR="00000000" w:rsidRDefault="00195E73">
            <w:pPr>
              <w:rPr>
                <w:rFonts w:eastAsia="Times New Roman"/>
                <w:sz w:val="20"/>
                <w:szCs w:val="20"/>
              </w:rPr>
            </w:pPr>
          </w:p>
        </w:tc>
        <w:tc>
          <w:tcPr>
            <w:tcW w:w="0" w:type="auto"/>
            <w:vAlign w:val="center"/>
            <w:hideMark/>
          </w:tcPr>
          <w:p w14:paraId="5D0381C5" w14:textId="77777777" w:rsidR="00000000" w:rsidRDefault="00195E73">
            <w:pPr>
              <w:rPr>
                <w:rFonts w:eastAsia="Times New Roman"/>
                <w:sz w:val="20"/>
                <w:szCs w:val="20"/>
              </w:rPr>
            </w:pPr>
          </w:p>
        </w:tc>
        <w:tc>
          <w:tcPr>
            <w:tcW w:w="0" w:type="auto"/>
            <w:vAlign w:val="center"/>
            <w:hideMark/>
          </w:tcPr>
          <w:p w14:paraId="6A965CC6" w14:textId="77777777" w:rsidR="00000000" w:rsidRDefault="00195E73">
            <w:pPr>
              <w:rPr>
                <w:rFonts w:eastAsia="Times New Roman"/>
                <w:sz w:val="20"/>
                <w:szCs w:val="20"/>
              </w:rPr>
            </w:pPr>
          </w:p>
        </w:tc>
        <w:tc>
          <w:tcPr>
            <w:tcW w:w="0" w:type="auto"/>
            <w:vAlign w:val="center"/>
            <w:hideMark/>
          </w:tcPr>
          <w:p w14:paraId="2571FB96" w14:textId="77777777" w:rsidR="00000000" w:rsidRDefault="00195E73">
            <w:pPr>
              <w:rPr>
                <w:rFonts w:eastAsia="Times New Roman"/>
                <w:sz w:val="20"/>
                <w:szCs w:val="20"/>
              </w:rPr>
            </w:pPr>
          </w:p>
        </w:tc>
        <w:tc>
          <w:tcPr>
            <w:tcW w:w="0" w:type="auto"/>
            <w:vAlign w:val="center"/>
            <w:hideMark/>
          </w:tcPr>
          <w:p w14:paraId="20CD734C" w14:textId="77777777" w:rsidR="00000000" w:rsidRDefault="00195E73">
            <w:pPr>
              <w:rPr>
                <w:rFonts w:eastAsia="Times New Roman"/>
                <w:sz w:val="20"/>
                <w:szCs w:val="20"/>
              </w:rPr>
            </w:pPr>
          </w:p>
        </w:tc>
      </w:tr>
      <w:tr w:rsidR="00000000" w14:paraId="58A9315D" w14:textId="77777777">
        <w:trPr>
          <w:divId w:val="730621155"/>
          <w:jc w:val="center"/>
        </w:trPr>
        <w:tc>
          <w:tcPr>
            <w:tcW w:w="0" w:type="auto"/>
            <w:gridSpan w:val="3"/>
            <w:shd w:val="clear" w:color="auto" w:fill="CCEEFF"/>
            <w:tcMar>
              <w:top w:w="30" w:type="dxa"/>
              <w:left w:w="20" w:type="dxa"/>
              <w:bottom w:w="30" w:type="dxa"/>
              <w:right w:w="20" w:type="dxa"/>
            </w:tcMar>
            <w:vAlign w:val="bottom"/>
            <w:hideMark/>
          </w:tcPr>
          <w:p w14:paraId="47B4E703" w14:textId="77777777" w:rsidR="00000000" w:rsidRDefault="00195E73">
            <w:pPr>
              <w:rPr>
                <w:rFonts w:eastAsia="Times New Roman"/>
              </w:rPr>
            </w:pPr>
            <w:r>
              <w:rPr>
                <w:rFonts w:eastAsia="Times New Roman"/>
                <w:b/>
                <w:bCs/>
                <w:color w:val="000000"/>
                <w:sz w:val="20"/>
                <w:szCs w:val="20"/>
              </w:rPr>
              <w:t>Financing Activities</w:t>
            </w:r>
            <w:r>
              <w:rPr>
                <w:rFonts w:eastAsia="Times New Roman"/>
                <w:b/>
                <w:bCs/>
                <w:color w:val="000000"/>
                <w:sz w:val="20"/>
                <w:szCs w:val="20"/>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20F28DF"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1A9FB121"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B5B08B7" w14:textId="77777777" w:rsidR="00000000" w:rsidRDefault="00195E73">
            <w:pPr>
              <w:rPr>
                <w:rFonts w:eastAsia="Times New Roman"/>
                <w:sz w:val="20"/>
                <w:szCs w:val="20"/>
              </w:rPr>
            </w:pPr>
          </w:p>
        </w:tc>
        <w:tc>
          <w:tcPr>
            <w:tcW w:w="0" w:type="auto"/>
            <w:vAlign w:val="center"/>
            <w:hideMark/>
          </w:tcPr>
          <w:p w14:paraId="6E6A617E" w14:textId="77777777" w:rsidR="00000000" w:rsidRDefault="00195E73">
            <w:pPr>
              <w:rPr>
                <w:rFonts w:eastAsia="Times New Roman"/>
                <w:sz w:val="20"/>
                <w:szCs w:val="20"/>
              </w:rPr>
            </w:pPr>
          </w:p>
        </w:tc>
        <w:tc>
          <w:tcPr>
            <w:tcW w:w="0" w:type="auto"/>
            <w:vAlign w:val="center"/>
            <w:hideMark/>
          </w:tcPr>
          <w:p w14:paraId="022B1949" w14:textId="77777777" w:rsidR="00000000" w:rsidRDefault="00195E73">
            <w:pPr>
              <w:rPr>
                <w:rFonts w:eastAsia="Times New Roman"/>
                <w:sz w:val="20"/>
                <w:szCs w:val="20"/>
              </w:rPr>
            </w:pPr>
          </w:p>
        </w:tc>
        <w:tc>
          <w:tcPr>
            <w:tcW w:w="0" w:type="auto"/>
            <w:vAlign w:val="center"/>
            <w:hideMark/>
          </w:tcPr>
          <w:p w14:paraId="4A75B865" w14:textId="77777777" w:rsidR="00000000" w:rsidRDefault="00195E73">
            <w:pPr>
              <w:rPr>
                <w:rFonts w:eastAsia="Times New Roman"/>
                <w:sz w:val="20"/>
                <w:szCs w:val="20"/>
              </w:rPr>
            </w:pPr>
          </w:p>
        </w:tc>
        <w:tc>
          <w:tcPr>
            <w:tcW w:w="0" w:type="auto"/>
            <w:vAlign w:val="center"/>
            <w:hideMark/>
          </w:tcPr>
          <w:p w14:paraId="212FE159" w14:textId="77777777" w:rsidR="00000000" w:rsidRDefault="00195E73">
            <w:pPr>
              <w:rPr>
                <w:rFonts w:eastAsia="Times New Roman"/>
                <w:sz w:val="20"/>
                <w:szCs w:val="20"/>
              </w:rPr>
            </w:pPr>
          </w:p>
        </w:tc>
        <w:tc>
          <w:tcPr>
            <w:tcW w:w="0" w:type="auto"/>
            <w:vAlign w:val="center"/>
            <w:hideMark/>
          </w:tcPr>
          <w:p w14:paraId="44E4D7F7" w14:textId="77777777" w:rsidR="00000000" w:rsidRDefault="00195E73">
            <w:pPr>
              <w:rPr>
                <w:rFonts w:eastAsia="Times New Roman"/>
                <w:sz w:val="20"/>
                <w:szCs w:val="20"/>
              </w:rPr>
            </w:pPr>
          </w:p>
        </w:tc>
        <w:tc>
          <w:tcPr>
            <w:tcW w:w="0" w:type="auto"/>
            <w:vAlign w:val="center"/>
            <w:hideMark/>
          </w:tcPr>
          <w:p w14:paraId="1A3E0742" w14:textId="77777777" w:rsidR="00000000" w:rsidRDefault="00195E73">
            <w:pPr>
              <w:rPr>
                <w:rFonts w:eastAsia="Times New Roman"/>
                <w:sz w:val="20"/>
                <w:szCs w:val="20"/>
              </w:rPr>
            </w:pPr>
          </w:p>
        </w:tc>
      </w:tr>
      <w:tr w:rsidR="00000000" w14:paraId="369E1E53" w14:textId="77777777">
        <w:trPr>
          <w:divId w:val="730621155"/>
          <w:jc w:val="center"/>
        </w:trPr>
        <w:tc>
          <w:tcPr>
            <w:tcW w:w="0" w:type="auto"/>
            <w:gridSpan w:val="3"/>
            <w:shd w:val="clear" w:color="auto" w:fill="FFFFFF"/>
            <w:tcMar>
              <w:top w:w="30" w:type="dxa"/>
              <w:left w:w="20" w:type="dxa"/>
              <w:bottom w:w="30" w:type="dxa"/>
              <w:right w:w="20" w:type="dxa"/>
            </w:tcMar>
            <w:vAlign w:val="bottom"/>
            <w:hideMark/>
          </w:tcPr>
          <w:p w14:paraId="6DD79413" w14:textId="77777777" w:rsidR="00000000" w:rsidRDefault="00195E73">
            <w:pPr>
              <w:rPr>
                <w:rFonts w:eastAsia="Times New Roman"/>
              </w:rPr>
            </w:pPr>
            <w:r>
              <w:rPr>
                <w:rFonts w:eastAsia="Times New Roman"/>
                <w:color w:val="000000"/>
                <w:sz w:val="20"/>
                <w:szCs w:val="20"/>
              </w:rPr>
              <w:t>Federal-Mogu</w:t>
            </w:r>
            <w:r>
              <w:rPr>
                <w:rFonts w:eastAsia="Times New Roman"/>
                <w:color w:val="000000"/>
                <w:sz w:val="20"/>
                <w:szCs w:val="20"/>
              </w:rPr>
              <w:t>l</w:t>
            </w:r>
          </w:p>
        </w:tc>
        <w:tc>
          <w:tcPr>
            <w:tcW w:w="0" w:type="auto"/>
            <w:shd w:val="clear" w:color="auto" w:fill="FFFFFF"/>
            <w:tcMar>
              <w:top w:w="30" w:type="dxa"/>
              <w:left w:w="20" w:type="dxa"/>
              <w:bottom w:w="30" w:type="dxa"/>
              <w:right w:w="15" w:type="dxa"/>
            </w:tcMar>
            <w:vAlign w:val="bottom"/>
            <w:hideMark/>
          </w:tcPr>
          <w:p w14:paraId="02588E33"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A53E038" w14:textId="77777777" w:rsidR="00000000" w:rsidRDefault="00195E73">
            <w:pPr>
              <w:jc w:val="right"/>
              <w:rPr>
                <w:rFonts w:eastAsia="Times New Roman"/>
              </w:rPr>
            </w:pPr>
            <w:r>
              <w:rPr>
                <w:rFonts w:eastAsia="Times New Roman"/>
                <w:color w:val="000000"/>
                <w:sz w:val="20"/>
                <w:szCs w:val="20"/>
              </w:rPr>
              <w:t>(56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ECD85D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D9423C8"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72D7C9C"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712350E" w14:textId="77777777" w:rsidR="00000000" w:rsidRDefault="00195E73">
            <w:pPr>
              <w:jc w:val="right"/>
              <w:rPr>
                <w:rFonts w:eastAsia="Times New Roman"/>
              </w:rPr>
            </w:pPr>
            <w:r>
              <w:rPr>
                <w:rFonts w:eastAsia="Times New Roman"/>
                <w:color w:val="000000"/>
                <w:sz w:val="20"/>
                <w:szCs w:val="20"/>
              </w:rPr>
              <w:t>(35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08A1F6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DE34034" w14:textId="77777777" w:rsidR="00000000" w:rsidRDefault="00195E73">
            <w:pPr>
              <w:rPr>
                <w:rFonts w:eastAsia="Times New Roman"/>
                <w:sz w:val="20"/>
                <w:szCs w:val="20"/>
              </w:rPr>
            </w:pPr>
          </w:p>
        </w:tc>
        <w:tc>
          <w:tcPr>
            <w:tcW w:w="0" w:type="auto"/>
            <w:vAlign w:val="center"/>
            <w:hideMark/>
          </w:tcPr>
          <w:p w14:paraId="7222F4E9" w14:textId="77777777" w:rsidR="00000000" w:rsidRDefault="00195E73">
            <w:pPr>
              <w:rPr>
                <w:rFonts w:eastAsia="Times New Roman"/>
                <w:sz w:val="20"/>
                <w:szCs w:val="20"/>
              </w:rPr>
            </w:pPr>
          </w:p>
        </w:tc>
        <w:tc>
          <w:tcPr>
            <w:tcW w:w="0" w:type="auto"/>
            <w:vAlign w:val="center"/>
            <w:hideMark/>
          </w:tcPr>
          <w:p w14:paraId="421A8FAC" w14:textId="77777777" w:rsidR="00000000" w:rsidRDefault="00195E73">
            <w:pPr>
              <w:rPr>
                <w:rFonts w:eastAsia="Times New Roman"/>
                <w:sz w:val="20"/>
                <w:szCs w:val="20"/>
              </w:rPr>
            </w:pPr>
          </w:p>
        </w:tc>
        <w:tc>
          <w:tcPr>
            <w:tcW w:w="0" w:type="auto"/>
            <w:vAlign w:val="center"/>
            <w:hideMark/>
          </w:tcPr>
          <w:p w14:paraId="10068B3C" w14:textId="77777777" w:rsidR="00000000" w:rsidRDefault="00195E73">
            <w:pPr>
              <w:rPr>
                <w:rFonts w:eastAsia="Times New Roman"/>
                <w:sz w:val="20"/>
                <w:szCs w:val="20"/>
              </w:rPr>
            </w:pPr>
          </w:p>
        </w:tc>
        <w:tc>
          <w:tcPr>
            <w:tcW w:w="0" w:type="auto"/>
            <w:vAlign w:val="center"/>
            <w:hideMark/>
          </w:tcPr>
          <w:p w14:paraId="661836CA" w14:textId="77777777" w:rsidR="00000000" w:rsidRDefault="00195E73">
            <w:pPr>
              <w:rPr>
                <w:rFonts w:eastAsia="Times New Roman"/>
                <w:sz w:val="20"/>
                <w:szCs w:val="20"/>
              </w:rPr>
            </w:pPr>
          </w:p>
        </w:tc>
        <w:tc>
          <w:tcPr>
            <w:tcW w:w="0" w:type="auto"/>
            <w:vAlign w:val="center"/>
            <w:hideMark/>
          </w:tcPr>
          <w:p w14:paraId="49FAD3DA" w14:textId="77777777" w:rsidR="00000000" w:rsidRDefault="00195E73">
            <w:pPr>
              <w:rPr>
                <w:rFonts w:eastAsia="Times New Roman"/>
                <w:sz w:val="20"/>
                <w:szCs w:val="20"/>
              </w:rPr>
            </w:pPr>
          </w:p>
        </w:tc>
      </w:tr>
      <w:tr w:rsidR="00000000" w14:paraId="3613872A" w14:textId="77777777">
        <w:trPr>
          <w:divId w:val="730621155"/>
          <w:jc w:val="center"/>
        </w:trPr>
        <w:tc>
          <w:tcPr>
            <w:tcW w:w="0" w:type="auto"/>
            <w:gridSpan w:val="3"/>
            <w:shd w:val="clear" w:color="auto" w:fill="CCEEFF"/>
            <w:tcMar>
              <w:top w:w="30" w:type="dxa"/>
              <w:left w:w="20" w:type="dxa"/>
              <w:bottom w:w="30" w:type="dxa"/>
              <w:right w:w="20" w:type="dxa"/>
            </w:tcMar>
            <w:vAlign w:val="bottom"/>
            <w:hideMark/>
          </w:tcPr>
          <w:p w14:paraId="6AFE1E9B" w14:textId="77777777" w:rsidR="00000000" w:rsidRDefault="00195E73">
            <w:pPr>
              <w:rPr>
                <w:rFonts w:eastAsia="Times New Roman"/>
              </w:rPr>
            </w:pPr>
            <w:r>
              <w:rPr>
                <w:rFonts w:eastAsia="Times New Roman"/>
                <w:color w:val="000000"/>
                <w:sz w:val="20"/>
                <w:szCs w:val="20"/>
              </w:rPr>
              <w:t>Tropican</w:t>
            </w:r>
            <w:r>
              <w:rPr>
                <w:rFonts w:eastAsia="Times New Roman"/>
                <w:color w:val="000000"/>
                <w:sz w:val="20"/>
                <w:szCs w:val="20"/>
              </w:rPr>
              <w:t>a</w:t>
            </w:r>
          </w:p>
        </w:tc>
        <w:tc>
          <w:tcPr>
            <w:tcW w:w="0" w:type="auto"/>
            <w:gridSpan w:val="2"/>
            <w:shd w:val="clear" w:color="auto" w:fill="CCEEFF"/>
            <w:tcMar>
              <w:top w:w="30" w:type="dxa"/>
              <w:left w:w="20" w:type="dxa"/>
              <w:bottom w:w="30" w:type="dxa"/>
              <w:right w:w="0" w:type="dxa"/>
            </w:tcMar>
            <w:vAlign w:val="bottom"/>
            <w:hideMark/>
          </w:tcPr>
          <w:p w14:paraId="31E912F3" w14:textId="77777777" w:rsidR="00000000" w:rsidRDefault="00195E73">
            <w:pPr>
              <w:jc w:val="right"/>
              <w:rPr>
                <w:rFonts w:eastAsia="Times New Roman"/>
              </w:rPr>
            </w:pPr>
            <w:r>
              <w:rPr>
                <w:rFonts w:eastAsia="Times New Roman"/>
                <w:color w:val="000000"/>
                <w:sz w:val="20"/>
                <w:szCs w:val="20"/>
              </w:rPr>
              <w:t>(75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588CAD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BD9AC4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B2553D" w14:textId="77777777" w:rsidR="00000000" w:rsidRDefault="00195E73">
            <w:pPr>
              <w:jc w:val="right"/>
              <w:rPr>
                <w:rFonts w:eastAsia="Times New Roman"/>
              </w:rPr>
            </w:pPr>
            <w:r>
              <w:rPr>
                <w:rFonts w:eastAsia="Times New Roman"/>
                <w:color w:val="000000"/>
                <w:sz w:val="20"/>
                <w:szCs w:val="20"/>
              </w:rPr>
              <w:t>(188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C7CE95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F1082D2" w14:textId="77777777" w:rsidR="00000000" w:rsidRDefault="00195E73">
            <w:pPr>
              <w:rPr>
                <w:rFonts w:eastAsia="Times New Roman"/>
                <w:sz w:val="20"/>
                <w:szCs w:val="20"/>
              </w:rPr>
            </w:pPr>
          </w:p>
        </w:tc>
        <w:tc>
          <w:tcPr>
            <w:tcW w:w="0" w:type="auto"/>
            <w:vAlign w:val="center"/>
            <w:hideMark/>
          </w:tcPr>
          <w:p w14:paraId="3777B8C9" w14:textId="77777777" w:rsidR="00000000" w:rsidRDefault="00195E73">
            <w:pPr>
              <w:rPr>
                <w:rFonts w:eastAsia="Times New Roman"/>
                <w:sz w:val="20"/>
                <w:szCs w:val="20"/>
              </w:rPr>
            </w:pPr>
          </w:p>
        </w:tc>
        <w:tc>
          <w:tcPr>
            <w:tcW w:w="0" w:type="auto"/>
            <w:vAlign w:val="center"/>
            <w:hideMark/>
          </w:tcPr>
          <w:p w14:paraId="06F8D2A9" w14:textId="77777777" w:rsidR="00000000" w:rsidRDefault="00195E73">
            <w:pPr>
              <w:rPr>
                <w:rFonts w:eastAsia="Times New Roman"/>
                <w:sz w:val="20"/>
                <w:szCs w:val="20"/>
              </w:rPr>
            </w:pPr>
          </w:p>
        </w:tc>
        <w:tc>
          <w:tcPr>
            <w:tcW w:w="0" w:type="auto"/>
            <w:vAlign w:val="center"/>
            <w:hideMark/>
          </w:tcPr>
          <w:p w14:paraId="12B6567E" w14:textId="77777777" w:rsidR="00000000" w:rsidRDefault="00195E73">
            <w:pPr>
              <w:rPr>
                <w:rFonts w:eastAsia="Times New Roman"/>
                <w:sz w:val="20"/>
                <w:szCs w:val="20"/>
              </w:rPr>
            </w:pPr>
          </w:p>
        </w:tc>
        <w:tc>
          <w:tcPr>
            <w:tcW w:w="0" w:type="auto"/>
            <w:vAlign w:val="center"/>
            <w:hideMark/>
          </w:tcPr>
          <w:p w14:paraId="7820E2FB" w14:textId="77777777" w:rsidR="00000000" w:rsidRDefault="00195E73">
            <w:pPr>
              <w:rPr>
                <w:rFonts w:eastAsia="Times New Roman"/>
                <w:sz w:val="20"/>
                <w:szCs w:val="20"/>
              </w:rPr>
            </w:pPr>
          </w:p>
        </w:tc>
        <w:tc>
          <w:tcPr>
            <w:tcW w:w="0" w:type="auto"/>
            <w:vAlign w:val="center"/>
            <w:hideMark/>
          </w:tcPr>
          <w:p w14:paraId="20B0B4C4" w14:textId="77777777" w:rsidR="00000000" w:rsidRDefault="00195E73">
            <w:pPr>
              <w:rPr>
                <w:rFonts w:eastAsia="Times New Roman"/>
                <w:sz w:val="20"/>
                <w:szCs w:val="20"/>
              </w:rPr>
            </w:pPr>
          </w:p>
        </w:tc>
      </w:tr>
      <w:tr w:rsidR="00000000" w14:paraId="1BB002CC" w14:textId="77777777">
        <w:trPr>
          <w:divId w:val="730621155"/>
          <w:jc w:val="center"/>
        </w:trPr>
        <w:tc>
          <w:tcPr>
            <w:tcW w:w="0" w:type="auto"/>
            <w:gridSpan w:val="3"/>
            <w:shd w:val="clear" w:color="auto" w:fill="FFFFFF"/>
            <w:tcMar>
              <w:top w:w="30" w:type="dxa"/>
              <w:left w:w="20" w:type="dxa"/>
              <w:bottom w:w="30" w:type="dxa"/>
              <w:right w:w="20" w:type="dxa"/>
            </w:tcMar>
            <w:vAlign w:val="bottom"/>
            <w:hideMark/>
          </w:tcPr>
          <w:p w14:paraId="2635266F" w14:textId="77777777" w:rsidR="00000000" w:rsidRDefault="00195E73">
            <w:pPr>
              <w:rPr>
                <w:rFonts w:eastAsia="Times New Roman"/>
              </w:rPr>
            </w:pPr>
            <w:r>
              <w:rPr>
                <w:rFonts w:eastAsia="Times New Roman"/>
                <w:color w:val="000000"/>
                <w:sz w:val="20"/>
                <w:szCs w:val="20"/>
              </w:rPr>
              <w:t>AR</w:t>
            </w:r>
            <w:r>
              <w:rPr>
                <w:rFonts w:eastAsia="Times New Roman"/>
                <w:color w:val="000000"/>
                <w:sz w:val="20"/>
                <w:szCs w:val="20"/>
              </w:rPr>
              <w:t>I</w:t>
            </w:r>
          </w:p>
        </w:tc>
        <w:tc>
          <w:tcPr>
            <w:tcW w:w="0" w:type="auto"/>
            <w:gridSpan w:val="2"/>
            <w:shd w:val="clear" w:color="auto" w:fill="FFFFFF"/>
            <w:tcMar>
              <w:top w:w="30" w:type="dxa"/>
              <w:left w:w="20" w:type="dxa"/>
              <w:bottom w:w="30" w:type="dxa"/>
              <w:right w:w="0" w:type="dxa"/>
            </w:tcMar>
            <w:vAlign w:val="bottom"/>
            <w:hideMark/>
          </w:tcPr>
          <w:p w14:paraId="6010316F" w14:textId="77777777" w:rsidR="00000000" w:rsidRDefault="00195E73">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845699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9F149E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AE1B82" w14:textId="77777777" w:rsidR="00000000" w:rsidRDefault="00195E73">
            <w:pPr>
              <w:jc w:val="right"/>
              <w:rPr>
                <w:rFonts w:eastAsia="Times New Roman"/>
              </w:rPr>
            </w:pPr>
            <w:r>
              <w:rPr>
                <w:rFonts w:eastAsia="Times New Roman"/>
                <w:color w:val="000000"/>
                <w:sz w:val="20"/>
                <w:szCs w:val="20"/>
              </w:rPr>
              <w:t>(38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A62213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1A136C4" w14:textId="77777777" w:rsidR="00000000" w:rsidRDefault="00195E73">
            <w:pPr>
              <w:rPr>
                <w:rFonts w:eastAsia="Times New Roman"/>
                <w:sz w:val="20"/>
                <w:szCs w:val="20"/>
              </w:rPr>
            </w:pPr>
          </w:p>
        </w:tc>
        <w:tc>
          <w:tcPr>
            <w:tcW w:w="0" w:type="auto"/>
            <w:vAlign w:val="center"/>
            <w:hideMark/>
          </w:tcPr>
          <w:p w14:paraId="20BEB361" w14:textId="77777777" w:rsidR="00000000" w:rsidRDefault="00195E73">
            <w:pPr>
              <w:rPr>
                <w:rFonts w:eastAsia="Times New Roman"/>
                <w:sz w:val="20"/>
                <w:szCs w:val="20"/>
              </w:rPr>
            </w:pPr>
          </w:p>
        </w:tc>
        <w:tc>
          <w:tcPr>
            <w:tcW w:w="0" w:type="auto"/>
            <w:vAlign w:val="center"/>
            <w:hideMark/>
          </w:tcPr>
          <w:p w14:paraId="4EF4503A" w14:textId="77777777" w:rsidR="00000000" w:rsidRDefault="00195E73">
            <w:pPr>
              <w:rPr>
                <w:rFonts w:eastAsia="Times New Roman"/>
                <w:sz w:val="20"/>
                <w:szCs w:val="20"/>
              </w:rPr>
            </w:pPr>
          </w:p>
        </w:tc>
        <w:tc>
          <w:tcPr>
            <w:tcW w:w="0" w:type="auto"/>
            <w:vAlign w:val="center"/>
            <w:hideMark/>
          </w:tcPr>
          <w:p w14:paraId="0DB6AB0F" w14:textId="77777777" w:rsidR="00000000" w:rsidRDefault="00195E73">
            <w:pPr>
              <w:rPr>
                <w:rFonts w:eastAsia="Times New Roman"/>
                <w:sz w:val="20"/>
                <w:szCs w:val="20"/>
              </w:rPr>
            </w:pPr>
          </w:p>
        </w:tc>
        <w:tc>
          <w:tcPr>
            <w:tcW w:w="0" w:type="auto"/>
            <w:vAlign w:val="center"/>
            <w:hideMark/>
          </w:tcPr>
          <w:p w14:paraId="33CD227C" w14:textId="77777777" w:rsidR="00000000" w:rsidRDefault="00195E73">
            <w:pPr>
              <w:rPr>
                <w:rFonts w:eastAsia="Times New Roman"/>
                <w:sz w:val="20"/>
                <w:szCs w:val="20"/>
              </w:rPr>
            </w:pPr>
          </w:p>
        </w:tc>
        <w:tc>
          <w:tcPr>
            <w:tcW w:w="0" w:type="auto"/>
            <w:vAlign w:val="center"/>
            <w:hideMark/>
          </w:tcPr>
          <w:p w14:paraId="5FB0C630" w14:textId="77777777" w:rsidR="00000000" w:rsidRDefault="00195E73">
            <w:pPr>
              <w:rPr>
                <w:rFonts w:eastAsia="Times New Roman"/>
                <w:sz w:val="20"/>
                <w:szCs w:val="20"/>
              </w:rPr>
            </w:pPr>
          </w:p>
        </w:tc>
      </w:tr>
      <w:tr w:rsidR="00000000" w14:paraId="43B3ACCB" w14:textId="77777777">
        <w:trPr>
          <w:divId w:val="730621155"/>
          <w:jc w:val="center"/>
        </w:trPr>
        <w:tc>
          <w:tcPr>
            <w:tcW w:w="0" w:type="auto"/>
            <w:gridSpan w:val="3"/>
            <w:shd w:val="clear" w:color="auto" w:fill="CCEEFF"/>
            <w:tcMar>
              <w:top w:w="30" w:type="dxa"/>
              <w:left w:w="20" w:type="dxa"/>
              <w:bottom w:w="30" w:type="dxa"/>
              <w:right w:w="20" w:type="dxa"/>
            </w:tcMar>
            <w:vAlign w:val="bottom"/>
            <w:hideMark/>
          </w:tcPr>
          <w:p w14:paraId="4A67FA0A" w14:textId="77777777" w:rsidR="00000000" w:rsidRDefault="00195E73">
            <w:pPr>
              <w:rPr>
                <w:rFonts w:eastAsia="Times New Roman"/>
              </w:rPr>
            </w:pPr>
            <w:r>
              <w:rPr>
                <w:rFonts w:eastAsia="Times New Roman"/>
                <w:color w:val="000000"/>
                <w:sz w:val="20"/>
                <w:szCs w:val="20"/>
              </w:rPr>
              <w:t>Net contributions from (distributions to) Holding Compan</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11F038BD" w14:textId="77777777" w:rsidR="00000000" w:rsidRDefault="00195E73">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7BD5BB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6753A8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5310DB" w14:textId="77777777" w:rsidR="00000000" w:rsidRDefault="00195E73">
            <w:pPr>
              <w:jc w:val="right"/>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FBA63C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C935277" w14:textId="77777777" w:rsidR="00000000" w:rsidRDefault="00195E73">
            <w:pPr>
              <w:rPr>
                <w:rFonts w:eastAsia="Times New Roman"/>
                <w:sz w:val="20"/>
                <w:szCs w:val="20"/>
              </w:rPr>
            </w:pPr>
          </w:p>
        </w:tc>
        <w:tc>
          <w:tcPr>
            <w:tcW w:w="0" w:type="auto"/>
            <w:vAlign w:val="center"/>
            <w:hideMark/>
          </w:tcPr>
          <w:p w14:paraId="2ACF727A" w14:textId="77777777" w:rsidR="00000000" w:rsidRDefault="00195E73">
            <w:pPr>
              <w:rPr>
                <w:rFonts w:eastAsia="Times New Roman"/>
                <w:sz w:val="20"/>
                <w:szCs w:val="20"/>
              </w:rPr>
            </w:pPr>
          </w:p>
        </w:tc>
        <w:tc>
          <w:tcPr>
            <w:tcW w:w="0" w:type="auto"/>
            <w:vAlign w:val="center"/>
            <w:hideMark/>
          </w:tcPr>
          <w:p w14:paraId="73678497" w14:textId="77777777" w:rsidR="00000000" w:rsidRDefault="00195E73">
            <w:pPr>
              <w:rPr>
                <w:rFonts w:eastAsia="Times New Roman"/>
                <w:sz w:val="20"/>
                <w:szCs w:val="20"/>
              </w:rPr>
            </w:pPr>
          </w:p>
        </w:tc>
        <w:tc>
          <w:tcPr>
            <w:tcW w:w="0" w:type="auto"/>
            <w:vAlign w:val="center"/>
            <w:hideMark/>
          </w:tcPr>
          <w:p w14:paraId="65567FA0" w14:textId="77777777" w:rsidR="00000000" w:rsidRDefault="00195E73">
            <w:pPr>
              <w:rPr>
                <w:rFonts w:eastAsia="Times New Roman"/>
                <w:sz w:val="20"/>
                <w:szCs w:val="20"/>
              </w:rPr>
            </w:pPr>
          </w:p>
        </w:tc>
        <w:tc>
          <w:tcPr>
            <w:tcW w:w="0" w:type="auto"/>
            <w:vAlign w:val="center"/>
            <w:hideMark/>
          </w:tcPr>
          <w:p w14:paraId="426B172F" w14:textId="77777777" w:rsidR="00000000" w:rsidRDefault="00195E73">
            <w:pPr>
              <w:rPr>
                <w:rFonts w:eastAsia="Times New Roman"/>
                <w:sz w:val="20"/>
                <w:szCs w:val="20"/>
              </w:rPr>
            </w:pPr>
          </w:p>
        </w:tc>
        <w:tc>
          <w:tcPr>
            <w:tcW w:w="0" w:type="auto"/>
            <w:vAlign w:val="center"/>
            <w:hideMark/>
          </w:tcPr>
          <w:p w14:paraId="21653BCB" w14:textId="77777777" w:rsidR="00000000" w:rsidRDefault="00195E73">
            <w:pPr>
              <w:rPr>
                <w:rFonts w:eastAsia="Times New Roman"/>
                <w:sz w:val="20"/>
                <w:szCs w:val="20"/>
              </w:rPr>
            </w:pPr>
          </w:p>
        </w:tc>
      </w:tr>
      <w:tr w:rsidR="00000000" w14:paraId="0E694D3F" w14:textId="77777777">
        <w:trPr>
          <w:divId w:val="730621155"/>
          <w:jc w:val="center"/>
        </w:trPr>
        <w:tc>
          <w:tcPr>
            <w:tcW w:w="0" w:type="auto"/>
            <w:gridSpan w:val="3"/>
            <w:shd w:val="clear" w:color="auto" w:fill="FFFFFF"/>
            <w:tcMar>
              <w:top w:w="15" w:type="dxa"/>
              <w:left w:w="20" w:type="dxa"/>
              <w:bottom w:w="15" w:type="dxa"/>
              <w:right w:w="20" w:type="dxa"/>
            </w:tcMar>
            <w:vAlign w:val="bottom"/>
            <w:hideMark/>
          </w:tcPr>
          <w:p w14:paraId="5EF8BD9D"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78F100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6665D72" w14:textId="77777777" w:rsidR="00000000" w:rsidRDefault="00195E73">
            <w:pPr>
              <w:jc w:val="right"/>
              <w:rPr>
                <w:rFonts w:eastAsia="Times New Roman"/>
              </w:rPr>
            </w:pPr>
            <w:r>
              <w:rPr>
                <w:rFonts w:eastAsia="Times New Roman"/>
                <w:color w:val="000000"/>
                <w:sz w:val="20"/>
                <w:szCs w:val="20"/>
              </w:rPr>
              <w:t>(121</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01B98C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DC11D99"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4997AF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F0FC787" w14:textId="77777777" w:rsidR="00000000" w:rsidRDefault="00195E73">
            <w:pPr>
              <w:jc w:val="right"/>
              <w:rPr>
                <w:rFonts w:eastAsia="Times New Roman"/>
              </w:rPr>
            </w:pPr>
            <w:r>
              <w:rPr>
                <w:rFonts w:eastAsia="Times New Roman"/>
                <w:color w:val="000000"/>
                <w:sz w:val="20"/>
                <w:szCs w:val="20"/>
              </w:rPr>
              <w:t>(280</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B663F7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C9C8AC5" w14:textId="77777777" w:rsidR="00000000" w:rsidRDefault="00195E73">
            <w:pPr>
              <w:rPr>
                <w:rFonts w:eastAsia="Times New Roman"/>
                <w:sz w:val="20"/>
                <w:szCs w:val="20"/>
              </w:rPr>
            </w:pPr>
          </w:p>
        </w:tc>
        <w:tc>
          <w:tcPr>
            <w:tcW w:w="0" w:type="auto"/>
            <w:vAlign w:val="center"/>
            <w:hideMark/>
          </w:tcPr>
          <w:p w14:paraId="4C8494A9" w14:textId="77777777" w:rsidR="00000000" w:rsidRDefault="00195E73">
            <w:pPr>
              <w:rPr>
                <w:rFonts w:eastAsia="Times New Roman"/>
                <w:sz w:val="20"/>
                <w:szCs w:val="20"/>
              </w:rPr>
            </w:pPr>
          </w:p>
        </w:tc>
        <w:tc>
          <w:tcPr>
            <w:tcW w:w="0" w:type="auto"/>
            <w:vAlign w:val="center"/>
            <w:hideMark/>
          </w:tcPr>
          <w:p w14:paraId="15480338" w14:textId="77777777" w:rsidR="00000000" w:rsidRDefault="00195E73">
            <w:pPr>
              <w:rPr>
                <w:rFonts w:eastAsia="Times New Roman"/>
                <w:sz w:val="20"/>
                <w:szCs w:val="20"/>
              </w:rPr>
            </w:pPr>
          </w:p>
        </w:tc>
        <w:tc>
          <w:tcPr>
            <w:tcW w:w="0" w:type="auto"/>
            <w:vAlign w:val="center"/>
            <w:hideMark/>
          </w:tcPr>
          <w:p w14:paraId="06B03D6F" w14:textId="77777777" w:rsidR="00000000" w:rsidRDefault="00195E73">
            <w:pPr>
              <w:rPr>
                <w:rFonts w:eastAsia="Times New Roman"/>
                <w:sz w:val="20"/>
                <w:szCs w:val="20"/>
              </w:rPr>
            </w:pPr>
          </w:p>
        </w:tc>
        <w:tc>
          <w:tcPr>
            <w:tcW w:w="0" w:type="auto"/>
            <w:vAlign w:val="center"/>
            <w:hideMark/>
          </w:tcPr>
          <w:p w14:paraId="323186BE" w14:textId="77777777" w:rsidR="00000000" w:rsidRDefault="00195E73">
            <w:pPr>
              <w:rPr>
                <w:rFonts w:eastAsia="Times New Roman"/>
                <w:sz w:val="20"/>
                <w:szCs w:val="20"/>
              </w:rPr>
            </w:pPr>
          </w:p>
        </w:tc>
        <w:tc>
          <w:tcPr>
            <w:tcW w:w="0" w:type="auto"/>
            <w:vAlign w:val="center"/>
            <w:hideMark/>
          </w:tcPr>
          <w:p w14:paraId="310B0270" w14:textId="77777777" w:rsidR="00000000" w:rsidRDefault="00195E73">
            <w:pPr>
              <w:rPr>
                <w:rFonts w:eastAsia="Times New Roman"/>
                <w:sz w:val="20"/>
                <w:szCs w:val="20"/>
              </w:rPr>
            </w:pPr>
          </w:p>
        </w:tc>
      </w:tr>
    </w:tbl>
    <w:p w14:paraId="78C51318" w14:textId="77777777" w:rsidR="00000000" w:rsidRDefault="00195E73">
      <w:pPr>
        <w:divId w:val="41710658"/>
        <w:rPr>
          <w:rFonts w:eastAsia="Times New Roman"/>
        </w:rPr>
      </w:pPr>
    </w:p>
    <w:p w14:paraId="3B7A7C2D" w14:textId="77777777" w:rsidR="00000000" w:rsidRDefault="00195E73">
      <w:pPr>
        <w:jc w:val="center"/>
        <w:divId w:val="1081022778"/>
        <w:rPr>
          <w:rFonts w:eastAsia="Times New Roman"/>
        </w:rPr>
      </w:pPr>
      <w:r>
        <w:rPr>
          <w:rFonts w:eastAsia="Times New Roman"/>
          <w:color w:val="000000"/>
          <w:sz w:val="20"/>
          <w:szCs w:val="20"/>
        </w:rPr>
        <w:t>4</w:t>
      </w:r>
      <w:r>
        <w:rPr>
          <w:rFonts w:eastAsia="Times New Roman"/>
          <w:color w:val="000000"/>
          <w:sz w:val="20"/>
          <w:szCs w:val="20"/>
        </w:rPr>
        <w:t>5</w:t>
      </w:r>
    </w:p>
    <w:p w14:paraId="64FA98F2" w14:textId="77777777" w:rsidR="00000000" w:rsidRDefault="00195E73">
      <w:pPr>
        <w:rPr>
          <w:rFonts w:eastAsia="Times New Roman"/>
        </w:rPr>
      </w:pPr>
      <w:r>
        <w:rPr>
          <w:rFonts w:eastAsia="Times New Roman"/>
        </w:rPr>
        <w:pict w14:anchorId="4B3890A5">
          <v:rect id="_x0000_i1071" style="width:0;height:1.5pt" o:hralign="center" o:hrstd="t" o:hr="t" fillcolor="#a0a0a0" stroked="f"/>
        </w:pict>
      </w:r>
    </w:p>
    <w:p w14:paraId="7CCA6A81" w14:textId="77777777" w:rsidR="00000000" w:rsidRDefault="00195E73">
      <w:pPr>
        <w:divId w:val="555704000"/>
        <w:rPr>
          <w:rFonts w:eastAsia="Times New Roman"/>
        </w:rPr>
      </w:pPr>
    </w:p>
    <w:p w14:paraId="7C64DAF5" w14:textId="77777777" w:rsidR="00000000" w:rsidRDefault="00195E73">
      <w:pPr>
        <w:divId w:val="15471486"/>
        <w:rPr>
          <w:rFonts w:eastAsia="Times New Roman"/>
        </w:rPr>
      </w:pPr>
      <w:r>
        <w:rPr>
          <w:rFonts w:eastAsia="Times New Roman"/>
          <w:b/>
          <w:bCs/>
          <w:i/>
          <w:iCs/>
          <w:color w:val="000000"/>
          <w:sz w:val="20"/>
          <w:szCs w:val="20"/>
        </w:rPr>
        <w:t>Consolidated Capital Spendin</w:t>
      </w:r>
      <w:r>
        <w:rPr>
          <w:rFonts w:eastAsia="Times New Roman"/>
          <w:b/>
          <w:bCs/>
          <w:i/>
          <w:iCs/>
          <w:color w:val="000000"/>
          <w:sz w:val="20"/>
          <w:szCs w:val="20"/>
        </w:rPr>
        <w:t>g</w:t>
      </w:r>
    </w:p>
    <w:p w14:paraId="4430F233" w14:textId="77777777" w:rsidR="00000000" w:rsidRDefault="00195E73">
      <w:pPr>
        <w:ind w:firstLine="450"/>
        <w:divId w:val="1238054928"/>
        <w:rPr>
          <w:rFonts w:eastAsia="Times New Roman"/>
        </w:rPr>
      </w:pPr>
      <w:r>
        <w:rPr>
          <w:rFonts w:eastAsia="Times New Roman"/>
          <w:color w:val="000000"/>
          <w:sz w:val="20"/>
          <w:szCs w:val="20"/>
        </w:rPr>
        <w:t>Refer to Note 13, “Segment and Geographic Reporting,” for a reconciliation of our segments’ capital expenditures to consolidated capital expenditures for each of the years ended December 3</w:t>
      </w:r>
      <w:r>
        <w:rPr>
          <w:rFonts w:eastAsia="Times New Roman"/>
          <w:color w:val="000000"/>
          <w:sz w:val="20"/>
          <w:szCs w:val="20"/>
        </w:rPr>
        <w:t>1, 2019, 2018 and 2017.</w:t>
      </w:r>
      <w:r>
        <w:rPr>
          <w:rFonts w:eastAsia="Times New Roman"/>
          <w:color w:val="000000"/>
          <w:sz w:val="20"/>
          <w:szCs w:val="20"/>
        </w:rPr>
        <w:t xml:space="preserve"> </w:t>
      </w:r>
    </w:p>
    <w:p w14:paraId="24C8587C" w14:textId="77777777" w:rsidR="00000000" w:rsidRDefault="00195E73">
      <w:pPr>
        <w:ind w:firstLine="450"/>
        <w:divId w:val="1699352210"/>
        <w:rPr>
          <w:rFonts w:eastAsia="Times New Roman"/>
        </w:rPr>
      </w:pPr>
      <w:r>
        <w:rPr>
          <w:rFonts w:eastAsia="Times New Roman"/>
          <w:color w:val="000000"/>
          <w:sz w:val="20"/>
          <w:szCs w:val="20"/>
        </w:rPr>
        <w:t>We estimate that our consolidated capital expenditures for our continuing operating businesses to be approximately $133 million to $150 million for our Energy segment, a majority of which is planned for maintenance, $69 million for</w:t>
      </w:r>
      <w:r>
        <w:rPr>
          <w:rFonts w:eastAsia="Times New Roman"/>
          <w:color w:val="000000"/>
          <w:sz w:val="20"/>
          <w:szCs w:val="20"/>
        </w:rPr>
        <w:t xml:space="preserve"> our Automotive segment, primarily for maintenance and restructuring related activities, and approximately $39 million in the aggregate for all other segments.</w:t>
      </w:r>
      <w:r>
        <w:rPr>
          <w:rFonts w:eastAsia="Times New Roman"/>
          <w:color w:val="000000"/>
          <w:sz w:val="20"/>
          <w:szCs w:val="20"/>
        </w:rPr>
        <w:t xml:space="preserve"> </w:t>
      </w:r>
    </w:p>
    <w:p w14:paraId="34F74B3D" w14:textId="77777777" w:rsidR="00000000" w:rsidRDefault="00195E73">
      <w:pPr>
        <w:ind w:firstLine="450"/>
        <w:divId w:val="1893342506"/>
        <w:rPr>
          <w:rFonts w:eastAsia="Times New Roman"/>
        </w:rPr>
      </w:pPr>
      <w:r>
        <w:rPr>
          <w:rFonts w:eastAsia="Times New Roman"/>
          <w:color w:val="000000"/>
          <w:sz w:val="20"/>
          <w:szCs w:val="20"/>
        </w:rPr>
        <w:t>Our Energy segment’s petroleum business capitalized $38 million and $8 million of turnaround ex</w:t>
      </w:r>
      <w:r>
        <w:rPr>
          <w:rFonts w:eastAsia="Times New Roman"/>
          <w:color w:val="000000"/>
          <w:sz w:val="20"/>
          <w:szCs w:val="20"/>
        </w:rPr>
        <w:t>penditures incurred during the years ended December 31, 2019 and 2018, respectively. The next planned major turnaround within our Energy segment’s petroleum businesses commences in the first quarter of 2020 with total estimated expenditures of $145 million</w:t>
      </w:r>
      <w:r>
        <w:rPr>
          <w:rFonts w:eastAsia="Times New Roman"/>
          <w:color w:val="000000"/>
          <w:sz w:val="20"/>
          <w:szCs w:val="20"/>
        </w:rPr>
        <w:t xml:space="preserve"> to $155 million, of which $130 million to $140 million is expected to be incurred and capitalized in the spring of 2020. Turnaround expenditures are reported separately from capital expenditures in our consolidated statements of cash flows.</w:t>
      </w:r>
      <w:r>
        <w:rPr>
          <w:rFonts w:eastAsia="Times New Roman"/>
          <w:color w:val="000000"/>
          <w:sz w:val="20"/>
          <w:szCs w:val="20"/>
        </w:rPr>
        <w:t xml:space="preserve"> </w:t>
      </w:r>
    </w:p>
    <w:p w14:paraId="0E0E33DC" w14:textId="77777777" w:rsidR="00000000" w:rsidRDefault="00195E73">
      <w:pPr>
        <w:divId w:val="1855221980"/>
        <w:rPr>
          <w:rFonts w:eastAsia="Times New Roman"/>
        </w:rPr>
      </w:pPr>
      <w:r>
        <w:rPr>
          <w:rFonts w:eastAsia="Times New Roman"/>
          <w:b/>
          <w:bCs/>
          <w:i/>
          <w:iCs/>
          <w:color w:val="000000"/>
          <w:sz w:val="20"/>
          <w:szCs w:val="20"/>
        </w:rPr>
        <w:t xml:space="preserve">Consolidated </w:t>
      </w:r>
      <w:r>
        <w:rPr>
          <w:rFonts w:eastAsia="Times New Roman"/>
          <w:b/>
          <w:bCs/>
          <w:i/>
          <w:iCs/>
          <w:color w:val="000000"/>
          <w:sz w:val="20"/>
          <w:szCs w:val="20"/>
        </w:rPr>
        <w:t>Contractual Commitments and Contingencie</w:t>
      </w:r>
      <w:r>
        <w:rPr>
          <w:rFonts w:eastAsia="Times New Roman"/>
          <w:b/>
          <w:bCs/>
          <w:i/>
          <w:iCs/>
          <w:color w:val="000000"/>
          <w:sz w:val="20"/>
          <w:szCs w:val="20"/>
        </w:rPr>
        <w:t>s</w:t>
      </w:r>
    </w:p>
    <w:p w14:paraId="51E84A73" w14:textId="77777777" w:rsidR="00000000" w:rsidRDefault="00195E73">
      <w:pPr>
        <w:ind w:firstLine="405"/>
        <w:divId w:val="1363285749"/>
        <w:rPr>
          <w:rFonts w:eastAsia="Times New Roman"/>
        </w:rPr>
      </w:pPr>
      <w:r>
        <w:rPr>
          <w:rFonts w:eastAsia="Times New Roman"/>
          <w:color w:val="000000"/>
          <w:sz w:val="20"/>
          <w:szCs w:val="20"/>
        </w:rPr>
        <w:t>The following table reflects, at December 31, 2019, our contractual cash obligations, subject to certain conditions, due over the indicated periods</w:t>
      </w:r>
      <w:r>
        <w:rPr>
          <w:rFonts w:eastAsia="Times New Roman"/>
          <w:color w:val="000000"/>
          <w:sz w:val="20"/>
          <w:szCs w:val="20"/>
        </w:rPr>
        <w:t>:</w:t>
      </w: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1403"/>
        <w:gridCol w:w="36"/>
        <w:gridCol w:w="135"/>
        <w:gridCol w:w="36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6"/>
        <w:gridCol w:w="777"/>
        <w:gridCol w:w="92"/>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0FB42A73" w14:textId="77777777">
        <w:trPr>
          <w:gridAfter w:val="21"/>
          <w:divId w:val="116685193"/>
          <w:jc w:val="center"/>
        </w:trPr>
        <w:tc>
          <w:tcPr>
            <w:tcW w:w="50" w:type="pct"/>
            <w:vAlign w:val="center"/>
            <w:hideMark/>
          </w:tcPr>
          <w:p w14:paraId="577CFB36" w14:textId="77777777" w:rsidR="00000000" w:rsidRDefault="00195E73">
            <w:pPr>
              <w:ind w:firstLine="405"/>
              <w:rPr>
                <w:rFonts w:eastAsia="Times New Roman"/>
              </w:rPr>
            </w:pPr>
          </w:p>
        </w:tc>
        <w:tc>
          <w:tcPr>
            <w:tcW w:w="1461" w:type="pct"/>
            <w:vAlign w:val="center"/>
            <w:hideMark/>
          </w:tcPr>
          <w:p w14:paraId="70BE33DC" w14:textId="77777777" w:rsidR="00000000" w:rsidRDefault="00195E73">
            <w:pPr>
              <w:rPr>
                <w:rFonts w:eastAsia="Times New Roman"/>
                <w:sz w:val="20"/>
                <w:szCs w:val="20"/>
              </w:rPr>
            </w:pPr>
          </w:p>
        </w:tc>
        <w:tc>
          <w:tcPr>
            <w:tcW w:w="50" w:type="pct"/>
            <w:vAlign w:val="center"/>
            <w:hideMark/>
          </w:tcPr>
          <w:p w14:paraId="4BD878AE" w14:textId="77777777" w:rsidR="00000000" w:rsidRDefault="00195E73">
            <w:pPr>
              <w:rPr>
                <w:rFonts w:eastAsia="Times New Roman"/>
                <w:sz w:val="20"/>
                <w:szCs w:val="20"/>
              </w:rPr>
            </w:pPr>
          </w:p>
        </w:tc>
        <w:tc>
          <w:tcPr>
            <w:tcW w:w="50" w:type="pct"/>
            <w:vAlign w:val="center"/>
            <w:hideMark/>
          </w:tcPr>
          <w:p w14:paraId="4A9A8B7E" w14:textId="77777777" w:rsidR="00000000" w:rsidRDefault="00195E73">
            <w:pPr>
              <w:rPr>
                <w:rFonts w:eastAsia="Times New Roman"/>
                <w:sz w:val="20"/>
                <w:szCs w:val="20"/>
              </w:rPr>
            </w:pPr>
          </w:p>
        </w:tc>
        <w:tc>
          <w:tcPr>
            <w:tcW w:w="349" w:type="pct"/>
            <w:vAlign w:val="center"/>
            <w:hideMark/>
          </w:tcPr>
          <w:p w14:paraId="25E64A46" w14:textId="77777777" w:rsidR="00000000" w:rsidRDefault="00195E73">
            <w:pPr>
              <w:rPr>
                <w:rFonts w:eastAsia="Times New Roman"/>
                <w:sz w:val="20"/>
                <w:szCs w:val="20"/>
              </w:rPr>
            </w:pPr>
          </w:p>
        </w:tc>
        <w:tc>
          <w:tcPr>
            <w:tcW w:w="50" w:type="pct"/>
            <w:vAlign w:val="center"/>
            <w:hideMark/>
          </w:tcPr>
          <w:p w14:paraId="0EBC2FAE" w14:textId="77777777" w:rsidR="00000000" w:rsidRDefault="00195E73">
            <w:pPr>
              <w:rPr>
                <w:rFonts w:eastAsia="Times New Roman"/>
                <w:sz w:val="20"/>
                <w:szCs w:val="20"/>
              </w:rPr>
            </w:pPr>
          </w:p>
        </w:tc>
        <w:tc>
          <w:tcPr>
            <w:tcW w:w="5" w:type="pct"/>
            <w:vAlign w:val="center"/>
            <w:hideMark/>
          </w:tcPr>
          <w:p w14:paraId="647DEE4A" w14:textId="77777777" w:rsidR="00000000" w:rsidRDefault="00195E73">
            <w:pPr>
              <w:rPr>
                <w:rFonts w:eastAsia="Times New Roman"/>
                <w:sz w:val="20"/>
                <w:szCs w:val="20"/>
              </w:rPr>
            </w:pPr>
          </w:p>
        </w:tc>
        <w:tc>
          <w:tcPr>
            <w:tcW w:w="26" w:type="pct"/>
            <w:vAlign w:val="center"/>
            <w:hideMark/>
          </w:tcPr>
          <w:p w14:paraId="4E2B830B" w14:textId="77777777" w:rsidR="00000000" w:rsidRDefault="00195E73">
            <w:pPr>
              <w:rPr>
                <w:rFonts w:eastAsia="Times New Roman"/>
                <w:sz w:val="20"/>
                <w:szCs w:val="20"/>
              </w:rPr>
            </w:pPr>
          </w:p>
        </w:tc>
        <w:tc>
          <w:tcPr>
            <w:tcW w:w="5" w:type="pct"/>
            <w:vAlign w:val="center"/>
            <w:hideMark/>
          </w:tcPr>
          <w:p w14:paraId="764F27FE" w14:textId="77777777" w:rsidR="00000000" w:rsidRDefault="00195E73">
            <w:pPr>
              <w:rPr>
                <w:rFonts w:eastAsia="Times New Roman"/>
                <w:sz w:val="20"/>
                <w:szCs w:val="20"/>
              </w:rPr>
            </w:pPr>
          </w:p>
        </w:tc>
        <w:tc>
          <w:tcPr>
            <w:tcW w:w="50" w:type="pct"/>
            <w:vAlign w:val="center"/>
            <w:hideMark/>
          </w:tcPr>
          <w:p w14:paraId="55BE23CC" w14:textId="77777777" w:rsidR="00000000" w:rsidRDefault="00195E73">
            <w:pPr>
              <w:rPr>
                <w:rFonts w:eastAsia="Times New Roman"/>
                <w:sz w:val="20"/>
                <w:szCs w:val="20"/>
              </w:rPr>
            </w:pPr>
          </w:p>
        </w:tc>
        <w:tc>
          <w:tcPr>
            <w:tcW w:w="349" w:type="pct"/>
            <w:vAlign w:val="center"/>
            <w:hideMark/>
          </w:tcPr>
          <w:p w14:paraId="7A7031EE" w14:textId="77777777" w:rsidR="00000000" w:rsidRDefault="00195E73">
            <w:pPr>
              <w:rPr>
                <w:rFonts w:eastAsia="Times New Roman"/>
                <w:sz w:val="20"/>
                <w:szCs w:val="20"/>
              </w:rPr>
            </w:pPr>
          </w:p>
        </w:tc>
        <w:tc>
          <w:tcPr>
            <w:tcW w:w="50" w:type="pct"/>
            <w:vAlign w:val="center"/>
            <w:hideMark/>
          </w:tcPr>
          <w:p w14:paraId="3D387C16" w14:textId="77777777" w:rsidR="00000000" w:rsidRDefault="00195E73">
            <w:pPr>
              <w:rPr>
                <w:rFonts w:eastAsia="Times New Roman"/>
                <w:sz w:val="20"/>
                <w:szCs w:val="20"/>
              </w:rPr>
            </w:pPr>
          </w:p>
        </w:tc>
        <w:tc>
          <w:tcPr>
            <w:tcW w:w="5" w:type="pct"/>
            <w:vAlign w:val="center"/>
            <w:hideMark/>
          </w:tcPr>
          <w:p w14:paraId="3AFD1EF3" w14:textId="77777777" w:rsidR="00000000" w:rsidRDefault="00195E73">
            <w:pPr>
              <w:rPr>
                <w:rFonts w:eastAsia="Times New Roman"/>
                <w:sz w:val="20"/>
                <w:szCs w:val="20"/>
              </w:rPr>
            </w:pPr>
          </w:p>
        </w:tc>
        <w:tc>
          <w:tcPr>
            <w:tcW w:w="26" w:type="pct"/>
            <w:vAlign w:val="center"/>
            <w:hideMark/>
          </w:tcPr>
          <w:p w14:paraId="1B992AA5" w14:textId="77777777" w:rsidR="00000000" w:rsidRDefault="00195E73">
            <w:pPr>
              <w:rPr>
                <w:rFonts w:eastAsia="Times New Roman"/>
                <w:sz w:val="20"/>
                <w:szCs w:val="20"/>
              </w:rPr>
            </w:pPr>
          </w:p>
        </w:tc>
        <w:tc>
          <w:tcPr>
            <w:tcW w:w="5" w:type="pct"/>
            <w:vAlign w:val="center"/>
            <w:hideMark/>
          </w:tcPr>
          <w:p w14:paraId="5E05B1AA" w14:textId="77777777" w:rsidR="00000000" w:rsidRDefault="00195E73">
            <w:pPr>
              <w:rPr>
                <w:rFonts w:eastAsia="Times New Roman"/>
                <w:sz w:val="20"/>
                <w:szCs w:val="20"/>
              </w:rPr>
            </w:pPr>
          </w:p>
        </w:tc>
        <w:tc>
          <w:tcPr>
            <w:tcW w:w="50" w:type="pct"/>
            <w:vAlign w:val="center"/>
            <w:hideMark/>
          </w:tcPr>
          <w:p w14:paraId="1B7DA9AA" w14:textId="77777777" w:rsidR="00000000" w:rsidRDefault="00195E73">
            <w:pPr>
              <w:rPr>
                <w:rFonts w:eastAsia="Times New Roman"/>
                <w:sz w:val="20"/>
                <w:szCs w:val="20"/>
              </w:rPr>
            </w:pPr>
          </w:p>
        </w:tc>
        <w:tc>
          <w:tcPr>
            <w:tcW w:w="349" w:type="pct"/>
            <w:vAlign w:val="center"/>
            <w:hideMark/>
          </w:tcPr>
          <w:p w14:paraId="3EE2AF9B" w14:textId="77777777" w:rsidR="00000000" w:rsidRDefault="00195E73">
            <w:pPr>
              <w:rPr>
                <w:rFonts w:eastAsia="Times New Roman"/>
                <w:sz w:val="20"/>
                <w:szCs w:val="20"/>
              </w:rPr>
            </w:pPr>
          </w:p>
        </w:tc>
        <w:tc>
          <w:tcPr>
            <w:tcW w:w="50" w:type="pct"/>
            <w:vAlign w:val="center"/>
            <w:hideMark/>
          </w:tcPr>
          <w:p w14:paraId="1977A6C7" w14:textId="77777777" w:rsidR="00000000" w:rsidRDefault="00195E73">
            <w:pPr>
              <w:rPr>
                <w:rFonts w:eastAsia="Times New Roman"/>
                <w:sz w:val="20"/>
                <w:szCs w:val="20"/>
              </w:rPr>
            </w:pPr>
          </w:p>
        </w:tc>
        <w:tc>
          <w:tcPr>
            <w:tcW w:w="5" w:type="pct"/>
            <w:vAlign w:val="center"/>
            <w:hideMark/>
          </w:tcPr>
          <w:p w14:paraId="1E45CF20" w14:textId="77777777" w:rsidR="00000000" w:rsidRDefault="00195E73">
            <w:pPr>
              <w:rPr>
                <w:rFonts w:eastAsia="Times New Roman"/>
                <w:sz w:val="20"/>
                <w:szCs w:val="20"/>
              </w:rPr>
            </w:pPr>
          </w:p>
        </w:tc>
        <w:tc>
          <w:tcPr>
            <w:tcW w:w="26" w:type="pct"/>
            <w:vAlign w:val="center"/>
            <w:hideMark/>
          </w:tcPr>
          <w:p w14:paraId="7727C641" w14:textId="77777777" w:rsidR="00000000" w:rsidRDefault="00195E73">
            <w:pPr>
              <w:rPr>
                <w:rFonts w:eastAsia="Times New Roman"/>
                <w:sz w:val="20"/>
                <w:szCs w:val="20"/>
              </w:rPr>
            </w:pPr>
          </w:p>
        </w:tc>
        <w:tc>
          <w:tcPr>
            <w:tcW w:w="5" w:type="pct"/>
            <w:vAlign w:val="center"/>
            <w:hideMark/>
          </w:tcPr>
          <w:p w14:paraId="4BED9E54" w14:textId="77777777" w:rsidR="00000000" w:rsidRDefault="00195E73">
            <w:pPr>
              <w:rPr>
                <w:rFonts w:eastAsia="Times New Roman"/>
                <w:sz w:val="20"/>
                <w:szCs w:val="20"/>
              </w:rPr>
            </w:pPr>
          </w:p>
        </w:tc>
        <w:tc>
          <w:tcPr>
            <w:tcW w:w="50" w:type="pct"/>
            <w:vAlign w:val="center"/>
            <w:hideMark/>
          </w:tcPr>
          <w:p w14:paraId="75DFD9F3" w14:textId="77777777" w:rsidR="00000000" w:rsidRDefault="00195E73">
            <w:pPr>
              <w:rPr>
                <w:rFonts w:eastAsia="Times New Roman"/>
                <w:sz w:val="20"/>
                <w:szCs w:val="20"/>
              </w:rPr>
            </w:pPr>
          </w:p>
        </w:tc>
        <w:tc>
          <w:tcPr>
            <w:tcW w:w="349" w:type="pct"/>
            <w:vAlign w:val="center"/>
            <w:hideMark/>
          </w:tcPr>
          <w:p w14:paraId="27B92C86" w14:textId="77777777" w:rsidR="00000000" w:rsidRDefault="00195E73">
            <w:pPr>
              <w:rPr>
                <w:rFonts w:eastAsia="Times New Roman"/>
                <w:sz w:val="20"/>
                <w:szCs w:val="20"/>
              </w:rPr>
            </w:pPr>
          </w:p>
        </w:tc>
        <w:tc>
          <w:tcPr>
            <w:tcW w:w="50" w:type="pct"/>
            <w:vAlign w:val="center"/>
            <w:hideMark/>
          </w:tcPr>
          <w:p w14:paraId="05EDE43B" w14:textId="77777777" w:rsidR="00000000" w:rsidRDefault="00195E73">
            <w:pPr>
              <w:rPr>
                <w:rFonts w:eastAsia="Times New Roman"/>
                <w:sz w:val="20"/>
                <w:szCs w:val="20"/>
              </w:rPr>
            </w:pPr>
          </w:p>
        </w:tc>
        <w:tc>
          <w:tcPr>
            <w:tcW w:w="5" w:type="pct"/>
            <w:vAlign w:val="center"/>
            <w:hideMark/>
          </w:tcPr>
          <w:p w14:paraId="12594CDB" w14:textId="77777777" w:rsidR="00000000" w:rsidRDefault="00195E73">
            <w:pPr>
              <w:rPr>
                <w:rFonts w:eastAsia="Times New Roman"/>
                <w:sz w:val="20"/>
                <w:szCs w:val="20"/>
              </w:rPr>
            </w:pPr>
          </w:p>
        </w:tc>
        <w:tc>
          <w:tcPr>
            <w:tcW w:w="26" w:type="pct"/>
            <w:vAlign w:val="center"/>
            <w:hideMark/>
          </w:tcPr>
          <w:p w14:paraId="06E6217D" w14:textId="77777777" w:rsidR="00000000" w:rsidRDefault="00195E73">
            <w:pPr>
              <w:rPr>
                <w:rFonts w:eastAsia="Times New Roman"/>
                <w:sz w:val="20"/>
                <w:szCs w:val="20"/>
              </w:rPr>
            </w:pPr>
          </w:p>
        </w:tc>
        <w:tc>
          <w:tcPr>
            <w:tcW w:w="5" w:type="pct"/>
            <w:vAlign w:val="center"/>
            <w:hideMark/>
          </w:tcPr>
          <w:p w14:paraId="459F672A" w14:textId="77777777" w:rsidR="00000000" w:rsidRDefault="00195E73">
            <w:pPr>
              <w:rPr>
                <w:rFonts w:eastAsia="Times New Roman"/>
                <w:sz w:val="20"/>
                <w:szCs w:val="20"/>
              </w:rPr>
            </w:pPr>
          </w:p>
        </w:tc>
        <w:tc>
          <w:tcPr>
            <w:tcW w:w="50" w:type="pct"/>
            <w:vAlign w:val="center"/>
            <w:hideMark/>
          </w:tcPr>
          <w:p w14:paraId="0F459D4A" w14:textId="77777777" w:rsidR="00000000" w:rsidRDefault="00195E73">
            <w:pPr>
              <w:rPr>
                <w:rFonts w:eastAsia="Times New Roman"/>
                <w:sz w:val="20"/>
                <w:szCs w:val="20"/>
              </w:rPr>
            </w:pPr>
          </w:p>
        </w:tc>
        <w:tc>
          <w:tcPr>
            <w:tcW w:w="349" w:type="pct"/>
            <w:vAlign w:val="center"/>
            <w:hideMark/>
          </w:tcPr>
          <w:p w14:paraId="7CAFC9FD" w14:textId="77777777" w:rsidR="00000000" w:rsidRDefault="00195E73">
            <w:pPr>
              <w:rPr>
                <w:rFonts w:eastAsia="Times New Roman"/>
                <w:sz w:val="20"/>
                <w:szCs w:val="20"/>
              </w:rPr>
            </w:pPr>
          </w:p>
        </w:tc>
        <w:tc>
          <w:tcPr>
            <w:tcW w:w="50" w:type="pct"/>
            <w:vAlign w:val="center"/>
            <w:hideMark/>
          </w:tcPr>
          <w:p w14:paraId="7EE4F242" w14:textId="77777777" w:rsidR="00000000" w:rsidRDefault="00195E73">
            <w:pPr>
              <w:rPr>
                <w:rFonts w:eastAsia="Times New Roman"/>
                <w:sz w:val="20"/>
                <w:szCs w:val="20"/>
              </w:rPr>
            </w:pPr>
          </w:p>
        </w:tc>
        <w:tc>
          <w:tcPr>
            <w:tcW w:w="5" w:type="pct"/>
            <w:vAlign w:val="center"/>
            <w:hideMark/>
          </w:tcPr>
          <w:p w14:paraId="302EB7DA" w14:textId="77777777" w:rsidR="00000000" w:rsidRDefault="00195E73">
            <w:pPr>
              <w:rPr>
                <w:rFonts w:eastAsia="Times New Roman"/>
                <w:sz w:val="20"/>
                <w:szCs w:val="20"/>
              </w:rPr>
            </w:pPr>
          </w:p>
        </w:tc>
        <w:tc>
          <w:tcPr>
            <w:tcW w:w="26" w:type="pct"/>
            <w:vAlign w:val="center"/>
            <w:hideMark/>
          </w:tcPr>
          <w:p w14:paraId="0B4FF300" w14:textId="77777777" w:rsidR="00000000" w:rsidRDefault="00195E73">
            <w:pPr>
              <w:rPr>
                <w:rFonts w:eastAsia="Times New Roman"/>
                <w:sz w:val="20"/>
                <w:szCs w:val="20"/>
              </w:rPr>
            </w:pPr>
          </w:p>
        </w:tc>
        <w:tc>
          <w:tcPr>
            <w:tcW w:w="5" w:type="pct"/>
            <w:vAlign w:val="center"/>
            <w:hideMark/>
          </w:tcPr>
          <w:p w14:paraId="152A0172" w14:textId="77777777" w:rsidR="00000000" w:rsidRDefault="00195E73">
            <w:pPr>
              <w:rPr>
                <w:rFonts w:eastAsia="Times New Roman"/>
                <w:sz w:val="20"/>
                <w:szCs w:val="20"/>
              </w:rPr>
            </w:pPr>
          </w:p>
        </w:tc>
        <w:tc>
          <w:tcPr>
            <w:tcW w:w="50" w:type="pct"/>
            <w:vAlign w:val="center"/>
            <w:hideMark/>
          </w:tcPr>
          <w:p w14:paraId="07863FF8" w14:textId="77777777" w:rsidR="00000000" w:rsidRDefault="00195E73">
            <w:pPr>
              <w:rPr>
                <w:rFonts w:eastAsia="Times New Roman"/>
                <w:sz w:val="20"/>
                <w:szCs w:val="20"/>
              </w:rPr>
            </w:pPr>
          </w:p>
        </w:tc>
        <w:tc>
          <w:tcPr>
            <w:tcW w:w="422" w:type="pct"/>
            <w:vAlign w:val="center"/>
            <w:hideMark/>
          </w:tcPr>
          <w:p w14:paraId="4450C07F" w14:textId="77777777" w:rsidR="00000000" w:rsidRDefault="00195E73">
            <w:pPr>
              <w:rPr>
                <w:rFonts w:eastAsia="Times New Roman"/>
                <w:sz w:val="20"/>
                <w:szCs w:val="20"/>
              </w:rPr>
            </w:pPr>
          </w:p>
        </w:tc>
        <w:tc>
          <w:tcPr>
            <w:tcW w:w="50" w:type="pct"/>
            <w:vAlign w:val="center"/>
            <w:hideMark/>
          </w:tcPr>
          <w:p w14:paraId="68F592D7" w14:textId="77777777" w:rsidR="00000000" w:rsidRDefault="00195E73">
            <w:pPr>
              <w:rPr>
                <w:rFonts w:eastAsia="Times New Roman"/>
                <w:sz w:val="20"/>
                <w:szCs w:val="20"/>
              </w:rPr>
            </w:pPr>
          </w:p>
        </w:tc>
        <w:tc>
          <w:tcPr>
            <w:tcW w:w="5" w:type="pct"/>
            <w:vAlign w:val="center"/>
            <w:hideMark/>
          </w:tcPr>
          <w:p w14:paraId="300F1F9E" w14:textId="77777777" w:rsidR="00000000" w:rsidRDefault="00195E73">
            <w:pPr>
              <w:rPr>
                <w:rFonts w:eastAsia="Times New Roman"/>
                <w:sz w:val="20"/>
                <w:szCs w:val="20"/>
              </w:rPr>
            </w:pPr>
          </w:p>
        </w:tc>
        <w:tc>
          <w:tcPr>
            <w:tcW w:w="26" w:type="pct"/>
            <w:vAlign w:val="center"/>
            <w:hideMark/>
          </w:tcPr>
          <w:p w14:paraId="4F3CBE40" w14:textId="77777777" w:rsidR="00000000" w:rsidRDefault="00195E73">
            <w:pPr>
              <w:rPr>
                <w:rFonts w:eastAsia="Times New Roman"/>
                <w:sz w:val="20"/>
                <w:szCs w:val="20"/>
              </w:rPr>
            </w:pPr>
          </w:p>
        </w:tc>
        <w:tc>
          <w:tcPr>
            <w:tcW w:w="5" w:type="pct"/>
            <w:vAlign w:val="center"/>
            <w:hideMark/>
          </w:tcPr>
          <w:p w14:paraId="685B6C86" w14:textId="77777777" w:rsidR="00000000" w:rsidRDefault="00195E73">
            <w:pPr>
              <w:rPr>
                <w:rFonts w:eastAsia="Times New Roman"/>
                <w:sz w:val="20"/>
                <w:szCs w:val="20"/>
              </w:rPr>
            </w:pPr>
          </w:p>
        </w:tc>
        <w:tc>
          <w:tcPr>
            <w:tcW w:w="50" w:type="pct"/>
            <w:vAlign w:val="center"/>
            <w:hideMark/>
          </w:tcPr>
          <w:p w14:paraId="165F3144" w14:textId="77777777" w:rsidR="00000000" w:rsidRDefault="00195E73">
            <w:pPr>
              <w:rPr>
                <w:rFonts w:eastAsia="Times New Roman"/>
                <w:sz w:val="20"/>
                <w:szCs w:val="20"/>
              </w:rPr>
            </w:pPr>
          </w:p>
        </w:tc>
        <w:tc>
          <w:tcPr>
            <w:tcW w:w="349" w:type="pct"/>
            <w:vAlign w:val="center"/>
            <w:hideMark/>
          </w:tcPr>
          <w:p w14:paraId="5CF1B659" w14:textId="77777777" w:rsidR="00000000" w:rsidRDefault="00195E73">
            <w:pPr>
              <w:rPr>
                <w:rFonts w:eastAsia="Times New Roman"/>
                <w:sz w:val="20"/>
                <w:szCs w:val="20"/>
              </w:rPr>
            </w:pPr>
          </w:p>
        </w:tc>
        <w:tc>
          <w:tcPr>
            <w:tcW w:w="50" w:type="pct"/>
            <w:vAlign w:val="center"/>
            <w:hideMark/>
          </w:tcPr>
          <w:p w14:paraId="3FED5A76" w14:textId="77777777" w:rsidR="00000000" w:rsidRDefault="00195E73">
            <w:pPr>
              <w:rPr>
                <w:rFonts w:eastAsia="Times New Roman"/>
                <w:sz w:val="20"/>
                <w:szCs w:val="20"/>
              </w:rPr>
            </w:pPr>
          </w:p>
        </w:tc>
      </w:tr>
      <w:tr w:rsidR="00000000" w14:paraId="02C7A099" w14:textId="77777777">
        <w:trPr>
          <w:gridAfter w:val="21"/>
          <w:divId w:val="116685193"/>
          <w:jc w:val="center"/>
        </w:trPr>
        <w:tc>
          <w:tcPr>
            <w:tcW w:w="0" w:type="auto"/>
            <w:gridSpan w:val="3"/>
            <w:tcMar>
              <w:top w:w="15" w:type="dxa"/>
              <w:left w:w="20" w:type="dxa"/>
              <w:bottom w:w="15" w:type="dxa"/>
              <w:right w:w="20" w:type="dxa"/>
            </w:tcMar>
            <w:vAlign w:val="bottom"/>
            <w:hideMark/>
          </w:tcPr>
          <w:p w14:paraId="0DCD3F7E"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160983B7" w14:textId="77777777" w:rsidR="00000000" w:rsidRDefault="00195E73">
            <w:pPr>
              <w:jc w:val="center"/>
              <w:rPr>
                <w:rFonts w:eastAsia="Times New Roman"/>
              </w:rPr>
            </w:pPr>
            <w:r>
              <w:rPr>
                <w:rFonts w:eastAsia="Times New Roman"/>
                <w:b/>
                <w:bCs/>
                <w:color w:val="000000"/>
                <w:sz w:val="20"/>
                <w:szCs w:val="20"/>
              </w:rP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14:paraId="060ECD24"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0E08066" w14:textId="77777777" w:rsidR="00000000" w:rsidRDefault="00195E73">
            <w:pPr>
              <w:jc w:val="center"/>
              <w:rPr>
                <w:rFonts w:eastAsia="Times New Roman"/>
              </w:rPr>
            </w:pPr>
            <w:r>
              <w:rPr>
                <w:rFonts w:eastAsia="Times New Roman"/>
                <w:b/>
                <w:bCs/>
                <w:color w:val="000000"/>
                <w:sz w:val="20"/>
                <w:szCs w:val="20"/>
              </w:rPr>
              <w:t>202</w:t>
            </w:r>
            <w:r>
              <w:rPr>
                <w:rFonts w:eastAsia="Times New Roman"/>
                <w:b/>
                <w:bCs/>
                <w:color w:val="000000"/>
                <w:sz w:val="20"/>
                <w:szCs w:val="20"/>
              </w:rPr>
              <w:t>1</w:t>
            </w:r>
          </w:p>
        </w:tc>
        <w:tc>
          <w:tcPr>
            <w:tcW w:w="0" w:type="auto"/>
            <w:gridSpan w:val="3"/>
            <w:tcMar>
              <w:top w:w="15" w:type="dxa"/>
              <w:left w:w="20" w:type="dxa"/>
              <w:bottom w:w="15" w:type="dxa"/>
              <w:right w:w="20" w:type="dxa"/>
            </w:tcMar>
            <w:vAlign w:val="bottom"/>
            <w:hideMark/>
          </w:tcPr>
          <w:p w14:paraId="3FAA83E0"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B91F269" w14:textId="77777777" w:rsidR="00000000" w:rsidRDefault="00195E73">
            <w:pPr>
              <w:jc w:val="center"/>
              <w:rPr>
                <w:rFonts w:eastAsia="Times New Roman"/>
              </w:rPr>
            </w:pPr>
            <w:r>
              <w:rPr>
                <w:rFonts w:eastAsia="Times New Roman"/>
                <w:b/>
                <w:bCs/>
                <w:color w:val="000000"/>
                <w:sz w:val="20"/>
                <w:szCs w:val="20"/>
              </w:rPr>
              <w:t>202</w:t>
            </w:r>
            <w:r>
              <w:rPr>
                <w:rFonts w:eastAsia="Times New Roman"/>
                <w:b/>
                <w:bCs/>
                <w:color w:val="000000"/>
                <w:sz w:val="20"/>
                <w:szCs w:val="20"/>
              </w:rPr>
              <w:t>2</w:t>
            </w:r>
          </w:p>
        </w:tc>
        <w:tc>
          <w:tcPr>
            <w:tcW w:w="0" w:type="auto"/>
            <w:gridSpan w:val="3"/>
            <w:tcMar>
              <w:top w:w="15" w:type="dxa"/>
              <w:left w:w="20" w:type="dxa"/>
              <w:bottom w:w="15" w:type="dxa"/>
              <w:right w:w="20" w:type="dxa"/>
            </w:tcMar>
            <w:vAlign w:val="bottom"/>
            <w:hideMark/>
          </w:tcPr>
          <w:p w14:paraId="790D5067"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ED26A58" w14:textId="77777777" w:rsidR="00000000" w:rsidRDefault="00195E73">
            <w:pPr>
              <w:jc w:val="center"/>
              <w:rPr>
                <w:rFonts w:eastAsia="Times New Roman"/>
              </w:rPr>
            </w:pPr>
            <w:r>
              <w:rPr>
                <w:rFonts w:eastAsia="Times New Roman"/>
                <w:b/>
                <w:bCs/>
                <w:color w:val="000000"/>
                <w:sz w:val="20"/>
                <w:szCs w:val="20"/>
              </w:rPr>
              <w:t>202</w:t>
            </w:r>
            <w:r>
              <w:rPr>
                <w:rFonts w:eastAsia="Times New Roman"/>
                <w:b/>
                <w:bCs/>
                <w:color w:val="000000"/>
                <w:sz w:val="20"/>
                <w:szCs w:val="20"/>
              </w:rPr>
              <w:t>3</w:t>
            </w:r>
          </w:p>
        </w:tc>
        <w:tc>
          <w:tcPr>
            <w:tcW w:w="0" w:type="auto"/>
            <w:gridSpan w:val="3"/>
            <w:tcMar>
              <w:top w:w="15" w:type="dxa"/>
              <w:left w:w="20" w:type="dxa"/>
              <w:bottom w:w="15" w:type="dxa"/>
              <w:right w:w="20" w:type="dxa"/>
            </w:tcMar>
            <w:vAlign w:val="bottom"/>
            <w:hideMark/>
          </w:tcPr>
          <w:p w14:paraId="39466D3D"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DD98AA2" w14:textId="77777777" w:rsidR="00000000" w:rsidRDefault="00195E73">
            <w:pPr>
              <w:jc w:val="center"/>
              <w:rPr>
                <w:rFonts w:eastAsia="Times New Roman"/>
              </w:rPr>
            </w:pPr>
            <w:r>
              <w:rPr>
                <w:rFonts w:eastAsia="Times New Roman"/>
                <w:b/>
                <w:bCs/>
                <w:color w:val="000000"/>
                <w:sz w:val="20"/>
                <w:szCs w:val="20"/>
              </w:rPr>
              <w:t>202</w:t>
            </w:r>
            <w:r>
              <w:rPr>
                <w:rFonts w:eastAsia="Times New Roman"/>
                <w:b/>
                <w:bCs/>
                <w:color w:val="000000"/>
                <w:sz w:val="20"/>
                <w:szCs w:val="20"/>
              </w:rPr>
              <w:t>4</w:t>
            </w:r>
          </w:p>
        </w:tc>
        <w:tc>
          <w:tcPr>
            <w:tcW w:w="0" w:type="auto"/>
            <w:gridSpan w:val="3"/>
            <w:tcMar>
              <w:top w:w="15" w:type="dxa"/>
              <w:left w:w="20" w:type="dxa"/>
              <w:bottom w:w="15" w:type="dxa"/>
              <w:right w:w="20" w:type="dxa"/>
            </w:tcMar>
            <w:vAlign w:val="bottom"/>
            <w:hideMark/>
          </w:tcPr>
          <w:p w14:paraId="7DA86202"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FC4DBEA" w14:textId="77777777" w:rsidR="00000000" w:rsidRDefault="00195E73">
            <w:pPr>
              <w:jc w:val="center"/>
              <w:rPr>
                <w:rFonts w:eastAsia="Times New Roman"/>
              </w:rPr>
            </w:pPr>
            <w:r>
              <w:rPr>
                <w:rFonts w:eastAsia="Times New Roman"/>
                <w:b/>
                <w:bCs/>
                <w:color w:val="000000"/>
                <w:sz w:val="20"/>
                <w:szCs w:val="20"/>
              </w:rPr>
              <w:t>Thereafte</w:t>
            </w:r>
            <w:r>
              <w:rPr>
                <w:rFonts w:eastAsia="Times New Roman"/>
                <w:b/>
                <w:bCs/>
                <w:color w:val="000000"/>
                <w:sz w:val="20"/>
                <w:szCs w:val="20"/>
              </w:rPr>
              <w:t>r</w:t>
            </w:r>
          </w:p>
        </w:tc>
        <w:tc>
          <w:tcPr>
            <w:tcW w:w="0" w:type="auto"/>
            <w:gridSpan w:val="3"/>
            <w:tcMar>
              <w:top w:w="15" w:type="dxa"/>
              <w:left w:w="20" w:type="dxa"/>
              <w:bottom w:w="15" w:type="dxa"/>
              <w:right w:w="20" w:type="dxa"/>
            </w:tcMar>
            <w:vAlign w:val="bottom"/>
            <w:hideMark/>
          </w:tcPr>
          <w:p w14:paraId="7E357D24"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50EC5D0" w14:textId="77777777" w:rsidR="00000000" w:rsidRDefault="00195E73">
            <w:pPr>
              <w:jc w:val="center"/>
              <w:rPr>
                <w:rFonts w:eastAsia="Times New Roman"/>
              </w:rPr>
            </w:pPr>
            <w:r>
              <w:rPr>
                <w:rFonts w:eastAsia="Times New Roman"/>
                <w:b/>
                <w:bCs/>
                <w:color w:val="000000"/>
                <w:sz w:val="20"/>
                <w:szCs w:val="20"/>
              </w:rPr>
              <w:t>Tota</w:t>
            </w:r>
            <w:r>
              <w:rPr>
                <w:rFonts w:eastAsia="Times New Roman"/>
                <w:b/>
                <w:bCs/>
                <w:color w:val="000000"/>
                <w:sz w:val="20"/>
                <w:szCs w:val="20"/>
              </w:rPr>
              <w:t>l</w:t>
            </w:r>
          </w:p>
        </w:tc>
      </w:tr>
      <w:tr w:rsidR="00000000" w14:paraId="6D00F5A9" w14:textId="77777777">
        <w:trPr>
          <w:divId w:val="116685193"/>
          <w:jc w:val="center"/>
        </w:trPr>
        <w:tc>
          <w:tcPr>
            <w:tcW w:w="0" w:type="auto"/>
            <w:gridSpan w:val="3"/>
            <w:tcMar>
              <w:top w:w="15" w:type="dxa"/>
              <w:left w:w="20" w:type="dxa"/>
              <w:bottom w:w="15" w:type="dxa"/>
              <w:right w:w="20" w:type="dxa"/>
            </w:tcMar>
            <w:vAlign w:val="bottom"/>
            <w:hideMark/>
          </w:tcPr>
          <w:p w14:paraId="3F68AD80" w14:textId="77777777" w:rsidR="00000000" w:rsidRDefault="00195E73">
            <w:pPr>
              <w:jc w:val="center"/>
              <w:rPr>
                <w:rFonts w:eastAsia="Times New Roman"/>
              </w:rPr>
            </w:pPr>
          </w:p>
        </w:tc>
        <w:tc>
          <w:tcPr>
            <w:tcW w:w="0" w:type="auto"/>
            <w:gridSpan w:val="38"/>
            <w:tcBorders>
              <w:top w:val="single" w:sz="8" w:space="0" w:color="000000"/>
            </w:tcBorders>
            <w:tcMar>
              <w:top w:w="30" w:type="dxa"/>
              <w:left w:w="20" w:type="dxa"/>
              <w:bottom w:w="30" w:type="dxa"/>
              <w:right w:w="0" w:type="dxa"/>
            </w:tcMar>
            <w:vAlign w:val="bottom"/>
            <w:hideMark/>
          </w:tcPr>
          <w:p w14:paraId="2DD4EFE1"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5D035631"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640E6C44" w14:textId="77777777" w:rsidR="00000000" w:rsidRDefault="00195E73">
            <w:pPr>
              <w:jc w:val="right"/>
              <w:rPr>
                <w:rFonts w:eastAsia="Times New Roman"/>
              </w:rPr>
            </w:pPr>
          </w:p>
        </w:tc>
        <w:tc>
          <w:tcPr>
            <w:tcW w:w="0" w:type="auto"/>
            <w:gridSpan w:val="3"/>
            <w:vAlign w:val="center"/>
            <w:hideMark/>
          </w:tcPr>
          <w:p w14:paraId="185C5E13" w14:textId="77777777" w:rsidR="00000000" w:rsidRDefault="00195E73">
            <w:pPr>
              <w:rPr>
                <w:rFonts w:eastAsia="Times New Roman"/>
                <w:sz w:val="20"/>
                <w:szCs w:val="20"/>
              </w:rPr>
            </w:pPr>
          </w:p>
        </w:tc>
        <w:tc>
          <w:tcPr>
            <w:tcW w:w="0" w:type="auto"/>
            <w:gridSpan w:val="3"/>
            <w:vAlign w:val="center"/>
            <w:hideMark/>
          </w:tcPr>
          <w:p w14:paraId="2A91AB90" w14:textId="77777777" w:rsidR="00000000" w:rsidRDefault="00195E73">
            <w:pPr>
              <w:rPr>
                <w:rFonts w:eastAsia="Times New Roman"/>
                <w:sz w:val="20"/>
                <w:szCs w:val="20"/>
              </w:rPr>
            </w:pPr>
          </w:p>
        </w:tc>
        <w:tc>
          <w:tcPr>
            <w:tcW w:w="0" w:type="auto"/>
            <w:gridSpan w:val="3"/>
            <w:vAlign w:val="center"/>
            <w:hideMark/>
          </w:tcPr>
          <w:p w14:paraId="316F70AE" w14:textId="77777777" w:rsidR="00000000" w:rsidRDefault="00195E73">
            <w:pPr>
              <w:rPr>
                <w:rFonts w:eastAsia="Times New Roman"/>
                <w:sz w:val="20"/>
                <w:szCs w:val="20"/>
              </w:rPr>
            </w:pPr>
          </w:p>
        </w:tc>
        <w:tc>
          <w:tcPr>
            <w:tcW w:w="0" w:type="auto"/>
            <w:gridSpan w:val="3"/>
            <w:vAlign w:val="center"/>
            <w:hideMark/>
          </w:tcPr>
          <w:p w14:paraId="1B4293FC" w14:textId="77777777" w:rsidR="00000000" w:rsidRDefault="00195E73">
            <w:pPr>
              <w:rPr>
                <w:rFonts w:eastAsia="Times New Roman"/>
                <w:sz w:val="20"/>
                <w:szCs w:val="20"/>
              </w:rPr>
            </w:pPr>
          </w:p>
        </w:tc>
        <w:tc>
          <w:tcPr>
            <w:tcW w:w="0" w:type="auto"/>
            <w:gridSpan w:val="3"/>
            <w:vAlign w:val="center"/>
            <w:hideMark/>
          </w:tcPr>
          <w:p w14:paraId="6433FD0B" w14:textId="77777777" w:rsidR="00000000" w:rsidRDefault="00195E73">
            <w:pPr>
              <w:rPr>
                <w:rFonts w:eastAsia="Times New Roman"/>
                <w:sz w:val="20"/>
                <w:szCs w:val="20"/>
              </w:rPr>
            </w:pPr>
          </w:p>
        </w:tc>
        <w:tc>
          <w:tcPr>
            <w:tcW w:w="0" w:type="auto"/>
            <w:gridSpan w:val="2"/>
            <w:vAlign w:val="center"/>
            <w:hideMark/>
          </w:tcPr>
          <w:p w14:paraId="397F6850" w14:textId="77777777" w:rsidR="00000000" w:rsidRDefault="00195E73">
            <w:pPr>
              <w:rPr>
                <w:rFonts w:eastAsia="Times New Roman"/>
                <w:sz w:val="20"/>
                <w:szCs w:val="20"/>
              </w:rPr>
            </w:pPr>
          </w:p>
        </w:tc>
        <w:tc>
          <w:tcPr>
            <w:tcW w:w="0" w:type="auto"/>
            <w:vAlign w:val="center"/>
            <w:hideMark/>
          </w:tcPr>
          <w:p w14:paraId="67D18C51" w14:textId="77777777" w:rsidR="00000000" w:rsidRDefault="00195E73">
            <w:pPr>
              <w:rPr>
                <w:rFonts w:eastAsia="Times New Roman"/>
                <w:sz w:val="20"/>
                <w:szCs w:val="20"/>
              </w:rPr>
            </w:pPr>
          </w:p>
        </w:tc>
      </w:tr>
      <w:tr w:rsidR="00195E73" w14:paraId="5E35966F" w14:textId="77777777">
        <w:trPr>
          <w:divId w:val="116685193"/>
          <w:jc w:val="center"/>
        </w:trPr>
        <w:tc>
          <w:tcPr>
            <w:tcW w:w="0" w:type="auto"/>
            <w:gridSpan w:val="3"/>
            <w:shd w:val="clear" w:color="auto" w:fill="CCEEFF"/>
            <w:tcMar>
              <w:top w:w="30" w:type="dxa"/>
              <w:left w:w="20" w:type="dxa"/>
              <w:bottom w:w="30" w:type="dxa"/>
              <w:right w:w="20" w:type="dxa"/>
            </w:tcMar>
            <w:vAlign w:val="bottom"/>
            <w:hideMark/>
          </w:tcPr>
          <w:p w14:paraId="58DD465C" w14:textId="77777777" w:rsidR="00000000" w:rsidRDefault="00195E73">
            <w:pPr>
              <w:ind w:hanging="180"/>
              <w:divId w:val="1160849120"/>
              <w:rPr>
                <w:rFonts w:eastAsia="Times New Roman"/>
              </w:rPr>
            </w:pPr>
            <w:r>
              <w:rPr>
                <w:rFonts w:eastAsia="Times New Roman"/>
                <w:color w:val="000000"/>
                <w:sz w:val="20"/>
                <w:szCs w:val="20"/>
              </w:rPr>
              <w:t>Debt obligation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3BE11BE7"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5F836A6" w14:textId="77777777" w:rsidR="00000000" w:rsidRDefault="00195E73">
            <w:pPr>
              <w:jc w:val="right"/>
              <w:rPr>
                <w:rFonts w:eastAsia="Times New Roman"/>
              </w:rPr>
            </w:pPr>
            <w:r>
              <w:rPr>
                <w:rFonts w:eastAsia="Times New Roman"/>
                <w:color w:val="000000"/>
                <w:sz w:val="20"/>
                <w:szCs w:val="20"/>
              </w:rPr>
              <w:t>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E554DF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99C66B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01CD1CB"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CA940BE" w14:textId="77777777" w:rsidR="00000000" w:rsidRDefault="00195E73">
            <w:pPr>
              <w:jc w:val="right"/>
              <w:rPr>
                <w:rFonts w:eastAsia="Times New Roman"/>
              </w:rPr>
            </w:pPr>
            <w:r>
              <w:rPr>
                <w:rFonts w:eastAsia="Times New Roman"/>
                <w:color w:val="000000"/>
                <w:sz w:val="20"/>
                <w:szCs w:val="20"/>
              </w:rPr>
              <w:t>640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425BDB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6EC300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DFC7EB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A965FC9" w14:textId="77777777" w:rsidR="00000000" w:rsidRDefault="00195E73">
            <w:pPr>
              <w:jc w:val="right"/>
              <w:rPr>
                <w:rFonts w:eastAsia="Times New Roman"/>
              </w:rPr>
            </w:pPr>
            <w:r>
              <w:rPr>
                <w:rFonts w:eastAsia="Times New Roman"/>
                <w:color w:val="000000"/>
                <w:sz w:val="20"/>
                <w:szCs w:val="20"/>
              </w:rPr>
              <w:t>3,055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5E5A76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6538D7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E668B2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EF56C93" w14:textId="77777777" w:rsidR="00000000" w:rsidRDefault="00195E73">
            <w:pPr>
              <w:jc w:val="right"/>
              <w:rPr>
                <w:rFonts w:eastAsia="Times New Roman"/>
              </w:rPr>
            </w:pPr>
            <w:r>
              <w:rPr>
                <w:rFonts w:eastAsia="Times New Roman"/>
                <w:color w:val="000000"/>
                <w:sz w:val="20"/>
                <w:szCs w:val="20"/>
              </w:rPr>
              <w:t>645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853249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8AF588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9E3D1D7"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3F5F1AF" w14:textId="77777777" w:rsidR="00000000" w:rsidRDefault="00195E73">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D45927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1112C3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ADAD26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7C7E7F4" w14:textId="77777777" w:rsidR="00000000" w:rsidRDefault="00195E73">
            <w:pPr>
              <w:jc w:val="right"/>
              <w:rPr>
                <w:rFonts w:eastAsia="Times New Roman"/>
              </w:rPr>
            </w:pPr>
            <w:r>
              <w:rPr>
                <w:rFonts w:eastAsia="Times New Roman"/>
                <w:color w:val="000000"/>
                <w:sz w:val="20"/>
                <w:szCs w:val="20"/>
              </w:rPr>
              <w:t>2,751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B1A70C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64724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88109C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961C88D" w14:textId="77777777" w:rsidR="00000000" w:rsidRDefault="00195E73">
            <w:pPr>
              <w:jc w:val="right"/>
              <w:rPr>
                <w:rFonts w:eastAsia="Times New Roman"/>
              </w:rPr>
            </w:pPr>
            <w:r>
              <w:rPr>
                <w:rFonts w:eastAsia="Times New Roman"/>
                <w:color w:val="000000"/>
                <w:sz w:val="20"/>
                <w:szCs w:val="20"/>
              </w:rPr>
              <w:t>8,126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757A33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81D2E39" w14:textId="77777777" w:rsidR="00000000" w:rsidRDefault="00195E73">
            <w:pPr>
              <w:rPr>
                <w:rFonts w:eastAsia="Times New Roman"/>
                <w:sz w:val="20"/>
                <w:szCs w:val="20"/>
              </w:rPr>
            </w:pPr>
          </w:p>
        </w:tc>
        <w:tc>
          <w:tcPr>
            <w:tcW w:w="0" w:type="auto"/>
            <w:vAlign w:val="center"/>
            <w:hideMark/>
          </w:tcPr>
          <w:p w14:paraId="12833839" w14:textId="77777777" w:rsidR="00000000" w:rsidRDefault="00195E73">
            <w:pPr>
              <w:rPr>
                <w:rFonts w:eastAsia="Times New Roman"/>
                <w:sz w:val="20"/>
                <w:szCs w:val="20"/>
              </w:rPr>
            </w:pPr>
          </w:p>
        </w:tc>
        <w:tc>
          <w:tcPr>
            <w:tcW w:w="0" w:type="auto"/>
            <w:vAlign w:val="center"/>
            <w:hideMark/>
          </w:tcPr>
          <w:p w14:paraId="4F108B64" w14:textId="77777777" w:rsidR="00000000" w:rsidRDefault="00195E73">
            <w:pPr>
              <w:rPr>
                <w:rFonts w:eastAsia="Times New Roman"/>
                <w:sz w:val="20"/>
                <w:szCs w:val="20"/>
              </w:rPr>
            </w:pPr>
          </w:p>
        </w:tc>
        <w:tc>
          <w:tcPr>
            <w:tcW w:w="0" w:type="auto"/>
            <w:vAlign w:val="center"/>
            <w:hideMark/>
          </w:tcPr>
          <w:p w14:paraId="48C06D5E" w14:textId="77777777" w:rsidR="00000000" w:rsidRDefault="00195E73">
            <w:pPr>
              <w:rPr>
                <w:rFonts w:eastAsia="Times New Roman"/>
                <w:sz w:val="20"/>
                <w:szCs w:val="20"/>
              </w:rPr>
            </w:pPr>
          </w:p>
        </w:tc>
        <w:tc>
          <w:tcPr>
            <w:tcW w:w="0" w:type="auto"/>
            <w:vAlign w:val="center"/>
            <w:hideMark/>
          </w:tcPr>
          <w:p w14:paraId="19309A86" w14:textId="77777777" w:rsidR="00000000" w:rsidRDefault="00195E73">
            <w:pPr>
              <w:rPr>
                <w:rFonts w:eastAsia="Times New Roman"/>
                <w:sz w:val="20"/>
                <w:szCs w:val="20"/>
              </w:rPr>
            </w:pPr>
          </w:p>
        </w:tc>
        <w:tc>
          <w:tcPr>
            <w:tcW w:w="0" w:type="auto"/>
            <w:vAlign w:val="center"/>
            <w:hideMark/>
          </w:tcPr>
          <w:p w14:paraId="78A4C551" w14:textId="77777777" w:rsidR="00000000" w:rsidRDefault="00195E73">
            <w:pPr>
              <w:rPr>
                <w:rFonts w:eastAsia="Times New Roman"/>
                <w:sz w:val="20"/>
                <w:szCs w:val="20"/>
              </w:rPr>
            </w:pPr>
          </w:p>
        </w:tc>
        <w:tc>
          <w:tcPr>
            <w:tcW w:w="0" w:type="auto"/>
            <w:vAlign w:val="center"/>
            <w:hideMark/>
          </w:tcPr>
          <w:p w14:paraId="6432AEEF" w14:textId="77777777" w:rsidR="00000000" w:rsidRDefault="00195E73">
            <w:pPr>
              <w:rPr>
                <w:rFonts w:eastAsia="Times New Roman"/>
                <w:sz w:val="20"/>
                <w:szCs w:val="20"/>
              </w:rPr>
            </w:pPr>
          </w:p>
        </w:tc>
        <w:tc>
          <w:tcPr>
            <w:tcW w:w="0" w:type="auto"/>
            <w:vAlign w:val="center"/>
            <w:hideMark/>
          </w:tcPr>
          <w:p w14:paraId="076DE011" w14:textId="77777777" w:rsidR="00000000" w:rsidRDefault="00195E73">
            <w:pPr>
              <w:rPr>
                <w:rFonts w:eastAsia="Times New Roman"/>
                <w:sz w:val="20"/>
                <w:szCs w:val="20"/>
              </w:rPr>
            </w:pPr>
          </w:p>
        </w:tc>
        <w:tc>
          <w:tcPr>
            <w:tcW w:w="0" w:type="auto"/>
            <w:vAlign w:val="center"/>
            <w:hideMark/>
          </w:tcPr>
          <w:p w14:paraId="1D39AC77" w14:textId="77777777" w:rsidR="00000000" w:rsidRDefault="00195E73">
            <w:pPr>
              <w:rPr>
                <w:rFonts w:eastAsia="Times New Roman"/>
                <w:sz w:val="20"/>
                <w:szCs w:val="20"/>
              </w:rPr>
            </w:pPr>
          </w:p>
        </w:tc>
        <w:tc>
          <w:tcPr>
            <w:tcW w:w="0" w:type="auto"/>
            <w:vAlign w:val="center"/>
            <w:hideMark/>
          </w:tcPr>
          <w:p w14:paraId="489A253A" w14:textId="77777777" w:rsidR="00000000" w:rsidRDefault="00195E73">
            <w:pPr>
              <w:rPr>
                <w:rFonts w:eastAsia="Times New Roman"/>
                <w:sz w:val="20"/>
                <w:szCs w:val="20"/>
              </w:rPr>
            </w:pPr>
          </w:p>
        </w:tc>
        <w:tc>
          <w:tcPr>
            <w:tcW w:w="0" w:type="auto"/>
            <w:vAlign w:val="center"/>
            <w:hideMark/>
          </w:tcPr>
          <w:p w14:paraId="5C92ED4C" w14:textId="77777777" w:rsidR="00000000" w:rsidRDefault="00195E73">
            <w:pPr>
              <w:rPr>
                <w:rFonts w:eastAsia="Times New Roman"/>
                <w:sz w:val="20"/>
                <w:szCs w:val="20"/>
              </w:rPr>
            </w:pPr>
          </w:p>
        </w:tc>
        <w:tc>
          <w:tcPr>
            <w:tcW w:w="0" w:type="auto"/>
            <w:vAlign w:val="center"/>
            <w:hideMark/>
          </w:tcPr>
          <w:p w14:paraId="0BA6648A" w14:textId="77777777" w:rsidR="00000000" w:rsidRDefault="00195E73">
            <w:pPr>
              <w:rPr>
                <w:rFonts w:eastAsia="Times New Roman"/>
                <w:sz w:val="20"/>
                <w:szCs w:val="20"/>
              </w:rPr>
            </w:pPr>
          </w:p>
        </w:tc>
        <w:tc>
          <w:tcPr>
            <w:tcW w:w="0" w:type="auto"/>
            <w:vAlign w:val="center"/>
            <w:hideMark/>
          </w:tcPr>
          <w:p w14:paraId="096BB324" w14:textId="77777777" w:rsidR="00000000" w:rsidRDefault="00195E73">
            <w:pPr>
              <w:rPr>
                <w:rFonts w:eastAsia="Times New Roman"/>
                <w:sz w:val="20"/>
                <w:szCs w:val="20"/>
              </w:rPr>
            </w:pPr>
          </w:p>
        </w:tc>
        <w:tc>
          <w:tcPr>
            <w:tcW w:w="0" w:type="auto"/>
            <w:vAlign w:val="center"/>
            <w:hideMark/>
          </w:tcPr>
          <w:p w14:paraId="03C4179E" w14:textId="77777777" w:rsidR="00000000" w:rsidRDefault="00195E73">
            <w:pPr>
              <w:rPr>
                <w:rFonts w:eastAsia="Times New Roman"/>
                <w:sz w:val="20"/>
                <w:szCs w:val="20"/>
              </w:rPr>
            </w:pPr>
          </w:p>
        </w:tc>
        <w:tc>
          <w:tcPr>
            <w:tcW w:w="0" w:type="auto"/>
            <w:vAlign w:val="center"/>
            <w:hideMark/>
          </w:tcPr>
          <w:p w14:paraId="14CAA9F8" w14:textId="77777777" w:rsidR="00000000" w:rsidRDefault="00195E73">
            <w:pPr>
              <w:rPr>
                <w:rFonts w:eastAsia="Times New Roman"/>
                <w:sz w:val="20"/>
                <w:szCs w:val="20"/>
              </w:rPr>
            </w:pPr>
          </w:p>
        </w:tc>
        <w:tc>
          <w:tcPr>
            <w:tcW w:w="0" w:type="auto"/>
            <w:vAlign w:val="center"/>
            <w:hideMark/>
          </w:tcPr>
          <w:p w14:paraId="3DE750F5" w14:textId="77777777" w:rsidR="00000000" w:rsidRDefault="00195E73">
            <w:pPr>
              <w:rPr>
                <w:rFonts w:eastAsia="Times New Roman"/>
                <w:sz w:val="20"/>
                <w:szCs w:val="20"/>
              </w:rPr>
            </w:pPr>
          </w:p>
        </w:tc>
        <w:tc>
          <w:tcPr>
            <w:tcW w:w="0" w:type="auto"/>
            <w:vAlign w:val="center"/>
            <w:hideMark/>
          </w:tcPr>
          <w:p w14:paraId="6E1993E1" w14:textId="77777777" w:rsidR="00000000" w:rsidRDefault="00195E73">
            <w:pPr>
              <w:rPr>
                <w:rFonts w:eastAsia="Times New Roman"/>
                <w:sz w:val="20"/>
                <w:szCs w:val="20"/>
              </w:rPr>
            </w:pPr>
          </w:p>
        </w:tc>
        <w:tc>
          <w:tcPr>
            <w:tcW w:w="0" w:type="auto"/>
            <w:vAlign w:val="center"/>
            <w:hideMark/>
          </w:tcPr>
          <w:p w14:paraId="664B0683" w14:textId="77777777" w:rsidR="00000000" w:rsidRDefault="00195E73">
            <w:pPr>
              <w:rPr>
                <w:rFonts w:eastAsia="Times New Roman"/>
                <w:sz w:val="20"/>
                <w:szCs w:val="20"/>
              </w:rPr>
            </w:pPr>
          </w:p>
        </w:tc>
        <w:tc>
          <w:tcPr>
            <w:tcW w:w="0" w:type="auto"/>
            <w:vAlign w:val="center"/>
            <w:hideMark/>
          </w:tcPr>
          <w:p w14:paraId="6745BF75" w14:textId="77777777" w:rsidR="00000000" w:rsidRDefault="00195E73">
            <w:pPr>
              <w:rPr>
                <w:rFonts w:eastAsia="Times New Roman"/>
                <w:sz w:val="20"/>
                <w:szCs w:val="20"/>
              </w:rPr>
            </w:pPr>
          </w:p>
        </w:tc>
        <w:tc>
          <w:tcPr>
            <w:tcW w:w="0" w:type="auto"/>
            <w:vAlign w:val="center"/>
            <w:hideMark/>
          </w:tcPr>
          <w:p w14:paraId="79CECC9C" w14:textId="77777777" w:rsidR="00000000" w:rsidRDefault="00195E73">
            <w:pPr>
              <w:rPr>
                <w:rFonts w:eastAsia="Times New Roman"/>
                <w:sz w:val="20"/>
                <w:szCs w:val="20"/>
              </w:rPr>
            </w:pPr>
          </w:p>
        </w:tc>
        <w:tc>
          <w:tcPr>
            <w:tcW w:w="0" w:type="auto"/>
            <w:vAlign w:val="center"/>
            <w:hideMark/>
          </w:tcPr>
          <w:p w14:paraId="0D8C6619" w14:textId="77777777" w:rsidR="00000000" w:rsidRDefault="00195E73">
            <w:pPr>
              <w:rPr>
                <w:rFonts w:eastAsia="Times New Roman"/>
                <w:sz w:val="20"/>
                <w:szCs w:val="20"/>
              </w:rPr>
            </w:pPr>
          </w:p>
        </w:tc>
      </w:tr>
      <w:tr w:rsidR="00000000" w14:paraId="67571234" w14:textId="77777777">
        <w:trPr>
          <w:divId w:val="116685193"/>
          <w:jc w:val="center"/>
        </w:trPr>
        <w:tc>
          <w:tcPr>
            <w:tcW w:w="0" w:type="auto"/>
            <w:gridSpan w:val="3"/>
            <w:shd w:val="clear" w:color="auto" w:fill="FFFFFF"/>
            <w:tcMar>
              <w:top w:w="30" w:type="dxa"/>
              <w:left w:w="20" w:type="dxa"/>
              <w:bottom w:w="30" w:type="dxa"/>
              <w:right w:w="20" w:type="dxa"/>
            </w:tcMar>
            <w:vAlign w:val="bottom"/>
            <w:hideMark/>
          </w:tcPr>
          <w:p w14:paraId="48D919DC" w14:textId="77777777" w:rsidR="00000000" w:rsidRDefault="00195E73">
            <w:pPr>
              <w:rPr>
                <w:rFonts w:eastAsia="Times New Roman"/>
              </w:rPr>
            </w:pPr>
            <w:r>
              <w:rPr>
                <w:rFonts w:eastAsia="Times New Roman"/>
                <w:color w:val="000000"/>
                <w:sz w:val="20"/>
                <w:szCs w:val="20"/>
              </w:rPr>
              <w:t>Financing lease obligation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BC1D839" w14:textId="77777777" w:rsidR="00000000" w:rsidRDefault="00195E73">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690F19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191743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234E13" w14:textId="77777777" w:rsidR="00000000" w:rsidRDefault="00195E73">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976F34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36117A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D66354" w14:textId="77777777" w:rsidR="00000000" w:rsidRDefault="00195E73">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1AD3D5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E16484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DFD5AA" w14:textId="77777777" w:rsidR="00000000" w:rsidRDefault="00195E73">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11496A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DE356F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8CD9BE" w14:textId="77777777" w:rsidR="00000000" w:rsidRDefault="00195E73">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789F98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337AAE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A361F6" w14:textId="77777777" w:rsidR="00000000" w:rsidRDefault="00195E73">
            <w:pPr>
              <w:jc w:val="right"/>
              <w:rPr>
                <w:rFonts w:eastAsia="Times New Roman"/>
              </w:rPr>
            </w:pPr>
            <w:r>
              <w:rPr>
                <w:rFonts w:eastAsia="Times New Roman"/>
                <w:color w:val="000000"/>
                <w:sz w:val="20"/>
                <w:szCs w:val="20"/>
              </w:rPr>
              <w:t>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BF20D9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000DB1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E1A46C" w14:textId="77777777" w:rsidR="00000000" w:rsidRDefault="00195E73">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A6D9D6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A3B330E" w14:textId="77777777" w:rsidR="00000000" w:rsidRDefault="00195E73">
            <w:pPr>
              <w:rPr>
                <w:rFonts w:eastAsia="Times New Roman"/>
                <w:sz w:val="20"/>
                <w:szCs w:val="20"/>
              </w:rPr>
            </w:pPr>
          </w:p>
        </w:tc>
        <w:tc>
          <w:tcPr>
            <w:tcW w:w="0" w:type="auto"/>
            <w:vAlign w:val="center"/>
            <w:hideMark/>
          </w:tcPr>
          <w:p w14:paraId="5C228F5A" w14:textId="77777777" w:rsidR="00000000" w:rsidRDefault="00195E73">
            <w:pPr>
              <w:rPr>
                <w:rFonts w:eastAsia="Times New Roman"/>
                <w:sz w:val="20"/>
                <w:szCs w:val="20"/>
              </w:rPr>
            </w:pPr>
          </w:p>
        </w:tc>
        <w:tc>
          <w:tcPr>
            <w:tcW w:w="0" w:type="auto"/>
            <w:vAlign w:val="center"/>
            <w:hideMark/>
          </w:tcPr>
          <w:p w14:paraId="34E265C9" w14:textId="77777777" w:rsidR="00000000" w:rsidRDefault="00195E73">
            <w:pPr>
              <w:rPr>
                <w:rFonts w:eastAsia="Times New Roman"/>
                <w:sz w:val="20"/>
                <w:szCs w:val="20"/>
              </w:rPr>
            </w:pPr>
          </w:p>
        </w:tc>
        <w:tc>
          <w:tcPr>
            <w:tcW w:w="0" w:type="auto"/>
            <w:vAlign w:val="center"/>
            <w:hideMark/>
          </w:tcPr>
          <w:p w14:paraId="6C678DAF" w14:textId="77777777" w:rsidR="00000000" w:rsidRDefault="00195E73">
            <w:pPr>
              <w:rPr>
                <w:rFonts w:eastAsia="Times New Roman"/>
                <w:sz w:val="20"/>
                <w:szCs w:val="20"/>
              </w:rPr>
            </w:pPr>
          </w:p>
        </w:tc>
        <w:tc>
          <w:tcPr>
            <w:tcW w:w="0" w:type="auto"/>
            <w:vAlign w:val="center"/>
            <w:hideMark/>
          </w:tcPr>
          <w:p w14:paraId="5BB35F38" w14:textId="77777777" w:rsidR="00000000" w:rsidRDefault="00195E73">
            <w:pPr>
              <w:rPr>
                <w:rFonts w:eastAsia="Times New Roman"/>
                <w:sz w:val="20"/>
                <w:szCs w:val="20"/>
              </w:rPr>
            </w:pPr>
          </w:p>
        </w:tc>
        <w:tc>
          <w:tcPr>
            <w:tcW w:w="0" w:type="auto"/>
            <w:vAlign w:val="center"/>
            <w:hideMark/>
          </w:tcPr>
          <w:p w14:paraId="0B58CFDF" w14:textId="77777777" w:rsidR="00000000" w:rsidRDefault="00195E73">
            <w:pPr>
              <w:rPr>
                <w:rFonts w:eastAsia="Times New Roman"/>
                <w:sz w:val="20"/>
                <w:szCs w:val="20"/>
              </w:rPr>
            </w:pPr>
          </w:p>
        </w:tc>
        <w:tc>
          <w:tcPr>
            <w:tcW w:w="0" w:type="auto"/>
            <w:vAlign w:val="center"/>
            <w:hideMark/>
          </w:tcPr>
          <w:p w14:paraId="692B6065" w14:textId="77777777" w:rsidR="00000000" w:rsidRDefault="00195E73">
            <w:pPr>
              <w:rPr>
                <w:rFonts w:eastAsia="Times New Roman"/>
                <w:sz w:val="20"/>
                <w:szCs w:val="20"/>
              </w:rPr>
            </w:pPr>
          </w:p>
        </w:tc>
        <w:tc>
          <w:tcPr>
            <w:tcW w:w="0" w:type="auto"/>
            <w:vAlign w:val="center"/>
            <w:hideMark/>
          </w:tcPr>
          <w:p w14:paraId="401E0059" w14:textId="77777777" w:rsidR="00000000" w:rsidRDefault="00195E73">
            <w:pPr>
              <w:rPr>
                <w:rFonts w:eastAsia="Times New Roman"/>
                <w:sz w:val="20"/>
                <w:szCs w:val="20"/>
              </w:rPr>
            </w:pPr>
          </w:p>
        </w:tc>
        <w:tc>
          <w:tcPr>
            <w:tcW w:w="0" w:type="auto"/>
            <w:vAlign w:val="center"/>
            <w:hideMark/>
          </w:tcPr>
          <w:p w14:paraId="5A002142" w14:textId="77777777" w:rsidR="00000000" w:rsidRDefault="00195E73">
            <w:pPr>
              <w:rPr>
                <w:rFonts w:eastAsia="Times New Roman"/>
                <w:sz w:val="20"/>
                <w:szCs w:val="20"/>
              </w:rPr>
            </w:pPr>
          </w:p>
        </w:tc>
        <w:tc>
          <w:tcPr>
            <w:tcW w:w="0" w:type="auto"/>
            <w:vAlign w:val="center"/>
            <w:hideMark/>
          </w:tcPr>
          <w:p w14:paraId="5208D364" w14:textId="77777777" w:rsidR="00000000" w:rsidRDefault="00195E73">
            <w:pPr>
              <w:rPr>
                <w:rFonts w:eastAsia="Times New Roman"/>
                <w:sz w:val="20"/>
                <w:szCs w:val="20"/>
              </w:rPr>
            </w:pPr>
          </w:p>
        </w:tc>
        <w:tc>
          <w:tcPr>
            <w:tcW w:w="0" w:type="auto"/>
            <w:vAlign w:val="center"/>
            <w:hideMark/>
          </w:tcPr>
          <w:p w14:paraId="37A28B2E" w14:textId="77777777" w:rsidR="00000000" w:rsidRDefault="00195E73">
            <w:pPr>
              <w:rPr>
                <w:rFonts w:eastAsia="Times New Roman"/>
                <w:sz w:val="20"/>
                <w:szCs w:val="20"/>
              </w:rPr>
            </w:pPr>
          </w:p>
        </w:tc>
        <w:tc>
          <w:tcPr>
            <w:tcW w:w="0" w:type="auto"/>
            <w:vAlign w:val="center"/>
            <w:hideMark/>
          </w:tcPr>
          <w:p w14:paraId="71C2341B" w14:textId="77777777" w:rsidR="00000000" w:rsidRDefault="00195E73">
            <w:pPr>
              <w:rPr>
                <w:rFonts w:eastAsia="Times New Roman"/>
                <w:sz w:val="20"/>
                <w:szCs w:val="20"/>
              </w:rPr>
            </w:pPr>
          </w:p>
        </w:tc>
        <w:tc>
          <w:tcPr>
            <w:tcW w:w="0" w:type="auto"/>
            <w:vAlign w:val="center"/>
            <w:hideMark/>
          </w:tcPr>
          <w:p w14:paraId="4255EC31" w14:textId="77777777" w:rsidR="00000000" w:rsidRDefault="00195E73">
            <w:pPr>
              <w:rPr>
                <w:rFonts w:eastAsia="Times New Roman"/>
                <w:sz w:val="20"/>
                <w:szCs w:val="20"/>
              </w:rPr>
            </w:pPr>
          </w:p>
        </w:tc>
        <w:tc>
          <w:tcPr>
            <w:tcW w:w="0" w:type="auto"/>
            <w:vAlign w:val="center"/>
            <w:hideMark/>
          </w:tcPr>
          <w:p w14:paraId="7552DB5B" w14:textId="77777777" w:rsidR="00000000" w:rsidRDefault="00195E73">
            <w:pPr>
              <w:rPr>
                <w:rFonts w:eastAsia="Times New Roman"/>
                <w:sz w:val="20"/>
                <w:szCs w:val="20"/>
              </w:rPr>
            </w:pPr>
          </w:p>
        </w:tc>
        <w:tc>
          <w:tcPr>
            <w:tcW w:w="0" w:type="auto"/>
            <w:vAlign w:val="center"/>
            <w:hideMark/>
          </w:tcPr>
          <w:p w14:paraId="06B61DCF" w14:textId="77777777" w:rsidR="00000000" w:rsidRDefault="00195E73">
            <w:pPr>
              <w:rPr>
                <w:rFonts w:eastAsia="Times New Roman"/>
                <w:sz w:val="20"/>
                <w:szCs w:val="20"/>
              </w:rPr>
            </w:pPr>
          </w:p>
        </w:tc>
        <w:tc>
          <w:tcPr>
            <w:tcW w:w="0" w:type="auto"/>
            <w:vAlign w:val="center"/>
            <w:hideMark/>
          </w:tcPr>
          <w:p w14:paraId="13A24978" w14:textId="77777777" w:rsidR="00000000" w:rsidRDefault="00195E73">
            <w:pPr>
              <w:rPr>
                <w:rFonts w:eastAsia="Times New Roman"/>
                <w:sz w:val="20"/>
                <w:szCs w:val="20"/>
              </w:rPr>
            </w:pPr>
          </w:p>
        </w:tc>
        <w:tc>
          <w:tcPr>
            <w:tcW w:w="0" w:type="auto"/>
            <w:vAlign w:val="center"/>
            <w:hideMark/>
          </w:tcPr>
          <w:p w14:paraId="53E94E12" w14:textId="77777777" w:rsidR="00000000" w:rsidRDefault="00195E73">
            <w:pPr>
              <w:rPr>
                <w:rFonts w:eastAsia="Times New Roman"/>
                <w:sz w:val="20"/>
                <w:szCs w:val="20"/>
              </w:rPr>
            </w:pPr>
          </w:p>
        </w:tc>
        <w:tc>
          <w:tcPr>
            <w:tcW w:w="0" w:type="auto"/>
            <w:vAlign w:val="center"/>
            <w:hideMark/>
          </w:tcPr>
          <w:p w14:paraId="3864DB56" w14:textId="77777777" w:rsidR="00000000" w:rsidRDefault="00195E73">
            <w:pPr>
              <w:rPr>
                <w:rFonts w:eastAsia="Times New Roman"/>
                <w:sz w:val="20"/>
                <w:szCs w:val="20"/>
              </w:rPr>
            </w:pPr>
          </w:p>
        </w:tc>
        <w:tc>
          <w:tcPr>
            <w:tcW w:w="0" w:type="auto"/>
            <w:vAlign w:val="center"/>
            <w:hideMark/>
          </w:tcPr>
          <w:p w14:paraId="103F4112" w14:textId="77777777" w:rsidR="00000000" w:rsidRDefault="00195E73">
            <w:pPr>
              <w:rPr>
                <w:rFonts w:eastAsia="Times New Roman"/>
                <w:sz w:val="20"/>
                <w:szCs w:val="20"/>
              </w:rPr>
            </w:pPr>
          </w:p>
        </w:tc>
        <w:tc>
          <w:tcPr>
            <w:tcW w:w="0" w:type="auto"/>
            <w:vAlign w:val="center"/>
            <w:hideMark/>
          </w:tcPr>
          <w:p w14:paraId="65B0064F" w14:textId="77777777" w:rsidR="00000000" w:rsidRDefault="00195E73">
            <w:pPr>
              <w:rPr>
                <w:rFonts w:eastAsia="Times New Roman"/>
                <w:sz w:val="20"/>
                <w:szCs w:val="20"/>
              </w:rPr>
            </w:pPr>
          </w:p>
        </w:tc>
        <w:tc>
          <w:tcPr>
            <w:tcW w:w="0" w:type="auto"/>
            <w:vAlign w:val="center"/>
            <w:hideMark/>
          </w:tcPr>
          <w:p w14:paraId="2CEEFC70" w14:textId="77777777" w:rsidR="00000000" w:rsidRDefault="00195E73">
            <w:pPr>
              <w:rPr>
                <w:rFonts w:eastAsia="Times New Roman"/>
                <w:sz w:val="20"/>
                <w:szCs w:val="20"/>
              </w:rPr>
            </w:pPr>
          </w:p>
        </w:tc>
      </w:tr>
      <w:tr w:rsidR="00000000" w14:paraId="267BDDD0" w14:textId="77777777">
        <w:trPr>
          <w:divId w:val="116685193"/>
          <w:jc w:val="center"/>
        </w:trPr>
        <w:tc>
          <w:tcPr>
            <w:tcW w:w="0" w:type="auto"/>
            <w:gridSpan w:val="3"/>
            <w:shd w:val="clear" w:color="auto" w:fill="CCEEFF"/>
            <w:tcMar>
              <w:top w:w="30" w:type="dxa"/>
              <w:left w:w="20" w:type="dxa"/>
              <w:bottom w:w="30" w:type="dxa"/>
              <w:right w:w="20" w:type="dxa"/>
            </w:tcMar>
            <w:vAlign w:val="bottom"/>
            <w:hideMark/>
          </w:tcPr>
          <w:p w14:paraId="1262339A" w14:textId="77777777" w:rsidR="00000000" w:rsidRDefault="00195E73">
            <w:pPr>
              <w:rPr>
                <w:rFonts w:eastAsia="Times New Roman"/>
              </w:rPr>
            </w:pPr>
            <w:r>
              <w:rPr>
                <w:rFonts w:eastAsia="Times New Roman"/>
                <w:color w:val="000000"/>
                <w:sz w:val="20"/>
                <w:szCs w:val="20"/>
              </w:rPr>
              <w:t>Interest payment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5C626533" w14:textId="77777777" w:rsidR="00000000" w:rsidRDefault="00195E73">
            <w:pPr>
              <w:jc w:val="right"/>
              <w:rPr>
                <w:rFonts w:eastAsia="Times New Roman"/>
              </w:rPr>
            </w:pPr>
            <w:r>
              <w:rPr>
                <w:rFonts w:eastAsia="Times New Roman"/>
                <w:color w:val="000000"/>
                <w:sz w:val="20"/>
                <w:szCs w:val="20"/>
              </w:rPr>
              <w:t>506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D12F9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51B9A7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00615B" w14:textId="77777777" w:rsidR="00000000" w:rsidRDefault="00195E73">
            <w:pPr>
              <w:jc w:val="right"/>
              <w:rPr>
                <w:rFonts w:eastAsia="Times New Roman"/>
              </w:rPr>
            </w:pPr>
            <w:r>
              <w:rPr>
                <w:rFonts w:eastAsia="Times New Roman"/>
                <w:color w:val="000000"/>
                <w:sz w:val="20"/>
                <w:szCs w:val="20"/>
              </w:rPr>
              <w:t>487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CA3890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CD528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E49FC0" w14:textId="77777777" w:rsidR="00000000" w:rsidRDefault="00195E73">
            <w:pPr>
              <w:jc w:val="right"/>
              <w:rPr>
                <w:rFonts w:eastAsia="Times New Roman"/>
              </w:rPr>
            </w:pPr>
            <w:r>
              <w:rPr>
                <w:rFonts w:eastAsia="Times New Roman"/>
                <w:color w:val="000000"/>
                <w:sz w:val="20"/>
                <w:szCs w:val="20"/>
              </w:rPr>
              <w:t>393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8D148E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FE618E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558FEF" w14:textId="77777777" w:rsidR="00000000" w:rsidRDefault="00195E73">
            <w:pPr>
              <w:jc w:val="right"/>
              <w:rPr>
                <w:rFonts w:eastAsia="Times New Roman"/>
              </w:rPr>
            </w:pPr>
            <w:r>
              <w:rPr>
                <w:rFonts w:eastAsia="Times New Roman"/>
                <w:color w:val="000000"/>
                <w:sz w:val="20"/>
                <w:szCs w:val="20"/>
              </w:rPr>
              <w:t>257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27FAB0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6CFFD7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3C59C3" w14:textId="77777777" w:rsidR="00000000" w:rsidRDefault="00195E73">
            <w:pPr>
              <w:jc w:val="right"/>
              <w:rPr>
                <w:rFonts w:eastAsia="Times New Roman"/>
              </w:rPr>
            </w:pPr>
            <w:r>
              <w:rPr>
                <w:rFonts w:eastAsia="Times New Roman"/>
                <w:color w:val="000000"/>
                <w:sz w:val="20"/>
                <w:szCs w:val="20"/>
              </w:rPr>
              <w:t>210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A4C4DE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C557C5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91201A" w14:textId="77777777" w:rsidR="00000000" w:rsidRDefault="00195E73">
            <w:pPr>
              <w:jc w:val="right"/>
              <w:rPr>
                <w:rFonts w:eastAsia="Times New Roman"/>
              </w:rPr>
            </w:pPr>
            <w:r>
              <w:rPr>
                <w:rFonts w:eastAsia="Times New Roman"/>
                <w:color w:val="000000"/>
                <w:sz w:val="20"/>
                <w:szCs w:val="20"/>
              </w:rPr>
              <w:t>286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8896C5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B0D6EC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5F1B0A" w14:textId="77777777" w:rsidR="00000000" w:rsidRDefault="00195E73">
            <w:pPr>
              <w:jc w:val="right"/>
              <w:rPr>
                <w:rFonts w:eastAsia="Times New Roman"/>
              </w:rPr>
            </w:pPr>
            <w:r>
              <w:rPr>
                <w:rFonts w:eastAsia="Times New Roman"/>
                <w:color w:val="000000"/>
                <w:sz w:val="20"/>
                <w:szCs w:val="20"/>
              </w:rPr>
              <w:t>2,139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49D0D3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8102AB3" w14:textId="77777777" w:rsidR="00000000" w:rsidRDefault="00195E73">
            <w:pPr>
              <w:rPr>
                <w:rFonts w:eastAsia="Times New Roman"/>
                <w:sz w:val="20"/>
                <w:szCs w:val="20"/>
              </w:rPr>
            </w:pPr>
          </w:p>
        </w:tc>
        <w:tc>
          <w:tcPr>
            <w:tcW w:w="0" w:type="auto"/>
            <w:vAlign w:val="center"/>
            <w:hideMark/>
          </w:tcPr>
          <w:p w14:paraId="1F4318AE" w14:textId="77777777" w:rsidR="00000000" w:rsidRDefault="00195E73">
            <w:pPr>
              <w:rPr>
                <w:rFonts w:eastAsia="Times New Roman"/>
                <w:sz w:val="20"/>
                <w:szCs w:val="20"/>
              </w:rPr>
            </w:pPr>
          </w:p>
        </w:tc>
        <w:tc>
          <w:tcPr>
            <w:tcW w:w="0" w:type="auto"/>
            <w:vAlign w:val="center"/>
            <w:hideMark/>
          </w:tcPr>
          <w:p w14:paraId="6C16843B" w14:textId="77777777" w:rsidR="00000000" w:rsidRDefault="00195E73">
            <w:pPr>
              <w:rPr>
                <w:rFonts w:eastAsia="Times New Roman"/>
                <w:sz w:val="20"/>
                <w:szCs w:val="20"/>
              </w:rPr>
            </w:pPr>
          </w:p>
        </w:tc>
        <w:tc>
          <w:tcPr>
            <w:tcW w:w="0" w:type="auto"/>
            <w:vAlign w:val="center"/>
            <w:hideMark/>
          </w:tcPr>
          <w:p w14:paraId="36DBAE0A" w14:textId="77777777" w:rsidR="00000000" w:rsidRDefault="00195E73">
            <w:pPr>
              <w:rPr>
                <w:rFonts w:eastAsia="Times New Roman"/>
                <w:sz w:val="20"/>
                <w:szCs w:val="20"/>
              </w:rPr>
            </w:pPr>
          </w:p>
        </w:tc>
        <w:tc>
          <w:tcPr>
            <w:tcW w:w="0" w:type="auto"/>
            <w:vAlign w:val="center"/>
            <w:hideMark/>
          </w:tcPr>
          <w:p w14:paraId="24B090F9" w14:textId="77777777" w:rsidR="00000000" w:rsidRDefault="00195E73">
            <w:pPr>
              <w:rPr>
                <w:rFonts w:eastAsia="Times New Roman"/>
                <w:sz w:val="20"/>
                <w:szCs w:val="20"/>
              </w:rPr>
            </w:pPr>
          </w:p>
        </w:tc>
        <w:tc>
          <w:tcPr>
            <w:tcW w:w="0" w:type="auto"/>
            <w:vAlign w:val="center"/>
            <w:hideMark/>
          </w:tcPr>
          <w:p w14:paraId="24B6640B" w14:textId="77777777" w:rsidR="00000000" w:rsidRDefault="00195E73">
            <w:pPr>
              <w:rPr>
                <w:rFonts w:eastAsia="Times New Roman"/>
                <w:sz w:val="20"/>
                <w:szCs w:val="20"/>
              </w:rPr>
            </w:pPr>
          </w:p>
        </w:tc>
        <w:tc>
          <w:tcPr>
            <w:tcW w:w="0" w:type="auto"/>
            <w:vAlign w:val="center"/>
            <w:hideMark/>
          </w:tcPr>
          <w:p w14:paraId="0428CDB2" w14:textId="77777777" w:rsidR="00000000" w:rsidRDefault="00195E73">
            <w:pPr>
              <w:rPr>
                <w:rFonts w:eastAsia="Times New Roman"/>
                <w:sz w:val="20"/>
                <w:szCs w:val="20"/>
              </w:rPr>
            </w:pPr>
          </w:p>
        </w:tc>
        <w:tc>
          <w:tcPr>
            <w:tcW w:w="0" w:type="auto"/>
            <w:vAlign w:val="center"/>
            <w:hideMark/>
          </w:tcPr>
          <w:p w14:paraId="2C67D505" w14:textId="77777777" w:rsidR="00000000" w:rsidRDefault="00195E73">
            <w:pPr>
              <w:rPr>
                <w:rFonts w:eastAsia="Times New Roman"/>
                <w:sz w:val="20"/>
                <w:szCs w:val="20"/>
              </w:rPr>
            </w:pPr>
          </w:p>
        </w:tc>
        <w:tc>
          <w:tcPr>
            <w:tcW w:w="0" w:type="auto"/>
            <w:vAlign w:val="center"/>
            <w:hideMark/>
          </w:tcPr>
          <w:p w14:paraId="2663F2DD" w14:textId="77777777" w:rsidR="00000000" w:rsidRDefault="00195E73">
            <w:pPr>
              <w:rPr>
                <w:rFonts w:eastAsia="Times New Roman"/>
                <w:sz w:val="20"/>
                <w:szCs w:val="20"/>
              </w:rPr>
            </w:pPr>
          </w:p>
        </w:tc>
        <w:tc>
          <w:tcPr>
            <w:tcW w:w="0" w:type="auto"/>
            <w:vAlign w:val="center"/>
            <w:hideMark/>
          </w:tcPr>
          <w:p w14:paraId="6368DE27" w14:textId="77777777" w:rsidR="00000000" w:rsidRDefault="00195E73">
            <w:pPr>
              <w:rPr>
                <w:rFonts w:eastAsia="Times New Roman"/>
                <w:sz w:val="20"/>
                <w:szCs w:val="20"/>
              </w:rPr>
            </w:pPr>
          </w:p>
        </w:tc>
        <w:tc>
          <w:tcPr>
            <w:tcW w:w="0" w:type="auto"/>
            <w:vAlign w:val="center"/>
            <w:hideMark/>
          </w:tcPr>
          <w:p w14:paraId="491F5E27" w14:textId="77777777" w:rsidR="00000000" w:rsidRDefault="00195E73">
            <w:pPr>
              <w:rPr>
                <w:rFonts w:eastAsia="Times New Roman"/>
                <w:sz w:val="20"/>
                <w:szCs w:val="20"/>
              </w:rPr>
            </w:pPr>
          </w:p>
        </w:tc>
        <w:tc>
          <w:tcPr>
            <w:tcW w:w="0" w:type="auto"/>
            <w:vAlign w:val="center"/>
            <w:hideMark/>
          </w:tcPr>
          <w:p w14:paraId="536BCBCB" w14:textId="77777777" w:rsidR="00000000" w:rsidRDefault="00195E73">
            <w:pPr>
              <w:rPr>
                <w:rFonts w:eastAsia="Times New Roman"/>
                <w:sz w:val="20"/>
                <w:szCs w:val="20"/>
              </w:rPr>
            </w:pPr>
          </w:p>
        </w:tc>
        <w:tc>
          <w:tcPr>
            <w:tcW w:w="0" w:type="auto"/>
            <w:vAlign w:val="center"/>
            <w:hideMark/>
          </w:tcPr>
          <w:p w14:paraId="69760B7A" w14:textId="77777777" w:rsidR="00000000" w:rsidRDefault="00195E73">
            <w:pPr>
              <w:rPr>
                <w:rFonts w:eastAsia="Times New Roman"/>
                <w:sz w:val="20"/>
                <w:szCs w:val="20"/>
              </w:rPr>
            </w:pPr>
          </w:p>
        </w:tc>
        <w:tc>
          <w:tcPr>
            <w:tcW w:w="0" w:type="auto"/>
            <w:vAlign w:val="center"/>
            <w:hideMark/>
          </w:tcPr>
          <w:p w14:paraId="70A33443" w14:textId="77777777" w:rsidR="00000000" w:rsidRDefault="00195E73">
            <w:pPr>
              <w:rPr>
                <w:rFonts w:eastAsia="Times New Roman"/>
                <w:sz w:val="20"/>
                <w:szCs w:val="20"/>
              </w:rPr>
            </w:pPr>
          </w:p>
        </w:tc>
        <w:tc>
          <w:tcPr>
            <w:tcW w:w="0" w:type="auto"/>
            <w:vAlign w:val="center"/>
            <w:hideMark/>
          </w:tcPr>
          <w:p w14:paraId="4018F297" w14:textId="77777777" w:rsidR="00000000" w:rsidRDefault="00195E73">
            <w:pPr>
              <w:rPr>
                <w:rFonts w:eastAsia="Times New Roman"/>
                <w:sz w:val="20"/>
                <w:szCs w:val="20"/>
              </w:rPr>
            </w:pPr>
          </w:p>
        </w:tc>
        <w:tc>
          <w:tcPr>
            <w:tcW w:w="0" w:type="auto"/>
            <w:vAlign w:val="center"/>
            <w:hideMark/>
          </w:tcPr>
          <w:p w14:paraId="181F5543" w14:textId="77777777" w:rsidR="00000000" w:rsidRDefault="00195E73">
            <w:pPr>
              <w:rPr>
                <w:rFonts w:eastAsia="Times New Roman"/>
                <w:sz w:val="20"/>
                <w:szCs w:val="20"/>
              </w:rPr>
            </w:pPr>
          </w:p>
        </w:tc>
        <w:tc>
          <w:tcPr>
            <w:tcW w:w="0" w:type="auto"/>
            <w:vAlign w:val="center"/>
            <w:hideMark/>
          </w:tcPr>
          <w:p w14:paraId="0516ACFB" w14:textId="77777777" w:rsidR="00000000" w:rsidRDefault="00195E73">
            <w:pPr>
              <w:rPr>
                <w:rFonts w:eastAsia="Times New Roman"/>
                <w:sz w:val="20"/>
                <w:szCs w:val="20"/>
              </w:rPr>
            </w:pPr>
          </w:p>
        </w:tc>
        <w:tc>
          <w:tcPr>
            <w:tcW w:w="0" w:type="auto"/>
            <w:vAlign w:val="center"/>
            <w:hideMark/>
          </w:tcPr>
          <w:p w14:paraId="51F6D127" w14:textId="77777777" w:rsidR="00000000" w:rsidRDefault="00195E73">
            <w:pPr>
              <w:rPr>
                <w:rFonts w:eastAsia="Times New Roman"/>
                <w:sz w:val="20"/>
                <w:szCs w:val="20"/>
              </w:rPr>
            </w:pPr>
          </w:p>
        </w:tc>
        <w:tc>
          <w:tcPr>
            <w:tcW w:w="0" w:type="auto"/>
            <w:vAlign w:val="center"/>
            <w:hideMark/>
          </w:tcPr>
          <w:p w14:paraId="04C2B950" w14:textId="77777777" w:rsidR="00000000" w:rsidRDefault="00195E73">
            <w:pPr>
              <w:rPr>
                <w:rFonts w:eastAsia="Times New Roman"/>
                <w:sz w:val="20"/>
                <w:szCs w:val="20"/>
              </w:rPr>
            </w:pPr>
          </w:p>
        </w:tc>
        <w:tc>
          <w:tcPr>
            <w:tcW w:w="0" w:type="auto"/>
            <w:vAlign w:val="center"/>
            <w:hideMark/>
          </w:tcPr>
          <w:p w14:paraId="3D4BD401" w14:textId="77777777" w:rsidR="00000000" w:rsidRDefault="00195E73">
            <w:pPr>
              <w:rPr>
                <w:rFonts w:eastAsia="Times New Roman"/>
                <w:sz w:val="20"/>
                <w:szCs w:val="20"/>
              </w:rPr>
            </w:pPr>
          </w:p>
        </w:tc>
        <w:tc>
          <w:tcPr>
            <w:tcW w:w="0" w:type="auto"/>
            <w:vAlign w:val="center"/>
            <w:hideMark/>
          </w:tcPr>
          <w:p w14:paraId="21110F12" w14:textId="77777777" w:rsidR="00000000" w:rsidRDefault="00195E73">
            <w:pPr>
              <w:rPr>
                <w:rFonts w:eastAsia="Times New Roman"/>
                <w:sz w:val="20"/>
                <w:szCs w:val="20"/>
              </w:rPr>
            </w:pPr>
          </w:p>
        </w:tc>
      </w:tr>
      <w:tr w:rsidR="00000000" w14:paraId="6CB1DF91" w14:textId="77777777">
        <w:trPr>
          <w:divId w:val="116685193"/>
          <w:jc w:val="center"/>
        </w:trPr>
        <w:tc>
          <w:tcPr>
            <w:tcW w:w="0" w:type="auto"/>
            <w:gridSpan w:val="3"/>
            <w:shd w:val="clear" w:color="auto" w:fill="FFFFFF"/>
            <w:tcMar>
              <w:top w:w="30" w:type="dxa"/>
              <w:left w:w="20" w:type="dxa"/>
              <w:bottom w:w="30" w:type="dxa"/>
              <w:right w:w="20" w:type="dxa"/>
            </w:tcMar>
            <w:vAlign w:val="bottom"/>
            <w:hideMark/>
          </w:tcPr>
          <w:p w14:paraId="78F937D8" w14:textId="77777777" w:rsidR="00000000" w:rsidRDefault="00195E73">
            <w:pPr>
              <w:ind w:hanging="180"/>
              <w:divId w:val="6294080"/>
              <w:rPr>
                <w:rFonts w:eastAsia="Times New Roman"/>
              </w:rPr>
            </w:pPr>
            <w:r>
              <w:rPr>
                <w:rFonts w:eastAsia="Times New Roman"/>
                <w:color w:val="000000"/>
                <w:sz w:val="20"/>
                <w:szCs w:val="20"/>
              </w:rPr>
              <w:t>Pension and other post-retirement benefit plan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BE05E05" w14:textId="77777777" w:rsidR="00000000" w:rsidRDefault="00195E73">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983A5B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79CE7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F1F19B" w14:textId="77777777" w:rsidR="00000000" w:rsidRDefault="00195E73">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5CED3B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A9D495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1315A5" w14:textId="77777777" w:rsidR="00000000" w:rsidRDefault="00195E73">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A325DF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94CA74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BA05A4" w14:textId="77777777" w:rsidR="00000000" w:rsidRDefault="00195E73">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7773CE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468E32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DE4813" w14:textId="77777777" w:rsidR="00000000" w:rsidRDefault="00195E73">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87FC7A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91A7DA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5417F0" w14:textId="77777777" w:rsidR="00000000" w:rsidRDefault="00195E73">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D270D9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E41CEB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A459C2" w14:textId="77777777" w:rsidR="00000000" w:rsidRDefault="00195E73">
            <w:pPr>
              <w:jc w:val="right"/>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5145D6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9508199" w14:textId="77777777" w:rsidR="00000000" w:rsidRDefault="00195E73">
            <w:pPr>
              <w:rPr>
                <w:rFonts w:eastAsia="Times New Roman"/>
                <w:sz w:val="20"/>
                <w:szCs w:val="20"/>
              </w:rPr>
            </w:pPr>
          </w:p>
        </w:tc>
        <w:tc>
          <w:tcPr>
            <w:tcW w:w="0" w:type="auto"/>
            <w:vAlign w:val="center"/>
            <w:hideMark/>
          </w:tcPr>
          <w:p w14:paraId="2088BF79" w14:textId="77777777" w:rsidR="00000000" w:rsidRDefault="00195E73">
            <w:pPr>
              <w:rPr>
                <w:rFonts w:eastAsia="Times New Roman"/>
                <w:sz w:val="20"/>
                <w:szCs w:val="20"/>
              </w:rPr>
            </w:pPr>
          </w:p>
        </w:tc>
        <w:tc>
          <w:tcPr>
            <w:tcW w:w="0" w:type="auto"/>
            <w:vAlign w:val="center"/>
            <w:hideMark/>
          </w:tcPr>
          <w:p w14:paraId="39264638" w14:textId="77777777" w:rsidR="00000000" w:rsidRDefault="00195E73">
            <w:pPr>
              <w:rPr>
                <w:rFonts w:eastAsia="Times New Roman"/>
                <w:sz w:val="20"/>
                <w:szCs w:val="20"/>
              </w:rPr>
            </w:pPr>
          </w:p>
        </w:tc>
        <w:tc>
          <w:tcPr>
            <w:tcW w:w="0" w:type="auto"/>
            <w:vAlign w:val="center"/>
            <w:hideMark/>
          </w:tcPr>
          <w:p w14:paraId="0C60B434" w14:textId="77777777" w:rsidR="00000000" w:rsidRDefault="00195E73">
            <w:pPr>
              <w:rPr>
                <w:rFonts w:eastAsia="Times New Roman"/>
                <w:sz w:val="20"/>
                <w:szCs w:val="20"/>
              </w:rPr>
            </w:pPr>
          </w:p>
        </w:tc>
        <w:tc>
          <w:tcPr>
            <w:tcW w:w="0" w:type="auto"/>
            <w:vAlign w:val="center"/>
            <w:hideMark/>
          </w:tcPr>
          <w:p w14:paraId="74EDEAE8" w14:textId="77777777" w:rsidR="00000000" w:rsidRDefault="00195E73">
            <w:pPr>
              <w:rPr>
                <w:rFonts w:eastAsia="Times New Roman"/>
                <w:sz w:val="20"/>
                <w:szCs w:val="20"/>
              </w:rPr>
            </w:pPr>
          </w:p>
        </w:tc>
        <w:tc>
          <w:tcPr>
            <w:tcW w:w="0" w:type="auto"/>
            <w:vAlign w:val="center"/>
            <w:hideMark/>
          </w:tcPr>
          <w:p w14:paraId="6659B313" w14:textId="77777777" w:rsidR="00000000" w:rsidRDefault="00195E73">
            <w:pPr>
              <w:rPr>
                <w:rFonts w:eastAsia="Times New Roman"/>
                <w:sz w:val="20"/>
                <w:szCs w:val="20"/>
              </w:rPr>
            </w:pPr>
          </w:p>
        </w:tc>
        <w:tc>
          <w:tcPr>
            <w:tcW w:w="0" w:type="auto"/>
            <w:vAlign w:val="center"/>
            <w:hideMark/>
          </w:tcPr>
          <w:p w14:paraId="1A37D637" w14:textId="77777777" w:rsidR="00000000" w:rsidRDefault="00195E73">
            <w:pPr>
              <w:rPr>
                <w:rFonts w:eastAsia="Times New Roman"/>
                <w:sz w:val="20"/>
                <w:szCs w:val="20"/>
              </w:rPr>
            </w:pPr>
          </w:p>
        </w:tc>
        <w:tc>
          <w:tcPr>
            <w:tcW w:w="0" w:type="auto"/>
            <w:vAlign w:val="center"/>
            <w:hideMark/>
          </w:tcPr>
          <w:p w14:paraId="6B21CE8D" w14:textId="77777777" w:rsidR="00000000" w:rsidRDefault="00195E73">
            <w:pPr>
              <w:rPr>
                <w:rFonts w:eastAsia="Times New Roman"/>
                <w:sz w:val="20"/>
                <w:szCs w:val="20"/>
              </w:rPr>
            </w:pPr>
          </w:p>
        </w:tc>
        <w:tc>
          <w:tcPr>
            <w:tcW w:w="0" w:type="auto"/>
            <w:vAlign w:val="center"/>
            <w:hideMark/>
          </w:tcPr>
          <w:p w14:paraId="0AFDD782" w14:textId="77777777" w:rsidR="00000000" w:rsidRDefault="00195E73">
            <w:pPr>
              <w:rPr>
                <w:rFonts w:eastAsia="Times New Roman"/>
                <w:sz w:val="20"/>
                <w:szCs w:val="20"/>
              </w:rPr>
            </w:pPr>
          </w:p>
        </w:tc>
        <w:tc>
          <w:tcPr>
            <w:tcW w:w="0" w:type="auto"/>
            <w:vAlign w:val="center"/>
            <w:hideMark/>
          </w:tcPr>
          <w:p w14:paraId="47415970" w14:textId="77777777" w:rsidR="00000000" w:rsidRDefault="00195E73">
            <w:pPr>
              <w:rPr>
                <w:rFonts w:eastAsia="Times New Roman"/>
                <w:sz w:val="20"/>
                <w:szCs w:val="20"/>
              </w:rPr>
            </w:pPr>
          </w:p>
        </w:tc>
        <w:tc>
          <w:tcPr>
            <w:tcW w:w="0" w:type="auto"/>
            <w:vAlign w:val="center"/>
            <w:hideMark/>
          </w:tcPr>
          <w:p w14:paraId="3110F4E8" w14:textId="77777777" w:rsidR="00000000" w:rsidRDefault="00195E73">
            <w:pPr>
              <w:rPr>
                <w:rFonts w:eastAsia="Times New Roman"/>
                <w:sz w:val="20"/>
                <w:szCs w:val="20"/>
              </w:rPr>
            </w:pPr>
          </w:p>
        </w:tc>
        <w:tc>
          <w:tcPr>
            <w:tcW w:w="0" w:type="auto"/>
            <w:vAlign w:val="center"/>
            <w:hideMark/>
          </w:tcPr>
          <w:p w14:paraId="72902C3D" w14:textId="77777777" w:rsidR="00000000" w:rsidRDefault="00195E73">
            <w:pPr>
              <w:rPr>
                <w:rFonts w:eastAsia="Times New Roman"/>
                <w:sz w:val="20"/>
                <w:szCs w:val="20"/>
              </w:rPr>
            </w:pPr>
          </w:p>
        </w:tc>
        <w:tc>
          <w:tcPr>
            <w:tcW w:w="0" w:type="auto"/>
            <w:vAlign w:val="center"/>
            <w:hideMark/>
          </w:tcPr>
          <w:p w14:paraId="1FFE16B3" w14:textId="77777777" w:rsidR="00000000" w:rsidRDefault="00195E73">
            <w:pPr>
              <w:rPr>
                <w:rFonts w:eastAsia="Times New Roman"/>
                <w:sz w:val="20"/>
                <w:szCs w:val="20"/>
              </w:rPr>
            </w:pPr>
          </w:p>
        </w:tc>
        <w:tc>
          <w:tcPr>
            <w:tcW w:w="0" w:type="auto"/>
            <w:vAlign w:val="center"/>
            <w:hideMark/>
          </w:tcPr>
          <w:p w14:paraId="71B9924A" w14:textId="77777777" w:rsidR="00000000" w:rsidRDefault="00195E73">
            <w:pPr>
              <w:rPr>
                <w:rFonts w:eastAsia="Times New Roman"/>
                <w:sz w:val="20"/>
                <w:szCs w:val="20"/>
              </w:rPr>
            </w:pPr>
          </w:p>
        </w:tc>
        <w:tc>
          <w:tcPr>
            <w:tcW w:w="0" w:type="auto"/>
            <w:vAlign w:val="center"/>
            <w:hideMark/>
          </w:tcPr>
          <w:p w14:paraId="772E02BC" w14:textId="77777777" w:rsidR="00000000" w:rsidRDefault="00195E73">
            <w:pPr>
              <w:rPr>
                <w:rFonts w:eastAsia="Times New Roman"/>
                <w:sz w:val="20"/>
                <w:szCs w:val="20"/>
              </w:rPr>
            </w:pPr>
          </w:p>
        </w:tc>
        <w:tc>
          <w:tcPr>
            <w:tcW w:w="0" w:type="auto"/>
            <w:vAlign w:val="center"/>
            <w:hideMark/>
          </w:tcPr>
          <w:p w14:paraId="3B2BEF31" w14:textId="77777777" w:rsidR="00000000" w:rsidRDefault="00195E73">
            <w:pPr>
              <w:rPr>
                <w:rFonts w:eastAsia="Times New Roman"/>
                <w:sz w:val="20"/>
                <w:szCs w:val="20"/>
              </w:rPr>
            </w:pPr>
          </w:p>
        </w:tc>
        <w:tc>
          <w:tcPr>
            <w:tcW w:w="0" w:type="auto"/>
            <w:vAlign w:val="center"/>
            <w:hideMark/>
          </w:tcPr>
          <w:p w14:paraId="1F83FF3F" w14:textId="77777777" w:rsidR="00000000" w:rsidRDefault="00195E73">
            <w:pPr>
              <w:rPr>
                <w:rFonts w:eastAsia="Times New Roman"/>
                <w:sz w:val="20"/>
                <w:szCs w:val="20"/>
              </w:rPr>
            </w:pPr>
          </w:p>
        </w:tc>
        <w:tc>
          <w:tcPr>
            <w:tcW w:w="0" w:type="auto"/>
            <w:vAlign w:val="center"/>
            <w:hideMark/>
          </w:tcPr>
          <w:p w14:paraId="25E3E290" w14:textId="77777777" w:rsidR="00000000" w:rsidRDefault="00195E73">
            <w:pPr>
              <w:rPr>
                <w:rFonts w:eastAsia="Times New Roman"/>
                <w:sz w:val="20"/>
                <w:szCs w:val="20"/>
              </w:rPr>
            </w:pPr>
          </w:p>
        </w:tc>
        <w:tc>
          <w:tcPr>
            <w:tcW w:w="0" w:type="auto"/>
            <w:vAlign w:val="center"/>
            <w:hideMark/>
          </w:tcPr>
          <w:p w14:paraId="32777D83" w14:textId="77777777" w:rsidR="00000000" w:rsidRDefault="00195E73">
            <w:pPr>
              <w:rPr>
                <w:rFonts w:eastAsia="Times New Roman"/>
                <w:sz w:val="20"/>
                <w:szCs w:val="20"/>
              </w:rPr>
            </w:pPr>
          </w:p>
        </w:tc>
        <w:tc>
          <w:tcPr>
            <w:tcW w:w="0" w:type="auto"/>
            <w:vAlign w:val="center"/>
            <w:hideMark/>
          </w:tcPr>
          <w:p w14:paraId="2D16E435" w14:textId="77777777" w:rsidR="00000000" w:rsidRDefault="00195E73">
            <w:pPr>
              <w:rPr>
                <w:rFonts w:eastAsia="Times New Roman"/>
                <w:sz w:val="20"/>
                <w:szCs w:val="20"/>
              </w:rPr>
            </w:pPr>
          </w:p>
        </w:tc>
        <w:tc>
          <w:tcPr>
            <w:tcW w:w="0" w:type="auto"/>
            <w:vAlign w:val="center"/>
            <w:hideMark/>
          </w:tcPr>
          <w:p w14:paraId="623D8205" w14:textId="77777777" w:rsidR="00000000" w:rsidRDefault="00195E73">
            <w:pPr>
              <w:rPr>
                <w:rFonts w:eastAsia="Times New Roman"/>
                <w:sz w:val="20"/>
                <w:szCs w:val="20"/>
              </w:rPr>
            </w:pPr>
          </w:p>
        </w:tc>
      </w:tr>
      <w:tr w:rsidR="00000000" w14:paraId="1982760F" w14:textId="77777777">
        <w:trPr>
          <w:divId w:val="116685193"/>
          <w:jc w:val="center"/>
        </w:trPr>
        <w:tc>
          <w:tcPr>
            <w:tcW w:w="0" w:type="auto"/>
            <w:gridSpan w:val="3"/>
            <w:shd w:val="clear" w:color="auto" w:fill="CCEEFF"/>
            <w:tcMar>
              <w:top w:w="30" w:type="dxa"/>
              <w:left w:w="20" w:type="dxa"/>
              <w:bottom w:w="30" w:type="dxa"/>
              <w:right w:w="20" w:type="dxa"/>
            </w:tcMar>
            <w:vAlign w:val="bottom"/>
            <w:hideMark/>
          </w:tcPr>
          <w:p w14:paraId="7EDAB123" w14:textId="77777777" w:rsidR="00000000" w:rsidRDefault="00195E73">
            <w:pPr>
              <w:rPr>
                <w:rFonts w:eastAsia="Times New Roman"/>
              </w:rPr>
            </w:pPr>
            <w:r>
              <w:rPr>
                <w:rFonts w:eastAsia="Times New Roman"/>
                <w:color w:val="000000"/>
                <w:sz w:val="20"/>
                <w:szCs w:val="20"/>
              </w:rPr>
              <w:t>Operating lease obligation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6CA8879" w14:textId="77777777" w:rsidR="00000000" w:rsidRDefault="00195E73">
            <w:pPr>
              <w:jc w:val="right"/>
              <w:rPr>
                <w:rFonts w:eastAsia="Times New Roman"/>
              </w:rPr>
            </w:pPr>
            <w:r>
              <w:rPr>
                <w:rFonts w:eastAsia="Times New Roman"/>
                <w:color w:val="000000"/>
                <w:sz w:val="20"/>
                <w:szCs w:val="20"/>
              </w:rPr>
              <w:t>181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2E24E1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D9C04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B28FC2" w14:textId="77777777" w:rsidR="00000000" w:rsidRDefault="00195E73">
            <w:pPr>
              <w:jc w:val="right"/>
              <w:rPr>
                <w:rFonts w:eastAsia="Times New Roman"/>
              </w:rPr>
            </w:pPr>
            <w:r>
              <w:rPr>
                <w:rFonts w:eastAsia="Times New Roman"/>
                <w:color w:val="000000"/>
                <w:sz w:val="20"/>
                <w:szCs w:val="20"/>
              </w:rPr>
              <w:t>159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741B3D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9DC31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52DEE5" w14:textId="77777777" w:rsidR="00000000" w:rsidRDefault="00195E73">
            <w:pPr>
              <w:jc w:val="right"/>
              <w:rPr>
                <w:rFonts w:eastAsia="Times New Roman"/>
              </w:rPr>
            </w:pPr>
            <w:r>
              <w:rPr>
                <w:rFonts w:eastAsia="Times New Roman"/>
                <w:color w:val="000000"/>
                <w:sz w:val="20"/>
                <w:szCs w:val="20"/>
              </w:rPr>
              <w:t>135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73DA2E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29E413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39C783" w14:textId="77777777" w:rsidR="00000000" w:rsidRDefault="00195E73">
            <w:pPr>
              <w:jc w:val="right"/>
              <w:rPr>
                <w:rFonts w:eastAsia="Times New Roman"/>
              </w:rPr>
            </w:pPr>
            <w:r>
              <w:rPr>
                <w:rFonts w:eastAsia="Times New Roman"/>
                <w:color w:val="000000"/>
                <w:sz w:val="20"/>
                <w:szCs w:val="20"/>
              </w:rPr>
              <w:t>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FA793D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AE009E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E9775D" w14:textId="77777777" w:rsidR="00000000" w:rsidRDefault="00195E73">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A951E1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5B093E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26D131" w14:textId="77777777" w:rsidR="00000000" w:rsidRDefault="00195E73">
            <w:pPr>
              <w:jc w:val="right"/>
              <w:rPr>
                <w:rFonts w:eastAsia="Times New Roman"/>
              </w:rPr>
            </w:pPr>
            <w:r>
              <w:rPr>
                <w:rFonts w:eastAsia="Times New Roman"/>
                <w:color w:val="000000"/>
                <w:sz w:val="20"/>
                <w:szCs w:val="20"/>
              </w:rPr>
              <w:t>142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634418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C3CEF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E870AF" w14:textId="77777777" w:rsidR="00000000" w:rsidRDefault="00195E73">
            <w:pPr>
              <w:jc w:val="right"/>
              <w:rPr>
                <w:rFonts w:eastAsia="Times New Roman"/>
              </w:rPr>
            </w:pPr>
            <w:r>
              <w:rPr>
                <w:rFonts w:eastAsia="Times New Roman"/>
                <w:color w:val="000000"/>
                <w:sz w:val="20"/>
                <w:szCs w:val="20"/>
              </w:rPr>
              <w:t>759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F37F34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07D58B1" w14:textId="77777777" w:rsidR="00000000" w:rsidRDefault="00195E73">
            <w:pPr>
              <w:rPr>
                <w:rFonts w:eastAsia="Times New Roman"/>
                <w:sz w:val="20"/>
                <w:szCs w:val="20"/>
              </w:rPr>
            </w:pPr>
          </w:p>
        </w:tc>
        <w:tc>
          <w:tcPr>
            <w:tcW w:w="0" w:type="auto"/>
            <w:vAlign w:val="center"/>
            <w:hideMark/>
          </w:tcPr>
          <w:p w14:paraId="23C04CFA" w14:textId="77777777" w:rsidR="00000000" w:rsidRDefault="00195E73">
            <w:pPr>
              <w:rPr>
                <w:rFonts w:eastAsia="Times New Roman"/>
                <w:sz w:val="20"/>
                <w:szCs w:val="20"/>
              </w:rPr>
            </w:pPr>
          </w:p>
        </w:tc>
        <w:tc>
          <w:tcPr>
            <w:tcW w:w="0" w:type="auto"/>
            <w:vAlign w:val="center"/>
            <w:hideMark/>
          </w:tcPr>
          <w:p w14:paraId="2355E206" w14:textId="77777777" w:rsidR="00000000" w:rsidRDefault="00195E73">
            <w:pPr>
              <w:rPr>
                <w:rFonts w:eastAsia="Times New Roman"/>
                <w:sz w:val="20"/>
                <w:szCs w:val="20"/>
              </w:rPr>
            </w:pPr>
          </w:p>
        </w:tc>
        <w:tc>
          <w:tcPr>
            <w:tcW w:w="0" w:type="auto"/>
            <w:vAlign w:val="center"/>
            <w:hideMark/>
          </w:tcPr>
          <w:p w14:paraId="30CCB36F" w14:textId="77777777" w:rsidR="00000000" w:rsidRDefault="00195E73">
            <w:pPr>
              <w:rPr>
                <w:rFonts w:eastAsia="Times New Roman"/>
                <w:sz w:val="20"/>
                <w:szCs w:val="20"/>
              </w:rPr>
            </w:pPr>
          </w:p>
        </w:tc>
        <w:tc>
          <w:tcPr>
            <w:tcW w:w="0" w:type="auto"/>
            <w:vAlign w:val="center"/>
            <w:hideMark/>
          </w:tcPr>
          <w:p w14:paraId="380C6618" w14:textId="77777777" w:rsidR="00000000" w:rsidRDefault="00195E73">
            <w:pPr>
              <w:rPr>
                <w:rFonts w:eastAsia="Times New Roman"/>
                <w:sz w:val="20"/>
                <w:szCs w:val="20"/>
              </w:rPr>
            </w:pPr>
          </w:p>
        </w:tc>
        <w:tc>
          <w:tcPr>
            <w:tcW w:w="0" w:type="auto"/>
            <w:vAlign w:val="center"/>
            <w:hideMark/>
          </w:tcPr>
          <w:p w14:paraId="4EB5661C" w14:textId="77777777" w:rsidR="00000000" w:rsidRDefault="00195E73">
            <w:pPr>
              <w:rPr>
                <w:rFonts w:eastAsia="Times New Roman"/>
                <w:sz w:val="20"/>
                <w:szCs w:val="20"/>
              </w:rPr>
            </w:pPr>
          </w:p>
        </w:tc>
        <w:tc>
          <w:tcPr>
            <w:tcW w:w="0" w:type="auto"/>
            <w:vAlign w:val="center"/>
            <w:hideMark/>
          </w:tcPr>
          <w:p w14:paraId="201B0D46" w14:textId="77777777" w:rsidR="00000000" w:rsidRDefault="00195E73">
            <w:pPr>
              <w:rPr>
                <w:rFonts w:eastAsia="Times New Roman"/>
                <w:sz w:val="20"/>
                <w:szCs w:val="20"/>
              </w:rPr>
            </w:pPr>
          </w:p>
        </w:tc>
        <w:tc>
          <w:tcPr>
            <w:tcW w:w="0" w:type="auto"/>
            <w:vAlign w:val="center"/>
            <w:hideMark/>
          </w:tcPr>
          <w:p w14:paraId="48D90CBF" w14:textId="77777777" w:rsidR="00000000" w:rsidRDefault="00195E73">
            <w:pPr>
              <w:rPr>
                <w:rFonts w:eastAsia="Times New Roman"/>
                <w:sz w:val="20"/>
                <w:szCs w:val="20"/>
              </w:rPr>
            </w:pPr>
          </w:p>
        </w:tc>
        <w:tc>
          <w:tcPr>
            <w:tcW w:w="0" w:type="auto"/>
            <w:vAlign w:val="center"/>
            <w:hideMark/>
          </w:tcPr>
          <w:p w14:paraId="49CADED1" w14:textId="77777777" w:rsidR="00000000" w:rsidRDefault="00195E73">
            <w:pPr>
              <w:rPr>
                <w:rFonts w:eastAsia="Times New Roman"/>
                <w:sz w:val="20"/>
                <w:szCs w:val="20"/>
              </w:rPr>
            </w:pPr>
          </w:p>
        </w:tc>
        <w:tc>
          <w:tcPr>
            <w:tcW w:w="0" w:type="auto"/>
            <w:vAlign w:val="center"/>
            <w:hideMark/>
          </w:tcPr>
          <w:p w14:paraId="06D2D331" w14:textId="77777777" w:rsidR="00000000" w:rsidRDefault="00195E73">
            <w:pPr>
              <w:rPr>
                <w:rFonts w:eastAsia="Times New Roman"/>
                <w:sz w:val="20"/>
                <w:szCs w:val="20"/>
              </w:rPr>
            </w:pPr>
          </w:p>
        </w:tc>
        <w:tc>
          <w:tcPr>
            <w:tcW w:w="0" w:type="auto"/>
            <w:vAlign w:val="center"/>
            <w:hideMark/>
          </w:tcPr>
          <w:p w14:paraId="60FCBB6B" w14:textId="77777777" w:rsidR="00000000" w:rsidRDefault="00195E73">
            <w:pPr>
              <w:rPr>
                <w:rFonts w:eastAsia="Times New Roman"/>
                <w:sz w:val="20"/>
                <w:szCs w:val="20"/>
              </w:rPr>
            </w:pPr>
          </w:p>
        </w:tc>
        <w:tc>
          <w:tcPr>
            <w:tcW w:w="0" w:type="auto"/>
            <w:vAlign w:val="center"/>
            <w:hideMark/>
          </w:tcPr>
          <w:p w14:paraId="5AAECFB0" w14:textId="77777777" w:rsidR="00000000" w:rsidRDefault="00195E73">
            <w:pPr>
              <w:rPr>
                <w:rFonts w:eastAsia="Times New Roman"/>
                <w:sz w:val="20"/>
                <w:szCs w:val="20"/>
              </w:rPr>
            </w:pPr>
          </w:p>
        </w:tc>
        <w:tc>
          <w:tcPr>
            <w:tcW w:w="0" w:type="auto"/>
            <w:vAlign w:val="center"/>
            <w:hideMark/>
          </w:tcPr>
          <w:p w14:paraId="7F626847" w14:textId="77777777" w:rsidR="00000000" w:rsidRDefault="00195E73">
            <w:pPr>
              <w:rPr>
                <w:rFonts w:eastAsia="Times New Roman"/>
                <w:sz w:val="20"/>
                <w:szCs w:val="20"/>
              </w:rPr>
            </w:pPr>
          </w:p>
        </w:tc>
        <w:tc>
          <w:tcPr>
            <w:tcW w:w="0" w:type="auto"/>
            <w:vAlign w:val="center"/>
            <w:hideMark/>
          </w:tcPr>
          <w:p w14:paraId="7D4767B9" w14:textId="77777777" w:rsidR="00000000" w:rsidRDefault="00195E73">
            <w:pPr>
              <w:rPr>
                <w:rFonts w:eastAsia="Times New Roman"/>
                <w:sz w:val="20"/>
                <w:szCs w:val="20"/>
              </w:rPr>
            </w:pPr>
          </w:p>
        </w:tc>
        <w:tc>
          <w:tcPr>
            <w:tcW w:w="0" w:type="auto"/>
            <w:vAlign w:val="center"/>
            <w:hideMark/>
          </w:tcPr>
          <w:p w14:paraId="37630ED5" w14:textId="77777777" w:rsidR="00000000" w:rsidRDefault="00195E73">
            <w:pPr>
              <w:rPr>
                <w:rFonts w:eastAsia="Times New Roman"/>
                <w:sz w:val="20"/>
                <w:szCs w:val="20"/>
              </w:rPr>
            </w:pPr>
          </w:p>
        </w:tc>
        <w:tc>
          <w:tcPr>
            <w:tcW w:w="0" w:type="auto"/>
            <w:vAlign w:val="center"/>
            <w:hideMark/>
          </w:tcPr>
          <w:p w14:paraId="6E3CC722" w14:textId="77777777" w:rsidR="00000000" w:rsidRDefault="00195E73">
            <w:pPr>
              <w:rPr>
                <w:rFonts w:eastAsia="Times New Roman"/>
                <w:sz w:val="20"/>
                <w:szCs w:val="20"/>
              </w:rPr>
            </w:pPr>
          </w:p>
        </w:tc>
        <w:tc>
          <w:tcPr>
            <w:tcW w:w="0" w:type="auto"/>
            <w:vAlign w:val="center"/>
            <w:hideMark/>
          </w:tcPr>
          <w:p w14:paraId="2CB067AD" w14:textId="77777777" w:rsidR="00000000" w:rsidRDefault="00195E73">
            <w:pPr>
              <w:rPr>
                <w:rFonts w:eastAsia="Times New Roman"/>
                <w:sz w:val="20"/>
                <w:szCs w:val="20"/>
              </w:rPr>
            </w:pPr>
          </w:p>
        </w:tc>
        <w:tc>
          <w:tcPr>
            <w:tcW w:w="0" w:type="auto"/>
            <w:vAlign w:val="center"/>
            <w:hideMark/>
          </w:tcPr>
          <w:p w14:paraId="0686294C" w14:textId="77777777" w:rsidR="00000000" w:rsidRDefault="00195E73">
            <w:pPr>
              <w:rPr>
                <w:rFonts w:eastAsia="Times New Roman"/>
                <w:sz w:val="20"/>
                <w:szCs w:val="20"/>
              </w:rPr>
            </w:pPr>
          </w:p>
        </w:tc>
        <w:tc>
          <w:tcPr>
            <w:tcW w:w="0" w:type="auto"/>
            <w:vAlign w:val="center"/>
            <w:hideMark/>
          </w:tcPr>
          <w:p w14:paraId="63EB0D18" w14:textId="77777777" w:rsidR="00000000" w:rsidRDefault="00195E73">
            <w:pPr>
              <w:rPr>
                <w:rFonts w:eastAsia="Times New Roman"/>
                <w:sz w:val="20"/>
                <w:szCs w:val="20"/>
              </w:rPr>
            </w:pPr>
          </w:p>
        </w:tc>
        <w:tc>
          <w:tcPr>
            <w:tcW w:w="0" w:type="auto"/>
            <w:vAlign w:val="center"/>
            <w:hideMark/>
          </w:tcPr>
          <w:p w14:paraId="4B622C4F" w14:textId="77777777" w:rsidR="00000000" w:rsidRDefault="00195E73">
            <w:pPr>
              <w:rPr>
                <w:rFonts w:eastAsia="Times New Roman"/>
                <w:sz w:val="20"/>
                <w:szCs w:val="20"/>
              </w:rPr>
            </w:pPr>
          </w:p>
        </w:tc>
        <w:tc>
          <w:tcPr>
            <w:tcW w:w="0" w:type="auto"/>
            <w:vAlign w:val="center"/>
            <w:hideMark/>
          </w:tcPr>
          <w:p w14:paraId="104A9D55" w14:textId="77777777" w:rsidR="00000000" w:rsidRDefault="00195E73">
            <w:pPr>
              <w:rPr>
                <w:rFonts w:eastAsia="Times New Roman"/>
                <w:sz w:val="20"/>
                <w:szCs w:val="20"/>
              </w:rPr>
            </w:pPr>
          </w:p>
        </w:tc>
      </w:tr>
      <w:tr w:rsidR="00000000" w14:paraId="447DCF3D" w14:textId="77777777">
        <w:trPr>
          <w:divId w:val="116685193"/>
          <w:jc w:val="center"/>
        </w:trPr>
        <w:tc>
          <w:tcPr>
            <w:tcW w:w="0" w:type="auto"/>
            <w:gridSpan w:val="3"/>
            <w:shd w:val="clear" w:color="auto" w:fill="FFFFFF"/>
            <w:tcMar>
              <w:top w:w="30" w:type="dxa"/>
              <w:left w:w="20" w:type="dxa"/>
              <w:bottom w:w="30" w:type="dxa"/>
              <w:right w:w="20" w:type="dxa"/>
            </w:tcMar>
            <w:vAlign w:val="bottom"/>
            <w:hideMark/>
          </w:tcPr>
          <w:p w14:paraId="3CF7EF6C" w14:textId="77777777" w:rsidR="00000000" w:rsidRDefault="00195E73">
            <w:pPr>
              <w:rPr>
                <w:rFonts w:eastAsia="Times New Roman"/>
              </w:rPr>
            </w:pPr>
            <w:r>
              <w:rPr>
                <w:rFonts w:eastAsia="Times New Roman"/>
                <w:color w:val="000000"/>
                <w:sz w:val="20"/>
                <w:szCs w:val="20"/>
              </w:rPr>
              <w:t>Purchase obligation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EA8D123" w14:textId="77777777" w:rsidR="00000000" w:rsidRDefault="00195E73">
            <w:pPr>
              <w:jc w:val="right"/>
              <w:rPr>
                <w:rFonts w:eastAsia="Times New Roman"/>
              </w:rPr>
            </w:pPr>
            <w:r>
              <w:rPr>
                <w:rFonts w:eastAsia="Times New Roman"/>
                <w:color w:val="000000"/>
                <w:sz w:val="20"/>
                <w:szCs w:val="20"/>
              </w:rPr>
              <w:t>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D6BE97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FE7FAC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8BA271" w14:textId="77777777" w:rsidR="00000000" w:rsidRDefault="00195E73">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4E3AB3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D2BE84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7B6F7F" w14:textId="77777777" w:rsidR="00000000" w:rsidRDefault="00195E73">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271247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991C8F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D6B737" w14:textId="77777777" w:rsidR="00000000" w:rsidRDefault="00195E73">
            <w:pPr>
              <w:jc w:val="right"/>
              <w:rPr>
                <w:rFonts w:eastAsia="Times New Roman"/>
              </w:rPr>
            </w:pPr>
            <w:r>
              <w:rPr>
                <w:rFonts w:eastAsia="Times New Roman"/>
                <w:color w:val="000000"/>
                <w:sz w:val="20"/>
                <w:szCs w:val="20"/>
              </w:rPr>
              <w:t>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03FA7D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5180F9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1C191C" w14:textId="77777777" w:rsidR="00000000" w:rsidRDefault="00195E73">
            <w:pPr>
              <w:jc w:val="right"/>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FC128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0607AB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50DA56" w14:textId="77777777" w:rsidR="00000000" w:rsidRDefault="00195E73">
            <w:pPr>
              <w:jc w:val="right"/>
              <w:rPr>
                <w:rFonts w:eastAsia="Times New Roman"/>
              </w:rPr>
            </w:pPr>
            <w:r>
              <w:rPr>
                <w:rFonts w:eastAsia="Times New Roman"/>
                <w:color w:val="000000"/>
                <w:sz w:val="20"/>
                <w:szCs w:val="20"/>
              </w:rPr>
              <w:t>375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8D4C18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11274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1D770A" w14:textId="77777777" w:rsidR="00000000" w:rsidRDefault="00195E73">
            <w:pPr>
              <w:jc w:val="right"/>
              <w:rPr>
                <w:rFonts w:eastAsia="Times New Roman"/>
              </w:rPr>
            </w:pPr>
            <w:r>
              <w:rPr>
                <w:rFonts w:eastAsia="Times New Roman"/>
                <w:color w:val="000000"/>
                <w:sz w:val="20"/>
                <w:szCs w:val="20"/>
              </w:rPr>
              <w:t>777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6CA44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1E73C58" w14:textId="77777777" w:rsidR="00000000" w:rsidRDefault="00195E73">
            <w:pPr>
              <w:rPr>
                <w:rFonts w:eastAsia="Times New Roman"/>
                <w:sz w:val="20"/>
                <w:szCs w:val="20"/>
              </w:rPr>
            </w:pPr>
          </w:p>
        </w:tc>
        <w:tc>
          <w:tcPr>
            <w:tcW w:w="0" w:type="auto"/>
            <w:vAlign w:val="center"/>
            <w:hideMark/>
          </w:tcPr>
          <w:p w14:paraId="1F02BBCF" w14:textId="77777777" w:rsidR="00000000" w:rsidRDefault="00195E73">
            <w:pPr>
              <w:rPr>
                <w:rFonts w:eastAsia="Times New Roman"/>
                <w:sz w:val="20"/>
                <w:szCs w:val="20"/>
              </w:rPr>
            </w:pPr>
          </w:p>
        </w:tc>
        <w:tc>
          <w:tcPr>
            <w:tcW w:w="0" w:type="auto"/>
            <w:vAlign w:val="center"/>
            <w:hideMark/>
          </w:tcPr>
          <w:p w14:paraId="46EBC4C0" w14:textId="77777777" w:rsidR="00000000" w:rsidRDefault="00195E73">
            <w:pPr>
              <w:rPr>
                <w:rFonts w:eastAsia="Times New Roman"/>
                <w:sz w:val="20"/>
                <w:szCs w:val="20"/>
              </w:rPr>
            </w:pPr>
          </w:p>
        </w:tc>
        <w:tc>
          <w:tcPr>
            <w:tcW w:w="0" w:type="auto"/>
            <w:vAlign w:val="center"/>
            <w:hideMark/>
          </w:tcPr>
          <w:p w14:paraId="5DE7CE58" w14:textId="77777777" w:rsidR="00000000" w:rsidRDefault="00195E73">
            <w:pPr>
              <w:rPr>
                <w:rFonts w:eastAsia="Times New Roman"/>
                <w:sz w:val="20"/>
                <w:szCs w:val="20"/>
              </w:rPr>
            </w:pPr>
          </w:p>
        </w:tc>
        <w:tc>
          <w:tcPr>
            <w:tcW w:w="0" w:type="auto"/>
            <w:vAlign w:val="center"/>
            <w:hideMark/>
          </w:tcPr>
          <w:p w14:paraId="20E3E295" w14:textId="77777777" w:rsidR="00000000" w:rsidRDefault="00195E73">
            <w:pPr>
              <w:rPr>
                <w:rFonts w:eastAsia="Times New Roman"/>
                <w:sz w:val="20"/>
                <w:szCs w:val="20"/>
              </w:rPr>
            </w:pPr>
          </w:p>
        </w:tc>
        <w:tc>
          <w:tcPr>
            <w:tcW w:w="0" w:type="auto"/>
            <w:vAlign w:val="center"/>
            <w:hideMark/>
          </w:tcPr>
          <w:p w14:paraId="61783516" w14:textId="77777777" w:rsidR="00000000" w:rsidRDefault="00195E73">
            <w:pPr>
              <w:rPr>
                <w:rFonts w:eastAsia="Times New Roman"/>
                <w:sz w:val="20"/>
                <w:szCs w:val="20"/>
              </w:rPr>
            </w:pPr>
          </w:p>
        </w:tc>
        <w:tc>
          <w:tcPr>
            <w:tcW w:w="0" w:type="auto"/>
            <w:vAlign w:val="center"/>
            <w:hideMark/>
          </w:tcPr>
          <w:p w14:paraId="5B99675B" w14:textId="77777777" w:rsidR="00000000" w:rsidRDefault="00195E73">
            <w:pPr>
              <w:rPr>
                <w:rFonts w:eastAsia="Times New Roman"/>
                <w:sz w:val="20"/>
                <w:szCs w:val="20"/>
              </w:rPr>
            </w:pPr>
          </w:p>
        </w:tc>
        <w:tc>
          <w:tcPr>
            <w:tcW w:w="0" w:type="auto"/>
            <w:vAlign w:val="center"/>
            <w:hideMark/>
          </w:tcPr>
          <w:p w14:paraId="271EEA26" w14:textId="77777777" w:rsidR="00000000" w:rsidRDefault="00195E73">
            <w:pPr>
              <w:rPr>
                <w:rFonts w:eastAsia="Times New Roman"/>
                <w:sz w:val="20"/>
                <w:szCs w:val="20"/>
              </w:rPr>
            </w:pPr>
          </w:p>
        </w:tc>
        <w:tc>
          <w:tcPr>
            <w:tcW w:w="0" w:type="auto"/>
            <w:vAlign w:val="center"/>
            <w:hideMark/>
          </w:tcPr>
          <w:p w14:paraId="68097058" w14:textId="77777777" w:rsidR="00000000" w:rsidRDefault="00195E73">
            <w:pPr>
              <w:rPr>
                <w:rFonts w:eastAsia="Times New Roman"/>
                <w:sz w:val="20"/>
                <w:szCs w:val="20"/>
              </w:rPr>
            </w:pPr>
          </w:p>
        </w:tc>
        <w:tc>
          <w:tcPr>
            <w:tcW w:w="0" w:type="auto"/>
            <w:vAlign w:val="center"/>
            <w:hideMark/>
          </w:tcPr>
          <w:p w14:paraId="4D27D72E" w14:textId="77777777" w:rsidR="00000000" w:rsidRDefault="00195E73">
            <w:pPr>
              <w:rPr>
                <w:rFonts w:eastAsia="Times New Roman"/>
                <w:sz w:val="20"/>
                <w:szCs w:val="20"/>
              </w:rPr>
            </w:pPr>
          </w:p>
        </w:tc>
        <w:tc>
          <w:tcPr>
            <w:tcW w:w="0" w:type="auto"/>
            <w:vAlign w:val="center"/>
            <w:hideMark/>
          </w:tcPr>
          <w:p w14:paraId="0C76D92E" w14:textId="77777777" w:rsidR="00000000" w:rsidRDefault="00195E73">
            <w:pPr>
              <w:rPr>
                <w:rFonts w:eastAsia="Times New Roman"/>
                <w:sz w:val="20"/>
                <w:szCs w:val="20"/>
              </w:rPr>
            </w:pPr>
          </w:p>
        </w:tc>
        <w:tc>
          <w:tcPr>
            <w:tcW w:w="0" w:type="auto"/>
            <w:vAlign w:val="center"/>
            <w:hideMark/>
          </w:tcPr>
          <w:p w14:paraId="4676688B" w14:textId="77777777" w:rsidR="00000000" w:rsidRDefault="00195E73">
            <w:pPr>
              <w:rPr>
                <w:rFonts w:eastAsia="Times New Roman"/>
                <w:sz w:val="20"/>
                <w:szCs w:val="20"/>
              </w:rPr>
            </w:pPr>
          </w:p>
        </w:tc>
        <w:tc>
          <w:tcPr>
            <w:tcW w:w="0" w:type="auto"/>
            <w:vAlign w:val="center"/>
            <w:hideMark/>
          </w:tcPr>
          <w:p w14:paraId="47956421" w14:textId="77777777" w:rsidR="00000000" w:rsidRDefault="00195E73">
            <w:pPr>
              <w:rPr>
                <w:rFonts w:eastAsia="Times New Roman"/>
                <w:sz w:val="20"/>
                <w:szCs w:val="20"/>
              </w:rPr>
            </w:pPr>
          </w:p>
        </w:tc>
        <w:tc>
          <w:tcPr>
            <w:tcW w:w="0" w:type="auto"/>
            <w:vAlign w:val="center"/>
            <w:hideMark/>
          </w:tcPr>
          <w:p w14:paraId="492F1257" w14:textId="77777777" w:rsidR="00000000" w:rsidRDefault="00195E73">
            <w:pPr>
              <w:rPr>
                <w:rFonts w:eastAsia="Times New Roman"/>
                <w:sz w:val="20"/>
                <w:szCs w:val="20"/>
              </w:rPr>
            </w:pPr>
          </w:p>
        </w:tc>
        <w:tc>
          <w:tcPr>
            <w:tcW w:w="0" w:type="auto"/>
            <w:vAlign w:val="center"/>
            <w:hideMark/>
          </w:tcPr>
          <w:p w14:paraId="2DDF70F8" w14:textId="77777777" w:rsidR="00000000" w:rsidRDefault="00195E73">
            <w:pPr>
              <w:rPr>
                <w:rFonts w:eastAsia="Times New Roman"/>
                <w:sz w:val="20"/>
                <w:szCs w:val="20"/>
              </w:rPr>
            </w:pPr>
          </w:p>
        </w:tc>
        <w:tc>
          <w:tcPr>
            <w:tcW w:w="0" w:type="auto"/>
            <w:vAlign w:val="center"/>
            <w:hideMark/>
          </w:tcPr>
          <w:p w14:paraId="6FFD9A01" w14:textId="77777777" w:rsidR="00000000" w:rsidRDefault="00195E73">
            <w:pPr>
              <w:rPr>
                <w:rFonts w:eastAsia="Times New Roman"/>
                <w:sz w:val="20"/>
                <w:szCs w:val="20"/>
              </w:rPr>
            </w:pPr>
          </w:p>
        </w:tc>
        <w:tc>
          <w:tcPr>
            <w:tcW w:w="0" w:type="auto"/>
            <w:vAlign w:val="center"/>
            <w:hideMark/>
          </w:tcPr>
          <w:p w14:paraId="6F0A163E" w14:textId="77777777" w:rsidR="00000000" w:rsidRDefault="00195E73">
            <w:pPr>
              <w:rPr>
                <w:rFonts w:eastAsia="Times New Roman"/>
                <w:sz w:val="20"/>
                <w:szCs w:val="20"/>
              </w:rPr>
            </w:pPr>
          </w:p>
        </w:tc>
        <w:tc>
          <w:tcPr>
            <w:tcW w:w="0" w:type="auto"/>
            <w:vAlign w:val="center"/>
            <w:hideMark/>
          </w:tcPr>
          <w:p w14:paraId="7104285B" w14:textId="77777777" w:rsidR="00000000" w:rsidRDefault="00195E73">
            <w:pPr>
              <w:rPr>
                <w:rFonts w:eastAsia="Times New Roman"/>
                <w:sz w:val="20"/>
                <w:szCs w:val="20"/>
              </w:rPr>
            </w:pPr>
          </w:p>
        </w:tc>
        <w:tc>
          <w:tcPr>
            <w:tcW w:w="0" w:type="auto"/>
            <w:vAlign w:val="center"/>
            <w:hideMark/>
          </w:tcPr>
          <w:p w14:paraId="478D1130" w14:textId="77777777" w:rsidR="00000000" w:rsidRDefault="00195E73">
            <w:pPr>
              <w:rPr>
                <w:rFonts w:eastAsia="Times New Roman"/>
                <w:sz w:val="20"/>
                <w:szCs w:val="20"/>
              </w:rPr>
            </w:pPr>
          </w:p>
        </w:tc>
        <w:tc>
          <w:tcPr>
            <w:tcW w:w="0" w:type="auto"/>
            <w:vAlign w:val="center"/>
            <w:hideMark/>
          </w:tcPr>
          <w:p w14:paraId="09D92818" w14:textId="77777777" w:rsidR="00000000" w:rsidRDefault="00195E73">
            <w:pPr>
              <w:rPr>
                <w:rFonts w:eastAsia="Times New Roman"/>
                <w:sz w:val="20"/>
                <w:szCs w:val="20"/>
              </w:rPr>
            </w:pPr>
          </w:p>
        </w:tc>
        <w:tc>
          <w:tcPr>
            <w:tcW w:w="0" w:type="auto"/>
            <w:vAlign w:val="center"/>
            <w:hideMark/>
          </w:tcPr>
          <w:p w14:paraId="6AE3E966" w14:textId="77777777" w:rsidR="00000000" w:rsidRDefault="00195E73">
            <w:pPr>
              <w:rPr>
                <w:rFonts w:eastAsia="Times New Roman"/>
                <w:sz w:val="20"/>
                <w:szCs w:val="20"/>
              </w:rPr>
            </w:pPr>
          </w:p>
        </w:tc>
      </w:tr>
      <w:tr w:rsidR="00000000" w14:paraId="6EB377F9" w14:textId="77777777">
        <w:trPr>
          <w:divId w:val="116685193"/>
          <w:jc w:val="center"/>
        </w:trPr>
        <w:tc>
          <w:tcPr>
            <w:tcW w:w="0" w:type="auto"/>
            <w:gridSpan w:val="3"/>
            <w:shd w:val="clear" w:color="auto" w:fill="CCEEFF"/>
            <w:tcMar>
              <w:top w:w="30" w:type="dxa"/>
              <w:left w:w="20" w:type="dxa"/>
              <w:bottom w:w="30" w:type="dxa"/>
              <w:right w:w="20" w:type="dxa"/>
            </w:tcMar>
            <w:vAlign w:val="bottom"/>
            <w:hideMark/>
          </w:tcPr>
          <w:p w14:paraId="29842144" w14:textId="77777777" w:rsidR="00000000" w:rsidRDefault="00195E73">
            <w:pPr>
              <w:rPr>
                <w:rFonts w:eastAsia="Times New Roman"/>
              </w:rPr>
            </w:pPr>
            <w:r>
              <w:rPr>
                <w:rFonts w:eastAsia="Times New Roman"/>
                <w:color w:val="000000"/>
                <w:sz w:val="20"/>
                <w:szCs w:val="20"/>
              </w:rPr>
              <w:t>Letters of credi</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4CFCF9D4" w14:textId="77777777" w:rsidR="00000000" w:rsidRDefault="00195E73">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0928D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70660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06A435"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AD66FA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8630D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0B588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5113E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17485E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42406B"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EAE1D9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8B2FA9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440B35"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E6ECB5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B7CAA3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99F9EE"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16217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A0E8B6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06B898" w14:textId="77777777" w:rsidR="00000000" w:rsidRDefault="00195E73">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BE498A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BC20F9F" w14:textId="77777777" w:rsidR="00000000" w:rsidRDefault="00195E73">
            <w:pPr>
              <w:rPr>
                <w:rFonts w:eastAsia="Times New Roman"/>
                <w:sz w:val="20"/>
                <w:szCs w:val="20"/>
              </w:rPr>
            </w:pPr>
          </w:p>
        </w:tc>
        <w:tc>
          <w:tcPr>
            <w:tcW w:w="0" w:type="auto"/>
            <w:vAlign w:val="center"/>
            <w:hideMark/>
          </w:tcPr>
          <w:p w14:paraId="7EDE1A61" w14:textId="77777777" w:rsidR="00000000" w:rsidRDefault="00195E73">
            <w:pPr>
              <w:rPr>
                <w:rFonts w:eastAsia="Times New Roman"/>
                <w:sz w:val="20"/>
                <w:szCs w:val="20"/>
              </w:rPr>
            </w:pPr>
          </w:p>
        </w:tc>
        <w:tc>
          <w:tcPr>
            <w:tcW w:w="0" w:type="auto"/>
            <w:vAlign w:val="center"/>
            <w:hideMark/>
          </w:tcPr>
          <w:p w14:paraId="29A6F05A" w14:textId="77777777" w:rsidR="00000000" w:rsidRDefault="00195E73">
            <w:pPr>
              <w:rPr>
                <w:rFonts w:eastAsia="Times New Roman"/>
                <w:sz w:val="20"/>
                <w:szCs w:val="20"/>
              </w:rPr>
            </w:pPr>
          </w:p>
        </w:tc>
        <w:tc>
          <w:tcPr>
            <w:tcW w:w="0" w:type="auto"/>
            <w:vAlign w:val="center"/>
            <w:hideMark/>
          </w:tcPr>
          <w:p w14:paraId="045F82F1" w14:textId="77777777" w:rsidR="00000000" w:rsidRDefault="00195E73">
            <w:pPr>
              <w:rPr>
                <w:rFonts w:eastAsia="Times New Roman"/>
                <w:sz w:val="20"/>
                <w:szCs w:val="20"/>
              </w:rPr>
            </w:pPr>
          </w:p>
        </w:tc>
        <w:tc>
          <w:tcPr>
            <w:tcW w:w="0" w:type="auto"/>
            <w:vAlign w:val="center"/>
            <w:hideMark/>
          </w:tcPr>
          <w:p w14:paraId="5F2F0DA6" w14:textId="77777777" w:rsidR="00000000" w:rsidRDefault="00195E73">
            <w:pPr>
              <w:rPr>
                <w:rFonts w:eastAsia="Times New Roman"/>
                <w:sz w:val="20"/>
                <w:szCs w:val="20"/>
              </w:rPr>
            </w:pPr>
          </w:p>
        </w:tc>
        <w:tc>
          <w:tcPr>
            <w:tcW w:w="0" w:type="auto"/>
            <w:vAlign w:val="center"/>
            <w:hideMark/>
          </w:tcPr>
          <w:p w14:paraId="2B2B78B1" w14:textId="77777777" w:rsidR="00000000" w:rsidRDefault="00195E73">
            <w:pPr>
              <w:rPr>
                <w:rFonts w:eastAsia="Times New Roman"/>
                <w:sz w:val="20"/>
                <w:szCs w:val="20"/>
              </w:rPr>
            </w:pPr>
          </w:p>
        </w:tc>
        <w:tc>
          <w:tcPr>
            <w:tcW w:w="0" w:type="auto"/>
            <w:vAlign w:val="center"/>
            <w:hideMark/>
          </w:tcPr>
          <w:p w14:paraId="3DC1DA8B" w14:textId="77777777" w:rsidR="00000000" w:rsidRDefault="00195E73">
            <w:pPr>
              <w:rPr>
                <w:rFonts w:eastAsia="Times New Roman"/>
                <w:sz w:val="20"/>
                <w:szCs w:val="20"/>
              </w:rPr>
            </w:pPr>
          </w:p>
        </w:tc>
        <w:tc>
          <w:tcPr>
            <w:tcW w:w="0" w:type="auto"/>
            <w:vAlign w:val="center"/>
            <w:hideMark/>
          </w:tcPr>
          <w:p w14:paraId="50E9E1D5" w14:textId="77777777" w:rsidR="00000000" w:rsidRDefault="00195E73">
            <w:pPr>
              <w:rPr>
                <w:rFonts w:eastAsia="Times New Roman"/>
                <w:sz w:val="20"/>
                <w:szCs w:val="20"/>
              </w:rPr>
            </w:pPr>
          </w:p>
        </w:tc>
        <w:tc>
          <w:tcPr>
            <w:tcW w:w="0" w:type="auto"/>
            <w:vAlign w:val="center"/>
            <w:hideMark/>
          </w:tcPr>
          <w:p w14:paraId="37899254" w14:textId="77777777" w:rsidR="00000000" w:rsidRDefault="00195E73">
            <w:pPr>
              <w:rPr>
                <w:rFonts w:eastAsia="Times New Roman"/>
                <w:sz w:val="20"/>
                <w:szCs w:val="20"/>
              </w:rPr>
            </w:pPr>
          </w:p>
        </w:tc>
        <w:tc>
          <w:tcPr>
            <w:tcW w:w="0" w:type="auto"/>
            <w:vAlign w:val="center"/>
            <w:hideMark/>
          </w:tcPr>
          <w:p w14:paraId="33BF7436" w14:textId="77777777" w:rsidR="00000000" w:rsidRDefault="00195E73">
            <w:pPr>
              <w:rPr>
                <w:rFonts w:eastAsia="Times New Roman"/>
                <w:sz w:val="20"/>
                <w:szCs w:val="20"/>
              </w:rPr>
            </w:pPr>
          </w:p>
        </w:tc>
        <w:tc>
          <w:tcPr>
            <w:tcW w:w="0" w:type="auto"/>
            <w:vAlign w:val="center"/>
            <w:hideMark/>
          </w:tcPr>
          <w:p w14:paraId="52DA1156" w14:textId="77777777" w:rsidR="00000000" w:rsidRDefault="00195E73">
            <w:pPr>
              <w:rPr>
                <w:rFonts w:eastAsia="Times New Roman"/>
                <w:sz w:val="20"/>
                <w:szCs w:val="20"/>
              </w:rPr>
            </w:pPr>
          </w:p>
        </w:tc>
        <w:tc>
          <w:tcPr>
            <w:tcW w:w="0" w:type="auto"/>
            <w:vAlign w:val="center"/>
            <w:hideMark/>
          </w:tcPr>
          <w:p w14:paraId="12D7E24B" w14:textId="77777777" w:rsidR="00000000" w:rsidRDefault="00195E73">
            <w:pPr>
              <w:rPr>
                <w:rFonts w:eastAsia="Times New Roman"/>
                <w:sz w:val="20"/>
                <w:szCs w:val="20"/>
              </w:rPr>
            </w:pPr>
          </w:p>
        </w:tc>
        <w:tc>
          <w:tcPr>
            <w:tcW w:w="0" w:type="auto"/>
            <w:vAlign w:val="center"/>
            <w:hideMark/>
          </w:tcPr>
          <w:p w14:paraId="7F1106BF" w14:textId="77777777" w:rsidR="00000000" w:rsidRDefault="00195E73">
            <w:pPr>
              <w:rPr>
                <w:rFonts w:eastAsia="Times New Roman"/>
                <w:sz w:val="20"/>
                <w:szCs w:val="20"/>
              </w:rPr>
            </w:pPr>
          </w:p>
        </w:tc>
        <w:tc>
          <w:tcPr>
            <w:tcW w:w="0" w:type="auto"/>
            <w:vAlign w:val="center"/>
            <w:hideMark/>
          </w:tcPr>
          <w:p w14:paraId="4B3CD3BC" w14:textId="77777777" w:rsidR="00000000" w:rsidRDefault="00195E73">
            <w:pPr>
              <w:rPr>
                <w:rFonts w:eastAsia="Times New Roman"/>
                <w:sz w:val="20"/>
                <w:szCs w:val="20"/>
              </w:rPr>
            </w:pPr>
          </w:p>
        </w:tc>
        <w:tc>
          <w:tcPr>
            <w:tcW w:w="0" w:type="auto"/>
            <w:vAlign w:val="center"/>
            <w:hideMark/>
          </w:tcPr>
          <w:p w14:paraId="7793A0FF" w14:textId="77777777" w:rsidR="00000000" w:rsidRDefault="00195E73">
            <w:pPr>
              <w:rPr>
                <w:rFonts w:eastAsia="Times New Roman"/>
                <w:sz w:val="20"/>
                <w:szCs w:val="20"/>
              </w:rPr>
            </w:pPr>
          </w:p>
        </w:tc>
        <w:tc>
          <w:tcPr>
            <w:tcW w:w="0" w:type="auto"/>
            <w:vAlign w:val="center"/>
            <w:hideMark/>
          </w:tcPr>
          <w:p w14:paraId="75943E56" w14:textId="77777777" w:rsidR="00000000" w:rsidRDefault="00195E73">
            <w:pPr>
              <w:rPr>
                <w:rFonts w:eastAsia="Times New Roman"/>
                <w:sz w:val="20"/>
                <w:szCs w:val="20"/>
              </w:rPr>
            </w:pPr>
          </w:p>
        </w:tc>
        <w:tc>
          <w:tcPr>
            <w:tcW w:w="0" w:type="auto"/>
            <w:vAlign w:val="center"/>
            <w:hideMark/>
          </w:tcPr>
          <w:p w14:paraId="53285211" w14:textId="77777777" w:rsidR="00000000" w:rsidRDefault="00195E73">
            <w:pPr>
              <w:rPr>
                <w:rFonts w:eastAsia="Times New Roman"/>
                <w:sz w:val="20"/>
                <w:szCs w:val="20"/>
              </w:rPr>
            </w:pPr>
          </w:p>
        </w:tc>
        <w:tc>
          <w:tcPr>
            <w:tcW w:w="0" w:type="auto"/>
            <w:vAlign w:val="center"/>
            <w:hideMark/>
          </w:tcPr>
          <w:p w14:paraId="4CE13483" w14:textId="77777777" w:rsidR="00000000" w:rsidRDefault="00195E73">
            <w:pPr>
              <w:rPr>
                <w:rFonts w:eastAsia="Times New Roman"/>
                <w:sz w:val="20"/>
                <w:szCs w:val="20"/>
              </w:rPr>
            </w:pPr>
          </w:p>
        </w:tc>
        <w:tc>
          <w:tcPr>
            <w:tcW w:w="0" w:type="auto"/>
            <w:vAlign w:val="center"/>
            <w:hideMark/>
          </w:tcPr>
          <w:p w14:paraId="76A8535D" w14:textId="77777777" w:rsidR="00000000" w:rsidRDefault="00195E73">
            <w:pPr>
              <w:rPr>
                <w:rFonts w:eastAsia="Times New Roman"/>
                <w:sz w:val="20"/>
                <w:szCs w:val="20"/>
              </w:rPr>
            </w:pPr>
          </w:p>
        </w:tc>
        <w:tc>
          <w:tcPr>
            <w:tcW w:w="0" w:type="auto"/>
            <w:vAlign w:val="center"/>
            <w:hideMark/>
          </w:tcPr>
          <w:p w14:paraId="32930575" w14:textId="77777777" w:rsidR="00000000" w:rsidRDefault="00195E73">
            <w:pPr>
              <w:rPr>
                <w:rFonts w:eastAsia="Times New Roman"/>
                <w:sz w:val="20"/>
                <w:szCs w:val="20"/>
              </w:rPr>
            </w:pPr>
          </w:p>
        </w:tc>
        <w:tc>
          <w:tcPr>
            <w:tcW w:w="0" w:type="auto"/>
            <w:vAlign w:val="center"/>
            <w:hideMark/>
          </w:tcPr>
          <w:p w14:paraId="4D4517EB" w14:textId="77777777" w:rsidR="00000000" w:rsidRDefault="00195E73">
            <w:pPr>
              <w:rPr>
                <w:rFonts w:eastAsia="Times New Roman"/>
                <w:sz w:val="20"/>
                <w:szCs w:val="20"/>
              </w:rPr>
            </w:pPr>
          </w:p>
        </w:tc>
      </w:tr>
      <w:tr w:rsidR="00195E73" w14:paraId="620B1343" w14:textId="77777777">
        <w:trPr>
          <w:divId w:val="116685193"/>
          <w:jc w:val="center"/>
        </w:trPr>
        <w:tc>
          <w:tcPr>
            <w:tcW w:w="0" w:type="auto"/>
            <w:gridSpan w:val="3"/>
            <w:shd w:val="clear" w:color="auto" w:fill="FFFFFF"/>
            <w:tcMar>
              <w:top w:w="30" w:type="dxa"/>
              <w:left w:w="20" w:type="dxa"/>
              <w:bottom w:w="30" w:type="dxa"/>
              <w:right w:w="20" w:type="dxa"/>
            </w:tcMar>
            <w:vAlign w:val="bottom"/>
            <w:hideMark/>
          </w:tcPr>
          <w:p w14:paraId="760E70FB" w14:textId="77777777" w:rsidR="00000000" w:rsidRDefault="00195E73">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311522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A8A986F" w14:textId="77777777" w:rsidR="00000000" w:rsidRDefault="00195E73">
            <w:pPr>
              <w:jc w:val="right"/>
              <w:rPr>
                <w:rFonts w:eastAsia="Times New Roman"/>
              </w:rPr>
            </w:pPr>
            <w:r>
              <w:rPr>
                <w:rFonts w:eastAsia="Times New Roman"/>
                <w:color w:val="000000"/>
                <w:sz w:val="20"/>
                <w:szCs w:val="20"/>
              </w:rPr>
              <w:t>899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206BF7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7EC8D67"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8F9795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5B0DF09" w14:textId="77777777" w:rsidR="00000000" w:rsidRDefault="00195E73">
            <w:pPr>
              <w:jc w:val="right"/>
              <w:rPr>
                <w:rFonts w:eastAsia="Times New Roman"/>
              </w:rPr>
            </w:pPr>
            <w:r>
              <w:rPr>
                <w:rFonts w:eastAsia="Times New Roman"/>
                <w:color w:val="000000"/>
                <w:sz w:val="20"/>
                <w:szCs w:val="20"/>
              </w:rPr>
              <w:t>1,392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D6953B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CBD0EC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BEC17A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B54EA3E" w14:textId="77777777" w:rsidR="00000000" w:rsidRDefault="00195E73">
            <w:pPr>
              <w:jc w:val="right"/>
              <w:rPr>
                <w:rFonts w:eastAsia="Times New Roman"/>
              </w:rPr>
            </w:pPr>
            <w:r>
              <w:rPr>
                <w:rFonts w:eastAsia="Times New Roman"/>
                <w:color w:val="000000"/>
                <w:sz w:val="20"/>
                <w:szCs w:val="20"/>
              </w:rPr>
              <w:t>3,684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3AB0E4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450D8F8"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CA08DF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6741255" w14:textId="77777777" w:rsidR="00000000" w:rsidRDefault="00195E73">
            <w:pPr>
              <w:jc w:val="right"/>
              <w:rPr>
                <w:rFonts w:eastAsia="Times New Roman"/>
              </w:rPr>
            </w:pPr>
            <w:r>
              <w:rPr>
                <w:rFonts w:eastAsia="Times New Roman"/>
                <w:color w:val="000000"/>
                <w:sz w:val="20"/>
                <w:szCs w:val="20"/>
              </w:rPr>
              <w:t>1,084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DEFFE2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AF6E02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C0165C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CA931B7" w14:textId="77777777" w:rsidR="00000000" w:rsidRDefault="00195E73">
            <w:pPr>
              <w:jc w:val="right"/>
              <w:rPr>
                <w:rFonts w:eastAsia="Times New Roman"/>
              </w:rPr>
            </w:pPr>
            <w:r>
              <w:rPr>
                <w:rFonts w:eastAsia="Times New Roman"/>
                <w:color w:val="000000"/>
                <w:sz w:val="20"/>
                <w:szCs w:val="20"/>
              </w:rPr>
              <w:t>1,359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1E537D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19AE3A1"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E1B72C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E0E29BC" w14:textId="77777777" w:rsidR="00000000" w:rsidRDefault="00195E73">
            <w:pPr>
              <w:jc w:val="right"/>
              <w:rPr>
                <w:rFonts w:eastAsia="Times New Roman"/>
              </w:rPr>
            </w:pPr>
            <w:r>
              <w:rPr>
                <w:rFonts w:eastAsia="Times New Roman"/>
                <w:color w:val="000000"/>
                <w:sz w:val="20"/>
                <w:szCs w:val="20"/>
              </w:rPr>
              <w:t>3,632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063E00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970287"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648CA8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18ECD47" w14:textId="77777777" w:rsidR="00000000" w:rsidRDefault="00195E73">
            <w:pPr>
              <w:jc w:val="right"/>
              <w:rPr>
                <w:rFonts w:eastAsia="Times New Roman"/>
              </w:rPr>
            </w:pPr>
            <w:r>
              <w:rPr>
                <w:rFonts w:eastAsia="Times New Roman"/>
                <w:color w:val="000000"/>
                <w:sz w:val="20"/>
                <w:szCs w:val="20"/>
              </w:rPr>
              <w:t>12,050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E65D8A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435AA41" w14:textId="77777777" w:rsidR="00000000" w:rsidRDefault="00195E73">
            <w:pPr>
              <w:rPr>
                <w:rFonts w:eastAsia="Times New Roman"/>
                <w:sz w:val="20"/>
                <w:szCs w:val="20"/>
              </w:rPr>
            </w:pPr>
          </w:p>
        </w:tc>
        <w:tc>
          <w:tcPr>
            <w:tcW w:w="0" w:type="auto"/>
            <w:vAlign w:val="center"/>
            <w:hideMark/>
          </w:tcPr>
          <w:p w14:paraId="09D157CF" w14:textId="77777777" w:rsidR="00000000" w:rsidRDefault="00195E73">
            <w:pPr>
              <w:rPr>
                <w:rFonts w:eastAsia="Times New Roman"/>
                <w:sz w:val="20"/>
                <w:szCs w:val="20"/>
              </w:rPr>
            </w:pPr>
          </w:p>
        </w:tc>
        <w:tc>
          <w:tcPr>
            <w:tcW w:w="0" w:type="auto"/>
            <w:vAlign w:val="center"/>
            <w:hideMark/>
          </w:tcPr>
          <w:p w14:paraId="3F224BA8" w14:textId="77777777" w:rsidR="00000000" w:rsidRDefault="00195E73">
            <w:pPr>
              <w:rPr>
                <w:rFonts w:eastAsia="Times New Roman"/>
                <w:sz w:val="20"/>
                <w:szCs w:val="20"/>
              </w:rPr>
            </w:pPr>
          </w:p>
        </w:tc>
        <w:tc>
          <w:tcPr>
            <w:tcW w:w="0" w:type="auto"/>
            <w:vAlign w:val="center"/>
            <w:hideMark/>
          </w:tcPr>
          <w:p w14:paraId="21BD535C" w14:textId="77777777" w:rsidR="00000000" w:rsidRDefault="00195E73">
            <w:pPr>
              <w:rPr>
                <w:rFonts w:eastAsia="Times New Roman"/>
                <w:sz w:val="20"/>
                <w:szCs w:val="20"/>
              </w:rPr>
            </w:pPr>
          </w:p>
        </w:tc>
        <w:tc>
          <w:tcPr>
            <w:tcW w:w="0" w:type="auto"/>
            <w:vAlign w:val="center"/>
            <w:hideMark/>
          </w:tcPr>
          <w:p w14:paraId="7733B667" w14:textId="77777777" w:rsidR="00000000" w:rsidRDefault="00195E73">
            <w:pPr>
              <w:rPr>
                <w:rFonts w:eastAsia="Times New Roman"/>
                <w:sz w:val="20"/>
                <w:szCs w:val="20"/>
              </w:rPr>
            </w:pPr>
          </w:p>
        </w:tc>
        <w:tc>
          <w:tcPr>
            <w:tcW w:w="0" w:type="auto"/>
            <w:vAlign w:val="center"/>
            <w:hideMark/>
          </w:tcPr>
          <w:p w14:paraId="15E98049" w14:textId="77777777" w:rsidR="00000000" w:rsidRDefault="00195E73">
            <w:pPr>
              <w:rPr>
                <w:rFonts w:eastAsia="Times New Roman"/>
                <w:sz w:val="20"/>
                <w:szCs w:val="20"/>
              </w:rPr>
            </w:pPr>
          </w:p>
        </w:tc>
        <w:tc>
          <w:tcPr>
            <w:tcW w:w="0" w:type="auto"/>
            <w:vAlign w:val="center"/>
            <w:hideMark/>
          </w:tcPr>
          <w:p w14:paraId="39EB3587" w14:textId="77777777" w:rsidR="00000000" w:rsidRDefault="00195E73">
            <w:pPr>
              <w:rPr>
                <w:rFonts w:eastAsia="Times New Roman"/>
                <w:sz w:val="20"/>
                <w:szCs w:val="20"/>
              </w:rPr>
            </w:pPr>
          </w:p>
        </w:tc>
        <w:tc>
          <w:tcPr>
            <w:tcW w:w="0" w:type="auto"/>
            <w:vAlign w:val="center"/>
            <w:hideMark/>
          </w:tcPr>
          <w:p w14:paraId="0F71610D" w14:textId="77777777" w:rsidR="00000000" w:rsidRDefault="00195E73">
            <w:pPr>
              <w:rPr>
                <w:rFonts w:eastAsia="Times New Roman"/>
                <w:sz w:val="20"/>
                <w:szCs w:val="20"/>
              </w:rPr>
            </w:pPr>
          </w:p>
        </w:tc>
        <w:tc>
          <w:tcPr>
            <w:tcW w:w="0" w:type="auto"/>
            <w:vAlign w:val="center"/>
            <w:hideMark/>
          </w:tcPr>
          <w:p w14:paraId="0BA4DD82" w14:textId="77777777" w:rsidR="00000000" w:rsidRDefault="00195E73">
            <w:pPr>
              <w:rPr>
                <w:rFonts w:eastAsia="Times New Roman"/>
                <w:sz w:val="20"/>
                <w:szCs w:val="20"/>
              </w:rPr>
            </w:pPr>
          </w:p>
        </w:tc>
        <w:tc>
          <w:tcPr>
            <w:tcW w:w="0" w:type="auto"/>
            <w:vAlign w:val="center"/>
            <w:hideMark/>
          </w:tcPr>
          <w:p w14:paraId="4ED27707" w14:textId="77777777" w:rsidR="00000000" w:rsidRDefault="00195E73">
            <w:pPr>
              <w:rPr>
                <w:rFonts w:eastAsia="Times New Roman"/>
                <w:sz w:val="20"/>
                <w:szCs w:val="20"/>
              </w:rPr>
            </w:pPr>
          </w:p>
        </w:tc>
        <w:tc>
          <w:tcPr>
            <w:tcW w:w="0" w:type="auto"/>
            <w:vAlign w:val="center"/>
            <w:hideMark/>
          </w:tcPr>
          <w:p w14:paraId="7B2D2739" w14:textId="77777777" w:rsidR="00000000" w:rsidRDefault="00195E73">
            <w:pPr>
              <w:rPr>
                <w:rFonts w:eastAsia="Times New Roman"/>
                <w:sz w:val="20"/>
                <w:szCs w:val="20"/>
              </w:rPr>
            </w:pPr>
          </w:p>
        </w:tc>
        <w:tc>
          <w:tcPr>
            <w:tcW w:w="0" w:type="auto"/>
            <w:vAlign w:val="center"/>
            <w:hideMark/>
          </w:tcPr>
          <w:p w14:paraId="0E46B430" w14:textId="77777777" w:rsidR="00000000" w:rsidRDefault="00195E73">
            <w:pPr>
              <w:rPr>
                <w:rFonts w:eastAsia="Times New Roman"/>
                <w:sz w:val="20"/>
                <w:szCs w:val="20"/>
              </w:rPr>
            </w:pPr>
          </w:p>
        </w:tc>
        <w:tc>
          <w:tcPr>
            <w:tcW w:w="0" w:type="auto"/>
            <w:vAlign w:val="center"/>
            <w:hideMark/>
          </w:tcPr>
          <w:p w14:paraId="497B604A" w14:textId="77777777" w:rsidR="00000000" w:rsidRDefault="00195E73">
            <w:pPr>
              <w:rPr>
                <w:rFonts w:eastAsia="Times New Roman"/>
                <w:sz w:val="20"/>
                <w:szCs w:val="20"/>
              </w:rPr>
            </w:pPr>
          </w:p>
        </w:tc>
        <w:tc>
          <w:tcPr>
            <w:tcW w:w="0" w:type="auto"/>
            <w:vAlign w:val="center"/>
            <w:hideMark/>
          </w:tcPr>
          <w:p w14:paraId="1D29E255" w14:textId="77777777" w:rsidR="00000000" w:rsidRDefault="00195E73">
            <w:pPr>
              <w:rPr>
                <w:rFonts w:eastAsia="Times New Roman"/>
                <w:sz w:val="20"/>
                <w:szCs w:val="20"/>
              </w:rPr>
            </w:pPr>
          </w:p>
        </w:tc>
        <w:tc>
          <w:tcPr>
            <w:tcW w:w="0" w:type="auto"/>
            <w:vAlign w:val="center"/>
            <w:hideMark/>
          </w:tcPr>
          <w:p w14:paraId="6ADC9C7C" w14:textId="77777777" w:rsidR="00000000" w:rsidRDefault="00195E73">
            <w:pPr>
              <w:rPr>
                <w:rFonts w:eastAsia="Times New Roman"/>
                <w:sz w:val="20"/>
                <w:szCs w:val="20"/>
              </w:rPr>
            </w:pPr>
          </w:p>
        </w:tc>
        <w:tc>
          <w:tcPr>
            <w:tcW w:w="0" w:type="auto"/>
            <w:vAlign w:val="center"/>
            <w:hideMark/>
          </w:tcPr>
          <w:p w14:paraId="2C6C376F" w14:textId="77777777" w:rsidR="00000000" w:rsidRDefault="00195E73">
            <w:pPr>
              <w:rPr>
                <w:rFonts w:eastAsia="Times New Roman"/>
                <w:sz w:val="20"/>
                <w:szCs w:val="20"/>
              </w:rPr>
            </w:pPr>
          </w:p>
        </w:tc>
        <w:tc>
          <w:tcPr>
            <w:tcW w:w="0" w:type="auto"/>
            <w:vAlign w:val="center"/>
            <w:hideMark/>
          </w:tcPr>
          <w:p w14:paraId="4E9776DD" w14:textId="77777777" w:rsidR="00000000" w:rsidRDefault="00195E73">
            <w:pPr>
              <w:rPr>
                <w:rFonts w:eastAsia="Times New Roman"/>
                <w:sz w:val="20"/>
                <w:szCs w:val="20"/>
              </w:rPr>
            </w:pPr>
          </w:p>
        </w:tc>
        <w:tc>
          <w:tcPr>
            <w:tcW w:w="0" w:type="auto"/>
            <w:vAlign w:val="center"/>
            <w:hideMark/>
          </w:tcPr>
          <w:p w14:paraId="23B7D873" w14:textId="77777777" w:rsidR="00000000" w:rsidRDefault="00195E73">
            <w:pPr>
              <w:rPr>
                <w:rFonts w:eastAsia="Times New Roman"/>
                <w:sz w:val="20"/>
                <w:szCs w:val="20"/>
              </w:rPr>
            </w:pPr>
          </w:p>
        </w:tc>
        <w:tc>
          <w:tcPr>
            <w:tcW w:w="0" w:type="auto"/>
            <w:vAlign w:val="center"/>
            <w:hideMark/>
          </w:tcPr>
          <w:p w14:paraId="5EF77749" w14:textId="77777777" w:rsidR="00000000" w:rsidRDefault="00195E73">
            <w:pPr>
              <w:rPr>
                <w:rFonts w:eastAsia="Times New Roman"/>
                <w:sz w:val="20"/>
                <w:szCs w:val="20"/>
              </w:rPr>
            </w:pPr>
          </w:p>
        </w:tc>
        <w:tc>
          <w:tcPr>
            <w:tcW w:w="0" w:type="auto"/>
            <w:vAlign w:val="center"/>
            <w:hideMark/>
          </w:tcPr>
          <w:p w14:paraId="56A81E9C" w14:textId="77777777" w:rsidR="00000000" w:rsidRDefault="00195E73">
            <w:pPr>
              <w:rPr>
                <w:rFonts w:eastAsia="Times New Roman"/>
                <w:sz w:val="20"/>
                <w:szCs w:val="20"/>
              </w:rPr>
            </w:pPr>
          </w:p>
        </w:tc>
        <w:tc>
          <w:tcPr>
            <w:tcW w:w="0" w:type="auto"/>
            <w:vAlign w:val="center"/>
            <w:hideMark/>
          </w:tcPr>
          <w:p w14:paraId="0AAB2084" w14:textId="77777777" w:rsidR="00000000" w:rsidRDefault="00195E73">
            <w:pPr>
              <w:rPr>
                <w:rFonts w:eastAsia="Times New Roman"/>
                <w:sz w:val="20"/>
                <w:szCs w:val="20"/>
              </w:rPr>
            </w:pPr>
          </w:p>
        </w:tc>
      </w:tr>
    </w:tbl>
    <w:p w14:paraId="5DEECABA" w14:textId="77777777" w:rsidR="00000000" w:rsidRDefault="00195E73">
      <w:pPr>
        <w:ind w:firstLine="405"/>
        <w:divId w:val="868446125"/>
        <w:rPr>
          <w:rFonts w:eastAsia="Times New Roman"/>
        </w:rPr>
      </w:pPr>
    </w:p>
    <w:p w14:paraId="2CE43629" w14:textId="77777777" w:rsidR="00000000" w:rsidRDefault="00195E73">
      <w:pPr>
        <w:ind w:firstLine="405"/>
        <w:divId w:val="2013291582"/>
        <w:rPr>
          <w:rFonts w:eastAsia="Times New Roman"/>
        </w:rPr>
      </w:pPr>
      <w:r>
        <w:rPr>
          <w:rFonts w:eastAsia="Times New Roman"/>
          <w:color w:val="000000"/>
          <w:sz w:val="20"/>
          <w:szCs w:val="20"/>
        </w:rPr>
        <w:t>Certain of CVR Energy’s and PSC Metals’ facilities are environmentally impaired. As of December 31, 2019, CVR Energy and PSC Metals have recorded environmental liabilities of $6 million and $27 million, respectively. For further disc</w:t>
      </w:r>
      <w:r>
        <w:rPr>
          <w:rFonts w:eastAsia="Times New Roman"/>
          <w:color w:val="000000"/>
          <w:sz w:val="20"/>
          <w:szCs w:val="20"/>
        </w:rPr>
        <w:t>ussion regarding these commitments, among others, see Note 18, “Commitments and Contingencies,” to the consolidated financial statements</w:t>
      </w:r>
      <w:r>
        <w:rPr>
          <w:rFonts w:eastAsia="Times New Roman"/>
          <w:color w:val="000000"/>
          <w:sz w:val="20"/>
          <w:szCs w:val="20"/>
        </w:rPr>
        <w:t>.</w:t>
      </w:r>
    </w:p>
    <w:p w14:paraId="49FE8EA6" w14:textId="77777777" w:rsidR="00000000" w:rsidRDefault="00195E73">
      <w:pPr>
        <w:ind w:firstLine="405"/>
        <w:divId w:val="1197695904"/>
        <w:rPr>
          <w:rFonts w:eastAsia="Times New Roman"/>
        </w:rPr>
      </w:pPr>
      <w:r>
        <w:rPr>
          <w:rFonts w:eastAsia="Times New Roman"/>
          <w:color w:val="000000"/>
          <w:sz w:val="20"/>
          <w:szCs w:val="20"/>
        </w:rPr>
        <w:t>As discussed in Note 4, “Investments,” to the consolidated financial statements, we have contractual liabilities of $1</w:t>
      </w:r>
      <w:r>
        <w:rPr>
          <w:rFonts w:eastAsia="Times New Roman"/>
          <w:color w:val="000000"/>
          <w:sz w:val="20"/>
          <w:szCs w:val="20"/>
        </w:rPr>
        <w:t>,190 million related to securities sold, not yet purchased as of December 31, 2019. This amount has not been included in the table above as maturity is not subject to a contract and cannot be properly estimated</w:t>
      </w:r>
      <w:r>
        <w:rPr>
          <w:rFonts w:eastAsia="Times New Roman"/>
          <w:color w:val="000000"/>
          <w:sz w:val="20"/>
          <w:szCs w:val="20"/>
        </w:rPr>
        <w:t>.</w:t>
      </w:r>
    </w:p>
    <w:p w14:paraId="45B34248" w14:textId="77777777" w:rsidR="00000000" w:rsidRDefault="00195E73">
      <w:pPr>
        <w:divId w:val="662045938"/>
        <w:rPr>
          <w:rFonts w:eastAsia="Times New Roman"/>
        </w:rPr>
      </w:pPr>
      <w:r>
        <w:rPr>
          <w:rFonts w:eastAsia="Times New Roman"/>
          <w:b/>
          <w:bCs/>
          <w:i/>
          <w:iCs/>
          <w:color w:val="000000"/>
          <w:sz w:val="20"/>
          <w:szCs w:val="20"/>
        </w:rPr>
        <w:t>Consolidated Off-Balance Sheet Arrangement</w:t>
      </w:r>
      <w:r>
        <w:rPr>
          <w:rFonts w:eastAsia="Times New Roman"/>
          <w:b/>
          <w:bCs/>
          <w:i/>
          <w:iCs/>
          <w:color w:val="000000"/>
          <w:sz w:val="20"/>
          <w:szCs w:val="20"/>
        </w:rPr>
        <w:t>s</w:t>
      </w:r>
    </w:p>
    <w:p w14:paraId="0902A50B" w14:textId="77777777" w:rsidR="00000000" w:rsidRDefault="00195E73">
      <w:pPr>
        <w:ind w:firstLine="405"/>
        <w:divId w:val="1111629478"/>
        <w:rPr>
          <w:rFonts w:eastAsia="Times New Roman"/>
        </w:rPr>
      </w:pPr>
      <w:r>
        <w:rPr>
          <w:rFonts w:eastAsia="Times New Roman"/>
          <w:color w:val="000000"/>
          <w:sz w:val="20"/>
          <w:szCs w:val="20"/>
        </w:rPr>
        <w:t>We have off-balance sheet risk related to investment activities associated with certain financial instruments, including futures, options, credit default swaps and securities sold, not yet purchased. For additional information regarding these arrangements,</w:t>
      </w:r>
      <w:r>
        <w:rPr>
          <w:rFonts w:eastAsia="Times New Roman"/>
          <w:color w:val="000000"/>
          <w:sz w:val="20"/>
          <w:szCs w:val="20"/>
        </w:rPr>
        <w:t xml:space="preserve"> refer to Note 6, “Financial Instruments,” to the consolidated financial statements contained elsewhere in this Report.</w:t>
      </w:r>
      <w:r>
        <w:rPr>
          <w:rFonts w:eastAsia="Times New Roman"/>
          <w:color w:val="000000"/>
          <w:sz w:val="20"/>
          <w:szCs w:val="20"/>
        </w:rPr>
        <w:t xml:space="preserve"> </w:t>
      </w:r>
    </w:p>
    <w:p w14:paraId="45824527" w14:textId="77777777" w:rsidR="00000000" w:rsidRDefault="00195E73">
      <w:pPr>
        <w:divId w:val="1312952308"/>
        <w:rPr>
          <w:rFonts w:eastAsia="Times New Roman"/>
        </w:rPr>
      </w:pPr>
    </w:p>
    <w:p w14:paraId="31A3BED0" w14:textId="77777777" w:rsidR="00000000" w:rsidRDefault="00195E73">
      <w:pPr>
        <w:divId w:val="259336969"/>
        <w:rPr>
          <w:rFonts w:eastAsia="Times New Roman"/>
        </w:rPr>
      </w:pPr>
    </w:p>
    <w:p w14:paraId="71DBFCA3" w14:textId="77777777" w:rsidR="00000000" w:rsidRDefault="00195E73">
      <w:pPr>
        <w:divId w:val="371195962"/>
        <w:rPr>
          <w:rFonts w:eastAsia="Times New Roman"/>
        </w:rPr>
      </w:pPr>
      <w:r>
        <w:rPr>
          <w:rFonts w:eastAsia="Times New Roman"/>
          <w:b/>
          <w:bCs/>
          <w:color w:val="000000"/>
          <w:sz w:val="20"/>
          <w:szCs w:val="20"/>
        </w:rPr>
        <w:t>Critical Accounting Policies and Estimate</w:t>
      </w:r>
      <w:r>
        <w:rPr>
          <w:rFonts w:eastAsia="Times New Roman"/>
          <w:b/>
          <w:bCs/>
          <w:color w:val="000000"/>
          <w:sz w:val="20"/>
          <w:szCs w:val="20"/>
        </w:rPr>
        <w:t>s</w:t>
      </w:r>
    </w:p>
    <w:p w14:paraId="1F77F992" w14:textId="77777777" w:rsidR="00000000" w:rsidRDefault="00195E73">
      <w:pPr>
        <w:ind w:firstLine="405"/>
        <w:divId w:val="1186167362"/>
        <w:rPr>
          <w:rFonts w:eastAsia="Times New Roman"/>
        </w:rPr>
      </w:pPr>
      <w:r>
        <w:rPr>
          <w:rFonts w:eastAsia="Times New Roman"/>
          <w:color w:val="000000"/>
          <w:sz w:val="20"/>
          <w:szCs w:val="20"/>
        </w:rPr>
        <w:t>Our significant accounting policies are described in Note 2, “Basis of Presentation and Summary of Significant Accounting Policies,” to the consolidated financial statements. Our consolidated financial statements have been prepared in accordance with accou</w:t>
      </w:r>
      <w:r>
        <w:rPr>
          <w:rFonts w:eastAsia="Times New Roman"/>
          <w:color w:val="000000"/>
          <w:sz w:val="20"/>
          <w:szCs w:val="20"/>
        </w:rPr>
        <w:t>nting principles generally accepted in the United States (“U.S. GAAP”). The preparation of financial statements in conformity with U.S. GAAP requires management to make estimates and assumptions that affect the reported amounts of assets, liabilities, reve</w:t>
      </w:r>
      <w:r>
        <w:rPr>
          <w:rFonts w:eastAsia="Times New Roman"/>
          <w:color w:val="000000"/>
          <w:sz w:val="20"/>
          <w:szCs w:val="20"/>
        </w:rPr>
        <w:t>nues and expenses and the disclosure of contingent assets and liabilities. Among others, estimates are used when accounting for valuation of investments. Estimates used in determining fair value measurements</w:t>
      </w:r>
      <w:r>
        <w:rPr>
          <w:rFonts w:eastAsia="Times New Roman"/>
          <w:color w:val="000000"/>
          <w:sz w:val="20"/>
          <w:szCs w:val="20"/>
        </w:rPr>
        <w:t xml:space="preserve"> </w:t>
      </w:r>
    </w:p>
    <w:p w14:paraId="58AE0F5C" w14:textId="77777777" w:rsidR="00000000" w:rsidRDefault="00195E73">
      <w:pPr>
        <w:jc w:val="center"/>
        <w:divId w:val="1640301572"/>
        <w:rPr>
          <w:rFonts w:eastAsia="Times New Roman"/>
        </w:rPr>
      </w:pPr>
      <w:r>
        <w:rPr>
          <w:rFonts w:eastAsia="Times New Roman"/>
          <w:color w:val="000000"/>
          <w:sz w:val="20"/>
          <w:szCs w:val="20"/>
        </w:rPr>
        <w:t>4</w:t>
      </w:r>
      <w:r>
        <w:rPr>
          <w:rFonts w:eastAsia="Times New Roman"/>
          <w:color w:val="000000"/>
          <w:sz w:val="20"/>
          <w:szCs w:val="20"/>
        </w:rPr>
        <w:t>6</w:t>
      </w:r>
    </w:p>
    <w:p w14:paraId="2890148A" w14:textId="77777777" w:rsidR="00000000" w:rsidRDefault="00195E73">
      <w:pPr>
        <w:rPr>
          <w:rFonts w:eastAsia="Times New Roman"/>
        </w:rPr>
      </w:pPr>
      <w:r>
        <w:rPr>
          <w:rFonts w:eastAsia="Times New Roman"/>
        </w:rPr>
        <w:pict w14:anchorId="5411EBDF">
          <v:rect id="_x0000_i1072" style="width:0;height:1.5pt" o:hralign="center" o:hrstd="t" o:hr="t" fillcolor="#a0a0a0" stroked="f"/>
        </w:pict>
      </w:r>
    </w:p>
    <w:p w14:paraId="3A70BCFD" w14:textId="77777777" w:rsidR="00000000" w:rsidRDefault="00195E73">
      <w:pPr>
        <w:divId w:val="395278522"/>
        <w:rPr>
          <w:rFonts w:eastAsia="Times New Roman"/>
        </w:rPr>
      </w:pPr>
    </w:p>
    <w:p w14:paraId="120EFAFF" w14:textId="77777777" w:rsidR="00000000" w:rsidRDefault="00195E73">
      <w:pPr>
        <w:divId w:val="751896365"/>
        <w:rPr>
          <w:rFonts w:eastAsia="Times New Roman"/>
        </w:rPr>
      </w:pPr>
      <w:r>
        <w:rPr>
          <w:rFonts w:eastAsia="Times New Roman"/>
          <w:color w:val="000000"/>
          <w:sz w:val="20"/>
          <w:szCs w:val="20"/>
        </w:rPr>
        <w:t>includ</w:t>
      </w:r>
      <w:r>
        <w:rPr>
          <w:rFonts w:eastAsia="Times New Roman"/>
          <w:color w:val="000000"/>
          <w:sz w:val="20"/>
          <w:szCs w:val="20"/>
        </w:rPr>
        <w:t>e, but are not limited to, expected future cash flow assumptions, market rate assumptions for contractual obligations, actuarial assumptions for benefit plans, settlement plans for litigation and contingencies, and appropriate discount rates. Estimates and</w:t>
      </w:r>
      <w:r>
        <w:rPr>
          <w:rFonts w:eastAsia="Times New Roman"/>
          <w:color w:val="000000"/>
          <w:sz w:val="20"/>
          <w:szCs w:val="20"/>
        </w:rPr>
        <w:t xml:space="preserve"> assumptions are evaluated on an ongoing basis and are based on historical and other factors believed to be reasonable under the circumstances. The results of these estimates may form the basis of the carrying value of certain assets and liabilities and ma</w:t>
      </w:r>
      <w:r>
        <w:rPr>
          <w:rFonts w:eastAsia="Times New Roman"/>
          <w:color w:val="000000"/>
          <w:sz w:val="20"/>
          <w:szCs w:val="20"/>
        </w:rPr>
        <w:t>y not be readily apparent from other sources. Actual results, under conditions and circumstances different from those assumed, may differ from estimates</w:t>
      </w:r>
      <w:r>
        <w:rPr>
          <w:rFonts w:eastAsia="Times New Roman"/>
          <w:color w:val="000000"/>
          <w:sz w:val="20"/>
          <w:szCs w:val="20"/>
        </w:rPr>
        <w:t>.</w:t>
      </w:r>
    </w:p>
    <w:p w14:paraId="63BFCE3E" w14:textId="77777777" w:rsidR="00000000" w:rsidRDefault="00195E73">
      <w:pPr>
        <w:ind w:firstLine="405"/>
        <w:divId w:val="1495103141"/>
        <w:rPr>
          <w:rFonts w:eastAsia="Times New Roman"/>
        </w:rPr>
      </w:pPr>
      <w:r>
        <w:rPr>
          <w:rFonts w:eastAsia="Times New Roman"/>
          <w:color w:val="000000"/>
          <w:sz w:val="20"/>
          <w:szCs w:val="20"/>
        </w:rPr>
        <w:t>We believe the following accounting policies are critical to our business operations and the understan</w:t>
      </w:r>
      <w:r>
        <w:rPr>
          <w:rFonts w:eastAsia="Times New Roman"/>
          <w:color w:val="000000"/>
          <w:sz w:val="20"/>
          <w:szCs w:val="20"/>
        </w:rPr>
        <w:t>ding of results of operations and affect the more significant judgments and estimates used in the preparation of our consolidated financial statements</w:t>
      </w:r>
      <w:r>
        <w:rPr>
          <w:rFonts w:eastAsia="Times New Roman"/>
          <w:color w:val="000000"/>
          <w:sz w:val="20"/>
          <w:szCs w:val="20"/>
        </w:rPr>
        <w:t>.</w:t>
      </w:r>
    </w:p>
    <w:p w14:paraId="505816E9" w14:textId="77777777" w:rsidR="00000000" w:rsidRDefault="00195E73">
      <w:pPr>
        <w:divId w:val="1058867873"/>
        <w:rPr>
          <w:rFonts w:eastAsia="Times New Roman"/>
        </w:rPr>
      </w:pPr>
      <w:r>
        <w:rPr>
          <w:rFonts w:eastAsia="Times New Roman"/>
          <w:b/>
          <w:bCs/>
          <w:i/>
          <w:iCs/>
          <w:color w:val="000000"/>
          <w:sz w:val="20"/>
          <w:szCs w:val="20"/>
        </w:rPr>
        <w:t>Income Taxe</w:t>
      </w:r>
      <w:r>
        <w:rPr>
          <w:rFonts w:eastAsia="Times New Roman"/>
          <w:b/>
          <w:bCs/>
          <w:i/>
          <w:iCs/>
          <w:color w:val="000000"/>
          <w:sz w:val="20"/>
          <w:szCs w:val="20"/>
        </w:rPr>
        <w:t>s</w:t>
      </w:r>
    </w:p>
    <w:p w14:paraId="5E73C22F" w14:textId="77777777" w:rsidR="00000000" w:rsidRDefault="00195E73">
      <w:pPr>
        <w:ind w:firstLine="405"/>
        <w:divId w:val="1333484491"/>
        <w:rPr>
          <w:rFonts w:eastAsia="Times New Roman"/>
        </w:rPr>
      </w:pPr>
      <w:r>
        <w:rPr>
          <w:rFonts w:eastAsia="Times New Roman"/>
          <w:color w:val="000000"/>
          <w:sz w:val="20"/>
          <w:szCs w:val="20"/>
        </w:rPr>
        <w:t xml:space="preserve">Except as described below, no provision has been made for federal, state, local or foreign </w:t>
      </w:r>
      <w:r>
        <w:rPr>
          <w:rFonts w:eastAsia="Times New Roman"/>
          <w:color w:val="000000"/>
          <w:sz w:val="20"/>
          <w:szCs w:val="20"/>
        </w:rPr>
        <w:t>income taxes on the results of operations generated by partnership activities as such taxes are the responsibility of the partners. Our corporate subsidiaries account for their income taxes under the asset and liability method</w:t>
      </w:r>
      <w:r>
        <w:rPr>
          <w:rFonts w:eastAsia="Times New Roman"/>
          <w:color w:val="000000"/>
          <w:sz w:val="20"/>
          <w:szCs w:val="20"/>
        </w:rPr>
        <w:t>.</w:t>
      </w:r>
    </w:p>
    <w:p w14:paraId="19ED613D" w14:textId="77777777" w:rsidR="00000000" w:rsidRDefault="00195E73">
      <w:pPr>
        <w:ind w:firstLine="405"/>
        <w:divId w:val="814641198"/>
        <w:rPr>
          <w:rFonts w:eastAsia="Times New Roman"/>
        </w:rPr>
      </w:pPr>
      <w:r>
        <w:rPr>
          <w:rFonts w:eastAsia="Times New Roman"/>
          <w:color w:val="000000"/>
          <w:sz w:val="20"/>
          <w:szCs w:val="20"/>
        </w:rPr>
        <w:t>Deferred tax assets and liab</w:t>
      </w:r>
      <w:r>
        <w:rPr>
          <w:rFonts w:eastAsia="Times New Roman"/>
          <w:color w:val="000000"/>
          <w:sz w:val="20"/>
          <w:szCs w:val="20"/>
        </w:rPr>
        <w:t>ilities are recognized for the future tax consequences attributable to differences between the financial statement carrying amounts of existing assets and liabilities and their respective tax bases and operating loss and tax credit carryforwards</w:t>
      </w:r>
      <w:r>
        <w:rPr>
          <w:rFonts w:eastAsia="Times New Roman"/>
          <w:color w:val="000000"/>
          <w:sz w:val="20"/>
          <w:szCs w:val="20"/>
        </w:rPr>
        <w:t>.</w:t>
      </w:r>
    </w:p>
    <w:p w14:paraId="42B824AC" w14:textId="77777777" w:rsidR="00000000" w:rsidRDefault="00195E73">
      <w:pPr>
        <w:ind w:firstLine="405"/>
        <w:divId w:val="1181435719"/>
        <w:rPr>
          <w:rFonts w:eastAsia="Times New Roman"/>
        </w:rPr>
      </w:pPr>
      <w:r>
        <w:rPr>
          <w:rFonts w:eastAsia="Times New Roman"/>
          <w:color w:val="000000"/>
          <w:sz w:val="20"/>
          <w:szCs w:val="20"/>
        </w:rPr>
        <w:t xml:space="preserve">Deferred </w:t>
      </w:r>
      <w:r>
        <w:rPr>
          <w:rFonts w:eastAsia="Times New Roman"/>
          <w:color w:val="000000"/>
          <w:sz w:val="20"/>
          <w:szCs w:val="20"/>
        </w:rPr>
        <w:t xml:space="preserve">tax assets and liabilities are measured using enacted tax rates expected to apply to taxable income in the years in which those temporary differences are expected to be recovered or settled. The effect on deferred tax assets and liabilities of a change in </w:t>
      </w:r>
      <w:r>
        <w:rPr>
          <w:rFonts w:eastAsia="Times New Roman"/>
          <w:color w:val="000000"/>
          <w:sz w:val="20"/>
          <w:szCs w:val="20"/>
        </w:rPr>
        <w:t>tax rates is recognized in income in the period that includes the enactment date.</w:t>
      </w:r>
      <w:r>
        <w:rPr>
          <w:rFonts w:eastAsia="Times New Roman"/>
          <w:color w:val="000000"/>
          <w:sz w:val="20"/>
          <w:szCs w:val="20"/>
        </w:rPr>
        <w:t xml:space="preserve"> </w:t>
      </w:r>
    </w:p>
    <w:p w14:paraId="2D63A736" w14:textId="77777777" w:rsidR="00000000" w:rsidRDefault="00195E73">
      <w:pPr>
        <w:ind w:firstLine="405"/>
        <w:divId w:val="2032753421"/>
        <w:rPr>
          <w:rFonts w:eastAsia="Times New Roman"/>
        </w:rPr>
      </w:pPr>
      <w:r>
        <w:rPr>
          <w:rFonts w:eastAsia="Times New Roman"/>
          <w:color w:val="000000"/>
          <w:sz w:val="20"/>
          <w:szCs w:val="20"/>
        </w:rPr>
        <w:t>Management periodically evaluates all evidence, both positive and negative, in determining whether a valuation allowance to reduce the carrying value of deferred tax assets is still needed. For each of the three years ended December 31, 2019, we concluded,</w:t>
      </w:r>
      <w:r>
        <w:rPr>
          <w:rFonts w:eastAsia="Times New Roman"/>
          <w:color w:val="000000"/>
          <w:sz w:val="20"/>
          <w:szCs w:val="20"/>
        </w:rPr>
        <w:t xml:space="preserve"> based on the projections of taxable income, that certain of our corporate subsidiaries more likely than not will realize a partial benefit from their deferred tax assets and loss carry forwards. Ultimate realization of the deferred tax assets is dependent</w:t>
      </w:r>
      <w:r>
        <w:rPr>
          <w:rFonts w:eastAsia="Times New Roman"/>
          <w:color w:val="000000"/>
          <w:sz w:val="20"/>
          <w:szCs w:val="20"/>
        </w:rPr>
        <w:t xml:space="preserve"> upon, among other factors, our corporate subsidiaries’ ability to generate sufficient taxable income within the carryforward periods and is subject to change depending on the tax laws in effect in the years in which the carryforwards are used.</w:t>
      </w:r>
      <w:r>
        <w:rPr>
          <w:rFonts w:eastAsia="Times New Roman"/>
          <w:color w:val="000000"/>
          <w:sz w:val="20"/>
          <w:szCs w:val="20"/>
        </w:rPr>
        <w:t xml:space="preserve"> </w:t>
      </w:r>
    </w:p>
    <w:p w14:paraId="63129C74" w14:textId="77777777" w:rsidR="00000000" w:rsidRDefault="00195E73">
      <w:pPr>
        <w:ind w:firstLine="405"/>
        <w:divId w:val="643240756"/>
        <w:rPr>
          <w:rFonts w:eastAsia="Times New Roman"/>
        </w:rPr>
      </w:pPr>
      <w:r>
        <w:rPr>
          <w:rFonts w:eastAsia="Times New Roman"/>
          <w:color w:val="000000"/>
          <w:sz w:val="20"/>
          <w:szCs w:val="20"/>
        </w:rPr>
        <w:t>See Note 1</w:t>
      </w:r>
      <w:r>
        <w:rPr>
          <w:rFonts w:eastAsia="Times New Roman"/>
          <w:color w:val="000000"/>
          <w:sz w:val="20"/>
          <w:szCs w:val="20"/>
        </w:rPr>
        <w:t>5, “Income Taxes,” to the consolidated financial statements for further discussion regarding our income taxes</w:t>
      </w:r>
      <w:r>
        <w:rPr>
          <w:rFonts w:eastAsia="Times New Roman"/>
          <w:color w:val="000000"/>
          <w:sz w:val="20"/>
          <w:szCs w:val="20"/>
        </w:rPr>
        <w:t>.</w:t>
      </w:r>
    </w:p>
    <w:p w14:paraId="5C09062D" w14:textId="77777777" w:rsidR="00000000" w:rsidRDefault="00195E73">
      <w:pPr>
        <w:divId w:val="927956661"/>
        <w:rPr>
          <w:rFonts w:eastAsia="Times New Roman"/>
        </w:rPr>
      </w:pPr>
      <w:r>
        <w:rPr>
          <w:rFonts w:eastAsia="Times New Roman"/>
          <w:b/>
          <w:bCs/>
          <w:i/>
          <w:iCs/>
          <w:color w:val="000000"/>
          <w:sz w:val="20"/>
          <w:szCs w:val="20"/>
        </w:rPr>
        <w:t>Valuation of Investment</w:t>
      </w:r>
      <w:r>
        <w:rPr>
          <w:rFonts w:eastAsia="Times New Roman"/>
          <w:b/>
          <w:bCs/>
          <w:i/>
          <w:iCs/>
          <w:color w:val="000000"/>
          <w:sz w:val="20"/>
          <w:szCs w:val="20"/>
        </w:rPr>
        <w:t>s</w:t>
      </w:r>
    </w:p>
    <w:p w14:paraId="613EC5BC" w14:textId="77777777" w:rsidR="00000000" w:rsidRDefault="00195E73">
      <w:pPr>
        <w:ind w:firstLine="405"/>
        <w:divId w:val="249698043"/>
        <w:rPr>
          <w:rFonts w:eastAsia="Times New Roman"/>
        </w:rPr>
      </w:pPr>
      <w:r>
        <w:rPr>
          <w:rFonts w:eastAsia="Times New Roman"/>
          <w:color w:val="000000"/>
          <w:sz w:val="20"/>
          <w:szCs w:val="20"/>
        </w:rPr>
        <w:t>The fair value of our investments, including securities sold, not yet purchased, is based on observable market prices wh</w:t>
      </w:r>
      <w:r>
        <w:rPr>
          <w:rFonts w:eastAsia="Times New Roman"/>
          <w:color w:val="000000"/>
          <w:sz w:val="20"/>
          <w:szCs w:val="20"/>
        </w:rPr>
        <w:t xml:space="preserve">en available. Securities owned by the Investment Funds that are listed on a securities exchange are valued at their last sales price on the primary securities exchange on which such securities are traded on such date. Securities that are not listed on any </w:t>
      </w:r>
      <w:r>
        <w:rPr>
          <w:rFonts w:eastAsia="Times New Roman"/>
          <w:color w:val="000000"/>
          <w:sz w:val="20"/>
          <w:szCs w:val="20"/>
        </w:rPr>
        <w:t>exchange but are traded over-the-counter are valued at the mean between the last “bid” and “ask” price for such security on such date. Securities and other instruments for which market quotes are not readily available are valued at fair value as determined</w:t>
      </w:r>
      <w:r>
        <w:rPr>
          <w:rFonts w:eastAsia="Times New Roman"/>
          <w:color w:val="000000"/>
          <w:sz w:val="20"/>
          <w:szCs w:val="20"/>
        </w:rPr>
        <w:t xml:space="preserve"> in good faith by the applicable general partner. For some investments little market activity may exist; management’s determination of fair value is then based on the best information available in the circumstances and may incorporate management’s own assu</w:t>
      </w:r>
      <w:r>
        <w:rPr>
          <w:rFonts w:eastAsia="Times New Roman"/>
          <w:color w:val="000000"/>
          <w:sz w:val="20"/>
          <w:szCs w:val="20"/>
        </w:rPr>
        <w:t>mptions and involves a significant degree of judgment.</w:t>
      </w:r>
      <w:r>
        <w:rPr>
          <w:rFonts w:eastAsia="Times New Roman"/>
          <w:color w:val="000000"/>
          <w:sz w:val="20"/>
          <w:szCs w:val="20"/>
        </w:rPr>
        <w:t xml:space="preserve"> </w:t>
      </w:r>
    </w:p>
    <w:p w14:paraId="4034B1E3" w14:textId="77777777" w:rsidR="00000000" w:rsidRDefault="00195E73">
      <w:pPr>
        <w:divId w:val="603462259"/>
        <w:rPr>
          <w:rFonts w:eastAsia="Times New Roman"/>
        </w:rPr>
      </w:pPr>
      <w:r>
        <w:rPr>
          <w:rFonts w:eastAsia="Times New Roman"/>
          <w:b/>
          <w:bCs/>
          <w:i/>
          <w:iCs/>
          <w:color w:val="000000"/>
          <w:sz w:val="20"/>
          <w:szCs w:val="20"/>
        </w:rPr>
        <w:t>Long-Lived Assets and Goodwil</w:t>
      </w:r>
      <w:r>
        <w:rPr>
          <w:rFonts w:eastAsia="Times New Roman"/>
          <w:b/>
          <w:bCs/>
          <w:i/>
          <w:iCs/>
          <w:color w:val="000000"/>
          <w:sz w:val="20"/>
          <w:szCs w:val="20"/>
        </w:rPr>
        <w:t>l</w:t>
      </w:r>
    </w:p>
    <w:p w14:paraId="40991D38" w14:textId="77777777" w:rsidR="00000000" w:rsidRDefault="00195E73">
      <w:pPr>
        <w:ind w:firstLine="405"/>
        <w:divId w:val="1143690701"/>
        <w:rPr>
          <w:rFonts w:eastAsia="Times New Roman"/>
        </w:rPr>
      </w:pPr>
      <w:r>
        <w:rPr>
          <w:rFonts w:eastAsia="Times New Roman"/>
          <w:color w:val="000000"/>
          <w:sz w:val="20"/>
          <w:szCs w:val="20"/>
        </w:rPr>
        <w:t>We calculate depreciation and amortization on a straight-line basis over the estimated useful lives of the various definite-lived assets. When assets are placed in servi</w:t>
      </w:r>
      <w:r>
        <w:rPr>
          <w:rFonts w:eastAsia="Times New Roman"/>
          <w:color w:val="000000"/>
          <w:sz w:val="20"/>
          <w:szCs w:val="20"/>
        </w:rPr>
        <w:t>ce, we make estimates of what we believe are their reasonable useful lives</w:t>
      </w:r>
      <w:r>
        <w:rPr>
          <w:rFonts w:eastAsia="Times New Roman"/>
          <w:color w:val="000000"/>
          <w:sz w:val="20"/>
          <w:szCs w:val="20"/>
        </w:rPr>
        <w:t>.</w:t>
      </w:r>
    </w:p>
    <w:p w14:paraId="4D02B952" w14:textId="77777777" w:rsidR="00000000" w:rsidRDefault="00195E73">
      <w:pPr>
        <w:ind w:firstLine="405"/>
        <w:divId w:val="1138375315"/>
        <w:rPr>
          <w:rFonts w:eastAsia="Times New Roman"/>
        </w:rPr>
      </w:pPr>
      <w:r>
        <w:rPr>
          <w:rFonts w:eastAsia="Times New Roman"/>
          <w:color w:val="000000"/>
          <w:sz w:val="20"/>
          <w:szCs w:val="20"/>
        </w:rPr>
        <w:t>Long-lived assets held and used by our various operating segments and long-lived assets to be disposed of are reviewed for impairment whenever events or changes in circumstances, s</w:t>
      </w:r>
      <w:r>
        <w:rPr>
          <w:rFonts w:eastAsia="Times New Roman"/>
          <w:color w:val="000000"/>
          <w:sz w:val="20"/>
          <w:szCs w:val="20"/>
        </w:rPr>
        <w:t>uch as vacancies and rejected leases and reduced production capacity, indicate that the carrying amount of an asset may not be recoverable. In performing the review for recoverability, we estimate the future cash flows expected to result from the use of th</w:t>
      </w:r>
      <w:r>
        <w:rPr>
          <w:rFonts w:eastAsia="Times New Roman"/>
          <w:color w:val="000000"/>
          <w:sz w:val="20"/>
          <w:szCs w:val="20"/>
        </w:rPr>
        <w:t xml:space="preserve">e asset and its eventual disposition. If the sum of the expected future cash flows, undiscounted and without interest charges, is less than the carrying amount of the asset an impairment loss is recognized. Measurement of an impairment loss for long-lived </w:t>
      </w:r>
      <w:r>
        <w:rPr>
          <w:rFonts w:eastAsia="Times New Roman"/>
          <w:color w:val="000000"/>
          <w:sz w:val="20"/>
          <w:szCs w:val="20"/>
        </w:rPr>
        <w:t>assets that we expect to hold and use is based on the fair value of the asset. Long-lived assets to be disposed of are reported at the lower of carrying amount or fair value less cost to sell. Definite-lived assets held by our various segments are periodic</w:t>
      </w:r>
      <w:r>
        <w:rPr>
          <w:rFonts w:eastAsia="Times New Roman"/>
          <w:color w:val="000000"/>
          <w:sz w:val="20"/>
          <w:szCs w:val="20"/>
        </w:rPr>
        <w:t>ally reviewed for impairment indicators. If impairment indicators exist, we perform the required analysis and an impairment loss is recognized in accordance with U.S. GAAP</w:t>
      </w:r>
      <w:r>
        <w:rPr>
          <w:rFonts w:eastAsia="Times New Roman"/>
          <w:color w:val="000000"/>
          <w:sz w:val="20"/>
          <w:szCs w:val="20"/>
        </w:rPr>
        <w:t>.</w:t>
      </w:r>
    </w:p>
    <w:p w14:paraId="7C8C5FAB" w14:textId="77777777" w:rsidR="00000000" w:rsidRDefault="00195E73">
      <w:pPr>
        <w:ind w:firstLine="405"/>
        <w:divId w:val="791704990"/>
        <w:rPr>
          <w:rFonts w:eastAsia="Times New Roman"/>
        </w:rPr>
      </w:pPr>
      <w:r>
        <w:rPr>
          <w:rFonts w:eastAsia="Times New Roman"/>
          <w:color w:val="000000"/>
          <w:sz w:val="20"/>
          <w:szCs w:val="20"/>
        </w:rPr>
        <w:t>Indefinite-lived intangible assets, such as goodwill and trademarks, held by our va</w:t>
      </w:r>
      <w:r>
        <w:rPr>
          <w:rFonts w:eastAsia="Times New Roman"/>
          <w:color w:val="000000"/>
          <w:sz w:val="20"/>
          <w:szCs w:val="20"/>
        </w:rPr>
        <w:t>rious segments are reviewed for impairment annually, or more frequently if impairment indicators exist. Goodwill impairment testing consists of (i) a qualitative analysis to determine whether it is more likely than not that the fair value of a reporting un</w:t>
      </w:r>
      <w:r>
        <w:rPr>
          <w:rFonts w:eastAsia="Times New Roman"/>
          <w:color w:val="000000"/>
          <w:sz w:val="20"/>
          <w:szCs w:val="20"/>
        </w:rPr>
        <w:t>it is less than its carrying amount, including goodwill, and/or, if necessary, (ii) a quantitative analysis which involves comparing the fair value of our reporting</w:t>
      </w:r>
      <w:r>
        <w:rPr>
          <w:rFonts w:eastAsia="Times New Roman"/>
          <w:color w:val="000000"/>
          <w:sz w:val="20"/>
          <w:szCs w:val="20"/>
        </w:rPr>
        <w:t xml:space="preserve"> </w:t>
      </w:r>
    </w:p>
    <w:p w14:paraId="303F1E01" w14:textId="77777777" w:rsidR="00000000" w:rsidRDefault="00195E73">
      <w:pPr>
        <w:jc w:val="center"/>
        <w:divId w:val="1479303719"/>
        <w:rPr>
          <w:rFonts w:eastAsia="Times New Roman"/>
        </w:rPr>
      </w:pPr>
      <w:r>
        <w:rPr>
          <w:rFonts w:eastAsia="Times New Roman"/>
          <w:color w:val="000000"/>
          <w:sz w:val="20"/>
          <w:szCs w:val="20"/>
        </w:rPr>
        <w:t>4</w:t>
      </w:r>
      <w:r>
        <w:rPr>
          <w:rFonts w:eastAsia="Times New Roman"/>
          <w:color w:val="000000"/>
          <w:sz w:val="20"/>
          <w:szCs w:val="20"/>
        </w:rPr>
        <w:t>7</w:t>
      </w:r>
    </w:p>
    <w:p w14:paraId="006EE203" w14:textId="77777777" w:rsidR="00000000" w:rsidRDefault="00195E73">
      <w:pPr>
        <w:rPr>
          <w:rFonts w:eastAsia="Times New Roman"/>
        </w:rPr>
      </w:pPr>
      <w:r>
        <w:rPr>
          <w:rFonts w:eastAsia="Times New Roman"/>
        </w:rPr>
        <w:pict w14:anchorId="4E92B35C">
          <v:rect id="_x0000_i1073" style="width:0;height:1.5pt" o:hralign="center" o:hrstd="t" o:hr="t" fillcolor="#a0a0a0" stroked="f"/>
        </w:pict>
      </w:r>
    </w:p>
    <w:p w14:paraId="38E131CE" w14:textId="77777777" w:rsidR="00000000" w:rsidRDefault="00195E73">
      <w:pPr>
        <w:divId w:val="811871420"/>
        <w:rPr>
          <w:rFonts w:eastAsia="Times New Roman"/>
        </w:rPr>
      </w:pPr>
    </w:p>
    <w:p w14:paraId="324085D4" w14:textId="77777777" w:rsidR="00000000" w:rsidRDefault="00195E73">
      <w:pPr>
        <w:divId w:val="1187327792"/>
        <w:rPr>
          <w:rFonts w:eastAsia="Times New Roman"/>
        </w:rPr>
      </w:pPr>
      <w:r>
        <w:rPr>
          <w:rFonts w:eastAsia="Times New Roman"/>
          <w:color w:val="000000"/>
          <w:sz w:val="20"/>
          <w:szCs w:val="20"/>
        </w:rPr>
        <w:t>units to their respective carrying values. If th</w:t>
      </w:r>
      <w:r>
        <w:rPr>
          <w:rFonts w:eastAsia="Times New Roman"/>
          <w:color w:val="000000"/>
          <w:sz w:val="20"/>
          <w:szCs w:val="20"/>
        </w:rPr>
        <w:t>e fair value of the reporting unit exceeds its carrying value, no impairment is necessary. If the carrying amount of the reporting unit exceeds its fair value, an impairment loss, equal to the difference (limited to the total amount of goodwill allocated t</w:t>
      </w:r>
      <w:r>
        <w:rPr>
          <w:rFonts w:eastAsia="Times New Roman"/>
          <w:color w:val="000000"/>
          <w:sz w:val="20"/>
          <w:szCs w:val="20"/>
        </w:rPr>
        <w:t xml:space="preserve">o the tested reporting unit), is recognized in accordance with U.S. GAAP. As of December 31, 2019, our consolidated goodwill was $282 million, primarily within our Automotive segment’s Service reporting unit. We perform the annual goodwill impairment test </w:t>
      </w:r>
      <w:r>
        <w:rPr>
          <w:rFonts w:eastAsia="Times New Roman"/>
          <w:color w:val="000000"/>
          <w:sz w:val="20"/>
          <w:szCs w:val="20"/>
        </w:rPr>
        <w:t>for our Automotive segment as of October 1 of each year. Based on our annual goodwill impairment analysis for our Automotive segment, we determined that the fair value of our Automotive segment’s Service reporting unit was significantly in excess of its ca</w:t>
      </w:r>
      <w:r>
        <w:rPr>
          <w:rFonts w:eastAsia="Times New Roman"/>
          <w:color w:val="000000"/>
          <w:sz w:val="20"/>
          <w:szCs w:val="20"/>
        </w:rPr>
        <w:t>rrying value and therefore, no impairment is required. As of December 31, 2019, our Automotive segment had remaining goodwill of $249 million, which is allocated entirely to its Service reporting unit.</w:t>
      </w:r>
      <w:r>
        <w:rPr>
          <w:rFonts w:eastAsia="Times New Roman"/>
          <w:color w:val="000000"/>
          <w:sz w:val="20"/>
          <w:szCs w:val="20"/>
        </w:rPr>
        <w:t xml:space="preserve"> </w:t>
      </w:r>
    </w:p>
    <w:p w14:paraId="705ADAB9" w14:textId="77777777" w:rsidR="00000000" w:rsidRDefault="00195E73">
      <w:pPr>
        <w:ind w:firstLine="405"/>
        <w:divId w:val="1708406427"/>
        <w:rPr>
          <w:rFonts w:eastAsia="Times New Roman"/>
        </w:rPr>
      </w:pPr>
      <w:r>
        <w:rPr>
          <w:rFonts w:eastAsia="Times New Roman"/>
          <w:color w:val="000000"/>
          <w:sz w:val="20"/>
          <w:szCs w:val="20"/>
        </w:rPr>
        <w:t>When performing the quantitative analysis for goodwil</w:t>
      </w:r>
      <w:r>
        <w:rPr>
          <w:rFonts w:eastAsia="Times New Roman"/>
          <w:color w:val="000000"/>
          <w:sz w:val="20"/>
          <w:szCs w:val="20"/>
        </w:rPr>
        <w:t>l impairment testing, we base the fair value of our reporting units on consideration of various valuation methodologies, including projecting future cash flows discounted at rates commensurate with the risks involved (“DCF”). Assumptions used in a DCF requ</w:t>
      </w:r>
      <w:r>
        <w:rPr>
          <w:rFonts w:eastAsia="Times New Roman"/>
          <w:color w:val="000000"/>
          <w:sz w:val="20"/>
          <w:szCs w:val="20"/>
        </w:rPr>
        <w:t>ire the exercise of significant judgment, including judgment about appropriate discount rates and terminal values, growth rates, and the amount and timing of expected future cash flows. The forecasted cash flows are based on current plans and for years bey</w:t>
      </w:r>
      <w:r>
        <w:rPr>
          <w:rFonts w:eastAsia="Times New Roman"/>
          <w:color w:val="000000"/>
          <w:sz w:val="20"/>
          <w:szCs w:val="20"/>
        </w:rPr>
        <w:t>ond that plan, the estimates are based on assumed growth rates. We believe that our assumptions are consistent with the plans and estimates used to manage the underlying businesses. The discount rates, which are intended to reflect the risks inherent in fu</w:t>
      </w:r>
      <w:r>
        <w:rPr>
          <w:rFonts w:eastAsia="Times New Roman"/>
          <w:color w:val="000000"/>
          <w:sz w:val="20"/>
          <w:szCs w:val="20"/>
        </w:rPr>
        <w:t>ture cash flow projections, used in a DCF are based on estimates of the weighted-average cost of capital of a market participant. Such estimates are derived from our analysis of peer companies and consider the industry weighted average return on debt and e</w:t>
      </w:r>
      <w:r>
        <w:rPr>
          <w:rFonts w:eastAsia="Times New Roman"/>
          <w:color w:val="000000"/>
          <w:sz w:val="20"/>
          <w:szCs w:val="20"/>
        </w:rPr>
        <w:t>quity from a market participant perspective. The inputs used to determine the fair values of our reporting units, including future cash flows, discount rates and growth rates and other assumptions involves a significant degree of judgment</w:t>
      </w:r>
      <w:r>
        <w:rPr>
          <w:rFonts w:eastAsia="Times New Roman"/>
          <w:color w:val="000000"/>
          <w:sz w:val="20"/>
          <w:szCs w:val="20"/>
        </w:rPr>
        <w:t>.</w:t>
      </w:r>
    </w:p>
    <w:p w14:paraId="6885DAB3" w14:textId="77777777" w:rsidR="00000000" w:rsidRDefault="00195E73">
      <w:pPr>
        <w:ind w:firstLine="405"/>
        <w:divId w:val="2101750719"/>
        <w:rPr>
          <w:rFonts w:eastAsia="Times New Roman"/>
        </w:rPr>
      </w:pPr>
      <w:r>
        <w:rPr>
          <w:rFonts w:eastAsia="Times New Roman"/>
          <w:color w:val="000000"/>
          <w:sz w:val="20"/>
          <w:szCs w:val="20"/>
        </w:rPr>
        <w:t>See Note 5, “Fai</w:t>
      </w:r>
      <w:r>
        <w:rPr>
          <w:rFonts w:eastAsia="Times New Roman"/>
          <w:color w:val="000000"/>
          <w:sz w:val="20"/>
          <w:szCs w:val="20"/>
        </w:rPr>
        <w:t>r Value Measurements,” and Note 9, “Goodwill and Intangible Assets, Net,” to the consolidated financial statements for further discussion regarding the fair value measurements of our long-live assets as well as goodwill and intangible assets</w:t>
      </w:r>
      <w:r>
        <w:rPr>
          <w:rFonts w:eastAsia="Times New Roman"/>
          <w:color w:val="000000"/>
          <w:sz w:val="20"/>
          <w:szCs w:val="20"/>
        </w:rPr>
        <w:t>.</w:t>
      </w:r>
    </w:p>
    <w:p w14:paraId="7223E9A7" w14:textId="77777777" w:rsidR="00000000" w:rsidRDefault="00195E73">
      <w:pPr>
        <w:divId w:val="1185285067"/>
        <w:rPr>
          <w:rFonts w:eastAsia="Times New Roman"/>
        </w:rPr>
      </w:pPr>
      <w:r>
        <w:rPr>
          <w:rFonts w:eastAsia="Times New Roman"/>
          <w:b/>
          <w:bCs/>
          <w:color w:val="000000"/>
          <w:sz w:val="20"/>
          <w:szCs w:val="20"/>
        </w:rPr>
        <w:t>Recently Issu</w:t>
      </w:r>
      <w:r>
        <w:rPr>
          <w:rFonts w:eastAsia="Times New Roman"/>
          <w:b/>
          <w:bCs/>
          <w:color w:val="000000"/>
          <w:sz w:val="20"/>
          <w:szCs w:val="20"/>
        </w:rPr>
        <w:t>ed Accounting Standard</w:t>
      </w:r>
      <w:r>
        <w:rPr>
          <w:rFonts w:eastAsia="Times New Roman"/>
          <w:b/>
          <w:bCs/>
          <w:color w:val="000000"/>
          <w:sz w:val="20"/>
          <w:szCs w:val="20"/>
        </w:rPr>
        <w:t>s</w:t>
      </w:r>
    </w:p>
    <w:p w14:paraId="66C7A9B2" w14:textId="77777777" w:rsidR="00000000" w:rsidRDefault="00195E73">
      <w:pPr>
        <w:ind w:firstLine="405"/>
        <w:divId w:val="152991536"/>
        <w:rPr>
          <w:rFonts w:eastAsia="Times New Roman"/>
        </w:rPr>
      </w:pPr>
      <w:r>
        <w:rPr>
          <w:rFonts w:eastAsia="Times New Roman"/>
          <w:color w:val="000000"/>
          <w:sz w:val="20"/>
          <w:szCs w:val="20"/>
        </w:rPr>
        <w:t>See Note 2, “Basis of Presentation and Summary of Significant Accounting Policies,” to the consolidated financial statements for a discussion of recent accounting pronouncements applicable to us</w:t>
      </w:r>
      <w:r>
        <w:rPr>
          <w:rFonts w:eastAsia="Times New Roman"/>
          <w:color w:val="000000"/>
          <w:sz w:val="20"/>
          <w:szCs w:val="20"/>
        </w:rPr>
        <w:t>.</w:t>
      </w:r>
    </w:p>
    <w:p w14:paraId="14C5FF96" w14:textId="77777777" w:rsidR="00000000" w:rsidRDefault="00195E73">
      <w:pPr>
        <w:divId w:val="570625601"/>
        <w:rPr>
          <w:rFonts w:eastAsia="Times New Roman"/>
        </w:rPr>
      </w:pPr>
    </w:p>
    <w:p w14:paraId="0AEAE2E1" w14:textId="77777777" w:rsidR="00000000" w:rsidRDefault="00195E73">
      <w:pPr>
        <w:divId w:val="1785923942"/>
        <w:rPr>
          <w:rFonts w:eastAsia="Times New Roman"/>
        </w:rPr>
      </w:pPr>
    </w:p>
    <w:p w14:paraId="700E8CDB" w14:textId="77777777" w:rsidR="00000000" w:rsidRDefault="00195E73">
      <w:pPr>
        <w:divId w:val="304548712"/>
        <w:rPr>
          <w:rFonts w:eastAsia="Times New Roman"/>
        </w:rPr>
      </w:pPr>
      <w:r>
        <w:rPr>
          <w:rFonts w:eastAsia="Times New Roman"/>
          <w:b/>
          <w:bCs/>
          <w:color w:val="000000"/>
          <w:sz w:val="20"/>
          <w:szCs w:val="20"/>
        </w:rPr>
        <w:t>Item 7A. Quantitative and Qualit</w:t>
      </w:r>
      <w:r>
        <w:rPr>
          <w:rFonts w:eastAsia="Times New Roman"/>
          <w:b/>
          <w:bCs/>
          <w:color w:val="000000"/>
          <w:sz w:val="20"/>
          <w:szCs w:val="20"/>
        </w:rPr>
        <w:t>ative Disclosures About Market Risk.</w:t>
      </w:r>
      <w:r>
        <w:rPr>
          <w:rFonts w:eastAsia="Times New Roman"/>
          <w:b/>
          <w:bCs/>
          <w:color w:val="000000"/>
          <w:sz w:val="20"/>
          <w:szCs w:val="20"/>
        </w:rPr>
        <w:t xml:space="preserve"> </w:t>
      </w:r>
    </w:p>
    <w:p w14:paraId="793E9375" w14:textId="77777777" w:rsidR="00000000" w:rsidRDefault="00195E73">
      <w:pPr>
        <w:ind w:firstLine="405"/>
        <w:divId w:val="350762718"/>
        <w:rPr>
          <w:rFonts w:eastAsia="Times New Roman"/>
        </w:rPr>
      </w:pPr>
      <w:r>
        <w:rPr>
          <w:rFonts w:eastAsia="Times New Roman"/>
          <w:color w:val="000000"/>
          <w:sz w:val="20"/>
          <w:szCs w:val="20"/>
        </w:rPr>
        <w:t>Our consolidated balance sheets include substantial amounts of assets and liabilities whose fair values are subject to market risks. Our significant market risks are primarily associated with equity prices, commodity p</w:t>
      </w:r>
      <w:r>
        <w:rPr>
          <w:rFonts w:eastAsia="Times New Roman"/>
          <w:color w:val="000000"/>
          <w:sz w:val="20"/>
          <w:szCs w:val="20"/>
        </w:rPr>
        <w:t>rices, interest rates and foreign currency exchange rates as discussed below.</w:t>
      </w:r>
      <w:r>
        <w:rPr>
          <w:rFonts w:eastAsia="Times New Roman"/>
          <w:color w:val="000000"/>
          <w:sz w:val="20"/>
          <w:szCs w:val="20"/>
        </w:rPr>
        <w:t xml:space="preserve"> </w:t>
      </w:r>
    </w:p>
    <w:p w14:paraId="70ABF0E7" w14:textId="77777777" w:rsidR="00000000" w:rsidRDefault="00195E73">
      <w:pPr>
        <w:divId w:val="54478303"/>
        <w:rPr>
          <w:rFonts w:eastAsia="Times New Roman"/>
        </w:rPr>
      </w:pPr>
      <w:r>
        <w:rPr>
          <w:rFonts w:eastAsia="Times New Roman"/>
          <w:b/>
          <w:bCs/>
          <w:i/>
          <w:iCs/>
          <w:color w:val="000000"/>
          <w:sz w:val="20"/>
          <w:szCs w:val="20"/>
        </w:rPr>
        <w:t>Equity Price Ris</w:t>
      </w:r>
      <w:r>
        <w:rPr>
          <w:rFonts w:eastAsia="Times New Roman"/>
          <w:b/>
          <w:bCs/>
          <w:i/>
          <w:iCs/>
          <w:color w:val="000000"/>
          <w:sz w:val="20"/>
          <w:szCs w:val="20"/>
        </w:rPr>
        <w:t>k</w:t>
      </w:r>
    </w:p>
    <w:p w14:paraId="0F45C26F" w14:textId="77777777" w:rsidR="00000000" w:rsidRDefault="00195E73">
      <w:pPr>
        <w:ind w:firstLine="405"/>
        <w:divId w:val="388697922"/>
        <w:rPr>
          <w:rFonts w:eastAsia="Times New Roman"/>
        </w:rPr>
      </w:pPr>
      <w:r>
        <w:rPr>
          <w:rFonts w:eastAsia="Times New Roman"/>
          <w:color w:val="000000"/>
          <w:sz w:val="20"/>
          <w:szCs w:val="20"/>
        </w:rPr>
        <w:t>Our predominant exposure to equity price risk is related to our Investment segment and the sensitivities to movements in the fair value of the Investment Funds</w:t>
      </w:r>
      <w:r>
        <w:rPr>
          <w:rFonts w:eastAsia="Times New Roman"/>
          <w:color w:val="000000"/>
          <w:sz w:val="20"/>
          <w:szCs w:val="20"/>
        </w:rPr>
        <w:t>’ investments</w:t>
      </w:r>
      <w:r>
        <w:rPr>
          <w:rFonts w:eastAsia="Times New Roman"/>
          <w:color w:val="000000"/>
          <w:sz w:val="20"/>
          <w:szCs w:val="20"/>
        </w:rPr>
        <w:t>.</w:t>
      </w:r>
    </w:p>
    <w:p w14:paraId="0240E130" w14:textId="77777777" w:rsidR="00000000" w:rsidRDefault="00195E73">
      <w:pPr>
        <w:divId w:val="1877506347"/>
        <w:rPr>
          <w:rFonts w:eastAsia="Times New Roman"/>
        </w:rPr>
      </w:pPr>
      <w:r>
        <w:rPr>
          <w:rFonts w:eastAsia="Times New Roman"/>
          <w:i/>
          <w:iCs/>
          <w:color w:val="000000"/>
          <w:sz w:val="20"/>
          <w:szCs w:val="20"/>
        </w:rPr>
        <w:t>Investmen</w:t>
      </w:r>
      <w:r>
        <w:rPr>
          <w:rFonts w:eastAsia="Times New Roman"/>
          <w:i/>
          <w:iCs/>
          <w:color w:val="000000"/>
          <w:sz w:val="20"/>
          <w:szCs w:val="20"/>
        </w:rPr>
        <w:t>t</w:t>
      </w:r>
    </w:p>
    <w:p w14:paraId="0E0B9F25" w14:textId="77777777" w:rsidR="00000000" w:rsidRDefault="00195E73">
      <w:pPr>
        <w:ind w:firstLine="450"/>
        <w:divId w:val="119032346"/>
        <w:rPr>
          <w:rFonts w:eastAsia="Times New Roman"/>
        </w:rPr>
      </w:pPr>
      <w:r>
        <w:rPr>
          <w:rFonts w:eastAsia="Times New Roman"/>
          <w:color w:val="000000"/>
          <w:sz w:val="20"/>
          <w:szCs w:val="20"/>
        </w:rPr>
        <w:t>The fair value of the financial assets and liabilities of the Investment Funds primarily fluctuates in response to changes in the value of securities. The net effect of these fair value changes impacts the net gains from investmen</w:t>
      </w:r>
      <w:r>
        <w:rPr>
          <w:rFonts w:eastAsia="Times New Roman"/>
          <w:color w:val="000000"/>
          <w:sz w:val="20"/>
          <w:szCs w:val="20"/>
        </w:rPr>
        <w:t>t activities in our consolidated statements of operations. The Investment Funds’ risk is regularly evaluated and is managed on a position basis as well as on a portfolio basis. Senior members of our investment team meet on a regular basis to assess and rev</w:t>
      </w:r>
      <w:r>
        <w:rPr>
          <w:rFonts w:eastAsia="Times New Roman"/>
          <w:color w:val="000000"/>
          <w:sz w:val="20"/>
          <w:szCs w:val="20"/>
        </w:rPr>
        <w:t>iew certain risks, including concentration risk, correlation risk and credit risk for significant positions. Certain risk metrics and other analytical tools are used in the normal course of business by the Investment segment</w:t>
      </w:r>
      <w:r>
        <w:rPr>
          <w:rFonts w:eastAsia="Times New Roman"/>
          <w:color w:val="000000"/>
          <w:sz w:val="20"/>
          <w:szCs w:val="20"/>
        </w:rPr>
        <w:t>.</w:t>
      </w:r>
    </w:p>
    <w:p w14:paraId="6EE50477" w14:textId="77777777" w:rsidR="00000000" w:rsidRDefault="00195E73">
      <w:pPr>
        <w:ind w:firstLine="450"/>
        <w:divId w:val="1923906650"/>
        <w:rPr>
          <w:rFonts w:eastAsia="Times New Roman"/>
        </w:rPr>
      </w:pPr>
      <w:r>
        <w:rPr>
          <w:rFonts w:eastAsia="Times New Roman"/>
          <w:color w:val="000000"/>
          <w:sz w:val="20"/>
          <w:szCs w:val="20"/>
        </w:rPr>
        <w:t>The Investment Funds hold inve</w:t>
      </w:r>
      <w:r>
        <w:rPr>
          <w:rFonts w:eastAsia="Times New Roman"/>
          <w:color w:val="000000"/>
          <w:sz w:val="20"/>
          <w:szCs w:val="20"/>
        </w:rPr>
        <w:t>stments that are reported at fair value as of the reporting date, which include securities owned, securities sold, not yet purchased and derivatives as reported in our consolidated balance sheets. Based on their respective balances as of December 31, 2019,</w:t>
      </w:r>
      <w:r>
        <w:rPr>
          <w:rFonts w:eastAsia="Times New Roman"/>
          <w:color w:val="000000"/>
          <w:sz w:val="20"/>
          <w:szCs w:val="20"/>
        </w:rPr>
        <w:t xml:space="preserve"> we estimate that in the event of a 10% adverse change in the fair value of these investments, the fair values of securities owned, securities sold, not yet purchased and derivatives would decrease by approximately $921 million, $119 million and $1.8 billi</w:t>
      </w:r>
      <w:r>
        <w:rPr>
          <w:rFonts w:eastAsia="Times New Roman"/>
          <w:color w:val="000000"/>
          <w:sz w:val="20"/>
          <w:szCs w:val="20"/>
        </w:rPr>
        <w:t>on, respectively. However, as of December 31, 2019, we estimate that the impact to our share of the net gain (loss) from investment activities reported in our consolidated statements of operations would be less than the change in fair value since we have a</w:t>
      </w:r>
      <w:r>
        <w:rPr>
          <w:rFonts w:eastAsia="Times New Roman"/>
          <w:color w:val="000000"/>
          <w:sz w:val="20"/>
          <w:szCs w:val="20"/>
        </w:rPr>
        <w:t>n investment of approximately 49% in the Investment Funds, and the non-controlling interests in income would correspondingly offset approximately 51% of the change in fair value. As of December 31, 2018, we estimated that in the event of a 10% adverse chan</w:t>
      </w:r>
      <w:r>
        <w:rPr>
          <w:rFonts w:eastAsia="Times New Roman"/>
          <w:color w:val="000000"/>
          <w:sz w:val="20"/>
          <w:szCs w:val="20"/>
        </w:rPr>
        <w:t>ge in the fair value of these investments, the fair values of securities owned, securities sold, not yet purchased and derivatives would decrease by approximately $687 million, $47 million and $1.0 billion, respectively and as of December 31, 2018, our inv</w:t>
      </w:r>
      <w:r>
        <w:rPr>
          <w:rFonts w:eastAsia="Times New Roman"/>
          <w:color w:val="000000"/>
          <w:sz w:val="20"/>
          <w:szCs w:val="20"/>
        </w:rPr>
        <w:t>estment in the Investment Funds was 50%</w:t>
      </w:r>
      <w:r>
        <w:rPr>
          <w:rFonts w:eastAsia="Times New Roman"/>
          <w:color w:val="000000"/>
          <w:sz w:val="20"/>
          <w:szCs w:val="20"/>
        </w:rPr>
        <w:t>.</w:t>
      </w:r>
    </w:p>
    <w:p w14:paraId="62E938A6" w14:textId="77777777" w:rsidR="00000000" w:rsidRDefault="00195E73">
      <w:pPr>
        <w:jc w:val="center"/>
        <w:divId w:val="725180937"/>
        <w:rPr>
          <w:rFonts w:eastAsia="Times New Roman"/>
        </w:rPr>
      </w:pPr>
      <w:r>
        <w:rPr>
          <w:rFonts w:eastAsia="Times New Roman"/>
          <w:color w:val="000000"/>
          <w:sz w:val="20"/>
          <w:szCs w:val="20"/>
        </w:rPr>
        <w:t>4</w:t>
      </w:r>
      <w:r>
        <w:rPr>
          <w:rFonts w:eastAsia="Times New Roman"/>
          <w:color w:val="000000"/>
          <w:sz w:val="20"/>
          <w:szCs w:val="20"/>
        </w:rPr>
        <w:t>8</w:t>
      </w:r>
    </w:p>
    <w:p w14:paraId="282F160B" w14:textId="77777777" w:rsidR="00000000" w:rsidRDefault="00195E73">
      <w:pPr>
        <w:rPr>
          <w:rFonts w:eastAsia="Times New Roman"/>
        </w:rPr>
      </w:pPr>
      <w:r>
        <w:rPr>
          <w:rFonts w:eastAsia="Times New Roman"/>
        </w:rPr>
        <w:pict w14:anchorId="6CF7B918">
          <v:rect id="_x0000_i1074" style="width:0;height:1.5pt" o:hralign="center" o:hrstd="t" o:hr="t" fillcolor="#a0a0a0" stroked="f"/>
        </w:pict>
      </w:r>
    </w:p>
    <w:p w14:paraId="316D6064" w14:textId="77777777" w:rsidR="00000000" w:rsidRDefault="00195E73">
      <w:pPr>
        <w:divId w:val="1662543729"/>
        <w:rPr>
          <w:rFonts w:eastAsia="Times New Roman"/>
        </w:rPr>
      </w:pPr>
    </w:p>
    <w:p w14:paraId="4C179F3D" w14:textId="77777777" w:rsidR="00000000" w:rsidRDefault="00195E73">
      <w:pPr>
        <w:divId w:val="1960334111"/>
        <w:rPr>
          <w:rFonts w:eastAsia="Times New Roman"/>
        </w:rPr>
      </w:pPr>
      <w:r>
        <w:rPr>
          <w:rFonts w:eastAsia="Times New Roman"/>
          <w:i/>
          <w:iCs/>
          <w:color w:val="000000"/>
          <w:sz w:val="20"/>
          <w:szCs w:val="20"/>
        </w:rPr>
        <w:t>Holding Compan</w:t>
      </w:r>
      <w:r>
        <w:rPr>
          <w:rFonts w:eastAsia="Times New Roman"/>
          <w:i/>
          <w:iCs/>
          <w:color w:val="000000"/>
          <w:sz w:val="20"/>
          <w:szCs w:val="20"/>
        </w:rPr>
        <w:t>y</w:t>
      </w:r>
    </w:p>
    <w:p w14:paraId="4144C8DE" w14:textId="77777777" w:rsidR="00000000" w:rsidRDefault="00195E73">
      <w:pPr>
        <w:ind w:firstLine="405"/>
        <w:divId w:val="1634286428"/>
        <w:rPr>
          <w:rFonts w:eastAsia="Times New Roman"/>
        </w:rPr>
      </w:pPr>
      <w:r>
        <w:rPr>
          <w:rFonts w:eastAsia="Times New Roman"/>
          <w:color w:val="000000"/>
          <w:sz w:val="20"/>
          <w:szCs w:val="20"/>
        </w:rPr>
        <w:t>The carrying values of investments subject to equity price risks are based on quoted market prices or management’s estimates of fair value as of the balance sheet dates. Market prices are subject to fluctuation and, consequently, the amount realized in the</w:t>
      </w:r>
      <w:r>
        <w:rPr>
          <w:rFonts w:eastAsia="Times New Roman"/>
          <w:color w:val="000000"/>
          <w:sz w:val="20"/>
          <w:szCs w:val="20"/>
        </w:rPr>
        <w:t xml:space="preserve"> subsequent sale of an investment may significantly differ from the reported market value. Fluctuations in the market price of a security may result from perceived changes in the underlying economic characteristics of the investee, the relative price of al</w:t>
      </w:r>
      <w:r>
        <w:rPr>
          <w:rFonts w:eastAsia="Times New Roman"/>
          <w:color w:val="000000"/>
          <w:sz w:val="20"/>
          <w:szCs w:val="20"/>
        </w:rPr>
        <w:t>ternative investments and general market conditions. Furthermore, amounts realized in the sale of a particular security may be affected by the relative quantity of the security being sold</w:t>
      </w:r>
      <w:r>
        <w:rPr>
          <w:rFonts w:eastAsia="Times New Roman"/>
          <w:color w:val="000000"/>
          <w:sz w:val="20"/>
          <w:szCs w:val="20"/>
        </w:rPr>
        <w:t>.</w:t>
      </w:r>
    </w:p>
    <w:p w14:paraId="06DAC119" w14:textId="77777777" w:rsidR="00000000" w:rsidRDefault="00195E73">
      <w:pPr>
        <w:ind w:firstLine="405"/>
        <w:divId w:val="1129975977"/>
        <w:rPr>
          <w:rFonts w:eastAsia="Times New Roman"/>
        </w:rPr>
      </w:pPr>
      <w:r>
        <w:rPr>
          <w:rFonts w:eastAsia="Times New Roman"/>
          <w:color w:val="000000"/>
          <w:sz w:val="20"/>
          <w:szCs w:val="20"/>
        </w:rPr>
        <w:t>Based on sensitivity analysis for our equity price risks as of Dece</w:t>
      </w:r>
      <w:r>
        <w:rPr>
          <w:rFonts w:eastAsia="Times New Roman"/>
          <w:color w:val="000000"/>
          <w:sz w:val="20"/>
          <w:szCs w:val="20"/>
        </w:rPr>
        <w:t>mber 31, 2019, the effect of a hypothetical 10% adverse change in market prices would result in loss of approximately $52 million for our Holding Company. As of December 31, 2018, such hypothetical loss was approximately $131 million, with the difference r</w:t>
      </w:r>
      <w:r>
        <w:rPr>
          <w:rFonts w:eastAsia="Times New Roman"/>
          <w:color w:val="000000"/>
          <w:sz w:val="20"/>
          <w:szCs w:val="20"/>
        </w:rPr>
        <w:t>eflecting our sale of a significant investment during 2019 as well as a negative change in the historical price of other investments held by our Holding Company during 2019. The selected hypothetical change does not reflect what could be considered the bes</w:t>
      </w:r>
      <w:r>
        <w:rPr>
          <w:rFonts w:eastAsia="Times New Roman"/>
          <w:color w:val="000000"/>
          <w:sz w:val="20"/>
          <w:szCs w:val="20"/>
        </w:rPr>
        <w:t>t- or worst-case scenarios as results could be far worse due to the nature of equity markets</w:t>
      </w:r>
      <w:r>
        <w:rPr>
          <w:rFonts w:eastAsia="Times New Roman"/>
          <w:color w:val="000000"/>
          <w:sz w:val="20"/>
          <w:szCs w:val="20"/>
        </w:rPr>
        <w:t>.</w:t>
      </w:r>
    </w:p>
    <w:p w14:paraId="112E8466" w14:textId="77777777" w:rsidR="00000000" w:rsidRDefault="00195E73">
      <w:pPr>
        <w:divId w:val="899441861"/>
        <w:rPr>
          <w:rFonts w:eastAsia="Times New Roman"/>
        </w:rPr>
      </w:pPr>
      <w:r>
        <w:rPr>
          <w:rFonts w:eastAsia="Times New Roman"/>
          <w:b/>
          <w:bCs/>
          <w:i/>
          <w:iCs/>
          <w:color w:val="000000"/>
          <w:sz w:val="20"/>
          <w:szCs w:val="20"/>
        </w:rPr>
        <w:t>Commodity Price Risk</w:t>
      </w:r>
      <w:r>
        <w:rPr>
          <w:rFonts w:eastAsia="Times New Roman"/>
          <w:b/>
          <w:bCs/>
          <w:i/>
          <w:iCs/>
          <w:color w:val="000000"/>
          <w:sz w:val="20"/>
          <w:szCs w:val="20"/>
        </w:rPr>
        <w:t xml:space="preserve"> </w:t>
      </w:r>
    </w:p>
    <w:p w14:paraId="4099E5E4" w14:textId="77777777" w:rsidR="00000000" w:rsidRDefault="00195E73">
      <w:pPr>
        <w:ind w:firstLine="405"/>
        <w:divId w:val="2125415938"/>
        <w:rPr>
          <w:rFonts w:eastAsia="Times New Roman"/>
        </w:rPr>
      </w:pPr>
      <w:r>
        <w:rPr>
          <w:rFonts w:eastAsia="Times New Roman"/>
          <w:color w:val="000000"/>
          <w:sz w:val="20"/>
          <w:szCs w:val="20"/>
        </w:rPr>
        <w:t>CVR Refining, as a manufacturer of refined petroleum products, and CVR Partners, as a manufacturer of nitrogen fertilizer products, all of w</w:t>
      </w:r>
      <w:r>
        <w:rPr>
          <w:rFonts w:eastAsia="Times New Roman"/>
          <w:color w:val="000000"/>
          <w:sz w:val="20"/>
          <w:szCs w:val="20"/>
        </w:rPr>
        <w:t>hich are commodities, have exposure to market pricing for products sold in the future. In order to realize value from our Energy segment’s processing capacity, a positive spread between the cost of raw materials and the value of finished products must be a</w:t>
      </w:r>
      <w:r>
        <w:rPr>
          <w:rFonts w:eastAsia="Times New Roman"/>
          <w:color w:val="000000"/>
          <w:sz w:val="20"/>
          <w:szCs w:val="20"/>
        </w:rPr>
        <w:t>chieved (i.e., gross margin or crack spread). The physical commodities that comprise our raw materials and finished goods are typically bought and sold at a spot or index price that can be highly variable</w:t>
      </w:r>
      <w:r>
        <w:rPr>
          <w:rFonts w:eastAsia="Times New Roman"/>
          <w:color w:val="000000"/>
          <w:sz w:val="20"/>
          <w:szCs w:val="20"/>
        </w:rPr>
        <w:t>.</w:t>
      </w:r>
    </w:p>
    <w:p w14:paraId="6B153571" w14:textId="77777777" w:rsidR="00000000" w:rsidRDefault="00195E73">
      <w:pPr>
        <w:ind w:firstLine="405"/>
        <w:divId w:val="1291782572"/>
        <w:rPr>
          <w:rFonts w:eastAsia="Times New Roman"/>
        </w:rPr>
      </w:pPr>
      <w:r>
        <w:rPr>
          <w:rFonts w:eastAsia="Times New Roman"/>
          <w:color w:val="000000"/>
          <w:sz w:val="20"/>
          <w:szCs w:val="20"/>
        </w:rPr>
        <w:t>Our Energy segment’s petroleum business uses a cru</w:t>
      </w:r>
      <w:r>
        <w:rPr>
          <w:rFonts w:eastAsia="Times New Roman"/>
          <w:color w:val="000000"/>
          <w:sz w:val="20"/>
          <w:szCs w:val="20"/>
        </w:rPr>
        <w:t xml:space="preserve">de oil purchasing intermediary, Vitol, to purchase the majority of its non-gathered crude oil inventory for the refineries, which allows it to take title to and price its crude oil at locations in close proximity to the refineries, as opposed to the crude </w:t>
      </w:r>
      <w:r>
        <w:rPr>
          <w:rFonts w:eastAsia="Times New Roman"/>
          <w:color w:val="000000"/>
          <w:sz w:val="20"/>
          <w:szCs w:val="20"/>
        </w:rPr>
        <w:t>oil origination point, reducing its risk associated with volatile commodity prices by shortening the commodity conversion cycle time. The commodity conversion cycle time refers to the time elapsed between raw material acquisition and the sale of finished g</w:t>
      </w:r>
      <w:r>
        <w:rPr>
          <w:rFonts w:eastAsia="Times New Roman"/>
          <w:color w:val="000000"/>
          <w:sz w:val="20"/>
          <w:szCs w:val="20"/>
        </w:rPr>
        <w:t>oods. In addition, the petroleum business seeks to reduce the variability of commodity price exposure by engaging in hedging strategies and transactions that will serve to protect gross margins as forecasted in the annual operating plan. With regard to its</w:t>
      </w:r>
      <w:r>
        <w:rPr>
          <w:rFonts w:eastAsia="Times New Roman"/>
          <w:color w:val="000000"/>
          <w:sz w:val="20"/>
          <w:szCs w:val="20"/>
        </w:rPr>
        <w:t xml:space="preserve"> hedging activities, CVR Refining may enter into, or has entered into, derivative instruments which serve to: lock in or fix a percentage of the anticipated or planned gross margin in future periods when the derivative market offers commodity spreads that </w:t>
      </w:r>
      <w:r>
        <w:rPr>
          <w:rFonts w:eastAsia="Times New Roman"/>
          <w:color w:val="000000"/>
          <w:sz w:val="20"/>
          <w:szCs w:val="20"/>
        </w:rPr>
        <w:t>generate positive cash flows; hedge the value of inventories in excess of minimum required inventories; and manage existing derivative positions related to a change in anticipated operations and market conditions</w:t>
      </w:r>
      <w:r>
        <w:rPr>
          <w:rFonts w:eastAsia="Times New Roman"/>
          <w:color w:val="000000"/>
          <w:sz w:val="20"/>
          <w:szCs w:val="20"/>
        </w:rPr>
        <w:t>.</w:t>
      </w:r>
    </w:p>
    <w:p w14:paraId="27B0132F" w14:textId="77777777" w:rsidR="00000000" w:rsidRDefault="00195E73">
      <w:pPr>
        <w:divId w:val="576522028"/>
        <w:rPr>
          <w:rFonts w:eastAsia="Times New Roman"/>
        </w:rPr>
      </w:pPr>
      <w:r>
        <w:rPr>
          <w:rFonts w:eastAsia="Times New Roman"/>
          <w:b/>
          <w:bCs/>
          <w:i/>
          <w:iCs/>
          <w:color w:val="000000"/>
          <w:sz w:val="20"/>
          <w:szCs w:val="20"/>
        </w:rPr>
        <w:t>Interest Rate Ris</w:t>
      </w:r>
      <w:r>
        <w:rPr>
          <w:rFonts w:eastAsia="Times New Roman"/>
          <w:b/>
          <w:bCs/>
          <w:i/>
          <w:iCs/>
          <w:color w:val="000000"/>
          <w:sz w:val="20"/>
          <w:szCs w:val="20"/>
        </w:rPr>
        <w:t>k</w:t>
      </w:r>
    </w:p>
    <w:p w14:paraId="28DCB18A" w14:textId="77777777" w:rsidR="00000000" w:rsidRDefault="00195E73">
      <w:pPr>
        <w:ind w:firstLine="405"/>
        <w:divId w:val="835532088"/>
        <w:rPr>
          <w:rFonts w:eastAsia="Times New Roman"/>
        </w:rPr>
      </w:pPr>
      <w:r>
        <w:rPr>
          <w:rFonts w:eastAsia="Times New Roman"/>
          <w:color w:val="000000"/>
          <w:sz w:val="20"/>
          <w:szCs w:val="20"/>
        </w:rPr>
        <w:t>Our predominant exposur</w:t>
      </w:r>
      <w:r>
        <w:rPr>
          <w:rFonts w:eastAsia="Times New Roman"/>
          <w:color w:val="000000"/>
          <w:sz w:val="20"/>
          <w:szCs w:val="20"/>
        </w:rPr>
        <w:t>e to interest rate risk is related to our Automotive and Food Packaging segments</w:t>
      </w:r>
      <w:r>
        <w:rPr>
          <w:rFonts w:eastAsia="Times New Roman"/>
          <w:color w:val="000000"/>
          <w:sz w:val="20"/>
          <w:szCs w:val="20"/>
        </w:rPr>
        <w:t>.</w:t>
      </w:r>
    </w:p>
    <w:p w14:paraId="3593CF34" w14:textId="77777777" w:rsidR="00000000" w:rsidRDefault="00195E73">
      <w:pPr>
        <w:divId w:val="758019750"/>
        <w:rPr>
          <w:rFonts w:eastAsia="Times New Roman"/>
        </w:rPr>
      </w:pPr>
      <w:r>
        <w:rPr>
          <w:rFonts w:eastAsia="Times New Roman"/>
          <w:i/>
          <w:iCs/>
          <w:color w:val="000000"/>
          <w:sz w:val="20"/>
          <w:szCs w:val="20"/>
        </w:rPr>
        <w:t>Automotiv</w:t>
      </w:r>
      <w:r>
        <w:rPr>
          <w:rFonts w:eastAsia="Times New Roman"/>
          <w:i/>
          <w:iCs/>
          <w:color w:val="000000"/>
          <w:sz w:val="20"/>
          <w:szCs w:val="20"/>
        </w:rPr>
        <w:t>e</w:t>
      </w:r>
    </w:p>
    <w:p w14:paraId="0280D017" w14:textId="77777777" w:rsidR="00000000" w:rsidRDefault="00195E73">
      <w:pPr>
        <w:ind w:firstLine="405"/>
        <w:divId w:val="1620837586"/>
        <w:rPr>
          <w:rFonts w:eastAsia="Times New Roman"/>
        </w:rPr>
      </w:pPr>
      <w:r>
        <w:rPr>
          <w:rFonts w:eastAsia="Times New Roman"/>
          <w:color w:val="000000"/>
          <w:sz w:val="20"/>
          <w:szCs w:val="20"/>
        </w:rPr>
        <w:t xml:space="preserve">Our Automotive segment has variable rate debt with a principal amount outstanding of $383 million as of December 31, 2019. A 1.0% increase in interest rates would </w:t>
      </w:r>
      <w:r>
        <w:rPr>
          <w:rFonts w:eastAsia="Times New Roman"/>
          <w:color w:val="000000"/>
          <w:sz w:val="20"/>
          <w:szCs w:val="20"/>
        </w:rPr>
        <w:t>increase interest expense by approximately $4 million on an annualized basis, thus decreasing net income by the same amount. Additionally, as of December 31, 2019, our Automotive segment has additional borrowing availability subject to variable interest ra</w:t>
      </w:r>
      <w:r>
        <w:rPr>
          <w:rFonts w:eastAsia="Times New Roman"/>
          <w:color w:val="000000"/>
          <w:sz w:val="20"/>
          <w:szCs w:val="20"/>
        </w:rPr>
        <w:t>tes of $107 million, which if outstanding, would increase our Automotive segment’s exposure to changes in interest rates.</w:t>
      </w:r>
      <w:r>
        <w:rPr>
          <w:rFonts w:eastAsia="Times New Roman"/>
          <w:color w:val="000000"/>
          <w:sz w:val="20"/>
          <w:szCs w:val="20"/>
        </w:rPr>
        <w:t xml:space="preserve"> </w:t>
      </w:r>
    </w:p>
    <w:p w14:paraId="22BBBFCC" w14:textId="77777777" w:rsidR="00000000" w:rsidRDefault="00195E73">
      <w:pPr>
        <w:divId w:val="1685547538"/>
        <w:rPr>
          <w:rFonts w:eastAsia="Times New Roman"/>
        </w:rPr>
      </w:pPr>
      <w:r>
        <w:rPr>
          <w:rFonts w:eastAsia="Times New Roman"/>
          <w:i/>
          <w:iCs/>
          <w:color w:val="000000"/>
          <w:sz w:val="20"/>
          <w:szCs w:val="20"/>
        </w:rPr>
        <w:t>Food Packagin</w:t>
      </w:r>
      <w:r>
        <w:rPr>
          <w:rFonts w:eastAsia="Times New Roman"/>
          <w:i/>
          <w:iCs/>
          <w:color w:val="000000"/>
          <w:sz w:val="20"/>
          <w:szCs w:val="20"/>
        </w:rPr>
        <w:t>g</w:t>
      </w:r>
    </w:p>
    <w:p w14:paraId="17B9CCDB" w14:textId="77777777" w:rsidR="00000000" w:rsidRDefault="00195E73">
      <w:pPr>
        <w:ind w:firstLine="405"/>
        <w:divId w:val="1479371819"/>
        <w:rPr>
          <w:rFonts w:eastAsia="Times New Roman"/>
        </w:rPr>
      </w:pPr>
      <w:r>
        <w:rPr>
          <w:rFonts w:eastAsia="Times New Roman"/>
          <w:color w:val="000000"/>
          <w:sz w:val="20"/>
          <w:szCs w:val="20"/>
        </w:rPr>
        <w:t>Our Food Packaging segment has variable rate debt with a principal amount outstanding of $261 million as of December 3</w:t>
      </w:r>
      <w:r>
        <w:rPr>
          <w:rFonts w:eastAsia="Times New Roman"/>
          <w:color w:val="000000"/>
          <w:sz w:val="20"/>
          <w:szCs w:val="20"/>
        </w:rPr>
        <w:t>1, 2019. A 1.0% increase in interest rates would increase interest expense by approximately $3 million on an annualized basis, thus decreasing net income by the same amount. Additionally, as of December 31, 2019, our Food Packaging segment has additional b</w:t>
      </w:r>
      <w:r>
        <w:rPr>
          <w:rFonts w:eastAsia="Times New Roman"/>
          <w:color w:val="000000"/>
          <w:sz w:val="20"/>
          <w:szCs w:val="20"/>
        </w:rPr>
        <w:t>orrowing availability subject to variable interest rates of $7 million, which if outstanding, would increase our Food Packaging segment’s exposure to changes in interest rates.</w:t>
      </w:r>
      <w:r>
        <w:rPr>
          <w:rFonts w:eastAsia="Times New Roman"/>
          <w:color w:val="000000"/>
          <w:sz w:val="20"/>
          <w:szCs w:val="20"/>
        </w:rPr>
        <w:t xml:space="preserve"> </w:t>
      </w:r>
    </w:p>
    <w:p w14:paraId="4DF4AC93" w14:textId="77777777" w:rsidR="00000000" w:rsidRDefault="00195E73">
      <w:pPr>
        <w:divId w:val="1248686304"/>
        <w:rPr>
          <w:rFonts w:eastAsia="Times New Roman"/>
        </w:rPr>
      </w:pPr>
      <w:r>
        <w:rPr>
          <w:rFonts w:eastAsia="Times New Roman"/>
          <w:b/>
          <w:bCs/>
          <w:i/>
          <w:iCs/>
          <w:color w:val="000000"/>
          <w:sz w:val="20"/>
          <w:szCs w:val="20"/>
        </w:rPr>
        <w:t>Foreign Currency Exchange Rate Risk</w:t>
      </w:r>
      <w:r>
        <w:rPr>
          <w:rFonts w:eastAsia="Times New Roman"/>
          <w:b/>
          <w:bCs/>
          <w:i/>
          <w:iCs/>
          <w:color w:val="000000"/>
          <w:sz w:val="20"/>
          <w:szCs w:val="20"/>
        </w:rPr>
        <w:t xml:space="preserve"> </w:t>
      </w:r>
    </w:p>
    <w:p w14:paraId="3E8D5407" w14:textId="77777777" w:rsidR="00000000" w:rsidRDefault="00195E73">
      <w:pPr>
        <w:ind w:firstLine="405"/>
        <w:divId w:val="1812284248"/>
        <w:rPr>
          <w:rFonts w:eastAsia="Times New Roman"/>
        </w:rPr>
      </w:pPr>
      <w:r>
        <w:rPr>
          <w:rFonts w:eastAsia="Times New Roman"/>
          <w:color w:val="000000"/>
          <w:sz w:val="20"/>
          <w:szCs w:val="20"/>
        </w:rPr>
        <w:t>Certain of our subsidiaries operate in fo</w:t>
      </w:r>
      <w:r>
        <w:rPr>
          <w:rFonts w:eastAsia="Times New Roman"/>
          <w:color w:val="000000"/>
          <w:sz w:val="20"/>
          <w:szCs w:val="20"/>
        </w:rPr>
        <w:t xml:space="preserve">reign jurisdictions and we transact business in foreign currencies. In addition, we may hold investments in common stocks of major multinational companies who have significant foreign business and foreign currency risk of their own. Our net assets subject </w:t>
      </w:r>
      <w:r>
        <w:rPr>
          <w:rFonts w:eastAsia="Times New Roman"/>
          <w:color w:val="000000"/>
          <w:sz w:val="20"/>
          <w:szCs w:val="20"/>
        </w:rPr>
        <w:t>to financial statement translation into U.S. Dollars are primarily in our Food Packaging segment</w:t>
      </w:r>
      <w:r>
        <w:rPr>
          <w:rFonts w:eastAsia="Times New Roman"/>
          <w:color w:val="000000"/>
          <w:sz w:val="20"/>
          <w:szCs w:val="20"/>
        </w:rPr>
        <w:t>.</w:t>
      </w:r>
    </w:p>
    <w:p w14:paraId="4EDD551A" w14:textId="77777777" w:rsidR="00000000" w:rsidRDefault="00195E73">
      <w:pPr>
        <w:divId w:val="611981011"/>
        <w:rPr>
          <w:rFonts w:eastAsia="Times New Roman"/>
        </w:rPr>
      </w:pPr>
    </w:p>
    <w:p w14:paraId="1C16A801" w14:textId="77777777" w:rsidR="00000000" w:rsidRDefault="00195E73">
      <w:pPr>
        <w:jc w:val="center"/>
        <w:divId w:val="642848822"/>
        <w:rPr>
          <w:rFonts w:eastAsia="Times New Roman"/>
        </w:rPr>
      </w:pPr>
      <w:r>
        <w:rPr>
          <w:rFonts w:eastAsia="Times New Roman"/>
          <w:color w:val="000000"/>
          <w:sz w:val="20"/>
          <w:szCs w:val="20"/>
        </w:rPr>
        <w:t>4</w:t>
      </w:r>
      <w:r>
        <w:rPr>
          <w:rFonts w:eastAsia="Times New Roman"/>
          <w:color w:val="000000"/>
          <w:sz w:val="20"/>
          <w:szCs w:val="20"/>
        </w:rPr>
        <w:t>9</w:t>
      </w:r>
    </w:p>
    <w:p w14:paraId="2C37F4DF" w14:textId="77777777" w:rsidR="00000000" w:rsidRDefault="00195E73">
      <w:pPr>
        <w:rPr>
          <w:rFonts w:eastAsia="Times New Roman"/>
        </w:rPr>
      </w:pPr>
      <w:r>
        <w:rPr>
          <w:rFonts w:eastAsia="Times New Roman"/>
        </w:rPr>
        <w:pict w14:anchorId="7684C467">
          <v:rect id="_x0000_i1075" style="width:0;height:1.5pt" o:hralign="center" o:hrstd="t" o:hr="t" fillcolor="#a0a0a0" stroked="f"/>
        </w:pict>
      </w:r>
    </w:p>
    <w:p w14:paraId="79B9E5ED" w14:textId="77777777" w:rsidR="00000000" w:rsidRDefault="00195E73">
      <w:pPr>
        <w:divId w:val="1330065312"/>
        <w:rPr>
          <w:rFonts w:eastAsia="Times New Roman"/>
        </w:rPr>
      </w:pPr>
    </w:p>
    <w:p w14:paraId="6BB6A9E9" w14:textId="77777777" w:rsidR="00000000" w:rsidRDefault="00195E73">
      <w:pPr>
        <w:divId w:val="874079207"/>
        <w:rPr>
          <w:rFonts w:eastAsia="Times New Roman"/>
        </w:rPr>
      </w:pPr>
      <w:r>
        <w:rPr>
          <w:rFonts w:eastAsia="Times New Roman"/>
          <w:i/>
          <w:iCs/>
          <w:color w:val="000000"/>
          <w:sz w:val="20"/>
          <w:szCs w:val="20"/>
        </w:rPr>
        <w:t>Food Packagin</w:t>
      </w:r>
      <w:r>
        <w:rPr>
          <w:rFonts w:eastAsia="Times New Roman"/>
          <w:i/>
          <w:iCs/>
          <w:color w:val="000000"/>
          <w:sz w:val="20"/>
          <w:szCs w:val="20"/>
        </w:rPr>
        <w:t>g</w:t>
      </w:r>
    </w:p>
    <w:p w14:paraId="59A13060" w14:textId="77777777" w:rsidR="00000000" w:rsidRDefault="00195E73">
      <w:pPr>
        <w:ind w:firstLine="450"/>
        <w:divId w:val="758596555"/>
        <w:rPr>
          <w:rFonts w:eastAsia="Times New Roman"/>
        </w:rPr>
      </w:pPr>
      <w:r>
        <w:rPr>
          <w:rFonts w:eastAsia="Times New Roman"/>
          <w:color w:val="000000"/>
          <w:sz w:val="20"/>
          <w:szCs w:val="20"/>
        </w:rPr>
        <w:t>Viskase has foreign currency exposures related to buying, selling, and financing in currencies othe</w:t>
      </w:r>
      <w:r>
        <w:rPr>
          <w:rFonts w:eastAsia="Times New Roman"/>
          <w:color w:val="000000"/>
          <w:sz w:val="20"/>
          <w:szCs w:val="20"/>
        </w:rPr>
        <w:t>r than the local currencies in which they operate. At December 31, 2019, Viskase’s most significant foreign currency exposures were Euro, Mexican peso, Polish zloty, Brazilian real and Philippine peso.</w:t>
      </w:r>
      <w:r>
        <w:rPr>
          <w:rFonts w:eastAsia="Times New Roman"/>
          <w:color w:val="000000"/>
          <w:sz w:val="20"/>
          <w:szCs w:val="20"/>
        </w:rPr>
        <w:t xml:space="preserve"> </w:t>
      </w:r>
    </w:p>
    <w:p w14:paraId="17C9BFE6" w14:textId="77777777" w:rsidR="00000000" w:rsidRDefault="00195E73">
      <w:pPr>
        <w:ind w:firstLine="450"/>
        <w:divId w:val="1663970373"/>
        <w:rPr>
          <w:rFonts w:eastAsia="Times New Roman"/>
        </w:rPr>
      </w:pPr>
      <w:r>
        <w:rPr>
          <w:rFonts w:eastAsia="Times New Roman"/>
          <w:color w:val="000000"/>
          <w:sz w:val="20"/>
          <w:szCs w:val="20"/>
        </w:rPr>
        <w:t>Viskase is exposed to foreign currency risk due to th</w:t>
      </w:r>
      <w:r>
        <w:rPr>
          <w:rFonts w:eastAsia="Times New Roman"/>
          <w:color w:val="000000"/>
          <w:sz w:val="20"/>
          <w:szCs w:val="20"/>
        </w:rPr>
        <w:t xml:space="preserve">e translation and remeasurement of the results of certain international operations into U.S. Dollars as part of the consolidation process. Fluctuations in foreign currency exchange rates can therefore create volatility in the results of operations and may </w:t>
      </w:r>
      <w:r>
        <w:rPr>
          <w:rFonts w:eastAsia="Times New Roman"/>
          <w:color w:val="000000"/>
          <w:sz w:val="20"/>
          <w:szCs w:val="20"/>
        </w:rPr>
        <w:t>adversely affect Viskase’s financial condition</w:t>
      </w:r>
      <w:r>
        <w:rPr>
          <w:rFonts w:eastAsia="Times New Roman"/>
          <w:color w:val="000000"/>
          <w:sz w:val="20"/>
          <w:szCs w:val="20"/>
        </w:rPr>
        <w:t>.</w:t>
      </w:r>
    </w:p>
    <w:p w14:paraId="31D3990C" w14:textId="77777777" w:rsidR="00000000" w:rsidRDefault="00195E73">
      <w:pPr>
        <w:ind w:firstLine="405"/>
        <w:divId w:val="1869222789"/>
        <w:rPr>
          <w:rFonts w:eastAsia="Times New Roman"/>
        </w:rPr>
      </w:pPr>
      <w:r>
        <w:rPr>
          <w:rFonts w:eastAsia="Times New Roman"/>
          <w:color w:val="000000"/>
          <w:sz w:val="20"/>
          <w:szCs w:val="20"/>
        </w:rPr>
        <w:t>Viskase recorded translation (losses) gains in accumulated other comprehensive loss of $(3) million and $(5) million for the years ended December 31, 2019 and 2018, respectively, and recorded translation (los</w:t>
      </w:r>
      <w:r>
        <w:rPr>
          <w:rFonts w:eastAsia="Times New Roman"/>
          <w:color w:val="000000"/>
          <w:sz w:val="20"/>
          <w:szCs w:val="20"/>
        </w:rPr>
        <w:t>ses) gains in earnings of $(4) million and $(6) million for the years ended December 31, 2019 and 2018, respectively</w:t>
      </w:r>
      <w:r>
        <w:rPr>
          <w:rFonts w:eastAsia="Times New Roman"/>
          <w:color w:val="000000"/>
          <w:sz w:val="20"/>
          <w:szCs w:val="20"/>
        </w:rPr>
        <w:t>.</w:t>
      </w:r>
    </w:p>
    <w:p w14:paraId="1DA32792" w14:textId="77777777" w:rsidR="00000000" w:rsidRDefault="00195E73">
      <w:pPr>
        <w:divId w:val="1608343940"/>
        <w:rPr>
          <w:rFonts w:eastAsia="Times New Roman"/>
        </w:rPr>
      </w:pPr>
      <w:r>
        <w:rPr>
          <w:rFonts w:eastAsia="Times New Roman"/>
          <w:b/>
          <w:bCs/>
          <w:i/>
          <w:iCs/>
          <w:color w:val="000000"/>
          <w:sz w:val="20"/>
          <w:szCs w:val="20"/>
        </w:rPr>
        <w:t>Credit Ris</w:t>
      </w:r>
      <w:r>
        <w:rPr>
          <w:rFonts w:eastAsia="Times New Roman"/>
          <w:b/>
          <w:bCs/>
          <w:i/>
          <w:iCs/>
          <w:color w:val="000000"/>
          <w:sz w:val="20"/>
          <w:szCs w:val="20"/>
        </w:rPr>
        <w:t>k</w:t>
      </w:r>
    </w:p>
    <w:p w14:paraId="1731C716" w14:textId="77777777" w:rsidR="00000000" w:rsidRDefault="00195E73">
      <w:pPr>
        <w:ind w:firstLine="405"/>
        <w:divId w:val="389118070"/>
        <w:rPr>
          <w:rFonts w:eastAsia="Times New Roman"/>
        </w:rPr>
      </w:pPr>
      <w:r>
        <w:rPr>
          <w:rFonts w:eastAsia="Times New Roman"/>
          <w:color w:val="000000"/>
          <w:sz w:val="20"/>
          <w:szCs w:val="20"/>
        </w:rPr>
        <w:t>We and the Investment Funds are subject to certain inherent risks through our investments</w:t>
      </w:r>
      <w:r>
        <w:rPr>
          <w:rFonts w:eastAsia="Times New Roman"/>
          <w:color w:val="000000"/>
          <w:sz w:val="20"/>
          <w:szCs w:val="20"/>
        </w:rPr>
        <w:t>.</w:t>
      </w:r>
    </w:p>
    <w:p w14:paraId="6BAF4F90" w14:textId="77777777" w:rsidR="00000000" w:rsidRDefault="00195E73">
      <w:pPr>
        <w:ind w:firstLine="405"/>
        <w:divId w:val="4485322"/>
        <w:rPr>
          <w:rFonts w:eastAsia="Times New Roman"/>
        </w:rPr>
      </w:pPr>
      <w:r>
        <w:rPr>
          <w:rFonts w:eastAsia="Times New Roman"/>
          <w:color w:val="000000"/>
          <w:sz w:val="20"/>
          <w:szCs w:val="20"/>
        </w:rPr>
        <w:t>Our entities typically invest exces</w:t>
      </w:r>
      <w:r>
        <w:rPr>
          <w:rFonts w:eastAsia="Times New Roman"/>
          <w:color w:val="000000"/>
          <w:sz w:val="20"/>
          <w:szCs w:val="20"/>
        </w:rPr>
        <w:t>s cash in large money market funds. The money market funds primarily invest in government securities and other short-term, highly liquid instruments with a low risk of loss. The Investment Funds also maintain free credit balances with their prime brokers a</w:t>
      </w:r>
      <w:r>
        <w:rPr>
          <w:rFonts w:eastAsia="Times New Roman"/>
          <w:color w:val="000000"/>
          <w:sz w:val="20"/>
          <w:szCs w:val="20"/>
        </w:rPr>
        <w:t>nd in interest bearing accounts at major banking institutions. We seek to diversify our cash investments across several accounts and institutions and monitor performance and counterparty risk</w:t>
      </w:r>
      <w:r>
        <w:rPr>
          <w:rFonts w:eastAsia="Times New Roman"/>
          <w:color w:val="000000"/>
          <w:sz w:val="20"/>
          <w:szCs w:val="20"/>
        </w:rPr>
        <w:t>.</w:t>
      </w:r>
    </w:p>
    <w:p w14:paraId="3F8C2679" w14:textId="77777777" w:rsidR="00000000" w:rsidRDefault="00195E73">
      <w:pPr>
        <w:ind w:firstLine="405"/>
        <w:divId w:val="719283529"/>
        <w:rPr>
          <w:rFonts w:eastAsia="Times New Roman"/>
        </w:rPr>
      </w:pPr>
      <w:r>
        <w:rPr>
          <w:rFonts w:eastAsia="Times New Roman"/>
          <w:color w:val="000000"/>
          <w:sz w:val="20"/>
          <w:szCs w:val="20"/>
        </w:rPr>
        <w:t>The Investment Funds and, to a lesser extent, other entities ho</w:t>
      </w:r>
      <w:r>
        <w:rPr>
          <w:rFonts w:eastAsia="Times New Roman"/>
          <w:color w:val="000000"/>
          <w:sz w:val="20"/>
          <w:szCs w:val="20"/>
        </w:rPr>
        <w:t>ld derivative instruments that are subject to credit risk in the event that the counterparties are unable to meet the terms of such agreements. When the Investment Funds make such investments or enter into other arrangements where they might suffer a signi</w:t>
      </w:r>
      <w:r>
        <w:rPr>
          <w:rFonts w:eastAsia="Times New Roman"/>
          <w:color w:val="000000"/>
          <w:sz w:val="20"/>
          <w:szCs w:val="20"/>
        </w:rPr>
        <w:t>ficant loss through the default or insolvency of a counterparty, we monitor the credit quality of such counterparty and seek to do business with creditworthy counterparties. Counterparty risk is monitored by obtaining and reviewing public information filed</w:t>
      </w:r>
      <w:r>
        <w:rPr>
          <w:rFonts w:eastAsia="Times New Roman"/>
          <w:color w:val="000000"/>
          <w:sz w:val="20"/>
          <w:szCs w:val="20"/>
        </w:rPr>
        <w:t xml:space="preserve"> by the counterparties and others</w:t>
      </w:r>
      <w:r>
        <w:rPr>
          <w:rFonts w:eastAsia="Times New Roman"/>
          <w:color w:val="000000"/>
          <w:sz w:val="20"/>
          <w:szCs w:val="20"/>
        </w:rPr>
        <w:t>.</w:t>
      </w:r>
    </w:p>
    <w:p w14:paraId="7EACBDCE" w14:textId="77777777" w:rsidR="00000000" w:rsidRDefault="00195E73">
      <w:pPr>
        <w:divId w:val="979532535"/>
        <w:rPr>
          <w:rFonts w:eastAsia="Times New Roman"/>
        </w:rPr>
      </w:pPr>
      <w:r>
        <w:rPr>
          <w:rFonts w:eastAsia="Times New Roman"/>
          <w:b/>
          <w:bCs/>
          <w:i/>
          <w:iCs/>
          <w:color w:val="000000"/>
          <w:sz w:val="20"/>
          <w:szCs w:val="20"/>
        </w:rPr>
        <w:t>Compliance Program Price Ris</w:t>
      </w:r>
      <w:r>
        <w:rPr>
          <w:rFonts w:eastAsia="Times New Roman"/>
          <w:b/>
          <w:bCs/>
          <w:i/>
          <w:iCs/>
          <w:color w:val="000000"/>
          <w:sz w:val="20"/>
          <w:szCs w:val="20"/>
        </w:rPr>
        <w:t>k</w:t>
      </w:r>
    </w:p>
    <w:p w14:paraId="43FA7D79" w14:textId="77777777" w:rsidR="00000000" w:rsidRDefault="00195E73">
      <w:pPr>
        <w:ind w:firstLine="405"/>
        <w:divId w:val="183177161"/>
        <w:rPr>
          <w:rFonts w:eastAsia="Times New Roman"/>
        </w:rPr>
      </w:pPr>
      <w:r>
        <w:rPr>
          <w:rFonts w:eastAsia="Times New Roman"/>
          <w:color w:val="000000"/>
          <w:sz w:val="20"/>
          <w:szCs w:val="20"/>
        </w:rPr>
        <w:t>As a producer of transportation fuels from petroleum, CVR Refining is required to blend biofuels into the product it produces or to purchase RINs in the open market in lieu of blending to meet the mandates established by the EPA. CVR Refining is exposed to</w:t>
      </w:r>
      <w:r>
        <w:rPr>
          <w:rFonts w:eastAsia="Times New Roman"/>
          <w:color w:val="000000"/>
          <w:sz w:val="20"/>
          <w:szCs w:val="20"/>
        </w:rPr>
        <w:t xml:space="preserve"> market risk related to volatility in the price of RINs needed to comply with the Renewable Fuel Standards. To mitigate the impact of this risk on our Energy segment’s results of operations and cash flows, CVR Refining purchased RINs when prices are deemed</w:t>
      </w:r>
      <w:r>
        <w:rPr>
          <w:rFonts w:eastAsia="Times New Roman"/>
          <w:color w:val="000000"/>
          <w:sz w:val="20"/>
          <w:szCs w:val="20"/>
        </w:rPr>
        <w:t xml:space="preserve"> favorable. See Note 18, “Commitments and Contingencies,” to the consolidated financial statements for further discussion about compliance with the Renewable Fuel Standards.</w:t>
      </w:r>
      <w:r>
        <w:rPr>
          <w:rFonts w:eastAsia="Times New Roman"/>
          <w:color w:val="000000"/>
          <w:sz w:val="20"/>
          <w:szCs w:val="20"/>
        </w:rPr>
        <w:t xml:space="preserve"> </w:t>
      </w:r>
    </w:p>
    <w:p w14:paraId="7BAC6BB0" w14:textId="77777777" w:rsidR="00000000" w:rsidRDefault="00195E73">
      <w:pPr>
        <w:jc w:val="center"/>
        <w:divId w:val="352460730"/>
        <w:rPr>
          <w:rFonts w:eastAsia="Times New Roman"/>
        </w:rPr>
      </w:pPr>
      <w:r>
        <w:rPr>
          <w:rFonts w:eastAsia="Times New Roman"/>
          <w:color w:val="000000"/>
          <w:sz w:val="20"/>
          <w:szCs w:val="20"/>
        </w:rPr>
        <w:t>5</w:t>
      </w:r>
      <w:r>
        <w:rPr>
          <w:rFonts w:eastAsia="Times New Roman"/>
          <w:color w:val="000000"/>
          <w:sz w:val="20"/>
          <w:szCs w:val="20"/>
        </w:rPr>
        <w:t>0</w:t>
      </w:r>
    </w:p>
    <w:p w14:paraId="20AC2BE3" w14:textId="77777777" w:rsidR="00000000" w:rsidRDefault="00195E73">
      <w:pPr>
        <w:rPr>
          <w:rFonts w:eastAsia="Times New Roman"/>
        </w:rPr>
      </w:pPr>
      <w:r>
        <w:rPr>
          <w:rFonts w:eastAsia="Times New Roman"/>
        </w:rPr>
        <w:pict w14:anchorId="5E6F98D4">
          <v:rect id="_x0000_i1076" style="width:0;height:1.5pt" o:hralign="center" o:hrstd="t" o:hr="t" fillcolor="#a0a0a0" stroked="f"/>
        </w:pict>
      </w:r>
    </w:p>
    <w:p w14:paraId="081C5B24" w14:textId="77777777" w:rsidR="00000000" w:rsidRDefault="00195E73">
      <w:pPr>
        <w:divId w:val="872353032"/>
        <w:rPr>
          <w:rFonts w:eastAsia="Times New Roman"/>
        </w:rPr>
      </w:pPr>
    </w:p>
    <w:p w14:paraId="42E125FB" w14:textId="77777777" w:rsidR="00000000" w:rsidRDefault="00195E73">
      <w:pPr>
        <w:divId w:val="820586829"/>
        <w:rPr>
          <w:rFonts w:eastAsia="Times New Roman"/>
        </w:rPr>
      </w:pPr>
      <w:r>
        <w:rPr>
          <w:rFonts w:eastAsia="Times New Roman"/>
          <w:b/>
          <w:bCs/>
          <w:color w:val="000000"/>
          <w:sz w:val="20"/>
          <w:szCs w:val="20"/>
        </w:rPr>
        <w:t>Item 8. Financial Statements and Supplem</w:t>
      </w:r>
      <w:r>
        <w:rPr>
          <w:rFonts w:eastAsia="Times New Roman"/>
          <w:b/>
          <w:bCs/>
          <w:color w:val="000000"/>
          <w:sz w:val="20"/>
          <w:szCs w:val="20"/>
        </w:rPr>
        <w:t>entary Data.</w:t>
      </w:r>
      <w:r>
        <w:rPr>
          <w:rFonts w:eastAsia="Times New Roman"/>
          <w:b/>
          <w:bCs/>
          <w:color w:val="000000"/>
          <w:sz w:val="20"/>
          <w:szCs w:val="20"/>
        </w:rPr>
        <w:t xml:space="preserve"> </w:t>
      </w:r>
    </w:p>
    <w:p w14:paraId="527AE6F9" w14:textId="77777777" w:rsidR="00000000" w:rsidRDefault="00195E73">
      <w:pPr>
        <w:divId w:val="331951248"/>
        <w:rPr>
          <w:rFonts w:eastAsia="Times New Roman"/>
        </w:rPr>
      </w:pPr>
    </w:p>
    <w:p w14:paraId="4FFBC1A9" w14:textId="77777777" w:rsidR="00000000" w:rsidRDefault="00195E73">
      <w:pPr>
        <w:ind w:firstLine="585"/>
        <w:jc w:val="center"/>
        <w:divId w:val="539905854"/>
        <w:rPr>
          <w:rFonts w:eastAsia="Times New Roman"/>
        </w:rPr>
      </w:pPr>
      <w:r>
        <w:rPr>
          <w:rFonts w:eastAsia="Times New Roman"/>
          <w:b/>
          <w:bCs/>
          <w:color w:val="000000"/>
          <w:sz w:val="20"/>
          <w:szCs w:val="20"/>
        </w:rPr>
        <w:t>REPORT OF INDEPENDENT REGISTERED PUBLIC ACCOUNTING FIR</w:t>
      </w:r>
      <w:r>
        <w:rPr>
          <w:rFonts w:eastAsia="Times New Roman"/>
          <w:b/>
          <w:bCs/>
          <w:color w:val="000000"/>
          <w:sz w:val="20"/>
          <w:szCs w:val="20"/>
        </w:rPr>
        <w:t>M</w:t>
      </w:r>
    </w:p>
    <w:p w14:paraId="08415D1F" w14:textId="77777777" w:rsidR="00000000" w:rsidRDefault="00195E73">
      <w:pPr>
        <w:divId w:val="171799993"/>
        <w:rPr>
          <w:rFonts w:eastAsia="Times New Roman"/>
        </w:rPr>
      </w:pPr>
    </w:p>
    <w:p w14:paraId="4E9E10E1" w14:textId="77777777" w:rsidR="00000000" w:rsidRDefault="00195E73">
      <w:pPr>
        <w:divId w:val="1731417327"/>
        <w:rPr>
          <w:rFonts w:eastAsia="Times New Roman"/>
        </w:rPr>
      </w:pPr>
      <w:r>
        <w:rPr>
          <w:rFonts w:eastAsia="Times New Roman"/>
          <w:color w:val="000000"/>
          <w:sz w:val="20"/>
          <w:szCs w:val="20"/>
        </w:rPr>
        <w:t>Board of Directors and Partner</w:t>
      </w:r>
      <w:r>
        <w:rPr>
          <w:rFonts w:eastAsia="Times New Roman"/>
          <w:color w:val="000000"/>
          <w:sz w:val="20"/>
          <w:szCs w:val="20"/>
        </w:rPr>
        <w:t>s</w:t>
      </w:r>
    </w:p>
    <w:p w14:paraId="20FA5E6F" w14:textId="77777777" w:rsidR="00000000" w:rsidRDefault="00195E73">
      <w:pPr>
        <w:divId w:val="2093382616"/>
        <w:rPr>
          <w:rFonts w:eastAsia="Times New Roman"/>
        </w:rPr>
      </w:pPr>
      <w:r>
        <w:rPr>
          <w:rFonts w:eastAsia="Times New Roman"/>
          <w:color w:val="000000"/>
          <w:sz w:val="20"/>
          <w:szCs w:val="20"/>
        </w:rPr>
        <w:t>Icahn Enterprises L.P.</w:t>
      </w:r>
      <w:r>
        <w:rPr>
          <w:rFonts w:eastAsia="Times New Roman"/>
          <w:color w:val="000000"/>
          <w:sz w:val="20"/>
          <w:szCs w:val="20"/>
        </w:rPr>
        <w:t xml:space="preserve"> </w:t>
      </w:r>
    </w:p>
    <w:p w14:paraId="400581DF" w14:textId="77777777" w:rsidR="00000000" w:rsidRDefault="00195E73">
      <w:pPr>
        <w:divId w:val="784613716"/>
        <w:rPr>
          <w:rFonts w:eastAsia="Times New Roman"/>
        </w:rPr>
      </w:pPr>
    </w:p>
    <w:p w14:paraId="2E540EAC" w14:textId="77777777" w:rsidR="00000000" w:rsidRDefault="00195E73">
      <w:pPr>
        <w:divId w:val="1465083196"/>
        <w:rPr>
          <w:rFonts w:eastAsia="Times New Roman"/>
        </w:rPr>
      </w:pPr>
      <w:r>
        <w:rPr>
          <w:rFonts w:ascii="Arial" w:eastAsia="Times New Roman" w:hAnsi="Arial" w:cs="Arial"/>
          <w:b/>
          <w:bCs/>
          <w:color w:val="000000"/>
          <w:sz w:val="18"/>
          <w:szCs w:val="18"/>
        </w:rPr>
        <w:t>Opinion on the financial statement</w:t>
      </w:r>
      <w:r>
        <w:rPr>
          <w:rFonts w:ascii="Arial" w:eastAsia="Times New Roman" w:hAnsi="Arial" w:cs="Arial"/>
          <w:b/>
          <w:bCs/>
          <w:color w:val="000000"/>
          <w:sz w:val="18"/>
          <w:szCs w:val="18"/>
        </w:rPr>
        <w:t>s</w:t>
      </w:r>
      <w:r>
        <w:rPr>
          <w:rFonts w:eastAsia="Times New Roman"/>
          <w:b/>
          <w:bCs/>
          <w:color w:val="000000"/>
          <w:sz w:val="20"/>
          <w:szCs w:val="20"/>
        </w:rPr>
        <w:t xml:space="preserve"> </w:t>
      </w:r>
    </w:p>
    <w:p w14:paraId="69C39AF9" w14:textId="77777777" w:rsidR="00000000" w:rsidRDefault="00195E73">
      <w:pPr>
        <w:jc w:val="both"/>
        <w:divId w:val="1541673936"/>
        <w:rPr>
          <w:rFonts w:eastAsia="Times New Roman"/>
        </w:rPr>
      </w:pPr>
      <w:r>
        <w:rPr>
          <w:rFonts w:eastAsia="Times New Roman"/>
          <w:color w:val="000000"/>
          <w:sz w:val="20"/>
          <w:szCs w:val="20"/>
        </w:rPr>
        <w:t xml:space="preserve">We have audited the accompanying consolidated balance sheets of Icahn Enterprises L.P. (a Delaware limited partnership) and subsidiaries (the “Partnership”) as of December 31, 2019 and 2018, the related consolidated statements of operations, comprehensive </w:t>
      </w:r>
      <w:r>
        <w:rPr>
          <w:rFonts w:eastAsia="Times New Roman"/>
          <w:color w:val="000000"/>
          <w:sz w:val="20"/>
          <w:szCs w:val="20"/>
        </w:rPr>
        <w:t>income, changes in equity, and cash flows for each of the three years in the period ended December 31, 2019, and the related notes and financial statement schedule included under Item 15(a) (collectively referred to as the “financial statements”). In our o</w:t>
      </w:r>
      <w:r>
        <w:rPr>
          <w:rFonts w:eastAsia="Times New Roman"/>
          <w:color w:val="000000"/>
          <w:sz w:val="20"/>
          <w:szCs w:val="20"/>
        </w:rPr>
        <w:t>pinion, the financial statements present fairly, in all material respects, the financial position of the Partnership as of December 31, 2019 and 2018, and the results of its operations and its cash flows for each of the three years in the period ended Dece</w:t>
      </w:r>
      <w:r>
        <w:rPr>
          <w:rFonts w:eastAsia="Times New Roman"/>
          <w:color w:val="000000"/>
          <w:sz w:val="20"/>
          <w:szCs w:val="20"/>
        </w:rPr>
        <w:t>mber 31, 2019, in conformity with accounting principles generally accepted in the United States of America.</w:t>
      </w:r>
      <w:r>
        <w:rPr>
          <w:rFonts w:eastAsia="Times New Roman"/>
          <w:color w:val="000000"/>
          <w:sz w:val="20"/>
          <w:szCs w:val="20"/>
        </w:rPr>
        <w:t xml:space="preserve"> </w:t>
      </w:r>
    </w:p>
    <w:p w14:paraId="101D2F08" w14:textId="77777777" w:rsidR="00000000" w:rsidRDefault="00195E73">
      <w:pPr>
        <w:jc w:val="both"/>
        <w:divId w:val="465398034"/>
        <w:rPr>
          <w:rFonts w:eastAsia="Times New Roman"/>
        </w:rPr>
      </w:pPr>
      <w:r>
        <w:rPr>
          <w:rFonts w:eastAsia="Times New Roman"/>
          <w:color w:val="000000"/>
          <w:sz w:val="20"/>
          <w:szCs w:val="20"/>
        </w:rPr>
        <w:t>We also have audited, in accordance with the standards of the Public Company Accounting Oversight Board (United States) (“PCAOB”), the Partnership’</w:t>
      </w:r>
      <w:r>
        <w:rPr>
          <w:rFonts w:eastAsia="Times New Roman"/>
          <w:color w:val="000000"/>
          <w:sz w:val="20"/>
          <w:szCs w:val="20"/>
        </w:rPr>
        <w:t>s internal control over financial reporting as of December 31, 2019, based on criteria established in the 2013 Internal Control—Integrated Framework issued by the Committee of Sponsoring Organizations of the Treadway Commission (“COSO”), and our report dat</w:t>
      </w:r>
      <w:r>
        <w:rPr>
          <w:rFonts w:eastAsia="Times New Roman"/>
          <w:color w:val="000000"/>
          <w:sz w:val="20"/>
          <w:szCs w:val="20"/>
        </w:rPr>
        <w:t>ed February 28, 2020 expressed an adverse opinion</w:t>
      </w:r>
      <w:r>
        <w:rPr>
          <w:rFonts w:eastAsia="Times New Roman"/>
          <w:color w:val="000000"/>
          <w:sz w:val="20"/>
          <w:szCs w:val="20"/>
        </w:rPr>
        <w:t>.</w:t>
      </w:r>
    </w:p>
    <w:p w14:paraId="4AA200F3" w14:textId="77777777" w:rsidR="00000000" w:rsidRDefault="00195E73">
      <w:pPr>
        <w:divId w:val="191184986"/>
        <w:rPr>
          <w:rFonts w:eastAsia="Times New Roman"/>
        </w:rPr>
      </w:pPr>
      <w:r>
        <w:rPr>
          <w:rFonts w:ascii="Arial" w:eastAsia="Times New Roman" w:hAnsi="Arial" w:cs="Arial"/>
          <w:b/>
          <w:bCs/>
          <w:color w:val="000000"/>
          <w:sz w:val="18"/>
          <w:szCs w:val="18"/>
        </w:rPr>
        <w:t>Change in accounting principl</w:t>
      </w:r>
      <w:r>
        <w:rPr>
          <w:rFonts w:ascii="Arial" w:eastAsia="Times New Roman" w:hAnsi="Arial" w:cs="Arial"/>
          <w:b/>
          <w:bCs/>
          <w:color w:val="000000"/>
          <w:sz w:val="18"/>
          <w:szCs w:val="18"/>
        </w:rPr>
        <w:t>e</w:t>
      </w:r>
    </w:p>
    <w:p w14:paraId="440B4936" w14:textId="77777777" w:rsidR="00000000" w:rsidRDefault="00195E73">
      <w:pPr>
        <w:jc w:val="both"/>
        <w:divId w:val="1475415669"/>
        <w:rPr>
          <w:rFonts w:eastAsia="Times New Roman"/>
        </w:rPr>
      </w:pPr>
      <w:r>
        <w:rPr>
          <w:rFonts w:eastAsia="Times New Roman"/>
          <w:color w:val="000000"/>
          <w:sz w:val="20"/>
          <w:szCs w:val="20"/>
        </w:rPr>
        <w:t>As discussed in Note 2 and Note 10 to the consolidated financial statements, the Partnership has changed its method of accounting for leases in 2019 due to the adoption of FA</w:t>
      </w:r>
      <w:r>
        <w:rPr>
          <w:rFonts w:eastAsia="Times New Roman"/>
          <w:color w:val="000000"/>
          <w:sz w:val="20"/>
          <w:szCs w:val="20"/>
        </w:rPr>
        <w:t>SB ASC 842, Leases (“ASC 842”).</w:t>
      </w:r>
      <w:r>
        <w:rPr>
          <w:rFonts w:eastAsia="Times New Roman"/>
          <w:color w:val="000000"/>
          <w:sz w:val="20"/>
          <w:szCs w:val="20"/>
        </w:rPr>
        <w:t xml:space="preserve"> </w:t>
      </w:r>
    </w:p>
    <w:p w14:paraId="00047BC8" w14:textId="77777777" w:rsidR="00000000" w:rsidRDefault="00195E73">
      <w:pPr>
        <w:divId w:val="991442146"/>
        <w:rPr>
          <w:rFonts w:eastAsia="Times New Roman"/>
        </w:rPr>
      </w:pPr>
      <w:r>
        <w:rPr>
          <w:rFonts w:ascii="Arial" w:eastAsia="Times New Roman" w:hAnsi="Arial" w:cs="Arial"/>
          <w:b/>
          <w:bCs/>
          <w:color w:val="000000"/>
          <w:sz w:val="18"/>
          <w:szCs w:val="18"/>
        </w:rPr>
        <w:t>Basis for opinion</w:t>
      </w:r>
      <w:r>
        <w:rPr>
          <w:rFonts w:ascii="Arial" w:eastAsia="Times New Roman" w:hAnsi="Arial" w:cs="Arial"/>
          <w:b/>
          <w:bCs/>
          <w:color w:val="000000"/>
          <w:sz w:val="18"/>
          <w:szCs w:val="18"/>
        </w:rPr>
        <w:t xml:space="preserve"> </w:t>
      </w:r>
    </w:p>
    <w:p w14:paraId="470D4EFE" w14:textId="77777777" w:rsidR="00000000" w:rsidRDefault="00195E73">
      <w:pPr>
        <w:jc w:val="both"/>
        <w:divId w:val="1486051563"/>
        <w:rPr>
          <w:rFonts w:eastAsia="Times New Roman"/>
        </w:rPr>
      </w:pPr>
      <w:r>
        <w:rPr>
          <w:rFonts w:eastAsia="Times New Roman"/>
          <w:color w:val="000000"/>
          <w:sz w:val="20"/>
          <w:szCs w:val="20"/>
        </w:rPr>
        <w:t>These financial statements are the responsibility of the Partnership’s management. Our responsibility is to express an opinion on the Partnerships financial statements based on our audits. We are a public</w:t>
      </w:r>
      <w:r>
        <w:rPr>
          <w:rFonts w:eastAsia="Times New Roman"/>
          <w:color w:val="000000"/>
          <w:sz w:val="20"/>
          <w:szCs w:val="20"/>
        </w:rPr>
        <w:t xml:space="preserve"> accounting firm registered with the PCAOB and are required to be independent with respect to the Partnership in accordance with the U.S. federal securities laws and the applicable rules and regulations of the Securities and Exchange Commission and the PCA</w:t>
      </w:r>
      <w:r>
        <w:rPr>
          <w:rFonts w:eastAsia="Times New Roman"/>
          <w:color w:val="000000"/>
          <w:sz w:val="20"/>
          <w:szCs w:val="20"/>
        </w:rPr>
        <w:t>OB.</w:t>
      </w:r>
      <w:r>
        <w:rPr>
          <w:rFonts w:eastAsia="Times New Roman"/>
          <w:color w:val="000000"/>
          <w:sz w:val="20"/>
          <w:szCs w:val="20"/>
        </w:rPr>
        <w:t xml:space="preserve"> </w:t>
      </w:r>
    </w:p>
    <w:p w14:paraId="649C4DF9" w14:textId="77777777" w:rsidR="00000000" w:rsidRDefault="00195E73">
      <w:pPr>
        <w:jc w:val="both"/>
        <w:divId w:val="1598635977"/>
        <w:rPr>
          <w:rFonts w:eastAsia="Times New Roman"/>
        </w:rPr>
      </w:pPr>
      <w:r>
        <w:rPr>
          <w:rFonts w:eastAsia="Times New Roman"/>
          <w:color w:val="000000"/>
          <w:sz w:val="20"/>
          <w:szCs w:val="20"/>
        </w:rPr>
        <w:t>We conducted our audits in accordance with the standards of the PCAOB. Those standards require that we plan and perform the audit to obtain reasonable assurance about whether the financial statements are free of material misstatement, whether due to e</w:t>
      </w:r>
      <w:r>
        <w:rPr>
          <w:rFonts w:eastAsia="Times New Roman"/>
          <w:color w:val="000000"/>
          <w:sz w:val="20"/>
          <w:szCs w:val="20"/>
        </w:rPr>
        <w:t xml:space="preserve">rror or fraud. Our audits included performing procedures to assess the risks of material misstatement of the financial statements, whether due to error or fraud, and performing procedures that respond to those risks. Such procedures included examining, on </w:t>
      </w:r>
      <w:r>
        <w:rPr>
          <w:rFonts w:eastAsia="Times New Roman"/>
          <w:color w:val="000000"/>
          <w:sz w:val="20"/>
          <w:szCs w:val="20"/>
        </w:rPr>
        <w:t>a test basis, evidence supporting the amounts and disclosures in the financial statements. Our audits also included evaluating the accounting principles used and significant estimates made by management, as well as evaluating the overall presentation of th</w:t>
      </w:r>
      <w:r>
        <w:rPr>
          <w:rFonts w:eastAsia="Times New Roman"/>
          <w:color w:val="000000"/>
          <w:sz w:val="20"/>
          <w:szCs w:val="20"/>
        </w:rPr>
        <w:t>e financial statements. We believe that our audits provide a reasonable basis for our opinion</w:t>
      </w:r>
      <w:r>
        <w:rPr>
          <w:rFonts w:eastAsia="Times New Roman"/>
          <w:color w:val="000000"/>
          <w:sz w:val="20"/>
          <w:szCs w:val="20"/>
        </w:rPr>
        <w:t>.</w:t>
      </w:r>
    </w:p>
    <w:p w14:paraId="5B684024" w14:textId="77777777" w:rsidR="00000000" w:rsidRDefault="00195E73">
      <w:pPr>
        <w:divId w:val="798301596"/>
        <w:rPr>
          <w:rFonts w:eastAsia="Times New Roman"/>
        </w:rPr>
      </w:pPr>
      <w:r>
        <w:rPr>
          <w:rFonts w:ascii="Arial" w:eastAsia="Times New Roman" w:hAnsi="Arial" w:cs="Arial"/>
          <w:b/>
          <w:bCs/>
          <w:color w:val="000000"/>
          <w:sz w:val="18"/>
          <w:szCs w:val="18"/>
        </w:rPr>
        <w:t>Critical audit matter</w:t>
      </w:r>
      <w:r>
        <w:rPr>
          <w:rFonts w:ascii="Arial" w:eastAsia="Times New Roman" w:hAnsi="Arial" w:cs="Arial"/>
          <w:b/>
          <w:bCs/>
          <w:color w:val="000000"/>
          <w:sz w:val="18"/>
          <w:szCs w:val="18"/>
        </w:rPr>
        <w:t xml:space="preserve"> </w:t>
      </w:r>
    </w:p>
    <w:p w14:paraId="49719A7E" w14:textId="77777777" w:rsidR="00000000" w:rsidRDefault="00195E73">
      <w:pPr>
        <w:jc w:val="both"/>
        <w:divId w:val="1751733944"/>
        <w:rPr>
          <w:rFonts w:eastAsia="Times New Roman"/>
        </w:rPr>
      </w:pPr>
      <w:r>
        <w:rPr>
          <w:rFonts w:eastAsia="Times New Roman"/>
          <w:color w:val="000000"/>
          <w:sz w:val="20"/>
          <w:szCs w:val="20"/>
        </w:rPr>
        <w:t>The critical audit matter communicated below is a matter arising from the current period audit of the financial statements that was commun</w:t>
      </w:r>
      <w:r>
        <w:rPr>
          <w:rFonts w:eastAsia="Times New Roman"/>
          <w:color w:val="000000"/>
          <w:sz w:val="20"/>
          <w:szCs w:val="20"/>
        </w:rPr>
        <w:t xml:space="preserve">icated or required to be communicated to the audit committee and that: (1) relates to accounts or disclosures that are material to the financial statements and (2) involved our especially challenging, subjective, or complex judgments. The communication of </w:t>
      </w:r>
      <w:r>
        <w:rPr>
          <w:rFonts w:eastAsia="Times New Roman"/>
          <w:color w:val="000000"/>
          <w:sz w:val="20"/>
          <w:szCs w:val="20"/>
        </w:rPr>
        <w:t>the critical audit matter does not alter in any way our opinion on the financial statements, taken as a whole, and we are not, by communicating the critical audit matter below, providing a separate opinion on the critical audit matter or on the accounts or</w:t>
      </w:r>
      <w:r>
        <w:rPr>
          <w:rFonts w:eastAsia="Times New Roman"/>
          <w:color w:val="000000"/>
          <w:sz w:val="20"/>
          <w:szCs w:val="20"/>
        </w:rPr>
        <w:t xml:space="preserve"> disclosures to which it relates.</w:t>
      </w:r>
      <w:r>
        <w:rPr>
          <w:rFonts w:eastAsia="Times New Roman"/>
          <w:color w:val="000000"/>
          <w:sz w:val="20"/>
          <w:szCs w:val="20"/>
        </w:rPr>
        <w:t xml:space="preserve"> </w:t>
      </w:r>
    </w:p>
    <w:p w14:paraId="26409F74" w14:textId="77777777" w:rsidR="00000000" w:rsidRDefault="00195E73">
      <w:pPr>
        <w:divId w:val="1973512137"/>
        <w:rPr>
          <w:rFonts w:eastAsia="Times New Roman"/>
        </w:rPr>
      </w:pPr>
      <w:r>
        <w:rPr>
          <w:rFonts w:ascii="Arial" w:eastAsia="Times New Roman" w:hAnsi="Arial" w:cs="Arial"/>
          <w:i/>
          <w:iCs/>
          <w:color w:val="000000"/>
          <w:sz w:val="18"/>
          <w:szCs w:val="18"/>
        </w:rPr>
        <w:t>Adoption of new accounting principl</w:t>
      </w:r>
      <w:r>
        <w:rPr>
          <w:rFonts w:ascii="Arial" w:eastAsia="Times New Roman" w:hAnsi="Arial" w:cs="Arial"/>
          <w:i/>
          <w:iCs/>
          <w:color w:val="000000"/>
          <w:sz w:val="18"/>
          <w:szCs w:val="18"/>
        </w:rPr>
        <w:t>e</w:t>
      </w:r>
    </w:p>
    <w:p w14:paraId="1831EA27" w14:textId="77777777" w:rsidR="00000000" w:rsidRDefault="00195E73">
      <w:pPr>
        <w:jc w:val="both"/>
        <w:divId w:val="854803021"/>
        <w:rPr>
          <w:rFonts w:eastAsia="Times New Roman"/>
        </w:rPr>
      </w:pPr>
      <w:r>
        <w:rPr>
          <w:rFonts w:eastAsia="Times New Roman"/>
          <w:color w:val="000000"/>
          <w:sz w:val="20"/>
          <w:szCs w:val="20"/>
        </w:rPr>
        <w:t>As described further in Note 2 to the Partnership’s consolidated financial statements, the Partnership adopted ASC 842, on January 1, 2019 which resulted in the recognition of a right-</w:t>
      </w:r>
      <w:r>
        <w:rPr>
          <w:rFonts w:eastAsia="Times New Roman"/>
          <w:color w:val="000000"/>
          <w:sz w:val="20"/>
          <w:szCs w:val="20"/>
        </w:rPr>
        <w:t xml:space="preserve">of-use asset (“ROU asset”) and a lease liability for operating leases (other than leases that meet the definition of a short-term lease), at the commencement of the lease term. The liability will be equal to the present value of future lease payments. The </w:t>
      </w:r>
      <w:r>
        <w:rPr>
          <w:rFonts w:eastAsia="Times New Roman"/>
          <w:color w:val="000000"/>
          <w:sz w:val="20"/>
          <w:szCs w:val="20"/>
        </w:rPr>
        <w:t>ROU asset will be based on the liability, subject to certain adjustments.</w:t>
      </w:r>
      <w:r>
        <w:rPr>
          <w:rFonts w:eastAsia="Times New Roman"/>
          <w:color w:val="000000"/>
          <w:sz w:val="20"/>
          <w:szCs w:val="20"/>
        </w:rPr>
        <w:t xml:space="preserve"> </w:t>
      </w:r>
    </w:p>
    <w:p w14:paraId="4DF098CF" w14:textId="77777777" w:rsidR="00000000" w:rsidRDefault="00195E73">
      <w:pPr>
        <w:jc w:val="both"/>
        <w:divId w:val="390426801"/>
        <w:rPr>
          <w:rFonts w:eastAsia="Times New Roman"/>
        </w:rPr>
      </w:pPr>
      <w:r>
        <w:rPr>
          <w:rFonts w:eastAsia="Times New Roman"/>
          <w:color w:val="000000"/>
          <w:sz w:val="20"/>
          <w:szCs w:val="20"/>
        </w:rPr>
        <w:t>We identified adoption of ASC 842 as a critical audit matter because it is a substantial change in accounting for leases and as such requires significant auditor judgment in obtaini</w:t>
      </w:r>
      <w:r>
        <w:rPr>
          <w:rFonts w:eastAsia="Times New Roman"/>
          <w:color w:val="000000"/>
          <w:sz w:val="20"/>
          <w:szCs w:val="20"/>
        </w:rPr>
        <w:t>ng sufficient appropriate audit evidence related to management’s determination of the lease liability and ROU asset and their selection of a discount rate to be applied to future lease payments.</w:t>
      </w:r>
      <w:r>
        <w:rPr>
          <w:rFonts w:eastAsia="Times New Roman"/>
          <w:color w:val="000000"/>
          <w:sz w:val="20"/>
          <w:szCs w:val="20"/>
        </w:rPr>
        <w:t xml:space="preserve"> </w:t>
      </w:r>
    </w:p>
    <w:p w14:paraId="22231159" w14:textId="77777777" w:rsidR="00000000" w:rsidRDefault="00195E73">
      <w:pPr>
        <w:jc w:val="both"/>
        <w:divId w:val="1598442076"/>
        <w:rPr>
          <w:rFonts w:eastAsia="Times New Roman"/>
        </w:rPr>
      </w:pPr>
    </w:p>
    <w:p w14:paraId="365D3622" w14:textId="77777777" w:rsidR="00000000" w:rsidRDefault="00195E73">
      <w:pPr>
        <w:jc w:val="center"/>
        <w:divId w:val="1218785433"/>
        <w:rPr>
          <w:rFonts w:eastAsia="Times New Roman"/>
        </w:rPr>
      </w:pPr>
      <w:r>
        <w:rPr>
          <w:rFonts w:eastAsia="Times New Roman"/>
          <w:color w:val="000000"/>
          <w:sz w:val="20"/>
          <w:szCs w:val="20"/>
        </w:rPr>
        <w:t>5</w:t>
      </w:r>
      <w:r>
        <w:rPr>
          <w:rFonts w:eastAsia="Times New Roman"/>
          <w:color w:val="000000"/>
          <w:sz w:val="20"/>
          <w:szCs w:val="20"/>
        </w:rPr>
        <w:t>1</w:t>
      </w:r>
    </w:p>
    <w:p w14:paraId="30F29609" w14:textId="77777777" w:rsidR="00000000" w:rsidRDefault="00195E73">
      <w:pPr>
        <w:rPr>
          <w:rFonts w:eastAsia="Times New Roman"/>
        </w:rPr>
      </w:pPr>
      <w:r>
        <w:rPr>
          <w:rFonts w:eastAsia="Times New Roman"/>
        </w:rPr>
        <w:pict w14:anchorId="7A46EF21">
          <v:rect id="_x0000_i1077" style="width:0;height:1.5pt" o:hralign="center" o:hrstd="t" o:hr="t" fillcolor="#a0a0a0" stroked="f"/>
        </w:pict>
      </w:r>
    </w:p>
    <w:p w14:paraId="6572AF62" w14:textId="77777777" w:rsidR="00000000" w:rsidRDefault="00195E73">
      <w:pPr>
        <w:divId w:val="2145081543"/>
        <w:rPr>
          <w:rFonts w:eastAsia="Times New Roman"/>
        </w:rPr>
      </w:pPr>
    </w:p>
    <w:p w14:paraId="7BBF33D1" w14:textId="77777777" w:rsidR="00000000" w:rsidRDefault="00195E73">
      <w:pPr>
        <w:jc w:val="both"/>
        <w:divId w:val="1086224667"/>
        <w:rPr>
          <w:rFonts w:eastAsia="Times New Roman"/>
        </w:rPr>
      </w:pPr>
      <w:r>
        <w:rPr>
          <w:rFonts w:eastAsia="Times New Roman"/>
          <w:color w:val="000000"/>
          <w:sz w:val="20"/>
          <w:szCs w:val="20"/>
        </w:rPr>
        <w:t>Our audit procedures related to the adoption of ASC 842 included the following, among others</w:t>
      </w:r>
      <w:r>
        <w:rPr>
          <w:rFonts w:eastAsia="Times New Roman"/>
          <w:color w:val="000000"/>
          <w:sz w:val="20"/>
          <w:szCs w:val="20"/>
        </w:rPr>
        <w:t>.</w:t>
      </w:r>
    </w:p>
    <w:p w14:paraId="7133C45F" w14:textId="77777777" w:rsidR="00000000" w:rsidRDefault="00195E73">
      <w:pPr>
        <w:ind w:hanging="360"/>
        <w:divId w:val="1062363892"/>
        <w:rPr>
          <w:rFonts w:eastAsia="Times New Roman"/>
        </w:rPr>
      </w:pPr>
      <w:r>
        <w:rPr>
          <w:rFonts w:eastAsia="Times New Roman"/>
          <w:color w:val="000000"/>
          <w:sz w:val="20"/>
          <w:szCs w:val="20"/>
        </w:rPr>
        <w:t>•</w:t>
      </w:r>
      <w:r>
        <w:rPr>
          <w:rFonts w:eastAsia="Times New Roman"/>
          <w:color w:val="000000"/>
          <w:sz w:val="20"/>
          <w:szCs w:val="20"/>
        </w:rPr>
        <w:t>We tested the effectiveness of controls over management’s adoption of ASC 842, including the appropriateness of the methodo</w:t>
      </w:r>
      <w:r>
        <w:rPr>
          <w:rFonts w:eastAsia="Times New Roman"/>
          <w:color w:val="000000"/>
          <w:sz w:val="20"/>
          <w:szCs w:val="20"/>
        </w:rPr>
        <w:t>logy applied, accounting and business assumptions used in the analysis, and the mathematical accuracy of the overall model used to record the initial ROU asset and lease liability</w:t>
      </w:r>
      <w:r>
        <w:rPr>
          <w:rFonts w:eastAsia="Times New Roman"/>
          <w:color w:val="000000"/>
          <w:sz w:val="20"/>
          <w:szCs w:val="20"/>
        </w:rPr>
        <w:t>.</w:t>
      </w:r>
    </w:p>
    <w:p w14:paraId="6A015CA2" w14:textId="77777777" w:rsidR="00000000" w:rsidRDefault="00195E73">
      <w:pPr>
        <w:ind w:hanging="360"/>
        <w:divId w:val="1206408618"/>
        <w:rPr>
          <w:rFonts w:eastAsia="Times New Roman"/>
        </w:rPr>
      </w:pPr>
      <w:r>
        <w:rPr>
          <w:rFonts w:eastAsia="Times New Roman"/>
          <w:color w:val="000000"/>
          <w:sz w:val="20"/>
          <w:szCs w:val="20"/>
        </w:rPr>
        <w:t>•</w:t>
      </w:r>
      <w:r>
        <w:rPr>
          <w:rFonts w:eastAsia="Times New Roman"/>
          <w:color w:val="000000"/>
          <w:sz w:val="20"/>
          <w:szCs w:val="20"/>
        </w:rPr>
        <w:t>We evaluated the independent auditor’s report on operating effectiveness o</w:t>
      </w:r>
      <w:r>
        <w:rPr>
          <w:rFonts w:eastAsia="Times New Roman"/>
          <w:color w:val="000000"/>
          <w:sz w:val="20"/>
          <w:szCs w:val="20"/>
        </w:rPr>
        <w:t xml:space="preserve">f controls at the Partnership’s third-party lease software vendor, which included testing the design and operating effectiveness of the relevant user controls due to the Partnership’s reliance on the third-party software to appropriately calculate the ROU </w:t>
      </w:r>
      <w:r>
        <w:rPr>
          <w:rFonts w:eastAsia="Times New Roman"/>
          <w:color w:val="000000"/>
          <w:sz w:val="20"/>
          <w:szCs w:val="20"/>
        </w:rPr>
        <w:t>asset and lease liability</w:t>
      </w:r>
      <w:r>
        <w:rPr>
          <w:rFonts w:eastAsia="Times New Roman"/>
          <w:color w:val="000000"/>
          <w:sz w:val="20"/>
          <w:szCs w:val="20"/>
        </w:rPr>
        <w:t>.</w:t>
      </w:r>
    </w:p>
    <w:p w14:paraId="514B90E3" w14:textId="77777777" w:rsidR="00000000" w:rsidRDefault="00195E73">
      <w:pPr>
        <w:ind w:hanging="360"/>
        <w:divId w:val="85738236"/>
        <w:rPr>
          <w:rFonts w:eastAsia="Times New Roman"/>
        </w:rPr>
      </w:pPr>
      <w:r>
        <w:rPr>
          <w:rFonts w:eastAsia="Times New Roman"/>
          <w:color w:val="000000"/>
          <w:sz w:val="20"/>
          <w:szCs w:val="20"/>
        </w:rPr>
        <w:t>•</w:t>
      </w:r>
      <w:r>
        <w:rPr>
          <w:rFonts w:eastAsia="Times New Roman"/>
          <w:color w:val="000000"/>
          <w:sz w:val="20"/>
          <w:szCs w:val="20"/>
        </w:rPr>
        <w:t>We verified the completeness of the population of leases that the Partnership evaluated, including analyzing agreements for embedded leases</w:t>
      </w:r>
      <w:r>
        <w:rPr>
          <w:rFonts w:eastAsia="Times New Roman"/>
          <w:color w:val="000000"/>
          <w:sz w:val="20"/>
          <w:szCs w:val="20"/>
        </w:rPr>
        <w:t>.</w:t>
      </w:r>
    </w:p>
    <w:p w14:paraId="5B022CBB" w14:textId="77777777" w:rsidR="00000000" w:rsidRDefault="00195E73">
      <w:pPr>
        <w:ind w:hanging="360"/>
        <w:divId w:val="1718234638"/>
        <w:rPr>
          <w:rFonts w:eastAsia="Times New Roman"/>
        </w:rPr>
      </w:pPr>
      <w:r>
        <w:rPr>
          <w:rFonts w:eastAsia="Times New Roman"/>
          <w:color w:val="000000"/>
          <w:sz w:val="20"/>
          <w:szCs w:val="20"/>
        </w:rPr>
        <w:t>•</w:t>
      </w:r>
      <w:r>
        <w:rPr>
          <w:rFonts w:eastAsia="Times New Roman"/>
          <w:color w:val="000000"/>
          <w:sz w:val="20"/>
          <w:szCs w:val="20"/>
        </w:rPr>
        <w:t>We obtained and inspected a sample of lease contracts, compared the relevant inputs in</w:t>
      </w:r>
      <w:r>
        <w:rPr>
          <w:rFonts w:eastAsia="Times New Roman"/>
          <w:color w:val="000000"/>
          <w:sz w:val="20"/>
          <w:szCs w:val="20"/>
        </w:rPr>
        <w:t xml:space="preserve"> the lease software to underlying lease documentation, and recalculated the related ROU asset and lease liability</w:t>
      </w:r>
      <w:r>
        <w:rPr>
          <w:rFonts w:eastAsia="Times New Roman"/>
          <w:color w:val="000000"/>
          <w:sz w:val="20"/>
          <w:szCs w:val="20"/>
        </w:rPr>
        <w:t>.</w:t>
      </w:r>
    </w:p>
    <w:p w14:paraId="7D7ADAB8" w14:textId="77777777" w:rsidR="00000000" w:rsidRDefault="00195E73">
      <w:pPr>
        <w:ind w:hanging="360"/>
        <w:divId w:val="1838839227"/>
        <w:rPr>
          <w:rFonts w:eastAsia="Times New Roman"/>
        </w:rPr>
      </w:pPr>
      <w:r>
        <w:rPr>
          <w:rFonts w:eastAsia="Times New Roman"/>
          <w:color w:val="000000"/>
          <w:sz w:val="20"/>
          <w:szCs w:val="20"/>
        </w:rPr>
        <w:t>•</w:t>
      </w:r>
      <w:r>
        <w:rPr>
          <w:rFonts w:eastAsia="Times New Roman"/>
          <w:color w:val="000000"/>
          <w:sz w:val="20"/>
          <w:szCs w:val="20"/>
        </w:rPr>
        <w:t xml:space="preserve">With the assistance of our fair value specialists we evaluated the reasonableness of the Partnership’s yield curves used in the calculation </w:t>
      </w:r>
      <w:r>
        <w:rPr>
          <w:rFonts w:eastAsia="Times New Roman"/>
          <w:color w:val="000000"/>
          <w:sz w:val="20"/>
          <w:szCs w:val="20"/>
        </w:rPr>
        <w:t xml:space="preserve">by obtaining evidence from knowledgeable sources that are independent from the Partnership to benchmark, challenge and assess management’s key assumptions to different pools of leases with varying remaining terms to determine the discount rate used by the </w:t>
      </w:r>
      <w:r>
        <w:rPr>
          <w:rFonts w:eastAsia="Times New Roman"/>
          <w:color w:val="000000"/>
          <w:sz w:val="20"/>
          <w:szCs w:val="20"/>
        </w:rPr>
        <w:t>Partnership in establishing the ROU asset and lease liability</w:t>
      </w:r>
      <w:r>
        <w:rPr>
          <w:rFonts w:eastAsia="Times New Roman"/>
          <w:color w:val="000000"/>
          <w:sz w:val="20"/>
          <w:szCs w:val="20"/>
        </w:rPr>
        <w:t>.</w:t>
      </w:r>
    </w:p>
    <w:p w14:paraId="6D25CE69" w14:textId="77777777" w:rsidR="00000000" w:rsidRDefault="00195E73">
      <w:pPr>
        <w:ind w:hanging="360"/>
        <w:divId w:val="713238018"/>
        <w:rPr>
          <w:rFonts w:eastAsia="Times New Roman"/>
        </w:rPr>
      </w:pPr>
    </w:p>
    <w:p w14:paraId="5E6C7EDD" w14:textId="77777777" w:rsidR="00000000" w:rsidRDefault="00195E73">
      <w:pPr>
        <w:jc w:val="both"/>
        <w:rPr>
          <w:rFonts w:eastAsia="Times New Roman"/>
        </w:rPr>
      </w:pPr>
      <w:r>
        <w:rPr>
          <w:rFonts w:eastAsia="Times New Roman"/>
          <w:color w:val="000000"/>
          <w:sz w:val="20"/>
          <w:szCs w:val="20"/>
        </w:rPr>
        <w:t>/s/GRANT THORNTON LL</w:t>
      </w:r>
      <w:r>
        <w:rPr>
          <w:rFonts w:eastAsia="Times New Roman"/>
          <w:color w:val="000000"/>
          <w:sz w:val="20"/>
          <w:szCs w:val="20"/>
        </w:rPr>
        <w:t>P</w:t>
      </w:r>
    </w:p>
    <w:p w14:paraId="034BD3B5" w14:textId="77777777" w:rsidR="00000000" w:rsidRDefault="00195E73">
      <w:pPr>
        <w:divId w:val="1059329876"/>
        <w:rPr>
          <w:rFonts w:eastAsia="Times New Roman"/>
        </w:rPr>
      </w:pPr>
    </w:p>
    <w:p w14:paraId="0F057E0E" w14:textId="77777777" w:rsidR="00000000" w:rsidRDefault="00195E73">
      <w:pPr>
        <w:jc w:val="both"/>
        <w:divId w:val="1990553926"/>
        <w:rPr>
          <w:rFonts w:eastAsia="Times New Roman"/>
        </w:rPr>
      </w:pPr>
      <w:r>
        <w:rPr>
          <w:rFonts w:eastAsia="Times New Roman"/>
          <w:color w:val="000000"/>
          <w:sz w:val="20"/>
          <w:szCs w:val="20"/>
        </w:rPr>
        <w:t>We have served as the Partnership’s auditor since 2004</w:t>
      </w:r>
      <w:r>
        <w:rPr>
          <w:rFonts w:eastAsia="Times New Roman"/>
          <w:color w:val="000000"/>
          <w:sz w:val="20"/>
          <w:szCs w:val="20"/>
        </w:rPr>
        <w:t>.</w:t>
      </w:r>
    </w:p>
    <w:p w14:paraId="60C19483" w14:textId="77777777" w:rsidR="00000000" w:rsidRDefault="00195E73">
      <w:pPr>
        <w:divId w:val="771322621"/>
        <w:rPr>
          <w:rFonts w:eastAsia="Times New Roman"/>
        </w:rPr>
      </w:pPr>
      <w:r>
        <w:rPr>
          <w:rFonts w:eastAsia="Times New Roman"/>
          <w:color w:val="000000"/>
          <w:sz w:val="20"/>
          <w:szCs w:val="20"/>
        </w:rPr>
        <w:t>New York, New Yor</w:t>
      </w:r>
      <w:r>
        <w:rPr>
          <w:rFonts w:eastAsia="Times New Roman"/>
          <w:color w:val="000000"/>
          <w:sz w:val="20"/>
          <w:szCs w:val="20"/>
        </w:rPr>
        <w:t>k</w:t>
      </w:r>
    </w:p>
    <w:p w14:paraId="7D6B439F" w14:textId="77777777" w:rsidR="00000000" w:rsidRDefault="00195E73">
      <w:pPr>
        <w:divId w:val="1834640195"/>
        <w:rPr>
          <w:rFonts w:eastAsia="Times New Roman"/>
        </w:rPr>
      </w:pPr>
      <w:r>
        <w:rPr>
          <w:rFonts w:eastAsia="Times New Roman"/>
          <w:color w:val="000000"/>
          <w:sz w:val="20"/>
          <w:szCs w:val="20"/>
        </w:rPr>
        <w:t>February 28, 2020</w:t>
      </w:r>
      <w:r>
        <w:rPr>
          <w:rFonts w:eastAsia="Times New Roman"/>
          <w:color w:val="000000"/>
          <w:sz w:val="20"/>
          <w:szCs w:val="20"/>
        </w:rPr>
        <w:t xml:space="preserve"> </w:t>
      </w:r>
    </w:p>
    <w:p w14:paraId="170E2965" w14:textId="77777777" w:rsidR="00000000" w:rsidRDefault="00195E73">
      <w:pPr>
        <w:divId w:val="685593541"/>
        <w:rPr>
          <w:rFonts w:eastAsia="Times New Roman"/>
        </w:rPr>
      </w:pPr>
    </w:p>
    <w:p w14:paraId="1556BA45" w14:textId="77777777" w:rsidR="00000000" w:rsidRDefault="00195E73">
      <w:pPr>
        <w:ind w:firstLine="585"/>
        <w:jc w:val="center"/>
        <w:divId w:val="1317613727"/>
        <w:rPr>
          <w:rFonts w:eastAsia="Times New Roman"/>
        </w:rPr>
      </w:pPr>
    </w:p>
    <w:p w14:paraId="3B34B3D8" w14:textId="77777777" w:rsidR="00000000" w:rsidRDefault="00195E73">
      <w:pPr>
        <w:jc w:val="center"/>
        <w:divId w:val="1342663127"/>
        <w:rPr>
          <w:rFonts w:eastAsia="Times New Roman"/>
        </w:rPr>
      </w:pPr>
      <w:r>
        <w:rPr>
          <w:rFonts w:eastAsia="Times New Roman"/>
          <w:color w:val="000000"/>
          <w:sz w:val="20"/>
          <w:szCs w:val="20"/>
        </w:rPr>
        <w:t>5</w:t>
      </w:r>
      <w:r>
        <w:rPr>
          <w:rFonts w:eastAsia="Times New Roman"/>
          <w:color w:val="000000"/>
          <w:sz w:val="20"/>
          <w:szCs w:val="20"/>
        </w:rPr>
        <w:t>2</w:t>
      </w:r>
    </w:p>
    <w:p w14:paraId="6FE449F2" w14:textId="77777777" w:rsidR="00000000" w:rsidRDefault="00195E73">
      <w:pPr>
        <w:rPr>
          <w:rFonts w:eastAsia="Times New Roman"/>
        </w:rPr>
      </w:pPr>
      <w:r>
        <w:rPr>
          <w:rFonts w:eastAsia="Times New Roman"/>
        </w:rPr>
        <w:pict w14:anchorId="0E50B755">
          <v:rect id="_x0000_i1078" style="width:0;height:1.5pt" o:hralign="center" o:hrstd="t" o:hr="t" fillcolor="#a0a0a0" stroked="f"/>
        </w:pict>
      </w:r>
    </w:p>
    <w:p w14:paraId="23F5B902" w14:textId="77777777" w:rsidR="00000000" w:rsidRDefault="00195E73">
      <w:pPr>
        <w:divId w:val="1441535163"/>
        <w:rPr>
          <w:rFonts w:eastAsia="Times New Roman"/>
        </w:rPr>
      </w:pPr>
    </w:p>
    <w:p w14:paraId="24C75161" w14:textId="77777777" w:rsidR="00000000" w:rsidRDefault="00195E73">
      <w:pPr>
        <w:ind w:firstLine="585"/>
        <w:jc w:val="center"/>
        <w:divId w:val="1430345819"/>
        <w:rPr>
          <w:rFonts w:eastAsia="Times New Roman"/>
        </w:rPr>
      </w:pPr>
      <w:r>
        <w:rPr>
          <w:rFonts w:eastAsia="Times New Roman"/>
          <w:b/>
          <w:bCs/>
          <w:color w:val="000000"/>
          <w:sz w:val="20"/>
          <w:szCs w:val="20"/>
        </w:rPr>
        <w:t>REPORT OF INDEPENDENT REGIST</w:t>
      </w:r>
      <w:r>
        <w:rPr>
          <w:rFonts w:eastAsia="Times New Roman"/>
          <w:b/>
          <w:bCs/>
          <w:color w:val="000000"/>
          <w:sz w:val="20"/>
          <w:szCs w:val="20"/>
        </w:rPr>
        <w:t>ERED PUBLIC ACCOUNTING FIR</w:t>
      </w:r>
      <w:r>
        <w:rPr>
          <w:rFonts w:eastAsia="Times New Roman"/>
          <w:b/>
          <w:bCs/>
          <w:color w:val="000000"/>
          <w:sz w:val="20"/>
          <w:szCs w:val="20"/>
        </w:rPr>
        <w:t>M</w:t>
      </w:r>
    </w:p>
    <w:p w14:paraId="0D89ACF0" w14:textId="77777777" w:rsidR="00000000" w:rsidRDefault="00195E73">
      <w:pPr>
        <w:divId w:val="1065952323"/>
        <w:rPr>
          <w:rFonts w:eastAsia="Times New Roman"/>
        </w:rPr>
      </w:pPr>
    </w:p>
    <w:p w14:paraId="75BC3D97" w14:textId="77777777" w:rsidR="00000000" w:rsidRDefault="00195E73">
      <w:pPr>
        <w:divId w:val="828713239"/>
        <w:rPr>
          <w:rFonts w:eastAsia="Times New Roman"/>
        </w:rPr>
      </w:pPr>
    </w:p>
    <w:p w14:paraId="5193B1DB" w14:textId="77777777" w:rsidR="00000000" w:rsidRDefault="00195E73">
      <w:pPr>
        <w:divId w:val="1587885136"/>
        <w:rPr>
          <w:rFonts w:eastAsia="Times New Roman"/>
        </w:rPr>
      </w:pPr>
      <w:r>
        <w:rPr>
          <w:rFonts w:eastAsia="Times New Roman"/>
          <w:color w:val="000000"/>
          <w:sz w:val="20"/>
          <w:szCs w:val="20"/>
        </w:rPr>
        <w:t>Board of Directors and Partner</w:t>
      </w:r>
      <w:r>
        <w:rPr>
          <w:rFonts w:eastAsia="Times New Roman"/>
          <w:color w:val="000000"/>
          <w:sz w:val="20"/>
          <w:szCs w:val="20"/>
        </w:rPr>
        <w:t>s</w:t>
      </w:r>
    </w:p>
    <w:p w14:paraId="2A1AFCE5" w14:textId="77777777" w:rsidR="00000000" w:rsidRDefault="00195E73">
      <w:pPr>
        <w:divId w:val="1901557842"/>
        <w:rPr>
          <w:rFonts w:eastAsia="Times New Roman"/>
        </w:rPr>
      </w:pPr>
      <w:r>
        <w:rPr>
          <w:rFonts w:eastAsia="Times New Roman"/>
          <w:color w:val="000000"/>
          <w:sz w:val="20"/>
          <w:szCs w:val="20"/>
        </w:rPr>
        <w:t>Icahn Enterprises Holdings L.P.</w:t>
      </w:r>
      <w:r>
        <w:rPr>
          <w:rFonts w:eastAsia="Times New Roman"/>
          <w:color w:val="000000"/>
          <w:sz w:val="20"/>
          <w:szCs w:val="20"/>
        </w:rPr>
        <w:t xml:space="preserve"> </w:t>
      </w:r>
    </w:p>
    <w:p w14:paraId="6864AAF7" w14:textId="77777777" w:rsidR="00000000" w:rsidRDefault="00195E73">
      <w:pPr>
        <w:divId w:val="174613994"/>
        <w:rPr>
          <w:rFonts w:eastAsia="Times New Roman"/>
        </w:rPr>
      </w:pPr>
    </w:p>
    <w:p w14:paraId="78FFB465" w14:textId="77777777" w:rsidR="00000000" w:rsidRDefault="00195E73">
      <w:pPr>
        <w:divId w:val="1962035212"/>
        <w:rPr>
          <w:rFonts w:eastAsia="Times New Roman"/>
        </w:rPr>
      </w:pPr>
      <w:r>
        <w:rPr>
          <w:rFonts w:ascii="Arial" w:eastAsia="Times New Roman" w:hAnsi="Arial" w:cs="Arial"/>
          <w:b/>
          <w:bCs/>
          <w:color w:val="000000"/>
          <w:sz w:val="18"/>
          <w:szCs w:val="18"/>
        </w:rPr>
        <w:t>Opinion on the financial statements</w:t>
      </w:r>
      <w:r>
        <w:rPr>
          <w:rFonts w:ascii="Arial" w:eastAsia="Times New Roman" w:hAnsi="Arial" w:cs="Arial"/>
          <w:b/>
          <w:bCs/>
          <w:color w:val="000000"/>
          <w:sz w:val="18"/>
          <w:szCs w:val="18"/>
        </w:rPr>
        <w:t xml:space="preserve"> </w:t>
      </w:r>
    </w:p>
    <w:p w14:paraId="04B891C3" w14:textId="77777777" w:rsidR="00000000" w:rsidRDefault="00195E73">
      <w:pPr>
        <w:jc w:val="both"/>
        <w:divId w:val="527766325"/>
        <w:rPr>
          <w:rFonts w:eastAsia="Times New Roman"/>
        </w:rPr>
      </w:pPr>
      <w:r>
        <w:rPr>
          <w:rFonts w:eastAsia="Times New Roman"/>
          <w:color w:val="000000"/>
          <w:sz w:val="20"/>
          <w:szCs w:val="20"/>
        </w:rPr>
        <w:t>We have audited the accompanying consolidated balance sheets of Icahn Enterprises Holdings L.P. (a Delaware limited partnership) and subsidiaries (the “Partnership”) as of December 31, 2019 and 2018, the related consolidated statements of operations, compr</w:t>
      </w:r>
      <w:r>
        <w:rPr>
          <w:rFonts w:eastAsia="Times New Roman"/>
          <w:color w:val="000000"/>
          <w:sz w:val="20"/>
          <w:szCs w:val="20"/>
        </w:rPr>
        <w:t>ehensive income, changes in equity, and cash flows for each of the three years in the period ended December 31, 2019, and the related notes and financial statement schedule included under Item 15(a) (collectively referred to as the “financial statements”).</w:t>
      </w:r>
      <w:r>
        <w:rPr>
          <w:rFonts w:eastAsia="Times New Roman"/>
          <w:color w:val="000000"/>
          <w:sz w:val="20"/>
          <w:szCs w:val="20"/>
        </w:rPr>
        <w:t xml:space="preserve"> In our opinion, the financial statements present fairly, in all material respects, the financial position of the Partnership as of December 31, 2019 and 2018, and the results of its operations and its cash flows for each of the three years in the period e</w:t>
      </w:r>
      <w:r>
        <w:rPr>
          <w:rFonts w:eastAsia="Times New Roman"/>
          <w:color w:val="000000"/>
          <w:sz w:val="20"/>
          <w:szCs w:val="20"/>
        </w:rPr>
        <w:t>nded December 31, 2019, in conformity with accounting principles generally accepted in the United States of America</w:t>
      </w:r>
      <w:r>
        <w:rPr>
          <w:rFonts w:eastAsia="Times New Roman"/>
          <w:color w:val="000000"/>
          <w:sz w:val="20"/>
          <w:szCs w:val="20"/>
        </w:rPr>
        <w:t>.</w:t>
      </w:r>
    </w:p>
    <w:p w14:paraId="37BC9E1D" w14:textId="77777777" w:rsidR="00000000" w:rsidRDefault="00195E73">
      <w:pPr>
        <w:divId w:val="1429421301"/>
        <w:rPr>
          <w:rFonts w:eastAsia="Times New Roman"/>
        </w:rPr>
      </w:pPr>
      <w:r>
        <w:rPr>
          <w:rFonts w:ascii="Arial" w:eastAsia="Times New Roman" w:hAnsi="Arial" w:cs="Arial"/>
          <w:b/>
          <w:bCs/>
          <w:color w:val="000000"/>
          <w:sz w:val="18"/>
          <w:szCs w:val="18"/>
        </w:rPr>
        <w:t>Change in accounting principl</w:t>
      </w:r>
      <w:r>
        <w:rPr>
          <w:rFonts w:ascii="Arial" w:eastAsia="Times New Roman" w:hAnsi="Arial" w:cs="Arial"/>
          <w:b/>
          <w:bCs/>
          <w:color w:val="000000"/>
          <w:sz w:val="18"/>
          <w:szCs w:val="18"/>
        </w:rPr>
        <w:t>e</w:t>
      </w:r>
    </w:p>
    <w:p w14:paraId="5A0A81D2" w14:textId="77777777" w:rsidR="00000000" w:rsidRDefault="00195E73">
      <w:pPr>
        <w:jc w:val="both"/>
        <w:divId w:val="717825202"/>
        <w:rPr>
          <w:rFonts w:eastAsia="Times New Roman"/>
        </w:rPr>
      </w:pPr>
      <w:r>
        <w:rPr>
          <w:rFonts w:eastAsia="Times New Roman"/>
          <w:color w:val="000000"/>
          <w:sz w:val="20"/>
          <w:szCs w:val="20"/>
        </w:rPr>
        <w:t>As discussed in Note 2 and Note 10 to the consolidated financial statements, the Partnership has changed its</w:t>
      </w:r>
      <w:r>
        <w:rPr>
          <w:rFonts w:eastAsia="Times New Roman"/>
          <w:color w:val="000000"/>
          <w:sz w:val="20"/>
          <w:szCs w:val="20"/>
        </w:rPr>
        <w:t xml:space="preserve"> method of accounting for leases in 2019 due to the adoption of FASB ASC 842, Leases (“ASC 842”)</w:t>
      </w:r>
      <w:r>
        <w:rPr>
          <w:rFonts w:eastAsia="Times New Roman"/>
          <w:color w:val="000000"/>
          <w:sz w:val="20"/>
          <w:szCs w:val="20"/>
        </w:rPr>
        <w:t>.</w:t>
      </w:r>
    </w:p>
    <w:p w14:paraId="60233379" w14:textId="77777777" w:rsidR="00000000" w:rsidRDefault="00195E73">
      <w:pPr>
        <w:divId w:val="1710103058"/>
        <w:rPr>
          <w:rFonts w:eastAsia="Times New Roman"/>
        </w:rPr>
      </w:pPr>
      <w:r>
        <w:rPr>
          <w:rFonts w:ascii="Arial" w:eastAsia="Times New Roman" w:hAnsi="Arial" w:cs="Arial"/>
          <w:b/>
          <w:bCs/>
          <w:color w:val="000000"/>
          <w:sz w:val="18"/>
          <w:szCs w:val="18"/>
        </w:rPr>
        <w:t>Basis for opinion</w:t>
      </w:r>
      <w:r>
        <w:rPr>
          <w:rFonts w:ascii="Arial" w:eastAsia="Times New Roman" w:hAnsi="Arial" w:cs="Arial"/>
          <w:b/>
          <w:bCs/>
          <w:color w:val="000000"/>
          <w:sz w:val="18"/>
          <w:szCs w:val="18"/>
        </w:rPr>
        <w:t xml:space="preserve"> </w:t>
      </w:r>
    </w:p>
    <w:p w14:paraId="417A8F29" w14:textId="77777777" w:rsidR="00000000" w:rsidRDefault="00195E73">
      <w:pPr>
        <w:jc w:val="both"/>
        <w:divId w:val="928660948"/>
        <w:rPr>
          <w:rFonts w:eastAsia="Times New Roman"/>
        </w:rPr>
      </w:pPr>
      <w:r>
        <w:rPr>
          <w:rFonts w:eastAsia="Times New Roman"/>
          <w:color w:val="000000"/>
          <w:sz w:val="20"/>
          <w:szCs w:val="20"/>
        </w:rPr>
        <w:t>These financial statements are the responsibility of the Partnership’</w:t>
      </w:r>
      <w:r>
        <w:rPr>
          <w:rFonts w:eastAsia="Times New Roman"/>
          <w:color w:val="000000"/>
          <w:sz w:val="20"/>
          <w:szCs w:val="20"/>
        </w:rPr>
        <w:t>s management. Our responsibility is to express an opinion on the Partnership’s financial statements based on our audits. We are a public accounting firm registered with the Public Company Accounting Oversight Board (United States) (“PCAOB”) and are require</w:t>
      </w:r>
      <w:r>
        <w:rPr>
          <w:rFonts w:eastAsia="Times New Roman"/>
          <w:color w:val="000000"/>
          <w:sz w:val="20"/>
          <w:szCs w:val="20"/>
        </w:rPr>
        <w:t>d to be independent with respect to the Partnership in accordance with the U.S. federal securities laws and the applicable rules and regulations of the Securities and Exchange Commission and the PCAOB.</w:t>
      </w:r>
      <w:r>
        <w:rPr>
          <w:rFonts w:eastAsia="Times New Roman"/>
          <w:color w:val="000000"/>
          <w:sz w:val="20"/>
          <w:szCs w:val="20"/>
        </w:rPr>
        <w:t xml:space="preserve"> </w:t>
      </w:r>
    </w:p>
    <w:p w14:paraId="15D2E872" w14:textId="77777777" w:rsidR="00000000" w:rsidRDefault="00195E73">
      <w:pPr>
        <w:jc w:val="both"/>
        <w:divId w:val="22560354"/>
        <w:rPr>
          <w:rFonts w:eastAsia="Times New Roman"/>
        </w:rPr>
      </w:pPr>
      <w:r>
        <w:rPr>
          <w:rFonts w:eastAsia="Times New Roman"/>
          <w:color w:val="000000"/>
          <w:sz w:val="20"/>
          <w:szCs w:val="20"/>
        </w:rPr>
        <w:t>We conducted our audits in accordance with the standa</w:t>
      </w:r>
      <w:r>
        <w:rPr>
          <w:rFonts w:eastAsia="Times New Roman"/>
          <w:color w:val="000000"/>
          <w:sz w:val="20"/>
          <w:szCs w:val="20"/>
        </w:rPr>
        <w:t>rds of the PCAOB. Those standards require that we plan and perform the audit to obtain reasonable assurance about whether the financial statements are free of material misstatement, whether due to error or fraud. The Partnership is not required to have, no</w:t>
      </w:r>
      <w:r>
        <w:rPr>
          <w:rFonts w:eastAsia="Times New Roman"/>
          <w:color w:val="000000"/>
          <w:sz w:val="20"/>
          <w:szCs w:val="20"/>
        </w:rPr>
        <w:t>r were we engaged to perform, an audit of its internal control over financial reporting. As part of our audits we are required to obtain an understanding of internal control over financial reporting but not for the purpose of expressing an opinion on the e</w:t>
      </w:r>
      <w:r>
        <w:rPr>
          <w:rFonts w:eastAsia="Times New Roman"/>
          <w:color w:val="000000"/>
          <w:sz w:val="20"/>
          <w:szCs w:val="20"/>
        </w:rPr>
        <w:t>ffectiveness of the Partnership’s internal control over financial reporting. Accordingly, we express no such opinion.</w:t>
      </w:r>
      <w:r>
        <w:rPr>
          <w:rFonts w:eastAsia="Times New Roman"/>
          <w:color w:val="000000"/>
          <w:sz w:val="20"/>
          <w:szCs w:val="20"/>
        </w:rPr>
        <w:t xml:space="preserve"> </w:t>
      </w:r>
    </w:p>
    <w:p w14:paraId="572C1B01" w14:textId="77777777" w:rsidR="00000000" w:rsidRDefault="00195E73">
      <w:pPr>
        <w:jc w:val="both"/>
        <w:divId w:val="1127509413"/>
        <w:rPr>
          <w:rFonts w:eastAsia="Times New Roman"/>
        </w:rPr>
      </w:pPr>
      <w:r>
        <w:rPr>
          <w:rFonts w:eastAsia="Times New Roman"/>
          <w:color w:val="000000"/>
          <w:sz w:val="20"/>
          <w:szCs w:val="20"/>
        </w:rPr>
        <w:t xml:space="preserve">Our audits included performing procedures to assess the risks of material misstatement of the financial statements, whether due to error </w:t>
      </w:r>
      <w:r>
        <w:rPr>
          <w:rFonts w:eastAsia="Times New Roman"/>
          <w:color w:val="000000"/>
          <w:sz w:val="20"/>
          <w:szCs w:val="20"/>
        </w:rPr>
        <w:t>or fraud, and performing procedures that respond to those risks. Such procedures included examining, on a test basis, evidence supporting the amounts and disclosures in the financial statements. Our audits also included evaluating the accounting principles</w:t>
      </w:r>
      <w:r>
        <w:rPr>
          <w:rFonts w:eastAsia="Times New Roman"/>
          <w:color w:val="000000"/>
          <w:sz w:val="20"/>
          <w:szCs w:val="20"/>
        </w:rPr>
        <w:t xml:space="preserve"> used and significant estimates made by management, as well as evaluating the overall presentation of the financial statements. We believe that our audits provide a reasonable basis for our opinion</w:t>
      </w:r>
      <w:r>
        <w:rPr>
          <w:rFonts w:eastAsia="Times New Roman"/>
          <w:color w:val="000000"/>
          <w:sz w:val="20"/>
          <w:szCs w:val="20"/>
        </w:rPr>
        <w:t>.</w:t>
      </w:r>
    </w:p>
    <w:p w14:paraId="5214DB0A" w14:textId="77777777" w:rsidR="00000000" w:rsidRDefault="00195E73">
      <w:pPr>
        <w:divId w:val="63576787"/>
        <w:rPr>
          <w:rFonts w:eastAsia="Times New Roman"/>
        </w:rPr>
      </w:pPr>
    </w:p>
    <w:p w14:paraId="0523FB22" w14:textId="77777777" w:rsidR="00000000" w:rsidRDefault="00195E73">
      <w:pPr>
        <w:divId w:val="470900400"/>
        <w:rPr>
          <w:rFonts w:eastAsia="Times New Roman"/>
        </w:rPr>
      </w:pPr>
      <w:r>
        <w:rPr>
          <w:rFonts w:eastAsia="Times New Roman"/>
          <w:color w:val="000000"/>
          <w:sz w:val="20"/>
          <w:szCs w:val="20"/>
        </w:rPr>
        <w:t>/s/GRANT THORNTON LL</w:t>
      </w:r>
      <w:r>
        <w:rPr>
          <w:rFonts w:eastAsia="Times New Roman"/>
          <w:color w:val="000000"/>
          <w:sz w:val="20"/>
          <w:szCs w:val="20"/>
        </w:rPr>
        <w:t>P</w:t>
      </w:r>
    </w:p>
    <w:p w14:paraId="5065FB6D" w14:textId="77777777" w:rsidR="00000000" w:rsidRDefault="00195E73">
      <w:pPr>
        <w:divId w:val="798885623"/>
        <w:rPr>
          <w:rFonts w:eastAsia="Times New Roman"/>
        </w:rPr>
      </w:pPr>
    </w:p>
    <w:p w14:paraId="736B67A6" w14:textId="77777777" w:rsidR="00000000" w:rsidRDefault="00195E73">
      <w:pPr>
        <w:jc w:val="both"/>
        <w:divId w:val="1080710109"/>
        <w:rPr>
          <w:rFonts w:eastAsia="Times New Roman"/>
        </w:rPr>
      </w:pPr>
      <w:r>
        <w:rPr>
          <w:rFonts w:eastAsia="Times New Roman"/>
          <w:color w:val="000000"/>
          <w:sz w:val="20"/>
          <w:szCs w:val="20"/>
        </w:rPr>
        <w:t>We have served as the Partnersh</w:t>
      </w:r>
      <w:r>
        <w:rPr>
          <w:rFonts w:eastAsia="Times New Roman"/>
          <w:color w:val="000000"/>
          <w:sz w:val="20"/>
          <w:szCs w:val="20"/>
        </w:rPr>
        <w:t>ip’s auditor since 2004</w:t>
      </w:r>
      <w:r>
        <w:rPr>
          <w:rFonts w:eastAsia="Times New Roman"/>
          <w:color w:val="000000"/>
          <w:sz w:val="20"/>
          <w:szCs w:val="20"/>
        </w:rPr>
        <w:t>.</w:t>
      </w:r>
    </w:p>
    <w:p w14:paraId="7A745073" w14:textId="77777777" w:rsidR="00000000" w:rsidRDefault="00195E73">
      <w:pPr>
        <w:divId w:val="1446002601"/>
        <w:rPr>
          <w:rFonts w:eastAsia="Times New Roman"/>
        </w:rPr>
      </w:pPr>
      <w:r>
        <w:rPr>
          <w:rFonts w:eastAsia="Times New Roman"/>
          <w:color w:val="000000"/>
          <w:sz w:val="20"/>
          <w:szCs w:val="20"/>
        </w:rPr>
        <w:t>New York, New Yor</w:t>
      </w:r>
      <w:r>
        <w:rPr>
          <w:rFonts w:eastAsia="Times New Roman"/>
          <w:color w:val="000000"/>
          <w:sz w:val="20"/>
          <w:szCs w:val="20"/>
        </w:rPr>
        <w:t>k</w:t>
      </w:r>
    </w:p>
    <w:p w14:paraId="5B3F4370" w14:textId="77777777" w:rsidR="00000000" w:rsidRDefault="00195E73">
      <w:pPr>
        <w:divId w:val="1193573907"/>
        <w:rPr>
          <w:rFonts w:eastAsia="Times New Roman"/>
        </w:rPr>
      </w:pPr>
      <w:r>
        <w:rPr>
          <w:rFonts w:eastAsia="Times New Roman"/>
          <w:color w:val="000000"/>
          <w:sz w:val="20"/>
          <w:szCs w:val="20"/>
        </w:rPr>
        <w:t>February 28, 2020</w:t>
      </w:r>
      <w:r>
        <w:rPr>
          <w:rFonts w:eastAsia="Times New Roman"/>
          <w:color w:val="000000"/>
          <w:sz w:val="20"/>
          <w:szCs w:val="20"/>
        </w:rPr>
        <w:t xml:space="preserve"> </w:t>
      </w:r>
    </w:p>
    <w:p w14:paraId="250AFCAD" w14:textId="77777777" w:rsidR="00000000" w:rsidRDefault="00195E73">
      <w:pPr>
        <w:divId w:val="1372150586"/>
        <w:rPr>
          <w:rFonts w:eastAsia="Times New Roman"/>
        </w:rPr>
      </w:pPr>
    </w:p>
    <w:p w14:paraId="318C3C49" w14:textId="77777777" w:rsidR="00000000" w:rsidRDefault="00195E73">
      <w:pPr>
        <w:divId w:val="1428235129"/>
        <w:rPr>
          <w:rFonts w:eastAsia="Times New Roman"/>
        </w:rPr>
      </w:pPr>
    </w:p>
    <w:p w14:paraId="6BF18247" w14:textId="77777777" w:rsidR="00000000" w:rsidRDefault="00195E73">
      <w:pPr>
        <w:divId w:val="1631324259"/>
        <w:rPr>
          <w:rFonts w:eastAsia="Times New Roman"/>
        </w:rPr>
      </w:pPr>
    </w:p>
    <w:p w14:paraId="2B1FBBC1" w14:textId="77777777" w:rsidR="00000000" w:rsidRDefault="00195E73">
      <w:pPr>
        <w:divId w:val="1395279073"/>
        <w:rPr>
          <w:rFonts w:eastAsia="Times New Roman"/>
        </w:rPr>
      </w:pPr>
    </w:p>
    <w:p w14:paraId="7B72AC8F" w14:textId="77777777" w:rsidR="00000000" w:rsidRDefault="00195E73">
      <w:pPr>
        <w:divId w:val="2118939661"/>
        <w:rPr>
          <w:rFonts w:eastAsia="Times New Roman"/>
        </w:rPr>
      </w:pPr>
    </w:p>
    <w:p w14:paraId="7952D4CB" w14:textId="77777777" w:rsidR="00000000" w:rsidRDefault="00195E73">
      <w:pPr>
        <w:divId w:val="1265915488"/>
        <w:rPr>
          <w:rFonts w:eastAsia="Times New Roman"/>
        </w:rPr>
      </w:pPr>
    </w:p>
    <w:p w14:paraId="79BA70D8" w14:textId="77777777" w:rsidR="00000000" w:rsidRDefault="00195E73">
      <w:pPr>
        <w:divId w:val="1161041793"/>
        <w:rPr>
          <w:rFonts w:eastAsia="Times New Roman"/>
        </w:rPr>
      </w:pPr>
    </w:p>
    <w:p w14:paraId="00880D7A" w14:textId="77777777" w:rsidR="00000000" w:rsidRDefault="00195E73">
      <w:pPr>
        <w:divId w:val="956914187"/>
        <w:rPr>
          <w:rFonts w:eastAsia="Times New Roman"/>
        </w:rPr>
      </w:pPr>
    </w:p>
    <w:p w14:paraId="7E79B04C" w14:textId="77777777" w:rsidR="00000000" w:rsidRDefault="00195E73">
      <w:pPr>
        <w:divId w:val="217937974"/>
        <w:rPr>
          <w:rFonts w:eastAsia="Times New Roman"/>
        </w:rPr>
      </w:pPr>
    </w:p>
    <w:p w14:paraId="1D6D4F8B" w14:textId="77777777" w:rsidR="00000000" w:rsidRDefault="00195E73">
      <w:pPr>
        <w:divId w:val="1482383662"/>
        <w:rPr>
          <w:rFonts w:eastAsia="Times New Roman"/>
        </w:rPr>
      </w:pPr>
    </w:p>
    <w:p w14:paraId="05915726" w14:textId="77777777" w:rsidR="00000000" w:rsidRDefault="00195E73">
      <w:pPr>
        <w:divId w:val="1445661130"/>
        <w:rPr>
          <w:rFonts w:eastAsia="Times New Roman"/>
        </w:rPr>
      </w:pPr>
    </w:p>
    <w:p w14:paraId="33C90381" w14:textId="77777777" w:rsidR="00000000" w:rsidRDefault="00195E73">
      <w:pPr>
        <w:divId w:val="322124726"/>
        <w:rPr>
          <w:rFonts w:eastAsia="Times New Roman"/>
        </w:rPr>
      </w:pPr>
    </w:p>
    <w:p w14:paraId="41983644" w14:textId="77777777" w:rsidR="00000000" w:rsidRDefault="00195E73">
      <w:pPr>
        <w:jc w:val="center"/>
        <w:divId w:val="1334146607"/>
        <w:rPr>
          <w:rFonts w:eastAsia="Times New Roman"/>
        </w:rPr>
      </w:pPr>
      <w:r>
        <w:rPr>
          <w:rFonts w:eastAsia="Times New Roman"/>
          <w:color w:val="000000"/>
          <w:sz w:val="20"/>
          <w:szCs w:val="20"/>
        </w:rPr>
        <w:t>5</w:t>
      </w:r>
      <w:r>
        <w:rPr>
          <w:rFonts w:eastAsia="Times New Roman"/>
          <w:color w:val="000000"/>
          <w:sz w:val="20"/>
          <w:szCs w:val="20"/>
        </w:rPr>
        <w:t>3</w:t>
      </w:r>
    </w:p>
    <w:p w14:paraId="0766B6B5" w14:textId="77777777" w:rsidR="00000000" w:rsidRDefault="00195E73">
      <w:pPr>
        <w:rPr>
          <w:rFonts w:eastAsia="Times New Roman"/>
        </w:rPr>
      </w:pPr>
      <w:r>
        <w:rPr>
          <w:rFonts w:eastAsia="Times New Roman"/>
        </w:rPr>
        <w:pict w14:anchorId="4995F28C">
          <v:rect id="_x0000_i1079" style="width:0;height:1.5pt" o:hralign="center" o:hrstd="t" o:hr="t" fillcolor="#a0a0a0" stroked="f"/>
        </w:pict>
      </w:r>
    </w:p>
    <w:p w14:paraId="0A7BF5BB" w14:textId="77777777" w:rsidR="00000000" w:rsidRDefault="00195E73">
      <w:pPr>
        <w:divId w:val="2088306033"/>
        <w:rPr>
          <w:rFonts w:eastAsia="Times New Roman"/>
        </w:rPr>
      </w:pPr>
    </w:p>
    <w:p w14:paraId="508EAE58" w14:textId="77777777" w:rsidR="00000000" w:rsidRDefault="00195E73">
      <w:pPr>
        <w:jc w:val="center"/>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0CC354A4" w14:textId="77777777" w:rsidR="00000000" w:rsidRDefault="00195E73">
      <w:pPr>
        <w:divId w:val="1861814819"/>
        <w:rPr>
          <w:rFonts w:eastAsia="Times New Roman"/>
        </w:rPr>
      </w:pPr>
    </w:p>
    <w:p w14:paraId="3C92D5EB" w14:textId="77777777" w:rsidR="00000000" w:rsidRDefault="00195E73">
      <w:pPr>
        <w:jc w:val="center"/>
        <w:rPr>
          <w:rFonts w:eastAsia="Times New Roman"/>
        </w:rPr>
      </w:pPr>
      <w:r>
        <w:rPr>
          <w:rFonts w:eastAsia="Times New Roman"/>
          <w:b/>
          <w:bCs/>
          <w:color w:val="000000"/>
          <w:sz w:val="20"/>
          <w:szCs w:val="20"/>
        </w:rPr>
        <w:t>CONSOLIDATED BALANCE SHEET</w:t>
      </w:r>
      <w:r>
        <w:rPr>
          <w:rFonts w:eastAsia="Times New Roman"/>
          <w:b/>
          <w:bCs/>
          <w:color w:val="000000"/>
          <w:sz w:val="20"/>
          <w:szCs w:val="20"/>
        </w:rPr>
        <w:t>S</w:t>
      </w:r>
    </w:p>
    <w:p w14:paraId="68257701" w14:textId="77777777" w:rsidR="00000000" w:rsidRDefault="00195E73">
      <w:pPr>
        <w:jc w:val="center"/>
        <w:rPr>
          <w:rFonts w:eastAsia="Times New Roman"/>
        </w:rPr>
      </w:pPr>
    </w:p>
    <w:p w14:paraId="00534B04" w14:textId="77777777" w:rsidR="00000000" w:rsidRDefault="00195E73">
      <w:pPr>
        <w:divId w:val="2079665476"/>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52"/>
        <w:gridCol w:w="5451"/>
        <w:gridCol w:w="52"/>
        <w:gridCol w:w="135"/>
        <w:gridCol w:w="993"/>
        <w:gridCol w:w="85"/>
        <w:gridCol w:w="36"/>
        <w:gridCol w:w="36"/>
        <w:gridCol w:w="36"/>
        <w:gridCol w:w="135"/>
        <w:gridCol w:w="969"/>
        <w:gridCol w:w="85"/>
        <w:gridCol w:w="36"/>
        <w:gridCol w:w="36"/>
        <w:gridCol w:w="36"/>
        <w:gridCol w:w="36"/>
        <w:gridCol w:w="36"/>
        <w:gridCol w:w="36"/>
      </w:tblGrid>
      <w:tr w:rsidR="00000000" w14:paraId="2F20560E" w14:textId="77777777">
        <w:trPr>
          <w:gridAfter w:val="6"/>
          <w:divId w:val="720129760"/>
          <w:jc w:val="center"/>
        </w:trPr>
        <w:tc>
          <w:tcPr>
            <w:tcW w:w="50" w:type="pct"/>
            <w:vAlign w:val="center"/>
            <w:hideMark/>
          </w:tcPr>
          <w:p w14:paraId="16719047" w14:textId="77777777" w:rsidR="00000000" w:rsidRDefault="00195E73">
            <w:pPr>
              <w:rPr>
                <w:rFonts w:eastAsia="Times New Roman"/>
              </w:rPr>
            </w:pPr>
          </w:p>
        </w:tc>
        <w:tc>
          <w:tcPr>
            <w:tcW w:w="3397" w:type="pct"/>
            <w:vAlign w:val="center"/>
            <w:hideMark/>
          </w:tcPr>
          <w:p w14:paraId="1DB8B3A3" w14:textId="77777777" w:rsidR="00000000" w:rsidRDefault="00195E73">
            <w:pPr>
              <w:rPr>
                <w:rFonts w:eastAsia="Times New Roman"/>
                <w:sz w:val="20"/>
                <w:szCs w:val="20"/>
              </w:rPr>
            </w:pPr>
          </w:p>
        </w:tc>
        <w:tc>
          <w:tcPr>
            <w:tcW w:w="50" w:type="pct"/>
            <w:vAlign w:val="center"/>
            <w:hideMark/>
          </w:tcPr>
          <w:p w14:paraId="51D02CC4" w14:textId="77777777" w:rsidR="00000000" w:rsidRDefault="00195E73">
            <w:pPr>
              <w:rPr>
                <w:rFonts w:eastAsia="Times New Roman"/>
                <w:sz w:val="20"/>
                <w:szCs w:val="20"/>
              </w:rPr>
            </w:pPr>
          </w:p>
        </w:tc>
        <w:tc>
          <w:tcPr>
            <w:tcW w:w="50" w:type="pct"/>
            <w:vAlign w:val="center"/>
            <w:hideMark/>
          </w:tcPr>
          <w:p w14:paraId="3A52423B" w14:textId="77777777" w:rsidR="00000000" w:rsidRDefault="00195E73">
            <w:pPr>
              <w:rPr>
                <w:rFonts w:eastAsia="Times New Roman"/>
                <w:sz w:val="20"/>
                <w:szCs w:val="20"/>
              </w:rPr>
            </w:pPr>
          </w:p>
        </w:tc>
        <w:tc>
          <w:tcPr>
            <w:tcW w:w="633" w:type="pct"/>
            <w:vAlign w:val="center"/>
            <w:hideMark/>
          </w:tcPr>
          <w:p w14:paraId="00C3A1E9" w14:textId="77777777" w:rsidR="00000000" w:rsidRDefault="00195E73">
            <w:pPr>
              <w:rPr>
                <w:rFonts w:eastAsia="Times New Roman"/>
                <w:sz w:val="20"/>
                <w:szCs w:val="20"/>
              </w:rPr>
            </w:pPr>
          </w:p>
        </w:tc>
        <w:tc>
          <w:tcPr>
            <w:tcW w:w="50" w:type="pct"/>
            <w:vAlign w:val="center"/>
            <w:hideMark/>
          </w:tcPr>
          <w:p w14:paraId="6C271E44" w14:textId="77777777" w:rsidR="00000000" w:rsidRDefault="00195E73">
            <w:pPr>
              <w:rPr>
                <w:rFonts w:eastAsia="Times New Roman"/>
                <w:sz w:val="20"/>
                <w:szCs w:val="20"/>
              </w:rPr>
            </w:pPr>
          </w:p>
        </w:tc>
        <w:tc>
          <w:tcPr>
            <w:tcW w:w="5" w:type="pct"/>
            <w:vAlign w:val="center"/>
            <w:hideMark/>
          </w:tcPr>
          <w:p w14:paraId="33C10081" w14:textId="77777777" w:rsidR="00000000" w:rsidRDefault="00195E73">
            <w:pPr>
              <w:rPr>
                <w:rFonts w:eastAsia="Times New Roman"/>
                <w:sz w:val="20"/>
                <w:szCs w:val="20"/>
              </w:rPr>
            </w:pPr>
          </w:p>
        </w:tc>
        <w:tc>
          <w:tcPr>
            <w:tcW w:w="26" w:type="pct"/>
            <w:vAlign w:val="center"/>
            <w:hideMark/>
          </w:tcPr>
          <w:p w14:paraId="0E3D262A" w14:textId="77777777" w:rsidR="00000000" w:rsidRDefault="00195E73">
            <w:pPr>
              <w:rPr>
                <w:rFonts w:eastAsia="Times New Roman"/>
                <w:sz w:val="20"/>
                <w:szCs w:val="20"/>
              </w:rPr>
            </w:pPr>
          </w:p>
        </w:tc>
        <w:tc>
          <w:tcPr>
            <w:tcW w:w="5" w:type="pct"/>
            <w:vAlign w:val="center"/>
            <w:hideMark/>
          </w:tcPr>
          <w:p w14:paraId="5AEDCFCE" w14:textId="77777777" w:rsidR="00000000" w:rsidRDefault="00195E73">
            <w:pPr>
              <w:rPr>
                <w:rFonts w:eastAsia="Times New Roman"/>
                <w:sz w:val="20"/>
                <w:szCs w:val="20"/>
              </w:rPr>
            </w:pPr>
          </w:p>
        </w:tc>
        <w:tc>
          <w:tcPr>
            <w:tcW w:w="50" w:type="pct"/>
            <w:vAlign w:val="center"/>
            <w:hideMark/>
          </w:tcPr>
          <w:p w14:paraId="7049F4AA" w14:textId="77777777" w:rsidR="00000000" w:rsidRDefault="00195E73">
            <w:pPr>
              <w:rPr>
                <w:rFonts w:eastAsia="Times New Roman"/>
                <w:sz w:val="20"/>
                <w:szCs w:val="20"/>
              </w:rPr>
            </w:pPr>
          </w:p>
        </w:tc>
        <w:tc>
          <w:tcPr>
            <w:tcW w:w="633" w:type="pct"/>
            <w:vAlign w:val="center"/>
            <w:hideMark/>
          </w:tcPr>
          <w:p w14:paraId="603C0E00" w14:textId="77777777" w:rsidR="00000000" w:rsidRDefault="00195E73">
            <w:pPr>
              <w:rPr>
                <w:rFonts w:eastAsia="Times New Roman"/>
                <w:sz w:val="20"/>
                <w:szCs w:val="20"/>
              </w:rPr>
            </w:pPr>
          </w:p>
        </w:tc>
        <w:tc>
          <w:tcPr>
            <w:tcW w:w="50" w:type="pct"/>
            <w:vAlign w:val="center"/>
            <w:hideMark/>
          </w:tcPr>
          <w:p w14:paraId="7AF1F3BB" w14:textId="77777777" w:rsidR="00000000" w:rsidRDefault="00195E73">
            <w:pPr>
              <w:rPr>
                <w:rFonts w:eastAsia="Times New Roman"/>
                <w:sz w:val="20"/>
                <w:szCs w:val="20"/>
              </w:rPr>
            </w:pPr>
          </w:p>
        </w:tc>
      </w:tr>
      <w:tr w:rsidR="00000000" w14:paraId="3C7DDB03" w14:textId="77777777">
        <w:trPr>
          <w:divId w:val="720129760"/>
          <w:jc w:val="center"/>
        </w:trPr>
        <w:tc>
          <w:tcPr>
            <w:tcW w:w="0" w:type="auto"/>
            <w:gridSpan w:val="3"/>
            <w:tcMar>
              <w:top w:w="15" w:type="dxa"/>
              <w:left w:w="20" w:type="dxa"/>
              <w:bottom w:w="15" w:type="dxa"/>
              <w:right w:w="20" w:type="dxa"/>
            </w:tcMar>
            <w:vAlign w:val="bottom"/>
            <w:hideMark/>
          </w:tcPr>
          <w:p w14:paraId="06921A27"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2E01ED16"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1AF13132" w14:textId="77777777" w:rsidR="00000000" w:rsidRDefault="00195E73">
            <w:pPr>
              <w:jc w:val="center"/>
              <w:rPr>
                <w:rFonts w:eastAsia="Times New Roman"/>
              </w:rPr>
            </w:pPr>
          </w:p>
        </w:tc>
        <w:tc>
          <w:tcPr>
            <w:tcW w:w="0" w:type="auto"/>
            <w:gridSpan w:val="3"/>
            <w:vAlign w:val="center"/>
            <w:hideMark/>
          </w:tcPr>
          <w:p w14:paraId="31F91A97" w14:textId="77777777" w:rsidR="00000000" w:rsidRDefault="00195E73">
            <w:pPr>
              <w:rPr>
                <w:rFonts w:eastAsia="Times New Roman"/>
                <w:sz w:val="20"/>
                <w:szCs w:val="20"/>
              </w:rPr>
            </w:pPr>
          </w:p>
        </w:tc>
      </w:tr>
      <w:tr w:rsidR="00000000" w14:paraId="1AF62834" w14:textId="77777777">
        <w:trPr>
          <w:divId w:val="720129760"/>
          <w:jc w:val="center"/>
        </w:trPr>
        <w:tc>
          <w:tcPr>
            <w:tcW w:w="0" w:type="auto"/>
            <w:gridSpan w:val="3"/>
            <w:tcMar>
              <w:top w:w="15" w:type="dxa"/>
              <w:left w:w="20" w:type="dxa"/>
              <w:bottom w:w="15" w:type="dxa"/>
              <w:right w:w="20" w:type="dxa"/>
            </w:tcMar>
            <w:vAlign w:val="bottom"/>
            <w:hideMark/>
          </w:tcPr>
          <w:p w14:paraId="4347D8DB"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6573070"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49E9FB39"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0579EF0"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2C791FE0" w14:textId="77777777" w:rsidR="00000000" w:rsidRDefault="00195E73">
            <w:pPr>
              <w:rPr>
                <w:rFonts w:eastAsia="Times New Roman"/>
                <w:sz w:val="20"/>
                <w:szCs w:val="20"/>
              </w:rPr>
            </w:pPr>
          </w:p>
        </w:tc>
        <w:tc>
          <w:tcPr>
            <w:tcW w:w="0" w:type="auto"/>
            <w:vAlign w:val="center"/>
            <w:hideMark/>
          </w:tcPr>
          <w:p w14:paraId="3DC8A12D" w14:textId="77777777" w:rsidR="00000000" w:rsidRDefault="00195E73">
            <w:pPr>
              <w:rPr>
                <w:rFonts w:eastAsia="Times New Roman"/>
                <w:sz w:val="20"/>
                <w:szCs w:val="20"/>
              </w:rPr>
            </w:pPr>
          </w:p>
        </w:tc>
        <w:tc>
          <w:tcPr>
            <w:tcW w:w="0" w:type="auto"/>
            <w:vAlign w:val="center"/>
            <w:hideMark/>
          </w:tcPr>
          <w:p w14:paraId="54DC1C27" w14:textId="77777777" w:rsidR="00000000" w:rsidRDefault="00195E73">
            <w:pPr>
              <w:rPr>
                <w:rFonts w:eastAsia="Times New Roman"/>
                <w:sz w:val="20"/>
                <w:szCs w:val="20"/>
              </w:rPr>
            </w:pPr>
          </w:p>
        </w:tc>
        <w:tc>
          <w:tcPr>
            <w:tcW w:w="0" w:type="auto"/>
            <w:vAlign w:val="center"/>
            <w:hideMark/>
          </w:tcPr>
          <w:p w14:paraId="1B30F816" w14:textId="77777777" w:rsidR="00000000" w:rsidRDefault="00195E73">
            <w:pPr>
              <w:rPr>
                <w:rFonts w:eastAsia="Times New Roman"/>
                <w:sz w:val="20"/>
                <w:szCs w:val="20"/>
              </w:rPr>
            </w:pPr>
          </w:p>
        </w:tc>
        <w:tc>
          <w:tcPr>
            <w:tcW w:w="0" w:type="auto"/>
            <w:vAlign w:val="center"/>
            <w:hideMark/>
          </w:tcPr>
          <w:p w14:paraId="40AA1765" w14:textId="77777777" w:rsidR="00000000" w:rsidRDefault="00195E73">
            <w:pPr>
              <w:rPr>
                <w:rFonts w:eastAsia="Times New Roman"/>
                <w:sz w:val="20"/>
                <w:szCs w:val="20"/>
              </w:rPr>
            </w:pPr>
          </w:p>
        </w:tc>
        <w:tc>
          <w:tcPr>
            <w:tcW w:w="0" w:type="auto"/>
            <w:vAlign w:val="center"/>
            <w:hideMark/>
          </w:tcPr>
          <w:p w14:paraId="58504865" w14:textId="77777777" w:rsidR="00000000" w:rsidRDefault="00195E73">
            <w:pPr>
              <w:rPr>
                <w:rFonts w:eastAsia="Times New Roman"/>
                <w:sz w:val="20"/>
                <w:szCs w:val="20"/>
              </w:rPr>
            </w:pPr>
          </w:p>
        </w:tc>
      </w:tr>
      <w:tr w:rsidR="00000000" w14:paraId="2A9F491C" w14:textId="77777777">
        <w:trPr>
          <w:divId w:val="720129760"/>
          <w:jc w:val="center"/>
        </w:trPr>
        <w:tc>
          <w:tcPr>
            <w:tcW w:w="0" w:type="auto"/>
            <w:gridSpan w:val="3"/>
            <w:tcMar>
              <w:top w:w="30" w:type="dxa"/>
              <w:left w:w="20" w:type="dxa"/>
              <w:bottom w:w="30" w:type="dxa"/>
              <w:right w:w="20" w:type="dxa"/>
            </w:tcMar>
            <w:vAlign w:val="bottom"/>
            <w:hideMark/>
          </w:tcPr>
          <w:p w14:paraId="707120BD" w14:textId="77777777" w:rsidR="00000000" w:rsidRDefault="00195E73">
            <w:pPr>
              <w:jc w:val="cente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9"/>
            <w:tcBorders>
              <w:top w:val="single" w:sz="8" w:space="0" w:color="000000"/>
            </w:tcBorders>
            <w:tcMar>
              <w:top w:w="30" w:type="dxa"/>
              <w:left w:w="20" w:type="dxa"/>
              <w:bottom w:w="30" w:type="dxa"/>
              <w:right w:w="20" w:type="dxa"/>
            </w:tcMar>
            <w:vAlign w:val="bottom"/>
            <w:hideMark/>
          </w:tcPr>
          <w:p w14:paraId="3F01E84C" w14:textId="77777777" w:rsidR="00000000" w:rsidRDefault="00195E73">
            <w:pPr>
              <w:jc w:val="center"/>
              <w:rPr>
                <w:rFonts w:eastAsia="Times New Roman"/>
              </w:rPr>
            </w:pPr>
            <w:r>
              <w:rPr>
                <w:rFonts w:eastAsia="Times New Roman"/>
                <w:color w:val="000000"/>
                <w:sz w:val="16"/>
                <w:szCs w:val="16"/>
              </w:rPr>
              <w:t>(In millions, except unit amounts</w:t>
            </w:r>
            <w:r>
              <w:rPr>
                <w:rFonts w:eastAsia="Times New Roman"/>
                <w:color w:val="000000"/>
                <w:sz w:val="16"/>
                <w:szCs w:val="16"/>
              </w:rPr>
              <w:t>)</w:t>
            </w:r>
          </w:p>
        </w:tc>
        <w:tc>
          <w:tcPr>
            <w:tcW w:w="0" w:type="auto"/>
            <w:gridSpan w:val="3"/>
            <w:vAlign w:val="center"/>
            <w:hideMark/>
          </w:tcPr>
          <w:p w14:paraId="47398C57" w14:textId="77777777" w:rsidR="00000000" w:rsidRDefault="00195E73">
            <w:pPr>
              <w:jc w:val="center"/>
              <w:rPr>
                <w:rFonts w:eastAsia="Times New Roman"/>
              </w:rPr>
            </w:pPr>
          </w:p>
        </w:tc>
        <w:tc>
          <w:tcPr>
            <w:tcW w:w="0" w:type="auto"/>
            <w:gridSpan w:val="3"/>
            <w:vAlign w:val="center"/>
            <w:hideMark/>
          </w:tcPr>
          <w:p w14:paraId="05C9D28E" w14:textId="77777777" w:rsidR="00000000" w:rsidRDefault="00195E73">
            <w:pPr>
              <w:rPr>
                <w:rFonts w:eastAsia="Times New Roman"/>
                <w:sz w:val="20"/>
                <w:szCs w:val="20"/>
              </w:rPr>
            </w:pPr>
          </w:p>
        </w:tc>
      </w:tr>
      <w:tr w:rsidR="00000000" w14:paraId="77CB3026" w14:textId="77777777">
        <w:trPr>
          <w:divId w:val="720129760"/>
          <w:jc w:val="center"/>
        </w:trPr>
        <w:tc>
          <w:tcPr>
            <w:tcW w:w="0" w:type="auto"/>
            <w:gridSpan w:val="3"/>
            <w:shd w:val="clear" w:color="auto" w:fill="CCEEFF"/>
            <w:tcMar>
              <w:top w:w="30" w:type="dxa"/>
              <w:left w:w="20" w:type="dxa"/>
              <w:bottom w:w="30" w:type="dxa"/>
              <w:right w:w="20" w:type="dxa"/>
            </w:tcMar>
            <w:vAlign w:val="bottom"/>
            <w:hideMark/>
          </w:tcPr>
          <w:p w14:paraId="3BC48180" w14:textId="77777777" w:rsidR="00000000" w:rsidRDefault="00195E73">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7CA8EC87"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786FFDC" w14:textId="77777777" w:rsidR="00000000" w:rsidRDefault="00195E73">
            <w:pPr>
              <w:jc w:val="right"/>
              <w:rPr>
                <w:rFonts w:eastAsia="Times New Roman"/>
              </w:rPr>
            </w:pPr>
            <w:r>
              <w:rPr>
                <w:rFonts w:eastAsia="Times New Roman"/>
                <w:color w:val="000000"/>
                <w:sz w:val="20"/>
                <w:szCs w:val="20"/>
              </w:rPr>
              <w:t>3,794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1128ED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FFE819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1BE02C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17E4BDC" w14:textId="77777777" w:rsidR="00000000" w:rsidRDefault="00195E73">
            <w:pPr>
              <w:jc w:val="right"/>
              <w:rPr>
                <w:rFonts w:eastAsia="Times New Roman"/>
              </w:rPr>
            </w:pPr>
            <w:r>
              <w:rPr>
                <w:rFonts w:eastAsia="Times New Roman"/>
                <w:color w:val="000000"/>
                <w:sz w:val="20"/>
                <w:szCs w:val="20"/>
              </w:rPr>
              <w:t>2,656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312B8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A5F0C59" w14:textId="77777777" w:rsidR="00000000" w:rsidRDefault="00195E73">
            <w:pPr>
              <w:rPr>
                <w:rFonts w:eastAsia="Times New Roman"/>
                <w:sz w:val="20"/>
                <w:szCs w:val="20"/>
              </w:rPr>
            </w:pPr>
          </w:p>
        </w:tc>
        <w:tc>
          <w:tcPr>
            <w:tcW w:w="0" w:type="auto"/>
            <w:vAlign w:val="center"/>
            <w:hideMark/>
          </w:tcPr>
          <w:p w14:paraId="7B6957F1" w14:textId="77777777" w:rsidR="00000000" w:rsidRDefault="00195E73">
            <w:pPr>
              <w:rPr>
                <w:rFonts w:eastAsia="Times New Roman"/>
                <w:sz w:val="20"/>
                <w:szCs w:val="20"/>
              </w:rPr>
            </w:pPr>
          </w:p>
        </w:tc>
        <w:tc>
          <w:tcPr>
            <w:tcW w:w="0" w:type="auto"/>
            <w:vAlign w:val="center"/>
            <w:hideMark/>
          </w:tcPr>
          <w:p w14:paraId="135FBFCD" w14:textId="77777777" w:rsidR="00000000" w:rsidRDefault="00195E73">
            <w:pPr>
              <w:rPr>
                <w:rFonts w:eastAsia="Times New Roman"/>
                <w:sz w:val="20"/>
                <w:szCs w:val="20"/>
              </w:rPr>
            </w:pPr>
          </w:p>
        </w:tc>
        <w:tc>
          <w:tcPr>
            <w:tcW w:w="0" w:type="auto"/>
            <w:vAlign w:val="center"/>
            <w:hideMark/>
          </w:tcPr>
          <w:p w14:paraId="5B4DC9B4" w14:textId="77777777" w:rsidR="00000000" w:rsidRDefault="00195E73">
            <w:pPr>
              <w:rPr>
                <w:rFonts w:eastAsia="Times New Roman"/>
                <w:sz w:val="20"/>
                <w:szCs w:val="20"/>
              </w:rPr>
            </w:pPr>
          </w:p>
        </w:tc>
        <w:tc>
          <w:tcPr>
            <w:tcW w:w="0" w:type="auto"/>
            <w:vAlign w:val="center"/>
            <w:hideMark/>
          </w:tcPr>
          <w:p w14:paraId="523FDB00" w14:textId="77777777" w:rsidR="00000000" w:rsidRDefault="00195E73">
            <w:pPr>
              <w:rPr>
                <w:rFonts w:eastAsia="Times New Roman"/>
                <w:sz w:val="20"/>
                <w:szCs w:val="20"/>
              </w:rPr>
            </w:pPr>
          </w:p>
        </w:tc>
        <w:tc>
          <w:tcPr>
            <w:tcW w:w="0" w:type="auto"/>
            <w:vAlign w:val="center"/>
            <w:hideMark/>
          </w:tcPr>
          <w:p w14:paraId="76C17C51" w14:textId="77777777" w:rsidR="00000000" w:rsidRDefault="00195E73">
            <w:pPr>
              <w:rPr>
                <w:rFonts w:eastAsia="Times New Roman"/>
                <w:sz w:val="20"/>
                <w:szCs w:val="20"/>
              </w:rPr>
            </w:pPr>
          </w:p>
        </w:tc>
      </w:tr>
      <w:tr w:rsidR="00000000" w14:paraId="4C740FE7"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49032468" w14:textId="77777777" w:rsidR="00000000" w:rsidRDefault="00195E73">
            <w:pPr>
              <w:rPr>
                <w:rFonts w:eastAsia="Times New Roman"/>
              </w:rPr>
            </w:pPr>
            <w:r>
              <w:rPr>
                <w:rFonts w:eastAsia="Times New Roman"/>
                <w:color w:val="000000"/>
                <w:sz w:val="20"/>
                <w:szCs w:val="20"/>
              </w:rPr>
              <w:t>Cash held at consolidated affiliated partnerships and restricted cas</w:t>
            </w:r>
            <w:r>
              <w:rPr>
                <w:rFonts w:eastAsia="Times New Roman"/>
                <w:color w:val="000000"/>
                <w:sz w:val="20"/>
                <w:szCs w:val="20"/>
              </w:rPr>
              <w:t>h</w:t>
            </w:r>
          </w:p>
        </w:tc>
        <w:tc>
          <w:tcPr>
            <w:tcW w:w="0" w:type="auto"/>
            <w:gridSpan w:val="2"/>
            <w:shd w:val="clear" w:color="auto" w:fill="FFFFFF"/>
            <w:tcMar>
              <w:top w:w="30" w:type="dxa"/>
              <w:left w:w="20" w:type="dxa"/>
              <w:bottom w:w="30" w:type="dxa"/>
              <w:right w:w="0" w:type="dxa"/>
            </w:tcMar>
            <w:vAlign w:val="bottom"/>
            <w:hideMark/>
          </w:tcPr>
          <w:p w14:paraId="18987456" w14:textId="77777777" w:rsidR="00000000" w:rsidRDefault="00195E73">
            <w:pPr>
              <w:jc w:val="right"/>
              <w:rPr>
                <w:rFonts w:eastAsia="Times New Roman"/>
              </w:rPr>
            </w:pPr>
            <w:r>
              <w:rPr>
                <w:rFonts w:eastAsia="Times New Roman"/>
                <w:color w:val="000000"/>
                <w:sz w:val="20"/>
                <w:szCs w:val="20"/>
              </w:rPr>
              <w:t>1,151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B3D6D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D44E60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391C57" w14:textId="77777777" w:rsidR="00000000" w:rsidRDefault="00195E73">
            <w:pPr>
              <w:jc w:val="right"/>
              <w:rPr>
                <w:rFonts w:eastAsia="Times New Roman"/>
              </w:rPr>
            </w:pPr>
            <w:r>
              <w:rPr>
                <w:rFonts w:eastAsia="Times New Roman"/>
                <w:color w:val="000000"/>
                <w:sz w:val="20"/>
                <w:szCs w:val="20"/>
              </w:rPr>
              <w:t>2,682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5011D3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6CB424A" w14:textId="77777777" w:rsidR="00000000" w:rsidRDefault="00195E73">
            <w:pPr>
              <w:rPr>
                <w:rFonts w:eastAsia="Times New Roman"/>
                <w:sz w:val="20"/>
                <w:szCs w:val="20"/>
              </w:rPr>
            </w:pPr>
          </w:p>
        </w:tc>
        <w:tc>
          <w:tcPr>
            <w:tcW w:w="0" w:type="auto"/>
            <w:vAlign w:val="center"/>
            <w:hideMark/>
          </w:tcPr>
          <w:p w14:paraId="7EBAF369" w14:textId="77777777" w:rsidR="00000000" w:rsidRDefault="00195E73">
            <w:pPr>
              <w:rPr>
                <w:rFonts w:eastAsia="Times New Roman"/>
                <w:sz w:val="20"/>
                <w:szCs w:val="20"/>
              </w:rPr>
            </w:pPr>
          </w:p>
        </w:tc>
        <w:tc>
          <w:tcPr>
            <w:tcW w:w="0" w:type="auto"/>
            <w:vAlign w:val="center"/>
            <w:hideMark/>
          </w:tcPr>
          <w:p w14:paraId="6518FDE0" w14:textId="77777777" w:rsidR="00000000" w:rsidRDefault="00195E73">
            <w:pPr>
              <w:rPr>
                <w:rFonts w:eastAsia="Times New Roman"/>
                <w:sz w:val="20"/>
                <w:szCs w:val="20"/>
              </w:rPr>
            </w:pPr>
          </w:p>
        </w:tc>
        <w:tc>
          <w:tcPr>
            <w:tcW w:w="0" w:type="auto"/>
            <w:vAlign w:val="center"/>
            <w:hideMark/>
          </w:tcPr>
          <w:p w14:paraId="0AD06899" w14:textId="77777777" w:rsidR="00000000" w:rsidRDefault="00195E73">
            <w:pPr>
              <w:rPr>
                <w:rFonts w:eastAsia="Times New Roman"/>
                <w:sz w:val="20"/>
                <w:szCs w:val="20"/>
              </w:rPr>
            </w:pPr>
          </w:p>
        </w:tc>
        <w:tc>
          <w:tcPr>
            <w:tcW w:w="0" w:type="auto"/>
            <w:vAlign w:val="center"/>
            <w:hideMark/>
          </w:tcPr>
          <w:p w14:paraId="78497079" w14:textId="77777777" w:rsidR="00000000" w:rsidRDefault="00195E73">
            <w:pPr>
              <w:rPr>
                <w:rFonts w:eastAsia="Times New Roman"/>
                <w:sz w:val="20"/>
                <w:szCs w:val="20"/>
              </w:rPr>
            </w:pPr>
          </w:p>
        </w:tc>
        <w:tc>
          <w:tcPr>
            <w:tcW w:w="0" w:type="auto"/>
            <w:vAlign w:val="center"/>
            <w:hideMark/>
          </w:tcPr>
          <w:p w14:paraId="346CC952" w14:textId="77777777" w:rsidR="00000000" w:rsidRDefault="00195E73">
            <w:pPr>
              <w:rPr>
                <w:rFonts w:eastAsia="Times New Roman"/>
                <w:sz w:val="20"/>
                <w:szCs w:val="20"/>
              </w:rPr>
            </w:pPr>
          </w:p>
        </w:tc>
      </w:tr>
      <w:tr w:rsidR="00000000" w14:paraId="110B02E8" w14:textId="77777777">
        <w:trPr>
          <w:divId w:val="720129760"/>
          <w:jc w:val="center"/>
        </w:trPr>
        <w:tc>
          <w:tcPr>
            <w:tcW w:w="0" w:type="auto"/>
            <w:gridSpan w:val="3"/>
            <w:shd w:val="clear" w:color="auto" w:fill="CCEEFF"/>
            <w:tcMar>
              <w:top w:w="30" w:type="dxa"/>
              <w:left w:w="20" w:type="dxa"/>
              <w:bottom w:w="30" w:type="dxa"/>
              <w:right w:w="20" w:type="dxa"/>
            </w:tcMar>
            <w:vAlign w:val="bottom"/>
            <w:hideMark/>
          </w:tcPr>
          <w:p w14:paraId="1B92E4D7" w14:textId="77777777" w:rsidR="00000000" w:rsidRDefault="00195E73">
            <w:pPr>
              <w:rPr>
                <w:rFonts w:eastAsia="Times New Roman"/>
              </w:rPr>
            </w:pPr>
            <w:r>
              <w:rPr>
                <w:rFonts w:eastAsia="Times New Roman"/>
                <w:color w:val="000000"/>
                <w:sz w:val="20"/>
                <w:szCs w:val="20"/>
              </w:rPr>
              <w:t>Investment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D61D05D" w14:textId="77777777" w:rsidR="00000000" w:rsidRDefault="00195E73">
            <w:pPr>
              <w:jc w:val="right"/>
              <w:rPr>
                <w:rFonts w:eastAsia="Times New Roman"/>
              </w:rPr>
            </w:pPr>
            <w:r>
              <w:rPr>
                <w:rFonts w:eastAsia="Times New Roman"/>
                <w:color w:val="000000"/>
                <w:sz w:val="20"/>
                <w:szCs w:val="20"/>
              </w:rPr>
              <w:t>9,945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C836BD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8CCA18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5D4EAC" w14:textId="77777777" w:rsidR="00000000" w:rsidRDefault="00195E73">
            <w:pPr>
              <w:jc w:val="right"/>
              <w:rPr>
                <w:rFonts w:eastAsia="Times New Roman"/>
              </w:rPr>
            </w:pPr>
            <w:r>
              <w:rPr>
                <w:rFonts w:eastAsia="Times New Roman"/>
                <w:color w:val="000000"/>
                <w:sz w:val="20"/>
                <w:szCs w:val="20"/>
              </w:rPr>
              <w:t>8,337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F9FF0C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5E4E965" w14:textId="77777777" w:rsidR="00000000" w:rsidRDefault="00195E73">
            <w:pPr>
              <w:rPr>
                <w:rFonts w:eastAsia="Times New Roman"/>
                <w:sz w:val="20"/>
                <w:szCs w:val="20"/>
              </w:rPr>
            </w:pPr>
          </w:p>
        </w:tc>
        <w:tc>
          <w:tcPr>
            <w:tcW w:w="0" w:type="auto"/>
            <w:vAlign w:val="center"/>
            <w:hideMark/>
          </w:tcPr>
          <w:p w14:paraId="49DA9F22" w14:textId="77777777" w:rsidR="00000000" w:rsidRDefault="00195E73">
            <w:pPr>
              <w:rPr>
                <w:rFonts w:eastAsia="Times New Roman"/>
                <w:sz w:val="20"/>
                <w:szCs w:val="20"/>
              </w:rPr>
            </w:pPr>
          </w:p>
        </w:tc>
        <w:tc>
          <w:tcPr>
            <w:tcW w:w="0" w:type="auto"/>
            <w:vAlign w:val="center"/>
            <w:hideMark/>
          </w:tcPr>
          <w:p w14:paraId="6317B437" w14:textId="77777777" w:rsidR="00000000" w:rsidRDefault="00195E73">
            <w:pPr>
              <w:rPr>
                <w:rFonts w:eastAsia="Times New Roman"/>
                <w:sz w:val="20"/>
                <w:szCs w:val="20"/>
              </w:rPr>
            </w:pPr>
          </w:p>
        </w:tc>
        <w:tc>
          <w:tcPr>
            <w:tcW w:w="0" w:type="auto"/>
            <w:vAlign w:val="center"/>
            <w:hideMark/>
          </w:tcPr>
          <w:p w14:paraId="1F698C28" w14:textId="77777777" w:rsidR="00000000" w:rsidRDefault="00195E73">
            <w:pPr>
              <w:rPr>
                <w:rFonts w:eastAsia="Times New Roman"/>
                <w:sz w:val="20"/>
                <w:szCs w:val="20"/>
              </w:rPr>
            </w:pPr>
          </w:p>
        </w:tc>
        <w:tc>
          <w:tcPr>
            <w:tcW w:w="0" w:type="auto"/>
            <w:vAlign w:val="center"/>
            <w:hideMark/>
          </w:tcPr>
          <w:p w14:paraId="2F329CC5" w14:textId="77777777" w:rsidR="00000000" w:rsidRDefault="00195E73">
            <w:pPr>
              <w:rPr>
                <w:rFonts w:eastAsia="Times New Roman"/>
                <w:sz w:val="20"/>
                <w:szCs w:val="20"/>
              </w:rPr>
            </w:pPr>
          </w:p>
        </w:tc>
        <w:tc>
          <w:tcPr>
            <w:tcW w:w="0" w:type="auto"/>
            <w:vAlign w:val="center"/>
            <w:hideMark/>
          </w:tcPr>
          <w:p w14:paraId="43B4FAEC" w14:textId="77777777" w:rsidR="00000000" w:rsidRDefault="00195E73">
            <w:pPr>
              <w:rPr>
                <w:rFonts w:eastAsia="Times New Roman"/>
                <w:sz w:val="20"/>
                <w:szCs w:val="20"/>
              </w:rPr>
            </w:pPr>
          </w:p>
        </w:tc>
      </w:tr>
      <w:tr w:rsidR="00000000" w14:paraId="6F6BFDC1"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6E7B4995" w14:textId="77777777" w:rsidR="00000000" w:rsidRDefault="00195E73">
            <w:pPr>
              <w:rPr>
                <w:rFonts w:eastAsia="Times New Roman"/>
              </w:rPr>
            </w:pPr>
            <w:r>
              <w:rPr>
                <w:rFonts w:eastAsia="Times New Roman"/>
                <w:color w:val="000000"/>
                <w:sz w:val="20"/>
                <w:szCs w:val="20"/>
              </w:rPr>
              <w:t>Due from broker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AC2C807" w14:textId="77777777" w:rsidR="00000000" w:rsidRDefault="00195E73">
            <w:pPr>
              <w:jc w:val="right"/>
              <w:rPr>
                <w:rFonts w:eastAsia="Times New Roman"/>
              </w:rPr>
            </w:pPr>
            <w:r>
              <w:rPr>
                <w:rFonts w:eastAsia="Times New Roman"/>
                <w:color w:val="000000"/>
                <w:sz w:val="20"/>
                <w:szCs w:val="20"/>
              </w:rPr>
              <w:t>858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D80616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12664D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F88392" w14:textId="77777777" w:rsidR="00000000" w:rsidRDefault="00195E73">
            <w:pPr>
              <w:jc w:val="right"/>
              <w:rPr>
                <w:rFonts w:eastAsia="Times New Roman"/>
              </w:rPr>
            </w:pPr>
            <w:r>
              <w:rPr>
                <w:rFonts w:eastAsia="Times New Roman"/>
                <w:color w:val="000000"/>
                <w:sz w:val="20"/>
                <w:szCs w:val="20"/>
              </w:rPr>
              <w:t>664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0DC59A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068E8F6" w14:textId="77777777" w:rsidR="00000000" w:rsidRDefault="00195E73">
            <w:pPr>
              <w:rPr>
                <w:rFonts w:eastAsia="Times New Roman"/>
                <w:sz w:val="20"/>
                <w:szCs w:val="20"/>
              </w:rPr>
            </w:pPr>
          </w:p>
        </w:tc>
        <w:tc>
          <w:tcPr>
            <w:tcW w:w="0" w:type="auto"/>
            <w:vAlign w:val="center"/>
            <w:hideMark/>
          </w:tcPr>
          <w:p w14:paraId="13BDF82A" w14:textId="77777777" w:rsidR="00000000" w:rsidRDefault="00195E73">
            <w:pPr>
              <w:rPr>
                <w:rFonts w:eastAsia="Times New Roman"/>
                <w:sz w:val="20"/>
                <w:szCs w:val="20"/>
              </w:rPr>
            </w:pPr>
          </w:p>
        </w:tc>
        <w:tc>
          <w:tcPr>
            <w:tcW w:w="0" w:type="auto"/>
            <w:vAlign w:val="center"/>
            <w:hideMark/>
          </w:tcPr>
          <w:p w14:paraId="79E63214" w14:textId="77777777" w:rsidR="00000000" w:rsidRDefault="00195E73">
            <w:pPr>
              <w:rPr>
                <w:rFonts w:eastAsia="Times New Roman"/>
                <w:sz w:val="20"/>
                <w:szCs w:val="20"/>
              </w:rPr>
            </w:pPr>
          </w:p>
        </w:tc>
        <w:tc>
          <w:tcPr>
            <w:tcW w:w="0" w:type="auto"/>
            <w:vAlign w:val="center"/>
            <w:hideMark/>
          </w:tcPr>
          <w:p w14:paraId="0F1C2CC5" w14:textId="77777777" w:rsidR="00000000" w:rsidRDefault="00195E73">
            <w:pPr>
              <w:rPr>
                <w:rFonts w:eastAsia="Times New Roman"/>
                <w:sz w:val="20"/>
                <w:szCs w:val="20"/>
              </w:rPr>
            </w:pPr>
          </w:p>
        </w:tc>
        <w:tc>
          <w:tcPr>
            <w:tcW w:w="0" w:type="auto"/>
            <w:vAlign w:val="center"/>
            <w:hideMark/>
          </w:tcPr>
          <w:p w14:paraId="46EE2CA6" w14:textId="77777777" w:rsidR="00000000" w:rsidRDefault="00195E73">
            <w:pPr>
              <w:rPr>
                <w:rFonts w:eastAsia="Times New Roman"/>
                <w:sz w:val="20"/>
                <w:szCs w:val="20"/>
              </w:rPr>
            </w:pPr>
          </w:p>
        </w:tc>
        <w:tc>
          <w:tcPr>
            <w:tcW w:w="0" w:type="auto"/>
            <w:vAlign w:val="center"/>
            <w:hideMark/>
          </w:tcPr>
          <w:p w14:paraId="3A33C727" w14:textId="77777777" w:rsidR="00000000" w:rsidRDefault="00195E73">
            <w:pPr>
              <w:rPr>
                <w:rFonts w:eastAsia="Times New Roman"/>
                <w:sz w:val="20"/>
                <w:szCs w:val="20"/>
              </w:rPr>
            </w:pPr>
          </w:p>
        </w:tc>
      </w:tr>
      <w:tr w:rsidR="00000000" w14:paraId="2B696262" w14:textId="77777777">
        <w:trPr>
          <w:divId w:val="720129760"/>
          <w:jc w:val="center"/>
        </w:trPr>
        <w:tc>
          <w:tcPr>
            <w:tcW w:w="0" w:type="auto"/>
            <w:gridSpan w:val="3"/>
            <w:shd w:val="clear" w:color="auto" w:fill="CCEEFF"/>
            <w:tcMar>
              <w:top w:w="30" w:type="dxa"/>
              <w:left w:w="20" w:type="dxa"/>
              <w:bottom w:w="30" w:type="dxa"/>
              <w:right w:w="20" w:type="dxa"/>
            </w:tcMar>
            <w:vAlign w:val="bottom"/>
            <w:hideMark/>
          </w:tcPr>
          <w:p w14:paraId="1CF2C61C" w14:textId="77777777" w:rsidR="00000000" w:rsidRDefault="00195E73">
            <w:pPr>
              <w:rPr>
                <w:rFonts w:eastAsia="Times New Roman"/>
              </w:rPr>
            </w:pPr>
            <w:r>
              <w:rPr>
                <w:rFonts w:eastAsia="Times New Roman"/>
                <w:color w:val="000000"/>
                <w:sz w:val="20"/>
                <w:szCs w:val="20"/>
              </w:rPr>
              <w:t>Accounts receivable,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28A6D05A" w14:textId="77777777" w:rsidR="00000000" w:rsidRDefault="00195E73">
            <w:pPr>
              <w:jc w:val="right"/>
              <w:rPr>
                <w:rFonts w:eastAsia="Times New Roman"/>
              </w:rPr>
            </w:pPr>
            <w:r>
              <w:rPr>
                <w:rFonts w:eastAsia="Times New Roman"/>
                <w:color w:val="000000"/>
                <w:sz w:val="20"/>
                <w:szCs w:val="20"/>
              </w:rPr>
              <w:t>475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293DEA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D2150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7D44EC" w14:textId="77777777" w:rsidR="00000000" w:rsidRDefault="00195E73">
            <w:pPr>
              <w:jc w:val="right"/>
              <w:rPr>
                <w:rFonts w:eastAsia="Times New Roman"/>
              </w:rPr>
            </w:pPr>
            <w:r>
              <w:rPr>
                <w:rFonts w:eastAsia="Times New Roman"/>
                <w:color w:val="000000"/>
                <w:sz w:val="20"/>
                <w:szCs w:val="20"/>
              </w:rPr>
              <w:t>474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3C9DEF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27C4DCE" w14:textId="77777777" w:rsidR="00000000" w:rsidRDefault="00195E73">
            <w:pPr>
              <w:rPr>
                <w:rFonts w:eastAsia="Times New Roman"/>
                <w:sz w:val="20"/>
                <w:szCs w:val="20"/>
              </w:rPr>
            </w:pPr>
          </w:p>
        </w:tc>
        <w:tc>
          <w:tcPr>
            <w:tcW w:w="0" w:type="auto"/>
            <w:vAlign w:val="center"/>
            <w:hideMark/>
          </w:tcPr>
          <w:p w14:paraId="45C18CA9" w14:textId="77777777" w:rsidR="00000000" w:rsidRDefault="00195E73">
            <w:pPr>
              <w:rPr>
                <w:rFonts w:eastAsia="Times New Roman"/>
                <w:sz w:val="20"/>
                <w:szCs w:val="20"/>
              </w:rPr>
            </w:pPr>
          </w:p>
        </w:tc>
        <w:tc>
          <w:tcPr>
            <w:tcW w:w="0" w:type="auto"/>
            <w:vAlign w:val="center"/>
            <w:hideMark/>
          </w:tcPr>
          <w:p w14:paraId="2D3E0B68" w14:textId="77777777" w:rsidR="00000000" w:rsidRDefault="00195E73">
            <w:pPr>
              <w:rPr>
                <w:rFonts w:eastAsia="Times New Roman"/>
                <w:sz w:val="20"/>
                <w:szCs w:val="20"/>
              </w:rPr>
            </w:pPr>
          </w:p>
        </w:tc>
        <w:tc>
          <w:tcPr>
            <w:tcW w:w="0" w:type="auto"/>
            <w:vAlign w:val="center"/>
            <w:hideMark/>
          </w:tcPr>
          <w:p w14:paraId="404870B8" w14:textId="77777777" w:rsidR="00000000" w:rsidRDefault="00195E73">
            <w:pPr>
              <w:rPr>
                <w:rFonts w:eastAsia="Times New Roman"/>
                <w:sz w:val="20"/>
                <w:szCs w:val="20"/>
              </w:rPr>
            </w:pPr>
          </w:p>
        </w:tc>
        <w:tc>
          <w:tcPr>
            <w:tcW w:w="0" w:type="auto"/>
            <w:vAlign w:val="center"/>
            <w:hideMark/>
          </w:tcPr>
          <w:p w14:paraId="361917D0" w14:textId="77777777" w:rsidR="00000000" w:rsidRDefault="00195E73">
            <w:pPr>
              <w:rPr>
                <w:rFonts w:eastAsia="Times New Roman"/>
                <w:sz w:val="20"/>
                <w:szCs w:val="20"/>
              </w:rPr>
            </w:pPr>
          </w:p>
        </w:tc>
        <w:tc>
          <w:tcPr>
            <w:tcW w:w="0" w:type="auto"/>
            <w:vAlign w:val="center"/>
            <w:hideMark/>
          </w:tcPr>
          <w:p w14:paraId="7BB35FA6" w14:textId="77777777" w:rsidR="00000000" w:rsidRDefault="00195E73">
            <w:pPr>
              <w:rPr>
                <w:rFonts w:eastAsia="Times New Roman"/>
                <w:sz w:val="20"/>
                <w:szCs w:val="20"/>
              </w:rPr>
            </w:pPr>
          </w:p>
        </w:tc>
      </w:tr>
      <w:tr w:rsidR="00000000" w14:paraId="578AA4F3"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04F025D8" w14:textId="77777777" w:rsidR="00000000" w:rsidRDefault="00195E73">
            <w:pPr>
              <w:rPr>
                <w:rFonts w:eastAsia="Times New Roman"/>
              </w:rPr>
            </w:pPr>
            <w:r>
              <w:rPr>
                <w:rFonts w:eastAsia="Times New Roman"/>
                <w:color w:val="000000"/>
                <w:sz w:val="20"/>
                <w:szCs w:val="20"/>
              </w:rPr>
              <w:t>Inventories,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0BE87396" w14:textId="77777777" w:rsidR="00000000" w:rsidRDefault="00195E73">
            <w:pPr>
              <w:jc w:val="right"/>
              <w:rPr>
                <w:rFonts w:eastAsia="Times New Roman"/>
              </w:rPr>
            </w:pPr>
            <w:r>
              <w:rPr>
                <w:rFonts w:eastAsia="Times New Roman"/>
                <w:color w:val="000000"/>
                <w:sz w:val="20"/>
                <w:szCs w:val="20"/>
              </w:rPr>
              <w:t>1,812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FA70A1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63B3B4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5EA0C2" w14:textId="77777777" w:rsidR="00000000" w:rsidRDefault="00195E73">
            <w:pPr>
              <w:jc w:val="right"/>
              <w:rPr>
                <w:rFonts w:eastAsia="Times New Roman"/>
              </w:rPr>
            </w:pPr>
            <w:r>
              <w:rPr>
                <w:rFonts w:eastAsia="Times New Roman"/>
                <w:color w:val="000000"/>
                <w:sz w:val="20"/>
                <w:szCs w:val="20"/>
              </w:rPr>
              <w:t>1,779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E4A1DB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C623319" w14:textId="77777777" w:rsidR="00000000" w:rsidRDefault="00195E73">
            <w:pPr>
              <w:rPr>
                <w:rFonts w:eastAsia="Times New Roman"/>
                <w:sz w:val="20"/>
                <w:szCs w:val="20"/>
              </w:rPr>
            </w:pPr>
          </w:p>
        </w:tc>
        <w:tc>
          <w:tcPr>
            <w:tcW w:w="0" w:type="auto"/>
            <w:vAlign w:val="center"/>
            <w:hideMark/>
          </w:tcPr>
          <w:p w14:paraId="7E4EFC1A" w14:textId="77777777" w:rsidR="00000000" w:rsidRDefault="00195E73">
            <w:pPr>
              <w:rPr>
                <w:rFonts w:eastAsia="Times New Roman"/>
                <w:sz w:val="20"/>
                <w:szCs w:val="20"/>
              </w:rPr>
            </w:pPr>
          </w:p>
        </w:tc>
        <w:tc>
          <w:tcPr>
            <w:tcW w:w="0" w:type="auto"/>
            <w:vAlign w:val="center"/>
            <w:hideMark/>
          </w:tcPr>
          <w:p w14:paraId="372A703A" w14:textId="77777777" w:rsidR="00000000" w:rsidRDefault="00195E73">
            <w:pPr>
              <w:rPr>
                <w:rFonts w:eastAsia="Times New Roman"/>
                <w:sz w:val="20"/>
                <w:szCs w:val="20"/>
              </w:rPr>
            </w:pPr>
          </w:p>
        </w:tc>
        <w:tc>
          <w:tcPr>
            <w:tcW w:w="0" w:type="auto"/>
            <w:vAlign w:val="center"/>
            <w:hideMark/>
          </w:tcPr>
          <w:p w14:paraId="7220216E" w14:textId="77777777" w:rsidR="00000000" w:rsidRDefault="00195E73">
            <w:pPr>
              <w:rPr>
                <w:rFonts w:eastAsia="Times New Roman"/>
                <w:sz w:val="20"/>
                <w:szCs w:val="20"/>
              </w:rPr>
            </w:pPr>
          </w:p>
        </w:tc>
        <w:tc>
          <w:tcPr>
            <w:tcW w:w="0" w:type="auto"/>
            <w:vAlign w:val="center"/>
            <w:hideMark/>
          </w:tcPr>
          <w:p w14:paraId="55AF7A49" w14:textId="77777777" w:rsidR="00000000" w:rsidRDefault="00195E73">
            <w:pPr>
              <w:rPr>
                <w:rFonts w:eastAsia="Times New Roman"/>
                <w:sz w:val="20"/>
                <w:szCs w:val="20"/>
              </w:rPr>
            </w:pPr>
          </w:p>
        </w:tc>
        <w:tc>
          <w:tcPr>
            <w:tcW w:w="0" w:type="auto"/>
            <w:vAlign w:val="center"/>
            <w:hideMark/>
          </w:tcPr>
          <w:p w14:paraId="47F33024" w14:textId="77777777" w:rsidR="00000000" w:rsidRDefault="00195E73">
            <w:pPr>
              <w:rPr>
                <w:rFonts w:eastAsia="Times New Roman"/>
                <w:sz w:val="20"/>
                <w:szCs w:val="20"/>
              </w:rPr>
            </w:pPr>
          </w:p>
        </w:tc>
      </w:tr>
      <w:tr w:rsidR="00000000" w14:paraId="5BDFD443" w14:textId="77777777">
        <w:trPr>
          <w:divId w:val="720129760"/>
          <w:jc w:val="center"/>
        </w:trPr>
        <w:tc>
          <w:tcPr>
            <w:tcW w:w="0" w:type="auto"/>
            <w:gridSpan w:val="3"/>
            <w:shd w:val="clear" w:color="auto" w:fill="CCEEFF"/>
            <w:tcMar>
              <w:top w:w="30" w:type="dxa"/>
              <w:left w:w="20" w:type="dxa"/>
              <w:bottom w:w="30" w:type="dxa"/>
              <w:right w:w="20" w:type="dxa"/>
            </w:tcMar>
            <w:vAlign w:val="bottom"/>
            <w:hideMark/>
          </w:tcPr>
          <w:p w14:paraId="7CE6F03D" w14:textId="77777777" w:rsidR="00000000" w:rsidRDefault="00195E73">
            <w:pPr>
              <w:rPr>
                <w:rFonts w:eastAsia="Times New Roman"/>
              </w:rPr>
            </w:pPr>
            <w:r>
              <w:rPr>
                <w:rFonts w:eastAsia="Times New Roman"/>
                <w:color w:val="000000"/>
                <w:sz w:val="20"/>
                <w:szCs w:val="20"/>
              </w:rPr>
              <w:t>Property, plant and equipment,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429B5EED" w14:textId="77777777" w:rsidR="00000000" w:rsidRDefault="00195E73">
            <w:pPr>
              <w:jc w:val="right"/>
              <w:rPr>
                <w:rFonts w:eastAsia="Times New Roman"/>
              </w:rPr>
            </w:pPr>
            <w:r>
              <w:rPr>
                <w:rFonts w:eastAsia="Times New Roman"/>
                <w:color w:val="000000"/>
                <w:sz w:val="20"/>
                <w:szCs w:val="20"/>
              </w:rPr>
              <w:t>4,541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D95933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3DC57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CDB602" w14:textId="77777777" w:rsidR="00000000" w:rsidRDefault="00195E73">
            <w:pPr>
              <w:jc w:val="right"/>
              <w:rPr>
                <w:rFonts w:eastAsia="Times New Roman"/>
              </w:rPr>
            </w:pPr>
            <w:r>
              <w:rPr>
                <w:rFonts w:eastAsia="Times New Roman"/>
                <w:color w:val="000000"/>
                <w:sz w:val="20"/>
                <w:szCs w:val="20"/>
              </w:rPr>
              <w:t>4,688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8CC38A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DA634E8" w14:textId="77777777" w:rsidR="00000000" w:rsidRDefault="00195E73">
            <w:pPr>
              <w:rPr>
                <w:rFonts w:eastAsia="Times New Roman"/>
                <w:sz w:val="20"/>
                <w:szCs w:val="20"/>
              </w:rPr>
            </w:pPr>
          </w:p>
        </w:tc>
        <w:tc>
          <w:tcPr>
            <w:tcW w:w="0" w:type="auto"/>
            <w:vAlign w:val="center"/>
            <w:hideMark/>
          </w:tcPr>
          <w:p w14:paraId="1C48AB1C" w14:textId="77777777" w:rsidR="00000000" w:rsidRDefault="00195E73">
            <w:pPr>
              <w:rPr>
                <w:rFonts w:eastAsia="Times New Roman"/>
                <w:sz w:val="20"/>
                <w:szCs w:val="20"/>
              </w:rPr>
            </w:pPr>
          </w:p>
        </w:tc>
        <w:tc>
          <w:tcPr>
            <w:tcW w:w="0" w:type="auto"/>
            <w:vAlign w:val="center"/>
            <w:hideMark/>
          </w:tcPr>
          <w:p w14:paraId="2AD90A58" w14:textId="77777777" w:rsidR="00000000" w:rsidRDefault="00195E73">
            <w:pPr>
              <w:rPr>
                <w:rFonts w:eastAsia="Times New Roman"/>
                <w:sz w:val="20"/>
                <w:szCs w:val="20"/>
              </w:rPr>
            </w:pPr>
          </w:p>
        </w:tc>
        <w:tc>
          <w:tcPr>
            <w:tcW w:w="0" w:type="auto"/>
            <w:vAlign w:val="center"/>
            <w:hideMark/>
          </w:tcPr>
          <w:p w14:paraId="636E9C25" w14:textId="77777777" w:rsidR="00000000" w:rsidRDefault="00195E73">
            <w:pPr>
              <w:rPr>
                <w:rFonts w:eastAsia="Times New Roman"/>
                <w:sz w:val="20"/>
                <w:szCs w:val="20"/>
              </w:rPr>
            </w:pPr>
          </w:p>
        </w:tc>
        <w:tc>
          <w:tcPr>
            <w:tcW w:w="0" w:type="auto"/>
            <w:vAlign w:val="center"/>
            <w:hideMark/>
          </w:tcPr>
          <w:p w14:paraId="256930E7" w14:textId="77777777" w:rsidR="00000000" w:rsidRDefault="00195E73">
            <w:pPr>
              <w:rPr>
                <w:rFonts w:eastAsia="Times New Roman"/>
                <w:sz w:val="20"/>
                <w:szCs w:val="20"/>
              </w:rPr>
            </w:pPr>
          </w:p>
        </w:tc>
        <w:tc>
          <w:tcPr>
            <w:tcW w:w="0" w:type="auto"/>
            <w:vAlign w:val="center"/>
            <w:hideMark/>
          </w:tcPr>
          <w:p w14:paraId="4F85D240" w14:textId="77777777" w:rsidR="00000000" w:rsidRDefault="00195E73">
            <w:pPr>
              <w:rPr>
                <w:rFonts w:eastAsia="Times New Roman"/>
                <w:sz w:val="20"/>
                <w:szCs w:val="20"/>
              </w:rPr>
            </w:pPr>
          </w:p>
        </w:tc>
      </w:tr>
      <w:tr w:rsidR="00000000" w14:paraId="0A9AD4BC"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34DF0793" w14:textId="77777777" w:rsidR="00000000" w:rsidRDefault="00195E73">
            <w:pPr>
              <w:rPr>
                <w:rFonts w:eastAsia="Times New Roman"/>
              </w:rPr>
            </w:pPr>
            <w:r>
              <w:rPr>
                <w:rFonts w:eastAsia="Times New Roman"/>
                <w:color w:val="000000"/>
                <w:sz w:val="20"/>
                <w:szCs w:val="20"/>
              </w:rPr>
              <w:t>Goodwil</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14:paraId="6B326831" w14:textId="77777777" w:rsidR="00000000" w:rsidRDefault="00195E73">
            <w:pPr>
              <w:jc w:val="right"/>
              <w:rPr>
                <w:rFonts w:eastAsia="Times New Roman"/>
              </w:rPr>
            </w:pPr>
            <w:r>
              <w:rPr>
                <w:rFonts w:eastAsia="Times New Roman"/>
                <w:color w:val="000000"/>
                <w:sz w:val="20"/>
                <w:szCs w:val="20"/>
              </w:rPr>
              <w:t>282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7D41F2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FBCF97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BADDDD" w14:textId="77777777" w:rsidR="00000000" w:rsidRDefault="00195E73">
            <w:pPr>
              <w:jc w:val="right"/>
              <w:rPr>
                <w:rFonts w:eastAsia="Times New Roman"/>
              </w:rPr>
            </w:pPr>
            <w:r>
              <w:rPr>
                <w:rFonts w:eastAsia="Times New Roman"/>
                <w:color w:val="000000"/>
                <w:sz w:val="20"/>
                <w:szCs w:val="20"/>
              </w:rPr>
              <w:t>247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EDE318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D1F5533" w14:textId="77777777" w:rsidR="00000000" w:rsidRDefault="00195E73">
            <w:pPr>
              <w:rPr>
                <w:rFonts w:eastAsia="Times New Roman"/>
                <w:sz w:val="20"/>
                <w:szCs w:val="20"/>
              </w:rPr>
            </w:pPr>
          </w:p>
        </w:tc>
        <w:tc>
          <w:tcPr>
            <w:tcW w:w="0" w:type="auto"/>
            <w:vAlign w:val="center"/>
            <w:hideMark/>
          </w:tcPr>
          <w:p w14:paraId="261445E5" w14:textId="77777777" w:rsidR="00000000" w:rsidRDefault="00195E73">
            <w:pPr>
              <w:rPr>
                <w:rFonts w:eastAsia="Times New Roman"/>
                <w:sz w:val="20"/>
                <w:szCs w:val="20"/>
              </w:rPr>
            </w:pPr>
          </w:p>
        </w:tc>
        <w:tc>
          <w:tcPr>
            <w:tcW w:w="0" w:type="auto"/>
            <w:vAlign w:val="center"/>
            <w:hideMark/>
          </w:tcPr>
          <w:p w14:paraId="72CA16CA" w14:textId="77777777" w:rsidR="00000000" w:rsidRDefault="00195E73">
            <w:pPr>
              <w:rPr>
                <w:rFonts w:eastAsia="Times New Roman"/>
                <w:sz w:val="20"/>
                <w:szCs w:val="20"/>
              </w:rPr>
            </w:pPr>
          </w:p>
        </w:tc>
        <w:tc>
          <w:tcPr>
            <w:tcW w:w="0" w:type="auto"/>
            <w:vAlign w:val="center"/>
            <w:hideMark/>
          </w:tcPr>
          <w:p w14:paraId="4DD930DA" w14:textId="77777777" w:rsidR="00000000" w:rsidRDefault="00195E73">
            <w:pPr>
              <w:rPr>
                <w:rFonts w:eastAsia="Times New Roman"/>
                <w:sz w:val="20"/>
                <w:szCs w:val="20"/>
              </w:rPr>
            </w:pPr>
          </w:p>
        </w:tc>
        <w:tc>
          <w:tcPr>
            <w:tcW w:w="0" w:type="auto"/>
            <w:vAlign w:val="center"/>
            <w:hideMark/>
          </w:tcPr>
          <w:p w14:paraId="20340393" w14:textId="77777777" w:rsidR="00000000" w:rsidRDefault="00195E73">
            <w:pPr>
              <w:rPr>
                <w:rFonts w:eastAsia="Times New Roman"/>
                <w:sz w:val="20"/>
                <w:szCs w:val="20"/>
              </w:rPr>
            </w:pPr>
          </w:p>
        </w:tc>
        <w:tc>
          <w:tcPr>
            <w:tcW w:w="0" w:type="auto"/>
            <w:vAlign w:val="center"/>
            <w:hideMark/>
          </w:tcPr>
          <w:p w14:paraId="0679D2DB" w14:textId="77777777" w:rsidR="00000000" w:rsidRDefault="00195E73">
            <w:pPr>
              <w:rPr>
                <w:rFonts w:eastAsia="Times New Roman"/>
                <w:sz w:val="20"/>
                <w:szCs w:val="20"/>
              </w:rPr>
            </w:pPr>
          </w:p>
        </w:tc>
      </w:tr>
      <w:tr w:rsidR="00000000" w14:paraId="0393F18D" w14:textId="77777777">
        <w:trPr>
          <w:divId w:val="720129760"/>
          <w:jc w:val="center"/>
        </w:trPr>
        <w:tc>
          <w:tcPr>
            <w:tcW w:w="0" w:type="auto"/>
            <w:gridSpan w:val="3"/>
            <w:shd w:val="clear" w:color="auto" w:fill="CCEEFF"/>
            <w:tcMar>
              <w:top w:w="30" w:type="dxa"/>
              <w:left w:w="20" w:type="dxa"/>
              <w:bottom w:w="30" w:type="dxa"/>
              <w:right w:w="20" w:type="dxa"/>
            </w:tcMar>
            <w:vAlign w:val="bottom"/>
            <w:hideMark/>
          </w:tcPr>
          <w:p w14:paraId="70DFD41C" w14:textId="77777777" w:rsidR="00000000" w:rsidRDefault="00195E73">
            <w:pPr>
              <w:rPr>
                <w:rFonts w:eastAsia="Times New Roman"/>
              </w:rPr>
            </w:pPr>
            <w:r>
              <w:rPr>
                <w:rFonts w:eastAsia="Times New Roman"/>
                <w:color w:val="000000"/>
                <w:sz w:val="20"/>
                <w:szCs w:val="20"/>
              </w:rPr>
              <w:t>Intangible assets,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55D92FA1" w14:textId="77777777" w:rsidR="00000000" w:rsidRDefault="00195E73">
            <w:pPr>
              <w:jc w:val="right"/>
              <w:rPr>
                <w:rFonts w:eastAsia="Times New Roman"/>
              </w:rPr>
            </w:pPr>
            <w:r>
              <w:rPr>
                <w:rFonts w:eastAsia="Times New Roman"/>
                <w:color w:val="000000"/>
                <w:sz w:val="20"/>
                <w:szCs w:val="20"/>
              </w:rPr>
              <w:t>431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8051E4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766C3F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78831E" w14:textId="77777777" w:rsidR="00000000" w:rsidRDefault="00195E73">
            <w:pPr>
              <w:jc w:val="right"/>
              <w:rPr>
                <w:rFonts w:eastAsia="Times New Roman"/>
              </w:rPr>
            </w:pPr>
            <w:r>
              <w:rPr>
                <w:rFonts w:eastAsia="Times New Roman"/>
                <w:color w:val="000000"/>
                <w:sz w:val="20"/>
                <w:szCs w:val="20"/>
              </w:rPr>
              <w:t>501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4AEC1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34F1DAB" w14:textId="77777777" w:rsidR="00000000" w:rsidRDefault="00195E73">
            <w:pPr>
              <w:rPr>
                <w:rFonts w:eastAsia="Times New Roman"/>
                <w:sz w:val="20"/>
                <w:szCs w:val="20"/>
              </w:rPr>
            </w:pPr>
          </w:p>
        </w:tc>
        <w:tc>
          <w:tcPr>
            <w:tcW w:w="0" w:type="auto"/>
            <w:vAlign w:val="center"/>
            <w:hideMark/>
          </w:tcPr>
          <w:p w14:paraId="4D320CA0" w14:textId="77777777" w:rsidR="00000000" w:rsidRDefault="00195E73">
            <w:pPr>
              <w:rPr>
                <w:rFonts w:eastAsia="Times New Roman"/>
                <w:sz w:val="20"/>
                <w:szCs w:val="20"/>
              </w:rPr>
            </w:pPr>
          </w:p>
        </w:tc>
        <w:tc>
          <w:tcPr>
            <w:tcW w:w="0" w:type="auto"/>
            <w:vAlign w:val="center"/>
            <w:hideMark/>
          </w:tcPr>
          <w:p w14:paraId="141B385C" w14:textId="77777777" w:rsidR="00000000" w:rsidRDefault="00195E73">
            <w:pPr>
              <w:rPr>
                <w:rFonts w:eastAsia="Times New Roman"/>
                <w:sz w:val="20"/>
                <w:szCs w:val="20"/>
              </w:rPr>
            </w:pPr>
          </w:p>
        </w:tc>
        <w:tc>
          <w:tcPr>
            <w:tcW w:w="0" w:type="auto"/>
            <w:vAlign w:val="center"/>
            <w:hideMark/>
          </w:tcPr>
          <w:p w14:paraId="734DD9EA" w14:textId="77777777" w:rsidR="00000000" w:rsidRDefault="00195E73">
            <w:pPr>
              <w:rPr>
                <w:rFonts w:eastAsia="Times New Roman"/>
                <w:sz w:val="20"/>
                <w:szCs w:val="20"/>
              </w:rPr>
            </w:pPr>
          </w:p>
        </w:tc>
        <w:tc>
          <w:tcPr>
            <w:tcW w:w="0" w:type="auto"/>
            <w:vAlign w:val="center"/>
            <w:hideMark/>
          </w:tcPr>
          <w:p w14:paraId="0CADE491" w14:textId="77777777" w:rsidR="00000000" w:rsidRDefault="00195E73">
            <w:pPr>
              <w:rPr>
                <w:rFonts w:eastAsia="Times New Roman"/>
                <w:sz w:val="20"/>
                <w:szCs w:val="20"/>
              </w:rPr>
            </w:pPr>
          </w:p>
        </w:tc>
        <w:tc>
          <w:tcPr>
            <w:tcW w:w="0" w:type="auto"/>
            <w:vAlign w:val="center"/>
            <w:hideMark/>
          </w:tcPr>
          <w:p w14:paraId="06263A37" w14:textId="77777777" w:rsidR="00000000" w:rsidRDefault="00195E73">
            <w:pPr>
              <w:rPr>
                <w:rFonts w:eastAsia="Times New Roman"/>
                <w:sz w:val="20"/>
                <w:szCs w:val="20"/>
              </w:rPr>
            </w:pPr>
          </w:p>
        </w:tc>
      </w:tr>
      <w:tr w:rsidR="00000000" w14:paraId="0CFAE61F"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5DA67015" w14:textId="77777777" w:rsidR="00000000" w:rsidRDefault="00195E73">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526C8DE" w14:textId="77777777" w:rsidR="00000000" w:rsidRDefault="00195E73">
            <w:pPr>
              <w:jc w:val="right"/>
              <w:rPr>
                <w:rFonts w:eastAsia="Times New Roman"/>
              </w:rPr>
            </w:pPr>
            <w:r>
              <w:rPr>
                <w:rFonts w:eastAsia="Times New Roman"/>
                <w:color w:val="000000"/>
                <w:sz w:val="20"/>
                <w:szCs w:val="20"/>
              </w:rPr>
              <w:t>1,350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BF4D46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86230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FA9DAE" w14:textId="77777777" w:rsidR="00000000" w:rsidRDefault="00195E73">
            <w:pPr>
              <w:jc w:val="right"/>
              <w:rPr>
                <w:rFonts w:eastAsia="Times New Roman"/>
              </w:rPr>
            </w:pPr>
            <w:r>
              <w:rPr>
                <w:rFonts w:eastAsia="Times New Roman"/>
                <w:color w:val="000000"/>
                <w:sz w:val="20"/>
                <w:szCs w:val="20"/>
              </w:rPr>
              <w:t>1,461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78009C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6032062" w14:textId="77777777" w:rsidR="00000000" w:rsidRDefault="00195E73">
            <w:pPr>
              <w:rPr>
                <w:rFonts w:eastAsia="Times New Roman"/>
                <w:sz w:val="20"/>
                <w:szCs w:val="20"/>
              </w:rPr>
            </w:pPr>
          </w:p>
        </w:tc>
        <w:tc>
          <w:tcPr>
            <w:tcW w:w="0" w:type="auto"/>
            <w:vAlign w:val="center"/>
            <w:hideMark/>
          </w:tcPr>
          <w:p w14:paraId="30FE1F54" w14:textId="77777777" w:rsidR="00000000" w:rsidRDefault="00195E73">
            <w:pPr>
              <w:rPr>
                <w:rFonts w:eastAsia="Times New Roman"/>
                <w:sz w:val="20"/>
                <w:szCs w:val="20"/>
              </w:rPr>
            </w:pPr>
          </w:p>
        </w:tc>
        <w:tc>
          <w:tcPr>
            <w:tcW w:w="0" w:type="auto"/>
            <w:vAlign w:val="center"/>
            <w:hideMark/>
          </w:tcPr>
          <w:p w14:paraId="2004972F" w14:textId="77777777" w:rsidR="00000000" w:rsidRDefault="00195E73">
            <w:pPr>
              <w:rPr>
                <w:rFonts w:eastAsia="Times New Roman"/>
                <w:sz w:val="20"/>
                <w:szCs w:val="20"/>
              </w:rPr>
            </w:pPr>
          </w:p>
        </w:tc>
        <w:tc>
          <w:tcPr>
            <w:tcW w:w="0" w:type="auto"/>
            <w:vAlign w:val="center"/>
            <w:hideMark/>
          </w:tcPr>
          <w:p w14:paraId="6B28AC5B" w14:textId="77777777" w:rsidR="00000000" w:rsidRDefault="00195E73">
            <w:pPr>
              <w:rPr>
                <w:rFonts w:eastAsia="Times New Roman"/>
                <w:sz w:val="20"/>
                <w:szCs w:val="20"/>
              </w:rPr>
            </w:pPr>
          </w:p>
        </w:tc>
        <w:tc>
          <w:tcPr>
            <w:tcW w:w="0" w:type="auto"/>
            <w:vAlign w:val="center"/>
            <w:hideMark/>
          </w:tcPr>
          <w:p w14:paraId="12690770" w14:textId="77777777" w:rsidR="00000000" w:rsidRDefault="00195E73">
            <w:pPr>
              <w:rPr>
                <w:rFonts w:eastAsia="Times New Roman"/>
                <w:sz w:val="20"/>
                <w:szCs w:val="20"/>
              </w:rPr>
            </w:pPr>
          </w:p>
        </w:tc>
        <w:tc>
          <w:tcPr>
            <w:tcW w:w="0" w:type="auto"/>
            <w:vAlign w:val="center"/>
            <w:hideMark/>
          </w:tcPr>
          <w:p w14:paraId="624F0836" w14:textId="77777777" w:rsidR="00000000" w:rsidRDefault="00195E73">
            <w:pPr>
              <w:rPr>
                <w:rFonts w:eastAsia="Times New Roman"/>
                <w:sz w:val="20"/>
                <w:szCs w:val="20"/>
              </w:rPr>
            </w:pPr>
          </w:p>
        </w:tc>
      </w:tr>
      <w:tr w:rsidR="00000000" w14:paraId="5E94F316" w14:textId="77777777">
        <w:trPr>
          <w:divId w:val="720129760"/>
          <w:jc w:val="center"/>
        </w:trPr>
        <w:tc>
          <w:tcPr>
            <w:tcW w:w="0" w:type="auto"/>
            <w:gridSpan w:val="3"/>
            <w:shd w:val="clear" w:color="auto" w:fill="CCEEFF"/>
            <w:tcMar>
              <w:top w:w="30" w:type="dxa"/>
              <w:left w:w="20" w:type="dxa"/>
              <w:bottom w:w="30" w:type="dxa"/>
              <w:right w:w="20" w:type="dxa"/>
            </w:tcMar>
            <w:vAlign w:val="bottom"/>
            <w:hideMark/>
          </w:tcPr>
          <w:p w14:paraId="105AF953" w14:textId="77777777" w:rsidR="00000000" w:rsidRDefault="00195E73">
            <w:pPr>
              <w:rPr>
                <w:rFonts w:eastAsia="Times New Roman"/>
              </w:rPr>
            </w:pPr>
            <w:r>
              <w:rPr>
                <w:rFonts w:eastAsia="Times New Roman"/>
                <w:b/>
                <w:bCs/>
                <w:color w:val="000000"/>
                <w:sz w:val="20"/>
                <w:szCs w:val="20"/>
              </w:rPr>
              <w:t>Total Asset</w:t>
            </w:r>
            <w:r>
              <w:rPr>
                <w:rFonts w:eastAsia="Times New Roman"/>
                <w:b/>
                <w:bCs/>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D1B924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5C6D526" w14:textId="77777777" w:rsidR="00000000" w:rsidRDefault="00195E73">
            <w:pPr>
              <w:jc w:val="right"/>
              <w:rPr>
                <w:rFonts w:eastAsia="Times New Roman"/>
              </w:rPr>
            </w:pPr>
            <w:r>
              <w:rPr>
                <w:rFonts w:eastAsia="Times New Roman"/>
                <w:color w:val="000000"/>
                <w:sz w:val="20"/>
                <w:szCs w:val="20"/>
              </w:rPr>
              <w:t>24,639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7EC179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7515D82"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77D2EC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8784702" w14:textId="77777777" w:rsidR="00000000" w:rsidRDefault="00195E73">
            <w:pPr>
              <w:jc w:val="right"/>
              <w:rPr>
                <w:rFonts w:eastAsia="Times New Roman"/>
              </w:rPr>
            </w:pPr>
            <w:r>
              <w:rPr>
                <w:rFonts w:eastAsia="Times New Roman"/>
                <w:color w:val="000000"/>
                <w:sz w:val="20"/>
                <w:szCs w:val="20"/>
              </w:rPr>
              <w:t>23,489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948F2D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E98F727" w14:textId="77777777" w:rsidR="00000000" w:rsidRDefault="00195E73">
            <w:pPr>
              <w:rPr>
                <w:rFonts w:eastAsia="Times New Roman"/>
                <w:sz w:val="20"/>
                <w:szCs w:val="20"/>
              </w:rPr>
            </w:pPr>
          </w:p>
        </w:tc>
        <w:tc>
          <w:tcPr>
            <w:tcW w:w="0" w:type="auto"/>
            <w:vAlign w:val="center"/>
            <w:hideMark/>
          </w:tcPr>
          <w:p w14:paraId="6D4E4CDC" w14:textId="77777777" w:rsidR="00000000" w:rsidRDefault="00195E73">
            <w:pPr>
              <w:rPr>
                <w:rFonts w:eastAsia="Times New Roman"/>
                <w:sz w:val="20"/>
                <w:szCs w:val="20"/>
              </w:rPr>
            </w:pPr>
          </w:p>
        </w:tc>
        <w:tc>
          <w:tcPr>
            <w:tcW w:w="0" w:type="auto"/>
            <w:vAlign w:val="center"/>
            <w:hideMark/>
          </w:tcPr>
          <w:p w14:paraId="6FE78EE0" w14:textId="77777777" w:rsidR="00000000" w:rsidRDefault="00195E73">
            <w:pPr>
              <w:rPr>
                <w:rFonts w:eastAsia="Times New Roman"/>
                <w:sz w:val="20"/>
                <w:szCs w:val="20"/>
              </w:rPr>
            </w:pPr>
          </w:p>
        </w:tc>
        <w:tc>
          <w:tcPr>
            <w:tcW w:w="0" w:type="auto"/>
            <w:vAlign w:val="center"/>
            <w:hideMark/>
          </w:tcPr>
          <w:p w14:paraId="21612A6D" w14:textId="77777777" w:rsidR="00000000" w:rsidRDefault="00195E73">
            <w:pPr>
              <w:rPr>
                <w:rFonts w:eastAsia="Times New Roman"/>
                <w:sz w:val="20"/>
                <w:szCs w:val="20"/>
              </w:rPr>
            </w:pPr>
          </w:p>
        </w:tc>
        <w:tc>
          <w:tcPr>
            <w:tcW w:w="0" w:type="auto"/>
            <w:vAlign w:val="center"/>
            <w:hideMark/>
          </w:tcPr>
          <w:p w14:paraId="27A5659A" w14:textId="77777777" w:rsidR="00000000" w:rsidRDefault="00195E73">
            <w:pPr>
              <w:rPr>
                <w:rFonts w:eastAsia="Times New Roman"/>
                <w:sz w:val="20"/>
                <w:szCs w:val="20"/>
              </w:rPr>
            </w:pPr>
          </w:p>
        </w:tc>
        <w:tc>
          <w:tcPr>
            <w:tcW w:w="0" w:type="auto"/>
            <w:vAlign w:val="center"/>
            <w:hideMark/>
          </w:tcPr>
          <w:p w14:paraId="0F377BCC" w14:textId="77777777" w:rsidR="00000000" w:rsidRDefault="00195E73">
            <w:pPr>
              <w:rPr>
                <w:rFonts w:eastAsia="Times New Roman"/>
                <w:sz w:val="20"/>
                <w:szCs w:val="20"/>
              </w:rPr>
            </w:pPr>
          </w:p>
        </w:tc>
      </w:tr>
      <w:tr w:rsidR="00000000" w14:paraId="76C5BDAB"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133E72C1" w14:textId="77777777" w:rsidR="00000000" w:rsidRDefault="00195E73">
            <w:pPr>
              <w:jc w:val="center"/>
              <w:rPr>
                <w:rFonts w:eastAsia="Times New Roman"/>
              </w:rPr>
            </w:pPr>
            <w:r>
              <w:rPr>
                <w:rFonts w:eastAsia="Times New Roman"/>
                <w:b/>
                <w:bCs/>
                <w:color w:val="000000"/>
                <w:sz w:val="20"/>
                <w:szCs w:val="20"/>
              </w:rPr>
              <w:t>LIABILITIES AND EQUIT</w:t>
            </w:r>
            <w:r>
              <w:rPr>
                <w:rFonts w:eastAsia="Times New Roman"/>
                <w:b/>
                <w:bCs/>
                <w:color w:val="000000"/>
                <w:sz w:val="20"/>
                <w:szCs w:val="20"/>
              </w:rPr>
              <w:t>Y</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5DC50ED5" w14:textId="77777777" w:rsidR="00000000" w:rsidRDefault="00195E73">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BD6EE79"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F8783C8" w14:textId="77777777" w:rsidR="00000000" w:rsidRDefault="00195E73">
            <w:pPr>
              <w:rPr>
                <w:rFonts w:eastAsia="Times New Roman"/>
                <w:sz w:val="20"/>
                <w:szCs w:val="20"/>
              </w:rPr>
            </w:pPr>
          </w:p>
        </w:tc>
        <w:tc>
          <w:tcPr>
            <w:tcW w:w="0" w:type="auto"/>
            <w:vAlign w:val="center"/>
            <w:hideMark/>
          </w:tcPr>
          <w:p w14:paraId="7CD751D1" w14:textId="77777777" w:rsidR="00000000" w:rsidRDefault="00195E73">
            <w:pPr>
              <w:rPr>
                <w:rFonts w:eastAsia="Times New Roman"/>
                <w:sz w:val="20"/>
                <w:szCs w:val="20"/>
              </w:rPr>
            </w:pPr>
          </w:p>
        </w:tc>
        <w:tc>
          <w:tcPr>
            <w:tcW w:w="0" w:type="auto"/>
            <w:vAlign w:val="center"/>
            <w:hideMark/>
          </w:tcPr>
          <w:p w14:paraId="6B6AA7AC" w14:textId="77777777" w:rsidR="00000000" w:rsidRDefault="00195E73">
            <w:pPr>
              <w:rPr>
                <w:rFonts w:eastAsia="Times New Roman"/>
                <w:sz w:val="20"/>
                <w:szCs w:val="20"/>
              </w:rPr>
            </w:pPr>
          </w:p>
        </w:tc>
        <w:tc>
          <w:tcPr>
            <w:tcW w:w="0" w:type="auto"/>
            <w:vAlign w:val="center"/>
            <w:hideMark/>
          </w:tcPr>
          <w:p w14:paraId="75AF6F49" w14:textId="77777777" w:rsidR="00000000" w:rsidRDefault="00195E73">
            <w:pPr>
              <w:rPr>
                <w:rFonts w:eastAsia="Times New Roman"/>
                <w:sz w:val="20"/>
                <w:szCs w:val="20"/>
              </w:rPr>
            </w:pPr>
          </w:p>
        </w:tc>
        <w:tc>
          <w:tcPr>
            <w:tcW w:w="0" w:type="auto"/>
            <w:vAlign w:val="center"/>
            <w:hideMark/>
          </w:tcPr>
          <w:p w14:paraId="664D42D2" w14:textId="77777777" w:rsidR="00000000" w:rsidRDefault="00195E73">
            <w:pPr>
              <w:rPr>
                <w:rFonts w:eastAsia="Times New Roman"/>
                <w:sz w:val="20"/>
                <w:szCs w:val="20"/>
              </w:rPr>
            </w:pPr>
          </w:p>
        </w:tc>
        <w:tc>
          <w:tcPr>
            <w:tcW w:w="0" w:type="auto"/>
            <w:vAlign w:val="center"/>
            <w:hideMark/>
          </w:tcPr>
          <w:p w14:paraId="3D096382" w14:textId="77777777" w:rsidR="00000000" w:rsidRDefault="00195E73">
            <w:pPr>
              <w:rPr>
                <w:rFonts w:eastAsia="Times New Roman"/>
                <w:sz w:val="20"/>
                <w:szCs w:val="20"/>
              </w:rPr>
            </w:pPr>
          </w:p>
        </w:tc>
        <w:tc>
          <w:tcPr>
            <w:tcW w:w="0" w:type="auto"/>
            <w:vAlign w:val="center"/>
            <w:hideMark/>
          </w:tcPr>
          <w:p w14:paraId="2C3B3750" w14:textId="77777777" w:rsidR="00000000" w:rsidRDefault="00195E73">
            <w:pPr>
              <w:rPr>
                <w:rFonts w:eastAsia="Times New Roman"/>
                <w:sz w:val="20"/>
                <w:szCs w:val="20"/>
              </w:rPr>
            </w:pPr>
          </w:p>
        </w:tc>
      </w:tr>
      <w:tr w:rsidR="00000000" w14:paraId="25C10A29" w14:textId="77777777">
        <w:trPr>
          <w:divId w:val="720129760"/>
          <w:jc w:val="center"/>
        </w:trPr>
        <w:tc>
          <w:tcPr>
            <w:tcW w:w="0" w:type="auto"/>
            <w:gridSpan w:val="3"/>
            <w:shd w:val="clear" w:color="auto" w:fill="CCEEFF"/>
            <w:tcMar>
              <w:top w:w="30" w:type="dxa"/>
              <w:left w:w="20" w:type="dxa"/>
              <w:bottom w:w="30" w:type="dxa"/>
              <w:right w:w="20" w:type="dxa"/>
            </w:tcMar>
            <w:vAlign w:val="bottom"/>
            <w:hideMark/>
          </w:tcPr>
          <w:p w14:paraId="1B0A3F83" w14:textId="77777777" w:rsidR="00000000" w:rsidRDefault="00195E73">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14:paraId="733337C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EEF365E" w14:textId="77777777" w:rsidR="00000000" w:rsidRDefault="00195E73">
            <w:pPr>
              <w:jc w:val="right"/>
              <w:rPr>
                <w:rFonts w:eastAsia="Times New Roman"/>
              </w:rPr>
            </w:pPr>
            <w:r>
              <w:rPr>
                <w:rFonts w:eastAsia="Times New Roman"/>
                <w:color w:val="000000"/>
                <w:sz w:val="20"/>
                <w:szCs w:val="20"/>
              </w:rPr>
              <w:t>945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A0577D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ED21AD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D5D61E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280ED85" w14:textId="77777777" w:rsidR="00000000" w:rsidRDefault="00195E73">
            <w:pPr>
              <w:jc w:val="right"/>
              <w:rPr>
                <w:rFonts w:eastAsia="Times New Roman"/>
              </w:rPr>
            </w:pPr>
            <w:r>
              <w:rPr>
                <w:rFonts w:eastAsia="Times New Roman"/>
                <w:color w:val="000000"/>
                <w:sz w:val="20"/>
                <w:szCs w:val="20"/>
              </w:rPr>
              <w:t>832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725000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17ED7FF" w14:textId="77777777" w:rsidR="00000000" w:rsidRDefault="00195E73">
            <w:pPr>
              <w:rPr>
                <w:rFonts w:eastAsia="Times New Roman"/>
                <w:sz w:val="20"/>
                <w:szCs w:val="20"/>
              </w:rPr>
            </w:pPr>
          </w:p>
        </w:tc>
        <w:tc>
          <w:tcPr>
            <w:tcW w:w="0" w:type="auto"/>
            <w:vAlign w:val="center"/>
            <w:hideMark/>
          </w:tcPr>
          <w:p w14:paraId="3A31281B" w14:textId="77777777" w:rsidR="00000000" w:rsidRDefault="00195E73">
            <w:pPr>
              <w:rPr>
                <w:rFonts w:eastAsia="Times New Roman"/>
                <w:sz w:val="20"/>
                <w:szCs w:val="20"/>
              </w:rPr>
            </w:pPr>
          </w:p>
        </w:tc>
        <w:tc>
          <w:tcPr>
            <w:tcW w:w="0" w:type="auto"/>
            <w:vAlign w:val="center"/>
            <w:hideMark/>
          </w:tcPr>
          <w:p w14:paraId="0ADC5ED1" w14:textId="77777777" w:rsidR="00000000" w:rsidRDefault="00195E73">
            <w:pPr>
              <w:rPr>
                <w:rFonts w:eastAsia="Times New Roman"/>
                <w:sz w:val="20"/>
                <w:szCs w:val="20"/>
              </w:rPr>
            </w:pPr>
          </w:p>
        </w:tc>
        <w:tc>
          <w:tcPr>
            <w:tcW w:w="0" w:type="auto"/>
            <w:vAlign w:val="center"/>
            <w:hideMark/>
          </w:tcPr>
          <w:p w14:paraId="432E2495" w14:textId="77777777" w:rsidR="00000000" w:rsidRDefault="00195E73">
            <w:pPr>
              <w:rPr>
                <w:rFonts w:eastAsia="Times New Roman"/>
                <w:sz w:val="20"/>
                <w:szCs w:val="20"/>
              </w:rPr>
            </w:pPr>
          </w:p>
        </w:tc>
        <w:tc>
          <w:tcPr>
            <w:tcW w:w="0" w:type="auto"/>
            <w:vAlign w:val="center"/>
            <w:hideMark/>
          </w:tcPr>
          <w:p w14:paraId="5C3E4BDB" w14:textId="77777777" w:rsidR="00000000" w:rsidRDefault="00195E73">
            <w:pPr>
              <w:rPr>
                <w:rFonts w:eastAsia="Times New Roman"/>
                <w:sz w:val="20"/>
                <w:szCs w:val="20"/>
              </w:rPr>
            </w:pPr>
          </w:p>
        </w:tc>
        <w:tc>
          <w:tcPr>
            <w:tcW w:w="0" w:type="auto"/>
            <w:vAlign w:val="center"/>
            <w:hideMark/>
          </w:tcPr>
          <w:p w14:paraId="5CF107B1" w14:textId="77777777" w:rsidR="00000000" w:rsidRDefault="00195E73">
            <w:pPr>
              <w:rPr>
                <w:rFonts w:eastAsia="Times New Roman"/>
                <w:sz w:val="20"/>
                <w:szCs w:val="20"/>
              </w:rPr>
            </w:pPr>
          </w:p>
        </w:tc>
      </w:tr>
      <w:tr w:rsidR="00000000" w14:paraId="66E690DD"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79AFA035" w14:textId="77777777" w:rsidR="00000000" w:rsidRDefault="00195E73">
            <w:pPr>
              <w:rPr>
                <w:rFonts w:eastAsia="Times New Roman"/>
              </w:rPr>
            </w:pPr>
            <w:r>
              <w:rPr>
                <w:rFonts w:eastAsia="Times New Roman"/>
                <w:color w:val="000000"/>
                <w:sz w:val="20"/>
                <w:szCs w:val="20"/>
              </w:rPr>
              <w:t>Accrued expenses and other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1A1FEDF" w14:textId="77777777" w:rsidR="00000000" w:rsidRDefault="00195E73">
            <w:pPr>
              <w:jc w:val="right"/>
              <w:rPr>
                <w:rFonts w:eastAsia="Times New Roman"/>
              </w:rPr>
            </w:pPr>
            <w:r>
              <w:rPr>
                <w:rFonts w:eastAsia="Times New Roman"/>
                <w:color w:val="000000"/>
                <w:sz w:val="20"/>
                <w:szCs w:val="20"/>
              </w:rPr>
              <w:t>1,453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EBBA75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00EEDB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C2B27D" w14:textId="77777777" w:rsidR="00000000" w:rsidRDefault="00195E73">
            <w:pPr>
              <w:jc w:val="right"/>
              <w:rPr>
                <w:rFonts w:eastAsia="Times New Roman"/>
              </w:rPr>
            </w:pPr>
            <w:r>
              <w:rPr>
                <w:rFonts w:eastAsia="Times New Roman"/>
                <w:color w:val="000000"/>
                <w:sz w:val="20"/>
                <w:szCs w:val="20"/>
              </w:rPr>
              <w:t>1,012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464EE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B4E10E5" w14:textId="77777777" w:rsidR="00000000" w:rsidRDefault="00195E73">
            <w:pPr>
              <w:rPr>
                <w:rFonts w:eastAsia="Times New Roman"/>
                <w:sz w:val="20"/>
                <w:szCs w:val="20"/>
              </w:rPr>
            </w:pPr>
          </w:p>
        </w:tc>
        <w:tc>
          <w:tcPr>
            <w:tcW w:w="0" w:type="auto"/>
            <w:vAlign w:val="center"/>
            <w:hideMark/>
          </w:tcPr>
          <w:p w14:paraId="3CEAE946" w14:textId="77777777" w:rsidR="00000000" w:rsidRDefault="00195E73">
            <w:pPr>
              <w:rPr>
                <w:rFonts w:eastAsia="Times New Roman"/>
                <w:sz w:val="20"/>
                <w:szCs w:val="20"/>
              </w:rPr>
            </w:pPr>
          </w:p>
        </w:tc>
        <w:tc>
          <w:tcPr>
            <w:tcW w:w="0" w:type="auto"/>
            <w:vAlign w:val="center"/>
            <w:hideMark/>
          </w:tcPr>
          <w:p w14:paraId="1B04093C" w14:textId="77777777" w:rsidR="00000000" w:rsidRDefault="00195E73">
            <w:pPr>
              <w:rPr>
                <w:rFonts w:eastAsia="Times New Roman"/>
                <w:sz w:val="20"/>
                <w:szCs w:val="20"/>
              </w:rPr>
            </w:pPr>
          </w:p>
        </w:tc>
        <w:tc>
          <w:tcPr>
            <w:tcW w:w="0" w:type="auto"/>
            <w:vAlign w:val="center"/>
            <w:hideMark/>
          </w:tcPr>
          <w:p w14:paraId="04E2FE5E" w14:textId="77777777" w:rsidR="00000000" w:rsidRDefault="00195E73">
            <w:pPr>
              <w:rPr>
                <w:rFonts w:eastAsia="Times New Roman"/>
                <w:sz w:val="20"/>
                <w:szCs w:val="20"/>
              </w:rPr>
            </w:pPr>
          </w:p>
        </w:tc>
        <w:tc>
          <w:tcPr>
            <w:tcW w:w="0" w:type="auto"/>
            <w:vAlign w:val="center"/>
            <w:hideMark/>
          </w:tcPr>
          <w:p w14:paraId="13451F23" w14:textId="77777777" w:rsidR="00000000" w:rsidRDefault="00195E73">
            <w:pPr>
              <w:rPr>
                <w:rFonts w:eastAsia="Times New Roman"/>
                <w:sz w:val="20"/>
                <w:szCs w:val="20"/>
              </w:rPr>
            </w:pPr>
          </w:p>
        </w:tc>
        <w:tc>
          <w:tcPr>
            <w:tcW w:w="0" w:type="auto"/>
            <w:vAlign w:val="center"/>
            <w:hideMark/>
          </w:tcPr>
          <w:p w14:paraId="5DC84406" w14:textId="77777777" w:rsidR="00000000" w:rsidRDefault="00195E73">
            <w:pPr>
              <w:rPr>
                <w:rFonts w:eastAsia="Times New Roman"/>
                <w:sz w:val="20"/>
                <w:szCs w:val="20"/>
              </w:rPr>
            </w:pPr>
          </w:p>
        </w:tc>
      </w:tr>
      <w:tr w:rsidR="00000000" w14:paraId="7826D378" w14:textId="77777777">
        <w:trPr>
          <w:divId w:val="720129760"/>
          <w:jc w:val="center"/>
        </w:trPr>
        <w:tc>
          <w:tcPr>
            <w:tcW w:w="0" w:type="auto"/>
            <w:gridSpan w:val="3"/>
            <w:shd w:val="clear" w:color="auto" w:fill="CCEEFF"/>
            <w:tcMar>
              <w:top w:w="30" w:type="dxa"/>
              <w:left w:w="20" w:type="dxa"/>
              <w:bottom w:w="30" w:type="dxa"/>
              <w:right w:w="20" w:type="dxa"/>
            </w:tcMar>
            <w:vAlign w:val="bottom"/>
            <w:hideMark/>
          </w:tcPr>
          <w:p w14:paraId="365063B3" w14:textId="77777777" w:rsidR="00000000" w:rsidRDefault="00195E73">
            <w:pPr>
              <w:rPr>
                <w:rFonts w:eastAsia="Times New Roman"/>
              </w:rPr>
            </w:pPr>
            <w:r>
              <w:rPr>
                <w:rFonts w:eastAsia="Times New Roman"/>
                <w:color w:val="000000"/>
                <w:sz w:val="20"/>
                <w:szCs w:val="20"/>
              </w:rPr>
              <w:t>Deferred tax liabilit</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450D95B4" w14:textId="77777777" w:rsidR="00000000" w:rsidRDefault="00195E73">
            <w:pPr>
              <w:jc w:val="right"/>
              <w:rPr>
                <w:rFonts w:eastAsia="Times New Roman"/>
              </w:rPr>
            </w:pPr>
            <w:r>
              <w:rPr>
                <w:rFonts w:eastAsia="Times New Roman"/>
                <w:color w:val="000000"/>
                <w:sz w:val="20"/>
                <w:szCs w:val="20"/>
              </w:rPr>
              <w:t>639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3505C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2AEED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19A89D" w14:textId="77777777" w:rsidR="00000000" w:rsidRDefault="00195E73">
            <w:pPr>
              <w:jc w:val="right"/>
              <w:rPr>
                <w:rFonts w:eastAsia="Times New Roman"/>
              </w:rPr>
            </w:pPr>
            <w:r>
              <w:rPr>
                <w:rFonts w:eastAsia="Times New Roman"/>
                <w:color w:val="000000"/>
                <w:sz w:val="20"/>
                <w:szCs w:val="20"/>
              </w:rPr>
              <w:t>694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366683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AB84C37" w14:textId="77777777" w:rsidR="00000000" w:rsidRDefault="00195E73">
            <w:pPr>
              <w:rPr>
                <w:rFonts w:eastAsia="Times New Roman"/>
                <w:sz w:val="20"/>
                <w:szCs w:val="20"/>
              </w:rPr>
            </w:pPr>
          </w:p>
        </w:tc>
        <w:tc>
          <w:tcPr>
            <w:tcW w:w="0" w:type="auto"/>
            <w:vAlign w:val="center"/>
            <w:hideMark/>
          </w:tcPr>
          <w:p w14:paraId="2B508BBC" w14:textId="77777777" w:rsidR="00000000" w:rsidRDefault="00195E73">
            <w:pPr>
              <w:rPr>
                <w:rFonts w:eastAsia="Times New Roman"/>
                <w:sz w:val="20"/>
                <w:szCs w:val="20"/>
              </w:rPr>
            </w:pPr>
          </w:p>
        </w:tc>
        <w:tc>
          <w:tcPr>
            <w:tcW w:w="0" w:type="auto"/>
            <w:vAlign w:val="center"/>
            <w:hideMark/>
          </w:tcPr>
          <w:p w14:paraId="4C0D7626" w14:textId="77777777" w:rsidR="00000000" w:rsidRDefault="00195E73">
            <w:pPr>
              <w:rPr>
                <w:rFonts w:eastAsia="Times New Roman"/>
                <w:sz w:val="20"/>
                <w:szCs w:val="20"/>
              </w:rPr>
            </w:pPr>
          </w:p>
        </w:tc>
        <w:tc>
          <w:tcPr>
            <w:tcW w:w="0" w:type="auto"/>
            <w:vAlign w:val="center"/>
            <w:hideMark/>
          </w:tcPr>
          <w:p w14:paraId="3B7A7B41" w14:textId="77777777" w:rsidR="00000000" w:rsidRDefault="00195E73">
            <w:pPr>
              <w:rPr>
                <w:rFonts w:eastAsia="Times New Roman"/>
                <w:sz w:val="20"/>
                <w:szCs w:val="20"/>
              </w:rPr>
            </w:pPr>
          </w:p>
        </w:tc>
        <w:tc>
          <w:tcPr>
            <w:tcW w:w="0" w:type="auto"/>
            <w:vAlign w:val="center"/>
            <w:hideMark/>
          </w:tcPr>
          <w:p w14:paraId="64D73238" w14:textId="77777777" w:rsidR="00000000" w:rsidRDefault="00195E73">
            <w:pPr>
              <w:rPr>
                <w:rFonts w:eastAsia="Times New Roman"/>
                <w:sz w:val="20"/>
                <w:szCs w:val="20"/>
              </w:rPr>
            </w:pPr>
          </w:p>
        </w:tc>
        <w:tc>
          <w:tcPr>
            <w:tcW w:w="0" w:type="auto"/>
            <w:vAlign w:val="center"/>
            <w:hideMark/>
          </w:tcPr>
          <w:p w14:paraId="2EAE84BB" w14:textId="77777777" w:rsidR="00000000" w:rsidRDefault="00195E73">
            <w:pPr>
              <w:rPr>
                <w:rFonts w:eastAsia="Times New Roman"/>
                <w:sz w:val="20"/>
                <w:szCs w:val="20"/>
              </w:rPr>
            </w:pPr>
          </w:p>
        </w:tc>
      </w:tr>
      <w:tr w:rsidR="00000000" w14:paraId="153400DA"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048BA51F" w14:textId="77777777" w:rsidR="00000000" w:rsidRDefault="00195E73">
            <w:pPr>
              <w:rPr>
                <w:rFonts w:eastAsia="Times New Roman"/>
              </w:rPr>
            </w:pPr>
            <w:r>
              <w:rPr>
                <w:rFonts w:eastAsia="Times New Roman"/>
                <w:color w:val="000000"/>
                <w:sz w:val="20"/>
                <w:szCs w:val="20"/>
              </w:rPr>
              <w:t>Unrealized loss on derivative contract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C4A59EB" w14:textId="77777777" w:rsidR="00000000" w:rsidRDefault="00195E73">
            <w:pPr>
              <w:jc w:val="right"/>
              <w:rPr>
                <w:rFonts w:eastAsia="Times New Roman"/>
              </w:rPr>
            </w:pPr>
            <w:r>
              <w:rPr>
                <w:rFonts w:eastAsia="Times New Roman"/>
                <w:color w:val="000000"/>
                <w:sz w:val="20"/>
                <w:szCs w:val="20"/>
              </w:rPr>
              <w:t>1,224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B688D6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50553C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6CBFD5" w14:textId="77777777" w:rsidR="00000000" w:rsidRDefault="00195E73">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08187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4A0192D" w14:textId="77777777" w:rsidR="00000000" w:rsidRDefault="00195E73">
            <w:pPr>
              <w:rPr>
                <w:rFonts w:eastAsia="Times New Roman"/>
                <w:sz w:val="20"/>
                <w:szCs w:val="20"/>
              </w:rPr>
            </w:pPr>
          </w:p>
        </w:tc>
        <w:tc>
          <w:tcPr>
            <w:tcW w:w="0" w:type="auto"/>
            <w:vAlign w:val="center"/>
            <w:hideMark/>
          </w:tcPr>
          <w:p w14:paraId="7CF29BCD" w14:textId="77777777" w:rsidR="00000000" w:rsidRDefault="00195E73">
            <w:pPr>
              <w:rPr>
                <w:rFonts w:eastAsia="Times New Roman"/>
                <w:sz w:val="20"/>
                <w:szCs w:val="20"/>
              </w:rPr>
            </w:pPr>
          </w:p>
        </w:tc>
        <w:tc>
          <w:tcPr>
            <w:tcW w:w="0" w:type="auto"/>
            <w:vAlign w:val="center"/>
            <w:hideMark/>
          </w:tcPr>
          <w:p w14:paraId="024FFA1E" w14:textId="77777777" w:rsidR="00000000" w:rsidRDefault="00195E73">
            <w:pPr>
              <w:rPr>
                <w:rFonts w:eastAsia="Times New Roman"/>
                <w:sz w:val="20"/>
                <w:szCs w:val="20"/>
              </w:rPr>
            </w:pPr>
          </w:p>
        </w:tc>
        <w:tc>
          <w:tcPr>
            <w:tcW w:w="0" w:type="auto"/>
            <w:vAlign w:val="center"/>
            <w:hideMark/>
          </w:tcPr>
          <w:p w14:paraId="513B0114" w14:textId="77777777" w:rsidR="00000000" w:rsidRDefault="00195E73">
            <w:pPr>
              <w:rPr>
                <w:rFonts w:eastAsia="Times New Roman"/>
                <w:sz w:val="20"/>
                <w:szCs w:val="20"/>
              </w:rPr>
            </w:pPr>
          </w:p>
        </w:tc>
        <w:tc>
          <w:tcPr>
            <w:tcW w:w="0" w:type="auto"/>
            <w:vAlign w:val="center"/>
            <w:hideMark/>
          </w:tcPr>
          <w:p w14:paraId="5FA52E3D" w14:textId="77777777" w:rsidR="00000000" w:rsidRDefault="00195E73">
            <w:pPr>
              <w:rPr>
                <w:rFonts w:eastAsia="Times New Roman"/>
                <w:sz w:val="20"/>
                <w:szCs w:val="20"/>
              </w:rPr>
            </w:pPr>
          </w:p>
        </w:tc>
        <w:tc>
          <w:tcPr>
            <w:tcW w:w="0" w:type="auto"/>
            <w:vAlign w:val="center"/>
            <w:hideMark/>
          </w:tcPr>
          <w:p w14:paraId="5EEBC010" w14:textId="77777777" w:rsidR="00000000" w:rsidRDefault="00195E73">
            <w:pPr>
              <w:rPr>
                <w:rFonts w:eastAsia="Times New Roman"/>
                <w:sz w:val="20"/>
                <w:szCs w:val="20"/>
              </w:rPr>
            </w:pPr>
          </w:p>
        </w:tc>
      </w:tr>
      <w:tr w:rsidR="00000000" w14:paraId="6F705BAA" w14:textId="77777777">
        <w:trPr>
          <w:divId w:val="720129760"/>
          <w:jc w:val="center"/>
        </w:trPr>
        <w:tc>
          <w:tcPr>
            <w:tcW w:w="0" w:type="auto"/>
            <w:gridSpan w:val="3"/>
            <w:shd w:val="clear" w:color="auto" w:fill="CCEEFF"/>
            <w:tcMar>
              <w:top w:w="30" w:type="dxa"/>
              <w:left w:w="20" w:type="dxa"/>
              <w:bottom w:w="30" w:type="dxa"/>
              <w:right w:w="20" w:type="dxa"/>
            </w:tcMar>
            <w:vAlign w:val="bottom"/>
            <w:hideMark/>
          </w:tcPr>
          <w:p w14:paraId="07117946" w14:textId="77777777" w:rsidR="00000000" w:rsidRDefault="00195E73">
            <w:pPr>
              <w:rPr>
                <w:rFonts w:eastAsia="Times New Roman"/>
              </w:rPr>
            </w:pPr>
            <w:r>
              <w:rPr>
                <w:rFonts w:eastAsia="Times New Roman"/>
                <w:color w:val="000000"/>
                <w:sz w:val="20"/>
                <w:szCs w:val="20"/>
              </w:rPr>
              <w:t>Securities sold, not yet purchased, at fair valu</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4466303F" w14:textId="77777777" w:rsidR="00000000" w:rsidRDefault="00195E73">
            <w:pPr>
              <w:jc w:val="right"/>
              <w:rPr>
                <w:rFonts w:eastAsia="Times New Roman"/>
              </w:rPr>
            </w:pPr>
            <w:r>
              <w:rPr>
                <w:rFonts w:eastAsia="Times New Roman"/>
                <w:color w:val="000000"/>
                <w:sz w:val="20"/>
                <w:szCs w:val="20"/>
              </w:rPr>
              <w:t>1,190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F55B51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611ACF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24751D" w14:textId="77777777" w:rsidR="00000000" w:rsidRDefault="00195E73">
            <w:pPr>
              <w:jc w:val="right"/>
              <w:rPr>
                <w:rFonts w:eastAsia="Times New Roman"/>
              </w:rPr>
            </w:pPr>
            <w:r>
              <w:rPr>
                <w:rFonts w:eastAsia="Times New Roman"/>
                <w:color w:val="000000"/>
                <w:sz w:val="20"/>
                <w:szCs w:val="20"/>
              </w:rPr>
              <w:t>468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4ADB20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6937DDF" w14:textId="77777777" w:rsidR="00000000" w:rsidRDefault="00195E73">
            <w:pPr>
              <w:rPr>
                <w:rFonts w:eastAsia="Times New Roman"/>
                <w:sz w:val="20"/>
                <w:szCs w:val="20"/>
              </w:rPr>
            </w:pPr>
          </w:p>
        </w:tc>
        <w:tc>
          <w:tcPr>
            <w:tcW w:w="0" w:type="auto"/>
            <w:vAlign w:val="center"/>
            <w:hideMark/>
          </w:tcPr>
          <w:p w14:paraId="4350D138" w14:textId="77777777" w:rsidR="00000000" w:rsidRDefault="00195E73">
            <w:pPr>
              <w:rPr>
                <w:rFonts w:eastAsia="Times New Roman"/>
                <w:sz w:val="20"/>
                <w:szCs w:val="20"/>
              </w:rPr>
            </w:pPr>
          </w:p>
        </w:tc>
        <w:tc>
          <w:tcPr>
            <w:tcW w:w="0" w:type="auto"/>
            <w:vAlign w:val="center"/>
            <w:hideMark/>
          </w:tcPr>
          <w:p w14:paraId="0E7718D4" w14:textId="77777777" w:rsidR="00000000" w:rsidRDefault="00195E73">
            <w:pPr>
              <w:rPr>
                <w:rFonts w:eastAsia="Times New Roman"/>
                <w:sz w:val="20"/>
                <w:szCs w:val="20"/>
              </w:rPr>
            </w:pPr>
          </w:p>
        </w:tc>
        <w:tc>
          <w:tcPr>
            <w:tcW w:w="0" w:type="auto"/>
            <w:vAlign w:val="center"/>
            <w:hideMark/>
          </w:tcPr>
          <w:p w14:paraId="0A003B6F" w14:textId="77777777" w:rsidR="00000000" w:rsidRDefault="00195E73">
            <w:pPr>
              <w:rPr>
                <w:rFonts w:eastAsia="Times New Roman"/>
                <w:sz w:val="20"/>
                <w:szCs w:val="20"/>
              </w:rPr>
            </w:pPr>
          </w:p>
        </w:tc>
        <w:tc>
          <w:tcPr>
            <w:tcW w:w="0" w:type="auto"/>
            <w:vAlign w:val="center"/>
            <w:hideMark/>
          </w:tcPr>
          <w:p w14:paraId="45F4D090" w14:textId="77777777" w:rsidR="00000000" w:rsidRDefault="00195E73">
            <w:pPr>
              <w:rPr>
                <w:rFonts w:eastAsia="Times New Roman"/>
                <w:sz w:val="20"/>
                <w:szCs w:val="20"/>
              </w:rPr>
            </w:pPr>
          </w:p>
        </w:tc>
        <w:tc>
          <w:tcPr>
            <w:tcW w:w="0" w:type="auto"/>
            <w:vAlign w:val="center"/>
            <w:hideMark/>
          </w:tcPr>
          <w:p w14:paraId="5BF209D7" w14:textId="77777777" w:rsidR="00000000" w:rsidRDefault="00195E73">
            <w:pPr>
              <w:rPr>
                <w:rFonts w:eastAsia="Times New Roman"/>
                <w:sz w:val="20"/>
                <w:szCs w:val="20"/>
              </w:rPr>
            </w:pPr>
          </w:p>
        </w:tc>
      </w:tr>
      <w:tr w:rsidR="00000000" w14:paraId="65B0AA7B"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44796B70" w14:textId="77777777" w:rsidR="00000000" w:rsidRDefault="00195E73">
            <w:pPr>
              <w:rPr>
                <w:rFonts w:eastAsia="Times New Roman"/>
              </w:rPr>
            </w:pPr>
            <w:r>
              <w:rPr>
                <w:rFonts w:eastAsia="Times New Roman"/>
                <w:color w:val="000000"/>
                <w:sz w:val="20"/>
                <w:szCs w:val="20"/>
              </w:rPr>
              <w:t>Due to broker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11B8A13" w14:textId="77777777" w:rsidR="00000000" w:rsidRDefault="00195E73">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88C9AF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22126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28FDDA" w14:textId="77777777" w:rsidR="00000000" w:rsidRDefault="00195E73">
            <w:pPr>
              <w:jc w:val="right"/>
              <w:rPr>
                <w:rFonts w:eastAsia="Times New Roman"/>
              </w:rPr>
            </w:pPr>
            <w:r>
              <w:rPr>
                <w:rFonts w:eastAsia="Times New Roman"/>
                <w:color w:val="000000"/>
                <w:sz w:val="20"/>
                <w:szCs w:val="20"/>
              </w:rPr>
              <w:t>141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A9F831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474DC9A" w14:textId="77777777" w:rsidR="00000000" w:rsidRDefault="00195E73">
            <w:pPr>
              <w:rPr>
                <w:rFonts w:eastAsia="Times New Roman"/>
                <w:sz w:val="20"/>
                <w:szCs w:val="20"/>
              </w:rPr>
            </w:pPr>
          </w:p>
        </w:tc>
        <w:tc>
          <w:tcPr>
            <w:tcW w:w="0" w:type="auto"/>
            <w:vAlign w:val="center"/>
            <w:hideMark/>
          </w:tcPr>
          <w:p w14:paraId="523FD237" w14:textId="77777777" w:rsidR="00000000" w:rsidRDefault="00195E73">
            <w:pPr>
              <w:rPr>
                <w:rFonts w:eastAsia="Times New Roman"/>
                <w:sz w:val="20"/>
                <w:szCs w:val="20"/>
              </w:rPr>
            </w:pPr>
          </w:p>
        </w:tc>
        <w:tc>
          <w:tcPr>
            <w:tcW w:w="0" w:type="auto"/>
            <w:vAlign w:val="center"/>
            <w:hideMark/>
          </w:tcPr>
          <w:p w14:paraId="757072C0" w14:textId="77777777" w:rsidR="00000000" w:rsidRDefault="00195E73">
            <w:pPr>
              <w:rPr>
                <w:rFonts w:eastAsia="Times New Roman"/>
                <w:sz w:val="20"/>
                <w:szCs w:val="20"/>
              </w:rPr>
            </w:pPr>
          </w:p>
        </w:tc>
        <w:tc>
          <w:tcPr>
            <w:tcW w:w="0" w:type="auto"/>
            <w:vAlign w:val="center"/>
            <w:hideMark/>
          </w:tcPr>
          <w:p w14:paraId="75EF29BB" w14:textId="77777777" w:rsidR="00000000" w:rsidRDefault="00195E73">
            <w:pPr>
              <w:rPr>
                <w:rFonts w:eastAsia="Times New Roman"/>
                <w:sz w:val="20"/>
                <w:szCs w:val="20"/>
              </w:rPr>
            </w:pPr>
          </w:p>
        </w:tc>
        <w:tc>
          <w:tcPr>
            <w:tcW w:w="0" w:type="auto"/>
            <w:vAlign w:val="center"/>
            <w:hideMark/>
          </w:tcPr>
          <w:p w14:paraId="7320E00B" w14:textId="77777777" w:rsidR="00000000" w:rsidRDefault="00195E73">
            <w:pPr>
              <w:rPr>
                <w:rFonts w:eastAsia="Times New Roman"/>
                <w:sz w:val="20"/>
                <w:szCs w:val="20"/>
              </w:rPr>
            </w:pPr>
          </w:p>
        </w:tc>
        <w:tc>
          <w:tcPr>
            <w:tcW w:w="0" w:type="auto"/>
            <w:vAlign w:val="center"/>
            <w:hideMark/>
          </w:tcPr>
          <w:p w14:paraId="4F40029A" w14:textId="77777777" w:rsidR="00000000" w:rsidRDefault="00195E73">
            <w:pPr>
              <w:rPr>
                <w:rFonts w:eastAsia="Times New Roman"/>
                <w:sz w:val="20"/>
                <w:szCs w:val="20"/>
              </w:rPr>
            </w:pPr>
          </w:p>
        </w:tc>
      </w:tr>
      <w:tr w:rsidR="00000000" w14:paraId="46204276" w14:textId="77777777">
        <w:trPr>
          <w:divId w:val="720129760"/>
          <w:jc w:val="center"/>
        </w:trPr>
        <w:tc>
          <w:tcPr>
            <w:tcW w:w="0" w:type="auto"/>
            <w:gridSpan w:val="3"/>
            <w:shd w:val="clear" w:color="auto" w:fill="CCEEFF"/>
            <w:tcMar>
              <w:top w:w="30" w:type="dxa"/>
              <w:left w:w="20" w:type="dxa"/>
              <w:bottom w:w="30" w:type="dxa"/>
              <w:right w:w="20" w:type="dxa"/>
            </w:tcMar>
            <w:vAlign w:val="bottom"/>
            <w:hideMark/>
          </w:tcPr>
          <w:p w14:paraId="45891709" w14:textId="77777777" w:rsidR="00000000" w:rsidRDefault="00195E73">
            <w:pPr>
              <w:rPr>
                <w:rFonts w:eastAsia="Times New Roman"/>
              </w:rPr>
            </w:pPr>
            <w:r>
              <w:rPr>
                <w:rFonts w:eastAsia="Times New Roman"/>
                <w:color w:val="000000"/>
                <w:sz w:val="20"/>
                <w:szCs w:val="20"/>
              </w:rPr>
              <w:t>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374592C1" w14:textId="77777777" w:rsidR="00000000" w:rsidRDefault="00195E73">
            <w:pPr>
              <w:jc w:val="right"/>
              <w:rPr>
                <w:rFonts w:eastAsia="Times New Roman"/>
              </w:rPr>
            </w:pPr>
            <w:r>
              <w:rPr>
                <w:rFonts w:eastAsia="Times New Roman"/>
                <w:color w:val="000000"/>
                <w:sz w:val="20"/>
                <w:szCs w:val="20"/>
              </w:rPr>
              <w:t>8,192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31BD1D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D4D721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1E4EB8" w14:textId="77777777" w:rsidR="00000000" w:rsidRDefault="00195E73">
            <w:pPr>
              <w:jc w:val="right"/>
              <w:rPr>
                <w:rFonts w:eastAsia="Times New Roman"/>
              </w:rPr>
            </w:pPr>
            <w:r>
              <w:rPr>
                <w:rFonts w:eastAsia="Times New Roman"/>
                <w:color w:val="000000"/>
                <w:sz w:val="20"/>
                <w:szCs w:val="20"/>
              </w:rPr>
              <w:t>7,326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8BED77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C5BC16C" w14:textId="77777777" w:rsidR="00000000" w:rsidRDefault="00195E73">
            <w:pPr>
              <w:rPr>
                <w:rFonts w:eastAsia="Times New Roman"/>
                <w:sz w:val="20"/>
                <w:szCs w:val="20"/>
              </w:rPr>
            </w:pPr>
          </w:p>
        </w:tc>
        <w:tc>
          <w:tcPr>
            <w:tcW w:w="0" w:type="auto"/>
            <w:vAlign w:val="center"/>
            <w:hideMark/>
          </w:tcPr>
          <w:p w14:paraId="47182EFD" w14:textId="77777777" w:rsidR="00000000" w:rsidRDefault="00195E73">
            <w:pPr>
              <w:rPr>
                <w:rFonts w:eastAsia="Times New Roman"/>
                <w:sz w:val="20"/>
                <w:szCs w:val="20"/>
              </w:rPr>
            </w:pPr>
          </w:p>
        </w:tc>
        <w:tc>
          <w:tcPr>
            <w:tcW w:w="0" w:type="auto"/>
            <w:vAlign w:val="center"/>
            <w:hideMark/>
          </w:tcPr>
          <w:p w14:paraId="05CF8930" w14:textId="77777777" w:rsidR="00000000" w:rsidRDefault="00195E73">
            <w:pPr>
              <w:rPr>
                <w:rFonts w:eastAsia="Times New Roman"/>
                <w:sz w:val="20"/>
                <w:szCs w:val="20"/>
              </w:rPr>
            </w:pPr>
          </w:p>
        </w:tc>
        <w:tc>
          <w:tcPr>
            <w:tcW w:w="0" w:type="auto"/>
            <w:vAlign w:val="center"/>
            <w:hideMark/>
          </w:tcPr>
          <w:p w14:paraId="05CEB1C9" w14:textId="77777777" w:rsidR="00000000" w:rsidRDefault="00195E73">
            <w:pPr>
              <w:rPr>
                <w:rFonts w:eastAsia="Times New Roman"/>
                <w:sz w:val="20"/>
                <w:szCs w:val="20"/>
              </w:rPr>
            </w:pPr>
          </w:p>
        </w:tc>
        <w:tc>
          <w:tcPr>
            <w:tcW w:w="0" w:type="auto"/>
            <w:vAlign w:val="center"/>
            <w:hideMark/>
          </w:tcPr>
          <w:p w14:paraId="65871A19" w14:textId="77777777" w:rsidR="00000000" w:rsidRDefault="00195E73">
            <w:pPr>
              <w:rPr>
                <w:rFonts w:eastAsia="Times New Roman"/>
                <w:sz w:val="20"/>
                <w:szCs w:val="20"/>
              </w:rPr>
            </w:pPr>
          </w:p>
        </w:tc>
        <w:tc>
          <w:tcPr>
            <w:tcW w:w="0" w:type="auto"/>
            <w:vAlign w:val="center"/>
            <w:hideMark/>
          </w:tcPr>
          <w:p w14:paraId="0B012620" w14:textId="77777777" w:rsidR="00000000" w:rsidRDefault="00195E73">
            <w:pPr>
              <w:rPr>
                <w:rFonts w:eastAsia="Times New Roman"/>
                <w:sz w:val="20"/>
                <w:szCs w:val="20"/>
              </w:rPr>
            </w:pPr>
          </w:p>
        </w:tc>
      </w:tr>
      <w:tr w:rsidR="00000000" w14:paraId="7557A622"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5EA2827B" w14:textId="77777777" w:rsidR="00000000" w:rsidRDefault="00195E73">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748BD1" w14:textId="77777777" w:rsidR="00000000" w:rsidRDefault="00195E73">
            <w:pPr>
              <w:jc w:val="right"/>
              <w:rPr>
                <w:rFonts w:eastAsia="Times New Roman"/>
              </w:rPr>
            </w:pPr>
            <w:r>
              <w:rPr>
                <w:rFonts w:eastAsia="Times New Roman"/>
                <w:color w:val="000000"/>
                <w:sz w:val="20"/>
                <w:szCs w:val="20"/>
              </w:rPr>
              <w:t>13,697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124905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C1408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D5515C" w14:textId="77777777" w:rsidR="00000000" w:rsidRDefault="00195E73">
            <w:pPr>
              <w:jc w:val="right"/>
              <w:rPr>
                <w:rFonts w:eastAsia="Times New Roman"/>
              </w:rPr>
            </w:pPr>
            <w:r>
              <w:rPr>
                <w:rFonts w:eastAsia="Times New Roman"/>
                <w:color w:val="000000"/>
                <w:sz w:val="20"/>
                <w:szCs w:val="20"/>
              </w:rPr>
              <w:t>10,509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49F19D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6AF9B76" w14:textId="77777777" w:rsidR="00000000" w:rsidRDefault="00195E73">
            <w:pPr>
              <w:rPr>
                <w:rFonts w:eastAsia="Times New Roman"/>
                <w:sz w:val="20"/>
                <w:szCs w:val="20"/>
              </w:rPr>
            </w:pPr>
          </w:p>
        </w:tc>
        <w:tc>
          <w:tcPr>
            <w:tcW w:w="0" w:type="auto"/>
            <w:vAlign w:val="center"/>
            <w:hideMark/>
          </w:tcPr>
          <w:p w14:paraId="39EBBA7C" w14:textId="77777777" w:rsidR="00000000" w:rsidRDefault="00195E73">
            <w:pPr>
              <w:rPr>
                <w:rFonts w:eastAsia="Times New Roman"/>
                <w:sz w:val="20"/>
                <w:szCs w:val="20"/>
              </w:rPr>
            </w:pPr>
          </w:p>
        </w:tc>
        <w:tc>
          <w:tcPr>
            <w:tcW w:w="0" w:type="auto"/>
            <w:vAlign w:val="center"/>
            <w:hideMark/>
          </w:tcPr>
          <w:p w14:paraId="235DFEDD" w14:textId="77777777" w:rsidR="00000000" w:rsidRDefault="00195E73">
            <w:pPr>
              <w:rPr>
                <w:rFonts w:eastAsia="Times New Roman"/>
                <w:sz w:val="20"/>
                <w:szCs w:val="20"/>
              </w:rPr>
            </w:pPr>
          </w:p>
        </w:tc>
        <w:tc>
          <w:tcPr>
            <w:tcW w:w="0" w:type="auto"/>
            <w:vAlign w:val="center"/>
            <w:hideMark/>
          </w:tcPr>
          <w:p w14:paraId="680739A0" w14:textId="77777777" w:rsidR="00000000" w:rsidRDefault="00195E73">
            <w:pPr>
              <w:rPr>
                <w:rFonts w:eastAsia="Times New Roman"/>
                <w:sz w:val="20"/>
                <w:szCs w:val="20"/>
              </w:rPr>
            </w:pPr>
          </w:p>
        </w:tc>
        <w:tc>
          <w:tcPr>
            <w:tcW w:w="0" w:type="auto"/>
            <w:vAlign w:val="center"/>
            <w:hideMark/>
          </w:tcPr>
          <w:p w14:paraId="783AAB0E" w14:textId="77777777" w:rsidR="00000000" w:rsidRDefault="00195E73">
            <w:pPr>
              <w:rPr>
                <w:rFonts w:eastAsia="Times New Roman"/>
                <w:sz w:val="20"/>
                <w:szCs w:val="20"/>
              </w:rPr>
            </w:pPr>
          </w:p>
        </w:tc>
        <w:tc>
          <w:tcPr>
            <w:tcW w:w="0" w:type="auto"/>
            <w:vAlign w:val="center"/>
            <w:hideMark/>
          </w:tcPr>
          <w:p w14:paraId="7DC1228E" w14:textId="77777777" w:rsidR="00000000" w:rsidRDefault="00195E73">
            <w:pPr>
              <w:rPr>
                <w:rFonts w:eastAsia="Times New Roman"/>
                <w:sz w:val="20"/>
                <w:szCs w:val="20"/>
              </w:rPr>
            </w:pPr>
          </w:p>
        </w:tc>
      </w:tr>
      <w:tr w:rsidR="00000000" w14:paraId="4BC0A56E" w14:textId="77777777">
        <w:trPr>
          <w:divId w:val="720129760"/>
          <w:trHeight w:val="240"/>
          <w:jc w:val="center"/>
        </w:trPr>
        <w:tc>
          <w:tcPr>
            <w:tcW w:w="0" w:type="auto"/>
            <w:gridSpan w:val="3"/>
            <w:shd w:val="clear" w:color="auto" w:fill="CCEEFF"/>
            <w:tcMar>
              <w:top w:w="15" w:type="dxa"/>
              <w:left w:w="20" w:type="dxa"/>
              <w:bottom w:w="15" w:type="dxa"/>
              <w:right w:w="20" w:type="dxa"/>
            </w:tcMar>
            <w:vAlign w:val="bottom"/>
            <w:hideMark/>
          </w:tcPr>
          <w:p w14:paraId="3E8D4CA1" w14:textId="77777777" w:rsidR="00000000" w:rsidRDefault="00195E73">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DC19414"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65AAA12"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2F3B301C" w14:textId="77777777" w:rsidR="00000000" w:rsidRDefault="00195E73">
            <w:pPr>
              <w:rPr>
                <w:rFonts w:eastAsia="Times New Roman"/>
                <w:sz w:val="20"/>
                <w:szCs w:val="20"/>
              </w:rPr>
            </w:pPr>
          </w:p>
        </w:tc>
        <w:tc>
          <w:tcPr>
            <w:tcW w:w="0" w:type="auto"/>
            <w:vAlign w:val="center"/>
            <w:hideMark/>
          </w:tcPr>
          <w:p w14:paraId="0CB16529" w14:textId="77777777" w:rsidR="00000000" w:rsidRDefault="00195E73">
            <w:pPr>
              <w:rPr>
                <w:rFonts w:eastAsia="Times New Roman"/>
                <w:sz w:val="20"/>
                <w:szCs w:val="20"/>
              </w:rPr>
            </w:pPr>
          </w:p>
        </w:tc>
        <w:tc>
          <w:tcPr>
            <w:tcW w:w="0" w:type="auto"/>
            <w:vAlign w:val="center"/>
            <w:hideMark/>
          </w:tcPr>
          <w:p w14:paraId="0C829836" w14:textId="77777777" w:rsidR="00000000" w:rsidRDefault="00195E73">
            <w:pPr>
              <w:rPr>
                <w:rFonts w:eastAsia="Times New Roman"/>
                <w:sz w:val="20"/>
                <w:szCs w:val="20"/>
              </w:rPr>
            </w:pPr>
          </w:p>
        </w:tc>
        <w:tc>
          <w:tcPr>
            <w:tcW w:w="0" w:type="auto"/>
            <w:vAlign w:val="center"/>
            <w:hideMark/>
          </w:tcPr>
          <w:p w14:paraId="0915F995" w14:textId="77777777" w:rsidR="00000000" w:rsidRDefault="00195E73">
            <w:pPr>
              <w:rPr>
                <w:rFonts w:eastAsia="Times New Roman"/>
                <w:sz w:val="20"/>
                <w:szCs w:val="20"/>
              </w:rPr>
            </w:pPr>
          </w:p>
        </w:tc>
        <w:tc>
          <w:tcPr>
            <w:tcW w:w="0" w:type="auto"/>
            <w:vAlign w:val="center"/>
            <w:hideMark/>
          </w:tcPr>
          <w:p w14:paraId="2B1471D1" w14:textId="77777777" w:rsidR="00000000" w:rsidRDefault="00195E73">
            <w:pPr>
              <w:rPr>
                <w:rFonts w:eastAsia="Times New Roman"/>
                <w:sz w:val="20"/>
                <w:szCs w:val="20"/>
              </w:rPr>
            </w:pPr>
          </w:p>
        </w:tc>
        <w:tc>
          <w:tcPr>
            <w:tcW w:w="0" w:type="auto"/>
            <w:vAlign w:val="center"/>
            <w:hideMark/>
          </w:tcPr>
          <w:p w14:paraId="4A5F2A9A" w14:textId="77777777" w:rsidR="00000000" w:rsidRDefault="00195E73">
            <w:pPr>
              <w:rPr>
                <w:rFonts w:eastAsia="Times New Roman"/>
                <w:sz w:val="20"/>
                <w:szCs w:val="20"/>
              </w:rPr>
            </w:pPr>
          </w:p>
        </w:tc>
        <w:tc>
          <w:tcPr>
            <w:tcW w:w="0" w:type="auto"/>
            <w:vAlign w:val="center"/>
            <w:hideMark/>
          </w:tcPr>
          <w:p w14:paraId="3FF24151" w14:textId="77777777" w:rsidR="00000000" w:rsidRDefault="00195E73">
            <w:pPr>
              <w:rPr>
                <w:rFonts w:eastAsia="Times New Roman"/>
                <w:sz w:val="20"/>
                <w:szCs w:val="20"/>
              </w:rPr>
            </w:pPr>
          </w:p>
        </w:tc>
      </w:tr>
      <w:tr w:rsidR="00000000" w14:paraId="7D248B7C"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3897411B" w14:textId="77777777" w:rsidR="00000000" w:rsidRDefault="00195E73">
            <w:pPr>
              <w:rPr>
                <w:rFonts w:eastAsia="Times New Roman"/>
              </w:rPr>
            </w:pPr>
            <w:r>
              <w:rPr>
                <w:rFonts w:eastAsia="Times New Roman"/>
                <w:color w:val="000000"/>
                <w:sz w:val="20"/>
                <w:szCs w:val="20"/>
              </w:rPr>
              <w:t>Commitments and contingencies (Note 18</w:t>
            </w:r>
            <w:r>
              <w:rPr>
                <w:rFonts w:eastAsia="Times New Roman"/>
                <w:color w:val="000000"/>
                <w:sz w:val="20"/>
                <w:szCs w:val="20"/>
              </w:rPr>
              <w:t>)</w:t>
            </w:r>
          </w:p>
        </w:tc>
        <w:tc>
          <w:tcPr>
            <w:tcW w:w="0" w:type="auto"/>
            <w:gridSpan w:val="2"/>
            <w:shd w:val="clear" w:color="auto" w:fill="FFFFFF"/>
            <w:tcMar>
              <w:top w:w="15" w:type="dxa"/>
              <w:left w:w="20" w:type="dxa"/>
              <w:bottom w:w="15" w:type="dxa"/>
              <w:right w:w="0" w:type="dxa"/>
            </w:tcMar>
            <w:vAlign w:val="bottom"/>
            <w:hideMark/>
          </w:tcPr>
          <w:p w14:paraId="1DA981FA" w14:textId="77777777" w:rsidR="00000000" w:rsidRDefault="00195E73">
            <w:pPr>
              <w:rPr>
                <w:rFonts w:eastAsia="Times New Roman"/>
              </w:rPr>
            </w:pPr>
          </w:p>
        </w:tc>
        <w:tc>
          <w:tcPr>
            <w:tcW w:w="0" w:type="auto"/>
            <w:shd w:val="clear" w:color="auto" w:fill="FFFFFF"/>
            <w:tcMar>
              <w:top w:w="15" w:type="dxa"/>
              <w:left w:w="15" w:type="dxa"/>
              <w:bottom w:w="15" w:type="dxa"/>
              <w:right w:w="20" w:type="dxa"/>
            </w:tcMar>
            <w:vAlign w:val="bottom"/>
            <w:hideMark/>
          </w:tcPr>
          <w:p w14:paraId="0AEC0D25"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CC0F632" w14:textId="77777777" w:rsidR="00000000" w:rsidRDefault="00195E73">
            <w:pPr>
              <w:jc w:val="right"/>
              <w:rPr>
                <w:rFonts w:eastAsia="Times New Roman"/>
                <w:sz w:val="20"/>
                <w:szCs w:val="20"/>
              </w:rPr>
            </w:pPr>
          </w:p>
        </w:tc>
        <w:tc>
          <w:tcPr>
            <w:tcW w:w="0" w:type="auto"/>
            <w:gridSpan w:val="2"/>
            <w:shd w:val="clear" w:color="auto" w:fill="FFFFFF"/>
            <w:tcMar>
              <w:top w:w="15" w:type="dxa"/>
              <w:left w:w="20" w:type="dxa"/>
              <w:bottom w:w="15" w:type="dxa"/>
              <w:right w:w="0" w:type="dxa"/>
            </w:tcMar>
            <w:vAlign w:val="bottom"/>
            <w:hideMark/>
          </w:tcPr>
          <w:p w14:paraId="31B1A705" w14:textId="77777777" w:rsidR="00000000" w:rsidRDefault="00195E73">
            <w:pPr>
              <w:rPr>
                <w:rFonts w:eastAsia="Times New Roman"/>
                <w:sz w:val="20"/>
                <w:szCs w:val="20"/>
              </w:rPr>
            </w:pPr>
          </w:p>
        </w:tc>
        <w:tc>
          <w:tcPr>
            <w:tcW w:w="0" w:type="auto"/>
            <w:shd w:val="clear" w:color="auto" w:fill="FFFFFF"/>
            <w:tcMar>
              <w:top w:w="15" w:type="dxa"/>
              <w:left w:w="15" w:type="dxa"/>
              <w:bottom w:w="15" w:type="dxa"/>
              <w:right w:w="20" w:type="dxa"/>
            </w:tcMar>
            <w:vAlign w:val="bottom"/>
            <w:hideMark/>
          </w:tcPr>
          <w:p w14:paraId="07612FE7" w14:textId="77777777" w:rsidR="00000000" w:rsidRDefault="00195E73">
            <w:pPr>
              <w:rPr>
                <w:rFonts w:eastAsia="Times New Roman"/>
                <w:sz w:val="20"/>
                <w:szCs w:val="20"/>
              </w:rPr>
            </w:pPr>
          </w:p>
        </w:tc>
        <w:tc>
          <w:tcPr>
            <w:tcW w:w="0" w:type="auto"/>
            <w:vAlign w:val="center"/>
            <w:hideMark/>
          </w:tcPr>
          <w:p w14:paraId="36777687" w14:textId="77777777" w:rsidR="00000000" w:rsidRDefault="00195E73">
            <w:pPr>
              <w:rPr>
                <w:rFonts w:eastAsia="Times New Roman"/>
                <w:sz w:val="20"/>
                <w:szCs w:val="20"/>
              </w:rPr>
            </w:pPr>
          </w:p>
        </w:tc>
        <w:tc>
          <w:tcPr>
            <w:tcW w:w="0" w:type="auto"/>
            <w:vAlign w:val="center"/>
            <w:hideMark/>
          </w:tcPr>
          <w:p w14:paraId="200AE912" w14:textId="77777777" w:rsidR="00000000" w:rsidRDefault="00195E73">
            <w:pPr>
              <w:rPr>
                <w:rFonts w:eastAsia="Times New Roman"/>
                <w:sz w:val="20"/>
                <w:szCs w:val="20"/>
              </w:rPr>
            </w:pPr>
          </w:p>
        </w:tc>
        <w:tc>
          <w:tcPr>
            <w:tcW w:w="0" w:type="auto"/>
            <w:vAlign w:val="center"/>
            <w:hideMark/>
          </w:tcPr>
          <w:p w14:paraId="5D9C0AB7" w14:textId="77777777" w:rsidR="00000000" w:rsidRDefault="00195E73">
            <w:pPr>
              <w:rPr>
                <w:rFonts w:eastAsia="Times New Roman"/>
                <w:sz w:val="20"/>
                <w:szCs w:val="20"/>
              </w:rPr>
            </w:pPr>
          </w:p>
        </w:tc>
        <w:tc>
          <w:tcPr>
            <w:tcW w:w="0" w:type="auto"/>
            <w:vAlign w:val="center"/>
            <w:hideMark/>
          </w:tcPr>
          <w:p w14:paraId="4653EAA4" w14:textId="77777777" w:rsidR="00000000" w:rsidRDefault="00195E73">
            <w:pPr>
              <w:rPr>
                <w:rFonts w:eastAsia="Times New Roman"/>
                <w:sz w:val="20"/>
                <w:szCs w:val="20"/>
              </w:rPr>
            </w:pPr>
          </w:p>
        </w:tc>
        <w:tc>
          <w:tcPr>
            <w:tcW w:w="0" w:type="auto"/>
            <w:vAlign w:val="center"/>
            <w:hideMark/>
          </w:tcPr>
          <w:p w14:paraId="1C5D7F74" w14:textId="77777777" w:rsidR="00000000" w:rsidRDefault="00195E73">
            <w:pPr>
              <w:rPr>
                <w:rFonts w:eastAsia="Times New Roman"/>
                <w:sz w:val="20"/>
                <w:szCs w:val="20"/>
              </w:rPr>
            </w:pPr>
          </w:p>
        </w:tc>
        <w:tc>
          <w:tcPr>
            <w:tcW w:w="0" w:type="auto"/>
            <w:vAlign w:val="center"/>
            <w:hideMark/>
          </w:tcPr>
          <w:p w14:paraId="49EF51DE" w14:textId="77777777" w:rsidR="00000000" w:rsidRDefault="00195E73">
            <w:pPr>
              <w:rPr>
                <w:rFonts w:eastAsia="Times New Roman"/>
                <w:sz w:val="20"/>
                <w:szCs w:val="20"/>
              </w:rPr>
            </w:pPr>
          </w:p>
        </w:tc>
      </w:tr>
      <w:tr w:rsidR="00000000" w14:paraId="2E63F22B" w14:textId="77777777">
        <w:trPr>
          <w:divId w:val="720129760"/>
          <w:trHeight w:val="240"/>
          <w:jc w:val="center"/>
        </w:trPr>
        <w:tc>
          <w:tcPr>
            <w:tcW w:w="0" w:type="auto"/>
            <w:gridSpan w:val="3"/>
            <w:shd w:val="clear" w:color="auto" w:fill="CCEEFF"/>
            <w:tcMar>
              <w:top w:w="15" w:type="dxa"/>
              <w:left w:w="20" w:type="dxa"/>
              <w:bottom w:w="15" w:type="dxa"/>
              <w:right w:w="20" w:type="dxa"/>
            </w:tcMar>
            <w:vAlign w:val="bottom"/>
            <w:hideMark/>
          </w:tcPr>
          <w:p w14:paraId="7E080C14" w14:textId="77777777" w:rsidR="00000000" w:rsidRDefault="00195E73">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5C45B2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8EA5CD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1F92E67" w14:textId="77777777" w:rsidR="00000000" w:rsidRDefault="00195E73">
            <w:pPr>
              <w:rPr>
                <w:rFonts w:eastAsia="Times New Roman"/>
                <w:sz w:val="20"/>
                <w:szCs w:val="20"/>
              </w:rPr>
            </w:pPr>
          </w:p>
        </w:tc>
        <w:tc>
          <w:tcPr>
            <w:tcW w:w="0" w:type="auto"/>
            <w:vAlign w:val="center"/>
            <w:hideMark/>
          </w:tcPr>
          <w:p w14:paraId="0F75EE07" w14:textId="77777777" w:rsidR="00000000" w:rsidRDefault="00195E73">
            <w:pPr>
              <w:rPr>
                <w:rFonts w:eastAsia="Times New Roman"/>
                <w:sz w:val="20"/>
                <w:szCs w:val="20"/>
              </w:rPr>
            </w:pPr>
          </w:p>
        </w:tc>
        <w:tc>
          <w:tcPr>
            <w:tcW w:w="0" w:type="auto"/>
            <w:vAlign w:val="center"/>
            <w:hideMark/>
          </w:tcPr>
          <w:p w14:paraId="3A393665" w14:textId="77777777" w:rsidR="00000000" w:rsidRDefault="00195E73">
            <w:pPr>
              <w:rPr>
                <w:rFonts w:eastAsia="Times New Roman"/>
                <w:sz w:val="20"/>
                <w:szCs w:val="20"/>
              </w:rPr>
            </w:pPr>
          </w:p>
        </w:tc>
        <w:tc>
          <w:tcPr>
            <w:tcW w:w="0" w:type="auto"/>
            <w:vAlign w:val="center"/>
            <w:hideMark/>
          </w:tcPr>
          <w:p w14:paraId="3FE88ED8" w14:textId="77777777" w:rsidR="00000000" w:rsidRDefault="00195E73">
            <w:pPr>
              <w:rPr>
                <w:rFonts w:eastAsia="Times New Roman"/>
                <w:sz w:val="20"/>
                <w:szCs w:val="20"/>
              </w:rPr>
            </w:pPr>
          </w:p>
        </w:tc>
        <w:tc>
          <w:tcPr>
            <w:tcW w:w="0" w:type="auto"/>
            <w:vAlign w:val="center"/>
            <w:hideMark/>
          </w:tcPr>
          <w:p w14:paraId="57BCB940" w14:textId="77777777" w:rsidR="00000000" w:rsidRDefault="00195E73">
            <w:pPr>
              <w:rPr>
                <w:rFonts w:eastAsia="Times New Roman"/>
                <w:sz w:val="20"/>
                <w:szCs w:val="20"/>
              </w:rPr>
            </w:pPr>
          </w:p>
        </w:tc>
        <w:tc>
          <w:tcPr>
            <w:tcW w:w="0" w:type="auto"/>
            <w:vAlign w:val="center"/>
            <w:hideMark/>
          </w:tcPr>
          <w:p w14:paraId="7E1BC2B5" w14:textId="77777777" w:rsidR="00000000" w:rsidRDefault="00195E73">
            <w:pPr>
              <w:rPr>
                <w:rFonts w:eastAsia="Times New Roman"/>
                <w:sz w:val="20"/>
                <w:szCs w:val="20"/>
              </w:rPr>
            </w:pPr>
          </w:p>
        </w:tc>
        <w:tc>
          <w:tcPr>
            <w:tcW w:w="0" w:type="auto"/>
            <w:vAlign w:val="center"/>
            <w:hideMark/>
          </w:tcPr>
          <w:p w14:paraId="0A09A0A1" w14:textId="77777777" w:rsidR="00000000" w:rsidRDefault="00195E73">
            <w:pPr>
              <w:rPr>
                <w:rFonts w:eastAsia="Times New Roman"/>
                <w:sz w:val="20"/>
                <w:szCs w:val="20"/>
              </w:rPr>
            </w:pPr>
          </w:p>
        </w:tc>
      </w:tr>
      <w:tr w:rsidR="00000000" w14:paraId="42664F38"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4B4E1F81" w14:textId="77777777" w:rsidR="00000000" w:rsidRDefault="00195E73">
            <w:pPr>
              <w:rPr>
                <w:rFonts w:eastAsia="Times New Roman"/>
              </w:rPr>
            </w:pPr>
            <w:r>
              <w:rPr>
                <w:rFonts w:eastAsia="Times New Roman"/>
                <w:color w:val="000000"/>
                <w:sz w:val="20"/>
                <w:szCs w:val="20"/>
              </w:rPr>
              <w:t>Equity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0F1B876F"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E27728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A62AB7F" w14:textId="77777777" w:rsidR="00000000" w:rsidRDefault="00195E73">
            <w:pPr>
              <w:rPr>
                <w:rFonts w:eastAsia="Times New Roman"/>
                <w:sz w:val="20"/>
                <w:szCs w:val="20"/>
              </w:rPr>
            </w:pPr>
          </w:p>
        </w:tc>
        <w:tc>
          <w:tcPr>
            <w:tcW w:w="0" w:type="auto"/>
            <w:vAlign w:val="center"/>
            <w:hideMark/>
          </w:tcPr>
          <w:p w14:paraId="7659EEEA" w14:textId="77777777" w:rsidR="00000000" w:rsidRDefault="00195E73">
            <w:pPr>
              <w:rPr>
                <w:rFonts w:eastAsia="Times New Roman"/>
                <w:sz w:val="20"/>
                <w:szCs w:val="20"/>
              </w:rPr>
            </w:pPr>
          </w:p>
        </w:tc>
        <w:tc>
          <w:tcPr>
            <w:tcW w:w="0" w:type="auto"/>
            <w:vAlign w:val="center"/>
            <w:hideMark/>
          </w:tcPr>
          <w:p w14:paraId="732F87A8" w14:textId="77777777" w:rsidR="00000000" w:rsidRDefault="00195E73">
            <w:pPr>
              <w:rPr>
                <w:rFonts w:eastAsia="Times New Roman"/>
                <w:sz w:val="20"/>
                <w:szCs w:val="20"/>
              </w:rPr>
            </w:pPr>
          </w:p>
        </w:tc>
        <w:tc>
          <w:tcPr>
            <w:tcW w:w="0" w:type="auto"/>
            <w:vAlign w:val="center"/>
            <w:hideMark/>
          </w:tcPr>
          <w:p w14:paraId="01743398" w14:textId="77777777" w:rsidR="00000000" w:rsidRDefault="00195E73">
            <w:pPr>
              <w:rPr>
                <w:rFonts w:eastAsia="Times New Roman"/>
                <w:sz w:val="20"/>
                <w:szCs w:val="20"/>
              </w:rPr>
            </w:pPr>
          </w:p>
        </w:tc>
        <w:tc>
          <w:tcPr>
            <w:tcW w:w="0" w:type="auto"/>
            <w:vAlign w:val="center"/>
            <w:hideMark/>
          </w:tcPr>
          <w:p w14:paraId="61EBEF8F" w14:textId="77777777" w:rsidR="00000000" w:rsidRDefault="00195E73">
            <w:pPr>
              <w:rPr>
                <w:rFonts w:eastAsia="Times New Roman"/>
                <w:sz w:val="20"/>
                <w:szCs w:val="20"/>
              </w:rPr>
            </w:pPr>
          </w:p>
        </w:tc>
        <w:tc>
          <w:tcPr>
            <w:tcW w:w="0" w:type="auto"/>
            <w:vAlign w:val="center"/>
            <w:hideMark/>
          </w:tcPr>
          <w:p w14:paraId="33523AA3" w14:textId="77777777" w:rsidR="00000000" w:rsidRDefault="00195E73">
            <w:pPr>
              <w:rPr>
                <w:rFonts w:eastAsia="Times New Roman"/>
                <w:sz w:val="20"/>
                <w:szCs w:val="20"/>
              </w:rPr>
            </w:pPr>
          </w:p>
        </w:tc>
        <w:tc>
          <w:tcPr>
            <w:tcW w:w="0" w:type="auto"/>
            <w:vAlign w:val="center"/>
            <w:hideMark/>
          </w:tcPr>
          <w:p w14:paraId="74A03D8D" w14:textId="77777777" w:rsidR="00000000" w:rsidRDefault="00195E73">
            <w:pPr>
              <w:rPr>
                <w:rFonts w:eastAsia="Times New Roman"/>
                <w:sz w:val="20"/>
                <w:szCs w:val="20"/>
              </w:rPr>
            </w:pPr>
          </w:p>
        </w:tc>
      </w:tr>
      <w:tr w:rsidR="00000000" w14:paraId="05A8160B" w14:textId="77777777">
        <w:trPr>
          <w:divId w:val="720129760"/>
          <w:jc w:val="center"/>
        </w:trPr>
        <w:tc>
          <w:tcPr>
            <w:tcW w:w="0" w:type="auto"/>
            <w:gridSpan w:val="3"/>
            <w:shd w:val="clear" w:color="auto" w:fill="CCEEFF"/>
            <w:tcMar>
              <w:top w:w="30" w:type="dxa"/>
              <w:left w:w="20" w:type="dxa"/>
              <w:bottom w:w="30" w:type="dxa"/>
              <w:right w:w="20" w:type="dxa"/>
            </w:tcMar>
            <w:vAlign w:val="bottom"/>
            <w:hideMark/>
          </w:tcPr>
          <w:p w14:paraId="69FA0111" w14:textId="77777777" w:rsidR="00000000" w:rsidRDefault="00195E73">
            <w:pPr>
              <w:ind w:hanging="180"/>
              <w:divId w:val="327057069"/>
              <w:rPr>
                <w:rFonts w:eastAsia="Times New Roman"/>
              </w:rPr>
            </w:pPr>
            <w:r>
              <w:rPr>
                <w:rFonts w:eastAsia="Times New Roman"/>
                <w:color w:val="000000"/>
                <w:sz w:val="20"/>
                <w:szCs w:val="20"/>
              </w:rPr>
              <w:t xml:space="preserve">Limited partners: Depositary units: 214,078,558 and 191,366,097 </w:t>
            </w:r>
            <w:r>
              <w:rPr>
                <w:rFonts w:eastAsia="Times New Roman"/>
                <w:color w:val="000000"/>
                <w:sz w:val="20"/>
                <w:szCs w:val="20"/>
              </w:rPr>
              <w:t>units issued and outstanding at December 31, 2019 and 2018, respectivel</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3707CE54" w14:textId="77777777" w:rsidR="00000000" w:rsidRDefault="00195E73">
            <w:pPr>
              <w:jc w:val="right"/>
              <w:rPr>
                <w:rFonts w:eastAsia="Times New Roman"/>
              </w:rPr>
            </w:pPr>
            <w:r>
              <w:rPr>
                <w:rFonts w:eastAsia="Times New Roman"/>
                <w:color w:val="000000"/>
                <w:sz w:val="20"/>
                <w:szCs w:val="20"/>
              </w:rPr>
              <w:t>6,268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1834E9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6B148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FE794B" w14:textId="77777777" w:rsidR="00000000" w:rsidRDefault="00195E73">
            <w:pPr>
              <w:jc w:val="right"/>
              <w:rPr>
                <w:rFonts w:eastAsia="Times New Roman"/>
              </w:rPr>
            </w:pPr>
            <w:r>
              <w:rPr>
                <w:rFonts w:eastAsia="Times New Roman"/>
                <w:color w:val="000000"/>
                <w:sz w:val="20"/>
                <w:szCs w:val="20"/>
              </w:rPr>
              <w:t>7,350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88029A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7CBE695" w14:textId="77777777" w:rsidR="00000000" w:rsidRDefault="00195E73">
            <w:pPr>
              <w:rPr>
                <w:rFonts w:eastAsia="Times New Roman"/>
                <w:sz w:val="20"/>
                <w:szCs w:val="20"/>
              </w:rPr>
            </w:pPr>
          </w:p>
        </w:tc>
        <w:tc>
          <w:tcPr>
            <w:tcW w:w="0" w:type="auto"/>
            <w:vAlign w:val="center"/>
            <w:hideMark/>
          </w:tcPr>
          <w:p w14:paraId="7459AAF5" w14:textId="77777777" w:rsidR="00000000" w:rsidRDefault="00195E73">
            <w:pPr>
              <w:rPr>
                <w:rFonts w:eastAsia="Times New Roman"/>
                <w:sz w:val="20"/>
                <w:szCs w:val="20"/>
              </w:rPr>
            </w:pPr>
          </w:p>
        </w:tc>
        <w:tc>
          <w:tcPr>
            <w:tcW w:w="0" w:type="auto"/>
            <w:vAlign w:val="center"/>
            <w:hideMark/>
          </w:tcPr>
          <w:p w14:paraId="2F006820" w14:textId="77777777" w:rsidR="00000000" w:rsidRDefault="00195E73">
            <w:pPr>
              <w:rPr>
                <w:rFonts w:eastAsia="Times New Roman"/>
                <w:sz w:val="20"/>
                <w:szCs w:val="20"/>
              </w:rPr>
            </w:pPr>
          </w:p>
        </w:tc>
        <w:tc>
          <w:tcPr>
            <w:tcW w:w="0" w:type="auto"/>
            <w:vAlign w:val="center"/>
            <w:hideMark/>
          </w:tcPr>
          <w:p w14:paraId="3DA7557D" w14:textId="77777777" w:rsidR="00000000" w:rsidRDefault="00195E73">
            <w:pPr>
              <w:rPr>
                <w:rFonts w:eastAsia="Times New Roman"/>
                <w:sz w:val="20"/>
                <w:szCs w:val="20"/>
              </w:rPr>
            </w:pPr>
          </w:p>
        </w:tc>
        <w:tc>
          <w:tcPr>
            <w:tcW w:w="0" w:type="auto"/>
            <w:vAlign w:val="center"/>
            <w:hideMark/>
          </w:tcPr>
          <w:p w14:paraId="57876949" w14:textId="77777777" w:rsidR="00000000" w:rsidRDefault="00195E73">
            <w:pPr>
              <w:rPr>
                <w:rFonts w:eastAsia="Times New Roman"/>
                <w:sz w:val="20"/>
                <w:szCs w:val="20"/>
              </w:rPr>
            </w:pPr>
          </w:p>
        </w:tc>
        <w:tc>
          <w:tcPr>
            <w:tcW w:w="0" w:type="auto"/>
            <w:vAlign w:val="center"/>
            <w:hideMark/>
          </w:tcPr>
          <w:p w14:paraId="00DEFD4D" w14:textId="77777777" w:rsidR="00000000" w:rsidRDefault="00195E73">
            <w:pPr>
              <w:rPr>
                <w:rFonts w:eastAsia="Times New Roman"/>
                <w:sz w:val="20"/>
                <w:szCs w:val="20"/>
              </w:rPr>
            </w:pPr>
          </w:p>
        </w:tc>
      </w:tr>
      <w:tr w:rsidR="00000000" w14:paraId="16484F2E" w14:textId="77777777">
        <w:trPr>
          <w:divId w:val="720129760"/>
          <w:jc w:val="center"/>
        </w:trPr>
        <w:tc>
          <w:tcPr>
            <w:tcW w:w="0" w:type="auto"/>
            <w:gridSpan w:val="3"/>
            <w:shd w:val="clear" w:color="auto" w:fill="FFFFFF"/>
            <w:tcMar>
              <w:top w:w="30" w:type="dxa"/>
              <w:left w:w="180" w:type="dxa"/>
              <w:bottom w:w="30" w:type="dxa"/>
              <w:right w:w="20" w:type="dxa"/>
            </w:tcMar>
            <w:vAlign w:val="bottom"/>
            <w:hideMark/>
          </w:tcPr>
          <w:p w14:paraId="1C6257C6" w14:textId="77777777" w:rsidR="00000000" w:rsidRDefault="00195E73">
            <w:pPr>
              <w:rPr>
                <w:rFonts w:eastAsia="Times New Roman"/>
              </w:rPr>
            </w:pPr>
            <w:r>
              <w:rPr>
                <w:rFonts w:eastAsia="Times New Roman"/>
                <w:color w:val="000000"/>
                <w:sz w:val="20"/>
                <w:szCs w:val="20"/>
              </w:rPr>
              <w:t>General partne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03CE199D" w14:textId="77777777" w:rsidR="00000000" w:rsidRDefault="00195E73">
            <w:pPr>
              <w:jc w:val="right"/>
              <w:rPr>
                <w:rFonts w:eastAsia="Times New Roman"/>
              </w:rPr>
            </w:pPr>
            <w:r>
              <w:rPr>
                <w:rFonts w:eastAsia="Times New Roman"/>
                <w:color w:val="000000"/>
                <w:sz w:val="20"/>
                <w:szCs w:val="20"/>
              </w:rPr>
              <w:t>(812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4B9459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2AF476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52E338" w14:textId="77777777" w:rsidR="00000000" w:rsidRDefault="00195E73">
            <w:pPr>
              <w:jc w:val="right"/>
              <w:rPr>
                <w:rFonts w:eastAsia="Times New Roman"/>
              </w:rPr>
            </w:pPr>
            <w:r>
              <w:rPr>
                <w:rFonts w:eastAsia="Times New Roman"/>
                <w:color w:val="000000"/>
                <w:sz w:val="20"/>
                <w:szCs w:val="20"/>
              </w:rPr>
              <w:t>(790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BE39E4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63C7538" w14:textId="77777777" w:rsidR="00000000" w:rsidRDefault="00195E73">
            <w:pPr>
              <w:rPr>
                <w:rFonts w:eastAsia="Times New Roman"/>
                <w:sz w:val="20"/>
                <w:szCs w:val="20"/>
              </w:rPr>
            </w:pPr>
          </w:p>
        </w:tc>
        <w:tc>
          <w:tcPr>
            <w:tcW w:w="0" w:type="auto"/>
            <w:vAlign w:val="center"/>
            <w:hideMark/>
          </w:tcPr>
          <w:p w14:paraId="7869B43D" w14:textId="77777777" w:rsidR="00000000" w:rsidRDefault="00195E73">
            <w:pPr>
              <w:rPr>
                <w:rFonts w:eastAsia="Times New Roman"/>
                <w:sz w:val="20"/>
                <w:szCs w:val="20"/>
              </w:rPr>
            </w:pPr>
          </w:p>
        </w:tc>
        <w:tc>
          <w:tcPr>
            <w:tcW w:w="0" w:type="auto"/>
            <w:vAlign w:val="center"/>
            <w:hideMark/>
          </w:tcPr>
          <w:p w14:paraId="0A3492A2" w14:textId="77777777" w:rsidR="00000000" w:rsidRDefault="00195E73">
            <w:pPr>
              <w:rPr>
                <w:rFonts w:eastAsia="Times New Roman"/>
                <w:sz w:val="20"/>
                <w:szCs w:val="20"/>
              </w:rPr>
            </w:pPr>
          </w:p>
        </w:tc>
        <w:tc>
          <w:tcPr>
            <w:tcW w:w="0" w:type="auto"/>
            <w:vAlign w:val="center"/>
            <w:hideMark/>
          </w:tcPr>
          <w:p w14:paraId="1DE9F7BE" w14:textId="77777777" w:rsidR="00000000" w:rsidRDefault="00195E73">
            <w:pPr>
              <w:rPr>
                <w:rFonts w:eastAsia="Times New Roman"/>
                <w:sz w:val="20"/>
                <w:szCs w:val="20"/>
              </w:rPr>
            </w:pPr>
          </w:p>
        </w:tc>
        <w:tc>
          <w:tcPr>
            <w:tcW w:w="0" w:type="auto"/>
            <w:vAlign w:val="center"/>
            <w:hideMark/>
          </w:tcPr>
          <w:p w14:paraId="33D1F1EA" w14:textId="77777777" w:rsidR="00000000" w:rsidRDefault="00195E73">
            <w:pPr>
              <w:rPr>
                <w:rFonts w:eastAsia="Times New Roman"/>
                <w:sz w:val="20"/>
                <w:szCs w:val="20"/>
              </w:rPr>
            </w:pPr>
          </w:p>
        </w:tc>
        <w:tc>
          <w:tcPr>
            <w:tcW w:w="0" w:type="auto"/>
            <w:vAlign w:val="center"/>
            <w:hideMark/>
          </w:tcPr>
          <w:p w14:paraId="183A7933" w14:textId="77777777" w:rsidR="00000000" w:rsidRDefault="00195E73">
            <w:pPr>
              <w:rPr>
                <w:rFonts w:eastAsia="Times New Roman"/>
                <w:sz w:val="20"/>
                <w:szCs w:val="20"/>
              </w:rPr>
            </w:pPr>
          </w:p>
        </w:tc>
      </w:tr>
      <w:tr w:rsidR="00000000" w14:paraId="1D34F00A" w14:textId="77777777">
        <w:trPr>
          <w:divId w:val="720129760"/>
          <w:jc w:val="center"/>
        </w:trPr>
        <w:tc>
          <w:tcPr>
            <w:tcW w:w="0" w:type="auto"/>
            <w:gridSpan w:val="3"/>
            <w:shd w:val="clear" w:color="auto" w:fill="CCEEFF"/>
            <w:tcMar>
              <w:top w:w="30" w:type="dxa"/>
              <w:left w:w="20" w:type="dxa"/>
              <w:bottom w:w="30" w:type="dxa"/>
              <w:right w:w="20" w:type="dxa"/>
            </w:tcMar>
            <w:vAlign w:val="bottom"/>
            <w:hideMark/>
          </w:tcPr>
          <w:p w14:paraId="6F124D48" w14:textId="77777777" w:rsidR="00000000" w:rsidRDefault="00195E73">
            <w:pPr>
              <w:rPr>
                <w:rFonts w:eastAsia="Times New Roman"/>
              </w:rPr>
            </w:pPr>
            <w:r>
              <w:rPr>
                <w:rFonts w:eastAsia="Times New Roman"/>
                <w:color w:val="000000"/>
                <w:sz w:val="20"/>
                <w:szCs w:val="20"/>
              </w:rPr>
              <w:t>Equity attributable to Icahn Enterprise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2BBE7D" w14:textId="77777777" w:rsidR="00000000" w:rsidRDefault="00195E73">
            <w:pPr>
              <w:jc w:val="right"/>
              <w:rPr>
                <w:rFonts w:eastAsia="Times New Roman"/>
              </w:rPr>
            </w:pPr>
            <w:r>
              <w:rPr>
                <w:rFonts w:eastAsia="Times New Roman"/>
                <w:color w:val="000000"/>
                <w:sz w:val="20"/>
                <w:szCs w:val="20"/>
              </w:rPr>
              <w:t>5,456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5379AA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134B8F4"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A86300" w14:textId="77777777" w:rsidR="00000000" w:rsidRDefault="00195E73">
            <w:pPr>
              <w:jc w:val="right"/>
              <w:rPr>
                <w:rFonts w:eastAsia="Times New Roman"/>
              </w:rPr>
            </w:pPr>
            <w:r>
              <w:rPr>
                <w:rFonts w:eastAsia="Times New Roman"/>
                <w:color w:val="000000"/>
                <w:sz w:val="20"/>
                <w:szCs w:val="20"/>
              </w:rPr>
              <w:t>6,560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CEAC23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52A12FF" w14:textId="77777777" w:rsidR="00000000" w:rsidRDefault="00195E73">
            <w:pPr>
              <w:rPr>
                <w:rFonts w:eastAsia="Times New Roman"/>
                <w:sz w:val="20"/>
                <w:szCs w:val="20"/>
              </w:rPr>
            </w:pPr>
          </w:p>
        </w:tc>
        <w:tc>
          <w:tcPr>
            <w:tcW w:w="0" w:type="auto"/>
            <w:vAlign w:val="center"/>
            <w:hideMark/>
          </w:tcPr>
          <w:p w14:paraId="2A279801" w14:textId="77777777" w:rsidR="00000000" w:rsidRDefault="00195E73">
            <w:pPr>
              <w:rPr>
                <w:rFonts w:eastAsia="Times New Roman"/>
                <w:sz w:val="20"/>
                <w:szCs w:val="20"/>
              </w:rPr>
            </w:pPr>
          </w:p>
        </w:tc>
        <w:tc>
          <w:tcPr>
            <w:tcW w:w="0" w:type="auto"/>
            <w:vAlign w:val="center"/>
            <w:hideMark/>
          </w:tcPr>
          <w:p w14:paraId="4BFF3042" w14:textId="77777777" w:rsidR="00000000" w:rsidRDefault="00195E73">
            <w:pPr>
              <w:rPr>
                <w:rFonts w:eastAsia="Times New Roman"/>
                <w:sz w:val="20"/>
                <w:szCs w:val="20"/>
              </w:rPr>
            </w:pPr>
          </w:p>
        </w:tc>
        <w:tc>
          <w:tcPr>
            <w:tcW w:w="0" w:type="auto"/>
            <w:vAlign w:val="center"/>
            <w:hideMark/>
          </w:tcPr>
          <w:p w14:paraId="17EB4246" w14:textId="77777777" w:rsidR="00000000" w:rsidRDefault="00195E73">
            <w:pPr>
              <w:rPr>
                <w:rFonts w:eastAsia="Times New Roman"/>
                <w:sz w:val="20"/>
                <w:szCs w:val="20"/>
              </w:rPr>
            </w:pPr>
          </w:p>
        </w:tc>
        <w:tc>
          <w:tcPr>
            <w:tcW w:w="0" w:type="auto"/>
            <w:vAlign w:val="center"/>
            <w:hideMark/>
          </w:tcPr>
          <w:p w14:paraId="375A394B" w14:textId="77777777" w:rsidR="00000000" w:rsidRDefault="00195E73">
            <w:pPr>
              <w:rPr>
                <w:rFonts w:eastAsia="Times New Roman"/>
                <w:sz w:val="20"/>
                <w:szCs w:val="20"/>
              </w:rPr>
            </w:pPr>
          </w:p>
        </w:tc>
        <w:tc>
          <w:tcPr>
            <w:tcW w:w="0" w:type="auto"/>
            <w:vAlign w:val="center"/>
            <w:hideMark/>
          </w:tcPr>
          <w:p w14:paraId="1B54BF20" w14:textId="77777777" w:rsidR="00000000" w:rsidRDefault="00195E73">
            <w:pPr>
              <w:rPr>
                <w:rFonts w:eastAsia="Times New Roman"/>
                <w:sz w:val="20"/>
                <w:szCs w:val="20"/>
              </w:rPr>
            </w:pPr>
          </w:p>
        </w:tc>
      </w:tr>
      <w:tr w:rsidR="00000000" w14:paraId="6DE913A5"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12E97911" w14:textId="77777777" w:rsidR="00000000" w:rsidRDefault="00195E73">
            <w:pPr>
              <w:rPr>
                <w:rFonts w:eastAsia="Times New Roman"/>
              </w:rPr>
            </w:pPr>
            <w:r>
              <w:rPr>
                <w:rFonts w:eastAsia="Times New Roman"/>
                <w:color w:val="000000"/>
                <w:sz w:val="20"/>
                <w:szCs w:val="20"/>
              </w:rPr>
              <w:t>Equity attributable to non-controlling interest</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D634F4" w14:textId="77777777" w:rsidR="00000000" w:rsidRDefault="00195E73">
            <w:pPr>
              <w:jc w:val="right"/>
              <w:rPr>
                <w:rFonts w:eastAsia="Times New Roman"/>
              </w:rPr>
            </w:pPr>
            <w:r>
              <w:rPr>
                <w:rFonts w:eastAsia="Times New Roman"/>
                <w:color w:val="000000"/>
                <w:sz w:val="20"/>
                <w:szCs w:val="20"/>
              </w:rPr>
              <w:t>5,486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1BA3BD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095D68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54FBAD" w14:textId="77777777" w:rsidR="00000000" w:rsidRDefault="00195E73">
            <w:pPr>
              <w:jc w:val="right"/>
              <w:rPr>
                <w:rFonts w:eastAsia="Times New Roman"/>
              </w:rPr>
            </w:pPr>
            <w:r>
              <w:rPr>
                <w:rFonts w:eastAsia="Times New Roman"/>
                <w:color w:val="000000"/>
                <w:sz w:val="20"/>
                <w:szCs w:val="20"/>
              </w:rPr>
              <w:t>6,420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A47D98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170633C" w14:textId="77777777" w:rsidR="00000000" w:rsidRDefault="00195E73">
            <w:pPr>
              <w:rPr>
                <w:rFonts w:eastAsia="Times New Roman"/>
                <w:sz w:val="20"/>
                <w:szCs w:val="20"/>
              </w:rPr>
            </w:pPr>
          </w:p>
        </w:tc>
        <w:tc>
          <w:tcPr>
            <w:tcW w:w="0" w:type="auto"/>
            <w:vAlign w:val="center"/>
            <w:hideMark/>
          </w:tcPr>
          <w:p w14:paraId="5F9BDD2C" w14:textId="77777777" w:rsidR="00000000" w:rsidRDefault="00195E73">
            <w:pPr>
              <w:rPr>
                <w:rFonts w:eastAsia="Times New Roman"/>
                <w:sz w:val="20"/>
                <w:szCs w:val="20"/>
              </w:rPr>
            </w:pPr>
          </w:p>
        </w:tc>
        <w:tc>
          <w:tcPr>
            <w:tcW w:w="0" w:type="auto"/>
            <w:vAlign w:val="center"/>
            <w:hideMark/>
          </w:tcPr>
          <w:p w14:paraId="7980BBCB" w14:textId="77777777" w:rsidR="00000000" w:rsidRDefault="00195E73">
            <w:pPr>
              <w:rPr>
                <w:rFonts w:eastAsia="Times New Roman"/>
                <w:sz w:val="20"/>
                <w:szCs w:val="20"/>
              </w:rPr>
            </w:pPr>
          </w:p>
        </w:tc>
        <w:tc>
          <w:tcPr>
            <w:tcW w:w="0" w:type="auto"/>
            <w:vAlign w:val="center"/>
            <w:hideMark/>
          </w:tcPr>
          <w:p w14:paraId="5AB160A4" w14:textId="77777777" w:rsidR="00000000" w:rsidRDefault="00195E73">
            <w:pPr>
              <w:rPr>
                <w:rFonts w:eastAsia="Times New Roman"/>
                <w:sz w:val="20"/>
                <w:szCs w:val="20"/>
              </w:rPr>
            </w:pPr>
          </w:p>
        </w:tc>
        <w:tc>
          <w:tcPr>
            <w:tcW w:w="0" w:type="auto"/>
            <w:vAlign w:val="center"/>
            <w:hideMark/>
          </w:tcPr>
          <w:p w14:paraId="61D56432" w14:textId="77777777" w:rsidR="00000000" w:rsidRDefault="00195E73">
            <w:pPr>
              <w:rPr>
                <w:rFonts w:eastAsia="Times New Roman"/>
                <w:sz w:val="20"/>
                <w:szCs w:val="20"/>
              </w:rPr>
            </w:pPr>
          </w:p>
        </w:tc>
        <w:tc>
          <w:tcPr>
            <w:tcW w:w="0" w:type="auto"/>
            <w:vAlign w:val="center"/>
            <w:hideMark/>
          </w:tcPr>
          <w:p w14:paraId="5271AC3A" w14:textId="77777777" w:rsidR="00000000" w:rsidRDefault="00195E73">
            <w:pPr>
              <w:rPr>
                <w:rFonts w:eastAsia="Times New Roman"/>
                <w:sz w:val="20"/>
                <w:szCs w:val="20"/>
              </w:rPr>
            </w:pPr>
          </w:p>
        </w:tc>
      </w:tr>
      <w:tr w:rsidR="00000000" w14:paraId="0E929F9B" w14:textId="77777777">
        <w:trPr>
          <w:divId w:val="720129760"/>
          <w:jc w:val="center"/>
        </w:trPr>
        <w:tc>
          <w:tcPr>
            <w:tcW w:w="0" w:type="auto"/>
            <w:gridSpan w:val="3"/>
            <w:shd w:val="clear" w:color="auto" w:fill="CCEEFF"/>
            <w:tcMar>
              <w:top w:w="30" w:type="dxa"/>
              <w:left w:w="20" w:type="dxa"/>
              <w:bottom w:w="30" w:type="dxa"/>
              <w:right w:w="20" w:type="dxa"/>
            </w:tcMar>
            <w:vAlign w:val="bottom"/>
            <w:hideMark/>
          </w:tcPr>
          <w:p w14:paraId="21A39455" w14:textId="77777777" w:rsidR="00000000" w:rsidRDefault="00195E73">
            <w:pPr>
              <w:rPr>
                <w:rFonts w:eastAsia="Times New Roman"/>
              </w:rPr>
            </w:pPr>
            <w:r>
              <w:rPr>
                <w:rFonts w:eastAsia="Times New Roman"/>
                <w:color w:val="000000"/>
                <w:sz w:val="20"/>
                <w:szCs w:val="20"/>
              </w:rPr>
              <w:t>Total equit</w:t>
            </w:r>
            <w:r>
              <w:rPr>
                <w:rFonts w:eastAsia="Times New Roman"/>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7E503B" w14:textId="77777777" w:rsidR="00000000" w:rsidRDefault="00195E73">
            <w:pPr>
              <w:jc w:val="right"/>
              <w:rPr>
                <w:rFonts w:eastAsia="Times New Roman"/>
              </w:rPr>
            </w:pPr>
            <w:r>
              <w:rPr>
                <w:rFonts w:eastAsia="Times New Roman"/>
                <w:color w:val="000000"/>
                <w:sz w:val="20"/>
                <w:szCs w:val="20"/>
              </w:rPr>
              <w:t>10,942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7D8A89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DC9B6A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70E4CF" w14:textId="77777777" w:rsidR="00000000" w:rsidRDefault="00195E73">
            <w:pPr>
              <w:jc w:val="right"/>
              <w:rPr>
                <w:rFonts w:eastAsia="Times New Roman"/>
              </w:rPr>
            </w:pPr>
            <w:r>
              <w:rPr>
                <w:rFonts w:eastAsia="Times New Roman"/>
                <w:color w:val="000000"/>
                <w:sz w:val="20"/>
                <w:szCs w:val="20"/>
              </w:rPr>
              <w:t>12,980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C069F4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5187A72" w14:textId="77777777" w:rsidR="00000000" w:rsidRDefault="00195E73">
            <w:pPr>
              <w:rPr>
                <w:rFonts w:eastAsia="Times New Roman"/>
                <w:sz w:val="20"/>
                <w:szCs w:val="20"/>
              </w:rPr>
            </w:pPr>
          </w:p>
        </w:tc>
        <w:tc>
          <w:tcPr>
            <w:tcW w:w="0" w:type="auto"/>
            <w:vAlign w:val="center"/>
            <w:hideMark/>
          </w:tcPr>
          <w:p w14:paraId="771E4E96" w14:textId="77777777" w:rsidR="00000000" w:rsidRDefault="00195E73">
            <w:pPr>
              <w:rPr>
                <w:rFonts w:eastAsia="Times New Roman"/>
                <w:sz w:val="20"/>
                <w:szCs w:val="20"/>
              </w:rPr>
            </w:pPr>
          </w:p>
        </w:tc>
        <w:tc>
          <w:tcPr>
            <w:tcW w:w="0" w:type="auto"/>
            <w:vAlign w:val="center"/>
            <w:hideMark/>
          </w:tcPr>
          <w:p w14:paraId="60B9D543" w14:textId="77777777" w:rsidR="00000000" w:rsidRDefault="00195E73">
            <w:pPr>
              <w:rPr>
                <w:rFonts w:eastAsia="Times New Roman"/>
                <w:sz w:val="20"/>
                <w:szCs w:val="20"/>
              </w:rPr>
            </w:pPr>
          </w:p>
        </w:tc>
        <w:tc>
          <w:tcPr>
            <w:tcW w:w="0" w:type="auto"/>
            <w:vAlign w:val="center"/>
            <w:hideMark/>
          </w:tcPr>
          <w:p w14:paraId="54376672" w14:textId="77777777" w:rsidR="00000000" w:rsidRDefault="00195E73">
            <w:pPr>
              <w:rPr>
                <w:rFonts w:eastAsia="Times New Roman"/>
                <w:sz w:val="20"/>
                <w:szCs w:val="20"/>
              </w:rPr>
            </w:pPr>
          </w:p>
        </w:tc>
        <w:tc>
          <w:tcPr>
            <w:tcW w:w="0" w:type="auto"/>
            <w:vAlign w:val="center"/>
            <w:hideMark/>
          </w:tcPr>
          <w:p w14:paraId="6C620DF6" w14:textId="77777777" w:rsidR="00000000" w:rsidRDefault="00195E73">
            <w:pPr>
              <w:rPr>
                <w:rFonts w:eastAsia="Times New Roman"/>
                <w:sz w:val="20"/>
                <w:szCs w:val="20"/>
              </w:rPr>
            </w:pPr>
          </w:p>
        </w:tc>
        <w:tc>
          <w:tcPr>
            <w:tcW w:w="0" w:type="auto"/>
            <w:vAlign w:val="center"/>
            <w:hideMark/>
          </w:tcPr>
          <w:p w14:paraId="08BE7B73" w14:textId="77777777" w:rsidR="00000000" w:rsidRDefault="00195E73">
            <w:pPr>
              <w:rPr>
                <w:rFonts w:eastAsia="Times New Roman"/>
                <w:sz w:val="20"/>
                <w:szCs w:val="20"/>
              </w:rPr>
            </w:pPr>
          </w:p>
        </w:tc>
      </w:tr>
      <w:tr w:rsidR="00000000" w14:paraId="6D9569F5" w14:textId="77777777">
        <w:trPr>
          <w:divId w:val="720129760"/>
          <w:jc w:val="center"/>
        </w:trPr>
        <w:tc>
          <w:tcPr>
            <w:tcW w:w="0" w:type="auto"/>
            <w:gridSpan w:val="3"/>
            <w:shd w:val="clear" w:color="auto" w:fill="FFFFFF"/>
            <w:tcMar>
              <w:top w:w="30" w:type="dxa"/>
              <w:left w:w="20" w:type="dxa"/>
              <w:bottom w:w="30" w:type="dxa"/>
              <w:right w:w="20" w:type="dxa"/>
            </w:tcMar>
            <w:vAlign w:val="bottom"/>
            <w:hideMark/>
          </w:tcPr>
          <w:p w14:paraId="2A01B2F5" w14:textId="77777777" w:rsidR="00000000" w:rsidRDefault="00195E73">
            <w:pPr>
              <w:rPr>
                <w:rFonts w:eastAsia="Times New Roman"/>
              </w:rPr>
            </w:pPr>
            <w:r>
              <w:rPr>
                <w:rFonts w:eastAsia="Times New Roman"/>
                <w:b/>
                <w:bCs/>
                <w:color w:val="000000"/>
                <w:sz w:val="20"/>
                <w:szCs w:val="20"/>
              </w:rPr>
              <w:t>Total Liabilities and Equit</w:t>
            </w:r>
            <w:r>
              <w:rPr>
                <w:rFonts w:eastAsia="Times New Roman"/>
                <w:b/>
                <w:bCs/>
                <w:color w:val="000000"/>
                <w:sz w:val="20"/>
                <w:szCs w:val="20"/>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E3B3CF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19DBE85" w14:textId="77777777" w:rsidR="00000000" w:rsidRDefault="00195E73">
            <w:pPr>
              <w:jc w:val="right"/>
              <w:rPr>
                <w:rFonts w:eastAsia="Times New Roman"/>
              </w:rPr>
            </w:pPr>
            <w:r>
              <w:rPr>
                <w:rFonts w:eastAsia="Times New Roman"/>
                <w:color w:val="000000"/>
                <w:sz w:val="20"/>
                <w:szCs w:val="20"/>
              </w:rPr>
              <w:t>24,639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BA2CD6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FAEE77F"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3F3CF5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B67605B" w14:textId="77777777" w:rsidR="00000000" w:rsidRDefault="00195E73">
            <w:pPr>
              <w:jc w:val="right"/>
              <w:rPr>
                <w:rFonts w:eastAsia="Times New Roman"/>
              </w:rPr>
            </w:pPr>
            <w:r>
              <w:rPr>
                <w:rFonts w:eastAsia="Times New Roman"/>
                <w:color w:val="000000"/>
                <w:sz w:val="20"/>
                <w:szCs w:val="20"/>
              </w:rPr>
              <w:t>23,489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7E84BA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5AB92F8" w14:textId="77777777" w:rsidR="00000000" w:rsidRDefault="00195E73">
            <w:pPr>
              <w:rPr>
                <w:rFonts w:eastAsia="Times New Roman"/>
                <w:sz w:val="20"/>
                <w:szCs w:val="20"/>
              </w:rPr>
            </w:pPr>
          </w:p>
        </w:tc>
        <w:tc>
          <w:tcPr>
            <w:tcW w:w="0" w:type="auto"/>
            <w:vAlign w:val="center"/>
            <w:hideMark/>
          </w:tcPr>
          <w:p w14:paraId="3232289C" w14:textId="77777777" w:rsidR="00000000" w:rsidRDefault="00195E73">
            <w:pPr>
              <w:rPr>
                <w:rFonts w:eastAsia="Times New Roman"/>
                <w:sz w:val="20"/>
                <w:szCs w:val="20"/>
              </w:rPr>
            </w:pPr>
          </w:p>
        </w:tc>
        <w:tc>
          <w:tcPr>
            <w:tcW w:w="0" w:type="auto"/>
            <w:vAlign w:val="center"/>
            <w:hideMark/>
          </w:tcPr>
          <w:p w14:paraId="494CAD75" w14:textId="77777777" w:rsidR="00000000" w:rsidRDefault="00195E73">
            <w:pPr>
              <w:rPr>
                <w:rFonts w:eastAsia="Times New Roman"/>
                <w:sz w:val="20"/>
                <w:szCs w:val="20"/>
              </w:rPr>
            </w:pPr>
          </w:p>
        </w:tc>
        <w:tc>
          <w:tcPr>
            <w:tcW w:w="0" w:type="auto"/>
            <w:vAlign w:val="center"/>
            <w:hideMark/>
          </w:tcPr>
          <w:p w14:paraId="1DA7319B" w14:textId="77777777" w:rsidR="00000000" w:rsidRDefault="00195E73">
            <w:pPr>
              <w:rPr>
                <w:rFonts w:eastAsia="Times New Roman"/>
                <w:sz w:val="20"/>
                <w:szCs w:val="20"/>
              </w:rPr>
            </w:pPr>
          </w:p>
        </w:tc>
        <w:tc>
          <w:tcPr>
            <w:tcW w:w="0" w:type="auto"/>
            <w:vAlign w:val="center"/>
            <w:hideMark/>
          </w:tcPr>
          <w:p w14:paraId="3226C174" w14:textId="77777777" w:rsidR="00000000" w:rsidRDefault="00195E73">
            <w:pPr>
              <w:rPr>
                <w:rFonts w:eastAsia="Times New Roman"/>
                <w:sz w:val="20"/>
                <w:szCs w:val="20"/>
              </w:rPr>
            </w:pPr>
          </w:p>
        </w:tc>
        <w:tc>
          <w:tcPr>
            <w:tcW w:w="0" w:type="auto"/>
            <w:vAlign w:val="center"/>
            <w:hideMark/>
          </w:tcPr>
          <w:p w14:paraId="13D8572F" w14:textId="77777777" w:rsidR="00000000" w:rsidRDefault="00195E73">
            <w:pPr>
              <w:rPr>
                <w:rFonts w:eastAsia="Times New Roman"/>
                <w:sz w:val="20"/>
                <w:szCs w:val="20"/>
              </w:rPr>
            </w:pPr>
          </w:p>
        </w:tc>
      </w:tr>
    </w:tbl>
    <w:p w14:paraId="180ECB93" w14:textId="77777777" w:rsidR="00000000" w:rsidRDefault="00195E73">
      <w:pPr>
        <w:jc w:val="center"/>
        <w:divId w:val="292368784"/>
        <w:rPr>
          <w:rFonts w:eastAsia="Times New Roman"/>
        </w:rPr>
      </w:pPr>
    </w:p>
    <w:p w14:paraId="0AA48BB7" w14:textId="77777777" w:rsidR="00000000" w:rsidRDefault="00195E73">
      <w:pPr>
        <w:jc w:val="center"/>
        <w:divId w:val="1697004918"/>
        <w:rPr>
          <w:rFonts w:eastAsia="Times New Roman"/>
        </w:rPr>
      </w:pPr>
    </w:p>
    <w:p w14:paraId="65909FA1" w14:textId="77777777" w:rsidR="00000000" w:rsidRDefault="00195E73">
      <w:pPr>
        <w:jc w:val="center"/>
        <w:divId w:val="1665039282"/>
        <w:rPr>
          <w:rFonts w:eastAsia="Times New Roman"/>
        </w:rPr>
      </w:pPr>
    </w:p>
    <w:p w14:paraId="7848CD82" w14:textId="77777777" w:rsidR="00000000" w:rsidRDefault="00195E73">
      <w:pPr>
        <w:jc w:val="center"/>
        <w:divId w:val="250890026"/>
        <w:rPr>
          <w:rFonts w:eastAsia="Times New Roman"/>
        </w:rPr>
      </w:pPr>
    </w:p>
    <w:p w14:paraId="1C00F541" w14:textId="77777777" w:rsidR="00000000" w:rsidRDefault="00195E73">
      <w:pPr>
        <w:jc w:val="center"/>
        <w:divId w:val="1030571932"/>
        <w:rPr>
          <w:rFonts w:eastAsia="Times New Roman"/>
        </w:rPr>
      </w:pPr>
    </w:p>
    <w:p w14:paraId="6BCD905C" w14:textId="77777777" w:rsidR="00000000" w:rsidRDefault="00195E73">
      <w:pPr>
        <w:jc w:val="center"/>
        <w:divId w:val="1432699124"/>
        <w:rPr>
          <w:rFonts w:eastAsia="Times New Roman"/>
        </w:rPr>
      </w:pPr>
    </w:p>
    <w:p w14:paraId="4827F9C8" w14:textId="77777777" w:rsidR="00000000" w:rsidRDefault="00195E73">
      <w:pPr>
        <w:jc w:val="center"/>
        <w:divId w:val="1716810459"/>
        <w:rPr>
          <w:rFonts w:eastAsia="Times New Roman"/>
        </w:rPr>
      </w:pPr>
      <w:r>
        <w:rPr>
          <w:rFonts w:eastAsia="Times New Roman"/>
          <w:i/>
          <w:iCs/>
          <w:color w:val="000000"/>
          <w:sz w:val="20"/>
          <w:szCs w:val="20"/>
        </w:rPr>
        <w:t>See notes to consolidated financial statements</w:t>
      </w:r>
      <w:r>
        <w:rPr>
          <w:rFonts w:eastAsia="Times New Roman"/>
          <w:i/>
          <w:iCs/>
          <w:color w:val="000000"/>
          <w:sz w:val="20"/>
          <w:szCs w:val="20"/>
        </w:rPr>
        <w:t>.</w:t>
      </w:r>
    </w:p>
    <w:p w14:paraId="40A637E9" w14:textId="77777777" w:rsidR="00000000" w:rsidRDefault="00195E73">
      <w:pPr>
        <w:jc w:val="center"/>
        <w:divId w:val="1756702823"/>
        <w:rPr>
          <w:rFonts w:eastAsia="Times New Roman"/>
        </w:rPr>
      </w:pPr>
      <w:r>
        <w:rPr>
          <w:rFonts w:eastAsia="Times New Roman"/>
          <w:color w:val="000000"/>
          <w:sz w:val="20"/>
          <w:szCs w:val="20"/>
        </w:rPr>
        <w:t>5</w:t>
      </w:r>
      <w:r>
        <w:rPr>
          <w:rFonts w:eastAsia="Times New Roman"/>
          <w:color w:val="000000"/>
          <w:sz w:val="20"/>
          <w:szCs w:val="20"/>
        </w:rPr>
        <w:t>4</w:t>
      </w:r>
    </w:p>
    <w:p w14:paraId="43BBBFB5" w14:textId="77777777" w:rsidR="00000000" w:rsidRDefault="00195E73">
      <w:pPr>
        <w:rPr>
          <w:rFonts w:eastAsia="Times New Roman"/>
        </w:rPr>
      </w:pPr>
      <w:r>
        <w:rPr>
          <w:rFonts w:eastAsia="Times New Roman"/>
        </w:rPr>
        <w:pict w14:anchorId="1886C751">
          <v:rect id="_x0000_i1080" style="width:0;height:1.5pt" o:hralign="center" o:hrstd="t" o:hr="t" fillcolor="#a0a0a0" stroked="f"/>
        </w:pict>
      </w:r>
    </w:p>
    <w:p w14:paraId="14B66955" w14:textId="77777777" w:rsidR="00000000" w:rsidRDefault="00195E73">
      <w:pPr>
        <w:divId w:val="2096508893"/>
        <w:rPr>
          <w:rFonts w:eastAsia="Times New Roman"/>
        </w:rPr>
      </w:pPr>
    </w:p>
    <w:p w14:paraId="34F3AEE8" w14:textId="77777777" w:rsidR="00000000" w:rsidRDefault="00195E73">
      <w:pPr>
        <w:jc w:val="center"/>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0389C9A2" w14:textId="77777777" w:rsidR="00000000" w:rsidRDefault="00195E73">
      <w:pPr>
        <w:divId w:val="1093280836"/>
        <w:rPr>
          <w:rFonts w:eastAsia="Times New Roman"/>
        </w:rPr>
      </w:pPr>
    </w:p>
    <w:p w14:paraId="58090D0A" w14:textId="77777777" w:rsidR="00000000" w:rsidRDefault="00195E73">
      <w:pPr>
        <w:jc w:val="center"/>
        <w:rPr>
          <w:rFonts w:eastAsia="Times New Roman"/>
        </w:rPr>
      </w:pPr>
      <w:r>
        <w:rPr>
          <w:rFonts w:eastAsia="Times New Roman"/>
          <w:b/>
          <w:bCs/>
          <w:color w:val="000000"/>
          <w:sz w:val="20"/>
          <w:szCs w:val="20"/>
        </w:rPr>
        <w:t>CONSOLIDATED STATEMENTS OF OPERATION</w:t>
      </w:r>
      <w:r>
        <w:rPr>
          <w:rFonts w:eastAsia="Times New Roman"/>
          <w:b/>
          <w:bCs/>
          <w:color w:val="000000"/>
          <w:sz w:val="20"/>
          <w:szCs w:val="20"/>
        </w:rPr>
        <w:t>S</w:t>
      </w:r>
    </w:p>
    <w:p w14:paraId="6E461385" w14:textId="77777777" w:rsidR="00000000" w:rsidRDefault="00195E73">
      <w:pPr>
        <w:jc w:val="center"/>
        <w:rPr>
          <w:rFonts w:eastAsia="Times New Roman"/>
        </w:rPr>
      </w:pPr>
    </w:p>
    <w:p w14:paraId="1167BBD2" w14:textId="77777777" w:rsidR="00000000" w:rsidRDefault="00195E73">
      <w:pPr>
        <w:divId w:val="1574664142"/>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58"/>
        <w:gridCol w:w="4070"/>
        <w:gridCol w:w="58"/>
        <w:gridCol w:w="135"/>
        <w:gridCol w:w="938"/>
        <w:gridCol w:w="85"/>
        <w:gridCol w:w="36"/>
        <w:gridCol w:w="36"/>
        <w:gridCol w:w="36"/>
        <w:gridCol w:w="135"/>
        <w:gridCol w:w="924"/>
        <w:gridCol w:w="85"/>
        <w:gridCol w:w="36"/>
        <w:gridCol w:w="36"/>
        <w:gridCol w:w="36"/>
        <w:gridCol w:w="135"/>
        <w:gridCol w:w="925"/>
        <w:gridCol w:w="85"/>
        <w:gridCol w:w="36"/>
        <w:gridCol w:w="36"/>
        <w:gridCol w:w="36"/>
        <w:gridCol w:w="36"/>
        <w:gridCol w:w="36"/>
        <w:gridCol w:w="36"/>
        <w:gridCol w:w="36"/>
        <w:gridCol w:w="36"/>
        <w:gridCol w:w="36"/>
        <w:gridCol w:w="36"/>
        <w:gridCol w:w="36"/>
        <w:gridCol w:w="36"/>
      </w:tblGrid>
      <w:tr w:rsidR="00000000" w14:paraId="295DA5F3" w14:textId="77777777">
        <w:trPr>
          <w:gridAfter w:val="12"/>
          <w:divId w:val="1384790163"/>
          <w:jc w:val="center"/>
        </w:trPr>
        <w:tc>
          <w:tcPr>
            <w:tcW w:w="50" w:type="pct"/>
            <w:vAlign w:val="center"/>
            <w:hideMark/>
          </w:tcPr>
          <w:p w14:paraId="539D2D59" w14:textId="77777777" w:rsidR="00000000" w:rsidRDefault="00195E73">
            <w:pPr>
              <w:rPr>
                <w:rFonts w:eastAsia="Times New Roman"/>
              </w:rPr>
            </w:pPr>
          </w:p>
        </w:tc>
        <w:tc>
          <w:tcPr>
            <w:tcW w:w="2627" w:type="pct"/>
            <w:vAlign w:val="center"/>
            <w:hideMark/>
          </w:tcPr>
          <w:p w14:paraId="4FE182CD" w14:textId="77777777" w:rsidR="00000000" w:rsidRDefault="00195E73">
            <w:pPr>
              <w:rPr>
                <w:rFonts w:eastAsia="Times New Roman"/>
                <w:sz w:val="20"/>
                <w:szCs w:val="20"/>
              </w:rPr>
            </w:pPr>
          </w:p>
        </w:tc>
        <w:tc>
          <w:tcPr>
            <w:tcW w:w="50" w:type="pct"/>
            <w:vAlign w:val="center"/>
            <w:hideMark/>
          </w:tcPr>
          <w:p w14:paraId="1963D9A7" w14:textId="77777777" w:rsidR="00000000" w:rsidRDefault="00195E73">
            <w:pPr>
              <w:rPr>
                <w:rFonts w:eastAsia="Times New Roman"/>
                <w:sz w:val="20"/>
                <w:szCs w:val="20"/>
              </w:rPr>
            </w:pPr>
          </w:p>
        </w:tc>
        <w:tc>
          <w:tcPr>
            <w:tcW w:w="50" w:type="pct"/>
            <w:vAlign w:val="center"/>
            <w:hideMark/>
          </w:tcPr>
          <w:p w14:paraId="26A193B7" w14:textId="77777777" w:rsidR="00000000" w:rsidRDefault="00195E73">
            <w:pPr>
              <w:rPr>
                <w:rFonts w:eastAsia="Times New Roman"/>
                <w:sz w:val="20"/>
                <w:szCs w:val="20"/>
              </w:rPr>
            </w:pPr>
          </w:p>
        </w:tc>
        <w:tc>
          <w:tcPr>
            <w:tcW w:w="633" w:type="pct"/>
            <w:vAlign w:val="center"/>
            <w:hideMark/>
          </w:tcPr>
          <w:p w14:paraId="1FACA83A" w14:textId="77777777" w:rsidR="00000000" w:rsidRDefault="00195E73">
            <w:pPr>
              <w:rPr>
                <w:rFonts w:eastAsia="Times New Roman"/>
                <w:sz w:val="20"/>
                <w:szCs w:val="20"/>
              </w:rPr>
            </w:pPr>
          </w:p>
        </w:tc>
        <w:tc>
          <w:tcPr>
            <w:tcW w:w="50" w:type="pct"/>
            <w:vAlign w:val="center"/>
            <w:hideMark/>
          </w:tcPr>
          <w:p w14:paraId="3DBE7D41" w14:textId="77777777" w:rsidR="00000000" w:rsidRDefault="00195E73">
            <w:pPr>
              <w:rPr>
                <w:rFonts w:eastAsia="Times New Roman"/>
                <w:sz w:val="20"/>
                <w:szCs w:val="20"/>
              </w:rPr>
            </w:pPr>
          </w:p>
        </w:tc>
        <w:tc>
          <w:tcPr>
            <w:tcW w:w="5" w:type="pct"/>
            <w:vAlign w:val="center"/>
            <w:hideMark/>
          </w:tcPr>
          <w:p w14:paraId="4FD80BB1" w14:textId="77777777" w:rsidR="00000000" w:rsidRDefault="00195E73">
            <w:pPr>
              <w:rPr>
                <w:rFonts w:eastAsia="Times New Roman"/>
                <w:sz w:val="20"/>
                <w:szCs w:val="20"/>
              </w:rPr>
            </w:pPr>
          </w:p>
        </w:tc>
        <w:tc>
          <w:tcPr>
            <w:tcW w:w="26" w:type="pct"/>
            <w:vAlign w:val="center"/>
            <w:hideMark/>
          </w:tcPr>
          <w:p w14:paraId="2E45606A" w14:textId="77777777" w:rsidR="00000000" w:rsidRDefault="00195E73">
            <w:pPr>
              <w:rPr>
                <w:rFonts w:eastAsia="Times New Roman"/>
                <w:sz w:val="20"/>
                <w:szCs w:val="20"/>
              </w:rPr>
            </w:pPr>
          </w:p>
        </w:tc>
        <w:tc>
          <w:tcPr>
            <w:tcW w:w="5" w:type="pct"/>
            <w:vAlign w:val="center"/>
            <w:hideMark/>
          </w:tcPr>
          <w:p w14:paraId="3690978D" w14:textId="77777777" w:rsidR="00000000" w:rsidRDefault="00195E73">
            <w:pPr>
              <w:rPr>
                <w:rFonts w:eastAsia="Times New Roman"/>
                <w:sz w:val="20"/>
                <w:szCs w:val="20"/>
              </w:rPr>
            </w:pPr>
          </w:p>
        </w:tc>
        <w:tc>
          <w:tcPr>
            <w:tcW w:w="50" w:type="pct"/>
            <w:vAlign w:val="center"/>
            <w:hideMark/>
          </w:tcPr>
          <w:p w14:paraId="6412DC47" w14:textId="77777777" w:rsidR="00000000" w:rsidRDefault="00195E73">
            <w:pPr>
              <w:rPr>
                <w:rFonts w:eastAsia="Times New Roman"/>
                <w:sz w:val="20"/>
                <w:szCs w:val="20"/>
              </w:rPr>
            </w:pPr>
          </w:p>
        </w:tc>
        <w:tc>
          <w:tcPr>
            <w:tcW w:w="633" w:type="pct"/>
            <w:vAlign w:val="center"/>
            <w:hideMark/>
          </w:tcPr>
          <w:p w14:paraId="42998AC0" w14:textId="77777777" w:rsidR="00000000" w:rsidRDefault="00195E73">
            <w:pPr>
              <w:rPr>
                <w:rFonts w:eastAsia="Times New Roman"/>
                <w:sz w:val="20"/>
                <w:szCs w:val="20"/>
              </w:rPr>
            </w:pPr>
          </w:p>
        </w:tc>
        <w:tc>
          <w:tcPr>
            <w:tcW w:w="50" w:type="pct"/>
            <w:vAlign w:val="center"/>
            <w:hideMark/>
          </w:tcPr>
          <w:p w14:paraId="176CC45D" w14:textId="77777777" w:rsidR="00000000" w:rsidRDefault="00195E73">
            <w:pPr>
              <w:rPr>
                <w:rFonts w:eastAsia="Times New Roman"/>
                <w:sz w:val="20"/>
                <w:szCs w:val="20"/>
              </w:rPr>
            </w:pPr>
          </w:p>
        </w:tc>
        <w:tc>
          <w:tcPr>
            <w:tcW w:w="5" w:type="pct"/>
            <w:vAlign w:val="center"/>
            <w:hideMark/>
          </w:tcPr>
          <w:p w14:paraId="42B5EABE" w14:textId="77777777" w:rsidR="00000000" w:rsidRDefault="00195E73">
            <w:pPr>
              <w:rPr>
                <w:rFonts w:eastAsia="Times New Roman"/>
                <w:sz w:val="20"/>
                <w:szCs w:val="20"/>
              </w:rPr>
            </w:pPr>
          </w:p>
        </w:tc>
        <w:tc>
          <w:tcPr>
            <w:tcW w:w="26" w:type="pct"/>
            <w:vAlign w:val="center"/>
            <w:hideMark/>
          </w:tcPr>
          <w:p w14:paraId="57FB5563" w14:textId="77777777" w:rsidR="00000000" w:rsidRDefault="00195E73">
            <w:pPr>
              <w:rPr>
                <w:rFonts w:eastAsia="Times New Roman"/>
                <w:sz w:val="20"/>
                <w:szCs w:val="20"/>
              </w:rPr>
            </w:pPr>
          </w:p>
        </w:tc>
        <w:tc>
          <w:tcPr>
            <w:tcW w:w="5" w:type="pct"/>
            <w:vAlign w:val="center"/>
            <w:hideMark/>
          </w:tcPr>
          <w:p w14:paraId="6007930D" w14:textId="77777777" w:rsidR="00000000" w:rsidRDefault="00195E73">
            <w:pPr>
              <w:rPr>
                <w:rFonts w:eastAsia="Times New Roman"/>
                <w:sz w:val="20"/>
                <w:szCs w:val="20"/>
              </w:rPr>
            </w:pPr>
          </w:p>
        </w:tc>
        <w:tc>
          <w:tcPr>
            <w:tcW w:w="50" w:type="pct"/>
            <w:vAlign w:val="center"/>
            <w:hideMark/>
          </w:tcPr>
          <w:p w14:paraId="1DA13CA1" w14:textId="77777777" w:rsidR="00000000" w:rsidRDefault="00195E73">
            <w:pPr>
              <w:rPr>
                <w:rFonts w:eastAsia="Times New Roman"/>
                <w:sz w:val="20"/>
                <w:szCs w:val="20"/>
              </w:rPr>
            </w:pPr>
          </w:p>
        </w:tc>
        <w:tc>
          <w:tcPr>
            <w:tcW w:w="633" w:type="pct"/>
            <w:vAlign w:val="center"/>
            <w:hideMark/>
          </w:tcPr>
          <w:p w14:paraId="4D9FBD56" w14:textId="77777777" w:rsidR="00000000" w:rsidRDefault="00195E73">
            <w:pPr>
              <w:rPr>
                <w:rFonts w:eastAsia="Times New Roman"/>
                <w:sz w:val="20"/>
                <w:szCs w:val="20"/>
              </w:rPr>
            </w:pPr>
          </w:p>
        </w:tc>
        <w:tc>
          <w:tcPr>
            <w:tcW w:w="50" w:type="pct"/>
            <w:vAlign w:val="center"/>
            <w:hideMark/>
          </w:tcPr>
          <w:p w14:paraId="042F65B6" w14:textId="77777777" w:rsidR="00000000" w:rsidRDefault="00195E73">
            <w:pPr>
              <w:rPr>
                <w:rFonts w:eastAsia="Times New Roman"/>
                <w:sz w:val="20"/>
                <w:szCs w:val="20"/>
              </w:rPr>
            </w:pPr>
          </w:p>
        </w:tc>
      </w:tr>
      <w:tr w:rsidR="00000000" w14:paraId="5AE92F39" w14:textId="77777777">
        <w:trPr>
          <w:divId w:val="1384790163"/>
          <w:jc w:val="center"/>
        </w:trPr>
        <w:tc>
          <w:tcPr>
            <w:tcW w:w="0" w:type="auto"/>
            <w:gridSpan w:val="3"/>
            <w:tcMar>
              <w:top w:w="15" w:type="dxa"/>
              <w:left w:w="20" w:type="dxa"/>
              <w:bottom w:w="15" w:type="dxa"/>
              <w:right w:w="20" w:type="dxa"/>
            </w:tcMar>
            <w:vAlign w:val="bottom"/>
            <w:hideMark/>
          </w:tcPr>
          <w:p w14:paraId="08B422EA"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01AC1100"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4114E3FF" w14:textId="77777777" w:rsidR="00000000" w:rsidRDefault="00195E73">
            <w:pPr>
              <w:jc w:val="center"/>
              <w:rPr>
                <w:rFonts w:eastAsia="Times New Roman"/>
              </w:rPr>
            </w:pPr>
          </w:p>
        </w:tc>
        <w:tc>
          <w:tcPr>
            <w:tcW w:w="0" w:type="auto"/>
            <w:gridSpan w:val="3"/>
            <w:vAlign w:val="center"/>
            <w:hideMark/>
          </w:tcPr>
          <w:p w14:paraId="597B93EA" w14:textId="77777777" w:rsidR="00000000" w:rsidRDefault="00195E73">
            <w:pPr>
              <w:rPr>
                <w:rFonts w:eastAsia="Times New Roman"/>
                <w:sz w:val="20"/>
                <w:szCs w:val="20"/>
              </w:rPr>
            </w:pPr>
          </w:p>
        </w:tc>
        <w:tc>
          <w:tcPr>
            <w:tcW w:w="0" w:type="auto"/>
            <w:gridSpan w:val="3"/>
            <w:vAlign w:val="center"/>
            <w:hideMark/>
          </w:tcPr>
          <w:p w14:paraId="74E66686" w14:textId="77777777" w:rsidR="00000000" w:rsidRDefault="00195E73">
            <w:pPr>
              <w:rPr>
                <w:rFonts w:eastAsia="Times New Roman"/>
                <w:sz w:val="20"/>
                <w:szCs w:val="20"/>
              </w:rPr>
            </w:pPr>
          </w:p>
        </w:tc>
        <w:tc>
          <w:tcPr>
            <w:tcW w:w="0" w:type="auto"/>
            <w:gridSpan w:val="3"/>
            <w:vAlign w:val="center"/>
            <w:hideMark/>
          </w:tcPr>
          <w:p w14:paraId="45F81FCF" w14:textId="77777777" w:rsidR="00000000" w:rsidRDefault="00195E73">
            <w:pPr>
              <w:rPr>
                <w:rFonts w:eastAsia="Times New Roman"/>
                <w:sz w:val="20"/>
                <w:szCs w:val="20"/>
              </w:rPr>
            </w:pPr>
          </w:p>
        </w:tc>
      </w:tr>
      <w:tr w:rsidR="00000000" w14:paraId="56591A51" w14:textId="77777777">
        <w:trPr>
          <w:divId w:val="1384790163"/>
          <w:jc w:val="center"/>
        </w:trPr>
        <w:tc>
          <w:tcPr>
            <w:tcW w:w="0" w:type="auto"/>
            <w:gridSpan w:val="3"/>
            <w:tcMar>
              <w:top w:w="15" w:type="dxa"/>
              <w:left w:w="20" w:type="dxa"/>
              <w:bottom w:w="15" w:type="dxa"/>
              <w:right w:w="20" w:type="dxa"/>
            </w:tcMar>
            <w:vAlign w:val="bottom"/>
            <w:hideMark/>
          </w:tcPr>
          <w:p w14:paraId="3EC5948B"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CE0757C"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0A07D97C"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A2F2FCE"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2F49CFCC"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DB59668"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7A57F0B0" w14:textId="77777777" w:rsidR="00000000" w:rsidRDefault="00195E73">
            <w:pPr>
              <w:rPr>
                <w:rFonts w:eastAsia="Times New Roman"/>
                <w:sz w:val="20"/>
                <w:szCs w:val="20"/>
              </w:rPr>
            </w:pPr>
          </w:p>
        </w:tc>
        <w:tc>
          <w:tcPr>
            <w:tcW w:w="0" w:type="auto"/>
            <w:vAlign w:val="center"/>
            <w:hideMark/>
          </w:tcPr>
          <w:p w14:paraId="1AB99922" w14:textId="77777777" w:rsidR="00000000" w:rsidRDefault="00195E73">
            <w:pPr>
              <w:rPr>
                <w:rFonts w:eastAsia="Times New Roman"/>
                <w:sz w:val="20"/>
                <w:szCs w:val="20"/>
              </w:rPr>
            </w:pPr>
          </w:p>
        </w:tc>
        <w:tc>
          <w:tcPr>
            <w:tcW w:w="0" w:type="auto"/>
            <w:vAlign w:val="center"/>
            <w:hideMark/>
          </w:tcPr>
          <w:p w14:paraId="5D34774E" w14:textId="77777777" w:rsidR="00000000" w:rsidRDefault="00195E73">
            <w:pPr>
              <w:rPr>
                <w:rFonts w:eastAsia="Times New Roman"/>
                <w:sz w:val="20"/>
                <w:szCs w:val="20"/>
              </w:rPr>
            </w:pPr>
          </w:p>
        </w:tc>
        <w:tc>
          <w:tcPr>
            <w:tcW w:w="0" w:type="auto"/>
            <w:vAlign w:val="center"/>
            <w:hideMark/>
          </w:tcPr>
          <w:p w14:paraId="40D1CFE4" w14:textId="77777777" w:rsidR="00000000" w:rsidRDefault="00195E73">
            <w:pPr>
              <w:rPr>
                <w:rFonts w:eastAsia="Times New Roman"/>
                <w:sz w:val="20"/>
                <w:szCs w:val="20"/>
              </w:rPr>
            </w:pPr>
          </w:p>
        </w:tc>
        <w:tc>
          <w:tcPr>
            <w:tcW w:w="0" w:type="auto"/>
            <w:vAlign w:val="center"/>
            <w:hideMark/>
          </w:tcPr>
          <w:p w14:paraId="4C212E87" w14:textId="77777777" w:rsidR="00000000" w:rsidRDefault="00195E73">
            <w:pPr>
              <w:rPr>
                <w:rFonts w:eastAsia="Times New Roman"/>
                <w:sz w:val="20"/>
                <w:szCs w:val="20"/>
              </w:rPr>
            </w:pPr>
          </w:p>
        </w:tc>
        <w:tc>
          <w:tcPr>
            <w:tcW w:w="0" w:type="auto"/>
            <w:vAlign w:val="center"/>
            <w:hideMark/>
          </w:tcPr>
          <w:p w14:paraId="3002BC92" w14:textId="77777777" w:rsidR="00000000" w:rsidRDefault="00195E73">
            <w:pPr>
              <w:rPr>
                <w:rFonts w:eastAsia="Times New Roman"/>
                <w:sz w:val="20"/>
                <w:szCs w:val="20"/>
              </w:rPr>
            </w:pPr>
          </w:p>
        </w:tc>
        <w:tc>
          <w:tcPr>
            <w:tcW w:w="0" w:type="auto"/>
            <w:vAlign w:val="center"/>
            <w:hideMark/>
          </w:tcPr>
          <w:p w14:paraId="74090A79" w14:textId="77777777" w:rsidR="00000000" w:rsidRDefault="00195E73">
            <w:pPr>
              <w:rPr>
                <w:rFonts w:eastAsia="Times New Roman"/>
                <w:sz w:val="20"/>
                <w:szCs w:val="20"/>
              </w:rPr>
            </w:pPr>
          </w:p>
        </w:tc>
        <w:tc>
          <w:tcPr>
            <w:tcW w:w="0" w:type="auto"/>
            <w:vAlign w:val="center"/>
            <w:hideMark/>
          </w:tcPr>
          <w:p w14:paraId="19E3B135" w14:textId="77777777" w:rsidR="00000000" w:rsidRDefault="00195E73">
            <w:pPr>
              <w:rPr>
                <w:rFonts w:eastAsia="Times New Roman"/>
                <w:sz w:val="20"/>
                <w:szCs w:val="20"/>
              </w:rPr>
            </w:pPr>
          </w:p>
        </w:tc>
        <w:tc>
          <w:tcPr>
            <w:tcW w:w="0" w:type="auto"/>
            <w:vAlign w:val="center"/>
            <w:hideMark/>
          </w:tcPr>
          <w:p w14:paraId="4F11EB6F" w14:textId="77777777" w:rsidR="00000000" w:rsidRDefault="00195E73">
            <w:pPr>
              <w:rPr>
                <w:rFonts w:eastAsia="Times New Roman"/>
                <w:sz w:val="20"/>
                <w:szCs w:val="20"/>
              </w:rPr>
            </w:pPr>
          </w:p>
        </w:tc>
        <w:tc>
          <w:tcPr>
            <w:tcW w:w="0" w:type="auto"/>
            <w:vAlign w:val="center"/>
            <w:hideMark/>
          </w:tcPr>
          <w:p w14:paraId="7D81EF77" w14:textId="77777777" w:rsidR="00000000" w:rsidRDefault="00195E73">
            <w:pPr>
              <w:rPr>
                <w:rFonts w:eastAsia="Times New Roman"/>
                <w:sz w:val="20"/>
                <w:szCs w:val="20"/>
              </w:rPr>
            </w:pPr>
          </w:p>
        </w:tc>
        <w:tc>
          <w:tcPr>
            <w:tcW w:w="0" w:type="auto"/>
            <w:vAlign w:val="center"/>
            <w:hideMark/>
          </w:tcPr>
          <w:p w14:paraId="7CCCA8E1" w14:textId="77777777" w:rsidR="00000000" w:rsidRDefault="00195E73">
            <w:pPr>
              <w:rPr>
                <w:rFonts w:eastAsia="Times New Roman"/>
                <w:sz w:val="20"/>
                <w:szCs w:val="20"/>
              </w:rPr>
            </w:pPr>
          </w:p>
        </w:tc>
        <w:tc>
          <w:tcPr>
            <w:tcW w:w="0" w:type="auto"/>
            <w:vAlign w:val="center"/>
            <w:hideMark/>
          </w:tcPr>
          <w:p w14:paraId="5277BB4B" w14:textId="77777777" w:rsidR="00000000" w:rsidRDefault="00195E73">
            <w:pPr>
              <w:rPr>
                <w:rFonts w:eastAsia="Times New Roman"/>
                <w:sz w:val="20"/>
                <w:szCs w:val="20"/>
              </w:rPr>
            </w:pPr>
          </w:p>
        </w:tc>
      </w:tr>
      <w:tr w:rsidR="00000000" w14:paraId="23A6D873" w14:textId="77777777">
        <w:trPr>
          <w:divId w:val="1384790163"/>
          <w:jc w:val="center"/>
        </w:trPr>
        <w:tc>
          <w:tcPr>
            <w:tcW w:w="0" w:type="auto"/>
            <w:gridSpan w:val="3"/>
            <w:tcMar>
              <w:top w:w="30" w:type="dxa"/>
              <w:left w:w="20" w:type="dxa"/>
              <w:bottom w:w="30" w:type="dxa"/>
              <w:right w:w="20" w:type="dxa"/>
            </w:tcMar>
            <w:vAlign w:val="bottom"/>
            <w:hideMark/>
          </w:tcPr>
          <w:p w14:paraId="335368BF" w14:textId="77777777" w:rsidR="00000000" w:rsidRDefault="00195E73">
            <w:pPr>
              <w:rPr>
                <w:rFonts w:eastAsia="Times New Roman"/>
              </w:rPr>
            </w:pPr>
            <w:r>
              <w:rPr>
                <w:rFonts w:eastAsia="Times New Roman"/>
                <w:color w:val="000000"/>
                <w:sz w:val="20"/>
                <w:szCs w:val="20"/>
              </w:rPr>
              <w:t>Revenues</w:t>
            </w:r>
            <w:r>
              <w:rPr>
                <w:rFonts w:eastAsia="Times New Roman"/>
                <w:color w:val="000000"/>
                <w:sz w:val="20"/>
                <w:szCs w:val="20"/>
              </w:rPr>
              <w:t>:</w:t>
            </w:r>
          </w:p>
        </w:tc>
        <w:tc>
          <w:tcPr>
            <w:tcW w:w="0" w:type="auto"/>
            <w:gridSpan w:val="15"/>
            <w:tcBorders>
              <w:top w:val="single" w:sz="8" w:space="0" w:color="000000"/>
            </w:tcBorders>
            <w:tcMar>
              <w:top w:w="30" w:type="dxa"/>
              <w:left w:w="20" w:type="dxa"/>
              <w:bottom w:w="30" w:type="dxa"/>
              <w:right w:w="20" w:type="dxa"/>
            </w:tcMar>
            <w:vAlign w:val="bottom"/>
            <w:hideMark/>
          </w:tcPr>
          <w:p w14:paraId="21E640A1" w14:textId="77777777" w:rsidR="00000000" w:rsidRDefault="00195E73">
            <w:pPr>
              <w:jc w:val="center"/>
              <w:rPr>
                <w:rFonts w:eastAsia="Times New Roman"/>
              </w:rPr>
            </w:pPr>
            <w:r>
              <w:rPr>
                <w:rFonts w:eastAsia="Times New Roman"/>
                <w:color w:val="000000"/>
                <w:sz w:val="16"/>
                <w:szCs w:val="16"/>
              </w:rPr>
              <w:t>(In millions, except per unit amounts</w:t>
            </w:r>
            <w:r>
              <w:rPr>
                <w:rFonts w:eastAsia="Times New Roman"/>
                <w:color w:val="000000"/>
                <w:sz w:val="16"/>
                <w:szCs w:val="16"/>
              </w:rPr>
              <w:t>)</w:t>
            </w:r>
          </w:p>
        </w:tc>
        <w:tc>
          <w:tcPr>
            <w:tcW w:w="0" w:type="auto"/>
            <w:gridSpan w:val="3"/>
            <w:vAlign w:val="center"/>
            <w:hideMark/>
          </w:tcPr>
          <w:p w14:paraId="194A20C8" w14:textId="77777777" w:rsidR="00000000" w:rsidRDefault="00195E73">
            <w:pPr>
              <w:jc w:val="center"/>
              <w:rPr>
                <w:rFonts w:eastAsia="Times New Roman"/>
              </w:rPr>
            </w:pPr>
          </w:p>
        </w:tc>
        <w:tc>
          <w:tcPr>
            <w:tcW w:w="0" w:type="auto"/>
            <w:gridSpan w:val="3"/>
            <w:vAlign w:val="center"/>
            <w:hideMark/>
          </w:tcPr>
          <w:p w14:paraId="4BD8464A" w14:textId="77777777" w:rsidR="00000000" w:rsidRDefault="00195E73">
            <w:pPr>
              <w:rPr>
                <w:rFonts w:eastAsia="Times New Roman"/>
                <w:sz w:val="20"/>
                <w:szCs w:val="20"/>
              </w:rPr>
            </w:pPr>
          </w:p>
        </w:tc>
        <w:tc>
          <w:tcPr>
            <w:tcW w:w="0" w:type="auto"/>
            <w:gridSpan w:val="3"/>
            <w:vAlign w:val="center"/>
            <w:hideMark/>
          </w:tcPr>
          <w:p w14:paraId="430D501C" w14:textId="77777777" w:rsidR="00000000" w:rsidRDefault="00195E73">
            <w:pPr>
              <w:rPr>
                <w:rFonts w:eastAsia="Times New Roman"/>
                <w:sz w:val="20"/>
                <w:szCs w:val="20"/>
              </w:rPr>
            </w:pPr>
          </w:p>
        </w:tc>
        <w:tc>
          <w:tcPr>
            <w:tcW w:w="0" w:type="auto"/>
            <w:gridSpan w:val="3"/>
            <w:vAlign w:val="center"/>
            <w:hideMark/>
          </w:tcPr>
          <w:p w14:paraId="70C72A18" w14:textId="77777777" w:rsidR="00000000" w:rsidRDefault="00195E73">
            <w:pPr>
              <w:rPr>
                <w:rFonts w:eastAsia="Times New Roman"/>
                <w:sz w:val="20"/>
                <w:szCs w:val="20"/>
              </w:rPr>
            </w:pPr>
          </w:p>
        </w:tc>
      </w:tr>
      <w:tr w:rsidR="00000000" w14:paraId="61ED2F92" w14:textId="77777777">
        <w:trPr>
          <w:divId w:val="1384790163"/>
          <w:jc w:val="center"/>
        </w:trPr>
        <w:tc>
          <w:tcPr>
            <w:tcW w:w="0" w:type="auto"/>
            <w:gridSpan w:val="3"/>
            <w:shd w:val="clear" w:color="auto" w:fill="CCEEFF"/>
            <w:tcMar>
              <w:top w:w="30" w:type="dxa"/>
              <w:left w:w="20" w:type="dxa"/>
              <w:bottom w:w="30" w:type="dxa"/>
              <w:right w:w="20" w:type="dxa"/>
            </w:tcMar>
            <w:vAlign w:val="bottom"/>
            <w:hideMark/>
          </w:tcPr>
          <w:p w14:paraId="52CA85D3" w14:textId="77777777" w:rsidR="00000000" w:rsidRDefault="00195E73">
            <w:pPr>
              <w:rPr>
                <w:rFonts w:eastAsia="Times New Roman"/>
              </w:rPr>
            </w:pPr>
            <w:r>
              <w:rPr>
                <w:rFonts w:eastAsia="Times New Roman"/>
                <w:color w:val="000000"/>
                <w:sz w:val="20"/>
                <w:szCs w:val="20"/>
              </w:rPr>
              <w:t>   Net sale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3E7CC58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3B25F4C" w14:textId="77777777" w:rsidR="00000000" w:rsidRDefault="00195E73">
            <w:pPr>
              <w:jc w:val="right"/>
              <w:rPr>
                <w:rFonts w:eastAsia="Times New Roman"/>
              </w:rPr>
            </w:pPr>
            <w:r>
              <w:rPr>
                <w:rFonts w:eastAsia="Times New Roman"/>
                <w:color w:val="000000"/>
                <w:sz w:val="20"/>
                <w:szCs w:val="20"/>
              </w:rPr>
              <w:t>9,720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CFEDA9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815005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8B9EA1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F560C7B" w14:textId="77777777" w:rsidR="00000000" w:rsidRDefault="00195E73">
            <w:pPr>
              <w:jc w:val="right"/>
              <w:rPr>
                <w:rFonts w:eastAsia="Times New Roman"/>
              </w:rPr>
            </w:pPr>
            <w:r>
              <w:rPr>
                <w:rFonts w:eastAsia="Times New Roman"/>
                <w:color w:val="000000"/>
                <w:sz w:val="20"/>
                <w:szCs w:val="20"/>
              </w:rPr>
              <w:t>10,576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329B74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681A0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EBB10C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97E74E8" w14:textId="77777777" w:rsidR="00000000" w:rsidRDefault="00195E73">
            <w:pPr>
              <w:jc w:val="right"/>
              <w:rPr>
                <w:rFonts w:eastAsia="Times New Roman"/>
              </w:rPr>
            </w:pPr>
            <w:r>
              <w:rPr>
                <w:rFonts w:eastAsia="Times New Roman"/>
                <w:color w:val="000000"/>
                <w:sz w:val="20"/>
                <w:szCs w:val="20"/>
              </w:rPr>
              <w:t>9,306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357DC5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CAD03BE" w14:textId="77777777" w:rsidR="00000000" w:rsidRDefault="00195E73">
            <w:pPr>
              <w:rPr>
                <w:rFonts w:eastAsia="Times New Roman"/>
                <w:sz w:val="20"/>
                <w:szCs w:val="20"/>
              </w:rPr>
            </w:pPr>
          </w:p>
        </w:tc>
        <w:tc>
          <w:tcPr>
            <w:tcW w:w="0" w:type="auto"/>
            <w:vAlign w:val="center"/>
            <w:hideMark/>
          </w:tcPr>
          <w:p w14:paraId="74757FD0" w14:textId="77777777" w:rsidR="00000000" w:rsidRDefault="00195E73">
            <w:pPr>
              <w:rPr>
                <w:rFonts w:eastAsia="Times New Roman"/>
                <w:sz w:val="20"/>
                <w:szCs w:val="20"/>
              </w:rPr>
            </w:pPr>
          </w:p>
        </w:tc>
        <w:tc>
          <w:tcPr>
            <w:tcW w:w="0" w:type="auto"/>
            <w:vAlign w:val="center"/>
            <w:hideMark/>
          </w:tcPr>
          <w:p w14:paraId="5AB54F10" w14:textId="77777777" w:rsidR="00000000" w:rsidRDefault="00195E73">
            <w:pPr>
              <w:rPr>
                <w:rFonts w:eastAsia="Times New Roman"/>
                <w:sz w:val="20"/>
                <w:szCs w:val="20"/>
              </w:rPr>
            </w:pPr>
          </w:p>
        </w:tc>
        <w:tc>
          <w:tcPr>
            <w:tcW w:w="0" w:type="auto"/>
            <w:vAlign w:val="center"/>
            <w:hideMark/>
          </w:tcPr>
          <w:p w14:paraId="78A7066E" w14:textId="77777777" w:rsidR="00000000" w:rsidRDefault="00195E73">
            <w:pPr>
              <w:rPr>
                <w:rFonts w:eastAsia="Times New Roman"/>
                <w:sz w:val="20"/>
                <w:szCs w:val="20"/>
              </w:rPr>
            </w:pPr>
          </w:p>
        </w:tc>
        <w:tc>
          <w:tcPr>
            <w:tcW w:w="0" w:type="auto"/>
            <w:vAlign w:val="center"/>
            <w:hideMark/>
          </w:tcPr>
          <w:p w14:paraId="3AAEA033" w14:textId="77777777" w:rsidR="00000000" w:rsidRDefault="00195E73">
            <w:pPr>
              <w:rPr>
                <w:rFonts w:eastAsia="Times New Roman"/>
                <w:sz w:val="20"/>
                <w:szCs w:val="20"/>
              </w:rPr>
            </w:pPr>
          </w:p>
        </w:tc>
        <w:tc>
          <w:tcPr>
            <w:tcW w:w="0" w:type="auto"/>
            <w:vAlign w:val="center"/>
            <w:hideMark/>
          </w:tcPr>
          <w:p w14:paraId="58449047" w14:textId="77777777" w:rsidR="00000000" w:rsidRDefault="00195E73">
            <w:pPr>
              <w:rPr>
                <w:rFonts w:eastAsia="Times New Roman"/>
                <w:sz w:val="20"/>
                <w:szCs w:val="20"/>
              </w:rPr>
            </w:pPr>
          </w:p>
        </w:tc>
        <w:tc>
          <w:tcPr>
            <w:tcW w:w="0" w:type="auto"/>
            <w:vAlign w:val="center"/>
            <w:hideMark/>
          </w:tcPr>
          <w:p w14:paraId="595FE622" w14:textId="77777777" w:rsidR="00000000" w:rsidRDefault="00195E73">
            <w:pPr>
              <w:rPr>
                <w:rFonts w:eastAsia="Times New Roman"/>
                <w:sz w:val="20"/>
                <w:szCs w:val="20"/>
              </w:rPr>
            </w:pPr>
          </w:p>
        </w:tc>
        <w:tc>
          <w:tcPr>
            <w:tcW w:w="0" w:type="auto"/>
            <w:vAlign w:val="center"/>
            <w:hideMark/>
          </w:tcPr>
          <w:p w14:paraId="4F0C873C" w14:textId="77777777" w:rsidR="00000000" w:rsidRDefault="00195E73">
            <w:pPr>
              <w:rPr>
                <w:rFonts w:eastAsia="Times New Roman"/>
                <w:sz w:val="20"/>
                <w:szCs w:val="20"/>
              </w:rPr>
            </w:pPr>
          </w:p>
        </w:tc>
        <w:tc>
          <w:tcPr>
            <w:tcW w:w="0" w:type="auto"/>
            <w:vAlign w:val="center"/>
            <w:hideMark/>
          </w:tcPr>
          <w:p w14:paraId="2EACDD51" w14:textId="77777777" w:rsidR="00000000" w:rsidRDefault="00195E73">
            <w:pPr>
              <w:rPr>
                <w:rFonts w:eastAsia="Times New Roman"/>
                <w:sz w:val="20"/>
                <w:szCs w:val="20"/>
              </w:rPr>
            </w:pPr>
          </w:p>
        </w:tc>
        <w:tc>
          <w:tcPr>
            <w:tcW w:w="0" w:type="auto"/>
            <w:vAlign w:val="center"/>
            <w:hideMark/>
          </w:tcPr>
          <w:p w14:paraId="38B34212" w14:textId="77777777" w:rsidR="00000000" w:rsidRDefault="00195E73">
            <w:pPr>
              <w:rPr>
                <w:rFonts w:eastAsia="Times New Roman"/>
                <w:sz w:val="20"/>
                <w:szCs w:val="20"/>
              </w:rPr>
            </w:pPr>
          </w:p>
        </w:tc>
        <w:tc>
          <w:tcPr>
            <w:tcW w:w="0" w:type="auto"/>
            <w:vAlign w:val="center"/>
            <w:hideMark/>
          </w:tcPr>
          <w:p w14:paraId="4FFA779E" w14:textId="77777777" w:rsidR="00000000" w:rsidRDefault="00195E73">
            <w:pPr>
              <w:rPr>
                <w:rFonts w:eastAsia="Times New Roman"/>
                <w:sz w:val="20"/>
                <w:szCs w:val="20"/>
              </w:rPr>
            </w:pPr>
          </w:p>
        </w:tc>
        <w:tc>
          <w:tcPr>
            <w:tcW w:w="0" w:type="auto"/>
            <w:vAlign w:val="center"/>
            <w:hideMark/>
          </w:tcPr>
          <w:p w14:paraId="56CBC263" w14:textId="77777777" w:rsidR="00000000" w:rsidRDefault="00195E73">
            <w:pPr>
              <w:rPr>
                <w:rFonts w:eastAsia="Times New Roman"/>
                <w:sz w:val="20"/>
                <w:szCs w:val="20"/>
              </w:rPr>
            </w:pPr>
          </w:p>
        </w:tc>
      </w:tr>
      <w:tr w:rsidR="00000000" w14:paraId="79B1BD7F"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6346EB8C" w14:textId="77777777" w:rsidR="00000000" w:rsidRDefault="00195E73">
            <w:pPr>
              <w:rPr>
                <w:rFonts w:eastAsia="Times New Roman"/>
              </w:rPr>
            </w:pPr>
            <w:r>
              <w:rPr>
                <w:rFonts w:eastAsia="Times New Roman"/>
                <w:color w:val="000000"/>
                <w:sz w:val="20"/>
                <w:szCs w:val="20"/>
              </w:rPr>
              <w:t>   Other revenues from operation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2C74F33" w14:textId="77777777" w:rsidR="00000000" w:rsidRDefault="00195E73">
            <w:pPr>
              <w:jc w:val="right"/>
              <w:rPr>
                <w:rFonts w:eastAsia="Times New Roman"/>
              </w:rPr>
            </w:pPr>
            <w:r>
              <w:rPr>
                <w:rFonts w:eastAsia="Times New Roman"/>
                <w:color w:val="000000"/>
                <w:sz w:val="20"/>
                <w:szCs w:val="20"/>
              </w:rPr>
              <w:t>666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3361C3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DE6194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651083" w14:textId="77777777" w:rsidR="00000000" w:rsidRDefault="00195E73">
            <w:pPr>
              <w:jc w:val="right"/>
              <w:rPr>
                <w:rFonts w:eastAsia="Times New Roman"/>
              </w:rPr>
            </w:pPr>
            <w:r>
              <w:rPr>
                <w:rFonts w:eastAsia="Times New Roman"/>
                <w:color w:val="000000"/>
                <w:sz w:val="20"/>
                <w:szCs w:val="20"/>
              </w:rPr>
              <w:t>647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337495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B05104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4D674D" w14:textId="77777777" w:rsidR="00000000" w:rsidRDefault="00195E73">
            <w:pPr>
              <w:jc w:val="right"/>
              <w:rPr>
                <w:rFonts w:eastAsia="Times New Roman"/>
              </w:rPr>
            </w:pPr>
            <w:r>
              <w:rPr>
                <w:rFonts w:eastAsia="Times New Roman"/>
                <w:color w:val="000000"/>
                <w:sz w:val="20"/>
                <w:szCs w:val="20"/>
              </w:rPr>
              <w:t>743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080DF1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AFA972D" w14:textId="77777777" w:rsidR="00000000" w:rsidRDefault="00195E73">
            <w:pPr>
              <w:rPr>
                <w:rFonts w:eastAsia="Times New Roman"/>
                <w:sz w:val="20"/>
                <w:szCs w:val="20"/>
              </w:rPr>
            </w:pPr>
          </w:p>
        </w:tc>
        <w:tc>
          <w:tcPr>
            <w:tcW w:w="0" w:type="auto"/>
            <w:vAlign w:val="center"/>
            <w:hideMark/>
          </w:tcPr>
          <w:p w14:paraId="4A864076" w14:textId="77777777" w:rsidR="00000000" w:rsidRDefault="00195E73">
            <w:pPr>
              <w:rPr>
                <w:rFonts w:eastAsia="Times New Roman"/>
                <w:sz w:val="20"/>
                <w:szCs w:val="20"/>
              </w:rPr>
            </w:pPr>
          </w:p>
        </w:tc>
        <w:tc>
          <w:tcPr>
            <w:tcW w:w="0" w:type="auto"/>
            <w:vAlign w:val="center"/>
            <w:hideMark/>
          </w:tcPr>
          <w:p w14:paraId="1B63C1AA" w14:textId="77777777" w:rsidR="00000000" w:rsidRDefault="00195E73">
            <w:pPr>
              <w:rPr>
                <w:rFonts w:eastAsia="Times New Roman"/>
                <w:sz w:val="20"/>
                <w:szCs w:val="20"/>
              </w:rPr>
            </w:pPr>
          </w:p>
        </w:tc>
        <w:tc>
          <w:tcPr>
            <w:tcW w:w="0" w:type="auto"/>
            <w:vAlign w:val="center"/>
            <w:hideMark/>
          </w:tcPr>
          <w:p w14:paraId="5D096595" w14:textId="77777777" w:rsidR="00000000" w:rsidRDefault="00195E73">
            <w:pPr>
              <w:rPr>
                <w:rFonts w:eastAsia="Times New Roman"/>
                <w:sz w:val="20"/>
                <w:szCs w:val="20"/>
              </w:rPr>
            </w:pPr>
          </w:p>
        </w:tc>
        <w:tc>
          <w:tcPr>
            <w:tcW w:w="0" w:type="auto"/>
            <w:vAlign w:val="center"/>
            <w:hideMark/>
          </w:tcPr>
          <w:p w14:paraId="4C8AE244" w14:textId="77777777" w:rsidR="00000000" w:rsidRDefault="00195E73">
            <w:pPr>
              <w:rPr>
                <w:rFonts w:eastAsia="Times New Roman"/>
                <w:sz w:val="20"/>
                <w:szCs w:val="20"/>
              </w:rPr>
            </w:pPr>
          </w:p>
        </w:tc>
        <w:tc>
          <w:tcPr>
            <w:tcW w:w="0" w:type="auto"/>
            <w:vAlign w:val="center"/>
            <w:hideMark/>
          </w:tcPr>
          <w:p w14:paraId="07171C14" w14:textId="77777777" w:rsidR="00000000" w:rsidRDefault="00195E73">
            <w:pPr>
              <w:rPr>
                <w:rFonts w:eastAsia="Times New Roman"/>
                <w:sz w:val="20"/>
                <w:szCs w:val="20"/>
              </w:rPr>
            </w:pPr>
          </w:p>
        </w:tc>
        <w:tc>
          <w:tcPr>
            <w:tcW w:w="0" w:type="auto"/>
            <w:vAlign w:val="center"/>
            <w:hideMark/>
          </w:tcPr>
          <w:p w14:paraId="1C9CE8C9" w14:textId="77777777" w:rsidR="00000000" w:rsidRDefault="00195E73">
            <w:pPr>
              <w:rPr>
                <w:rFonts w:eastAsia="Times New Roman"/>
                <w:sz w:val="20"/>
                <w:szCs w:val="20"/>
              </w:rPr>
            </w:pPr>
          </w:p>
        </w:tc>
        <w:tc>
          <w:tcPr>
            <w:tcW w:w="0" w:type="auto"/>
            <w:vAlign w:val="center"/>
            <w:hideMark/>
          </w:tcPr>
          <w:p w14:paraId="4A9B1F5E" w14:textId="77777777" w:rsidR="00000000" w:rsidRDefault="00195E73">
            <w:pPr>
              <w:rPr>
                <w:rFonts w:eastAsia="Times New Roman"/>
                <w:sz w:val="20"/>
                <w:szCs w:val="20"/>
              </w:rPr>
            </w:pPr>
          </w:p>
        </w:tc>
        <w:tc>
          <w:tcPr>
            <w:tcW w:w="0" w:type="auto"/>
            <w:vAlign w:val="center"/>
            <w:hideMark/>
          </w:tcPr>
          <w:p w14:paraId="3C0F2367" w14:textId="77777777" w:rsidR="00000000" w:rsidRDefault="00195E73">
            <w:pPr>
              <w:rPr>
                <w:rFonts w:eastAsia="Times New Roman"/>
                <w:sz w:val="20"/>
                <w:szCs w:val="20"/>
              </w:rPr>
            </w:pPr>
          </w:p>
        </w:tc>
        <w:tc>
          <w:tcPr>
            <w:tcW w:w="0" w:type="auto"/>
            <w:vAlign w:val="center"/>
            <w:hideMark/>
          </w:tcPr>
          <w:p w14:paraId="2BCE007C" w14:textId="77777777" w:rsidR="00000000" w:rsidRDefault="00195E73">
            <w:pPr>
              <w:rPr>
                <w:rFonts w:eastAsia="Times New Roman"/>
                <w:sz w:val="20"/>
                <w:szCs w:val="20"/>
              </w:rPr>
            </w:pPr>
          </w:p>
        </w:tc>
        <w:tc>
          <w:tcPr>
            <w:tcW w:w="0" w:type="auto"/>
            <w:vAlign w:val="center"/>
            <w:hideMark/>
          </w:tcPr>
          <w:p w14:paraId="18F55543" w14:textId="77777777" w:rsidR="00000000" w:rsidRDefault="00195E73">
            <w:pPr>
              <w:rPr>
                <w:rFonts w:eastAsia="Times New Roman"/>
                <w:sz w:val="20"/>
                <w:szCs w:val="20"/>
              </w:rPr>
            </w:pPr>
          </w:p>
        </w:tc>
        <w:tc>
          <w:tcPr>
            <w:tcW w:w="0" w:type="auto"/>
            <w:vAlign w:val="center"/>
            <w:hideMark/>
          </w:tcPr>
          <w:p w14:paraId="16D4B85E" w14:textId="77777777" w:rsidR="00000000" w:rsidRDefault="00195E73">
            <w:pPr>
              <w:rPr>
                <w:rFonts w:eastAsia="Times New Roman"/>
                <w:sz w:val="20"/>
                <w:szCs w:val="20"/>
              </w:rPr>
            </w:pPr>
          </w:p>
        </w:tc>
      </w:tr>
      <w:tr w:rsidR="00000000" w14:paraId="4E08408A" w14:textId="77777777">
        <w:trPr>
          <w:divId w:val="1384790163"/>
          <w:jc w:val="center"/>
        </w:trPr>
        <w:tc>
          <w:tcPr>
            <w:tcW w:w="0" w:type="auto"/>
            <w:gridSpan w:val="3"/>
            <w:shd w:val="clear" w:color="auto" w:fill="CCEEFF"/>
            <w:tcMar>
              <w:top w:w="30" w:type="dxa"/>
              <w:left w:w="20" w:type="dxa"/>
              <w:bottom w:w="30" w:type="dxa"/>
              <w:right w:w="20" w:type="dxa"/>
            </w:tcMar>
            <w:vAlign w:val="bottom"/>
            <w:hideMark/>
          </w:tcPr>
          <w:p w14:paraId="32BF98B0" w14:textId="77777777" w:rsidR="00000000" w:rsidRDefault="00195E73">
            <w:pPr>
              <w:rPr>
                <w:rFonts w:eastAsia="Times New Roman"/>
              </w:rPr>
            </w:pPr>
            <w:r>
              <w:rPr>
                <w:rFonts w:eastAsia="Times New Roman"/>
                <w:color w:val="000000"/>
                <w:sz w:val="20"/>
                <w:szCs w:val="20"/>
              </w:rPr>
              <w:t>   Net (loss) gain from investment activitie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B5172F9" w14:textId="77777777" w:rsidR="00000000" w:rsidRDefault="00195E73">
            <w:pPr>
              <w:jc w:val="right"/>
              <w:rPr>
                <w:rFonts w:eastAsia="Times New Roman"/>
              </w:rPr>
            </w:pPr>
            <w:r>
              <w:rPr>
                <w:rFonts w:eastAsia="Times New Roman"/>
                <w:color w:val="000000"/>
                <w:sz w:val="20"/>
                <w:szCs w:val="20"/>
              </w:rPr>
              <w:t>(1,931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EB4AEE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4A66B8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77AF8C" w14:textId="77777777" w:rsidR="00000000" w:rsidRDefault="00195E73">
            <w:pPr>
              <w:jc w:val="right"/>
              <w:rPr>
                <w:rFonts w:eastAsia="Times New Roman"/>
              </w:rPr>
            </w:pPr>
            <w:r>
              <w:rPr>
                <w:rFonts w:eastAsia="Times New Roman"/>
                <w:color w:val="000000"/>
                <w:sz w:val="20"/>
                <w:szCs w:val="20"/>
              </w:rPr>
              <w:t>322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D966CC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D886E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BC3FFB" w14:textId="77777777" w:rsidR="00000000" w:rsidRDefault="00195E73">
            <w:pPr>
              <w:jc w:val="right"/>
              <w:rPr>
                <w:rFonts w:eastAsia="Times New Roman"/>
              </w:rPr>
            </w:pPr>
            <w:r>
              <w:rPr>
                <w:rFonts w:eastAsia="Times New Roman"/>
                <w:color w:val="000000"/>
                <w:sz w:val="20"/>
                <w:szCs w:val="20"/>
              </w:rPr>
              <w:t>302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7EF67E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67131EE" w14:textId="77777777" w:rsidR="00000000" w:rsidRDefault="00195E73">
            <w:pPr>
              <w:rPr>
                <w:rFonts w:eastAsia="Times New Roman"/>
                <w:sz w:val="20"/>
                <w:szCs w:val="20"/>
              </w:rPr>
            </w:pPr>
          </w:p>
        </w:tc>
        <w:tc>
          <w:tcPr>
            <w:tcW w:w="0" w:type="auto"/>
            <w:vAlign w:val="center"/>
            <w:hideMark/>
          </w:tcPr>
          <w:p w14:paraId="5F952F5B" w14:textId="77777777" w:rsidR="00000000" w:rsidRDefault="00195E73">
            <w:pPr>
              <w:rPr>
                <w:rFonts w:eastAsia="Times New Roman"/>
                <w:sz w:val="20"/>
                <w:szCs w:val="20"/>
              </w:rPr>
            </w:pPr>
          </w:p>
        </w:tc>
        <w:tc>
          <w:tcPr>
            <w:tcW w:w="0" w:type="auto"/>
            <w:vAlign w:val="center"/>
            <w:hideMark/>
          </w:tcPr>
          <w:p w14:paraId="7946A33A" w14:textId="77777777" w:rsidR="00000000" w:rsidRDefault="00195E73">
            <w:pPr>
              <w:rPr>
                <w:rFonts w:eastAsia="Times New Roman"/>
                <w:sz w:val="20"/>
                <w:szCs w:val="20"/>
              </w:rPr>
            </w:pPr>
          </w:p>
        </w:tc>
        <w:tc>
          <w:tcPr>
            <w:tcW w:w="0" w:type="auto"/>
            <w:vAlign w:val="center"/>
            <w:hideMark/>
          </w:tcPr>
          <w:p w14:paraId="25F0DADD" w14:textId="77777777" w:rsidR="00000000" w:rsidRDefault="00195E73">
            <w:pPr>
              <w:rPr>
                <w:rFonts w:eastAsia="Times New Roman"/>
                <w:sz w:val="20"/>
                <w:szCs w:val="20"/>
              </w:rPr>
            </w:pPr>
          </w:p>
        </w:tc>
        <w:tc>
          <w:tcPr>
            <w:tcW w:w="0" w:type="auto"/>
            <w:vAlign w:val="center"/>
            <w:hideMark/>
          </w:tcPr>
          <w:p w14:paraId="24090E41" w14:textId="77777777" w:rsidR="00000000" w:rsidRDefault="00195E73">
            <w:pPr>
              <w:rPr>
                <w:rFonts w:eastAsia="Times New Roman"/>
                <w:sz w:val="20"/>
                <w:szCs w:val="20"/>
              </w:rPr>
            </w:pPr>
          </w:p>
        </w:tc>
        <w:tc>
          <w:tcPr>
            <w:tcW w:w="0" w:type="auto"/>
            <w:vAlign w:val="center"/>
            <w:hideMark/>
          </w:tcPr>
          <w:p w14:paraId="0A748F69" w14:textId="77777777" w:rsidR="00000000" w:rsidRDefault="00195E73">
            <w:pPr>
              <w:rPr>
                <w:rFonts w:eastAsia="Times New Roman"/>
                <w:sz w:val="20"/>
                <w:szCs w:val="20"/>
              </w:rPr>
            </w:pPr>
          </w:p>
        </w:tc>
        <w:tc>
          <w:tcPr>
            <w:tcW w:w="0" w:type="auto"/>
            <w:vAlign w:val="center"/>
            <w:hideMark/>
          </w:tcPr>
          <w:p w14:paraId="34AE60AC" w14:textId="77777777" w:rsidR="00000000" w:rsidRDefault="00195E73">
            <w:pPr>
              <w:rPr>
                <w:rFonts w:eastAsia="Times New Roman"/>
                <w:sz w:val="20"/>
                <w:szCs w:val="20"/>
              </w:rPr>
            </w:pPr>
          </w:p>
        </w:tc>
        <w:tc>
          <w:tcPr>
            <w:tcW w:w="0" w:type="auto"/>
            <w:vAlign w:val="center"/>
            <w:hideMark/>
          </w:tcPr>
          <w:p w14:paraId="20BF82CC" w14:textId="77777777" w:rsidR="00000000" w:rsidRDefault="00195E73">
            <w:pPr>
              <w:rPr>
                <w:rFonts w:eastAsia="Times New Roman"/>
                <w:sz w:val="20"/>
                <w:szCs w:val="20"/>
              </w:rPr>
            </w:pPr>
          </w:p>
        </w:tc>
        <w:tc>
          <w:tcPr>
            <w:tcW w:w="0" w:type="auto"/>
            <w:vAlign w:val="center"/>
            <w:hideMark/>
          </w:tcPr>
          <w:p w14:paraId="6E099D8E" w14:textId="77777777" w:rsidR="00000000" w:rsidRDefault="00195E73">
            <w:pPr>
              <w:rPr>
                <w:rFonts w:eastAsia="Times New Roman"/>
                <w:sz w:val="20"/>
                <w:szCs w:val="20"/>
              </w:rPr>
            </w:pPr>
          </w:p>
        </w:tc>
        <w:tc>
          <w:tcPr>
            <w:tcW w:w="0" w:type="auto"/>
            <w:vAlign w:val="center"/>
            <w:hideMark/>
          </w:tcPr>
          <w:p w14:paraId="01EE3B70" w14:textId="77777777" w:rsidR="00000000" w:rsidRDefault="00195E73">
            <w:pPr>
              <w:rPr>
                <w:rFonts w:eastAsia="Times New Roman"/>
                <w:sz w:val="20"/>
                <w:szCs w:val="20"/>
              </w:rPr>
            </w:pPr>
          </w:p>
        </w:tc>
        <w:tc>
          <w:tcPr>
            <w:tcW w:w="0" w:type="auto"/>
            <w:vAlign w:val="center"/>
            <w:hideMark/>
          </w:tcPr>
          <w:p w14:paraId="2B6AEC10" w14:textId="77777777" w:rsidR="00000000" w:rsidRDefault="00195E73">
            <w:pPr>
              <w:rPr>
                <w:rFonts w:eastAsia="Times New Roman"/>
                <w:sz w:val="20"/>
                <w:szCs w:val="20"/>
              </w:rPr>
            </w:pPr>
          </w:p>
        </w:tc>
        <w:tc>
          <w:tcPr>
            <w:tcW w:w="0" w:type="auto"/>
            <w:vAlign w:val="center"/>
            <w:hideMark/>
          </w:tcPr>
          <w:p w14:paraId="3FEEFA61" w14:textId="77777777" w:rsidR="00000000" w:rsidRDefault="00195E73">
            <w:pPr>
              <w:rPr>
                <w:rFonts w:eastAsia="Times New Roman"/>
                <w:sz w:val="20"/>
                <w:szCs w:val="20"/>
              </w:rPr>
            </w:pPr>
          </w:p>
        </w:tc>
      </w:tr>
      <w:tr w:rsidR="00000000" w14:paraId="4390A0C8"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2DA0DE27" w14:textId="77777777" w:rsidR="00000000" w:rsidRDefault="00195E73">
            <w:pPr>
              <w:rPr>
                <w:rFonts w:eastAsia="Times New Roman"/>
              </w:rPr>
            </w:pPr>
            <w:r>
              <w:rPr>
                <w:rFonts w:eastAsia="Times New Roman"/>
                <w:color w:val="000000"/>
                <w:sz w:val="20"/>
                <w:szCs w:val="20"/>
              </w:rPr>
              <w:t>   Interest and dividend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0F7746DA" w14:textId="77777777" w:rsidR="00000000" w:rsidRDefault="00195E73">
            <w:pPr>
              <w:jc w:val="right"/>
              <w:rPr>
                <w:rFonts w:eastAsia="Times New Roman"/>
              </w:rPr>
            </w:pPr>
            <w:r>
              <w:rPr>
                <w:rFonts w:eastAsia="Times New Roman"/>
                <w:color w:val="000000"/>
                <w:sz w:val="20"/>
                <w:szCs w:val="20"/>
              </w:rPr>
              <w:t>265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DE5D40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503677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A5C536" w14:textId="77777777" w:rsidR="00000000" w:rsidRDefault="00195E73">
            <w:pPr>
              <w:jc w:val="right"/>
              <w:rPr>
                <w:rFonts w:eastAsia="Times New Roman"/>
              </w:rPr>
            </w:pPr>
            <w:r>
              <w:rPr>
                <w:rFonts w:eastAsia="Times New Roman"/>
                <w:color w:val="000000"/>
                <w:sz w:val="20"/>
                <w:szCs w:val="20"/>
              </w:rPr>
              <w:t>148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88B4ED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35C0D4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765D12" w14:textId="77777777" w:rsidR="00000000" w:rsidRDefault="00195E73">
            <w:pPr>
              <w:jc w:val="right"/>
              <w:rPr>
                <w:rFonts w:eastAsia="Times New Roman"/>
              </w:rPr>
            </w:pPr>
            <w:r>
              <w:rPr>
                <w:rFonts w:eastAsia="Times New Roman"/>
                <w:color w:val="000000"/>
                <w:sz w:val="20"/>
                <w:szCs w:val="20"/>
              </w:rPr>
              <w:t>127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0DD542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5F33DFA" w14:textId="77777777" w:rsidR="00000000" w:rsidRDefault="00195E73">
            <w:pPr>
              <w:rPr>
                <w:rFonts w:eastAsia="Times New Roman"/>
                <w:sz w:val="20"/>
                <w:szCs w:val="20"/>
              </w:rPr>
            </w:pPr>
          </w:p>
        </w:tc>
        <w:tc>
          <w:tcPr>
            <w:tcW w:w="0" w:type="auto"/>
            <w:vAlign w:val="center"/>
            <w:hideMark/>
          </w:tcPr>
          <w:p w14:paraId="3F9D94C9" w14:textId="77777777" w:rsidR="00000000" w:rsidRDefault="00195E73">
            <w:pPr>
              <w:rPr>
                <w:rFonts w:eastAsia="Times New Roman"/>
                <w:sz w:val="20"/>
                <w:szCs w:val="20"/>
              </w:rPr>
            </w:pPr>
          </w:p>
        </w:tc>
        <w:tc>
          <w:tcPr>
            <w:tcW w:w="0" w:type="auto"/>
            <w:vAlign w:val="center"/>
            <w:hideMark/>
          </w:tcPr>
          <w:p w14:paraId="1B61AB41" w14:textId="77777777" w:rsidR="00000000" w:rsidRDefault="00195E73">
            <w:pPr>
              <w:rPr>
                <w:rFonts w:eastAsia="Times New Roman"/>
                <w:sz w:val="20"/>
                <w:szCs w:val="20"/>
              </w:rPr>
            </w:pPr>
          </w:p>
        </w:tc>
        <w:tc>
          <w:tcPr>
            <w:tcW w:w="0" w:type="auto"/>
            <w:vAlign w:val="center"/>
            <w:hideMark/>
          </w:tcPr>
          <w:p w14:paraId="0CF393FD" w14:textId="77777777" w:rsidR="00000000" w:rsidRDefault="00195E73">
            <w:pPr>
              <w:rPr>
                <w:rFonts w:eastAsia="Times New Roman"/>
                <w:sz w:val="20"/>
                <w:szCs w:val="20"/>
              </w:rPr>
            </w:pPr>
          </w:p>
        </w:tc>
        <w:tc>
          <w:tcPr>
            <w:tcW w:w="0" w:type="auto"/>
            <w:vAlign w:val="center"/>
            <w:hideMark/>
          </w:tcPr>
          <w:p w14:paraId="77810D4D" w14:textId="77777777" w:rsidR="00000000" w:rsidRDefault="00195E73">
            <w:pPr>
              <w:rPr>
                <w:rFonts w:eastAsia="Times New Roman"/>
                <w:sz w:val="20"/>
                <w:szCs w:val="20"/>
              </w:rPr>
            </w:pPr>
          </w:p>
        </w:tc>
        <w:tc>
          <w:tcPr>
            <w:tcW w:w="0" w:type="auto"/>
            <w:vAlign w:val="center"/>
            <w:hideMark/>
          </w:tcPr>
          <w:p w14:paraId="2CE82C40" w14:textId="77777777" w:rsidR="00000000" w:rsidRDefault="00195E73">
            <w:pPr>
              <w:rPr>
                <w:rFonts w:eastAsia="Times New Roman"/>
                <w:sz w:val="20"/>
                <w:szCs w:val="20"/>
              </w:rPr>
            </w:pPr>
          </w:p>
        </w:tc>
        <w:tc>
          <w:tcPr>
            <w:tcW w:w="0" w:type="auto"/>
            <w:vAlign w:val="center"/>
            <w:hideMark/>
          </w:tcPr>
          <w:p w14:paraId="61F64EAB" w14:textId="77777777" w:rsidR="00000000" w:rsidRDefault="00195E73">
            <w:pPr>
              <w:rPr>
                <w:rFonts w:eastAsia="Times New Roman"/>
                <w:sz w:val="20"/>
                <w:szCs w:val="20"/>
              </w:rPr>
            </w:pPr>
          </w:p>
        </w:tc>
        <w:tc>
          <w:tcPr>
            <w:tcW w:w="0" w:type="auto"/>
            <w:vAlign w:val="center"/>
            <w:hideMark/>
          </w:tcPr>
          <w:p w14:paraId="4134D189" w14:textId="77777777" w:rsidR="00000000" w:rsidRDefault="00195E73">
            <w:pPr>
              <w:rPr>
                <w:rFonts w:eastAsia="Times New Roman"/>
                <w:sz w:val="20"/>
                <w:szCs w:val="20"/>
              </w:rPr>
            </w:pPr>
          </w:p>
        </w:tc>
        <w:tc>
          <w:tcPr>
            <w:tcW w:w="0" w:type="auto"/>
            <w:vAlign w:val="center"/>
            <w:hideMark/>
          </w:tcPr>
          <w:p w14:paraId="22573F53" w14:textId="77777777" w:rsidR="00000000" w:rsidRDefault="00195E73">
            <w:pPr>
              <w:rPr>
                <w:rFonts w:eastAsia="Times New Roman"/>
                <w:sz w:val="20"/>
                <w:szCs w:val="20"/>
              </w:rPr>
            </w:pPr>
          </w:p>
        </w:tc>
        <w:tc>
          <w:tcPr>
            <w:tcW w:w="0" w:type="auto"/>
            <w:vAlign w:val="center"/>
            <w:hideMark/>
          </w:tcPr>
          <w:p w14:paraId="082522BB" w14:textId="77777777" w:rsidR="00000000" w:rsidRDefault="00195E73">
            <w:pPr>
              <w:rPr>
                <w:rFonts w:eastAsia="Times New Roman"/>
                <w:sz w:val="20"/>
                <w:szCs w:val="20"/>
              </w:rPr>
            </w:pPr>
          </w:p>
        </w:tc>
        <w:tc>
          <w:tcPr>
            <w:tcW w:w="0" w:type="auto"/>
            <w:vAlign w:val="center"/>
            <w:hideMark/>
          </w:tcPr>
          <w:p w14:paraId="13B20FAA" w14:textId="77777777" w:rsidR="00000000" w:rsidRDefault="00195E73">
            <w:pPr>
              <w:rPr>
                <w:rFonts w:eastAsia="Times New Roman"/>
                <w:sz w:val="20"/>
                <w:szCs w:val="20"/>
              </w:rPr>
            </w:pPr>
          </w:p>
        </w:tc>
        <w:tc>
          <w:tcPr>
            <w:tcW w:w="0" w:type="auto"/>
            <w:vAlign w:val="center"/>
            <w:hideMark/>
          </w:tcPr>
          <w:p w14:paraId="310FBB49" w14:textId="77777777" w:rsidR="00000000" w:rsidRDefault="00195E73">
            <w:pPr>
              <w:rPr>
                <w:rFonts w:eastAsia="Times New Roman"/>
                <w:sz w:val="20"/>
                <w:szCs w:val="20"/>
              </w:rPr>
            </w:pPr>
          </w:p>
        </w:tc>
      </w:tr>
      <w:tr w:rsidR="00000000" w14:paraId="0EC48122" w14:textId="77777777">
        <w:trPr>
          <w:divId w:val="1384790163"/>
          <w:jc w:val="center"/>
        </w:trPr>
        <w:tc>
          <w:tcPr>
            <w:tcW w:w="0" w:type="auto"/>
            <w:gridSpan w:val="3"/>
            <w:shd w:val="clear" w:color="auto" w:fill="CCEEFF"/>
            <w:tcMar>
              <w:top w:w="30" w:type="dxa"/>
              <w:left w:w="20" w:type="dxa"/>
              <w:bottom w:w="30" w:type="dxa"/>
              <w:right w:w="20" w:type="dxa"/>
            </w:tcMar>
            <w:vAlign w:val="bottom"/>
            <w:hideMark/>
          </w:tcPr>
          <w:p w14:paraId="1E74FA84" w14:textId="77777777" w:rsidR="00000000" w:rsidRDefault="00195E73">
            <w:pPr>
              <w:rPr>
                <w:rFonts w:eastAsia="Times New Roman"/>
              </w:rPr>
            </w:pPr>
            <w:r>
              <w:rPr>
                <w:rFonts w:eastAsia="Times New Roman"/>
                <w:color w:val="000000"/>
                <w:sz w:val="20"/>
                <w:szCs w:val="20"/>
              </w:rPr>
              <w:t>   Gain on disposition of assets,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08BB55F9" w14:textId="77777777" w:rsidR="00000000" w:rsidRDefault="00195E73">
            <w:pPr>
              <w:jc w:val="right"/>
              <w:rPr>
                <w:rFonts w:eastAsia="Times New Roman"/>
              </w:rPr>
            </w:pPr>
            <w:r>
              <w:rPr>
                <w:rFonts w:eastAsia="Times New Roman"/>
                <w:color w:val="000000"/>
                <w:sz w:val="20"/>
                <w:szCs w:val="20"/>
              </w:rPr>
              <w:t>253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5DDF7E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F7BB5C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F965DD" w14:textId="77777777" w:rsidR="00000000" w:rsidRDefault="00195E73">
            <w:pPr>
              <w:jc w:val="right"/>
              <w:rPr>
                <w:rFonts w:eastAsia="Times New Roman"/>
              </w:rPr>
            </w:pPr>
            <w:r>
              <w:rPr>
                <w:rFonts w:eastAsia="Times New Roman"/>
                <w:color w:val="000000"/>
                <w:sz w:val="20"/>
                <w:szCs w:val="20"/>
              </w:rPr>
              <w:t>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C5AFB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BF2F6E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F75D61" w14:textId="77777777" w:rsidR="00000000" w:rsidRDefault="00195E73">
            <w:pPr>
              <w:jc w:val="right"/>
              <w:rPr>
                <w:rFonts w:eastAsia="Times New Roman"/>
              </w:rPr>
            </w:pPr>
            <w:r>
              <w:rPr>
                <w:rFonts w:eastAsia="Times New Roman"/>
                <w:color w:val="000000"/>
                <w:sz w:val="20"/>
                <w:szCs w:val="20"/>
              </w:rPr>
              <w:t>2,163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6C61B1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9094A4C" w14:textId="77777777" w:rsidR="00000000" w:rsidRDefault="00195E73">
            <w:pPr>
              <w:rPr>
                <w:rFonts w:eastAsia="Times New Roman"/>
                <w:sz w:val="20"/>
                <w:szCs w:val="20"/>
              </w:rPr>
            </w:pPr>
          </w:p>
        </w:tc>
        <w:tc>
          <w:tcPr>
            <w:tcW w:w="0" w:type="auto"/>
            <w:vAlign w:val="center"/>
            <w:hideMark/>
          </w:tcPr>
          <w:p w14:paraId="14740766" w14:textId="77777777" w:rsidR="00000000" w:rsidRDefault="00195E73">
            <w:pPr>
              <w:rPr>
                <w:rFonts w:eastAsia="Times New Roman"/>
                <w:sz w:val="20"/>
                <w:szCs w:val="20"/>
              </w:rPr>
            </w:pPr>
          </w:p>
        </w:tc>
        <w:tc>
          <w:tcPr>
            <w:tcW w:w="0" w:type="auto"/>
            <w:vAlign w:val="center"/>
            <w:hideMark/>
          </w:tcPr>
          <w:p w14:paraId="424C99F7" w14:textId="77777777" w:rsidR="00000000" w:rsidRDefault="00195E73">
            <w:pPr>
              <w:rPr>
                <w:rFonts w:eastAsia="Times New Roman"/>
                <w:sz w:val="20"/>
                <w:szCs w:val="20"/>
              </w:rPr>
            </w:pPr>
          </w:p>
        </w:tc>
        <w:tc>
          <w:tcPr>
            <w:tcW w:w="0" w:type="auto"/>
            <w:vAlign w:val="center"/>
            <w:hideMark/>
          </w:tcPr>
          <w:p w14:paraId="0FBB5E44" w14:textId="77777777" w:rsidR="00000000" w:rsidRDefault="00195E73">
            <w:pPr>
              <w:rPr>
                <w:rFonts w:eastAsia="Times New Roman"/>
                <w:sz w:val="20"/>
                <w:szCs w:val="20"/>
              </w:rPr>
            </w:pPr>
          </w:p>
        </w:tc>
        <w:tc>
          <w:tcPr>
            <w:tcW w:w="0" w:type="auto"/>
            <w:vAlign w:val="center"/>
            <w:hideMark/>
          </w:tcPr>
          <w:p w14:paraId="221C1FC3" w14:textId="77777777" w:rsidR="00000000" w:rsidRDefault="00195E73">
            <w:pPr>
              <w:rPr>
                <w:rFonts w:eastAsia="Times New Roman"/>
                <w:sz w:val="20"/>
                <w:szCs w:val="20"/>
              </w:rPr>
            </w:pPr>
          </w:p>
        </w:tc>
        <w:tc>
          <w:tcPr>
            <w:tcW w:w="0" w:type="auto"/>
            <w:vAlign w:val="center"/>
            <w:hideMark/>
          </w:tcPr>
          <w:p w14:paraId="2BFB3323" w14:textId="77777777" w:rsidR="00000000" w:rsidRDefault="00195E73">
            <w:pPr>
              <w:rPr>
                <w:rFonts w:eastAsia="Times New Roman"/>
                <w:sz w:val="20"/>
                <w:szCs w:val="20"/>
              </w:rPr>
            </w:pPr>
          </w:p>
        </w:tc>
        <w:tc>
          <w:tcPr>
            <w:tcW w:w="0" w:type="auto"/>
            <w:vAlign w:val="center"/>
            <w:hideMark/>
          </w:tcPr>
          <w:p w14:paraId="5EE5A180" w14:textId="77777777" w:rsidR="00000000" w:rsidRDefault="00195E73">
            <w:pPr>
              <w:rPr>
                <w:rFonts w:eastAsia="Times New Roman"/>
                <w:sz w:val="20"/>
                <w:szCs w:val="20"/>
              </w:rPr>
            </w:pPr>
          </w:p>
        </w:tc>
        <w:tc>
          <w:tcPr>
            <w:tcW w:w="0" w:type="auto"/>
            <w:vAlign w:val="center"/>
            <w:hideMark/>
          </w:tcPr>
          <w:p w14:paraId="2A7198E6" w14:textId="77777777" w:rsidR="00000000" w:rsidRDefault="00195E73">
            <w:pPr>
              <w:rPr>
                <w:rFonts w:eastAsia="Times New Roman"/>
                <w:sz w:val="20"/>
                <w:szCs w:val="20"/>
              </w:rPr>
            </w:pPr>
          </w:p>
        </w:tc>
        <w:tc>
          <w:tcPr>
            <w:tcW w:w="0" w:type="auto"/>
            <w:vAlign w:val="center"/>
            <w:hideMark/>
          </w:tcPr>
          <w:p w14:paraId="63036A85" w14:textId="77777777" w:rsidR="00000000" w:rsidRDefault="00195E73">
            <w:pPr>
              <w:rPr>
                <w:rFonts w:eastAsia="Times New Roman"/>
                <w:sz w:val="20"/>
                <w:szCs w:val="20"/>
              </w:rPr>
            </w:pPr>
          </w:p>
        </w:tc>
        <w:tc>
          <w:tcPr>
            <w:tcW w:w="0" w:type="auto"/>
            <w:vAlign w:val="center"/>
            <w:hideMark/>
          </w:tcPr>
          <w:p w14:paraId="151A6EA6" w14:textId="77777777" w:rsidR="00000000" w:rsidRDefault="00195E73">
            <w:pPr>
              <w:rPr>
                <w:rFonts w:eastAsia="Times New Roman"/>
                <w:sz w:val="20"/>
                <w:szCs w:val="20"/>
              </w:rPr>
            </w:pPr>
          </w:p>
        </w:tc>
        <w:tc>
          <w:tcPr>
            <w:tcW w:w="0" w:type="auto"/>
            <w:vAlign w:val="center"/>
            <w:hideMark/>
          </w:tcPr>
          <w:p w14:paraId="32139339" w14:textId="77777777" w:rsidR="00000000" w:rsidRDefault="00195E73">
            <w:pPr>
              <w:rPr>
                <w:rFonts w:eastAsia="Times New Roman"/>
                <w:sz w:val="20"/>
                <w:szCs w:val="20"/>
              </w:rPr>
            </w:pPr>
          </w:p>
        </w:tc>
        <w:tc>
          <w:tcPr>
            <w:tcW w:w="0" w:type="auto"/>
            <w:vAlign w:val="center"/>
            <w:hideMark/>
          </w:tcPr>
          <w:p w14:paraId="3403BF09" w14:textId="77777777" w:rsidR="00000000" w:rsidRDefault="00195E73">
            <w:pPr>
              <w:rPr>
                <w:rFonts w:eastAsia="Times New Roman"/>
                <w:sz w:val="20"/>
                <w:szCs w:val="20"/>
              </w:rPr>
            </w:pPr>
          </w:p>
        </w:tc>
      </w:tr>
      <w:tr w:rsidR="00000000" w14:paraId="66F2A6F9"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239AA60F" w14:textId="77777777" w:rsidR="00000000" w:rsidRDefault="00195E73">
            <w:pPr>
              <w:rPr>
                <w:rFonts w:eastAsia="Times New Roman"/>
              </w:rPr>
            </w:pPr>
            <w:r>
              <w:rPr>
                <w:rFonts w:eastAsia="Times New Roman"/>
                <w:color w:val="000000"/>
                <w:sz w:val="20"/>
                <w:szCs w:val="20"/>
              </w:rPr>
              <w:t>   Other income (loss),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7EE14378" w14:textId="77777777" w:rsidR="00000000" w:rsidRDefault="00195E73">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2E6516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8CC903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C64F1F"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4D645E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B43BEF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02486C" w14:textId="77777777" w:rsidR="00000000" w:rsidRDefault="00195E73">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FA13BA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779C557" w14:textId="77777777" w:rsidR="00000000" w:rsidRDefault="00195E73">
            <w:pPr>
              <w:rPr>
                <w:rFonts w:eastAsia="Times New Roman"/>
                <w:sz w:val="20"/>
                <w:szCs w:val="20"/>
              </w:rPr>
            </w:pPr>
          </w:p>
        </w:tc>
        <w:tc>
          <w:tcPr>
            <w:tcW w:w="0" w:type="auto"/>
            <w:vAlign w:val="center"/>
            <w:hideMark/>
          </w:tcPr>
          <w:p w14:paraId="75946E5F" w14:textId="77777777" w:rsidR="00000000" w:rsidRDefault="00195E73">
            <w:pPr>
              <w:rPr>
                <w:rFonts w:eastAsia="Times New Roman"/>
                <w:sz w:val="20"/>
                <w:szCs w:val="20"/>
              </w:rPr>
            </w:pPr>
          </w:p>
        </w:tc>
        <w:tc>
          <w:tcPr>
            <w:tcW w:w="0" w:type="auto"/>
            <w:vAlign w:val="center"/>
            <w:hideMark/>
          </w:tcPr>
          <w:p w14:paraId="5A5B358F" w14:textId="77777777" w:rsidR="00000000" w:rsidRDefault="00195E73">
            <w:pPr>
              <w:rPr>
                <w:rFonts w:eastAsia="Times New Roman"/>
                <w:sz w:val="20"/>
                <w:szCs w:val="20"/>
              </w:rPr>
            </w:pPr>
          </w:p>
        </w:tc>
        <w:tc>
          <w:tcPr>
            <w:tcW w:w="0" w:type="auto"/>
            <w:vAlign w:val="center"/>
            <w:hideMark/>
          </w:tcPr>
          <w:p w14:paraId="7822A34F" w14:textId="77777777" w:rsidR="00000000" w:rsidRDefault="00195E73">
            <w:pPr>
              <w:rPr>
                <w:rFonts w:eastAsia="Times New Roman"/>
                <w:sz w:val="20"/>
                <w:szCs w:val="20"/>
              </w:rPr>
            </w:pPr>
          </w:p>
        </w:tc>
        <w:tc>
          <w:tcPr>
            <w:tcW w:w="0" w:type="auto"/>
            <w:vAlign w:val="center"/>
            <w:hideMark/>
          </w:tcPr>
          <w:p w14:paraId="63E01145" w14:textId="77777777" w:rsidR="00000000" w:rsidRDefault="00195E73">
            <w:pPr>
              <w:rPr>
                <w:rFonts w:eastAsia="Times New Roman"/>
                <w:sz w:val="20"/>
                <w:szCs w:val="20"/>
              </w:rPr>
            </w:pPr>
          </w:p>
        </w:tc>
        <w:tc>
          <w:tcPr>
            <w:tcW w:w="0" w:type="auto"/>
            <w:vAlign w:val="center"/>
            <w:hideMark/>
          </w:tcPr>
          <w:p w14:paraId="260382C6" w14:textId="77777777" w:rsidR="00000000" w:rsidRDefault="00195E73">
            <w:pPr>
              <w:rPr>
                <w:rFonts w:eastAsia="Times New Roman"/>
                <w:sz w:val="20"/>
                <w:szCs w:val="20"/>
              </w:rPr>
            </w:pPr>
          </w:p>
        </w:tc>
        <w:tc>
          <w:tcPr>
            <w:tcW w:w="0" w:type="auto"/>
            <w:vAlign w:val="center"/>
            <w:hideMark/>
          </w:tcPr>
          <w:p w14:paraId="6FBC9F52" w14:textId="77777777" w:rsidR="00000000" w:rsidRDefault="00195E73">
            <w:pPr>
              <w:rPr>
                <w:rFonts w:eastAsia="Times New Roman"/>
                <w:sz w:val="20"/>
                <w:szCs w:val="20"/>
              </w:rPr>
            </w:pPr>
          </w:p>
        </w:tc>
        <w:tc>
          <w:tcPr>
            <w:tcW w:w="0" w:type="auto"/>
            <w:vAlign w:val="center"/>
            <w:hideMark/>
          </w:tcPr>
          <w:p w14:paraId="3239123D" w14:textId="77777777" w:rsidR="00000000" w:rsidRDefault="00195E73">
            <w:pPr>
              <w:rPr>
                <w:rFonts w:eastAsia="Times New Roman"/>
                <w:sz w:val="20"/>
                <w:szCs w:val="20"/>
              </w:rPr>
            </w:pPr>
          </w:p>
        </w:tc>
        <w:tc>
          <w:tcPr>
            <w:tcW w:w="0" w:type="auto"/>
            <w:vAlign w:val="center"/>
            <w:hideMark/>
          </w:tcPr>
          <w:p w14:paraId="527D74F7" w14:textId="77777777" w:rsidR="00000000" w:rsidRDefault="00195E73">
            <w:pPr>
              <w:rPr>
                <w:rFonts w:eastAsia="Times New Roman"/>
                <w:sz w:val="20"/>
                <w:szCs w:val="20"/>
              </w:rPr>
            </w:pPr>
          </w:p>
        </w:tc>
        <w:tc>
          <w:tcPr>
            <w:tcW w:w="0" w:type="auto"/>
            <w:vAlign w:val="center"/>
            <w:hideMark/>
          </w:tcPr>
          <w:p w14:paraId="31FD1A86" w14:textId="77777777" w:rsidR="00000000" w:rsidRDefault="00195E73">
            <w:pPr>
              <w:rPr>
                <w:rFonts w:eastAsia="Times New Roman"/>
                <w:sz w:val="20"/>
                <w:szCs w:val="20"/>
              </w:rPr>
            </w:pPr>
          </w:p>
        </w:tc>
        <w:tc>
          <w:tcPr>
            <w:tcW w:w="0" w:type="auto"/>
            <w:vAlign w:val="center"/>
            <w:hideMark/>
          </w:tcPr>
          <w:p w14:paraId="55EF44A5" w14:textId="77777777" w:rsidR="00000000" w:rsidRDefault="00195E73">
            <w:pPr>
              <w:rPr>
                <w:rFonts w:eastAsia="Times New Roman"/>
                <w:sz w:val="20"/>
                <w:szCs w:val="20"/>
              </w:rPr>
            </w:pPr>
          </w:p>
        </w:tc>
        <w:tc>
          <w:tcPr>
            <w:tcW w:w="0" w:type="auto"/>
            <w:vAlign w:val="center"/>
            <w:hideMark/>
          </w:tcPr>
          <w:p w14:paraId="57295019" w14:textId="77777777" w:rsidR="00000000" w:rsidRDefault="00195E73">
            <w:pPr>
              <w:rPr>
                <w:rFonts w:eastAsia="Times New Roman"/>
                <w:sz w:val="20"/>
                <w:szCs w:val="20"/>
              </w:rPr>
            </w:pPr>
          </w:p>
        </w:tc>
      </w:tr>
      <w:tr w:rsidR="00000000" w14:paraId="382871F3" w14:textId="77777777">
        <w:trPr>
          <w:divId w:val="1384790163"/>
          <w:jc w:val="center"/>
        </w:trPr>
        <w:tc>
          <w:tcPr>
            <w:tcW w:w="0" w:type="auto"/>
            <w:gridSpan w:val="3"/>
            <w:shd w:val="clear" w:color="auto" w:fill="CCEEFF"/>
            <w:tcMar>
              <w:top w:w="15" w:type="dxa"/>
              <w:left w:w="20" w:type="dxa"/>
              <w:bottom w:w="15" w:type="dxa"/>
              <w:right w:w="20" w:type="dxa"/>
            </w:tcMar>
            <w:vAlign w:val="bottom"/>
            <w:hideMark/>
          </w:tcPr>
          <w:p w14:paraId="05FC7AC6"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FEA903" w14:textId="77777777" w:rsidR="00000000" w:rsidRDefault="00195E73">
            <w:pPr>
              <w:jc w:val="right"/>
              <w:rPr>
                <w:rFonts w:eastAsia="Times New Roman"/>
              </w:rPr>
            </w:pPr>
            <w:r>
              <w:rPr>
                <w:rFonts w:eastAsia="Times New Roman"/>
                <w:color w:val="000000"/>
                <w:sz w:val="20"/>
                <w:szCs w:val="20"/>
              </w:rPr>
              <w:t>8,992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1A6C2F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5914BC6"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14DBEC" w14:textId="77777777" w:rsidR="00000000" w:rsidRDefault="00195E73">
            <w:pPr>
              <w:jc w:val="right"/>
              <w:rPr>
                <w:rFonts w:eastAsia="Times New Roman"/>
              </w:rPr>
            </w:pPr>
            <w:r>
              <w:rPr>
                <w:rFonts w:eastAsia="Times New Roman"/>
                <w:color w:val="000000"/>
                <w:sz w:val="20"/>
                <w:szCs w:val="20"/>
              </w:rPr>
              <w:t>11,777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545C34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0614CC4"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CACA1A" w14:textId="77777777" w:rsidR="00000000" w:rsidRDefault="00195E73">
            <w:pPr>
              <w:jc w:val="right"/>
              <w:rPr>
                <w:rFonts w:eastAsia="Times New Roman"/>
              </w:rPr>
            </w:pPr>
            <w:r>
              <w:rPr>
                <w:rFonts w:eastAsia="Times New Roman"/>
                <w:color w:val="000000"/>
                <w:sz w:val="20"/>
                <w:szCs w:val="20"/>
              </w:rPr>
              <w:t>12,619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1B82B8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16B8D79" w14:textId="77777777" w:rsidR="00000000" w:rsidRDefault="00195E73">
            <w:pPr>
              <w:rPr>
                <w:rFonts w:eastAsia="Times New Roman"/>
                <w:sz w:val="20"/>
                <w:szCs w:val="20"/>
              </w:rPr>
            </w:pPr>
          </w:p>
        </w:tc>
        <w:tc>
          <w:tcPr>
            <w:tcW w:w="0" w:type="auto"/>
            <w:vAlign w:val="center"/>
            <w:hideMark/>
          </w:tcPr>
          <w:p w14:paraId="461F3F36" w14:textId="77777777" w:rsidR="00000000" w:rsidRDefault="00195E73">
            <w:pPr>
              <w:rPr>
                <w:rFonts w:eastAsia="Times New Roman"/>
                <w:sz w:val="20"/>
                <w:szCs w:val="20"/>
              </w:rPr>
            </w:pPr>
          </w:p>
        </w:tc>
        <w:tc>
          <w:tcPr>
            <w:tcW w:w="0" w:type="auto"/>
            <w:vAlign w:val="center"/>
            <w:hideMark/>
          </w:tcPr>
          <w:p w14:paraId="37C8D5F5" w14:textId="77777777" w:rsidR="00000000" w:rsidRDefault="00195E73">
            <w:pPr>
              <w:rPr>
                <w:rFonts w:eastAsia="Times New Roman"/>
                <w:sz w:val="20"/>
                <w:szCs w:val="20"/>
              </w:rPr>
            </w:pPr>
          </w:p>
        </w:tc>
        <w:tc>
          <w:tcPr>
            <w:tcW w:w="0" w:type="auto"/>
            <w:vAlign w:val="center"/>
            <w:hideMark/>
          </w:tcPr>
          <w:p w14:paraId="2EC4DB97" w14:textId="77777777" w:rsidR="00000000" w:rsidRDefault="00195E73">
            <w:pPr>
              <w:rPr>
                <w:rFonts w:eastAsia="Times New Roman"/>
                <w:sz w:val="20"/>
                <w:szCs w:val="20"/>
              </w:rPr>
            </w:pPr>
          </w:p>
        </w:tc>
        <w:tc>
          <w:tcPr>
            <w:tcW w:w="0" w:type="auto"/>
            <w:vAlign w:val="center"/>
            <w:hideMark/>
          </w:tcPr>
          <w:p w14:paraId="5129038D" w14:textId="77777777" w:rsidR="00000000" w:rsidRDefault="00195E73">
            <w:pPr>
              <w:rPr>
                <w:rFonts w:eastAsia="Times New Roman"/>
                <w:sz w:val="20"/>
                <w:szCs w:val="20"/>
              </w:rPr>
            </w:pPr>
          </w:p>
        </w:tc>
        <w:tc>
          <w:tcPr>
            <w:tcW w:w="0" w:type="auto"/>
            <w:vAlign w:val="center"/>
            <w:hideMark/>
          </w:tcPr>
          <w:p w14:paraId="2D7A0DF1" w14:textId="77777777" w:rsidR="00000000" w:rsidRDefault="00195E73">
            <w:pPr>
              <w:rPr>
                <w:rFonts w:eastAsia="Times New Roman"/>
                <w:sz w:val="20"/>
                <w:szCs w:val="20"/>
              </w:rPr>
            </w:pPr>
          </w:p>
        </w:tc>
        <w:tc>
          <w:tcPr>
            <w:tcW w:w="0" w:type="auto"/>
            <w:vAlign w:val="center"/>
            <w:hideMark/>
          </w:tcPr>
          <w:p w14:paraId="3E75A899" w14:textId="77777777" w:rsidR="00000000" w:rsidRDefault="00195E73">
            <w:pPr>
              <w:rPr>
                <w:rFonts w:eastAsia="Times New Roman"/>
                <w:sz w:val="20"/>
                <w:szCs w:val="20"/>
              </w:rPr>
            </w:pPr>
          </w:p>
        </w:tc>
        <w:tc>
          <w:tcPr>
            <w:tcW w:w="0" w:type="auto"/>
            <w:vAlign w:val="center"/>
            <w:hideMark/>
          </w:tcPr>
          <w:p w14:paraId="42D1CB73" w14:textId="77777777" w:rsidR="00000000" w:rsidRDefault="00195E73">
            <w:pPr>
              <w:rPr>
                <w:rFonts w:eastAsia="Times New Roman"/>
                <w:sz w:val="20"/>
                <w:szCs w:val="20"/>
              </w:rPr>
            </w:pPr>
          </w:p>
        </w:tc>
        <w:tc>
          <w:tcPr>
            <w:tcW w:w="0" w:type="auto"/>
            <w:vAlign w:val="center"/>
            <w:hideMark/>
          </w:tcPr>
          <w:p w14:paraId="0576DAC4" w14:textId="77777777" w:rsidR="00000000" w:rsidRDefault="00195E73">
            <w:pPr>
              <w:rPr>
                <w:rFonts w:eastAsia="Times New Roman"/>
                <w:sz w:val="20"/>
                <w:szCs w:val="20"/>
              </w:rPr>
            </w:pPr>
          </w:p>
        </w:tc>
        <w:tc>
          <w:tcPr>
            <w:tcW w:w="0" w:type="auto"/>
            <w:vAlign w:val="center"/>
            <w:hideMark/>
          </w:tcPr>
          <w:p w14:paraId="3BB33877" w14:textId="77777777" w:rsidR="00000000" w:rsidRDefault="00195E73">
            <w:pPr>
              <w:rPr>
                <w:rFonts w:eastAsia="Times New Roman"/>
                <w:sz w:val="20"/>
                <w:szCs w:val="20"/>
              </w:rPr>
            </w:pPr>
          </w:p>
        </w:tc>
        <w:tc>
          <w:tcPr>
            <w:tcW w:w="0" w:type="auto"/>
            <w:vAlign w:val="center"/>
            <w:hideMark/>
          </w:tcPr>
          <w:p w14:paraId="658A0DF6" w14:textId="77777777" w:rsidR="00000000" w:rsidRDefault="00195E73">
            <w:pPr>
              <w:rPr>
                <w:rFonts w:eastAsia="Times New Roman"/>
                <w:sz w:val="20"/>
                <w:szCs w:val="20"/>
              </w:rPr>
            </w:pPr>
          </w:p>
        </w:tc>
        <w:tc>
          <w:tcPr>
            <w:tcW w:w="0" w:type="auto"/>
            <w:vAlign w:val="center"/>
            <w:hideMark/>
          </w:tcPr>
          <w:p w14:paraId="7C46834F" w14:textId="77777777" w:rsidR="00000000" w:rsidRDefault="00195E73">
            <w:pPr>
              <w:rPr>
                <w:rFonts w:eastAsia="Times New Roman"/>
                <w:sz w:val="20"/>
                <w:szCs w:val="20"/>
              </w:rPr>
            </w:pPr>
          </w:p>
        </w:tc>
      </w:tr>
      <w:tr w:rsidR="00000000" w14:paraId="1C270E8B"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02A841AF" w14:textId="77777777" w:rsidR="00000000" w:rsidRDefault="00195E73">
            <w:pPr>
              <w:rPr>
                <w:rFonts w:eastAsia="Times New Roman"/>
              </w:rPr>
            </w:pPr>
            <w:r>
              <w:rPr>
                <w:rFonts w:eastAsia="Times New Roman"/>
                <w:color w:val="000000"/>
                <w:sz w:val="20"/>
                <w:szCs w:val="20"/>
              </w:rPr>
              <w:t>Expenses</w:t>
            </w:r>
            <w:r>
              <w:rPr>
                <w:rFonts w:eastAsia="Times New Roman"/>
                <w:color w:val="000000"/>
                <w:sz w:val="20"/>
                <w:szCs w:val="20"/>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0BEC9837"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E982DF5"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7F27CE6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5266880"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1D83CA59" w14:textId="77777777" w:rsidR="00000000" w:rsidRDefault="00195E73">
            <w:pPr>
              <w:rPr>
                <w:rFonts w:eastAsia="Times New Roman"/>
                <w:sz w:val="20"/>
                <w:szCs w:val="20"/>
              </w:rPr>
            </w:pPr>
          </w:p>
        </w:tc>
        <w:tc>
          <w:tcPr>
            <w:tcW w:w="0" w:type="auto"/>
            <w:vAlign w:val="center"/>
            <w:hideMark/>
          </w:tcPr>
          <w:p w14:paraId="63F6759F" w14:textId="77777777" w:rsidR="00000000" w:rsidRDefault="00195E73">
            <w:pPr>
              <w:rPr>
                <w:rFonts w:eastAsia="Times New Roman"/>
                <w:sz w:val="20"/>
                <w:szCs w:val="20"/>
              </w:rPr>
            </w:pPr>
          </w:p>
        </w:tc>
        <w:tc>
          <w:tcPr>
            <w:tcW w:w="0" w:type="auto"/>
            <w:vAlign w:val="center"/>
            <w:hideMark/>
          </w:tcPr>
          <w:p w14:paraId="010B44EF" w14:textId="77777777" w:rsidR="00000000" w:rsidRDefault="00195E73">
            <w:pPr>
              <w:rPr>
                <w:rFonts w:eastAsia="Times New Roman"/>
                <w:sz w:val="20"/>
                <w:szCs w:val="20"/>
              </w:rPr>
            </w:pPr>
          </w:p>
        </w:tc>
        <w:tc>
          <w:tcPr>
            <w:tcW w:w="0" w:type="auto"/>
            <w:vAlign w:val="center"/>
            <w:hideMark/>
          </w:tcPr>
          <w:p w14:paraId="28603514" w14:textId="77777777" w:rsidR="00000000" w:rsidRDefault="00195E73">
            <w:pPr>
              <w:rPr>
                <w:rFonts w:eastAsia="Times New Roman"/>
                <w:sz w:val="20"/>
                <w:szCs w:val="20"/>
              </w:rPr>
            </w:pPr>
          </w:p>
        </w:tc>
        <w:tc>
          <w:tcPr>
            <w:tcW w:w="0" w:type="auto"/>
            <w:vAlign w:val="center"/>
            <w:hideMark/>
          </w:tcPr>
          <w:p w14:paraId="0DE11936" w14:textId="77777777" w:rsidR="00000000" w:rsidRDefault="00195E73">
            <w:pPr>
              <w:rPr>
                <w:rFonts w:eastAsia="Times New Roman"/>
                <w:sz w:val="20"/>
                <w:szCs w:val="20"/>
              </w:rPr>
            </w:pPr>
          </w:p>
        </w:tc>
        <w:tc>
          <w:tcPr>
            <w:tcW w:w="0" w:type="auto"/>
            <w:vAlign w:val="center"/>
            <w:hideMark/>
          </w:tcPr>
          <w:p w14:paraId="0F90DC8A" w14:textId="77777777" w:rsidR="00000000" w:rsidRDefault="00195E73">
            <w:pPr>
              <w:rPr>
                <w:rFonts w:eastAsia="Times New Roman"/>
                <w:sz w:val="20"/>
                <w:szCs w:val="20"/>
              </w:rPr>
            </w:pPr>
          </w:p>
        </w:tc>
        <w:tc>
          <w:tcPr>
            <w:tcW w:w="0" w:type="auto"/>
            <w:vAlign w:val="center"/>
            <w:hideMark/>
          </w:tcPr>
          <w:p w14:paraId="43694089" w14:textId="77777777" w:rsidR="00000000" w:rsidRDefault="00195E73">
            <w:pPr>
              <w:rPr>
                <w:rFonts w:eastAsia="Times New Roman"/>
                <w:sz w:val="20"/>
                <w:szCs w:val="20"/>
              </w:rPr>
            </w:pPr>
          </w:p>
        </w:tc>
        <w:tc>
          <w:tcPr>
            <w:tcW w:w="0" w:type="auto"/>
            <w:vAlign w:val="center"/>
            <w:hideMark/>
          </w:tcPr>
          <w:p w14:paraId="37DD91E9" w14:textId="77777777" w:rsidR="00000000" w:rsidRDefault="00195E73">
            <w:pPr>
              <w:rPr>
                <w:rFonts w:eastAsia="Times New Roman"/>
                <w:sz w:val="20"/>
                <w:szCs w:val="20"/>
              </w:rPr>
            </w:pPr>
          </w:p>
        </w:tc>
        <w:tc>
          <w:tcPr>
            <w:tcW w:w="0" w:type="auto"/>
            <w:vAlign w:val="center"/>
            <w:hideMark/>
          </w:tcPr>
          <w:p w14:paraId="4A337A66" w14:textId="77777777" w:rsidR="00000000" w:rsidRDefault="00195E73">
            <w:pPr>
              <w:rPr>
                <w:rFonts w:eastAsia="Times New Roman"/>
                <w:sz w:val="20"/>
                <w:szCs w:val="20"/>
              </w:rPr>
            </w:pPr>
          </w:p>
        </w:tc>
        <w:tc>
          <w:tcPr>
            <w:tcW w:w="0" w:type="auto"/>
            <w:vAlign w:val="center"/>
            <w:hideMark/>
          </w:tcPr>
          <w:p w14:paraId="33EB8454" w14:textId="77777777" w:rsidR="00000000" w:rsidRDefault="00195E73">
            <w:pPr>
              <w:rPr>
                <w:rFonts w:eastAsia="Times New Roman"/>
                <w:sz w:val="20"/>
                <w:szCs w:val="20"/>
              </w:rPr>
            </w:pPr>
          </w:p>
        </w:tc>
        <w:tc>
          <w:tcPr>
            <w:tcW w:w="0" w:type="auto"/>
            <w:vAlign w:val="center"/>
            <w:hideMark/>
          </w:tcPr>
          <w:p w14:paraId="6D406C38" w14:textId="77777777" w:rsidR="00000000" w:rsidRDefault="00195E73">
            <w:pPr>
              <w:rPr>
                <w:rFonts w:eastAsia="Times New Roman"/>
                <w:sz w:val="20"/>
                <w:szCs w:val="20"/>
              </w:rPr>
            </w:pPr>
          </w:p>
        </w:tc>
        <w:tc>
          <w:tcPr>
            <w:tcW w:w="0" w:type="auto"/>
            <w:vAlign w:val="center"/>
            <w:hideMark/>
          </w:tcPr>
          <w:p w14:paraId="5B849B26" w14:textId="77777777" w:rsidR="00000000" w:rsidRDefault="00195E73">
            <w:pPr>
              <w:rPr>
                <w:rFonts w:eastAsia="Times New Roman"/>
                <w:sz w:val="20"/>
                <w:szCs w:val="20"/>
              </w:rPr>
            </w:pPr>
          </w:p>
        </w:tc>
        <w:tc>
          <w:tcPr>
            <w:tcW w:w="0" w:type="auto"/>
            <w:vAlign w:val="center"/>
            <w:hideMark/>
          </w:tcPr>
          <w:p w14:paraId="0940F5EC" w14:textId="77777777" w:rsidR="00000000" w:rsidRDefault="00195E73">
            <w:pPr>
              <w:rPr>
                <w:rFonts w:eastAsia="Times New Roman"/>
                <w:sz w:val="20"/>
                <w:szCs w:val="20"/>
              </w:rPr>
            </w:pPr>
          </w:p>
        </w:tc>
      </w:tr>
      <w:tr w:rsidR="00000000" w14:paraId="2E13B3CA" w14:textId="77777777">
        <w:trPr>
          <w:divId w:val="1384790163"/>
          <w:jc w:val="center"/>
        </w:trPr>
        <w:tc>
          <w:tcPr>
            <w:tcW w:w="0" w:type="auto"/>
            <w:gridSpan w:val="3"/>
            <w:shd w:val="clear" w:color="auto" w:fill="CCEEFF"/>
            <w:tcMar>
              <w:top w:w="30" w:type="dxa"/>
              <w:left w:w="20" w:type="dxa"/>
              <w:bottom w:w="30" w:type="dxa"/>
              <w:right w:w="20" w:type="dxa"/>
            </w:tcMar>
            <w:vAlign w:val="bottom"/>
            <w:hideMark/>
          </w:tcPr>
          <w:p w14:paraId="216599A1" w14:textId="77777777" w:rsidR="00000000" w:rsidRDefault="00195E73">
            <w:pPr>
              <w:rPr>
                <w:rFonts w:eastAsia="Times New Roman"/>
              </w:rPr>
            </w:pPr>
            <w:r>
              <w:rPr>
                <w:rFonts w:eastAsia="Times New Roman"/>
                <w:color w:val="000000"/>
                <w:sz w:val="20"/>
                <w:szCs w:val="20"/>
              </w:rPr>
              <w:t>   Cost of goods sol</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51C372A1" w14:textId="77777777" w:rsidR="00000000" w:rsidRDefault="00195E73">
            <w:pPr>
              <w:jc w:val="right"/>
              <w:rPr>
                <w:rFonts w:eastAsia="Times New Roman"/>
              </w:rPr>
            </w:pPr>
            <w:r>
              <w:rPr>
                <w:rFonts w:eastAsia="Times New Roman"/>
                <w:color w:val="000000"/>
                <w:sz w:val="20"/>
                <w:szCs w:val="20"/>
              </w:rPr>
              <w:t>8,212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2116CB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184ADB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08AA94" w14:textId="77777777" w:rsidR="00000000" w:rsidRDefault="00195E73">
            <w:pPr>
              <w:jc w:val="right"/>
              <w:rPr>
                <w:rFonts w:eastAsia="Times New Roman"/>
              </w:rPr>
            </w:pPr>
            <w:r>
              <w:rPr>
                <w:rFonts w:eastAsia="Times New Roman"/>
                <w:color w:val="000000"/>
                <w:sz w:val="20"/>
                <w:szCs w:val="20"/>
              </w:rPr>
              <w:t>9,002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984E7F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C3481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B09881" w14:textId="77777777" w:rsidR="00000000" w:rsidRDefault="00195E73">
            <w:pPr>
              <w:jc w:val="right"/>
              <w:rPr>
                <w:rFonts w:eastAsia="Times New Roman"/>
              </w:rPr>
            </w:pPr>
            <w:r>
              <w:rPr>
                <w:rFonts w:eastAsia="Times New Roman"/>
                <w:color w:val="000000"/>
                <w:sz w:val="20"/>
                <w:szCs w:val="20"/>
              </w:rPr>
              <w:t>8,220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1D76F0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0CAEAB5" w14:textId="77777777" w:rsidR="00000000" w:rsidRDefault="00195E73">
            <w:pPr>
              <w:rPr>
                <w:rFonts w:eastAsia="Times New Roman"/>
                <w:sz w:val="20"/>
                <w:szCs w:val="20"/>
              </w:rPr>
            </w:pPr>
          </w:p>
        </w:tc>
        <w:tc>
          <w:tcPr>
            <w:tcW w:w="0" w:type="auto"/>
            <w:vAlign w:val="center"/>
            <w:hideMark/>
          </w:tcPr>
          <w:p w14:paraId="639AFE10" w14:textId="77777777" w:rsidR="00000000" w:rsidRDefault="00195E73">
            <w:pPr>
              <w:rPr>
                <w:rFonts w:eastAsia="Times New Roman"/>
                <w:sz w:val="20"/>
                <w:szCs w:val="20"/>
              </w:rPr>
            </w:pPr>
          </w:p>
        </w:tc>
        <w:tc>
          <w:tcPr>
            <w:tcW w:w="0" w:type="auto"/>
            <w:vAlign w:val="center"/>
            <w:hideMark/>
          </w:tcPr>
          <w:p w14:paraId="4C11A39F" w14:textId="77777777" w:rsidR="00000000" w:rsidRDefault="00195E73">
            <w:pPr>
              <w:rPr>
                <w:rFonts w:eastAsia="Times New Roman"/>
                <w:sz w:val="20"/>
                <w:szCs w:val="20"/>
              </w:rPr>
            </w:pPr>
          </w:p>
        </w:tc>
        <w:tc>
          <w:tcPr>
            <w:tcW w:w="0" w:type="auto"/>
            <w:vAlign w:val="center"/>
            <w:hideMark/>
          </w:tcPr>
          <w:p w14:paraId="5BBEF59C" w14:textId="77777777" w:rsidR="00000000" w:rsidRDefault="00195E73">
            <w:pPr>
              <w:rPr>
                <w:rFonts w:eastAsia="Times New Roman"/>
                <w:sz w:val="20"/>
                <w:szCs w:val="20"/>
              </w:rPr>
            </w:pPr>
          </w:p>
        </w:tc>
        <w:tc>
          <w:tcPr>
            <w:tcW w:w="0" w:type="auto"/>
            <w:vAlign w:val="center"/>
            <w:hideMark/>
          </w:tcPr>
          <w:p w14:paraId="47E13C43" w14:textId="77777777" w:rsidR="00000000" w:rsidRDefault="00195E73">
            <w:pPr>
              <w:rPr>
                <w:rFonts w:eastAsia="Times New Roman"/>
                <w:sz w:val="20"/>
                <w:szCs w:val="20"/>
              </w:rPr>
            </w:pPr>
          </w:p>
        </w:tc>
        <w:tc>
          <w:tcPr>
            <w:tcW w:w="0" w:type="auto"/>
            <w:vAlign w:val="center"/>
            <w:hideMark/>
          </w:tcPr>
          <w:p w14:paraId="26D1A0F8" w14:textId="77777777" w:rsidR="00000000" w:rsidRDefault="00195E73">
            <w:pPr>
              <w:rPr>
                <w:rFonts w:eastAsia="Times New Roman"/>
                <w:sz w:val="20"/>
                <w:szCs w:val="20"/>
              </w:rPr>
            </w:pPr>
          </w:p>
        </w:tc>
        <w:tc>
          <w:tcPr>
            <w:tcW w:w="0" w:type="auto"/>
            <w:vAlign w:val="center"/>
            <w:hideMark/>
          </w:tcPr>
          <w:p w14:paraId="531920A3" w14:textId="77777777" w:rsidR="00000000" w:rsidRDefault="00195E73">
            <w:pPr>
              <w:rPr>
                <w:rFonts w:eastAsia="Times New Roman"/>
                <w:sz w:val="20"/>
                <w:szCs w:val="20"/>
              </w:rPr>
            </w:pPr>
          </w:p>
        </w:tc>
        <w:tc>
          <w:tcPr>
            <w:tcW w:w="0" w:type="auto"/>
            <w:vAlign w:val="center"/>
            <w:hideMark/>
          </w:tcPr>
          <w:p w14:paraId="0605DF31" w14:textId="77777777" w:rsidR="00000000" w:rsidRDefault="00195E73">
            <w:pPr>
              <w:rPr>
                <w:rFonts w:eastAsia="Times New Roman"/>
                <w:sz w:val="20"/>
                <w:szCs w:val="20"/>
              </w:rPr>
            </w:pPr>
          </w:p>
        </w:tc>
        <w:tc>
          <w:tcPr>
            <w:tcW w:w="0" w:type="auto"/>
            <w:vAlign w:val="center"/>
            <w:hideMark/>
          </w:tcPr>
          <w:p w14:paraId="2A500357" w14:textId="77777777" w:rsidR="00000000" w:rsidRDefault="00195E73">
            <w:pPr>
              <w:rPr>
                <w:rFonts w:eastAsia="Times New Roman"/>
                <w:sz w:val="20"/>
                <w:szCs w:val="20"/>
              </w:rPr>
            </w:pPr>
          </w:p>
        </w:tc>
        <w:tc>
          <w:tcPr>
            <w:tcW w:w="0" w:type="auto"/>
            <w:vAlign w:val="center"/>
            <w:hideMark/>
          </w:tcPr>
          <w:p w14:paraId="5A9CDE58" w14:textId="77777777" w:rsidR="00000000" w:rsidRDefault="00195E73">
            <w:pPr>
              <w:rPr>
                <w:rFonts w:eastAsia="Times New Roman"/>
                <w:sz w:val="20"/>
                <w:szCs w:val="20"/>
              </w:rPr>
            </w:pPr>
          </w:p>
        </w:tc>
        <w:tc>
          <w:tcPr>
            <w:tcW w:w="0" w:type="auto"/>
            <w:vAlign w:val="center"/>
            <w:hideMark/>
          </w:tcPr>
          <w:p w14:paraId="4F0AC995" w14:textId="77777777" w:rsidR="00000000" w:rsidRDefault="00195E73">
            <w:pPr>
              <w:rPr>
                <w:rFonts w:eastAsia="Times New Roman"/>
                <w:sz w:val="20"/>
                <w:szCs w:val="20"/>
              </w:rPr>
            </w:pPr>
          </w:p>
        </w:tc>
        <w:tc>
          <w:tcPr>
            <w:tcW w:w="0" w:type="auto"/>
            <w:vAlign w:val="center"/>
            <w:hideMark/>
          </w:tcPr>
          <w:p w14:paraId="6BE43D61" w14:textId="77777777" w:rsidR="00000000" w:rsidRDefault="00195E73">
            <w:pPr>
              <w:rPr>
                <w:rFonts w:eastAsia="Times New Roman"/>
                <w:sz w:val="20"/>
                <w:szCs w:val="20"/>
              </w:rPr>
            </w:pPr>
          </w:p>
        </w:tc>
      </w:tr>
      <w:tr w:rsidR="00000000" w14:paraId="3EE04AD7"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44E52878"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Other expenses from operation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64E6680" w14:textId="77777777" w:rsidR="00000000" w:rsidRDefault="00195E73">
            <w:pPr>
              <w:jc w:val="right"/>
              <w:rPr>
                <w:rFonts w:eastAsia="Times New Roman"/>
              </w:rPr>
            </w:pPr>
            <w:r>
              <w:rPr>
                <w:rFonts w:eastAsia="Times New Roman"/>
                <w:color w:val="000000"/>
                <w:sz w:val="20"/>
                <w:szCs w:val="20"/>
              </w:rPr>
              <w:t>518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8BF0D5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46FE8C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42AF4E" w14:textId="77777777" w:rsidR="00000000" w:rsidRDefault="00195E73">
            <w:pPr>
              <w:jc w:val="right"/>
              <w:rPr>
                <w:rFonts w:eastAsia="Times New Roman"/>
              </w:rPr>
            </w:pPr>
            <w:r>
              <w:rPr>
                <w:rFonts w:eastAsia="Times New Roman"/>
                <w:color w:val="000000"/>
                <w:sz w:val="20"/>
                <w:szCs w:val="20"/>
              </w:rPr>
              <w:t>529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D4C0AF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94D987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DE2AC6" w14:textId="77777777" w:rsidR="00000000" w:rsidRDefault="00195E73">
            <w:pPr>
              <w:jc w:val="right"/>
              <w:rPr>
                <w:rFonts w:eastAsia="Times New Roman"/>
              </w:rPr>
            </w:pPr>
            <w:r>
              <w:rPr>
                <w:rFonts w:eastAsia="Times New Roman"/>
                <w:color w:val="000000"/>
                <w:sz w:val="20"/>
                <w:szCs w:val="20"/>
              </w:rPr>
              <w:t>518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61BD43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4A8CCC6" w14:textId="77777777" w:rsidR="00000000" w:rsidRDefault="00195E73">
            <w:pPr>
              <w:rPr>
                <w:rFonts w:eastAsia="Times New Roman"/>
                <w:sz w:val="20"/>
                <w:szCs w:val="20"/>
              </w:rPr>
            </w:pPr>
          </w:p>
        </w:tc>
        <w:tc>
          <w:tcPr>
            <w:tcW w:w="0" w:type="auto"/>
            <w:vAlign w:val="center"/>
            <w:hideMark/>
          </w:tcPr>
          <w:p w14:paraId="2AC48167" w14:textId="77777777" w:rsidR="00000000" w:rsidRDefault="00195E73">
            <w:pPr>
              <w:rPr>
                <w:rFonts w:eastAsia="Times New Roman"/>
                <w:sz w:val="20"/>
                <w:szCs w:val="20"/>
              </w:rPr>
            </w:pPr>
          </w:p>
        </w:tc>
        <w:tc>
          <w:tcPr>
            <w:tcW w:w="0" w:type="auto"/>
            <w:vAlign w:val="center"/>
            <w:hideMark/>
          </w:tcPr>
          <w:p w14:paraId="4FA50C1B" w14:textId="77777777" w:rsidR="00000000" w:rsidRDefault="00195E73">
            <w:pPr>
              <w:rPr>
                <w:rFonts w:eastAsia="Times New Roman"/>
                <w:sz w:val="20"/>
                <w:szCs w:val="20"/>
              </w:rPr>
            </w:pPr>
          </w:p>
        </w:tc>
        <w:tc>
          <w:tcPr>
            <w:tcW w:w="0" w:type="auto"/>
            <w:vAlign w:val="center"/>
            <w:hideMark/>
          </w:tcPr>
          <w:p w14:paraId="09CE50C9" w14:textId="77777777" w:rsidR="00000000" w:rsidRDefault="00195E73">
            <w:pPr>
              <w:rPr>
                <w:rFonts w:eastAsia="Times New Roman"/>
                <w:sz w:val="20"/>
                <w:szCs w:val="20"/>
              </w:rPr>
            </w:pPr>
          </w:p>
        </w:tc>
        <w:tc>
          <w:tcPr>
            <w:tcW w:w="0" w:type="auto"/>
            <w:vAlign w:val="center"/>
            <w:hideMark/>
          </w:tcPr>
          <w:p w14:paraId="4AFDF4DA" w14:textId="77777777" w:rsidR="00000000" w:rsidRDefault="00195E73">
            <w:pPr>
              <w:rPr>
                <w:rFonts w:eastAsia="Times New Roman"/>
                <w:sz w:val="20"/>
                <w:szCs w:val="20"/>
              </w:rPr>
            </w:pPr>
          </w:p>
        </w:tc>
        <w:tc>
          <w:tcPr>
            <w:tcW w:w="0" w:type="auto"/>
            <w:vAlign w:val="center"/>
            <w:hideMark/>
          </w:tcPr>
          <w:p w14:paraId="0BA73421" w14:textId="77777777" w:rsidR="00000000" w:rsidRDefault="00195E73">
            <w:pPr>
              <w:rPr>
                <w:rFonts w:eastAsia="Times New Roman"/>
                <w:sz w:val="20"/>
                <w:szCs w:val="20"/>
              </w:rPr>
            </w:pPr>
          </w:p>
        </w:tc>
        <w:tc>
          <w:tcPr>
            <w:tcW w:w="0" w:type="auto"/>
            <w:vAlign w:val="center"/>
            <w:hideMark/>
          </w:tcPr>
          <w:p w14:paraId="28877CCE" w14:textId="77777777" w:rsidR="00000000" w:rsidRDefault="00195E73">
            <w:pPr>
              <w:rPr>
                <w:rFonts w:eastAsia="Times New Roman"/>
                <w:sz w:val="20"/>
                <w:szCs w:val="20"/>
              </w:rPr>
            </w:pPr>
          </w:p>
        </w:tc>
        <w:tc>
          <w:tcPr>
            <w:tcW w:w="0" w:type="auto"/>
            <w:vAlign w:val="center"/>
            <w:hideMark/>
          </w:tcPr>
          <w:p w14:paraId="70CBA1C1" w14:textId="77777777" w:rsidR="00000000" w:rsidRDefault="00195E73">
            <w:pPr>
              <w:rPr>
                <w:rFonts w:eastAsia="Times New Roman"/>
                <w:sz w:val="20"/>
                <w:szCs w:val="20"/>
              </w:rPr>
            </w:pPr>
          </w:p>
        </w:tc>
        <w:tc>
          <w:tcPr>
            <w:tcW w:w="0" w:type="auto"/>
            <w:vAlign w:val="center"/>
            <w:hideMark/>
          </w:tcPr>
          <w:p w14:paraId="4F096EC9" w14:textId="77777777" w:rsidR="00000000" w:rsidRDefault="00195E73">
            <w:pPr>
              <w:rPr>
                <w:rFonts w:eastAsia="Times New Roman"/>
                <w:sz w:val="20"/>
                <w:szCs w:val="20"/>
              </w:rPr>
            </w:pPr>
          </w:p>
        </w:tc>
        <w:tc>
          <w:tcPr>
            <w:tcW w:w="0" w:type="auto"/>
            <w:vAlign w:val="center"/>
            <w:hideMark/>
          </w:tcPr>
          <w:p w14:paraId="37EBF0A8" w14:textId="77777777" w:rsidR="00000000" w:rsidRDefault="00195E73">
            <w:pPr>
              <w:rPr>
                <w:rFonts w:eastAsia="Times New Roman"/>
                <w:sz w:val="20"/>
                <w:szCs w:val="20"/>
              </w:rPr>
            </w:pPr>
          </w:p>
        </w:tc>
        <w:tc>
          <w:tcPr>
            <w:tcW w:w="0" w:type="auto"/>
            <w:vAlign w:val="center"/>
            <w:hideMark/>
          </w:tcPr>
          <w:p w14:paraId="717C3C7D" w14:textId="77777777" w:rsidR="00000000" w:rsidRDefault="00195E73">
            <w:pPr>
              <w:rPr>
                <w:rFonts w:eastAsia="Times New Roman"/>
                <w:sz w:val="20"/>
                <w:szCs w:val="20"/>
              </w:rPr>
            </w:pPr>
          </w:p>
        </w:tc>
        <w:tc>
          <w:tcPr>
            <w:tcW w:w="0" w:type="auto"/>
            <w:vAlign w:val="center"/>
            <w:hideMark/>
          </w:tcPr>
          <w:p w14:paraId="462970FC" w14:textId="77777777" w:rsidR="00000000" w:rsidRDefault="00195E73">
            <w:pPr>
              <w:rPr>
                <w:rFonts w:eastAsia="Times New Roman"/>
                <w:sz w:val="20"/>
                <w:szCs w:val="20"/>
              </w:rPr>
            </w:pPr>
          </w:p>
        </w:tc>
      </w:tr>
      <w:tr w:rsidR="00000000" w14:paraId="3314579C" w14:textId="77777777">
        <w:trPr>
          <w:divId w:val="1384790163"/>
          <w:jc w:val="center"/>
        </w:trPr>
        <w:tc>
          <w:tcPr>
            <w:tcW w:w="0" w:type="auto"/>
            <w:gridSpan w:val="3"/>
            <w:shd w:val="clear" w:color="auto" w:fill="CCEEFF"/>
            <w:tcMar>
              <w:top w:w="30" w:type="dxa"/>
              <w:left w:w="20" w:type="dxa"/>
              <w:bottom w:w="30" w:type="dxa"/>
              <w:right w:w="20" w:type="dxa"/>
            </w:tcMar>
            <w:vAlign w:val="bottom"/>
            <w:hideMark/>
          </w:tcPr>
          <w:p w14:paraId="3DA3E509" w14:textId="77777777" w:rsidR="00000000" w:rsidRDefault="00195E73">
            <w:pPr>
              <w:rPr>
                <w:rFonts w:eastAsia="Times New Roman"/>
              </w:rPr>
            </w:pPr>
            <w:r>
              <w:rPr>
                <w:rFonts w:eastAsia="Times New Roman"/>
                <w:color w:val="000000"/>
                <w:sz w:val="20"/>
                <w:szCs w:val="20"/>
              </w:rPr>
              <w:t>   Selling, general and administrativ</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53965652" w14:textId="77777777" w:rsidR="00000000" w:rsidRDefault="00195E73">
            <w:pPr>
              <w:jc w:val="right"/>
              <w:rPr>
                <w:rFonts w:eastAsia="Times New Roman"/>
              </w:rPr>
            </w:pPr>
            <w:r>
              <w:rPr>
                <w:rFonts w:eastAsia="Times New Roman"/>
                <w:color w:val="000000"/>
                <w:sz w:val="20"/>
                <w:szCs w:val="20"/>
              </w:rPr>
              <w:t>1,376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97A6FA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919B6F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8D6AD6" w14:textId="77777777" w:rsidR="00000000" w:rsidRDefault="00195E73">
            <w:pPr>
              <w:jc w:val="right"/>
              <w:rPr>
                <w:rFonts w:eastAsia="Times New Roman"/>
              </w:rPr>
            </w:pPr>
            <w:r>
              <w:rPr>
                <w:rFonts w:eastAsia="Times New Roman"/>
                <w:color w:val="000000"/>
                <w:sz w:val="20"/>
                <w:szCs w:val="20"/>
              </w:rPr>
              <w:t>1,386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E4881A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A31C2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7B728F" w14:textId="77777777" w:rsidR="00000000" w:rsidRDefault="00195E73">
            <w:pPr>
              <w:jc w:val="right"/>
              <w:rPr>
                <w:rFonts w:eastAsia="Times New Roman"/>
              </w:rPr>
            </w:pPr>
            <w:r>
              <w:rPr>
                <w:rFonts w:eastAsia="Times New Roman"/>
                <w:color w:val="000000"/>
                <w:sz w:val="20"/>
                <w:szCs w:val="20"/>
              </w:rPr>
              <w:t>1,269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4E6BDD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30E2F3C" w14:textId="77777777" w:rsidR="00000000" w:rsidRDefault="00195E73">
            <w:pPr>
              <w:rPr>
                <w:rFonts w:eastAsia="Times New Roman"/>
                <w:sz w:val="20"/>
                <w:szCs w:val="20"/>
              </w:rPr>
            </w:pPr>
          </w:p>
        </w:tc>
        <w:tc>
          <w:tcPr>
            <w:tcW w:w="0" w:type="auto"/>
            <w:vAlign w:val="center"/>
            <w:hideMark/>
          </w:tcPr>
          <w:p w14:paraId="2236DEE0" w14:textId="77777777" w:rsidR="00000000" w:rsidRDefault="00195E73">
            <w:pPr>
              <w:rPr>
                <w:rFonts w:eastAsia="Times New Roman"/>
                <w:sz w:val="20"/>
                <w:szCs w:val="20"/>
              </w:rPr>
            </w:pPr>
          </w:p>
        </w:tc>
        <w:tc>
          <w:tcPr>
            <w:tcW w:w="0" w:type="auto"/>
            <w:vAlign w:val="center"/>
            <w:hideMark/>
          </w:tcPr>
          <w:p w14:paraId="2E10F531" w14:textId="77777777" w:rsidR="00000000" w:rsidRDefault="00195E73">
            <w:pPr>
              <w:rPr>
                <w:rFonts w:eastAsia="Times New Roman"/>
                <w:sz w:val="20"/>
                <w:szCs w:val="20"/>
              </w:rPr>
            </w:pPr>
          </w:p>
        </w:tc>
        <w:tc>
          <w:tcPr>
            <w:tcW w:w="0" w:type="auto"/>
            <w:vAlign w:val="center"/>
            <w:hideMark/>
          </w:tcPr>
          <w:p w14:paraId="5B9B2D05" w14:textId="77777777" w:rsidR="00000000" w:rsidRDefault="00195E73">
            <w:pPr>
              <w:rPr>
                <w:rFonts w:eastAsia="Times New Roman"/>
                <w:sz w:val="20"/>
                <w:szCs w:val="20"/>
              </w:rPr>
            </w:pPr>
          </w:p>
        </w:tc>
        <w:tc>
          <w:tcPr>
            <w:tcW w:w="0" w:type="auto"/>
            <w:vAlign w:val="center"/>
            <w:hideMark/>
          </w:tcPr>
          <w:p w14:paraId="6B1AF8F2" w14:textId="77777777" w:rsidR="00000000" w:rsidRDefault="00195E73">
            <w:pPr>
              <w:rPr>
                <w:rFonts w:eastAsia="Times New Roman"/>
                <w:sz w:val="20"/>
                <w:szCs w:val="20"/>
              </w:rPr>
            </w:pPr>
          </w:p>
        </w:tc>
        <w:tc>
          <w:tcPr>
            <w:tcW w:w="0" w:type="auto"/>
            <w:vAlign w:val="center"/>
            <w:hideMark/>
          </w:tcPr>
          <w:p w14:paraId="04CD5DD8" w14:textId="77777777" w:rsidR="00000000" w:rsidRDefault="00195E73">
            <w:pPr>
              <w:rPr>
                <w:rFonts w:eastAsia="Times New Roman"/>
                <w:sz w:val="20"/>
                <w:szCs w:val="20"/>
              </w:rPr>
            </w:pPr>
          </w:p>
        </w:tc>
        <w:tc>
          <w:tcPr>
            <w:tcW w:w="0" w:type="auto"/>
            <w:vAlign w:val="center"/>
            <w:hideMark/>
          </w:tcPr>
          <w:p w14:paraId="5595D9BF" w14:textId="77777777" w:rsidR="00000000" w:rsidRDefault="00195E73">
            <w:pPr>
              <w:rPr>
                <w:rFonts w:eastAsia="Times New Roman"/>
                <w:sz w:val="20"/>
                <w:szCs w:val="20"/>
              </w:rPr>
            </w:pPr>
          </w:p>
        </w:tc>
        <w:tc>
          <w:tcPr>
            <w:tcW w:w="0" w:type="auto"/>
            <w:vAlign w:val="center"/>
            <w:hideMark/>
          </w:tcPr>
          <w:p w14:paraId="70CF49A7" w14:textId="77777777" w:rsidR="00000000" w:rsidRDefault="00195E73">
            <w:pPr>
              <w:rPr>
                <w:rFonts w:eastAsia="Times New Roman"/>
                <w:sz w:val="20"/>
                <w:szCs w:val="20"/>
              </w:rPr>
            </w:pPr>
          </w:p>
        </w:tc>
        <w:tc>
          <w:tcPr>
            <w:tcW w:w="0" w:type="auto"/>
            <w:vAlign w:val="center"/>
            <w:hideMark/>
          </w:tcPr>
          <w:p w14:paraId="5B4980A1" w14:textId="77777777" w:rsidR="00000000" w:rsidRDefault="00195E73">
            <w:pPr>
              <w:rPr>
                <w:rFonts w:eastAsia="Times New Roman"/>
                <w:sz w:val="20"/>
                <w:szCs w:val="20"/>
              </w:rPr>
            </w:pPr>
          </w:p>
        </w:tc>
        <w:tc>
          <w:tcPr>
            <w:tcW w:w="0" w:type="auto"/>
            <w:vAlign w:val="center"/>
            <w:hideMark/>
          </w:tcPr>
          <w:p w14:paraId="2DD88F29" w14:textId="77777777" w:rsidR="00000000" w:rsidRDefault="00195E73">
            <w:pPr>
              <w:rPr>
                <w:rFonts w:eastAsia="Times New Roman"/>
                <w:sz w:val="20"/>
                <w:szCs w:val="20"/>
              </w:rPr>
            </w:pPr>
          </w:p>
        </w:tc>
        <w:tc>
          <w:tcPr>
            <w:tcW w:w="0" w:type="auto"/>
            <w:vAlign w:val="center"/>
            <w:hideMark/>
          </w:tcPr>
          <w:p w14:paraId="67F8D63C" w14:textId="77777777" w:rsidR="00000000" w:rsidRDefault="00195E73">
            <w:pPr>
              <w:rPr>
                <w:rFonts w:eastAsia="Times New Roman"/>
                <w:sz w:val="20"/>
                <w:szCs w:val="20"/>
              </w:rPr>
            </w:pPr>
          </w:p>
        </w:tc>
        <w:tc>
          <w:tcPr>
            <w:tcW w:w="0" w:type="auto"/>
            <w:vAlign w:val="center"/>
            <w:hideMark/>
          </w:tcPr>
          <w:p w14:paraId="503F9A6E" w14:textId="77777777" w:rsidR="00000000" w:rsidRDefault="00195E73">
            <w:pPr>
              <w:rPr>
                <w:rFonts w:eastAsia="Times New Roman"/>
                <w:sz w:val="20"/>
                <w:szCs w:val="20"/>
              </w:rPr>
            </w:pPr>
          </w:p>
        </w:tc>
      </w:tr>
      <w:tr w:rsidR="00000000" w14:paraId="73B3DD04"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2E71D9DC" w14:textId="77777777" w:rsidR="00000000" w:rsidRDefault="00195E73">
            <w:pPr>
              <w:rPr>
                <w:rFonts w:eastAsia="Times New Roman"/>
              </w:rPr>
            </w:pPr>
            <w:r>
              <w:rPr>
                <w:rFonts w:eastAsia="Times New Roman"/>
                <w:color w:val="000000"/>
                <w:sz w:val="20"/>
                <w:szCs w:val="20"/>
              </w:rPr>
              <w:t>   Restructurin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14:paraId="60BF8CC2" w14:textId="77777777" w:rsidR="00000000" w:rsidRDefault="00195E73">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F87E56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B77EAE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7C1F0D" w14:textId="77777777" w:rsidR="00000000" w:rsidRDefault="00195E73">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EBFFBD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62DDAF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374BB2"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C5FA41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C26B138" w14:textId="77777777" w:rsidR="00000000" w:rsidRDefault="00195E73">
            <w:pPr>
              <w:rPr>
                <w:rFonts w:eastAsia="Times New Roman"/>
                <w:sz w:val="20"/>
                <w:szCs w:val="20"/>
              </w:rPr>
            </w:pPr>
          </w:p>
        </w:tc>
        <w:tc>
          <w:tcPr>
            <w:tcW w:w="0" w:type="auto"/>
            <w:vAlign w:val="center"/>
            <w:hideMark/>
          </w:tcPr>
          <w:p w14:paraId="436960EC" w14:textId="77777777" w:rsidR="00000000" w:rsidRDefault="00195E73">
            <w:pPr>
              <w:rPr>
                <w:rFonts w:eastAsia="Times New Roman"/>
                <w:sz w:val="20"/>
                <w:szCs w:val="20"/>
              </w:rPr>
            </w:pPr>
          </w:p>
        </w:tc>
        <w:tc>
          <w:tcPr>
            <w:tcW w:w="0" w:type="auto"/>
            <w:vAlign w:val="center"/>
            <w:hideMark/>
          </w:tcPr>
          <w:p w14:paraId="3CB824B0" w14:textId="77777777" w:rsidR="00000000" w:rsidRDefault="00195E73">
            <w:pPr>
              <w:rPr>
                <w:rFonts w:eastAsia="Times New Roman"/>
                <w:sz w:val="20"/>
                <w:szCs w:val="20"/>
              </w:rPr>
            </w:pPr>
          </w:p>
        </w:tc>
        <w:tc>
          <w:tcPr>
            <w:tcW w:w="0" w:type="auto"/>
            <w:vAlign w:val="center"/>
            <w:hideMark/>
          </w:tcPr>
          <w:p w14:paraId="7F643D70" w14:textId="77777777" w:rsidR="00000000" w:rsidRDefault="00195E73">
            <w:pPr>
              <w:rPr>
                <w:rFonts w:eastAsia="Times New Roman"/>
                <w:sz w:val="20"/>
                <w:szCs w:val="20"/>
              </w:rPr>
            </w:pPr>
          </w:p>
        </w:tc>
        <w:tc>
          <w:tcPr>
            <w:tcW w:w="0" w:type="auto"/>
            <w:vAlign w:val="center"/>
            <w:hideMark/>
          </w:tcPr>
          <w:p w14:paraId="4395F928" w14:textId="77777777" w:rsidR="00000000" w:rsidRDefault="00195E73">
            <w:pPr>
              <w:rPr>
                <w:rFonts w:eastAsia="Times New Roman"/>
                <w:sz w:val="20"/>
                <w:szCs w:val="20"/>
              </w:rPr>
            </w:pPr>
          </w:p>
        </w:tc>
        <w:tc>
          <w:tcPr>
            <w:tcW w:w="0" w:type="auto"/>
            <w:vAlign w:val="center"/>
            <w:hideMark/>
          </w:tcPr>
          <w:p w14:paraId="6B845CF4" w14:textId="77777777" w:rsidR="00000000" w:rsidRDefault="00195E73">
            <w:pPr>
              <w:rPr>
                <w:rFonts w:eastAsia="Times New Roman"/>
                <w:sz w:val="20"/>
                <w:szCs w:val="20"/>
              </w:rPr>
            </w:pPr>
          </w:p>
        </w:tc>
        <w:tc>
          <w:tcPr>
            <w:tcW w:w="0" w:type="auto"/>
            <w:vAlign w:val="center"/>
            <w:hideMark/>
          </w:tcPr>
          <w:p w14:paraId="4FEEEC48" w14:textId="77777777" w:rsidR="00000000" w:rsidRDefault="00195E73">
            <w:pPr>
              <w:rPr>
                <w:rFonts w:eastAsia="Times New Roman"/>
                <w:sz w:val="20"/>
                <w:szCs w:val="20"/>
              </w:rPr>
            </w:pPr>
          </w:p>
        </w:tc>
        <w:tc>
          <w:tcPr>
            <w:tcW w:w="0" w:type="auto"/>
            <w:vAlign w:val="center"/>
            <w:hideMark/>
          </w:tcPr>
          <w:p w14:paraId="1BEB78E0" w14:textId="77777777" w:rsidR="00000000" w:rsidRDefault="00195E73">
            <w:pPr>
              <w:rPr>
                <w:rFonts w:eastAsia="Times New Roman"/>
                <w:sz w:val="20"/>
                <w:szCs w:val="20"/>
              </w:rPr>
            </w:pPr>
          </w:p>
        </w:tc>
        <w:tc>
          <w:tcPr>
            <w:tcW w:w="0" w:type="auto"/>
            <w:vAlign w:val="center"/>
            <w:hideMark/>
          </w:tcPr>
          <w:p w14:paraId="3388E060" w14:textId="77777777" w:rsidR="00000000" w:rsidRDefault="00195E73">
            <w:pPr>
              <w:rPr>
                <w:rFonts w:eastAsia="Times New Roman"/>
                <w:sz w:val="20"/>
                <w:szCs w:val="20"/>
              </w:rPr>
            </w:pPr>
          </w:p>
        </w:tc>
        <w:tc>
          <w:tcPr>
            <w:tcW w:w="0" w:type="auto"/>
            <w:vAlign w:val="center"/>
            <w:hideMark/>
          </w:tcPr>
          <w:p w14:paraId="251482CA" w14:textId="77777777" w:rsidR="00000000" w:rsidRDefault="00195E73">
            <w:pPr>
              <w:rPr>
                <w:rFonts w:eastAsia="Times New Roman"/>
                <w:sz w:val="20"/>
                <w:szCs w:val="20"/>
              </w:rPr>
            </w:pPr>
          </w:p>
        </w:tc>
        <w:tc>
          <w:tcPr>
            <w:tcW w:w="0" w:type="auto"/>
            <w:vAlign w:val="center"/>
            <w:hideMark/>
          </w:tcPr>
          <w:p w14:paraId="1EEA56E7" w14:textId="77777777" w:rsidR="00000000" w:rsidRDefault="00195E73">
            <w:pPr>
              <w:rPr>
                <w:rFonts w:eastAsia="Times New Roman"/>
                <w:sz w:val="20"/>
                <w:szCs w:val="20"/>
              </w:rPr>
            </w:pPr>
          </w:p>
        </w:tc>
        <w:tc>
          <w:tcPr>
            <w:tcW w:w="0" w:type="auto"/>
            <w:vAlign w:val="center"/>
            <w:hideMark/>
          </w:tcPr>
          <w:p w14:paraId="1F149564" w14:textId="77777777" w:rsidR="00000000" w:rsidRDefault="00195E73">
            <w:pPr>
              <w:rPr>
                <w:rFonts w:eastAsia="Times New Roman"/>
                <w:sz w:val="20"/>
                <w:szCs w:val="20"/>
              </w:rPr>
            </w:pPr>
          </w:p>
        </w:tc>
      </w:tr>
      <w:tr w:rsidR="00000000" w14:paraId="3D4A6D00" w14:textId="77777777">
        <w:trPr>
          <w:divId w:val="1384790163"/>
          <w:jc w:val="center"/>
        </w:trPr>
        <w:tc>
          <w:tcPr>
            <w:tcW w:w="0" w:type="auto"/>
            <w:gridSpan w:val="3"/>
            <w:shd w:val="clear" w:color="auto" w:fill="CCEEFF"/>
            <w:tcMar>
              <w:top w:w="30" w:type="dxa"/>
              <w:left w:w="20" w:type="dxa"/>
              <w:bottom w:w="30" w:type="dxa"/>
              <w:right w:w="20" w:type="dxa"/>
            </w:tcMar>
            <w:vAlign w:val="bottom"/>
            <w:hideMark/>
          </w:tcPr>
          <w:p w14:paraId="5632CB6D" w14:textId="77777777" w:rsidR="00000000" w:rsidRDefault="00195E73">
            <w:pPr>
              <w:rPr>
                <w:rFonts w:eastAsia="Times New Roman"/>
              </w:rPr>
            </w:pPr>
            <w:r>
              <w:rPr>
                <w:rFonts w:eastAsia="Times New Roman"/>
                <w:color w:val="000000"/>
                <w:sz w:val="20"/>
                <w:szCs w:val="20"/>
              </w:rPr>
              <w:t>   Impairmen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75B300DE"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F35308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69433E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9875BE" w14:textId="77777777" w:rsidR="00000000" w:rsidRDefault="00195E73">
            <w:pPr>
              <w:jc w:val="right"/>
              <w:rPr>
                <w:rFonts w:eastAsia="Times New Roman"/>
              </w:rPr>
            </w:pPr>
            <w:r>
              <w:rPr>
                <w:rFonts w:eastAsia="Times New Roman"/>
                <w:color w:val="000000"/>
                <w:sz w:val="20"/>
                <w:szCs w:val="20"/>
              </w:rPr>
              <w:t>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9E9DCC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BC7A79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744761" w14:textId="77777777" w:rsidR="00000000" w:rsidRDefault="00195E73">
            <w:pPr>
              <w:jc w:val="right"/>
              <w:rPr>
                <w:rFonts w:eastAsia="Times New Roman"/>
              </w:rPr>
            </w:pPr>
            <w:r>
              <w:rPr>
                <w:rFonts w:eastAsia="Times New Roman"/>
                <w:color w:val="000000"/>
                <w:sz w:val="20"/>
                <w:szCs w:val="20"/>
              </w:rPr>
              <w:t>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8E34F0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35C4E1D" w14:textId="77777777" w:rsidR="00000000" w:rsidRDefault="00195E73">
            <w:pPr>
              <w:rPr>
                <w:rFonts w:eastAsia="Times New Roman"/>
                <w:sz w:val="20"/>
                <w:szCs w:val="20"/>
              </w:rPr>
            </w:pPr>
          </w:p>
        </w:tc>
        <w:tc>
          <w:tcPr>
            <w:tcW w:w="0" w:type="auto"/>
            <w:vAlign w:val="center"/>
            <w:hideMark/>
          </w:tcPr>
          <w:p w14:paraId="572D5E57" w14:textId="77777777" w:rsidR="00000000" w:rsidRDefault="00195E73">
            <w:pPr>
              <w:rPr>
                <w:rFonts w:eastAsia="Times New Roman"/>
                <w:sz w:val="20"/>
                <w:szCs w:val="20"/>
              </w:rPr>
            </w:pPr>
          </w:p>
        </w:tc>
        <w:tc>
          <w:tcPr>
            <w:tcW w:w="0" w:type="auto"/>
            <w:vAlign w:val="center"/>
            <w:hideMark/>
          </w:tcPr>
          <w:p w14:paraId="0289051A" w14:textId="77777777" w:rsidR="00000000" w:rsidRDefault="00195E73">
            <w:pPr>
              <w:rPr>
                <w:rFonts w:eastAsia="Times New Roman"/>
                <w:sz w:val="20"/>
                <w:szCs w:val="20"/>
              </w:rPr>
            </w:pPr>
          </w:p>
        </w:tc>
        <w:tc>
          <w:tcPr>
            <w:tcW w:w="0" w:type="auto"/>
            <w:vAlign w:val="center"/>
            <w:hideMark/>
          </w:tcPr>
          <w:p w14:paraId="5D957396" w14:textId="77777777" w:rsidR="00000000" w:rsidRDefault="00195E73">
            <w:pPr>
              <w:rPr>
                <w:rFonts w:eastAsia="Times New Roman"/>
                <w:sz w:val="20"/>
                <w:szCs w:val="20"/>
              </w:rPr>
            </w:pPr>
          </w:p>
        </w:tc>
        <w:tc>
          <w:tcPr>
            <w:tcW w:w="0" w:type="auto"/>
            <w:vAlign w:val="center"/>
            <w:hideMark/>
          </w:tcPr>
          <w:p w14:paraId="498023BA" w14:textId="77777777" w:rsidR="00000000" w:rsidRDefault="00195E73">
            <w:pPr>
              <w:rPr>
                <w:rFonts w:eastAsia="Times New Roman"/>
                <w:sz w:val="20"/>
                <w:szCs w:val="20"/>
              </w:rPr>
            </w:pPr>
          </w:p>
        </w:tc>
        <w:tc>
          <w:tcPr>
            <w:tcW w:w="0" w:type="auto"/>
            <w:vAlign w:val="center"/>
            <w:hideMark/>
          </w:tcPr>
          <w:p w14:paraId="53E76611" w14:textId="77777777" w:rsidR="00000000" w:rsidRDefault="00195E73">
            <w:pPr>
              <w:rPr>
                <w:rFonts w:eastAsia="Times New Roman"/>
                <w:sz w:val="20"/>
                <w:szCs w:val="20"/>
              </w:rPr>
            </w:pPr>
          </w:p>
        </w:tc>
        <w:tc>
          <w:tcPr>
            <w:tcW w:w="0" w:type="auto"/>
            <w:vAlign w:val="center"/>
            <w:hideMark/>
          </w:tcPr>
          <w:p w14:paraId="6F438FA9" w14:textId="77777777" w:rsidR="00000000" w:rsidRDefault="00195E73">
            <w:pPr>
              <w:rPr>
                <w:rFonts w:eastAsia="Times New Roman"/>
                <w:sz w:val="20"/>
                <w:szCs w:val="20"/>
              </w:rPr>
            </w:pPr>
          </w:p>
        </w:tc>
        <w:tc>
          <w:tcPr>
            <w:tcW w:w="0" w:type="auto"/>
            <w:vAlign w:val="center"/>
            <w:hideMark/>
          </w:tcPr>
          <w:p w14:paraId="0DEB3F68" w14:textId="77777777" w:rsidR="00000000" w:rsidRDefault="00195E73">
            <w:pPr>
              <w:rPr>
                <w:rFonts w:eastAsia="Times New Roman"/>
                <w:sz w:val="20"/>
                <w:szCs w:val="20"/>
              </w:rPr>
            </w:pPr>
          </w:p>
        </w:tc>
        <w:tc>
          <w:tcPr>
            <w:tcW w:w="0" w:type="auto"/>
            <w:vAlign w:val="center"/>
            <w:hideMark/>
          </w:tcPr>
          <w:p w14:paraId="14EC39BF" w14:textId="77777777" w:rsidR="00000000" w:rsidRDefault="00195E73">
            <w:pPr>
              <w:rPr>
                <w:rFonts w:eastAsia="Times New Roman"/>
                <w:sz w:val="20"/>
                <w:szCs w:val="20"/>
              </w:rPr>
            </w:pPr>
          </w:p>
        </w:tc>
        <w:tc>
          <w:tcPr>
            <w:tcW w:w="0" w:type="auto"/>
            <w:vAlign w:val="center"/>
            <w:hideMark/>
          </w:tcPr>
          <w:p w14:paraId="45701A5F" w14:textId="77777777" w:rsidR="00000000" w:rsidRDefault="00195E73">
            <w:pPr>
              <w:rPr>
                <w:rFonts w:eastAsia="Times New Roman"/>
                <w:sz w:val="20"/>
                <w:szCs w:val="20"/>
              </w:rPr>
            </w:pPr>
          </w:p>
        </w:tc>
        <w:tc>
          <w:tcPr>
            <w:tcW w:w="0" w:type="auto"/>
            <w:vAlign w:val="center"/>
            <w:hideMark/>
          </w:tcPr>
          <w:p w14:paraId="78B07B03" w14:textId="77777777" w:rsidR="00000000" w:rsidRDefault="00195E73">
            <w:pPr>
              <w:rPr>
                <w:rFonts w:eastAsia="Times New Roman"/>
                <w:sz w:val="20"/>
                <w:szCs w:val="20"/>
              </w:rPr>
            </w:pPr>
          </w:p>
        </w:tc>
        <w:tc>
          <w:tcPr>
            <w:tcW w:w="0" w:type="auto"/>
            <w:vAlign w:val="center"/>
            <w:hideMark/>
          </w:tcPr>
          <w:p w14:paraId="256C0D64" w14:textId="77777777" w:rsidR="00000000" w:rsidRDefault="00195E73">
            <w:pPr>
              <w:rPr>
                <w:rFonts w:eastAsia="Times New Roman"/>
                <w:sz w:val="20"/>
                <w:szCs w:val="20"/>
              </w:rPr>
            </w:pPr>
          </w:p>
        </w:tc>
      </w:tr>
      <w:tr w:rsidR="00000000" w14:paraId="07351CC2"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6B447143" w14:textId="77777777" w:rsidR="00000000" w:rsidRDefault="00195E73">
            <w:pPr>
              <w:rPr>
                <w:rFonts w:eastAsia="Times New Roman"/>
              </w:rPr>
            </w:pPr>
            <w:r>
              <w:rPr>
                <w:rFonts w:eastAsia="Times New Roman"/>
                <w:color w:val="000000"/>
                <w:sz w:val="20"/>
                <w:szCs w:val="20"/>
              </w:rPr>
              <w:t>   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3BBA167E" w14:textId="77777777" w:rsidR="00000000" w:rsidRDefault="00195E73">
            <w:pPr>
              <w:jc w:val="right"/>
              <w:rPr>
                <w:rFonts w:eastAsia="Times New Roman"/>
              </w:rPr>
            </w:pPr>
            <w:r>
              <w:rPr>
                <w:rFonts w:eastAsia="Times New Roman"/>
                <w:color w:val="000000"/>
                <w:sz w:val="20"/>
                <w:szCs w:val="20"/>
              </w:rPr>
              <w:t>605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CFDC30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E30BD6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DF505F" w14:textId="77777777" w:rsidR="00000000" w:rsidRDefault="00195E73">
            <w:pPr>
              <w:jc w:val="right"/>
              <w:rPr>
                <w:rFonts w:eastAsia="Times New Roman"/>
              </w:rPr>
            </w:pPr>
            <w:r>
              <w:rPr>
                <w:rFonts w:eastAsia="Times New Roman"/>
                <w:color w:val="000000"/>
                <w:sz w:val="20"/>
                <w:szCs w:val="20"/>
              </w:rPr>
              <w:t>524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81AFD3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E71035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9B0590" w14:textId="77777777" w:rsidR="00000000" w:rsidRDefault="00195E73">
            <w:pPr>
              <w:jc w:val="right"/>
              <w:rPr>
                <w:rFonts w:eastAsia="Times New Roman"/>
              </w:rPr>
            </w:pPr>
            <w:r>
              <w:rPr>
                <w:rFonts w:eastAsia="Times New Roman"/>
                <w:color w:val="000000"/>
                <w:sz w:val="20"/>
                <w:szCs w:val="20"/>
              </w:rPr>
              <w:t>655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6314C0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C3EF698" w14:textId="77777777" w:rsidR="00000000" w:rsidRDefault="00195E73">
            <w:pPr>
              <w:rPr>
                <w:rFonts w:eastAsia="Times New Roman"/>
                <w:sz w:val="20"/>
                <w:szCs w:val="20"/>
              </w:rPr>
            </w:pPr>
          </w:p>
        </w:tc>
        <w:tc>
          <w:tcPr>
            <w:tcW w:w="0" w:type="auto"/>
            <w:vAlign w:val="center"/>
            <w:hideMark/>
          </w:tcPr>
          <w:p w14:paraId="168712B1" w14:textId="77777777" w:rsidR="00000000" w:rsidRDefault="00195E73">
            <w:pPr>
              <w:rPr>
                <w:rFonts w:eastAsia="Times New Roman"/>
                <w:sz w:val="20"/>
                <w:szCs w:val="20"/>
              </w:rPr>
            </w:pPr>
          </w:p>
        </w:tc>
        <w:tc>
          <w:tcPr>
            <w:tcW w:w="0" w:type="auto"/>
            <w:vAlign w:val="center"/>
            <w:hideMark/>
          </w:tcPr>
          <w:p w14:paraId="56E4D250" w14:textId="77777777" w:rsidR="00000000" w:rsidRDefault="00195E73">
            <w:pPr>
              <w:rPr>
                <w:rFonts w:eastAsia="Times New Roman"/>
                <w:sz w:val="20"/>
                <w:szCs w:val="20"/>
              </w:rPr>
            </w:pPr>
          </w:p>
        </w:tc>
        <w:tc>
          <w:tcPr>
            <w:tcW w:w="0" w:type="auto"/>
            <w:vAlign w:val="center"/>
            <w:hideMark/>
          </w:tcPr>
          <w:p w14:paraId="236521E1" w14:textId="77777777" w:rsidR="00000000" w:rsidRDefault="00195E73">
            <w:pPr>
              <w:rPr>
                <w:rFonts w:eastAsia="Times New Roman"/>
                <w:sz w:val="20"/>
                <w:szCs w:val="20"/>
              </w:rPr>
            </w:pPr>
          </w:p>
        </w:tc>
        <w:tc>
          <w:tcPr>
            <w:tcW w:w="0" w:type="auto"/>
            <w:vAlign w:val="center"/>
            <w:hideMark/>
          </w:tcPr>
          <w:p w14:paraId="79D16DE8" w14:textId="77777777" w:rsidR="00000000" w:rsidRDefault="00195E73">
            <w:pPr>
              <w:rPr>
                <w:rFonts w:eastAsia="Times New Roman"/>
                <w:sz w:val="20"/>
                <w:szCs w:val="20"/>
              </w:rPr>
            </w:pPr>
          </w:p>
        </w:tc>
        <w:tc>
          <w:tcPr>
            <w:tcW w:w="0" w:type="auto"/>
            <w:vAlign w:val="center"/>
            <w:hideMark/>
          </w:tcPr>
          <w:p w14:paraId="72724DD2" w14:textId="77777777" w:rsidR="00000000" w:rsidRDefault="00195E73">
            <w:pPr>
              <w:rPr>
                <w:rFonts w:eastAsia="Times New Roman"/>
                <w:sz w:val="20"/>
                <w:szCs w:val="20"/>
              </w:rPr>
            </w:pPr>
          </w:p>
        </w:tc>
        <w:tc>
          <w:tcPr>
            <w:tcW w:w="0" w:type="auto"/>
            <w:vAlign w:val="center"/>
            <w:hideMark/>
          </w:tcPr>
          <w:p w14:paraId="26206AE6" w14:textId="77777777" w:rsidR="00000000" w:rsidRDefault="00195E73">
            <w:pPr>
              <w:rPr>
                <w:rFonts w:eastAsia="Times New Roman"/>
                <w:sz w:val="20"/>
                <w:szCs w:val="20"/>
              </w:rPr>
            </w:pPr>
          </w:p>
        </w:tc>
        <w:tc>
          <w:tcPr>
            <w:tcW w:w="0" w:type="auto"/>
            <w:vAlign w:val="center"/>
            <w:hideMark/>
          </w:tcPr>
          <w:p w14:paraId="44B1CBE7" w14:textId="77777777" w:rsidR="00000000" w:rsidRDefault="00195E73">
            <w:pPr>
              <w:rPr>
                <w:rFonts w:eastAsia="Times New Roman"/>
                <w:sz w:val="20"/>
                <w:szCs w:val="20"/>
              </w:rPr>
            </w:pPr>
          </w:p>
        </w:tc>
        <w:tc>
          <w:tcPr>
            <w:tcW w:w="0" w:type="auto"/>
            <w:vAlign w:val="center"/>
            <w:hideMark/>
          </w:tcPr>
          <w:p w14:paraId="73E8284B" w14:textId="77777777" w:rsidR="00000000" w:rsidRDefault="00195E73">
            <w:pPr>
              <w:rPr>
                <w:rFonts w:eastAsia="Times New Roman"/>
                <w:sz w:val="20"/>
                <w:szCs w:val="20"/>
              </w:rPr>
            </w:pPr>
          </w:p>
        </w:tc>
        <w:tc>
          <w:tcPr>
            <w:tcW w:w="0" w:type="auto"/>
            <w:vAlign w:val="center"/>
            <w:hideMark/>
          </w:tcPr>
          <w:p w14:paraId="2C5EBB1C" w14:textId="77777777" w:rsidR="00000000" w:rsidRDefault="00195E73">
            <w:pPr>
              <w:rPr>
                <w:rFonts w:eastAsia="Times New Roman"/>
                <w:sz w:val="20"/>
                <w:szCs w:val="20"/>
              </w:rPr>
            </w:pPr>
          </w:p>
        </w:tc>
        <w:tc>
          <w:tcPr>
            <w:tcW w:w="0" w:type="auto"/>
            <w:vAlign w:val="center"/>
            <w:hideMark/>
          </w:tcPr>
          <w:p w14:paraId="493CF05F" w14:textId="77777777" w:rsidR="00000000" w:rsidRDefault="00195E73">
            <w:pPr>
              <w:rPr>
                <w:rFonts w:eastAsia="Times New Roman"/>
                <w:sz w:val="20"/>
                <w:szCs w:val="20"/>
              </w:rPr>
            </w:pPr>
          </w:p>
        </w:tc>
        <w:tc>
          <w:tcPr>
            <w:tcW w:w="0" w:type="auto"/>
            <w:vAlign w:val="center"/>
            <w:hideMark/>
          </w:tcPr>
          <w:p w14:paraId="41DE4620" w14:textId="77777777" w:rsidR="00000000" w:rsidRDefault="00195E73">
            <w:pPr>
              <w:rPr>
                <w:rFonts w:eastAsia="Times New Roman"/>
                <w:sz w:val="20"/>
                <w:szCs w:val="20"/>
              </w:rPr>
            </w:pPr>
          </w:p>
        </w:tc>
      </w:tr>
      <w:tr w:rsidR="00000000" w14:paraId="34FA267D" w14:textId="77777777">
        <w:trPr>
          <w:divId w:val="1384790163"/>
          <w:jc w:val="center"/>
        </w:trPr>
        <w:tc>
          <w:tcPr>
            <w:tcW w:w="0" w:type="auto"/>
            <w:gridSpan w:val="3"/>
            <w:shd w:val="clear" w:color="auto" w:fill="CCEEFF"/>
            <w:tcMar>
              <w:top w:w="15" w:type="dxa"/>
              <w:left w:w="20" w:type="dxa"/>
              <w:bottom w:w="15" w:type="dxa"/>
              <w:right w:w="20" w:type="dxa"/>
            </w:tcMar>
            <w:vAlign w:val="bottom"/>
            <w:hideMark/>
          </w:tcPr>
          <w:p w14:paraId="1B9CFDDE"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C3FABF" w14:textId="77777777" w:rsidR="00000000" w:rsidRDefault="00195E73">
            <w:pPr>
              <w:jc w:val="right"/>
              <w:rPr>
                <w:rFonts w:eastAsia="Times New Roman"/>
              </w:rPr>
            </w:pPr>
            <w:r>
              <w:rPr>
                <w:rFonts w:eastAsia="Times New Roman"/>
                <w:color w:val="000000"/>
                <w:sz w:val="20"/>
                <w:szCs w:val="20"/>
              </w:rPr>
              <w:t>10,731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9776E1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C6659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34C693" w14:textId="77777777" w:rsidR="00000000" w:rsidRDefault="00195E73">
            <w:pPr>
              <w:jc w:val="right"/>
              <w:rPr>
                <w:rFonts w:eastAsia="Times New Roman"/>
              </w:rPr>
            </w:pPr>
            <w:r>
              <w:rPr>
                <w:rFonts w:eastAsia="Times New Roman"/>
                <w:color w:val="000000"/>
                <w:sz w:val="20"/>
                <w:szCs w:val="20"/>
              </w:rPr>
              <w:t>11,554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EB2B20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86441A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36B932" w14:textId="77777777" w:rsidR="00000000" w:rsidRDefault="00195E73">
            <w:pPr>
              <w:jc w:val="right"/>
              <w:rPr>
                <w:rFonts w:eastAsia="Times New Roman"/>
              </w:rPr>
            </w:pPr>
            <w:r>
              <w:rPr>
                <w:rFonts w:eastAsia="Times New Roman"/>
                <w:color w:val="000000"/>
                <w:sz w:val="20"/>
                <w:szCs w:val="20"/>
              </w:rPr>
              <w:t>10,753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36B88D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F6C3847" w14:textId="77777777" w:rsidR="00000000" w:rsidRDefault="00195E73">
            <w:pPr>
              <w:rPr>
                <w:rFonts w:eastAsia="Times New Roman"/>
                <w:sz w:val="20"/>
                <w:szCs w:val="20"/>
              </w:rPr>
            </w:pPr>
          </w:p>
        </w:tc>
        <w:tc>
          <w:tcPr>
            <w:tcW w:w="0" w:type="auto"/>
            <w:vAlign w:val="center"/>
            <w:hideMark/>
          </w:tcPr>
          <w:p w14:paraId="05B7D5C9" w14:textId="77777777" w:rsidR="00000000" w:rsidRDefault="00195E73">
            <w:pPr>
              <w:rPr>
                <w:rFonts w:eastAsia="Times New Roman"/>
                <w:sz w:val="20"/>
                <w:szCs w:val="20"/>
              </w:rPr>
            </w:pPr>
          </w:p>
        </w:tc>
        <w:tc>
          <w:tcPr>
            <w:tcW w:w="0" w:type="auto"/>
            <w:vAlign w:val="center"/>
            <w:hideMark/>
          </w:tcPr>
          <w:p w14:paraId="78913943" w14:textId="77777777" w:rsidR="00000000" w:rsidRDefault="00195E73">
            <w:pPr>
              <w:rPr>
                <w:rFonts w:eastAsia="Times New Roman"/>
                <w:sz w:val="20"/>
                <w:szCs w:val="20"/>
              </w:rPr>
            </w:pPr>
          </w:p>
        </w:tc>
        <w:tc>
          <w:tcPr>
            <w:tcW w:w="0" w:type="auto"/>
            <w:vAlign w:val="center"/>
            <w:hideMark/>
          </w:tcPr>
          <w:p w14:paraId="764EB6D9" w14:textId="77777777" w:rsidR="00000000" w:rsidRDefault="00195E73">
            <w:pPr>
              <w:rPr>
                <w:rFonts w:eastAsia="Times New Roman"/>
                <w:sz w:val="20"/>
                <w:szCs w:val="20"/>
              </w:rPr>
            </w:pPr>
          </w:p>
        </w:tc>
        <w:tc>
          <w:tcPr>
            <w:tcW w:w="0" w:type="auto"/>
            <w:vAlign w:val="center"/>
            <w:hideMark/>
          </w:tcPr>
          <w:p w14:paraId="44C9983F" w14:textId="77777777" w:rsidR="00000000" w:rsidRDefault="00195E73">
            <w:pPr>
              <w:rPr>
                <w:rFonts w:eastAsia="Times New Roman"/>
                <w:sz w:val="20"/>
                <w:szCs w:val="20"/>
              </w:rPr>
            </w:pPr>
          </w:p>
        </w:tc>
        <w:tc>
          <w:tcPr>
            <w:tcW w:w="0" w:type="auto"/>
            <w:vAlign w:val="center"/>
            <w:hideMark/>
          </w:tcPr>
          <w:p w14:paraId="04E274A5" w14:textId="77777777" w:rsidR="00000000" w:rsidRDefault="00195E73">
            <w:pPr>
              <w:rPr>
                <w:rFonts w:eastAsia="Times New Roman"/>
                <w:sz w:val="20"/>
                <w:szCs w:val="20"/>
              </w:rPr>
            </w:pPr>
          </w:p>
        </w:tc>
        <w:tc>
          <w:tcPr>
            <w:tcW w:w="0" w:type="auto"/>
            <w:vAlign w:val="center"/>
            <w:hideMark/>
          </w:tcPr>
          <w:p w14:paraId="7EA1838D" w14:textId="77777777" w:rsidR="00000000" w:rsidRDefault="00195E73">
            <w:pPr>
              <w:rPr>
                <w:rFonts w:eastAsia="Times New Roman"/>
                <w:sz w:val="20"/>
                <w:szCs w:val="20"/>
              </w:rPr>
            </w:pPr>
          </w:p>
        </w:tc>
        <w:tc>
          <w:tcPr>
            <w:tcW w:w="0" w:type="auto"/>
            <w:vAlign w:val="center"/>
            <w:hideMark/>
          </w:tcPr>
          <w:p w14:paraId="1540BF79" w14:textId="77777777" w:rsidR="00000000" w:rsidRDefault="00195E73">
            <w:pPr>
              <w:rPr>
                <w:rFonts w:eastAsia="Times New Roman"/>
                <w:sz w:val="20"/>
                <w:szCs w:val="20"/>
              </w:rPr>
            </w:pPr>
          </w:p>
        </w:tc>
        <w:tc>
          <w:tcPr>
            <w:tcW w:w="0" w:type="auto"/>
            <w:vAlign w:val="center"/>
            <w:hideMark/>
          </w:tcPr>
          <w:p w14:paraId="6FFE332F" w14:textId="77777777" w:rsidR="00000000" w:rsidRDefault="00195E73">
            <w:pPr>
              <w:rPr>
                <w:rFonts w:eastAsia="Times New Roman"/>
                <w:sz w:val="20"/>
                <w:szCs w:val="20"/>
              </w:rPr>
            </w:pPr>
          </w:p>
        </w:tc>
        <w:tc>
          <w:tcPr>
            <w:tcW w:w="0" w:type="auto"/>
            <w:vAlign w:val="center"/>
            <w:hideMark/>
          </w:tcPr>
          <w:p w14:paraId="05FE950E" w14:textId="77777777" w:rsidR="00000000" w:rsidRDefault="00195E73">
            <w:pPr>
              <w:rPr>
                <w:rFonts w:eastAsia="Times New Roman"/>
                <w:sz w:val="20"/>
                <w:szCs w:val="20"/>
              </w:rPr>
            </w:pPr>
          </w:p>
        </w:tc>
        <w:tc>
          <w:tcPr>
            <w:tcW w:w="0" w:type="auto"/>
            <w:vAlign w:val="center"/>
            <w:hideMark/>
          </w:tcPr>
          <w:p w14:paraId="12A8DAAF" w14:textId="77777777" w:rsidR="00000000" w:rsidRDefault="00195E73">
            <w:pPr>
              <w:rPr>
                <w:rFonts w:eastAsia="Times New Roman"/>
                <w:sz w:val="20"/>
                <w:szCs w:val="20"/>
              </w:rPr>
            </w:pPr>
          </w:p>
        </w:tc>
        <w:tc>
          <w:tcPr>
            <w:tcW w:w="0" w:type="auto"/>
            <w:vAlign w:val="center"/>
            <w:hideMark/>
          </w:tcPr>
          <w:p w14:paraId="72DA1F92" w14:textId="77777777" w:rsidR="00000000" w:rsidRDefault="00195E73">
            <w:pPr>
              <w:rPr>
                <w:rFonts w:eastAsia="Times New Roman"/>
                <w:sz w:val="20"/>
                <w:szCs w:val="20"/>
              </w:rPr>
            </w:pPr>
          </w:p>
        </w:tc>
      </w:tr>
      <w:tr w:rsidR="00000000" w14:paraId="0B11BB4D"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7BA36C63" w14:textId="77777777" w:rsidR="00000000" w:rsidRDefault="00195E73">
            <w:pPr>
              <w:ind w:hanging="180"/>
              <w:divId w:val="1108238373"/>
              <w:rPr>
                <w:rFonts w:eastAsia="Times New Roman"/>
              </w:rPr>
            </w:pPr>
            <w:r>
              <w:rPr>
                <w:rFonts w:eastAsia="Times New Roman"/>
                <w:color w:val="000000"/>
                <w:sz w:val="20"/>
                <w:szCs w:val="20"/>
              </w:rPr>
              <w:t>(Loss) income from continuing operations before income tax (expense) benefi</w:t>
            </w:r>
            <w:r>
              <w:rPr>
                <w:rFonts w:eastAsia="Times New Roman"/>
                <w:color w:val="000000"/>
                <w:sz w:val="20"/>
                <w:szCs w:val="20"/>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821025" w14:textId="77777777" w:rsidR="00000000" w:rsidRDefault="00195E73">
            <w:pPr>
              <w:jc w:val="right"/>
              <w:rPr>
                <w:rFonts w:eastAsia="Times New Roman"/>
              </w:rPr>
            </w:pPr>
            <w:r>
              <w:rPr>
                <w:rFonts w:eastAsia="Times New Roman"/>
                <w:color w:val="000000"/>
                <w:sz w:val="20"/>
                <w:szCs w:val="20"/>
              </w:rPr>
              <w:t>(1,739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3B230C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06649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4DB8F6" w14:textId="77777777" w:rsidR="00000000" w:rsidRDefault="00195E73">
            <w:pPr>
              <w:jc w:val="right"/>
              <w:rPr>
                <w:rFonts w:eastAsia="Times New Roman"/>
              </w:rPr>
            </w:pPr>
            <w:r>
              <w:rPr>
                <w:rFonts w:eastAsia="Times New Roman"/>
                <w:color w:val="000000"/>
                <w:sz w:val="20"/>
                <w:szCs w:val="20"/>
              </w:rPr>
              <w:t>223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6BDB9D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78F4C5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707A47" w14:textId="77777777" w:rsidR="00000000" w:rsidRDefault="00195E73">
            <w:pPr>
              <w:jc w:val="right"/>
              <w:rPr>
                <w:rFonts w:eastAsia="Times New Roman"/>
              </w:rPr>
            </w:pPr>
            <w:r>
              <w:rPr>
                <w:rFonts w:eastAsia="Times New Roman"/>
                <w:color w:val="000000"/>
                <w:sz w:val="20"/>
                <w:szCs w:val="20"/>
              </w:rPr>
              <w:t>1,866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90FB30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A533CEE" w14:textId="77777777" w:rsidR="00000000" w:rsidRDefault="00195E73">
            <w:pPr>
              <w:rPr>
                <w:rFonts w:eastAsia="Times New Roman"/>
                <w:sz w:val="20"/>
                <w:szCs w:val="20"/>
              </w:rPr>
            </w:pPr>
          </w:p>
        </w:tc>
        <w:tc>
          <w:tcPr>
            <w:tcW w:w="0" w:type="auto"/>
            <w:vAlign w:val="center"/>
            <w:hideMark/>
          </w:tcPr>
          <w:p w14:paraId="06552AD7" w14:textId="77777777" w:rsidR="00000000" w:rsidRDefault="00195E73">
            <w:pPr>
              <w:rPr>
                <w:rFonts w:eastAsia="Times New Roman"/>
                <w:sz w:val="20"/>
                <w:szCs w:val="20"/>
              </w:rPr>
            </w:pPr>
          </w:p>
        </w:tc>
        <w:tc>
          <w:tcPr>
            <w:tcW w:w="0" w:type="auto"/>
            <w:vAlign w:val="center"/>
            <w:hideMark/>
          </w:tcPr>
          <w:p w14:paraId="0C592C50" w14:textId="77777777" w:rsidR="00000000" w:rsidRDefault="00195E73">
            <w:pPr>
              <w:rPr>
                <w:rFonts w:eastAsia="Times New Roman"/>
                <w:sz w:val="20"/>
                <w:szCs w:val="20"/>
              </w:rPr>
            </w:pPr>
          </w:p>
        </w:tc>
        <w:tc>
          <w:tcPr>
            <w:tcW w:w="0" w:type="auto"/>
            <w:vAlign w:val="center"/>
            <w:hideMark/>
          </w:tcPr>
          <w:p w14:paraId="5405A100" w14:textId="77777777" w:rsidR="00000000" w:rsidRDefault="00195E73">
            <w:pPr>
              <w:rPr>
                <w:rFonts w:eastAsia="Times New Roman"/>
                <w:sz w:val="20"/>
                <w:szCs w:val="20"/>
              </w:rPr>
            </w:pPr>
          </w:p>
        </w:tc>
        <w:tc>
          <w:tcPr>
            <w:tcW w:w="0" w:type="auto"/>
            <w:vAlign w:val="center"/>
            <w:hideMark/>
          </w:tcPr>
          <w:p w14:paraId="76FE4FB8" w14:textId="77777777" w:rsidR="00000000" w:rsidRDefault="00195E73">
            <w:pPr>
              <w:rPr>
                <w:rFonts w:eastAsia="Times New Roman"/>
                <w:sz w:val="20"/>
                <w:szCs w:val="20"/>
              </w:rPr>
            </w:pPr>
          </w:p>
        </w:tc>
        <w:tc>
          <w:tcPr>
            <w:tcW w:w="0" w:type="auto"/>
            <w:vAlign w:val="center"/>
            <w:hideMark/>
          </w:tcPr>
          <w:p w14:paraId="15453411" w14:textId="77777777" w:rsidR="00000000" w:rsidRDefault="00195E73">
            <w:pPr>
              <w:rPr>
                <w:rFonts w:eastAsia="Times New Roman"/>
                <w:sz w:val="20"/>
                <w:szCs w:val="20"/>
              </w:rPr>
            </w:pPr>
          </w:p>
        </w:tc>
        <w:tc>
          <w:tcPr>
            <w:tcW w:w="0" w:type="auto"/>
            <w:vAlign w:val="center"/>
            <w:hideMark/>
          </w:tcPr>
          <w:p w14:paraId="1AEB2B26" w14:textId="77777777" w:rsidR="00000000" w:rsidRDefault="00195E73">
            <w:pPr>
              <w:rPr>
                <w:rFonts w:eastAsia="Times New Roman"/>
                <w:sz w:val="20"/>
                <w:szCs w:val="20"/>
              </w:rPr>
            </w:pPr>
          </w:p>
        </w:tc>
        <w:tc>
          <w:tcPr>
            <w:tcW w:w="0" w:type="auto"/>
            <w:vAlign w:val="center"/>
            <w:hideMark/>
          </w:tcPr>
          <w:p w14:paraId="4AE30268" w14:textId="77777777" w:rsidR="00000000" w:rsidRDefault="00195E73">
            <w:pPr>
              <w:rPr>
                <w:rFonts w:eastAsia="Times New Roman"/>
                <w:sz w:val="20"/>
                <w:szCs w:val="20"/>
              </w:rPr>
            </w:pPr>
          </w:p>
        </w:tc>
        <w:tc>
          <w:tcPr>
            <w:tcW w:w="0" w:type="auto"/>
            <w:vAlign w:val="center"/>
            <w:hideMark/>
          </w:tcPr>
          <w:p w14:paraId="01E03311" w14:textId="77777777" w:rsidR="00000000" w:rsidRDefault="00195E73">
            <w:pPr>
              <w:rPr>
                <w:rFonts w:eastAsia="Times New Roman"/>
                <w:sz w:val="20"/>
                <w:szCs w:val="20"/>
              </w:rPr>
            </w:pPr>
          </w:p>
        </w:tc>
        <w:tc>
          <w:tcPr>
            <w:tcW w:w="0" w:type="auto"/>
            <w:vAlign w:val="center"/>
            <w:hideMark/>
          </w:tcPr>
          <w:p w14:paraId="1113BA24" w14:textId="77777777" w:rsidR="00000000" w:rsidRDefault="00195E73">
            <w:pPr>
              <w:rPr>
                <w:rFonts w:eastAsia="Times New Roman"/>
                <w:sz w:val="20"/>
                <w:szCs w:val="20"/>
              </w:rPr>
            </w:pPr>
          </w:p>
        </w:tc>
        <w:tc>
          <w:tcPr>
            <w:tcW w:w="0" w:type="auto"/>
            <w:vAlign w:val="center"/>
            <w:hideMark/>
          </w:tcPr>
          <w:p w14:paraId="3CD8BBF1" w14:textId="77777777" w:rsidR="00000000" w:rsidRDefault="00195E73">
            <w:pPr>
              <w:rPr>
                <w:rFonts w:eastAsia="Times New Roman"/>
                <w:sz w:val="20"/>
                <w:szCs w:val="20"/>
              </w:rPr>
            </w:pPr>
          </w:p>
        </w:tc>
        <w:tc>
          <w:tcPr>
            <w:tcW w:w="0" w:type="auto"/>
            <w:vAlign w:val="center"/>
            <w:hideMark/>
          </w:tcPr>
          <w:p w14:paraId="61AED441" w14:textId="77777777" w:rsidR="00000000" w:rsidRDefault="00195E73">
            <w:pPr>
              <w:rPr>
                <w:rFonts w:eastAsia="Times New Roman"/>
                <w:sz w:val="20"/>
                <w:szCs w:val="20"/>
              </w:rPr>
            </w:pPr>
          </w:p>
        </w:tc>
      </w:tr>
      <w:tr w:rsidR="00000000" w14:paraId="4D3F466B" w14:textId="77777777">
        <w:trPr>
          <w:divId w:val="1384790163"/>
          <w:jc w:val="center"/>
        </w:trPr>
        <w:tc>
          <w:tcPr>
            <w:tcW w:w="0" w:type="auto"/>
            <w:gridSpan w:val="3"/>
            <w:shd w:val="clear" w:color="auto" w:fill="CCEEFF"/>
            <w:tcMar>
              <w:top w:w="30" w:type="dxa"/>
              <w:left w:w="20" w:type="dxa"/>
              <w:bottom w:w="30" w:type="dxa"/>
              <w:right w:w="20" w:type="dxa"/>
            </w:tcMar>
            <w:vAlign w:val="bottom"/>
            <w:hideMark/>
          </w:tcPr>
          <w:p w14:paraId="424B2BD9" w14:textId="77777777" w:rsidR="00000000" w:rsidRDefault="00195E73">
            <w:pPr>
              <w:rPr>
                <w:rFonts w:eastAsia="Times New Roman"/>
              </w:rPr>
            </w:pPr>
            <w:r>
              <w:rPr>
                <w:rFonts w:eastAsia="Times New Roman"/>
                <w:color w:val="000000"/>
                <w:sz w:val="20"/>
                <w:szCs w:val="20"/>
              </w:rPr>
              <w:t>Income tax (expense) benefi</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58DE0A7C" w14:textId="77777777" w:rsidR="00000000" w:rsidRDefault="00195E73">
            <w:pPr>
              <w:jc w:val="right"/>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9450B0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C5703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6F22A2" w14:textId="77777777" w:rsidR="00000000" w:rsidRDefault="00195E73">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790783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C60CE3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D4E874" w14:textId="77777777" w:rsidR="00000000" w:rsidRDefault="00195E73">
            <w:pPr>
              <w:jc w:val="right"/>
              <w:rPr>
                <w:rFonts w:eastAsia="Times New Roman"/>
              </w:rPr>
            </w:pPr>
            <w:r>
              <w:rPr>
                <w:rFonts w:eastAsia="Times New Roman"/>
                <w:color w:val="000000"/>
                <w:sz w:val="20"/>
                <w:szCs w:val="20"/>
              </w:rPr>
              <w:t>532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AE6925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A89ED06" w14:textId="77777777" w:rsidR="00000000" w:rsidRDefault="00195E73">
            <w:pPr>
              <w:rPr>
                <w:rFonts w:eastAsia="Times New Roman"/>
                <w:sz w:val="20"/>
                <w:szCs w:val="20"/>
              </w:rPr>
            </w:pPr>
          </w:p>
        </w:tc>
        <w:tc>
          <w:tcPr>
            <w:tcW w:w="0" w:type="auto"/>
            <w:vAlign w:val="center"/>
            <w:hideMark/>
          </w:tcPr>
          <w:p w14:paraId="4856E6F5" w14:textId="77777777" w:rsidR="00000000" w:rsidRDefault="00195E73">
            <w:pPr>
              <w:rPr>
                <w:rFonts w:eastAsia="Times New Roman"/>
                <w:sz w:val="20"/>
                <w:szCs w:val="20"/>
              </w:rPr>
            </w:pPr>
          </w:p>
        </w:tc>
        <w:tc>
          <w:tcPr>
            <w:tcW w:w="0" w:type="auto"/>
            <w:vAlign w:val="center"/>
            <w:hideMark/>
          </w:tcPr>
          <w:p w14:paraId="48E70E6F" w14:textId="77777777" w:rsidR="00000000" w:rsidRDefault="00195E73">
            <w:pPr>
              <w:rPr>
                <w:rFonts w:eastAsia="Times New Roman"/>
                <w:sz w:val="20"/>
                <w:szCs w:val="20"/>
              </w:rPr>
            </w:pPr>
          </w:p>
        </w:tc>
        <w:tc>
          <w:tcPr>
            <w:tcW w:w="0" w:type="auto"/>
            <w:vAlign w:val="center"/>
            <w:hideMark/>
          </w:tcPr>
          <w:p w14:paraId="63219276" w14:textId="77777777" w:rsidR="00000000" w:rsidRDefault="00195E73">
            <w:pPr>
              <w:rPr>
                <w:rFonts w:eastAsia="Times New Roman"/>
                <w:sz w:val="20"/>
                <w:szCs w:val="20"/>
              </w:rPr>
            </w:pPr>
          </w:p>
        </w:tc>
        <w:tc>
          <w:tcPr>
            <w:tcW w:w="0" w:type="auto"/>
            <w:vAlign w:val="center"/>
            <w:hideMark/>
          </w:tcPr>
          <w:p w14:paraId="19FCA66A" w14:textId="77777777" w:rsidR="00000000" w:rsidRDefault="00195E73">
            <w:pPr>
              <w:rPr>
                <w:rFonts w:eastAsia="Times New Roman"/>
                <w:sz w:val="20"/>
                <w:szCs w:val="20"/>
              </w:rPr>
            </w:pPr>
          </w:p>
        </w:tc>
        <w:tc>
          <w:tcPr>
            <w:tcW w:w="0" w:type="auto"/>
            <w:vAlign w:val="center"/>
            <w:hideMark/>
          </w:tcPr>
          <w:p w14:paraId="0C88F96B" w14:textId="77777777" w:rsidR="00000000" w:rsidRDefault="00195E73">
            <w:pPr>
              <w:rPr>
                <w:rFonts w:eastAsia="Times New Roman"/>
                <w:sz w:val="20"/>
                <w:szCs w:val="20"/>
              </w:rPr>
            </w:pPr>
          </w:p>
        </w:tc>
        <w:tc>
          <w:tcPr>
            <w:tcW w:w="0" w:type="auto"/>
            <w:vAlign w:val="center"/>
            <w:hideMark/>
          </w:tcPr>
          <w:p w14:paraId="7DD5273A" w14:textId="77777777" w:rsidR="00000000" w:rsidRDefault="00195E73">
            <w:pPr>
              <w:rPr>
                <w:rFonts w:eastAsia="Times New Roman"/>
                <w:sz w:val="20"/>
                <w:szCs w:val="20"/>
              </w:rPr>
            </w:pPr>
          </w:p>
        </w:tc>
        <w:tc>
          <w:tcPr>
            <w:tcW w:w="0" w:type="auto"/>
            <w:vAlign w:val="center"/>
            <w:hideMark/>
          </w:tcPr>
          <w:p w14:paraId="754EE676" w14:textId="77777777" w:rsidR="00000000" w:rsidRDefault="00195E73">
            <w:pPr>
              <w:rPr>
                <w:rFonts w:eastAsia="Times New Roman"/>
                <w:sz w:val="20"/>
                <w:szCs w:val="20"/>
              </w:rPr>
            </w:pPr>
          </w:p>
        </w:tc>
        <w:tc>
          <w:tcPr>
            <w:tcW w:w="0" w:type="auto"/>
            <w:vAlign w:val="center"/>
            <w:hideMark/>
          </w:tcPr>
          <w:p w14:paraId="6EEC2996" w14:textId="77777777" w:rsidR="00000000" w:rsidRDefault="00195E73">
            <w:pPr>
              <w:rPr>
                <w:rFonts w:eastAsia="Times New Roman"/>
                <w:sz w:val="20"/>
                <w:szCs w:val="20"/>
              </w:rPr>
            </w:pPr>
          </w:p>
        </w:tc>
        <w:tc>
          <w:tcPr>
            <w:tcW w:w="0" w:type="auto"/>
            <w:vAlign w:val="center"/>
            <w:hideMark/>
          </w:tcPr>
          <w:p w14:paraId="75044EE8" w14:textId="77777777" w:rsidR="00000000" w:rsidRDefault="00195E73">
            <w:pPr>
              <w:rPr>
                <w:rFonts w:eastAsia="Times New Roman"/>
                <w:sz w:val="20"/>
                <w:szCs w:val="20"/>
              </w:rPr>
            </w:pPr>
          </w:p>
        </w:tc>
        <w:tc>
          <w:tcPr>
            <w:tcW w:w="0" w:type="auto"/>
            <w:vAlign w:val="center"/>
            <w:hideMark/>
          </w:tcPr>
          <w:p w14:paraId="41541E61" w14:textId="77777777" w:rsidR="00000000" w:rsidRDefault="00195E73">
            <w:pPr>
              <w:rPr>
                <w:rFonts w:eastAsia="Times New Roman"/>
                <w:sz w:val="20"/>
                <w:szCs w:val="20"/>
              </w:rPr>
            </w:pPr>
          </w:p>
        </w:tc>
        <w:tc>
          <w:tcPr>
            <w:tcW w:w="0" w:type="auto"/>
            <w:vAlign w:val="center"/>
            <w:hideMark/>
          </w:tcPr>
          <w:p w14:paraId="531E5211" w14:textId="77777777" w:rsidR="00000000" w:rsidRDefault="00195E73">
            <w:pPr>
              <w:rPr>
                <w:rFonts w:eastAsia="Times New Roman"/>
                <w:sz w:val="20"/>
                <w:szCs w:val="20"/>
              </w:rPr>
            </w:pPr>
          </w:p>
        </w:tc>
      </w:tr>
      <w:tr w:rsidR="00000000" w14:paraId="2385F53E"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0F7D5476" w14:textId="77777777" w:rsidR="00000000" w:rsidRDefault="00195E73">
            <w:pPr>
              <w:rPr>
                <w:rFonts w:eastAsia="Times New Roman"/>
              </w:rPr>
            </w:pPr>
            <w:r>
              <w:rPr>
                <w:rFonts w:eastAsia="Times New Roman"/>
                <w:color w:val="000000"/>
                <w:sz w:val="20"/>
                <w:szCs w:val="20"/>
              </w:rPr>
              <w:t>(Loss) income from continuing operation</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1DE152" w14:textId="77777777" w:rsidR="00000000" w:rsidRDefault="00195E73">
            <w:pPr>
              <w:jc w:val="right"/>
              <w:rPr>
                <w:rFonts w:eastAsia="Times New Roman"/>
              </w:rPr>
            </w:pPr>
            <w:r>
              <w:rPr>
                <w:rFonts w:eastAsia="Times New Roman"/>
                <w:color w:val="000000"/>
                <w:sz w:val="20"/>
                <w:szCs w:val="20"/>
              </w:rPr>
              <w:t>(1,759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359F84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D97A94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467DBB" w14:textId="77777777" w:rsidR="00000000" w:rsidRDefault="00195E73">
            <w:pPr>
              <w:jc w:val="right"/>
              <w:rPr>
                <w:rFonts w:eastAsia="Times New Roman"/>
              </w:rPr>
            </w:pPr>
            <w:r>
              <w:rPr>
                <w:rFonts w:eastAsia="Times New Roman"/>
                <w:color w:val="000000"/>
                <w:sz w:val="20"/>
                <w:szCs w:val="20"/>
              </w:rPr>
              <w:t>237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15266D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3F51B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2FBC90" w14:textId="77777777" w:rsidR="00000000" w:rsidRDefault="00195E73">
            <w:pPr>
              <w:jc w:val="right"/>
              <w:rPr>
                <w:rFonts w:eastAsia="Times New Roman"/>
              </w:rPr>
            </w:pPr>
            <w:r>
              <w:rPr>
                <w:rFonts w:eastAsia="Times New Roman"/>
                <w:color w:val="000000"/>
                <w:sz w:val="20"/>
                <w:szCs w:val="20"/>
              </w:rPr>
              <w:t>2,398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361D8A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BC132BF" w14:textId="77777777" w:rsidR="00000000" w:rsidRDefault="00195E73">
            <w:pPr>
              <w:rPr>
                <w:rFonts w:eastAsia="Times New Roman"/>
                <w:sz w:val="20"/>
                <w:szCs w:val="20"/>
              </w:rPr>
            </w:pPr>
          </w:p>
        </w:tc>
        <w:tc>
          <w:tcPr>
            <w:tcW w:w="0" w:type="auto"/>
            <w:vAlign w:val="center"/>
            <w:hideMark/>
          </w:tcPr>
          <w:p w14:paraId="5DC48614" w14:textId="77777777" w:rsidR="00000000" w:rsidRDefault="00195E73">
            <w:pPr>
              <w:rPr>
                <w:rFonts w:eastAsia="Times New Roman"/>
                <w:sz w:val="20"/>
                <w:szCs w:val="20"/>
              </w:rPr>
            </w:pPr>
          </w:p>
        </w:tc>
        <w:tc>
          <w:tcPr>
            <w:tcW w:w="0" w:type="auto"/>
            <w:vAlign w:val="center"/>
            <w:hideMark/>
          </w:tcPr>
          <w:p w14:paraId="57588C0C" w14:textId="77777777" w:rsidR="00000000" w:rsidRDefault="00195E73">
            <w:pPr>
              <w:rPr>
                <w:rFonts w:eastAsia="Times New Roman"/>
                <w:sz w:val="20"/>
                <w:szCs w:val="20"/>
              </w:rPr>
            </w:pPr>
          </w:p>
        </w:tc>
        <w:tc>
          <w:tcPr>
            <w:tcW w:w="0" w:type="auto"/>
            <w:vAlign w:val="center"/>
            <w:hideMark/>
          </w:tcPr>
          <w:p w14:paraId="7B019FF1" w14:textId="77777777" w:rsidR="00000000" w:rsidRDefault="00195E73">
            <w:pPr>
              <w:rPr>
                <w:rFonts w:eastAsia="Times New Roman"/>
                <w:sz w:val="20"/>
                <w:szCs w:val="20"/>
              </w:rPr>
            </w:pPr>
          </w:p>
        </w:tc>
        <w:tc>
          <w:tcPr>
            <w:tcW w:w="0" w:type="auto"/>
            <w:vAlign w:val="center"/>
            <w:hideMark/>
          </w:tcPr>
          <w:p w14:paraId="0861DCDC" w14:textId="77777777" w:rsidR="00000000" w:rsidRDefault="00195E73">
            <w:pPr>
              <w:rPr>
                <w:rFonts w:eastAsia="Times New Roman"/>
                <w:sz w:val="20"/>
                <w:szCs w:val="20"/>
              </w:rPr>
            </w:pPr>
          </w:p>
        </w:tc>
        <w:tc>
          <w:tcPr>
            <w:tcW w:w="0" w:type="auto"/>
            <w:vAlign w:val="center"/>
            <w:hideMark/>
          </w:tcPr>
          <w:p w14:paraId="2D62A496" w14:textId="77777777" w:rsidR="00000000" w:rsidRDefault="00195E73">
            <w:pPr>
              <w:rPr>
                <w:rFonts w:eastAsia="Times New Roman"/>
                <w:sz w:val="20"/>
                <w:szCs w:val="20"/>
              </w:rPr>
            </w:pPr>
          </w:p>
        </w:tc>
        <w:tc>
          <w:tcPr>
            <w:tcW w:w="0" w:type="auto"/>
            <w:vAlign w:val="center"/>
            <w:hideMark/>
          </w:tcPr>
          <w:p w14:paraId="3C50DEF7" w14:textId="77777777" w:rsidR="00000000" w:rsidRDefault="00195E73">
            <w:pPr>
              <w:rPr>
                <w:rFonts w:eastAsia="Times New Roman"/>
                <w:sz w:val="20"/>
                <w:szCs w:val="20"/>
              </w:rPr>
            </w:pPr>
          </w:p>
        </w:tc>
        <w:tc>
          <w:tcPr>
            <w:tcW w:w="0" w:type="auto"/>
            <w:vAlign w:val="center"/>
            <w:hideMark/>
          </w:tcPr>
          <w:p w14:paraId="058686B8" w14:textId="77777777" w:rsidR="00000000" w:rsidRDefault="00195E73">
            <w:pPr>
              <w:rPr>
                <w:rFonts w:eastAsia="Times New Roman"/>
                <w:sz w:val="20"/>
                <w:szCs w:val="20"/>
              </w:rPr>
            </w:pPr>
          </w:p>
        </w:tc>
        <w:tc>
          <w:tcPr>
            <w:tcW w:w="0" w:type="auto"/>
            <w:vAlign w:val="center"/>
            <w:hideMark/>
          </w:tcPr>
          <w:p w14:paraId="14EB0448" w14:textId="77777777" w:rsidR="00000000" w:rsidRDefault="00195E73">
            <w:pPr>
              <w:rPr>
                <w:rFonts w:eastAsia="Times New Roman"/>
                <w:sz w:val="20"/>
                <w:szCs w:val="20"/>
              </w:rPr>
            </w:pPr>
          </w:p>
        </w:tc>
        <w:tc>
          <w:tcPr>
            <w:tcW w:w="0" w:type="auto"/>
            <w:vAlign w:val="center"/>
            <w:hideMark/>
          </w:tcPr>
          <w:p w14:paraId="171003EB" w14:textId="77777777" w:rsidR="00000000" w:rsidRDefault="00195E73">
            <w:pPr>
              <w:rPr>
                <w:rFonts w:eastAsia="Times New Roman"/>
                <w:sz w:val="20"/>
                <w:szCs w:val="20"/>
              </w:rPr>
            </w:pPr>
          </w:p>
        </w:tc>
        <w:tc>
          <w:tcPr>
            <w:tcW w:w="0" w:type="auto"/>
            <w:vAlign w:val="center"/>
            <w:hideMark/>
          </w:tcPr>
          <w:p w14:paraId="5C7305F7" w14:textId="77777777" w:rsidR="00000000" w:rsidRDefault="00195E73">
            <w:pPr>
              <w:rPr>
                <w:rFonts w:eastAsia="Times New Roman"/>
                <w:sz w:val="20"/>
                <w:szCs w:val="20"/>
              </w:rPr>
            </w:pPr>
          </w:p>
        </w:tc>
        <w:tc>
          <w:tcPr>
            <w:tcW w:w="0" w:type="auto"/>
            <w:vAlign w:val="center"/>
            <w:hideMark/>
          </w:tcPr>
          <w:p w14:paraId="43B8CC64" w14:textId="77777777" w:rsidR="00000000" w:rsidRDefault="00195E73">
            <w:pPr>
              <w:rPr>
                <w:rFonts w:eastAsia="Times New Roman"/>
                <w:sz w:val="20"/>
                <w:szCs w:val="20"/>
              </w:rPr>
            </w:pPr>
          </w:p>
        </w:tc>
      </w:tr>
      <w:tr w:rsidR="00000000" w14:paraId="19537441" w14:textId="77777777">
        <w:trPr>
          <w:divId w:val="1384790163"/>
          <w:jc w:val="center"/>
        </w:trPr>
        <w:tc>
          <w:tcPr>
            <w:tcW w:w="0" w:type="auto"/>
            <w:gridSpan w:val="3"/>
            <w:shd w:val="clear" w:color="auto" w:fill="CCEEFF"/>
            <w:tcMar>
              <w:top w:w="30" w:type="dxa"/>
              <w:left w:w="20" w:type="dxa"/>
              <w:bottom w:w="30" w:type="dxa"/>
              <w:right w:w="20" w:type="dxa"/>
            </w:tcMar>
            <w:vAlign w:val="bottom"/>
            <w:hideMark/>
          </w:tcPr>
          <w:p w14:paraId="651E07FD" w14:textId="77777777" w:rsidR="00000000" w:rsidRDefault="00195E73">
            <w:pPr>
              <w:rPr>
                <w:rFonts w:eastAsia="Times New Roman"/>
              </w:rPr>
            </w:pPr>
            <w:r>
              <w:rPr>
                <w:rFonts w:eastAsia="Times New Roman"/>
                <w:color w:val="000000"/>
                <w:sz w:val="20"/>
                <w:szCs w:val="20"/>
              </w:rPr>
              <w:t>(Loss) income from discontinued operation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C256527" w14:textId="77777777" w:rsidR="00000000" w:rsidRDefault="00195E73">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1A666C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7C0CEE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CF71FA" w14:textId="77777777" w:rsidR="00000000" w:rsidRDefault="00195E73">
            <w:pPr>
              <w:jc w:val="right"/>
              <w:rPr>
                <w:rFonts w:eastAsia="Times New Roman"/>
              </w:rPr>
            </w:pPr>
            <w:r>
              <w:rPr>
                <w:rFonts w:eastAsia="Times New Roman"/>
                <w:color w:val="000000"/>
                <w:sz w:val="20"/>
                <w:szCs w:val="20"/>
              </w:rPr>
              <w:t>1,764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35464D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7ADE1A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B69113" w14:textId="77777777" w:rsidR="00000000" w:rsidRDefault="00195E73">
            <w:pPr>
              <w:jc w:val="right"/>
              <w:rPr>
                <w:rFonts w:eastAsia="Times New Roman"/>
              </w:rPr>
            </w:pPr>
            <w:r>
              <w:rPr>
                <w:rFonts w:eastAsia="Times New Roman"/>
                <w:color w:val="000000"/>
                <w:sz w:val="20"/>
                <w:szCs w:val="20"/>
              </w:rPr>
              <w:t>234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AE82B5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7D48818" w14:textId="77777777" w:rsidR="00000000" w:rsidRDefault="00195E73">
            <w:pPr>
              <w:rPr>
                <w:rFonts w:eastAsia="Times New Roman"/>
                <w:sz w:val="20"/>
                <w:szCs w:val="20"/>
              </w:rPr>
            </w:pPr>
          </w:p>
        </w:tc>
        <w:tc>
          <w:tcPr>
            <w:tcW w:w="0" w:type="auto"/>
            <w:vAlign w:val="center"/>
            <w:hideMark/>
          </w:tcPr>
          <w:p w14:paraId="5F75DD8E" w14:textId="77777777" w:rsidR="00000000" w:rsidRDefault="00195E73">
            <w:pPr>
              <w:rPr>
                <w:rFonts w:eastAsia="Times New Roman"/>
                <w:sz w:val="20"/>
                <w:szCs w:val="20"/>
              </w:rPr>
            </w:pPr>
          </w:p>
        </w:tc>
        <w:tc>
          <w:tcPr>
            <w:tcW w:w="0" w:type="auto"/>
            <w:vAlign w:val="center"/>
            <w:hideMark/>
          </w:tcPr>
          <w:p w14:paraId="47C16C73" w14:textId="77777777" w:rsidR="00000000" w:rsidRDefault="00195E73">
            <w:pPr>
              <w:rPr>
                <w:rFonts w:eastAsia="Times New Roman"/>
                <w:sz w:val="20"/>
                <w:szCs w:val="20"/>
              </w:rPr>
            </w:pPr>
          </w:p>
        </w:tc>
        <w:tc>
          <w:tcPr>
            <w:tcW w:w="0" w:type="auto"/>
            <w:vAlign w:val="center"/>
            <w:hideMark/>
          </w:tcPr>
          <w:p w14:paraId="626A45C7" w14:textId="77777777" w:rsidR="00000000" w:rsidRDefault="00195E73">
            <w:pPr>
              <w:rPr>
                <w:rFonts w:eastAsia="Times New Roman"/>
                <w:sz w:val="20"/>
                <w:szCs w:val="20"/>
              </w:rPr>
            </w:pPr>
          </w:p>
        </w:tc>
        <w:tc>
          <w:tcPr>
            <w:tcW w:w="0" w:type="auto"/>
            <w:vAlign w:val="center"/>
            <w:hideMark/>
          </w:tcPr>
          <w:p w14:paraId="2203C082" w14:textId="77777777" w:rsidR="00000000" w:rsidRDefault="00195E73">
            <w:pPr>
              <w:rPr>
                <w:rFonts w:eastAsia="Times New Roman"/>
                <w:sz w:val="20"/>
                <w:szCs w:val="20"/>
              </w:rPr>
            </w:pPr>
          </w:p>
        </w:tc>
        <w:tc>
          <w:tcPr>
            <w:tcW w:w="0" w:type="auto"/>
            <w:vAlign w:val="center"/>
            <w:hideMark/>
          </w:tcPr>
          <w:p w14:paraId="04FCED35" w14:textId="77777777" w:rsidR="00000000" w:rsidRDefault="00195E73">
            <w:pPr>
              <w:rPr>
                <w:rFonts w:eastAsia="Times New Roman"/>
                <w:sz w:val="20"/>
                <w:szCs w:val="20"/>
              </w:rPr>
            </w:pPr>
          </w:p>
        </w:tc>
        <w:tc>
          <w:tcPr>
            <w:tcW w:w="0" w:type="auto"/>
            <w:vAlign w:val="center"/>
            <w:hideMark/>
          </w:tcPr>
          <w:p w14:paraId="7624C3A5" w14:textId="77777777" w:rsidR="00000000" w:rsidRDefault="00195E73">
            <w:pPr>
              <w:rPr>
                <w:rFonts w:eastAsia="Times New Roman"/>
                <w:sz w:val="20"/>
                <w:szCs w:val="20"/>
              </w:rPr>
            </w:pPr>
          </w:p>
        </w:tc>
        <w:tc>
          <w:tcPr>
            <w:tcW w:w="0" w:type="auto"/>
            <w:vAlign w:val="center"/>
            <w:hideMark/>
          </w:tcPr>
          <w:p w14:paraId="7B729663" w14:textId="77777777" w:rsidR="00000000" w:rsidRDefault="00195E73">
            <w:pPr>
              <w:rPr>
                <w:rFonts w:eastAsia="Times New Roman"/>
                <w:sz w:val="20"/>
                <w:szCs w:val="20"/>
              </w:rPr>
            </w:pPr>
          </w:p>
        </w:tc>
        <w:tc>
          <w:tcPr>
            <w:tcW w:w="0" w:type="auto"/>
            <w:vAlign w:val="center"/>
            <w:hideMark/>
          </w:tcPr>
          <w:p w14:paraId="76004122" w14:textId="77777777" w:rsidR="00000000" w:rsidRDefault="00195E73">
            <w:pPr>
              <w:rPr>
                <w:rFonts w:eastAsia="Times New Roman"/>
                <w:sz w:val="20"/>
                <w:szCs w:val="20"/>
              </w:rPr>
            </w:pPr>
          </w:p>
        </w:tc>
        <w:tc>
          <w:tcPr>
            <w:tcW w:w="0" w:type="auto"/>
            <w:vAlign w:val="center"/>
            <w:hideMark/>
          </w:tcPr>
          <w:p w14:paraId="02CFA838" w14:textId="77777777" w:rsidR="00000000" w:rsidRDefault="00195E73">
            <w:pPr>
              <w:rPr>
                <w:rFonts w:eastAsia="Times New Roman"/>
                <w:sz w:val="20"/>
                <w:szCs w:val="20"/>
              </w:rPr>
            </w:pPr>
          </w:p>
        </w:tc>
        <w:tc>
          <w:tcPr>
            <w:tcW w:w="0" w:type="auto"/>
            <w:vAlign w:val="center"/>
            <w:hideMark/>
          </w:tcPr>
          <w:p w14:paraId="7375315A" w14:textId="77777777" w:rsidR="00000000" w:rsidRDefault="00195E73">
            <w:pPr>
              <w:rPr>
                <w:rFonts w:eastAsia="Times New Roman"/>
                <w:sz w:val="20"/>
                <w:szCs w:val="20"/>
              </w:rPr>
            </w:pPr>
          </w:p>
        </w:tc>
        <w:tc>
          <w:tcPr>
            <w:tcW w:w="0" w:type="auto"/>
            <w:vAlign w:val="center"/>
            <w:hideMark/>
          </w:tcPr>
          <w:p w14:paraId="71F32EB3" w14:textId="77777777" w:rsidR="00000000" w:rsidRDefault="00195E73">
            <w:pPr>
              <w:rPr>
                <w:rFonts w:eastAsia="Times New Roman"/>
                <w:sz w:val="20"/>
                <w:szCs w:val="20"/>
              </w:rPr>
            </w:pPr>
          </w:p>
        </w:tc>
      </w:tr>
      <w:tr w:rsidR="00000000" w14:paraId="2B397B6E"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319F9265" w14:textId="77777777" w:rsidR="00000000" w:rsidRDefault="00195E73">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BFE9AF" w14:textId="77777777" w:rsidR="00000000" w:rsidRDefault="00195E73">
            <w:pPr>
              <w:jc w:val="right"/>
              <w:rPr>
                <w:rFonts w:eastAsia="Times New Roman"/>
              </w:rPr>
            </w:pPr>
            <w:r>
              <w:rPr>
                <w:rFonts w:eastAsia="Times New Roman"/>
                <w:color w:val="000000"/>
                <w:sz w:val="20"/>
                <w:szCs w:val="20"/>
              </w:rPr>
              <w:t>(1,791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A74B2D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9FED5B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5AFE31" w14:textId="77777777" w:rsidR="00000000" w:rsidRDefault="00195E73">
            <w:pPr>
              <w:jc w:val="right"/>
              <w:rPr>
                <w:rFonts w:eastAsia="Times New Roman"/>
              </w:rPr>
            </w:pPr>
            <w:r>
              <w:rPr>
                <w:rFonts w:eastAsia="Times New Roman"/>
                <w:color w:val="000000"/>
                <w:sz w:val="20"/>
                <w:szCs w:val="20"/>
              </w:rPr>
              <w:t>2,001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DD676B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79621C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9B9A1A" w14:textId="77777777" w:rsidR="00000000" w:rsidRDefault="00195E73">
            <w:pPr>
              <w:jc w:val="right"/>
              <w:rPr>
                <w:rFonts w:eastAsia="Times New Roman"/>
              </w:rPr>
            </w:pPr>
            <w:r>
              <w:rPr>
                <w:rFonts w:eastAsia="Times New Roman"/>
                <w:color w:val="000000"/>
                <w:sz w:val="20"/>
                <w:szCs w:val="20"/>
              </w:rPr>
              <w:t>2,632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D73AF1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A11B2F1" w14:textId="77777777" w:rsidR="00000000" w:rsidRDefault="00195E73">
            <w:pPr>
              <w:rPr>
                <w:rFonts w:eastAsia="Times New Roman"/>
                <w:sz w:val="20"/>
                <w:szCs w:val="20"/>
              </w:rPr>
            </w:pPr>
          </w:p>
        </w:tc>
        <w:tc>
          <w:tcPr>
            <w:tcW w:w="0" w:type="auto"/>
            <w:vAlign w:val="center"/>
            <w:hideMark/>
          </w:tcPr>
          <w:p w14:paraId="740AA56F" w14:textId="77777777" w:rsidR="00000000" w:rsidRDefault="00195E73">
            <w:pPr>
              <w:rPr>
                <w:rFonts w:eastAsia="Times New Roman"/>
                <w:sz w:val="20"/>
                <w:szCs w:val="20"/>
              </w:rPr>
            </w:pPr>
          </w:p>
        </w:tc>
        <w:tc>
          <w:tcPr>
            <w:tcW w:w="0" w:type="auto"/>
            <w:vAlign w:val="center"/>
            <w:hideMark/>
          </w:tcPr>
          <w:p w14:paraId="57798404" w14:textId="77777777" w:rsidR="00000000" w:rsidRDefault="00195E73">
            <w:pPr>
              <w:rPr>
                <w:rFonts w:eastAsia="Times New Roman"/>
                <w:sz w:val="20"/>
                <w:szCs w:val="20"/>
              </w:rPr>
            </w:pPr>
          </w:p>
        </w:tc>
        <w:tc>
          <w:tcPr>
            <w:tcW w:w="0" w:type="auto"/>
            <w:vAlign w:val="center"/>
            <w:hideMark/>
          </w:tcPr>
          <w:p w14:paraId="6BCA6E7C" w14:textId="77777777" w:rsidR="00000000" w:rsidRDefault="00195E73">
            <w:pPr>
              <w:rPr>
                <w:rFonts w:eastAsia="Times New Roman"/>
                <w:sz w:val="20"/>
                <w:szCs w:val="20"/>
              </w:rPr>
            </w:pPr>
          </w:p>
        </w:tc>
        <w:tc>
          <w:tcPr>
            <w:tcW w:w="0" w:type="auto"/>
            <w:vAlign w:val="center"/>
            <w:hideMark/>
          </w:tcPr>
          <w:p w14:paraId="4FFD6D81" w14:textId="77777777" w:rsidR="00000000" w:rsidRDefault="00195E73">
            <w:pPr>
              <w:rPr>
                <w:rFonts w:eastAsia="Times New Roman"/>
                <w:sz w:val="20"/>
                <w:szCs w:val="20"/>
              </w:rPr>
            </w:pPr>
          </w:p>
        </w:tc>
        <w:tc>
          <w:tcPr>
            <w:tcW w:w="0" w:type="auto"/>
            <w:vAlign w:val="center"/>
            <w:hideMark/>
          </w:tcPr>
          <w:p w14:paraId="485EBB6A" w14:textId="77777777" w:rsidR="00000000" w:rsidRDefault="00195E73">
            <w:pPr>
              <w:rPr>
                <w:rFonts w:eastAsia="Times New Roman"/>
                <w:sz w:val="20"/>
                <w:szCs w:val="20"/>
              </w:rPr>
            </w:pPr>
          </w:p>
        </w:tc>
        <w:tc>
          <w:tcPr>
            <w:tcW w:w="0" w:type="auto"/>
            <w:vAlign w:val="center"/>
            <w:hideMark/>
          </w:tcPr>
          <w:p w14:paraId="7548AB45" w14:textId="77777777" w:rsidR="00000000" w:rsidRDefault="00195E73">
            <w:pPr>
              <w:rPr>
                <w:rFonts w:eastAsia="Times New Roman"/>
                <w:sz w:val="20"/>
                <w:szCs w:val="20"/>
              </w:rPr>
            </w:pPr>
          </w:p>
        </w:tc>
        <w:tc>
          <w:tcPr>
            <w:tcW w:w="0" w:type="auto"/>
            <w:vAlign w:val="center"/>
            <w:hideMark/>
          </w:tcPr>
          <w:p w14:paraId="7FDF6721" w14:textId="77777777" w:rsidR="00000000" w:rsidRDefault="00195E73">
            <w:pPr>
              <w:rPr>
                <w:rFonts w:eastAsia="Times New Roman"/>
                <w:sz w:val="20"/>
                <w:szCs w:val="20"/>
              </w:rPr>
            </w:pPr>
          </w:p>
        </w:tc>
        <w:tc>
          <w:tcPr>
            <w:tcW w:w="0" w:type="auto"/>
            <w:vAlign w:val="center"/>
            <w:hideMark/>
          </w:tcPr>
          <w:p w14:paraId="388460F0" w14:textId="77777777" w:rsidR="00000000" w:rsidRDefault="00195E73">
            <w:pPr>
              <w:rPr>
                <w:rFonts w:eastAsia="Times New Roman"/>
                <w:sz w:val="20"/>
                <w:szCs w:val="20"/>
              </w:rPr>
            </w:pPr>
          </w:p>
        </w:tc>
        <w:tc>
          <w:tcPr>
            <w:tcW w:w="0" w:type="auto"/>
            <w:vAlign w:val="center"/>
            <w:hideMark/>
          </w:tcPr>
          <w:p w14:paraId="4987AC15" w14:textId="77777777" w:rsidR="00000000" w:rsidRDefault="00195E73">
            <w:pPr>
              <w:rPr>
                <w:rFonts w:eastAsia="Times New Roman"/>
                <w:sz w:val="20"/>
                <w:szCs w:val="20"/>
              </w:rPr>
            </w:pPr>
          </w:p>
        </w:tc>
        <w:tc>
          <w:tcPr>
            <w:tcW w:w="0" w:type="auto"/>
            <w:vAlign w:val="center"/>
            <w:hideMark/>
          </w:tcPr>
          <w:p w14:paraId="74E173BF" w14:textId="77777777" w:rsidR="00000000" w:rsidRDefault="00195E73">
            <w:pPr>
              <w:rPr>
                <w:rFonts w:eastAsia="Times New Roman"/>
                <w:sz w:val="20"/>
                <w:szCs w:val="20"/>
              </w:rPr>
            </w:pPr>
          </w:p>
        </w:tc>
        <w:tc>
          <w:tcPr>
            <w:tcW w:w="0" w:type="auto"/>
            <w:vAlign w:val="center"/>
            <w:hideMark/>
          </w:tcPr>
          <w:p w14:paraId="08226997" w14:textId="77777777" w:rsidR="00000000" w:rsidRDefault="00195E73">
            <w:pPr>
              <w:rPr>
                <w:rFonts w:eastAsia="Times New Roman"/>
                <w:sz w:val="20"/>
                <w:szCs w:val="20"/>
              </w:rPr>
            </w:pPr>
          </w:p>
        </w:tc>
      </w:tr>
      <w:tr w:rsidR="00000000" w14:paraId="456E5E7C" w14:textId="77777777">
        <w:trPr>
          <w:divId w:val="1384790163"/>
          <w:jc w:val="center"/>
        </w:trPr>
        <w:tc>
          <w:tcPr>
            <w:tcW w:w="0" w:type="auto"/>
            <w:gridSpan w:val="3"/>
            <w:shd w:val="clear" w:color="auto" w:fill="CCEEFF"/>
            <w:tcMar>
              <w:top w:w="30" w:type="dxa"/>
              <w:left w:w="20" w:type="dxa"/>
              <w:bottom w:w="30" w:type="dxa"/>
              <w:right w:w="20" w:type="dxa"/>
            </w:tcMar>
            <w:vAlign w:val="bottom"/>
            <w:hideMark/>
          </w:tcPr>
          <w:p w14:paraId="5740FFEE" w14:textId="77777777" w:rsidR="00000000" w:rsidRDefault="00195E73">
            <w:pPr>
              <w:rPr>
                <w:rFonts w:eastAsia="Times New Roman"/>
              </w:rPr>
            </w:pPr>
            <w:r>
              <w:rPr>
                <w:rFonts w:eastAsia="Times New Roman"/>
                <w:color w:val="000000"/>
                <w:sz w:val="20"/>
                <w:szCs w:val="20"/>
              </w:rPr>
              <w:t>Less: net (loss) income attributable to 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3A7268C" w14:textId="77777777" w:rsidR="00000000" w:rsidRDefault="00195E73">
            <w:pPr>
              <w:jc w:val="right"/>
              <w:rPr>
                <w:rFonts w:eastAsia="Times New Roman"/>
              </w:rPr>
            </w:pPr>
            <w:r>
              <w:rPr>
                <w:rFonts w:eastAsia="Times New Roman"/>
                <w:color w:val="000000"/>
                <w:sz w:val="20"/>
                <w:szCs w:val="20"/>
              </w:rPr>
              <w:t>(693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E7EC7E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0C91E6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A10628" w14:textId="77777777" w:rsidR="00000000" w:rsidRDefault="00195E73">
            <w:pPr>
              <w:jc w:val="right"/>
              <w:rPr>
                <w:rFonts w:eastAsia="Times New Roman"/>
              </w:rPr>
            </w:pPr>
            <w:r>
              <w:rPr>
                <w:rFonts w:eastAsia="Times New Roman"/>
                <w:color w:val="000000"/>
                <w:sz w:val="20"/>
                <w:szCs w:val="20"/>
              </w:rPr>
              <w:t>519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275D5B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95B01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923D6C" w14:textId="77777777" w:rsidR="00000000" w:rsidRDefault="00195E73">
            <w:pPr>
              <w:jc w:val="right"/>
              <w:rPr>
                <w:rFonts w:eastAsia="Times New Roman"/>
              </w:rPr>
            </w:pPr>
            <w:r>
              <w:rPr>
                <w:rFonts w:eastAsia="Times New Roman"/>
                <w:color w:val="000000"/>
                <w:sz w:val="20"/>
                <w:szCs w:val="20"/>
              </w:rPr>
              <w:t>178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F4B3FD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4DDBCC8" w14:textId="77777777" w:rsidR="00000000" w:rsidRDefault="00195E73">
            <w:pPr>
              <w:rPr>
                <w:rFonts w:eastAsia="Times New Roman"/>
                <w:sz w:val="20"/>
                <w:szCs w:val="20"/>
              </w:rPr>
            </w:pPr>
          </w:p>
        </w:tc>
        <w:tc>
          <w:tcPr>
            <w:tcW w:w="0" w:type="auto"/>
            <w:vAlign w:val="center"/>
            <w:hideMark/>
          </w:tcPr>
          <w:p w14:paraId="49A000D3" w14:textId="77777777" w:rsidR="00000000" w:rsidRDefault="00195E73">
            <w:pPr>
              <w:rPr>
                <w:rFonts w:eastAsia="Times New Roman"/>
                <w:sz w:val="20"/>
                <w:szCs w:val="20"/>
              </w:rPr>
            </w:pPr>
          </w:p>
        </w:tc>
        <w:tc>
          <w:tcPr>
            <w:tcW w:w="0" w:type="auto"/>
            <w:vAlign w:val="center"/>
            <w:hideMark/>
          </w:tcPr>
          <w:p w14:paraId="1A4C7306" w14:textId="77777777" w:rsidR="00000000" w:rsidRDefault="00195E73">
            <w:pPr>
              <w:rPr>
                <w:rFonts w:eastAsia="Times New Roman"/>
                <w:sz w:val="20"/>
                <w:szCs w:val="20"/>
              </w:rPr>
            </w:pPr>
          </w:p>
        </w:tc>
        <w:tc>
          <w:tcPr>
            <w:tcW w:w="0" w:type="auto"/>
            <w:vAlign w:val="center"/>
            <w:hideMark/>
          </w:tcPr>
          <w:p w14:paraId="01E574E4" w14:textId="77777777" w:rsidR="00000000" w:rsidRDefault="00195E73">
            <w:pPr>
              <w:rPr>
                <w:rFonts w:eastAsia="Times New Roman"/>
                <w:sz w:val="20"/>
                <w:szCs w:val="20"/>
              </w:rPr>
            </w:pPr>
          </w:p>
        </w:tc>
        <w:tc>
          <w:tcPr>
            <w:tcW w:w="0" w:type="auto"/>
            <w:vAlign w:val="center"/>
            <w:hideMark/>
          </w:tcPr>
          <w:p w14:paraId="5AC1FBC9" w14:textId="77777777" w:rsidR="00000000" w:rsidRDefault="00195E73">
            <w:pPr>
              <w:rPr>
                <w:rFonts w:eastAsia="Times New Roman"/>
                <w:sz w:val="20"/>
                <w:szCs w:val="20"/>
              </w:rPr>
            </w:pPr>
          </w:p>
        </w:tc>
        <w:tc>
          <w:tcPr>
            <w:tcW w:w="0" w:type="auto"/>
            <w:vAlign w:val="center"/>
            <w:hideMark/>
          </w:tcPr>
          <w:p w14:paraId="5EE52743" w14:textId="77777777" w:rsidR="00000000" w:rsidRDefault="00195E73">
            <w:pPr>
              <w:rPr>
                <w:rFonts w:eastAsia="Times New Roman"/>
                <w:sz w:val="20"/>
                <w:szCs w:val="20"/>
              </w:rPr>
            </w:pPr>
          </w:p>
        </w:tc>
        <w:tc>
          <w:tcPr>
            <w:tcW w:w="0" w:type="auto"/>
            <w:vAlign w:val="center"/>
            <w:hideMark/>
          </w:tcPr>
          <w:p w14:paraId="18200CA2" w14:textId="77777777" w:rsidR="00000000" w:rsidRDefault="00195E73">
            <w:pPr>
              <w:rPr>
                <w:rFonts w:eastAsia="Times New Roman"/>
                <w:sz w:val="20"/>
                <w:szCs w:val="20"/>
              </w:rPr>
            </w:pPr>
          </w:p>
        </w:tc>
        <w:tc>
          <w:tcPr>
            <w:tcW w:w="0" w:type="auto"/>
            <w:vAlign w:val="center"/>
            <w:hideMark/>
          </w:tcPr>
          <w:p w14:paraId="20916DC8" w14:textId="77777777" w:rsidR="00000000" w:rsidRDefault="00195E73">
            <w:pPr>
              <w:rPr>
                <w:rFonts w:eastAsia="Times New Roman"/>
                <w:sz w:val="20"/>
                <w:szCs w:val="20"/>
              </w:rPr>
            </w:pPr>
          </w:p>
        </w:tc>
        <w:tc>
          <w:tcPr>
            <w:tcW w:w="0" w:type="auto"/>
            <w:vAlign w:val="center"/>
            <w:hideMark/>
          </w:tcPr>
          <w:p w14:paraId="062D5DB6" w14:textId="77777777" w:rsidR="00000000" w:rsidRDefault="00195E73">
            <w:pPr>
              <w:rPr>
                <w:rFonts w:eastAsia="Times New Roman"/>
                <w:sz w:val="20"/>
                <w:szCs w:val="20"/>
              </w:rPr>
            </w:pPr>
          </w:p>
        </w:tc>
        <w:tc>
          <w:tcPr>
            <w:tcW w:w="0" w:type="auto"/>
            <w:vAlign w:val="center"/>
            <w:hideMark/>
          </w:tcPr>
          <w:p w14:paraId="1570D09C" w14:textId="77777777" w:rsidR="00000000" w:rsidRDefault="00195E73">
            <w:pPr>
              <w:rPr>
                <w:rFonts w:eastAsia="Times New Roman"/>
                <w:sz w:val="20"/>
                <w:szCs w:val="20"/>
              </w:rPr>
            </w:pPr>
          </w:p>
        </w:tc>
        <w:tc>
          <w:tcPr>
            <w:tcW w:w="0" w:type="auto"/>
            <w:vAlign w:val="center"/>
            <w:hideMark/>
          </w:tcPr>
          <w:p w14:paraId="23FF9AB5" w14:textId="77777777" w:rsidR="00000000" w:rsidRDefault="00195E73">
            <w:pPr>
              <w:rPr>
                <w:rFonts w:eastAsia="Times New Roman"/>
                <w:sz w:val="20"/>
                <w:szCs w:val="20"/>
              </w:rPr>
            </w:pPr>
          </w:p>
        </w:tc>
        <w:tc>
          <w:tcPr>
            <w:tcW w:w="0" w:type="auto"/>
            <w:vAlign w:val="center"/>
            <w:hideMark/>
          </w:tcPr>
          <w:p w14:paraId="1FDEE7C6" w14:textId="77777777" w:rsidR="00000000" w:rsidRDefault="00195E73">
            <w:pPr>
              <w:rPr>
                <w:rFonts w:eastAsia="Times New Roman"/>
                <w:sz w:val="20"/>
                <w:szCs w:val="20"/>
              </w:rPr>
            </w:pPr>
          </w:p>
        </w:tc>
      </w:tr>
      <w:tr w:rsidR="00000000" w14:paraId="48B1589F"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362BA6CB" w14:textId="77777777" w:rsidR="00000000" w:rsidRDefault="00195E73">
            <w:pPr>
              <w:rPr>
                <w:rFonts w:eastAsia="Times New Roman"/>
              </w:rPr>
            </w:pPr>
            <w:r>
              <w:rPr>
                <w:rFonts w:eastAsia="Times New Roman"/>
                <w:color w:val="000000"/>
                <w:sz w:val="20"/>
                <w:szCs w:val="20"/>
              </w:rPr>
              <w:t>Net (loss) income attributable to Icahn Enterprise</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3AA9B3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311E5FA" w14:textId="77777777" w:rsidR="00000000" w:rsidRDefault="00195E73">
            <w:pPr>
              <w:jc w:val="right"/>
              <w:rPr>
                <w:rFonts w:eastAsia="Times New Roman"/>
              </w:rPr>
            </w:pPr>
            <w:r>
              <w:rPr>
                <w:rFonts w:eastAsia="Times New Roman"/>
                <w:color w:val="000000"/>
                <w:sz w:val="20"/>
                <w:szCs w:val="20"/>
              </w:rPr>
              <w:t>(1,098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B05C7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D94236"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1CE0CCC"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8CDDFA1" w14:textId="77777777" w:rsidR="00000000" w:rsidRDefault="00195E73">
            <w:pPr>
              <w:jc w:val="right"/>
              <w:rPr>
                <w:rFonts w:eastAsia="Times New Roman"/>
              </w:rPr>
            </w:pPr>
            <w:r>
              <w:rPr>
                <w:rFonts w:eastAsia="Times New Roman"/>
                <w:color w:val="000000"/>
                <w:sz w:val="20"/>
                <w:szCs w:val="20"/>
              </w:rPr>
              <w:t>1,482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D08DE2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83F86FD"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82A654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D7D79E5" w14:textId="77777777" w:rsidR="00000000" w:rsidRDefault="00195E73">
            <w:pPr>
              <w:jc w:val="right"/>
              <w:rPr>
                <w:rFonts w:eastAsia="Times New Roman"/>
              </w:rPr>
            </w:pPr>
            <w:r>
              <w:rPr>
                <w:rFonts w:eastAsia="Times New Roman"/>
                <w:color w:val="000000"/>
                <w:sz w:val="20"/>
                <w:szCs w:val="20"/>
              </w:rPr>
              <w:t>2,454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1B9F2C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5A372B0" w14:textId="77777777" w:rsidR="00000000" w:rsidRDefault="00195E73">
            <w:pPr>
              <w:rPr>
                <w:rFonts w:eastAsia="Times New Roman"/>
                <w:sz w:val="20"/>
                <w:szCs w:val="20"/>
              </w:rPr>
            </w:pPr>
          </w:p>
        </w:tc>
        <w:tc>
          <w:tcPr>
            <w:tcW w:w="0" w:type="auto"/>
            <w:vAlign w:val="center"/>
            <w:hideMark/>
          </w:tcPr>
          <w:p w14:paraId="1A73C532" w14:textId="77777777" w:rsidR="00000000" w:rsidRDefault="00195E73">
            <w:pPr>
              <w:rPr>
                <w:rFonts w:eastAsia="Times New Roman"/>
                <w:sz w:val="20"/>
                <w:szCs w:val="20"/>
              </w:rPr>
            </w:pPr>
          </w:p>
        </w:tc>
        <w:tc>
          <w:tcPr>
            <w:tcW w:w="0" w:type="auto"/>
            <w:vAlign w:val="center"/>
            <w:hideMark/>
          </w:tcPr>
          <w:p w14:paraId="6660E15C" w14:textId="77777777" w:rsidR="00000000" w:rsidRDefault="00195E73">
            <w:pPr>
              <w:rPr>
                <w:rFonts w:eastAsia="Times New Roman"/>
                <w:sz w:val="20"/>
                <w:szCs w:val="20"/>
              </w:rPr>
            </w:pPr>
          </w:p>
        </w:tc>
        <w:tc>
          <w:tcPr>
            <w:tcW w:w="0" w:type="auto"/>
            <w:vAlign w:val="center"/>
            <w:hideMark/>
          </w:tcPr>
          <w:p w14:paraId="2DB26A3A" w14:textId="77777777" w:rsidR="00000000" w:rsidRDefault="00195E73">
            <w:pPr>
              <w:rPr>
                <w:rFonts w:eastAsia="Times New Roman"/>
                <w:sz w:val="20"/>
                <w:szCs w:val="20"/>
              </w:rPr>
            </w:pPr>
          </w:p>
        </w:tc>
        <w:tc>
          <w:tcPr>
            <w:tcW w:w="0" w:type="auto"/>
            <w:vAlign w:val="center"/>
            <w:hideMark/>
          </w:tcPr>
          <w:p w14:paraId="30A20AD0" w14:textId="77777777" w:rsidR="00000000" w:rsidRDefault="00195E73">
            <w:pPr>
              <w:rPr>
                <w:rFonts w:eastAsia="Times New Roman"/>
                <w:sz w:val="20"/>
                <w:szCs w:val="20"/>
              </w:rPr>
            </w:pPr>
          </w:p>
        </w:tc>
        <w:tc>
          <w:tcPr>
            <w:tcW w:w="0" w:type="auto"/>
            <w:vAlign w:val="center"/>
            <w:hideMark/>
          </w:tcPr>
          <w:p w14:paraId="53859BF0" w14:textId="77777777" w:rsidR="00000000" w:rsidRDefault="00195E73">
            <w:pPr>
              <w:rPr>
                <w:rFonts w:eastAsia="Times New Roman"/>
                <w:sz w:val="20"/>
                <w:szCs w:val="20"/>
              </w:rPr>
            </w:pPr>
          </w:p>
        </w:tc>
        <w:tc>
          <w:tcPr>
            <w:tcW w:w="0" w:type="auto"/>
            <w:vAlign w:val="center"/>
            <w:hideMark/>
          </w:tcPr>
          <w:p w14:paraId="47BC1FE0" w14:textId="77777777" w:rsidR="00000000" w:rsidRDefault="00195E73">
            <w:pPr>
              <w:rPr>
                <w:rFonts w:eastAsia="Times New Roman"/>
                <w:sz w:val="20"/>
                <w:szCs w:val="20"/>
              </w:rPr>
            </w:pPr>
          </w:p>
        </w:tc>
        <w:tc>
          <w:tcPr>
            <w:tcW w:w="0" w:type="auto"/>
            <w:vAlign w:val="center"/>
            <w:hideMark/>
          </w:tcPr>
          <w:p w14:paraId="171FBE7A" w14:textId="77777777" w:rsidR="00000000" w:rsidRDefault="00195E73">
            <w:pPr>
              <w:rPr>
                <w:rFonts w:eastAsia="Times New Roman"/>
                <w:sz w:val="20"/>
                <w:szCs w:val="20"/>
              </w:rPr>
            </w:pPr>
          </w:p>
        </w:tc>
        <w:tc>
          <w:tcPr>
            <w:tcW w:w="0" w:type="auto"/>
            <w:vAlign w:val="center"/>
            <w:hideMark/>
          </w:tcPr>
          <w:p w14:paraId="37DB0997" w14:textId="77777777" w:rsidR="00000000" w:rsidRDefault="00195E73">
            <w:pPr>
              <w:rPr>
                <w:rFonts w:eastAsia="Times New Roman"/>
                <w:sz w:val="20"/>
                <w:szCs w:val="20"/>
              </w:rPr>
            </w:pPr>
          </w:p>
        </w:tc>
        <w:tc>
          <w:tcPr>
            <w:tcW w:w="0" w:type="auto"/>
            <w:vAlign w:val="center"/>
            <w:hideMark/>
          </w:tcPr>
          <w:p w14:paraId="690BB354" w14:textId="77777777" w:rsidR="00000000" w:rsidRDefault="00195E73">
            <w:pPr>
              <w:rPr>
                <w:rFonts w:eastAsia="Times New Roman"/>
                <w:sz w:val="20"/>
                <w:szCs w:val="20"/>
              </w:rPr>
            </w:pPr>
          </w:p>
        </w:tc>
        <w:tc>
          <w:tcPr>
            <w:tcW w:w="0" w:type="auto"/>
            <w:vAlign w:val="center"/>
            <w:hideMark/>
          </w:tcPr>
          <w:p w14:paraId="00EB96AE" w14:textId="77777777" w:rsidR="00000000" w:rsidRDefault="00195E73">
            <w:pPr>
              <w:rPr>
                <w:rFonts w:eastAsia="Times New Roman"/>
                <w:sz w:val="20"/>
                <w:szCs w:val="20"/>
              </w:rPr>
            </w:pPr>
          </w:p>
        </w:tc>
        <w:tc>
          <w:tcPr>
            <w:tcW w:w="0" w:type="auto"/>
            <w:vAlign w:val="center"/>
            <w:hideMark/>
          </w:tcPr>
          <w:p w14:paraId="690039AC" w14:textId="77777777" w:rsidR="00000000" w:rsidRDefault="00195E73">
            <w:pPr>
              <w:rPr>
                <w:rFonts w:eastAsia="Times New Roman"/>
                <w:sz w:val="20"/>
                <w:szCs w:val="20"/>
              </w:rPr>
            </w:pPr>
          </w:p>
        </w:tc>
      </w:tr>
      <w:tr w:rsidR="00000000" w14:paraId="3513908A" w14:textId="77777777">
        <w:trPr>
          <w:divId w:val="1384790163"/>
          <w:trHeight w:val="300"/>
          <w:jc w:val="center"/>
        </w:trPr>
        <w:tc>
          <w:tcPr>
            <w:tcW w:w="0" w:type="auto"/>
            <w:gridSpan w:val="3"/>
            <w:shd w:val="clear" w:color="auto" w:fill="CCEEFF"/>
            <w:tcMar>
              <w:top w:w="15" w:type="dxa"/>
              <w:left w:w="20" w:type="dxa"/>
              <w:bottom w:w="15" w:type="dxa"/>
              <w:right w:w="20" w:type="dxa"/>
            </w:tcMar>
            <w:vAlign w:val="bottom"/>
            <w:hideMark/>
          </w:tcPr>
          <w:p w14:paraId="56A1A899" w14:textId="77777777" w:rsidR="00000000" w:rsidRDefault="00195E73">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2CDD172"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CE8D069"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A904FB9"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D4F1E2F"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3F45D0D5" w14:textId="77777777" w:rsidR="00000000" w:rsidRDefault="00195E73">
            <w:pPr>
              <w:rPr>
                <w:rFonts w:eastAsia="Times New Roman"/>
                <w:sz w:val="20"/>
                <w:szCs w:val="20"/>
              </w:rPr>
            </w:pPr>
          </w:p>
        </w:tc>
        <w:tc>
          <w:tcPr>
            <w:tcW w:w="0" w:type="auto"/>
            <w:vAlign w:val="center"/>
            <w:hideMark/>
          </w:tcPr>
          <w:p w14:paraId="74695A76" w14:textId="77777777" w:rsidR="00000000" w:rsidRDefault="00195E73">
            <w:pPr>
              <w:rPr>
                <w:rFonts w:eastAsia="Times New Roman"/>
                <w:sz w:val="20"/>
                <w:szCs w:val="20"/>
              </w:rPr>
            </w:pPr>
          </w:p>
        </w:tc>
        <w:tc>
          <w:tcPr>
            <w:tcW w:w="0" w:type="auto"/>
            <w:vAlign w:val="center"/>
            <w:hideMark/>
          </w:tcPr>
          <w:p w14:paraId="08C04DF7" w14:textId="77777777" w:rsidR="00000000" w:rsidRDefault="00195E73">
            <w:pPr>
              <w:rPr>
                <w:rFonts w:eastAsia="Times New Roman"/>
                <w:sz w:val="20"/>
                <w:szCs w:val="20"/>
              </w:rPr>
            </w:pPr>
          </w:p>
        </w:tc>
        <w:tc>
          <w:tcPr>
            <w:tcW w:w="0" w:type="auto"/>
            <w:vAlign w:val="center"/>
            <w:hideMark/>
          </w:tcPr>
          <w:p w14:paraId="547BC230" w14:textId="77777777" w:rsidR="00000000" w:rsidRDefault="00195E73">
            <w:pPr>
              <w:rPr>
                <w:rFonts w:eastAsia="Times New Roman"/>
                <w:sz w:val="20"/>
                <w:szCs w:val="20"/>
              </w:rPr>
            </w:pPr>
          </w:p>
        </w:tc>
        <w:tc>
          <w:tcPr>
            <w:tcW w:w="0" w:type="auto"/>
            <w:vAlign w:val="center"/>
            <w:hideMark/>
          </w:tcPr>
          <w:p w14:paraId="2AD593E4" w14:textId="77777777" w:rsidR="00000000" w:rsidRDefault="00195E73">
            <w:pPr>
              <w:rPr>
                <w:rFonts w:eastAsia="Times New Roman"/>
                <w:sz w:val="20"/>
                <w:szCs w:val="20"/>
              </w:rPr>
            </w:pPr>
          </w:p>
        </w:tc>
        <w:tc>
          <w:tcPr>
            <w:tcW w:w="0" w:type="auto"/>
            <w:vAlign w:val="center"/>
            <w:hideMark/>
          </w:tcPr>
          <w:p w14:paraId="5E974D3F" w14:textId="77777777" w:rsidR="00000000" w:rsidRDefault="00195E73">
            <w:pPr>
              <w:rPr>
                <w:rFonts w:eastAsia="Times New Roman"/>
                <w:sz w:val="20"/>
                <w:szCs w:val="20"/>
              </w:rPr>
            </w:pPr>
          </w:p>
        </w:tc>
        <w:tc>
          <w:tcPr>
            <w:tcW w:w="0" w:type="auto"/>
            <w:vAlign w:val="center"/>
            <w:hideMark/>
          </w:tcPr>
          <w:p w14:paraId="6D7B454C" w14:textId="77777777" w:rsidR="00000000" w:rsidRDefault="00195E73">
            <w:pPr>
              <w:rPr>
                <w:rFonts w:eastAsia="Times New Roman"/>
                <w:sz w:val="20"/>
                <w:szCs w:val="20"/>
              </w:rPr>
            </w:pPr>
          </w:p>
        </w:tc>
        <w:tc>
          <w:tcPr>
            <w:tcW w:w="0" w:type="auto"/>
            <w:vAlign w:val="center"/>
            <w:hideMark/>
          </w:tcPr>
          <w:p w14:paraId="2D1E6587" w14:textId="77777777" w:rsidR="00000000" w:rsidRDefault="00195E73">
            <w:pPr>
              <w:rPr>
                <w:rFonts w:eastAsia="Times New Roman"/>
                <w:sz w:val="20"/>
                <w:szCs w:val="20"/>
              </w:rPr>
            </w:pPr>
          </w:p>
        </w:tc>
        <w:tc>
          <w:tcPr>
            <w:tcW w:w="0" w:type="auto"/>
            <w:vAlign w:val="center"/>
            <w:hideMark/>
          </w:tcPr>
          <w:p w14:paraId="0229BBB2" w14:textId="77777777" w:rsidR="00000000" w:rsidRDefault="00195E73">
            <w:pPr>
              <w:rPr>
                <w:rFonts w:eastAsia="Times New Roman"/>
                <w:sz w:val="20"/>
                <w:szCs w:val="20"/>
              </w:rPr>
            </w:pPr>
          </w:p>
        </w:tc>
        <w:tc>
          <w:tcPr>
            <w:tcW w:w="0" w:type="auto"/>
            <w:vAlign w:val="center"/>
            <w:hideMark/>
          </w:tcPr>
          <w:p w14:paraId="1612525D" w14:textId="77777777" w:rsidR="00000000" w:rsidRDefault="00195E73">
            <w:pPr>
              <w:rPr>
                <w:rFonts w:eastAsia="Times New Roman"/>
                <w:sz w:val="20"/>
                <w:szCs w:val="20"/>
              </w:rPr>
            </w:pPr>
          </w:p>
        </w:tc>
        <w:tc>
          <w:tcPr>
            <w:tcW w:w="0" w:type="auto"/>
            <w:vAlign w:val="center"/>
            <w:hideMark/>
          </w:tcPr>
          <w:p w14:paraId="57EE8431" w14:textId="77777777" w:rsidR="00000000" w:rsidRDefault="00195E73">
            <w:pPr>
              <w:rPr>
                <w:rFonts w:eastAsia="Times New Roman"/>
                <w:sz w:val="20"/>
                <w:szCs w:val="20"/>
              </w:rPr>
            </w:pPr>
          </w:p>
        </w:tc>
        <w:tc>
          <w:tcPr>
            <w:tcW w:w="0" w:type="auto"/>
            <w:vAlign w:val="center"/>
            <w:hideMark/>
          </w:tcPr>
          <w:p w14:paraId="74522470" w14:textId="77777777" w:rsidR="00000000" w:rsidRDefault="00195E73">
            <w:pPr>
              <w:rPr>
                <w:rFonts w:eastAsia="Times New Roman"/>
                <w:sz w:val="20"/>
                <w:szCs w:val="20"/>
              </w:rPr>
            </w:pPr>
          </w:p>
        </w:tc>
        <w:tc>
          <w:tcPr>
            <w:tcW w:w="0" w:type="auto"/>
            <w:vAlign w:val="center"/>
            <w:hideMark/>
          </w:tcPr>
          <w:p w14:paraId="0E4CD853" w14:textId="77777777" w:rsidR="00000000" w:rsidRDefault="00195E73">
            <w:pPr>
              <w:rPr>
                <w:rFonts w:eastAsia="Times New Roman"/>
                <w:sz w:val="20"/>
                <w:szCs w:val="20"/>
              </w:rPr>
            </w:pPr>
          </w:p>
        </w:tc>
      </w:tr>
      <w:tr w:rsidR="00000000" w14:paraId="0F486BB2"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4A9CD44D" w14:textId="77777777" w:rsidR="00000000" w:rsidRDefault="00195E73">
            <w:pPr>
              <w:rPr>
                <w:rFonts w:eastAsia="Times New Roman"/>
              </w:rPr>
            </w:pPr>
            <w:r>
              <w:rPr>
                <w:rFonts w:eastAsia="Times New Roman"/>
                <w:color w:val="000000"/>
                <w:sz w:val="20"/>
                <w:szCs w:val="20"/>
              </w:rPr>
              <w:t>Net (loss) income attributable to Icahn Enterprises from</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7D896376"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1AB9AFB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097A18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41C96E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7D5F41C" w14:textId="77777777" w:rsidR="00000000" w:rsidRDefault="00195E73">
            <w:pPr>
              <w:rPr>
                <w:rFonts w:eastAsia="Times New Roman"/>
                <w:sz w:val="20"/>
                <w:szCs w:val="20"/>
              </w:rPr>
            </w:pPr>
          </w:p>
        </w:tc>
        <w:tc>
          <w:tcPr>
            <w:tcW w:w="0" w:type="auto"/>
            <w:vAlign w:val="center"/>
            <w:hideMark/>
          </w:tcPr>
          <w:p w14:paraId="7602A7FE" w14:textId="77777777" w:rsidR="00000000" w:rsidRDefault="00195E73">
            <w:pPr>
              <w:rPr>
                <w:rFonts w:eastAsia="Times New Roman"/>
                <w:sz w:val="20"/>
                <w:szCs w:val="20"/>
              </w:rPr>
            </w:pPr>
          </w:p>
        </w:tc>
        <w:tc>
          <w:tcPr>
            <w:tcW w:w="0" w:type="auto"/>
            <w:vAlign w:val="center"/>
            <w:hideMark/>
          </w:tcPr>
          <w:p w14:paraId="5EF3A299" w14:textId="77777777" w:rsidR="00000000" w:rsidRDefault="00195E73">
            <w:pPr>
              <w:rPr>
                <w:rFonts w:eastAsia="Times New Roman"/>
                <w:sz w:val="20"/>
                <w:szCs w:val="20"/>
              </w:rPr>
            </w:pPr>
          </w:p>
        </w:tc>
        <w:tc>
          <w:tcPr>
            <w:tcW w:w="0" w:type="auto"/>
            <w:vAlign w:val="center"/>
            <w:hideMark/>
          </w:tcPr>
          <w:p w14:paraId="43B1B401" w14:textId="77777777" w:rsidR="00000000" w:rsidRDefault="00195E73">
            <w:pPr>
              <w:rPr>
                <w:rFonts w:eastAsia="Times New Roman"/>
                <w:sz w:val="20"/>
                <w:szCs w:val="20"/>
              </w:rPr>
            </w:pPr>
          </w:p>
        </w:tc>
        <w:tc>
          <w:tcPr>
            <w:tcW w:w="0" w:type="auto"/>
            <w:vAlign w:val="center"/>
            <w:hideMark/>
          </w:tcPr>
          <w:p w14:paraId="13535DD6" w14:textId="77777777" w:rsidR="00000000" w:rsidRDefault="00195E73">
            <w:pPr>
              <w:rPr>
                <w:rFonts w:eastAsia="Times New Roman"/>
                <w:sz w:val="20"/>
                <w:szCs w:val="20"/>
              </w:rPr>
            </w:pPr>
          </w:p>
        </w:tc>
        <w:tc>
          <w:tcPr>
            <w:tcW w:w="0" w:type="auto"/>
            <w:vAlign w:val="center"/>
            <w:hideMark/>
          </w:tcPr>
          <w:p w14:paraId="00439B8F" w14:textId="77777777" w:rsidR="00000000" w:rsidRDefault="00195E73">
            <w:pPr>
              <w:rPr>
                <w:rFonts w:eastAsia="Times New Roman"/>
                <w:sz w:val="20"/>
                <w:szCs w:val="20"/>
              </w:rPr>
            </w:pPr>
          </w:p>
        </w:tc>
        <w:tc>
          <w:tcPr>
            <w:tcW w:w="0" w:type="auto"/>
            <w:vAlign w:val="center"/>
            <w:hideMark/>
          </w:tcPr>
          <w:p w14:paraId="3CB374FF" w14:textId="77777777" w:rsidR="00000000" w:rsidRDefault="00195E73">
            <w:pPr>
              <w:rPr>
                <w:rFonts w:eastAsia="Times New Roman"/>
                <w:sz w:val="20"/>
                <w:szCs w:val="20"/>
              </w:rPr>
            </w:pPr>
          </w:p>
        </w:tc>
        <w:tc>
          <w:tcPr>
            <w:tcW w:w="0" w:type="auto"/>
            <w:vAlign w:val="center"/>
            <w:hideMark/>
          </w:tcPr>
          <w:p w14:paraId="4B9C2F62" w14:textId="77777777" w:rsidR="00000000" w:rsidRDefault="00195E73">
            <w:pPr>
              <w:rPr>
                <w:rFonts w:eastAsia="Times New Roman"/>
                <w:sz w:val="20"/>
                <w:szCs w:val="20"/>
              </w:rPr>
            </w:pPr>
          </w:p>
        </w:tc>
        <w:tc>
          <w:tcPr>
            <w:tcW w:w="0" w:type="auto"/>
            <w:vAlign w:val="center"/>
            <w:hideMark/>
          </w:tcPr>
          <w:p w14:paraId="41D2952C" w14:textId="77777777" w:rsidR="00000000" w:rsidRDefault="00195E73">
            <w:pPr>
              <w:rPr>
                <w:rFonts w:eastAsia="Times New Roman"/>
                <w:sz w:val="20"/>
                <w:szCs w:val="20"/>
              </w:rPr>
            </w:pPr>
          </w:p>
        </w:tc>
        <w:tc>
          <w:tcPr>
            <w:tcW w:w="0" w:type="auto"/>
            <w:vAlign w:val="center"/>
            <w:hideMark/>
          </w:tcPr>
          <w:p w14:paraId="46B19944" w14:textId="77777777" w:rsidR="00000000" w:rsidRDefault="00195E73">
            <w:pPr>
              <w:rPr>
                <w:rFonts w:eastAsia="Times New Roman"/>
                <w:sz w:val="20"/>
                <w:szCs w:val="20"/>
              </w:rPr>
            </w:pPr>
          </w:p>
        </w:tc>
        <w:tc>
          <w:tcPr>
            <w:tcW w:w="0" w:type="auto"/>
            <w:vAlign w:val="center"/>
            <w:hideMark/>
          </w:tcPr>
          <w:p w14:paraId="2651AF34" w14:textId="77777777" w:rsidR="00000000" w:rsidRDefault="00195E73">
            <w:pPr>
              <w:rPr>
                <w:rFonts w:eastAsia="Times New Roman"/>
                <w:sz w:val="20"/>
                <w:szCs w:val="20"/>
              </w:rPr>
            </w:pPr>
          </w:p>
        </w:tc>
        <w:tc>
          <w:tcPr>
            <w:tcW w:w="0" w:type="auto"/>
            <w:vAlign w:val="center"/>
            <w:hideMark/>
          </w:tcPr>
          <w:p w14:paraId="26BB2E24" w14:textId="77777777" w:rsidR="00000000" w:rsidRDefault="00195E73">
            <w:pPr>
              <w:rPr>
                <w:rFonts w:eastAsia="Times New Roman"/>
                <w:sz w:val="20"/>
                <w:szCs w:val="20"/>
              </w:rPr>
            </w:pPr>
          </w:p>
        </w:tc>
        <w:tc>
          <w:tcPr>
            <w:tcW w:w="0" w:type="auto"/>
            <w:vAlign w:val="center"/>
            <w:hideMark/>
          </w:tcPr>
          <w:p w14:paraId="75E5E328" w14:textId="77777777" w:rsidR="00000000" w:rsidRDefault="00195E73">
            <w:pPr>
              <w:rPr>
                <w:rFonts w:eastAsia="Times New Roman"/>
                <w:sz w:val="20"/>
                <w:szCs w:val="20"/>
              </w:rPr>
            </w:pPr>
          </w:p>
        </w:tc>
      </w:tr>
      <w:tr w:rsidR="00000000" w14:paraId="41A794CE" w14:textId="77777777">
        <w:trPr>
          <w:divId w:val="1384790163"/>
          <w:jc w:val="center"/>
        </w:trPr>
        <w:tc>
          <w:tcPr>
            <w:tcW w:w="0" w:type="auto"/>
            <w:gridSpan w:val="3"/>
            <w:shd w:val="clear" w:color="auto" w:fill="CCEEFF"/>
            <w:tcMar>
              <w:top w:w="30" w:type="dxa"/>
              <w:left w:w="20" w:type="dxa"/>
              <w:bottom w:w="30" w:type="dxa"/>
              <w:right w:w="20" w:type="dxa"/>
            </w:tcMar>
            <w:vAlign w:val="bottom"/>
            <w:hideMark/>
          </w:tcPr>
          <w:p w14:paraId="6858505F" w14:textId="77777777" w:rsidR="00000000" w:rsidRDefault="00195E73">
            <w:pPr>
              <w:rPr>
                <w:rFonts w:eastAsia="Times New Roman"/>
              </w:rPr>
            </w:pPr>
            <w:r>
              <w:rPr>
                <w:rFonts w:eastAsia="Times New Roman"/>
                <w:color w:val="000000"/>
                <w:sz w:val="20"/>
                <w:szCs w:val="20"/>
              </w:rPr>
              <w:t>   Continuing operation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1F103C0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CDAD6FE" w14:textId="77777777" w:rsidR="00000000" w:rsidRDefault="00195E73">
            <w:pPr>
              <w:jc w:val="right"/>
              <w:rPr>
                <w:rFonts w:eastAsia="Times New Roman"/>
              </w:rPr>
            </w:pPr>
            <w:r>
              <w:rPr>
                <w:rFonts w:eastAsia="Times New Roman"/>
                <w:color w:val="000000"/>
                <w:sz w:val="20"/>
                <w:szCs w:val="20"/>
              </w:rPr>
              <w:t>(1,066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276A5F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CC8D5F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FC4F5D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2172D4B" w14:textId="77777777" w:rsidR="00000000" w:rsidRDefault="00195E73">
            <w:pPr>
              <w:jc w:val="right"/>
              <w:rPr>
                <w:rFonts w:eastAsia="Times New Roman"/>
              </w:rPr>
            </w:pPr>
            <w:r>
              <w:rPr>
                <w:rFonts w:eastAsia="Times New Roman"/>
                <w:color w:val="000000"/>
                <w:sz w:val="20"/>
                <w:szCs w:val="20"/>
              </w:rPr>
              <w:t>(238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E314BF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43C4BF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83C6CD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1289A5F" w14:textId="77777777" w:rsidR="00000000" w:rsidRDefault="00195E73">
            <w:pPr>
              <w:jc w:val="right"/>
              <w:rPr>
                <w:rFonts w:eastAsia="Times New Roman"/>
              </w:rPr>
            </w:pPr>
            <w:r>
              <w:rPr>
                <w:rFonts w:eastAsia="Times New Roman"/>
                <w:color w:val="000000"/>
                <w:sz w:val="20"/>
                <w:szCs w:val="20"/>
              </w:rPr>
              <w:t>2,297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DB70AA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221525C" w14:textId="77777777" w:rsidR="00000000" w:rsidRDefault="00195E73">
            <w:pPr>
              <w:rPr>
                <w:rFonts w:eastAsia="Times New Roman"/>
                <w:sz w:val="20"/>
                <w:szCs w:val="20"/>
              </w:rPr>
            </w:pPr>
          </w:p>
        </w:tc>
        <w:tc>
          <w:tcPr>
            <w:tcW w:w="0" w:type="auto"/>
            <w:vAlign w:val="center"/>
            <w:hideMark/>
          </w:tcPr>
          <w:p w14:paraId="23616027" w14:textId="77777777" w:rsidR="00000000" w:rsidRDefault="00195E73">
            <w:pPr>
              <w:rPr>
                <w:rFonts w:eastAsia="Times New Roman"/>
                <w:sz w:val="20"/>
                <w:szCs w:val="20"/>
              </w:rPr>
            </w:pPr>
          </w:p>
        </w:tc>
        <w:tc>
          <w:tcPr>
            <w:tcW w:w="0" w:type="auto"/>
            <w:vAlign w:val="center"/>
            <w:hideMark/>
          </w:tcPr>
          <w:p w14:paraId="69B26BA4" w14:textId="77777777" w:rsidR="00000000" w:rsidRDefault="00195E73">
            <w:pPr>
              <w:rPr>
                <w:rFonts w:eastAsia="Times New Roman"/>
                <w:sz w:val="20"/>
                <w:szCs w:val="20"/>
              </w:rPr>
            </w:pPr>
          </w:p>
        </w:tc>
        <w:tc>
          <w:tcPr>
            <w:tcW w:w="0" w:type="auto"/>
            <w:vAlign w:val="center"/>
            <w:hideMark/>
          </w:tcPr>
          <w:p w14:paraId="7CD86A9C" w14:textId="77777777" w:rsidR="00000000" w:rsidRDefault="00195E73">
            <w:pPr>
              <w:rPr>
                <w:rFonts w:eastAsia="Times New Roman"/>
                <w:sz w:val="20"/>
                <w:szCs w:val="20"/>
              </w:rPr>
            </w:pPr>
          </w:p>
        </w:tc>
        <w:tc>
          <w:tcPr>
            <w:tcW w:w="0" w:type="auto"/>
            <w:vAlign w:val="center"/>
            <w:hideMark/>
          </w:tcPr>
          <w:p w14:paraId="157EE26D" w14:textId="77777777" w:rsidR="00000000" w:rsidRDefault="00195E73">
            <w:pPr>
              <w:rPr>
                <w:rFonts w:eastAsia="Times New Roman"/>
                <w:sz w:val="20"/>
                <w:szCs w:val="20"/>
              </w:rPr>
            </w:pPr>
          </w:p>
        </w:tc>
        <w:tc>
          <w:tcPr>
            <w:tcW w:w="0" w:type="auto"/>
            <w:vAlign w:val="center"/>
            <w:hideMark/>
          </w:tcPr>
          <w:p w14:paraId="3FC13DE6" w14:textId="77777777" w:rsidR="00000000" w:rsidRDefault="00195E73">
            <w:pPr>
              <w:rPr>
                <w:rFonts w:eastAsia="Times New Roman"/>
                <w:sz w:val="20"/>
                <w:szCs w:val="20"/>
              </w:rPr>
            </w:pPr>
          </w:p>
        </w:tc>
        <w:tc>
          <w:tcPr>
            <w:tcW w:w="0" w:type="auto"/>
            <w:vAlign w:val="center"/>
            <w:hideMark/>
          </w:tcPr>
          <w:p w14:paraId="73707346" w14:textId="77777777" w:rsidR="00000000" w:rsidRDefault="00195E73">
            <w:pPr>
              <w:rPr>
                <w:rFonts w:eastAsia="Times New Roman"/>
                <w:sz w:val="20"/>
                <w:szCs w:val="20"/>
              </w:rPr>
            </w:pPr>
          </w:p>
        </w:tc>
        <w:tc>
          <w:tcPr>
            <w:tcW w:w="0" w:type="auto"/>
            <w:vAlign w:val="center"/>
            <w:hideMark/>
          </w:tcPr>
          <w:p w14:paraId="3C0332A6" w14:textId="77777777" w:rsidR="00000000" w:rsidRDefault="00195E73">
            <w:pPr>
              <w:rPr>
                <w:rFonts w:eastAsia="Times New Roman"/>
                <w:sz w:val="20"/>
                <w:szCs w:val="20"/>
              </w:rPr>
            </w:pPr>
          </w:p>
        </w:tc>
        <w:tc>
          <w:tcPr>
            <w:tcW w:w="0" w:type="auto"/>
            <w:vAlign w:val="center"/>
            <w:hideMark/>
          </w:tcPr>
          <w:p w14:paraId="61BAEBA3" w14:textId="77777777" w:rsidR="00000000" w:rsidRDefault="00195E73">
            <w:pPr>
              <w:rPr>
                <w:rFonts w:eastAsia="Times New Roman"/>
                <w:sz w:val="20"/>
                <w:szCs w:val="20"/>
              </w:rPr>
            </w:pPr>
          </w:p>
        </w:tc>
        <w:tc>
          <w:tcPr>
            <w:tcW w:w="0" w:type="auto"/>
            <w:vAlign w:val="center"/>
            <w:hideMark/>
          </w:tcPr>
          <w:p w14:paraId="5AEEA42E" w14:textId="77777777" w:rsidR="00000000" w:rsidRDefault="00195E73">
            <w:pPr>
              <w:rPr>
                <w:rFonts w:eastAsia="Times New Roman"/>
                <w:sz w:val="20"/>
                <w:szCs w:val="20"/>
              </w:rPr>
            </w:pPr>
          </w:p>
        </w:tc>
        <w:tc>
          <w:tcPr>
            <w:tcW w:w="0" w:type="auto"/>
            <w:vAlign w:val="center"/>
            <w:hideMark/>
          </w:tcPr>
          <w:p w14:paraId="101D5BFF" w14:textId="77777777" w:rsidR="00000000" w:rsidRDefault="00195E73">
            <w:pPr>
              <w:rPr>
                <w:rFonts w:eastAsia="Times New Roman"/>
                <w:sz w:val="20"/>
                <w:szCs w:val="20"/>
              </w:rPr>
            </w:pPr>
          </w:p>
        </w:tc>
        <w:tc>
          <w:tcPr>
            <w:tcW w:w="0" w:type="auto"/>
            <w:vAlign w:val="center"/>
            <w:hideMark/>
          </w:tcPr>
          <w:p w14:paraId="515EEC99" w14:textId="77777777" w:rsidR="00000000" w:rsidRDefault="00195E73">
            <w:pPr>
              <w:rPr>
                <w:rFonts w:eastAsia="Times New Roman"/>
                <w:sz w:val="20"/>
                <w:szCs w:val="20"/>
              </w:rPr>
            </w:pPr>
          </w:p>
        </w:tc>
      </w:tr>
      <w:tr w:rsidR="00000000" w14:paraId="048A2AF5"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550479E7" w14:textId="77777777" w:rsidR="00000000" w:rsidRDefault="00195E73">
            <w:pPr>
              <w:rPr>
                <w:rFonts w:eastAsia="Times New Roman"/>
              </w:rPr>
            </w:pPr>
            <w:r>
              <w:rPr>
                <w:rFonts w:eastAsia="Times New Roman"/>
                <w:color w:val="000000"/>
                <w:sz w:val="20"/>
                <w:szCs w:val="20"/>
              </w:rPr>
              <w:t>   Discontinued operation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7C56F4E" w14:textId="77777777" w:rsidR="00000000" w:rsidRDefault="00195E73">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C4BDBC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3A3B7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08924A" w14:textId="77777777" w:rsidR="00000000" w:rsidRDefault="00195E73">
            <w:pPr>
              <w:jc w:val="right"/>
              <w:rPr>
                <w:rFonts w:eastAsia="Times New Roman"/>
              </w:rPr>
            </w:pPr>
            <w:r>
              <w:rPr>
                <w:rFonts w:eastAsia="Times New Roman"/>
                <w:color w:val="000000"/>
                <w:sz w:val="20"/>
                <w:szCs w:val="20"/>
              </w:rPr>
              <w:t>1,720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1E0C1A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670FF6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03CC71" w14:textId="77777777" w:rsidR="00000000" w:rsidRDefault="00195E73">
            <w:pPr>
              <w:jc w:val="right"/>
              <w:rPr>
                <w:rFonts w:eastAsia="Times New Roman"/>
              </w:rPr>
            </w:pPr>
            <w:r>
              <w:rPr>
                <w:rFonts w:eastAsia="Times New Roman"/>
                <w:color w:val="000000"/>
                <w:sz w:val="20"/>
                <w:szCs w:val="20"/>
              </w:rPr>
              <w:t>157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4C6EEC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EC33F6F" w14:textId="77777777" w:rsidR="00000000" w:rsidRDefault="00195E73">
            <w:pPr>
              <w:rPr>
                <w:rFonts w:eastAsia="Times New Roman"/>
                <w:sz w:val="20"/>
                <w:szCs w:val="20"/>
              </w:rPr>
            </w:pPr>
          </w:p>
        </w:tc>
        <w:tc>
          <w:tcPr>
            <w:tcW w:w="0" w:type="auto"/>
            <w:vAlign w:val="center"/>
            <w:hideMark/>
          </w:tcPr>
          <w:p w14:paraId="7365319B" w14:textId="77777777" w:rsidR="00000000" w:rsidRDefault="00195E73">
            <w:pPr>
              <w:rPr>
                <w:rFonts w:eastAsia="Times New Roman"/>
                <w:sz w:val="20"/>
                <w:szCs w:val="20"/>
              </w:rPr>
            </w:pPr>
          </w:p>
        </w:tc>
        <w:tc>
          <w:tcPr>
            <w:tcW w:w="0" w:type="auto"/>
            <w:vAlign w:val="center"/>
            <w:hideMark/>
          </w:tcPr>
          <w:p w14:paraId="0C2CEE90" w14:textId="77777777" w:rsidR="00000000" w:rsidRDefault="00195E73">
            <w:pPr>
              <w:rPr>
                <w:rFonts w:eastAsia="Times New Roman"/>
                <w:sz w:val="20"/>
                <w:szCs w:val="20"/>
              </w:rPr>
            </w:pPr>
          </w:p>
        </w:tc>
        <w:tc>
          <w:tcPr>
            <w:tcW w:w="0" w:type="auto"/>
            <w:vAlign w:val="center"/>
            <w:hideMark/>
          </w:tcPr>
          <w:p w14:paraId="32C8C97A" w14:textId="77777777" w:rsidR="00000000" w:rsidRDefault="00195E73">
            <w:pPr>
              <w:rPr>
                <w:rFonts w:eastAsia="Times New Roman"/>
                <w:sz w:val="20"/>
                <w:szCs w:val="20"/>
              </w:rPr>
            </w:pPr>
          </w:p>
        </w:tc>
        <w:tc>
          <w:tcPr>
            <w:tcW w:w="0" w:type="auto"/>
            <w:vAlign w:val="center"/>
            <w:hideMark/>
          </w:tcPr>
          <w:p w14:paraId="5BE62BE1" w14:textId="77777777" w:rsidR="00000000" w:rsidRDefault="00195E73">
            <w:pPr>
              <w:rPr>
                <w:rFonts w:eastAsia="Times New Roman"/>
                <w:sz w:val="20"/>
                <w:szCs w:val="20"/>
              </w:rPr>
            </w:pPr>
          </w:p>
        </w:tc>
        <w:tc>
          <w:tcPr>
            <w:tcW w:w="0" w:type="auto"/>
            <w:vAlign w:val="center"/>
            <w:hideMark/>
          </w:tcPr>
          <w:p w14:paraId="282E396C" w14:textId="77777777" w:rsidR="00000000" w:rsidRDefault="00195E73">
            <w:pPr>
              <w:rPr>
                <w:rFonts w:eastAsia="Times New Roman"/>
                <w:sz w:val="20"/>
                <w:szCs w:val="20"/>
              </w:rPr>
            </w:pPr>
          </w:p>
        </w:tc>
        <w:tc>
          <w:tcPr>
            <w:tcW w:w="0" w:type="auto"/>
            <w:vAlign w:val="center"/>
            <w:hideMark/>
          </w:tcPr>
          <w:p w14:paraId="105DA02E" w14:textId="77777777" w:rsidR="00000000" w:rsidRDefault="00195E73">
            <w:pPr>
              <w:rPr>
                <w:rFonts w:eastAsia="Times New Roman"/>
                <w:sz w:val="20"/>
                <w:szCs w:val="20"/>
              </w:rPr>
            </w:pPr>
          </w:p>
        </w:tc>
        <w:tc>
          <w:tcPr>
            <w:tcW w:w="0" w:type="auto"/>
            <w:vAlign w:val="center"/>
            <w:hideMark/>
          </w:tcPr>
          <w:p w14:paraId="72D6C42C" w14:textId="77777777" w:rsidR="00000000" w:rsidRDefault="00195E73">
            <w:pPr>
              <w:rPr>
                <w:rFonts w:eastAsia="Times New Roman"/>
                <w:sz w:val="20"/>
                <w:szCs w:val="20"/>
              </w:rPr>
            </w:pPr>
          </w:p>
        </w:tc>
        <w:tc>
          <w:tcPr>
            <w:tcW w:w="0" w:type="auto"/>
            <w:vAlign w:val="center"/>
            <w:hideMark/>
          </w:tcPr>
          <w:p w14:paraId="3430C66B" w14:textId="77777777" w:rsidR="00000000" w:rsidRDefault="00195E73">
            <w:pPr>
              <w:rPr>
                <w:rFonts w:eastAsia="Times New Roman"/>
                <w:sz w:val="20"/>
                <w:szCs w:val="20"/>
              </w:rPr>
            </w:pPr>
          </w:p>
        </w:tc>
        <w:tc>
          <w:tcPr>
            <w:tcW w:w="0" w:type="auto"/>
            <w:vAlign w:val="center"/>
            <w:hideMark/>
          </w:tcPr>
          <w:p w14:paraId="4E38C937" w14:textId="77777777" w:rsidR="00000000" w:rsidRDefault="00195E73">
            <w:pPr>
              <w:rPr>
                <w:rFonts w:eastAsia="Times New Roman"/>
                <w:sz w:val="20"/>
                <w:szCs w:val="20"/>
              </w:rPr>
            </w:pPr>
          </w:p>
        </w:tc>
        <w:tc>
          <w:tcPr>
            <w:tcW w:w="0" w:type="auto"/>
            <w:vAlign w:val="center"/>
            <w:hideMark/>
          </w:tcPr>
          <w:p w14:paraId="738C34B8" w14:textId="77777777" w:rsidR="00000000" w:rsidRDefault="00195E73">
            <w:pPr>
              <w:rPr>
                <w:rFonts w:eastAsia="Times New Roman"/>
                <w:sz w:val="20"/>
                <w:szCs w:val="20"/>
              </w:rPr>
            </w:pPr>
          </w:p>
        </w:tc>
        <w:tc>
          <w:tcPr>
            <w:tcW w:w="0" w:type="auto"/>
            <w:vAlign w:val="center"/>
            <w:hideMark/>
          </w:tcPr>
          <w:p w14:paraId="64CF6CB4" w14:textId="77777777" w:rsidR="00000000" w:rsidRDefault="00195E73">
            <w:pPr>
              <w:rPr>
                <w:rFonts w:eastAsia="Times New Roman"/>
                <w:sz w:val="20"/>
                <w:szCs w:val="20"/>
              </w:rPr>
            </w:pPr>
          </w:p>
        </w:tc>
      </w:tr>
      <w:tr w:rsidR="00000000" w14:paraId="2AFB6288" w14:textId="77777777">
        <w:trPr>
          <w:divId w:val="1384790163"/>
          <w:jc w:val="center"/>
        </w:trPr>
        <w:tc>
          <w:tcPr>
            <w:tcW w:w="0" w:type="auto"/>
            <w:gridSpan w:val="3"/>
            <w:shd w:val="clear" w:color="auto" w:fill="CCEEFF"/>
            <w:tcMar>
              <w:top w:w="15" w:type="dxa"/>
              <w:left w:w="20" w:type="dxa"/>
              <w:bottom w:w="15" w:type="dxa"/>
              <w:right w:w="20" w:type="dxa"/>
            </w:tcMar>
            <w:vAlign w:val="bottom"/>
            <w:hideMark/>
          </w:tcPr>
          <w:p w14:paraId="439EAC41"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9431CB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EB28AC6"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1,098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282C16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D421602"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B532E2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11EA6CC" w14:textId="77777777" w:rsidR="00000000" w:rsidRDefault="00195E73">
            <w:pPr>
              <w:jc w:val="right"/>
              <w:rPr>
                <w:rFonts w:eastAsia="Times New Roman"/>
              </w:rPr>
            </w:pPr>
            <w:r>
              <w:rPr>
                <w:rFonts w:eastAsia="Times New Roman"/>
                <w:color w:val="000000"/>
                <w:sz w:val="20"/>
                <w:szCs w:val="20"/>
              </w:rPr>
              <w:t>1,482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FF1BA0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77A50D2"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A7B5DA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9C3E56C" w14:textId="77777777" w:rsidR="00000000" w:rsidRDefault="00195E73">
            <w:pPr>
              <w:jc w:val="right"/>
              <w:rPr>
                <w:rFonts w:eastAsia="Times New Roman"/>
              </w:rPr>
            </w:pPr>
            <w:r>
              <w:rPr>
                <w:rFonts w:eastAsia="Times New Roman"/>
                <w:color w:val="000000"/>
                <w:sz w:val="20"/>
                <w:szCs w:val="20"/>
              </w:rPr>
              <w:t>2,454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B45245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6902214" w14:textId="77777777" w:rsidR="00000000" w:rsidRDefault="00195E73">
            <w:pPr>
              <w:rPr>
                <w:rFonts w:eastAsia="Times New Roman"/>
                <w:sz w:val="20"/>
                <w:szCs w:val="20"/>
              </w:rPr>
            </w:pPr>
          </w:p>
        </w:tc>
        <w:tc>
          <w:tcPr>
            <w:tcW w:w="0" w:type="auto"/>
            <w:vAlign w:val="center"/>
            <w:hideMark/>
          </w:tcPr>
          <w:p w14:paraId="42783880" w14:textId="77777777" w:rsidR="00000000" w:rsidRDefault="00195E73">
            <w:pPr>
              <w:rPr>
                <w:rFonts w:eastAsia="Times New Roman"/>
                <w:sz w:val="20"/>
                <w:szCs w:val="20"/>
              </w:rPr>
            </w:pPr>
          </w:p>
        </w:tc>
        <w:tc>
          <w:tcPr>
            <w:tcW w:w="0" w:type="auto"/>
            <w:vAlign w:val="center"/>
            <w:hideMark/>
          </w:tcPr>
          <w:p w14:paraId="191C5B2C" w14:textId="77777777" w:rsidR="00000000" w:rsidRDefault="00195E73">
            <w:pPr>
              <w:rPr>
                <w:rFonts w:eastAsia="Times New Roman"/>
                <w:sz w:val="20"/>
                <w:szCs w:val="20"/>
              </w:rPr>
            </w:pPr>
          </w:p>
        </w:tc>
        <w:tc>
          <w:tcPr>
            <w:tcW w:w="0" w:type="auto"/>
            <w:vAlign w:val="center"/>
            <w:hideMark/>
          </w:tcPr>
          <w:p w14:paraId="6FE26433" w14:textId="77777777" w:rsidR="00000000" w:rsidRDefault="00195E73">
            <w:pPr>
              <w:rPr>
                <w:rFonts w:eastAsia="Times New Roman"/>
                <w:sz w:val="20"/>
                <w:szCs w:val="20"/>
              </w:rPr>
            </w:pPr>
          </w:p>
        </w:tc>
        <w:tc>
          <w:tcPr>
            <w:tcW w:w="0" w:type="auto"/>
            <w:vAlign w:val="center"/>
            <w:hideMark/>
          </w:tcPr>
          <w:p w14:paraId="5B2AE1BA" w14:textId="77777777" w:rsidR="00000000" w:rsidRDefault="00195E73">
            <w:pPr>
              <w:rPr>
                <w:rFonts w:eastAsia="Times New Roman"/>
                <w:sz w:val="20"/>
                <w:szCs w:val="20"/>
              </w:rPr>
            </w:pPr>
          </w:p>
        </w:tc>
        <w:tc>
          <w:tcPr>
            <w:tcW w:w="0" w:type="auto"/>
            <w:vAlign w:val="center"/>
            <w:hideMark/>
          </w:tcPr>
          <w:p w14:paraId="17227750" w14:textId="77777777" w:rsidR="00000000" w:rsidRDefault="00195E73">
            <w:pPr>
              <w:rPr>
                <w:rFonts w:eastAsia="Times New Roman"/>
                <w:sz w:val="20"/>
                <w:szCs w:val="20"/>
              </w:rPr>
            </w:pPr>
          </w:p>
        </w:tc>
        <w:tc>
          <w:tcPr>
            <w:tcW w:w="0" w:type="auto"/>
            <w:vAlign w:val="center"/>
            <w:hideMark/>
          </w:tcPr>
          <w:p w14:paraId="2047EA44" w14:textId="77777777" w:rsidR="00000000" w:rsidRDefault="00195E73">
            <w:pPr>
              <w:rPr>
                <w:rFonts w:eastAsia="Times New Roman"/>
                <w:sz w:val="20"/>
                <w:szCs w:val="20"/>
              </w:rPr>
            </w:pPr>
          </w:p>
        </w:tc>
        <w:tc>
          <w:tcPr>
            <w:tcW w:w="0" w:type="auto"/>
            <w:vAlign w:val="center"/>
            <w:hideMark/>
          </w:tcPr>
          <w:p w14:paraId="01F30102" w14:textId="77777777" w:rsidR="00000000" w:rsidRDefault="00195E73">
            <w:pPr>
              <w:rPr>
                <w:rFonts w:eastAsia="Times New Roman"/>
                <w:sz w:val="20"/>
                <w:szCs w:val="20"/>
              </w:rPr>
            </w:pPr>
          </w:p>
        </w:tc>
        <w:tc>
          <w:tcPr>
            <w:tcW w:w="0" w:type="auto"/>
            <w:vAlign w:val="center"/>
            <w:hideMark/>
          </w:tcPr>
          <w:p w14:paraId="627A5615" w14:textId="77777777" w:rsidR="00000000" w:rsidRDefault="00195E73">
            <w:pPr>
              <w:rPr>
                <w:rFonts w:eastAsia="Times New Roman"/>
                <w:sz w:val="20"/>
                <w:szCs w:val="20"/>
              </w:rPr>
            </w:pPr>
          </w:p>
        </w:tc>
        <w:tc>
          <w:tcPr>
            <w:tcW w:w="0" w:type="auto"/>
            <w:vAlign w:val="center"/>
            <w:hideMark/>
          </w:tcPr>
          <w:p w14:paraId="0A4551DB" w14:textId="77777777" w:rsidR="00000000" w:rsidRDefault="00195E73">
            <w:pPr>
              <w:rPr>
                <w:rFonts w:eastAsia="Times New Roman"/>
                <w:sz w:val="20"/>
                <w:szCs w:val="20"/>
              </w:rPr>
            </w:pPr>
          </w:p>
        </w:tc>
        <w:tc>
          <w:tcPr>
            <w:tcW w:w="0" w:type="auto"/>
            <w:vAlign w:val="center"/>
            <w:hideMark/>
          </w:tcPr>
          <w:p w14:paraId="2061EA18" w14:textId="77777777" w:rsidR="00000000" w:rsidRDefault="00195E73">
            <w:pPr>
              <w:rPr>
                <w:rFonts w:eastAsia="Times New Roman"/>
                <w:sz w:val="20"/>
                <w:szCs w:val="20"/>
              </w:rPr>
            </w:pPr>
          </w:p>
        </w:tc>
        <w:tc>
          <w:tcPr>
            <w:tcW w:w="0" w:type="auto"/>
            <w:vAlign w:val="center"/>
            <w:hideMark/>
          </w:tcPr>
          <w:p w14:paraId="675E62A6" w14:textId="77777777" w:rsidR="00000000" w:rsidRDefault="00195E73">
            <w:pPr>
              <w:rPr>
                <w:rFonts w:eastAsia="Times New Roman"/>
                <w:sz w:val="20"/>
                <w:szCs w:val="20"/>
              </w:rPr>
            </w:pPr>
          </w:p>
        </w:tc>
      </w:tr>
      <w:tr w:rsidR="00000000" w14:paraId="5ACAFE03"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08FFC849" w14:textId="77777777" w:rsidR="00000000" w:rsidRDefault="00195E73">
            <w:pPr>
              <w:rPr>
                <w:rFonts w:eastAsia="Times New Roman"/>
              </w:rPr>
            </w:pPr>
            <w:r>
              <w:rPr>
                <w:rFonts w:eastAsia="Times New Roman"/>
                <w:color w:val="000000"/>
                <w:sz w:val="20"/>
                <w:szCs w:val="20"/>
              </w:rPr>
              <w:t>Net (loss) income attributable to Icahn Enterprises allocated to</w:t>
            </w:r>
            <w:r>
              <w:rPr>
                <w:rFonts w:eastAsia="Times New Roman"/>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57B359EE"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168DEF42"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5E206AC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CAC354C"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5856D84" w14:textId="77777777" w:rsidR="00000000" w:rsidRDefault="00195E73">
            <w:pPr>
              <w:rPr>
                <w:rFonts w:eastAsia="Times New Roman"/>
                <w:sz w:val="20"/>
                <w:szCs w:val="20"/>
              </w:rPr>
            </w:pPr>
          </w:p>
        </w:tc>
        <w:tc>
          <w:tcPr>
            <w:tcW w:w="0" w:type="auto"/>
            <w:vAlign w:val="center"/>
            <w:hideMark/>
          </w:tcPr>
          <w:p w14:paraId="3AC730AD" w14:textId="77777777" w:rsidR="00000000" w:rsidRDefault="00195E73">
            <w:pPr>
              <w:rPr>
                <w:rFonts w:eastAsia="Times New Roman"/>
                <w:sz w:val="20"/>
                <w:szCs w:val="20"/>
              </w:rPr>
            </w:pPr>
          </w:p>
        </w:tc>
        <w:tc>
          <w:tcPr>
            <w:tcW w:w="0" w:type="auto"/>
            <w:vAlign w:val="center"/>
            <w:hideMark/>
          </w:tcPr>
          <w:p w14:paraId="06A340E1" w14:textId="77777777" w:rsidR="00000000" w:rsidRDefault="00195E73">
            <w:pPr>
              <w:rPr>
                <w:rFonts w:eastAsia="Times New Roman"/>
                <w:sz w:val="20"/>
                <w:szCs w:val="20"/>
              </w:rPr>
            </w:pPr>
          </w:p>
        </w:tc>
        <w:tc>
          <w:tcPr>
            <w:tcW w:w="0" w:type="auto"/>
            <w:vAlign w:val="center"/>
            <w:hideMark/>
          </w:tcPr>
          <w:p w14:paraId="3FFCBE05" w14:textId="77777777" w:rsidR="00000000" w:rsidRDefault="00195E73">
            <w:pPr>
              <w:rPr>
                <w:rFonts w:eastAsia="Times New Roman"/>
                <w:sz w:val="20"/>
                <w:szCs w:val="20"/>
              </w:rPr>
            </w:pPr>
          </w:p>
        </w:tc>
        <w:tc>
          <w:tcPr>
            <w:tcW w:w="0" w:type="auto"/>
            <w:vAlign w:val="center"/>
            <w:hideMark/>
          </w:tcPr>
          <w:p w14:paraId="5E12AE31" w14:textId="77777777" w:rsidR="00000000" w:rsidRDefault="00195E73">
            <w:pPr>
              <w:rPr>
                <w:rFonts w:eastAsia="Times New Roman"/>
                <w:sz w:val="20"/>
                <w:szCs w:val="20"/>
              </w:rPr>
            </w:pPr>
          </w:p>
        </w:tc>
        <w:tc>
          <w:tcPr>
            <w:tcW w:w="0" w:type="auto"/>
            <w:vAlign w:val="center"/>
            <w:hideMark/>
          </w:tcPr>
          <w:p w14:paraId="0DB1689E" w14:textId="77777777" w:rsidR="00000000" w:rsidRDefault="00195E73">
            <w:pPr>
              <w:rPr>
                <w:rFonts w:eastAsia="Times New Roman"/>
                <w:sz w:val="20"/>
                <w:szCs w:val="20"/>
              </w:rPr>
            </w:pPr>
          </w:p>
        </w:tc>
        <w:tc>
          <w:tcPr>
            <w:tcW w:w="0" w:type="auto"/>
            <w:vAlign w:val="center"/>
            <w:hideMark/>
          </w:tcPr>
          <w:p w14:paraId="6A072E91" w14:textId="77777777" w:rsidR="00000000" w:rsidRDefault="00195E73">
            <w:pPr>
              <w:rPr>
                <w:rFonts w:eastAsia="Times New Roman"/>
                <w:sz w:val="20"/>
                <w:szCs w:val="20"/>
              </w:rPr>
            </w:pPr>
          </w:p>
        </w:tc>
        <w:tc>
          <w:tcPr>
            <w:tcW w:w="0" w:type="auto"/>
            <w:vAlign w:val="center"/>
            <w:hideMark/>
          </w:tcPr>
          <w:p w14:paraId="30926138" w14:textId="77777777" w:rsidR="00000000" w:rsidRDefault="00195E73">
            <w:pPr>
              <w:rPr>
                <w:rFonts w:eastAsia="Times New Roman"/>
                <w:sz w:val="20"/>
                <w:szCs w:val="20"/>
              </w:rPr>
            </w:pPr>
          </w:p>
        </w:tc>
        <w:tc>
          <w:tcPr>
            <w:tcW w:w="0" w:type="auto"/>
            <w:vAlign w:val="center"/>
            <w:hideMark/>
          </w:tcPr>
          <w:p w14:paraId="7AA87470" w14:textId="77777777" w:rsidR="00000000" w:rsidRDefault="00195E73">
            <w:pPr>
              <w:rPr>
                <w:rFonts w:eastAsia="Times New Roman"/>
                <w:sz w:val="20"/>
                <w:szCs w:val="20"/>
              </w:rPr>
            </w:pPr>
          </w:p>
        </w:tc>
        <w:tc>
          <w:tcPr>
            <w:tcW w:w="0" w:type="auto"/>
            <w:vAlign w:val="center"/>
            <w:hideMark/>
          </w:tcPr>
          <w:p w14:paraId="2B87D763" w14:textId="77777777" w:rsidR="00000000" w:rsidRDefault="00195E73">
            <w:pPr>
              <w:rPr>
                <w:rFonts w:eastAsia="Times New Roman"/>
                <w:sz w:val="20"/>
                <w:szCs w:val="20"/>
              </w:rPr>
            </w:pPr>
          </w:p>
        </w:tc>
        <w:tc>
          <w:tcPr>
            <w:tcW w:w="0" w:type="auto"/>
            <w:vAlign w:val="center"/>
            <w:hideMark/>
          </w:tcPr>
          <w:p w14:paraId="155EBD9F" w14:textId="77777777" w:rsidR="00000000" w:rsidRDefault="00195E73">
            <w:pPr>
              <w:rPr>
                <w:rFonts w:eastAsia="Times New Roman"/>
                <w:sz w:val="20"/>
                <w:szCs w:val="20"/>
              </w:rPr>
            </w:pPr>
          </w:p>
        </w:tc>
        <w:tc>
          <w:tcPr>
            <w:tcW w:w="0" w:type="auto"/>
            <w:vAlign w:val="center"/>
            <w:hideMark/>
          </w:tcPr>
          <w:p w14:paraId="6E9D2944" w14:textId="77777777" w:rsidR="00000000" w:rsidRDefault="00195E73">
            <w:pPr>
              <w:rPr>
                <w:rFonts w:eastAsia="Times New Roman"/>
                <w:sz w:val="20"/>
                <w:szCs w:val="20"/>
              </w:rPr>
            </w:pPr>
          </w:p>
        </w:tc>
        <w:tc>
          <w:tcPr>
            <w:tcW w:w="0" w:type="auto"/>
            <w:vAlign w:val="center"/>
            <w:hideMark/>
          </w:tcPr>
          <w:p w14:paraId="1E4511DD" w14:textId="77777777" w:rsidR="00000000" w:rsidRDefault="00195E73">
            <w:pPr>
              <w:rPr>
                <w:rFonts w:eastAsia="Times New Roman"/>
                <w:sz w:val="20"/>
                <w:szCs w:val="20"/>
              </w:rPr>
            </w:pPr>
          </w:p>
        </w:tc>
      </w:tr>
      <w:tr w:rsidR="00000000" w14:paraId="7BCB921B" w14:textId="77777777">
        <w:trPr>
          <w:divId w:val="1384790163"/>
          <w:jc w:val="center"/>
        </w:trPr>
        <w:tc>
          <w:tcPr>
            <w:tcW w:w="0" w:type="auto"/>
            <w:gridSpan w:val="3"/>
            <w:shd w:val="clear" w:color="auto" w:fill="CCEEFF"/>
            <w:tcMar>
              <w:top w:w="30" w:type="dxa"/>
              <w:left w:w="20" w:type="dxa"/>
              <w:bottom w:w="30" w:type="dxa"/>
              <w:right w:w="20" w:type="dxa"/>
            </w:tcMar>
            <w:vAlign w:val="bottom"/>
            <w:hideMark/>
          </w:tcPr>
          <w:p w14:paraId="387F91CE" w14:textId="77777777" w:rsidR="00000000" w:rsidRDefault="00195E73">
            <w:pPr>
              <w:rPr>
                <w:rFonts w:eastAsia="Times New Roman"/>
              </w:rPr>
            </w:pPr>
            <w:r>
              <w:rPr>
                <w:rFonts w:eastAsia="Times New Roman"/>
                <w:color w:val="000000"/>
                <w:sz w:val="20"/>
                <w:szCs w:val="20"/>
              </w:rPr>
              <w:t>   Limited partner</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1109681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0EA6B62" w14:textId="77777777" w:rsidR="00000000" w:rsidRDefault="00195E73">
            <w:pPr>
              <w:jc w:val="right"/>
              <w:rPr>
                <w:rFonts w:eastAsia="Times New Roman"/>
              </w:rPr>
            </w:pPr>
            <w:r>
              <w:rPr>
                <w:rFonts w:eastAsia="Times New Roman"/>
                <w:color w:val="000000"/>
                <w:sz w:val="20"/>
                <w:szCs w:val="20"/>
              </w:rPr>
              <w:t>(1,076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C26573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5EC6677"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923D7B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F187F2C" w14:textId="77777777" w:rsidR="00000000" w:rsidRDefault="00195E73">
            <w:pPr>
              <w:jc w:val="right"/>
              <w:rPr>
                <w:rFonts w:eastAsia="Times New Roman"/>
              </w:rPr>
            </w:pPr>
            <w:r>
              <w:rPr>
                <w:rFonts w:eastAsia="Times New Roman"/>
                <w:color w:val="000000"/>
                <w:sz w:val="20"/>
                <w:szCs w:val="20"/>
              </w:rPr>
              <w:t>2,039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9D38B1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38B852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A7F67C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4BC415D" w14:textId="77777777" w:rsidR="00000000" w:rsidRDefault="00195E73">
            <w:pPr>
              <w:jc w:val="right"/>
              <w:rPr>
                <w:rFonts w:eastAsia="Times New Roman"/>
              </w:rPr>
            </w:pPr>
            <w:r>
              <w:rPr>
                <w:rFonts w:eastAsia="Times New Roman"/>
                <w:color w:val="000000"/>
                <w:sz w:val="20"/>
                <w:szCs w:val="20"/>
              </w:rPr>
              <w:t>2,405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2455F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E03B682" w14:textId="77777777" w:rsidR="00000000" w:rsidRDefault="00195E73">
            <w:pPr>
              <w:rPr>
                <w:rFonts w:eastAsia="Times New Roman"/>
                <w:sz w:val="20"/>
                <w:szCs w:val="20"/>
              </w:rPr>
            </w:pPr>
          </w:p>
        </w:tc>
        <w:tc>
          <w:tcPr>
            <w:tcW w:w="0" w:type="auto"/>
            <w:vAlign w:val="center"/>
            <w:hideMark/>
          </w:tcPr>
          <w:p w14:paraId="7F7D6CC5" w14:textId="77777777" w:rsidR="00000000" w:rsidRDefault="00195E73">
            <w:pPr>
              <w:rPr>
                <w:rFonts w:eastAsia="Times New Roman"/>
                <w:sz w:val="20"/>
                <w:szCs w:val="20"/>
              </w:rPr>
            </w:pPr>
          </w:p>
        </w:tc>
        <w:tc>
          <w:tcPr>
            <w:tcW w:w="0" w:type="auto"/>
            <w:vAlign w:val="center"/>
            <w:hideMark/>
          </w:tcPr>
          <w:p w14:paraId="09C2AFB7" w14:textId="77777777" w:rsidR="00000000" w:rsidRDefault="00195E73">
            <w:pPr>
              <w:rPr>
                <w:rFonts w:eastAsia="Times New Roman"/>
                <w:sz w:val="20"/>
                <w:szCs w:val="20"/>
              </w:rPr>
            </w:pPr>
          </w:p>
        </w:tc>
        <w:tc>
          <w:tcPr>
            <w:tcW w:w="0" w:type="auto"/>
            <w:vAlign w:val="center"/>
            <w:hideMark/>
          </w:tcPr>
          <w:p w14:paraId="0CDBB38F" w14:textId="77777777" w:rsidR="00000000" w:rsidRDefault="00195E73">
            <w:pPr>
              <w:rPr>
                <w:rFonts w:eastAsia="Times New Roman"/>
                <w:sz w:val="20"/>
                <w:szCs w:val="20"/>
              </w:rPr>
            </w:pPr>
          </w:p>
        </w:tc>
        <w:tc>
          <w:tcPr>
            <w:tcW w:w="0" w:type="auto"/>
            <w:vAlign w:val="center"/>
            <w:hideMark/>
          </w:tcPr>
          <w:p w14:paraId="638431A4" w14:textId="77777777" w:rsidR="00000000" w:rsidRDefault="00195E73">
            <w:pPr>
              <w:rPr>
                <w:rFonts w:eastAsia="Times New Roman"/>
                <w:sz w:val="20"/>
                <w:szCs w:val="20"/>
              </w:rPr>
            </w:pPr>
          </w:p>
        </w:tc>
        <w:tc>
          <w:tcPr>
            <w:tcW w:w="0" w:type="auto"/>
            <w:vAlign w:val="center"/>
            <w:hideMark/>
          </w:tcPr>
          <w:p w14:paraId="61713F5C" w14:textId="77777777" w:rsidR="00000000" w:rsidRDefault="00195E73">
            <w:pPr>
              <w:rPr>
                <w:rFonts w:eastAsia="Times New Roman"/>
                <w:sz w:val="20"/>
                <w:szCs w:val="20"/>
              </w:rPr>
            </w:pPr>
          </w:p>
        </w:tc>
        <w:tc>
          <w:tcPr>
            <w:tcW w:w="0" w:type="auto"/>
            <w:vAlign w:val="center"/>
            <w:hideMark/>
          </w:tcPr>
          <w:p w14:paraId="5098A402" w14:textId="77777777" w:rsidR="00000000" w:rsidRDefault="00195E73">
            <w:pPr>
              <w:rPr>
                <w:rFonts w:eastAsia="Times New Roman"/>
                <w:sz w:val="20"/>
                <w:szCs w:val="20"/>
              </w:rPr>
            </w:pPr>
          </w:p>
        </w:tc>
        <w:tc>
          <w:tcPr>
            <w:tcW w:w="0" w:type="auto"/>
            <w:vAlign w:val="center"/>
            <w:hideMark/>
          </w:tcPr>
          <w:p w14:paraId="0AD8B6AC" w14:textId="77777777" w:rsidR="00000000" w:rsidRDefault="00195E73">
            <w:pPr>
              <w:rPr>
                <w:rFonts w:eastAsia="Times New Roman"/>
                <w:sz w:val="20"/>
                <w:szCs w:val="20"/>
              </w:rPr>
            </w:pPr>
          </w:p>
        </w:tc>
        <w:tc>
          <w:tcPr>
            <w:tcW w:w="0" w:type="auto"/>
            <w:vAlign w:val="center"/>
            <w:hideMark/>
          </w:tcPr>
          <w:p w14:paraId="36E4A513" w14:textId="77777777" w:rsidR="00000000" w:rsidRDefault="00195E73">
            <w:pPr>
              <w:rPr>
                <w:rFonts w:eastAsia="Times New Roman"/>
                <w:sz w:val="20"/>
                <w:szCs w:val="20"/>
              </w:rPr>
            </w:pPr>
          </w:p>
        </w:tc>
        <w:tc>
          <w:tcPr>
            <w:tcW w:w="0" w:type="auto"/>
            <w:vAlign w:val="center"/>
            <w:hideMark/>
          </w:tcPr>
          <w:p w14:paraId="7C9D9367" w14:textId="77777777" w:rsidR="00000000" w:rsidRDefault="00195E73">
            <w:pPr>
              <w:rPr>
                <w:rFonts w:eastAsia="Times New Roman"/>
                <w:sz w:val="20"/>
                <w:szCs w:val="20"/>
              </w:rPr>
            </w:pPr>
          </w:p>
        </w:tc>
        <w:tc>
          <w:tcPr>
            <w:tcW w:w="0" w:type="auto"/>
            <w:vAlign w:val="center"/>
            <w:hideMark/>
          </w:tcPr>
          <w:p w14:paraId="442CDDE3" w14:textId="77777777" w:rsidR="00000000" w:rsidRDefault="00195E73">
            <w:pPr>
              <w:rPr>
                <w:rFonts w:eastAsia="Times New Roman"/>
                <w:sz w:val="20"/>
                <w:szCs w:val="20"/>
              </w:rPr>
            </w:pPr>
          </w:p>
        </w:tc>
        <w:tc>
          <w:tcPr>
            <w:tcW w:w="0" w:type="auto"/>
            <w:vAlign w:val="center"/>
            <w:hideMark/>
          </w:tcPr>
          <w:p w14:paraId="084936E5" w14:textId="77777777" w:rsidR="00000000" w:rsidRDefault="00195E73">
            <w:pPr>
              <w:rPr>
                <w:rFonts w:eastAsia="Times New Roman"/>
                <w:sz w:val="20"/>
                <w:szCs w:val="20"/>
              </w:rPr>
            </w:pPr>
          </w:p>
        </w:tc>
      </w:tr>
      <w:tr w:rsidR="00000000" w14:paraId="7DA230D6"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4BB10860" w14:textId="77777777" w:rsidR="00000000" w:rsidRDefault="00195E73">
            <w:pPr>
              <w:rPr>
                <w:rFonts w:eastAsia="Times New Roman"/>
              </w:rPr>
            </w:pPr>
            <w:r>
              <w:rPr>
                <w:rFonts w:eastAsia="Times New Roman"/>
                <w:color w:val="000000"/>
                <w:sz w:val="20"/>
                <w:szCs w:val="20"/>
              </w:rPr>
              <w:t>   General partne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619B1A5F" w14:textId="77777777" w:rsidR="00000000" w:rsidRDefault="00195E73">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64FA40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85366A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95AF32"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557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36ED02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D35455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B1CFCE" w14:textId="77777777" w:rsidR="00000000" w:rsidRDefault="00195E73">
            <w:pPr>
              <w:jc w:val="right"/>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37DEA5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0935FD9" w14:textId="77777777" w:rsidR="00000000" w:rsidRDefault="00195E73">
            <w:pPr>
              <w:rPr>
                <w:rFonts w:eastAsia="Times New Roman"/>
                <w:sz w:val="20"/>
                <w:szCs w:val="20"/>
              </w:rPr>
            </w:pPr>
          </w:p>
        </w:tc>
        <w:tc>
          <w:tcPr>
            <w:tcW w:w="0" w:type="auto"/>
            <w:vAlign w:val="center"/>
            <w:hideMark/>
          </w:tcPr>
          <w:p w14:paraId="70D0DEAC" w14:textId="77777777" w:rsidR="00000000" w:rsidRDefault="00195E73">
            <w:pPr>
              <w:rPr>
                <w:rFonts w:eastAsia="Times New Roman"/>
                <w:sz w:val="20"/>
                <w:szCs w:val="20"/>
              </w:rPr>
            </w:pPr>
          </w:p>
        </w:tc>
        <w:tc>
          <w:tcPr>
            <w:tcW w:w="0" w:type="auto"/>
            <w:vAlign w:val="center"/>
            <w:hideMark/>
          </w:tcPr>
          <w:p w14:paraId="17FB5A55" w14:textId="77777777" w:rsidR="00000000" w:rsidRDefault="00195E73">
            <w:pPr>
              <w:rPr>
                <w:rFonts w:eastAsia="Times New Roman"/>
                <w:sz w:val="20"/>
                <w:szCs w:val="20"/>
              </w:rPr>
            </w:pPr>
          </w:p>
        </w:tc>
        <w:tc>
          <w:tcPr>
            <w:tcW w:w="0" w:type="auto"/>
            <w:vAlign w:val="center"/>
            <w:hideMark/>
          </w:tcPr>
          <w:p w14:paraId="20C52D72" w14:textId="77777777" w:rsidR="00000000" w:rsidRDefault="00195E73">
            <w:pPr>
              <w:rPr>
                <w:rFonts w:eastAsia="Times New Roman"/>
                <w:sz w:val="20"/>
                <w:szCs w:val="20"/>
              </w:rPr>
            </w:pPr>
          </w:p>
        </w:tc>
        <w:tc>
          <w:tcPr>
            <w:tcW w:w="0" w:type="auto"/>
            <w:vAlign w:val="center"/>
            <w:hideMark/>
          </w:tcPr>
          <w:p w14:paraId="476D3B97" w14:textId="77777777" w:rsidR="00000000" w:rsidRDefault="00195E73">
            <w:pPr>
              <w:rPr>
                <w:rFonts w:eastAsia="Times New Roman"/>
                <w:sz w:val="20"/>
                <w:szCs w:val="20"/>
              </w:rPr>
            </w:pPr>
          </w:p>
        </w:tc>
        <w:tc>
          <w:tcPr>
            <w:tcW w:w="0" w:type="auto"/>
            <w:vAlign w:val="center"/>
            <w:hideMark/>
          </w:tcPr>
          <w:p w14:paraId="4493ED24" w14:textId="77777777" w:rsidR="00000000" w:rsidRDefault="00195E73">
            <w:pPr>
              <w:rPr>
                <w:rFonts w:eastAsia="Times New Roman"/>
                <w:sz w:val="20"/>
                <w:szCs w:val="20"/>
              </w:rPr>
            </w:pPr>
          </w:p>
        </w:tc>
        <w:tc>
          <w:tcPr>
            <w:tcW w:w="0" w:type="auto"/>
            <w:vAlign w:val="center"/>
            <w:hideMark/>
          </w:tcPr>
          <w:p w14:paraId="79FD5D62" w14:textId="77777777" w:rsidR="00000000" w:rsidRDefault="00195E73">
            <w:pPr>
              <w:rPr>
                <w:rFonts w:eastAsia="Times New Roman"/>
                <w:sz w:val="20"/>
                <w:szCs w:val="20"/>
              </w:rPr>
            </w:pPr>
          </w:p>
        </w:tc>
        <w:tc>
          <w:tcPr>
            <w:tcW w:w="0" w:type="auto"/>
            <w:vAlign w:val="center"/>
            <w:hideMark/>
          </w:tcPr>
          <w:p w14:paraId="07F47A9B" w14:textId="77777777" w:rsidR="00000000" w:rsidRDefault="00195E73">
            <w:pPr>
              <w:rPr>
                <w:rFonts w:eastAsia="Times New Roman"/>
                <w:sz w:val="20"/>
                <w:szCs w:val="20"/>
              </w:rPr>
            </w:pPr>
          </w:p>
        </w:tc>
        <w:tc>
          <w:tcPr>
            <w:tcW w:w="0" w:type="auto"/>
            <w:vAlign w:val="center"/>
            <w:hideMark/>
          </w:tcPr>
          <w:p w14:paraId="4910457B" w14:textId="77777777" w:rsidR="00000000" w:rsidRDefault="00195E73">
            <w:pPr>
              <w:rPr>
                <w:rFonts w:eastAsia="Times New Roman"/>
                <w:sz w:val="20"/>
                <w:szCs w:val="20"/>
              </w:rPr>
            </w:pPr>
          </w:p>
        </w:tc>
        <w:tc>
          <w:tcPr>
            <w:tcW w:w="0" w:type="auto"/>
            <w:vAlign w:val="center"/>
            <w:hideMark/>
          </w:tcPr>
          <w:p w14:paraId="104649DE" w14:textId="77777777" w:rsidR="00000000" w:rsidRDefault="00195E73">
            <w:pPr>
              <w:rPr>
                <w:rFonts w:eastAsia="Times New Roman"/>
                <w:sz w:val="20"/>
                <w:szCs w:val="20"/>
              </w:rPr>
            </w:pPr>
          </w:p>
        </w:tc>
        <w:tc>
          <w:tcPr>
            <w:tcW w:w="0" w:type="auto"/>
            <w:vAlign w:val="center"/>
            <w:hideMark/>
          </w:tcPr>
          <w:p w14:paraId="738C7661" w14:textId="77777777" w:rsidR="00000000" w:rsidRDefault="00195E73">
            <w:pPr>
              <w:rPr>
                <w:rFonts w:eastAsia="Times New Roman"/>
                <w:sz w:val="20"/>
                <w:szCs w:val="20"/>
              </w:rPr>
            </w:pPr>
          </w:p>
        </w:tc>
        <w:tc>
          <w:tcPr>
            <w:tcW w:w="0" w:type="auto"/>
            <w:vAlign w:val="center"/>
            <w:hideMark/>
          </w:tcPr>
          <w:p w14:paraId="6EA651EF" w14:textId="77777777" w:rsidR="00000000" w:rsidRDefault="00195E73">
            <w:pPr>
              <w:rPr>
                <w:rFonts w:eastAsia="Times New Roman"/>
                <w:sz w:val="20"/>
                <w:szCs w:val="20"/>
              </w:rPr>
            </w:pPr>
          </w:p>
        </w:tc>
      </w:tr>
      <w:tr w:rsidR="00000000" w14:paraId="67197B6C" w14:textId="77777777">
        <w:trPr>
          <w:divId w:val="1384790163"/>
          <w:jc w:val="center"/>
        </w:trPr>
        <w:tc>
          <w:tcPr>
            <w:tcW w:w="0" w:type="auto"/>
            <w:gridSpan w:val="3"/>
            <w:shd w:val="clear" w:color="auto" w:fill="CCEEFF"/>
            <w:tcMar>
              <w:top w:w="15" w:type="dxa"/>
              <w:left w:w="20" w:type="dxa"/>
              <w:bottom w:w="15" w:type="dxa"/>
              <w:right w:w="20" w:type="dxa"/>
            </w:tcMar>
            <w:vAlign w:val="bottom"/>
            <w:hideMark/>
          </w:tcPr>
          <w:p w14:paraId="52387B0D"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BD57E8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8650FD0" w14:textId="77777777" w:rsidR="00000000" w:rsidRDefault="00195E73">
            <w:pPr>
              <w:jc w:val="right"/>
              <w:rPr>
                <w:rFonts w:eastAsia="Times New Roman"/>
              </w:rPr>
            </w:pPr>
            <w:r>
              <w:rPr>
                <w:rFonts w:eastAsia="Times New Roman"/>
                <w:color w:val="000000"/>
                <w:sz w:val="20"/>
                <w:szCs w:val="20"/>
              </w:rPr>
              <w:t>(1,098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81C6C9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57DAD87"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176C60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4978D94" w14:textId="77777777" w:rsidR="00000000" w:rsidRDefault="00195E73">
            <w:pPr>
              <w:jc w:val="right"/>
              <w:rPr>
                <w:rFonts w:eastAsia="Times New Roman"/>
              </w:rPr>
            </w:pPr>
            <w:r>
              <w:rPr>
                <w:rFonts w:eastAsia="Times New Roman"/>
                <w:color w:val="000000"/>
                <w:sz w:val="20"/>
                <w:szCs w:val="20"/>
              </w:rPr>
              <w:t>1,482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51F1F7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607C524"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322E1E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C411D01" w14:textId="77777777" w:rsidR="00000000" w:rsidRDefault="00195E73">
            <w:pPr>
              <w:jc w:val="right"/>
              <w:rPr>
                <w:rFonts w:eastAsia="Times New Roman"/>
              </w:rPr>
            </w:pPr>
            <w:r>
              <w:rPr>
                <w:rFonts w:eastAsia="Times New Roman"/>
                <w:color w:val="000000"/>
                <w:sz w:val="20"/>
                <w:szCs w:val="20"/>
              </w:rPr>
              <w:t>2,454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902912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2872ADC" w14:textId="77777777" w:rsidR="00000000" w:rsidRDefault="00195E73">
            <w:pPr>
              <w:rPr>
                <w:rFonts w:eastAsia="Times New Roman"/>
                <w:sz w:val="20"/>
                <w:szCs w:val="20"/>
              </w:rPr>
            </w:pPr>
          </w:p>
        </w:tc>
        <w:tc>
          <w:tcPr>
            <w:tcW w:w="0" w:type="auto"/>
            <w:vAlign w:val="center"/>
            <w:hideMark/>
          </w:tcPr>
          <w:p w14:paraId="6683FB68" w14:textId="77777777" w:rsidR="00000000" w:rsidRDefault="00195E73">
            <w:pPr>
              <w:rPr>
                <w:rFonts w:eastAsia="Times New Roman"/>
                <w:sz w:val="20"/>
                <w:szCs w:val="20"/>
              </w:rPr>
            </w:pPr>
          </w:p>
        </w:tc>
        <w:tc>
          <w:tcPr>
            <w:tcW w:w="0" w:type="auto"/>
            <w:vAlign w:val="center"/>
            <w:hideMark/>
          </w:tcPr>
          <w:p w14:paraId="7050BB8A" w14:textId="77777777" w:rsidR="00000000" w:rsidRDefault="00195E73">
            <w:pPr>
              <w:rPr>
                <w:rFonts w:eastAsia="Times New Roman"/>
                <w:sz w:val="20"/>
                <w:szCs w:val="20"/>
              </w:rPr>
            </w:pPr>
          </w:p>
        </w:tc>
        <w:tc>
          <w:tcPr>
            <w:tcW w:w="0" w:type="auto"/>
            <w:vAlign w:val="center"/>
            <w:hideMark/>
          </w:tcPr>
          <w:p w14:paraId="64379983" w14:textId="77777777" w:rsidR="00000000" w:rsidRDefault="00195E73">
            <w:pPr>
              <w:rPr>
                <w:rFonts w:eastAsia="Times New Roman"/>
                <w:sz w:val="20"/>
                <w:szCs w:val="20"/>
              </w:rPr>
            </w:pPr>
          </w:p>
        </w:tc>
        <w:tc>
          <w:tcPr>
            <w:tcW w:w="0" w:type="auto"/>
            <w:vAlign w:val="center"/>
            <w:hideMark/>
          </w:tcPr>
          <w:p w14:paraId="44092482" w14:textId="77777777" w:rsidR="00000000" w:rsidRDefault="00195E73">
            <w:pPr>
              <w:rPr>
                <w:rFonts w:eastAsia="Times New Roman"/>
                <w:sz w:val="20"/>
                <w:szCs w:val="20"/>
              </w:rPr>
            </w:pPr>
          </w:p>
        </w:tc>
        <w:tc>
          <w:tcPr>
            <w:tcW w:w="0" w:type="auto"/>
            <w:vAlign w:val="center"/>
            <w:hideMark/>
          </w:tcPr>
          <w:p w14:paraId="2DCA7AFA" w14:textId="77777777" w:rsidR="00000000" w:rsidRDefault="00195E73">
            <w:pPr>
              <w:rPr>
                <w:rFonts w:eastAsia="Times New Roman"/>
                <w:sz w:val="20"/>
                <w:szCs w:val="20"/>
              </w:rPr>
            </w:pPr>
          </w:p>
        </w:tc>
        <w:tc>
          <w:tcPr>
            <w:tcW w:w="0" w:type="auto"/>
            <w:vAlign w:val="center"/>
            <w:hideMark/>
          </w:tcPr>
          <w:p w14:paraId="4BDC83F0" w14:textId="77777777" w:rsidR="00000000" w:rsidRDefault="00195E73">
            <w:pPr>
              <w:rPr>
                <w:rFonts w:eastAsia="Times New Roman"/>
                <w:sz w:val="20"/>
                <w:szCs w:val="20"/>
              </w:rPr>
            </w:pPr>
          </w:p>
        </w:tc>
        <w:tc>
          <w:tcPr>
            <w:tcW w:w="0" w:type="auto"/>
            <w:vAlign w:val="center"/>
            <w:hideMark/>
          </w:tcPr>
          <w:p w14:paraId="65BE7417" w14:textId="77777777" w:rsidR="00000000" w:rsidRDefault="00195E73">
            <w:pPr>
              <w:rPr>
                <w:rFonts w:eastAsia="Times New Roman"/>
                <w:sz w:val="20"/>
                <w:szCs w:val="20"/>
              </w:rPr>
            </w:pPr>
          </w:p>
        </w:tc>
        <w:tc>
          <w:tcPr>
            <w:tcW w:w="0" w:type="auto"/>
            <w:vAlign w:val="center"/>
            <w:hideMark/>
          </w:tcPr>
          <w:p w14:paraId="56787164" w14:textId="77777777" w:rsidR="00000000" w:rsidRDefault="00195E73">
            <w:pPr>
              <w:rPr>
                <w:rFonts w:eastAsia="Times New Roman"/>
                <w:sz w:val="20"/>
                <w:szCs w:val="20"/>
              </w:rPr>
            </w:pPr>
          </w:p>
        </w:tc>
        <w:tc>
          <w:tcPr>
            <w:tcW w:w="0" w:type="auto"/>
            <w:vAlign w:val="center"/>
            <w:hideMark/>
          </w:tcPr>
          <w:p w14:paraId="65A2FDC4" w14:textId="77777777" w:rsidR="00000000" w:rsidRDefault="00195E73">
            <w:pPr>
              <w:rPr>
                <w:rFonts w:eastAsia="Times New Roman"/>
                <w:sz w:val="20"/>
                <w:szCs w:val="20"/>
              </w:rPr>
            </w:pPr>
          </w:p>
        </w:tc>
        <w:tc>
          <w:tcPr>
            <w:tcW w:w="0" w:type="auto"/>
            <w:vAlign w:val="center"/>
            <w:hideMark/>
          </w:tcPr>
          <w:p w14:paraId="38EE2C62" w14:textId="77777777" w:rsidR="00000000" w:rsidRDefault="00195E73">
            <w:pPr>
              <w:rPr>
                <w:rFonts w:eastAsia="Times New Roman"/>
                <w:sz w:val="20"/>
                <w:szCs w:val="20"/>
              </w:rPr>
            </w:pPr>
          </w:p>
        </w:tc>
        <w:tc>
          <w:tcPr>
            <w:tcW w:w="0" w:type="auto"/>
            <w:vAlign w:val="center"/>
            <w:hideMark/>
          </w:tcPr>
          <w:p w14:paraId="24297FD3" w14:textId="77777777" w:rsidR="00000000" w:rsidRDefault="00195E73">
            <w:pPr>
              <w:rPr>
                <w:rFonts w:eastAsia="Times New Roman"/>
                <w:sz w:val="20"/>
                <w:szCs w:val="20"/>
              </w:rPr>
            </w:pPr>
          </w:p>
        </w:tc>
      </w:tr>
      <w:tr w:rsidR="00000000" w14:paraId="7F5FD795"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57A0B9CC" w14:textId="77777777" w:rsidR="00000000" w:rsidRDefault="00195E73">
            <w:pPr>
              <w:rPr>
                <w:rFonts w:eastAsia="Times New Roman"/>
              </w:rPr>
            </w:pPr>
            <w:r>
              <w:rPr>
                <w:rFonts w:eastAsia="Times New Roman"/>
                <w:color w:val="000000"/>
                <w:sz w:val="20"/>
                <w:szCs w:val="20"/>
              </w:rPr>
              <w:t>Basic and diluted (loss) income per LP unit</w:t>
            </w:r>
            <w:r>
              <w:rPr>
                <w:rFonts w:eastAsia="Times New Roman"/>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4C049F99"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86B9E46"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3A3E0A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0ED94B2"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756E5571" w14:textId="77777777" w:rsidR="00000000" w:rsidRDefault="00195E73">
            <w:pPr>
              <w:rPr>
                <w:rFonts w:eastAsia="Times New Roman"/>
                <w:sz w:val="20"/>
                <w:szCs w:val="20"/>
              </w:rPr>
            </w:pPr>
          </w:p>
        </w:tc>
        <w:tc>
          <w:tcPr>
            <w:tcW w:w="0" w:type="auto"/>
            <w:vAlign w:val="center"/>
            <w:hideMark/>
          </w:tcPr>
          <w:p w14:paraId="24D0B5A8" w14:textId="77777777" w:rsidR="00000000" w:rsidRDefault="00195E73">
            <w:pPr>
              <w:rPr>
                <w:rFonts w:eastAsia="Times New Roman"/>
                <w:sz w:val="20"/>
                <w:szCs w:val="20"/>
              </w:rPr>
            </w:pPr>
          </w:p>
        </w:tc>
        <w:tc>
          <w:tcPr>
            <w:tcW w:w="0" w:type="auto"/>
            <w:vAlign w:val="center"/>
            <w:hideMark/>
          </w:tcPr>
          <w:p w14:paraId="75D5AD31" w14:textId="77777777" w:rsidR="00000000" w:rsidRDefault="00195E73">
            <w:pPr>
              <w:rPr>
                <w:rFonts w:eastAsia="Times New Roman"/>
                <w:sz w:val="20"/>
                <w:szCs w:val="20"/>
              </w:rPr>
            </w:pPr>
          </w:p>
        </w:tc>
        <w:tc>
          <w:tcPr>
            <w:tcW w:w="0" w:type="auto"/>
            <w:vAlign w:val="center"/>
            <w:hideMark/>
          </w:tcPr>
          <w:p w14:paraId="216235BA" w14:textId="77777777" w:rsidR="00000000" w:rsidRDefault="00195E73">
            <w:pPr>
              <w:rPr>
                <w:rFonts w:eastAsia="Times New Roman"/>
                <w:sz w:val="20"/>
                <w:szCs w:val="20"/>
              </w:rPr>
            </w:pPr>
          </w:p>
        </w:tc>
        <w:tc>
          <w:tcPr>
            <w:tcW w:w="0" w:type="auto"/>
            <w:vAlign w:val="center"/>
            <w:hideMark/>
          </w:tcPr>
          <w:p w14:paraId="4FB3DD09" w14:textId="77777777" w:rsidR="00000000" w:rsidRDefault="00195E73">
            <w:pPr>
              <w:rPr>
                <w:rFonts w:eastAsia="Times New Roman"/>
                <w:sz w:val="20"/>
                <w:szCs w:val="20"/>
              </w:rPr>
            </w:pPr>
          </w:p>
        </w:tc>
        <w:tc>
          <w:tcPr>
            <w:tcW w:w="0" w:type="auto"/>
            <w:vAlign w:val="center"/>
            <w:hideMark/>
          </w:tcPr>
          <w:p w14:paraId="42339283" w14:textId="77777777" w:rsidR="00000000" w:rsidRDefault="00195E73">
            <w:pPr>
              <w:rPr>
                <w:rFonts w:eastAsia="Times New Roman"/>
                <w:sz w:val="20"/>
                <w:szCs w:val="20"/>
              </w:rPr>
            </w:pPr>
          </w:p>
        </w:tc>
        <w:tc>
          <w:tcPr>
            <w:tcW w:w="0" w:type="auto"/>
            <w:vAlign w:val="center"/>
            <w:hideMark/>
          </w:tcPr>
          <w:p w14:paraId="4F88892D" w14:textId="77777777" w:rsidR="00000000" w:rsidRDefault="00195E73">
            <w:pPr>
              <w:rPr>
                <w:rFonts w:eastAsia="Times New Roman"/>
                <w:sz w:val="20"/>
                <w:szCs w:val="20"/>
              </w:rPr>
            </w:pPr>
          </w:p>
        </w:tc>
        <w:tc>
          <w:tcPr>
            <w:tcW w:w="0" w:type="auto"/>
            <w:vAlign w:val="center"/>
            <w:hideMark/>
          </w:tcPr>
          <w:p w14:paraId="4403582B" w14:textId="77777777" w:rsidR="00000000" w:rsidRDefault="00195E73">
            <w:pPr>
              <w:rPr>
                <w:rFonts w:eastAsia="Times New Roman"/>
                <w:sz w:val="20"/>
                <w:szCs w:val="20"/>
              </w:rPr>
            </w:pPr>
          </w:p>
        </w:tc>
        <w:tc>
          <w:tcPr>
            <w:tcW w:w="0" w:type="auto"/>
            <w:vAlign w:val="center"/>
            <w:hideMark/>
          </w:tcPr>
          <w:p w14:paraId="4F5A34C6" w14:textId="77777777" w:rsidR="00000000" w:rsidRDefault="00195E73">
            <w:pPr>
              <w:rPr>
                <w:rFonts w:eastAsia="Times New Roman"/>
                <w:sz w:val="20"/>
                <w:szCs w:val="20"/>
              </w:rPr>
            </w:pPr>
          </w:p>
        </w:tc>
        <w:tc>
          <w:tcPr>
            <w:tcW w:w="0" w:type="auto"/>
            <w:vAlign w:val="center"/>
            <w:hideMark/>
          </w:tcPr>
          <w:p w14:paraId="52A770E3" w14:textId="77777777" w:rsidR="00000000" w:rsidRDefault="00195E73">
            <w:pPr>
              <w:rPr>
                <w:rFonts w:eastAsia="Times New Roman"/>
                <w:sz w:val="20"/>
                <w:szCs w:val="20"/>
              </w:rPr>
            </w:pPr>
          </w:p>
        </w:tc>
        <w:tc>
          <w:tcPr>
            <w:tcW w:w="0" w:type="auto"/>
            <w:vAlign w:val="center"/>
            <w:hideMark/>
          </w:tcPr>
          <w:p w14:paraId="7CA28FF3" w14:textId="77777777" w:rsidR="00000000" w:rsidRDefault="00195E73">
            <w:pPr>
              <w:rPr>
                <w:rFonts w:eastAsia="Times New Roman"/>
                <w:sz w:val="20"/>
                <w:szCs w:val="20"/>
              </w:rPr>
            </w:pPr>
          </w:p>
        </w:tc>
        <w:tc>
          <w:tcPr>
            <w:tcW w:w="0" w:type="auto"/>
            <w:vAlign w:val="center"/>
            <w:hideMark/>
          </w:tcPr>
          <w:p w14:paraId="0379552B" w14:textId="77777777" w:rsidR="00000000" w:rsidRDefault="00195E73">
            <w:pPr>
              <w:rPr>
                <w:rFonts w:eastAsia="Times New Roman"/>
                <w:sz w:val="20"/>
                <w:szCs w:val="20"/>
              </w:rPr>
            </w:pPr>
          </w:p>
        </w:tc>
        <w:tc>
          <w:tcPr>
            <w:tcW w:w="0" w:type="auto"/>
            <w:vAlign w:val="center"/>
            <w:hideMark/>
          </w:tcPr>
          <w:p w14:paraId="60C4F7B5" w14:textId="77777777" w:rsidR="00000000" w:rsidRDefault="00195E73">
            <w:pPr>
              <w:rPr>
                <w:rFonts w:eastAsia="Times New Roman"/>
                <w:sz w:val="20"/>
                <w:szCs w:val="20"/>
              </w:rPr>
            </w:pPr>
          </w:p>
        </w:tc>
      </w:tr>
      <w:tr w:rsidR="00000000" w14:paraId="6A3DF8A2" w14:textId="77777777">
        <w:trPr>
          <w:divId w:val="1384790163"/>
          <w:jc w:val="center"/>
        </w:trPr>
        <w:tc>
          <w:tcPr>
            <w:tcW w:w="0" w:type="auto"/>
            <w:gridSpan w:val="3"/>
            <w:shd w:val="clear" w:color="auto" w:fill="CCEEFF"/>
            <w:tcMar>
              <w:top w:w="30" w:type="dxa"/>
              <w:left w:w="20" w:type="dxa"/>
              <w:bottom w:w="30" w:type="dxa"/>
              <w:right w:w="20" w:type="dxa"/>
            </w:tcMar>
            <w:vAlign w:val="bottom"/>
            <w:hideMark/>
          </w:tcPr>
          <w:p w14:paraId="1ADE607F" w14:textId="77777777" w:rsidR="00000000" w:rsidRDefault="00195E73">
            <w:pPr>
              <w:rPr>
                <w:rFonts w:eastAsia="Times New Roman"/>
              </w:rPr>
            </w:pPr>
            <w:r>
              <w:rPr>
                <w:rFonts w:eastAsia="Times New Roman"/>
                <w:color w:val="000000"/>
                <w:sz w:val="20"/>
                <w:szCs w:val="20"/>
              </w:rPr>
              <w:t>   Continuing operation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6028BB3B"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5A3B122" w14:textId="77777777" w:rsidR="00000000" w:rsidRDefault="00195E73">
            <w:pPr>
              <w:jc w:val="right"/>
              <w:rPr>
                <w:rFonts w:eastAsia="Times New Roman"/>
              </w:rPr>
            </w:pPr>
            <w:r>
              <w:rPr>
                <w:rFonts w:eastAsia="Times New Roman"/>
                <w:color w:val="000000"/>
                <w:sz w:val="20"/>
                <w:szCs w:val="20"/>
              </w:rPr>
              <w:t>(5.23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3CF320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BE233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F5A8A97"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F839BF2" w14:textId="77777777" w:rsidR="00000000" w:rsidRDefault="00195E73">
            <w:pPr>
              <w:jc w:val="right"/>
              <w:rPr>
                <w:rFonts w:eastAsia="Times New Roman"/>
              </w:rPr>
            </w:pPr>
            <w:r>
              <w:rPr>
                <w:rFonts w:eastAsia="Times New Roman"/>
                <w:color w:val="000000"/>
                <w:sz w:val="20"/>
                <w:szCs w:val="20"/>
              </w:rPr>
              <w:t>(1.29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7026BA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E7DBB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3E5390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BCA7054" w14:textId="77777777" w:rsidR="00000000" w:rsidRDefault="00195E73">
            <w:pPr>
              <w:jc w:val="right"/>
              <w:rPr>
                <w:rFonts w:eastAsia="Times New Roman"/>
              </w:rPr>
            </w:pPr>
            <w:r>
              <w:rPr>
                <w:rFonts w:eastAsia="Times New Roman"/>
                <w:color w:val="000000"/>
                <w:sz w:val="20"/>
                <w:szCs w:val="20"/>
              </w:rPr>
              <w:t>13.98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04420C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0AB53F5" w14:textId="77777777" w:rsidR="00000000" w:rsidRDefault="00195E73">
            <w:pPr>
              <w:rPr>
                <w:rFonts w:eastAsia="Times New Roman"/>
                <w:sz w:val="20"/>
                <w:szCs w:val="20"/>
              </w:rPr>
            </w:pPr>
          </w:p>
        </w:tc>
        <w:tc>
          <w:tcPr>
            <w:tcW w:w="0" w:type="auto"/>
            <w:vAlign w:val="center"/>
            <w:hideMark/>
          </w:tcPr>
          <w:p w14:paraId="37C09EAB" w14:textId="77777777" w:rsidR="00000000" w:rsidRDefault="00195E73">
            <w:pPr>
              <w:rPr>
                <w:rFonts w:eastAsia="Times New Roman"/>
                <w:sz w:val="20"/>
                <w:szCs w:val="20"/>
              </w:rPr>
            </w:pPr>
          </w:p>
        </w:tc>
        <w:tc>
          <w:tcPr>
            <w:tcW w:w="0" w:type="auto"/>
            <w:vAlign w:val="center"/>
            <w:hideMark/>
          </w:tcPr>
          <w:p w14:paraId="7393D697" w14:textId="77777777" w:rsidR="00000000" w:rsidRDefault="00195E73">
            <w:pPr>
              <w:rPr>
                <w:rFonts w:eastAsia="Times New Roman"/>
                <w:sz w:val="20"/>
                <w:szCs w:val="20"/>
              </w:rPr>
            </w:pPr>
          </w:p>
        </w:tc>
        <w:tc>
          <w:tcPr>
            <w:tcW w:w="0" w:type="auto"/>
            <w:vAlign w:val="center"/>
            <w:hideMark/>
          </w:tcPr>
          <w:p w14:paraId="099C6235" w14:textId="77777777" w:rsidR="00000000" w:rsidRDefault="00195E73">
            <w:pPr>
              <w:rPr>
                <w:rFonts w:eastAsia="Times New Roman"/>
                <w:sz w:val="20"/>
                <w:szCs w:val="20"/>
              </w:rPr>
            </w:pPr>
          </w:p>
        </w:tc>
        <w:tc>
          <w:tcPr>
            <w:tcW w:w="0" w:type="auto"/>
            <w:vAlign w:val="center"/>
            <w:hideMark/>
          </w:tcPr>
          <w:p w14:paraId="4F704EC4" w14:textId="77777777" w:rsidR="00000000" w:rsidRDefault="00195E73">
            <w:pPr>
              <w:rPr>
                <w:rFonts w:eastAsia="Times New Roman"/>
                <w:sz w:val="20"/>
                <w:szCs w:val="20"/>
              </w:rPr>
            </w:pPr>
          </w:p>
        </w:tc>
        <w:tc>
          <w:tcPr>
            <w:tcW w:w="0" w:type="auto"/>
            <w:vAlign w:val="center"/>
            <w:hideMark/>
          </w:tcPr>
          <w:p w14:paraId="228A81EF" w14:textId="77777777" w:rsidR="00000000" w:rsidRDefault="00195E73">
            <w:pPr>
              <w:rPr>
                <w:rFonts w:eastAsia="Times New Roman"/>
                <w:sz w:val="20"/>
                <w:szCs w:val="20"/>
              </w:rPr>
            </w:pPr>
          </w:p>
        </w:tc>
        <w:tc>
          <w:tcPr>
            <w:tcW w:w="0" w:type="auto"/>
            <w:vAlign w:val="center"/>
            <w:hideMark/>
          </w:tcPr>
          <w:p w14:paraId="36A7614D" w14:textId="77777777" w:rsidR="00000000" w:rsidRDefault="00195E73">
            <w:pPr>
              <w:rPr>
                <w:rFonts w:eastAsia="Times New Roman"/>
                <w:sz w:val="20"/>
                <w:szCs w:val="20"/>
              </w:rPr>
            </w:pPr>
          </w:p>
        </w:tc>
        <w:tc>
          <w:tcPr>
            <w:tcW w:w="0" w:type="auto"/>
            <w:vAlign w:val="center"/>
            <w:hideMark/>
          </w:tcPr>
          <w:p w14:paraId="4E4C98A5" w14:textId="77777777" w:rsidR="00000000" w:rsidRDefault="00195E73">
            <w:pPr>
              <w:rPr>
                <w:rFonts w:eastAsia="Times New Roman"/>
                <w:sz w:val="20"/>
                <w:szCs w:val="20"/>
              </w:rPr>
            </w:pPr>
          </w:p>
        </w:tc>
        <w:tc>
          <w:tcPr>
            <w:tcW w:w="0" w:type="auto"/>
            <w:vAlign w:val="center"/>
            <w:hideMark/>
          </w:tcPr>
          <w:p w14:paraId="6B88CB54" w14:textId="77777777" w:rsidR="00000000" w:rsidRDefault="00195E73">
            <w:pPr>
              <w:rPr>
                <w:rFonts w:eastAsia="Times New Roman"/>
                <w:sz w:val="20"/>
                <w:szCs w:val="20"/>
              </w:rPr>
            </w:pPr>
          </w:p>
        </w:tc>
        <w:tc>
          <w:tcPr>
            <w:tcW w:w="0" w:type="auto"/>
            <w:vAlign w:val="center"/>
            <w:hideMark/>
          </w:tcPr>
          <w:p w14:paraId="79ED4A1A" w14:textId="77777777" w:rsidR="00000000" w:rsidRDefault="00195E73">
            <w:pPr>
              <w:rPr>
                <w:rFonts w:eastAsia="Times New Roman"/>
                <w:sz w:val="20"/>
                <w:szCs w:val="20"/>
              </w:rPr>
            </w:pPr>
          </w:p>
        </w:tc>
        <w:tc>
          <w:tcPr>
            <w:tcW w:w="0" w:type="auto"/>
            <w:vAlign w:val="center"/>
            <w:hideMark/>
          </w:tcPr>
          <w:p w14:paraId="1F40B990" w14:textId="77777777" w:rsidR="00000000" w:rsidRDefault="00195E73">
            <w:pPr>
              <w:rPr>
                <w:rFonts w:eastAsia="Times New Roman"/>
                <w:sz w:val="20"/>
                <w:szCs w:val="20"/>
              </w:rPr>
            </w:pPr>
          </w:p>
        </w:tc>
        <w:tc>
          <w:tcPr>
            <w:tcW w:w="0" w:type="auto"/>
            <w:vAlign w:val="center"/>
            <w:hideMark/>
          </w:tcPr>
          <w:p w14:paraId="111B955E" w14:textId="77777777" w:rsidR="00000000" w:rsidRDefault="00195E73">
            <w:pPr>
              <w:rPr>
                <w:rFonts w:eastAsia="Times New Roman"/>
                <w:sz w:val="20"/>
                <w:szCs w:val="20"/>
              </w:rPr>
            </w:pPr>
          </w:p>
        </w:tc>
      </w:tr>
      <w:tr w:rsidR="00000000" w14:paraId="3C9AB7E7"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6678559C"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Discontinued operation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1793E0E" w14:textId="77777777" w:rsidR="00000000" w:rsidRDefault="00195E73">
            <w:pPr>
              <w:jc w:val="right"/>
              <w:rPr>
                <w:rFonts w:eastAsia="Times New Roman"/>
              </w:rPr>
            </w:pPr>
            <w:r>
              <w:rPr>
                <w:rFonts w:eastAsia="Times New Roman"/>
                <w:color w:val="000000"/>
                <w:sz w:val="20"/>
                <w:szCs w:val="20"/>
              </w:rPr>
              <w:t>(0.15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34E66A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1C48D5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6E8AA3" w14:textId="77777777" w:rsidR="00000000" w:rsidRDefault="00195E73">
            <w:pPr>
              <w:jc w:val="right"/>
              <w:rPr>
                <w:rFonts w:eastAsia="Times New Roman"/>
              </w:rPr>
            </w:pPr>
            <w:r>
              <w:rPr>
                <w:rFonts w:eastAsia="Times New Roman"/>
                <w:color w:val="000000"/>
                <w:sz w:val="20"/>
                <w:szCs w:val="20"/>
              </w:rPr>
              <w:t>12.62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7C94EC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0DF1D2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6E2F3E" w14:textId="77777777" w:rsidR="00000000" w:rsidRDefault="00195E73">
            <w:pPr>
              <w:jc w:val="right"/>
              <w:rPr>
                <w:rFonts w:eastAsia="Times New Roman"/>
              </w:rPr>
            </w:pPr>
            <w:r>
              <w:rPr>
                <w:rFonts w:eastAsia="Times New Roman"/>
                <w:color w:val="000000"/>
                <w:sz w:val="20"/>
                <w:szCs w:val="20"/>
              </w:rPr>
              <w:t>0.96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01741D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7462A5B" w14:textId="77777777" w:rsidR="00000000" w:rsidRDefault="00195E73">
            <w:pPr>
              <w:rPr>
                <w:rFonts w:eastAsia="Times New Roman"/>
                <w:sz w:val="20"/>
                <w:szCs w:val="20"/>
              </w:rPr>
            </w:pPr>
          </w:p>
        </w:tc>
        <w:tc>
          <w:tcPr>
            <w:tcW w:w="0" w:type="auto"/>
            <w:vAlign w:val="center"/>
            <w:hideMark/>
          </w:tcPr>
          <w:p w14:paraId="29D39696" w14:textId="77777777" w:rsidR="00000000" w:rsidRDefault="00195E73">
            <w:pPr>
              <w:rPr>
                <w:rFonts w:eastAsia="Times New Roman"/>
                <w:sz w:val="20"/>
                <w:szCs w:val="20"/>
              </w:rPr>
            </w:pPr>
          </w:p>
        </w:tc>
        <w:tc>
          <w:tcPr>
            <w:tcW w:w="0" w:type="auto"/>
            <w:vAlign w:val="center"/>
            <w:hideMark/>
          </w:tcPr>
          <w:p w14:paraId="3544D4CE" w14:textId="77777777" w:rsidR="00000000" w:rsidRDefault="00195E73">
            <w:pPr>
              <w:rPr>
                <w:rFonts w:eastAsia="Times New Roman"/>
                <w:sz w:val="20"/>
                <w:szCs w:val="20"/>
              </w:rPr>
            </w:pPr>
          </w:p>
        </w:tc>
        <w:tc>
          <w:tcPr>
            <w:tcW w:w="0" w:type="auto"/>
            <w:vAlign w:val="center"/>
            <w:hideMark/>
          </w:tcPr>
          <w:p w14:paraId="2CA4B449" w14:textId="77777777" w:rsidR="00000000" w:rsidRDefault="00195E73">
            <w:pPr>
              <w:rPr>
                <w:rFonts w:eastAsia="Times New Roman"/>
                <w:sz w:val="20"/>
                <w:szCs w:val="20"/>
              </w:rPr>
            </w:pPr>
          </w:p>
        </w:tc>
        <w:tc>
          <w:tcPr>
            <w:tcW w:w="0" w:type="auto"/>
            <w:vAlign w:val="center"/>
            <w:hideMark/>
          </w:tcPr>
          <w:p w14:paraId="45A51901" w14:textId="77777777" w:rsidR="00000000" w:rsidRDefault="00195E73">
            <w:pPr>
              <w:rPr>
                <w:rFonts w:eastAsia="Times New Roman"/>
                <w:sz w:val="20"/>
                <w:szCs w:val="20"/>
              </w:rPr>
            </w:pPr>
          </w:p>
        </w:tc>
        <w:tc>
          <w:tcPr>
            <w:tcW w:w="0" w:type="auto"/>
            <w:vAlign w:val="center"/>
            <w:hideMark/>
          </w:tcPr>
          <w:p w14:paraId="69BD15F3" w14:textId="77777777" w:rsidR="00000000" w:rsidRDefault="00195E73">
            <w:pPr>
              <w:rPr>
                <w:rFonts w:eastAsia="Times New Roman"/>
                <w:sz w:val="20"/>
                <w:szCs w:val="20"/>
              </w:rPr>
            </w:pPr>
          </w:p>
        </w:tc>
        <w:tc>
          <w:tcPr>
            <w:tcW w:w="0" w:type="auto"/>
            <w:vAlign w:val="center"/>
            <w:hideMark/>
          </w:tcPr>
          <w:p w14:paraId="15FFFC46" w14:textId="77777777" w:rsidR="00000000" w:rsidRDefault="00195E73">
            <w:pPr>
              <w:rPr>
                <w:rFonts w:eastAsia="Times New Roman"/>
                <w:sz w:val="20"/>
                <w:szCs w:val="20"/>
              </w:rPr>
            </w:pPr>
          </w:p>
        </w:tc>
        <w:tc>
          <w:tcPr>
            <w:tcW w:w="0" w:type="auto"/>
            <w:vAlign w:val="center"/>
            <w:hideMark/>
          </w:tcPr>
          <w:p w14:paraId="187DB99C" w14:textId="77777777" w:rsidR="00000000" w:rsidRDefault="00195E73">
            <w:pPr>
              <w:rPr>
                <w:rFonts w:eastAsia="Times New Roman"/>
                <w:sz w:val="20"/>
                <w:szCs w:val="20"/>
              </w:rPr>
            </w:pPr>
          </w:p>
        </w:tc>
        <w:tc>
          <w:tcPr>
            <w:tcW w:w="0" w:type="auto"/>
            <w:vAlign w:val="center"/>
            <w:hideMark/>
          </w:tcPr>
          <w:p w14:paraId="2A4667A5" w14:textId="77777777" w:rsidR="00000000" w:rsidRDefault="00195E73">
            <w:pPr>
              <w:rPr>
                <w:rFonts w:eastAsia="Times New Roman"/>
                <w:sz w:val="20"/>
                <w:szCs w:val="20"/>
              </w:rPr>
            </w:pPr>
          </w:p>
        </w:tc>
        <w:tc>
          <w:tcPr>
            <w:tcW w:w="0" w:type="auto"/>
            <w:vAlign w:val="center"/>
            <w:hideMark/>
          </w:tcPr>
          <w:p w14:paraId="6A02F3D7" w14:textId="77777777" w:rsidR="00000000" w:rsidRDefault="00195E73">
            <w:pPr>
              <w:rPr>
                <w:rFonts w:eastAsia="Times New Roman"/>
                <w:sz w:val="20"/>
                <w:szCs w:val="20"/>
              </w:rPr>
            </w:pPr>
          </w:p>
        </w:tc>
        <w:tc>
          <w:tcPr>
            <w:tcW w:w="0" w:type="auto"/>
            <w:vAlign w:val="center"/>
            <w:hideMark/>
          </w:tcPr>
          <w:p w14:paraId="0E516337" w14:textId="77777777" w:rsidR="00000000" w:rsidRDefault="00195E73">
            <w:pPr>
              <w:rPr>
                <w:rFonts w:eastAsia="Times New Roman"/>
                <w:sz w:val="20"/>
                <w:szCs w:val="20"/>
              </w:rPr>
            </w:pPr>
          </w:p>
        </w:tc>
        <w:tc>
          <w:tcPr>
            <w:tcW w:w="0" w:type="auto"/>
            <w:vAlign w:val="center"/>
            <w:hideMark/>
          </w:tcPr>
          <w:p w14:paraId="6357DBDE" w14:textId="77777777" w:rsidR="00000000" w:rsidRDefault="00195E73">
            <w:pPr>
              <w:rPr>
                <w:rFonts w:eastAsia="Times New Roman"/>
                <w:sz w:val="20"/>
                <w:szCs w:val="20"/>
              </w:rPr>
            </w:pPr>
          </w:p>
        </w:tc>
      </w:tr>
      <w:tr w:rsidR="00000000" w14:paraId="426EB062" w14:textId="77777777">
        <w:trPr>
          <w:divId w:val="1384790163"/>
          <w:jc w:val="center"/>
        </w:trPr>
        <w:tc>
          <w:tcPr>
            <w:tcW w:w="0" w:type="auto"/>
            <w:gridSpan w:val="3"/>
            <w:shd w:val="clear" w:color="auto" w:fill="CCEEFF"/>
            <w:tcMar>
              <w:top w:w="15" w:type="dxa"/>
              <w:left w:w="20" w:type="dxa"/>
              <w:bottom w:w="15" w:type="dxa"/>
              <w:right w:w="20" w:type="dxa"/>
            </w:tcMar>
            <w:vAlign w:val="bottom"/>
            <w:hideMark/>
          </w:tcPr>
          <w:p w14:paraId="168DF41C"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EDA8BD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132D33B" w14:textId="77777777" w:rsidR="00000000" w:rsidRDefault="00195E73">
            <w:pPr>
              <w:jc w:val="right"/>
              <w:rPr>
                <w:rFonts w:eastAsia="Times New Roman"/>
              </w:rPr>
            </w:pPr>
            <w:r>
              <w:rPr>
                <w:rFonts w:eastAsia="Times New Roman"/>
                <w:color w:val="000000"/>
                <w:sz w:val="20"/>
                <w:szCs w:val="20"/>
              </w:rPr>
              <w:t>(5.38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5DE2D0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772B1BA"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618EA6C"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4E61C1F" w14:textId="77777777" w:rsidR="00000000" w:rsidRDefault="00195E73">
            <w:pPr>
              <w:jc w:val="right"/>
              <w:rPr>
                <w:rFonts w:eastAsia="Times New Roman"/>
              </w:rPr>
            </w:pPr>
            <w:r>
              <w:rPr>
                <w:rFonts w:eastAsia="Times New Roman"/>
                <w:color w:val="000000"/>
                <w:sz w:val="20"/>
                <w:szCs w:val="20"/>
              </w:rPr>
              <w:t>11.33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AD19C3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661CFDB"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16FC60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80D8AC3" w14:textId="77777777" w:rsidR="00000000" w:rsidRDefault="00195E73">
            <w:pPr>
              <w:jc w:val="right"/>
              <w:rPr>
                <w:rFonts w:eastAsia="Times New Roman"/>
              </w:rPr>
            </w:pPr>
            <w:r>
              <w:rPr>
                <w:rFonts w:eastAsia="Times New Roman"/>
                <w:color w:val="000000"/>
                <w:sz w:val="20"/>
                <w:szCs w:val="20"/>
              </w:rPr>
              <w:t>14.94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A910A7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94C71B2" w14:textId="77777777" w:rsidR="00000000" w:rsidRDefault="00195E73">
            <w:pPr>
              <w:rPr>
                <w:rFonts w:eastAsia="Times New Roman"/>
                <w:sz w:val="20"/>
                <w:szCs w:val="20"/>
              </w:rPr>
            </w:pPr>
          </w:p>
        </w:tc>
        <w:tc>
          <w:tcPr>
            <w:tcW w:w="0" w:type="auto"/>
            <w:vAlign w:val="center"/>
            <w:hideMark/>
          </w:tcPr>
          <w:p w14:paraId="54B27F0C" w14:textId="77777777" w:rsidR="00000000" w:rsidRDefault="00195E73">
            <w:pPr>
              <w:rPr>
                <w:rFonts w:eastAsia="Times New Roman"/>
                <w:sz w:val="20"/>
                <w:szCs w:val="20"/>
              </w:rPr>
            </w:pPr>
          </w:p>
        </w:tc>
        <w:tc>
          <w:tcPr>
            <w:tcW w:w="0" w:type="auto"/>
            <w:vAlign w:val="center"/>
            <w:hideMark/>
          </w:tcPr>
          <w:p w14:paraId="5EC0D0D7" w14:textId="77777777" w:rsidR="00000000" w:rsidRDefault="00195E73">
            <w:pPr>
              <w:rPr>
                <w:rFonts w:eastAsia="Times New Roman"/>
                <w:sz w:val="20"/>
                <w:szCs w:val="20"/>
              </w:rPr>
            </w:pPr>
          </w:p>
        </w:tc>
        <w:tc>
          <w:tcPr>
            <w:tcW w:w="0" w:type="auto"/>
            <w:vAlign w:val="center"/>
            <w:hideMark/>
          </w:tcPr>
          <w:p w14:paraId="2618AE03" w14:textId="77777777" w:rsidR="00000000" w:rsidRDefault="00195E73">
            <w:pPr>
              <w:rPr>
                <w:rFonts w:eastAsia="Times New Roman"/>
                <w:sz w:val="20"/>
                <w:szCs w:val="20"/>
              </w:rPr>
            </w:pPr>
          </w:p>
        </w:tc>
        <w:tc>
          <w:tcPr>
            <w:tcW w:w="0" w:type="auto"/>
            <w:vAlign w:val="center"/>
            <w:hideMark/>
          </w:tcPr>
          <w:p w14:paraId="1BD85DC4" w14:textId="77777777" w:rsidR="00000000" w:rsidRDefault="00195E73">
            <w:pPr>
              <w:rPr>
                <w:rFonts w:eastAsia="Times New Roman"/>
                <w:sz w:val="20"/>
                <w:szCs w:val="20"/>
              </w:rPr>
            </w:pPr>
          </w:p>
        </w:tc>
        <w:tc>
          <w:tcPr>
            <w:tcW w:w="0" w:type="auto"/>
            <w:vAlign w:val="center"/>
            <w:hideMark/>
          </w:tcPr>
          <w:p w14:paraId="5691F647" w14:textId="77777777" w:rsidR="00000000" w:rsidRDefault="00195E73">
            <w:pPr>
              <w:rPr>
                <w:rFonts w:eastAsia="Times New Roman"/>
                <w:sz w:val="20"/>
                <w:szCs w:val="20"/>
              </w:rPr>
            </w:pPr>
          </w:p>
        </w:tc>
        <w:tc>
          <w:tcPr>
            <w:tcW w:w="0" w:type="auto"/>
            <w:vAlign w:val="center"/>
            <w:hideMark/>
          </w:tcPr>
          <w:p w14:paraId="38A1E5F9" w14:textId="77777777" w:rsidR="00000000" w:rsidRDefault="00195E73">
            <w:pPr>
              <w:rPr>
                <w:rFonts w:eastAsia="Times New Roman"/>
                <w:sz w:val="20"/>
                <w:szCs w:val="20"/>
              </w:rPr>
            </w:pPr>
          </w:p>
        </w:tc>
        <w:tc>
          <w:tcPr>
            <w:tcW w:w="0" w:type="auto"/>
            <w:vAlign w:val="center"/>
            <w:hideMark/>
          </w:tcPr>
          <w:p w14:paraId="360055AD" w14:textId="77777777" w:rsidR="00000000" w:rsidRDefault="00195E73">
            <w:pPr>
              <w:rPr>
                <w:rFonts w:eastAsia="Times New Roman"/>
                <w:sz w:val="20"/>
                <w:szCs w:val="20"/>
              </w:rPr>
            </w:pPr>
          </w:p>
        </w:tc>
        <w:tc>
          <w:tcPr>
            <w:tcW w:w="0" w:type="auto"/>
            <w:vAlign w:val="center"/>
            <w:hideMark/>
          </w:tcPr>
          <w:p w14:paraId="45E3ADFB" w14:textId="77777777" w:rsidR="00000000" w:rsidRDefault="00195E73">
            <w:pPr>
              <w:rPr>
                <w:rFonts w:eastAsia="Times New Roman"/>
                <w:sz w:val="20"/>
                <w:szCs w:val="20"/>
              </w:rPr>
            </w:pPr>
          </w:p>
        </w:tc>
        <w:tc>
          <w:tcPr>
            <w:tcW w:w="0" w:type="auto"/>
            <w:vAlign w:val="center"/>
            <w:hideMark/>
          </w:tcPr>
          <w:p w14:paraId="4A9651BF" w14:textId="77777777" w:rsidR="00000000" w:rsidRDefault="00195E73">
            <w:pPr>
              <w:rPr>
                <w:rFonts w:eastAsia="Times New Roman"/>
                <w:sz w:val="20"/>
                <w:szCs w:val="20"/>
              </w:rPr>
            </w:pPr>
          </w:p>
        </w:tc>
        <w:tc>
          <w:tcPr>
            <w:tcW w:w="0" w:type="auto"/>
            <w:vAlign w:val="center"/>
            <w:hideMark/>
          </w:tcPr>
          <w:p w14:paraId="03CAE4E2" w14:textId="77777777" w:rsidR="00000000" w:rsidRDefault="00195E73">
            <w:pPr>
              <w:rPr>
                <w:rFonts w:eastAsia="Times New Roman"/>
                <w:sz w:val="20"/>
                <w:szCs w:val="20"/>
              </w:rPr>
            </w:pPr>
          </w:p>
        </w:tc>
        <w:tc>
          <w:tcPr>
            <w:tcW w:w="0" w:type="auto"/>
            <w:vAlign w:val="center"/>
            <w:hideMark/>
          </w:tcPr>
          <w:p w14:paraId="19BB5313" w14:textId="77777777" w:rsidR="00000000" w:rsidRDefault="00195E73">
            <w:pPr>
              <w:rPr>
                <w:rFonts w:eastAsia="Times New Roman"/>
                <w:sz w:val="20"/>
                <w:szCs w:val="20"/>
              </w:rPr>
            </w:pPr>
          </w:p>
        </w:tc>
      </w:tr>
      <w:tr w:rsidR="00000000" w14:paraId="3951082C" w14:textId="77777777">
        <w:trPr>
          <w:divId w:val="1384790163"/>
          <w:jc w:val="center"/>
        </w:trPr>
        <w:tc>
          <w:tcPr>
            <w:tcW w:w="0" w:type="auto"/>
            <w:gridSpan w:val="3"/>
            <w:shd w:val="clear" w:color="auto" w:fill="FFFFFF"/>
            <w:tcMar>
              <w:top w:w="30" w:type="dxa"/>
              <w:left w:w="20" w:type="dxa"/>
              <w:bottom w:w="30" w:type="dxa"/>
              <w:right w:w="20" w:type="dxa"/>
            </w:tcMar>
            <w:vAlign w:val="bottom"/>
            <w:hideMark/>
          </w:tcPr>
          <w:p w14:paraId="2B716716" w14:textId="77777777" w:rsidR="00000000" w:rsidRDefault="00195E73">
            <w:pPr>
              <w:rPr>
                <w:rFonts w:eastAsia="Times New Roman"/>
              </w:rPr>
            </w:pPr>
            <w:r>
              <w:rPr>
                <w:rFonts w:eastAsia="Times New Roman"/>
                <w:color w:val="000000"/>
                <w:sz w:val="20"/>
                <w:szCs w:val="20"/>
              </w:rPr>
              <w:t>Basic and diluted weighted average LP units outstandin</w:t>
            </w:r>
            <w:r>
              <w:rPr>
                <w:rFonts w:eastAsia="Times New Roman"/>
                <w:color w:val="000000"/>
                <w:sz w:val="20"/>
                <w:szCs w:val="20"/>
              </w:rPr>
              <w:t>g</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88C7569" w14:textId="77777777" w:rsidR="00000000" w:rsidRDefault="00195E73">
            <w:pPr>
              <w:jc w:val="right"/>
              <w:rPr>
                <w:rFonts w:eastAsia="Times New Roman"/>
              </w:rPr>
            </w:pPr>
            <w:r>
              <w:rPr>
                <w:rFonts w:eastAsia="Times New Roman"/>
                <w:color w:val="000000"/>
                <w:sz w:val="20"/>
                <w:szCs w:val="20"/>
              </w:rPr>
              <w:t>200</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7F80FC6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5F2122" w14:textId="77777777" w:rsidR="00000000" w:rsidRDefault="00195E73">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686CD9F" w14:textId="77777777" w:rsidR="00000000" w:rsidRDefault="00195E73">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5C8B366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3B33854" w14:textId="77777777" w:rsidR="00000000" w:rsidRDefault="00195E73">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D84D4B7" w14:textId="77777777" w:rsidR="00000000" w:rsidRDefault="00195E73">
            <w:pPr>
              <w:jc w:val="right"/>
              <w:rPr>
                <w:rFonts w:eastAsia="Times New Roman"/>
              </w:rPr>
            </w:pPr>
            <w:r>
              <w:rPr>
                <w:rFonts w:eastAsia="Times New Roman"/>
                <w:color w:val="000000"/>
                <w:sz w:val="20"/>
                <w:szCs w:val="20"/>
              </w:rPr>
              <w:t>161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1BE1676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1484B5C" w14:textId="77777777" w:rsidR="00000000" w:rsidRDefault="00195E73">
            <w:pPr>
              <w:rPr>
                <w:rFonts w:eastAsia="Times New Roman"/>
                <w:sz w:val="20"/>
                <w:szCs w:val="20"/>
              </w:rPr>
            </w:pPr>
          </w:p>
        </w:tc>
        <w:tc>
          <w:tcPr>
            <w:tcW w:w="0" w:type="auto"/>
            <w:vAlign w:val="center"/>
            <w:hideMark/>
          </w:tcPr>
          <w:p w14:paraId="3D7FCEB5" w14:textId="77777777" w:rsidR="00000000" w:rsidRDefault="00195E73">
            <w:pPr>
              <w:rPr>
                <w:rFonts w:eastAsia="Times New Roman"/>
                <w:sz w:val="20"/>
                <w:szCs w:val="20"/>
              </w:rPr>
            </w:pPr>
          </w:p>
        </w:tc>
        <w:tc>
          <w:tcPr>
            <w:tcW w:w="0" w:type="auto"/>
            <w:vAlign w:val="center"/>
            <w:hideMark/>
          </w:tcPr>
          <w:p w14:paraId="6B29B7C3" w14:textId="77777777" w:rsidR="00000000" w:rsidRDefault="00195E73">
            <w:pPr>
              <w:rPr>
                <w:rFonts w:eastAsia="Times New Roman"/>
                <w:sz w:val="20"/>
                <w:szCs w:val="20"/>
              </w:rPr>
            </w:pPr>
          </w:p>
        </w:tc>
        <w:tc>
          <w:tcPr>
            <w:tcW w:w="0" w:type="auto"/>
            <w:vAlign w:val="center"/>
            <w:hideMark/>
          </w:tcPr>
          <w:p w14:paraId="3A7BB504" w14:textId="77777777" w:rsidR="00000000" w:rsidRDefault="00195E73">
            <w:pPr>
              <w:rPr>
                <w:rFonts w:eastAsia="Times New Roman"/>
                <w:sz w:val="20"/>
                <w:szCs w:val="20"/>
              </w:rPr>
            </w:pPr>
          </w:p>
        </w:tc>
        <w:tc>
          <w:tcPr>
            <w:tcW w:w="0" w:type="auto"/>
            <w:vAlign w:val="center"/>
            <w:hideMark/>
          </w:tcPr>
          <w:p w14:paraId="36DC39FD" w14:textId="77777777" w:rsidR="00000000" w:rsidRDefault="00195E73">
            <w:pPr>
              <w:rPr>
                <w:rFonts w:eastAsia="Times New Roman"/>
                <w:sz w:val="20"/>
                <w:szCs w:val="20"/>
              </w:rPr>
            </w:pPr>
          </w:p>
        </w:tc>
        <w:tc>
          <w:tcPr>
            <w:tcW w:w="0" w:type="auto"/>
            <w:vAlign w:val="center"/>
            <w:hideMark/>
          </w:tcPr>
          <w:p w14:paraId="39A96917" w14:textId="77777777" w:rsidR="00000000" w:rsidRDefault="00195E73">
            <w:pPr>
              <w:rPr>
                <w:rFonts w:eastAsia="Times New Roman"/>
                <w:sz w:val="20"/>
                <w:szCs w:val="20"/>
              </w:rPr>
            </w:pPr>
          </w:p>
        </w:tc>
        <w:tc>
          <w:tcPr>
            <w:tcW w:w="0" w:type="auto"/>
            <w:vAlign w:val="center"/>
            <w:hideMark/>
          </w:tcPr>
          <w:p w14:paraId="33316A74" w14:textId="77777777" w:rsidR="00000000" w:rsidRDefault="00195E73">
            <w:pPr>
              <w:rPr>
                <w:rFonts w:eastAsia="Times New Roman"/>
                <w:sz w:val="20"/>
                <w:szCs w:val="20"/>
              </w:rPr>
            </w:pPr>
          </w:p>
        </w:tc>
        <w:tc>
          <w:tcPr>
            <w:tcW w:w="0" w:type="auto"/>
            <w:vAlign w:val="center"/>
            <w:hideMark/>
          </w:tcPr>
          <w:p w14:paraId="09CDA87B" w14:textId="77777777" w:rsidR="00000000" w:rsidRDefault="00195E73">
            <w:pPr>
              <w:rPr>
                <w:rFonts w:eastAsia="Times New Roman"/>
                <w:sz w:val="20"/>
                <w:szCs w:val="20"/>
              </w:rPr>
            </w:pPr>
          </w:p>
        </w:tc>
        <w:tc>
          <w:tcPr>
            <w:tcW w:w="0" w:type="auto"/>
            <w:vAlign w:val="center"/>
            <w:hideMark/>
          </w:tcPr>
          <w:p w14:paraId="31C51CF9" w14:textId="77777777" w:rsidR="00000000" w:rsidRDefault="00195E73">
            <w:pPr>
              <w:rPr>
                <w:rFonts w:eastAsia="Times New Roman"/>
                <w:sz w:val="20"/>
                <w:szCs w:val="20"/>
              </w:rPr>
            </w:pPr>
          </w:p>
        </w:tc>
        <w:tc>
          <w:tcPr>
            <w:tcW w:w="0" w:type="auto"/>
            <w:vAlign w:val="center"/>
            <w:hideMark/>
          </w:tcPr>
          <w:p w14:paraId="71F54F53" w14:textId="77777777" w:rsidR="00000000" w:rsidRDefault="00195E73">
            <w:pPr>
              <w:rPr>
                <w:rFonts w:eastAsia="Times New Roman"/>
                <w:sz w:val="20"/>
                <w:szCs w:val="20"/>
              </w:rPr>
            </w:pPr>
          </w:p>
        </w:tc>
        <w:tc>
          <w:tcPr>
            <w:tcW w:w="0" w:type="auto"/>
            <w:vAlign w:val="center"/>
            <w:hideMark/>
          </w:tcPr>
          <w:p w14:paraId="6AF11F4E" w14:textId="77777777" w:rsidR="00000000" w:rsidRDefault="00195E73">
            <w:pPr>
              <w:rPr>
                <w:rFonts w:eastAsia="Times New Roman"/>
                <w:sz w:val="20"/>
                <w:szCs w:val="20"/>
              </w:rPr>
            </w:pPr>
          </w:p>
        </w:tc>
        <w:tc>
          <w:tcPr>
            <w:tcW w:w="0" w:type="auto"/>
            <w:vAlign w:val="center"/>
            <w:hideMark/>
          </w:tcPr>
          <w:p w14:paraId="3F4AF2CA" w14:textId="77777777" w:rsidR="00000000" w:rsidRDefault="00195E73">
            <w:pPr>
              <w:rPr>
                <w:rFonts w:eastAsia="Times New Roman"/>
                <w:sz w:val="20"/>
                <w:szCs w:val="20"/>
              </w:rPr>
            </w:pPr>
          </w:p>
        </w:tc>
      </w:tr>
      <w:tr w:rsidR="00000000" w14:paraId="0F6E122A" w14:textId="77777777">
        <w:trPr>
          <w:divId w:val="1384790163"/>
          <w:jc w:val="center"/>
        </w:trPr>
        <w:tc>
          <w:tcPr>
            <w:tcW w:w="0" w:type="auto"/>
            <w:gridSpan w:val="3"/>
            <w:shd w:val="clear" w:color="auto" w:fill="CCEEFF"/>
            <w:tcMar>
              <w:top w:w="30" w:type="dxa"/>
              <w:left w:w="20" w:type="dxa"/>
              <w:bottom w:w="30" w:type="dxa"/>
              <w:right w:w="20" w:type="dxa"/>
            </w:tcMar>
            <w:vAlign w:val="bottom"/>
            <w:hideMark/>
          </w:tcPr>
          <w:p w14:paraId="74B36330" w14:textId="77777777" w:rsidR="00000000" w:rsidRDefault="00195E73">
            <w:pPr>
              <w:rPr>
                <w:rFonts w:eastAsia="Times New Roman"/>
              </w:rPr>
            </w:pPr>
            <w:r>
              <w:rPr>
                <w:rFonts w:eastAsia="Times New Roman"/>
                <w:color w:val="000000"/>
                <w:sz w:val="20"/>
                <w:szCs w:val="20"/>
              </w:rPr>
              <w:t>Cash distributions declared per LP uni</w:t>
            </w:r>
            <w:r>
              <w:rPr>
                <w:rFonts w:eastAsia="Times New Roman"/>
                <w:color w:val="000000"/>
                <w:sz w:val="20"/>
                <w:szCs w:val="20"/>
              </w:rPr>
              <w:t>t</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20F11529"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5BC58EF3" w14:textId="77777777" w:rsidR="00000000" w:rsidRDefault="00195E73">
            <w:pPr>
              <w:jc w:val="right"/>
              <w:rPr>
                <w:rFonts w:eastAsia="Times New Roman"/>
              </w:rPr>
            </w:pPr>
            <w:r>
              <w:rPr>
                <w:rFonts w:eastAsia="Times New Roman"/>
                <w:color w:val="000000"/>
                <w:sz w:val="20"/>
                <w:szCs w:val="20"/>
              </w:rPr>
              <w:t>8.00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4509DDF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941BFA" w14:textId="77777777" w:rsidR="00000000" w:rsidRDefault="00195E73">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1B020CDB"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38B3E887" w14:textId="77777777" w:rsidR="00000000" w:rsidRDefault="00195E73">
            <w:pPr>
              <w:jc w:val="right"/>
              <w:rPr>
                <w:rFonts w:eastAsia="Times New Roman"/>
              </w:rPr>
            </w:pPr>
            <w:r>
              <w:rPr>
                <w:rFonts w:eastAsia="Times New Roman"/>
                <w:color w:val="000000"/>
                <w:sz w:val="20"/>
                <w:szCs w:val="20"/>
              </w:rPr>
              <w:t>7.00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68EC5B0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6C3F02" w14:textId="77777777" w:rsidR="00000000" w:rsidRDefault="00195E73">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29B9FD0E"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5F2DC6F2" w14:textId="77777777" w:rsidR="00000000" w:rsidRDefault="00195E73">
            <w:pPr>
              <w:jc w:val="right"/>
              <w:rPr>
                <w:rFonts w:eastAsia="Times New Roman"/>
              </w:rPr>
            </w:pPr>
            <w:r>
              <w:rPr>
                <w:rFonts w:eastAsia="Times New Roman"/>
                <w:color w:val="000000"/>
                <w:sz w:val="20"/>
                <w:szCs w:val="20"/>
              </w:rPr>
              <w:t>6.00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7A3608F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6036193" w14:textId="77777777" w:rsidR="00000000" w:rsidRDefault="00195E73">
            <w:pPr>
              <w:rPr>
                <w:rFonts w:eastAsia="Times New Roman"/>
                <w:sz w:val="20"/>
                <w:szCs w:val="20"/>
              </w:rPr>
            </w:pPr>
          </w:p>
        </w:tc>
        <w:tc>
          <w:tcPr>
            <w:tcW w:w="0" w:type="auto"/>
            <w:vAlign w:val="center"/>
            <w:hideMark/>
          </w:tcPr>
          <w:p w14:paraId="4AC2F687" w14:textId="77777777" w:rsidR="00000000" w:rsidRDefault="00195E73">
            <w:pPr>
              <w:rPr>
                <w:rFonts w:eastAsia="Times New Roman"/>
                <w:sz w:val="20"/>
                <w:szCs w:val="20"/>
              </w:rPr>
            </w:pPr>
          </w:p>
        </w:tc>
        <w:tc>
          <w:tcPr>
            <w:tcW w:w="0" w:type="auto"/>
            <w:vAlign w:val="center"/>
            <w:hideMark/>
          </w:tcPr>
          <w:p w14:paraId="347886BD" w14:textId="77777777" w:rsidR="00000000" w:rsidRDefault="00195E73">
            <w:pPr>
              <w:rPr>
                <w:rFonts w:eastAsia="Times New Roman"/>
                <w:sz w:val="20"/>
                <w:szCs w:val="20"/>
              </w:rPr>
            </w:pPr>
          </w:p>
        </w:tc>
        <w:tc>
          <w:tcPr>
            <w:tcW w:w="0" w:type="auto"/>
            <w:vAlign w:val="center"/>
            <w:hideMark/>
          </w:tcPr>
          <w:p w14:paraId="0ED5D781" w14:textId="77777777" w:rsidR="00000000" w:rsidRDefault="00195E73">
            <w:pPr>
              <w:rPr>
                <w:rFonts w:eastAsia="Times New Roman"/>
                <w:sz w:val="20"/>
                <w:szCs w:val="20"/>
              </w:rPr>
            </w:pPr>
          </w:p>
        </w:tc>
        <w:tc>
          <w:tcPr>
            <w:tcW w:w="0" w:type="auto"/>
            <w:vAlign w:val="center"/>
            <w:hideMark/>
          </w:tcPr>
          <w:p w14:paraId="3CB93758" w14:textId="77777777" w:rsidR="00000000" w:rsidRDefault="00195E73">
            <w:pPr>
              <w:rPr>
                <w:rFonts w:eastAsia="Times New Roman"/>
                <w:sz w:val="20"/>
                <w:szCs w:val="20"/>
              </w:rPr>
            </w:pPr>
          </w:p>
        </w:tc>
        <w:tc>
          <w:tcPr>
            <w:tcW w:w="0" w:type="auto"/>
            <w:vAlign w:val="center"/>
            <w:hideMark/>
          </w:tcPr>
          <w:p w14:paraId="288D0FC0" w14:textId="77777777" w:rsidR="00000000" w:rsidRDefault="00195E73">
            <w:pPr>
              <w:rPr>
                <w:rFonts w:eastAsia="Times New Roman"/>
                <w:sz w:val="20"/>
                <w:szCs w:val="20"/>
              </w:rPr>
            </w:pPr>
          </w:p>
        </w:tc>
        <w:tc>
          <w:tcPr>
            <w:tcW w:w="0" w:type="auto"/>
            <w:vAlign w:val="center"/>
            <w:hideMark/>
          </w:tcPr>
          <w:p w14:paraId="46A1F7FD" w14:textId="77777777" w:rsidR="00000000" w:rsidRDefault="00195E73">
            <w:pPr>
              <w:rPr>
                <w:rFonts w:eastAsia="Times New Roman"/>
                <w:sz w:val="20"/>
                <w:szCs w:val="20"/>
              </w:rPr>
            </w:pPr>
          </w:p>
        </w:tc>
        <w:tc>
          <w:tcPr>
            <w:tcW w:w="0" w:type="auto"/>
            <w:vAlign w:val="center"/>
            <w:hideMark/>
          </w:tcPr>
          <w:p w14:paraId="4EB38A70" w14:textId="77777777" w:rsidR="00000000" w:rsidRDefault="00195E73">
            <w:pPr>
              <w:rPr>
                <w:rFonts w:eastAsia="Times New Roman"/>
                <w:sz w:val="20"/>
                <w:szCs w:val="20"/>
              </w:rPr>
            </w:pPr>
          </w:p>
        </w:tc>
        <w:tc>
          <w:tcPr>
            <w:tcW w:w="0" w:type="auto"/>
            <w:vAlign w:val="center"/>
            <w:hideMark/>
          </w:tcPr>
          <w:p w14:paraId="58D2C93F" w14:textId="77777777" w:rsidR="00000000" w:rsidRDefault="00195E73">
            <w:pPr>
              <w:rPr>
                <w:rFonts w:eastAsia="Times New Roman"/>
                <w:sz w:val="20"/>
                <w:szCs w:val="20"/>
              </w:rPr>
            </w:pPr>
          </w:p>
        </w:tc>
        <w:tc>
          <w:tcPr>
            <w:tcW w:w="0" w:type="auto"/>
            <w:vAlign w:val="center"/>
            <w:hideMark/>
          </w:tcPr>
          <w:p w14:paraId="297F5892" w14:textId="77777777" w:rsidR="00000000" w:rsidRDefault="00195E73">
            <w:pPr>
              <w:rPr>
                <w:rFonts w:eastAsia="Times New Roman"/>
                <w:sz w:val="20"/>
                <w:szCs w:val="20"/>
              </w:rPr>
            </w:pPr>
          </w:p>
        </w:tc>
        <w:tc>
          <w:tcPr>
            <w:tcW w:w="0" w:type="auto"/>
            <w:vAlign w:val="center"/>
            <w:hideMark/>
          </w:tcPr>
          <w:p w14:paraId="157594FC" w14:textId="77777777" w:rsidR="00000000" w:rsidRDefault="00195E73">
            <w:pPr>
              <w:rPr>
                <w:rFonts w:eastAsia="Times New Roman"/>
                <w:sz w:val="20"/>
                <w:szCs w:val="20"/>
              </w:rPr>
            </w:pPr>
          </w:p>
        </w:tc>
        <w:tc>
          <w:tcPr>
            <w:tcW w:w="0" w:type="auto"/>
            <w:vAlign w:val="center"/>
            <w:hideMark/>
          </w:tcPr>
          <w:p w14:paraId="5AE14703" w14:textId="77777777" w:rsidR="00000000" w:rsidRDefault="00195E73">
            <w:pPr>
              <w:rPr>
                <w:rFonts w:eastAsia="Times New Roman"/>
                <w:sz w:val="20"/>
                <w:szCs w:val="20"/>
              </w:rPr>
            </w:pPr>
          </w:p>
        </w:tc>
      </w:tr>
    </w:tbl>
    <w:p w14:paraId="0CBB8118" w14:textId="77777777" w:rsidR="00000000" w:rsidRDefault="00195E73">
      <w:pPr>
        <w:jc w:val="center"/>
        <w:divId w:val="1989361944"/>
        <w:rPr>
          <w:rFonts w:eastAsia="Times New Roman"/>
        </w:rPr>
      </w:pPr>
    </w:p>
    <w:p w14:paraId="1054332A" w14:textId="77777777" w:rsidR="00000000" w:rsidRDefault="00195E73">
      <w:pPr>
        <w:jc w:val="center"/>
        <w:divId w:val="1270118323"/>
        <w:rPr>
          <w:rFonts w:eastAsia="Times New Roman"/>
        </w:rPr>
      </w:pPr>
      <w:r>
        <w:rPr>
          <w:rFonts w:eastAsia="Times New Roman"/>
          <w:i/>
          <w:iCs/>
          <w:color w:val="000000"/>
          <w:sz w:val="20"/>
          <w:szCs w:val="20"/>
        </w:rPr>
        <w:t>See notes to consolidated financial statements</w:t>
      </w:r>
      <w:r>
        <w:rPr>
          <w:rFonts w:eastAsia="Times New Roman"/>
          <w:i/>
          <w:iCs/>
          <w:color w:val="000000"/>
          <w:sz w:val="20"/>
          <w:szCs w:val="20"/>
        </w:rPr>
        <w:t>.</w:t>
      </w:r>
    </w:p>
    <w:p w14:paraId="093B83A4" w14:textId="77777777" w:rsidR="00000000" w:rsidRDefault="00195E73">
      <w:pPr>
        <w:jc w:val="center"/>
        <w:divId w:val="1073694865"/>
        <w:rPr>
          <w:rFonts w:eastAsia="Times New Roman"/>
        </w:rPr>
      </w:pPr>
      <w:r>
        <w:rPr>
          <w:rFonts w:eastAsia="Times New Roman"/>
          <w:color w:val="000000"/>
          <w:sz w:val="20"/>
          <w:szCs w:val="20"/>
        </w:rPr>
        <w:t>5</w:t>
      </w:r>
      <w:r>
        <w:rPr>
          <w:rFonts w:eastAsia="Times New Roman"/>
          <w:color w:val="000000"/>
          <w:sz w:val="20"/>
          <w:szCs w:val="20"/>
        </w:rPr>
        <w:t>5</w:t>
      </w:r>
    </w:p>
    <w:p w14:paraId="4B35D297" w14:textId="77777777" w:rsidR="00000000" w:rsidRDefault="00195E73">
      <w:pPr>
        <w:rPr>
          <w:rFonts w:eastAsia="Times New Roman"/>
        </w:rPr>
      </w:pPr>
      <w:r>
        <w:rPr>
          <w:rFonts w:eastAsia="Times New Roman"/>
        </w:rPr>
        <w:pict w14:anchorId="05993BD5">
          <v:rect id="_x0000_i1081" style="width:0;height:1.5pt" o:hralign="center" o:hrstd="t" o:hr="t" fillcolor="#a0a0a0" stroked="f"/>
        </w:pict>
      </w:r>
    </w:p>
    <w:p w14:paraId="6ADCC48B" w14:textId="77777777" w:rsidR="00000000" w:rsidRDefault="00195E73">
      <w:pPr>
        <w:divId w:val="75791001"/>
        <w:rPr>
          <w:rFonts w:eastAsia="Times New Roman"/>
        </w:rPr>
      </w:pPr>
    </w:p>
    <w:p w14:paraId="326CF299" w14:textId="77777777" w:rsidR="00000000" w:rsidRDefault="00195E73">
      <w:pPr>
        <w:jc w:val="center"/>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18A392DA" w14:textId="77777777" w:rsidR="00000000" w:rsidRDefault="00195E73">
      <w:pPr>
        <w:divId w:val="837812293"/>
        <w:rPr>
          <w:rFonts w:eastAsia="Times New Roman"/>
        </w:rPr>
      </w:pPr>
    </w:p>
    <w:p w14:paraId="564582AC" w14:textId="77777777" w:rsidR="00000000" w:rsidRDefault="00195E73">
      <w:pPr>
        <w:jc w:val="center"/>
        <w:rPr>
          <w:rFonts w:eastAsia="Times New Roman"/>
        </w:rPr>
      </w:pPr>
      <w:r>
        <w:rPr>
          <w:rFonts w:eastAsia="Times New Roman"/>
          <w:b/>
          <w:bCs/>
          <w:color w:val="000000"/>
          <w:sz w:val="20"/>
          <w:szCs w:val="20"/>
        </w:rPr>
        <w:t>CONSOLIDATED STATEMENTS OF COMPREHENSIVE INCOME (LOSS</w:t>
      </w:r>
      <w:r>
        <w:rPr>
          <w:rFonts w:eastAsia="Times New Roman"/>
          <w:b/>
          <w:bCs/>
          <w:color w:val="000000"/>
          <w:sz w:val="20"/>
          <w:szCs w:val="20"/>
        </w:rPr>
        <w:t>)</w:t>
      </w:r>
    </w:p>
    <w:p w14:paraId="43B2D348" w14:textId="77777777" w:rsidR="00000000" w:rsidRDefault="00195E73">
      <w:pPr>
        <w:jc w:val="center"/>
        <w:rPr>
          <w:rFonts w:eastAsia="Times New Roman"/>
        </w:rPr>
      </w:pPr>
    </w:p>
    <w:p w14:paraId="3E603FFB" w14:textId="77777777" w:rsidR="00000000" w:rsidRDefault="00195E73">
      <w:pPr>
        <w:divId w:val="1512526407"/>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088"/>
        <w:gridCol w:w="40"/>
        <w:gridCol w:w="135"/>
        <w:gridCol w:w="956"/>
        <w:gridCol w:w="85"/>
        <w:gridCol w:w="36"/>
        <w:gridCol w:w="36"/>
        <w:gridCol w:w="36"/>
        <w:gridCol w:w="135"/>
        <w:gridCol w:w="924"/>
        <w:gridCol w:w="85"/>
        <w:gridCol w:w="36"/>
        <w:gridCol w:w="36"/>
        <w:gridCol w:w="36"/>
        <w:gridCol w:w="135"/>
        <w:gridCol w:w="925"/>
        <w:gridCol w:w="85"/>
        <w:gridCol w:w="36"/>
        <w:gridCol w:w="36"/>
        <w:gridCol w:w="36"/>
        <w:gridCol w:w="36"/>
        <w:gridCol w:w="36"/>
        <w:gridCol w:w="36"/>
        <w:gridCol w:w="36"/>
        <w:gridCol w:w="36"/>
        <w:gridCol w:w="36"/>
        <w:gridCol w:w="36"/>
        <w:gridCol w:w="36"/>
        <w:gridCol w:w="36"/>
      </w:tblGrid>
      <w:tr w:rsidR="00000000" w14:paraId="49983159" w14:textId="77777777">
        <w:trPr>
          <w:gridAfter w:val="12"/>
          <w:divId w:val="1230336832"/>
          <w:jc w:val="center"/>
        </w:trPr>
        <w:tc>
          <w:tcPr>
            <w:tcW w:w="50" w:type="pct"/>
            <w:vAlign w:val="center"/>
            <w:hideMark/>
          </w:tcPr>
          <w:p w14:paraId="0D835D53" w14:textId="77777777" w:rsidR="00000000" w:rsidRDefault="00195E73">
            <w:pPr>
              <w:rPr>
                <w:rFonts w:eastAsia="Times New Roman"/>
              </w:rPr>
            </w:pPr>
          </w:p>
        </w:tc>
        <w:tc>
          <w:tcPr>
            <w:tcW w:w="2627" w:type="pct"/>
            <w:vAlign w:val="center"/>
            <w:hideMark/>
          </w:tcPr>
          <w:p w14:paraId="039FE42A" w14:textId="77777777" w:rsidR="00000000" w:rsidRDefault="00195E73">
            <w:pPr>
              <w:rPr>
                <w:rFonts w:eastAsia="Times New Roman"/>
                <w:sz w:val="20"/>
                <w:szCs w:val="20"/>
              </w:rPr>
            </w:pPr>
          </w:p>
        </w:tc>
        <w:tc>
          <w:tcPr>
            <w:tcW w:w="50" w:type="pct"/>
            <w:vAlign w:val="center"/>
            <w:hideMark/>
          </w:tcPr>
          <w:p w14:paraId="2800DCC7" w14:textId="77777777" w:rsidR="00000000" w:rsidRDefault="00195E73">
            <w:pPr>
              <w:rPr>
                <w:rFonts w:eastAsia="Times New Roman"/>
                <w:sz w:val="20"/>
                <w:szCs w:val="20"/>
              </w:rPr>
            </w:pPr>
          </w:p>
        </w:tc>
        <w:tc>
          <w:tcPr>
            <w:tcW w:w="50" w:type="pct"/>
            <w:vAlign w:val="center"/>
            <w:hideMark/>
          </w:tcPr>
          <w:p w14:paraId="442276A4" w14:textId="77777777" w:rsidR="00000000" w:rsidRDefault="00195E73">
            <w:pPr>
              <w:rPr>
                <w:rFonts w:eastAsia="Times New Roman"/>
                <w:sz w:val="20"/>
                <w:szCs w:val="20"/>
              </w:rPr>
            </w:pPr>
          </w:p>
        </w:tc>
        <w:tc>
          <w:tcPr>
            <w:tcW w:w="633" w:type="pct"/>
            <w:vAlign w:val="center"/>
            <w:hideMark/>
          </w:tcPr>
          <w:p w14:paraId="792E3BD4" w14:textId="77777777" w:rsidR="00000000" w:rsidRDefault="00195E73">
            <w:pPr>
              <w:rPr>
                <w:rFonts w:eastAsia="Times New Roman"/>
                <w:sz w:val="20"/>
                <w:szCs w:val="20"/>
              </w:rPr>
            </w:pPr>
          </w:p>
        </w:tc>
        <w:tc>
          <w:tcPr>
            <w:tcW w:w="50" w:type="pct"/>
            <w:vAlign w:val="center"/>
            <w:hideMark/>
          </w:tcPr>
          <w:p w14:paraId="7DBA3470" w14:textId="77777777" w:rsidR="00000000" w:rsidRDefault="00195E73">
            <w:pPr>
              <w:rPr>
                <w:rFonts w:eastAsia="Times New Roman"/>
                <w:sz w:val="20"/>
                <w:szCs w:val="20"/>
              </w:rPr>
            </w:pPr>
          </w:p>
        </w:tc>
        <w:tc>
          <w:tcPr>
            <w:tcW w:w="5" w:type="pct"/>
            <w:vAlign w:val="center"/>
            <w:hideMark/>
          </w:tcPr>
          <w:p w14:paraId="6B7AB9C6" w14:textId="77777777" w:rsidR="00000000" w:rsidRDefault="00195E73">
            <w:pPr>
              <w:rPr>
                <w:rFonts w:eastAsia="Times New Roman"/>
                <w:sz w:val="20"/>
                <w:szCs w:val="20"/>
              </w:rPr>
            </w:pPr>
          </w:p>
        </w:tc>
        <w:tc>
          <w:tcPr>
            <w:tcW w:w="26" w:type="pct"/>
            <w:vAlign w:val="center"/>
            <w:hideMark/>
          </w:tcPr>
          <w:p w14:paraId="5E35E254" w14:textId="77777777" w:rsidR="00000000" w:rsidRDefault="00195E73">
            <w:pPr>
              <w:rPr>
                <w:rFonts w:eastAsia="Times New Roman"/>
                <w:sz w:val="20"/>
                <w:szCs w:val="20"/>
              </w:rPr>
            </w:pPr>
          </w:p>
        </w:tc>
        <w:tc>
          <w:tcPr>
            <w:tcW w:w="5" w:type="pct"/>
            <w:vAlign w:val="center"/>
            <w:hideMark/>
          </w:tcPr>
          <w:p w14:paraId="5438A507" w14:textId="77777777" w:rsidR="00000000" w:rsidRDefault="00195E73">
            <w:pPr>
              <w:rPr>
                <w:rFonts w:eastAsia="Times New Roman"/>
                <w:sz w:val="20"/>
                <w:szCs w:val="20"/>
              </w:rPr>
            </w:pPr>
          </w:p>
        </w:tc>
        <w:tc>
          <w:tcPr>
            <w:tcW w:w="50" w:type="pct"/>
            <w:vAlign w:val="center"/>
            <w:hideMark/>
          </w:tcPr>
          <w:p w14:paraId="1C1FE8B1" w14:textId="77777777" w:rsidR="00000000" w:rsidRDefault="00195E73">
            <w:pPr>
              <w:rPr>
                <w:rFonts w:eastAsia="Times New Roman"/>
                <w:sz w:val="20"/>
                <w:szCs w:val="20"/>
              </w:rPr>
            </w:pPr>
          </w:p>
        </w:tc>
        <w:tc>
          <w:tcPr>
            <w:tcW w:w="633" w:type="pct"/>
            <w:vAlign w:val="center"/>
            <w:hideMark/>
          </w:tcPr>
          <w:p w14:paraId="0F2E9E67" w14:textId="77777777" w:rsidR="00000000" w:rsidRDefault="00195E73">
            <w:pPr>
              <w:rPr>
                <w:rFonts w:eastAsia="Times New Roman"/>
                <w:sz w:val="20"/>
                <w:szCs w:val="20"/>
              </w:rPr>
            </w:pPr>
          </w:p>
        </w:tc>
        <w:tc>
          <w:tcPr>
            <w:tcW w:w="50" w:type="pct"/>
            <w:vAlign w:val="center"/>
            <w:hideMark/>
          </w:tcPr>
          <w:p w14:paraId="0A7F8F91" w14:textId="77777777" w:rsidR="00000000" w:rsidRDefault="00195E73">
            <w:pPr>
              <w:rPr>
                <w:rFonts w:eastAsia="Times New Roman"/>
                <w:sz w:val="20"/>
                <w:szCs w:val="20"/>
              </w:rPr>
            </w:pPr>
          </w:p>
        </w:tc>
        <w:tc>
          <w:tcPr>
            <w:tcW w:w="5" w:type="pct"/>
            <w:vAlign w:val="center"/>
            <w:hideMark/>
          </w:tcPr>
          <w:p w14:paraId="5AB35F5A" w14:textId="77777777" w:rsidR="00000000" w:rsidRDefault="00195E73">
            <w:pPr>
              <w:rPr>
                <w:rFonts w:eastAsia="Times New Roman"/>
                <w:sz w:val="20"/>
                <w:szCs w:val="20"/>
              </w:rPr>
            </w:pPr>
          </w:p>
        </w:tc>
        <w:tc>
          <w:tcPr>
            <w:tcW w:w="26" w:type="pct"/>
            <w:vAlign w:val="center"/>
            <w:hideMark/>
          </w:tcPr>
          <w:p w14:paraId="2E5DE9F2" w14:textId="77777777" w:rsidR="00000000" w:rsidRDefault="00195E73">
            <w:pPr>
              <w:rPr>
                <w:rFonts w:eastAsia="Times New Roman"/>
                <w:sz w:val="20"/>
                <w:szCs w:val="20"/>
              </w:rPr>
            </w:pPr>
          </w:p>
        </w:tc>
        <w:tc>
          <w:tcPr>
            <w:tcW w:w="5" w:type="pct"/>
            <w:vAlign w:val="center"/>
            <w:hideMark/>
          </w:tcPr>
          <w:p w14:paraId="63E4B21E" w14:textId="77777777" w:rsidR="00000000" w:rsidRDefault="00195E73">
            <w:pPr>
              <w:rPr>
                <w:rFonts w:eastAsia="Times New Roman"/>
                <w:sz w:val="20"/>
                <w:szCs w:val="20"/>
              </w:rPr>
            </w:pPr>
          </w:p>
        </w:tc>
        <w:tc>
          <w:tcPr>
            <w:tcW w:w="50" w:type="pct"/>
            <w:vAlign w:val="center"/>
            <w:hideMark/>
          </w:tcPr>
          <w:p w14:paraId="5792147F" w14:textId="77777777" w:rsidR="00000000" w:rsidRDefault="00195E73">
            <w:pPr>
              <w:rPr>
                <w:rFonts w:eastAsia="Times New Roman"/>
                <w:sz w:val="20"/>
                <w:szCs w:val="20"/>
              </w:rPr>
            </w:pPr>
          </w:p>
        </w:tc>
        <w:tc>
          <w:tcPr>
            <w:tcW w:w="633" w:type="pct"/>
            <w:vAlign w:val="center"/>
            <w:hideMark/>
          </w:tcPr>
          <w:p w14:paraId="1A291FAF" w14:textId="77777777" w:rsidR="00000000" w:rsidRDefault="00195E73">
            <w:pPr>
              <w:rPr>
                <w:rFonts w:eastAsia="Times New Roman"/>
                <w:sz w:val="20"/>
                <w:szCs w:val="20"/>
              </w:rPr>
            </w:pPr>
          </w:p>
        </w:tc>
        <w:tc>
          <w:tcPr>
            <w:tcW w:w="50" w:type="pct"/>
            <w:vAlign w:val="center"/>
            <w:hideMark/>
          </w:tcPr>
          <w:p w14:paraId="36B1445B" w14:textId="77777777" w:rsidR="00000000" w:rsidRDefault="00195E73">
            <w:pPr>
              <w:rPr>
                <w:rFonts w:eastAsia="Times New Roman"/>
                <w:sz w:val="20"/>
                <w:szCs w:val="20"/>
              </w:rPr>
            </w:pPr>
          </w:p>
        </w:tc>
      </w:tr>
      <w:tr w:rsidR="00000000" w14:paraId="6C820F2E" w14:textId="77777777">
        <w:trPr>
          <w:divId w:val="1230336832"/>
          <w:jc w:val="center"/>
        </w:trPr>
        <w:tc>
          <w:tcPr>
            <w:tcW w:w="0" w:type="auto"/>
            <w:gridSpan w:val="3"/>
            <w:tcMar>
              <w:top w:w="15" w:type="dxa"/>
              <w:left w:w="20" w:type="dxa"/>
              <w:bottom w:w="15" w:type="dxa"/>
              <w:right w:w="20" w:type="dxa"/>
            </w:tcMar>
            <w:vAlign w:val="bottom"/>
            <w:hideMark/>
          </w:tcPr>
          <w:p w14:paraId="6EA9F873"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09AD3ACF"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55B5C162" w14:textId="77777777" w:rsidR="00000000" w:rsidRDefault="00195E73">
            <w:pPr>
              <w:jc w:val="center"/>
              <w:rPr>
                <w:rFonts w:eastAsia="Times New Roman"/>
              </w:rPr>
            </w:pPr>
          </w:p>
        </w:tc>
        <w:tc>
          <w:tcPr>
            <w:tcW w:w="0" w:type="auto"/>
            <w:gridSpan w:val="3"/>
            <w:vAlign w:val="center"/>
            <w:hideMark/>
          </w:tcPr>
          <w:p w14:paraId="38C8B08F" w14:textId="77777777" w:rsidR="00000000" w:rsidRDefault="00195E73">
            <w:pPr>
              <w:rPr>
                <w:rFonts w:eastAsia="Times New Roman"/>
                <w:sz w:val="20"/>
                <w:szCs w:val="20"/>
              </w:rPr>
            </w:pPr>
          </w:p>
        </w:tc>
        <w:tc>
          <w:tcPr>
            <w:tcW w:w="0" w:type="auto"/>
            <w:gridSpan w:val="3"/>
            <w:vAlign w:val="center"/>
            <w:hideMark/>
          </w:tcPr>
          <w:p w14:paraId="062A1D44" w14:textId="77777777" w:rsidR="00000000" w:rsidRDefault="00195E73">
            <w:pPr>
              <w:rPr>
                <w:rFonts w:eastAsia="Times New Roman"/>
                <w:sz w:val="20"/>
                <w:szCs w:val="20"/>
              </w:rPr>
            </w:pPr>
          </w:p>
        </w:tc>
        <w:tc>
          <w:tcPr>
            <w:tcW w:w="0" w:type="auto"/>
            <w:gridSpan w:val="3"/>
            <w:vAlign w:val="center"/>
            <w:hideMark/>
          </w:tcPr>
          <w:p w14:paraId="18B17FD7" w14:textId="77777777" w:rsidR="00000000" w:rsidRDefault="00195E73">
            <w:pPr>
              <w:rPr>
                <w:rFonts w:eastAsia="Times New Roman"/>
                <w:sz w:val="20"/>
                <w:szCs w:val="20"/>
              </w:rPr>
            </w:pPr>
          </w:p>
        </w:tc>
      </w:tr>
      <w:tr w:rsidR="00000000" w14:paraId="21FBDE13" w14:textId="77777777">
        <w:trPr>
          <w:divId w:val="1230336832"/>
          <w:jc w:val="center"/>
        </w:trPr>
        <w:tc>
          <w:tcPr>
            <w:tcW w:w="0" w:type="auto"/>
            <w:gridSpan w:val="3"/>
            <w:tcMar>
              <w:top w:w="15" w:type="dxa"/>
              <w:left w:w="20" w:type="dxa"/>
              <w:bottom w:w="15" w:type="dxa"/>
              <w:right w:w="20" w:type="dxa"/>
            </w:tcMar>
            <w:vAlign w:val="bottom"/>
            <w:hideMark/>
          </w:tcPr>
          <w:p w14:paraId="548D3AC4"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9145023"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2B532DE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13B814"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5C89989A"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5B034C6"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73E547D3" w14:textId="77777777" w:rsidR="00000000" w:rsidRDefault="00195E73">
            <w:pPr>
              <w:rPr>
                <w:rFonts w:eastAsia="Times New Roman"/>
                <w:sz w:val="20"/>
                <w:szCs w:val="20"/>
              </w:rPr>
            </w:pPr>
          </w:p>
        </w:tc>
        <w:tc>
          <w:tcPr>
            <w:tcW w:w="0" w:type="auto"/>
            <w:vAlign w:val="center"/>
            <w:hideMark/>
          </w:tcPr>
          <w:p w14:paraId="3E0156D3" w14:textId="77777777" w:rsidR="00000000" w:rsidRDefault="00195E73">
            <w:pPr>
              <w:rPr>
                <w:rFonts w:eastAsia="Times New Roman"/>
                <w:sz w:val="20"/>
                <w:szCs w:val="20"/>
              </w:rPr>
            </w:pPr>
          </w:p>
        </w:tc>
        <w:tc>
          <w:tcPr>
            <w:tcW w:w="0" w:type="auto"/>
            <w:vAlign w:val="center"/>
            <w:hideMark/>
          </w:tcPr>
          <w:p w14:paraId="546CA927" w14:textId="77777777" w:rsidR="00000000" w:rsidRDefault="00195E73">
            <w:pPr>
              <w:rPr>
                <w:rFonts w:eastAsia="Times New Roman"/>
                <w:sz w:val="20"/>
                <w:szCs w:val="20"/>
              </w:rPr>
            </w:pPr>
          </w:p>
        </w:tc>
        <w:tc>
          <w:tcPr>
            <w:tcW w:w="0" w:type="auto"/>
            <w:vAlign w:val="center"/>
            <w:hideMark/>
          </w:tcPr>
          <w:p w14:paraId="67A22877" w14:textId="77777777" w:rsidR="00000000" w:rsidRDefault="00195E73">
            <w:pPr>
              <w:rPr>
                <w:rFonts w:eastAsia="Times New Roman"/>
                <w:sz w:val="20"/>
                <w:szCs w:val="20"/>
              </w:rPr>
            </w:pPr>
          </w:p>
        </w:tc>
        <w:tc>
          <w:tcPr>
            <w:tcW w:w="0" w:type="auto"/>
            <w:vAlign w:val="center"/>
            <w:hideMark/>
          </w:tcPr>
          <w:p w14:paraId="52F73B44" w14:textId="77777777" w:rsidR="00000000" w:rsidRDefault="00195E73">
            <w:pPr>
              <w:rPr>
                <w:rFonts w:eastAsia="Times New Roman"/>
                <w:sz w:val="20"/>
                <w:szCs w:val="20"/>
              </w:rPr>
            </w:pPr>
          </w:p>
        </w:tc>
        <w:tc>
          <w:tcPr>
            <w:tcW w:w="0" w:type="auto"/>
            <w:vAlign w:val="center"/>
            <w:hideMark/>
          </w:tcPr>
          <w:p w14:paraId="71A977F7" w14:textId="77777777" w:rsidR="00000000" w:rsidRDefault="00195E73">
            <w:pPr>
              <w:rPr>
                <w:rFonts w:eastAsia="Times New Roman"/>
                <w:sz w:val="20"/>
                <w:szCs w:val="20"/>
              </w:rPr>
            </w:pPr>
          </w:p>
        </w:tc>
        <w:tc>
          <w:tcPr>
            <w:tcW w:w="0" w:type="auto"/>
            <w:vAlign w:val="center"/>
            <w:hideMark/>
          </w:tcPr>
          <w:p w14:paraId="0D6C3DE3" w14:textId="77777777" w:rsidR="00000000" w:rsidRDefault="00195E73">
            <w:pPr>
              <w:rPr>
                <w:rFonts w:eastAsia="Times New Roman"/>
                <w:sz w:val="20"/>
                <w:szCs w:val="20"/>
              </w:rPr>
            </w:pPr>
          </w:p>
        </w:tc>
        <w:tc>
          <w:tcPr>
            <w:tcW w:w="0" w:type="auto"/>
            <w:vAlign w:val="center"/>
            <w:hideMark/>
          </w:tcPr>
          <w:p w14:paraId="0C8EEA63" w14:textId="77777777" w:rsidR="00000000" w:rsidRDefault="00195E73">
            <w:pPr>
              <w:rPr>
                <w:rFonts w:eastAsia="Times New Roman"/>
                <w:sz w:val="20"/>
                <w:szCs w:val="20"/>
              </w:rPr>
            </w:pPr>
          </w:p>
        </w:tc>
        <w:tc>
          <w:tcPr>
            <w:tcW w:w="0" w:type="auto"/>
            <w:vAlign w:val="center"/>
            <w:hideMark/>
          </w:tcPr>
          <w:p w14:paraId="61C27EED" w14:textId="77777777" w:rsidR="00000000" w:rsidRDefault="00195E73">
            <w:pPr>
              <w:rPr>
                <w:rFonts w:eastAsia="Times New Roman"/>
                <w:sz w:val="20"/>
                <w:szCs w:val="20"/>
              </w:rPr>
            </w:pPr>
          </w:p>
        </w:tc>
        <w:tc>
          <w:tcPr>
            <w:tcW w:w="0" w:type="auto"/>
            <w:vAlign w:val="center"/>
            <w:hideMark/>
          </w:tcPr>
          <w:p w14:paraId="7D8C3551" w14:textId="77777777" w:rsidR="00000000" w:rsidRDefault="00195E73">
            <w:pPr>
              <w:rPr>
                <w:rFonts w:eastAsia="Times New Roman"/>
                <w:sz w:val="20"/>
                <w:szCs w:val="20"/>
              </w:rPr>
            </w:pPr>
          </w:p>
        </w:tc>
        <w:tc>
          <w:tcPr>
            <w:tcW w:w="0" w:type="auto"/>
            <w:vAlign w:val="center"/>
            <w:hideMark/>
          </w:tcPr>
          <w:p w14:paraId="06E661DC" w14:textId="77777777" w:rsidR="00000000" w:rsidRDefault="00195E73">
            <w:pPr>
              <w:rPr>
                <w:rFonts w:eastAsia="Times New Roman"/>
                <w:sz w:val="20"/>
                <w:szCs w:val="20"/>
              </w:rPr>
            </w:pPr>
          </w:p>
        </w:tc>
        <w:tc>
          <w:tcPr>
            <w:tcW w:w="0" w:type="auto"/>
            <w:vAlign w:val="center"/>
            <w:hideMark/>
          </w:tcPr>
          <w:p w14:paraId="4F44EB18" w14:textId="77777777" w:rsidR="00000000" w:rsidRDefault="00195E73">
            <w:pPr>
              <w:rPr>
                <w:rFonts w:eastAsia="Times New Roman"/>
                <w:sz w:val="20"/>
                <w:szCs w:val="20"/>
              </w:rPr>
            </w:pPr>
          </w:p>
        </w:tc>
      </w:tr>
      <w:tr w:rsidR="00000000" w14:paraId="3D6E49BB" w14:textId="77777777">
        <w:trPr>
          <w:divId w:val="1230336832"/>
          <w:jc w:val="center"/>
        </w:trPr>
        <w:tc>
          <w:tcPr>
            <w:tcW w:w="0" w:type="auto"/>
            <w:gridSpan w:val="3"/>
            <w:tcMar>
              <w:top w:w="15" w:type="dxa"/>
              <w:left w:w="20" w:type="dxa"/>
              <w:bottom w:w="15" w:type="dxa"/>
              <w:right w:w="20" w:type="dxa"/>
            </w:tcMar>
            <w:vAlign w:val="bottom"/>
            <w:hideMark/>
          </w:tcPr>
          <w:p w14:paraId="56833706"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2E2BCE5"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4F755D41" w14:textId="77777777" w:rsidR="00000000" w:rsidRDefault="00195E73">
            <w:pPr>
              <w:jc w:val="center"/>
              <w:rPr>
                <w:rFonts w:eastAsia="Times New Roman"/>
              </w:rPr>
            </w:pPr>
          </w:p>
        </w:tc>
        <w:tc>
          <w:tcPr>
            <w:tcW w:w="0" w:type="auto"/>
            <w:gridSpan w:val="3"/>
            <w:vAlign w:val="center"/>
            <w:hideMark/>
          </w:tcPr>
          <w:p w14:paraId="64876C11" w14:textId="77777777" w:rsidR="00000000" w:rsidRDefault="00195E73">
            <w:pPr>
              <w:rPr>
                <w:rFonts w:eastAsia="Times New Roman"/>
                <w:sz w:val="20"/>
                <w:szCs w:val="20"/>
              </w:rPr>
            </w:pPr>
          </w:p>
        </w:tc>
        <w:tc>
          <w:tcPr>
            <w:tcW w:w="0" w:type="auto"/>
            <w:gridSpan w:val="3"/>
            <w:vAlign w:val="center"/>
            <w:hideMark/>
          </w:tcPr>
          <w:p w14:paraId="3A49B6C5" w14:textId="77777777" w:rsidR="00000000" w:rsidRDefault="00195E73">
            <w:pPr>
              <w:rPr>
                <w:rFonts w:eastAsia="Times New Roman"/>
                <w:sz w:val="20"/>
                <w:szCs w:val="20"/>
              </w:rPr>
            </w:pPr>
          </w:p>
        </w:tc>
        <w:tc>
          <w:tcPr>
            <w:tcW w:w="0" w:type="auto"/>
            <w:gridSpan w:val="3"/>
            <w:vAlign w:val="center"/>
            <w:hideMark/>
          </w:tcPr>
          <w:p w14:paraId="38F5814D" w14:textId="77777777" w:rsidR="00000000" w:rsidRDefault="00195E73">
            <w:pPr>
              <w:rPr>
                <w:rFonts w:eastAsia="Times New Roman"/>
                <w:sz w:val="20"/>
                <w:szCs w:val="20"/>
              </w:rPr>
            </w:pPr>
          </w:p>
        </w:tc>
      </w:tr>
      <w:tr w:rsidR="00000000" w14:paraId="34FB87D1" w14:textId="77777777">
        <w:trPr>
          <w:divId w:val="1230336832"/>
          <w:jc w:val="center"/>
        </w:trPr>
        <w:tc>
          <w:tcPr>
            <w:tcW w:w="0" w:type="auto"/>
            <w:gridSpan w:val="3"/>
            <w:shd w:val="clear" w:color="auto" w:fill="CCEEFF"/>
            <w:tcMar>
              <w:top w:w="30" w:type="dxa"/>
              <w:left w:w="20" w:type="dxa"/>
              <w:bottom w:w="30" w:type="dxa"/>
              <w:right w:w="20" w:type="dxa"/>
            </w:tcMar>
            <w:vAlign w:val="bottom"/>
            <w:hideMark/>
          </w:tcPr>
          <w:p w14:paraId="4B0F4DD8" w14:textId="77777777" w:rsidR="00000000" w:rsidRDefault="00195E73">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14:paraId="252A392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FE047CA" w14:textId="77777777" w:rsidR="00000000" w:rsidRDefault="00195E73">
            <w:pPr>
              <w:jc w:val="right"/>
              <w:rPr>
                <w:rFonts w:eastAsia="Times New Roman"/>
              </w:rPr>
            </w:pPr>
            <w:r>
              <w:rPr>
                <w:rFonts w:eastAsia="Times New Roman"/>
                <w:color w:val="000000"/>
                <w:sz w:val="20"/>
                <w:szCs w:val="20"/>
              </w:rPr>
              <w:t>(1,791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A2F056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8EFCF6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2F5AEF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6451052" w14:textId="77777777" w:rsidR="00000000" w:rsidRDefault="00195E73">
            <w:pPr>
              <w:jc w:val="right"/>
              <w:rPr>
                <w:rFonts w:eastAsia="Times New Roman"/>
              </w:rPr>
            </w:pPr>
            <w:r>
              <w:rPr>
                <w:rFonts w:eastAsia="Times New Roman"/>
                <w:color w:val="000000"/>
                <w:sz w:val="20"/>
                <w:szCs w:val="20"/>
              </w:rPr>
              <w:t>2,001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28FD92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38B86D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ABFAFE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6CB2E2B" w14:textId="77777777" w:rsidR="00000000" w:rsidRDefault="00195E73">
            <w:pPr>
              <w:jc w:val="right"/>
              <w:rPr>
                <w:rFonts w:eastAsia="Times New Roman"/>
              </w:rPr>
            </w:pPr>
            <w:r>
              <w:rPr>
                <w:rFonts w:eastAsia="Times New Roman"/>
                <w:color w:val="000000"/>
                <w:sz w:val="20"/>
                <w:szCs w:val="20"/>
              </w:rPr>
              <w:t>2,632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BB702E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6F67B15" w14:textId="77777777" w:rsidR="00000000" w:rsidRDefault="00195E73">
            <w:pPr>
              <w:rPr>
                <w:rFonts w:eastAsia="Times New Roman"/>
                <w:sz w:val="20"/>
                <w:szCs w:val="20"/>
              </w:rPr>
            </w:pPr>
          </w:p>
        </w:tc>
        <w:tc>
          <w:tcPr>
            <w:tcW w:w="0" w:type="auto"/>
            <w:vAlign w:val="center"/>
            <w:hideMark/>
          </w:tcPr>
          <w:p w14:paraId="28DCAC86" w14:textId="77777777" w:rsidR="00000000" w:rsidRDefault="00195E73">
            <w:pPr>
              <w:rPr>
                <w:rFonts w:eastAsia="Times New Roman"/>
                <w:sz w:val="20"/>
                <w:szCs w:val="20"/>
              </w:rPr>
            </w:pPr>
          </w:p>
        </w:tc>
        <w:tc>
          <w:tcPr>
            <w:tcW w:w="0" w:type="auto"/>
            <w:vAlign w:val="center"/>
            <w:hideMark/>
          </w:tcPr>
          <w:p w14:paraId="34D346A1" w14:textId="77777777" w:rsidR="00000000" w:rsidRDefault="00195E73">
            <w:pPr>
              <w:rPr>
                <w:rFonts w:eastAsia="Times New Roman"/>
                <w:sz w:val="20"/>
                <w:szCs w:val="20"/>
              </w:rPr>
            </w:pPr>
          </w:p>
        </w:tc>
        <w:tc>
          <w:tcPr>
            <w:tcW w:w="0" w:type="auto"/>
            <w:vAlign w:val="center"/>
            <w:hideMark/>
          </w:tcPr>
          <w:p w14:paraId="28495FF0" w14:textId="77777777" w:rsidR="00000000" w:rsidRDefault="00195E73">
            <w:pPr>
              <w:rPr>
                <w:rFonts w:eastAsia="Times New Roman"/>
                <w:sz w:val="20"/>
                <w:szCs w:val="20"/>
              </w:rPr>
            </w:pPr>
          </w:p>
        </w:tc>
        <w:tc>
          <w:tcPr>
            <w:tcW w:w="0" w:type="auto"/>
            <w:vAlign w:val="center"/>
            <w:hideMark/>
          </w:tcPr>
          <w:p w14:paraId="21F23EAD" w14:textId="77777777" w:rsidR="00000000" w:rsidRDefault="00195E73">
            <w:pPr>
              <w:rPr>
                <w:rFonts w:eastAsia="Times New Roman"/>
                <w:sz w:val="20"/>
                <w:szCs w:val="20"/>
              </w:rPr>
            </w:pPr>
          </w:p>
        </w:tc>
        <w:tc>
          <w:tcPr>
            <w:tcW w:w="0" w:type="auto"/>
            <w:vAlign w:val="center"/>
            <w:hideMark/>
          </w:tcPr>
          <w:p w14:paraId="655B2712" w14:textId="77777777" w:rsidR="00000000" w:rsidRDefault="00195E73">
            <w:pPr>
              <w:rPr>
                <w:rFonts w:eastAsia="Times New Roman"/>
                <w:sz w:val="20"/>
                <w:szCs w:val="20"/>
              </w:rPr>
            </w:pPr>
          </w:p>
        </w:tc>
        <w:tc>
          <w:tcPr>
            <w:tcW w:w="0" w:type="auto"/>
            <w:vAlign w:val="center"/>
            <w:hideMark/>
          </w:tcPr>
          <w:p w14:paraId="74F6CE87" w14:textId="77777777" w:rsidR="00000000" w:rsidRDefault="00195E73">
            <w:pPr>
              <w:rPr>
                <w:rFonts w:eastAsia="Times New Roman"/>
                <w:sz w:val="20"/>
                <w:szCs w:val="20"/>
              </w:rPr>
            </w:pPr>
          </w:p>
        </w:tc>
        <w:tc>
          <w:tcPr>
            <w:tcW w:w="0" w:type="auto"/>
            <w:vAlign w:val="center"/>
            <w:hideMark/>
          </w:tcPr>
          <w:p w14:paraId="3B5E0DF3" w14:textId="77777777" w:rsidR="00000000" w:rsidRDefault="00195E73">
            <w:pPr>
              <w:rPr>
                <w:rFonts w:eastAsia="Times New Roman"/>
                <w:sz w:val="20"/>
                <w:szCs w:val="20"/>
              </w:rPr>
            </w:pPr>
          </w:p>
        </w:tc>
        <w:tc>
          <w:tcPr>
            <w:tcW w:w="0" w:type="auto"/>
            <w:vAlign w:val="center"/>
            <w:hideMark/>
          </w:tcPr>
          <w:p w14:paraId="2249F553" w14:textId="77777777" w:rsidR="00000000" w:rsidRDefault="00195E73">
            <w:pPr>
              <w:rPr>
                <w:rFonts w:eastAsia="Times New Roman"/>
                <w:sz w:val="20"/>
                <w:szCs w:val="20"/>
              </w:rPr>
            </w:pPr>
          </w:p>
        </w:tc>
        <w:tc>
          <w:tcPr>
            <w:tcW w:w="0" w:type="auto"/>
            <w:vAlign w:val="center"/>
            <w:hideMark/>
          </w:tcPr>
          <w:p w14:paraId="0A554706" w14:textId="77777777" w:rsidR="00000000" w:rsidRDefault="00195E73">
            <w:pPr>
              <w:rPr>
                <w:rFonts w:eastAsia="Times New Roman"/>
                <w:sz w:val="20"/>
                <w:szCs w:val="20"/>
              </w:rPr>
            </w:pPr>
          </w:p>
        </w:tc>
        <w:tc>
          <w:tcPr>
            <w:tcW w:w="0" w:type="auto"/>
            <w:vAlign w:val="center"/>
            <w:hideMark/>
          </w:tcPr>
          <w:p w14:paraId="04926ACE" w14:textId="77777777" w:rsidR="00000000" w:rsidRDefault="00195E73">
            <w:pPr>
              <w:rPr>
                <w:rFonts w:eastAsia="Times New Roman"/>
                <w:sz w:val="20"/>
                <w:szCs w:val="20"/>
              </w:rPr>
            </w:pPr>
          </w:p>
        </w:tc>
        <w:tc>
          <w:tcPr>
            <w:tcW w:w="0" w:type="auto"/>
            <w:vAlign w:val="center"/>
            <w:hideMark/>
          </w:tcPr>
          <w:p w14:paraId="0018081A" w14:textId="77777777" w:rsidR="00000000" w:rsidRDefault="00195E73">
            <w:pPr>
              <w:rPr>
                <w:rFonts w:eastAsia="Times New Roman"/>
                <w:sz w:val="20"/>
                <w:szCs w:val="20"/>
              </w:rPr>
            </w:pPr>
          </w:p>
        </w:tc>
      </w:tr>
      <w:tr w:rsidR="00000000" w14:paraId="2BF36917" w14:textId="77777777">
        <w:trPr>
          <w:divId w:val="1230336832"/>
          <w:jc w:val="center"/>
        </w:trPr>
        <w:tc>
          <w:tcPr>
            <w:tcW w:w="0" w:type="auto"/>
            <w:gridSpan w:val="3"/>
            <w:shd w:val="clear" w:color="auto" w:fill="FFFFFF"/>
            <w:tcMar>
              <w:top w:w="30" w:type="dxa"/>
              <w:left w:w="20" w:type="dxa"/>
              <w:bottom w:w="30" w:type="dxa"/>
              <w:right w:w="20" w:type="dxa"/>
            </w:tcMar>
            <w:vAlign w:val="bottom"/>
            <w:hideMark/>
          </w:tcPr>
          <w:p w14:paraId="30962383" w14:textId="77777777" w:rsidR="00000000" w:rsidRDefault="00195E73">
            <w:pPr>
              <w:rPr>
                <w:rFonts w:eastAsia="Times New Roman"/>
              </w:rPr>
            </w:pPr>
            <w:r>
              <w:rPr>
                <w:rFonts w:eastAsia="Times New Roman"/>
                <w:color w:val="000000"/>
                <w:sz w:val="20"/>
                <w:szCs w:val="20"/>
              </w:rPr>
              <w:t>Other comprehensive (loss) income, net of 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0ADD1DC1"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5FCB1B5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DE4316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648AFC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D8C8AA9" w14:textId="77777777" w:rsidR="00000000" w:rsidRDefault="00195E73">
            <w:pPr>
              <w:rPr>
                <w:rFonts w:eastAsia="Times New Roman"/>
                <w:sz w:val="20"/>
                <w:szCs w:val="20"/>
              </w:rPr>
            </w:pPr>
          </w:p>
        </w:tc>
        <w:tc>
          <w:tcPr>
            <w:tcW w:w="0" w:type="auto"/>
            <w:vAlign w:val="center"/>
            <w:hideMark/>
          </w:tcPr>
          <w:p w14:paraId="03B04AAB" w14:textId="77777777" w:rsidR="00000000" w:rsidRDefault="00195E73">
            <w:pPr>
              <w:rPr>
                <w:rFonts w:eastAsia="Times New Roman"/>
                <w:sz w:val="20"/>
                <w:szCs w:val="20"/>
              </w:rPr>
            </w:pPr>
          </w:p>
        </w:tc>
        <w:tc>
          <w:tcPr>
            <w:tcW w:w="0" w:type="auto"/>
            <w:vAlign w:val="center"/>
            <w:hideMark/>
          </w:tcPr>
          <w:p w14:paraId="1D2D2A5C" w14:textId="77777777" w:rsidR="00000000" w:rsidRDefault="00195E73">
            <w:pPr>
              <w:rPr>
                <w:rFonts w:eastAsia="Times New Roman"/>
                <w:sz w:val="20"/>
                <w:szCs w:val="20"/>
              </w:rPr>
            </w:pPr>
          </w:p>
        </w:tc>
        <w:tc>
          <w:tcPr>
            <w:tcW w:w="0" w:type="auto"/>
            <w:vAlign w:val="center"/>
            <w:hideMark/>
          </w:tcPr>
          <w:p w14:paraId="68BED3A7" w14:textId="77777777" w:rsidR="00000000" w:rsidRDefault="00195E73">
            <w:pPr>
              <w:rPr>
                <w:rFonts w:eastAsia="Times New Roman"/>
                <w:sz w:val="20"/>
                <w:szCs w:val="20"/>
              </w:rPr>
            </w:pPr>
          </w:p>
        </w:tc>
        <w:tc>
          <w:tcPr>
            <w:tcW w:w="0" w:type="auto"/>
            <w:vAlign w:val="center"/>
            <w:hideMark/>
          </w:tcPr>
          <w:p w14:paraId="7BCA8B66" w14:textId="77777777" w:rsidR="00000000" w:rsidRDefault="00195E73">
            <w:pPr>
              <w:rPr>
                <w:rFonts w:eastAsia="Times New Roman"/>
                <w:sz w:val="20"/>
                <w:szCs w:val="20"/>
              </w:rPr>
            </w:pPr>
          </w:p>
        </w:tc>
        <w:tc>
          <w:tcPr>
            <w:tcW w:w="0" w:type="auto"/>
            <w:vAlign w:val="center"/>
            <w:hideMark/>
          </w:tcPr>
          <w:p w14:paraId="2452D12D" w14:textId="77777777" w:rsidR="00000000" w:rsidRDefault="00195E73">
            <w:pPr>
              <w:rPr>
                <w:rFonts w:eastAsia="Times New Roman"/>
                <w:sz w:val="20"/>
                <w:szCs w:val="20"/>
              </w:rPr>
            </w:pPr>
          </w:p>
        </w:tc>
        <w:tc>
          <w:tcPr>
            <w:tcW w:w="0" w:type="auto"/>
            <w:vAlign w:val="center"/>
            <w:hideMark/>
          </w:tcPr>
          <w:p w14:paraId="182F6E69" w14:textId="77777777" w:rsidR="00000000" w:rsidRDefault="00195E73">
            <w:pPr>
              <w:rPr>
                <w:rFonts w:eastAsia="Times New Roman"/>
                <w:sz w:val="20"/>
                <w:szCs w:val="20"/>
              </w:rPr>
            </w:pPr>
          </w:p>
        </w:tc>
        <w:tc>
          <w:tcPr>
            <w:tcW w:w="0" w:type="auto"/>
            <w:vAlign w:val="center"/>
            <w:hideMark/>
          </w:tcPr>
          <w:p w14:paraId="6EAB7B6C" w14:textId="77777777" w:rsidR="00000000" w:rsidRDefault="00195E73">
            <w:pPr>
              <w:rPr>
                <w:rFonts w:eastAsia="Times New Roman"/>
                <w:sz w:val="20"/>
                <w:szCs w:val="20"/>
              </w:rPr>
            </w:pPr>
          </w:p>
        </w:tc>
        <w:tc>
          <w:tcPr>
            <w:tcW w:w="0" w:type="auto"/>
            <w:vAlign w:val="center"/>
            <w:hideMark/>
          </w:tcPr>
          <w:p w14:paraId="43AAD0CD" w14:textId="77777777" w:rsidR="00000000" w:rsidRDefault="00195E73">
            <w:pPr>
              <w:rPr>
                <w:rFonts w:eastAsia="Times New Roman"/>
                <w:sz w:val="20"/>
                <w:szCs w:val="20"/>
              </w:rPr>
            </w:pPr>
          </w:p>
        </w:tc>
        <w:tc>
          <w:tcPr>
            <w:tcW w:w="0" w:type="auto"/>
            <w:vAlign w:val="center"/>
            <w:hideMark/>
          </w:tcPr>
          <w:p w14:paraId="0B1917FA" w14:textId="77777777" w:rsidR="00000000" w:rsidRDefault="00195E73">
            <w:pPr>
              <w:rPr>
                <w:rFonts w:eastAsia="Times New Roman"/>
                <w:sz w:val="20"/>
                <w:szCs w:val="20"/>
              </w:rPr>
            </w:pPr>
          </w:p>
        </w:tc>
        <w:tc>
          <w:tcPr>
            <w:tcW w:w="0" w:type="auto"/>
            <w:vAlign w:val="center"/>
            <w:hideMark/>
          </w:tcPr>
          <w:p w14:paraId="5CB97A94" w14:textId="77777777" w:rsidR="00000000" w:rsidRDefault="00195E73">
            <w:pPr>
              <w:rPr>
                <w:rFonts w:eastAsia="Times New Roman"/>
                <w:sz w:val="20"/>
                <w:szCs w:val="20"/>
              </w:rPr>
            </w:pPr>
          </w:p>
        </w:tc>
        <w:tc>
          <w:tcPr>
            <w:tcW w:w="0" w:type="auto"/>
            <w:vAlign w:val="center"/>
            <w:hideMark/>
          </w:tcPr>
          <w:p w14:paraId="52A078C6" w14:textId="77777777" w:rsidR="00000000" w:rsidRDefault="00195E73">
            <w:pPr>
              <w:rPr>
                <w:rFonts w:eastAsia="Times New Roman"/>
                <w:sz w:val="20"/>
                <w:szCs w:val="20"/>
              </w:rPr>
            </w:pPr>
          </w:p>
        </w:tc>
        <w:tc>
          <w:tcPr>
            <w:tcW w:w="0" w:type="auto"/>
            <w:vAlign w:val="center"/>
            <w:hideMark/>
          </w:tcPr>
          <w:p w14:paraId="71462B2E" w14:textId="77777777" w:rsidR="00000000" w:rsidRDefault="00195E73">
            <w:pPr>
              <w:rPr>
                <w:rFonts w:eastAsia="Times New Roman"/>
                <w:sz w:val="20"/>
                <w:szCs w:val="20"/>
              </w:rPr>
            </w:pPr>
          </w:p>
        </w:tc>
      </w:tr>
      <w:tr w:rsidR="00000000" w14:paraId="1E426C39" w14:textId="77777777">
        <w:trPr>
          <w:divId w:val="1230336832"/>
          <w:jc w:val="center"/>
        </w:trPr>
        <w:tc>
          <w:tcPr>
            <w:tcW w:w="0" w:type="auto"/>
            <w:gridSpan w:val="3"/>
            <w:shd w:val="clear" w:color="auto" w:fill="CCEEFF"/>
            <w:tcMar>
              <w:top w:w="30" w:type="dxa"/>
              <w:left w:w="20" w:type="dxa"/>
              <w:bottom w:w="30" w:type="dxa"/>
              <w:right w:w="20" w:type="dxa"/>
            </w:tcMar>
            <w:vAlign w:val="bottom"/>
            <w:hideMark/>
          </w:tcPr>
          <w:p w14:paraId="3413680E" w14:textId="77777777" w:rsidR="00000000" w:rsidRDefault="00195E73">
            <w:pPr>
              <w:ind w:firstLine="180"/>
              <w:divId w:val="2097550395"/>
              <w:rPr>
                <w:rFonts w:eastAsia="Times New Roman"/>
              </w:rPr>
            </w:pPr>
            <w:r>
              <w:rPr>
                <w:rFonts w:eastAsia="Times New Roman"/>
                <w:color w:val="000000"/>
                <w:sz w:val="20"/>
                <w:szCs w:val="20"/>
              </w:rPr>
              <w:t>Translation adjustment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78BAC9D"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469E07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CD548D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5833A7" w14:textId="77777777" w:rsidR="00000000" w:rsidRDefault="00195E73">
            <w:pPr>
              <w:jc w:val="right"/>
              <w:rPr>
                <w:rFonts w:eastAsia="Times New Roman"/>
              </w:rPr>
            </w:pPr>
            <w:r>
              <w:rPr>
                <w:rFonts w:eastAsia="Times New Roman"/>
                <w:color w:val="000000"/>
                <w:sz w:val="20"/>
                <w:szCs w:val="20"/>
              </w:rPr>
              <w:t>(86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BC2557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954F71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971C5E" w14:textId="77777777" w:rsidR="00000000" w:rsidRDefault="00195E73">
            <w:pPr>
              <w:jc w:val="right"/>
              <w:rPr>
                <w:rFonts w:eastAsia="Times New Roman"/>
              </w:rPr>
            </w:pPr>
            <w:r>
              <w:rPr>
                <w:rFonts w:eastAsia="Times New Roman"/>
                <w:color w:val="000000"/>
                <w:sz w:val="20"/>
                <w:szCs w:val="20"/>
              </w:rPr>
              <w:t>124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F28302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3CBC7CA" w14:textId="77777777" w:rsidR="00000000" w:rsidRDefault="00195E73">
            <w:pPr>
              <w:rPr>
                <w:rFonts w:eastAsia="Times New Roman"/>
                <w:sz w:val="20"/>
                <w:szCs w:val="20"/>
              </w:rPr>
            </w:pPr>
          </w:p>
        </w:tc>
        <w:tc>
          <w:tcPr>
            <w:tcW w:w="0" w:type="auto"/>
            <w:vAlign w:val="center"/>
            <w:hideMark/>
          </w:tcPr>
          <w:p w14:paraId="6BBC942E" w14:textId="77777777" w:rsidR="00000000" w:rsidRDefault="00195E73">
            <w:pPr>
              <w:rPr>
                <w:rFonts w:eastAsia="Times New Roman"/>
                <w:sz w:val="20"/>
                <w:szCs w:val="20"/>
              </w:rPr>
            </w:pPr>
          </w:p>
        </w:tc>
        <w:tc>
          <w:tcPr>
            <w:tcW w:w="0" w:type="auto"/>
            <w:vAlign w:val="center"/>
            <w:hideMark/>
          </w:tcPr>
          <w:p w14:paraId="3C8D9608" w14:textId="77777777" w:rsidR="00000000" w:rsidRDefault="00195E73">
            <w:pPr>
              <w:rPr>
                <w:rFonts w:eastAsia="Times New Roman"/>
                <w:sz w:val="20"/>
                <w:szCs w:val="20"/>
              </w:rPr>
            </w:pPr>
          </w:p>
        </w:tc>
        <w:tc>
          <w:tcPr>
            <w:tcW w:w="0" w:type="auto"/>
            <w:vAlign w:val="center"/>
            <w:hideMark/>
          </w:tcPr>
          <w:p w14:paraId="1EC18B59" w14:textId="77777777" w:rsidR="00000000" w:rsidRDefault="00195E73">
            <w:pPr>
              <w:rPr>
                <w:rFonts w:eastAsia="Times New Roman"/>
                <w:sz w:val="20"/>
                <w:szCs w:val="20"/>
              </w:rPr>
            </w:pPr>
          </w:p>
        </w:tc>
        <w:tc>
          <w:tcPr>
            <w:tcW w:w="0" w:type="auto"/>
            <w:vAlign w:val="center"/>
            <w:hideMark/>
          </w:tcPr>
          <w:p w14:paraId="020B9207" w14:textId="77777777" w:rsidR="00000000" w:rsidRDefault="00195E73">
            <w:pPr>
              <w:rPr>
                <w:rFonts w:eastAsia="Times New Roman"/>
                <w:sz w:val="20"/>
                <w:szCs w:val="20"/>
              </w:rPr>
            </w:pPr>
          </w:p>
        </w:tc>
        <w:tc>
          <w:tcPr>
            <w:tcW w:w="0" w:type="auto"/>
            <w:vAlign w:val="center"/>
            <w:hideMark/>
          </w:tcPr>
          <w:p w14:paraId="10EDCEF8" w14:textId="77777777" w:rsidR="00000000" w:rsidRDefault="00195E73">
            <w:pPr>
              <w:rPr>
                <w:rFonts w:eastAsia="Times New Roman"/>
                <w:sz w:val="20"/>
                <w:szCs w:val="20"/>
              </w:rPr>
            </w:pPr>
          </w:p>
        </w:tc>
        <w:tc>
          <w:tcPr>
            <w:tcW w:w="0" w:type="auto"/>
            <w:vAlign w:val="center"/>
            <w:hideMark/>
          </w:tcPr>
          <w:p w14:paraId="0E29AAF5" w14:textId="77777777" w:rsidR="00000000" w:rsidRDefault="00195E73">
            <w:pPr>
              <w:rPr>
                <w:rFonts w:eastAsia="Times New Roman"/>
                <w:sz w:val="20"/>
                <w:szCs w:val="20"/>
              </w:rPr>
            </w:pPr>
          </w:p>
        </w:tc>
        <w:tc>
          <w:tcPr>
            <w:tcW w:w="0" w:type="auto"/>
            <w:vAlign w:val="center"/>
            <w:hideMark/>
          </w:tcPr>
          <w:p w14:paraId="6F903F95" w14:textId="77777777" w:rsidR="00000000" w:rsidRDefault="00195E73">
            <w:pPr>
              <w:rPr>
                <w:rFonts w:eastAsia="Times New Roman"/>
                <w:sz w:val="20"/>
                <w:szCs w:val="20"/>
              </w:rPr>
            </w:pPr>
          </w:p>
        </w:tc>
        <w:tc>
          <w:tcPr>
            <w:tcW w:w="0" w:type="auto"/>
            <w:vAlign w:val="center"/>
            <w:hideMark/>
          </w:tcPr>
          <w:p w14:paraId="0BE43B61" w14:textId="77777777" w:rsidR="00000000" w:rsidRDefault="00195E73">
            <w:pPr>
              <w:rPr>
                <w:rFonts w:eastAsia="Times New Roman"/>
                <w:sz w:val="20"/>
                <w:szCs w:val="20"/>
              </w:rPr>
            </w:pPr>
          </w:p>
        </w:tc>
        <w:tc>
          <w:tcPr>
            <w:tcW w:w="0" w:type="auto"/>
            <w:vAlign w:val="center"/>
            <w:hideMark/>
          </w:tcPr>
          <w:p w14:paraId="4DC6C2A4" w14:textId="77777777" w:rsidR="00000000" w:rsidRDefault="00195E73">
            <w:pPr>
              <w:rPr>
                <w:rFonts w:eastAsia="Times New Roman"/>
                <w:sz w:val="20"/>
                <w:szCs w:val="20"/>
              </w:rPr>
            </w:pPr>
          </w:p>
        </w:tc>
        <w:tc>
          <w:tcPr>
            <w:tcW w:w="0" w:type="auto"/>
            <w:vAlign w:val="center"/>
            <w:hideMark/>
          </w:tcPr>
          <w:p w14:paraId="5D25F594" w14:textId="77777777" w:rsidR="00000000" w:rsidRDefault="00195E73">
            <w:pPr>
              <w:rPr>
                <w:rFonts w:eastAsia="Times New Roman"/>
                <w:sz w:val="20"/>
                <w:szCs w:val="20"/>
              </w:rPr>
            </w:pPr>
          </w:p>
        </w:tc>
        <w:tc>
          <w:tcPr>
            <w:tcW w:w="0" w:type="auto"/>
            <w:vAlign w:val="center"/>
            <w:hideMark/>
          </w:tcPr>
          <w:p w14:paraId="144B0D1A" w14:textId="77777777" w:rsidR="00000000" w:rsidRDefault="00195E73">
            <w:pPr>
              <w:rPr>
                <w:rFonts w:eastAsia="Times New Roman"/>
                <w:sz w:val="20"/>
                <w:szCs w:val="20"/>
              </w:rPr>
            </w:pPr>
          </w:p>
        </w:tc>
      </w:tr>
      <w:tr w:rsidR="00000000" w14:paraId="19B6E19B" w14:textId="77777777">
        <w:trPr>
          <w:divId w:val="1230336832"/>
          <w:jc w:val="center"/>
        </w:trPr>
        <w:tc>
          <w:tcPr>
            <w:tcW w:w="0" w:type="auto"/>
            <w:gridSpan w:val="3"/>
            <w:shd w:val="clear" w:color="auto" w:fill="FFFFFF"/>
            <w:tcMar>
              <w:top w:w="30" w:type="dxa"/>
              <w:left w:w="20" w:type="dxa"/>
              <w:bottom w:w="30" w:type="dxa"/>
              <w:right w:w="20" w:type="dxa"/>
            </w:tcMar>
            <w:vAlign w:val="bottom"/>
            <w:hideMark/>
          </w:tcPr>
          <w:p w14:paraId="753E8F03" w14:textId="77777777" w:rsidR="00000000" w:rsidRDefault="00195E73">
            <w:pPr>
              <w:ind w:firstLine="180"/>
              <w:divId w:val="566647976"/>
              <w:rPr>
                <w:rFonts w:eastAsia="Times New Roman"/>
              </w:rPr>
            </w:pPr>
            <w:r>
              <w:rPr>
                <w:rFonts w:eastAsia="Times New Roman"/>
                <w:color w:val="000000"/>
                <w:sz w:val="20"/>
                <w:szCs w:val="20"/>
              </w:rPr>
              <w:t>Post-retirement benefits and 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7C014ACA"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89F2C6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D766EF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8BB884" w14:textId="77777777" w:rsidR="00000000" w:rsidRDefault="00195E73">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232A88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C78E1C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7B07E8" w14:textId="77777777" w:rsidR="00000000" w:rsidRDefault="00195E73">
            <w:pPr>
              <w:jc w:val="right"/>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EEB1D2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CC970A0" w14:textId="77777777" w:rsidR="00000000" w:rsidRDefault="00195E73">
            <w:pPr>
              <w:rPr>
                <w:rFonts w:eastAsia="Times New Roman"/>
                <w:sz w:val="20"/>
                <w:szCs w:val="20"/>
              </w:rPr>
            </w:pPr>
          </w:p>
        </w:tc>
        <w:tc>
          <w:tcPr>
            <w:tcW w:w="0" w:type="auto"/>
            <w:vAlign w:val="center"/>
            <w:hideMark/>
          </w:tcPr>
          <w:p w14:paraId="36F28AB5" w14:textId="77777777" w:rsidR="00000000" w:rsidRDefault="00195E73">
            <w:pPr>
              <w:rPr>
                <w:rFonts w:eastAsia="Times New Roman"/>
                <w:sz w:val="20"/>
                <w:szCs w:val="20"/>
              </w:rPr>
            </w:pPr>
          </w:p>
        </w:tc>
        <w:tc>
          <w:tcPr>
            <w:tcW w:w="0" w:type="auto"/>
            <w:vAlign w:val="center"/>
            <w:hideMark/>
          </w:tcPr>
          <w:p w14:paraId="11C020C4" w14:textId="77777777" w:rsidR="00000000" w:rsidRDefault="00195E73">
            <w:pPr>
              <w:rPr>
                <w:rFonts w:eastAsia="Times New Roman"/>
                <w:sz w:val="20"/>
                <w:szCs w:val="20"/>
              </w:rPr>
            </w:pPr>
          </w:p>
        </w:tc>
        <w:tc>
          <w:tcPr>
            <w:tcW w:w="0" w:type="auto"/>
            <w:vAlign w:val="center"/>
            <w:hideMark/>
          </w:tcPr>
          <w:p w14:paraId="12B5BEF8" w14:textId="77777777" w:rsidR="00000000" w:rsidRDefault="00195E73">
            <w:pPr>
              <w:rPr>
                <w:rFonts w:eastAsia="Times New Roman"/>
                <w:sz w:val="20"/>
                <w:szCs w:val="20"/>
              </w:rPr>
            </w:pPr>
          </w:p>
        </w:tc>
        <w:tc>
          <w:tcPr>
            <w:tcW w:w="0" w:type="auto"/>
            <w:vAlign w:val="center"/>
            <w:hideMark/>
          </w:tcPr>
          <w:p w14:paraId="616BF9AC" w14:textId="77777777" w:rsidR="00000000" w:rsidRDefault="00195E73">
            <w:pPr>
              <w:rPr>
                <w:rFonts w:eastAsia="Times New Roman"/>
                <w:sz w:val="20"/>
                <w:szCs w:val="20"/>
              </w:rPr>
            </w:pPr>
          </w:p>
        </w:tc>
        <w:tc>
          <w:tcPr>
            <w:tcW w:w="0" w:type="auto"/>
            <w:vAlign w:val="center"/>
            <w:hideMark/>
          </w:tcPr>
          <w:p w14:paraId="06562390" w14:textId="77777777" w:rsidR="00000000" w:rsidRDefault="00195E73">
            <w:pPr>
              <w:rPr>
                <w:rFonts w:eastAsia="Times New Roman"/>
                <w:sz w:val="20"/>
                <w:szCs w:val="20"/>
              </w:rPr>
            </w:pPr>
          </w:p>
        </w:tc>
        <w:tc>
          <w:tcPr>
            <w:tcW w:w="0" w:type="auto"/>
            <w:vAlign w:val="center"/>
            <w:hideMark/>
          </w:tcPr>
          <w:p w14:paraId="319F0A41" w14:textId="77777777" w:rsidR="00000000" w:rsidRDefault="00195E73">
            <w:pPr>
              <w:rPr>
                <w:rFonts w:eastAsia="Times New Roman"/>
                <w:sz w:val="20"/>
                <w:szCs w:val="20"/>
              </w:rPr>
            </w:pPr>
          </w:p>
        </w:tc>
        <w:tc>
          <w:tcPr>
            <w:tcW w:w="0" w:type="auto"/>
            <w:vAlign w:val="center"/>
            <w:hideMark/>
          </w:tcPr>
          <w:p w14:paraId="3D592945" w14:textId="77777777" w:rsidR="00000000" w:rsidRDefault="00195E73">
            <w:pPr>
              <w:rPr>
                <w:rFonts w:eastAsia="Times New Roman"/>
                <w:sz w:val="20"/>
                <w:szCs w:val="20"/>
              </w:rPr>
            </w:pPr>
          </w:p>
        </w:tc>
        <w:tc>
          <w:tcPr>
            <w:tcW w:w="0" w:type="auto"/>
            <w:vAlign w:val="center"/>
            <w:hideMark/>
          </w:tcPr>
          <w:p w14:paraId="209104C0" w14:textId="77777777" w:rsidR="00000000" w:rsidRDefault="00195E73">
            <w:pPr>
              <w:rPr>
                <w:rFonts w:eastAsia="Times New Roman"/>
                <w:sz w:val="20"/>
                <w:szCs w:val="20"/>
              </w:rPr>
            </w:pPr>
          </w:p>
        </w:tc>
        <w:tc>
          <w:tcPr>
            <w:tcW w:w="0" w:type="auto"/>
            <w:vAlign w:val="center"/>
            <w:hideMark/>
          </w:tcPr>
          <w:p w14:paraId="766FF491" w14:textId="77777777" w:rsidR="00000000" w:rsidRDefault="00195E73">
            <w:pPr>
              <w:rPr>
                <w:rFonts w:eastAsia="Times New Roman"/>
                <w:sz w:val="20"/>
                <w:szCs w:val="20"/>
              </w:rPr>
            </w:pPr>
          </w:p>
        </w:tc>
        <w:tc>
          <w:tcPr>
            <w:tcW w:w="0" w:type="auto"/>
            <w:vAlign w:val="center"/>
            <w:hideMark/>
          </w:tcPr>
          <w:p w14:paraId="40064F12" w14:textId="77777777" w:rsidR="00000000" w:rsidRDefault="00195E73">
            <w:pPr>
              <w:rPr>
                <w:rFonts w:eastAsia="Times New Roman"/>
                <w:sz w:val="20"/>
                <w:szCs w:val="20"/>
              </w:rPr>
            </w:pPr>
          </w:p>
        </w:tc>
        <w:tc>
          <w:tcPr>
            <w:tcW w:w="0" w:type="auto"/>
            <w:vAlign w:val="center"/>
            <w:hideMark/>
          </w:tcPr>
          <w:p w14:paraId="4D142AB3" w14:textId="77777777" w:rsidR="00000000" w:rsidRDefault="00195E73">
            <w:pPr>
              <w:rPr>
                <w:rFonts w:eastAsia="Times New Roman"/>
                <w:sz w:val="20"/>
                <w:szCs w:val="20"/>
              </w:rPr>
            </w:pPr>
          </w:p>
        </w:tc>
      </w:tr>
      <w:tr w:rsidR="00000000" w14:paraId="5BAC1424" w14:textId="77777777">
        <w:trPr>
          <w:divId w:val="1230336832"/>
          <w:jc w:val="center"/>
        </w:trPr>
        <w:tc>
          <w:tcPr>
            <w:tcW w:w="0" w:type="auto"/>
            <w:gridSpan w:val="3"/>
            <w:shd w:val="clear" w:color="auto" w:fill="CCEEFF"/>
            <w:tcMar>
              <w:top w:w="30" w:type="dxa"/>
              <w:left w:w="20" w:type="dxa"/>
              <w:bottom w:w="30" w:type="dxa"/>
              <w:right w:w="20" w:type="dxa"/>
            </w:tcMar>
            <w:vAlign w:val="bottom"/>
            <w:hideMark/>
          </w:tcPr>
          <w:p w14:paraId="17F9C337" w14:textId="77777777" w:rsidR="00000000" w:rsidRDefault="00195E73">
            <w:pPr>
              <w:rPr>
                <w:rFonts w:eastAsia="Times New Roman"/>
              </w:rPr>
            </w:pPr>
            <w:r>
              <w:rPr>
                <w:rFonts w:eastAsia="Times New Roman"/>
                <w:color w:val="000000"/>
                <w:sz w:val="20"/>
                <w:szCs w:val="20"/>
              </w:rPr>
              <w:t>Other comprehensive income (loss), net of ta</w:t>
            </w:r>
            <w:r>
              <w:rPr>
                <w:rFonts w:eastAsia="Times New Roman"/>
                <w:color w:val="000000"/>
                <w:sz w:val="20"/>
                <w:szCs w:val="20"/>
              </w:rPr>
              <w:t>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C2C887"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293E20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53BBA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51DE17" w14:textId="77777777" w:rsidR="00000000" w:rsidRDefault="00195E73">
            <w:pPr>
              <w:jc w:val="right"/>
              <w:rPr>
                <w:rFonts w:eastAsia="Times New Roman"/>
              </w:rPr>
            </w:pPr>
            <w:r>
              <w:rPr>
                <w:rFonts w:eastAsia="Times New Roman"/>
                <w:color w:val="000000"/>
                <w:sz w:val="20"/>
                <w:szCs w:val="20"/>
              </w:rPr>
              <w:t>(68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8C1E09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0D1B83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956BD4" w14:textId="77777777" w:rsidR="00000000" w:rsidRDefault="00195E73">
            <w:pPr>
              <w:jc w:val="right"/>
              <w:rPr>
                <w:rFonts w:eastAsia="Times New Roman"/>
              </w:rPr>
            </w:pPr>
            <w:r>
              <w:rPr>
                <w:rFonts w:eastAsia="Times New Roman"/>
                <w:color w:val="000000"/>
                <w:sz w:val="20"/>
                <w:szCs w:val="20"/>
              </w:rPr>
              <w:t>173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75666E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8B77F4D" w14:textId="77777777" w:rsidR="00000000" w:rsidRDefault="00195E73">
            <w:pPr>
              <w:rPr>
                <w:rFonts w:eastAsia="Times New Roman"/>
                <w:sz w:val="20"/>
                <w:szCs w:val="20"/>
              </w:rPr>
            </w:pPr>
          </w:p>
        </w:tc>
        <w:tc>
          <w:tcPr>
            <w:tcW w:w="0" w:type="auto"/>
            <w:vAlign w:val="center"/>
            <w:hideMark/>
          </w:tcPr>
          <w:p w14:paraId="329BB664" w14:textId="77777777" w:rsidR="00000000" w:rsidRDefault="00195E73">
            <w:pPr>
              <w:rPr>
                <w:rFonts w:eastAsia="Times New Roman"/>
                <w:sz w:val="20"/>
                <w:szCs w:val="20"/>
              </w:rPr>
            </w:pPr>
          </w:p>
        </w:tc>
        <w:tc>
          <w:tcPr>
            <w:tcW w:w="0" w:type="auto"/>
            <w:vAlign w:val="center"/>
            <w:hideMark/>
          </w:tcPr>
          <w:p w14:paraId="1AB0F944" w14:textId="77777777" w:rsidR="00000000" w:rsidRDefault="00195E73">
            <w:pPr>
              <w:rPr>
                <w:rFonts w:eastAsia="Times New Roman"/>
                <w:sz w:val="20"/>
                <w:szCs w:val="20"/>
              </w:rPr>
            </w:pPr>
          </w:p>
        </w:tc>
        <w:tc>
          <w:tcPr>
            <w:tcW w:w="0" w:type="auto"/>
            <w:vAlign w:val="center"/>
            <w:hideMark/>
          </w:tcPr>
          <w:p w14:paraId="12575E80" w14:textId="77777777" w:rsidR="00000000" w:rsidRDefault="00195E73">
            <w:pPr>
              <w:rPr>
                <w:rFonts w:eastAsia="Times New Roman"/>
                <w:sz w:val="20"/>
                <w:szCs w:val="20"/>
              </w:rPr>
            </w:pPr>
          </w:p>
        </w:tc>
        <w:tc>
          <w:tcPr>
            <w:tcW w:w="0" w:type="auto"/>
            <w:vAlign w:val="center"/>
            <w:hideMark/>
          </w:tcPr>
          <w:p w14:paraId="3CD12233" w14:textId="77777777" w:rsidR="00000000" w:rsidRDefault="00195E73">
            <w:pPr>
              <w:rPr>
                <w:rFonts w:eastAsia="Times New Roman"/>
                <w:sz w:val="20"/>
                <w:szCs w:val="20"/>
              </w:rPr>
            </w:pPr>
          </w:p>
        </w:tc>
        <w:tc>
          <w:tcPr>
            <w:tcW w:w="0" w:type="auto"/>
            <w:vAlign w:val="center"/>
            <w:hideMark/>
          </w:tcPr>
          <w:p w14:paraId="3E19E63B" w14:textId="77777777" w:rsidR="00000000" w:rsidRDefault="00195E73">
            <w:pPr>
              <w:rPr>
                <w:rFonts w:eastAsia="Times New Roman"/>
                <w:sz w:val="20"/>
                <w:szCs w:val="20"/>
              </w:rPr>
            </w:pPr>
          </w:p>
        </w:tc>
        <w:tc>
          <w:tcPr>
            <w:tcW w:w="0" w:type="auto"/>
            <w:vAlign w:val="center"/>
            <w:hideMark/>
          </w:tcPr>
          <w:p w14:paraId="02A227E6" w14:textId="77777777" w:rsidR="00000000" w:rsidRDefault="00195E73">
            <w:pPr>
              <w:rPr>
                <w:rFonts w:eastAsia="Times New Roman"/>
                <w:sz w:val="20"/>
                <w:szCs w:val="20"/>
              </w:rPr>
            </w:pPr>
          </w:p>
        </w:tc>
        <w:tc>
          <w:tcPr>
            <w:tcW w:w="0" w:type="auto"/>
            <w:vAlign w:val="center"/>
            <w:hideMark/>
          </w:tcPr>
          <w:p w14:paraId="21E15A74" w14:textId="77777777" w:rsidR="00000000" w:rsidRDefault="00195E73">
            <w:pPr>
              <w:rPr>
                <w:rFonts w:eastAsia="Times New Roman"/>
                <w:sz w:val="20"/>
                <w:szCs w:val="20"/>
              </w:rPr>
            </w:pPr>
          </w:p>
        </w:tc>
        <w:tc>
          <w:tcPr>
            <w:tcW w:w="0" w:type="auto"/>
            <w:vAlign w:val="center"/>
            <w:hideMark/>
          </w:tcPr>
          <w:p w14:paraId="5D57DAF3" w14:textId="77777777" w:rsidR="00000000" w:rsidRDefault="00195E73">
            <w:pPr>
              <w:rPr>
                <w:rFonts w:eastAsia="Times New Roman"/>
                <w:sz w:val="20"/>
                <w:szCs w:val="20"/>
              </w:rPr>
            </w:pPr>
          </w:p>
        </w:tc>
        <w:tc>
          <w:tcPr>
            <w:tcW w:w="0" w:type="auto"/>
            <w:vAlign w:val="center"/>
            <w:hideMark/>
          </w:tcPr>
          <w:p w14:paraId="0E777FB6" w14:textId="77777777" w:rsidR="00000000" w:rsidRDefault="00195E73">
            <w:pPr>
              <w:rPr>
                <w:rFonts w:eastAsia="Times New Roman"/>
                <w:sz w:val="20"/>
                <w:szCs w:val="20"/>
              </w:rPr>
            </w:pPr>
          </w:p>
        </w:tc>
        <w:tc>
          <w:tcPr>
            <w:tcW w:w="0" w:type="auto"/>
            <w:vAlign w:val="center"/>
            <w:hideMark/>
          </w:tcPr>
          <w:p w14:paraId="196B1E05" w14:textId="77777777" w:rsidR="00000000" w:rsidRDefault="00195E73">
            <w:pPr>
              <w:rPr>
                <w:rFonts w:eastAsia="Times New Roman"/>
                <w:sz w:val="20"/>
                <w:szCs w:val="20"/>
              </w:rPr>
            </w:pPr>
          </w:p>
        </w:tc>
        <w:tc>
          <w:tcPr>
            <w:tcW w:w="0" w:type="auto"/>
            <w:vAlign w:val="center"/>
            <w:hideMark/>
          </w:tcPr>
          <w:p w14:paraId="3D6B626F" w14:textId="77777777" w:rsidR="00000000" w:rsidRDefault="00195E73">
            <w:pPr>
              <w:rPr>
                <w:rFonts w:eastAsia="Times New Roman"/>
                <w:sz w:val="20"/>
                <w:szCs w:val="20"/>
              </w:rPr>
            </w:pPr>
          </w:p>
        </w:tc>
      </w:tr>
      <w:tr w:rsidR="00000000" w14:paraId="72F988B5" w14:textId="77777777">
        <w:trPr>
          <w:divId w:val="1230336832"/>
          <w:jc w:val="center"/>
        </w:trPr>
        <w:tc>
          <w:tcPr>
            <w:tcW w:w="0" w:type="auto"/>
            <w:gridSpan w:val="3"/>
            <w:shd w:val="clear" w:color="auto" w:fill="FFFFFF"/>
            <w:tcMar>
              <w:top w:w="30" w:type="dxa"/>
              <w:left w:w="20" w:type="dxa"/>
              <w:bottom w:w="30" w:type="dxa"/>
              <w:right w:w="20" w:type="dxa"/>
            </w:tcMar>
            <w:vAlign w:val="bottom"/>
            <w:hideMark/>
          </w:tcPr>
          <w:p w14:paraId="738D7E6B" w14:textId="77777777" w:rsidR="00000000" w:rsidRDefault="00195E73">
            <w:pPr>
              <w:rPr>
                <w:rFonts w:eastAsia="Times New Roman"/>
              </w:rPr>
            </w:pPr>
            <w:r>
              <w:rPr>
                <w:rFonts w:eastAsia="Times New Roman"/>
                <w:color w:val="000000"/>
                <w:sz w:val="20"/>
                <w:szCs w:val="20"/>
              </w:rPr>
              <w:t>Comprehensive (loss) incom</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37CACE" w14:textId="77777777" w:rsidR="00000000" w:rsidRDefault="00195E73">
            <w:pPr>
              <w:jc w:val="right"/>
              <w:rPr>
                <w:rFonts w:eastAsia="Times New Roman"/>
              </w:rPr>
            </w:pPr>
            <w:r>
              <w:rPr>
                <w:rFonts w:eastAsia="Times New Roman"/>
                <w:color w:val="000000"/>
                <w:sz w:val="20"/>
                <w:szCs w:val="20"/>
              </w:rPr>
              <w:t>(1,790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56C051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C0C55C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431759" w14:textId="77777777" w:rsidR="00000000" w:rsidRDefault="00195E73">
            <w:pPr>
              <w:jc w:val="right"/>
              <w:rPr>
                <w:rFonts w:eastAsia="Times New Roman"/>
              </w:rPr>
            </w:pPr>
            <w:r>
              <w:rPr>
                <w:rFonts w:eastAsia="Times New Roman"/>
                <w:color w:val="000000"/>
                <w:sz w:val="20"/>
                <w:szCs w:val="20"/>
              </w:rPr>
              <w:t>1,933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8E36E5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80C3A72"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2B0E98" w14:textId="77777777" w:rsidR="00000000" w:rsidRDefault="00195E73">
            <w:pPr>
              <w:jc w:val="right"/>
              <w:rPr>
                <w:rFonts w:eastAsia="Times New Roman"/>
              </w:rPr>
            </w:pPr>
            <w:r>
              <w:rPr>
                <w:rFonts w:eastAsia="Times New Roman"/>
                <w:color w:val="000000"/>
                <w:sz w:val="20"/>
                <w:szCs w:val="20"/>
              </w:rPr>
              <w:t>2,805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6DB954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0FA2672" w14:textId="77777777" w:rsidR="00000000" w:rsidRDefault="00195E73">
            <w:pPr>
              <w:rPr>
                <w:rFonts w:eastAsia="Times New Roman"/>
                <w:sz w:val="20"/>
                <w:szCs w:val="20"/>
              </w:rPr>
            </w:pPr>
          </w:p>
        </w:tc>
        <w:tc>
          <w:tcPr>
            <w:tcW w:w="0" w:type="auto"/>
            <w:vAlign w:val="center"/>
            <w:hideMark/>
          </w:tcPr>
          <w:p w14:paraId="47A1CDF6" w14:textId="77777777" w:rsidR="00000000" w:rsidRDefault="00195E73">
            <w:pPr>
              <w:rPr>
                <w:rFonts w:eastAsia="Times New Roman"/>
                <w:sz w:val="20"/>
                <w:szCs w:val="20"/>
              </w:rPr>
            </w:pPr>
          </w:p>
        </w:tc>
        <w:tc>
          <w:tcPr>
            <w:tcW w:w="0" w:type="auto"/>
            <w:vAlign w:val="center"/>
            <w:hideMark/>
          </w:tcPr>
          <w:p w14:paraId="25673B99" w14:textId="77777777" w:rsidR="00000000" w:rsidRDefault="00195E73">
            <w:pPr>
              <w:rPr>
                <w:rFonts w:eastAsia="Times New Roman"/>
                <w:sz w:val="20"/>
                <w:szCs w:val="20"/>
              </w:rPr>
            </w:pPr>
          </w:p>
        </w:tc>
        <w:tc>
          <w:tcPr>
            <w:tcW w:w="0" w:type="auto"/>
            <w:vAlign w:val="center"/>
            <w:hideMark/>
          </w:tcPr>
          <w:p w14:paraId="04661F46" w14:textId="77777777" w:rsidR="00000000" w:rsidRDefault="00195E73">
            <w:pPr>
              <w:rPr>
                <w:rFonts w:eastAsia="Times New Roman"/>
                <w:sz w:val="20"/>
                <w:szCs w:val="20"/>
              </w:rPr>
            </w:pPr>
          </w:p>
        </w:tc>
        <w:tc>
          <w:tcPr>
            <w:tcW w:w="0" w:type="auto"/>
            <w:vAlign w:val="center"/>
            <w:hideMark/>
          </w:tcPr>
          <w:p w14:paraId="5CCA66DE" w14:textId="77777777" w:rsidR="00000000" w:rsidRDefault="00195E73">
            <w:pPr>
              <w:rPr>
                <w:rFonts w:eastAsia="Times New Roman"/>
                <w:sz w:val="20"/>
                <w:szCs w:val="20"/>
              </w:rPr>
            </w:pPr>
          </w:p>
        </w:tc>
        <w:tc>
          <w:tcPr>
            <w:tcW w:w="0" w:type="auto"/>
            <w:vAlign w:val="center"/>
            <w:hideMark/>
          </w:tcPr>
          <w:p w14:paraId="5BD93374" w14:textId="77777777" w:rsidR="00000000" w:rsidRDefault="00195E73">
            <w:pPr>
              <w:rPr>
                <w:rFonts w:eastAsia="Times New Roman"/>
                <w:sz w:val="20"/>
                <w:szCs w:val="20"/>
              </w:rPr>
            </w:pPr>
          </w:p>
        </w:tc>
        <w:tc>
          <w:tcPr>
            <w:tcW w:w="0" w:type="auto"/>
            <w:vAlign w:val="center"/>
            <w:hideMark/>
          </w:tcPr>
          <w:p w14:paraId="3697DD0E" w14:textId="77777777" w:rsidR="00000000" w:rsidRDefault="00195E73">
            <w:pPr>
              <w:rPr>
                <w:rFonts w:eastAsia="Times New Roman"/>
                <w:sz w:val="20"/>
                <w:szCs w:val="20"/>
              </w:rPr>
            </w:pPr>
          </w:p>
        </w:tc>
        <w:tc>
          <w:tcPr>
            <w:tcW w:w="0" w:type="auto"/>
            <w:vAlign w:val="center"/>
            <w:hideMark/>
          </w:tcPr>
          <w:p w14:paraId="7B083BD9" w14:textId="77777777" w:rsidR="00000000" w:rsidRDefault="00195E73">
            <w:pPr>
              <w:rPr>
                <w:rFonts w:eastAsia="Times New Roman"/>
                <w:sz w:val="20"/>
                <w:szCs w:val="20"/>
              </w:rPr>
            </w:pPr>
          </w:p>
        </w:tc>
        <w:tc>
          <w:tcPr>
            <w:tcW w:w="0" w:type="auto"/>
            <w:vAlign w:val="center"/>
            <w:hideMark/>
          </w:tcPr>
          <w:p w14:paraId="05ECE4E7" w14:textId="77777777" w:rsidR="00000000" w:rsidRDefault="00195E73">
            <w:pPr>
              <w:rPr>
                <w:rFonts w:eastAsia="Times New Roman"/>
                <w:sz w:val="20"/>
                <w:szCs w:val="20"/>
              </w:rPr>
            </w:pPr>
          </w:p>
        </w:tc>
        <w:tc>
          <w:tcPr>
            <w:tcW w:w="0" w:type="auto"/>
            <w:vAlign w:val="center"/>
            <w:hideMark/>
          </w:tcPr>
          <w:p w14:paraId="6C162923" w14:textId="77777777" w:rsidR="00000000" w:rsidRDefault="00195E73">
            <w:pPr>
              <w:rPr>
                <w:rFonts w:eastAsia="Times New Roman"/>
                <w:sz w:val="20"/>
                <w:szCs w:val="20"/>
              </w:rPr>
            </w:pPr>
          </w:p>
        </w:tc>
        <w:tc>
          <w:tcPr>
            <w:tcW w:w="0" w:type="auto"/>
            <w:vAlign w:val="center"/>
            <w:hideMark/>
          </w:tcPr>
          <w:p w14:paraId="29351EE6" w14:textId="77777777" w:rsidR="00000000" w:rsidRDefault="00195E73">
            <w:pPr>
              <w:rPr>
                <w:rFonts w:eastAsia="Times New Roman"/>
                <w:sz w:val="20"/>
                <w:szCs w:val="20"/>
              </w:rPr>
            </w:pPr>
          </w:p>
        </w:tc>
        <w:tc>
          <w:tcPr>
            <w:tcW w:w="0" w:type="auto"/>
            <w:vAlign w:val="center"/>
            <w:hideMark/>
          </w:tcPr>
          <w:p w14:paraId="75EF28B4" w14:textId="77777777" w:rsidR="00000000" w:rsidRDefault="00195E73">
            <w:pPr>
              <w:rPr>
                <w:rFonts w:eastAsia="Times New Roman"/>
                <w:sz w:val="20"/>
                <w:szCs w:val="20"/>
              </w:rPr>
            </w:pPr>
          </w:p>
        </w:tc>
      </w:tr>
      <w:tr w:rsidR="00000000" w14:paraId="43F296DA" w14:textId="77777777">
        <w:trPr>
          <w:divId w:val="1230336832"/>
          <w:jc w:val="center"/>
        </w:trPr>
        <w:tc>
          <w:tcPr>
            <w:tcW w:w="0" w:type="auto"/>
            <w:gridSpan w:val="3"/>
            <w:shd w:val="clear" w:color="auto" w:fill="CCEEFF"/>
            <w:tcMar>
              <w:top w:w="30" w:type="dxa"/>
              <w:left w:w="20" w:type="dxa"/>
              <w:bottom w:w="30" w:type="dxa"/>
              <w:right w:w="20" w:type="dxa"/>
            </w:tcMar>
            <w:vAlign w:val="bottom"/>
            <w:hideMark/>
          </w:tcPr>
          <w:p w14:paraId="69FE89C1" w14:textId="77777777" w:rsidR="00000000" w:rsidRDefault="00195E73">
            <w:pPr>
              <w:ind w:hanging="180"/>
              <w:divId w:val="1021667170"/>
              <w:rPr>
                <w:rFonts w:eastAsia="Times New Roman"/>
              </w:rPr>
            </w:pPr>
            <w:r>
              <w:rPr>
                <w:rFonts w:eastAsia="Times New Roman"/>
                <w:color w:val="000000"/>
                <w:sz w:val="20"/>
                <w:szCs w:val="20"/>
              </w:rPr>
              <w:t>Less: Comprehensive (loss) income attributable to 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4F790A5" w14:textId="77777777" w:rsidR="00000000" w:rsidRDefault="00195E73">
            <w:pPr>
              <w:jc w:val="right"/>
              <w:rPr>
                <w:rFonts w:eastAsia="Times New Roman"/>
              </w:rPr>
            </w:pPr>
            <w:r>
              <w:rPr>
                <w:rFonts w:eastAsia="Times New Roman"/>
                <w:color w:val="000000"/>
                <w:sz w:val="20"/>
                <w:szCs w:val="20"/>
              </w:rPr>
              <w:t>(693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874FA7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ABA3A2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5561C7" w14:textId="77777777" w:rsidR="00000000" w:rsidRDefault="00195E73">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794DBF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4C6A5C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D2E5D0" w14:textId="77777777" w:rsidR="00000000" w:rsidRDefault="00195E73">
            <w:pPr>
              <w:jc w:val="right"/>
              <w:rPr>
                <w:rFonts w:eastAsia="Times New Roman"/>
              </w:rPr>
            </w:pPr>
            <w:r>
              <w:rPr>
                <w:rFonts w:eastAsia="Times New Roman"/>
                <w:color w:val="000000"/>
                <w:sz w:val="20"/>
                <w:szCs w:val="20"/>
              </w:rPr>
              <w:t>194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CC7359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15F4083" w14:textId="77777777" w:rsidR="00000000" w:rsidRDefault="00195E73">
            <w:pPr>
              <w:rPr>
                <w:rFonts w:eastAsia="Times New Roman"/>
                <w:sz w:val="20"/>
                <w:szCs w:val="20"/>
              </w:rPr>
            </w:pPr>
          </w:p>
        </w:tc>
        <w:tc>
          <w:tcPr>
            <w:tcW w:w="0" w:type="auto"/>
            <w:vAlign w:val="center"/>
            <w:hideMark/>
          </w:tcPr>
          <w:p w14:paraId="1E3AC1F3" w14:textId="77777777" w:rsidR="00000000" w:rsidRDefault="00195E73">
            <w:pPr>
              <w:rPr>
                <w:rFonts w:eastAsia="Times New Roman"/>
                <w:sz w:val="20"/>
                <w:szCs w:val="20"/>
              </w:rPr>
            </w:pPr>
          </w:p>
        </w:tc>
        <w:tc>
          <w:tcPr>
            <w:tcW w:w="0" w:type="auto"/>
            <w:vAlign w:val="center"/>
            <w:hideMark/>
          </w:tcPr>
          <w:p w14:paraId="4F2F5161" w14:textId="77777777" w:rsidR="00000000" w:rsidRDefault="00195E73">
            <w:pPr>
              <w:rPr>
                <w:rFonts w:eastAsia="Times New Roman"/>
                <w:sz w:val="20"/>
                <w:szCs w:val="20"/>
              </w:rPr>
            </w:pPr>
          </w:p>
        </w:tc>
        <w:tc>
          <w:tcPr>
            <w:tcW w:w="0" w:type="auto"/>
            <w:vAlign w:val="center"/>
            <w:hideMark/>
          </w:tcPr>
          <w:p w14:paraId="6551E8BA" w14:textId="77777777" w:rsidR="00000000" w:rsidRDefault="00195E73">
            <w:pPr>
              <w:rPr>
                <w:rFonts w:eastAsia="Times New Roman"/>
                <w:sz w:val="20"/>
                <w:szCs w:val="20"/>
              </w:rPr>
            </w:pPr>
          </w:p>
        </w:tc>
        <w:tc>
          <w:tcPr>
            <w:tcW w:w="0" w:type="auto"/>
            <w:vAlign w:val="center"/>
            <w:hideMark/>
          </w:tcPr>
          <w:p w14:paraId="125A1664" w14:textId="77777777" w:rsidR="00000000" w:rsidRDefault="00195E73">
            <w:pPr>
              <w:rPr>
                <w:rFonts w:eastAsia="Times New Roman"/>
                <w:sz w:val="20"/>
                <w:szCs w:val="20"/>
              </w:rPr>
            </w:pPr>
          </w:p>
        </w:tc>
        <w:tc>
          <w:tcPr>
            <w:tcW w:w="0" w:type="auto"/>
            <w:vAlign w:val="center"/>
            <w:hideMark/>
          </w:tcPr>
          <w:p w14:paraId="2519C69B" w14:textId="77777777" w:rsidR="00000000" w:rsidRDefault="00195E73">
            <w:pPr>
              <w:rPr>
                <w:rFonts w:eastAsia="Times New Roman"/>
                <w:sz w:val="20"/>
                <w:szCs w:val="20"/>
              </w:rPr>
            </w:pPr>
          </w:p>
        </w:tc>
        <w:tc>
          <w:tcPr>
            <w:tcW w:w="0" w:type="auto"/>
            <w:vAlign w:val="center"/>
            <w:hideMark/>
          </w:tcPr>
          <w:p w14:paraId="68E4FEB3" w14:textId="77777777" w:rsidR="00000000" w:rsidRDefault="00195E73">
            <w:pPr>
              <w:rPr>
                <w:rFonts w:eastAsia="Times New Roman"/>
                <w:sz w:val="20"/>
                <w:szCs w:val="20"/>
              </w:rPr>
            </w:pPr>
          </w:p>
        </w:tc>
        <w:tc>
          <w:tcPr>
            <w:tcW w:w="0" w:type="auto"/>
            <w:vAlign w:val="center"/>
            <w:hideMark/>
          </w:tcPr>
          <w:p w14:paraId="340C036D" w14:textId="77777777" w:rsidR="00000000" w:rsidRDefault="00195E73">
            <w:pPr>
              <w:rPr>
                <w:rFonts w:eastAsia="Times New Roman"/>
                <w:sz w:val="20"/>
                <w:szCs w:val="20"/>
              </w:rPr>
            </w:pPr>
          </w:p>
        </w:tc>
        <w:tc>
          <w:tcPr>
            <w:tcW w:w="0" w:type="auto"/>
            <w:vAlign w:val="center"/>
            <w:hideMark/>
          </w:tcPr>
          <w:p w14:paraId="4BEC43BD" w14:textId="77777777" w:rsidR="00000000" w:rsidRDefault="00195E73">
            <w:pPr>
              <w:rPr>
                <w:rFonts w:eastAsia="Times New Roman"/>
                <w:sz w:val="20"/>
                <w:szCs w:val="20"/>
              </w:rPr>
            </w:pPr>
          </w:p>
        </w:tc>
        <w:tc>
          <w:tcPr>
            <w:tcW w:w="0" w:type="auto"/>
            <w:vAlign w:val="center"/>
            <w:hideMark/>
          </w:tcPr>
          <w:p w14:paraId="41EF8D04" w14:textId="77777777" w:rsidR="00000000" w:rsidRDefault="00195E73">
            <w:pPr>
              <w:rPr>
                <w:rFonts w:eastAsia="Times New Roman"/>
                <w:sz w:val="20"/>
                <w:szCs w:val="20"/>
              </w:rPr>
            </w:pPr>
          </w:p>
        </w:tc>
        <w:tc>
          <w:tcPr>
            <w:tcW w:w="0" w:type="auto"/>
            <w:vAlign w:val="center"/>
            <w:hideMark/>
          </w:tcPr>
          <w:p w14:paraId="1E01A6C0" w14:textId="77777777" w:rsidR="00000000" w:rsidRDefault="00195E73">
            <w:pPr>
              <w:rPr>
                <w:rFonts w:eastAsia="Times New Roman"/>
                <w:sz w:val="20"/>
                <w:szCs w:val="20"/>
              </w:rPr>
            </w:pPr>
          </w:p>
        </w:tc>
        <w:tc>
          <w:tcPr>
            <w:tcW w:w="0" w:type="auto"/>
            <w:vAlign w:val="center"/>
            <w:hideMark/>
          </w:tcPr>
          <w:p w14:paraId="4066D47D" w14:textId="77777777" w:rsidR="00000000" w:rsidRDefault="00195E73">
            <w:pPr>
              <w:rPr>
                <w:rFonts w:eastAsia="Times New Roman"/>
                <w:sz w:val="20"/>
                <w:szCs w:val="20"/>
              </w:rPr>
            </w:pPr>
          </w:p>
        </w:tc>
      </w:tr>
      <w:tr w:rsidR="00000000" w14:paraId="3DBBDFB5" w14:textId="77777777">
        <w:trPr>
          <w:divId w:val="1230336832"/>
          <w:jc w:val="center"/>
        </w:trPr>
        <w:tc>
          <w:tcPr>
            <w:tcW w:w="0" w:type="auto"/>
            <w:gridSpan w:val="3"/>
            <w:shd w:val="clear" w:color="auto" w:fill="FFFFFF"/>
            <w:tcMar>
              <w:top w:w="30" w:type="dxa"/>
              <w:left w:w="20" w:type="dxa"/>
              <w:bottom w:w="30" w:type="dxa"/>
              <w:right w:w="20" w:type="dxa"/>
            </w:tcMar>
            <w:vAlign w:val="bottom"/>
            <w:hideMark/>
          </w:tcPr>
          <w:p w14:paraId="4C92020F" w14:textId="77777777" w:rsidR="00000000" w:rsidRDefault="00195E73">
            <w:pPr>
              <w:rPr>
                <w:rFonts w:eastAsia="Times New Roman"/>
              </w:rPr>
            </w:pPr>
            <w:r>
              <w:rPr>
                <w:rFonts w:eastAsia="Times New Roman"/>
                <w:color w:val="000000"/>
                <w:sz w:val="20"/>
                <w:szCs w:val="20"/>
              </w:rPr>
              <w:t>Comprehensive (loss) income attributable to Icahn Enterprise</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865E3A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7DA335D" w14:textId="77777777" w:rsidR="00000000" w:rsidRDefault="00195E73">
            <w:pPr>
              <w:jc w:val="right"/>
              <w:rPr>
                <w:rFonts w:eastAsia="Times New Roman"/>
              </w:rPr>
            </w:pPr>
            <w:r>
              <w:rPr>
                <w:rFonts w:eastAsia="Times New Roman"/>
                <w:color w:val="000000"/>
                <w:sz w:val="20"/>
                <w:szCs w:val="20"/>
              </w:rPr>
              <w:t>(1,097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8F1402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A367840"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6AFFA8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82BE21E" w14:textId="77777777" w:rsidR="00000000" w:rsidRDefault="00195E73">
            <w:pPr>
              <w:jc w:val="right"/>
              <w:rPr>
                <w:rFonts w:eastAsia="Times New Roman"/>
              </w:rPr>
            </w:pPr>
            <w:r>
              <w:rPr>
                <w:rFonts w:eastAsia="Times New Roman"/>
                <w:color w:val="000000"/>
                <w:sz w:val="20"/>
                <w:szCs w:val="20"/>
              </w:rPr>
              <w:t>1,421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68E6C2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0D799B7"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A30C5E4"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C248F73" w14:textId="77777777" w:rsidR="00000000" w:rsidRDefault="00195E73">
            <w:pPr>
              <w:jc w:val="right"/>
              <w:rPr>
                <w:rFonts w:eastAsia="Times New Roman"/>
              </w:rPr>
            </w:pPr>
            <w:r>
              <w:rPr>
                <w:rFonts w:eastAsia="Times New Roman"/>
                <w:color w:val="000000"/>
                <w:sz w:val="20"/>
                <w:szCs w:val="20"/>
              </w:rPr>
              <w:t>2,611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19FFD8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1CDFA36" w14:textId="77777777" w:rsidR="00000000" w:rsidRDefault="00195E73">
            <w:pPr>
              <w:rPr>
                <w:rFonts w:eastAsia="Times New Roman"/>
                <w:sz w:val="20"/>
                <w:szCs w:val="20"/>
              </w:rPr>
            </w:pPr>
          </w:p>
        </w:tc>
        <w:tc>
          <w:tcPr>
            <w:tcW w:w="0" w:type="auto"/>
            <w:vAlign w:val="center"/>
            <w:hideMark/>
          </w:tcPr>
          <w:p w14:paraId="4604BF1C" w14:textId="77777777" w:rsidR="00000000" w:rsidRDefault="00195E73">
            <w:pPr>
              <w:rPr>
                <w:rFonts w:eastAsia="Times New Roman"/>
                <w:sz w:val="20"/>
                <w:szCs w:val="20"/>
              </w:rPr>
            </w:pPr>
          </w:p>
        </w:tc>
        <w:tc>
          <w:tcPr>
            <w:tcW w:w="0" w:type="auto"/>
            <w:vAlign w:val="center"/>
            <w:hideMark/>
          </w:tcPr>
          <w:p w14:paraId="3F2478AD" w14:textId="77777777" w:rsidR="00000000" w:rsidRDefault="00195E73">
            <w:pPr>
              <w:rPr>
                <w:rFonts w:eastAsia="Times New Roman"/>
                <w:sz w:val="20"/>
                <w:szCs w:val="20"/>
              </w:rPr>
            </w:pPr>
          </w:p>
        </w:tc>
        <w:tc>
          <w:tcPr>
            <w:tcW w:w="0" w:type="auto"/>
            <w:vAlign w:val="center"/>
            <w:hideMark/>
          </w:tcPr>
          <w:p w14:paraId="75366713" w14:textId="77777777" w:rsidR="00000000" w:rsidRDefault="00195E73">
            <w:pPr>
              <w:rPr>
                <w:rFonts w:eastAsia="Times New Roman"/>
                <w:sz w:val="20"/>
                <w:szCs w:val="20"/>
              </w:rPr>
            </w:pPr>
          </w:p>
        </w:tc>
        <w:tc>
          <w:tcPr>
            <w:tcW w:w="0" w:type="auto"/>
            <w:vAlign w:val="center"/>
            <w:hideMark/>
          </w:tcPr>
          <w:p w14:paraId="431D4920" w14:textId="77777777" w:rsidR="00000000" w:rsidRDefault="00195E73">
            <w:pPr>
              <w:rPr>
                <w:rFonts w:eastAsia="Times New Roman"/>
                <w:sz w:val="20"/>
                <w:szCs w:val="20"/>
              </w:rPr>
            </w:pPr>
          </w:p>
        </w:tc>
        <w:tc>
          <w:tcPr>
            <w:tcW w:w="0" w:type="auto"/>
            <w:vAlign w:val="center"/>
            <w:hideMark/>
          </w:tcPr>
          <w:p w14:paraId="558B28F7" w14:textId="77777777" w:rsidR="00000000" w:rsidRDefault="00195E73">
            <w:pPr>
              <w:rPr>
                <w:rFonts w:eastAsia="Times New Roman"/>
                <w:sz w:val="20"/>
                <w:szCs w:val="20"/>
              </w:rPr>
            </w:pPr>
          </w:p>
        </w:tc>
        <w:tc>
          <w:tcPr>
            <w:tcW w:w="0" w:type="auto"/>
            <w:vAlign w:val="center"/>
            <w:hideMark/>
          </w:tcPr>
          <w:p w14:paraId="56AF6B7D" w14:textId="77777777" w:rsidR="00000000" w:rsidRDefault="00195E73">
            <w:pPr>
              <w:rPr>
                <w:rFonts w:eastAsia="Times New Roman"/>
                <w:sz w:val="20"/>
                <w:szCs w:val="20"/>
              </w:rPr>
            </w:pPr>
          </w:p>
        </w:tc>
        <w:tc>
          <w:tcPr>
            <w:tcW w:w="0" w:type="auto"/>
            <w:vAlign w:val="center"/>
            <w:hideMark/>
          </w:tcPr>
          <w:p w14:paraId="22BB797F" w14:textId="77777777" w:rsidR="00000000" w:rsidRDefault="00195E73">
            <w:pPr>
              <w:rPr>
                <w:rFonts w:eastAsia="Times New Roman"/>
                <w:sz w:val="20"/>
                <w:szCs w:val="20"/>
              </w:rPr>
            </w:pPr>
          </w:p>
        </w:tc>
        <w:tc>
          <w:tcPr>
            <w:tcW w:w="0" w:type="auto"/>
            <w:vAlign w:val="center"/>
            <w:hideMark/>
          </w:tcPr>
          <w:p w14:paraId="0D30C3DF" w14:textId="77777777" w:rsidR="00000000" w:rsidRDefault="00195E73">
            <w:pPr>
              <w:rPr>
                <w:rFonts w:eastAsia="Times New Roman"/>
                <w:sz w:val="20"/>
                <w:szCs w:val="20"/>
              </w:rPr>
            </w:pPr>
          </w:p>
        </w:tc>
        <w:tc>
          <w:tcPr>
            <w:tcW w:w="0" w:type="auto"/>
            <w:vAlign w:val="center"/>
            <w:hideMark/>
          </w:tcPr>
          <w:p w14:paraId="22D70779" w14:textId="77777777" w:rsidR="00000000" w:rsidRDefault="00195E73">
            <w:pPr>
              <w:rPr>
                <w:rFonts w:eastAsia="Times New Roman"/>
                <w:sz w:val="20"/>
                <w:szCs w:val="20"/>
              </w:rPr>
            </w:pPr>
          </w:p>
        </w:tc>
        <w:tc>
          <w:tcPr>
            <w:tcW w:w="0" w:type="auto"/>
            <w:vAlign w:val="center"/>
            <w:hideMark/>
          </w:tcPr>
          <w:p w14:paraId="2E466F0C" w14:textId="77777777" w:rsidR="00000000" w:rsidRDefault="00195E73">
            <w:pPr>
              <w:rPr>
                <w:rFonts w:eastAsia="Times New Roman"/>
                <w:sz w:val="20"/>
                <w:szCs w:val="20"/>
              </w:rPr>
            </w:pPr>
          </w:p>
        </w:tc>
        <w:tc>
          <w:tcPr>
            <w:tcW w:w="0" w:type="auto"/>
            <w:vAlign w:val="center"/>
            <w:hideMark/>
          </w:tcPr>
          <w:p w14:paraId="5F1EDAC7" w14:textId="77777777" w:rsidR="00000000" w:rsidRDefault="00195E73">
            <w:pPr>
              <w:rPr>
                <w:rFonts w:eastAsia="Times New Roman"/>
                <w:sz w:val="20"/>
                <w:szCs w:val="20"/>
              </w:rPr>
            </w:pPr>
          </w:p>
        </w:tc>
      </w:tr>
      <w:tr w:rsidR="00000000" w14:paraId="66A0886E" w14:textId="77777777">
        <w:trPr>
          <w:divId w:val="1230336832"/>
          <w:trHeight w:val="300"/>
          <w:jc w:val="center"/>
        </w:trPr>
        <w:tc>
          <w:tcPr>
            <w:tcW w:w="0" w:type="auto"/>
            <w:gridSpan w:val="3"/>
            <w:shd w:val="clear" w:color="auto" w:fill="CCEEFF"/>
            <w:tcMar>
              <w:top w:w="15" w:type="dxa"/>
              <w:left w:w="20" w:type="dxa"/>
              <w:bottom w:w="15" w:type="dxa"/>
              <w:right w:w="20" w:type="dxa"/>
            </w:tcMar>
            <w:vAlign w:val="bottom"/>
            <w:hideMark/>
          </w:tcPr>
          <w:p w14:paraId="6B81ED4E" w14:textId="77777777" w:rsidR="00000000" w:rsidRDefault="00195E73">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279BF4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3ABB6AC"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D8BC106"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578C32B"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4E4271B" w14:textId="77777777" w:rsidR="00000000" w:rsidRDefault="00195E73">
            <w:pPr>
              <w:rPr>
                <w:rFonts w:eastAsia="Times New Roman"/>
                <w:sz w:val="20"/>
                <w:szCs w:val="20"/>
              </w:rPr>
            </w:pPr>
          </w:p>
        </w:tc>
        <w:tc>
          <w:tcPr>
            <w:tcW w:w="0" w:type="auto"/>
            <w:vAlign w:val="center"/>
            <w:hideMark/>
          </w:tcPr>
          <w:p w14:paraId="1FBD1286" w14:textId="77777777" w:rsidR="00000000" w:rsidRDefault="00195E73">
            <w:pPr>
              <w:rPr>
                <w:rFonts w:eastAsia="Times New Roman"/>
                <w:sz w:val="20"/>
                <w:szCs w:val="20"/>
              </w:rPr>
            </w:pPr>
          </w:p>
        </w:tc>
        <w:tc>
          <w:tcPr>
            <w:tcW w:w="0" w:type="auto"/>
            <w:vAlign w:val="center"/>
            <w:hideMark/>
          </w:tcPr>
          <w:p w14:paraId="337C5EBF" w14:textId="77777777" w:rsidR="00000000" w:rsidRDefault="00195E73">
            <w:pPr>
              <w:rPr>
                <w:rFonts w:eastAsia="Times New Roman"/>
                <w:sz w:val="20"/>
                <w:szCs w:val="20"/>
              </w:rPr>
            </w:pPr>
          </w:p>
        </w:tc>
        <w:tc>
          <w:tcPr>
            <w:tcW w:w="0" w:type="auto"/>
            <w:vAlign w:val="center"/>
            <w:hideMark/>
          </w:tcPr>
          <w:p w14:paraId="454B847A" w14:textId="77777777" w:rsidR="00000000" w:rsidRDefault="00195E73">
            <w:pPr>
              <w:rPr>
                <w:rFonts w:eastAsia="Times New Roman"/>
                <w:sz w:val="20"/>
                <w:szCs w:val="20"/>
              </w:rPr>
            </w:pPr>
          </w:p>
        </w:tc>
        <w:tc>
          <w:tcPr>
            <w:tcW w:w="0" w:type="auto"/>
            <w:vAlign w:val="center"/>
            <w:hideMark/>
          </w:tcPr>
          <w:p w14:paraId="7D2613E8" w14:textId="77777777" w:rsidR="00000000" w:rsidRDefault="00195E73">
            <w:pPr>
              <w:rPr>
                <w:rFonts w:eastAsia="Times New Roman"/>
                <w:sz w:val="20"/>
                <w:szCs w:val="20"/>
              </w:rPr>
            </w:pPr>
          </w:p>
        </w:tc>
        <w:tc>
          <w:tcPr>
            <w:tcW w:w="0" w:type="auto"/>
            <w:vAlign w:val="center"/>
            <w:hideMark/>
          </w:tcPr>
          <w:p w14:paraId="38D6B872" w14:textId="77777777" w:rsidR="00000000" w:rsidRDefault="00195E73">
            <w:pPr>
              <w:rPr>
                <w:rFonts w:eastAsia="Times New Roman"/>
                <w:sz w:val="20"/>
                <w:szCs w:val="20"/>
              </w:rPr>
            </w:pPr>
          </w:p>
        </w:tc>
        <w:tc>
          <w:tcPr>
            <w:tcW w:w="0" w:type="auto"/>
            <w:vAlign w:val="center"/>
            <w:hideMark/>
          </w:tcPr>
          <w:p w14:paraId="206ECF59" w14:textId="77777777" w:rsidR="00000000" w:rsidRDefault="00195E73">
            <w:pPr>
              <w:rPr>
                <w:rFonts w:eastAsia="Times New Roman"/>
                <w:sz w:val="20"/>
                <w:szCs w:val="20"/>
              </w:rPr>
            </w:pPr>
          </w:p>
        </w:tc>
        <w:tc>
          <w:tcPr>
            <w:tcW w:w="0" w:type="auto"/>
            <w:vAlign w:val="center"/>
            <w:hideMark/>
          </w:tcPr>
          <w:p w14:paraId="56154C51" w14:textId="77777777" w:rsidR="00000000" w:rsidRDefault="00195E73">
            <w:pPr>
              <w:rPr>
                <w:rFonts w:eastAsia="Times New Roman"/>
                <w:sz w:val="20"/>
                <w:szCs w:val="20"/>
              </w:rPr>
            </w:pPr>
          </w:p>
        </w:tc>
        <w:tc>
          <w:tcPr>
            <w:tcW w:w="0" w:type="auto"/>
            <w:vAlign w:val="center"/>
            <w:hideMark/>
          </w:tcPr>
          <w:p w14:paraId="0A1DA81B" w14:textId="77777777" w:rsidR="00000000" w:rsidRDefault="00195E73">
            <w:pPr>
              <w:rPr>
                <w:rFonts w:eastAsia="Times New Roman"/>
                <w:sz w:val="20"/>
                <w:szCs w:val="20"/>
              </w:rPr>
            </w:pPr>
          </w:p>
        </w:tc>
        <w:tc>
          <w:tcPr>
            <w:tcW w:w="0" w:type="auto"/>
            <w:vAlign w:val="center"/>
            <w:hideMark/>
          </w:tcPr>
          <w:p w14:paraId="2EC6BDC5" w14:textId="77777777" w:rsidR="00000000" w:rsidRDefault="00195E73">
            <w:pPr>
              <w:rPr>
                <w:rFonts w:eastAsia="Times New Roman"/>
                <w:sz w:val="20"/>
                <w:szCs w:val="20"/>
              </w:rPr>
            </w:pPr>
          </w:p>
        </w:tc>
        <w:tc>
          <w:tcPr>
            <w:tcW w:w="0" w:type="auto"/>
            <w:vAlign w:val="center"/>
            <w:hideMark/>
          </w:tcPr>
          <w:p w14:paraId="196AFD9E" w14:textId="77777777" w:rsidR="00000000" w:rsidRDefault="00195E73">
            <w:pPr>
              <w:rPr>
                <w:rFonts w:eastAsia="Times New Roman"/>
                <w:sz w:val="20"/>
                <w:szCs w:val="20"/>
              </w:rPr>
            </w:pPr>
          </w:p>
        </w:tc>
        <w:tc>
          <w:tcPr>
            <w:tcW w:w="0" w:type="auto"/>
            <w:vAlign w:val="center"/>
            <w:hideMark/>
          </w:tcPr>
          <w:p w14:paraId="38906214" w14:textId="77777777" w:rsidR="00000000" w:rsidRDefault="00195E73">
            <w:pPr>
              <w:rPr>
                <w:rFonts w:eastAsia="Times New Roman"/>
                <w:sz w:val="20"/>
                <w:szCs w:val="20"/>
              </w:rPr>
            </w:pPr>
          </w:p>
        </w:tc>
        <w:tc>
          <w:tcPr>
            <w:tcW w:w="0" w:type="auto"/>
            <w:vAlign w:val="center"/>
            <w:hideMark/>
          </w:tcPr>
          <w:p w14:paraId="160F5E47" w14:textId="77777777" w:rsidR="00000000" w:rsidRDefault="00195E73">
            <w:pPr>
              <w:rPr>
                <w:rFonts w:eastAsia="Times New Roman"/>
                <w:sz w:val="20"/>
                <w:szCs w:val="20"/>
              </w:rPr>
            </w:pPr>
          </w:p>
        </w:tc>
      </w:tr>
      <w:tr w:rsidR="00000000" w14:paraId="481E61A2" w14:textId="77777777">
        <w:trPr>
          <w:divId w:val="1230336832"/>
          <w:jc w:val="center"/>
        </w:trPr>
        <w:tc>
          <w:tcPr>
            <w:tcW w:w="0" w:type="auto"/>
            <w:gridSpan w:val="3"/>
            <w:shd w:val="clear" w:color="auto" w:fill="FFFFFF"/>
            <w:tcMar>
              <w:top w:w="30" w:type="dxa"/>
              <w:left w:w="20" w:type="dxa"/>
              <w:bottom w:w="30" w:type="dxa"/>
              <w:right w:w="20" w:type="dxa"/>
            </w:tcMar>
            <w:vAlign w:val="bottom"/>
            <w:hideMark/>
          </w:tcPr>
          <w:p w14:paraId="379EDE78" w14:textId="77777777" w:rsidR="00000000" w:rsidRDefault="00195E73">
            <w:pPr>
              <w:ind w:hanging="180"/>
              <w:divId w:val="833498942"/>
              <w:rPr>
                <w:rFonts w:eastAsia="Times New Roman"/>
              </w:rPr>
            </w:pPr>
            <w:r>
              <w:rPr>
                <w:rFonts w:eastAsia="Times New Roman"/>
                <w:color w:val="000000"/>
                <w:sz w:val="20"/>
                <w:szCs w:val="20"/>
              </w:rPr>
              <w:t>Comprehensive (loss) income attributable to Icahn Enterprises allocated to</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64C97AC2" w14:textId="77777777" w:rsidR="00000000" w:rsidRDefault="00195E73">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077442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A7EB10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9598AF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B342AFF" w14:textId="77777777" w:rsidR="00000000" w:rsidRDefault="00195E73">
            <w:pPr>
              <w:rPr>
                <w:rFonts w:eastAsia="Times New Roman"/>
                <w:sz w:val="20"/>
                <w:szCs w:val="20"/>
              </w:rPr>
            </w:pPr>
          </w:p>
        </w:tc>
        <w:tc>
          <w:tcPr>
            <w:tcW w:w="0" w:type="auto"/>
            <w:vAlign w:val="center"/>
            <w:hideMark/>
          </w:tcPr>
          <w:p w14:paraId="2B62649C" w14:textId="77777777" w:rsidR="00000000" w:rsidRDefault="00195E73">
            <w:pPr>
              <w:rPr>
                <w:rFonts w:eastAsia="Times New Roman"/>
                <w:sz w:val="20"/>
                <w:szCs w:val="20"/>
              </w:rPr>
            </w:pPr>
          </w:p>
        </w:tc>
        <w:tc>
          <w:tcPr>
            <w:tcW w:w="0" w:type="auto"/>
            <w:vAlign w:val="center"/>
            <w:hideMark/>
          </w:tcPr>
          <w:p w14:paraId="78BA84B1" w14:textId="77777777" w:rsidR="00000000" w:rsidRDefault="00195E73">
            <w:pPr>
              <w:rPr>
                <w:rFonts w:eastAsia="Times New Roman"/>
                <w:sz w:val="20"/>
                <w:szCs w:val="20"/>
              </w:rPr>
            </w:pPr>
          </w:p>
        </w:tc>
        <w:tc>
          <w:tcPr>
            <w:tcW w:w="0" w:type="auto"/>
            <w:vAlign w:val="center"/>
            <w:hideMark/>
          </w:tcPr>
          <w:p w14:paraId="26817A35" w14:textId="77777777" w:rsidR="00000000" w:rsidRDefault="00195E73">
            <w:pPr>
              <w:rPr>
                <w:rFonts w:eastAsia="Times New Roman"/>
                <w:sz w:val="20"/>
                <w:szCs w:val="20"/>
              </w:rPr>
            </w:pPr>
          </w:p>
        </w:tc>
        <w:tc>
          <w:tcPr>
            <w:tcW w:w="0" w:type="auto"/>
            <w:vAlign w:val="center"/>
            <w:hideMark/>
          </w:tcPr>
          <w:p w14:paraId="5039F920" w14:textId="77777777" w:rsidR="00000000" w:rsidRDefault="00195E73">
            <w:pPr>
              <w:rPr>
                <w:rFonts w:eastAsia="Times New Roman"/>
                <w:sz w:val="20"/>
                <w:szCs w:val="20"/>
              </w:rPr>
            </w:pPr>
          </w:p>
        </w:tc>
        <w:tc>
          <w:tcPr>
            <w:tcW w:w="0" w:type="auto"/>
            <w:vAlign w:val="center"/>
            <w:hideMark/>
          </w:tcPr>
          <w:p w14:paraId="5B173177" w14:textId="77777777" w:rsidR="00000000" w:rsidRDefault="00195E73">
            <w:pPr>
              <w:rPr>
                <w:rFonts w:eastAsia="Times New Roman"/>
                <w:sz w:val="20"/>
                <w:szCs w:val="20"/>
              </w:rPr>
            </w:pPr>
          </w:p>
        </w:tc>
        <w:tc>
          <w:tcPr>
            <w:tcW w:w="0" w:type="auto"/>
            <w:vAlign w:val="center"/>
            <w:hideMark/>
          </w:tcPr>
          <w:p w14:paraId="23D19134" w14:textId="77777777" w:rsidR="00000000" w:rsidRDefault="00195E73">
            <w:pPr>
              <w:rPr>
                <w:rFonts w:eastAsia="Times New Roman"/>
                <w:sz w:val="20"/>
                <w:szCs w:val="20"/>
              </w:rPr>
            </w:pPr>
          </w:p>
        </w:tc>
        <w:tc>
          <w:tcPr>
            <w:tcW w:w="0" w:type="auto"/>
            <w:vAlign w:val="center"/>
            <w:hideMark/>
          </w:tcPr>
          <w:p w14:paraId="39BC2BBE" w14:textId="77777777" w:rsidR="00000000" w:rsidRDefault="00195E73">
            <w:pPr>
              <w:rPr>
                <w:rFonts w:eastAsia="Times New Roman"/>
                <w:sz w:val="20"/>
                <w:szCs w:val="20"/>
              </w:rPr>
            </w:pPr>
          </w:p>
        </w:tc>
        <w:tc>
          <w:tcPr>
            <w:tcW w:w="0" w:type="auto"/>
            <w:vAlign w:val="center"/>
            <w:hideMark/>
          </w:tcPr>
          <w:p w14:paraId="02E6E62D" w14:textId="77777777" w:rsidR="00000000" w:rsidRDefault="00195E73">
            <w:pPr>
              <w:rPr>
                <w:rFonts w:eastAsia="Times New Roman"/>
                <w:sz w:val="20"/>
                <w:szCs w:val="20"/>
              </w:rPr>
            </w:pPr>
          </w:p>
        </w:tc>
        <w:tc>
          <w:tcPr>
            <w:tcW w:w="0" w:type="auto"/>
            <w:vAlign w:val="center"/>
            <w:hideMark/>
          </w:tcPr>
          <w:p w14:paraId="6F191121" w14:textId="77777777" w:rsidR="00000000" w:rsidRDefault="00195E73">
            <w:pPr>
              <w:rPr>
                <w:rFonts w:eastAsia="Times New Roman"/>
                <w:sz w:val="20"/>
                <w:szCs w:val="20"/>
              </w:rPr>
            </w:pPr>
          </w:p>
        </w:tc>
        <w:tc>
          <w:tcPr>
            <w:tcW w:w="0" w:type="auto"/>
            <w:vAlign w:val="center"/>
            <w:hideMark/>
          </w:tcPr>
          <w:p w14:paraId="2FB31574" w14:textId="77777777" w:rsidR="00000000" w:rsidRDefault="00195E73">
            <w:pPr>
              <w:rPr>
                <w:rFonts w:eastAsia="Times New Roman"/>
                <w:sz w:val="20"/>
                <w:szCs w:val="20"/>
              </w:rPr>
            </w:pPr>
          </w:p>
        </w:tc>
        <w:tc>
          <w:tcPr>
            <w:tcW w:w="0" w:type="auto"/>
            <w:vAlign w:val="center"/>
            <w:hideMark/>
          </w:tcPr>
          <w:p w14:paraId="044AD44B" w14:textId="77777777" w:rsidR="00000000" w:rsidRDefault="00195E73">
            <w:pPr>
              <w:rPr>
                <w:rFonts w:eastAsia="Times New Roman"/>
                <w:sz w:val="20"/>
                <w:szCs w:val="20"/>
              </w:rPr>
            </w:pPr>
          </w:p>
        </w:tc>
        <w:tc>
          <w:tcPr>
            <w:tcW w:w="0" w:type="auto"/>
            <w:vAlign w:val="center"/>
            <w:hideMark/>
          </w:tcPr>
          <w:p w14:paraId="45BEE9DB" w14:textId="77777777" w:rsidR="00000000" w:rsidRDefault="00195E73">
            <w:pPr>
              <w:rPr>
                <w:rFonts w:eastAsia="Times New Roman"/>
                <w:sz w:val="20"/>
                <w:szCs w:val="20"/>
              </w:rPr>
            </w:pPr>
          </w:p>
        </w:tc>
      </w:tr>
      <w:tr w:rsidR="00000000" w14:paraId="16D75F46" w14:textId="77777777">
        <w:trPr>
          <w:divId w:val="1230336832"/>
          <w:jc w:val="center"/>
        </w:trPr>
        <w:tc>
          <w:tcPr>
            <w:tcW w:w="0" w:type="auto"/>
            <w:gridSpan w:val="3"/>
            <w:shd w:val="clear" w:color="auto" w:fill="CCEEFF"/>
            <w:tcMar>
              <w:top w:w="30" w:type="dxa"/>
              <w:left w:w="20" w:type="dxa"/>
              <w:bottom w:w="30" w:type="dxa"/>
              <w:right w:w="20" w:type="dxa"/>
            </w:tcMar>
            <w:vAlign w:val="bottom"/>
            <w:hideMark/>
          </w:tcPr>
          <w:p w14:paraId="50944CFB" w14:textId="77777777" w:rsidR="00000000" w:rsidRDefault="00195E73">
            <w:pPr>
              <w:rPr>
                <w:rFonts w:eastAsia="Times New Roman"/>
              </w:rPr>
            </w:pPr>
            <w:r>
              <w:rPr>
                <w:rFonts w:eastAsia="Times New Roman"/>
                <w:color w:val="000000"/>
                <w:sz w:val="20"/>
                <w:szCs w:val="20"/>
              </w:rPr>
              <w:t>   Limited partner</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645A1DC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0368C3A" w14:textId="77777777" w:rsidR="00000000" w:rsidRDefault="00195E73">
            <w:pPr>
              <w:jc w:val="right"/>
              <w:rPr>
                <w:rFonts w:eastAsia="Times New Roman"/>
              </w:rPr>
            </w:pPr>
            <w:r>
              <w:rPr>
                <w:rFonts w:eastAsia="Times New Roman"/>
                <w:color w:val="000000"/>
                <w:sz w:val="20"/>
                <w:szCs w:val="20"/>
              </w:rPr>
              <w:t>(1,075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7AE7AD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BAB67F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9C145A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69AE5ED" w14:textId="77777777" w:rsidR="00000000" w:rsidRDefault="00195E73">
            <w:pPr>
              <w:jc w:val="right"/>
              <w:rPr>
                <w:rFonts w:eastAsia="Times New Roman"/>
              </w:rPr>
            </w:pPr>
            <w:r>
              <w:rPr>
                <w:rFonts w:eastAsia="Times New Roman"/>
                <w:color w:val="000000"/>
                <w:sz w:val="20"/>
                <w:szCs w:val="20"/>
              </w:rPr>
              <w:t>1,979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F73741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B3A4D2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6AEE27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E325DB3" w14:textId="77777777" w:rsidR="00000000" w:rsidRDefault="00195E73">
            <w:pPr>
              <w:jc w:val="right"/>
              <w:rPr>
                <w:rFonts w:eastAsia="Times New Roman"/>
              </w:rPr>
            </w:pPr>
            <w:r>
              <w:rPr>
                <w:rFonts w:eastAsia="Times New Roman"/>
                <w:color w:val="000000"/>
                <w:sz w:val="20"/>
                <w:szCs w:val="20"/>
              </w:rPr>
              <w:t>2,559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D41628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06DF8B1" w14:textId="77777777" w:rsidR="00000000" w:rsidRDefault="00195E73">
            <w:pPr>
              <w:rPr>
                <w:rFonts w:eastAsia="Times New Roman"/>
                <w:sz w:val="20"/>
                <w:szCs w:val="20"/>
              </w:rPr>
            </w:pPr>
          </w:p>
        </w:tc>
        <w:tc>
          <w:tcPr>
            <w:tcW w:w="0" w:type="auto"/>
            <w:vAlign w:val="center"/>
            <w:hideMark/>
          </w:tcPr>
          <w:p w14:paraId="65EA4663" w14:textId="77777777" w:rsidR="00000000" w:rsidRDefault="00195E73">
            <w:pPr>
              <w:rPr>
                <w:rFonts w:eastAsia="Times New Roman"/>
                <w:sz w:val="20"/>
                <w:szCs w:val="20"/>
              </w:rPr>
            </w:pPr>
          </w:p>
        </w:tc>
        <w:tc>
          <w:tcPr>
            <w:tcW w:w="0" w:type="auto"/>
            <w:vAlign w:val="center"/>
            <w:hideMark/>
          </w:tcPr>
          <w:p w14:paraId="679B249F" w14:textId="77777777" w:rsidR="00000000" w:rsidRDefault="00195E73">
            <w:pPr>
              <w:rPr>
                <w:rFonts w:eastAsia="Times New Roman"/>
                <w:sz w:val="20"/>
                <w:szCs w:val="20"/>
              </w:rPr>
            </w:pPr>
          </w:p>
        </w:tc>
        <w:tc>
          <w:tcPr>
            <w:tcW w:w="0" w:type="auto"/>
            <w:vAlign w:val="center"/>
            <w:hideMark/>
          </w:tcPr>
          <w:p w14:paraId="45D8CDBD" w14:textId="77777777" w:rsidR="00000000" w:rsidRDefault="00195E73">
            <w:pPr>
              <w:rPr>
                <w:rFonts w:eastAsia="Times New Roman"/>
                <w:sz w:val="20"/>
                <w:szCs w:val="20"/>
              </w:rPr>
            </w:pPr>
          </w:p>
        </w:tc>
        <w:tc>
          <w:tcPr>
            <w:tcW w:w="0" w:type="auto"/>
            <w:vAlign w:val="center"/>
            <w:hideMark/>
          </w:tcPr>
          <w:p w14:paraId="2959ADAB" w14:textId="77777777" w:rsidR="00000000" w:rsidRDefault="00195E73">
            <w:pPr>
              <w:rPr>
                <w:rFonts w:eastAsia="Times New Roman"/>
                <w:sz w:val="20"/>
                <w:szCs w:val="20"/>
              </w:rPr>
            </w:pPr>
          </w:p>
        </w:tc>
        <w:tc>
          <w:tcPr>
            <w:tcW w:w="0" w:type="auto"/>
            <w:vAlign w:val="center"/>
            <w:hideMark/>
          </w:tcPr>
          <w:p w14:paraId="70684313" w14:textId="77777777" w:rsidR="00000000" w:rsidRDefault="00195E73">
            <w:pPr>
              <w:rPr>
                <w:rFonts w:eastAsia="Times New Roman"/>
                <w:sz w:val="20"/>
                <w:szCs w:val="20"/>
              </w:rPr>
            </w:pPr>
          </w:p>
        </w:tc>
        <w:tc>
          <w:tcPr>
            <w:tcW w:w="0" w:type="auto"/>
            <w:vAlign w:val="center"/>
            <w:hideMark/>
          </w:tcPr>
          <w:p w14:paraId="6AE21474" w14:textId="77777777" w:rsidR="00000000" w:rsidRDefault="00195E73">
            <w:pPr>
              <w:rPr>
                <w:rFonts w:eastAsia="Times New Roman"/>
                <w:sz w:val="20"/>
                <w:szCs w:val="20"/>
              </w:rPr>
            </w:pPr>
          </w:p>
        </w:tc>
        <w:tc>
          <w:tcPr>
            <w:tcW w:w="0" w:type="auto"/>
            <w:vAlign w:val="center"/>
            <w:hideMark/>
          </w:tcPr>
          <w:p w14:paraId="7E379D59" w14:textId="77777777" w:rsidR="00000000" w:rsidRDefault="00195E73">
            <w:pPr>
              <w:rPr>
                <w:rFonts w:eastAsia="Times New Roman"/>
                <w:sz w:val="20"/>
                <w:szCs w:val="20"/>
              </w:rPr>
            </w:pPr>
          </w:p>
        </w:tc>
        <w:tc>
          <w:tcPr>
            <w:tcW w:w="0" w:type="auto"/>
            <w:vAlign w:val="center"/>
            <w:hideMark/>
          </w:tcPr>
          <w:p w14:paraId="369C5F3C" w14:textId="77777777" w:rsidR="00000000" w:rsidRDefault="00195E73">
            <w:pPr>
              <w:rPr>
                <w:rFonts w:eastAsia="Times New Roman"/>
                <w:sz w:val="20"/>
                <w:szCs w:val="20"/>
              </w:rPr>
            </w:pPr>
          </w:p>
        </w:tc>
        <w:tc>
          <w:tcPr>
            <w:tcW w:w="0" w:type="auto"/>
            <w:vAlign w:val="center"/>
            <w:hideMark/>
          </w:tcPr>
          <w:p w14:paraId="27FE5D09" w14:textId="77777777" w:rsidR="00000000" w:rsidRDefault="00195E73">
            <w:pPr>
              <w:rPr>
                <w:rFonts w:eastAsia="Times New Roman"/>
                <w:sz w:val="20"/>
                <w:szCs w:val="20"/>
              </w:rPr>
            </w:pPr>
          </w:p>
        </w:tc>
        <w:tc>
          <w:tcPr>
            <w:tcW w:w="0" w:type="auto"/>
            <w:vAlign w:val="center"/>
            <w:hideMark/>
          </w:tcPr>
          <w:p w14:paraId="6443ECBF" w14:textId="77777777" w:rsidR="00000000" w:rsidRDefault="00195E73">
            <w:pPr>
              <w:rPr>
                <w:rFonts w:eastAsia="Times New Roman"/>
                <w:sz w:val="20"/>
                <w:szCs w:val="20"/>
              </w:rPr>
            </w:pPr>
          </w:p>
        </w:tc>
        <w:tc>
          <w:tcPr>
            <w:tcW w:w="0" w:type="auto"/>
            <w:vAlign w:val="center"/>
            <w:hideMark/>
          </w:tcPr>
          <w:p w14:paraId="1CDE4A5C" w14:textId="77777777" w:rsidR="00000000" w:rsidRDefault="00195E73">
            <w:pPr>
              <w:rPr>
                <w:rFonts w:eastAsia="Times New Roman"/>
                <w:sz w:val="20"/>
                <w:szCs w:val="20"/>
              </w:rPr>
            </w:pPr>
          </w:p>
        </w:tc>
      </w:tr>
      <w:tr w:rsidR="00000000" w14:paraId="133B44FB" w14:textId="77777777">
        <w:trPr>
          <w:divId w:val="1230336832"/>
          <w:jc w:val="center"/>
        </w:trPr>
        <w:tc>
          <w:tcPr>
            <w:tcW w:w="0" w:type="auto"/>
            <w:gridSpan w:val="3"/>
            <w:shd w:val="clear" w:color="auto" w:fill="FFFFFF"/>
            <w:tcMar>
              <w:top w:w="30" w:type="dxa"/>
              <w:left w:w="20" w:type="dxa"/>
              <w:bottom w:w="30" w:type="dxa"/>
              <w:right w:w="20" w:type="dxa"/>
            </w:tcMar>
            <w:vAlign w:val="bottom"/>
            <w:hideMark/>
          </w:tcPr>
          <w:p w14:paraId="5F6ECE94" w14:textId="77777777" w:rsidR="00000000" w:rsidRDefault="00195E73">
            <w:pPr>
              <w:rPr>
                <w:rFonts w:eastAsia="Times New Roman"/>
              </w:rPr>
            </w:pPr>
            <w:r>
              <w:rPr>
                <w:rFonts w:eastAsia="Times New Roman"/>
                <w:color w:val="000000"/>
                <w:sz w:val="20"/>
                <w:szCs w:val="20"/>
              </w:rPr>
              <w:t>   General partne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38F7EEEA" w14:textId="77777777" w:rsidR="00000000" w:rsidRDefault="00195E73">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A95571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E3B875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C30677" w14:textId="77777777" w:rsidR="00000000" w:rsidRDefault="00195E73">
            <w:pPr>
              <w:jc w:val="right"/>
              <w:rPr>
                <w:rFonts w:eastAsia="Times New Roman"/>
              </w:rPr>
            </w:pPr>
            <w:r>
              <w:rPr>
                <w:rFonts w:eastAsia="Times New Roman"/>
                <w:color w:val="000000"/>
                <w:sz w:val="20"/>
                <w:szCs w:val="20"/>
              </w:rPr>
              <w:t>(558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0DBED8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03530D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9F49D3" w14:textId="77777777" w:rsidR="00000000" w:rsidRDefault="00195E73">
            <w:pPr>
              <w:jc w:val="right"/>
              <w:rPr>
                <w:rFonts w:eastAsia="Times New Roman"/>
              </w:rPr>
            </w:pPr>
            <w:r>
              <w:rPr>
                <w:rFonts w:eastAsia="Times New Roman"/>
                <w:color w:val="000000"/>
                <w:sz w:val="20"/>
                <w:szCs w:val="20"/>
              </w:rPr>
              <w:t>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0DFF39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A912D84" w14:textId="77777777" w:rsidR="00000000" w:rsidRDefault="00195E73">
            <w:pPr>
              <w:rPr>
                <w:rFonts w:eastAsia="Times New Roman"/>
                <w:sz w:val="20"/>
                <w:szCs w:val="20"/>
              </w:rPr>
            </w:pPr>
          </w:p>
        </w:tc>
        <w:tc>
          <w:tcPr>
            <w:tcW w:w="0" w:type="auto"/>
            <w:vAlign w:val="center"/>
            <w:hideMark/>
          </w:tcPr>
          <w:p w14:paraId="6E8C013C" w14:textId="77777777" w:rsidR="00000000" w:rsidRDefault="00195E73">
            <w:pPr>
              <w:rPr>
                <w:rFonts w:eastAsia="Times New Roman"/>
                <w:sz w:val="20"/>
                <w:szCs w:val="20"/>
              </w:rPr>
            </w:pPr>
          </w:p>
        </w:tc>
        <w:tc>
          <w:tcPr>
            <w:tcW w:w="0" w:type="auto"/>
            <w:vAlign w:val="center"/>
            <w:hideMark/>
          </w:tcPr>
          <w:p w14:paraId="0C18444D" w14:textId="77777777" w:rsidR="00000000" w:rsidRDefault="00195E73">
            <w:pPr>
              <w:rPr>
                <w:rFonts w:eastAsia="Times New Roman"/>
                <w:sz w:val="20"/>
                <w:szCs w:val="20"/>
              </w:rPr>
            </w:pPr>
          </w:p>
        </w:tc>
        <w:tc>
          <w:tcPr>
            <w:tcW w:w="0" w:type="auto"/>
            <w:vAlign w:val="center"/>
            <w:hideMark/>
          </w:tcPr>
          <w:p w14:paraId="1A00E7DC" w14:textId="77777777" w:rsidR="00000000" w:rsidRDefault="00195E73">
            <w:pPr>
              <w:rPr>
                <w:rFonts w:eastAsia="Times New Roman"/>
                <w:sz w:val="20"/>
                <w:szCs w:val="20"/>
              </w:rPr>
            </w:pPr>
          </w:p>
        </w:tc>
        <w:tc>
          <w:tcPr>
            <w:tcW w:w="0" w:type="auto"/>
            <w:vAlign w:val="center"/>
            <w:hideMark/>
          </w:tcPr>
          <w:p w14:paraId="2FCBAB01" w14:textId="77777777" w:rsidR="00000000" w:rsidRDefault="00195E73">
            <w:pPr>
              <w:rPr>
                <w:rFonts w:eastAsia="Times New Roman"/>
                <w:sz w:val="20"/>
                <w:szCs w:val="20"/>
              </w:rPr>
            </w:pPr>
          </w:p>
        </w:tc>
        <w:tc>
          <w:tcPr>
            <w:tcW w:w="0" w:type="auto"/>
            <w:vAlign w:val="center"/>
            <w:hideMark/>
          </w:tcPr>
          <w:p w14:paraId="336C152A" w14:textId="77777777" w:rsidR="00000000" w:rsidRDefault="00195E73">
            <w:pPr>
              <w:rPr>
                <w:rFonts w:eastAsia="Times New Roman"/>
                <w:sz w:val="20"/>
                <w:szCs w:val="20"/>
              </w:rPr>
            </w:pPr>
          </w:p>
        </w:tc>
        <w:tc>
          <w:tcPr>
            <w:tcW w:w="0" w:type="auto"/>
            <w:vAlign w:val="center"/>
            <w:hideMark/>
          </w:tcPr>
          <w:p w14:paraId="5474B0E4" w14:textId="77777777" w:rsidR="00000000" w:rsidRDefault="00195E73">
            <w:pPr>
              <w:rPr>
                <w:rFonts w:eastAsia="Times New Roman"/>
                <w:sz w:val="20"/>
                <w:szCs w:val="20"/>
              </w:rPr>
            </w:pPr>
          </w:p>
        </w:tc>
        <w:tc>
          <w:tcPr>
            <w:tcW w:w="0" w:type="auto"/>
            <w:vAlign w:val="center"/>
            <w:hideMark/>
          </w:tcPr>
          <w:p w14:paraId="1BB3035B" w14:textId="77777777" w:rsidR="00000000" w:rsidRDefault="00195E73">
            <w:pPr>
              <w:rPr>
                <w:rFonts w:eastAsia="Times New Roman"/>
                <w:sz w:val="20"/>
                <w:szCs w:val="20"/>
              </w:rPr>
            </w:pPr>
          </w:p>
        </w:tc>
        <w:tc>
          <w:tcPr>
            <w:tcW w:w="0" w:type="auto"/>
            <w:vAlign w:val="center"/>
            <w:hideMark/>
          </w:tcPr>
          <w:p w14:paraId="3D947C72" w14:textId="77777777" w:rsidR="00000000" w:rsidRDefault="00195E73">
            <w:pPr>
              <w:rPr>
                <w:rFonts w:eastAsia="Times New Roman"/>
                <w:sz w:val="20"/>
                <w:szCs w:val="20"/>
              </w:rPr>
            </w:pPr>
          </w:p>
        </w:tc>
        <w:tc>
          <w:tcPr>
            <w:tcW w:w="0" w:type="auto"/>
            <w:vAlign w:val="center"/>
            <w:hideMark/>
          </w:tcPr>
          <w:p w14:paraId="0476F8B6" w14:textId="77777777" w:rsidR="00000000" w:rsidRDefault="00195E73">
            <w:pPr>
              <w:rPr>
                <w:rFonts w:eastAsia="Times New Roman"/>
                <w:sz w:val="20"/>
                <w:szCs w:val="20"/>
              </w:rPr>
            </w:pPr>
          </w:p>
        </w:tc>
        <w:tc>
          <w:tcPr>
            <w:tcW w:w="0" w:type="auto"/>
            <w:vAlign w:val="center"/>
            <w:hideMark/>
          </w:tcPr>
          <w:p w14:paraId="633002AE" w14:textId="77777777" w:rsidR="00000000" w:rsidRDefault="00195E73">
            <w:pPr>
              <w:rPr>
                <w:rFonts w:eastAsia="Times New Roman"/>
                <w:sz w:val="20"/>
                <w:szCs w:val="20"/>
              </w:rPr>
            </w:pPr>
          </w:p>
        </w:tc>
        <w:tc>
          <w:tcPr>
            <w:tcW w:w="0" w:type="auto"/>
            <w:vAlign w:val="center"/>
            <w:hideMark/>
          </w:tcPr>
          <w:p w14:paraId="43E3BFA0" w14:textId="77777777" w:rsidR="00000000" w:rsidRDefault="00195E73">
            <w:pPr>
              <w:rPr>
                <w:rFonts w:eastAsia="Times New Roman"/>
                <w:sz w:val="20"/>
                <w:szCs w:val="20"/>
              </w:rPr>
            </w:pPr>
          </w:p>
        </w:tc>
      </w:tr>
      <w:tr w:rsidR="00000000" w14:paraId="676CE199" w14:textId="77777777">
        <w:trPr>
          <w:divId w:val="1230336832"/>
          <w:jc w:val="center"/>
        </w:trPr>
        <w:tc>
          <w:tcPr>
            <w:tcW w:w="0" w:type="auto"/>
            <w:gridSpan w:val="3"/>
            <w:shd w:val="clear" w:color="auto" w:fill="CCEEFF"/>
            <w:tcMar>
              <w:top w:w="15" w:type="dxa"/>
              <w:left w:w="20" w:type="dxa"/>
              <w:bottom w:w="15" w:type="dxa"/>
              <w:right w:w="20" w:type="dxa"/>
            </w:tcMar>
            <w:vAlign w:val="bottom"/>
            <w:hideMark/>
          </w:tcPr>
          <w:p w14:paraId="63D1FB37"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99F695D"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399DC57" w14:textId="77777777" w:rsidR="00000000" w:rsidRDefault="00195E73">
            <w:pPr>
              <w:jc w:val="right"/>
              <w:rPr>
                <w:rFonts w:eastAsia="Times New Roman"/>
              </w:rPr>
            </w:pPr>
            <w:r>
              <w:rPr>
                <w:rFonts w:eastAsia="Times New Roman"/>
                <w:color w:val="000000"/>
                <w:sz w:val="20"/>
                <w:szCs w:val="20"/>
              </w:rPr>
              <w:t>(1,097</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0A6E15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201B2E"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3BF734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2B544CB" w14:textId="77777777" w:rsidR="00000000" w:rsidRDefault="00195E73">
            <w:pPr>
              <w:jc w:val="right"/>
              <w:rPr>
                <w:rFonts w:eastAsia="Times New Roman"/>
              </w:rPr>
            </w:pPr>
            <w:r>
              <w:rPr>
                <w:rFonts w:eastAsia="Times New Roman"/>
                <w:color w:val="000000"/>
                <w:sz w:val="20"/>
                <w:szCs w:val="20"/>
              </w:rPr>
              <w:t>1,421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F1CD63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052FE35"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AEF054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EA96BD3" w14:textId="77777777" w:rsidR="00000000" w:rsidRDefault="00195E73">
            <w:pPr>
              <w:jc w:val="right"/>
              <w:rPr>
                <w:rFonts w:eastAsia="Times New Roman"/>
              </w:rPr>
            </w:pPr>
            <w:r>
              <w:rPr>
                <w:rFonts w:eastAsia="Times New Roman"/>
                <w:color w:val="000000"/>
                <w:sz w:val="20"/>
                <w:szCs w:val="20"/>
              </w:rPr>
              <w:t>2,611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49A55F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FE1D109" w14:textId="77777777" w:rsidR="00000000" w:rsidRDefault="00195E73">
            <w:pPr>
              <w:rPr>
                <w:rFonts w:eastAsia="Times New Roman"/>
                <w:sz w:val="20"/>
                <w:szCs w:val="20"/>
              </w:rPr>
            </w:pPr>
          </w:p>
        </w:tc>
        <w:tc>
          <w:tcPr>
            <w:tcW w:w="0" w:type="auto"/>
            <w:vAlign w:val="center"/>
            <w:hideMark/>
          </w:tcPr>
          <w:p w14:paraId="351CFEFE" w14:textId="77777777" w:rsidR="00000000" w:rsidRDefault="00195E73">
            <w:pPr>
              <w:rPr>
                <w:rFonts w:eastAsia="Times New Roman"/>
                <w:sz w:val="20"/>
                <w:szCs w:val="20"/>
              </w:rPr>
            </w:pPr>
          </w:p>
        </w:tc>
        <w:tc>
          <w:tcPr>
            <w:tcW w:w="0" w:type="auto"/>
            <w:vAlign w:val="center"/>
            <w:hideMark/>
          </w:tcPr>
          <w:p w14:paraId="346F1D02" w14:textId="77777777" w:rsidR="00000000" w:rsidRDefault="00195E73">
            <w:pPr>
              <w:rPr>
                <w:rFonts w:eastAsia="Times New Roman"/>
                <w:sz w:val="20"/>
                <w:szCs w:val="20"/>
              </w:rPr>
            </w:pPr>
          </w:p>
        </w:tc>
        <w:tc>
          <w:tcPr>
            <w:tcW w:w="0" w:type="auto"/>
            <w:vAlign w:val="center"/>
            <w:hideMark/>
          </w:tcPr>
          <w:p w14:paraId="25B89B30" w14:textId="77777777" w:rsidR="00000000" w:rsidRDefault="00195E73">
            <w:pPr>
              <w:rPr>
                <w:rFonts w:eastAsia="Times New Roman"/>
                <w:sz w:val="20"/>
                <w:szCs w:val="20"/>
              </w:rPr>
            </w:pPr>
          </w:p>
        </w:tc>
        <w:tc>
          <w:tcPr>
            <w:tcW w:w="0" w:type="auto"/>
            <w:vAlign w:val="center"/>
            <w:hideMark/>
          </w:tcPr>
          <w:p w14:paraId="36264286" w14:textId="77777777" w:rsidR="00000000" w:rsidRDefault="00195E73">
            <w:pPr>
              <w:rPr>
                <w:rFonts w:eastAsia="Times New Roman"/>
                <w:sz w:val="20"/>
                <w:szCs w:val="20"/>
              </w:rPr>
            </w:pPr>
          </w:p>
        </w:tc>
        <w:tc>
          <w:tcPr>
            <w:tcW w:w="0" w:type="auto"/>
            <w:vAlign w:val="center"/>
            <w:hideMark/>
          </w:tcPr>
          <w:p w14:paraId="74D2F075" w14:textId="77777777" w:rsidR="00000000" w:rsidRDefault="00195E73">
            <w:pPr>
              <w:rPr>
                <w:rFonts w:eastAsia="Times New Roman"/>
                <w:sz w:val="20"/>
                <w:szCs w:val="20"/>
              </w:rPr>
            </w:pPr>
          </w:p>
        </w:tc>
        <w:tc>
          <w:tcPr>
            <w:tcW w:w="0" w:type="auto"/>
            <w:vAlign w:val="center"/>
            <w:hideMark/>
          </w:tcPr>
          <w:p w14:paraId="5B5FBA47" w14:textId="77777777" w:rsidR="00000000" w:rsidRDefault="00195E73">
            <w:pPr>
              <w:rPr>
                <w:rFonts w:eastAsia="Times New Roman"/>
                <w:sz w:val="20"/>
                <w:szCs w:val="20"/>
              </w:rPr>
            </w:pPr>
          </w:p>
        </w:tc>
        <w:tc>
          <w:tcPr>
            <w:tcW w:w="0" w:type="auto"/>
            <w:vAlign w:val="center"/>
            <w:hideMark/>
          </w:tcPr>
          <w:p w14:paraId="027A26B7" w14:textId="77777777" w:rsidR="00000000" w:rsidRDefault="00195E73">
            <w:pPr>
              <w:rPr>
                <w:rFonts w:eastAsia="Times New Roman"/>
                <w:sz w:val="20"/>
                <w:szCs w:val="20"/>
              </w:rPr>
            </w:pPr>
          </w:p>
        </w:tc>
        <w:tc>
          <w:tcPr>
            <w:tcW w:w="0" w:type="auto"/>
            <w:vAlign w:val="center"/>
            <w:hideMark/>
          </w:tcPr>
          <w:p w14:paraId="232BE3B1" w14:textId="77777777" w:rsidR="00000000" w:rsidRDefault="00195E73">
            <w:pPr>
              <w:rPr>
                <w:rFonts w:eastAsia="Times New Roman"/>
                <w:sz w:val="20"/>
                <w:szCs w:val="20"/>
              </w:rPr>
            </w:pPr>
          </w:p>
        </w:tc>
        <w:tc>
          <w:tcPr>
            <w:tcW w:w="0" w:type="auto"/>
            <w:vAlign w:val="center"/>
            <w:hideMark/>
          </w:tcPr>
          <w:p w14:paraId="65CAD365" w14:textId="77777777" w:rsidR="00000000" w:rsidRDefault="00195E73">
            <w:pPr>
              <w:rPr>
                <w:rFonts w:eastAsia="Times New Roman"/>
                <w:sz w:val="20"/>
                <w:szCs w:val="20"/>
              </w:rPr>
            </w:pPr>
          </w:p>
        </w:tc>
        <w:tc>
          <w:tcPr>
            <w:tcW w:w="0" w:type="auto"/>
            <w:vAlign w:val="center"/>
            <w:hideMark/>
          </w:tcPr>
          <w:p w14:paraId="311CAF38" w14:textId="77777777" w:rsidR="00000000" w:rsidRDefault="00195E73">
            <w:pPr>
              <w:rPr>
                <w:rFonts w:eastAsia="Times New Roman"/>
                <w:sz w:val="20"/>
                <w:szCs w:val="20"/>
              </w:rPr>
            </w:pPr>
          </w:p>
        </w:tc>
        <w:tc>
          <w:tcPr>
            <w:tcW w:w="0" w:type="auto"/>
            <w:vAlign w:val="center"/>
            <w:hideMark/>
          </w:tcPr>
          <w:p w14:paraId="347AD5E7" w14:textId="77777777" w:rsidR="00000000" w:rsidRDefault="00195E73">
            <w:pPr>
              <w:rPr>
                <w:rFonts w:eastAsia="Times New Roman"/>
                <w:sz w:val="20"/>
                <w:szCs w:val="20"/>
              </w:rPr>
            </w:pPr>
          </w:p>
        </w:tc>
      </w:tr>
    </w:tbl>
    <w:p w14:paraId="57178CE3" w14:textId="77777777" w:rsidR="00000000" w:rsidRDefault="00195E73">
      <w:pPr>
        <w:divId w:val="213127954"/>
        <w:rPr>
          <w:rFonts w:eastAsia="Times New Roman"/>
        </w:rPr>
      </w:pPr>
    </w:p>
    <w:p w14:paraId="3D84C64B" w14:textId="77777777" w:rsidR="00000000" w:rsidRDefault="00195E73">
      <w:pPr>
        <w:divId w:val="342830079"/>
        <w:rPr>
          <w:rFonts w:eastAsia="Times New Roman"/>
        </w:rPr>
      </w:pPr>
    </w:p>
    <w:p w14:paraId="29B7FF51" w14:textId="77777777" w:rsidR="00000000" w:rsidRDefault="00195E73">
      <w:pPr>
        <w:divId w:val="1706328019"/>
        <w:rPr>
          <w:rFonts w:eastAsia="Times New Roman"/>
        </w:rPr>
      </w:pPr>
    </w:p>
    <w:p w14:paraId="12CA98A0" w14:textId="77777777" w:rsidR="00000000" w:rsidRDefault="00195E73">
      <w:pPr>
        <w:divId w:val="2108622495"/>
        <w:rPr>
          <w:rFonts w:eastAsia="Times New Roman"/>
        </w:rPr>
      </w:pPr>
    </w:p>
    <w:p w14:paraId="014DEF92" w14:textId="77777777" w:rsidR="00000000" w:rsidRDefault="00195E73">
      <w:pPr>
        <w:divId w:val="403458980"/>
        <w:rPr>
          <w:rFonts w:eastAsia="Times New Roman"/>
        </w:rPr>
      </w:pPr>
    </w:p>
    <w:p w14:paraId="25EC656B" w14:textId="77777777" w:rsidR="00000000" w:rsidRDefault="00195E73">
      <w:pPr>
        <w:divId w:val="1734429611"/>
        <w:rPr>
          <w:rFonts w:eastAsia="Times New Roman"/>
        </w:rPr>
      </w:pPr>
    </w:p>
    <w:p w14:paraId="78FB883E" w14:textId="77777777" w:rsidR="00000000" w:rsidRDefault="00195E73">
      <w:pPr>
        <w:divId w:val="1881625181"/>
        <w:rPr>
          <w:rFonts w:eastAsia="Times New Roman"/>
        </w:rPr>
      </w:pPr>
    </w:p>
    <w:p w14:paraId="64A6BE13" w14:textId="77777777" w:rsidR="00000000" w:rsidRDefault="00195E73">
      <w:pPr>
        <w:divId w:val="1210798654"/>
        <w:rPr>
          <w:rFonts w:eastAsia="Times New Roman"/>
        </w:rPr>
      </w:pPr>
    </w:p>
    <w:p w14:paraId="6BD6D7C2" w14:textId="77777777" w:rsidR="00000000" w:rsidRDefault="00195E73">
      <w:pPr>
        <w:divId w:val="917398673"/>
        <w:rPr>
          <w:rFonts w:eastAsia="Times New Roman"/>
        </w:rPr>
      </w:pPr>
    </w:p>
    <w:p w14:paraId="2C202D28" w14:textId="77777777" w:rsidR="00000000" w:rsidRDefault="00195E73">
      <w:pPr>
        <w:divId w:val="818349253"/>
        <w:rPr>
          <w:rFonts w:eastAsia="Times New Roman"/>
        </w:rPr>
      </w:pPr>
    </w:p>
    <w:p w14:paraId="69711EC9" w14:textId="77777777" w:rsidR="00000000" w:rsidRDefault="00195E73">
      <w:pPr>
        <w:divId w:val="2118482971"/>
        <w:rPr>
          <w:rFonts w:eastAsia="Times New Roman"/>
        </w:rPr>
      </w:pPr>
    </w:p>
    <w:p w14:paraId="33B6FB42" w14:textId="77777777" w:rsidR="00000000" w:rsidRDefault="00195E73">
      <w:pPr>
        <w:divId w:val="1318681853"/>
        <w:rPr>
          <w:rFonts w:eastAsia="Times New Roman"/>
        </w:rPr>
      </w:pPr>
    </w:p>
    <w:p w14:paraId="0DD1DE95" w14:textId="77777777" w:rsidR="00000000" w:rsidRDefault="00195E73">
      <w:pPr>
        <w:divId w:val="577136900"/>
        <w:rPr>
          <w:rFonts w:eastAsia="Times New Roman"/>
        </w:rPr>
      </w:pPr>
    </w:p>
    <w:p w14:paraId="4754B82B" w14:textId="77777777" w:rsidR="00000000" w:rsidRDefault="00195E73">
      <w:pPr>
        <w:divId w:val="1800683675"/>
        <w:rPr>
          <w:rFonts w:eastAsia="Times New Roman"/>
        </w:rPr>
      </w:pPr>
    </w:p>
    <w:p w14:paraId="182A32C0" w14:textId="77777777" w:rsidR="00000000" w:rsidRDefault="00195E73">
      <w:pPr>
        <w:divId w:val="268202200"/>
        <w:rPr>
          <w:rFonts w:eastAsia="Times New Roman"/>
        </w:rPr>
      </w:pPr>
    </w:p>
    <w:p w14:paraId="25E99D29" w14:textId="77777777" w:rsidR="00000000" w:rsidRDefault="00195E73">
      <w:pPr>
        <w:divId w:val="649331744"/>
        <w:rPr>
          <w:rFonts w:eastAsia="Times New Roman"/>
        </w:rPr>
      </w:pPr>
    </w:p>
    <w:p w14:paraId="0E3EE439" w14:textId="77777777" w:rsidR="00000000" w:rsidRDefault="00195E73">
      <w:pPr>
        <w:divId w:val="903684387"/>
        <w:rPr>
          <w:rFonts w:eastAsia="Times New Roman"/>
        </w:rPr>
      </w:pPr>
    </w:p>
    <w:p w14:paraId="1DC60646" w14:textId="77777777" w:rsidR="00000000" w:rsidRDefault="00195E73">
      <w:pPr>
        <w:divId w:val="987174738"/>
        <w:rPr>
          <w:rFonts w:eastAsia="Times New Roman"/>
        </w:rPr>
      </w:pPr>
    </w:p>
    <w:p w14:paraId="50EB5B4F" w14:textId="77777777" w:rsidR="00000000" w:rsidRDefault="00195E73">
      <w:pPr>
        <w:divId w:val="988289956"/>
        <w:rPr>
          <w:rFonts w:eastAsia="Times New Roman"/>
        </w:rPr>
      </w:pPr>
    </w:p>
    <w:p w14:paraId="701AC228" w14:textId="77777777" w:rsidR="00000000" w:rsidRDefault="00195E73">
      <w:pPr>
        <w:divId w:val="1957365234"/>
        <w:rPr>
          <w:rFonts w:eastAsia="Times New Roman"/>
        </w:rPr>
      </w:pPr>
    </w:p>
    <w:p w14:paraId="4D977E47" w14:textId="77777777" w:rsidR="00000000" w:rsidRDefault="00195E73">
      <w:pPr>
        <w:divId w:val="274872707"/>
        <w:rPr>
          <w:rFonts w:eastAsia="Times New Roman"/>
        </w:rPr>
      </w:pPr>
    </w:p>
    <w:p w14:paraId="47D44C79" w14:textId="77777777" w:rsidR="00000000" w:rsidRDefault="00195E73">
      <w:pPr>
        <w:jc w:val="center"/>
        <w:divId w:val="14311611"/>
        <w:rPr>
          <w:rFonts w:eastAsia="Times New Roman"/>
        </w:rPr>
      </w:pPr>
    </w:p>
    <w:p w14:paraId="3686A044" w14:textId="77777777" w:rsidR="00000000" w:rsidRDefault="00195E73">
      <w:pPr>
        <w:jc w:val="center"/>
        <w:divId w:val="431903809"/>
        <w:rPr>
          <w:rFonts w:eastAsia="Times New Roman"/>
        </w:rPr>
      </w:pPr>
    </w:p>
    <w:p w14:paraId="65BF102A" w14:textId="77777777" w:rsidR="00000000" w:rsidRDefault="00195E73">
      <w:pPr>
        <w:jc w:val="center"/>
        <w:divId w:val="1784109635"/>
        <w:rPr>
          <w:rFonts w:eastAsia="Times New Roman"/>
        </w:rPr>
      </w:pPr>
    </w:p>
    <w:p w14:paraId="6DDC15B0" w14:textId="77777777" w:rsidR="00000000" w:rsidRDefault="00195E73">
      <w:pPr>
        <w:jc w:val="center"/>
        <w:divId w:val="1277253839"/>
        <w:rPr>
          <w:rFonts w:eastAsia="Times New Roman"/>
        </w:rPr>
      </w:pPr>
    </w:p>
    <w:p w14:paraId="2F38F980" w14:textId="77777777" w:rsidR="00000000" w:rsidRDefault="00195E73">
      <w:pPr>
        <w:jc w:val="center"/>
        <w:divId w:val="653412845"/>
        <w:rPr>
          <w:rFonts w:eastAsia="Times New Roman"/>
        </w:rPr>
      </w:pPr>
    </w:p>
    <w:p w14:paraId="37C86104" w14:textId="77777777" w:rsidR="00000000" w:rsidRDefault="00195E73">
      <w:pPr>
        <w:jc w:val="center"/>
        <w:divId w:val="439490051"/>
        <w:rPr>
          <w:rFonts w:eastAsia="Times New Roman"/>
        </w:rPr>
      </w:pPr>
    </w:p>
    <w:p w14:paraId="1D3EB52A" w14:textId="77777777" w:rsidR="00000000" w:rsidRDefault="00195E73">
      <w:pPr>
        <w:jc w:val="center"/>
        <w:divId w:val="1925187669"/>
        <w:rPr>
          <w:rFonts w:eastAsia="Times New Roman"/>
        </w:rPr>
      </w:pPr>
      <w:r>
        <w:rPr>
          <w:rFonts w:eastAsia="Times New Roman"/>
          <w:i/>
          <w:iCs/>
          <w:color w:val="000000"/>
          <w:sz w:val="20"/>
          <w:szCs w:val="20"/>
        </w:rPr>
        <w:t>See notes to consolidated financial statements</w:t>
      </w:r>
      <w:r>
        <w:rPr>
          <w:rFonts w:eastAsia="Times New Roman"/>
          <w:i/>
          <w:iCs/>
          <w:color w:val="000000"/>
          <w:sz w:val="20"/>
          <w:szCs w:val="20"/>
        </w:rPr>
        <w:t>.</w:t>
      </w:r>
    </w:p>
    <w:p w14:paraId="09B8D684" w14:textId="77777777" w:rsidR="00000000" w:rsidRDefault="00195E73">
      <w:pPr>
        <w:jc w:val="center"/>
        <w:divId w:val="1033309882"/>
        <w:rPr>
          <w:rFonts w:eastAsia="Times New Roman"/>
        </w:rPr>
      </w:pPr>
      <w:r>
        <w:rPr>
          <w:rFonts w:eastAsia="Times New Roman"/>
          <w:color w:val="000000"/>
          <w:sz w:val="20"/>
          <w:szCs w:val="20"/>
        </w:rPr>
        <w:t>5</w:t>
      </w:r>
      <w:r>
        <w:rPr>
          <w:rFonts w:eastAsia="Times New Roman"/>
          <w:color w:val="000000"/>
          <w:sz w:val="20"/>
          <w:szCs w:val="20"/>
        </w:rPr>
        <w:t>6</w:t>
      </w:r>
    </w:p>
    <w:p w14:paraId="130A39A8" w14:textId="77777777" w:rsidR="00000000" w:rsidRDefault="00195E73">
      <w:pPr>
        <w:rPr>
          <w:rFonts w:eastAsia="Times New Roman"/>
        </w:rPr>
      </w:pPr>
      <w:r>
        <w:rPr>
          <w:rFonts w:eastAsia="Times New Roman"/>
        </w:rPr>
        <w:pict w14:anchorId="6298FFD7">
          <v:rect id="_x0000_i1082" style="width:0;height:1.5pt" o:hralign="center" o:hrstd="t" o:hr="t" fillcolor="#a0a0a0" stroked="f"/>
        </w:pict>
      </w:r>
    </w:p>
    <w:p w14:paraId="0A52A240" w14:textId="77777777" w:rsidR="00000000" w:rsidRDefault="00195E73">
      <w:pPr>
        <w:divId w:val="1530029512"/>
        <w:rPr>
          <w:rFonts w:eastAsia="Times New Roman"/>
        </w:rPr>
      </w:pPr>
    </w:p>
    <w:p w14:paraId="1F2717EA" w14:textId="77777777" w:rsidR="00000000" w:rsidRDefault="00195E73">
      <w:pPr>
        <w:jc w:val="center"/>
        <w:divId w:val="403380583"/>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39CD3B5C" w14:textId="77777777" w:rsidR="00000000" w:rsidRDefault="00195E73">
      <w:pPr>
        <w:jc w:val="center"/>
        <w:rPr>
          <w:rFonts w:eastAsia="Times New Roman"/>
        </w:rPr>
      </w:pPr>
      <w:r>
        <w:rPr>
          <w:rFonts w:eastAsia="Times New Roman"/>
          <w:b/>
          <w:bCs/>
          <w:color w:val="000000"/>
          <w:sz w:val="20"/>
          <w:szCs w:val="20"/>
        </w:rPr>
        <w:t>CONSOLIDATED STATEMENT OF CHANGES IN EQUIT</w:t>
      </w:r>
      <w:r>
        <w:rPr>
          <w:rFonts w:eastAsia="Times New Roman"/>
          <w:b/>
          <w:bCs/>
          <w:color w:val="000000"/>
          <w:sz w:val="20"/>
          <w:szCs w:val="20"/>
        </w:rPr>
        <w:t>Y</w:t>
      </w:r>
    </w:p>
    <w:p w14:paraId="116AF99D" w14:textId="77777777" w:rsidR="00000000" w:rsidRDefault="00195E73">
      <w:pPr>
        <w:jc w:val="center"/>
        <w:rPr>
          <w:rFonts w:eastAsia="Times New Roman"/>
        </w:rPr>
      </w:pPr>
    </w:p>
    <w:p w14:paraId="4FF6B08F" w14:textId="77777777" w:rsidR="00000000" w:rsidRDefault="00195E73">
      <w:pPr>
        <w:divId w:val="12801370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295"/>
        <w:gridCol w:w="37"/>
        <w:gridCol w:w="126"/>
        <w:gridCol w:w="749"/>
        <w:gridCol w:w="81"/>
        <w:gridCol w:w="36"/>
        <w:gridCol w:w="36"/>
        <w:gridCol w:w="36"/>
        <w:gridCol w:w="126"/>
        <w:gridCol w:w="713"/>
        <w:gridCol w:w="81"/>
        <w:gridCol w:w="36"/>
        <w:gridCol w:w="36"/>
        <w:gridCol w:w="36"/>
        <w:gridCol w:w="126"/>
        <w:gridCol w:w="714"/>
        <w:gridCol w:w="81"/>
        <w:gridCol w:w="36"/>
        <w:gridCol w:w="36"/>
        <w:gridCol w:w="36"/>
        <w:gridCol w:w="126"/>
        <w:gridCol w:w="741"/>
        <w:gridCol w:w="80"/>
        <w:gridCol w:w="36"/>
        <w:gridCol w:w="36"/>
        <w:gridCol w:w="36"/>
        <w:gridCol w:w="125"/>
        <w:gridCol w:w="691"/>
        <w:gridCol w:w="8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14E55EE2" w14:textId="77777777">
        <w:trPr>
          <w:gridAfter w:val="24"/>
          <w:divId w:val="1673147082"/>
          <w:jc w:val="center"/>
        </w:trPr>
        <w:tc>
          <w:tcPr>
            <w:tcW w:w="50" w:type="pct"/>
            <w:vAlign w:val="center"/>
            <w:hideMark/>
          </w:tcPr>
          <w:p w14:paraId="45E04473" w14:textId="77777777" w:rsidR="00000000" w:rsidRDefault="00195E73">
            <w:pPr>
              <w:rPr>
                <w:rFonts w:eastAsia="Times New Roman"/>
              </w:rPr>
            </w:pPr>
          </w:p>
        </w:tc>
        <w:tc>
          <w:tcPr>
            <w:tcW w:w="1573" w:type="pct"/>
            <w:vAlign w:val="center"/>
            <w:hideMark/>
          </w:tcPr>
          <w:p w14:paraId="47AEDC33" w14:textId="77777777" w:rsidR="00000000" w:rsidRDefault="00195E73">
            <w:pPr>
              <w:rPr>
                <w:rFonts w:eastAsia="Times New Roman"/>
                <w:sz w:val="20"/>
                <w:szCs w:val="20"/>
              </w:rPr>
            </w:pPr>
          </w:p>
        </w:tc>
        <w:tc>
          <w:tcPr>
            <w:tcW w:w="50" w:type="pct"/>
            <w:vAlign w:val="center"/>
            <w:hideMark/>
          </w:tcPr>
          <w:p w14:paraId="1A426400" w14:textId="77777777" w:rsidR="00000000" w:rsidRDefault="00195E73">
            <w:pPr>
              <w:rPr>
                <w:rFonts w:eastAsia="Times New Roman"/>
                <w:sz w:val="20"/>
                <w:szCs w:val="20"/>
              </w:rPr>
            </w:pPr>
          </w:p>
        </w:tc>
        <w:tc>
          <w:tcPr>
            <w:tcW w:w="50" w:type="pct"/>
            <w:vAlign w:val="center"/>
            <w:hideMark/>
          </w:tcPr>
          <w:p w14:paraId="000314D1" w14:textId="77777777" w:rsidR="00000000" w:rsidRDefault="00195E73">
            <w:pPr>
              <w:rPr>
                <w:rFonts w:eastAsia="Times New Roman"/>
                <w:sz w:val="20"/>
                <w:szCs w:val="20"/>
              </w:rPr>
            </w:pPr>
          </w:p>
        </w:tc>
        <w:tc>
          <w:tcPr>
            <w:tcW w:w="535" w:type="pct"/>
            <w:vAlign w:val="center"/>
            <w:hideMark/>
          </w:tcPr>
          <w:p w14:paraId="11424DFA" w14:textId="77777777" w:rsidR="00000000" w:rsidRDefault="00195E73">
            <w:pPr>
              <w:rPr>
                <w:rFonts w:eastAsia="Times New Roman"/>
                <w:sz w:val="20"/>
                <w:szCs w:val="20"/>
              </w:rPr>
            </w:pPr>
          </w:p>
        </w:tc>
        <w:tc>
          <w:tcPr>
            <w:tcW w:w="50" w:type="pct"/>
            <w:vAlign w:val="center"/>
            <w:hideMark/>
          </w:tcPr>
          <w:p w14:paraId="37B61E34" w14:textId="77777777" w:rsidR="00000000" w:rsidRDefault="00195E73">
            <w:pPr>
              <w:rPr>
                <w:rFonts w:eastAsia="Times New Roman"/>
                <w:sz w:val="20"/>
                <w:szCs w:val="20"/>
              </w:rPr>
            </w:pPr>
          </w:p>
        </w:tc>
        <w:tc>
          <w:tcPr>
            <w:tcW w:w="5" w:type="pct"/>
            <w:vAlign w:val="center"/>
            <w:hideMark/>
          </w:tcPr>
          <w:p w14:paraId="60B182E6" w14:textId="77777777" w:rsidR="00000000" w:rsidRDefault="00195E73">
            <w:pPr>
              <w:rPr>
                <w:rFonts w:eastAsia="Times New Roman"/>
                <w:sz w:val="20"/>
                <w:szCs w:val="20"/>
              </w:rPr>
            </w:pPr>
          </w:p>
        </w:tc>
        <w:tc>
          <w:tcPr>
            <w:tcW w:w="26" w:type="pct"/>
            <w:vAlign w:val="center"/>
            <w:hideMark/>
          </w:tcPr>
          <w:p w14:paraId="14F79729" w14:textId="77777777" w:rsidR="00000000" w:rsidRDefault="00195E73">
            <w:pPr>
              <w:rPr>
                <w:rFonts w:eastAsia="Times New Roman"/>
                <w:sz w:val="20"/>
                <w:szCs w:val="20"/>
              </w:rPr>
            </w:pPr>
          </w:p>
        </w:tc>
        <w:tc>
          <w:tcPr>
            <w:tcW w:w="5" w:type="pct"/>
            <w:vAlign w:val="center"/>
            <w:hideMark/>
          </w:tcPr>
          <w:p w14:paraId="796EBF0E" w14:textId="77777777" w:rsidR="00000000" w:rsidRDefault="00195E73">
            <w:pPr>
              <w:rPr>
                <w:rFonts w:eastAsia="Times New Roman"/>
                <w:sz w:val="20"/>
                <w:szCs w:val="20"/>
              </w:rPr>
            </w:pPr>
          </w:p>
        </w:tc>
        <w:tc>
          <w:tcPr>
            <w:tcW w:w="50" w:type="pct"/>
            <w:vAlign w:val="center"/>
            <w:hideMark/>
          </w:tcPr>
          <w:p w14:paraId="28A48103" w14:textId="77777777" w:rsidR="00000000" w:rsidRDefault="00195E73">
            <w:pPr>
              <w:rPr>
                <w:rFonts w:eastAsia="Times New Roman"/>
                <w:sz w:val="20"/>
                <w:szCs w:val="20"/>
              </w:rPr>
            </w:pPr>
          </w:p>
        </w:tc>
        <w:tc>
          <w:tcPr>
            <w:tcW w:w="535" w:type="pct"/>
            <w:vAlign w:val="center"/>
            <w:hideMark/>
          </w:tcPr>
          <w:p w14:paraId="49F60C8F" w14:textId="77777777" w:rsidR="00000000" w:rsidRDefault="00195E73">
            <w:pPr>
              <w:rPr>
                <w:rFonts w:eastAsia="Times New Roman"/>
                <w:sz w:val="20"/>
                <w:szCs w:val="20"/>
              </w:rPr>
            </w:pPr>
          </w:p>
        </w:tc>
        <w:tc>
          <w:tcPr>
            <w:tcW w:w="50" w:type="pct"/>
            <w:vAlign w:val="center"/>
            <w:hideMark/>
          </w:tcPr>
          <w:p w14:paraId="7F4C93D3" w14:textId="77777777" w:rsidR="00000000" w:rsidRDefault="00195E73">
            <w:pPr>
              <w:rPr>
                <w:rFonts w:eastAsia="Times New Roman"/>
                <w:sz w:val="20"/>
                <w:szCs w:val="20"/>
              </w:rPr>
            </w:pPr>
          </w:p>
        </w:tc>
        <w:tc>
          <w:tcPr>
            <w:tcW w:w="5" w:type="pct"/>
            <w:vAlign w:val="center"/>
            <w:hideMark/>
          </w:tcPr>
          <w:p w14:paraId="37D0099A" w14:textId="77777777" w:rsidR="00000000" w:rsidRDefault="00195E73">
            <w:pPr>
              <w:rPr>
                <w:rFonts w:eastAsia="Times New Roman"/>
                <w:sz w:val="20"/>
                <w:szCs w:val="20"/>
              </w:rPr>
            </w:pPr>
          </w:p>
        </w:tc>
        <w:tc>
          <w:tcPr>
            <w:tcW w:w="26" w:type="pct"/>
            <w:vAlign w:val="center"/>
            <w:hideMark/>
          </w:tcPr>
          <w:p w14:paraId="430D2DD7" w14:textId="77777777" w:rsidR="00000000" w:rsidRDefault="00195E73">
            <w:pPr>
              <w:rPr>
                <w:rFonts w:eastAsia="Times New Roman"/>
                <w:sz w:val="20"/>
                <w:szCs w:val="20"/>
              </w:rPr>
            </w:pPr>
          </w:p>
        </w:tc>
        <w:tc>
          <w:tcPr>
            <w:tcW w:w="5" w:type="pct"/>
            <w:vAlign w:val="center"/>
            <w:hideMark/>
          </w:tcPr>
          <w:p w14:paraId="6BA46339" w14:textId="77777777" w:rsidR="00000000" w:rsidRDefault="00195E73">
            <w:pPr>
              <w:rPr>
                <w:rFonts w:eastAsia="Times New Roman"/>
                <w:sz w:val="20"/>
                <w:szCs w:val="20"/>
              </w:rPr>
            </w:pPr>
          </w:p>
        </w:tc>
        <w:tc>
          <w:tcPr>
            <w:tcW w:w="50" w:type="pct"/>
            <w:vAlign w:val="center"/>
            <w:hideMark/>
          </w:tcPr>
          <w:p w14:paraId="1C7F84E9" w14:textId="77777777" w:rsidR="00000000" w:rsidRDefault="00195E73">
            <w:pPr>
              <w:rPr>
                <w:rFonts w:eastAsia="Times New Roman"/>
                <w:sz w:val="20"/>
                <w:szCs w:val="20"/>
              </w:rPr>
            </w:pPr>
          </w:p>
        </w:tc>
        <w:tc>
          <w:tcPr>
            <w:tcW w:w="535" w:type="pct"/>
            <w:vAlign w:val="center"/>
            <w:hideMark/>
          </w:tcPr>
          <w:p w14:paraId="631A9437" w14:textId="77777777" w:rsidR="00000000" w:rsidRDefault="00195E73">
            <w:pPr>
              <w:rPr>
                <w:rFonts w:eastAsia="Times New Roman"/>
                <w:sz w:val="20"/>
                <w:szCs w:val="20"/>
              </w:rPr>
            </w:pPr>
          </w:p>
        </w:tc>
        <w:tc>
          <w:tcPr>
            <w:tcW w:w="50" w:type="pct"/>
            <w:vAlign w:val="center"/>
            <w:hideMark/>
          </w:tcPr>
          <w:p w14:paraId="0DB4FD51" w14:textId="77777777" w:rsidR="00000000" w:rsidRDefault="00195E73">
            <w:pPr>
              <w:rPr>
                <w:rFonts w:eastAsia="Times New Roman"/>
                <w:sz w:val="20"/>
                <w:szCs w:val="20"/>
              </w:rPr>
            </w:pPr>
          </w:p>
        </w:tc>
        <w:tc>
          <w:tcPr>
            <w:tcW w:w="5" w:type="pct"/>
            <w:vAlign w:val="center"/>
            <w:hideMark/>
          </w:tcPr>
          <w:p w14:paraId="7366BF26" w14:textId="77777777" w:rsidR="00000000" w:rsidRDefault="00195E73">
            <w:pPr>
              <w:rPr>
                <w:rFonts w:eastAsia="Times New Roman"/>
                <w:sz w:val="20"/>
                <w:szCs w:val="20"/>
              </w:rPr>
            </w:pPr>
          </w:p>
        </w:tc>
        <w:tc>
          <w:tcPr>
            <w:tcW w:w="26" w:type="pct"/>
            <w:vAlign w:val="center"/>
            <w:hideMark/>
          </w:tcPr>
          <w:p w14:paraId="47C013E2" w14:textId="77777777" w:rsidR="00000000" w:rsidRDefault="00195E73">
            <w:pPr>
              <w:rPr>
                <w:rFonts w:eastAsia="Times New Roman"/>
                <w:sz w:val="20"/>
                <w:szCs w:val="20"/>
              </w:rPr>
            </w:pPr>
          </w:p>
        </w:tc>
        <w:tc>
          <w:tcPr>
            <w:tcW w:w="5" w:type="pct"/>
            <w:vAlign w:val="center"/>
            <w:hideMark/>
          </w:tcPr>
          <w:p w14:paraId="2EC7A157" w14:textId="77777777" w:rsidR="00000000" w:rsidRDefault="00195E73">
            <w:pPr>
              <w:rPr>
                <w:rFonts w:eastAsia="Times New Roman"/>
                <w:sz w:val="20"/>
                <w:szCs w:val="20"/>
              </w:rPr>
            </w:pPr>
          </w:p>
        </w:tc>
        <w:tc>
          <w:tcPr>
            <w:tcW w:w="50" w:type="pct"/>
            <w:vAlign w:val="center"/>
            <w:hideMark/>
          </w:tcPr>
          <w:p w14:paraId="3B855116" w14:textId="77777777" w:rsidR="00000000" w:rsidRDefault="00195E73">
            <w:pPr>
              <w:rPr>
                <w:rFonts w:eastAsia="Times New Roman"/>
                <w:sz w:val="20"/>
                <w:szCs w:val="20"/>
              </w:rPr>
            </w:pPr>
          </w:p>
        </w:tc>
        <w:tc>
          <w:tcPr>
            <w:tcW w:w="535" w:type="pct"/>
            <w:vAlign w:val="center"/>
            <w:hideMark/>
          </w:tcPr>
          <w:p w14:paraId="0484819A" w14:textId="77777777" w:rsidR="00000000" w:rsidRDefault="00195E73">
            <w:pPr>
              <w:rPr>
                <w:rFonts w:eastAsia="Times New Roman"/>
                <w:sz w:val="20"/>
                <w:szCs w:val="20"/>
              </w:rPr>
            </w:pPr>
          </w:p>
        </w:tc>
        <w:tc>
          <w:tcPr>
            <w:tcW w:w="50" w:type="pct"/>
            <w:vAlign w:val="center"/>
            <w:hideMark/>
          </w:tcPr>
          <w:p w14:paraId="6A6CA4CB" w14:textId="77777777" w:rsidR="00000000" w:rsidRDefault="00195E73">
            <w:pPr>
              <w:rPr>
                <w:rFonts w:eastAsia="Times New Roman"/>
                <w:sz w:val="20"/>
                <w:szCs w:val="20"/>
              </w:rPr>
            </w:pPr>
          </w:p>
        </w:tc>
        <w:tc>
          <w:tcPr>
            <w:tcW w:w="5" w:type="pct"/>
            <w:vAlign w:val="center"/>
            <w:hideMark/>
          </w:tcPr>
          <w:p w14:paraId="64FAF442" w14:textId="77777777" w:rsidR="00000000" w:rsidRDefault="00195E73">
            <w:pPr>
              <w:rPr>
                <w:rFonts w:eastAsia="Times New Roman"/>
                <w:sz w:val="20"/>
                <w:szCs w:val="20"/>
              </w:rPr>
            </w:pPr>
          </w:p>
        </w:tc>
        <w:tc>
          <w:tcPr>
            <w:tcW w:w="26" w:type="pct"/>
            <w:vAlign w:val="center"/>
            <w:hideMark/>
          </w:tcPr>
          <w:p w14:paraId="0A797321" w14:textId="77777777" w:rsidR="00000000" w:rsidRDefault="00195E73">
            <w:pPr>
              <w:rPr>
                <w:rFonts w:eastAsia="Times New Roman"/>
                <w:sz w:val="20"/>
                <w:szCs w:val="20"/>
              </w:rPr>
            </w:pPr>
          </w:p>
        </w:tc>
        <w:tc>
          <w:tcPr>
            <w:tcW w:w="5" w:type="pct"/>
            <w:vAlign w:val="center"/>
            <w:hideMark/>
          </w:tcPr>
          <w:p w14:paraId="704262B9" w14:textId="77777777" w:rsidR="00000000" w:rsidRDefault="00195E73">
            <w:pPr>
              <w:rPr>
                <w:rFonts w:eastAsia="Times New Roman"/>
                <w:sz w:val="20"/>
                <w:szCs w:val="20"/>
              </w:rPr>
            </w:pPr>
          </w:p>
        </w:tc>
        <w:tc>
          <w:tcPr>
            <w:tcW w:w="50" w:type="pct"/>
            <w:vAlign w:val="center"/>
            <w:hideMark/>
          </w:tcPr>
          <w:p w14:paraId="3DD233B7" w14:textId="77777777" w:rsidR="00000000" w:rsidRDefault="00195E73">
            <w:pPr>
              <w:rPr>
                <w:rFonts w:eastAsia="Times New Roman"/>
                <w:sz w:val="20"/>
                <w:szCs w:val="20"/>
              </w:rPr>
            </w:pPr>
          </w:p>
        </w:tc>
        <w:tc>
          <w:tcPr>
            <w:tcW w:w="536" w:type="pct"/>
            <w:vAlign w:val="center"/>
            <w:hideMark/>
          </w:tcPr>
          <w:p w14:paraId="4416CB85" w14:textId="77777777" w:rsidR="00000000" w:rsidRDefault="00195E73">
            <w:pPr>
              <w:rPr>
                <w:rFonts w:eastAsia="Times New Roman"/>
                <w:sz w:val="20"/>
                <w:szCs w:val="20"/>
              </w:rPr>
            </w:pPr>
          </w:p>
        </w:tc>
        <w:tc>
          <w:tcPr>
            <w:tcW w:w="50" w:type="pct"/>
            <w:vAlign w:val="center"/>
            <w:hideMark/>
          </w:tcPr>
          <w:p w14:paraId="398A9791" w14:textId="77777777" w:rsidR="00000000" w:rsidRDefault="00195E73">
            <w:pPr>
              <w:rPr>
                <w:rFonts w:eastAsia="Times New Roman"/>
                <w:sz w:val="20"/>
                <w:szCs w:val="20"/>
              </w:rPr>
            </w:pPr>
          </w:p>
        </w:tc>
      </w:tr>
      <w:tr w:rsidR="00000000" w14:paraId="4E9678FF" w14:textId="77777777">
        <w:trPr>
          <w:gridAfter w:val="12"/>
          <w:divId w:val="1673147082"/>
          <w:jc w:val="center"/>
        </w:trPr>
        <w:tc>
          <w:tcPr>
            <w:tcW w:w="0" w:type="auto"/>
            <w:gridSpan w:val="3"/>
            <w:tcMar>
              <w:top w:w="15" w:type="dxa"/>
              <w:left w:w="20" w:type="dxa"/>
              <w:bottom w:w="15" w:type="dxa"/>
              <w:right w:w="20" w:type="dxa"/>
            </w:tcMar>
            <w:vAlign w:val="bottom"/>
            <w:hideMark/>
          </w:tcPr>
          <w:p w14:paraId="3E75C956"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47B9BBC9" w14:textId="77777777" w:rsidR="00000000" w:rsidRDefault="00195E73">
            <w:pPr>
              <w:jc w:val="center"/>
              <w:rPr>
                <w:rFonts w:eastAsia="Times New Roman"/>
              </w:rPr>
            </w:pPr>
            <w:r>
              <w:rPr>
                <w:rFonts w:eastAsia="Times New Roman"/>
                <w:b/>
                <w:bCs/>
                <w:color w:val="000000"/>
                <w:sz w:val="18"/>
                <w:szCs w:val="18"/>
              </w:rPr>
              <w:t>Equity Attributable to Icahn Enterprise</w:t>
            </w:r>
            <w:r>
              <w:rPr>
                <w:rFonts w:eastAsia="Times New Roman"/>
                <w:b/>
                <w:bCs/>
                <w:color w:val="000000"/>
                <w:sz w:val="18"/>
                <w:szCs w:val="18"/>
              </w:rPr>
              <w:t>s</w:t>
            </w:r>
          </w:p>
        </w:tc>
        <w:tc>
          <w:tcPr>
            <w:tcW w:w="0" w:type="auto"/>
            <w:gridSpan w:val="3"/>
            <w:vAlign w:val="center"/>
            <w:hideMark/>
          </w:tcPr>
          <w:p w14:paraId="3B65FC2A" w14:textId="77777777" w:rsidR="00000000" w:rsidRDefault="00195E73">
            <w:pPr>
              <w:jc w:val="center"/>
              <w:rPr>
                <w:rFonts w:eastAsia="Times New Roman"/>
              </w:rPr>
            </w:pPr>
          </w:p>
        </w:tc>
        <w:tc>
          <w:tcPr>
            <w:tcW w:w="0" w:type="auto"/>
            <w:gridSpan w:val="3"/>
            <w:vAlign w:val="center"/>
            <w:hideMark/>
          </w:tcPr>
          <w:p w14:paraId="5287B18C" w14:textId="77777777" w:rsidR="00000000" w:rsidRDefault="00195E73">
            <w:pPr>
              <w:rPr>
                <w:rFonts w:eastAsia="Times New Roman"/>
                <w:sz w:val="20"/>
                <w:szCs w:val="20"/>
              </w:rPr>
            </w:pPr>
          </w:p>
        </w:tc>
        <w:tc>
          <w:tcPr>
            <w:tcW w:w="0" w:type="auto"/>
            <w:gridSpan w:val="3"/>
            <w:vAlign w:val="center"/>
            <w:hideMark/>
          </w:tcPr>
          <w:p w14:paraId="3AB31CFB" w14:textId="77777777" w:rsidR="00000000" w:rsidRDefault="00195E73">
            <w:pPr>
              <w:rPr>
                <w:rFonts w:eastAsia="Times New Roman"/>
                <w:sz w:val="20"/>
                <w:szCs w:val="20"/>
              </w:rPr>
            </w:pPr>
          </w:p>
        </w:tc>
        <w:tc>
          <w:tcPr>
            <w:tcW w:w="0" w:type="auto"/>
            <w:gridSpan w:val="3"/>
            <w:vAlign w:val="center"/>
            <w:hideMark/>
          </w:tcPr>
          <w:p w14:paraId="046B89DA"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C941A4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8C1FF52"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56CD69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B71249D" w14:textId="77777777" w:rsidR="00000000" w:rsidRDefault="00195E73">
            <w:pPr>
              <w:rPr>
                <w:rFonts w:eastAsia="Times New Roman"/>
                <w:sz w:val="20"/>
                <w:szCs w:val="20"/>
              </w:rPr>
            </w:pPr>
          </w:p>
        </w:tc>
      </w:tr>
      <w:tr w:rsidR="00000000" w14:paraId="4C851FB5" w14:textId="77777777">
        <w:trPr>
          <w:gridAfter w:val="12"/>
          <w:divId w:val="1673147082"/>
          <w:jc w:val="center"/>
        </w:trPr>
        <w:tc>
          <w:tcPr>
            <w:tcW w:w="0" w:type="auto"/>
            <w:gridSpan w:val="3"/>
            <w:tcMar>
              <w:top w:w="15" w:type="dxa"/>
              <w:left w:w="20" w:type="dxa"/>
              <w:bottom w:w="15" w:type="dxa"/>
              <w:right w:w="20" w:type="dxa"/>
            </w:tcMar>
            <w:vAlign w:val="bottom"/>
            <w:hideMark/>
          </w:tcPr>
          <w:p w14:paraId="7DAC9FEE"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28070BC" w14:textId="77777777" w:rsidR="00000000" w:rsidRDefault="00195E73">
            <w:pPr>
              <w:jc w:val="center"/>
              <w:rPr>
                <w:rFonts w:eastAsia="Times New Roman"/>
              </w:rPr>
            </w:pPr>
            <w:r>
              <w:rPr>
                <w:rFonts w:eastAsia="Times New Roman"/>
                <w:b/>
                <w:bCs/>
                <w:color w:val="000000"/>
                <w:sz w:val="18"/>
                <w:szCs w:val="18"/>
              </w:rPr>
              <w:t>General Partner’s (Deficit) Equit</w:t>
            </w:r>
            <w:r>
              <w:rPr>
                <w:rFonts w:eastAsia="Times New Roman"/>
                <w:b/>
                <w:bCs/>
                <w:color w:val="000000"/>
                <w:sz w:val="18"/>
                <w:szCs w:val="18"/>
              </w:rPr>
              <w:t>y</w:t>
            </w:r>
          </w:p>
        </w:tc>
        <w:tc>
          <w:tcPr>
            <w:tcW w:w="0" w:type="auto"/>
            <w:gridSpan w:val="3"/>
            <w:tcBorders>
              <w:top w:val="single" w:sz="8" w:space="0" w:color="000000"/>
            </w:tcBorders>
            <w:tcMar>
              <w:top w:w="15" w:type="dxa"/>
              <w:left w:w="20" w:type="dxa"/>
              <w:bottom w:w="15" w:type="dxa"/>
              <w:right w:w="20" w:type="dxa"/>
            </w:tcMar>
            <w:vAlign w:val="bottom"/>
            <w:hideMark/>
          </w:tcPr>
          <w:p w14:paraId="7471BF2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ABE1EDE" w14:textId="77777777" w:rsidR="00000000" w:rsidRDefault="00195E73">
            <w:pPr>
              <w:jc w:val="center"/>
              <w:rPr>
                <w:rFonts w:eastAsia="Times New Roman"/>
              </w:rPr>
            </w:pPr>
            <w:r>
              <w:rPr>
                <w:rFonts w:eastAsia="Times New Roman"/>
                <w:b/>
                <w:bCs/>
                <w:color w:val="000000"/>
                <w:sz w:val="18"/>
                <w:szCs w:val="18"/>
              </w:rPr>
              <w:t xml:space="preserve">Limited </w:t>
            </w:r>
            <w:r>
              <w:rPr>
                <w:rFonts w:eastAsia="Times New Roman"/>
                <w:b/>
                <w:bCs/>
                <w:color w:val="000000"/>
                <w:sz w:val="18"/>
                <w:szCs w:val="18"/>
              </w:rPr>
              <w:br/>
              <w:t>Partners’ Equit</w:t>
            </w:r>
            <w:r>
              <w:rPr>
                <w:rFonts w:eastAsia="Times New Roman"/>
                <w:b/>
                <w:bCs/>
                <w:color w:val="000000"/>
                <w:sz w:val="18"/>
                <w:szCs w:val="18"/>
              </w:rPr>
              <w:t>y</w:t>
            </w:r>
          </w:p>
        </w:tc>
        <w:tc>
          <w:tcPr>
            <w:tcW w:w="0" w:type="auto"/>
            <w:gridSpan w:val="3"/>
            <w:tcBorders>
              <w:top w:val="single" w:sz="8" w:space="0" w:color="000000"/>
            </w:tcBorders>
            <w:tcMar>
              <w:top w:w="15" w:type="dxa"/>
              <w:left w:w="20" w:type="dxa"/>
              <w:bottom w:w="15" w:type="dxa"/>
              <w:right w:w="20" w:type="dxa"/>
            </w:tcMar>
            <w:vAlign w:val="bottom"/>
            <w:hideMark/>
          </w:tcPr>
          <w:p w14:paraId="7AB30861"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1557A5B" w14:textId="77777777" w:rsidR="00000000" w:rsidRDefault="00195E73">
            <w:pPr>
              <w:jc w:val="center"/>
              <w:rPr>
                <w:rFonts w:eastAsia="Times New Roman"/>
              </w:rPr>
            </w:pPr>
            <w:r>
              <w:rPr>
                <w:rFonts w:eastAsia="Times New Roman"/>
                <w:b/>
                <w:bCs/>
                <w:color w:val="000000"/>
                <w:sz w:val="18"/>
                <w:szCs w:val="18"/>
              </w:rPr>
              <w:t>Total Partners’ Equit</w:t>
            </w:r>
            <w:r>
              <w:rPr>
                <w:rFonts w:eastAsia="Times New Roman"/>
                <w:b/>
                <w:bCs/>
                <w:color w:val="000000"/>
                <w:sz w:val="18"/>
                <w:szCs w:val="18"/>
              </w:rPr>
              <w:t>y</w:t>
            </w:r>
          </w:p>
        </w:tc>
        <w:tc>
          <w:tcPr>
            <w:tcW w:w="0" w:type="auto"/>
            <w:gridSpan w:val="3"/>
            <w:tcMar>
              <w:top w:w="15" w:type="dxa"/>
              <w:left w:w="20" w:type="dxa"/>
              <w:bottom w:w="15" w:type="dxa"/>
              <w:right w:w="20" w:type="dxa"/>
            </w:tcMar>
            <w:vAlign w:val="bottom"/>
            <w:hideMark/>
          </w:tcPr>
          <w:p w14:paraId="0743DE7D"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1BB0453" w14:textId="77777777" w:rsidR="00000000" w:rsidRDefault="00195E73">
            <w:pPr>
              <w:jc w:val="center"/>
              <w:rPr>
                <w:rFonts w:eastAsia="Times New Roman"/>
              </w:rPr>
            </w:pPr>
            <w:r>
              <w:rPr>
                <w:rFonts w:eastAsia="Times New Roman"/>
                <w:b/>
                <w:bCs/>
                <w:color w:val="000000"/>
                <w:sz w:val="18"/>
                <w:szCs w:val="18"/>
              </w:rPr>
              <w:t>Non-controlling Interest</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14:paraId="0EA1D6B9"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1B72044" w14:textId="77777777" w:rsidR="00000000" w:rsidRDefault="00195E73">
            <w:pPr>
              <w:jc w:val="center"/>
              <w:rPr>
                <w:rFonts w:eastAsia="Times New Roman"/>
              </w:rPr>
            </w:pPr>
            <w:r>
              <w:rPr>
                <w:rFonts w:eastAsia="Times New Roman"/>
                <w:b/>
                <w:bCs/>
                <w:color w:val="000000"/>
                <w:sz w:val="18"/>
                <w:szCs w:val="18"/>
              </w:rPr>
              <w:t>Total Equit</w:t>
            </w:r>
            <w:r>
              <w:rPr>
                <w:rFonts w:eastAsia="Times New Roman"/>
                <w:b/>
                <w:bCs/>
                <w:color w:val="000000"/>
                <w:sz w:val="18"/>
                <w:szCs w:val="18"/>
              </w:rPr>
              <w:t>y</w:t>
            </w:r>
          </w:p>
        </w:tc>
        <w:tc>
          <w:tcPr>
            <w:tcW w:w="0" w:type="auto"/>
            <w:vAlign w:val="center"/>
            <w:hideMark/>
          </w:tcPr>
          <w:p w14:paraId="195DBF3A" w14:textId="77777777" w:rsidR="00000000" w:rsidRDefault="00195E73">
            <w:pPr>
              <w:rPr>
                <w:rFonts w:eastAsia="Times New Roman"/>
                <w:sz w:val="20"/>
                <w:szCs w:val="20"/>
              </w:rPr>
            </w:pPr>
          </w:p>
        </w:tc>
        <w:tc>
          <w:tcPr>
            <w:tcW w:w="0" w:type="auto"/>
            <w:vAlign w:val="center"/>
            <w:hideMark/>
          </w:tcPr>
          <w:p w14:paraId="3C7DC48D" w14:textId="77777777" w:rsidR="00000000" w:rsidRDefault="00195E73">
            <w:pPr>
              <w:rPr>
                <w:rFonts w:eastAsia="Times New Roman"/>
                <w:sz w:val="20"/>
                <w:szCs w:val="20"/>
              </w:rPr>
            </w:pPr>
          </w:p>
        </w:tc>
        <w:tc>
          <w:tcPr>
            <w:tcW w:w="0" w:type="auto"/>
            <w:vAlign w:val="center"/>
            <w:hideMark/>
          </w:tcPr>
          <w:p w14:paraId="3FEA1CB4" w14:textId="77777777" w:rsidR="00000000" w:rsidRDefault="00195E73">
            <w:pPr>
              <w:rPr>
                <w:rFonts w:eastAsia="Times New Roman"/>
                <w:sz w:val="20"/>
                <w:szCs w:val="20"/>
              </w:rPr>
            </w:pPr>
          </w:p>
        </w:tc>
        <w:tc>
          <w:tcPr>
            <w:tcW w:w="0" w:type="auto"/>
            <w:vAlign w:val="center"/>
            <w:hideMark/>
          </w:tcPr>
          <w:p w14:paraId="135C0A2C" w14:textId="77777777" w:rsidR="00000000" w:rsidRDefault="00195E73">
            <w:pPr>
              <w:rPr>
                <w:rFonts w:eastAsia="Times New Roman"/>
                <w:sz w:val="20"/>
                <w:szCs w:val="20"/>
              </w:rPr>
            </w:pPr>
          </w:p>
        </w:tc>
        <w:tc>
          <w:tcPr>
            <w:tcW w:w="0" w:type="auto"/>
            <w:vAlign w:val="center"/>
            <w:hideMark/>
          </w:tcPr>
          <w:p w14:paraId="4CFEF939" w14:textId="77777777" w:rsidR="00000000" w:rsidRDefault="00195E73">
            <w:pPr>
              <w:rPr>
                <w:rFonts w:eastAsia="Times New Roman"/>
                <w:sz w:val="20"/>
                <w:szCs w:val="20"/>
              </w:rPr>
            </w:pPr>
          </w:p>
        </w:tc>
        <w:tc>
          <w:tcPr>
            <w:tcW w:w="0" w:type="auto"/>
            <w:vAlign w:val="center"/>
            <w:hideMark/>
          </w:tcPr>
          <w:p w14:paraId="6CABE53C" w14:textId="77777777" w:rsidR="00000000" w:rsidRDefault="00195E73">
            <w:pPr>
              <w:rPr>
                <w:rFonts w:eastAsia="Times New Roman"/>
                <w:sz w:val="20"/>
                <w:szCs w:val="20"/>
              </w:rPr>
            </w:pPr>
          </w:p>
        </w:tc>
        <w:tc>
          <w:tcPr>
            <w:tcW w:w="0" w:type="auto"/>
            <w:vAlign w:val="center"/>
            <w:hideMark/>
          </w:tcPr>
          <w:p w14:paraId="19860D5C" w14:textId="77777777" w:rsidR="00000000" w:rsidRDefault="00195E73">
            <w:pPr>
              <w:rPr>
                <w:rFonts w:eastAsia="Times New Roman"/>
                <w:sz w:val="20"/>
                <w:szCs w:val="20"/>
              </w:rPr>
            </w:pPr>
          </w:p>
        </w:tc>
        <w:tc>
          <w:tcPr>
            <w:tcW w:w="0" w:type="auto"/>
            <w:vAlign w:val="center"/>
            <w:hideMark/>
          </w:tcPr>
          <w:p w14:paraId="46BB3EE4" w14:textId="77777777" w:rsidR="00000000" w:rsidRDefault="00195E73">
            <w:pPr>
              <w:rPr>
                <w:rFonts w:eastAsia="Times New Roman"/>
                <w:sz w:val="20"/>
                <w:szCs w:val="20"/>
              </w:rPr>
            </w:pPr>
          </w:p>
        </w:tc>
        <w:tc>
          <w:tcPr>
            <w:tcW w:w="0" w:type="auto"/>
            <w:vAlign w:val="center"/>
            <w:hideMark/>
          </w:tcPr>
          <w:p w14:paraId="18687AB6" w14:textId="77777777" w:rsidR="00000000" w:rsidRDefault="00195E73">
            <w:pPr>
              <w:rPr>
                <w:rFonts w:eastAsia="Times New Roman"/>
                <w:sz w:val="20"/>
                <w:szCs w:val="20"/>
              </w:rPr>
            </w:pPr>
          </w:p>
        </w:tc>
        <w:tc>
          <w:tcPr>
            <w:tcW w:w="0" w:type="auto"/>
            <w:vAlign w:val="center"/>
            <w:hideMark/>
          </w:tcPr>
          <w:p w14:paraId="7B384F56" w14:textId="77777777" w:rsidR="00000000" w:rsidRDefault="00195E73">
            <w:pPr>
              <w:rPr>
                <w:rFonts w:eastAsia="Times New Roman"/>
                <w:sz w:val="20"/>
                <w:szCs w:val="20"/>
              </w:rPr>
            </w:pPr>
          </w:p>
        </w:tc>
        <w:tc>
          <w:tcPr>
            <w:tcW w:w="0" w:type="auto"/>
            <w:vAlign w:val="center"/>
            <w:hideMark/>
          </w:tcPr>
          <w:p w14:paraId="3A48916D" w14:textId="77777777" w:rsidR="00000000" w:rsidRDefault="00195E73">
            <w:pPr>
              <w:rPr>
                <w:rFonts w:eastAsia="Times New Roman"/>
                <w:sz w:val="20"/>
                <w:szCs w:val="20"/>
              </w:rPr>
            </w:pPr>
          </w:p>
        </w:tc>
        <w:tc>
          <w:tcPr>
            <w:tcW w:w="0" w:type="auto"/>
            <w:vAlign w:val="center"/>
            <w:hideMark/>
          </w:tcPr>
          <w:p w14:paraId="0CFFCDC1" w14:textId="77777777" w:rsidR="00000000" w:rsidRDefault="00195E73">
            <w:pPr>
              <w:rPr>
                <w:rFonts w:eastAsia="Times New Roman"/>
                <w:sz w:val="20"/>
                <w:szCs w:val="20"/>
              </w:rPr>
            </w:pPr>
          </w:p>
        </w:tc>
      </w:tr>
      <w:tr w:rsidR="00000000" w14:paraId="1D49DA4D" w14:textId="77777777">
        <w:trPr>
          <w:divId w:val="1673147082"/>
          <w:jc w:val="center"/>
        </w:trPr>
        <w:tc>
          <w:tcPr>
            <w:tcW w:w="0" w:type="auto"/>
            <w:gridSpan w:val="3"/>
            <w:tcMar>
              <w:top w:w="15" w:type="dxa"/>
              <w:left w:w="20" w:type="dxa"/>
              <w:bottom w:w="15" w:type="dxa"/>
              <w:right w:w="20" w:type="dxa"/>
            </w:tcMar>
            <w:vAlign w:val="bottom"/>
            <w:hideMark/>
          </w:tcPr>
          <w:p w14:paraId="2A1E3E3E" w14:textId="77777777" w:rsidR="00000000" w:rsidRDefault="00195E73">
            <w:pPr>
              <w:jc w:val="center"/>
              <w:rPr>
                <w:rFonts w:eastAsia="Times New Roman"/>
              </w:rPr>
            </w:pPr>
          </w:p>
        </w:tc>
        <w:tc>
          <w:tcPr>
            <w:tcW w:w="0" w:type="auto"/>
            <w:gridSpan w:val="26"/>
            <w:tcBorders>
              <w:top w:val="single" w:sz="8" w:space="0" w:color="000000"/>
            </w:tcBorders>
            <w:tcMar>
              <w:top w:w="30" w:type="dxa"/>
              <w:left w:w="20" w:type="dxa"/>
              <w:bottom w:w="30" w:type="dxa"/>
              <w:right w:w="0" w:type="dxa"/>
            </w:tcMar>
            <w:vAlign w:val="bottom"/>
            <w:hideMark/>
          </w:tcPr>
          <w:p w14:paraId="6546A20B"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61C371CF"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21F20F08" w14:textId="77777777" w:rsidR="00000000" w:rsidRDefault="00195E73">
            <w:pPr>
              <w:jc w:val="right"/>
              <w:rPr>
                <w:rFonts w:eastAsia="Times New Roman"/>
              </w:rPr>
            </w:pPr>
          </w:p>
        </w:tc>
        <w:tc>
          <w:tcPr>
            <w:tcW w:w="0" w:type="auto"/>
            <w:gridSpan w:val="3"/>
            <w:vAlign w:val="center"/>
            <w:hideMark/>
          </w:tcPr>
          <w:p w14:paraId="5E3770E8" w14:textId="77777777" w:rsidR="00000000" w:rsidRDefault="00195E73">
            <w:pPr>
              <w:rPr>
                <w:rFonts w:eastAsia="Times New Roman"/>
                <w:sz w:val="20"/>
                <w:szCs w:val="20"/>
              </w:rPr>
            </w:pPr>
          </w:p>
        </w:tc>
        <w:tc>
          <w:tcPr>
            <w:tcW w:w="0" w:type="auto"/>
            <w:gridSpan w:val="3"/>
            <w:vAlign w:val="center"/>
            <w:hideMark/>
          </w:tcPr>
          <w:p w14:paraId="0FF36DAB" w14:textId="77777777" w:rsidR="00000000" w:rsidRDefault="00195E73">
            <w:pPr>
              <w:rPr>
                <w:rFonts w:eastAsia="Times New Roman"/>
                <w:sz w:val="20"/>
                <w:szCs w:val="20"/>
              </w:rPr>
            </w:pPr>
          </w:p>
        </w:tc>
        <w:tc>
          <w:tcPr>
            <w:tcW w:w="0" w:type="auto"/>
            <w:gridSpan w:val="3"/>
            <w:vAlign w:val="center"/>
            <w:hideMark/>
          </w:tcPr>
          <w:p w14:paraId="08C2F67E" w14:textId="77777777" w:rsidR="00000000" w:rsidRDefault="00195E73">
            <w:pPr>
              <w:rPr>
                <w:rFonts w:eastAsia="Times New Roman"/>
                <w:sz w:val="20"/>
                <w:szCs w:val="20"/>
              </w:rPr>
            </w:pPr>
          </w:p>
        </w:tc>
        <w:tc>
          <w:tcPr>
            <w:tcW w:w="0" w:type="auto"/>
            <w:gridSpan w:val="3"/>
            <w:vAlign w:val="center"/>
            <w:hideMark/>
          </w:tcPr>
          <w:p w14:paraId="3A76EA2F" w14:textId="77777777" w:rsidR="00000000" w:rsidRDefault="00195E73">
            <w:pPr>
              <w:rPr>
                <w:rFonts w:eastAsia="Times New Roman"/>
                <w:sz w:val="20"/>
                <w:szCs w:val="20"/>
              </w:rPr>
            </w:pPr>
          </w:p>
        </w:tc>
        <w:tc>
          <w:tcPr>
            <w:tcW w:w="0" w:type="auto"/>
            <w:gridSpan w:val="3"/>
            <w:vAlign w:val="center"/>
            <w:hideMark/>
          </w:tcPr>
          <w:p w14:paraId="7F02DF91" w14:textId="77777777" w:rsidR="00000000" w:rsidRDefault="00195E73">
            <w:pPr>
              <w:rPr>
                <w:rFonts w:eastAsia="Times New Roman"/>
                <w:sz w:val="20"/>
                <w:szCs w:val="20"/>
              </w:rPr>
            </w:pPr>
          </w:p>
        </w:tc>
        <w:tc>
          <w:tcPr>
            <w:tcW w:w="0" w:type="auto"/>
            <w:gridSpan w:val="3"/>
            <w:vAlign w:val="center"/>
            <w:hideMark/>
          </w:tcPr>
          <w:p w14:paraId="2C47BD5B" w14:textId="77777777" w:rsidR="00000000" w:rsidRDefault="00195E73">
            <w:pPr>
              <w:rPr>
                <w:rFonts w:eastAsia="Times New Roman"/>
                <w:sz w:val="20"/>
                <w:szCs w:val="20"/>
              </w:rPr>
            </w:pPr>
          </w:p>
        </w:tc>
        <w:tc>
          <w:tcPr>
            <w:tcW w:w="0" w:type="auto"/>
            <w:gridSpan w:val="3"/>
            <w:vAlign w:val="center"/>
            <w:hideMark/>
          </w:tcPr>
          <w:p w14:paraId="57381350" w14:textId="77777777" w:rsidR="00000000" w:rsidRDefault="00195E73">
            <w:pPr>
              <w:rPr>
                <w:rFonts w:eastAsia="Times New Roman"/>
                <w:sz w:val="20"/>
                <w:szCs w:val="20"/>
              </w:rPr>
            </w:pPr>
          </w:p>
        </w:tc>
      </w:tr>
      <w:tr w:rsidR="00000000" w14:paraId="524F79B7" w14:textId="77777777">
        <w:trPr>
          <w:divId w:val="1673147082"/>
          <w:jc w:val="center"/>
        </w:trPr>
        <w:tc>
          <w:tcPr>
            <w:tcW w:w="0" w:type="auto"/>
            <w:gridSpan w:val="3"/>
            <w:shd w:val="clear" w:color="auto" w:fill="CCEEFF"/>
            <w:tcMar>
              <w:top w:w="30" w:type="dxa"/>
              <w:left w:w="20" w:type="dxa"/>
              <w:bottom w:w="30" w:type="dxa"/>
              <w:right w:w="20" w:type="dxa"/>
            </w:tcMar>
            <w:vAlign w:val="bottom"/>
            <w:hideMark/>
          </w:tcPr>
          <w:p w14:paraId="35488794" w14:textId="77777777" w:rsidR="00000000" w:rsidRDefault="00195E73">
            <w:pPr>
              <w:rPr>
                <w:rFonts w:eastAsia="Times New Roman"/>
              </w:rPr>
            </w:pPr>
            <w:r>
              <w:rPr>
                <w:rFonts w:eastAsia="Times New Roman"/>
                <w:b/>
                <w:bCs/>
                <w:color w:val="000000"/>
                <w:sz w:val="18"/>
                <w:szCs w:val="18"/>
              </w:rPr>
              <w:t>Balance, December 31, 201</w:t>
            </w:r>
            <w:r>
              <w:rPr>
                <w:rFonts w:eastAsia="Times New Roman"/>
                <w:b/>
                <w:bCs/>
                <w:color w:val="000000"/>
                <w:sz w:val="18"/>
                <w:szCs w:val="18"/>
              </w:rPr>
              <w:t>6</w:t>
            </w:r>
          </w:p>
        </w:tc>
        <w:tc>
          <w:tcPr>
            <w:tcW w:w="0" w:type="auto"/>
            <w:shd w:val="clear" w:color="auto" w:fill="CCEEFF"/>
            <w:tcMar>
              <w:top w:w="30" w:type="dxa"/>
              <w:left w:w="20" w:type="dxa"/>
              <w:bottom w:w="30" w:type="dxa"/>
              <w:right w:w="15" w:type="dxa"/>
            </w:tcMar>
            <w:vAlign w:val="bottom"/>
            <w:hideMark/>
          </w:tcPr>
          <w:p w14:paraId="3A85F6CF"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405A25F6" w14:textId="77777777" w:rsidR="00000000" w:rsidRDefault="00195E73">
            <w:pPr>
              <w:jc w:val="right"/>
              <w:rPr>
                <w:rFonts w:eastAsia="Times New Roman"/>
              </w:rPr>
            </w:pPr>
            <w:r>
              <w:rPr>
                <w:rFonts w:eastAsia="Times New Roman"/>
                <w:color w:val="000000"/>
                <w:sz w:val="18"/>
                <w:szCs w:val="18"/>
              </w:rPr>
              <w:t>(293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5D6F222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B7D756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70DBE57"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154C0C37" w14:textId="77777777" w:rsidR="00000000" w:rsidRDefault="00195E73">
            <w:pPr>
              <w:jc w:val="right"/>
              <w:rPr>
                <w:rFonts w:eastAsia="Times New Roman"/>
              </w:rPr>
            </w:pPr>
            <w:r>
              <w:rPr>
                <w:rFonts w:eastAsia="Times New Roman"/>
                <w:color w:val="000000"/>
                <w:sz w:val="18"/>
                <w:szCs w:val="18"/>
              </w:rPr>
              <w:t>2,485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17D501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F75EEA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A5138E9"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29011DFC" w14:textId="77777777" w:rsidR="00000000" w:rsidRDefault="00195E73">
            <w:pPr>
              <w:jc w:val="right"/>
              <w:rPr>
                <w:rFonts w:eastAsia="Times New Roman"/>
              </w:rPr>
            </w:pPr>
            <w:r>
              <w:rPr>
                <w:rFonts w:eastAsia="Times New Roman"/>
                <w:color w:val="000000"/>
                <w:sz w:val="18"/>
                <w:szCs w:val="18"/>
              </w:rPr>
              <w:t>2,192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AE8102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3BFBC0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D9DEE15"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7EC3474F" w14:textId="77777777" w:rsidR="00000000" w:rsidRDefault="00195E73">
            <w:pPr>
              <w:jc w:val="right"/>
              <w:rPr>
                <w:rFonts w:eastAsia="Times New Roman"/>
              </w:rPr>
            </w:pPr>
            <w:r>
              <w:rPr>
                <w:rFonts w:eastAsia="Times New Roman"/>
                <w:color w:val="000000"/>
                <w:sz w:val="18"/>
                <w:szCs w:val="18"/>
              </w:rPr>
              <w:t>5,902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4939DE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E1E939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61109C9"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56B11625" w14:textId="77777777" w:rsidR="00000000" w:rsidRDefault="00195E73">
            <w:pPr>
              <w:jc w:val="right"/>
              <w:rPr>
                <w:rFonts w:eastAsia="Times New Roman"/>
              </w:rPr>
            </w:pPr>
            <w:r>
              <w:rPr>
                <w:rFonts w:eastAsia="Times New Roman"/>
                <w:color w:val="000000"/>
                <w:sz w:val="18"/>
                <w:szCs w:val="18"/>
              </w:rPr>
              <w:t>8,094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2AB7722"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6706508E" w14:textId="77777777" w:rsidR="00000000" w:rsidRDefault="00195E73">
            <w:pPr>
              <w:rPr>
                <w:rFonts w:eastAsia="Times New Roman"/>
                <w:sz w:val="20"/>
                <w:szCs w:val="20"/>
              </w:rPr>
            </w:pPr>
          </w:p>
        </w:tc>
        <w:tc>
          <w:tcPr>
            <w:tcW w:w="0" w:type="auto"/>
            <w:vAlign w:val="center"/>
            <w:hideMark/>
          </w:tcPr>
          <w:p w14:paraId="784D456D" w14:textId="77777777" w:rsidR="00000000" w:rsidRDefault="00195E73">
            <w:pPr>
              <w:rPr>
                <w:rFonts w:eastAsia="Times New Roman"/>
                <w:sz w:val="20"/>
                <w:szCs w:val="20"/>
              </w:rPr>
            </w:pPr>
          </w:p>
        </w:tc>
        <w:tc>
          <w:tcPr>
            <w:tcW w:w="0" w:type="auto"/>
            <w:vAlign w:val="center"/>
            <w:hideMark/>
          </w:tcPr>
          <w:p w14:paraId="476D71BD" w14:textId="77777777" w:rsidR="00000000" w:rsidRDefault="00195E73">
            <w:pPr>
              <w:rPr>
                <w:rFonts w:eastAsia="Times New Roman"/>
                <w:sz w:val="20"/>
                <w:szCs w:val="20"/>
              </w:rPr>
            </w:pPr>
          </w:p>
        </w:tc>
        <w:tc>
          <w:tcPr>
            <w:tcW w:w="0" w:type="auto"/>
            <w:vAlign w:val="center"/>
            <w:hideMark/>
          </w:tcPr>
          <w:p w14:paraId="4CB14556" w14:textId="77777777" w:rsidR="00000000" w:rsidRDefault="00195E73">
            <w:pPr>
              <w:rPr>
                <w:rFonts w:eastAsia="Times New Roman"/>
                <w:sz w:val="20"/>
                <w:szCs w:val="20"/>
              </w:rPr>
            </w:pPr>
          </w:p>
        </w:tc>
        <w:tc>
          <w:tcPr>
            <w:tcW w:w="0" w:type="auto"/>
            <w:vAlign w:val="center"/>
            <w:hideMark/>
          </w:tcPr>
          <w:p w14:paraId="47BDE0BD" w14:textId="77777777" w:rsidR="00000000" w:rsidRDefault="00195E73">
            <w:pPr>
              <w:rPr>
                <w:rFonts w:eastAsia="Times New Roman"/>
                <w:sz w:val="20"/>
                <w:szCs w:val="20"/>
              </w:rPr>
            </w:pPr>
          </w:p>
        </w:tc>
        <w:tc>
          <w:tcPr>
            <w:tcW w:w="0" w:type="auto"/>
            <w:vAlign w:val="center"/>
            <w:hideMark/>
          </w:tcPr>
          <w:p w14:paraId="5A638D19" w14:textId="77777777" w:rsidR="00000000" w:rsidRDefault="00195E73">
            <w:pPr>
              <w:rPr>
                <w:rFonts w:eastAsia="Times New Roman"/>
                <w:sz w:val="20"/>
                <w:szCs w:val="20"/>
              </w:rPr>
            </w:pPr>
          </w:p>
        </w:tc>
        <w:tc>
          <w:tcPr>
            <w:tcW w:w="0" w:type="auto"/>
            <w:vAlign w:val="center"/>
            <w:hideMark/>
          </w:tcPr>
          <w:p w14:paraId="3828DB23" w14:textId="77777777" w:rsidR="00000000" w:rsidRDefault="00195E73">
            <w:pPr>
              <w:rPr>
                <w:rFonts w:eastAsia="Times New Roman"/>
                <w:sz w:val="20"/>
                <w:szCs w:val="20"/>
              </w:rPr>
            </w:pPr>
          </w:p>
        </w:tc>
        <w:tc>
          <w:tcPr>
            <w:tcW w:w="0" w:type="auto"/>
            <w:vAlign w:val="center"/>
            <w:hideMark/>
          </w:tcPr>
          <w:p w14:paraId="126BAC81" w14:textId="77777777" w:rsidR="00000000" w:rsidRDefault="00195E73">
            <w:pPr>
              <w:rPr>
                <w:rFonts w:eastAsia="Times New Roman"/>
                <w:sz w:val="20"/>
                <w:szCs w:val="20"/>
              </w:rPr>
            </w:pPr>
          </w:p>
        </w:tc>
        <w:tc>
          <w:tcPr>
            <w:tcW w:w="0" w:type="auto"/>
            <w:vAlign w:val="center"/>
            <w:hideMark/>
          </w:tcPr>
          <w:p w14:paraId="47C57BB9" w14:textId="77777777" w:rsidR="00000000" w:rsidRDefault="00195E73">
            <w:pPr>
              <w:rPr>
                <w:rFonts w:eastAsia="Times New Roman"/>
                <w:sz w:val="20"/>
                <w:szCs w:val="20"/>
              </w:rPr>
            </w:pPr>
          </w:p>
        </w:tc>
        <w:tc>
          <w:tcPr>
            <w:tcW w:w="0" w:type="auto"/>
            <w:vAlign w:val="center"/>
            <w:hideMark/>
          </w:tcPr>
          <w:p w14:paraId="7E283E25" w14:textId="77777777" w:rsidR="00000000" w:rsidRDefault="00195E73">
            <w:pPr>
              <w:rPr>
                <w:rFonts w:eastAsia="Times New Roman"/>
                <w:sz w:val="20"/>
                <w:szCs w:val="20"/>
              </w:rPr>
            </w:pPr>
          </w:p>
        </w:tc>
        <w:tc>
          <w:tcPr>
            <w:tcW w:w="0" w:type="auto"/>
            <w:vAlign w:val="center"/>
            <w:hideMark/>
          </w:tcPr>
          <w:p w14:paraId="68E51EC1" w14:textId="77777777" w:rsidR="00000000" w:rsidRDefault="00195E73">
            <w:pPr>
              <w:rPr>
                <w:rFonts w:eastAsia="Times New Roman"/>
                <w:sz w:val="20"/>
                <w:szCs w:val="20"/>
              </w:rPr>
            </w:pPr>
          </w:p>
        </w:tc>
        <w:tc>
          <w:tcPr>
            <w:tcW w:w="0" w:type="auto"/>
            <w:vAlign w:val="center"/>
            <w:hideMark/>
          </w:tcPr>
          <w:p w14:paraId="38D9C222" w14:textId="77777777" w:rsidR="00000000" w:rsidRDefault="00195E73">
            <w:pPr>
              <w:rPr>
                <w:rFonts w:eastAsia="Times New Roman"/>
                <w:sz w:val="20"/>
                <w:szCs w:val="20"/>
              </w:rPr>
            </w:pPr>
          </w:p>
        </w:tc>
        <w:tc>
          <w:tcPr>
            <w:tcW w:w="0" w:type="auto"/>
            <w:vAlign w:val="center"/>
            <w:hideMark/>
          </w:tcPr>
          <w:p w14:paraId="14F95B09" w14:textId="77777777" w:rsidR="00000000" w:rsidRDefault="00195E73">
            <w:pPr>
              <w:rPr>
                <w:rFonts w:eastAsia="Times New Roman"/>
                <w:sz w:val="20"/>
                <w:szCs w:val="20"/>
              </w:rPr>
            </w:pPr>
          </w:p>
        </w:tc>
        <w:tc>
          <w:tcPr>
            <w:tcW w:w="0" w:type="auto"/>
            <w:vAlign w:val="center"/>
            <w:hideMark/>
          </w:tcPr>
          <w:p w14:paraId="3D262317" w14:textId="77777777" w:rsidR="00000000" w:rsidRDefault="00195E73">
            <w:pPr>
              <w:rPr>
                <w:rFonts w:eastAsia="Times New Roman"/>
                <w:sz w:val="20"/>
                <w:szCs w:val="20"/>
              </w:rPr>
            </w:pPr>
          </w:p>
        </w:tc>
        <w:tc>
          <w:tcPr>
            <w:tcW w:w="0" w:type="auto"/>
            <w:vAlign w:val="center"/>
            <w:hideMark/>
          </w:tcPr>
          <w:p w14:paraId="7B1CF362" w14:textId="77777777" w:rsidR="00000000" w:rsidRDefault="00195E73">
            <w:pPr>
              <w:rPr>
                <w:rFonts w:eastAsia="Times New Roman"/>
                <w:sz w:val="20"/>
                <w:szCs w:val="20"/>
              </w:rPr>
            </w:pPr>
          </w:p>
        </w:tc>
        <w:tc>
          <w:tcPr>
            <w:tcW w:w="0" w:type="auto"/>
            <w:vAlign w:val="center"/>
            <w:hideMark/>
          </w:tcPr>
          <w:p w14:paraId="20B1E220" w14:textId="77777777" w:rsidR="00000000" w:rsidRDefault="00195E73">
            <w:pPr>
              <w:rPr>
                <w:rFonts w:eastAsia="Times New Roman"/>
                <w:sz w:val="20"/>
                <w:szCs w:val="20"/>
              </w:rPr>
            </w:pPr>
          </w:p>
        </w:tc>
        <w:tc>
          <w:tcPr>
            <w:tcW w:w="0" w:type="auto"/>
            <w:vAlign w:val="center"/>
            <w:hideMark/>
          </w:tcPr>
          <w:p w14:paraId="633CB246" w14:textId="77777777" w:rsidR="00000000" w:rsidRDefault="00195E73">
            <w:pPr>
              <w:rPr>
                <w:rFonts w:eastAsia="Times New Roman"/>
                <w:sz w:val="20"/>
                <w:szCs w:val="20"/>
              </w:rPr>
            </w:pPr>
          </w:p>
        </w:tc>
        <w:tc>
          <w:tcPr>
            <w:tcW w:w="0" w:type="auto"/>
            <w:vAlign w:val="center"/>
            <w:hideMark/>
          </w:tcPr>
          <w:p w14:paraId="2A9020AA" w14:textId="77777777" w:rsidR="00000000" w:rsidRDefault="00195E73">
            <w:pPr>
              <w:rPr>
                <w:rFonts w:eastAsia="Times New Roman"/>
                <w:sz w:val="20"/>
                <w:szCs w:val="20"/>
              </w:rPr>
            </w:pPr>
          </w:p>
        </w:tc>
        <w:tc>
          <w:tcPr>
            <w:tcW w:w="0" w:type="auto"/>
            <w:vAlign w:val="center"/>
            <w:hideMark/>
          </w:tcPr>
          <w:p w14:paraId="7641EF8C" w14:textId="77777777" w:rsidR="00000000" w:rsidRDefault="00195E73">
            <w:pPr>
              <w:rPr>
                <w:rFonts w:eastAsia="Times New Roman"/>
                <w:sz w:val="20"/>
                <w:szCs w:val="20"/>
              </w:rPr>
            </w:pPr>
          </w:p>
        </w:tc>
        <w:tc>
          <w:tcPr>
            <w:tcW w:w="0" w:type="auto"/>
            <w:vAlign w:val="center"/>
            <w:hideMark/>
          </w:tcPr>
          <w:p w14:paraId="5A8FCD3C" w14:textId="77777777" w:rsidR="00000000" w:rsidRDefault="00195E73">
            <w:pPr>
              <w:rPr>
                <w:rFonts w:eastAsia="Times New Roman"/>
                <w:sz w:val="20"/>
                <w:szCs w:val="20"/>
              </w:rPr>
            </w:pPr>
          </w:p>
        </w:tc>
        <w:tc>
          <w:tcPr>
            <w:tcW w:w="0" w:type="auto"/>
            <w:vAlign w:val="center"/>
            <w:hideMark/>
          </w:tcPr>
          <w:p w14:paraId="59C16EE8" w14:textId="77777777" w:rsidR="00000000" w:rsidRDefault="00195E73">
            <w:pPr>
              <w:rPr>
                <w:rFonts w:eastAsia="Times New Roman"/>
                <w:sz w:val="20"/>
                <w:szCs w:val="20"/>
              </w:rPr>
            </w:pPr>
          </w:p>
        </w:tc>
        <w:tc>
          <w:tcPr>
            <w:tcW w:w="0" w:type="auto"/>
            <w:vAlign w:val="center"/>
            <w:hideMark/>
          </w:tcPr>
          <w:p w14:paraId="6CC89AA3" w14:textId="77777777" w:rsidR="00000000" w:rsidRDefault="00195E73">
            <w:pPr>
              <w:rPr>
                <w:rFonts w:eastAsia="Times New Roman"/>
                <w:sz w:val="20"/>
                <w:szCs w:val="20"/>
              </w:rPr>
            </w:pPr>
          </w:p>
        </w:tc>
        <w:tc>
          <w:tcPr>
            <w:tcW w:w="0" w:type="auto"/>
            <w:vAlign w:val="center"/>
            <w:hideMark/>
          </w:tcPr>
          <w:p w14:paraId="66E14FAE" w14:textId="77777777" w:rsidR="00000000" w:rsidRDefault="00195E73">
            <w:pPr>
              <w:rPr>
                <w:rFonts w:eastAsia="Times New Roman"/>
                <w:sz w:val="20"/>
                <w:szCs w:val="20"/>
              </w:rPr>
            </w:pPr>
          </w:p>
        </w:tc>
        <w:tc>
          <w:tcPr>
            <w:tcW w:w="0" w:type="auto"/>
            <w:vAlign w:val="center"/>
            <w:hideMark/>
          </w:tcPr>
          <w:p w14:paraId="6CBAB8C6" w14:textId="77777777" w:rsidR="00000000" w:rsidRDefault="00195E73">
            <w:pPr>
              <w:rPr>
                <w:rFonts w:eastAsia="Times New Roman"/>
                <w:sz w:val="20"/>
                <w:szCs w:val="20"/>
              </w:rPr>
            </w:pPr>
          </w:p>
        </w:tc>
      </w:tr>
      <w:tr w:rsidR="00000000" w14:paraId="657614F9" w14:textId="77777777">
        <w:trPr>
          <w:divId w:val="1673147082"/>
          <w:jc w:val="center"/>
        </w:trPr>
        <w:tc>
          <w:tcPr>
            <w:tcW w:w="0" w:type="auto"/>
            <w:gridSpan w:val="3"/>
            <w:shd w:val="clear" w:color="auto" w:fill="FFFFFF"/>
            <w:tcMar>
              <w:top w:w="30" w:type="dxa"/>
              <w:left w:w="20" w:type="dxa"/>
              <w:bottom w:w="30" w:type="dxa"/>
              <w:right w:w="20" w:type="dxa"/>
            </w:tcMar>
            <w:vAlign w:val="bottom"/>
            <w:hideMark/>
          </w:tcPr>
          <w:p w14:paraId="4DFD5000" w14:textId="77777777" w:rsidR="00000000" w:rsidRDefault="00195E73">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14:paraId="09F2E6C5" w14:textId="77777777" w:rsidR="00000000" w:rsidRDefault="00195E73">
            <w:pPr>
              <w:jc w:val="right"/>
              <w:rPr>
                <w:rFonts w:eastAsia="Times New Roman"/>
              </w:rPr>
            </w:pPr>
            <w:r>
              <w:rPr>
                <w:rFonts w:eastAsia="Times New Roman"/>
                <w:color w:val="000000"/>
                <w:sz w:val="18"/>
                <w:szCs w:val="18"/>
              </w:rPr>
              <w:t>49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68BD41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D53EC2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97EC7D" w14:textId="77777777" w:rsidR="00000000" w:rsidRDefault="00195E73">
            <w:pPr>
              <w:jc w:val="right"/>
              <w:rPr>
                <w:rFonts w:eastAsia="Times New Roman"/>
              </w:rPr>
            </w:pPr>
            <w:r>
              <w:rPr>
                <w:rFonts w:eastAsia="Times New Roman"/>
                <w:color w:val="000000"/>
                <w:sz w:val="18"/>
                <w:szCs w:val="18"/>
              </w:rPr>
              <w:t>2,405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A583A2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5BC7DC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3131CE" w14:textId="77777777" w:rsidR="00000000" w:rsidRDefault="00195E73">
            <w:pPr>
              <w:jc w:val="right"/>
              <w:rPr>
                <w:rFonts w:eastAsia="Times New Roman"/>
              </w:rPr>
            </w:pPr>
            <w:r>
              <w:rPr>
                <w:rFonts w:eastAsia="Times New Roman"/>
                <w:color w:val="000000"/>
                <w:sz w:val="18"/>
                <w:szCs w:val="18"/>
              </w:rPr>
              <w:t>2,454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950536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99C464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41AE26" w14:textId="77777777" w:rsidR="00000000" w:rsidRDefault="00195E73">
            <w:pPr>
              <w:jc w:val="right"/>
              <w:rPr>
                <w:rFonts w:eastAsia="Times New Roman"/>
              </w:rPr>
            </w:pPr>
            <w:r>
              <w:rPr>
                <w:rFonts w:eastAsia="Times New Roman"/>
                <w:color w:val="000000"/>
                <w:sz w:val="18"/>
                <w:szCs w:val="18"/>
              </w:rPr>
              <w:t>178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1C2A7C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3ABF53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EBB425" w14:textId="77777777" w:rsidR="00000000" w:rsidRDefault="00195E73">
            <w:pPr>
              <w:jc w:val="right"/>
              <w:rPr>
                <w:rFonts w:eastAsia="Times New Roman"/>
              </w:rPr>
            </w:pPr>
            <w:r>
              <w:rPr>
                <w:rFonts w:eastAsia="Times New Roman"/>
                <w:color w:val="000000"/>
                <w:sz w:val="18"/>
                <w:szCs w:val="18"/>
              </w:rPr>
              <w:t>2,632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B6AD5DF"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3C9B8B1A" w14:textId="77777777" w:rsidR="00000000" w:rsidRDefault="00195E73">
            <w:pPr>
              <w:rPr>
                <w:rFonts w:eastAsia="Times New Roman"/>
                <w:sz w:val="20"/>
                <w:szCs w:val="20"/>
              </w:rPr>
            </w:pPr>
          </w:p>
        </w:tc>
        <w:tc>
          <w:tcPr>
            <w:tcW w:w="0" w:type="auto"/>
            <w:vAlign w:val="center"/>
            <w:hideMark/>
          </w:tcPr>
          <w:p w14:paraId="36343C0A" w14:textId="77777777" w:rsidR="00000000" w:rsidRDefault="00195E73">
            <w:pPr>
              <w:rPr>
                <w:rFonts w:eastAsia="Times New Roman"/>
                <w:sz w:val="20"/>
                <w:szCs w:val="20"/>
              </w:rPr>
            </w:pPr>
          </w:p>
        </w:tc>
        <w:tc>
          <w:tcPr>
            <w:tcW w:w="0" w:type="auto"/>
            <w:vAlign w:val="center"/>
            <w:hideMark/>
          </w:tcPr>
          <w:p w14:paraId="0CF00C13" w14:textId="77777777" w:rsidR="00000000" w:rsidRDefault="00195E73">
            <w:pPr>
              <w:rPr>
                <w:rFonts w:eastAsia="Times New Roman"/>
                <w:sz w:val="20"/>
                <w:szCs w:val="20"/>
              </w:rPr>
            </w:pPr>
          </w:p>
        </w:tc>
        <w:tc>
          <w:tcPr>
            <w:tcW w:w="0" w:type="auto"/>
            <w:vAlign w:val="center"/>
            <w:hideMark/>
          </w:tcPr>
          <w:p w14:paraId="700BF078" w14:textId="77777777" w:rsidR="00000000" w:rsidRDefault="00195E73">
            <w:pPr>
              <w:rPr>
                <w:rFonts w:eastAsia="Times New Roman"/>
                <w:sz w:val="20"/>
                <w:szCs w:val="20"/>
              </w:rPr>
            </w:pPr>
          </w:p>
        </w:tc>
        <w:tc>
          <w:tcPr>
            <w:tcW w:w="0" w:type="auto"/>
            <w:vAlign w:val="center"/>
            <w:hideMark/>
          </w:tcPr>
          <w:p w14:paraId="151514F2" w14:textId="77777777" w:rsidR="00000000" w:rsidRDefault="00195E73">
            <w:pPr>
              <w:rPr>
                <w:rFonts w:eastAsia="Times New Roman"/>
                <w:sz w:val="20"/>
                <w:szCs w:val="20"/>
              </w:rPr>
            </w:pPr>
          </w:p>
        </w:tc>
        <w:tc>
          <w:tcPr>
            <w:tcW w:w="0" w:type="auto"/>
            <w:vAlign w:val="center"/>
            <w:hideMark/>
          </w:tcPr>
          <w:p w14:paraId="64D14A60" w14:textId="77777777" w:rsidR="00000000" w:rsidRDefault="00195E73">
            <w:pPr>
              <w:rPr>
                <w:rFonts w:eastAsia="Times New Roman"/>
                <w:sz w:val="20"/>
                <w:szCs w:val="20"/>
              </w:rPr>
            </w:pPr>
          </w:p>
        </w:tc>
        <w:tc>
          <w:tcPr>
            <w:tcW w:w="0" w:type="auto"/>
            <w:vAlign w:val="center"/>
            <w:hideMark/>
          </w:tcPr>
          <w:p w14:paraId="4C1F2322" w14:textId="77777777" w:rsidR="00000000" w:rsidRDefault="00195E73">
            <w:pPr>
              <w:rPr>
                <w:rFonts w:eastAsia="Times New Roman"/>
                <w:sz w:val="20"/>
                <w:szCs w:val="20"/>
              </w:rPr>
            </w:pPr>
          </w:p>
        </w:tc>
        <w:tc>
          <w:tcPr>
            <w:tcW w:w="0" w:type="auto"/>
            <w:vAlign w:val="center"/>
            <w:hideMark/>
          </w:tcPr>
          <w:p w14:paraId="6193BC85" w14:textId="77777777" w:rsidR="00000000" w:rsidRDefault="00195E73">
            <w:pPr>
              <w:rPr>
                <w:rFonts w:eastAsia="Times New Roman"/>
                <w:sz w:val="20"/>
                <w:szCs w:val="20"/>
              </w:rPr>
            </w:pPr>
          </w:p>
        </w:tc>
        <w:tc>
          <w:tcPr>
            <w:tcW w:w="0" w:type="auto"/>
            <w:vAlign w:val="center"/>
            <w:hideMark/>
          </w:tcPr>
          <w:p w14:paraId="7BB42D1A" w14:textId="77777777" w:rsidR="00000000" w:rsidRDefault="00195E73">
            <w:pPr>
              <w:rPr>
                <w:rFonts w:eastAsia="Times New Roman"/>
                <w:sz w:val="20"/>
                <w:szCs w:val="20"/>
              </w:rPr>
            </w:pPr>
          </w:p>
        </w:tc>
        <w:tc>
          <w:tcPr>
            <w:tcW w:w="0" w:type="auto"/>
            <w:vAlign w:val="center"/>
            <w:hideMark/>
          </w:tcPr>
          <w:p w14:paraId="4A334923" w14:textId="77777777" w:rsidR="00000000" w:rsidRDefault="00195E73">
            <w:pPr>
              <w:rPr>
                <w:rFonts w:eastAsia="Times New Roman"/>
                <w:sz w:val="20"/>
                <w:szCs w:val="20"/>
              </w:rPr>
            </w:pPr>
          </w:p>
        </w:tc>
        <w:tc>
          <w:tcPr>
            <w:tcW w:w="0" w:type="auto"/>
            <w:vAlign w:val="center"/>
            <w:hideMark/>
          </w:tcPr>
          <w:p w14:paraId="2C89A5F3" w14:textId="77777777" w:rsidR="00000000" w:rsidRDefault="00195E73">
            <w:pPr>
              <w:rPr>
                <w:rFonts w:eastAsia="Times New Roman"/>
                <w:sz w:val="20"/>
                <w:szCs w:val="20"/>
              </w:rPr>
            </w:pPr>
          </w:p>
        </w:tc>
        <w:tc>
          <w:tcPr>
            <w:tcW w:w="0" w:type="auto"/>
            <w:vAlign w:val="center"/>
            <w:hideMark/>
          </w:tcPr>
          <w:p w14:paraId="37B013C6" w14:textId="77777777" w:rsidR="00000000" w:rsidRDefault="00195E73">
            <w:pPr>
              <w:rPr>
                <w:rFonts w:eastAsia="Times New Roman"/>
                <w:sz w:val="20"/>
                <w:szCs w:val="20"/>
              </w:rPr>
            </w:pPr>
          </w:p>
        </w:tc>
        <w:tc>
          <w:tcPr>
            <w:tcW w:w="0" w:type="auto"/>
            <w:vAlign w:val="center"/>
            <w:hideMark/>
          </w:tcPr>
          <w:p w14:paraId="78F36B1E" w14:textId="77777777" w:rsidR="00000000" w:rsidRDefault="00195E73">
            <w:pPr>
              <w:rPr>
                <w:rFonts w:eastAsia="Times New Roman"/>
                <w:sz w:val="20"/>
                <w:szCs w:val="20"/>
              </w:rPr>
            </w:pPr>
          </w:p>
        </w:tc>
        <w:tc>
          <w:tcPr>
            <w:tcW w:w="0" w:type="auto"/>
            <w:vAlign w:val="center"/>
            <w:hideMark/>
          </w:tcPr>
          <w:p w14:paraId="2D615616" w14:textId="77777777" w:rsidR="00000000" w:rsidRDefault="00195E73">
            <w:pPr>
              <w:rPr>
                <w:rFonts w:eastAsia="Times New Roman"/>
                <w:sz w:val="20"/>
                <w:szCs w:val="20"/>
              </w:rPr>
            </w:pPr>
          </w:p>
        </w:tc>
        <w:tc>
          <w:tcPr>
            <w:tcW w:w="0" w:type="auto"/>
            <w:vAlign w:val="center"/>
            <w:hideMark/>
          </w:tcPr>
          <w:p w14:paraId="0A304AF5" w14:textId="77777777" w:rsidR="00000000" w:rsidRDefault="00195E73">
            <w:pPr>
              <w:rPr>
                <w:rFonts w:eastAsia="Times New Roman"/>
                <w:sz w:val="20"/>
                <w:szCs w:val="20"/>
              </w:rPr>
            </w:pPr>
          </w:p>
        </w:tc>
        <w:tc>
          <w:tcPr>
            <w:tcW w:w="0" w:type="auto"/>
            <w:vAlign w:val="center"/>
            <w:hideMark/>
          </w:tcPr>
          <w:p w14:paraId="79B85EFC" w14:textId="77777777" w:rsidR="00000000" w:rsidRDefault="00195E73">
            <w:pPr>
              <w:rPr>
                <w:rFonts w:eastAsia="Times New Roman"/>
                <w:sz w:val="20"/>
                <w:szCs w:val="20"/>
              </w:rPr>
            </w:pPr>
          </w:p>
        </w:tc>
        <w:tc>
          <w:tcPr>
            <w:tcW w:w="0" w:type="auto"/>
            <w:vAlign w:val="center"/>
            <w:hideMark/>
          </w:tcPr>
          <w:p w14:paraId="3120DC6A" w14:textId="77777777" w:rsidR="00000000" w:rsidRDefault="00195E73">
            <w:pPr>
              <w:rPr>
                <w:rFonts w:eastAsia="Times New Roman"/>
                <w:sz w:val="20"/>
                <w:szCs w:val="20"/>
              </w:rPr>
            </w:pPr>
          </w:p>
        </w:tc>
        <w:tc>
          <w:tcPr>
            <w:tcW w:w="0" w:type="auto"/>
            <w:vAlign w:val="center"/>
            <w:hideMark/>
          </w:tcPr>
          <w:p w14:paraId="54B49384" w14:textId="77777777" w:rsidR="00000000" w:rsidRDefault="00195E73">
            <w:pPr>
              <w:rPr>
                <w:rFonts w:eastAsia="Times New Roman"/>
                <w:sz w:val="20"/>
                <w:szCs w:val="20"/>
              </w:rPr>
            </w:pPr>
          </w:p>
        </w:tc>
        <w:tc>
          <w:tcPr>
            <w:tcW w:w="0" w:type="auto"/>
            <w:vAlign w:val="center"/>
            <w:hideMark/>
          </w:tcPr>
          <w:p w14:paraId="2E8C13F5" w14:textId="77777777" w:rsidR="00000000" w:rsidRDefault="00195E73">
            <w:pPr>
              <w:rPr>
                <w:rFonts w:eastAsia="Times New Roman"/>
                <w:sz w:val="20"/>
                <w:szCs w:val="20"/>
              </w:rPr>
            </w:pPr>
          </w:p>
        </w:tc>
        <w:tc>
          <w:tcPr>
            <w:tcW w:w="0" w:type="auto"/>
            <w:vAlign w:val="center"/>
            <w:hideMark/>
          </w:tcPr>
          <w:p w14:paraId="4EE67226" w14:textId="77777777" w:rsidR="00000000" w:rsidRDefault="00195E73">
            <w:pPr>
              <w:rPr>
                <w:rFonts w:eastAsia="Times New Roman"/>
                <w:sz w:val="20"/>
                <w:szCs w:val="20"/>
              </w:rPr>
            </w:pPr>
          </w:p>
        </w:tc>
        <w:tc>
          <w:tcPr>
            <w:tcW w:w="0" w:type="auto"/>
            <w:vAlign w:val="center"/>
            <w:hideMark/>
          </w:tcPr>
          <w:p w14:paraId="79B5F4F7" w14:textId="77777777" w:rsidR="00000000" w:rsidRDefault="00195E73">
            <w:pPr>
              <w:rPr>
                <w:rFonts w:eastAsia="Times New Roman"/>
                <w:sz w:val="20"/>
                <w:szCs w:val="20"/>
              </w:rPr>
            </w:pPr>
          </w:p>
        </w:tc>
        <w:tc>
          <w:tcPr>
            <w:tcW w:w="0" w:type="auto"/>
            <w:vAlign w:val="center"/>
            <w:hideMark/>
          </w:tcPr>
          <w:p w14:paraId="5483ADC7" w14:textId="77777777" w:rsidR="00000000" w:rsidRDefault="00195E73">
            <w:pPr>
              <w:rPr>
                <w:rFonts w:eastAsia="Times New Roman"/>
                <w:sz w:val="20"/>
                <w:szCs w:val="20"/>
              </w:rPr>
            </w:pPr>
          </w:p>
        </w:tc>
        <w:tc>
          <w:tcPr>
            <w:tcW w:w="0" w:type="auto"/>
            <w:vAlign w:val="center"/>
            <w:hideMark/>
          </w:tcPr>
          <w:p w14:paraId="5AAE837B" w14:textId="77777777" w:rsidR="00000000" w:rsidRDefault="00195E73">
            <w:pPr>
              <w:rPr>
                <w:rFonts w:eastAsia="Times New Roman"/>
                <w:sz w:val="20"/>
                <w:szCs w:val="20"/>
              </w:rPr>
            </w:pPr>
          </w:p>
        </w:tc>
        <w:tc>
          <w:tcPr>
            <w:tcW w:w="0" w:type="auto"/>
            <w:vAlign w:val="center"/>
            <w:hideMark/>
          </w:tcPr>
          <w:p w14:paraId="73F6FDDE" w14:textId="77777777" w:rsidR="00000000" w:rsidRDefault="00195E73">
            <w:pPr>
              <w:rPr>
                <w:rFonts w:eastAsia="Times New Roman"/>
                <w:sz w:val="20"/>
                <w:szCs w:val="20"/>
              </w:rPr>
            </w:pPr>
          </w:p>
        </w:tc>
      </w:tr>
      <w:tr w:rsidR="00000000" w14:paraId="1E3122F1" w14:textId="77777777">
        <w:trPr>
          <w:divId w:val="1673147082"/>
          <w:jc w:val="center"/>
        </w:trPr>
        <w:tc>
          <w:tcPr>
            <w:tcW w:w="0" w:type="auto"/>
            <w:gridSpan w:val="3"/>
            <w:shd w:val="clear" w:color="auto" w:fill="CCEEFF"/>
            <w:tcMar>
              <w:top w:w="30" w:type="dxa"/>
              <w:left w:w="20" w:type="dxa"/>
              <w:bottom w:w="30" w:type="dxa"/>
              <w:right w:w="20" w:type="dxa"/>
            </w:tcMar>
            <w:vAlign w:val="bottom"/>
            <w:hideMark/>
          </w:tcPr>
          <w:p w14:paraId="7E0F80E0" w14:textId="77777777" w:rsidR="00000000" w:rsidRDefault="00195E73">
            <w:pPr>
              <w:rPr>
                <w:rFonts w:eastAsia="Times New Roman"/>
              </w:rPr>
            </w:pPr>
            <w:r>
              <w:rPr>
                <w:rFonts w:eastAsia="Times New Roman"/>
                <w:color w:val="000000"/>
                <w:sz w:val="18"/>
                <w:szCs w:val="18"/>
              </w:rPr>
              <w:t>Other comprehensive incom</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14:paraId="33D00B36" w14:textId="77777777" w:rsidR="00000000" w:rsidRDefault="00195E73">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F4AD79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53D351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2B660A" w14:textId="77777777" w:rsidR="00000000" w:rsidRDefault="00195E73">
            <w:pPr>
              <w:jc w:val="right"/>
              <w:rPr>
                <w:rFonts w:eastAsia="Times New Roman"/>
              </w:rPr>
            </w:pPr>
            <w:r>
              <w:rPr>
                <w:rFonts w:eastAsia="Times New Roman"/>
                <w:color w:val="000000"/>
                <w:sz w:val="18"/>
                <w:szCs w:val="18"/>
              </w:rPr>
              <w:t>154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3F6529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BCA62B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39B863" w14:textId="77777777" w:rsidR="00000000" w:rsidRDefault="00195E73">
            <w:pPr>
              <w:jc w:val="right"/>
              <w:rPr>
                <w:rFonts w:eastAsia="Times New Roman"/>
              </w:rPr>
            </w:pPr>
            <w:r>
              <w:rPr>
                <w:rFonts w:eastAsia="Times New Roman"/>
                <w:color w:val="000000"/>
                <w:sz w:val="18"/>
                <w:szCs w:val="18"/>
              </w:rPr>
              <w:t>157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763606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A75BF8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41B121" w14:textId="77777777" w:rsidR="00000000" w:rsidRDefault="00195E73">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1D3507F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67F8BC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227DEE" w14:textId="77777777" w:rsidR="00000000" w:rsidRDefault="00195E73">
            <w:pPr>
              <w:jc w:val="right"/>
              <w:rPr>
                <w:rFonts w:eastAsia="Times New Roman"/>
              </w:rPr>
            </w:pPr>
            <w:r>
              <w:rPr>
                <w:rFonts w:eastAsia="Times New Roman"/>
                <w:color w:val="000000"/>
                <w:sz w:val="18"/>
                <w:szCs w:val="18"/>
              </w:rPr>
              <w:t>173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445DA1E"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66CD95C0" w14:textId="77777777" w:rsidR="00000000" w:rsidRDefault="00195E73">
            <w:pPr>
              <w:rPr>
                <w:rFonts w:eastAsia="Times New Roman"/>
                <w:sz w:val="20"/>
                <w:szCs w:val="20"/>
              </w:rPr>
            </w:pPr>
          </w:p>
        </w:tc>
        <w:tc>
          <w:tcPr>
            <w:tcW w:w="0" w:type="auto"/>
            <w:vAlign w:val="center"/>
            <w:hideMark/>
          </w:tcPr>
          <w:p w14:paraId="77F6D351" w14:textId="77777777" w:rsidR="00000000" w:rsidRDefault="00195E73">
            <w:pPr>
              <w:rPr>
                <w:rFonts w:eastAsia="Times New Roman"/>
                <w:sz w:val="20"/>
                <w:szCs w:val="20"/>
              </w:rPr>
            </w:pPr>
          </w:p>
        </w:tc>
        <w:tc>
          <w:tcPr>
            <w:tcW w:w="0" w:type="auto"/>
            <w:vAlign w:val="center"/>
            <w:hideMark/>
          </w:tcPr>
          <w:p w14:paraId="5315D232" w14:textId="77777777" w:rsidR="00000000" w:rsidRDefault="00195E73">
            <w:pPr>
              <w:rPr>
                <w:rFonts w:eastAsia="Times New Roman"/>
                <w:sz w:val="20"/>
                <w:szCs w:val="20"/>
              </w:rPr>
            </w:pPr>
          </w:p>
        </w:tc>
        <w:tc>
          <w:tcPr>
            <w:tcW w:w="0" w:type="auto"/>
            <w:vAlign w:val="center"/>
            <w:hideMark/>
          </w:tcPr>
          <w:p w14:paraId="072DA71A" w14:textId="77777777" w:rsidR="00000000" w:rsidRDefault="00195E73">
            <w:pPr>
              <w:rPr>
                <w:rFonts w:eastAsia="Times New Roman"/>
                <w:sz w:val="20"/>
                <w:szCs w:val="20"/>
              </w:rPr>
            </w:pPr>
          </w:p>
        </w:tc>
        <w:tc>
          <w:tcPr>
            <w:tcW w:w="0" w:type="auto"/>
            <w:vAlign w:val="center"/>
            <w:hideMark/>
          </w:tcPr>
          <w:p w14:paraId="7D70493D" w14:textId="77777777" w:rsidR="00000000" w:rsidRDefault="00195E73">
            <w:pPr>
              <w:rPr>
                <w:rFonts w:eastAsia="Times New Roman"/>
                <w:sz w:val="20"/>
                <w:szCs w:val="20"/>
              </w:rPr>
            </w:pPr>
          </w:p>
        </w:tc>
        <w:tc>
          <w:tcPr>
            <w:tcW w:w="0" w:type="auto"/>
            <w:vAlign w:val="center"/>
            <w:hideMark/>
          </w:tcPr>
          <w:p w14:paraId="57B69D39" w14:textId="77777777" w:rsidR="00000000" w:rsidRDefault="00195E73">
            <w:pPr>
              <w:rPr>
                <w:rFonts w:eastAsia="Times New Roman"/>
                <w:sz w:val="20"/>
                <w:szCs w:val="20"/>
              </w:rPr>
            </w:pPr>
          </w:p>
        </w:tc>
        <w:tc>
          <w:tcPr>
            <w:tcW w:w="0" w:type="auto"/>
            <w:vAlign w:val="center"/>
            <w:hideMark/>
          </w:tcPr>
          <w:p w14:paraId="13BA7B7C" w14:textId="77777777" w:rsidR="00000000" w:rsidRDefault="00195E73">
            <w:pPr>
              <w:rPr>
                <w:rFonts w:eastAsia="Times New Roman"/>
                <w:sz w:val="20"/>
                <w:szCs w:val="20"/>
              </w:rPr>
            </w:pPr>
          </w:p>
        </w:tc>
        <w:tc>
          <w:tcPr>
            <w:tcW w:w="0" w:type="auto"/>
            <w:vAlign w:val="center"/>
            <w:hideMark/>
          </w:tcPr>
          <w:p w14:paraId="74200D79" w14:textId="77777777" w:rsidR="00000000" w:rsidRDefault="00195E73">
            <w:pPr>
              <w:rPr>
                <w:rFonts w:eastAsia="Times New Roman"/>
                <w:sz w:val="20"/>
                <w:szCs w:val="20"/>
              </w:rPr>
            </w:pPr>
          </w:p>
        </w:tc>
        <w:tc>
          <w:tcPr>
            <w:tcW w:w="0" w:type="auto"/>
            <w:vAlign w:val="center"/>
            <w:hideMark/>
          </w:tcPr>
          <w:p w14:paraId="0CB1DB76" w14:textId="77777777" w:rsidR="00000000" w:rsidRDefault="00195E73">
            <w:pPr>
              <w:rPr>
                <w:rFonts w:eastAsia="Times New Roman"/>
                <w:sz w:val="20"/>
                <w:szCs w:val="20"/>
              </w:rPr>
            </w:pPr>
          </w:p>
        </w:tc>
        <w:tc>
          <w:tcPr>
            <w:tcW w:w="0" w:type="auto"/>
            <w:vAlign w:val="center"/>
            <w:hideMark/>
          </w:tcPr>
          <w:p w14:paraId="1E3D0520" w14:textId="77777777" w:rsidR="00000000" w:rsidRDefault="00195E73">
            <w:pPr>
              <w:rPr>
                <w:rFonts w:eastAsia="Times New Roman"/>
                <w:sz w:val="20"/>
                <w:szCs w:val="20"/>
              </w:rPr>
            </w:pPr>
          </w:p>
        </w:tc>
        <w:tc>
          <w:tcPr>
            <w:tcW w:w="0" w:type="auto"/>
            <w:vAlign w:val="center"/>
            <w:hideMark/>
          </w:tcPr>
          <w:p w14:paraId="25FA6C80" w14:textId="77777777" w:rsidR="00000000" w:rsidRDefault="00195E73">
            <w:pPr>
              <w:rPr>
                <w:rFonts w:eastAsia="Times New Roman"/>
                <w:sz w:val="20"/>
                <w:szCs w:val="20"/>
              </w:rPr>
            </w:pPr>
          </w:p>
        </w:tc>
        <w:tc>
          <w:tcPr>
            <w:tcW w:w="0" w:type="auto"/>
            <w:vAlign w:val="center"/>
            <w:hideMark/>
          </w:tcPr>
          <w:p w14:paraId="1321361B" w14:textId="77777777" w:rsidR="00000000" w:rsidRDefault="00195E73">
            <w:pPr>
              <w:rPr>
                <w:rFonts w:eastAsia="Times New Roman"/>
                <w:sz w:val="20"/>
                <w:szCs w:val="20"/>
              </w:rPr>
            </w:pPr>
          </w:p>
        </w:tc>
        <w:tc>
          <w:tcPr>
            <w:tcW w:w="0" w:type="auto"/>
            <w:vAlign w:val="center"/>
            <w:hideMark/>
          </w:tcPr>
          <w:p w14:paraId="7C2567D9" w14:textId="77777777" w:rsidR="00000000" w:rsidRDefault="00195E73">
            <w:pPr>
              <w:rPr>
                <w:rFonts w:eastAsia="Times New Roman"/>
                <w:sz w:val="20"/>
                <w:szCs w:val="20"/>
              </w:rPr>
            </w:pPr>
          </w:p>
        </w:tc>
        <w:tc>
          <w:tcPr>
            <w:tcW w:w="0" w:type="auto"/>
            <w:vAlign w:val="center"/>
            <w:hideMark/>
          </w:tcPr>
          <w:p w14:paraId="420DD8F5" w14:textId="77777777" w:rsidR="00000000" w:rsidRDefault="00195E73">
            <w:pPr>
              <w:rPr>
                <w:rFonts w:eastAsia="Times New Roman"/>
                <w:sz w:val="20"/>
                <w:szCs w:val="20"/>
              </w:rPr>
            </w:pPr>
          </w:p>
        </w:tc>
        <w:tc>
          <w:tcPr>
            <w:tcW w:w="0" w:type="auto"/>
            <w:vAlign w:val="center"/>
            <w:hideMark/>
          </w:tcPr>
          <w:p w14:paraId="284902DA" w14:textId="77777777" w:rsidR="00000000" w:rsidRDefault="00195E73">
            <w:pPr>
              <w:rPr>
                <w:rFonts w:eastAsia="Times New Roman"/>
                <w:sz w:val="20"/>
                <w:szCs w:val="20"/>
              </w:rPr>
            </w:pPr>
          </w:p>
        </w:tc>
        <w:tc>
          <w:tcPr>
            <w:tcW w:w="0" w:type="auto"/>
            <w:vAlign w:val="center"/>
            <w:hideMark/>
          </w:tcPr>
          <w:p w14:paraId="13FF227D" w14:textId="77777777" w:rsidR="00000000" w:rsidRDefault="00195E73">
            <w:pPr>
              <w:rPr>
                <w:rFonts w:eastAsia="Times New Roman"/>
                <w:sz w:val="20"/>
                <w:szCs w:val="20"/>
              </w:rPr>
            </w:pPr>
          </w:p>
        </w:tc>
        <w:tc>
          <w:tcPr>
            <w:tcW w:w="0" w:type="auto"/>
            <w:vAlign w:val="center"/>
            <w:hideMark/>
          </w:tcPr>
          <w:p w14:paraId="3DDADF37" w14:textId="77777777" w:rsidR="00000000" w:rsidRDefault="00195E73">
            <w:pPr>
              <w:rPr>
                <w:rFonts w:eastAsia="Times New Roman"/>
                <w:sz w:val="20"/>
                <w:szCs w:val="20"/>
              </w:rPr>
            </w:pPr>
          </w:p>
        </w:tc>
        <w:tc>
          <w:tcPr>
            <w:tcW w:w="0" w:type="auto"/>
            <w:vAlign w:val="center"/>
            <w:hideMark/>
          </w:tcPr>
          <w:p w14:paraId="10B2179A" w14:textId="77777777" w:rsidR="00000000" w:rsidRDefault="00195E73">
            <w:pPr>
              <w:rPr>
                <w:rFonts w:eastAsia="Times New Roman"/>
                <w:sz w:val="20"/>
                <w:szCs w:val="20"/>
              </w:rPr>
            </w:pPr>
          </w:p>
        </w:tc>
        <w:tc>
          <w:tcPr>
            <w:tcW w:w="0" w:type="auto"/>
            <w:vAlign w:val="center"/>
            <w:hideMark/>
          </w:tcPr>
          <w:p w14:paraId="1B402186" w14:textId="77777777" w:rsidR="00000000" w:rsidRDefault="00195E73">
            <w:pPr>
              <w:rPr>
                <w:rFonts w:eastAsia="Times New Roman"/>
                <w:sz w:val="20"/>
                <w:szCs w:val="20"/>
              </w:rPr>
            </w:pPr>
          </w:p>
        </w:tc>
        <w:tc>
          <w:tcPr>
            <w:tcW w:w="0" w:type="auto"/>
            <w:vAlign w:val="center"/>
            <w:hideMark/>
          </w:tcPr>
          <w:p w14:paraId="0652DC76" w14:textId="77777777" w:rsidR="00000000" w:rsidRDefault="00195E73">
            <w:pPr>
              <w:rPr>
                <w:rFonts w:eastAsia="Times New Roman"/>
                <w:sz w:val="20"/>
                <w:szCs w:val="20"/>
              </w:rPr>
            </w:pPr>
          </w:p>
        </w:tc>
        <w:tc>
          <w:tcPr>
            <w:tcW w:w="0" w:type="auto"/>
            <w:vAlign w:val="center"/>
            <w:hideMark/>
          </w:tcPr>
          <w:p w14:paraId="33E058FC" w14:textId="77777777" w:rsidR="00000000" w:rsidRDefault="00195E73">
            <w:pPr>
              <w:rPr>
                <w:rFonts w:eastAsia="Times New Roman"/>
                <w:sz w:val="20"/>
                <w:szCs w:val="20"/>
              </w:rPr>
            </w:pPr>
          </w:p>
        </w:tc>
        <w:tc>
          <w:tcPr>
            <w:tcW w:w="0" w:type="auto"/>
            <w:vAlign w:val="center"/>
            <w:hideMark/>
          </w:tcPr>
          <w:p w14:paraId="40C28547" w14:textId="77777777" w:rsidR="00000000" w:rsidRDefault="00195E73">
            <w:pPr>
              <w:rPr>
                <w:rFonts w:eastAsia="Times New Roman"/>
                <w:sz w:val="20"/>
                <w:szCs w:val="20"/>
              </w:rPr>
            </w:pPr>
          </w:p>
        </w:tc>
        <w:tc>
          <w:tcPr>
            <w:tcW w:w="0" w:type="auto"/>
            <w:vAlign w:val="center"/>
            <w:hideMark/>
          </w:tcPr>
          <w:p w14:paraId="017FC472" w14:textId="77777777" w:rsidR="00000000" w:rsidRDefault="00195E73">
            <w:pPr>
              <w:rPr>
                <w:rFonts w:eastAsia="Times New Roman"/>
                <w:sz w:val="20"/>
                <w:szCs w:val="20"/>
              </w:rPr>
            </w:pPr>
          </w:p>
        </w:tc>
        <w:tc>
          <w:tcPr>
            <w:tcW w:w="0" w:type="auto"/>
            <w:vAlign w:val="center"/>
            <w:hideMark/>
          </w:tcPr>
          <w:p w14:paraId="1DA0001D" w14:textId="77777777" w:rsidR="00000000" w:rsidRDefault="00195E73">
            <w:pPr>
              <w:rPr>
                <w:rFonts w:eastAsia="Times New Roman"/>
                <w:sz w:val="20"/>
                <w:szCs w:val="20"/>
              </w:rPr>
            </w:pPr>
          </w:p>
        </w:tc>
      </w:tr>
      <w:tr w:rsidR="00000000" w14:paraId="349D949A" w14:textId="77777777">
        <w:trPr>
          <w:divId w:val="1673147082"/>
          <w:jc w:val="center"/>
        </w:trPr>
        <w:tc>
          <w:tcPr>
            <w:tcW w:w="0" w:type="auto"/>
            <w:gridSpan w:val="3"/>
            <w:shd w:val="clear" w:color="auto" w:fill="FFFFFF"/>
            <w:tcMar>
              <w:top w:w="30" w:type="dxa"/>
              <w:left w:w="20" w:type="dxa"/>
              <w:bottom w:w="30" w:type="dxa"/>
              <w:right w:w="20" w:type="dxa"/>
            </w:tcMar>
            <w:vAlign w:val="bottom"/>
            <w:hideMark/>
          </w:tcPr>
          <w:p w14:paraId="5E1644B0" w14:textId="77777777" w:rsidR="00000000" w:rsidRDefault="00195E73">
            <w:pPr>
              <w:rPr>
                <w:rFonts w:eastAsia="Times New Roman"/>
              </w:rPr>
            </w:pPr>
            <w:r>
              <w:rPr>
                <w:rFonts w:eastAsia="Times New Roman"/>
                <w:color w:val="000000"/>
                <w:sz w:val="18"/>
                <w:szCs w:val="18"/>
              </w:rPr>
              <w:t>Partnership distribution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175600EC" w14:textId="77777777" w:rsidR="00000000" w:rsidRDefault="00195E73">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596E2BF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299481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70993C" w14:textId="77777777" w:rsidR="00000000" w:rsidRDefault="00195E73">
            <w:pPr>
              <w:jc w:val="right"/>
              <w:rPr>
                <w:rFonts w:eastAsia="Times New Roman"/>
              </w:rPr>
            </w:pPr>
            <w:r>
              <w:rPr>
                <w:rFonts w:eastAsia="Times New Roman"/>
                <w:color w:val="000000"/>
                <w:sz w:val="18"/>
                <w:szCs w:val="18"/>
              </w:rPr>
              <w:t>(79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63B39A3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C2F2C5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C48D40" w14:textId="77777777" w:rsidR="00000000" w:rsidRDefault="00195E73">
            <w:pPr>
              <w:jc w:val="right"/>
              <w:rPr>
                <w:rFonts w:eastAsia="Times New Roman"/>
              </w:rPr>
            </w:pPr>
            <w:r>
              <w:rPr>
                <w:rFonts w:eastAsia="Times New Roman"/>
                <w:color w:val="000000"/>
                <w:sz w:val="18"/>
                <w:szCs w:val="18"/>
              </w:rPr>
              <w:t>(81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676B981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5B7251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15CE2B"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593556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03F83E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B496C1" w14:textId="77777777" w:rsidR="00000000" w:rsidRDefault="00195E73">
            <w:pPr>
              <w:jc w:val="right"/>
              <w:rPr>
                <w:rFonts w:eastAsia="Times New Roman"/>
              </w:rPr>
            </w:pPr>
            <w:r>
              <w:rPr>
                <w:rFonts w:eastAsia="Times New Roman"/>
                <w:color w:val="000000"/>
                <w:sz w:val="18"/>
                <w:szCs w:val="18"/>
              </w:rPr>
              <w:t>(81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0E082F6D"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6B101CBF" w14:textId="77777777" w:rsidR="00000000" w:rsidRDefault="00195E73">
            <w:pPr>
              <w:rPr>
                <w:rFonts w:eastAsia="Times New Roman"/>
                <w:sz w:val="20"/>
                <w:szCs w:val="20"/>
              </w:rPr>
            </w:pPr>
          </w:p>
        </w:tc>
        <w:tc>
          <w:tcPr>
            <w:tcW w:w="0" w:type="auto"/>
            <w:vAlign w:val="center"/>
            <w:hideMark/>
          </w:tcPr>
          <w:p w14:paraId="642BB569" w14:textId="77777777" w:rsidR="00000000" w:rsidRDefault="00195E73">
            <w:pPr>
              <w:rPr>
                <w:rFonts w:eastAsia="Times New Roman"/>
                <w:sz w:val="20"/>
                <w:szCs w:val="20"/>
              </w:rPr>
            </w:pPr>
          </w:p>
        </w:tc>
        <w:tc>
          <w:tcPr>
            <w:tcW w:w="0" w:type="auto"/>
            <w:vAlign w:val="center"/>
            <w:hideMark/>
          </w:tcPr>
          <w:p w14:paraId="7BDB57E1" w14:textId="77777777" w:rsidR="00000000" w:rsidRDefault="00195E73">
            <w:pPr>
              <w:rPr>
                <w:rFonts w:eastAsia="Times New Roman"/>
                <w:sz w:val="20"/>
                <w:szCs w:val="20"/>
              </w:rPr>
            </w:pPr>
          </w:p>
        </w:tc>
        <w:tc>
          <w:tcPr>
            <w:tcW w:w="0" w:type="auto"/>
            <w:vAlign w:val="center"/>
            <w:hideMark/>
          </w:tcPr>
          <w:p w14:paraId="28C751AB" w14:textId="77777777" w:rsidR="00000000" w:rsidRDefault="00195E73">
            <w:pPr>
              <w:rPr>
                <w:rFonts w:eastAsia="Times New Roman"/>
                <w:sz w:val="20"/>
                <w:szCs w:val="20"/>
              </w:rPr>
            </w:pPr>
          </w:p>
        </w:tc>
        <w:tc>
          <w:tcPr>
            <w:tcW w:w="0" w:type="auto"/>
            <w:vAlign w:val="center"/>
            <w:hideMark/>
          </w:tcPr>
          <w:p w14:paraId="0194DB93" w14:textId="77777777" w:rsidR="00000000" w:rsidRDefault="00195E73">
            <w:pPr>
              <w:rPr>
                <w:rFonts w:eastAsia="Times New Roman"/>
                <w:sz w:val="20"/>
                <w:szCs w:val="20"/>
              </w:rPr>
            </w:pPr>
          </w:p>
        </w:tc>
        <w:tc>
          <w:tcPr>
            <w:tcW w:w="0" w:type="auto"/>
            <w:vAlign w:val="center"/>
            <w:hideMark/>
          </w:tcPr>
          <w:p w14:paraId="46B850B2" w14:textId="77777777" w:rsidR="00000000" w:rsidRDefault="00195E73">
            <w:pPr>
              <w:rPr>
                <w:rFonts w:eastAsia="Times New Roman"/>
                <w:sz w:val="20"/>
                <w:szCs w:val="20"/>
              </w:rPr>
            </w:pPr>
          </w:p>
        </w:tc>
        <w:tc>
          <w:tcPr>
            <w:tcW w:w="0" w:type="auto"/>
            <w:vAlign w:val="center"/>
            <w:hideMark/>
          </w:tcPr>
          <w:p w14:paraId="27FCA2A5" w14:textId="77777777" w:rsidR="00000000" w:rsidRDefault="00195E73">
            <w:pPr>
              <w:rPr>
                <w:rFonts w:eastAsia="Times New Roman"/>
                <w:sz w:val="20"/>
                <w:szCs w:val="20"/>
              </w:rPr>
            </w:pPr>
          </w:p>
        </w:tc>
        <w:tc>
          <w:tcPr>
            <w:tcW w:w="0" w:type="auto"/>
            <w:vAlign w:val="center"/>
            <w:hideMark/>
          </w:tcPr>
          <w:p w14:paraId="21F85B0D" w14:textId="77777777" w:rsidR="00000000" w:rsidRDefault="00195E73">
            <w:pPr>
              <w:rPr>
                <w:rFonts w:eastAsia="Times New Roman"/>
                <w:sz w:val="20"/>
                <w:szCs w:val="20"/>
              </w:rPr>
            </w:pPr>
          </w:p>
        </w:tc>
        <w:tc>
          <w:tcPr>
            <w:tcW w:w="0" w:type="auto"/>
            <w:vAlign w:val="center"/>
            <w:hideMark/>
          </w:tcPr>
          <w:p w14:paraId="4FC9C3A9" w14:textId="77777777" w:rsidR="00000000" w:rsidRDefault="00195E73">
            <w:pPr>
              <w:rPr>
                <w:rFonts w:eastAsia="Times New Roman"/>
                <w:sz w:val="20"/>
                <w:szCs w:val="20"/>
              </w:rPr>
            </w:pPr>
          </w:p>
        </w:tc>
        <w:tc>
          <w:tcPr>
            <w:tcW w:w="0" w:type="auto"/>
            <w:vAlign w:val="center"/>
            <w:hideMark/>
          </w:tcPr>
          <w:p w14:paraId="0A63FE3E" w14:textId="77777777" w:rsidR="00000000" w:rsidRDefault="00195E73">
            <w:pPr>
              <w:rPr>
                <w:rFonts w:eastAsia="Times New Roman"/>
                <w:sz w:val="20"/>
                <w:szCs w:val="20"/>
              </w:rPr>
            </w:pPr>
          </w:p>
        </w:tc>
        <w:tc>
          <w:tcPr>
            <w:tcW w:w="0" w:type="auto"/>
            <w:vAlign w:val="center"/>
            <w:hideMark/>
          </w:tcPr>
          <w:p w14:paraId="391D4DD1" w14:textId="77777777" w:rsidR="00000000" w:rsidRDefault="00195E73">
            <w:pPr>
              <w:rPr>
                <w:rFonts w:eastAsia="Times New Roman"/>
                <w:sz w:val="20"/>
                <w:szCs w:val="20"/>
              </w:rPr>
            </w:pPr>
          </w:p>
        </w:tc>
        <w:tc>
          <w:tcPr>
            <w:tcW w:w="0" w:type="auto"/>
            <w:vAlign w:val="center"/>
            <w:hideMark/>
          </w:tcPr>
          <w:p w14:paraId="343F14BB" w14:textId="77777777" w:rsidR="00000000" w:rsidRDefault="00195E73">
            <w:pPr>
              <w:rPr>
                <w:rFonts w:eastAsia="Times New Roman"/>
                <w:sz w:val="20"/>
                <w:szCs w:val="20"/>
              </w:rPr>
            </w:pPr>
          </w:p>
        </w:tc>
        <w:tc>
          <w:tcPr>
            <w:tcW w:w="0" w:type="auto"/>
            <w:vAlign w:val="center"/>
            <w:hideMark/>
          </w:tcPr>
          <w:p w14:paraId="730B208C" w14:textId="77777777" w:rsidR="00000000" w:rsidRDefault="00195E73">
            <w:pPr>
              <w:rPr>
                <w:rFonts w:eastAsia="Times New Roman"/>
                <w:sz w:val="20"/>
                <w:szCs w:val="20"/>
              </w:rPr>
            </w:pPr>
          </w:p>
        </w:tc>
        <w:tc>
          <w:tcPr>
            <w:tcW w:w="0" w:type="auto"/>
            <w:vAlign w:val="center"/>
            <w:hideMark/>
          </w:tcPr>
          <w:p w14:paraId="0CEC9A2A" w14:textId="77777777" w:rsidR="00000000" w:rsidRDefault="00195E73">
            <w:pPr>
              <w:rPr>
                <w:rFonts w:eastAsia="Times New Roman"/>
                <w:sz w:val="20"/>
                <w:szCs w:val="20"/>
              </w:rPr>
            </w:pPr>
          </w:p>
        </w:tc>
        <w:tc>
          <w:tcPr>
            <w:tcW w:w="0" w:type="auto"/>
            <w:vAlign w:val="center"/>
            <w:hideMark/>
          </w:tcPr>
          <w:p w14:paraId="6BE3081C" w14:textId="77777777" w:rsidR="00000000" w:rsidRDefault="00195E73">
            <w:pPr>
              <w:rPr>
                <w:rFonts w:eastAsia="Times New Roman"/>
                <w:sz w:val="20"/>
                <w:szCs w:val="20"/>
              </w:rPr>
            </w:pPr>
          </w:p>
        </w:tc>
        <w:tc>
          <w:tcPr>
            <w:tcW w:w="0" w:type="auto"/>
            <w:vAlign w:val="center"/>
            <w:hideMark/>
          </w:tcPr>
          <w:p w14:paraId="7FBB059E" w14:textId="77777777" w:rsidR="00000000" w:rsidRDefault="00195E73">
            <w:pPr>
              <w:rPr>
                <w:rFonts w:eastAsia="Times New Roman"/>
                <w:sz w:val="20"/>
                <w:szCs w:val="20"/>
              </w:rPr>
            </w:pPr>
          </w:p>
        </w:tc>
        <w:tc>
          <w:tcPr>
            <w:tcW w:w="0" w:type="auto"/>
            <w:vAlign w:val="center"/>
            <w:hideMark/>
          </w:tcPr>
          <w:p w14:paraId="44D36A85" w14:textId="77777777" w:rsidR="00000000" w:rsidRDefault="00195E73">
            <w:pPr>
              <w:rPr>
                <w:rFonts w:eastAsia="Times New Roman"/>
                <w:sz w:val="20"/>
                <w:szCs w:val="20"/>
              </w:rPr>
            </w:pPr>
          </w:p>
        </w:tc>
        <w:tc>
          <w:tcPr>
            <w:tcW w:w="0" w:type="auto"/>
            <w:vAlign w:val="center"/>
            <w:hideMark/>
          </w:tcPr>
          <w:p w14:paraId="7DAA4E59" w14:textId="77777777" w:rsidR="00000000" w:rsidRDefault="00195E73">
            <w:pPr>
              <w:rPr>
                <w:rFonts w:eastAsia="Times New Roman"/>
                <w:sz w:val="20"/>
                <w:szCs w:val="20"/>
              </w:rPr>
            </w:pPr>
          </w:p>
        </w:tc>
        <w:tc>
          <w:tcPr>
            <w:tcW w:w="0" w:type="auto"/>
            <w:vAlign w:val="center"/>
            <w:hideMark/>
          </w:tcPr>
          <w:p w14:paraId="098CAAF7" w14:textId="77777777" w:rsidR="00000000" w:rsidRDefault="00195E73">
            <w:pPr>
              <w:rPr>
                <w:rFonts w:eastAsia="Times New Roman"/>
                <w:sz w:val="20"/>
                <w:szCs w:val="20"/>
              </w:rPr>
            </w:pPr>
          </w:p>
        </w:tc>
        <w:tc>
          <w:tcPr>
            <w:tcW w:w="0" w:type="auto"/>
            <w:vAlign w:val="center"/>
            <w:hideMark/>
          </w:tcPr>
          <w:p w14:paraId="7487784E" w14:textId="77777777" w:rsidR="00000000" w:rsidRDefault="00195E73">
            <w:pPr>
              <w:rPr>
                <w:rFonts w:eastAsia="Times New Roman"/>
                <w:sz w:val="20"/>
                <w:szCs w:val="20"/>
              </w:rPr>
            </w:pPr>
          </w:p>
        </w:tc>
        <w:tc>
          <w:tcPr>
            <w:tcW w:w="0" w:type="auto"/>
            <w:vAlign w:val="center"/>
            <w:hideMark/>
          </w:tcPr>
          <w:p w14:paraId="0C1F397B" w14:textId="77777777" w:rsidR="00000000" w:rsidRDefault="00195E73">
            <w:pPr>
              <w:rPr>
                <w:rFonts w:eastAsia="Times New Roman"/>
                <w:sz w:val="20"/>
                <w:szCs w:val="20"/>
              </w:rPr>
            </w:pPr>
          </w:p>
        </w:tc>
        <w:tc>
          <w:tcPr>
            <w:tcW w:w="0" w:type="auto"/>
            <w:vAlign w:val="center"/>
            <w:hideMark/>
          </w:tcPr>
          <w:p w14:paraId="24ECE1F3" w14:textId="77777777" w:rsidR="00000000" w:rsidRDefault="00195E73">
            <w:pPr>
              <w:rPr>
                <w:rFonts w:eastAsia="Times New Roman"/>
                <w:sz w:val="20"/>
                <w:szCs w:val="20"/>
              </w:rPr>
            </w:pPr>
          </w:p>
        </w:tc>
        <w:tc>
          <w:tcPr>
            <w:tcW w:w="0" w:type="auto"/>
            <w:vAlign w:val="center"/>
            <w:hideMark/>
          </w:tcPr>
          <w:p w14:paraId="2EA4FEF2" w14:textId="77777777" w:rsidR="00000000" w:rsidRDefault="00195E73">
            <w:pPr>
              <w:rPr>
                <w:rFonts w:eastAsia="Times New Roman"/>
                <w:sz w:val="20"/>
                <w:szCs w:val="20"/>
              </w:rPr>
            </w:pPr>
          </w:p>
        </w:tc>
        <w:tc>
          <w:tcPr>
            <w:tcW w:w="0" w:type="auto"/>
            <w:vAlign w:val="center"/>
            <w:hideMark/>
          </w:tcPr>
          <w:p w14:paraId="0AD55153" w14:textId="77777777" w:rsidR="00000000" w:rsidRDefault="00195E73">
            <w:pPr>
              <w:rPr>
                <w:rFonts w:eastAsia="Times New Roman"/>
                <w:sz w:val="20"/>
                <w:szCs w:val="20"/>
              </w:rPr>
            </w:pPr>
          </w:p>
        </w:tc>
      </w:tr>
      <w:tr w:rsidR="00000000" w14:paraId="44D6B98A" w14:textId="77777777">
        <w:trPr>
          <w:divId w:val="1673147082"/>
          <w:jc w:val="center"/>
        </w:trPr>
        <w:tc>
          <w:tcPr>
            <w:tcW w:w="0" w:type="auto"/>
            <w:gridSpan w:val="3"/>
            <w:shd w:val="clear" w:color="auto" w:fill="CCEEFF"/>
            <w:tcMar>
              <w:top w:w="30" w:type="dxa"/>
              <w:left w:w="20" w:type="dxa"/>
              <w:bottom w:w="30" w:type="dxa"/>
              <w:right w:w="20" w:type="dxa"/>
            </w:tcMar>
            <w:vAlign w:val="bottom"/>
            <w:hideMark/>
          </w:tcPr>
          <w:p w14:paraId="1C5A9B4F" w14:textId="77777777" w:rsidR="00000000" w:rsidRDefault="00195E73">
            <w:pPr>
              <w:rPr>
                <w:rFonts w:eastAsia="Times New Roman"/>
              </w:rPr>
            </w:pPr>
            <w:r>
              <w:rPr>
                <w:rFonts w:eastAsia="Times New Roman"/>
                <w:color w:val="000000"/>
                <w:sz w:val="18"/>
                <w:szCs w:val="18"/>
              </w:rPr>
              <w:t>Partnership contributio</w:t>
            </w:r>
            <w:r>
              <w:rPr>
                <w:rFonts w:eastAsia="Times New Roman"/>
                <w:color w:val="000000"/>
                <w:sz w:val="18"/>
                <w:szCs w:val="18"/>
              </w:rPr>
              <w:t>n</w:t>
            </w:r>
          </w:p>
        </w:tc>
        <w:tc>
          <w:tcPr>
            <w:tcW w:w="0" w:type="auto"/>
            <w:gridSpan w:val="2"/>
            <w:shd w:val="clear" w:color="auto" w:fill="CCEEFF"/>
            <w:tcMar>
              <w:top w:w="30" w:type="dxa"/>
              <w:left w:w="20" w:type="dxa"/>
              <w:bottom w:w="30" w:type="dxa"/>
              <w:right w:w="0" w:type="dxa"/>
            </w:tcMar>
            <w:vAlign w:val="bottom"/>
            <w:hideMark/>
          </w:tcPr>
          <w:p w14:paraId="5B04E47D" w14:textId="77777777" w:rsidR="00000000" w:rsidRDefault="00195E73">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5BE717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614BFB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0AF018" w14:textId="77777777" w:rsidR="00000000" w:rsidRDefault="00195E73">
            <w:pPr>
              <w:jc w:val="right"/>
              <w:rPr>
                <w:rFonts w:eastAsia="Times New Roman"/>
              </w:rPr>
            </w:pPr>
            <w:r>
              <w:rPr>
                <w:rFonts w:eastAsia="Times New Roman"/>
                <w:color w:val="000000"/>
                <w:sz w:val="18"/>
                <w:szCs w:val="18"/>
              </w:rPr>
              <w:t>600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FA9C02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E3D86A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64E4B4" w14:textId="77777777" w:rsidR="00000000" w:rsidRDefault="00195E73">
            <w:pPr>
              <w:jc w:val="right"/>
              <w:rPr>
                <w:rFonts w:eastAsia="Times New Roman"/>
              </w:rPr>
            </w:pPr>
            <w:r>
              <w:rPr>
                <w:rFonts w:eastAsia="Times New Roman"/>
                <w:color w:val="000000"/>
                <w:sz w:val="18"/>
                <w:szCs w:val="18"/>
              </w:rPr>
              <w:t>612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EA6B46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C643D5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9235F4"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02CBB7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F1FA3C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DC1A29" w14:textId="77777777" w:rsidR="00000000" w:rsidRDefault="00195E73">
            <w:pPr>
              <w:jc w:val="right"/>
              <w:rPr>
                <w:rFonts w:eastAsia="Times New Roman"/>
              </w:rPr>
            </w:pPr>
            <w:r>
              <w:rPr>
                <w:rFonts w:eastAsia="Times New Roman"/>
                <w:color w:val="000000"/>
                <w:sz w:val="18"/>
                <w:szCs w:val="18"/>
              </w:rPr>
              <w:t>612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5E46858"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1683BC75" w14:textId="77777777" w:rsidR="00000000" w:rsidRDefault="00195E73">
            <w:pPr>
              <w:rPr>
                <w:rFonts w:eastAsia="Times New Roman"/>
                <w:sz w:val="20"/>
                <w:szCs w:val="20"/>
              </w:rPr>
            </w:pPr>
          </w:p>
        </w:tc>
        <w:tc>
          <w:tcPr>
            <w:tcW w:w="0" w:type="auto"/>
            <w:vAlign w:val="center"/>
            <w:hideMark/>
          </w:tcPr>
          <w:p w14:paraId="56E188BA" w14:textId="77777777" w:rsidR="00000000" w:rsidRDefault="00195E73">
            <w:pPr>
              <w:rPr>
                <w:rFonts w:eastAsia="Times New Roman"/>
                <w:sz w:val="20"/>
                <w:szCs w:val="20"/>
              </w:rPr>
            </w:pPr>
          </w:p>
        </w:tc>
        <w:tc>
          <w:tcPr>
            <w:tcW w:w="0" w:type="auto"/>
            <w:vAlign w:val="center"/>
            <w:hideMark/>
          </w:tcPr>
          <w:p w14:paraId="25473890" w14:textId="77777777" w:rsidR="00000000" w:rsidRDefault="00195E73">
            <w:pPr>
              <w:rPr>
                <w:rFonts w:eastAsia="Times New Roman"/>
                <w:sz w:val="20"/>
                <w:szCs w:val="20"/>
              </w:rPr>
            </w:pPr>
          </w:p>
        </w:tc>
        <w:tc>
          <w:tcPr>
            <w:tcW w:w="0" w:type="auto"/>
            <w:vAlign w:val="center"/>
            <w:hideMark/>
          </w:tcPr>
          <w:p w14:paraId="3851C2DB" w14:textId="77777777" w:rsidR="00000000" w:rsidRDefault="00195E73">
            <w:pPr>
              <w:rPr>
                <w:rFonts w:eastAsia="Times New Roman"/>
                <w:sz w:val="20"/>
                <w:szCs w:val="20"/>
              </w:rPr>
            </w:pPr>
          </w:p>
        </w:tc>
        <w:tc>
          <w:tcPr>
            <w:tcW w:w="0" w:type="auto"/>
            <w:vAlign w:val="center"/>
            <w:hideMark/>
          </w:tcPr>
          <w:p w14:paraId="33AD1D88" w14:textId="77777777" w:rsidR="00000000" w:rsidRDefault="00195E73">
            <w:pPr>
              <w:rPr>
                <w:rFonts w:eastAsia="Times New Roman"/>
                <w:sz w:val="20"/>
                <w:szCs w:val="20"/>
              </w:rPr>
            </w:pPr>
          </w:p>
        </w:tc>
        <w:tc>
          <w:tcPr>
            <w:tcW w:w="0" w:type="auto"/>
            <w:vAlign w:val="center"/>
            <w:hideMark/>
          </w:tcPr>
          <w:p w14:paraId="1352B94F" w14:textId="77777777" w:rsidR="00000000" w:rsidRDefault="00195E73">
            <w:pPr>
              <w:rPr>
                <w:rFonts w:eastAsia="Times New Roman"/>
                <w:sz w:val="20"/>
                <w:szCs w:val="20"/>
              </w:rPr>
            </w:pPr>
          </w:p>
        </w:tc>
        <w:tc>
          <w:tcPr>
            <w:tcW w:w="0" w:type="auto"/>
            <w:vAlign w:val="center"/>
            <w:hideMark/>
          </w:tcPr>
          <w:p w14:paraId="679BC970" w14:textId="77777777" w:rsidR="00000000" w:rsidRDefault="00195E73">
            <w:pPr>
              <w:rPr>
                <w:rFonts w:eastAsia="Times New Roman"/>
                <w:sz w:val="20"/>
                <w:szCs w:val="20"/>
              </w:rPr>
            </w:pPr>
          </w:p>
        </w:tc>
        <w:tc>
          <w:tcPr>
            <w:tcW w:w="0" w:type="auto"/>
            <w:vAlign w:val="center"/>
            <w:hideMark/>
          </w:tcPr>
          <w:p w14:paraId="5E8BC14D" w14:textId="77777777" w:rsidR="00000000" w:rsidRDefault="00195E73">
            <w:pPr>
              <w:rPr>
                <w:rFonts w:eastAsia="Times New Roman"/>
                <w:sz w:val="20"/>
                <w:szCs w:val="20"/>
              </w:rPr>
            </w:pPr>
          </w:p>
        </w:tc>
        <w:tc>
          <w:tcPr>
            <w:tcW w:w="0" w:type="auto"/>
            <w:vAlign w:val="center"/>
            <w:hideMark/>
          </w:tcPr>
          <w:p w14:paraId="32838B3A" w14:textId="77777777" w:rsidR="00000000" w:rsidRDefault="00195E73">
            <w:pPr>
              <w:rPr>
                <w:rFonts w:eastAsia="Times New Roman"/>
                <w:sz w:val="20"/>
                <w:szCs w:val="20"/>
              </w:rPr>
            </w:pPr>
          </w:p>
        </w:tc>
        <w:tc>
          <w:tcPr>
            <w:tcW w:w="0" w:type="auto"/>
            <w:vAlign w:val="center"/>
            <w:hideMark/>
          </w:tcPr>
          <w:p w14:paraId="7B810B41" w14:textId="77777777" w:rsidR="00000000" w:rsidRDefault="00195E73">
            <w:pPr>
              <w:rPr>
                <w:rFonts w:eastAsia="Times New Roman"/>
                <w:sz w:val="20"/>
                <w:szCs w:val="20"/>
              </w:rPr>
            </w:pPr>
          </w:p>
        </w:tc>
        <w:tc>
          <w:tcPr>
            <w:tcW w:w="0" w:type="auto"/>
            <w:vAlign w:val="center"/>
            <w:hideMark/>
          </w:tcPr>
          <w:p w14:paraId="2099BEFE" w14:textId="77777777" w:rsidR="00000000" w:rsidRDefault="00195E73">
            <w:pPr>
              <w:rPr>
                <w:rFonts w:eastAsia="Times New Roman"/>
                <w:sz w:val="20"/>
                <w:szCs w:val="20"/>
              </w:rPr>
            </w:pPr>
          </w:p>
        </w:tc>
        <w:tc>
          <w:tcPr>
            <w:tcW w:w="0" w:type="auto"/>
            <w:vAlign w:val="center"/>
            <w:hideMark/>
          </w:tcPr>
          <w:p w14:paraId="4540CBD9" w14:textId="77777777" w:rsidR="00000000" w:rsidRDefault="00195E73">
            <w:pPr>
              <w:rPr>
                <w:rFonts w:eastAsia="Times New Roman"/>
                <w:sz w:val="20"/>
                <w:szCs w:val="20"/>
              </w:rPr>
            </w:pPr>
          </w:p>
        </w:tc>
        <w:tc>
          <w:tcPr>
            <w:tcW w:w="0" w:type="auto"/>
            <w:vAlign w:val="center"/>
            <w:hideMark/>
          </w:tcPr>
          <w:p w14:paraId="61D918CD" w14:textId="77777777" w:rsidR="00000000" w:rsidRDefault="00195E73">
            <w:pPr>
              <w:rPr>
                <w:rFonts w:eastAsia="Times New Roman"/>
                <w:sz w:val="20"/>
                <w:szCs w:val="20"/>
              </w:rPr>
            </w:pPr>
          </w:p>
        </w:tc>
        <w:tc>
          <w:tcPr>
            <w:tcW w:w="0" w:type="auto"/>
            <w:vAlign w:val="center"/>
            <w:hideMark/>
          </w:tcPr>
          <w:p w14:paraId="60994990" w14:textId="77777777" w:rsidR="00000000" w:rsidRDefault="00195E73">
            <w:pPr>
              <w:rPr>
                <w:rFonts w:eastAsia="Times New Roman"/>
                <w:sz w:val="20"/>
                <w:szCs w:val="20"/>
              </w:rPr>
            </w:pPr>
          </w:p>
        </w:tc>
        <w:tc>
          <w:tcPr>
            <w:tcW w:w="0" w:type="auto"/>
            <w:vAlign w:val="center"/>
            <w:hideMark/>
          </w:tcPr>
          <w:p w14:paraId="73A7F206" w14:textId="77777777" w:rsidR="00000000" w:rsidRDefault="00195E73">
            <w:pPr>
              <w:rPr>
                <w:rFonts w:eastAsia="Times New Roman"/>
                <w:sz w:val="20"/>
                <w:szCs w:val="20"/>
              </w:rPr>
            </w:pPr>
          </w:p>
        </w:tc>
        <w:tc>
          <w:tcPr>
            <w:tcW w:w="0" w:type="auto"/>
            <w:vAlign w:val="center"/>
            <w:hideMark/>
          </w:tcPr>
          <w:p w14:paraId="0CFCD2C8" w14:textId="77777777" w:rsidR="00000000" w:rsidRDefault="00195E73">
            <w:pPr>
              <w:rPr>
                <w:rFonts w:eastAsia="Times New Roman"/>
                <w:sz w:val="20"/>
                <w:szCs w:val="20"/>
              </w:rPr>
            </w:pPr>
          </w:p>
        </w:tc>
        <w:tc>
          <w:tcPr>
            <w:tcW w:w="0" w:type="auto"/>
            <w:vAlign w:val="center"/>
            <w:hideMark/>
          </w:tcPr>
          <w:p w14:paraId="5A2F0D35" w14:textId="77777777" w:rsidR="00000000" w:rsidRDefault="00195E73">
            <w:pPr>
              <w:rPr>
                <w:rFonts w:eastAsia="Times New Roman"/>
                <w:sz w:val="20"/>
                <w:szCs w:val="20"/>
              </w:rPr>
            </w:pPr>
          </w:p>
        </w:tc>
        <w:tc>
          <w:tcPr>
            <w:tcW w:w="0" w:type="auto"/>
            <w:vAlign w:val="center"/>
            <w:hideMark/>
          </w:tcPr>
          <w:p w14:paraId="5A1AA031" w14:textId="77777777" w:rsidR="00000000" w:rsidRDefault="00195E73">
            <w:pPr>
              <w:rPr>
                <w:rFonts w:eastAsia="Times New Roman"/>
                <w:sz w:val="20"/>
                <w:szCs w:val="20"/>
              </w:rPr>
            </w:pPr>
          </w:p>
        </w:tc>
        <w:tc>
          <w:tcPr>
            <w:tcW w:w="0" w:type="auto"/>
            <w:vAlign w:val="center"/>
            <w:hideMark/>
          </w:tcPr>
          <w:p w14:paraId="4A804DE5" w14:textId="77777777" w:rsidR="00000000" w:rsidRDefault="00195E73">
            <w:pPr>
              <w:rPr>
                <w:rFonts w:eastAsia="Times New Roman"/>
                <w:sz w:val="20"/>
                <w:szCs w:val="20"/>
              </w:rPr>
            </w:pPr>
          </w:p>
        </w:tc>
        <w:tc>
          <w:tcPr>
            <w:tcW w:w="0" w:type="auto"/>
            <w:vAlign w:val="center"/>
            <w:hideMark/>
          </w:tcPr>
          <w:p w14:paraId="373918B8" w14:textId="77777777" w:rsidR="00000000" w:rsidRDefault="00195E73">
            <w:pPr>
              <w:rPr>
                <w:rFonts w:eastAsia="Times New Roman"/>
                <w:sz w:val="20"/>
                <w:szCs w:val="20"/>
              </w:rPr>
            </w:pPr>
          </w:p>
        </w:tc>
        <w:tc>
          <w:tcPr>
            <w:tcW w:w="0" w:type="auto"/>
            <w:vAlign w:val="center"/>
            <w:hideMark/>
          </w:tcPr>
          <w:p w14:paraId="24760C1C" w14:textId="77777777" w:rsidR="00000000" w:rsidRDefault="00195E73">
            <w:pPr>
              <w:rPr>
                <w:rFonts w:eastAsia="Times New Roman"/>
                <w:sz w:val="20"/>
                <w:szCs w:val="20"/>
              </w:rPr>
            </w:pPr>
          </w:p>
        </w:tc>
        <w:tc>
          <w:tcPr>
            <w:tcW w:w="0" w:type="auto"/>
            <w:vAlign w:val="center"/>
            <w:hideMark/>
          </w:tcPr>
          <w:p w14:paraId="5FBB49AA" w14:textId="77777777" w:rsidR="00000000" w:rsidRDefault="00195E73">
            <w:pPr>
              <w:rPr>
                <w:rFonts w:eastAsia="Times New Roman"/>
                <w:sz w:val="20"/>
                <w:szCs w:val="20"/>
              </w:rPr>
            </w:pPr>
          </w:p>
        </w:tc>
        <w:tc>
          <w:tcPr>
            <w:tcW w:w="0" w:type="auto"/>
            <w:vAlign w:val="center"/>
            <w:hideMark/>
          </w:tcPr>
          <w:p w14:paraId="2F05E124" w14:textId="77777777" w:rsidR="00000000" w:rsidRDefault="00195E73">
            <w:pPr>
              <w:rPr>
                <w:rFonts w:eastAsia="Times New Roman"/>
                <w:sz w:val="20"/>
                <w:szCs w:val="20"/>
              </w:rPr>
            </w:pPr>
          </w:p>
        </w:tc>
        <w:tc>
          <w:tcPr>
            <w:tcW w:w="0" w:type="auto"/>
            <w:vAlign w:val="center"/>
            <w:hideMark/>
          </w:tcPr>
          <w:p w14:paraId="0F9AE884" w14:textId="77777777" w:rsidR="00000000" w:rsidRDefault="00195E73">
            <w:pPr>
              <w:rPr>
                <w:rFonts w:eastAsia="Times New Roman"/>
                <w:sz w:val="20"/>
                <w:szCs w:val="20"/>
              </w:rPr>
            </w:pPr>
          </w:p>
        </w:tc>
      </w:tr>
      <w:tr w:rsidR="00000000" w14:paraId="36F96DA9" w14:textId="77777777">
        <w:trPr>
          <w:divId w:val="1673147082"/>
          <w:jc w:val="center"/>
        </w:trPr>
        <w:tc>
          <w:tcPr>
            <w:tcW w:w="0" w:type="auto"/>
            <w:gridSpan w:val="3"/>
            <w:shd w:val="clear" w:color="auto" w:fill="FFFFFF"/>
            <w:tcMar>
              <w:top w:w="30" w:type="dxa"/>
              <w:left w:w="20" w:type="dxa"/>
              <w:bottom w:w="30" w:type="dxa"/>
              <w:right w:w="20" w:type="dxa"/>
            </w:tcMar>
            <w:vAlign w:val="bottom"/>
            <w:hideMark/>
          </w:tcPr>
          <w:p w14:paraId="7C98B5B3" w14:textId="77777777" w:rsidR="00000000" w:rsidRDefault="00195E73">
            <w:pPr>
              <w:rPr>
                <w:rFonts w:eastAsia="Times New Roman"/>
              </w:rPr>
            </w:pPr>
            <w:r>
              <w:rPr>
                <w:rFonts w:eastAsia="Times New Roman"/>
                <w:color w:val="000000"/>
                <w:sz w:val="18"/>
                <w:szCs w:val="18"/>
              </w:rPr>
              <w:t>Investment segment contribution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097F9AAD"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F5DA20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61EF0A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039415"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054B9C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D68D4F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BE4232"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2FE62C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420A51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69542A" w14:textId="77777777" w:rsidR="00000000" w:rsidRDefault="00195E73">
            <w:pPr>
              <w:jc w:val="right"/>
              <w:rPr>
                <w:rFonts w:eastAsia="Times New Roman"/>
              </w:rPr>
            </w:pPr>
            <w:r>
              <w:rPr>
                <w:rFonts w:eastAsia="Times New Roman"/>
                <w:color w:val="000000"/>
                <w:sz w:val="18"/>
                <w:szCs w:val="18"/>
              </w:rPr>
              <w:t>600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ACECB0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A501B2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2F26F8" w14:textId="77777777" w:rsidR="00000000" w:rsidRDefault="00195E73">
            <w:pPr>
              <w:jc w:val="right"/>
              <w:rPr>
                <w:rFonts w:eastAsia="Times New Roman"/>
              </w:rPr>
            </w:pPr>
            <w:r>
              <w:rPr>
                <w:rFonts w:eastAsia="Times New Roman"/>
                <w:color w:val="000000"/>
                <w:sz w:val="18"/>
                <w:szCs w:val="18"/>
              </w:rPr>
              <w:t>600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1F6FCF0"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B528557" w14:textId="77777777" w:rsidR="00000000" w:rsidRDefault="00195E73">
            <w:pPr>
              <w:rPr>
                <w:rFonts w:eastAsia="Times New Roman"/>
                <w:sz w:val="20"/>
                <w:szCs w:val="20"/>
              </w:rPr>
            </w:pPr>
          </w:p>
        </w:tc>
        <w:tc>
          <w:tcPr>
            <w:tcW w:w="0" w:type="auto"/>
            <w:vAlign w:val="center"/>
            <w:hideMark/>
          </w:tcPr>
          <w:p w14:paraId="17D221B7" w14:textId="77777777" w:rsidR="00000000" w:rsidRDefault="00195E73">
            <w:pPr>
              <w:rPr>
                <w:rFonts w:eastAsia="Times New Roman"/>
                <w:sz w:val="20"/>
                <w:szCs w:val="20"/>
              </w:rPr>
            </w:pPr>
          </w:p>
        </w:tc>
        <w:tc>
          <w:tcPr>
            <w:tcW w:w="0" w:type="auto"/>
            <w:vAlign w:val="center"/>
            <w:hideMark/>
          </w:tcPr>
          <w:p w14:paraId="73642B6A" w14:textId="77777777" w:rsidR="00000000" w:rsidRDefault="00195E73">
            <w:pPr>
              <w:rPr>
                <w:rFonts w:eastAsia="Times New Roman"/>
                <w:sz w:val="20"/>
                <w:szCs w:val="20"/>
              </w:rPr>
            </w:pPr>
          </w:p>
        </w:tc>
        <w:tc>
          <w:tcPr>
            <w:tcW w:w="0" w:type="auto"/>
            <w:vAlign w:val="center"/>
            <w:hideMark/>
          </w:tcPr>
          <w:p w14:paraId="64E27BB7" w14:textId="77777777" w:rsidR="00000000" w:rsidRDefault="00195E73">
            <w:pPr>
              <w:rPr>
                <w:rFonts w:eastAsia="Times New Roman"/>
                <w:sz w:val="20"/>
                <w:szCs w:val="20"/>
              </w:rPr>
            </w:pPr>
          </w:p>
        </w:tc>
        <w:tc>
          <w:tcPr>
            <w:tcW w:w="0" w:type="auto"/>
            <w:vAlign w:val="center"/>
            <w:hideMark/>
          </w:tcPr>
          <w:p w14:paraId="5FB0FF35" w14:textId="77777777" w:rsidR="00000000" w:rsidRDefault="00195E73">
            <w:pPr>
              <w:rPr>
                <w:rFonts w:eastAsia="Times New Roman"/>
                <w:sz w:val="20"/>
                <w:szCs w:val="20"/>
              </w:rPr>
            </w:pPr>
          </w:p>
        </w:tc>
        <w:tc>
          <w:tcPr>
            <w:tcW w:w="0" w:type="auto"/>
            <w:vAlign w:val="center"/>
            <w:hideMark/>
          </w:tcPr>
          <w:p w14:paraId="243B8B64" w14:textId="77777777" w:rsidR="00000000" w:rsidRDefault="00195E73">
            <w:pPr>
              <w:rPr>
                <w:rFonts w:eastAsia="Times New Roman"/>
                <w:sz w:val="20"/>
                <w:szCs w:val="20"/>
              </w:rPr>
            </w:pPr>
          </w:p>
        </w:tc>
        <w:tc>
          <w:tcPr>
            <w:tcW w:w="0" w:type="auto"/>
            <w:vAlign w:val="center"/>
            <w:hideMark/>
          </w:tcPr>
          <w:p w14:paraId="1B5F4DD4" w14:textId="77777777" w:rsidR="00000000" w:rsidRDefault="00195E73">
            <w:pPr>
              <w:rPr>
                <w:rFonts w:eastAsia="Times New Roman"/>
                <w:sz w:val="20"/>
                <w:szCs w:val="20"/>
              </w:rPr>
            </w:pPr>
          </w:p>
        </w:tc>
        <w:tc>
          <w:tcPr>
            <w:tcW w:w="0" w:type="auto"/>
            <w:vAlign w:val="center"/>
            <w:hideMark/>
          </w:tcPr>
          <w:p w14:paraId="323970F8" w14:textId="77777777" w:rsidR="00000000" w:rsidRDefault="00195E73">
            <w:pPr>
              <w:rPr>
                <w:rFonts w:eastAsia="Times New Roman"/>
                <w:sz w:val="20"/>
                <w:szCs w:val="20"/>
              </w:rPr>
            </w:pPr>
          </w:p>
        </w:tc>
        <w:tc>
          <w:tcPr>
            <w:tcW w:w="0" w:type="auto"/>
            <w:vAlign w:val="center"/>
            <w:hideMark/>
          </w:tcPr>
          <w:p w14:paraId="60AFA159" w14:textId="77777777" w:rsidR="00000000" w:rsidRDefault="00195E73">
            <w:pPr>
              <w:rPr>
                <w:rFonts w:eastAsia="Times New Roman"/>
                <w:sz w:val="20"/>
                <w:szCs w:val="20"/>
              </w:rPr>
            </w:pPr>
          </w:p>
        </w:tc>
        <w:tc>
          <w:tcPr>
            <w:tcW w:w="0" w:type="auto"/>
            <w:vAlign w:val="center"/>
            <w:hideMark/>
          </w:tcPr>
          <w:p w14:paraId="4CCDC992" w14:textId="77777777" w:rsidR="00000000" w:rsidRDefault="00195E73">
            <w:pPr>
              <w:rPr>
                <w:rFonts w:eastAsia="Times New Roman"/>
                <w:sz w:val="20"/>
                <w:szCs w:val="20"/>
              </w:rPr>
            </w:pPr>
          </w:p>
        </w:tc>
        <w:tc>
          <w:tcPr>
            <w:tcW w:w="0" w:type="auto"/>
            <w:vAlign w:val="center"/>
            <w:hideMark/>
          </w:tcPr>
          <w:p w14:paraId="0DBAB1A5" w14:textId="77777777" w:rsidR="00000000" w:rsidRDefault="00195E73">
            <w:pPr>
              <w:rPr>
                <w:rFonts w:eastAsia="Times New Roman"/>
                <w:sz w:val="20"/>
                <w:szCs w:val="20"/>
              </w:rPr>
            </w:pPr>
          </w:p>
        </w:tc>
        <w:tc>
          <w:tcPr>
            <w:tcW w:w="0" w:type="auto"/>
            <w:vAlign w:val="center"/>
            <w:hideMark/>
          </w:tcPr>
          <w:p w14:paraId="4E3DC4FB" w14:textId="77777777" w:rsidR="00000000" w:rsidRDefault="00195E73">
            <w:pPr>
              <w:rPr>
                <w:rFonts w:eastAsia="Times New Roman"/>
                <w:sz w:val="20"/>
                <w:szCs w:val="20"/>
              </w:rPr>
            </w:pPr>
          </w:p>
        </w:tc>
        <w:tc>
          <w:tcPr>
            <w:tcW w:w="0" w:type="auto"/>
            <w:vAlign w:val="center"/>
            <w:hideMark/>
          </w:tcPr>
          <w:p w14:paraId="32BABA4F" w14:textId="77777777" w:rsidR="00000000" w:rsidRDefault="00195E73">
            <w:pPr>
              <w:rPr>
                <w:rFonts w:eastAsia="Times New Roman"/>
                <w:sz w:val="20"/>
                <w:szCs w:val="20"/>
              </w:rPr>
            </w:pPr>
          </w:p>
        </w:tc>
        <w:tc>
          <w:tcPr>
            <w:tcW w:w="0" w:type="auto"/>
            <w:vAlign w:val="center"/>
            <w:hideMark/>
          </w:tcPr>
          <w:p w14:paraId="408A3C78" w14:textId="77777777" w:rsidR="00000000" w:rsidRDefault="00195E73">
            <w:pPr>
              <w:rPr>
                <w:rFonts w:eastAsia="Times New Roman"/>
                <w:sz w:val="20"/>
                <w:szCs w:val="20"/>
              </w:rPr>
            </w:pPr>
          </w:p>
        </w:tc>
        <w:tc>
          <w:tcPr>
            <w:tcW w:w="0" w:type="auto"/>
            <w:vAlign w:val="center"/>
            <w:hideMark/>
          </w:tcPr>
          <w:p w14:paraId="123EA448" w14:textId="77777777" w:rsidR="00000000" w:rsidRDefault="00195E73">
            <w:pPr>
              <w:rPr>
                <w:rFonts w:eastAsia="Times New Roman"/>
                <w:sz w:val="20"/>
                <w:szCs w:val="20"/>
              </w:rPr>
            </w:pPr>
          </w:p>
        </w:tc>
        <w:tc>
          <w:tcPr>
            <w:tcW w:w="0" w:type="auto"/>
            <w:vAlign w:val="center"/>
            <w:hideMark/>
          </w:tcPr>
          <w:p w14:paraId="08312C16" w14:textId="77777777" w:rsidR="00000000" w:rsidRDefault="00195E73">
            <w:pPr>
              <w:rPr>
                <w:rFonts w:eastAsia="Times New Roman"/>
                <w:sz w:val="20"/>
                <w:szCs w:val="20"/>
              </w:rPr>
            </w:pPr>
          </w:p>
        </w:tc>
        <w:tc>
          <w:tcPr>
            <w:tcW w:w="0" w:type="auto"/>
            <w:vAlign w:val="center"/>
            <w:hideMark/>
          </w:tcPr>
          <w:p w14:paraId="6174F7DF" w14:textId="77777777" w:rsidR="00000000" w:rsidRDefault="00195E73">
            <w:pPr>
              <w:rPr>
                <w:rFonts w:eastAsia="Times New Roman"/>
                <w:sz w:val="20"/>
                <w:szCs w:val="20"/>
              </w:rPr>
            </w:pPr>
          </w:p>
        </w:tc>
        <w:tc>
          <w:tcPr>
            <w:tcW w:w="0" w:type="auto"/>
            <w:vAlign w:val="center"/>
            <w:hideMark/>
          </w:tcPr>
          <w:p w14:paraId="5F560279" w14:textId="77777777" w:rsidR="00000000" w:rsidRDefault="00195E73">
            <w:pPr>
              <w:rPr>
                <w:rFonts w:eastAsia="Times New Roman"/>
                <w:sz w:val="20"/>
                <w:szCs w:val="20"/>
              </w:rPr>
            </w:pPr>
          </w:p>
        </w:tc>
        <w:tc>
          <w:tcPr>
            <w:tcW w:w="0" w:type="auto"/>
            <w:vAlign w:val="center"/>
            <w:hideMark/>
          </w:tcPr>
          <w:p w14:paraId="01A9BB58" w14:textId="77777777" w:rsidR="00000000" w:rsidRDefault="00195E73">
            <w:pPr>
              <w:rPr>
                <w:rFonts w:eastAsia="Times New Roman"/>
                <w:sz w:val="20"/>
                <w:szCs w:val="20"/>
              </w:rPr>
            </w:pPr>
          </w:p>
        </w:tc>
        <w:tc>
          <w:tcPr>
            <w:tcW w:w="0" w:type="auto"/>
            <w:vAlign w:val="center"/>
            <w:hideMark/>
          </w:tcPr>
          <w:p w14:paraId="6784DB36" w14:textId="77777777" w:rsidR="00000000" w:rsidRDefault="00195E73">
            <w:pPr>
              <w:rPr>
                <w:rFonts w:eastAsia="Times New Roman"/>
                <w:sz w:val="20"/>
                <w:szCs w:val="20"/>
              </w:rPr>
            </w:pPr>
          </w:p>
        </w:tc>
        <w:tc>
          <w:tcPr>
            <w:tcW w:w="0" w:type="auto"/>
            <w:vAlign w:val="center"/>
            <w:hideMark/>
          </w:tcPr>
          <w:p w14:paraId="6EDA81F4" w14:textId="77777777" w:rsidR="00000000" w:rsidRDefault="00195E73">
            <w:pPr>
              <w:rPr>
                <w:rFonts w:eastAsia="Times New Roman"/>
                <w:sz w:val="20"/>
                <w:szCs w:val="20"/>
              </w:rPr>
            </w:pPr>
          </w:p>
        </w:tc>
        <w:tc>
          <w:tcPr>
            <w:tcW w:w="0" w:type="auto"/>
            <w:vAlign w:val="center"/>
            <w:hideMark/>
          </w:tcPr>
          <w:p w14:paraId="4FB8630D" w14:textId="77777777" w:rsidR="00000000" w:rsidRDefault="00195E73">
            <w:pPr>
              <w:rPr>
                <w:rFonts w:eastAsia="Times New Roman"/>
                <w:sz w:val="20"/>
                <w:szCs w:val="20"/>
              </w:rPr>
            </w:pPr>
          </w:p>
        </w:tc>
        <w:tc>
          <w:tcPr>
            <w:tcW w:w="0" w:type="auto"/>
            <w:vAlign w:val="center"/>
            <w:hideMark/>
          </w:tcPr>
          <w:p w14:paraId="6FBCDBD6" w14:textId="77777777" w:rsidR="00000000" w:rsidRDefault="00195E73">
            <w:pPr>
              <w:rPr>
                <w:rFonts w:eastAsia="Times New Roman"/>
                <w:sz w:val="20"/>
                <w:szCs w:val="20"/>
              </w:rPr>
            </w:pPr>
          </w:p>
        </w:tc>
        <w:tc>
          <w:tcPr>
            <w:tcW w:w="0" w:type="auto"/>
            <w:vAlign w:val="center"/>
            <w:hideMark/>
          </w:tcPr>
          <w:p w14:paraId="3B4A9315" w14:textId="77777777" w:rsidR="00000000" w:rsidRDefault="00195E73">
            <w:pPr>
              <w:rPr>
                <w:rFonts w:eastAsia="Times New Roman"/>
                <w:sz w:val="20"/>
                <w:szCs w:val="20"/>
              </w:rPr>
            </w:pPr>
          </w:p>
        </w:tc>
      </w:tr>
      <w:tr w:rsidR="00000000" w14:paraId="02E0039A" w14:textId="77777777">
        <w:trPr>
          <w:divId w:val="1673147082"/>
          <w:jc w:val="center"/>
        </w:trPr>
        <w:tc>
          <w:tcPr>
            <w:tcW w:w="0" w:type="auto"/>
            <w:gridSpan w:val="3"/>
            <w:shd w:val="clear" w:color="auto" w:fill="CCEEFF"/>
            <w:tcMar>
              <w:top w:w="30" w:type="dxa"/>
              <w:left w:w="20" w:type="dxa"/>
              <w:bottom w:w="30" w:type="dxa"/>
              <w:right w:w="20" w:type="dxa"/>
            </w:tcMar>
            <w:vAlign w:val="bottom"/>
            <w:hideMark/>
          </w:tcPr>
          <w:p w14:paraId="19F0CEDA" w14:textId="77777777" w:rsidR="00000000" w:rsidRDefault="00195E73">
            <w:pPr>
              <w:ind w:hanging="180"/>
              <w:divId w:val="1954435983"/>
              <w:rPr>
                <w:rFonts w:eastAsia="Times New Roman"/>
              </w:rPr>
            </w:pPr>
            <w:r>
              <w:rPr>
                <w:rFonts w:eastAsia="Times New Roman"/>
                <w:color w:val="000000"/>
                <w:sz w:val="18"/>
                <w:szCs w:val="18"/>
              </w:rPr>
              <w:t>Dividends and distributions to non-controlling interests in subsidiarie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14:paraId="463C4E99"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12A00F6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17C021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69091E"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18F98C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CE575D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E7A27C"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6514AF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7B67A8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86F30B" w14:textId="77777777" w:rsidR="00000000" w:rsidRDefault="00195E73">
            <w:pPr>
              <w:jc w:val="right"/>
              <w:rPr>
                <w:rFonts w:eastAsia="Times New Roman"/>
              </w:rPr>
            </w:pPr>
            <w:r>
              <w:rPr>
                <w:rFonts w:eastAsia="Times New Roman"/>
                <w:color w:val="000000"/>
                <w:sz w:val="18"/>
                <w:szCs w:val="18"/>
              </w:rPr>
              <w:t>(92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0A26C5C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C7E933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E2DE6D" w14:textId="77777777" w:rsidR="00000000" w:rsidRDefault="00195E73">
            <w:pPr>
              <w:jc w:val="right"/>
              <w:rPr>
                <w:rFonts w:eastAsia="Times New Roman"/>
              </w:rPr>
            </w:pPr>
            <w:r>
              <w:rPr>
                <w:rFonts w:eastAsia="Times New Roman"/>
                <w:color w:val="000000"/>
                <w:sz w:val="18"/>
                <w:szCs w:val="18"/>
              </w:rPr>
              <w:t>(92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107BEAF2"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7CF0F664" w14:textId="77777777" w:rsidR="00000000" w:rsidRDefault="00195E73">
            <w:pPr>
              <w:rPr>
                <w:rFonts w:eastAsia="Times New Roman"/>
                <w:sz w:val="20"/>
                <w:szCs w:val="20"/>
              </w:rPr>
            </w:pPr>
          </w:p>
        </w:tc>
        <w:tc>
          <w:tcPr>
            <w:tcW w:w="0" w:type="auto"/>
            <w:vAlign w:val="center"/>
            <w:hideMark/>
          </w:tcPr>
          <w:p w14:paraId="4329482C" w14:textId="77777777" w:rsidR="00000000" w:rsidRDefault="00195E73">
            <w:pPr>
              <w:rPr>
                <w:rFonts w:eastAsia="Times New Roman"/>
                <w:sz w:val="20"/>
                <w:szCs w:val="20"/>
              </w:rPr>
            </w:pPr>
          </w:p>
        </w:tc>
        <w:tc>
          <w:tcPr>
            <w:tcW w:w="0" w:type="auto"/>
            <w:vAlign w:val="center"/>
            <w:hideMark/>
          </w:tcPr>
          <w:p w14:paraId="21C2A4EA" w14:textId="77777777" w:rsidR="00000000" w:rsidRDefault="00195E73">
            <w:pPr>
              <w:rPr>
                <w:rFonts w:eastAsia="Times New Roman"/>
                <w:sz w:val="20"/>
                <w:szCs w:val="20"/>
              </w:rPr>
            </w:pPr>
          </w:p>
        </w:tc>
        <w:tc>
          <w:tcPr>
            <w:tcW w:w="0" w:type="auto"/>
            <w:vAlign w:val="center"/>
            <w:hideMark/>
          </w:tcPr>
          <w:p w14:paraId="433D722F" w14:textId="77777777" w:rsidR="00000000" w:rsidRDefault="00195E73">
            <w:pPr>
              <w:rPr>
                <w:rFonts w:eastAsia="Times New Roman"/>
                <w:sz w:val="20"/>
                <w:szCs w:val="20"/>
              </w:rPr>
            </w:pPr>
          </w:p>
        </w:tc>
        <w:tc>
          <w:tcPr>
            <w:tcW w:w="0" w:type="auto"/>
            <w:vAlign w:val="center"/>
            <w:hideMark/>
          </w:tcPr>
          <w:p w14:paraId="2752525D" w14:textId="77777777" w:rsidR="00000000" w:rsidRDefault="00195E73">
            <w:pPr>
              <w:rPr>
                <w:rFonts w:eastAsia="Times New Roman"/>
                <w:sz w:val="20"/>
                <w:szCs w:val="20"/>
              </w:rPr>
            </w:pPr>
          </w:p>
        </w:tc>
        <w:tc>
          <w:tcPr>
            <w:tcW w:w="0" w:type="auto"/>
            <w:vAlign w:val="center"/>
            <w:hideMark/>
          </w:tcPr>
          <w:p w14:paraId="1C2E72BC" w14:textId="77777777" w:rsidR="00000000" w:rsidRDefault="00195E73">
            <w:pPr>
              <w:rPr>
                <w:rFonts w:eastAsia="Times New Roman"/>
                <w:sz w:val="20"/>
                <w:szCs w:val="20"/>
              </w:rPr>
            </w:pPr>
          </w:p>
        </w:tc>
        <w:tc>
          <w:tcPr>
            <w:tcW w:w="0" w:type="auto"/>
            <w:vAlign w:val="center"/>
            <w:hideMark/>
          </w:tcPr>
          <w:p w14:paraId="3CF44B92" w14:textId="77777777" w:rsidR="00000000" w:rsidRDefault="00195E73">
            <w:pPr>
              <w:rPr>
                <w:rFonts w:eastAsia="Times New Roman"/>
                <w:sz w:val="20"/>
                <w:szCs w:val="20"/>
              </w:rPr>
            </w:pPr>
          </w:p>
        </w:tc>
        <w:tc>
          <w:tcPr>
            <w:tcW w:w="0" w:type="auto"/>
            <w:vAlign w:val="center"/>
            <w:hideMark/>
          </w:tcPr>
          <w:p w14:paraId="0303FF80" w14:textId="77777777" w:rsidR="00000000" w:rsidRDefault="00195E73">
            <w:pPr>
              <w:rPr>
                <w:rFonts w:eastAsia="Times New Roman"/>
                <w:sz w:val="20"/>
                <w:szCs w:val="20"/>
              </w:rPr>
            </w:pPr>
          </w:p>
        </w:tc>
        <w:tc>
          <w:tcPr>
            <w:tcW w:w="0" w:type="auto"/>
            <w:vAlign w:val="center"/>
            <w:hideMark/>
          </w:tcPr>
          <w:p w14:paraId="4B6D94B6" w14:textId="77777777" w:rsidR="00000000" w:rsidRDefault="00195E73">
            <w:pPr>
              <w:rPr>
                <w:rFonts w:eastAsia="Times New Roman"/>
                <w:sz w:val="20"/>
                <w:szCs w:val="20"/>
              </w:rPr>
            </w:pPr>
          </w:p>
        </w:tc>
        <w:tc>
          <w:tcPr>
            <w:tcW w:w="0" w:type="auto"/>
            <w:vAlign w:val="center"/>
            <w:hideMark/>
          </w:tcPr>
          <w:p w14:paraId="45EEE156" w14:textId="77777777" w:rsidR="00000000" w:rsidRDefault="00195E73">
            <w:pPr>
              <w:rPr>
                <w:rFonts w:eastAsia="Times New Roman"/>
                <w:sz w:val="20"/>
                <w:szCs w:val="20"/>
              </w:rPr>
            </w:pPr>
          </w:p>
        </w:tc>
        <w:tc>
          <w:tcPr>
            <w:tcW w:w="0" w:type="auto"/>
            <w:vAlign w:val="center"/>
            <w:hideMark/>
          </w:tcPr>
          <w:p w14:paraId="78477B34" w14:textId="77777777" w:rsidR="00000000" w:rsidRDefault="00195E73">
            <w:pPr>
              <w:rPr>
                <w:rFonts w:eastAsia="Times New Roman"/>
                <w:sz w:val="20"/>
                <w:szCs w:val="20"/>
              </w:rPr>
            </w:pPr>
          </w:p>
        </w:tc>
        <w:tc>
          <w:tcPr>
            <w:tcW w:w="0" w:type="auto"/>
            <w:vAlign w:val="center"/>
            <w:hideMark/>
          </w:tcPr>
          <w:p w14:paraId="694E675C" w14:textId="77777777" w:rsidR="00000000" w:rsidRDefault="00195E73">
            <w:pPr>
              <w:rPr>
                <w:rFonts w:eastAsia="Times New Roman"/>
                <w:sz w:val="20"/>
                <w:szCs w:val="20"/>
              </w:rPr>
            </w:pPr>
          </w:p>
        </w:tc>
        <w:tc>
          <w:tcPr>
            <w:tcW w:w="0" w:type="auto"/>
            <w:vAlign w:val="center"/>
            <w:hideMark/>
          </w:tcPr>
          <w:p w14:paraId="7FE01CCB" w14:textId="77777777" w:rsidR="00000000" w:rsidRDefault="00195E73">
            <w:pPr>
              <w:rPr>
                <w:rFonts w:eastAsia="Times New Roman"/>
                <w:sz w:val="20"/>
                <w:szCs w:val="20"/>
              </w:rPr>
            </w:pPr>
          </w:p>
        </w:tc>
        <w:tc>
          <w:tcPr>
            <w:tcW w:w="0" w:type="auto"/>
            <w:vAlign w:val="center"/>
            <w:hideMark/>
          </w:tcPr>
          <w:p w14:paraId="53BD98EC" w14:textId="77777777" w:rsidR="00000000" w:rsidRDefault="00195E73">
            <w:pPr>
              <w:rPr>
                <w:rFonts w:eastAsia="Times New Roman"/>
                <w:sz w:val="20"/>
                <w:szCs w:val="20"/>
              </w:rPr>
            </w:pPr>
          </w:p>
        </w:tc>
        <w:tc>
          <w:tcPr>
            <w:tcW w:w="0" w:type="auto"/>
            <w:vAlign w:val="center"/>
            <w:hideMark/>
          </w:tcPr>
          <w:p w14:paraId="2BA07545" w14:textId="77777777" w:rsidR="00000000" w:rsidRDefault="00195E73">
            <w:pPr>
              <w:rPr>
                <w:rFonts w:eastAsia="Times New Roman"/>
                <w:sz w:val="20"/>
                <w:szCs w:val="20"/>
              </w:rPr>
            </w:pPr>
          </w:p>
        </w:tc>
        <w:tc>
          <w:tcPr>
            <w:tcW w:w="0" w:type="auto"/>
            <w:vAlign w:val="center"/>
            <w:hideMark/>
          </w:tcPr>
          <w:p w14:paraId="45BFA23F" w14:textId="77777777" w:rsidR="00000000" w:rsidRDefault="00195E73">
            <w:pPr>
              <w:rPr>
                <w:rFonts w:eastAsia="Times New Roman"/>
                <w:sz w:val="20"/>
                <w:szCs w:val="20"/>
              </w:rPr>
            </w:pPr>
          </w:p>
        </w:tc>
        <w:tc>
          <w:tcPr>
            <w:tcW w:w="0" w:type="auto"/>
            <w:vAlign w:val="center"/>
            <w:hideMark/>
          </w:tcPr>
          <w:p w14:paraId="63C01DFB" w14:textId="77777777" w:rsidR="00000000" w:rsidRDefault="00195E73">
            <w:pPr>
              <w:rPr>
                <w:rFonts w:eastAsia="Times New Roman"/>
                <w:sz w:val="20"/>
                <w:szCs w:val="20"/>
              </w:rPr>
            </w:pPr>
          </w:p>
        </w:tc>
        <w:tc>
          <w:tcPr>
            <w:tcW w:w="0" w:type="auto"/>
            <w:vAlign w:val="center"/>
            <w:hideMark/>
          </w:tcPr>
          <w:p w14:paraId="5C4B10E1" w14:textId="77777777" w:rsidR="00000000" w:rsidRDefault="00195E73">
            <w:pPr>
              <w:rPr>
                <w:rFonts w:eastAsia="Times New Roman"/>
                <w:sz w:val="20"/>
                <w:szCs w:val="20"/>
              </w:rPr>
            </w:pPr>
          </w:p>
        </w:tc>
        <w:tc>
          <w:tcPr>
            <w:tcW w:w="0" w:type="auto"/>
            <w:vAlign w:val="center"/>
            <w:hideMark/>
          </w:tcPr>
          <w:p w14:paraId="46D37AC1" w14:textId="77777777" w:rsidR="00000000" w:rsidRDefault="00195E73">
            <w:pPr>
              <w:rPr>
                <w:rFonts w:eastAsia="Times New Roman"/>
                <w:sz w:val="20"/>
                <w:szCs w:val="20"/>
              </w:rPr>
            </w:pPr>
          </w:p>
        </w:tc>
        <w:tc>
          <w:tcPr>
            <w:tcW w:w="0" w:type="auto"/>
            <w:vAlign w:val="center"/>
            <w:hideMark/>
          </w:tcPr>
          <w:p w14:paraId="3A1910FC" w14:textId="77777777" w:rsidR="00000000" w:rsidRDefault="00195E73">
            <w:pPr>
              <w:rPr>
                <w:rFonts w:eastAsia="Times New Roman"/>
                <w:sz w:val="20"/>
                <w:szCs w:val="20"/>
              </w:rPr>
            </w:pPr>
          </w:p>
        </w:tc>
        <w:tc>
          <w:tcPr>
            <w:tcW w:w="0" w:type="auto"/>
            <w:vAlign w:val="center"/>
            <w:hideMark/>
          </w:tcPr>
          <w:p w14:paraId="6EAD6956" w14:textId="77777777" w:rsidR="00000000" w:rsidRDefault="00195E73">
            <w:pPr>
              <w:rPr>
                <w:rFonts w:eastAsia="Times New Roman"/>
                <w:sz w:val="20"/>
                <w:szCs w:val="20"/>
              </w:rPr>
            </w:pPr>
          </w:p>
        </w:tc>
        <w:tc>
          <w:tcPr>
            <w:tcW w:w="0" w:type="auto"/>
            <w:vAlign w:val="center"/>
            <w:hideMark/>
          </w:tcPr>
          <w:p w14:paraId="0DAF07A0" w14:textId="77777777" w:rsidR="00000000" w:rsidRDefault="00195E73">
            <w:pPr>
              <w:rPr>
                <w:rFonts w:eastAsia="Times New Roman"/>
                <w:sz w:val="20"/>
                <w:szCs w:val="20"/>
              </w:rPr>
            </w:pPr>
          </w:p>
        </w:tc>
        <w:tc>
          <w:tcPr>
            <w:tcW w:w="0" w:type="auto"/>
            <w:vAlign w:val="center"/>
            <w:hideMark/>
          </w:tcPr>
          <w:p w14:paraId="0EC43083" w14:textId="77777777" w:rsidR="00000000" w:rsidRDefault="00195E73">
            <w:pPr>
              <w:rPr>
                <w:rFonts w:eastAsia="Times New Roman"/>
                <w:sz w:val="20"/>
                <w:szCs w:val="20"/>
              </w:rPr>
            </w:pPr>
          </w:p>
        </w:tc>
        <w:tc>
          <w:tcPr>
            <w:tcW w:w="0" w:type="auto"/>
            <w:vAlign w:val="center"/>
            <w:hideMark/>
          </w:tcPr>
          <w:p w14:paraId="1785CB96" w14:textId="77777777" w:rsidR="00000000" w:rsidRDefault="00195E73">
            <w:pPr>
              <w:rPr>
                <w:rFonts w:eastAsia="Times New Roman"/>
                <w:sz w:val="20"/>
                <w:szCs w:val="20"/>
              </w:rPr>
            </w:pPr>
          </w:p>
        </w:tc>
      </w:tr>
      <w:tr w:rsidR="00000000" w14:paraId="2A0A9FC9" w14:textId="77777777">
        <w:trPr>
          <w:divId w:val="1673147082"/>
          <w:jc w:val="center"/>
        </w:trPr>
        <w:tc>
          <w:tcPr>
            <w:tcW w:w="0" w:type="auto"/>
            <w:gridSpan w:val="3"/>
            <w:shd w:val="clear" w:color="auto" w:fill="FFFFFF"/>
            <w:tcMar>
              <w:top w:w="30" w:type="dxa"/>
              <w:left w:w="20" w:type="dxa"/>
              <w:bottom w:w="30" w:type="dxa"/>
              <w:right w:w="20" w:type="dxa"/>
            </w:tcMar>
            <w:vAlign w:val="bottom"/>
            <w:hideMark/>
          </w:tcPr>
          <w:p w14:paraId="66F6D0B5" w14:textId="77777777" w:rsidR="00000000" w:rsidRDefault="00195E73">
            <w:pPr>
              <w:ind w:hanging="180"/>
              <w:divId w:val="626007038"/>
              <w:rPr>
                <w:rFonts w:eastAsia="Times New Roman"/>
              </w:rPr>
            </w:pPr>
            <w:r>
              <w:rPr>
                <w:rFonts w:eastAsia="Times New Roman"/>
                <w:color w:val="000000"/>
                <w:sz w:val="18"/>
                <w:szCs w:val="18"/>
              </w:rPr>
              <w:t>Cumulative effect adjustment from adoption of accounting principl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14:paraId="25B19E94"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2A1D50A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1AD16E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5460C7" w14:textId="77777777" w:rsidR="00000000" w:rsidRDefault="00195E73">
            <w:pPr>
              <w:jc w:val="right"/>
              <w:rPr>
                <w:rFonts w:eastAsia="Times New Roman"/>
              </w:rPr>
            </w:pPr>
            <w:r>
              <w:rPr>
                <w:rFonts w:eastAsia="Times New Roman"/>
                <w:color w:val="000000"/>
                <w:sz w:val="18"/>
                <w:szCs w:val="18"/>
              </w:rPr>
              <w:t>(46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4811895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3CF6AC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415F9E" w14:textId="77777777" w:rsidR="00000000" w:rsidRDefault="00195E73">
            <w:pPr>
              <w:jc w:val="right"/>
              <w:rPr>
                <w:rFonts w:eastAsia="Times New Roman"/>
              </w:rPr>
            </w:pPr>
            <w:r>
              <w:rPr>
                <w:rFonts w:eastAsia="Times New Roman"/>
                <w:color w:val="000000"/>
                <w:sz w:val="18"/>
                <w:szCs w:val="18"/>
              </w:rPr>
              <w:t>(47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11FDF0C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60A43C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D7FCF1"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30F91D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75B2C0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B55F49" w14:textId="77777777" w:rsidR="00000000" w:rsidRDefault="00195E73">
            <w:pPr>
              <w:jc w:val="right"/>
              <w:rPr>
                <w:rFonts w:eastAsia="Times New Roman"/>
              </w:rPr>
            </w:pPr>
            <w:r>
              <w:rPr>
                <w:rFonts w:eastAsia="Times New Roman"/>
                <w:color w:val="000000"/>
                <w:sz w:val="18"/>
                <w:szCs w:val="18"/>
              </w:rPr>
              <w:t>(47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4C1563B0"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6B9E2D8D" w14:textId="77777777" w:rsidR="00000000" w:rsidRDefault="00195E73">
            <w:pPr>
              <w:rPr>
                <w:rFonts w:eastAsia="Times New Roman"/>
                <w:sz w:val="20"/>
                <w:szCs w:val="20"/>
              </w:rPr>
            </w:pPr>
          </w:p>
        </w:tc>
        <w:tc>
          <w:tcPr>
            <w:tcW w:w="0" w:type="auto"/>
            <w:vAlign w:val="center"/>
            <w:hideMark/>
          </w:tcPr>
          <w:p w14:paraId="2E467987" w14:textId="77777777" w:rsidR="00000000" w:rsidRDefault="00195E73">
            <w:pPr>
              <w:rPr>
                <w:rFonts w:eastAsia="Times New Roman"/>
                <w:sz w:val="20"/>
                <w:szCs w:val="20"/>
              </w:rPr>
            </w:pPr>
          </w:p>
        </w:tc>
        <w:tc>
          <w:tcPr>
            <w:tcW w:w="0" w:type="auto"/>
            <w:vAlign w:val="center"/>
            <w:hideMark/>
          </w:tcPr>
          <w:p w14:paraId="60B0FAE5" w14:textId="77777777" w:rsidR="00000000" w:rsidRDefault="00195E73">
            <w:pPr>
              <w:rPr>
                <w:rFonts w:eastAsia="Times New Roman"/>
                <w:sz w:val="20"/>
                <w:szCs w:val="20"/>
              </w:rPr>
            </w:pPr>
          </w:p>
        </w:tc>
        <w:tc>
          <w:tcPr>
            <w:tcW w:w="0" w:type="auto"/>
            <w:vAlign w:val="center"/>
            <w:hideMark/>
          </w:tcPr>
          <w:p w14:paraId="00960EA5" w14:textId="77777777" w:rsidR="00000000" w:rsidRDefault="00195E73">
            <w:pPr>
              <w:rPr>
                <w:rFonts w:eastAsia="Times New Roman"/>
                <w:sz w:val="20"/>
                <w:szCs w:val="20"/>
              </w:rPr>
            </w:pPr>
          </w:p>
        </w:tc>
        <w:tc>
          <w:tcPr>
            <w:tcW w:w="0" w:type="auto"/>
            <w:vAlign w:val="center"/>
            <w:hideMark/>
          </w:tcPr>
          <w:p w14:paraId="17BC6F30" w14:textId="77777777" w:rsidR="00000000" w:rsidRDefault="00195E73">
            <w:pPr>
              <w:rPr>
                <w:rFonts w:eastAsia="Times New Roman"/>
                <w:sz w:val="20"/>
                <w:szCs w:val="20"/>
              </w:rPr>
            </w:pPr>
          </w:p>
        </w:tc>
        <w:tc>
          <w:tcPr>
            <w:tcW w:w="0" w:type="auto"/>
            <w:vAlign w:val="center"/>
            <w:hideMark/>
          </w:tcPr>
          <w:p w14:paraId="33025477" w14:textId="77777777" w:rsidR="00000000" w:rsidRDefault="00195E73">
            <w:pPr>
              <w:rPr>
                <w:rFonts w:eastAsia="Times New Roman"/>
                <w:sz w:val="20"/>
                <w:szCs w:val="20"/>
              </w:rPr>
            </w:pPr>
          </w:p>
        </w:tc>
        <w:tc>
          <w:tcPr>
            <w:tcW w:w="0" w:type="auto"/>
            <w:vAlign w:val="center"/>
            <w:hideMark/>
          </w:tcPr>
          <w:p w14:paraId="7B6F17E8" w14:textId="77777777" w:rsidR="00000000" w:rsidRDefault="00195E73">
            <w:pPr>
              <w:rPr>
                <w:rFonts w:eastAsia="Times New Roman"/>
                <w:sz w:val="20"/>
                <w:szCs w:val="20"/>
              </w:rPr>
            </w:pPr>
          </w:p>
        </w:tc>
        <w:tc>
          <w:tcPr>
            <w:tcW w:w="0" w:type="auto"/>
            <w:vAlign w:val="center"/>
            <w:hideMark/>
          </w:tcPr>
          <w:p w14:paraId="6FF50A17" w14:textId="77777777" w:rsidR="00000000" w:rsidRDefault="00195E73">
            <w:pPr>
              <w:rPr>
                <w:rFonts w:eastAsia="Times New Roman"/>
                <w:sz w:val="20"/>
                <w:szCs w:val="20"/>
              </w:rPr>
            </w:pPr>
          </w:p>
        </w:tc>
        <w:tc>
          <w:tcPr>
            <w:tcW w:w="0" w:type="auto"/>
            <w:vAlign w:val="center"/>
            <w:hideMark/>
          </w:tcPr>
          <w:p w14:paraId="2690FEAE" w14:textId="77777777" w:rsidR="00000000" w:rsidRDefault="00195E73">
            <w:pPr>
              <w:rPr>
                <w:rFonts w:eastAsia="Times New Roman"/>
                <w:sz w:val="20"/>
                <w:szCs w:val="20"/>
              </w:rPr>
            </w:pPr>
          </w:p>
        </w:tc>
        <w:tc>
          <w:tcPr>
            <w:tcW w:w="0" w:type="auto"/>
            <w:vAlign w:val="center"/>
            <w:hideMark/>
          </w:tcPr>
          <w:p w14:paraId="23872976" w14:textId="77777777" w:rsidR="00000000" w:rsidRDefault="00195E73">
            <w:pPr>
              <w:rPr>
                <w:rFonts w:eastAsia="Times New Roman"/>
                <w:sz w:val="20"/>
                <w:szCs w:val="20"/>
              </w:rPr>
            </w:pPr>
          </w:p>
        </w:tc>
        <w:tc>
          <w:tcPr>
            <w:tcW w:w="0" w:type="auto"/>
            <w:vAlign w:val="center"/>
            <w:hideMark/>
          </w:tcPr>
          <w:p w14:paraId="134E5BF4" w14:textId="77777777" w:rsidR="00000000" w:rsidRDefault="00195E73">
            <w:pPr>
              <w:rPr>
                <w:rFonts w:eastAsia="Times New Roman"/>
                <w:sz w:val="20"/>
                <w:szCs w:val="20"/>
              </w:rPr>
            </w:pPr>
          </w:p>
        </w:tc>
        <w:tc>
          <w:tcPr>
            <w:tcW w:w="0" w:type="auto"/>
            <w:vAlign w:val="center"/>
            <w:hideMark/>
          </w:tcPr>
          <w:p w14:paraId="402A4914" w14:textId="77777777" w:rsidR="00000000" w:rsidRDefault="00195E73">
            <w:pPr>
              <w:rPr>
                <w:rFonts w:eastAsia="Times New Roman"/>
                <w:sz w:val="20"/>
                <w:szCs w:val="20"/>
              </w:rPr>
            </w:pPr>
          </w:p>
        </w:tc>
        <w:tc>
          <w:tcPr>
            <w:tcW w:w="0" w:type="auto"/>
            <w:vAlign w:val="center"/>
            <w:hideMark/>
          </w:tcPr>
          <w:p w14:paraId="314248E7" w14:textId="77777777" w:rsidR="00000000" w:rsidRDefault="00195E73">
            <w:pPr>
              <w:rPr>
                <w:rFonts w:eastAsia="Times New Roman"/>
                <w:sz w:val="20"/>
                <w:szCs w:val="20"/>
              </w:rPr>
            </w:pPr>
          </w:p>
        </w:tc>
        <w:tc>
          <w:tcPr>
            <w:tcW w:w="0" w:type="auto"/>
            <w:vAlign w:val="center"/>
            <w:hideMark/>
          </w:tcPr>
          <w:p w14:paraId="56F38814" w14:textId="77777777" w:rsidR="00000000" w:rsidRDefault="00195E73">
            <w:pPr>
              <w:rPr>
                <w:rFonts w:eastAsia="Times New Roman"/>
                <w:sz w:val="20"/>
                <w:szCs w:val="20"/>
              </w:rPr>
            </w:pPr>
          </w:p>
        </w:tc>
        <w:tc>
          <w:tcPr>
            <w:tcW w:w="0" w:type="auto"/>
            <w:vAlign w:val="center"/>
            <w:hideMark/>
          </w:tcPr>
          <w:p w14:paraId="57B85004" w14:textId="77777777" w:rsidR="00000000" w:rsidRDefault="00195E73">
            <w:pPr>
              <w:rPr>
                <w:rFonts w:eastAsia="Times New Roman"/>
                <w:sz w:val="20"/>
                <w:szCs w:val="20"/>
              </w:rPr>
            </w:pPr>
          </w:p>
        </w:tc>
        <w:tc>
          <w:tcPr>
            <w:tcW w:w="0" w:type="auto"/>
            <w:vAlign w:val="center"/>
            <w:hideMark/>
          </w:tcPr>
          <w:p w14:paraId="54E280BE" w14:textId="77777777" w:rsidR="00000000" w:rsidRDefault="00195E73">
            <w:pPr>
              <w:rPr>
                <w:rFonts w:eastAsia="Times New Roman"/>
                <w:sz w:val="20"/>
                <w:szCs w:val="20"/>
              </w:rPr>
            </w:pPr>
          </w:p>
        </w:tc>
        <w:tc>
          <w:tcPr>
            <w:tcW w:w="0" w:type="auto"/>
            <w:vAlign w:val="center"/>
            <w:hideMark/>
          </w:tcPr>
          <w:p w14:paraId="1071EA51" w14:textId="77777777" w:rsidR="00000000" w:rsidRDefault="00195E73">
            <w:pPr>
              <w:rPr>
                <w:rFonts w:eastAsia="Times New Roman"/>
                <w:sz w:val="20"/>
                <w:szCs w:val="20"/>
              </w:rPr>
            </w:pPr>
          </w:p>
        </w:tc>
        <w:tc>
          <w:tcPr>
            <w:tcW w:w="0" w:type="auto"/>
            <w:vAlign w:val="center"/>
            <w:hideMark/>
          </w:tcPr>
          <w:p w14:paraId="7D36F179" w14:textId="77777777" w:rsidR="00000000" w:rsidRDefault="00195E73">
            <w:pPr>
              <w:rPr>
                <w:rFonts w:eastAsia="Times New Roman"/>
                <w:sz w:val="20"/>
                <w:szCs w:val="20"/>
              </w:rPr>
            </w:pPr>
          </w:p>
        </w:tc>
        <w:tc>
          <w:tcPr>
            <w:tcW w:w="0" w:type="auto"/>
            <w:vAlign w:val="center"/>
            <w:hideMark/>
          </w:tcPr>
          <w:p w14:paraId="3FDABD2C" w14:textId="77777777" w:rsidR="00000000" w:rsidRDefault="00195E73">
            <w:pPr>
              <w:rPr>
                <w:rFonts w:eastAsia="Times New Roman"/>
                <w:sz w:val="20"/>
                <w:szCs w:val="20"/>
              </w:rPr>
            </w:pPr>
          </w:p>
        </w:tc>
        <w:tc>
          <w:tcPr>
            <w:tcW w:w="0" w:type="auto"/>
            <w:vAlign w:val="center"/>
            <w:hideMark/>
          </w:tcPr>
          <w:p w14:paraId="45981188" w14:textId="77777777" w:rsidR="00000000" w:rsidRDefault="00195E73">
            <w:pPr>
              <w:rPr>
                <w:rFonts w:eastAsia="Times New Roman"/>
                <w:sz w:val="20"/>
                <w:szCs w:val="20"/>
              </w:rPr>
            </w:pPr>
          </w:p>
        </w:tc>
        <w:tc>
          <w:tcPr>
            <w:tcW w:w="0" w:type="auto"/>
            <w:vAlign w:val="center"/>
            <w:hideMark/>
          </w:tcPr>
          <w:p w14:paraId="75E5725C" w14:textId="77777777" w:rsidR="00000000" w:rsidRDefault="00195E73">
            <w:pPr>
              <w:rPr>
                <w:rFonts w:eastAsia="Times New Roman"/>
                <w:sz w:val="20"/>
                <w:szCs w:val="20"/>
              </w:rPr>
            </w:pPr>
          </w:p>
        </w:tc>
        <w:tc>
          <w:tcPr>
            <w:tcW w:w="0" w:type="auto"/>
            <w:vAlign w:val="center"/>
            <w:hideMark/>
          </w:tcPr>
          <w:p w14:paraId="7E611919" w14:textId="77777777" w:rsidR="00000000" w:rsidRDefault="00195E73">
            <w:pPr>
              <w:rPr>
                <w:rFonts w:eastAsia="Times New Roman"/>
                <w:sz w:val="20"/>
                <w:szCs w:val="20"/>
              </w:rPr>
            </w:pPr>
          </w:p>
        </w:tc>
        <w:tc>
          <w:tcPr>
            <w:tcW w:w="0" w:type="auto"/>
            <w:vAlign w:val="center"/>
            <w:hideMark/>
          </w:tcPr>
          <w:p w14:paraId="6E0CC0A7" w14:textId="77777777" w:rsidR="00000000" w:rsidRDefault="00195E73">
            <w:pPr>
              <w:rPr>
                <w:rFonts w:eastAsia="Times New Roman"/>
                <w:sz w:val="20"/>
                <w:szCs w:val="20"/>
              </w:rPr>
            </w:pPr>
          </w:p>
        </w:tc>
        <w:tc>
          <w:tcPr>
            <w:tcW w:w="0" w:type="auto"/>
            <w:vAlign w:val="center"/>
            <w:hideMark/>
          </w:tcPr>
          <w:p w14:paraId="7A47A825" w14:textId="77777777" w:rsidR="00000000" w:rsidRDefault="00195E73">
            <w:pPr>
              <w:rPr>
                <w:rFonts w:eastAsia="Times New Roman"/>
                <w:sz w:val="20"/>
                <w:szCs w:val="20"/>
              </w:rPr>
            </w:pPr>
          </w:p>
        </w:tc>
      </w:tr>
      <w:tr w:rsidR="00000000" w14:paraId="28520589" w14:textId="77777777">
        <w:trPr>
          <w:divId w:val="1673147082"/>
          <w:jc w:val="center"/>
        </w:trPr>
        <w:tc>
          <w:tcPr>
            <w:tcW w:w="0" w:type="auto"/>
            <w:gridSpan w:val="3"/>
            <w:shd w:val="clear" w:color="auto" w:fill="CCEEFF"/>
            <w:tcMar>
              <w:top w:w="30" w:type="dxa"/>
              <w:left w:w="20" w:type="dxa"/>
              <w:bottom w:w="30" w:type="dxa"/>
              <w:right w:w="20" w:type="dxa"/>
            </w:tcMar>
            <w:vAlign w:val="bottom"/>
            <w:hideMark/>
          </w:tcPr>
          <w:p w14:paraId="74A09DBC" w14:textId="77777777" w:rsidR="00000000" w:rsidRDefault="00195E73">
            <w:pPr>
              <w:rPr>
                <w:rFonts w:eastAsia="Times New Roman"/>
              </w:rPr>
            </w:pPr>
            <w:r>
              <w:rPr>
                <w:rFonts w:eastAsia="Times New Roman"/>
                <w:color w:val="000000"/>
                <w:sz w:val="18"/>
                <w:szCs w:val="18"/>
              </w:rPr>
              <w:t>Changes in subsidiary equity and 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14:paraId="50D02C95" w14:textId="77777777" w:rsidR="00000000" w:rsidRDefault="00195E73">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5D4B308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892D56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10FEF9" w14:textId="77777777" w:rsidR="00000000" w:rsidRDefault="00195E73">
            <w:pPr>
              <w:jc w:val="right"/>
              <w:rPr>
                <w:rFonts w:eastAsia="Times New Roman"/>
              </w:rPr>
            </w:pPr>
            <w:r>
              <w:rPr>
                <w:rFonts w:eastAsia="Times New Roman"/>
                <w:color w:val="000000"/>
                <w:sz w:val="18"/>
                <w:szCs w:val="18"/>
              </w:rPr>
              <w:t>(117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B125F4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ADE62A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7AEF5D" w14:textId="77777777" w:rsidR="00000000" w:rsidRDefault="00195E73">
            <w:pPr>
              <w:jc w:val="right"/>
              <w:rPr>
                <w:rFonts w:eastAsia="Times New Roman"/>
              </w:rPr>
            </w:pPr>
            <w:r>
              <w:rPr>
                <w:rFonts w:eastAsia="Times New Roman"/>
                <w:color w:val="000000"/>
                <w:sz w:val="18"/>
                <w:szCs w:val="18"/>
              </w:rPr>
              <w:t>(119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173DAF0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47197F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E0679B" w14:textId="77777777" w:rsidR="00000000" w:rsidRDefault="00195E73">
            <w:pPr>
              <w:jc w:val="right"/>
              <w:rPr>
                <w:rFonts w:eastAsia="Times New Roman"/>
              </w:rPr>
            </w:pPr>
            <w:r>
              <w:rPr>
                <w:rFonts w:eastAsia="Times New Roman"/>
                <w:color w:val="000000"/>
                <w:sz w:val="18"/>
                <w:szCs w:val="18"/>
              </w:rPr>
              <w:t>(286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FF35C9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634821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6FC01D" w14:textId="77777777" w:rsidR="00000000" w:rsidRDefault="00195E73">
            <w:pPr>
              <w:jc w:val="right"/>
              <w:rPr>
                <w:rFonts w:eastAsia="Times New Roman"/>
              </w:rPr>
            </w:pPr>
            <w:r>
              <w:rPr>
                <w:rFonts w:eastAsia="Times New Roman"/>
                <w:color w:val="000000"/>
                <w:sz w:val="18"/>
                <w:szCs w:val="18"/>
              </w:rPr>
              <w:t>(405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529F9DE"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5663919D" w14:textId="77777777" w:rsidR="00000000" w:rsidRDefault="00195E73">
            <w:pPr>
              <w:rPr>
                <w:rFonts w:eastAsia="Times New Roman"/>
                <w:sz w:val="20"/>
                <w:szCs w:val="20"/>
              </w:rPr>
            </w:pPr>
          </w:p>
        </w:tc>
        <w:tc>
          <w:tcPr>
            <w:tcW w:w="0" w:type="auto"/>
            <w:vAlign w:val="center"/>
            <w:hideMark/>
          </w:tcPr>
          <w:p w14:paraId="44D61751" w14:textId="77777777" w:rsidR="00000000" w:rsidRDefault="00195E73">
            <w:pPr>
              <w:rPr>
                <w:rFonts w:eastAsia="Times New Roman"/>
                <w:sz w:val="20"/>
                <w:szCs w:val="20"/>
              </w:rPr>
            </w:pPr>
          </w:p>
        </w:tc>
        <w:tc>
          <w:tcPr>
            <w:tcW w:w="0" w:type="auto"/>
            <w:vAlign w:val="center"/>
            <w:hideMark/>
          </w:tcPr>
          <w:p w14:paraId="64494BC0" w14:textId="77777777" w:rsidR="00000000" w:rsidRDefault="00195E73">
            <w:pPr>
              <w:rPr>
                <w:rFonts w:eastAsia="Times New Roman"/>
                <w:sz w:val="20"/>
                <w:szCs w:val="20"/>
              </w:rPr>
            </w:pPr>
          </w:p>
        </w:tc>
        <w:tc>
          <w:tcPr>
            <w:tcW w:w="0" w:type="auto"/>
            <w:vAlign w:val="center"/>
            <w:hideMark/>
          </w:tcPr>
          <w:p w14:paraId="6AEBEFF8" w14:textId="77777777" w:rsidR="00000000" w:rsidRDefault="00195E73">
            <w:pPr>
              <w:rPr>
                <w:rFonts w:eastAsia="Times New Roman"/>
                <w:sz w:val="20"/>
                <w:szCs w:val="20"/>
              </w:rPr>
            </w:pPr>
          </w:p>
        </w:tc>
        <w:tc>
          <w:tcPr>
            <w:tcW w:w="0" w:type="auto"/>
            <w:vAlign w:val="center"/>
            <w:hideMark/>
          </w:tcPr>
          <w:p w14:paraId="7861FA85" w14:textId="77777777" w:rsidR="00000000" w:rsidRDefault="00195E73">
            <w:pPr>
              <w:rPr>
                <w:rFonts w:eastAsia="Times New Roman"/>
                <w:sz w:val="20"/>
                <w:szCs w:val="20"/>
              </w:rPr>
            </w:pPr>
          </w:p>
        </w:tc>
        <w:tc>
          <w:tcPr>
            <w:tcW w:w="0" w:type="auto"/>
            <w:vAlign w:val="center"/>
            <w:hideMark/>
          </w:tcPr>
          <w:p w14:paraId="61D4C337" w14:textId="77777777" w:rsidR="00000000" w:rsidRDefault="00195E73">
            <w:pPr>
              <w:rPr>
                <w:rFonts w:eastAsia="Times New Roman"/>
                <w:sz w:val="20"/>
                <w:szCs w:val="20"/>
              </w:rPr>
            </w:pPr>
          </w:p>
        </w:tc>
        <w:tc>
          <w:tcPr>
            <w:tcW w:w="0" w:type="auto"/>
            <w:vAlign w:val="center"/>
            <w:hideMark/>
          </w:tcPr>
          <w:p w14:paraId="3A51FB68" w14:textId="77777777" w:rsidR="00000000" w:rsidRDefault="00195E73">
            <w:pPr>
              <w:rPr>
                <w:rFonts w:eastAsia="Times New Roman"/>
                <w:sz w:val="20"/>
                <w:szCs w:val="20"/>
              </w:rPr>
            </w:pPr>
          </w:p>
        </w:tc>
        <w:tc>
          <w:tcPr>
            <w:tcW w:w="0" w:type="auto"/>
            <w:vAlign w:val="center"/>
            <w:hideMark/>
          </w:tcPr>
          <w:p w14:paraId="7626AA3B" w14:textId="77777777" w:rsidR="00000000" w:rsidRDefault="00195E73">
            <w:pPr>
              <w:rPr>
                <w:rFonts w:eastAsia="Times New Roman"/>
                <w:sz w:val="20"/>
                <w:szCs w:val="20"/>
              </w:rPr>
            </w:pPr>
          </w:p>
        </w:tc>
        <w:tc>
          <w:tcPr>
            <w:tcW w:w="0" w:type="auto"/>
            <w:vAlign w:val="center"/>
            <w:hideMark/>
          </w:tcPr>
          <w:p w14:paraId="445D9763" w14:textId="77777777" w:rsidR="00000000" w:rsidRDefault="00195E73">
            <w:pPr>
              <w:rPr>
                <w:rFonts w:eastAsia="Times New Roman"/>
                <w:sz w:val="20"/>
                <w:szCs w:val="20"/>
              </w:rPr>
            </w:pPr>
          </w:p>
        </w:tc>
        <w:tc>
          <w:tcPr>
            <w:tcW w:w="0" w:type="auto"/>
            <w:vAlign w:val="center"/>
            <w:hideMark/>
          </w:tcPr>
          <w:p w14:paraId="558597D7" w14:textId="77777777" w:rsidR="00000000" w:rsidRDefault="00195E73">
            <w:pPr>
              <w:rPr>
                <w:rFonts w:eastAsia="Times New Roman"/>
                <w:sz w:val="20"/>
                <w:szCs w:val="20"/>
              </w:rPr>
            </w:pPr>
          </w:p>
        </w:tc>
        <w:tc>
          <w:tcPr>
            <w:tcW w:w="0" w:type="auto"/>
            <w:vAlign w:val="center"/>
            <w:hideMark/>
          </w:tcPr>
          <w:p w14:paraId="011EFC02" w14:textId="77777777" w:rsidR="00000000" w:rsidRDefault="00195E73">
            <w:pPr>
              <w:rPr>
                <w:rFonts w:eastAsia="Times New Roman"/>
                <w:sz w:val="20"/>
                <w:szCs w:val="20"/>
              </w:rPr>
            </w:pPr>
          </w:p>
        </w:tc>
        <w:tc>
          <w:tcPr>
            <w:tcW w:w="0" w:type="auto"/>
            <w:vAlign w:val="center"/>
            <w:hideMark/>
          </w:tcPr>
          <w:p w14:paraId="1CB69798" w14:textId="77777777" w:rsidR="00000000" w:rsidRDefault="00195E73">
            <w:pPr>
              <w:rPr>
                <w:rFonts w:eastAsia="Times New Roman"/>
                <w:sz w:val="20"/>
                <w:szCs w:val="20"/>
              </w:rPr>
            </w:pPr>
          </w:p>
        </w:tc>
        <w:tc>
          <w:tcPr>
            <w:tcW w:w="0" w:type="auto"/>
            <w:vAlign w:val="center"/>
            <w:hideMark/>
          </w:tcPr>
          <w:p w14:paraId="23E264E8" w14:textId="77777777" w:rsidR="00000000" w:rsidRDefault="00195E73">
            <w:pPr>
              <w:rPr>
                <w:rFonts w:eastAsia="Times New Roman"/>
                <w:sz w:val="20"/>
                <w:szCs w:val="20"/>
              </w:rPr>
            </w:pPr>
          </w:p>
        </w:tc>
        <w:tc>
          <w:tcPr>
            <w:tcW w:w="0" w:type="auto"/>
            <w:vAlign w:val="center"/>
            <w:hideMark/>
          </w:tcPr>
          <w:p w14:paraId="3F45F096" w14:textId="77777777" w:rsidR="00000000" w:rsidRDefault="00195E73">
            <w:pPr>
              <w:rPr>
                <w:rFonts w:eastAsia="Times New Roman"/>
                <w:sz w:val="20"/>
                <w:szCs w:val="20"/>
              </w:rPr>
            </w:pPr>
          </w:p>
        </w:tc>
        <w:tc>
          <w:tcPr>
            <w:tcW w:w="0" w:type="auto"/>
            <w:vAlign w:val="center"/>
            <w:hideMark/>
          </w:tcPr>
          <w:p w14:paraId="792B7395" w14:textId="77777777" w:rsidR="00000000" w:rsidRDefault="00195E73">
            <w:pPr>
              <w:rPr>
                <w:rFonts w:eastAsia="Times New Roman"/>
                <w:sz w:val="20"/>
                <w:szCs w:val="20"/>
              </w:rPr>
            </w:pPr>
          </w:p>
        </w:tc>
        <w:tc>
          <w:tcPr>
            <w:tcW w:w="0" w:type="auto"/>
            <w:vAlign w:val="center"/>
            <w:hideMark/>
          </w:tcPr>
          <w:p w14:paraId="12FE0F6C" w14:textId="77777777" w:rsidR="00000000" w:rsidRDefault="00195E73">
            <w:pPr>
              <w:rPr>
                <w:rFonts w:eastAsia="Times New Roman"/>
                <w:sz w:val="20"/>
                <w:szCs w:val="20"/>
              </w:rPr>
            </w:pPr>
          </w:p>
        </w:tc>
        <w:tc>
          <w:tcPr>
            <w:tcW w:w="0" w:type="auto"/>
            <w:vAlign w:val="center"/>
            <w:hideMark/>
          </w:tcPr>
          <w:p w14:paraId="37A2521D" w14:textId="77777777" w:rsidR="00000000" w:rsidRDefault="00195E73">
            <w:pPr>
              <w:rPr>
                <w:rFonts w:eastAsia="Times New Roman"/>
                <w:sz w:val="20"/>
                <w:szCs w:val="20"/>
              </w:rPr>
            </w:pPr>
          </w:p>
        </w:tc>
        <w:tc>
          <w:tcPr>
            <w:tcW w:w="0" w:type="auto"/>
            <w:vAlign w:val="center"/>
            <w:hideMark/>
          </w:tcPr>
          <w:p w14:paraId="6934FEFF" w14:textId="77777777" w:rsidR="00000000" w:rsidRDefault="00195E73">
            <w:pPr>
              <w:rPr>
                <w:rFonts w:eastAsia="Times New Roman"/>
                <w:sz w:val="20"/>
                <w:szCs w:val="20"/>
              </w:rPr>
            </w:pPr>
          </w:p>
        </w:tc>
        <w:tc>
          <w:tcPr>
            <w:tcW w:w="0" w:type="auto"/>
            <w:vAlign w:val="center"/>
            <w:hideMark/>
          </w:tcPr>
          <w:p w14:paraId="31275C06" w14:textId="77777777" w:rsidR="00000000" w:rsidRDefault="00195E73">
            <w:pPr>
              <w:rPr>
                <w:rFonts w:eastAsia="Times New Roman"/>
                <w:sz w:val="20"/>
                <w:szCs w:val="20"/>
              </w:rPr>
            </w:pPr>
          </w:p>
        </w:tc>
        <w:tc>
          <w:tcPr>
            <w:tcW w:w="0" w:type="auto"/>
            <w:vAlign w:val="center"/>
            <w:hideMark/>
          </w:tcPr>
          <w:p w14:paraId="4E020E6C" w14:textId="77777777" w:rsidR="00000000" w:rsidRDefault="00195E73">
            <w:pPr>
              <w:rPr>
                <w:rFonts w:eastAsia="Times New Roman"/>
                <w:sz w:val="20"/>
                <w:szCs w:val="20"/>
              </w:rPr>
            </w:pPr>
          </w:p>
        </w:tc>
        <w:tc>
          <w:tcPr>
            <w:tcW w:w="0" w:type="auto"/>
            <w:vAlign w:val="center"/>
            <w:hideMark/>
          </w:tcPr>
          <w:p w14:paraId="3FF02093" w14:textId="77777777" w:rsidR="00000000" w:rsidRDefault="00195E73">
            <w:pPr>
              <w:rPr>
                <w:rFonts w:eastAsia="Times New Roman"/>
                <w:sz w:val="20"/>
                <w:szCs w:val="20"/>
              </w:rPr>
            </w:pPr>
          </w:p>
        </w:tc>
        <w:tc>
          <w:tcPr>
            <w:tcW w:w="0" w:type="auto"/>
            <w:vAlign w:val="center"/>
            <w:hideMark/>
          </w:tcPr>
          <w:p w14:paraId="7A1E6AFC" w14:textId="77777777" w:rsidR="00000000" w:rsidRDefault="00195E73">
            <w:pPr>
              <w:rPr>
                <w:rFonts w:eastAsia="Times New Roman"/>
                <w:sz w:val="20"/>
                <w:szCs w:val="20"/>
              </w:rPr>
            </w:pPr>
          </w:p>
        </w:tc>
        <w:tc>
          <w:tcPr>
            <w:tcW w:w="0" w:type="auto"/>
            <w:vAlign w:val="center"/>
            <w:hideMark/>
          </w:tcPr>
          <w:p w14:paraId="7BFB3F9A" w14:textId="77777777" w:rsidR="00000000" w:rsidRDefault="00195E73">
            <w:pPr>
              <w:rPr>
                <w:rFonts w:eastAsia="Times New Roman"/>
                <w:sz w:val="20"/>
                <w:szCs w:val="20"/>
              </w:rPr>
            </w:pPr>
          </w:p>
        </w:tc>
        <w:tc>
          <w:tcPr>
            <w:tcW w:w="0" w:type="auto"/>
            <w:vAlign w:val="center"/>
            <w:hideMark/>
          </w:tcPr>
          <w:p w14:paraId="70C3F319" w14:textId="77777777" w:rsidR="00000000" w:rsidRDefault="00195E73">
            <w:pPr>
              <w:rPr>
                <w:rFonts w:eastAsia="Times New Roman"/>
                <w:sz w:val="20"/>
                <w:szCs w:val="20"/>
              </w:rPr>
            </w:pPr>
          </w:p>
        </w:tc>
      </w:tr>
      <w:tr w:rsidR="00000000" w14:paraId="23A85F1D" w14:textId="77777777">
        <w:trPr>
          <w:divId w:val="1673147082"/>
          <w:jc w:val="center"/>
        </w:trPr>
        <w:tc>
          <w:tcPr>
            <w:tcW w:w="0" w:type="auto"/>
            <w:gridSpan w:val="3"/>
            <w:shd w:val="clear" w:color="auto" w:fill="FFFFFF"/>
            <w:tcMar>
              <w:top w:w="30" w:type="dxa"/>
              <w:left w:w="20" w:type="dxa"/>
              <w:bottom w:w="30" w:type="dxa"/>
              <w:right w:w="20" w:type="dxa"/>
            </w:tcMar>
            <w:vAlign w:val="bottom"/>
            <w:hideMark/>
          </w:tcPr>
          <w:p w14:paraId="6DAB318F" w14:textId="77777777" w:rsidR="00000000" w:rsidRDefault="00195E73">
            <w:pPr>
              <w:rPr>
                <w:rFonts w:eastAsia="Times New Roman"/>
              </w:rPr>
            </w:pPr>
            <w:r>
              <w:rPr>
                <w:rFonts w:eastAsia="Times New Roman"/>
                <w:b/>
                <w:bCs/>
                <w:color w:val="000000"/>
                <w:sz w:val="18"/>
                <w:szCs w:val="18"/>
              </w:rPr>
              <w:t>Balance, December 31, 201</w:t>
            </w:r>
            <w:r>
              <w:rPr>
                <w:rFonts w:eastAsia="Times New Roman"/>
                <w:b/>
                <w:bCs/>
                <w:color w:val="000000"/>
                <w:sz w:val="18"/>
                <w:szCs w:val="18"/>
              </w:rPr>
              <w:t>7</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991E27" w14:textId="77777777" w:rsidR="00000000" w:rsidRDefault="00195E73">
            <w:pPr>
              <w:jc w:val="right"/>
              <w:rPr>
                <w:rFonts w:eastAsia="Times New Roman"/>
              </w:rPr>
            </w:pPr>
            <w:r>
              <w:rPr>
                <w:rFonts w:eastAsia="Times New Roman"/>
                <w:color w:val="000000"/>
                <w:sz w:val="18"/>
                <w:szCs w:val="18"/>
              </w:rPr>
              <w:t>(234</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C26AAE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276B5D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299CE4" w14:textId="77777777" w:rsidR="00000000" w:rsidRDefault="00195E73">
            <w:pPr>
              <w:jc w:val="right"/>
              <w:rPr>
                <w:rFonts w:eastAsia="Times New Roman"/>
              </w:rPr>
            </w:pPr>
            <w:r>
              <w:rPr>
                <w:rFonts w:eastAsia="Times New Roman"/>
                <w:color w:val="000000"/>
                <w:sz w:val="18"/>
                <w:szCs w:val="18"/>
              </w:rPr>
              <w:t>5,402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A74B6B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A93375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BE0347" w14:textId="77777777" w:rsidR="00000000" w:rsidRDefault="00195E73">
            <w:pPr>
              <w:jc w:val="right"/>
              <w:rPr>
                <w:rFonts w:eastAsia="Times New Roman"/>
              </w:rPr>
            </w:pPr>
            <w:r>
              <w:rPr>
                <w:rFonts w:eastAsia="Times New Roman"/>
                <w:color w:val="000000"/>
                <w:sz w:val="18"/>
                <w:szCs w:val="18"/>
              </w:rPr>
              <w:t>5,168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090A75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8717C3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B642BC" w14:textId="77777777" w:rsidR="00000000" w:rsidRDefault="00195E73">
            <w:pPr>
              <w:jc w:val="right"/>
              <w:rPr>
                <w:rFonts w:eastAsia="Times New Roman"/>
              </w:rPr>
            </w:pPr>
            <w:r>
              <w:rPr>
                <w:rFonts w:eastAsia="Times New Roman"/>
                <w:color w:val="000000"/>
                <w:sz w:val="18"/>
                <w:szCs w:val="18"/>
              </w:rPr>
              <w:t>6,318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F2B10E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234F36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6B26DD" w14:textId="77777777" w:rsidR="00000000" w:rsidRDefault="00195E73">
            <w:pPr>
              <w:jc w:val="right"/>
              <w:rPr>
                <w:rFonts w:eastAsia="Times New Roman"/>
              </w:rPr>
            </w:pPr>
            <w:r>
              <w:rPr>
                <w:rFonts w:eastAsia="Times New Roman"/>
                <w:color w:val="000000"/>
                <w:sz w:val="18"/>
                <w:szCs w:val="18"/>
              </w:rPr>
              <w:t>11,486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DBEC1B4"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0A19F2EE" w14:textId="77777777" w:rsidR="00000000" w:rsidRDefault="00195E73">
            <w:pPr>
              <w:rPr>
                <w:rFonts w:eastAsia="Times New Roman"/>
                <w:sz w:val="20"/>
                <w:szCs w:val="20"/>
              </w:rPr>
            </w:pPr>
          </w:p>
        </w:tc>
        <w:tc>
          <w:tcPr>
            <w:tcW w:w="0" w:type="auto"/>
            <w:vAlign w:val="center"/>
            <w:hideMark/>
          </w:tcPr>
          <w:p w14:paraId="20895474" w14:textId="77777777" w:rsidR="00000000" w:rsidRDefault="00195E73">
            <w:pPr>
              <w:rPr>
                <w:rFonts w:eastAsia="Times New Roman"/>
                <w:sz w:val="20"/>
                <w:szCs w:val="20"/>
              </w:rPr>
            </w:pPr>
          </w:p>
        </w:tc>
        <w:tc>
          <w:tcPr>
            <w:tcW w:w="0" w:type="auto"/>
            <w:vAlign w:val="center"/>
            <w:hideMark/>
          </w:tcPr>
          <w:p w14:paraId="4F799E43" w14:textId="77777777" w:rsidR="00000000" w:rsidRDefault="00195E73">
            <w:pPr>
              <w:rPr>
                <w:rFonts w:eastAsia="Times New Roman"/>
                <w:sz w:val="20"/>
                <w:szCs w:val="20"/>
              </w:rPr>
            </w:pPr>
          </w:p>
        </w:tc>
        <w:tc>
          <w:tcPr>
            <w:tcW w:w="0" w:type="auto"/>
            <w:vAlign w:val="center"/>
            <w:hideMark/>
          </w:tcPr>
          <w:p w14:paraId="07B94C0E" w14:textId="77777777" w:rsidR="00000000" w:rsidRDefault="00195E73">
            <w:pPr>
              <w:rPr>
                <w:rFonts w:eastAsia="Times New Roman"/>
                <w:sz w:val="20"/>
                <w:szCs w:val="20"/>
              </w:rPr>
            </w:pPr>
          </w:p>
        </w:tc>
        <w:tc>
          <w:tcPr>
            <w:tcW w:w="0" w:type="auto"/>
            <w:vAlign w:val="center"/>
            <w:hideMark/>
          </w:tcPr>
          <w:p w14:paraId="6AA77526" w14:textId="77777777" w:rsidR="00000000" w:rsidRDefault="00195E73">
            <w:pPr>
              <w:rPr>
                <w:rFonts w:eastAsia="Times New Roman"/>
                <w:sz w:val="20"/>
                <w:szCs w:val="20"/>
              </w:rPr>
            </w:pPr>
          </w:p>
        </w:tc>
        <w:tc>
          <w:tcPr>
            <w:tcW w:w="0" w:type="auto"/>
            <w:vAlign w:val="center"/>
            <w:hideMark/>
          </w:tcPr>
          <w:p w14:paraId="35461842" w14:textId="77777777" w:rsidR="00000000" w:rsidRDefault="00195E73">
            <w:pPr>
              <w:rPr>
                <w:rFonts w:eastAsia="Times New Roman"/>
                <w:sz w:val="20"/>
                <w:szCs w:val="20"/>
              </w:rPr>
            </w:pPr>
          </w:p>
        </w:tc>
        <w:tc>
          <w:tcPr>
            <w:tcW w:w="0" w:type="auto"/>
            <w:vAlign w:val="center"/>
            <w:hideMark/>
          </w:tcPr>
          <w:p w14:paraId="5D1D7391" w14:textId="77777777" w:rsidR="00000000" w:rsidRDefault="00195E73">
            <w:pPr>
              <w:rPr>
                <w:rFonts w:eastAsia="Times New Roman"/>
                <w:sz w:val="20"/>
                <w:szCs w:val="20"/>
              </w:rPr>
            </w:pPr>
          </w:p>
        </w:tc>
        <w:tc>
          <w:tcPr>
            <w:tcW w:w="0" w:type="auto"/>
            <w:vAlign w:val="center"/>
            <w:hideMark/>
          </w:tcPr>
          <w:p w14:paraId="4DE7687A" w14:textId="77777777" w:rsidR="00000000" w:rsidRDefault="00195E73">
            <w:pPr>
              <w:rPr>
                <w:rFonts w:eastAsia="Times New Roman"/>
                <w:sz w:val="20"/>
                <w:szCs w:val="20"/>
              </w:rPr>
            </w:pPr>
          </w:p>
        </w:tc>
        <w:tc>
          <w:tcPr>
            <w:tcW w:w="0" w:type="auto"/>
            <w:vAlign w:val="center"/>
            <w:hideMark/>
          </w:tcPr>
          <w:p w14:paraId="419FF240" w14:textId="77777777" w:rsidR="00000000" w:rsidRDefault="00195E73">
            <w:pPr>
              <w:rPr>
                <w:rFonts w:eastAsia="Times New Roman"/>
                <w:sz w:val="20"/>
                <w:szCs w:val="20"/>
              </w:rPr>
            </w:pPr>
          </w:p>
        </w:tc>
        <w:tc>
          <w:tcPr>
            <w:tcW w:w="0" w:type="auto"/>
            <w:vAlign w:val="center"/>
            <w:hideMark/>
          </w:tcPr>
          <w:p w14:paraId="301D6A9A" w14:textId="77777777" w:rsidR="00000000" w:rsidRDefault="00195E73">
            <w:pPr>
              <w:rPr>
                <w:rFonts w:eastAsia="Times New Roman"/>
                <w:sz w:val="20"/>
                <w:szCs w:val="20"/>
              </w:rPr>
            </w:pPr>
          </w:p>
        </w:tc>
        <w:tc>
          <w:tcPr>
            <w:tcW w:w="0" w:type="auto"/>
            <w:vAlign w:val="center"/>
            <w:hideMark/>
          </w:tcPr>
          <w:p w14:paraId="738F5841" w14:textId="77777777" w:rsidR="00000000" w:rsidRDefault="00195E73">
            <w:pPr>
              <w:rPr>
                <w:rFonts w:eastAsia="Times New Roman"/>
                <w:sz w:val="20"/>
                <w:szCs w:val="20"/>
              </w:rPr>
            </w:pPr>
          </w:p>
        </w:tc>
        <w:tc>
          <w:tcPr>
            <w:tcW w:w="0" w:type="auto"/>
            <w:vAlign w:val="center"/>
            <w:hideMark/>
          </w:tcPr>
          <w:p w14:paraId="5D39AC4C" w14:textId="77777777" w:rsidR="00000000" w:rsidRDefault="00195E73">
            <w:pPr>
              <w:rPr>
                <w:rFonts w:eastAsia="Times New Roman"/>
                <w:sz w:val="20"/>
                <w:szCs w:val="20"/>
              </w:rPr>
            </w:pPr>
          </w:p>
        </w:tc>
        <w:tc>
          <w:tcPr>
            <w:tcW w:w="0" w:type="auto"/>
            <w:vAlign w:val="center"/>
            <w:hideMark/>
          </w:tcPr>
          <w:p w14:paraId="0893D507" w14:textId="77777777" w:rsidR="00000000" w:rsidRDefault="00195E73">
            <w:pPr>
              <w:rPr>
                <w:rFonts w:eastAsia="Times New Roman"/>
                <w:sz w:val="20"/>
                <w:szCs w:val="20"/>
              </w:rPr>
            </w:pPr>
          </w:p>
        </w:tc>
        <w:tc>
          <w:tcPr>
            <w:tcW w:w="0" w:type="auto"/>
            <w:vAlign w:val="center"/>
            <w:hideMark/>
          </w:tcPr>
          <w:p w14:paraId="2A6012DC" w14:textId="77777777" w:rsidR="00000000" w:rsidRDefault="00195E73">
            <w:pPr>
              <w:rPr>
                <w:rFonts w:eastAsia="Times New Roman"/>
                <w:sz w:val="20"/>
                <w:szCs w:val="20"/>
              </w:rPr>
            </w:pPr>
          </w:p>
        </w:tc>
        <w:tc>
          <w:tcPr>
            <w:tcW w:w="0" w:type="auto"/>
            <w:vAlign w:val="center"/>
            <w:hideMark/>
          </w:tcPr>
          <w:p w14:paraId="42C046EE" w14:textId="77777777" w:rsidR="00000000" w:rsidRDefault="00195E73">
            <w:pPr>
              <w:rPr>
                <w:rFonts w:eastAsia="Times New Roman"/>
                <w:sz w:val="20"/>
                <w:szCs w:val="20"/>
              </w:rPr>
            </w:pPr>
          </w:p>
        </w:tc>
        <w:tc>
          <w:tcPr>
            <w:tcW w:w="0" w:type="auto"/>
            <w:vAlign w:val="center"/>
            <w:hideMark/>
          </w:tcPr>
          <w:p w14:paraId="656DFD76" w14:textId="77777777" w:rsidR="00000000" w:rsidRDefault="00195E73">
            <w:pPr>
              <w:rPr>
                <w:rFonts w:eastAsia="Times New Roman"/>
                <w:sz w:val="20"/>
                <w:szCs w:val="20"/>
              </w:rPr>
            </w:pPr>
          </w:p>
        </w:tc>
        <w:tc>
          <w:tcPr>
            <w:tcW w:w="0" w:type="auto"/>
            <w:vAlign w:val="center"/>
            <w:hideMark/>
          </w:tcPr>
          <w:p w14:paraId="47A19260" w14:textId="77777777" w:rsidR="00000000" w:rsidRDefault="00195E73">
            <w:pPr>
              <w:rPr>
                <w:rFonts w:eastAsia="Times New Roman"/>
                <w:sz w:val="20"/>
                <w:szCs w:val="20"/>
              </w:rPr>
            </w:pPr>
          </w:p>
        </w:tc>
        <w:tc>
          <w:tcPr>
            <w:tcW w:w="0" w:type="auto"/>
            <w:vAlign w:val="center"/>
            <w:hideMark/>
          </w:tcPr>
          <w:p w14:paraId="1C79460B" w14:textId="77777777" w:rsidR="00000000" w:rsidRDefault="00195E73">
            <w:pPr>
              <w:rPr>
                <w:rFonts w:eastAsia="Times New Roman"/>
                <w:sz w:val="20"/>
                <w:szCs w:val="20"/>
              </w:rPr>
            </w:pPr>
          </w:p>
        </w:tc>
        <w:tc>
          <w:tcPr>
            <w:tcW w:w="0" w:type="auto"/>
            <w:vAlign w:val="center"/>
            <w:hideMark/>
          </w:tcPr>
          <w:p w14:paraId="7380CD50" w14:textId="77777777" w:rsidR="00000000" w:rsidRDefault="00195E73">
            <w:pPr>
              <w:rPr>
                <w:rFonts w:eastAsia="Times New Roman"/>
                <w:sz w:val="20"/>
                <w:szCs w:val="20"/>
              </w:rPr>
            </w:pPr>
          </w:p>
        </w:tc>
        <w:tc>
          <w:tcPr>
            <w:tcW w:w="0" w:type="auto"/>
            <w:vAlign w:val="center"/>
            <w:hideMark/>
          </w:tcPr>
          <w:p w14:paraId="2F51748B" w14:textId="77777777" w:rsidR="00000000" w:rsidRDefault="00195E73">
            <w:pPr>
              <w:rPr>
                <w:rFonts w:eastAsia="Times New Roman"/>
                <w:sz w:val="20"/>
                <w:szCs w:val="20"/>
              </w:rPr>
            </w:pPr>
          </w:p>
        </w:tc>
        <w:tc>
          <w:tcPr>
            <w:tcW w:w="0" w:type="auto"/>
            <w:vAlign w:val="center"/>
            <w:hideMark/>
          </w:tcPr>
          <w:p w14:paraId="62F0C359" w14:textId="77777777" w:rsidR="00000000" w:rsidRDefault="00195E73">
            <w:pPr>
              <w:rPr>
                <w:rFonts w:eastAsia="Times New Roman"/>
                <w:sz w:val="20"/>
                <w:szCs w:val="20"/>
              </w:rPr>
            </w:pPr>
          </w:p>
        </w:tc>
        <w:tc>
          <w:tcPr>
            <w:tcW w:w="0" w:type="auto"/>
            <w:vAlign w:val="center"/>
            <w:hideMark/>
          </w:tcPr>
          <w:p w14:paraId="498318C7" w14:textId="77777777" w:rsidR="00000000" w:rsidRDefault="00195E73">
            <w:pPr>
              <w:rPr>
                <w:rFonts w:eastAsia="Times New Roman"/>
                <w:sz w:val="20"/>
                <w:szCs w:val="20"/>
              </w:rPr>
            </w:pPr>
          </w:p>
        </w:tc>
        <w:tc>
          <w:tcPr>
            <w:tcW w:w="0" w:type="auto"/>
            <w:vAlign w:val="center"/>
            <w:hideMark/>
          </w:tcPr>
          <w:p w14:paraId="455A7644" w14:textId="77777777" w:rsidR="00000000" w:rsidRDefault="00195E73">
            <w:pPr>
              <w:rPr>
                <w:rFonts w:eastAsia="Times New Roman"/>
                <w:sz w:val="20"/>
                <w:szCs w:val="20"/>
              </w:rPr>
            </w:pPr>
          </w:p>
        </w:tc>
        <w:tc>
          <w:tcPr>
            <w:tcW w:w="0" w:type="auto"/>
            <w:vAlign w:val="center"/>
            <w:hideMark/>
          </w:tcPr>
          <w:p w14:paraId="3A77DEBA" w14:textId="77777777" w:rsidR="00000000" w:rsidRDefault="00195E73">
            <w:pPr>
              <w:rPr>
                <w:rFonts w:eastAsia="Times New Roman"/>
                <w:sz w:val="20"/>
                <w:szCs w:val="20"/>
              </w:rPr>
            </w:pPr>
          </w:p>
        </w:tc>
      </w:tr>
      <w:tr w:rsidR="00000000" w14:paraId="6F8E245B" w14:textId="77777777">
        <w:trPr>
          <w:divId w:val="1673147082"/>
          <w:jc w:val="center"/>
        </w:trPr>
        <w:tc>
          <w:tcPr>
            <w:tcW w:w="0" w:type="auto"/>
            <w:gridSpan w:val="3"/>
            <w:shd w:val="clear" w:color="auto" w:fill="CCEEFF"/>
            <w:tcMar>
              <w:top w:w="30" w:type="dxa"/>
              <w:left w:w="20" w:type="dxa"/>
              <w:bottom w:w="30" w:type="dxa"/>
              <w:right w:w="20" w:type="dxa"/>
            </w:tcMar>
            <w:vAlign w:val="bottom"/>
            <w:hideMark/>
          </w:tcPr>
          <w:p w14:paraId="0D559156" w14:textId="77777777" w:rsidR="00000000" w:rsidRDefault="00195E73">
            <w:pPr>
              <w:rPr>
                <w:rFonts w:eastAsia="Times New Roman"/>
              </w:rPr>
            </w:pPr>
            <w:r>
              <w:rPr>
                <w:rFonts w:eastAsia="Times New Roman"/>
                <w:color w:val="000000"/>
                <w:sz w:val="18"/>
                <w:szCs w:val="18"/>
              </w:rPr>
              <w:t>Net (loss) incom</w:t>
            </w:r>
            <w:r>
              <w:rPr>
                <w:rFonts w:eastAsia="Times New Roman"/>
                <w:color w:val="000000"/>
                <w:sz w:val="18"/>
                <w:szCs w:val="18"/>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B553C1" w14:textId="77777777" w:rsidR="00000000" w:rsidRDefault="00195E73">
            <w:pPr>
              <w:jc w:val="right"/>
              <w:rPr>
                <w:rFonts w:eastAsia="Times New Roman"/>
              </w:rPr>
            </w:pPr>
            <w:r>
              <w:rPr>
                <w:rFonts w:eastAsia="Times New Roman"/>
                <w:color w:val="000000"/>
                <w:sz w:val="18"/>
                <w:szCs w:val="18"/>
              </w:rPr>
              <w:t>(557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55ADFD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A4A14F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125995" w14:textId="77777777" w:rsidR="00000000" w:rsidRDefault="00195E73">
            <w:pPr>
              <w:jc w:val="right"/>
              <w:rPr>
                <w:rFonts w:eastAsia="Times New Roman"/>
              </w:rPr>
            </w:pPr>
            <w:r>
              <w:rPr>
                <w:rFonts w:eastAsia="Times New Roman"/>
                <w:color w:val="000000"/>
                <w:sz w:val="18"/>
                <w:szCs w:val="18"/>
              </w:rPr>
              <w:t>2,039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603A8E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572B454"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7CC644" w14:textId="77777777" w:rsidR="00000000" w:rsidRDefault="00195E73">
            <w:pPr>
              <w:jc w:val="right"/>
              <w:rPr>
                <w:rFonts w:eastAsia="Times New Roman"/>
              </w:rPr>
            </w:pPr>
            <w:r>
              <w:rPr>
                <w:rFonts w:eastAsia="Times New Roman"/>
                <w:color w:val="000000"/>
                <w:sz w:val="18"/>
                <w:szCs w:val="18"/>
              </w:rPr>
              <w:t>1,482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9CF110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7CDB40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8052FF" w14:textId="77777777" w:rsidR="00000000" w:rsidRDefault="00195E73">
            <w:pPr>
              <w:jc w:val="right"/>
              <w:rPr>
                <w:rFonts w:eastAsia="Times New Roman"/>
              </w:rPr>
            </w:pPr>
            <w:r>
              <w:rPr>
                <w:rFonts w:eastAsia="Times New Roman"/>
                <w:color w:val="000000"/>
                <w:sz w:val="18"/>
                <w:szCs w:val="18"/>
              </w:rPr>
              <w:t>519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AFCF46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538DF3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D946D5" w14:textId="77777777" w:rsidR="00000000" w:rsidRDefault="00195E73">
            <w:pPr>
              <w:jc w:val="right"/>
              <w:rPr>
                <w:rFonts w:eastAsia="Times New Roman"/>
              </w:rPr>
            </w:pPr>
            <w:r>
              <w:rPr>
                <w:rFonts w:eastAsia="Times New Roman"/>
                <w:color w:val="000000"/>
                <w:sz w:val="18"/>
                <w:szCs w:val="18"/>
              </w:rPr>
              <w:t>2,001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77F3623"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664CD7F8" w14:textId="77777777" w:rsidR="00000000" w:rsidRDefault="00195E73">
            <w:pPr>
              <w:rPr>
                <w:rFonts w:eastAsia="Times New Roman"/>
                <w:sz w:val="20"/>
                <w:szCs w:val="20"/>
              </w:rPr>
            </w:pPr>
          </w:p>
        </w:tc>
        <w:tc>
          <w:tcPr>
            <w:tcW w:w="0" w:type="auto"/>
            <w:vAlign w:val="center"/>
            <w:hideMark/>
          </w:tcPr>
          <w:p w14:paraId="2D063DA8" w14:textId="77777777" w:rsidR="00000000" w:rsidRDefault="00195E73">
            <w:pPr>
              <w:rPr>
                <w:rFonts w:eastAsia="Times New Roman"/>
                <w:sz w:val="20"/>
                <w:szCs w:val="20"/>
              </w:rPr>
            </w:pPr>
          </w:p>
        </w:tc>
        <w:tc>
          <w:tcPr>
            <w:tcW w:w="0" w:type="auto"/>
            <w:vAlign w:val="center"/>
            <w:hideMark/>
          </w:tcPr>
          <w:p w14:paraId="63781378" w14:textId="77777777" w:rsidR="00000000" w:rsidRDefault="00195E73">
            <w:pPr>
              <w:rPr>
                <w:rFonts w:eastAsia="Times New Roman"/>
                <w:sz w:val="20"/>
                <w:szCs w:val="20"/>
              </w:rPr>
            </w:pPr>
          </w:p>
        </w:tc>
        <w:tc>
          <w:tcPr>
            <w:tcW w:w="0" w:type="auto"/>
            <w:vAlign w:val="center"/>
            <w:hideMark/>
          </w:tcPr>
          <w:p w14:paraId="108FE0B4" w14:textId="77777777" w:rsidR="00000000" w:rsidRDefault="00195E73">
            <w:pPr>
              <w:rPr>
                <w:rFonts w:eastAsia="Times New Roman"/>
                <w:sz w:val="20"/>
                <w:szCs w:val="20"/>
              </w:rPr>
            </w:pPr>
          </w:p>
        </w:tc>
        <w:tc>
          <w:tcPr>
            <w:tcW w:w="0" w:type="auto"/>
            <w:vAlign w:val="center"/>
            <w:hideMark/>
          </w:tcPr>
          <w:p w14:paraId="7AAC0166" w14:textId="77777777" w:rsidR="00000000" w:rsidRDefault="00195E73">
            <w:pPr>
              <w:rPr>
                <w:rFonts w:eastAsia="Times New Roman"/>
                <w:sz w:val="20"/>
                <w:szCs w:val="20"/>
              </w:rPr>
            </w:pPr>
          </w:p>
        </w:tc>
        <w:tc>
          <w:tcPr>
            <w:tcW w:w="0" w:type="auto"/>
            <w:vAlign w:val="center"/>
            <w:hideMark/>
          </w:tcPr>
          <w:p w14:paraId="33BEA61C" w14:textId="77777777" w:rsidR="00000000" w:rsidRDefault="00195E73">
            <w:pPr>
              <w:rPr>
                <w:rFonts w:eastAsia="Times New Roman"/>
                <w:sz w:val="20"/>
                <w:szCs w:val="20"/>
              </w:rPr>
            </w:pPr>
          </w:p>
        </w:tc>
        <w:tc>
          <w:tcPr>
            <w:tcW w:w="0" w:type="auto"/>
            <w:vAlign w:val="center"/>
            <w:hideMark/>
          </w:tcPr>
          <w:p w14:paraId="33F743FC" w14:textId="77777777" w:rsidR="00000000" w:rsidRDefault="00195E73">
            <w:pPr>
              <w:rPr>
                <w:rFonts w:eastAsia="Times New Roman"/>
                <w:sz w:val="20"/>
                <w:szCs w:val="20"/>
              </w:rPr>
            </w:pPr>
          </w:p>
        </w:tc>
        <w:tc>
          <w:tcPr>
            <w:tcW w:w="0" w:type="auto"/>
            <w:vAlign w:val="center"/>
            <w:hideMark/>
          </w:tcPr>
          <w:p w14:paraId="2FF7DCC9" w14:textId="77777777" w:rsidR="00000000" w:rsidRDefault="00195E73">
            <w:pPr>
              <w:rPr>
                <w:rFonts w:eastAsia="Times New Roman"/>
                <w:sz w:val="20"/>
                <w:szCs w:val="20"/>
              </w:rPr>
            </w:pPr>
          </w:p>
        </w:tc>
        <w:tc>
          <w:tcPr>
            <w:tcW w:w="0" w:type="auto"/>
            <w:vAlign w:val="center"/>
            <w:hideMark/>
          </w:tcPr>
          <w:p w14:paraId="52DDD460" w14:textId="77777777" w:rsidR="00000000" w:rsidRDefault="00195E73">
            <w:pPr>
              <w:rPr>
                <w:rFonts w:eastAsia="Times New Roman"/>
                <w:sz w:val="20"/>
                <w:szCs w:val="20"/>
              </w:rPr>
            </w:pPr>
          </w:p>
        </w:tc>
        <w:tc>
          <w:tcPr>
            <w:tcW w:w="0" w:type="auto"/>
            <w:vAlign w:val="center"/>
            <w:hideMark/>
          </w:tcPr>
          <w:p w14:paraId="23293A0C" w14:textId="77777777" w:rsidR="00000000" w:rsidRDefault="00195E73">
            <w:pPr>
              <w:rPr>
                <w:rFonts w:eastAsia="Times New Roman"/>
                <w:sz w:val="20"/>
                <w:szCs w:val="20"/>
              </w:rPr>
            </w:pPr>
          </w:p>
        </w:tc>
        <w:tc>
          <w:tcPr>
            <w:tcW w:w="0" w:type="auto"/>
            <w:vAlign w:val="center"/>
            <w:hideMark/>
          </w:tcPr>
          <w:p w14:paraId="7FA4A9A9" w14:textId="77777777" w:rsidR="00000000" w:rsidRDefault="00195E73">
            <w:pPr>
              <w:rPr>
                <w:rFonts w:eastAsia="Times New Roman"/>
                <w:sz w:val="20"/>
                <w:szCs w:val="20"/>
              </w:rPr>
            </w:pPr>
          </w:p>
        </w:tc>
        <w:tc>
          <w:tcPr>
            <w:tcW w:w="0" w:type="auto"/>
            <w:vAlign w:val="center"/>
            <w:hideMark/>
          </w:tcPr>
          <w:p w14:paraId="6B0DA749" w14:textId="77777777" w:rsidR="00000000" w:rsidRDefault="00195E73">
            <w:pPr>
              <w:rPr>
                <w:rFonts w:eastAsia="Times New Roman"/>
                <w:sz w:val="20"/>
                <w:szCs w:val="20"/>
              </w:rPr>
            </w:pPr>
          </w:p>
        </w:tc>
        <w:tc>
          <w:tcPr>
            <w:tcW w:w="0" w:type="auto"/>
            <w:vAlign w:val="center"/>
            <w:hideMark/>
          </w:tcPr>
          <w:p w14:paraId="05D79522" w14:textId="77777777" w:rsidR="00000000" w:rsidRDefault="00195E73">
            <w:pPr>
              <w:rPr>
                <w:rFonts w:eastAsia="Times New Roman"/>
                <w:sz w:val="20"/>
                <w:szCs w:val="20"/>
              </w:rPr>
            </w:pPr>
          </w:p>
        </w:tc>
        <w:tc>
          <w:tcPr>
            <w:tcW w:w="0" w:type="auto"/>
            <w:vAlign w:val="center"/>
            <w:hideMark/>
          </w:tcPr>
          <w:p w14:paraId="3A80E556" w14:textId="77777777" w:rsidR="00000000" w:rsidRDefault="00195E73">
            <w:pPr>
              <w:rPr>
                <w:rFonts w:eastAsia="Times New Roman"/>
                <w:sz w:val="20"/>
                <w:szCs w:val="20"/>
              </w:rPr>
            </w:pPr>
          </w:p>
        </w:tc>
        <w:tc>
          <w:tcPr>
            <w:tcW w:w="0" w:type="auto"/>
            <w:vAlign w:val="center"/>
            <w:hideMark/>
          </w:tcPr>
          <w:p w14:paraId="7DEADF9E" w14:textId="77777777" w:rsidR="00000000" w:rsidRDefault="00195E73">
            <w:pPr>
              <w:rPr>
                <w:rFonts w:eastAsia="Times New Roman"/>
                <w:sz w:val="20"/>
                <w:szCs w:val="20"/>
              </w:rPr>
            </w:pPr>
          </w:p>
        </w:tc>
        <w:tc>
          <w:tcPr>
            <w:tcW w:w="0" w:type="auto"/>
            <w:vAlign w:val="center"/>
            <w:hideMark/>
          </w:tcPr>
          <w:p w14:paraId="3691A643" w14:textId="77777777" w:rsidR="00000000" w:rsidRDefault="00195E73">
            <w:pPr>
              <w:rPr>
                <w:rFonts w:eastAsia="Times New Roman"/>
                <w:sz w:val="20"/>
                <w:szCs w:val="20"/>
              </w:rPr>
            </w:pPr>
          </w:p>
        </w:tc>
        <w:tc>
          <w:tcPr>
            <w:tcW w:w="0" w:type="auto"/>
            <w:vAlign w:val="center"/>
            <w:hideMark/>
          </w:tcPr>
          <w:p w14:paraId="0CA4278B" w14:textId="77777777" w:rsidR="00000000" w:rsidRDefault="00195E73">
            <w:pPr>
              <w:rPr>
                <w:rFonts w:eastAsia="Times New Roman"/>
                <w:sz w:val="20"/>
                <w:szCs w:val="20"/>
              </w:rPr>
            </w:pPr>
          </w:p>
        </w:tc>
        <w:tc>
          <w:tcPr>
            <w:tcW w:w="0" w:type="auto"/>
            <w:vAlign w:val="center"/>
            <w:hideMark/>
          </w:tcPr>
          <w:p w14:paraId="108DB2C0" w14:textId="77777777" w:rsidR="00000000" w:rsidRDefault="00195E73">
            <w:pPr>
              <w:rPr>
                <w:rFonts w:eastAsia="Times New Roman"/>
                <w:sz w:val="20"/>
                <w:szCs w:val="20"/>
              </w:rPr>
            </w:pPr>
          </w:p>
        </w:tc>
        <w:tc>
          <w:tcPr>
            <w:tcW w:w="0" w:type="auto"/>
            <w:vAlign w:val="center"/>
            <w:hideMark/>
          </w:tcPr>
          <w:p w14:paraId="270F2C85" w14:textId="77777777" w:rsidR="00000000" w:rsidRDefault="00195E73">
            <w:pPr>
              <w:rPr>
                <w:rFonts w:eastAsia="Times New Roman"/>
                <w:sz w:val="20"/>
                <w:szCs w:val="20"/>
              </w:rPr>
            </w:pPr>
          </w:p>
        </w:tc>
        <w:tc>
          <w:tcPr>
            <w:tcW w:w="0" w:type="auto"/>
            <w:vAlign w:val="center"/>
            <w:hideMark/>
          </w:tcPr>
          <w:p w14:paraId="0C2BA9B6" w14:textId="77777777" w:rsidR="00000000" w:rsidRDefault="00195E73">
            <w:pPr>
              <w:rPr>
                <w:rFonts w:eastAsia="Times New Roman"/>
                <w:sz w:val="20"/>
                <w:szCs w:val="20"/>
              </w:rPr>
            </w:pPr>
          </w:p>
        </w:tc>
        <w:tc>
          <w:tcPr>
            <w:tcW w:w="0" w:type="auto"/>
            <w:vAlign w:val="center"/>
            <w:hideMark/>
          </w:tcPr>
          <w:p w14:paraId="021A51DC" w14:textId="77777777" w:rsidR="00000000" w:rsidRDefault="00195E73">
            <w:pPr>
              <w:rPr>
                <w:rFonts w:eastAsia="Times New Roman"/>
                <w:sz w:val="20"/>
                <w:szCs w:val="20"/>
              </w:rPr>
            </w:pPr>
          </w:p>
        </w:tc>
        <w:tc>
          <w:tcPr>
            <w:tcW w:w="0" w:type="auto"/>
            <w:vAlign w:val="center"/>
            <w:hideMark/>
          </w:tcPr>
          <w:p w14:paraId="46C314E0" w14:textId="77777777" w:rsidR="00000000" w:rsidRDefault="00195E73">
            <w:pPr>
              <w:rPr>
                <w:rFonts w:eastAsia="Times New Roman"/>
                <w:sz w:val="20"/>
                <w:szCs w:val="20"/>
              </w:rPr>
            </w:pPr>
          </w:p>
        </w:tc>
        <w:tc>
          <w:tcPr>
            <w:tcW w:w="0" w:type="auto"/>
            <w:vAlign w:val="center"/>
            <w:hideMark/>
          </w:tcPr>
          <w:p w14:paraId="4504B8CF" w14:textId="77777777" w:rsidR="00000000" w:rsidRDefault="00195E73">
            <w:pPr>
              <w:rPr>
                <w:rFonts w:eastAsia="Times New Roman"/>
                <w:sz w:val="20"/>
                <w:szCs w:val="20"/>
              </w:rPr>
            </w:pPr>
          </w:p>
        </w:tc>
        <w:tc>
          <w:tcPr>
            <w:tcW w:w="0" w:type="auto"/>
            <w:vAlign w:val="center"/>
            <w:hideMark/>
          </w:tcPr>
          <w:p w14:paraId="6132A91A" w14:textId="77777777" w:rsidR="00000000" w:rsidRDefault="00195E73">
            <w:pPr>
              <w:rPr>
                <w:rFonts w:eastAsia="Times New Roman"/>
                <w:sz w:val="20"/>
                <w:szCs w:val="20"/>
              </w:rPr>
            </w:pPr>
          </w:p>
        </w:tc>
      </w:tr>
      <w:tr w:rsidR="00000000" w14:paraId="57F85701" w14:textId="77777777">
        <w:trPr>
          <w:divId w:val="1673147082"/>
          <w:jc w:val="center"/>
        </w:trPr>
        <w:tc>
          <w:tcPr>
            <w:tcW w:w="0" w:type="auto"/>
            <w:gridSpan w:val="3"/>
            <w:shd w:val="clear" w:color="auto" w:fill="FFFFFF"/>
            <w:tcMar>
              <w:top w:w="30" w:type="dxa"/>
              <w:left w:w="20" w:type="dxa"/>
              <w:bottom w:w="30" w:type="dxa"/>
              <w:right w:w="20" w:type="dxa"/>
            </w:tcMar>
            <w:vAlign w:val="bottom"/>
            <w:hideMark/>
          </w:tcPr>
          <w:p w14:paraId="3B15B610" w14:textId="77777777" w:rsidR="00000000" w:rsidRDefault="00195E73">
            <w:pPr>
              <w:rPr>
                <w:rFonts w:eastAsia="Times New Roman"/>
              </w:rPr>
            </w:pPr>
            <w:r>
              <w:rPr>
                <w:rFonts w:eastAsia="Times New Roman"/>
                <w:color w:val="000000"/>
                <w:sz w:val="18"/>
                <w:szCs w:val="18"/>
              </w:rPr>
              <w:t>Other comprehensive los</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4AF65928"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67C7291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E808E8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E9BBB3" w14:textId="77777777" w:rsidR="00000000" w:rsidRDefault="00195E73">
            <w:pPr>
              <w:jc w:val="right"/>
              <w:rPr>
                <w:rFonts w:eastAsia="Times New Roman"/>
              </w:rPr>
            </w:pPr>
            <w:r>
              <w:rPr>
                <w:rFonts w:eastAsia="Times New Roman"/>
                <w:color w:val="000000"/>
                <w:sz w:val="18"/>
                <w:szCs w:val="18"/>
              </w:rPr>
              <w:t>(60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15D27AE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6C19E3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DFD44A" w14:textId="77777777" w:rsidR="00000000" w:rsidRDefault="00195E73">
            <w:pPr>
              <w:jc w:val="right"/>
              <w:rPr>
                <w:rFonts w:eastAsia="Times New Roman"/>
              </w:rPr>
            </w:pPr>
            <w:r>
              <w:rPr>
                <w:rFonts w:eastAsia="Times New Roman"/>
                <w:color w:val="000000"/>
                <w:sz w:val="18"/>
                <w:szCs w:val="18"/>
              </w:rPr>
              <w:t>(61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01DFDDB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449B69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EE4AB3" w14:textId="77777777" w:rsidR="00000000" w:rsidRDefault="00195E73">
            <w:pPr>
              <w:jc w:val="right"/>
              <w:rPr>
                <w:rFonts w:eastAsia="Times New Roman"/>
              </w:rPr>
            </w:pPr>
            <w:r>
              <w:rPr>
                <w:rFonts w:eastAsia="Times New Roman"/>
                <w:color w:val="000000"/>
                <w:sz w:val="18"/>
                <w:szCs w:val="18"/>
              </w:rPr>
              <w:t>(7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42B473F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FD15EC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2DAF24" w14:textId="77777777" w:rsidR="00000000" w:rsidRDefault="00195E73">
            <w:pPr>
              <w:jc w:val="right"/>
              <w:rPr>
                <w:rFonts w:eastAsia="Times New Roman"/>
              </w:rPr>
            </w:pPr>
            <w:r>
              <w:rPr>
                <w:rFonts w:eastAsia="Times New Roman"/>
                <w:color w:val="000000"/>
                <w:sz w:val="18"/>
                <w:szCs w:val="18"/>
              </w:rPr>
              <w:t>(68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79A4D06A"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42DC78A1" w14:textId="77777777" w:rsidR="00000000" w:rsidRDefault="00195E73">
            <w:pPr>
              <w:rPr>
                <w:rFonts w:eastAsia="Times New Roman"/>
                <w:sz w:val="20"/>
                <w:szCs w:val="20"/>
              </w:rPr>
            </w:pPr>
          </w:p>
        </w:tc>
        <w:tc>
          <w:tcPr>
            <w:tcW w:w="0" w:type="auto"/>
            <w:vAlign w:val="center"/>
            <w:hideMark/>
          </w:tcPr>
          <w:p w14:paraId="1F0C97B9" w14:textId="77777777" w:rsidR="00000000" w:rsidRDefault="00195E73">
            <w:pPr>
              <w:rPr>
                <w:rFonts w:eastAsia="Times New Roman"/>
                <w:sz w:val="20"/>
                <w:szCs w:val="20"/>
              </w:rPr>
            </w:pPr>
          </w:p>
        </w:tc>
        <w:tc>
          <w:tcPr>
            <w:tcW w:w="0" w:type="auto"/>
            <w:vAlign w:val="center"/>
            <w:hideMark/>
          </w:tcPr>
          <w:p w14:paraId="412568E0" w14:textId="77777777" w:rsidR="00000000" w:rsidRDefault="00195E73">
            <w:pPr>
              <w:rPr>
                <w:rFonts w:eastAsia="Times New Roman"/>
                <w:sz w:val="20"/>
                <w:szCs w:val="20"/>
              </w:rPr>
            </w:pPr>
          </w:p>
        </w:tc>
        <w:tc>
          <w:tcPr>
            <w:tcW w:w="0" w:type="auto"/>
            <w:vAlign w:val="center"/>
            <w:hideMark/>
          </w:tcPr>
          <w:p w14:paraId="53353CF4" w14:textId="77777777" w:rsidR="00000000" w:rsidRDefault="00195E73">
            <w:pPr>
              <w:rPr>
                <w:rFonts w:eastAsia="Times New Roman"/>
                <w:sz w:val="20"/>
                <w:szCs w:val="20"/>
              </w:rPr>
            </w:pPr>
          </w:p>
        </w:tc>
        <w:tc>
          <w:tcPr>
            <w:tcW w:w="0" w:type="auto"/>
            <w:vAlign w:val="center"/>
            <w:hideMark/>
          </w:tcPr>
          <w:p w14:paraId="3C7045D7" w14:textId="77777777" w:rsidR="00000000" w:rsidRDefault="00195E73">
            <w:pPr>
              <w:rPr>
                <w:rFonts w:eastAsia="Times New Roman"/>
                <w:sz w:val="20"/>
                <w:szCs w:val="20"/>
              </w:rPr>
            </w:pPr>
          </w:p>
        </w:tc>
        <w:tc>
          <w:tcPr>
            <w:tcW w:w="0" w:type="auto"/>
            <w:vAlign w:val="center"/>
            <w:hideMark/>
          </w:tcPr>
          <w:p w14:paraId="3A3423D8" w14:textId="77777777" w:rsidR="00000000" w:rsidRDefault="00195E73">
            <w:pPr>
              <w:rPr>
                <w:rFonts w:eastAsia="Times New Roman"/>
                <w:sz w:val="20"/>
                <w:szCs w:val="20"/>
              </w:rPr>
            </w:pPr>
          </w:p>
        </w:tc>
        <w:tc>
          <w:tcPr>
            <w:tcW w:w="0" w:type="auto"/>
            <w:vAlign w:val="center"/>
            <w:hideMark/>
          </w:tcPr>
          <w:p w14:paraId="7D4FEE08" w14:textId="77777777" w:rsidR="00000000" w:rsidRDefault="00195E73">
            <w:pPr>
              <w:rPr>
                <w:rFonts w:eastAsia="Times New Roman"/>
                <w:sz w:val="20"/>
                <w:szCs w:val="20"/>
              </w:rPr>
            </w:pPr>
          </w:p>
        </w:tc>
        <w:tc>
          <w:tcPr>
            <w:tcW w:w="0" w:type="auto"/>
            <w:vAlign w:val="center"/>
            <w:hideMark/>
          </w:tcPr>
          <w:p w14:paraId="7E6B9D91" w14:textId="77777777" w:rsidR="00000000" w:rsidRDefault="00195E73">
            <w:pPr>
              <w:rPr>
                <w:rFonts w:eastAsia="Times New Roman"/>
                <w:sz w:val="20"/>
                <w:szCs w:val="20"/>
              </w:rPr>
            </w:pPr>
          </w:p>
        </w:tc>
        <w:tc>
          <w:tcPr>
            <w:tcW w:w="0" w:type="auto"/>
            <w:vAlign w:val="center"/>
            <w:hideMark/>
          </w:tcPr>
          <w:p w14:paraId="0188BCD7" w14:textId="77777777" w:rsidR="00000000" w:rsidRDefault="00195E73">
            <w:pPr>
              <w:rPr>
                <w:rFonts w:eastAsia="Times New Roman"/>
                <w:sz w:val="20"/>
                <w:szCs w:val="20"/>
              </w:rPr>
            </w:pPr>
          </w:p>
        </w:tc>
        <w:tc>
          <w:tcPr>
            <w:tcW w:w="0" w:type="auto"/>
            <w:vAlign w:val="center"/>
            <w:hideMark/>
          </w:tcPr>
          <w:p w14:paraId="75C12CA4" w14:textId="77777777" w:rsidR="00000000" w:rsidRDefault="00195E73">
            <w:pPr>
              <w:rPr>
                <w:rFonts w:eastAsia="Times New Roman"/>
                <w:sz w:val="20"/>
                <w:szCs w:val="20"/>
              </w:rPr>
            </w:pPr>
          </w:p>
        </w:tc>
        <w:tc>
          <w:tcPr>
            <w:tcW w:w="0" w:type="auto"/>
            <w:vAlign w:val="center"/>
            <w:hideMark/>
          </w:tcPr>
          <w:p w14:paraId="0EDA73B0" w14:textId="77777777" w:rsidR="00000000" w:rsidRDefault="00195E73">
            <w:pPr>
              <w:rPr>
                <w:rFonts w:eastAsia="Times New Roman"/>
                <w:sz w:val="20"/>
                <w:szCs w:val="20"/>
              </w:rPr>
            </w:pPr>
          </w:p>
        </w:tc>
        <w:tc>
          <w:tcPr>
            <w:tcW w:w="0" w:type="auto"/>
            <w:vAlign w:val="center"/>
            <w:hideMark/>
          </w:tcPr>
          <w:p w14:paraId="6D94D95D" w14:textId="77777777" w:rsidR="00000000" w:rsidRDefault="00195E73">
            <w:pPr>
              <w:rPr>
                <w:rFonts w:eastAsia="Times New Roman"/>
                <w:sz w:val="20"/>
                <w:szCs w:val="20"/>
              </w:rPr>
            </w:pPr>
          </w:p>
        </w:tc>
        <w:tc>
          <w:tcPr>
            <w:tcW w:w="0" w:type="auto"/>
            <w:vAlign w:val="center"/>
            <w:hideMark/>
          </w:tcPr>
          <w:p w14:paraId="0263A7FF" w14:textId="77777777" w:rsidR="00000000" w:rsidRDefault="00195E73">
            <w:pPr>
              <w:rPr>
                <w:rFonts w:eastAsia="Times New Roman"/>
                <w:sz w:val="20"/>
                <w:szCs w:val="20"/>
              </w:rPr>
            </w:pPr>
          </w:p>
        </w:tc>
        <w:tc>
          <w:tcPr>
            <w:tcW w:w="0" w:type="auto"/>
            <w:vAlign w:val="center"/>
            <w:hideMark/>
          </w:tcPr>
          <w:p w14:paraId="443081A2" w14:textId="77777777" w:rsidR="00000000" w:rsidRDefault="00195E73">
            <w:pPr>
              <w:rPr>
                <w:rFonts w:eastAsia="Times New Roman"/>
                <w:sz w:val="20"/>
                <w:szCs w:val="20"/>
              </w:rPr>
            </w:pPr>
          </w:p>
        </w:tc>
        <w:tc>
          <w:tcPr>
            <w:tcW w:w="0" w:type="auto"/>
            <w:vAlign w:val="center"/>
            <w:hideMark/>
          </w:tcPr>
          <w:p w14:paraId="13E9ECD6" w14:textId="77777777" w:rsidR="00000000" w:rsidRDefault="00195E73">
            <w:pPr>
              <w:rPr>
                <w:rFonts w:eastAsia="Times New Roman"/>
                <w:sz w:val="20"/>
                <w:szCs w:val="20"/>
              </w:rPr>
            </w:pPr>
          </w:p>
        </w:tc>
        <w:tc>
          <w:tcPr>
            <w:tcW w:w="0" w:type="auto"/>
            <w:vAlign w:val="center"/>
            <w:hideMark/>
          </w:tcPr>
          <w:p w14:paraId="102F9514" w14:textId="77777777" w:rsidR="00000000" w:rsidRDefault="00195E73">
            <w:pPr>
              <w:rPr>
                <w:rFonts w:eastAsia="Times New Roman"/>
                <w:sz w:val="20"/>
                <w:szCs w:val="20"/>
              </w:rPr>
            </w:pPr>
          </w:p>
        </w:tc>
        <w:tc>
          <w:tcPr>
            <w:tcW w:w="0" w:type="auto"/>
            <w:vAlign w:val="center"/>
            <w:hideMark/>
          </w:tcPr>
          <w:p w14:paraId="0C76D0BF" w14:textId="77777777" w:rsidR="00000000" w:rsidRDefault="00195E73">
            <w:pPr>
              <w:rPr>
                <w:rFonts w:eastAsia="Times New Roman"/>
                <w:sz w:val="20"/>
                <w:szCs w:val="20"/>
              </w:rPr>
            </w:pPr>
          </w:p>
        </w:tc>
        <w:tc>
          <w:tcPr>
            <w:tcW w:w="0" w:type="auto"/>
            <w:vAlign w:val="center"/>
            <w:hideMark/>
          </w:tcPr>
          <w:p w14:paraId="4532F6DE" w14:textId="77777777" w:rsidR="00000000" w:rsidRDefault="00195E73">
            <w:pPr>
              <w:rPr>
                <w:rFonts w:eastAsia="Times New Roman"/>
                <w:sz w:val="20"/>
                <w:szCs w:val="20"/>
              </w:rPr>
            </w:pPr>
          </w:p>
        </w:tc>
        <w:tc>
          <w:tcPr>
            <w:tcW w:w="0" w:type="auto"/>
            <w:vAlign w:val="center"/>
            <w:hideMark/>
          </w:tcPr>
          <w:p w14:paraId="4F35876D" w14:textId="77777777" w:rsidR="00000000" w:rsidRDefault="00195E73">
            <w:pPr>
              <w:rPr>
                <w:rFonts w:eastAsia="Times New Roman"/>
                <w:sz w:val="20"/>
                <w:szCs w:val="20"/>
              </w:rPr>
            </w:pPr>
          </w:p>
        </w:tc>
        <w:tc>
          <w:tcPr>
            <w:tcW w:w="0" w:type="auto"/>
            <w:vAlign w:val="center"/>
            <w:hideMark/>
          </w:tcPr>
          <w:p w14:paraId="53994633" w14:textId="77777777" w:rsidR="00000000" w:rsidRDefault="00195E73">
            <w:pPr>
              <w:rPr>
                <w:rFonts w:eastAsia="Times New Roman"/>
                <w:sz w:val="20"/>
                <w:szCs w:val="20"/>
              </w:rPr>
            </w:pPr>
          </w:p>
        </w:tc>
        <w:tc>
          <w:tcPr>
            <w:tcW w:w="0" w:type="auto"/>
            <w:vAlign w:val="center"/>
            <w:hideMark/>
          </w:tcPr>
          <w:p w14:paraId="3A26F80E" w14:textId="77777777" w:rsidR="00000000" w:rsidRDefault="00195E73">
            <w:pPr>
              <w:rPr>
                <w:rFonts w:eastAsia="Times New Roman"/>
                <w:sz w:val="20"/>
                <w:szCs w:val="20"/>
              </w:rPr>
            </w:pPr>
          </w:p>
        </w:tc>
        <w:tc>
          <w:tcPr>
            <w:tcW w:w="0" w:type="auto"/>
            <w:vAlign w:val="center"/>
            <w:hideMark/>
          </w:tcPr>
          <w:p w14:paraId="04070FA6" w14:textId="77777777" w:rsidR="00000000" w:rsidRDefault="00195E73">
            <w:pPr>
              <w:rPr>
                <w:rFonts w:eastAsia="Times New Roman"/>
                <w:sz w:val="20"/>
                <w:szCs w:val="20"/>
              </w:rPr>
            </w:pPr>
          </w:p>
        </w:tc>
        <w:tc>
          <w:tcPr>
            <w:tcW w:w="0" w:type="auto"/>
            <w:vAlign w:val="center"/>
            <w:hideMark/>
          </w:tcPr>
          <w:p w14:paraId="1DF00FA0" w14:textId="77777777" w:rsidR="00000000" w:rsidRDefault="00195E73">
            <w:pPr>
              <w:rPr>
                <w:rFonts w:eastAsia="Times New Roman"/>
                <w:sz w:val="20"/>
                <w:szCs w:val="20"/>
              </w:rPr>
            </w:pPr>
          </w:p>
        </w:tc>
        <w:tc>
          <w:tcPr>
            <w:tcW w:w="0" w:type="auto"/>
            <w:vAlign w:val="center"/>
            <w:hideMark/>
          </w:tcPr>
          <w:p w14:paraId="1D942912" w14:textId="77777777" w:rsidR="00000000" w:rsidRDefault="00195E73">
            <w:pPr>
              <w:rPr>
                <w:rFonts w:eastAsia="Times New Roman"/>
                <w:sz w:val="20"/>
                <w:szCs w:val="20"/>
              </w:rPr>
            </w:pPr>
          </w:p>
        </w:tc>
      </w:tr>
      <w:tr w:rsidR="00000000" w14:paraId="5EADA32C" w14:textId="77777777">
        <w:trPr>
          <w:divId w:val="1673147082"/>
          <w:jc w:val="center"/>
        </w:trPr>
        <w:tc>
          <w:tcPr>
            <w:tcW w:w="0" w:type="auto"/>
            <w:gridSpan w:val="3"/>
            <w:shd w:val="clear" w:color="auto" w:fill="CCEEFF"/>
            <w:tcMar>
              <w:top w:w="30" w:type="dxa"/>
              <w:left w:w="20" w:type="dxa"/>
              <w:bottom w:w="30" w:type="dxa"/>
              <w:right w:w="20" w:type="dxa"/>
            </w:tcMar>
            <w:vAlign w:val="bottom"/>
            <w:hideMark/>
          </w:tcPr>
          <w:p w14:paraId="6D2E956E" w14:textId="77777777" w:rsidR="00000000" w:rsidRDefault="00195E73">
            <w:pPr>
              <w:rPr>
                <w:rFonts w:eastAsia="Times New Roman"/>
              </w:rPr>
            </w:pPr>
            <w:r>
              <w:rPr>
                <w:rFonts w:eastAsia="Times New Roman"/>
                <w:color w:val="000000"/>
                <w:sz w:val="18"/>
                <w:szCs w:val="18"/>
              </w:rPr>
              <w:t>Partnership distribution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14:paraId="2F279586" w14:textId="77777777" w:rsidR="00000000" w:rsidRDefault="00195E73">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1C9FF33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F41A3E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3892A1" w14:textId="77777777" w:rsidR="00000000" w:rsidRDefault="00195E73">
            <w:pPr>
              <w:jc w:val="right"/>
              <w:rPr>
                <w:rFonts w:eastAsia="Times New Roman"/>
              </w:rPr>
            </w:pPr>
            <w:r>
              <w:rPr>
                <w:rFonts w:eastAsia="Times New Roman"/>
                <w:color w:val="000000"/>
                <w:sz w:val="18"/>
                <w:szCs w:val="18"/>
              </w:rPr>
              <w:t>(95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195E048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6E17BC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573480" w14:textId="77777777" w:rsidR="00000000" w:rsidRDefault="00195E73">
            <w:pPr>
              <w:jc w:val="right"/>
              <w:rPr>
                <w:rFonts w:eastAsia="Times New Roman"/>
              </w:rPr>
            </w:pPr>
            <w:r>
              <w:rPr>
                <w:rFonts w:eastAsia="Times New Roman"/>
                <w:color w:val="000000"/>
                <w:sz w:val="18"/>
                <w:szCs w:val="18"/>
              </w:rPr>
              <w:t>(97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5385E1D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236296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DE6F7E"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A67F4E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12B7B1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1D25A7" w14:textId="77777777" w:rsidR="00000000" w:rsidRDefault="00195E73">
            <w:pPr>
              <w:jc w:val="right"/>
              <w:rPr>
                <w:rFonts w:eastAsia="Times New Roman"/>
              </w:rPr>
            </w:pPr>
            <w:r>
              <w:rPr>
                <w:rFonts w:eastAsia="Times New Roman"/>
                <w:color w:val="000000"/>
                <w:sz w:val="18"/>
                <w:szCs w:val="18"/>
              </w:rPr>
              <w:t>(97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753A2F7D"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543CB49D" w14:textId="77777777" w:rsidR="00000000" w:rsidRDefault="00195E73">
            <w:pPr>
              <w:rPr>
                <w:rFonts w:eastAsia="Times New Roman"/>
                <w:sz w:val="20"/>
                <w:szCs w:val="20"/>
              </w:rPr>
            </w:pPr>
          </w:p>
        </w:tc>
        <w:tc>
          <w:tcPr>
            <w:tcW w:w="0" w:type="auto"/>
            <w:vAlign w:val="center"/>
            <w:hideMark/>
          </w:tcPr>
          <w:p w14:paraId="37E9BB95" w14:textId="77777777" w:rsidR="00000000" w:rsidRDefault="00195E73">
            <w:pPr>
              <w:rPr>
                <w:rFonts w:eastAsia="Times New Roman"/>
                <w:sz w:val="20"/>
                <w:szCs w:val="20"/>
              </w:rPr>
            </w:pPr>
          </w:p>
        </w:tc>
        <w:tc>
          <w:tcPr>
            <w:tcW w:w="0" w:type="auto"/>
            <w:vAlign w:val="center"/>
            <w:hideMark/>
          </w:tcPr>
          <w:p w14:paraId="1CCE2716" w14:textId="77777777" w:rsidR="00000000" w:rsidRDefault="00195E73">
            <w:pPr>
              <w:rPr>
                <w:rFonts w:eastAsia="Times New Roman"/>
                <w:sz w:val="20"/>
                <w:szCs w:val="20"/>
              </w:rPr>
            </w:pPr>
          </w:p>
        </w:tc>
        <w:tc>
          <w:tcPr>
            <w:tcW w:w="0" w:type="auto"/>
            <w:vAlign w:val="center"/>
            <w:hideMark/>
          </w:tcPr>
          <w:p w14:paraId="2BBE364F" w14:textId="77777777" w:rsidR="00000000" w:rsidRDefault="00195E73">
            <w:pPr>
              <w:rPr>
                <w:rFonts w:eastAsia="Times New Roman"/>
                <w:sz w:val="20"/>
                <w:szCs w:val="20"/>
              </w:rPr>
            </w:pPr>
          </w:p>
        </w:tc>
        <w:tc>
          <w:tcPr>
            <w:tcW w:w="0" w:type="auto"/>
            <w:vAlign w:val="center"/>
            <w:hideMark/>
          </w:tcPr>
          <w:p w14:paraId="3B363AD5" w14:textId="77777777" w:rsidR="00000000" w:rsidRDefault="00195E73">
            <w:pPr>
              <w:rPr>
                <w:rFonts w:eastAsia="Times New Roman"/>
                <w:sz w:val="20"/>
                <w:szCs w:val="20"/>
              </w:rPr>
            </w:pPr>
          </w:p>
        </w:tc>
        <w:tc>
          <w:tcPr>
            <w:tcW w:w="0" w:type="auto"/>
            <w:vAlign w:val="center"/>
            <w:hideMark/>
          </w:tcPr>
          <w:p w14:paraId="2A7BD7D2" w14:textId="77777777" w:rsidR="00000000" w:rsidRDefault="00195E73">
            <w:pPr>
              <w:rPr>
                <w:rFonts w:eastAsia="Times New Roman"/>
                <w:sz w:val="20"/>
                <w:szCs w:val="20"/>
              </w:rPr>
            </w:pPr>
          </w:p>
        </w:tc>
        <w:tc>
          <w:tcPr>
            <w:tcW w:w="0" w:type="auto"/>
            <w:vAlign w:val="center"/>
            <w:hideMark/>
          </w:tcPr>
          <w:p w14:paraId="6C134FFB" w14:textId="77777777" w:rsidR="00000000" w:rsidRDefault="00195E73">
            <w:pPr>
              <w:rPr>
                <w:rFonts w:eastAsia="Times New Roman"/>
                <w:sz w:val="20"/>
                <w:szCs w:val="20"/>
              </w:rPr>
            </w:pPr>
          </w:p>
        </w:tc>
        <w:tc>
          <w:tcPr>
            <w:tcW w:w="0" w:type="auto"/>
            <w:vAlign w:val="center"/>
            <w:hideMark/>
          </w:tcPr>
          <w:p w14:paraId="3BF02EF8" w14:textId="77777777" w:rsidR="00000000" w:rsidRDefault="00195E73">
            <w:pPr>
              <w:rPr>
                <w:rFonts w:eastAsia="Times New Roman"/>
                <w:sz w:val="20"/>
                <w:szCs w:val="20"/>
              </w:rPr>
            </w:pPr>
          </w:p>
        </w:tc>
        <w:tc>
          <w:tcPr>
            <w:tcW w:w="0" w:type="auto"/>
            <w:vAlign w:val="center"/>
            <w:hideMark/>
          </w:tcPr>
          <w:p w14:paraId="0846B165" w14:textId="77777777" w:rsidR="00000000" w:rsidRDefault="00195E73">
            <w:pPr>
              <w:rPr>
                <w:rFonts w:eastAsia="Times New Roman"/>
                <w:sz w:val="20"/>
                <w:szCs w:val="20"/>
              </w:rPr>
            </w:pPr>
          </w:p>
        </w:tc>
        <w:tc>
          <w:tcPr>
            <w:tcW w:w="0" w:type="auto"/>
            <w:vAlign w:val="center"/>
            <w:hideMark/>
          </w:tcPr>
          <w:p w14:paraId="1B10263E" w14:textId="77777777" w:rsidR="00000000" w:rsidRDefault="00195E73">
            <w:pPr>
              <w:rPr>
                <w:rFonts w:eastAsia="Times New Roman"/>
                <w:sz w:val="20"/>
                <w:szCs w:val="20"/>
              </w:rPr>
            </w:pPr>
          </w:p>
        </w:tc>
        <w:tc>
          <w:tcPr>
            <w:tcW w:w="0" w:type="auto"/>
            <w:vAlign w:val="center"/>
            <w:hideMark/>
          </w:tcPr>
          <w:p w14:paraId="5597D4FD" w14:textId="77777777" w:rsidR="00000000" w:rsidRDefault="00195E73">
            <w:pPr>
              <w:rPr>
                <w:rFonts w:eastAsia="Times New Roman"/>
                <w:sz w:val="20"/>
                <w:szCs w:val="20"/>
              </w:rPr>
            </w:pPr>
          </w:p>
        </w:tc>
        <w:tc>
          <w:tcPr>
            <w:tcW w:w="0" w:type="auto"/>
            <w:vAlign w:val="center"/>
            <w:hideMark/>
          </w:tcPr>
          <w:p w14:paraId="3CD2DE27" w14:textId="77777777" w:rsidR="00000000" w:rsidRDefault="00195E73">
            <w:pPr>
              <w:rPr>
                <w:rFonts w:eastAsia="Times New Roman"/>
                <w:sz w:val="20"/>
                <w:szCs w:val="20"/>
              </w:rPr>
            </w:pPr>
          </w:p>
        </w:tc>
        <w:tc>
          <w:tcPr>
            <w:tcW w:w="0" w:type="auto"/>
            <w:vAlign w:val="center"/>
            <w:hideMark/>
          </w:tcPr>
          <w:p w14:paraId="00A15BC2" w14:textId="77777777" w:rsidR="00000000" w:rsidRDefault="00195E73">
            <w:pPr>
              <w:rPr>
                <w:rFonts w:eastAsia="Times New Roman"/>
                <w:sz w:val="20"/>
                <w:szCs w:val="20"/>
              </w:rPr>
            </w:pPr>
          </w:p>
        </w:tc>
        <w:tc>
          <w:tcPr>
            <w:tcW w:w="0" w:type="auto"/>
            <w:vAlign w:val="center"/>
            <w:hideMark/>
          </w:tcPr>
          <w:p w14:paraId="4949CFEF" w14:textId="77777777" w:rsidR="00000000" w:rsidRDefault="00195E73">
            <w:pPr>
              <w:rPr>
                <w:rFonts w:eastAsia="Times New Roman"/>
                <w:sz w:val="20"/>
                <w:szCs w:val="20"/>
              </w:rPr>
            </w:pPr>
          </w:p>
        </w:tc>
        <w:tc>
          <w:tcPr>
            <w:tcW w:w="0" w:type="auto"/>
            <w:vAlign w:val="center"/>
            <w:hideMark/>
          </w:tcPr>
          <w:p w14:paraId="2FBACEFB" w14:textId="77777777" w:rsidR="00000000" w:rsidRDefault="00195E73">
            <w:pPr>
              <w:rPr>
                <w:rFonts w:eastAsia="Times New Roman"/>
                <w:sz w:val="20"/>
                <w:szCs w:val="20"/>
              </w:rPr>
            </w:pPr>
          </w:p>
        </w:tc>
        <w:tc>
          <w:tcPr>
            <w:tcW w:w="0" w:type="auto"/>
            <w:vAlign w:val="center"/>
            <w:hideMark/>
          </w:tcPr>
          <w:p w14:paraId="2CA3393E" w14:textId="77777777" w:rsidR="00000000" w:rsidRDefault="00195E73">
            <w:pPr>
              <w:rPr>
                <w:rFonts w:eastAsia="Times New Roman"/>
                <w:sz w:val="20"/>
                <w:szCs w:val="20"/>
              </w:rPr>
            </w:pPr>
          </w:p>
        </w:tc>
        <w:tc>
          <w:tcPr>
            <w:tcW w:w="0" w:type="auto"/>
            <w:vAlign w:val="center"/>
            <w:hideMark/>
          </w:tcPr>
          <w:p w14:paraId="0CD7D2FF" w14:textId="77777777" w:rsidR="00000000" w:rsidRDefault="00195E73">
            <w:pPr>
              <w:rPr>
                <w:rFonts w:eastAsia="Times New Roman"/>
                <w:sz w:val="20"/>
                <w:szCs w:val="20"/>
              </w:rPr>
            </w:pPr>
          </w:p>
        </w:tc>
        <w:tc>
          <w:tcPr>
            <w:tcW w:w="0" w:type="auto"/>
            <w:vAlign w:val="center"/>
            <w:hideMark/>
          </w:tcPr>
          <w:p w14:paraId="4EC64173" w14:textId="77777777" w:rsidR="00000000" w:rsidRDefault="00195E73">
            <w:pPr>
              <w:rPr>
                <w:rFonts w:eastAsia="Times New Roman"/>
                <w:sz w:val="20"/>
                <w:szCs w:val="20"/>
              </w:rPr>
            </w:pPr>
          </w:p>
        </w:tc>
        <w:tc>
          <w:tcPr>
            <w:tcW w:w="0" w:type="auto"/>
            <w:vAlign w:val="center"/>
            <w:hideMark/>
          </w:tcPr>
          <w:p w14:paraId="26C9B730" w14:textId="77777777" w:rsidR="00000000" w:rsidRDefault="00195E73">
            <w:pPr>
              <w:rPr>
                <w:rFonts w:eastAsia="Times New Roman"/>
                <w:sz w:val="20"/>
                <w:szCs w:val="20"/>
              </w:rPr>
            </w:pPr>
          </w:p>
        </w:tc>
        <w:tc>
          <w:tcPr>
            <w:tcW w:w="0" w:type="auto"/>
            <w:vAlign w:val="center"/>
            <w:hideMark/>
          </w:tcPr>
          <w:p w14:paraId="2385812F" w14:textId="77777777" w:rsidR="00000000" w:rsidRDefault="00195E73">
            <w:pPr>
              <w:rPr>
                <w:rFonts w:eastAsia="Times New Roman"/>
                <w:sz w:val="20"/>
                <w:szCs w:val="20"/>
              </w:rPr>
            </w:pPr>
          </w:p>
        </w:tc>
        <w:tc>
          <w:tcPr>
            <w:tcW w:w="0" w:type="auto"/>
            <w:vAlign w:val="center"/>
            <w:hideMark/>
          </w:tcPr>
          <w:p w14:paraId="53B9AC42" w14:textId="77777777" w:rsidR="00000000" w:rsidRDefault="00195E73">
            <w:pPr>
              <w:rPr>
                <w:rFonts w:eastAsia="Times New Roman"/>
                <w:sz w:val="20"/>
                <w:szCs w:val="20"/>
              </w:rPr>
            </w:pPr>
          </w:p>
        </w:tc>
        <w:tc>
          <w:tcPr>
            <w:tcW w:w="0" w:type="auto"/>
            <w:vAlign w:val="center"/>
            <w:hideMark/>
          </w:tcPr>
          <w:p w14:paraId="1512450F" w14:textId="77777777" w:rsidR="00000000" w:rsidRDefault="00195E73">
            <w:pPr>
              <w:rPr>
                <w:rFonts w:eastAsia="Times New Roman"/>
                <w:sz w:val="20"/>
                <w:szCs w:val="20"/>
              </w:rPr>
            </w:pPr>
          </w:p>
        </w:tc>
        <w:tc>
          <w:tcPr>
            <w:tcW w:w="0" w:type="auto"/>
            <w:vAlign w:val="center"/>
            <w:hideMark/>
          </w:tcPr>
          <w:p w14:paraId="78F00532" w14:textId="77777777" w:rsidR="00000000" w:rsidRDefault="00195E73">
            <w:pPr>
              <w:rPr>
                <w:rFonts w:eastAsia="Times New Roman"/>
                <w:sz w:val="20"/>
                <w:szCs w:val="20"/>
              </w:rPr>
            </w:pPr>
          </w:p>
        </w:tc>
        <w:tc>
          <w:tcPr>
            <w:tcW w:w="0" w:type="auto"/>
            <w:vAlign w:val="center"/>
            <w:hideMark/>
          </w:tcPr>
          <w:p w14:paraId="2B044A93" w14:textId="77777777" w:rsidR="00000000" w:rsidRDefault="00195E73">
            <w:pPr>
              <w:rPr>
                <w:rFonts w:eastAsia="Times New Roman"/>
                <w:sz w:val="20"/>
                <w:szCs w:val="20"/>
              </w:rPr>
            </w:pPr>
          </w:p>
        </w:tc>
      </w:tr>
      <w:tr w:rsidR="00000000" w14:paraId="4124215A" w14:textId="77777777">
        <w:trPr>
          <w:divId w:val="1673147082"/>
          <w:jc w:val="center"/>
        </w:trPr>
        <w:tc>
          <w:tcPr>
            <w:tcW w:w="0" w:type="auto"/>
            <w:gridSpan w:val="3"/>
            <w:shd w:val="clear" w:color="auto" w:fill="FFFFFF"/>
            <w:tcMar>
              <w:top w:w="30" w:type="dxa"/>
              <w:left w:w="20" w:type="dxa"/>
              <w:bottom w:w="30" w:type="dxa"/>
              <w:right w:w="20" w:type="dxa"/>
            </w:tcMar>
            <w:vAlign w:val="bottom"/>
            <w:hideMark/>
          </w:tcPr>
          <w:p w14:paraId="4659AA8C" w14:textId="77777777" w:rsidR="00000000" w:rsidRDefault="00195E73">
            <w:pPr>
              <w:ind w:hanging="180"/>
              <w:divId w:val="1786197019"/>
              <w:rPr>
                <w:rFonts w:eastAsia="Times New Roman"/>
              </w:rPr>
            </w:pPr>
            <w:r>
              <w:rPr>
                <w:rFonts w:eastAsia="Times New Roman"/>
                <w:color w:val="000000"/>
                <w:sz w:val="18"/>
                <w:szCs w:val="18"/>
              </w:rPr>
              <w:t>Investment segment contribution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78F09559"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09E650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796946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C76173"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9F2373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C3C386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4CACF2"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1939E7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7336AA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8ED185" w14:textId="77777777" w:rsidR="00000000" w:rsidRDefault="00195E73">
            <w:pPr>
              <w:jc w:val="right"/>
              <w:rPr>
                <w:rFonts w:eastAsia="Times New Roman"/>
              </w:rPr>
            </w:pPr>
            <w:r>
              <w:rPr>
                <w:rFonts w:eastAsia="Times New Roman"/>
                <w:color w:val="000000"/>
                <w:sz w:val="18"/>
                <w:szCs w:val="18"/>
              </w:rPr>
              <w:t>310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0408C12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EE67C8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437FC9" w14:textId="77777777" w:rsidR="00000000" w:rsidRDefault="00195E73">
            <w:pPr>
              <w:jc w:val="right"/>
              <w:rPr>
                <w:rFonts w:eastAsia="Times New Roman"/>
              </w:rPr>
            </w:pPr>
            <w:r>
              <w:rPr>
                <w:rFonts w:eastAsia="Times New Roman"/>
                <w:color w:val="000000"/>
                <w:sz w:val="18"/>
                <w:szCs w:val="18"/>
              </w:rPr>
              <w:t>310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78A25D2"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09D9E766" w14:textId="77777777" w:rsidR="00000000" w:rsidRDefault="00195E73">
            <w:pPr>
              <w:rPr>
                <w:rFonts w:eastAsia="Times New Roman"/>
                <w:sz w:val="20"/>
                <w:szCs w:val="20"/>
              </w:rPr>
            </w:pPr>
          </w:p>
        </w:tc>
        <w:tc>
          <w:tcPr>
            <w:tcW w:w="0" w:type="auto"/>
            <w:vAlign w:val="center"/>
            <w:hideMark/>
          </w:tcPr>
          <w:p w14:paraId="078EDC25" w14:textId="77777777" w:rsidR="00000000" w:rsidRDefault="00195E73">
            <w:pPr>
              <w:rPr>
                <w:rFonts w:eastAsia="Times New Roman"/>
                <w:sz w:val="20"/>
                <w:szCs w:val="20"/>
              </w:rPr>
            </w:pPr>
          </w:p>
        </w:tc>
        <w:tc>
          <w:tcPr>
            <w:tcW w:w="0" w:type="auto"/>
            <w:vAlign w:val="center"/>
            <w:hideMark/>
          </w:tcPr>
          <w:p w14:paraId="0EA031BD" w14:textId="77777777" w:rsidR="00000000" w:rsidRDefault="00195E73">
            <w:pPr>
              <w:rPr>
                <w:rFonts w:eastAsia="Times New Roman"/>
                <w:sz w:val="20"/>
                <w:szCs w:val="20"/>
              </w:rPr>
            </w:pPr>
          </w:p>
        </w:tc>
        <w:tc>
          <w:tcPr>
            <w:tcW w:w="0" w:type="auto"/>
            <w:vAlign w:val="center"/>
            <w:hideMark/>
          </w:tcPr>
          <w:p w14:paraId="32A0DF47" w14:textId="77777777" w:rsidR="00000000" w:rsidRDefault="00195E73">
            <w:pPr>
              <w:rPr>
                <w:rFonts w:eastAsia="Times New Roman"/>
                <w:sz w:val="20"/>
                <w:szCs w:val="20"/>
              </w:rPr>
            </w:pPr>
          </w:p>
        </w:tc>
        <w:tc>
          <w:tcPr>
            <w:tcW w:w="0" w:type="auto"/>
            <w:vAlign w:val="center"/>
            <w:hideMark/>
          </w:tcPr>
          <w:p w14:paraId="60A2626F" w14:textId="77777777" w:rsidR="00000000" w:rsidRDefault="00195E73">
            <w:pPr>
              <w:rPr>
                <w:rFonts w:eastAsia="Times New Roman"/>
                <w:sz w:val="20"/>
                <w:szCs w:val="20"/>
              </w:rPr>
            </w:pPr>
          </w:p>
        </w:tc>
        <w:tc>
          <w:tcPr>
            <w:tcW w:w="0" w:type="auto"/>
            <w:vAlign w:val="center"/>
            <w:hideMark/>
          </w:tcPr>
          <w:p w14:paraId="50A72CA4" w14:textId="77777777" w:rsidR="00000000" w:rsidRDefault="00195E73">
            <w:pPr>
              <w:rPr>
                <w:rFonts w:eastAsia="Times New Roman"/>
                <w:sz w:val="20"/>
                <w:szCs w:val="20"/>
              </w:rPr>
            </w:pPr>
          </w:p>
        </w:tc>
        <w:tc>
          <w:tcPr>
            <w:tcW w:w="0" w:type="auto"/>
            <w:vAlign w:val="center"/>
            <w:hideMark/>
          </w:tcPr>
          <w:p w14:paraId="38687422" w14:textId="77777777" w:rsidR="00000000" w:rsidRDefault="00195E73">
            <w:pPr>
              <w:rPr>
                <w:rFonts w:eastAsia="Times New Roman"/>
                <w:sz w:val="20"/>
                <w:szCs w:val="20"/>
              </w:rPr>
            </w:pPr>
          </w:p>
        </w:tc>
        <w:tc>
          <w:tcPr>
            <w:tcW w:w="0" w:type="auto"/>
            <w:vAlign w:val="center"/>
            <w:hideMark/>
          </w:tcPr>
          <w:p w14:paraId="1A3C0D0D" w14:textId="77777777" w:rsidR="00000000" w:rsidRDefault="00195E73">
            <w:pPr>
              <w:rPr>
                <w:rFonts w:eastAsia="Times New Roman"/>
                <w:sz w:val="20"/>
                <w:szCs w:val="20"/>
              </w:rPr>
            </w:pPr>
          </w:p>
        </w:tc>
        <w:tc>
          <w:tcPr>
            <w:tcW w:w="0" w:type="auto"/>
            <w:vAlign w:val="center"/>
            <w:hideMark/>
          </w:tcPr>
          <w:p w14:paraId="0CCD7741" w14:textId="77777777" w:rsidR="00000000" w:rsidRDefault="00195E73">
            <w:pPr>
              <w:rPr>
                <w:rFonts w:eastAsia="Times New Roman"/>
                <w:sz w:val="20"/>
                <w:szCs w:val="20"/>
              </w:rPr>
            </w:pPr>
          </w:p>
        </w:tc>
        <w:tc>
          <w:tcPr>
            <w:tcW w:w="0" w:type="auto"/>
            <w:vAlign w:val="center"/>
            <w:hideMark/>
          </w:tcPr>
          <w:p w14:paraId="4164AFB0" w14:textId="77777777" w:rsidR="00000000" w:rsidRDefault="00195E73">
            <w:pPr>
              <w:rPr>
                <w:rFonts w:eastAsia="Times New Roman"/>
                <w:sz w:val="20"/>
                <w:szCs w:val="20"/>
              </w:rPr>
            </w:pPr>
          </w:p>
        </w:tc>
        <w:tc>
          <w:tcPr>
            <w:tcW w:w="0" w:type="auto"/>
            <w:vAlign w:val="center"/>
            <w:hideMark/>
          </w:tcPr>
          <w:p w14:paraId="4EB4B9D2" w14:textId="77777777" w:rsidR="00000000" w:rsidRDefault="00195E73">
            <w:pPr>
              <w:rPr>
                <w:rFonts w:eastAsia="Times New Roman"/>
                <w:sz w:val="20"/>
                <w:szCs w:val="20"/>
              </w:rPr>
            </w:pPr>
          </w:p>
        </w:tc>
        <w:tc>
          <w:tcPr>
            <w:tcW w:w="0" w:type="auto"/>
            <w:vAlign w:val="center"/>
            <w:hideMark/>
          </w:tcPr>
          <w:p w14:paraId="064980B0" w14:textId="77777777" w:rsidR="00000000" w:rsidRDefault="00195E73">
            <w:pPr>
              <w:rPr>
                <w:rFonts w:eastAsia="Times New Roman"/>
                <w:sz w:val="20"/>
                <w:szCs w:val="20"/>
              </w:rPr>
            </w:pPr>
          </w:p>
        </w:tc>
        <w:tc>
          <w:tcPr>
            <w:tcW w:w="0" w:type="auto"/>
            <w:vAlign w:val="center"/>
            <w:hideMark/>
          </w:tcPr>
          <w:p w14:paraId="4CDA99C8" w14:textId="77777777" w:rsidR="00000000" w:rsidRDefault="00195E73">
            <w:pPr>
              <w:rPr>
                <w:rFonts w:eastAsia="Times New Roman"/>
                <w:sz w:val="20"/>
                <w:szCs w:val="20"/>
              </w:rPr>
            </w:pPr>
          </w:p>
        </w:tc>
        <w:tc>
          <w:tcPr>
            <w:tcW w:w="0" w:type="auto"/>
            <w:vAlign w:val="center"/>
            <w:hideMark/>
          </w:tcPr>
          <w:p w14:paraId="794A702F" w14:textId="77777777" w:rsidR="00000000" w:rsidRDefault="00195E73">
            <w:pPr>
              <w:rPr>
                <w:rFonts w:eastAsia="Times New Roman"/>
                <w:sz w:val="20"/>
                <w:szCs w:val="20"/>
              </w:rPr>
            </w:pPr>
          </w:p>
        </w:tc>
        <w:tc>
          <w:tcPr>
            <w:tcW w:w="0" w:type="auto"/>
            <w:vAlign w:val="center"/>
            <w:hideMark/>
          </w:tcPr>
          <w:p w14:paraId="37BEB5CF" w14:textId="77777777" w:rsidR="00000000" w:rsidRDefault="00195E73">
            <w:pPr>
              <w:rPr>
                <w:rFonts w:eastAsia="Times New Roman"/>
                <w:sz w:val="20"/>
                <w:szCs w:val="20"/>
              </w:rPr>
            </w:pPr>
          </w:p>
        </w:tc>
        <w:tc>
          <w:tcPr>
            <w:tcW w:w="0" w:type="auto"/>
            <w:vAlign w:val="center"/>
            <w:hideMark/>
          </w:tcPr>
          <w:p w14:paraId="2A518E0F" w14:textId="77777777" w:rsidR="00000000" w:rsidRDefault="00195E73">
            <w:pPr>
              <w:rPr>
                <w:rFonts w:eastAsia="Times New Roman"/>
                <w:sz w:val="20"/>
                <w:szCs w:val="20"/>
              </w:rPr>
            </w:pPr>
          </w:p>
        </w:tc>
        <w:tc>
          <w:tcPr>
            <w:tcW w:w="0" w:type="auto"/>
            <w:vAlign w:val="center"/>
            <w:hideMark/>
          </w:tcPr>
          <w:p w14:paraId="15C39059" w14:textId="77777777" w:rsidR="00000000" w:rsidRDefault="00195E73">
            <w:pPr>
              <w:rPr>
                <w:rFonts w:eastAsia="Times New Roman"/>
                <w:sz w:val="20"/>
                <w:szCs w:val="20"/>
              </w:rPr>
            </w:pPr>
          </w:p>
        </w:tc>
        <w:tc>
          <w:tcPr>
            <w:tcW w:w="0" w:type="auto"/>
            <w:vAlign w:val="center"/>
            <w:hideMark/>
          </w:tcPr>
          <w:p w14:paraId="0A8550F8" w14:textId="77777777" w:rsidR="00000000" w:rsidRDefault="00195E73">
            <w:pPr>
              <w:rPr>
                <w:rFonts w:eastAsia="Times New Roman"/>
                <w:sz w:val="20"/>
                <w:szCs w:val="20"/>
              </w:rPr>
            </w:pPr>
          </w:p>
        </w:tc>
        <w:tc>
          <w:tcPr>
            <w:tcW w:w="0" w:type="auto"/>
            <w:vAlign w:val="center"/>
            <w:hideMark/>
          </w:tcPr>
          <w:p w14:paraId="377FFB22" w14:textId="77777777" w:rsidR="00000000" w:rsidRDefault="00195E73">
            <w:pPr>
              <w:rPr>
                <w:rFonts w:eastAsia="Times New Roman"/>
                <w:sz w:val="20"/>
                <w:szCs w:val="20"/>
              </w:rPr>
            </w:pPr>
          </w:p>
        </w:tc>
        <w:tc>
          <w:tcPr>
            <w:tcW w:w="0" w:type="auto"/>
            <w:vAlign w:val="center"/>
            <w:hideMark/>
          </w:tcPr>
          <w:p w14:paraId="43D2144E" w14:textId="77777777" w:rsidR="00000000" w:rsidRDefault="00195E73">
            <w:pPr>
              <w:rPr>
                <w:rFonts w:eastAsia="Times New Roman"/>
                <w:sz w:val="20"/>
                <w:szCs w:val="20"/>
              </w:rPr>
            </w:pPr>
          </w:p>
        </w:tc>
        <w:tc>
          <w:tcPr>
            <w:tcW w:w="0" w:type="auto"/>
            <w:vAlign w:val="center"/>
            <w:hideMark/>
          </w:tcPr>
          <w:p w14:paraId="6D61BCB7" w14:textId="77777777" w:rsidR="00000000" w:rsidRDefault="00195E73">
            <w:pPr>
              <w:rPr>
                <w:rFonts w:eastAsia="Times New Roman"/>
                <w:sz w:val="20"/>
                <w:szCs w:val="20"/>
              </w:rPr>
            </w:pPr>
          </w:p>
        </w:tc>
        <w:tc>
          <w:tcPr>
            <w:tcW w:w="0" w:type="auto"/>
            <w:vAlign w:val="center"/>
            <w:hideMark/>
          </w:tcPr>
          <w:p w14:paraId="5991A427" w14:textId="77777777" w:rsidR="00000000" w:rsidRDefault="00195E73">
            <w:pPr>
              <w:rPr>
                <w:rFonts w:eastAsia="Times New Roman"/>
                <w:sz w:val="20"/>
                <w:szCs w:val="20"/>
              </w:rPr>
            </w:pPr>
          </w:p>
        </w:tc>
        <w:tc>
          <w:tcPr>
            <w:tcW w:w="0" w:type="auto"/>
            <w:vAlign w:val="center"/>
            <w:hideMark/>
          </w:tcPr>
          <w:p w14:paraId="435346C2" w14:textId="77777777" w:rsidR="00000000" w:rsidRDefault="00195E73">
            <w:pPr>
              <w:rPr>
                <w:rFonts w:eastAsia="Times New Roman"/>
                <w:sz w:val="20"/>
                <w:szCs w:val="20"/>
              </w:rPr>
            </w:pPr>
          </w:p>
        </w:tc>
        <w:tc>
          <w:tcPr>
            <w:tcW w:w="0" w:type="auto"/>
            <w:vAlign w:val="center"/>
            <w:hideMark/>
          </w:tcPr>
          <w:p w14:paraId="6CCE4B1A" w14:textId="77777777" w:rsidR="00000000" w:rsidRDefault="00195E73">
            <w:pPr>
              <w:rPr>
                <w:rFonts w:eastAsia="Times New Roman"/>
                <w:sz w:val="20"/>
                <w:szCs w:val="20"/>
              </w:rPr>
            </w:pPr>
          </w:p>
        </w:tc>
      </w:tr>
      <w:tr w:rsidR="00000000" w14:paraId="03EBBCD4" w14:textId="77777777">
        <w:trPr>
          <w:divId w:val="1673147082"/>
          <w:jc w:val="center"/>
        </w:trPr>
        <w:tc>
          <w:tcPr>
            <w:tcW w:w="0" w:type="auto"/>
            <w:gridSpan w:val="3"/>
            <w:shd w:val="clear" w:color="auto" w:fill="CCEEFF"/>
            <w:tcMar>
              <w:top w:w="30" w:type="dxa"/>
              <w:left w:w="20" w:type="dxa"/>
              <w:bottom w:w="30" w:type="dxa"/>
              <w:right w:w="20" w:type="dxa"/>
            </w:tcMar>
            <w:vAlign w:val="bottom"/>
            <w:hideMark/>
          </w:tcPr>
          <w:p w14:paraId="22204BBE" w14:textId="77777777" w:rsidR="00000000" w:rsidRDefault="00195E73">
            <w:pPr>
              <w:ind w:hanging="180"/>
              <w:divId w:val="1970746014"/>
              <w:rPr>
                <w:rFonts w:eastAsia="Times New Roman"/>
              </w:rPr>
            </w:pPr>
            <w:r>
              <w:rPr>
                <w:rFonts w:eastAsia="Times New Roman"/>
                <w:color w:val="000000"/>
                <w:sz w:val="18"/>
                <w:szCs w:val="18"/>
              </w:rPr>
              <w:t>Dividends and distributions to non-controlling interests in subsidiarie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14:paraId="4C068DE4"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27E43D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0FC503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9D222B"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934B89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699708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800EA4"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6BE8A9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6D8652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AC7064" w14:textId="77777777" w:rsidR="00000000" w:rsidRDefault="00195E73">
            <w:pPr>
              <w:jc w:val="right"/>
              <w:rPr>
                <w:rFonts w:eastAsia="Times New Roman"/>
              </w:rPr>
            </w:pPr>
            <w:r>
              <w:rPr>
                <w:rFonts w:eastAsia="Times New Roman"/>
                <w:color w:val="000000"/>
                <w:sz w:val="18"/>
                <w:szCs w:val="18"/>
              </w:rPr>
              <w:t>(153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4060782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FEE697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514A16" w14:textId="77777777" w:rsidR="00000000" w:rsidRDefault="00195E73">
            <w:pPr>
              <w:jc w:val="right"/>
              <w:rPr>
                <w:rFonts w:eastAsia="Times New Roman"/>
              </w:rPr>
            </w:pPr>
            <w:r>
              <w:rPr>
                <w:rFonts w:eastAsia="Times New Roman"/>
                <w:color w:val="000000"/>
                <w:sz w:val="18"/>
                <w:szCs w:val="18"/>
              </w:rPr>
              <w:t>(153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193DC86"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107FD2CE" w14:textId="77777777" w:rsidR="00000000" w:rsidRDefault="00195E73">
            <w:pPr>
              <w:rPr>
                <w:rFonts w:eastAsia="Times New Roman"/>
                <w:sz w:val="20"/>
                <w:szCs w:val="20"/>
              </w:rPr>
            </w:pPr>
          </w:p>
        </w:tc>
        <w:tc>
          <w:tcPr>
            <w:tcW w:w="0" w:type="auto"/>
            <w:vAlign w:val="center"/>
            <w:hideMark/>
          </w:tcPr>
          <w:p w14:paraId="12C6DF50" w14:textId="77777777" w:rsidR="00000000" w:rsidRDefault="00195E73">
            <w:pPr>
              <w:rPr>
                <w:rFonts w:eastAsia="Times New Roman"/>
                <w:sz w:val="20"/>
                <w:szCs w:val="20"/>
              </w:rPr>
            </w:pPr>
          </w:p>
        </w:tc>
        <w:tc>
          <w:tcPr>
            <w:tcW w:w="0" w:type="auto"/>
            <w:vAlign w:val="center"/>
            <w:hideMark/>
          </w:tcPr>
          <w:p w14:paraId="7271B58F" w14:textId="77777777" w:rsidR="00000000" w:rsidRDefault="00195E73">
            <w:pPr>
              <w:rPr>
                <w:rFonts w:eastAsia="Times New Roman"/>
                <w:sz w:val="20"/>
                <w:szCs w:val="20"/>
              </w:rPr>
            </w:pPr>
          </w:p>
        </w:tc>
        <w:tc>
          <w:tcPr>
            <w:tcW w:w="0" w:type="auto"/>
            <w:vAlign w:val="center"/>
            <w:hideMark/>
          </w:tcPr>
          <w:p w14:paraId="0F4F2351" w14:textId="77777777" w:rsidR="00000000" w:rsidRDefault="00195E73">
            <w:pPr>
              <w:rPr>
                <w:rFonts w:eastAsia="Times New Roman"/>
                <w:sz w:val="20"/>
                <w:szCs w:val="20"/>
              </w:rPr>
            </w:pPr>
          </w:p>
        </w:tc>
        <w:tc>
          <w:tcPr>
            <w:tcW w:w="0" w:type="auto"/>
            <w:vAlign w:val="center"/>
            <w:hideMark/>
          </w:tcPr>
          <w:p w14:paraId="6A0A9159" w14:textId="77777777" w:rsidR="00000000" w:rsidRDefault="00195E73">
            <w:pPr>
              <w:rPr>
                <w:rFonts w:eastAsia="Times New Roman"/>
                <w:sz w:val="20"/>
                <w:szCs w:val="20"/>
              </w:rPr>
            </w:pPr>
          </w:p>
        </w:tc>
        <w:tc>
          <w:tcPr>
            <w:tcW w:w="0" w:type="auto"/>
            <w:vAlign w:val="center"/>
            <w:hideMark/>
          </w:tcPr>
          <w:p w14:paraId="3276E2A4" w14:textId="77777777" w:rsidR="00000000" w:rsidRDefault="00195E73">
            <w:pPr>
              <w:rPr>
                <w:rFonts w:eastAsia="Times New Roman"/>
                <w:sz w:val="20"/>
                <w:szCs w:val="20"/>
              </w:rPr>
            </w:pPr>
          </w:p>
        </w:tc>
        <w:tc>
          <w:tcPr>
            <w:tcW w:w="0" w:type="auto"/>
            <w:vAlign w:val="center"/>
            <w:hideMark/>
          </w:tcPr>
          <w:p w14:paraId="15E18938" w14:textId="77777777" w:rsidR="00000000" w:rsidRDefault="00195E73">
            <w:pPr>
              <w:rPr>
                <w:rFonts w:eastAsia="Times New Roman"/>
                <w:sz w:val="20"/>
                <w:szCs w:val="20"/>
              </w:rPr>
            </w:pPr>
          </w:p>
        </w:tc>
        <w:tc>
          <w:tcPr>
            <w:tcW w:w="0" w:type="auto"/>
            <w:vAlign w:val="center"/>
            <w:hideMark/>
          </w:tcPr>
          <w:p w14:paraId="0859E271" w14:textId="77777777" w:rsidR="00000000" w:rsidRDefault="00195E73">
            <w:pPr>
              <w:rPr>
                <w:rFonts w:eastAsia="Times New Roman"/>
                <w:sz w:val="20"/>
                <w:szCs w:val="20"/>
              </w:rPr>
            </w:pPr>
          </w:p>
        </w:tc>
        <w:tc>
          <w:tcPr>
            <w:tcW w:w="0" w:type="auto"/>
            <w:vAlign w:val="center"/>
            <w:hideMark/>
          </w:tcPr>
          <w:p w14:paraId="7B50CC42" w14:textId="77777777" w:rsidR="00000000" w:rsidRDefault="00195E73">
            <w:pPr>
              <w:rPr>
                <w:rFonts w:eastAsia="Times New Roman"/>
                <w:sz w:val="20"/>
                <w:szCs w:val="20"/>
              </w:rPr>
            </w:pPr>
          </w:p>
        </w:tc>
        <w:tc>
          <w:tcPr>
            <w:tcW w:w="0" w:type="auto"/>
            <w:vAlign w:val="center"/>
            <w:hideMark/>
          </w:tcPr>
          <w:p w14:paraId="65B8FD8E" w14:textId="77777777" w:rsidR="00000000" w:rsidRDefault="00195E73">
            <w:pPr>
              <w:rPr>
                <w:rFonts w:eastAsia="Times New Roman"/>
                <w:sz w:val="20"/>
                <w:szCs w:val="20"/>
              </w:rPr>
            </w:pPr>
          </w:p>
        </w:tc>
        <w:tc>
          <w:tcPr>
            <w:tcW w:w="0" w:type="auto"/>
            <w:vAlign w:val="center"/>
            <w:hideMark/>
          </w:tcPr>
          <w:p w14:paraId="04E41AEA" w14:textId="77777777" w:rsidR="00000000" w:rsidRDefault="00195E73">
            <w:pPr>
              <w:rPr>
                <w:rFonts w:eastAsia="Times New Roman"/>
                <w:sz w:val="20"/>
                <w:szCs w:val="20"/>
              </w:rPr>
            </w:pPr>
          </w:p>
        </w:tc>
        <w:tc>
          <w:tcPr>
            <w:tcW w:w="0" w:type="auto"/>
            <w:vAlign w:val="center"/>
            <w:hideMark/>
          </w:tcPr>
          <w:p w14:paraId="3DE92CD1" w14:textId="77777777" w:rsidR="00000000" w:rsidRDefault="00195E73">
            <w:pPr>
              <w:rPr>
                <w:rFonts w:eastAsia="Times New Roman"/>
                <w:sz w:val="20"/>
                <w:szCs w:val="20"/>
              </w:rPr>
            </w:pPr>
          </w:p>
        </w:tc>
        <w:tc>
          <w:tcPr>
            <w:tcW w:w="0" w:type="auto"/>
            <w:vAlign w:val="center"/>
            <w:hideMark/>
          </w:tcPr>
          <w:p w14:paraId="35693567" w14:textId="77777777" w:rsidR="00000000" w:rsidRDefault="00195E73">
            <w:pPr>
              <w:rPr>
                <w:rFonts w:eastAsia="Times New Roman"/>
                <w:sz w:val="20"/>
                <w:szCs w:val="20"/>
              </w:rPr>
            </w:pPr>
          </w:p>
        </w:tc>
        <w:tc>
          <w:tcPr>
            <w:tcW w:w="0" w:type="auto"/>
            <w:vAlign w:val="center"/>
            <w:hideMark/>
          </w:tcPr>
          <w:p w14:paraId="20328457" w14:textId="77777777" w:rsidR="00000000" w:rsidRDefault="00195E73">
            <w:pPr>
              <w:rPr>
                <w:rFonts w:eastAsia="Times New Roman"/>
                <w:sz w:val="20"/>
                <w:szCs w:val="20"/>
              </w:rPr>
            </w:pPr>
          </w:p>
        </w:tc>
        <w:tc>
          <w:tcPr>
            <w:tcW w:w="0" w:type="auto"/>
            <w:vAlign w:val="center"/>
            <w:hideMark/>
          </w:tcPr>
          <w:p w14:paraId="4D0BC1DD" w14:textId="77777777" w:rsidR="00000000" w:rsidRDefault="00195E73">
            <w:pPr>
              <w:rPr>
                <w:rFonts w:eastAsia="Times New Roman"/>
                <w:sz w:val="20"/>
                <w:szCs w:val="20"/>
              </w:rPr>
            </w:pPr>
          </w:p>
        </w:tc>
        <w:tc>
          <w:tcPr>
            <w:tcW w:w="0" w:type="auto"/>
            <w:vAlign w:val="center"/>
            <w:hideMark/>
          </w:tcPr>
          <w:p w14:paraId="57192755" w14:textId="77777777" w:rsidR="00000000" w:rsidRDefault="00195E73">
            <w:pPr>
              <w:rPr>
                <w:rFonts w:eastAsia="Times New Roman"/>
                <w:sz w:val="20"/>
                <w:szCs w:val="20"/>
              </w:rPr>
            </w:pPr>
          </w:p>
        </w:tc>
        <w:tc>
          <w:tcPr>
            <w:tcW w:w="0" w:type="auto"/>
            <w:vAlign w:val="center"/>
            <w:hideMark/>
          </w:tcPr>
          <w:p w14:paraId="7B06BEDE" w14:textId="77777777" w:rsidR="00000000" w:rsidRDefault="00195E73">
            <w:pPr>
              <w:rPr>
                <w:rFonts w:eastAsia="Times New Roman"/>
                <w:sz w:val="20"/>
                <w:szCs w:val="20"/>
              </w:rPr>
            </w:pPr>
          </w:p>
        </w:tc>
        <w:tc>
          <w:tcPr>
            <w:tcW w:w="0" w:type="auto"/>
            <w:vAlign w:val="center"/>
            <w:hideMark/>
          </w:tcPr>
          <w:p w14:paraId="4CD5466E" w14:textId="77777777" w:rsidR="00000000" w:rsidRDefault="00195E73">
            <w:pPr>
              <w:rPr>
                <w:rFonts w:eastAsia="Times New Roman"/>
                <w:sz w:val="20"/>
                <w:szCs w:val="20"/>
              </w:rPr>
            </w:pPr>
          </w:p>
        </w:tc>
        <w:tc>
          <w:tcPr>
            <w:tcW w:w="0" w:type="auto"/>
            <w:vAlign w:val="center"/>
            <w:hideMark/>
          </w:tcPr>
          <w:p w14:paraId="2CFBC680" w14:textId="77777777" w:rsidR="00000000" w:rsidRDefault="00195E73">
            <w:pPr>
              <w:rPr>
                <w:rFonts w:eastAsia="Times New Roman"/>
                <w:sz w:val="20"/>
                <w:szCs w:val="20"/>
              </w:rPr>
            </w:pPr>
          </w:p>
        </w:tc>
        <w:tc>
          <w:tcPr>
            <w:tcW w:w="0" w:type="auto"/>
            <w:vAlign w:val="center"/>
            <w:hideMark/>
          </w:tcPr>
          <w:p w14:paraId="51FADC7D" w14:textId="77777777" w:rsidR="00000000" w:rsidRDefault="00195E73">
            <w:pPr>
              <w:rPr>
                <w:rFonts w:eastAsia="Times New Roman"/>
                <w:sz w:val="20"/>
                <w:szCs w:val="20"/>
              </w:rPr>
            </w:pPr>
          </w:p>
        </w:tc>
        <w:tc>
          <w:tcPr>
            <w:tcW w:w="0" w:type="auto"/>
            <w:vAlign w:val="center"/>
            <w:hideMark/>
          </w:tcPr>
          <w:p w14:paraId="1FE985E6" w14:textId="77777777" w:rsidR="00000000" w:rsidRDefault="00195E73">
            <w:pPr>
              <w:rPr>
                <w:rFonts w:eastAsia="Times New Roman"/>
                <w:sz w:val="20"/>
                <w:szCs w:val="20"/>
              </w:rPr>
            </w:pPr>
          </w:p>
        </w:tc>
        <w:tc>
          <w:tcPr>
            <w:tcW w:w="0" w:type="auto"/>
            <w:vAlign w:val="center"/>
            <w:hideMark/>
          </w:tcPr>
          <w:p w14:paraId="5CC27DE7" w14:textId="77777777" w:rsidR="00000000" w:rsidRDefault="00195E73">
            <w:pPr>
              <w:rPr>
                <w:rFonts w:eastAsia="Times New Roman"/>
                <w:sz w:val="20"/>
                <w:szCs w:val="20"/>
              </w:rPr>
            </w:pPr>
          </w:p>
        </w:tc>
        <w:tc>
          <w:tcPr>
            <w:tcW w:w="0" w:type="auto"/>
            <w:vAlign w:val="center"/>
            <w:hideMark/>
          </w:tcPr>
          <w:p w14:paraId="2C64ED59" w14:textId="77777777" w:rsidR="00000000" w:rsidRDefault="00195E73">
            <w:pPr>
              <w:rPr>
                <w:rFonts w:eastAsia="Times New Roman"/>
                <w:sz w:val="20"/>
                <w:szCs w:val="20"/>
              </w:rPr>
            </w:pPr>
          </w:p>
        </w:tc>
        <w:tc>
          <w:tcPr>
            <w:tcW w:w="0" w:type="auto"/>
            <w:vAlign w:val="center"/>
            <w:hideMark/>
          </w:tcPr>
          <w:p w14:paraId="36F22E6C" w14:textId="77777777" w:rsidR="00000000" w:rsidRDefault="00195E73">
            <w:pPr>
              <w:rPr>
                <w:rFonts w:eastAsia="Times New Roman"/>
                <w:sz w:val="20"/>
                <w:szCs w:val="20"/>
              </w:rPr>
            </w:pPr>
          </w:p>
        </w:tc>
      </w:tr>
      <w:tr w:rsidR="00000000" w14:paraId="1C476D23" w14:textId="77777777">
        <w:trPr>
          <w:divId w:val="1673147082"/>
          <w:jc w:val="center"/>
        </w:trPr>
        <w:tc>
          <w:tcPr>
            <w:tcW w:w="0" w:type="auto"/>
            <w:gridSpan w:val="3"/>
            <w:shd w:val="clear" w:color="auto" w:fill="FFFFFF"/>
            <w:tcMar>
              <w:top w:w="30" w:type="dxa"/>
              <w:left w:w="20" w:type="dxa"/>
              <w:bottom w:w="30" w:type="dxa"/>
              <w:right w:w="20" w:type="dxa"/>
            </w:tcMar>
            <w:vAlign w:val="bottom"/>
            <w:hideMark/>
          </w:tcPr>
          <w:p w14:paraId="05B7D175" w14:textId="77777777" w:rsidR="00000000" w:rsidRDefault="00195E73">
            <w:pPr>
              <w:ind w:hanging="180"/>
              <w:divId w:val="1887716847"/>
              <w:rPr>
                <w:rFonts w:eastAsia="Times New Roman"/>
              </w:rPr>
            </w:pPr>
            <w:r>
              <w:rPr>
                <w:rFonts w:eastAsia="Times New Roman"/>
                <w:color w:val="000000"/>
                <w:sz w:val="18"/>
                <w:szCs w:val="18"/>
              </w:rPr>
              <w:t>Cumulative effect adjustment from adoption of accounting principl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14:paraId="77EB3112"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14C668E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AB2B54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E1B624" w14:textId="77777777" w:rsidR="00000000" w:rsidRDefault="00195E73">
            <w:pPr>
              <w:jc w:val="right"/>
              <w:rPr>
                <w:rFonts w:eastAsia="Times New Roman"/>
              </w:rPr>
            </w:pPr>
            <w:r>
              <w:rPr>
                <w:rFonts w:eastAsia="Times New Roman"/>
                <w:color w:val="000000"/>
                <w:sz w:val="18"/>
                <w:szCs w:val="18"/>
              </w:rPr>
              <w:t>(28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7215703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B8013A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7FB82D" w14:textId="77777777" w:rsidR="00000000" w:rsidRDefault="00195E73">
            <w:pPr>
              <w:jc w:val="right"/>
              <w:rPr>
                <w:rFonts w:eastAsia="Times New Roman"/>
              </w:rPr>
            </w:pPr>
            <w:r>
              <w:rPr>
                <w:rFonts w:eastAsia="Times New Roman"/>
                <w:color w:val="000000"/>
                <w:sz w:val="18"/>
                <w:szCs w:val="18"/>
              </w:rPr>
              <w:t>(29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2DC9788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520C4C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28FC6C"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068B30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BA997E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35F3EF" w14:textId="77777777" w:rsidR="00000000" w:rsidRDefault="00195E73">
            <w:pPr>
              <w:jc w:val="right"/>
              <w:rPr>
                <w:rFonts w:eastAsia="Times New Roman"/>
              </w:rPr>
            </w:pPr>
            <w:r>
              <w:rPr>
                <w:rFonts w:eastAsia="Times New Roman"/>
                <w:color w:val="000000"/>
                <w:sz w:val="18"/>
                <w:szCs w:val="18"/>
              </w:rPr>
              <w:t>(29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24DBB7F8"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1C2D7C03" w14:textId="77777777" w:rsidR="00000000" w:rsidRDefault="00195E73">
            <w:pPr>
              <w:rPr>
                <w:rFonts w:eastAsia="Times New Roman"/>
                <w:sz w:val="20"/>
                <w:szCs w:val="20"/>
              </w:rPr>
            </w:pPr>
          </w:p>
        </w:tc>
        <w:tc>
          <w:tcPr>
            <w:tcW w:w="0" w:type="auto"/>
            <w:vAlign w:val="center"/>
            <w:hideMark/>
          </w:tcPr>
          <w:p w14:paraId="17FB4D8B" w14:textId="77777777" w:rsidR="00000000" w:rsidRDefault="00195E73">
            <w:pPr>
              <w:rPr>
                <w:rFonts w:eastAsia="Times New Roman"/>
                <w:sz w:val="20"/>
                <w:szCs w:val="20"/>
              </w:rPr>
            </w:pPr>
          </w:p>
        </w:tc>
        <w:tc>
          <w:tcPr>
            <w:tcW w:w="0" w:type="auto"/>
            <w:vAlign w:val="center"/>
            <w:hideMark/>
          </w:tcPr>
          <w:p w14:paraId="1EDA87CB" w14:textId="77777777" w:rsidR="00000000" w:rsidRDefault="00195E73">
            <w:pPr>
              <w:rPr>
                <w:rFonts w:eastAsia="Times New Roman"/>
                <w:sz w:val="20"/>
                <w:szCs w:val="20"/>
              </w:rPr>
            </w:pPr>
          </w:p>
        </w:tc>
        <w:tc>
          <w:tcPr>
            <w:tcW w:w="0" w:type="auto"/>
            <w:vAlign w:val="center"/>
            <w:hideMark/>
          </w:tcPr>
          <w:p w14:paraId="4098365C" w14:textId="77777777" w:rsidR="00000000" w:rsidRDefault="00195E73">
            <w:pPr>
              <w:rPr>
                <w:rFonts w:eastAsia="Times New Roman"/>
                <w:sz w:val="20"/>
                <w:szCs w:val="20"/>
              </w:rPr>
            </w:pPr>
          </w:p>
        </w:tc>
        <w:tc>
          <w:tcPr>
            <w:tcW w:w="0" w:type="auto"/>
            <w:vAlign w:val="center"/>
            <w:hideMark/>
          </w:tcPr>
          <w:p w14:paraId="2A6A496E" w14:textId="77777777" w:rsidR="00000000" w:rsidRDefault="00195E73">
            <w:pPr>
              <w:rPr>
                <w:rFonts w:eastAsia="Times New Roman"/>
                <w:sz w:val="20"/>
                <w:szCs w:val="20"/>
              </w:rPr>
            </w:pPr>
          </w:p>
        </w:tc>
        <w:tc>
          <w:tcPr>
            <w:tcW w:w="0" w:type="auto"/>
            <w:vAlign w:val="center"/>
            <w:hideMark/>
          </w:tcPr>
          <w:p w14:paraId="4A8FCAEA" w14:textId="77777777" w:rsidR="00000000" w:rsidRDefault="00195E73">
            <w:pPr>
              <w:rPr>
                <w:rFonts w:eastAsia="Times New Roman"/>
                <w:sz w:val="20"/>
                <w:szCs w:val="20"/>
              </w:rPr>
            </w:pPr>
          </w:p>
        </w:tc>
        <w:tc>
          <w:tcPr>
            <w:tcW w:w="0" w:type="auto"/>
            <w:vAlign w:val="center"/>
            <w:hideMark/>
          </w:tcPr>
          <w:p w14:paraId="09685791" w14:textId="77777777" w:rsidR="00000000" w:rsidRDefault="00195E73">
            <w:pPr>
              <w:rPr>
                <w:rFonts w:eastAsia="Times New Roman"/>
                <w:sz w:val="20"/>
                <w:szCs w:val="20"/>
              </w:rPr>
            </w:pPr>
          </w:p>
        </w:tc>
        <w:tc>
          <w:tcPr>
            <w:tcW w:w="0" w:type="auto"/>
            <w:vAlign w:val="center"/>
            <w:hideMark/>
          </w:tcPr>
          <w:p w14:paraId="02F40004" w14:textId="77777777" w:rsidR="00000000" w:rsidRDefault="00195E73">
            <w:pPr>
              <w:rPr>
                <w:rFonts w:eastAsia="Times New Roman"/>
                <w:sz w:val="20"/>
                <w:szCs w:val="20"/>
              </w:rPr>
            </w:pPr>
          </w:p>
        </w:tc>
        <w:tc>
          <w:tcPr>
            <w:tcW w:w="0" w:type="auto"/>
            <w:vAlign w:val="center"/>
            <w:hideMark/>
          </w:tcPr>
          <w:p w14:paraId="65B13E9E" w14:textId="77777777" w:rsidR="00000000" w:rsidRDefault="00195E73">
            <w:pPr>
              <w:rPr>
                <w:rFonts w:eastAsia="Times New Roman"/>
                <w:sz w:val="20"/>
                <w:szCs w:val="20"/>
              </w:rPr>
            </w:pPr>
          </w:p>
        </w:tc>
        <w:tc>
          <w:tcPr>
            <w:tcW w:w="0" w:type="auto"/>
            <w:vAlign w:val="center"/>
            <w:hideMark/>
          </w:tcPr>
          <w:p w14:paraId="5BBC10D6" w14:textId="77777777" w:rsidR="00000000" w:rsidRDefault="00195E73">
            <w:pPr>
              <w:rPr>
                <w:rFonts w:eastAsia="Times New Roman"/>
                <w:sz w:val="20"/>
                <w:szCs w:val="20"/>
              </w:rPr>
            </w:pPr>
          </w:p>
        </w:tc>
        <w:tc>
          <w:tcPr>
            <w:tcW w:w="0" w:type="auto"/>
            <w:vAlign w:val="center"/>
            <w:hideMark/>
          </w:tcPr>
          <w:p w14:paraId="58DEBFA0" w14:textId="77777777" w:rsidR="00000000" w:rsidRDefault="00195E73">
            <w:pPr>
              <w:rPr>
                <w:rFonts w:eastAsia="Times New Roman"/>
                <w:sz w:val="20"/>
                <w:szCs w:val="20"/>
              </w:rPr>
            </w:pPr>
          </w:p>
        </w:tc>
        <w:tc>
          <w:tcPr>
            <w:tcW w:w="0" w:type="auto"/>
            <w:vAlign w:val="center"/>
            <w:hideMark/>
          </w:tcPr>
          <w:p w14:paraId="746A4DD0" w14:textId="77777777" w:rsidR="00000000" w:rsidRDefault="00195E73">
            <w:pPr>
              <w:rPr>
                <w:rFonts w:eastAsia="Times New Roman"/>
                <w:sz w:val="20"/>
                <w:szCs w:val="20"/>
              </w:rPr>
            </w:pPr>
          </w:p>
        </w:tc>
        <w:tc>
          <w:tcPr>
            <w:tcW w:w="0" w:type="auto"/>
            <w:vAlign w:val="center"/>
            <w:hideMark/>
          </w:tcPr>
          <w:p w14:paraId="2D382BF6" w14:textId="77777777" w:rsidR="00000000" w:rsidRDefault="00195E73">
            <w:pPr>
              <w:rPr>
                <w:rFonts w:eastAsia="Times New Roman"/>
                <w:sz w:val="20"/>
                <w:szCs w:val="20"/>
              </w:rPr>
            </w:pPr>
          </w:p>
        </w:tc>
        <w:tc>
          <w:tcPr>
            <w:tcW w:w="0" w:type="auto"/>
            <w:vAlign w:val="center"/>
            <w:hideMark/>
          </w:tcPr>
          <w:p w14:paraId="5EFB3888" w14:textId="77777777" w:rsidR="00000000" w:rsidRDefault="00195E73">
            <w:pPr>
              <w:rPr>
                <w:rFonts w:eastAsia="Times New Roman"/>
                <w:sz w:val="20"/>
                <w:szCs w:val="20"/>
              </w:rPr>
            </w:pPr>
          </w:p>
        </w:tc>
        <w:tc>
          <w:tcPr>
            <w:tcW w:w="0" w:type="auto"/>
            <w:vAlign w:val="center"/>
            <w:hideMark/>
          </w:tcPr>
          <w:p w14:paraId="66B4B423" w14:textId="77777777" w:rsidR="00000000" w:rsidRDefault="00195E73">
            <w:pPr>
              <w:rPr>
                <w:rFonts w:eastAsia="Times New Roman"/>
                <w:sz w:val="20"/>
                <w:szCs w:val="20"/>
              </w:rPr>
            </w:pPr>
          </w:p>
        </w:tc>
        <w:tc>
          <w:tcPr>
            <w:tcW w:w="0" w:type="auto"/>
            <w:vAlign w:val="center"/>
            <w:hideMark/>
          </w:tcPr>
          <w:p w14:paraId="3D6F90C9" w14:textId="77777777" w:rsidR="00000000" w:rsidRDefault="00195E73">
            <w:pPr>
              <w:rPr>
                <w:rFonts w:eastAsia="Times New Roman"/>
                <w:sz w:val="20"/>
                <w:szCs w:val="20"/>
              </w:rPr>
            </w:pPr>
          </w:p>
        </w:tc>
        <w:tc>
          <w:tcPr>
            <w:tcW w:w="0" w:type="auto"/>
            <w:vAlign w:val="center"/>
            <w:hideMark/>
          </w:tcPr>
          <w:p w14:paraId="7C124256" w14:textId="77777777" w:rsidR="00000000" w:rsidRDefault="00195E73">
            <w:pPr>
              <w:rPr>
                <w:rFonts w:eastAsia="Times New Roman"/>
                <w:sz w:val="20"/>
                <w:szCs w:val="20"/>
              </w:rPr>
            </w:pPr>
          </w:p>
        </w:tc>
        <w:tc>
          <w:tcPr>
            <w:tcW w:w="0" w:type="auto"/>
            <w:vAlign w:val="center"/>
            <w:hideMark/>
          </w:tcPr>
          <w:p w14:paraId="6387DCD8" w14:textId="77777777" w:rsidR="00000000" w:rsidRDefault="00195E73">
            <w:pPr>
              <w:rPr>
                <w:rFonts w:eastAsia="Times New Roman"/>
                <w:sz w:val="20"/>
                <w:szCs w:val="20"/>
              </w:rPr>
            </w:pPr>
          </w:p>
        </w:tc>
        <w:tc>
          <w:tcPr>
            <w:tcW w:w="0" w:type="auto"/>
            <w:vAlign w:val="center"/>
            <w:hideMark/>
          </w:tcPr>
          <w:p w14:paraId="6E303131" w14:textId="77777777" w:rsidR="00000000" w:rsidRDefault="00195E73">
            <w:pPr>
              <w:rPr>
                <w:rFonts w:eastAsia="Times New Roman"/>
                <w:sz w:val="20"/>
                <w:szCs w:val="20"/>
              </w:rPr>
            </w:pPr>
          </w:p>
        </w:tc>
        <w:tc>
          <w:tcPr>
            <w:tcW w:w="0" w:type="auto"/>
            <w:vAlign w:val="center"/>
            <w:hideMark/>
          </w:tcPr>
          <w:p w14:paraId="49DC2620" w14:textId="77777777" w:rsidR="00000000" w:rsidRDefault="00195E73">
            <w:pPr>
              <w:rPr>
                <w:rFonts w:eastAsia="Times New Roman"/>
                <w:sz w:val="20"/>
                <w:szCs w:val="20"/>
              </w:rPr>
            </w:pPr>
          </w:p>
        </w:tc>
        <w:tc>
          <w:tcPr>
            <w:tcW w:w="0" w:type="auto"/>
            <w:vAlign w:val="center"/>
            <w:hideMark/>
          </w:tcPr>
          <w:p w14:paraId="1DAF873F" w14:textId="77777777" w:rsidR="00000000" w:rsidRDefault="00195E73">
            <w:pPr>
              <w:rPr>
                <w:rFonts w:eastAsia="Times New Roman"/>
                <w:sz w:val="20"/>
                <w:szCs w:val="20"/>
              </w:rPr>
            </w:pPr>
          </w:p>
        </w:tc>
        <w:tc>
          <w:tcPr>
            <w:tcW w:w="0" w:type="auto"/>
            <w:vAlign w:val="center"/>
            <w:hideMark/>
          </w:tcPr>
          <w:p w14:paraId="71E44BC2" w14:textId="77777777" w:rsidR="00000000" w:rsidRDefault="00195E73">
            <w:pPr>
              <w:rPr>
                <w:rFonts w:eastAsia="Times New Roman"/>
                <w:sz w:val="20"/>
                <w:szCs w:val="20"/>
              </w:rPr>
            </w:pPr>
          </w:p>
        </w:tc>
        <w:tc>
          <w:tcPr>
            <w:tcW w:w="0" w:type="auto"/>
            <w:vAlign w:val="center"/>
            <w:hideMark/>
          </w:tcPr>
          <w:p w14:paraId="5E3B4371" w14:textId="77777777" w:rsidR="00000000" w:rsidRDefault="00195E73">
            <w:pPr>
              <w:rPr>
                <w:rFonts w:eastAsia="Times New Roman"/>
                <w:sz w:val="20"/>
                <w:szCs w:val="20"/>
              </w:rPr>
            </w:pPr>
          </w:p>
        </w:tc>
        <w:tc>
          <w:tcPr>
            <w:tcW w:w="0" w:type="auto"/>
            <w:vAlign w:val="center"/>
            <w:hideMark/>
          </w:tcPr>
          <w:p w14:paraId="22972A88" w14:textId="77777777" w:rsidR="00000000" w:rsidRDefault="00195E73">
            <w:pPr>
              <w:rPr>
                <w:rFonts w:eastAsia="Times New Roman"/>
                <w:sz w:val="20"/>
                <w:szCs w:val="20"/>
              </w:rPr>
            </w:pPr>
          </w:p>
        </w:tc>
      </w:tr>
      <w:tr w:rsidR="00000000" w14:paraId="1C9933E2" w14:textId="77777777">
        <w:trPr>
          <w:divId w:val="1673147082"/>
          <w:jc w:val="center"/>
        </w:trPr>
        <w:tc>
          <w:tcPr>
            <w:tcW w:w="0" w:type="auto"/>
            <w:gridSpan w:val="3"/>
            <w:shd w:val="clear" w:color="auto" w:fill="CCEEFF"/>
            <w:tcMar>
              <w:top w:w="30" w:type="dxa"/>
              <w:left w:w="20" w:type="dxa"/>
              <w:bottom w:w="30" w:type="dxa"/>
              <w:right w:w="20" w:type="dxa"/>
            </w:tcMar>
            <w:vAlign w:val="bottom"/>
            <w:hideMark/>
          </w:tcPr>
          <w:p w14:paraId="7B32A75C" w14:textId="77777777" w:rsidR="00000000" w:rsidRDefault="00195E73">
            <w:pPr>
              <w:rPr>
                <w:rFonts w:eastAsia="Times New Roman"/>
              </w:rPr>
            </w:pPr>
            <w:r>
              <w:rPr>
                <w:rFonts w:eastAsia="Times New Roman"/>
                <w:color w:val="000000"/>
                <w:sz w:val="18"/>
                <w:szCs w:val="18"/>
              </w:rPr>
              <w:t>Changes in subsidiary equity and 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14:paraId="614B77D8" w14:textId="77777777" w:rsidR="00000000" w:rsidRDefault="00195E73">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7418A6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866C78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01CF3A" w14:textId="77777777" w:rsidR="00000000" w:rsidRDefault="00195E73">
            <w:pPr>
              <w:jc w:val="right"/>
              <w:rPr>
                <w:rFonts w:eastAsia="Times New Roman"/>
              </w:rPr>
            </w:pPr>
            <w:r>
              <w:rPr>
                <w:rFonts w:eastAsia="Times New Roman"/>
                <w:color w:val="000000"/>
                <w:sz w:val="18"/>
                <w:szCs w:val="18"/>
              </w:rPr>
              <w:t>92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277B29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50B58D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5C3866" w14:textId="77777777" w:rsidR="00000000" w:rsidRDefault="00195E73">
            <w:pPr>
              <w:jc w:val="right"/>
              <w:rPr>
                <w:rFonts w:eastAsia="Times New Roman"/>
              </w:rPr>
            </w:pPr>
            <w:r>
              <w:rPr>
                <w:rFonts w:eastAsia="Times New Roman"/>
                <w:color w:val="000000"/>
                <w:sz w:val="18"/>
                <w:szCs w:val="18"/>
              </w:rPr>
              <w:t>97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1FEC8A7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08959F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4D24EF" w14:textId="77777777" w:rsidR="00000000" w:rsidRDefault="00195E73">
            <w:pPr>
              <w:jc w:val="right"/>
              <w:rPr>
                <w:rFonts w:eastAsia="Times New Roman"/>
              </w:rPr>
            </w:pPr>
            <w:r>
              <w:rPr>
                <w:rFonts w:eastAsia="Times New Roman"/>
                <w:color w:val="000000"/>
                <w:sz w:val="18"/>
                <w:szCs w:val="18"/>
              </w:rPr>
              <w:t>(567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6A8EB43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FA5C36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46438D" w14:textId="77777777" w:rsidR="00000000" w:rsidRDefault="00195E73">
            <w:pPr>
              <w:jc w:val="right"/>
              <w:rPr>
                <w:rFonts w:eastAsia="Times New Roman"/>
              </w:rPr>
            </w:pPr>
            <w:r>
              <w:rPr>
                <w:rFonts w:eastAsia="Times New Roman"/>
                <w:color w:val="000000"/>
                <w:sz w:val="18"/>
                <w:szCs w:val="18"/>
              </w:rPr>
              <w:t>(470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439A38E3"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0E852CF1" w14:textId="77777777" w:rsidR="00000000" w:rsidRDefault="00195E73">
            <w:pPr>
              <w:rPr>
                <w:rFonts w:eastAsia="Times New Roman"/>
                <w:sz w:val="20"/>
                <w:szCs w:val="20"/>
              </w:rPr>
            </w:pPr>
          </w:p>
        </w:tc>
        <w:tc>
          <w:tcPr>
            <w:tcW w:w="0" w:type="auto"/>
            <w:vAlign w:val="center"/>
            <w:hideMark/>
          </w:tcPr>
          <w:p w14:paraId="2619D02D" w14:textId="77777777" w:rsidR="00000000" w:rsidRDefault="00195E73">
            <w:pPr>
              <w:rPr>
                <w:rFonts w:eastAsia="Times New Roman"/>
                <w:sz w:val="20"/>
                <w:szCs w:val="20"/>
              </w:rPr>
            </w:pPr>
          </w:p>
        </w:tc>
        <w:tc>
          <w:tcPr>
            <w:tcW w:w="0" w:type="auto"/>
            <w:vAlign w:val="center"/>
            <w:hideMark/>
          </w:tcPr>
          <w:p w14:paraId="475411C8" w14:textId="77777777" w:rsidR="00000000" w:rsidRDefault="00195E73">
            <w:pPr>
              <w:rPr>
                <w:rFonts w:eastAsia="Times New Roman"/>
                <w:sz w:val="20"/>
                <w:szCs w:val="20"/>
              </w:rPr>
            </w:pPr>
          </w:p>
        </w:tc>
        <w:tc>
          <w:tcPr>
            <w:tcW w:w="0" w:type="auto"/>
            <w:vAlign w:val="center"/>
            <w:hideMark/>
          </w:tcPr>
          <w:p w14:paraId="7F3B11C6" w14:textId="77777777" w:rsidR="00000000" w:rsidRDefault="00195E73">
            <w:pPr>
              <w:rPr>
                <w:rFonts w:eastAsia="Times New Roman"/>
                <w:sz w:val="20"/>
                <w:szCs w:val="20"/>
              </w:rPr>
            </w:pPr>
          </w:p>
        </w:tc>
        <w:tc>
          <w:tcPr>
            <w:tcW w:w="0" w:type="auto"/>
            <w:vAlign w:val="center"/>
            <w:hideMark/>
          </w:tcPr>
          <w:p w14:paraId="1825DD41" w14:textId="77777777" w:rsidR="00000000" w:rsidRDefault="00195E73">
            <w:pPr>
              <w:rPr>
                <w:rFonts w:eastAsia="Times New Roman"/>
                <w:sz w:val="20"/>
                <w:szCs w:val="20"/>
              </w:rPr>
            </w:pPr>
          </w:p>
        </w:tc>
        <w:tc>
          <w:tcPr>
            <w:tcW w:w="0" w:type="auto"/>
            <w:vAlign w:val="center"/>
            <w:hideMark/>
          </w:tcPr>
          <w:p w14:paraId="7FA5D80F" w14:textId="77777777" w:rsidR="00000000" w:rsidRDefault="00195E73">
            <w:pPr>
              <w:rPr>
                <w:rFonts w:eastAsia="Times New Roman"/>
                <w:sz w:val="20"/>
                <w:szCs w:val="20"/>
              </w:rPr>
            </w:pPr>
          </w:p>
        </w:tc>
        <w:tc>
          <w:tcPr>
            <w:tcW w:w="0" w:type="auto"/>
            <w:vAlign w:val="center"/>
            <w:hideMark/>
          </w:tcPr>
          <w:p w14:paraId="185EA24D" w14:textId="77777777" w:rsidR="00000000" w:rsidRDefault="00195E73">
            <w:pPr>
              <w:rPr>
                <w:rFonts w:eastAsia="Times New Roman"/>
                <w:sz w:val="20"/>
                <w:szCs w:val="20"/>
              </w:rPr>
            </w:pPr>
          </w:p>
        </w:tc>
        <w:tc>
          <w:tcPr>
            <w:tcW w:w="0" w:type="auto"/>
            <w:vAlign w:val="center"/>
            <w:hideMark/>
          </w:tcPr>
          <w:p w14:paraId="0185185A" w14:textId="77777777" w:rsidR="00000000" w:rsidRDefault="00195E73">
            <w:pPr>
              <w:rPr>
                <w:rFonts w:eastAsia="Times New Roman"/>
                <w:sz w:val="20"/>
                <w:szCs w:val="20"/>
              </w:rPr>
            </w:pPr>
          </w:p>
        </w:tc>
        <w:tc>
          <w:tcPr>
            <w:tcW w:w="0" w:type="auto"/>
            <w:vAlign w:val="center"/>
            <w:hideMark/>
          </w:tcPr>
          <w:p w14:paraId="6A03E6E5" w14:textId="77777777" w:rsidR="00000000" w:rsidRDefault="00195E73">
            <w:pPr>
              <w:rPr>
                <w:rFonts w:eastAsia="Times New Roman"/>
                <w:sz w:val="20"/>
                <w:szCs w:val="20"/>
              </w:rPr>
            </w:pPr>
          </w:p>
        </w:tc>
        <w:tc>
          <w:tcPr>
            <w:tcW w:w="0" w:type="auto"/>
            <w:vAlign w:val="center"/>
            <w:hideMark/>
          </w:tcPr>
          <w:p w14:paraId="32BDD3DB" w14:textId="77777777" w:rsidR="00000000" w:rsidRDefault="00195E73">
            <w:pPr>
              <w:rPr>
                <w:rFonts w:eastAsia="Times New Roman"/>
                <w:sz w:val="20"/>
                <w:szCs w:val="20"/>
              </w:rPr>
            </w:pPr>
          </w:p>
        </w:tc>
        <w:tc>
          <w:tcPr>
            <w:tcW w:w="0" w:type="auto"/>
            <w:vAlign w:val="center"/>
            <w:hideMark/>
          </w:tcPr>
          <w:p w14:paraId="377556BF" w14:textId="77777777" w:rsidR="00000000" w:rsidRDefault="00195E73">
            <w:pPr>
              <w:rPr>
                <w:rFonts w:eastAsia="Times New Roman"/>
                <w:sz w:val="20"/>
                <w:szCs w:val="20"/>
              </w:rPr>
            </w:pPr>
          </w:p>
        </w:tc>
        <w:tc>
          <w:tcPr>
            <w:tcW w:w="0" w:type="auto"/>
            <w:vAlign w:val="center"/>
            <w:hideMark/>
          </w:tcPr>
          <w:p w14:paraId="2B8D9D3A" w14:textId="77777777" w:rsidR="00000000" w:rsidRDefault="00195E73">
            <w:pPr>
              <w:rPr>
                <w:rFonts w:eastAsia="Times New Roman"/>
                <w:sz w:val="20"/>
                <w:szCs w:val="20"/>
              </w:rPr>
            </w:pPr>
          </w:p>
        </w:tc>
        <w:tc>
          <w:tcPr>
            <w:tcW w:w="0" w:type="auto"/>
            <w:vAlign w:val="center"/>
            <w:hideMark/>
          </w:tcPr>
          <w:p w14:paraId="72D58A9E" w14:textId="77777777" w:rsidR="00000000" w:rsidRDefault="00195E73">
            <w:pPr>
              <w:rPr>
                <w:rFonts w:eastAsia="Times New Roman"/>
                <w:sz w:val="20"/>
                <w:szCs w:val="20"/>
              </w:rPr>
            </w:pPr>
          </w:p>
        </w:tc>
        <w:tc>
          <w:tcPr>
            <w:tcW w:w="0" w:type="auto"/>
            <w:vAlign w:val="center"/>
            <w:hideMark/>
          </w:tcPr>
          <w:p w14:paraId="0533B35B" w14:textId="77777777" w:rsidR="00000000" w:rsidRDefault="00195E73">
            <w:pPr>
              <w:rPr>
                <w:rFonts w:eastAsia="Times New Roman"/>
                <w:sz w:val="20"/>
                <w:szCs w:val="20"/>
              </w:rPr>
            </w:pPr>
          </w:p>
        </w:tc>
        <w:tc>
          <w:tcPr>
            <w:tcW w:w="0" w:type="auto"/>
            <w:vAlign w:val="center"/>
            <w:hideMark/>
          </w:tcPr>
          <w:p w14:paraId="2B746986" w14:textId="77777777" w:rsidR="00000000" w:rsidRDefault="00195E73">
            <w:pPr>
              <w:rPr>
                <w:rFonts w:eastAsia="Times New Roman"/>
                <w:sz w:val="20"/>
                <w:szCs w:val="20"/>
              </w:rPr>
            </w:pPr>
          </w:p>
        </w:tc>
        <w:tc>
          <w:tcPr>
            <w:tcW w:w="0" w:type="auto"/>
            <w:vAlign w:val="center"/>
            <w:hideMark/>
          </w:tcPr>
          <w:p w14:paraId="2C010DC0" w14:textId="77777777" w:rsidR="00000000" w:rsidRDefault="00195E73">
            <w:pPr>
              <w:rPr>
                <w:rFonts w:eastAsia="Times New Roman"/>
                <w:sz w:val="20"/>
                <w:szCs w:val="20"/>
              </w:rPr>
            </w:pPr>
          </w:p>
        </w:tc>
        <w:tc>
          <w:tcPr>
            <w:tcW w:w="0" w:type="auto"/>
            <w:vAlign w:val="center"/>
            <w:hideMark/>
          </w:tcPr>
          <w:p w14:paraId="3F7950F2" w14:textId="77777777" w:rsidR="00000000" w:rsidRDefault="00195E73">
            <w:pPr>
              <w:rPr>
                <w:rFonts w:eastAsia="Times New Roman"/>
                <w:sz w:val="20"/>
                <w:szCs w:val="20"/>
              </w:rPr>
            </w:pPr>
          </w:p>
        </w:tc>
        <w:tc>
          <w:tcPr>
            <w:tcW w:w="0" w:type="auto"/>
            <w:vAlign w:val="center"/>
            <w:hideMark/>
          </w:tcPr>
          <w:p w14:paraId="2C2337B8" w14:textId="77777777" w:rsidR="00000000" w:rsidRDefault="00195E73">
            <w:pPr>
              <w:rPr>
                <w:rFonts w:eastAsia="Times New Roman"/>
                <w:sz w:val="20"/>
                <w:szCs w:val="20"/>
              </w:rPr>
            </w:pPr>
          </w:p>
        </w:tc>
        <w:tc>
          <w:tcPr>
            <w:tcW w:w="0" w:type="auto"/>
            <w:vAlign w:val="center"/>
            <w:hideMark/>
          </w:tcPr>
          <w:p w14:paraId="5E1D6595" w14:textId="77777777" w:rsidR="00000000" w:rsidRDefault="00195E73">
            <w:pPr>
              <w:rPr>
                <w:rFonts w:eastAsia="Times New Roman"/>
                <w:sz w:val="20"/>
                <w:szCs w:val="20"/>
              </w:rPr>
            </w:pPr>
          </w:p>
        </w:tc>
        <w:tc>
          <w:tcPr>
            <w:tcW w:w="0" w:type="auto"/>
            <w:vAlign w:val="center"/>
            <w:hideMark/>
          </w:tcPr>
          <w:p w14:paraId="28CEF9DE" w14:textId="77777777" w:rsidR="00000000" w:rsidRDefault="00195E73">
            <w:pPr>
              <w:rPr>
                <w:rFonts w:eastAsia="Times New Roman"/>
                <w:sz w:val="20"/>
                <w:szCs w:val="20"/>
              </w:rPr>
            </w:pPr>
          </w:p>
        </w:tc>
        <w:tc>
          <w:tcPr>
            <w:tcW w:w="0" w:type="auto"/>
            <w:vAlign w:val="center"/>
            <w:hideMark/>
          </w:tcPr>
          <w:p w14:paraId="27549357" w14:textId="77777777" w:rsidR="00000000" w:rsidRDefault="00195E73">
            <w:pPr>
              <w:rPr>
                <w:rFonts w:eastAsia="Times New Roman"/>
                <w:sz w:val="20"/>
                <w:szCs w:val="20"/>
              </w:rPr>
            </w:pPr>
          </w:p>
        </w:tc>
        <w:tc>
          <w:tcPr>
            <w:tcW w:w="0" w:type="auto"/>
            <w:vAlign w:val="center"/>
            <w:hideMark/>
          </w:tcPr>
          <w:p w14:paraId="72A53456" w14:textId="77777777" w:rsidR="00000000" w:rsidRDefault="00195E73">
            <w:pPr>
              <w:rPr>
                <w:rFonts w:eastAsia="Times New Roman"/>
                <w:sz w:val="20"/>
                <w:szCs w:val="20"/>
              </w:rPr>
            </w:pPr>
          </w:p>
        </w:tc>
        <w:tc>
          <w:tcPr>
            <w:tcW w:w="0" w:type="auto"/>
            <w:vAlign w:val="center"/>
            <w:hideMark/>
          </w:tcPr>
          <w:p w14:paraId="46D5CF3D" w14:textId="77777777" w:rsidR="00000000" w:rsidRDefault="00195E73">
            <w:pPr>
              <w:rPr>
                <w:rFonts w:eastAsia="Times New Roman"/>
                <w:sz w:val="20"/>
                <w:szCs w:val="20"/>
              </w:rPr>
            </w:pPr>
          </w:p>
        </w:tc>
        <w:tc>
          <w:tcPr>
            <w:tcW w:w="0" w:type="auto"/>
            <w:vAlign w:val="center"/>
            <w:hideMark/>
          </w:tcPr>
          <w:p w14:paraId="137C24B7" w14:textId="77777777" w:rsidR="00000000" w:rsidRDefault="00195E73">
            <w:pPr>
              <w:rPr>
                <w:rFonts w:eastAsia="Times New Roman"/>
                <w:sz w:val="20"/>
                <w:szCs w:val="20"/>
              </w:rPr>
            </w:pPr>
          </w:p>
        </w:tc>
      </w:tr>
      <w:tr w:rsidR="00000000" w14:paraId="15F54ADD" w14:textId="77777777">
        <w:trPr>
          <w:divId w:val="1673147082"/>
          <w:jc w:val="center"/>
        </w:trPr>
        <w:tc>
          <w:tcPr>
            <w:tcW w:w="0" w:type="auto"/>
            <w:gridSpan w:val="3"/>
            <w:shd w:val="clear" w:color="auto" w:fill="FFFFFF"/>
            <w:tcMar>
              <w:top w:w="30" w:type="dxa"/>
              <w:left w:w="20" w:type="dxa"/>
              <w:bottom w:w="30" w:type="dxa"/>
              <w:right w:w="20" w:type="dxa"/>
            </w:tcMar>
            <w:vAlign w:val="bottom"/>
            <w:hideMark/>
          </w:tcPr>
          <w:p w14:paraId="3C682FCE" w14:textId="77777777" w:rsidR="00000000" w:rsidRDefault="00195E73">
            <w:pPr>
              <w:rPr>
                <w:rFonts w:eastAsia="Times New Roman"/>
              </w:rPr>
            </w:pPr>
            <w:r>
              <w:rPr>
                <w:rFonts w:eastAsia="Times New Roman"/>
                <w:b/>
                <w:bCs/>
                <w:color w:val="000000"/>
                <w:sz w:val="18"/>
                <w:szCs w:val="18"/>
              </w:rPr>
              <w:t>Balance, December 31, 201</w:t>
            </w:r>
            <w:r>
              <w:rPr>
                <w:rFonts w:eastAsia="Times New Roman"/>
                <w:b/>
                <w:bCs/>
                <w:color w:val="000000"/>
                <w:sz w:val="18"/>
                <w:szCs w:val="18"/>
              </w:rPr>
              <w:t>8</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FECF5A" w14:textId="77777777" w:rsidR="00000000" w:rsidRDefault="00195E73">
            <w:pPr>
              <w:jc w:val="right"/>
              <w:rPr>
                <w:rFonts w:eastAsia="Times New Roman"/>
              </w:rPr>
            </w:pPr>
            <w:r>
              <w:rPr>
                <w:rFonts w:eastAsia="Times New Roman"/>
                <w:color w:val="000000"/>
                <w:sz w:val="18"/>
                <w:szCs w:val="18"/>
              </w:rPr>
              <w:t>(790</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165572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7CE755A"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78B7EB" w14:textId="77777777" w:rsidR="00000000" w:rsidRDefault="00195E73">
            <w:pPr>
              <w:jc w:val="right"/>
              <w:rPr>
                <w:rFonts w:eastAsia="Times New Roman"/>
              </w:rPr>
            </w:pPr>
            <w:r>
              <w:rPr>
                <w:rFonts w:eastAsia="Times New Roman"/>
                <w:color w:val="000000"/>
                <w:sz w:val="18"/>
                <w:szCs w:val="18"/>
              </w:rPr>
              <w:t>7,350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0346B0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5FA5E9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0B43B5" w14:textId="77777777" w:rsidR="00000000" w:rsidRDefault="00195E73">
            <w:pPr>
              <w:jc w:val="right"/>
              <w:rPr>
                <w:rFonts w:eastAsia="Times New Roman"/>
              </w:rPr>
            </w:pPr>
            <w:r>
              <w:rPr>
                <w:rFonts w:eastAsia="Times New Roman"/>
                <w:color w:val="000000"/>
                <w:sz w:val="18"/>
                <w:szCs w:val="18"/>
              </w:rPr>
              <w:t>6,560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8315ED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90FD05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B7A371" w14:textId="77777777" w:rsidR="00000000" w:rsidRDefault="00195E73">
            <w:pPr>
              <w:jc w:val="right"/>
              <w:rPr>
                <w:rFonts w:eastAsia="Times New Roman"/>
              </w:rPr>
            </w:pPr>
            <w:r>
              <w:rPr>
                <w:rFonts w:eastAsia="Times New Roman"/>
                <w:color w:val="000000"/>
                <w:sz w:val="18"/>
                <w:szCs w:val="18"/>
              </w:rPr>
              <w:t>6,420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606151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2641AE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68DA06" w14:textId="77777777" w:rsidR="00000000" w:rsidRDefault="00195E73">
            <w:pPr>
              <w:jc w:val="right"/>
              <w:rPr>
                <w:rFonts w:eastAsia="Times New Roman"/>
              </w:rPr>
            </w:pPr>
            <w:r>
              <w:rPr>
                <w:rFonts w:eastAsia="Times New Roman"/>
                <w:color w:val="000000"/>
                <w:sz w:val="18"/>
                <w:szCs w:val="18"/>
              </w:rPr>
              <w:t>12,980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280E44F"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75C37327" w14:textId="77777777" w:rsidR="00000000" w:rsidRDefault="00195E73">
            <w:pPr>
              <w:rPr>
                <w:rFonts w:eastAsia="Times New Roman"/>
                <w:sz w:val="20"/>
                <w:szCs w:val="20"/>
              </w:rPr>
            </w:pPr>
          </w:p>
        </w:tc>
        <w:tc>
          <w:tcPr>
            <w:tcW w:w="0" w:type="auto"/>
            <w:vAlign w:val="center"/>
            <w:hideMark/>
          </w:tcPr>
          <w:p w14:paraId="662591CE" w14:textId="77777777" w:rsidR="00000000" w:rsidRDefault="00195E73">
            <w:pPr>
              <w:rPr>
                <w:rFonts w:eastAsia="Times New Roman"/>
                <w:sz w:val="20"/>
                <w:szCs w:val="20"/>
              </w:rPr>
            </w:pPr>
          </w:p>
        </w:tc>
        <w:tc>
          <w:tcPr>
            <w:tcW w:w="0" w:type="auto"/>
            <w:vAlign w:val="center"/>
            <w:hideMark/>
          </w:tcPr>
          <w:p w14:paraId="4A5788BE" w14:textId="77777777" w:rsidR="00000000" w:rsidRDefault="00195E73">
            <w:pPr>
              <w:rPr>
                <w:rFonts w:eastAsia="Times New Roman"/>
                <w:sz w:val="20"/>
                <w:szCs w:val="20"/>
              </w:rPr>
            </w:pPr>
          </w:p>
        </w:tc>
        <w:tc>
          <w:tcPr>
            <w:tcW w:w="0" w:type="auto"/>
            <w:vAlign w:val="center"/>
            <w:hideMark/>
          </w:tcPr>
          <w:p w14:paraId="1B25B2FF" w14:textId="77777777" w:rsidR="00000000" w:rsidRDefault="00195E73">
            <w:pPr>
              <w:rPr>
                <w:rFonts w:eastAsia="Times New Roman"/>
                <w:sz w:val="20"/>
                <w:szCs w:val="20"/>
              </w:rPr>
            </w:pPr>
          </w:p>
        </w:tc>
        <w:tc>
          <w:tcPr>
            <w:tcW w:w="0" w:type="auto"/>
            <w:vAlign w:val="center"/>
            <w:hideMark/>
          </w:tcPr>
          <w:p w14:paraId="1050AF8A" w14:textId="77777777" w:rsidR="00000000" w:rsidRDefault="00195E73">
            <w:pPr>
              <w:rPr>
                <w:rFonts w:eastAsia="Times New Roman"/>
                <w:sz w:val="20"/>
                <w:szCs w:val="20"/>
              </w:rPr>
            </w:pPr>
          </w:p>
        </w:tc>
        <w:tc>
          <w:tcPr>
            <w:tcW w:w="0" w:type="auto"/>
            <w:vAlign w:val="center"/>
            <w:hideMark/>
          </w:tcPr>
          <w:p w14:paraId="026AFEE1" w14:textId="77777777" w:rsidR="00000000" w:rsidRDefault="00195E73">
            <w:pPr>
              <w:rPr>
                <w:rFonts w:eastAsia="Times New Roman"/>
                <w:sz w:val="20"/>
                <w:szCs w:val="20"/>
              </w:rPr>
            </w:pPr>
          </w:p>
        </w:tc>
        <w:tc>
          <w:tcPr>
            <w:tcW w:w="0" w:type="auto"/>
            <w:vAlign w:val="center"/>
            <w:hideMark/>
          </w:tcPr>
          <w:p w14:paraId="5DC0A4A0" w14:textId="77777777" w:rsidR="00000000" w:rsidRDefault="00195E73">
            <w:pPr>
              <w:rPr>
                <w:rFonts w:eastAsia="Times New Roman"/>
                <w:sz w:val="20"/>
                <w:szCs w:val="20"/>
              </w:rPr>
            </w:pPr>
          </w:p>
        </w:tc>
        <w:tc>
          <w:tcPr>
            <w:tcW w:w="0" w:type="auto"/>
            <w:vAlign w:val="center"/>
            <w:hideMark/>
          </w:tcPr>
          <w:p w14:paraId="42787262" w14:textId="77777777" w:rsidR="00000000" w:rsidRDefault="00195E73">
            <w:pPr>
              <w:rPr>
                <w:rFonts w:eastAsia="Times New Roman"/>
                <w:sz w:val="20"/>
                <w:szCs w:val="20"/>
              </w:rPr>
            </w:pPr>
          </w:p>
        </w:tc>
        <w:tc>
          <w:tcPr>
            <w:tcW w:w="0" w:type="auto"/>
            <w:vAlign w:val="center"/>
            <w:hideMark/>
          </w:tcPr>
          <w:p w14:paraId="21C8E56E" w14:textId="77777777" w:rsidR="00000000" w:rsidRDefault="00195E73">
            <w:pPr>
              <w:rPr>
                <w:rFonts w:eastAsia="Times New Roman"/>
                <w:sz w:val="20"/>
                <w:szCs w:val="20"/>
              </w:rPr>
            </w:pPr>
          </w:p>
        </w:tc>
        <w:tc>
          <w:tcPr>
            <w:tcW w:w="0" w:type="auto"/>
            <w:vAlign w:val="center"/>
            <w:hideMark/>
          </w:tcPr>
          <w:p w14:paraId="33167FE8" w14:textId="77777777" w:rsidR="00000000" w:rsidRDefault="00195E73">
            <w:pPr>
              <w:rPr>
                <w:rFonts w:eastAsia="Times New Roman"/>
                <w:sz w:val="20"/>
                <w:szCs w:val="20"/>
              </w:rPr>
            </w:pPr>
          </w:p>
        </w:tc>
        <w:tc>
          <w:tcPr>
            <w:tcW w:w="0" w:type="auto"/>
            <w:vAlign w:val="center"/>
            <w:hideMark/>
          </w:tcPr>
          <w:p w14:paraId="0135C40C" w14:textId="77777777" w:rsidR="00000000" w:rsidRDefault="00195E73">
            <w:pPr>
              <w:rPr>
                <w:rFonts w:eastAsia="Times New Roman"/>
                <w:sz w:val="20"/>
                <w:szCs w:val="20"/>
              </w:rPr>
            </w:pPr>
          </w:p>
        </w:tc>
        <w:tc>
          <w:tcPr>
            <w:tcW w:w="0" w:type="auto"/>
            <w:vAlign w:val="center"/>
            <w:hideMark/>
          </w:tcPr>
          <w:p w14:paraId="06AEAEE5" w14:textId="77777777" w:rsidR="00000000" w:rsidRDefault="00195E73">
            <w:pPr>
              <w:rPr>
                <w:rFonts w:eastAsia="Times New Roman"/>
                <w:sz w:val="20"/>
                <w:szCs w:val="20"/>
              </w:rPr>
            </w:pPr>
          </w:p>
        </w:tc>
        <w:tc>
          <w:tcPr>
            <w:tcW w:w="0" w:type="auto"/>
            <w:vAlign w:val="center"/>
            <w:hideMark/>
          </w:tcPr>
          <w:p w14:paraId="767832F3" w14:textId="77777777" w:rsidR="00000000" w:rsidRDefault="00195E73">
            <w:pPr>
              <w:rPr>
                <w:rFonts w:eastAsia="Times New Roman"/>
                <w:sz w:val="20"/>
                <w:szCs w:val="20"/>
              </w:rPr>
            </w:pPr>
          </w:p>
        </w:tc>
        <w:tc>
          <w:tcPr>
            <w:tcW w:w="0" w:type="auto"/>
            <w:vAlign w:val="center"/>
            <w:hideMark/>
          </w:tcPr>
          <w:p w14:paraId="7C477C9D" w14:textId="77777777" w:rsidR="00000000" w:rsidRDefault="00195E73">
            <w:pPr>
              <w:rPr>
                <w:rFonts w:eastAsia="Times New Roman"/>
                <w:sz w:val="20"/>
                <w:szCs w:val="20"/>
              </w:rPr>
            </w:pPr>
          </w:p>
        </w:tc>
        <w:tc>
          <w:tcPr>
            <w:tcW w:w="0" w:type="auto"/>
            <w:vAlign w:val="center"/>
            <w:hideMark/>
          </w:tcPr>
          <w:p w14:paraId="5D847DA8" w14:textId="77777777" w:rsidR="00000000" w:rsidRDefault="00195E73">
            <w:pPr>
              <w:rPr>
                <w:rFonts w:eastAsia="Times New Roman"/>
                <w:sz w:val="20"/>
                <w:szCs w:val="20"/>
              </w:rPr>
            </w:pPr>
          </w:p>
        </w:tc>
        <w:tc>
          <w:tcPr>
            <w:tcW w:w="0" w:type="auto"/>
            <w:vAlign w:val="center"/>
            <w:hideMark/>
          </w:tcPr>
          <w:p w14:paraId="3ED58227" w14:textId="77777777" w:rsidR="00000000" w:rsidRDefault="00195E73">
            <w:pPr>
              <w:rPr>
                <w:rFonts w:eastAsia="Times New Roman"/>
                <w:sz w:val="20"/>
                <w:szCs w:val="20"/>
              </w:rPr>
            </w:pPr>
          </w:p>
        </w:tc>
        <w:tc>
          <w:tcPr>
            <w:tcW w:w="0" w:type="auto"/>
            <w:vAlign w:val="center"/>
            <w:hideMark/>
          </w:tcPr>
          <w:p w14:paraId="1FEEF021" w14:textId="77777777" w:rsidR="00000000" w:rsidRDefault="00195E73">
            <w:pPr>
              <w:rPr>
                <w:rFonts w:eastAsia="Times New Roman"/>
                <w:sz w:val="20"/>
                <w:szCs w:val="20"/>
              </w:rPr>
            </w:pPr>
          </w:p>
        </w:tc>
        <w:tc>
          <w:tcPr>
            <w:tcW w:w="0" w:type="auto"/>
            <w:vAlign w:val="center"/>
            <w:hideMark/>
          </w:tcPr>
          <w:p w14:paraId="2C7EF349" w14:textId="77777777" w:rsidR="00000000" w:rsidRDefault="00195E73">
            <w:pPr>
              <w:rPr>
                <w:rFonts w:eastAsia="Times New Roman"/>
                <w:sz w:val="20"/>
                <w:szCs w:val="20"/>
              </w:rPr>
            </w:pPr>
          </w:p>
        </w:tc>
        <w:tc>
          <w:tcPr>
            <w:tcW w:w="0" w:type="auto"/>
            <w:vAlign w:val="center"/>
            <w:hideMark/>
          </w:tcPr>
          <w:p w14:paraId="1D48146F" w14:textId="77777777" w:rsidR="00000000" w:rsidRDefault="00195E73">
            <w:pPr>
              <w:rPr>
                <w:rFonts w:eastAsia="Times New Roman"/>
                <w:sz w:val="20"/>
                <w:szCs w:val="20"/>
              </w:rPr>
            </w:pPr>
          </w:p>
        </w:tc>
        <w:tc>
          <w:tcPr>
            <w:tcW w:w="0" w:type="auto"/>
            <w:vAlign w:val="center"/>
            <w:hideMark/>
          </w:tcPr>
          <w:p w14:paraId="7144A2CA" w14:textId="77777777" w:rsidR="00000000" w:rsidRDefault="00195E73">
            <w:pPr>
              <w:rPr>
                <w:rFonts w:eastAsia="Times New Roman"/>
                <w:sz w:val="20"/>
                <w:szCs w:val="20"/>
              </w:rPr>
            </w:pPr>
          </w:p>
        </w:tc>
        <w:tc>
          <w:tcPr>
            <w:tcW w:w="0" w:type="auto"/>
            <w:vAlign w:val="center"/>
            <w:hideMark/>
          </w:tcPr>
          <w:p w14:paraId="71260F9F" w14:textId="77777777" w:rsidR="00000000" w:rsidRDefault="00195E73">
            <w:pPr>
              <w:rPr>
                <w:rFonts w:eastAsia="Times New Roman"/>
                <w:sz w:val="20"/>
                <w:szCs w:val="20"/>
              </w:rPr>
            </w:pPr>
          </w:p>
        </w:tc>
        <w:tc>
          <w:tcPr>
            <w:tcW w:w="0" w:type="auto"/>
            <w:vAlign w:val="center"/>
            <w:hideMark/>
          </w:tcPr>
          <w:p w14:paraId="5C324ADC" w14:textId="77777777" w:rsidR="00000000" w:rsidRDefault="00195E73">
            <w:pPr>
              <w:rPr>
                <w:rFonts w:eastAsia="Times New Roman"/>
                <w:sz w:val="20"/>
                <w:szCs w:val="20"/>
              </w:rPr>
            </w:pPr>
          </w:p>
        </w:tc>
        <w:tc>
          <w:tcPr>
            <w:tcW w:w="0" w:type="auto"/>
            <w:vAlign w:val="center"/>
            <w:hideMark/>
          </w:tcPr>
          <w:p w14:paraId="106EBCC1" w14:textId="77777777" w:rsidR="00000000" w:rsidRDefault="00195E73">
            <w:pPr>
              <w:rPr>
                <w:rFonts w:eastAsia="Times New Roman"/>
                <w:sz w:val="20"/>
                <w:szCs w:val="20"/>
              </w:rPr>
            </w:pPr>
          </w:p>
        </w:tc>
        <w:tc>
          <w:tcPr>
            <w:tcW w:w="0" w:type="auto"/>
            <w:vAlign w:val="center"/>
            <w:hideMark/>
          </w:tcPr>
          <w:p w14:paraId="034C01FF" w14:textId="77777777" w:rsidR="00000000" w:rsidRDefault="00195E73">
            <w:pPr>
              <w:rPr>
                <w:rFonts w:eastAsia="Times New Roman"/>
                <w:sz w:val="20"/>
                <w:szCs w:val="20"/>
              </w:rPr>
            </w:pPr>
          </w:p>
        </w:tc>
      </w:tr>
      <w:tr w:rsidR="00000000" w14:paraId="257E5242" w14:textId="77777777">
        <w:trPr>
          <w:divId w:val="1673147082"/>
          <w:jc w:val="center"/>
        </w:trPr>
        <w:tc>
          <w:tcPr>
            <w:tcW w:w="0" w:type="auto"/>
            <w:gridSpan w:val="3"/>
            <w:shd w:val="clear" w:color="auto" w:fill="CCEEFF"/>
            <w:tcMar>
              <w:top w:w="30" w:type="dxa"/>
              <w:left w:w="20" w:type="dxa"/>
              <w:bottom w:w="30" w:type="dxa"/>
              <w:right w:w="20" w:type="dxa"/>
            </w:tcMar>
            <w:vAlign w:val="bottom"/>
            <w:hideMark/>
          </w:tcPr>
          <w:p w14:paraId="7E45AEBD" w14:textId="77777777" w:rsidR="00000000" w:rsidRDefault="00195E73">
            <w:pPr>
              <w:rPr>
                <w:rFonts w:eastAsia="Times New Roman"/>
              </w:rPr>
            </w:pPr>
            <w:r>
              <w:rPr>
                <w:rFonts w:eastAsia="Times New Roman"/>
                <w:color w:val="000000"/>
                <w:sz w:val="18"/>
                <w:szCs w:val="18"/>
              </w:rPr>
              <w:t>Net los</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4D912E" w14:textId="77777777" w:rsidR="00000000" w:rsidRDefault="00195E73">
            <w:pPr>
              <w:jc w:val="right"/>
              <w:rPr>
                <w:rFonts w:eastAsia="Times New Roman"/>
              </w:rPr>
            </w:pPr>
            <w:r>
              <w:rPr>
                <w:rFonts w:eastAsia="Times New Roman"/>
                <w:color w:val="000000"/>
                <w:sz w:val="18"/>
                <w:szCs w:val="18"/>
              </w:rPr>
              <w:t>(22</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4C769C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130D4F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682A34" w14:textId="77777777" w:rsidR="00000000" w:rsidRDefault="00195E73">
            <w:pPr>
              <w:jc w:val="right"/>
              <w:rPr>
                <w:rFonts w:eastAsia="Times New Roman"/>
              </w:rPr>
            </w:pPr>
            <w:r>
              <w:rPr>
                <w:rFonts w:eastAsia="Times New Roman"/>
                <w:color w:val="000000"/>
                <w:sz w:val="18"/>
                <w:szCs w:val="18"/>
              </w:rPr>
              <w:t>(1,076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C27F89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47786E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7F168C" w14:textId="77777777" w:rsidR="00000000" w:rsidRDefault="00195E73">
            <w:pPr>
              <w:jc w:val="right"/>
              <w:rPr>
                <w:rFonts w:eastAsia="Times New Roman"/>
              </w:rPr>
            </w:pPr>
            <w:r>
              <w:rPr>
                <w:rFonts w:eastAsia="Times New Roman"/>
                <w:color w:val="000000"/>
                <w:sz w:val="18"/>
                <w:szCs w:val="18"/>
              </w:rPr>
              <w:t>(1,098</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E90CF6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4717464"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8AEF3B" w14:textId="77777777" w:rsidR="00000000" w:rsidRDefault="00195E73">
            <w:pPr>
              <w:jc w:val="right"/>
              <w:rPr>
                <w:rFonts w:eastAsia="Times New Roman"/>
              </w:rPr>
            </w:pPr>
            <w:r>
              <w:rPr>
                <w:rFonts w:eastAsia="Times New Roman"/>
                <w:color w:val="000000"/>
                <w:sz w:val="18"/>
                <w:szCs w:val="18"/>
              </w:rPr>
              <w:t>(693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008682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D915399"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40F8D7" w14:textId="77777777" w:rsidR="00000000" w:rsidRDefault="00195E73">
            <w:pPr>
              <w:jc w:val="right"/>
              <w:rPr>
                <w:rFonts w:eastAsia="Times New Roman"/>
              </w:rPr>
            </w:pPr>
            <w:r>
              <w:rPr>
                <w:rFonts w:eastAsia="Times New Roman"/>
                <w:color w:val="000000"/>
                <w:sz w:val="18"/>
                <w:szCs w:val="18"/>
              </w:rPr>
              <w:t>(1,791</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6971290"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1CB022F0" w14:textId="77777777" w:rsidR="00000000" w:rsidRDefault="00195E73">
            <w:pPr>
              <w:rPr>
                <w:rFonts w:eastAsia="Times New Roman"/>
                <w:sz w:val="20"/>
                <w:szCs w:val="20"/>
              </w:rPr>
            </w:pPr>
          </w:p>
        </w:tc>
        <w:tc>
          <w:tcPr>
            <w:tcW w:w="0" w:type="auto"/>
            <w:vAlign w:val="center"/>
            <w:hideMark/>
          </w:tcPr>
          <w:p w14:paraId="2C391825" w14:textId="77777777" w:rsidR="00000000" w:rsidRDefault="00195E73">
            <w:pPr>
              <w:rPr>
                <w:rFonts w:eastAsia="Times New Roman"/>
                <w:sz w:val="20"/>
                <w:szCs w:val="20"/>
              </w:rPr>
            </w:pPr>
          </w:p>
        </w:tc>
        <w:tc>
          <w:tcPr>
            <w:tcW w:w="0" w:type="auto"/>
            <w:vAlign w:val="center"/>
            <w:hideMark/>
          </w:tcPr>
          <w:p w14:paraId="25601DCF" w14:textId="77777777" w:rsidR="00000000" w:rsidRDefault="00195E73">
            <w:pPr>
              <w:rPr>
                <w:rFonts w:eastAsia="Times New Roman"/>
                <w:sz w:val="20"/>
                <w:szCs w:val="20"/>
              </w:rPr>
            </w:pPr>
          </w:p>
        </w:tc>
        <w:tc>
          <w:tcPr>
            <w:tcW w:w="0" w:type="auto"/>
            <w:vAlign w:val="center"/>
            <w:hideMark/>
          </w:tcPr>
          <w:p w14:paraId="736443EC" w14:textId="77777777" w:rsidR="00000000" w:rsidRDefault="00195E73">
            <w:pPr>
              <w:rPr>
                <w:rFonts w:eastAsia="Times New Roman"/>
                <w:sz w:val="20"/>
                <w:szCs w:val="20"/>
              </w:rPr>
            </w:pPr>
          </w:p>
        </w:tc>
        <w:tc>
          <w:tcPr>
            <w:tcW w:w="0" w:type="auto"/>
            <w:vAlign w:val="center"/>
            <w:hideMark/>
          </w:tcPr>
          <w:p w14:paraId="688E97A3" w14:textId="77777777" w:rsidR="00000000" w:rsidRDefault="00195E73">
            <w:pPr>
              <w:rPr>
                <w:rFonts w:eastAsia="Times New Roman"/>
                <w:sz w:val="20"/>
                <w:szCs w:val="20"/>
              </w:rPr>
            </w:pPr>
          </w:p>
        </w:tc>
        <w:tc>
          <w:tcPr>
            <w:tcW w:w="0" w:type="auto"/>
            <w:vAlign w:val="center"/>
            <w:hideMark/>
          </w:tcPr>
          <w:p w14:paraId="415C3F6D" w14:textId="77777777" w:rsidR="00000000" w:rsidRDefault="00195E73">
            <w:pPr>
              <w:rPr>
                <w:rFonts w:eastAsia="Times New Roman"/>
                <w:sz w:val="20"/>
                <w:szCs w:val="20"/>
              </w:rPr>
            </w:pPr>
          </w:p>
        </w:tc>
        <w:tc>
          <w:tcPr>
            <w:tcW w:w="0" w:type="auto"/>
            <w:vAlign w:val="center"/>
            <w:hideMark/>
          </w:tcPr>
          <w:p w14:paraId="0AFA1211" w14:textId="77777777" w:rsidR="00000000" w:rsidRDefault="00195E73">
            <w:pPr>
              <w:rPr>
                <w:rFonts w:eastAsia="Times New Roman"/>
                <w:sz w:val="20"/>
                <w:szCs w:val="20"/>
              </w:rPr>
            </w:pPr>
          </w:p>
        </w:tc>
        <w:tc>
          <w:tcPr>
            <w:tcW w:w="0" w:type="auto"/>
            <w:vAlign w:val="center"/>
            <w:hideMark/>
          </w:tcPr>
          <w:p w14:paraId="3693C502" w14:textId="77777777" w:rsidR="00000000" w:rsidRDefault="00195E73">
            <w:pPr>
              <w:rPr>
                <w:rFonts w:eastAsia="Times New Roman"/>
                <w:sz w:val="20"/>
                <w:szCs w:val="20"/>
              </w:rPr>
            </w:pPr>
          </w:p>
        </w:tc>
        <w:tc>
          <w:tcPr>
            <w:tcW w:w="0" w:type="auto"/>
            <w:vAlign w:val="center"/>
            <w:hideMark/>
          </w:tcPr>
          <w:p w14:paraId="5DF9A55B" w14:textId="77777777" w:rsidR="00000000" w:rsidRDefault="00195E73">
            <w:pPr>
              <w:rPr>
                <w:rFonts w:eastAsia="Times New Roman"/>
                <w:sz w:val="20"/>
                <w:szCs w:val="20"/>
              </w:rPr>
            </w:pPr>
          </w:p>
        </w:tc>
        <w:tc>
          <w:tcPr>
            <w:tcW w:w="0" w:type="auto"/>
            <w:vAlign w:val="center"/>
            <w:hideMark/>
          </w:tcPr>
          <w:p w14:paraId="4D4986C6" w14:textId="77777777" w:rsidR="00000000" w:rsidRDefault="00195E73">
            <w:pPr>
              <w:rPr>
                <w:rFonts w:eastAsia="Times New Roman"/>
                <w:sz w:val="20"/>
                <w:szCs w:val="20"/>
              </w:rPr>
            </w:pPr>
          </w:p>
        </w:tc>
        <w:tc>
          <w:tcPr>
            <w:tcW w:w="0" w:type="auto"/>
            <w:vAlign w:val="center"/>
            <w:hideMark/>
          </w:tcPr>
          <w:p w14:paraId="18C4374B" w14:textId="77777777" w:rsidR="00000000" w:rsidRDefault="00195E73">
            <w:pPr>
              <w:rPr>
                <w:rFonts w:eastAsia="Times New Roman"/>
                <w:sz w:val="20"/>
                <w:szCs w:val="20"/>
              </w:rPr>
            </w:pPr>
          </w:p>
        </w:tc>
        <w:tc>
          <w:tcPr>
            <w:tcW w:w="0" w:type="auto"/>
            <w:vAlign w:val="center"/>
            <w:hideMark/>
          </w:tcPr>
          <w:p w14:paraId="3A89F829" w14:textId="77777777" w:rsidR="00000000" w:rsidRDefault="00195E73">
            <w:pPr>
              <w:rPr>
                <w:rFonts w:eastAsia="Times New Roman"/>
                <w:sz w:val="20"/>
                <w:szCs w:val="20"/>
              </w:rPr>
            </w:pPr>
          </w:p>
        </w:tc>
        <w:tc>
          <w:tcPr>
            <w:tcW w:w="0" w:type="auto"/>
            <w:vAlign w:val="center"/>
            <w:hideMark/>
          </w:tcPr>
          <w:p w14:paraId="5A021469" w14:textId="77777777" w:rsidR="00000000" w:rsidRDefault="00195E73">
            <w:pPr>
              <w:rPr>
                <w:rFonts w:eastAsia="Times New Roman"/>
                <w:sz w:val="20"/>
                <w:szCs w:val="20"/>
              </w:rPr>
            </w:pPr>
          </w:p>
        </w:tc>
        <w:tc>
          <w:tcPr>
            <w:tcW w:w="0" w:type="auto"/>
            <w:vAlign w:val="center"/>
            <w:hideMark/>
          </w:tcPr>
          <w:p w14:paraId="1CD5DFFB" w14:textId="77777777" w:rsidR="00000000" w:rsidRDefault="00195E73">
            <w:pPr>
              <w:rPr>
                <w:rFonts w:eastAsia="Times New Roman"/>
                <w:sz w:val="20"/>
                <w:szCs w:val="20"/>
              </w:rPr>
            </w:pPr>
          </w:p>
        </w:tc>
        <w:tc>
          <w:tcPr>
            <w:tcW w:w="0" w:type="auto"/>
            <w:vAlign w:val="center"/>
            <w:hideMark/>
          </w:tcPr>
          <w:p w14:paraId="53FE5FDF" w14:textId="77777777" w:rsidR="00000000" w:rsidRDefault="00195E73">
            <w:pPr>
              <w:rPr>
                <w:rFonts w:eastAsia="Times New Roman"/>
                <w:sz w:val="20"/>
                <w:szCs w:val="20"/>
              </w:rPr>
            </w:pPr>
          </w:p>
        </w:tc>
        <w:tc>
          <w:tcPr>
            <w:tcW w:w="0" w:type="auto"/>
            <w:vAlign w:val="center"/>
            <w:hideMark/>
          </w:tcPr>
          <w:p w14:paraId="60B0D6FC" w14:textId="77777777" w:rsidR="00000000" w:rsidRDefault="00195E73">
            <w:pPr>
              <w:rPr>
                <w:rFonts w:eastAsia="Times New Roman"/>
                <w:sz w:val="20"/>
                <w:szCs w:val="20"/>
              </w:rPr>
            </w:pPr>
          </w:p>
        </w:tc>
        <w:tc>
          <w:tcPr>
            <w:tcW w:w="0" w:type="auto"/>
            <w:vAlign w:val="center"/>
            <w:hideMark/>
          </w:tcPr>
          <w:p w14:paraId="7B346DBD" w14:textId="77777777" w:rsidR="00000000" w:rsidRDefault="00195E73">
            <w:pPr>
              <w:rPr>
                <w:rFonts w:eastAsia="Times New Roman"/>
                <w:sz w:val="20"/>
                <w:szCs w:val="20"/>
              </w:rPr>
            </w:pPr>
          </w:p>
        </w:tc>
        <w:tc>
          <w:tcPr>
            <w:tcW w:w="0" w:type="auto"/>
            <w:vAlign w:val="center"/>
            <w:hideMark/>
          </w:tcPr>
          <w:p w14:paraId="2562F6F4" w14:textId="77777777" w:rsidR="00000000" w:rsidRDefault="00195E73">
            <w:pPr>
              <w:rPr>
                <w:rFonts w:eastAsia="Times New Roman"/>
                <w:sz w:val="20"/>
                <w:szCs w:val="20"/>
              </w:rPr>
            </w:pPr>
          </w:p>
        </w:tc>
        <w:tc>
          <w:tcPr>
            <w:tcW w:w="0" w:type="auto"/>
            <w:vAlign w:val="center"/>
            <w:hideMark/>
          </w:tcPr>
          <w:p w14:paraId="60A8BBE4" w14:textId="77777777" w:rsidR="00000000" w:rsidRDefault="00195E73">
            <w:pPr>
              <w:rPr>
                <w:rFonts w:eastAsia="Times New Roman"/>
                <w:sz w:val="20"/>
                <w:szCs w:val="20"/>
              </w:rPr>
            </w:pPr>
          </w:p>
        </w:tc>
        <w:tc>
          <w:tcPr>
            <w:tcW w:w="0" w:type="auto"/>
            <w:vAlign w:val="center"/>
            <w:hideMark/>
          </w:tcPr>
          <w:p w14:paraId="443CFE15" w14:textId="77777777" w:rsidR="00000000" w:rsidRDefault="00195E73">
            <w:pPr>
              <w:rPr>
                <w:rFonts w:eastAsia="Times New Roman"/>
                <w:sz w:val="20"/>
                <w:szCs w:val="20"/>
              </w:rPr>
            </w:pPr>
          </w:p>
        </w:tc>
        <w:tc>
          <w:tcPr>
            <w:tcW w:w="0" w:type="auto"/>
            <w:vAlign w:val="center"/>
            <w:hideMark/>
          </w:tcPr>
          <w:p w14:paraId="72EC46D0" w14:textId="77777777" w:rsidR="00000000" w:rsidRDefault="00195E73">
            <w:pPr>
              <w:rPr>
                <w:rFonts w:eastAsia="Times New Roman"/>
                <w:sz w:val="20"/>
                <w:szCs w:val="20"/>
              </w:rPr>
            </w:pPr>
          </w:p>
        </w:tc>
        <w:tc>
          <w:tcPr>
            <w:tcW w:w="0" w:type="auto"/>
            <w:vAlign w:val="center"/>
            <w:hideMark/>
          </w:tcPr>
          <w:p w14:paraId="6D659BEF" w14:textId="77777777" w:rsidR="00000000" w:rsidRDefault="00195E73">
            <w:pPr>
              <w:rPr>
                <w:rFonts w:eastAsia="Times New Roman"/>
                <w:sz w:val="20"/>
                <w:szCs w:val="20"/>
              </w:rPr>
            </w:pPr>
          </w:p>
        </w:tc>
        <w:tc>
          <w:tcPr>
            <w:tcW w:w="0" w:type="auto"/>
            <w:vAlign w:val="center"/>
            <w:hideMark/>
          </w:tcPr>
          <w:p w14:paraId="6E1C221F" w14:textId="77777777" w:rsidR="00000000" w:rsidRDefault="00195E73">
            <w:pPr>
              <w:rPr>
                <w:rFonts w:eastAsia="Times New Roman"/>
                <w:sz w:val="20"/>
                <w:szCs w:val="20"/>
              </w:rPr>
            </w:pPr>
          </w:p>
        </w:tc>
        <w:tc>
          <w:tcPr>
            <w:tcW w:w="0" w:type="auto"/>
            <w:vAlign w:val="center"/>
            <w:hideMark/>
          </w:tcPr>
          <w:p w14:paraId="4855FAAB" w14:textId="77777777" w:rsidR="00000000" w:rsidRDefault="00195E73">
            <w:pPr>
              <w:rPr>
                <w:rFonts w:eastAsia="Times New Roman"/>
                <w:sz w:val="20"/>
                <w:szCs w:val="20"/>
              </w:rPr>
            </w:pPr>
          </w:p>
        </w:tc>
      </w:tr>
      <w:tr w:rsidR="00000000" w14:paraId="5D38E413" w14:textId="77777777">
        <w:trPr>
          <w:divId w:val="1673147082"/>
          <w:jc w:val="center"/>
        </w:trPr>
        <w:tc>
          <w:tcPr>
            <w:tcW w:w="0" w:type="auto"/>
            <w:gridSpan w:val="3"/>
            <w:shd w:val="clear" w:color="auto" w:fill="FFFFFF"/>
            <w:tcMar>
              <w:top w:w="30" w:type="dxa"/>
              <w:left w:w="20" w:type="dxa"/>
              <w:bottom w:w="30" w:type="dxa"/>
              <w:right w:w="20" w:type="dxa"/>
            </w:tcMar>
            <w:vAlign w:val="bottom"/>
            <w:hideMark/>
          </w:tcPr>
          <w:p w14:paraId="7A26632C" w14:textId="77777777" w:rsidR="00000000" w:rsidRDefault="00195E73">
            <w:pPr>
              <w:rPr>
                <w:rFonts w:eastAsia="Times New Roman"/>
              </w:rPr>
            </w:pPr>
            <w:r>
              <w:rPr>
                <w:rFonts w:eastAsia="Times New Roman"/>
                <w:color w:val="000000"/>
                <w:sz w:val="18"/>
                <w:szCs w:val="18"/>
              </w:rPr>
              <w:t>Other comprehensive incom</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14:paraId="2DB78DD7"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5C9388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389D76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194DC8"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7C9B07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F82E77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F7C410"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B2953E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B83D62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BC445A"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0971FE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0AF369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CDDA48"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03BC210"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3F90CBB6" w14:textId="77777777" w:rsidR="00000000" w:rsidRDefault="00195E73">
            <w:pPr>
              <w:rPr>
                <w:rFonts w:eastAsia="Times New Roman"/>
                <w:sz w:val="20"/>
                <w:szCs w:val="20"/>
              </w:rPr>
            </w:pPr>
          </w:p>
        </w:tc>
        <w:tc>
          <w:tcPr>
            <w:tcW w:w="0" w:type="auto"/>
            <w:vAlign w:val="center"/>
            <w:hideMark/>
          </w:tcPr>
          <w:p w14:paraId="30E3CE2C" w14:textId="77777777" w:rsidR="00000000" w:rsidRDefault="00195E73">
            <w:pPr>
              <w:rPr>
                <w:rFonts w:eastAsia="Times New Roman"/>
                <w:sz w:val="20"/>
                <w:szCs w:val="20"/>
              </w:rPr>
            </w:pPr>
          </w:p>
        </w:tc>
        <w:tc>
          <w:tcPr>
            <w:tcW w:w="0" w:type="auto"/>
            <w:vAlign w:val="center"/>
            <w:hideMark/>
          </w:tcPr>
          <w:p w14:paraId="2E694BA5" w14:textId="77777777" w:rsidR="00000000" w:rsidRDefault="00195E73">
            <w:pPr>
              <w:rPr>
                <w:rFonts w:eastAsia="Times New Roman"/>
                <w:sz w:val="20"/>
                <w:szCs w:val="20"/>
              </w:rPr>
            </w:pPr>
          </w:p>
        </w:tc>
        <w:tc>
          <w:tcPr>
            <w:tcW w:w="0" w:type="auto"/>
            <w:vAlign w:val="center"/>
            <w:hideMark/>
          </w:tcPr>
          <w:p w14:paraId="1887D4BB" w14:textId="77777777" w:rsidR="00000000" w:rsidRDefault="00195E73">
            <w:pPr>
              <w:rPr>
                <w:rFonts w:eastAsia="Times New Roman"/>
                <w:sz w:val="20"/>
                <w:szCs w:val="20"/>
              </w:rPr>
            </w:pPr>
          </w:p>
        </w:tc>
        <w:tc>
          <w:tcPr>
            <w:tcW w:w="0" w:type="auto"/>
            <w:vAlign w:val="center"/>
            <w:hideMark/>
          </w:tcPr>
          <w:p w14:paraId="2DF8D0F8" w14:textId="77777777" w:rsidR="00000000" w:rsidRDefault="00195E73">
            <w:pPr>
              <w:rPr>
                <w:rFonts w:eastAsia="Times New Roman"/>
                <w:sz w:val="20"/>
                <w:szCs w:val="20"/>
              </w:rPr>
            </w:pPr>
          </w:p>
        </w:tc>
        <w:tc>
          <w:tcPr>
            <w:tcW w:w="0" w:type="auto"/>
            <w:vAlign w:val="center"/>
            <w:hideMark/>
          </w:tcPr>
          <w:p w14:paraId="3D757510" w14:textId="77777777" w:rsidR="00000000" w:rsidRDefault="00195E73">
            <w:pPr>
              <w:rPr>
                <w:rFonts w:eastAsia="Times New Roman"/>
                <w:sz w:val="20"/>
                <w:szCs w:val="20"/>
              </w:rPr>
            </w:pPr>
          </w:p>
        </w:tc>
        <w:tc>
          <w:tcPr>
            <w:tcW w:w="0" w:type="auto"/>
            <w:vAlign w:val="center"/>
            <w:hideMark/>
          </w:tcPr>
          <w:p w14:paraId="5E18BEC7" w14:textId="77777777" w:rsidR="00000000" w:rsidRDefault="00195E73">
            <w:pPr>
              <w:rPr>
                <w:rFonts w:eastAsia="Times New Roman"/>
                <w:sz w:val="20"/>
                <w:szCs w:val="20"/>
              </w:rPr>
            </w:pPr>
          </w:p>
        </w:tc>
        <w:tc>
          <w:tcPr>
            <w:tcW w:w="0" w:type="auto"/>
            <w:vAlign w:val="center"/>
            <w:hideMark/>
          </w:tcPr>
          <w:p w14:paraId="765BBB92" w14:textId="77777777" w:rsidR="00000000" w:rsidRDefault="00195E73">
            <w:pPr>
              <w:rPr>
                <w:rFonts w:eastAsia="Times New Roman"/>
                <w:sz w:val="20"/>
                <w:szCs w:val="20"/>
              </w:rPr>
            </w:pPr>
          </w:p>
        </w:tc>
        <w:tc>
          <w:tcPr>
            <w:tcW w:w="0" w:type="auto"/>
            <w:vAlign w:val="center"/>
            <w:hideMark/>
          </w:tcPr>
          <w:p w14:paraId="3837C3BB" w14:textId="77777777" w:rsidR="00000000" w:rsidRDefault="00195E73">
            <w:pPr>
              <w:rPr>
                <w:rFonts w:eastAsia="Times New Roman"/>
                <w:sz w:val="20"/>
                <w:szCs w:val="20"/>
              </w:rPr>
            </w:pPr>
          </w:p>
        </w:tc>
        <w:tc>
          <w:tcPr>
            <w:tcW w:w="0" w:type="auto"/>
            <w:vAlign w:val="center"/>
            <w:hideMark/>
          </w:tcPr>
          <w:p w14:paraId="4E5CA1CB" w14:textId="77777777" w:rsidR="00000000" w:rsidRDefault="00195E73">
            <w:pPr>
              <w:rPr>
                <w:rFonts w:eastAsia="Times New Roman"/>
                <w:sz w:val="20"/>
                <w:szCs w:val="20"/>
              </w:rPr>
            </w:pPr>
          </w:p>
        </w:tc>
        <w:tc>
          <w:tcPr>
            <w:tcW w:w="0" w:type="auto"/>
            <w:vAlign w:val="center"/>
            <w:hideMark/>
          </w:tcPr>
          <w:p w14:paraId="52B7BFD0" w14:textId="77777777" w:rsidR="00000000" w:rsidRDefault="00195E73">
            <w:pPr>
              <w:rPr>
                <w:rFonts w:eastAsia="Times New Roman"/>
                <w:sz w:val="20"/>
                <w:szCs w:val="20"/>
              </w:rPr>
            </w:pPr>
          </w:p>
        </w:tc>
        <w:tc>
          <w:tcPr>
            <w:tcW w:w="0" w:type="auto"/>
            <w:vAlign w:val="center"/>
            <w:hideMark/>
          </w:tcPr>
          <w:p w14:paraId="6E466AF2" w14:textId="77777777" w:rsidR="00000000" w:rsidRDefault="00195E73">
            <w:pPr>
              <w:rPr>
                <w:rFonts w:eastAsia="Times New Roman"/>
                <w:sz w:val="20"/>
                <w:szCs w:val="20"/>
              </w:rPr>
            </w:pPr>
          </w:p>
        </w:tc>
        <w:tc>
          <w:tcPr>
            <w:tcW w:w="0" w:type="auto"/>
            <w:vAlign w:val="center"/>
            <w:hideMark/>
          </w:tcPr>
          <w:p w14:paraId="1E81C4B2" w14:textId="77777777" w:rsidR="00000000" w:rsidRDefault="00195E73">
            <w:pPr>
              <w:rPr>
                <w:rFonts w:eastAsia="Times New Roman"/>
                <w:sz w:val="20"/>
                <w:szCs w:val="20"/>
              </w:rPr>
            </w:pPr>
          </w:p>
        </w:tc>
        <w:tc>
          <w:tcPr>
            <w:tcW w:w="0" w:type="auto"/>
            <w:vAlign w:val="center"/>
            <w:hideMark/>
          </w:tcPr>
          <w:p w14:paraId="7363A106" w14:textId="77777777" w:rsidR="00000000" w:rsidRDefault="00195E73">
            <w:pPr>
              <w:rPr>
                <w:rFonts w:eastAsia="Times New Roman"/>
                <w:sz w:val="20"/>
                <w:szCs w:val="20"/>
              </w:rPr>
            </w:pPr>
          </w:p>
        </w:tc>
        <w:tc>
          <w:tcPr>
            <w:tcW w:w="0" w:type="auto"/>
            <w:vAlign w:val="center"/>
            <w:hideMark/>
          </w:tcPr>
          <w:p w14:paraId="50256481" w14:textId="77777777" w:rsidR="00000000" w:rsidRDefault="00195E73">
            <w:pPr>
              <w:rPr>
                <w:rFonts w:eastAsia="Times New Roman"/>
                <w:sz w:val="20"/>
                <w:szCs w:val="20"/>
              </w:rPr>
            </w:pPr>
          </w:p>
        </w:tc>
        <w:tc>
          <w:tcPr>
            <w:tcW w:w="0" w:type="auto"/>
            <w:vAlign w:val="center"/>
            <w:hideMark/>
          </w:tcPr>
          <w:p w14:paraId="458D967C" w14:textId="77777777" w:rsidR="00000000" w:rsidRDefault="00195E73">
            <w:pPr>
              <w:rPr>
                <w:rFonts w:eastAsia="Times New Roman"/>
                <w:sz w:val="20"/>
                <w:szCs w:val="20"/>
              </w:rPr>
            </w:pPr>
          </w:p>
        </w:tc>
        <w:tc>
          <w:tcPr>
            <w:tcW w:w="0" w:type="auto"/>
            <w:vAlign w:val="center"/>
            <w:hideMark/>
          </w:tcPr>
          <w:p w14:paraId="63D2E2EB" w14:textId="77777777" w:rsidR="00000000" w:rsidRDefault="00195E73">
            <w:pPr>
              <w:rPr>
                <w:rFonts w:eastAsia="Times New Roman"/>
                <w:sz w:val="20"/>
                <w:szCs w:val="20"/>
              </w:rPr>
            </w:pPr>
          </w:p>
        </w:tc>
        <w:tc>
          <w:tcPr>
            <w:tcW w:w="0" w:type="auto"/>
            <w:vAlign w:val="center"/>
            <w:hideMark/>
          </w:tcPr>
          <w:p w14:paraId="2C584357" w14:textId="77777777" w:rsidR="00000000" w:rsidRDefault="00195E73">
            <w:pPr>
              <w:rPr>
                <w:rFonts w:eastAsia="Times New Roman"/>
                <w:sz w:val="20"/>
                <w:szCs w:val="20"/>
              </w:rPr>
            </w:pPr>
          </w:p>
        </w:tc>
        <w:tc>
          <w:tcPr>
            <w:tcW w:w="0" w:type="auto"/>
            <w:vAlign w:val="center"/>
            <w:hideMark/>
          </w:tcPr>
          <w:p w14:paraId="511C1EA5" w14:textId="77777777" w:rsidR="00000000" w:rsidRDefault="00195E73">
            <w:pPr>
              <w:rPr>
                <w:rFonts w:eastAsia="Times New Roman"/>
                <w:sz w:val="20"/>
                <w:szCs w:val="20"/>
              </w:rPr>
            </w:pPr>
          </w:p>
        </w:tc>
        <w:tc>
          <w:tcPr>
            <w:tcW w:w="0" w:type="auto"/>
            <w:vAlign w:val="center"/>
            <w:hideMark/>
          </w:tcPr>
          <w:p w14:paraId="3ED08911" w14:textId="77777777" w:rsidR="00000000" w:rsidRDefault="00195E73">
            <w:pPr>
              <w:rPr>
                <w:rFonts w:eastAsia="Times New Roman"/>
                <w:sz w:val="20"/>
                <w:szCs w:val="20"/>
              </w:rPr>
            </w:pPr>
          </w:p>
        </w:tc>
        <w:tc>
          <w:tcPr>
            <w:tcW w:w="0" w:type="auto"/>
            <w:vAlign w:val="center"/>
            <w:hideMark/>
          </w:tcPr>
          <w:p w14:paraId="612724F2" w14:textId="77777777" w:rsidR="00000000" w:rsidRDefault="00195E73">
            <w:pPr>
              <w:rPr>
                <w:rFonts w:eastAsia="Times New Roman"/>
                <w:sz w:val="20"/>
                <w:szCs w:val="20"/>
              </w:rPr>
            </w:pPr>
          </w:p>
        </w:tc>
        <w:tc>
          <w:tcPr>
            <w:tcW w:w="0" w:type="auto"/>
            <w:vAlign w:val="center"/>
            <w:hideMark/>
          </w:tcPr>
          <w:p w14:paraId="35C1349A" w14:textId="77777777" w:rsidR="00000000" w:rsidRDefault="00195E73">
            <w:pPr>
              <w:rPr>
                <w:rFonts w:eastAsia="Times New Roman"/>
                <w:sz w:val="20"/>
                <w:szCs w:val="20"/>
              </w:rPr>
            </w:pPr>
          </w:p>
        </w:tc>
        <w:tc>
          <w:tcPr>
            <w:tcW w:w="0" w:type="auto"/>
            <w:vAlign w:val="center"/>
            <w:hideMark/>
          </w:tcPr>
          <w:p w14:paraId="500BC5DF" w14:textId="77777777" w:rsidR="00000000" w:rsidRDefault="00195E73">
            <w:pPr>
              <w:rPr>
                <w:rFonts w:eastAsia="Times New Roman"/>
                <w:sz w:val="20"/>
                <w:szCs w:val="20"/>
              </w:rPr>
            </w:pPr>
          </w:p>
        </w:tc>
        <w:tc>
          <w:tcPr>
            <w:tcW w:w="0" w:type="auto"/>
            <w:vAlign w:val="center"/>
            <w:hideMark/>
          </w:tcPr>
          <w:p w14:paraId="6EB2D240" w14:textId="77777777" w:rsidR="00000000" w:rsidRDefault="00195E73">
            <w:pPr>
              <w:rPr>
                <w:rFonts w:eastAsia="Times New Roman"/>
                <w:sz w:val="20"/>
                <w:szCs w:val="20"/>
              </w:rPr>
            </w:pPr>
          </w:p>
        </w:tc>
      </w:tr>
      <w:tr w:rsidR="00000000" w14:paraId="7470286A" w14:textId="77777777">
        <w:trPr>
          <w:divId w:val="1673147082"/>
          <w:jc w:val="center"/>
        </w:trPr>
        <w:tc>
          <w:tcPr>
            <w:tcW w:w="0" w:type="auto"/>
            <w:gridSpan w:val="3"/>
            <w:shd w:val="clear" w:color="auto" w:fill="CCEEFF"/>
            <w:tcMar>
              <w:top w:w="30" w:type="dxa"/>
              <w:left w:w="20" w:type="dxa"/>
              <w:bottom w:w="30" w:type="dxa"/>
              <w:right w:w="20" w:type="dxa"/>
            </w:tcMar>
            <w:vAlign w:val="bottom"/>
            <w:hideMark/>
          </w:tcPr>
          <w:p w14:paraId="6A928C6F" w14:textId="77777777" w:rsidR="00000000" w:rsidRDefault="00195E73">
            <w:pPr>
              <w:rPr>
                <w:rFonts w:eastAsia="Times New Roman"/>
              </w:rPr>
            </w:pPr>
            <w:r>
              <w:rPr>
                <w:rFonts w:eastAsia="Times New Roman"/>
                <w:color w:val="000000"/>
                <w:sz w:val="18"/>
                <w:szCs w:val="18"/>
              </w:rPr>
              <w:t>Partnership distribution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14:paraId="13226EDF" w14:textId="77777777" w:rsidR="00000000" w:rsidRDefault="00195E73">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B040DB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5901CB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AAB1DD" w14:textId="77777777" w:rsidR="00000000" w:rsidRDefault="00195E73">
            <w:pPr>
              <w:jc w:val="right"/>
              <w:rPr>
                <w:rFonts w:eastAsia="Times New Roman"/>
              </w:rPr>
            </w:pPr>
            <w:r>
              <w:rPr>
                <w:rFonts w:eastAsia="Times New Roman"/>
                <w:color w:val="000000"/>
                <w:sz w:val="18"/>
                <w:szCs w:val="18"/>
              </w:rPr>
              <w:t>(110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737617C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47B9C8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313338" w14:textId="77777777" w:rsidR="00000000" w:rsidRDefault="00195E73">
            <w:pPr>
              <w:jc w:val="right"/>
              <w:rPr>
                <w:rFonts w:eastAsia="Times New Roman"/>
              </w:rPr>
            </w:pPr>
            <w:r>
              <w:rPr>
                <w:rFonts w:eastAsia="Times New Roman"/>
                <w:color w:val="000000"/>
                <w:sz w:val="18"/>
                <w:szCs w:val="18"/>
              </w:rPr>
              <w:t>(112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B86EA6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1DC0D7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FDA570"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1AC0827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659113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F5BDCE" w14:textId="77777777" w:rsidR="00000000" w:rsidRDefault="00195E73">
            <w:pPr>
              <w:jc w:val="right"/>
              <w:rPr>
                <w:rFonts w:eastAsia="Times New Roman"/>
              </w:rPr>
            </w:pPr>
            <w:r>
              <w:rPr>
                <w:rFonts w:eastAsia="Times New Roman"/>
                <w:color w:val="000000"/>
                <w:sz w:val="18"/>
                <w:szCs w:val="18"/>
              </w:rPr>
              <w:t>(112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4B7F2701"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680840C8" w14:textId="77777777" w:rsidR="00000000" w:rsidRDefault="00195E73">
            <w:pPr>
              <w:rPr>
                <w:rFonts w:eastAsia="Times New Roman"/>
                <w:sz w:val="20"/>
                <w:szCs w:val="20"/>
              </w:rPr>
            </w:pPr>
          </w:p>
        </w:tc>
        <w:tc>
          <w:tcPr>
            <w:tcW w:w="0" w:type="auto"/>
            <w:vAlign w:val="center"/>
            <w:hideMark/>
          </w:tcPr>
          <w:p w14:paraId="1FAA2D52" w14:textId="77777777" w:rsidR="00000000" w:rsidRDefault="00195E73">
            <w:pPr>
              <w:rPr>
                <w:rFonts w:eastAsia="Times New Roman"/>
                <w:sz w:val="20"/>
                <w:szCs w:val="20"/>
              </w:rPr>
            </w:pPr>
          </w:p>
        </w:tc>
        <w:tc>
          <w:tcPr>
            <w:tcW w:w="0" w:type="auto"/>
            <w:vAlign w:val="center"/>
            <w:hideMark/>
          </w:tcPr>
          <w:p w14:paraId="5E997582" w14:textId="77777777" w:rsidR="00000000" w:rsidRDefault="00195E73">
            <w:pPr>
              <w:rPr>
                <w:rFonts w:eastAsia="Times New Roman"/>
                <w:sz w:val="20"/>
                <w:szCs w:val="20"/>
              </w:rPr>
            </w:pPr>
          </w:p>
        </w:tc>
        <w:tc>
          <w:tcPr>
            <w:tcW w:w="0" w:type="auto"/>
            <w:vAlign w:val="center"/>
            <w:hideMark/>
          </w:tcPr>
          <w:p w14:paraId="403DEA72" w14:textId="77777777" w:rsidR="00000000" w:rsidRDefault="00195E73">
            <w:pPr>
              <w:rPr>
                <w:rFonts w:eastAsia="Times New Roman"/>
                <w:sz w:val="20"/>
                <w:szCs w:val="20"/>
              </w:rPr>
            </w:pPr>
          </w:p>
        </w:tc>
        <w:tc>
          <w:tcPr>
            <w:tcW w:w="0" w:type="auto"/>
            <w:vAlign w:val="center"/>
            <w:hideMark/>
          </w:tcPr>
          <w:p w14:paraId="2257F8AC" w14:textId="77777777" w:rsidR="00000000" w:rsidRDefault="00195E73">
            <w:pPr>
              <w:rPr>
                <w:rFonts w:eastAsia="Times New Roman"/>
                <w:sz w:val="20"/>
                <w:szCs w:val="20"/>
              </w:rPr>
            </w:pPr>
          </w:p>
        </w:tc>
        <w:tc>
          <w:tcPr>
            <w:tcW w:w="0" w:type="auto"/>
            <w:vAlign w:val="center"/>
            <w:hideMark/>
          </w:tcPr>
          <w:p w14:paraId="23EBAF7C" w14:textId="77777777" w:rsidR="00000000" w:rsidRDefault="00195E73">
            <w:pPr>
              <w:rPr>
                <w:rFonts w:eastAsia="Times New Roman"/>
                <w:sz w:val="20"/>
                <w:szCs w:val="20"/>
              </w:rPr>
            </w:pPr>
          </w:p>
        </w:tc>
        <w:tc>
          <w:tcPr>
            <w:tcW w:w="0" w:type="auto"/>
            <w:vAlign w:val="center"/>
            <w:hideMark/>
          </w:tcPr>
          <w:p w14:paraId="23B7E916" w14:textId="77777777" w:rsidR="00000000" w:rsidRDefault="00195E73">
            <w:pPr>
              <w:rPr>
                <w:rFonts w:eastAsia="Times New Roman"/>
                <w:sz w:val="20"/>
                <w:szCs w:val="20"/>
              </w:rPr>
            </w:pPr>
          </w:p>
        </w:tc>
        <w:tc>
          <w:tcPr>
            <w:tcW w:w="0" w:type="auto"/>
            <w:vAlign w:val="center"/>
            <w:hideMark/>
          </w:tcPr>
          <w:p w14:paraId="6175BDF1" w14:textId="77777777" w:rsidR="00000000" w:rsidRDefault="00195E73">
            <w:pPr>
              <w:rPr>
                <w:rFonts w:eastAsia="Times New Roman"/>
                <w:sz w:val="20"/>
                <w:szCs w:val="20"/>
              </w:rPr>
            </w:pPr>
          </w:p>
        </w:tc>
        <w:tc>
          <w:tcPr>
            <w:tcW w:w="0" w:type="auto"/>
            <w:vAlign w:val="center"/>
            <w:hideMark/>
          </w:tcPr>
          <w:p w14:paraId="7D04B54B" w14:textId="77777777" w:rsidR="00000000" w:rsidRDefault="00195E73">
            <w:pPr>
              <w:rPr>
                <w:rFonts w:eastAsia="Times New Roman"/>
                <w:sz w:val="20"/>
                <w:szCs w:val="20"/>
              </w:rPr>
            </w:pPr>
          </w:p>
        </w:tc>
        <w:tc>
          <w:tcPr>
            <w:tcW w:w="0" w:type="auto"/>
            <w:vAlign w:val="center"/>
            <w:hideMark/>
          </w:tcPr>
          <w:p w14:paraId="38ABE9EB" w14:textId="77777777" w:rsidR="00000000" w:rsidRDefault="00195E73">
            <w:pPr>
              <w:rPr>
                <w:rFonts w:eastAsia="Times New Roman"/>
                <w:sz w:val="20"/>
                <w:szCs w:val="20"/>
              </w:rPr>
            </w:pPr>
          </w:p>
        </w:tc>
        <w:tc>
          <w:tcPr>
            <w:tcW w:w="0" w:type="auto"/>
            <w:vAlign w:val="center"/>
            <w:hideMark/>
          </w:tcPr>
          <w:p w14:paraId="3639B6F6" w14:textId="77777777" w:rsidR="00000000" w:rsidRDefault="00195E73">
            <w:pPr>
              <w:rPr>
                <w:rFonts w:eastAsia="Times New Roman"/>
                <w:sz w:val="20"/>
                <w:szCs w:val="20"/>
              </w:rPr>
            </w:pPr>
          </w:p>
        </w:tc>
        <w:tc>
          <w:tcPr>
            <w:tcW w:w="0" w:type="auto"/>
            <w:vAlign w:val="center"/>
            <w:hideMark/>
          </w:tcPr>
          <w:p w14:paraId="5F2CC5FF" w14:textId="77777777" w:rsidR="00000000" w:rsidRDefault="00195E73">
            <w:pPr>
              <w:rPr>
                <w:rFonts w:eastAsia="Times New Roman"/>
                <w:sz w:val="20"/>
                <w:szCs w:val="20"/>
              </w:rPr>
            </w:pPr>
          </w:p>
        </w:tc>
        <w:tc>
          <w:tcPr>
            <w:tcW w:w="0" w:type="auto"/>
            <w:vAlign w:val="center"/>
            <w:hideMark/>
          </w:tcPr>
          <w:p w14:paraId="53B49E2E" w14:textId="77777777" w:rsidR="00000000" w:rsidRDefault="00195E73">
            <w:pPr>
              <w:rPr>
                <w:rFonts w:eastAsia="Times New Roman"/>
                <w:sz w:val="20"/>
                <w:szCs w:val="20"/>
              </w:rPr>
            </w:pPr>
          </w:p>
        </w:tc>
        <w:tc>
          <w:tcPr>
            <w:tcW w:w="0" w:type="auto"/>
            <w:vAlign w:val="center"/>
            <w:hideMark/>
          </w:tcPr>
          <w:p w14:paraId="53251CAF" w14:textId="77777777" w:rsidR="00000000" w:rsidRDefault="00195E73">
            <w:pPr>
              <w:rPr>
                <w:rFonts w:eastAsia="Times New Roman"/>
                <w:sz w:val="20"/>
                <w:szCs w:val="20"/>
              </w:rPr>
            </w:pPr>
          </w:p>
        </w:tc>
        <w:tc>
          <w:tcPr>
            <w:tcW w:w="0" w:type="auto"/>
            <w:vAlign w:val="center"/>
            <w:hideMark/>
          </w:tcPr>
          <w:p w14:paraId="51CA3479" w14:textId="77777777" w:rsidR="00000000" w:rsidRDefault="00195E73">
            <w:pPr>
              <w:rPr>
                <w:rFonts w:eastAsia="Times New Roman"/>
                <w:sz w:val="20"/>
                <w:szCs w:val="20"/>
              </w:rPr>
            </w:pPr>
          </w:p>
        </w:tc>
        <w:tc>
          <w:tcPr>
            <w:tcW w:w="0" w:type="auto"/>
            <w:vAlign w:val="center"/>
            <w:hideMark/>
          </w:tcPr>
          <w:p w14:paraId="554BEA0F" w14:textId="77777777" w:rsidR="00000000" w:rsidRDefault="00195E73">
            <w:pPr>
              <w:rPr>
                <w:rFonts w:eastAsia="Times New Roman"/>
                <w:sz w:val="20"/>
                <w:szCs w:val="20"/>
              </w:rPr>
            </w:pPr>
          </w:p>
        </w:tc>
        <w:tc>
          <w:tcPr>
            <w:tcW w:w="0" w:type="auto"/>
            <w:vAlign w:val="center"/>
            <w:hideMark/>
          </w:tcPr>
          <w:p w14:paraId="5C5F3510" w14:textId="77777777" w:rsidR="00000000" w:rsidRDefault="00195E73">
            <w:pPr>
              <w:rPr>
                <w:rFonts w:eastAsia="Times New Roman"/>
                <w:sz w:val="20"/>
                <w:szCs w:val="20"/>
              </w:rPr>
            </w:pPr>
          </w:p>
        </w:tc>
        <w:tc>
          <w:tcPr>
            <w:tcW w:w="0" w:type="auto"/>
            <w:vAlign w:val="center"/>
            <w:hideMark/>
          </w:tcPr>
          <w:p w14:paraId="4B838B11" w14:textId="77777777" w:rsidR="00000000" w:rsidRDefault="00195E73">
            <w:pPr>
              <w:rPr>
                <w:rFonts w:eastAsia="Times New Roman"/>
                <w:sz w:val="20"/>
                <w:szCs w:val="20"/>
              </w:rPr>
            </w:pPr>
          </w:p>
        </w:tc>
        <w:tc>
          <w:tcPr>
            <w:tcW w:w="0" w:type="auto"/>
            <w:vAlign w:val="center"/>
            <w:hideMark/>
          </w:tcPr>
          <w:p w14:paraId="107AE65E" w14:textId="77777777" w:rsidR="00000000" w:rsidRDefault="00195E73">
            <w:pPr>
              <w:rPr>
                <w:rFonts w:eastAsia="Times New Roman"/>
                <w:sz w:val="20"/>
                <w:szCs w:val="20"/>
              </w:rPr>
            </w:pPr>
          </w:p>
        </w:tc>
        <w:tc>
          <w:tcPr>
            <w:tcW w:w="0" w:type="auto"/>
            <w:vAlign w:val="center"/>
            <w:hideMark/>
          </w:tcPr>
          <w:p w14:paraId="55E459CC" w14:textId="77777777" w:rsidR="00000000" w:rsidRDefault="00195E73">
            <w:pPr>
              <w:rPr>
                <w:rFonts w:eastAsia="Times New Roman"/>
                <w:sz w:val="20"/>
                <w:szCs w:val="20"/>
              </w:rPr>
            </w:pPr>
          </w:p>
        </w:tc>
        <w:tc>
          <w:tcPr>
            <w:tcW w:w="0" w:type="auto"/>
            <w:vAlign w:val="center"/>
            <w:hideMark/>
          </w:tcPr>
          <w:p w14:paraId="3455C30C" w14:textId="77777777" w:rsidR="00000000" w:rsidRDefault="00195E73">
            <w:pPr>
              <w:rPr>
                <w:rFonts w:eastAsia="Times New Roman"/>
                <w:sz w:val="20"/>
                <w:szCs w:val="20"/>
              </w:rPr>
            </w:pPr>
          </w:p>
        </w:tc>
        <w:tc>
          <w:tcPr>
            <w:tcW w:w="0" w:type="auto"/>
            <w:vAlign w:val="center"/>
            <w:hideMark/>
          </w:tcPr>
          <w:p w14:paraId="59287854" w14:textId="77777777" w:rsidR="00000000" w:rsidRDefault="00195E73">
            <w:pPr>
              <w:rPr>
                <w:rFonts w:eastAsia="Times New Roman"/>
                <w:sz w:val="20"/>
                <w:szCs w:val="20"/>
              </w:rPr>
            </w:pPr>
          </w:p>
        </w:tc>
        <w:tc>
          <w:tcPr>
            <w:tcW w:w="0" w:type="auto"/>
            <w:vAlign w:val="center"/>
            <w:hideMark/>
          </w:tcPr>
          <w:p w14:paraId="009D079C" w14:textId="77777777" w:rsidR="00000000" w:rsidRDefault="00195E73">
            <w:pPr>
              <w:rPr>
                <w:rFonts w:eastAsia="Times New Roman"/>
                <w:sz w:val="20"/>
                <w:szCs w:val="20"/>
              </w:rPr>
            </w:pPr>
          </w:p>
        </w:tc>
        <w:tc>
          <w:tcPr>
            <w:tcW w:w="0" w:type="auto"/>
            <w:vAlign w:val="center"/>
            <w:hideMark/>
          </w:tcPr>
          <w:p w14:paraId="23399E07" w14:textId="77777777" w:rsidR="00000000" w:rsidRDefault="00195E73">
            <w:pPr>
              <w:rPr>
                <w:rFonts w:eastAsia="Times New Roman"/>
                <w:sz w:val="20"/>
                <w:szCs w:val="20"/>
              </w:rPr>
            </w:pPr>
          </w:p>
        </w:tc>
      </w:tr>
      <w:tr w:rsidR="00000000" w14:paraId="005AF4EA" w14:textId="77777777">
        <w:trPr>
          <w:divId w:val="1673147082"/>
          <w:jc w:val="center"/>
        </w:trPr>
        <w:tc>
          <w:tcPr>
            <w:tcW w:w="0" w:type="auto"/>
            <w:gridSpan w:val="3"/>
            <w:shd w:val="clear" w:color="auto" w:fill="FFFFFF"/>
            <w:tcMar>
              <w:top w:w="30" w:type="dxa"/>
              <w:left w:w="20" w:type="dxa"/>
              <w:bottom w:w="30" w:type="dxa"/>
              <w:right w:w="20" w:type="dxa"/>
            </w:tcMar>
            <w:vAlign w:val="bottom"/>
            <w:hideMark/>
          </w:tcPr>
          <w:p w14:paraId="0DCB66DB" w14:textId="77777777" w:rsidR="00000000" w:rsidRDefault="00195E73">
            <w:pPr>
              <w:rPr>
                <w:rFonts w:eastAsia="Times New Roman"/>
              </w:rPr>
            </w:pPr>
            <w:r>
              <w:rPr>
                <w:rFonts w:eastAsia="Times New Roman"/>
                <w:color w:val="000000"/>
                <w:sz w:val="18"/>
                <w:szCs w:val="18"/>
              </w:rPr>
              <w:t>Partnership contribution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4F35907C"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4F4D65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FCF93A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607BE1" w14:textId="77777777" w:rsidR="00000000" w:rsidRDefault="00195E73">
            <w:pPr>
              <w:jc w:val="right"/>
              <w:rPr>
                <w:rFonts w:eastAsia="Times New Roman"/>
              </w:rPr>
            </w:pPr>
            <w:r>
              <w:rPr>
                <w:rFonts w:eastAsia="Times New Roman"/>
                <w:color w:val="000000"/>
                <w:sz w:val="18"/>
                <w:szCs w:val="18"/>
              </w:rPr>
              <w:t>54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57D5D8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578CD8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712EE0" w14:textId="77777777" w:rsidR="00000000" w:rsidRDefault="00195E73">
            <w:pPr>
              <w:jc w:val="right"/>
              <w:rPr>
                <w:rFonts w:eastAsia="Times New Roman"/>
              </w:rPr>
            </w:pPr>
            <w:r>
              <w:rPr>
                <w:rFonts w:eastAsia="Times New Roman"/>
                <w:color w:val="000000"/>
                <w:sz w:val="18"/>
                <w:szCs w:val="18"/>
              </w:rPr>
              <w:t>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F200CC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B964FF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864FE9"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BB4525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FC6E1D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D3CAED" w14:textId="77777777" w:rsidR="00000000" w:rsidRDefault="00195E73">
            <w:pPr>
              <w:jc w:val="right"/>
              <w:rPr>
                <w:rFonts w:eastAsia="Times New Roman"/>
              </w:rPr>
            </w:pPr>
            <w:r>
              <w:rPr>
                <w:rFonts w:eastAsia="Times New Roman"/>
                <w:color w:val="000000"/>
                <w:sz w:val="18"/>
                <w:szCs w:val="18"/>
              </w:rPr>
              <w:t>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71CD8A9"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58B0C12E" w14:textId="77777777" w:rsidR="00000000" w:rsidRDefault="00195E73">
            <w:pPr>
              <w:rPr>
                <w:rFonts w:eastAsia="Times New Roman"/>
                <w:sz w:val="20"/>
                <w:szCs w:val="20"/>
              </w:rPr>
            </w:pPr>
          </w:p>
        </w:tc>
        <w:tc>
          <w:tcPr>
            <w:tcW w:w="0" w:type="auto"/>
            <w:vAlign w:val="center"/>
            <w:hideMark/>
          </w:tcPr>
          <w:p w14:paraId="0FEFF03C" w14:textId="77777777" w:rsidR="00000000" w:rsidRDefault="00195E73">
            <w:pPr>
              <w:rPr>
                <w:rFonts w:eastAsia="Times New Roman"/>
                <w:sz w:val="20"/>
                <w:szCs w:val="20"/>
              </w:rPr>
            </w:pPr>
          </w:p>
        </w:tc>
        <w:tc>
          <w:tcPr>
            <w:tcW w:w="0" w:type="auto"/>
            <w:vAlign w:val="center"/>
            <w:hideMark/>
          </w:tcPr>
          <w:p w14:paraId="02DFDE34" w14:textId="77777777" w:rsidR="00000000" w:rsidRDefault="00195E73">
            <w:pPr>
              <w:rPr>
                <w:rFonts w:eastAsia="Times New Roman"/>
                <w:sz w:val="20"/>
                <w:szCs w:val="20"/>
              </w:rPr>
            </w:pPr>
          </w:p>
        </w:tc>
        <w:tc>
          <w:tcPr>
            <w:tcW w:w="0" w:type="auto"/>
            <w:vAlign w:val="center"/>
            <w:hideMark/>
          </w:tcPr>
          <w:p w14:paraId="615C3167" w14:textId="77777777" w:rsidR="00000000" w:rsidRDefault="00195E73">
            <w:pPr>
              <w:rPr>
                <w:rFonts w:eastAsia="Times New Roman"/>
                <w:sz w:val="20"/>
                <w:szCs w:val="20"/>
              </w:rPr>
            </w:pPr>
          </w:p>
        </w:tc>
        <w:tc>
          <w:tcPr>
            <w:tcW w:w="0" w:type="auto"/>
            <w:vAlign w:val="center"/>
            <w:hideMark/>
          </w:tcPr>
          <w:p w14:paraId="28E02552" w14:textId="77777777" w:rsidR="00000000" w:rsidRDefault="00195E73">
            <w:pPr>
              <w:rPr>
                <w:rFonts w:eastAsia="Times New Roman"/>
                <w:sz w:val="20"/>
                <w:szCs w:val="20"/>
              </w:rPr>
            </w:pPr>
          </w:p>
        </w:tc>
        <w:tc>
          <w:tcPr>
            <w:tcW w:w="0" w:type="auto"/>
            <w:vAlign w:val="center"/>
            <w:hideMark/>
          </w:tcPr>
          <w:p w14:paraId="3A0490A8" w14:textId="77777777" w:rsidR="00000000" w:rsidRDefault="00195E73">
            <w:pPr>
              <w:rPr>
                <w:rFonts w:eastAsia="Times New Roman"/>
                <w:sz w:val="20"/>
                <w:szCs w:val="20"/>
              </w:rPr>
            </w:pPr>
          </w:p>
        </w:tc>
        <w:tc>
          <w:tcPr>
            <w:tcW w:w="0" w:type="auto"/>
            <w:vAlign w:val="center"/>
            <w:hideMark/>
          </w:tcPr>
          <w:p w14:paraId="5C2E5D03" w14:textId="77777777" w:rsidR="00000000" w:rsidRDefault="00195E73">
            <w:pPr>
              <w:rPr>
                <w:rFonts w:eastAsia="Times New Roman"/>
                <w:sz w:val="20"/>
                <w:szCs w:val="20"/>
              </w:rPr>
            </w:pPr>
          </w:p>
        </w:tc>
        <w:tc>
          <w:tcPr>
            <w:tcW w:w="0" w:type="auto"/>
            <w:vAlign w:val="center"/>
            <w:hideMark/>
          </w:tcPr>
          <w:p w14:paraId="79B33013" w14:textId="77777777" w:rsidR="00000000" w:rsidRDefault="00195E73">
            <w:pPr>
              <w:rPr>
                <w:rFonts w:eastAsia="Times New Roman"/>
                <w:sz w:val="20"/>
                <w:szCs w:val="20"/>
              </w:rPr>
            </w:pPr>
          </w:p>
        </w:tc>
        <w:tc>
          <w:tcPr>
            <w:tcW w:w="0" w:type="auto"/>
            <w:vAlign w:val="center"/>
            <w:hideMark/>
          </w:tcPr>
          <w:p w14:paraId="6A484FFF" w14:textId="77777777" w:rsidR="00000000" w:rsidRDefault="00195E73">
            <w:pPr>
              <w:rPr>
                <w:rFonts w:eastAsia="Times New Roman"/>
                <w:sz w:val="20"/>
                <w:szCs w:val="20"/>
              </w:rPr>
            </w:pPr>
          </w:p>
        </w:tc>
        <w:tc>
          <w:tcPr>
            <w:tcW w:w="0" w:type="auto"/>
            <w:vAlign w:val="center"/>
            <w:hideMark/>
          </w:tcPr>
          <w:p w14:paraId="7331D6A8" w14:textId="77777777" w:rsidR="00000000" w:rsidRDefault="00195E73">
            <w:pPr>
              <w:rPr>
                <w:rFonts w:eastAsia="Times New Roman"/>
                <w:sz w:val="20"/>
                <w:szCs w:val="20"/>
              </w:rPr>
            </w:pPr>
          </w:p>
        </w:tc>
        <w:tc>
          <w:tcPr>
            <w:tcW w:w="0" w:type="auto"/>
            <w:vAlign w:val="center"/>
            <w:hideMark/>
          </w:tcPr>
          <w:p w14:paraId="5A04CFE2" w14:textId="77777777" w:rsidR="00000000" w:rsidRDefault="00195E73">
            <w:pPr>
              <w:rPr>
                <w:rFonts w:eastAsia="Times New Roman"/>
                <w:sz w:val="20"/>
                <w:szCs w:val="20"/>
              </w:rPr>
            </w:pPr>
          </w:p>
        </w:tc>
        <w:tc>
          <w:tcPr>
            <w:tcW w:w="0" w:type="auto"/>
            <w:vAlign w:val="center"/>
            <w:hideMark/>
          </w:tcPr>
          <w:p w14:paraId="05A7FDD4" w14:textId="77777777" w:rsidR="00000000" w:rsidRDefault="00195E73">
            <w:pPr>
              <w:rPr>
                <w:rFonts w:eastAsia="Times New Roman"/>
                <w:sz w:val="20"/>
                <w:szCs w:val="20"/>
              </w:rPr>
            </w:pPr>
          </w:p>
        </w:tc>
        <w:tc>
          <w:tcPr>
            <w:tcW w:w="0" w:type="auto"/>
            <w:vAlign w:val="center"/>
            <w:hideMark/>
          </w:tcPr>
          <w:p w14:paraId="18C150A3" w14:textId="77777777" w:rsidR="00000000" w:rsidRDefault="00195E73">
            <w:pPr>
              <w:rPr>
                <w:rFonts w:eastAsia="Times New Roman"/>
                <w:sz w:val="20"/>
                <w:szCs w:val="20"/>
              </w:rPr>
            </w:pPr>
          </w:p>
        </w:tc>
        <w:tc>
          <w:tcPr>
            <w:tcW w:w="0" w:type="auto"/>
            <w:vAlign w:val="center"/>
            <w:hideMark/>
          </w:tcPr>
          <w:p w14:paraId="4B3F2D8B" w14:textId="77777777" w:rsidR="00000000" w:rsidRDefault="00195E73">
            <w:pPr>
              <w:rPr>
                <w:rFonts w:eastAsia="Times New Roman"/>
                <w:sz w:val="20"/>
                <w:szCs w:val="20"/>
              </w:rPr>
            </w:pPr>
          </w:p>
        </w:tc>
        <w:tc>
          <w:tcPr>
            <w:tcW w:w="0" w:type="auto"/>
            <w:vAlign w:val="center"/>
            <w:hideMark/>
          </w:tcPr>
          <w:p w14:paraId="51C30D67" w14:textId="77777777" w:rsidR="00000000" w:rsidRDefault="00195E73">
            <w:pPr>
              <w:rPr>
                <w:rFonts w:eastAsia="Times New Roman"/>
                <w:sz w:val="20"/>
                <w:szCs w:val="20"/>
              </w:rPr>
            </w:pPr>
          </w:p>
        </w:tc>
        <w:tc>
          <w:tcPr>
            <w:tcW w:w="0" w:type="auto"/>
            <w:vAlign w:val="center"/>
            <w:hideMark/>
          </w:tcPr>
          <w:p w14:paraId="42E61570" w14:textId="77777777" w:rsidR="00000000" w:rsidRDefault="00195E73">
            <w:pPr>
              <w:rPr>
                <w:rFonts w:eastAsia="Times New Roman"/>
                <w:sz w:val="20"/>
                <w:szCs w:val="20"/>
              </w:rPr>
            </w:pPr>
          </w:p>
        </w:tc>
        <w:tc>
          <w:tcPr>
            <w:tcW w:w="0" w:type="auto"/>
            <w:vAlign w:val="center"/>
            <w:hideMark/>
          </w:tcPr>
          <w:p w14:paraId="0FD14E8B" w14:textId="77777777" w:rsidR="00000000" w:rsidRDefault="00195E73">
            <w:pPr>
              <w:rPr>
                <w:rFonts w:eastAsia="Times New Roman"/>
                <w:sz w:val="20"/>
                <w:szCs w:val="20"/>
              </w:rPr>
            </w:pPr>
          </w:p>
        </w:tc>
        <w:tc>
          <w:tcPr>
            <w:tcW w:w="0" w:type="auto"/>
            <w:vAlign w:val="center"/>
            <w:hideMark/>
          </w:tcPr>
          <w:p w14:paraId="6BBEF0B4" w14:textId="77777777" w:rsidR="00000000" w:rsidRDefault="00195E73">
            <w:pPr>
              <w:rPr>
                <w:rFonts w:eastAsia="Times New Roman"/>
                <w:sz w:val="20"/>
                <w:szCs w:val="20"/>
              </w:rPr>
            </w:pPr>
          </w:p>
        </w:tc>
        <w:tc>
          <w:tcPr>
            <w:tcW w:w="0" w:type="auto"/>
            <w:vAlign w:val="center"/>
            <w:hideMark/>
          </w:tcPr>
          <w:p w14:paraId="17250ACD" w14:textId="77777777" w:rsidR="00000000" w:rsidRDefault="00195E73">
            <w:pPr>
              <w:rPr>
                <w:rFonts w:eastAsia="Times New Roman"/>
                <w:sz w:val="20"/>
                <w:szCs w:val="20"/>
              </w:rPr>
            </w:pPr>
          </w:p>
        </w:tc>
        <w:tc>
          <w:tcPr>
            <w:tcW w:w="0" w:type="auto"/>
            <w:vAlign w:val="center"/>
            <w:hideMark/>
          </w:tcPr>
          <w:p w14:paraId="031C130C" w14:textId="77777777" w:rsidR="00000000" w:rsidRDefault="00195E73">
            <w:pPr>
              <w:rPr>
                <w:rFonts w:eastAsia="Times New Roman"/>
                <w:sz w:val="20"/>
                <w:szCs w:val="20"/>
              </w:rPr>
            </w:pPr>
          </w:p>
        </w:tc>
        <w:tc>
          <w:tcPr>
            <w:tcW w:w="0" w:type="auto"/>
            <w:vAlign w:val="center"/>
            <w:hideMark/>
          </w:tcPr>
          <w:p w14:paraId="67136C27" w14:textId="77777777" w:rsidR="00000000" w:rsidRDefault="00195E73">
            <w:pPr>
              <w:rPr>
                <w:rFonts w:eastAsia="Times New Roman"/>
                <w:sz w:val="20"/>
                <w:szCs w:val="20"/>
              </w:rPr>
            </w:pPr>
          </w:p>
        </w:tc>
        <w:tc>
          <w:tcPr>
            <w:tcW w:w="0" w:type="auto"/>
            <w:vAlign w:val="center"/>
            <w:hideMark/>
          </w:tcPr>
          <w:p w14:paraId="6F29083B" w14:textId="77777777" w:rsidR="00000000" w:rsidRDefault="00195E73">
            <w:pPr>
              <w:rPr>
                <w:rFonts w:eastAsia="Times New Roman"/>
                <w:sz w:val="20"/>
                <w:szCs w:val="20"/>
              </w:rPr>
            </w:pPr>
          </w:p>
        </w:tc>
        <w:tc>
          <w:tcPr>
            <w:tcW w:w="0" w:type="auto"/>
            <w:vAlign w:val="center"/>
            <w:hideMark/>
          </w:tcPr>
          <w:p w14:paraId="142DBE24" w14:textId="77777777" w:rsidR="00000000" w:rsidRDefault="00195E73">
            <w:pPr>
              <w:rPr>
                <w:rFonts w:eastAsia="Times New Roman"/>
                <w:sz w:val="20"/>
                <w:szCs w:val="20"/>
              </w:rPr>
            </w:pPr>
          </w:p>
        </w:tc>
        <w:tc>
          <w:tcPr>
            <w:tcW w:w="0" w:type="auto"/>
            <w:vAlign w:val="center"/>
            <w:hideMark/>
          </w:tcPr>
          <w:p w14:paraId="39E4248C" w14:textId="77777777" w:rsidR="00000000" w:rsidRDefault="00195E73">
            <w:pPr>
              <w:rPr>
                <w:rFonts w:eastAsia="Times New Roman"/>
                <w:sz w:val="20"/>
                <w:szCs w:val="20"/>
              </w:rPr>
            </w:pPr>
          </w:p>
        </w:tc>
      </w:tr>
      <w:tr w:rsidR="00000000" w14:paraId="5D1AA552" w14:textId="77777777">
        <w:trPr>
          <w:divId w:val="1673147082"/>
          <w:jc w:val="center"/>
        </w:trPr>
        <w:tc>
          <w:tcPr>
            <w:tcW w:w="0" w:type="auto"/>
            <w:gridSpan w:val="3"/>
            <w:shd w:val="clear" w:color="auto" w:fill="CCEEFF"/>
            <w:tcMar>
              <w:top w:w="30" w:type="dxa"/>
              <w:left w:w="20" w:type="dxa"/>
              <w:bottom w:w="30" w:type="dxa"/>
              <w:right w:w="20" w:type="dxa"/>
            </w:tcMar>
            <w:vAlign w:val="bottom"/>
            <w:hideMark/>
          </w:tcPr>
          <w:p w14:paraId="3C72779F" w14:textId="77777777" w:rsidR="00000000" w:rsidRDefault="00195E73">
            <w:pPr>
              <w:ind w:hanging="180"/>
              <w:divId w:val="69280510"/>
              <w:rPr>
                <w:rFonts w:eastAsia="Times New Roman"/>
              </w:rPr>
            </w:pPr>
            <w:r>
              <w:rPr>
                <w:rFonts w:eastAsia="Times New Roman"/>
                <w:color w:val="000000"/>
                <w:sz w:val="18"/>
                <w:szCs w:val="18"/>
              </w:rPr>
              <w:t>Investment segment contribution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14:paraId="0E63D49A"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6DFBE8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09D562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FEDB7A"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236B1E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754024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E80DF9"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D6CDB6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42AD9D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F4B106" w14:textId="77777777" w:rsidR="00000000" w:rsidRDefault="00195E73">
            <w:pPr>
              <w:jc w:val="right"/>
              <w:rPr>
                <w:rFonts w:eastAsia="Times New Roman"/>
              </w:rPr>
            </w:pPr>
            <w:r>
              <w:rPr>
                <w:rFonts w:eastAsia="Times New Roman"/>
                <w:color w:val="000000"/>
                <w:sz w:val="18"/>
                <w:szCs w:val="18"/>
              </w:rPr>
              <w:t>220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83826C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D351E1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CFA10E" w14:textId="77777777" w:rsidR="00000000" w:rsidRDefault="00195E73">
            <w:pPr>
              <w:jc w:val="right"/>
              <w:rPr>
                <w:rFonts w:eastAsia="Times New Roman"/>
              </w:rPr>
            </w:pPr>
            <w:r>
              <w:rPr>
                <w:rFonts w:eastAsia="Times New Roman"/>
                <w:color w:val="000000"/>
                <w:sz w:val="18"/>
                <w:szCs w:val="18"/>
              </w:rPr>
              <w:t>220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D629457"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9E1A9EB" w14:textId="77777777" w:rsidR="00000000" w:rsidRDefault="00195E73">
            <w:pPr>
              <w:rPr>
                <w:rFonts w:eastAsia="Times New Roman"/>
                <w:sz w:val="20"/>
                <w:szCs w:val="20"/>
              </w:rPr>
            </w:pPr>
          </w:p>
        </w:tc>
        <w:tc>
          <w:tcPr>
            <w:tcW w:w="0" w:type="auto"/>
            <w:vAlign w:val="center"/>
            <w:hideMark/>
          </w:tcPr>
          <w:p w14:paraId="51406DD1" w14:textId="77777777" w:rsidR="00000000" w:rsidRDefault="00195E73">
            <w:pPr>
              <w:rPr>
                <w:rFonts w:eastAsia="Times New Roman"/>
                <w:sz w:val="20"/>
                <w:szCs w:val="20"/>
              </w:rPr>
            </w:pPr>
          </w:p>
        </w:tc>
        <w:tc>
          <w:tcPr>
            <w:tcW w:w="0" w:type="auto"/>
            <w:vAlign w:val="center"/>
            <w:hideMark/>
          </w:tcPr>
          <w:p w14:paraId="2FC1D5C6" w14:textId="77777777" w:rsidR="00000000" w:rsidRDefault="00195E73">
            <w:pPr>
              <w:rPr>
                <w:rFonts w:eastAsia="Times New Roman"/>
                <w:sz w:val="20"/>
                <w:szCs w:val="20"/>
              </w:rPr>
            </w:pPr>
          </w:p>
        </w:tc>
        <w:tc>
          <w:tcPr>
            <w:tcW w:w="0" w:type="auto"/>
            <w:vAlign w:val="center"/>
            <w:hideMark/>
          </w:tcPr>
          <w:p w14:paraId="3A32E785" w14:textId="77777777" w:rsidR="00000000" w:rsidRDefault="00195E73">
            <w:pPr>
              <w:rPr>
                <w:rFonts w:eastAsia="Times New Roman"/>
                <w:sz w:val="20"/>
                <w:szCs w:val="20"/>
              </w:rPr>
            </w:pPr>
          </w:p>
        </w:tc>
        <w:tc>
          <w:tcPr>
            <w:tcW w:w="0" w:type="auto"/>
            <w:vAlign w:val="center"/>
            <w:hideMark/>
          </w:tcPr>
          <w:p w14:paraId="4DE8A3F2" w14:textId="77777777" w:rsidR="00000000" w:rsidRDefault="00195E73">
            <w:pPr>
              <w:rPr>
                <w:rFonts w:eastAsia="Times New Roman"/>
                <w:sz w:val="20"/>
                <w:szCs w:val="20"/>
              </w:rPr>
            </w:pPr>
          </w:p>
        </w:tc>
        <w:tc>
          <w:tcPr>
            <w:tcW w:w="0" w:type="auto"/>
            <w:vAlign w:val="center"/>
            <w:hideMark/>
          </w:tcPr>
          <w:p w14:paraId="70E65174" w14:textId="77777777" w:rsidR="00000000" w:rsidRDefault="00195E73">
            <w:pPr>
              <w:rPr>
                <w:rFonts w:eastAsia="Times New Roman"/>
                <w:sz w:val="20"/>
                <w:szCs w:val="20"/>
              </w:rPr>
            </w:pPr>
          </w:p>
        </w:tc>
        <w:tc>
          <w:tcPr>
            <w:tcW w:w="0" w:type="auto"/>
            <w:vAlign w:val="center"/>
            <w:hideMark/>
          </w:tcPr>
          <w:p w14:paraId="4ECFC77A" w14:textId="77777777" w:rsidR="00000000" w:rsidRDefault="00195E73">
            <w:pPr>
              <w:rPr>
                <w:rFonts w:eastAsia="Times New Roman"/>
                <w:sz w:val="20"/>
                <w:szCs w:val="20"/>
              </w:rPr>
            </w:pPr>
          </w:p>
        </w:tc>
        <w:tc>
          <w:tcPr>
            <w:tcW w:w="0" w:type="auto"/>
            <w:vAlign w:val="center"/>
            <w:hideMark/>
          </w:tcPr>
          <w:p w14:paraId="1424625F" w14:textId="77777777" w:rsidR="00000000" w:rsidRDefault="00195E73">
            <w:pPr>
              <w:rPr>
                <w:rFonts w:eastAsia="Times New Roman"/>
                <w:sz w:val="20"/>
                <w:szCs w:val="20"/>
              </w:rPr>
            </w:pPr>
          </w:p>
        </w:tc>
        <w:tc>
          <w:tcPr>
            <w:tcW w:w="0" w:type="auto"/>
            <w:vAlign w:val="center"/>
            <w:hideMark/>
          </w:tcPr>
          <w:p w14:paraId="52DEA230" w14:textId="77777777" w:rsidR="00000000" w:rsidRDefault="00195E73">
            <w:pPr>
              <w:rPr>
                <w:rFonts w:eastAsia="Times New Roman"/>
                <w:sz w:val="20"/>
                <w:szCs w:val="20"/>
              </w:rPr>
            </w:pPr>
          </w:p>
        </w:tc>
        <w:tc>
          <w:tcPr>
            <w:tcW w:w="0" w:type="auto"/>
            <w:vAlign w:val="center"/>
            <w:hideMark/>
          </w:tcPr>
          <w:p w14:paraId="4200F6CF" w14:textId="77777777" w:rsidR="00000000" w:rsidRDefault="00195E73">
            <w:pPr>
              <w:rPr>
                <w:rFonts w:eastAsia="Times New Roman"/>
                <w:sz w:val="20"/>
                <w:szCs w:val="20"/>
              </w:rPr>
            </w:pPr>
          </w:p>
        </w:tc>
        <w:tc>
          <w:tcPr>
            <w:tcW w:w="0" w:type="auto"/>
            <w:vAlign w:val="center"/>
            <w:hideMark/>
          </w:tcPr>
          <w:p w14:paraId="3A094834" w14:textId="77777777" w:rsidR="00000000" w:rsidRDefault="00195E73">
            <w:pPr>
              <w:rPr>
                <w:rFonts w:eastAsia="Times New Roman"/>
                <w:sz w:val="20"/>
                <w:szCs w:val="20"/>
              </w:rPr>
            </w:pPr>
          </w:p>
        </w:tc>
        <w:tc>
          <w:tcPr>
            <w:tcW w:w="0" w:type="auto"/>
            <w:vAlign w:val="center"/>
            <w:hideMark/>
          </w:tcPr>
          <w:p w14:paraId="1123C70A" w14:textId="77777777" w:rsidR="00000000" w:rsidRDefault="00195E73">
            <w:pPr>
              <w:rPr>
                <w:rFonts w:eastAsia="Times New Roman"/>
                <w:sz w:val="20"/>
                <w:szCs w:val="20"/>
              </w:rPr>
            </w:pPr>
          </w:p>
        </w:tc>
        <w:tc>
          <w:tcPr>
            <w:tcW w:w="0" w:type="auto"/>
            <w:vAlign w:val="center"/>
            <w:hideMark/>
          </w:tcPr>
          <w:p w14:paraId="24977D70" w14:textId="77777777" w:rsidR="00000000" w:rsidRDefault="00195E73">
            <w:pPr>
              <w:rPr>
                <w:rFonts w:eastAsia="Times New Roman"/>
                <w:sz w:val="20"/>
                <w:szCs w:val="20"/>
              </w:rPr>
            </w:pPr>
          </w:p>
        </w:tc>
        <w:tc>
          <w:tcPr>
            <w:tcW w:w="0" w:type="auto"/>
            <w:vAlign w:val="center"/>
            <w:hideMark/>
          </w:tcPr>
          <w:p w14:paraId="62B3EB01" w14:textId="77777777" w:rsidR="00000000" w:rsidRDefault="00195E73">
            <w:pPr>
              <w:rPr>
                <w:rFonts w:eastAsia="Times New Roman"/>
                <w:sz w:val="20"/>
                <w:szCs w:val="20"/>
              </w:rPr>
            </w:pPr>
          </w:p>
        </w:tc>
        <w:tc>
          <w:tcPr>
            <w:tcW w:w="0" w:type="auto"/>
            <w:vAlign w:val="center"/>
            <w:hideMark/>
          </w:tcPr>
          <w:p w14:paraId="2B4B83D8" w14:textId="77777777" w:rsidR="00000000" w:rsidRDefault="00195E73">
            <w:pPr>
              <w:rPr>
                <w:rFonts w:eastAsia="Times New Roman"/>
                <w:sz w:val="20"/>
                <w:szCs w:val="20"/>
              </w:rPr>
            </w:pPr>
          </w:p>
        </w:tc>
        <w:tc>
          <w:tcPr>
            <w:tcW w:w="0" w:type="auto"/>
            <w:vAlign w:val="center"/>
            <w:hideMark/>
          </w:tcPr>
          <w:p w14:paraId="0B0DC053" w14:textId="77777777" w:rsidR="00000000" w:rsidRDefault="00195E73">
            <w:pPr>
              <w:rPr>
                <w:rFonts w:eastAsia="Times New Roman"/>
                <w:sz w:val="20"/>
                <w:szCs w:val="20"/>
              </w:rPr>
            </w:pPr>
          </w:p>
        </w:tc>
        <w:tc>
          <w:tcPr>
            <w:tcW w:w="0" w:type="auto"/>
            <w:vAlign w:val="center"/>
            <w:hideMark/>
          </w:tcPr>
          <w:p w14:paraId="2997F53D" w14:textId="77777777" w:rsidR="00000000" w:rsidRDefault="00195E73">
            <w:pPr>
              <w:rPr>
                <w:rFonts w:eastAsia="Times New Roman"/>
                <w:sz w:val="20"/>
                <w:szCs w:val="20"/>
              </w:rPr>
            </w:pPr>
          </w:p>
        </w:tc>
        <w:tc>
          <w:tcPr>
            <w:tcW w:w="0" w:type="auto"/>
            <w:vAlign w:val="center"/>
            <w:hideMark/>
          </w:tcPr>
          <w:p w14:paraId="45A7EAC5" w14:textId="77777777" w:rsidR="00000000" w:rsidRDefault="00195E73">
            <w:pPr>
              <w:rPr>
                <w:rFonts w:eastAsia="Times New Roman"/>
                <w:sz w:val="20"/>
                <w:szCs w:val="20"/>
              </w:rPr>
            </w:pPr>
          </w:p>
        </w:tc>
        <w:tc>
          <w:tcPr>
            <w:tcW w:w="0" w:type="auto"/>
            <w:vAlign w:val="center"/>
            <w:hideMark/>
          </w:tcPr>
          <w:p w14:paraId="55E65797" w14:textId="77777777" w:rsidR="00000000" w:rsidRDefault="00195E73">
            <w:pPr>
              <w:rPr>
                <w:rFonts w:eastAsia="Times New Roman"/>
                <w:sz w:val="20"/>
                <w:szCs w:val="20"/>
              </w:rPr>
            </w:pPr>
          </w:p>
        </w:tc>
        <w:tc>
          <w:tcPr>
            <w:tcW w:w="0" w:type="auto"/>
            <w:vAlign w:val="center"/>
            <w:hideMark/>
          </w:tcPr>
          <w:p w14:paraId="00BB1566" w14:textId="77777777" w:rsidR="00000000" w:rsidRDefault="00195E73">
            <w:pPr>
              <w:rPr>
                <w:rFonts w:eastAsia="Times New Roman"/>
                <w:sz w:val="20"/>
                <w:szCs w:val="20"/>
              </w:rPr>
            </w:pPr>
          </w:p>
        </w:tc>
        <w:tc>
          <w:tcPr>
            <w:tcW w:w="0" w:type="auto"/>
            <w:vAlign w:val="center"/>
            <w:hideMark/>
          </w:tcPr>
          <w:p w14:paraId="24309FDB" w14:textId="77777777" w:rsidR="00000000" w:rsidRDefault="00195E73">
            <w:pPr>
              <w:rPr>
                <w:rFonts w:eastAsia="Times New Roman"/>
                <w:sz w:val="20"/>
                <w:szCs w:val="20"/>
              </w:rPr>
            </w:pPr>
          </w:p>
        </w:tc>
        <w:tc>
          <w:tcPr>
            <w:tcW w:w="0" w:type="auto"/>
            <w:vAlign w:val="center"/>
            <w:hideMark/>
          </w:tcPr>
          <w:p w14:paraId="78715811" w14:textId="77777777" w:rsidR="00000000" w:rsidRDefault="00195E73">
            <w:pPr>
              <w:rPr>
                <w:rFonts w:eastAsia="Times New Roman"/>
                <w:sz w:val="20"/>
                <w:szCs w:val="20"/>
              </w:rPr>
            </w:pPr>
          </w:p>
        </w:tc>
        <w:tc>
          <w:tcPr>
            <w:tcW w:w="0" w:type="auto"/>
            <w:vAlign w:val="center"/>
            <w:hideMark/>
          </w:tcPr>
          <w:p w14:paraId="2F4C82C5" w14:textId="77777777" w:rsidR="00000000" w:rsidRDefault="00195E73">
            <w:pPr>
              <w:rPr>
                <w:rFonts w:eastAsia="Times New Roman"/>
                <w:sz w:val="20"/>
                <w:szCs w:val="20"/>
              </w:rPr>
            </w:pPr>
          </w:p>
        </w:tc>
        <w:tc>
          <w:tcPr>
            <w:tcW w:w="0" w:type="auto"/>
            <w:vAlign w:val="center"/>
            <w:hideMark/>
          </w:tcPr>
          <w:p w14:paraId="254181BB" w14:textId="77777777" w:rsidR="00000000" w:rsidRDefault="00195E73">
            <w:pPr>
              <w:rPr>
                <w:rFonts w:eastAsia="Times New Roman"/>
                <w:sz w:val="20"/>
                <w:szCs w:val="20"/>
              </w:rPr>
            </w:pPr>
          </w:p>
        </w:tc>
      </w:tr>
      <w:tr w:rsidR="00000000" w14:paraId="47C9D0EF" w14:textId="77777777">
        <w:trPr>
          <w:divId w:val="1673147082"/>
          <w:jc w:val="center"/>
        </w:trPr>
        <w:tc>
          <w:tcPr>
            <w:tcW w:w="0" w:type="auto"/>
            <w:gridSpan w:val="3"/>
            <w:shd w:val="clear" w:color="auto" w:fill="FFFFFF"/>
            <w:tcMar>
              <w:top w:w="30" w:type="dxa"/>
              <w:left w:w="20" w:type="dxa"/>
              <w:bottom w:w="30" w:type="dxa"/>
              <w:right w:w="20" w:type="dxa"/>
            </w:tcMar>
            <w:vAlign w:val="bottom"/>
            <w:hideMark/>
          </w:tcPr>
          <w:p w14:paraId="62451214" w14:textId="77777777" w:rsidR="00000000" w:rsidRDefault="00195E73">
            <w:pPr>
              <w:ind w:hanging="180"/>
              <w:divId w:val="32728013"/>
              <w:rPr>
                <w:rFonts w:eastAsia="Times New Roman"/>
              </w:rPr>
            </w:pPr>
            <w:r>
              <w:rPr>
                <w:rFonts w:eastAsia="Times New Roman"/>
                <w:color w:val="000000"/>
                <w:sz w:val="18"/>
                <w:szCs w:val="18"/>
              </w:rPr>
              <w:t>Dividends and distributions to non-controlling interests in subsidiarie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0ED37A8F"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2118C0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634C3D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4A5298"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B4F673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03856B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63963A"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387108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F92D72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53C1A9" w14:textId="77777777" w:rsidR="00000000" w:rsidRDefault="00195E73">
            <w:pPr>
              <w:jc w:val="right"/>
              <w:rPr>
                <w:rFonts w:eastAsia="Times New Roman"/>
              </w:rPr>
            </w:pPr>
            <w:r>
              <w:rPr>
                <w:rFonts w:eastAsia="Times New Roman"/>
                <w:color w:val="000000"/>
                <w:sz w:val="18"/>
                <w:szCs w:val="18"/>
              </w:rPr>
              <w:t>(119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2B3964D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3DE238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06F92C" w14:textId="77777777" w:rsidR="00000000" w:rsidRDefault="00195E73">
            <w:pPr>
              <w:jc w:val="right"/>
              <w:rPr>
                <w:rFonts w:eastAsia="Times New Roman"/>
              </w:rPr>
            </w:pPr>
            <w:r>
              <w:rPr>
                <w:rFonts w:eastAsia="Times New Roman"/>
                <w:color w:val="000000"/>
                <w:sz w:val="18"/>
                <w:szCs w:val="18"/>
              </w:rPr>
              <w:t>(119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0291C6C2"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D82B5AD" w14:textId="77777777" w:rsidR="00000000" w:rsidRDefault="00195E73">
            <w:pPr>
              <w:rPr>
                <w:rFonts w:eastAsia="Times New Roman"/>
                <w:sz w:val="20"/>
                <w:szCs w:val="20"/>
              </w:rPr>
            </w:pPr>
          </w:p>
        </w:tc>
        <w:tc>
          <w:tcPr>
            <w:tcW w:w="0" w:type="auto"/>
            <w:vAlign w:val="center"/>
            <w:hideMark/>
          </w:tcPr>
          <w:p w14:paraId="0A808658" w14:textId="77777777" w:rsidR="00000000" w:rsidRDefault="00195E73">
            <w:pPr>
              <w:rPr>
                <w:rFonts w:eastAsia="Times New Roman"/>
                <w:sz w:val="20"/>
                <w:szCs w:val="20"/>
              </w:rPr>
            </w:pPr>
          </w:p>
        </w:tc>
        <w:tc>
          <w:tcPr>
            <w:tcW w:w="0" w:type="auto"/>
            <w:vAlign w:val="center"/>
            <w:hideMark/>
          </w:tcPr>
          <w:p w14:paraId="7FAE95F0" w14:textId="77777777" w:rsidR="00000000" w:rsidRDefault="00195E73">
            <w:pPr>
              <w:rPr>
                <w:rFonts w:eastAsia="Times New Roman"/>
                <w:sz w:val="20"/>
                <w:szCs w:val="20"/>
              </w:rPr>
            </w:pPr>
          </w:p>
        </w:tc>
        <w:tc>
          <w:tcPr>
            <w:tcW w:w="0" w:type="auto"/>
            <w:vAlign w:val="center"/>
            <w:hideMark/>
          </w:tcPr>
          <w:p w14:paraId="67BB0C53" w14:textId="77777777" w:rsidR="00000000" w:rsidRDefault="00195E73">
            <w:pPr>
              <w:rPr>
                <w:rFonts w:eastAsia="Times New Roman"/>
                <w:sz w:val="20"/>
                <w:szCs w:val="20"/>
              </w:rPr>
            </w:pPr>
          </w:p>
        </w:tc>
        <w:tc>
          <w:tcPr>
            <w:tcW w:w="0" w:type="auto"/>
            <w:vAlign w:val="center"/>
            <w:hideMark/>
          </w:tcPr>
          <w:p w14:paraId="0DD4BAFA" w14:textId="77777777" w:rsidR="00000000" w:rsidRDefault="00195E73">
            <w:pPr>
              <w:rPr>
                <w:rFonts w:eastAsia="Times New Roman"/>
                <w:sz w:val="20"/>
                <w:szCs w:val="20"/>
              </w:rPr>
            </w:pPr>
          </w:p>
        </w:tc>
        <w:tc>
          <w:tcPr>
            <w:tcW w:w="0" w:type="auto"/>
            <w:vAlign w:val="center"/>
            <w:hideMark/>
          </w:tcPr>
          <w:p w14:paraId="3515AEBC" w14:textId="77777777" w:rsidR="00000000" w:rsidRDefault="00195E73">
            <w:pPr>
              <w:rPr>
                <w:rFonts w:eastAsia="Times New Roman"/>
                <w:sz w:val="20"/>
                <w:szCs w:val="20"/>
              </w:rPr>
            </w:pPr>
          </w:p>
        </w:tc>
        <w:tc>
          <w:tcPr>
            <w:tcW w:w="0" w:type="auto"/>
            <w:vAlign w:val="center"/>
            <w:hideMark/>
          </w:tcPr>
          <w:p w14:paraId="1BDD38B1" w14:textId="77777777" w:rsidR="00000000" w:rsidRDefault="00195E73">
            <w:pPr>
              <w:rPr>
                <w:rFonts w:eastAsia="Times New Roman"/>
                <w:sz w:val="20"/>
                <w:szCs w:val="20"/>
              </w:rPr>
            </w:pPr>
          </w:p>
        </w:tc>
        <w:tc>
          <w:tcPr>
            <w:tcW w:w="0" w:type="auto"/>
            <w:vAlign w:val="center"/>
            <w:hideMark/>
          </w:tcPr>
          <w:p w14:paraId="10D4A257" w14:textId="77777777" w:rsidR="00000000" w:rsidRDefault="00195E73">
            <w:pPr>
              <w:rPr>
                <w:rFonts w:eastAsia="Times New Roman"/>
                <w:sz w:val="20"/>
                <w:szCs w:val="20"/>
              </w:rPr>
            </w:pPr>
          </w:p>
        </w:tc>
        <w:tc>
          <w:tcPr>
            <w:tcW w:w="0" w:type="auto"/>
            <w:vAlign w:val="center"/>
            <w:hideMark/>
          </w:tcPr>
          <w:p w14:paraId="48649462" w14:textId="77777777" w:rsidR="00000000" w:rsidRDefault="00195E73">
            <w:pPr>
              <w:rPr>
                <w:rFonts w:eastAsia="Times New Roman"/>
                <w:sz w:val="20"/>
                <w:szCs w:val="20"/>
              </w:rPr>
            </w:pPr>
          </w:p>
        </w:tc>
        <w:tc>
          <w:tcPr>
            <w:tcW w:w="0" w:type="auto"/>
            <w:vAlign w:val="center"/>
            <w:hideMark/>
          </w:tcPr>
          <w:p w14:paraId="559D56F5" w14:textId="77777777" w:rsidR="00000000" w:rsidRDefault="00195E73">
            <w:pPr>
              <w:rPr>
                <w:rFonts w:eastAsia="Times New Roman"/>
                <w:sz w:val="20"/>
                <w:szCs w:val="20"/>
              </w:rPr>
            </w:pPr>
          </w:p>
        </w:tc>
        <w:tc>
          <w:tcPr>
            <w:tcW w:w="0" w:type="auto"/>
            <w:vAlign w:val="center"/>
            <w:hideMark/>
          </w:tcPr>
          <w:p w14:paraId="101DC94D" w14:textId="77777777" w:rsidR="00000000" w:rsidRDefault="00195E73">
            <w:pPr>
              <w:rPr>
                <w:rFonts w:eastAsia="Times New Roman"/>
                <w:sz w:val="20"/>
                <w:szCs w:val="20"/>
              </w:rPr>
            </w:pPr>
          </w:p>
        </w:tc>
        <w:tc>
          <w:tcPr>
            <w:tcW w:w="0" w:type="auto"/>
            <w:vAlign w:val="center"/>
            <w:hideMark/>
          </w:tcPr>
          <w:p w14:paraId="61C04FB5" w14:textId="77777777" w:rsidR="00000000" w:rsidRDefault="00195E73">
            <w:pPr>
              <w:rPr>
                <w:rFonts w:eastAsia="Times New Roman"/>
                <w:sz w:val="20"/>
                <w:szCs w:val="20"/>
              </w:rPr>
            </w:pPr>
          </w:p>
        </w:tc>
        <w:tc>
          <w:tcPr>
            <w:tcW w:w="0" w:type="auto"/>
            <w:vAlign w:val="center"/>
            <w:hideMark/>
          </w:tcPr>
          <w:p w14:paraId="29BED08F" w14:textId="77777777" w:rsidR="00000000" w:rsidRDefault="00195E73">
            <w:pPr>
              <w:rPr>
                <w:rFonts w:eastAsia="Times New Roman"/>
                <w:sz w:val="20"/>
                <w:szCs w:val="20"/>
              </w:rPr>
            </w:pPr>
          </w:p>
        </w:tc>
        <w:tc>
          <w:tcPr>
            <w:tcW w:w="0" w:type="auto"/>
            <w:vAlign w:val="center"/>
            <w:hideMark/>
          </w:tcPr>
          <w:p w14:paraId="1853D6D1" w14:textId="77777777" w:rsidR="00000000" w:rsidRDefault="00195E73">
            <w:pPr>
              <w:rPr>
                <w:rFonts w:eastAsia="Times New Roman"/>
                <w:sz w:val="20"/>
                <w:szCs w:val="20"/>
              </w:rPr>
            </w:pPr>
          </w:p>
        </w:tc>
        <w:tc>
          <w:tcPr>
            <w:tcW w:w="0" w:type="auto"/>
            <w:vAlign w:val="center"/>
            <w:hideMark/>
          </w:tcPr>
          <w:p w14:paraId="6364D3BC" w14:textId="77777777" w:rsidR="00000000" w:rsidRDefault="00195E73">
            <w:pPr>
              <w:rPr>
                <w:rFonts w:eastAsia="Times New Roman"/>
                <w:sz w:val="20"/>
                <w:szCs w:val="20"/>
              </w:rPr>
            </w:pPr>
          </w:p>
        </w:tc>
        <w:tc>
          <w:tcPr>
            <w:tcW w:w="0" w:type="auto"/>
            <w:vAlign w:val="center"/>
            <w:hideMark/>
          </w:tcPr>
          <w:p w14:paraId="2E1BBBE6" w14:textId="77777777" w:rsidR="00000000" w:rsidRDefault="00195E73">
            <w:pPr>
              <w:rPr>
                <w:rFonts w:eastAsia="Times New Roman"/>
                <w:sz w:val="20"/>
                <w:szCs w:val="20"/>
              </w:rPr>
            </w:pPr>
          </w:p>
        </w:tc>
        <w:tc>
          <w:tcPr>
            <w:tcW w:w="0" w:type="auto"/>
            <w:vAlign w:val="center"/>
            <w:hideMark/>
          </w:tcPr>
          <w:p w14:paraId="79042FE8" w14:textId="77777777" w:rsidR="00000000" w:rsidRDefault="00195E73">
            <w:pPr>
              <w:rPr>
                <w:rFonts w:eastAsia="Times New Roman"/>
                <w:sz w:val="20"/>
                <w:szCs w:val="20"/>
              </w:rPr>
            </w:pPr>
          </w:p>
        </w:tc>
        <w:tc>
          <w:tcPr>
            <w:tcW w:w="0" w:type="auto"/>
            <w:vAlign w:val="center"/>
            <w:hideMark/>
          </w:tcPr>
          <w:p w14:paraId="30AED0D1" w14:textId="77777777" w:rsidR="00000000" w:rsidRDefault="00195E73">
            <w:pPr>
              <w:rPr>
                <w:rFonts w:eastAsia="Times New Roman"/>
                <w:sz w:val="20"/>
                <w:szCs w:val="20"/>
              </w:rPr>
            </w:pPr>
          </w:p>
        </w:tc>
        <w:tc>
          <w:tcPr>
            <w:tcW w:w="0" w:type="auto"/>
            <w:vAlign w:val="center"/>
            <w:hideMark/>
          </w:tcPr>
          <w:p w14:paraId="3D8DAD61" w14:textId="77777777" w:rsidR="00000000" w:rsidRDefault="00195E73">
            <w:pPr>
              <w:rPr>
                <w:rFonts w:eastAsia="Times New Roman"/>
                <w:sz w:val="20"/>
                <w:szCs w:val="20"/>
              </w:rPr>
            </w:pPr>
          </w:p>
        </w:tc>
        <w:tc>
          <w:tcPr>
            <w:tcW w:w="0" w:type="auto"/>
            <w:vAlign w:val="center"/>
            <w:hideMark/>
          </w:tcPr>
          <w:p w14:paraId="7F4138B4" w14:textId="77777777" w:rsidR="00000000" w:rsidRDefault="00195E73">
            <w:pPr>
              <w:rPr>
                <w:rFonts w:eastAsia="Times New Roman"/>
                <w:sz w:val="20"/>
                <w:szCs w:val="20"/>
              </w:rPr>
            </w:pPr>
          </w:p>
        </w:tc>
        <w:tc>
          <w:tcPr>
            <w:tcW w:w="0" w:type="auto"/>
            <w:vAlign w:val="center"/>
            <w:hideMark/>
          </w:tcPr>
          <w:p w14:paraId="042942C3" w14:textId="77777777" w:rsidR="00000000" w:rsidRDefault="00195E73">
            <w:pPr>
              <w:rPr>
                <w:rFonts w:eastAsia="Times New Roman"/>
                <w:sz w:val="20"/>
                <w:szCs w:val="20"/>
              </w:rPr>
            </w:pPr>
          </w:p>
        </w:tc>
        <w:tc>
          <w:tcPr>
            <w:tcW w:w="0" w:type="auto"/>
            <w:vAlign w:val="center"/>
            <w:hideMark/>
          </w:tcPr>
          <w:p w14:paraId="3DF2DF93" w14:textId="77777777" w:rsidR="00000000" w:rsidRDefault="00195E73">
            <w:pPr>
              <w:rPr>
                <w:rFonts w:eastAsia="Times New Roman"/>
                <w:sz w:val="20"/>
                <w:szCs w:val="20"/>
              </w:rPr>
            </w:pPr>
          </w:p>
        </w:tc>
        <w:tc>
          <w:tcPr>
            <w:tcW w:w="0" w:type="auto"/>
            <w:vAlign w:val="center"/>
            <w:hideMark/>
          </w:tcPr>
          <w:p w14:paraId="2977CEBD" w14:textId="77777777" w:rsidR="00000000" w:rsidRDefault="00195E73">
            <w:pPr>
              <w:rPr>
                <w:rFonts w:eastAsia="Times New Roman"/>
                <w:sz w:val="20"/>
                <w:szCs w:val="20"/>
              </w:rPr>
            </w:pPr>
          </w:p>
        </w:tc>
        <w:tc>
          <w:tcPr>
            <w:tcW w:w="0" w:type="auto"/>
            <w:vAlign w:val="center"/>
            <w:hideMark/>
          </w:tcPr>
          <w:p w14:paraId="7442F54F" w14:textId="77777777" w:rsidR="00000000" w:rsidRDefault="00195E73">
            <w:pPr>
              <w:rPr>
                <w:rFonts w:eastAsia="Times New Roman"/>
                <w:sz w:val="20"/>
                <w:szCs w:val="20"/>
              </w:rPr>
            </w:pPr>
          </w:p>
        </w:tc>
      </w:tr>
      <w:tr w:rsidR="00000000" w14:paraId="12B9F3DA" w14:textId="77777777">
        <w:trPr>
          <w:divId w:val="1673147082"/>
          <w:jc w:val="center"/>
        </w:trPr>
        <w:tc>
          <w:tcPr>
            <w:tcW w:w="0" w:type="auto"/>
            <w:gridSpan w:val="3"/>
            <w:shd w:val="clear" w:color="auto" w:fill="CCEEFF"/>
            <w:tcMar>
              <w:top w:w="30" w:type="dxa"/>
              <w:left w:w="20" w:type="dxa"/>
              <w:bottom w:w="30" w:type="dxa"/>
              <w:right w:w="20" w:type="dxa"/>
            </w:tcMar>
            <w:vAlign w:val="bottom"/>
            <w:hideMark/>
          </w:tcPr>
          <w:p w14:paraId="246136C5" w14:textId="77777777" w:rsidR="00000000" w:rsidRDefault="00195E73">
            <w:pPr>
              <w:rPr>
                <w:rFonts w:eastAsia="Times New Roman"/>
              </w:rPr>
            </w:pPr>
            <w:r>
              <w:rPr>
                <w:rFonts w:eastAsia="Times New Roman"/>
                <w:color w:val="000000"/>
                <w:sz w:val="18"/>
                <w:szCs w:val="18"/>
              </w:rPr>
              <w:t>Changes in subsidiary equity and 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14:paraId="407EE428"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F039C0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885E66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E3DA4D" w14:textId="77777777" w:rsidR="00000000" w:rsidRDefault="00195E73">
            <w:pPr>
              <w:jc w:val="right"/>
              <w:rPr>
                <w:rFonts w:eastAsia="Times New Roman"/>
              </w:rPr>
            </w:pPr>
            <w:r>
              <w:rPr>
                <w:rFonts w:eastAsia="Times New Roman"/>
                <w:color w:val="000000"/>
                <w:sz w:val="18"/>
                <w:szCs w:val="18"/>
              </w:rPr>
              <w:t>49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73A854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B16DAD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D5535A" w14:textId="77777777" w:rsidR="00000000" w:rsidRDefault="00195E73">
            <w:pPr>
              <w:jc w:val="right"/>
              <w:rPr>
                <w:rFonts w:eastAsia="Times New Roman"/>
              </w:rPr>
            </w:pPr>
            <w:r>
              <w:rPr>
                <w:rFonts w:eastAsia="Times New Roman"/>
                <w:color w:val="000000"/>
                <w:sz w:val="18"/>
                <w:szCs w:val="18"/>
              </w:rPr>
              <w:t>50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0EB6BD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29560F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B5A43E" w14:textId="77777777" w:rsidR="00000000" w:rsidRDefault="00195E73">
            <w:pPr>
              <w:jc w:val="right"/>
              <w:rPr>
                <w:rFonts w:eastAsia="Times New Roman"/>
              </w:rPr>
            </w:pPr>
            <w:r>
              <w:rPr>
                <w:rFonts w:eastAsia="Times New Roman"/>
                <w:color w:val="000000"/>
                <w:sz w:val="18"/>
                <w:szCs w:val="18"/>
              </w:rPr>
              <w:t>(342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0E6AC76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1715F7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681AEA" w14:textId="77777777" w:rsidR="00000000" w:rsidRDefault="00195E73">
            <w:pPr>
              <w:jc w:val="right"/>
              <w:rPr>
                <w:rFonts w:eastAsia="Times New Roman"/>
              </w:rPr>
            </w:pPr>
            <w:r>
              <w:rPr>
                <w:rFonts w:eastAsia="Times New Roman"/>
                <w:color w:val="000000"/>
                <w:sz w:val="18"/>
                <w:szCs w:val="18"/>
              </w:rPr>
              <w:t>(292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65DD762C"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7C0B56CA" w14:textId="77777777" w:rsidR="00000000" w:rsidRDefault="00195E73">
            <w:pPr>
              <w:rPr>
                <w:rFonts w:eastAsia="Times New Roman"/>
                <w:sz w:val="20"/>
                <w:szCs w:val="20"/>
              </w:rPr>
            </w:pPr>
          </w:p>
        </w:tc>
        <w:tc>
          <w:tcPr>
            <w:tcW w:w="0" w:type="auto"/>
            <w:vAlign w:val="center"/>
            <w:hideMark/>
          </w:tcPr>
          <w:p w14:paraId="5A0D774C" w14:textId="77777777" w:rsidR="00000000" w:rsidRDefault="00195E73">
            <w:pPr>
              <w:rPr>
                <w:rFonts w:eastAsia="Times New Roman"/>
                <w:sz w:val="20"/>
                <w:szCs w:val="20"/>
              </w:rPr>
            </w:pPr>
          </w:p>
        </w:tc>
        <w:tc>
          <w:tcPr>
            <w:tcW w:w="0" w:type="auto"/>
            <w:vAlign w:val="center"/>
            <w:hideMark/>
          </w:tcPr>
          <w:p w14:paraId="51A67873" w14:textId="77777777" w:rsidR="00000000" w:rsidRDefault="00195E73">
            <w:pPr>
              <w:rPr>
                <w:rFonts w:eastAsia="Times New Roman"/>
                <w:sz w:val="20"/>
                <w:szCs w:val="20"/>
              </w:rPr>
            </w:pPr>
          </w:p>
        </w:tc>
        <w:tc>
          <w:tcPr>
            <w:tcW w:w="0" w:type="auto"/>
            <w:vAlign w:val="center"/>
            <w:hideMark/>
          </w:tcPr>
          <w:p w14:paraId="7A67A572" w14:textId="77777777" w:rsidR="00000000" w:rsidRDefault="00195E73">
            <w:pPr>
              <w:rPr>
                <w:rFonts w:eastAsia="Times New Roman"/>
                <w:sz w:val="20"/>
                <w:szCs w:val="20"/>
              </w:rPr>
            </w:pPr>
          </w:p>
        </w:tc>
        <w:tc>
          <w:tcPr>
            <w:tcW w:w="0" w:type="auto"/>
            <w:vAlign w:val="center"/>
            <w:hideMark/>
          </w:tcPr>
          <w:p w14:paraId="7543062A" w14:textId="77777777" w:rsidR="00000000" w:rsidRDefault="00195E73">
            <w:pPr>
              <w:rPr>
                <w:rFonts w:eastAsia="Times New Roman"/>
                <w:sz w:val="20"/>
                <w:szCs w:val="20"/>
              </w:rPr>
            </w:pPr>
          </w:p>
        </w:tc>
        <w:tc>
          <w:tcPr>
            <w:tcW w:w="0" w:type="auto"/>
            <w:vAlign w:val="center"/>
            <w:hideMark/>
          </w:tcPr>
          <w:p w14:paraId="27506DEC" w14:textId="77777777" w:rsidR="00000000" w:rsidRDefault="00195E73">
            <w:pPr>
              <w:rPr>
                <w:rFonts w:eastAsia="Times New Roman"/>
                <w:sz w:val="20"/>
                <w:szCs w:val="20"/>
              </w:rPr>
            </w:pPr>
          </w:p>
        </w:tc>
        <w:tc>
          <w:tcPr>
            <w:tcW w:w="0" w:type="auto"/>
            <w:vAlign w:val="center"/>
            <w:hideMark/>
          </w:tcPr>
          <w:p w14:paraId="5395C987" w14:textId="77777777" w:rsidR="00000000" w:rsidRDefault="00195E73">
            <w:pPr>
              <w:rPr>
                <w:rFonts w:eastAsia="Times New Roman"/>
                <w:sz w:val="20"/>
                <w:szCs w:val="20"/>
              </w:rPr>
            </w:pPr>
          </w:p>
        </w:tc>
        <w:tc>
          <w:tcPr>
            <w:tcW w:w="0" w:type="auto"/>
            <w:vAlign w:val="center"/>
            <w:hideMark/>
          </w:tcPr>
          <w:p w14:paraId="3461353B" w14:textId="77777777" w:rsidR="00000000" w:rsidRDefault="00195E73">
            <w:pPr>
              <w:rPr>
                <w:rFonts w:eastAsia="Times New Roman"/>
                <w:sz w:val="20"/>
                <w:szCs w:val="20"/>
              </w:rPr>
            </w:pPr>
          </w:p>
        </w:tc>
        <w:tc>
          <w:tcPr>
            <w:tcW w:w="0" w:type="auto"/>
            <w:vAlign w:val="center"/>
            <w:hideMark/>
          </w:tcPr>
          <w:p w14:paraId="1043F593" w14:textId="77777777" w:rsidR="00000000" w:rsidRDefault="00195E73">
            <w:pPr>
              <w:rPr>
                <w:rFonts w:eastAsia="Times New Roman"/>
                <w:sz w:val="20"/>
                <w:szCs w:val="20"/>
              </w:rPr>
            </w:pPr>
          </w:p>
        </w:tc>
        <w:tc>
          <w:tcPr>
            <w:tcW w:w="0" w:type="auto"/>
            <w:vAlign w:val="center"/>
            <w:hideMark/>
          </w:tcPr>
          <w:p w14:paraId="1A30B36A" w14:textId="77777777" w:rsidR="00000000" w:rsidRDefault="00195E73">
            <w:pPr>
              <w:rPr>
                <w:rFonts w:eastAsia="Times New Roman"/>
                <w:sz w:val="20"/>
                <w:szCs w:val="20"/>
              </w:rPr>
            </w:pPr>
          </w:p>
        </w:tc>
        <w:tc>
          <w:tcPr>
            <w:tcW w:w="0" w:type="auto"/>
            <w:vAlign w:val="center"/>
            <w:hideMark/>
          </w:tcPr>
          <w:p w14:paraId="595FA706" w14:textId="77777777" w:rsidR="00000000" w:rsidRDefault="00195E73">
            <w:pPr>
              <w:rPr>
                <w:rFonts w:eastAsia="Times New Roman"/>
                <w:sz w:val="20"/>
                <w:szCs w:val="20"/>
              </w:rPr>
            </w:pPr>
          </w:p>
        </w:tc>
        <w:tc>
          <w:tcPr>
            <w:tcW w:w="0" w:type="auto"/>
            <w:vAlign w:val="center"/>
            <w:hideMark/>
          </w:tcPr>
          <w:p w14:paraId="45976FE4" w14:textId="77777777" w:rsidR="00000000" w:rsidRDefault="00195E73">
            <w:pPr>
              <w:rPr>
                <w:rFonts w:eastAsia="Times New Roman"/>
                <w:sz w:val="20"/>
                <w:szCs w:val="20"/>
              </w:rPr>
            </w:pPr>
          </w:p>
        </w:tc>
        <w:tc>
          <w:tcPr>
            <w:tcW w:w="0" w:type="auto"/>
            <w:vAlign w:val="center"/>
            <w:hideMark/>
          </w:tcPr>
          <w:p w14:paraId="5DAC4815" w14:textId="77777777" w:rsidR="00000000" w:rsidRDefault="00195E73">
            <w:pPr>
              <w:rPr>
                <w:rFonts w:eastAsia="Times New Roman"/>
                <w:sz w:val="20"/>
                <w:szCs w:val="20"/>
              </w:rPr>
            </w:pPr>
          </w:p>
        </w:tc>
        <w:tc>
          <w:tcPr>
            <w:tcW w:w="0" w:type="auto"/>
            <w:vAlign w:val="center"/>
            <w:hideMark/>
          </w:tcPr>
          <w:p w14:paraId="355627B2" w14:textId="77777777" w:rsidR="00000000" w:rsidRDefault="00195E73">
            <w:pPr>
              <w:rPr>
                <w:rFonts w:eastAsia="Times New Roman"/>
                <w:sz w:val="20"/>
                <w:szCs w:val="20"/>
              </w:rPr>
            </w:pPr>
          </w:p>
        </w:tc>
        <w:tc>
          <w:tcPr>
            <w:tcW w:w="0" w:type="auto"/>
            <w:vAlign w:val="center"/>
            <w:hideMark/>
          </w:tcPr>
          <w:p w14:paraId="453D97E1" w14:textId="77777777" w:rsidR="00000000" w:rsidRDefault="00195E73">
            <w:pPr>
              <w:rPr>
                <w:rFonts w:eastAsia="Times New Roman"/>
                <w:sz w:val="20"/>
                <w:szCs w:val="20"/>
              </w:rPr>
            </w:pPr>
          </w:p>
        </w:tc>
        <w:tc>
          <w:tcPr>
            <w:tcW w:w="0" w:type="auto"/>
            <w:vAlign w:val="center"/>
            <w:hideMark/>
          </w:tcPr>
          <w:p w14:paraId="66F85FC3" w14:textId="77777777" w:rsidR="00000000" w:rsidRDefault="00195E73">
            <w:pPr>
              <w:rPr>
                <w:rFonts w:eastAsia="Times New Roman"/>
                <w:sz w:val="20"/>
                <w:szCs w:val="20"/>
              </w:rPr>
            </w:pPr>
          </w:p>
        </w:tc>
        <w:tc>
          <w:tcPr>
            <w:tcW w:w="0" w:type="auto"/>
            <w:vAlign w:val="center"/>
            <w:hideMark/>
          </w:tcPr>
          <w:p w14:paraId="617EB18D" w14:textId="77777777" w:rsidR="00000000" w:rsidRDefault="00195E73">
            <w:pPr>
              <w:rPr>
                <w:rFonts w:eastAsia="Times New Roman"/>
                <w:sz w:val="20"/>
                <w:szCs w:val="20"/>
              </w:rPr>
            </w:pPr>
          </w:p>
        </w:tc>
        <w:tc>
          <w:tcPr>
            <w:tcW w:w="0" w:type="auto"/>
            <w:vAlign w:val="center"/>
            <w:hideMark/>
          </w:tcPr>
          <w:p w14:paraId="546E55C6" w14:textId="77777777" w:rsidR="00000000" w:rsidRDefault="00195E73">
            <w:pPr>
              <w:rPr>
                <w:rFonts w:eastAsia="Times New Roman"/>
                <w:sz w:val="20"/>
                <w:szCs w:val="20"/>
              </w:rPr>
            </w:pPr>
          </w:p>
        </w:tc>
        <w:tc>
          <w:tcPr>
            <w:tcW w:w="0" w:type="auto"/>
            <w:vAlign w:val="center"/>
            <w:hideMark/>
          </w:tcPr>
          <w:p w14:paraId="27DD67D2" w14:textId="77777777" w:rsidR="00000000" w:rsidRDefault="00195E73">
            <w:pPr>
              <w:rPr>
                <w:rFonts w:eastAsia="Times New Roman"/>
                <w:sz w:val="20"/>
                <w:szCs w:val="20"/>
              </w:rPr>
            </w:pPr>
          </w:p>
        </w:tc>
        <w:tc>
          <w:tcPr>
            <w:tcW w:w="0" w:type="auto"/>
            <w:vAlign w:val="center"/>
            <w:hideMark/>
          </w:tcPr>
          <w:p w14:paraId="73E4A36D" w14:textId="77777777" w:rsidR="00000000" w:rsidRDefault="00195E73">
            <w:pPr>
              <w:rPr>
                <w:rFonts w:eastAsia="Times New Roman"/>
                <w:sz w:val="20"/>
                <w:szCs w:val="20"/>
              </w:rPr>
            </w:pPr>
          </w:p>
        </w:tc>
        <w:tc>
          <w:tcPr>
            <w:tcW w:w="0" w:type="auto"/>
            <w:vAlign w:val="center"/>
            <w:hideMark/>
          </w:tcPr>
          <w:p w14:paraId="255E7905" w14:textId="77777777" w:rsidR="00000000" w:rsidRDefault="00195E73">
            <w:pPr>
              <w:rPr>
                <w:rFonts w:eastAsia="Times New Roman"/>
                <w:sz w:val="20"/>
                <w:szCs w:val="20"/>
              </w:rPr>
            </w:pPr>
          </w:p>
        </w:tc>
        <w:tc>
          <w:tcPr>
            <w:tcW w:w="0" w:type="auto"/>
            <w:vAlign w:val="center"/>
            <w:hideMark/>
          </w:tcPr>
          <w:p w14:paraId="3455885D" w14:textId="77777777" w:rsidR="00000000" w:rsidRDefault="00195E73">
            <w:pPr>
              <w:rPr>
                <w:rFonts w:eastAsia="Times New Roman"/>
                <w:sz w:val="20"/>
                <w:szCs w:val="20"/>
              </w:rPr>
            </w:pPr>
          </w:p>
        </w:tc>
        <w:tc>
          <w:tcPr>
            <w:tcW w:w="0" w:type="auto"/>
            <w:vAlign w:val="center"/>
            <w:hideMark/>
          </w:tcPr>
          <w:p w14:paraId="505D1F91" w14:textId="77777777" w:rsidR="00000000" w:rsidRDefault="00195E73">
            <w:pPr>
              <w:rPr>
                <w:rFonts w:eastAsia="Times New Roman"/>
                <w:sz w:val="20"/>
                <w:szCs w:val="20"/>
              </w:rPr>
            </w:pPr>
          </w:p>
        </w:tc>
        <w:tc>
          <w:tcPr>
            <w:tcW w:w="0" w:type="auto"/>
            <w:vAlign w:val="center"/>
            <w:hideMark/>
          </w:tcPr>
          <w:p w14:paraId="1F90D7F7" w14:textId="77777777" w:rsidR="00000000" w:rsidRDefault="00195E73">
            <w:pPr>
              <w:rPr>
                <w:rFonts w:eastAsia="Times New Roman"/>
                <w:sz w:val="20"/>
                <w:szCs w:val="20"/>
              </w:rPr>
            </w:pPr>
          </w:p>
        </w:tc>
      </w:tr>
      <w:tr w:rsidR="00000000" w14:paraId="6521FFC5" w14:textId="77777777">
        <w:trPr>
          <w:divId w:val="1673147082"/>
          <w:jc w:val="center"/>
        </w:trPr>
        <w:tc>
          <w:tcPr>
            <w:tcW w:w="0" w:type="auto"/>
            <w:gridSpan w:val="3"/>
            <w:shd w:val="clear" w:color="auto" w:fill="FFFFFF"/>
            <w:tcMar>
              <w:top w:w="30" w:type="dxa"/>
              <w:left w:w="20" w:type="dxa"/>
              <w:bottom w:w="30" w:type="dxa"/>
              <w:right w:w="20" w:type="dxa"/>
            </w:tcMar>
            <w:vAlign w:val="bottom"/>
            <w:hideMark/>
          </w:tcPr>
          <w:p w14:paraId="02CCB2DD" w14:textId="77777777" w:rsidR="00000000" w:rsidRDefault="00195E73">
            <w:pPr>
              <w:rPr>
                <w:rFonts w:eastAsia="Times New Roman"/>
              </w:rPr>
            </w:pPr>
            <w:r>
              <w:rPr>
                <w:rFonts w:eastAsia="Times New Roman"/>
                <w:b/>
                <w:bCs/>
                <w:color w:val="000000"/>
                <w:sz w:val="18"/>
                <w:szCs w:val="18"/>
              </w:rPr>
              <w:t>Balance, December 31, 201</w:t>
            </w:r>
            <w:r>
              <w:rPr>
                <w:rFonts w:eastAsia="Times New Roman"/>
                <w:b/>
                <w:bCs/>
                <w:color w:val="000000"/>
                <w:sz w:val="18"/>
                <w:szCs w:val="18"/>
              </w:rPr>
              <w:t>9</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1F67266" w14:textId="77777777" w:rsidR="00000000" w:rsidRDefault="00195E73">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68F69AD" w14:textId="77777777" w:rsidR="00000000" w:rsidRDefault="00195E73">
            <w:pPr>
              <w:jc w:val="right"/>
              <w:rPr>
                <w:rFonts w:eastAsia="Times New Roman"/>
              </w:rPr>
            </w:pPr>
            <w:r>
              <w:rPr>
                <w:rFonts w:eastAsia="Times New Roman"/>
                <w:b/>
                <w:bCs/>
                <w:color w:val="000000"/>
                <w:sz w:val="18"/>
                <w:szCs w:val="18"/>
              </w:rPr>
              <w:t>(812</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6D612A6" w14:textId="77777777" w:rsidR="00000000" w:rsidRDefault="00195E73">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D961F5A"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33DB09E" w14:textId="77777777" w:rsidR="00000000" w:rsidRDefault="00195E73">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0AD46AE" w14:textId="77777777" w:rsidR="00000000" w:rsidRDefault="00195E73">
            <w:pPr>
              <w:jc w:val="right"/>
              <w:rPr>
                <w:rFonts w:eastAsia="Times New Roman"/>
              </w:rPr>
            </w:pPr>
            <w:r>
              <w:rPr>
                <w:rFonts w:eastAsia="Times New Roman"/>
                <w:b/>
                <w:bCs/>
                <w:color w:val="000000"/>
                <w:sz w:val="18"/>
                <w:szCs w:val="18"/>
              </w:rPr>
              <w:t>6,268</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27D84A3" w14:textId="77777777" w:rsidR="00000000" w:rsidRDefault="00195E73">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45642B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C498C91" w14:textId="77777777" w:rsidR="00000000" w:rsidRDefault="00195E73">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CA271B8" w14:textId="77777777" w:rsidR="00000000" w:rsidRDefault="00195E73">
            <w:pPr>
              <w:jc w:val="right"/>
              <w:rPr>
                <w:rFonts w:eastAsia="Times New Roman"/>
              </w:rPr>
            </w:pPr>
            <w:r>
              <w:rPr>
                <w:rFonts w:eastAsia="Times New Roman"/>
                <w:b/>
                <w:bCs/>
                <w:color w:val="000000"/>
                <w:sz w:val="18"/>
                <w:szCs w:val="18"/>
              </w:rPr>
              <w:t>5,456</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EF1478E" w14:textId="77777777" w:rsidR="00000000" w:rsidRDefault="00195E73">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952F6C5"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ED1916D" w14:textId="77777777" w:rsidR="00000000" w:rsidRDefault="00195E73">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8C4BC5D" w14:textId="77777777" w:rsidR="00000000" w:rsidRDefault="00195E73">
            <w:pPr>
              <w:jc w:val="right"/>
              <w:rPr>
                <w:rFonts w:eastAsia="Times New Roman"/>
              </w:rPr>
            </w:pPr>
            <w:r>
              <w:rPr>
                <w:rFonts w:eastAsia="Times New Roman"/>
                <w:b/>
                <w:bCs/>
                <w:color w:val="000000"/>
                <w:sz w:val="18"/>
                <w:szCs w:val="18"/>
              </w:rPr>
              <w:t>5,486</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E7B3DB6" w14:textId="77777777" w:rsidR="00000000" w:rsidRDefault="00195E73">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8FB479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AF6F302" w14:textId="77777777" w:rsidR="00000000" w:rsidRDefault="00195E73">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ED54435" w14:textId="77777777" w:rsidR="00000000" w:rsidRDefault="00195E73">
            <w:pPr>
              <w:jc w:val="right"/>
              <w:rPr>
                <w:rFonts w:eastAsia="Times New Roman"/>
              </w:rPr>
            </w:pPr>
            <w:r>
              <w:rPr>
                <w:rFonts w:eastAsia="Times New Roman"/>
                <w:b/>
                <w:bCs/>
                <w:color w:val="000000"/>
                <w:sz w:val="18"/>
                <w:szCs w:val="18"/>
              </w:rPr>
              <w:t>10,942</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6A66CBD" w14:textId="77777777" w:rsidR="00000000" w:rsidRDefault="00195E73">
            <w:pPr>
              <w:jc w:val="right"/>
              <w:rPr>
                <w:rFonts w:eastAsia="Times New Roman"/>
              </w:rPr>
            </w:pPr>
            <w:r>
              <w:rPr>
                <w:rFonts w:eastAsia="Times New Roman"/>
                <w:b/>
                <w:bCs/>
                <w:color w:val="000000"/>
                <w:sz w:val="18"/>
                <w:szCs w:val="18"/>
              </w:rPr>
              <w:t> </w:t>
            </w:r>
          </w:p>
        </w:tc>
        <w:tc>
          <w:tcPr>
            <w:tcW w:w="0" w:type="auto"/>
            <w:vAlign w:val="center"/>
            <w:hideMark/>
          </w:tcPr>
          <w:p w14:paraId="59A64D13" w14:textId="77777777" w:rsidR="00000000" w:rsidRDefault="00195E73">
            <w:pPr>
              <w:rPr>
                <w:rFonts w:eastAsia="Times New Roman"/>
                <w:sz w:val="20"/>
                <w:szCs w:val="20"/>
              </w:rPr>
            </w:pPr>
          </w:p>
        </w:tc>
        <w:tc>
          <w:tcPr>
            <w:tcW w:w="0" w:type="auto"/>
            <w:vAlign w:val="center"/>
            <w:hideMark/>
          </w:tcPr>
          <w:p w14:paraId="5BE7B781" w14:textId="77777777" w:rsidR="00000000" w:rsidRDefault="00195E73">
            <w:pPr>
              <w:rPr>
                <w:rFonts w:eastAsia="Times New Roman"/>
                <w:sz w:val="20"/>
                <w:szCs w:val="20"/>
              </w:rPr>
            </w:pPr>
          </w:p>
        </w:tc>
        <w:tc>
          <w:tcPr>
            <w:tcW w:w="0" w:type="auto"/>
            <w:vAlign w:val="center"/>
            <w:hideMark/>
          </w:tcPr>
          <w:p w14:paraId="6377B564" w14:textId="77777777" w:rsidR="00000000" w:rsidRDefault="00195E73">
            <w:pPr>
              <w:rPr>
                <w:rFonts w:eastAsia="Times New Roman"/>
                <w:sz w:val="20"/>
                <w:szCs w:val="20"/>
              </w:rPr>
            </w:pPr>
          </w:p>
        </w:tc>
        <w:tc>
          <w:tcPr>
            <w:tcW w:w="0" w:type="auto"/>
            <w:vAlign w:val="center"/>
            <w:hideMark/>
          </w:tcPr>
          <w:p w14:paraId="02769BE4" w14:textId="77777777" w:rsidR="00000000" w:rsidRDefault="00195E73">
            <w:pPr>
              <w:rPr>
                <w:rFonts w:eastAsia="Times New Roman"/>
                <w:sz w:val="20"/>
                <w:szCs w:val="20"/>
              </w:rPr>
            </w:pPr>
          </w:p>
        </w:tc>
        <w:tc>
          <w:tcPr>
            <w:tcW w:w="0" w:type="auto"/>
            <w:vAlign w:val="center"/>
            <w:hideMark/>
          </w:tcPr>
          <w:p w14:paraId="1B473626" w14:textId="77777777" w:rsidR="00000000" w:rsidRDefault="00195E73">
            <w:pPr>
              <w:rPr>
                <w:rFonts w:eastAsia="Times New Roman"/>
                <w:sz w:val="20"/>
                <w:szCs w:val="20"/>
              </w:rPr>
            </w:pPr>
          </w:p>
        </w:tc>
        <w:tc>
          <w:tcPr>
            <w:tcW w:w="0" w:type="auto"/>
            <w:vAlign w:val="center"/>
            <w:hideMark/>
          </w:tcPr>
          <w:p w14:paraId="15F50BC1" w14:textId="77777777" w:rsidR="00000000" w:rsidRDefault="00195E73">
            <w:pPr>
              <w:rPr>
                <w:rFonts w:eastAsia="Times New Roman"/>
                <w:sz w:val="20"/>
                <w:szCs w:val="20"/>
              </w:rPr>
            </w:pPr>
          </w:p>
        </w:tc>
        <w:tc>
          <w:tcPr>
            <w:tcW w:w="0" w:type="auto"/>
            <w:vAlign w:val="center"/>
            <w:hideMark/>
          </w:tcPr>
          <w:p w14:paraId="74D09B37" w14:textId="77777777" w:rsidR="00000000" w:rsidRDefault="00195E73">
            <w:pPr>
              <w:rPr>
                <w:rFonts w:eastAsia="Times New Roman"/>
                <w:sz w:val="20"/>
                <w:szCs w:val="20"/>
              </w:rPr>
            </w:pPr>
          </w:p>
        </w:tc>
        <w:tc>
          <w:tcPr>
            <w:tcW w:w="0" w:type="auto"/>
            <w:vAlign w:val="center"/>
            <w:hideMark/>
          </w:tcPr>
          <w:p w14:paraId="01DF7E5A" w14:textId="77777777" w:rsidR="00000000" w:rsidRDefault="00195E73">
            <w:pPr>
              <w:rPr>
                <w:rFonts w:eastAsia="Times New Roman"/>
                <w:sz w:val="20"/>
                <w:szCs w:val="20"/>
              </w:rPr>
            </w:pPr>
          </w:p>
        </w:tc>
        <w:tc>
          <w:tcPr>
            <w:tcW w:w="0" w:type="auto"/>
            <w:vAlign w:val="center"/>
            <w:hideMark/>
          </w:tcPr>
          <w:p w14:paraId="75FEEF6D" w14:textId="77777777" w:rsidR="00000000" w:rsidRDefault="00195E73">
            <w:pPr>
              <w:rPr>
                <w:rFonts w:eastAsia="Times New Roman"/>
                <w:sz w:val="20"/>
                <w:szCs w:val="20"/>
              </w:rPr>
            </w:pPr>
          </w:p>
        </w:tc>
        <w:tc>
          <w:tcPr>
            <w:tcW w:w="0" w:type="auto"/>
            <w:vAlign w:val="center"/>
            <w:hideMark/>
          </w:tcPr>
          <w:p w14:paraId="5034134C" w14:textId="77777777" w:rsidR="00000000" w:rsidRDefault="00195E73">
            <w:pPr>
              <w:rPr>
                <w:rFonts w:eastAsia="Times New Roman"/>
                <w:sz w:val="20"/>
                <w:szCs w:val="20"/>
              </w:rPr>
            </w:pPr>
          </w:p>
        </w:tc>
        <w:tc>
          <w:tcPr>
            <w:tcW w:w="0" w:type="auto"/>
            <w:vAlign w:val="center"/>
            <w:hideMark/>
          </w:tcPr>
          <w:p w14:paraId="78D52E56" w14:textId="77777777" w:rsidR="00000000" w:rsidRDefault="00195E73">
            <w:pPr>
              <w:rPr>
                <w:rFonts w:eastAsia="Times New Roman"/>
                <w:sz w:val="20"/>
                <w:szCs w:val="20"/>
              </w:rPr>
            </w:pPr>
          </w:p>
        </w:tc>
        <w:tc>
          <w:tcPr>
            <w:tcW w:w="0" w:type="auto"/>
            <w:vAlign w:val="center"/>
            <w:hideMark/>
          </w:tcPr>
          <w:p w14:paraId="255F9061" w14:textId="77777777" w:rsidR="00000000" w:rsidRDefault="00195E73">
            <w:pPr>
              <w:rPr>
                <w:rFonts w:eastAsia="Times New Roman"/>
                <w:sz w:val="20"/>
                <w:szCs w:val="20"/>
              </w:rPr>
            </w:pPr>
          </w:p>
        </w:tc>
        <w:tc>
          <w:tcPr>
            <w:tcW w:w="0" w:type="auto"/>
            <w:vAlign w:val="center"/>
            <w:hideMark/>
          </w:tcPr>
          <w:p w14:paraId="5E32ABE2" w14:textId="77777777" w:rsidR="00000000" w:rsidRDefault="00195E73">
            <w:pPr>
              <w:rPr>
                <w:rFonts w:eastAsia="Times New Roman"/>
                <w:sz w:val="20"/>
                <w:szCs w:val="20"/>
              </w:rPr>
            </w:pPr>
          </w:p>
        </w:tc>
        <w:tc>
          <w:tcPr>
            <w:tcW w:w="0" w:type="auto"/>
            <w:vAlign w:val="center"/>
            <w:hideMark/>
          </w:tcPr>
          <w:p w14:paraId="58F8E45A" w14:textId="77777777" w:rsidR="00000000" w:rsidRDefault="00195E73">
            <w:pPr>
              <w:rPr>
                <w:rFonts w:eastAsia="Times New Roman"/>
                <w:sz w:val="20"/>
                <w:szCs w:val="20"/>
              </w:rPr>
            </w:pPr>
          </w:p>
        </w:tc>
        <w:tc>
          <w:tcPr>
            <w:tcW w:w="0" w:type="auto"/>
            <w:vAlign w:val="center"/>
            <w:hideMark/>
          </w:tcPr>
          <w:p w14:paraId="5F5D3612" w14:textId="77777777" w:rsidR="00000000" w:rsidRDefault="00195E73">
            <w:pPr>
              <w:rPr>
                <w:rFonts w:eastAsia="Times New Roman"/>
                <w:sz w:val="20"/>
                <w:szCs w:val="20"/>
              </w:rPr>
            </w:pPr>
          </w:p>
        </w:tc>
        <w:tc>
          <w:tcPr>
            <w:tcW w:w="0" w:type="auto"/>
            <w:vAlign w:val="center"/>
            <w:hideMark/>
          </w:tcPr>
          <w:p w14:paraId="15F04787" w14:textId="77777777" w:rsidR="00000000" w:rsidRDefault="00195E73">
            <w:pPr>
              <w:rPr>
                <w:rFonts w:eastAsia="Times New Roman"/>
                <w:sz w:val="20"/>
                <w:szCs w:val="20"/>
              </w:rPr>
            </w:pPr>
          </w:p>
        </w:tc>
        <w:tc>
          <w:tcPr>
            <w:tcW w:w="0" w:type="auto"/>
            <w:vAlign w:val="center"/>
            <w:hideMark/>
          </w:tcPr>
          <w:p w14:paraId="3DF4CA9A" w14:textId="77777777" w:rsidR="00000000" w:rsidRDefault="00195E73">
            <w:pPr>
              <w:rPr>
                <w:rFonts w:eastAsia="Times New Roman"/>
                <w:sz w:val="20"/>
                <w:szCs w:val="20"/>
              </w:rPr>
            </w:pPr>
          </w:p>
        </w:tc>
        <w:tc>
          <w:tcPr>
            <w:tcW w:w="0" w:type="auto"/>
            <w:vAlign w:val="center"/>
            <w:hideMark/>
          </w:tcPr>
          <w:p w14:paraId="730D5780" w14:textId="77777777" w:rsidR="00000000" w:rsidRDefault="00195E73">
            <w:pPr>
              <w:rPr>
                <w:rFonts w:eastAsia="Times New Roman"/>
                <w:sz w:val="20"/>
                <w:szCs w:val="20"/>
              </w:rPr>
            </w:pPr>
          </w:p>
        </w:tc>
        <w:tc>
          <w:tcPr>
            <w:tcW w:w="0" w:type="auto"/>
            <w:vAlign w:val="center"/>
            <w:hideMark/>
          </w:tcPr>
          <w:p w14:paraId="61E2B65E" w14:textId="77777777" w:rsidR="00000000" w:rsidRDefault="00195E73">
            <w:pPr>
              <w:rPr>
                <w:rFonts w:eastAsia="Times New Roman"/>
                <w:sz w:val="20"/>
                <w:szCs w:val="20"/>
              </w:rPr>
            </w:pPr>
          </w:p>
        </w:tc>
        <w:tc>
          <w:tcPr>
            <w:tcW w:w="0" w:type="auto"/>
            <w:vAlign w:val="center"/>
            <w:hideMark/>
          </w:tcPr>
          <w:p w14:paraId="517B3181" w14:textId="77777777" w:rsidR="00000000" w:rsidRDefault="00195E73">
            <w:pPr>
              <w:rPr>
                <w:rFonts w:eastAsia="Times New Roman"/>
                <w:sz w:val="20"/>
                <w:szCs w:val="20"/>
              </w:rPr>
            </w:pPr>
          </w:p>
        </w:tc>
        <w:tc>
          <w:tcPr>
            <w:tcW w:w="0" w:type="auto"/>
            <w:vAlign w:val="center"/>
            <w:hideMark/>
          </w:tcPr>
          <w:p w14:paraId="7E26F747" w14:textId="77777777" w:rsidR="00000000" w:rsidRDefault="00195E73">
            <w:pPr>
              <w:rPr>
                <w:rFonts w:eastAsia="Times New Roman"/>
                <w:sz w:val="20"/>
                <w:szCs w:val="20"/>
              </w:rPr>
            </w:pPr>
          </w:p>
        </w:tc>
        <w:tc>
          <w:tcPr>
            <w:tcW w:w="0" w:type="auto"/>
            <w:vAlign w:val="center"/>
            <w:hideMark/>
          </w:tcPr>
          <w:p w14:paraId="37E961B2" w14:textId="77777777" w:rsidR="00000000" w:rsidRDefault="00195E73">
            <w:pPr>
              <w:rPr>
                <w:rFonts w:eastAsia="Times New Roman"/>
                <w:sz w:val="20"/>
                <w:szCs w:val="20"/>
              </w:rPr>
            </w:pPr>
          </w:p>
        </w:tc>
        <w:tc>
          <w:tcPr>
            <w:tcW w:w="0" w:type="auto"/>
            <w:vAlign w:val="center"/>
            <w:hideMark/>
          </w:tcPr>
          <w:p w14:paraId="0F55A9BB" w14:textId="77777777" w:rsidR="00000000" w:rsidRDefault="00195E73">
            <w:pPr>
              <w:rPr>
                <w:rFonts w:eastAsia="Times New Roman"/>
                <w:sz w:val="20"/>
                <w:szCs w:val="20"/>
              </w:rPr>
            </w:pPr>
          </w:p>
        </w:tc>
        <w:tc>
          <w:tcPr>
            <w:tcW w:w="0" w:type="auto"/>
            <w:vAlign w:val="center"/>
            <w:hideMark/>
          </w:tcPr>
          <w:p w14:paraId="645D2A05" w14:textId="77777777" w:rsidR="00000000" w:rsidRDefault="00195E73">
            <w:pPr>
              <w:rPr>
                <w:rFonts w:eastAsia="Times New Roman"/>
                <w:sz w:val="20"/>
                <w:szCs w:val="20"/>
              </w:rPr>
            </w:pPr>
          </w:p>
        </w:tc>
      </w:tr>
    </w:tbl>
    <w:p w14:paraId="645E0F5E" w14:textId="77777777" w:rsidR="00000000" w:rsidRDefault="00195E73">
      <w:pPr>
        <w:jc w:val="center"/>
        <w:rPr>
          <w:rFonts w:eastAsia="Times New Roman"/>
        </w:rPr>
      </w:pPr>
    </w:p>
    <w:p w14:paraId="07806B15" w14:textId="77777777" w:rsidR="00000000" w:rsidRDefault="00195E73">
      <w:pPr>
        <w:jc w:val="center"/>
        <w:rPr>
          <w:rFonts w:eastAsia="Times New Roman"/>
        </w:rPr>
      </w:pPr>
    </w:p>
    <w:p w14:paraId="6498C79D" w14:textId="77777777" w:rsidR="00000000" w:rsidRDefault="00195E73">
      <w:pPr>
        <w:jc w:val="center"/>
        <w:rPr>
          <w:rFonts w:eastAsia="Times New Roman"/>
        </w:rPr>
      </w:pPr>
    </w:p>
    <w:p w14:paraId="542EBAB6" w14:textId="77777777" w:rsidR="00000000" w:rsidRDefault="00195E73">
      <w:pPr>
        <w:jc w:val="center"/>
        <w:rPr>
          <w:rFonts w:eastAsia="Times New Roman"/>
        </w:rPr>
      </w:pPr>
    </w:p>
    <w:p w14:paraId="1FBDA871" w14:textId="77777777" w:rsidR="00000000" w:rsidRDefault="00195E73">
      <w:pPr>
        <w:jc w:val="center"/>
        <w:rPr>
          <w:rFonts w:eastAsia="Times New Roman"/>
        </w:rPr>
      </w:pPr>
    </w:p>
    <w:p w14:paraId="49F3C61A" w14:textId="77777777" w:rsidR="00000000" w:rsidRDefault="00195E73">
      <w:pPr>
        <w:jc w:val="center"/>
        <w:rPr>
          <w:rFonts w:eastAsia="Times New Roman"/>
        </w:rPr>
      </w:pPr>
    </w:p>
    <w:p w14:paraId="28039F20" w14:textId="77777777" w:rsidR="00000000" w:rsidRDefault="00195E73">
      <w:pPr>
        <w:jc w:val="center"/>
        <w:rPr>
          <w:rFonts w:eastAsia="Times New Roman"/>
        </w:rPr>
      </w:pPr>
    </w:p>
    <w:p w14:paraId="2DFC53A3" w14:textId="77777777" w:rsidR="00000000" w:rsidRDefault="00195E73">
      <w:pPr>
        <w:jc w:val="center"/>
        <w:rPr>
          <w:rFonts w:eastAsia="Times New Roman"/>
        </w:rPr>
      </w:pPr>
    </w:p>
    <w:p w14:paraId="442152DB" w14:textId="77777777" w:rsidR="00000000" w:rsidRDefault="00195E73">
      <w:pPr>
        <w:jc w:val="center"/>
        <w:rPr>
          <w:rFonts w:eastAsia="Times New Roman"/>
        </w:rPr>
      </w:pPr>
    </w:p>
    <w:p w14:paraId="4D746FB4" w14:textId="77777777" w:rsidR="00000000" w:rsidRDefault="00195E73">
      <w:pPr>
        <w:jc w:val="center"/>
        <w:rPr>
          <w:rFonts w:eastAsia="Times New Roman"/>
        </w:rPr>
      </w:pPr>
    </w:p>
    <w:p w14:paraId="06EE258F" w14:textId="77777777" w:rsidR="00000000" w:rsidRDefault="00195E73">
      <w:pPr>
        <w:jc w:val="center"/>
        <w:rPr>
          <w:rFonts w:eastAsia="Times New Roman"/>
        </w:rPr>
      </w:pPr>
    </w:p>
    <w:p w14:paraId="79239844" w14:textId="77777777" w:rsidR="00000000" w:rsidRDefault="00195E73">
      <w:pPr>
        <w:jc w:val="center"/>
        <w:rPr>
          <w:rFonts w:eastAsia="Times New Roman"/>
        </w:rPr>
      </w:pPr>
    </w:p>
    <w:p w14:paraId="6595672E" w14:textId="77777777" w:rsidR="00000000" w:rsidRDefault="00195E73">
      <w:pPr>
        <w:jc w:val="center"/>
        <w:rPr>
          <w:rFonts w:eastAsia="Times New Roman"/>
        </w:rPr>
      </w:pPr>
      <w:r>
        <w:rPr>
          <w:rFonts w:eastAsia="Times New Roman"/>
          <w:i/>
          <w:iCs/>
          <w:color w:val="000000"/>
          <w:sz w:val="20"/>
          <w:szCs w:val="20"/>
        </w:rPr>
        <w:t>See notes to consolidated financial statements</w:t>
      </w:r>
      <w:r>
        <w:rPr>
          <w:rFonts w:eastAsia="Times New Roman"/>
          <w:i/>
          <w:iCs/>
          <w:color w:val="000000"/>
          <w:sz w:val="20"/>
          <w:szCs w:val="20"/>
        </w:rPr>
        <w:t>.</w:t>
      </w:r>
    </w:p>
    <w:p w14:paraId="2FA440EE" w14:textId="77777777" w:rsidR="00000000" w:rsidRDefault="00195E73">
      <w:pPr>
        <w:jc w:val="center"/>
        <w:divId w:val="200286262"/>
        <w:rPr>
          <w:rFonts w:eastAsia="Times New Roman"/>
        </w:rPr>
      </w:pPr>
      <w:r>
        <w:rPr>
          <w:rFonts w:eastAsia="Times New Roman"/>
          <w:color w:val="000000"/>
          <w:sz w:val="20"/>
          <w:szCs w:val="20"/>
        </w:rPr>
        <w:t>5</w:t>
      </w:r>
      <w:r>
        <w:rPr>
          <w:rFonts w:eastAsia="Times New Roman"/>
          <w:color w:val="000000"/>
          <w:sz w:val="20"/>
          <w:szCs w:val="20"/>
        </w:rPr>
        <w:t>7</w:t>
      </w:r>
    </w:p>
    <w:p w14:paraId="4B5BAF8B" w14:textId="77777777" w:rsidR="00000000" w:rsidRDefault="00195E73">
      <w:pPr>
        <w:rPr>
          <w:rFonts w:eastAsia="Times New Roman"/>
        </w:rPr>
      </w:pPr>
      <w:r>
        <w:rPr>
          <w:rFonts w:eastAsia="Times New Roman"/>
        </w:rPr>
        <w:pict w14:anchorId="229BD46B">
          <v:rect id="_x0000_i1083" style="width:0;height:1.5pt" o:hralign="center" o:hrstd="t" o:hr="t" fillcolor="#a0a0a0" stroked="f"/>
        </w:pict>
      </w:r>
    </w:p>
    <w:p w14:paraId="176A5378" w14:textId="77777777" w:rsidR="00000000" w:rsidRDefault="00195E73">
      <w:pPr>
        <w:divId w:val="149031243"/>
        <w:rPr>
          <w:rFonts w:eastAsia="Times New Roman"/>
        </w:rPr>
      </w:pPr>
    </w:p>
    <w:p w14:paraId="6510F29D" w14:textId="77777777" w:rsidR="00000000" w:rsidRDefault="00195E73">
      <w:pPr>
        <w:jc w:val="center"/>
        <w:divId w:val="761144079"/>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563870F0" w14:textId="77777777" w:rsidR="00000000" w:rsidRDefault="00195E73">
      <w:pPr>
        <w:jc w:val="center"/>
        <w:rPr>
          <w:rFonts w:eastAsia="Times New Roman"/>
        </w:rPr>
      </w:pPr>
      <w:r>
        <w:rPr>
          <w:rFonts w:eastAsia="Times New Roman"/>
          <w:b/>
          <w:bCs/>
          <w:color w:val="000000"/>
          <w:sz w:val="20"/>
          <w:szCs w:val="20"/>
        </w:rPr>
        <w:t>CONSOLIDATED STATEMENTS OF CASH FLOW</w:t>
      </w:r>
      <w:r>
        <w:rPr>
          <w:rFonts w:eastAsia="Times New Roman"/>
          <w:b/>
          <w:bCs/>
          <w:color w:val="000000"/>
          <w:sz w:val="20"/>
          <w:szCs w:val="20"/>
        </w:rPr>
        <w: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4120"/>
        <w:gridCol w:w="61"/>
        <w:gridCol w:w="100"/>
        <w:gridCol w:w="977"/>
        <w:gridCol w:w="68"/>
        <w:gridCol w:w="36"/>
        <w:gridCol w:w="36"/>
        <w:gridCol w:w="36"/>
        <w:gridCol w:w="100"/>
        <w:gridCol w:w="960"/>
        <w:gridCol w:w="68"/>
        <w:gridCol w:w="36"/>
        <w:gridCol w:w="36"/>
        <w:gridCol w:w="36"/>
        <w:gridCol w:w="100"/>
        <w:gridCol w:w="962"/>
        <w:gridCol w:w="68"/>
        <w:gridCol w:w="36"/>
        <w:gridCol w:w="36"/>
        <w:gridCol w:w="36"/>
        <w:gridCol w:w="36"/>
        <w:gridCol w:w="36"/>
        <w:gridCol w:w="36"/>
        <w:gridCol w:w="36"/>
        <w:gridCol w:w="36"/>
        <w:gridCol w:w="36"/>
        <w:gridCol w:w="36"/>
        <w:gridCol w:w="36"/>
        <w:gridCol w:w="36"/>
      </w:tblGrid>
      <w:tr w:rsidR="00000000" w14:paraId="694ED80D" w14:textId="77777777">
        <w:trPr>
          <w:gridAfter w:val="12"/>
          <w:divId w:val="1553998752"/>
          <w:jc w:val="center"/>
        </w:trPr>
        <w:tc>
          <w:tcPr>
            <w:tcW w:w="50" w:type="pct"/>
            <w:vAlign w:val="center"/>
            <w:hideMark/>
          </w:tcPr>
          <w:p w14:paraId="4E518359" w14:textId="77777777" w:rsidR="00000000" w:rsidRDefault="00195E73">
            <w:pPr>
              <w:jc w:val="center"/>
              <w:rPr>
                <w:rFonts w:eastAsia="Times New Roman"/>
              </w:rPr>
            </w:pPr>
          </w:p>
        </w:tc>
        <w:tc>
          <w:tcPr>
            <w:tcW w:w="2630" w:type="pct"/>
            <w:vAlign w:val="center"/>
            <w:hideMark/>
          </w:tcPr>
          <w:p w14:paraId="2828D735" w14:textId="77777777" w:rsidR="00000000" w:rsidRDefault="00195E73">
            <w:pPr>
              <w:rPr>
                <w:rFonts w:eastAsia="Times New Roman"/>
                <w:sz w:val="20"/>
                <w:szCs w:val="20"/>
              </w:rPr>
            </w:pPr>
          </w:p>
        </w:tc>
        <w:tc>
          <w:tcPr>
            <w:tcW w:w="50" w:type="pct"/>
            <w:vAlign w:val="center"/>
            <w:hideMark/>
          </w:tcPr>
          <w:p w14:paraId="41D4D8FB" w14:textId="77777777" w:rsidR="00000000" w:rsidRDefault="00195E73">
            <w:pPr>
              <w:rPr>
                <w:rFonts w:eastAsia="Times New Roman"/>
                <w:sz w:val="20"/>
                <w:szCs w:val="20"/>
              </w:rPr>
            </w:pPr>
          </w:p>
        </w:tc>
        <w:tc>
          <w:tcPr>
            <w:tcW w:w="50" w:type="pct"/>
            <w:vAlign w:val="center"/>
            <w:hideMark/>
          </w:tcPr>
          <w:p w14:paraId="1D94EF06" w14:textId="77777777" w:rsidR="00000000" w:rsidRDefault="00195E73">
            <w:pPr>
              <w:rPr>
                <w:rFonts w:eastAsia="Times New Roman"/>
                <w:sz w:val="20"/>
                <w:szCs w:val="20"/>
              </w:rPr>
            </w:pPr>
          </w:p>
        </w:tc>
        <w:tc>
          <w:tcPr>
            <w:tcW w:w="632" w:type="pct"/>
            <w:vAlign w:val="center"/>
            <w:hideMark/>
          </w:tcPr>
          <w:p w14:paraId="75A28AD9" w14:textId="77777777" w:rsidR="00000000" w:rsidRDefault="00195E73">
            <w:pPr>
              <w:rPr>
                <w:rFonts w:eastAsia="Times New Roman"/>
                <w:sz w:val="20"/>
                <w:szCs w:val="20"/>
              </w:rPr>
            </w:pPr>
          </w:p>
        </w:tc>
        <w:tc>
          <w:tcPr>
            <w:tcW w:w="50" w:type="pct"/>
            <w:vAlign w:val="center"/>
            <w:hideMark/>
          </w:tcPr>
          <w:p w14:paraId="77B5A695" w14:textId="77777777" w:rsidR="00000000" w:rsidRDefault="00195E73">
            <w:pPr>
              <w:rPr>
                <w:rFonts w:eastAsia="Times New Roman"/>
                <w:sz w:val="20"/>
                <w:szCs w:val="20"/>
              </w:rPr>
            </w:pPr>
          </w:p>
        </w:tc>
        <w:tc>
          <w:tcPr>
            <w:tcW w:w="5" w:type="pct"/>
            <w:vAlign w:val="center"/>
            <w:hideMark/>
          </w:tcPr>
          <w:p w14:paraId="0EC496CC" w14:textId="77777777" w:rsidR="00000000" w:rsidRDefault="00195E73">
            <w:pPr>
              <w:rPr>
                <w:rFonts w:eastAsia="Times New Roman"/>
                <w:sz w:val="20"/>
                <w:szCs w:val="20"/>
              </w:rPr>
            </w:pPr>
          </w:p>
        </w:tc>
        <w:tc>
          <w:tcPr>
            <w:tcW w:w="26" w:type="pct"/>
            <w:vAlign w:val="center"/>
            <w:hideMark/>
          </w:tcPr>
          <w:p w14:paraId="26D9BC8B" w14:textId="77777777" w:rsidR="00000000" w:rsidRDefault="00195E73">
            <w:pPr>
              <w:rPr>
                <w:rFonts w:eastAsia="Times New Roman"/>
                <w:sz w:val="20"/>
                <w:szCs w:val="20"/>
              </w:rPr>
            </w:pPr>
          </w:p>
        </w:tc>
        <w:tc>
          <w:tcPr>
            <w:tcW w:w="5" w:type="pct"/>
            <w:vAlign w:val="center"/>
            <w:hideMark/>
          </w:tcPr>
          <w:p w14:paraId="0A22EF53" w14:textId="77777777" w:rsidR="00000000" w:rsidRDefault="00195E73">
            <w:pPr>
              <w:rPr>
                <w:rFonts w:eastAsia="Times New Roman"/>
                <w:sz w:val="20"/>
                <w:szCs w:val="20"/>
              </w:rPr>
            </w:pPr>
          </w:p>
        </w:tc>
        <w:tc>
          <w:tcPr>
            <w:tcW w:w="50" w:type="pct"/>
            <w:vAlign w:val="center"/>
            <w:hideMark/>
          </w:tcPr>
          <w:p w14:paraId="7943F9EC" w14:textId="77777777" w:rsidR="00000000" w:rsidRDefault="00195E73">
            <w:pPr>
              <w:rPr>
                <w:rFonts w:eastAsia="Times New Roman"/>
                <w:sz w:val="20"/>
                <w:szCs w:val="20"/>
              </w:rPr>
            </w:pPr>
          </w:p>
        </w:tc>
        <w:tc>
          <w:tcPr>
            <w:tcW w:w="632" w:type="pct"/>
            <w:vAlign w:val="center"/>
            <w:hideMark/>
          </w:tcPr>
          <w:p w14:paraId="3FD7CA78" w14:textId="77777777" w:rsidR="00000000" w:rsidRDefault="00195E73">
            <w:pPr>
              <w:rPr>
                <w:rFonts w:eastAsia="Times New Roman"/>
                <w:sz w:val="20"/>
                <w:szCs w:val="20"/>
              </w:rPr>
            </w:pPr>
          </w:p>
        </w:tc>
        <w:tc>
          <w:tcPr>
            <w:tcW w:w="50" w:type="pct"/>
            <w:vAlign w:val="center"/>
            <w:hideMark/>
          </w:tcPr>
          <w:p w14:paraId="547F419F" w14:textId="77777777" w:rsidR="00000000" w:rsidRDefault="00195E73">
            <w:pPr>
              <w:rPr>
                <w:rFonts w:eastAsia="Times New Roman"/>
                <w:sz w:val="20"/>
                <w:szCs w:val="20"/>
              </w:rPr>
            </w:pPr>
          </w:p>
        </w:tc>
        <w:tc>
          <w:tcPr>
            <w:tcW w:w="5" w:type="pct"/>
            <w:vAlign w:val="center"/>
            <w:hideMark/>
          </w:tcPr>
          <w:p w14:paraId="31055D69" w14:textId="77777777" w:rsidR="00000000" w:rsidRDefault="00195E73">
            <w:pPr>
              <w:rPr>
                <w:rFonts w:eastAsia="Times New Roman"/>
                <w:sz w:val="20"/>
                <w:szCs w:val="20"/>
              </w:rPr>
            </w:pPr>
          </w:p>
        </w:tc>
        <w:tc>
          <w:tcPr>
            <w:tcW w:w="26" w:type="pct"/>
            <w:vAlign w:val="center"/>
            <w:hideMark/>
          </w:tcPr>
          <w:p w14:paraId="35DD4728" w14:textId="77777777" w:rsidR="00000000" w:rsidRDefault="00195E73">
            <w:pPr>
              <w:rPr>
                <w:rFonts w:eastAsia="Times New Roman"/>
                <w:sz w:val="20"/>
                <w:szCs w:val="20"/>
              </w:rPr>
            </w:pPr>
          </w:p>
        </w:tc>
        <w:tc>
          <w:tcPr>
            <w:tcW w:w="5" w:type="pct"/>
            <w:vAlign w:val="center"/>
            <w:hideMark/>
          </w:tcPr>
          <w:p w14:paraId="04FFA459" w14:textId="77777777" w:rsidR="00000000" w:rsidRDefault="00195E73">
            <w:pPr>
              <w:rPr>
                <w:rFonts w:eastAsia="Times New Roman"/>
                <w:sz w:val="20"/>
                <w:szCs w:val="20"/>
              </w:rPr>
            </w:pPr>
          </w:p>
        </w:tc>
        <w:tc>
          <w:tcPr>
            <w:tcW w:w="50" w:type="pct"/>
            <w:vAlign w:val="center"/>
            <w:hideMark/>
          </w:tcPr>
          <w:p w14:paraId="5E50A380" w14:textId="77777777" w:rsidR="00000000" w:rsidRDefault="00195E73">
            <w:pPr>
              <w:rPr>
                <w:rFonts w:eastAsia="Times New Roman"/>
                <w:sz w:val="20"/>
                <w:szCs w:val="20"/>
              </w:rPr>
            </w:pPr>
          </w:p>
        </w:tc>
        <w:tc>
          <w:tcPr>
            <w:tcW w:w="632" w:type="pct"/>
            <w:vAlign w:val="center"/>
            <w:hideMark/>
          </w:tcPr>
          <w:p w14:paraId="569D560B" w14:textId="77777777" w:rsidR="00000000" w:rsidRDefault="00195E73">
            <w:pPr>
              <w:rPr>
                <w:rFonts w:eastAsia="Times New Roman"/>
                <w:sz w:val="20"/>
                <w:szCs w:val="20"/>
              </w:rPr>
            </w:pPr>
          </w:p>
        </w:tc>
        <w:tc>
          <w:tcPr>
            <w:tcW w:w="50" w:type="pct"/>
            <w:vAlign w:val="center"/>
            <w:hideMark/>
          </w:tcPr>
          <w:p w14:paraId="6CFAB717" w14:textId="77777777" w:rsidR="00000000" w:rsidRDefault="00195E73">
            <w:pPr>
              <w:rPr>
                <w:rFonts w:eastAsia="Times New Roman"/>
                <w:sz w:val="20"/>
                <w:szCs w:val="20"/>
              </w:rPr>
            </w:pPr>
          </w:p>
        </w:tc>
      </w:tr>
      <w:tr w:rsidR="00000000" w14:paraId="60A5EE5B" w14:textId="77777777">
        <w:trPr>
          <w:divId w:val="1553998752"/>
          <w:jc w:val="center"/>
        </w:trPr>
        <w:tc>
          <w:tcPr>
            <w:tcW w:w="0" w:type="auto"/>
            <w:gridSpan w:val="3"/>
            <w:tcMar>
              <w:top w:w="15" w:type="dxa"/>
              <w:left w:w="20" w:type="dxa"/>
              <w:bottom w:w="15" w:type="dxa"/>
              <w:right w:w="20" w:type="dxa"/>
            </w:tcMar>
            <w:vAlign w:val="bottom"/>
            <w:hideMark/>
          </w:tcPr>
          <w:p w14:paraId="10C35DBE"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31EFEE88" w14:textId="77777777" w:rsidR="00000000" w:rsidRDefault="00195E73">
            <w:pPr>
              <w:jc w:val="center"/>
              <w:rPr>
                <w:rFonts w:eastAsia="Times New Roman"/>
              </w:rPr>
            </w:pPr>
            <w:r>
              <w:rPr>
                <w:rFonts w:eastAsia="Times New Roman"/>
                <w:b/>
                <w:bCs/>
                <w:color w:val="000000"/>
                <w:sz w:val="13"/>
                <w:szCs w:val="13"/>
              </w:rPr>
              <w:t>Year Ended December 31</w:t>
            </w:r>
            <w:r>
              <w:rPr>
                <w:rFonts w:eastAsia="Times New Roman"/>
                <w:b/>
                <w:bCs/>
                <w:color w:val="000000"/>
                <w:sz w:val="13"/>
                <w:szCs w:val="13"/>
              </w:rPr>
              <w:t>,</w:t>
            </w:r>
          </w:p>
        </w:tc>
        <w:tc>
          <w:tcPr>
            <w:tcW w:w="0" w:type="auto"/>
            <w:gridSpan w:val="3"/>
            <w:vAlign w:val="center"/>
            <w:hideMark/>
          </w:tcPr>
          <w:p w14:paraId="5C9EAD33" w14:textId="77777777" w:rsidR="00000000" w:rsidRDefault="00195E73">
            <w:pPr>
              <w:jc w:val="center"/>
              <w:rPr>
                <w:rFonts w:eastAsia="Times New Roman"/>
              </w:rPr>
            </w:pPr>
          </w:p>
        </w:tc>
        <w:tc>
          <w:tcPr>
            <w:tcW w:w="0" w:type="auto"/>
            <w:gridSpan w:val="3"/>
            <w:vAlign w:val="center"/>
            <w:hideMark/>
          </w:tcPr>
          <w:p w14:paraId="4E67568B" w14:textId="77777777" w:rsidR="00000000" w:rsidRDefault="00195E73">
            <w:pPr>
              <w:rPr>
                <w:rFonts w:eastAsia="Times New Roman"/>
                <w:sz w:val="20"/>
                <w:szCs w:val="20"/>
              </w:rPr>
            </w:pPr>
          </w:p>
        </w:tc>
        <w:tc>
          <w:tcPr>
            <w:tcW w:w="0" w:type="auto"/>
            <w:gridSpan w:val="3"/>
            <w:vAlign w:val="center"/>
            <w:hideMark/>
          </w:tcPr>
          <w:p w14:paraId="6D6FE43E" w14:textId="77777777" w:rsidR="00000000" w:rsidRDefault="00195E73">
            <w:pPr>
              <w:rPr>
                <w:rFonts w:eastAsia="Times New Roman"/>
                <w:sz w:val="20"/>
                <w:szCs w:val="20"/>
              </w:rPr>
            </w:pPr>
          </w:p>
        </w:tc>
        <w:tc>
          <w:tcPr>
            <w:tcW w:w="0" w:type="auto"/>
            <w:gridSpan w:val="3"/>
            <w:vAlign w:val="center"/>
            <w:hideMark/>
          </w:tcPr>
          <w:p w14:paraId="7893FEE1" w14:textId="77777777" w:rsidR="00000000" w:rsidRDefault="00195E73">
            <w:pPr>
              <w:rPr>
                <w:rFonts w:eastAsia="Times New Roman"/>
                <w:sz w:val="20"/>
                <w:szCs w:val="20"/>
              </w:rPr>
            </w:pPr>
          </w:p>
        </w:tc>
      </w:tr>
      <w:tr w:rsidR="00000000" w14:paraId="0F7F6995" w14:textId="77777777">
        <w:trPr>
          <w:divId w:val="1553998752"/>
          <w:jc w:val="center"/>
        </w:trPr>
        <w:tc>
          <w:tcPr>
            <w:tcW w:w="0" w:type="auto"/>
            <w:gridSpan w:val="3"/>
            <w:tcMar>
              <w:top w:w="15" w:type="dxa"/>
              <w:left w:w="20" w:type="dxa"/>
              <w:bottom w:w="15" w:type="dxa"/>
              <w:right w:w="20" w:type="dxa"/>
            </w:tcMar>
            <w:vAlign w:val="bottom"/>
            <w:hideMark/>
          </w:tcPr>
          <w:p w14:paraId="58B5F332"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73FB2B5" w14:textId="77777777" w:rsidR="00000000" w:rsidRDefault="00195E73">
            <w:pPr>
              <w:jc w:val="center"/>
              <w:rPr>
                <w:rFonts w:eastAsia="Times New Roman"/>
              </w:rPr>
            </w:pPr>
            <w:r>
              <w:rPr>
                <w:rFonts w:eastAsia="Times New Roman"/>
                <w:b/>
                <w:bCs/>
                <w:color w:val="000000"/>
                <w:sz w:val="13"/>
                <w:szCs w:val="13"/>
              </w:rPr>
              <w:t>201</w:t>
            </w:r>
            <w:r>
              <w:rPr>
                <w:rFonts w:eastAsia="Times New Roman"/>
                <w:b/>
                <w:bCs/>
                <w:color w:val="000000"/>
                <w:sz w:val="13"/>
                <w:szCs w:val="13"/>
              </w:rPr>
              <w:t>9</w:t>
            </w:r>
          </w:p>
        </w:tc>
        <w:tc>
          <w:tcPr>
            <w:tcW w:w="0" w:type="auto"/>
            <w:gridSpan w:val="3"/>
            <w:tcBorders>
              <w:top w:val="single" w:sz="8" w:space="0" w:color="000000"/>
            </w:tcBorders>
            <w:tcMar>
              <w:top w:w="15" w:type="dxa"/>
              <w:left w:w="20" w:type="dxa"/>
              <w:bottom w:w="15" w:type="dxa"/>
              <w:right w:w="20" w:type="dxa"/>
            </w:tcMar>
            <w:vAlign w:val="bottom"/>
            <w:hideMark/>
          </w:tcPr>
          <w:p w14:paraId="41B7B90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41EAE7" w14:textId="77777777" w:rsidR="00000000" w:rsidRDefault="00195E73">
            <w:pPr>
              <w:jc w:val="center"/>
              <w:rPr>
                <w:rFonts w:eastAsia="Times New Roman"/>
              </w:rPr>
            </w:pPr>
            <w:r>
              <w:rPr>
                <w:rFonts w:eastAsia="Times New Roman"/>
                <w:b/>
                <w:bCs/>
                <w:color w:val="000000"/>
                <w:sz w:val="13"/>
                <w:szCs w:val="13"/>
              </w:rPr>
              <w:t>201</w:t>
            </w:r>
            <w:r>
              <w:rPr>
                <w:rFonts w:eastAsia="Times New Roman"/>
                <w:b/>
                <w:bCs/>
                <w:color w:val="000000"/>
                <w:sz w:val="13"/>
                <w:szCs w:val="13"/>
              </w:rPr>
              <w:t>8</w:t>
            </w:r>
          </w:p>
        </w:tc>
        <w:tc>
          <w:tcPr>
            <w:tcW w:w="0" w:type="auto"/>
            <w:gridSpan w:val="3"/>
            <w:tcBorders>
              <w:top w:val="single" w:sz="8" w:space="0" w:color="000000"/>
            </w:tcBorders>
            <w:tcMar>
              <w:top w:w="15" w:type="dxa"/>
              <w:left w:w="20" w:type="dxa"/>
              <w:bottom w:w="15" w:type="dxa"/>
              <w:right w:w="20" w:type="dxa"/>
            </w:tcMar>
            <w:vAlign w:val="bottom"/>
            <w:hideMark/>
          </w:tcPr>
          <w:p w14:paraId="3BDD83F3"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C1BC790" w14:textId="77777777" w:rsidR="00000000" w:rsidRDefault="00195E73">
            <w:pPr>
              <w:jc w:val="center"/>
              <w:rPr>
                <w:rFonts w:eastAsia="Times New Roman"/>
              </w:rPr>
            </w:pPr>
            <w:r>
              <w:rPr>
                <w:rFonts w:eastAsia="Times New Roman"/>
                <w:b/>
                <w:bCs/>
                <w:color w:val="000000"/>
                <w:sz w:val="13"/>
                <w:szCs w:val="13"/>
              </w:rPr>
              <w:t>201</w:t>
            </w:r>
            <w:r>
              <w:rPr>
                <w:rFonts w:eastAsia="Times New Roman"/>
                <w:b/>
                <w:bCs/>
                <w:color w:val="000000"/>
                <w:sz w:val="13"/>
                <w:szCs w:val="13"/>
              </w:rPr>
              <w:t>7</w:t>
            </w:r>
          </w:p>
        </w:tc>
        <w:tc>
          <w:tcPr>
            <w:tcW w:w="0" w:type="auto"/>
            <w:vAlign w:val="center"/>
            <w:hideMark/>
          </w:tcPr>
          <w:p w14:paraId="10C3A154" w14:textId="77777777" w:rsidR="00000000" w:rsidRDefault="00195E73">
            <w:pPr>
              <w:rPr>
                <w:rFonts w:eastAsia="Times New Roman"/>
                <w:sz w:val="20"/>
                <w:szCs w:val="20"/>
              </w:rPr>
            </w:pPr>
          </w:p>
        </w:tc>
        <w:tc>
          <w:tcPr>
            <w:tcW w:w="0" w:type="auto"/>
            <w:vAlign w:val="center"/>
            <w:hideMark/>
          </w:tcPr>
          <w:p w14:paraId="3C10C7F7" w14:textId="77777777" w:rsidR="00000000" w:rsidRDefault="00195E73">
            <w:pPr>
              <w:rPr>
                <w:rFonts w:eastAsia="Times New Roman"/>
                <w:sz w:val="20"/>
                <w:szCs w:val="20"/>
              </w:rPr>
            </w:pPr>
          </w:p>
        </w:tc>
        <w:tc>
          <w:tcPr>
            <w:tcW w:w="0" w:type="auto"/>
            <w:vAlign w:val="center"/>
            <w:hideMark/>
          </w:tcPr>
          <w:p w14:paraId="6AD42E43" w14:textId="77777777" w:rsidR="00000000" w:rsidRDefault="00195E73">
            <w:pPr>
              <w:rPr>
                <w:rFonts w:eastAsia="Times New Roman"/>
                <w:sz w:val="20"/>
                <w:szCs w:val="20"/>
              </w:rPr>
            </w:pPr>
          </w:p>
        </w:tc>
        <w:tc>
          <w:tcPr>
            <w:tcW w:w="0" w:type="auto"/>
            <w:vAlign w:val="center"/>
            <w:hideMark/>
          </w:tcPr>
          <w:p w14:paraId="68FFB0E1" w14:textId="77777777" w:rsidR="00000000" w:rsidRDefault="00195E73">
            <w:pPr>
              <w:rPr>
                <w:rFonts w:eastAsia="Times New Roman"/>
                <w:sz w:val="20"/>
                <w:szCs w:val="20"/>
              </w:rPr>
            </w:pPr>
          </w:p>
        </w:tc>
        <w:tc>
          <w:tcPr>
            <w:tcW w:w="0" w:type="auto"/>
            <w:vAlign w:val="center"/>
            <w:hideMark/>
          </w:tcPr>
          <w:p w14:paraId="3431A159" w14:textId="77777777" w:rsidR="00000000" w:rsidRDefault="00195E73">
            <w:pPr>
              <w:rPr>
                <w:rFonts w:eastAsia="Times New Roman"/>
                <w:sz w:val="20"/>
                <w:szCs w:val="20"/>
              </w:rPr>
            </w:pPr>
          </w:p>
        </w:tc>
        <w:tc>
          <w:tcPr>
            <w:tcW w:w="0" w:type="auto"/>
            <w:vAlign w:val="center"/>
            <w:hideMark/>
          </w:tcPr>
          <w:p w14:paraId="6F07A59A" w14:textId="77777777" w:rsidR="00000000" w:rsidRDefault="00195E73">
            <w:pPr>
              <w:rPr>
                <w:rFonts w:eastAsia="Times New Roman"/>
                <w:sz w:val="20"/>
                <w:szCs w:val="20"/>
              </w:rPr>
            </w:pPr>
          </w:p>
        </w:tc>
        <w:tc>
          <w:tcPr>
            <w:tcW w:w="0" w:type="auto"/>
            <w:vAlign w:val="center"/>
            <w:hideMark/>
          </w:tcPr>
          <w:p w14:paraId="1368EFB9" w14:textId="77777777" w:rsidR="00000000" w:rsidRDefault="00195E73">
            <w:pPr>
              <w:rPr>
                <w:rFonts w:eastAsia="Times New Roman"/>
                <w:sz w:val="20"/>
                <w:szCs w:val="20"/>
              </w:rPr>
            </w:pPr>
          </w:p>
        </w:tc>
        <w:tc>
          <w:tcPr>
            <w:tcW w:w="0" w:type="auto"/>
            <w:vAlign w:val="center"/>
            <w:hideMark/>
          </w:tcPr>
          <w:p w14:paraId="3BC1398A" w14:textId="77777777" w:rsidR="00000000" w:rsidRDefault="00195E73">
            <w:pPr>
              <w:rPr>
                <w:rFonts w:eastAsia="Times New Roman"/>
                <w:sz w:val="20"/>
                <w:szCs w:val="20"/>
              </w:rPr>
            </w:pPr>
          </w:p>
        </w:tc>
        <w:tc>
          <w:tcPr>
            <w:tcW w:w="0" w:type="auto"/>
            <w:vAlign w:val="center"/>
            <w:hideMark/>
          </w:tcPr>
          <w:p w14:paraId="7EC938D9" w14:textId="77777777" w:rsidR="00000000" w:rsidRDefault="00195E73">
            <w:pPr>
              <w:rPr>
                <w:rFonts w:eastAsia="Times New Roman"/>
                <w:sz w:val="20"/>
                <w:szCs w:val="20"/>
              </w:rPr>
            </w:pPr>
          </w:p>
        </w:tc>
        <w:tc>
          <w:tcPr>
            <w:tcW w:w="0" w:type="auto"/>
            <w:vAlign w:val="center"/>
            <w:hideMark/>
          </w:tcPr>
          <w:p w14:paraId="0896D53F" w14:textId="77777777" w:rsidR="00000000" w:rsidRDefault="00195E73">
            <w:pPr>
              <w:rPr>
                <w:rFonts w:eastAsia="Times New Roman"/>
                <w:sz w:val="20"/>
                <w:szCs w:val="20"/>
              </w:rPr>
            </w:pPr>
          </w:p>
        </w:tc>
        <w:tc>
          <w:tcPr>
            <w:tcW w:w="0" w:type="auto"/>
            <w:vAlign w:val="center"/>
            <w:hideMark/>
          </w:tcPr>
          <w:p w14:paraId="1D7F8178" w14:textId="77777777" w:rsidR="00000000" w:rsidRDefault="00195E73">
            <w:pPr>
              <w:rPr>
                <w:rFonts w:eastAsia="Times New Roman"/>
                <w:sz w:val="20"/>
                <w:szCs w:val="20"/>
              </w:rPr>
            </w:pPr>
          </w:p>
        </w:tc>
        <w:tc>
          <w:tcPr>
            <w:tcW w:w="0" w:type="auto"/>
            <w:vAlign w:val="center"/>
            <w:hideMark/>
          </w:tcPr>
          <w:p w14:paraId="3F96992F" w14:textId="77777777" w:rsidR="00000000" w:rsidRDefault="00195E73">
            <w:pPr>
              <w:rPr>
                <w:rFonts w:eastAsia="Times New Roman"/>
                <w:sz w:val="20"/>
                <w:szCs w:val="20"/>
              </w:rPr>
            </w:pPr>
          </w:p>
        </w:tc>
      </w:tr>
      <w:tr w:rsidR="00000000" w14:paraId="79AB2270" w14:textId="77777777">
        <w:trPr>
          <w:divId w:val="1553998752"/>
          <w:jc w:val="center"/>
        </w:trPr>
        <w:tc>
          <w:tcPr>
            <w:tcW w:w="0" w:type="auto"/>
            <w:gridSpan w:val="3"/>
            <w:tcMar>
              <w:top w:w="30" w:type="dxa"/>
              <w:left w:w="20" w:type="dxa"/>
              <w:bottom w:w="30" w:type="dxa"/>
              <w:right w:w="20" w:type="dxa"/>
            </w:tcMar>
            <w:vAlign w:val="bottom"/>
            <w:hideMark/>
          </w:tcPr>
          <w:p w14:paraId="260233E0" w14:textId="77777777" w:rsidR="00000000" w:rsidRDefault="00195E73">
            <w:pPr>
              <w:rPr>
                <w:rFonts w:eastAsia="Times New Roman"/>
              </w:rPr>
            </w:pPr>
            <w:r>
              <w:rPr>
                <w:rFonts w:eastAsia="Times New Roman"/>
                <w:b/>
                <w:bCs/>
                <w:color w:val="000000"/>
                <w:sz w:val="13"/>
                <w:szCs w:val="13"/>
              </w:rPr>
              <w:t>Cash flows from operating activities</w:t>
            </w:r>
            <w:r>
              <w:rPr>
                <w:rFonts w:eastAsia="Times New Roman"/>
                <w:b/>
                <w:bCs/>
                <w:color w:val="000000"/>
                <w:sz w:val="13"/>
                <w:szCs w:val="13"/>
              </w:rPr>
              <w:t>:</w:t>
            </w:r>
          </w:p>
        </w:tc>
        <w:tc>
          <w:tcPr>
            <w:tcW w:w="0" w:type="auto"/>
            <w:gridSpan w:val="15"/>
            <w:tcBorders>
              <w:top w:val="single" w:sz="8" w:space="0" w:color="000000"/>
            </w:tcBorders>
            <w:tcMar>
              <w:top w:w="30" w:type="dxa"/>
              <w:left w:w="20" w:type="dxa"/>
              <w:bottom w:w="30" w:type="dxa"/>
              <w:right w:w="20" w:type="dxa"/>
            </w:tcMar>
            <w:vAlign w:val="bottom"/>
            <w:hideMark/>
          </w:tcPr>
          <w:p w14:paraId="3D8CDB70" w14:textId="77777777" w:rsidR="00000000" w:rsidRDefault="00195E73">
            <w:pPr>
              <w:jc w:val="center"/>
              <w:rPr>
                <w:rFonts w:eastAsia="Times New Roman"/>
              </w:rPr>
            </w:pPr>
            <w:r>
              <w:rPr>
                <w:rFonts w:eastAsia="Times New Roman"/>
                <w:color w:val="000000"/>
                <w:sz w:val="13"/>
                <w:szCs w:val="13"/>
              </w:rPr>
              <w:t>(In millions</w:t>
            </w:r>
            <w:r>
              <w:rPr>
                <w:rFonts w:eastAsia="Times New Roman"/>
                <w:color w:val="000000"/>
                <w:sz w:val="13"/>
                <w:szCs w:val="13"/>
              </w:rPr>
              <w:t>)</w:t>
            </w:r>
          </w:p>
        </w:tc>
        <w:tc>
          <w:tcPr>
            <w:tcW w:w="0" w:type="auto"/>
            <w:gridSpan w:val="3"/>
            <w:vAlign w:val="center"/>
            <w:hideMark/>
          </w:tcPr>
          <w:p w14:paraId="5FCB20F7" w14:textId="77777777" w:rsidR="00000000" w:rsidRDefault="00195E73">
            <w:pPr>
              <w:jc w:val="center"/>
              <w:rPr>
                <w:rFonts w:eastAsia="Times New Roman"/>
              </w:rPr>
            </w:pPr>
          </w:p>
        </w:tc>
        <w:tc>
          <w:tcPr>
            <w:tcW w:w="0" w:type="auto"/>
            <w:gridSpan w:val="3"/>
            <w:vAlign w:val="center"/>
            <w:hideMark/>
          </w:tcPr>
          <w:p w14:paraId="0EBC964D" w14:textId="77777777" w:rsidR="00000000" w:rsidRDefault="00195E73">
            <w:pPr>
              <w:rPr>
                <w:rFonts w:eastAsia="Times New Roman"/>
                <w:sz w:val="20"/>
                <w:szCs w:val="20"/>
              </w:rPr>
            </w:pPr>
          </w:p>
        </w:tc>
        <w:tc>
          <w:tcPr>
            <w:tcW w:w="0" w:type="auto"/>
            <w:gridSpan w:val="3"/>
            <w:vAlign w:val="center"/>
            <w:hideMark/>
          </w:tcPr>
          <w:p w14:paraId="73DEB108" w14:textId="77777777" w:rsidR="00000000" w:rsidRDefault="00195E73">
            <w:pPr>
              <w:rPr>
                <w:rFonts w:eastAsia="Times New Roman"/>
                <w:sz w:val="20"/>
                <w:szCs w:val="20"/>
              </w:rPr>
            </w:pPr>
          </w:p>
        </w:tc>
        <w:tc>
          <w:tcPr>
            <w:tcW w:w="0" w:type="auto"/>
            <w:gridSpan w:val="3"/>
            <w:vAlign w:val="center"/>
            <w:hideMark/>
          </w:tcPr>
          <w:p w14:paraId="413A6E6D" w14:textId="77777777" w:rsidR="00000000" w:rsidRDefault="00195E73">
            <w:pPr>
              <w:rPr>
                <w:rFonts w:eastAsia="Times New Roman"/>
                <w:sz w:val="20"/>
                <w:szCs w:val="20"/>
              </w:rPr>
            </w:pPr>
          </w:p>
        </w:tc>
      </w:tr>
      <w:tr w:rsidR="00000000" w14:paraId="3E1A53AA"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35551089" w14:textId="77777777" w:rsidR="00000000" w:rsidRDefault="00195E73">
            <w:pPr>
              <w:rPr>
                <w:rFonts w:eastAsia="Times New Roman"/>
              </w:rPr>
            </w:pPr>
            <w:r>
              <w:rPr>
                <w:rFonts w:eastAsia="Times New Roman"/>
                <w:color w:val="000000"/>
                <w:sz w:val="13"/>
                <w:szCs w:val="13"/>
              </w:rPr>
              <w:t>Net (loss) incom</w:t>
            </w:r>
            <w:r>
              <w:rPr>
                <w:rFonts w:eastAsia="Times New Roman"/>
                <w:color w:val="000000"/>
                <w:sz w:val="13"/>
                <w:szCs w:val="13"/>
              </w:rPr>
              <w:t>e</w:t>
            </w:r>
          </w:p>
        </w:tc>
        <w:tc>
          <w:tcPr>
            <w:tcW w:w="0" w:type="auto"/>
            <w:shd w:val="clear" w:color="auto" w:fill="CCEEFF"/>
            <w:tcMar>
              <w:top w:w="30" w:type="dxa"/>
              <w:left w:w="20" w:type="dxa"/>
              <w:bottom w:w="30" w:type="dxa"/>
              <w:right w:w="15" w:type="dxa"/>
            </w:tcMar>
            <w:vAlign w:val="bottom"/>
            <w:hideMark/>
          </w:tcPr>
          <w:p w14:paraId="1B681656" w14:textId="77777777" w:rsidR="00000000" w:rsidRDefault="00195E73">
            <w:pPr>
              <w:rPr>
                <w:rFonts w:eastAsia="Times New Roman"/>
              </w:rPr>
            </w:pPr>
            <w:r>
              <w:rPr>
                <w:rFonts w:eastAsia="Times New Roman"/>
                <w:color w:val="000000"/>
                <w:sz w:val="13"/>
                <w:szCs w:val="13"/>
              </w:rPr>
              <w:t>$</w:t>
            </w:r>
          </w:p>
        </w:tc>
        <w:tc>
          <w:tcPr>
            <w:tcW w:w="0" w:type="auto"/>
            <w:shd w:val="clear" w:color="auto" w:fill="CCEEFF"/>
            <w:tcMar>
              <w:top w:w="30" w:type="dxa"/>
              <w:left w:w="15" w:type="dxa"/>
              <w:bottom w:w="30" w:type="dxa"/>
              <w:right w:w="0" w:type="dxa"/>
            </w:tcMar>
            <w:vAlign w:val="bottom"/>
            <w:hideMark/>
          </w:tcPr>
          <w:p w14:paraId="032DAE6C" w14:textId="77777777" w:rsidR="00000000" w:rsidRDefault="00195E73">
            <w:pPr>
              <w:jc w:val="right"/>
              <w:rPr>
                <w:rFonts w:eastAsia="Times New Roman"/>
              </w:rPr>
            </w:pPr>
            <w:r>
              <w:rPr>
                <w:rFonts w:eastAsia="Times New Roman"/>
                <w:color w:val="000000"/>
                <w:sz w:val="13"/>
                <w:szCs w:val="13"/>
              </w:rPr>
              <w:t>(1,791</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A891C2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490A09D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1286FBD" w14:textId="77777777" w:rsidR="00000000" w:rsidRDefault="00195E73">
            <w:pPr>
              <w:rPr>
                <w:rFonts w:eastAsia="Times New Roman"/>
              </w:rPr>
            </w:pPr>
            <w:r>
              <w:rPr>
                <w:rFonts w:eastAsia="Times New Roman"/>
                <w:color w:val="000000"/>
                <w:sz w:val="13"/>
                <w:szCs w:val="13"/>
              </w:rPr>
              <w:t>$</w:t>
            </w:r>
          </w:p>
        </w:tc>
        <w:tc>
          <w:tcPr>
            <w:tcW w:w="0" w:type="auto"/>
            <w:shd w:val="clear" w:color="auto" w:fill="CCEEFF"/>
            <w:tcMar>
              <w:top w:w="30" w:type="dxa"/>
              <w:left w:w="15" w:type="dxa"/>
              <w:bottom w:w="30" w:type="dxa"/>
              <w:right w:w="0" w:type="dxa"/>
            </w:tcMar>
            <w:vAlign w:val="bottom"/>
            <w:hideMark/>
          </w:tcPr>
          <w:p w14:paraId="27536CC5" w14:textId="77777777" w:rsidR="00000000" w:rsidRDefault="00195E73">
            <w:pPr>
              <w:jc w:val="right"/>
              <w:rPr>
                <w:rFonts w:eastAsia="Times New Roman"/>
              </w:rPr>
            </w:pPr>
            <w:r>
              <w:rPr>
                <w:rFonts w:eastAsia="Times New Roman"/>
                <w:color w:val="000000"/>
                <w:sz w:val="13"/>
                <w:szCs w:val="13"/>
              </w:rPr>
              <w:t>2,001</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4680838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4B41BFB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4646669" w14:textId="77777777" w:rsidR="00000000" w:rsidRDefault="00195E73">
            <w:pPr>
              <w:rPr>
                <w:rFonts w:eastAsia="Times New Roman"/>
              </w:rPr>
            </w:pPr>
            <w:r>
              <w:rPr>
                <w:rFonts w:eastAsia="Times New Roman"/>
                <w:color w:val="000000"/>
                <w:sz w:val="13"/>
                <w:szCs w:val="13"/>
              </w:rPr>
              <w:t>$</w:t>
            </w:r>
          </w:p>
        </w:tc>
        <w:tc>
          <w:tcPr>
            <w:tcW w:w="0" w:type="auto"/>
            <w:shd w:val="clear" w:color="auto" w:fill="CCEEFF"/>
            <w:tcMar>
              <w:top w:w="30" w:type="dxa"/>
              <w:left w:w="15" w:type="dxa"/>
              <w:bottom w:w="30" w:type="dxa"/>
              <w:right w:w="0" w:type="dxa"/>
            </w:tcMar>
            <w:vAlign w:val="bottom"/>
            <w:hideMark/>
          </w:tcPr>
          <w:p w14:paraId="0AB993F4" w14:textId="77777777" w:rsidR="00000000" w:rsidRDefault="00195E73">
            <w:pPr>
              <w:jc w:val="right"/>
              <w:rPr>
                <w:rFonts w:eastAsia="Times New Roman"/>
              </w:rPr>
            </w:pPr>
            <w:r>
              <w:rPr>
                <w:rFonts w:eastAsia="Times New Roman"/>
                <w:color w:val="000000"/>
                <w:sz w:val="13"/>
                <w:szCs w:val="13"/>
              </w:rPr>
              <w:t>2,632</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0C6DA7E6"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5CED521" w14:textId="77777777" w:rsidR="00000000" w:rsidRDefault="00195E73">
            <w:pPr>
              <w:rPr>
                <w:rFonts w:eastAsia="Times New Roman"/>
                <w:sz w:val="20"/>
                <w:szCs w:val="20"/>
              </w:rPr>
            </w:pPr>
          </w:p>
        </w:tc>
        <w:tc>
          <w:tcPr>
            <w:tcW w:w="0" w:type="auto"/>
            <w:vAlign w:val="center"/>
            <w:hideMark/>
          </w:tcPr>
          <w:p w14:paraId="4AD34421" w14:textId="77777777" w:rsidR="00000000" w:rsidRDefault="00195E73">
            <w:pPr>
              <w:rPr>
                <w:rFonts w:eastAsia="Times New Roman"/>
                <w:sz w:val="20"/>
                <w:szCs w:val="20"/>
              </w:rPr>
            </w:pPr>
          </w:p>
        </w:tc>
        <w:tc>
          <w:tcPr>
            <w:tcW w:w="0" w:type="auto"/>
            <w:vAlign w:val="center"/>
            <w:hideMark/>
          </w:tcPr>
          <w:p w14:paraId="25E98A78" w14:textId="77777777" w:rsidR="00000000" w:rsidRDefault="00195E73">
            <w:pPr>
              <w:rPr>
                <w:rFonts w:eastAsia="Times New Roman"/>
                <w:sz w:val="20"/>
                <w:szCs w:val="20"/>
              </w:rPr>
            </w:pPr>
          </w:p>
        </w:tc>
        <w:tc>
          <w:tcPr>
            <w:tcW w:w="0" w:type="auto"/>
            <w:vAlign w:val="center"/>
            <w:hideMark/>
          </w:tcPr>
          <w:p w14:paraId="0B71E754" w14:textId="77777777" w:rsidR="00000000" w:rsidRDefault="00195E73">
            <w:pPr>
              <w:rPr>
                <w:rFonts w:eastAsia="Times New Roman"/>
                <w:sz w:val="20"/>
                <w:szCs w:val="20"/>
              </w:rPr>
            </w:pPr>
          </w:p>
        </w:tc>
        <w:tc>
          <w:tcPr>
            <w:tcW w:w="0" w:type="auto"/>
            <w:vAlign w:val="center"/>
            <w:hideMark/>
          </w:tcPr>
          <w:p w14:paraId="2BC42ACD" w14:textId="77777777" w:rsidR="00000000" w:rsidRDefault="00195E73">
            <w:pPr>
              <w:rPr>
                <w:rFonts w:eastAsia="Times New Roman"/>
                <w:sz w:val="20"/>
                <w:szCs w:val="20"/>
              </w:rPr>
            </w:pPr>
          </w:p>
        </w:tc>
        <w:tc>
          <w:tcPr>
            <w:tcW w:w="0" w:type="auto"/>
            <w:vAlign w:val="center"/>
            <w:hideMark/>
          </w:tcPr>
          <w:p w14:paraId="1FAAD789" w14:textId="77777777" w:rsidR="00000000" w:rsidRDefault="00195E73">
            <w:pPr>
              <w:rPr>
                <w:rFonts w:eastAsia="Times New Roman"/>
                <w:sz w:val="20"/>
                <w:szCs w:val="20"/>
              </w:rPr>
            </w:pPr>
          </w:p>
        </w:tc>
        <w:tc>
          <w:tcPr>
            <w:tcW w:w="0" w:type="auto"/>
            <w:vAlign w:val="center"/>
            <w:hideMark/>
          </w:tcPr>
          <w:p w14:paraId="781B6D2C" w14:textId="77777777" w:rsidR="00000000" w:rsidRDefault="00195E73">
            <w:pPr>
              <w:rPr>
                <w:rFonts w:eastAsia="Times New Roman"/>
                <w:sz w:val="20"/>
                <w:szCs w:val="20"/>
              </w:rPr>
            </w:pPr>
          </w:p>
        </w:tc>
        <w:tc>
          <w:tcPr>
            <w:tcW w:w="0" w:type="auto"/>
            <w:vAlign w:val="center"/>
            <w:hideMark/>
          </w:tcPr>
          <w:p w14:paraId="4F3818FC" w14:textId="77777777" w:rsidR="00000000" w:rsidRDefault="00195E73">
            <w:pPr>
              <w:rPr>
                <w:rFonts w:eastAsia="Times New Roman"/>
                <w:sz w:val="20"/>
                <w:szCs w:val="20"/>
              </w:rPr>
            </w:pPr>
          </w:p>
        </w:tc>
        <w:tc>
          <w:tcPr>
            <w:tcW w:w="0" w:type="auto"/>
            <w:vAlign w:val="center"/>
            <w:hideMark/>
          </w:tcPr>
          <w:p w14:paraId="362359E2" w14:textId="77777777" w:rsidR="00000000" w:rsidRDefault="00195E73">
            <w:pPr>
              <w:rPr>
                <w:rFonts w:eastAsia="Times New Roman"/>
                <w:sz w:val="20"/>
                <w:szCs w:val="20"/>
              </w:rPr>
            </w:pPr>
          </w:p>
        </w:tc>
        <w:tc>
          <w:tcPr>
            <w:tcW w:w="0" w:type="auto"/>
            <w:vAlign w:val="center"/>
            <w:hideMark/>
          </w:tcPr>
          <w:p w14:paraId="053C00E2" w14:textId="77777777" w:rsidR="00000000" w:rsidRDefault="00195E73">
            <w:pPr>
              <w:rPr>
                <w:rFonts w:eastAsia="Times New Roman"/>
                <w:sz w:val="20"/>
                <w:szCs w:val="20"/>
              </w:rPr>
            </w:pPr>
          </w:p>
        </w:tc>
        <w:tc>
          <w:tcPr>
            <w:tcW w:w="0" w:type="auto"/>
            <w:vAlign w:val="center"/>
            <w:hideMark/>
          </w:tcPr>
          <w:p w14:paraId="69FA800B" w14:textId="77777777" w:rsidR="00000000" w:rsidRDefault="00195E73">
            <w:pPr>
              <w:rPr>
                <w:rFonts w:eastAsia="Times New Roman"/>
                <w:sz w:val="20"/>
                <w:szCs w:val="20"/>
              </w:rPr>
            </w:pPr>
          </w:p>
        </w:tc>
        <w:tc>
          <w:tcPr>
            <w:tcW w:w="0" w:type="auto"/>
            <w:vAlign w:val="center"/>
            <w:hideMark/>
          </w:tcPr>
          <w:p w14:paraId="4A0F0AB3" w14:textId="77777777" w:rsidR="00000000" w:rsidRDefault="00195E73">
            <w:pPr>
              <w:rPr>
                <w:rFonts w:eastAsia="Times New Roman"/>
                <w:sz w:val="20"/>
                <w:szCs w:val="20"/>
              </w:rPr>
            </w:pPr>
          </w:p>
        </w:tc>
      </w:tr>
      <w:tr w:rsidR="00000000" w14:paraId="544C9388"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1308640C" w14:textId="77777777" w:rsidR="00000000" w:rsidRDefault="00195E73">
            <w:pPr>
              <w:rPr>
                <w:rFonts w:eastAsia="Times New Roman"/>
              </w:rPr>
            </w:pPr>
            <w:r>
              <w:rPr>
                <w:rFonts w:eastAsia="Times New Roman"/>
                <w:color w:val="000000"/>
                <w:sz w:val="13"/>
                <w:szCs w:val="13"/>
              </w:rPr>
              <w:t>Adjustments to reconcile net (loss) income to net cash (used in) provided by operating activities</w:t>
            </w:r>
            <w:r>
              <w:rPr>
                <w:rFonts w:eastAsia="Times New Roman"/>
                <w:color w:val="000000"/>
                <w:sz w:val="13"/>
                <w:szCs w:val="13"/>
              </w:rPr>
              <w:t>:</w:t>
            </w:r>
          </w:p>
        </w:tc>
        <w:tc>
          <w:tcPr>
            <w:tcW w:w="0" w:type="auto"/>
            <w:gridSpan w:val="3"/>
            <w:shd w:val="clear" w:color="auto" w:fill="FFFFFF"/>
            <w:tcMar>
              <w:top w:w="15" w:type="dxa"/>
              <w:left w:w="20" w:type="dxa"/>
              <w:bottom w:w="15" w:type="dxa"/>
              <w:right w:w="20" w:type="dxa"/>
            </w:tcMar>
            <w:vAlign w:val="bottom"/>
            <w:hideMark/>
          </w:tcPr>
          <w:p w14:paraId="43F2D82E"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565C42E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C7FDB8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016BA8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2FF25D0" w14:textId="77777777" w:rsidR="00000000" w:rsidRDefault="00195E73">
            <w:pPr>
              <w:rPr>
                <w:rFonts w:eastAsia="Times New Roman"/>
                <w:sz w:val="20"/>
                <w:szCs w:val="20"/>
              </w:rPr>
            </w:pPr>
          </w:p>
        </w:tc>
        <w:tc>
          <w:tcPr>
            <w:tcW w:w="0" w:type="auto"/>
            <w:vAlign w:val="center"/>
            <w:hideMark/>
          </w:tcPr>
          <w:p w14:paraId="515A62B2" w14:textId="77777777" w:rsidR="00000000" w:rsidRDefault="00195E73">
            <w:pPr>
              <w:rPr>
                <w:rFonts w:eastAsia="Times New Roman"/>
                <w:sz w:val="20"/>
                <w:szCs w:val="20"/>
              </w:rPr>
            </w:pPr>
          </w:p>
        </w:tc>
        <w:tc>
          <w:tcPr>
            <w:tcW w:w="0" w:type="auto"/>
            <w:vAlign w:val="center"/>
            <w:hideMark/>
          </w:tcPr>
          <w:p w14:paraId="1389211B" w14:textId="77777777" w:rsidR="00000000" w:rsidRDefault="00195E73">
            <w:pPr>
              <w:rPr>
                <w:rFonts w:eastAsia="Times New Roman"/>
                <w:sz w:val="20"/>
                <w:szCs w:val="20"/>
              </w:rPr>
            </w:pPr>
          </w:p>
        </w:tc>
        <w:tc>
          <w:tcPr>
            <w:tcW w:w="0" w:type="auto"/>
            <w:vAlign w:val="center"/>
            <w:hideMark/>
          </w:tcPr>
          <w:p w14:paraId="0EC7C581" w14:textId="77777777" w:rsidR="00000000" w:rsidRDefault="00195E73">
            <w:pPr>
              <w:rPr>
                <w:rFonts w:eastAsia="Times New Roman"/>
                <w:sz w:val="20"/>
                <w:szCs w:val="20"/>
              </w:rPr>
            </w:pPr>
          </w:p>
        </w:tc>
        <w:tc>
          <w:tcPr>
            <w:tcW w:w="0" w:type="auto"/>
            <w:vAlign w:val="center"/>
            <w:hideMark/>
          </w:tcPr>
          <w:p w14:paraId="20F09E49" w14:textId="77777777" w:rsidR="00000000" w:rsidRDefault="00195E73">
            <w:pPr>
              <w:rPr>
                <w:rFonts w:eastAsia="Times New Roman"/>
                <w:sz w:val="20"/>
                <w:szCs w:val="20"/>
              </w:rPr>
            </w:pPr>
          </w:p>
        </w:tc>
        <w:tc>
          <w:tcPr>
            <w:tcW w:w="0" w:type="auto"/>
            <w:vAlign w:val="center"/>
            <w:hideMark/>
          </w:tcPr>
          <w:p w14:paraId="49F527BE" w14:textId="77777777" w:rsidR="00000000" w:rsidRDefault="00195E73">
            <w:pPr>
              <w:rPr>
                <w:rFonts w:eastAsia="Times New Roman"/>
                <w:sz w:val="20"/>
                <w:szCs w:val="20"/>
              </w:rPr>
            </w:pPr>
          </w:p>
        </w:tc>
        <w:tc>
          <w:tcPr>
            <w:tcW w:w="0" w:type="auto"/>
            <w:vAlign w:val="center"/>
            <w:hideMark/>
          </w:tcPr>
          <w:p w14:paraId="5D0279F7" w14:textId="77777777" w:rsidR="00000000" w:rsidRDefault="00195E73">
            <w:pPr>
              <w:rPr>
                <w:rFonts w:eastAsia="Times New Roman"/>
                <w:sz w:val="20"/>
                <w:szCs w:val="20"/>
              </w:rPr>
            </w:pPr>
          </w:p>
        </w:tc>
        <w:tc>
          <w:tcPr>
            <w:tcW w:w="0" w:type="auto"/>
            <w:vAlign w:val="center"/>
            <w:hideMark/>
          </w:tcPr>
          <w:p w14:paraId="430DDFAF" w14:textId="77777777" w:rsidR="00000000" w:rsidRDefault="00195E73">
            <w:pPr>
              <w:rPr>
                <w:rFonts w:eastAsia="Times New Roman"/>
                <w:sz w:val="20"/>
                <w:szCs w:val="20"/>
              </w:rPr>
            </w:pPr>
          </w:p>
        </w:tc>
        <w:tc>
          <w:tcPr>
            <w:tcW w:w="0" w:type="auto"/>
            <w:vAlign w:val="center"/>
            <w:hideMark/>
          </w:tcPr>
          <w:p w14:paraId="064B0615" w14:textId="77777777" w:rsidR="00000000" w:rsidRDefault="00195E73">
            <w:pPr>
              <w:rPr>
                <w:rFonts w:eastAsia="Times New Roman"/>
                <w:sz w:val="20"/>
                <w:szCs w:val="20"/>
              </w:rPr>
            </w:pPr>
          </w:p>
        </w:tc>
        <w:tc>
          <w:tcPr>
            <w:tcW w:w="0" w:type="auto"/>
            <w:vAlign w:val="center"/>
            <w:hideMark/>
          </w:tcPr>
          <w:p w14:paraId="07350E60" w14:textId="77777777" w:rsidR="00000000" w:rsidRDefault="00195E73">
            <w:pPr>
              <w:rPr>
                <w:rFonts w:eastAsia="Times New Roman"/>
                <w:sz w:val="20"/>
                <w:szCs w:val="20"/>
              </w:rPr>
            </w:pPr>
          </w:p>
        </w:tc>
        <w:tc>
          <w:tcPr>
            <w:tcW w:w="0" w:type="auto"/>
            <w:vAlign w:val="center"/>
            <w:hideMark/>
          </w:tcPr>
          <w:p w14:paraId="19753BF0" w14:textId="77777777" w:rsidR="00000000" w:rsidRDefault="00195E73">
            <w:pPr>
              <w:rPr>
                <w:rFonts w:eastAsia="Times New Roman"/>
                <w:sz w:val="20"/>
                <w:szCs w:val="20"/>
              </w:rPr>
            </w:pPr>
          </w:p>
        </w:tc>
        <w:tc>
          <w:tcPr>
            <w:tcW w:w="0" w:type="auto"/>
            <w:vAlign w:val="center"/>
            <w:hideMark/>
          </w:tcPr>
          <w:p w14:paraId="41892F78" w14:textId="77777777" w:rsidR="00000000" w:rsidRDefault="00195E73">
            <w:pPr>
              <w:rPr>
                <w:rFonts w:eastAsia="Times New Roman"/>
                <w:sz w:val="20"/>
                <w:szCs w:val="20"/>
              </w:rPr>
            </w:pPr>
          </w:p>
        </w:tc>
        <w:tc>
          <w:tcPr>
            <w:tcW w:w="0" w:type="auto"/>
            <w:vAlign w:val="center"/>
            <w:hideMark/>
          </w:tcPr>
          <w:p w14:paraId="46EEDACC" w14:textId="77777777" w:rsidR="00000000" w:rsidRDefault="00195E73">
            <w:pPr>
              <w:rPr>
                <w:rFonts w:eastAsia="Times New Roman"/>
                <w:sz w:val="20"/>
                <w:szCs w:val="20"/>
              </w:rPr>
            </w:pPr>
          </w:p>
        </w:tc>
      </w:tr>
      <w:tr w:rsidR="00000000" w14:paraId="44F931EF"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18C4B6EE" w14:textId="77777777" w:rsidR="00000000" w:rsidRDefault="00195E73">
            <w:pPr>
              <w:rPr>
                <w:rFonts w:eastAsia="Times New Roman"/>
              </w:rPr>
            </w:pPr>
            <w:r>
              <w:rPr>
                <w:rFonts w:eastAsia="Times New Roman"/>
                <w:color w:val="000000"/>
                <w:sz w:val="13"/>
                <w:szCs w:val="13"/>
              </w:rPr>
              <w:t>   Loss (income) from discontinued operation</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4DAA78DD" w14:textId="77777777" w:rsidR="00000000" w:rsidRDefault="00195E73">
            <w:pPr>
              <w:jc w:val="right"/>
              <w:rPr>
                <w:rFonts w:eastAsia="Times New Roman"/>
              </w:rPr>
            </w:pPr>
            <w:r>
              <w:rPr>
                <w:rFonts w:eastAsia="Times New Roman"/>
                <w:color w:val="000000"/>
                <w:sz w:val="13"/>
                <w:szCs w:val="13"/>
              </w:rPr>
              <w:t>32</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1FEB9D2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2CF916C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EC4EF9" w14:textId="77777777" w:rsidR="00000000" w:rsidRDefault="00195E73">
            <w:pPr>
              <w:jc w:val="right"/>
              <w:rPr>
                <w:rFonts w:eastAsia="Times New Roman"/>
              </w:rPr>
            </w:pPr>
            <w:r>
              <w:rPr>
                <w:rFonts w:eastAsia="Times New Roman"/>
                <w:color w:val="000000"/>
                <w:sz w:val="13"/>
                <w:szCs w:val="13"/>
              </w:rPr>
              <w:t>(1,764</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69E8F83"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BF43B2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8F1C18" w14:textId="77777777" w:rsidR="00000000" w:rsidRDefault="00195E73">
            <w:pPr>
              <w:jc w:val="right"/>
              <w:rPr>
                <w:rFonts w:eastAsia="Times New Roman"/>
              </w:rPr>
            </w:pPr>
            <w:r>
              <w:rPr>
                <w:rFonts w:eastAsia="Times New Roman"/>
                <w:color w:val="000000"/>
                <w:sz w:val="13"/>
                <w:szCs w:val="13"/>
              </w:rPr>
              <w:t>(234</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14358A08"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4FD090E" w14:textId="77777777" w:rsidR="00000000" w:rsidRDefault="00195E73">
            <w:pPr>
              <w:rPr>
                <w:rFonts w:eastAsia="Times New Roman"/>
                <w:sz w:val="20"/>
                <w:szCs w:val="20"/>
              </w:rPr>
            </w:pPr>
          </w:p>
        </w:tc>
        <w:tc>
          <w:tcPr>
            <w:tcW w:w="0" w:type="auto"/>
            <w:vAlign w:val="center"/>
            <w:hideMark/>
          </w:tcPr>
          <w:p w14:paraId="5A51481C" w14:textId="77777777" w:rsidR="00000000" w:rsidRDefault="00195E73">
            <w:pPr>
              <w:rPr>
                <w:rFonts w:eastAsia="Times New Roman"/>
                <w:sz w:val="20"/>
                <w:szCs w:val="20"/>
              </w:rPr>
            </w:pPr>
          </w:p>
        </w:tc>
        <w:tc>
          <w:tcPr>
            <w:tcW w:w="0" w:type="auto"/>
            <w:vAlign w:val="center"/>
            <w:hideMark/>
          </w:tcPr>
          <w:p w14:paraId="7B4834D5" w14:textId="77777777" w:rsidR="00000000" w:rsidRDefault="00195E73">
            <w:pPr>
              <w:rPr>
                <w:rFonts w:eastAsia="Times New Roman"/>
                <w:sz w:val="20"/>
                <w:szCs w:val="20"/>
              </w:rPr>
            </w:pPr>
          </w:p>
        </w:tc>
        <w:tc>
          <w:tcPr>
            <w:tcW w:w="0" w:type="auto"/>
            <w:vAlign w:val="center"/>
            <w:hideMark/>
          </w:tcPr>
          <w:p w14:paraId="1C1FC757" w14:textId="77777777" w:rsidR="00000000" w:rsidRDefault="00195E73">
            <w:pPr>
              <w:rPr>
                <w:rFonts w:eastAsia="Times New Roman"/>
                <w:sz w:val="20"/>
                <w:szCs w:val="20"/>
              </w:rPr>
            </w:pPr>
          </w:p>
        </w:tc>
        <w:tc>
          <w:tcPr>
            <w:tcW w:w="0" w:type="auto"/>
            <w:vAlign w:val="center"/>
            <w:hideMark/>
          </w:tcPr>
          <w:p w14:paraId="0A2F271B" w14:textId="77777777" w:rsidR="00000000" w:rsidRDefault="00195E73">
            <w:pPr>
              <w:rPr>
                <w:rFonts w:eastAsia="Times New Roman"/>
                <w:sz w:val="20"/>
                <w:szCs w:val="20"/>
              </w:rPr>
            </w:pPr>
          </w:p>
        </w:tc>
        <w:tc>
          <w:tcPr>
            <w:tcW w:w="0" w:type="auto"/>
            <w:vAlign w:val="center"/>
            <w:hideMark/>
          </w:tcPr>
          <w:p w14:paraId="4DFBE9C2" w14:textId="77777777" w:rsidR="00000000" w:rsidRDefault="00195E73">
            <w:pPr>
              <w:rPr>
                <w:rFonts w:eastAsia="Times New Roman"/>
                <w:sz w:val="20"/>
                <w:szCs w:val="20"/>
              </w:rPr>
            </w:pPr>
          </w:p>
        </w:tc>
        <w:tc>
          <w:tcPr>
            <w:tcW w:w="0" w:type="auto"/>
            <w:vAlign w:val="center"/>
            <w:hideMark/>
          </w:tcPr>
          <w:p w14:paraId="5443A519" w14:textId="77777777" w:rsidR="00000000" w:rsidRDefault="00195E73">
            <w:pPr>
              <w:rPr>
                <w:rFonts w:eastAsia="Times New Roman"/>
                <w:sz w:val="20"/>
                <w:szCs w:val="20"/>
              </w:rPr>
            </w:pPr>
          </w:p>
        </w:tc>
        <w:tc>
          <w:tcPr>
            <w:tcW w:w="0" w:type="auto"/>
            <w:vAlign w:val="center"/>
            <w:hideMark/>
          </w:tcPr>
          <w:p w14:paraId="42217FF5" w14:textId="77777777" w:rsidR="00000000" w:rsidRDefault="00195E73">
            <w:pPr>
              <w:rPr>
                <w:rFonts w:eastAsia="Times New Roman"/>
                <w:sz w:val="20"/>
                <w:szCs w:val="20"/>
              </w:rPr>
            </w:pPr>
          </w:p>
        </w:tc>
        <w:tc>
          <w:tcPr>
            <w:tcW w:w="0" w:type="auto"/>
            <w:vAlign w:val="center"/>
            <w:hideMark/>
          </w:tcPr>
          <w:p w14:paraId="1A36A59C" w14:textId="77777777" w:rsidR="00000000" w:rsidRDefault="00195E73">
            <w:pPr>
              <w:rPr>
                <w:rFonts w:eastAsia="Times New Roman"/>
                <w:sz w:val="20"/>
                <w:szCs w:val="20"/>
              </w:rPr>
            </w:pPr>
          </w:p>
        </w:tc>
        <w:tc>
          <w:tcPr>
            <w:tcW w:w="0" w:type="auto"/>
            <w:vAlign w:val="center"/>
            <w:hideMark/>
          </w:tcPr>
          <w:p w14:paraId="3D7C0FB7" w14:textId="77777777" w:rsidR="00000000" w:rsidRDefault="00195E73">
            <w:pPr>
              <w:rPr>
                <w:rFonts w:eastAsia="Times New Roman"/>
                <w:sz w:val="20"/>
                <w:szCs w:val="20"/>
              </w:rPr>
            </w:pPr>
          </w:p>
        </w:tc>
        <w:tc>
          <w:tcPr>
            <w:tcW w:w="0" w:type="auto"/>
            <w:vAlign w:val="center"/>
            <w:hideMark/>
          </w:tcPr>
          <w:p w14:paraId="5B73A23D" w14:textId="77777777" w:rsidR="00000000" w:rsidRDefault="00195E73">
            <w:pPr>
              <w:rPr>
                <w:rFonts w:eastAsia="Times New Roman"/>
                <w:sz w:val="20"/>
                <w:szCs w:val="20"/>
              </w:rPr>
            </w:pPr>
          </w:p>
        </w:tc>
        <w:tc>
          <w:tcPr>
            <w:tcW w:w="0" w:type="auto"/>
            <w:vAlign w:val="center"/>
            <w:hideMark/>
          </w:tcPr>
          <w:p w14:paraId="7E23F84A" w14:textId="77777777" w:rsidR="00000000" w:rsidRDefault="00195E73">
            <w:pPr>
              <w:rPr>
                <w:rFonts w:eastAsia="Times New Roman"/>
                <w:sz w:val="20"/>
                <w:szCs w:val="20"/>
              </w:rPr>
            </w:pPr>
          </w:p>
        </w:tc>
      </w:tr>
      <w:tr w:rsidR="00000000" w14:paraId="25B22D6B" w14:textId="77777777">
        <w:trPr>
          <w:divId w:val="1553998752"/>
          <w:jc w:val="center"/>
        </w:trPr>
        <w:tc>
          <w:tcPr>
            <w:tcW w:w="0" w:type="auto"/>
            <w:gridSpan w:val="3"/>
            <w:shd w:val="clear" w:color="auto" w:fill="FFFFFF"/>
            <w:tcMar>
              <w:top w:w="30" w:type="dxa"/>
              <w:left w:w="90" w:type="dxa"/>
              <w:bottom w:w="30" w:type="dxa"/>
              <w:right w:w="20" w:type="dxa"/>
            </w:tcMar>
            <w:vAlign w:val="bottom"/>
            <w:hideMark/>
          </w:tcPr>
          <w:p w14:paraId="26FD6BD4" w14:textId="77777777" w:rsidR="00000000" w:rsidRDefault="00195E73">
            <w:pPr>
              <w:rPr>
                <w:rFonts w:eastAsia="Times New Roman"/>
              </w:rPr>
            </w:pPr>
            <w:r>
              <w:rPr>
                <w:rFonts w:eastAsia="Times New Roman"/>
                <w:color w:val="000000"/>
                <w:sz w:val="13"/>
                <w:szCs w:val="13"/>
              </w:rPr>
              <w:t>Net (gain) loss from securities transaction</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631E5ADC" w14:textId="77777777" w:rsidR="00000000" w:rsidRDefault="00195E73">
            <w:pPr>
              <w:jc w:val="right"/>
              <w:rPr>
                <w:rFonts w:eastAsia="Times New Roman"/>
              </w:rPr>
            </w:pPr>
            <w:r>
              <w:rPr>
                <w:rFonts w:eastAsia="Times New Roman"/>
                <w:color w:val="000000"/>
                <w:sz w:val="13"/>
                <w:szCs w:val="13"/>
              </w:rPr>
              <w:t>(570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1E90A8A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EA1E1E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637A30" w14:textId="77777777" w:rsidR="00000000" w:rsidRDefault="00195E73">
            <w:pPr>
              <w:jc w:val="right"/>
              <w:rPr>
                <w:rFonts w:eastAsia="Times New Roman"/>
              </w:rPr>
            </w:pPr>
            <w:r>
              <w:rPr>
                <w:rFonts w:eastAsia="Times New Roman"/>
                <w:color w:val="000000"/>
                <w:sz w:val="13"/>
                <w:szCs w:val="13"/>
              </w:rPr>
              <w:t>476</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6A534A2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8513F7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FBBA7F" w14:textId="77777777" w:rsidR="00000000" w:rsidRDefault="00195E73">
            <w:pPr>
              <w:jc w:val="right"/>
              <w:rPr>
                <w:rFonts w:eastAsia="Times New Roman"/>
              </w:rPr>
            </w:pPr>
            <w:r>
              <w:rPr>
                <w:rFonts w:eastAsia="Times New Roman"/>
                <w:color w:val="000000"/>
                <w:sz w:val="13"/>
                <w:szCs w:val="13"/>
              </w:rPr>
              <w:t>(2,273</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772EA247"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3147FA5" w14:textId="77777777" w:rsidR="00000000" w:rsidRDefault="00195E73">
            <w:pPr>
              <w:rPr>
                <w:rFonts w:eastAsia="Times New Roman"/>
                <w:sz w:val="20"/>
                <w:szCs w:val="20"/>
              </w:rPr>
            </w:pPr>
          </w:p>
        </w:tc>
        <w:tc>
          <w:tcPr>
            <w:tcW w:w="0" w:type="auto"/>
            <w:vAlign w:val="center"/>
            <w:hideMark/>
          </w:tcPr>
          <w:p w14:paraId="5471AE8A" w14:textId="77777777" w:rsidR="00000000" w:rsidRDefault="00195E73">
            <w:pPr>
              <w:rPr>
                <w:rFonts w:eastAsia="Times New Roman"/>
                <w:sz w:val="20"/>
                <w:szCs w:val="20"/>
              </w:rPr>
            </w:pPr>
          </w:p>
        </w:tc>
        <w:tc>
          <w:tcPr>
            <w:tcW w:w="0" w:type="auto"/>
            <w:vAlign w:val="center"/>
            <w:hideMark/>
          </w:tcPr>
          <w:p w14:paraId="2841B68E" w14:textId="77777777" w:rsidR="00000000" w:rsidRDefault="00195E73">
            <w:pPr>
              <w:rPr>
                <w:rFonts w:eastAsia="Times New Roman"/>
                <w:sz w:val="20"/>
                <w:szCs w:val="20"/>
              </w:rPr>
            </w:pPr>
          </w:p>
        </w:tc>
        <w:tc>
          <w:tcPr>
            <w:tcW w:w="0" w:type="auto"/>
            <w:vAlign w:val="center"/>
            <w:hideMark/>
          </w:tcPr>
          <w:p w14:paraId="7C0537EE" w14:textId="77777777" w:rsidR="00000000" w:rsidRDefault="00195E73">
            <w:pPr>
              <w:rPr>
                <w:rFonts w:eastAsia="Times New Roman"/>
                <w:sz w:val="20"/>
                <w:szCs w:val="20"/>
              </w:rPr>
            </w:pPr>
          </w:p>
        </w:tc>
        <w:tc>
          <w:tcPr>
            <w:tcW w:w="0" w:type="auto"/>
            <w:vAlign w:val="center"/>
            <w:hideMark/>
          </w:tcPr>
          <w:p w14:paraId="6F3F9733" w14:textId="77777777" w:rsidR="00000000" w:rsidRDefault="00195E73">
            <w:pPr>
              <w:rPr>
                <w:rFonts w:eastAsia="Times New Roman"/>
                <w:sz w:val="20"/>
                <w:szCs w:val="20"/>
              </w:rPr>
            </w:pPr>
          </w:p>
        </w:tc>
        <w:tc>
          <w:tcPr>
            <w:tcW w:w="0" w:type="auto"/>
            <w:vAlign w:val="center"/>
            <w:hideMark/>
          </w:tcPr>
          <w:p w14:paraId="75987589" w14:textId="77777777" w:rsidR="00000000" w:rsidRDefault="00195E73">
            <w:pPr>
              <w:rPr>
                <w:rFonts w:eastAsia="Times New Roman"/>
                <w:sz w:val="20"/>
                <w:szCs w:val="20"/>
              </w:rPr>
            </w:pPr>
          </w:p>
        </w:tc>
        <w:tc>
          <w:tcPr>
            <w:tcW w:w="0" w:type="auto"/>
            <w:vAlign w:val="center"/>
            <w:hideMark/>
          </w:tcPr>
          <w:p w14:paraId="74E20C44" w14:textId="77777777" w:rsidR="00000000" w:rsidRDefault="00195E73">
            <w:pPr>
              <w:rPr>
                <w:rFonts w:eastAsia="Times New Roman"/>
                <w:sz w:val="20"/>
                <w:szCs w:val="20"/>
              </w:rPr>
            </w:pPr>
          </w:p>
        </w:tc>
        <w:tc>
          <w:tcPr>
            <w:tcW w:w="0" w:type="auto"/>
            <w:vAlign w:val="center"/>
            <w:hideMark/>
          </w:tcPr>
          <w:p w14:paraId="1EFD8484" w14:textId="77777777" w:rsidR="00000000" w:rsidRDefault="00195E73">
            <w:pPr>
              <w:rPr>
                <w:rFonts w:eastAsia="Times New Roman"/>
                <w:sz w:val="20"/>
                <w:szCs w:val="20"/>
              </w:rPr>
            </w:pPr>
          </w:p>
        </w:tc>
        <w:tc>
          <w:tcPr>
            <w:tcW w:w="0" w:type="auto"/>
            <w:vAlign w:val="center"/>
            <w:hideMark/>
          </w:tcPr>
          <w:p w14:paraId="7ED18082" w14:textId="77777777" w:rsidR="00000000" w:rsidRDefault="00195E73">
            <w:pPr>
              <w:rPr>
                <w:rFonts w:eastAsia="Times New Roman"/>
                <w:sz w:val="20"/>
                <w:szCs w:val="20"/>
              </w:rPr>
            </w:pPr>
          </w:p>
        </w:tc>
        <w:tc>
          <w:tcPr>
            <w:tcW w:w="0" w:type="auto"/>
            <w:vAlign w:val="center"/>
            <w:hideMark/>
          </w:tcPr>
          <w:p w14:paraId="463C0325" w14:textId="77777777" w:rsidR="00000000" w:rsidRDefault="00195E73">
            <w:pPr>
              <w:rPr>
                <w:rFonts w:eastAsia="Times New Roman"/>
                <w:sz w:val="20"/>
                <w:szCs w:val="20"/>
              </w:rPr>
            </w:pPr>
          </w:p>
        </w:tc>
        <w:tc>
          <w:tcPr>
            <w:tcW w:w="0" w:type="auto"/>
            <w:vAlign w:val="center"/>
            <w:hideMark/>
          </w:tcPr>
          <w:p w14:paraId="07518F77" w14:textId="77777777" w:rsidR="00000000" w:rsidRDefault="00195E73">
            <w:pPr>
              <w:rPr>
                <w:rFonts w:eastAsia="Times New Roman"/>
                <w:sz w:val="20"/>
                <w:szCs w:val="20"/>
              </w:rPr>
            </w:pPr>
          </w:p>
        </w:tc>
        <w:tc>
          <w:tcPr>
            <w:tcW w:w="0" w:type="auto"/>
            <w:vAlign w:val="center"/>
            <w:hideMark/>
          </w:tcPr>
          <w:p w14:paraId="5EF986B8" w14:textId="77777777" w:rsidR="00000000" w:rsidRDefault="00195E73">
            <w:pPr>
              <w:rPr>
                <w:rFonts w:eastAsia="Times New Roman"/>
                <w:sz w:val="20"/>
                <w:szCs w:val="20"/>
              </w:rPr>
            </w:pPr>
          </w:p>
        </w:tc>
      </w:tr>
      <w:tr w:rsidR="00000000" w14:paraId="2D3CE09D"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3F851CEA" w14:textId="77777777" w:rsidR="00000000" w:rsidRDefault="00195E73">
            <w:pPr>
              <w:ind w:firstLine="90"/>
              <w:divId w:val="446579413"/>
              <w:rPr>
                <w:rFonts w:eastAsia="Times New Roman"/>
              </w:rPr>
            </w:pPr>
            <w:r>
              <w:rPr>
                <w:rFonts w:eastAsia="Times New Roman"/>
                <w:color w:val="000000"/>
                <w:sz w:val="13"/>
                <w:szCs w:val="13"/>
              </w:rPr>
              <w:t>Purchases of securitie</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70B31BF0" w14:textId="77777777" w:rsidR="00000000" w:rsidRDefault="00195E73">
            <w:pPr>
              <w:jc w:val="right"/>
              <w:rPr>
                <w:rFonts w:eastAsia="Times New Roman"/>
              </w:rPr>
            </w:pPr>
            <w:r>
              <w:rPr>
                <w:rFonts w:eastAsia="Times New Roman"/>
                <w:color w:val="000000"/>
                <w:sz w:val="13"/>
                <w:szCs w:val="13"/>
              </w:rPr>
              <w:t>(4,948</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2243CBB6"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1DEAD2F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AC435E" w14:textId="77777777" w:rsidR="00000000" w:rsidRDefault="00195E73">
            <w:pPr>
              <w:jc w:val="right"/>
              <w:rPr>
                <w:rFonts w:eastAsia="Times New Roman"/>
              </w:rPr>
            </w:pPr>
            <w:r>
              <w:rPr>
                <w:rFonts w:eastAsia="Times New Roman"/>
                <w:color w:val="000000"/>
                <w:sz w:val="13"/>
                <w:szCs w:val="13"/>
              </w:rPr>
              <w:t>(4,810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6FA14DB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1A2FDDF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624CAE" w14:textId="77777777" w:rsidR="00000000" w:rsidRDefault="00195E73">
            <w:pPr>
              <w:jc w:val="right"/>
              <w:rPr>
                <w:rFonts w:eastAsia="Times New Roman"/>
              </w:rPr>
            </w:pPr>
            <w:r>
              <w:rPr>
                <w:rFonts w:eastAsia="Times New Roman"/>
                <w:color w:val="000000"/>
                <w:sz w:val="13"/>
                <w:szCs w:val="13"/>
              </w:rPr>
              <w:t>(781</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B2478CB"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113AC576" w14:textId="77777777" w:rsidR="00000000" w:rsidRDefault="00195E73">
            <w:pPr>
              <w:rPr>
                <w:rFonts w:eastAsia="Times New Roman"/>
                <w:sz w:val="20"/>
                <w:szCs w:val="20"/>
              </w:rPr>
            </w:pPr>
          </w:p>
        </w:tc>
        <w:tc>
          <w:tcPr>
            <w:tcW w:w="0" w:type="auto"/>
            <w:vAlign w:val="center"/>
            <w:hideMark/>
          </w:tcPr>
          <w:p w14:paraId="16B5FECF" w14:textId="77777777" w:rsidR="00000000" w:rsidRDefault="00195E73">
            <w:pPr>
              <w:rPr>
                <w:rFonts w:eastAsia="Times New Roman"/>
                <w:sz w:val="20"/>
                <w:szCs w:val="20"/>
              </w:rPr>
            </w:pPr>
          </w:p>
        </w:tc>
        <w:tc>
          <w:tcPr>
            <w:tcW w:w="0" w:type="auto"/>
            <w:vAlign w:val="center"/>
            <w:hideMark/>
          </w:tcPr>
          <w:p w14:paraId="5EFD14DA" w14:textId="77777777" w:rsidR="00000000" w:rsidRDefault="00195E73">
            <w:pPr>
              <w:rPr>
                <w:rFonts w:eastAsia="Times New Roman"/>
                <w:sz w:val="20"/>
                <w:szCs w:val="20"/>
              </w:rPr>
            </w:pPr>
          </w:p>
        </w:tc>
        <w:tc>
          <w:tcPr>
            <w:tcW w:w="0" w:type="auto"/>
            <w:vAlign w:val="center"/>
            <w:hideMark/>
          </w:tcPr>
          <w:p w14:paraId="2E15DE3E" w14:textId="77777777" w:rsidR="00000000" w:rsidRDefault="00195E73">
            <w:pPr>
              <w:rPr>
                <w:rFonts w:eastAsia="Times New Roman"/>
                <w:sz w:val="20"/>
                <w:szCs w:val="20"/>
              </w:rPr>
            </w:pPr>
          </w:p>
        </w:tc>
        <w:tc>
          <w:tcPr>
            <w:tcW w:w="0" w:type="auto"/>
            <w:vAlign w:val="center"/>
            <w:hideMark/>
          </w:tcPr>
          <w:p w14:paraId="17FBAB58" w14:textId="77777777" w:rsidR="00000000" w:rsidRDefault="00195E73">
            <w:pPr>
              <w:rPr>
                <w:rFonts w:eastAsia="Times New Roman"/>
                <w:sz w:val="20"/>
                <w:szCs w:val="20"/>
              </w:rPr>
            </w:pPr>
          </w:p>
        </w:tc>
        <w:tc>
          <w:tcPr>
            <w:tcW w:w="0" w:type="auto"/>
            <w:vAlign w:val="center"/>
            <w:hideMark/>
          </w:tcPr>
          <w:p w14:paraId="2CE91900" w14:textId="77777777" w:rsidR="00000000" w:rsidRDefault="00195E73">
            <w:pPr>
              <w:rPr>
                <w:rFonts w:eastAsia="Times New Roman"/>
                <w:sz w:val="20"/>
                <w:szCs w:val="20"/>
              </w:rPr>
            </w:pPr>
          </w:p>
        </w:tc>
        <w:tc>
          <w:tcPr>
            <w:tcW w:w="0" w:type="auto"/>
            <w:vAlign w:val="center"/>
            <w:hideMark/>
          </w:tcPr>
          <w:p w14:paraId="0570DA2A" w14:textId="77777777" w:rsidR="00000000" w:rsidRDefault="00195E73">
            <w:pPr>
              <w:rPr>
                <w:rFonts w:eastAsia="Times New Roman"/>
                <w:sz w:val="20"/>
                <w:szCs w:val="20"/>
              </w:rPr>
            </w:pPr>
          </w:p>
        </w:tc>
        <w:tc>
          <w:tcPr>
            <w:tcW w:w="0" w:type="auto"/>
            <w:vAlign w:val="center"/>
            <w:hideMark/>
          </w:tcPr>
          <w:p w14:paraId="556E2378" w14:textId="77777777" w:rsidR="00000000" w:rsidRDefault="00195E73">
            <w:pPr>
              <w:rPr>
                <w:rFonts w:eastAsia="Times New Roman"/>
                <w:sz w:val="20"/>
                <w:szCs w:val="20"/>
              </w:rPr>
            </w:pPr>
          </w:p>
        </w:tc>
        <w:tc>
          <w:tcPr>
            <w:tcW w:w="0" w:type="auto"/>
            <w:vAlign w:val="center"/>
            <w:hideMark/>
          </w:tcPr>
          <w:p w14:paraId="7D53A4DB" w14:textId="77777777" w:rsidR="00000000" w:rsidRDefault="00195E73">
            <w:pPr>
              <w:rPr>
                <w:rFonts w:eastAsia="Times New Roman"/>
                <w:sz w:val="20"/>
                <w:szCs w:val="20"/>
              </w:rPr>
            </w:pPr>
          </w:p>
        </w:tc>
        <w:tc>
          <w:tcPr>
            <w:tcW w:w="0" w:type="auto"/>
            <w:vAlign w:val="center"/>
            <w:hideMark/>
          </w:tcPr>
          <w:p w14:paraId="0CE865D7" w14:textId="77777777" w:rsidR="00000000" w:rsidRDefault="00195E73">
            <w:pPr>
              <w:rPr>
                <w:rFonts w:eastAsia="Times New Roman"/>
                <w:sz w:val="20"/>
                <w:szCs w:val="20"/>
              </w:rPr>
            </w:pPr>
          </w:p>
        </w:tc>
        <w:tc>
          <w:tcPr>
            <w:tcW w:w="0" w:type="auto"/>
            <w:vAlign w:val="center"/>
            <w:hideMark/>
          </w:tcPr>
          <w:p w14:paraId="4A979B62" w14:textId="77777777" w:rsidR="00000000" w:rsidRDefault="00195E73">
            <w:pPr>
              <w:rPr>
                <w:rFonts w:eastAsia="Times New Roman"/>
                <w:sz w:val="20"/>
                <w:szCs w:val="20"/>
              </w:rPr>
            </w:pPr>
          </w:p>
        </w:tc>
        <w:tc>
          <w:tcPr>
            <w:tcW w:w="0" w:type="auto"/>
            <w:vAlign w:val="center"/>
            <w:hideMark/>
          </w:tcPr>
          <w:p w14:paraId="3530D3DF" w14:textId="77777777" w:rsidR="00000000" w:rsidRDefault="00195E73">
            <w:pPr>
              <w:rPr>
                <w:rFonts w:eastAsia="Times New Roman"/>
                <w:sz w:val="20"/>
                <w:szCs w:val="20"/>
              </w:rPr>
            </w:pPr>
          </w:p>
        </w:tc>
      </w:tr>
      <w:tr w:rsidR="00000000" w14:paraId="4A352B60" w14:textId="77777777">
        <w:trPr>
          <w:divId w:val="1553998752"/>
          <w:jc w:val="center"/>
        </w:trPr>
        <w:tc>
          <w:tcPr>
            <w:tcW w:w="0" w:type="auto"/>
            <w:gridSpan w:val="3"/>
            <w:shd w:val="clear" w:color="auto" w:fill="FFFFFF"/>
            <w:tcMar>
              <w:top w:w="30" w:type="dxa"/>
              <w:left w:w="90" w:type="dxa"/>
              <w:bottom w:w="30" w:type="dxa"/>
              <w:right w:w="20" w:type="dxa"/>
            </w:tcMar>
            <w:vAlign w:val="bottom"/>
            <w:hideMark/>
          </w:tcPr>
          <w:p w14:paraId="1381AF45" w14:textId="77777777" w:rsidR="00000000" w:rsidRDefault="00195E73">
            <w:pPr>
              <w:rPr>
                <w:rFonts w:eastAsia="Times New Roman"/>
              </w:rPr>
            </w:pPr>
            <w:r>
              <w:rPr>
                <w:rFonts w:eastAsia="Times New Roman"/>
                <w:color w:val="000000"/>
                <w:sz w:val="13"/>
                <w:szCs w:val="13"/>
              </w:rPr>
              <w:t>Proceeds from sales of securitie</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712DA170" w14:textId="77777777" w:rsidR="00000000" w:rsidRDefault="00195E73">
            <w:pPr>
              <w:jc w:val="right"/>
              <w:rPr>
                <w:rFonts w:eastAsia="Times New Roman"/>
              </w:rPr>
            </w:pPr>
            <w:r>
              <w:rPr>
                <w:rFonts w:eastAsia="Times New Roman"/>
                <w:color w:val="000000"/>
                <w:sz w:val="13"/>
                <w:szCs w:val="13"/>
              </w:rPr>
              <w:t>3,648</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7E97287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7F7607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3CF1AD" w14:textId="77777777" w:rsidR="00000000" w:rsidRDefault="00195E73">
            <w:pPr>
              <w:jc w:val="right"/>
              <w:rPr>
                <w:rFonts w:eastAsia="Times New Roman"/>
              </w:rPr>
            </w:pPr>
            <w:r>
              <w:rPr>
                <w:rFonts w:eastAsia="Times New Roman"/>
                <w:color w:val="000000"/>
                <w:sz w:val="13"/>
                <w:szCs w:val="13"/>
              </w:rPr>
              <w:t>6,763</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15104D05"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D67841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4461CA" w14:textId="77777777" w:rsidR="00000000" w:rsidRDefault="00195E73">
            <w:pPr>
              <w:jc w:val="right"/>
              <w:rPr>
                <w:rFonts w:eastAsia="Times New Roman"/>
              </w:rPr>
            </w:pPr>
            <w:r>
              <w:rPr>
                <w:rFonts w:eastAsia="Times New Roman"/>
                <w:color w:val="000000"/>
                <w:sz w:val="13"/>
                <w:szCs w:val="13"/>
              </w:rPr>
              <w:t>2,413</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15687BFF"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469919E" w14:textId="77777777" w:rsidR="00000000" w:rsidRDefault="00195E73">
            <w:pPr>
              <w:rPr>
                <w:rFonts w:eastAsia="Times New Roman"/>
                <w:sz w:val="20"/>
                <w:szCs w:val="20"/>
              </w:rPr>
            </w:pPr>
          </w:p>
        </w:tc>
        <w:tc>
          <w:tcPr>
            <w:tcW w:w="0" w:type="auto"/>
            <w:vAlign w:val="center"/>
            <w:hideMark/>
          </w:tcPr>
          <w:p w14:paraId="41044C24" w14:textId="77777777" w:rsidR="00000000" w:rsidRDefault="00195E73">
            <w:pPr>
              <w:rPr>
                <w:rFonts w:eastAsia="Times New Roman"/>
                <w:sz w:val="20"/>
                <w:szCs w:val="20"/>
              </w:rPr>
            </w:pPr>
          </w:p>
        </w:tc>
        <w:tc>
          <w:tcPr>
            <w:tcW w:w="0" w:type="auto"/>
            <w:vAlign w:val="center"/>
            <w:hideMark/>
          </w:tcPr>
          <w:p w14:paraId="5CE9D093" w14:textId="77777777" w:rsidR="00000000" w:rsidRDefault="00195E73">
            <w:pPr>
              <w:rPr>
                <w:rFonts w:eastAsia="Times New Roman"/>
                <w:sz w:val="20"/>
                <w:szCs w:val="20"/>
              </w:rPr>
            </w:pPr>
          </w:p>
        </w:tc>
        <w:tc>
          <w:tcPr>
            <w:tcW w:w="0" w:type="auto"/>
            <w:vAlign w:val="center"/>
            <w:hideMark/>
          </w:tcPr>
          <w:p w14:paraId="10F38CE5" w14:textId="77777777" w:rsidR="00000000" w:rsidRDefault="00195E73">
            <w:pPr>
              <w:rPr>
                <w:rFonts w:eastAsia="Times New Roman"/>
                <w:sz w:val="20"/>
                <w:szCs w:val="20"/>
              </w:rPr>
            </w:pPr>
          </w:p>
        </w:tc>
        <w:tc>
          <w:tcPr>
            <w:tcW w:w="0" w:type="auto"/>
            <w:vAlign w:val="center"/>
            <w:hideMark/>
          </w:tcPr>
          <w:p w14:paraId="6A70D979" w14:textId="77777777" w:rsidR="00000000" w:rsidRDefault="00195E73">
            <w:pPr>
              <w:rPr>
                <w:rFonts w:eastAsia="Times New Roman"/>
                <w:sz w:val="20"/>
                <w:szCs w:val="20"/>
              </w:rPr>
            </w:pPr>
          </w:p>
        </w:tc>
        <w:tc>
          <w:tcPr>
            <w:tcW w:w="0" w:type="auto"/>
            <w:vAlign w:val="center"/>
            <w:hideMark/>
          </w:tcPr>
          <w:p w14:paraId="0653DE36" w14:textId="77777777" w:rsidR="00000000" w:rsidRDefault="00195E73">
            <w:pPr>
              <w:rPr>
                <w:rFonts w:eastAsia="Times New Roman"/>
                <w:sz w:val="20"/>
                <w:szCs w:val="20"/>
              </w:rPr>
            </w:pPr>
          </w:p>
        </w:tc>
        <w:tc>
          <w:tcPr>
            <w:tcW w:w="0" w:type="auto"/>
            <w:vAlign w:val="center"/>
            <w:hideMark/>
          </w:tcPr>
          <w:p w14:paraId="5A807CA1" w14:textId="77777777" w:rsidR="00000000" w:rsidRDefault="00195E73">
            <w:pPr>
              <w:rPr>
                <w:rFonts w:eastAsia="Times New Roman"/>
                <w:sz w:val="20"/>
                <w:szCs w:val="20"/>
              </w:rPr>
            </w:pPr>
          </w:p>
        </w:tc>
        <w:tc>
          <w:tcPr>
            <w:tcW w:w="0" w:type="auto"/>
            <w:vAlign w:val="center"/>
            <w:hideMark/>
          </w:tcPr>
          <w:p w14:paraId="0E3A237A" w14:textId="77777777" w:rsidR="00000000" w:rsidRDefault="00195E73">
            <w:pPr>
              <w:rPr>
                <w:rFonts w:eastAsia="Times New Roman"/>
                <w:sz w:val="20"/>
                <w:szCs w:val="20"/>
              </w:rPr>
            </w:pPr>
          </w:p>
        </w:tc>
        <w:tc>
          <w:tcPr>
            <w:tcW w:w="0" w:type="auto"/>
            <w:vAlign w:val="center"/>
            <w:hideMark/>
          </w:tcPr>
          <w:p w14:paraId="676FC3E1" w14:textId="77777777" w:rsidR="00000000" w:rsidRDefault="00195E73">
            <w:pPr>
              <w:rPr>
                <w:rFonts w:eastAsia="Times New Roman"/>
                <w:sz w:val="20"/>
                <w:szCs w:val="20"/>
              </w:rPr>
            </w:pPr>
          </w:p>
        </w:tc>
        <w:tc>
          <w:tcPr>
            <w:tcW w:w="0" w:type="auto"/>
            <w:vAlign w:val="center"/>
            <w:hideMark/>
          </w:tcPr>
          <w:p w14:paraId="45BA704B" w14:textId="77777777" w:rsidR="00000000" w:rsidRDefault="00195E73">
            <w:pPr>
              <w:rPr>
                <w:rFonts w:eastAsia="Times New Roman"/>
                <w:sz w:val="20"/>
                <w:szCs w:val="20"/>
              </w:rPr>
            </w:pPr>
          </w:p>
        </w:tc>
        <w:tc>
          <w:tcPr>
            <w:tcW w:w="0" w:type="auto"/>
            <w:vAlign w:val="center"/>
            <w:hideMark/>
          </w:tcPr>
          <w:p w14:paraId="1C72DA1F" w14:textId="77777777" w:rsidR="00000000" w:rsidRDefault="00195E73">
            <w:pPr>
              <w:rPr>
                <w:rFonts w:eastAsia="Times New Roman"/>
                <w:sz w:val="20"/>
                <w:szCs w:val="20"/>
              </w:rPr>
            </w:pPr>
          </w:p>
        </w:tc>
        <w:tc>
          <w:tcPr>
            <w:tcW w:w="0" w:type="auto"/>
            <w:vAlign w:val="center"/>
            <w:hideMark/>
          </w:tcPr>
          <w:p w14:paraId="7D2687D0" w14:textId="77777777" w:rsidR="00000000" w:rsidRDefault="00195E73">
            <w:pPr>
              <w:rPr>
                <w:rFonts w:eastAsia="Times New Roman"/>
                <w:sz w:val="20"/>
                <w:szCs w:val="20"/>
              </w:rPr>
            </w:pPr>
          </w:p>
        </w:tc>
      </w:tr>
      <w:tr w:rsidR="00000000" w14:paraId="795E6684" w14:textId="77777777">
        <w:trPr>
          <w:divId w:val="1553998752"/>
          <w:jc w:val="center"/>
        </w:trPr>
        <w:tc>
          <w:tcPr>
            <w:tcW w:w="0" w:type="auto"/>
            <w:gridSpan w:val="3"/>
            <w:shd w:val="clear" w:color="auto" w:fill="CCEEFF"/>
            <w:tcMar>
              <w:top w:w="30" w:type="dxa"/>
              <w:left w:w="90" w:type="dxa"/>
              <w:bottom w:w="30" w:type="dxa"/>
              <w:right w:w="20" w:type="dxa"/>
            </w:tcMar>
            <w:vAlign w:val="bottom"/>
            <w:hideMark/>
          </w:tcPr>
          <w:p w14:paraId="74CDE29B" w14:textId="77777777" w:rsidR="00000000" w:rsidRDefault="00195E73">
            <w:pPr>
              <w:rPr>
                <w:rFonts w:eastAsia="Times New Roman"/>
              </w:rPr>
            </w:pPr>
            <w:r>
              <w:rPr>
                <w:rFonts w:eastAsia="Times New Roman"/>
                <w:color w:val="000000"/>
                <w:sz w:val="13"/>
                <w:szCs w:val="13"/>
              </w:rPr>
              <w:t>Purchases to cover securities sold, not yet purchase</w:t>
            </w:r>
            <w:r>
              <w:rPr>
                <w:rFonts w:eastAsia="Times New Roman"/>
                <w:color w:val="000000"/>
                <w:sz w:val="13"/>
                <w:szCs w:val="13"/>
              </w:rPr>
              <w:t>d</w:t>
            </w:r>
          </w:p>
        </w:tc>
        <w:tc>
          <w:tcPr>
            <w:tcW w:w="0" w:type="auto"/>
            <w:gridSpan w:val="2"/>
            <w:shd w:val="clear" w:color="auto" w:fill="CCEEFF"/>
            <w:tcMar>
              <w:top w:w="30" w:type="dxa"/>
              <w:left w:w="20" w:type="dxa"/>
              <w:bottom w:w="30" w:type="dxa"/>
              <w:right w:w="0" w:type="dxa"/>
            </w:tcMar>
            <w:vAlign w:val="bottom"/>
            <w:hideMark/>
          </w:tcPr>
          <w:p w14:paraId="197B4142" w14:textId="77777777" w:rsidR="00000000" w:rsidRDefault="00195E73">
            <w:pPr>
              <w:jc w:val="right"/>
              <w:rPr>
                <w:rFonts w:eastAsia="Times New Roman"/>
              </w:rPr>
            </w:pPr>
            <w:r>
              <w:rPr>
                <w:rFonts w:eastAsia="Times New Roman"/>
                <w:color w:val="000000"/>
                <w:sz w:val="13"/>
                <w:szCs w:val="13"/>
              </w:rPr>
              <w:t>(938</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288338A6"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4D21109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8589D5" w14:textId="77777777" w:rsidR="00000000" w:rsidRDefault="00195E73">
            <w:pPr>
              <w:jc w:val="right"/>
              <w:rPr>
                <w:rFonts w:eastAsia="Times New Roman"/>
              </w:rPr>
            </w:pPr>
            <w:r>
              <w:rPr>
                <w:rFonts w:eastAsia="Times New Roman"/>
                <w:color w:val="000000"/>
                <w:sz w:val="13"/>
                <w:szCs w:val="13"/>
              </w:rPr>
              <w:t>(1,083</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6056D3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193BEA1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8F5728" w14:textId="77777777" w:rsidR="00000000" w:rsidRDefault="00195E73">
            <w:pPr>
              <w:jc w:val="right"/>
              <w:rPr>
                <w:rFonts w:eastAsia="Times New Roman"/>
              </w:rPr>
            </w:pPr>
            <w:r>
              <w:rPr>
                <w:rFonts w:eastAsia="Times New Roman"/>
                <w:color w:val="000000"/>
                <w:sz w:val="13"/>
                <w:szCs w:val="13"/>
              </w:rPr>
              <w:t>(1,078</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580F7039"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3511A9D" w14:textId="77777777" w:rsidR="00000000" w:rsidRDefault="00195E73">
            <w:pPr>
              <w:rPr>
                <w:rFonts w:eastAsia="Times New Roman"/>
                <w:sz w:val="20"/>
                <w:szCs w:val="20"/>
              </w:rPr>
            </w:pPr>
          </w:p>
        </w:tc>
        <w:tc>
          <w:tcPr>
            <w:tcW w:w="0" w:type="auto"/>
            <w:vAlign w:val="center"/>
            <w:hideMark/>
          </w:tcPr>
          <w:p w14:paraId="3976E60E" w14:textId="77777777" w:rsidR="00000000" w:rsidRDefault="00195E73">
            <w:pPr>
              <w:rPr>
                <w:rFonts w:eastAsia="Times New Roman"/>
                <w:sz w:val="20"/>
                <w:szCs w:val="20"/>
              </w:rPr>
            </w:pPr>
          </w:p>
        </w:tc>
        <w:tc>
          <w:tcPr>
            <w:tcW w:w="0" w:type="auto"/>
            <w:vAlign w:val="center"/>
            <w:hideMark/>
          </w:tcPr>
          <w:p w14:paraId="21648BF1" w14:textId="77777777" w:rsidR="00000000" w:rsidRDefault="00195E73">
            <w:pPr>
              <w:rPr>
                <w:rFonts w:eastAsia="Times New Roman"/>
                <w:sz w:val="20"/>
                <w:szCs w:val="20"/>
              </w:rPr>
            </w:pPr>
          </w:p>
        </w:tc>
        <w:tc>
          <w:tcPr>
            <w:tcW w:w="0" w:type="auto"/>
            <w:vAlign w:val="center"/>
            <w:hideMark/>
          </w:tcPr>
          <w:p w14:paraId="295962C3" w14:textId="77777777" w:rsidR="00000000" w:rsidRDefault="00195E73">
            <w:pPr>
              <w:rPr>
                <w:rFonts w:eastAsia="Times New Roman"/>
                <w:sz w:val="20"/>
                <w:szCs w:val="20"/>
              </w:rPr>
            </w:pPr>
          </w:p>
        </w:tc>
        <w:tc>
          <w:tcPr>
            <w:tcW w:w="0" w:type="auto"/>
            <w:vAlign w:val="center"/>
            <w:hideMark/>
          </w:tcPr>
          <w:p w14:paraId="652E8DE2" w14:textId="77777777" w:rsidR="00000000" w:rsidRDefault="00195E73">
            <w:pPr>
              <w:rPr>
                <w:rFonts w:eastAsia="Times New Roman"/>
                <w:sz w:val="20"/>
                <w:szCs w:val="20"/>
              </w:rPr>
            </w:pPr>
          </w:p>
        </w:tc>
        <w:tc>
          <w:tcPr>
            <w:tcW w:w="0" w:type="auto"/>
            <w:vAlign w:val="center"/>
            <w:hideMark/>
          </w:tcPr>
          <w:p w14:paraId="4605F609" w14:textId="77777777" w:rsidR="00000000" w:rsidRDefault="00195E73">
            <w:pPr>
              <w:rPr>
                <w:rFonts w:eastAsia="Times New Roman"/>
                <w:sz w:val="20"/>
                <w:szCs w:val="20"/>
              </w:rPr>
            </w:pPr>
          </w:p>
        </w:tc>
        <w:tc>
          <w:tcPr>
            <w:tcW w:w="0" w:type="auto"/>
            <w:vAlign w:val="center"/>
            <w:hideMark/>
          </w:tcPr>
          <w:p w14:paraId="6DBC966D" w14:textId="77777777" w:rsidR="00000000" w:rsidRDefault="00195E73">
            <w:pPr>
              <w:rPr>
                <w:rFonts w:eastAsia="Times New Roman"/>
                <w:sz w:val="20"/>
                <w:szCs w:val="20"/>
              </w:rPr>
            </w:pPr>
          </w:p>
        </w:tc>
        <w:tc>
          <w:tcPr>
            <w:tcW w:w="0" w:type="auto"/>
            <w:vAlign w:val="center"/>
            <w:hideMark/>
          </w:tcPr>
          <w:p w14:paraId="76E3C7A9" w14:textId="77777777" w:rsidR="00000000" w:rsidRDefault="00195E73">
            <w:pPr>
              <w:rPr>
                <w:rFonts w:eastAsia="Times New Roman"/>
                <w:sz w:val="20"/>
                <w:szCs w:val="20"/>
              </w:rPr>
            </w:pPr>
          </w:p>
        </w:tc>
        <w:tc>
          <w:tcPr>
            <w:tcW w:w="0" w:type="auto"/>
            <w:vAlign w:val="center"/>
            <w:hideMark/>
          </w:tcPr>
          <w:p w14:paraId="1B6F862C" w14:textId="77777777" w:rsidR="00000000" w:rsidRDefault="00195E73">
            <w:pPr>
              <w:rPr>
                <w:rFonts w:eastAsia="Times New Roman"/>
                <w:sz w:val="20"/>
                <w:szCs w:val="20"/>
              </w:rPr>
            </w:pPr>
          </w:p>
        </w:tc>
        <w:tc>
          <w:tcPr>
            <w:tcW w:w="0" w:type="auto"/>
            <w:vAlign w:val="center"/>
            <w:hideMark/>
          </w:tcPr>
          <w:p w14:paraId="207B0F7E" w14:textId="77777777" w:rsidR="00000000" w:rsidRDefault="00195E73">
            <w:pPr>
              <w:rPr>
                <w:rFonts w:eastAsia="Times New Roman"/>
                <w:sz w:val="20"/>
                <w:szCs w:val="20"/>
              </w:rPr>
            </w:pPr>
          </w:p>
        </w:tc>
        <w:tc>
          <w:tcPr>
            <w:tcW w:w="0" w:type="auto"/>
            <w:vAlign w:val="center"/>
            <w:hideMark/>
          </w:tcPr>
          <w:p w14:paraId="2C0E0F85" w14:textId="77777777" w:rsidR="00000000" w:rsidRDefault="00195E73">
            <w:pPr>
              <w:rPr>
                <w:rFonts w:eastAsia="Times New Roman"/>
                <w:sz w:val="20"/>
                <w:szCs w:val="20"/>
              </w:rPr>
            </w:pPr>
          </w:p>
        </w:tc>
        <w:tc>
          <w:tcPr>
            <w:tcW w:w="0" w:type="auto"/>
            <w:vAlign w:val="center"/>
            <w:hideMark/>
          </w:tcPr>
          <w:p w14:paraId="32762461" w14:textId="77777777" w:rsidR="00000000" w:rsidRDefault="00195E73">
            <w:pPr>
              <w:rPr>
                <w:rFonts w:eastAsia="Times New Roman"/>
                <w:sz w:val="20"/>
                <w:szCs w:val="20"/>
              </w:rPr>
            </w:pPr>
          </w:p>
        </w:tc>
      </w:tr>
      <w:tr w:rsidR="00000000" w14:paraId="48C1EA8C" w14:textId="77777777">
        <w:trPr>
          <w:divId w:val="1553998752"/>
          <w:jc w:val="center"/>
        </w:trPr>
        <w:tc>
          <w:tcPr>
            <w:tcW w:w="0" w:type="auto"/>
            <w:gridSpan w:val="3"/>
            <w:shd w:val="clear" w:color="auto" w:fill="FFFFFF"/>
            <w:tcMar>
              <w:top w:w="30" w:type="dxa"/>
              <w:left w:w="90" w:type="dxa"/>
              <w:bottom w:w="30" w:type="dxa"/>
              <w:right w:w="20" w:type="dxa"/>
            </w:tcMar>
            <w:vAlign w:val="bottom"/>
            <w:hideMark/>
          </w:tcPr>
          <w:p w14:paraId="358FC885" w14:textId="77777777" w:rsidR="00000000" w:rsidRDefault="00195E73">
            <w:pPr>
              <w:rPr>
                <w:rFonts w:eastAsia="Times New Roman"/>
              </w:rPr>
            </w:pPr>
            <w:r>
              <w:rPr>
                <w:rFonts w:eastAsia="Times New Roman"/>
                <w:color w:val="000000"/>
                <w:sz w:val="13"/>
                <w:szCs w:val="13"/>
              </w:rPr>
              <w:t>Proceeds from securities sold, not yet purchase</w:t>
            </w:r>
            <w:r>
              <w:rPr>
                <w:rFonts w:eastAsia="Times New Roman"/>
                <w:color w:val="000000"/>
                <w:sz w:val="13"/>
                <w:szCs w:val="13"/>
              </w:rPr>
              <w:t>d</w:t>
            </w:r>
          </w:p>
        </w:tc>
        <w:tc>
          <w:tcPr>
            <w:tcW w:w="0" w:type="auto"/>
            <w:gridSpan w:val="2"/>
            <w:shd w:val="clear" w:color="auto" w:fill="FFFFFF"/>
            <w:tcMar>
              <w:top w:w="30" w:type="dxa"/>
              <w:left w:w="20" w:type="dxa"/>
              <w:bottom w:w="30" w:type="dxa"/>
              <w:right w:w="0" w:type="dxa"/>
            </w:tcMar>
            <w:vAlign w:val="bottom"/>
            <w:hideMark/>
          </w:tcPr>
          <w:p w14:paraId="680C65D0" w14:textId="77777777" w:rsidR="00000000" w:rsidRDefault="00195E73">
            <w:pPr>
              <w:jc w:val="right"/>
              <w:rPr>
                <w:rFonts w:eastAsia="Times New Roman"/>
              </w:rPr>
            </w:pPr>
            <w:r>
              <w:rPr>
                <w:rFonts w:eastAsia="Times New Roman"/>
                <w:color w:val="000000"/>
                <w:sz w:val="13"/>
                <w:szCs w:val="13"/>
              </w:rPr>
              <w:t>1,523</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3EAAD20D"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A490F5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DF7067" w14:textId="77777777" w:rsidR="00000000" w:rsidRDefault="00195E73">
            <w:pPr>
              <w:jc w:val="right"/>
              <w:rPr>
                <w:rFonts w:eastAsia="Times New Roman"/>
              </w:rPr>
            </w:pPr>
            <w:r>
              <w:rPr>
                <w:rFonts w:eastAsia="Times New Roman"/>
                <w:color w:val="000000"/>
                <w:sz w:val="13"/>
                <w:szCs w:val="13"/>
              </w:rPr>
              <w:t>1,077</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59E7DE6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F4D18F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C2E6D6" w14:textId="77777777" w:rsidR="00000000" w:rsidRDefault="00195E73">
            <w:pPr>
              <w:jc w:val="right"/>
              <w:rPr>
                <w:rFonts w:eastAsia="Times New Roman"/>
              </w:rPr>
            </w:pPr>
            <w:r>
              <w:rPr>
                <w:rFonts w:eastAsia="Times New Roman"/>
                <w:color w:val="000000"/>
                <w:sz w:val="13"/>
                <w:szCs w:val="13"/>
              </w:rPr>
              <w:t>1,222</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3F1E814D"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10532D7C" w14:textId="77777777" w:rsidR="00000000" w:rsidRDefault="00195E73">
            <w:pPr>
              <w:rPr>
                <w:rFonts w:eastAsia="Times New Roman"/>
                <w:sz w:val="20"/>
                <w:szCs w:val="20"/>
              </w:rPr>
            </w:pPr>
          </w:p>
        </w:tc>
        <w:tc>
          <w:tcPr>
            <w:tcW w:w="0" w:type="auto"/>
            <w:vAlign w:val="center"/>
            <w:hideMark/>
          </w:tcPr>
          <w:p w14:paraId="62049E99" w14:textId="77777777" w:rsidR="00000000" w:rsidRDefault="00195E73">
            <w:pPr>
              <w:rPr>
                <w:rFonts w:eastAsia="Times New Roman"/>
                <w:sz w:val="20"/>
                <w:szCs w:val="20"/>
              </w:rPr>
            </w:pPr>
          </w:p>
        </w:tc>
        <w:tc>
          <w:tcPr>
            <w:tcW w:w="0" w:type="auto"/>
            <w:vAlign w:val="center"/>
            <w:hideMark/>
          </w:tcPr>
          <w:p w14:paraId="66454865" w14:textId="77777777" w:rsidR="00000000" w:rsidRDefault="00195E73">
            <w:pPr>
              <w:rPr>
                <w:rFonts w:eastAsia="Times New Roman"/>
                <w:sz w:val="20"/>
                <w:szCs w:val="20"/>
              </w:rPr>
            </w:pPr>
          </w:p>
        </w:tc>
        <w:tc>
          <w:tcPr>
            <w:tcW w:w="0" w:type="auto"/>
            <w:vAlign w:val="center"/>
            <w:hideMark/>
          </w:tcPr>
          <w:p w14:paraId="0AF72B5A" w14:textId="77777777" w:rsidR="00000000" w:rsidRDefault="00195E73">
            <w:pPr>
              <w:rPr>
                <w:rFonts w:eastAsia="Times New Roman"/>
                <w:sz w:val="20"/>
                <w:szCs w:val="20"/>
              </w:rPr>
            </w:pPr>
          </w:p>
        </w:tc>
        <w:tc>
          <w:tcPr>
            <w:tcW w:w="0" w:type="auto"/>
            <w:vAlign w:val="center"/>
            <w:hideMark/>
          </w:tcPr>
          <w:p w14:paraId="4746DB4F" w14:textId="77777777" w:rsidR="00000000" w:rsidRDefault="00195E73">
            <w:pPr>
              <w:rPr>
                <w:rFonts w:eastAsia="Times New Roman"/>
                <w:sz w:val="20"/>
                <w:szCs w:val="20"/>
              </w:rPr>
            </w:pPr>
          </w:p>
        </w:tc>
        <w:tc>
          <w:tcPr>
            <w:tcW w:w="0" w:type="auto"/>
            <w:vAlign w:val="center"/>
            <w:hideMark/>
          </w:tcPr>
          <w:p w14:paraId="045847B6" w14:textId="77777777" w:rsidR="00000000" w:rsidRDefault="00195E73">
            <w:pPr>
              <w:rPr>
                <w:rFonts w:eastAsia="Times New Roman"/>
                <w:sz w:val="20"/>
                <w:szCs w:val="20"/>
              </w:rPr>
            </w:pPr>
          </w:p>
        </w:tc>
        <w:tc>
          <w:tcPr>
            <w:tcW w:w="0" w:type="auto"/>
            <w:vAlign w:val="center"/>
            <w:hideMark/>
          </w:tcPr>
          <w:p w14:paraId="49C3B4B5" w14:textId="77777777" w:rsidR="00000000" w:rsidRDefault="00195E73">
            <w:pPr>
              <w:rPr>
                <w:rFonts w:eastAsia="Times New Roman"/>
                <w:sz w:val="20"/>
                <w:szCs w:val="20"/>
              </w:rPr>
            </w:pPr>
          </w:p>
        </w:tc>
        <w:tc>
          <w:tcPr>
            <w:tcW w:w="0" w:type="auto"/>
            <w:vAlign w:val="center"/>
            <w:hideMark/>
          </w:tcPr>
          <w:p w14:paraId="73F8684E" w14:textId="77777777" w:rsidR="00000000" w:rsidRDefault="00195E73">
            <w:pPr>
              <w:rPr>
                <w:rFonts w:eastAsia="Times New Roman"/>
                <w:sz w:val="20"/>
                <w:szCs w:val="20"/>
              </w:rPr>
            </w:pPr>
          </w:p>
        </w:tc>
        <w:tc>
          <w:tcPr>
            <w:tcW w:w="0" w:type="auto"/>
            <w:vAlign w:val="center"/>
            <w:hideMark/>
          </w:tcPr>
          <w:p w14:paraId="1BC66F66" w14:textId="77777777" w:rsidR="00000000" w:rsidRDefault="00195E73">
            <w:pPr>
              <w:rPr>
                <w:rFonts w:eastAsia="Times New Roman"/>
                <w:sz w:val="20"/>
                <w:szCs w:val="20"/>
              </w:rPr>
            </w:pPr>
          </w:p>
        </w:tc>
        <w:tc>
          <w:tcPr>
            <w:tcW w:w="0" w:type="auto"/>
            <w:vAlign w:val="center"/>
            <w:hideMark/>
          </w:tcPr>
          <w:p w14:paraId="26AC67A9" w14:textId="77777777" w:rsidR="00000000" w:rsidRDefault="00195E73">
            <w:pPr>
              <w:rPr>
                <w:rFonts w:eastAsia="Times New Roman"/>
                <w:sz w:val="20"/>
                <w:szCs w:val="20"/>
              </w:rPr>
            </w:pPr>
          </w:p>
        </w:tc>
        <w:tc>
          <w:tcPr>
            <w:tcW w:w="0" w:type="auto"/>
            <w:vAlign w:val="center"/>
            <w:hideMark/>
          </w:tcPr>
          <w:p w14:paraId="3F117C6F" w14:textId="77777777" w:rsidR="00000000" w:rsidRDefault="00195E73">
            <w:pPr>
              <w:rPr>
                <w:rFonts w:eastAsia="Times New Roman"/>
                <w:sz w:val="20"/>
                <w:szCs w:val="20"/>
              </w:rPr>
            </w:pPr>
          </w:p>
        </w:tc>
        <w:tc>
          <w:tcPr>
            <w:tcW w:w="0" w:type="auto"/>
            <w:vAlign w:val="center"/>
            <w:hideMark/>
          </w:tcPr>
          <w:p w14:paraId="1CDF9773" w14:textId="77777777" w:rsidR="00000000" w:rsidRDefault="00195E73">
            <w:pPr>
              <w:rPr>
                <w:rFonts w:eastAsia="Times New Roman"/>
                <w:sz w:val="20"/>
                <w:szCs w:val="20"/>
              </w:rPr>
            </w:pPr>
          </w:p>
        </w:tc>
      </w:tr>
      <w:tr w:rsidR="00000000" w14:paraId="5A123D54"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524FD98B" w14:textId="77777777" w:rsidR="00000000" w:rsidRDefault="00195E73">
            <w:pPr>
              <w:ind w:hanging="90"/>
              <w:divId w:val="1921478690"/>
              <w:rPr>
                <w:rFonts w:eastAsia="Times New Roman"/>
              </w:rPr>
            </w:pPr>
            <w:r>
              <w:rPr>
                <w:rFonts w:eastAsia="Times New Roman"/>
                <w:color w:val="000000"/>
                <w:sz w:val="13"/>
                <w:szCs w:val="13"/>
              </w:rPr>
              <w:t>Changes in receivables and payables relating to securities transaction</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5C599DC9" w14:textId="77777777" w:rsidR="00000000" w:rsidRDefault="00195E73">
            <w:pPr>
              <w:jc w:val="right"/>
              <w:rPr>
                <w:rFonts w:eastAsia="Times New Roman"/>
              </w:rPr>
            </w:pPr>
            <w:r>
              <w:rPr>
                <w:rFonts w:eastAsia="Times New Roman"/>
                <w:color w:val="000000"/>
                <w:sz w:val="13"/>
                <w:szCs w:val="13"/>
              </w:rPr>
              <w:t>(220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7506FE4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28552CC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A49401" w14:textId="77777777" w:rsidR="00000000" w:rsidRDefault="00195E73">
            <w:pPr>
              <w:jc w:val="right"/>
              <w:rPr>
                <w:rFonts w:eastAsia="Times New Roman"/>
              </w:rPr>
            </w:pPr>
            <w:r>
              <w:rPr>
                <w:rFonts w:eastAsia="Times New Roman"/>
                <w:color w:val="000000"/>
                <w:sz w:val="13"/>
                <w:szCs w:val="13"/>
              </w:rPr>
              <w:t>(1,195</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52CEDAE8"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4B0C96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2A5292" w14:textId="77777777" w:rsidR="00000000" w:rsidRDefault="00195E73">
            <w:pPr>
              <w:jc w:val="right"/>
              <w:rPr>
                <w:rFonts w:eastAsia="Times New Roman"/>
              </w:rPr>
            </w:pPr>
            <w:r>
              <w:rPr>
                <w:rFonts w:eastAsia="Times New Roman"/>
                <w:color w:val="000000"/>
                <w:sz w:val="13"/>
                <w:szCs w:val="13"/>
              </w:rPr>
              <w:t>(1,704</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BAE9E0F"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44F25208" w14:textId="77777777" w:rsidR="00000000" w:rsidRDefault="00195E73">
            <w:pPr>
              <w:rPr>
                <w:rFonts w:eastAsia="Times New Roman"/>
                <w:sz w:val="20"/>
                <w:szCs w:val="20"/>
              </w:rPr>
            </w:pPr>
          </w:p>
        </w:tc>
        <w:tc>
          <w:tcPr>
            <w:tcW w:w="0" w:type="auto"/>
            <w:vAlign w:val="center"/>
            <w:hideMark/>
          </w:tcPr>
          <w:p w14:paraId="1F41D9AB" w14:textId="77777777" w:rsidR="00000000" w:rsidRDefault="00195E73">
            <w:pPr>
              <w:rPr>
                <w:rFonts w:eastAsia="Times New Roman"/>
                <w:sz w:val="20"/>
                <w:szCs w:val="20"/>
              </w:rPr>
            </w:pPr>
          </w:p>
        </w:tc>
        <w:tc>
          <w:tcPr>
            <w:tcW w:w="0" w:type="auto"/>
            <w:vAlign w:val="center"/>
            <w:hideMark/>
          </w:tcPr>
          <w:p w14:paraId="3C484A04" w14:textId="77777777" w:rsidR="00000000" w:rsidRDefault="00195E73">
            <w:pPr>
              <w:rPr>
                <w:rFonts w:eastAsia="Times New Roman"/>
                <w:sz w:val="20"/>
                <w:szCs w:val="20"/>
              </w:rPr>
            </w:pPr>
          </w:p>
        </w:tc>
        <w:tc>
          <w:tcPr>
            <w:tcW w:w="0" w:type="auto"/>
            <w:vAlign w:val="center"/>
            <w:hideMark/>
          </w:tcPr>
          <w:p w14:paraId="3C4C4D93" w14:textId="77777777" w:rsidR="00000000" w:rsidRDefault="00195E73">
            <w:pPr>
              <w:rPr>
                <w:rFonts w:eastAsia="Times New Roman"/>
                <w:sz w:val="20"/>
                <w:szCs w:val="20"/>
              </w:rPr>
            </w:pPr>
          </w:p>
        </w:tc>
        <w:tc>
          <w:tcPr>
            <w:tcW w:w="0" w:type="auto"/>
            <w:vAlign w:val="center"/>
            <w:hideMark/>
          </w:tcPr>
          <w:p w14:paraId="5648DD3D" w14:textId="77777777" w:rsidR="00000000" w:rsidRDefault="00195E73">
            <w:pPr>
              <w:rPr>
                <w:rFonts w:eastAsia="Times New Roman"/>
                <w:sz w:val="20"/>
                <w:szCs w:val="20"/>
              </w:rPr>
            </w:pPr>
          </w:p>
        </w:tc>
        <w:tc>
          <w:tcPr>
            <w:tcW w:w="0" w:type="auto"/>
            <w:vAlign w:val="center"/>
            <w:hideMark/>
          </w:tcPr>
          <w:p w14:paraId="445C4906" w14:textId="77777777" w:rsidR="00000000" w:rsidRDefault="00195E73">
            <w:pPr>
              <w:rPr>
                <w:rFonts w:eastAsia="Times New Roman"/>
                <w:sz w:val="20"/>
                <w:szCs w:val="20"/>
              </w:rPr>
            </w:pPr>
          </w:p>
        </w:tc>
        <w:tc>
          <w:tcPr>
            <w:tcW w:w="0" w:type="auto"/>
            <w:vAlign w:val="center"/>
            <w:hideMark/>
          </w:tcPr>
          <w:p w14:paraId="236A392F" w14:textId="77777777" w:rsidR="00000000" w:rsidRDefault="00195E73">
            <w:pPr>
              <w:rPr>
                <w:rFonts w:eastAsia="Times New Roman"/>
                <w:sz w:val="20"/>
                <w:szCs w:val="20"/>
              </w:rPr>
            </w:pPr>
          </w:p>
        </w:tc>
        <w:tc>
          <w:tcPr>
            <w:tcW w:w="0" w:type="auto"/>
            <w:vAlign w:val="center"/>
            <w:hideMark/>
          </w:tcPr>
          <w:p w14:paraId="3D2076EC" w14:textId="77777777" w:rsidR="00000000" w:rsidRDefault="00195E73">
            <w:pPr>
              <w:rPr>
                <w:rFonts w:eastAsia="Times New Roman"/>
                <w:sz w:val="20"/>
                <w:szCs w:val="20"/>
              </w:rPr>
            </w:pPr>
          </w:p>
        </w:tc>
        <w:tc>
          <w:tcPr>
            <w:tcW w:w="0" w:type="auto"/>
            <w:vAlign w:val="center"/>
            <w:hideMark/>
          </w:tcPr>
          <w:p w14:paraId="217F1414" w14:textId="77777777" w:rsidR="00000000" w:rsidRDefault="00195E73">
            <w:pPr>
              <w:rPr>
                <w:rFonts w:eastAsia="Times New Roman"/>
                <w:sz w:val="20"/>
                <w:szCs w:val="20"/>
              </w:rPr>
            </w:pPr>
          </w:p>
        </w:tc>
        <w:tc>
          <w:tcPr>
            <w:tcW w:w="0" w:type="auto"/>
            <w:vAlign w:val="center"/>
            <w:hideMark/>
          </w:tcPr>
          <w:p w14:paraId="2331FCAA" w14:textId="77777777" w:rsidR="00000000" w:rsidRDefault="00195E73">
            <w:pPr>
              <w:rPr>
                <w:rFonts w:eastAsia="Times New Roman"/>
                <w:sz w:val="20"/>
                <w:szCs w:val="20"/>
              </w:rPr>
            </w:pPr>
          </w:p>
        </w:tc>
        <w:tc>
          <w:tcPr>
            <w:tcW w:w="0" w:type="auto"/>
            <w:vAlign w:val="center"/>
            <w:hideMark/>
          </w:tcPr>
          <w:p w14:paraId="4FB6BE7A" w14:textId="77777777" w:rsidR="00000000" w:rsidRDefault="00195E73">
            <w:pPr>
              <w:rPr>
                <w:rFonts w:eastAsia="Times New Roman"/>
                <w:sz w:val="20"/>
                <w:szCs w:val="20"/>
              </w:rPr>
            </w:pPr>
          </w:p>
        </w:tc>
        <w:tc>
          <w:tcPr>
            <w:tcW w:w="0" w:type="auto"/>
            <w:vAlign w:val="center"/>
            <w:hideMark/>
          </w:tcPr>
          <w:p w14:paraId="30B63B6B" w14:textId="77777777" w:rsidR="00000000" w:rsidRDefault="00195E73">
            <w:pPr>
              <w:rPr>
                <w:rFonts w:eastAsia="Times New Roman"/>
                <w:sz w:val="20"/>
                <w:szCs w:val="20"/>
              </w:rPr>
            </w:pPr>
          </w:p>
        </w:tc>
      </w:tr>
      <w:tr w:rsidR="00000000" w14:paraId="5FF18B81" w14:textId="77777777">
        <w:trPr>
          <w:divId w:val="1553998752"/>
          <w:jc w:val="center"/>
        </w:trPr>
        <w:tc>
          <w:tcPr>
            <w:tcW w:w="0" w:type="auto"/>
            <w:gridSpan w:val="3"/>
            <w:shd w:val="clear" w:color="auto" w:fill="FFFFFF"/>
            <w:tcMar>
              <w:top w:w="30" w:type="dxa"/>
              <w:left w:w="90" w:type="dxa"/>
              <w:bottom w:w="30" w:type="dxa"/>
              <w:right w:w="20" w:type="dxa"/>
            </w:tcMar>
            <w:vAlign w:val="bottom"/>
            <w:hideMark/>
          </w:tcPr>
          <w:p w14:paraId="08C7A7F8" w14:textId="77777777" w:rsidR="00000000" w:rsidRDefault="00195E73">
            <w:pPr>
              <w:rPr>
                <w:rFonts w:eastAsia="Times New Roman"/>
              </w:rPr>
            </w:pPr>
            <w:r>
              <w:rPr>
                <w:rFonts w:eastAsia="Times New Roman"/>
                <w:color w:val="000000"/>
                <w:sz w:val="13"/>
                <w:szCs w:val="13"/>
              </w:rPr>
              <w:t>Gain on disposition of assets, ne</w:t>
            </w:r>
            <w:r>
              <w:rPr>
                <w:rFonts w:eastAsia="Times New Roman"/>
                <w:color w:val="000000"/>
                <w:sz w:val="13"/>
                <w:szCs w:val="13"/>
              </w:rPr>
              <w:t>t</w:t>
            </w:r>
          </w:p>
        </w:tc>
        <w:tc>
          <w:tcPr>
            <w:tcW w:w="0" w:type="auto"/>
            <w:gridSpan w:val="2"/>
            <w:shd w:val="clear" w:color="auto" w:fill="FFFFFF"/>
            <w:tcMar>
              <w:top w:w="30" w:type="dxa"/>
              <w:left w:w="20" w:type="dxa"/>
              <w:bottom w:w="30" w:type="dxa"/>
              <w:right w:w="0" w:type="dxa"/>
            </w:tcMar>
            <w:vAlign w:val="bottom"/>
            <w:hideMark/>
          </w:tcPr>
          <w:p w14:paraId="6E839082" w14:textId="77777777" w:rsidR="00000000" w:rsidRDefault="00195E73">
            <w:pPr>
              <w:jc w:val="right"/>
              <w:rPr>
                <w:rFonts w:eastAsia="Times New Roman"/>
              </w:rPr>
            </w:pPr>
            <w:r>
              <w:rPr>
                <w:rFonts w:eastAsia="Times New Roman"/>
                <w:color w:val="000000"/>
                <w:sz w:val="13"/>
                <w:szCs w:val="13"/>
              </w:rPr>
              <w:t>(253</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484BCD0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F0469E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602BF3" w14:textId="77777777" w:rsidR="00000000" w:rsidRDefault="00195E73">
            <w:pPr>
              <w:jc w:val="right"/>
              <w:rPr>
                <w:rFonts w:eastAsia="Times New Roman"/>
              </w:rPr>
            </w:pPr>
            <w:r>
              <w:rPr>
                <w:rFonts w:eastAsia="Times New Roman"/>
                <w:color w:val="000000"/>
                <w:sz w:val="13"/>
                <w:szCs w:val="13"/>
              </w:rPr>
              <w:t>(84</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0F82B903"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500504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138EE1" w14:textId="77777777" w:rsidR="00000000" w:rsidRDefault="00195E73">
            <w:pPr>
              <w:jc w:val="right"/>
              <w:rPr>
                <w:rFonts w:eastAsia="Times New Roman"/>
              </w:rPr>
            </w:pPr>
            <w:r>
              <w:rPr>
                <w:rFonts w:eastAsia="Times New Roman"/>
                <w:color w:val="000000"/>
                <w:sz w:val="13"/>
                <w:szCs w:val="13"/>
              </w:rPr>
              <w:t>(2,163</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415D093B"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2937FED1" w14:textId="77777777" w:rsidR="00000000" w:rsidRDefault="00195E73">
            <w:pPr>
              <w:rPr>
                <w:rFonts w:eastAsia="Times New Roman"/>
                <w:sz w:val="20"/>
                <w:szCs w:val="20"/>
              </w:rPr>
            </w:pPr>
          </w:p>
        </w:tc>
        <w:tc>
          <w:tcPr>
            <w:tcW w:w="0" w:type="auto"/>
            <w:vAlign w:val="center"/>
            <w:hideMark/>
          </w:tcPr>
          <w:p w14:paraId="64375E5B" w14:textId="77777777" w:rsidR="00000000" w:rsidRDefault="00195E73">
            <w:pPr>
              <w:rPr>
                <w:rFonts w:eastAsia="Times New Roman"/>
                <w:sz w:val="20"/>
                <w:szCs w:val="20"/>
              </w:rPr>
            </w:pPr>
          </w:p>
        </w:tc>
        <w:tc>
          <w:tcPr>
            <w:tcW w:w="0" w:type="auto"/>
            <w:vAlign w:val="center"/>
            <w:hideMark/>
          </w:tcPr>
          <w:p w14:paraId="3B2BBF5F" w14:textId="77777777" w:rsidR="00000000" w:rsidRDefault="00195E73">
            <w:pPr>
              <w:rPr>
                <w:rFonts w:eastAsia="Times New Roman"/>
                <w:sz w:val="20"/>
                <w:szCs w:val="20"/>
              </w:rPr>
            </w:pPr>
          </w:p>
        </w:tc>
        <w:tc>
          <w:tcPr>
            <w:tcW w:w="0" w:type="auto"/>
            <w:vAlign w:val="center"/>
            <w:hideMark/>
          </w:tcPr>
          <w:p w14:paraId="18597216" w14:textId="77777777" w:rsidR="00000000" w:rsidRDefault="00195E73">
            <w:pPr>
              <w:rPr>
                <w:rFonts w:eastAsia="Times New Roman"/>
                <w:sz w:val="20"/>
                <w:szCs w:val="20"/>
              </w:rPr>
            </w:pPr>
          </w:p>
        </w:tc>
        <w:tc>
          <w:tcPr>
            <w:tcW w:w="0" w:type="auto"/>
            <w:vAlign w:val="center"/>
            <w:hideMark/>
          </w:tcPr>
          <w:p w14:paraId="3A7A6FEA" w14:textId="77777777" w:rsidR="00000000" w:rsidRDefault="00195E73">
            <w:pPr>
              <w:rPr>
                <w:rFonts w:eastAsia="Times New Roman"/>
                <w:sz w:val="20"/>
                <w:szCs w:val="20"/>
              </w:rPr>
            </w:pPr>
          </w:p>
        </w:tc>
        <w:tc>
          <w:tcPr>
            <w:tcW w:w="0" w:type="auto"/>
            <w:vAlign w:val="center"/>
            <w:hideMark/>
          </w:tcPr>
          <w:p w14:paraId="06242726" w14:textId="77777777" w:rsidR="00000000" w:rsidRDefault="00195E73">
            <w:pPr>
              <w:rPr>
                <w:rFonts w:eastAsia="Times New Roman"/>
                <w:sz w:val="20"/>
                <w:szCs w:val="20"/>
              </w:rPr>
            </w:pPr>
          </w:p>
        </w:tc>
        <w:tc>
          <w:tcPr>
            <w:tcW w:w="0" w:type="auto"/>
            <w:vAlign w:val="center"/>
            <w:hideMark/>
          </w:tcPr>
          <w:p w14:paraId="33FE86B1" w14:textId="77777777" w:rsidR="00000000" w:rsidRDefault="00195E73">
            <w:pPr>
              <w:rPr>
                <w:rFonts w:eastAsia="Times New Roman"/>
                <w:sz w:val="20"/>
                <w:szCs w:val="20"/>
              </w:rPr>
            </w:pPr>
          </w:p>
        </w:tc>
        <w:tc>
          <w:tcPr>
            <w:tcW w:w="0" w:type="auto"/>
            <w:vAlign w:val="center"/>
            <w:hideMark/>
          </w:tcPr>
          <w:p w14:paraId="4681FC62" w14:textId="77777777" w:rsidR="00000000" w:rsidRDefault="00195E73">
            <w:pPr>
              <w:rPr>
                <w:rFonts w:eastAsia="Times New Roman"/>
                <w:sz w:val="20"/>
                <w:szCs w:val="20"/>
              </w:rPr>
            </w:pPr>
          </w:p>
        </w:tc>
        <w:tc>
          <w:tcPr>
            <w:tcW w:w="0" w:type="auto"/>
            <w:vAlign w:val="center"/>
            <w:hideMark/>
          </w:tcPr>
          <w:p w14:paraId="03BC0B67" w14:textId="77777777" w:rsidR="00000000" w:rsidRDefault="00195E73">
            <w:pPr>
              <w:rPr>
                <w:rFonts w:eastAsia="Times New Roman"/>
                <w:sz w:val="20"/>
                <w:szCs w:val="20"/>
              </w:rPr>
            </w:pPr>
          </w:p>
        </w:tc>
        <w:tc>
          <w:tcPr>
            <w:tcW w:w="0" w:type="auto"/>
            <w:vAlign w:val="center"/>
            <w:hideMark/>
          </w:tcPr>
          <w:p w14:paraId="600E330D" w14:textId="77777777" w:rsidR="00000000" w:rsidRDefault="00195E73">
            <w:pPr>
              <w:rPr>
                <w:rFonts w:eastAsia="Times New Roman"/>
                <w:sz w:val="20"/>
                <w:szCs w:val="20"/>
              </w:rPr>
            </w:pPr>
          </w:p>
        </w:tc>
        <w:tc>
          <w:tcPr>
            <w:tcW w:w="0" w:type="auto"/>
            <w:vAlign w:val="center"/>
            <w:hideMark/>
          </w:tcPr>
          <w:p w14:paraId="1BC96240" w14:textId="77777777" w:rsidR="00000000" w:rsidRDefault="00195E73">
            <w:pPr>
              <w:rPr>
                <w:rFonts w:eastAsia="Times New Roman"/>
                <w:sz w:val="20"/>
                <w:szCs w:val="20"/>
              </w:rPr>
            </w:pPr>
          </w:p>
        </w:tc>
        <w:tc>
          <w:tcPr>
            <w:tcW w:w="0" w:type="auto"/>
            <w:vAlign w:val="center"/>
            <w:hideMark/>
          </w:tcPr>
          <w:p w14:paraId="17CAF3A4" w14:textId="77777777" w:rsidR="00000000" w:rsidRDefault="00195E73">
            <w:pPr>
              <w:rPr>
                <w:rFonts w:eastAsia="Times New Roman"/>
                <w:sz w:val="20"/>
                <w:szCs w:val="20"/>
              </w:rPr>
            </w:pPr>
          </w:p>
        </w:tc>
      </w:tr>
      <w:tr w:rsidR="00000000" w14:paraId="2C989EE8" w14:textId="77777777">
        <w:trPr>
          <w:divId w:val="1553998752"/>
          <w:jc w:val="center"/>
        </w:trPr>
        <w:tc>
          <w:tcPr>
            <w:tcW w:w="0" w:type="auto"/>
            <w:gridSpan w:val="3"/>
            <w:shd w:val="clear" w:color="auto" w:fill="CCEEFF"/>
            <w:tcMar>
              <w:top w:w="30" w:type="dxa"/>
              <w:left w:w="90" w:type="dxa"/>
              <w:bottom w:w="30" w:type="dxa"/>
              <w:right w:w="20" w:type="dxa"/>
            </w:tcMar>
            <w:vAlign w:val="bottom"/>
            <w:hideMark/>
          </w:tcPr>
          <w:p w14:paraId="5081C527" w14:textId="77777777" w:rsidR="00000000" w:rsidRDefault="00195E73">
            <w:pPr>
              <w:rPr>
                <w:rFonts w:eastAsia="Times New Roman"/>
              </w:rPr>
            </w:pPr>
            <w:r>
              <w:rPr>
                <w:rFonts w:eastAsia="Times New Roman"/>
                <w:color w:val="000000"/>
                <w:sz w:val="13"/>
                <w:szCs w:val="13"/>
              </w:rPr>
              <w:t>Depreciation and amortizatio</w:t>
            </w:r>
            <w:r>
              <w:rPr>
                <w:rFonts w:eastAsia="Times New Roman"/>
                <w:color w:val="000000"/>
                <w:sz w:val="13"/>
                <w:szCs w:val="13"/>
              </w:rPr>
              <w:t>n</w:t>
            </w:r>
          </w:p>
        </w:tc>
        <w:tc>
          <w:tcPr>
            <w:tcW w:w="0" w:type="auto"/>
            <w:gridSpan w:val="2"/>
            <w:shd w:val="clear" w:color="auto" w:fill="CCEEFF"/>
            <w:tcMar>
              <w:top w:w="30" w:type="dxa"/>
              <w:left w:w="20" w:type="dxa"/>
              <w:bottom w:w="30" w:type="dxa"/>
              <w:right w:w="0" w:type="dxa"/>
            </w:tcMar>
            <w:vAlign w:val="bottom"/>
            <w:hideMark/>
          </w:tcPr>
          <w:p w14:paraId="1D755B96" w14:textId="77777777" w:rsidR="00000000" w:rsidRDefault="00195E73">
            <w:pPr>
              <w:jc w:val="right"/>
              <w:rPr>
                <w:rFonts w:eastAsia="Times New Roman"/>
              </w:rPr>
            </w:pPr>
            <w:r>
              <w:rPr>
                <w:rFonts w:eastAsia="Times New Roman"/>
                <w:color w:val="000000"/>
                <w:sz w:val="13"/>
                <w:szCs w:val="13"/>
              </w:rPr>
              <w:t>519</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3A474AF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5C144F9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3DDD26" w14:textId="77777777" w:rsidR="00000000" w:rsidRDefault="00195E73">
            <w:pPr>
              <w:jc w:val="right"/>
              <w:rPr>
                <w:rFonts w:eastAsia="Times New Roman"/>
              </w:rPr>
            </w:pPr>
            <w:r>
              <w:rPr>
                <w:rFonts w:eastAsia="Times New Roman"/>
                <w:color w:val="000000"/>
                <w:sz w:val="13"/>
                <w:szCs w:val="13"/>
              </w:rPr>
              <w:t>508</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A59C25C"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10822F2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58661A" w14:textId="77777777" w:rsidR="00000000" w:rsidRDefault="00195E73">
            <w:pPr>
              <w:jc w:val="right"/>
              <w:rPr>
                <w:rFonts w:eastAsia="Times New Roman"/>
              </w:rPr>
            </w:pPr>
            <w:r>
              <w:rPr>
                <w:rFonts w:eastAsia="Times New Roman"/>
                <w:color w:val="000000"/>
                <w:sz w:val="13"/>
                <w:szCs w:val="13"/>
              </w:rPr>
              <w:t>518</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7351D958"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260C065F" w14:textId="77777777" w:rsidR="00000000" w:rsidRDefault="00195E73">
            <w:pPr>
              <w:rPr>
                <w:rFonts w:eastAsia="Times New Roman"/>
                <w:sz w:val="20"/>
                <w:szCs w:val="20"/>
              </w:rPr>
            </w:pPr>
          </w:p>
        </w:tc>
        <w:tc>
          <w:tcPr>
            <w:tcW w:w="0" w:type="auto"/>
            <w:vAlign w:val="center"/>
            <w:hideMark/>
          </w:tcPr>
          <w:p w14:paraId="365D38AA" w14:textId="77777777" w:rsidR="00000000" w:rsidRDefault="00195E73">
            <w:pPr>
              <w:rPr>
                <w:rFonts w:eastAsia="Times New Roman"/>
                <w:sz w:val="20"/>
                <w:szCs w:val="20"/>
              </w:rPr>
            </w:pPr>
          </w:p>
        </w:tc>
        <w:tc>
          <w:tcPr>
            <w:tcW w:w="0" w:type="auto"/>
            <w:vAlign w:val="center"/>
            <w:hideMark/>
          </w:tcPr>
          <w:p w14:paraId="3153968B" w14:textId="77777777" w:rsidR="00000000" w:rsidRDefault="00195E73">
            <w:pPr>
              <w:rPr>
                <w:rFonts w:eastAsia="Times New Roman"/>
                <w:sz w:val="20"/>
                <w:szCs w:val="20"/>
              </w:rPr>
            </w:pPr>
          </w:p>
        </w:tc>
        <w:tc>
          <w:tcPr>
            <w:tcW w:w="0" w:type="auto"/>
            <w:vAlign w:val="center"/>
            <w:hideMark/>
          </w:tcPr>
          <w:p w14:paraId="6EC32298" w14:textId="77777777" w:rsidR="00000000" w:rsidRDefault="00195E73">
            <w:pPr>
              <w:rPr>
                <w:rFonts w:eastAsia="Times New Roman"/>
                <w:sz w:val="20"/>
                <w:szCs w:val="20"/>
              </w:rPr>
            </w:pPr>
          </w:p>
        </w:tc>
        <w:tc>
          <w:tcPr>
            <w:tcW w:w="0" w:type="auto"/>
            <w:vAlign w:val="center"/>
            <w:hideMark/>
          </w:tcPr>
          <w:p w14:paraId="4F1301BA" w14:textId="77777777" w:rsidR="00000000" w:rsidRDefault="00195E73">
            <w:pPr>
              <w:rPr>
                <w:rFonts w:eastAsia="Times New Roman"/>
                <w:sz w:val="20"/>
                <w:szCs w:val="20"/>
              </w:rPr>
            </w:pPr>
          </w:p>
        </w:tc>
        <w:tc>
          <w:tcPr>
            <w:tcW w:w="0" w:type="auto"/>
            <w:vAlign w:val="center"/>
            <w:hideMark/>
          </w:tcPr>
          <w:p w14:paraId="2736149D" w14:textId="77777777" w:rsidR="00000000" w:rsidRDefault="00195E73">
            <w:pPr>
              <w:rPr>
                <w:rFonts w:eastAsia="Times New Roman"/>
                <w:sz w:val="20"/>
                <w:szCs w:val="20"/>
              </w:rPr>
            </w:pPr>
          </w:p>
        </w:tc>
        <w:tc>
          <w:tcPr>
            <w:tcW w:w="0" w:type="auto"/>
            <w:vAlign w:val="center"/>
            <w:hideMark/>
          </w:tcPr>
          <w:p w14:paraId="60C18EEB" w14:textId="77777777" w:rsidR="00000000" w:rsidRDefault="00195E73">
            <w:pPr>
              <w:rPr>
                <w:rFonts w:eastAsia="Times New Roman"/>
                <w:sz w:val="20"/>
                <w:szCs w:val="20"/>
              </w:rPr>
            </w:pPr>
          </w:p>
        </w:tc>
        <w:tc>
          <w:tcPr>
            <w:tcW w:w="0" w:type="auto"/>
            <w:vAlign w:val="center"/>
            <w:hideMark/>
          </w:tcPr>
          <w:p w14:paraId="7C94BCF0" w14:textId="77777777" w:rsidR="00000000" w:rsidRDefault="00195E73">
            <w:pPr>
              <w:rPr>
                <w:rFonts w:eastAsia="Times New Roman"/>
                <w:sz w:val="20"/>
                <w:szCs w:val="20"/>
              </w:rPr>
            </w:pPr>
          </w:p>
        </w:tc>
        <w:tc>
          <w:tcPr>
            <w:tcW w:w="0" w:type="auto"/>
            <w:vAlign w:val="center"/>
            <w:hideMark/>
          </w:tcPr>
          <w:p w14:paraId="71212EC8" w14:textId="77777777" w:rsidR="00000000" w:rsidRDefault="00195E73">
            <w:pPr>
              <w:rPr>
                <w:rFonts w:eastAsia="Times New Roman"/>
                <w:sz w:val="20"/>
                <w:szCs w:val="20"/>
              </w:rPr>
            </w:pPr>
          </w:p>
        </w:tc>
        <w:tc>
          <w:tcPr>
            <w:tcW w:w="0" w:type="auto"/>
            <w:vAlign w:val="center"/>
            <w:hideMark/>
          </w:tcPr>
          <w:p w14:paraId="210CA891" w14:textId="77777777" w:rsidR="00000000" w:rsidRDefault="00195E73">
            <w:pPr>
              <w:rPr>
                <w:rFonts w:eastAsia="Times New Roman"/>
                <w:sz w:val="20"/>
                <w:szCs w:val="20"/>
              </w:rPr>
            </w:pPr>
          </w:p>
        </w:tc>
        <w:tc>
          <w:tcPr>
            <w:tcW w:w="0" w:type="auto"/>
            <w:vAlign w:val="center"/>
            <w:hideMark/>
          </w:tcPr>
          <w:p w14:paraId="7DAB8A87" w14:textId="77777777" w:rsidR="00000000" w:rsidRDefault="00195E73">
            <w:pPr>
              <w:rPr>
                <w:rFonts w:eastAsia="Times New Roman"/>
                <w:sz w:val="20"/>
                <w:szCs w:val="20"/>
              </w:rPr>
            </w:pPr>
          </w:p>
        </w:tc>
        <w:tc>
          <w:tcPr>
            <w:tcW w:w="0" w:type="auto"/>
            <w:vAlign w:val="center"/>
            <w:hideMark/>
          </w:tcPr>
          <w:p w14:paraId="38EE64AA" w14:textId="77777777" w:rsidR="00000000" w:rsidRDefault="00195E73">
            <w:pPr>
              <w:rPr>
                <w:rFonts w:eastAsia="Times New Roman"/>
                <w:sz w:val="20"/>
                <w:szCs w:val="20"/>
              </w:rPr>
            </w:pPr>
          </w:p>
        </w:tc>
      </w:tr>
      <w:tr w:rsidR="00000000" w14:paraId="6418048D" w14:textId="77777777">
        <w:trPr>
          <w:divId w:val="1553998752"/>
          <w:jc w:val="center"/>
        </w:trPr>
        <w:tc>
          <w:tcPr>
            <w:tcW w:w="0" w:type="auto"/>
            <w:gridSpan w:val="3"/>
            <w:shd w:val="clear" w:color="auto" w:fill="FFFFFF"/>
            <w:tcMar>
              <w:top w:w="30" w:type="dxa"/>
              <w:left w:w="90" w:type="dxa"/>
              <w:bottom w:w="30" w:type="dxa"/>
              <w:right w:w="20" w:type="dxa"/>
            </w:tcMar>
            <w:vAlign w:val="bottom"/>
            <w:hideMark/>
          </w:tcPr>
          <w:p w14:paraId="7614F941" w14:textId="77777777" w:rsidR="00000000" w:rsidRDefault="00195E73">
            <w:pPr>
              <w:rPr>
                <w:rFonts w:eastAsia="Times New Roman"/>
              </w:rPr>
            </w:pPr>
            <w:r>
              <w:rPr>
                <w:rFonts w:eastAsia="Times New Roman"/>
                <w:color w:val="000000"/>
                <w:sz w:val="13"/>
                <w:szCs w:val="13"/>
              </w:rPr>
              <w:t>Impairmen</w:t>
            </w:r>
            <w:r>
              <w:rPr>
                <w:rFonts w:eastAsia="Times New Roman"/>
                <w:color w:val="000000"/>
                <w:sz w:val="13"/>
                <w:szCs w:val="13"/>
              </w:rPr>
              <w:t>t</w:t>
            </w:r>
          </w:p>
        </w:tc>
        <w:tc>
          <w:tcPr>
            <w:tcW w:w="0" w:type="auto"/>
            <w:gridSpan w:val="2"/>
            <w:shd w:val="clear" w:color="auto" w:fill="FFFFFF"/>
            <w:tcMar>
              <w:top w:w="30" w:type="dxa"/>
              <w:left w:w="20" w:type="dxa"/>
              <w:bottom w:w="30" w:type="dxa"/>
              <w:right w:w="0" w:type="dxa"/>
            </w:tcMar>
            <w:vAlign w:val="bottom"/>
            <w:hideMark/>
          </w:tcPr>
          <w:p w14:paraId="1DAB1DB0" w14:textId="77777777" w:rsidR="00000000" w:rsidRDefault="00195E73">
            <w:pPr>
              <w:jc w:val="right"/>
              <w:rPr>
                <w:rFonts w:eastAsia="Times New Roman"/>
              </w:rPr>
            </w:pPr>
            <w:r>
              <w:rPr>
                <w:rFonts w:eastAsia="Times New Roman"/>
                <w:color w:val="000000"/>
                <w:sz w:val="13"/>
                <w:szCs w:val="13"/>
              </w:rPr>
              <w:t>2</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489EB224"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B24FAA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B19265" w14:textId="77777777" w:rsidR="00000000" w:rsidRDefault="00195E73">
            <w:pPr>
              <w:jc w:val="right"/>
              <w:rPr>
                <w:rFonts w:eastAsia="Times New Roman"/>
              </w:rPr>
            </w:pPr>
            <w:r>
              <w:rPr>
                <w:rFonts w:eastAsia="Times New Roman"/>
                <w:color w:val="000000"/>
                <w:sz w:val="13"/>
                <w:szCs w:val="13"/>
              </w:rPr>
              <w:t>92</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4B49F47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6F34A03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F46601" w14:textId="77777777" w:rsidR="00000000" w:rsidRDefault="00195E73">
            <w:pPr>
              <w:jc w:val="right"/>
              <w:rPr>
                <w:rFonts w:eastAsia="Times New Roman"/>
              </w:rPr>
            </w:pPr>
            <w:r>
              <w:rPr>
                <w:rFonts w:eastAsia="Times New Roman"/>
                <w:color w:val="000000"/>
                <w:sz w:val="13"/>
                <w:szCs w:val="13"/>
              </w:rPr>
              <w:t>87</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4AFA1B64"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77F99BCC" w14:textId="77777777" w:rsidR="00000000" w:rsidRDefault="00195E73">
            <w:pPr>
              <w:rPr>
                <w:rFonts w:eastAsia="Times New Roman"/>
                <w:sz w:val="20"/>
                <w:szCs w:val="20"/>
              </w:rPr>
            </w:pPr>
          </w:p>
        </w:tc>
        <w:tc>
          <w:tcPr>
            <w:tcW w:w="0" w:type="auto"/>
            <w:vAlign w:val="center"/>
            <w:hideMark/>
          </w:tcPr>
          <w:p w14:paraId="3DDAE476" w14:textId="77777777" w:rsidR="00000000" w:rsidRDefault="00195E73">
            <w:pPr>
              <w:rPr>
                <w:rFonts w:eastAsia="Times New Roman"/>
                <w:sz w:val="20"/>
                <w:szCs w:val="20"/>
              </w:rPr>
            </w:pPr>
          </w:p>
        </w:tc>
        <w:tc>
          <w:tcPr>
            <w:tcW w:w="0" w:type="auto"/>
            <w:vAlign w:val="center"/>
            <w:hideMark/>
          </w:tcPr>
          <w:p w14:paraId="117B4661" w14:textId="77777777" w:rsidR="00000000" w:rsidRDefault="00195E73">
            <w:pPr>
              <w:rPr>
                <w:rFonts w:eastAsia="Times New Roman"/>
                <w:sz w:val="20"/>
                <w:szCs w:val="20"/>
              </w:rPr>
            </w:pPr>
          </w:p>
        </w:tc>
        <w:tc>
          <w:tcPr>
            <w:tcW w:w="0" w:type="auto"/>
            <w:vAlign w:val="center"/>
            <w:hideMark/>
          </w:tcPr>
          <w:p w14:paraId="4147C3F7" w14:textId="77777777" w:rsidR="00000000" w:rsidRDefault="00195E73">
            <w:pPr>
              <w:rPr>
                <w:rFonts w:eastAsia="Times New Roman"/>
                <w:sz w:val="20"/>
                <w:szCs w:val="20"/>
              </w:rPr>
            </w:pPr>
          </w:p>
        </w:tc>
        <w:tc>
          <w:tcPr>
            <w:tcW w:w="0" w:type="auto"/>
            <w:vAlign w:val="center"/>
            <w:hideMark/>
          </w:tcPr>
          <w:p w14:paraId="7935B491" w14:textId="77777777" w:rsidR="00000000" w:rsidRDefault="00195E73">
            <w:pPr>
              <w:rPr>
                <w:rFonts w:eastAsia="Times New Roman"/>
                <w:sz w:val="20"/>
                <w:szCs w:val="20"/>
              </w:rPr>
            </w:pPr>
          </w:p>
        </w:tc>
        <w:tc>
          <w:tcPr>
            <w:tcW w:w="0" w:type="auto"/>
            <w:vAlign w:val="center"/>
            <w:hideMark/>
          </w:tcPr>
          <w:p w14:paraId="1C5D16B7" w14:textId="77777777" w:rsidR="00000000" w:rsidRDefault="00195E73">
            <w:pPr>
              <w:rPr>
                <w:rFonts w:eastAsia="Times New Roman"/>
                <w:sz w:val="20"/>
                <w:szCs w:val="20"/>
              </w:rPr>
            </w:pPr>
          </w:p>
        </w:tc>
        <w:tc>
          <w:tcPr>
            <w:tcW w:w="0" w:type="auto"/>
            <w:vAlign w:val="center"/>
            <w:hideMark/>
          </w:tcPr>
          <w:p w14:paraId="3A3D1DA8" w14:textId="77777777" w:rsidR="00000000" w:rsidRDefault="00195E73">
            <w:pPr>
              <w:rPr>
                <w:rFonts w:eastAsia="Times New Roman"/>
                <w:sz w:val="20"/>
                <w:szCs w:val="20"/>
              </w:rPr>
            </w:pPr>
          </w:p>
        </w:tc>
        <w:tc>
          <w:tcPr>
            <w:tcW w:w="0" w:type="auto"/>
            <w:vAlign w:val="center"/>
            <w:hideMark/>
          </w:tcPr>
          <w:p w14:paraId="55A79231" w14:textId="77777777" w:rsidR="00000000" w:rsidRDefault="00195E73">
            <w:pPr>
              <w:rPr>
                <w:rFonts w:eastAsia="Times New Roman"/>
                <w:sz w:val="20"/>
                <w:szCs w:val="20"/>
              </w:rPr>
            </w:pPr>
          </w:p>
        </w:tc>
        <w:tc>
          <w:tcPr>
            <w:tcW w:w="0" w:type="auto"/>
            <w:vAlign w:val="center"/>
            <w:hideMark/>
          </w:tcPr>
          <w:p w14:paraId="18A04BAD" w14:textId="77777777" w:rsidR="00000000" w:rsidRDefault="00195E73">
            <w:pPr>
              <w:rPr>
                <w:rFonts w:eastAsia="Times New Roman"/>
                <w:sz w:val="20"/>
                <w:szCs w:val="20"/>
              </w:rPr>
            </w:pPr>
          </w:p>
        </w:tc>
        <w:tc>
          <w:tcPr>
            <w:tcW w:w="0" w:type="auto"/>
            <w:vAlign w:val="center"/>
            <w:hideMark/>
          </w:tcPr>
          <w:p w14:paraId="5883F893" w14:textId="77777777" w:rsidR="00000000" w:rsidRDefault="00195E73">
            <w:pPr>
              <w:rPr>
                <w:rFonts w:eastAsia="Times New Roman"/>
                <w:sz w:val="20"/>
                <w:szCs w:val="20"/>
              </w:rPr>
            </w:pPr>
          </w:p>
        </w:tc>
        <w:tc>
          <w:tcPr>
            <w:tcW w:w="0" w:type="auto"/>
            <w:vAlign w:val="center"/>
            <w:hideMark/>
          </w:tcPr>
          <w:p w14:paraId="59E3F93D" w14:textId="77777777" w:rsidR="00000000" w:rsidRDefault="00195E73">
            <w:pPr>
              <w:rPr>
                <w:rFonts w:eastAsia="Times New Roman"/>
                <w:sz w:val="20"/>
                <w:szCs w:val="20"/>
              </w:rPr>
            </w:pPr>
          </w:p>
        </w:tc>
        <w:tc>
          <w:tcPr>
            <w:tcW w:w="0" w:type="auto"/>
            <w:vAlign w:val="center"/>
            <w:hideMark/>
          </w:tcPr>
          <w:p w14:paraId="19DD9133" w14:textId="77777777" w:rsidR="00000000" w:rsidRDefault="00195E73">
            <w:pPr>
              <w:rPr>
                <w:rFonts w:eastAsia="Times New Roman"/>
                <w:sz w:val="20"/>
                <w:szCs w:val="20"/>
              </w:rPr>
            </w:pPr>
          </w:p>
        </w:tc>
      </w:tr>
      <w:tr w:rsidR="00000000" w14:paraId="538ACEDD" w14:textId="77777777">
        <w:trPr>
          <w:divId w:val="1553998752"/>
          <w:jc w:val="center"/>
        </w:trPr>
        <w:tc>
          <w:tcPr>
            <w:tcW w:w="0" w:type="auto"/>
            <w:gridSpan w:val="3"/>
            <w:shd w:val="clear" w:color="auto" w:fill="CCEEFF"/>
            <w:tcMar>
              <w:top w:w="30" w:type="dxa"/>
              <w:left w:w="90" w:type="dxa"/>
              <w:bottom w:w="30" w:type="dxa"/>
              <w:right w:w="20" w:type="dxa"/>
            </w:tcMar>
            <w:vAlign w:val="bottom"/>
            <w:hideMark/>
          </w:tcPr>
          <w:p w14:paraId="087389D1" w14:textId="77777777" w:rsidR="00000000" w:rsidRDefault="00195E73">
            <w:pPr>
              <w:rPr>
                <w:rFonts w:eastAsia="Times New Roman"/>
              </w:rPr>
            </w:pPr>
            <w:r>
              <w:rPr>
                <w:rFonts w:eastAsia="Times New Roman"/>
                <w:color w:val="000000"/>
                <w:sz w:val="13"/>
                <w:szCs w:val="13"/>
              </w:rPr>
              <w:t>Deferred taxe</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537ABC50" w14:textId="77777777" w:rsidR="00000000" w:rsidRDefault="00195E73">
            <w:pPr>
              <w:jc w:val="right"/>
              <w:rPr>
                <w:rFonts w:eastAsia="Times New Roman"/>
              </w:rPr>
            </w:pPr>
            <w:r>
              <w:rPr>
                <w:rFonts w:eastAsia="Times New Roman"/>
                <w:color w:val="000000"/>
                <w:sz w:val="13"/>
                <w:szCs w:val="13"/>
              </w:rPr>
              <w:t>(89</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26973B68"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12CEBF4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8DC17E" w14:textId="77777777" w:rsidR="00000000" w:rsidRDefault="00195E73">
            <w:pPr>
              <w:jc w:val="right"/>
              <w:rPr>
                <w:rFonts w:eastAsia="Times New Roman"/>
              </w:rPr>
            </w:pPr>
            <w:r>
              <w:rPr>
                <w:rFonts w:eastAsia="Times New Roman"/>
                <w:color w:val="000000"/>
                <w:sz w:val="13"/>
                <w:szCs w:val="13"/>
              </w:rPr>
              <w:t>(29</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7944D46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095D7F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8A5F6A" w14:textId="77777777" w:rsidR="00000000" w:rsidRDefault="00195E73">
            <w:pPr>
              <w:jc w:val="right"/>
              <w:rPr>
                <w:rFonts w:eastAsia="Times New Roman"/>
              </w:rPr>
            </w:pPr>
            <w:r>
              <w:rPr>
                <w:rFonts w:eastAsia="Times New Roman"/>
                <w:color w:val="000000"/>
                <w:sz w:val="13"/>
                <w:szCs w:val="13"/>
              </w:rPr>
              <w:t>(560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2A7B530E"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82E0924" w14:textId="77777777" w:rsidR="00000000" w:rsidRDefault="00195E73">
            <w:pPr>
              <w:rPr>
                <w:rFonts w:eastAsia="Times New Roman"/>
                <w:sz w:val="20"/>
                <w:szCs w:val="20"/>
              </w:rPr>
            </w:pPr>
          </w:p>
        </w:tc>
        <w:tc>
          <w:tcPr>
            <w:tcW w:w="0" w:type="auto"/>
            <w:vAlign w:val="center"/>
            <w:hideMark/>
          </w:tcPr>
          <w:p w14:paraId="792187BC" w14:textId="77777777" w:rsidR="00000000" w:rsidRDefault="00195E73">
            <w:pPr>
              <w:rPr>
                <w:rFonts w:eastAsia="Times New Roman"/>
                <w:sz w:val="20"/>
                <w:szCs w:val="20"/>
              </w:rPr>
            </w:pPr>
          </w:p>
        </w:tc>
        <w:tc>
          <w:tcPr>
            <w:tcW w:w="0" w:type="auto"/>
            <w:vAlign w:val="center"/>
            <w:hideMark/>
          </w:tcPr>
          <w:p w14:paraId="16613973" w14:textId="77777777" w:rsidR="00000000" w:rsidRDefault="00195E73">
            <w:pPr>
              <w:rPr>
                <w:rFonts w:eastAsia="Times New Roman"/>
                <w:sz w:val="20"/>
                <w:szCs w:val="20"/>
              </w:rPr>
            </w:pPr>
          </w:p>
        </w:tc>
        <w:tc>
          <w:tcPr>
            <w:tcW w:w="0" w:type="auto"/>
            <w:vAlign w:val="center"/>
            <w:hideMark/>
          </w:tcPr>
          <w:p w14:paraId="2AE5B7E3" w14:textId="77777777" w:rsidR="00000000" w:rsidRDefault="00195E73">
            <w:pPr>
              <w:rPr>
                <w:rFonts w:eastAsia="Times New Roman"/>
                <w:sz w:val="20"/>
                <w:szCs w:val="20"/>
              </w:rPr>
            </w:pPr>
          </w:p>
        </w:tc>
        <w:tc>
          <w:tcPr>
            <w:tcW w:w="0" w:type="auto"/>
            <w:vAlign w:val="center"/>
            <w:hideMark/>
          </w:tcPr>
          <w:p w14:paraId="49CC4167" w14:textId="77777777" w:rsidR="00000000" w:rsidRDefault="00195E73">
            <w:pPr>
              <w:rPr>
                <w:rFonts w:eastAsia="Times New Roman"/>
                <w:sz w:val="20"/>
                <w:szCs w:val="20"/>
              </w:rPr>
            </w:pPr>
          </w:p>
        </w:tc>
        <w:tc>
          <w:tcPr>
            <w:tcW w:w="0" w:type="auto"/>
            <w:vAlign w:val="center"/>
            <w:hideMark/>
          </w:tcPr>
          <w:p w14:paraId="3BF5E043" w14:textId="77777777" w:rsidR="00000000" w:rsidRDefault="00195E73">
            <w:pPr>
              <w:rPr>
                <w:rFonts w:eastAsia="Times New Roman"/>
                <w:sz w:val="20"/>
                <w:szCs w:val="20"/>
              </w:rPr>
            </w:pPr>
          </w:p>
        </w:tc>
        <w:tc>
          <w:tcPr>
            <w:tcW w:w="0" w:type="auto"/>
            <w:vAlign w:val="center"/>
            <w:hideMark/>
          </w:tcPr>
          <w:p w14:paraId="62A94DFE" w14:textId="77777777" w:rsidR="00000000" w:rsidRDefault="00195E73">
            <w:pPr>
              <w:rPr>
                <w:rFonts w:eastAsia="Times New Roman"/>
                <w:sz w:val="20"/>
                <w:szCs w:val="20"/>
              </w:rPr>
            </w:pPr>
          </w:p>
        </w:tc>
        <w:tc>
          <w:tcPr>
            <w:tcW w:w="0" w:type="auto"/>
            <w:vAlign w:val="center"/>
            <w:hideMark/>
          </w:tcPr>
          <w:p w14:paraId="1421F972" w14:textId="77777777" w:rsidR="00000000" w:rsidRDefault="00195E73">
            <w:pPr>
              <w:rPr>
                <w:rFonts w:eastAsia="Times New Roman"/>
                <w:sz w:val="20"/>
                <w:szCs w:val="20"/>
              </w:rPr>
            </w:pPr>
          </w:p>
        </w:tc>
        <w:tc>
          <w:tcPr>
            <w:tcW w:w="0" w:type="auto"/>
            <w:vAlign w:val="center"/>
            <w:hideMark/>
          </w:tcPr>
          <w:p w14:paraId="766B3AAA" w14:textId="77777777" w:rsidR="00000000" w:rsidRDefault="00195E73">
            <w:pPr>
              <w:rPr>
                <w:rFonts w:eastAsia="Times New Roman"/>
                <w:sz w:val="20"/>
                <w:szCs w:val="20"/>
              </w:rPr>
            </w:pPr>
          </w:p>
        </w:tc>
        <w:tc>
          <w:tcPr>
            <w:tcW w:w="0" w:type="auto"/>
            <w:vAlign w:val="center"/>
            <w:hideMark/>
          </w:tcPr>
          <w:p w14:paraId="0AB68B11" w14:textId="77777777" w:rsidR="00000000" w:rsidRDefault="00195E73">
            <w:pPr>
              <w:rPr>
                <w:rFonts w:eastAsia="Times New Roman"/>
                <w:sz w:val="20"/>
                <w:szCs w:val="20"/>
              </w:rPr>
            </w:pPr>
          </w:p>
        </w:tc>
        <w:tc>
          <w:tcPr>
            <w:tcW w:w="0" w:type="auto"/>
            <w:vAlign w:val="center"/>
            <w:hideMark/>
          </w:tcPr>
          <w:p w14:paraId="1801AFAB" w14:textId="77777777" w:rsidR="00000000" w:rsidRDefault="00195E73">
            <w:pPr>
              <w:rPr>
                <w:rFonts w:eastAsia="Times New Roman"/>
                <w:sz w:val="20"/>
                <w:szCs w:val="20"/>
              </w:rPr>
            </w:pPr>
          </w:p>
        </w:tc>
        <w:tc>
          <w:tcPr>
            <w:tcW w:w="0" w:type="auto"/>
            <w:vAlign w:val="center"/>
            <w:hideMark/>
          </w:tcPr>
          <w:p w14:paraId="13BCF835" w14:textId="77777777" w:rsidR="00000000" w:rsidRDefault="00195E73">
            <w:pPr>
              <w:rPr>
                <w:rFonts w:eastAsia="Times New Roman"/>
                <w:sz w:val="20"/>
                <w:szCs w:val="20"/>
              </w:rPr>
            </w:pPr>
          </w:p>
        </w:tc>
      </w:tr>
      <w:tr w:rsidR="00000000" w14:paraId="6D750FB3" w14:textId="77777777">
        <w:trPr>
          <w:divId w:val="1553998752"/>
          <w:jc w:val="center"/>
        </w:trPr>
        <w:tc>
          <w:tcPr>
            <w:tcW w:w="0" w:type="auto"/>
            <w:gridSpan w:val="3"/>
            <w:shd w:val="clear" w:color="auto" w:fill="FFFFFF"/>
            <w:tcMar>
              <w:top w:w="30" w:type="dxa"/>
              <w:left w:w="90" w:type="dxa"/>
              <w:bottom w:w="30" w:type="dxa"/>
              <w:right w:w="20" w:type="dxa"/>
            </w:tcMar>
            <w:vAlign w:val="bottom"/>
            <w:hideMark/>
          </w:tcPr>
          <w:p w14:paraId="0F2EC450" w14:textId="77777777" w:rsidR="00000000" w:rsidRDefault="00195E73">
            <w:pPr>
              <w:rPr>
                <w:rFonts w:eastAsia="Times New Roman"/>
              </w:rPr>
            </w:pPr>
            <w:r>
              <w:rPr>
                <w:rFonts w:eastAsia="Times New Roman"/>
                <w:color w:val="000000"/>
                <w:sz w:val="13"/>
                <w:szCs w:val="13"/>
              </w:rPr>
              <w:t>Other, ne</w:t>
            </w:r>
            <w:r>
              <w:rPr>
                <w:rFonts w:eastAsia="Times New Roman"/>
                <w:color w:val="000000"/>
                <w:sz w:val="13"/>
                <w:szCs w:val="13"/>
              </w:rPr>
              <w:t>t</w:t>
            </w:r>
          </w:p>
        </w:tc>
        <w:tc>
          <w:tcPr>
            <w:tcW w:w="0" w:type="auto"/>
            <w:gridSpan w:val="2"/>
            <w:shd w:val="clear" w:color="auto" w:fill="FFFFFF"/>
            <w:tcMar>
              <w:top w:w="30" w:type="dxa"/>
              <w:left w:w="20" w:type="dxa"/>
              <w:bottom w:w="30" w:type="dxa"/>
              <w:right w:w="0" w:type="dxa"/>
            </w:tcMar>
            <w:vAlign w:val="bottom"/>
            <w:hideMark/>
          </w:tcPr>
          <w:p w14:paraId="102DE43E" w14:textId="77777777" w:rsidR="00000000" w:rsidRDefault="00195E73">
            <w:pPr>
              <w:jc w:val="right"/>
              <w:rPr>
                <w:rFonts w:eastAsia="Times New Roman"/>
              </w:rPr>
            </w:pPr>
            <w:r>
              <w:rPr>
                <w:rFonts w:eastAsia="Times New Roman"/>
                <w:color w:val="000000"/>
                <w:sz w:val="13"/>
                <w:szCs w:val="13"/>
              </w:rPr>
              <w:t>16</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4B99D45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677337A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2B417C" w14:textId="77777777" w:rsidR="00000000" w:rsidRDefault="00195E73">
            <w:pPr>
              <w:jc w:val="right"/>
              <w:rPr>
                <w:rFonts w:eastAsia="Times New Roman"/>
              </w:rPr>
            </w:pPr>
            <w:r>
              <w:rPr>
                <w:rFonts w:eastAsia="Times New Roman"/>
                <w:color w:val="000000"/>
                <w:sz w:val="13"/>
                <w:szCs w:val="13"/>
              </w:rPr>
              <w:t>123</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787C0BE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9E0D52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5D7941" w14:textId="77777777" w:rsidR="00000000" w:rsidRDefault="00195E73">
            <w:pPr>
              <w:jc w:val="right"/>
              <w:rPr>
                <w:rFonts w:eastAsia="Times New Roman"/>
              </w:rPr>
            </w:pPr>
            <w:r>
              <w:rPr>
                <w:rFonts w:eastAsia="Times New Roman"/>
                <w:color w:val="000000"/>
                <w:sz w:val="13"/>
                <w:szCs w:val="13"/>
              </w:rPr>
              <w:t>(27</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0A018EC7"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78CF2BCD" w14:textId="77777777" w:rsidR="00000000" w:rsidRDefault="00195E73">
            <w:pPr>
              <w:rPr>
                <w:rFonts w:eastAsia="Times New Roman"/>
                <w:sz w:val="20"/>
                <w:szCs w:val="20"/>
              </w:rPr>
            </w:pPr>
          </w:p>
        </w:tc>
        <w:tc>
          <w:tcPr>
            <w:tcW w:w="0" w:type="auto"/>
            <w:vAlign w:val="center"/>
            <w:hideMark/>
          </w:tcPr>
          <w:p w14:paraId="3ED04A90" w14:textId="77777777" w:rsidR="00000000" w:rsidRDefault="00195E73">
            <w:pPr>
              <w:rPr>
                <w:rFonts w:eastAsia="Times New Roman"/>
                <w:sz w:val="20"/>
                <w:szCs w:val="20"/>
              </w:rPr>
            </w:pPr>
          </w:p>
        </w:tc>
        <w:tc>
          <w:tcPr>
            <w:tcW w:w="0" w:type="auto"/>
            <w:vAlign w:val="center"/>
            <w:hideMark/>
          </w:tcPr>
          <w:p w14:paraId="57C95027" w14:textId="77777777" w:rsidR="00000000" w:rsidRDefault="00195E73">
            <w:pPr>
              <w:rPr>
                <w:rFonts w:eastAsia="Times New Roman"/>
                <w:sz w:val="20"/>
                <w:szCs w:val="20"/>
              </w:rPr>
            </w:pPr>
          </w:p>
        </w:tc>
        <w:tc>
          <w:tcPr>
            <w:tcW w:w="0" w:type="auto"/>
            <w:vAlign w:val="center"/>
            <w:hideMark/>
          </w:tcPr>
          <w:p w14:paraId="6114B9D7" w14:textId="77777777" w:rsidR="00000000" w:rsidRDefault="00195E73">
            <w:pPr>
              <w:rPr>
                <w:rFonts w:eastAsia="Times New Roman"/>
                <w:sz w:val="20"/>
                <w:szCs w:val="20"/>
              </w:rPr>
            </w:pPr>
          </w:p>
        </w:tc>
        <w:tc>
          <w:tcPr>
            <w:tcW w:w="0" w:type="auto"/>
            <w:vAlign w:val="center"/>
            <w:hideMark/>
          </w:tcPr>
          <w:p w14:paraId="732A467E" w14:textId="77777777" w:rsidR="00000000" w:rsidRDefault="00195E73">
            <w:pPr>
              <w:rPr>
                <w:rFonts w:eastAsia="Times New Roman"/>
                <w:sz w:val="20"/>
                <w:szCs w:val="20"/>
              </w:rPr>
            </w:pPr>
          </w:p>
        </w:tc>
        <w:tc>
          <w:tcPr>
            <w:tcW w:w="0" w:type="auto"/>
            <w:vAlign w:val="center"/>
            <w:hideMark/>
          </w:tcPr>
          <w:p w14:paraId="37DF445D" w14:textId="77777777" w:rsidR="00000000" w:rsidRDefault="00195E73">
            <w:pPr>
              <w:rPr>
                <w:rFonts w:eastAsia="Times New Roman"/>
                <w:sz w:val="20"/>
                <w:szCs w:val="20"/>
              </w:rPr>
            </w:pPr>
          </w:p>
        </w:tc>
        <w:tc>
          <w:tcPr>
            <w:tcW w:w="0" w:type="auto"/>
            <w:vAlign w:val="center"/>
            <w:hideMark/>
          </w:tcPr>
          <w:p w14:paraId="0B4E6F8B" w14:textId="77777777" w:rsidR="00000000" w:rsidRDefault="00195E73">
            <w:pPr>
              <w:rPr>
                <w:rFonts w:eastAsia="Times New Roman"/>
                <w:sz w:val="20"/>
                <w:szCs w:val="20"/>
              </w:rPr>
            </w:pPr>
          </w:p>
        </w:tc>
        <w:tc>
          <w:tcPr>
            <w:tcW w:w="0" w:type="auto"/>
            <w:vAlign w:val="center"/>
            <w:hideMark/>
          </w:tcPr>
          <w:p w14:paraId="5B19CD1C" w14:textId="77777777" w:rsidR="00000000" w:rsidRDefault="00195E73">
            <w:pPr>
              <w:rPr>
                <w:rFonts w:eastAsia="Times New Roman"/>
                <w:sz w:val="20"/>
                <w:szCs w:val="20"/>
              </w:rPr>
            </w:pPr>
          </w:p>
        </w:tc>
        <w:tc>
          <w:tcPr>
            <w:tcW w:w="0" w:type="auto"/>
            <w:vAlign w:val="center"/>
            <w:hideMark/>
          </w:tcPr>
          <w:p w14:paraId="07DE8C0F" w14:textId="77777777" w:rsidR="00000000" w:rsidRDefault="00195E73">
            <w:pPr>
              <w:rPr>
                <w:rFonts w:eastAsia="Times New Roman"/>
                <w:sz w:val="20"/>
                <w:szCs w:val="20"/>
              </w:rPr>
            </w:pPr>
          </w:p>
        </w:tc>
        <w:tc>
          <w:tcPr>
            <w:tcW w:w="0" w:type="auto"/>
            <w:vAlign w:val="center"/>
            <w:hideMark/>
          </w:tcPr>
          <w:p w14:paraId="7FAFC99A" w14:textId="77777777" w:rsidR="00000000" w:rsidRDefault="00195E73">
            <w:pPr>
              <w:rPr>
                <w:rFonts w:eastAsia="Times New Roman"/>
                <w:sz w:val="20"/>
                <w:szCs w:val="20"/>
              </w:rPr>
            </w:pPr>
          </w:p>
        </w:tc>
        <w:tc>
          <w:tcPr>
            <w:tcW w:w="0" w:type="auto"/>
            <w:vAlign w:val="center"/>
            <w:hideMark/>
          </w:tcPr>
          <w:p w14:paraId="15D614F4" w14:textId="77777777" w:rsidR="00000000" w:rsidRDefault="00195E73">
            <w:pPr>
              <w:rPr>
                <w:rFonts w:eastAsia="Times New Roman"/>
                <w:sz w:val="20"/>
                <w:szCs w:val="20"/>
              </w:rPr>
            </w:pPr>
          </w:p>
        </w:tc>
        <w:tc>
          <w:tcPr>
            <w:tcW w:w="0" w:type="auto"/>
            <w:vAlign w:val="center"/>
            <w:hideMark/>
          </w:tcPr>
          <w:p w14:paraId="50EE9FCB" w14:textId="77777777" w:rsidR="00000000" w:rsidRDefault="00195E73">
            <w:pPr>
              <w:rPr>
                <w:rFonts w:eastAsia="Times New Roman"/>
                <w:sz w:val="20"/>
                <w:szCs w:val="20"/>
              </w:rPr>
            </w:pPr>
          </w:p>
        </w:tc>
      </w:tr>
      <w:tr w:rsidR="00000000" w14:paraId="192B6EB2" w14:textId="77777777">
        <w:trPr>
          <w:divId w:val="1553998752"/>
          <w:jc w:val="center"/>
        </w:trPr>
        <w:tc>
          <w:tcPr>
            <w:tcW w:w="0" w:type="auto"/>
            <w:gridSpan w:val="3"/>
            <w:shd w:val="clear" w:color="auto" w:fill="CCEEFF"/>
            <w:tcMar>
              <w:top w:w="30" w:type="dxa"/>
              <w:left w:w="90" w:type="dxa"/>
              <w:bottom w:w="30" w:type="dxa"/>
              <w:right w:w="20" w:type="dxa"/>
            </w:tcMar>
            <w:vAlign w:val="bottom"/>
            <w:hideMark/>
          </w:tcPr>
          <w:p w14:paraId="3EE847E1" w14:textId="77777777" w:rsidR="00000000" w:rsidRDefault="00195E73">
            <w:pPr>
              <w:rPr>
                <w:rFonts w:eastAsia="Times New Roman"/>
              </w:rPr>
            </w:pPr>
            <w:r>
              <w:rPr>
                <w:rFonts w:eastAsia="Times New Roman"/>
                <w:color w:val="000000"/>
                <w:sz w:val="13"/>
                <w:szCs w:val="13"/>
              </w:rPr>
              <w:t>Changes in operating assets and liabilities</w:t>
            </w:r>
            <w:r>
              <w:rPr>
                <w:rFonts w:eastAsia="Times New Roman"/>
                <w:color w:val="000000"/>
                <w:sz w:val="13"/>
                <w:szCs w:val="13"/>
              </w:rPr>
              <w:t>:</w:t>
            </w:r>
          </w:p>
        </w:tc>
        <w:tc>
          <w:tcPr>
            <w:tcW w:w="0" w:type="auto"/>
            <w:gridSpan w:val="3"/>
            <w:shd w:val="clear" w:color="auto" w:fill="CCEEFF"/>
            <w:tcMar>
              <w:top w:w="15" w:type="dxa"/>
              <w:left w:w="20" w:type="dxa"/>
              <w:bottom w:w="15" w:type="dxa"/>
              <w:right w:w="20" w:type="dxa"/>
            </w:tcMar>
            <w:vAlign w:val="bottom"/>
            <w:hideMark/>
          </w:tcPr>
          <w:p w14:paraId="701A5455"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D2239AA"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50B011A"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236342F"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47CE4F0" w14:textId="77777777" w:rsidR="00000000" w:rsidRDefault="00195E73">
            <w:pPr>
              <w:rPr>
                <w:rFonts w:eastAsia="Times New Roman"/>
                <w:sz w:val="20"/>
                <w:szCs w:val="20"/>
              </w:rPr>
            </w:pPr>
          </w:p>
        </w:tc>
        <w:tc>
          <w:tcPr>
            <w:tcW w:w="0" w:type="auto"/>
            <w:vAlign w:val="center"/>
            <w:hideMark/>
          </w:tcPr>
          <w:p w14:paraId="66679A62" w14:textId="77777777" w:rsidR="00000000" w:rsidRDefault="00195E73">
            <w:pPr>
              <w:rPr>
                <w:rFonts w:eastAsia="Times New Roman"/>
                <w:sz w:val="20"/>
                <w:szCs w:val="20"/>
              </w:rPr>
            </w:pPr>
          </w:p>
        </w:tc>
        <w:tc>
          <w:tcPr>
            <w:tcW w:w="0" w:type="auto"/>
            <w:vAlign w:val="center"/>
            <w:hideMark/>
          </w:tcPr>
          <w:p w14:paraId="2F9AA195" w14:textId="77777777" w:rsidR="00000000" w:rsidRDefault="00195E73">
            <w:pPr>
              <w:rPr>
                <w:rFonts w:eastAsia="Times New Roman"/>
                <w:sz w:val="20"/>
                <w:szCs w:val="20"/>
              </w:rPr>
            </w:pPr>
          </w:p>
        </w:tc>
        <w:tc>
          <w:tcPr>
            <w:tcW w:w="0" w:type="auto"/>
            <w:vAlign w:val="center"/>
            <w:hideMark/>
          </w:tcPr>
          <w:p w14:paraId="5A358DE5" w14:textId="77777777" w:rsidR="00000000" w:rsidRDefault="00195E73">
            <w:pPr>
              <w:rPr>
                <w:rFonts w:eastAsia="Times New Roman"/>
                <w:sz w:val="20"/>
                <w:szCs w:val="20"/>
              </w:rPr>
            </w:pPr>
          </w:p>
        </w:tc>
        <w:tc>
          <w:tcPr>
            <w:tcW w:w="0" w:type="auto"/>
            <w:vAlign w:val="center"/>
            <w:hideMark/>
          </w:tcPr>
          <w:p w14:paraId="53916FF1" w14:textId="77777777" w:rsidR="00000000" w:rsidRDefault="00195E73">
            <w:pPr>
              <w:rPr>
                <w:rFonts w:eastAsia="Times New Roman"/>
                <w:sz w:val="20"/>
                <w:szCs w:val="20"/>
              </w:rPr>
            </w:pPr>
          </w:p>
        </w:tc>
        <w:tc>
          <w:tcPr>
            <w:tcW w:w="0" w:type="auto"/>
            <w:vAlign w:val="center"/>
            <w:hideMark/>
          </w:tcPr>
          <w:p w14:paraId="0D806405" w14:textId="77777777" w:rsidR="00000000" w:rsidRDefault="00195E73">
            <w:pPr>
              <w:rPr>
                <w:rFonts w:eastAsia="Times New Roman"/>
                <w:sz w:val="20"/>
                <w:szCs w:val="20"/>
              </w:rPr>
            </w:pPr>
          </w:p>
        </w:tc>
        <w:tc>
          <w:tcPr>
            <w:tcW w:w="0" w:type="auto"/>
            <w:vAlign w:val="center"/>
            <w:hideMark/>
          </w:tcPr>
          <w:p w14:paraId="1189C3C6" w14:textId="77777777" w:rsidR="00000000" w:rsidRDefault="00195E73">
            <w:pPr>
              <w:rPr>
                <w:rFonts w:eastAsia="Times New Roman"/>
                <w:sz w:val="20"/>
                <w:szCs w:val="20"/>
              </w:rPr>
            </w:pPr>
          </w:p>
        </w:tc>
        <w:tc>
          <w:tcPr>
            <w:tcW w:w="0" w:type="auto"/>
            <w:vAlign w:val="center"/>
            <w:hideMark/>
          </w:tcPr>
          <w:p w14:paraId="6D283FFE" w14:textId="77777777" w:rsidR="00000000" w:rsidRDefault="00195E73">
            <w:pPr>
              <w:rPr>
                <w:rFonts w:eastAsia="Times New Roman"/>
                <w:sz w:val="20"/>
                <w:szCs w:val="20"/>
              </w:rPr>
            </w:pPr>
          </w:p>
        </w:tc>
        <w:tc>
          <w:tcPr>
            <w:tcW w:w="0" w:type="auto"/>
            <w:vAlign w:val="center"/>
            <w:hideMark/>
          </w:tcPr>
          <w:p w14:paraId="3C2BF4E6" w14:textId="77777777" w:rsidR="00000000" w:rsidRDefault="00195E73">
            <w:pPr>
              <w:rPr>
                <w:rFonts w:eastAsia="Times New Roman"/>
                <w:sz w:val="20"/>
                <w:szCs w:val="20"/>
              </w:rPr>
            </w:pPr>
          </w:p>
        </w:tc>
        <w:tc>
          <w:tcPr>
            <w:tcW w:w="0" w:type="auto"/>
            <w:vAlign w:val="center"/>
            <w:hideMark/>
          </w:tcPr>
          <w:p w14:paraId="7D5EFEAE" w14:textId="77777777" w:rsidR="00000000" w:rsidRDefault="00195E73">
            <w:pPr>
              <w:rPr>
                <w:rFonts w:eastAsia="Times New Roman"/>
                <w:sz w:val="20"/>
                <w:szCs w:val="20"/>
              </w:rPr>
            </w:pPr>
          </w:p>
        </w:tc>
        <w:tc>
          <w:tcPr>
            <w:tcW w:w="0" w:type="auto"/>
            <w:vAlign w:val="center"/>
            <w:hideMark/>
          </w:tcPr>
          <w:p w14:paraId="405D6554" w14:textId="77777777" w:rsidR="00000000" w:rsidRDefault="00195E73">
            <w:pPr>
              <w:rPr>
                <w:rFonts w:eastAsia="Times New Roman"/>
                <w:sz w:val="20"/>
                <w:szCs w:val="20"/>
              </w:rPr>
            </w:pPr>
          </w:p>
        </w:tc>
        <w:tc>
          <w:tcPr>
            <w:tcW w:w="0" w:type="auto"/>
            <w:vAlign w:val="center"/>
            <w:hideMark/>
          </w:tcPr>
          <w:p w14:paraId="5A0514C4" w14:textId="77777777" w:rsidR="00000000" w:rsidRDefault="00195E73">
            <w:pPr>
              <w:rPr>
                <w:rFonts w:eastAsia="Times New Roman"/>
                <w:sz w:val="20"/>
                <w:szCs w:val="20"/>
              </w:rPr>
            </w:pPr>
          </w:p>
        </w:tc>
        <w:tc>
          <w:tcPr>
            <w:tcW w:w="0" w:type="auto"/>
            <w:vAlign w:val="center"/>
            <w:hideMark/>
          </w:tcPr>
          <w:p w14:paraId="0FFA8776" w14:textId="77777777" w:rsidR="00000000" w:rsidRDefault="00195E73">
            <w:pPr>
              <w:rPr>
                <w:rFonts w:eastAsia="Times New Roman"/>
                <w:sz w:val="20"/>
                <w:szCs w:val="20"/>
              </w:rPr>
            </w:pPr>
          </w:p>
        </w:tc>
      </w:tr>
      <w:tr w:rsidR="00000000" w14:paraId="1E3C1060" w14:textId="77777777">
        <w:trPr>
          <w:divId w:val="1553998752"/>
          <w:jc w:val="center"/>
        </w:trPr>
        <w:tc>
          <w:tcPr>
            <w:tcW w:w="0" w:type="auto"/>
            <w:gridSpan w:val="3"/>
            <w:shd w:val="clear" w:color="auto" w:fill="FFFFFF"/>
            <w:tcMar>
              <w:top w:w="30" w:type="dxa"/>
              <w:left w:w="180" w:type="dxa"/>
              <w:bottom w:w="30" w:type="dxa"/>
              <w:right w:w="20" w:type="dxa"/>
            </w:tcMar>
            <w:vAlign w:val="bottom"/>
            <w:hideMark/>
          </w:tcPr>
          <w:p w14:paraId="32425850" w14:textId="77777777" w:rsidR="00000000" w:rsidRDefault="00195E73">
            <w:pPr>
              <w:rPr>
                <w:rFonts w:eastAsia="Times New Roman"/>
              </w:rPr>
            </w:pPr>
            <w:r>
              <w:rPr>
                <w:rFonts w:eastAsia="Times New Roman"/>
                <w:color w:val="000000"/>
                <w:sz w:val="13"/>
                <w:szCs w:val="13"/>
              </w:rPr>
              <w:t>Accounts receivable, ne</w:t>
            </w:r>
            <w:r>
              <w:rPr>
                <w:rFonts w:eastAsia="Times New Roman"/>
                <w:color w:val="000000"/>
                <w:sz w:val="13"/>
                <w:szCs w:val="13"/>
              </w:rPr>
              <w:t>t</w:t>
            </w:r>
          </w:p>
        </w:tc>
        <w:tc>
          <w:tcPr>
            <w:tcW w:w="0" w:type="auto"/>
            <w:gridSpan w:val="2"/>
            <w:shd w:val="clear" w:color="auto" w:fill="FFFFFF"/>
            <w:tcMar>
              <w:top w:w="30" w:type="dxa"/>
              <w:left w:w="20" w:type="dxa"/>
              <w:bottom w:w="30" w:type="dxa"/>
              <w:right w:w="0" w:type="dxa"/>
            </w:tcMar>
            <w:vAlign w:val="bottom"/>
            <w:hideMark/>
          </w:tcPr>
          <w:p w14:paraId="3642D100" w14:textId="77777777" w:rsidR="00000000" w:rsidRDefault="00195E73">
            <w:pPr>
              <w:jc w:val="right"/>
              <w:rPr>
                <w:rFonts w:eastAsia="Times New Roman"/>
              </w:rPr>
            </w:pPr>
            <w:r>
              <w:rPr>
                <w:rFonts w:eastAsia="Times New Roman"/>
                <w:color w:val="000000"/>
                <w:sz w:val="13"/>
                <w:szCs w:val="13"/>
              </w:rPr>
              <w:t>(33</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3C58C1F8"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416202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DD83CA" w14:textId="77777777" w:rsidR="00000000" w:rsidRDefault="00195E73">
            <w:pPr>
              <w:jc w:val="right"/>
              <w:rPr>
                <w:rFonts w:eastAsia="Times New Roman"/>
              </w:rPr>
            </w:pPr>
            <w:r>
              <w:rPr>
                <w:rFonts w:eastAsia="Times New Roman"/>
                <w:color w:val="000000"/>
                <w:sz w:val="13"/>
                <w:szCs w:val="13"/>
              </w:rPr>
              <w:t>45</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0015B8A0"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5C58763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BCF121" w14:textId="77777777" w:rsidR="00000000" w:rsidRDefault="00195E73">
            <w:pPr>
              <w:jc w:val="right"/>
              <w:rPr>
                <w:rFonts w:eastAsia="Times New Roman"/>
              </w:rPr>
            </w:pPr>
            <w:r>
              <w:rPr>
                <w:rFonts w:eastAsia="Times New Roman"/>
                <w:color w:val="000000"/>
                <w:sz w:val="13"/>
                <w:szCs w:val="13"/>
              </w:rPr>
              <w:t>(72</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137B66D8"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00251682" w14:textId="77777777" w:rsidR="00000000" w:rsidRDefault="00195E73">
            <w:pPr>
              <w:rPr>
                <w:rFonts w:eastAsia="Times New Roman"/>
                <w:sz w:val="20"/>
                <w:szCs w:val="20"/>
              </w:rPr>
            </w:pPr>
          </w:p>
        </w:tc>
        <w:tc>
          <w:tcPr>
            <w:tcW w:w="0" w:type="auto"/>
            <w:vAlign w:val="center"/>
            <w:hideMark/>
          </w:tcPr>
          <w:p w14:paraId="29DD28E2" w14:textId="77777777" w:rsidR="00000000" w:rsidRDefault="00195E73">
            <w:pPr>
              <w:rPr>
                <w:rFonts w:eastAsia="Times New Roman"/>
                <w:sz w:val="20"/>
                <w:szCs w:val="20"/>
              </w:rPr>
            </w:pPr>
          </w:p>
        </w:tc>
        <w:tc>
          <w:tcPr>
            <w:tcW w:w="0" w:type="auto"/>
            <w:vAlign w:val="center"/>
            <w:hideMark/>
          </w:tcPr>
          <w:p w14:paraId="24762DA9" w14:textId="77777777" w:rsidR="00000000" w:rsidRDefault="00195E73">
            <w:pPr>
              <w:rPr>
                <w:rFonts w:eastAsia="Times New Roman"/>
                <w:sz w:val="20"/>
                <w:szCs w:val="20"/>
              </w:rPr>
            </w:pPr>
          </w:p>
        </w:tc>
        <w:tc>
          <w:tcPr>
            <w:tcW w:w="0" w:type="auto"/>
            <w:vAlign w:val="center"/>
            <w:hideMark/>
          </w:tcPr>
          <w:p w14:paraId="64C2802A" w14:textId="77777777" w:rsidR="00000000" w:rsidRDefault="00195E73">
            <w:pPr>
              <w:rPr>
                <w:rFonts w:eastAsia="Times New Roman"/>
                <w:sz w:val="20"/>
                <w:szCs w:val="20"/>
              </w:rPr>
            </w:pPr>
          </w:p>
        </w:tc>
        <w:tc>
          <w:tcPr>
            <w:tcW w:w="0" w:type="auto"/>
            <w:vAlign w:val="center"/>
            <w:hideMark/>
          </w:tcPr>
          <w:p w14:paraId="14BBA7F2" w14:textId="77777777" w:rsidR="00000000" w:rsidRDefault="00195E73">
            <w:pPr>
              <w:rPr>
                <w:rFonts w:eastAsia="Times New Roman"/>
                <w:sz w:val="20"/>
                <w:szCs w:val="20"/>
              </w:rPr>
            </w:pPr>
          </w:p>
        </w:tc>
        <w:tc>
          <w:tcPr>
            <w:tcW w:w="0" w:type="auto"/>
            <w:vAlign w:val="center"/>
            <w:hideMark/>
          </w:tcPr>
          <w:p w14:paraId="7E26BCD6" w14:textId="77777777" w:rsidR="00000000" w:rsidRDefault="00195E73">
            <w:pPr>
              <w:rPr>
                <w:rFonts w:eastAsia="Times New Roman"/>
                <w:sz w:val="20"/>
                <w:szCs w:val="20"/>
              </w:rPr>
            </w:pPr>
          </w:p>
        </w:tc>
        <w:tc>
          <w:tcPr>
            <w:tcW w:w="0" w:type="auto"/>
            <w:vAlign w:val="center"/>
            <w:hideMark/>
          </w:tcPr>
          <w:p w14:paraId="2F275A59" w14:textId="77777777" w:rsidR="00000000" w:rsidRDefault="00195E73">
            <w:pPr>
              <w:rPr>
                <w:rFonts w:eastAsia="Times New Roman"/>
                <w:sz w:val="20"/>
                <w:szCs w:val="20"/>
              </w:rPr>
            </w:pPr>
          </w:p>
        </w:tc>
        <w:tc>
          <w:tcPr>
            <w:tcW w:w="0" w:type="auto"/>
            <w:vAlign w:val="center"/>
            <w:hideMark/>
          </w:tcPr>
          <w:p w14:paraId="13C1E4DF" w14:textId="77777777" w:rsidR="00000000" w:rsidRDefault="00195E73">
            <w:pPr>
              <w:rPr>
                <w:rFonts w:eastAsia="Times New Roman"/>
                <w:sz w:val="20"/>
                <w:szCs w:val="20"/>
              </w:rPr>
            </w:pPr>
          </w:p>
        </w:tc>
        <w:tc>
          <w:tcPr>
            <w:tcW w:w="0" w:type="auto"/>
            <w:vAlign w:val="center"/>
            <w:hideMark/>
          </w:tcPr>
          <w:p w14:paraId="1075FF01" w14:textId="77777777" w:rsidR="00000000" w:rsidRDefault="00195E73">
            <w:pPr>
              <w:rPr>
                <w:rFonts w:eastAsia="Times New Roman"/>
                <w:sz w:val="20"/>
                <w:szCs w:val="20"/>
              </w:rPr>
            </w:pPr>
          </w:p>
        </w:tc>
        <w:tc>
          <w:tcPr>
            <w:tcW w:w="0" w:type="auto"/>
            <w:vAlign w:val="center"/>
            <w:hideMark/>
          </w:tcPr>
          <w:p w14:paraId="19C4817D" w14:textId="77777777" w:rsidR="00000000" w:rsidRDefault="00195E73">
            <w:pPr>
              <w:rPr>
                <w:rFonts w:eastAsia="Times New Roman"/>
                <w:sz w:val="20"/>
                <w:szCs w:val="20"/>
              </w:rPr>
            </w:pPr>
          </w:p>
        </w:tc>
        <w:tc>
          <w:tcPr>
            <w:tcW w:w="0" w:type="auto"/>
            <w:vAlign w:val="center"/>
            <w:hideMark/>
          </w:tcPr>
          <w:p w14:paraId="22A84DC3" w14:textId="77777777" w:rsidR="00000000" w:rsidRDefault="00195E73">
            <w:pPr>
              <w:rPr>
                <w:rFonts w:eastAsia="Times New Roman"/>
                <w:sz w:val="20"/>
                <w:szCs w:val="20"/>
              </w:rPr>
            </w:pPr>
          </w:p>
        </w:tc>
        <w:tc>
          <w:tcPr>
            <w:tcW w:w="0" w:type="auto"/>
            <w:vAlign w:val="center"/>
            <w:hideMark/>
          </w:tcPr>
          <w:p w14:paraId="2DBBF1E8" w14:textId="77777777" w:rsidR="00000000" w:rsidRDefault="00195E73">
            <w:pPr>
              <w:rPr>
                <w:rFonts w:eastAsia="Times New Roman"/>
                <w:sz w:val="20"/>
                <w:szCs w:val="20"/>
              </w:rPr>
            </w:pPr>
          </w:p>
        </w:tc>
      </w:tr>
      <w:tr w:rsidR="00000000" w14:paraId="2C5A39C0" w14:textId="77777777">
        <w:trPr>
          <w:divId w:val="1553998752"/>
          <w:jc w:val="center"/>
        </w:trPr>
        <w:tc>
          <w:tcPr>
            <w:tcW w:w="0" w:type="auto"/>
            <w:gridSpan w:val="3"/>
            <w:shd w:val="clear" w:color="auto" w:fill="CCEEFF"/>
            <w:tcMar>
              <w:top w:w="30" w:type="dxa"/>
              <w:left w:w="180" w:type="dxa"/>
              <w:bottom w:w="30" w:type="dxa"/>
              <w:right w:w="20" w:type="dxa"/>
            </w:tcMar>
            <w:vAlign w:val="bottom"/>
            <w:hideMark/>
          </w:tcPr>
          <w:p w14:paraId="014CE41B" w14:textId="77777777" w:rsidR="00000000" w:rsidRDefault="00195E73">
            <w:pPr>
              <w:rPr>
                <w:rFonts w:eastAsia="Times New Roman"/>
              </w:rPr>
            </w:pPr>
            <w:r>
              <w:rPr>
                <w:rFonts w:eastAsia="Times New Roman"/>
                <w:color w:val="000000"/>
                <w:sz w:val="13"/>
                <w:szCs w:val="13"/>
              </w:rPr>
              <w:t>Inventories, ne</w:t>
            </w:r>
            <w:r>
              <w:rPr>
                <w:rFonts w:eastAsia="Times New Roman"/>
                <w:color w:val="000000"/>
                <w:sz w:val="13"/>
                <w:szCs w:val="13"/>
              </w:rPr>
              <w:t>t</w:t>
            </w:r>
          </w:p>
        </w:tc>
        <w:tc>
          <w:tcPr>
            <w:tcW w:w="0" w:type="auto"/>
            <w:gridSpan w:val="2"/>
            <w:shd w:val="clear" w:color="auto" w:fill="CCEEFF"/>
            <w:tcMar>
              <w:top w:w="30" w:type="dxa"/>
              <w:left w:w="20" w:type="dxa"/>
              <w:bottom w:w="30" w:type="dxa"/>
              <w:right w:w="0" w:type="dxa"/>
            </w:tcMar>
            <w:vAlign w:val="bottom"/>
            <w:hideMark/>
          </w:tcPr>
          <w:p w14:paraId="7DD7A03E" w14:textId="77777777" w:rsidR="00000000" w:rsidRDefault="00195E73">
            <w:pPr>
              <w:jc w:val="right"/>
              <w:rPr>
                <w:rFonts w:eastAsia="Times New Roman"/>
              </w:rPr>
            </w:pPr>
            <w:r>
              <w:rPr>
                <w:rFonts w:eastAsia="Times New Roman"/>
                <w:color w:val="000000"/>
                <w:sz w:val="13"/>
                <w:szCs w:val="13"/>
              </w:rPr>
              <w:t>(20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542B72D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21E0B0E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EEE30F" w14:textId="77777777" w:rsidR="00000000" w:rsidRDefault="00195E73">
            <w:pPr>
              <w:jc w:val="right"/>
              <w:rPr>
                <w:rFonts w:eastAsia="Times New Roman"/>
              </w:rPr>
            </w:pPr>
            <w:r>
              <w:rPr>
                <w:rFonts w:eastAsia="Times New Roman"/>
                <w:color w:val="000000"/>
                <w:sz w:val="13"/>
                <w:szCs w:val="13"/>
              </w:rPr>
              <w:t>(86</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3E89942F"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3F06B1D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E0FB49" w14:textId="77777777" w:rsidR="00000000" w:rsidRDefault="00195E73">
            <w:pPr>
              <w:jc w:val="right"/>
              <w:rPr>
                <w:rFonts w:eastAsia="Times New Roman"/>
              </w:rPr>
            </w:pPr>
            <w:r>
              <w:rPr>
                <w:rFonts w:eastAsia="Times New Roman"/>
                <w:color w:val="000000"/>
                <w:sz w:val="13"/>
                <w:szCs w:val="13"/>
              </w:rPr>
              <w:t>(185</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18152798"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7E9CA04C" w14:textId="77777777" w:rsidR="00000000" w:rsidRDefault="00195E73">
            <w:pPr>
              <w:rPr>
                <w:rFonts w:eastAsia="Times New Roman"/>
                <w:sz w:val="20"/>
                <w:szCs w:val="20"/>
              </w:rPr>
            </w:pPr>
          </w:p>
        </w:tc>
        <w:tc>
          <w:tcPr>
            <w:tcW w:w="0" w:type="auto"/>
            <w:vAlign w:val="center"/>
            <w:hideMark/>
          </w:tcPr>
          <w:p w14:paraId="59BE78A5" w14:textId="77777777" w:rsidR="00000000" w:rsidRDefault="00195E73">
            <w:pPr>
              <w:rPr>
                <w:rFonts w:eastAsia="Times New Roman"/>
                <w:sz w:val="20"/>
                <w:szCs w:val="20"/>
              </w:rPr>
            </w:pPr>
          </w:p>
        </w:tc>
        <w:tc>
          <w:tcPr>
            <w:tcW w:w="0" w:type="auto"/>
            <w:vAlign w:val="center"/>
            <w:hideMark/>
          </w:tcPr>
          <w:p w14:paraId="7B2747A7" w14:textId="77777777" w:rsidR="00000000" w:rsidRDefault="00195E73">
            <w:pPr>
              <w:rPr>
                <w:rFonts w:eastAsia="Times New Roman"/>
                <w:sz w:val="20"/>
                <w:szCs w:val="20"/>
              </w:rPr>
            </w:pPr>
          </w:p>
        </w:tc>
        <w:tc>
          <w:tcPr>
            <w:tcW w:w="0" w:type="auto"/>
            <w:vAlign w:val="center"/>
            <w:hideMark/>
          </w:tcPr>
          <w:p w14:paraId="2CF4B938" w14:textId="77777777" w:rsidR="00000000" w:rsidRDefault="00195E73">
            <w:pPr>
              <w:rPr>
                <w:rFonts w:eastAsia="Times New Roman"/>
                <w:sz w:val="20"/>
                <w:szCs w:val="20"/>
              </w:rPr>
            </w:pPr>
          </w:p>
        </w:tc>
        <w:tc>
          <w:tcPr>
            <w:tcW w:w="0" w:type="auto"/>
            <w:vAlign w:val="center"/>
            <w:hideMark/>
          </w:tcPr>
          <w:p w14:paraId="43727462" w14:textId="77777777" w:rsidR="00000000" w:rsidRDefault="00195E73">
            <w:pPr>
              <w:rPr>
                <w:rFonts w:eastAsia="Times New Roman"/>
                <w:sz w:val="20"/>
                <w:szCs w:val="20"/>
              </w:rPr>
            </w:pPr>
          </w:p>
        </w:tc>
        <w:tc>
          <w:tcPr>
            <w:tcW w:w="0" w:type="auto"/>
            <w:vAlign w:val="center"/>
            <w:hideMark/>
          </w:tcPr>
          <w:p w14:paraId="18E7A1AE" w14:textId="77777777" w:rsidR="00000000" w:rsidRDefault="00195E73">
            <w:pPr>
              <w:rPr>
                <w:rFonts w:eastAsia="Times New Roman"/>
                <w:sz w:val="20"/>
                <w:szCs w:val="20"/>
              </w:rPr>
            </w:pPr>
          </w:p>
        </w:tc>
        <w:tc>
          <w:tcPr>
            <w:tcW w:w="0" w:type="auto"/>
            <w:vAlign w:val="center"/>
            <w:hideMark/>
          </w:tcPr>
          <w:p w14:paraId="09324E08" w14:textId="77777777" w:rsidR="00000000" w:rsidRDefault="00195E73">
            <w:pPr>
              <w:rPr>
                <w:rFonts w:eastAsia="Times New Roman"/>
                <w:sz w:val="20"/>
                <w:szCs w:val="20"/>
              </w:rPr>
            </w:pPr>
          </w:p>
        </w:tc>
        <w:tc>
          <w:tcPr>
            <w:tcW w:w="0" w:type="auto"/>
            <w:vAlign w:val="center"/>
            <w:hideMark/>
          </w:tcPr>
          <w:p w14:paraId="69E836C3" w14:textId="77777777" w:rsidR="00000000" w:rsidRDefault="00195E73">
            <w:pPr>
              <w:rPr>
                <w:rFonts w:eastAsia="Times New Roman"/>
                <w:sz w:val="20"/>
                <w:szCs w:val="20"/>
              </w:rPr>
            </w:pPr>
          </w:p>
        </w:tc>
        <w:tc>
          <w:tcPr>
            <w:tcW w:w="0" w:type="auto"/>
            <w:vAlign w:val="center"/>
            <w:hideMark/>
          </w:tcPr>
          <w:p w14:paraId="0C89B6FA" w14:textId="77777777" w:rsidR="00000000" w:rsidRDefault="00195E73">
            <w:pPr>
              <w:rPr>
                <w:rFonts w:eastAsia="Times New Roman"/>
                <w:sz w:val="20"/>
                <w:szCs w:val="20"/>
              </w:rPr>
            </w:pPr>
          </w:p>
        </w:tc>
        <w:tc>
          <w:tcPr>
            <w:tcW w:w="0" w:type="auto"/>
            <w:vAlign w:val="center"/>
            <w:hideMark/>
          </w:tcPr>
          <w:p w14:paraId="1A3D4A06" w14:textId="77777777" w:rsidR="00000000" w:rsidRDefault="00195E73">
            <w:pPr>
              <w:rPr>
                <w:rFonts w:eastAsia="Times New Roman"/>
                <w:sz w:val="20"/>
                <w:szCs w:val="20"/>
              </w:rPr>
            </w:pPr>
          </w:p>
        </w:tc>
        <w:tc>
          <w:tcPr>
            <w:tcW w:w="0" w:type="auto"/>
            <w:vAlign w:val="center"/>
            <w:hideMark/>
          </w:tcPr>
          <w:p w14:paraId="3C4D7A4F" w14:textId="77777777" w:rsidR="00000000" w:rsidRDefault="00195E73">
            <w:pPr>
              <w:rPr>
                <w:rFonts w:eastAsia="Times New Roman"/>
                <w:sz w:val="20"/>
                <w:szCs w:val="20"/>
              </w:rPr>
            </w:pPr>
          </w:p>
        </w:tc>
        <w:tc>
          <w:tcPr>
            <w:tcW w:w="0" w:type="auto"/>
            <w:vAlign w:val="center"/>
            <w:hideMark/>
          </w:tcPr>
          <w:p w14:paraId="0359F009" w14:textId="77777777" w:rsidR="00000000" w:rsidRDefault="00195E73">
            <w:pPr>
              <w:rPr>
                <w:rFonts w:eastAsia="Times New Roman"/>
                <w:sz w:val="20"/>
                <w:szCs w:val="20"/>
              </w:rPr>
            </w:pPr>
          </w:p>
        </w:tc>
      </w:tr>
      <w:tr w:rsidR="00000000" w14:paraId="0A4C0589" w14:textId="77777777">
        <w:trPr>
          <w:divId w:val="1553998752"/>
          <w:jc w:val="center"/>
        </w:trPr>
        <w:tc>
          <w:tcPr>
            <w:tcW w:w="0" w:type="auto"/>
            <w:gridSpan w:val="3"/>
            <w:shd w:val="clear" w:color="auto" w:fill="FFFFFF"/>
            <w:tcMar>
              <w:top w:w="30" w:type="dxa"/>
              <w:left w:w="180" w:type="dxa"/>
              <w:bottom w:w="30" w:type="dxa"/>
              <w:right w:w="20" w:type="dxa"/>
            </w:tcMar>
            <w:vAlign w:val="bottom"/>
            <w:hideMark/>
          </w:tcPr>
          <w:p w14:paraId="1C66423C" w14:textId="77777777" w:rsidR="00000000" w:rsidRDefault="00195E73">
            <w:pPr>
              <w:rPr>
                <w:rFonts w:eastAsia="Times New Roman"/>
              </w:rPr>
            </w:pPr>
            <w:r>
              <w:rPr>
                <w:rFonts w:eastAsia="Times New Roman"/>
                <w:color w:val="000000"/>
                <w:sz w:val="13"/>
                <w:szCs w:val="13"/>
              </w:rPr>
              <w:t>Other asset</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1A07B637" w14:textId="77777777" w:rsidR="00000000" w:rsidRDefault="00195E73">
            <w:pPr>
              <w:jc w:val="right"/>
              <w:rPr>
                <w:rFonts w:eastAsia="Times New Roman"/>
              </w:rPr>
            </w:pPr>
            <w:r>
              <w:rPr>
                <w:rFonts w:eastAsia="Times New Roman"/>
                <w:color w:val="000000"/>
                <w:sz w:val="13"/>
                <w:szCs w:val="13"/>
              </w:rPr>
              <w:t>356</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34E61B3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7AAF18D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5A0193" w14:textId="77777777" w:rsidR="00000000" w:rsidRDefault="00195E73">
            <w:pPr>
              <w:jc w:val="right"/>
              <w:rPr>
                <w:rFonts w:eastAsia="Times New Roman"/>
              </w:rPr>
            </w:pPr>
            <w:r>
              <w:rPr>
                <w:rFonts w:eastAsia="Times New Roman"/>
                <w:color w:val="000000"/>
                <w:sz w:val="13"/>
                <w:szCs w:val="13"/>
              </w:rPr>
              <w:t>316</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59FB20D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228D4E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7C0C6A" w14:textId="77777777" w:rsidR="00000000" w:rsidRDefault="00195E73">
            <w:pPr>
              <w:jc w:val="right"/>
              <w:rPr>
                <w:rFonts w:eastAsia="Times New Roman"/>
              </w:rPr>
            </w:pPr>
            <w:r>
              <w:rPr>
                <w:rFonts w:eastAsia="Times New Roman"/>
                <w:color w:val="000000"/>
                <w:sz w:val="13"/>
                <w:szCs w:val="13"/>
              </w:rPr>
              <w:t>2</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08F51355"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3CF348AB" w14:textId="77777777" w:rsidR="00000000" w:rsidRDefault="00195E73">
            <w:pPr>
              <w:rPr>
                <w:rFonts w:eastAsia="Times New Roman"/>
                <w:sz w:val="20"/>
                <w:szCs w:val="20"/>
              </w:rPr>
            </w:pPr>
          </w:p>
        </w:tc>
        <w:tc>
          <w:tcPr>
            <w:tcW w:w="0" w:type="auto"/>
            <w:vAlign w:val="center"/>
            <w:hideMark/>
          </w:tcPr>
          <w:p w14:paraId="5C37A914" w14:textId="77777777" w:rsidR="00000000" w:rsidRDefault="00195E73">
            <w:pPr>
              <w:rPr>
                <w:rFonts w:eastAsia="Times New Roman"/>
                <w:sz w:val="20"/>
                <w:szCs w:val="20"/>
              </w:rPr>
            </w:pPr>
          </w:p>
        </w:tc>
        <w:tc>
          <w:tcPr>
            <w:tcW w:w="0" w:type="auto"/>
            <w:vAlign w:val="center"/>
            <w:hideMark/>
          </w:tcPr>
          <w:p w14:paraId="5E5E3FC0" w14:textId="77777777" w:rsidR="00000000" w:rsidRDefault="00195E73">
            <w:pPr>
              <w:rPr>
                <w:rFonts w:eastAsia="Times New Roman"/>
                <w:sz w:val="20"/>
                <w:szCs w:val="20"/>
              </w:rPr>
            </w:pPr>
          </w:p>
        </w:tc>
        <w:tc>
          <w:tcPr>
            <w:tcW w:w="0" w:type="auto"/>
            <w:vAlign w:val="center"/>
            <w:hideMark/>
          </w:tcPr>
          <w:p w14:paraId="60C0A0A2" w14:textId="77777777" w:rsidR="00000000" w:rsidRDefault="00195E73">
            <w:pPr>
              <w:rPr>
                <w:rFonts w:eastAsia="Times New Roman"/>
                <w:sz w:val="20"/>
                <w:szCs w:val="20"/>
              </w:rPr>
            </w:pPr>
          </w:p>
        </w:tc>
        <w:tc>
          <w:tcPr>
            <w:tcW w:w="0" w:type="auto"/>
            <w:vAlign w:val="center"/>
            <w:hideMark/>
          </w:tcPr>
          <w:p w14:paraId="58DF58AB" w14:textId="77777777" w:rsidR="00000000" w:rsidRDefault="00195E73">
            <w:pPr>
              <w:rPr>
                <w:rFonts w:eastAsia="Times New Roman"/>
                <w:sz w:val="20"/>
                <w:szCs w:val="20"/>
              </w:rPr>
            </w:pPr>
          </w:p>
        </w:tc>
        <w:tc>
          <w:tcPr>
            <w:tcW w:w="0" w:type="auto"/>
            <w:vAlign w:val="center"/>
            <w:hideMark/>
          </w:tcPr>
          <w:p w14:paraId="0B596E98" w14:textId="77777777" w:rsidR="00000000" w:rsidRDefault="00195E73">
            <w:pPr>
              <w:rPr>
                <w:rFonts w:eastAsia="Times New Roman"/>
                <w:sz w:val="20"/>
                <w:szCs w:val="20"/>
              </w:rPr>
            </w:pPr>
          </w:p>
        </w:tc>
        <w:tc>
          <w:tcPr>
            <w:tcW w:w="0" w:type="auto"/>
            <w:vAlign w:val="center"/>
            <w:hideMark/>
          </w:tcPr>
          <w:p w14:paraId="00F461DD" w14:textId="77777777" w:rsidR="00000000" w:rsidRDefault="00195E73">
            <w:pPr>
              <w:rPr>
                <w:rFonts w:eastAsia="Times New Roman"/>
                <w:sz w:val="20"/>
                <w:szCs w:val="20"/>
              </w:rPr>
            </w:pPr>
          </w:p>
        </w:tc>
        <w:tc>
          <w:tcPr>
            <w:tcW w:w="0" w:type="auto"/>
            <w:vAlign w:val="center"/>
            <w:hideMark/>
          </w:tcPr>
          <w:p w14:paraId="3A5B07F1" w14:textId="77777777" w:rsidR="00000000" w:rsidRDefault="00195E73">
            <w:pPr>
              <w:rPr>
                <w:rFonts w:eastAsia="Times New Roman"/>
                <w:sz w:val="20"/>
                <w:szCs w:val="20"/>
              </w:rPr>
            </w:pPr>
          </w:p>
        </w:tc>
        <w:tc>
          <w:tcPr>
            <w:tcW w:w="0" w:type="auto"/>
            <w:vAlign w:val="center"/>
            <w:hideMark/>
          </w:tcPr>
          <w:p w14:paraId="514C8C48" w14:textId="77777777" w:rsidR="00000000" w:rsidRDefault="00195E73">
            <w:pPr>
              <w:rPr>
                <w:rFonts w:eastAsia="Times New Roman"/>
                <w:sz w:val="20"/>
                <w:szCs w:val="20"/>
              </w:rPr>
            </w:pPr>
          </w:p>
        </w:tc>
        <w:tc>
          <w:tcPr>
            <w:tcW w:w="0" w:type="auto"/>
            <w:vAlign w:val="center"/>
            <w:hideMark/>
          </w:tcPr>
          <w:p w14:paraId="00AE8266" w14:textId="77777777" w:rsidR="00000000" w:rsidRDefault="00195E73">
            <w:pPr>
              <w:rPr>
                <w:rFonts w:eastAsia="Times New Roman"/>
                <w:sz w:val="20"/>
                <w:szCs w:val="20"/>
              </w:rPr>
            </w:pPr>
          </w:p>
        </w:tc>
        <w:tc>
          <w:tcPr>
            <w:tcW w:w="0" w:type="auto"/>
            <w:vAlign w:val="center"/>
            <w:hideMark/>
          </w:tcPr>
          <w:p w14:paraId="41CD272C" w14:textId="77777777" w:rsidR="00000000" w:rsidRDefault="00195E73">
            <w:pPr>
              <w:rPr>
                <w:rFonts w:eastAsia="Times New Roman"/>
                <w:sz w:val="20"/>
                <w:szCs w:val="20"/>
              </w:rPr>
            </w:pPr>
          </w:p>
        </w:tc>
        <w:tc>
          <w:tcPr>
            <w:tcW w:w="0" w:type="auto"/>
            <w:vAlign w:val="center"/>
            <w:hideMark/>
          </w:tcPr>
          <w:p w14:paraId="76648B97" w14:textId="77777777" w:rsidR="00000000" w:rsidRDefault="00195E73">
            <w:pPr>
              <w:rPr>
                <w:rFonts w:eastAsia="Times New Roman"/>
                <w:sz w:val="20"/>
                <w:szCs w:val="20"/>
              </w:rPr>
            </w:pPr>
          </w:p>
        </w:tc>
      </w:tr>
      <w:tr w:rsidR="00000000" w14:paraId="2CF1C7C0" w14:textId="77777777">
        <w:trPr>
          <w:divId w:val="1553998752"/>
          <w:jc w:val="center"/>
        </w:trPr>
        <w:tc>
          <w:tcPr>
            <w:tcW w:w="0" w:type="auto"/>
            <w:gridSpan w:val="3"/>
            <w:shd w:val="clear" w:color="auto" w:fill="CCEEFF"/>
            <w:tcMar>
              <w:top w:w="30" w:type="dxa"/>
              <w:left w:w="180" w:type="dxa"/>
              <w:bottom w:w="30" w:type="dxa"/>
              <w:right w:w="20" w:type="dxa"/>
            </w:tcMar>
            <w:vAlign w:val="bottom"/>
            <w:hideMark/>
          </w:tcPr>
          <w:p w14:paraId="217D1EFB" w14:textId="77777777" w:rsidR="00000000" w:rsidRDefault="00195E73">
            <w:pPr>
              <w:rPr>
                <w:rFonts w:eastAsia="Times New Roman"/>
              </w:rPr>
            </w:pPr>
            <w:r>
              <w:rPr>
                <w:rFonts w:eastAsia="Times New Roman"/>
                <w:color w:val="000000"/>
                <w:sz w:val="13"/>
                <w:szCs w:val="13"/>
              </w:rPr>
              <w:t>Accounts payabl</w:t>
            </w:r>
            <w:r>
              <w:rPr>
                <w:rFonts w:eastAsia="Times New Roman"/>
                <w:color w:val="000000"/>
                <w:sz w:val="13"/>
                <w:szCs w:val="13"/>
              </w:rPr>
              <w:t>e</w:t>
            </w:r>
          </w:p>
        </w:tc>
        <w:tc>
          <w:tcPr>
            <w:tcW w:w="0" w:type="auto"/>
            <w:gridSpan w:val="2"/>
            <w:shd w:val="clear" w:color="auto" w:fill="CCEEFF"/>
            <w:tcMar>
              <w:top w:w="30" w:type="dxa"/>
              <w:left w:w="20" w:type="dxa"/>
              <w:bottom w:w="30" w:type="dxa"/>
              <w:right w:w="0" w:type="dxa"/>
            </w:tcMar>
            <w:vAlign w:val="bottom"/>
            <w:hideMark/>
          </w:tcPr>
          <w:p w14:paraId="581A3E3A" w14:textId="77777777" w:rsidR="00000000" w:rsidRDefault="00195E73">
            <w:pPr>
              <w:jc w:val="right"/>
              <w:rPr>
                <w:rFonts w:eastAsia="Times New Roman"/>
              </w:rPr>
            </w:pPr>
            <w:r>
              <w:rPr>
                <w:rFonts w:eastAsia="Times New Roman"/>
                <w:color w:val="000000"/>
                <w:sz w:val="13"/>
                <w:szCs w:val="13"/>
              </w:rPr>
              <w:t>145</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01D2160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73A3038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CAF962" w14:textId="77777777" w:rsidR="00000000" w:rsidRDefault="00195E73">
            <w:pPr>
              <w:jc w:val="right"/>
              <w:rPr>
                <w:rFonts w:eastAsia="Times New Roman"/>
              </w:rPr>
            </w:pPr>
            <w:r>
              <w:rPr>
                <w:rFonts w:eastAsia="Times New Roman"/>
                <w:color w:val="000000"/>
                <w:sz w:val="13"/>
                <w:szCs w:val="13"/>
              </w:rPr>
              <w:t>(59</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38CDFCF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516D894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397AC8" w14:textId="77777777" w:rsidR="00000000" w:rsidRDefault="00195E73">
            <w:pPr>
              <w:jc w:val="right"/>
              <w:rPr>
                <w:rFonts w:eastAsia="Times New Roman"/>
              </w:rPr>
            </w:pPr>
            <w:r>
              <w:rPr>
                <w:rFonts w:eastAsia="Times New Roman"/>
                <w:color w:val="000000"/>
                <w:sz w:val="13"/>
                <w:szCs w:val="13"/>
              </w:rPr>
              <w:t>130</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222837C1"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7BEFAC92" w14:textId="77777777" w:rsidR="00000000" w:rsidRDefault="00195E73">
            <w:pPr>
              <w:rPr>
                <w:rFonts w:eastAsia="Times New Roman"/>
                <w:sz w:val="20"/>
                <w:szCs w:val="20"/>
              </w:rPr>
            </w:pPr>
          </w:p>
        </w:tc>
        <w:tc>
          <w:tcPr>
            <w:tcW w:w="0" w:type="auto"/>
            <w:vAlign w:val="center"/>
            <w:hideMark/>
          </w:tcPr>
          <w:p w14:paraId="34BC457D" w14:textId="77777777" w:rsidR="00000000" w:rsidRDefault="00195E73">
            <w:pPr>
              <w:rPr>
                <w:rFonts w:eastAsia="Times New Roman"/>
                <w:sz w:val="20"/>
                <w:szCs w:val="20"/>
              </w:rPr>
            </w:pPr>
          </w:p>
        </w:tc>
        <w:tc>
          <w:tcPr>
            <w:tcW w:w="0" w:type="auto"/>
            <w:vAlign w:val="center"/>
            <w:hideMark/>
          </w:tcPr>
          <w:p w14:paraId="35C2AE58" w14:textId="77777777" w:rsidR="00000000" w:rsidRDefault="00195E73">
            <w:pPr>
              <w:rPr>
                <w:rFonts w:eastAsia="Times New Roman"/>
                <w:sz w:val="20"/>
                <w:szCs w:val="20"/>
              </w:rPr>
            </w:pPr>
          </w:p>
        </w:tc>
        <w:tc>
          <w:tcPr>
            <w:tcW w:w="0" w:type="auto"/>
            <w:vAlign w:val="center"/>
            <w:hideMark/>
          </w:tcPr>
          <w:p w14:paraId="08A728F5" w14:textId="77777777" w:rsidR="00000000" w:rsidRDefault="00195E73">
            <w:pPr>
              <w:rPr>
                <w:rFonts w:eastAsia="Times New Roman"/>
                <w:sz w:val="20"/>
                <w:szCs w:val="20"/>
              </w:rPr>
            </w:pPr>
          </w:p>
        </w:tc>
        <w:tc>
          <w:tcPr>
            <w:tcW w:w="0" w:type="auto"/>
            <w:vAlign w:val="center"/>
            <w:hideMark/>
          </w:tcPr>
          <w:p w14:paraId="0FDB0152" w14:textId="77777777" w:rsidR="00000000" w:rsidRDefault="00195E73">
            <w:pPr>
              <w:rPr>
                <w:rFonts w:eastAsia="Times New Roman"/>
                <w:sz w:val="20"/>
                <w:szCs w:val="20"/>
              </w:rPr>
            </w:pPr>
          </w:p>
        </w:tc>
        <w:tc>
          <w:tcPr>
            <w:tcW w:w="0" w:type="auto"/>
            <w:vAlign w:val="center"/>
            <w:hideMark/>
          </w:tcPr>
          <w:p w14:paraId="5FCE50BF" w14:textId="77777777" w:rsidR="00000000" w:rsidRDefault="00195E73">
            <w:pPr>
              <w:rPr>
                <w:rFonts w:eastAsia="Times New Roman"/>
                <w:sz w:val="20"/>
                <w:szCs w:val="20"/>
              </w:rPr>
            </w:pPr>
          </w:p>
        </w:tc>
        <w:tc>
          <w:tcPr>
            <w:tcW w:w="0" w:type="auto"/>
            <w:vAlign w:val="center"/>
            <w:hideMark/>
          </w:tcPr>
          <w:p w14:paraId="08FCA4CE" w14:textId="77777777" w:rsidR="00000000" w:rsidRDefault="00195E73">
            <w:pPr>
              <w:rPr>
                <w:rFonts w:eastAsia="Times New Roman"/>
                <w:sz w:val="20"/>
                <w:szCs w:val="20"/>
              </w:rPr>
            </w:pPr>
          </w:p>
        </w:tc>
        <w:tc>
          <w:tcPr>
            <w:tcW w:w="0" w:type="auto"/>
            <w:vAlign w:val="center"/>
            <w:hideMark/>
          </w:tcPr>
          <w:p w14:paraId="5F4B1826" w14:textId="77777777" w:rsidR="00000000" w:rsidRDefault="00195E73">
            <w:pPr>
              <w:rPr>
                <w:rFonts w:eastAsia="Times New Roman"/>
                <w:sz w:val="20"/>
                <w:szCs w:val="20"/>
              </w:rPr>
            </w:pPr>
          </w:p>
        </w:tc>
        <w:tc>
          <w:tcPr>
            <w:tcW w:w="0" w:type="auto"/>
            <w:vAlign w:val="center"/>
            <w:hideMark/>
          </w:tcPr>
          <w:p w14:paraId="5EEA552D" w14:textId="77777777" w:rsidR="00000000" w:rsidRDefault="00195E73">
            <w:pPr>
              <w:rPr>
                <w:rFonts w:eastAsia="Times New Roman"/>
                <w:sz w:val="20"/>
                <w:szCs w:val="20"/>
              </w:rPr>
            </w:pPr>
          </w:p>
        </w:tc>
        <w:tc>
          <w:tcPr>
            <w:tcW w:w="0" w:type="auto"/>
            <w:vAlign w:val="center"/>
            <w:hideMark/>
          </w:tcPr>
          <w:p w14:paraId="5ED28459" w14:textId="77777777" w:rsidR="00000000" w:rsidRDefault="00195E73">
            <w:pPr>
              <w:rPr>
                <w:rFonts w:eastAsia="Times New Roman"/>
                <w:sz w:val="20"/>
                <w:szCs w:val="20"/>
              </w:rPr>
            </w:pPr>
          </w:p>
        </w:tc>
        <w:tc>
          <w:tcPr>
            <w:tcW w:w="0" w:type="auto"/>
            <w:vAlign w:val="center"/>
            <w:hideMark/>
          </w:tcPr>
          <w:p w14:paraId="4D2C44D7" w14:textId="77777777" w:rsidR="00000000" w:rsidRDefault="00195E73">
            <w:pPr>
              <w:rPr>
                <w:rFonts w:eastAsia="Times New Roman"/>
                <w:sz w:val="20"/>
                <w:szCs w:val="20"/>
              </w:rPr>
            </w:pPr>
          </w:p>
        </w:tc>
        <w:tc>
          <w:tcPr>
            <w:tcW w:w="0" w:type="auto"/>
            <w:vAlign w:val="center"/>
            <w:hideMark/>
          </w:tcPr>
          <w:p w14:paraId="3659C545" w14:textId="77777777" w:rsidR="00000000" w:rsidRDefault="00195E73">
            <w:pPr>
              <w:rPr>
                <w:rFonts w:eastAsia="Times New Roman"/>
                <w:sz w:val="20"/>
                <w:szCs w:val="20"/>
              </w:rPr>
            </w:pPr>
          </w:p>
        </w:tc>
      </w:tr>
      <w:tr w:rsidR="00000000" w14:paraId="64CAD81D" w14:textId="77777777">
        <w:trPr>
          <w:divId w:val="1553998752"/>
          <w:jc w:val="center"/>
        </w:trPr>
        <w:tc>
          <w:tcPr>
            <w:tcW w:w="0" w:type="auto"/>
            <w:gridSpan w:val="3"/>
            <w:shd w:val="clear" w:color="auto" w:fill="FFFFFF"/>
            <w:tcMar>
              <w:top w:w="30" w:type="dxa"/>
              <w:left w:w="180" w:type="dxa"/>
              <w:bottom w:w="30" w:type="dxa"/>
              <w:right w:w="20" w:type="dxa"/>
            </w:tcMar>
            <w:vAlign w:val="bottom"/>
            <w:hideMark/>
          </w:tcPr>
          <w:p w14:paraId="5288E8DD" w14:textId="77777777" w:rsidR="00000000" w:rsidRDefault="00195E73">
            <w:pPr>
              <w:rPr>
                <w:rFonts w:eastAsia="Times New Roman"/>
              </w:rPr>
            </w:pPr>
            <w:r>
              <w:rPr>
                <w:rFonts w:eastAsia="Times New Roman"/>
                <w:color w:val="000000"/>
                <w:sz w:val="13"/>
                <w:szCs w:val="13"/>
              </w:rPr>
              <w:t>Unrealized gain/loss on derivative contract</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695A5780" w14:textId="77777777" w:rsidR="00000000" w:rsidRDefault="00195E73">
            <w:pPr>
              <w:jc w:val="right"/>
              <w:rPr>
                <w:rFonts w:eastAsia="Times New Roman"/>
              </w:rPr>
            </w:pPr>
            <w:r>
              <w:rPr>
                <w:rFonts w:eastAsia="Times New Roman"/>
                <w:color w:val="000000"/>
                <w:sz w:val="13"/>
                <w:szCs w:val="13"/>
              </w:rPr>
              <w:t>1,181</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49DBB4F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CB993E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6B3B7D" w14:textId="77777777" w:rsidR="00000000" w:rsidRDefault="00195E73">
            <w:pPr>
              <w:jc w:val="right"/>
              <w:rPr>
                <w:rFonts w:eastAsia="Times New Roman"/>
              </w:rPr>
            </w:pPr>
            <w:r>
              <w:rPr>
                <w:rFonts w:eastAsia="Times New Roman"/>
                <w:color w:val="000000"/>
                <w:sz w:val="13"/>
                <w:szCs w:val="13"/>
              </w:rPr>
              <w:t>(1,763</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1AD603F4"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F625D7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A77B90" w14:textId="77777777" w:rsidR="00000000" w:rsidRDefault="00195E73">
            <w:pPr>
              <w:jc w:val="right"/>
              <w:rPr>
                <w:rFonts w:eastAsia="Times New Roman"/>
              </w:rPr>
            </w:pPr>
            <w:r>
              <w:rPr>
                <w:rFonts w:eastAsia="Times New Roman"/>
                <w:color w:val="000000"/>
                <w:sz w:val="13"/>
                <w:szCs w:val="13"/>
              </w:rPr>
              <w:t>155</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033C100B"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32402979" w14:textId="77777777" w:rsidR="00000000" w:rsidRDefault="00195E73">
            <w:pPr>
              <w:rPr>
                <w:rFonts w:eastAsia="Times New Roman"/>
                <w:sz w:val="20"/>
                <w:szCs w:val="20"/>
              </w:rPr>
            </w:pPr>
          </w:p>
        </w:tc>
        <w:tc>
          <w:tcPr>
            <w:tcW w:w="0" w:type="auto"/>
            <w:vAlign w:val="center"/>
            <w:hideMark/>
          </w:tcPr>
          <w:p w14:paraId="6283D8A1" w14:textId="77777777" w:rsidR="00000000" w:rsidRDefault="00195E73">
            <w:pPr>
              <w:rPr>
                <w:rFonts w:eastAsia="Times New Roman"/>
                <w:sz w:val="20"/>
                <w:szCs w:val="20"/>
              </w:rPr>
            </w:pPr>
          </w:p>
        </w:tc>
        <w:tc>
          <w:tcPr>
            <w:tcW w:w="0" w:type="auto"/>
            <w:vAlign w:val="center"/>
            <w:hideMark/>
          </w:tcPr>
          <w:p w14:paraId="771A88E1" w14:textId="77777777" w:rsidR="00000000" w:rsidRDefault="00195E73">
            <w:pPr>
              <w:rPr>
                <w:rFonts w:eastAsia="Times New Roman"/>
                <w:sz w:val="20"/>
                <w:szCs w:val="20"/>
              </w:rPr>
            </w:pPr>
          </w:p>
        </w:tc>
        <w:tc>
          <w:tcPr>
            <w:tcW w:w="0" w:type="auto"/>
            <w:vAlign w:val="center"/>
            <w:hideMark/>
          </w:tcPr>
          <w:p w14:paraId="50020B42" w14:textId="77777777" w:rsidR="00000000" w:rsidRDefault="00195E73">
            <w:pPr>
              <w:rPr>
                <w:rFonts w:eastAsia="Times New Roman"/>
                <w:sz w:val="20"/>
                <w:szCs w:val="20"/>
              </w:rPr>
            </w:pPr>
          </w:p>
        </w:tc>
        <w:tc>
          <w:tcPr>
            <w:tcW w:w="0" w:type="auto"/>
            <w:vAlign w:val="center"/>
            <w:hideMark/>
          </w:tcPr>
          <w:p w14:paraId="7976D5FD" w14:textId="77777777" w:rsidR="00000000" w:rsidRDefault="00195E73">
            <w:pPr>
              <w:rPr>
                <w:rFonts w:eastAsia="Times New Roman"/>
                <w:sz w:val="20"/>
                <w:szCs w:val="20"/>
              </w:rPr>
            </w:pPr>
          </w:p>
        </w:tc>
        <w:tc>
          <w:tcPr>
            <w:tcW w:w="0" w:type="auto"/>
            <w:vAlign w:val="center"/>
            <w:hideMark/>
          </w:tcPr>
          <w:p w14:paraId="5EFC4425" w14:textId="77777777" w:rsidR="00000000" w:rsidRDefault="00195E73">
            <w:pPr>
              <w:rPr>
                <w:rFonts w:eastAsia="Times New Roman"/>
                <w:sz w:val="20"/>
                <w:szCs w:val="20"/>
              </w:rPr>
            </w:pPr>
          </w:p>
        </w:tc>
        <w:tc>
          <w:tcPr>
            <w:tcW w:w="0" w:type="auto"/>
            <w:vAlign w:val="center"/>
            <w:hideMark/>
          </w:tcPr>
          <w:p w14:paraId="0ECF1563" w14:textId="77777777" w:rsidR="00000000" w:rsidRDefault="00195E73">
            <w:pPr>
              <w:rPr>
                <w:rFonts w:eastAsia="Times New Roman"/>
                <w:sz w:val="20"/>
                <w:szCs w:val="20"/>
              </w:rPr>
            </w:pPr>
          </w:p>
        </w:tc>
        <w:tc>
          <w:tcPr>
            <w:tcW w:w="0" w:type="auto"/>
            <w:vAlign w:val="center"/>
            <w:hideMark/>
          </w:tcPr>
          <w:p w14:paraId="3974378E" w14:textId="77777777" w:rsidR="00000000" w:rsidRDefault="00195E73">
            <w:pPr>
              <w:rPr>
                <w:rFonts w:eastAsia="Times New Roman"/>
                <w:sz w:val="20"/>
                <w:szCs w:val="20"/>
              </w:rPr>
            </w:pPr>
          </w:p>
        </w:tc>
        <w:tc>
          <w:tcPr>
            <w:tcW w:w="0" w:type="auto"/>
            <w:vAlign w:val="center"/>
            <w:hideMark/>
          </w:tcPr>
          <w:p w14:paraId="3A840C17" w14:textId="77777777" w:rsidR="00000000" w:rsidRDefault="00195E73">
            <w:pPr>
              <w:rPr>
                <w:rFonts w:eastAsia="Times New Roman"/>
                <w:sz w:val="20"/>
                <w:szCs w:val="20"/>
              </w:rPr>
            </w:pPr>
          </w:p>
        </w:tc>
        <w:tc>
          <w:tcPr>
            <w:tcW w:w="0" w:type="auto"/>
            <w:vAlign w:val="center"/>
            <w:hideMark/>
          </w:tcPr>
          <w:p w14:paraId="76D0AF76" w14:textId="77777777" w:rsidR="00000000" w:rsidRDefault="00195E73">
            <w:pPr>
              <w:rPr>
                <w:rFonts w:eastAsia="Times New Roman"/>
                <w:sz w:val="20"/>
                <w:szCs w:val="20"/>
              </w:rPr>
            </w:pPr>
          </w:p>
        </w:tc>
        <w:tc>
          <w:tcPr>
            <w:tcW w:w="0" w:type="auto"/>
            <w:vAlign w:val="center"/>
            <w:hideMark/>
          </w:tcPr>
          <w:p w14:paraId="3EE82B4B" w14:textId="77777777" w:rsidR="00000000" w:rsidRDefault="00195E73">
            <w:pPr>
              <w:rPr>
                <w:rFonts w:eastAsia="Times New Roman"/>
                <w:sz w:val="20"/>
                <w:szCs w:val="20"/>
              </w:rPr>
            </w:pPr>
          </w:p>
        </w:tc>
        <w:tc>
          <w:tcPr>
            <w:tcW w:w="0" w:type="auto"/>
            <w:vAlign w:val="center"/>
            <w:hideMark/>
          </w:tcPr>
          <w:p w14:paraId="6BD1A599" w14:textId="77777777" w:rsidR="00000000" w:rsidRDefault="00195E73">
            <w:pPr>
              <w:rPr>
                <w:rFonts w:eastAsia="Times New Roman"/>
                <w:sz w:val="20"/>
                <w:szCs w:val="20"/>
              </w:rPr>
            </w:pPr>
          </w:p>
        </w:tc>
      </w:tr>
      <w:tr w:rsidR="00000000" w14:paraId="34B4ED05" w14:textId="77777777">
        <w:trPr>
          <w:divId w:val="1553998752"/>
          <w:jc w:val="center"/>
        </w:trPr>
        <w:tc>
          <w:tcPr>
            <w:tcW w:w="0" w:type="auto"/>
            <w:gridSpan w:val="3"/>
            <w:shd w:val="clear" w:color="auto" w:fill="CCEEFF"/>
            <w:tcMar>
              <w:top w:w="30" w:type="dxa"/>
              <w:left w:w="180" w:type="dxa"/>
              <w:bottom w:w="30" w:type="dxa"/>
              <w:right w:w="20" w:type="dxa"/>
            </w:tcMar>
            <w:vAlign w:val="bottom"/>
            <w:hideMark/>
          </w:tcPr>
          <w:p w14:paraId="54D1C25A" w14:textId="77777777" w:rsidR="00000000" w:rsidRDefault="00195E73">
            <w:pPr>
              <w:rPr>
                <w:rFonts w:eastAsia="Times New Roman"/>
              </w:rPr>
            </w:pPr>
            <w:r>
              <w:rPr>
                <w:rFonts w:eastAsia="Times New Roman"/>
                <w:color w:val="000000"/>
                <w:sz w:val="13"/>
                <w:szCs w:val="13"/>
              </w:rPr>
              <w:t>Accrued expenses and other liabilitie</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0E19CD2A" w14:textId="77777777" w:rsidR="00000000" w:rsidRDefault="00195E73">
            <w:pPr>
              <w:jc w:val="right"/>
              <w:rPr>
                <w:rFonts w:eastAsia="Times New Roman"/>
              </w:rPr>
            </w:pPr>
            <w:r>
              <w:rPr>
                <w:rFonts w:eastAsia="Times New Roman"/>
                <w:color w:val="000000"/>
                <w:sz w:val="13"/>
                <w:szCs w:val="13"/>
              </w:rPr>
              <w:t>(20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EE08F44"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57E4D05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1A3D28" w14:textId="77777777" w:rsidR="00000000" w:rsidRDefault="00195E73">
            <w:pPr>
              <w:jc w:val="right"/>
              <w:rPr>
                <w:rFonts w:eastAsia="Times New Roman"/>
              </w:rPr>
            </w:pPr>
            <w:r>
              <w:rPr>
                <w:rFonts w:eastAsia="Times New Roman"/>
                <w:color w:val="000000"/>
                <w:sz w:val="13"/>
                <w:szCs w:val="13"/>
              </w:rPr>
              <w:t>(84</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9A8D1F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2C8ADD0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4EFD0C" w14:textId="77777777" w:rsidR="00000000" w:rsidRDefault="00195E73">
            <w:pPr>
              <w:jc w:val="right"/>
              <w:rPr>
                <w:rFonts w:eastAsia="Times New Roman"/>
              </w:rPr>
            </w:pPr>
            <w:r>
              <w:rPr>
                <w:rFonts w:eastAsia="Times New Roman"/>
                <w:color w:val="000000"/>
                <w:sz w:val="13"/>
                <w:szCs w:val="13"/>
              </w:rPr>
              <w:t>(124</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7F4EB54C"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098E1767" w14:textId="77777777" w:rsidR="00000000" w:rsidRDefault="00195E73">
            <w:pPr>
              <w:rPr>
                <w:rFonts w:eastAsia="Times New Roman"/>
                <w:sz w:val="20"/>
                <w:szCs w:val="20"/>
              </w:rPr>
            </w:pPr>
          </w:p>
        </w:tc>
        <w:tc>
          <w:tcPr>
            <w:tcW w:w="0" w:type="auto"/>
            <w:vAlign w:val="center"/>
            <w:hideMark/>
          </w:tcPr>
          <w:p w14:paraId="2B248863" w14:textId="77777777" w:rsidR="00000000" w:rsidRDefault="00195E73">
            <w:pPr>
              <w:rPr>
                <w:rFonts w:eastAsia="Times New Roman"/>
                <w:sz w:val="20"/>
                <w:szCs w:val="20"/>
              </w:rPr>
            </w:pPr>
          </w:p>
        </w:tc>
        <w:tc>
          <w:tcPr>
            <w:tcW w:w="0" w:type="auto"/>
            <w:vAlign w:val="center"/>
            <w:hideMark/>
          </w:tcPr>
          <w:p w14:paraId="3390F9C2" w14:textId="77777777" w:rsidR="00000000" w:rsidRDefault="00195E73">
            <w:pPr>
              <w:rPr>
                <w:rFonts w:eastAsia="Times New Roman"/>
                <w:sz w:val="20"/>
                <w:szCs w:val="20"/>
              </w:rPr>
            </w:pPr>
          </w:p>
        </w:tc>
        <w:tc>
          <w:tcPr>
            <w:tcW w:w="0" w:type="auto"/>
            <w:vAlign w:val="center"/>
            <w:hideMark/>
          </w:tcPr>
          <w:p w14:paraId="5BCA5F5E" w14:textId="77777777" w:rsidR="00000000" w:rsidRDefault="00195E73">
            <w:pPr>
              <w:rPr>
                <w:rFonts w:eastAsia="Times New Roman"/>
                <w:sz w:val="20"/>
                <w:szCs w:val="20"/>
              </w:rPr>
            </w:pPr>
          </w:p>
        </w:tc>
        <w:tc>
          <w:tcPr>
            <w:tcW w:w="0" w:type="auto"/>
            <w:vAlign w:val="center"/>
            <w:hideMark/>
          </w:tcPr>
          <w:p w14:paraId="7DB97575" w14:textId="77777777" w:rsidR="00000000" w:rsidRDefault="00195E73">
            <w:pPr>
              <w:rPr>
                <w:rFonts w:eastAsia="Times New Roman"/>
                <w:sz w:val="20"/>
                <w:szCs w:val="20"/>
              </w:rPr>
            </w:pPr>
          </w:p>
        </w:tc>
        <w:tc>
          <w:tcPr>
            <w:tcW w:w="0" w:type="auto"/>
            <w:vAlign w:val="center"/>
            <w:hideMark/>
          </w:tcPr>
          <w:p w14:paraId="4EDC0150" w14:textId="77777777" w:rsidR="00000000" w:rsidRDefault="00195E73">
            <w:pPr>
              <w:rPr>
                <w:rFonts w:eastAsia="Times New Roman"/>
                <w:sz w:val="20"/>
                <w:szCs w:val="20"/>
              </w:rPr>
            </w:pPr>
          </w:p>
        </w:tc>
        <w:tc>
          <w:tcPr>
            <w:tcW w:w="0" w:type="auto"/>
            <w:vAlign w:val="center"/>
            <w:hideMark/>
          </w:tcPr>
          <w:p w14:paraId="692B44FC" w14:textId="77777777" w:rsidR="00000000" w:rsidRDefault="00195E73">
            <w:pPr>
              <w:rPr>
                <w:rFonts w:eastAsia="Times New Roman"/>
                <w:sz w:val="20"/>
                <w:szCs w:val="20"/>
              </w:rPr>
            </w:pPr>
          </w:p>
        </w:tc>
        <w:tc>
          <w:tcPr>
            <w:tcW w:w="0" w:type="auto"/>
            <w:vAlign w:val="center"/>
            <w:hideMark/>
          </w:tcPr>
          <w:p w14:paraId="3C02591B" w14:textId="77777777" w:rsidR="00000000" w:rsidRDefault="00195E73">
            <w:pPr>
              <w:rPr>
                <w:rFonts w:eastAsia="Times New Roman"/>
                <w:sz w:val="20"/>
                <w:szCs w:val="20"/>
              </w:rPr>
            </w:pPr>
          </w:p>
        </w:tc>
        <w:tc>
          <w:tcPr>
            <w:tcW w:w="0" w:type="auto"/>
            <w:vAlign w:val="center"/>
            <w:hideMark/>
          </w:tcPr>
          <w:p w14:paraId="41212751" w14:textId="77777777" w:rsidR="00000000" w:rsidRDefault="00195E73">
            <w:pPr>
              <w:rPr>
                <w:rFonts w:eastAsia="Times New Roman"/>
                <w:sz w:val="20"/>
                <w:szCs w:val="20"/>
              </w:rPr>
            </w:pPr>
          </w:p>
        </w:tc>
        <w:tc>
          <w:tcPr>
            <w:tcW w:w="0" w:type="auto"/>
            <w:vAlign w:val="center"/>
            <w:hideMark/>
          </w:tcPr>
          <w:p w14:paraId="2FEE2558" w14:textId="77777777" w:rsidR="00000000" w:rsidRDefault="00195E73">
            <w:pPr>
              <w:rPr>
                <w:rFonts w:eastAsia="Times New Roman"/>
                <w:sz w:val="20"/>
                <w:szCs w:val="20"/>
              </w:rPr>
            </w:pPr>
          </w:p>
        </w:tc>
        <w:tc>
          <w:tcPr>
            <w:tcW w:w="0" w:type="auto"/>
            <w:vAlign w:val="center"/>
            <w:hideMark/>
          </w:tcPr>
          <w:p w14:paraId="5E1B6F6B" w14:textId="77777777" w:rsidR="00000000" w:rsidRDefault="00195E73">
            <w:pPr>
              <w:rPr>
                <w:rFonts w:eastAsia="Times New Roman"/>
                <w:sz w:val="20"/>
                <w:szCs w:val="20"/>
              </w:rPr>
            </w:pPr>
          </w:p>
        </w:tc>
        <w:tc>
          <w:tcPr>
            <w:tcW w:w="0" w:type="auto"/>
            <w:vAlign w:val="center"/>
            <w:hideMark/>
          </w:tcPr>
          <w:p w14:paraId="5D8E3C87" w14:textId="77777777" w:rsidR="00000000" w:rsidRDefault="00195E73">
            <w:pPr>
              <w:rPr>
                <w:rFonts w:eastAsia="Times New Roman"/>
                <w:sz w:val="20"/>
                <w:szCs w:val="20"/>
              </w:rPr>
            </w:pPr>
          </w:p>
        </w:tc>
      </w:tr>
      <w:tr w:rsidR="00000000" w14:paraId="35457081"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1BF5BAD3" w14:textId="77777777" w:rsidR="00000000" w:rsidRDefault="00195E73">
            <w:pPr>
              <w:rPr>
                <w:rFonts w:eastAsia="Times New Roman"/>
              </w:rPr>
            </w:pPr>
            <w:r>
              <w:rPr>
                <w:rFonts w:eastAsia="Times New Roman"/>
                <w:color w:val="000000"/>
                <w:sz w:val="13"/>
                <w:szCs w:val="13"/>
              </w:rPr>
              <w:t>Net cash (used in) provided by operating activities from continuing operation</w:t>
            </w:r>
            <w:r>
              <w:rPr>
                <w:rFonts w:eastAsia="Times New Roman"/>
                <w:color w:val="000000"/>
                <w:sz w:val="13"/>
                <w:szCs w:val="13"/>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0CFA9B" w14:textId="77777777" w:rsidR="00000000" w:rsidRDefault="00195E73">
            <w:pPr>
              <w:jc w:val="right"/>
              <w:rPr>
                <w:rFonts w:eastAsia="Times New Roman"/>
              </w:rPr>
            </w:pPr>
            <w:r>
              <w:rPr>
                <w:rFonts w:eastAsia="Times New Roman"/>
                <w:color w:val="000000"/>
                <w:sz w:val="13"/>
                <w:szCs w:val="13"/>
              </w:rPr>
              <w:t>(1,460</w:t>
            </w:r>
            <w:r>
              <w:rPr>
                <w:rFonts w:eastAsia="Times New Roman"/>
                <w:color w:val="000000"/>
                <w:sz w:val="13"/>
                <w:szCs w:val="13"/>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5F6F0DD"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5D831EF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487514" w14:textId="77777777" w:rsidR="00000000" w:rsidRDefault="00195E73">
            <w:pPr>
              <w:jc w:val="right"/>
              <w:rPr>
                <w:rFonts w:eastAsia="Times New Roman"/>
              </w:rPr>
            </w:pPr>
            <w:r>
              <w:rPr>
                <w:rFonts w:eastAsia="Times New Roman"/>
                <w:color w:val="000000"/>
                <w:sz w:val="13"/>
                <w:szCs w:val="13"/>
              </w:rPr>
              <w:t>444</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8C0375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117CB7D"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E64DCF" w14:textId="77777777" w:rsidR="00000000" w:rsidRDefault="00195E73">
            <w:pPr>
              <w:jc w:val="right"/>
              <w:rPr>
                <w:rFonts w:eastAsia="Times New Roman"/>
              </w:rPr>
            </w:pPr>
            <w:r>
              <w:rPr>
                <w:rFonts w:eastAsia="Times New Roman"/>
                <w:color w:val="000000"/>
                <w:sz w:val="13"/>
                <w:szCs w:val="13"/>
              </w:rPr>
              <w:t>(2,042</w:t>
            </w:r>
            <w:r>
              <w:rPr>
                <w:rFonts w:eastAsia="Times New Roman"/>
                <w:color w:val="000000"/>
                <w:sz w:val="13"/>
                <w:szCs w:val="13"/>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643B80C"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0EF86088" w14:textId="77777777" w:rsidR="00000000" w:rsidRDefault="00195E73">
            <w:pPr>
              <w:rPr>
                <w:rFonts w:eastAsia="Times New Roman"/>
                <w:sz w:val="20"/>
                <w:szCs w:val="20"/>
              </w:rPr>
            </w:pPr>
          </w:p>
        </w:tc>
        <w:tc>
          <w:tcPr>
            <w:tcW w:w="0" w:type="auto"/>
            <w:vAlign w:val="center"/>
            <w:hideMark/>
          </w:tcPr>
          <w:p w14:paraId="699BEF69" w14:textId="77777777" w:rsidR="00000000" w:rsidRDefault="00195E73">
            <w:pPr>
              <w:rPr>
                <w:rFonts w:eastAsia="Times New Roman"/>
                <w:sz w:val="20"/>
                <w:szCs w:val="20"/>
              </w:rPr>
            </w:pPr>
          </w:p>
        </w:tc>
        <w:tc>
          <w:tcPr>
            <w:tcW w:w="0" w:type="auto"/>
            <w:vAlign w:val="center"/>
            <w:hideMark/>
          </w:tcPr>
          <w:p w14:paraId="1E3C7D37" w14:textId="77777777" w:rsidR="00000000" w:rsidRDefault="00195E73">
            <w:pPr>
              <w:rPr>
                <w:rFonts w:eastAsia="Times New Roman"/>
                <w:sz w:val="20"/>
                <w:szCs w:val="20"/>
              </w:rPr>
            </w:pPr>
          </w:p>
        </w:tc>
        <w:tc>
          <w:tcPr>
            <w:tcW w:w="0" w:type="auto"/>
            <w:vAlign w:val="center"/>
            <w:hideMark/>
          </w:tcPr>
          <w:p w14:paraId="119C7A4E" w14:textId="77777777" w:rsidR="00000000" w:rsidRDefault="00195E73">
            <w:pPr>
              <w:rPr>
                <w:rFonts w:eastAsia="Times New Roman"/>
                <w:sz w:val="20"/>
                <w:szCs w:val="20"/>
              </w:rPr>
            </w:pPr>
          </w:p>
        </w:tc>
        <w:tc>
          <w:tcPr>
            <w:tcW w:w="0" w:type="auto"/>
            <w:vAlign w:val="center"/>
            <w:hideMark/>
          </w:tcPr>
          <w:p w14:paraId="3B0CB536" w14:textId="77777777" w:rsidR="00000000" w:rsidRDefault="00195E73">
            <w:pPr>
              <w:rPr>
                <w:rFonts w:eastAsia="Times New Roman"/>
                <w:sz w:val="20"/>
                <w:szCs w:val="20"/>
              </w:rPr>
            </w:pPr>
          </w:p>
        </w:tc>
        <w:tc>
          <w:tcPr>
            <w:tcW w:w="0" w:type="auto"/>
            <w:vAlign w:val="center"/>
            <w:hideMark/>
          </w:tcPr>
          <w:p w14:paraId="7190BF44" w14:textId="77777777" w:rsidR="00000000" w:rsidRDefault="00195E73">
            <w:pPr>
              <w:rPr>
                <w:rFonts w:eastAsia="Times New Roman"/>
                <w:sz w:val="20"/>
                <w:szCs w:val="20"/>
              </w:rPr>
            </w:pPr>
          </w:p>
        </w:tc>
        <w:tc>
          <w:tcPr>
            <w:tcW w:w="0" w:type="auto"/>
            <w:vAlign w:val="center"/>
            <w:hideMark/>
          </w:tcPr>
          <w:p w14:paraId="59068E0F" w14:textId="77777777" w:rsidR="00000000" w:rsidRDefault="00195E73">
            <w:pPr>
              <w:rPr>
                <w:rFonts w:eastAsia="Times New Roman"/>
                <w:sz w:val="20"/>
                <w:szCs w:val="20"/>
              </w:rPr>
            </w:pPr>
          </w:p>
        </w:tc>
        <w:tc>
          <w:tcPr>
            <w:tcW w:w="0" w:type="auto"/>
            <w:vAlign w:val="center"/>
            <w:hideMark/>
          </w:tcPr>
          <w:p w14:paraId="6B84C71D" w14:textId="77777777" w:rsidR="00000000" w:rsidRDefault="00195E73">
            <w:pPr>
              <w:rPr>
                <w:rFonts w:eastAsia="Times New Roman"/>
                <w:sz w:val="20"/>
                <w:szCs w:val="20"/>
              </w:rPr>
            </w:pPr>
          </w:p>
        </w:tc>
        <w:tc>
          <w:tcPr>
            <w:tcW w:w="0" w:type="auto"/>
            <w:vAlign w:val="center"/>
            <w:hideMark/>
          </w:tcPr>
          <w:p w14:paraId="5FD7926D" w14:textId="77777777" w:rsidR="00000000" w:rsidRDefault="00195E73">
            <w:pPr>
              <w:rPr>
                <w:rFonts w:eastAsia="Times New Roman"/>
                <w:sz w:val="20"/>
                <w:szCs w:val="20"/>
              </w:rPr>
            </w:pPr>
          </w:p>
        </w:tc>
        <w:tc>
          <w:tcPr>
            <w:tcW w:w="0" w:type="auto"/>
            <w:vAlign w:val="center"/>
            <w:hideMark/>
          </w:tcPr>
          <w:p w14:paraId="6C195934" w14:textId="77777777" w:rsidR="00000000" w:rsidRDefault="00195E73">
            <w:pPr>
              <w:rPr>
                <w:rFonts w:eastAsia="Times New Roman"/>
                <w:sz w:val="20"/>
                <w:szCs w:val="20"/>
              </w:rPr>
            </w:pPr>
          </w:p>
        </w:tc>
        <w:tc>
          <w:tcPr>
            <w:tcW w:w="0" w:type="auto"/>
            <w:vAlign w:val="center"/>
            <w:hideMark/>
          </w:tcPr>
          <w:p w14:paraId="23801887" w14:textId="77777777" w:rsidR="00000000" w:rsidRDefault="00195E73">
            <w:pPr>
              <w:rPr>
                <w:rFonts w:eastAsia="Times New Roman"/>
                <w:sz w:val="20"/>
                <w:szCs w:val="20"/>
              </w:rPr>
            </w:pPr>
          </w:p>
        </w:tc>
        <w:tc>
          <w:tcPr>
            <w:tcW w:w="0" w:type="auto"/>
            <w:vAlign w:val="center"/>
            <w:hideMark/>
          </w:tcPr>
          <w:p w14:paraId="0439B79B" w14:textId="77777777" w:rsidR="00000000" w:rsidRDefault="00195E73">
            <w:pPr>
              <w:rPr>
                <w:rFonts w:eastAsia="Times New Roman"/>
                <w:sz w:val="20"/>
                <w:szCs w:val="20"/>
              </w:rPr>
            </w:pPr>
          </w:p>
        </w:tc>
      </w:tr>
      <w:tr w:rsidR="00000000" w14:paraId="404CC978"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43F9CB5F" w14:textId="77777777" w:rsidR="00000000" w:rsidRDefault="00195E73">
            <w:pPr>
              <w:rPr>
                <w:rFonts w:eastAsia="Times New Roman"/>
              </w:rPr>
            </w:pPr>
            <w:r>
              <w:rPr>
                <w:rFonts w:eastAsia="Times New Roman"/>
                <w:color w:val="000000"/>
                <w:sz w:val="13"/>
                <w:szCs w:val="13"/>
              </w:rPr>
              <w:t>Net cash provided by operating activities from discontinued operation</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60FBD26D"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37C4946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B7E60C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547E74" w14:textId="77777777" w:rsidR="00000000" w:rsidRDefault="00195E73">
            <w:pPr>
              <w:jc w:val="right"/>
              <w:rPr>
                <w:rFonts w:eastAsia="Times New Roman"/>
              </w:rPr>
            </w:pPr>
            <w:r>
              <w:rPr>
                <w:rFonts w:eastAsia="Times New Roman"/>
                <w:color w:val="000000"/>
                <w:sz w:val="13"/>
                <w:szCs w:val="13"/>
              </w:rPr>
              <w:t>479</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683E3C8"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CC65FF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5CB804" w14:textId="77777777" w:rsidR="00000000" w:rsidRDefault="00195E73">
            <w:pPr>
              <w:jc w:val="right"/>
              <w:rPr>
                <w:rFonts w:eastAsia="Times New Roman"/>
              </w:rPr>
            </w:pPr>
            <w:r>
              <w:rPr>
                <w:rFonts w:eastAsia="Times New Roman"/>
                <w:color w:val="000000"/>
                <w:sz w:val="13"/>
                <w:szCs w:val="13"/>
              </w:rPr>
              <w:t>694</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2D0C1BF0"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44989FA7" w14:textId="77777777" w:rsidR="00000000" w:rsidRDefault="00195E73">
            <w:pPr>
              <w:rPr>
                <w:rFonts w:eastAsia="Times New Roman"/>
                <w:sz w:val="20"/>
                <w:szCs w:val="20"/>
              </w:rPr>
            </w:pPr>
          </w:p>
        </w:tc>
        <w:tc>
          <w:tcPr>
            <w:tcW w:w="0" w:type="auto"/>
            <w:vAlign w:val="center"/>
            <w:hideMark/>
          </w:tcPr>
          <w:p w14:paraId="2E319EDD" w14:textId="77777777" w:rsidR="00000000" w:rsidRDefault="00195E73">
            <w:pPr>
              <w:rPr>
                <w:rFonts w:eastAsia="Times New Roman"/>
                <w:sz w:val="20"/>
                <w:szCs w:val="20"/>
              </w:rPr>
            </w:pPr>
          </w:p>
        </w:tc>
        <w:tc>
          <w:tcPr>
            <w:tcW w:w="0" w:type="auto"/>
            <w:vAlign w:val="center"/>
            <w:hideMark/>
          </w:tcPr>
          <w:p w14:paraId="40A84BEB" w14:textId="77777777" w:rsidR="00000000" w:rsidRDefault="00195E73">
            <w:pPr>
              <w:rPr>
                <w:rFonts w:eastAsia="Times New Roman"/>
                <w:sz w:val="20"/>
                <w:szCs w:val="20"/>
              </w:rPr>
            </w:pPr>
          </w:p>
        </w:tc>
        <w:tc>
          <w:tcPr>
            <w:tcW w:w="0" w:type="auto"/>
            <w:vAlign w:val="center"/>
            <w:hideMark/>
          </w:tcPr>
          <w:p w14:paraId="137542BA" w14:textId="77777777" w:rsidR="00000000" w:rsidRDefault="00195E73">
            <w:pPr>
              <w:rPr>
                <w:rFonts w:eastAsia="Times New Roman"/>
                <w:sz w:val="20"/>
                <w:szCs w:val="20"/>
              </w:rPr>
            </w:pPr>
          </w:p>
        </w:tc>
        <w:tc>
          <w:tcPr>
            <w:tcW w:w="0" w:type="auto"/>
            <w:vAlign w:val="center"/>
            <w:hideMark/>
          </w:tcPr>
          <w:p w14:paraId="148D9092" w14:textId="77777777" w:rsidR="00000000" w:rsidRDefault="00195E73">
            <w:pPr>
              <w:rPr>
                <w:rFonts w:eastAsia="Times New Roman"/>
                <w:sz w:val="20"/>
                <w:szCs w:val="20"/>
              </w:rPr>
            </w:pPr>
          </w:p>
        </w:tc>
        <w:tc>
          <w:tcPr>
            <w:tcW w:w="0" w:type="auto"/>
            <w:vAlign w:val="center"/>
            <w:hideMark/>
          </w:tcPr>
          <w:p w14:paraId="15EFF0F5" w14:textId="77777777" w:rsidR="00000000" w:rsidRDefault="00195E73">
            <w:pPr>
              <w:rPr>
                <w:rFonts w:eastAsia="Times New Roman"/>
                <w:sz w:val="20"/>
                <w:szCs w:val="20"/>
              </w:rPr>
            </w:pPr>
          </w:p>
        </w:tc>
        <w:tc>
          <w:tcPr>
            <w:tcW w:w="0" w:type="auto"/>
            <w:vAlign w:val="center"/>
            <w:hideMark/>
          </w:tcPr>
          <w:p w14:paraId="30FB9828" w14:textId="77777777" w:rsidR="00000000" w:rsidRDefault="00195E73">
            <w:pPr>
              <w:rPr>
                <w:rFonts w:eastAsia="Times New Roman"/>
                <w:sz w:val="20"/>
                <w:szCs w:val="20"/>
              </w:rPr>
            </w:pPr>
          </w:p>
        </w:tc>
        <w:tc>
          <w:tcPr>
            <w:tcW w:w="0" w:type="auto"/>
            <w:vAlign w:val="center"/>
            <w:hideMark/>
          </w:tcPr>
          <w:p w14:paraId="3F09165D" w14:textId="77777777" w:rsidR="00000000" w:rsidRDefault="00195E73">
            <w:pPr>
              <w:rPr>
                <w:rFonts w:eastAsia="Times New Roman"/>
                <w:sz w:val="20"/>
                <w:szCs w:val="20"/>
              </w:rPr>
            </w:pPr>
          </w:p>
        </w:tc>
        <w:tc>
          <w:tcPr>
            <w:tcW w:w="0" w:type="auto"/>
            <w:vAlign w:val="center"/>
            <w:hideMark/>
          </w:tcPr>
          <w:p w14:paraId="5AABD3D6" w14:textId="77777777" w:rsidR="00000000" w:rsidRDefault="00195E73">
            <w:pPr>
              <w:rPr>
                <w:rFonts w:eastAsia="Times New Roman"/>
                <w:sz w:val="20"/>
                <w:szCs w:val="20"/>
              </w:rPr>
            </w:pPr>
          </w:p>
        </w:tc>
        <w:tc>
          <w:tcPr>
            <w:tcW w:w="0" w:type="auto"/>
            <w:vAlign w:val="center"/>
            <w:hideMark/>
          </w:tcPr>
          <w:p w14:paraId="0CEAA1B8" w14:textId="77777777" w:rsidR="00000000" w:rsidRDefault="00195E73">
            <w:pPr>
              <w:rPr>
                <w:rFonts w:eastAsia="Times New Roman"/>
                <w:sz w:val="20"/>
                <w:szCs w:val="20"/>
              </w:rPr>
            </w:pPr>
          </w:p>
        </w:tc>
        <w:tc>
          <w:tcPr>
            <w:tcW w:w="0" w:type="auto"/>
            <w:vAlign w:val="center"/>
            <w:hideMark/>
          </w:tcPr>
          <w:p w14:paraId="204AD5AE" w14:textId="77777777" w:rsidR="00000000" w:rsidRDefault="00195E73">
            <w:pPr>
              <w:rPr>
                <w:rFonts w:eastAsia="Times New Roman"/>
                <w:sz w:val="20"/>
                <w:szCs w:val="20"/>
              </w:rPr>
            </w:pPr>
          </w:p>
        </w:tc>
        <w:tc>
          <w:tcPr>
            <w:tcW w:w="0" w:type="auto"/>
            <w:vAlign w:val="center"/>
            <w:hideMark/>
          </w:tcPr>
          <w:p w14:paraId="71F432C6" w14:textId="77777777" w:rsidR="00000000" w:rsidRDefault="00195E73">
            <w:pPr>
              <w:rPr>
                <w:rFonts w:eastAsia="Times New Roman"/>
                <w:sz w:val="20"/>
                <w:szCs w:val="20"/>
              </w:rPr>
            </w:pPr>
          </w:p>
        </w:tc>
      </w:tr>
      <w:tr w:rsidR="00000000" w14:paraId="3FFC710C"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5CD9DE07" w14:textId="77777777" w:rsidR="00000000" w:rsidRDefault="00195E73">
            <w:pPr>
              <w:rPr>
                <w:rFonts w:eastAsia="Times New Roman"/>
              </w:rPr>
            </w:pPr>
            <w:r>
              <w:rPr>
                <w:rFonts w:eastAsia="Times New Roman"/>
                <w:b/>
                <w:bCs/>
                <w:color w:val="000000"/>
                <w:sz w:val="13"/>
                <w:szCs w:val="13"/>
              </w:rPr>
              <w:t>Net cash (used in) provided by operating activitie</w:t>
            </w:r>
            <w:r>
              <w:rPr>
                <w:rFonts w:eastAsia="Times New Roman"/>
                <w:b/>
                <w:bCs/>
                <w:color w:val="000000"/>
                <w:sz w:val="13"/>
                <w:szCs w:val="13"/>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279FCA" w14:textId="77777777" w:rsidR="00000000" w:rsidRDefault="00195E73">
            <w:pPr>
              <w:jc w:val="right"/>
              <w:rPr>
                <w:rFonts w:eastAsia="Times New Roman"/>
              </w:rPr>
            </w:pPr>
            <w:r>
              <w:rPr>
                <w:rFonts w:eastAsia="Times New Roman"/>
                <w:color w:val="000000"/>
                <w:sz w:val="13"/>
                <w:szCs w:val="13"/>
              </w:rPr>
              <w:t>(1,460</w:t>
            </w:r>
            <w:r>
              <w:rPr>
                <w:rFonts w:eastAsia="Times New Roman"/>
                <w:color w:val="000000"/>
                <w:sz w:val="13"/>
                <w:szCs w:val="13"/>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429DBC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4E1418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9AAE08" w14:textId="77777777" w:rsidR="00000000" w:rsidRDefault="00195E73">
            <w:pPr>
              <w:jc w:val="right"/>
              <w:rPr>
                <w:rFonts w:eastAsia="Times New Roman"/>
              </w:rPr>
            </w:pPr>
            <w:r>
              <w:rPr>
                <w:rFonts w:eastAsia="Times New Roman"/>
                <w:color w:val="000000"/>
                <w:sz w:val="13"/>
                <w:szCs w:val="13"/>
              </w:rPr>
              <w:t>923</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9133D4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222948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A7C5D2" w14:textId="77777777" w:rsidR="00000000" w:rsidRDefault="00195E73">
            <w:pPr>
              <w:jc w:val="right"/>
              <w:rPr>
                <w:rFonts w:eastAsia="Times New Roman"/>
              </w:rPr>
            </w:pPr>
            <w:r>
              <w:rPr>
                <w:rFonts w:eastAsia="Times New Roman"/>
                <w:color w:val="000000"/>
                <w:sz w:val="13"/>
                <w:szCs w:val="13"/>
              </w:rPr>
              <w:t>(1,348</w:t>
            </w:r>
            <w:r>
              <w:rPr>
                <w:rFonts w:eastAsia="Times New Roman"/>
                <w:color w:val="000000"/>
                <w:sz w:val="13"/>
                <w:szCs w:val="13"/>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65CE288"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046B3BB3" w14:textId="77777777" w:rsidR="00000000" w:rsidRDefault="00195E73">
            <w:pPr>
              <w:rPr>
                <w:rFonts w:eastAsia="Times New Roman"/>
                <w:sz w:val="20"/>
                <w:szCs w:val="20"/>
              </w:rPr>
            </w:pPr>
          </w:p>
        </w:tc>
        <w:tc>
          <w:tcPr>
            <w:tcW w:w="0" w:type="auto"/>
            <w:vAlign w:val="center"/>
            <w:hideMark/>
          </w:tcPr>
          <w:p w14:paraId="20DDEFA9" w14:textId="77777777" w:rsidR="00000000" w:rsidRDefault="00195E73">
            <w:pPr>
              <w:rPr>
                <w:rFonts w:eastAsia="Times New Roman"/>
                <w:sz w:val="20"/>
                <w:szCs w:val="20"/>
              </w:rPr>
            </w:pPr>
          </w:p>
        </w:tc>
        <w:tc>
          <w:tcPr>
            <w:tcW w:w="0" w:type="auto"/>
            <w:vAlign w:val="center"/>
            <w:hideMark/>
          </w:tcPr>
          <w:p w14:paraId="7D3FF19E" w14:textId="77777777" w:rsidR="00000000" w:rsidRDefault="00195E73">
            <w:pPr>
              <w:rPr>
                <w:rFonts w:eastAsia="Times New Roman"/>
                <w:sz w:val="20"/>
                <w:szCs w:val="20"/>
              </w:rPr>
            </w:pPr>
          </w:p>
        </w:tc>
        <w:tc>
          <w:tcPr>
            <w:tcW w:w="0" w:type="auto"/>
            <w:vAlign w:val="center"/>
            <w:hideMark/>
          </w:tcPr>
          <w:p w14:paraId="192548B1" w14:textId="77777777" w:rsidR="00000000" w:rsidRDefault="00195E73">
            <w:pPr>
              <w:rPr>
                <w:rFonts w:eastAsia="Times New Roman"/>
                <w:sz w:val="20"/>
                <w:szCs w:val="20"/>
              </w:rPr>
            </w:pPr>
          </w:p>
        </w:tc>
        <w:tc>
          <w:tcPr>
            <w:tcW w:w="0" w:type="auto"/>
            <w:vAlign w:val="center"/>
            <w:hideMark/>
          </w:tcPr>
          <w:p w14:paraId="46625F61" w14:textId="77777777" w:rsidR="00000000" w:rsidRDefault="00195E73">
            <w:pPr>
              <w:rPr>
                <w:rFonts w:eastAsia="Times New Roman"/>
                <w:sz w:val="20"/>
                <w:szCs w:val="20"/>
              </w:rPr>
            </w:pPr>
          </w:p>
        </w:tc>
        <w:tc>
          <w:tcPr>
            <w:tcW w:w="0" w:type="auto"/>
            <w:vAlign w:val="center"/>
            <w:hideMark/>
          </w:tcPr>
          <w:p w14:paraId="46F1E51A" w14:textId="77777777" w:rsidR="00000000" w:rsidRDefault="00195E73">
            <w:pPr>
              <w:rPr>
                <w:rFonts w:eastAsia="Times New Roman"/>
                <w:sz w:val="20"/>
                <w:szCs w:val="20"/>
              </w:rPr>
            </w:pPr>
          </w:p>
        </w:tc>
        <w:tc>
          <w:tcPr>
            <w:tcW w:w="0" w:type="auto"/>
            <w:vAlign w:val="center"/>
            <w:hideMark/>
          </w:tcPr>
          <w:p w14:paraId="48EF009E" w14:textId="77777777" w:rsidR="00000000" w:rsidRDefault="00195E73">
            <w:pPr>
              <w:rPr>
                <w:rFonts w:eastAsia="Times New Roman"/>
                <w:sz w:val="20"/>
                <w:szCs w:val="20"/>
              </w:rPr>
            </w:pPr>
          </w:p>
        </w:tc>
        <w:tc>
          <w:tcPr>
            <w:tcW w:w="0" w:type="auto"/>
            <w:vAlign w:val="center"/>
            <w:hideMark/>
          </w:tcPr>
          <w:p w14:paraId="13F79600" w14:textId="77777777" w:rsidR="00000000" w:rsidRDefault="00195E73">
            <w:pPr>
              <w:rPr>
                <w:rFonts w:eastAsia="Times New Roman"/>
                <w:sz w:val="20"/>
                <w:szCs w:val="20"/>
              </w:rPr>
            </w:pPr>
          </w:p>
        </w:tc>
        <w:tc>
          <w:tcPr>
            <w:tcW w:w="0" w:type="auto"/>
            <w:vAlign w:val="center"/>
            <w:hideMark/>
          </w:tcPr>
          <w:p w14:paraId="1C42475B" w14:textId="77777777" w:rsidR="00000000" w:rsidRDefault="00195E73">
            <w:pPr>
              <w:rPr>
                <w:rFonts w:eastAsia="Times New Roman"/>
                <w:sz w:val="20"/>
                <w:szCs w:val="20"/>
              </w:rPr>
            </w:pPr>
          </w:p>
        </w:tc>
        <w:tc>
          <w:tcPr>
            <w:tcW w:w="0" w:type="auto"/>
            <w:vAlign w:val="center"/>
            <w:hideMark/>
          </w:tcPr>
          <w:p w14:paraId="35B8413B" w14:textId="77777777" w:rsidR="00000000" w:rsidRDefault="00195E73">
            <w:pPr>
              <w:rPr>
                <w:rFonts w:eastAsia="Times New Roman"/>
                <w:sz w:val="20"/>
                <w:szCs w:val="20"/>
              </w:rPr>
            </w:pPr>
          </w:p>
        </w:tc>
        <w:tc>
          <w:tcPr>
            <w:tcW w:w="0" w:type="auto"/>
            <w:vAlign w:val="center"/>
            <w:hideMark/>
          </w:tcPr>
          <w:p w14:paraId="78AB3FBC" w14:textId="77777777" w:rsidR="00000000" w:rsidRDefault="00195E73">
            <w:pPr>
              <w:rPr>
                <w:rFonts w:eastAsia="Times New Roman"/>
                <w:sz w:val="20"/>
                <w:szCs w:val="20"/>
              </w:rPr>
            </w:pPr>
          </w:p>
        </w:tc>
        <w:tc>
          <w:tcPr>
            <w:tcW w:w="0" w:type="auto"/>
            <w:vAlign w:val="center"/>
            <w:hideMark/>
          </w:tcPr>
          <w:p w14:paraId="5CB8FE30" w14:textId="77777777" w:rsidR="00000000" w:rsidRDefault="00195E73">
            <w:pPr>
              <w:rPr>
                <w:rFonts w:eastAsia="Times New Roman"/>
                <w:sz w:val="20"/>
                <w:szCs w:val="20"/>
              </w:rPr>
            </w:pPr>
          </w:p>
        </w:tc>
      </w:tr>
      <w:tr w:rsidR="00000000" w14:paraId="245972D0"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5289ABA1" w14:textId="77777777" w:rsidR="00000000" w:rsidRDefault="00195E73">
            <w:pPr>
              <w:rPr>
                <w:rFonts w:eastAsia="Times New Roman"/>
              </w:rPr>
            </w:pPr>
            <w:r>
              <w:rPr>
                <w:rFonts w:eastAsia="Times New Roman"/>
                <w:b/>
                <w:bCs/>
                <w:color w:val="000000"/>
                <w:sz w:val="13"/>
                <w:szCs w:val="13"/>
              </w:rPr>
              <w:t>Cash flows from investing activities</w:t>
            </w:r>
            <w:r>
              <w:rPr>
                <w:rFonts w:eastAsia="Times New Roman"/>
                <w:b/>
                <w:bCs/>
                <w:color w:val="000000"/>
                <w:sz w:val="13"/>
                <w:szCs w:val="13"/>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068A2A44"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7D841FF5"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50CAEF1E"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4442825"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5C4C98B" w14:textId="77777777" w:rsidR="00000000" w:rsidRDefault="00195E73">
            <w:pPr>
              <w:rPr>
                <w:rFonts w:eastAsia="Times New Roman"/>
                <w:sz w:val="20"/>
                <w:szCs w:val="20"/>
              </w:rPr>
            </w:pPr>
          </w:p>
        </w:tc>
        <w:tc>
          <w:tcPr>
            <w:tcW w:w="0" w:type="auto"/>
            <w:vAlign w:val="center"/>
            <w:hideMark/>
          </w:tcPr>
          <w:p w14:paraId="39749284" w14:textId="77777777" w:rsidR="00000000" w:rsidRDefault="00195E73">
            <w:pPr>
              <w:rPr>
                <w:rFonts w:eastAsia="Times New Roman"/>
                <w:sz w:val="20"/>
                <w:szCs w:val="20"/>
              </w:rPr>
            </w:pPr>
          </w:p>
        </w:tc>
        <w:tc>
          <w:tcPr>
            <w:tcW w:w="0" w:type="auto"/>
            <w:vAlign w:val="center"/>
            <w:hideMark/>
          </w:tcPr>
          <w:p w14:paraId="4825B48F" w14:textId="77777777" w:rsidR="00000000" w:rsidRDefault="00195E73">
            <w:pPr>
              <w:rPr>
                <w:rFonts w:eastAsia="Times New Roman"/>
                <w:sz w:val="20"/>
                <w:szCs w:val="20"/>
              </w:rPr>
            </w:pPr>
          </w:p>
        </w:tc>
        <w:tc>
          <w:tcPr>
            <w:tcW w:w="0" w:type="auto"/>
            <w:vAlign w:val="center"/>
            <w:hideMark/>
          </w:tcPr>
          <w:p w14:paraId="698CAD49" w14:textId="77777777" w:rsidR="00000000" w:rsidRDefault="00195E73">
            <w:pPr>
              <w:rPr>
                <w:rFonts w:eastAsia="Times New Roman"/>
                <w:sz w:val="20"/>
                <w:szCs w:val="20"/>
              </w:rPr>
            </w:pPr>
          </w:p>
        </w:tc>
        <w:tc>
          <w:tcPr>
            <w:tcW w:w="0" w:type="auto"/>
            <w:vAlign w:val="center"/>
            <w:hideMark/>
          </w:tcPr>
          <w:p w14:paraId="54E0B378" w14:textId="77777777" w:rsidR="00000000" w:rsidRDefault="00195E73">
            <w:pPr>
              <w:rPr>
                <w:rFonts w:eastAsia="Times New Roman"/>
                <w:sz w:val="20"/>
                <w:szCs w:val="20"/>
              </w:rPr>
            </w:pPr>
          </w:p>
        </w:tc>
        <w:tc>
          <w:tcPr>
            <w:tcW w:w="0" w:type="auto"/>
            <w:vAlign w:val="center"/>
            <w:hideMark/>
          </w:tcPr>
          <w:p w14:paraId="4B51D64A" w14:textId="77777777" w:rsidR="00000000" w:rsidRDefault="00195E73">
            <w:pPr>
              <w:rPr>
                <w:rFonts w:eastAsia="Times New Roman"/>
                <w:sz w:val="20"/>
                <w:szCs w:val="20"/>
              </w:rPr>
            </w:pPr>
          </w:p>
        </w:tc>
        <w:tc>
          <w:tcPr>
            <w:tcW w:w="0" w:type="auto"/>
            <w:vAlign w:val="center"/>
            <w:hideMark/>
          </w:tcPr>
          <w:p w14:paraId="1D96AA9A" w14:textId="77777777" w:rsidR="00000000" w:rsidRDefault="00195E73">
            <w:pPr>
              <w:rPr>
                <w:rFonts w:eastAsia="Times New Roman"/>
                <w:sz w:val="20"/>
                <w:szCs w:val="20"/>
              </w:rPr>
            </w:pPr>
          </w:p>
        </w:tc>
        <w:tc>
          <w:tcPr>
            <w:tcW w:w="0" w:type="auto"/>
            <w:vAlign w:val="center"/>
            <w:hideMark/>
          </w:tcPr>
          <w:p w14:paraId="381BA7FE" w14:textId="77777777" w:rsidR="00000000" w:rsidRDefault="00195E73">
            <w:pPr>
              <w:rPr>
                <w:rFonts w:eastAsia="Times New Roman"/>
                <w:sz w:val="20"/>
                <w:szCs w:val="20"/>
              </w:rPr>
            </w:pPr>
          </w:p>
        </w:tc>
        <w:tc>
          <w:tcPr>
            <w:tcW w:w="0" w:type="auto"/>
            <w:vAlign w:val="center"/>
            <w:hideMark/>
          </w:tcPr>
          <w:p w14:paraId="18089125" w14:textId="77777777" w:rsidR="00000000" w:rsidRDefault="00195E73">
            <w:pPr>
              <w:rPr>
                <w:rFonts w:eastAsia="Times New Roman"/>
                <w:sz w:val="20"/>
                <w:szCs w:val="20"/>
              </w:rPr>
            </w:pPr>
          </w:p>
        </w:tc>
        <w:tc>
          <w:tcPr>
            <w:tcW w:w="0" w:type="auto"/>
            <w:vAlign w:val="center"/>
            <w:hideMark/>
          </w:tcPr>
          <w:p w14:paraId="1BB4F210" w14:textId="77777777" w:rsidR="00000000" w:rsidRDefault="00195E73">
            <w:pPr>
              <w:rPr>
                <w:rFonts w:eastAsia="Times New Roman"/>
                <w:sz w:val="20"/>
                <w:szCs w:val="20"/>
              </w:rPr>
            </w:pPr>
          </w:p>
        </w:tc>
        <w:tc>
          <w:tcPr>
            <w:tcW w:w="0" w:type="auto"/>
            <w:vAlign w:val="center"/>
            <w:hideMark/>
          </w:tcPr>
          <w:p w14:paraId="07B71D71" w14:textId="77777777" w:rsidR="00000000" w:rsidRDefault="00195E73">
            <w:pPr>
              <w:rPr>
                <w:rFonts w:eastAsia="Times New Roman"/>
                <w:sz w:val="20"/>
                <w:szCs w:val="20"/>
              </w:rPr>
            </w:pPr>
          </w:p>
        </w:tc>
        <w:tc>
          <w:tcPr>
            <w:tcW w:w="0" w:type="auto"/>
            <w:vAlign w:val="center"/>
            <w:hideMark/>
          </w:tcPr>
          <w:p w14:paraId="16F1326C" w14:textId="77777777" w:rsidR="00000000" w:rsidRDefault="00195E73">
            <w:pPr>
              <w:rPr>
                <w:rFonts w:eastAsia="Times New Roman"/>
                <w:sz w:val="20"/>
                <w:szCs w:val="20"/>
              </w:rPr>
            </w:pPr>
          </w:p>
        </w:tc>
        <w:tc>
          <w:tcPr>
            <w:tcW w:w="0" w:type="auto"/>
            <w:vAlign w:val="center"/>
            <w:hideMark/>
          </w:tcPr>
          <w:p w14:paraId="3E281FD1" w14:textId="77777777" w:rsidR="00000000" w:rsidRDefault="00195E73">
            <w:pPr>
              <w:rPr>
                <w:rFonts w:eastAsia="Times New Roman"/>
                <w:sz w:val="20"/>
                <w:szCs w:val="20"/>
              </w:rPr>
            </w:pPr>
          </w:p>
        </w:tc>
      </w:tr>
      <w:tr w:rsidR="00000000" w14:paraId="2D373FB7"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16965FE5" w14:textId="77777777" w:rsidR="00000000" w:rsidRDefault="00195E73">
            <w:pPr>
              <w:rPr>
                <w:rFonts w:eastAsia="Times New Roman"/>
              </w:rPr>
            </w:pPr>
            <w:r>
              <w:rPr>
                <w:rFonts w:eastAsia="Times New Roman"/>
                <w:color w:val="000000"/>
                <w:sz w:val="13"/>
                <w:szCs w:val="13"/>
              </w:rPr>
              <w:t>Capital expenditure</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21E98EDD" w14:textId="77777777" w:rsidR="00000000" w:rsidRDefault="00195E73">
            <w:pPr>
              <w:jc w:val="right"/>
              <w:rPr>
                <w:rFonts w:eastAsia="Times New Roman"/>
              </w:rPr>
            </w:pPr>
            <w:r>
              <w:rPr>
                <w:rFonts w:eastAsia="Times New Roman"/>
                <w:color w:val="000000"/>
                <w:sz w:val="13"/>
                <w:szCs w:val="13"/>
              </w:rPr>
              <w:t>(250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181A706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95606A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498D69" w14:textId="77777777" w:rsidR="00000000" w:rsidRDefault="00195E73">
            <w:pPr>
              <w:jc w:val="right"/>
              <w:rPr>
                <w:rFonts w:eastAsia="Times New Roman"/>
              </w:rPr>
            </w:pPr>
            <w:r>
              <w:rPr>
                <w:rFonts w:eastAsia="Times New Roman"/>
                <w:color w:val="000000"/>
                <w:sz w:val="13"/>
                <w:szCs w:val="13"/>
              </w:rPr>
              <w:t>(272</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14C2A1B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9C3395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7B46C6" w14:textId="77777777" w:rsidR="00000000" w:rsidRDefault="00195E73">
            <w:pPr>
              <w:jc w:val="right"/>
              <w:rPr>
                <w:rFonts w:eastAsia="Times New Roman"/>
              </w:rPr>
            </w:pPr>
            <w:r>
              <w:rPr>
                <w:rFonts w:eastAsia="Times New Roman"/>
                <w:color w:val="000000"/>
                <w:sz w:val="13"/>
                <w:szCs w:val="13"/>
              </w:rPr>
              <w:t>(316</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1156EC0E"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4EAA8B8F" w14:textId="77777777" w:rsidR="00000000" w:rsidRDefault="00195E73">
            <w:pPr>
              <w:rPr>
                <w:rFonts w:eastAsia="Times New Roman"/>
                <w:sz w:val="20"/>
                <w:szCs w:val="20"/>
              </w:rPr>
            </w:pPr>
          </w:p>
        </w:tc>
        <w:tc>
          <w:tcPr>
            <w:tcW w:w="0" w:type="auto"/>
            <w:vAlign w:val="center"/>
            <w:hideMark/>
          </w:tcPr>
          <w:p w14:paraId="7FB8C8CF" w14:textId="77777777" w:rsidR="00000000" w:rsidRDefault="00195E73">
            <w:pPr>
              <w:rPr>
                <w:rFonts w:eastAsia="Times New Roman"/>
                <w:sz w:val="20"/>
                <w:szCs w:val="20"/>
              </w:rPr>
            </w:pPr>
          </w:p>
        </w:tc>
        <w:tc>
          <w:tcPr>
            <w:tcW w:w="0" w:type="auto"/>
            <w:vAlign w:val="center"/>
            <w:hideMark/>
          </w:tcPr>
          <w:p w14:paraId="6EFCA18F" w14:textId="77777777" w:rsidR="00000000" w:rsidRDefault="00195E73">
            <w:pPr>
              <w:rPr>
                <w:rFonts w:eastAsia="Times New Roman"/>
                <w:sz w:val="20"/>
                <w:szCs w:val="20"/>
              </w:rPr>
            </w:pPr>
          </w:p>
        </w:tc>
        <w:tc>
          <w:tcPr>
            <w:tcW w:w="0" w:type="auto"/>
            <w:vAlign w:val="center"/>
            <w:hideMark/>
          </w:tcPr>
          <w:p w14:paraId="6CCEEE99" w14:textId="77777777" w:rsidR="00000000" w:rsidRDefault="00195E73">
            <w:pPr>
              <w:rPr>
                <w:rFonts w:eastAsia="Times New Roman"/>
                <w:sz w:val="20"/>
                <w:szCs w:val="20"/>
              </w:rPr>
            </w:pPr>
          </w:p>
        </w:tc>
        <w:tc>
          <w:tcPr>
            <w:tcW w:w="0" w:type="auto"/>
            <w:vAlign w:val="center"/>
            <w:hideMark/>
          </w:tcPr>
          <w:p w14:paraId="59A442F7" w14:textId="77777777" w:rsidR="00000000" w:rsidRDefault="00195E73">
            <w:pPr>
              <w:rPr>
                <w:rFonts w:eastAsia="Times New Roman"/>
                <w:sz w:val="20"/>
                <w:szCs w:val="20"/>
              </w:rPr>
            </w:pPr>
          </w:p>
        </w:tc>
        <w:tc>
          <w:tcPr>
            <w:tcW w:w="0" w:type="auto"/>
            <w:vAlign w:val="center"/>
            <w:hideMark/>
          </w:tcPr>
          <w:p w14:paraId="0DA9E06A" w14:textId="77777777" w:rsidR="00000000" w:rsidRDefault="00195E73">
            <w:pPr>
              <w:rPr>
                <w:rFonts w:eastAsia="Times New Roman"/>
                <w:sz w:val="20"/>
                <w:szCs w:val="20"/>
              </w:rPr>
            </w:pPr>
          </w:p>
        </w:tc>
        <w:tc>
          <w:tcPr>
            <w:tcW w:w="0" w:type="auto"/>
            <w:vAlign w:val="center"/>
            <w:hideMark/>
          </w:tcPr>
          <w:p w14:paraId="4912FE73" w14:textId="77777777" w:rsidR="00000000" w:rsidRDefault="00195E73">
            <w:pPr>
              <w:rPr>
                <w:rFonts w:eastAsia="Times New Roman"/>
                <w:sz w:val="20"/>
                <w:szCs w:val="20"/>
              </w:rPr>
            </w:pPr>
          </w:p>
        </w:tc>
        <w:tc>
          <w:tcPr>
            <w:tcW w:w="0" w:type="auto"/>
            <w:vAlign w:val="center"/>
            <w:hideMark/>
          </w:tcPr>
          <w:p w14:paraId="78B8679A" w14:textId="77777777" w:rsidR="00000000" w:rsidRDefault="00195E73">
            <w:pPr>
              <w:rPr>
                <w:rFonts w:eastAsia="Times New Roman"/>
                <w:sz w:val="20"/>
                <w:szCs w:val="20"/>
              </w:rPr>
            </w:pPr>
          </w:p>
        </w:tc>
        <w:tc>
          <w:tcPr>
            <w:tcW w:w="0" w:type="auto"/>
            <w:vAlign w:val="center"/>
            <w:hideMark/>
          </w:tcPr>
          <w:p w14:paraId="556B7961" w14:textId="77777777" w:rsidR="00000000" w:rsidRDefault="00195E73">
            <w:pPr>
              <w:rPr>
                <w:rFonts w:eastAsia="Times New Roman"/>
                <w:sz w:val="20"/>
                <w:szCs w:val="20"/>
              </w:rPr>
            </w:pPr>
          </w:p>
        </w:tc>
        <w:tc>
          <w:tcPr>
            <w:tcW w:w="0" w:type="auto"/>
            <w:vAlign w:val="center"/>
            <w:hideMark/>
          </w:tcPr>
          <w:p w14:paraId="171C5096" w14:textId="77777777" w:rsidR="00000000" w:rsidRDefault="00195E73">
            <w:pPr>
              <w:rPr>
                <w:rFonts w:eastAsia="Times New Roman"/>
                <w:sz w:val="20"/>
                <w:szCs w:val="20"/>
              </w:rPr>
            </w:pPr>
          </w:p>
        </w:tc>
        <w:tc>
          <w:tcPr>
            <w:tcW w:w="0" w:type="auto"/>
            <w:vAlign w:val="center"/>
            <w:hideMark/>
          </w:tcPr>
          <w:p w14:paraId="344C55DF" w14:textId="77777777" w:rsidR="00000000" w:rsidRDefault="00195E73">
            <w:pPr>
              <w:rPr>
                <w:rFonts w:eastAsia="Times New Roman"/>
                <w:sz w:val="20"/>
                <w:szCs w:val="20"/>
              </w:rPr>
            </w:pPr>
          </w:p>
        </w:tc>
        <w:tc>
          <w:tcPr>
            <w:tcW w:w="0" w:type="auto"/>
            <w:vAlign w:val="center"/>
            <w:hideMark/>
          </w:tcPr>
          <w:p w14:paraId="6F871B82" w14:textId="77777777" w:rsidR="00000000" w:rsidRDefault="00195E73">
            <w:pPr>
              <w:rPr>
                <w:rFonts w:eastAsia="Times New Roman"/>
                <w:sz w:val="20"/>
                <w:szCs w:val="20"/>
              </w:rPr>
            </w:pPr>
          </w:p>
        </w:tc>
      </w:tr>
      <w:tr w:rsidR="00000000" w14:paraId="681D3C68"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3B942221" w14:textId="77777777" w:rsidR="00000000" w:rsidRDefault="00195E73">
            <w:pPr>
              <w:rPr>
                <w:rFonts w:eastAsia="Times New Roman"/>
              </w:rPr>
            </w:pPr>
            <w:r>
              <w:rPr>
                <w:rFonts w:eastAsia="Times New Roman"/>
                <w:color w:val="000000"/>
                <w:sz w:val="13"/>
                <w:szCs w:val="13"/>
              </w:rPr>
              <w:t>Acquisition of businesses, net of cash acquire</w:t>
            </w:r>
            <w:r>
              <w:rPr>
                <w:rFonts w:eastAsia="Times New Roman"/>
                <w:color w:val="000000"/>
                <w:sz w:val="13"/>
                <w:szCs w:val="13"/>
              </w:rPr>
              <w:t>d</w:t>
            </w:r>
          </w:p>
        </w:tc>
        <w:tc>
          <w:tcPr>
            <w:tcW w:w="0" w:type="auto"/>
            <w:gridSpan w:val="2"/>
            <w:shd w:val="clear" w:color="auto" w:fill="CCEEFF"/>
            <w:tcMar>
              <w:top w:w="30" w:type="dxa"/>
              <w:left w:w="20" w:type="dxa"/>
              <w:bottom w:w="30" w:type="dxa"/>
              <w:right w:w="0" w:type="dxa"/>
            </w:tcMar>
            <w:vAlign w:val="bottom"/>
            <w:hideMark/>
          </w:tcPr>
          <w:p w14:paraId="3CEE0CE0" w14:textId="77777777" w:rsidR="00000000" w:rsidRDefault="00195E73">
            <w:pPr>
              <w:jc w:val="right"/>
              <w:rPr>
                <w:rFonts w:eastAsia="Times New Roman"/>
              </w:rPr>
            </w:pPr>
            <w:r>
              <w:rPr>
                <w:rFonts w:eastAsia="Times New Roman"/>
                <w:color w:val="000000"/>
                <w:sz w:val="13"/>
                <w:szCs w:val="13"/>
              </w:rPr>
              <w:t>(39</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1370D2C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A5206B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D94538" w14:textId="77777777" w:rsidR="00000000" w:rsidRDefault="00195E73">
            <w:pPr>
              <w:jc w:val="right"/>
              <w:rPr>
                <w:rFonts w:eastAsia="Times New Roman"/>
              </w:rPr>
            </w:pPr>
            <w:r>
              <w:rPr>
                <w:rFonts w:eastAsia="Times New Roman"/>
                <w:color w:val="000000"/>
                <w:sz w:val="13"/>
                <w:szCs w:val="13"/>
              </w:rPr>
              <w:t>(15</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154156E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6AFA26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F70684" w14:textId="77777777" w:rsidR="00000000" w:rsidRDefault="00195E73">
            <w:pPr>
              <w:jc w:val="right"/>
              <w:rPr>
                <w:rFonts w:eastAsia="Times New Roman"/>
              </w:rPr>
            </w:pPr>
            <w:r>
              <w:rPr>
                <w:rFonts w:eastAsia="Times New Roman"/>
                <w:color w:val="000000"/>
                <w:sz w:val="13"/>
                <w:szCs w:val="13"/>
              </w:rPr>
              <w:t>(249</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11C1C468"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1988413" w14:textId="77777777" w:rsidR="00000000" w:rsidRDefault="00195E73">
            <w:pPr>
              <w:rPr>
                <w:rFonts w:eastAsia="Times New Roman"/>
                <w:sz w:val="20"/>
                <w:szCs w:val="20"/>
              </w:rPr>
            </w:pPr>
          </w:p>
        </w:tc>
        <w:tc>
          <w:tcPr>
            <w:tcW w:w="0" w:type="auto"/>
            <w:vAlign w:val="center"/>
            <w:hideMark/>
          </w:tcPr>
          <w:p w14:paraId="630FB2E1" w14:textId="77777777" w:rsidR="00000000" w:rsidRDefault="00195E73">
            <w:pPr>
              <w:rPr>
                <w:rFonts w:eastAsia="Times New Roman"/>
                <w:sz w:val="20"/>
                <w:szCs w:val="20"/>
              </w:rPr>
            </w:pPr>
          </w:p>
        </w:tc>
        <w:tc>
          <w:tcPr>
            <w:tcW w:w="0" w:type="auto"/>
            <w:vAlign w:val="center"/>
            <w:hideMark/>
          </w:tcPr>
          <w:p w14:paraId="6C4E43BE" w14:textId="77777777" w:rsidR="00000000" w:rsidRDefault="00195E73">
            <w:pPr>
              <w:rPr>
                <w:rFonts w:eastAsia="Times New Roman"/>
                <w:sz w:val="20"/>
                <w:szCs w:val="20"/>
              </w:rPr>
            </w:pPr>
          </w:p>
        </w:tc>
        <w:tc>
          <w:tcPr>
            <w:tcW w:w="0" w:type="auto"/>
            <w:vAlign w:val="center"/>
            <w:hideMark/>
          </w:tcPr>
          <w:p w14:paraId="1189C058" w14:textId="77777777" w:rsidR="00000000" w:rsidRDefault="00195E73">
            <w:pPr>
              <w:rPr>
                <w:rFonts w:eastAsia="Times New Roman"/>
                <w:sz w:val="20"/>
                <w:szCs w:val="20"/>
              </w:rPr>
            </w:pPr>
          </w:p>
        </w:tc>
        <w:tc>
          <w:tcPr>
            <w:tcW w:w="0" w:type="auto"/>
            <w:vAlign w:val="center"/>
            <w:hideMark/>
          </w:tcPr>
          <w:p w14:paraId="6CA4AE3B" w14:textId="77777777" w:rsidR="00000000" w:rsidRDefault="00195E73">
            <w:pPr>
              <w:rPr>
                <w:rFonts w:eastAsia="Times New Roman"/>
                <w:sz w:val="20"/>
                <w:szCs w:val="20"/>
              </w:rPr>
            </w:pPr>
          </w:p>
        </w:tc>
        <w:tc>
          <w:tcPr>
            <w:tcW w:w="0" w:type="auto"/>
            <w:vAlign w:val="center"/>
            <w:hideMark/>
          </w:tcPr>
          <w:p w14:paraId="04BD0B78" w14:textId="77777777" w:rsidR="00000000" w:rsidRDefault="00195E73">
            <w:pPr>
              <w:rPr>
                <w:rFonts w:eastAsia="Times New Roman"/>
                <w:sz w:val="20"/>
                <w:szCs w:val="20"/>
              </w:rPr>
            </w:pPr>
          </w:p>
        </w:tc>
        <w:tc>
          <w:tcPr>
            <w:tcW w:w="0" w:type="auto"/>
            <w:vAlign w:val="center"/>
            <w:hideMark/>
          </w:tcPr>
          <w:p w14:paraId="636D9BC9" w14:textId="77777777" w:rsidR="00000000" w:rsidRDefault="00195E73">
            <w:pPr>
              <w:rPr>
                <w:rFonts w:eastAsia="Times New Roman"/>
                <w:sz w:val="20"/>
                <w:szCs w:val="20"/>
              </w:rPr>
            </w:pPr>
          </w:p>
        </w:tc>
        <w:tc>
          <w:tcPr>
            <w:tcW w:w="0" w:type="auto"/>
            <w:vAlign w:val="center"/>
            <w:hideMark/>
          </w:tcPr>
          <w:p w14:paraId="7EFE59C3" w14:textId="77777777" w:rsidR="00000000" w:rsidRDefault="00195E73">
            <w:pPr>
              <w:rPr>
                <w:rFonts w:eastAsia="Times New Roman"/>
                <w:sz w:val="20"/>
                <w:szCs w:val="20"/>
              </w:rPr>
            </w:pPr>
          </w:p>
        </w:tc>
        <w:tc>
          <w:tcPr>
            <w:tcW w:w="0" w:type="auto"/>
            <w:vAlign w:val="center"/>
            <w:hideMark/>
          </w:tcPr>
          <w:p w14:paraId="7EC695AE" w14:textId="77777777" w:rsidR="00000000" w:rsidRDefault="00195E73">
            <w:pPr>
              <w:rPr>
                <w:rFonts w:eastAsia="Times New Roman"/>
                <w:sz w:val="20"/>
                <w:szCs w:val="20"/>
              </w:rPr>
            </w:pPr>
          </w:p>
        </w:tc>
        <w:tc>
          <w:tcPr>
            <w:tcW w:w="0" w:type="auto"/>
            <w:vAlign w:val="center"/>
            <w:hideMark/>
          </w:tcPr>
          <w:p w14:paraId="2369408E" w14:textId="77777777" w:rsidR="00000000" w:rsidRDefault="00195E73">
            <w:pPr>
              <w:rPr>
                <w:rFonts w:eastAsia="Times New Roman"/>
                <w:sz w:val="20"/>
                <w:szCs w:val="20"/>
              </w:rPr>
            </w:pPr>
          </w:p>
        </w:tc>
        <w:tc>
          <w:tcPr>
            <w:tcW w:w="0" w:type="auto"/>
            <w:vAlign w:val="center"/>
            <w:hideMark/>
          </w:tcPr>
          <w:p w14:paraId="17DE434E" w14:textId="77777777" w:rsidR="00000000" w:rsidRDefault="00195E73">
            <w:pPr>
              <w:rPr>
                <w:rFonts w:eastAsia="Times New Roman"/>
                <w:sz w:val="20"/>
                <w:szCs w:val="20"/>
              </w:rPr>
            </w:pPr>
          </w:p>
        </w:tc>
        <w:tc>
          <w:tcPr>
            <w:tcW w:w="0" w:type="auto"/>
            <w:vAlign w:val="center"/>
            <w:hideMark/>
          </w:tcPr>
          <w:p w14:paraId="44C8D842" w14:textId="77777777" w:rsidR="00000000" w:rsidRDefault="00195E73">
            <w:pPr>
              <w:rPr>
                <w:rFonts w:eastAsia="Times New Roman"/>
                <w:sz w:val="20"/>
                <w:szCs w:val="20"/>
              </w:rPr>
            </w:pPr>
          </w:p>
        </w:tc>
      </w:tr>
      <w:tr w:rsidR="00000000" w14:paraId="1106AEC5"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44A35938" w14:textId="77777777" w:rsidR="00000000" w:rsidRDefault="00195E73">
            <w:pPr>
              <w:rPr>
                <w:rFonts w:eastAsia="Times New Roman"/>
              </w:rPr>
            </w:pPr>
            <w:r>
              <w:rPr>
                <w:rFonts w:eastAsia="Times New Roman"/>
                <w:color w:val="000000"/>
                <w:sz w:val="13"/>
                <w:szCs w:val="13"/>
              </w:rPr>
              <w:t>Purchases of investment</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49A28159" w14:textId="77777777" w:rsidR="00000000" w:rsidRDefault="00195E73">
            <w:pPr>
              <w:jc w:val="right"/>
              <w:rPr>
                <w:rFonts w:eastAsia="Times New Roman"/>
              </w:rPr>
            </w:pPr>
            <w:r>
              <w:rPr>
                <w:rFonts w:eastAsia="Times New Roman"/>
                <w:color w:val="000000"/>
                <w:sz w:val="13"/>
                <w:szCs w:val="13"/>
              </w:rPr>
              <w:t>(50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7A492286"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62BE5DC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214356" w14:textId="77777777" w:rsidR="00000000" w:rsidRDefault="00195E73">
            <w:pPr>
              <w:jc w:val="right"/>
              <w:rPr>
                <w:rFonts w:eastAsia="Times New Roman"/>
              </w:rPr>
            </w:pPr>
            <w:r>
              <w:rPr>
                <w:rFonts w:eastAsia="Times New Roman"/>
                <w:color w:val="000000"/>
                <w:sz w:val="13"/>
                <w:szCs w:val="13"/>
              </w:rPr>
              <w:t>(60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6321071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51AF1A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B64346" w14:textId="77777777" w:rsidR="00000000" w:rsidRDefault="00195E73">
            <w:pPr>
              <w:jc w:val="right"/>
              <w:rPr>
                <w:rFonts w:eastAsia="Times New Roman"/>
              </w:rPr>
            </w:pPr>
            <w:r>
              <w:rPr>
                <w:rFonts w:eastAsia="Times New Roman"/>
                <w:color w:val="000000"/>
                <w:sz w:val="13"/>
                <w:szCs w:val="13"/>
              </w:rPr>
              <w:t>(77</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6C3FD4EE"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7D89C14" w14:textId="77777777" w:rsidR="00000000" w:rsidRDefault="00195E73">
            <w:pPr>
              <w:rPr>
                <w:rFonts w:eastAsia="Times New Roman"/>
                <w:sz w:val="20"/>
                <w:szCs w:val="20"/>
              </w:rPr>
            </w:pPr>
          </w:p>
        </w:tc>
        <w:tc>
          <w:tcPr>
            <w:tcW w:w="0" w:type="auto"/>
            <w:vAlign w:val="center"/>
            <w:hideMark/>
          </w:tcPr>
          <w:p w14:paraId="7BE8A193" w14:textId="77777777" w:rsidR="00000000" w:rsidRDefault="00195E73">
            <w:pPr>
              <w:rPr>
                <w:rFonts w:eastAsia="Times New Roman"/>
                <w:sz w:val="20"/>
                <w:szCs w:val="20"/>
              </w:rPr>
            </w:pPr>
          </w:p>
        </w:tc>
        <w:tc>
          <w:tcPr>
            <w:tcW w:w="0" w:type="auto"/>
            <w:vAlign w:val="center"/>
            <w:hideMark/>
          </w:tcPr>
          <w:p w14:paraId="268B7D57" w14:textId="77777777" w:rsidR="00000000" w:rsidRDefault="00195E73">
            <w:pPr>
              <w:rPr>
                <w:rFonts w:eastAsia="Times New Roman"/>
                <w:sz w:val="20"/>
                <w:szCs w:val="20"/>
              </w:rPr>
            </w:pPr>
          </w:p>
        </w:tc>
        <w:tc>
          <w:tcPr>
            <w:tcW w:w="0" w:type="auto"/>
            <w:vAlign w:val="center"/>
            <w:hideMark/>
          </w:tcPr>
          <w:p w14:paraId="50542CAD" w14:textId="77777777" w:rsidR="00000000" w:rsidRDefault="00195E73">
            <w:pPr>
              <w:rPr>
                <w:rFonts w:eastAsia="Times New Roman"/>
                <w:sz w:val="20"/>
                <w:szCs w:val="20"/>
              </w:rPr>
            </w:pPr>
          </w:p>
        </w:tc>
        <w:tc>
          <w:tcPr>
            <w:tcW w:w="0" w:type="auto"/>
            <w:vAlign w:val="center"/>
            <w:hideMark/>
          </w:tcPr>
          <w:p w14:paraId="4842B9EB" w14:textId="77777777" w:rsidR="00000000" w:rsidRDefault="00195E73">
            <w:pPr>
              <w:rPr>
                <w:rFonts w:eastAsia="Times New Roman"/>
                <w:sz w:val="20"/>
                <w:szCs w:val="20"/>
              </w:rPr>
            </w:pPr>
          </w:p>
        </w:tc>
        <w:tc>
          <w:tcPr>
            <w:tcW w:w="0" w:type="auto"/>
            <w:vAlign w:val="center"/>
            <w:hideMark/>
          </w:tcPr>
          <w:p w14:paraId="42E35ABE" w14:textId="77777777" w:rsidR="00000000" w:rsidRDefault="00195E73">
            <w:pPr>
              <w:rPr>
                <w:rFonts w:eastAsia="Times New Roman"/>
                <w:sz w:val="20"/>
                <w:szCs w:val="20"/>
              </w:rPr>
            </w:pPr>
          </w:p>
        </w:tc>
        <w:tc>
          <w:tcPr>
            <w:tcW w:w="0" w:type="auto"/>
            <w:vAlign w:val="center"/>
            <w:hideMark/>
          </w:tcPr>
          <w:p w14:paraId="271CF3DB" w14:textId="77777777" w:rsidR="00000000" w:rsidRDefault="00195E73">
            <w:pPr>
              <w:rPr>
                <w:rFonts w:eastAsia="Times New Roman"/>
                <w:sz w:val="20"/>
                <w:szCs w:val="20"/>
              </w:rPr>
            </w:pPr>
          </w:p>
        </w:tc>
        <w:tc>
          <w:tcPr>
            <w:tcW w:w="0" w:type="auto"/>
            <w:vAlign w:val="center"/>
            <w:hideMark/>
          </w:tcPr>
          <w:p w14:paraId="1CC3E151" w14:textId="77777777" w:rsidR="00000000" w:rsidRDefault="00195E73">
            <w:pPr>
              <w:rPr>
                <w:rFonts w:eastAsia="Times New Roman"/>
                <w:sz w:val="20"/>
                <w:szCs w:val="20"/>
              </w:rPr>
            </w:pPr>
          </w:p>
        </w:tc>
        <w:tc>
          <w:tcPr>
            <w:tcW w:w="0" w:type="auto"/>
            <w:vAlign w:val="center"/>
            <w:hideMark/>
          </w:tcPr>
          <w:p w14:paraId="21A7A237" w14:textId="77777777" w:rsidR="00000000" w:rsidRDefault="00195E73">
            <w:pPr>
              <w:rPr>
                <w:rFonts w:eastAsia="Times New Roman"/>
                <w:sz w:val="20"/>
                <w:szCs w:val="20"/>
              </w:rPr>
            </w:pPr>
          </w:p>
        </w:tc>
        <w:tc>
          <w:tcPr>
            <w:tcW w:w="0" w:type="auto"/>
            <w:vAlign w:val="center"/>
            <w:hideMark/>
          </w:tcPr>
          <w:p w14:paraId="3706DDE4" w14:textId="77777777" w:rsidR="00000000" w:rsidRDefault="00195E73">
            <w:pPr>
              <w:rPr>
                <w:rFonts w:eastAsia="Times New Roman"/>
                <w:sz w:val="20"/>
                <w:szCs w:val="20"/>
              </w:rPr>
            </w:pPr>
          </w:p>
        </w:tc>
        <w:tc>
          <w:tcPr>
            <w:tcW w:w="0" w:type="auto"/>
            <w:vAlign w:val="center"/>
            <w:hideMark/>
          </w:tcPr>
          <w:p w14:paraId="1D7B395D" w14:textId="77777777" w:rsidR="00000000" w:rsidRDefault="00195E73">
            <w:pPr>
              <w:rPr>
                <w:rFonts w:eastAsia="Times New Roman"/>
                <w:sz w:val="20"/>
                <w:szCs w:val="20"/>
              </w:rPr>
            </w:pPr>
          </w:p>
        </w:tc>
        <w:tc>
          <w:tcPr>
            <w:tcW w:w="0" w:type="auto"/>
            <w:vAlign w:val="center"/>
            <w:hideMark/>
          </w:tcPr>
          <w:p w14:paraId="1B546DD8" w14:textId="77777777" w:rsidR="00000000" w:rsidRDefault="00195E73">
            <w:pPr>
              <w:rPr>
                <w:rFonts w:eastAsia="Times New Roman"/>
                <w:sz w:val="20"/>
                <w:szCs w:val="20"/>
              </w:rPr>
            </w:pPr>
          </w:p>
        </w:tc>
      </w:tr>
      <w:tr w:rsidR="00000000" w14:paraId="1F5C99DA"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486B70FD" w14:textId="77777777" w:rsidR="00000000" w:rsidRDefault="00195E73">
            <w:pPr>
              <w:rPr>
                <w:rFonts w:eastAsia="Times New Roman"/>
              </w:rPr>
            </w:pPr>
            <w:r>
              <w:rPr>
                <w:rFonts w:eastAsia="Times New Roman"/>
                <w:color w:val="000000"/>
                <w:sz w:val="13"/>
                <w:szCs w:val="13"/>
              </w:rPr>
              <w:t>Proceeds from sale of investment</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5CDA874E" w14:textId="77777777" w:rsidR="00000000" w:rsidRDefault="00195E73">
            <w:pPr>
              <w:jc w:val="right"/>
              <w:rPr>
                <w:rFonts w:eastAsia="Times New Roman"/>
              </w:rPr>
            </w:pPr>
            <w:r>
              <w:rPr>
                <w:rFonts w:eastAsia="Times New Roman"/>
                <w:color w:val="000000"/>
                <w:sz w:val="13"/>
                <w:szCs w:val="13"/>
              </w:rPr>
              <w:t>458</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46859CA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ED8241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ED4346" w14:textId="77777777" w:rsidR="00000000" w:rsidRDefault="00195E73">
            <w:pPr>
              <w:jc w:val="right"/>
              <w:rPr>
                <w:rFonts w:eastAsia="Times New Roman"/>
              </w:rPr>
            </w:pPr>
            <w:r>
              <w:rPr>
                <w:rFonts w:eastAsia="Times New Roman"/>
                <w:color w:val="000000"/>
                <w:sz w:val="13"/>
                <w:szCs w:val="13"/>
              </w:rPr>
              <w:t>1</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D3AA1C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7D5C545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1C3E62" w14:textId="77777777" w:rsidR="00000000" w:rsidRDefault="00195E73">
            <w:pPr>
              <w:jc w:val="right"/>
              <w:rPr>
                <w:rFonts w:eastAsia="Times New Roman"/>
              </w:rPr>
            </w:pPr>
            <w:r>
              <w:rPr>
                <w:rFonts w:eastAsia="Times New Roman"/>
                <w:color w:val="000000"/>
                <w:sz w:val="13"/>
                <w:szCs w:val="13"/>
              </w:rPr>
              <w:t>1</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08921909"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7D7232B" w14:textId="77777777" w:rsidR="00000000" w:rsidRDefault="00195E73">
            <w:pPr>
              <w:rPr>
                <w:rFonts w:eastAsia="Times New Roman"/>
                <w:sz w:val="20"/>
                <w:szCs w:val="20"/>
              </w:rPr>
            </w:pPr>
          </w:p>
        </w:tc>
        <w:tc>
          <w:tcPr>
            <w:tcW w:w="0" w:type="auto"/>
            <w:vAlign w:val="center"/>
            <w:hideMark/>
          </w:tcPr>
          <w:p w14:paraId="436D0B9A" w14:textId="77777777" w:rsidR="00000000" w:rsidRDefault="00195E73">
            <w:pPr>
              <w:rPr>
                <w:rFonts w:eastAsia="Times New Roman"/>
                <w:sz w:val="20"/>
                <w:szCs w:val="20"/>
              </w:rPr>
            </w:pPr>
          </w:p>
        </w:tc>
        <w:tc>
          <w:tcPr>
            <w:tcW w:w="0" w:type="auto"/>
            <w:vAlign w:val="center"/>
            <w:hideMark/>
          </w:tcPr>
          <w:p w14:paraId="4962EAC3" w14:textId="77777777" w:rsidR="00000000" w:rsidRDefault="00195E73">
            <w:pPr>
              <w:rPr>
                <w:rFonts w:eastAsia="Times New Roman"/>
                <w:sz w:val="20"/>
                <w:szCs w:val="20"/>
              </w:rPr>
            </w:pPr>
          </w:p>
        </w:tc>
        <w:tc>
          <w:tcPr>
            <w:tcW w:w="0" w:type="auto"/>
            <w:vAlign w:val="center"/>
            <w:hideMark/>
          </w:tcPr>
          <w:p w14:paraId="72D5102E" w14:textId="77777777" w:rsidR="00000000" w:rsidRDefault="00195E73">
            <w:pPr>
              <w:rPr>
                <w:rFonts w:eastAsia="Times New Roman"/>
                <w:sz w:val="20"/>
                <w:szCs w:val="20"/>
              </w:rPr>
            </w:pPr>
          </w:p>
        </w:tc>
        <w:tc>
          <w:tcPr>
            <w:tcW w:w="0" w:type="auto"/>
            <w:vAlign w:val="center"/>
            <w:hideMark/>
          </w:tcPr>
          <w:p w14:paraId="72DAB0A4" w14:textId="77777777" w:rsidR="00000000" w:rsidRDefault="00195E73">
            <w:pPr>
              <w:rPr>
                <w:rFonts w:eastAsia="Times New Roman"/>
                <w:sz w:val="20"/>
                <w:szCs w:val="20"/>
              </w:rPr>
            </w:pPr>
          </w:p>
        </w:tc>
        <w:tc>
          <w:tcPr>
            <w:tcW w:w="0" w:type="auto"/>
            <w:vAlign w:val="center"/>
            <w:hideMark/>
          </w:tcPr>
          <w:p w14:paraId="4AB76E33" w14:textId="77777777" w:rsidR="00000000" w:rsidRDefault="00195E73">
            <w:pPr>
              <w:rPr>
                <w:rFonts w:eastAsia="Times New Roman"/>
                <w:sz w:val="20"/>
                <w:szCs w:val="20"/>
              </w:rPr>
            </w:pPr>
          </w:p>
        </w:tc>
        <w:tc>
          <w:tcPr>
            <w:tcW w:w="0" w:type="auto"/>
            <w:vAlign w:val="center"/>
            <w:hideMark/>
          </w:tcPr>
          <w:p w14:paraId="7A0B86A5" w14:textId="77777777" w:rsidR="00000000" w:rsidRDefault="00195E73">
            <w:pPr>
              <w:rPr>
                <w:rFonts w:eastAsia="Times New Roman"/>
                <w:sz w:val="20"/>
                <w:szCs w:val="20"/>
              </w:rPr>
            </w:pPr>
          </w:p>
        </w:tc>
        <w:tc>
          <w:tcPr>
            <w:tcW w:w="0" w:type="auto"/>
            <w:vAlign w:val="center"/>
            <w:hideMark/>
          </w:tcPr>
          <w:p w14:paraId="27396C44" w14:textId="77777777" w:rsidR="00000000" w:rsidRDefault="00195E73">
            <w:pPr>
              <w:rPr>
                <w:rFonts w:eastAsia="Times New Roman"/>
                <w:sz w:val="20"/>
                <w:szCs w:val="20"/>
              </w:rPr>
            </w:pPr>
          </w:p>
        </w:tc>
        <w:tc>
          <w:tcPr>
            <w:tcW w:w="0" w:type="auto"/>
            <w:vAlign w:val="center"/>
            <w:hideMark/>
          </w:tcPr>
          <w:p w14:paraId="60FB3E26" w14:textId="77777777" w:rsidR="00000000" w:rsidRDefault="00195E73">
            <w:pPr>
              <w:rPr>
                <w:rFonts w:eastAsia="Times New Roman"/>
                <w:sz w:val="20"/>
                <w:szCs w:val="20"/>
              </w:rPr>
            </w:pPr>
          </w:p>
        </w:tc>
        <w:tc>
          <w:tcPr>
            <w:tcW w:w="0" w:type="auto"/>
            <w:vAlign w:val="center"/>
            <w:hideMark/>
          </w:tcPr>
          <w:p w14:paraId="218C22A8" w14:textId="77777777" w:rsidR="00000000" w:rsidRDefault="00195E73">
            <w:pPr>
              <w:rPr>
                <w:rFonts w:eastAsia="Times New Roman"/>
                <w:sz w:val="20"/>
                <w:szCs w:val="20"/>
              </w:rPr>
            </w:pPr>
          </w:p>
        </w:tc>
        <w:tc>
          <w:tcPr>
            <w:tcW w:w="0" w:type="auto"/>
            <w:vAlign w:val="center"/>
            <w:hideMark/>
          </w:tcPr>
          <w:p w14:paraId="181A3B42" w14:textId="77777777" w:rsidR="00000000" w:rsidRDefault="00195E73">
            <w:pPr>
              <w:rPr>
                <w:rFonts w:eastAsia="Times New Roman"/>
                <w:sz w:val="20"/>
                <w:szCs w:val="20"/>
              </w:rPr>
            </w:pPr>
          </w:p>
        </w:tc>
        <w:tc>
          <w:tcPr>
            <w:tcW w:w="0" w:type="auto"/>
            <w:vAlign w:val="center"/>
            <w:hideMark/>
          </w:tcPr>
          <w:p w14:paraId="41601D9B" w14:textId="77777777" w:rsidR="00000000" w:rsidRDefault="00195E73">
            <w:pPr>
              <w:rPr>
                <w:rFonts w:eastAsia="Times New Roman"/>
                <w:sz w:val="20"/>
                <w:szCs w:val="20"/>
              </w:rPr>
            </w:pPr>
          </w:p>
        </w:tc>
      </w:tr>
      <w:tr w:rsidR="00000000" w14:paraId="27D7F5CC"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3E87122B" w14:textId="77777777" w:rsidR="00000000" w:rsidRDefault="00195E73">
            <w:pPr>
              <w:rPr>
                <w:rFonts w:eastAsia="Times New Roman"/>
              </w:rPr>
            </w:pPr>
            <w:r>
              <w:rPr>
                <w:rFonts w:eastAsia="Times New Roman"/>
                <w:color w:val="000000"/>
                <w:sz w:val="13"/>
                <w:szCs w:val="13"/>
              </w:rPr>
              <w:t>Proceeds from disposition of asset</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5ED0CA85" w14:textId="77777777" w:rsidR="00000000" w:rsidRDefault="00195E73">
            <w:pPr>
              <w:jc w:val="right"/>
              <w:rPr>
                <w:rFonts w:eastAsia="Times New Roman"/>
              </w:rPr>
            </w:pPr>
            <w:r>
              <w:rPr>
                <w:rFonts w:eastAsia="Times New Roman"/>
                <w:color w:val="000000"/>
                <w:sz w:val="13"/>
                <w:szCs w:val="13"/>
              </w:rPr>
              <w:t>505</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0AF6346D"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245E07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C1D94C" w14:textId="77777777" w:rsidR="00000000" w:rsidRDefault="00195E73">
            <w:pPr>
              <w:jc w:val="right"/>
              <w:rPr>
                <w:rFonts w:eastAsia="Times New Roman"/>
              </w:rPr>
            </w:pPr>
            <w:r>
              <w:rPr>
                <w:rFonts w:eastAsia="Times New Roman"/>
                <w:color w:val="000000"/>
                <w:sz w:val="13"/>
                <w:szCs w:val="13"/>
              </w:rPr>
              <w:t>3,370</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40BA3A2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35612F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230A16" w14:textId="77777777" w:rsidR="00000000" w:rsidRDefault="00195E73">
            <w:pPr>
              <w:jc w:val="right"/>
              <w:rPr>
                <w:rFonts w:eastAsia="Times New Roman"/>
              </w:rPr>
            </w:pPr>
            <w:r>
              <w:rPr>
                <w:rFonts w:eastAsia="Times New Roman"/>
                <w:color w:val="000000"/>
                <w:sz w:val="13"/>
                <w:szCs w:val="13"/>
              </w:rPr>
              <w:t>1,983</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5346E534"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1D3D55A" w14:textId="77777777" w:rsidR="00000000" w:rsidRDefault="00195E73">
            <w:pPr>
              <w:rPr>
                <w:rFonts w:eastAsia="Times New Roman"/>
                <w:sz w:val="20"/>
                <w:szCs w:val="20"/>
              </w:rPr>
            </w:pPr>
          </w:p>
        </w:tc>
        <w:tc>
          <w:tcPr>
            <w:tcW w:w="0" w:type="auto"/>
            <w:vAlign w:val="center"/>
            <w:hideMark/>
          </w:tcPr>
          <w:p w14:paraId="16ACD941" w14:textId="77777777" w:rsidR="00000000" w:rsidRDefault="00195E73">
            <w:pPr>
              <w:rPr>
                <w:rFonts w:eastAsia="Times New Roman"/>
                <w:sz w:val="20"/>
                <w:szCs w:val="20"/>
              </w:rPr>
            </w:pPr>
          </w:p>
        </w:tc>
        <w:tc>
          <w:tcPr>
            <w:tcW w:w="0" w:type="auto"/>
            <w:vAlign w:val="center"/>
            <w:hideMark/>
          </w:tcPr>
          <w:p w14:paraId="00175A40" w14:textId="77777777" w:rsidR="00000000" w:rsidRDefault="00195E73">
            <w:pPr>
              <w:rPr>
                <w:rFonts w:eastAsia="Times New Roman"/>
                <w:sz w:val="20"/>
                <w:szCs w:val="20"/>
              </w:rPr>
            </w:pPr>
          </w:p>
        </w:tc>
        <w:tc>
          <w:tcPr>
            <w:tcW w:w="0" w:type="auto"/>
            <w:vAlign w:val="center"/>
            <w:hideMark/>
          </w:tcPr>
          <w:p w14:paraId="1AEDEF3E" w14:textId="77777777" w:rsidR="00000000" w:rsidRDefault="00195E73">
            <w:pPr>
              <w:rPr>
                <w:rFonts w:eastAsia="Times New Roman"/>
                <w:sz w:val="20"/>
                <w:szCs w:val="20"/>
              </w:rPr>
            </w:pPr>
          </w:p>
        </w:tc>
        <w:tc>
          <w:tcPr>
            <w:tcW w:w="0" w:type="auto"/>
            <w:vAlign w:val="center"/>
            <w:hideMark/>
          </w:tcPr>
          <w:p w14:paraId="34FFD486" w14:textId="77777777" w:rsidR="00000000" w:rsidRDefault="00195E73">
            <w:pPr>
              <w:rPr>
                <w:rFonts w:eastAsia="Times New Roman"/>
                <w:sz w:val="20"/>
                <w:szCs w:val="20"/>
              </w:rPr>
            </w:pPr>
          </w:p>
        </w:tc>
        <w:tc>
          <w:tcPr>
            <w:tcW w:w="0" w:type="auto"/>
            <w:vAlign w:val="center"/>
            <w:hideMark/>
          </w:tcPr>
          <w:p w14:paraId="5588E63B" w14:textId="77777777" w:rsidR="00000000" w:rsidRDefault="00195E73">
            <w:pPr>
              <w:rPr>
                <w:rFonts w:eastAsia="Times New Roman"/>
                <w:sz w:val="20"/>
                <w:szCs w:val="20"/>
              </w:rPr>
            </w:pPr>
          </w:p>
        </w:tc>
        <w:tc>
          <w:tcPr>
            <w:tcW w:w="0" w:type="auto"/>
            <w:vAlign w:val="center"/>
            <w:hideMark/>
          </w:tcPr>
          <w:p w14:paraId="7FF53F32" w14:textId="77777777" w:rsidR="00000000" w:rsidRDefault="00195E73">
            <w:pPr>
              <w:rPr>
                <w:rFonts w:eastAsia="Times New Roman"/>
                <w:sz w:val="20"/>
                <w:szCs w:val="20"/>
              </w:rPr>
            </w:pPr>
          </w:p>
        </w:tc>
        <w:tc>
          <w:tcPr>
            <w:tcW w:w="0" w:type="auto"/>
            <w:vAlign w:val="center"/>
            <w:hideMark/>
          </w:tcPr>
          <w:p w14:paraId="7E86523A" w14:textId="77777777" w:rsidR="00000000" w:rsidRDefault="00195E73">
            <w:pPr>
              <w:rPr>
                <w:rFonts w:eastAsia="Times New Roman"/>
                <w:sz w:val="20"/>
                <w:szCs w:val="20"/>
              </w:rPr>
            </w:pPr>
          </w:p>
        </w:tc>
        <w:tc>
          <w:tcPr>
            <w:tcW w:w="0" w:type="auto"/>
            <w:vAlign w:val="center"/>
            <w:hideMark/>
          </w:tcPr>
          <w:p w14:paraId="020D7F06" w14:textId="77777777" w:rsidR="00000000" w:rsidRDefault="00195E73">
            <w:pPr>
              <w:rPr>
                <w:rFonts w:eastAsia="Times New Roman"/>
                <w:sz w:val="20"/>
                <w:szCs w:val="20"/>
              </w:rPr>
            </w:pPr>
          </w:p>
        </w:tc>
        <w:tc>
          <w:tcPr>
            <w:tcW w:w="0" w:type="auto"/>
            <w:vAlign w:val="center"/>
            <w:hideMark/>
          </w:tcPr>
          <w:p w14:paraId="5ACEB7B5" w14:textId="77777777" w:rsidR="00000000" w:rsidRDefault="00195E73">
            <w:pPr>
              <w:rPr>
                <w:rFonts w:eastAsia="Times New Roman"/>
                <w:sz w:val="20"/>
                <w:szCs w:val="20"/>
              </w:rPr>
            </w:pPr>
          </w:p>
        </w:tc>
        <w:tc>
          <w:tcPr>
            <w:tcW w:w="0" w:type="auto"/>
            <w:vAlign w:val="center"/>
            <w:hideMark/>
          </w:tcPr>
          <w:p w14:paraId="476A933E" w14:textId="77777777" w:rsidR="00000000" w:rsidRDefault="00195E73">
            <w:pPr>
              <w:rPr>
                <w:rFonts w:eastAsia="Times New Roman"/>
                <w:sz w:val="20"/>
                <w:szCs w:val="20"/>
              </w:rPr>
            </w:pPr>
          </w:p>
        </w:tc>
        <w:tc>
          <w:tcPr>
            <w:tcW w:w="0" w:type="auto"/>
            <w:vAlign w:val="center"/>
            <w:hideMark/>
          </w:tcPr>
          <w:p w14:paraId="5E9F7EFF" w14:textId="77777777" w:rsidR="00000000" w:rsidRDefault="00195E73">
            <w:pPr>
              <w:rPr>
                <w:rFonts w:eastAsia="Times New Roman"/>
                <w:sz w:val="20"/>
                <w:szCs w:val="20"/>
              </w:rPr>
            </w:pPr>
          </w:p>
        </w:tc>
      </w:tr>
      <w:tr w:rsidR="00000000" w14:paraId="2B71F99D"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22FD61F0" w14:textId="77777777" w:rsidR="00000000" w:rsidRDefault="00195E73">
            <w:pPr>
              <w:rPr>
                <w:rFonts w:eastAsia="Times New Roman"/>
              </w:rPr>
            </w:pPr>
            <w:r>
              <w:rPr>
                <w:rFonts w:eastAsia="Times New Roman"/>
                <w:color w:val="000000"/>
                <w:sz w:val="13"/>
                <w:szCs w:val="13"/>
              </w:rPr>
              <w:t>Other, ne</w:t>
            </w:r>
            <w:r>
              <w:rPr>
                <w:rFonts w:eastAsia="Times New Roman"/>
                <w:color w:val="000000"/>
                <w:sz w:val="13"/>
                <w:szCs w:val="13"/>
              </w:rPr>
              <w:t>t</w:t>
            </w:r>
          </w:p>
        </w:tc>
        <w:tc>
          <w:tcPr>
            <w:tcW w:w="0" w:type="auto"/>
            <w:gridSpan w:val="2"/>
            <w:shd w:val="clear" w:color="auto" w:fill="CCEEFF"/>
            <w:tcMar>
              <w:top w:w="30" w:type="dxa"/>
              <w:left w:w="20" w:type="dxa"/>
              <w:bottom w:w="30" w:type="dxa"/>
              <w:right w:w="0" w:type="dxa"/>
            </w:tcMar>
            <w:vAlign w:val="bottom"/>
            <w:hideMark/>
          </w:tcPr>
          <w:p w14:paraId="6DA2EAF5" w14:textId="77777777" w:rsidR="00000000" w:rsidRDefault="00195E73">
            <w:pPr>
              <w:jc w:val="right"/>
              <w:rPr>
                <w:rFonts w:eastAsia="Times New Roman"/>
              </w:rPr>
            </w:pPr>
            <w:r>
              <w:rPr>
                <w:rFonts w:eastAsia="Times New Roman"/>
                <w:color w:val="000000"/>
                <w:sz w:val="13"/>
                <w:szCs w:val="13"/>
              </w:rPr>
              <w:t>(38</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1E1CB0B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4DB526B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9A1A96"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7FAAE80"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170565A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1A7D62" w14:textId="77777777" w:rsidR="00000000" w:rsidRDefault="00195E73">
            <w:pPr>
              <w:jc w:val="right"/>
              <w:rPr>
                <w:rFonts w:eastAsia="Times New Roman"/>
              </w:rPr>
            </w:pPr>
            <w:r>
              <w:rPr>
                <w:rFonts w:eastAsia="Times New Roman"/>
                <w:color w:val="000000"/>
                <w:sz w:val="13"/>
                <w:szCs w:val="13"/>
              </w:rPr>
              <w:t>(80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2448E2C8"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1B30E5C1" w14:textId="77777777" w:rsidR="00000000" w:rsidRDefault="00195E73">
            <w:pPr>
              <w:rPr>
                <w:rFonts w:eastAsia="Times New Roman"/>
                <w:sz w:val="20"/>
                <w:szCs w:val="20"/>
              </w:rPr>
            </w:pPr>
          </w:p>
        </w:tc>
        <w:tc>
          <w:tcPr>
            <w:tcW w:w="0" w:type="auto"/>
            <w:vAlign w:val="center"/>
            <w:hideMark/>
          </w:tcPr>
          <w:p w14:paraId="3DEAE173" w14:textId="77777777" w:rsidR="00000000" w:rsidRDefault="00195E73">
            <w:pPr>
              <w:rPr>
                <w:rFonts w:eastAsia="Times New Roman"/>
                <w:sz w:val="20"/>
                <w:szCs w:val="20"/>
              </w:rPr>
            </w:pPr>
          </w:p>
        </w:tc>
        <w:tc>
          <w:tcPr>
            <w:tcW w:w="0" w:type="auto"/>
            <w:vAlign w:val="center"/>
            <w:hideMark/>
          </w:tcPr>
          <w:p w14:paraId="76D7C56D" w14:textId="77777777" w:rsidR="00000000" w:rsidRDefault="00195E73">
            <w:pPr>
              <w:rPr>
                <w:rFonts w:eastAsia="Times New Roman"/>
                <w:sz w:val="20"/>
                <w:szCs w:val="20"/>
              </w:rPr>
            </w:pPr>
          </w:p>
        </w:tc>
        <w:tc>
          <w:tcPr>
            <w:tcW w:w="0" w:type="auto"/>
            <w:vAlign w:val="center"/>
            <w:hideMark/>
          </w:tcPr>
          <w:p w14:paraId="4EBDDFD5" w14:textId="77777777" w:rsidR="00000000" w:rsidRDefault="00195E73">
            <w:pPr>
              <w:rPr>
                <w:rFonts w:eastAsia="Times New Roman"/>
                <w:sz w:val="20"/>
                <w:szCs w:val="20"/>
              </w:rPr>
            </w:pPr>
          </w:p>
        </w:tc>
        <w:tc>
          <w:tcPr>
            <w:tcW w:w="0" w:type="auto"/>
            <w:vAlign w:val="center"/>
            <w:hideMark/>
          </w:tcPr>
          <w:p w14:paraId="6540C452" w14:textId="77777777" w:rsidR="00000000" w:rsidRDefault="00195E73">
            <w:pPr>
              <w:rPr>
                <w:rFonts w:eastAsia="Times New Roman"/>
                <w:sz w:val="20"/>
                <w:szCs w:val="20"/>
              </w:rPr>
            </w:pPr>
          </w:p>
        </w:tc>
        <w:tc>
          <w:tcPr>
            <w:tcW w:w="0" w:type="auto"/>
            <w:vAlign w:val="center"/>
            <w:hideMark/>
          </w:tcPr>
          <w:p w14:paraId="00B864BF" w14:textId="77777777" w:rsidR="00000000" w:rsidRDefault="00195E73">
            <w:pPr>
              <w:rPr>
                <w:rFonts w:eastAsia="Times New Roman"/>
                <w:sz w:val="20"/>
                <w:szCs w:val="20"/>
              </w:rPr>
            </w:pPr>
          </w:p>
        </w:tc>
        <w:tc>
          <w:tcPr>
            <w:tcW w:w="0" w:type="auto"/>
            <w:vAlign w:val="center"/>
            <w:hideMark/>
          </w:tcPr>
          <w:p w14:paraId="3CFD9687" w14:textId="77777777" w:rsidR="00000000" w:rsidRDefault="00195E73">
            <w:pPr>
              <w:rPr>
                <w:rFonts w:eastAsia="Times New Roman"/>
                <w:sz w:val="20"/>
                <w:szCs w:val="20"/>
              </w:rPr>
            </w:pPr>
          </w:p>
        </w:tc>
        <w:tc>
          <w:tcPr>
            <w:tcW w:w="0" w:type="auto"/>
            <w:vAlign w:val="center"/>
            <w:hideMark/>
          </w:tcPr>
          <w:p w14:paraId="67849A26" w14:textId="77777777" w:rsidR="00000000" w:rsidRDefault="00195E73">
            <w:pPr>
              <w:rPr>
                <w:rFonts w:eastAsia="Times New Roman"/>
                <w:sz w:val="20"/>
                <w:szCs w:val="20"/>
              </w:rPr>
            </w:pPr>
          </w:p>
        </w:tc>
        <w:tc>
          <w:tcPr>
            <w:tcW w:w="0" w:type="auto"/>
            <w:vAlign w:val="center"/>
            <w:hideMark/>
          </w:tcPr>
          <w:p w14:paraId="651A98B1" w14:textId="77777777" w:rsidR="00000000" w:rsidRDefault="00195E73">
            <w:pPr>
              <w:rPr>
                <w:rFonts w:eastAsia="Times New Roman"/>
                <w:sz w:val="20"/>
                <w:szCs w:val="20"/>
              </w:rPr>
            </w:pPr>
          </w:p>
        </w:tc>
        <w:tc>
          <w:tcPr>
            <w:tcW w:w="0" w:type="auto"/>
            <w:vAlign w:val="center"/>
            <w:hideMark/>
          </w:tcPr>
          <w:p w14:paraId="4860A5ED" w14:textId="77777777" w:rsidR="00000000" w:rsidRDefault="00195E73">
            <w:pPr>
              <w:rPr>
                <w:rFonts w:eastAsia="Times New Roman"/>
                <w:sz w:val="20"/>
                <w:szCs w:val="20"/>
              </w:rPr>
            </w:pPr>
          </w:p>
        </w:tc>
        <w:tc>
          <w:tcPr>
            <w:tcW w:w="0" w:type="auto"/>
            <w:vAlign w:val="center"/>
            <w:hideMark/>
          </w:tcPr>
          <w:p w14:paraId="3ECA56F4" w14:textId="77777777" w:rsidR="00000000" w:rsidRDefault="00195E73">
            <w:pPr>
              <w:rPr>
                <w:rFonts w:eastAsia="Times New Roman"/>
                <w:sz w:val="20"/>
                <w:szCs w:val="20"/>
              </w:rPr>
            </w:pPr>
          </w:p>
        </w:tc>
        <w:tc>
          <w:tcPr>
            <w:tcW w:w="0" w:type="auto"/>
            <w:vAlign w:val="center"/>
            <w:hideMark/>
          </w:tcPr>
          <w:p w14:paraId="7376B105" w14:textId="77777777" w:rsidR="00000000" w:rsidRDefault="00195E73">
            <w:pPr>
              <w:rPr>
                <w:rFonts w:eastAsia="Times New Roman"/>
                <w:sz w:val="20"/>
                <w:szCs w:val="20"/>
              </w:rPr>
            </w:pPr>
          </w:p>
        </w:tc>
      </w:tr>
      <w:tr w:rsidR="00000000" w14:paraId="46445B00"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4E81CBFC" w14:textId="77777777" w:rsidR="00000000" w:rsidRDefault="00195E73">
            <w:pPr>
              <w:rPr>
                <w:rFonts w:eastAsia="Times New Roman"/>
              </w:rPr>
            </w:pPr>
            <w:r>
              <w:rPr>
                <w:rFonts w:eastAsia="Times New Roman"/>
                <w:color w:val="000000"/>
                <w:sz w:val="13"/>
                <w:szCs w:val="13"/>
              </w:rPr>
              <w:t>Net cash provided by investing activities from continuing operation</w:t>
            </w:r>
            <w:r>
              <w:rPr>
                <w:rFonts w:eastAsia="Times New Roman"/>
                <w:color w:val="000000"/>
                <w:sz w:val="13"/>
                <w:szCs w:val="13"/>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7B551E" w14:textId="77777777" w:rsidR="00000000" w:rsidRDefault="00195E73">
            <w:pPr>
              <w:jc w:val="right"/>
              <w:rPr>
                <w:rFonts w:eastAsia="Times New Roman"/>
              </w:rPr>
            </w:pPr>
            <w:r>
              <w:rPr>
                <w:rFonts w:eastAsia="Times New Roman"/>
                <w:color w:val="000000"/>
                <w:sz w:val="13"/>
                <w:szCs w:val="13"/>
              </w:rPr>
              <w:t>586</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A7D402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62140E35"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71FDDE" w14:textId="77777777" w:rsidR="00000000" w:rsidRDefault="00195E73">
            <w:pPr>
              <w:jc w:val="right"/>
              <w:rPr>
                <w:rFonts w:eastAsia="Times New Roman"/>
              </w:rPr>
            </w:pPr>
            <w:r>
              <w:rPr>
                <w:rFonts w:eastAsia="Times New Roman"/>
                <w:color w:val="000000"/>
                <w:sz w:val="13"/>
                <w:szCs w:val="13"/>
              </w:rPr>
              <w:t>3,024</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E24F5B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7AF3D6B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81AEEE" w14:textId="77777777" w:rsidR="00000000" w:rsidRDefault="00195E73">
            <w:pPr>
              <w:jc w:val="right"/>
              <w:rPr>
                <w:rFonts w:eastAsia="Times New Roman"/>
              </w:rPr>
            </w:pPr>
            <w:r>
              <w:rPr>
                <w:rFonts w:eastAsia="Times New Roman"/>
                <w:color w:val="000000"/>
                <w:sz w:val="13"/>
                <w:szCs w:val="13"/>
              </w:rPr>
              <w:t>1,262</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520C8FC"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15CB5460" w14:textId="77777777" w:rsidR="00000000" w:rsidRDefault="00195E73">
            <w:pPr>
              <w:rPr>
                <w:rFonts w:eastAsia="Times New Roman"/>
                <w:sz w:val="20"/>
                <w:szCs w:val="20"/>
              </w:rPr>
            </w:pPr>
          </w:p>
        </w:tc>
        <w:tc>
          <w:tcPr>
            <w:tcW w:w="0" w:type="auto"/>
            <w:vAlign w:val="center"/>
            <w:hideMark/>
          </w:tcPr>
          <w:p w14:paraId="34709EC6" w14:textId="77777777" w:rsidR="00000000" w:rsidRDefault="00195E73">
            <w:pPr>
              <w:rPr>
                <w:rFonts w:eastAsia="Times New Roman"/>
                <w:sz w:val="20"/>
                <w:szCs w:val="20"/>
              </w:rPr>
            </w:pPr>
          </w:p>
        </w:tc>
        <w:tc>
          <w:tcPr>
            <w:tcW w:w="0" w:type="auto"/>
            <w:vAlign w:val="center"/>
            <w:hideMark/>
          </w:tcPr>
          <w:p w14:paraId="5F87D8BC" w14:textId="77777777" w:rsidR="00000000" w:rsidRDefault="00195E73">
            <w:pPr>
              <w:rPr>
                <w:rFonts w:eastAsia="Times New Roman"/>
                <w:sz w:val="20"/>
                <w:szCs w:val="20"/>
              </w:rPr>
            </w:pPr>
          </w:p>
        </w:tc>
        <w:tc>
          <w:tcPr>
            <w:tcW w:w="0" w:type="auto"/>
            <w:vAlign w:val="center"/>
            <w:hideMark/>
          </w:tcPr>
          <w:p w14:paraId="79929715" w14:textId="77777777" w:rsidR="00000000" w:rsidRDefault="00195E73">
            <w:pPr>
              <w:rPr>
                <w:rFonts w:eastAsia="Times New Roman"/>
                <w:sz w:val="20"/>
                <w:szCs w:val="20"/>
              </w:rPr>
            </w:pPr>
          </w:p>
        </w:tc>
        <w:tc>
          <w:tcPr>
            <w:tcW w:w="0" w:type="auto"/>
            <w:vAlign w:val="center"/>
            <w:hideMark/>
          </w:tcPr>
          <w:p w14:paraId="07BB0B53" w14:textId="77777777" w:rsidR="00000000" w:rsidRDefault="00195E73">
            <w:pPr>
              <w:rPr>
                <w:rFonts w:eastAsia="Times New Roman"/>
                <w:sz w:val="20"/>
                <w:szCs w:val="20"/>
              </w:rPr>
            </w:pPr>
          </w:p>
        </w:tc>
        <w:tc>
          <w:tcPr>
            <w:tcW w:w="0" w:type="auto"/>
            <w:vAlign w:val="center"/>
            <w:hideMark/>
          </w:tcPr>
          <w:p w14:paraId="2DAE2B06" w14:textId="77777777" w:rsidR="00000000" w:rsidRDefault="00195E73">
            <w:pPr>
              <w:rPr>
                <w:rFonts w:eastAsia="Times New Roman"/>
                <w:sz w:val="20"/>
                <w:szCs w:val="20"/>
              </w:rPr>
            </w:pPr>
          </w:p>
        </w:tc>
        <w:tc>
          <w:tcPr>
            <w:tcW w:w="0" w:type="auto"/>
            <w:vAlign w:val="center"/>
            <w:hideMark/>
          </w:tcPr>
          <w:p w14:paraId="0DB53DAE" w14:textId="77777777" w:rsidR="00000000" w:rsidRDefault="00195E73">
            <w:pPr>
              <w:rPr>
                <w:rFonts w:eastAsia="Times New Roman"/>
                <w:sz w:val="20"/>
                <w:szCs w:val="20"/>
              </w:rPr>
            </w:pPr>
          </w:p>
        </w:tc>
        <w:tc>
          <w:tcPr>
            <w:tcW w:w="0" w:type="auto"/>
            <w:vAlign w:val="center"/>
            <w:hideMark/>
          </w:tcPr>
          <w:p w14:paraId="7D0BEE09" w14:textId="77777777" w:rsidR="00000000" w:rsidRDefault="00195E73">
            <w:pPr>
              <w:rPr>
                <w:rFonts w:eastAsia="Times New Roman"/>
                <w:sz w:val="20"/>
                <w:szCs w:val="20"/>
              </w:rPr>
            </w:pPr>
          </w:p>
        </w:tc>
        <w:tc>
          <w:tcPr>
            <w:tcW w:w="0" w:type="auto"/>
            <w:vAlign w:val="center"/>
            <w:hideMark/>
          </w:tcPr>
          <w:p w14:paraId="4DB7C774" w14:textId="77777777" w:rsidR="00000000" w:rsidRDefault="00195E73">
            <w:pPr>
              <w:rPr>
                <w:rFonts w:eastAsia="Times New Roman"/>
                <w:sz w:val="20"/>
                <w:szCs w:val="20"/>
              </w:rPr>
            </w:pPr>
          </w:p>
        </w:tc>
        <w:tc>
          <w:tcPr>
            <w:tcW w:w="0" w:type="auto"/>
            <w:vAlign w:val="center"/>
            <w:hideMark/>
          </w:tcPr>
          <w:p w14:paraId="1E6B9478" w14:textId="77777777" w:rsidR="00000000" w:rsidRDefault="00195E73">
            <w:pPr>
              <w:rPr>
                <w:rFonts w:eastAsia="Times New Roman"/>
                <w:sz w:val="20"/>
                <w:szCs w:val="20"/>
              </w:rPr>
            </w:pPr>
          </w:p>
        </w:tc>
        <w:tc>
          <w:tcPr>
            <w:tcW w:w="0" w:type="auto"/>
            <w:vAlign w:val="center"/>
            <w:hideMark/>
          </w:tcPr>
          <w:p w14:paraId="202B8594" w14:textId="77777777" w:rsidR="00000000" w:rsidRDefault="00195E73">
            <w:pPr>
              <w:rPr>
                <w:rFonts w:eastAsia="Times New Roman"/>
                <w:sz w:val="20"/>
                <w:szCs w:val="20"/>
              </w:rPr>
            </w:pPr>
          </w:p>
        </w:tc>
        <w:tc>
          <w:tcPr>
            <w:tcW w:w="0" w:type="auto"/>
            <w:vAlign w:val="center"/>
            <w:hideMark/>
          </w:tcPr>
          <w:p w14:paraId="40B04B45" w14:textId="77777777" w:rsidR="00000000" w:rsidRDefault="00195E73">
            <w:pPr>
              <w:rPr>
                <w:rFonts w:eastAsia="Times New Roman"/>
                <w:sz w:val="20"/>
                <w:szCs w:val="20"/>
              </w:rPr>
            </w:pPr>
          </w:p>
        </w:tc>
      </w:tr>
      <w:tr w:rsidR="00000000" w14:paraId="55F53074"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4763ED09" w14:textId="77777777" w:rsidR="00000000" w:rsidRDefault="00195E73">
            <w:pPr>
              <w:rPr>
                <w:rFonts w:eastAsia="Times New Roman"/>
              </w:rPr>
            </w:pPr>
            <w:r>
              <w:rPr>
                <w:rFonts w:eastAsia="Times New Roman"/>
                <w:color w:val="000000"/>
                <w:sz w:val="13"/>
                <w:szCs w:val="13"/>
              </w:rPr>
              <w:t>Net cash used in investing activities from discontinued operation</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5F894A89"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30FD4290"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7EEF4B2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2303E4" w14:textId="77777777" w:rsidR="00000000" w:rsidRDefault="00195E73">
            <w:pPr>
              <w:jc w:val="right"/>
              <w:rPr>
                <w:rFonts w:eastAsia="Times New Roman"/>
              </w:rPr>
            </w:pPr>
            <w:r>
              <w:rPr>
                <w:rFonts w:eastAsia="Times New Roman"/>
                <w:color w:val="000000"/>
                <w:sz w:val="13"/>
                <w:szCs w:val="13"/>
              </w:rPr>
              <w:t>(437</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3590AE3"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A035DC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30DDA1" w14:textId="77777777" w:rsidR="00000000" w:rsidRDefault="00195E73">
            <w:pPr>
              <w:jc w:val="right"/>
              <w:rPr>
                <w:rFonts w:eastAsia="Times New Roman"/>
              </w:rPr>
            </w:pPr>
            <w:r>
              <w:rPr>
                <w:rFonts w:eastAsia="Times New Roman"/>
                <w:color w:val="000000"/>
                <w:sz w:val="13"/>
                <w:szCs w:val="13"/>
              </w:rPr>
              <w:t>(580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73B33084"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3C593FA6" w14:textId="77777777" w:rsidR="00000000" w:rsidRDefault="00195E73">
            <w:pPr>
              <w:rPr>
                <w:rFonts w:eastAsia="Times New Roman"/>
                <w:sz w:val="20"/>
                <w:szCs w:val="20"/>
              </w:rPr>
            </w:pPr>
          </w:p>
        </w:tc>
        <w:tc>
          <w:tcPr>
            <w:tcW w:w="0" w:type="auto"/>
            <w:vAlign w:val="center"/>
            <w:hideMark/>
          </w:tcPr>
          <w:p w14:paraId="46EB9B58" w14:textId="77777777" w:rsidR="00000000" w:rsidRDefault="00195E73">
            <w:pPr>
              <w:rPr>
                <w:rFonts w:eastAsia="Times New Roman"/>
                <w:sz w:val="20"/>
                <w:szCs w:val="20"/>
              </w:rPr>
            </w:pPr>
          </w:p>
        </w:tc>
        <w:tc>
          <w:tcPr>
            <w:tcW w:w="0" w:type="auto"/>
            <w:vAlign w:val="center"/>
            <w:hideMark/>
          </w:tcPr>
          <w:p w14:paraId="57B36937" w14:textId="77777777" w:rsidR="00000000" w:rsidRDefault="00195E73">
            <w:pPr>
              <w:rPr>
                <w:rFonts w:eastAsia="Times New Roman"/>
                <w:sz w:val="20"/>
                <w:szCs w:val="20"/>
              </w:rPr>
            </w:pPr>
          </w:p>
        </w:tc>
        <w:tc>
          <w:tcPr>
            <w:tcW w:w="0" w:type="auto"/>
            <w:vAlign w:val="center"/>
            <w:hideMark/>
          </w:tcPr>
          <w:p w14:paraId="18D8528D" w14:textId="77777777" w:rsidR="00000000" w:rsidRDefault="00195E73">
            <w:pPr>
              <w:rPr>
                <w:rFonts w:eastAsia="Times New Roman"/>
                <w:sz w:val="20"/>
                <w:szCs w:val="20"/>
              </w:rPr>
            </w:pPr>
          </w:p>
        </w:tc>
        <w:tc>
          <w:tcPr>
            <w:tcW w:w="0" w:type="auto"/>
            <w:vAlign w:val="center"/>
            <w:hideMark/>
          </w:tcPr>
          <w:p w14:paraId="3DE3B075" w14:textId="77777777" w:rsidR="00000000" w:rsidRDefault="00195E73">
            <w:pPr>
              <w:rPr>
                <w:rFonts w:eastAsia="Times New Roman"/>
                <w:sz w:val="20"/>
                <w:szCs w:val="20"/>
              </w:rPr>
            </w:pPr>
          </w:p>
        </w:tc>
        <w:tc>
          <w:tcPr>
            <w:tcW w:w="0" w:type="auto"/>
            <w:vAlign w:val="center"/>
            <w:hideMark/>
          </w:tcPr>
          <w:p w14:paraId="62F54C0C" w14:textId="77777777" w:rsidR="00000000" w:rsidRDefault="00195E73">
            <w:pPr>
              <w:rPr>
                <w:rFonts w:eastAsia="Times New Roman"/>
                <w:sz w:val="20"/>
                <w:szCs w:val="20"/>
              </w:rPr>
            </w:pPr>
          </w:p>
        </w:tc>
        <w:tc>
          <w:tcPr>
            <w:tcW w:w="0" w:type="auto"/>
            <w:vAlign w:val="center"/>
            <w:hideMark/>
          </w:tcPr>
          <w:p w14:paraId="77735680" w14:textId="77777777" w:rsidR="00000000" w:rsidRDefault="00195E73">
            <w:pPr>
              <w:rPr>
                <w:rFonts w:eastAsia="Times New Roman"/>
                <w:sz w:val="20"/>
                <w:szCs w:val="20"/>
              </w:rPr>
            </w:pPr>
          </w:p>
        </w:tc>
        <w:tc>
          <w:tcPr>
            <w:tcW w:w="0" w:type="auto"/>
            <w:vAlign w:val="center"/>
            <w:hideMark/>
          </w:tcPr>
          <w:p w14:paraId="1ECA6D27" w14:textId="77777777" w:rsidR="00000000" w:rsidRDefault="00195E73">
            <w:pPr>
              <w:rPr>
                <w:rFonts w:eastAsia="Times New Roman"/>
                <w:sz w:val="20"/>
                <w:szCs w:val="20"/>
              </w:rPr>
            </w:pPr>
          </w:p>
        </w:tc>
        <w:tc>
          <w:tcPr>
            <w:tcW w:w="0" w:type="auto"/>
            <w:vAlign w:val="center"/>
            <w:hideMark/>
          </w:tcPr>
          <w:p w14:paraId="56CA465C" w14:textId="77777777" w:rsidR="00000000" w:rsidRDefault="00195E73">
            <w:pPr>
              <w:rPr>
                <w:rFonts w:eastAsia="Times New Roman"/>
                <w:sz w:val="20"/>
                <w:szCs w:val="20"/>
              </w:rPr>
            </w:pPr>
          </w:p>
        </w:tc>
        <w:tc>
          <w:tcPr>
            <w:tcW w:w="0" w:type="auto"/>
            <w:vAlign w:val="center"/>
            <w:hideMark/>
          </w:tcPr>
          <w:p w14:paraId="28FA256B" w14:textId="77777777" w:rsidR="00000000" w:rsidRDefault="00195E73">
            <w:pPr>
              <w:rPr>
                <w:rFonts w:eastAsia="Times New Roman"/>
                <w:sz w:val="20"/>
                <w:szCs w:val="20"/>
              </w:rPr>
            </w:pPr>
          </w:p>
        </w:tc>
        <w:tc>
          <w:tcPr>
            <w:tcW w:w="0" w:type="auto"/>
            <w:vAlign w:val="center"/>
            <w:hideMark/>
          </w:tcPr>
          <w:p w14:paraId="1F7A463A" w14:textId="77777777" w:rsidR="00000000" w:rsidRDefault="00195E73">
            <w:pPr>
              <w:rPr>
                <w:rFonts w:eastAsia="Times New Roman"/>
                <w:sz w:val="20"/>
                <w:szCs w:val="20"/>
              </w:rPr>
            </w:pPr>
          </w:p>
        </w:tc>
        <w:tc>
          <w:tcPr>
            <w:tcW w:w="0" w:type="auto"/>
            <w:vAlign w:val="center"/>
            <w:hideMark/>
          </w:tcPr>
          <w:p w14:paraId="30E4D612" w14:textId="77777777" w:rsidR="00000000" w:rsidRDefault="00195E73">
            <w:pPr>
              <w:rPr>
                <w:rFonts w:eastAsia="Times New Roman"/>
                <w:sz w:val="20"/>
                <w:szCs w:val="20"/>
              </w:rPr>
            </w:pPr>
          </w:p>
        </w:tc>
      </w:tr>
      <w:tr w:rsidR="00000000" w14:paraId="319098E2"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3A50A9A8" w14:textId="77777777" w:rsidR="00000000" w:rsidRDefault="00195E73">
            <w:pPr>
              <w:rPr>
                <w:rFonts w:eastAsia="Times New Roman"/>
              </w:rPr>
            </w:pPr>
            <w:r>
              <w:rPr>
                <w:rFonts w:eastAsia="Times New Roman"/>
                <w:b/>
                <w:bCs/>
                <w:color w:val="000000"/>
                <w:sz w:val="13"/>
                <w:szCs w:val="13"/>
              </w:rPr>
              <w:t>Net cash provided by investing activitie</w:t>
            </w:r>
            <w:r>
              <w:rPr>
                <w:rFonts w:eastAsia="Times New Roman"/>
                <w:b/>
                <w:bCs/>
                <w:color w:val="000000"/>
                <w:sz w:val="13"/>
                <w:szCs w:val="13"/>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8971DD" w14:textId="77777777" w:rsidR="00000000" w:rsidRDefault="00195E73">
            <w:pPr>
              <w:jc w:val="right"/>
              <w:rPr>
                <w:rFonts w:eastAsia="Times New Roman"/>
              </w:rPr>
            </w:pPr>
            <w:r>
              <w:rPr>
                <w:rFonts w:eastAsia="Times New Roman"/>
                <w:color w:val="000000"/>
                <w:sz w:val="13"/>
                <w:szCs w:val="13"/>
              </w:rPr>
              <w:t>586</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AE2115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DBFF93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C89F2D" w14:textId="77777777" w:rsidR="00000000" w:rsidRDefault="00195E73">
            <w:pPr>
              <w:jc w:val="right"/>
              <w:rPr>
                <w:rFonts w:eastAsia="Times New Roman"/>
              </w:rPr>
            </w:pPr>
            <w:r>
              <w:rPr>
                <w:rFonts w:eastAsia="Times New Roman"/>
                <w:color w:val="000000"/>
                <w:sz w:val="13"/>
                <w:szCs w:val="13"/>
              </w:rPr>
              <w:t>2,587</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38F6646"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5F537EF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3ACD88" w14:textId="77777777" w:rsidR="00000000" w:rsidRDefault="00195E73">
            <w:pPr>
              <w:jc w:val="right"/>
              <w:rPr>
                <w:rFonts w:eastAsia="Times New Roman"/>
              </w:rPr>
            </w:pPr>
            <w:r>
              <w:rPr>
                <w:rFonts w:eastAsia="Times New Roman"/>
                <w:color w:val="000000"/>
                <w:sz w:val="13"/>
                <w:szCs w:val="13"/>
              </w:rPr>
              <w:t>682</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7EBA149"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5976747" w14:textId="77777777" w:rsidR="00000000" w:rsidRDefault="00195E73">
            <w:pPr>
              <w:rPr>
                <w:rFonts w:eastAsia="Times New Roman"/>
                <w:sz w:val="20"/>
                <w:szCs w:val="20"/>
              </w:rPr>
            </w:pPr>
          </w:p>
        </w:tc>
        <w:tc>
          <w:tcPr>
            <w:tcW w:w="0" w:type="auto"/>
            <w:vAlign w:val="center"/>
            <w:hideMark/>
          </w:tcPr>
          <w:p w14:paraId="2C61EF01" w14:textId="77777777" w:rsidR="00000000" w:rsidRDefault="00195E73">
            <w:pPr>
              <w:rPr>
                <w:rFonts w:eastAsia="Times New Roman"/>
                <w:sz w:val="20"/>
                <w:szCs w:val="20"/>
              </w:rPr>
            </w:pPr>
          </w:p>
        </w:tc>
        <w:tc>
          <w:tcPr>
            <w:tcW w:w="0" w:type="auto"/>
            <w:vAlign w:val="center"/>
            <w:hideMark/>
          </w:tcPr>
          <w:p w14:paraId="441AB588" w14:textId="77777777" w:rsidR="00000000" w:rsidRDefault="00195E73">
            <w:pPr>
              <w:rPr>
                <w:rFonts w:eastAsia="Times New Roman"/>
                <w:sz w:val="20"/>
                <w:szCs w:val="20"/>
              </w:rPr>
            </w:pPr>
          </w:p>
        </w:tc>
        <w:tc>
          <w:tcPr>
            <w:tcW w:w="0" w:type="auto"/>
            <w:vAlign w:val="center"/>
            <w:hideMark/>
          </w:tcPr>
          <w:p w14:paraId="4FB2F6C6" w14:textId="77777777" w:rsidR="00000000" w:rsidRDefault="00195E73">
            <w:pPr>
              <w:rPr>
                <w:rFonts w:eastAsia="Times New Roman"/>
                <w:sz w:val="20"/>
                <w:szCs w:val="20"/>
              </w:rPr>
            </w:pPr>
          </w:p>
        </w:tc>
        <w:tc>
          <w:tcPr>
            <w:tcW w:w="0" w:type="auto"/>
            <w:vAlign w:val="center"/>
            <w:hideMark/>
          </w:tcPr>
          <w:p w14:paraId="1FB1F800" w14:textId="77777777" w:rsidR="00000000" w:rsidRDefault="00195E73">
            <w:pPr>
              <w:rPr>
                <w:rFonts w:eastAsia="Times New Roman"/>
                <w:sz w:val="20"/>
                <w:szCs w:val="20"/>
              </w:rPr>
            </w:pPr>
          </w:p>
        </w:tc>
        <w:tc>
          <w:tcPr>
            <w:tcW w:w="0" w:type="auto"/>
            <w:vAlign w:val="center"/>
            <w:hideMark/>
          </w:tcPr>
          <w:p w14:paraId="0983EB53" w14:textId="77777777" w:rsidR="00000000" w:rsidRDefault="00195E73">
            <w:pPr>
              <w:rPr>
                <w:rFonts w:eastAsia="Times New Roman"/>
                <w:sz w:val="20"/>
                <w:szCs w:val="20"/>
              </w:rPr>
            </w:pPr>
          </w:p>
        </w:tc>
        <w:tc>
          <w:tcPr>
            <w:tcW w:w="0" w:type="auto"/>
            <w:vAlign w:val="center"/>
            <w:hideMark/>
          </w:tcPr>
          <w:p w14:paraId="24E78208" w14:textId="77777777" w:rsidR="00000000" w:rsidRDefault="00195E73">
            <w:pPr>
              <w:rPr>
                <w:rFonts w:eastAsia="Times New Roman"/>
                <w:sz w:val="20"/>
                <w:szCs w:val="20"/>
              </w:rPr>
            </w:pPr>
          </w:p>
        </w:tc>
        <w:tc>
          <w:tcPr>
            <w:tcW w:w="0" w:type="auto"/>
            <w:vAlign w:val="center"/>
            <w:hideMark/>
          </w:tcPr>
          <w:p w14:paraId="60742D31" w14:textId="77777777" w:rsidR="00000000" w:rsidRDefault="00195E73">
            <w:pPr>
              <w:rPr>
                <w:rFonts w:eastAsia="Times New Roman"/>
                <w:sz w:val="20"/>
                <w:szCs w:val="20"/>
              </w:rPr>
            </w:pPr>
          </w:p>
        </w:tc>
        <w:tc>
          <w:tcPr>
            <w:tcW w:w="0" w:type="auto"/>
            <w:vAlign w:val="center"/>
            <w:hideMark/>
          </w:tcPr>
          <w:p w14:paraId="63F6AB28" w14:textId="77777777" w:rsidR="00000000" w:rsidRDefault="00195E73">
            <w:pPr>
              <w:rPr>
                <w:rFonts w:eastAsia="Times New Roman"/>
                <w:sz w:val="20"/>
                <w:szCs w:val="20"/>
              </w:rPr>
            </w:pPr>
          </w:p>
        </w:tc>
        <w:tc>
          <w:tcPr>
            <w:tcW w:w="0" w:type="auto"/>
            <w:vAlign w:val="center"/>
            <w:hideMark/>
          </w:tcPr>
          <w:p w14:paraId="09110F20" w14:textId="77777777" w:rsidR="00000000" w:rsidRDefault="00195E73">
            <w:pPr>
              <w:rPr>
                <w:rFonts w:eastAsia="Times New Roman"/>
                <w:sz w:val="20"/>
                <w:szCs w:val="20"/>
              </w:rPr>
            </w:pPr>
          </w:p>
        </w:tc>
        <w:tc>
          <w:tcPr>
            <w:tcW w:w="0" w:type="auto"/>
            <w:vAlign w:val="center"/>
            <w:hideMark/>
          </w:tcPr>
          <w:p w14:paraId="6E7E002F" w14:textId="77777777" w:rsidR="00000000" w:rsidRDefault="00195E73">
            <w:pPr>
              <w:rPr>
                <w:rFonts w:eastAsia="Times New Roman"/>
                <w:sz w:val="20"/>
                <w:szCs w:val="20"/>
              </w:rPr>
            </w:pPr>
          </w:p>
        </w:tc>
        <w:tc>
          <w:tcPr>
            <w:tcW w:w="0" w:type="auto"/>
            <w:vAlign w:val="center"/>
            <w:hideMark/>
          </w:tcPr>
          <w:p w14:paraId="72DA08CD" w14:textId="77777777" w:rsidR="00000000" w:rsidRDefault="00195E73">
            <w:pPr>
              <w:rPr>
                <w:rFonts w:eastAsia="Times New Roman"/>
                <w:sz w:val="20"/>
                <w:szCs w:val="20"/>
              </w:rPr>
            </w:pPr>
          </w:p>
        </w:tc>
      </w:tr>
      <w:tr w:rsidR="00000000" w14:paraId="1FF84A24"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1345EC0C" w14:textId="77777777" w:rsidR="00000000" w:rsidRDefault="00195E73">
            <w:pPr>
              <w:rPr>
                <w:rFonts w:eastAsia="Times New Roman"/>
              </w:rPr>
            </w:pPr>
            <w:r>
              <w:rPr>
                <w:rFonts w:eastAsia="Times New Roman"/>
                <w:b/>
                <w:bCs/>
                <w:color w:val="000000"/>
                <w:sz w:val="13"/>
                <w:szCs w:val="13"/>
              </w:rPr>
              <w:t>Cash flows from financing activities</w:t>
            </w:r>
            <w:r>
              <w:rPr>
                <w:rFonts w:eastAsia="Times New Roman"/>
                <w:b/>
                <w:bCs/>
                <w:color w:val="000000"/>
                <w:sz w:val="13"/>
                <w:szCs w:val="13"/>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C7D48F2"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D645BC8"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3E21E8D7"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5EE4A36"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1A1C5BF" w14:textId="77777777" w:rsidR="00000000" w:rsidRDefault="00195E73">
            <w:pPr>
              <w:rPr>
                <w:rFonts w:eastAsia="Times New Roman"/>
                <w:sz w:val="20"/>
                <w:szCs w:val="20"/>
              </w:rPr>
            </w:pPr>
          </w:p>
        </w:tc>
        <w:tc>
          <w:tcPr>
            <w:tcW w:w="0" w:type="auto"/>
            <w:vAlign w:val="center"/>
            <w:hideMark/>
          </w:tcPr>
          <w:p w14:paraId="062BF8D9" w14:textId="77777777" w:rsidR="00000000" w:rsidRDefault="00195E73">
            <w:pPr>
              <w:rPr>
                <w:rFonts w:eastAsia="Times New Roman"/>
                <w:sz w:val="20"/>
                <w:szCs w:val="20"/>
              </w:rPr>
            </w:pPr>
          </w:p>
        </w:tc>
        <w:tc>
          <w:tcPr>
            <w:tcW w:w="0" w:type="auto"/>
            <w:vAlign w:val="center"/>
            <w:hideMark/>
          </w:tcPr>
          <w:p w14:paraId="5FF642BE" w14:textId="77777777" w:rsidR="00000000" w:rsidRDefault="00195E73">
            <w:pPr>
              <w:rPr>
                <w:rFonts w:eastAsia="Times New Roman"/>
                <w:sz w:val="20"/>
                <w:szCs w:val="20"/>
              </w:rPr>
            </w:pPr>
          </w:p>
        </w:tc>
        <w:tc>
          <w:tcPr>
            <w:tcW w:w="0" w:type="auto"/>
            <w:vAlign w:val="center"/>
            <w:hideMark/>
          </w:tcPr>
          <w:p w14:paraId="056B6FC8" w14:textId="77777777" w:rsidR="00000000" w:rsidRDefault="00195E73">
            <w:pPr>
              <w:rPr>
                <w:rFonts w:eastAsia="Times New Roman"/>
                <w:sz w:val="20"/>
                <w:szCs w:val="20"/>
              </w:rPr>
            </w:pPr>
          </w:p>
        </w:tc>
        <w:tc>
          <w:tcPr>
            <w:tcW w:w="0" w:type="auto"/>
            <w:vAlign w:val="center"/>
            <w:hideMark/>
          </w:tcPr>
          <w:p w14:paraId="05AC0FB2" w14:textId="77777777" w:rsidR="00000000" w:rsidRDefault="00195E73">
            <w:pPr>
              <w:rPr>
                <w:rFonts w:eastAsia="Times New Roman"/>
                <w:sz w:val="20"/>
                <w:szCs w:val="20"/>
              </w:rPr>
            </w:pPr>
          </w:p>
        </w:tc>
        <w:tc>
          <w:tcPr>
            <w:tcW w:w="0" w:type="auto"/>
            <w:vAlign w:val="center"/>
            <w:hideMark/>
          </w:tcPr>
          <w:p w14:paraId="34E2D072" w14:textId="77777777" w:rsidR="00000000" w:rsidRDefault="00195E73">
            <w:pPr>
              <w:rPr>
                <w:rFonts w:eastAsia="Times New Roman"/>
                <w:sz w:val="20"/>
                <w:szCs w:val="20"/>
              </w:rPr>
            </w:pPr>
          </w:p>
        </w:tc>
        <w:tc>
          <w:tcPr>
            <w:tcW w:w="0" w:type="auto"/>
            <w:vAlign w:val="center"/>
            <w:hideMark/>
          </w:tcPr>
          <w:p w14:paraId="7C636267" w14:textId="77777777" w:rsidR="00000000" w:rsidRDefault="00195E73">
            <w:pPr>
              <w:rPr>
                <w:rFonts w:eastAsia="Times New Roman"/>
                <w:sz w:val="20"/>
                <w:szCs w:val="20"/>
              </w:rPr>
            </w:pPr>
          </w:p>
        </w:tc>
        <w:tc>
          <w:tcPr>
            <w:tcW w:w="0" w:type="auto"/>
            <w:vAlign w:val="center"/>
            <w:hideMark/>
          </w:tcPr>
          <w:p w14:paraId="0BC30414" w14:textId="77777777" w:rsidR="00000000" w:rsidRDefault="00195E73">
            <w:pPr>
              <w:rPr>
                <w:rFonts w:eastAsia="Times New Roman"/>
                <w:sz w:val="20"/>
                <w:szCs w:val="20"/>
              </w:rPr>
            </w:pPr>
          </w:p>
        </w:tc>
        <w:tc>
          <w:tcPr>
            <w:tcW w:w="0" w:type="auto"/>
            <w:vAlign w:val="center"/>
            <w:hideMark/>
          </w:tcPr>
          <w:p w14:paraId="53803414" w14:textId="77777777" w:rsidR="00000000" w:rsidRDefault="00195E73">
            <w:pPr>
              <w:rPr>
                <w:rFonts w:eastAsia="Times New Roman"/>
                <w:sz w:val="20"/>
                <w:szCs w:val="20"/>
              </w:rPr>
            </w:pPr>
          </w:p>
        </w:tc>
        <w:tc>
          <w:tcPr>
            <w:tcW w:w="0" w:type="auto"/>
            <w:vAlign w:val="center"/>
            <w:hideMark/>
          </w:tcPr>
          <w:p w14:paraId="785AC1AC" w14:textId="77777777" w:rsidR="00000000" w:rsidRDefault="00195E73">
            <w:pPr>
              <w:rPr>
                <w:rFonts w:eastAsia="Times New Roman"/>
                <w:sz w:val="20"/>
                <w:szCs w:val="20"/>
              </w:rPr>
            </w:pPr>
          </w:p>
        </w:tc>
        <w:tc>
          <w:tcPr>
            <w:tcW w:w="0" w:type="auto"/>
            <w:vAlign w:val="center"/>
            <w:hideMark/>
          </w:tcPr>
          <w:p w14:paraId="4CC4DE97" w14:textId="77777777" w:rsidR="00000000" w:rsidRDefault="00195E73">
            <w:pPr>
              <w:rPr>
                <w:rFonts w:eastAsia="Times New Roman"/>
                <w:sz w:val="20"/>
                <w:szCs w:val="20"/>
              </w:rPr>
            </w:pPr>
          </w:p>
        </w:tc>
        <w:tc>
          <w:tcPr>
            <w:tcW w:w="0" w:type="auto"/>
            <w:vAlign w:val="center"/>
            <w:hideMark/>
          </w:tcPr>
          <w:p w14:paraId="379C317B" w14:textId="77777777" w:rsidR="00000000" w:rsidRDefault="00195E73">
            <w:pPr>
              <w:rPr>
                <w:rFonts w:eastAsia="Times New Roman"/>
                <w:sz w:val="20"/>
                <w:szCs w:val="20"/>
              </w:rPr>
            </w:pPr>
          </w:p>
        </w:tc>
        <w:tc>
          <w:tcPr>
            <w:tcW w:w="0" w:type="auto"/>
            <w:vAlign w:val="center"/>
            <w:hideMark/>
          </w:tcPr>
          <w:p w14:paraId="7E23015D" w14:textId="77777777" w:rsidR="00000000" w:rsidRDefault="00195E73">
            <w:pPr>
              <w:rPr>
                <w:rFonts w:eastAsia="Times New Roman"/>
                <w:sz w:val="20"/>
                <w:szCs w:val="20"/>
              </w:rPr>
            </w:pPr>
          </w:p>
        </w:tc>
      </w:tr>
      <w:tr w:rsidR="00000000" w14:paraId="301051D4"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13411C93" w14:textId="77777777" w:rsidR="00000000" w:rsidRDefault="00195E73">
            <w:pPr>
              <w:rPr>
                <w:rFonts w:eastAsia="Times New Roman"/>
              </w:rPr>
            </w:pPr>
            <w:r>
              <w:rPr>
                <w:rFonts w:eastAsia="Times New Roman"/>
                <w:color w:val="000000"/>
                <w:sz w:val="13"/>
                <w:szCs w:val="13"/>
              </w:rPr>
              <w:t>Investment segment contributions from non-controlling interest</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43F1F08B" w14:textId="77777777" w:rsidR="00000000" w:rsidRDefault="00195E73">
            <w:pPr>
              <w:jc w:val="right"/>
              <w:rPr>
                <w:rFonts w:eastAsia="Times New Roman"/>
              </w:rPr>
            </w:pPr>
            <w:r>
              <w:rPr>
                <w:rFonts w:eastAsia="Times New Roman"/>
                <w:color w:val="000000"/>
                <w:sz w:val="13"/>
                <w:szCs w:val="13"/>
              </w:rPr>
              <w:t>220</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33A5E6B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7E914C6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2DF027" w14:textId="77777777" w:rsidR="00000000" w:rsidRDefault="00195E73">
            <w:pPr>
              <w:jc w:val="right"/>
              <w:rPr>
                <w:rFonts w:eastAsia="Times New Roman"/>
              </w:rPr>
            </w:pPr>
            <w:r>
              <w:rPr>
                <w:rFonts w:eastAsia="Times New Roman"/>
                <w:color w:val="000000"/>
                <w:sz w:val="13"/>
                <w:szCs w:val="13"/>
              </w:rPr>
              <w:t>310</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2862DA1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7354861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A9A20A" w14:textId="77777777" w:rsidR="00000000" w:rsidRDefault="00195E73">
            <w:pPr>
              <w:jc w:val="right"/>
              <w:rPr>
                <w:rFonts w:eastAsia="Times New Roman"/>
              </w:rPr>
            </w:pPr>
            <w:r>
              <w:rPr>
                <w:rFonts w:eastAsia="Times New Roman"/>
                <w:color w:val="000000"/>
                <w:sz w:val="13"/>
                <w:szCs w:val="13"/>
              </w:rPr>
              <w:t>600</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62BA0038"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14A75317" w14:textId="77777777" w:rsidR="00000000" w:rsidRDefault="00195E73">
            <w:pPr>
              <w:rPr>
                <w:rFonts w:eastAsia="Times New Roman"/>
                <w:sz w:val="20"/>
                <w:szCs w:val="20"/>
              </w:rPr>
            </w:pPr>
          </w:p>
        </w:tc>
        <w:tc>
          <w:tcPr>
            <w:tcW w:w="0" w:type="auto"/>
            <w:vAlign w:val="center"/>
            <w:hideMark/>
          </w:tcPr>
          <w:p w14:paraId="722B5EA9" w14:textId="77777777" w:rsidR="00000000" w:rsidRDefault="00195E73">
            <w:pPr>
              <w:rPr>
                <w:rFonts w:eastAsia="Times New Roman"/>
                <w:sz w:val="20"/>
                <w:szCs w:val="20"/>
              </w:rPr>
            </w:pPr>
          </w:p>
        </w:tc>
        <w:tc>
          <w:tcPr>
            <w:tcW w:w="0" w:type="auto"/>
            <w:vAlign w:val="center"/>
            <w:hideMark/>
          </w:tcPr>
          <w:p w14:paraId="04DB7A46" w14:textId="77777777" w:rsidR="00000000" w:rsidRDefault="00195E73">
            <w:pPr>
              <w:rPr>
                <w:rFonts w:eastAsia="Times New Roman"/>
                <w:sz w:val="20"/>
                <w:szCs w:val="20"/>
              </w:rPr>
            </w:pPr>
          </w:p>
        </w:tc>
        <w:tc>
          <w:tcPr>
            <w:tcW w:w="0" w:type="auto"/>
            <w:vAlign w:val="center"/>
            <w:hideMark/>
          </w:tcPr>
          <w:p w14:paraId="72EE9316" w14:textId="77777777" w:rsidR="00000000" w:rsidRDefault="00195E73">
            <w:pPr>
              <w:rPr>
                <w:rFonts w:eastAsia="Times New Roman"/>
                <w:sz w:val="20"/>
                <w:szCs w:val="20"/>
              </w:rPr>
            </w:pPr>
          </w:p>
        </w:tc>
        <w:tc>
          <w:tcPr>
            <w:tcW w:w="0" w:type="auto"/>
            <w:vAlign w:val="center"/>
            <w:hideMark/>
          </w:tcPr>
          <w:p w14:paraId="458DB405" w14:textId="77777777" w:rsidR="00000000" w:rsidRDefault="00195E73">
            <w:pPr>
              <w:rPr>
                <w:rFonts w:eastAsia="Times New Roman"/>
                <w:sz w:val="20"/>
                <w:szCs w:val="20"/>
              </w:rPr>
            </w:pPr>
          </w:p>
        </w:tc>
        <w:tc>
          <w:tcPr>
            <w:tcW w:w="0" w:type="auto"/>
            <w:vAlign w:val="center"/>
            <w:hideMark/>
          </w:tcPr>
          <w:p w14:paraId="683FF590" w14:textId="77777777" w:rsidR="00000000" w:rsidRDefault="00195E73">
            <w:pPr>
              <w:rPr>
                <w:rFonts w:eastAsia="Times New Roman"/>
                <w:sz w:val="20"/>
                <w:szCs w:val="20"/>
              </w:rPr>
            </w:pPr>
          </w:p>
        </w:tc>
        <w:tc>
          <w:tcPr>
            <w:tcW w:w="0" w:type="auto"/>
            <w:vAlign w:val="center"/>
            <w:hideMark/>
          </w:tcPr>
          <w:p w14:paraId="78BC75AB" w14:textId="77777777" w:rsidR="00000000" w:rsidRDefault="00195E73">
            <w:pPr>
              <w:rPr>
                <w:rFonts w:eastAsia="Times New Roman"/>
                <w:sz w:val="20"/>
                <w:szCs w:val="20"/>
              </w:rPr>
            </w:pPr>
          </w:p>
        </w:tc>
        <w:tc>
          <w:tcPr>
            <w:tcW w:w="0" w:type="auto"/>
            <w:vAlign w:val="center"/>
            <w:hideMark/>
          </w:tcPr>
          <w:p w14:paraId="70FB1196" w14:textId="77777777" w:rsidR="00000000" w:rsidRDefault="00195E73">
            <w:pPr>
              <w:rPr>
                <w:rFonts w:eastAsia="Times New Roman"/>
                <w:sz w:val="20"/>
                <w:szCs w:val="20"/>
              </w:rPr>
            </w:pPr>
          </w:p>
        </w:tc>
        <w:tc>
          <w:tcPr>
            <w:tcW w:w="0" w:type="auto"/>
            <w:vAlign w:val="center"/>
            <w:hideMark/>
          </w:tcPr>
          <w:p w14:paraId="6ADE9A0E" w14:textId="77777777" w:rsidR="00000000" w:rsidRDefault="00195E73">
            <w:pPr>
              <w:rPr>
                <w:rFonts w:eastAsia="Times New Roman"/>
                <w:sz w:val="20"/>
                <w:szCs w:val="20"/>
              </w:rPr>
            </w:pPr>
          </w:p>
        </w:tc>
        <w:tc>
          <w:tcPr>
            <w:tcW w:w="0" w:type="auto"/>
            <w:vAlign w:val="center"/>
            <w:hideMark/>
          </w:tcPr>
          <w:p w14:paraId="78C900F2" w14:textId="77777777" w:rsidR="00000000" w:rsidRDefault="00195E73">
            <w:pPr>
              <w:rPr>
                <w:rFonts w:eastAsia="Times New Roman"/>
                <w:sz w:val="20"/>
                <w:szCs w:val="20"/>
              </w:rPr>
            </w:pPr>
          </w:p>
        </w:tc>
        <w:tc>
          <w:tcPr>
            <w:tcW w:w="0" w:type="auto"/>
            <w:vAlign w:val="center"/>
            <w:hideMark/>
          </w:tcPr>
          <w:p w14:paraId="5236397A" w14:textId="77777777" w:rsidR="00000000" w:rsidRDefault="00195E73">
            <w:pPr>
              <w:rPr>
                <w:rFonts w:eastAsia="Times New Roman"/>
                <w:sz w:val="20"/>
                <w:szCs w:val="20"/>
              </w:rPr>
            </w:pPr>
          </w:p>
        </w:tc>
        <w:tc>
          <w:tcPr>
            <w:tcW w:w="0" w:type="auto"/>
            <w:vAlign w:val="center"/>
            <w:hideMark/>
          </w:tcPr>
          <w:p w14:paraId="0547D703" w14:textId="77777777" w:rsidR="00000000" w:rsidRDefault="00195E73">
            <w:pPr>
              <w:rPr>
                <w:rFonts w:eastAsia="Times New Roman"/>
                <w:sz w:val="20"/>
                <w:szCs w:val="20"/>
              </w:rPr>
            </w:pPr>
          </w:p>
        </w:tc>
      </w:tr>
      <w:tr w:rsidR="00000000" w14:paraId="52DA616F"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7D1FED48" w14:textId="77777777" w:rsidR="00000000" w:rsidRDefault="00195E73">
            <w:pPr>
              <w:rPr>
                <w:rFonts w:eastAsia="Times New Roman"/>
              </w:rPr>
            </w:pPr>
            <w:r>
              <w:rPr>
                <w:rFonts w:eastAsia="Times New Roman"/>
                <w:color w:val="000000"/>
                <w:sz w:val="13"/>
                <w:szCs w:val="13"/>
              </w:rPr>
              <w:t>Partnership contribution</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4CDED6FF" w14:textId="77777777" w:rsidR="00000000" w:rsidRDefault="00195E73">
            <w:pPr>
              <w:jc w:val="right"/>
              <w:rPr>
                <w:rFonts w:eastAsia="Times New Roman"/>
              </w:rPr>
            </w:pPr>
            <w:r>
              <w:rPr>
                <w:rFonts w:eastAsia="Times New Roman"/>
                <w:color w:val="000000"/>
                <w:sz w:val="13"/>
                <w:szCs w:val="13"/>
              </w:rPr>
              <w:t>55</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1BEAC796"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18F77BE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58AEB8"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0A33C155"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7E8C905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8AA88E" w14:textId="77777777" w:rsidR="00000000" w:rsidRDefault="00195E73">
            <w:pPr>
              <w:jc w:val="right"/>
              <w:rPr>
                <w:rFonts w:eastAsia="Times New Roman"/>
              </w:rPr>
            </w:pPr>
            <w:r>
              <w:rPr>
                <w:rFonts w:eastAsia="Times New Roman"/>
                <w:color w:val="000000"/>
                <w:sz w:val="13"/>
                <w:szCs w:val="13"/>
              </w:rPr>
              <w:t>612</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F714419"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74E5E4D" w14:textId="77777777" w:rsidR="00000000" w:rsidRDefault="00195E73">
            <w:pPr>
              <w:rPr>
                <w:rFonts w:eastAsia="Times New Roman"/>
                <w:sz w:val="20"/>
                <w:szCs w:val="20"/>
              </w:rPr>
            </w:pPr>
          </w:p>
        </w:tc>
        <w:tc>
          <w:tcPr>
            <w:tcW w:w="0" w:type="auto"/>
            <w:vAlign w:val="center"/>
            <w:hideMark/>
          </w:tcPr>
          <w:p w14:paraId="4484AD7A" w14:textId="77777777" w:rsidR="00000000" w:rsidRDefault="00195E73">
            <w:pPr>
              <w:rPr>
                <w:rFonts w:eastAsia="Times New Roman"/>
                <w:sz w:val="20"/>
                <w:szCs w:val="20"/>
              </w:rPr>
            </w:pPr>
          </w:p>
        </w:tc>
        <w:tc>
          <w:tcPr>
            <w:tcW w:w="0" w:type="auto"/>
            <w:vAlign w:val="center"/>
            <w:hideMark/>
          </w:tcPr>
          <w:p w14:paraId="310004AD" w14:textId="77777777" w:rsidR="00000000" w:rsidRDefault="00195E73">
            <w:pPr>
              <w:rPr>
                <w:rFonts w:eastAsia="Times New Roman"/>
                <w:sz w:val="20"/>
                <w:szCs w:val="20"/>
              </w:rPr>
            </w:pPr>
          </w:p>
        </w:tc>
        <w:tc>
          <w:tcPr>
            <w:tcW w:w="0" w:type="auto"/>
            <w:vAlign w:val="center"/>
            <w:hideMark/>
          </w:tcPr>
          <w:p w14:paraId="68C03524" w14:textId="77777777" w:rsidR="00000000" w:rsidRDefault="00195E73">
            <w:pPr>
              <w:rPr>
                <w:rFonts w:eastAsia="Times New Roman"/>
                <w:sz w:val="20"/>
                <w:szCs w:val="20"/>
              </w:rPr>
            </w:pPr>
          </w:p>
        </w:tc>
        <w:tc>
          <w:tcPr>
            <w:tcW w:w="0" w:type="auto"/>
            <w:vAlign w:val="center"/>
            <w:hideMark/>
          </w:tcPr>
          <w:p w14:paraId="30C38D2E" w14:textId="77777777" w:rsidR="00000000" w:rsidRDefault="00195E73">
            <w:pPr>
              <w:rPr>
                <w:rFonts w:eastAsia="Times New Roman"/>
                <w:sz w:val="20"/>
                <w:szCs w:val="20"/>
              </w:rPr>
            </w:pPr>
          </w:p>
        </w:tc>
        <w:tc>
          <w:tcPr>
            <w:tcW w:w="0" w:type="auto"/>
            <w:vAlign w:val="center"/>
            <w:hideMark/>
          </w:tcPr>
          <w:p w14:paraId="590BF527" w14:textId="77777777" w:rsidR="00000000" w:rsidRDefault="00195E73">
            <w:pPr>
              <w:rPr>
                <w:rFonts w:eastAsia="Times New Roman"/>
                <w:sz w:val="20"/>
                <w:szCs w:val="20"/>
              </w:rPr>
            </w:pPr>
          </w:p>
        </w:tc>
        <w:tc>
          <w:tcPr>
            <w:tcW w:w="0" w:type="auto"/>
            <w:vAlign w:val="center"/>
            <w:hideMark/>
          </w:tcPr>
          <w:p w14:paraId="3AC8B209" w14:textId="77777777" w:rsidR="00000000" w:rsidRDefault="00195E73">
            <w:pPr>
              <w:rPr>
                <w:rFonts w:eastAsia="Times New Roman"/>
                <w:sz w:val="20"/>
                <w:szCs w:val="20"/>
              </w:rPr>
            </w:pPr>
          </w:p>
        </w:tc>
        <w:tc>
          <w:tcPr>
            <w:tcW w:w="0" w:type="auto"/>
            <w:vAlign w:val="center"/>
            <w:hideMark/>
          </w:tcPr>
          <w:p w14:paraId="4062C714" w14:textId="77777777" w:rsidR="00000000" w:rsidRDefault="00195E73">
            <w:pPr>
              <w:rPr>
                <w:rFonts w:eastAsia="Times New Roman"/>
                <w:sz w:val="20"/>
                <w:szCs w:val="20"/>
              </w:rPr>
            </w:pPr>
          </w:p>
        </w:tc>
        <w:tc>
          <w:tcPr>
            <w:tcW w:w="0" w:type="auto"/>
            <w:vAlign w:val="center"/>
            <w:hideMark/>
          </w:tcPr>
          <w:p w14:paraId="287C32DE" w14:textId="77777777" w:rsidR="00000000" w:rsidRDefault="00195E73">
            <w:pPr>
              <w:rPr>
                <w:rFonts w:eastAsia="Times New Roman"/>
                <w:sz w:val="20"/>
                <w:szCs w:val="20"/>
              </w:rPr>
            </w:pPr>
          </w:p>
        </w:tc>
        <w:tc>
          <w:tcPr>
            <w:tcW w:w="0" w:type="auto"/>
            <w:vAlign w:val="center"/>
            <w:hideMark/>
          </w:tcPr>
          <w:p w14:paraId="3FB83801" w14:textId="77777777" w:rsidR="00000000" w:rsidRDefault="00195E73">
            <w:pPr>
              <w:rPr>
                <w:rFonts w:eastAsia="Times New Roman"/>
                <w:sz w:val="20"/>
                <w:szCs w:val="20"/>
              </w:rPr>
            </w:pPr>
          </w:p>
        </w:tc>
        <w:tc>
          <w:tcPr>
            <w:tcW w:w="0" w:type="auto"/>
            <w:vAlign w:val="center"/>
            <w:hideMark/>
          </w:tcPr>
          <w:p w14:paraId="19495189" w14:textId="77777777" w:rsidR="00000000" w:rsidRDefault="00195E73">
            <w:pPr>
              <w:rPr>
                <w:rFonts w:eastAsia="Times New Roman"/>
                <w:sz w:val="20"/>
                <w:szCs w:val="20"/>
              </w:rPr>
            </w:pPr>
          </w:p>
        </w:tc>
        <w:tc>
          <w:tcPr>
            <w:tcW w:w="0" w:type="auto"/>
            <w:vAlign w:val="center"/>
            <w:hideMark/>
          </w:tcPr>
          <w:p w14:paraId="2CC9C013" w14:textId="77777777" w:rsidR="00000000" w:rsidRDefault="00195E73">
            <w:pPr>
              <w:rPr>
                <w:rFonts w:eastAsia="Times New Roman"/>
                <w:sz w:val="20"/>
                <w:szCs w:val="20"/>
              </w:rPr>
            </w:pPr>
          </w:p>
        </w:tc>
      </w:tr>
      <w:tr w:rsidR="00000000" w14:paraId="4E9790B3"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1ED8B292" w14:textId="77777777" w:rsidR="00000000" w:rsidRDefault="00195E73">
            <w:pPr>
              <w:rPr>
                <w:rFonts w:eastAsia="Times New Roman"/>
              </w:rPr>
            </w:pPr>
            <w:r>
              <w:rPr>
                <w:rFonts w:eastAsia="Times New Roman"/>
                <w:color w:val="000000"/>
                <w:sz w:val="13"/>
                <w:szCs w:val="13"/>
              </w:rPr>
              <w:t>Partnership distribution</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7A475D4F" w14:textId="77777777" w:rsidR="00000000" w:rsidRDefault="00195E73">
            <w:pPr>
              <w:jc w:val="right"/>
              <w:rPr>
                <w:rFonts w:eastAsia="Times New Roman"/>
              </w:rPr>
            </w:pPr>
            <w:r>
              <w:rPr>
                <w:rFonts w:eastAsia="Times New Roman"/>
                <w:color w:val="000000"/>
                <w:sz w:val="13"/>
                <w:szCs w:val="13"/>
              </w:rPr>
              <w:t>(112</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1ED38A7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47417A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BC3762" w14:textId="77777777" w:rsidR="00000000" w:rsidRDefault="00195E73">
            <w:pPr>
              <w:jc w:val="right"/>
              <w:rPr>
                <w:rFonts w:eastAsia="Times New Roman"/>
              </w:rPr>
            </w:pPr>
            <w:r>
              <w:rPr>
                <w:rFonts w:eastAsia="Times New Roman"/>
                <w:color w:val="000000"/>
                <w:sz w:val="13"/>
                <w:szCs w:val="13"/>
              </w:rPr>
              <w:t>(97</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23A5A303"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46B7FF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18B9FD" w14:textId="77777777" w:rsidR="00000000" w:rsidRDefault="00195E73">
            <w:pPr>
              <w:jc w:val="right"/>
              <w:rPr>
                <w:rFonts w:eastAsia="Times New Roman"/>
              </w:rPr>
            </w:pPr>
            <w:r>
              <w:rPr>
                <w:rFonts w:eastAsia="Times New Roman"/>
                <w:color w:val="000000"/>
                <w:sz w:val="13"/>
                <w:szCs w:val="13"/>
              </w:rPr>
              <w:t>(81</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0EA3EC8A"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41B62481" w14:textId="77777777" w:rsidR="00000000" w:rsidRDefault="00195E73">
            <w:pPr>
              <w:rPr>
                <w:rFonts w:eastAsia="Times New Roman"/>
                <w:sz w:val="20"/>
                <w:szCs w:val="20"/>
              </w:rPr>
            </w:pPr>
          </w:p>
        </w:tc>
        <w:tc>
          <w:tcPr>
            <w:tcW w:w="0" w:type="auto"/>
            <w:vAlign w:val="center"/>
            <w:hideMark/>
          </w:tcPr>
          <w:p w14:paraId="03A32F73" w14:textId="77777777" w:rsidR="00000000" w:rsidRDefault="00195E73">
            <w:pPr>
              <w:rPr>
                <w:rFonts w:eastAsia="Times New Roman"/>
                <w:sz w:val="20"/>
                <w:szCs w:val="20"/>
              </w:rPr>
            </w:pPr>
          </w:p>
        </w:tc>
        <w:tc>
          <w:tcPr>
            <w:tcW w:w="0" w:type="auto"/>
            <w:vAlign w:val="center"/>
            <w:hideMark/>
          </w:tcPr>
          <w:p w14:paraId="2660064D" w14:textId="77777777" w:rsidR="00000000" w:rsidRDefault="00195E73">
            <w:pPr>
              <w:rPr>
                <w:rFonts w:eastAsia="Times New Roman"/>
                <w:sz w:val="20"/>
                <w:szCs w:val="20"/>
              </w:rPr>
            </w:pPr>
          </w:p>
        </w:tc>
        <w:tc>
          <w:tcPr>
            <w:tcW w:w="0" w:type="auto"/>
            <w:vAlign w:val="center"/>
            <w:hideMark/>
          </w:tcPr>
          <w:p w14:paraId="4CDE824D" w14:textId="77777777" w:rsidR="00000000" w:rsidRDefault="00195E73">
            <w:pPr>
              <w:rPr>
                <w:rFonts w:eastAsia="Times New Roman"/>
                <w:sz w:val="20"/>
                <w:szCs w:val="20"/>
              </w:rPr>
            </w:pPr>
          </w:p>
        </w:tc>
        <w:tc>
          <w:tcPr>
            <w:tcW w:w="0" w:type="auto"/>
            <w:vAlign w:val="center"/>
            <w:hideMark/>
          </w:tcPr>
          <w:p w14:paraId="0F39A502" w14:textId="77777777" w:rsidR="00000000" w:rsidRDefault="00195E73">
            <w:pPr>
              <w:rPr>
                <w:rFonts w:eastAsia="Times New Roman"/>
                <w:sz w:val="20"/>
                <w:szCs w:val="20"/>
              </w:rPr>
            </w:pPr>
          </w:p>
        </w:tc>
        <w:tc>
          <w:tcPr>
            <w:tcW w:w="0" w:type="auto"/>
            <w:vAlign w:val="center"/>
            <w:hideMark/>
          </w:tcPr>
          <w:p w14:paraId="317BF9D2" w14:textId="77777777" w:rsidR="00000000" w:rsidRDefault="00195E73">
            <w:pPr>
              <w:rPr>
                <w:rFonts w:eastAsia="Times New Roman"/>
                <w:sz w:val="20"/>
                <w:szCs w:val="20"/>
              </w:rPr>
            </w:pPr>
          </w:p>
        </w:tc>
        <w:tc>
          <w:tcPr>
            <w:tcW w:w="0" w:type="auto"/>
            <w:vAlign w:val="center"/>
            <w:hideMark/>
          </w:tcPr>
          <w:p w14:paraId="7C2BBAB0" w14:textId="77777777" w:rsidR="00000000" w:rsidRDefault="00195E73">
            <w:pPr>
              <w:rPr>
                <w:rFonts w:eastAsia="Times New Roman"/>
                <w:sz w:val="20"/>
                <w:szCs w:val="20"/>
              </w:rPr>
            </w:pPr>
          </w:p>
        </w:tc>
        <w:tc>
          <w:tcPr>
            <w:tcW w:w="0" w:type="auto"/>
            <w:vAlign w:val="center"/>
            <w:hideMark/>
          </w:tcPr>
          <w:p w14:paraId="34A5E421" w14:textId="77777777" w:rsidR="00000000" w:rsidRDefault="00195E73">
            <w:pPr>
              <w:rPr>
                <w:rFonts w:eastAsia="Times New Roman"/>
                <w:sz w:val="20"/>
                <w:szCs w:val="20"/>
              </w:rPr>
            </w:pPr>
          </w:p>
        </w:tc>
        <w:tc>
          <w:tcPr>
            <w:tcW w:w="0" w:type="auto"/>
            <w:vAlign w:val="center"/>
            <w:hideMark/>
          </w:tcPr>
          <w:p w14:paraId="5B2D98EF" w14:textId="77777777" w:rsidR="00000000" w:rsidRDefault="00195E73">
            <w:pPr>
              <w:rPr>
                <w:rFonts w:eastAsia="Times New Roman"/>
                <w:sz w:val="20"/>
                <w:szCs w:val="20"/>
              </w:rPr>
            </w:pPr>
          </w:p>
        </w:tc>
        <w:tc>
          <w:tcPr>
            <w:tcW w:w="0" w:type="auto"/>
            <w:vAlign w:val="center"/>
            <w:hideMark/>
          </w:tcPr>
          <w:p w14:paraId="7F50E595" w14:textId="77777777" w:rsidR="00000000" w:rsidRDefault="00195E73">
            <w:pPr>
              <w:rPr>
                <w:rFonts w:eastAsia="Times New Roman"/>
                <w:sz w:val="20"/>
                <w:szCs w:val="20"/>
              </w:rPr>
            </w:pPr>
          </w:p>
        </w:tc>
        <w:tc>
          <w:tcPr>
            <w:tcW w:w="0" w:type="auto"/>
            <w:vAlign w:val="center"/>
            <w:hideMark/>
          </w:tcPr>
          <w:p w14:paraId="5D848062" w14:textId="77777777" w:rsidR="00000000" w:rsidRDefault="00195E73">
            <w:pPr>
              <w:rPr>
                <w:rFonts w:eastAsia="Times New Roman"/>
                <w:sz w:val="20"/>
                <w:szCs w:val="20"/>
              </w:rPr>
            </w:pPr>
          </w:p>
        </w:tc>
        <w:tc>
          <w:tcPr>
            <w:tcW w:w="0" w:type="auto"/>
            <w:vAlign w:val="center"/>
            <w:hideMark/>
          </w:tcPr>
          <w:p w14:paraId="3F3E2829" w14:textId="77777777" w:rsidR="00000000" w:rsidRDefault="00195E73">
            <w:pPr>
              <w:rPr>
                <w:rFonts w:eastAsia="Times New Roman"/>
                <w:sz w:val="20"/>
                <w:szCs w:val="20"/>
              </w:rPr>
            </w:pPr>
          </w:p>
        </w:tc>
      </w:tr>
      <w:tr w:rsidR="00000000" w14:paraId="693D8063"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2796FAC5" w14:textId="77777777" w:rsidR="00000000" w:rsidRDefault="00195E73">
            <w:pPr>
              <w:rPr>
                <w:rFonts w:eastAsia="Times New Roman"/>
              </w:rPr>
            </w:pPr>
            <w:r>
              <w:rPr>
                <w:rFonts w:eastAsia="Times New Roman"/>
                <w:color w:val="000000"/>
                <w:sz w:val="13"/>
                <w:szCs w:val="13"/>
              </w:rPr>
              <w:t>Purchase of additional interests in consolidated subsidiarie</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661F25F0" w14:textId="77777777" w:rsidR="00000000" w:rsidRDefault="00195E73">
            <w:pPr>
              <w:jc w:val="right"/>
              <w:rPr>
                <w:rFonts w:eastAsia="Times New Roman"/>
              </w:rPr>
            </w:pPr>
            <w:r>
              <w:rPr>
                <w:rFonts w:eastAsia="Times New Roman"/>
                <w:color w:val="000000"/>
                <w:sz w:val="13"/>
                <w:szCs w:val="13"/>
              </w:rPr>
              <w:t>(241</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53FF683D"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84ED64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7E839B" w14:textId="77777777" w:rsidR="00000000" w:rsidRDefault="00195E73">
            <w:pPr>
              <w:jc w:val="right"/>
              <w:rPr>
                <w:rFonts w:eastAsia="Times New Roman"/>
              </w:rPr>
            </w:pPr>
            <w:r>
              <w:rPr>
                <w:rFonts w:eastAsia="Times New Roman"/>
                <w:color w:val="000000"/>
                <w:sz w:val="13"/>
                <w:szCs w:val="13"/>
              </w:rPr>
              <w:t>(5</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378BC526"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817159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A483C4" w14:textId="77777777" w:rsidR="00000000" w:rsidRDefault="00195E73">
            <w:pPr>
              <w:jc w:val="right"/>
              <w:rPr>
                <w:rFonts w:eastAsia="Times New Roman"/>
              </w:rPr>
            </w:pPr>
            <w:r>
              <w:rPr>
                <w:rFonts w:eastAsia="Times New Roman"/>
                <w:color w:val="000000"/>
                <w:sz w:val="13"/>
                <w:szCs w:val="13"/>
              </w:rPr>
              <w:t>(349</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5A5FF9B3"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2EFB3FD7" w14:textId="77777777" w:rsidR="00000000" w:rsidRDefault="00195E73">
            <w:pPr>
              <w:rPr>
                <w:rFonts w:eastAsia="Times New Roman"/>
                <w:sz w:val="20"/>
                <w:szCs w:val="20"/>
              </w:rPr>
            </w:pPr>
          </w:p>
        </w:tc>
        <w:tc>
          <w:tcPr>
            <w:tcW w:w="0" w:type="auto"/>
            <w:vAlign w:val="center"/>
            <w:hideMark/>
          </w:tcPr>
          <w:p w14:paraId="77CCDF96" w14:textId="77777777" w:rsidR="00000000" w:rsidRDefault="00195E73">
            <w:pPr>
              <w:rPr>
                <w:rFonts w:eastAsia="Times New Roman"/>
                <w:sz w:val="20"/>
                <w:szCs w:val="20"/>
              </w:rPr>
            </w:pPr>
          </w:p>
        </w:tc>
        <w:tc>
          <w:tcPr>
            <w:tcW w:w="0" w:type="auto"/>
            <w:vAlign w:val="center"/>
            <w:hideMark/>
          </w:tcPr>
          <w:p w14:paraId="09AA7E73" w14:textId="77777777" w:rsidR="00000000" w:rsidRDefault="00195E73">
            <w:pPr>
              <w:rPr>
                <w:rFonts w:eastAsia="Times New Roman"/>
                <w:sz w:val="20"/>
                <w:szCs w:val="20"/>
              </w:rPr>
            </w:pPr>
          </w:p>
        </w:tc>
        <w:tc>
          <w:tcPr>
            <w:tcW w:w="0" w:type="auto"/>
            <w:vAlign w:val="center"/>
            <w:hideMark/>
          </w:tcPr>
          <w:p w14:paraId="6CC1A61D" w14:textId="77777777" w:rsidR="00000000" w:rsidRDefault="00195E73">
            <w:pPr>
              <w:rPr>
                <w:rFonts w:eastAsia="Times New Roman"/>
                <w:sz w:val="20"/>
                <w:szCs w:val="20"/>
              </w:rPr>
            </w:pPr>
          </w:p>
        </w:tc>
        <w:tc>
          <w:tcPr>
            <w:tcW w:w="0" w:type="auto"/>
            <w:vAlign w:val="center"/>
            <w:hideMark/>
          </w:tcPr>
          <w:p w14:paraId="5C0EAA68" w14:textId="77777777" w:rsidR="00000000" w:rsidRDefault="00195E73">
            <w:pPr>
              <w:rPr>
                <w:rFonts w:eastAsia="Times New Roman"/>
                <w:sz w:val="20"/>
                <w:szCs w:val="20"/>
              </w:rPr>
            </w:pPr>
          </w:p>
        </w:tc>
        <w:tc>
          <w:tcPr>
            <w:tcW w:w="0" w:type="auto"/>
            <w:vAlign w:val="center"/>
            <w:hideMark/>
          </w:tcPr>
          <w:p w14:paraId="39AC4BFF" w14:textId="77777777" w:rsidR="00000000" w:rsidRDefault="00195E73">
            <w:pPr>
              <w:rPr>
                <w:rFonts w:eastAsia="Times New Roman"/>
                <w:sz w:val="20"/>
                <w:szCs w:val="20"/>
              </w:rPr>
            </w:pPr>
          </w:p>
        </w:tc>
        <w:tc>
          <w:tcPr>
            <w:tcW w:w="0" w:type="auto"/>
            <w:vAlign w:val="center"/>
            <w:hideMark/>
          </w:tcPr>
          <w:p w14:paraId="21EC44EA" w14:textId="77777777" w:rsidR="00000000" w:rsidRDefault="00195E73">
            <w:pPr>
              <w:rPr>
                <w:rFonts w:eastAsia="Times New Roman"/>
                <w:sz w:val="20"/>
                <w:szCs w:val="20"/>
              </w:rPr>
            </w:pPr>
          </w:p>
        </w:tc>
        <w:tc>
          <w:tcPr>
            <w:tcW w:w="0" w:type="auto"/>
            <w:vAlign w:val="center"/>
            <w:hideMark/>
          </w:tcPr>
          <w:p w14:paraId="001C7F3B" w14:textId="77777777" w:rsidR="00000000" w:rsidRDefault="00195E73">
            <w:pPr>
              <w:rPr>
                <w:rFonts w:eastAsia="Times New Roman"/>
                <w:sz w:val="20"/>
                <w:szCs w:val="20"/>
              </w:rPr>
            </w:pPr>
          </w:p>
        </w:tc>
        <w:tc>
          <w:tcPr>
            <w:tcW w:w="0" w:type="auto"/>
            <w:vAlign w:val="center"/>
            <w:hideMark/>
          </w:tcPr>
          <w:p w14:paraId="6049B314" w14:textId="77777777" w:rsidR="00000000" w:rsidRDefault="00195E73">
            <w:pPr>
              <w:rPr>
                <w:rFonts w:eastAsia="Times New Roman"/>
                <w:sz w:val="20"/>
                <w:szCs w:val="20"/>
              </w:rPr>
            </w:pPr>
          </w:p>
        </w:tc>
        <w:tc>
          <w:tcPr>
            <w:tcW w:w="0" w:type="auto"/>
            <w:vAlign w:val="center"/>
            <w:hideMark/>
          </w:tcPr>
          <w:p w14:paraId="0667EC66" w14:textId="77777777" w:rsidR="00000000" w:rsidRDefault="00195E73">
            <w:pPr>
              <w:rPr>
                <w:rFonts w:eastAsia="Times New Roman"/>
                <w:sz w:val="20"/>
                <w:szCs w:val="20"/>
              </w:rPr>
            </w:pPr>
          </w:p>
        </w:tc>
        <w:tc>
          <w:tcPr>
            <w:tcW w:w="0" w:type="auto"/>
            <w:vAlign w:val="center"/>
            <w:hideMark/>
          </w:tcPr>
          <w:p w14:paraId="5BE4B6A8" w14:textId="77777777" w:rsidR="00000000" w:rsidRDefault="00195E73">
            <w:pPr>
              <w:rPr>
                <w:rFonts w:eastAsia="Times New Roman"/>
                <w:sz w:val="20"/>
                <w:szCs w:val="20"/>
              </w:rPr>
            </w:pPr>
          </w:p>
        </w:tc>
        <w:tc>
          <w:tcPr>
            <w:tcW w:w="0" w:type="auto"/>
            <w:vAlign w:val="center"/>
            <w:hideMark/>
          </w:tcPr>
          <w:p w14:paraId="70402E4F" w14:textId="77777777" w:rsidR="00000000" w:rsidRDefault="00195E73">
            <w:pPr>
              <w:rPr>
                <w:rFonts w:eastAsia="Times New Roman"/>
                <w:sz w:val="20"/>
                <w:szCs w:val="20"/>
              </w:rPr>
            </w:pPr>
          </w:p>
        </w:tc>
      </w:tr>
      <w:tr w:rsidR="00000000" w14:paraId="3297F7E8"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7773412F" w14:textId="77777777" w:rsidR="00000000" w:rsidRDefault="00195E73">
            <w:pPr>
              <w:ind w:hanging="90"/>
              <w:divId w:val="1599366335"/>
              <w:rPr>
                <w:rFonts w:eastAsia="Times New Roman"/>
              </w:rPr>
            </w:pPr>
            <w:r>
              <w:rPr>
                <w:rFonts w:eastAsia="Times New Roman"/>
                <w:color w:val="000000"/>
                <w:sz w:val="13"/>
                <w:szCs w:val="13"/>
              </w:rPr>
              <w:t>Dividends and distributions to non-controlling interests in subsidiarie</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1B98A582" w14:textId="77777777" w:rsidR="00000000" w:rsidRDefault="00195E73">
            <w:pPr>
              <w:jc w:val="right"/>
              <w:rPr>
                <w:rFonts w:eastAsia="Times New Roman"/>
              </w:rPr>
            </w:pPr>
            <w:r>
              <w:rPr>
                <w:rFonts w:eastAsia="Times New Roman"/>
                <w:color w:val="000000"/>
                <w:sz w:val="13"/>
                <w:szCs w:val="13"/>
              </w:rPr>
              <w:t>(119</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4A122266"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4BE896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AA3945" w14:textId="77777777" w:rsidR="00000000" w:rsidRDefault="00195E73">
            <w:pPr>
              <w:jc w:val="right"/>
              <w:rPr>
                <w:rFonts w:eastAsia="Times New Roman"/>
              </w:rPr>
            </w:pPr>
            <w:r>
              <w:rPr>
                <w:rFonts w:eastAsia="Times New Roman"/>
                <w:color w:val="000000"/>
                <w:sz w:val="13"/>
                <w:szCs w:val="13"/>
              </w:rPr>
              <w:t>(139</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7963C16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2FFE5F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24E75A" w14:textId="77777777" w:rsidR="00000000" w:rsidRDefault="00195E73">
            <w:pPr>
              <w:jc w:val="right"/>
              <w:rPr>
                <w:rFonts w:eastAsia="Times New Roman"/>
              </w:rPr>
            </w:pPr>
            <w:r>
              <w:rPr>
                <w:rFonts w:eastAsia="Times New Roman"/>
                <w:color w:val="000000"/>
                <w:sz w:val="13"/>
                <w:szCs w:val="13"/>
              </w:rPr>
              <w:t>(75</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58CC4642"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2FB0254C" w14:textId="77777777" w:rsidR="00000000" w:rsidRDefault="00195E73">
            <w:pPr>
              <w:rPr>
                <w:rFonts w:eastAsia="Times New Roman"/>
                <w:sz w:val="20"/>
                <w:szCs w:val="20"/>
              </w:rPr>
            </w:pPr>
          </w:p>
        </w:tc>
        <w:tc>
          <w:tcPr>
            <w:tcW w:w="0" w:type="auto"/>
            <w:vAlign w:val="center"/>
            <w:hideMark/>
          </w:tcPr>
          <w:p w14:paraId="1393ADDA" w14:textId="77777777" w:rsidR="00000000" w:rsidRDefault="00195E73">
            <w:pPr>
              <w:rPr>
                <w:rFonts w:eastAsia="Times New Roman"/>
                <w:sz w:val="20"/>
                <w:szCs w:val="20"/>
              </w:rPr>
            </w:pPr>
          </w:p>
        </w:tc>
        <w:tc>
          <w:tcPr>
            <w:tcW w:w="0" w:type="auto"/>
            <w:vAlign w:val="center"/>
            <w:hideMark/>
          </w:tcPr>
          <w:p w14:paraId="2381447C" w14:textId="77777777" w:rsidR="00000000" w:rsidRDefault="00195E73">
            <w:pPr>
              <w:rPr>
                <w:rFonts w:eastAsia="Times New Roman"/>
                <w:sz w:val="20"/>
                <w:szCs w:val="20"/>
              </w:rPr>
            </w:pPr>
          </w:p>
        </w:tc>
        <w:tc>
          <w:tcPr>
            <w:tcW w:w="0" w:type="auto"/>
            <w:vAlign w:val="center"/>
            <w:hideMark/>
          </w:tcPr>
          <w:p w14:paraId="312D1D0B" w14:textId="77777777" w:rsidR="00000000" w:rsidRDefault="00195E73">
            <w:pPr>
              <w:rPr>
                <w:rFonts w:eastAsia="Times New Roman"/>
                <w:sz w:val="20"/>
                <w:szCs w:val="20"/>
              </w:rPr>
            </w:pPr>
          </w:p>
        </w:tc>
        <w:tc>
          <w:tcPr>
            <w:tcW w:w="0" w:type="auto"/>
            <w:vAlign w:val="center"/>
            <w:hideMark/>
          </w:tcPr>
          <w:p w14:paraId="2ABFFA3A" w14:textId="77777777" w:rsidR="00000000" w:rsidRDefault="00195E73">
            <w:pPr>
              <w:rPr>
                <w:rFonts w:eastAsia="Times New Roman"/>
                <w:sz w:val="20"/>
                <w:szCs w:val="20"/>
              </w:rPr>
            </w:pPr>
          </w:p>
        </w:tc>
        <w:tc>
          <w:tcPr>
            <w:tcW w:w="0" w:type="auto"/>
            <w:vAlign w:val="center"/>
            <w:hideMark/>
          </w:tcPr>
          <w:p w14:paraId="21EF44A2" w14:textId="77777777" w:rsidR="00000000" w:rsidRDefault="00195E73">
            <w:pPr>
              <w:rPr>
                <w:rFonts w:eastAsia="Times New Roman"/>
                <w:sz w:val="20"/>
                <w:szCs w:val="20"/>
              </w:rPr>
            </w:pPr>
          </w:p>
        </w:tc>
        <w:tc>
          <w:tcPr>
            <w:tcW w:w="0" w:type="auto"/>
            <w:vAlign w:val="center"/>
            <w:hideMark/>
          </w:tcPr>
          <w:p w14:paraId="7328D237" w14:textId="77777777" w:rsidR="00000000" w:rsidRDefault="00195E73">
            <w:pPr>
              <w:rPr>
                <w:rFonts w:eastAsia="Times New Roman"/>
                <w:sz w:val="20"/>
                <w:szCs w:val="20"/>
              </w:rPr>
            </w:pPr>
          </w:p>
        </w:tc>
        <w:tc>
          <w:tcPr>
            <w:tcW w:w="0" w:type="auto"/>
            <w:vAlign w:val="center"/>
            <w:hideMark/>
          </w:tcPr>
          <w:p w14:paraId="0015803F" w14:textId="77777777" w:rsidR="00000000" w:rsidRDefault="00195E73">
            <w:pPr>
              <w:rPr>
                <w:rFonts w:eastAsia="Times New Roman"/>
                <w:sz w:val="20"/>
                <w:szCs w:val="20"/>
              </w:rPr>
            </w:pPr>
          </w:p>
        </w:tc>
        <w:tc>
          <w:tcPr>
            <w:tcW w:w="0" w:type="auto"/>
            <w:vAlign w:val="center"/>
            <w:hideMark/>
          </w:tcPr>
          <w:p w14:paraId="53E59287" w14:textId="77777777" w:rsidR="00000000" w:rsidRDefault="00195E73">
            <w:pPr>
              <w:rPr>
                <w:rFonts w:eastAsia="Times New Roman"/>
                <w:sz w:val="20"/>
                <w:szCs w:val="20"/>
              </w:rPr>
            </w:pPr>
          </w:p>
        </w:tc>
        <w:tc>
          <w:tcPr>
            <w:tcW w:w="0" w:type="auto"/>
            <w:vAlign w:val="center"/>
            <w:hideMark/>
          </w:tcPr>
          <w:p w14:paraId="2933343D" w14:textId="77777777" w:rsidR="00000000" w:rsidRDefault="00195E73">
            <w:pPr>
              <w:rPr>
                <w:rFonts w:eastAsia="Times New Roman"/>
                <w:sz w:val="20"/>
                <w:szCs w:val="20"/>
              </w:rPr>
            </w:pPr>
          </w:p>
        </w:tc>
        <w:tc>
          <w:tcPr>
            <w:tcW w:w="0" w:type="auto"/>
            <w:vAlign w:val="center"/>
            <w:hideMark/>
          </w:tcPr>
          <w:p w14:paraId="2C67DE8E" w14:textId="77777777" w:rsidR="00000000" w:rsidRDefault="00195E73">
            <w:pPr>
              <w:rPr>
                <w:rFonts w:eastAsia="Times New Roman"/>
                <w:sz w:val="20"/>
                <w:szCs w:val="20"/>
              </w:rPr>
            </w:pPr>
          </w:p>
        </w:tc>
        <w:tc>
          <w:tcPr>
            <w:tcW w:w="0" w:type="auto"/>
            <w:vAlign w:val="center"/>
            <w:hideMark/>
          </w:tcPr>
          <w:p w14:paraId="27D1B19F" w14:textId="77777777" w:rsidR="00000000" w:rsidRDefault="00195E73">
            <w:pPr>
              <w:rPr>
                <w:rFonts w:eastAsia="Times New Roman"/>
                <w:sz w:val="20"/>
                <w:szCs w:val="20"/>
              </w:rPr>
            </w:pPr>
          </w:p>
        </w:tc>
      </w:tr>
      <w:tr w:rsidR="00000000" w14:paraId="5F39D503"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0B0E3C47" w14:textId="77777777" w:rsidR="00000000" w:rsidRDefault="00195E73">
            <w:pPr>
              <w:rPr>
                <w:rFonts w:eastAsia="Times New Roman"/>
              </w:rPr>
            </w:pPr>
            <w:r>
              <w:rPr>
                <w:rFonts w:eastAsia="Times New Roman"/>
                <w:color w:val="000000"/>
                <w:sz w:val="13"/>
                <w:szCs w:val="13"/>
              </w:rPr>
              <w:t>Proceeds from Holding Company senior unsecured note</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3C2B1DB9" w14:textId="77777777" w:rsidR="00000000" w:rsidRDefault="00195E73">
            <w:pPr>
              <w:jc w:val="right"/>
              <w:rPr>
                <w:rFonts w:eastAsia="Times New Roman"/>
              </w:rPr>
            </w:pPr>
            <w:r>
              <w:rPr>
                <w:rFonts w:eastAsia="Times New Roman"/>
                <w:color w:val="000000"/>
                <w:sz w:val="13"/>
                <w:szCs w:val="13"/>
              </w:rPr>
              <w:t>2,507</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5D20294F"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35DD932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62A4F2"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335E9BB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4F88F0C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8AFE8E" w14:textId="77777777" w:rsidR="00000000" w:rsidRDefault="00195E73">
            <w:pPr>
              <w:jc w:val="right"/>
              <w:rPr>
                <w:rFonts w:eastAsia="Times New Roman"/>
              </w:rPr>
            </w:pPr>
            <w:r>
              <w:rPr>
                <w:rFonts w:eastAsia="Times New Roman"/>
                <w:color w:val="000000"/>
                <w:sz w:val="13"/>
                <w:szCs w:val="13"/>
              </w:rPr>
              <w:t>2,470</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165460C2"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3E10BDC8" w14:textId="77777777" w:rsidR="00000000" w:rsidRDefault="00195E73">
            <w:pPr>
              <w:rPr>
                <w:rFonts w:eastAsia="Times New Roman"/>
                <w:sz w:val="20"/>
                <w:szCs w:val="20"/>
              </w:rPr>
            </w:pPr>
          </w:p>
        </w:tc>
        <w:tc>
          <w:tcPr>
            <w:tcW w:w="0" w:type="auto"/>
            <w:vAlign w:val="center"/>
            <w:hideMark/>
          </w:tcPr>
          <w:p w14:paraId="234D6A30" w14:textId="77777777" w:rsidR="00000000" w:rsidRDefault="00195E73">
            <w:pPr>
              <w:rPr>
                <w:rFonts w:eastAsia="Times New Roman"/>
                <w:sz w:val="20"/>
                <w:szCs w:val="20"/>
              </w:rPr>
            </w:pPr>
          </w:p>
        </w:tc>
        <w:tc>
          <w:tcPr>
            <w:tcW w:w="0" w:type="auto"/>
            <w:vAlign w:val="center"/>
            <w:hideMark/>
          </w:tcPr>
          <w:p w14:paraId="6BEF86AE" w14:textId="77777777" w:rsidR="00000000" w:rsidRDefault="00195E73">
            <w:pPr>
              <w:rPr>
                <w:rFonts w:eastAsia="Times New Roman"/>
                <w:sz w:val="20"/>
                <w:szCs w:val="20"/>
              </w:rPr>
            </w:pPr>
          </w:p>
        </w:tc>
        <w:tc>
          <w:tcPr>
            <w:tcW w:w="0" w:type="auto"/>
            <w:vAlign w:val="center"/>
            <w:hideMark/>
          </w:tcPr>
          <w:p w14:paraId="5F0EB9D8" w14:textId="77777777" w:rsidR="00000000" w:rsidRDefault="00195E73">
            <w:pPr>
              <w:rPr>
                <w:rFonts w:eastAsia="Times New Roman"/>
                <w:sz w:val="20"/>
                <w:szCs w:val="20"/>
              </w:rPr>
            </w:pPr>
          </w:p>
        </w:tc>
        <w:tc>
          <w:tcPr>
            <w:tcW w:w="0" w:type="auto"/>
            <w:vAlign w:val="center"/>
            <w:hideMark/>
          </w:tcPr>
          <w:p w14:paraId="52FC7E64" w14:textId="77777777" w:rsidR="00000000" w:rsidRDefault="00195E73">
            <w:pPr>
              <w:rPr>
                <w:rFonts w:eastAsia="Times New Roman"/>
                <w:sz w:val="20"/>
                <w:szCs w:val="20"/>
              </w:rPr>
            </w:pPr>
          </w:p>
        </w:tc>
        <w:tc>
          <w:tcPr>
            <w:tcW w:w="0" w:type="auto"/>
            <w:vAlign w:val="center"/>
            <w:hideMark/>
          </w:tcPr>
          <w:p w14:paraId="3B89A3E3" w14:textId="77777777" w:rsidR="00000000" w:rsidRDefault="00195E73">
            <w:pPr>
              <w:rPr>
                <w:rFonts w:eastAsia="Times New Roman"/>
                <w:sz w:val="20"/>
                <w:szCs w:val="20"/>
              </w:rPr>
            </w:pPr>
          </w:p>
        </w:tc>
        <w:tc>
          <w:tcPr>
            <w:tcW w:w="0" w:type="auto"/>
            <w:vAlign w:val="center"/>
            <w:hideMark/>
          </w:tcPr>
          <w:p w14:paraId="2A6101F9" w14:textId="77777777" w:rsidR="00000000" w:rsidRDefault="00195E73">
            <w:pPr>
              <w:rPr>
                <w:rFonts w:eastAsia="Times New Roman"/>
                <w:sz w:val="20"/>
                <w:szCs w:val="20"/>
              </w:rPr>
            </w:pPr>
          </w:p>
        </w:tc>
        <w:tc>
          <w:tcPr>
            <w:tcW w:w="0" w:type="auto"/>
            <w:vAlign w:val="center"/>
            <w:hideMark/>
          </w:tcPr>
          <w:p w14:paraId="6695845F" w14:textId="77777777" w:rsidR="00000000" w:rsidRDefault="00195E73">
            <w:pPr>
              <w:rPr>
                <w:rFonts w:eastAsia="Times New Roman"/>
                <w:sz w:val="20"/>
                <w:szCs w:val="20"/>
              </w:rPr>
            </w:pPr>
          </w:p>
        </w:tc>
        <w:tc>
          <w:tcPr>
            <w:tcW w:w="0" w:type="auto"/>
            <w:vAlign w:val="center"/>
            <w:hideMark/>
          </w:tcPr>
          <w:p w14:paraId="11042554" w14:textId="77777777" w:rsidR="00000000" w:rsidRDefault="00195E73">
            <w:pPr>
              <w:rPr>
                <w:rFonts w:eastAsia="Times New Roman"/>
                <w:sz w:val="20"/>
                <w:szCs w:val="20"/>
              </w:rPr>
            </w:pPr>
          </w:p>
        </w:tc>
        <w:tc>
          <w:tcPr>
            <w:tcW w:w="0" w:type="auto"/>
            <w:vAlign w:val="center"/>
            <w:hideMark/>
          </w:tcPr>
          <w:p w14:paraId="6718C1CF" w14:textId="77777777" w:rsidR="00000000" w:rsidRDefault="00195E73">
            <w:pPr>
              <w:rPr>
                <w:rFonts w:eastAsia="Times New Roman"/>
                <w:sz w:val="20"/>
                <w:szCs w:val="20"/>
              </w:rPr>
            </w:pPr>
          </w:p>
        </w:tc>
        <w:tc>
          <w:tcPr>
            <w:tcW w:w="0" w:type="auto"/>
            <w:vAlign w:val="center"/>
            <w:hideMark/>
          </w:tcPr>
          <w:p w14:paraId="3BD0082D" w14:textId="77777777" w:rsidR="00000000" w:rsidRDefault="00195E73">
            <w:pPr>
              <w:rPr>
                <w:rFonts w:eastAsia="Times New Roman"/>
                <w:sz w:val="20"/>
                <w:szCs w:val="20"/>
              </w:rPr>
            </w:pPr>
          </w:p>
        </w:tc>
        <w:tc>
          <w:tcPr>
            <w:tcW w:w="0" w:type="auto"/>
            <w:vAlign w:val="center"/>
            <w:hideMark/>
          </w:tcPr>
          <w:p w14:paraId="36D6885B" w14:textId="77777777" w:rsidR="00000000" w:rsidRDefault="00195E73">
            <w:pPr>
              <w:rPr>
                <w:rFonts w:eastAsia="Times New Roman"/>
                <w:sz w:val="20"/>
                <w:szCs w:val="20"/>
              </w:rPr>
            </w:pPr>
          </w:p>
        </w:tc>
      </w:tr>
      <w:tr w:rsidR="00000000" w14:paraId="137D5D0B"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48ADB8A5" w14:textId="77777777" w:rsidR="00000000" w:rsidRDefault="00195E73">
            <w:pPr>
              <w:rPr>
                <w:rFonts w:eastAsia="Times New Roman"/>
              </w:rPr>
            </w:pPr>
            <w:r>
              <w:rPr>
                <w:rFonts w:eastAsia="Times New Roman"/>
                <w:color w:val="000000"/>
                <w:sz w:val="13"/>
                <w:szCs w:val="13"/>
              </w:rPr>
              <w:t>Repayments of Holding Company senior unsecured note</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4B9162A4" w14:textId="77777777" w:rsidR="00000000" w:rsidRDefault="00195E73">
            <w:pPr>
              <w:jc w:val="right"/>
              <w:rPr>
                <w:rFonts w:eastAsia="Times New Roman"/>
              </w:rPr>
            </w:pPr>
            <w:r>
              <w:rPr>
                <w:rFonts w:eastAsia="Times New Roman"/>
                <w:color w:val="000000"/>
                <w:sz w:val="13"/>
                <w:szCs w:val="13"/>
              </w:rPr>
              <w:t>(1,700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2381F91C"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C3E5E3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B25DC6"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48C421F6"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757BA9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9D7BEE" w14:textId="77777777" w:rsidR="00000000" w:rsidRDefault="00195E73">
            <w:pPr>
              <w:jc w:val="right"/>
              <w:rPr>
                <w:rFonts w:eastAsia="Times New Roman"/>
              </w:rPr>
            </w:pPr>
            <w:r>
              <w:rPr>
                <w:rFonts w:eastAsia="Times New Roman"/>
                <w:color w:val="000000"/>
                <w:sz w:val="13"/>
                <w:szCs w:val="13"/>
              </w:rPr>
              <w:t>(2,450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13A85432"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3BB2CA05" w14:textId="77777777" w:rsidR="00000000" w:rsidRDefault="00195E73">
            <w:pPr>
              <w:rPr>
                <w:rFonts w:eastAsia="Times New Roman"/>
                <w:sz w:val="20"/>
                <w:szCs w:val="20"/>
              </w:rPr>
            </w:pPr>
          </w:p>
        </w:tc>
        <w:tc>
          <w:tcPr>
            <w:tcW w:w="0" w:type="auto"/>
            <w:vAlign w:val="center"/>
            <w:hideMark/>
          </w:tcPr>
          <w:p w14:paraId="54FD0313" w14:textId="77777777" w:rsidR="00000000" w:rsidRDefault="00195E73">
            <w:pPr>
              <w:rPr>
                <w:rFonts w:eastAsia="Times New Roman"/>
                <w:sz w:val="20"/>
                <w:szCs w:val="20"/>
              </w:rPr>
            </w:pPr>
          </w:p>
        </w:tc>
        <w:tc>
          <w:tcPr>
            <w:tcW w:w="0" w:type="auto"/>
            <w:vAlign w:val="center"/>
            <w:hideMark/>
          </w:tcPr>
          <w:p w14:paraId="096BC0E7" w14:textId="77777777" w:rsidR="00000000" w:rsidRDefault="00195E73">
            <w:pPr>
              <w:rPr>
                <w:rFonts w:eastAsia="Times New Roman"/>
                <w:sz w:val="20"/>
                <w:szCs w:val="20"/>
              </w:rPr>
            </w:pPr>
          </w:p>
        </w:tc>
        <w:tc>
          <w:tcPr>
            <w:tcW w:w="0" w:type="auto"/>
            <w:vAlign w:val="center"/>
            <w:hideMark/>
          </w:tcPr>
          <w:p w14:paraId="05D41EF6" w14:textId="77777777" w:rsidR="00000000" w:rsidRDefault="00195E73">
            <w:pPr>
              <w:rPr>
                <w:rFonts w:eastAsia="Times New Roman"/>
                <w:sz w:val="20"/>
                <w:szCs w:val="20"/>
              </w:rPr>
            </w:pPr>
          </w:p>
        </w:tc>
        <w:tc>
          <w:tcPr>
            <w:tcW w:w="0" w:type="auto"/>
            <w:vAlign w:val="center"/>
            <w:hideMark/>
          </w:tcPr>
          <w:p w14:paraId="35B469F5" w14:textId="77777777" w:rsidR="00000000" w:rsidRDefault="00195E73">
            <w:pPr>
              <w:rPr>
                <w:rFonts w:eastAsia="Times New Roman"/>
                <w:sz w:val="20"/>
                <w:szCs w:val="20"/>
              </w:rPr>
            </w:pPr>
          </w:p>
        </w:tc>
        <w:tc>
          <w:tcPr>
            <w:tcW w:w="0" w:type="auto"/>
            <w:vAlign w:val="center"/>
            <w:hideMark/>
          </w:tcPr>
          <w:p w14:paraId="6551A462" w14:textId="77777777" w:rsidR="00000000" w:rsidRDefault="00195E73">
            <w:pPr>
              <w:rPr>
                <w:rFonts w:eastAsia="Times New Roman"/>
                <w:sz w:val="20"/>
                <w:szCs w:val="20"/>
              </w:rPr>
            </w:pPr>
          </w:p>
        </w:tc>
        <w:tc>
          <w:tcPr>
            <w:tcW w:w="0" w:type="auto"/>
            <w:vAlign w:val="center"/>
            <w:hideMark/>
          </w:tcPr>
          <w:p w14:paraId="081C2F47" w14:textId="77777777" w:rsidR="00000000" w:rsidRDefault="00195E73">
            <w:pPr>
              <w:rPr>
                <w:rFonts w:eastAsia="Times New Roman"/>
                <w:sz w:val="20"/>
                <w:szCs w:val="20"/>
              </w:rPr>
            </w:pPr>
          </w:p>
        </w:tc>
        <w:tc>
          <w:tcPr>
            <w:tcW w:w="0" w:type="auto"/>
            <w:vAlign w:val="center"/>
            <w:hideMark/>
          </w:tcPr>
          <w:p w14:paraId="3C4E6AF2" w14:textId="77777777" w:rsidR="00000000" w:rsidRDefault="00195E73">
            <w:pPr>
              <w:rPr>
                <w:rFonts w:eastAsia="Times New Roman"/>
                <w:sz w:val="20"/>
                <w:szCs w:val="20"/>
              </w:rPr>
            </w:pPr>
          </w:p>
        </w:tc>
        <w:tc>
          <w:tcPr>
            <w:tcW w:w="0" w:type="auto"/>
            <w:vAlign w:val="center"/>
            <w:hideMark/>
          </w:tcPr>
          <w:p w14:paraId="27698993" w14:textId="77777777" w:rsidR="00000000" w:rsidRDefault="00195E73">
            <w:pPr>
              <w:rPr>
                <w:rFonts w:eastAsia="Times New Roman"/>
                <w:sz w:val="20"/>
                <w:szCs w:val="20"/>
              </w:rPr>
            </w:pPr>
          </w:p>
        </w:tc>
        <w:tc>
          <w:tcPr>
            <w:tcW w:w="0" w:type="auto"/>
            <w:vAlign w:val="center"/>
            <w:hideMark/>
          </w:tcPr>
          <w:p w14:paraId="16CFA712" w14:textId="77777777" w:rsidR="00000000" w:rsidRDefault="00195E73">
            <w:pPr>
              <w:rPr>
                <w:rFonts w:eastAsia="Times New Roman"/>
                <w:sz w:val="20"/>
                <w:szCs w:val="20"/>
              </w:rPr>
            </w:pPr>
          </w:p>
        </w:tc>
        <w:tc>
          <w:tcPr>
            <w:tcW w:w="0" w:type="auto"/>
            <w:vAlign w:val="center"/>
            <w:hideMark/>
          </w:tcPr>
          <w:p w14:paraId="374908C6" w14:textId="77777777" w:rsidR="00000000" w:rsidRDefault="00195E73">
            <w:pPr>
              <w:rPr>
                <w:rFonts w:eastAsia="Times New Roman"/>
                <w:sz w:val="20"/>
                <w:szCs w:val="20"/>
              </w:rPr>
            </w:pPr>
          </w:p>
        </w:tc>
        <w:tc>
          <w:tcPr>
            <w:tcW w:w="0" w:type="auto"/>
            <w:vAlign w:val="center"/>
            <w:hideMark/>
          </w:tcPr>
          <w:p w14:paraId="07E2665B" w14:textId="77777777" w:rsidR="00000000" w:rsidRDefault="00195E73">
            <w:pPr>
              <w:rPr>
                <w:rFonts w:eastAsia="Times New Roman"/>
                <w:sz w:val="20"/>
                <w:szCs w:val="20"/>
              </w:rPr>
            </w:pPr>
          </w:p>
        </w:tc>
      </w:tr>
      <w:tr w:rsidR="00000000" w14:paraId="71C14E31"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4B673A60" w14:textId="77777777" w:rsidR="00000000" w:rsidRDefault="00195E73">
            <w:pPr>
              <w:rPr>
                <w:rFonts w:eastAsia="Times New Roman"/>
              </w:rPr>
            </w:pPr>
            <w:r>
              <w:rPr>
                <w:rFonts w:eastAsia="Times New Roman"/>
                <w:color w:val="000000"/>
                <w:sz w:val="13"/>
                <w:szCs w:val="13"/>
              </w:rPr>
              <w:t>Proceeds from subsidiary borrowing</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52374460" w14:textId="77777777" w:rsidR="00000000" w:rsidRDefault="00195E73">
            <w:pPr>
              <w:jc w:val="right"/>
              <w:rPr>
                <w:rFonts w:eastAsia="Times New Roman"/>
              </w:rPr>
            </w:pPr>
            <w:r>
              <w:rPr>
                <w:rFonts w:eastAsia="Times New Roman"/>
                <w:color w:val="000000"/>
                <w:sz w:val="13"/>
                <w:szCs w:val="13"/>
              </w:rPr>
              <w:t>810</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2D46E600"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13F260A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728131" w14:textId="77777777" w:rsidR="00000000" w:rsidRDefault="00195E73">
            <w:pPr>
              <w:jc w:val="right"/>
              <w:rPr>
                <w:rFonts w:eastAsia="Times New Roman"/>
              </w:rPr>
            </w:pPr>
            <w:r>
              <w:rPr>
                <w:rFonts w:eastAsia="Times New Roman"/>
                <w:color w:val="000000"/>
                <w:sz w:val="13"/>
                <w:szCs w:val="13"/>
              </w:rPr>
              <w:t>1,268</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47D31A2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8A0275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11D2CE" w14:textId="77777777" w:rsidR="00000000" w:rsidRDefault="00195E73">
            <w:pPr>
              <w:jc w:val="right"/>
              <w:rPr>
                <w:rFonts w:eastAsia="Times New Roman"/>
              </w:rPr>
            </w:pPr>
            <w:r>
              <w:rPr>
                <w:rFonts w:eastAsia="Times New Roman"/>
                <w:color w:val="000000"/>
                <w:sz w:val="13"/>
                <w:szCs w:val="13"/>
              </w:rPr>
              <w:t>1,334</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5DD0E407"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31C8CD6B" w14:textId="77777777" w:rsidR="00000000" w:rsidRDefault="00195E73">
            <w:pPr>
              <w:rPr>
                <w:rFonts w:eastAsia="Times New Roman"/>
                <w:sz w:val="20"/>
                <w:szCs w:val="20"/>
              </w:rPr>
            </w:pPr>
          </w:p>
        </w:tc>
        <w:tc>
          <w:tcPr>
            <w:tcW w:w="0" w:type="auto"/>
            <w:vAlign w:val="center"/>
            <w:hideMark/>
          </w:tcPr>
          <w:p w14:paraId="7F7D496D" w14:textId="77777777" w:rsidR="00000000" w:rsidRDefault="00195E73">
            <w:pPr>
              <w:rPr>
                <w:rFonts w:eastAsia="Times New Roman"/>
                <w:sz w:val="20"/>
                <w:szCs w:val="20"/>
              </w:rPr>
            </w:pPr>
          </w:p>
        </w:tc>
        <w:tc>
          <w:tcPr>
            <w:tcW w:w="0" w:type="auto"/>
            <w:vAlign w:val="center"/>
            <w:hideMark/>
          </w:tcPr>
          <w:p w14:paraId="0476C659" w14:textId="77777777" w:rsidR="00000000" w:rsidRDefault="00195E73">
            <w:pPr>
              <w:rPr>
                <w:rFonts w:eastAsia="Times New Roman"/>
                <w:sz w:val="20"/>
                <w:szCs w:val="20"/>
              </w:rPr>
            </w:pPr>
          </w:p>
        </w:tc>
        <w:tc>
          <w:tcPr>
            <w:tcW w:w="0" w:type="auto"/>
            <w:vAlign w:val="center"/>
            <w:hideMark/>
          </w:tcPr>
          <w:p w14:paraId="5BA3FF99" w14:textId="77777777" w:rsidR="00000000" w:rsidRDefault="00195E73">
            <w:pPr>
              <w:rPr>
                <w:rFonts w:eastAsia="Times New Roman"/>
                <w:sz w:val="20"/>
                <w:szCs w:val="20"/>
              </w:rPr>
            </w:pPr>
          </w:p>
        </w:tc>
        <w:tc>
          <w:tcPr>
            <w:tcW w:w="0" w:type="auto"/>
            <w:vAlign w:val="center"/>
            <w:hideMark/>
          </w:tcPr>
          <w:p w14:paraId="3D91846C" w14:textId="77777777" w:rsidR="00000000" w:rsidRDefault="00195E73">
            <w:pPr>
              <w:rPr>
                <w:rFonts w:eastAsia="Times New Roman"/>
                <w:sz w:val="20"/>
                <w:szCs w:val="20"/>
              </w:rPr>
            </w:pPr>
          </w:p>
        </w:tc>
        <w:tc>
          <w:tcPr>
            <w:tcW w:w="0" w:type="auto"/>
            <w:vAlign w:val="center"/>
            <w:hideMark/>
          </w:tcPr>
          <w:p w14:paraId="1291F609" w14:textId="77777777" w:rsidR="00000000" w:rsidRDefault="00195E73">
            <w:pPr>
              <w:rPr>
                <w:rFonts w:eastAsia="Times New Roman"/>
                <w:sz w:val="20"/>
                <w:szCs w:val="20"/>
              </w:rPr>
            </w:pPr>
          </w:p>
        </w:tc>
        <w:tc>
          <w:tcPr>
            <w:tcW w:w="0" w:type="auto"/>
            <w:vAlign w:val="center"/>
            <w:hideMark/>
          </w:tcPr>
          <w:p w14:paraId="04985FBC" w14:textId="77777777" w:rsidR="00000000" w:rsidRDefault="00195E73">
            <w:pPr>
              <w:rPr>
                <w:rFonts w:eastAsia="Times New Roman"/>
                <w:sz w:val="20"/>
                <w:szCs w:val="20"/>
              </w:rPr>
            </w:pPr>
          </w:p>
        </w:tc>
        <w:tc>
          <w:tcPr>
            <w:tcW w:w="0" w:type="auto"/>
            <w:vAlign w:val="center"/>
            <w:hideMark/>
          </w:tcPr>
          <w:p w14:paraId="649D6611" w14:textId="77777777" w:rsidR="00000000" w:rsidRDefault="00195E73">
            <w:pPr>
              <w:rPr>
                <w:rFonts w:eastAsia="Times New Roman"/>
                <w:sz w:val="20"/>
                <w:szCs w:val="20"/>
              </w:rPr>
            </w:pPr>
          </w:p>
        </w:tc>
        <w:tc>
          <w:tcPr>
            <w:tcW w:w="0" w:type="auto"/>
            <w:vAlign w:val="center"/>
            <w:hideMark/>
          </w:tcPr>
          <w:p w14:paraId="056191EA" w14:textId="77777777" w:rsidR="00000000" w:rsidRDefault="00195E73">
            <w:pPr>
              <w:rPr>
                <w:rFonts w:eastAsia="Times New Roman"/>
                <w:sz w:val="20"/>
                <w:szCs w:val="20"/>
              </w:rPr>
            </w:pPr>
          </w:p>
        </w:tc>
        <w:tc>
          <w:tcPr>
            <w:tcW w:w="0" w:type="auto"/>
            <w:vAlign w:val="center"/>
            <w:hideMark/>
          </w:tcPr>
          <w:p w14:paraId="0B277B87" w14:textId="77777777" w:rsidR="00000000" w:rsidRDefault="00195E73">
            <w:pPr>
              <w:rPr>
                <w:rFonts w:eastAsia="Times New Roman"/>
                <w:sz w:val="20"/>
                <w:szCs w:val="20"/>
              </w:rPr>
            </w:pPr>
          </w:p>
        </w:tc>
        <w:tc>
          <w:tcPr>
            <w:tcW w:w="0" w:type="auto"/>
            <w:vAlign w:val="center"/>
            <w:hideMark/>
          </w:tcPr>
          <w:p w14:paraId="04BAA265" w14:textId="77777777" w:rsidR="00000000" w:rsidRDefault="00195E73">
            <w:pPr>
              <w:rPr>
                <w:rFonts w:eastAsia="Times New Roman"/>
                <w:sz w:val="20"/>
                <w:szCs w:val="20"/>
              </w:rPr>
            </w:pPr>
          </w:p>
        </w:tc>
        <w:tc>
          <w:tcPr>
            <w:tcW w:w="0" w:type="auto"/>
            <w:vAlign w:val="center"/>
            <w:hideMark/>
          </w:tcPr>
          <w:p w14:paraId="06F4A096" w14:textId="77777777" w:rsidR="00000000" w:rsidRDefault="00195E73">
            <w:pPr>
              <w:rPr>
                <w:rFonts w:eastAsia="Times New Roman"/>
                <w:sz w:val="20"/>
                <w:szCs w:val="20"/>
              </w:rPr>
            </w:pPr>
          </w:p>
        </w:tc>
      </w:tr>
      <w:tr w:rsidR="00000000" w14:paraId="2B83D78D"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1FE19461" w14:textId="77777777" w:rsidR="00000000" w:rsidRDefault="00195E73">
            <w:pPr>
              <w:rPr>
                <w:rFonts w:eastAsia="Times New Roman"/>
              </w:rPr>
            </w:pPr>
            <w:r>
              <w:rPr>
                <w:rFonts w:eastAsia="Times New Roman"/>
                <w:color w:val="000000"/>
                <w:sz w:val="13"/>
                <w:szCs w:val="13"/>
              </w:rPr>
              <w:t>Repayments of subsidiary borrowing</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2C061A57" w14:textId="77777777" w:rsidR="00000000" w:rsidRDefault="00195E73">
            <w:pPr>
              <w:jc w:val="right"/>
              <w:rPr>
                <w:rFonts w:eastAsia="Times New Roman"/>
              </w:rPr>
            </w:pPr>
            <w:r>
              <w:rPr>
                <w:rFonts w:eastAsia="Times New Roman"/>
                <w:color w:val="000000"/>
                <w:sz w:val="13"/>
                <w:szCs w:val="13"/>
              </w:rPr>
              <w:t>(847</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012D51ED"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2ACAE2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A25C85" w14:textId="77777777" w:rsidR="00000000" w:rsidRDefault="00195E73">
            <w:pPr>
              <w:jc w:val="right"/>
              <w:rPr>
                <w:rFonts w:eastAsia="Times New Roman"/>
              </w:rPr>
            </w:pPr>
            <w:r>
              <w:rPr>
                <w:rFonts w:eastAsia="Times New Roman"/>
                <w:color w:val="000000"/>
                <w:sz w:val="13"/>
                <w:szCs w:val="13"/>
              </w:rPr>
              <w:t>(1,346</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70C448C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52830C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E48807" w14:textId="77777777" w:rsidR="00000000" w:rsidRDefault="00195E73">
            <w:pPr>
              <w:jc w:val="right"/>
              <w:rPr>
                <w:rFonts w:eastAsia="Times New Roman"/>
              </w:rPr>
            </w:pPr>
            <w:r>
              <w:rPr>
                <w:rFonts w:eastAsia="Times New Roman"/>
                <w:color w:val="000000"/>
                <w:sz w:val="13"/>
                <w:szCs w:val="13"/>
              </w:rPr>
              <w:t>(1,430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17435BCC"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0E256021" w14:textId="77777777" w:rsidR="00000000" w:rsidRDefault="00195E73">
            <w:pPr>
              <w:rPr>
                <w:rFonts w:eastAsia="Times New Roman"/>
                <w:sz w:val="20"/>
                <w:szCs w:val="20"/>
              </w:rPr>
            </w:pPr>
          </w:p>
        </w:tc>
        <w:tc>
          <w:tcPr>
            <w:tcW w:w="0" w:type="auto"/>
            <w:vAlign w:val="center"/>
            <w:hideMark/>
          </w:tcPr>
          <w:p w14:paraId="4AE57C3F" w14:textId="77777777" w:rsidR="00000000" w:rsidRDefault="00195E73">
            <w:pPr>
              <w:rPr>
                <w:rFonts w:eastAsia="Times New Roman"/>
                <w:sz w:val="20"/>
                <w:szCs w:val="20"/>
              </w:rPr>
            </w:pPr>
          </w:p>
        </w:tc>
        <w:tc>
          <w:tcPr>
            <w:tcW w:w="0" w:type="auto"/>
            <w:vAlign w:val="center"/>
            <w:hideMark/>
          </w:tcPr>
          <w:p w14:paraId="60DC67CF" w14:textId="77777777" w:rsidR="00000000" w:rsidRDefault="00195E73">
            <w:pPr>
              <w:rPr>
                <w:rFonts w:eastAsia="Times New Roman"/>
                <w:sz w:val="20"/>
                <w:szCs w:val="20"/>
              </w:rPr>
            </w:pPr>
          </w:p>
        </w:tc>
        <w:tc>
          <w:tcPr>
            <w:tcW w:w="0" w:type="auto"/>
            <w:vAlign w:val="center"/>
            <w:hideMark/>
          </w:tcPr>
          <w:p w14:paraId="028751C3" w14:textId="77777777" w:rsidR="00000000" w:rsidRDefault="00195E73">
            <w:pPr>
              <w:rPr>
                <w:rFonts w:eastAsia="Times New Roman"/>
                <w:sz w:val="20"/>
                <w:szCs w:val="20"/>
              </w:rPr>
            </w:pPr>
          </w:p>
        </w:tc>
        <w:tc>
          <w:tcPr>
            <w:tcW w:w="0" w:type="auto"/>
            <w:vAlign w:val="center"/>
            <w:hideMark/>
          </w:tcPr>
          <w:p w14:paraId="1C5845FD" w14:textId="77777777" w:rsidR="00000000" w:rsidRDefault="00195E73">
            <w:pPr>
              <w:rPr>
                <w:rFonts w:eastAsia="Times New Roman"/>
                <w:sz w:val="20"/>
                <w:szCs w:val="20"/>
              </w:rPr>
            </w:pPr>
          </w:p>
        </w:tc>
        <w:tc>
          <w:tcPr>
            <w:tcW w:w="0" w:type="auto"/>
            <w:vAlign w:val="center"/>
            <w:hideMark/>
          </w:tcPr>
          <w:p w14:paraId="0181AB78" w14:textId="77777777" w:rsidR="00000000" w:rsidRDefault="00195E73">
            <w:pPr>
              <w:rPr>
                <w:rFonts w:eastAsia="Times New Roman"/>
                <w:sz w:val="20"/>
                <w:szCs w:val="20"/>
              </w:rPr>
            </w:pPr>
          </w:p>
        </w:tc>
        <w:tc>
          <w:tcPr>
            <w:tcW w:w="0" w:type="auto"/>
            <w:vAlign w:val="center"/>
            <w:hideMark/>
          </w:tcPr>
          <w:p w14:paraId="669BD9AE" w14:textId="77777777" w:rsidR="00000000" w:rsidRDefault="00195E73">
            <w:pPr>
              <w:rPr>
                <w:rFonts w:eastAsia="Times New Roman"/>
                <w:sz w:val="20"/>
                <w:szCs w:val="20"/>
              </w:rPr>
            </w:pPr>
          </w:p>
        </w:tc>
        <w:tc>
          <w:tcPr>
            <w:tcW w:w="0" w:type="auto"/>
            <w:vAlign w:val="center"/>
            <w:hideMark/>
          </w:tcPr>
          <w:p w14:paraId="03FAE62C" w14:textId="77777777" w:rsidR="00000000" w:rsidRDefault="00195E73">
            <w:pPr>
              <w:rPr>
                <w:rFonts w:eastAsia="Times New Roman"/>
                <w:sz w:val="20"/>
                <w:szCs w:val="20"/>
              </w:rPr>
            </w:pPr>
          </w:p>
        </w:tc>
        <w:tc>
          <w:tcPr>
            <w:tcW w:w="0" w:type="auto"/>
            <w:vAlign w:val="center"/>
            <w:hideMark/>
          </w:tcPr>
          <w:p w14:paraId="4B5CCB86" w14:textId="77777777" w:rsidR="00000000" w:rsidRDefault="00195E73">
            <w:pPr>
              <w:rPr>
                <w:rFonts w:eastAsia="Times New Roman"/>
                <w:sz w:val="20"/>
                <w:szCs w:val="20"/>
              </w:rPr>
            </w:pPr>
          </w:p>
        </w:tc>
        <w:tc>
          <w:tcPr>
            <w:tcW w:w="0" w:type="auto"/>
            <w:vAlign w:val="center"/>
            <w:hideMark/>
          </w:tcPr>
          <w:p w14:paraId="41F8AD98" w14:textId="77777777" w:rsidR="00000000" w:rsidRDefault="00195E73">
            <w:pPr>
              <w:rPr>
                <w:rFonts w:eastAsia="Times New Roman"/>
                <w:sz w:val="20"/>
                <w:szCs w:val="20"/>
              </w:rPr>
            </w:pPr>
          </w:p>
        </w:tc>
        <w:tc>
          <w:tcPr>
            <w:tcW w:w="0" w:type="auto"/>
            <w:vAlign w:val="center"/>
            <w:hideMark/>
          </w:tcPr>
          <w:p w14:paraId="7C2878DB" w14:textId="77777777" w:rsidR="00000000" w:rsidRDefault="00195E73">
            <w:pPr>
              <w:rPr>
                <w:rFonts w:eastAsia="Times New Roman"/>
                <w:sz w:val="20"/>
                <w:szCs w:val="20"/>
              </w:rPr>
            </w:pPr>
          </w:p>
        </w:tc>
        <w:tc>
          <w:tcPr>
            <w:tcW w:w="0" w:type="auto"/>
            <w:vAlign w:val="center"/>
            <w:hideMark/>
          </w:tcPr>
          <w:p w14:paraId="37B16531" w14:textId="77777777" w:rsidR="00000000" w:rsidRDefault="00195E73">
            <w:pPr>
              <w:rPr>
                <w:rFonts w:eastAsia="Times New Roman"/>
                <w:sz w:val="20"/>
                <w:szCs w:val="20"/>
              </w:rPr>
            </w:pPr>
          </w:p>
        </w:tc>
      </w:tr>
      <w:tr w:rsidR="00000000" w14:paraId="02849F21"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7BF11263" w14:textId="77777777" w:rsidR="00000000" w:rsidRDefault="00195E73">
            <w:pPr>
              <w:rPr>
                <w:rFonts w:eastAsia="Times New Roman"/>
              </w:rPr>
            </w:pPr>
            <w:r>
              <w:rPr>
                <w:rFonts w:eastAsia="Times New Roman"/>
                <w:color w:val="000000"/>
                <w:sz w:val="13"/>
                <w:szCs w:val="13"/>
              </w:rPr>
              <w:t>Other, ne</w:t>
            </w:r>
            <w:r>
              <w:rPr>
                <w:rFonts w:eastAsia="Times New Roman"/>
                <w:color w:val="000000"/>
                <w:sz w:val="13"/>
                <w:szCs w:val="13"/>
              </w:rPr>
              <w:t>t</w:t>
            </w:r>
          </w:p>
        </w:tc>
        <w:tc>
          <w:tcPr>
            <w:tcW w:w="0" w:type="auto"/>
            <w:gridSpan w:val="2"/>
            <w:shd w:val="clear" w:color="auto" w:fill="CCEEFF"/>
            <w:tcMar>
              <w:top w:w="30" w:type="dxa"/>
              <w:left w:w="20" w:type="dxa"/>
              <w:bottom w:w="30" w:type="dxa"/>
              <w:right w:w="0" w:type="dxa"/>
            </w:tcMar>
            <w:vAlign w:val="bottom"/>
            <w:hideMark/>
          </w:tcPr>
          <w:p w14:paraId="6A5B5BD2" w14:textId="77777777" w:rsidR="00000000" w:rsidRDefault="00195E73">
            <w:pPr>
              <w:jc w:val="right"/>
              <w:rPr>
                <w:rFonts w:eastAsia="Times New Roman"/>
              </w:rPr>
            </w:pPr>
            <w:r>
              <w:rPr>
                <w:rFonts w:eastAsia="Times New Roman"/>
                <w:color w:val="000000"/>
                <w:sz w:val="13"/>
                <w:szCs w:val="13"/>
              </w:rPr>
              <w:t>(7</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4DDE6AD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8B6AFD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84F292" w14:textId="77777777" w:rsidR="00000000" w:rsidRDefault="00195E73">
            <w:pPr>
              <w:jc w:val="right"/>
              <w:rPr>
                <w:rFonts w:eastAsia="Times New Roman"/>
              </w:rPr>
            </w:pPr>
            <w:r>
              <w:rPr>
                <w:rFonts w:eastAsia="Times New Roman"/>
                <w:color w:val="000000"/>
                <w:sz w:val="13"/>
                <w:szCs w:val="13"/>
              </w:rPr>
              <w:t>15</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5E5AA39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56433F9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EC1664" w14:textId="77777777" w:rsidR="00000000" w:rsidRDefault="00195E73">
            <w:pPr>
              <w:jc w:val="right"/>
              <w:rPr>
                <w:rFonts w:eastAsia="Times New Roman"/>
              </w:rPr>
            </w:pP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3823E88C"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49D2431" w14:textId="77777777" w:rsidR="00000000" w:rsidRDefault="00195E73">
            <w:pPr>
              <w:rPr>
                <w:rFonts w:eastAsia="Times New Roman"/>
                <w:sz w:val="20"/>
                <w:szCs w:val="20"/>
              </w:rPr>
            </w:pPr>
          </w:p>
        </w:tc>
        <w:tc>
          <w:tcPr>
            <w:tcW w:w="0" w:type="auto"/>
            <w:vAlign w:val="center"/>
            <w:hideMark/>
          </w:tcPr>
          <w:p w14:paraId="2B8243C5" w14:textId="77777777" w:rsidR="00000000" w:rsidRDefault="00195E73">
            <w:pPr>
              <w:rPr>
                <w:rFonts w:eastAsia="Times New Roman"/>
                <w:sz w:val="20"/>
                <w:szCs w:val="20"/>
              </w:rPr>
            </w:pPr>
          </w:p>
        </w:tc>
        <w:tc>
          <w:tcPr>
            <w:tcW w:w="0" w:type="auto"/>
            <w:vAlign w:val="center"/>
            <w:hideMark/>
          </w:tcPr>
          <w:p w14:paraId="3F6E997C" w14:textId="77777777" w:rsidR="00000000" w:rsidRDefault="00195E73">
            <w:pPr>
              <w:rPr>
                <w:rFonts w:eastAsia="Times New Roman"/>
                <w:sz w:val="20"/>
                <w:szCs w:val="20"/>
              </w:rPr>
            </w:pPr>
          </w:p>
        </w:tc>
        <w:tc>
          <w:tcPr>
            <w:tcW w:w="0" w:type="auto"/>
            <w:vAlign w:val="center"/>
            <w:hideMark/>
          </w:tcPr>
          <w:p w14:paraId="1102F760" w14:textId="77777777" w:rsidR="00000000" w:rsidRDefault="00195E73">
            <w:pPr>
              <w:rPr>
                <w:rFonts w:eastAsia="Times New Roman"/>
                <w:sz w:val="20"/>
                <w:szCs w:val="20"/>
              </w:rPr>
            </w:pPr>
          </w:p>
        </w:tc>
        <w:tc>
          <w:tcPr>
            <w:tcW w:w="0" w:type="auto"/>
            <w:vAlign w:val="center"/>
            <w:hideMark/>
          </w:tcPr>
          <w:p w14:paraId="39D8E2BC" w14:textId="77777777" w:rsidR="00000000" w:rsidRDefault="00195E73">
            <w:pPr>
              <w:rPr>
                <w:rFonts w:eastAsia="Times New Roman"/>
                <w:sz w:val="20"/>
                <w:szCs w:val="20"/>
              </w:rPr>
            </w:pPr>
          </w:p>
        </w:tc>
        <w:tc>
          <w:tcPr>
            <w:tcW w:w="0" w:type="auto"/>
            <w:vAlign w:val="center"/>
            <w:hideMark/>
          </w:tcPr>
          <w:p w14:paraId="507F1D5D" w14:textId="77777777" w:rsidR="00000000" w:rsidRDefault="00195E73">
            <w:pPr>
              <w:rPr>
                <w:rFonts w:eastAsia="Times New Roman"/>
                <w:sz w:val="20"/>
                <w:szCs w:val="20"/>
              </w:rPr>
            </w:pPr>
          </w:p>
        </w:tc>
        <w:tc>
          <w:tcPr>
            <w:tcW w:w="0" w:type="auto"/>
            <w:vAlign w:val="center"/>
            <w:hideMark/>
          </w:tcPr>
          <w:p w14:paraId="3796552C" w14:textId="77777777" w:rsidR="00000000" w:rsidRDefault="00195E73">
            <w:pPr>
              <w:rPr>
                <w:rFonts w:eastAsia="Times New Roman"/>
                <w:sz w:val="20"/>
                <w:szCs w:val="20"/>
              </w:rPr>
            </w:pPr>
          </w:p>
        </w:tc>
        <w:tc>
          <w:tcPr>
            <w:tcW w:w="0" w:type="auto"/>
            <w:vAlign w:val="center"/>
            <w:hideMark/>
          </w:tcPr>
          <w:p w14:paraId="1D4E5167" w14:textId="77777777" w:rsidR="00000000" w:rsidRDefault="00195E73">
            <w:pPr>
              <w:rPr>
                <w:rFonts w:eastAsia="Times New Roman"/>
                <w:sz w:val="20"/>
                <w:szCs w:val="20"/>
              </w:rPr>
            </w:pPr>
          </w:p>
        </w:tc>
        <w:tc>
          <w:tcPr>
            <w:tcW w:w="0" w:type="auto"/>
            <w:vAlign w:val="center"/>
            <w:hideMark/>
          </w:tcPr>
          <w:p w14:paraId="60959CC8" w14:textId="77777777" w:rsidR="00000000" w:rsidRDefault="00195E73">
            <w:pPr>
              <w:rPr>
                <w:rFonts w:eastAsia="Times New Roman"/>
                <w:sz w:val="20"/>
                <w:szCs w:val="20"/>
              </w:rPr>
            </w:pPr>
          </w:p>
        </w:tc>
        <w:tc>
          <w:tcPr>
            <w:tcW w:w="0" w:type="auto"/>
            <w:vAlign w:val="center"/>
            <w:hideMark/>
          </w:tcPr>
          <w:p w14:paraId="66AC7F9E" w14:textId="77777777" w:rsidR="00000000" w:rsidRDefault="00195E73">
            <w:pPr>
              <w:rPr>
                <w:rFonts w:eastAsia="Times New Roman"/>
                <w:sz w:val="20"/>
                <w:szCs w:val="20"/>
              </w:rPr>
            </w:pPr>
          </w:p>
        </w:tc>
        <w:tc>
          <w:tcPr>
            <w:tcW w:w="0" w:type="auto"/>
            <w:vAlign w:val="center"/>
            <w:hideMark/>
          </w:tcPr>
          <w:p w14:paraId="02A8BDDF" w14:textId="77777777" w:rsidR="00000000" w:rsidRDefault="00195E73">
            <w:pPr>
              <w:rPr>
                <w:rFonts w:eastAsia="Times New Roman"/>
                <w:sz w:val="20"/>
                <w:szCs w:val="20"/>
              </w:rPr>
            </w:pPr>
          </w:p>
        </w:tc>
        <w:tc>
          <w:tcPr>
            <w:tcW w:w="0" w:type="auto"/>
            <w:vAlign w:val="center"/>
            <w:hideMark/>
          </w:tcPr>
          <w:p w14:paraId="1E88D5F3" w14:textId="77777777" w:rsidR="00000000" w:rsidRDefault="00195E73">
            <w:pPr>
              <w:rPr>
                <w:rFonts w:eastAsia="Times New Roman"/>
                <w:sz w:val="20"/>
                <w:szCs w:val="20"/>
              </w:rPr>
            </w:pPr>
          </w:p>
        </w:tc>
      </w:tr>
      <w:tr w:rsidR="00000000" w14:paraId="4009FFEE"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34D962EC" w14:textId="77777777" w:rsidR="00000000" w:rsidRDefault="00195E73">
            <w:pPr>
              <w:rPr>
                <w:rFonts w:eastAsia="Times New Roman"/>
              </w:rPr>
            </w:pPr>
            <w:r>
              <w:rPr>
                <w:rFonts w:eastAsia="Times New Roman"/>
                <w:color w:val="000000"/>
                <w:sz w:val="13"/>
                <w:szCs w:val="13"/>
              </w:rPr>
              <w:t>Net cash provided by financing activities from continuing operation</w:t>
            </w:r>
            <w:r>
              <w:rPr>
                <w:rFonts w:eastAsia="Times New Roman"/>
                <w:color w:val="000000"/>
                <w:sz w:val="13"/>
                <w:szCs w:val="13"/>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B4B87A" w14:textId="77777777" w:rsidR="00000000" w:rsidRDefault="00195E73">
            <w:pPr>
              <w:jc w:val="right"/>
              <w:rPr>
                <w:rFonts w:eastAsia="Times New Roman"/>
              </w:rPr>
            </w:pPr>
            <w:r>
              <w:rPr>
                <w:rFonts w:eastAsia="Times New Roman"/>
                <w:color w:val="000000"/>
                <w:sz w:val="13"/>
                <w:szCs w:val="13"/>
              </w:rPr>
              <w:t>566</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A15E86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7581873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2D33FB" w14:textId="77777777" w:rsidR="00000000" w:rsidRDefault="00195E73">
            <w:pPr>
              <w:jc w:val="right"/>
              <w:rPr>
                <w:rFonts w:eastAsia="Times New Roman"/>
              </w:rPr>
            </w:pPr>
            <w:r>
              <w:rPr>
                <w:rFonts w:eastAsia="Times New Roman"/>
                <w:color w:val="000000"/>
                <w:sz w:val="13"/>
                <w:szCs w:val="13"/>
              </w:rPr>
              <w:t>6</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22FE65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72A4A6B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9CB823" w14:textId="77777777" w:rsidR="00000000" w:rsidRDefault="00195E73">
            <w:pPr>
              <w:jc w:val="right"/>
              <w:rPr>
                <w:rFonts w:eastAsia="Times New Roman"/>
              </w:rPr>
            </w:pPr>
            <w:r>
              <w:rPr>
                <w:rFonts w:eastAsia="Times New Roman"/>
                <w:color w:val="000000"/>
                <w:sz w:val="13"/>
                <w:szCs w:val="13"/>
              </w:rPr>
              <w:t>630</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450E1B7"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0DF022DE" w14:textId="77777777" w:rsidR="00000000" w:rsidRDefault="00195E73">
            <w:pPr>
              <w:rPr>
                <w:rFonts w:eastAsia="Times New Roman"/>
                <w:sz w:val="20"/>
                <w:szCs w:val="20"/>
              </w:rPr>
            </w:pPr>
          </w:p>
        </w:tc>
        <w:tc>
          <w:tcPr>
            <w:tcW w:w="0" w:type="auto"/>
            <w:vAlign w:val="center"/>
            <w:hideMark/>
          </w:tcPr>
          <w:p w14:paraId="50765C04" w14:textId="77777777" w:rsidR="00000000" w:rsidRDefault="00195E73">
            <w:pPr>
              <w:rPr>
                <w:rFonts w:eastAsia="Times New Roman"/>
                <w:sz w:val="20"/>
                <w:szCs w:val="20"/>
              </w:rPr>
            </w:pPr>
          </w:p>
        </w:tc>
        <w:tc>
          <w:tcPr>
            <w:tcW w:w="0" w:type="auto"/>
            <w:vAlign w:val="center"/>
            <w:hideMark/>
          </w:tcPr>
          <w:p w14:paraId="67B4D639" w14:textId="77777777" w:rsidR="00000000" w:rsidRDefault="00195E73">
            <w:pPr>
              <w:rPr>
                <w:rFonts w:eastAsia="Times New Roman"/>
                <w:sz w:val="20"/>
                <w:szCs w:val="20"/>
              </w:rPr>
            </w:pPr>
          </w:p>
        </w:tc>
        <w:tc>
          <w:tcPr>
            <w:tcW w:w="0" w:type="auto"/>
            <w:vAlign w:val="center"/>
            <w:hideMark/>
          </w:tcPr>
          <w:p w14:paraId="1F8B4192" w14:textId="77777777" w:rsidR="00000000" w:rsidRDefault="00195E73">
            <w:pPr>
              <w:rPr>
                <w:rFonts w:eastAsia="Times New Roman"/>
                <w:sz w:val="20"/>
                <w:szCs w:val="20"/>
              </w:rPr>
            </w:pPr>
          </w:p>
        </w:tc>
        <w:tc>
          <w:tcPr>
            <w:tcW w:w="0" w:type="auto"/>
            <w:vAlign w:val="center"/>
            <w:hideMark/>
          </w:tcPr>
          <w:p w14:paraId="3C5F30FE" w14:textId="77777777" w:rsidR="00000000" w:rsidRDefault="00195E73">
            <w:pPr>
              <w:rPr>
                <w:rFonts w:eastAsia="Times New Roman"/>
                <w:sz w:val="20"/>
                <w:szCs w:val="20"/>
              </w:rPr>
            </w:pPr>
          </w:p>
        </w:tc>
        <w:tc>
          <w:tcPr>
            <w:tcW w:w="0" w:type="auto"/>
            <w:vAlign w:val="center"/>
            <w:hideMark/>
          </w:tcPr>
          <w:p w14:paraId="2AE74788" w14:textId="77777777" w:rsidR="00000000" w:rsidRDefault="00195E73">
            <w:pPr>
              <w:rPr>
                <w:rFonts w:eastAsia="Times New Roman"/>
                <w:sz w:val="20"/>
                <w:szCs w:val="20"/>
              </w:rPr>
            </w:pPr>
          </w:p>
        </w:tc>
        <w:tc>
          <w:tcPr>
            <w:tcW w:w="0" w:type="auto"/>
            <w:vAlign w:val="center"/>
            <w:hideMark/>
          </w:tcPr>
          <w:p w14:paraId="05AFFC49" w14:textId="77777777" w:rsidR="00000000" w:rsidRDefault="00195E73">
            <w:pPr>
              <w:rPr>
                <w:rFonts w:eastAsia="Times New Roman"/>
                <w:sz w:val="20"/>
                <w:szCs w:val="20"/>
              </w:rPr>
            </w:pPr>
          </w:p>
        </w:tc>
        <w:tc>
          <w:tcPr>
            <w:tcW w:w="0" w:type="auto"/>
            <w:vAlign w:val="center"/>
            <w:hideMark/>
          </w:tcPr>
          <w:p w14:paraId="4B6E21C2" w14:textId="77777777" w:rsidR="00000000" w:rsidRDefault="00195E73">
            <w:pPr>
              <w:rPr>
                <w:rFonts w:eastAsia="Times New Roman"/>
                <w:sz w:val="20"/>
                <w:szCs w:val="20"/>
              </w:rPr>
            </w:pPr>
          </w:p>
        </w:tc>
        <w:tc>
          <w:tcPr>
            <w:tcW w:w="0" w:type="auto"/>
            <w:vAlign w:val="center"/>
            <w:hideMark/>
          </w:tcPr>
          <w:p w14:paraId="5B11F3E1" w14:textId="77777777" w:rsidR="00000000" w:rsidRDefault="00195E73">
            <w:pPr>
              <w:rPr>
                <w:rFonts w:eastAsia="Times New Roman"/>
                <w:sz w:val="20"/>
                <w:szCs w:val="20"/>
              </w:rPr>
            </w:pPr>
          </w:p>
        </w:tc>
        <w:tc>
          <w:tcPr>
            <w:tcW w:w="0" w:type="auto"/>
            <w:vAlign w:val="center"/>
            <w:hideMark/>
          </w:tcPr>
          <w:p w14:paraId="5AC5E7DD" w14:textId="77777777" w:rsidR="00000000" w:rsidRDefault="00195E73">
            <w:pPr>
              <w:rPr>
                <w:rFonts w:eastAsia="Times New Roman"/>
                <w:sz w:val="20"/>
                <w:szCs w:val="20"/>
              </w:rPr>
            </w:pPr>
          </w:p>
        </w:tc>
        <w:tc>
          <w:tcPr>
            <w:tcW w:w="0" w:type="auto"/>
            <w:vAlign w:val="center"/>
            <w:hideMark/>
          </w:tcPr>
          <w:p w14:paraId="755CDD0D" w14:textId="77777777" w:rsidR="00000000" w:rsidRDefault="00195E73">
            <w:pPr>
              <w:rPr>
                <w:rFonts w:eastAsia="Times New Roman"/>
                <w:sz w:val="20"/>
                <w:szCs w:val="20"/>
              </w:rPr>
            </w:pPr>
          </w:p>
        </w:tc>
        <w:tc>
          <w:tcPr>
            <w:tcW w:w="0" w:type="auto"/>
            <w:vAlign w:val="center"/>
            <w:hideMark/>
          </w:tcPr>
          <w:p w14:paraId="06993EC7" w14:textId="77777777" w:rsidR="00000000" w:rsidRDefault="00195E73">
            <w:pPr>
              <w:rPr>
                <w:rFonts w:eastAsia="Times New Roman"/>
                <w:sz w:val="20"/>
                <w:szCs w:val="20"/>
              </w:rPr>
            </w:pPr>
          </w:p>
        </w:tc>
      </w:tr>
      <w:tr w:rsidR="00000000" w14:paraId="190DA6C3"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5AAC2AAC" w14:textId="77777777" w:rsidR="00000000" w:rsidRDefault="00195E73">
            <w:pPr>
              <w:rPr>
                <w:rFonts w:eastAsia="Times New Roman"/>
              </w:rPr>
            </w:pPr>
            <w:r>
              <w:rPr>
                <w:rFonts w:eastAsia="Times New Roman"/>
                <w:color w:val="000000"/>
                <w:sz w:val="13"/>
                <w:szCs w:val="13"/>
              </w:rPr>
              <w:t>Net cash used in financing activities from discontinued operation</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19EDE0D4"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55D6DE6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2F1F413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163B2A" w14:textId="77777777" w:rsidR="00000000" w:rsidRDefault="00195E73">
            <w:pPr>
              <w:jc w:val="right"/>
              <w:rPr>
                <w:rFonts w:eastAsia="Times New Roman"/>
              </w:rPr>
            </w:pPr>
            <w:r>
              <w:rPr>
                <w:rFonts w:eastAsia="Times New Roman"/>
                <w:color w:val="000000"/>
                <w:sz w:val="13"/>
                <w:szCs w:val="13"/>
              </w:rPr>
              <w:t>(163</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38E8A615"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503835B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718F44" w14:textId="77777777" w:rsidR="00000000" w:rsidRDefault="00195E73">
            <w:pPr>
              <w:jc w:val="right"/>
              <w:rPr>
                <w:rFonts w:eastAsia="Times New Roman"/>
              </w:rPr>
            </w:pPr>
            <w:r>
              <w:rPr>
                <w:rFonts w:eastAsia="Times New Roman"/>
                <w:color w:val="000000"/>
                <w:sz w:val="13"/>
                <w:szCs w:val="13"/>
              </w:rPr>
              <w:t>(261</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7A91D8C0"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48352EAB" w14:textId="77777777" w:rsidR="00000000" w:rsidRDefault="00195E73">
            <w:pPr>
              <w:rPr>
                <w:rFonts w:eastAsia="Times New Roman"/>
                <w:sz w:val="20"/>
                <w:szCs w:val="20"/>
              </w:rPr>
            </w:pPr>
          </w:p>
        </w:tc>
        <w:tc>
          <w:tcPr>
            <w:tcW w:w="0" w:type="auto"/>
            <w:vAlign w:val="center"/>
            <w:hideMark/>
          </w:tcPr>
          <w:p w14:paraId="3B4C25C5" w14:textId="77777777" w:rsidR="00000000" w:rsidRDefault="00195E73">
            <w:pPr>
              <w:rPr>
                <w:rFonts w:eastAsia="Times New Roman"/>
                <w:sz w:val="20"/>
                <w:szCs w:val="20"/>
              </w:rPr>
            </w:pPr>
          </w:p>
        </w:tc>
        <w:tc>
          <w:tcPr>
            <w:tcW w:w="0" w:type="auto"/>
            <w:vAlign w:val="center"/>
            <w:hideMark/>
          </w:tcPr>
          <w:p w14:paraId="7351D3A0" w14:textId="77777777" w:rsidR="00000000" w:rsidRDefault="00195E73">
            <w:pPr>
              <w:rPr>
                <w:rFonts w:eastAsia="Times New Roman"/>
                <w:sz w:val="20"/>
                <w:szCs w:val="20"/>
              </w:rPr>
            </w:pPr>
          </w:p>
        </w:tc>
        <w:tc>
          <w:tcPr>
            <w:tcW w:w="0" w:type="auto"/>
            <w:vAlign w:val="center"/>
            <w:hideMark/>
          </w:tcPr>
          <w:p w14:paraId="253091E5" w14:textId="77777777" w:rsidR="00000000" w:rsidRDefault="00195E73">
            <w:pPr>
              <w:rPr>
                <w:rFonts w:eastAsia="Times New Roman"/>
                <w:sz w:val="20"/>
                <w:szCs w:val="20"/>
              </w:rPr>
            </w:pPr>
          </w:p>
        </w:tc>
        <w:tc>
          <w:tcPr>
            <w:tcW w:w="0" w:type="auto"/>
            <w:vAlign w:val="center"/>
            <w:hideMark/>
          </w:tcPr>
          <w:p w14:paraId="5359BFE7" w14:textId="77777777" w:rsidR="00000000" w:rsidRDefault="00195E73">
            <w:pPr>
              <w:rPr>
                <w:rFonts w:eastAsia="Times New Roman"/>
                <w:sz w:val="20"/>
                <w:szCs w:val="20"/>
              </w:rPr>
            </w:pPr>
          </w:p>
        </w:tc>
        <w:tc>
          <w:tcPr>
            <w:tcW w:w="0" w:type="auto"/>
            <w:vAlign w:val="center"/>
            <w:hideMark/>
          </w:tcPr>
          <w:p w14:paraId="3523E639" w14:textId="77777777" w:rsidR="00000000" w:rsidRDefault="00195E73">
            <w:pPr>
              <w:rPr>
                <w:rFonts w:eastAsia="Times New Roman"/>
                <w:sz w:val="20"/>
                <w:szCs w:val="20"/>
              </w:rPr>
            </w:pPr>
          </w:p>
        </w:tc>
        <w:tc>
          <w:tcPr>
            <w:tcW w:w="0" w:type="auto"/>
            <w:vAlign w:val="center"/>
            <w:hideMark/>
          </w:tcPr>
          <w:p w14:paraId="3D43E25D" w14:textId="77777777" w:rsidR="00000000" w:rsidRDefault="00195E73">
            <w:pPr>
              <w:rPr>
                <w:rFonts w:eastAsia="Times New Roman"/>
                <w:sz w:val="20"/>
                <w:szCs w:val="20"/>
              </w:rPr>
            </w:pPr>
          </w:p>
        </w:tc>
        <w:tc>
          <w:tcPr>
            <w:tcW w:w="0" w:type="auto"/>
            <w:vAlign w:val="center"/>
            <w:hideMark/>
          </w:tcPr>
          <w:p w14:paraId="704FD277" w14:textId="77777777" w:rsidR="00000000" w:rsidRDefault="00195E73">
            <w:pPr>
              <w:rPr>
                <w:rFonts w:eastAsia="Times New Roman"/>
                <w:sz w:val="20"/>
                <w:szCs w:val="20"/>
              </w:rPr>
            </w:pPr>
          </w:p>
        </w:tc>
        <w:tc>
          <w:tcPr>
            <w:tcW w:w="0" w:type="auto"/>
            <w:vAlign w:val="center"/>
            <w:hideMark/>
          </w:tcPr>
          <w:p w14:paraId="414A006A" w14:textId="77777777" w:rsidR="00000000" w:rsidRDefault="00195E73">
            <w:pPr>
              <w:rPr>
                <w:rFonts w:eastAsia="Times New Roman"/>
                <w:sz w:val="20"/>
                <w:szCs w:val="20"/>
              </w:rPr>
            </w:pPr>
          </w:p>
        </w:tc>
        <w:tc>
          <w:tcPr>
            <w:tcW w:w="0" w:type="auto"/>
            <w:vAlign w:val="center"/>
            <w:hideMark/>
          </w:tcPr>
          <w:p w14:paraId="4EFEAC9C" w14:textId="77777777" w:rsidR="00000000" w:rsidRDefault="00195E73">
            <w:pPr>
              <w:rPr>
                <w:rFonts w:eastAsia="Times New Roman"/>
                <w:sz w:val="20"/>
                <w:szCs w:val="20"/>
              </w:rPr>
            </w:pPr>
          </w:p>
        </w:tc>
        <w:tc>
          <w:tcPr>
            <w:tcW w:w="0" w:type="auto"/>
            <w:vAlign w:val="center"/>
            <w:hideMark/>
          </w:tcPr>
          <w:p w14:paraId="1B30CF2A" w14:textId="77777777" w:rsidR="00000000" w:rsidRDefault="00195E73">
            <w:pPr>
              <w:rPr>
                <w:rFonts w:eastAsia="Times New Roman"/>
                <w:sz w:val="20"/>
                <w:szCs w:val="20"/>
              </w:rPr>
            </w:pPr>
          </w:p>
        </w:tc>
        <w:tc>
          <w:tcPr>
            <w:tcW w:w="0" w:type="auto"/>
            <w:vAlign w:val="center"/>
            <w:hideMark/>
          </w:tcPr>
          <w:p w14:paraId="3A8846B7" w14:textId="77777777" w:rsidR="00000000" w:rsidRDefault="00195E73">
            <w:pPr>
              <w:rPr>
                <w:rFonts w:eastAsia="Times New Roman"/>
                <w:sz w:val="20"/>
                <w:szCs w:val="20"/>
              </w:rPr>
            </w:pPr>
          </w:p>
        </w:tc>
      </w:tr>
      <w:tr w:rsidR="00000000" w14:paraId="715D3783"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3BC336DF" w14:textId="77777777" w:rsidR="00000000" w:rsidRDefault="00195E73">
            <w:pPr>
              <w:rPr>
                <w:rFonts w:eastAsia="Times New Roman"/>
              </w:rPr>
            </w:pPr>
            <w:r>
              <w:rPr>
                <w:rFonts w:eastAsia="Times New Roman"/>
                <w:b/>
                <w:bCs/>
                <w:color w:val="000000"/>
                <w:sz w:val="13"/>
                <w:szCs w:val="13"/>
              </w:rPr>
              <w:t>Net cash provided by (used in) financing activitie</w:t>
            </w:r>
            <w:r>
              <w:rPr>
                <w:rFonts w:eastAsia="Times New Roman"/>
                <w:b/>
                <w:bCs/>
                <w:color w:val="000000"/>
                <w:sz w:val="13"/>
                <w:szCs w:val="13"/>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1CCD0C" w14:textId="77777777" w:rsidR="00000000" w:rsidRDefault="00195E73">
            <w:pPr>
              <w:jc w:val="right"/>
              <w:rPr>
                <w:rFonts w:eastAsia="Times New Roman"/>
              </w:rPr>
            </w:pPr>
            <w:r>
              <w:rPr>
                <w:rFonts w:eastAsia="Times New Roman"/>
                <w:color w:val="000000"/>
                <w:sz w:val="13"/>
                <w:szCs w:val="13"/>
              </w:rPr>
              <w:t>566</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AF31C8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B993DD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E6CEDA" w14:textId="77777777" w:rsidR="00000000" w:rsidRDefault="00195E73">
            <w:pPr>
              <w:jc w:val="right"/>
              <w:rPr>
                <w:rFonts w:eastAsia="Times New Roman"/>
              </w:rPr>
            </w:pPr>
            <w:r>
              <w:rPr>
                <w:rFonts w:eastAsia="Times New Roman"/>
                <w:color w:val="000000"/>
                <w:sz w:val="13"/>
                <w:szCs w:val="13"/>
              </w:rPr>
              <w:t>(157</w:t>
            </w:r>
            <w:r>
              <w:rPr>
                <w:rFonts w:eastAsia="Times New Roman"/>
                <w:color w:val="000000"/>
                <w:sz w:val="13"/>
                <w:szCs w:val="13"/>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19A684C"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5BA0030D"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A1E297" w14:textId="77777777" w:rsidR="00000000" w:rsidRDefault="00195E73">
            <w:pPr>
              <w:jc w:val="right"/>
              <w:rPr>
                <w:rFonts w:eastAsia="Times New Roman"/>
              </w:rPr>
            </w:pPr>
            <w:r>
              <w:rPr>
                <w:rFonts w:eastAsia="Times New Roman"/>
                <w:color w:val="000000"/>
                <w:sz w:val="13"/>
                <w:szCs w:val="13"/>
              </w:rPr>
              <w:t>369</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17E7EAA"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1CCE285C" w14:textId="77777777" w:rsidR="00000000" w:rsidRDefault="00195E73">
            <w:pPr>
              <w:rPr>
                <w:rFonts w:eastAsia="Times New Roman"/>
                <w:sz w:val="20"/>
                <w:szCs w:val="20"/>
              </w:rPr>
            </w:pPr>
          </w:p>
        </w:tc>
        <w:tc>
          <w:tcPr>
            <w:tcW w:w="0" w:type="auto"/>
            <w:vAlign w:val="center"/>
            <w:hideMark/>
          </w:tcPr>
          <w:p w14:paraId="2BEF1AC7" w14:textId="77777777" w:rsidR="00000000" w:rsidRDefault="00195E73">
            <w:pPr>
              <w:rPr>
                <w:rFonts w:eastAsia="Times New Roman"/>
                <w:sz w:val="20"/>
                <w:szCs w:val="20"/>
              </w:rPr>
            </w:pPr>
          </w:p>
        </w:tc>
        <w:tc>
          <w:tcPr>
            <w:tcW w:w="0" w:type="auto"/>
            <w:vAlign w:val="center"/>
            <w:hideMark/>
          </w:tcPr>
          <w:p w14:paraId="0EE31777" w14:textId="77777777" w:rsidR="00000000" w:rsidRDefault="00195E73">
            <w:pPr>
              <w:rPr>
                <w:rFonts w:eastAsia="Times New Roman"/>
                <w:sz w:val="20"/>
                <w:szCs w:val="20"/>
              </w:rPr>
            </w:pPr>
          </w:p>
        </w:tc>
        <w:tc>
          <w:tcPr>
            <w:tcW w:w="0" w:type="auto"/>
            <w:vAlign w:val="center"/>
            <w:hideMark/>
          </w:tcPr>
          <w:p w14:paraId="3907FB89" w14:textId="77777777" w:rsidR="00000000" w:rsidRDefault="00195E73">
            <w:pPr>
              <w:rPr>
                <w:rFonts w:eastAsia="Times New Roman"/>
                <w:sz w:val="20"/>
                <w:szCs w:val="20"/>
              </w:rPr>
            </w:pPr>
          </w:p>
        </w:tc>
        <w:tc>
          <w:tcPr>
            <w:tcW w:w="0" w:type="auto"/>
            <w:vAlign w:val="center"/>
            <w:hideMark/>
          </w:tcPr>
          <w:p w14:paraId="02497F4E" w14:textId="77777777" w:rsidR="00000000" w:rsidRDefault="00195E73">
            <w:pPr>
              <w:rPr>
                <w:rFonts w:eastAsia="Times New Roman"/>
                <w:sz w:val="20"/>
                <w:szCs w:val="20"/>
              </w:rPr>
            </w:pPr>
          </w:p>
        </w:tc>
        <w:tc>
          <w:tcPr>
            <w:tcW w:w="0" w:type="auto"/>
            <w:vAlign w:val="center"/>
            <w:hideMark/>
          </w:tcPr>
          <w:p w14:paraId="58A58038" w14:textId="77777777" w:rsidR="00000000" w:rsidRDefault="00195E73">
            <w:pPr>
              <w:rPr>
                <w:rFonts w:eastAsia="Times New Roman"/>
                <w:sz w:val="20"/>
                <w:szCs w:val="20"/>
              </w:rPr>
            </w:pPr>
          </w:p>
        </w:tc>
        <w:tc>
          <w:tcPr>
            <w:tcW w:w="0" w:type="auto"/>
            <w:vAlign w:val="center"/>
            <w:hideMark/>
          </w:tcPr>
          <w:p w14:paraId="6034B69E" w14:textId="77777777" w:rsidR="00000000" w:rsidRDefault="00195E73">
            <w:pPr>
              <w:rPr>
                <w:rFonts w:eastAsia="Times New Roman"/>
                <w:sz w:val="20"/>
                <w:szCs w:val="20"/>
              </w:rPr>
            </w:pPr>
          </w:p>
        </w:tc>
        <w:tc>
          <w:tcPr>
            <w:tcW w:w="0" w:type="auto"/>
            <w:vAlign w:val="center"/>
            <w:hideMark/>
          </w:tcPr>
          <w:p w14:paraId="614EA6CF" w14:textId="77777777" w:rsidR="00000000" w:rsidRDefault="00195E73">
            <w:pPr>
              <w:rPr>
                <w:rFonts w:eastAsia="Times New Roman"/>
                <w:sz w:val="20"/>
                <w:szCs w:val="20"/>
              </w:rPr>
            </w:pPr>
          </w:p>
        </w:tc>
        <w:tc>
          <w:tcPr>
            <w:tcW w:w="0" w:type="auto"/>
            <w:vAlign w:val="center"/>
            <w:hideMark/>
          </w:tcPr>
          <w:p w14:paraId="2162441E" w14:textId="77777777" w:rsidR="00000000" w:rsidRDefault="00195E73">
            <w:pPr>
              <w:rPr>
                <w:rFonts w:eastAsia="Times New Roman"/>
                <w:sz w:val="20"/>
                <w:szCs w:val="20"/>
              </w:rPr>
            </w:pPr>
          </w:p>
        </w:tc>
        <w:tc>
          <w:tcPr>
            <w:tcW w:w="0" w:type="auto"/>
            <w:vAlign w:val="center"/>
            <w:hideMark/>
          </w:tcPr>
          <w:p w14:paraId="51DC0279" w14:textId="77777777" w:rsidR="00000000" w:rsidRDefault="00195E73">
            <w:pPr>
              <w:rPr>
                <w:rFonts w:eastAsia="Times New Roman"/>
                <w:sz w:val="20"/>
                <w:szCs w:val="20"/>
              </w:rPr>
            </w:pPr>
          </w:p>
        </w:tc>
        <w:tc>
          <w:tcPr>
            <w:tcW w:w="0" w:type="auto"/>
            <w:vAlign w:val="center"/>
            <w:hideMark/>
          </w:tcPr>
          <w:p w14:paraId="0057B20E" w14:textId="77777777" w:rsidR="00000000" w:rsidRDefault="00195E73">
            <w:pPr>
              <w:rPr>
                <w:rFonts w:eastAsia="Times New Roman"/>
                <w:sz w:val="20"/>
                <w:szCs w:val="20"/>
              </w:rPr>
            </w:pPr>
          </w:p>
        </w:tc>
        <w:tc>
          <w:tcPr>
            <w:tcW w:w="0" w:type="auto"/>
            <w:vAlign w:val="center"/>
            <w:hideMark/>
          </w:tcPr>
          <w:p w14:paraId="3F566B3F" w14:textId="77777777" w:rsidR="00000000" w:rsidRDefault="00195E73">
            <w:pPr>
              <w:rPr>
                <w:rFonts w:eastAsia="Times New Roman"/>
                <w:sz w:val="20"/>
                <w:szCs w:val="20"/>
              </w:rPr>
            </w:pPr>
          </w:p>
        </w:tc>
      </w:tr>
      <w:tr w:rsidR="00000000" w14:paraId="77A94DC0"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20278CD6" w14:textId="77777777" w:rsidR="00000000" w:rsidRDefault="00195E73">
            <w:pPr>
              <w:ind w:hanging="180"/>
              <w:divId w:val="183439742"/>
              <w:rPr>
                <w:rFonts w:eastAsia="Times New Roman"/>
              </w:rPr>
            </w:pPr>
            <w:r>
              <w:rPr>
                <w:rFonts w:eastAsia="Times New Roman"/>
                <w:color w:val="000000"/>
                <w:sz w:val="13"/>
                <w:szCs w:val="13"/>
              </w:rPr>
              <w:t>Effect of exchange rate changes on cash and cash equivalents and restricted cash and restricted cash equivalent</w:t>
            </w:r>
            <w:r>
              <w:rPr>
                <w:rFonts w:eastAsia="Times New Roman"/>
                <w:color w:val="000000"/>
                <w:sz w:val="13"/>
                <w:szCs w:val="13"/>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52A51E" w14:textId="77777777" w:rsidR="00000000" w:rsidRDefault="00195E73">
            <w:pPr>
              <w:jc w:val="right"/>
              <w:rPr>
                <w:rFonts w:eastAsia="Times New Roman"/>
              </w:rPr>
            </w:pPr>
            <w:r>
              <w:rPr>
                <w:rFonts w:eastAsia="Times New Roman"/>
                <w:color w:val="000000"/>
                <w:sz w:val="13"/>
                <w:szCs w:val="13"/>
              </w:rPr>
              <w:t>(2</w:t>
            </w:r>
            <w:r>
              <w:rPr>
                <w:rFonts w:eastAsia="Times New Roman"/>
                <w:color w:val="000000"/>
                <w:sz w:val="13"/>
                <w:szCs w:val="13"/>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5952C4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46D0FC28"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666C3D" w14:textId="77777777" w:rsidR="00000000" w:rsidRDefault="00195E73">
            <w:pPr>
              <w:jc w:val="right"/>
              <w:rPr>
                <w:rFonts w:eastAsia="Times New Roman"/>
              </w:rPr>
            </w:pPr>
            <w:r>
              <w:rPr>
                <w:rFonts w:eastAsia="Times New Roman"/>
                <w:color w:val="000000"/>
                <w:sz w:val="13"/>
                <w:szCs w:val="13"/>
              </w:rPr>
              <w:t>(7</w:t>
            </w:r>
            <w:r>
              <w:rPr>
                <w:rFonts w:eastAsia="Times New Roman"/>
                <w:color w:val="000000"/>
                <w:sz w:val="13"/>
                <w:szCs w:val="13"/>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653349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115ECF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314EC0" w14:textId="77777777" w:rsidR="00000000" w:rsidRDefault="00195E73">
            <w:pPr>
              <w:jc w:val="right"/>
              <w:rPr>
                <w:rFonts w:eastAsia="Times New Roman"/>
              </w:rPr>
            </w:pPr>
            <w:r>
              <w:rPr>
                <w:rFonts w:eastAsia="Times New Roman"/>
                <w:color w:val="000000"/>
                <w:sz w:val="13"/>
                <w:szCs w:val="13"/>
              </w:rPr>
              <w:t>3</w:t>
            </w:r>
            <w:r>
              <w:rPr>
                <w:rFonts w:eastAsia="Times New Roman"/>
                <w:color w:val="000000"/>
                <w:sz w:val="13"/>
                <w:szCs w:val="13"/>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BA6CEFF"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49601621" w14:textId="77777777" w:rsidR="00000000" w:rsidRDefault="00195E73">
            <w:pPr>
              <w:rPr>
                <w:rFonts w:eastAsia="Times New Roman"/>
                <w:sz w:val="20"/>
                <w:szCs w:val="20"/>
              </w:rPr>
            </w:pPr>
          </w:p>
        </w:tc>
        <w:tc>
          <w:tcPr>
            <w:tcW w:w="0" w:type="auto"/>
            <w:vAlign w:val="center"/>
            <w:hideMark/>
          </w:tcPr>
          <w:p w14:paraId="063DD5D2" w14:textId="77777777" w:rsidR="00000000" w:rsidRDefault="00195E73">
            <w:pPr>
              <w:rPr>
                <w:rFonts w:eastAsia="Times New Roman"/>
                <w:sz w:val="20"/>
                <w:szCs w:val="20"/>
              </w:rPr>
            </w:pPr>
          </w:p>
        </w:tc>
        <w:tc>
          <w:tcPr>
            <w:tcW w:w="0" w:type="auto"/>
            <w:vAlign w:val="center"/>
            <w:hideMark/>
          </w:tcPr>
          <w:p w14:paraId="0D408700" w14:textId="77777777" w:rsidR="00000000" w:rsidRDefault="00195E73">
            <w:pPr>
              <w:rPr>
                <w:rFonts w:eastAsia="Times New Roman"/>
                <w:sz w:val="20"/>
                <w:szCs w:val="20"/>
              </w:rPr>
            </w:pPr>
          </w:p>
        </w:tc>
        <w:tc>
          <w:tcPr>
            <w:tcW w:w="0" w:type="auto"/>
            <w:vAlign w:val="center"/>
            <w:hideMark/>
          </w:tcPr>
          <w:p w14:paraId="7F87B6D4" w14:textId="77777777" w:rsidR="00000000" w:rsidRDefault="00195E73">
            <w:pPr>
              <w:rPr>
                <w:rFonts w:eastAsia="Times New Roman"/>
                <w:sz w:val="20"/>
                <w:szCs w:val="20"/>
              </w:rPr>
            </w:pPr>
          </w:p>
        </w:tc>
        <w:tc>
          <w:tcPr>
            <w:tcW w:w="0" w:type="auto"/>
            <w:vAlign w:val="center"/>
            <w:hideMark/>
          </w:tcPr>
          <w:p w14:paraId="147DED30" w14:textId="77777777" w:rsidR="00000000" w:rsidRDefault="00195E73">
            <w:pPr>
              <w:rPr>
                <w:rFonts w:eastAsia="Times New Roman"/>
                <w:sz w:val="20"/>
                <w:szCs w:val="20"/>
              </w:rPr>
            </w:pPr>
          </w:p>
        </w:tc>
        <w:tc>
          <w:tcPr>
            <w:tcW w:w="0" w:type="auto"/>
            <w:vAlign w:val="center"/>
            <w:hideMark/>
          </w:tcPr>
          <w:p w14:paraId="3E00FBD1" w14:textId="77777777" w:rsidR="00000000" w:rsidRDefault="00195E73">
            <w:pPr>
              <w:rPr>
                <w:rFonts w:eastAsia="Times New Roman"/>
                <w:sz w:val="20"/>
                <w:szCs w:val="20"/>
              </w:rPr>
            </w:pPr>
          </w:p>
        </w:tc>
        <w:tc>
          <w:tcPr>
            <w:tcW w:w="0" w:type="auto"/>
            <w:vAlign w:val="center"/>
            <w:hideMark/>
          </w:tcPr>
          <w:p w14:paraId="46C94F4D" w14:textId="77777777" w:rsidR="00000000" w:rsidRDefault="00195E73">
            <w:pPr>
              <w:rPr>
                <w:rFonts w:eastAsia="Times New Roman"/>
                <w:sz w:val="20"/>
                <w:szCs w:val="20"/>
              </w:rPr>
            </w:pPr>
          </w:p>
        </w:tc>
        <w:tc>
          <w:tcPr>
            <w:tcW w:w="0" w:type="auto"/>
            <w:vAlign w:val="center"/>
            <w:hideMark/>
          </w:tcPr>
          <w:p w14:paraId="33F416AA" w14:textId="77777777" w:rsidR="00000000" w:rsidRDefault="00195E73">
            <w:pPr>
              <w:rPr>
                <w:rFonts w:eastAsia="Times New Roman"/>
                <w:sz w:val="20"/>
                <w:szCs w:val="20"/>
              </w:rPr>
            </w:pPr>
          </w:p>
        </w:tc>
        <w:tc>
          <w:tcPr>
            <w:tcW w:w="0" w:type="auto"/>
            <w:vAlign w:val="center"/>
            <w:hideMark/>
          </w:tcPr>
          <w:p w14:paraId="36163B7E" w14:textId="77777777" w:rsidR="00000000" w:rsidRDefault="00195E73">
            <w:pPr>
              <w:rPr>
                <w:rFonts w:eastAsia="Times New Roman"/>
                <w:sz w:val="20"/>
                <w:szCs w:val="20"/>
              </w:rPr>
            </w:pPr>
          </w:p>
        </w:tc>
        <w:tc>
          <w:tcPr>
            <w:tcW w:w="0" w:type="auto"/>
            <w:vAlign w:val="center"/>
            <w:hideMark/>
          </w:tcPr>
          <w:p w14:paraId="0DF53269" w14:textId="77777777" w:rsidR="00000000" w:rsidRDefault="00195E73">
            <w:pPr>
              <w:rPr>
                <w:rFonts w:eastAsia="Times New Roman"/>
                <w:sz w:val="20"/>
                <w:szCs w:val="20"/>
              </w:rPr>
            </w:pPr>
          </w:p>
        </w:tc>
        <w:tc>
          <w:tcPr>
            <w:tcW w:w="0" w:type="auto"/>
            <w:vAlign w:val="center"/>
            <w:hideMark/>
          </w:tcPr>
          <w:p w14:paraId="129B8D43" w14:textId="77777777" w:rsidR="00000000" w:rsidRDefault="00195E73">
            <w:pPr>
              <w:rPr>
                <w:rFonts w:eastAsia="Times New Roman"/>
                <w:sz w:val="20"/>
                <w:szCs w:val="20"/>
              </w:rPr>
            </w:pPr>
          </w:p>
        </w:tc>
        <w:tc>
          <w:tcPr>
            <w:tcW w:w="0" w:type="auto"/>
            <w:vAlign w:val="center"/>
            <w:hideMark/>
          </w:tcPr>
          <w:p w14:paraId="7486EFC5" w14:textId="77777777" w:rsidR="00000000" w:rsidRDefault="00195E73">
            <w:pPr>
              <w:rPr>
                <w:rFonts w:eastAsia="Times New Roman"/>
                <w:sz w:val="20"/>
                <w:szCs w:val="20"/>
              </w:rPr>
            </w:pPr>
          </w:p>
        </w:tc>
      </w:tr>
      <w:tr w:rsidR="00000000" w14:paraId="528DBADC"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3518C240" w14:textId="77777777" w:rsidR="00000000" w:rsidRDefault="00195E73">
            <w:pPr>
              <w:rPr>
                <w:rFonts w:eastAsia="Times New Roman"/>
              </w:rPr>
            </w:pPr>
            <w:r>
              <w:rPr>
                <w:rFonts w:eastAsia="Times New Roman"/>
                <w:color w:val="000000"/>
                <w:sz w:val="13"/>
                <w:szCs w:val="13"/>
              </w:rPr>
              <w:t>Add back change in cash and restricted cash of assets held for sal</w:t>
            </w:r>
            <w:r>
              <w:rPr>
                <w:rFonts w:eastAsia="Times New Roman"/>
                <w:color w:val="000000"/>
                <w:sz w:val="13"/>
                <w:szCs w:val="13"/>
              </w:rPr>
              <w:t>e</w:t>
            </w:r>
          </w:p>
        </w:tc>
        <w:tc>
          <w:tcPr>
            <w:tcW w:w="0" w:type="auto"/>
            <w:gridSpan w:val="2"/>
            <w:shd w:val="clear" w:color="auto" w:fill="FFFFFF"/>
            <w:tcMar>
              <w:top w:w="30" w:type="dxa"/>
              <w:left w:w="20" w:type="dxa"/>
              <w:bottom w:w="30" w:type="dxa"/>
              <w:right w:w="0" w:type="dxa"/>
            </w:tcMar>
            <w:vAlign w:val="bottom"/>
            <w:hideMark/>
          </w:tcPr>
          <w:p w14:paraId="11E0E2B3" w14:textId="77777777" w:rsidR="00000000" w:rsidRDefault="00195E73">
            <w:pPr>
              <w:jc w:val="right"/>
              <w:rPr>
                <w:rFonts w:eastAsia="Times New Roman"/>
              </w:rPr>
            </w:pPr>
            <w:r>
              <w:rPr>
                <w:rFonts w:eastAsia="Times New Roman"/>
                <w:color w:val="000000"/>
                <w:sz w:val="13"/>
                <w:szCs w:val="13"/>
              </w:rPr>
              <w:t>(83</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7B65B18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757C92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CDB46A" w14:textId="77777777" w:rsidR="00000000" w:rsidRDefault="00195E73">
            <w:pPr>
              <w:jc w:val="right"/>
              <w:rPr>
                <w:rFonts w:eastAsia="Times New Roman"/>
              </w:rPr>
            </w:pPr>
            <w:r>
              <w:rPr>
                <w:rFonts w:eastAsia="Times New Roman"/>
                <w:color w:val="000000"/>
                <w:sz w:val="13"/>
                <w:szCs w:val="13"/>
              </w:rPr>
              <w:t>81</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678F2404"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7965A1A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F7EC65" w14:textId="77777777" w:rsidR="00000000" w:rsidRDefault="00195E73">
            <w:pPr>
              <w:jc w:val="right"/>
              <w:rPr>
                <w:rFonts w:eastAsia="Times New Roman"/>
              </w:rPr>
            </w:pPr>
            <w:r>
              <w:rPr>
                <w:rFonts w:eastAsia="Times New Roman"/>
                <w:color w:val="000000"/>
                <w:sz w:val="13"/>
                <w:szCs w:val="13"/>
              </w:rPr>
              <w:t>321</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2434BF6D"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16A07F2F" w14:textId="77777777" w:rsidR="00000000" w:rsidRDefault="00195E73">
            <w:pPr>
              <w:rPr>
                <w:rFonts w:eastAsia="Times New Roman"/>
                <w:sz w:val="20"/>
                <w:szCs w:val="20"/>
              </w:rPr>
            </w:pPr>
          </w:p>
        </w:tc>
        <w:tc>
          <w:tcPr>
            <w:tcW w:w="0" w:type="auto"/>
            <w:vAlign w:val="center"/>
            <w:hideMark/>
          </w:tcPr>
          <w:p w14:paraId="263BE599" w14:textId="77777777" w:rsidR="00000000" w:rsidRDefault="00195E73">
            <w:pPr>
              <w:rPr>
                <w:rFonts w:eastAsia="Times New Roman"/>
                <w:sz w:val="20"/>
                <w:szCs w:val="20"/>
              </w:rPr>
            </w:pPr>
          </w:p>
        </w:tc>
        <w:tc>
          <w:tcPr>
            <w:tcW w:w="0" w:type="auto"/>
            <w:vAlign w:val="center"/>
            <w:hideMark/>
          </w:tcPr>
          <w:p w14:paraId="62E3E8E9" w14:textId="77777777" w:rsidR="00000000" w:rsidRDefault="00195E73">
            <w:pPr>
              <w:rPr>
                <w:rFonts w:eastAsia="Times New Roman"/>
                <w:sz w:val="20"/>
                <w:szCs w:val="20"/>
              </w:rPr>
            </w:pPr>
          </w:p>
        </w:tc>
        <w:tc>
          <w:tcPr>
            <w:tcW w:w="0" w:type="auto"/>
            <w:vAlign w:val="center"/>
            <w:hideMark/>
          </w:tcPr>
          <w:p w14:paraId="5C6B13AD" w14:textId="77777777" w:rsidR="00000000" w:rsidRDefault="00195E73">
            <w:pPr>
              <w:rPr>
                <w:rFonts w:eastAsia="Times New Roman"/>
                <w:sz w:val="20"/>
                <w:szCs w:val="20"/>
              </w:rPr>
            </w:pPr>
          </w:p>
        </w:tc>
        <w:tc>
          <w:tcPr>
            <w:tcW w:w="0" w:type="auto"/>
            <w:vAlign w:val="center"/>
            <w:hideMark/>
          </w:tcPr>
          <w:p w14:paraId="12DEB64E" w14:textId="77777777" w:rsidR="00000000" w:rsidRDefault="00195E73">
            <w:pPr>
              <w:rPr>
                <w:rFonts w:eastAsia="Times New Roman"/>
                <w:sz w:val="20"/>
                <w:szCs w:val="20"/>
              </w:rPr>
            </w:pPr>
          </w:p>
        </w:tc>
        <w:tc>
          <w:tcPr>
            <w:tcW w:w="0" w:type="auto"/>
            <w:vAlign w:val="center"/>
            <w:hideMark/>
          </w:tcPr>
          <w:p w14:paraId="05049BBE" w14:textId="77777777" w:rsidR="00000000" w:rsidRDefault="00195E73">
            <w:pPr>
              <w:rPr>
                <w:rFonts w:eastAsia="Times New Roman"/>
                <w:sz w:val="20"/>
                <w:szCs w:val="20"/>
              </w:rPr>
            </w:pPr>
          </w:p>
        </w:tc>
        <w:tc>
          <w:tcPr>
            <w:tcW w:w="0" w:type="auto"/>
            <w:vAlign w:val="center"/>
            <w:hideMark/>
          </w:tcPr>
          <w:p w14:paraId="1CD76D7D" w14:textId="77777777" w:rsidR="00000000" w:rsidRDefault="00195E73">
            <w:pPr>
              <w:rPr>
                <w:rFonts w:eastAsia="Times New Roman"/>
                <w:sz w:val="20"/>
                <w:szCs w:val="20"/>
              </w:rPr>
            </w:pPr>
          </w:p>
        </w:tc>
        <w:tc>
          <w:tcPr>
            <w:tcW w:w="0" w:type="auto"/>
            <w:vAlign w:val="center"/>
            <w:hideMark/>
          </w:tcPr>
          <w:p w14:paraId="0F90275C" w14:textId="77777777" w:rsidR="00000000" w:rsidRDefault="00195E73">
            <w:pPr>
              <w:rPr>
                <w:rFonts w:eastAsia="Times New Roman"/>
                <w:sz w:val="20"/>
                <w:szCs w:val="20"/>
              </w:rPr>
            </w:pPr>
          </w:p>
        </w:tc>
        <w:tc>
          <w:tcPr>
            <w:tcW w:w="0" w:type="auto"/>
            <w:vAlign w:val="center"/>
            <w:hideMark/>
          </w:tcPr>
          <w:p w14:paraId="2842AAD2" w14:textId="77777777" w:rsidR="00000000" w:rsidRDefault="00195E73">
            <w:pPr>
              <w:rPr>
                <w:rFonts w:eastAsia="Times New Roman"/>
                <w:sz w:val="20"/>
                <w:szCs w:val="20"/>
              </w:rPr>
            </w:pPr>
          </w:p>
        </w:tc>
        <w:tc>
          <w:tcPr>
            <w:tcW w:w="0" w:type="auto"/>
            <w:vAlign w:val="center"/>
            <w:hideMark/>
          </w:tcPr>
          <w:p w14:paraId="20A00F2F" w14:textId="77777777" w:rsidR="00000000" w:rsidRDefault="00195E73">
            <w:pPr>
              <w:rPr>
                <w:rFonts w:eastAsia="Times New Roman"/>
                <w:sz w:val="20"/>
                <w:szCs w:val="20"/>
              </w:rPr>
            </w:pPr>
          </w:p>
        </w:tc>
        <w:tc>
          <w:tcPr>
            <w:tcW w:w="0" w:type="auto"/>
            <w:vAlign w:val="center"/>
            <w:hideMark/>
          </w:tcPr>
          <w:p w14:paraId="37735032" w14:textId="77777777" w:rsidR="00000000" w:rsidRDefault="00195E73">
            <w:pPr>
              <w:rPr>
                <w:rFonts w:eastAsia="Times New Roman"/>
                <w:sz w:val="20"/>
                <w:szCs w:val="20"/>
              </w:rPr>
            </w:pPr>
          </w:p>
        </w:tc>
        <w:tc>
          <w:tcPr>
            <w:tcW w:w="0" w:type="auto"/>
            <w:vAlign w:val="center"/>
            <w:hideMark/>
          </w:tcPr>
          <w:p w14:paraId="5DD86B00" w14:textId="77777777" w:rsidR="00000000" w:rsidRDefault="00195E73">
            <w:pPr>
              <w:rPr>
                <w:rFonts w:eastAsia="Times New Roman"/>
                <w:sz w:val="20"/>
                <w:szCs w:val="20"/>
              </w:rPr>
            </w:pPr>
          </w:p>
        </w:tc>
      </w:tr>
      <w:tr w:rsidR="00000000" w14:paraId="576C1E7B"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22467E4A" w14:textId="77777777" w:rsidR="00000000" w:rsidRDefault="00195E73">
            <w:pPr>
              <w:ind w:hanging="180"/>
              <w:divId w:val="729305875"/>
              <w:rPr>
                <w:rFonts w:eastAsia="Times New Roman"/>
              </w:rPr>
            </w:pPr>
            <w:r>
              <w:rPr>
                <w:rFonts w:eastAsia="Times New Roman"/>
                <w:b/>
                <w:bCs/>
                <w:color w:val="000000"/>
                <w:sz w:val="13"/>
                <w:szCs w:val="13"/>
              </w:rPr>
              <w:t>Net (decrease) increase in cash and cash equivalents and restricted cash and restricted cash equivalent</w:t>
            </w:r>
            <w:r>
              <w:rPr>
                <w:rFonts w:eastAsia="Times New Roman"/>
                <w:b/>
                <w:bCs/>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056793BC" w14:textId="77777777" w:rsidR="00000000" w:rsidRDefault="00195E73">
            <w:pPr>
              <w:jc w:val="right"/>
              <w:rPr>
                <w:rFonts w:eastAsia="Times New Roman"/>
              </w:rPr>
            </w:pPr>
            <w:r>
              <w:rPr>
                <w:rFonts w:eastAsia="Times New Roman"/>
                <w:color w:val="000000"/>
                <w:sz w:val="13"/>
                <w:szCs w:val="13"/>
              </w:rPr>
              <w:t>(393</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719B4545"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CBD6E3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3906AC" w14:textId="77777777" w:rsidR="00000000" w:rsidRDefault="00195E73">
            <w:pPr>
              <w:jc w:val="right"/>
              <w:rPr>
                <w:rFonts w:eastAsia="Times New Roman"/>
              </w:rPr>
            </w:pPr>
            <w:r>
              <w:rPr>
                <w:rFonts w:eastAsia="Times New Roman"/>
                <w:color w:val="000000"/>
                <w:sz w:val="13"/>
                <w:szCs w:val="13"/>
              </w:rPr>
              <w:t>3,427</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38C1C93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7D51A09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8BB27A" w14:textId="77777777" w:rsidR="00000000" w:rsidRDefault="00195E73">
            <w:pPr>
              <w:jc w:val="right"/>
              <w:rPr>
                <w:rFonts w:eastAsia="Times New Roman"/>
              </w:rPr>
            </w:pPr>
            <w:r>
              <w:rPr>
                <w:rFonts w:eastAsia="Times New Roman"/>
                <w:color w:val="000000"/>
                <w:sz w:val="13"/>
                <w:szCs w:val="13"/>
              </w:rPr>
              <w:t>27</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D4ACD81"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9BAD03C" w14:textId="77777777" w:rsidR="00000000" w:rsidRDefault="00195E73">
            <w:pPr>
              <w:rPr>
                <w:rFonts w:eastAsia="Times New Roman"/>
                <w:sz w:val="20"/>
                <w:szCs w:val="20"/>
              </w:rPr>
            </w:pPr>
          </w:p>
        </w:tc>
        <w:tc>
          <w:tcPr>
            <w:tcW w:w="0" w:type="auto"/>
            <w:vAlign w:val="center"/>
            <w:hideMark/>
          </w:tcPr>
          <w:p w14:paraId="3ED39019" w14:textId="77777777" w:rsidR="00000000" w:rsidRDefault="00195E73">
            <w:pPr>
              <w:rPr>
                <w:rFonts w:eastAsia="Times New Roman"/>
                <w:sz w:val="20"/>
                <w:szCs w:val="20"/>
              </w:rPr>
            </w:pPr>
          </w:p>
        </w:tc>
        <w:tc>
          <w:tcPr>
            <w:tcW w:w="0" w:type="auto"/>
            <w:vAlign w:val="center"/>
            <w:hideMark/>
          </w:tcPr>
          <w:p w14:paraId="554BE40D" w14:textId="77777777" w:rsidR="00000000" w:rsidRDefault="00195E73">
            <w:pPr>
              <w:rPr>
                <w:rFonts w:eastAsia="Times New Roman"/>
                <w:sz w:val="20"/>
                <w:szCs w:val="20"/>
              </w:rPr>
            </w:pPr>
          </w:p>
        </w:tc>
        <w:tc>
          <w:tcPr>
            <w:tcW w:w="0" w:type="auto"/>
            <w:vAlign w:val="center"/>
            <w:hideMark/>
          </w:tcPr>
          <w:p w14:paraId="5B789FD0" w14:textId="77777777" w:rsidR="00000000" w:rsidRDefault="00195E73">
            <w:pPr>
              <w:rPr>
                <w:rFonts w:eastAsia="Times New Roman"/>
                <w:sz w:val="20"/>
                <w:szCs w:val="20"/>
              </w:rPr>
            </w:pPr>
          </w:p>
        </w:tc>
        <w:tc>
          <w:tcPr>
            <w:tcW w:w="0" w:type="auto"/>
            <w:vAlign w:val="center"/>
            <w:hideMark/>
          </w:tcPr>
          <w:p w14:paraId="3D97C747" w14:textId="77777777" w:rsidR="00000000" w:rsidRDefault="00195E73">
            <w:pPr>
              <w:rPr>
                <w:rFonts w:eastAsia="Times New Roman"/>
                <w:sz w:val="20"/>
                <w:szCs w:val="20"/>
              </w:rPr>
            </w:pPr>
          </w:p>
        </w:tc>
        <w:tc>
          <w:tcPr>
            <w:tcW w:w="0" w:type="auto"/>
            <w:vAlign w:val="center"/>
            <w:hideMark/>
          </w:tcPr>
          <w:p w14:paraId="02C4CB09" w14:textId="77777777" w:rsidR="00000000" w:rsidRDefault="00195E73">
            <w:pPr>
              <w:rPr>
                <w:rFonts w:eastAsia="Times New Roman"/>
                <w:sz w:val="20"/>
                <w:szCs w:val="20"/>
              </w:rPr>
            </w:pPr>
          </w:p>
        </w:tc>
        <w:tc>
          <w:tcPr>
            <w:tcW w:w="0" w:type="auto"/>
            <w:vAlign w:val="center"/>
            <w:hideMark/>
          </w:tcPr>
          <w:p w14:paraId="52ADBC62" w14:textId="77777777" w:rsidR="00000000" w:rsidRDefault="00195E73">
            <w:pPr>
              <w:rPr>
                <w:rFonts w:eastAsia="Times New Roman"/>
                <w:sz w:val="20"/>
                <w:szCs w:val="20"/>
              </w:rPr>
            </w:pPr>
          </w:p>
        </w:tc>
        <w:tc>
          <w:tcPr>
            <w:tcW w:w="0" w:type="auto"/>
            <w:vAlign w:val="center"/>
            <w:hideMark/>
          </w:tcPr>
          <w:p w14:paraId="6E20EA92" w14:textId="77777777" w:rsidR="00000000" w:rsidRDefault="00195E73">
            <w:pPr>
              <w:rPr>
                <w:rFonts w:eastAsia="Times New Roman"/>
                <w:sz w:val="20"/>
                <w:szCs w:val="20"/>
              </w:rPr>
            </w:pPr>
          </w:p>
        </w:tc>
        <w:tc>
          <w:tcPr>
            <w:tcW w:w="0" w:type="auto"/>
            <w:vAlign w:val="center"/>
            <w:hideMark/>
          </w:tcPr>
          <w:p w14:paraId="7FD3D441" w14:textId="77777777" w:rsidR="00000000" w:rsidRDefault="00195E73">
            <w:pPr>
              <w:rPr>
                <w:rFonts w:eastAsia="Times New Roman"/>
                <w:sz w:val="20"/>
                <w:szCs w:val="20"/>
              </w:rPr>
            </w:pPr>
          </w:p>
        </w:tc>
        <w:tc>
          <w:tcPr>
            <w:tcW w:w="0" w:type="auto"/>
            <w:vAlign w:val="center"/>
            <w:hideMark/>
          </w:tcPr>
          <w:p w14:paraId="7C82AD22" w14:textId="77777777" w:rsidR="00000000" w:rsidRDefault="00195E73">
            <w:pPr>
              <w:rPr>
                <w:rFonts w:eastAsia="Times New Roman"/>
                <w:sz w:val="20"/>
                <w:szCs w:val="20"/>
              </w:rPr>
            </w:pPr>
          </w:p>
        </w:tc>
        <w:tc>
          <w:tcPr>
            <w:tcW w:w="0" w:type="auto"/>
            <w:vAlign w:val="center"/>
            <w:hideMark/>
          </w:tcPr>
          <w:p w14:paraId="3C38E45E" w14:textId="77777777" w:rsidR="00000000" w:rsidRDefault="00195E73">
            <w:pPr>
              <w:rPr>
                <w:rFonts w:eastAsia="Times New Roman"/>
                <w:sz w:val="20"/>
                <w:szCs w:val="20"/>
              </w:rPr>
            </w:pPr>
          </w:p>
        </w:tc>
        <w:tc>
          <w:tcPr>
            <w:tcW w:w="0" w:type="auto"/>
            <w:vAlign w:val="center"/>
            <w:hideMark/>
          </w:tcPr>
          <w:p w14:paraId="6D9DBD17" w14:textId="77777777" w:rsidR="00000000" w:rsidRDefault="00195E73">
            <w:pPr>
              <w:rPr>
                <w:rFonts w:eastAsia="Times New Roman"/>
                <w:sz w:val="20"/>
                <w:szCs w:val="20"/>
              </w:rPr>
            </w:pPr>
          </w:p>
        </w:tc>
      </w:tr>
      <w:tr w:rsidR="00000000" w14:paraId="51579197" w14:textId="77777777">
        <w:trPr>
          <w:divId w:val="1553998752"/>
          <w:jc w:val="center"/>
        </w:trPr>
        <w:tc>
          <w:tcPr>
            <w:tcW w:w="0" w:type="auto"/>
            <w:gridSpan w:val="3"/>
            <w:shd w:val="clear" w:color="auto" w:fill="FFFFFF"/>
            <w:tcMar>
              <w:top w:w="30" w:type="dxa"/>
              <w:left w:w="20" w:type="dxa"/>
              <w:bottom w:w="30" w:type="dxa"/>
              <w:right w:w="20" w:type="dxa"/>
            </w:tcMar>
            <w:vAlign w:val="bottom"/>
            <w:hideMark/>
          </w:tcPr>
          <w:p w14:paraId="69DA29BA" w14:textId="77777777" w:rsidR="00000000" w:rsidRDefault="00195E73">
            <w:pPr>
              <w:rPr>
                <w:rFonts w:eastAsia="Times New Roman"/>
              </w:rPr>
            </w:pPr>
            <w:r>
              <w:rPr>
                <w:rFonts w:eastAsia="Times New Roman"/>
                <w:color w:val="000000"/>
                <w:sz w:val="13"/>
                <w:szCs w:val="13"/>
              </w:rPr>
              <w:t>Cash and cash equivalents and restricted cash and restricted cash equivalents, beginning of perio</w:t>
            </w:r>
            <w:r>
              <w:rPr>
                <w:rFonts w:eastAsia="Times New Roman"/>
                <w:color w:val="000000"/>
                <w:sz w:val="13"/>
                <w:szCs w:val="13"/>
              </w:rPr>
              <w:t>d</w:t>
            </w:r>
          </w:p>
        </w:tc>
        <w:tc>
          <w:tcPr>
            <w:tcW w:w="0" w:type="auto"/>
            <w:gridSpan w:val="2"/>
            <w:shd w:val="clear" w:color="auto" w:fill="FFFFFF"/>
            <w:tcMar>
              <w:top w:w="30" w:type="dxa"/>
              <w:left w:w="20" w:type="dxa"/>
              <w:bottom w:w="30" w:type="dxa"/>
              <w:right w:w="0" w:type="dxa"/>
            </w:tcMar>
            <w:vAlign w:val="bottom"/>
            <w:hideMark/>
          </w:tcPr>
          <w:p w14:paraId="717FA4A0" w14:textId="77777777" w:rsidR="00000000" w:rsidRDefault="00195E73">
            <w:pPr>
              <w:jc w:val="right"/>
              <w:rPr>
                <w:rFonts w:eastAsia="Times New Roman"/>
              </w:rPr>
            </w:pPr>
            <w:r>
              <w:rPr>
                <w:rFonts w:eastAsia="Times New Roman"/>
                <w:color w:val="000000"/>
                <w:sz w:val="13"/>
                <w:szCs w:val="13"/>
              </w:rPr>
              <w:t>5,338</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48DB8915"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926C75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B93C5A" w14:textId="77777777" w:rsidR="00000000" w:rsidRDefault="00195E73">
            <w:pPr>
              <w:jc w:val="right"/>
              <w:rPr>
                <w:rFonts w:eastAsia="Times New Roman"/>
              </w:rPr>
            </w:pPr>
            <w:r>
              <w:rPr>
                <w:rFonts w:eastAsia="Times New Roman"/>
                <w:color w:val="000000"/>
                <w:sz w:val="13"/>
                <w:szCs w:val="13"/>
              </w:rPr>
              <w:t>1,911</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104D1EF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79A8B9A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E6F4B0" w14:textId="77777777" w:rsidR="00000000" w:rsidRDefault="00195E73">
            <w:pPr>
              <w:jc w:val="right"/>
              <w:rPr>
                <w:rFonts w:eastAsia="Times New Roman"/>
              </w:rPr>
            </w:pPr>
            <w:r>
              <w:rPr>
                <w:rFonts w:eastAsia="Times New Roman"/>
                <w:color w:val="000000"/>
                <w:sz w:val="13"/>
                <w:szCs w:val="13"/>
              </w:rPr>
              <w:t>1,884</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2F45E69F"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27AD1DB5" w14:textId="77777777" w:rsidR="00000000" w:rsidRDefault="00195E73">
            <w:pPr>
              <w:rPr>
                <w:rFonts w:eastAsia="Times New Roman"/>
                <w:sz w:val="20"/>
                <w:szCs w:val="20"/>
              </w:rPr>
            </w:pPr>
          </w:p>
        </w:tc>
        <w:tc>
          <w:tcPr>
            <w:tcW w:w="0" w:type="auto"/>
            <w:vAlign w:val="center"/>
            <w:hideMark/>
          </w:tcPr>
          <w:p w14:paraId="37596838" w14:textId="77777777" w:rsidR="00000000" w:rsidRDefault="00195E73">
            <w:pPr>
              <w:rPr>
                <w:rFonts w:eastAsia="Times New Roman"/>
                <w:sz w:val="20"/>
                <w:szCs w:val="20"/>
              </w:rPr>
            </w:pPr>
          </w:p>
        </w:tc>
        <w:tc>
          <w:tcPr>
            <w:tcW w:w="0" w:type="auto"/>
            <w:vAlign w:val="center"/>
            <w:hideMark/>
          </w:tcPr>
          <w:p w14:paraId="7C000069" w14:textId="77777777" w:rsidR="00000000" w:rsidRDefault="00195E73">
            <w:pPr>
              <w:rPr>
                <w:rFonts w:eastAsia="Times New Roman"/>
                <w:sz w:val="20"/>
                <w:szCs w:val="20"/>
              </w:rPr>
            </w:pPr>
          </w:p>
        </w:tc>
        <w:tc>
          <w:tcPr>
            <w:tcW w:w="0" w:type="auto"/>
            <w:vAlign w:val="center"/>
            <w:hideMark/>
          </w:tcPr>
          <w:p w14:paraId="271CB4B5" w14:textId="77777777" w:rsidR="00000000" w:rsidRDefault="00195E73">
            <w:pPr>
              <w:rPr>
                <w:rFonts w:eastAsia="Times New Roman"/>
                <w:sz w:val="20"/>
                <w:szCs w:val="20"/>
              </w:rPr>
            </w:pPr>
          </w:p>
        </w:tc>
        <w:tc>
          <w:tcPr>
            <w:tcW w:w="0" w:type="auto"/>
            <w:vAlign w:val="center"/>
            <w:hideMark/>
          </w:tcPr>
          <w:p w14:paraId="134D4146" w14:textId="77777777" w:rsidR="00000000" w:rsidRDefault="00195E73">
            <w:pPr>
              <w:rPr>
                <w:rFonts w:eastAsia="Times New Roman"/>
                <w:sz w:val="20"/>
                <w:szCs w:val="20"/>
              </w:rPr>
            </w:pPr>
          </w:p>
        </w:tc>
        <w:tc>
          <w:tcPr>
            <w:tcW w:w="0" w:type="auto"/>
            <w:vAlign w:val="center"/>
            <w:hideMark/>
          </w:tcPr>
          <w:p w14:paraId="15CDD2C7" w14:textId="77777777" w:rsidR="00000000" w:rsidRDefault="00195E73">
            <w:pPr>
              <w:rPr>
                <w:rFonts w:eastAsia="Times New Roman"/>
                <w:sz w:val="20"/>
                <w:szCs w:val="20"/>
              </w:rPr>
            </w:pPr>
          </w:p>
        </w:tc>
        <w:tc>
          <w:tcPr>
            <w:tcW w:w="0" w:type="auto"/>
            <w:vAlign w:val="center"/>
            <w:hideMark/>
          </w:tcPr>
          <w:p w14:paraId="141BE68D" w14:textId="77777777" w:rsidR="00000000" w:rsidRDefault="00195E73">
            <w:pPr>
              <w:rPr>
                <w:rFonts w:eastAsia="Times New Roman"/>
                <w:sz w:val="20"/>
                <w:szCs w:val="20"/>
              </w:rPr>
            </w:pPr>
          </w:p>
        </w:tc>
        <w:tc>
          <w:tcPr>
            <w:tcW w:w="0" w:type="auto"/>
            <w:vAlign w:val="center"/>
            <w:hideMark/>
          </w:tcPr>
          <w:p w14:paraId="0D6862ED" w14:textId="77777777" w:rsidR="00000000" w:rsidRDefault="00195E73">
            <w:pPr>
              <w:rPr>
                <w:rFonts w:eastAsia="Times New Roman"/>
                <w:sz w:val="20"/>
                <w:szCs w:val="20"/>
              </w:rPr>
            </w:pPr>
          </w:p>
        </w:tc>
        <w:tc>
          <w:tcPr>
            <w:tcW w:w="0" w:type="auto"/>
            <w:vAlign w:val="center"/>
            <w:hideMark/>
          </w:tcPr>
          <w:p w14:paraId="78A7DE4F" w14:textId="77777777" w:rsidR="00000000" w:rsidRDefault="00195E73">
            <w:pPr>
              <w:rPr>
                <w:rFonts w:eastAsia="Times New Roman"/>
                <w:sz w:val="20"/>
                <w:szCs w:val="20"/>
              </w:rPr>
            </w:pPr>
          </w:p>
        </w:tc>
        <w:tc>
          <w:tcPr>
            <w:tcW w:w="0" w:type="auto"/>
            <w:vAlign w:val="center"/>
            <w:hideMark/>
          </w:tcPr>
          <w:p w14:paraId="5B087016" w14:textId="77777777" w:rsidR="00000000" w:rsidRDefault="00195E73">
            <w:pPr>
              <w:rPr>
                <w:rFonts w:eastAsia="Times New Roman"/>
                <w:sz w:val="20"/>
                <w:szCs w:val="20"/>
              </w:rPr>
            </w:pPr>
          </w:p>
        </w:tc>
        <w:tc>
          <w:tcPr>
            <w:tcW w:w="0" w:type="auto"/>
            <w:vAlign w:val="center"/>
            <w:hideMark/>
          </w:tcPr>
          <w:p w14:paraId="6DC0F1B4" w14:textId="77777777" w:rsidR="00000000" w:rsidRDefault="00195E73">
            <w:pPr>
              <w:rPr>
                <w:rFonts w:eastAsia="Times New Roman"/>
                <w:sz w:val="20"/>
                <w:szCs w:val="20"/>
              </w:rPr>
            </w:pPr>
          </w:p>
        </w:tc>
        <w:tc>
          <w:tcPr>
            <w:tcW w:w="0" w:type="auto"/>
            <w:vAlign w:val="center"/>
            <w:hideMark/>
          </w:tcPr>
          <w:p w14:paraId="1E056DF2" w14:textId="77777777" w:rsidR="00000000" w:rsidRDefault="00195E73">
            <w:pPr>
              <w:rPr>
                <w:rFonts w:eastAsia="Times New Roman"/>
                <w:sz w:val="20"/>
                <w:szCs w:val="20"/>
              </w:rPr>
            </w:pPr>
          </w:p>
        </w:tc>
      </w:tr>
      <w:tr w:rsidR="00000000" w14:paraId="6C3BE04F" w14:textId="77777777">
        <w:trPr>
          <w:divId w:val="1553998752"/>
          <w:jc w:val="center"/>
        </w:trPr>
        <w:tc>
          <w:tcPr>
            <w:tcW w:w="0" w:type="auto"/>
            <w:gridSpan w:val="3"/>
            <w:shd w:val="clear" w:color="auto" w:fill="CCEEFF"/>
            <w:tcMar>
              <w:top w:w="30" w:type="dxa"/>
              <w:left w:w="20" w:type="dxa"/>
              <w:bottom w:w="30" w:type="dxa"/>
              <w:right w:w="20" w:type="dxa"/>
            </w:tcMar>
            <w:vAlign w:val="bottom"/>
            <w:hideMark/>
          </w:tcPr>
          <w:p w14:paraId="27791BEF" w14:textId="77777777" w:rsidR="00000000" w:rsidRDefault="00195E73">
            <w:pPr>
              <w:rPr>
                <w:rFonts w:eastAsia="Times New Roman"/>
              </w:rPr>
            </w:pPr>
            <w:r>
              <w:rPr>
                <w:rFonts w:eastAsia="Times New Roman"/>
                <w:color w:val="000000"/>
                <w:sz w:val="13"/>
                <w:szCs w:val="13"/>
              </w:rPr>
              <w:t>Cash and cash equivalents and restricted cash and restricted cash equivalents, end of perio</w:t>
            </w:r>
            <w:r>
              <w:rPr>
                <w:rFonts w:eastAsia="Times New Roman"/>
                <w:color w:val="000000"/>
                <w:sz w:val="13"/>
                <w:szCs w:val="13"/>
              </w:rPr>
              <w:t>d</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C315DA3" w14:textId="77777777" w:rsidR="00000000" w:rsidRDefault="00195E73">
            <w:pPr>
              <w:rPr>
                <w:rFonts w:eastAsia="Times New Roman"/>
              </w:rPr>
            </w:pPr>
            <w:r>
              <w:rPr>
                <w:rFonts w:eastAsia="Times New Roman"/>
                <w:color w:val="000000"/>
                <w:sz w:val="13"/>
                <w:szCs w:val="13"/>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CE230CC" w14:textId="77777777" w:rsidR="00000000" w:rsidRDefault="00195E73">
            <w:pPr>
              <w:jc w:val="right"/>
              <w:rPr>
                <w:rFonts w:eastAsia="Times New Roman"/>
              </w:rPr>
            </w:pPr>
            <w:r>
              <w:rPr>
                <w:rFonts w:eastAsia="Times New Roman"/>
                <w:color w:val="000000"/>
                <w:sz w:val="13"/>
                <w:szCs w:val="13"/>
              </w:rPr>
              <w:t>4,945</w:t>
            </w:r>
            <w:r>
              <w:rPr>
                <w:rFonts w:eastAsia="Times New Roman"/>
                <w:color w:val="000000"/>
                <w:sz w:val="13"/>
                <w:szCs w:val="13"/>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C76E23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7D24017"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7F1647C" w14:textId="77777777" w:rsidR="00000000" w:rsidRDefault="00195E73">
            <w:pPr>
              <w:rPr>
                <w:rFonts w:eastAsia="Times New Roman"/>
              </w:rPr>
            </w:pPr>
            <w:r>
              <w:rPr>
                <w:rFonts w:eastAsia="Times New Roman"/>
                <w:color w:val="000000"/>
                <w:sz w:val="13"/>
                <w:szCs w:val="13"/>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2A8B060" w14:textId="77777777" w:rsidR="00000000" w:rsidRDefault="00195E73">
            <w:pPr>
              <w:jc w:val="right"/>
              <w:rPr>
                <w:rFonts w:eastAsia="Times New Roman"/>
              </w:rPr>
            </w:pPr>
            <w:r>
              <w:rPr>
                <w:rFonts w:eastAsia="Times New Roman"/>
                <w:color w:val="000000"/>
                <w:sz w:val="13"/>
                <w:szCs w:val="13"/>
              </w:rPr>
              <w:t>5,338</w:t>
            </w:r>
            <w:r>
              <w:rPr>
                <w:rFonts w:eastAsia="Times New Roman"/>
                <w:color w:val="000000"/>
                <w:sz w:val="13"/>
                <w:szCs w:val="13"/>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C835014"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4A3FD2F"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234DFD3" w14:textId="77777777" w:rsidR="00000000" w:rsidRDefault="00195E73">
            <w:pPr>
              <w:rPr>
                <w:rFonts w:eastAsia="Times New Roman"/>
              </w:rPr>
            </w:pPr>
            <w:r>
              <w:rPr>
                <w:rFonts w:eastAsia="Times New Roman"/>
                <w:color w:val="000000"/>
                <w:sz w:val="13"/>
                <w:szCs w:val="13"/>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17B5CC5" w14:textId="77777777" w:rsidR="00000000" w:rsidRDefault="00195E73">
            <w:pPr>
              <w:jc w:val="right"/>
              <w:rPr>
                <w:rFonts w:eastAsia="Times New Roman"/>
              </w:rPr>
            </w:pPr>
            <w:r>
              <w:rPr>
                <w:rFonts w:eastAsia="Times New Roman"/>
                <w:color w:val="000000"/>
                <w:sz w:val="13"/>
                <w:szCs w:val="13"/>
              </w:rPr>
              <w:t>1,911</w:t>
            </w:r>
            <w:r>
              <w:rPr>
                <w:rFonts w:eastAsia="Times New Roman"/>
                <w:color w:val="000000"/>
                <w:sz w:val="13"/>
                <w:szCs w:val="13"/>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4A2D779"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63108A2" w14:textId="77777777" w:rsidR="00000000" w:rsidRDefault="00195E73">
            <w:pPr>
              <w:rPr>
                <w:rFonts w:eastAsia="Times New Roman"/>
                <w:sz w:val="20"/>
                <w:szCs w:val="20"/>
              </w:rPr>
            </w:pPr>
          </w:p>
        </w:tc>
        <w:tc>
          <w:tcPr>
            <w:tcW w:w="0" w:type="auto"/>
            <w:vAlign w:val="center"/>
            <w:hideMark/>
          </w:tcPr>
          <w:p w14:paraId="02251A3A" w14:textId="77777777" w:rsidR="00000000" w:rsidRDefault="00195E73">
            <w:pPr>
              <w:rPr>
                <w:rFonts w:eastAsia="Times New Roman"/>
                <w:sz w:val="20"/>
                <w:szCs w:val="20"/>
              </w:rPr>
            </w:pPr>
          </w:p>
        </w:tc>
        <w:tc>
          <w:tcPr>
            <w:tcW w:w="0" w:type="auto"/>
            <w:vAlign w:val="center"/>
            <w:hideMark/>
          </w:tcPr>
          <w:p w14:paraId="646BE1B5" w14:textId="77777777" w:rsidR="00000000" w:rsidRDefault="00195E73">
            <w:pPr>
              <w:rPr>
                <w:rFonts w:eastAsia="Times New Roman"/>
                <w:sz w:val="20"/>
                <w:szCs w:val="20"/>
              </w:rPr>
            </w:pPr>
          </w:p>
        </w:tc>
        <w:tc>
          <w:tcPr>
            <w:tcW w:w="0" w:type="auto"/>
            <w:vAlign w:val="center"/>
            <w:hideMark/>
          </w:tcPr>
          <w:p w14:paraId="19BED744" w14:textId="77777777" w:rsidR="00000000" w:rsidRDefault="00195E73">
            <w:pPr>
              <w:rPr>
                <w:rFonts w:eastAsia="Times New Roman"/>
                <w:sz w:val="20"/>
                <w:szCs w:val="20"/>
              </w:rPr>
            </w:pPr>
          </w:p>
        </w:tc>
        <w:tc>
          <w:tcPr>
            <w:tcW w:w="0" w:type="auto"/>
            <w:vAlign w:val="center"/>
            <w:hideMark/>
          </w:tcPr>
          <w:p w14:paraId="49551582" w14:textId="77777777" w:rsidR="00000000" w:rsidRDefault="00195E73">
            <w:pPr>
              <w:rPr>
                <w:rFonts w:eastAsia="Times New Roman"/>
                <w:sz w:val="20"/>
                <w:szCs w:val="20"/>
              </w:rPr>
            </w:pPr>
          </w:p>
        </w:tc>
        <w:tc>
          <w:tcPr>
            <w:tcW w:w="0" w:type="auto"/>
            <w:vAlign w:val="center"/>
            <w:hideMark/>
          </w:tcPr>
          <w:p w14:paraId="6026F2D8" w14:textId="77777777" w:rsidR="00000000" w:rsidRDefault="00195E73">
            <w:pPr>
              <w:rPr>
                <w:rFonts w:eastAsia="Times New Roman"/>
                <w:sz w:val="20"/>
                <w:szCs w:val="20"/>
              </w:rPr>
            </w:pPr>
          </w:p>
        </w:tc>
        <w:tc>
          <w:tcPr>
            <w:tcW w:w="0" w:type="auto"/>
            <w:vAlign w:val="center"/>
            <w:hideMark/>
          </w:tcPr>
          <w:p w14:paraId="513F2168" w14:textId="77777777" w:rsidR="00000000" w:rsidRDefault="00195E73">
            <w:pPr>
              <w:rPr>
                <w:rFonts w:eastAsia="Times New Roman"/>
                <w:sz w:val="20"/>
                <w:szCs w:val="20"/>
              </w:rPr>
            </w:pPr>
          </w:p>
        </w:tc>
        <w:tc>
          <w:tcPr>
            <w:tcW w:w="0" w:type="auto"/>
            <w:vAlign w:val="center"/>
            <w:hideMark/>
          </w:tcPr>
          <w:p w14:paraId="7DF183EB" w14:textId="77777777" w:rsidR="00000000" w:rsidRDefault="00195E73">
            <w:pPr>
              <w:rPr>
                <w:rFonts w:eastAsia="Times New Roman"/>
                <w:sz w:val="20"/>
                <w:szCs w:val="20"/>
              </w:rPr>
            </w:pPr>
          </w:p>
        </w:tc>
        <w:tc>
          <w:tcPr>
            <w:tcW w:w="0" w:type="auto"/>
            <w:vAlign w:val="center"/>
            <w:hideMark/>
          </w:tcPr>
          <w:p w14:paraId="355ED937" w14:textId="77777777" w:rsidR="00000000" w:rsidRDefault="00195E73">
            <w:pPr>
              <w:rPr>
                <w:rFonts w:eastAsia="Times New Roman"/>
                <w:sz w:val="20"/>
                <w:szCs w:val="20"/>
              </w:rPr>
            </w:pPr>
          </w:p>
        </w:tc>
        <w:tc>
          <w:tcPr>
            <w:tcW w:w="0" w:type="auto"/>
            <w:vAlign w:val="center"/>
            <w:hideMark/>
          </w:tcPr>
          <w:p w14:paraId="12BFDCCA" w14:textId="77777777" w:rsidR="00000000" w:rsidRDefault="00195E73">
            <w:pPr>
              <w:rPr>
                <w:rFonts w:eastAsia="Times New Roman"/>
                <w:sz w:val="20"/>
                <w:szCs w:val="20"/>
              </w:rPr>
            </w:pPr>
          </w:p>
        </w:tc>
        <w:tc>
          <w:tcPr>
            <w:tcW w:w="0" w:type="auto"/>
            <w:vAlign w:val="center"/>
            <w:hideMark/>
          </w:tcPr>
          <w:p w14:paraId="6585E1A2" w14:textId="77777777" w:rsidR="00000000" w:rsidRDefault="00195E73">
            <w:pPr>
              <w:rPr>
                <w:rFonts w:eastAsia="Times New Roman"/>
                <w:sz w:val="20"/>
                <w:szCs w:val="20"/>
              </w:rPr>
            </w:pPr>
          </w:p>
        </w:tc>
        <w:tc>
          <w:tcPr>
            <w:tcW w:w="0" w:type="auto"/>
            <w:vAlign w:val="center"/>
            <w:hideMark/>
          </w:tcPr>
          <w:p w14:paraId="5C2E0327" w14:textId="77777777" w:rsidR="00000000" w:rsidRDefault="00195E73">
            <w:pPr>
              <w:rPr>
                <w:rFonts w:eastAsia="Times New Roman"/>
                <w:sz w:val="20"/>
                <w:szCs w:val="20"/>
              </w:rPr>
            </w:pPr>
          </w:p>
        </w:tc>
      </w:tr>
    </w:tbl>
    <w:p w14:paraId="50191B2D" w14:textId="77777777" w:rsidR="00000000" w:rsidRDefault="00195E73">
      <w:pPr>
        <w:jc w:val="center"/>
        <w:rPr>
          <w:rFonts w:eastAsia="Times New Roman"/>
        </w:rPr>
      </w:pPr>
      <w:r>
        <w:rPr>
          <w:rFonts w:eastAsia="Times New Roman"/>
          <w:i/>
          <w:iCs/>
          <w:color w:val="000000"/>
          <w:sz w:val="20"/>
          <w:szCs w:val="20"/>
        </w:rPr>
        <w:t>See notes to consolidated financial statements</w:t>
      </w:r>
      <w:r>
        <w:rPr>
          <w:rFonts w:eastAsia="Times New Roman"/>
          <w:i/>
          <w:iCs/>
          <w:color w:val="000000"/>
          <w:sz w:val="20"/>
          <w:szCs w:val="20"/>
        </w:rPr>
        <w:t>.</w:t>
      </w:r>
    </w:p>
    <w:p w14:paraId="6E347D83" w14:textId="77777777" w:rsidR="00000000" w:rsidRDefault="00195E73">
      <w:pPr>
        <w:divId w:val="1080372315"/>
        <w:rPr>
          <w:rFonts w:eastAsia="Times New Roman"/>
        </w:rPr>
      </w:pPr>
    </w:p>
    <w:p w14:paraId="6EC00791" w14:textId="77777777" w:rsidR="00000000" w:rsidRDefault="00195E73">
      <w:pPr>
        <w:jc w:val="center"/>
        <w:divId w:val="889654187"/>
        <w:rPr>
          <w:rFonts w:eastAsia="Times New Roman"/>
        </w:rPr>
      </w:pPr>
      <w:r>
        <w:rPr>
          <w:rFonts w:eastAsia="Times New Roman"/>
          <w:color w:val="000000"/>
          <w:sz w:val="20"/>
          <w:szCs w:val="20"/>
        </w:rPr>
        <w:t>5</w:t>
      </w:r>
      <w:r>
        <w:rPr>
          <w:rFonts w:eastAsia="Times New Roman"/>
          <w:color w:val="000000"/>
          <w:sz w:val="20"/>
          <w:szCs w:val="20"/>
        </w:rPr>
        <w:t>8</w:t>
      </w:r>
    </w:p>
    <w:p w14:paraId="57EF44FA" w14:textId="77777777" w:rsidR="00000000" w:rsidRDefault="00195E73">
      <w:pPr>
        <w:rPr>
          <w:rFonts w:eastAsia="Times New Roman"/>
        </w:rPr>
      </w:pPr>
      <w:r>
        <w:rPr>
          <w:rFonts w:eastAsia="Times New Roman"/>
        </w:rPr>
        <w:pict w14:anchorId="4F30C345">
          <v:rect id="_x0000_i1084" style="width:0;height:1.5pt" o:hralign="center" o:hrstd="t" o:hr="t" fillcolor="#a0a0a0" stroked="f"/>
        </w:pict>
      </w:r>
    </w:p>
    <w:p w14:paraId="11361C0A" w14:textId="77777777" w:rsidR="00000000" w:rsidRDefault="00195E73">
      <w:pPr>
        <w:divId w:val="1813014539"/>
        <w:rPr>
          <w:rFonts w:eastAsia="Times New Roman"/>
        </w:rPr>
      </w:pPr>
    </w:p>
    <w:p w14:paraId="63DE70B7" w14:textId="77777777" w:rsidR="00000000" w:rsidRDefault="00195E73">
      <w:pPr>
        <w:jc w:val="center"/>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67970873" w14:textId="77777777" w:rsidR="00000000" w:rsidRDefault="00195E73">
      <w:pPr>
        <w:divId w:val="303776965"/>
        <w:rPr>
          <w:rFonts w:eastAsia="Times New Roman"/>
        </w:rPr>
      </w:pPr>
    </w:p>
    <w:p w14:paraId="282C1A2A" w14:textId="77777777" w:rsidR="00000000" w:rsidRDefault="00195E73">
      <w:pPr>
        <w:jc w:val="center"/>
        <w:rPr>
          <w:rFonts w:eastAsia="Times New Roman"/>
        </w:rPr>
      </w:pPr>
      <w:r>
        <w:rPr>
          <w:rFonts w:eastAsia="Times New Roman"/>
          <w:b/>
          <w:bCs/>
          <w:color w:val="000000"/>
          <w:sz w:val="20"/>
          <w:szCs w:val="20"/>
        </w:rPr>
        <w:t>CONSOLIDATED BALANCE SHEET</w:t>
      </w:r>
      <w:r>
        <w:rPr>
          <w:rFonts w:eastAsia="Times New Roman"/>
          <w:b/>
          <w:bCs/>
          <w:color w:val="000000"/>
          <w:sz w:val="20"/>
          <w:szCs w:val="20"/>
        </w:rPr>
        <w:t>S</w:t>
      </w:r>
    </w:p>
    <w:p w14:paraId="3EF496CC" w14:textId="77777777" w:rsidR="00000000" w:rsidRDefault="00195E73">
      <w:pPr>
        <w:jc w:val="center"/>
        <w:rPr>
          <w:rFonts w:eastAsia="Times New Roman"/>
        </w:rPr>
      </w:pPr>
    </w:p>
    <w:p w14:paraId="4849EC45" w14:textId="77777777" w:rsidR="00000000" w:rsidRDefault="00195E73">
      <w:pPr>
        <w:divId w:val="149036261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5476"/>
        <w:gridCol w:w="52"/>
        <w:gridCol w:w="135"/>
        <w:gridCol w:w="991"/>
        <w:gridCol w:w="85"/>
        <w:gridCol w:w="36"/>
        <w:gridCol w:w="36"/>
        <w:gridCol w:w="36"/>
        <w:gridCol w:w="135"/>
        <w:gridCol w:w="971"/>
        <w:gridCol w:w="85"/>
        <w:gridCol w:w="36"/>
        <w:gridCol w:w="36"/>
        <w:gridCol w:w="36"/>
        <w:gridCol w:w="36"/>
        <w:gridCol w:w="36"/>
        <w:gridCol w:w="36"/>
      </w:tblGrid>
      <w:tr w:rsidR="00000000" w14:paraId="71A2F67B" w14:textId="77777777">
        <w:trPr>
          <w:gridAfter w:val="6"/>
          <w:divId w:val="665473675"/>
          <w:jc w:val="center"/>
        </w:trPr>
        <w:tc>
          <w:tcPr>
            <w:tcW w:w="50" w:type="pct"/>
            <w:vAlign w:val="center"/>
            <w:hideMark/>
          </w:tcPr>
          <w:p w14:paraId="56F9FCF0" w14:textId="77777777" w:rsidR="00000000" w:rsidRDefault="00195E73">
            <w:pPr>
              <w:rPr>
                <w:rFonts w:eastAsia="Times New Roman"/>
              </w:rPr>
            </w:pPr>
          </w:p>
        </w:tc>
        <w:tc>
          <w:tcPr>
            <w:tcW w:w="3401" w:type="pct"/>
            <w:vAlign w:val="center"/>
            <w:hideMark/>
          </w:tcPr>
          <w:p w14:paraId="4F697647" w14:textId="77777777" w:rsidR="00000000" w:rsidRDefault="00195E73">
            <w:pPr>
              <w:rPr>
                <w:rFonts w:eastAsia="Times New Roman"/>
                <w:sz w:val="20"/>
                <w:szCs w:val="20"/>
              </w:rPr>
            </w:pPr>
          </w:p>
        </w:tc>
        <w:tc>
          <w:tcPr>
            <w:tcW w:w="50" w:type="pct"/>
            <w:vAlign w:val="center"/>
            <w:hideMark/>
          </w:tcPr>
          <w:p w14:paraId="1BEB5BA2" w14:textId="77777777" w:rsidR="00000000" w:rsidRDefault="00195E73">
            <w:pPr>
              <w:rPr>
                <w:rFonts w:eastAsia="Times New Roman"/>
                <w:sz w:val="20"/>
                <w:szCs w:val="20"/>
              </w:rPr>
            </w:pPr>
          </w:p>
        </w:tc>
        <w:tc>
          <w:tcPr>
            <w:tcW w:w="50" w:type="pct"/>
            <w:vAlign w:val="center"/>
            <w:hideMark/>
          </w:tcPr>
          <w:p w14:paraId="2F272786" w14:textId="77777777" w:rsidR="00000000" w:rsidRDefault="00195E73">
            <w:pPr>
              <w:rPr>
                <w:rFonts w:eastAsia="Times New Roman"/>
                <w:sz w:val="20"/>
                <w:szCs w:val="20"/>
              </w:rPr>
            </w:pPr>
          </w:p>
        </w:tc>
        <w:tc>
          <w:tcPr>
            <w:tcW w:w="630" w:type="pct"/>
            <w:vAlign w:val="center"/>
            <w:hideMark/>
          </w:tcPr>
          <w:p w14:paraId="0C241913" w14:textId="77777777" w:rsidR="00000000" w:rsidRDefault="00195E73">
            <w:pPr>
              <w:rPr>
                <w:rFonts w:eastAsia="Times New Roman"/>
                <w:sz w:val="20"/>
                <w:szCs w:val="20"/>
              </w:rPr>
            </w:pPr>
          </w:p>
        </w:tc>
        <w:tc>
          <w:tcPr>
            <w:tcW w:w="50" w:type="pct"/>
            <w:vAlign w:val="center"/>
            <w:hideMark/>
          </w:tcPr>
          <w:p w14:paraId="5FE295C3" w14:textId="77777777" w:rsidR="00000000" w:rsidRDefault="00195E73">
            <w:pPr>
              <w:rPr>
                <w:rFonts w:eastAsia="Times New Roman"/>
                <w:sz w:val="20"/>
                <w:szCs w:val="20"/>
              </w:rPr>
            </w:pPr>
          </w:p>
        </w:tc>
        <w:tc>
          <w:tcPr>
            <w:tcW w:w="5" w:type="pct"/>
            <w:vAlign w:val="center"/>
            <w:hideMark/>
          </w:tcPr>
          <w:p w14:paraId="12984BF5" w14:textId="77777777" w:rsidR="00000000" w:rsidRDefault="00195E73">
            <w:pPr>
              <w:rPr>
                <w:rFonts w:eastAsia="Times New Roman"/>
                <w:sz w:val="20"/>
                <w:szCs w:val="20"/>
              </w:rPr>
            </w:pPr>
          </w:p>
        </w:tc>
        <w:tc>
          <w:tcPr>
            <w:tcW w:w="26" w:type="pct"/>
            <w:vAlign w:val="center"/>
            <w:hideMark/>
          </w:tcPr>
          <w:p w14:paraId="77A6C1FA" w14:textId="77777777" w:rsidR="00000000" w:rsidRDefault="00195E73">
            <w:pPr>
              <w:rPr>
                <w:rFonts w:eastAsia="Times New Roman"/>
                <w:sz w:val="20"/>
                <w:szCs w:val="20"/>
              </w:rPr>
            </w:pPr>
          </w:p>
        </w:tc>
        <w:tc>
          <w:tcPr>
            <w:tcW w:w="5" w:type="pct"/>
            <w:vAlign w:val="center"/>
            <w:hideMark/>
          </w:tcPr>
          <w:p w14:paraId="536C9B11" w14:textId="77777777" w:rsidR="00000000" w:rsidRDefault="00195E73">
            <w:pPr>
              <w:rPr>
                <w:rFonts w:eastAsia="Times New Roman"/>
                <w:sz w:val="20"/>
                <w:szCs w:val="20"/>
              </w:rPr>
            </w:pPr>
          </w:p>
        </w:tc>
        <w:tc>
          <w:tcPr>
            <w:tcW w:w="50" w:type="pct"/>
            <w:vAlign w:val="center"/>
            <w:hideMark/>
          </w:tcPr>
          <w:p w14:paraId="0885AFC6" w14:textId="77777777" w:rsidR="00000000" w:rsidRDefault="00195E73">
            <w:pPr>
              <w:rPr>
                <w:rFonts w:eastAsia="Times New Roman"/>
                <w:sz w:val="20"/>
                <w:szCs w:val="20"/>
              </w:rPr>
            </w:pPr>
          </w:p>
        </w:tc>
        <w:tc>
          <w:tcPr>
            <w:tcW w:w="631" w:type="pct"/>
            <w:vAlign w:val="center"/>
            <w:hideMark/>
          </w:tcPr>
          <w:p w14:paraId="0BB4F52E" w14:textId="77777777" w:rsidR="00000000" w:rsidRDefault="00195E73">
            <w:pPr>
              <w:rPr>
                <w:rFonts w:eastAsia="Times New Roman"/>
                <w:sz w:val="20"/>
                <w:szCs w:val="20"/>
              </w:rPr>
            </w:pPr>
          </w:p>
        </w:tc>
        <w:tc>
          <w:tcPr>
            <w:tcW w:w="50" w:type="pct"/>
            <w:vAlign w:val="center"/>
            <w:hideMark/>
          </w:tcPr>
          <w:p w14:paraId="382EACAB" w14:textId="77777777" w:rsidR="00000000" w:rsidRDefault="00195E73">
            <w:pPr>
              <w:rPr>
                <w:rFonts w:eastAsia="Times New Roman"/>
                <w:sz w:val="20"/>
                <w:szCs w:val="20"/>
              </w:rPr>
            </w:pPr>
          </w:p>
        </w:tc>
      </w:tr>
      <w:tr w:rsidR="00000000" w14:paraId="5F26764B" w14:textId="77777777">
        <w:trPr>
          <w:divId w:val="665473675"/>
          <w:jc w:val="center"/>
        </w:trPr>
        <w:tc>
          <w:tcPr>
            <w:tcW w:w="0" w:type="auto"/>
            <w:gridSpan w:val="3"/>
            <w:tcMar>
              <w:top w:w="15" w:type="dxa"/>
              <w:left w:w="20" w:type="dxa"/>
              <w:bottom w:w="15" w:type="dxa"/>
              <w:right w:w="20" w:type="dxa"/>
            </w:tcMar>
            <w:vAlign w:val="bottom"/>
            <w:hideMark/>
          </w:tcPr>
          <w:p w14:paraId="13D6CF23"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32D52E55"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375F4AB2" w14:textId="77777777" w:rsidR="00000000" w:rsidRDefault="00195E73">
            <w:pPr>
              <w:jc w:val="center"/>
              <w:rPr>
                <w:rFonts w:eastAsia="Times New Roman"/>
              </w:rPr>
            </w:pPr>
          </w:p>
        </w:tc>
        <w:tc>
          <w:tcPr>
            <w:tcW w:w="0" w:type="auto"/>
            <w:gridSpan w:val="3"/>
            <w:vAlign w:val="center"/>
            <w:hideMark/>
          </w:tcPr>
          <w:p w14:paraId="5DC16402" w14:textId="77777777" w:rsidR="00000000" w:rsidRDefault="00195E73">
            <w:pPr>
              <w:rPr>
                <w:rFonts w:eastAsia="Times New Roman"/>
                <w:sz w:val="20"/>
                <w:szCs w:val="20"/>
              </w:rPr>
            </w:pPr>
          </w:p>
        </w:tc>
      </w:tr>
      <w:tr w:rsidR="00000000" w14:paraId="77D92881" w14:textId="77777777">
        <w:trPr>
          <w:divId w:val="665473675"/>
          <w:jc w:val="center"/>
        </w:trPr>
        <w:tc>
          <w:tcPr>
            <w:tcW w:w="0" w:type="auto"/>
            <w:gridSpan w:val="3"/>
            <w:tcMar>
              <w:top w:w="15" w:type="dxa"/>
              <w:left w:w="20" w:type="dxa"/>
              <w:bottom w:w="15" w:type="dxa"/>
              <w:right w:w="20" w:type="dxa"/>
            </w:tcMar>
            <w:vAlign w:val="bottom"/>
            <w:hideMark/>
          </w:tcPr>
          <w:p w14:paraId="619505B8"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D0941F5"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57340CE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2DEC20C"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36C70394" w14:textId="77777777" w:rsidR="00000000" w:rsidRDefault="00195E73">
            <w:pPr>
              <w:rPr>
                <w:rFonts w:eastAsia="Times New Roman"/>
                <w:sz w:val="20"/>
                <w:szCs w:val="20"/>
              </w:rPr>
            </w:pPr>
          </w:p>
        </w:tc>
        <w:tc>
          <w:tcPr>
            <w:tcW w:w="0" w:type="auto"/>
            <w:vAlign w:val="center"/>
            <w:hideMark/>
          </w:tcPr>
          <w:p w14:paraId="0BE1079C" w14:textId="77777777" w:rsidR="00000000" w:rsidRDefault="00195E73">
            <w:pPr>
              <w:rPr>
                <w:rFonts w:eastAsia="Times New Roman"/>
                <w:sz w:val="20"/>
                <w:szCs w:val="20"/>
              </w:rPr>
            </w:pPr>
          </w:p>
        </w:tc>
        <w:tc>
          <w:tcPr>
            <w:tcW w:w="0" w:type="auto"/>
            <w:vAlign w:val="center"/>
            <w:hideMark/>
          </w:tcPr>
          <w:p w14:paraId="52ED90B0" w14:textId="77777777" w:rsidR="00000000" w:rsidRDefault="00195E73">
            <w:pPr>
              <w:rPr>
                <w:rFonts w:eastAsia="Times New Roman"/>
                <w:sz w:val="20"/>
                <w:szCs w:val="20"/>
              </w:rPr>
            </w:pPr>
          </w:p>
        </w:tc>
        <w:tc>
          <w:tcPr>
            <w:tcW w:w="0" w:type="auto"/>
            <w:vAlign w:val="center"/>
            <w:hideMark/>
          </w:tcPr>
          <w:p w14:paraId="7ED47F6F" w14:textId="77777777" w:rsidR="00000000" w:rsidRDefault="00195E73">
            <w:pPr>
              <w:rPr>
                <w:rFonts w:eastAsia="Times New Roman"/>
                <w:sz w:val="20"/>
                <w:szCs w:val="20"/>
              </w:rPr>
            </w:pPr>
          </w:p>
        </w:tc>
        <w:tc>
          <w:tcPr>
            <w:tcW w:w="0" w:type="auto"/>
            <w:vAlign w:val="center"/>
            <w:hideMark/>
          </w:tcPr>
          <w:p w14:paraId="3929BAD0" w14:textId="77777777" w:rsidR="00000000" w:rsidRDefault="00195E73">
            <w:pPr>
              <w:rPr>
                <w:rFonts w:eastAsia="Times New Roman"/>
                <w:sz w:val="20"/>
                <w:szCs w:val="20"/>
              </w:rPr>
            </w:pPr>
          </w:p>
        </w:tc>
        <w:tc>
          <w:tcPr>
            <w:tcW w:w="0" w:type="auto"/>
            <w:vAlign w:val="center"/>
            <w:hideMark/>
          </w:tcPr>
          <w:p w14:paraId="10F09036" w14:textId="77777777" w:rsidR="00000000" w:rsidRDefault="00195E73">
            <w:pPr>
              <w:rPr>
                <w:rFonts w:eastAsia="Times New Roman"/>
                <w:sz w:val="20"/>
                <w:szCs w:val="20"/>
              </w:rPr>
            </w:pPr>
          </w:p>
        </w:tc>
      </w:tr>
      <w:tr w:rsidR="00000000" w14:paraId="665CD9AE" w14:textId="77777777">
        <w:trPr>
          <w:divId w:val="665473675"/>
          <w:jc w:val="center"/>
        </w:trPr>
        <w:tc>
          <w:tcPr>
            <w:tcW w:w="0" w:type="auto"/>
            <w:gridSpan w:val="3"/>
            <w:tcMar>
              <w:top w:w="30" w:type="dxa"/>
              <w:left w:w="20" w:type="dxa"/>
              <w:bottom w:w="30" w:type="dxa"/>
              <w:right w:w="20" w:type="dxa"/>
            </w:tcMar>
            <w:vAlign w:val="bottom"/>
            <w:hideMark/>
          </w:tcPr>
          <w:p w14:paraId="60F3C23D" w14:textId="77777777" w:rsidR="00000000" w:rsidRDefault="00195E73">
            <w:pPr>
              <w:jc w:val="cente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9"/>
            <w:tcBorders>
              <w:top w:val="single" w:sz="8" w:space="0" w:color="000000"/>
            </w:tcBorders>
            <w:tcMar>
              <w:top w:w="30" w:type="dxa"/>
              <w:left w:w="20" w:type="dxa"/>
              <w:bottom w:w="30" w:type="dxa"/>
              <w:right w:w="20" w:type="dxa"/>
            </w:tcMar>
            <w:vAlign w:val="bottom"/>
            <w:hideMark/>
          </w:tcPr>
          <w:p w14:paraId="026F953A"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0DBC773D" w14:textId="77777777" w:rsidR="00000000" w:rsidRDefault="00195E73">
            <w:pPr>
              <w:jc w:val="center"/>
              <w:rPr>
                <w:rFonts w:eastAsia="Times New Roman"/>
              </w:rPr>
            </w:pPr>
          </w:p>
        </w:tc>
        <w:tc>
          <w:tcPr>
            <w:tcW w:w="0" w:type="auto"/>
            <w:gridSpan w:val="3"/>
            <w:vAlign w:val="center"/>
            <w:hideMark/>
          </w:tcPr>
          <w:p w14:paraId="1237163D" w14:textId="77777777" w:rsidR="00000000" w:rsidRDefault="00195E73">
            <w:pPr>
              <w:rPr>
                <w:rFonts w:eastAsia="Times New Roman"/>
                <w:sz w:val="20"/>
                <w:szCs w:val="20"/>
              </w:rPr>
            </w:pPr>
          </w:p>
        </w:tc>
      </w:tr>
      <w:tr w:rsidR="00000000" w14:paraId="445FB27B" w14:textId="77777777">
        <w:trPr>
          <w:divId w:val="665473675"/>
          <w:jc w:val="center"/>
        </w:trPr>
        <w:tc>
          <w:tcPr>
            <w:tcW w:w="0" w:type="auto"/>
            <w:gridSpan w:val="3"/>
            <w:shd w:val="clear" w:color="auto" w:fill="CCEEFF"/>
            <w:tcMar>
              <w:top w:w="30" w:type="dxa"/>
              <w:left w:w="20" w:type="dxa"/>
              <w:bottom w:w="30" w:type="dxa"/>
              <w:right w:w="20" w:type="dxa"/>
            </w:tcMar>
            <w:vAlign w:val="bottom"/>
            <w:hideMark/>
          </w:tcPr>
          <w:p w14:paraId="1317D8E8" w14:textId="77777777" w:rsidR="00000000" w:rsidRDefault="00195E73">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14E8F6F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856AABC" w14:textId="77777777" w:rsidR="00000000" w:rsidRDefault="00195E73">
            <w:pPr>
              <w:jc w:val="right"/>
              <w:rPr>
                <w:rFonts w:eastAsia="Times New Roman"/>
              </w:rPr>
            </w:pPr>
            <w:r>
              <w:rPr>
                <w:rFonts w:eastAsia="Times New Roman"/>
                <w:color w:val="000000"/>
                <w:sz w:val="20"/>
                <w:szCs w:val="20"/>
              </w:rPr>
              <w:t>3,794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FE0BBB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8D8DD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087DD8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7497AA0" w14:textId="77777777" w:rsidR="00000000" w:rsidRDefault="00195E73">
            <w:pPr>
              <w:jc w:val="right"/>
              <w:rPr>
                <w:rFonts w:eastAsia="Times New Roman"/>
              </w:rPr>
            </w:pPr>
            <w:r>
              <w:rPr>
                <w:rFonts w:eastAsia="Times New Roman"/>
                <w:color w:val="000000"/>
                <w:sz w:val="20"/>
                <w:szCs w:val="20"/>
              </w:rPr>
              <w:t>2,656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8F2212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BEF4EAF" w14:textId="77777777" w:rsidR="00000000" w:rsidRDefault="00195E73">
            <w:pPr>
              <w:rPr>
                <w:rFonts w:eastAsia="Times New Roman"/>
                <w:sz w:val="20"/>
                <w:szCs w:val="20"/>
              </w:rPr>
            </w:pPr>
          </w:p>
        </w:tc>
        <w:tc>
          <w:tcPr>
            <w:tcW w:w="0" w:type="auto"/>
            <w:vAlign w:val="center"/>
            <w:hideMark/>
          </w:tcPr>
          <w:p w14:paraId="76AA3DCD" w14:textId="77777777" w:rsidR="00000000" w:rsidRDefault="00195E73">
            <w:pPr>
              <w:rPr>
                <w:rFonts w:eastAsia="Times New Roman"/>
                <w:sz w:val="20"/>
                <w:szCs w:val="20"/>
              </w:rPr>
            </w:pPr>
          </w:p>
        </w:tc>
        <w:tc>
          <w:tcPr>
            <w:tcW w:w="0" w:type="auto"/>
            <w:vAlign w:val="center"/>
            <w:hideMark/>
          </w:tcPr>
          <w:p w14:paraId="7C11E472" w14:textId="77777777" w:rsidR="00000000" w:rsidRDefault="00195E73">
            <w:pPr>
              <w:rPr>
                <w:rFonts w:eastAsia="Times New Roman"/>
                <w:sz w:val="20"/>
                <w:szCs w:val="20"/>
              </w:rPr>
            </w:pPr>
          </w:p>
        </w:tc>
        <w:tc>
          <w:tcPr>
            <w:tcW w:w="0" w:type="auto"/>
            <w:vAlign w:val="center"/>
            <w:hideMark/>
          </w:tcPr>
          <w:p w14:paraId="5575D6BC" w14:textId="77777777" w:rsidR="00000000" w:rsidRDefault="00195E73">
            <w:pPr>
              <w:rPr>
                <w:rFonts w:eastAsia="Times New Roman"/>
                <w:sz w:val="20"/>
                <w:szCs w:val="20"/>
              </w:rPr>
            </w:pPr>
          </w:p>
        </w:tc>
        <w:tc>
          <w:tcPr>
            <w:tcW w:w="0" w:type="auto"/>
            <w:vAlign w:val="center"/>
            <w:hideMark/>
          </w:tcPr>
          <w:p w14:paraId="24BBC4BD" w14:textId="77777777" w:rsidR="00000000" w:rsidRDefault="00195E73">
            <w:pPr>
              <w:rPr>
                <w:rFonts w:eastAsia="Times New Roman"/>
                <w:sz w:val="20"/>
                <w:szCs w:val="20"/>
              </w:rPr>
            </w:pPr>
          </w:p>
        </w:tc>
        <w:tc>
          <w:tcPr>
            <w:tcW w:w="0" w:type="auto"/>
            <w:vAlign w:val="center"/>
            <w:hideMark/>
          </w:tcPr>
          <w:p w14:paraId="5277435A" w14:textId="77777777" w:rsidR="00000000" w:rsidRDefault="00195E73">
            <w:pPr>
              <w:rPr>
                <w:rFonts w:eastAsia="Times New Roman"/>
                <w:sz w:val="20"/>
                <w:szCs w:val="20"/>
              </w:rPr>
            </w:pPr>
          </w:p>
        </w:tc>
      </w:tr>
      <w:tr w:rsidR="00000000" w14:paraId="350A5F56"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264EE9E8" w14:textId="77777777" w:rsidR="00000000" w:rsidRDefault="00195E73">
            <w:pPr>
              <w:rPr>
                <w:rFonts w:eastAsia="Times New Roman"/>
              </w:rPr>
            </w:pPr>
            <w:r>
              <w:rPr>
                <w:rFonts w:eastAsia="Times New Roman"/>
                <w:color w:val="000000"/>
                <w:sz w:val="20"/>
                <w:szCs w:val="20"/>
              </w:rPr>
              <w:t>Cash held at consolidated affiliated partnerships and restricted cas</w:t>
            </w:r>
            <w:r>
              <w:rPr>
                <w:rFonts w:eastAsia="Times New Roman"/>
                <w:color w:val="000000"/>
                <w:sz w:val="20"/>
                <w:szCs w:val="20"/>
              </w:rPr>
              <w:t>h</w:t>
            </w:r>
          </w:p>
        </w:tc>
        <w:tc>
          <w:tcPr>
            <w:tcW w:w="0" w:type="auto"/>
            <w:gridSpan w:val="2"/>
            <w:shd w:val="clear" w:color="auto" w:fill="FFFFFF"/>
            <w:tcMar>
              <w:top w:w="30" w:type="dxa"/>
              <w:left w:w="20" w:type="dxa"/>
              <w:bottom w:w="30" w:type="dxa"/>
              <w:right w:w="0" w:type="dxa"/>
            </w:tcMar>
            <w:vAlign w:val="bottom"/>
            <w:hideMark/>
          </w:tcPr>
          <w:p w14:paraId="3C703F39" w14:textId="77777777" w:rsidR="00000000" w:rsidRDefault="00195E73">
            <w:pPr>
              <w:jc w:val="right"/>
              <w:rPr>
                <w:rFonts w:eastAsia="Times New Roman"/>
              </w:rPr>
            </w:pPr>
            <w:r>
              <w:rPr>
                <w:rFonts w:eastAsia="Times New Roman"/>
                <w:color w:val="000000"/>
                <w:sz w:val="20"/>
                <w:szCs w:val="20"/>
              </w:rPr>
              <w:t>1,151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93654A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45AA0E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DB78A9" w14:textId="77777777" w:rsidR="00000000" w:rsidRDefault="00195E73">
            <w:pPr>
              <w:jc w:val="right"/>
              <w:rPr>
                <w:rFonts w:eastAsia="Times New Roman"/>
              </w:rPr>
            </w:pPr>
            <w:r>
              <w:rPr>
                <w:rFonts w:eastAsia="Times New Roman"/>
                <w:color w:val="000000"/>
                <w:sz w:val="20"/>
                <w:szCs w:val="20"/>
              </w:rPr>
              <w:t>2,682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5B0D4D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BE14593" w14:textId="77777777" w:rsidR="00000000" w:rsidRDefault="00195E73">
            <w:pPr>
              <w:rPr>
                <w:rFonts w:eastAsia="Times New Roman"/>
                <w:sz w:val="20"/>
                <w:szCs w:val="20"/>
              </w:rPr>
            </w:pPr>
          </w:p>
        </w:tc>
        <w:tc>
          <w:tcPr>
            <w:tcW w:w="0" w:type="auto"/>
            <w:vAlign w:val="center"/>
            <w:hideMark/>
          </w:tcPr>
          <w:p w14:paraId="5C36BE3D" w14:textId="77777777" w:rsidR="00000000" w:rsidRDefault="00195E73">
            <w:pPr>
              <w:rPr>
                <w:rFonts w:eastAsia="Times New Roman"/>
                <w:sz w:val="20"/>
                <w:szCs w:val="20"/>
              </w:rPr>
            </w:pPr>
          </w:p>
        </w:tc>
        <w:tc>
          <w:tcPr>
            <w:tcW w:w="0" w:type="auto"/>
            <w:vAlign w:val="center"/>
            <w:hideMark/>
          </w:tcPr>
          <w:p w14:paraId="3B2D1FF3" w14:textId="77777777" w:rsidR="00000000" w:rsidRDefault="00195E73">
            <w:pPr>
              <w:rPr>
                <w:rFonts w:eastAsia="Times New Roman"/>
                <w:sz w:val="20"/>
                <w:szCs w:val="20"/>
              </w:rPr>
            </w:pPr>
          </w:p>
        </w:tc>
        <w:tc>
          <w:tcPr>
            <w:tcW w:w="0" w:type="auto"/>
            <w:vAlign w:val="center"/>
            <w:hideMark/>
          </w:tcPr>
          <w:p w14:paraId="4D2F756F" w14:textId="77777777" w:rsidR="00000000" w:rsidRDefault="00195E73">
            <w:pPr>
              <w:rPr>
                <w:rFonts w:eastAsia="Times New Roman"/>
                <w:sz w:val="20"/>
                <w:szCs w:val="20"/>
              </w:rPr>
            </w:pPr>
          </w:p>
        </w:tc>
        <w:tc>
          <w:tcPr>
            <w:tcW w:w="0" w:type="auto"/>
            <w:vAlign w:val="center"/>
            <w:hideMark/>
          </w:tcPr>
          <w:p w14:paraId="30B8FA18" w14:textId="77777777" w:rsidR="00000000" w:rsidRDefault="00195E73">
            <w:pPr>
              <w:rPr>
                <w:rFonts w:eastAsia="Times New Roman"/>
                <w:sz w:val="20"/>
                <w:szCs w:val="20"/>
              </w:rPr>
            </w:pPr>
          </w:p>
        </w:tc>
        <w:tc>
          <w:tcPr>
            <w:tcW w:w="0" w:type="auto"/>
            <w:vAlign w:val="center"/>
            <w:hideMark/>
          </w:tcPr>
          <w:p w14:paraId="435F2B3B" w14:textId="77777777" w:rsidR="00000000" w:rsidRDefault="00195E73">
            <w:pPr>
              <w:rPr>
                <w:rFonts w:eastAsia="Times New Roman"/>
                <w:sz w:val="20"/>
                <w:szCs w:val="20"/>
              </w:rPr>
            </w:pPr>
          </w:p>
        </w:tc>
      </w:tr>
      <w:tr w:rsidR="00000000" w14:paraId="04E63907" w14:textId="77777777">
        <w:trPr>
          <w:divId w:val="665473675"/>
          <w:jc w:val="center"/>
        </w:trPr>
        <w:tc>
          <w:tcPr>
            <w:tcW w:w="0" w:type="auto"/>
            <w:gridSpan w:val="3"/>
            <w:shd w:val="clear" w:color="auto" w:fill="CCEEFF"/>
            <w:tcMar>
              <w:top w:w="30" w:type="dxa"/>
              <w:left w:w="20" w:type="dxa"/>
              <w:bottom w:w="30" w:type="dxa"/>
              <w:right w:w="20" w:type="dxa"/>
            </w:tcMar>
            <w:vAlign w:val="bottom"/>
            <w:hideMark/>
          </w:tcPr>
          <w:p w14:paraId="69F8251B" w14:textId="77777777" w:rsidR="00000000" w:rsidRDefault="00195E73">
            <w:pPr>
              <w:rPr>
                <w:rFonts w:eastAsia="Times New Roman"/>
              </w:rPr>
            </w:pPr>
            <w:r>
              <w:rPr>
                <w:rFonts w:eastAsia="Times New Roman"/>
                <w:color w:val="000000"/>
                <w:sz w:val="20"/>
                <w:szCs w:val="20"/>
              </w:rPr>
              <w:t>Investment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FB465DB" w14:textId="77777777" w:rsidR="00000000" w:rsidRDefault="00195E73">
            <w:pPr>
              <w:jc w:val="right"/>
              <w:rPr>
                <w:rFonts w:eastAsia="Times New Roman"/>
              </w:rPr>
            </w:pPr>
            <w:r>
              <w:rPr>
                <w:rFonts w:eastAsia="Times New Roman"/>
                <w:color w:val="000000"/>
                <w:sz w:val="20"/>
                <w:szCs w:val="20"/>
              </w:rPr>
              <w:t>9,945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6B475B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4151B1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BD15F3" w14:textId="77777777" w:rsidR="00000000" w:rsidRDefault="00195E73">
            <w:pPr>
              <w:jc w:val="right"/>
              <w:rPr>
                <w:rFonts w:eastAsia="Times New Roman"/>
              </w:rPr>
            </w:pPr>
            <w:r>
              <w:rPr>
                <w:rFonts w:eastAsia="Times New Roman"/>
                <w:color w:val="000000"/>
                <w:sz w:val="20"/>
                <w:szCs w:val="20"/>
              </w:rPr>
              <w:t>8,337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8FFE7E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C6FDCCA" w14:textId="77777777" w:rsidR="00000000" w:rsidRDefault="00195E73">
            <w:pPr>
              <w:rPr>
                <w:rFonts w:eastAsia="Times New Roman"/>
                <w:sz w:val="20"/>
                <w:szCs w:val="20"/>
              </w:rPr>
            </w:pPr>
          </w:p>
        </w:tc>
        <w:tc>
          <w:tcPr>
            <w:tcW w:w="0" w:type="auto"/>
            <w:vAlign w:val="center"/>
            <w:hideMark/>
          </w:tcPr>
          <w:p w14:paraId="0A75E563" w14:textId="77777777" w:rsidR="00000000" w:rsidRDefault="00195E73">
            <w:pPr>
              <w:rPr>
                <w:rFonts w:eastAsia="Times New Roman"/>
                <w:sz w:val="20"/>
                <w:szCs w:val="20"/>
              </w:rPr>
            </w:pPr>
          </w:p>
        </w:tc>
        <w:tc>
          <w:tcPr>
            <w:tcW w:w="0" w:type="auto"/>
            <w:vAlign w:val="center"/>
            <w:hideMark/>
          </w:tcPr>
          <w:p w14:paraId="67EDBCB0" w14:textId="77777777" w:rsidR="00000000" w:rsidRDefault="00195E73">
            <w:pPr>
              <w:rPr>
                <w:rFonts w:eastAsia="Times New Roman"/>
                <w:sz w:val="20"/>
                <w:szCs w:val="20"/>
              </w:rPr>
            </w:pPr>
          </w:p>
        </w:tc>
        <w:tc>
          <w:tcPr>
            <w:tcW w:w="0" w:type="auto"/>
            <w:vAlign w:val="center"/>
            <w:hideMark/>
          </w:tcPr>
          <w:p w14:paraId="266C8ED8" w14:textId="77777777" w:rsidR="00000000" w:rsidRDefault="00195E73">
            <w:pPr>
              <w:rPr>
                <w:rFonts w:eastAsia="Times New Roman"/>
                <w:sz w:val="20"/>
                <w:szCs w:val="20"/>
              </w:rPr>
            </w:pPr>
          </w:p>
        </w:tc>
        <w:tc>
          <w:tcPr>
            <w:tcW w:w="0" w:type="auto"/>
            <w:vAlign w:val="center"/>
            <w:hideMark/>
          </w:tcPr>
          <w:p w14:paraId="2DB0C551" w14:textId="77777777" w:rsidR="00000000" w:rsidRDefault="00195E73">
            <w:pPr>
              <w:rPr>
                <w:rFonts w:eastAsia="Times New Roman"/>
                <w:sz w:val="20"/>
                <w:szCs w:val="20"/>
              </w:rPr>
            </w:pPr>
          </w:p>
        </w:tc>
        <w:tc>
          <w:tcPr>
            <w:tcW w:w="0" w:type="auto"/>
            <w:vAlign w:val="center"/>
            <w:hideMark/>
          </w:tcPr>
          <w:p w14:paraId="718E8DE3" w14:textId="77777777" w:rsidR="00000000" w:rsidRDefault="00195E73">
            <w:pPr>
              <w:rPr>
                <w:rFonts w:eastAsia="Times New Roman"/>
                <w:sz w:val="20"/>
                <w:szCs w:val="20"/>
              </w:rPr>
            </w:pPr>
          </w:p>
        </w:tc>
      </w:tr>
      <w:tr w:rsidR="00000000" w14:paraId="572700ED"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0F2662E4" w14:textId="77777777" w:rsidR="00000000" w:rsidRDefault="00195E73">
            <w:pPr>
              <w:rPr>
                <w:rFonts w:eastAsia="Times New Roman"/>
              </w:rPr>
            </w:pPr>
            <w:r>
              <w:rPr>
                <w:rFonts w:eastAsia="Times New Roman"/>
                <w:color w:val="000000"/>
                <w:sz w:val="20"/>
                <w:szCs w:val="20"/>
              </w:rPr>
              <w:t>Due from broker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EAC71C9" w14:textId="77777777" w:rsidR="00000000" w:rsidRDefault="00195E73">
            <w:pPr>
              <w:jc w:val="right"/>
              <w:rPr>
                <w:rFonts w:eastAsia="Times New Roman"/>
              </w:rPr>
            </w:pPr>
            <w:r>
              <w:rPr>
                <w:rFonts w:eastAsia="Times New Roman"/>
                <w:color w:val="000000"/>
                <w:sz w:val="20"/>
                <w:szCs w:val="20"/>
              </w:rPr>
              <w:t>858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896054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E549BA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E3437B" w14:textId="77777777" w:rsidR="00000000" w:rsidRDefault="00195E73">
            <w:pPr>
              <w:jc w:val="right"/>
              <w:rPr>
                <w:rFonts w:eastAsia="Times New Roman"/>
              </w:rPr>
            </w:pPr>
            <w:r>
              <w:rPr>
                <w:rFonts w:eastAsia="Times New Roman"/>
                <w:color w:val="000000"/>
                <w:sz w:val="20"/>
                <w:szCs w:val="20"/>
              </w:rPr>
              <w:t>664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FA0B74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3A3E05B" w14:textId="77777777" w:rsidR="00000000" w:rsidRDefault="00195E73">
            <w:pPr>
              <w:rPr>
                <w:rFonts w:eastAsia="Times New Roman"/>
                <w:sz w:val="20"/>
                <w:szCs w:val="20"/>
              </w:rPr>
            </w:pPr>
          </w:p>
        </w:tc>
        <w:tc>
          <w:tcPr>
            <w:tcW w:w="0" w:type="auto"/>
            <w:vAlign w:val="center"/>
            <w:hideMark/>
          </w:tcPr>
          <w:p w14:paraId="50E2DA80" w14:textId="77777777" w:rsidR="00000000" w:rsidRDefault="00195E73">
            <w:pPr>
              <w:rPr>
                <w:rFonts w:eastAsia="Times New Roman"/>
                <w:sz w:val="20"/>
                <w:szCs w:val="20"/>
              </w:rPr>
            </w:pPr>
          </w:p>
        </w:tc>
        <w:tc>
          <w:tcPr>
            <w:tcW w:w="0" w:type="auto"/>
            <w:vAlign w:val="center"/>
            <w:hideMark/>
          </w:tcPr>
          <w:p w14:paraId="29E5395E" w14:textId="77777777" w:rsidR="00000000" w:rsidRDefault="00195E73">
            <w:pPr>
              <w:rPr>
                <w:rFonts w:eastAsia="Times New Roman"/>
                <w:sz w:val="20"/>
                <w:szCs w:val="20"/>
              </w:rPr>
            </w:pPr>
          </w:p>
        </w:tc>
        <w:tc>
          <w:tcPr>
            <w:tcW w:w="0" w:type="auto"/>
            <w:vAlign w:val="center"/>
            <w:hideMark/>
          </w:tcPr>
          <w:p w14:paraId="59D68EF5" w14:textId="77777777" w:rsidR="00000000" w:rsidRDefault="00195E73">
            <w:pPr>
              <w:rPr>
                <w:rFonts w:eastAsia="Times New Roman"/>
                <w:sz w:val="20"/>
                <w:szCs w:val="20"/>
              </w:rPr>
            </w:pPr>
          </w:p>
        </w:tc>
        <w:tc>
          <w:tcPr>
            <w:tcW w:w="0" w:type="auto"/>
            <w:vAlign w:val="center"/>
            <w:hideMark/>
          </w:tcPr>
          <w:p w14:paraId="1737359B" w14:textId="77777777" w:rsidR="00000000" w:rsidRDefault="00195E73">
            <w:pPr>
              <w:rPr>
                <w:rFonts w:eastAsia="Times New Roman"/>
                <w:sz w:val="20"/>
                <w:szCs w:val="20"/>
              </w:rPr>
            </w:pPr>
          </w:p>
        </w:tc>
        <w:tc>
          <w:tcPr>
            <w:tcW w:w="0" w:type="auto"/>
            <w:vAlign w:val="center"/>
            <w:hideMark/>
          </w:tcPr>
          <w:p w14:paraId="3C1044AA" w14:textId="77777777" w:rsidR="00000000" w:rsidRDefault="00195E73">
            <w:pPr>
              <w:rPr>
                <w:rFonts w:eastAsia="Times New Roman"/>
                <w:sz w:val="20"/>
                <w:szCs w:val="20"/>
              </w:rPr>
            </w:pPr>
          </w:p>
        </w:tc>
      </w:tr>
      <w:tr w:rsidR="00000000" w14:paraId="33C6FA8F" w14:textId="77777777">
        <w:trPr>
          <w:divId w:val="665473675"/>
          <w:jc w:val="center"/>
        </w:trPr>
        <w:tc>
          <w:tcPr>
            <w:tcW w:w="0" w:type="auto"/>
            <w:gridSpan w:val="3"/>
            <w:shd w:val="clear" w:color="auto" w:fill="CCEEFF"/>
            <w:tcMar>
              <w:top w:w="30" w:type="dxa"/>
              <w:left w:w="20" w:type="dxa"/>
              <w:bottom w:w="30" w:type="dxa"/>
              <w:right w:w="20" w:type="dxa"/>
            </w:tcMar>
            <w:vAlign w:val="bottom"/>
            <w:hideMark/>
          </w:tcPr>
          <w:p w14:paraId="0E5B75C4" w14:textId="77777777" w:rsidR="00000000" w:rsidRDefault="00195E73">
            <w:pPr>
              <w:rPr>
                <w:rFonts w:eastAsia="Times New Roman"/>
              </w:rPr>
            </w:pPr>
            <w:r>
              <w:rPr>
                <w:rFonts w:eastAsia="Times New Roman"/>
                <w:color w:val="000000"/>
                <w:sz w:val="20"/>
                <w:szCs w:val="20"/>
              </w:rPr>
              <w:t>Accounts receivable,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65C1A8BB" w14:textId="77777777" w:rsidR="00000000" w:rsidRDefault="00195E73">
            <w:pPr>
              <w:jc w:val="right"/>
              <w:rPr>
                <w:rFonts w:eastAsia="Times New Roman"/>
              </w:rPr>
            </w:pPr>
            <w:r>
              <w:rPr>
                <w:rFonts w:eastAsia="Times New Roman"/>
                <w:color w:val="000000"/>
                <w:sz w:val="20"/>
                <w:szCs w:val="20"/>
              </w:rPr>
              <w:t>475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173078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4F531C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8316FB" w14:textId="77777777" w:rsidR="00000000" w:rsidRDefault="00195E73">
            <w:pPr>
              <w:jc w:val="right"/>
              <w:rPr>
                <w:rFonts w:eastAsia="Times New Roman"/>
              </w:rPr>
            </w:pPr>
            <w:r>
              <w:rPr>
                <w:rFonts w:eastAsia="Times New Roman"/>
                <w:color w:val="000000"/>
                <w:sz w:val="20"/>
                <w:szCs w:val="20"/>
              </w:rPr>
              <w:t>474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915487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088E5CD" w14:textId="77777777" w:rsidR="00000000" w:rsidRDefault="00195E73">
            <w:pPr>
              <w:rPr>
                <w:rFonts w:eastAsia="Times New Roman"/>
                <w:sz w:val="20"/>
                <w:szCs w:val="20"/>
              </w:rPr>
            </w:pPr>
          </w:p>
        </w:tc>
        <w:tc>
          <w:tcPr>
            <w:tcW w:w="0" w:type="auto"/>
            <w:vAlign w:val="center"/>
            <w:hideMark/>
          </w:tcPr>
          <w:p w14:paraId="5EE4BFB7" w14:textId="77777777" w:rsidR="00000000" w:rsidRDefault="00195E73">
            <w:pPr>
              <w:rPr>
                <w:rFonts w:eastAsia="Times New Roman"/>
                <w:sz w:val="20"/>
                <w:szCs w:val="20"/>
              </w:rPr>
            </w:pPr>
          </w:p>
        </w:tc>
        <w:tc>
          <w:tcPr>
            <w:tcW w:w="0" w:type="auto"/>
            <w:vAlign w:val="center"/>
            <w:hideMark/>
          </w:tcPr>
          <w:p w14:paraId="089BABF2" w14:textId="77777777" w:rsidR="00000000" w:rsidRDefault="00195E73">
            <w:pPr>
              <w:rPr>
                <w:rFonts w:eastAsia="Times New Roman"/>
                <w:sz w:val="20"/>
                <w:szCs w:val="20"/>
              </w:rPr>
            </w:pPr>
          </w:p>
        </w:tc>
        <w:tc>
          <w:tcPr>
            <w:tcW w:w="0" w:type="auto"/>
            <w:vAlign w:val="center"/>
            <w:hideMark/>
          </w:tcPr>
          <w:p w14:paraId="57201BEF" w14:textId="77777777" w:rsidR="00000000" w:rsidRDefault="00195E73">
            <w:pPr>
              <w:rPr>
                <w:rFonts w:eastAsia="Times New Roman"/>
                <w:sz w:val="20"/>
                <w:szCs w:val="20"/>
              </w:rPr>
            </w:pPr>
          </w:p>
        </w:tc>
        <w:tc>
          <w:tcPr>
            <w:tcW w:w="0" w:type="auto"/>
            <w:vAlign w:val="center"/>
            <w:hideMark/>
          </w:tcPr>
          <w:p w14:paraId="05DC826F" w14:textId="77777777" w:rsidR="00000000" w:rsidRDefault="00195E73">
            <w:pPr>
              <w:rPr>
                <w:rFonts w:eastAsia="Times New Roman"/>
                <w:sz w:val="20"/>
                <w:szCs w:val="20"/>
              </w:rPr>
            </w:pPr>
          </w:p>
        </w:tc>
        <w:tc>
          <w:tcPr>
            <w:tcW w:w="0" w:type="auto"/>
            <w:vAlign w:val="center"/>
            <w:hideMark/>
          </w:tcPr>
          <w:p w14:paraId="7784914C" w14:textId="77777777" w:rsidR="00000000" w:rsidRDefault="00195E73">
            <w:pPr>
              <w:rPr>
                <w:rFonts w:eastAsia="Times New Roman"/>
                <w:sz w:val="20"/>
                <w:szCs w:val="20"/>
              </w:rPr>
            </w:pPr>
          </w:p>
        </w:tc>
      </w:tr>
      <w:tr w:rsidR="00000000" w14:paraId="6B127512"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738713CB" w14:textId="77777777" w:rsidR="00000000" w:rsidRDefault="00195E73">
            <w:pPr>
              <w:rPr>
                <w:rFonts w:eastAsia="Times New Roman"/>
              </w:rPr>
            </w:pPr>
            <w:r>
              <w:rPr>
                <w:rFonts w:eastAsia="Times New Roman"/>
                <w:color w:val="000000"/>
                <w:sz w:val="20"/>
                <w:szCs w:val="20"/>
              </w:rPr>
              <w:t>Inventories,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200F3667" w14:textId="77777777" w:rsidR="00000000" w:rsidRDefault="00195E73">
            <w:pPr>
              <w:jc w:val="right"/>
              <w:rPr>
                <w:rFonts w:eastAsia="Times New Roman"/>
              </w:rPr>
            </w:pPr>
            <w:r>
              <w:rPr>
                <w:rFonts w:eastAsia="Times New Roman"/>
                <w:color w:val="000000"/>
                <w:sz w:val="20"/>
                <w:szCs w:val="20"/>
              </w:rPr>
              <w:t>1,812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2A6D76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5A13C1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8A28E1" w14:textId="77777777" w:rsidR="00000000" w:rsidRDefault="00195E73">
            <w:pPr>
              <w:jc w:val="right"/>
              <w:rPr>
                <w:rFonts w:eastAsia="Times New Roman"/>
              </w:rPr>
            </w:pPr>
            <w:r>
              <w:rPr>
                <w:rFonts w:eastAsia="Times New Roman"/>
                <w:color w:val="000000"/>
                <w:sz w:val="20"/>
                <w:szCs w:val="20"/>
              </w:rPr>
              <w:t>1,779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04EFBE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122C7A7" w14:textId="77777777" w:rsidR="00000000" w:rsidRDefault="00195E73">
            <w:pPr>
              <w:rPr>
                <w:rFonts w:eastAsia="Times New Roman"/>
                <w:sz w:val="20"/>
                <w:szCs w:val="20"/>
              </w:rPr>
            </w:pPr>
          </w:p>
        </w:tc>
        <w:tc>
          <w:tcPr>
            <w:tcW w:w="0" w:type="auto"/>
            <w:vAlign w:val="center"/>
            <w:hideMark/>
          </w:tcPr>
          <w:p w14:paraId="1E521960" w14:textId="77777777" w:rsidR="00000000" w:rsidRDefault="00195E73">
            <w:pPr>
              <w:rPr>
                <w:rFonts w:eastAsia="Times New Roman"/>
                <w:sz w:val="20"/>
                <w:szCs w:val="20"/>
              </w:rPr>
            </w:pPr>
          </w:p>
        </w:tc>
        <w:tc>
          <w:tcPr>
            <w:tcW w:w="0" w:type="auto"/>
            <w:vAlign w:val="center"/>
            <w:hideMark/>
          </w:tcPr>
          <w:p w14:paraId="4EA44B32" w14:textId="77777777" w:rsidR="00000000" w:rsidRDefault="00195E73">
            <w:pPr>
              <w:rPr>
                <w:rFonts w:eastAsia="Times New Roman"/>
                <w:sz w:val="20"/>
                <w:szCs w:val="20"/>
              </w:rPr>
            </w:pPr>
          </w:p>
        </w:tc>
        <w:tc>
          <w:tcPr>
            <w:tcW w:w="0" w:type="auto"/>
            <w:vAlign w:val="center"/>
            <w:hideMark/>
          </w:tcPr>
          <w:p w14:paraId="0FE59668" w14:textId="77777777" w:rsidR="00000000" w:rsidRDefault="00195E73">
            <w:pPr>
              <w:rPr>
                <w:rFonts w:eastAsia="Times New Roman"/>
                <w:sz w:val="20"/>
                <w:szCs w:val="20"/>
              </w:rPr>
            </w:pPr>
          </w:p>
        </w:tc>
        <w:tc>
          <w:tcPr>
            <w:tcW w:w="0" w:type="auto"/>
            <w:vAlign w:val="center"/>
            <w:hideMark/>
          </w:tcPr>
          <w:p w14:paraId="75C7D411" w14:textId="77777777" w:rsidR="00000000" w:rsidRDefault="00195E73">
            <w:pPr>
              <w:rPr>
                <w:rFonts w:eastAsia="Times New Roman"/>
                <w:sz w:val="20"/>
                <w:szCs w:val="20"/>
              </w:rPr>
            </w:pPr>
          </w:p>
        </w:tc>
        <w:tc>
          <w:tcPr>
            <w:tcW w:w="0" w:type="auto"/>
            <w:vAlign w:val="center"/>
            <w:hideMark/>
          </w:tcPr>
          <w:p w14:paraId="0E1F8A89" w14:textId="77777777" w:rsidR="00000000" w:rsidRDefault="00195E73">
            <w:pPr>
              <w:rPr>
                <w:rFonts w:eastAsia="Times New Roman"/>
                <w:sz w:val="20"/>
                <w:szCs w:val="20"/>
              </w:rPr>
            </w:pPr>
          </w:p>
        </w:tc>
      </w:tr>
      <w:tr w:rsidR="00000000" w14:paraId="72D15193" w14:textId="77777777">
        <w:trPr>
          <w:divId w:val="665473675"/>
          <w:jc w:val="center"/>
        </w:trPr>
        <w:tc>
          <w:tcPr>
            <w:tcW w:w="0" w:type="auto"/>
            <w:gridSpan w:val="3"/>
            <w:shd w:val="clear" w:color="auto" w:fill="CCEEFF"/>
            <w:tcMar>
              <w:top w:w="30" w:type="dxa"/>
              <w:left w:w="20" w:type="dxa"/>
              <w:bottom w:w="30" w:type="dxa"/>
              <w:right w:w="20" w:type="dxa"/>
            </w:tcMar>
            <w:vAlign w:val="bottom"/>
            <w:hideMark/>
          </w:tcPr>
          <w:p w14:paraId="3E22226F" w14:textId="77777777" w:rsidR="00000000" w:rsidRDefault="00195E73">
            <w:pPr>
              <w:rPr>
                <w:rFonts w:eastAsia="Times New Roman"/>
              </w:rPr>
            </w:pPr>
            <w:r>
              <w:rPr>
                <w:rFonts w:eastAsia="Times New Roman"/>
                <w:color w:val="000000"/>
                <w:sz w:val="20"/>
                <w:szCs w:val="20"/>
              </w:rPr>
              <w:t>Property, plant and equipment,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3E8FCF92" w14:textId="77777777" w:rsidR="00000000" w:rsidRDefault="00195E73">
            <w:pPr>
              <w:jc w:val="right"/>
              <w:rPr>
                <w:rFonts w:eastAsia="Times New Roman"/>
              </w:rPr>
            </w:pPr>
            <w:r>
              <w:rPr>
                <w:rFonts w:eastAsia="Times New Roman"/>
                <w:color w:val="000000"/>
                <w:sz w:val="20"/>
                <w:szCs w:val="20"/>
              </w:rPr>
              <w:t>4,541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E1AE65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024F7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AFA894" w14:textId="77777777" w:rsidR="00000000" w:rsidRDefault="00195E73">
            <w:pPr>
              <w:jc w:val="right"/>
              <w:rPr>
                <w:rFonts w:eastAsia="Times New Roman"/>
              </w:rPr>
            </w:pPr>
            <w:r>
              <w:rPr>
                <w:rFonts w:eastAsia="Times New Roman"/>
                <w:color w:val="000000"/>
                <w:sz w:val="20"/>
                <w:szCs w:val="20"/>
              </w:rPr>
              <w:t>4,688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5E3048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131121F" w14:textId="77777777" w:rsidR="00000000" w:rsidRDefault="00195E73">
            <w:pPr>
              <w:rPr>
                <w:rFonts w:eastAsia="Times New Roman"/>
                <w:sz w:val="20"/>
                <w:szCs w:val="20"/>
              </w:rPr>
            </w:pPr>
          </w:p>
        </w:tc>
        <w:tc>
          <w:tcPr>
            <w:tcW w:w="0" w:type="auto"/>
            <w:vAlign w:val="center"/>
            <w:hideMark/>
          </w:tcPr>
          <w:p w14:paraId="129104C2" w14:textId="77777777" w:rsidR="00000000" w:rsidRDefault="00195E73">
            <w:pPr>
              <w:rPr>
                <w:rFonts w:eastAsia="Times New Roman"/>
                <w:sz w:val="20"/>
                <w:szCs w:val="20"/>
              </w:rPr>
            </w:pPr>
          </w:p>
        </w:tc>
        <w:tc>
          <w:tcPr>
            <w:tcW w:w="0" w:type="auto"/>
            <w:vAlign w:val="center"/>
            <w:hideMark/>
          </w:tcPr>
          <w:p w14:paraId="6070439E" w14:textId="77777777" w:rsidR="00000000" w:rsidRDefault="00195E73">
            <w:pPr>
              <w:rPr>
                <w:rFonts w:eastAsia="Times New Roman"/>
                <w:sz w:val="20"/>
                <w:szCs w:val="20"/>
              </w:rPr>
            </w:pPr>
          </w:p>
        </w:tc>
        <w:tc>
          <w:tcPr>
            <w:tcW w:w="0" w:type="auto"/>
            <w:vAlign w:val="center"/>
            <w:hideMark/>
          </w:tcPr>
          <w:p w14:paraId="4DDEE6A1" w14:textId="77777777" w:rsidR="00000000" w:rsidRDefault="00195E73">
            <w:pPr>
              <w:rPr>
                <w:rFonts w:eastAsia="Times New Roman"/>
                <w:sz w:val="20"/>
                <w:szCs w:val="20"/>
              </w:rPr>
            </w:pPr>
          </w:p>
        </w:tc>
        <w:tc>
          <w:tcPr>
            <w:tcW w:w="0" w:type="auto"/>
            <w:vAlign w:val="center"/>
            <w:hideMark/>
          </w:tcPr>
          <w:p w14:paraId="7B428D58" w14:textId="77777777" w:rsidR="00000000" w:rsidRDefault="00195E73">
            <w:pPr>
              <w:rPr>
                <w:rFonts w:eastAsia="Times New Roman"/>
                <w:sz w:val="20"/>
                <w:szCs w:val="20"/>
              </w:rPr>
            </w:pPr>
          </w:p>
        </w:tc>
        <w:tc>
          <w:tcPr>
            <w:tcW w:w="0" w:type="auto"/>
            <w:vAlign w:val="center"/>
            <w:hideMark/>
          </w:tcPr>
          <w:p w14:paraId="43356786" w14:textId="77777777" w:rsidR="00000000" w:rsidRDefault="00195E73">
            <w:pPr>
              <w:rPr>
                <w:rFonts w:eastAsia="Times New Roman"/>
                <w:sz w:val="20"/>
                <w:szCs w:val="20"/>
              </w:rPr>
            </w:pPr>
          </w:p>
        </w:tc>
      </w:tr>
      <w:tr w:rsidR="00000000" w14:paraId="3C849C65"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633362B2" w14:textId="77777777" w:rsidR="00000000" w:rsidRDefault="00195E73">
            <w:pPr>
              <w:rPr>
                <w:rFonts w:eastAsia="Times New Roman"/>
              </w:rPr>
            </w:pPr>
            <w:r>
              <w:rPr>
                <w:rFonts w:eastAsia="Times New Roman"/>
                <w:color w:val="000000"/>
                <w:sz w:val="20"/>
                <w:szCs w:val="20"/>
              </w:rPr>
              <w:t>Goodwil</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14:paraId="455E2EE4" w14:textId="77777777" w:rsidR="00000000" w:rsidRDefault="00195E73">
            <w:pPr>
              <w:jc w:val="right"/>
              <w:rPr>
                <w:rFonts w:eastAsia="Times New Roman"/>
              </w:rPr>
            </w:pPr>
            <w:r>
              <w:rPr>
                <w:rFonts w:eastAsia="Times New Roman"/>
                <w:color w:val="000000"/>
                <w:sz w:val="20"/>
                <w:szCs w:val="20"/>
              </w:rPr>
              <w:t>282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939ADB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4C9BA2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F7CD0E" w14:textId="77777777" w:rsidR="00000000" w:rsidRDefault="00195E73">
            <w:pPr>
              <w:jc w:val="right"/>
              <w:rPr>
                <w:rFonts w:eastAsia="Times New Roman"/>
              </w:rPr>
            </w:pPr>
            <w:r>
              <w:rPr>
                <w:rFonts w:eastAsia="Times New Roman"/>
                <w:color w:val="000000"/>
                <w:sz w:val="20"/>
                <w:szCs w:val="20"/>
              </w:rPr>
              <w:t>247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28245D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ABEF677" w14:textId="77777777" w:rsidR="00000000" w:rsidRDefault="00195E73">
            <w:pPr>
              <w:rPr>
                <w:rFonts w:eastAsia="Times New Roman"/>
                <w:sz w:val="20"/>
                <w:szCs w:val="20"/>
              </w:rPr>
            </w:pPr>
          </w:p>
        </w:tc>
        <w:tc>
          <w:tcPr>
            <w:tcW w:w="0" w:type="auto"/>
            <w:vAlign w:val="center"/>
            <w:hideMark/>
          </w:tcPr>
          <w:p w14:paraId="6B022280" w14:textId="77777777" w:rsidR="00000000" w:rsidRDefault="00195E73">
            <w:pPr>
              <w:rPr>
                <w:rFonts w:eastAsia="Times New Roman"/>
                <w:sz w:val="20"/>
                <w:szCs w:val="20"/>
              </w:rPr>
            </w:pPr>
          </w:p>
        </w:tc>
        <w:tc>
          <w:tcPr>
            <w:tcW w:w="0" w:type="auto"/>
            <w:vAlign w:val="center"/>
            <w:hideMark/>
          </w:tcPr>
          <w:p w14:paraId="4BF26F3A" w14:textId="77777777" w:rsidR="00000000" w:rsidRDefault="00195E73">
            <w:pPr>
              <w:rPr>
                <w:rFonts w:eastAsia="Times New Roman"/>
                <w:sz w:val="20"/>
                <w:szCs w:val="20"/>
              </w:rPr>
            </w:pPr>
          </w:p>
        </w:tc>
        <w:tc>
          <w:tcPr>
            <w:tcW w:w="0" w:type="auto"/>
            <w:vAlign w:val="center"/>
            <w:hideMark/>
          </w:tcPr>
          <w:p w14:paraId="2EA1DF1C" w14:textId="77777777" w:rsidR="00000000" w:rsidRDefault="00195E73">
            <w:pPr>
              <w:rPr>
                <w:rFonts w:eastAsia="Times New Roman"/>
                <w:sz w:val="20"/>
                <w:szCs w:val="20"/>
              </w:rPr>
            </w:pPr>
          </w:p>
        </w:tc>
        <w:tc>
          <w:tcPr>
            <w:tcW w:w="0" w:type="auto"/>
            <w:vAlign w:val="center"/>
            <w:hideMark/>
          </w:tcPr>
          <w:p w14:paraId="12F90340" w14:textId="77777777" w:rsidR="00000000" w:rsidRDefault="00195E73">
            <w:pPr>
              <w:rPr>
                <w:rFonts w:eastAsia="Times New Roman"/>
                <w:sz w:val="20"/>
                <w:szCs w:val="20"/>
              </w:rPr>
            </w:pPr>
          </w:p>
        </w:tc>
        <w:tc>
          <w:tcPr>
            <w:tcW w:w="0" w:type="auto"/>
            <w:vAlign w:val="center"/>
            <w:hideMark/>
          </w:tcPr>
          <w:p w14:paraId="75FE6C10" w14:textId="77777777" w:rsidR="00000000" w:rsidRDefault="00195E73">
            <w:pPr>
              <w:rPr>
                <w:rFonts w:eastAsia="Times New Roman"/>
                <w:sz w:val="20"/>
                <w:szCs w:val="20"/>
              </w:rPr>
            </w:pPr>
          </w:p>
        </w:tc>
      </w:tr>
      <w:tr w:rsidR="00000000" w14:paraId="6B8A6055" w14:textId="77777777">
        <w:trPr>
          <w:divId w:val="665473675"/>
          <w:jc w:val="center"/>
        </w:trPr>
        <w:tc>
          <w:tcPr>
            <w:tcW w:w="0" w:type="auto"/>
            <w:gridSpan w:val="3"/>
            <w:shd w:val="clear" w:color="auto" w:fill="CCEEFF"/>
            <w:tcMar>
              <w:top w:w="30" w:type="dxa"/>
              <w:left w:w="20" w:type="dxa"/>
              <w:bottom w:w="30" w:type="dxa"/>
              <w:right w:w="20" w:type="dxa"/>
            </w:tcMar>
            <w:vAlign w:val="bottom"/>
            <w:hideMark/>
          </w:tcPr>
          <w:p w14:paraId="4670AED3" w14:textId="77777777" w:rsidR="00000000" w:rsidRDefault="00195E73">
            <w:pPr>
              <w:rPr>
                <w:rFonts w:eastAsia="Times New Roman"/>
              </w:rPr>
            </w:pPr>
            <w:r>
              <w:rPr>
                <w:rFonts w:eastAsia="Times New Roman"/>
                <w:color w:val="000000"/>
                <w:sz w:val="20"/>
                <w:szCs w:val="20"/>
              </w:rPr>
              <w:t>Intangible assets,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6BEFB036" w14:textId="77777777" w:rsidR="00000000" w:rsidRDefault="00195E73">
            <w:pPr>
              <w:jc w:val="right"/>
              <w:rPr>
                <w:rFonts w:eastAsia="Times New Roman"/>
              </w:rPr>
            </w:pPr>
            <w:r>
              <w:rPr>
                <w:rFonts w:eastAsia="Times New Roman"/>
                <w:color w:val="000000"/>
                <w:sz w:val="20"/>
                <w:szCs w:val="20"/>
              </w:rPr>
              <w:t>431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548067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72D175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E62899" w14:textId="77777777" w:rsidR="00000000" w:rsidRDefault="00195E73">
            <w:pPr>
              <w:jc w:val="right"/>
              <w:rPr>
                <w:rFonts w:eastAsia="Times New Roman"/>
              </w:rPr>
            </w:pPr>
            <w:r>
              <w:rPr>
                <w:rFonts w:eastAsia="Times New Roman"/>
                <w:color w:val="000000"/>
                <w:sz w:val="20"/>
                <w:szCs w:val="20"/>
              </w:rPr>
              <w:t>501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3B038F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A855AB4" w14:textId="77777777" w:rsidR="00000000" w:rsidRDefault="00195E73">
            <w:pPr>
              <w:rPr>
                <w:rFonts w:eastAsia="Times New Roman"/>
                <w:sz w:val="20"/>
                <w:szCs w:val="20"/>
              </w:rPr>
            </w:pPr>
          </w:p>
        </w:tc>
        <w:tc>
          <w:tcPr>
            <w:tcW w:w="0" w:type="auto"/>
            <w:vAlign w:val="center"/>
            <w:hideMark/>
          </w:tcPr>
          <w:p w14:paraId="18F58D79" w14:textId="77777777" w:rsidR="00000000" w:rsidRDefault="00195E73">
            <w:pPr>
              <w:rPr>
                <w:rFonts w:eastAsia="Times New Roman"/>
                <w:sz w:val="20"/>
                <w:szCs w:val="20"/>
              </w:rPr>
            </w:pPr>
          </w:p>
        </w:tc>
        <w:tc>
          <w:tcPr>
            <w:tcW w:w="0" w:type="auto"/>
            <w:vAlign w:val="center"/>
            <w:hideMark/>
          </w:tcPr>
          <w:p w14:paraId="1F412BE2" w14:textId="77777777" w:rsidR="00000000" w:rsidRDefault="00195E73">
            <w:pPr>
              <w:rPr>
                <w:rFonts w:eastAsia="Times New Roman"/>
                <w:sz w:val="20"/>
                <w:szCs w:val="20"/>
              </w:rPr>
            </w:pPr>
          </w:p>
        </w:tc>
        <w:tc>
          <w:tcPr>
            <w:tcW w:w="0" w:type="auto"/>
            <w:vAlign w:val="center"/>
            <w:hideMark/>
          </w:tcPr>
          <w:p w14:paraId="223D372C" w14:textId="77777777" w:rsidR="00000000" w:rsidRDefault="00195E73">
            <w:pPr>
              <w:rPr>
                <w:rFonts w:eastAsia="Times New Roman"/>
                <w:sz w:val="20"/>
                <w:szCs w:val="20"/>
              </w:rPr>
            </w:pPr>
          </w:p>
        </w:tc>
        <w:tc>
          <w:tcPr>
            <w:tcW w:w="0" w:type="auto"/>
            <w:vAlign w:val="center"/>
            <w:hideMark/>
          </w:tcPr>
          <w:p w14:paraId="217A640F" w14:textId="77777777" w:rsidR="00000000" w:rsidRDefault="00195E73">
            <w:pPr>
              <w:rPr>
                <w:rFonts w:eastAsia="Times New Roman"/>
                <w:sz w:val="20"/>
                <w:szCs w:val="20"/>
              </w:rPr>
            </w:pPr>
          </w:p>
        </w:tc>
        <w:tc>
          <w:tcPr>
            <w:tcW w:w="0" w:type="auto"/>
            <w:vAlign w:val="center"/>
            <w:hideMark/>
          </w:tcPr>
          <w:p w14:paraId="6F5D5B74" w14:textId="77777777" w:rsidR="00000000" w:rsidRDefault="00195E73">
            <w:pPr>
              <w:rPr>
                <w:rFonts w:eastAsia="Times New Roman"/>
                <w:sz w:val="20"/>
                <w:szCs w:val="20"/>
              </w:rPr>
            </w:pPr>
          </w:p>
        </w:tc>
      </w:tr>
      <w:tr w:rsidR="00000000" w14:paraId="59FDFDBD"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369E8C00" w14:textId="77777777" w:rsidR="00000000" w:rsidRDefault="00195E73">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B6D9DDC" w14:textId="77777777" w:rsidR="00000000" w:rsidRDefault="00195E73">
            <w:pPr>
              <w:jc w:val="right"/>
              <w:rPr>
                <w:rFonts w:eastAsia="Times New Roman"/>
              </w:rPr>
            </w:pPr>
            <w:r>
              <w:rPr>
                <w:rFonts w:eastAsia="Times New Roman"/>
                <w:color w:val="000000"/>
                <w:sz w:val="20"/>
                <w:szCs w:val="20"/>
              </w:rPr>
              <w:t>1,350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74DF42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49CB0D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383FA8" w14:textId="77777777" w:rsidR="00000000" w:rsidRDefault="00195E73">
            <w:pPr>
              <w:jc w:val="right"/>
              <w:rPr>
                <w:rFonts w:eastAsia="Times New Roman"/>
              </w:rPr>
            </w:pPr>
            <w:r>
              <w:rPr>
                <w:rFonts w:eastAsia="Times New Roman"/>
                <w:color w:val="000000"/>
                <w:sz w:val="20"/>
                <w:szCs w:val="20"/>
              </w:rPr>
              <w:t>1,493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AEEE1E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95E2F64" w14:textId="77777777" w:rsidR="00000000" w:rsidRDefault="00195E73">
            <w:pPr>
              <w:rPr>
                <w:rFonts w:eastAsia="Times New Roman"/>
                <w:sz w:val="20"/>
                <w:szCs w:val="20"/>
              </w:rPr>
            </w:pPr>
          </w:p>
        </w:tc>
        <w:tc>
          <w:tcPr>
            <w:tcW w:w="0" w:type="auto"/>
            <w:vAlign w:val="center"/>
            <w:hideMark/>
          </w:tcPr>
          <w:p w14:paraId="5D4CF78D" w14:textId="77777777" w:rsidR="00000000" w:rsidRDefault="00195E73">
            <w:pPr>
              <w:rPr>
                <w:rFonts w:eastAsia="Times New Roman"/>
                <w:sz w:val="20"/>
                <w:szCs w:val="20"/>
              </w:rPr>
            </w:pPr>
          </w:p>
        </w:tc>
        <w:tc>
          <w:tcPr>
            <w:tcW w:w="0" w:type="auto"/>
            <w:vAlign w:val="center"/>
            <w:hideMark/>
          </w:tcPr>
          <w:p w14:paraId="6CC1CF76" w14:textId="77777777" w:rsidR="00000000" w:rsidRDefault="00195E73">
            <w:pPr>
              <w:rPr>
                <w:rFonts w:eastAsia="Times New Roman"/>
                <w:sz w:val="20"/>
                <w:szCs w:val="20"/>
              </w:rPr>
            </w:pPr>
          </w:p>
        </w:tc>
        <w:tc>
          <w:tcPr>
            <w:tcW w:w="0" w:type="auto"/>
            <w:vAlign w:val="center"/>
            <w:hideMark/>
          </w:tcPr>
          <w:p w14:paraId="6240C9A4" w14:textId="77777777" w:rsidR="00000000" w:rsidRDefault="00195E73">
            <w:pPr>
              <w:rPr>
                <w:rFonts w:eastAsia="Times New Roman"/>
                <w:sz w:val="20"/>
                <w:szCs w:val="20"/>
              </w:rPr>
            </w:pPr>
          </w:p>
        </w:tc>
        <w:tc>
          <w:tcPr>
            <w:tcW w:w="0" w:type="auto"/>
            <w:vAlign w:val="center"/>
            <w:hideMark/>
          </w:tcPr>
          <w:p w14:paraId="6A848872" w14:textId="77777777" w:rsidR="00000000" w:rsidRDefault="00195E73">
            <w:pPr>
              <w:rPr>
                <w:rFonts w:eastAsia="Times New Roman"/>
                <w:sz w:val="20"/>
                <w:szCs w:val="20"/>
              </w:rPr>
            </w:pPr>
          </w:p>
        </w:tc>
        <w:tc>
          <w:tcPr>
            <w:tcW w:w="0" w:type="auto"/>
            <w:vAlign w:val="center"/>
            <w:hideMark/>
          </w:tcPr>
          <w:p w14:paraId="79735E85" w14:textId="77777777" w:rsidR="00000000" w:rsidRDefault="00195E73">
            <w:pPr>
              <w:rPr>
                <w:rFonts w:eastAsia="Times New Roman"/>
                <w:sz w:val="20"/>
                <w:szCs w:val="20"/>
              </w:rPr>
            </w:pPr>
          </w:p>
        </w:tc>
      </w:tr>
      <w:tr w:rsidR="00000000" w14:paraId="397FB4AF" w14:textId="77777777">
        <w:trPr>
          <w:divId w:val="665473675"/>
          <w:jc w:val="center"/>
        </w:trPr>
        <w:tc>
          <w:tcPr>
            <w:tcW w:w="0" w:type="auto"/>
            <w:gridSpan w:val="3"/>
            <w:shd w:val="clear" w:color="auto" w:fill="CCEEFF"/>
            <w:tcMar>
              <w:top w:w="30" w:type="dxa"/>
              <w:left w:w="20" w:type="dxa"/>
              <w:bottom w:w="30" w:type="dxa"/>
              <w:right w:w="20" w:type="dxa"/>
            </w:tcMar>
            <w:vAlign w:val="bottom"/>
            <w:hideMark/>
          </w:tcPr>
          <w:p w14:paraId="7FFC2B60" w14:textId="77777777" w:rsidR="00000000" w:rsidRDefault="00195E73">
            <w:pPr>
              <w:rPr>
                <w:rFonts w:eastAsia="Times New Roman"/>
              </w:rPr>
            </w:pPr>
            <w:r>
              <w:rPr>
                <w:rFonts w:eastAsia="Times New Roman"/>
                <w:b/>
                <w:bCs/>
                <w:color w:val="000000"/>
                <w:sz w:val="20"/>
                <w:szCs w:val="20"/>
              </w:rPr>
              <w:t>Total Asset</w:t>
            </w:r>
            <w:r>
              <w:rPr>
                <w:rFonts w:eastAsia="Times New Roman"/>
                <w:b/>
                <w:bCs/>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818FB6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171B699" w14:textId="77777777" w:rsidR="00000000" w:rsidRDefault="00195E73">
            <w:pPr>
              <w:jc w:val="right"/>
              <w:rPr>
                <w:rFonts w:eastAsia="Times New Roman"/>
              </w:rPr>
            </w:pPr>
            <w:r>
              <w:rPr>
                <w:rFonts w:eastAsia="Times New Roman"/>
                <w:color w:val="000000"/>
                <w:sz w:val="20"/>
                <w:szCs w:val="20"/>
              </w:rPr>
              <w:t>24,639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276E20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CAD7B9"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1C2CD9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955FD96" w14:textId="77777777" w:rsidR="00000000" w:rsidRDefault="00195E73">
            <w:pPr>
              <w:jc w:val="right"/>
              <w:rPr>
                <w:rFonts w:eastAsia="Times New Roman"/>
              </w:rPr>
            </w:pPr>
            <w:r>
              <w:rPr>
                <w:rFonts w:eastAsia="Times New Roman"/>
                <w:color w:val="000000"/>
                <w:sz w:val="20"/>
                <w:szCs w:val="20"/>
              </w:rPr>
              <w:t>23,521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2EE344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757E733" w14:textId="77777777" w:rsidR="00000000" w:rsidRDefault="00195E73">
            <w:pPr>
              <w:rPr>
                <w:rFonts w:eastAsia="Times New Roman"/>
                <w:sz w:val="20"/>
                <w:szCs w:val="20"/>
              </w:rPr>
            </w:pPr>
          </w:p>
        </w:tc>
        <w:tc>
          <w:tcPr>
            <w:tcW w:w="0" w:type="auto"/>
            <w:vAlign w:val="center"/>
            <w:hideMark/>
          </w:tcPr>
          <w:p w14:paraId="624D68D7" w14:textId="77777777" w:rsidR="00000000" w:rsidRDefault="00195E73">
            <w:pPr>
              <w:rPr>
                <w:rFonts w:eastAsia="Times New Roman"/>
                <w:sz w:val="20"/>
                <w:szCs w:val="20"/>
              </w:rPr>
            </w:pPr>
          </w:p>
        </w:tc>
        <w:tc>
          <w:tcPr>
            <w:tcW w:w="0" w:type="auto"/>
            <w:vAlign w:val="center"/>
            <w:hideMark/>
          </w:tcPr>
          <w:p w14:paraId="4EBBEDBA" w14:textId="77777777" w:rsidR="00000000" w:rsidRDefault="00195E73">
            <w:pPr>
              <w:rPr>
                <w:rFonts w:eastAsia="Times New Roman"/>
                <w:sz w:val="20"/>
                <w:szCs w:val="20"/>
              </w:rPr>
            </w:pPr>
          </w:p>
        </w:tc>
        <w:tc>
          <w:tcPr>
            <w:tcW w:w="0" w:type="auto"/>
            <w:vAlign w:val="center"/>
            <w:hideMark/>
          </w:tcPr>
          <w:p w14:paraId="1A9BC872" w14:textId="77777777" w:rsidR="00000000" w:rsidRDefault="00195E73">
            <w:pPr>
              <w:rPr>
                <w:rFonts w:eastAsia="Times New Roman"/>
                <w:sz w:val="20"/>
                <w:szCs w:val="20"/>
              </w:rPr>
            </w:pPr>
          </w:p>
        </w:tc>
        <w:tc>
          <w:tcPr>
            <w:tcW w:w="0" w:type="auto"/>
            <w:vAlign w:val="center"/>
            <w:hideMark/>
          </w:tcPr>
          <w:p w14:paraId="65658904" w14:textId="77777777" w:rsidR="00000000" w:rsidRDefault="00195E73">
            <w:pPr>
              <w:rPr>
                <w:rFonts w:eastAsia="Times New Roman"/>
                <w:sz w:val="20"/>
                <w:szCs w:val="20"/>
              </w:rPr>
            </w:pPr>
          </w:p>
        </w:tc>
        <w:tc>
          <w:tcPr>
            <w:tcW w:w="0" w:type="auto"/>
            <w:vAlign w:val="center"/>
            <w:hideMark/>
          </w:tcPr>
          <w:p w14:paraId="034642DC" w14:textId="77777777" w:rsidR="00000000" w:rsidRDefault="00195E73">
            <w:pPr>
              <w:rPr>
                <w:rFonts w:eastAsia="Times New Roman"/>
                <w:sz w:val="20"/>
                <w:szCs w:val="20"/>
              </w:rPr>
            </w:pPr>
          </w:p>
        </w:tc>
      </w:tr>
      <w:tr w:rsidR="00000000" w14:paraId="3A145CD8"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73437158" w14:textId="77777777" w:rsidR="00000000" w:rsidRDefault="00195E73">
            <w:pPr>
              <w:jc w:val="center"/>
              <w:rPr>
                <w:rFonts w:eastAsia="Times New Roman"/>
              </w:rPr>
            </w:pPr>
            <w:r>
              <w:rPr>
                <w:rFonts w:eastAsia="Times New Roman"/>
                <w:b/>
                <w:bCs/>
                <w:color w:val="000000"/>
                <w:sz w:val="20"/>
                <w:szCs w:val="20"/>
              </w:rPr>
              <w:t>LIABILITIES AND EQUIT</w:t>
            </w:r>
            <w:r>
              <w:rPr>
                <w:rFonts w:eastAsia="Times New Roman"/>
                <w:b/>
                <w:bCs/>
                <w:color w:val="000000"/>
                <w:sz w:val="20"/>
                <w:szCs w:val="20"/>
              </w:rPr>
              <w:t>Y</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7D6030A8" w14:textId="77777777" w:rsidR="00000000" w:rsidRDefault="00195E73">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E378840"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372FCC1" w14:textId="77777777" w:rsidR="00000000" w:rsidRDefault="00195E73">
            <w:pPr>
              <w:rPr>
                <w:rFonts w:eastAsia="Times New Roman"/>
                <w:sz w:val="20"/>
                <w:szCs w:val="20"/>
              </w:rPr>
            </w:pPr>
          </w:p>
        </w:tc>
        <w:tc>
          <w:tcPr>
            <w:tcW w:w="0" w:type="auto"/>
            <w:vAlign w:val="center"/>
            <w:hideMark/>
          </w:tcPr>
          <w:p w14:paraId="4D575B8B" w14:textId="77777777" w:rsidR="00000000" w:rsidRDefault="00195E73">
            <w:pPr>
              <w:rPr>
                <w:rFonts w:eastAsia="Times New Roman"/>
                <w:sz w:val="20"/>
                <w:szCs w:val="20"/>
              </w:rPr>
            </w:pPr>
          </w:p>
        </w:tc>
        <w:tc>
          <w:tcPr>
            <w:tcW w:w="0" w:type="auto"/>
            <w:vAlign w:val="center"/>
            <w:hideMark/>
          </w:tcPr>
          <w:p w14:paraId="2B5FBEC3" w14:textId="77777777" w:rsidR="00000000" w:rsidRDefault="00195E73">
            <w:pPr>
              <w:rPr>
                <w:rFonts w:eastAsia="Times New Roman"/>
                <w:sz w:val="20"/>
                <w:szCs w:val="20"/>
              </w:rPr>
            </w:pPr>
          </w:p>
        </w:tc>
        <w:tc>
          <w:tcPr>
            <w:tcW w:w="0" w:type="auto"/>
            <w:vAlign w:val="center"/>
            <w:hideMark/>
          </w:tcPr>
          <w:p w14:paraId="1325FB76" w14:textId="77777777" w:rsidR="00000000" w:rsidRDefault="00195E73">
            <w:pPr>
              <w:rPr>
                <w:rFonts w:eastAsia="Times New Roman"/>
                <w:sz w:val="20"/>
                <w:szCs w:val="20"/>
              </w:rPr>
            </w:pPr>
          </w:p>
        </w:tc>
        <w:tc>
          <w:tcPr>
            <w:tcW w:w="0" w:type="auto"/>
            <w:vAlign w:val="center"/>
            <w:hideMark/>
          </w:tcPr>
          <w:p w14:paraId="332C8F52" w14:textId="77777777" w:rsidR="00000000" w:rsidRDefault="00195E73">
            <w:pPr>
              <w:rPr>
                <w:rFonts w:eastAsia="Times New Roman"/>
                <w:sz w:val="20"/>
                <w:szCs w:val="20"/>
              </w:rPr>
            </w:pPr>
          </w:p>
        </w:tc>
        <w:tc>
          <w:tcPr>
            <w:tcW w:w="0" w:type="auto"/>
            <w:vAlign w:val="center"/>
            <w:hideMark/>
          </w:tcPr>
          <w:p w14:paraId="4F831222" w14:textId="77777777" w:rsidR="00000000" w:rsidRDefault="00195E73">
            <w:pPr>
              <w:rPr>
                <w:rFonts w:eastAsia="Times New Roman"/>
                <w:sz w:val="20"/>
                <w:szCs w:val="20"/>
              </w:rPr>
            </w:pPr>
          </w:p>
        </w:tc>
        <w:tc>
          <w:tcPr>
            <w:tcW w:w="0" w:type="auto"/>
            <w:vAlign w:val="center"/>
            <w:hideMark/>
          </w:tcPr>
          <w:p w14:paraId="725B77EB" w14:textId="77777777" w:rsidR="00000000" w:rsidRDefault="00195E73">
            <w:pPr>
              <w:rPr>
                <w:rFonts w:eastAsia="Times New Roman"/>
                <w:sz w:val="20"/>
                <w:szCs w:val="20"/>
              </w:rPr>
            </w:pPr>
          </w:p>
        </w:tc>
      </w:tr>
      <w:tr w:rsidR="00000000" w14:paraId="54158CD9" w14:textId="77777777">
        <w:trPr>
          <w:divId w:val="665473675"/>
          <w:jc w:val="center"/>
        </w:trPr>
        <w:tc>
          <w:tcPr>
            <w:tcW w:w="0" w:type="auto"/>
            <w:gridSpan w:val="3"/>
            <w:shd w:val="clear" w:color="auto" w:fill="CCEEFF"/>
            <w:tcMar>
              <w:top w:w="30" w:type="dxa"/>
              <w:left w:w="20" w:type="dxa"/>
              <w:bottom w:w="30" w:type="dxa"/>
              <w:right w:w="20" w:type="dxa"/>
            </w:tcMar>
            <w:vAlign w:val="bottom"/>
            <w:hideMark/>
          </w:tcPr>
          <w:p w14:paraId="3A3AA8A7" w14:textId="77777777" w:rsidR="00000000" w:rsidRDefault="00195E73">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14:paraId="7764F4D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712DF8E" w14:textId="77777777" w:rsidR="00000000" w:rsidRDefault="00195E73">
            <w:pPr>
              <w:jc w:val="right"/>
              <w:rPr>
                <w:rFonts w:eastAsia="Times New Roman"/>
              </w:rPr>
            </w:pPr>
            <w:r>
              <w:rPr>
                <w:rFonts w:eastAsia="Times New Roman"/>
                <w:color w:val="000000"/>
                <w:sz w:val="20"/>
                <w:szCs w:val="20"/>
              </w:rPr>
              <w:t>945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A1754F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C23E78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876887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65E8704" w14:textId="77777777" w:rsidR="00000000" w:rsidRDefault="00195E73">
            <w:pPr>
              <w:jc w:val="right"/>
              <w:rPr>
                <w:rFonts w:eastAsia="Times New Roman"/>
              </w:rPr>
            </w:pPr>
            <w:r>
              <w:rPr>
                <w:rFonts w:eastAsia="Times New Roman"/>
                <w:color w:val="000000"/>
                <w:sz w:val="20"/>
                <w:szCs w:val="20"/>
              </w:rPr>
              <w:t>832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36E5E0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C18ECA9" w14:textId="77777777" w:rsidR="00000000" w:rsidRDefault="00195E73">
            <w:pPr>
              <w:rPr>
                <w:rFonts w:eastAsia="Times New Roman"/>
                <w:sz w:val="20"/>
                <w:szCs w:val="20"/>
              </w:rPr>
            </w:pPr>
          </w:p>
        </w:tc>
        <w:tc>
          <w:tcPr>
            <w:tcW w:w="0" w:type="auto"/>
            <w:vAlign w:val="center"/>
            <w:hideMark/>
          </w:tcPr>
          <w:p w14:paraId="333BCDE3" w14:textId="77777777" w:rsidR="00000000" w:rsidRDefault="00195E73">
            <w:pPr>
              <w:rPr>
                <w:rFonts w:eastAsia="Times New Roman"/>
                <w:sz w:val="20"/>
                <w:szCs w:val="20"/>
              </w:rPr>
            </w:pPr>
          </w:p>
        </w:tc>
        <w:tc>
          <w:tcPr>
            <w:tcW w:w="0" w:type="auto"/>
            <w:vAlign w:val="center"/>
            <w:hideMark/>
          </w:tcPr>
          <w:p w14:paraId="185643AD" w14:textId="77777777" w:rsidR="00000000" w:rsidRDefault="00195E73">
            <w:pPr>
              <w:rPr>
                <w:rFonts w:eastAsia="Times New Roman"/>
                <w:sz w:val="20"/>
                <w:szCs w:val="20"/>
              </w:rPr>
            </w:pPr>
          </w:p>
        </w:tc>
        <w:tc>
          <w:tcPr>
            <w:tcW w:w="0" w:type="auto"/>
            <w:vAlign w:val="center"/>
            <w:hideMark/>
          </w:tcPr>
          <w:p w14:paraId="406EFEE4" w14:textId="77777777" w:rsidR="00000000" w:rsidRDefault="00195E73">
            <w:pPr>
              <w:rPr>
                <w:rFonts w:eastAsia="Times New Roman"/>
                <w:sz w:val="20"/>
                <w:szCs w:val="20"/>
              </w:rPr>
            </w:pPr>
          </w:p>
        </w:tc>
        <w:tc>
          <w:tcPr>
            <w:tcW w:w="0" w:type="auto"/>
            <w:vAlign w:val="center"/>
            <w:hideMark/>
          </w:tcPr>
          <w:p w14:paraId="7D354FC2" w14:textId="77777777" w:rsidR="00000000" w:rsidRDefault="00195E73">
            <w:pPr>
              <w:rPr>
                <w:rFonts w:eastAsia="Times New Roman"/>
                <w:sz w:val="20"/>
                <w:szCs w:val="20"/>
              </w:rPr>
            </w:pPr>
          </w:p>
        </w:tc>
        <w:tc>
          <w:tcPr>
            <w:tcW w:w="0" w:type="auto"/>
            <w:vAlign w:val="center"/>
            <w:hideMark/>
          </w:tcPr>
          <w:p w14:paraId="0141CB01" w14:textId="77777777" w:rsidR="00000000" w:rsidRDefault="00195E73">
            <w:pPr>
              <w:rPr>
                <w:rFonts w:eastAsia="Times New Roman"/>
                <w:sz w:val="20"/>
                <w:szCs w:val="20"/>
              </w:rPr>
            </w:pPr>
          </w:p>
        </w:tc>
      </w:tr>
      <w:tr w:rsidR="00000000" w14:paraId="0539DF7E"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59C95678" w14:textId="77777777" w:rsidR="00000000" w:rsidRDefault="00195E73">
            <w:pPr>
              <w:rPr>
                <w:rFonts w:eastAsia="Times New Roman"/>
              </w:rPr>
            </w:pPr>
            <w:r>
              <w:rPr>
                <w:rFonts w:eastAsia="Times New Roman"/>
                <w:color w:val="000000"/>
                <w:sz w:val="20"/>
                <w:szCs w:val="20"/>
              </w:rPr>
              <w:t>Accrued expenses and other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C0725A5" w14:textId="77777777" w:rsidR="00000000" w:rsidRDefault="00195E73">
            <w:pPr>
              <w:jc w:val="right"/>
              <w:rPr>
                <w:rFonts w:eastAsia="Times New Roman"/>
              </w:rPr>
            </w:pPr>
            <w:r>
              <w:rPr>
                <w:rFonts w:eastAsia="Times New Roman"/>
                <w:color w:val="000000"/>
                <w:sz w:val="20"/>
                <w:szCs w:val="20"/>
              </w:rPr>
              <w:t>1,453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93BDB9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63457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6C760A" w14:textId="77777777" w:rsidR="00000000" w:rsidRDefault="00195E73">
            <w:pPr>
              <w:jc w:val="right"/>
              <w:rPr>
                <w:rFonts w:eastAsia="Times New Roman"/>
              </w:rPr>
            </w:pPr>
            <w:r>
              <w:rPr>
                <w:rFonts w:eastAsia="Times New Roman"/>
                <w:color w:val="000000"/>
                <w:sz w:val="20"/>
                <w:szCs w:val="20"/>
              </w:rPr>
              <w:t>1,012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2F943F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FB1F909" w14:textId="77777777" w:rsidR="00000000" w:rsidRDefault="00195E73">
            <w:pPr>
              <w:rPr>
                <w:rFonts w:eastAsia="Times New Roman"/>
                <w:sz w:val="20"/>
                <w:szCs w:val="20"/>
              </w:rPr>
            </w:pPr>
          </w:p>
        </w:tc>
        <w:tc>
          <w:tcPr>
            <w:tcW w:w="0" w:type="auto"/>
            <w:vAlign w:val="center"/>
            <w:hideMark/>
          </w:tcPr>
          <w:p w14:paraId="09AB839F" w14:textId="77777777" w:rsidR="00000000" w:rsidRDefault="00195E73">
            <w:pPr>
              <w:rPr>
                <w:rFonts w:eastAsia="Times New Roman"/>
                <w:sz w:val="20"/>
                <w:szCs w:val="20"/>
              </w:rPr>
            </w:pPr>
          </w:p>
        </w:tc>
        <w:tc>
          <w:tcPr>
            <w:tcW w:w="0" w:type="auto"/>
            <w:vAlign w:val="center"/>
            <w:hideMark/>
          </w:tcPr>
          <w:p w14:paraId="13E52AD4" w14:textId="77777777" w:rsidR="00000000" w:rsidRDefault="00195E73">
            <w:pPr>
              <w:rPr>
                <w:rFonts w:eastAsia="Times New Roman"/>
                <w:sz w:val="20"/>
                <w:szCs w:val="20"/>
              </w:rPr>
            </w:pPr>
          </w:p>
        </w:tc>
        <w:tc>
          <w:tcPr>
            <w:tcW w:w="0" w:type="auto"/>
            <w:vAlign w:val="center"/>
            <w:hideMark/>
          </w:tcPr>
          <w:p w14:paraId="59A8C61B" w14:textId="77777777" w:rsidR="00000000" w:rsidRDefault="00195E73">
            <w:pPr>
              <w:rPr>
                <w:rFonts w:eastAsia="Times New Roman"/>
                <w:sz w:val="20"/>
                <w:szCs w:val="20"/>
              </w:rPr>
            </w:pPr>
          </w:p>
        </w:tc>
        <w:tc>
          <w:tcPr>
            <w:tcW w:w="0" w:type="auto"/>
            <w:vAlign w:val="center"/>
            <w:hideMark/>
          </w:tcPr>
          <w:p w14:paraId="3AC4D167" w14:textId="77777777" w:rsidR="00000000" w:rsidRDefault="00195E73">
            <w:pPr>
              <w:rPr>
                <w:rFonts w:eastAsia="Times New Roman"/>
                <w:sz w:val="20"/>
                <w:szCs w:val="20"/>
              </w:rPr>
            </w:pPr>
          </w:p>
        </w:tc>
        <w:tc>
          <w:tcPr>
            <w:tcW w:w="0" w:type="auto"/>
            <w:vAlign w:val="center"/>
            <w:hideMark/>
          </w:tcPr>
          <w:p w14:paraId="2BA21CDC" w14:textId="77777777" w:rsidR="00000000" w:rsidRDefault="00195E73">
            <w:pPr>
              <w:rPr>
                <w:rFonts w:eastAsia="Times New Roman"/>
                <w:sz w:val="20"/>
                <w:szCs w:val="20"/>
              </w:rPr>
            </w:pPr>
          </w:p>
        </w:tc>
      </w:tr>
      <w:tr w:rsidR="00000000" w14:paraId="7DC609E0" w14:textId="77777777">
        <w:trPr>
          <w:divId w:val="665473675"/>
          <w:jc w:val="center"/>
        </w:trPr>
        <w:tc>
          <w:tcPr>
            <w:tcW w:w="0" w:type="auto"/>
            <w:gridSpan w:val="3"/>
            <w:shd w:val="clear" w:color="auto" w:fill="CCEEFF"/>
            <w:tcMar>
              <w:top w:w="30" w:type="dxa"/>
              <w:left w:w="20" w:type="dxa"/>
              <w:bottom w:w="30" w:type="dxa"/>
              <w:right w:w="20" w:type="dxa"/>
            </w:tcMar>
            <w:vAlign w:val="bottom"/>
            <w:hideMark/>
          </w:tcPr>
          <w:p w14:paraId="183FA7C3" w14:textId="77777777" w:rsidR="00000000" w:rsidRDefault="00195E73">
            <w:pPr>
              <w:rPr>
                <w:rFonts w:eastAsia="Times New Roman"/>
              </w:rPr>
            </w:pPr>
            <w:r>
              <w:rPr>
                <w:rFonts w:eastAsia="Times New Roman"/>
                <w:color w:val="000000"/>
                <w:sz w:val="20"/>
                <w:szCs w:val="20"/>
              </w:rPr>
              <w:t>Deferred tax liabilit</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5D13A626" w14:textId="77777777" w:rsidR="00000000" w:rsidRDefault="00195E73">
            <w:pPr>
              <w:jc w:val="right"/>
              <w:rPr>
                <w:rFonts w:eastAsia="Times New Roman"/>
              </w:rPr>
            </w:pPr>
            <w:r>
              <w:rPr>
                <w:rFonts w:eastAsia="Times New Roman"/>
                <w:color w:val="000000"/>
                <w:sz w:val="20"/>
                <w:szCs w:val="20"/>
              </w:rPr>
              <w:t>639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D9F67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D20ED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8F8055" w14:textId="77777777" w:rsidR="00000000" w:rsidRDefault="00195E73">
            <w:pPr>
              <w:jc w:val="right"/>
              <w:rPr>
                <w:rFonts w:eastAsia="Times New Roman"/>
              </w:rPr>
            </w:pPr>
            <w:r>
              <w:rPr>
                <w:rFonts w:eastAsia="Times New Roman"/>
                <w:color w:val="000000"/>
                <w:sz w:val="20"/>
                <w:szCs w:val="20"/>
              </w:rPr>
              <w:t>694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A3B01E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4C44678" w14:textId="77777777" w:rsidR="00000000" w:rsidRDefault="00195E73">
            <w:pPr>
              <w:rPr>
                <w:rFonts w:eastAsia="Times New Roman"/>
                <w:sz w:val="20"/>
                <w:szCs w:val="20"/>
              </w:rPr>
            </w:pPr>
          </w:p>
        </w:tc>
        <w:tc>
          <w:tcPr>
            <w:tcW w:w="0" w:type="auto"/>
            <w:vAlign w:val="center"/>
            <w:hideMark/>
          </w:tcPr>
          <w:p w14:paraId="08D03DBE" w14:textId="77777777" w:rsidR="00000000" w:rsidRDefault="00195E73">
            <w:pPr>
              <w:rPr>
                <w:rFonts w:eastAsia="Times New Roman"/>
                <w:sz w:val="20"/>
                <w:szCs w:val="20"/>
              </w:rPr>
            </w:pPr>
          </w:p>
        </w:tc>
        <w:tc>
          <w:tcPr>
            <w:tcW w:w="0" w:type="auto"/>
            <w:vAlign w:val="center"/>
            <w:hideMark/>
          </w:tcPr>
          <w:p w14:paraId="37DD54D3" w14:textId="77777777" w:rsidR="00000000" w:rsidRDefault="00195E73">
            <w:pPr>
              <w:rPr>
                <w:rFonts w:eastAsia="Times New Roman"/>
                <w:sz w:val="20"/>
                <w:szCs w:val="20"/>
              </w:rPr>
            </w:pPr>
          </w:p>
        </w:tc>
        <w:tc>
          <w:tcPr>
            <w:tcW w:w="0" w:type="auto"/>
            <w:vAlign w:val="center"/>
            <w:hideMark/>
          </w:tcPr>
          <w:p w14:paraId="410C0256" w14:textId="77777777" w:rsidR="00000000" w:rsidRDefault="00195E73">
            <w:pPr>
              <w:rPr>
                <w:rFonts w:eastAsia="Times New Roman"/>
                <w:sz w:val="20"/>
                <w:szCs w:val="20"/>
              </w:rPr>
            </w:pPr>
          </w:p>
        </w:tc>
        <w:tc>
          <w:tcPr>
            <w:tcW w:w="0" w:type="auto"/>
            <w:vAlign w:val="center"/>
            <w:hideMark/>
          </w:tcPr>
          <w:p w14:paraId="04C2755D" w14:textId="77777777" w:rsidR="00000000" w:rsidRDefault="00195E73">
            <w:pPr>
              <w:rPr>
                <w:rFonts w:eastAsia="Times New Roman"/>
                <w:sz w:val="20"/>
                <w:szCs w:val="20"/>
              </w:rPr>
            </w:pPr>
          </w:p>
        </w:tc>
        <w:tc>
          <w:tcPr>
            <w:tcW w:w="0" w:type="auto"/>
            <w:vAlign w:val="center"/>
            <w:hideMark/>
          </w:tcPr>
          <w:p w14:paraId="331D1547" w14:textId="77777777" w:rsidR="00000000" w:rsidRDefault="00195E73">
            <w:pPr>
              <w:rPr>
                <w:rFonts w:eastAsia="Times New Roman"/>
                <w:sz w:val="20"/>
                <w:szCs w:val="20"/>
              </w:rPr>
            </w:pPr>
          </w:p>
        </w:tc>
      </w:tr>
      <w:tr w:rsidR="00000000" w14:paraId="332E5CEB"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3175C259" w14:textId="77777777" w:rsidR="00000000" w:rsidRDefault="00195E73">
            <w:pPr>
              <w:rPr>
                <w:rFonts w:eastAsia="Times New Roman"/>
              </w:rPr>
            </w:pPr>
            <w:r>
              <w:rPr>
                <w:rFonts w:eastAsia="Times New Roman"/>
                <w:color w:val="000000"/>
                <w:sz w:val="20"/>
                <w:szCs w:val="20"/>
              </w:rPr>
              <w:t>Unrealized loss on derivative contract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DADA06F" w14:textId="77777777" w:rsidR="00000000" w:rsidRDefault="00195E73">
            <w:pPr>
              <w:jc w:val="right"/>
              <w:rPr>
                <w:rFonts w:eastAsia="Times New Roman"/>
              </w:rPr>
            </w:pPr>
            <w:r>
              <w:rPr>
                <w:rFonts w:eastAsia="Times New Roman"/>
                <w:color w:val="000000"/>
                <w:sz w:val="20"/>
                <w:szCs w:val="20"/>
              </w:rPr>
              <w:t>1,224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8F07C7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CE3DFA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073419" w14:textId="77777777" w:rsidR="00000000" w:rsidRDefault="00195E73">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86692A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214D5FB" w14:textId="77777777" w:rsidR="00000000" w:rsidRDefault="00195E73">
            <w:pPr>
              <w:rPr>
                <w:rFonts w:eastAsia="Times New Roman"/>
                <w:sz w:val="20"/>
                <w:szCs w:val="20"/>
              </w:rPr>
            </w:pPr>
          </w:p>
        </w:tc>
        <w:tc>
          <w:tcPr>
            <w:tcW w:w="0" w:type="auto"/>
            <w:vAlign w:val="center"/>
            <w:hideMark/>
          </w:tcPr>
          <w:p w14:paraId="1461B256" w14:textId="77777777" w:rsidR="00000000" w:rsidRDefault="00195E73">
            <w:pPr>
              <w:rPr>
                <w:rFonts w:eastAsia="Times New Roman"/>
                <w:sz w:val="20"/>
                <w:szCs w:val="20"/>
              </w:rPr>
            </w:pPr>
          </w:p>
        </w:tc>
        <w:tc>
          <w:tcPr>
            <w:tcW w:w="0" w:type="auto"/>
            <w:vAlign w:val="center"/>
            <w:hideMark/>
          </w:tcPr>
          <w:p w14:paraId="030350E8" w14:textId="77777777" w:rsidR="00000000" w:rsidRDefault="00195E73">
            <w:pPr>
              <w:rPr>
                <w:rFonts w:eastAsia="Times New Roman"/>
                <w:sz w:val="20"/>
                <w:szCs w:val="20"/>
              </w:rPr>
            </w:pPr>
          </w:p>
        </w:tc>
        <w:tc>
          <w:tcPr>
            <w:tcW w:w="0" w:type="auto"/>
            <w:vAlign w:val="center"/>
            <w:hideMark/>
          </w:tcPr>
          <w:p w14:paraId="31438895" w14:textId="77777777" w:rsidR="00000000" w:rsidRDefault="00195E73">
            <w:pPr>
              <w:rPr>
                <w:rFonts w:eastAsia="Times New Roman"/>
                <w:sz w:val="20"/>
                <w:szCs w:val="20"/>
              </w:rPr>
            </w:pPr>
          </w:p>
        </w:tc>
        <w:tc>
          <w:tcPr>
            <w:tcW w:w="0" w:type="auto"/>
            <w:vAlign w:val="center"/>
            <w:hideMark/>
          </w:tcPr>
          <w:p w14:paraId="06DB8DBB" w14:textId="77777777" w:rsidR="00000000" w:rsidRDefault="00195E73">
            <w:pPr>
              <w:rPr>
                <w:rFonts w:eastAsia="Times New Roman"/>
                <w:sz w:val="20"/>
                <w:szCs w:val="20"/>
              </w:rPr>
            </w:pPr>
          </w:p>
        </w:tc>
        <w:tc>
          <w:tcPr>
            <w:tcW w:w="0" w:type="auto"/>
            <w:vAlign w:val="center"/>
            <w:hideMark/>
          </w:tcPr>
          <w:p w14:paraId="2FD901FF" w14:textId="77777777" w:rsidR="00000000" w:rsidRDefault="00195E73">
            <w:pPr>
              <w:rPr>
                <w:rFonts w:eastAsia="Times New Roman"/>
                <w:sz w:val="20"/>
                <w:szCs w:val="20"/>
              </w:rPr>
            </w:pPr>
          </w:p>
        </w:tc>
      </w:tr>
      <w:tr w:rsidR="00000000" w14:paraId="1CA53337" w14:textId="77777777">
        <w:trPr>
          <w:divId w:val="665473675"/>
          <w:jc w:val="center"/>
        </w:trPr>
        <w:tc>
          <w:tcPr>
            <w:tcW w:w="0" w:type="auto"/>
            <w:gridSpan w:val="3"/>
            <w:shd w:val="clear" w:color="auto" w:fill="CCEEFF"/>
            <w:tcMar>
              <w:top w:w="30" w:type="dxa"/>
              <w:left w:w="20" w:type="dxa"/>
              <w:bottom w:w="30" w:type="dxa"/>
              <w:right w:w="20" w:type="dxa"/>
            </w:tcMar>
            <w:vAlign w:val="bottom"/>
            <w:hideMark/>
          </w:tcPr>
          <w:p w14:paraId="14AF6F93" w14:textId="77777777" w:rsidR="00000000" w:rsidRDefault="00195E73">
            <w:pPr>
              <w:rPr>
                <w:rFonts w:eastAsia="Times New Roman"/>
              </w:rPr>
            </w:pPr>
            <w:r>
              <w:rPr>
                <w:rFonts w:eastAsia="Times New Roman"/>
                <w:color w:val="000000"/>
                <w:sz w:val="20"/>
                <w:szCs w:val="20"/>
              </w:rPr>
              <w:t>Securities sold, not yet purchased, at fair valu</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295829D4" w14:textId="77777777" w:rsidR="00000000" w:rsidRDefault="00195E73">
            <w:pPr>
              <w:jc w:val="right"/>
              <w:rPr>
                <w:rFonts w:eastAsia="Times New Roman"/>
              </w:rPr>
            </w:pPr>
            <w:r>
              <w:rPr>
                <w:rFonts w:eastAsia="Times New Roman"/>
                <w:color w:val="000000"/>
                <w:sz w:val="20"/>
                <w:szCs w:val="20"/>
              </w:rPr>
              <w:t>1,190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649722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AADD8C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6124A1" w14:textId="77777777" w:rsidR="00000000" w:rsidRDefault="00195E73">
            <w:pPr>
              <w:jc w:val="right"/>
              <w:rPr>
                <w:rFonts w:eastAsia="Times New Roman"/>
              </w:rPr>
            </w:pPr>
            <w:r>
              <w:rPr>
                <w:rFonts w:eastAsia="Times New Roman"/>
                <w:color w:val="000000"/>
                <w:sz w:val="20"/>
                <w:szCs w:val="20"/>
              </w:rPr>
              <w:t>468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BC6F70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AFF8668" w14:textId="77777777" w:rsidR="00000000" w:rsidRDefault="00195E73">
            <w:pPr>
              <w:rPr>
                <w:rFonts w:eastAsia="Times New Roman"/>
                <w:sz w:val="20"/>
                <w:szCs w:val="20"/>
              </w:rPr>
            </w:pPr>
          </w:p>
        </w:tc>
        <w:tc>
          <w:tcPr>
            <w:tcW w:w="0" w:type="auto"/>
            <w:vAlign w:val="center"/>
            <w:hideMark/>
          </w:tcPr>
          <w:p w14:paraId="17D42CD5" w14:textId="77777777" w:rsidR="00000000" w:rsidRDefault="00195E73">
            <w:pPr>
              <w:rPr>
                <w:rFonts w:eastAsia="Times New Roman"/>
                <w:sz w:val="20"/>
                <w:szCs w:val="20"/>
              </w:rPr>
            </w:pPr>
          </w:p>
        </w:tc>
        <w:tc>
          <w:tcPr>
            <w:tcW w:w="0" w:type="auto"/>
            <w:vAlign w:val="center"/>
            <w:hideMark/>
          </w:tcPr>
          <w:p w14:paraId="41C8B42E" w14:textId="77777777" w:rsidR="00000000" w:rsidRDefault="00195E73">
            <w:pPr>
              <w:rPr>
                <w:rFonts w:eastAsia="Times New Roman"/>
                <w:sz w:val="20"/>
                <w:szCs w:val="20"/>
              </w:rPr>
            </w:pPr>
          </w:p>
        </w:tc>
        <w:tc>
          <w:tcPr>
            <w:tcW w:w="0" w:type="auto"/>
            <w:vAlign w:val="center"/>
            <w:hideMark/>
          </w:tcPr>
          <w:p w14:paraId="4BB52985" w14:textId="77777777" w:rsidR="00000000" w:rsidRDefault="00195E73">
            <w:pPr>
              <w:rPr>
                <w:rFonts w:eastAsia="Times New Roman"/>
                <w:sz w:val="20"/>
                <w:szCs w:val="20"/>
              </w:rPr>
            </w:pPr>
          </w:p>
        </w:tc>
        <w:tc>
          <w:tcPr>
            <w:tcW w:w="0" w:type="auto"/>
            <w:vAlign w:val="center"/>
            <w:hideMark/>
          </w:tcPr>
          <w:p w14:paraId="0006A0DF" w14:textId="77777777" w:rsidR="00000000" w:rsidRDefault="00195E73">
            <w:pPr>
              <w:rPr>
                <w:rFonts w:eastAsia="Times New Roman"/>
                <w:sz w:val="20"/>
                <w:szCs w:val="20"/>
              </w:rPr>
            </w:pPr>
          </w:p>
        </w:tc>
        <w:tc>
          <w:tcPr>
            <w:tcW w:w="0" w:type="auto"/>
            <w:vAlign w:val="center"/>
            <w:hideMark/>
          </w:tcPr>
          <w:p w14:paraId="19563E6A" w14:textId="77777777" w:rsidR="00000000" w:rsidRDefault="00195E73">
            <w:pPr>
              <w:rPr>
                <w:rFonts w:eastAsia="Times New Roman"/>
                <w:sz w:val="20"/>
                <w:szCs w:val="20"/>
              </w:rPr>
            </w:pPr>
          </w:p>
        </w:tc>
      </w:tr>
      <w:tr w:rsidR="00000000" w14:paraId="1A371F97"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08AA89C9" w14:textId="77777777" w:rsidR="00000000" w:rsidRDefault="00195E73">
            <w:pPr>
              <w:rPr>
                <w:rFonts w:eastAsia="Times New Roman"/>
              </w:rPr>
            </w:pPr>
            <w:r>
              <w:rPr>
                <w:rFonts w:eastAsia="Times New Roman"/>
                <w:color w:val="000000"/>
                <w:sz w:val="20"/>
                <w:szCs w:val="20"/>
              </w:rPr>
              <w:t>Due to broker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174AC41" w14:textId="77777777" w:rsidR="00000000" w:rsidRDefault="00195E73">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400F0F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329D64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0F3140" w14:textId="77777777" w:rsidR="00000000" w:rsidRDefault="00195E73">
            <w:pPr>
              <w:jc w:val="right"/>
              <w:rPr>
                <w:rFonts w:eastAsia="Times New Roman"/>
              </w:rPr>
            </w:pPr>
            <w:r>
              <w:rPr>
                <w:rFonts w:eastAsia="Times New Roman"/>
                <w:color w:val="000000"/>
                <w:sz w:val="20"/>
                <w:szCs w:val="20"/>
              </w:rPr>
              <w:t>141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CE11FA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388BE89" w14:textId="77777777" w:rsidR="00000000" w:rsidRDefault="00195E73">
            <w:pPr>
              <w:rPr>
                <w:rFonts w:eastAsia="Times New Roman"/>
                <w:sz w:val="20"/>
                <w:szCs w:val="20"/>
              </w:rPr>
            </w:pPr>
          </w:p>
        </w:tc>
        <w:tc>
          <w:tcPr>
            <w:tcW w:w="0" w:type="auto"/>
            <w:vAlign w:val="center"/>
            <w:hideMark/>
          </w:tcPr>
          <w:p w14:paraId="20025853" w14:textId="77777777" w:rsidR="00000000" w:rsidRDefault="00195E73">
            <w:pPr>
              <w:rPr>
                <w:rFonts w:eastAsia="Times New Roman"/>
                <w:sz w:val="20"/>
                <w:szCs w:val="20"/>
              </w:rPr>
            </w:pPr>
          </w:p>
        </w:tc>
        <w:tc>
          <w:tcPr>
            <w:tcW w:w="0" w:type="auto"/>
            <w:vAlign w:val="center"/>
            <w:hideMark/>
          </w:tcPr>
          <w:p w14:paraId="150337BB" w14:textId="77777777" w:rsidR="00000000" w:rsidRDefault="00195E73">
            <w:pPr>
              <w:rPr>
                <w:rFonts w:eastAsia="Times New Roman"/>
                <w:sz w:val="20"/>
                <w:szCs w:val="20"/>
              </w:rPr>
            </w:pPr>
          </w:p>
        </w:tc>
        <w:tc>
          <w:tcPr>
            <w:tcW w:w="0" w:type="auto"/>
            <w:vAlign w:val="center"/>
            <w:hideMark/>
          </w:tcPr>
          <w:p w14:paraId="377DB0AA" w14:textId="77777777" w:rsidR="00000000" w:rsidRDefault="00195E73">
            <w:pPr>
              <w:rPr>
                <w:rFonts w:eastAsia="Times New Roman"/>
                <w:sz w:val="20"/>
                <w:szCs w:val="20"/>
              </w:rPr>
            </w:pPr>
          </w:p>
        </w:tc>
        <w:tc>
          <w:tcPr>
            <w:tcW w:w="0" w:type="auto"/>
            <w:vAlign w:val="center"/>
            <w:hideMark/>
          </w:tcPr>
          <w:p w14:paraId="6BEF3848" w14:textId="77777777" w:rsidR="00000000" w:rsidRDefault="00195E73">
            <w:pPr>
              <w:rPr>
                <w:rFonts w:eastAsia="Times New Roman"/>
                <w:sz w:val="20"/>
                <w:szCs w:val="20"/>
              </w:rPr>
            </w:pPr>
          </w:p>
        </w:tc>
        <w:tc>
          <w:tcPr>
            <w:tcW w:w="0" w:type="auto"/>
            <w:vAlign w:val="center"/>
            <w:hideMark/>
          </w:tcPr>
          <w:p w14:paraId="534F09C8" w14:textId="77777777" w:rsidR="00000000" w:rsidRDefault="00195E73">
            <w:pPr>
              <w:rPr>
                <w:rFonts w:eastAsia="Times New Roman"/>
                <w:sz w:val="20"/>
                <w:szCs w:val="20"/>
              </w:rPr>
            </w:pPr>
          </w:p>
        </w:tc>
      </w:tr>
      <w:tr w:rsidR="00000000" w14:paraId="3E3EEC26" w14:textId="77777777">
        <w:trPr>
          <w:divId w:val="665473675"/>
          <w:jc w:val="center"/>
        </w:trPr>
        <w:tc>
          <w:tcPr>
            <w:tcW w:w="0" w:type="auto"/>
            <w:gridSpan w:val="3"/>
            <w:shd w:val="clear" w:color="auto" w:fill="CCEEFF"/>
            <w:tcMar>
              <w:top w:w="30" w:type="dxa"/>
              <w:left w:w="20" w:type="dxa"/>
              <w:bottom w:w="30" w:type="dxa"/>
              <w:right w:w="20" w:type="dxa"/>
            </w:tcMar>
            <w:vAlign w:val="bottom"/>
            <w:hideMark/>
          </w:tcPr>
          <w:p w14:paraId="4FC3A6D7" w14:textId="77777777" w:rsidR="00000000" w:rsidRDefault="00195E73">
            <w:pPr>
              <w:rPr>
                <w:rFonts w:eastAsia="Times New Roman"/>
              </w:rPr>
            </w:pPr>
            <w:r>
              <w:rPr>
                <w:rFonts w:eastAsia="Times New Roman"/>
                <w:color w:val="000000"/>
                <w:sz w:val="20"/>
                <w:szCs w:val="20"/>
              </w:rPr>
              <w:t>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1FE46EC8" w14:textId="77777777" w:rsidR="00000000" w:rsidRDefault="00195E73">
            <w:pPr>
              <w:jc w:val="right"/>
              <w:rPr>
                <w:rFonts w:eastAsia="Times New Roman"/>
              </w:rPr>
            </w:pPr>
            <w:r>
              <w:rPr>
                <w:rFonts w:eastAsia="Times New Roman"/>
                <w:color w:val="000000"/>
                <w:sz w:val="20"/>
                <w:szCs w:val="20"/>
              </w:rPr>
              <w:t>8,195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97ABEF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FD723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143379" w14:textId="77777777" w:rsidR="00000000" w:rsidRDefault="00195E73">
            <w:pPr>
              <w:jc w:val="right"/>
              <w:rPr>
                <w:rFonts w:eastAsia="Times New Roman"/>
              </w:rPr>
            </w:pPr>
            <w:r>
              <w:rPr>
                <w:rFonts w:eastAsia="Times New Roman"/>
                <w:color w:val="000000"/>
                <w:sz w:val="20"/>
                <w:szCs w:val="20"/>
              </w:rPr>
              <w:t>7,330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407945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1D23F85" w14:textId="77777777" w:rsidR="00000000" w:rsidRDefault="00195E73">
            <w:pPr>
              <w:rPr>
                <w:rFonts w:eastAsia="Times New Roman"/>
                <w:sz w:val="20"/>
                <w:szCs w:val="20"/>
              </w:rPr>
            </w:pPr>
          </w:p>
        </w:tc>
        <w:tc>
          <w:tcPr>
            <w:tcW w:w="0" w:type="auto"/>
            <w:vAlign w:val="center"/>
            <w:hideMark/>
          </w:tcPr>
          <w:p w14:paraId="39DBA576" w14:textId="77777777" w:rsidR="00000000" w:rsidRDefault="00195E73">
            <w:pPr>
              <w:rPr>
                <w:rFonts w:eastAsia="Times New Roman"/>
                <w:sz w:val="20"/>
                <w:szCs w:val="20"/>
              </w:rPr>
            </w:pPr>
          </w:p>
        </w:tc>
        <w:tc>
          <w:tcPr>
            <w:tcW w:w="0" w:type="auto"/>
            <w:vAlign w:val="center"/>
            <w:hideMark/>
          </w:tcPr>
          <w:p w14:paraId="3A677908" w14:textId="77777777" w:rsidR="00000000" w:rsidRDefault="00195E73">
            <w:pPr>
              <w:rPr>
                <w:rFonts w:eastAsia="Times New Roman"/>
                <w:sz w:val="20"/>
                <w:szCs w:val="20"/>
              </w:rPr>
            </w:pPr>
          </w:p>
        </w:tc>
        <w:tc>
          <w:tcPr>
            <w:tcW w:w="0" w:type="auto"/>
            <w:vAlign w:val="center"/>
            <w:hideMark/>
          </w:tcPr>
          <w:p w14:paraId="2E9B0797" w14:textId="77777777" w:rsidR="00000000" w:rsidRDefault="00195E73">
            <w:pPr>
              <w:rPr>
                <w:rFonts w:eastAsia="Times New Roman"/>
                <w:sz w:val="20"/>
                <w:szCs w:val="20"/>
              </w:rPr>
            </w:pPr>
          </w:p>
        </w:tc>
        <w:tc>
          <w:tcPr>
            <w:tcW w:w="0" w:type="auto"/>
            <w:vAlign w:val="center"/>
            <w:hideMark/>
          </w:tcPr>
          <w:p w14:paraId="0C7F03FA" w14:textId="77777777" w:rsidR="00000000" w:rsidRDefault="00195E73">
            <w:pPr>
              <w:rPr>
                <w:rFonts w:eastAsia="Times New Roman"/>
                <w:sz w:val="20"/>
                <w:szCs w:val="20"/>
              </w:rPr>
            </w:pPr>
          </w:p>
        </w:tc>
        <w:tc>
          <w:tcPr>
            <w:tcW w:w="0" w:type="auto"/>
            <w:vAlign w:val="center"/>
            <w:hideMark/>
          </w:tcPr>
          <w:p w14:paraId="7FC8324F" w14:textId="77777777" w:rsidR="00000000" w:rsidRDefault="00195E73">
            <w:pPr>
              <w:rPr>
                <w:rFonts w:eastAsia="Times New Roman"/>
                <w:sz w:val="20"/>
                <w:szCs w:val="20"/>
              </w:rPr>
            </w:pPr>
          </w:p>
        </w:tc>
      </w:tr>
      <w:tr w:rsidR="00000000" w14:paraId="1469EF71"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0EF63391" w14:textId="77777777" w:rsidR="00000000" w:rsidRDefault="00195E73">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24F947" w14:textId="77777777" w:rsidR="00000000" w:rsidRDefault="00195E73">
            <w:pPr>
              <w:jc w:val="right"/>
              <w:rPr>
                <w:rFonts w:eastAsia="Times New Roman"/>
              </w:rPr>
            </w:pPr>
            <w:r>
              <w:rPr>
                <w:rFonts w:eastAsia="Times New Roman"/>
                <w:color w:val="000000"/>
                <w:sz w:val="20"/>
                <w:szCs w:val="20"/>
              </w:rPr>
              <w:t>13,700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37BC3B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E10937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F6B884" w14:textId="77777777" w:rsidR="00000000" w:rsidRDefault="00195E73">
            <w:pPr>
              <w:jc w:val="right"/>
              <w:rPr>
                <w:rFonts w:eastAsia="Times New Roman"/>
              </w:rPr>
            </w:pPr>
            <w:r>
              <w:rPr>
                <w:rFonts w:eastAsia="Times New Roman"/>
                <w:color w:val="000000"/>
                <w:sz w:val="20"/>
                <w:szCs w:val="20"/>
              </w:rPr>
              <w:t>10,513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1169D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715EDF8" w14:textId="77777777" w:rsidR="00000000" w:rsidRDefault="00195E73">
            <w:pPr>
              <w:rPr>
                <w:rFonts w:eastAsia="Times New Roman"/>
                <w:sz w:val="20"/>
                <w:szCs w:val="20"/>
              </w:rPr>
            </w:pPr>
          </w:p>
        </w:tc>
        <w:tc>
          <w:tcPr>
            <w:tcW w:w="0" w:type="auto"/>
            <w:vAlign w:val="center"/>
            <w:hideMark/>
          </w:tcPr>
          <w:p w14:paraId="3F56F18D" w14:textId="77777777" w:rsidR="00000000" w:rsidRDefault="00195E73">
            <w:pPr>
              <w:rPr>
                <w:rFonts w:eastAsia="Times New Roman"/>
                <w:sz w:val="20"/>
                <w:szCs w:val="20"/>
              </w:rPr>
            </w:pPr>
          </w:p>
        </w:tc>
        <w:tc>
          <w:tcPr>
            <w:tcW w:w="0" w:type="auto"/>
            <w:vAlign w:val="center"/>
            <w:hideMark/>
          </w:tcPr>
          <w:p w14:paraId="057D7961" w14:textId="77777777" w:rsidR="00000000" w:rsidRDefault="00195E73">
            <w:pPr>
              <w:rPr>
                <w:rFonts w:eastAsia="Times New Roman"/>
                <w:sz w:val="20"/>
                <w:szCs w:val="20"/>
              </w:rPr>
            </w:pPr>
          </w:p>
        </w:tc>
        <w:tc>
          <w:tcPr>
            <w:tcW w:w="0" w:type="auto"/>
            <w:vAlign w:val="center"/>
            <w:hideMark/>
          </w:tcPr>
          <w:p w14:paraId="39A638D5" w14:textId="77777777" w:rsidR="00000000" w:rsidRDefault="00195E73">
            <w:pPr>
              <w:rPr>
                <w:rFonts w:eastAsia="Times New Roman"/>
                <w:sz w:val="20"/>
                <w:szCs w:val="20"/>
              </w:rPr>
            </w:pPr>
          </w:p>
        </w:tc>
        <w:tc>
          <w:tcPr>
            <w:tcW w:w="0" w:type="auto"/>
            <w:vAlign w:val="center"/>
            <w:hideMark/>
          </w:tcPr>
          <w:p w14:paraId="38DF1EDE" w14:textId="77777777" w:rsidR="00000000" w:rsidRDefault="00195E73">
            <w:pPr>
              <w:rPr>
                <w:rFonts w:eastAsia="Times New Roman"/>
                <w:sz w:val="20"/>
                <w:szCs w:val="20"/>
              </w:rPr>
            </w:pPr>
          </w:p>
        </w:tc>
        <w:tc>
          <w:tcPr>
            <w:tcW w:w="0" w:type="auto"/>
            <w:vAlign w:val="center"/>
            <w:hideMark/>
          </w:tcPr>
          <w:p w14:paraId="62AFFC2B" w14:textId="77777777" w:rsidR="00000000" w:rsidRDefault="00195E73">
            <w:pPr>
              <w:rPr>
                <w:rFonts w:eastAsia="Times New Roman"/>
                <w:sz w:val="20"/>
                <w:szCs w:val="20"/>
              </w:rPr>
            </w:pPr>
          </w:p>
        </w:tc>
      </w:tr>
      <w:tr w:rsidR="00000000" w14:paraId="194EFF02" w14:textId="77777777">
        <w:trPr>
          <w:divId w:val="665473675"/>
          <w:trHeight w:val="240"/>
          <w:jc w:val="center"/>
        </w:trPr>
        <w:tc>
          <w:tcPr>
            <w:tcW w:w="0" w:type="auto"/>
            <w:gridSpan w:val="3"/>
            <w:shd w:val="clear" w:color="auto" w:fill="CCEEFF"/>
            <w:tcMar>
              <w:top w:w="15" w:type="dxa"/>
              <w:left w:w="20" w:type="dxa"/>
              <w:bottom w:w="15" w:type="dxa"/>
              <w:right w:w="20" w:type="dxa"/>
            </w:tcMar>
            <w:vAlign w:val="bottom"/>
            <w:hideMark/>
          </w:tcPr>
          <w:p w14:paraId="3F137228" w14:textId="77777777" w:rsidR="00000000" w:rsidRDefault="00195E73">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80F3388"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A38E1CB"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33AE61C" w14:textId="77777777" w:rsidR="00000000" w:rsidRDefault="00195E73">
            <w:pPr>
              <w:rPr>
                <w:rFonts w:eastAsia="Times New Roman"/>
                <w:sz w:val="20"/>
                <w:szCs w:val="20"/>
              </w:rPr>
            </w:pPr>
          </w:p>
        </w:tc>
        <w:tc>
          <w:tcPr>
            <w:tcW w:w="0" w:type="auto"/>
            <w:vAlign w:val="center"/>
            <w:hideMark/>
          </w:tcPr>
          <w:p w14:paraId="659AB74E" w14:textId="77777777" w:rsidR="00000000" w:rsidRDefault="00195E73">
            <w:pPr>
              <w:rPr>
                <w:rFonts w:eastAsia="Times New Roman"/>
                <w:sz w:val="20"/>
                <w:szCs w:val="20"/>
              </w:rPr>
            </w:pPr>
          </w:p>
        </w:tc>
        <w:tc>
          <w:tcPr>
            <w:tcW w:w="0" w:type="auto"/>
            <w:vAlign w:val="center"/>
            <w:hideMark/>
          </w:tcPr>
          <w:p w14:paraId="7B772431" w14:textId="77777777" w:rsidR="00000000" w:rsidRDefault="00195E73">
            <w:pPr>
              <w:rPr>
                <w:rFonts w:eastAsia="Times New Roman"/>
                <w:sz w:val="20"/>
                <w:szCs w:val="20"/>
              </w:rPr>
            </w:pPr>
          </w:p>
        </w:tc>
        <w:tc>
          <w:tcPr>
            <w:tcW w:w="0" w:type="auto"/>
            <w:vAlign w:val="center"/>
            <w:hideMark/>
          </w:tcPr>
          <w:p w14:paraId="24B46B7B" w14:textId="77777777" w:rsidR="00000000" w:rsidRDefault="00195E73">
            <w:pPr>
              <w:rPr>
                <w:rFonts w:eastAsia="Times New Roman"/>
                <w:sz w:val="20"/>
                <w:szCs w:val="20"/>
              </w:rPr>
            </w:pPr>
          </w:p>
        </w:tc>
        <w:tc>
          <w:tcPr>
            <w:tcW w:w="0" w:type="auto"/>
            <w:vAlign w:val="center"/>
            <w:hideMark/>
          </w:tcPr>
          <w:p w14:paraId="388C14F1" w14:textId="77777777" w:rsidR="00000000" w:rsidRDefault="00195E73">
            <w:pPr>
              <w:rPr>
                <w:rFonts w:eastAsia="Times New Roman"/>
                <w:sz w:val="20"/>
                <w:szCs w:val="20"/>
              </w:rPr>
            </w:pPr>
          </w:p>
        </w:tc>
        <w:tc>
          <w:tcPr>
            <w:tcW w:w="0" w:type="auto"/>
            <w:vAlign w:val="center"/>
            <w:hideMark/>
          </w:tcPr>
          <w:p w14:paraId="710C316C" w14:textId="77777777" w:rsidR="00000000" w:rsidRDefault="00195E73">
            <w:pPr>
              <w:rPr>
                <w:rFonts w:eastAsia="Times New Roman"/>
                <w:sz w:val="20"/>
                <w:szCs w:val="20"/>
              </w:rPr>
            </w:pPr>
          </w:p>
        </w:tc>
        <w:tc>
          <w:tcPr>
            <w:tcW w:w="0" w:type="auto"/>
            <w:vAlign w:val="center"/>
            <w:hideMark/>
          </w:tcPr>
          <w:p w14:paraId="7BD0EE32" w14:textId="77777777" w:rsidR="00000000" w:rsidRDefault="00195E73">
            <w:pPr>
              <w:rPr>
                <w:rFonts w:eastAsia="Times New Roman"/>
                <w:sz w:val="20"/>
                <w:szCs w:val="20"/>
              </w:rPr>
            </w:pPr>
          </w:p>
        </w:tc>
      </w:tr>
      <w:tr w:rsidR="00000000" w14:paraId="447D60D0"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0699B989" w14:textId="77777777" w:rsidR="00000000" w:rsidRDefault="00195E73">
            <w:pPr>
              <w:rPr>
                <w:rFonts w:eastAsia="Times New Roman"/>
              </w:rPr>
            </w:pPr>
            <w:r>
              <w:rPr>
                <w:rFonts w:eastAsia="Times New Roman"/>
                <w:color w:val="000000"/>
                <w:sz w:val="20"/>
                <w:szCs w:val="20"/>
              </w:rPr>
              <w:t>Commitments and contingencies (Note 18</w:t>
            </w:r>
            <w:r>
              <w:rPr>
                <w:rFonts w:eastAsia="Times New Roman"/>
                <w:color w:val="000000"/>
                <w:sz w:val="20"/>
                <w:szCs w:val="20"/>
              </w:rPr>
              <w:t>)</w:t>
            </w:r>
          </w:p>
        </w:tc>
        <w:tc>
          <w:tcPr>
            <w:tcW w:w="0" w:type="auto"/>
            <w:gridSpan w:val="2"/>
            <w:shd w:val="clear" w:color="auto" w:fill="FFFFFF"/>
            <w:tcMar>
              <w:top w:w="15" w:type="dxa"/>
              <w:left w:w="20" w:type="dxa"/>
              <w:bottom w:w="15" w:type="dxa"/>
              <w:right w:w="0" w:type="dxa"/>
            </w:tcMar>
            <w:vAlign w:val="bottom"/>
            <w:hideMark/>
          </w:tcPr>
          <w:p w14:paraId="526F6D06" w14:textId="77777777" w:rsidR="00000000" w:rsidRDefault="00195E73">
            <w:pPr>
              <w:rPr>
                <w:rFonts w:eastAsia="Times New Roman"/>
              </w:rPr>
            </w:pPr>
          </w:p>
        </w:tc>
        <w:tc>
          <w:tcPr>
            <w:tcW w:w="0" w:type="auto"/>
            <w:shd w:val="clear" w:color="auto" w:fill="FFFFFF"/>
            <w:tcMar>
              <w:top w:w="15" w:type="dxa"/>
              <w:left w:w="15" w:type="dxa"/>
              <w:bottom w:w="15" w:type="dxa"/>
              <w:right w:w="20" w:type="dxa"/>
            </w:tcMar>
            <w:vAlign w:val="bottom"/>
            <w:hideMark/>
          </w:tcPr>
          <w:p w14:paraId="17B6581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95F680A" w14:textId="77777777" w:rsidR="00000000" w:rsidRDefault="00195E73">
            <w:pPr>
              <w:jc w:val="right"/>
              <w:rPr>
                <w:rFonts w:eastAsia="Times New Roman"/>
                <w:sz w:val="20"/>
                <w:szCs w:val="20"/>
              </w:rPr>
            </w:pPr>
          </w:p>
        </w:tc>
        <w:tc>
          <w:tcPr>
            <w:tcW w:w="0" w:type="auto"/>
            <w:gridSpan w:val="2"/>
            <w:shd w:val="clear" w:color="auto" w:fill="FFFFFF"/>
            <w:tcMar>
              <w:top w:w="15" w:type="dxa"/>
              <w:left w:w="20" w:type="dxa"/>
              <w:bottom w:w="15" w:type="dxa"/>
              <w:right w:w="0" w:type="dxa"/>
            </w:tcMar>
            <w:vAlign w:val="bottom"/>
            <w:hideMark/>
          </w:tcPr>
          <w:p w14:paraId="6C272C1C" w14:textId="77777777" w:rsidR="00000000" w:rsidRDefault="00195E73">
            <w:pPr>
              <w:rPr>
                <w:rFonts w:eastAsia="Times New Roman"/>
                <w:sz w:val="20"/>
                <w:szCs w:val="20"/>
              </w:rPr>
            </w:pPr>
          </w:p>
        </w:tc>
        <w:tc>
          <w:tcPr>
            <w:tcW w:w="0" w:type="auto"/>
            <w:shd w:val="clear" w:color="auto" w:fill="FFFFFF"/>
            <w:tcMar>
              <w:top w:w="15" w:type="dxa"/>
              <w:left w:w="15" w:type="dxa"/>
              <w:bottom w:w="15" w:type="dxa"/>
              <w:right w:w="20" w:type="dxa"/>
            </w:tcMar>
            <w:vAlign w:val="bottom"/>
            <w:hideMark/>
          </w:tcPr>
          <w:p w14:paraId="35D41E44" w14:textId="77777777" w:rsidR="00000000" w:rsidRDefault="00195E73">
            <w:pPr>
              <w:rPr>
                <w:rFonts w:eastAsia="Times New Roman"/>
                <w:sz w:val="20"/>
                <w:szCs w:val="20"/>
              </w:rPr>
            </w:pPr>
          </w:p>
        </w:tc>
        <w:tc>
          <w:tcPr>
            <w:tcW w:w="0" w:type="auto"/>
            <w:vAlign w:val="center"/>
            <w:hideMark/>
          </w:tcPr>
          <w:p w14:paraId="2599E65B" w14:textId="77777777" w:rsidR="00000000" w:rsidRDefault="00195E73">
            <w:pPr>
              <w:rPr>
                <w:rFonts w:eastAsia="Times New Roman"/>
                <w:sz w:val="20"/>
                <w:szCs w:val="20"/>
              </w:rPr>
            </w:pPr>
          </w:p>
        </w:tc>
        <w:tc>
          <w:tcPr>
            <w:tcW w:w="0" w:type="auto"/>
            <w:vAlign w:val="center"/>
            <w:hideMark/>
          </w:tcPr>
          <w:p w14:paraId="1C26E7C2" w14:textId="77777777" w:rsidR="00000000" w:rsidRDefault="00195E73">
            <w:pPr>
              <w:rPr>
                <w:rFonts w:eastAsia="Times New Roman"/>
                <w:sz w:val="20"/>
                <w:szCs w:val="20"/>
              </w:rPr>
            </w:pPr>
          </w:p>
        </w:tc>
        <w:tc>
          <w:tcPr>
            <w:tcW w:w="0" w:type="auto"/>
            <w:vAlign w:val="center"/>
            <w:hideMark/>
          </w:tcPr>
          <w:p w14:paraId="1B95C7E2" w14:textId="77777777" w:rsidR="00000000" w:rsidRDefault="00195E73">
            <w:pPr>
              <w:rPr>
                <w:rFonts w:eastAsia="Times New Roman"/>
                <w:sz w:val="20"/>
                <w:szCs w:val="20"/>
              </w:rPr>
            </w:pPr>
          </w:p>
        </w:tc>
        <w:tc>
          <w:tcPr>
            <w:tcW w:w="0" w:type="auto"/>
            <w:vAlign w:val="center"/>
            <w:hideMark/>
          </w:tcPr>
          <w:p w14:paraId="5C21EABD" w14:textId="77777777" w:rsidR="00000000" w:rsidRDefault="00195E73">
            <w:pPr>
              <w:rPr>
                <w:rFonts w:eastAsia="Times New Roman"/>
                <w:sz w:val="20"/>
                <w:szCs w:val="20"/>
              </w:rPr>
            </w:pPr>
          </w:p>
        </w:tc>
        <w:tc>
          <w:tcPr>
            <w:tcW w:w="0" w:type="auto"/>
            <w:vAlign w:val="center"/>
            <w:hideMark/>
          </w:tcPr>
          <w:p w14:paraId="1C3732FF" w14:textId="77777777" w:rsidR="00000000" w:rsidRDefault="00195E73">
            <w:pPr>
              <w:rPr>
                <w:rFonts w:eastAsia="Times New Roman"/>
                <w:sz w:val="20"/>
                <w:szCs w:val="20"/>
              </w:rPr>
            </w:pPr>
          </w:p>
        </w:tc>
        <w:tc>
          <w:tcPr>
            <w:tcW w:w="0" w:type="auto"/>
            <w:vAlign w:val="center"/>
            <w:hideMark/>
          </w:tcPr>
          <w:p w14:paraId="0CAC2E6A" w14:textId="77777777" w:rsidR="00000000" w:rsidRDefault="00195E73">
            <w:pPr>
              <w:rPr>
                <w:rFonts w:eastAsia="Times New Roman"/>
                <w:sz w:val="20"/>
                <w:szCs w:val="20"/>
              </w:rPr>
            </w:pPr>
          </w:p>
        </w:tc>
      </w:tr>
      <w:tr w:rsidR="00000000" w14:paraId="096DEAD3" w14:textId="77777777">
        <w:trPr>
          <w:divId w:val="665473675"/>
          <w:trHeight w:val="240"/>
          <w:jc w:val="center"/>
        </w:trPr>
        <w:tc>
          <w:tcPr>
            <w:tcW w:w="0" w:type="auto"/>
            <w:gridSpan w:val="3"/>
            <w:shd w:val="clear" w:color="auto" w:fill="CCEEFF"/>
            <w:tcMar>
              <w:top w:w="15" w:type="dxa"/>
              <w:left w:w="20" w:type="dxa"/>
              <w:bottom w:w="15" w:type="dxa"/>
              <w:right w:w="20" w:type="dxa"/>
            </w:tcMar>
            <w:vAlign w:val="bottom"/>
            <w:hideMark/>
          </w:tcPr>
          <w:p w14:paraId="18F7F045" w14:textId="77777777" w:rsidR="00000000" w:rsidRDefault="00195E73">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AC93F56"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58FAFE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45B9C2A" w14:textId="77777777" w:rsidR="00000000" w:rsidRDefault="00195E73">
            <w:pPr>
              <w:rPr>
                <w:rFonts w:eastAsia="Times New Roman"/>
                <w:sz w:val="20"/>
                <w:szCs w:val="20"/>
              </w:rPr>
            </w:pPr>
          </w:p>
        </w:tc>
        <w:tc>
          <w:tcPr>
            <w:tcW w:w="0" w:type="auto"/>
            <w:vAlign w:val="center"/>
            <w:hideMark/>
          </w:tcPr>
          <w:p w14:paraId="0982C509" w14:textId="77777777" w:rsidR="00000000" w:rsidRDefault="00195E73">
            <w:pPr>
              <w:rPr>
                <w:rFonts w:eastAsia="Times New Roman"/>
                <w:sz w:val="20"/>
                <w:szCs w:val="20"/>
              </w:rPr>
            </w:pPr>
          </w:p>
        </w:tc>
        <w:tc>
          <w:tcPr>
            <w:tcW w:w="0" w:type="auto"/>
            <w:vAlign w:val="center"/>
            <w:hideMark/>
          </w:tcPr>
          <w:p w14:paraId="78CDB292" w14:textId="77777777" w:rsidR="00000000" w:rsidRDefault="00195E73">
            <w:pPr>
              <w:rPr>
                <w:rFonts w:eastAsia="Times New Roman"/>
                <w:sz w:val="20"/>
                <w:szCs w:val="20"/>
              </w:rPr>
            </w:pPr>
          </w:p>
        </w:tc>
        <w:tc>
          <w:tcPr>
            <w:tcW w:w="0" w:type="auto"/>
            <w:vAlign w:val="center"/>
            <w:hideMark/>
          </w:tcPr>
          <w:p w14:paraId="0648961C" w14:textId="77777777" w:rsidR="00000000" w:rsidRDefault="00195E73">
            <w:pPr>
              <w:rPr>
                <w:rFonts w:eastAsia="Times New Roman"/>
                <w:sz w:val="20"/>
                <w:szCs w:val="20"/>
              </w:rPr>
            </w:pPr>
          </w:p>
        </w:tc>
        <w:tc>
          <w:tcPr>
            <w:tcW w:w="0" w:type="auto"/>
            <w:vAlign w:val="center"/>
            <w:hideMark/>
          </w:tcPr>
          <w:p w14:paraId="29B36872" w14:textId="77777777" w:rsidR="00000000" w:rsidRDefault="00195E73">
            <w:pPr>
              <w:rPr>
                <w:rFonts w:eastAsia="Times New Roman"/>
                <w:sz w:val="20"/>
                <w:szCs w:val="20"/>
              </w:rPr>
            </w:pPr>
          </w:p>
        </w:tc>
        <w:tc>
          <w:tcPr>
            <w:tcW w:w="0" w:type="auto"/>
            <w:vAlign w:val="center"/>
            <w:hideMark/>
          </w:tcPr>
          <w:p w14:paraId="62BAA0B3" w14:textId="77777777" w:rsidR="00000000" w:rsidRDefault="00195E73">
            <w:pPr>
              <w:rPr>
                <w:rFonts w:eastAsia="Times New Roman"/>
                <w:sz w:val="20"/>
                <w:szCs w:val="20"/>
              </w:rPr>
            </w:pPr>
          </w:p>
        </w:tc>
        <w:tc>
          <w:tcPr>
            <w:tcW w:w="0" w:type="auto"/>
            <w:vAlign w:val="center"/>
            <w:hideMark/>
          </w:tcPr>
          <w:p w14:paraId="2CB3D137" w14:textId="77777777" w:rsidR="00000000" w:rsidRDefault="00195E73">
            <w:pPr>
              <w:rPr>
                <w:rFonts w:eastAsia="Times New Roman"/>
                <w:sz w:val="20"/>
                <w:szCs w:val="20"/>
              </w:rPr>
            </w:pPr>
          </w:p>
        </w:tc>
      </w:tr>
      <w:tr w:rsidR="00000000" w14:paraId="4F6C52D0"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58D64AD6" w14:textId="77777777" w:rsidR="00000000" w:rsidRDefault="00195E73">
            <w:pPr>
              <w:rPr>
                <w:rFonts w:eastAsia="Times New Roman"/>
              </w:rPr>
            </w:pPr>
            <w:r>
              <w:rPr>
                <w:rFonts w:eastAsia="Times New Roman"/>
                <w:color w:val="000000"/>
                <w:sz w:val="20"/>
                <w:szCs w:val="20"/>
              </w:rPr>
              <w:t>Equity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3001D7B3"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51BCAD5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E52CF1A" w14:textId="77777777" w:rsidR="00000000" w:rsidRDefault="00195E73">
            <w:pPr>
              <w:rPr>
                <w:rFonts w:eastAsia="Times New Roman"/>
                <w:sz w:val="20"/>
                <w:szCs w:val="20"/>
              </w:rPr>
            </w:pPr>
          </w:p>
        </w:tc>
        <w:tc>
          <w:tcPr>
            <w:tcW w:w="0" w:type="auto"/>
            <w:vAlign w:val="center"/>
            <w:hideMark/>
          </w:tcPr>
          <w:p w14:paraId="59DFF2E2" w14:textId="77777777" w:rsidR="00000000" w:rsidRDefault="00195E73">
            <w:pPr>
              <w:rPr>
                <w:rFonts w:eastAsia="Times New Roman"/>
                <w:sz w:val="20"/>
                <w:szCs w:val="20"/>
              </w:rPr>
            </w:pPr>
          </w:p>
        </w:tc>
        <w:tc>
          <w:tcPr>
            <w:tcW w:w="0" w:type="auto"/>
            <w:vAlign w:val="center"/>
            <w:hideMark/>
          </w:tcPr>
          <w:p w14:paraId="7F75AB27" w14:textId="77777777" w:rsidR="00000000" w:rsidRDefault="00195E73">
            <w:pPr>
              <w:rPr>
                <w:rFonts w:eastAsia="Times New Roman"/>
                <w:sz w:val="20"/>
                <w:szCs w:val="20"/>
              </w:rPr>
            </w:pPr>
          </w:p>
        </w:tc>
        <w:tc>
          <w:tcPr>
            <w:tcW w:w="0" w:type="auto"/>
            <w:vAlign w:val="center"/>
            <w:hideMark/>
          </w:tcPr>
          <w:p w14:paraId="6033FC50" w14:textId="77777777" w:rsidR="00000000" w:rsidRDefault="00195E73">
            <w:pPr>
              <w:rPr>
                <w:rFonts w:eastAsia="Times New Roman"/>
                <w:sz w:val="20"/>
                <w:szCs w:val="20"/>
              </w:rPr>
            </w:pPr>
          </w:p>
        </w:tc>
        <w:tc>
          <w:tcPr>
            <w:tcW w:w="0" w:type="auto"/>
            <w:vAlign w:val="center"/>
            <w:hideMark/>
          </w:tcPr>
          <w:p w14:paraId="456380B9" w14:textId="77777777" w:rsidR="00000000" w:rsidRDefault="00195E73">
            <w:pPr>
              <w:rPr>
                <w:rFonts w:eastAsia="Times New Roman"/>
                <w:sz w:val="20"/>
                <w:szCs w:val="20"/>
              </w:rPr>
            </w:pPr>
          </w:p>
        </w:tc>
        <w:tc>
          <w:tcPr>
            <w:tcW w:w="0" w:type="auto"/>
            <w:vAlign w:val="center"/>
            <w:hideMark/>
          </w:tcPr>
          <w:p w14:paraId="154E161F" w14:textId="77777777" w:rsidR="00000000" w:rsidRDefault="00195E73">
            <w:pPr>
              <w:rPr>
                <w:rFonts w:eastAsia="Times New Roman"/>
                <w:sz w:val="20"/>
                <w:szCs w:val="20"/>
              </w:rPr>
            </w:pPr>
          </w:p>
        </w:tc>
        <w:tc>
          <w:tcPr>
            <w:tcW w:w="0" w:type="auto"/>
            <w:vAlign w:val="center"/>
            <w:hideMark/>
          </w:tcPr>
          <w:p w14:paraId="6FB35FBA" w14:textId="77777777" w:rsidR="00000000" w:rsidRDefault="00195E73">
            <w:pPr>
              <w:rPr>
                <w:rFonts w:eastAsia="Times New Roman"/>
                <w:sz w:val="20"/>
                <w:szCs w:val="20"/>
              </w:rPr>
            </w:pPr>
          </w:p>
        </w:tc>
      </w:tr>
      <w:tr w:rsidR="00000000" w14:paraId="41F90DEE" w14:textId="77777777">
        <w:trPr>
          <w:divId w:val="665473675"/>
          <w:jc w:val="center"/>
        </w:trPr>
        <w:tc>
          <w:tcPr>
            <w:tcW w:w="0" w:type="auto"/>
            <w:gridSpan w:val="3"/>
            <w:shd w:val="clear" w:color="auto" w:fill="CCEEFF"/>
            <w:tcMar>
              <w:top w:w="30" w:type="dxa"/>
              <w:left w:w="20" w:type="dxa"/>
              <w:bottom w:w="30" w:type="dxa"/>
              <w:right w:w="20" w:type="dxa"/>
            </w:tcMar>
            <w:vAlign w:val="bottom"/>
            <w:hideMark/>
          </w:tcPr>
          <w:p w14:paraId="09B1D34D" w14:textId="77777777" w:rsidR="00000000" w:rsidRDefault="00195E73">
            <w:pPr>
              <w:ind w:hanging="180"/>
              <w:divId w:val="1727147221"/>
              <w:rPr>
                <w:rFonts w:eastAsia="Times New Roman"/>
              </w:rPr>
            </w:pPr>
            <w:r>
              <w:rPr>
                <w:rFonts w:eastAsia="Times New Roman"/>
                <w:color w:val="000000"/>
                <w:sz w:val="20"/>
                <w:szCs w:val="20"/>
              </w:rPr>
              <w:t>Limited partne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0603ED5E" w14:textId="77777777" w:rsidR="00000000" w:rsidRDefault="00195E73">
            <w:pPr>
              <w:jc w:val="right"/>
              <w:rPr>
                <w:rFonts w:eastAsia="Times New Roman"/>
              </w:rPr>
            </w:pPr>
            <w:r>
              <w:rPr>
                <w:rFonts w:eastAsia="Times New Roman"/>
                <w:color w:val="000000"/>
                <w:sz w:val="20"/>
                <w:szCs w:val="20"/>
              </w:rPr>
              <w:t>6,328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FB5F20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140B2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FCD1FA" w14:textId="77777777" w:rsidR="00000000" w:rsidRDefault="00195E73">
            <w:pPr>
              <w:jc w:val="right"/>
              <w:rPr>
                <w:rFonts w:eastAsia="Times New Roman"/>
              </w:rPr>
            </w:pPr>
            <w:r>
              <w:rPr>
                <w:rFonts w:eastAsia="Times New Roman"/>
                <w:color w:val="000000"/>
                <w:sz w:val="20"/>
                <w:szCs w:val="20"/>
              </w:rPr>
              <w:t>7,452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F10327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B6E0155" w14:textId="77777777" w:rsidR="00000000" w:rsidRDefault="00195E73">
            <w:pPr>
              <w:rPr>
                <w:rFonts w:eastAsia="Times New Roman"/>
                <w:sz w:val="20"/>
                <w:szCs w:val="20"/>
              </w:rPr>
            </w:pPr>
          </w:p>
        </w:tc>
        <w:tc>
          <w:tcPr>
            <w:tcW w:w="0" w:type="auto"/>
            <w:vAlign w:val="center"/>
            <w:hideMark/>
          </w:tcPr>
          <w:p w14:paraId="763619DA" w14:textId="77777777" w:rsidR="00000000" w:rsidRDefault="00195E73">
            <w:pPr>
              <w:rPr>
                <w:rFonts w:eastAsia="Times New Roman"/>
                <w:sz w:val="20"/>
                <w:szCs w:val="20"/>
              </w:rPr>
            </w:pPr>
          </w:p>
        </w:tc>
        <w:tc>
          <w:tcPr>
            <w:tcW w:w="0" w:type="auto"/>
            <w:vAlign w:val="center"/>
            <w:hideMark/>
          </w:tcPr>
          <w:p w14:paraId="148AC9B1" w14:textId="77777777" w:rsidR="00000000" w:rsidRDefault="00195E73">
            <w:pPr>
              <w:rPr>
                <w:rFonts w:eastAsia="Times New Roman"/>
                <w:sz w:val="20"/>
                <w:szCs w:val="20"/>
              </w:rPr>
            </w:pPr>
          </w:p>
        </w:tc>
        <w:tc>
          <w:tcPr>
            <w:tcW w:w="0" w:type="auto"/>
            <w:vAlign w:val="center"/>
            <w:hideMark/>
          </w:tcPr>
          <w:p w14:paraId="2B684AC4" w14:textId="77777777" w:rsidR="00000000" w:rsidRDefault="00195E73">
            <w:pPr>
              <w:rPr>
                <w:rFonts w:eastAsia="Times New Roman"/>
                <w:sz w:val="20"/>
                <w:szCs w:val="20"/>
              </w:rPr>
            </w:pPr>
          </w:p>
        </w:tc>
        <w:tc>
          <w:tcPr>
            <w:tcW w:w="0" w:type="auto"/>
            <w:vAlign w:val="center"/>
            <w:hideMark/>
          </w:tcPr>
          <w:p w14:paraId="5B091545" w14:textId="77777777" w:rsidR="00000000" w:rsidRDefault="00195E73">
            <w:pPr>
              <w:rPr>
                <w:rFonts w:eastAsia="Times New Roman"/>
                <w:sz w:val="20"/>
                <w:szCs w:val="20"/>
              </w:rPr>
            </w:pPr>
          </w:p>
        </w:tc>
        <w:tc>
          <w:tcPr>
            <w:tcW w:w="0" w:type="auto"/>
            <w:vAlign w:val="center"/>
            <w:hideMark/>
          </w:tcPr>
          <w:p w14:paraId="0681F0A1" w14:textId="77777777" w:rsidR="00000000" w:rsidRDefault="00195E73">
            <w:pPr>
              <w:rPr>
                <w:rFonts w:eastAsia="Times New Roman"/>
                <w:sz w:val="20"/>
                <w:szCs w:val="20"/>
              </w:rPr>
            </w:pPr>
          </w:p>
        </w:tc>
      </w:tr>
      <w:tr w:rsidR="00000000" w14:paraId="0ED3550B" w14:textId="77777777">
        <w:trPr>
          <w:divId w:val="665473675"/>
          <w:jc w:val="center"/>
        </w:trPr>
        <w:tc>
          <w:tcPr>
            <w:tcW w:w="0" w:type="auto"/>
            <w:gridSpan w:val="3"/>
            <w:shd w:val="clear" w:color="auto" w:fill="FFFFFF"/>
            <w:tcMar>
              <w:top w:w="30" w:type="dxa"/>
              <w:left w:w="180" w:type="dxa"/>
              <w:bottom w:w="30" w:type="dxa"/>
              <w:right w:w="20" w:type="dxa"/>
            </w:tcMar>
            <w:vAlign w:val="bottom"/>
            <w:hideMark/>
          </w:tcPr>
          <w:p w14:paraId="0A983B35" w14:textId="77777777" w:rsidR="00000000" w:rsidRDefault="00195E73">
            <w:pPr>
              <w:rPr>
                <w:rFonts w:eastAsia="Times New Roman"/>
              </w:rPr>
            </w:pPr>
            <w:r>
              <w:rPr>
                <w:rFonts w:eastAsia="Times New Roman"/>
                <w:color w:val="000000"/>
                <w:sz w:val="20"/>
                <w:szCs w:val="20"/>
              </w:rPr>
              <w:t>General partne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0D240845" w14:textId="77777777" w:rsidR="00000000" w:rsidRDefault="00195E73">
            <w:pPr>
              <w:jc w:val="right"/>
              <w:rPr>
                <w:rFonts w:eastAsia="Times New Roman"/>
              </w:rPr>
            </w:pPr>
            <w:r>
              <w:rPr>
                <w:rFonts w:eastAsia="Times New Roman"/>
                <w:color w:val="000000"/>
                <w:sz w:val="20"/>
                <w:szCs w:val="20"/>
              </w:rPr>
              <w:t>(875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A5DF26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128D06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D0C73A" w14:textId="77777777" w:rsidR="00000000" w:rsidRDefault="00195E73">
            <w:pPr>
              <w:jc w:val="right"/>
              <w:rPr>
                <w:rFonts w:eastAsia="Times New Roman"/>
              </w:rPr>
            </w:pPr>
            <w:r>
              <w:rPr>
                <w:rFonts w:eastAsia="Times New Roman"/>
                <w:color w:val="000000"/>
                <w:sz w:val="20"/>
                <w:szCs w:val="20"/>
              </w:rPr>
              <w:t>(864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577EFE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53B9071" w14:textId="77777777" w:rsidR="00000000" w:rsidRDefault="00195E73">
            <w:pPr>
              <w:rPr>
                <w:rFonts w:eastAsia="Times New Roman"/>
                <w:sz w:val="20"/>
                <w:szCs w:val="20"/>
              </w:rPr>
            </w:pPr>
          </w:p>
        </w:tc>
        <w:tc>
          <w:tcPr>
            <w:tcW w:w="0" w:type="auto"/>
            <w:vAlign w:val="center"/>
            <w:hideMark/>
          </w:tcPr>
          <w:p w14:paraId="79210DDF" w14:textId="77777777" w:rsidR="00000000" w:rsidRDefault="00195E73">
            <w:pPr>
              <w:rPr>
                <w:rFonts w:eastAsia="Times New Roman"/>
                <w:sz w:val="20"/>
                <w:szCs w:val="20"/>
              </w:rPr>
            </w:pPr>
          </w:p>
        </w:tc>
        <w:tc>
          <w:tcPr>
            <w:tcW w:w="0" w:type="auto"/>
            <w:vAlign w:val="center"/>
            <w:hideMark/>
          </w:tcPr>
          <w:p w14:paraId="041E2784" w14:textId="77777777" w:rsidR="00000000" w:rsidRDefault="00195E73">
            <w:pPr>
              <w:rPr>
                <w:rFonts w:eastAsia="Times New Roman"/>
                <w:sz w:val="20"/>
                <w:szCs w:val="20"/>
              </w:rPr>
            </w:pPr>
          </w:p>
        </w:tc>
        <w:tc>
          <w:tcPr>
            <w:tcW w:w="0" w:type="auto"/>
            <w:vAlign w:val="center"/>
            <w:hideMark/>
          </w:tcPr>
          <w:p w14:paraId="13DE9E0A" w14:textId="77777777" w:rsidR="00000000" w:rsidRDefault="00195E73">
            <w:pPr>
              <w:rPr>
                <w:rFonts w:eastAsia="Times New Roman"/>
                <w:sz w:val="20"/>
                <w:szCs w:val="20"/>
              </w:rPr>
            </w:pPr>
          </w:p>
        </w:tc>
        <w:tc>
          <w:tcPr>
            <w:tcW w:w="0" w:type="auto"/>
            <w:vAlign w:val="center"/>
            <w:hideMark/>
          </w:tcPr>
          <w:p w14:paraId="5E61AA1E" w14:textId="77777777" w:rsidR="00000000" w:rsidRDefault="00195E73">
            <w:pPr>
              <w:rPr>
                <w:rFonts w:eastAsia="Times New Roman"/>
                <w:sz w:val="20"/>
                <w:szCs w:val="20"/>
              </w:rPr>
            </w:pPr>
          </w:p>
        </w:tc>
        <w:tc>
          <w:tcPr>
            <w:tcW w:w="0" w:type="auto"/>
            <w:vAlign w:val="center"/>
            <w:hideMark/>
          </w:tcPr>
          <w:p w14:paraId="63C81B7C" w14:textId="77777777" w:rsidR="00000000" w:rsidRDefault="00195E73">
            <w:pPr>
              <w:rPr>
                <w:rFonts w:eastAsia="Times New Roman"/>
                <w:sz w:val="20"/>
                <w:szCs w:val="20"/>
              </w:rPr>
            </w:pPr>
          </w:p>
        </w:tc>
      </w:tr>
      <w:tr w:rsidR="00000000" w14:paraId="61D00EF9" w14:textId="77777777">
        <w:trPr>
          <w:divId w:val="665473675"/>
          <w:jc w:val="center"/>
        </w:trPr>
        <w:tc>
          <w:tcPr>
            <w:tcW w:w="0" w:type="auto"/>
            <w:gridSpan w:val="3"/>
            <w:shd w:val="clear" w:color="auto" w:fill="CCEEFF"/>
            <w:tcMar>
              <w:top w:w="30" w:type="dxa"/>
              <w:left w:w="20" w:type="dxa"/>
              <w:bottom w:w="30" w:type="dxa"/>
              <w:right w:w="20" w:type="dxa"/>
            </w:tcMar>
            <w:vAlign w:val="bottom"/>
            <w:hideMark/>
          </w:tcPr>
          <w:p w14:paraId="5C72372C" w14:textId="77777777" w:rsidR="00000000" w:rsidRDefault="00195E73">
            <w:pPr>
              <w:rPr>
                <w:rFonts w:eastAsia="Times New Roman"/>
              </w:rPr>
            </w:pPr>
            <w:r>
              <w:rPr>
                <w:rFonts w:eastAsia="Times New Roman"/>
                <w:color w:val="000000"/>
                <w:sz w:val="20"/>
                <w:szCs w:val="20"/>
              </w:rPr>
              <w:t>Equity attributable to Icahn Enterprises Holding</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BB8B52" w14:textId="77777777" w:rsidR="00000000" w:rsidRDefault="00195E73">
            <w:pPr>
              <w:jc w:val="right"/>
              <w:rPr>
                <w:rFonts w:eastAsia="Times New Roman"/>
              </w:rPr>
            </w:pPr>
            <w:r>
              <w:rPr>
                <w:rFonts w:eastAsia="Times New Roman"/>
                <w:color w:val="000000"/>
                <w:sz w:val="20"/>
                <w:szCs w:val="20"/>
              </w:rPr>
              <w:t>5,453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9DC97B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B41F0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17B63F" w14:textId="77777777" w:rsidR="00000000" w:rsidRDefault="00195E73">
            <w:pPr>
              <w:jc w:val="right"/>
              <w:rPr>
                <w:rFonts w:eastAsia="Times New Roman"/>
              </w:rPr>
            </w:pPr>
            <w:r>
              <w:rPr>
                <w:rFonts w:eastAsia="Times New Roman"/>
                <w:color w:val="000000"/>
                <w:sz w:val="20"/>
                <w:szCs w:val="20"/>
              </w:rPr>
              <w:t>6,588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BB7732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7C90745" w14:textId="77777777" w:rsidR="00000000" w:rsidRDefault="00195E73">
            <w:pPr>
              <w:rPr>
                <w:rFonts w:eastAsia="Times New Roman"/>
                <w:sz w:val="20"/>
                <w:szCs w:val="20"/>
              </w:rPr>
            </w:pPr>
          </w:p>
        </w:tc>
        <w:tc>
          <w:tcPr>
            <w:tcW w:w="0" w:type="auto"/>
            <w:vAlign w:val="center"/>
            <w:hideMark/>
          </w:tcPr>
          <w:p w14:paraId="662897B7" w14:textId="77777777" w:rsidR="00000000" w:rsidRDefault="00195E73">
            <w:pPr>
              <w:rPr>
                <w:rFonts w:eastAsia="Times New Roman"/>
                <w:sz w:val="20"/>
                <w:szCs w:val="20"/>
              </w:rPr>
            </w:pPr>
          </w:p>
        </w:tc>
        <w:tc>
          <w:tcPr>
            <w:tcW w:w="0" w:type="auto"/>
            <w:vAlign w:val="center"/>
            <w:hideMark/>
          </w:tcPr>
          <w:p w14:paraId="3E51236B" w14:textId="77777777" w:rsidR="00000000" w:rsidRDefault="00195E73">
            <w:pPr>
              <w:rPr>
                <w:rFonts w:eastAsia="Times New Roman"/>
                <w:sz w:val="20"/>
                <w:szCs w:val="20"/>
              </w:rPr>
            </w:pPr>
          </w:p>
        </w:tc>
        <w:tc>
          <w:tcPr>
            <w:tcW w:w="0" w:type="auto"/>
            <w:vAlign w:val="center"/>
            <w:hideMark/>
          </w:tcPr>
          <w:p w14:paraId="49C894D7" w14:textId="77777777" w:rsidR="00000000" w:rsidRDefault="00195E73">
            <w:pPr>
              <w:rPr>
                <w:rFonts w:eastAsia="Times New Roman"/>
                <w:sz w:val="20"/>
                <w:szCs w:val="20"/>
              </w:rPr>
            </w:pPr>
          </w:p>
        </w:tc>
        <w:tc>
          <w:tcPr>
            <w:tcW w:w="0" w:type="auto"/>
            <w:vAlign w:val="center"/>
            <w:hideMark/>
          </w:tcPr>
          <w:p w14:paraId="2F02D532" w14:textId="77777777" w:rsidR="00000000" w:rsidRDefault="00195E73">
            <w:pPr>
              <w:rPr>
                <w:rFonts w:eastAsia="Times New Roman"/>
                <w:sz w:val="20"/>
                <w:szCs w:val="20"/>
              </w:rPr>
            </w:pPr>
          </w:p>
        </w:tc>
        <w:tc>
          <w:tcPr>
            <w:tcW w:w="0" w:type="auto"/>
            <w:vAlign w:val="center"/>
            <w:hideMark/>
          </w:tcPr>
          <w:p w14:paraId="1AB9B7E2" w14:textId="77777777" w:rsidR="00000000" w:rsidRDefault="00195E73">
            <w:pPr>
              <w:rPr>
                <w:rFonts w:eastAsia="Times New Roman"/>
                <w:sz w:val="20"/>
                <w:szCs w:val="20"/>
              </w:rPr>
            </w:pPr>
          </w:p>
        </w:tc>
      </w:tr>
      <w:tr w:rsidR="00000000" w14:paraId="57F9E1AD"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05DB574E" w14:textId="77777777" w:rsidR="00000000" w:rsidRDefault="00195E73">
            <w:pPr>
              <w:rPr>
                <w:rFonts w:eastAsia="Times New Roman"/>
              </w:rPr>
            </w:pPr>
            <w:r>
              <w:rPr>
                <w:rFonts w:eastAsia="Times New Roman"/>
                <w:color w:val="000000"/>
                <w:sz w:val="20"/>
                <w:szCs w:val="20"/>
              </w:rPr>
              <w:t>Equity attributable to non-controlling interest</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B0ED94" w14:textId="77777777" w:rsidR="00000000" w:rsidRDefault="00195E73">
            <w:pPr>
              <w:jc w:val="right"/>
              <w:rPr>
                <w:rFonts w:eastAsia="Times New Roman"/>
              </w:rPr>
            </w:pPr>
            <w:r>
              <w:rPr>
                <w:rFonts w:eastAsia="Times New Roman"/>
                <w:color w:val="000000"/>
                <w:sz w:val="20"/>
                <w:szCs w:val="20"/>
              </w:rPr>
              <w:t>5,486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09720F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0D90B5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94A707" w14:textId="77777777" w:rsidR="00000000" w:rsidRDefault="00195E73">
            <w:pPr>
              <w:jc w:val="right"/>
              <w:rPr>
                <w:rFonts w:eastAsia="Times New Roman"/>
              </w:rPr>
            </w:pPr>
            <w:r>
              <w:rPr>
                <w:rFonts w:eastAsia="Times New Roman"/>
                <w:color w:val="000000"/>
                <w:sz w:val="20"/>
                <w:szCs w:val="20"/>
              </w:rPr>
              <w:t>6,420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ED8931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5904B4C" w14:textId="77777777" w:rsidR="00000000" w:rsidRDefault="00195E73">
            <w:pPr>
              <w:rPr>
                <w:rFonts w:eastAsia="Times New Roman"/>
                <w:sz w:val="20"/>
                <w:szCs w:val="20"/>
              </w:rPr>
            </w:pPr>
          </w:p>
        </w:tc>
        <w:tc>
          <w:tcPr>
            <w:tcW w:w="0" w:type="auto"/>
            <w:vAlign w:val="center"/>
            <w:hideMark/>
          </w:tcPr>
          <w:p w14:paraId="3BA5904E" w14:textId="77777777" w:rsidR="00000000" w:rsidRDefault="00195E73">
            <w:pPr>
              <w:rPr>
                <w:rFonts w:eastAsia="Times New Roman"/>
                <w:sz w:val="20"/>
                <w:szCs w:val="20"/>
              </w:rPr>
            </w:pPr>
          </w:p>
        </w:tc>
        <w:tc>
          <w:tcPr>
            <w:tcW w:w="0" w:type="auto"/>
            <w:vAlign w:val="center"/>
            <w:hideMark/>
          </w:tcPr>
          <w:p w14:paraId="599DD72D" w14:textId="77777777" w:rsidR="00000000" w:rsidRDefault="00195E73">
            <w:pPr>
              <w:rPr>
                <w:rFonts w:eastAsia="Times New Roman"/>
                <w:sz w:val="20"/>
                <w:szCs w:val="20"/>
              </w:rPr>
            </w:pPr>
          </w:p>
        </w:tc>
        <w:tc>
          <w:tcPr>
            <w:tcW w:w="0" w:type="auto"/>
            <w:vAlign w:val="center"/>
            <w:hideMark/>
          </w:tcPr>
          <w:p w14:paraId="1754C732" w14:textId="77777777" w:rsidR="00000000" w:rsidRDefault="00195E73">
            <w:pPr>
              <w:rPr>
                <w:rFonts w:eastAsia="Times New Roman"/>
                <w:sz w:val="20"/>
                <w:szCs w:val="20"/>
              </w:rPr>
            </w:pPr>
          </w:p>
        </w:tc>
        <w:tc>
          <w:tcPr>
            <w:tcW w:w="0" w:type="auto"/>
            <w:vAlign w:val="center"/>
            <w:hideMark/>
          </w:tcPr>
          <w:p w14:paraId="2A6A8795" w14:textId="77777777" w:rsidR="00000000" w:rsidRDefault="00195E73">
            <w:pPr>
              <w:rPr>
                <w:rFonts w:eastAsia="Times New Roman"/>
                <w:sz w:val="20"/>
                <w:szCs w:val="20"/>
              </w:rPr>
            </w:pPr>
          </w:p>
        </w:tc>
        <w:tc>
          <w:tcPr>
            <w:tcW w:w="0" w:type="auto"/>
            <w:vAlign w:val="center"/>
            <w:hideMark/>
          </w:tcPr>
          <w:p w14:paraId="53E01E5E" w14:textId="77777777" w:rsidR="00000000" w:rsidRDefault="00195E73">
            <w:pPr>
              <w:rPr>
                <w:rFonts w:eastAsia="Times New Roman"/>
                <w:sz w:val="20"/>
                <w:szCs w:val="20"/>
              </w:rPr>
            </w:pPr>
          </w:p>
        </w:tc>
      </w:tr>
      <w:tr w:rsidR="00000000" w14:paraId="20F0687E" w14:textId="77777777">
        <w:trPr>
          <w:divId w:val="665473675"/>
          <w:jc w:val="center"/>
        </w:trPr>
        <w:tc>
          <w:tcPr>
            <w:tcW w:w="0" w:type="auto"/>
            <w:gridSpan w:val="3"/>
            <w:shd w:val="clear" w:color="auto" w:fill="CCEEFF"/>
            <w:tcMar>
              <w:top w:w="30" w:type="dxa"/>
              <w:left w:w="20" w:type="dxa"/>
              <w:bottom w:w="30" w:type="dxa"/>
              <w:right w:w="20" w:type="dxa"/>
            </w:tcMar>
            <w:vAlign w:val="bottom"/>
            <w:hideMark/>
          </w:tcPr>
          <w:p w14:paraId="28538869" w14:textId="77777777" w:rsidR="00000000" w:rsidRDefault="00195E73">
            <w:pPr>
              <w:rPr>
                <w:rFonts w:eastAsia="Times New Roman"/>
              </w:rPr>
            </w:pPr>
            <w:r>
              <w:rPr>
                <w:rFonts w:eastAsia="Times New Roman"/>
                <w:color w:val="000000"/>
                <w:sz w:val="20"/>
                <w:szCs w:val="20"/>
              </w:rPr>
              <w:t>Total equit</w:t>
            </w:r>
            <w:r>
              <w:rPr>
                <w:rFonts w:eastAsia="Times New Roman"/>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A4E077" w14:textId="77777777" w:rsidR="00000000" w:rsidRDefault="00195E73">
            <w:pPr>
              <w:jc w:val="right"/>
              <w:rPr>
                <w:rFonts w:eastAsia="Times New Roman"/>
              </w:rPr>
            </w:pPr>
            <w:r>
              <w:rPr>
                <w:rFonts w:eastAsia="Times New Roman"/>
                <w:color w:val="000000"/>
                <w:sz w:val="20"/>
                <w:szCs w:val="20"/>
              </w:rPr>
              <w:t>10,939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B43F12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8880AC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13A1B6" w14:textId="77777777" w:rsidR="00000000" w:rsidRDefault="00195E73">
            <w:pPr>
              <w:jc w:val="right"/>
              <w:rPr>
                <w:rFonts w:eastAsia="Times New Roman"/>
              </w:rPr>
            </w:pPr>
            <w:r>
              <w:rPr>
                <w:rFonts w:eastAsia="Times New Roman"/>
                <w:color w:val="000000"/>
                <w:sz w:val="20"/>
                <w:szCs w:val="20"/>
              </w:rPr>
              <w:t>13,008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A2F75F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9CE77ED" w14:textId="77777777" w:rsidR="00000000" w:rsidRDefault="00195E73">
            <w:pPr>
              <w:rPr>
                <w:rFonts w:eastAsia="Times New Roman"/>
                <w:sz w:val="20"/>
                <w:szCs w:val="20"/>
              </w:rPr>
            </w:pPr>
          </w:p>
        </w:tc>
        <w:tc>
          <w:tcPr>
            <w:tcW w:w="0" w:type="auto"/>
            <w:vAlign w:val="center"/>
            <w:hideMark/>
          </w:tcPr>
          <w:p w14:paraId="60DB9317" w14:textId="77777777" w:rsidR="00000000" w:rsidRDefault="00195E73">
            <w:pPr>
              <w:rPr>
                <w:rFonts w:eastAsia="Times New Roman"/>
                <w:sz w:val="20"/>
                <w:szCs w:val="20"/>
              </w:rPr>
            </w:pPr>
          </w:p>
        </w:tc>
        <w:tc>
          <w:tcPr>
            <w:tcW w:w="0" w:type="auto"/>
            <w:vAlign w:val="center"/>
            <w:hideMark/>
          </w:tcPr>
          <w:p w14:paraId="62A6CAF2" w14:textId="77777777" w:rsidR="00000000" w:rsidRDefault="00195E73">
            <w:pPr>
              <w:rPr>
                <w:rFonts w:eastAsia="Times New Roman"/>
                <w:sz w:val="20"/>
                <w:szCs w:val="20"/>
              </w:rPr>
            </w:pPr>
          </w:p>
        </w:tc>
        <w:tc>
          <w:tcPr>
            <w:tcW w:w="0" w:type="auto"/>
            <w:vAlign w:val="center"/>
            <w:hideMark/>
          </w:tcPr>
          <w:p w14:paraId="33C48DD7" w14:textId="77777777" w:rsidR="00000000" w:rsidRDefault="00195E73">
            <w:pPr>
              <w:rPr>
                <w:rFonts w:eastAsia="Times New Roman"/>
                <w:sz w:val="20"/>
                <w:szCs w:val="20"/>
              </w:rPr>
            </w:pPr>
          </w:p>
        </w:tc>
        <w:tc>
          <w:tcPr>
            <w:tcW w:w="0" w:type="auto"/>
            <w:vAlign w:val="center"/>
            <w:hideMark/>
          </w:tcPr>
          <w:p w14:paraId="1682487A" w14:textId="77777777" w:rsidR="00000000" w:rsidRDefault="00195E73">
            <w:pPr>
              <w:rPr>
                <w:rFonts w:eastAsia="Times New Roman"/>
                <w:sz w:val="20"/>
                <w:szCs w:val="20"/>
              </w:rPr>
            </w:pPr>
          </w:p>
        </w:tc>
        <w:tc>
          <w:tcPr>
            <w:tcW w:w="0" w:type="auto"/>
            <w:vAlign w:val="center"/>
            <w:hideMark/>
          </w:tcPr>
          <w:p w14:paraId="1F231BDB" w14:textId="77777777" w:rsidR="00000000" w:rsidRDefault="00195E73">
            <w:pPr>
              <w:rPr>
                <w:rFonts w:eastAsia="Times New Roman"/>
                <w:sz w:val="20"/>
                <w:szCs w:val="20"/>
              </w:rPr>
            </w:pPr>
          </w:p>
        </w:tc>
      </w:tr>
      <w:tr w:rsidR="00000000" w14:paraId="46CAE18C" w14:textId="77777777">
        <w:trPr>
          <w:divId w:val="665473675"/>
          <w:jc w:val="center"/>
        </w:trPr>
        <w:tc>
          <w:tcPr>
            <w:tcW w:w="0" w:type="auto"/>
            <w:gridSpan w:val="3"/>
            <w:shd w:val="clear" w:color="auto" w:fill="FFFFFF"/>
            <w:tcMar>
              <w:top w:w="30" w:type="dxa"/>
              <w:left w:w="20" w:type="dxa"/>
              <w:bottom w:w="30" w:type="dxa"/>
              <w:right w:w="20" w:type="dxa"/>
            </w:tcMar>
            <w:vAlign w:val="bottom"/>
            <w:hideMark/>
          </w:tcPr>
          <w:p w14:paraId="41E56BA3" w14:textId="77777777" w:rsidR="00000000" w:rsidRDefault="00195E73">
            <w:pPr>
              <w:rPr>
                <w:rFonts w:eastAsia="Times New Roman"/>
              </w:rPr>
            </w:pPr>
            <w:r>
              <w:rPr>
                <w:rFonts w:eastAsia="Times New Roman"/>
                <w:b/>
                <w:bCs/>
                <w:color w:val="000000"/>
                <w:sz w:val="20"/>
                <w:szCs w:val="20"/>
              </w:rPr>
              <w:t>Total Liabilities and Equit</w:t>
            </w:r>
            <w:r>
              <w:rPr>
                <w:rFonts w:eastAsia="Times New Roman"/>
                <w:b/>
                <w:bCs/>
                <w:color w:val="000000"/>
                <w:sz w:val="20"/>
                <w:szCs w:val="20"/>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95F191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0526F21" w14:textId="77777777" w:rsidR="00000000" w:rsidRDefault="00195E73">
            <w:pPr>
              <w:jc w:val="right"/>
              <w:rPr>
                <w:rFonts w:eastAsia="Times New Roman"/>
              </w:rPr>
            </w:pPr>
            <w:r>
              <w:rPr>
                <w:rFonts w:eastAsia="Times New Roman"/>
                <w:color w:val="000000"/>
                <w:sz w:val="20"/>
                <w:szCs w:val="20"/>
              </w:rPr>
              <w:t>24,639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57E34C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5BBB6CB"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D60774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8CD414D" w14:textId="77777777" w:rsidR="00000000" w:rsidRDefault="00195E73">
            <w:pPr>
              <w:jc w:val="right"/>
              <w:rPr>
                <w:rFonts w:eastAsia="Times New Roman"/>
              </w:rPr>
            </w:pPr>
            <w:r>
              <w:rPr>
                <w:rFonts w:eastAsia="Times New Roman"/>
                <w:color w:val="000000"/>
                <w:sz w:val="20"/>
                <w:szCs w:val="20"/>
              </w:rPr>
              <w:t>23,521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54F04A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37196A4" w14:textId="77777777" w:rsidR="00000000" w:rsidRDefault="00195E73">
            <w:pPr>
              <w:rPr>
                <w:rFonts w:eastAsia="Times New Roman"/>
                <w:sz w:val="20"/>
                <w:szCs w:val="20"/>
              </w:rPr>
            </w:pPr>
          </w:p>
        </w:tc>
        <w:tc>
          <w:tcPr>
            <w:tcW w:w="0" w:type="auto"/>
            <w:vAlign w:val="center"/>
            <w:hideMark/>
          </w:tcPr>
          <w:p w14:paraId="27ACD89D" w14:textId="77777777" w:rsidR="00000000" w:rsidRDefault="00195E73">
            <w:pPr>
              <w:rPr>
                <w:rFonts w:eastAsia="Times New Roman"/>
                <w:sz w:val="20"/>
                <w:szCs w:val="20"/>
              </w:rPr>
            </w:pPr>
          </w:p>
        </w:tc>
        <w:tc>
          <w:tcPr>
            <w:tcW w:w="0" w:type="auto"/>
            <w:vAlign w:val="center"/>
            <w:hideMark/>
          </w:tcPr>
          <w:p w14:paraId="2CFEBA01" w14:textId="77777777" w:rsidR="00000000" w:rsidRDefault="00195E73">
            <w:pPr>
              <w:rPr>
                <w:rFonts w:eastAsia="Times New Roman"/>
                <w:sz w:val="20"/>
                <w:szCs w:val="20"/>
              </w:rPr>
            </w:pPr>
          </w:p>
        </w:tc>
        <w:tc>
          <w:tcPr>
            <w:tcW w:w="0" w:type="auto"/>
            <w:vAlign w:val="center"/>
            <w:hideMark/>
          </w:tcPr>
          <w:p w14:paraId="43329054" w14:textId="77777777" w:rsidR="00000000" w:rsidRDefault="00195E73">
            <w:pPr>
              <w:rPr>
                <w:rFonts w:eastAsia="Times New Roman"/>
                <w:sz w:val="20"/>
                <w:szCs w:val="20"/>
              </w:rPr>
            </w:pPr>
          </w:p>
        </w:tc>
        <w:tc>
          <w:tcPr>
            <w:tcW w:w="0" w:type="auto"/>
            <w:vAlign w:val="center"/>
            <w:hideMark/>
          </w:tcPr>
          <w:p w14:paraId="05D7C9CD" w14:textId="77777777" w:rsidR="00000000" w:rsidRDefault="00195E73">
            <w:pPr>
              <w:rPr>
                <w:rFonts w:eastAsia="Times New Roman"/>
                <w:sz w:val="20"/>
                <w:szCs w:val="20"/>
              </w:rPr>
            </w:pPr>
          </w:p>
        </w:tc>
        <w:tc>
          <w:tcPr>
            <w:tcW w:w="0" w:type="auto"/>
            <w:vAlign w:val="center"/>
            <w:hideMark/>
          </w:tcPr>
          <w:p w14:paraId="42656470" w14:textId="77777777" w:rsidR="00000000" w:rsidRDefault="00195E73">
            <w:pPr>
              <w:rPr>
                <w:rFonts w:eastAsia="Times New Roman"/>
                <w:sz w:val="20"/>
                <w:szCs w:val="20"/>
              </w:rPr>
            </w:pPr>
          </w:p>
        </w:tc>
      </w:tr>
    </w:tbl>
    <w:p w14:paraId="703B8EEC" w14:textId="77777777" w:rsidR="00000000" w:rsidRDefault="00195E73">
      <w:pPr>
        <w:jc w:val="center"/>
        <w:divId w:val="920870519"/>
        <w:rPr>
          <w:rFonts w:eastAsia="Times New Roman"/>
        </w:rPr>
      </w:pPr>
    </w:p>
    <w:p w14:paraId="37E6F67C" w14:textId="77777777" w:rsidR="00000000" w:rsidRDefault="00195E73">
      <w:pPr>
        <w:jc w:val="center"/>
        <w:divId w:val="475680766"/>
        <w:rPr>
          <w:rFonts w:eastAsia="Times New Roman"/>
        </w:rPr>
      </w:pPr>
    </w:p>
    <w:p w14:paraId="328ACB8A" w14:textId="77777777" w:rsidR="00000000" w:rsidRDefault="00195E73">
      <w:pPr>
        <w:jc w:val="center"/>
        <w:divId w:val="1736976587"/>
        <w:rPr>
          <w:rFonts w:eastAsia="Times New Roman"/>
        </w:rPr>
      </w:pPr>
    </w:p>
    <w:p w14:paraId="11AF3478" w14:textId="77777777" w:rsidR="00000000" w:rsidRDefault="00195E73">
      <w:pPr>
        <w:jc w:val="center"/>
        <w:divId w:val="8455018"/>
        <w:rPr>
          <w:rFonts w:eastAsia="Times New Roman"/>
        </w:rPr>
      </w:pPr>
    </w:p>
    <w:p w14:paraId="097C9013" w14:textId="77777777" w:rsidR="00000000" w:rsidRDefault="00195E73">
      <w:pPr>
        <w:jc w:val="center"/>
        <w:divId w:val="1866477662"/>
        <w:rPr>
          <w:rFonts w:eastAsia="Times New Roman"/>
        </w:rPr>
      </w:pPr>
    </w:p>
    <w:p w14:paraId="0AAFF063" w14:textId="77777777" w:rsidR="00000000" w:rsidRDefault="00195E73">
      <w:pPr>
        <w:jc w:val="center"/>
        <w:divId w:val="767043303"/>
        <w:rPr>
          <w:rFonts w:eastAsia="Times New Roman"/>
        </w:rPr>
      </w:pPr>
    </w:p>
    <w:p w14:paraId="1AA5C462" w14:textId="77777777" w:rsidR="00000000" w:rsidRDefault="00195E73">
      <w:pPr>
        <w:jc w:val="center"/>
        <w:divId w:val="25446097"/>
        <w:rPr>
          <w:rFonts w:eastAsia="Times New Roman"/>
        </w:rPr>
      </w:pPr>
    </w:p>
    <w:p w14:paraId="646BA2D7" w14:textId="77777777" w:rsidR="00000000" w:rsidRDefault="00195E73">
      <w:pPr>
        <w:jc w:val="center"/>
        <w:divId w:val="1555774930"/>
        <w:rPr>
          <w:rFonts w:eastAsia="Times New Roman"/>
        </w:rPr>
      </w:pPr>
      <w:r>
        <w:rPr>
          <w:rFonts w:eastAsia="Times New Roman"/>
          <w:i/>
          <w:iCs/>
          <w:color w:val="000000"/>
          <w:sz w:val="20"/>
          <w:szCs w:val="20"/>
        </w:rPr>
        <w:t>See notes to consolidated financial statements</w:t>
      </w:r>
      <w:r>
        <w:rPr>
          <w:rFonts w:eastAsia="Times New Roman"/>
          <w:i/>
          <w:iCs/>
          <w:color w:val="000000"/>
          <w:sz w:val="20"/>
          <w:szCs w:val="20"/>
        </w:rPr>
        <w:t>.</w:t>
      </w:r>
    </w:p>
    <w:p w14:paraId="1052F7A3" w14:textId="77777777" w:rsidR="00000000" w:rsidRDefault="00195E73">
      <w:pPr>
        <w:jc w:val="center"/>
        <w:divId w:val="683242329"/>
        <w:rPr>
          <w:rFonts w:eastAsia="Times New Roman"/>
        </w:rPr>
      </w:pPr>
      <w:r>
        <w:rPr>
          <w:rFonts w:eastAsia="Times New Roman"/>
          <w:color w:val="000000"/>
          <w:sz w:val="20"/>
          <w:szCs w:val="20"/>
        </w:rPr>
        <w:t>5</w:t>
      </w:r>
      <w:r>
        <w:rPr>
          <w:rFonts w:eastAsia="Times New Roman"/>
          <w:color w:val="000000"/>
          <w:sz w:val="20"/>
          <w:szCs w:val="20"/>
        </w:rPr>
        <w:t>9</w:t>
      </w:r>
    </w:p>
    <w:p w14:paraId="59F2E069" w14:textId="77777777" w:rsidR="00000000" w:rsidRDefault="00195E73">
      <w:pPr>
        <w:rPr>
          <w:rFonts w:eastAsia="Times New Roman"/>
        </w:rPr>
      </w:pPr>
      <w:r>
        <w:rPr>
          <w:rFonts w:eastAsia="Times New Roman"/>
        </w:rPr>
        <w:pict w14:anchorId="1CC002F6">
          <v:rect id="_x0000_i1085" style="width:0;height:1.5pt" o:hralign="center" o:hrstd="t" o:hr="t" fillcolor="#a0a0a0" stroked="f"/>
        </w:pict>
      </w:r>
    </w:p>
    <w:p w14:paraId="5597FED3" w14:textId="77777777" w:rsidR="00000000" w:rsidRDefault="00195E73">
      <w:pPr>
        <w:divId w:val="951126977"/>
        <w:rPr>
          <w:rFonts w:eastAsia="Times New Roman"/>
        </w:rPr>
      </w:pPr>
    </w:p>
    <w:p w14:paraId="4317C6F5" w14:textId="77777777" w:rsidR="00000000" w:rsidRDefault="00195E73">
      <w:pPr>
        <w:jc w:val="center"/>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02388AD6" w14:textId="77777777" w:rsidR="00000000" w:rsidRDefault="00195E73">
      <w:pPr>
        <w:divId w:val="850068938"/>
        <w:rPr>
          <w:rFonts w:eastAsia="Times New Roman"/>
        </w:rPr>
      </w:pPr>
    </w:p>
    <w:p w14:paraId="4E32E173" w14:textId="77777777" w:rsidR="00000000" w:rsidRDefault="00195E73">
      <w:pPr>
        <w:jc w:val="center"/>
        <w:rPr>
          <w:rFonts w:eastAsia="Times New Roman"/>
        </w:rPr>
      </w:pPr>
      <w:r>
        <w:rPr>
          <w:rFonts w:eastAsia="Times New Roman"/>
          <w:b/>
          <w:bCs/>
          <w:color w:val="000000"/>
          <w:sz w:val="20"/>
          <w:szCs w:val="20"/>
        </w:rPr>
        <w:t>CONSOLIDATED STATEMENTS OF OPERATION</w:t>
      </w:r>
      <w:r>
        <w:rPr>
          <w:rFonts w:eastAsia="Times New Roman"/>
          <w:b/>
          <w:bCs/>
          <w:color w:val="000000"/>
          <w:sz w:val="20"/>
          <w:szCs w:val="20"/>
        </w:rPr>
        <w:t>S</w:t>
      </w:r>
    </w:p>
    <w:p w14:paraId="10FFCAFB" w14:textId="77777777" w:rsidR="00000000" w:rsidRDefault="00195E73">
      <w:pPr>
        <w:jc w:val="center"/>
        <w:rPr>
          <w:rFonts w:eastAsia="Times New Roman"/>
        </w:rPr>
      </w:pPr>
    </w:p>
    <w:p w14:paraId="401AAD44" w14:textId="77777777" w:rsidR="00000000" w:rsidRDefault="00195E73">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4087"/>
        <w:gridCol w:w="87"/>
        <w:gridCol w:w="135"/>
        <w:gridCol w:w="950"/>
        <w:gridCol w:w="85"/>
        <w:gridCol w:w="36"/>
        <w:gridCol w:w="36"/>
        <w:gridCol w:w="36"/>
        <w:gridCol w:w="135"/>
        <w:gridCol w:w="911"/>
        <w:gridCol w:w="85"/>
        <w:gridCol w:w="36"/>
        <w:gridCol w:w="36"/>
        <w:gridCol w:w="36"/>
        <w:gridCol w:w="135"/>
        <w:gridCol w:w="911"/>
        <w:gridCol w:w="85"/>
        <w:gridCol w:w="36"/>
        <w:gridCol w:w="36"/>
        <w:gridCol w:w="36"/>
        <w:gridCol w:w="36"/>
        <w:gridCol w:w="36"/>
        <w:gridCol w:w="36"/>
        <w:gridCol w:w="36"/>
        <w:gridCol w:w="36"/>
        <w:gridCol w:w="36"/>
        <w:gridCol w:w="36"/>
        <w:gridCol w:w="36"/>
        <w:gridCol w:w="36"/>
      </w:tblGrid>
      <w:tr w:rsidR="00000000" w14:paraId="19D32037" w14:textId="77777777">
        <w:trPr>
          <w:gridAfter w:val="12"/>
          <w:divId w:val="1490097897"/>
          <w:jc w:val="center"/>
        </w:trPr>
        <w:tc>
          <w:tcPr>
            <w:tcW w:w="50" w:type="pct"/>
            <w:vAlign w:val="center"/>
            <w:hideMark/>
          </w:tcPr>
          <w:p w14:paraId="5A75D860" w14:textId="77777777" w:rsidR="00000000" w:rsidRDefault="00195E73">
            <w:pPr>
              <w:jc w:val="center"/>
              <w:rPr>
                <w:rFonts w:eastAsia="Times New Roman"/>
              </w:rPr>
            </w:pPr>
          </w:p>
        </w:tc>
        <w:tc>
          <w:tcPr>
            <w:tcW w:w="2630" w:type="pct"/>
            <w:vAlign w:val="center"/>
            <w:hideMark/>
          </w:tcPr>
          <w:p w14:paraId="75FAD06F" w14:textId="77777777" w:rsidR="00000000" w:rsidRDefault="00195E73">
            <w:pPr>
              <w:rPr>
                <w:rFonts w:eastAsia="Times New Roman"/>
                <w:sz w:val="20"/>
                <w:szCs w:val="20"/>
              </w:rPr>
            </w:pPr>
          </w:p>
        </w:tc>
        <w:tc>
          <w:tcPr>
            <w:tcW w:w="50" w:type="pct"/>
            <w:vAlign w:val="center"/>
            <w:hideMark/>
          </w:tcPr>
          <w:p w14:paraId="321B324E" w14:textId="77777777" w:rsidR="00000000" w:rsidRDefault="00195E73">
            <w:pPr>
              <w:rPr>
                <w:rFonts w:eastAsia="Times New Roman"/>
                <w:sz w:val="20"/>
                <w:szCs w:val="20"/>
              </w:rPr>
            </w:pPr>
          </w:p>
        </w:tc>
        <w:tc>
          <w:tcPr>
            <w:tcW w:w="50" w:type="pct"/>
            <w:vAlign w:val="center"/>
            <w:hideMark/>
          </w:tcPr>
          <w:p w14:paraId="5865971A" w14:textId="77777777" w:rsidR="00000000" w:rsidRDefault="00195E73">
            <w:pPr>
              <w:rPr>
                <w:rFonts w:eastAsia="Times New Roman"/>
                <w:sz w:val="20"/>
                <w:szCs w:val="20"/>
              </w:rPr>
            </w:pPr>
          </w:p>
        </w:tc>
        <w:tc>
          <w:tcPr>
            <w:tcW w:w="632" w:type="pct"/>
            <w:vAlign w:val="center"/>
            <w:hideMark/>
          </w:tcPr>
          <w:p w14:paraId="4C62A633" w14:textId="77777777" w:rsidR="00000000" w:rsidRDefault="00195E73">
            <w:pPr>
              <w:rPr>
                <w:rFonts w:eastAsia="Times New Roman"/>
                <w:sz w:val="20"/>
                <w:szCs w:val="20"/>
              </w:rPr>
            </w:pPr>
          </w:p>
        </w:tc>
        <w:tc>
          <w:tcPr>
            <w:tcW w:w="50" w:type="pct"/>
            <w:vAlign w:val="center"/>
            <w:hideMark/>
          </w:tcPr>
          <w:p w14:paraId="7F8EBFA0" w14:textId="77777777" w:rsidR="00000000" w:rsidRDefault="00195E73">
            <w:pPr>
              <w:rPr>
                <w:rFonts w:eastAsia="Times New Roman"/>
                <w:sz w:val="20"/>
                <w:szCs w:val="20"/>
              </w:rPr>
            </w:pPr>
          </w:p>
        </w:tc>
        <w:tc>
          <w:tcPr>
            <w:tcW w:w="5" w:type="pct"/>
            <w:vAlign w:val="center"/>
            <w:hideMark/>
          </w:tcPr>
          <w:p w14:paraId="225A59CF" w14:textId="77777777" w:rsidR="00000000" w:rsidRDefault="00195E73">
            <w:pPr>
              <w:rPr>
                <w:rFonts w:eastAsia="Times New Roman"/>
                <w:sz w:val="20"/>
                <w:szCs w:val="20"/>
              </w:rPr>
            </w:pPr>
          </w:p>
        </w:tc>
        <w:tc>
          <w:tcPr>
            <w:tcW w:w="26" w:type="pct"/>
            <w:vAlign w:val="center"/>
            <w:hideMark/>
          </w:tcPr>
          <w:p w14:paraId="7F341743" w14:textId="77777777" w:rsidR="00000000" w:rsidRDefault="00195E73">
            <w:pPr>
              <w:rPr>
                <w:rFonts w:eastAsia="Times New Roman"/>
                <w:sz w:val="20"/>
                <w:szCs w:val="20"/>
              </w:rPr>
            </w:pPr>
          </w:p>
        </w:tc>
        <w:tc>
          <w:tcPr>
            <w:tcW w:w="5" w:type="pct"/>
            <w:vAlign w:val="center"/>
            <w:hideMark/>
          </w:tcPr>
          <w:p w14:paraId="0C6D66F8" w14:textId="77777777" w:rsidR="00000000" w:rsidRDefault="00195E73">
            <w:pPr>
              <w:rPr>
                <w:rFonts w:eastAsia="Times New Roman"/>
                <w:sz w:val="20"/>
                <w:szCs w:val="20"/>
              </w:rPr>
            </w:pPr>
          </w:p>
        </w:tc>
        <w:tc>
          <w:tcPr>
            <w:tcW w:w="50" w:type="pct"/>
            <w:vAlign w:val="center"/>
            <w:hideMark/>
          </w:tcPr>
          <w:p w14:paraId="5C13F4DC" w14:textId="77777777" w:rsidR="00000000" w:rsidRDefault="00195E73">
            <w:pPr>
              <w:rPr>
                <w:rFonts w:eastAsia="Times New Roman"/>
                <w:sz w:val="20"/>
                <w:szCs w:val="20"/>
              </w:rPr>
            </w:pPr>
          </w:p>
        </w:tc>
        <w:tc>
          <w:tcPr>
            <w:tcW w:w="632" w:type="pct"/>
            <w:vAlign w:val="center"/>
            <w:hideMark/>
          </w:tcPr>
          <w:p w14:paraId="04A581AE" w14:textId="77777777" w:rsidR="00000000" w:rsidRDefault="00195E73">
            <w:pPr>
              <w:rPr>
                <w:rFonts w:eastAsia="Times New Roman"/>
                <w:sz w:val="20"/>
                <w:szCs w:val="20"/>
              </w:rPr>
            </w:pPr>
          </w:p>
        </w:tc>
        <w:tc>
          <w:tcPr>
            <w:tcW w:w="50" w:type="pct"/>
            <w:vAlign w:val="center"/>
            <w:hideMark/>
          </w:tcPr>
          <w:p w14:paraId="5C6C96F3" w14:textId="77777777" w:rsidR="00000000" w:rsidRDefault="00195E73">
            <w:pPr>
              <w:rPr>
                <w:rFonts w:eastAsia="Times New Roman"/>
                <w:sz w:val="20"/>
                <w:szCs w:val="20"/>
              </w:rPr>
            </w:pPr>
          </w:p>
        </w:tc>
        <w:tc>
          <w:tcPr>
            <w:tcW w:w="5" w:type="pct"/>
            <w:vAlign w:val="center"/>
            <w:hideMark/>
          </w:tcPr>
          <w:p w14:paraId="4CE7BE98" w14:textId="77777777" w:rsidR="00000000" w:rsidRDefault="00195E73">
            <w:pPr>
              <w:rPr>
                <w:rFonts w:eastAsia="Times New Roman"/>
                <w:sz w:val="20"/>
                <w:szCs w:val="20"/>
              </w:rPr>
            </w:pPr>
          </w:p>
        </w:tc>
        <w:tc>
          <w:tcPr>
            <w:tcW w:w="26" w:type="pct"/>
            <w:vAlign w:val="center"/>
            <w:hideMark/>
          </w:tcPr>
          <w:p w14:paraId="7187B0A5" w14:textId="77777777" w:rsidR="00000000" w:rsidRDefault="00195E73">
            <w:pPr>
              <w:rPr>
                <w:rFonts w:eastAsia="Times New Roman"/>
                <w:sz w:val="20"/>
                <w:szCs w:val="20"/>
              </w:rPr>
            </w:pPr>
          </w:p>
        </w:tc>
        <w:tc>
          <w:tcPr>
            <w:tcW w:w="5" w:type="pct"/>
            <w:vAlign w:val="center"/>
            <w:hideMark/>
          </w:tcPr>
          <w:p w14:paraId="7D90AB90" w14:textId="77777777" w:rsidR="00000000" w:rsidRDefault="00195E73">
            <w:pPr>
              <w:rPr>
                <w:rFonts w:eastAsia="Times New Roman"/>
                <w:sz w:val="20"/>
                <w:szCs w:val="20"/>
              </w:rPr>
            </w:pPr>
          </w:p>
        </w:tc>
        <w:tc>
          <w:tcPr>
            <w:tcW w:w="50" w:type="pct"/>
            <w:vAlign w:val="center"/>
            <w:hideMark/>
          </w:tcPr>
          <w:p w14:paraId="3212BCCF" w14:textId="77777777" w:rsidR="00000000" w:rsidRDefault="00195E73">
            <w:pPr>
              <w:rPr>
                <w:rFonts w:eastAsia="Times New Roman"/>
                <w:sz w:val="20"/>
                <w:szCs w:val="20"/>
              </w:rPr>
            </w:pPr>
          </w:p>
        </w:tc>
        <w:tc>
          <w:tcPr>
            <w:tcW w:w="632" w:type="pct"/>
            <w:vAlign w:val="center"/>
            <w:hideMark/>
          </w:tcPr>
          <w:p w14:paraId="13E210AB" w14:textId="77777777" w:rsidR="00000000" w:rsidRDefault="00195E73">
            <w:pPr>
              <w:rPr>
                <w:rFonts w:eastAsia="Times New Roman"/>
                <w:sz w:val="20"/>
                <w:szCs w:val="20"/>
              </w:rPr>
            </w:pPr>
          </w:p>
        </w:tc>
        <w:tc>
          <w:tcPr>
            <w:tcW w:w="50" w:type="pct"/>
            <w:vAlign w:val="center"/>
            <w:hideMark/>
          </w:tcPr>
          <w:p w14:paraId="62A61DD3" w14:textId="77777777" w:rsidR="00000000" w:rsidRDefault="00195E73">
            <w:pPr>
              <w:rPr>
                <w:rFonts w:eastAsia="Times New Roman"/>
                <w:sz w:val="20"/>
                <w:szCs w:val="20"/>
              </w:rPr>
            </w:pPr>
          </w:p>
        </w:tc>
      </w:tr>
      <w:tr w:rsidR="00000000" w14:paraId="00970DEE" w14:textId="77777777">
        <w:trPr>
          <w:divId w:val="1490097897"/>
          <w:jc w:val="center"/>
        </w:trPr>
        <w:tc>
          <w:tcPr>
            <w:tcW w:w="0" w:type="auto"/>
            <w:gridSpan w:val="3"/>
            <w:tcMar>
              <w:top w:w="15" w:type="dxa"/>
              <w:left w:w="20" w:type="dxa"/>
              <w:bottom w:w="15" w:type="dxa"/>
              <w:right w:w="20" w:type="dxa"/>
            </w:tcMar>
            <w:vAlign w:val="bottom"/>
            <w:hideMark/>
          </w:tcPr>
          <w:p w14:paraId="53879B6C" w14:textId="77777777" w:rsidR="00000000" w:rsidRDefault="00195E73">
            <w:pPr>
              <w:rPr>
                <w:rFonts w:eastAsia="Times New Roman"/>
                <w:sz w:val="20"/>
                <w:szCs w:val="20"/>
              </w:rPr>
            </w:pPr>
          </w:p>
        </w:tc>
        <w:tc>
          <w:tcPr>
            <w:tcW w:w="0" w:type="auto"/>
            <w:gridSpan w:val="14"/>
            <w:tcMar>
              <w:top w:w="30" w:type="dxa"/>
              <w:left w:w="20" w:type="dxa"/>
              <w:bottom w:w="30" w:type="dxa"/>
              <w:right w:w="0" w:type="dxa"/>
            </w:tcMar>
            <w:vAlign w:val="bottom"/>
            <w:hideMark/>
          </w:tcPr>
          <w:p w14:paraId="146255FA"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14:paraId="1B892633" w14:textId="77777777" w:rsidR="00000000" w:rsidRDefault="00195E73">
            <w:pPr>
              <w:jc w:val="right"/>
              <w:rPr>
                <w:rFonts w:eastAsia="Times New Roman"/>
              </w:rPr>
            </w:pPr>
            <w:r>
              <w:rPr>
                <w:rFonts w:eastAsia="Times New Roman"/>
                <w:b/>
                <w:bCs/>
                <w:color w:val="000000"/>
                <w:sz w:val="20"/>
                <w:szCs w:val="20"/>
              </w:rPr>
              <w:t> </w:t>
            </w:r>
          </w:p>
        </w:tc>
        <w:tc>
          <w:tcPr>
            <w:tcW w:w="0" w:type="auto"/>
            <w:gridSpan w:val="3"/>
            <w:vAlign w:val="center"/>
            <w:hideMark/>
          </w:tcPr>
          <w:p w14:paraId="778B25DA" w14:textId="77777777" w:rsidR="00000000" w:rsidRDefault="00195E73">
            <w:pPr>
              <w:jc w:val="right"/>
              <w:rPr>
                <w:rFonts w:eastAsia="Times New Roman"/>
              </w:rPr>
            </w:pPr>
          </w:p>
        </w:tc>
        <w:tc>
          <w:tcPr>
            <w:tcW w:w="0" w:type="auto"/>
            <w:gridSpan w:val="3"/>
            <w:vAlign w:val="center"/>
            <w:hideMark/>
          </w:tcPr>
          <w:p w14:paraId="3038064C" w14:textId="77777777" w:rsidR="00000000" w:rsidRDefault="00195E73">
            <w:pPr>
              <w:rPr>
                <w:rFonts w:eastAsia="Times New Roman"/>
                <w:sz w:val="20"/>
                <w:szCs w:val="20"/>
              </w:rPr>
            </w:pPr>
          </w:p>
        </w:tc>
        <w:tc>
          <w:tcPr>
            <w:tcW w:w="0" w:type="auto"/>
            <w:gridSpan w:val="3"/>
            <w:vAlign w:val="center"/>
            <w:hideMark/>
          </w:tcPr>
          <w:p w14:paraId="70564CE0" w14:textId="77777777" w:rsidR="00000000" w:rsidRDefault="00195E73">
            <w:pPr>
              <w:rPr>
                <w:rFonts w:eastAsia="Times New Roman"/>
                <w:sz w:val="20"/>
                <w:szCs w:val="20"/>
              </w:rPr>
            </w:pPr>
          </w:p>
        </w:tc>
        <w:tc>
          <w:tcPr>
            <w:tcW w:w="0" w:type="auto"/>
            <w:gridSpan w:val="3"/>
            <w:vAlign w:val="center"/>
            <w:hideMark/>
          </w:tcPr>
          <w:p w14:paraId="39D02137" w14:textId="77777777" w:rsidR="00000000" w:rsidRDefault="00195E73">
            <w:pPr>
              <w:rPr>
                <w:rFonts w:eastAsia="Times New Roman"/>
                <w:sz w:val="20"/>
                <w:szCs w:val="20"/>
              </w:rPr>
            </w:pPr>
          </w:p>
        </w:tc>
      </w:tr>
      <w:tr w:rsidR="00000000" w14:paraId="343EAF98" w14:textId="77777777">
        <w:trPr>
          <w:divId w:val="1490097897"/>
          <w:jc w:val="center"/>
        </w:trPr>
        <w:tc>
          <w:tcPr>
            <w:tcW w:w="0" w:type="auto"/>
            <w:gridSpan w:val="3"/>
            <w:tcMar>
              <w:top w:w="15" w:type="dxa"/>
              <w:left w:w="20" w:type="dxa"/>
              <w:bottom w:w="15" w:type="dxa"/>
              <w:right w:w="20" w:type="dxa"/>
            </w:tcMar>
            <w:vAlign w:val="bottom"/>
            <w:hideMark/>
          </w:tcPr>
          <w:p w14:paraId="3DFE19DC"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832E1D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330DEC83"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37326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3895B14C"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BF919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0D40432B" w14:textId="77777777" w:rsidR="00000000" w:rsidRDefault="00195E73">
            <w:pPr>
              <w:rPr>
                <w:rFonts w:eastAsia="Times New Roman"/>
                <w:sz w:val="20"/>
                <w:szCs w:val="20"/>
              </w:rPr>
            </w:pPr>
          </w:p>
        </w:tc>
        <w:tc>
          <w:tcPr>
            <w:tcW w:w="0" w:type="auto"/>
            <w:vAlign w:val="center"/>
            <w:hideMark/>
          </w:tcPr>
          <w:p w14:paraId="755D73C7" w14:textId="77777777" w:rsidR="00000000" w:rsidRDefault="00195E73">
            <w:pPr>
              <w:rPr>
                <w:rFonts w:eastAsia="Times New Roman"/>
                <w:sz w:val="20"/>
                <w:szCs w:val="20"/>
              </w:rPr>
            </w:pPr>
          </w:p>
        </w:tc>
        <w:tc>
          <w:tcPr>
            <w:tcW w:w="0" w:type="auto"/>
            <w:vAlign w:val="center"/>
            <w:hideMark/>
          </w:tcPr>
          <w:p w14:paraId="1D2F8B1D" w14:textId="77777777" w:rsidR="00000000" w:rsidRDefault="00195E73">
            <w:pPr>
              <w:rPr>
                <w:rFonts w:eastAsia="Times New Roman"/>
                <w:sz w:val="20"/>
                <w:szCs w:val="20"/>
              </w:rPr>
            </w:pPr>
          </w:p>
        </w:tc>
        <w:tc>
          <w:tcPr>
            <w:tcW w:w="0" w:type="auto"/>
            <w:vAlign w:val="center"/>
            <w:hideMark/>
          </w:tcPr>
          <w:p w14:paraId="43F887B7" w14:textId="77777777" w:rsidR="00000000" w:rsidRDefault="00195E73">
            <w:pPr>
              <w:rPr>
                <w:rFonts w:eastAsia="Times New Roman"/>
                <w:sz w:val="20"/>
                <w:szCs w:val="20"/>
              </w:rPr>
            </w:pPr>
          </w:p>
        </w:tc>
        <w:tc>
          <w:tcPr>
            <w:tcW w:w="0" w:type="auto"/>
            <w:vAlign w:val="center"/>
            <w:hideMark/>
          </w:tcPr>
          <w:p w14:paraId="307B4974" w14:textId="77777777" w:rsidR="00000000" w:rsidRDefault="00195E73">
            <w:pPr>
              <w:rPr>
                <w:rFonts w:eastAsia="Times New Roman"/>
                <w:sz w:val="20"/>
                <w:szCs w:val="20"/>
              </w:rPr>
            </w:pPr>
          </w:p>
        </w:tc>
        <w:tc>
          <w:tcPr>
            <w:tcW w:w="0" w:type="auto"/>
            <w:vAlign w:val="center"/>
            <w:hideMark/>
          </w:tcPr>
          <w:p w14:paraId="04BDB60B" w14:textId="77777777" w:rsidR="00000000" w:rsidRDefault="00195E73">
            <w:pPr>
              <w:rPr>
                <w:rFonts w:eastAsia="Times New Roman"/>
                <w:sz w:val="20"/>
                <w:szCs w:val="20"/>
              </w:rPr>
            </w:pPr>
          </w:p>
        </w:tc>
        <w:tc>
          <w:tcPr>
            <w:tcW w:w="0" w:type="auto"/>
            <w:vAlign w:val="center"/>
            <w:hideMark/>
          </w:tcPr>
          <w:p w14:paraId="7CFD81BC" w14:textId="77777777" w:rsidR="00000000" w:rsidRDefault="00195E73">
            <w:pPr>
              <w:rPr>
                <w:rFonts w:eastAsia="Times New Roman"/>
                <w:sz w:val="20"/>
                <w:szCs w:val="20"/>
              </w:rPr>
            </w:pPr>
          </w:p>
        </w:tc>
        <w:tc>
          <w:tcPr>
            <w:tcW w:w="0" w:type="auto"/>
            <w:vAlign w:val="center"/>
            <w:hideMark/>
          </w:tcPr>
          <w:p w14:paraId="2466FCEA" w14:textId="77777777" w:rsidR="00000000" w:rsidRDefault="00195E73">
            <w:pPr>
              <w:rPr>
                <w:rFonts w:eastAsia="Times New Roman"/>
                <w:sz w:val="20"/>
                <w:szCs w:val="20"/>
              </w:rPr>
            </w:pPr>
          </w:p>
        </w:tc>
        <w:tc>
          <w:tcPr>
            <w:tcW w:w="0" w:type="auto"/>
            <w:vAlign w:val="center"/>
            <w:hideMark/>
          </w:tcPr>
          <w:p w14:paraId="1E015AFA" w14:textId="77777777" w:rsidR="00000000" w:rsidRDefault="00195E73">
            <w:pPr>
              <w:rPr>
                <w:rFonts w:eastAsia="Times New Roman"/>
                <w:sz w:val="20"/>
                <w:szCs w:val="20"/>
              </w:rPr>
            </w:pPr>
          </w:p>
        </w:tc>
        <w:tc>
          <w:tcPr>
            <w:tcW w:w="0" w:type="auto"/>
            <w:vAlign w:val="center"/>
            <w:hideMark/>
          </w:tcPr>
          <w:p w14:paraId="350BE49D" w14:textId="77777777" w:rsidR="00000000" w:rsidRDefault="00195E73">
            <w:pPr>
              <w:rPr>
                <w:rFonts w:eastAsia="Times New Roman"/>
                <w:sz w:val="20"/>
                <w:szCs w:val="20"/>
              </w:rPr>
            </w:pPr>
          </w:p>
        </w:tc>
        <w:tc>
          <w:tcPr>
            <w:tcW w:w="0" w:type="auto"/>
            <w:vAlign w:val="center"/>
            <w:hideMark/>
          </w:tcPr>
          <w:p w14:paraId="244E32EE" w14:textId="77777777" w:rsidR="00000000" w:rsidRDefault="00195E73">
            <w:pPr>
              <w:rPr>
                <w:rFonts w:eastAsia="Times New Roman"/>
                <w:sz w:val="20"/>
                <w:szCs w:val="20"/>
              </w:rPr>
            </w:pPr>
          </w:p>
        </w:tc>
        <w:tc>
          <w:tcPr>
            <w:tcW w:w="0" w:type="auto"/>
            <w:vAlign w:val="center"/>
            <w:hideMark/>
          </w:tcPr>
          <w:p w14:paraId="67048A68" w14:textId="77777777" w:rsidR="00000000" w:rsidRDefault="00195E73">
            <w:pPr>
              <w:rPr>
                <w:rFonts w:eastAsia="Times New Roman"/>
                <w:sz w:val="20"/>
                <w:szCs w:val="20"/>
              </w:rPr>
            </w:pPr>
          </w:p>
        </w:tc>
      </w:tr>
      <w:tr w:rsidR="00000000" w14:paraId="010061B2" w14:textId="77777777">
        <w:trPr>
          <w:divId w:val="1490097897"/>
          <w:jc w:val="center"/>
        </w:trPr>
        <w:tc>
          <w:tcPr>
            <w:tcW w:w="0" w:type="auto"/>
            <w:gridSpan w:val="3"/>
            <w:tcMar>
              <w:top w:w="30" w:type="dxa"/>
              <w:left w:w="20" w:type="dxa"/>
              <w:bottom w:w="30" w:type="dxa"/>
              <w:right w:w="20" w:type="dxa"/>
            </w:tcMar>
            <w:vAlign w:val="bottom"/>
            <w:hideMark/>
          </w:tcPr>
          <w:p w14:paraId="63E31EB4" w14:textId="77777777" w:rsidR="00000000" w:rsidRDefault="00195E73">
            <w:pPr>
              <w:rPr>
                <w:rFonts w:eastAsia="Times New Roman"/>
              </w:rPr>
            </w:pPr>
            <w:r>
              <w:rPr>
                <w:rFonts w:eastAsia="Times New Roman"/>
                <w:color w:val="000000"/>
                <w:sz w:val="20"/>
                <w:szCs w:val="20"/>
              </w:rPr>
              <w:t>Revenues</w:t>
            </w:r>
            <w:r>
              <w:rPr>
                <w:rFonts w:eastAsia="Times New Roman"/>
                <w:color w:val="000000"/>
                <w:sz w:val="20"/>
                <w:szCs w:val="20"/>
              </w:rPr>
              <w:t>:</w:t>
            </w:r>
          </w:p>
        </w:tc>
        <w:tc>
          <w:tcPr>
            <w:tcW w:w="0" w:type="auto"/>
            <w:gridSpan w:val="15"/>
            <w:tcBorders>
              <w:top w:val="single" w:sz="8" w:space="0" w:color="000000"/>
            </w:tcBorders>
            <w:tcMar>
              <w:top w:w="30" w:type="dxa"/>
              <w:left w:w="20" w:type="dxa"/>
              <w:bottom w:w="30" w:type="dxa"/>
              <w:right w:w="20" w:type="dxa"/>
            </w:tcMar>
            <w:vAlign w:val="bottom"/>
            <w:hideMark/>
          </w:tcPr>
          <w:p w14:paraId="1B1DB9FB"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5E749CD0" w14:textId="77777777" w:rsidR="00000000" w:rsidRDefault="00195E73">
            <w:pPr>
              <w:jc w:val="center"/>
              <w:rPr>
                <w:rFonts w:eastAsia="Times New Roman"/>
              </w:rPr>
            </w:pPr>
          </w:p>
        </w:tc>
        <w:tc>
          <w:tcPr>
            <w:tcW w:w="0" w:type="auto"/>
            <w:gridSpan w:val="3"/>
            <w:vAlign w:val="center"/>
            <w:hideMark/>
          </w:tcPr>
          <w:p w14:paraId="3AB0AE1B" w14:textId="77777777" w:rsidR="00000000" w:rsidRDefault="00195E73">
            <w:pPr>
              <w:rPr>
                <w:rFonts w:eastAsia="Times New Roman"/>
                <w:sz w:val="20"/>
                <w:szCs w:val="20"/>
              </w:rPr>
            </w:pPr>
          </w:p>
        </w:tc>
        <w:tc>
          <w:tcPr>
            <w:tcW w:w="0" w:type="auto"/>
            <w:gridSpan w:val="3"/>
            <w:vAlign w:val="center"/>
            <w:hideMark/>
          </w:tcPr>
          <w:p w14:paraId="271413C8" w14:textId="77777777" w:rsidR="00000000" w:rsidRDefault="00195E73">
            <w:pPr>
              <w:rPr>
                <w:rFonts w:eastAsia="Times New Roman"/>
                <w:sz w:val="20"/>
                <w:szCs w:val="20"/>
              </w:rPr>
            </w:pPr>
          </w:p>
        </w:tc>
        <w:tc>
          <w:tcPr>
            <w:tcW w:w="0" w:type="auto"/>
            <w:gridSpan w:val="3"/>
            <w:vAlign w:val="center"/>
            <w:hideMark/>
          </w:tcPr>
          <w:p w14:paraId="4847AE8E" w14:textId="77777777" w:rsidR="00000000" w:rsidRDefault="00195E73">
            <w:pPr>
              <w:rPr>
                <w:rFonts w:eastAsia="Times New Roman"/>
                <w:sz w:val="20"/>
                <w:szCs w:val="20"/>
              </w:rPr>
            </w:pPr>
          </w:p>
        </w:tc>
      </w:tr>
      <w:tr w:rsidR="00000000" w14:paraId="4438C83B" w14:textId="77777777">
        <w:trPr>
          <w:divId w:val="1490097897"/>
          <w:jc w:val="center"/>
        </w:trPr>
        <w:tc>
          <w:tcPr>
            <w:tcW w:w="0" w:type="auto"/>
            <w:gridSpan w:val="3"/>
            <w:shd w:val="clear" w:color="auto" w:fill="CCEEFF"/>
            <w:tcMar>
              <w:top w:w="30" w:type="dxa"/>
              <w:left w:w="20" w:type="dxa"/>
              <w:bottom w:w="30" w:type="dxa"/>
              <w:right w:w="20" w:type="dxa"/>
            </w:tcMar>
            <w:vAlign w:val="bottom"/>
            <w:hideMark/>
          </w:tcPr>
          <w:p w14:paraId="06B0908E" w14:textId="77777777" w:rsidR="00000000" w:rsidRDefault="00195E73">
            <w:pPr>
              <w:rPr>
                <w:rFonts w:eastAsia="Times New Roman"/>
              </w:rPr>
            </w:pPr>
            <w:r>
              <w:rPr>
                <w:rFonts w:eastAsia="Times New Roman"/>
                <w:color w:val="000000"/>
                <w:sz w:val="20"/>
                <w:szCs w:val="20"/>
              </w:rPr>
              <w:t>   Net sale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3EA6557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E2A1003" w14:textId="77777777" w:rsidR="00000000" w:rsidRDefault="00195E73">
            <w:pPr>
              <w:jc w:val="right"/>
              <w:rPr>
                <w:rFonts w:eastAsia="Times New Roman"/>
              </w:rPr>
            </w:pPr>
            <w:r>
              <w:rPr>
                <w:rFonts w:eastAsia="Times New Roman"/>
                <w:color w:val="000000"/>
                <w:sz w:val="20"/>
                <w:szCs w:val="20"/>
              </w:rPr>
              <w:t>9,720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EB5076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1EAAD4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305433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BEFB1EE" w14:textId="77777777" w:rsidR="00000000" w:rsidRDefault="00195E73">
            <w:pPr>
              <w:jc w:val="right"/>
              <w:rPr>
                <w:rFonts w:eastAsia="Times New Roman"/>
              </w:rPr>
            </w:pPr>
            <w:r>
              <w:rPr>
                <w:rFonts w:eastAsia="Times New Roman"/>
                <w:color w:val="000000"/>
                <w:sz w:val="20"/>
                <w:szCs w:val="20"/>
              </w:rPr>
              <w:t>10,576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89BCF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0244BB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B78A2F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E109327" w14:textId="77777777" w:rsidR="00000000" w:rsidRDefault="00195E73">
            <w:pPr>
              <w:jc w:val="right"/>
              <w:rPr>
                <w:rFonts w:eastAsia="Times New Roman"/>
              </w:rPr>
            </w:pPr>
            <w:r>
              <w:rPr>
                <w:rFonts w:eastAsia="Times New Roman"/>
                <w:color w:val="000000"/>
                <w:sz w:val="20"/>
                <w:szCs w:val="20"/>
              </w:rPr>
              <w:t>9,306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CEA2C9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EBC71A4" w14:textId="77777777" w:rsidR="00000000" w:rsidRDefault="00195E73">
            <w:pPr>
              <w:rPr>
                <w:rFonts w:eastAsia="Times New Roman"/>
                <w:sz w:val="20"/>
                <w:szCs w:val="20"/>
              </w:rPr>
            </w:pPr>
          </w:p>
        </w:tc>
        <w:tc>
          <w:tcPr>
            <w:tcW w:w="0" w:type="auto"/>
            <w:vAlign w:val="center"/>
            <w:hideMark/>
          </w:tcPr>
          <w:p w14:paraId="4E609EFB" w14:textId="77777777" w:rsidR="00000000" w:rsidRDefault="00195E73">
            <w:pPr>
              <w:rPr>
                <w:rFonts w:eastAsia="Times New Roman"/>
                <w:sz w:val="20"/>
                <w:szCs w:val="20"/>
              </w:rPr>
            </w:pPr>
          </w:p>
        </w:tc>
        <w:tc>
          <w:tcPr>
            <w:tcW w:w="0" w:type="auto"/>
            <w:vAlign w:val="center"/>
            <w:hideMark/>
          </w:tcPr>
          <w:p w14:paraId="6BBFED81" w14:textId="77777777" w:rsidR="00000000" w:rsidRDefault="00195E73">
            <w:pPr>
              <w:rPr>
                <w:rFonts w:eastAsia="Times New Roman"/>
                <w:sz w:val="20"/>
                <w:szCs w:val="20"/>
              </w:rPr>
            </w:pPr>
          </w:p>
        </w:tc>
        <w:tc>
          <w:tcPr>
            <w:tcW w:w="0" w:type="auto"/>
            <w:vAlign w:val="center"/>
            <w:hideMark/>
          </w:tcPr>
          <w:p w14:paraId="3D076466" w14:textId="77777777" w:rsidR="00000000" w:rsidRDefault="00195E73">
            <w:pPr>
              <w:rPr>
                <w:rFonts w:eastAsia="Times New Roman"/>
                <w:sz w:val="20"/>
                <w:szCs w:val="20"/>
              </w:rPr>
            </w:pPr>
          </w:p>
        </w:tc>
        <w:tc>
          <w:tcPr>
            <w:tcW w:w="0" w:type="auto"/>
            <w:vAlign w:val="center"/>
            <w:hideMark/>
          </w:tcPr>
          <w:p w14:paraId="5FA384AE" w14:textId="77777777" w:rsidR="00000000" w:rsidRDefault="00195E73">
            <w:pPr>
              <w:rPr>
                <w:rFonts w:eastAsia="Times New Roman"/>
                <w:sz w:val="20"/>
                <w:szCs w:val="20"/>
              </w:rPr>
            </w:pPr>
          </w:p>
        </w:tc>
        <w:tc>
          <w:tcPr>
            <w:tcW w:w="0" w:type="auto"/>
            <w:vAlign w:val="center"/>
            <w:hideMark/>
          </w:tcPr>
          <w:p w14:paraId="1F25E912" w14:textId="77777777" w:rsidR="00000000" w:rsidRDefault="00195E73">
            <w:pPr>
              <w:rPr>
                <w:rFonts w:eastAsia="Times New Roman"/>
                <w:sz w:val="20"/>
                <w:szCs w:val="20"/>
              </w:rPr>
            </w:pPr>
          </w:p>
        </w:tc>
        <w:tc>
          <w:tcPr>
            <w:tcW w:w="0" w:type="auto"/>
            <w:vAlign w:val="center"/>
            <w:hideMark/>
          </w:tcPr>
          <w:p w14:paraId="0C6B138F" w14:textId="77777777" w:rsidR="00000000" w:rsidRDefault="00195E73">
            <w:pPr>
              <w:rPr>
                <w:rFonts w:eastAsia="Times New Roman"/>
                <w:sz w:val="20"/>
                <w:szCs w:val="20"/>
              </w:rPr>
            </w:pPr>
          </w:p>
        </w:tc>
        <w:tc>
          <w:tcPr>
            <w:tcW w:w="0" w:type="auto"/>
            <w:vAlign w:val="center"/>
            <w:hideMark/>
          </w:tcPr>
          <w:p w14:paraId="02DA1B63" w14:textId="77777777" w:rsidR="00000000" w:rsidRDefault="00195E73">
            <w:pPr>
              <w:rPr>
                <w:rFonts w:eastAsia="Times New Roman"/>
                <w:sz w:val="20"/>
                <w:szCs w:val="20"/>
              </w:rPr>
            </w:pPr>
          </w:p>
        </w:tc>
        <w:tc>
          <w:tcPr>
            <w:tcW w:w="0" w:type="auto"/>
            <w:vAlign w:val="center"/>
            <w:hideMark/>
          </w:tcPr>
          <w:p w14:paraId="04594E8E" w14:textId="77777777" w:rsidR="00000000" w:rsidRDefault="00195E73">
            <w:pPr>
              <w:rPr>
                <w:rFonts w:eastAsia="Times New Roman"/>
                <w:sz w:val="20"/>
                <w:szCs w:val="20"/>
              </w:rPr>
            </w:pPr>
          </w:p>
        </w:tc>
        <w:tc>
          <w:tcPr>
            <w:tcW w:w="0" w:type="auto"/>
            <w:vAlign w:val="center"/>
            <w:hideMark/>
          </w:tcPr>
          <w:p w14:paraId="712749CB" w14:textId="77777777" w:rsidR="00000000" w:rsidRDefault="00195E73">
            <w:pPr>
              <w:rPr>
                <w:rFonts w:eastAsia="Times New Roman"/>
                <w:sz w:val="20"/>
                <w:szCs w:val="20"/>
              </w:rPr>
            </w:pPr>
          </w:p>
        </w:tc>
        <w:tc>
          <w:tcPr>
            <w:tcW w:w="0" w:type="auto"/>
            <w:vAlign w:val="center"/>
            <w:hideMark/>
          </w:tcPr>
          <w:p w14:paraId="0B46E807" w14:textId="77777777" w:rsidR="00000000" w:rsidRDefault="00195E73">
            <w:pPr>
              <w:rPr>
                <w:rFonts w:eastAsia="Times New Roman"/>
                <w:sz w:val="20"/>
                <w:szCs w:val="20"/>
              </w:rPr>
            </w:pPr>
          </w:p>
        </w:tc>
        <w:tc>
          <w:tcPr>
            <w:tcW w:w="0" w:type="auto"/>
            <w:vAlign w:val="center"/>
            <w:hideMark/>
          </w:tcPr>
          <w:p w14:paraId="3A3FFF7A" w14:textId="77777777" w:rsidR="00000000" w:rsidRDefault="00195E73">
            <w:pPr>
              <w:rPr>
                <w:rFonts w:eastAsia="Times New Roman"/>
                <w:sz w:val="20"/>
                <w:szCs w:val="20"/>
              </w:rPr>
            </w:pPr>
          </w:p>
        </w:tc>
      </w:tr>
      <w:tr w:rsidR="00000000" w14:paraId="29039FD0" w14:textId="77777777">
        <w:trPr>
          <w:divId w:val="1490097897"/>
          <w:jc w:val="center"/>
        </w:trPr>
        <w:tc>
          <w:tcPr>
            <w:tcW w:w="0" w:type="auto"/>
            <w:gridSpan w:val="3"/>
            <w:shd w:val="clear" w:color="auto" w:fill="FFFFFF"/>
            <w:tcMar>
              <w:top w:w="30" w:type="dxa"/>
              <w:left w:w="20" w:type="dxa"/>
              <w:bottom w:w="30" w:type="dxa"/>
              <w:right w:w="20" w:type="dxa"/>
            </w:tcMar>
            <w:vAlign w:val="bottom"/>
            <w:hideMark/>
          </w:tcPr>
          <w:p w14:paraId="51666243" w14:textId="77777777" w:rsidR="00000000" w:rsidRDefault="00195E73">
            <w:pPr>
              <w:rPr>
                <w:rFonts w:eastAsia="Times New Roman"/>
              </w:rPr>
            </w:pPr>
            <w:r>
              <w:rPr>
                <w:rFonts w:eastAsia="Times New Roman"/>
                <w:color w:val="000000"/>
                <w:sz w:val="20"/>
                <w:szCs w:val="20"/>
              </w:rPr>
              <w:t>   Other revenues from operation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FD49495" w14:textId="77777777" w:rsidR="00000000" w:rsidRDefault="00195E73">
            <w:pPr>
              <w:jc w:val="right"/>
              <w:rPr>
                <w:rFonts w:eastAsia="Times New Roman"/>
              </w:rPr>
            </w:pPr>
            <w:r>
              <w:rPr>
                <w:rFonts w:eastAsia="Times New Roman"/>
                <w:color w:val="000000"/>
                <w:sz w:val="20"/>
                <w:szCs w:val="20"/>
              </w:rPr>
              <w:t>666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954F5B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B63424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F34F20" w14:textId="77777777" w:rsidR="00000000" w:rsidRDefault="00195E73">
            <w:pPr>
              <w:jc w:val="right"/>
              <w:rPr>
                <w:rFonts w:eastAsia="Times New Roman"/>
              </w:rPr>
            </w:pPr>
            <w:r>
              <w:rPr>
                <w:rFonts w:eastAsia="Times New Roman"/>
                <w:color w:val="000000"/>
                <w:sz w:val="20"/>
                <w:szCs w:val="20"/>
              </w:rPr>
              <w:t>647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62F5F9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272B29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3B28EC" w14:textId="77777777" w:rsidR="00000000" w:rsidRDefault="00195E73">
            <w:pPr>
              <w:jc w:val="right"/>
              <w:rPr>
                <w:rFonts w:eastAsia="Times New Roman"/>
              </w:rPr>
            </w:pPr>
            <w:r>
              <w:rPr>
                <w:rFonts w:eastAsia="Times New Roman"/>
                <w:color w:val="000000"/>
                <w:sz w:val="20"/>
                <w:szCs w:val="20"/>
              </w:rPr>
              <w:t>743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99DB12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1A354E7" w14:textId="77777777" w:rsidR="00000000" w:rsidRDefault="00195E73">
            <w:pPr>
              <w:rPr>
                <w:rFonts w:eastAsia="Times New Roman"/>
                <w:sz w:val="20"/>
                <w:szCs w:val="20"/>
              </w:rPr>
            </w:pPr>
          </w:p>
        </w:tc>
        <w:tc>
          <w:tcPr>
            <w:tcW w:w="0" w:type="auto"/>
            <w:vAlign w:val="center"/>
            <w:hideMark/>
          </w:tcPr>
          <w:p w14:paraId="51FD1349" w14:textId="77777777" w:rsidR="00000000" w:rsidRDefault="00195E73">
            <w:pPr>
              <w:rPr>
                <w:rFonts w:eastAsia="Times New Roman"/>
                <w:sz w:val="20"/>
                <w:szCs w:val="20"/>
              </w:rPr>
            </w:pPr>
          </w:p>
        </w:tc>
        <w:tc>
          <w:tcPr>
            <w:tcW w:w="0" w:type="auto"/>
            <w:vAlign w:val="center"/>
            <w:hideMark/>
          </w:tcPr>
          <w:p w14:paraId="74D9AA8A" w14:textId="77777777" w:rsidR="00000000" w:rsidRDefault="00195E73">
            <w:pPr>
              <w:rPr>
                <w:rFonts w:eastAsia="Times New Roman"/>
                <w:sz w:val="20"/>
                <w:szCs w:val="20"/>
              </w:rPr>
            </w:pPr>
          </w:p>
        </w:tc>
        <w:tc>
          <w:tcPr>
            <w:tcW w:w="0" w:type="auto"/>
            <w:vAlign w:val="center"/>
            <w:hideMark/>
          </w:tcPr>
          <w:p w14:paraId="5D7053DC" w14:textId="77777777" w:rsidR="00000000" w:rsidRDefault="00195E73">
            <w:pPr>
              <w:rPr>
                <w:rFonts w:eastAsia="Times New Roman"/>
                <w:sz w:val="20"/>
                <w:szCs w:val="20"/>
              </w:rPr>
            </w:pPr>
          </w:p>
        </w:tc>
        <w:tc>
          <w:tcPr>
            <w:tcW w:w="0" w:type="auto"/>
            <w:vAlign w:val="center"/>
            <w:hideMark/>
          </w:tcPr>
          <w:p w14:paraId="394E1622" w14:textId="77777777" w:rsidR="00000000" w:rsidRDefault="00195E73">
            <w:pPr>
              <w:rPr>
                <w:rFonts w:eastAsia="Times New Roman"/>
                <w:sz w:val="20"/>
                <w:szCs w:val="20"/>
              </w:rPr>
            </w:pPr>
          </w:p>
        </w:tc>
        <w:tc>
          <w:tcPr>
            <w:tcW w:w="0" w:type="auto"/>
            <w:vAlign w:val="center"/>
            <w:hideMark/>
          </w:tcPr>
          <w:p w14:paraId="03B3EFD2" w14:textId="77777777" w:rsidR="00000000" w:rsidRDefault="00195E73">
            <w:pPr>
              <w:rPr>
                <w:rFonts w:eastAsia="Times New Roman"/>
                <w:sz w:val="20"/>
                <w:szCs w:val="20"/>
              </w:rPr>
            </w:pPr>
          </w:p>
        </w:tc>
        <w:tc>
          <w:tcPr>
            <w:tcW w:w="0" w:type="auto"/>
            <w:vAlign w:val="center"/>
            <w:hideMark/>
          </w:tcPr>
          <w:p w14:paraId="2903FA1F" w14:textId="77777777" w:rsidR="00000000" w:rsidRDefault="00195E73">
            <w:pPr>
              <w:rPr>
                <w:rFonts w:eastAsia="Times New Roman"/>
                <w:sz w:val="20"/>
                <w:szCs w:val="20"/>
              </w:rPr>
            </w:pPr>
          </w:p>
        </w:tc>
        <w:tc>
          <w:tcPr>
            <w:tcW w:w="0" w:type="auto"/>
            <w:vAlign w:val="center"/>
            <w:hideMark/>
          </w:tcPr>
          <w:p w14:paraId="189F3EE5" w14:textId="77777777" w:rsidR="00000000" w:rsidRDefault="00195E73">
            <w:pPr>
              <w:rPr>
                <w:rFonts w:eastAsia="Times New Roman"/>
                <w:sz w:val="20"/>
                <w:szCs w:val="20"/>
              </w:rPr>
            </w:pPr>
          </w:p>
        </w:tc>
        <w:tc>
          <w:tcPr>
            <w:tcW w:w="0" w:type="auto"/>
            <w:vAlign w:val="center"/>
            <w:hideMark/>
          </w:tcPr>
          <w:p w14:paraId="303CA38B" w14:textId="77777777" w:rsidR="00000000" w:rsidRDefault="00195E73">
            <w:pPr>
              <w:rPr>
                <w:rFonts w:eastAsia="Times New Roman"/>
                <w:sz w:val="20"/>
                <w:szCs w:val="20"/>
              </w:rPr>
            </w:pPr>
          </w:p>
        </w:tc>
        <w:tc>
          <w:tcPr>
            <w:tcW w:w="0" w:type="auto"/>
            <w:vAlign w:val="center"/>
            <w:hideMark/>
          </w:tcPr>
          <w:p w14:paraId="215AE8DC" w14:textId="77777777" w:rsidR="00000000" w:rsidRDefault="00195E73">
            <w:pPr>
              <w:rPr>
                <w:rFonts w:eastAsia="Times New Roman"/>
                <w:sz w:val="20"/>
                <w:szCs w:val="20"/>
              </w:rPr>
            </w:pPr>
          </w:p>
        </w:tc>
        <w:tc>
          <w:tcPr>
            <w:tcW w:w="0" w:type="auto"/>
            <w:vAlign w:val="center"/>
            <w:hideMark/>
          </w:tcPr>
          <w:p w14:paraId="37A3FFD6" w14:textId="77777777" w:rsidR="00000000" w:rsidRDefault="00195E73">
            <w:pPr>
              <w:rPr>
                <w:rFonts w:eastAsia="Times New Roman"/>
                <w:sz w:val="20"/>
                <w:szCs w:val="20"/>
              </w:rPr>
            </w:pPr>
          </w:p>
        </w:tc>
        <w:tc>
          <w:tcPr>
            <w:tcW w:w="0" w:type="auto"/>
            <w:vAlign w:val="center"/>
            <w:hideMark/>
          </w:tcPr>
          <w:p w14:paraId="299A8C43" w14:textId="77777777" w:rsidR="00000000" w:rsidRDefault="00195E73">
            <w:pPr>
              <w:rPr>
                <w:rFonts w:eastAsia="Times New Roman"/>
                <w:sz w:val="20"/>
                <w:szCs w:val="20"/>
              </w:rPr>
            </w:pPr>
          </w:p>
        </w:tc>
      </w:tr>
      <w:tr w:rsidR="00000000" w14:paraId="766B9EC8" w14:textId="77777777">
        <w:trPr>
          <w:divId w:val="1490097897"/>
          <w:jc w:val="center"/>
        </w:trPr>
        <w:tc>
          <w:tcPr>
            <w:tcW w:w="0" w:type="auto"/>
            <w:gridSpan w:val="3"/>
            <w:shd w:val="clear" w:color="auto" w:fill="CCEEFF"/>
            <w:tcMar>
              <w:top w:w="30" w:type="dxa"/>
              <w:left w:w="20" w:type="dxa"/>
              <w:bottom w:w="30" w:type="dxa"/>
              <w:right w:w="20" w:type="dxa"/>
            </w:tcMar>
            <w:vAlign w:val="bottom"/>
            <w:hideMark/>
          </w:tcPr>
          <w:p w14:paraId="0B16AE41"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Net (loss) gain from investment activitie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027B63B" w14:textId="77777777" w:rsidR="00000000" w:rsidRDefault="00195E73">
            <w:pPr>
              <w:jc w:val="right"/>
              <w:rPr>
                <w:rFonts w:eastAsia="Times New Roman"/>
              </w:rPr>
            </w:pPr>
            <w:r>
              <w:rPr>
                <w:rFonts w:eastAsia="Times New Roman"/>
                <w:color w:val="000000"/>
                <w:sz w:val="20"/>
                <w:szCs w:val="20"/>
              </w:rPr>
              <w:t>(1,931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E8694E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C0B46D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A9CE60" w14:textId="77777777" w:rsidR="00000000" w:rsidRDefault="00195E73">
            <w:pPr>
              <w:jc w:val="right"/>
              <w:rPr>
                <w:rFonts w:eastAsia="Times New Roman"/>
              </w:rPr>
            </w:pPr>
            <w:r>
              <w:rPr>
                <w:rFonts w:eastAsia="Times New Roman"/>
                <w:color w:val="000000"/>
                <w:sz w:val="20"/>
                <w:szCs w:val="20"/>
              </w:rPr>
              <w:t>322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85F193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357DCE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C2560C" w14:textId="77777777" w:rsidR="00000000" w:rsidRDefault="00195E73">
            <w:pPr>
              <w:jc w:val="right"/>
              <w:rPr>
                <w:rFonts w:eastAsia="Times New Roman"/>
              </w:rPr>
            </w:pPr>
            <w:r>
              <w:rPr>
                <w:rFonts w:eastAsia="Times New Roman"/>
                <w:color w:val="000000"/>
                <w:sz w:val="20"/>
                <w:szCs w:val="20"/>
              </w:rPr>
              <w:t>302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66BD2D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1836834" w14:textId="77777777" w:rsidR="00000000" w:rsidRDefault="00195E73">
            <w:pPr>
              <w:rPr>
                <w:rFonts w:eastAsia="Times New Roman"/>
                <w:sz w:val="20"/>
                <w:szCs w:val="20"/>
              </w:rPr>
            </w:pPr>
          </w:p>
        </w:tc>
        <w:tc>
          <w:tcPr>
            <w:tcW w:w="0" w:type="auto"/>
            <w:vAlign w:val="center"/>
            <w:hideMark/>
          </w:tcPr>
          <w:p w14:paraId="39416949" w14:textId="77777777" w:rsidR="00000000" w:rsidRDefault="00195E73">
            <w:pPr>
              <w:rPr>
                <w:rFonts w:eastAsia="Times New Roman"/>
                <w:sz w:val="20"/>
                <w:szCs w:val="20"/>
              </w:rPr>
            </w:pPr>
          </w:p>
        </w:tc>
        <w:tc>
          <w:tcPr>
            <w:tcW w:w="0" w:type="auto"/>
            <w:vAlign w:val="center"/>
            <w:hideMark/>
          </w:tcPr>
          <w:p w14:paraId="1D70D98F" w14:textId="77777777" w:rsidR="00000000" w:rsidRDefault="00195E73">
            <w:pPr>
              <w:rPr>
                <w:rFonts w:eastAsia="Times New Roman"/>
                <w:sz w:val="20"/>
                <w:szCs w:val="20"/>
              </w:rPr>
            </w:pPr>
          </w:p>
        </w:tc>
        <w:tc>
          <w:tcPr>
            <w:tcW w:w="0" w:type="auto"/>
            <w:vAlign w:val="center"/>
            <w:hideMark/>
          </w:tcPr>
          <w:p w14:paraId="0D56F3BB" w14:textId="77777777" w:rsidR="00000000" w:rsidRDefault="00195E73">
            <w:pPr>
              <w:rPr>
                <w:rFonts w:eastAsia="Times New Roman"/>
                <w:sz w:val="20"/>
                <w:szCs w:val="20"/>
              </w:rPr>
            </w:pPr>
          </w:p>
        </w:tc>
        <w:tc>
          <w:tcPr>
            <w:tcW w:w="0" w:type="auto"/>
            <w:vAlign w:val="center"/>
            <w:hideMark/>
          </w:tcPr>
          <w:p w14:paraId="5BD109ED" w14:textId="77777777" w:rsidR="00000000" w:rsidRDefault="00195E73">
            <w:pPr>
              <w:rPr>
                <w:rFonts w:eastAsia="Times New Roman"/>
                <w:sz w:val="20"/>
                <w:szCs w:val="20"/>
              </w:rPr>
            </w:pPr>
          </w:p>
        </w:tc>
        <w:tc>
          <w:tcPr>
            <w:tcW w:w="0" w:type="auto"/>
            <w:vAlign w:val="center"/>
            <w:hideMark/>
          </w:tcPr>
          <w:p w14:paraId="7D769D63" w14:textId="77777777" w:rsidR="00000000" w:rsidRDefault="00195E73">
            <w:pPr>
              <w:rPr>
                <w:rFonts w:eastAsia="Times New Roman"/>
                <w:sz w:val="20"/>
                <w:szCs w:val="20"/>
              </w:rPr>
            </w:pPr>
          </w:p>
        </w:tc>
        <w:tc>
          <w:tcPr>
            <w:tcW w:w="0" w:type="auto"/>
            <w:vAlign w:val="center"/>
            <w:hideMark/>
          </w:tcPr>
          <w:p w14:paraId="4A80EC6E" w14:textId="77777777" w:rsidR="00000000" w:rsidRDefault="00195E73">
            <w:pPr>
              <w:rPr>
                <w:rFonts w:eastAsia="Times New Roman"/>
                <w:sz w:val="20"/>
                <w:szCs w:val="20"/>
              </w:rPr>
            </w:pPr>
          </w:p>
        </w:tc>
        <w:tc>
          <w:tcPr>
            <w:tcW w:w="0" w:type="auto"/>
            <w:vAlign w:val="center"/>
            <w:hideMark/>
          </w:tcPr>
          <w:p w14:paraId="4EFB0F67" w14:textId="77777777" w:rsidR="00000000" w:rsidRDefault="00195E73">
            <w:pPr>
              <w:rPr>
                <w:rFonts w:eastAsia="Times New Roman"/>
                <w:sz w:val="20"/>
                <w:szCs w:val="20"/>
              </w:rPr>
            </w:pPr>
          </w:p>
        </w:tc>
        <w:tc>
          <w:tcPr>
            <w:tcW w:w="0" w:type="auto"/>
            <w:vAlign w:val="center"/>
            <w:hideMark/>
          </w:tcPr>
          <w:p w14:paraId="108ABB49" w14:textId="77777777" w:rsidR="00000000" w:rsidRDefault="00195E73">
            <w:pPr>
              <w:rPr>
                <w:rFonts w:eastAsia="Times New Roman"/>
                <w:sz w:val="20"/>
                <w:szCs w:val="20"/>
              </w:rPr>
            </w:pPr>
          </w:p>
        </w:tc>
        <w:tc>
          <w:tcPr>
            <w:tcW w:w="0" w:type="auto"/>
            <w:vAlign w:val="center"/>
            <w:hideMark/>
          </w:tcPr>
          <w:p w14:paraId="353FA355" w14:textId="77777777" w:rsidR="00000000" w:rsidRDefault="00195E73">
            <w:pPr>
              <w:rPr>
                <w:rFonts w:eastAsia="Times New Roman"/>
                <w:sz w:val="20"/>
                <w:szCs w:val="20"/>
              </w:rPr>
            </w:pPr>
          </w:p>
        </w:tc>
        <w:tc>
          <w:tcPr>
            <w:tcW w:w="0" w:type="auto"/>
            <w:vAlign w:val="center"/>
            <w:hideMark/>
          </w:tcPr>
          <w:p w14:paraId="6569B61D" w14:textId="77777777" w:rsidR="00000000" w:rsidRDefault="00195E73">
            <w:pPr>
              <w:rPr>
                <w:rFonts w:eastAsia="Times New Roman"/>
                <w:sz w:val="20"/>
                <w:szCs w:val="20"/>
              </w:rPr>
            </w:pPr>
          </w:p>
        </w:tc>
        <w:tc>
          <w:tcPr>
            <w:tcW w:w="0" w:type="auto"/>
            <w:vAlign w:val="center"/>
            <w:hideMark/>
          </w:tcPr>
          <w:p w14:paraId="237C6641" w14:textId="77777777" w:rsidR="00000000" w:rsidRDefault="00195E73">
            <w:pPr>
              <w:rPr>
                <w:rFonts w:eastAsia="Times New Roman"/>
                <w:sz w:val="20"/>
                <w:szCs w:val="20"/>
              </w:rPr>
            </w:pPr>
          </w:p>
        </w:tc>
      </w:tr>
      <w:tr w:rsidR="00000000" w14:paraId="3DDD4F22" w14:textId="77777777">
        <w:trPr>
          <w:divId w:val="1490097897"/>
          <w:jc w:val="center"/>
        </w:trPr>
        <w:tc>
          <w:tcPr>
            <w:tcW w:w="0" w:type="auto"/>
            <w:gridSpan w:val="3"/>
            <w:shd w:val="clear" w:color="auto" w:fill="FFFFFF"/>
            <w:tcMar>
              <w:top w:w="30" w:type="dxa"/>
              <w:left w:w="20" w:type="dxa"/>
              <w:bottom w:w="30" w:type="dxa"/>
              <w:right w:w="20" w:type="dxa"/>
            </w:tcMar>
            <w:vAlign w:val="bottom"/>
            <w:hideMark/>
          </w:tcPr>
          <w:p w14:paraId="19B75053" w14:textId="77777777" w:rsidR="00000000" w:rsidRDefault="00195E73">
            <w:pPr>
              <w:rPr>
                <w:rFonts w:eastAsia="Times New Roman"/>
              </w:rPr>
            </w:pPr>
            <w:r>
              <w:rPr>
                <w:rFonts w:eastAsia="Times New Roman"/>
                <w:color w:val="000000"/>
                <w:sz w:val="20"/>
                <w:szCs w:val="20"/>
              </w:rPr>
              <w:t>   Interest and dividend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289148C2" w14:textId="77777777" w:rsidR="00000000" w:rsidRDefault="00195E73">
            <w:pPr>
              <w:jc w:val="right"/>
              <w:rPr>
                <w:rFonts w:eastAsia="Times New Roman"/>
              </w:rPr>
            </w:pPr>
            <w:r>
              <w:rPr>
                <w:rFonts w:eastAsia="Times New Roman"/>
                <w:color w:val="000000"/>
                <w:sz w:val="20"/>
                <w:szCs w:val="20"/>
              </w:rPr>
              <w:t>265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8A114B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6A3987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1C5EED" w14:textId="77777777" w:rsidR="00000000" w:rsidRDefault="00195E73">
            <w:pPr>
              <w:jc w:val="right"/>
              <w:rPr>
                <w:rFonts w:eastAsia="Times New Roman"/>
              </w:rPr>
            </w:pPr>
            <w:r>
              <w:rPr>
                <w:rFonts w:eastAsia="Times New Roman"/>
                <w:color w:val="000000"/>
                <w:sz w:val="20"/>
                <w:szCs w:val="20"/>
              </w:rPr>
              <w:t>148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4727A3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C6B0A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748E86" w14:textId="77777777" w:rsidR="00000000" w:rsidRDefault="00195E73">
            <w:pPr>
              <w:jc w:val="right"/>
              <w:rPr>
                <w:rFonts w:eastAsia="Times New Roman"/>
              </w:rPr>
            </w:pPr>
            <w:r>
              <w:rPr>
                <w:rFonts w:eastAsia="Times New Roman"/>
                <w:color w:val="000000"/>
                <w:sz w:val="20"/>
                <w:szCs w:val="20"/>
              </w:rPr>
              <w:t>127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58C94E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D3A37AB" w14:textId="77777777" w:rsidR="00000000" w:rsidRDefault="00195E73">
            <w:pPr>
              <w:rPr>
                <w:rFonts w:eastAsia="Times New Roman"/>
                <w:sz w:val="20"/>
                <w:szCs w:val="20"/>
              </w:rPr>
            </w:pPr>
          </w:p>
        </w:tc>
        <w:tc>
          <w:tcPr>
            <w:tcW w:w="0" w:type="auto"/>
            <w:vAlign w:val="center"/>
            <w:hideMark/>
          </w:tcPr>
          <w:p w14:paraId="7D76605A" w14:textId="77777777" w:rsidR="00000000" w:rsidRDefault="00195E73">
            <w:pPr>
              <w:rPr>
                <w:rFonts w:eastAsia="Times New Roman"/>
                <w:sz w:val="20"/>
                <w:szCs w:val="20"/>
              </w:rPr>
            </w:pPr>
          </w:p>
        </w:tc>
        <w:tc>
          <w:tcPr>
            <w:tcW w:w="0" w:type="auto"/>
            <w:vAlign w:val="center"/>
            <w:hideMark/>
          </w:tcPr>
          <w:p w14:paraId="415B569B" w14:textId="77777777" w:rsidR="00000000" w:rsidRDefault="00195E73">
            <w:pPr>
              <w:rPr>
                <w:rFonts w:eastAsia="Times New Roman"/>
                <w:sz w:val="20"/>
                <w:szCs w:val="20"/>
              </w:rPr>
            </w:pPr>
          </w:p>
        </w:tc>
        <w:tc>
          <w:tcPr>
            <w:tcW w:w="0" w:type="auto"/>
            <w:vAlign w:val="center"/>
            <w:hideMark/>
          </w:tcPr>
          <w:p w14:paraId="6816402A" w14:textId="77777777" w:rsidR="00000000" w:rsidRDefault="00195E73">
            <w:pPr>
              <w:rPr>
                <w:rFonts w:eastAsia="Times New Roman"/>
                <w:sz w:val="20"/>
                <w:szCs w:val="20"/>
              </w:rPr>
            </w:pPr>
          </w:p>
        </w:tc>
        <w:tc>
          <w:tcPr>
            <w:tcW w:w="0" w:type="auto"/>
            <w:vAlign w:val="center"/>
            <w:hideMark/>
          </w:tcPr>
          <w:p w14:paraId="38A86C84" w14:textId="77777777" w:rsidR="00000000" w:rsidRDefault="00195E73">
            <w:pPr>
              <w:rPr>
                <w:rFonts w:eastAsia="Times New Roman"/>
                <w:sz w:val="20"/>
                <w:szCs w:val="20"/>
              </w:rPr>
            </w:pPr>
          </w:p>
        </w:tc>
        <w:tc>
          <w:tcPr>
            <w:tcW w:w="0" w:type="auto"/>
            <w:vAlign w:val="center"/>
            <w:hideMark/>
          </w:tcPr>
          <w:p w14:paraId="3057D4F4" w14:textId="77777777" w:rsidR="00000000" w:rsidRDefault="00195E73">
            <w:pPr>
              <w:rPr>
                <w:rFonts w:eastAsia="Times New Roman"/>
                <w:sz w:val="20"/>
                <w:szCs w:val="20"/>
              </w:rPr>
            </w:pPr>
          </w:p>
        </w:tc>
        <w:tc>
          <w:tcPr>
            <w:tcW w:w="0" w:type="auto"/>
            <w:vAlign w:val="center"/>
            <w:hideMark/>
          </w:tcPr>
          <w:p w14:paraId="349155AE" w14:textId="77777777" w:rsidR="00000000" w:rsidRDefault="00195E73">
            <w:pPr>
              <w:rPr>
                <w:rFonts w:eastAsia="Times New Roman"/>
                <w:sz w:val="20"/>
                <w:szCs w:val="20"/>
              </w:rPr>
            </w:pPr>
          </w:p>
        </w:tc>
        <w:tc>
          <w:tcPr>
            <w:tcW w:w="0" w:type="auto"/>
            <w:vAlign w:val="center"/>
            <w:hideMark/>
          </w:tcPr>
          <w:p w14:paraId="4690C12A" w14:textId="77777777" w:rsidR="00000000" w:rsidRDefault="00195E73">
            <w:pPr>
              <w:rPr>
                <w:rFonts w:eastAsia="Times New Roman"/>
                <w:sz w:val="20"/>
                <w:szCs w:val="20"/>
              </w:rPr>
            </w:pPr>
          </w:p>
        </w:tc>
        <w:tc>
          <w:tcPr>
            <w:tcW w:w="0" w:type="auto"/>
            <w:vAlign w:val="center"/>
            <w:hideMark/>
          </w:tcPr>
          <w:p w14:paraId="3A4F30A4" w14:textId="77777777" w:rsidR="00000000" w:rsidRDefault="00195E73">
            <w:pPr>
              <w:rPr>
                <w:rFonts w:eastAsia="Times New Roman"/>
                <w:sz w:val="20"/>
                <w:szCs w:val="20"/>
              </w:rPr>
            </w:pPr>
          </w:p>
        </w:tc>
        <w:tc>
          <w:tcPr>
            <w:tcW w:w="0" w:type="auto"/>
            <w:vAlign w:val="center"/>
            <w:hideMark/>
          </w:tcPr>
          <w:p w14:paraId="0B09C8E4" w14:textId="77777777" w:rsidR="00000000" w:rsidRDefault="00195E73">
            <w:pPr>
              <w:rPr>
                <w:rFonts w:eastAsia="Times New Roman"/>
                <w:sz w:val="20"/>
                <w:szCs w:val="20"/>
              </w:rPr>
            </w:pPr>
          </w:p>
        </w:tc>
        <w:tc>
          <w:tcPr>
            <w:tcW w:w="0" w:type="auto"/>
            <w:vAlign w:val="center"/>
            <w:hideMark/>
          </w:tcPr>
          <w:p w14:paraId="116C86FB" w14:textId="77777777" w:rsidR="00000000" w:rsidRDefault="00195E73">
            <w:pPr>
              <w:rPr>
                <w:rFonts w:eastAsia="Times New Roman"/>
                <w:sz w:val="20"/>
                <w:szCs w:val="20"/>
              </w:rPr>
            </w:pPr>
          </w:p>
        </w:tc>
        <w:tc>
          <w:tcPr>
            <w:tcW w:w="0" w:type="auto"/>
            <w:vAlign w:val="center"/>
            <w:hideMark/>
          </w:tcPr>
          <w:p w14:paraId="0B830ED9" w14:textId="77777777" w:rsidR="00000000" w:rsidRDefault="00195E73">
            <w:pPr>
              <w:rPr>
                <w:rFonts w:eastAsia="Times New Roman"/>
                <w:sz w:val="20"/>
                <w:szCs w:val="20"/>
              </w:rPr>
            </w:pPr>
          </w:p>
        </w:tc>
      </w:tr>
      <w:tr w:rsidR="00000000" w14:paraId="5972EF1F" w14:textId="77777777">
        <w:trPr>
          <w:divId w:val="1490097897"/>
          <w:jc w:val="center"/>
        </w:trPr>
        <w:tc>
          <w:tcPr>
            <w:tcW w:w="0" w:type="auto"/>
            <w:gridSpan w:val="3"/>
            <w:shd w:val="clear" w:color="auto" w:fill="CCEEFF"/>
            <w:tcMar>
              <w:top w:w="30" w:type="dxa"/>
              <w:left w:w="20" w:type="dxa"/>
              <w:bottom w:w="30" w:type="dxa"/>
              <w:right w:w="20" w:type="dxa"/>
            </w:tcMar>
            <w:vAlign w:val="bottom"/>
            <w:hideMark/>
          </w:tcPr>
          <w:p w14:paraId="6E319CF2" w14:textId="77777777" w:rsidR="00000000" w:rsidRDefault="00195E73">
            <w:pPr>
              <w:rPr>
                <w:rFonts w:eastAsia="Times New Roman"/>
              </w:rPr>
            </w:pPr>
            <w:r>
              <w:rPr>
                <w:rFonts w:eastAsia="Times New Roman"/>
                <w:color w:val="000000"/>
                <w:sz w:val="20"/>
                <w:szCs w:val="20"/>
              </w:rPr>
              <w:t>   Gain on disposition of assets,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005EE8B4" w14:textId="77777777" w:rsidR="00000000" w:rsidRDefault="00195E73">
            <w:pPr>
              <w:jc w:val="right"/>
              <w:rPr>
                <w:rFonts w:eastAsia="Times New Roman"/>
              </w:rPr>
            </w:pPr>
            <w:r>
              <w:rPr>
                <w:rFonts w:eastAsia="Times New Roman"/>
                <w:color w:val="000000"/>
                <w:sz w:val="20"/>
                <w:szCs w:val="20"/>
              </w:rPr>
              <w:t>253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411ED5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CC474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D66680" w14:textId="77777777" w:rsidR="00000000" w:rsidRDefault="00195E73">
            <w:pPr>
              <w:jc w:val="right"/>
              <w:rPr>
                <w:rFonts w:eastAsia="Times New Roman"/>
              </w:rPr>
            </w:pPr>
            <w:r>
              <w:rPr>
                <w:rFonts w:eastAsia="Times New Roman"/>
                <w:color w:val="000000"/>
                <w:sz w:val="20"/>
                <w:szCs w:val="20"/>
              </w:rPr>
              <w:t>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52706D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53DD40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FCB2E3" w14:textId="77777777" w:rsidR="00000000" w:rsidRDefault="00195E73">
            <w:pPr>
              <w:jc w:val="right"/>
              <w:rPr>
                <w:rFonts w:eastAsia="Times New Roman"/>
              </w:rPr>
            </w:pPr>
            <w:r>
              <w:rPr>
                <w:rFonts w:eastAsia="Times New Roman"/>
                <w:color w:val="000000"/>
                <w:sz w:val="20"/>
                <w:szCs w:val="20"/>
              </w:rPr>
              <w:t>2,163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C67A94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FD5B11B" w14:textId="77777777" w:rsidR="00000000" w:rsidRDefault="00195E73">
            <w:pPr>
              <w:rPr>
                <w:rFonts w:eastAsia="Times New Roman"/>
                <w:sz w:val="20"/>
                <w:szCs w:val="20"/>
              </w:rPr>
            </w:pPr>
          </w:p>
        </w:tc>
        <w:tc>
          <w:tcPr>
            <w:tcW w:w="0" w:type="auto"/>
            <w:vAlign w:val="center"/>
            <w:hideMark/>
          </w:tcPr>
          <w:p w14:paraId="33F82829" w14:textId="77777777" w:rsidR="00000000" w:rsidRDefault="00195E73">
            <w:pPr>
              <w:rPr>
                <w:rFonts w:eastAsia="Times New Roman"/>
                <w:sz w:val="20"/>
                <w:szCs w:val="20"/>
              </w:rPr>
            </w:pPr>
          </w:p>
        </w:tc>
        <w:tc>
          <w:tcPr>
            <w:tcW w:w="0" w:type="auto"/>
            <w:vAlign w:val="center"/>
            <w:hideMark/>
          </w:tcPr>
          <w:p w14:paraId="52296E15" w14:textId="77777777" w:rsidR="00000000" w:rsidRDefault="00195E73">
            <w:pPr>
              <w:rPr>
                <w:rFonts w:eastAsia="Times New Roman"/>
                <w:sz w:val="20"/>
                <w:szCs w:val="20"/>
              </w:rPr>
            </w:pPr>
          </w:p>
        </w:tc>
        <w:tc>
          <w:tcPr>
            <w:tcW w:w="0" w:type="auto"/>
            <w:vAlign w:val="center"/>
            <w:hideMark/>
          </w:tcPr>
          <w:p w14:paraId="1A70F685" w14:textId="77777777" w:rsidR="00000000" w:rsidRDefault="00195E73">
            <w:pPr>
              <w:rPr>
                <w:rFonts w:eastAsia="Times New Roman"/>
                <w:sz w:val="20"/>
                <w:szCs w:val="20"/>
              </w:rPr>
            </w:pPr>
          </w:p>
        </w:tc>
        <w:tc>
          <w:tcPr>
            <w:tcW w:w="0" w:type="auto"/>
            <w:vAlign w:val="center"/>
            <w:hideMark/>
          </w:tcPr>
          <w:p w14:paraId="7AAE0C74" w14:textId="77777777" w:rsidR="00000000" w:rsidRDefault="00195E73">
            <w:pPr>
              <w:rPr>
                <w:rFonts w:eastAsia="Times New Roman"/>
                <w:sz w:val="20"/>
                <w:szCs w:val="20"/>
              </w:rPr>
            </w:pPr>
          </w:p>
        </w:tc>
        <w:tc>
          <w:tcPr>
            <w:tcW w:w="0" w:type="auto"/>
            <w:vAlign w:val="center"/>
            <w:hideMark/>
          </w:tcPr>
          <w:p w14:paraId="0220AA91" w14:textId="77777777" w:rsidR="00000000" w:rsidRDefault="00195E73">
            <w:pPr>
              <w:rPr>
                <w:rFonts w:eastAsia="Times New Roman"/>
                <w:sz w:val="20"/>
                <w:szCs w:val="20"/>
              </w:rPr>
            </w:pPr>
          </w:p>
        </w:tc>
        <w:tc>
          <w:tcPr>
            <w:tcW w:w="0" w:type="auto"/>
            <w:vAlign w:val="center"/>
            <w:hideMark/>
          </w:tcPr>
          <w:p w14:paraId="3A3C29DC" w14:textId="77777777" w:rsidR="00000000" w:rsidRDefault="00195E73">
            <w:pPr>
              <w:rPr>
                <w:rFonts w:eastAsia="Times New Roman"/>
                <w:sz w:val="20"/>
                <w:szCs w:val="20"/>
              </w:rPr>
            </w:pPr>
          </w:p>
        </w:tc>
        <w:tc>
          <w:tcPr>
            <w:tcW w:w="0" w:type="auto"/>
            <w:vAlign w:val="center"/>
            <w:hideMark/>
          </w:tcPr>
          <w:p w14:paraId="311EA4B5" w14:textId="77777777" w:rsidR="00000000" w:rsidRDefault="00195E73">
            <w:pPr>
              <w:rPr>
                <w:rFonts w:eastAsia="Times New Roman"/>
                <w:sz w:val="20"/>
                <w:szCs w:val="20"/>
              </w:rPr>
            </w:pPr>
          </w:p>
        </w:tc>
        <w:tc>
          <w:tcPr>
            <w:tcW w:w="0" w:type="auto"/>
            <w:vAlign w:val="center"/>
            <w:hideMark/>
          </w:tcPr>
          <w:p w14:paraId="7FA17EAE" w14:textId="77777777" w:rsidR="00000000" w:rsidRDefault="00195E73">
            <w:pPr>
              <w:rPr>
                <w:rFonts w:eastAsia="Times New Roman"/>
                <w:sz w:val="20"/>
                <w:szCs w:val="20"/>
              </w:rPr>
            </w:pPr>
          </w:p>
        </w:tc>
        <w:tc>
          <w:tcPr>
            <w:tcW w:w="0" w:type="auto"/>
            <w:vAlign w:val="center"/>
            <w:hideMark/>
          </w:tcPr>
          <w:p w14:paraId="7185CBA0" w14:textId="77777777" w:rsidR="00000000" w:rsidRDefault="00195E73">
            <w:pPr>
              <w:rPr>
                <w:rFonts w:eastAsia="Times New Roman"/>
                <w:sz w:val="20"/>
                <w:szCs w:val="20"/>
              </w:rPr>
            </w:pPr>
          </w:p>
        </w:tc>
        <w:tc>
          <w:tcPr>
            <w:tcW w:w="0" w:type="auto"/>
            <w:vAlign w:val="center"/>
            <w:hideMark/>
          </w:tcPr>
          <w:p w14:paraId="34E1A10D" w14:textId="77777777" w:rsidR="00000000" w:rsidRDefault="00195E73">
            <w:pPr>
              <w:rPr>
                <w:rFonts w:eastAsia="Times New Roman"/>
                <w:sz w:val="20"/>
                <w:szCs w:val="20"/>
              </w:rPr>
            </w:pPr>
          </w:p>
        </w:tc>
        <w:tc>
          <w:tcPr>
            <w:tcW w:w="0" w:type="auto"/>
            <w:vAlign w:val="center"/>
            <w:hideMark/>
          </w:tcPr>
          <w:p w14:paraId="4EEC472A" w14:textId="77777777" w:rsidR="00000000" w:rsidRDefault="00195E73">
            <w:pPr>
              <w:rPr>
                <w:rFonts w:eastAsia="Times New Roman"/>
                <w:sz w:val="20"/>
                <w:szCs w:val="20"/>
              </w:rPr>
            </w:pPr>
          </w:p>
        </w:tc>
      </w:tr>
      <w:tr w:rsidR="00000000" w14:paraId="1DCC3B45" w14:textId="77777777">
        <w:trPr>
          <w:divId w:val="1490097897"/>
          <w:jc w:val="center"/>
        </w:trPr>
        <w:tc>
          <w:tcPr>
            <w:tcW w:w="0" w:type="auto"/>
            <w:gridSpan w:val="3"/>
            <w:shd w:val="clear" w:color="auto" w:fill="FFFFFF"/>
            <w:tcMar>
              <w:top w:w="30" w:type="dxa"/>
              <w:left w:w="20" w:type="dxa"/>
              <w:bottom w:w="30" w:type="dxa"/>
              <w:right w:w="20" w:type="dxa"/>
            </w:tcMar>
            <w:vAlign w:val="bottom"/>
            <w:hideMark/>
          </w:tcPr>
          <w:p w14:paraId="294C6270"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Other income (loss),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726924EC" w14:textId="77777777" w:rsidR="00000000" w:rsidRDefault="00195E73">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6BA617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739726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E6123C"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25672B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97BDE7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12BBCC" w14:textId="77777777" w:rsidR="00000000" w:rsidRDefault="00195E73">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9BB53E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28EBA1C" w14:textId="77777777" w:rsidR="00000000" w:rsidRDefault="00195E73">
            <w:pPr>
              <w:rPr>
                <w:rFonts w:eastAsia="Times New Roman"/>
                <w:sz w:val="20"/>
                <w:szCs w:val="20"/>
              </w:rPr>
            </w:pPr>
          </w:p>
        </w:tc>
        <w:tc>
          <w:tcPr>
            <w:tcW w:w="0" w:type="auto"/>
            <w:vAlign w:val="center"/>
            <w:hideMark/>
          </w:tcPr>
          <w:p w14:paraId="58867AF1" w14:textId="77777777" w:rsidR="00000000" w:rsidRDefault="00195E73">
            <w:pPr>
              <w:rPr>
                <w:rFonts w:eastAsia="Times New Roman"/>
                <w:sz w:val="20"/>
                <w:szCs w:val="20"/>
              </w:rPr>
            </w:pPr>
          </w:p>
        </w:tc>
        <w:tc>
          <w:tcPr>
            <w:tcW w:w="0" w:type="auto"/>
            <w:vAlign w:val="center"/>
            <w:hideMark/>
          </w:tcPr>
          <w:p w14:paraId="3A276749" w14:textId="77777777" w:rsidR="00000000" w:rsidRDefault="00195E73">
            <w:pPr>
              <w:rPr>
                <w:rFonts w:eastAsia="Times New Roman"/>
                <w:sz w:val="20"/>
                <w:szCs w:val="20"/>
              </w:rPr>
            </w:pPr>
          </w:p>
        </w:tc>
        <w:tc>
          <w:tcPr>
            <w:tcW w:w="0" w:type="auto"/>
            <w:vAlign w:val="center"/>
            <w:hideMark/>
          </w:tcPr>
          <w:p w14:paraId="14B23F67" w14:textId="77777777" w:rsidR="00000000" w:rsidRDefault="00195E73">
            <w:pPr>
              <w:rPr>
                <w:rFonts w:eastAsia="Times New Roman"/>
                <w:sz w:val="20"/>
                <w:szCs w:val="20"/>
              </w:rPr>
            </w:pPr>
          </w:p>
        </w:tc>
        <w:tc>
          <w:tcPr>
            <w:tcW w:w="0" w:type="auto"/>
            <w:vAlign w:val="center"/>
            <w:hideMark/>
          </w:tcPr>
          <w:p w14:paraId="15370AC4" w14:textId="77777777" w:rsidR="00000000" w:rsidRDefault="00195E73">
            <w:pPr>
              <w:rPr>
                <w:rFonts w:eastAsia="Times New Roman"/>
                <w:sz w:val="20"/>
                <w:szCs w:val="20"/>
              </w:rPr>
            </w:pPr>
          </w:p>
        </w:tc>
        <w:tc>
          <w:tcPr>
            <w:tcW w:w="0" w:type="auto"/>
            <w:vAlign w:val="center"/>
            <w:hideMark/>
          </w:tcPr>
          <w:p w14:paraId="7BA4CB74" w14:textId="77777777" w:rsidR="00000000" w:rsidRDefault="00195E73">
            <w:pPr>
              <w:rPr>
                <w:rFonts w:eastAsia="Times New Roman"/>
                <w:sz w:val="20"/>
                <w:szCs w:val="20"/>
              </w:rPr>
            </w:pPr>
          </w:p>
        </w:tc>
        <w:tc>
          <w:tcPr>
            <w:tcW w:w="0" w:type="auto"/>
            <w:vAlign w:val="center"/>
            <w:hideMark/>
          </w:tcPr>
          <w:p w14:paraId="7C1E2190" w14:textId="77777777" w:rsidR="00000000" w:rsidRDefault="00195E73">
            <w:pPr>
              <w:rPr>
                <w:rFonts w:eastAsia="Times New Roman"/>
                <w:sz w:val="20"/>
                <w:szCs w:val="20"/>
              </w:rPr>
            </w:pPr>
          </w:p>
        </w:tc>
        <w:tc>
          <w:tcPr>
            <w:tcW w:w="0" w:type="auto"/>
            <w:vAlign w:val="center"/>
            <w:hideMark/>
          </w:tcPr>
          <w:p w14:paraId="2AFA9E67" w14:textId="77777777" w:rsidR="00000000" w:rsidRDefault="00195E73">
            <w:pPr>
              <w:rPr>
                <w:rFonts w:eastAsia="Times New Roman"/>
                <w:sz w:val="20"/>
                <w:szCs w:val="20"/>
              </w:rPr>
            </w:pPr>
          </w:p>
        </w:tc>
        <w:tc>
          <w:tcPr>
            <w:tcW w:w="0" w:type="auto"/>
            <w:vAlign w:val="center"/>
            <w:hideMark/>
          </w:tcPr>
          <w:p w14:paraId="6B9BB074" w14:textId="77777777" w:rsidR="00000000" w:rsidRDefault="00195E73">
            <w:pPr>
              <w:rPr>
                <w:rFonts w:eastAsia="Times New Roman"/>
                <w:sz w:val="20"/>
                <w:szCs w:val="20"/>
              </w:rPr>
            </w:pPr>
          </w:p>
        </w:tc>
        <w:tc>
          <w:tcPr>
            <w:tcW w:w="0" w:type="auto"/>
            <w:vAlign w:val="center"/>
            <w:hideMark/>
          </w:tcPr>
          <w:p w14:paraId="4ECD4694" w14:textId="77777777" w:rsidR="00000000" w:rsidRDefault="00195E73">
            <w:pPr>
              <w:rPr>
                <w:rFonts w:eastAsia="Times New Roman"/>
                <w:sz w:val="20"/>
                <w:szCs w:val="20"/>
              </w:rPr>
            </w:pPr>
          </w:p>
        </w:tc>
        <w:tc>
          <w:tcPr>
            <w:tcW w:w="0" w:type="auto"/>
            <w:vAlign w:val="center"/>
            <w:hideMark/>
          </w:tcPr>
          <w:p w14:paraId="34198018" w14:textId="77777777" w:rsidR="00000000" w:rsidRDefault="00195E73">
            <w:pPr>
              <w:rPr>
                <w:rFonts w:eastAsia="Times New Roman"/>
                <w:sz w:val="20"/>
                <w:szCs w:val="20"/>
              </w:rPr>
            </w:pPr>
          </w:p>
        </w:tc>
        <w:tc>
          <w:tcPr>
            <w:tcW w:w="0" w:type="auto"/>
            <w:vAlign w:val="center"/>
            <w:hideMark/>
          </w:tcPr>
          <w:p w14:paraId="5153FAE0" w14:textId="77777777" w:rsidR="00000000" w:rsidRDefault="00195E73">
            <w:pPr>
              <w:rPr>
                <w:rFonts w:eastAsia="Times New Roman"/>
                <w:sz w:val="20"/>
                <w:szCs w:val="20"/>
              </w:rPr>
            </w:pPr>
          </w:p>
        </w:tc>
      </w:tr>
      <w:tr w:rsidR="00000000" w14:paraId="7B83CF02" w14:textId="77777777">
        <w:trPr>
          <w:divId w:val="1490097897"/>
          <w:jc w:val="center"/>
        </w:trPr>
        <w:tc>
          <w:tcPr>
            <w:tcW w:w="0" w:type="auto"/>
            <w:gridSpan w:val="3"/>
            <w:shd w:val="clear" w:color="auto" w:fill="CCEEFF"/>
            <w:tcMar>
              <w:top w:w="15" w:type="dxa"/>
              <w:left w:w="20" w:type="dxa"/>
              <w:bottom w:w="15" w:type="dxa"/>
              <w:right w:w="20" w:type="dxa"/>
            </w:tcMar>
            <w:vAlign w:val="bottom"/>
            <w:hideMark/>
          </w:tcPr>
          <w:p w14:paraId="3F0A7C04"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4476E7" w14:textId="77777777" w:rsidR="00000000" w:rsidRDefault="00195E73">
            <w:pPr>
              <w:jc w:val="right"/>
              <w:rPr>
                <w:rFonts w:eastAsia="Times New Roman"/>
              </w:rPr>
            </w:pPr>
            <w:r>
              <w:rPr>
                <w:rFonts w:eastAsia="Times New Roman"/>
                <w:color w:val="000000"/>
                <w:sz w:val="20"/>
                <w:szCs w:val="20"/>
              </w:rPr>
              <w:t>8,992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D92406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EBD8A0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64395B" w14:textId="77777777" w:rsidR="00000000" w:rsidRDefault="00195E73">
            <w:pPr>
              <w:jc w:val="right"/>
              <w:rPr>
                <w:rFonts w:eastAsia="Times New Roman"/>
              </w:rPr>
            </w:pPr>
            <w:r>
              <w:rPr>
                <w:rFonts w:eastAsia="Times New Roman"/>
                <w:color w:val="000000"/>
                <w:sz w:val="20"/>
                <w:szCs w:val="20"/>
              </w:rPr>
              <w:t>11,777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7F92E9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7D9BE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D35544" w14:textId="77777777" w:rsidR="00000000" w:rsidRDefault="00195E73">
            <w:pPr>
              <w:jc w:val="right"/>
              <w:rPr>
                <w:rFonts w:eastAsia="Times New Roman"/>
              </w:rPr>
            </w:pPr>
            <w:r>
              <w:rPr>
                <w:rFonts w:eastAsia="Times New Roman"/>
                <w:color w:val="000000"/>
                <w:sz w:val="20"/>
                <w:szCs w:val="20"/>
              </w:rPr>
              <w:t>12,619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47B1C2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1F4913D" w14:textId="77777777" w:rsidR="00000000" w:rsidRDefault="00195E73">
            <w:pPr>
              <w:rPr>
                <w:rFonts w:eastAsia="Times New Roman"/>
                <w:sz w:val="20"/>
                <w:szCs w:val="20"/>
              </w:rPr>
            </w:pPr>
          </w:p>
        </w:tc>
        <w:tc>
          <w:tcPr>
            <w:tcW w:w="0" w:type="auto"/>
            <w:vAlign w:val="center"/>
            <w:hideMark/>
          </w:tcPr>
          <w:p w14:paraId="3E748F0D" w14:textId="77777777" w:rsidR="00000000" w:rsidRDefault="00195E73">
            <w:pPr>
              <w:rPr>
                <w:rFonts w:eastAsia="Times New Roman"/>
                <w:sz w:val="20"/>
                <w:szCs w:val="20"/>
              </w:rPr>
            </w:pPr>
          </w:p>
        </w:tc>
        <w:tc>
          <w:tcPr>
            <w:tcW w:w="0" w:type="auto"/>
            <w:vAlign w:val="center"/>
            <w:hideMark/>
          </w:tcPr>
          <w:p w14:paraId="18A0C0EA" w14:textId="77777777" w:rsidR="00000000" w:rsidRDefault="00195E73">
            <w:pPr>
              <w:rPr>
                <w:rFonts w:eastAsia="Times New Roman"/>
                <w:sz w:val="20"/>
                <w:szCs w:val="20"/>
              </w:rPr>
            </w:pPr>
          </w:p>
        </w:tc>
        <w:tc>
          <w:tcPr>
            <w:tcW w:w="0" w:type="auto"/>
            <w:vAlign w:val="center"/>
            <w:hideMark/>
          </w:tcPr>
          <w:p w14:paraId="6A1586A7" w14:textId="77777777" w:rsidR="00000000" w:rsidRDefault="00195E73">
            <w:pPr>
              <w:rPr>
                <w:rFonts w:eastAsia="Times New Roman"/>
                <w:sz w:val="20"/>
                <w:szCs w:val="20"/>
              </w:rPr>
            </w:pPr>
          </w:p>
        </w:tc>
        <w:tc>
          <w:tcPr>
            <w:tcW w:w="0" w:type="auto"/>
            <w:vAlign w:val="center"/>
            <w:hideMark/>
          </w:tcPr>
          <w:p w14:paraId="56DBB6F8" w14:textId="77777777" w:rsidR="00000000" w:rsidRDefault="00195E73">
            <w:pPr>
              <w:rPr>
                <w:rFonts w:eastAsia="Times New Roman"/>
                <w:sz w:val="20"/>
                <w:szCs w:val="20"/>
              </w:rPr>
            </w:pPr>
          </w:p>
        </w:tc>
        <w:tc>
          <w:tcPr>
            <w:tcW w:w="0" w:type="auto"/>
            <w:vAlign w:val="center"/>
            <w:hideMark/>
          </w:tcPr>
          <w:p w14:paraId="46071D10" w14:textId="77777777" w:rsidR="00000000" w:rsidRDefault="00195E73">
            <w:pPr>
              <w:rPr>
                <w:rFonts w:eastAsia="Times New Roman"/>
                <w:sz w:val="20"/>
                <w:szCs w:val="20"/>
              </w:rPr>
            </w:pPr>
          </w:p>
        </w:tc>
        <w:tc>
          <w:tcPr>
            <w:tcW w:w="0" w:type="auto"/>
            <w:vAlign w:val="center"/>
            <w:hideMark/>
          </w:tcPr>
          <w:p w14:paraId="19F2C7E8" w14:textId="77777777" w:rsidR="00000000" w:rsidRDefault="00195E73">
            <w:pPr>
              <w:rPr>
                <w:rFonts w:eastAsia="Times New Roman"/>
                <w:sz w:val="20"/>
                <w:szCs w:val="20"/>
              </w:rPr>
            </w:pPr>
          </w:p>
        </w:tc>
        <w:tc>
          <w:tcPr>
            <w:tcW w:w="0" w:type="auto"/>
            <w:vAlign w:val="center"/>
            <w:hideMark/>
          </w:tcPr>
          <w:p w14:paraId="11EBC1A3" w14:textId="77777777" w:rsidR="00000000" w:rsidRDefault="00195E73">
            <w:pPr>
              <w:rPr>
                <w:rFonts w:eastAsia="Times New Roman"/>
                <w:sz w:val="20"/>
                <w:szCs w:val="20"/>
              </w:rPr>
            </w:pPr>
          </w:p>
        </w:tc>
        <w:tc>
          <w:tcPr>
            <w:tcW w:w="0" w:type="auto"/>
            <w:vAlign w:val="center"/>
            <w:hideMark/>
          </w:tcPr>
          <w:p w14:paraId="1C704017" w14:textId="77777777" w:rsidR="00000000" w:rsidRDefault="00195E73">
            <w:pPr>
              <w:rPr>
                <w:rFonts w:eastAsia="Times New Roman"/>
                <w:sz w:val="20"/>
                <w:szCs w:val="20"/>
              </w:rPr>
            </w:pPr>
          </w:p>
        </w:tc>
        <w:tc>
          <w:tcPr>
            <w:tcW w:w="0" w:type="auto"/>
            <w:vAlign w:val="center"/>
            <w:hideMark/>
          </w:tcPr>
          <w:p w14:paraId="19577CD6" w14:textId="77777777" w:rsidR="00000000" w:rsidRDefault="00195E73">
            <w:pPr>
              <w:rPr>
                <w:rFonts w:eastAsia="Times New Roman"/>
                <w:sz w:val="20"/>
                <w:szCs w:val="20"/>
              </w:rPr>
            </w:pPr>
          </w:p>
        </w:tc>
        <w:tc>
          <w:tcPr>
            <w:tcW w:w="0" w:type="auto"/>
            <w:vAlign w:val="center"/>
            <w:hideMark/>
          </w:tcPr>
          <w:p w14:paraId="4C5CE659" w14:textId="77777777" w:rsidR="00000000" w:rsidRDefault="00195E73">
            <w:pPr>
              <w:rPr>
                <w:rFonts w:eastAsia="Times New Roman"/>
                <w:sz w:val="20"/>
                <w:szCs w:val="20"/>
              </w:rPr>
            </w:pPr>
          </w:p>
        </w:tc>
        <w:tc>
          <w:tcPr>
            <w:tcW w:w="0" w:type="auto"/>
            <w:vAlign w:val="center"/>
            <w:hideMark/>
          </w:tcPr>
          <w:p w14:paraId="22FDBE8C" w14:textId="77777777" w:rsidR="00000000" w:rsidRDefault="00195E73">
            <w:pPr>
              <w:rPr>
                <w:rFonts w:eastAsia="Times New Roman"/>
                <w:sz w:val="20"/>
                <w:szCs w:val="20"/>
              </w:rPr>
            </w:pPr>
          </w:p>
        </w:tc>
      </w:tr>
      <w:tr w:rsidR="00000000" w14:paraId="01998D1A" w14:textId="77777777">
        <w:trPr>
          <w:divId w:val="1490097897"/>
          <w:jc w:val="center"/>
        </w:trPr>
        <w:tc>
          <w:tcPr>
            <w:tcW w:w="0" w:type="auto"/>
            <w:gridSpan w:val="3"/>
            <w:shd w:val="clear" w:color="auto" w:fill="FFFFFF"/>
            <w:tcMar>
              <w:top w:w="30" w:type="dxa"/>
              <w:left w:w="20" w:type="dxa"/>
              <w:bottom w:w="30" w:type="dxa"/>
              <w:right w:w="20" w:type="dxa"/>
            </w:tcMar>
            <w:vAlign w:val="bottom"/>
            <w:hideMark/>
          </w:tcPr>
          <w:p w14:paraId="0AA96AE1" w14:textId="77777777" w:rsidR="00000000" w:rsidRDefault="00195E73">
            <w:pPr>
              <w:rPr>
                <w:rFonts w:eastAsia="Times New Roman"/>
              </w:rPr>
            </w:pPr>
            <w:r>
              <w:rPr>
                <w:rFonts w:eastAsia="Times New Roman"/>
                <w:color w:val="000000"/>
                <w:sz w:val="20"/>
                <w:szCs w:val="20"/>
              </w:rPr>
              <w:t>Expenses</w:t>
            </w:r>
            <w:r>
              <w:rPr>
                <w:rFonts w:eastAsia="Times New Roman"/>
                <w:color w:val="000000"/>
                <w:sz w:val="20"/>
                <w:szCs w:val="20"/>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2075E3A0"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5AA3934"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4E61760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BFABBB9"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2D006A5F" w14:textId="77777777" w:rsidR="00000000" w:rsidRDefault="00195E73">
            <w:pPr>
              <w:rPr>
                <w:rFonts w:eastAsia="Times New Roman"/>
                <w:sz w:val="20"/>
                <w:szCs w:val="20"/>
              </w:rPr>
            </w:pPr>
          </w:p>
        </w:tc>
        <w:tc>
          <w:tcPr>
            <w:tcW w:w="0" w:type="auto"/>
            <w:vAlign w:val="center"/>
            <w:hideMark/>
          </w:tcPr>
          <w:p w14:paraId="03FD80E7" w14:textId="77777777" w:rsidR="00000000" w:rsidRDefault="00195E73">
            <w:pPr>
              <w:rPr>
                <w:rFonts w:eastAsia="Times New Roman"/>
                <w:sz w:val="20"/>
                <w:szCs w:val="20"/>
              </w:rPr>
            </w:pPr>
          </w:p>
        </w:tc>
        <w:tc>
          <w:tcPr>
            <w:tcW w:w="0" w:type="auto"/>
            <w:vAlign w:val="center"/>
            <w:hideMark/>
          </w:tcPr>
          <w:p w14:paraId="2F46CED9" w14:textId="77777777" w:rsidR="00000000" w:rsidRDefault="00195E73">
            <w:pPr>
              <w:rPr>
                <w:rFonts w:eastAsia="Times New Roman"/>
                <w:sz w:val="20"/>
                <w:szCs w:val="20"/>
              </w:rPr>
            </w:pPr>
          </w:p>
        </w:tc>
        <w:tc>
          <w:tcPr>
            <w:tcW w:w="0" w:type="auto"/>
            <w:vAlign w:val="center"/>
            <w:hideMark/>
          </w:tcPr>
          <w:p w14:paraId="4A7A25C3" w14:textId="77777777" w:rsidR="00000000" w:rsidRDefault="00195E73">
            <w:pPr>
              <w:rPr>
                <w:rFonts w:eastAsia="Times New Roman"/>
                <w:sz w:val="20"/>
                <w:szCs w:val="20"/>
              </w:rPr>
            </w:pPr>
          </w:p>
        </w:tc>
        <w:tc>
          <w:tcPr>
            <w:tcW w:w="0" w:type="auto"/>
            <w:vAlign w:val="center"/>
            <w:hideMark/>
          </w:tcPr>
          <w:p w14:paraId="4B0775E4" w14:textId="77777777" w:rsidR="00000000" w:rsidRDefault="00195E73">
            <w:pPr>
              <w:rPr>
                <w:rFonts w:eastAsia="Times New Roman"/>
                <w:sz w:val="20"/>
                <w:szCs w:val="20"/>
              </w:rPr>
            </w:pPr>
          </w:p>
        </w:tc>
        <w:tc>
          <w:tcPr>
            <w:tcW w:w="0" w:type="auto"/>
            <w:vAlign w:val="center"/>
            <w:hideMark/>
          </w:tcPr>
          <w:p w14:paraId="784293AD" w14:textId="77777777" w:rsidR="00000000" w:rsidRDefault="00195E73">
            <w:pPr>
              <w:rPr>
                <w:rFonts w:eastAsia="Times New Roman"/>
                <w:sz w:val="20"/>
                <w:szCs w:val="20"/>
              </w:rPr>
            </w:pPr>
          </w:p>
        </w:tc>
        <w:tc>
          <w:tcPr>
            <w:tcW w:w="0" w:type="auto"/>
            <w:vAlign w:val="center"/>
            <w:hideMark/>
          </w:tcPr>
          <w:p w14:paraId="2D284A9C" w14:textId="77777777" w:rsidR="00000000" w:rsidRDefault="00195E73">
            <w:pPr>
              <w:rPr>
                <w:rFonts w:eastAsia="Times New Roman"/>
                <w:sz w:val="20"/>
                <w:szCs w:val="20"/>
              </w:rPr>
            </w:pPr>
          </w:p>
        </w:tc>
        <w:tc>
          <w:tcPr>
            <w:tcW w:w="0" w:type="auto"/>
            <w:vAlign w:val="center"/>
            <w:hideMark/>
          </w:tcPr>
          <w:p w14:paraId="7DC318C3" w14:textId="77777777" w:rsidR="00000000" w:rsidRDefault="00195E73">
            <w:pPr>
              <w:rPr>
                <w:rFonts w:eastAsia="Times New Roman"/>
                <w:sz w:val="20"/>
                <w:szCs w:val="20"/>
              </w:rPr>
            </w:pPr>
          </w:p>
        </w:tc>
        <w:tc>
          <w:tcPr>
            <w:tcW w:w="0" w:type="auto"/>
            <w:vAlign w:val="center"/>
            <w:hideMark/>
          </w:tcPr>
          <w:p w14:paraId="4099E5BA" w14:textId="77777777" w:rsidR="00000000" w:rsidRDefault="00195E73">
            <w:pPr>
              <w:rPr>
                <w:rFonts w:eastAsia="Times New Roman"/>
                <w:sz w:val="20"/>
                <w:szCs w:val="20"/>
              </w:rPr>
            </w:pPr>
          </w:p>
        </w:tc>
        <w:tc>
          <w:tcPr>
            <w:tcW w:w="0" w:type="auto"/>
            <w:vAlign w:val="center"/>
            <w:hideMark/>
          </w:tcPr>
          <w:p w14:paraId="6B0EF832" w14:textId="77777777" w:rsidR="00000000" w:rsidRDefault="00195E73">
            <w:pPr>
              <w:rPr>
                <w:rFonts w:eastAsia="Times New Roman"/>
                <w:sz w:val="20"/>
                <w:szCs w:val="20"/>
              </w:rPr>
            </w:pPr>
          </w:p>
        </w:tc>
        <w:tc>
          <w:tcPr>
            <w:tcW w:w="0" w:type="auto"/>
            <w:vAlign w:val="center"/>
            <w:hideMark/>
          </w:tcPr>
          <w:p w14:paraId="38547805" w14:textId="77777777" w:rsidR="00000000" w:rsidRDefault="00195E73">
            <w:pPr>
              <w:rPr>
                <w:rFonts w:eastAsia="Times New Roman"/>
                <w:sz w:val="20"/>
                <w:szCs w:val="20"/>
              </w:rPr>
            </w:pPr>
          </w:p>
        </w:tc>
        <w:tc>
          <w:tcPr>
            <w:tcW w:w="0" w:type="auto"/>
            <w:vAlign w:val="center"/>
            <w:hideMark/>
          </w:tcPr>
          <w:p w14:paraId="1B8D3A5A" w14:textId="77777777" w:rsidR="00000000" w:rsidRDefault="00195E73">
            <w:pPr>
              <w:rPr>
                <w:rFonts w:eastAsia="Times New Roman"/>
                <w:sz w:val="20"/>
                <w:szCs w:val="20"/>
              </w:rPr>
            </w:pPr>
          </w:p>
        </w:tc>
        <w:tc>
          <w:tcPr>
            <w:tcW w:w="0" w:type="auto"/>
            <w:vAlign w:val="center"/>
            <w:hideMark/>
          </w:tcPr>
          <w:p w14:paraId="14043CB4" w14:textId="77777777" w:rsidR="00000000" w:rsidRDefault="00195E73">
            <w:pPr>
              <w:rPr>
                <w:rFonts w:eastAsia="Times New Roman"/>
                <w:sz w:val="20"/>
                <w:szCs w:val="20"/>
              </w:rPr>
            </w:pPr>
          </w:p>
        </w:tc>
      </w:tr>
      <w:tr w:rsidR="00000000" w14:paraId="6A13B2D4" w14:textId="77777777">
        <w:trPr>
          <w:divId w:val="1490097897"/>
          <w:jc w:val="center"/>
        </w:trPr>
        <w:tc>
          <w:tcPr>
            <w:tcW w:w="0" w:type="auto"/>
            <w:gridSpan w:val="3"/>
            <w:shd w:val="clear" w:color="auto" w:fill="CCEEFF"/>
            <w:tcMar>
              <w:top w:w="30" w:type="dxa"/>
              <w:left w:w="20" w:type="dxa"/>
              <w:bottom w:w="30" w:type="dxa"/>
              <w:right w:w="20" w:type="dxa"/>
            </w:tcMar>
            <w:vAlign w:val="bottom"/>
            <w:hideMark/>
          </w:tcPr>
          <w:p w14:paraId="7AC6CB66" w14:textId="77777777" w:rsidR="00000000" w:rsidRDefault="00195E73">
            <w:pPr>
              <w:rPr>
                <w:rFonts w:eastAsia="Times New Roman"/>
              </w:rPr>
            </w:pPr>
            <w:r>
              <w:rPr>
                <w:rFonts w:eastAsia="Times New Roman"/>
                <w:color w:val="000000"/>
                <w:sz w:val="20"/>
                <w:szCs w:val="20"/>
              </w:rPr>
              <w:t>   Cost of goods sol</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377607A9" w14:textId="77777777" w:rsidR="00000000" w:rsidRDefault="00195E73">
            <w:pPr>
              <w:jc w:val="right"/>
              <w:rPr>
                <w:rFonts w:eastAsia="Times New Roman"/>
              </w:rPr>
            </w:pPr>
            <w:r>
              <w:rPr>
                <w:rFonts w:eastAsia="Times New Roman"/>
                <w:color w:val="000000"/>
                <w:sz w:val="20"/>
                <w:szCs w:val="20"/>
              </w:rPr>
              <w:t>8,212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10AA4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861FF8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949052" w14:textId="77777777" w:rsidR="00000000" w:rsidRDefault="00195E73">
            <w:pPr>
              <w:jc w:val="right"/>
              <w:rPr>
                <w:rFonts w:eastAsia="Times New Roman"/>
              </w:rPr>
            </w:pPr>
            <w:r>
              <w:rPr>
                <w:rFonts w:eastAsia="Times New Roman"/>
                <w:color w:val="000000"/>
                <w:sz w:val="20"/>
                <w:szCs w:val="20"/>
              </w:rPr>
              <w:t>9,002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8716F1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2BE610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9DF7F4" w14:textId="77777777" w:rsidR="00000000" w:rsidRDefault="00195E73">
            <w:pPr>
              <w:jc w:val="right"/>
              <w:rPr>
                <w:rFonts w:eastAsia="Times New Roman"/>
              </w:rPr>
            </w:pPr>
            <w:r>
              <w:rPr>
                <w:rFonts w:eastAsia="Times New Roman"/>
                <w:color w:val="000000"/>
                <w:sz w:val="20"/>
                <w:szCs w:val="20"/>
              </w:rPr>
              <w:t>8,220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33E296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2C641A1" w14:textId="77777777" w:rsidR="00000000" w:rsidRDefault="00195E73">
            <w:pPr>
              <w:rPr>
                <w:rFonts w:eastAsia="Times New Roman"/>
                <w:sz w:val="20"/>
                <w:szCs w:val="20"/>
              </w:rPr>
            </w:pPr>
          </w:p>
        </w:tc>
        <w:tc>
          <w:tcPr>
            <w:tcW w:w="0" w:type="auto"/>
            <w:vAlign w:val="center"/>
            <w:hideMark/>
          </w:tcPr>
          <w:p w14:paraId="3AD0C40F" w14:textId="77777777" w:rsidR="00000000" w:rsidRDefault="00195E73">
            <w:pPr>
              <w:rPr>
                <w:rFonts w:eastAsia="Times New Roman"/>
                <w:sz w:val="20"/>
                <w:szCs w:val="20"/>
              </w:rPr>
            </w:pPr>
          </w:p>
        </w:tc>
        <w:tc>
          <w:tcPr>
            <w:tcW w:w="0" w:type="auto"/>
            <w:vAlign w:val="center"/>
            <w:hideMark/>
          </w:tcPr>
          <w:p w14:paraId="75FE55FA" w14:textId="77777777" w:rsidR="00000000" w:rsidRDefault="00195E73">
            <w:pPr>
              <w:rPr>
                <w:rFonts w:eastAsia="Times New Roman"/>
                <w:sz w:val="20"/>
                <w:szCs w:val="20"/>
              </w:rPr>
            </w:pPr>
          </w:p>
        </w:tc>
        <w:tc>
          <w:tcPr>
            <w:tcW w:w="0" w:type="auto"/>
            <w:vAlign w:val="center"/>
            <w:hideMark/>
          </w:tcPr>
          <w:p w14:paraId="3935528E" w14:textId="77777777" w:rsidR="00000000" w:rsidRDefault="00195E73">
            <w:pPr>
              <w:rPr>
                <w:rFonts w:eastAsia="Times New Roman"/>
                <w:sz w:val="20"/>
                <w:szCs w:val="20"/>
              </w:rPr>
            </w:pPr>
          </w:p>
        </w:tc>
        <w:tc>
          <w:tcPr>
            <w:tcW w:w="0" w:type="auto"/>
            <w:vAlign w:val="center"/>
            <w:hideMark/>
          </w:tcPr>
          <w:p w14:paraId="4DACD971" w14:textId="77777777" w:rsidR="00000000" w:rsidRDefault="00195E73">
            <w:pPr>
              <w:rPr>
                <w:rFonts w:eastAsia="Times New Roman"/>
                <w:sz w:val="20"/>
                <w:szCs w:val="20"/>
              </w:rPr>
            </w:pPr>
          </w:p>
        </w:tc>
        <w:tc>
          <w:tcPr>
            <w:tcW w:w="0" w:type="auto"/>
            <w:vAlign w:val="center"/>
            <w:hideMark/>
          </w:tcPr>
          <w:p w14:paraId="7B1EA54E" w14:textId="77777777" w:rsidR="00000000" w:rsidRDefault="00195E73">
            <w:pPr>
              <w:rPr>
                <w:rFonts w:eastAsia="Times New Roman"/>
                <w:sz w:val="20"/>
                <w:szCs w:val="20"/>
              </w:rPr>
            </w:pPr>
          </w:p>
        </w:tc>
        <w:tc>
          <w:tcPr>
            <w:tcW w:w="0" w:type="auto"/>
            <w:vAlign w:val="center"/>
            <w:hideMark/>
          </w:tcPr>
          <w:p w14:paraId="61B898B2" w14:textId="77777777" w:rsidR="00000000" w:rsidRDefault="00195E73">
            <w:pPr>
              <w:rPr>
                <w:rFonts w:eastAsia="Times New Roman"/>
                <w:sz w:val="20"/>
                <w:szCs w:val="20"/>
              </w:rPr>
            </w:pPr>
          </w:p>
        </w:tc>
        <w:tc>
          <w:tcPr>
            <w:tcW w:w="0" w:type="auto"/>
            <w:vAlign w:val="center"/>
            <w:hideMark/>
          </w:tcPr>
          <w:p w14:paraId="01C6CC25" w14:textId="77777777" w:rsidR="00000000" w:rsidRDefault="00195E73">
            <w:pPr>
              <w:rPr>
                <w:rFonts w:eastAsia="Times New Roman"/>
                <w:sz w:val="20"/>
                <w:szCs w:val="20"/>
              </w:rPr>
            </w:pPr>
          </w:p>
        </w:tc>
        <w:tc>
          <w:tcPr>
            <w:tcW w:w="0" w:type="auto"/>
            <w:vAlign w:val="center"/>
            <w:hideMark/>
          </w:tcPr>
          <w:p w14:paraId="429254FF" w14:textId="77777777" w:rsidR="00000000" w:rsidRDefault="00195E73">
            <w:pPr>
              <w:rPr>
                <w:rFonts w:eastAsia="Times New Roman"/>
                <w:sz w:val="20"/>
                <w:szCs w:val="20"/>
              </w:rPr>
            </w:pPr>
          </w:p>
        </w:tc>
        <w:tc>
          <w:tcPr>
            <w:tcW w:w="0" w:type="auto"/>
            <w:vAlign w:val="center"/>
            <w:hideMark/>
          </w:tcPr>
          <w:p w14:paraId="02D3A544" w14:textId="77777777" w:rsidR="00000000" w:rsidRDefault="00195E73">
            <w:pPr>
              <w:rPr>
                <w:rFonts w:eastAsia="Times New Roman"/>
                <w:sz w:val="20"/>
                <w:szCs w:val="20"/>
              </w:rPr>
            </w:pPr>
          </w:p>
        </w:tc>
        <w:tc>
          <w:tcPr>
            <w:tcW w:w="0" w:type="auto"/>
            <w:vAlign w:val="center"/>
            <w:hideMark/>
          </w:tcPr>
          <w:p w14:paraId="0C77D808" w14:textId="77777777" w:rsidR="00000000" w:rsidRDefault="00195E73">
            <w:pPr>
              <w:rPr>
                <w:rFonts w:eastAsia="Times New Roman"/>
                <w:sz w:val="20"/>
                <w:szCs w:val="20"/>
              </w:rPr>
            </w:pPr>
          </w:p>
        </w:tc>
        <w:tc>
          <w:tcPr>
            <w:tcW w:w="0" w:type="auto"/>
            <w:vAlign w:val="center"/>
            <w:hideMark/>
          </w:tcPr>
          <w:p w14:paraId="6CA75278" w14:textId="77777777" w:rsidR="00000000" w:rsidRDefault="00195E73">
            <w:pPr>
              <w:rPr>
                <w:rFonts w:eastAsia="Times New Roman"/>
                <w:sz w:val="20"/>
                <w:szCs w:val="20"/>
              </w:rPr>
            </w:pPr>
          </w:p>
        </w:tc>
      </w:tr>
      <w:tr w:rsidR="00000000" w14:paraId="2A5B4C0E" w14:textId="77777777">
        <w:trPr>
          <w:divId w:val="1490097897"/>
          <w:jc w:val="center"/>
        </w:trPr>
        <w:tc>
          <w:tcPr>
            <w:tcW w:w="0" w:type="auto"/>
            <w:gridSpan w:val="3"/>
            <w:shd w:val="clear" w:color="auto" w:fill="FFFFFF"/>
            <w:tcMar>
              <w:top w:w="30" w:type="dxa"/>
              <w:left w:w="20" w:type="dxa"/>
              <w:bottom w:w="30" w:type="dxa"/>
              <w:right w:w="20" w:type="dxa"/>
            </w:tcMar>
            <w:vAlign w:val="bottom"/>
            <w:hideMark/>
          </w:tcPr>
          <w:p w14:paraId="10C059A4"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Other expenses from operation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E3BAE43" w14:textId="77777777" w:rsidR="00000000" w:rsidRDefault="00195E73">
            <w:pPr>
              <w:jc w:val="right"/>
              <w:rPr>
                <w:rFonts w:eastAsia="Times New Roman"/>
              </w:rPr>
            </w:pPr>
            <w:r>
              <w:rPr>
                <w:rFonts w:eastAsia="Times New Roman"/>
                <w:color w:val="000000"/>
                <w:sz w:val="20"/>
                <w:szCs w:val="20"/>
              </w:rPr>
              <w:t>518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299175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620ED4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3C5926" w14:textId="77777777" w:rsidR="00000000" w:rsidRDefault="00195E73">
            <w:pPr>
              <w:jc w:val="right"/>
              <w:rPr>
                <w:rFonts w:eastAsia="Times New Roman"/>
              </w:rPr>
            </w:pPr>
            <w:r>
              <w:rPr>
                <w:rFonts w:eastAsia="Times New Roman"/>
                <w:color w:val="000000"/>
                <w:sz w:val="20"/>
                <w:szCs w:val="20"/>
              </w:rPr>
              <w:t>529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E34C6C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9BB383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690B25" w14:textId="77777777" w:rsidR="00000000" w:rsidRDefault="00195E73">
            <w:pPr>
              <w:jc w:val="right"/>
              <w:rPr>
                <w:rFonts w:eastAsia="Times New Roman"/>
              </w:rPr>
            </w:pPr>
            <w:r>
              <w:rPr>
                <w:rFonts w:eastAsia="Times New Roman"/>
                <w:color w:val="000000"/>
                <w:sz w:val="20"/>
                <w:szCs w:val="20"/>
              </w:rPr>
              <w:t>518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EDD70D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03FDA19" w14:textId="77777777" w:rsidR="00000000" w:rsidRDefault="00195E73">
            <w:pPr>
              <w:rPr>
                <w:rFonts w:eastAsia="Times New Roman"/>
                <w:sz w:val="20"/>
                <w:szCs w:val="20"/>
              </w:rPr>
            </w:pPr>
          </w:p>
        </w:tc>
        <w:tc>
          <w:tcPr>
            <w:tcW w:w="0" w:type="auto"/>
            <w:vAlign w:val="center"/>
            <w:hideMark/>
          </w:tcPr>
          <w:p w14:paraId="5C9EEF09" w14:textId="77777777" w:rsidR="00000000" w:rsidRDefault="00195E73">
            <w:pPr>
              <w:rPr>
                <w:rFonts w:eastAsia="Times New Roman"/>
                <w:sz w:val="20"/>
                <w:szCs w:val="20"/>
              </w:rPr>
            </w:pPr>
          </w:p>
        </w:tc>
        <w:tc>
          <w:tcPr>
            <w:tcW w:w="0" w:type="auto"/>
            <w:vAlign w:val="center"/>
            <w:hideMark/>
          </w:tcPr>
          <w:p w14:paraId="58451325" w14:textId="77777777" w:rsidR="00000000" w:rsidRDefault="00195E73">
            <w:pPr>
              <w:rPr>
                <w:rFonts w:eastAsia="Times New Roman"/>
                <w:sz w:val="20"/>
                <w:szCs w:val="20"/>
              </w:rPr>
            </w:pPr>
          </w:p>
        </w:tc>
        <w:tc>
          <w:tcPr>
            <w:tcW w:w="0" w:type="auto"/>
            <w:vAlign w:val="center"/>
            <w:hideMark/>
          </w:tcPr>
          <w:p w14:paraId="6CFC5B57" w14:textId="77777777" w:rsidR="00000000" w:rsidRDefault="00195E73">
            <w:pPr>
              <w:rPr>
                <w:rFonts w:eastAsia="Times New Roman"/>
                <w:sz w:val="20"/>
                <w:szCs w:val="20"/>
              </w:rPr>
            </w:pPr>
          </w:p>
        </w:tc>
        <w:tc>
          <w:tcPr>
            <w:tcW w:w="0" w:type="auto"/>
            <w:vAlign w:val="center"/>
            <w:hideMark/>
          </w:tcPr>
          <w:p w14:paraId="2848FDD6" w14:textId="77777777" w:rsidR="00000000" w:rsidRDefault="00195E73">
            <w:pPr>
              <w:rPr>
                <w:rFonts w:eastAsia="Times New Roman"/>
                <w:sz w:val="20"/>
                <w:szCs w:val="20"/>
              </w:rPr>
            </w:pPr>
          </w:p>
        </w:tc>
        <w:tc>
          <w:tcPr>
            <w:tcW w:w="0" w:type="auto"/>
            <w:vAlign w:val="center"/>
            <w:hideMark/>
          </w:tcPr>
          <w:p w14:paraId="133EBD82" w14:textId="77777777" w:rsidR="00000000" w:rsidRDefault="00195E73">
            <w:pPr>
              <w:rPr>
                <w:rFonts w:eastAsia="Times New Roman"/>
                <w:sz w:val="20"/>
                <w:szCs w:val="20"/>
              </w:rPr>
            </w:pPr>
          </w:p>
        </w:tc>
        <w:tc>
          <w:tcPr>
            <w:tcW w:w="0" w:type="auto"/>
            <w:vAlign w:val="center"/>
            <w:hideMark/>
          </w:tcPr>
          <w:p w14:paraId="68F8D1A2" w14:textId="77777777" w:rsidR="00000000" w:rsidRDefault="00195E73">
            <w:pPr>
              <w:rPr>
                <w:rFonts w:eastAsia="Times New Roman"/>
                <w:sz w:val="20"/>
                <w:szCs w:val="20"/>
              </w:rPr>
            </w:pPr>
          </w:p>
        </w:tc>
        <w:tc>
          <w:tcPr>
            <w:tcW w:w="0" w:type="auto"/>
            <w:vAlign w:val="center"/>
            <w:hideMark/>
          </w:tcPr>
          <w:p w14:paraId="2C8F108A" w14:textId="77777777" w:rsidR="00000000" w:rsidRDefault="00195E73">
            <w:pPr>
              <w:rPr>
                <w:rFonts w:eastAsia="Times New Roman"/>
                <w:sz w:val="20"/>
                <w:szCs w:val="20"/>
              </w:rPr>
            </w:pPr>
          </w:p>
        </w:tc>
        <w:tc>
          <w:tcPr>
            <w:tcW w:w="0" w:type="auto"/>
            <w:vAlign w:val="center"/>
            <w:hideMark/>
          </w:tcPr>
          <w:p w14:paraId="077A4C10" w14:textId="77777777" w:rsidR="00000000" w:rsidRDefault="00195E73">
            <w:pPr>
              <w:rPr>
                <w:rFonts w:eastAsia="Times New Roman"/>
                <w:sz w:val="20"/>
                <w:szCs w:val="20"/>
              </w:rPr>
            </w:pPr>
          </w:p>
        </w:tc>
        <w:tc>
          <w:tcPr>
            <w:tcW w:w="0" w:type="auto"/>
            <w:vAlign w:val="center"/>
            <w:hideMark/>
          </w:tcPr>
          <w:p w14:paraId="79C4B1B0" w14:textId="77777777" w:rsidR="00000000" w:rsidRDefault="00195E73">
            <w:pPr>
              <w:rPr>
                <w:rFonts w:eastAsia="Times New Roman"/>
                <w:sz w:val="20"/>
                <w:szCs w:val="20"/>
              </w:rPr>
            </w:pPr>
          </w:p>
        </w:tc>
        <w:tc>
          <w:tcPr>
            <w:tcW w:w="0" w:type="auto"/>
            <w:vAlign w:val="center"/>
            <w:hideMark/>
          </w:tcPr>
          <w:p w14:paraId="09E1AFC4" w14:textId="77777777" w:rsidR="00000000" w:rsidRDefault="00195E73">
            <w:pPr>
              <w:rPr>
                <w:rFonts w:eastAsia="Times New Roman"/>
                <w:sz w:val="20"/>
                <w:szCs w:val="20"/>
              </w:rPr>
            </w:pPr>
          </w:p>
        </w:tc>
        <w:tc>
          <w:tcPr>
            <w:tcW w:w="0" w:type="auto"/>
            <w:vAlign w:val="center"/>
            <w:hideMark/>
          </w:tcPr>
          <w:p w14:paraId="3220AB60" w14:textId="77777777" w:rsidR="00000000" w:rsidRDefault="00195E73">
            <w:pPr>
              <w:rPr>
                <w:rFonts w:eastAsia="Times New Roman"/>
                <w:sz w:val="20"/>
                <w:szCs w:val="20"/>
              </w:rPr>
            </w:pPr>
          </w:p>
        </w:tc>
      </w:tr>
      <w:tr w:rsidR="00000000" w14:paraId="7468AAD7" w14:textId="77777777">
        <w:trPr>
          <w:divId w:val="1490097897"/>
          <w:jc w:val="center"/>
        </w:trPr>
        <w:tc>
          <w:tcPr>
            <w:tcW w:w="0" w:type="auto"/>
            <w:gridSpan w:val="3"/>
            <w:shd w:val="clear" w:color="auto" w:fill="CCEEFF"/>
            <w:tcMar>
              <w:top w:w="30" w:type="dxa"/>
              <w:left w:w="20" w:type="dxa"/>
              <w:bottom w:w="30" w:type="dxa"/>
              <w:right w:w="20" w:type="dxa"/>
            </w:tcMar>
            <w:vAlign w:val="bottom"/>
            <w:hideMark/>
          </w:tcPr>
          <w:p w14:paraId="0B81882F" w14:textId="77777777" w:rsidR="00000000" w:rsidRDefault="00195E73">
            <w:pPr>
              <w:rPr>
                <w:rFonts w:eastAsia="Times New Roman"/>
              </w:rPr>
            </w:pPr>
            <w:r>
              <w:rPr>
                <w:rFonts w:eastAsia="Times New Roman"/>
                <w:color w:val="000000"/>
                <w:sz w:val="20"/>
                <w:szCs w:val="20"/>
              </w:rPr>
              <w:t>   Selling, general and administrativ</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0352376A" w14:textId="77777777" w:rsidR="00000000" w:rsidRDefault="00195E73">
            <w:pPr>
              <w:jc w:val="right"/>
              <w:rPr>
                <w:rFonts w:eastAsia="Times New Roman"/>
              </w:rPr>
            </w:pPr>
            <w:r>
              <w:rPr>
                <w:rFonts w:eastAsia="Times New Roman"/>
                <w:color w:val="000000"/>
                <w:sz w:val="20"/>
                <w:szCs w:val="20"/>
              </w:rPr>
              <w:t>1,376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42483C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7E0FBF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2FB8F8" w14:textId="77777777" w:rsidR="00000000" w:rsidRDefault="00195E73">
            <w:pPr>
              <w:jc w:val="right"/>
              <w:rPr>
                <w:rFonts w:eastAsia="Times New Roman"/>
              </w:rPr>
            </w:pPr>
            <w:r>
              <w:rPr>
                <w:rFonts w:eastAsia="Times New Roman"/>
                <w:color w:val="000000"/>
                <w:sz w:val="20"/>
                <w:szCs w:val="20"/>
              </w:rPr>
              <w:t>1,386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AD7E92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8182EB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C43EF9" w14:textId="77777777" w:rsidR="00000000" w:rsidRDefault="00195E73">
            <w:pPr>
              <w:jc w:val="right"/>
              <w:rPr>
                <w:rFonts w:eastAsia="Times New Roman"/>
              </w:rPr>
            </w:pPr>
            <w:r>
              <w:rPr>
                <w:rFonts w:eastAsia="Times New Roman"/>
                <w:color w:val="000000"/>
                <w:sz w:val="20"/>
                <w:szCs w:val="20"/>
              </w:rPr>
              <w:t>1,269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DB0CE4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2E5F1A0" w14:textId="77777777" w:rsidR="00000000" w:rsidRDefault="00195E73">
            <w:pPr>
              <w:rPr>
                <w:rFonts w:eastAsia="Times New Roman"/>
                <w:sz w:val="20"/>
                <w:szCs w:val="20"/>
              </w:rPr>
            </w:pPr>
          </w:p>
        </w:tc>
        <w:tc>
          <w:tcPr>
            <w:tcW w:w="0" w:type="auto"/>
            <w:vAlign w:val="center"/>
            <w:hideMark/>
          </w:tcPr>
          <w:p w14:paraId="3A7368C2" w14:textId="77777777" w:rsidR="00000000" w:rsidRDefault="00195E73">
            <w:pPr>
              <w:rPr>
                <w:rFonts w:eastAsia="Times New Roman"/>
                <w:sz w:val="20"/>
                <w:szCs w:val="20"/>
              </w:rPr>
            </w:pPr>
          </w:p>
        </w:tc>
        <w:tc>
          <w:tcPr>
            <w:tcW w:w="0" w:type="auto"/>
            <w:vAlign w:val="center"/>
            <w:hideMark/>
          </w:tcPr>
          <w:p w14:paraId="7886A7F3" w14:textId="77777777" w:rsidR="00000000" w:rsidRDefault="00195E73">
            <w:pPr>
              <w:rPr>
                <w:rFonts w:eastAsia="Times New Roman"/>
                <w:sz w:val="20"/>
                <w:szCs w:val="20"/>
              </w:rPr>
            </w:pPr>
          </w:p>
        </w:tc>
        <w:tc>
          <w:tcPr>
            <w:tcW w:w="0" w:type="auto"/>
            <w:vAlign w:val="center"/>
            <w:hideMark/>
          </w:tcPr>
          <w:p w14:paraId="60E60E6F" w14:textId="77777777" w:rsidR="00000000" w:rsidRDefault="00195E73">
            <w:pPr>
              <w:rPr>
                <w:rFonts w:eastAsia="Times New Roman"/>
                <w:sz w:val="20"/>
                <w:szCs w:val="20"/>
              </w:rPr>
            </w:pPr>
          </w:p>
        </w:tc>
        <w:tc>
          <w:tcPr>
            <w:tcW w:w="0" w:type="auto"/>
            <w:vAlign w:val="center"/>
            <w:hideMark/>
          </w:tcPr>
          <w:p w14:paraId="74C4AD96" w14:textId="77777777" w:rsidR="00000000" w:rsidRDefault="00195E73">
            <w:pPr>
              <w:rPr>
                <w:rFonts w:eastAsia="Times New Roman"/>
                <w:sz w:val="20"/>
                <w:szCs w:val="20"/>
              </w:rPr>
            </w:pPr>
          </w:p>
        </w:tc>
        <w:tc>
          <w:tcPr>
            <w:tcW w:w="0" w:type="auto"/>
            <w:vAlign w:val="center"/>
            <w:hideMark/>
          </w:tcPr>
          <w:p w14:paraId="38443799" w14:textId="77777777" w:rsidR="00000000" w:rsidRDefault="00195E73">
            <w:pPr>
              <w:rPr>
                <w:rFonts w:eastAsia="Times New Roman"/>
                <w:sz w:val="20"/>
                <w:szCs w:val="20"/>
              </w:rPr>
            </w:pPr>
          </w:p>
        </w:tc>
        <w:tc>
          <w:tcPr>
            <w:tcW w:w="0" w:type="auto"/>
            <w:vAlign w:val="center"/>
            <w:hideMark/>
          </w:tcPr>
          <w:p w14:paraId="2C15B5D6" w14:textId="77777777" w:rsidR="00000000" w:rsidRDefault="00195E73">
            <w:pPr>
              <w:rPr>
                <w:rFonts w:eastAsia="Times New Roman"/>
                <w:sz w:val="20"/>
                <w:szCs w:val="20"/>
              </w:rPr>
            </w:pPr>
          </w:p>
        </w:tc>
        <w:tc>
          <w:tcPr>
            <w:tcW w:w="0" w:type="auto"/>
            <w:vAlign w:val="center"/>
            <w:hideMark/>
          </w:tcPr>
          <w:p w14:paraId="57ED90A2" w14:textId="77777777" w:rsidR="00000000" w:rsidRDefault="00195E73">
            <w:pPr>
              <w:rPr>
                <w:rFonts w:eastAsia="Times New Roman"/>
                <w:sz w:val="20"/>
                <w:szCs w:val="20"/>
              </w:rPr>
            </w:pPr>
          </w:p>
        </w:tc>
        <w:tc>
          <w:tcPr>
            <w:tcW w:w="0" w:type="auto"/>
            <w:vAlign w:val="center"/>
            <w:hideMark/>
          </w:tcPr>
          <w:p w14:paraId="4FD2720A" w14:textId="77777777" w:rsidR="00000000" w:rsidRDefault="00195E73">
            <w:pPr>
              <w:rPr>
                <w:rFonts w:eastAsia="Times New Roman"/>
                <w:sz w:val="20"/>
                <w:szCs w:val="20"/>
              </w:rPr>
            </w:pPr>
          </w:p>
        </w:tc>
        <w:tc>
          <w:tcPr>
            <w:tcW w:w="0" w:type="auto"/>
            <w:vAlign w:val="center"/>
            <w:hideMark/>
          </w:tcPr>
          <w:p w14:paraId="576DC5A5" w14:textId="77777777" w:rsidR="00000000" w:rsidRDefault="00195E73">
            <w:pPr>
              <w:rPr>
                <w:rFonts w:eastAsia="Times New Roman"/>
                <w:sz w:val="20"/>
                <w:szCs w:val="20"/>
              </w:rPr>
            </w:pPr>
          </w:p>
        </w:tc>
        <w:tc>
          <w:tcPr>
            <w:tcW w:w="0" w:type="auto"/>
            <w:vAlign w:val="center"/>
            <w:hideMark/>
          </w:tcPr>
          <w:p w14:paraId="294426E1" w14:textId="77777777" w:rsidR="00000000" w:rsidRDefault="00195E73">
            <w:pPr>
              <w:rPr>
                <w:rFonts w:eastAsia="Times New Roman"/>
                <w:sz w:val="20"/>
                <w:szCs w:val="20"/>
              </w:rPr>
            </w:pPr>
          </w:p>
        </w:tc>
        <w:tc>
          <w:tcPr>
            <w:tcW w:w="0" w:type="auto"/>
            <w:vAlign w:val="center"/>
            <w:hideMark/>
          </w:tcPr>
          <w:p w14:paraId="36945AB5" w14:textId="77777777" w:rsidR="00000000" w:rsidRDefault="00195E73">
            <w:pPr>
              <w:rPr>
                <w:rFonts w:eastAsia="Times New Roman"/>
                <w:sz w:val="20"/>
                <w:szCs w:val="20"/>
              </w:rPr>
            </w:pPr>
          </w:p>
        </w:tc>
      </w:tr>
      <w:tr w:rsidR="00000000" w14:paraId="62659341" w14:textId="77777777">
        <w:trPr>
          <w:divId w:val="1490097897"/>
          <w:jc w:val="center"/>
        </w:trPr>
        <w:tc>
          <w:tcPr>
            <w:tcW w:w="0" w:type="auto"/>
            <w:gridSpan w:val="3"/>
            <w:shd w:val="clear" w:color="auto" w:fill="FFFFFF"/>
            <w:tcMar>
              <w:top w:w="30" w:type="dxa"/>
              <w:left w:w="20" w:type="dxa"/>
              <w:bottom w:w="30" w:type="dxa"/>
              <w:right w:w="20" w:type="dxa"/>
            </w:tcMar>
            <w:vAlign w:val="bottom"/>
            <w:hideMark/>
          </w:tcPr>
          <w:p w14:paraId="6E6EF92E" w14:textId="77777777" w:rsidR="00000000" w:rsidRDefault="00195E73">
            <w:pPr>
              <w:rPr>
                <w:rFonts w:eastAsia="Times New Roman"/>
              </w:rPr>
            </w:pPr>
            <w:r>
              <w:rPr>
                <w:rFonts w:eastAsia="Times New Roman"/>
                <w:color w:val="000000"/>
                <w:sz w:val="20"/>
                <w:szCs w:val="20"/>
              </w:rPr>
              <w:t>   Restructurin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14:paraId="325A5C50" w14:textId="77777777" w:rsidR="00000000" w:rsidRDefault="00195E73">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F94339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38D03F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DE3D8C" w14:textId="77777777" w:rsidR="00000000" w:rsidRDefault="00195E73">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FEC18C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F7E3F0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4437F2"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923217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3C6E6C9" w14:textId="77777777" w:rsidR="00000000" w:rsidRDefault="00195E73">
            <w:pPr>
              <w:rPr>
                <w:rFonts w:eastAsia="Times New Roman"/>
                <w:sz w:val="20"/>
                <w:szCs w:val="20"/>
              </w:rPr>
            </w:pPr>
          </w:p>
        </w:tc>
        <w:tc>
          <w:tcPr>
            <w:tcW w:w="0" w:type="auto"/>
            <w:vAlign w:val="center"/>
            <w:hideMark/>
          </w:tcPr>
          <w:p w14:paraId="409074BA" w14:textId="77777777" w:rsidR="00000000" w:rsidRDefault="00195E73">
            <w:pPr>
              <w:rPr>
                <w:rFonts w:eastAsia="Times New Roman"/>
                <w:sz w:val="20"/>
                <w:szCs w:val="20"/>
              </w:rPr>
            </w:pPr>
          </w:p>
        </w:tc>
        <w:tc>
          <w:tcPr>
            <w:tcW w:w="0" w:type="auto"/>
            <w:vAlign w:val="center"/>
            <w:hideMark/>
          </w:tcPr>
          <w:p w14:paraId="00DAD6E5" w14:textId="77777777" w:rsidR="00000000" w:rsidRDefault="00195E73">
            <w:pPr>
              <w:rPr>
                <w:rFonts w:eastAsia="Times New Roman"/>
                <w:sz w:val="20"/>
                <w:szCs w:val="20"/>
              </w:rPr>
            </w:pPr>
          </w:p>
        </w:tc>
        <w:tc>
          <w:tcPr>
            <w:tcW w:w="0" w:type="auto"/>
            <w:vAlign w:val="center"/>
            <w:hideMark/>
          </w:tcPr>
          <w:p w14:paraId="6672C211" w14:textId="77777777" w:rsidR="00000000" w:rsidRDefault="00195E73">
            <w:pPr>
              <w:rPr>
                <w:rFonts w:eastAsia="Times New Roman"/>
                <w:sz w:val="20"/>
                <w:szCs w:val="20"/>
              </w:rPr>
            </w:pPr>
          </w:p>
        </w:tc>
        <w:tc>
          <w:tcPr>
            <w:tcW w:w="0" w:type="auto"/>
            <w:vAlign w:val="center"/>
            <w:hideMark/>
          </w:tcPr>
          <w:p w14:paraId="5B8BECD4" w14:textId="77777777" w:rsidR="00000000" w:rsidRDefault="00195E73">
            <w:pPr>
              <w:rPr>
                <w:rFonts w:eastAsia="Times New Roman"/>
                <w:sz w:val="20"/>
                <w:szCs w:val="20"/>
              </w:rPr>
            </w:pPr>
          </w:p>
        </w:tc>
        <w:tc>
          <w:tcPr>
            <w:tcW w:w="0" w:type="auto"/>
            <w:vAlign w:val="center"/>
            <w:hideMark/>
          </w:tcPr>
          <w:p w14:paraId="2209607A" w14:textId="77777777" w:rsidR="00000000" w:rsidRDefault="00195E73">
            <w:pPr>
              <w:rPr>
                <w:rFonts w:eastAsia="Times New Roman"/>
                <w:sz w:val="20"/>
                <w:szCs w:val="20"/>
              </w:rPr>
            </w:pPr>
          </w:p>
        </w:tc>
        <w:tc>
          <w:tcPr>
            <w:tcW w:w="0" w:type="auto"/>
            <w:vAlign w:val="center"/>
            <w:hideMark/>
          </w:tcPr>
          <w:p w14:paraId="5CC6EB88" w14:textId="77777777" w:rsidR="00000000" w:rsidRDefault="00195E73">
            <w:pPr>
              <w:rPr>
                <w:rFonts w:eastAsia="Times New Roman"/>
                <w:sz w:val="20"/>
                <w:szCs w:val="20"/>
              </w:rPr>
            </w:pPr>
          </w:p>
        </w:tc>
        <w:tc>
          <w:tcPr>
            <w:tcW w:w="0" w:type="auto"/>
            <w:vAlign w:val="center"/>
            <w:hideMark/>
          </w:tcPr>
          <w:p w14:paraId="5646979F" w14:textId="77777777" w:rsidR="00000000" w:rsidRDefault="00195E73">
            <w:pPr>
              <w:rPr>
                <w:rFonts w:eastAsia="Times New Roman"/>
                <w:sz w:val="20"/>
                <w:szCs w:val="20"/>
              </w:rPr>
            </w:pPr>
          </w:p>
        </w:tc>
        <w:tc>
          <w:tcPr>
            <w:tcW w:w="0" w:type="auto"/>
            <w:vAlign w:val="center"/>
            <w:hideMark/>
          </w:tcPr>
          <w:p w14:paraId="6D339915" w14:textId="77777777" w:rsidR="00000000" w:rsidRDefault="00195E73">
            <w:pPr>
              <w:rPr>
                <w:rFonts w:eastAsia="Times New Roman"/>
                <w:sz w:val="20"/>
                <w:szCs w:val="20"/>
              </w:rPr>
            </w:pPr>
          </w:p>
        </w:tc>
        <w:tc>
          <w:tcPr>
            <w:tcW w:w="0" w:type="auto"/>
            <w:vAlign w:val="center"/>
            <w:hideMark/>
          </w:tcPr>
          <w:p w14:paraId="6F84B12A" w14:textId="77777777" w:rsidR="00000000" w:rsidRDefault="00195E73">
            <w:pPr>
              <w:rPr>
                <w:rFonts w:eastAsia="Times New Roman"/>
                <w:sz w:val="20"/>
                <w:szCs w:val="20"/>
              </w:rPr>
            </w:pPr>
          </w:p>
        </w:tc>
        <w:tc>
          <w:tcPr>
            <w:tcW w:w="0" w:type="auto"/>
            <w:vAlign w:val="center"/>
            <w:hideMark/>
          </w:tcPr>
          <w:p w14:paraId="508D7FE2" w14:textId="77777777" w:rsidR="00000000" w:rsidRDefault="00195E73">
            <w:pPr>
              <w:rPr>
                <w:rFonts w:eastAsia="Times New Roman"/>
                <w:sz w:val="20"/>
                <w:szCs w:val="20"/>
              </w:rPr>
            </w:pPr>
          </w:p>
        </w:tc>
        <w:tc>
          <w:tcPr>
            <w:tcW w:w="0" w:type="auto"/>
            <w:vAlign w:val="center"/>
            <w:hideMark/>
          </w:tcPr>
          <w:p w14:paraId="5F6FE308" w14:textId="77777777" w:rsidR="00000000" w:rsidRDefault="00195E73">
            <w:pPr>
              <w:rPr>
                <w:rFonts w:eastAsia="Times New Roman"/>
                <w:sz w:val="20"/>
                <w:szCs w:val="20"/>
              </w:rPr>
            </w:pPr>
          </w:p>
        </w:tc>
      </w:tr>
      <w:tr w:rsidR="00000000" w14:paraId="4B619548" w14:textId="77777777">
        <w:trPr>
          <w:divId w:val="1490097897"/>
          <w:jc w:val="center"/>
        </w:trPr>
        <w:tc>
          <w:tcPr>
            <w:tcW w:w="0" w:type="auto"/>
            <w:gridSpan w:val="3"/>
            <w:shd w:val="clear" w:color="auto" w:fill="CCEEFF"/>
            <w:tcMar>
              <w:top w:w="30" w:type="dxa"/>
              <w:left w:w="20" w:type="dxa"/>
              <w:bottom w:w="30" w:type="dxa"/>
              <w:right w:w="20" w:type="dxa"/>
            </w:tcMar>
            <w:vAlign w:val="bottom"/>
            <w:hideMark/>
          </w:tcPr>
          <w:p w14:paraId="6DCF0D49" w14:textId="77777777" w:rsidR="00000000" w:rsidRDefault="00195E73">
            <w:pPr>
              <w:rPr>
                <w:rFonts w:eastAsia="Times New Roman"/>
              </w:rPr>
            </w:pPr>
            <w:r>
              <w:rPr>
                <w:rFonts w:eastAsia="Times New Roman"/>
                <w:color w:val="000000"/>
                <w:sz w:val="20"/>
                <w:szCs w:val="20"/>
              </w:rPr>
              <w:t>   Impairmen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3B3DA035"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37E04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8A4DC0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994A77" w14:textId="77777777" w:rsidR="00000000" w:rsidRDefault="00195E73">
            <w:pPr>
              <w:jc w:val="right"/>
              <w:rPr>
                <w:rFonts w:eastAsia="Times New Roman"/>
              </w:rPr>
            </w:pPr>
            <w:r>
              <w:rPr>
                <w:rFonts w:eastAsia="Times New Roman"/>
                <w:color w:val="000000"/>
                <w:sz w:val="20"/>
                <w:szCs w:val="20"/>
              </w:rPr>
              <w:t>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ECA75D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818C02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9097C6" w14:textId="77777777" w:rsidR="00000000" w:rsidRDefault="00195E73">
            <w:pPr>
              <w:jc w:val="right"/>
              <w:rPr>
                <w:rFonts w:eastAsia="Times New Roman"/>
              </w:rPr>
            </w:pPr>
            <w:r>
              <w:rPr>
                <w:rFonts w:eastAsia="Times New Roman"/>
                <w:color w:val="000000"/>
                <w:sz w:val="20"/>
                <w:szCs w:val="20"/>
              </w:rPr>
              <w:t>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E1B473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7880356" w14:textId="77777777" w:rsidR="00000000" w:rsidRDefault="00195E73">
            <w:pPr>
              <w:rPr>
                <w:rFonts w:eastAsia="Times New Roman"/>
                <w:sz w:val="20"/>
                <w:szCs w:val="20"/>
              </w:rPr>
            </w:pPr>
          </w:p>
        </w:tc>
        <w:tc>
          <w:tcPr>
            <w:tcW w:w="0" w:type="auto"/>
            <w:vAlign w:val="center"/>
            <w:hideMark/>
          </w:tcPr>
          <w:p w14:paraId="37F4EBE9" w14:textId="77777777" w:rsidR="00000000" w:rsidRDefault="00195E73">
            <w:pPr>
              <w:rPr>
                <w:rFonts w:eastAsia="Times New Roman"/>
                <w:sz w:val="20"/>
                <w:szCs w:val="20"/>
              </w:rPr>
            </w:pPr>
          </w:p>
        </w:tc>
        <w:tc>
          <w:tcPr>
            <w:tcW w:w="0" w:type="auto"/>
            <w:vAlign w:val="center"/>
            <w:hideMark/>
          </w:tcPr>
          <w:p w14:paraId="4A0B1240" w14:textId="77777777" w:rsidR="00000000" w:rsidRDefault="00195E73">
            <w:pPr>
              <w:rPr>
                <w:rFonts w:eastAsia="Times New Roman"/>
                <w:sz w:val="20"/>
                <w:szCs w:val="20"/>
              </w:rPr>
            </w:pPr>
          </w:p>
        </w:tc>
        <w:tc>
          <w:tcPr>
            <w:tcW w:w="0" w:type="auto"/>
            <w:vAlign w:val="center"/>
            <w:hideMark/>
          </w:tcPr>
          <w:p w14:paraId="25C7FB77" w14:textId="77777777" w:rsidR="00000000" w:rsidRDefault="00195E73">
            <w:pPr>
              <w:rPr>
                <w:rFonts w:eastAsia="Times New Roman"/>
                <w:sz w:val="20"/>
                <w:szCs w:val="20"/>
              </w:rPr>
            </w:pPr>
          </w:p>
        </w:tc>
        <w:tc>
          <w:tcPr>
            <w:tcW w:w="0" w:type="auto"/>
            <w:vAlign w:val="center"/>
            <w:hideMark/>
          </w:tcPr>
          <w:p w14:paraId="0406D262" w14:textId="77777777" w:rsidR="00000000" w:rsidRDefault="00195E73">
            <w:pPr>
              <w:rPr>
                <w:rFonts w:eastAsia="Times New Roman"/>
                <w:sz w:val="20"/>
                <w:szCs w:val="20"/>
              </w:rPr>
            </w:pPr>
          </w:p>
        </w:tc>
        <w:tc>
          <w:tcPr>
            <w:tcW w:w="0" w:type="auto"/>
            <w:vAlign w:val="center"/>
            <w:hideMark/>
          </w:tcPr>
          <w:p w14:paraId="14C1BE64" w14:textId="77777777" w:rsidR="00000000" w:rsidRDefault="00195E73">
            <w:pPr>
              <w:rPr>
                <w:rFonts w:eastAsia="Times New Roman"/>
                <w:sz w:val="20"/>
                <w:szCs w:val="20"/>
              </w:rPr>
            </w:pPr>
          </w:p>
        </w:tc>
        <w:tc>
          <w:tcPr>
            <w:tcW w:w="0" w:type="auto"/>
            <w:vAlign w:val="center"/>
            <w:hideMark/>
          </w:tcPr>
          <w:p w14:paraId="67B1AC10" w14:textId="77777777" w:rsidR="00000000" w:rsidRDefault="00195E73">
            <w:pPr>
              <w:rPr>
                <w:rFonts w:eastAsia="Times New Roman"/>
                <w:sz w:val="20"/>
                <w:szCs w:val="20"/>
              </w:rPr>
            </w:pPr>
          </w:p>
        </w:tc>
        <w:tc>
          <w:tcPr>
            <w:tcW w:w="0" w:type="auto"/>
            <w:vAlign w:val="center"/>
            <w:hideMark/>
          </w:tcPr>
          <w:p w14:paraId="2622C252" w14:textId="77777777" w:rsidR="00000000" w:rsidRDefault="00195E73">
            <w:pPr>
              <w:rPr>
                <w:rFonts w:eastAsia="Times New Roman"/>
                <w:sz w:val="20"/>
                <w:szCs w:val="20"/>
              </w:rPr>
            </w:pPr>
          </w:p>
        </w:tc>
        <w:tc>
          <w:tcPr>
            <w:tcW w:w="0" w:type="auto"/>
            <w:vAlign w:val="center"/>
            <w:hideMark/>
          </w:tcPr>
          <w:p w14:paraId="1E859BD5" w14:textId="77777777" w:rsidR="00000000" w:rsidRDefault="00195E73">
            <w:pPr>
              <w:rPr>
                <w:rFonts w:eastAsia="Times New Roman"/>
                <w:sz w:val="20"/>
                <w:szCs w:val="20"/>
              </w:rPr>
            </w:pPr>
          </w:p>
        </w:tc>
        <w:tc>
          <w:tcPr>
            <w:tcW w:w="0" w:type="auto"/>
            <w:vAlign w:val="center"/>
            <w:hideMark/>
          </w:tcPr>
          <w:p w14:paraId="06B7FE45" w14:textId="77777777" w:rsidR="00000000" w:rsidRDefault="00195E73">
            <w:pPr>
              <w:rPr>
                <w:rFonts w:eastAsia="Times New Roman"/>
                <w:sz w:val="20"/>
                <w:szCs w:val="20"/>
              </w:rPr>
            </w:pPr>
          </w:p>
        </w:tc>
        <w:tc>
          <w:tcPr>
            <w:tcW w:w="0" w:type="auto"/>
            <w:vAlign w:val="center"/>
            <w:hideMark/>
          </w:tcPr>
          <w:p w14:paraId="5BA23FE8" w14:textId="77777777" w:rsidR="00000000" w:rsidRDefault="00195E73">
            <w:pPr>
              <w:rPr>
                <w:rFonts w:eastAsia="Times New Roman"/>
                <w:sz w:val="20"/>
                <w:szCs w:val="20"/>
              </w:rPr>
            </w:pPr>
          </w:p>
        </w:tc>
        <w:tc>
          <w:tcPr>
            <w:tcW w:w="0" w:type="auto"/>
            <w:vAlign w:val="center"/>
            <w:hideMark/>
          </w:tcPr>
          <w:p w14:paraId="7A7A92E0" w14:textId="77777777" w:rsidR="00000000" w:rsidRDefault="00195E73">
            <w:pPr>
              <w:rPr>
                <w:rFonts w:eastAsia="Times New Roman"/>
                <w:sz w:val="20"/>
                <w:szCs w:val="20"/>
              </w:rPr>
            </w:pPr>
          </w:p>
        </w:tc>
      </w:tr>
      <w:tr w:rsidR="00000000" w14:paraId="539BEAE3" w14:textId="77777777">
        <w:trPr>
          <w:divId w:val="1490097897"/>
          <w:jc w:val="center"/>
        </w:trPr>
        <w:tc>
          <w:tcPr>
            <w:tcW w:w="0" w:type="auto"/>
            <w:gridSpan w:val="3"/>
            <w:shd w:val="clear" w:color="auto" w:fill="FFFFFF"/>
            <w:tcMar>
              <w:top w:w="30" w:type="dxa"/>
              <w:left w:w="20" w:type="dxa"/>
              <w:bottom w:w="30" w:type="dxa"/>
              <w:right w:w="20" w:type="dxa"/>
            </w:tcMar>
            <w:vAlign w:val="bottom"/>
            <w:hideMark/>
          </w:tcPr>
          <w:p w14:paraId="79A8D95F" w14:textId="77777777" w:rsidR="00000000" w:rsidRDefault="00195E73">
            <w:pPr>
              <w:rPr>
                <w:rFonts w:eastAsia="Times New Roman"/>
              </w:rPr>
            </w:pPr>
            <w:r>
              <w:rPr>
                <w:rFonts w:eastAsia="Times New Roman"/>
                <w:color w:val="000000"/>
                <w:sz w:val="20"/>
                <w:szCs w:val="20"/>
              </w:rPr>
              <w:t>   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5DA81921" w14:textId="77777777" w:rsidR="00000000" w:rsidRDefault="00195E73">
            <w:pPr>
              <w:jc w:val="right"/>
              <w:rPr>
                <w:rFonts w:eastAsia="Times New Roman"/>
              </w:rPr>
            </w:pPr>
            <w:r>
              <w:rPr>
                <w:rFonts w:eastAsia="Times New Roman"/>
                <w:color w:val="000000"/>
                <w:sz w:val="20"/>
                <w:szCs w:val="20"/>
              </w:rPr>
              <w:t>604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4D8FE8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3A8437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316408" w14:textId="77777777" w:rsidR="00000000" w:rsidRDefault="00195E73">
            <w:pPr>
              <w:jc w:val="right"/>
              <w:rPr>
                <w:rFonts w:eastAsia="Times New Roman"/>
              </w:rPr>
            </w:pPr>
            <w:r>
              <w:rPr>
                <w:rFonts w:eastAsia="Times New Roman"/>
                <w:color w:val="000000"/>
                <w:sz w:val="20"/>
                <w:szCs w:val="20"/>
              </w:rPr>
              <w:t>523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6D7500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D264DE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874839" w14:textId="77777777" w:rsidR="00000000" w:rsidRDefault="00195E73">
            <w:pPr>
              <w:jc w:val="right"/>
              <w:rPr>
                <w:rFonts w:eastAsia="Times New Roman"/>
              </w:rPr>
            </w:pPr>
            <w:r>
              <w:rPr>
                <w:rFonts w:eastAsia="Times New Roman"/>
                <w:color w:val="000000"/>
                <w:sz w:val="20"/>
                <w:szCs w:val="20"/>
              </w:rPr>
              <w:t>653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DEA7A1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75B8858" w14:textId="77777777" w:rsidR="00000000" w:rsidRDefault="00195E73">
            <w:pPr>
              <w:rPr>
                <w:rFonts w:eastAsia="Times New Roman"/>
                <w:sz w:val="20"/>
                <w:szCs w:val="20"/>
              </w:rPr>
            </w:pPr>
          </w:p>
        </w:tc>
        <w:tc>
          <w:tcPr>
            <w:tcW w:w="0" w:type="auto"/>
            <w:vAlign w:val="center"/>
            <w:hideMark/>
          </w:tcPr>
          <w:p w14:paraId="0D8A81B2" w14:textId="77777777" w:rsidR="00000000" w:rsidRDefault="00195E73">
            <w:pPr>
              <w:rPr>
                <w:rFonts w:eastAsia="Times New Roman"/>
                <w:sz w:val="20"/>
                <w:szCs w:val="20"/>
              </w:rPr>
            </w:pPr>
          </w:p>
        </w:tc>
        <w:tc>
          <w:tcPr>
            <w:tcW w:w="0" w:type="auto"/>
            <w:vAlign w:val="center"/>
            <w:hideMark/>
          </w:tcPr>
          <w:p w14:paraId="159E4888" w14:textId="77777777" w:rsidR="00000000" w:rsidRDefault="00195E73">
            <w:pPr>
              <w:rPr>
                <w:rFonts w:eastAsia="Times New Roman"/>
                <w:sz w:val="20"/>
                <w:szCs w:val="20"/>
              </w:rPr>
            </w:pPr>
          </w:p>
        </w:tc>
        <w:tc>
          <w:tcPr>
            <w:tcW w:w="0" w:type="auto"/>
            <w:vAlign w:val="center"/>
            <w:hideMark/>
          </w:tcPr>
          <w:p w14:paraId="74514C17" w14:textId="77777777" w:rsidR="00000000" w:rsidRDefault="00195E73">
            <w:pPr>
              <w:rPr>
                <w:rFonts w:eastAsia="Times New Roman"/>
                <w:sz w:val="20"/>
                <w:szCs w:val="20"/>
              </w:rPr>
            </w:pPr>
          </w:p>
        </w:tc>
        <w:tc>
          <w:tcPr>
            <w:tcW w:w="0" w:type="auto"/>
            <w:vAlign w:val="center"/>
            <w:hideMark/>
          </w:tcPr>
          <w:p w14:paraId="6DE10185" w14:textId="77777777" w:rsidR="00000000" w:rsidRDefault="00195E73">
            <w:pPr>
              <w:rPr>
                <w:rFonts w:eastAsia="Times New Roman"/>
                <w:sz w:val="20"/>
                <w:szCs w:val="20"/>
              </w:rPr>
            </w:pPr>
          </w:p>
        </w:tc>
        <w:tc>
          <w:tcPr>
            <w:tcW w:w="0" w:type="auto"/>
            <w:vAlign w:val="center"/>
            <w:hideMark/>
          </w:tcPr>
          <w:p w14:paraId="6C042C32" w14:textId="77777777" w:rsidR="00000000" w:rsidRDefault="00195E73">
            <w:pPr>
              <w:rPr>
                <w:rFonts w:eastAsia="Times New Roman"/>
                <w:sz w:val="20"/>
                <w:szCs w:val="20"/>
              </w:rPr>
            </w:pPr>
          </w:p>
        </w:tc>
        <w:tc>
          <w:tcPr>
            <w:tcW w:w="0" w:type="auto"/>
            <w:vAlign w:val="center"/>
            <w:hideMark/>
          </w:tcPr>
          <w:p w14:paraId="7720751E" w14:textId="77777777" w:rsidR="00000000" w:rsidRDefault="00195E73">
            <w:pPr>
              <w:rPr>
                <w:rFonts w:eastAsia="Times New Roman"/>
                <w:sz w:val="20"/>
                <w:szCs w:val="20"/>
              </w:rPr>
            </w:pPr>
          </w:p>
        </w:tc>
        <w:tc>
          <w:tcPr>
            <w:tcW w:w="0" w:type="auto"/>
            <w:vAlign w:val="center"/>
            <w:hideMark/>
          </w:tcPr>
          <w:p w14:paraId="333A02F3" w14:textId="77777777" w:rsidR="00000000" w:rsidRDefault="00195E73">
            <w:pPr>
              <w:rPr>
                <w:rFonts w:eastAsia="Times New Roman"/>
                <w:sz w:val="20"/>
                <w:szCs w:val="20"/>
              </w:rPr>
            </w:pPr>
          </w:p>
        </w:tc>
        <w:tc>
          <w:tcPr>
            <w:tcW w:w="0" w:type="auto"/>
            <w:vAlign w:val="center"/>
            <w:hideMark/>
          </w:tcPr>
          <w:p w14:paraId="538FF247" w14:textId="77777777" w:rsidR="00000000" w:rsidRDefault="00195E73">
            <w:pPr>
              <w:rPr>
                <w:rFonts w:eastAsia="Times New Roman"/>
                <w:sz w:val="20"/>
                <w:szCs w:val="20"/>
              </w:rPr>
            </w:pPr>
          </w:p>
        </w:tc>
        <w:tc>
          <w:tcPr>
            <w:tcW w:w="0" w:type="auto"/>
            <w:vAlign w:val="center"/>
            <w:hideMark/>
          </w:tcPr>
          <w:p w14:paraId="544E6B01" w14:textId="77777777" w:rsidR="00000000" w:rsidRDefault="00195E73">
            <w:pPr>
              <w:rPr>
                <w:rFonts w:eastAsia="Times New Roman"/>
                <w:sz w:val="20"/>
                <w:szCs w:val="20"/>
              </w:rPr>
            </w:pPr>
          </w:p>
        </w:tc>
        <w:tc>
          <w:tcPr>
            <w:tcW w:w="0" w:type="auto"/>
            <w:vAlign w:val="center"/>
            <w:hideMark/>
          </w:tcPr>
          <w:p w14:paraId="5F6BDDB4" w14:textId="77777777" w:rsidR="00000000" w:rsidRDefault="00195E73">
            <w:pPr>
              <w:rPr>
                <w:rFonts w:eastAsia="Times New Roman"/>
                <w:sz w:val="20"/>
                <w:szCs w:val="20"/>
              </w:rPr>
            </w:pPr>
          </w:p>
        </w:tc>
        <w:tc>
          <w:tcPr>
            <w:tcW w:w="0" w:type="auto"/>
            <w:vAlign w:val="center"/>
            <w:hideMark/>
          </w:tcPr>
          <w:p w14:paraId="48252226" w14:textId="77777777" w:rsidR="00000000" w:rsidRDefault="00195E73">
            <w:pPr>
              <w:rPr>
                <w:rFonts w:eastAsia="Times New Roman"/>
                <w:sz w:val="20"/>
                <w:szCs w:val="20"/>
              </w:rPr>
            </w:pPr>
          </w:p>
        </w:tc>
      </w:tr>
      <w:tr w:rsidR="00000000" w14:paraId="1A6415A0" w14:textId="77777777">
        <w:trPr>
          <w:divId w:val="1490097897"/>
          <w:jc w:val="center"/>
        </w:trPr>
        <w:tc>
          <w:tcPr>
            <w:tcW w:w="0" w:type="auto"/>
            <w:gridSpan w:val="3"/>
            <w:shd w:val="clear" w:color="auto" w:fill="CCEEFF"/>
            <w:tcMar>
              <w:top w:w="15" w:type="dxa"/>
              <w:left w:w="20" w:type="dxa"/>
              <w:bottom w:w="15" w:type="dxa"/>
              <w:right w:w="20" w:type="dxa"/>
            </w:tcMar>
            <w:vAlign w:val="bottom"/>
            <w:hideMark/>
          </w:tcPr>
          <w:p w14:paraId="1F8EF390"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22A0C5" w14:textId="77777777" w:rsidR="00000000" w:rsidRDefault="00195E73">
            <w:pPr>
              <w:jc w:val="right"/>
              <w:rPr>
                <w:rFonts w:eastAsia="Times New Roman"/>
              </w:rPr>
            </w:pPr>
            <w:r>
              <w:rPr>
                <w:rFonts w:eastAsia="Times New Roman"/>
                <w:color w:val="000000"/>
                <w:sz w:val="20"/>
                <w:szCs w:val="20"/>
              </w:rPr>
              <w:t>10,730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D7E8E0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B1B113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710637" w14:textId="77777777" w:rsidR="00000000" w:rsidRDefault="00195E73">
            <w:pPr>
              <w:jc w:val="right"/>
              <w:rPr>
                <w:rFonts w:eastAsia="Times New Roman"/>
              </w:rPr>
            </w:pPr>
            <w:r>
              <w:rPr>
                <w:rFonts w:eastAsia="Times New Roman"/>
                <w:color w:val="000000"/>
                <w:sz w:val="20"/>
                <w:szCs w:val="20"/>
              </w:rPr>
              <w:t>11,553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308102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7613790"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9D3F32" w14:textId="77777777" w:rsidR="00000000" w:rsidRDefault="00195E73">
            <w:pPr>
              <w:jc w:val="right"/>
              <w:rPr>
                <w:rFonts w:eastAsia="Times New Roman"/>
              </w:rPr>
            </w:pPr>
            <w:r>
              <w:rPr>
                <w:rFonts w:eastAsia="Times New Roman"/>
                <w:color w:val="000000"/>
                <w:sz w:val="20"/>
                <w:szCs w:val="20"/>
              </w:rPr>
              <w:t>10,751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68E174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41F44BA" w14:textId="77777777" w:rsidR="00000000" w:rsidRDefault="00195E73">
            <w:pPr>
              <w:rPr>
                <w:rFonts w:eastAsia="Times New Roman"/>
                <w:sz w:val="20"/>
                <w:szCs w:val="20"/>
              </w:rPr>
            </w:pPr>
          </w:p>
        </w:tc>
        <w:tc>
          <w:tcPr>
            <w:tcW w:w="0" w:type="auto"/>
            <w:vAlign w:val="center"/>
            <w:hideMark/>
          </w:tcPr>
          <w:p w14:paraId="3E9C4FD0" w14:textId="77777777" w:rsidR="00000000" w:rsidRDefault="00195E73">
            <w:pPr>
              <w:rPr>
                <w:rFonts w:eastAsia="Times New Roman"/>
                <w:sz w:val="20"/>
                <w:szCs w:val="20"/>
              </w:rPr>
            </w:pPr>
          </w:p>
        </w:tc>
        <w:tc>
          <w:tcPr>
            <w:tcW w:w="0" w:type="auto"/>
            <w:vAlign w:val="center"/>
            <w:hideMark/>
          </w:tcPr>
          <w:p w14:paraId="0DAEB9E7" w14:textId="77777777" w:rsidR="00000000" w:rsidRDefault="00195E73">
            <w:pPr>
              <w:rPr>
                <w:rFonts w:eastAsia="Times New Roman"/>
                <w:sz w:val="20"/>
                <w:szCs w:val="20"/>
              </w:rPr>
            </w:pPr>
          </w:p>
        </w:tc>
        <w:tc>
          <w:tcPr>
            <w:tcW w:w="0" w:type="auto"/>
            <w:vAlign w:val="center"/>
            <w:hideMark/>
          </w:tcPr>
          <w:p w14:paraId="031E9682" w14:textId="77777777" w:rsidR="00000000" w:rsidRDefault="00195E73">
            <w:pPr>
              <w:rPr>
                <w:rFonts w:eastAsia="Times New Roman"/>
                <w:sz w:val="20"/>
                <w:szCs w:val="20"/>
              </w:rPr>
            </w:pPr>
          </w:p>
        </w:tc>
        <w:tc>
          <w:tcPr>
            <w:tcW w:w="0" w:type="auto"/>
            <w:vAlign w:val="center"/>
            <w:hideMark/>
          </w:tcPr>
          <w:p w14:paraId="4780A68F" w14:textId="77777777" w:rsidR="00000000" w:rsidRDefault="00195E73">
            <w:pPr>
              <w:rPr>
                <w:rFonts w:eastAsia="Times New Roman"/>
                <w:sz w:val="20"/>
                <w:szCs w:val="20"/>
              </w:rPr>
            </w:pPr>
          </w:p>
        </w:tc>
        <w:tc>
          <w:tcPr>
            <w:tcW w:w="0" w:type="auto"/>
            <w:vAlign w:val="center"/>
            <w:hideMark/>
          </w:tcPr>
          <w:p w14:paraId="2D8291AC" w14:textId="77777777" w:rsidR="00000000" w:rsidRDefault="00195E73">
            <w:pPr>
              <w:rPr>
                <w:rFonts w:eastAsia="Times New Roman"/>
                <w:sz w:val="20"/>
                <w:szCs w:val="20"/>
              </w:rPr>
            </w:pPr>
          </w:p>
        </w:tc>
        <w:tc>
          <w:tcPr>
            <w:tcW w:w="0" w:type="auto"/>
            <w:vAlign w:val="center"/>
            <w:hideMark/>
          </w:tcPr>
          <w:p w14:paraId="051B362D" w14:textId="77777777" w:rsidR="00000000" w:rsidRDefault="00195E73">
            <w:pPr>
              <w:rPr>
                <w:rFonts w:eastAsia="Times New Roman"/>
                <w:sz w:val="20"/>
                <w:szCs w:val="20"/>
              </w:rPr>
            </w:pPr>
          </w:p>
        </w:tc>
        <w:tc>
          <w:tcPr>
            <w:tcW w:w="0" w:type="auto"/>
            <w:vAlign w:val="center"/>
            <w:hideMark/>
          </w:tcPr>
          <w:p w14:paraId="7FFA02C8" w14:textId="77777777" w:rsidR="00000000" w:rsidRDefault="00195E73">
            <w:pPr>
              <w:rPr>
                <w:rFonts w:eastAsia="Times New Roman"/>
                <w:sz w:val="20"/>
                <w:szCs w:val="20"/>
              </w:rPr>
            </w:pPr>
          </w:p>
        </w:tc>
        <w:tc>
          <w:tcPr>
            <w:tcW w:w="0" w:type="auto"/>
            <w:vAlign w:val="center"/>
            <w:hideMark/>
          </w:tcPr>
          <w:p w14:paraId="3549B9D4" w14:textId="77777777" w:rsidR="00000000" w:rsidRDefault="00195E73">
            <w:pPr>
              <w:rPr>
                <w:rFonts w:eastAsia="Times New Roman"/>
                <w:sz w:val="20"/>
                <w:szCs w:val="20"/>
              </w:rPr>
            </w:pPr>
          </w:p>
        </w:tc>
        <w:tc>
          <w:tcPr>
            <w:tcW w:w="0" w:type="auto"/>
            <w:vAlign w:val="center"/>
            <w:hideMark/>
          </w:tcPr>
          <w:p w14:paraId="686AC790" w14:textId="77777777" w:rsidR="00000000" w:rsidRDefault="00195E73">
            <w:pPr>
              <w:rPr>
                <w:rFonts w:eastAsia="Times New Roman"/>
                <w:sz w:val="20"/>
                <w:szCs w:val="20"/>
              </w:rPr>
            </w:pPr>
          </w:p>
        </w:tc>
        <w:tc>
          <w:tcPr>
            <w:tcW w:w="0" w:type="auto"/>
            <w:vAlign w:val="center"/>
            <w:hideMark/>
          </w:tcPr>
          <w:p w14:paraId="6376DF70" w14:textId="77777777" w:rsidR="00000000" w:rsidRDefault="00195E73">
            <w:pPr>
              <w:rPr>
                <w:rFonts w:eastAsia="Times New Roman"/>
                <w:sz w:val="20"/>
                <w:szCs w:val="20"/>
              </w:rPr>
            </w:pPr>
          </w:p>
        </w:tc>
        <w:tc>
          <w:tcPr>
            <w:tcW w:w="0" w:type="auto"/>
            <w:vAlign w:val="center"/>
            <w:hideMark/>
          </w:tcPr>
          <w:p w14:paraId="6266BCC1" w14:textId="77777777" w:rsidR="00000000" w:rsidRDefault="00195E73">
            <w:pPr>
              <w:rPr>
                <w:rFonts w:eastAsia="Times New Roman"/>
                <w:sz w:val="20"/>
                <w:szCs w:val="20"/>
              </w:rPr>
            </w:pPr>
          </w:p>
        </w:tc>
      </w:tr>
      <w:tr w:rsidR="00000000" w14:paraId="328A8071" w14:textId="77777777">
        <w:trPr>
          <w:divId w:val="1490097897"/>
          <w:jc w:val="center"/>
        </w:trPr>
        <w:tc>
          <w:tcPr>
            <w:tcW w:w="0" w:type="auto"/>
            <w:gridSpan w:val="3"/>
            <w:shd w:val="clear" w:color="auto" w:fill="FFFFFF"/>
            <w:tcMar>
              <w:top w:w="30" w:type="dxa"/>
              <w:left w:w="20" w:type="dxa"/>
              <w:bottom w:w="30" w:type="dxa"/>
              <w:right w:w="20" w:type="dxa"/>
            </w:tcMar>
            <w:vAlign w:val="bottom"/>
            <w:hideMark/>
          </w:tcPr>
          <w:p w14:paraId="0C9E68FB" w14:textId="77777777" w:rsidR="00000000" w:rsidRDefault="00195E73">
            <w:pPr>
              <w:ind w:hanging="180"/>
              <w:divId w:val="408619881"/>
              <w:rPr>
                <w:rFonts w:eastAsia="Times New Roman"/>
              </w:rPr>
            </w:pPr>
            <w:r>
              <w:rPr>
                <w:rFonts w:eastAsia="Times New Roman"/>
                <w:color w:val="000000"/>
                <w:sz w:val="20"/>
                <w:szCs w:val="20"/>
              </w:rPr>
              <w:t>(Loss) income from continuing operations before income tax (expense) benefi</w:t>
            </w:r>
            <w:r>
              <w:rPr>
                <w:rFonts w:eastAsia="Times New Roman"/>
                <w:color w:val="000000"/>
                <w:sz w:val="20"/>
                <w:szCs w:val="20"/>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2E0E18" w14:textId="77777777" w:rsidR="00000000" w:rsidRDefault="00195E73">
            <w:pPr>
              <w:jc w:val="right"/>
              <w:rPr>
                <w:rFonts w:eastAsia="Times New Roman"/>
              </w:rPr>
            </w:pPr>
            <w:r>
              <w:rPr>
                <w:rFonts w:eastAsia="Times New Roman"/>
                <w:color w:val="000000"/>
                <w:sz w:val="20"/>
                <w:szCs w:val="20"/>
              </w:rPr>
              <w:t>(1,738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5DF8F4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C895BF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9A924F" w14:textId="77777777" w:rsidR="00000000" w:rsidRDefault="00195E73">
            <w:pPr>
              <w:jc w:val="right"/>
              <w:rPr>
                <w:rFonts w:eastAsia="Times New Roman"/>
              </w:rPr>
            </w:pPr>
            <w:r>
              <w:rPr>
                <w:rFonts w:eastAsia="Times New Roman"/>
                <w:color w:val="000000"/>
                <w:sz w:val="20"/>
                <w:szCs w:val="20"/>
              </w:rPr>
              <w:t>224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EBD0A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1B00BA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BBEAF8" w14:textId="77777777" w:rsidR="00000000" w:rsidRDefault="00195E73">
            <w:pPr>
              <w:jc w:val="right"/>
              <w:rPr>
                <w:rFonts w:eastAsia="Times New Roman"/>
              </w:rPr>
            </w:pPr>
            <w:r>
              <w:rPr>
                <w:rFonts w:eastAsia="Times New Roman"/>
                <w:color w:val="000000"/>
                <w:sz w:val="20"/>
                <w:szCs w:val="20"/>
              </w:rPr>
              <w:t>1,868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9321C1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26D4D37" w14:textId="77777777" w:rsidR="00000000" w:rsidRDefault="00195E73">
            <w:pPr>
              <w:rPr>
                <w:rFonts w:eastAsia="Times New Roman"/>
                <w:sz w:val="20"/>
                <w:szCs w:val="20"/>
              </w:rPr>
            </w:pPr>
          </w:p>
        </w:tc>
        <w:tc>
          <w:tcPr>
            <w:tcW w:w="0" w:type="auto"/>
            <w:vAlign w:val="center"/>
            <w:hideMark/>
          </w:tcPr>
          <w:p w14:paraId="76381829" w14:textId="77777777" w:rsidR="00000000" w:rsidRDefault="00195E73">
            <w:pPr>
              <w:rPr>
                <w:rFonts w:eastAsia="Times New Roman"/>
                <w:sz w:val="20"/>
                <w:szCs w:val="20"/>
              </w:rPr>
            </w:pPr>
          </w:p>
        </w:tc>
        <w:tc>
          <w:tcPr>
            <w:tcW w:w="0" w:type="auto"/>
            <w:vAlign w:val="center"/>
            <w:hideMark/>
          </w:tcPr>
          <w:p w14:paraId="6103CD49" w14:textId="77777777" w:rsidR="00000000" w:rsidRDefault="00195E73">
            <w:pPr>
              <w:rPr>
                <w:rFonts w:eastAsia="Times New Roman"/>
                <w:sz w:val="20"/>
                <w:szCs w:val="20"/>
              </w:rPr>
            </w:pPr>
          </w:p>
        </w:tc>
        <w:tc>
          <w:tcPr>
            <w:tcW w:w="0" w:type="auto"/>
            <w:vAlign w:val="center"/>
            <w:hideMark/>
          </w:tcPr>
          <w:p w14:paraId="69E7550A" w14:textId="77777777" w:rsidR="00000000" w:rsidRDefault="00195E73">
            <w:pPr>
              <w:rPr>
                <w:rFonts w:eastAsia="Times New Roman"/>
                <w:sz w:val="20"/>
                <w:szCs w:val="20"/>
              </w:rPr>
            </w:pPr>
          </w:p>
        </w:tc>
        <w:tc>
          <w:tcPr>
            <w:tcW w:w="0" w:type="auto"/>
            <w:vAlign w:val="center"/>
            <w:hideMark/>
          </w:tcPr>
          <w:p w14:paraId="6AB65392" w14:textId="77777777" w:rsidR="00000000" w:rsidRDefault="00195E73">
            <w:pPr>
              <w:rPr>
                <w:rFonts w:eastAsia="Times New Roman"/>
                <w:sz w:val="20"/>
                <w:szCs w:val="20"/>
              </w:rPr>
            </w:pPr>
          </w:p>
        </w:tc>
        <w:tc>
          <w:tcPr>
            <w:tcW w:w="0" w:type="auto"/>
            <w:vAlign w:val="center"/>
            <w:hideMark/>
          </w:tcPr>
          <w:p w14:paraId="6FB0FA4D" w14:textId="77777777" w:rsidR="00000000" w:rsidRDefault="00195E73">
            <w:pPr>
              <w:rPr>
                <w:rFonts w:eastAsia="Times New Roman"/>
                <w:sz w:val="20"/>
                <w:szCs w:val="20"/>
              </w:rPr>
            </w:pPr>
          </w:p>
        </w:tc>
        <w:tc>
          <w:tcPr>
            <w:tcW w:w="0" w:type="auto"/>
            <w:vAlign w:val="center"/>
            <w:hideMark/>
          </w:tcPr>
          <w:p w14:paraId="737F5C3F" w14:textId="77777777" w:rsidR="00000000" w:rsidRDefault="00195E73">
            <w:pPr>
              <w:rPr>
                <w:rFonts w:eastAsia="Times New Roman"/>
                <w:sz w:val="20"/>
                <w:szCs w:val="20"/>
              </w:rPr>
            </w:pPr>
          </w:p>
        </w:tc>
        <w:tc>
          <w:tcPr>
            <w:tcW w:w="0" w:type="auto"/>
            <w:vAlign w:val="center"/>
            <w:hideMark/>
          </w:tcPr>
          <w:p w14:paraId="7802DBE3" w14:textId="77777777" w:rsidR="00000000" w:rsidRDefault="00195E73">
            <w:pPr>
              <w:rPr>
                <w:rFonts w:eastAsia="Times New Roman"/>
                <w:sz w:val="20"/>
                <w:szCs w:val="20"/>
              </w:rPr>
            </w:pPr>
          </w:p>
        </w:tc>
        <w:tc>
          <w:tcPr>
            <w:tcW w:w="0" w:type="auto"/>
            <w:vAlign w:val="center"/>
            <w:hideMark/>
          </w:tcPr>
          <w:p w14:paraId="20BA8F2C" w14:textId="77777777" w:rsidR="00000000" w:rsidRDefault="00195E73">
            <w:pPr>
              <w:rPr>
                <w:rFonts w:eastAsia="Times New Roman"/>
                <w:sz w:val="20"/>
                <w:szCs w:val="20"/>
              </w:rPr>
            </w:pPr>
          </w:p>
        </w:tc>
        <w:tc>
          <w:tcPr>
            <w:tcW w:w="0" w:type="auto"/>
            <w:vAlign w:val="center"/>
            <w:hideMark/>
          </w:tcPr>
          <w:p w14:paraId="301360A1" w14:textId="77777777" w:rsidR="00000000" w:rsidRDefault="00195E73">
            <w:pPr>
              <w:rPr>
                <w:rFonts w:eastAsia="Times New Roman"/>
                <w:sz w:val="20"/>
                <w:szCs w:val="20"/>
              </w:rPr>
            </w:pPr>
          </w:p>
        </w:tc>
        <w:tc>
          <w:tcPr>
            <w:tcW w:w="0" w:type="auto"/>
            <w:vAlign w:val="center"/>
            <w:hideMark/>
          </w:tcPr>
          <w:p w14:paraId="726ECB90" w14:textId="77777777" w:rsidR="00000000" w:rsidRDefault="00195E73">
            <w:pPr>
              <w:rPr>
                <w:rFonts w:eastAsia="Times New Roman"/>
                <w:sz w:val="20"/>
                <w:szCs w:val="20"/>
              </w:rPr>
            </w:pPr>
          </w:p>
        </w:tc>
        <w:tc>
          <w:tcPr>
            <w:tcW w:w="0" w:type="auto"/>
            <w:vAlign w:val="center"/>
            <w:hideMark/>
          </w:tcPr>
          <w:p w14:paraId="1F8453AB" w14:textId="77777777" w:rsidR="00000000" w:rsidRDefault="00195E73">
            <w:pPr>
              <w:rPr>
                <w:rFonts w:eastAsia="Times New Roman"/>
                <w:sz w:val="20"/>
                <w:szCs w:val="20"/>
              </w:rPr>
            </w:pPr>
          </w:p>
        </w:tc>
      </w:tr>
      <w:tr w:rsidR="00000000" w14:paraId="07596D2E" w14:textId="77777777">
        <w:trPr>
          <w:divId w:val="1490097897"/>
          <w:jc w:val="center"/>
        </w:trPr>
        <w:tc>
          <w:tcPr>
            <w:tcW w:w="0" w:type="auto"/>
            <w:gridSpan w:val="2"/>
            <w:shd w:val="clear" w:color="auto" w:fill="CCEEFF"/>
            <w:tcMar>
              <w:top w:w="30" w:type="dxa"/>
              <w:left w:w="20" w:type="dxa"/>
              <w:bottom w:w="30" w:type="dxa"/>
              <w:right w:w="0" w:type="dxa"/>
            </w:tcMar>
            <w:vAlign w:val="bottom"/>
            <w:hideMark/>
          </w:tcPr>
          <w:p w14:paraId="066E472C" w14:textId="77777777" w:rsidR="00000000" w:rsidRDefault="00195E73">
            <w:pPr>
              <w:rPr>
                <w:rFonts w:eastAsia="Times New Roman"/>
              </w:rPr>
            </w:pPr>
            <w:r>
              <w:rPr>
                <w:rFonts w:eastAsia="Times New Roman"/>
                <w:color w:val="000000"/>
                <w:sz w:val="20"/>
                <w:szCs w:val="20"/>
              </w:rPr>
              <w:t>Income tax (expense) benefi</w:t>
            </w:r>
            <w:r>
              <w:rPr>
                <w:rFonts w:eastAsia="Times New Roman"/>
                <w:color w:val="000000"/>
                <w:sz w:val="20"/>
                <w:szCs w:val="20"/>
              </w:rPr>
              <w:t>t</w:t>
            </w:r>
          </w:p>
        </w:tc>
        <w:tc>
          <w:tcPr>
            <w:tcW w:w="0" w:type="auto"/>
            <w:shd w:val="clear" w:color="auto" w:fill="CCEEFF"/>
            <w:tcMar>
              <w:top w:w="30" w:type="dxa"/>
              <w:left w:w="15" w:type="dxa"/>
              <w:bottom w:w="30" w:type="dxa"/>
              <w:right w:w="20" w:type="dxa"/>
            </w:tcMar>
            <w:vAlign w:val="bottom"/>
            <w:hideMark/>
          </w:tcPr>
          <w:p w14:paraId="4FAD0779"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3C049868" w14:textId="77777777" w:rsidR="00000000" w:rsidRDefault="00195E73">
            <w:pPr>
              <w:jc w:val="right"/>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757936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BE335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C4DD3C" w14:textId="77777777" w:rsidR="00000000" w:rsidRDefault="00195E73">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76822F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111FAE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D25677" w14:textId="77777777" w:rsidR="00000000" w:rsidRDefault="00195E73">
            <w:pPr>
              <w:jc w:val="right"/>
              <w:rPr>
                <w:rFonts w:eastAsia="Times New Roman"/>
              </w:rPr>
            </w:pPr>
            <w:r>
              <w:rPr>
                <w:rFonts w:eastAsia="Times New Roman"/>
                <w:color w:val="000000"/>
                <w:sz w:val="20"/>
                <w:szCs w:val="20"/>
              </w:rPr>
              <w:t>532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54BED1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CD29D35" w14:textId="77777777" w:rsidR="00000000" w:rsidRDefault="00195E73">
            <w:pPr>
              <w:rPr>
                <w:rFonts w:eastAsia="Times New Roman"/>
                <w:sz w:val="20"/>
                <w:szCs w:val="20"/>
              </w:rPr>
            </w:pPr>
          </w:p>
        </w:tc>
        <w:tc>
          <w:tcPr>
            <w:tcW w:w="0" w:type="auto"/>
            <w:vAlign w:val="center"/>
            <w:hideMark/>
          </w:tcPr>
          <w:p w14:paraId="66E5FA01" w14:textId="77777777" w:rsidR="00000000" w:rsidRDefault="00195E73">
            <w:pPr>
              <w:rPr>
                <w:rFonts w:eastAsia="Times New Roman"/>
                <w:sz w:val="20"/>
                <w:szCs w:val="20"/>
              </w:rPr>
            </w:pPr>
          </w:p>
        </w:tc>
        <w:tc>
          <w:tcPr>
            <w:tcW w:w="0" w:type="auto"/>
            <w:vAlign w:val="center"/>
            <w:hideMark/>
          </w:tcPr>
          <w:p w14:paraId="1FB4ED07" w14:textId="77777777" w:rsidR="00000000" w:rsidRDefault="00195E73">
            <w:pPr>
              <w:rPr>
                <w:rFonts w:eastAsia="Times New Roman"/>
                <w:sz w:val="20"/>
                <w:szCs w:val="20"/>
              </w:rPr>
            </w:pPr>
          </w:p>
        </w:tc>
        <w:tc>
          <w:tcPr>
            <w:tcW w:w="0" w:type="auto"/>
            <w:vAlign w:val="center"/>
            <w:hideMark/>
          </w:tcPr>
          <w:p w14:paraId="7AF5F843" w14:textId="77777777" w:rsidR="00000000" w:rsidRDefault="00195E73">
            <w:pPr>
              <w:rPr>
                <w:rFonts w:eastAsia="Times New Roman"/>
                <w:sz w:val="20"/>
                <w:szCs w:val="20"/>
              </w:rPr>
            </w:pPr>
          </w:p>
        </w:tc>
        <w:tc>
          <w:tcPr>
            <w:tcW w:w="0" w:type="auto"/>
            <w:vAlign w:val="center"/>
            <w:hideMark/>
          </w:tcPr>
          <w:p w14:paraId="4942108F" w14:textId="77777777" w:rsidR="00000000" w:rsidRDefault="00195E73">
            <w:pPr>
              <w:rPr>
                <w:rFonts w:eastAsia="Times New Roman"/>
                <w:sz w:val="20"/>
                <w:szCs w:val="20"/>
              </w:rPr>
            </w:pPr>
          </w:p>
        </w:tc>
        <w:tc>
          <w:tcPr>
            <w:tcW w:w="0" w:type="auto"/>
            <w:vAlign w:val="center"/>
            <w:hideMark/>
          </w:tcPr>
          <w:p w14:paraId="06821F49" w14:textId="77777777" w:rsidR="00000000" w:rsidRDefault="00195E73">
            <w:pPr>
              <w:rPr>
                <w:rFonts w:eastAsia="Times New Roman"/>
                <w:sz w:val="20"/>
                <w:szCs w:val="20"/>
              </w:rPr>
            </w:pPr>
          </w:p>
        </w:tc>
        <w:tc>
          <w:tcPr>
            <w:tcW w:w="0" w:type="auto"/>
            <w:vAlign w:val="center"/>
            <w:hideMark/>
          </w:tcPr>
          <w:p w14:paraId="48F6E51F" w14:textId="77777777" w:rsidR="00000000" w:rsidRDefault="00195E73">
            <w:pPr>
              <w:rPr>
                <w:rFonts w:eastAsia="Times New Roman"/>
                <w:sz w:val="20"/>
                <w:szCs w:val="20"/>
              </w:rPr>
            </w:pPr>
          </w:p>
        </w:tc>
        <w:tc>
          <w:tcPr>
            <w:tcW w:w="0" w:type="auto"/>
            <w:vAlign w:val="center"/>
            <w:hideMark/>
          </w:tcPr>
          <w:p w14:paraId="42C0B98B" w14:textId="77777777" w:rsidR="00000000" w:rsidRDefault="00195E73">
            <w:pPr>
              <w:rPr>
                <w:rFonts w:eastAsia="Times New Roman"/>
                <w:sz w:val="20"/>
                <w:szCs w:val="20"/>
              </w:rPr>
            </w:pPr>
          </w:p>
        </w:tc>
        <w:tc>
          <w:tcPr>
            <w:tcW w:w="0" w:type="auto"/>
            <w:vAlign w:val="center"/>
            <w:hideMark/>
          </w:tcPr>
          <w:p w14:paraId="769AD6D2" w14:textId="77777777" w:rsidR="00000000" w:rsidRDefault="00195E73">
            <w:pPr>
              <w:rPr>
                <w:rFonts w:eastAsia="Times New Roman"/>
                <w:sz w:val="20"/>
                <w:szCs w:val="20"/>
              </w:rPr>
            </w:pPr>
          </w:p>
        </w:tc>
        <w:tc>
          <w:tcPr>
            <w:tcW w:w="0" w:type="auto"/>
            <w:vAlign w:val="center"/>
            <w:hideMark/>
          </w:tcPr>
          <w:p w14:paraId="2D302183" w14:textId="77777777" w:rsidR="00000000" w:rsidRDefault="00195E73">
            <w:pPr>
              <w:rPr>
                <w:rFonts w:eastAsia="Times New Roman"/>
                <w:sz w:val="20"/>
                <w:szCs w:val="20"/>
              </w:rPr>
            </w:pPr>
          </w:p>
        </w:tc>
        <w:tc>
          <w:tcPr>
            <w:tcW w:w="0" w:type="auto"/>
            <w:vAlign w:val="center"/>
            <w:hideMark/>
          </w:tcPr>
          <w:p w14:paraId="2A8275BC" w14:textId="77777777" w:rsidR="00000000" w:rsidRDefault="00195E73">
            <w:pPr>
              <w:rPr>
                <w:rFonts w:eastAsia="Times New Roman"/>
                <w:sz w:val="20"/>
                <w:szCs w:val="20"/>
              </w:rPr>
            </w:pPr>
          </w:p>
        </w:tc>
        <w:tc>
          <w:tcPr>
            <w:tcW w:w="0" w:type="auto"/>
            <w:vAlign w:val="center"/>
            <w:hideMark/>
          </w:tcPr>
          <w:p w14:paraId="69EB6A49" w14:textId="77777777" w:rsidR="00000000" w:rsidRDefault="00195E73">
            <w:pPr>
              <w:rPr>
                <w:rFonts w:eastAsia="Times New Roman"/>
                <w:sz w:val="20"/>
                <w:szCs w:val="20"/>
              </w:rPr>
            </w:pPr>
          </w:p>
        </w:tc>
      </w:tr>
      <w:tr w:rsidR="00000000" w14:paraId="6326FC3B" w14:textId="77777777">
        <w:trPr>
          <w:divId w:val="1490097897"/>
          <w:jc w:val="center"/>
        </w:trPr>
        <w:tc>
          <w:tcPr>
            <w:tcW w:w="0" w:type="auto"/>
            <w:gridSpan w:val="2"/>
            <w:shd w:val="clear" w:color="auto" w:fill="FFFFFF"/>
            <w:tcMar>
              <w:top w:w="30" w:type="dxa"/>
              <w:left w:w="20" w:type="dxa"/>
              <w:bottom w:w="30" w:type="dxa"/>
              <w:right w:w="0" w:type="dxa"/>
            </w:tcMar>
            <w:vAlign w:val="bottom"/>
            <w:hideMark/>
          </w:tcPr>
          <w:p w14:paraId="0CBE3E74" w14:textId="77777777" w:rsidR="00000000" w:rsidRDefault="00195E73">
            <w:pPr>
              <w:rPr>
                <w:rFonts w:eastAsia="Times New Roman"/>
              </w:rPr>
            </w:pPr>
            <w:r>
              <w:rPr>
                <w:rFonts w:eastAsia="Times New Roman"/>
                <w:color w:val="000000"/>
                <w:sz w:val="20"/>
                <w:szCs w:val="20"/>
              </w:rPr>
              <w:t>(Loss) income from continuing operation</w:t>
            </w:r>
            <w:r>
              <w:rPr>
                <w:rFonts w:eastAsia="Times New Roman"/>
                <w:color w:val="000000"/>
                <w:sz w:val="20"/>
                <w:szCs w:val="20"/>
              </w:rPr>
              <w:t>s</w:t>
            </w:r>
          </w:p>
        </w:tc>
        <w:tc>
          <w:tcPr>
            <w:tcW w:w="0" w:type="auto"/>
            <w:shd w:val="clear" w:color="auto" w:fill="FFFFFF"/>
            <w:tcMar>
              <w:top w:w="30" w:type="dxa"/>
              <w:left w:w="15" w:type="dxa"/>
              <w:bottom w:w="30" w:type="dxa"/>
              <w:right w:w="20" w:type="dxa"/>
            </w:tcMar>
            <w:vAlign w:val="bottom"/>
            <w:hideMark/>
          </w:tcPr>
          <w:p w14:paraId="796E9937" w14:textId="77777777" w:rsidR="00000000" w:rsidRDefault="00195E73">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F8D236" w14:textId="77777777" w:rsidR="00000000" w:rsidRDefault="00195E73">
            <w:pPr>
              <w:jc w:val="right"/>
              <w:rPr>
                <w:rFonts w:eastAsia="Times New Roman"/>
              </w:rPr>
            </w:pPr>
            <w:r>
              <w:rPr>
                <w:rFonts w:eastAsia="Times New Roman"/>
                <w:color w:val="000000"/>
                <w:sz w:val="20"/>
                <w:szCs w:val="20"/>
              </w:rPr>
              <w:t>(1,758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EA5259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09F6EF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6FD4A9" w14:textId="77777777" w:rsidR="00000000" w:rsidRDefault="00195E73">
            <w:pPr>
              <w:jc w:val="right"/>
              <w:rPr>
                <w:rFonts w:eastAsia="Times New Roman"/>
              </w:rPr>
            </w:pPr>
            <w:r>
              <w:rPr>
                <w:rFonts w:eastAsia="Times New Roman"/>
                <w:color w:val="000000"/>
                <w:sz w:val="20"/>
                <w:szCs w:val="20"/>
              </w:rPr>
              <w:t>238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3E51A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1D0447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DF9BA4" w14:textId="77777777" w:rsidR="00000000" w:rsidRDefault="00195E73">
            <w:pPr>
              <w:jc w:val="right"/>
              <w:rPr>
                <w:rFonts w:eastAsia="Times New Roman"/>
              </w:rPr>
            </w:pPr>
            <w:r>
              <w:rPr>
                <w:rFonts w:eastAsia="Times New Roman"/>
                <w:color w:val="000000"/>
                <w:sz w:val="20"/>
                <w:szCs w:val="20"/>
              </w:rPr>
              <w:t>2,400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662B99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475EB75" w14:textId="77777777" w:rsidR="00000000" w:rsidRDefault="00195E73">
            <w:pPr>
              <w:rPr>
                <w:rFonts w:eastAsia="Times New Roman"/>
                <w:sz w:val="20"/>
                <w:szCs w:val="20"/>
              </w:rPr>
            </w:pPr>
          </w:p>
        </w:tc>
        <w:tc>
          <w:tcPr>
            <w:tcW w:w="0" w:type="auto"/>
            <w:vAlign w:val="center"/>
            <w:hideMark/>
          </w:tcPr>
          <w:p w14:paraId="4AD6C40A" w14:textId="77777777" w:rsidR="00000000" w:rsidRDefault="00195E73">
            <w:pPr>
              <w:rPr>
                <w:rFonts w:eastAsia="Times New Roman"/>
                <w:sz w:val="20"/>
                <w:szCs w:val="20"/>
              </w:rPr>
            </w:pPr>
          </w:p>
        </w:tc>
        <w:tc>
          <w:tcPr>
            <w:tcW w:w="0" w:type="auto"/>
            <w:vAlign w:val="center"/>
            <w:hideMark/>
          </w:tcPr>
          <w:p w14:paraId="2C2B99FD" w14:textId="77777777" w:rsidR="00000000" w:rsidRDefault="00195E73">
            <w:pPr>
              <w:rPr>
                <w:rFonts w:eastAsia="Times New Roman"/>
                <w:sz w:val="20"/>
                <w:szCs w:val="20"/>
              </w:rPr>
            </w:pPr>
          </w:p>
        </w:tc>
        <w:tc>
          <w:tcPr>
            <w:tcW w:w="0" w:type="auto"/>
            <w:vAlign w:val="center"/>
            <w:hideMark/>
          </w:tcPr>
          <w:p w14:paraId="1FBF3709" w14:textId="77777777" w:rsidR="00000000" w:rsidRDefault="00195E73">
            <w:pPr>
              <w:rPr>
                <w:rFonts w:eastAsia="Times New Roman"/>
                <w:sz w:val="20"/>
                <w:szCs w:val="20"/>
              </w:rPr>
            </w:pPr>
          </w:p>
        </w:tc>
        <w:tc>
          <w:tcPr>
            <w:tcW w:w="0" w:type="auto"/>
            <w:vAlign w:val="center"/>
            <w:hideMark/>
          </w:tcPr>
          <w:p w14:paraId="05AF099F" w14:textId="77777777" w:rsidR="00000000" w:rsidRDefault="00195E73">
            <w:pPr>
              <w:rPr>
                <w:rFonts w:eastAsia="Times New Roman"/>
                <w:sz w:val="20"/>
                <w:szCs w:val="20"/>
              </w:rPr>
            </w:pPr>
          </w:p>
        </w:tc>
        <w:tc>
          <w:tcPr>
            <w:tcW w:w="0" w:type="auto"/>
            <w:vAlign w:val="center"/>
            <w:hideMark/>
          </w:tcPr>
          <w:p w14:paraId="2710D8D4" w14:textId="77777777" w:rsidR="00000000" w:rsidRDefault="00195E73">
            <w:pPr>
              <w:rPr>
                <w:rFonts w:eastAsia="Times New Roman"/>
                <w:sz w:val="20"/>
                <w:szCs w:val="20"/>
              </w:rPr>
            </w:pPr>
          </w:p>
        </w:tc>
        <w:tc>
          <w:tcPr>
            <w:tcW w:w="0" w:type="auto"/>
            <w:vAlign w:val="center"/>
            <w:hideMark/>
          </w:tcPr>
          <w:p w14:paraId="4C5AFC1B" w14:textId="77777777" w:rsidR="00000000" w:rsidRDefault="00195E73">
            <w:pPr>
              <w:rPr>
                <w:rFonts w:eastAsia="Times New Roman"/>
                <w:sz w:val="20"/>
                <w:szCs w:val="20"/>
              </w:rPr>
            </w:pPr>
          </w:p>
        </w:tc>
        <w:tc>
          <w:tcPr>
            <w:tcW w:w="0" w:type="auto"/>
            <w:vAlign w:val="center"/>
            <w:hideMark/>
          </w:tcPr>
          <w:p w14:paraId="59866F66" w14:textId="77777777" w:rsidR="00000000" w:rsidRDefault="00195E73">
            <w:pPr>
              <w:rPr>
                <w:rFonts w:eastAsia="Times New Roman"/>
                <w:sz w:val="20"/>
                <w:szCs w:val="20"/>
              </w:rPr>
            </w:pPr>
          </w:p>
        </w:tc>
        <w:tc>
          <w:tcPr>
            <w:tcW w:w="0" w:type="auto"/>
            <w:vAlign w:val="center"/>
            <w:hideMark/>
          </w:tcPr>
          <w:p w14:paraId="156C82DC" w14:textId="77777777" w:rsidR="00000000" w:rsidRDefault="00195E73">
            <w:pPr>
              <w:rPr>
                <w:rFonts w:eastAsia="Times New Roman"/>
                <w:sz w:val="20"/>
                <w:szCs w:val="20"/>
              </w:rPr>
            </w:pPr>
          </w:p>
        </w:tc>
        <w:tc>
          <w:tcPr>
            <w:tcW w:w="0" w:type="auto"/>
            <w:vAlign w:val="center"/>
            <w:hideMark/>
          </w:tcPr>
          <w:p w14:paraId="7EE4ED7D" w14:textId="77777777" w:rsidR="00000000" w:rsidRDefault="00195E73">
            <w:pPr>
              <w:rPr>
                <w:rFonts w:eastAsia="Times New Roman"/>
                <w:sz w:val="20"/>
                <w:szCs w:val="20"/>
              </w:rPr>
            </w:pPr>
          </w:p>
        </w:tc>
        <w:tc>
          <w:tcPr>
            <w:tcW w:w="0" w:type="auto"/>
            <w:vAlign w:val="center"/>
            <w:hideMark/>
          </w:tcPr>
          <w:p w14:paraId="2F77BDC3" w14:textId="77777777" w:rsidR="00000000" w:rsidRDefault="00195E73">
            <w:pPr>
              <w:rPr>
                <w:rFonts w:eastAsia="Times New Roman"/>
                <w:sz w:val="20"/>
                <w:szCs w:val="20"/>
              </w:rPr>
            </w:pPr>
          </w:p>
        </w:tc>
        <w:tc>
          <w:tcPr>
            <w:tcW w:w="0" w:type="auto"/>
            <w:vAlign w:val="center"/>
            <w:hideMark/>
          </w:tcPr>
          <w:p w14:paraId="1FB7A44E" w14:textId="77777777" w:rsidR="00000000" w:rsidRDefault="00195E73">
            <w:pPr>
              <w:rPr>
                <w:rFonts w:eastAsia="Times New Roman"/>
                <w:sz w:val="20"/>
                <w:szCs w:val="20"/>
              </w:rPr>
            </w:pPr>
          </w:p>
        </w:tc>
      </w:tr>
      <w:tr w:rsidR="00000000" w14:paraId="602DB595" w14:textId="77777777">
        <w:trPr>
          <w:divId w:val="1490097897"/>
          <w:jc w:val="center"/>
        </w:trPr>
        <w:tc>
          <w:tcPr>
            <w:tcW w:w="0" w:type="auto"/>
            <w:gridSpan w:val="2"/>
            <w:shd w:val="clear" w:color="auto" w:fill="CCEEFF"/>
            <w:tcMar>
              <w:top w:w="30" w:type="dxa"/>
              <w:left w:w="20" w:type="dxa"/>
              <w:bottom w:w="30" w:type="dxa"/>
              <w:right w:w="0" w:type="dxa"/>
            </w:tcMar>
            <w:vAlign w:val="bottom"/>
            <w:hideMark/>
          </w:tcPr>
          <w:p w14:paraId="69A7509A" w14:textId="77777777" w:rsidR="00000000" w:rsidRDefault="00195E73">
            <w:pPr>
              <w:rPr>
                <w:rFonts w:eastAsia="Times New Roman"/>
              </w:rPr>
            </w:pPr>
            <w:r>
              <w:rPr>
                <w:rFonts w:eastAsia="Times New Roman"/>
                <w:color w:val="000000"/>
                <w:sz w:val="20"/>
                <w:szCs w:val="20"/>
              </w:rPr>
              <w:t>(Loss) income from discontinued operation</w:t>
            </w:r>
            <w:r>
              <w:rPr>
                <w:rFonts w:eastAsia="Times New Roman"/>
                <w:color w:val="000000"/>
                <w:sz w:val="20"/>
                <w:szCs w:val="20"/>
              </w:rPr>
              <w:t>s</w:t>
            </w:r>
          </w:p>
        </w:tc>
        <w:tc>
          <w:tcPr>
            <w:tcW w:w="0" w:type="auto"/>
            <w:shd w:val="clear" w:color="auto" w:fill="CCEEFF"/>
            <w:tcMar>
              <w:top w:w="30" w:type="dxa"/>
              <w:left w:w="15" w:type="dxa"/>
              <w:bottom w:w="30" w:type="dxa"/>
              <w:right w:w="20" w:type="dxa"/>
            </w:tcMar>
            <w:vAlign w:val="bottom"/>
            <w:hideMark/>
          </w:tcPr>
          <w:p w14:paraId="52CC16BC"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7A910E9F" w14:textId="77777777" w:rsidR="00000000" w:rsidRDefault="00195E73">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9EAF24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5D8C3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D84469" w14:textId="77777777" w:rsidR="00000000" w:rsidRDefault="00195E73">
            <w:pPr>
              <w:jc w:val="right"/>
              <w:rPr>
                <w:rFonts w:eastAsia="Times New Roman"/>
              </w:rPr>
            </w:pPr>
            <w:r>
              <w:rPr>
                <w:rFonts w:eastAsia="Times New Roman"/>
                <w:color w:val="000000"/>
                <w:sz w:val="20"/>
                <w:szCs w:val="20"/>
              </w:rPr>
              <w:t>1,764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3C55FB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F5B4B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22A406" w14:textId="77777777" w:rsidR="00000000" w:rsidRDefault="00195E73">
            <w:pPr>
              <w:jc w:val="right"/>
              <w:rPr>
                <w:rFonts w:eastAsia="Times New Roman"/>
              </w:rPr>
            </w:pPr>
            <w:r>
              <w:rPr>
                <w:rFonts w:eastAsia="Times New Roman"/>
                <w:color w:val="000000"/>
                <w:sz w:val="20"/>
                <w:szCs w:val="20"/>
              </w:rPr>
              <w:t>234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1FB685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4DE1271" w14:textId="77777777" w:rsidR="00000000" w:rsidRDefault="00195E73">
            <w:pPr>
              <w:rPr>
                <w:rFonts w:eastAsia="Times New Roman"/>
                <w:sz w:val="20"/>
                <w:szCs w:val="20"/>
              </w:rPr>
            </w:pPr>
          </w:p>
        </w:tc>
        <w:tc>
          <w:tcPr>
            <w:tcW w:w="0" w:type="auto"/>
            <w:vAlign w:val="center"/>
            <w:hideMark/>
          </w:tcPr>
          <w:p w14:paraId="66764E3E" w14:textId="77777777" w:rsidR="00000000" w:rsidRDefault="00195E73">
            <w:pPr>
              <w:rPr>
                <w:rFonts w:eastAsia="Times New Roman"/>
                <w:sz w:val="20"/>
                <w:szCs w:val="20"/>
              </w:rPr>
            </w:pPr>
          </w:p>
        </w:tc>
        <w:tc>
          <w:tcPr>
            <w:tcW w:w="0" w:type="auto"/>
            <w:vAlign w:val="center"/>
            <w:hideMark/>
          </w:tcPr>
          <w:p w14:paraId="63A48E84" w14:textId="77777777" w:rsidR="00000000" w:rsidRDefault="00195E73">
            <w:pPr>
              <w:rPr>
                <w:rFonts w:eastAsia="Times New Roman"/>
                <w:sz w:val="20"/>
                <w:szCs w:val="20"/>
              </w:rPr>
            </w:pPr>
          </w:p>
        </w:tc>
        <w:tc>
          <w:tcPr>
            <w:tcW w:w="0" w:type="auto"/>
            <w:vAlign w:val="center"/>
            <w:hideMark/>
          </w:tcPr>
          <w:p w14:paraId="3AFC50AB" w14:textId="77777777" w:rsidR="00000000" w:rsidRDefault="00195E73">
            <w:pPr>
              <w:rPr>
                <w:rFonts w:eastAsia="Times New Roman"/>
                <w:sz w:val="20"/>
                <w:szCs w:val="20"/>
              </w:rPr>
            </w:pPr>
          </w:p>
        </w:tc>
        <w:tc>
          <w:tcPr>
            <w:tcW w:w="0" w:type="auto"/>
            <w:vAlign w:val="center"/>
            <w:hideMark/>
          </w:tcPr>
          <w:p w14:paraId="7CAF8D7A" w14:textId="77777777" w:rsidR="00000000" w:rsidRDefault="00195E73">
            <w:pPr>
              <w:rPr>
                <w:rFonts w:eastAsia="Times New Roman"/>
                <w:sz w:val="20"/>
                <w:szCs w:val="20"/>
              </w:rPr>
            </w:pPr>
          </w:p>
        </w:tc>
        <w:tc>
          <w:tcPr>
            <w:tcW w:w="0" w:type="auto"/>
            <w:vAlign w:val="center"/>
            <w:hideMark/>
          </w:tcPr>
          <w:p w14:paraId="75D38DF5" w14:textId="77777777" w:rsidR="00000000" w:rsidRDefault="00195E73">
            <w:pPr>
              <w:rPr>
                <w:rFonts w:eastAsia="Times New Roman"/>
                <w:sz w:val="20"/>
                <w:szCs w:val="20"/>
              </w:rPr>
            </w:pPr>
          </w:p>
        </w:tc>
        <w:tc>
          <w:tcPr>
            <w:tcW w:w="0" w:type="auto"/>
            <w:vAlign w:val="center"/>
            <w:hideMark/>
          </w:tcPr>
          <w:p w14:paraId="4FF9EDF5" w14:textId="77777777" w:rsidR="00000000" w:rsidRDefault="00195E73">
            <w:pPr>
              <w:rPr>
                <w:rFonts w:eastAsia="Times New Roman"/>
                <w:sz w:val="20"/>
                <w:szCs w:val="20"/>
              </w:rPr>
            </w:pPr>
          </w:p>
        </w:tc>
        <w:tc>
          <w:tcPr>
            <w:tcW w:w="0" w:type="auto"/>
            <w:vAlign w:val="center"/>
            <w:hideMark/>
          </w:tcPr>
          <w:p w14:paraId="422AB6E1" w14:textId="77777777" w:rsidR="00000000" w:rsidRDefault="00195E73">
            <w:pPr>
              <w:rPr>
                <w:rFonts w:eastAsia="Times New Roman"/>
                <w:sz w:val="20"/>
                <w:szCs w:val="20"/>
              </w:rPr>
            </w:pPr>
          </w:p>
        </w:tc>
        <w:tc>
          <w:tcPr>
            <w:tcW w:w="0" w:type="auto"/>
            <w:vAlign w:val="center"/>
            <w:hideMark/>
          </w:tcPr>
          <w:p w14:paraId="7BB6BEA2" w14:textId="77777777" w:rsidR="00000000" w:rsidRDefault="00195E73">
            <w:pPr>
              <w:rPr>
                <w:rFonts w:eastAsia="Times New Roman"/>
                <w:sz w:val="20"/>
                <w:szCs w:val="20"/>
              </w:rPr>
            </w:pPr>
          </w:p>
        </w:tc>
        <w:tc>
          <w:tcPr>
            <w:tcW w:w="0" w:type="auto"/>
            <w:vAlign w:val="center"/>
            <w:hideMark/>
          </w:tcPr>
          <w:p w14:paraId="2CBC5872" w14:textId="77777777" w:rsidR="00000000" w:rsidRDefault="00195E73">
            <w:pPr>
              <w:rPr>
                <w:rFonts w:eastAsia="Times New Roman"/>
                <w:sz w:val="20"/>
                <w:szCs w:val="20"/>
              </w:rPr>
            </w:pPr>
          </w:p>
        </w:tc>
        <w:tc>
          <w:tcPr>
            <w:tcW w:w="0" w:type="auto"/>
            <w:vAlign w:val="center"/>
            <w:hideMark/>
          </w:tcPr>
          <w:p w14:paraId="5099D02D" w14:textId="77777777" w:rsidR="00000000" w:rsidRDefault="00195E73">
            <w:pPr>
              <w:rPr>
                <w:rFonts w:eastAsia="Times New Roman"/>
                <w:sz w:val="20"/>
                <w:szCs w:val="20"/>
              </w:rPr>
            </w:pPr>
          </w:p>
        </w:tc>
        <w:tc>
          <w:tcPr>
            <w:tcW w:w="0" w:type="auto"/>
            <w:vAlign w:val="center"/>
            <w:hideMark/>
          </w:tcPr>
          <w:p w14:paraId="37D4221E" w14:textId="77777777" w:rsidR="00000000" w:rsidRDefault="00195E73">
            <w:pPr>
              <w:rPr>
                <w:rFonts w:eastAsia="Times New Roman"/>
                <w:sz w:val="20"/>
                <w:szCs w:val="20"/>
              </w:rPr>
            </w:pPr>
          </w:p>
        </w:tc>
      </w:tr>
      <w:tr w:rsidR="00000000" w14:paraId="5C461C7F" w14:textId="77777777">
        <w:trPr>
          <w:divId w:val="1490097897"/>
          <w:jc w:val="center"/>
        </w:trPr>
        <w:tc>
          <w:tcPr>
            <w:tcW w:w="0" w:type="auto"/>
            <w:gridSpan w:val="2"/>
            <w:shd w:val="clear" w:color="auto" w:fill="FFFFFF"/>
            <w:tcMar>
              <w:top w:w="30" w:type="dxa"/>
              <w:left w:w="20" w:type="dxa"/>
              <w:bottom w:w="30" w:type="dxa"/>
              <w:right w:w="0" w:type="dxa"/>
            </w:tcMar>
            <w:vAlign w:val="bottom"/>
            <w:hideMark/>
          </w:tcPr>
          <w:p w14:paraId="549C096B" w14:textId="77777777" w:rsidR="00000000" w:rsidRDefault="00195E73">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shd w:val="clear" w:color="auto" w:fill="FFFFFF"/>
            <w:tcMar>
              <w:top w:w="30" w:type="dxa"/>
              <w:left w:w="15" w:type="dxa"/>
              <w:bottom w:w="30" w:type="dxa"/>
              <w:right w:w="20" w:type="dxa"/>
            </w:tcMar>
            <w:vAlign w:val="bottom"/>
            <w:hideMark/>
          </w:tcPr>
          <w:p w14:paraId="0122241E" w14:textId="77777777" w:rsidR="00000000" w:rsidRDefault="00195E73">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D04900" w14:textId="77777777" w:rsidR="00000000" w:rsidRDefault="00195E73">
            <w:pPr>
              <w:jc w:val="right"/>
              <w:rPr>
                <w:rFonts w:eastAsia="Times New Roman"/>
              </w:rPr>
            </w:pPr>
            <w:r>
              <w:rPr>
                <w:rFonts w:eastAsia="Times New Roman"/>
                <w:color w:val="000000"/>
                <w:sz w:val="20"/>
                <w:szCs w:val="20"/>
              </w:rPr>
              <w:t>(1,790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28D3E0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F9133ED"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81CEC1" w14:textId="77777777" w:rsidR="00000000" w:rsidRDefault="00195E73">
            <w:pPr>
              <w:jc w:val="right"/>
              <w:rPr>
                <w:rFonts w:eastAsia="Times New Roman"/>
              </w:rPr>
            </w:pPr>
            <w:r>
              <w:rPr>
                <w:rFonts w:eastAsia="Times New Roman"/>
                <w:color w:val="000000"/>
                <w:sz w:val="20"/>
                <w:szCs w:val="20"/>
              </w:rPr>
              <w:t>2,002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EE5C32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F7C0DD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2B3803" w14:textId="77777777" w:rsidR="00000000" w:rsidRDefault="00195E73">
            <w:pPr>
              <w:jc w:val="right"/>
              <w:rPr>
                <w:rFonts w:eastAsia="Times New Roman"/>
              </w:rPr>
            </w:pPr>
            <w:r>
              <w:rPr>
                <w:rFonts w:eastAsia="Times New Roman"/>
                <w:color w:val="000000"/>
                <w:sz w:val="20"/>
                <w:szCs w:val="20"/>
              </w:rPr>
              <w:t>2,634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610953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5386B4B" w14:textId="77777777" w:rsidR="00000000" w:rsidRDefault="00195E73">
            <w:pPr>
              <w:rPr>
                <w:rFonts w:eastAsia="Times New Roman"/>
                <w:sz w:val="20"/>
                <w:szCs w:val="20"/>
              </w:rPr>
            </w:pPr>
          </w:p>
        </w:tc>
        <w:tc>
          <w:tcPr>
            <w:tcW w:w="0" w:type="auto"/>
            <w:vAlign w:val="center"/>
            <w:hideMark/>
          </w:tcPr>
          <w:p w14:paraId="2078E4B4" w14:textId="77777777" w:rsidR="00000000" w:rsidRDefault="00195E73">
            <w:pPr>
              <w:rPr>
                <w:rFonts w:eastAsia="Times New Roman"/>
                <w:sz w:val="20"/>
                <w:szCs w:val="20"/>
              </w:rPr>
            </w:pPr>
          </w:p>
        </w:tc>
        <w:tc>
          <w:tcPr>
            <w:tcW w:w="0" w:type="auto"/>
            <w:vAlign w:val="center"/>
            <w:hideMark/>
          </w:tcPr>
          <w:p w14:paraId="58EA99AB" w14:textId="77777777" w:rsidR="00000000" w:rsidRDefault="00195E73">
            <w:pPr>
              <w:rPr>
                <w:rFonts w:eastAsia="Times New Roman"/>
                <w:sz w:val="20"/>
                <w:szCs w:val="20"/>
              </w:rPr>
            </w:pPr>
          </w:p>
        </w:tc>
        <w:tc>
          <w:tcPr>
            <w:tcW w:w="0" w:type="auto"/>
            <w:vAlign w:val="center"/>
            <w:hideMark/>
          </w:tcPr>
          <w:p w14:paraId="3B160B84" w14:textId="77777777" w:rsidR="00000000" w:rsidRDefault="00195E73">
            <w:pPr>
              <w:rPr>
                <w:rFonts w:eastAsia="Times New Roman"/>
                <w:sz w:val="20"/>
                <w:szCs w:val="20"/>
              </w:rPr>
            </w:pPr>
          </w:p>
        </w:tc>
        <w:tc>
          <w:tcPr>
            <w:tcW w:w="0" w:type="auto"/>
            <w:vAlign w:val="center"/>
            <w:hideMark/>
          </w:tcPr>
          <w:p w14:paraId="57C48AFD" w14:textId="77777777" w:rsidR="00000000" w:rsidRDefault="00195E73">
            <w:pPr>
              <w:rPr>
                <w:rFonts w:eastAsia="Times New Roman"/>
                <w:sz w:val="20"/>
                <w:szCs w:val="20"/>
              </w:rPr>
            </w:pPr>
          </w:p>
        </w:tc>
        <w:tc>
          <w:tcPr>
            <w:tcW w:w="0" w:type="auto"/>
            <w:vAlign w:val="center"/>
            <w:hideMark/>
          </w:tcPr>
          <w:p w14:paraId="2A14E30E" w14:textId="77777777" w:rsidR="00000000" w:rsidRDefault="00195E73">
            <w:pPr>
              <w:rPr>
                <w:rFonts w:eastAsia="Times New Roman"/>
                <w:sz w:val="20"/>
                <w:szCs w:val="20"/>
              </w:rPr>
            </w:pPr>
          </w:p>
        </w:tc>
        <w:tc>
          <w:tcPr>
            <w:tcW w:w="0" w:type="auto"/>
            <w:vAlign w:val="center"/>
            <w:hideMark/>
          </w:tcPr>
          <w:p w14:paraId="7E574D13" w14:textId="77777777" w:rsidR="00000000" w:rsidRDefault="00195E73">
            <w:pPr>
              <w:rPr>
                <w:rFonts w:eastAsia="Times New Roman"/>
                <w:sz w:val="20"/>
                <w:szCs w:val="20"/>
              </w:rPr>
            </w:pPr>
          </w:p>
        </w:tc>
        <w:tc>
          <w:tcPr>
            <w:tcW w:w="0" w:type="auto"/>
            <w:vAlign w:val="center"/>
            <w:hideMark/>
          </w:tcPr>
          <w:p w14:paraId="7634CC8F" w14:textId="77777777" w:rsidR="00000000" w:rsidRDefault="00195E73">
            <w:pPr>
              <w:rPr>
                <w:rFonts w:eastAsia="Times New Roman"/>
                <w:sz w:val="20"/>
                <w:szCs w:val="20"/>
              </w:rPr>
            </w:pPr>
          </w:p>
        </w:tc>
        <w:tc>
          <w:tcPr>
            <w:tcW w:w="0" w:type="auto"/>
            <w:vAlign w:val="center"/>
            <w:hideMark/>
          </w:tcPr>
          <w:p w14:paraId="62987120" w14:textId="77777777" w:rsidR="00000000" w:rsidRDefault="00195E73">
            <w:pPr>
              <w:rPr>
                <w:rFonts w:eastAsia="Times New Roman"/>
                <w:sz w:val="20"/>
                <w:szCs w:val="20"/>
              </w:rPr>
            </w:pPr>
          </w:p>
        </w:tc>
        <w:tc>
          <w:tcPr>
            <w:tcW w:w="0" w:type="auto"/>
            <w:vAlign w:val="center"/>
            <w:hideMark/>
          </w:tcPr>
          <w:p w14:paraId="0D38B71D" w14:textId="77777777" w:rsidR="00000000" w:rsidRDefault="00195E73">
            <w:pPr>
              <w:rPr>
                <w:rFonts w:eastAsia="Times New Roman"/>
                <w:sz w:val="20"/>
                <w:szCs w:val="20"/>
              </w:rPr>
            </w:pPr>
          </w:p>
        </w:tc>
        <w:tc>
          <w:tcPr>
            <w:tcW w:w="0" w:type="auto"/>
            <w:vAlign w:val="center"/>
            <w:hideMark/>
          </w:tcPr>
          <w:p w14:paraId="53D588E2" w14:textId="77777777" w:rsidR="00000000" w:rsidRDefault="00195E73">
            <w:pPr>
              <w:rPr>
                <w:rFonts w:eastAsia="Times New Roman"/>
                <w:sz w:val="20"/>
                <w:szCs w:val="20"/>
              </w:rPr>
            </w:pPr>
          </w:p>
        </w:tc>
        <w:tc>
          <w:tcPr>
            <w:tcW w:w="0" w:type="auto"/>
            <w:vAlign w:val="center"/>
            <w:hideMark/>
          </w:tcPr>
          <w:p w14:paraId="41F12C87" w14:textId="77777777" w:rsidR="00000000" w:rsidRDefault="00195E73">
            <w:pPr>
              <w:rPr>
                <w:rFonts w:eastAsia="Times New Roman"/>
                <w:sz w:val="20"/>
                <w:szCs w:val="20"/>
              </w:rPr>
            </w:pPr>
          </w:p>
        </w:tc>
      </w:tr>
      <w:tr w:rsidR="00000000" w14:paraId="2F249044" w14:textId="77777777">
        <w:trPr>
          <w:divId w:val="1490097897"/>
          <w:jc w:val="center"/>
        </w:trPr>
        <w:tc>
          <w:tcPr>
            <w:tcW w:w="0" w:type="auto"/>
            <w:gridSpan w:val="2"/>
            <w:shd w:val="clear" w:color="auto" w:fill="CCEEFF"/>
            <w:tcMar>
              <w:top w:w="30" w:type="dxa"/>
              <w:left w:w="20" w:type="dxa"/>
              <w:bottom w:w="30" w:type="dxa"/>
              <w:right w:w="0" w:type="dxa"/>
            </w:tcMar>
            <w:vAlign w:val="bottom"/>
            <w:hideMark/>
          </w:tcPr>
          <w:p w14:paraId="08C00BBB" w14:textId="77777777" w:rsidR="00000000" w:rsidRDefault="00195E73">
            <w:pPr>
              <w:rPr>
                <w:rFonts w:eastAsia="Times New Roman"/>
              </w:rPr>
            </w:pPr>
            <w:r>
              <w:rPr>
                <w:rFonts w:eastAsia="Times New Roman"/>
                <w:color w:val="000000"/>
                <w:sz w:val="20"/>
                <w:szCs w:val="20"/>
              </w:rPr>
              <w:t>Less: net (loss) income attributable to non-controlling interest</w:t>
            </w:r>
            <w:r>
              <w:rPr>
                <w:rFonts w:eastAsia="Times New Roman"/>
                <w:color w:val="000000"/>
                <w:sz w:val="20"/>
                <w:szCs w:val="20"/>
              </w:rPr>
              <w:t>s</w:t>
            </w:r>
          </w:p>
        </w:tc>
        <w:tc>
          <w:tcPr>
            <w:tcW w:w="0" w:type="auto"/>
            <w:shd w:val="clear" w:color="auto" w:fill="CCEEFF"/>
            <w:tcMar>
              <w:top w:w="30" w:type="dxa"/>
              <w:left w:w="15" w:type="dxa"/>
              <w:bottom w:w="30" w:type="dxa"/>
              <w:right w:w="20" w:type="dxa"/>
            </w:tcMar>
            <w:vAlign w:val="bottom"/>
            <w:hideMark/>
          </w:tcPr>
          <w:p w14:paraId="4A8EC55F"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6236AF71" w14:textId="77777777" w:rsidR="00000000" w:rsidRDefault="00195E73">
            <w:pPr>
              <w:jc w:val="right"/>
              <w:rPr>
                <w:rFonts w:eastAsia="Times New Roman"/>
              </w:rPr>
            </w:pPr>
            <w:r>
              <w:rPr>
                <w:rFonts w:eastAsia="Times New Roman"/>
                <w:color w:val="000000"/>
                <w:sz w:val="20"/>
                <w:szCs w:val="20"/>
              </w:rPr>
              <w:t>(693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6F56B6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02610B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5CA641" w14:textId="77777777" w:rsidR="00000000" w:rsidRDefault="00195E73">
            <w:pPr>
              <w:jc w:val="right"/>
              <w:rPr>
                <w:rFonts w:eastAsia="Times New Roman"/>
              </w:rPr>
            </w:pPr>
            <w:r>
              <w:rPr>
                <w:rFonts w:eastAsia="Times New Roman"/>
                <w:color w:val="000000"/>
                <w:sz w:val="20"/>
                <w:szCs w:val="20"/>
              </w:rPr>
              <w:t>519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63010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2B354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A87096" w14:textId="77777777" w:rsidR="00000000" w:rsidRDefault="00195E73">
            <w:pPr>
              <w:jc w:val="right"/>
              <w:rPr>
                <w:rFonts w:eastAsia="Times New Roman"/>
              </w:rPr>
            </w:pPr>
            <w:r>
              <w:rPr>
                <w:rFonts w:eastAsia="Times New Roman"/>
                <w:color w:val="000000"/>
                <w:sz w:val="20"/>
                <w:szCs w:val="20"/>
              </w:rPr>
              <w:t>178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5F40B5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E653665" w14:textId="77777777" w:rsidR="00000000" w:rsidRDefault="00195E73">
            <w:pPr>
              <w:rPr>
                <w:rFonts w:eastAsia="Times New Roman"/>
                <w:sz w:val="20"/>
                <w:szCs w:val="20"/>
              </w:rPr>
            </w:pPr>
          </w:p>
        </w:tc>
        <w:tc>
          <w:tcPr>
            <w:tcW w:w="0" w:type="auto"/>
            <w:vAlign w:val="center"/>
            <w:hideMark/>
          </w:tcPr>
          <w:p w14:paraId="7BE49655" w14:textId="77777777" w:rsidR="00000000" w:rsidRDefault="00195E73">
            <w:pPr>
              <w:rPr>
                <w:rFonts w:eastAsia="Times New Roman"/>
                <w:sz w:val="20"/>
                <w:szCs w:val="20"/>
              </w:rPr>
            </w:pPr>
          </w:p>
        </w:tc>
        <w:tc>
          <w:tcPr>
            <w:tcW w:w="0" w:type="auto"/>
            <w:vAlign w:val="center"/>
            <w:hideMark/>
          </w:tcPr>
          <w:p w14:paraId="0B682C53" w14:textId="77777777" w:rsidR="00000000" w:rsidRDefault="00195E73">
            <w:pPr>
              <w:rPr>
                <w:rFonts w:eastAsia="Times New Roman"/>
                <w:sz w:val="20"/>
                <w:szCs w:val="20"/>
              </w:rPr>
            </w:pPr>
          </w:p>
        </w:tc>
        <w:tc>
          <w:tcPr>
            <w:tcW w:w="0" w:type="auto"/>
            <w:vAlign w:val="center"/>
            <w:hideMark/>
          </w:tcPr>
          <w:p w14:paraId="36791FEE" w14:textId="77777777" w:rsidR="00000000" w:rsidRDefault="00195E73">
            <w:pPr>
              <w:rPr>
                <w:rFonts w:eastAsia="Times New Roman"/>
                <w:sz w:val="20"/>
                <w:szCs w:val="20"/>
              </w:rPr>
            </w:pPr>
          </w:p>
        </w:tc>
        <w:tc>
          <w:tcPr>
            <w:tcW w:w="0" w:type="auto"/>
            <w:vAlign w:val="center"/>
            <w:hideMark/>
          </w:tcPr>
          <w:p w14:paraId="5FCAB4A4" w14:textId="77777777" w:rsidR="00000000" w:rsidRDefault="00195E73">
            <w:pPr>
              <w:rPr>
                <w:rFonts w:eastAsia="Times New Roman"/>
                <w:sz w:val="20"/>
                <w:szCs w:val="20"/>
              </w:rPr>
            </w:pPr>
          </w:p>
        </w:tc>
        <w:tc>
          <w:tcPr>
            <w:tcW w:w="0" w:type="auto"/>
            <w:vAlign w:val="center"/>
            <w:hideMark/>
          </w:tcPr>
          <w:p w14:paraId="7E80E6D8" w14:textId="77777777" w:rsidR="00000000" w:rsidRDefault="00195E73">
            <w:pPr>
              <w:rPr>
                <w:rFonts w:eastAsia="Times New Roman"/>
                <w:sz w:val="20"/>
                <w:szCs w:val="20"/>
              </w:rPr>
            </w:pPr>
          </w:p>
        </w:tc>
        <w:tc>
          <w:tcPr>
            <w:tcW w:w="0" w:type="auto"/>
            <w:vAlign w:val="center"/>
            <w:hideMark/>
          </w:tcPr>
          <w:p w14:paraId="3224E28F" w14:textId="77777777" w:rsidR="00000000" w:rsidRDefault="00195E73">
            <w:pPr>
              <w:rPr>
                <w:rFonts w:eastAsia="Times New Roman"/>
                <w:sz w:val="20"/>
                <w:szCs w:val="20"/>
              </w:rPr>
            </w:pPr>
          </w:p>
        </w:tc>
        <w:tc>
          <w:tcPr>
            <w:tcW w:w="0" w:type="auto"/>
            <w:vAlign w:val="center"/>
            <w:hideMark/>
          </w:tcPr>
          <w:p w14:paraId="4C14459D" w14:textId="77777777" w:rsidR="00000000" w:rsidRDefault="00195E73">
            <w:pPr>
              <w:rPr>
                <w:rFonts w:eastAsia="Times New Roman"/>
                <w:sz w:val="20"/>
                <w:szCs w:val="20"/>
              </w:rPr>
            </w:pPr>
          </w:p>
        </w:tc>
        <w:tc>
          <w:tcPr>
            <w:tcW w:w="0" w:type="auto"/>
            <w:vAlign w:val="center"/>
            <w:hideMark/>
          </w:tcPr>
          <w:p w14:paraId="40BF84AE" w14:textId="77777777" w:rsidR="00000000" w:rsidRDefault="00195E73">
            <w:pPr>
              <w:rPr>
                <w:rFonts w:eastAsia="Times New Roman"/>
                <w:sz w:val="20"/>
                <w:szCs w:val="20"/>
              </w:rPr>
            </w:pPr>
          </w:p>
        </w:tc>
        <w:tc>
          <w:tcPr>
            <w:tcW w:w="0" w:type="auto"/>
            <w:vAlign w:val="center"/>
            <w:hideMark/>
          </w:tcPr>
          <w:p w14:paraId="0E51EF97" w14:textId="77777777" w:rsidR="00000000" w:rsidRDefault="00195E73">
            <w:pPr>
              <w:rPr>
                <w:rFonts w:eastAsia="Times New Roman"/>
                <w:sz w:val="20"/>
                <w:szCs w:val="20"/>
              </w:rPr>
            </w:pPr>
          </w:p>
        </w:tc>
        <w:tc>
          <w:tcPr>
            <w:tcW w:w="0" w:type="auto"/>
            <w:vAlign w:val="center"/>
            <w:hideMark/>
          </w:tcPr>
          <w:p w14:paraId="7861284D" w14:textId="77777777" w:rsidR="00000000" w:rsidRDefault="00195E73">
            <w:pPr>
              <w:rPr>
                <w:rFonts w:eastAsia="Times New Roman"/>
                <w:sz w:val="20"/>
                <w:szCs w:val="20"/>
              </w:rPr>
            </w:pPr>
          </w:p>
        </w:tc>
        <w:tc>
          <w:tcPr>
            <w:tcW w:w="0" w:type="auto"/>
            <w:vAlign w:val="center"/>
            <w:hideMark/>
          </w:tcPr>
          <w:p w14:paraId="425417DF" w14:textId="77777777" w:rsidR="00000000" w:rsidRDefault="00195E73">
            <w:pPr>
              <w:rPr>
                <w:rFonts w:eastAsia="Times New Roman"/>
                <w:sz w:val="20"/>
                <w:szCs w:val="20"/>
              </w:rPr>
            </w:pPr>
          </w:p>
        </w:tc>
      </w:tr>
      <w:tr w:rsidR="00000000" w14:paraId="06CDC8F8" w14:textId="77777777">
        <w:trPr>
          <w:divId w:val="1490097897"/>
          <w:jc w:val="center"/>
        </w:trPr>
        <w:tc>
          <w:tcPr>
            <w:tcW w:w="0" w:type="auto"/>
            <w:gridSpan w:val="3"/>
            <w:shd w:val="clear" w:color="auto" w:fill="FFFFFF"/>
            <w:tcMar>
              <w:top w:w="30" w:type="dxa"/>
              <w:left w:w="20" w:type="dxa"/>
              <w:bottom w:w="30" w:type="dxa"/>
              <w:right w:w="20" w:type="dxa"/>
            </w:tcMar>
            <w:vAlign w:val="bottom"/>
            <w:hideMark/>
          </w:tcPr>
          <w:p w14:paraId="28BF5AC5" w14:textId="77777777" w:rsidR="00000000" w:rsidRDefault="00195E73">
            <w:pPr>
              <w:rPr>
                <w:rFonts w:eastAsia="Times New Roman"/>
              </w:rPr>
            </w:pPr>
            <w:r>
              <w:rPr>
                <w:rFonts w:eastAsia="Times New Roman"/>
                <w:color w:val="000000"/>
                <w:sz w:val="20"/>
                <w:szCs w:val="20"/>
              </w:rPr>
              <w:t>Net (loss) income attributable to Icahn Enterprises Holding</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009F7C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97380AF" w14:textId="77777777" w:rsidR="00000000" w:rsidRDefault="00195E73">
            <w:pPr>
              <w:jc w:val="right"/>
              <w:rPr>
                <w:rFonts w:eastAsia="Times New Roman"/>
              </w:rPr>
            </w:pPr>
            <w:r>
              <w:rPr>
                <w:rFonts w:eastAsia="Times New Roman"/>
                <w:color w:val="000000"/>
                <w:sz w:val="20"/>
                <w:szCs w:val="20"/>
              </w:rPr>
              <w:t>(1,097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F1C88E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4BDAD4A"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BADA46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F891048" w14:textId="77777777" w:rsidR="00000000" w:rsidRDefault="00195E73">
            <w:pPr>
              <w:jc w:val="right"/>
              <w:rPr>
                <w:rFonts w:eastAsia="Times New Roman"/>
              </w:rPr>
            </w:pPr>
            <w:r>
              <w:rPr>
                <w:rFonts w:eastAsia="Times New Roman"/>
                <w:color w:val="000000"/>
                <w:sz w:val="20"/>
                <w:szCs w:val="20"/>
              </w:rPr>
              <w:t>1,483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842869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B31AF3D"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C1C77F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B3369DE" w14:textId="77777777" w:rsidR="00000000" w:rsidRDefault="00195E73">
            <w:pPr>
              <w:jc w:val="right"/>
              <w:rPr>
                <w:rFonts w:eastAsia="Times New Roman"/>
              </w:rPr>
            </w:pPr>
            <w:r>
              <w:rPr>
                <w:rFonts w:eastAsia="Times New Roman"/>
                <w:color w:val="000000"/>
                <w:sz w:val="20"/>
                <w:szCs w:val="20"/>
              </w:rPr>
              <w:t>2,456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E713E6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9736CE1" w14:textId="77777777" w:rsidR="00000000" w:rsidRDefault="00195E73">
            <w:pPr>
              <w:rPr>
                <w:rFonts w:eastAsia="Times New Roman"/>
                <w:sz w:val="20"/>
                <w:szCs w:val="20"/>
              </w:rPr>
            </w:pPr>
          </w:p>
        </w:tc>
        <w:tc>
          <w:tcPr>
            <w:tcW w:w="0" w:type="auto"/>
            <w:vAlign w:val="center"/>
            <w:hideMark/>
          </w:tcPr>
          <w:p w14:paraId="4C24B274" w14:textId="77777777" w:rsidR="00000000" w:rsidRDefault="00195E73">
            <w:pPr>
              <w:rPr>
                <w:rFonts w:eastAsia="Times New Roman"/>
                <w:sz w:val="20"/>
                <w:szCs w:val="20"/>
              </w:rPr>
            </w:pPr>
          </w:p>
        </w:tc>
        <w:tc>
          <w:tcPr>
            <w:tcW w:w="0" w:type="auto"/>
            <w:vAlign w:val="center"/>
            <w:hideMark/>
          </w:tcPr>
          <w:p w14:paraId="36DEE741" w14:textId="77777777" w:rsidR="00000000" w:rsidRDefault="00195E73">
            <w:pPr>
              <w:rPr>
                <w:rFonts w:eastAsia="Times New Roman"/>
                <w:sz w:val="20"/>
                <w:szCs w:val="20"/>
              </w:rPr>
            </w:pPr>
          </w:p>
        </w:tc>
        <w:tc>
          <w:tcPr>
            <w:tcW w:w="0" w:type="auto"/>
            <w:vAlign w:val="center"/>
            <w:hideMark/>
          </w:tcPr>
          <w:p w14:paraId="205A7DA9" w14:textId="77777777" w:rsidR="00000000" w:rsidRDefault="00195E73">
            <w:pPr>
              <w:rPr>
                <w:rFonts w:eastAsia="Times New Roman"/>
                <w:sz w:val="20"/>
                <w:szCs w:val="20"/>
              </w:rPr>
            </w:pPr>
          </w:p>
        </w:tc>
        <w:tc>
          <w:tcPr>
            <w:tcW w:w="0" w:type="auto"/>
            <w:vAlign w:val="center"/>
            <w:hideMark/>
          </w:tcPr>
          <w:p w14:paraId="4A937617" w14:textId="77777777" w:rsidR="00000000" w:rsidRDefault="00195E73">
            <w:pPr>
              <w:rPr>
                <w:rFonts w:eastAsia="Times New Roman"/>
                <w:sz w:val="20"/>
                <w:szCs w:val="20"/>
              </w:rPr>
            </w:pPr>
          </w:p>
        </w:tc>
        <w:tc>
          <w:tcPr>
            <w:tcW w:w="0" w:type="auto"/>
            <w:vAlign w:val="center"/>
            <w:hideMark/>
          </w:tcPr>
          <w:p w14:paraId="162624F4" w14:textId="77777777" w:rsidR="00000000" w:rsidRDefault="00195E73">
            <w:pPr>
              <w:rPr>
                <w:rFonts w:eastAsia="Times New Roman"/>
                <w:sz w:val="20"/>
                <w:szCs w:val="20"/>
              </w:rPr>
            </w:pPr>
          </w:p>
        </w:tc>
        <w:tc>
          <w:tcPr>
            <w:tcW w:w="0" w:type="auto"/>
            <w:vAlign w:val="center"/>
            <w:hideMark/>
          </w:tcPr>
          <w:p w14:paraId="50645AE3" w14:textId="77777777" w:rsidR="00000000" w:rsidRDefault="00195E73">
            <w:pPr>
              <w:rPr>
                <w:rFonts w:eastAsia="Times New Roman"/>
                <w:sz w:val="20"/>
                <w:szCs w:val="20"/>
              </w:rPr>
            </w:pPr>
          </w:p>
        </w:tc>
        <w:tc>
          <w:tcPr>
            <w:tcW w:w="0" w:type="auto"/>
            <w:vAlign w:val="center"/>
            <w:hideMark/>
          </w:tcPr>
          <w:p w14:paraId="34FFA3C9" w14:textId="77777777" w:rsidR="00000000" w:rsidRDefault="00195E73">
            <w:pPr>
              <w:rPr>
                <w:rFonts w:eastAsia="Times New Roman"/>
                <w:sz w:val="20"/>
                <w:szCs w:val="20"/>
              </w:rPr>
            </w:pPr>
          </w:p>
        </w:tc>
        <w:tc>
          <w:tcPr>
            <w:tcW w:w="0" w:type="auto"/>
            <w:vAlign w:val="center"/>
            <w:hideMark/>
          </w:tcPr>
          <w:p w14:paraId="4E3B3062" w14:textId="77777777" w:rsidR="00000000" w:rsidRDefault="00195E73">
            <w:pPr>
              <w:rPr>
                <w:rFonts w:eastAsia="Times New Roman"/>
                <w:sz w:val="20"/>
                <w:szCs w:val="20"/>
              </w:rPr>
            </w:pPr>
          </w:p>
        </w:tc>
        <w:tc>
          <w:tcPr>
            <w:tcW w:w="0" w:type="auto"/>
            <w:vAlign w:val="center"/>
            <w:hideMark/>
          </w:tcPr>
          <w:p w14:paraId="4FBBFBB0" w14:textId="77777777" w:rsidR="00000000" w:rsidRDefault="00195E73">
            <w:pPr>
              <w:rPr>
                <w:rFonts w:eastAsia="Times New Roman"/>
                <w:sz w:val="20"/>
                <w:szCs w:val="20"/>
              </w:rPr>
            </w:pPr>
          </w:p>
        </w:tc>
        <w:tc>
          <w:tcPr>
            <w:tcW w:w="0" w:type="auto"/>
            <w:vAlign w:val="center"/>
            <w:hideMark/>
          </w:tcPr>
          <w:p w14:paraId="79B371D7" w14:textId="77777777" w:rsidR="00000000" w:rsidRDefault="00195E73">
            <w:pPr>
              <w:rPr>
                <w:rFonts w:eastAsia="Times New Roman"/>
                <w:sz w:val="20"/>
                <w:szCs w:val="20"/>
              </w:rPr>
            </w:pPr>
          </w:p>
        </w:tc>
        <w:tc>
          <w:tcPr>
            <w:tcW w:w="0" w:type="auto"/>
            <w:vAlign w:val="center"/>
            <w:hideMark/>
          </w:tcPr>
          <w:p w14:paraId="74233C50" w14:textId="77777777" w:rsidR="00000000" w:rsidRDefault="00195E73">
            <w:pPr>
              <w:rPr>
                <w:rFonts w:eastAsia="Times New Roman"/>
                <w:sz w:val="20"/>
                <w:szCs w:val="20"/>
              </w:rPr>
            </w:pPr>
          </w:p>
        </w:tc>
      </w:tr>
      <w:tr w:rsidR="00000000" w14:paraId="09E29A42" w14:textId="77777777">
        <w:trPr>
          <w:divId w:val="1490097897"/>
          <w:trHeight w:val="300"/>
          <w:jc w:val="center"/>
        </w:trPr>
        <w:tc>
          <w:tcPr>
            <w:tcW w:w="0" w:type="auto"/>
            <w:gridSpan w:val="3"/>
            <w:shd w:val="clear" w:color="auto" w:fill="CCEEFF"/>
            <w:tcMar>
              <w:top w:w="15" w:type="dxa"/>
              <w:left w:w="20" w:type="dxa"/>
              <w:bottom w:w="15" w:type="dxa"/>
              <w:right w:w="20" w:type="dxa"/>
            </w:tcMar>
            <w:vAlign w:val="bottom"/>
            <w:hideMark/>
          </w:tcPr>
          <w:p w14:paraId="1FA387F8" w14:textId="77777777" w:rsidR="00000000" w:rsidRDefault="00195E73">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5FA3FF92"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1907302"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D98EDF2"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EED04B4"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5DA322D" w14:textId="77777777" w:rsidR="00000000" w:rsidRDefault="00195E73">
            <w:pPr>
              <w:rPr>
                <w:rFonts w:eastAsia="Times New Roman"/>
                <w:sz w:val="20"/>
                <w:szCs w:val="20"/>
              </w:rPr>
            </w:pPr>
          </w:p>
        </w:tc>
        <w:tc>
          <w:tcPr>
            <w:tcW w:w="0" w:type="auto"/>
            <w:vAlign w:val="center"/>
            <w:hideMark/>
          </w:tcPr>
          <w:p w14:paraId="3EC3B872" w14:textId="77777777" w:rsidR="00000000" w:rsidRDefault="00195E73">
            <w:pPr>
              <w:rPr>
                <w:rFonts w:eastAsia="Times New Roman"/>
                <w:sz w:val="20"/>
                <w:szCs w:val="20"/>
              </w:rPr>
            </w:pPr>
          </w:p>
        </w:tc>
        <w:tc>
          <w:tcPr>
            <w:tcW w:w="0" w:type="auto"/>
            <w:vAlign w:val="center"/>
            <w:hideMark/>
          </w:tcPr>
          <w:p w14:paraId="7587CDEB" w14:textId="77777777" w:rsidR="00000000" w:rsidRDefault="00195E73">
            <w:pPr>
              <w:rPr>
                <w:rFonts w:eastAsia="Times New Roman"/>
                <w:sz w:val="20"/>
                <w:szCs w:val="20"/>
              </w:rPr>
            </w:pPr>
          </w:p>
        </w:tc>
        <w:tc>
          <w:tcPr>
            <w:tcW w:w="0" w:type="auto"/>
            <w:vAlign w:val="center"/>
            <w:hideMark/>
          </w:tcPr>
          <w:p w14:paraId="75F3AEC6" w14:textId="77777777" w:rsidR="00000000" w:rsidRDefault="00195E73">
            <w:pPr>
              <w:rPr>
                <w:rFonts w:eastAsia="Times New Roman"/>
                <w:sz w:val="20"/>
                <w:szCs w:val="20"/>
              </w:rPr>
            </w:pPr>
          </w:p>
        </w:tc>
        <w:tc>
          <w:tcPr>
            <w:tcW w:w="0" w:type="auto"/>
            <w:vAlign w:val="center"/>
            <w:hideMark/>
          </w:tcPr>
          <w:p w14:paraId="2084CC41" w14:textId="77777777" w:rsidR="00000000" w:rsidRDefault="00195E73">
            <w:pPr>
              <w:rPr>
                <w:rFonts w:eastAsia="Times New Roman"/>
                <w:sz w:val="20"/>
                <w:szCs w:val="20"/>
              </w:rPr>
            </w:pPr>
          </w:p>
        </w:tc>
        <w:tc>
          <w:tcPr>
            <w:tcW w:w="0" w:type="auto"/>
            <w:vAlign w:val="center"/>
            <w:hideMark/>
          </w:tcPr>
          <w:p w14:paraId="219CA9DD" w14:textId="77777777" w:rsidR="00000000" w:rsidRDefault="00195E73">
            <w:pPr>
              <w:rPr>
                <w:rFonts w:eastAsia="Times New Roman"/>
                <w:sz w:val="20"/>
                <w:szCs w:val="20"/>
              </w:rPr>
            </w:pPr>
          </w:p>
        </w:tc>
        <w:tc>
          <w:tcPr>
            <w:tcW w:w="0" w:type="auto"/>
            <w:vAlign w:val="center"/>
            <w:hideMark/>
          </w:tcPr>
          <w:p w14:paraId="122D4B5F" w14:textId="77777777" w:rsidR="00000000" w:rsidRDefault="00195E73">
            <w:pPr>
              <w:rPr>
                <w:rFonts w:eastAsia="Times New Roman"/>
                <w:sz w:val="20"/>
                <w:szCs w:val="20"/>
              </w:rPr>
            </w:pPr>
          </w:p>
        </w:tc>
        <w:tc>
          <w:tcPr>
            <w:tcW w:w="0" w:type="auto"/>
            <w:vAlign w:val="center"/>
            <w:hideMark/>
          </w:tcPr>
          <w:p w14:paraId="6EB124F2" w14:textId="77777777" w:rsidR="00000000" w:rsidRDefault="00195E73">
            <w:pPr>
              <w:rPr>
                <w:rFonts w:eastAsia="Times New Roman"/>
                <w:sz w:val="20"/>
                <w:szCs w:val="20"/>
              </w:rPr>
            </w:pPr>
          </w:p>
        </w:tc>
        <w:tc>
          <w:tcPr>
            <w:tcW w:w="0" w:type="auto"/>
            <w:vAlign w:val="center"/>
            <w:hideMark/>
          </w:tcPr>
          <w:p w14:paraId="1CE342EA" w14:textId="77777777" w:rsidR="00000000" w:rsidRDefault="00195E73">
            <w:pPr>
              <w:rPr>
                <w:rFonts w:eastAsia="Times New Roman"/>
                <w:sz w:val="20"/>
                <w:szCs w:val="20"/>
              </w:rPr>
            </w:pPr>
          </w:p>
        </w:tc>
        <w:tc>
          <w:tcPr>
            <w:tcW w:w="0" w:type="auto"/>
            <w:vAlign w:val="center"/>
            <w:hideMark/>
          </w:tcPr>
          <w:p w14:paraId="558ACD2B" w14:textId="77777777" w:rsidR="00000000" w:rsidRDefault="00195E73">
            <w:pPr>
              <w:rPr>
                <w:rFonts w:eastAsia="Times New Roman"/>
                <w:sz w:val="20"/>
                <w:szCs w:val="20"/>
              </w:rPr>
            </w:pPr>
          </w:p>
        </w:tc>
        <w:tc>
          <w:tcPr>
            <w:tcW w:w="0" w:type="auto"/>
            <w:vAlign w:val="center"/>
            <w:hideMark/>
          </w:tcPr>
          <w:p w14:paraId="48EDD35F" w14:textId="77777777" w:rsidR="00000000" w:rsidRDefault="00195E73">
            <w:pPr>
              <w:rPr>
                <w:rFonts w:eastAsia="Times New Roman"/>
                <w:sz w:val="20"/>
                <w:szCs w:val="20"/>
              </w:rPr>
            </w:pPr>
          </w:p>
        </w:tc>
        <w:tc>
          <w:tcPr>
            <w:tcW w:w="0" w:type="auto"/>
            <w:vAlign w:val="center"/>
            <w:hideMark/>
          </w:tcPr>
          <w:p w14:paraId="66D2BACD" w14:textId="77777777" w:rsidR="00000000" w:rsidRDefault="00195E73">
            <w:pPr>
              <w:rPr>
                <w:rFonts w:eastAsia="Times New Roman"/>
                <w:sz w:val="20"/>
                <w:szCs w:val="20"/>
              </w:rPr>
            </w:pPr>
          </w:p>
        </w:tc>
        <w:tc>
          <w:tcPr>
            <w:tcW w:w="0" w:type="auto"/>
            <w:vAlign w:val="center"/>
            <w:hideMark/>
          </w:tcPr>
          <w:p w14:paraId="3D553BC4" w14:textId="77777777" w:rsidR="00000000" w:rsidRDefault="00195E73">
            <w:pPr>
              <w:rPr>
                <w:rFonts w:eastAsia="Times New Roman"/>
                <w:sz w:val="20"/>
                <w:szCs w:val="20"/>
              </w:rPr>
            </w:pPr>
          </w:p>
        </w:tc>
      </w:tr>
      <w:tr w:rsidR="00000000" w14:paraId="7A43C4EE" w14:textId="77777777">
        <w:trPr>
          <w:divId w:val="1490097897"/>
          <w:jc w:val="center"/>
        </w:trPr>
        <w:tc>
          <w:tcPr>
            <w:tcW w:w="0" w:type="auto"/>
            <w:gridSpan w:val="3"/>
            <w:shd w:val="clear" w:color="auto" w:fill="FFFFFF"/>
            <w:tcMar>
              <w:top w:w="30" w:type="dxa"/>
              <w:left w:w="20" w:type="dxa"/>
              <w:bottom w:w="30" w:type="dxa"/>
              <w:right w:w="20" w:type="dxa"/>
            </w:tcMar>
            <w:vAlign w:val="bottom"/>
            <w:hideMark/>
          </w:tcPr>
          <w:p w14:paraId="55449777" w14:textId="77777777" w:rsidR="00000000" w:rsidRDefault="00195E73">
            <w:pPr>
              <w:rPr>
                <w:rFonts w:eastAsia="Times New Roman"/>
              </w:rPr>
            </w:pPr>
            <w:r>
              <w:rPr>
                <w:rFonts w:eastAsia="Times New Roman"/>
                <w:color w:val="000000"/>
                <w:sz w:val="20"/>
                <w:szCs w:val="20"/>
              </w:rPr>
              <w:t>Net (loss) income attributable to Icahn Enterprises Holdings from</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437380A1"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11A768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F4120C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093846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64B44E6" w14:textId="77777777" w:rsidR="00000000" w:rsidRDefault="00195E73">
            <w:pPr>
              <w:rPr>
                <w:rFonts w:eastAsia="Times New Roman"/>
                <w:sz w:val="20"/>
                <w:szCs w:val="20"/>
              </w:rPr>
            </w:pPr>
          </w:p>
        </w:tc>
        <w:tc>
          <w:tcPr>
            <w:tcW w:w="0" w:type="auto"/>
            <w:vAlign w:val="center"/>
            <w:hideMark/>
          </w:tcPr>
          <w:p w14:paraId="709F1188" w14:textId="77777777" w:rsidR="00000000" w:rsidRDefault="00195E73">
            <w:pPr>
              <w:rPr>
                <w:rFonts w:eastAsia="Times New Roman"/>
                <w:sz w:val="20"/>
                <w:szCs w:val="20"/>
              </w:rPr>
            </w:pPr>
          </w:p>
        </w:tc>
        <w:tc>
          <w:tcPr>
            <w:tcW w:w="0" w:type="auto"/>
            <w:vAlign w:val="center"/>
            <w:hideMark/>
          </w:tcPr>
          <w:p w14:paraId="2170706A" w14:textId="77777777" w:rsidR="00000000" w:rsidRDefault="00195E73">
            <w:pPr>
              <w:rPr>
                <w:rFonts w:eastAsia="Times New Roman"/>
                <w:sz w:val="20"/>
                <w:szCs w:val="20"/>
              </w:rPr>
            </w:pPr>
          </w:p>
        </w:tc>
        <w:tc>
          <w:tcPr>
            <w:tcW w:w="0" w:type="auto"/>
            <w:vAlign w:val="center"/>
            <w:hideMark/>
          </w:tcPr>
          <w:p w14:paraId="71955C76" w14:textId="77777777" w:rsidR="00000000" w:rsidRDefault="00195E73">
            <w:pPr>
              <w:rPr>
                <w:rFonts w:eastAsia="Times New Roman"/>
                <w:sz w:val="20"/>
                <w:szCs w:val="20"/>
              </w:rPr>
            </w:pPr>
          </w:p>
        </w:tc>
        <w:tc>
          <w:tcPr>
            <w:tcW w:w="0" w:type="auto"/>
            <w:vAlign w:val="center"/>
            <w:hideMark/>
          </w:tcPr>
          <w:p w14:paraId="0A08FF6D" w14:textId="77777777" w:rsidR="00000000" w:rsidRDefault="00195E73">
            <w:pPr>
              <w:rPr>
                <w:rFonts w:eastAsia="Times New Roman"/>
                <w:sz w:val="20"/>
                <w:szCs w:val="20"/>
              </w:rPr>
            </w:pPr>
          </w:p>
        </w:tc>
        <w:tc>
          <w:tcPr>
            <w:tcW w:w="0" w:type="auto"/>
            <w:vAlign w:val="center"/>
            <w:hideMark/>
          </w:tcPr>
          <w:p w14:paraId="163BA316" w14:textId="77777777" w:rsidR="00000000" w:rsidRDefault="00195E73">
            <w:pPr>
              <w:rPr>
                <w:rFonts w:eastAsia="Times New Roman"/>
                <w:sz w:val="20"/>
                <w:szCs w:val="20"/>
              </w:rPr>
            </w:pPr>
          </w:p>
        </w:tc>
        <w:tc>
          <w:tcPr>
            <w:tcW w:w="0" w:type="auto"/>
            <w:vAlign w:val="center"/>
            <w:hideMark/>
          </w:tcPr>
          <w:p w14:paraId="08EC3619" w14:textId="77777777" w:rsidR="00000000" w:rsidRDefault="00195E73">
            <w:pPr>
              <w:rPr>
                <w:rFonts w:eastAsia="Times New Roman"/>
                <w:sz w:val="20"/>
                <w:szCs w:val="20"/>
              </w:rPr>
            </w:pPr>
          </w:p>
        </w:tc>
        <w:tc>
          <w:tcPr>
            <w:tcW w:w="0" w:type="auto"/>
            <w:vAlign w:val="center"/>
            <w:hideMark/>
          </w:tcPr>
          <w:p w14:paraId="68E40BE9" w14:textId="77777777" w:rsidR="00000000" w:rsidRDefault="00195E73">
            <w:pPr>
              <w:rPr>
                <w:rFonts w:eastAsia="Times New Roman"/>
                <w:sz w:val="20"/>
                <w:szCs w:val="20"/>
              </w:rPr>
            </w:pPr>
          </w:p>
        </w:tc>
        <w:tc>
          <w:tcPr>
            <w:tcW w:w="0" w:type="auto"/>
            <w:vAlign w:val="center"/>
            <w:hideMark/>
          </w:tcPr>
          <w:p w14:paraId="0FA9D7A4" w14:textId="77777777" w:rsidR="00000000" w:rsidRDefault="00195E73">
            <w:pPr>
              <w:rPr>
                <w:rFonts w:eastAsia="Times New Roman"/>
                <w:sz w:val="20"/>
                <w:szCs w:val="20"/>
              </w:rPr>
            </w:pPr>
          </w:p>
        </w:tc>
        <w:tc>
          <w:tcPr>
            <w:tcW w:w="0" w:type="auto"/>
            <w:vAlign w:val="center"/>
            <w:hideMark/>
          </w:tcPr>
          <w:p w14:paraId="01C27AEF" w14:textId="77777777" w:rsidR="00000000" w:rsidRDefault="00195E73">
            <w:pPr>
              <w:rPr>
                <w:rFonts w:eastAsia="Times New Roman"/>
                <w:sz w:val="20"/>
                <w:szCs w:val="20"/>
              </w:rPr>
            </w:pPr>
          </w:p>
        </w:tc>
        <w:tc>
          <w:tcPr>
            <w:tcW w:w="0" w:type="auto"/>
            <w:vAlign w:val="center"/>
            <w:hideMark/>
          </w:tcPr>
          <w:p w14:paraId="1CF2D9D3" w14:textId="77777777" w:rsidR="00000000" w:rsidRDefault="00195E73">
            <w:pPr>
              <w:rPr>
                <w:rFonts w:eastAsia="Times New Roman"/>
                <w:sz w:val="20"/>
                <w:szCs w:val="20"/>
              </w:rPr>
            </w:pPr>
          </w:p>
        </w:tc>
        <w:tc>
          <w:tcPr>
            <w:tcW w:w="0" w:type="auto"/>
            <w:vAlign w:val="center"/>
            <w:hideMark/>
          </w:tcPr>
          <w:p w14:paraId="2B9B3392" w14:textId="77777777" w:rsidR="00000000" w:rsidRDefault="00195E73">
            <w:pPr>
              <w:rPr>
                <w:rFonts w:eastAsia="Times New Roman"/>
                <w:sz w:val="20"/>
                <w:szCs w:val="20"/>
              </w:rPr>
            </w:pPr>
          </w:p>
        </w:tc>
        <w:tc>
          <w:tcPr>
            <w:tcW w:w="0" w:type="auto"/>
            <w:vAlign w:val="center"/>
            <w:hideMark/>
          </w:tcPr>
          <w:p w14:paraId="7C163031" w14:textId="77777777" w:rsidR="00000000" w:rsidRDefault="00195E73">
            <w:pPr>
              <w:rPr>
                <w:rFonts w:eastAsia="Times New Roman"/>
                <w:sz w:val="20"/>
                <w:szCs w:val="20"/>
              </w:rPr>
            </w:pPr>
          </w:p>
        </w:tc>
      </w:tr>
      <w:tr w:rsidR="00000000" w14:paraId="760CC888" w14:textId="77777777">
        <w:trPr>
          <w:divId w:val="1490097897"/>
          <w:jc w:val="center"/>
        </w:trPr>
        <w:tc>
          <w:tcPr>
            <w:tcW w:w="0" w:type="auto"/>
            <w:gridSpan w:val="3"/>
            <w:shd w:val="clear" w:color="auto" w:fill="CCEEFF"/>
            <w:tcMar>
              <w:top w:w="30" w:type="dxa"/>
              <w:left w:w="20" w:type="dxa"/>
              <w:bottom w:w="30" w:type="dxa"/>
              <w:right w:w="20" w:type="dxa"/>
            </w:tcMar>
            <w:vAlign w:val="bottom"/>
            <w:hideMark/>
          </w:tcPr>
          <w:p w14:paraId="14E6C57E" w14:textId="77777777" w:rsidR="00000000" w:rsidRDefault="00195E73">
            <w:pPr>
              <w:rPr>
                <w:rFonts w:eastAsia="Times New Roman"/>
              </w:rPr>
            </w:pPr>
            <w:r>
              <w:rPr>
                <w:rFonts w:eastAsia="Times New Roman"/>
                <w:color w:val="000000"/>
                <w:sz w:val="20"/>
                <w:szCs w:val="20"/>
              </w:rPr>
              <w:t>   Continuing operation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74331CF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7EAC6F5" w14:textId="77777777" w:rsidR="00000000" w:rsidRDefault="00195E73">
            <w:pPr>
              <w:jc w:val="right"/>
              <w:rPr>
                <w:rFonts w:eastAsia="Times New Roman"/>
              </w:rPr>
            </w:pPr>
            <w:r>
              <w:rPr>
                <w:rFonts w:eastAsia="Times New Roman"/>
                <w:color w:val="000000"/>
                <w:sz w:val="20"/>
                <w:szCs w:val="20"/>
              </w:rPr>
              <w:t>(1,065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4DF8AD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DDE17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11ECAF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55D9656" w14:textId="77777777" w:rsidR="00000000" w:rsidRDefault="00195E73">
            <w:pPr>
              <w:jc w:val="right"/>
              <w:rPr>
                <w:rFonts w:eastAsia="Times New Roman"/>
              </w:rPr>
            </w:pPr>
            <w:r>
              <w:rPr>
                <w:rFonts w:eastAsia="Times New Roman"/>
                <w:color w:val="000000"/>
                <w:sz w:val="20"/>
                <w:szCs w:val="20"/>
              </w:rPr>
              <w:t>(237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25D3FF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6B3DE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332544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CD72831" w14:textId="77777777" w:rsidR="00000000" w:rsidRDefault="00195E73">
            <w:pPr>
              <w:jc w:val="right"/>
              <w:rPr>
                <w:rFonts w:eastAsia="Times New Roman"/>
              </w:rPr>
            </w:pPr>
            <w:r>
              <w:rPr>
                <w:rFonts w:eastAsia="Times New Roman"/>
                <w:color w:val="000000"/>
                <w:sz w:val="20"/>
                <w:szCs w:val="20"/>
              </w:rPr>
              <w:t>2,299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52DACD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44C105D" w14:textId="77777777" w:rsidR="00000000" w:rsidRDefault="00195E73">
            <w:pPr>
              <w:rPr>
                <w:rFonts w:eastAsia="Times New Roman"/>
                <w:sz w:val="20"/>
                <w:szCs w:val="20"/>
              </w:rPr>
            </w:pPr>
          </w:p>
        </w:tc>
        <w:tc>
          <w:tcPr>
            <w:tcW w:w="0" w:type="auto"/>
            <w:vAlign w:val="center"/>
            <w:hideMark/>
          </w:tcPr>
          <w:p w14:paraId="351CA756" w14:textId="77777777" w:rsidR="00000000" w:rsidRDefault="00195E73">
            <w:pPr>
              <w:rPr>
                <w:rFonts w:eastAsia="Times New Roman"/>
                <w:sz w:val="20"/>
                <w:szCs w:val="20"/>
              </w:rPr>
            </w:pPr>
          </w:p>
        </w:tc>
        <w:tc>
          <w:tcPr>
            <w:tcW w:w="0" w:type="auto"/>
            <w:vAlign w:val="center"/>
            <w:hideMark/>
          </w:tcPr>
          <w:p w14:paraId="274C6922" w14:textId="77777777" w:rsidR="00000000" w:rsidRDefault="00195E73">
            <w:pPr>
              <w:rPr>
                <w:rFonts w:eastAsia="Times New Roman"/>
                <w:sz w:val="20"/>
                <w:szCs w:val="20"/>
              </w:rPr>
            </w:pPr>
          </w:p>
        </w:tc>
        <w:tc>
          <w:tcPr>
            <w:tcW w:w="0" w:type="auto"/>
            <w:vAlign w:val="center"/>
            <w:hideMark/>
          </w:tcPr>
          <w:p w14:paraId="3969FD7E" w14:textId="77777777" w:rsidR="00000000" w:rsidRDefault="00195E73">
            <w:pPr>
              <w:rPr>
                <w:rFonts w:eastAsia="Times New Roman"/>
                <w:sz w:val="20"/>
                <w:szCs w:val="20"/>
              </w:rPr>
            </w:pPr>
          </w:p>
        </w:tc>
        <w:tc>
          <w:tcPr>
            <w:tcW w:w="0" w:type="auto"/>
            <w:vAlign w:val="center"/>
            <w:hideMark/>
          </w:tcPr>
          <w:p w14:paraId="322E90D5" w14:textId="77777777" w:rsidR="00000000" w:rsidRDefault="00195E73">
            <w:pPr>
              <w:rPr>
                <w:rFonts w:eastAsia="Times New Roman"/>
                <w:sz w:val="20"/>
                <w:szCs w:val="20"/>
              </w:rPr>
            </w:pPr>
          </w:p>
        </w:tc>
        <w:tc>
          <w:tcPr>
            <w:tcW w:w="0" w:type="auto"/>
            <w:vAlign w:val="center"/>
            <w:hideMark/>
          </w:tcPr>
          <w:p w14:paraId="3F770ED9" w14:textId="77777777" w:rsidR="00000000" w:rsidRDefault="00195E73">
            <w:pPr>
              <w:rPr>
                <w:rFonts w:eastAsia="Times New Roman"/>
                <w:sz w:val="20"/>
                <w:szCs w:val="20"/>
              </w:rPr>
            </w:pPr>
          </w:p>
        </w:tc>
        <w:tc>
          <w:tcPr>
            <w:tcW w:w="0" w:type="auto"/>
            <w:vAlign w:val="center"/>
            <w:hideMark/>
          </w:tcPr>
          <w:p w14:paraId="55818202" w14:textId="77777777" w:rsidR="00000000" w:rsidRDefault="00195E73">
            <w:pPr>
              <w:rPr>
                <w:rFonts w:eastAsia="Times New Roman"/>
                <w:sz w:val="20"/>
                <w:szCs w:val="20"/>
              </w:rPr>
            </w:pPr>
          </w:p>
        </w:tc>
        <w:tc>
          <w:tcPr>
            <w:tcW w:w="0" w:type="auto"/>
            <w:vAlign w:val="center"/>
            <w:hideMark/>
          </w:tcPr>
          <w:p w14:paraId="64656522" w14:textId="77777777" w:rsidR="00000000" w:rsidRDefault="00195E73">
            <w:pPr>
              <w:rPr>
                <w:rFonts w:eastAsia="Times New Roman"/>
                <w:sz w:val="20"/>
                <w:szCs w:val="20"/>
              </w:rPr>
            </w:pPr>
          </w:p>
        </w:tc>
        <w:tc>
          <w:tcPr>
            <w:tcW w:w="0" w:type="auto"/>
            <w:vAlign w:val="center"/>
            <w:hideMark/>
          </w:tcPr>
          <w:p w14:paraId="20E5C476" w14:textId="77777777" w:rsidR="00000000" w:rsidRDefault="00195E73">
            <w:pPr>
              <w:rPr>
                <w:rFonts w:eastAsia="Times New Roman"/>
                <w:sz w:val="20"/>
                <w:szCs w:val="20"/>
              </w:rPr>
            </w:pPr>
          </w:p>
        </w:tc>
        <w:tc>
          <w:tcPr>
            <w:tcW w:w="0" w:type="auto"/>
            <w:vAlign w:val="center"/>
            <w:hideMark/>
          </w:tcPr>
          <w:p w14:paraId="29AEA70E" w14:textId="77777777" w:rsidR="00000000" w:rsidRDefault="00195E73">
            <w:pPr>
              <w:rPr>
                <w:rFonts w:eastAsia="Times New Roman"/>
                <w:sz w:val="20"/>
                <w:szCs w:val="20"/>
              </w:rPr>
            </w:pPr>
          </w:p>
        </w:tc>
        <w:tc>
          <w:tcPr>
            <w:tcW w:w="0" w:type="auto"/>
            <w:vAlign w:val="center"/>
            <w:hideMark/>
          </w:tcPr>
          <w:p w14:paraId="2C4B82CD" w14:textId="77777777" w:rsidR="00000000" w:rsidRDefault="00195E73">
            <w:pPr>
              <w:rPr>
                <w:rFonts w:eastAsia="Times New Roman"/>
                <w:sz w:val="20"/>
                <w:szCs w:val="20"/>
              </w:rPr>
            </w:pPr>
          </w:p>
        </w:tc>
        <w:tc>
          <w:tcPr>
            <w:tcW w:w="0" w:type="auto"/>
            <w:vAlign w:val="center"/>
            <w:hideMark/>
          </w:tcPr>
          <w:p w14:paraId="67E5CD95" w14:textId="77777777" w:rsidR="00000000" w:rsidRDefault="00195E73">
            <w:pPr>
              <w:rPr>
                <w:rFonts w:eastAsia="Times New Roman"/>
                <w:sz w:val="20"/>
                <w:szCs w:val="20"/>
              </w:rPr>
            </w:pPr>
          </w:p>
        </w:tc>
      </w:tr>
      <w:tr w:rsidR="00000000" w14:paraId="0B681849" w14:textId="77777777">
        <w:trPr>
          <w:divId w:val="1490097897"/>
          <w:jc w:val="center"/>
        </w:trPr>
        <w:tc>
          <w:tcPr>
            <w:tcW w:w="0" w:type="auto"/>
            <w:gridSpan w:val="3"/>
            <w:shd w:val="clear" w:color="auto" w:fill="FFFFFF"/>
            <w:tcMar>
              <w:top w:w="30" w:type="dxa"/>
              <w:left w:w="20" w:type="dxa"/>
              <w:bottom w:w="30" w:type="dxa"/>
              <w:right w:w="20" w:type="dxa"/>
            </w:tcMar>
            <w:vAlign w:val="bottom"/>
            <w:hideMark/>
          </w:tcPr>
          <w:p w14:paraId="63760FD3" w14:textId="77777777" w:rsidR="00000000" w:rsidRDefault="00195E73">
            <w:pPr>
              <w:rPr>
                <w:rFonts w:eastAsia="Times New Roman"/>
              </w:rPr>
            </w:pPr>
            <w:r>
              <w:rPr>
                <w:rFonts w:eastAsia="Times New Roman"/>
                <w:color w:val="000000"/>
                <w:sz w:val="20"/>
                <w:szCs w:val="20"/>
              </w:rPr>
              <w:t>   Discontinued operation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34A0CC2" w14:textId="77777777" w:rsidR="00000000" w:rsidRDefault="00195E73">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AD8590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8DC204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CE5F17" w14:textId="77777777" w:rsidR="00000000" w:rsidRDefault="00195E73">
            <w:pPr>
              <w:jc w:val="right"/>
              <w:rPr>
                <w:rFonts w:eastAsia="Times New Roman"/>
              </w:rPr>
            </w:pPr>
            <w:r>
              <w:rPr>
                <w:rFonts w:eastAsia="Times New Roman"/>
                <w:color w:val="000000"/>
                <w:sz w:val="20"/>
                <w:szCs w:val="20"/>
              </w:rPr>
              <w:t>1,720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B22CA6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0BB8B1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D4AC22" w14:textId="77777777" w:rsidR="00000000" w:rsidRDefault="00195E73">
            <w:pPr>
              <w:jc w:val="right"/>
              <w:rPr>
                <w:rFonts w:eastAsia="Times New Roman"/>
              </w:rPr>
            </w:pPr>
            <w:r>
              <w:rPr>
                <w:rFonts w:eastAsia="Times New Roman"/>
                <w:color w:val="000000"/>
                <w:sz w:val="20"/>
                <w:szCs w:val="20"/>
              </w:rPr>
              <w:t>157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ADC4A9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026BCE8" w14:textId="77777777" w:rsidR="00000000" w:rsidRDefault="00195E73">
            <w:pPr>
              <w:rPr>
                <w:rFonts w:eastAsia="Times New Roman"/>
                <w:sz w:val="20"/>
                <w:szCs w:val="20"/>
              </w:rPr>
            </w:pPr>
          </w:p>
        </w:tc>
        <w:tc>
          <w:tcPr>
            <w:tcW w:w="0" w:type="auto"/>
            <w:vAlign w:val="center"/>
            <w:hideMark/>
          </w:tcPr>
          <w:p w14:paraId="6929C448" w14:textId="77777777" w:rsidR="00000000" w:rsidRDefault="00195E73">
            <w:pPr>
              <w:rPr>
                <w:rFonts w:eastAsia="Times New Roman"/>
                <w:sz w:val="20"/>
                <w:szCs w:val="20"/>
              </w:rPr>
            </w:pPr>
          </w:p>
        </w:tc>
        <w:tc>
          <w:tcPr>
            <w:tcW w:w="0" w:type="auto"/>
            <w:vAlign w:val="center"/>
            <w:hideMark/>
          </w:tcPr>
          <w:p w14:paraId="025BDA40" w14:textId="77777777" w:rsidR="00000000" w:rsidRDefault="00195E73">
            <w:pPr>
              <w:rPr>
                <w:rFonts w:eastAsia="Times New Roman"/>
                <w:sz w:val="20"/>
                <w:szCs w:val="20"/>
              </w:rPr>
            </w:pPr>
          </w:p>
        </w:tc>
        <w:tc>
          <w:tcPr>
            <w:tcW w:w="0" w:type="auto"/>
            <w:vAlign w:val="center"/>
            <w:hideMark/>
          </w:tcPr>
          <w:p w14:paraId="18D06DD1" w14:textId="77777777" w:rsidR="00000000" w:rsidRDefault="00195E73">
            <w:pPr>
              <w:rPr>
                <w:rFonts w:eastAsia="Times New Roman"/>
                <w:sz w:val="20"/>
                <w:szCs w:val="20"/>
              </w:rPr>
            </w:pPr>
          </w:p>
        </w:tc>
        <w:tc>
          <w:tcPr>
            <w:tcW w:w="0" w:type="auto"/>
            <w:vAlign w:val="center"/>
            <w:hideMark/>
          </w:tcPr>
          <w:p w14:paraId="0F11B6FC" w14:textId="77777777" w:rsidR="00000000" w:rsidRDefault="00195E73">
            <w:pPr>
              <w:rPr>
                <w:rFonts w:eastAsia="Times New Roman"/>
                <w:sz w:val="20"/>
                <w:szCs w:val="20"/>
              </w:rPr>
            </w:pPr>
          </w:p>
        </w:tc>
        <w:tc>
          <w:tcPr>
            <w:tcW w:w="0" w:type="auto"/>
            <w:vAlign w:val="center"/>
            <w:hideMark/>
          </w:tcPr>
          <w:p w14:paraId="35A593AD" w14:textId="77777777" w:rsidR="00000000" w:rsidRDefault="00195E73">
            <w:pPr>
              <w:rPr>
                <w:rFonts w:eastAsia="Times New Roman"/>
                <w:sz w:val="20"/>
                <w:szCs w:val="20"/>
              </w:rPr>
            </w:pPr>
          </w:p>
        </w:tc>
        <w:tc>
          <w:tcPr>
            <w:tcW w:w="0" w:type="auto"/>
            <w:vAlign w:val="center"/>
            <w:hideMark/>
          </w:tcPr>
          <w:p w14:paraId="2C1F1B2E" w14:textId="77777777" w:rsidR="00000000" w:rsidRDefault="00195E73">
            <w:pPr>
              <w:rPr>
                <w:rFonts w:eastAsia="Times New Roman"/>
                <w:sz w:val="20"/>
                <w:szCs w:val="20"/>
              </w:rPr>
            </w:pPr>
          </w:p>
        </w:tc>
        <w:tc>
          <w:tcPr>
            <w:tcW w:w="0" w:type="auto"/>
            <w:vAlign w:val="center"/>
            <w:hideMark/>
          </w:tcPr>
          <w:p w14:paraId="40628A8E" w14:textId="77777777" w:rsidR="00000000" w:rsidRDefault="00195E73">
            <w:pPr>
              <w:rPr>
                <w:rFonts w:eastAsia="Times New Roman"/>
                <w:sz w:val="20"/>
                <w:szCs w:val="20"/>
              </w:rPr>
            </w:pPr>
          </w:p>
        </w:tc>
        <w:tc>
          <w:tcPr>
            <w:tcW w:w="0" w:type="auto"/>
            <w:vAlign w:val="center"/>
            <w:hideMark/>
          </w:tcPr>
          <w:p w14:paraId="1F6A3112" w14:textId="77777777" w:rsidR="00000000" w:rsidRDefault="00195E73">
            <w:pPr>
              <w:rPr>
                <w:rFonts w:eastAsia="Times New Roman"/>
                <w:sz w:val="20"/>
                <w:szCs w:val="20"/>
              </w:rPr>
            </w:pPr>
          </w:p>
        </w:tc>
        <w:tc>
          <w:tcPr>
            <w:tcW w:w="0" w:type="auto"/>
            <w:vAlign w:val="center"/>
            <w:hideMark/>
          </w:tcPr>
          <w:p w14:paraId="47E93DF4" w14:textId="77777777" w:rsidR="00000000" w:rsidRDefault="00195E73">
            <w:pPr>
              <w:rPr>
                <w:rFonts w:eastAsia="Times New Roman"/>
                <w:sz w:val="20"/>
                <w:szCs w:val="20"/>
              </w:rPr>
            </w:pPr>
          </w:p>
        </w:tc>
        <w:tc>
          <w:tcPr>
            <w:tcW w:w="0" w:type="auto"/>
            <w:vAlign w:val="center"/>
            <w:hideMark/>
          </w:tcPr>
          <w:p w14:paraId="59FA9F3E" w14:textId="77777777" w:rsidR="00000000" w:rsidRDefault="00195E73">
            <w:pPr>
              <w:rPr>
                <w:rFonts w:eastAsia="Times New Roman"/>
                <w:sz w:val="20"/>
                <w:szCs w:val="20"/>
              </w:rPr>
            </w:pPr>
          </w:p>
        </w:tc>
        <w:tc>
          <w:tcPr>
            <w:tcW w:w="0" w:type="auto"/>
            <w:vAlign w:val="center"/>
            <w:hideMark/>
          </w:tcPr>
          <w:p w14:paraId="7EBBF30C" w14:textId="77777777" w:rsidR="00000000" w:rsidRDefault="00195E73">
            <w:pPr>
              <w:rPr>
                <w:rFonts w:eastAsia="Times New Roman"/>
                <w:sz w:val="20"/>
                <w:szCs w:val="20"/>
              </w:rPr>
            </w:pPr>
          </w:p>
        </w:tc>
      </w:tr>
      <w:tr w:rsidR="00000000" w14:paraId="61D3B15C" w14:textId="77777777">
        <w:trPr>
          <w:divId w:val="1490097897"/>
          <w:jc w:val="center"/>
        </w:trPr>
        <w:tc>
          <w:tcPr>
            <w:tcW w:w="0" w:type="auto"/>
            <w:gridSpan w:val="3"/>
            <w:shd w:val="clear" w:color="auto" w:fill="CCEEFF"/>
            <w:tcMar>
              <w:top w:w="15" w:type="dxa"/>
              <w:left w:w="20" w:type="dxa"/>
              <w:bottom w:w="15" w:type="dxa"/>
              <w:right w:w="20" w:type="dxa"/>
            </w:tcMar>
            <w:vAlign w:val="bottom"/>
            <w:hideMark/>
          </w:tcPr>
          <w:p w14:paraId="337864FD"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CC707C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A82ADF7" w14:textId="77777777" w:rsidR="00000000" w:rsidRDefault="00195E73">
            <w:pPr>
              <w:jc w:val="right"/>
              <w:rPr>
                <w:rFonts w:eastAsia="Times New Roman"/>
              </w:rPr>
            </w:pPr>
            <w:r>
              <w:rPr>
                <w:rFonts w:eastAsia="Times New Roman"/>
                <w:color w:val="000000"/>
                <w:sz w:val="20"/>
                <w:szCs w:val="20"/>
              </w:rPr>
              <w:t>(1,097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258D7E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5FF72A"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D99C0D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E8846AF" w14:textId="77777777" w:rsidR="00000000" w:rsidRDefault="00195E73">
            <w:pPr>
              <w:jc w:val="right"/>
              <w:rPr>
                <w:rFonts w:eastAsia="Times New Roman"/>
              </w:rPr>
            </w:pPr>
            <w:r>
              <w:rPr>
                <w:rFonts w:eastAsia="Times New Roman"/>
                <w:color w:val="000000"/>
                <w:sz w:val="20"/>
                <w:szCs w:val="20"/>
              </w:rPr>
              <w:t>1,483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D0C791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8E7F89"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FBF813C"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0CDCC2B" w14:textId="77777777" w:rsidR="00000000" w:rsidRDefault="00195E73">
            <w:pPr>
              <w:jc w:val="right"/>
              <w:rPr>
                <w:rFonts w:eastAsia="Times New Roman"/>
              </w:rPr>
            </w:pPr>
            <w:r>
              <w:rPr>
                <w:rFonts w:eastAsia="Times New Roman"/>
                <w:color w:val="000000"/>
                <w:sz w:val="20"/>
                <w:szCs w:val="20"/>
              </w:rPr>
              <w:t>2,456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21E3A4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CAE9987" w14:textId="77777777" w:rsidR="00000000" w:rsidRDefault="00195E73">
            <w:pPr>
              <w:rPr>
                <w:rFonts w:eastAsia="Times New Roman"/>
                <w:sz w:val="20"/>
                <w:szCs w:val="20"/>
              </w:rPr>
            </w:pPr>
          </w:p>
        </w:tc>
        <w:tc>
          <w:tcPr>
            <w:tcW w:w="0" w:type="auto"/>
            <w:vAlign w:val="center"/>
            <w:hideMark/>
          </w:tcPr>
          <w:p w14:paraId="21448612" w14:textId="77777777" w:rsidR="00000000" w:rsidRDefault="00195E73">
            <w:pPr>
              <w:rPr>
                <w:rFonts w:eastAsia="Times New Roman"/>
                <w:sz w:val="20"/>
                <w:szCs w:val="20"/>
              </w:rPr>
            </w:pPr>
          </w:p>
        </w:tc>
        <w:tc>
          <w:tcPr>
            <w:tcW w:w="0" w:type="auto"/>
            <w:vAlign w:val="center"/>
            <w:hideMark/>
          </w:tcPr>
          <w:p w14:paraId="5CD81297" w14:textId="77777777" w:rsidR="00000000" w:rsidRDefault="00195E73">
            <w:pPr>
              <w:rPr>
                <w:rFonts w:eastAsia="Times New Roman"/>
                <w:sz w:val="20"/>
                <w:szCs w:val="20"/>
              </w:rPr>
            </w:pPr>
          </w:p>
        </w:tc>
        <w:tc>
          <w:tcPr>
            <w:tcW w:w="0" w:type="auto"/>
            <w:vAlign w:val="center"/>
            <w:hideMark/>
          </w:tcPr>
          <w:p w14:paraId="684E1194" w14:textId="77777777" w:rsidR="00000000" w:rsidRDefault="00195E73">
            <w:pPr>
              <w:rPr>
                <w:rFonts w:eastAsia="Times New Roman"/>
                <w:sz w:val="20"/>
                <w:szCs w:val="20"/>
              </w:rPr>
            </w:pPr>
          </w:p>
        </w:tc>
        <w:tc>
          <w:tcPr>
            <w:tcW w:w="0" w:type="auto"/>
            <w:vAlign w:val="center"/>
            <w:hideMark/>
          </w:tcPr>
          <w:p w14:paraId="16055C18" w14:textId="77777777" w:rsidR="00000000" w:rsidRDefault="00195E73">
            <w:pPr>
              <w:rPr>
                <w:rFonts w:eastAsia="Times New Roman"/>
                <w:sz w:val="20"/>
                <w:szCs w:val="20"/>
              </w:rPr>
            </w:pPr>
          </w:p>
        </w:tc>
        <w:tc>
          <w:tcPr>
            <w:tcW w:w="0" w:type="auto"/>
            <w:vAlign w:val="center"/>
            <w:hideMark/>
          </w:tcPr>
          <w:p w14:paraId="66AACBD3" w14:textId="77777777" w:rsidR="00000000" w:rsidRDefault="00195E73">
            <w:pPr>
              <w:rPr>
                <w:rFonts w:eastAsia="Times New Roman"/>
                <w:sz w:val="20"/>
                <w:szCs w:val="20"/>
              </w:rPr>
            </w:pPr>
          </w:p>
        </w:tc>
        <w:tc>
          <w:tcPr>
            <w:tcW w:w="0" w:type="auto"/>
            <w:vAlign w:val="center"/>
            <w:hideMark/>
          </w:tcPr>
          <w:p w14:paraId="415A45F4" w14:textId="77777777" w:rsidR="00000000" w:rsidRDefault="00195E73">
            <w:pPr>
              <w:rPr>
                <w:rFonts w:eastAsia="Times New Roman"/>
                <w:sz w:val="20"/>
                <w:szCs w:val="20"/>
              </w:rPr>
            </w:pPr>
          </w:p>
        </w:tc>
        <w:tc>
          <w:tcPr>
            <w:tcW w:w="0" w:type="auto"/>
            <w:vAlign w:val="center"/>
            <w:hideMark/>
          </w:tcPr>
          <w:p w14:paraId="3F3A757C" w14:textId="77777777" w:rsidR="00000000" w:rsidRDefault="00195E73">
            <w:pPr>
              <w:rPr>
                <w:rFonts w:eastAsia="Times New Roman"/>
                <w:sz w:val="20"/>
                <w:szCs w:val="20"/>
              </w:rPr>
            </w:pPr>
          </w:p>
        </w:tc>
        <w:tc>
          <w:tcPr>
            <w:tcW w:w="0" w:type="auto"/>
            <w:vAlign w:val="center"/>
            <w:hideMark/>
          </w:tcPr>
          <w:p w14:paraId="40B9F9B4" w14:textId="77777777" w:rsidR="00000000" w:rsidRDefault="00195E73">
            <w:pPr>
              <w:rPr>
                <w:rFonts w:eastAsia="Times New Roman"/>
                <w:sz w:val="20"/>
                <w:szCs w:val="20"/>
              </w:rPr>
            </w:pPr>
          </w:p>
        </w:tc>
        <w:tc>
          <w:tcPr>
            <w:tcW w:w="0" w:type="auto"/>
            <w:vAlign w:val="center"/>
            <w:hideMark/>
          </w:tcPr>
          <w:p w14:paraId="39AD3832" w14:textId="77777777" w:rsidR="00000000" w:rsidRDefault="00195E73">
            <w:pPr>
              <w:rPr>
                <w:rFonts w:eastAsia="Times New Roman"/>
                <w:sz w:val="20"/>
                <w:szCs w:val="20"/>
              </w:rPr>
            </w:pPr>
          </w:p>
        </w:tc>
        <w:tc>
          <w:tcPr>
            <w:tcW w:w="0" w:type="auto"/>
            <w:vAlign w:val="center"/>
            <w:hideMark/>
          </w:tcPr>
          <w:p w14:paraId="4551ACC8" w14:textId="77777777" w:rsidR="00000000" w:rsidRDefault="00195E73">
            <w:pPr>
              <w:rPr>
                <w:rFonts w:eastAsia="Times New Roman"/>
                <w:sz w:val="20"/>
                <w:szCs w:val="20"/>
              </w:rPr>
            </w:pPr>
          </w:p>
        </w:tc>
        <w:tc>
          <w:tcPr>
            <w:tcW w:w="0" w:type="auto"/>
            <w:vAlign w:val="center"/>
            <w:hideMark/>
          </w:tcPr>
          <w:p w14:paraId="695E4D98" w14:textId="77777777" w:rsidR="00000000" w:rsidRDefault="00195E73">
            <w:pPr>
              <w:rPr>
                <w:rFonts w:eastAsia="Times New Roman"/>
                <w:sz w:val="20"/>
                <w:szCs w:val="20"/>
              </w:rPr>
            </w:pPr>
          </w:p>
        </w:tc>
      </w:tr>
      <w:tr w:rsidR="00000000" w14:paraId="3320BBDA" w14:textId="77777777">
        <w:trPr>
          <w:divId w:val="1490097897"/>
          <w:jc w:val="center"/>
        </w:trPr>
        <w:tc>
          <w:tcPr>
            <w:tcW w:w="0" w:type="auto"/>
            <w:gridSpan w:val="3"/>
            <w:shd w:val="clear" w:color="auto" w:fill="FFFFFF"/>
            <w:tcMar>
              <w:top w:w="30" w:type="dxa"/>
              <w:left w:w="20" w:type="dxa"/>
              <w:bottom w:w="30" w:type="dxa"/>
              <w:right w:w="20" w:type="dxa"/>
            </w:tcMar>
            <w:vAlign w:val="bottom"/>
            <w:hideMark/>
          </w:tcPr>
          <w:p w14:paraId="1147FAE7" w14:textId="77777777" w:rsidR="00000000" w:rsidRDefault="00195E73">
            <w:pPr>
              <w:ind w:hanging="180"/>
              <w:divId w:val="1152913111"/>
              <w:rPr>
                <w:rFonts w:eastAsia="Times New Roman"/>
              </w:rPr>
            </w:pPr>
            <w:r>
              <w:rPr>
                <w:rFonts w:eastAsia="Times New Roman"/>
                <w:color w:val="000000"/>
                <w:sz w:val="20"/>
                <w:szCs w:val="20"/>
              </w:rPr>
              <w:t>Net (loss) income attributable to Icahn Enterprises Holdings allocated to</w:t>
            </w:r>
            <w:r>
              <w:rPr>
                <w:rFonts w:eastAsia="Times New Roman"/>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17139A7" w14:textId="77777777" w:rsidR="00000000" w:rsidRDefault="00195E73">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FBD64F4"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5FD6C1B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CD1E0CB"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AA9B3C0" w14:textId="77777777" w:rsidR="00000000" w:rsidRDefault="00195E73">
            <w:pPr>
              <w:rPr>
                <w:rFonts w:eastAsia="Times New Roman"/>
                <w:sz w:val="20"/>
                <w:szCs w:val="20"/>
              </w:rPr>
            </w:pPr>
          </w:p>
        </w:tc>
        <w:tc>
          <w:tcPr>
            <w:tcW w:w="0" w:type="auto"/>
            <w:vAlign w:val="center"/>
            <w:hideMark/>
          </w:tcPr>
          <w:p w14:paraId="4B6184B9" w14:textId="77777777" w:rsidR="00000000" w:rsidRDefault="00195E73">
            <w:pPr>
              <w:rPr>
                <w:rFonts w:eastAsia="Times New Roman"/>
                <w:sz w:val="20"/>
                <w:szCs w:val="20"/>
              </w:rPr>
            </w:pPr>
          </w:p>
        </w:tc>
        <w:tc>
          <w:tcPr>
            <w:tcW w:w="0" w:type="auto"/>
            <w:vAlign w:val="center"/>
            <w:hideMark/>
          </w:tcPr>
          <w:p w14:paraId="772D7AFB" w14:textId="77777777" w:rsidR="00000000" w:rsidRDefault="00195E73">
            <w:pPr>
              <w:rPr>
                <w:rFonts w:eastAsia="Times New Roman"/>
                <w:sz w:val="20"/>
                <w:szCs w:val="20"/>
              </w:rPr>
            </w:pPr>
          </w:p>
        </w:tc>
        <w:tc>
          <w:tcPr>
            <w:tcW w:w="0" w:type="auto"/>
            <w:vAlign w:val="center"/>
            <w:hideMark/>
          </w:tcPr>
          <w:p w14:paraId="26D3DDDB" w14:textId="77777777" w:rsidR="00000000" w:rsidRDefault="00195E73">
            <w:pPr>
              <w:rPr>
                <w:rFonts w:eastAsia="Times New Roman"/>
                <w:sz w:val="20"/>
                <w:szCs w:val="20"/>
              </w:rPr>
            </w:pPr>
          </w:p>
        </w:tc>
        <w:tc>
          <w:tcPr>
            <w:tcW w:w="0" w:type="auto"/>
            <w:vAlign w:val="center"/>
            <w:hideMark/>
          </w:tcPr>
          <w:p w14:paraId="28F2D8FA" w14:textId="77777777" w:rsidR="00000000" w:rsidRDefault="00195E73">
            <w:pPr>
              <w:rPr>
                <w:rFonts w:eastAsia="Times New Roman"/>
                <w:sz w:val="20"/>
                <w:szCs w:val="20"/>
              </w:rPr>
            </w:pPr>
          </w:p>
        </w:tc>
        <w:tc>
          <w:tcPr>
            <w:tcW w:w="0" w:type="auto"/>
            <w:vAlign w:val="center"/>
            <w:hideMark/>
          </w:tcPr>
          <w:p w14:paraId="077AAE10" w14:textId="77777777" w:rsidR="00000000" w:rsidRDefault="00195E73">
            <w:pPr>
              <w:rPr>
                <w:rFonts w:eastAsia="Times New Roman"/>
                <w:sz w:val="20"/>
                <w:szCs w:val="20"/>
              </w:rPr>
            </w:pPr>
          </w:p>
        </w:tc>
        <w:tc>
          <w:tcPr>
            <w:tcW w:w="0" w:type="auto"/>
            <w:vAlign w:val="center"/>
            <w:hideMark/>
          </w:tcPr>
          <w:p w14:paraId="08745AFB" w14:textId="77777777" w:rsidR="00000000" w:rsidRDefault="00195E73">
            <w:pPr>
              <w:rPr>
                <w:rFonts w:eastAsia="Times New Roman"/>
                <w:sz w:val="20"/>
                <w:szCs w:val="20"/>
              </w:rPr>
            </w:pPr>
          </w:p>
        </w:tc>
        <w:tc>
          <w:tcPr>
            <w:tcW w:w="0" w:type="auto"/>
            <w:vAlign w:val="center"/>
            <w:hideMark/>
          </w:tcPr>
          <w:p w14:paraId="72D30761" w14:textId="77777777" w:rsidR="00000000" w:rsidRDefault="00195E73">
            <w:pPr>
              <w:rPr>
                <w:rFonts w:eastAsia="Times New Roman"/>
                <w:sz w:val="20"/>
                <w:szCs w:val="20"/>
              </w:rPr>
            </w:pPr>
          </w:p>
        </w:tc>
        <w:tc>
          <w:tcPr>
            <w:tcW w:w="0" w:type="auto"/>
            <w:vAlign w:val="center"/>
            <w:hideMark/>
          </w:tcPr>
          <w:p w14:paraId="24CEF6EC" w14:textId="77777777" w:rsidR="00000000" w:rsidRDefault="00195E73">
            <w:pPr>
              <w:rPr>
                <w:rFonts w:eastAsia="Times New Roman"/>
                <w:sz w:val="20"/>
                <w:szCs w:val="20"/>
              </w:rPr>
            </w:pPr>
          </w:p>
        </w:tc>
        <w:tc>
          <w:tcPr>
            <w:tcW w:w="0" w:type="auto"/>
            <w:vAlign w:val="center"/>
            <w:hideMark/>
          </w:tcPr>
          <w:p w14:paraId="32E377C1" w14:textId="77777777" w:rsidR="00000000" w:rsidRDefault="00195E73">
            <w:pPr>
              <w:rPr>
                <w:rFonts w:eastAsia="Times New Roman"/>
                <w:sz w:val="20"/>
                <w:szCs w:val="20"/>
              </w:rPr>
            </w:pPr>
          </w:p>
        </w:tc>
        <w:tc>
          <w:tcPr>
            <w:tcW w:w="0" w:type="auto"/>
            <w:vAlign w:val="center"/>
            <w:hideMark/>
          </w:tcPr>
          <w:p w14:paraId="5B75ED8B" w14:textId="77777777" w:rsidR="00000000" w:rsidRDefault="00195E73">
            <w:pPr>
              <w:rPr>
                <w:rFonts w:eastAsia="Times New Roman"/>
                <w:sz w:val="20"/>
                <w:szCs w:val="20"/>
              </w:rPr>
            </w:pPr>
          </w:p>
        </w:tc>
        <w:tc>
          <w:tcPr>
            <w:tcW w:w="0" w:type="auto"/>
            <w:vAlign w:val="center"/>
            <w:hideMark/>
          </w:tcPr>
          <w:p w14:paraId="5626E3CF" w14:textId="77777777" w:rsidR="00000000" w:rsidRDefault="00195E73">
            <w:pPr>
              <w:rPr>
                <w:rFonts w:eastAsia="Times New Roman"/>
                <w:sz w:val="20"/>
                <w:szCs w:val="20"/>
              </w:rPr>
            </w:pPr>
          </w:p>
        </w:tc>
        <w:tc>
          <w:tcPr>
            <w:tcW w:w="0" w:type="auto"/>
            <w:vAlign w:val="center"/>
            <w:hideMark/>
          </w:tcPr>
          <w:p w14:paraId="2CFE4EC6" w14:textId="77777777" w:rsidR="00000000" w:rsidRDefault="00195E73">
            <w:pPr>
              <w:rPr>
                <w:rFonts w:eastAsia="Times New Roman"/>
                <w:sz w:val="20"/>
                <w:szCs w:val="20"/>
              </w:rPr>
            </w:pPr>
          </w:p>
        </w:tc>
      </w:tr>
      <w:tr w:rsidR="00000000" w14:paraId="50DD7FD8" w14:textId="77777777">
        <w:trPr>
          <w:divId w:val="1490097897"/>
          <w:jc w:val="center"/>
        </w:trPr>
        <w:tc>
          <w:tcPr>
            <w:tcW w:w="0" w:type="auto"/>
            <w:gridSpan w:val="3"/>
            <w:shd w:val="clear" w:color="auto" w:fill="CCEEFF"/>
            <w:tcMar>
              <w:top w:w="30" w:type="dxa"/>
              <w:left w:w="20" w:type="dxa"/>
              <w:bottom w:w="30" w:type="dxa"/>
              <w:right w:w="20" w:type="dxa"/>
            </w:tcMar>
            <w:vAlign w:val="bottom"/>
            <w:hideMark/>
          </w:tcPr>
          <w:p w14:paraId="09D35D56" w14:textId="77777777" w:rsidR="00000000" w:rsidRDefault="00195E73">
            <w:pPr>
              <w:rPr>
                <w:rFonts w:eastAsia="Times New Roman"/>
              </w:rPr>
            </w:pPr>
            <w:r>
              <w:rPr>
                <w:rFonts w:eastAsia="Times New Roman"/>
                <w:color w:val="000000"/>
                <w:sz w:val="20"/>
                <w:szCs w:val="20"/>
              </w:rPr>
              <w:t>   Limited partne</w:t>
            </w:r>
            <w:r>
              <w:rPr>
                <w:rFonts w:eastAsia="Times New Roman"/>
                <w:color w:val="000000"/>
                <w:sz w:val="20"/>
                <w:szCs w:val="20"/>
              </w:rPr>
              <w:t>r</w:t>
            </w:r>
          </w:p>
        </w:tc>
        <w:tc>
          <w:tcPr>
            <w:tcW w:w="0" w:type="auto"/>
            <w:shd w:val="clear" w:color="auto" w:fill="CCEEFF"/>
            <w:tcMar>
              <w:top w:w="30" w:type="dxa"/>
              <w:left w:w="20" w:type="dxa"/>
              <w:bottom w:w="30" w:type="dxa"/>
              <w:right w:w="15" w:type="dxa"/>
            </w:tcMar>
            <w:vAlign w:val="bottom"/>
            <w:hideMark/>
          </w:tcPr>
          <w:p w14:paraId="0CB0562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3E4F811" w14:textId="77777777" w:rsidR="00000000" w:rsidRDefault="00195E73">
            <w:pPr>
              <w:jc w:val="right"/>
              <w:rPr>
                <w:rFonts w:eastAsia="Times New Roman"/>
              </w:rPr>
            </w:pPr>
            <w:r>
              <w:rPr>
                <w:rFonts w:eastAsia="Times New Roman"/>
                <w:color w:val="000000"/>
                <w:sz w:val="20"/>
                <w:szCs w:val="20"/>
              </w:rPr>
              <w:t>(1,086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20D9A5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E6C03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569CCB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6DE3E53" w14:textId="77777777" w:rsidR="00000000" w:rsidRDefault="00195E73">
            <w:pPr>
              <w:jc w:val="right"/>
              <w:rPr>
                <w:rFonts w:eastAsia="Times New Roman"/>
              </w:rPr>
            </w:pPr>
            <w:r>
              <w:rPr>
                <w:rFonts w:eastAsia="Times New Roman"/>
                <w:color w:val="000000"/>
                <w:sz w:val="20"/>
                <w:szCs w:val="20"/>
              </w:rPr>
              <w:t>2,060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709CD7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E1B595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A3F510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A1414AC" w14:textId="77777777" w:rsidR="00000000" w:rsidRDefault="00195E73">
            <w:pPr>
              <w:jc w:val="right"/>
              <w:rPr>
                <w:rFonts w:eastAsia="Times New Roman"/>
              </w:rPr>
            </w:pPr>
            <w:r>
              <w:rPr>
                <w:rFonts w:eastAsia="Times New Roman"/>
                <w:color w:val="000000"/>
                <w:sz w:val="20"/>
                <w:szCs w:val="20"/>
              </w:rPr>
              <w:t>2,431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F69B48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53F2855" w14:textId="77777777" w:rsidR="00000000" w:rsidRDefault="00195E73">
            <w:pPr>
              <w:rPr>
                <w:rFonts w:eastAsia="Times New Roman"/>
                <w:sz w:val="20"/>
                <w:szCs w:val="20"/>
              </w:rPr>
            </w:pPr>
          </w:p>
        </w:tc>
        <w:tc>
          <w:tcPr>
            <w:tcW w:w="0" w:type="auto"/>
            <w:vAlign w:val="center"/>
            <w:hideMark/>
          </w:tcPr>
          <w:p w14:paraId="72FB32CC" w14:textId="77777777" w:rsidR="00000000" w:rsidRDefault="00195E73">
            <w:pPr>
              <w:rPr>
                <w:rFonts w:eastAsia="Times New Roman"/>
                <w:sz w:val="20"/>
                <w:szCs w:val="20"/>
              </w:rPr>
            </w:pPr>
          </w:p>
        </w:tc>
        <w:tc>
          <w:tcPr>
            <w:tcW w:w="0" w:type="auto"/>
            <w:vAlign w:val="center"/>
            <w:hideMark/>
          </w:tcPr>
          <w:p w14:paraId="29D8A7DC" w14:textId="77777777" w:rsidR="00000000" w:rsidRDefault="00195E73">
            <w:pPr>
              <w:rPr>
                <w:rFonts w:eastAsia="Times New Roman"/>
                <w:sz w:val="20"/>
                <w:szCs w:val="20"/>
              </w:rPr>
            </w:pPr>
          </w:p>
        </w:tc>
        <w:tc>
          <w:tcPr>
            <w:tcW w:w="0" w:type="auto"/>
            <w:vAlign w:val="center"/>
            <w:hideMark/>
          </w:tcPr>
          <w:p w14:paraId="77AC5E30" w14:textId="77777777" w:rsidR="00000000" w:rsidRDefault="00195E73">
            <w:pPr>
              <w:rPr>
                <w:rFonts w:eastAsia="Times New Roman"/>
                <w:sz w:val="20"/>
                <w:szCs w:val="20"/>
              </w:rPr>
            </w:pPr>
          </w:p>
        </w:tc>
        <w:tc>
          <w:tcPr>
            <w:tcW w:w="0" w:type="auto"/>
            <w:vAlign w:val="center"/>
            <w:hideMark/>
          </w:tcPr>
          <w:p w14:paraId="2AA64B47" w14:textId="77777777" w:rsidR="00000000" w:rsidRDefault="00195E73">
            <w:pPr>
              <w:rPr>
                <w:rFonts w:eastAsia="Times New Roman"/>
                <w:sz w:val="20"/>
                <w:szCs w:val="20"/>
              </w:rPr>
            </w:pPr>
          </w:p>
        </w:tc>
        <w:tc>
          <w:tcPr>
            <w:tcW w:w="0" w:type="auto"/>
            <w:vAlign w:val="center"/>
            <w:hideMark/>
          </w:tcPr>
          <w:p w14:paraId="48A2B5BD" w14:textId="77777777" w:rsidR="00000000" w:rsidRDefault="00195E73">
            <w:pPr>
              <w:rPr>
                <w:rFonts w:eastAsia="Times New Roman"/>
                <w:sz w:val="20"/>
                <w:szCs w:val="20"/>
              </w:rPr>
            </w:pPr>
          </w:p>
        </w:tc>
        <w:tc>
          <w:tcPr>
            <w:tcW w:w="0" w:type="auto"/>
            <w:vAlign w:val="center"/>
            <w:hideMark/>
          </w:tcPr>
          <w:p w14:paraId="2522F06C" w14:textId="77777777" w:rsidR="00000000" w:rsidRDefault="00195E73">
            <w:pPr>
              <w:rPr>
                <w:rFonts w:eastAsia="Times New Roman"/>
                <w:sz w:val="20"/>
                <w:szCs w:val="20"/>
              </w:rPr>
            </w:pPr>
          </w:p>
        </w:tc>
        <w:tc>
          <w:tcPr>
            <w:tcW w:w="0" w:type="auto"/>
            <w:vAlign w:val="center"/>
            <w:hideMark/>
          </w:tcPr>
          <w:p w14:paraId="486E3421" w14:textId="77777777" w:rsidR="00000000" w:rsidRDefault="00195E73">
            <w:pPr>
              <w:rPr>
                <w:rFonts w:eastAsia="Times New Roman"/>
                <w:sz w:val="20"/>
                <w:szCs w:val="20"/>
              </w:rPr>
            </w:pPr>
          </w:p>
        </w:tc>
        <w:tc>
          <w:tcPr>
            <w:tcW w:w="0" w:type="auto"/>
            <w:vAlign w:val="center"/>
            <w:hideMark/>
          </w:tcPr>
          <w:p w14:paraId="46D2A81C" w14:textId="77777777" w:rsidR="00000000" w:rsidRDefault="00195E73">
            <w:pPr>
              <w:rPr>
                <w:rFonts w:eastAsia="Times New Roman"/>
                <w:sz w:val="20"/>
                <w:szCs w:val="20"/>
              </w:rPr>
            </w:pPr>
          </w:p>
        </w:tc>
        <w:tc>
          <w:tcPr>
            <w:tcW w:w="0" w:type="auto"/>
            <w:vAlign w:val="center"/>
            <w:hideMark/>
          </w:tcPr>
          <w:p w14:paraId="1A881703" w14:textId="77777777" w:rsidR="00000000" w:rsidRDefault="00195E73">
            <w:pPr>
              <w:rPr>
                <w:rFonts w:eastAsia="Times New Roman"/>
                <w:sz w:val="20"/>
                <w:szCs w:val="20"/>
              </w:rPr>
            </w:pPr>
          </w:p>
        </w:tc>
        <w:tc>
          <w:tcPr>
            <w:tcW w:w="0" w:type="auto"/>
            <w:vAlign w:val="center"/>
            <w:hideMark/>
          </w:tcPr>
          <w:p w14:paraId="71E78396" w14:textId="77777777" w:rsidR="00000000" w:rsidRDefault="00195E73">
            <w:pPr>
              <w:rPr>
                <w:rFonts w:eastAsia="Times New Roman"/>
                <w:sz w:val="20"/>
                <w:szCs w:val="20"/>
              </w:rPr>
            </w:pPr>
          </w:p>
        </w:tc>
        <w:tc>
          <w:tcPr>
            <w:tcW w:w="0" w:type="auto"/>
            <w:vAlign w:val="center"/>
            <w:hideMark/>
          </w:tcPr>
          <w:p w14:paraId="59B005DB" w14:textId="77777777" w:rsidR="00000000" w:rsidRDefault="00195E73">
            <w:pPr>
              <w:rPr>
                <w:rFonts w:eastAsia="Times New Roman"/>
                <w:sz w:val="20"/>
                <w:szCs w:val="20"/>
              </w:rPr>
            </w:pPr>
          </w:p>
        </w:tc>
      </w:tr>
      <w:tr w:rsidR="00000000" w14:paraId="1EA92920" w14:textId="77777777">
        <w:trPr>
          <w:divId w:val="1490097897"/>
          <w:jc w:val="center"/>
        </w:trPr>
        <w:tc>
          <w:tcPr>
            <w:tcW w:w="0" w:type="auto"/>
            <w:gridSpan w:val="3"/>
            <w:shd w:val="clear" w:color="auto" w:fill="FFFFFF"/>
            <w:tcMar>
              <w:top w:w="30" w:type="dxa"/>
              <w:left w:w="20" w:type="dxa"/>
              <w:bottom w:w="30" w:type="dxa"/>
              <w:right w:w="20" w:type="dxa"/>
            </w:tcMar>
            <w:vAlign w:val="bottom"/>
            <w:hideMark/>
          </w:tcPr>
          <w:p w14:paraId="5C7E60C7"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General partne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77538DED" w14:textId="77777777" w:rsidR="00000000" w:rsidRDefault="00195E73">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B78C2E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2DA9B1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7CCCDF" w14:textId="77777777" w:rsidR="00000000" w:rsidRDefault="00195E73">
            <w:pPr>
              <w:jc w:val="right"/>
              <w:rPr>
                <w:rFonts w:eastAsia="Times New Roman"/>
              </w:rPr>
            </w:pPr>
            <w:r>
              <w:rPr>
                <w:rFonts w:eastAsia="Times New Roman"/>
                <w:color w:val="000000"/>
                <w:sz w:val="20"/>
                <w:szCs w:val="20"/>
              </w:rPr>
              <w:t>(577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9CC691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1E88EA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B50A03" w14:textId="77777777" w:rsidR="00000000" w:rsidRDefault="00195E73">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94DE62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C83A144" w14:textId="77777777" w:rsidR="00000000" w:rsidRDefault="00195E73">
            <w:pPr>
              <w:rPr>
                <w:rFonts w:eastAsia="Times New Roman"/>
                <w:sz w:val="20"/>
                <w:szCs w:val="20"/>
              </w:rPr>
            </w:pPr>
          </w:p>
        </w:tc>
        <w:tc>
          <w:tcPr>
            <w:tcW w:w="0" w:type="auto"/>
            <w:vAlign w:val="center"/>
            <w:hideMark/>
          </w:tcPr>
          <w:p w14:paraId="30CE7689" w14:textId="77777777" w:rsidR="00000000" w:rsidRDefault="00195E73">
            <w:pPr>
              <w:rPr>
                <w:rFonts w:eastAsia="Times New Roman"/>
                <w:sz w:val="20"/>
                <w:szCs w:val="20"/>
              </w:rPr>
            </w:pPr>
          </w:p>
        </w:tc>
        <w:tc>
          <w:tcPr>
            <w:tcW w:w="0" w:type="auto"/>
            <w:vAlign w:val="center"/>
            <w:hideMark/>
          </w:tcPr>
          <w:p w14:paraId="7BA62E86" w14:textId="77777777" w:rsidR="00000000" w:rsidRDefault="00195E73">
            <w:pPr>
              <w:rPr>
                <w:rFonts w:eastAsia="Times New Roman"/>
                <w:sz w:val="20"/>
                <w:szCs w:val="20"/>
              </w:rPr>
            </w:pPr>
          </w:p>
        </w:tc>
        <w:tc>
          <w:tcPr>
            <w:tcW w:w="0" w:type="auto"/>
            <w:vAlign w:val="center"/>
            <w:hideMark/>
          </w:tcPr>
          <w:p w14:paraId="3153B2D5" w14:textId="77777777" w:rsidR="00000000" w:rsidRDefault="00195E73">
            <w:pPr>
              <w:rPr>
                <w:rFonts w:eastAsia="Times New Roman"/>
                <w:sz w:val="20"/>
                <w:szCs w:val="20"/>
              </w:rPr>
            </w:pPr>
          </w:p>
        </w:tc>
        <w:tc>
          <w:tcPr>
            <w:tcW w:w="0" w:type="auto"/>
            <w:vAlign w:val="center"/>
            <w:hideMark/>
          </w:tcPr>
          <w:p w14:paraId="73005B6F" w14:textId="77777777" w:rsidR="00000000" w:rsidRDefault="00195E73">
            <w:pPr>
              <w:rPr>
                <w:rFonts w:eastAsia="Times New Roman"/>
                <w:sz w:val="20"/>
                <w:szCs w:val="20"/>
              </w:rPr>
            </w:pPr>
          </w:p>
        </w:tc>
        <w:tc>
          <w:tcPr>
            <w:tcW w:w="0" w:type="auto"/>
            <w:vAlign w:val="center"/>
            <w:hideMark/>
          </w:tcPr>
          <w:p w14:paraId="6FC0AB28" w14:textId="77777777" w:rsidR="00000000" w:rsidRDefault="00195E73">
            <w:pPr>
              <w:rPr>
                <w:rFonts w:eastAsia="Times New Roman"/>
                <w:sz w:val="20"/>
                <w:szCs w:val="20"/>
              </w:rPr>
            </w:pPr>
          </w:p>
        </w:tc>
        <w:tc>
          <w:tcPr>
            <w:tcW w:w="0" w:type="auto"/>
            <w:vAlign w:val="center"/>
            <w:hideMark/>
          </w:tcPr>
          <w:p w14:paraId="4D7304DB" w14:textId="77777777" w:rsidR="00000000" w:rsidRDefault="00195E73">
            <w:pPr>
              <w:rPr>
                <w:rFonts w:eastAsia="Times New Roman"/>
                <w:sz w:val="20"/>
                <w:szCs w:val="20"/>
              </w:rPr>
            </w:pPr>
          </w:p>
        </w:tc>
        <w:tc>
          <w:tcPr>
            <w:tcW w:w="0" w:type="auto"/>
            <w:vAlign w:val="center"/>
            <w:hideMark/>
          </w:tcPr>
          <w:p w14:paraId="508E31FB" w14:textId="77777777" w:rsidR="00000000" w:rsidRDefault="00195E73">
            <w:pPr>
              <w:rPr>
                <w:rFonts w:eastAsia="Times New Roman"/>
                <w:sz w:val="20"/>
                <w:szCs w:val="20"/>
              </w:rPr>
            </w:pPr>
          </w:p>
        </w:tc>
        <w:tc>
          <w:tcPr>
            <w:tcW w:w="0" w:type="auto"/>
            <w:vAlign w:val="center"/>
            <w:hideMark/>
          </w:tcPr>
          <w:p w14:paraId="7A203DA7" w14:textId="77777777" w:rsidR="00000000" w:rsidRDefault="00195E73">
            <w:pPr>
              <w:rPr>
                <w:rFonts w:eastAsia="Times New Roman"/>
                <w:sz w:val="20"/>
                <w:szCs w:val="20"/>
              </w:rPr>
            </w:pPr>
          </w:p>
        </w:tc>
        <w:tc>
          <w:tcPr>
            <w:tcW w:w="0" w:type="auto"/>
            <w:vAlign w:val="center"/>
            <w:hideMark/>
          </w:tcPr>
          <w:p w14:paraId="41EA16D8" w14:textId="77777777" w:rsidR="00000000" w:rsidRDefault="00195E73">
            <w:pPr>
              <w:rPr>
                <w:rFonts w:eastAsia="Times New Roman"/>
                <w:sz w:val="20"/>
                <w:szCs w:val="20"/>
              </w:rPr>
            </w:pPr>
          </w:p>
        </w:tc>
        <w:tc>
          <w:tcPr>
            <w:tcW w:w="0" w:type="auto"/>
            <w:vAlign w:val="center"/>
            <w:hideMark/>
          </w:tcPr>
          <w:p w14:paraId="4C7B3AF4" w14:textId="77777777" w:rsidR="00000000" w:rsidRDefault="00195E73">
            <w:pPr>
              <w:rPr>
                <w:rFonts w:eastAsia="Times New Roman"/>
                <w:sz w:val="20"/>
                <w:szCs w:val="20"/>
              </w:rPr>
            </w:pPr>
          </w:p>
        </w:tc>
        <w:tc>
          <w:tcPr>
            <w:tcW w:w="0" w:type="auto"/>
            <w:vAlign w:val="center"/>
            <w:hideMark/>
          </w:tcPr>
          <w:p w14:paraId="2E917E5B" w14:textId="77777777" w:rsidR="00000000" w:rsidRDefault="00195E73">
            <w:pPr>
              <w:rPr>
                <w:rFonts w:eastAsia="Times New Roman"/>
                <w:sz w:val="20"/>
                <w:szCs w:val="20"/>
              </w:rPr>
            </w:pPr>
          </w:p>
        </w:tc>
      </w:tr>
      <w:tr w:rsidR="00000000" w14:paraId="469F9811" w14:textId="77777777">
        <w:trPr>
          <w:divId w:val="1490097897"/>
          <w:jc w:val="center"/>
        </w:trPr>
        <w:tc>
          <w:tcPr>
            <w:tcW w:w="0" w:type="auto"/>
            <w:gridSpan w:val="3"/>
            <w:shd w:val="clear" w:color="auto" w:fill="CCEEFF"/>
            <w:tcMar>
              <w:top w:w="15" w:type="dxa"/>
              <w:left w:w="20" w:type="dxa"/>
              <w:bottom w:w="15" w:type="dxa"/>
              <w:right w:w="20" w:type="dxa"/>
            </w:tcMar>
            <w:vAlign w:val="bottom"/>
            <w:hideMark/>
          </w:tcPr>
          <w:p w14:paraId="5A9B6FB7"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819971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8C57458" w14:textId="77777777" w:rsidR="00000000" w:rsidRDefault="00195E73">
            <w:pPr>
              <w:jc w:val="right"/>
              <w:rPr>
                <w:rFonts w:eastAsia="Times New Roman"/>
              </w:rPr>
            </w:pPr>
            <w:r>
              <w:rPr>
                <w:rFonts w:eastAsia="Times New Roman"/>
                <w:color w:val="000000"/>
                <w:sz w:val="20"/>
                <w:szCs w:val="20"/>
              </w:rPr>
              <w:t>(1,097</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A0D0F8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19E41F"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6513B9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56746BB" w14:textId="77777777" w:rsidR="00000000" w:rsidRDefault="00195E73">
            <w:pPr>
              <w:jc w:val="right"/>
              <w:rPr>
                <w:rFonts w:eastAsia="Times New Roman"/>
              </w:rPr>
            </w:pPr>
            <w:r>
              <w:rPr>
                <w:rFonts w:eastAsia="Times New Roman"/>
                <w:color w:val="000000"/>
                <w:sz w:val="20"/>
                <w:szCs w:val="20"/>
              </w:rPr>
              <w:t>1,483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6111C9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983CB71"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020731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7EAEB74" w14:textId="77777777" w:rsidR="00000000" w:rsidRDefault="00195E73">
            <w:pPr>
              <w:jc w:val="right"/>
              <w:rPr>
                <w:rFonts w:eastAsia="Times New Roman"/>
              </w:rPr>
            </w:pPr>
            <w:r>
              <w:rPr>
                <w:rFonts w:eastAsia="Times New Roman"/>
                <w:color w:val="000000"/>
                <w:sz w:val="20"/>
                <w:szCs w:val="20"/>
              </w:rPr>
              <w:t>2,456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A57954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D06EAB0" w14:textId="77777777" w:rsidR="00000000" w:rsidRDefault="00195E73">
            <w:pPr>
              <w:rPr>
                <w:rFonts w:eastAsia="Times New Roman"/>
                <w:sz w:val="20"/>
                <w:szCs w:val="20"/>
              </w:rPr>
            </w:pPr>
          </w:p>
        </w:tc>
        <w:tc>
          <w:tcPr>
            <w:tcW w:w="0" w:type="auto"/>
            <w:vAlign w:val="center"/>
            <w:hideMark/>
          </w:tcPr>
          <w:p w14:paraId="7D661B41" w14:textId="77777777" w:rsidR="00000000" w:rsidRDefault="00195E73">
            <w:pPr>
              <w:rPr>
                <w:rFonts w:eastAsia="Times New Roman"/>
                <w:sz w:val="20"/>
                <w:szCs w:val="20"/>
              </w:rPr>
            </w:pPr>
          </w:p>
        </w:tc>
        <w:tc>
          <w:tcPr>
            <w:tcW w:w="0" w:type="auto"/>
            <w:vAlign w:val="center"/>
            <w:hideMark/>
          </w:tcPr>
          <w:p w14:paraId="51308B17" w14:textId="77777777" w:rsidR="00000000" w:rsidRDefault="00195E73">
            <w:pPr>
              <w:rPr>
                <w:rFonts w:eastAsia="Times New Roman"/>
                <w:sz w:val="20"/>
                <w:szCs w:val="20"/>
              </w:rPr>
            </w:pPr>
          </w:p>
        </w:tc>
        <w:tc>
          <w:tcPr>
            <w:tcW w:w="0" w:type="auto"/>
            <w:vAlign w:val="center"/>
            <w:hideMark/>
          </w:tcPr>
          <w:p w14:paraId="4E54E292" w14:textId="77777777" w:rsidR="00000000" w:rsidRDefault="00195E73">
            <w:pPr>
              <w:rPr>
                <w:rFonts w:eastAsia="Times New Roman"/>
                <w:sz w:val="20"/>
                <w:szCs w:val="20"/>
              </w:rPr>
            </w:pPr>
          </w:p>
        </w:tc>
        <w:tc>
          <w:tcPr>
            <w:tcW w:w="0" w:type="auto"/>
            <w:vAlign w:val="center"/>
            <w:hideMark/>
          </w:tcPr>
          <w:p w14:paraId="2984E67D" w14:textId="77777777" w:rsidR="00000000" w:rsidRDefault="00195E73">
            <w:pPr>
              <w:rPr>
                <w:rFonts w:eastAsia="Times New Roman"/>
                <w:sz w:val="20"/>
                <w:szCs w:val="20"/>
              </w:rPr>
            </w:pPr>
          </w:p>
        </w:tc>
        <w:tc>
          <w:tcPr>
            <w:tcW w:w="0" w:type="auto"/>
            <w:vAlign w:val="center"/>
            <w:hideMark/>
          </w:tcPr>
          <w:p w14:paraId="6A8B0F04" w14:textId="77777777" w:rsidR="00000000" w:rsidRDefault="00195E73">
            <w:pPr>
              <w:rPr>
                <w:rFonts w:eastAsia="Times New Roman"/>
                <w:sz w:val="20"/>
                <w:szCs w:val="20"/>
              </w:rPr>
            </w:pPr>
          </w:p>
        </w:tc>
        <w:tc>
          <w:tcPr>
            <w:tcW w:w="0" w:type="auto"/>
            <w:vAlign w:val="center"/>
            <w:hideMark/>
          </w:tcPr>
          <w:p w14:paraId="73CC02D6" w14:textId="77777777" w:rsidR="00000000" w:rsidRDefault="00195E73">
            <w:pPr>
              <w:rPr>
                <w:rFonts w:eastAsia="Times New Roman"/>
                <w:sz w:val="20"/>
                <w:szCs w:val="20"/>
              </w:rPr>
            </w:pPr>
          </w:p>
        </w:tc>
        <w:tc>
          <w:tcPr>
            <w:tcW w:w="0" w:type="auto"/>
            <w:vAlign w:val="center"/>
            <w:hideMark/>
          </w:tcPr>
          <w:p w14:paraId="7495CBA4" w14:textId="77777777" w:rsidR="00000000" w:rsidRDefault="00195E73">
            <w:pPr>
              <w:rPr>
                <w:rFonts w:eastAsia="Times New Roman"/>
                <w:sz w:val="20"/>
                <w:szCs w:val="20"/>
              </w:rPr>
            </w:pPr>
          </w:p>
        </w:tc>
        <w:tc>
          <w:tcPr>
            <w:tcW w:w="0" w:type="auto"/>
            <w:vAlign w:val="center"/>
            <w:hideMark/>
          </w:tcPr>
          <w:p w14:paraId="31B2552E" w14:textId="77777777" w:rsidR="00000000" w:rsidRDefault="00195E73">
            <w:pPr>
              <w:rPr>
                <w:rFonts w:eastAsia="Times New Roman"/>
                <w:sz w:val="20"/>
                <w:szCs w:val="20"/>
              </w:rPr>
            </w:pPr>
          </w:p>
        </w:tc>
        <w:tc>
          <w:tcPr>
            <w:tcW w:w="0" w:type="auto"/>
            <w:vAlign w:val="center"/>
            <w:hideMark/>
          </w:tcPr>
          <w:p w14:paraId="217A9044" w14:textId="77777777" w:rsidR="00000000" w:rsidRDefault="00195E73">
            <w:pPr>
              <w:rPr>
                <w:rFonts w:eastAsia="Times New Roman"/>
                <w:sz w:val="20"/>
                <w:szCs w:val="20"/>
              </w:rPr>
            </w:pPr>
          </w:p>
        </w:tc>
        <w:tc>
          <w:tcPr>
            <w:tcW w:w="0" w:type="auto"/>
            <w:vAlign w:val="center"/>
            <w:hideMark/>
          </w:tcPr>
          <w:p w14:paraId="75FD5046" w14:textId="77777777" w:rsidR="00000000" w:rsidRDefault="00195E73">
            <w:pPr>
              <w:rPr>
                <w:rFonts w:eastAsia="Times New Roman"/>
                <w:sz w:val="20"/>
                <w:szCs w:val="20"/>
              </w:rPr>
            </w:pPr>
          </w:p>
        </w:tc>
        <w:tc>
          <w:tcPr>
            <w:tcW w:w="0" w:type="auto"/>
            <w:vAlign w:val="center"/>
            <w:hideMark/>
          </w:tcPr>
          <w:p w14:paraId="11FD89E4" w14:textId="77777777" w:rsidR="00000000" w:rsidRDefault="00195E73">
            <w:pPr>
              <w:rPr>
                <w:rFonts w:eastAsia="Times New Roman"/>
                <w:sz w:val="20"/>
                <w:szCs w:val="20"/>
              </w:rPr>
            </w:pPr>
          </w:p>
        </w:tc>
      </w:tr>
    </w:tbl>
    <w:p w14:paraId="73998C67" w14:textId="77777777" w:rsidR="00000000" w:rsidRDefault="00195E73">
      <w:pPr>
        <w:divId w:val="1799759122"/>
        <w:rPr>
          <w:rFonts w:eastAsia="Times New Roman"/>
        </w:rPr>
      </w:pPr>
    </w:p>
    <w:p w14:paraId="64AC4F84" w14:textId="77777777" w:rsidR="00000000" w:rsidRDefault="00195E73">
      <w:pPr>
        <w:jc w:val="center"/>
        <w:divId w:val="718286947"/>
        <w:rPr>
          <w:rFonts w:eastAsia="Times New Roman"/>
        </w:rPr>
      </w:pPr>
    </w:p>
    <w:p w14:paraId="41735DC9" w14:textId="77777777" w:rsidR="00000000" w:rsidRDefault="00195E73">
      <w:pPr>
        <w:jc w:val="center"/>
        <w:divId w:val="1651866238"/>
        <w:rPr>
          <w:rFonts w:eastAsia="Times New Roman"/>
        </w:rPr>
      </w:pPr>
    </w:p>
    <w:p w14:paraId="01E1B1E7" w14:textId="77777777" w:rsidR="00000000" w:rsidRDefault="00195E73">
      <w:pPr>
        <w:jc w:val="center"/>
        <w:divId w:val="1469711889"/>
        <w:rPr>
          <w:rFonts w:eastAsia="Times New Roman"/>
        </w:rPr>
      </w:pPr>
    </w:p>
    <w:p w14:paraId="4A72A224" w14:textId="77777777" w:rsidR="00000000" w:rsidRDefault="00195E73">
      <w:pPr>
        <w:jc w:val="center"/>
        <w:divId w:val="1171800601"/>
        <w:rPr>
          <w:rFonts w:eastAsia="Times New Roman"/>
        </w:rPr>
      </w:pPr>
    </w:p>
    <w:p w14:paraId="2AC313E7" w14:textId="77777777" w:rsidR="00000000" w:rsidRDefault="00195E73">
      <w:pPr>
        <w:jc w:val="center"/>
        <w:divId w:val="1544633163"/>
        <w:rPr>
          <w:rFonts w:eastAsia="Times New Roman"/>
        </w:rPr>
      </w:pPr>
      <w:r>
        <w:rPr>
          <w:rFonts w:eastAsia="Times New Roman"/>
          <w:i/>
          <w:iCs/>
          <w:color w:val="000000"/>
          <w:sz w:val="20"/>
          <w:szCs w:val="20"/>
        </w:rPr>
        <w:t>See notes to consolidated financial statements</w:t>
      </w:r>
      <w:r>
        <w:rPr>
          <w:rFonts w:eastAsia="Times New Roman"/>
          <w:i/>
          <w:iCs/>
          <w:color w:val="000000"/>
          <w:sz w:val="20"/>
          <w:szCs w:val="20"/>
        </w:rPr>
        <w:t>.</w:t>
      </w:r>
    </w:p>
    <w:p w14:paraId="18DF40B7" w14:textId="77777777" w:rsidR="00000000" w:rsidRDefault="00195E73">
      <w:pPr>
        <w:jc w:val="center"/>
        <w:divId w:val="1317606839"/>
        <w:rPr>
          <w:rFonts w:eastAsia="Times New Roman"/>
        </w:rPr>
      </w:pPr>
      <w:r>
        <w:rPr>
          <w:rFonts w:eastAsia="Times New Roman"/>
          <w:color w:val="000000"/>
          <w:sz w:val="20"/>
          <w:szCs w:val="20"/>
        </w:rPr>
        <w:t>6</w:t>
      </w:r>
      <w:r>
        <w:rPr>
          <w:rFonts w:eastAsia="Times New Roman"/>
          <w:color w:val="000000"/>
          <w:sz w:val="20"/>
          <w:szCs w:val="20"/>
        </w:rPr>
        <w:t>0</w:t>
      </w:r>
    </w:p>
    <w:p w14:paraId="47C25E02" w14:textId="77777777" w:rsidR="00000000" w:rsidRDefault="00195E73">
      <w:pPr>
        <w:rPr>
          <w:rFonts w:eastAsia="Times New Roman"/>
        </w:rPr>
      </w:pPr>
      <w:r>
        <w:rPr>
          <w:rFonts w:eastAsia="Times New Roman"/>
        </w:rPr>
        <w:pict w14:anchorId="0D3E697E">
          <v:rect id="_x0000_i1086" style="width:0;height:1.5pt" o:hralign="center" o:hrstd="t" o:hr="t" fillcolor="#a0a0a0" stroked="f"/>
        </w:pict>
      </w:r>
    </w:p>
    <w:p w14:paraId="069D4F0B" w14:textId="77777777" w:rsidR="00000000" w:rsidRDefault="00195E73">
      <w:pPr>
        <w:divId w:val="310795377"/>
        <w:rPr>
          <w:rFonts w:eastAsia="Times New Roman"/>
        </w:rPr>
      </w:pPr>
    </w:p>
    <w:p w14:paraId="5BEE0414" w14:textId="77777777" w:rsidR="00000000" w:rsidRDefault="00195E73">
      <w:pPr>
        <w:jc w:val="center"/>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551F5E1D" w14:textId="77777777" w:rsidR="00000000" w:rsidRDefault="00195E73">
      <w:pPr>
        <w:divId w:val="468326233"/>
        <w:rPr>
          <w:rFonts w:eastAsia="Times New Roman"/>
        </w:rPr>
      </w:pPr>
    </w:p>
    <w:p w14:paraId="2F6A5920" w14:textId="77777777" w:rsidR="00000000" w:rsidRDefault="00195E73">
      <w:pPr>
        <w:jc w:val="center"/>
        <w:rPr>
          <w:rFonts w:eastAsia="Times New Roman"/>
        </w:rPr>
      </w:pPr>
      <w:r>
        <w:rPr>
          <w:rFonts w:eastAsia="Times New Roman"/>
          <w:b/>
          <w:bCs/>
          <w:color w:val="000000"/>
          <w:sz w:val="20"/>
          <w:szCs w:val="20"/>
        </w:rPr>
        <w:t>CONSOLIDATED STATEMENTS OF COMPREHENSIVE INCOME (LOSS</w:t>
      </w:r>
      <w:r>
        <w:rPr>
          <w:rFonts w:eastAsia="Times New Roman"/>
          <w:b/>
          <w:bCs/>
          <w:color w:val="000000"/>
          <w:sz w:val="20"/>
          <w:szCs w:val="20"/>
        </w:rPr>
        <w:t>)</w:t>
      </w:r>
    </w:p>
    <w:p w14:paraId="1DE9EB42" w14:textId="77777777" w:rsidR="00000000" w:rsidRDefault="00195E73">
      <w:pPr>
        <w:jc w:val="center"/>
        <w:rPr>
          <w:rFonts w:eastAsia="Times New Roman"/>
        </w:rPr>
      </w:pPr>
    </w:p>
    <w:p w14:paraId="31F2F328" w14:textId="77777777" w:rsidR="00000000" w:rsidRDefault="00195E73">
      <w:pPr>
        <w:divId w:val="105254091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4099"/>
        <w:gridCol w:w="40"/>
        <w:gridCol w:w="135"/>
        <w:gridCol w:w="956"/>
        <w:gridCol w:w="85"/>
        <w:gridCol w:w="36"/>
        <w:gridCol w:w="36"/>
        <w:gridCol w:w="36"/>
        <w:gridCol w:w="135"/>
        <w:gridCol w:w="925"/>
        <w:gridCol w:w="85"/>
        <w:gridCol w:w="36"/>
        <w:gridCol w:w="36"/>
        <w:gridCol w:w="36"/>
        <w:gridCol w:w="135"/>
        <w:gridCol w:w="925"/>
        <w:gridCol w:w="85"/>
        <w:gridCol w:w="36"/>
        <w:gridCol w:w="36"/>
        <w:gridCol w:w="36"/>
        <w:gridCol w:w="36"/>
        <w:gridCol w:w="36"/>
        <w:gridCol w:w="36"/>
        <w:gridCol w:w="36"/>
        <w:gridCol w:w="36"/>
        <w:gridCol w:w="36"/>
        <w:gridCol w:w="36"/>
        <w:gridCol w:w="36"/>
        <w:gridCol w:w="36"/>
      </w:tblGrid>
      <w:tr w:rsidR="00000000" w14:paraId="6FBB576F" w14:textId="77777777">
        <w:trPr>
          <w:gridAfter w:val="12"/>
          <w:divId w:val="1214343037"/>
          <w:jc w:val="center"/>
        </w:trPr>
        <w:tc>
          <w:tcPr>
            <w:tcW w:w="50" w:type="pct"/>
            <w:vAlign w:val="center"/>
            <w:hideMark/>
          </w:tcPr>
          <w:p w14:paraId="50671781" w14:textId="77777777" w:rsidR="00000000" w:rsidRDefault="00195E73">
            <w:pPr>
              <w:rPr>
                <w:rFonts w:eastAsia="Times New Roman"/>
              </w:rPr>
            </w:pPr>
          </w:p>
        </w:tc>
        <w:tc>
          <w:tcPr>
            <w:tcW w:w="2630" w:type="pct"/>
            <w:vAlign w:val="center"/>
            <w:hideMark/>
          </w:tcPr>
          <w:p w14:paraId="1DFD7EC4" w14:textId="77777777" w:rsidR="00000000" w:rsidRDefault="00195E73">
            <w:pPr>
              <w:rPr>
                <w:rFonts w:eastAsia="Times New Roman"/>
                <w:sz w:val="20"/>
                <w:szCs w:val="20"/>
              </w:rPr>
            </w:pPr>
          </w:p>
        </w:tc>
        <w:tc>
          <w:tcPr>
            <w:tcW w:w="50" w:type="pct"/>
            <w:vAlign w:val="center"/>
            <w:hideMark/>
          </w:tcPr>
          <w:p w14:paraId="20F4E2F2" w14:textId="77777777" w:rsidR="00000000" w:rsidRDefault="00195E73">
            <w:pPr>
              <w:rPr>
                <w:rFonts w:eastAsia="Times New Roman"/>
                <w:sz w:val="20"/>
                <w:szCs w:val="20"/>
              </w:rPr>
            </w:pPr>
          </w:p>
        </w:tc>
        <w:tc>
          <w:tcPr>
            <w:tcW w:w="50" w:type="pct"/>
            <w:vAlign w:val="center"/>
            <w:hideMark/>
          </w:tcPr>
          <w:p w14:paraId="6DB32B2A" w14:textId="77777777" w:rsidR="00000000" w:rsidRDefault="00195E73">
            <w:pPr>
              <w:rPr>
                <w:rFonts w:eastAsia="Times New Roman"/>
                <w:sz w:val="20"/>
                <w:szCs w:val="20"/>
              </w:rPr>
            </w:pPr>
          </w:p>
        </w:tc>
        <w:tc>
          <w:tcPr>
            <w:tcW w:w="632" w:type="pct"/>
            <w:vAlign w:val="center"/>
            <w:hideMark/>
          </w:tcPr>
          <w:p w14:paraId="0D8BCE84" w14:textId="77777777" w:rsidR="00000000" w:rsidRDefault="00195E73">
            <w:pPr>
              <w:rPr>
                <w:rFonts w:eastAsia="Times New Roman"/>
                <w:sz w:val="20"/>
                <w:szCs w:val="20"/>
              </w:rPr>
            </w:pPr>
          </w:p>
        </w:tc>
        <w:tc>
          <w:tcPr>
            <w:tcW w:w="50" w:type="pct"/>
            <w:vAlign w:val="center"/>
            <w:hideMark/>
          </w:tcPr>
          <w:p w14:paraId="477E52ED" w14:textId="77777777" w:rsidR="00000000" w:rsidRDefault="00195E73">
            <w:pPr>
              <w:rPr>
                <w:rFonts w:eastAsia="Times New Roman"/>
                <w:sz w:val="20"/>
                <w:szCs w:val="20"/>
              </w:rPr>
            </w:pPr>
          </w:p>
        </w:tc>
        <w:tc>
          <w:tcPr>
            <w:tcW w:w="5" w:type="pct"/>
            <w:vAlign w:val="center"/>
            <w:hideMark/>
          </w:tcPr>
          <w:p w14:paraId="5440380C" w14:textId="77777777" w:rsidR="00000000" w:rsidRDefault="00195E73">
            <w:pPr>
              <w:rPr>
                <w:rFonts w:eastAsia="Times New Roman"/>
                <w:sz w:val="20"/>
                <w:szCs w:val="20"/>
              </w:rPr>
            </w:pPr>
          </w:p>
        </w:tc>
        <w:tc>
          <w:tcPr>
            <w:tcW w:w="26" w:type="pct"/>
            <w:vAlign w:val="center"/>
            <w:hideMark/>
          </w:tcPr>
          <w:p w14:paraId="3EB2F80E" w14:textId="77777777" w:rsidR="00000000" w:rsidRDefault="00195E73">
            <w:pPr>
              <w:rPr>
                <w:rFonts w:eastAsia="Times New Roman"/>
                <w:sz w:val="20"/>
                <w:szCs w:val="20"/>
              </w:rPr>
            </w:pPr>
          </w:p>
        </w:tc>
        <w:tc>
          <w:tcPr>
            <w:tcW w:w="5" w:type="pct"/>
            <w:vAlign w:val="center"/>
            <w:hideMark/>
          </w:tcPr>
          <w:p w14:paraId="72E306CD" w14:textId="77777777" w:rsidR="00000000" w:rsidRDefault="00195E73">
            <w:pPr>
              <w:rPr>
                <w:rFonts w:eastAsia="Times New Roman"/>
                <w:sz w:val="20"/>
                <w:szCs w:val="20"/>
              </w:rPr>
            </w:pPr>
          </w:p>
        </w:tc>
        <w:tc>
          <w:tcPr>
            <w:tcW w:w="50" w:type="pct"/>
            <w:vAlign w:val="center"/>
            <w:hideMark/>
          </w:tcPr>
          <w:p w14:paraId="0A88DEE3" w14:textId="77777777" w:rsidR="00000000" w:rsidRDefault="00195E73">
            <w:pPr>
              <w:rPr>
                <w:rFonts w:eastAsia="Times New Roman"/>
                <w:sz w:val="20"/>
                <w:szCs w:val="20"/>
              </w:rPr>
            </w:pPr>
          </w:p>
        </w:tc>
        <w:tc>
          <w:tcPr>
            <w:tcW w:w="632" w:type="pct"/>
            <w:vAlign w:val="center"/>
            <w:hideMark/>
          </w:tcPr>
          <w:p w14:paraId="3FDB5A0B" w14:textId="77777777" w:rsidR="00000000" w:rsidRDefault="00195E73">
            <w:pPr>
              <w:rPr>
                <w:rFonts w:eastAsia="Times New Roman"/>
                <w:sz w:val="20"/>
                <w:szCs w:val="20"/>
              </w:rPr>
            </w:pPr>
          </w:p>
        </w:tc>
        <w:tc>
          <w:tcPr>
            <w:tcW w:w="50" w:type="pct"/>
            <w:vAlign w:val="center"/>
            <w:hideMark/>
          </w:tcPr>
          <w:p w14:paraId="5D1A3EF2" w14:textId="77777777" w:rsidR="00000000" w:rsidRDefault="00195E73">
            <w:pPr>
              <w:rPr>
                <w:rFonts w:eastAsia="Times New Roman"/>
                <w:sz w:val="20"/>
                <w:szCs w:val="20"/>
              </w:rPr>
            </w:pPr>
          </w:p>
        </w:tc>
        <w:tc>
          <w:tcPr>
            <w:tcW w:w="5" w:type="pct"/>
            <w:vAlign w:val="center"/>
            <w:hideMark/>
          </w:tcPr>
          <w:p w14:paraId="52EDB9C8" w14:textId="77777777" w:rsidR="00000000" w:rsidRDefault="00195E73">
            <w:pPr>
              <w:rPr>
                <w:rFonts w:eastAsia="Times New Roman"/>
                <w:sz w:val="20"/>
                <w:szCs w:val="20"/>
              </w:rPr>
            </w:pPr>
          </w:p>
        </w:tc>
        <w:tc>
          <w:tcPr>
            <w:tcW w:w="26" w:type="pct"/>
            <w:vAlign w:val="center"/>
            <w:hideMark/>
          </w:tcPr>
          <w:p w14:paraId="04FD0EC4" w14:textId="77777777" w:rsidR="00000000" w:rsidRDefault="00195E73">
            <w:pPr>
              <w:rPr>
                <w:rFonts w:eastAsia="Times New Roman"/>
                <w:sz w:val="20"/>
                <w:szCs w:val="20"/>
              </w:rPr>
            </w:pPr>
          </w:p>
        </w:tc>
        <w:tc>
          <w:tcPr>
            <w:tcW w:w="5" w:type="pct"/>
            <w:vAlign w:val="center"/>
            <w:hideMark/>
          </w:tcPr>
          <w:p w14:paraId="7B2C3843" w14:textId="77777777" w:rsidR="00000000" w:rsidRDefault="00195E73">
            <w:pPr>
              <w:rPr>
                <w:rFonts w:eastAsia="Times New Roman"/>
                <w:sz w:val="20"/>
                <w:szCs w:val="20"/>
              </w:rPr>
            </w:pPr>
          </w:p>
        </w:tc>
        <w:tc>
          <w:tcPr>
            <w:tcW w:w="50" w:type="pct"/>
            <w:vAlign w:val="center"/>
            <w:hideMark/>
          </w:tcPr>
          <w:p w14:paraId="6A7751FB" w14:textId="77777777" w:rsidR="00000000" w:rsidRDefault="00195E73">
            <w:pPr>
              <w:rPr>
                <w:rFonts w:eastAsia="Times New Roman"/>
                <w:sz w:val="20"/>
                <w:szCs w:val="20"/>
              </w:rPr>
            </w:pPr>
          </w:p>
        </w:tc>
        <w:tc>
          <w:tcPr>
            <w:tcW w:w="632" w:type="pct"/>
            <w:vAlign w:val="center"/>
            <w:hideMark/>
          </w:tcPr>
          <w:p w14:paraId="7E90FCE5" w14:textId="77777777" w:rsidR="00000000" w:rsidRDefault="00195E73">
            <w:pPr>
              <w:rPr>
                <w:rFonts w:eastAsia="Times New Roman"/>
                <w:sz w:val="20"/>
                <w:szCs w:val="20"/>
              </w:rPr>
            </w:pPr>
          </w:p>
        </w:tc>
        <w:tc>
          <w:tcPr>
            <w:tcW w:w="50" w:type="pct"/>
            <w:vAlign w:val="center"/>
            <w:hideMark/>
          </w:tcPr>
          <w:p w14:paraId="1B42E0EB" w14:textId="77777777" w:rsidR="00000000" w:rsidRDefault="00195E73">
            <w:pPr>
              <w:rPr>
                <w:rFonts w:eastAsia="Times New Roman"/>
                <w:sz w:val="20"/>
                <w:szCs w:val="20"/>
              </w:rPr>
            </w:pPr>
          </w:p>
        </w:tc>
      </w:tr>
      <w:tr w:rsidR="00000000" w14:paraId="49983820" w14:textId="77777777">
        <w:trPr>
          <w:divId w:val="1214343037"/>
          <w:jc w:val="center"/>
        </w:trPr>
        <w:tc>
          <w:tcPr>
            <w:tcW w:w="0" w:type="auto"/>
            <w:gridSpan w:val="3"/>
            <w:tcMar>
              <w:top w:w="15" w:type="dxa"/>
              <w:left w:w="20" w:type="dxa"/>
              <w:bottom w:w="15" w:type="dxa"/>
              <w:right w:w="20" w:type="dxa"/>
            </w:tcMar>
            <w:vAlign w:val="bottom"/>
            <w:hideMark/>
          </w:tcPr>
          <w:p w14:paraId="011622C8"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49410409"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5E449BA5" w14:textId="77777777" w:rsidR="00000000" w:rsidRDefault="00195E73">
            <w:pPr>
              <w:jc w:val="center"/>
              <w:rPr>
                <w:rFonts w:eastAsia="Times New Roman"/>
              </w:rPr>
            </w:pPr>
          </w:p>
        </w:tc>
        <w:tc>
          <w:tcPr>
            <w:tcW w:w="0" w:type="auto"/>
            <w:gridSpan w:val="3"/>
            <w:vAlign w:val="center"/>
            <w:hideMark/>
          </w:tcPr>
          <w:p w14:paraId="0913EE19" w14:textId="77777777" w:rsidR="00000000" w:rsidRDefault="00195E73">
            <w:pPr>
              <w:rPr>
                <w:rFonts w:eastAsia="Times New Roman"/>
                <w:sz w:val="20"/>
                <w:szCs w:val="20"/>
              </w:rPr>
            </w:pPr>
          </w:p>
        </w:tc>
        <w:tc>
          <w:tcPr>
            <w:tcW w:w="0" w:type="auto"/>
            <w:gridSpan w:val="3"/>
            <w:vAlign w:val="center"/>
            <w:hideMark/>
          </w:tcPr>
          <w:p w14:paraId="5CA1F0CC" w14:textId="77777777" w:rsidR="00000000" w:rsidRDefault="00195E73">
            <w:pPr>
              <w:rPr>
                <w:rFonts w:eastAsia="Times New Roman"/>
                <w:sz w:val="20"/>
                <w:szCs w:val="20"/>
              </w:rPr>
            </w:pPr>
          </w:p>
        </w:tc>
        <w:tc>
          <w:tcPr>
            <w:tcW w:w="0" w:type="auto"/>
            <w:gridSpan w:val="3"/>
            <w:vAlign w:val="center"/>
            <w:hideMark/>
          </w:tcPr>
          <w:p w14:paraId="4B9FB965" w14:textId="77777777" w:rsidR="00000000" w:rsidRDefault="00195E73">
            <w:pPr>
              <w:rPr>
                <w:rFonts w:eastAsia="Times New Roman"/>
                <w:sz w:val="20"/>
                <w:szCs w:val="20"/>
              </w:rPr>
            </w:pPr>
          </w:p>
        </w:tc>
      </w:tr>
      <w:tr w:rsidR="00000000" w14:paraId="66E5024E" w14:textId="77777777">
        <w:trPr>
          <w:divId w:val="1214343037"/>
          <w:jc w:val="center"/>
        </w:trPr>
        <w:tc>
          <w:tcPr>
            <w:tcW w:w="0" w:type="auto"/>
            <w:gridSpan w:val="3"/>
            <w:tcMar>
              <w:top w:w="15" w:type="dxa"/>
              <w:left w:w="20" w:type="dxa"/>
              <w:bottom w:w="15" w:type="dxa"/>
              <w:right w:w="20" w:type="dxa"/>
            </w:tcMar>
            <w:vAlign w:val="bottom"/>
            <w:hideMark/>
          </w:tcPr>
          <w:p w14:paraId="6FADF4B2"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F913F08"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022C052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DCF5F25"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4781F971"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04B3D4A"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417B2689" w14:textId="77777777" w:rsidR="00000000" w:rsidRDefault="00195E73">
            <w:pPr>
              <w:rPr>
                <w:rFonts w:eastAsia="Times New Roman"/>
                <w:sz w:val="20"/>
                <w:szCs w:val="20"/>
              </w:rPr>
            </w:pPr>
          </w:p>
        </w:tc>
        <w:tc>
          <w:tcPr>
            <w:tcW w:w="0" w:type="auto"/>
            <w:vAlign w:val="center"/>
            <w:hideMark/>
          </w:tcPr>
          <w:p w14:paraId="2C8229C4" w14:textId="77777777" w:rsidR="00000000" w:rsidRDefault="00195E73">
            <w:pPr>
              <w:rPr>
                <w:rFonts w:eastAsia="Times New Roman"/>
                <w:sz w:val="20"/>
                <w:szCs w:val="20"/>
              </w:rPr>
            </w:pPr>
          </w:p>
        </w:tc>
        <w:tc>
          <w:tcPr>
            <w:tcW w:w="0" w:type="auto"/>
            <w:vAlign w:val="center"/>
            <w:hideMark/>
          </w:tcPr>
          <w:p w14:paraId="18890F6F" w14:textId="77777777" w:rsidR="00000000" w:rsidRDefault="00195E73">
            <w:pPr>
              <w:rPr>
                <w:rFonts w:eastAsia="Times New Roman"/>
                <w:sz w:val="20"/>
                <w:szCs w:val="20"/>
              </w:rPr>
            </w:pPr>
          </w:p>
        </w:tc>
        <w:tc>
          <w:tcPr>
            <w:tcW w:w="0" w:type="auto"/>
            <w:vAlign w:val="center"/>
            <w:hideMark/>
          </w:tcPr>
          <w:p w14:paraId="5D21D6E3" w14:textId="77777777" w:rsidR="00000000" w:rsidRDefault="00195E73">
            <w:pPr>
              <w:rPr>
                <w:rFonts w:eastAsia="Times New Roman"/>
                <w:sz w:val="20"/>
                <w:szCs w:val="20"/>
              </w:rPr>
            </w:pPr>
          </w:p>
        </w:tc>
        <w:tc>
          <w:tcPr>
            <w:tcW w:w="0" w:type="auto"/>
            <w:vAlign w:val="center"/>
            <w:hideMark/>
          </w:tcPr>
          <w:p w14:paraId="763D99D4" w14:textId="77777777" w:rsidR="00000000" w:rsidRDefault="00195E73">
            <w:pPr>
              <w:rPr>
                <w:rFonts w:eastAsia="Times New Roman"/>
                <w:sz w:val="20"/>
                <w:szCs w:val="20"/>
              </w:rPr>
            </w:pPr>
          </w:p>
        </w:tc>
        <w:tc>
          <w:tcPr>
            <w:tcW w:w="0" w:type="auto"/>
            <w:vAlign w:val="center"/>
            <w:hideMark/>
          </w:tcPr>
          <w:p w14:paraId="34435247" w14:textId="77777777" w:rsidR="00000000" w:rsidRDefault="00195E73">
            <w:pPr>
              <w:rPr>
                <w:rFonts w:eastAsia="Times New Roman"/>
                <w:sz w:val="20"/>
                <w:szCs w:val="20"/>
              </w:rPr>
            </w:pPr>
          </w:p>
        </w:tc>
        <w:tc>
          <w:tcPr>
            <w:tcW w:w="0" w:type="auto"/>
            <w:vAlign w:val="center"/>
            <w:hideMark/>
          </w:tcPr>
          <w:p w14:paraId="15B835CD" w14:textId="77777777" w:rsidR="00000000" w:rsidRDefault="00195E73">
            <w:pPr>
              <w:rPr>
                <w:rFonts w:eastAsia="Times New Roman"/>
                <w:sz w:val="20"/>
                <w:szCs w:val="20"/>
              </w:rPr>
            </w:pPr>
          </w:p>
        </w:tc>
        <w:tc>
          <w:tcPr>
            <w:tcW w:w="0" w:type="auto"/>
            <w:vAlign w:val="center"/>
            <w:hideMark/>
          </w:tcPr>
          <w:p w14:paraId="56F4C24D" w14:textId="77777777" w:rsidR="00000000" w:rsidRDefault="00195E73">
            <w:pPr>
              <w:rPr>
                <w:rFonts w:eastAsia="Times New Roman"/>
                <w:sz w:val="20"/>
                <w:szCs w:val="20"/>
              </w:rPr>
            </w:pPr>
          </w:p>
        </w:tc>
        <w:tc>
          <w:tcPr>
            <w:tcW w:w="0" w:type="auto"/>
            <w:vAlign w:val="center"/>
            <w:hideMark/>
          </w:tcPr>
          <w:p w14:paraId="06CEF318" w14:textId="77777777" w:rsidR="00000000" w:rsidRDefault="00195E73">
            <w:pPr>
              <w:rPr>
                <w:rFonts w:eastAsia="Times New Roman"/>
                <w:sz w:val="20"/>
                <w:szCs w:val="20"/>
              </w:rPr>
            </w:pPr>
          </w:p>
        </w:tc>
        <w:tc>
          <w:tcPr>
            <w:tcW w:w="0" w:type="auto"/>
            <w:vAlign w:val="center"/>
            <w:hideMark/>
          </w:tcPr>
          <w:p w14:paraId="4C50A181" w14:textId="77777777" w:rsidR="00000000" w:rsidRDefault="00195E73">
            <w:pPr>
              <w:rPr>
                <w:rFonts w:eastAsia="Times New Roman"/>
                <w:sz w:val="20"/>
                <w:szCs w:val="20"/>
              </w:rPr>
            </w:pPr>
          </w:p>
        </w:tc>
        <w:tc>
          <w:tcPr>
            <w:tcW w:w="0" w:type="auto"/>
            <w:vAlign w:val="center"/>
            <w:hideMark/>
          </w:tcPr>
          <w:p w14:paraId="4C50BE22" w14:textId="77777777" w:rsidR="00000000" w:rsidRDefault="00195E73">
            <w:pPr>
              <w:rPr>
                <w:rFonts w:eastAsia="Times New Roman"/>
                <w:sz w:val="20"/>
                <w:szCs w:val="20"/>
              </w:rPr>
            </w:pPr>
          </w:p>
        </w:tc>
        <w:tc>
          <w:tcPr>
            <w:tcW w:w="0" w:type="auto"/>
            <w:vAlign w:val="center"/>
            <w:hideMark/>
          </w:tcPr>
          <w:p w14:paraId="509B0A3F" w14:textId="77777777" w:rsidR="00000000" w:rsidRDefault="00195E73">
            <w:pPr>
              <w:rPr>
                <w:rFonts w:eastAsia="Times New Roman"/>
                <w:sz w:val="20"/>
                <w:szCs w:val="20"/>
              </w:rPr>
            </w:pPr>
          </w:p>
        </w:tc>
      </w:tr>
      <w:tr w:rsidR="00000000" w14:paraId="1254B018" w14:textId="77777777">
        <w:trPr>
          <w:divId w:val="1214343037"/>
          <w:jc w:val="center"/>
        </w:trPr>
        <w:tc>
          <w:tcPr>
            <w:tcW w:w="0" w:type="auto"/>
            <w:gridSpan w:val="3"/>
            <w:tcMar>
              <w:top w:w="15" w:type="dxa"/>
              <w:left w:w="20" w:type="dxa"/>
              <w:bottom w:w="15" w:type="dxa"/>
              <w:right w:w="20" w:type="dxa"/>
            </w:tcMar>
            <w:vAlign w:val="bottom"/>
            <w:hideMark/>
          </w:tcPr>
          <w:p w14:paraId="7A9647FE"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7254DD6C"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3CBF65B5" w14:textId="77777777" w:rsidR="00000000" w:rsidRDefault="00195E73">
            <w:pPr>
              <w:jc w:val="center"/>
              <w:rPr>
                <w:rFonts w:eastAsia="Times New Roman"/>
              </w:rPr>
            </w:pPr>
          </w:p>
        </w:tc>
        <w:tc>
          <w:tcPr>
            <w:tcW w:w="0" w:type="auto"/>
            <w:gridSpan w:val="3"/>
            <w:vAlign w:val="center"/>
            <w:hideMark/>
          </w:tcPr>
          <w:p w14:paraId="15AD92C5" w14:textId="77777777" w:rsidR="00000000" w:rsidRDefault="00195E73">
            <w:pPr>
              <w:rPr>
                <w:rFonts w:eastAsia="Times New Roman"/>
                <w:sz w:val="20"/>
                <w:szCs w:val="20"/>
              </w:rPr>
            </w:pPr>
          </w:p>
        </w:tc>
        <w:tc>
          <w:tcPr>
            <w:tcW w:w="0" w:type="auto"/>
            <w:gridSpan w:val="3"/>
            <w:vAlign w:val="center"/>
            <w:hideMark/>
          </w:tcPr>
          <w:p w14:paraId="3EE44404" w14:textId="77777777" w:rsidR="00000000" w:rsidRDefault="00195E73">
            <w:pPr>
              <w:rPr>
                <w:rFonts w:eastAsia="Times New Roman"/>
                <w:sz w:val="20"/>
                <w:szCs w:val="20"/>
              </w:rPr>
            </w:pPr>
          </w:p>
        </w:tc>
        <w:tc>
          <w:tcPr>
            <w:tcW w:w="0" w:type="auto"/>
            <w:gridSpan w:val="3"/>
            <w:vAlign w:val="center"/>
            <w:hideMark/>
          </w:tcPr>
          <w:p w14:paraId="56122CFC" w14:textId="77777777" w:rsidR="00000000" w:rsidRDefault="00195E73">
            <w:pPr>
              <w:rPr>
                <w:rFonts w:eastAsia="Times New Roman"/>
                <w:sz w:val="20"/>
                <w:szCs w:val="20"/>
              </w:rPr>
            </w:pPr>
          </w:p>
        </w:tc>
      </w:tr>
      <w:tr w:rsidR="00000000" w14:paraId="12BEBD95" w14:textId="77777777">
        <w:trPr>
          <w:divId w:val="1214343037"/>
          <w:jc w:val="center"/>
        </w:trPr>
        <w:tc>
          <w:tcPr>
            <w:tcW w:w="0" w:type="auto"/>
            <w:gridSpan w:val="3"/>
            <w:shd w:val="clear" w:color="auto" w:fill="CCEEFF"/>
            <w:tcMar>
              <w:top w:w="30" w:type="dxa"/>
              <w:left w:w="20" w:type="dxa"/>
              <w:bottom w:w="30" w:type="dxa"/>
              <w:right w:w="20" w:type="dxa"/>
            </w:tcMar>
            <w:vAlign w:val="bottom"/>
            <w:hideMark/>
          </w:tcPr>
          <w:p w14:paraId="55F43573" w14:textId="77777777" w:rsidR="00000000" w:rsidRDefault="00195E73">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14:paraId="14B3677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1957FF9" w14:textId="77777777" w:rsidR="00000000" w:rsidRDefault="00195E73">
            <w:pPr>
              <w:jc w:val="right"/>
              <w:rPr>
                <w:rFonts w:eastAsia="Times New Roman"/>
              </w:rPr>
            </w:pPr>
            <w:r>
              <w:rPr>
                <w:rFonts w:eastAsia="Times New Roman"/>
                <w:color w:val="000000"/>
                <w:sz w:val="20"/>
                <w:szCs w:val="20"/>
              </w:rPr>
              <w:t>(1,790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F5B465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BA5DA5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4B4E1B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A43FB3A" w14:textId="77777777" w:rsidR="00000000" w:rsidRDefault="00195E73">
            <w:pPr>
              <w:jc w:val="right"/>
              <w:rPr>
                <w:rFonts w:eastAsia="Times New Roman"/>
              </w:rPr>
            </w:pPr>
            <w:r>
              <w:rPr>
                <w:rFonts w:eastAsia="Times New Roman"/>
                <w:color w:val="000000"/>
                <w:sz w:val="20"/>
                <w:szCs w:val="20"/>
              </w:rPr>
              <w:t>2,002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D09C08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A2AE5E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AC3F05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9E836D0" w14:textId="77777777" w:rsidR="00000000" w:rsidRDefault="00195E73">
            <w:pPr>
              <w:jc w:val="right"/>
              <w:rPr>
                <w:rFonts w:eastAsia="Times New Roman"/>
              </w:rPr>
            </w:pPr>
            <w:r>
              <w:rPr>
                <w:rFonts w:eastAsia="Times New Roman"/>
                <w:color w:val="000000"/>
                <w:sz w:val="20"/>
                <w:szCs w:val="20"/>
              </w:rPr>
              <w:t>2,634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C8B910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14837C7" w14:textId="77777777" w:rsidR="00000000" w:rsidRDefault="00195E73">
            <w:pPr>
              <w:rPr>
                <w:rFonts w:eastAsia="Times New Roman"/>
                <w:sz w:val="20"/>
                <w:szCs w:val="20"/>
              </w:rPr>
            </w:pPr>
          </w:p>
        </w:tc>
        <w:tc>
          <w:tcPr>
            <w:tcW w:w="0" w:type="auto"/>
            <w:vAlign w:val="center"/>
            <w:hideMark/>
          </w:tcPr>
          <w:p w14:paraId="6A908C88" w14:textId="77777777" w:rsidR="00000000" w:rsidRDefault="00195E73">
            <w:pPr>
              <w:rPr>
                <w:rFonts w:eastAsia="Times New Roman"/>
                <w:sz w:val="20"/>
                <w:szCs w:val="20"/>
              </w:rPr>
            </w:pPr>
          </w:p>
        </w:tc>
        <w:tc>
          <w:tcPr>
            <w:tcW w:w="0" w:type="auto"/>
            <w:vAlign w:val="center"/>
            <w:hideMark/>
          </w:tcPr>
          <w:p w14:paraId="466C22EF" w14:textId="77777777" w:rsidR="00000000" w:rsidRDefault="00195E73">
            <w:pPr>
              <w:rPr>
                <w:rFonts w:eastAsia="Times New Roman"/>
                <w:sz w:val="20"/>
                <w:szCs w:val="20"/>
              </w:rPr>
            </w:pPr>
          </w:p>
        </w:tc>
        <w:tc>
          <w:tcPr>
            <w:tcW w:w="0" w:type="auto"/>
            <w:vAlign w:val="center"/>
            <w:hideMark/>
          </w:tcPr>
          <w:p w14:paraId="3D850962" w14:textId="77777777" w:rsidR="00000000" w:rsidRDefault="00195E73">
            <w:pPr>
              <w:rPr>
                <w:rFonts w:eastAsia="Times New Roman"/>
                <w:sz w:val="20"/>
                <w:szCs w:val="20"/>
              </w:rPr>
            </w:pPr>
          </w:p>
        </w:tc>
        <w:tc>
          <w:tcPr>
            <w:tcW w:w="0" w:type="auto"/>
            <w:vAlign w:val="center"/>
            <w:hideMark/>
          </w:tcPr>
          <w:p w14:paraId="33C5D748" w14:textId="77777777" w:rsidR="00000000" w:rsidRDefault="00195E73">
            <w:pPr>
              <w:rPr>
                <w:rFonts w:eastAsia="Times New Roman"/>
                <w:sz w:val="20"/>
                <w:szCs w:val="20"/>
              </w:rPr>
            </w:pPr>
          </w:p>
        </w:tc>
        <w:tc>
          <w:tcPr>
            <w:tcW w:w="0" w:type="auto"/>
            <w:vAlign w:val="center"/>
            <w:hideMark/>
          </w:tcPr>
          <w:p w14:paraId="47E0C776" w14:textId="77777777" w:rsidR="00000000" w:rsidRDefault="00195E73">
            <w:pPr>
              <w:rPr>
                <w:rFonts w:eastAsia="Times New Roman"/>
                <w:sz w:val="20"/>
                <w:szCs w:val="20"/>
              </w:rPr>
            </w:pPr>
          </w:p>
        </w:tc>
        <w:tc>
          <w:tcPr>
            <w:tcW w:w="0" w:type="auto"/>
            <w:vAlign w:val="center"/>
            <w:hideMark/>
          </w:tcPr>
          <w:p w14:paraId="1550DFB3" w14:textId="77777777" w:rsidR="00000000" w:rsidRDefault="00195E73">
            <w:pPr>
              <w:rPr>
                <w:rFonts w:eastAsia="Times New Roman"/>
                <w:sz w:val="20"/>
                <w:szCs w:val="20"/>
              </w:rPr>
            </w:pPr>
          </w:p>
        </w:tc>
        <w:tc>
          <w:tcPr>
            <w:tcW w:w="0" w:type="auto"/>
            <w:vAlign w:val="center"/>
            <w:hideMark/>
          </w:tcPr>
          <w:p w14:paraId="5AA283BB" w14:textId="77777777" w:rsidR="00000000" w:rsidRDefault="00195E73">
            <w:pPr>
              <w:rPr>
                <w:rFonts w:eastAsia="Times New Roman"/>
                <w:sz w:val="20"/>
                <w:szCs w:val="20"/>
              </w:rPr>
            </w:pPr>
          </w:p>
        </w:tc>
        <w:tc>
          <w:tcPr>
            <w:tcW w:w="0" w:type="auto"/>
            <w:vAlign w:val="center"/>
            <w:hideMark/>
          </w:tcPr>
          <w:p w14:paraId="27A4957F" w14:textId="77777777" w:rsidR="00000000" w:rsidRDefault="00195E73">
            <w:pPr>
              <w:rPr>
                <w:rFonts w:eastAsia="Times New Roman"/>
                <w:sz w:val="20"/>
                <w:szCs w:val="20"/>
              </w:rPr>
            </w:pPr>
          </w:p>
        </w:tc>
        <w:tc>
          <w:tcPr>
            <w:tcW w:w="0" w:type="auto"/>
            <w:vAlign w:val="center"/>
            <w:hideMark/>
          </w:tcPr>
          <w:p w14:paraId="7007E693" w14:textId="77777777" w:rsidR="00000000" w:rsidRDefault="00195E73">
            <w:pPr>
              <w:rPr>
                <w:rFonts w:eastAsia="Times New Roman"/>
                <w:sz w:val="20"/>
                <w:szCs w:val="20"/>
              </w:rPr>
            </w:pPr>
          </w:p>
        </w:tc>
        <w:tc>
          <w:tcPr>
            <w:tcW w:w="0" w:type="auto"/>
            <w:vAlign w:val="center"/>
            <w:hideMark/>
          </w:tcPr>
          <w:p w14:paraId="7A259381" w14:textId="77777777" w:rsidR="00000000" w:rsidRDefault="00195E73">
            <w:pPr>
              <w:rPr>
                <w:rFonts w:eastAsia="Times New Roman"/>
                <w:sz w:val="20"/>
                <w:szCs w:val="20"/>
              </w:rPr>
            </w:pPr>
          </w:p>
        </w:tc>
        <w:tc>
          <w:tcPr>
            <w:tcW w:w="0" w:type="auto"/>
            <w:vAlign w:val="center"/>
            <w:hideMark/>
          </w:tcPr>
          <w:p w14:paraId="0E98B0AE" w14:textId="77777777" w:rsidR="00000000" w:rsidRDefault="00195E73">
            <w:pPr>
              <w:rPr>
                <w:rFonts w:eastAsia="Times New Roman"/>
                <w:sz w:val="20"/>
                <w:szCs w:val="20"/>
              </w:rPr>
            </w:pPr>
          </w:p>
        </w:tc>
      </w:tr>
      <w:tr w:rsidR="00000000" w14:paraId="64A869A5" w14:textId="77777777">
        <w:trPr>
          <w:divId w:val="1214343037"/>
          <w:jc w:val="center"/>
        </w:trPr>
        <w:tc>
          <w:tcPr>
            <w:tcW w:w="0" w:type="auto"/>
            <w:gridSpan w:val="3"/>
            <w:shd w:val="clear" w:color="auto" w:fill="FFFFFF"/>
            <w:tcMar>
              <w:top w:w="30" w:type="dxa"/>
              <w:left w:w="20" w:type="dxa"/>
              <w:bottom w:w="30" w:type="dxa"/>
              <w:right w:w="20" w:type="dxa"/>
            </w:tcMar>
            <w:vAlign w:val="bottom"/>
            <w:hideMark/>
          </w:tcPr>
          <w:p w14:paraId="3A7BC3B6" w14:textId="77777777" w:rsidR="00000000" w:rsidRDefault="00195E73">
            <w:pPr>
              <w:rPr>
                <w:rFonts w:eastAsia="Times New Roman"/>
              </w:rPr>
            </w:pPr>
            <w:r>
              <w:rPr>
                <w:rFonts w:eastAsia="Times New Roman"/>
                <w:color w:val="000000"/>
                <w:sz w:val="20"/>
                <w:szCs w:val="20"/>
              </w:rPr>
              <w:t>Other comprehensive (loss) income, net of 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390FFB01"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51D1FB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955AA55"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674615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9C6EDA4" w14:textId="77777777" w:rsidR="00000000" w:rsidRDefault="00195E73">
            <w:pPr>
              <w:rPr>
                <w:rFonts w:eastAsia="Times New Roman"/>
                <w:sz w:val="20"/>
                <w:szCs w:val="20"/>
              </w:rPr>
            </w:pPr>
          </w:p>
        </w:tc>
        <w:tc>
          <w:tcPr>
            <w:tcW w:w="0" w:type="auto"/>
            <w:vAlign w:val="center"/>
            <w:hideMark/>
          </w:tcPr>
          <w:p w14:paraId="3F979EC5" w14:textId="77777777" w:rsidR="00000000" w:rsidRDefault="00195E73">
            <w:pPr>
              <w:rPr>
                <w:rFonts w:eastAsia="Times New Roman"/>
                <w:sz w:val="20"/>
                <w:szCs w:val="20"/>
              </w:rPr>
            </w:pPr>
          </w:p>
        </w:tc>
        <w:tc>
          <w:tcPr>
            <w:tcW w:w="0" w:type="auto"/>
            <w:vAlign w:val="center"/>
            <w:hideMark/>
          </w:tcPr>
          <w:p w14:paraId="36B2BE83" w14:textId="77777777" w:rsidR="00000000" w:rsidRDefault="00195E73">
            <w:pPr>
              <w:rPr>
                <w:rFonts w:eastAsia="Times New Roman"/>
                <w:sz w:val="20"/>
                <w:szCs w:val="20"/>
              </w:rPr>
            </w:pPr>
          </w:p>
        </w:tc>
        <w:tc>
          <w:tcPr>
            <w:tcW w:w="0" w:type="auto"/>
            <w:vAlign w:val="center"/>
            <w:hideMark/>
          </w:tcPr>
          <w:p w14:paraId="0243845B" w14:textId="77777777" w:rsidR="00000000" w:rsidRDefault="00195E73">
            <w:pPr>
              <w:rPr>
                <w:rFonts w:eastAsia="Times New Roman"/>
                <w:sz w:val="20"/>
                <w:szCs w:val="20"/>
              </w:rPr>
            </w:pPr>
          </w:p>
        </w:tc>
        <w:tc>
          <w:tcPr>
            <w:tcW w:w="0" w:type="auto"/>
            <w:vAlign w:val="center"/>
            <w:hideMark/>
          </w:tcPr>
          <w:p w14:paraId="73394596" w14:textId="77777777" w:rsidR="00000000" w:rsidRDefault="00195E73">
            <w:pPr>
              <w:rPr>
                <w:rFonts w:eastAsia="Times New Roman"/>
                <w:sz w:val="20"/>
                <w:szCs w:val="20"/>
              </w:rPr>
            </w:pPr>
          </w:p>
        </w:tc>
        <w:tc>
          <w:tcPr>
            <w:tcW w:w="0" w:type="auto"/>
            <w:vAlign w:val="center"/>
            <w:hideMark/>
          </w:tcPr>
          <w:p w14:paraId="772F83FA" w14:textId="77777777" w:rsidR="00000000" w:rsidRDefault="00195E73">
            <w:pPr>
              <w:rPr>
                <w:rFonts w:eastAsia="Times New Roman"/>
                <w:sz w:val="20"/>
                <w:szCs w:val="20"/>
              </w:rPr>
            </w:pPr>
          </w:p>
        </w:tc>
        <w:tc>
          <w:tcPr>
            <w:tcW w:w="0" w:type="auto"/>
            <w:vAlign w:val="center"/>
            <w:hideMark/>
          </w:tcPr>
          <w:p w14:paraId="74E701BB" w14:textId="77777777" w:rsidR="00000000" w:rsidRDefault="00195E73">
            <w:pPr>
              <w:rPr>
                <w:rFonts w:eastAsia="Times New Roman"/>
                <w:sz w:val="20"/>
                <w:szCs w:val="20"/>
              </w:rPr>
            </w:pPr>
          </w:p>
        </w:tc>
        <w:tc>
          <w:tcPr>
            <w:tcW w:w="0" w:type="auto"/>
            <w:vAlign w:val="center"/>
            <w:hideMark/>
          </w:tcPr>
          <w:p w14:paraId="5D3A6322" w14:textId="77777777" w:rsidR="00000000" w:rsidRDefault="00195E73">
            <w:pPr>
              <w:rPr>
                <w:rFonts w:eastAsia="Times New Roman"/>
                <w:sz w:val="20"/>
                <w:szCs w:val="20"/>
              </w:rPr>
            </w:pPr>
          </w:p>
        </w:tc>
        <w:tc>
          <w:tcPr>
            <w:tcW w:w="0" w:type="auto"/>
            <w:vAlign w:val="center"/>
            <w:hideMark/>
          </w:tcPr>
          <w:p w14:paraId="23FA0777" w14:textId="77777777" w:rsidR="00000000" w:rsidRDefault="00195E73">
            <w:pPr>
              <w:rPr>
                <w:rFonts w:eastAsia="Times New Roman"/>
                <w:sz w:val="20"/>
                <w:szCs w:val="20"/>
              </w:rPr>
            </w:pPr>
          </w:p>
        </w:tc>
        <w:tc>
          <w:tcPr>
            <w:tcW w:w="0" w:type="auto"/>
            <w:vAlign w:val="center"/>
            <w:hideMark/>
          </w:tcPr>
          <w:p w14:paraId="49FD1A3A" w14:textId="77777777" w:rsidR="00000000" w:rsidRDefault="00195E73">
            <w:pPr>
              <w:rPr>
                <w:rFonts w:eastAsia="Times New Roman"/>
                <w:sz w:val="20"/>
                <w:szCs w:val="20"/>
              </w:rPr>
            </w:pPr>
          </w:p>
        </w:tc>
        <w:tc>
          <w:tcPr>
            <w:tcW w:w="0" w:type="auto"/>
            <w:vAlign w:val="center"/>
            <w:hideMark/>
          </w:tcPr>
          <w:p w14:paraId="0DE3ED2E" w14:textId="77777777" w:rsidR="00000000" w:rsidRDefault="00195E73">
            <w:pPr>
              <w:rPr>
                <w:rFonts w:eastAsia="Times New Roman"/>
                <w:sz w:val="20"/>
                <w:szCs w:val="20"/>
              </w:rPr>
            </w:pPr>
          </w:p>
        </w:tc>
        <w:tc>
          <w:tcPr>
            <w:tcW w:w="0" w:type="auto"/>
            <w:vAlign w:val="center"/>
            <w:hideMark/>
          </w:tcPr>
          <w:p w14:paraId="7C0EA379" w14:textId="77777777" w:rsidR="00000000" w:rsidRDefault="00195E73">
            <w:pPr>
              <w:rPr>
                <w:rFonts w:eastAsia="Times New Roman"/>
                <w:sz w:val="20"/>
                <w:szCs w:val="20"/>
              </w:rPr>
            </w:pPr>
          </w:p>
        </w:tc>
        <w:tc>
          <w:tcPr>
            <w:tcW w:w="0" w:type="auto"/>
            <w:vAlign w:val="center"/>
            <w:hideMark/>
          </w:tcPr>
          <w:p w14:paraId="58A247C6" w14:textId="77777777" w:rsidR="00000000" w:rsidRDefault="00195E73">
            <w:pPr>
              <w:rPr>
                <w:rFonts w:eastAsia="Times New Roman"/>
                <w:sz w:val="20"/>
                <w:szCs w:val="20"/>
              </w:rPr>
            </w:pPr>
          </w:p>
        </w:tc>
      </w:tr>
      <w:tr w:rsidR="00000000" w14:paraId="405D1D94" w14:textId="77777777">
        <w:trPr>
          <w:divId w:val="1214343037"/>
          <w:jc w:val="center"/>
        </w:trPr>
        <w:tc>
          <w:tcPr>
            <w:tcW w:w="0" w:type="auto"/>
            <w:gridSpan w:val="3"/>
            <w:shd w:val="clear" w:color="auto" w:fill="CCEEFF"/>
            <w:tcMar>
              <w:top w:w="30" w:type="dxa"/>
              <w:left w:w="20" w:type="dxa"/>
              <w:bottom w:w="30" w:type="dxa"/>
              <w:right w:w="20" w:type="dxa"/>
            </w:tcMar>
            <w:vAlign w:val="bottom"/>
            <w:hideMark/>
          </w:tcPr>
          <w:p w14:paraId="2BE9BC4E" w14:textId="77777777" w:rsidR="00000000" w:rsidRDefault="00195E73">
            <w:pPr>
              <w:rPr>
                <w:rFonts w:eastAsia="Times New Roman"/>
              </w:rPr>
            </w:pPr>
            <w:r>
              <w:rPr>
                <w:rFonts w:eastAsia="Times New Roman"/>
                <w:color w:val="000000"/>
                <w:sz w:val="20"/>
                <w:szCs w:val="20"/>
              </w:rPr>
              <w:t>Translation adjustment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0E9BC40"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1E7BAC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F4D10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042C52" w14:textId="77777777" w:rsidR="00000000" w:rsidRDefault="00195E73">
            <w:pPr>
              <w:jc w:val="right"/>
              <w:rPr>
                <w:rFonts w:eastAsia="Times New Roman"/>
              </w:rPr>
            </w:pPr>
            <w:r>
              <w:rPr>
                <w:rFonts w:eastAsia="Times New Roman"/>
                <w:color w:val="000000"/>
                <w:sz w:val="20"/>
                <w:szCs w:val="20"/>
              </w:rPr>
              <w:t>(86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3252EC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47FDB1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05AD12" w14:textId="77777777" w:rsidR="00000000" w:rsidRDefault="00195E73">
            <w:pPr>
              <w:jc w:val="right"/>
              <w:rPr>
                <w:rFonts w:eastAsia="Times New Roman"/>
              </w:rPr>
            </w:pPr>
            <w:r>
              <w:rPr>
                <w:rFonts w:eastAsia="Times New Roman"/>
                <w:color w:val="000000"/>
                <w:sz w:val="20"/>
                <w:szCs w:val="20"/>
              </w:rPr>
              <w:t>124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CCD549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C3328E2" w14:textId="77777777" w:rsidR="00000000" w:rsidRDefault="00195E73">
            <w:pPr>
              <w:rPr>
                <w:rFonts w:eastAsia="Times New Roman"/>
                <w:sz w:val="20"/>
                <w:szCs w:val="20"/>
              </w:rPr>
            </w:pPr>
          </w:p>
        </w:tc>
        <w:tc>
          <w:tcPr>
            <w:tcW w:w="0" w:type="auto"/>
            <w:vAlign w:val="center"/>
            <w:hideMark/>
          </w:tcPr>
          <w:p w14:paraId="21B41B87" w14:textId="77777777" w:rsidR="00000000" w:rsidRDefault="00195E73">
            <w:pPr>
              <w:rPr>
                <w:rFonts w:eastAsia="Times New Roman"/>
                <w:sz w:val="20"/>
                <w:szCs w:val="20"/>
              </w:rPr>
            </w:pPr>
          </w:p>
        </w:tc>
        <w:tc>
          <w:tcPr>
            <w:tcW w:w="0" w:type="auto"/>
            <w:vAlign w:val="center"/>
            <w:hideMark/>
          </w:tcPr>
          <w:p w14:paraId="1590D114" w14:textId="77777777" w:rsidR="00000000" w:rsidRDefault="00195E73">
            <w:pPr>
              <w:rPr>
                <w:rFonts w:eastAsia="Times New Roman"/>
                <w:sz w:val="20"/>
                <w:szCs w:val="20"/>
              </w:rPr>
            </w:pPr>
          </w:p>
        </w:tc>
        <w:tc>
          <w:tcPr>
            <w:tcW w:w="0" w:type="auto"/>
            <w:vAlign w:val="center"/>
            <w:hideMark/>
          </w:tcPr>
          <w:p w14:paraId="6FB1A73B" w14:textId="77777777" w:rsidR="00000000" w:rsidRDefault="00195E73">
            <w:pPr>
              <w:rPr>
                <w:rFonts w:eastAsia="Times New Roman"/>
                <w:sz w:val="20"/>
                <w:szCs w:val="20"/>
              </w:rPr>
            </w:pPr>
          </w:p>
        </w:tc>
        <w:tc>
          <w:tcPr>
            <w:tcW w:w="0" w:type="auto"/>
            <w:vAlign w:val="center"/>
            <w:hideMark/>
          </w:tcPr>
          <w:p w14:paraId="0D6980C4" w14:textId="77777777" w:rsidR="00000000" w:rsidRDefault="00195E73">
            <w:pPr>
              <w:rPr>
                <w:rFonts w:eastAsia="Times New Roman"/>
                <w:sz w:val="20"/>
                <w:szCs w:val="20"/>
              </w:rPr>
            </w:pPr>
          </w:p>
        </w:tc>
        <w:tc>
          <w:tcPr>
            <w:tcW w:w="0" w:type="auto"/>
            <w:vAlign w:val="center"/>
            <w:hideMark/>
          </w:tcPr>
          <w:p w14:paraId="237D9C46" w14:textId="77777777" w:rsidR="00000000" w:rsidRDefault="00195E73">
            <w:pPr>
              <w:rPr>
                <w:rFonts w:eastAsia="Times New Roman"/>
                <w:sz w:val="20"/>
                <w:szCs w:val="20"/>
              </w:rPr>
            </w:pPr>
          </w:p>
        </w:tc>
        <w:tc>
          <w:tcPr>
            <w:tcW w:w="0" w:type="auto"/>
            <w:vAlign w:val="center"/>
            <w:hideMark/>
          </w:tcPr>
          <w:p w14:paraId="24E0DE55" w14:textId="77777777" w:rsidR="00000000" w:rsidRDefault="00195E73">
            <w:pPr>
              <w:rPr>
                <w:rFonts w:eastAsia="Times New Roman"/>
                <w:sz w:val="20"/>
                <w:szCs w:val="20"/>
              </w:rPr>
            </w:pPr>
          </w:p>
        </w:tc>
        <w:tc>
          <w:tcPr>
            <w:tcW w:w="0" w:type="auto"/>
            <w:vAlign w:val="center"/>
            <w:hideMark/>
          </w:tcPr>
          <w:p w14:paraId="61BE1F7F" w14:textId="77777777" w:rsidR="00000000" w:rsidRDefault="00195E73">
            <w:pPr>
              <w:rPr>
                <w:rFonts w:eastAsia="Times New Roman"/>
                <w:sz w:val="20"/>
                <w:szCs w:val="20"/>
              </w:rPr>
            </w:pPr>
          </w:p>
        </w:tc>
        <w:tc>
          <w:tcPr>
            <w:tcW w:w="0" w:type="auto"/>
            <w:vAlign w:val="center"/>
            <w:hideMark/>
          </w:tcPr>
          <w:p w14:paraId="55CB22F4" w14:textId="77777777" w:rsidR="00000000" w:rsidRDefault="00195E73">
            <w:pPr>
              <w:rPr>
                <w:rFonts w:eastAsia="Times New Roman"/>
                <w:sz w:val="20"/>
                <w:szCs w:val="20"/>
              </w:rPr>
            </w:pPr>
          </w:p>
        </w:tc>
        <w:tc>
          <w:tcPr>
            <w:tcW w:w="0" w:type="auto"/>
            <w:vAlign w:val="center"/>
            <w:hideMark/>
          </w:tcPr>
          <w:p w14:paraId="6D08BFFB" w14:textId="77777777" w:rsidR="00000000" w:rsidRDefault="00195E73">
            <w:pPr>
              <w:rPr>
                <w:rFonts w:eastAsia="Times New Roman"/>
                <w:sz w:val="20"/>
                <w:szCs w:val="20"/>
              </w:rPr>
            </w:pPr>
          </w:p>
        </w:tc>
        <w:tc>
          <w:tcPr>
            <w:tcW w:w="0" w:type="auto"/>
            <w:vAlign w:val="center"/>
            <w:hideMark/>
          </w:tcPr>
          <w:p w14:paraId="03B9FC1E" w14:textId="77777777" w:rsidR="00000000" w:rsidRDefault="00195E73">
            <w:pPr>
              <w:rPr>
                <w:rFonts w:eastAsia="Times New Roman"/>
                <w:sz w:val="20"/>
                <w:szCs w:val="20"/>
              </w:rPr>
            </w:pPr>
          </w:p>
        </w:tc>
        <w:tc>
          <w:tcPr>
            <w:tcW w:w="0" w:type="auto"/>
            <w:vAlign w:val="center"/>
            <w:hideMark/>
          </w:tcPr>
          <w:p w14:paraId="1109CF29" w14:textId="77777777" w:rsidR="00000000" w:rsidRDefault="00195E73">
            <w:pPr>
              <w:rPr>
                <w:rFonts w:eastAsia="Times New Roman"/>
                <w:sz w:val="20"/>
                <w:szCs w:val="20"/>
              </w:rPr>
            </w:pPr>
          </w:p>
        </w:tc>
      </w:tr>
      <w:tr w:rsidR="00000000" w14:paraId="008F6437" w14:textId="77777777">
        <w:trPr>
          <w:divId w:val="1214343037"/>
          <w:jc w:val="center"/>
        </w:trPr>
        <w:tc>
          <w:tcPr>
            <w:tcW w:w="0" w:type="auto"/>
            <w:gridSpan w:val="3"/>
            <w:shd w:val="clear" w:color="auto" w:fill="FFFFFF"/>
            <w:tcMar>
              <w:top w:w="30" w:type="dxa"/>
              <w:left w:w="20" w:type="dxa"/>
              <w:bottom w:w="30" w:type="dxa"/>
              <w:right w:w="20" w:type="dxa"/>
            </w:tcMar>
            <w:vAlign w:val="bottom"/>
            <w:hideMark/>
          </w:tcPr>
          <w:p w14:paraId="4F448DC2" w14:textId="77777777" w:rsidR="00000000" w:rsidRDefault="00195E73">
            <w:pPr>
              <w:rPr>
                <w:rFonts w:eastAsia="Times New Roman"/>
              </w:rPr>
            </w:pPr>
            <w:r>
              <w:rPr>
                <w:rFonts w:eastAsia="Times New Roman"/>
                <w:color w:val="000000"/>
                <w:sz w:val="20"/>
                <w:szCs w:val="20"/>
              </w:rPr>
              <w:t>Post-retirement benefits and 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13FF20E6"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D9DCDB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9EA3EE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7CC238" w14:textId="77777777" w:rsidR="00000000" w:rsidRDefault="00195E73">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F33BA0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E75918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5C341D" w14:textId="77777777" w:rsidR="00000000" w:rsidRDefault="00195E73">
            <w:pPr>
              <w:jc w:val="right"/>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F48418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206E821" w14:textId="77777777" w:rsidR="00000000" w:rsidRDefault="00195E73">
            <w:pPr>
              <w:rPr>
                <w:rFonts w:eastAsia="Times New Roman"/>
                <w:sz w:val="20"/>
                <w:szCs w:val="20"/>
              </w:rPr>
            </w:pPr>
          </w:p>
        </w:tc>
        <w:tc>
          <w:tcPr>
            <w:tcW w:w="0" w:type="auto"/>
            <w:vAlign w:val="center"/>
            <w:hideMark/>
          </w:tcPr>
          <w:p w14:paraId="3E041F24" w14:textId="77777777" w:rsidR="00000000" w:rsidRDefault="00195E73">
            <w:pPr>
              <w:rPr>
                <w:rFonts w:eastAsia="Times New Roman"/>
                <w:sz w:val="20"/>
                <w:szCs w:val="20"/>
              </w:rPr>
            </w:pPr>
          </w:p>
        </w:tc>
        <w:tc>
          <w:tcPr>
            <w:tcW w:w="0" w:type="auto"/>
            <w:vAlign w:val="center"/>
            <w:hideMark/>
          </w:tcPr>
          <w:p w14:paraId="3F2B8A29" w14:textId="77777777" w:rsidR="00000000" w:rsidRDefault="00195E73">
            <w:pPr>
              <w:rPr>
                <w:rFonts w:eastAsia="Times New Roman"/>
                <w:sz w:val="20"/>
                <w:szCs w:val="20"/>
              </w:rPr>
            </w:pPr>
          </w:p>
        </w:tc>
        <w:tc>
          <w:tcPr>
            <w:tcW w:w="0" w:type="auto"/>
            <w:vAlign w:val="center"/>
            <w:hideMark/>
          </w:tcPr>
          <w:p w14:paraId="046017D2" w14:textId="77777777" w:rsidR="00000000" w:rsidRDefault="00195E73">
            <w:pPr>
              <w:rPr>
                <w:rFonts w:eastAsia="Times New Roman"/>
                <w:sz w:val="20"/>
                <w:szCs w:val="20"/>
              </w:rPr>
            </w:pPr>
          </w:p>
        </w:tc>
        <w:tc>
          <w:tcPr>
            <w:tcW w:w="0" w:type="auto"/>
            <w:vAlign w:val="center"/>
            <w:hideMark/>
          </w:tcPr>
          <w:p w14:paraId="757E8D5B" w14:textId="77777777" w:rsidR="00000000" w:rsidRDefault="00195E73">
            <w:pPr>
              <w:rPr>
                <w:rFonts w:eastAsia="Times New Roman"/>
                <w:sz w:val="20"/>
                <w:szCs w:val="20"/>
              </w:rPr>
            </w:pPr>
          </w:p>
        </w:tc>
        <w:tc>
          <w:tcPr>
            <w:tcW w:w="0" w:type="auto"/>
            <w:vAlign w:val="center"/>
            <w:hideMark/>
          </w:tcPr>
          <w:p w14:paraId="1301D37F" w14:textId="77777777" w:rsidR="00000000" w:rsidRDefault="00195E73">
            <w:pPr>
              <w:rPr>
                <w:rFonts w:eastAsia="Times New Roman"/>
                <w:sz w:val="20"/>
                <w:szCs w:val="20"/>
              </w:rPr>
            </w:pPr>
          </w:p>
        </w:tc>
        <w:tc>
          <w:tcPr>
            <w:tcW w:w="0" w:type="auto"/>
            <w:vAlign w:val="center"/>
            <w:hideMark/>
          </w:tcPr>
          <w:p w14:paraId="481B774B" w14:textId="77777777" w:rsidR="00000000" w:rsidRDefault="00195E73">
            <w:pPr>
              <w:rPr>
                <w:rFonts w:eastAsia="Times New Roman"/>
                <w:sz w:val="20"/>
                <w:szCs w:val="20"/>
              </w:rPr>
            </w:pPr>
          </w:p>
        </w:tc>
        <w:tc>
          <w:tcPr>
            <w:tcW w:w="0" w:type="auto"/>
            <w:vAlign w:val="center"/>
            <w:hideMark/>
          </w:tcPr>
          <w:p w14:paraId="60BC4F03" w14:textId="77777777" w:rsidR="00000000" w:rsidRDefault="00195E73">
            <w:pPr>
              <w:rPr>
                <w:rFonts w:eastAsia="Times New Roman"/>
                <w:sz w:val="20"/>
                <w:szCs w:val="20"/>
              </w:rPr>
            </w:pPr>
          </w:p>
        </w:tc>
        <w:tc>
          <w:tcPr>
            <w:tcW w:w="0" w:type="auto"/>
            <w:vAlign w:val="center"/>
            <w:hideMark/>
          </w:tcPr>
          <w:p w14:paraId="33300CF8" w14:textId="77777777" w:rsidR="00000000" w:rsidRDefault="00195E73">
            <w:pPr>
              <w:rPr>
                <w:rFonts w:eastAsia="Times New Roman"/>
                <w:sz w:val="20"/>
                <w:szCs w:val="20"/>
              </w:rPr>
            </w:pPr>
          </w:p>
        </w:tc>
        <w:tc>
          <w:tcPr>
            <w:tcW w:w="0" w:type="auto"/>
            <w:vAlign w:val="center"/>
            <w:hideMark/>
          </w:tcPr>
          <w:p w14:paraId="556E48A1" w14:textId="77777777" w:rsidR="00000000" w:rsidRDefault="00195E73">
            <w:pPr>
              <w:rPr>
                <w:rFonts w:eastAsia="Times New Roman"/>
                <w:sz w:val="20"/>
                <w:szCs w:val="20"/>
              </w:rPr>
            </w:pPr>
          </w:p>
        </w:tc>
        <w:tc>
          <w:tcPr>
            <w:tcW w:w="0" w:type="auto"/>
            <w:vAlign w:val="center"/>
            <w:hideMark/>
          </w:tcPr>
          <w:p w14:paraId="02E52DB8" w14:textId="77777777" w:rsidR="00000000" w:rsidRDefault="00195E73">
            <w:pPr>
              <w:rPr>
                <w:rFonts w:eastAsia="Times New Roman"/>
                <w:sz w:val="20"/>
                <w:szCs w:val="20"/>
              </w:rPr>
            </w:pPr>
          </w:p>
        </w:tc>
        <w:tc>
          <w:tcPr>
            <w:tcW w:w="0" w:type="auto"/>
            <w:vAlign w:val="center"/>
            <w:hideMark/>
          </w:tcPr>
          <w:p w14:paraId="2D17AE88" w14:textId="77777777" w:rsidR="00000000" w:rsidRDefault="00195E73">
            <w:pPr>
              <w:rPr>
                <w:rFonts w:eastAsia="Times New Roman"/>
                <w:sz w:val="20"/>
                <w:szCs w:val="20"/>
              </w:rPr>
            </w:pPr>
          </w:p>
        </w:tc>
      </w:tr>
      <w:tr w:rsidR="00000000" w14:paraId="348E88B8" w14:textId="77777777">
        <w:trPr>
          <w:divId w:val="1214343037"/>
          <w:jc w:val="center"/>
        </w:trPr>
        <w:tc>
          <w:tcPr>
            <w:tcW w:w="0" w:type="auto"/>
            <w:gridSpan w:val="3"/>
            <w:shd w:val="clear" w:color="auto" w:fill="CCEEFF"/>
            <w:tcMar>
              <w:top w:w="30" w:type="dxa"/>
              <w:left w:w="20" w:type="dxa"/>
              <w:bottom w:w="30" w:type="dxa"/>
              <w:right w:w="20" w:type="dxa"/>
            </w:tcMar>
            <w:vAlign w:val="bottom"/>
            <w:hideMark/>
          </w:tcPr>
          <w:p w14:paraId="18043D11" w14:textId="77777777" w:rsidR="00000000" w:rsidRDefault="00195E73">
            <w:pPr>
              <w:rPr>
                <w:rFonts w:eastAsia="Times New Roman"/>
              </w:rPr>
            </w:pPr>
            <w:r>
              <w:rPr>
                <w:rFonts w:eastAsia="Times New Roman"/>
                <w:color w:val="000000"/>
                <w:sz w:val="20"/>
                <w:szCs w:val="20"/>
              </w:rPr>
              <w:t>Other comprehensive income (loss), net of ta</w:t>
            </w:r>
            <w:r>
              <w:rPr>
                <w:rFonts w:eastAsia="Times New Roman"/>
                <w:color w:val="000000"/>
                <w:sz w:val="20"/>
                <w:szCs w:val="20"/>
              </w:rPr>
              <w:t>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A779A9"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4F32E7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04B246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C1AAEB" w14:textId="77777777" w:rsidR="00000000" w:rsidRDefault="00195E73">
            <w:pPr>
              <w:jc w:val="right"/>
              <w:rPr>
                <w:rFonts w:eastAsia="Times New Roman"/>
              </w:rPr>
            </w:pPr>
            <w:r>
              <w:rPr>
                <w:rFonts w:eastAsia="Times New Roman"/>
                <w:color w:val="000000"/>
                <w:sz w:val="20"/>
                <w:szCs w:val="20"/>
              </w:rPr>
              <w:t>(68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9C69EC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3C56AD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9FB4CF" w14:textId="77777777" w:rsidR="00000000" w:rsidRDefault="00195E73">
            <w:pPr>
              <w:jc w:val="right"/>
              <w:rPr>
                <w:rFonts w:eastAsia="Times New Roman"/>
              </w:rPr>
            </w:pPr>
            <w:r>
              <w:rPr>
                <w:rFonts w:eastAsia="Times New Roman"/>
                <w:color w:val="000000"/>
                <w:sz w:val="20"/>
                <w:szCs w:val="20"/>
              </w:rPr>
              <w:t>173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4E83DB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C94917C" w14:textId="77777777" w:rsidR="00000000" w:rsidRDefault="00195E73">
            <w:pPr>
              <w:rPr>
                <w:rFonts w:eastAsia="Times New Roman"/>
                <w:sz w:val="20"/>
                <w:szCs w:val="20"/>
              </w:rPr>
            </w:pPr>
          </w:p>
        </w:tc>
        <w:tc>
          <w:tcPr>
            <w:tcW w:w="0" w:type="auto"/>
            <w:vAlign w:val="center"/>
            <w:hideMark/>
          </w:tcPr>
          <w:p w14:paraId="4A9E337D" w14:textId="77777777" w:rsidR="00000000" w:rsidRDefault="00195E73">
            <w:pPr>
              <w:rPr>
                <w:rFonts w:eastAsia="Times New Roman"/>
                <w:sz w:val="20"/>
                <w:szCs w:val="20"/>
              </w:rPr>
            </w:pPr>
          </w:p>
        </w:tc>
        <w:tc>
          <w:tcPr>
            <w:tcW w:w="0" w:type="auto"/>
            <w:vAlign w:val="center"/>
            <w:hideMark/>
          </w:tcPr>
          <w:p w14:paraId="322A1C66" w14:textId="77777777" w:rsidR="00000000" w:rsidRDefault="00195E73">
            <w:pPr>
              <w:rPr>
                <w:rFonts w:eastAsia="Times New Roman"/>
                <w:sz w:val="20"/>
                <w:szCs w:val="20"/>
              </w:rPr>
            </w:pPr>
          </w:p>
        </w:tc>
        <w:tc>
          <w:tcPr>
            <w:tcW w:w="0" w:type="auto"/>
            <w:vAlign w:val="center"/>
            <w:hideMark/>
          </w:tcPr>
          <w:p w14:paraId="149054AB" w14:textId="77777777" w:rsidR="00000000" w:rsidRDefault="00195E73">
            <w:pPr>
              <w:rPr>
                <w:rFonts w:eastAsia="Times New Roman"/>
                <w:sz w:val="20"/>
                <w:szCs w:val="20"/>
              </w:rPr>
            </w:pPr>
          </w:p>
        </w:tc>
        <w:tc>
          <w:tcPr>
            <w:tcW w:w="0" w:type="auto"/>
            <w:vAlign w:val="center"/>
            <w:hideMark/>
          </w:tcPr>
          <w:p w14:paraId="000CCEE9" w14:textId="77777777" w:rsidR="00000000" w:rsidRDefault="00195E73">
            <w:pPr>
              <w:rPr>
                <w:rFonts w:eastAsia="Times New Roman"/>
                <w:sz w:val="20"/>
                <w:szCs w:val="20"/>
              </w:rPr>
            </w:pPr>
          </w:p>
        </w:tc>
        <w:tc>
          <w:tcPr>
            <w:tcW w:w="0" w:type="auto"/>
            <w:vAlign w:val="center"/>
            <w:hideMark/>
          </w:tcPr>
          <w:p w14:paraId="066A6942" w14:textId="77777777" w:rsidR="00000000" w:rsidRDefault="00195E73">
            <w:pPr>
              <w:rPr>
                <w:rFonts w:eastAsia="Times New Roman"/>
                <w:sz w:val="20"/>
                <w:szCs w:val="20"/>
              </w:rPr>
            </w:pPr>
          </w:p>
        </w:tc>
        <w:tc>
          <w:tcPr>
            <w:tcW w:w="0" w:type="auto"/>
            <w:vAlign w:val="center"/>
            <w:hideMark/>
          </w:tcPr>
          <w:p w14:paraId="3B54CDB0" w14:textId="77777777" w:rsidR="00000000" w:rsidRDefault="00195E73">
            <w:pPr>
              <w:rPr>
                <w:rFonts w:eastAsia="Times New Roman"/>
                <w:sz w:val="20"/>
                <w:szCs w:val="20"/>
              </w:rPr>
            </w:pPr>
          </w:p>
        </w:tc>
        <w:tc>
          <w:tcPr>
            <w:tcW w:w="0" w:type="auto"/>
            <w:vAlign w:val="center"/>
            <w:hideMark/>
          </w:tcPr>
          <w:p w14:paraId="3F63AFB9" w14:textId="77777777" w:rsidR="00000000" w:rsidRDefault="00195E73">
            <w:pPr>
              <w:rPr>
                <w:rFonts w:eastAsia="Times New Roman"/>
                <w:sz w:val="20"/>
                <w:szCs w:val="20"/>
              </w:rPr>
            </w:pPr>
          </w:p>
        </w:tc>
        <w:tc>
          <w:tcPr>
            <w:tcW w:w="0" w:type="auto"/>
            <w:vAlign w:val="center"/>
            <w:hideMark/>
          </w:tcPr>
          <w:p w14:paraId="6E592B37" w14:textId="77777777" w:rsidR="00000000" w:rsidRDefault="00195E73">
            <w:pPr>
              <w:rPr>
                <w:rFonts w:eastAsia="Times New Roman"/>
                <w:sz w:val="20"/>
                <w:szCs w:val="20"/>
              </w:rPr>
            </w:pPr>
          </w:p>
        </w:tc>
        <w:tc>
          <w:tcPr>
            <w:tcW w:w="0" w:type="auto"/>
            <w:vAlign w:val="center"/>
            <w:hideMark/>
          </w:tcPr>
          <w:p w14:paraId="6DDBC31B" w14:textId="77777777" w:rsidR="00000000" w:rsidRDefault="00195E73">
            <w:pPr>
              <w:rPr>
                <w:rFonts w:eastAsia="Times New Roman"/>
                <w:sz w:val="20"/>
                <w:szCs w:val="20"/>
              </w:rPr>
            </w:pPr>
          </w:p>
        </w:tc>
        <w:tc>
          <w:tcPr>
            <w:tcW w:w="0" w:type="auto"/>
            <w:vAlign w:val="center"/>
            <w:hideMark/>
          </w:tcPr>
          <w:p w14:paraId="22D8D2D4" w14:textId="77777777" w:rsidR="00000000" w:rsidRDefault="00195E73">
            <w:pPr>
              <w:rPr>
                <w:rFonts w:eastAsia="Times New Roman"/>
                <w:sz w:val="20"/>
                <w:szCs w:val="20"/>
              </w:rPr>
            </w:pPr>
          </w:p>
        </w:tc>
        <w:tc>
          <w:tcPr>
            <w:tcW w:w="0" w:type="auto"/>
            <w:vAlign w:val="center"/>
            <w:hideMark/>
          </w:tcPr>
          <w:p w14:paraId="731CD7C5" w14:textId="77777777" w:rsidR="00000000" w:rsidRDefault="00195E73">
            <w:pPr>
              <w:rPr>
                <w:rFonts w:eastAsia="Times New Roman"/>
                <w:sz w:val="20"/>
                <w:szCs w:val="20"/>
              </w:rPr>
            </w:pPr>
          </w:p>
        </w:tc>
      </w:tr>
      <w:tr w:rsidR="00000000" w14:paraId="3B8E6AFD" w14:textId="77777777">
        <w:trPr>
          <w:divId w:val="1214343037"/>
          <w:jc w:val="center"/>
        </w:trPr>
        <w:tc>
          <w:tcPr>
            <w:tcW w:w="0" w:type="auto"/>
            <w:gridSpan w:val="3"/>
            <w:shd w:val="clear" w:color="auto" w:fill="FFFFFF"/>
            <w:tcMar>
              <w:top w:w="30" w:type="dxa"/>
              <w:left w:w="20" w:type="dxa"/>
              <w:bottom w:w="30" w:type="dxa"/>
              <w:right w:w="20" w:type="dxa"/>
            </w:tcMar>
            <w:vAlign w:val="bottom"/>
            <w:hideMark/>
          </w:tcPr>
          <w:p w14:paraId="5B1FC0E6" w14:textId="77777777" w:rsidR="00000000" w:rsidRDefault="00195E73">
            <w:pPr>
              <w:rPr>
                <w:rFonts w:eastAsia="Times New Roman"/>
              </w:rPr>
            </w:pPr>
            <w:r>
              <w:rPr>
                <w:rFonts w:eastAsia="Times New Roman"/>
                <w:color w:val="000000"/>
                <w:sz w:val="20"/>
                <w:szCs w:val="20"/>
              </w:rPr>
              <w:t>Comprehensive (loss) incom</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383163" w14:textId="77777777" w:rsidR="00000000" w:rsidRDefault="00195E73">
            <w:pPr>
              <w:jc w:val="right"/>
              <w:rPr>
                <w:rFonts w:eastAsia="Times New Roman"/>
              </w:rPr>
            </w:pPr>
            <w:r>
              <w:rPr>
                <w:rFonts w:eastAsia="Times New Roman"/>
                <w:color w:val="000000"/>
                <w:sz w:val="20"/>
                <w:szCs w:val="20"/>
              </w:rPr>
              <w:t>(1,789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2CB8A2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57F659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682106" w14:textId="77777777" w:rsidR="00000000" w:rsidRDefault="00195E73">
            <w:pPr>
              <w:jc w:val="right"/>
              <w:rPr>
                <w:rFonts w:eastAsia="Times New Roman"/>
              </w:rPr>
            </w:pPr>
            <w:r>
              <w:rPr>
                <w:rFonts w:eastAsia="Times New Roman"/>
                <w:color w:val="000000"/>
                <w:sz w:val="20"/>
                <w:szCs w:val="20"/>
              </w:rPr>
              <w:t>1,934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CC7C99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78E24C2"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25246F" w14:textId="77777777" w:rsidR="00000000" w:rsidRDefault="00195E73">
            <w:pPr>
              <w:jc w:val="right"/>
              <w:rPr>
                <w:rFonts w:eastAsia="Times New Roman"/>
              </w:rPr>
            </w:pPr>
            <w:r>
              <w:rPr>
                <w:rFonts w:eastAsia="Times New Roman"/>
                <w:color w:val="000000"/>
                <w:sz w:val="20"/>
                <w:szCs w:val="20"/>
              </w:rPr>
              <w:t>2,807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2F376D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122D8A5" w14:textId="77777777" w:rsidR="00000000" w:rsidRDefault="00195E73">
            <w:pPr>
              <w:rPr>
                <w:rFonts w:eastAsia="Times New Roman"/>
                <w:sz w:val="20"/>
                <w:szCs w:val="20"/>
              </w:rPr>
            </w:pPr>
          </w:p>
        </w:tc>
        <w:tc>
          <w:tcPr>
            <w:tcW w:w="0" w:type="auto"/>
            <w:vAlign w:val="center"/>
            <w:hideMark/>
          </w:tcPr>
          <w:p w14:paraId="20DDF0CF" w14:textId="77777777" w:rsidR="00000000" w:rsidRDefault="00195E73">
            <w:pPr>
              <w:rPr>
                <w:rFonts w:eastAsia="Times New Roman"/>
                <w:sz w:val="20"/>
                <w:szCs w:val="20"/>
              </w:rPr>
            </w:pPr>
          </w:p>
        </w:tc>
        <w:tc>
          <w:tcPr>
            <w:tcW w:w="0" w:type="auto"/>
            <w:vAlign w:val="center"/>
            <w:hideMark/>
          </w:tcPr>
          <w:p w14:paraId="7D6BF7E2" w14:textId="77777777" w:rsidR="00000000" w:rsidRDefault="00195E73">
            <w:pPr>
              <w:rPr>
                <w:rFonts w:eastAsia="Times New Roman"/>
                <w:sz w:val="20"/>
                <w:szCs w:val="20"/>
              </w:rPr>
            </w:pPr>
          </w:p>
        </w:tc>
        <w:tc>
          <w:tcPr>
            <w:tcW w:w="0" w:type="auto"/>
            <w:vAlign w:val="center"/>
            <w:hideMark/>
          </w:tcPr>
          <w:p w14:paraId="32118C44" w14:textId="77777777" w:rsidR="00000000" w:rsidRDefault="00195E73">
            <w:pPr>
              <w:rPr>
                <w:rFonts w:eastAsia="Times New Roman"/>
                <w:sz w:val="20"/>
                <w:szCs w:val="20"/>
              </w:rPr>
            </w:pPr>
          </w:p>
        </w:tc>
        <w:tc>
          <w:tcPr>
            <w:tcW w:w="0" w:type="auto"/>
            <w:vAlign w:val="center"/>
            <w:hideMark/>
          </w:tcPr>
          <w:p w14:paraId="663EED95" w14:textId="77777777" w:rsidR="00000000" w:rsidRDefault="00195E73">
            <w:pPr>
              <w:rPr>
                <w:rFonts w:eastAsia="Times New Roman"/>
                <w:sz w:val="20"/>
                <w:szCs w:val="20"/>
              </w:rPr>
            </w:pPr>
          </w:p>
        </w:tc>
        <w:tc>
          <w:tcPr>
            <w:tcW w:w="0" w:type="auto"/>
            <w:vAlign w:val="center"/>
            <w:hideMark/>
          </w:tcPr>
          <w:p w14:paraId="172D6804" w14:textId="77777777" w:rsidR="00000000" w:rsidRDefault="00195E73">
            <w:pPr>
              <w:rPr>
                <w:rFonts w:eastAsia="Times New Roman"/>
                <w:sz w:val="20"/>
                <w:szCs w:val="20"/>
              </w:rPr>
            </w:pPr>
          </w:p>
        </w:tc>
        <w:tc>
          <w:tcPr>
            <w:tcW w:w="0" w:type="auto"/>
            <w:vAlign w:val="center"/>
            <w:hideMark/>
          </w:tcPr>
          <w:p w14:paraId="43FC10BC" w14:textId="77777777" w:rsidR="00000000" w:rsidRDefault="00195E73">
            <w:pPr>
              <w:rPr>
                <w:rFonts w:eastAsia="Times New Roman"/>
                <w:sz w:val="20"/>
                <w:szCs w:val="20"/>
              </w:rPr>
            </w:pPr>
          </w:p>
        </w:tc>
        <w:tc>
          <w:tcPr>
            <w:tcW w:w="0" w:type="auto"/>
            <w:vAlign w:val="center"/>
            <w:hideMark/>
          </w:tcPr>
          <w:p w14:paraId="381AC760" w14:textId="77777777" w:rsidR="00000000" w:rsidRDefault="00195E73">
            <w:pPr>
              <w:rPr>
                <w:rFonts w:eastAsia="Times New Roman"/>
                <w:sz w:val="20"/>
                <w:szCs w:val="20"/>
              </w:rPr>
            </w:pPr>
          </w:p>
        </w:tc>
        <w:tc>
          <w:tcPr>
            <w:tcW w:w="0" w:type="auto"/>
            <w:vAlign w:val="center"/>
            <w:hideMark/>
          </w:tcPr>
          <w:p w14:paraId="765F87DC" w14:textId="77777777" w:rsidR="00000000" w:rsidRDefault="00195E73">
            <w:pPr>
              <w:rPr>
                <w:rFonts w:eastAsia="Times New Roman"/>
                <w:sz w:val="20"/>
                <w:szCs w:val="20"/>
              </w:rPr>
            </w:pPr>
          </w:p>
        </w:tc>
        <w:tc>
          <w:tcPr>
            <w:tcW w:w="0" w:type="auto"/>
            <w:vAlign w:val="center"/>
            <w:hideMark/>
          </w:tcPr>
          <w:p w14:paraId="49EC08E5" w14:textId="77777777" w:rsidR="00000000" w:rsidRDefault="00195E73">
            <w:pPr>
              <w:rPr>
                <w:rFonts w:eastAsia="Times New Roman"/>
                <w:sz w:val="20"/>
                <w:szCs w:val="20"/>
              </w:rPr>
            </w:pPr>
          </w:p>
        </w:tc>
        <w:tc>
          <w:tcPr>
            <w:tcW w:w="0" w:type="auto"/>
            <w:vAlign w:val="center"/>
            <w:hideMark/>
          </w:tcPr>
          <w:p w14:paraId="7F1E0A56" w14:textId="77777777" w:rsidR="00000000" w:rsidRDefault="00195E73">
            <w:pPr>
              <w:rPr>
                <w:rFonts w:eastAsia="Times New Roman"/>
                <w:sz w:val="20"/>
                <w:szCs w:val="20"/>
              </w:rPr>
            </w:pPr>
          </w:p>
        </w:tc>
        <w:tc>
          <w:tcPr>
            <w:tcW w:w="0" w:type="auto"/>
            <w:vAlign w:val="center"/>
            <w:hideMark/>
          </w:tcPr>
          <w:p w14:paraId="3E7F7A95" w14:textId="77777777" w:rsidR="00000000" w:rsidRDefault="00195E73">
            <w:pPr>
              <w:rPr>
                <w:rFonts w:eastAsia="Times New Roman"/>
                <w:sz w:val="20"/>
                <w:szCs w:val="20"/>
              </w:rPr>
            </w:pPr>
          </w:p>
        </w:tc>
      </w:tr>
      <w:tr w:rsidR="00000000" w14:paraId="2998A6C3" w14:textId="77777777">
        <w:trPr>
          <w:divId w:val="1214343037"/>
          <w:jc w:val="center"/>
        </w:trPr>
        <w:tc>
          <w:tcPr>
            <w:tcW w:w="0" w:type="auto"/>
            <w:gridSpan w:val="3"/>
            <w:shd w:val="clear" w:color="auto" w:fill="CCEEFF"/>
            <w:tcMar>
              <w:top w:w="30" w:type="dxa"/>
              <w:left w:w="20" w:type="dxa"/>
              <w:bottom w:w="30" w:type="dxa"/>
              <w:right w:w="20" w:type="dxa"/>
            </w:tcMar>
            <w:vAlign w:val="bottom"/>
            <w:hideMark/>
          </w:tcPr>
          <w:p w14:paraId="61AB42FA" w14:textId="77777777" w:rsidR="00000000" w:rsidRDefault="00195E73">
            <w:pPr>
              <w:ind w:hanging="180"/>
              <w:divId w:val="468059047"/>
              <w:rPr>
                <w:rFonts w:eastAsia="Times New Roman"/>
              </w:rPr>
            </w:pPr>
            <w:r>
              <w:rPr>
                <w:rFonts w:eastAsia="Times New Roman"/>
                <w:color w:val="000000"/>
                <w:sz w:val="20"/>
                <w:szCs w:val="20"/>
              </w:rPr>
              <w:t>Less: Comprehensive (loss) income attributable to 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2354D36" w14:textId="77777777" w:rsidR="00000000" w:rsidRDefault="00195E73">
            <w:pPr>
              <w:jc w:val="right"/>
              <w:rPr>
                <w:rFonts w:eastAsia="Times New Roman"/>
              </w:rPr>
            </w:pPr>
            <w:r>
              <w:rPr>
                <w:rFonts w:eastAsia="Times New Roman"/>
                <w:color w:val="000000"/>
                <w:sz w:val="20"/>
                <w:szCs w:val="20"/>
              </w:rPr>
              <w:t>(693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1DFC2A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03C00D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F976CC" w14:textId="77777777" w:rsidR="00000000" w:rsidRDefault="00195E73">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4F548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F6A0EB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C3563F" w14:textId="77777777" w:rsidR="00000000" w:rsidRDefault="00195E73">
            <w:pPr>
              <w:jc w:val="right"/>
              <w:rPr>
                <w:rFonts w:eastAsia="Times New Roman"/>
              </w:rPr>
            </w:pPr>
            <w:r>
              <w:rPr>
                <w:rFonts w:eastAsia="Times New Roman"/>
                <w:color w:val="000000"/>
                <w:sz w:val="20"/>
                <w:szCs w:val="20"/>
              </w:rPr>
              <w:t>194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AD0B1F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3471230" w14:textId="77777777" w:rsidR="00000000" w:rsidRDefault="00195E73">
            <w:pPr>
              <w:rPr>
                <w:rFonts w:eastAsia="Times New Roman"/>
                <w:sz w:val="20"/>
                <w:szCs w:val="20"/>
              </w:rPr>
            </w:pPr>
          </w:p>
        </w:tc>
        <w:tc>
          <w:tcPr>
            <w:tcW w:w="0" w:type="auto"/>
            <w:vAlign w:val="center"/>
            <w:hideMark/>
          </w:tcPr>
          <w:p w14:paraId="189198A7" w14:textId="77777777" w:rsidR="00000000" w:rsidRDefault="00195E73">
            <w:pPr>
              <w:rPr>
                <w:rFonts w:eastAsia="Times New Roman"/>
                <w:sz w:val="20"/>
                <w:szCs w:val="20"/>
              </w:rPr>
            </w:pPr>
          </w:p>
        </w:tc>
        <w:tc>
          <w:tcPr>
            <w:tcW w:w="0" w:type="auto"/>
            <w:vAlign w:val="center"/>
            <w:hideMark/>
          </w:tcPr>
          <w:p w14:paraId="2499F0A6" w14:textId="77777777" w:rsidR="00000000" w:rsidRDefault="00195E73">
            <w:pPr>
              <w:rPr>
                <w:rFonts w:eastAsia="Times New Roman"/>
                <w:sz w:val="20"/>
                <w:szCs w:val="20"/>
              </w:rPr>
            </w:pPr>
          </w:p>
        </w:tc>
        <w:tc>
          <w:tcPr>
            <w:tcW w:w="0" w:type="auto"/>
            <w:vAlign w:val="center"/>
            <w:hideMark/>
          </w:tcPr>
          <w:p w14:paraId="40B1C9B3" w14:textId="77777777" w:rsidR="00000000" w:rsidRDefault="00195E73">
            <w:pPr>
              <w:rPr>
                <w:rFonts w:eastAsia="Times New Roman"/>
                <w:sz w:val="20"/>
                <w:szCs w:val="20"/>
              </w:rPr>
            </w:pPr>
          </w:p>
        </w:tc>
        <w:tc>
          <w:tcPr>
            <w:tcW w:w="0" w:type="auto"/>
            <w:vAlign w:val="center"/>
            <w:hideMark/>
          </w:tcPr>
          <w:p w14:paraId="7F93B71C" w14:textId="77777777" w:rsidR="00000000" w:rsidRDefault="00195E73">
            <w:pPr>
              <w:rPr>
                <w:rFonts w:eastAsia="Times New Roman"/>
                <w:sz w:val="20"/>
                <w:szCs w:val="20"/>
              </w:rPr>
            </w:pPr>
          </w:p>
        </w:tc>
        <w:tc>
          <w:tcPr>
            <w:tcW w:w="0" w:type="auto"/>
            <w:vAlign w:val="center"/>
            <w:hideMark/>
          </w:tcPr>
          <w:p w14:paraId="60E49A44" w14:textId="77777777" w:rsidR="00000000" w:rsidRDefault="00195E73">
            <w:pPr>
              <w:rPr>
                <w:rFonts w:eastAsia="Times New Roman"/>
                <w:sz w:val="20"/>
                <w:szCs w:val="20"/>
              </w:rPr>
            </w:pPr>
          </w:p>
        </w:tc>
        <w:tc>
          <w:tcPr>
            <w:tcW w:w="0" w:type="auto"/>
            <w:vAlign w:val="center"/>
            <w:hideMark/>
          </w:tcPr>
          <w:p w14:paraId="3CFF0E87" w14:textId="77777777" w:rsidR="00000000" w:rsidRDefault="00195E73">
            <w:pPr>
              <w:rPr>
                <w:rFonts w:eastAsia="Times New Roman"/>
                <w:sz w:val="20"/>
                <w:szCs w:val="20"/>
              </w:rPr>
            </w:pPr>
          </w:p>
        </w:tc>
        <w:tc>
          <w:tcPr>
            <w:tcW w:w="0" w:type="auto"/>
            <w:vAlign w:val="center"/>
            <w:hideMark/>
          </w:tcPr>
          <w:p w14:paraId="1FDD1322" w14:textId="77777777" w:rsidR="00000000" w:rsidRDefault="00195E73">
            <w:pPr>
              <w:rPr>
                <w:rFonts w:eastAsia="Times New Roman"/>
                <w:sz w:val="20"/>
                <w:szCs w:val="20"/>
              </w:rPr>
            </w:pPr>
          </w:p>
        </w:tc>
        <w:tc>
          <w:tcPr>
            <w:tcW w:w="0" w:type="auto"/>
            <w:vAlign w:val="center"/>
            <w:hideMark/>
          </w:tcPr>
          <w:p w14:paraId="7F33BAC4" w14:textId="77777777" w:rsidR="00000000" w:rsidRDefault="00195E73">
            <w:pPr>
              <w:rPr>
                <w:rFonts w:eastAsia="Times New Roman"/>
                <w:sz w:val="20"/>
                <w:szCs w:val="20"/>
              </w:rPr>
            </w:pPr>
          </w:p>
        </w:tc>
        <w:tc>
          <w:tcPr>
            <w:tcW w:w="0" w:type="auto"/>
            <w:vAlign w:val="center"/>
            <w:hideMark/>
          </w:tcPr>
          <w:p w14:paraId="7E90F2FA" w14:textId="77777777" w:rsidR="00000000" w:rsidRDefault="00195E73">
            <w:pPr>
              <w:rPr>
                <w:rFonts w:eastAsia="Times New Roman"/>
                <w:sz w:val="20"/>
                <w:szCs w:val="20"/>
              </w:rPr>
            </w:pPr>
          </w:p>
        </w:tc>
        <w:tc>
          <w:tcPr>
            <w:tcW w:w="0" w:type="auto"/>
            <w:vAlign w:val="center"/>
            <w:hideMark/>
          </w:tcPr>
          <w:p w14:paraId="19C651BD" w14:textId="77777777" w:rsidR="00000000" w:rsidRDefault="00195E73">
            <w:pPr>
              <w:rPr>
                <w:rFonts w:eastAsia="Times New Roman"/>
                <w:sz w:val="20"/>
                <w:szCs w:val="20"/>
              </w:rPr>
            </w:pPr>
          </w:p>
        </w:tc>
        <w:tc>
          <w:tcPr>
            <w:tcW w:w="0" w:type="auto"/>
            <w:vAlign w:val="center"/>
            <w:hideMark/>
          </w:tcPr>
          <w:p w14:paraId="683A8F4F" w14:textId="77777777" w:rsidR="00000000" w:rsidRDefault="00195E73">
            <w:pPr>
              <w:rPr>
                <w:rFonts w:eastAsia="Times New Roman"/>
                <w:sz w:val="20"/>
                <w:szCs w:val="20"/>
              </w:rPr>
            </w:pPr>
          </w:p>
        </w:tc>
      </w:tr>
      <w:tr w:rsidR="00000000" w14:paraId="5D89F114" w14:textId="77777777">
        <w:trPr>
          <w:divId w:val="1214343037"/>
          <w:jc w:val="center"/>
        </w:trPr>
        <w:tc>
          <w:tcPr>
            <w:tcW w:w="0" w:type="auto"/>
            <w:gridSpan w:val="3"/>
            <w:shd w:val="clear" w:color="auto" w:fill="FFFFFF"/>
            <w:tcMar>
              <w:top w:w="30" w:type="dxa"/>
              <w:left w:w="20" w:type="dxa"/>
              <w:bottom w:w="30" w:type="dxa"/>
              <w:right w:w="20" w:type="dxa"/>
            </w:tcMar>
            <w:vAlign w:val="bottom"/>
            <w:hideMark/>
          </w:tcPr>
          <w:p w14:paraId="6042513E" w14:textId="77777777" w:rsidR="00000000" w:rsidRDefault="00195E73">
            <w:pPr>
              <w:ind w:hanging="180"/>
              <w:divId w:val="783118172"/>
              <w:rPr>
                <w:rFonts w:eastAsia="Times New Roman"/>
              </w:rPr>
            </w:pPr>
            <w:r>
              <w:rPr>
                <w:rFonts w:eastAsia="Times New Roman"/>
                <w:color w:val="000000"/>
                <w:sz w:val="20"/>
                <w:szCs w:val="20"/>
              </w:rPr>
              <w:t>Comprehensive (loss) income attributable to Icahn Enterprises Holding</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B339F8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67BB604" w14:textId="77777777" w:rsidR="00000000" w:rsidRDefault="00195E73">
            <w:pPr>
              <w:jc w:val="right"/>
              <w:rPr>
                <w:rFonts w:eastAsia="Times New Roman"/>
              </w:rPr>
            </w:pPr>
            <w:r>
              <w:rPr>
                <w:rFonts w:eastAsia="Times New Roman"/>
                <w:color w:val="000000"/>
                <w:sz w:val="20"/>
                <w:szCs w:val="20"/>
              </w:rPr>
              <w:t>(1,096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302854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C0D09C"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A0FD14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BDB899F" w14:textId="77777777" w:rsidR="00000000" w:rsidRDefault="00195E73">
            <w:pPr>
              <w:jc w:val="right"/>
              <w:rPr>
                <w:rFonts w:eastAsia="Times New Roman"/>
              </w:rPr>
            </w:pPr>
            <w:r>
              <w:rPr>
                <w:rFonts w:eastAsia="Times New Roman"/>
                <w:color w:val="000000"/>
                <w:sz w:val="20"/>
                <w:szCs w:val="20"/>
              </w:rPr>
              <w:t>1,422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03B7EE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57FBA68"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01F0FDC"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2B029DC" w14:textId="77777777" w:rsidR="00000000" w:rsidRDefault="00195E73">
            <w:pPr>
              <w:jc w:val="right"/>
              <w:rPr>
                <w:rFonts w:eastAsia="Times New Roman"/>
              </w:rPr>
            </w:pPr>
            <w:r>
              <w:rPr>
                <w:rFonts w:eastAsia="Times New Roman"/>
                <w:color w:val="000000"/>
                <w:sz w:val="20"/>
                <w:szCs w:val="20"/>
              </w:rPr>
              <w:t>2,613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B42CCF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CBD023B" w14:textId="77777777" w:rsidR="00000000" w:rsidRDefault="00195E73">
            <w:pPr>
              <w:rPr>
                <w:rFonts w:eastAsia="Times New Roman"/>
                <w:sz w:val="20"/>
                <w:szCs w:val="20"/>
              </w:rPr>
            </w:pPr>
          </w:p>
        </w:tc>
        <w:tc>
          <w:tcPr>
            <w:tcW w:w="0" w:type="auto"/>
            <w:vAlign w:val="center"/>
            <w:hideMark/>
          </w:tcPr>
          <w:p w14:paraId="2A0B729E" w14:textId="77777777" w:rsidR="00000000" w:rsidRDefault="00195E73">
            <w:pPr>
              <w:rPr>
                <w:rFonts w:eastAsia="Times New Roman"/>
                <w:sz w:val="20"/>
                <w:szCs w:val="20"/>
              </w:rPr>
            </w:pPr>
          </w:p>
        </w:tc>
        <w:tc>
          <w:tcPr>
            <w:tcW w:w="0" w:type="auto"/>
            <w:vAlign w:val="center"/>
            <w:hideMark/>
          </w:tcPr>
          <w:p w14:paraId="1438E181" w14:textId="77777777" w:rsidR="00000000" w:rsidRDefault="00195E73">
            <w:pPr>
              <w:rPr>
                <w:rFonts w:eastAsia="Times New Roman"/>
                <w:sz w:val="20"/>
                <w:szCs w:val="20"/>
              </w:rPr>
            </w:pPr>
          </w:p>
        </w:tc>
        <w:tc>
          <w:tcPr>
            <w:tcW w:w="0" w:type="auto"/>
            <w:vAlign w:val="center"/>
            <w:hideMark/>
          </w:tcPr>
          <w:p w14:paraId="652FDDFD" w14:textId="77777777" w:rsidR="00000000" w:rsidRDefault="00195E73">
            <w:pPr>
              <w:rPr>
                <w:rFonts w:eastAsia="Times New Roman"/>
                <w:sz w:val="20"/>
                <w:szCs w:val="20"/>
              </w:rPr>
            </w:pPr>
          </w:p>
        </w:tc>
        <w:tc>
          <w:tcPr>
            <w:tcW w:w="0" w:type="auto"/>
            <w:vAlign w:val="center"/>
            <w:hideMark/>
          </w:tcPr>
          <w:p w14:paraId="786421BA" w14:textId="77777777" w:rsidR="00000000" w:rsidRDefault="00195E73">
            <w:pPr>
              <w:rPr>
                <w:rFonts w:eastAsia="Times New Roman"/>
                <w:sz w:val="20"/>
                <w:szCs w:val="20"/>
              </w:rPr>
            </w:pPr>
          </w:p>
        </w:tc>
        <w:tc>
          <w:tcPr>
            <w:tcW w:w="0" w:type="auto"/>
            <w:vAlign w:val="center"/>
            <w:hideMark/>
          </w:tcPr>
          <w:p w14:paraId="346ECF36" w14:textId="77777777" w:rsidR="00000000" w:rsidRDefault="00195E73">
            <w:pPr>
              <w:rPr>
                <w:rFonts w:eastAsia="Times New Roman"/>
                <w:sz w:val="20"/>
                <w:szCs w:val="20"/>
              </w:rPr>
            </w:pPr>
          </w:p>
        </w:tc>
        <w:tc>
          <w:tcPr>
            <w:tcW w:w="0" w:type="auto"/>
            <w:vAlign w:val="center"/>
            <w:hideMark/>
          </w:tcPr>
          <w:p w14:paraId="1A102129" w14:textId="77777777" w:rsidR="00000000" w:rsidRDefault="00195E73">
            <w:pPr>
              <w:rPr>
                <w:rFonts w:eastAsia="Times New Roman"/>
                <w:sz w:val="20"/>
                <w:szCs w:val="20"/>
              </w:rPr>
            </w:pPr>
          </w:p>
        </w:tc>
        <w:tc>
          <w:tcPr>
            <w:tcW w:w="0" w:type="auto"/>
            <w:vAlign w:val="center"/>
            <w:hideMark/>
          </w:tcPr>
          <w:p w14:paraId="77D4F3DD" w14:textId="77777777" w:rsidR="00000000" w:rsidRDefault="00195E73">
            <w:pPr>
              <w:rPr>
                <w:rFonts w:eastAsia="Times New Roman"/>
                <w:sz w:val="20"/>
                <w:szCs w:val="20"/>
              </w:rPr>
            </w:pPr>
          </w:p>
        </w:tc>
        <w:tc>
          <w:tcPr>
            <w:tcW w:w="0" w:type="auto"/>
            <w:vAlign w:val="center"/>
            <w:hideMark/>
          </w:tcPr>
          <w:p w14:paraId="3F9C5A8C" w14:textId="77777777" w:rsidR="00000000" w:rsidRDefault="00195E73">
            <w:pPr>
              <w:rPr>
                <w:rFonts w:eastAsia="Times New Roman"/>
                <w:sz w:val="20"/>
                <w:szCs w:val="20"/>
              </w:rPr>
            </w:pPr>
          </w:p>
        </w:tc>
        <w:tc>
          <w:tcPr>
            <w:tcW w:w="0" w:type="auto"/>
            <w:vAlign w:val="center"/>
            <w:hideMark/>
          </w:tcPr>
          <w:p w14:paraId="6C4A9109" w14:textId="77777777" w:rsidR="00000000" w:rsidRDefault="00195E73">
            <w:pPr>
              <w:rPr>
                <w:rFonts w:eastAsia="Times New Roman"/>
                <w:sz w:val="20"/>
                <w:szCs w:val="20"/>
              </w:rPr>
            </w:pPr>
          </w:p>
        </w:tc>
        <w:tc>
          <w:tcPr>
            <w:tcW w:w="0" w:type="auto"/>
            <w:vAlign w:val="center"/>
            <w:hideMark/>
          </w:tcPr>
          <w:p w14:paraId="03AB00DB" w14:textId="77777777" w:rsidR="00000000" w:rsidRDefault="00195E73">
            <w:pPr>
              <w:rPr>
                <w:rFonts w:eastAsia="Times New Roman"/>
                <w:sz w:val="20"/>
                <w:szCs w:val="20"/>
              </w:rPr>
            </w:pPr>
          </w:p>
        </w:tc>
        <w:tc>
          <w:tcPr>
            <w:tcW w:w="0" w:type="auto"/>
            <w:vAlign w:val="center"/>
            <w:hideMark/>
          </w:tcPr>
          <w:p w14:paraId="524C8B54" w14:textId="77777777" w:rsidR="00000000" w:rsidRDefault="00195E73">
            <w:pPr>
              <w:rPr>
                <w:rFonts w:eastAsia="Times New Roman"/>
                <w:sz w:val="20"/>
                <w:szCs w:val="20"/>
              </w:rPr>
            </w:pPr>
          </w:p>
        </w:tc>
      </w:tr>
      <w:tr w:rsidR="00000000" w14:paraId="72DFA4E3" w14:textId="77777777">
        <w:trPr>
          <w:divId w:val="1214343037"/>
          <w:trHeight w:val="300"/>
          <w:jc w:val="center"/>
        </w:trPr>
        <w:tc>
          <w:tcPr>
            <w:tcW w:w="0" w:type="auto"/>
            <w:gridSpan w:val="3"/>
            <w:shd w:val="clear" w:color="auto" w:fill="CCEEFF"/>
            <w:tcMar>
              <w:top w:w="15" w:type="dxa"/>
              <w:left w:w="20" w:type="dxa"/>
              <w:bottom w:w="15" w:type="dxa"/>
              <w:right w:w="20" w:type="dxa"/>
            </w:tcMar>
            <w:vAlign w:val="bottom"/>
            <w:hideMark/>
          </w:tcPr>
          <w:p w14:paraId="0FF264C2" w14:textId="77777777" w:rsidR="00000000" w:rsidRDefault="00195E73">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1102DCE"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4BA350B"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3691AE7B"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DDF631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4DE99BAF" w14:textId="77777777" w:rsidR="00000000" w:rsidRDefault="00195E73">
            <w:pPr>
              <w:rPr>
                <w:rFonts w:eastAsia="Times New Roman"/>
                <w:sz w:val="20"/>
                <w:szCs w:val="20"/>
              </w:rPr>
            </w:pPr>
          </w:p>
        </w:tc>
        <w:tc>
          <w:tcPr>
            <w:tcW w:w="0" w:type="auto"/>
            <w:vAlign w:val="center"/>
            <w:hideMark/>
          </w:tcPr>
          <w:p w14:paraId="16066E1B" w14:textId="77777777" w:rsidR="00000000" w:rsidRDefault="00195E73">
            <w:pPr>
              <w:rPr>
                <w:rFonts w:eastAsia="Times New Roman"/>
                <w:sz w:val="20"/>
                <w:szCs w:val="20"/>
              </w:rPr>
            </w:pPr>
          </w:p>
        </w:tc>
        <w:tc>
          <w:tcPr>
            <w:tcW w:w="0" w:type="auto"/>
            <w:vAlign w:val="center"/>
            <w:hideMark/>
          </w:tcPr>
          <w:p w14:paraId="0FBABA02" w14:textId="77777777" w:rsidR="00000000" w:rsidRDefault="00195E73">
            <w:pPr>
              <w:rPr>
                <w:rFonts w:eastAsia="Times New Roman"/>
                <w:sz w:val="20"/>
                <w:szCs w:val="20"/>
              </w:rPr>
            </w:pPr>
          </w:p>
        </w:tc>
        <w:tc>
          <w:tcPr>
            <w:tcW w:w="0" w:type="auto"/>
            <w:vAlign w:val="center"/>
            <w:hideMark/>
          </w:tcPr>
          <w:p w14:paraId="097E9B0C" w14:textId="77777777" w:rsidR="00000000" w:rsidRDefault="00195E73">
            <w:pPr>
              <w:rPr>
                <w:rFonts w:eastAsia="Times New Roman"/>
                <w:sz w:val="20"/>
                <w:szCs w:val="20"/>
              </w:rPr>
            </w:pPr>
          </w:p>
        </w:tc>
        <w:tc>
          <w:tcPr>
            <w:tcW w:w="0" w:type="auto"/>
            <w:vAlign w:val="center"/>
            <w:hideMark/>
          </w:tcPr>
          <w:p w14:paraId="590ED74D" w14:textId="77777777" w:rsidR="00000000" w:rsidRDefault="00195E73">
            <w:pPr>
              <w:rPr>
                <w:rFonts w:eastAsia="Times New Roman"/>
                <w:sz w:val="20"/>
                <w:szCs w:val="20"/>
              </w:rPr>
            </w:pPr>
          </w:p>
        </w:tc>
        <w:tc>
          <w:tcPr>
            <w:tcW w:w="0" w:type="auto"/>
            <w:vAlign w:val="center"/>
            <w:hideMark/>
          </w:tcPr>
          <w:p w14:paraId="29668ACD" w14:textId="77777777" w:rsidR="00000000" w:rsidRDefault="00195E73">
            <w:pPr>
              <w:rPr>
                <w:rFonts w:eastAsia="Times New Roman"/>
                <w:sz w:val="20"/>
                <w:szCs w:val="20"/>
              </w:rPr>
            </w:pPr>
          </w:p>
        </w:tc>
        <w:tc>
          <w:tcPr>
            <w:tcW w:w="0" w:type="auto"/>
            <w:vAlign w:val="center"/>
            <w:hideMark/>
          </w:tcPr>
          <w:p w14:paraId="5DE7AE8A" w14:textId="77777777" w:rsidR="00000000" w:rsidRDefault="00195E73">
            <w:pPr>
              <w:rPr>
                <w:rFonts w:eastAsia="Times New Roman"/>
                <w:sz w:val="20"/>
                <w:szCs w:val="20"/>
              </w:rPr>
            </w:pPr>
          </w:p>
        </w:tc>
        <w:tc>
          <w:tcPr>
            <w:tcW w:w="0" w:type="auto"/>
            <w:vAlign w:val="center"/>
            <w:hideMark/>
          </w:tcPr>
          <w:p w14:paraId="1C1FDCB2" w14:textId="77777777" w:rsidR="00000000" w:rsidRDefault="00195E73">
            <w:pPr>
              <w:rPr>
                <w:rFonts w:eastAsia="Times New Roman"/>
                <w:sz w:val="20"/>
                <w:szCs w:val="20"/>
              </w:rPr>
            </w:pPr>
          </w:p>
        </w:tc>
        <w:tc>
          <w:tcPr>
            <w:tcW w:w="0" w:type="auto"/>
            <w:vAlign w:val="center"/>
            <w:hideMark/>
          </w:tcPr>
          <w:p w14:paraId="0D62561C" w14:textId="77777777" w:rsidR="00000000" w:rsidRDefault="00195E73">
            <w:pPr>
              <w:rPr>
                <w:rFonts w:eastAsia="Times New Roman"/>
                <w:sz w:val="20"/>
                <w:szCs w:val="20"/>
              </w:rPr>
            </w:pPr>
          </w:p>
        </w:tc>
        <w:tc>
          <w:tcPr>
            <w:tcW w:w="0" w:type="auto"/>
            <w:vAlign w:val="center"/>
            <w:hideMark/>
          </w:tcPr>
          <w:p w14:paraId="108E218E" w14:textId="77777777" w:rsidR="00000000" w:rsidRDefault="00195E73">
            <w:pPr>
              <w:rPr>
                <w:rFonts w:eastAsia="Times New Roman"/>
                <w:sz w:val="20"/>
                <w:szCs w:val="20"/>
              </w:rPr>
            </w:pPr>
          </w:p>
        </w:tc>
        <w:tc>
          <w:tcPr>
            <w:tcW w:w="0" w:type="auto"/>
            <w:vAlign w:val="center"/>
            <w:hideMark/>
          </w:tcPr>
          <w:p w14:paraId="37A9EC99" w14:textId="77777777" w:rsidR="00000000" w:rsidRDefault="00195E73">
            <w:pPr>
              <w:rPr>
                <w:rFonts w:eastAsia="Times New Roman"/>
                <w:sz w:val="20"/>
                <w:szCs w:val="20"/>
              </w:rPr>
            </w:pPr>
          </w:p>
        </w:tc>
        <w:tc>
          <w:tcPr>
            <w:tcW w:w="0" w:type="auto"/>
            <w:vAlign w:val="center"/>
            <w:hideMark/>
          </w:tcPr>
          <w:p w14:paraId="0CE68346" w14:textId="77777777" w:rsidR="00000000" w:rsidRDefault="00195E73">
            <w:pPr>
              <w:rPr>
                <w:rFonts w:eastAsia="Times New Roman"/>
                <w:sz w:val="20"/>
                <w:szCs w:val="20"/>
              </w:rPr>
            </w:pPr>
          </w:p>
        </w:tc>
        <w:tc>
          <w:tcPr>
            <w:tcW w:w="0" w:type="auto"/>
            <w:vAlign w:val="center"/>
            <w:hideMark/>
          </w:tcPr>
          <w:p w14:paraId="0246D82B" w14:textId="77777777" w:rsidR="00000000" w:rsidRDefault="00195E73">
            <w:pPr>
              <w:rPr>
                <w:rFonts w:eastAsia="Times New Roman"/>
                <w:sz w:val="20"/>
                <w:szCs w:val="20"/>
              </w:rPr>
            </w:pPr>
          </w:p>
        </w:tc>
      </w:tr>
      <w:tr w:rsidR="00000000" w14:paraId="62E680C6" w14:textId="77777777">
        <w:trPr>
          <w:divId w:val="1214343037"/>
          <w:jc w:val="center"/>
        </w:trPr>
        <w:tc>
          <w:tcPr>
            <w:tcW w:w="0" w:type="auto"/>
            <w:gridSpan w:val="3"/>
            <w:shd w:val="clear" w:color="auto" w:fill="FFFFFF"/>
            <w:tcMar>
              <w:top w:w="30" w:type="dxa"/>
              <w:left w:w="20" w:type="dxa"/>
              <w:bottom w:w="30" w:type="dxa"/>
              <w:right w:w="20" w:type="dxa"/>
            </w:tcMar>
            <w:vAlign w:val="bottom"/>
            <w:hideMark/>
          </w:tcPr>
          <w:p w14:paraId="08C58C4F" w14:textId="77777777" w:rsidR="00000000" w:rsidRDefault="00195E73">
            <w:pPr>
              <w:ind w:hanging="180"/>
              <w:divId w:val="1282374306"/>
              <w:rPr>
                <w:rFonts w:eastAsia="Times New Roman"/>
              </w:rPr>
            </w:pPr>
            <w:r>
              <w:rPr>
                <w:rFonts w:eastAsia="Times New Roman"/>
                <w:color w:val="000000"/>
                <w:sz w:val="20"/>
                <w:szCs w:val="20"/>
              </w:rPr>
              <w:t>Comprehensive (loss) income attributable to Icahn Enterprises Holdings allocated to</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1DA47636" w14:textId="77777777" w:rsidR="00000000" w:rsidRDefault="00195E73">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957C25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6C783C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F186DDE"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73BDD67" w14:textId="77777777" w:rsidR="00000000" w:rsidRDefault="00195E73">
            <w:pPr>
              <w:rPr>
                <w:rFonts w:eastAsia="Times New Roman"/>
                <w:sz w:val="20"/>
                <w:szCs w:val="20"/>
              </w:rPr>
            </w:pPr>
          </w:p>
        </w:tc>
        <w:tc>
          <w:tcPr>
            <w:tcW w:w="0" w:type="auto"/>
            <w:vAlign w:val="center"/>
            <w:hideMark/>
          </w:tcPr>
          <w:p w14:paraId="6EA986B7" w14:textId="77777777" w:rsidR="00000000" w:rsidRDefault="00195E73">
            <w:pPr>
              <w:rPr>
                <w:rFonts w:eastAsia="Times New Roman"/>
                <w:sz w:val="20"/>
                <w:szCs w:val="20"/>
              </w:rPr>
            </w:pPr>
          </w:p>
        </w:tc>
        <w:tc>
          <w:tcPr>
            <w:tcW w:w="0" w:type="auto"/>
            <w:vAlign w:val="center"/>
            <w:hideMark/>
          </w:tcPr>
          <w:p w14:paraId="78A21390" w14:textId="77777777" w:rsidR="00000000" w:rsidRDefault="00195E73">
            <w:pPr>
              <w:rPr>
                <w:rFonts w:eastAsia="Times New Roman"/>
                <w:sz w:val="20"/>
                <w:szCs w:val="20"/>
              </w:rPr>
            </w:pPr>
          </w:p>
        </w:tc>
        <w:tc>
          <w:tcPr>
            <w:tcW w:w="0" w:type="auto"/>
            <w:vAlign w:val="center"/>
            <w:hideMark/>
          </w:tcPr>
          <w:p w14:paraId="7CD56987" w14:textId="77777777" w:rsidR="00000000" w:rsidRDefault="00195E73">
            <w:pPr>
              <w:rPr>
                <w:rFonts w:eastAsia="Times New Roman"/>
                <w:sz w:val="20"/>
                <w:szCs w:val="20"/>
              </w:rPr>
            </w:pPr>
          </w:p>
        </w:tc>
        <w:tc>
          <w:tcPr>
            <w:tcW w:w="0" w:type="auto"/>
            <w:vAlign w:val="center"/>
            <w:hideMark/>
          </w:tcPr>
          <w:p w14:paraId="223E67BE" w14:textId="77777777" w:rsidR="00000000" w:rsidRDefault="00195E73">
            <w:pPr>
              <w:rPr>
                <w:rFonts w:eastAsia="Times New Roman"/>
                <w:sz w:val="20"/>
                <w:szCs w:val="20"/>
              </w:rPr>
            </w:pPr>
          </w:p>
        </w:tc>
        <w:tc>
          <w:tcPr>
            <w:tcW w:w="0" w:type="auto"/>
            <w:vAlign w:val="center"/>
            <w:hideMark/>
          </w:tcPr>
          <w:p w14:paraId="4F1E95B3" w14:textId="77777777" w:rsidR="00000000" w:rsidRDefault="00195E73">
            <w:pPr>
              <w:rPr>
                <w:rFonts w:eastAsia="Times New Roman"/>
                <w:sz w:val="20"/>
                <w:szCs w:val="20"/>
              </w:rPr>
            </w:pPr>
          </w:p>
        </w:tc>
        <w:tc>
          <w:tcPr>
            <w:tcW w:w="0" w:type="auto"/>
            <w:vAlign w:val="center"/>
            <w:hideMark/>
          </w:tcPr>
          <w:p w14:paraId="6361DE46" w14:textId="77777777" w:rsidR="00000000" w:rsidRDefault="00195E73">
            <w:pPr>
              <w:rPr>
                <w:rFonts w:eastAsia="Times New Roman"/>
                <w:sz w:val="20"/>
                <w:szCs w:val="20"/>
              </w:rPr>
            </w:pPr>
          </w:p>
        </w:tc>
        <w:tc>
          <w:tcPr>
            <w:tcW w:w="0" w:type="auto"/>
            <w:vAlign w:val="center"/>
            <w:hideMark/>
          </w:tcPr>
          <w:p w14:paraId="3C991300" w14:textId="77777777" w:rsidR="00000000" w:rsidRDefault="00195E73">
            <w:pPr>
              <w:rPr>
                <w:rFonts w:eastAsia="Times New Roman"/>
                <w:sz w:val="20"/>
                <w:szCs w:val="20"/>
              </w:rPr>
            </w:pPr>
          </w:p>
        </w:tc>
        <w:tc>
          <w:tcPr>
            <w:tcW w:w="0" w:type="auto"/>
            <w:vAlign w:val="center"/>
            <w:hideMark/>
          </w:tcPr>
          <w:p w14:paraId="577AAC3C" w14:textId="77777777" w:rsidR="00000000" w:rsidRDefault="00195E73">
            <w:pPr>
              <w:rPr>
                <w:rFonts w:eastAsia="Times New Roman"/>
                <w:sz w:val="20"/>
                <w:szCs w:val="20"/>
              </w:rPr>
            </w:pPr>
          </w:p>
        </w:tc>
        <w:tc>
          <w:tcPr>
            <w:tcW w:w="0" w:type="auto"/>
            <w:vAlign w:val="center"/>
            <w:hideMark/>
          </w:tcPr>
          <w:p w14:paraId="182E4D58" w14:textId="77777777" w:rsidR="00000000" w:rsidRDefault="00195E73">
            <w:pPr>
              <w:rPr>
                <w:rFonts w:eastAsia="Times New Roman"/>
                <w:sz w:val="20"/>
                <w:szCs w:val="20"/>
              </w:rPr>
            </w:pPr>
          </w:p>
        </w:tc>
        <w:tc>
          <w:tcPr>
            <w:tcW w:w="0" w:type="auto"/>
            <w:vAlign w:val="center"/>
            <w:hideMark/>
          </w:tcPr>
          <w:p w14:paraId="4359F0C0" w14:textId="77777777" w:rsidR="00000000" w:rsidRDefault="00195E73">
            <w:pPr>
              <w:rPr>
                <w:rFonts w:eastAsia="Times New Roman"/>
                <w:sz w:val="20"/>
                <w:szCs w:val="20"/>
              </w:rPr>
            </w:pPr>
          </w:p>
        </w:tc>
        <w:tc>
          <w:tcPr>
            <w:tcW w:w="0" w:type="auto"/>
            <w:vAlign w:val="center"/>
            <w:hideMark/>
          </w:tcPr>
          <w:p w14:paraId="6C75D009" w14:textId="77777777" w:rsidR="00000000" w:rsidRDefault="00195E73">
            <w:pPr>
              <w:rPr>
                <w:rFonts w:eastAsia="Times New Roman"/>
                <w:sz w:val="20"/>
                <w:szCs w:val="20"/>
              </w:rPr>
            </w:pPr>
          </w:p>
        </w:tc>
        <w:tc>
          <w:tcPr>
            <w:tcW w:w="0" w:type="auto"/>
            <w:vAlign w:val="center"/>
            <w:hideMark/>
          </w:tcPr>
          <w:p w14:paraId="7EBAE4BF" w14:textId="77777777" w:rsidR="00000000" w:rsidRDefault="00195E73">
            <w:pPr>
              <w:rPr>
                <w:rFonts w:eastAsia="Times New Roman"/>
                <w:sz w:val="20"/>
                <w:szCs w:val="20"/>
              </w:rPr>
            </w:pPr>
          </w:p>
        </w:tc>
      </w:tr>
      <w:tr w:rsidR="00000000" w14:paraId="68B2921F" w14:textId="77777777">
        <w:trPr>
          <w:divId w:val="1214343037"/>
          <w:jc w:val="center"/>
        </w:trPr>
        <w:tc>
          <w:tcPr>
            <w:tcW w:w="0" w:type="auto"/>
            <w:gridSpan w:val="3"/>
            <w:shd w:val="clear" w:color="auto" w:fill="CCEEFF"/>
            <w:tcMar>
              <w:top w:w="30" w:type="dxa"/>
              <w:left w:w="20" w:type="dxa"/>
              <w:bottom w:w="30" w:type="dxa"/>
              <w:right w:w="20" w:type="dxa"/>
            </w:tcMar>
            <w:vAlign w:val="bottom"/>
            <w:hideMark/>
          </w:tcPr>
          <w:p w14:paraId="3FE722D7" w14:textId="77777777" w:rsidR="00000000" w:rsidRDefault="00195E73">
            <w:pPr>
              <w:rPr>
                <w:rFonts w:eastAsia="Times New Roman"/>
              </w:rPr>
            </w:pPr>
            <w:r>
              <w:rPr>
                <w:rFonts w:eastAsia="Times New Roman"/>
                <w:color w:val="000000"/>
                <w:sz w:val="20"/>
                <w:szCs w:val="20"/>
              </w:rPr>
              <w:t>   Limited partne</w:t>
            </w:r>
            <w:r>
              <w:rPr>
                <w:rFonts w:eastAsia="Times New Roman"/>
                <w:color w:val="000000"/>
                <w:sz w:val="20"/>
                <w:szCs w:val="20"/>
              </w:rPr>
              <w:t>r</w:t>
            </w:r>
          </w:p>
        </w:tc>
        <w:tc>
          <w:tcPr>
            <w:tcW w:w="0" w:type="auto"/>
            <w:shd w:val="clear" w:color="auto" w:fill="CCEEFF"/>
            <w:tcMar>
              <w:top w:w="30" w:type="dxa"/>
              <w:left w:w="20" w:type="dxa"/>
              <w:bottom w:w="30" w:type="dxa"/>
              <w:right w:w="15" w:type="dxa"/>
            </w:tcMar>
            <w:vAlign w:val="bottom"/>
            <w:hideMark/>
          </w:tcPr>
          <w:p w14:paraId="2130761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B2E0320" w14:textId="77777777" w:rsidR="00000000" w:rsidRDefault="00195E73">
            <w:pPr>
              <w:jc w:val="right"/>
              <w:rPr>
                <w:rFonts w:eastAsia="Times New Roman"/>
              </w:rPr>
            </w:pPr>
            <w:r>
              <w:rPr>
                <w:rFonts w:eastAsia="Times New Roman"/>
                <w:color w:val="000000"/>
                <w:sz w:val="20"/>
                <w:szCs w:val="20"/>
              </w:rPr>
              <w:t>(1,085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F3ACF2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E28B2B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A5C601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4DEE46A" w14:textId="77777777" w:rsidR="00000000" w:rsidRDefault="00195E73">
            <w:pPr>
              <w:jc w:val="right"/>
              <w:rPr>
                <w:rFonts w:eastAsia="Times New Roman"/>
              </w:rPr>
            </w:pPr>
            <w:r>
              <w:rPr>
                <w:rFonts w:eastAsia="Times New Roman"/>
                <w:color w:val="000000"/>
                <w:sz w:val="20"/>
                <w:szCs w:val="20"/>
              </w:rPr>
              <w:t>2,000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5ED87B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47CE6E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6B2065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6A98E06" w14:textId="77777777" w:rsidR="00000000" w:rsidRDefault="00195E73">
            <w:pPr>
              <w:jc w:val="right"/>
              <w:rPr>
                <w:rFonts w:eastAsia="Times New Roman"/>
              </w:rPr>
            </w:pPr>
            <w:r>
              <w:rPr>
                <w:rFonts w:eastAsia="Times New Roman"/>
                <w:color w:val="000000"/>
                <w:sz w:val="20"/>
                <w:szCs w:val="20"/>
              </w:rPr>
              <w:t>2,587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1BA36E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FD9E528" w14:textId="77777777" w:rsidR="00000000" w:rsidRDefault="00195E73">
            <w:pPr>
              <w:rPr>
                <w:rFonts w:eastAsia="Times New Roman"/>
                <w:sz w:val="20"/>
                <w:szCs w:val="20"/>
              </w:rPr>
            </w:pPr>
          </w:p>
        </w:tc>
        <w:tc>
          <w:tcPr>
            <w:tcW w:w="0" w:type="auto"/>
            <w:vAlign w:val="center"/>
            <w:hideMark/>
          </w:tcPr>
          <w:p w14:paraId="75391F2C" w14:textId="77777777" w:rsidR="00000000" w:rsidRDefault="00195E73">
            <w:pPr>
              <w:rPr>
                <w:rFonts w:eastAsia="Times New Roman"/>
                <w:sz w:val="20"/>
                <w:szCs w:val="20"/>
              </w:rPr>
            </w:pPr>
          </w:p>
        </w:tc>
        <w:tc>
          <w:tcPr>
            <w:tcW w:w="0" w:type="auto"/>
            <w:vAlign w:val="center"/>
            <w:hideMark/>
          </w:tcPr>
          <w:p w14:paraId="2B6DCD8D" w14:textId="77777777" w:rsidR="00000000" w:rsidRDefault="00195E73">
            <w:pPr>
              <w:rPr>
                <w:rFonts w:eastAsia="Times New Roman"/>
                <w:sz w:val="20"/>
                <w:szCs w:val="20"/>
              </w:rPr>
            </w:pPr>
          </w:p>
        </w:tc>
        <w:tc>
          <w:tcPr>
            <w:tcW w:w="0" w:type="auto"/>
            <w:vAlign w:val="center"/>
            <w:hideMark/>
          </w:tcPr>
          <w:p w14:paraId="2E7369B9" w14:textId="77777777" w:rsidR="00000000" w:rsidRDefault="00195E73">
            <w:pPr>
              <w:rPr>
                <w:rFonts w:eastAsia="Times New Roman"/>
                <w:sz w:val="20"/>
                <w:szCs w:val="20"/>
              </w:rPr>
            </w:pPr>
          </w:p>
        </w:tc>
        <w:tc>
          <w:tcPr>
            <w:tcW w:w="0" w:type="auto"/>
            <w:vAlign w:val="center"/>
            <w:hideMark/>
          </w:tcPr>
          <w:p w14:paraId="1CABAD55" w14:textId="77777777" w:rsidR="00000000" w:rsidRDefault="00195E73">
            <w:pPr>
              <w:rPr>
                <w:rFonts w:eastAsia="Times New Roman"/>
                <w:sz w:val="20"/>
                <w:szCs w:val="20"/>
              </w:rPr>
            </w:pPr>
          </w:p>
        </w:tc>
        <w:tc>
          <w:tcPr>
            <w:tcW w:w="0" w:type="auto"/>
            <w:vAlign w:val="center"/>
            <w:hideMark/>
          </w:tcPr>
          <w:p w14:paraId="01256887" w14:textId="77777777" w:rsidR="00000000" w:rsidRDefault="00195E73">
            <w:pPr>
              <w:rPr>
                <w:rFonts w:eastAsia="Times New Roman"/>
                <w:sz w:val="20"/>
                <w:szCs w:val="20"/>
              </w:rPr>
            </w:pPr>
          </w:p>
        </w:tc>
        <w:tc>
          <w:tcPr>
            <w:tcW w:w="0" w:type="auto"/>
            <w:vAlign w:val="center"/>
            <w:hideMark/>
          </w:tcPr>
          <w:p w14:paraId="1327C3EF" w14:textId="77777777" w:rsidR="00000000" w:rsidRDefault="00195E73">
            <w:pPr>
              <w:rPr>
                <w:rFonts w:eastAsia="Times New Roman"/>
                <w:sz w:val="20"/>
                <w:szCs w:val="20"/>
              </w:rPr>
            </w:pPr>
          </w:p>
        </w:tc>
        <w:tc>
          <w:tcPr>
            <w:tcW w:w="0" w:type="auto"/>
            <w:vAlign w:val="center"/>
            <w:hideMark/>
          </w:tcPr>
          <w:p w14:paraId="779466D6" w14:textId="77777777" w:rsidR="00000000" w:rsidRDefault="00195E73">
            <w:pPr>
              <w:rPr>
                <w:rFonts w:eastAsia="Times New Roman"/>
                <w:sz w:val="20"/>
                <w:szCs w:val="20"/>
              </w:rPr>
            </w:pPr>
          </w:p>
        </w:tc>
        <w:tc>
          <w:tcPr>
            <w:tcW w:w="0" w:type="auto"/>
            <w:vAlign w:val="center"/>
            <w:hideMark/>
          </w:tcPr>
          <w:p w14:paraId="133A223C" w14:textId="77777777" w:rsidR="00000000" w:rsidRDefault="00195E73">
            <w:pPr>
              <w:rPr>
                <w:rFonts w:eastAsia="Times New Roman"/>
                <w:sz w:val="20"/>
                <w:szCs w:val="20"/>
              </w:rPr>
            </w:pPr>
          </w:p>
        </w:tc>
        <w:tc>
          <w:tcPr>
            <w:tcW w:w="0" w:type="auto"/>
            <w:vAlign w:val="center"/>
            <w:hideMark/>
          </w:tcPr>
          <w:p w14:paraId="384004AE" w14:textId="77777777" w:rsidR="00000000" w:rsidRDefault="00195E73">
            <w:pPr>
              <w:rPr>
                <w:rFonts w:eastAsia="Times New Roman"/>
                <w:sz w:val="20"/>
                <w:szCs w:val="20"/>
              </w:rPr>
            </w:pPr>
          </w:p>
        </w:tc>
        <w:tc>
          <w:tcPr>
            <w:tcW w:w="0" w:type="auto"/>
            <w:vAlign w:val="center"/>
            <w:hideMark/>
          </w:tcPr>
          <w:p w14:paraId="0B00597C" w14:textId="77777777" w:rsidR="00000000" w:rsidRDefault="00195E73">
            <w:pPr>
              <w:rPr>
                <w:rFonts w:eastAsia="Times New Roman"/>
                <w:sz w:val="20"/>
                <w:szCs w:val="20"/>
              </w:rPr>
            </w:pPr>
          </w:p>
        </w:tc>
        <w:tc>
          <w:tcPr>
            <w:tcW w:w="0" w:type="auto"/>
            <w:vAlign w:val="center"/>
            <w:hideMark/>
          </w:tcPr>
          <w:p w14:paraId="2775AE75" w14:textId="77777777" w:rsidR="00000000" w:rsidRDefault="00195E73">
            <w:pPr>
              <w:rPr>
                <w:rFonts w:eastAsia="Times New Roman"/>
                <w:sz w:val="20"/>
                <w:szCs w:val="20"/>
              </w:rPr>
            </w:pPr>
          </w:p>
        </w:tc>
      </w:tr>
      <w:tr w:rsidR="00000000" w14:paraId="7270BDD4" w14:textId="77777777">
        <w:trPr>
          <w:divId w:val="1214343037"/>
          <w:jc w:val="center"/>
        </w:trPr>
        <w:tc>
          <w:tcPr>
            <w:tcW w:w="0" w:type="auto"/>
            <w:gridSpan w:val="3"/>
            <w:shd w:val="clear" w:color="auto" w:fill="FFFFFF"/>
            <w:tcMar>
              <w:top w:w="30" w:type="dxa"/>
              <w:left w:w="20" w:type="dxa"/>
              <w:bottom w:w="30" w:type="dxa"/>
              <w:right w:w="20" w:type="dxa"/>
            </w:tcMar>
            <w:vAlign w:val="bottom"/>
            <w:hideMark/>
          </w:tcPr>
          <w:p w14:paraId="259CA460" w14:textId="77777777" w:rsidR="00000000" w:rsidRDefault="00195E73">
            <w:pPr>
              <w:rPr>
                <w:rFonts w:eastAsia="Times New Roman"/>
              </w:rPr>
            </w:pPr>
            <w:r>
              <w:rPr>
                <w:rFonts w:eastAsia="Times New Roman"/>
                <w:color w:val="000000"/>
                <w:sz w:val="20"/>
                <w:szCs w:val="20"/>
              </w:rPr>
              <w:t>   General partne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055ACD0C" w14:textId="77777777" w:rsidR="00000000" w:rsidRDefault="00195E73">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778F47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4842E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3BED3D" w14:textId="77777777" w:rsidR="00000000" w:rsidRDefault="00195E73">
            <w:pPr>
              <w:jc w:val="right"/>
              <w:rPr>
                <w:rFonts w:eastAsia="Times New Roman"/>
              </w:rPr>
            </w:pPr>
            <w:r>
              <w:rPr>
                <w:rFonts w:eastAsia="Times New Roman"/>
                <w:color w:val="000000"/>
                <w:sz w:val="20"/>
                <w:szCs w:val="20"/>
              </w:rPr>
              <w:t>(578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F091C0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B84C40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60528D" w14:textId="77777777" w:rsidR="00000000" w:rsidRDefault="00195E73">
            <w:pPr>
              <w:jc w:val="right"/>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D4BAC3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B19736B" w14:textId="77777777" w:rsidR="00000000" w:rsidRDefault="00195E73">
            <w:pPr>
              <w:rPr>
                <w:rFonts w:eastAsia="Times New Roman"/>
                <w:sz w:val="20"/>
                <w:szCs w:val="20"/>
              </w:rPr>
            </w:pPr>
          </w:p>
        </w:tc>
        <w:tc>
          <w:tcPr>
            <w:tcW w:w="0" w:type="auto"/>
            <w:vAlign w:val="center"/>
            <w:hideMark/>
          </w:tcPr>
          <w:p w14:paraId="1A6DC2BD" w14:textId="77777777" w:rsidR="00000000" w:rsidRDefault="00195E73">
            <w:pPr>
              <w:rPr>
                <w:rFonts w:eastAsia="Times New Roman"/>
                <w:sz w:val="20"/>
                <w:szCs w:val="20"/>
              </w:rPr>
            </w:pPr>
          </w:p>
        </w:tc>
        <w:tc>
          <w:tcPr>
            <w:tcW w:w="0" w:type="auto"/>
            <w:vAlign w:val="center"/>
            <w:hideMark/>
          </w:tcPr>
          <w:p w14:paraId="7FD491AA" w14:textId="77777777" w:rsidR="00000000" w:rsidRDefault="00195E73">
            <w:pPr>
              <w:rPr>
                <w:rFonts w:eastAsia="Times New Roman"/>
                <w:sz w:val="20"/>
                <w:szCs w:val="20"/>
              </w:rPr>
            </w:pPr>
          </w:p>
        </w:tc>
        <w:tc>
          <w:tcPr>
            <w:tcW w:w="0" w:type="auto"/>
            <w:vAlign w:val="center"/>
            <w:hideMark/>
          </w:tcPr>
          <w:p w14:paraId="18E53221" w14:textId="77777777" w:rsidR="00000000" w:rsidRDefault="00195E73">
            <w:pPr>
              <w:rPr>
                <w:rFonts w:eastAsia="Times New Roman"/>
                <w:sz w:val="20"/>
                <w:szCs w:val="20"/>
              </w:rPr>
            </w:pPr>
          </w:p>
        </w:tc>
        <w:tc>
          <w:tcPr>
            <w:tcW w:w="0" w:type="auto"/>
            <w:vAlign w:val="center"/>
            <w:hideMark/>
          </w:tcPr>
          <w:p w14:paraId="2BC0C9C5" w14:textId="77777777" w:rsidR="00000000" w:rsidRDefault="00195E73">
            <w:pPr>
              <w:rPr>
                <w:rFonts w:eastAsia="Times New Roman"/>
                <w:sz w:val="20"/>
                <w:szCs w:val="20"/>
              </w:rPr>
            </w:pPr>
          </w:p>
        </w:tc>
        <w:tc>
          <w:tcPr>
            <w:tcW w:w="0" w:type="auto"/>
            <w:vAlign w:val="center"/>
            <w:hideMark/>
          </w:tcPr>
          <w:p w14:paraId="1E0963BC" w14:textId="77777777" w:rsidR="00000000" w:rsidRDefault="00195E73">
            <w:pPr>
              <w:rPr>
                <w:rFonts w:eastAsia="Times New Roman"/>
                <w:sz w:val="20"/>
                <w:szCs w:val="20"/>
              </w:rPr>
            </w:pPr>
          </w:p>
        </w:tc>
        <w:tc>
          <w:tcPr>
            <w:tcW w:w="0" w:type="auto"/>
            <w:vAlign w:val="center"/>
            <w:hideMark/>
          </w:tcPr>
          <w:p w14:paraId="6943DC9D" w14:textId="77777777" w:rsidR="00000000" w:rsidRDefault="00195E73">
            <w:pPr>
              <w:rPr>
                <w:rFonts w:eastAsia="Times New Roman"/>
                <w:sz w:val="20"/>
                <w:szCs w:val="20"/>
              </w:rPr>
            </w:pPr>
          </w:p>
        </w:tc>
        <w:tc>
          <w:tcPr>
            <w:tcW w:w="0" w:type="auto"/>
            <w:vAlign w:val="center"/>
            <w:hideMark/>
          </w:tcPr>
          <w:p w14:paraId="6B737183" w14:textId="77777777" w:rsidR="00000000" w:rsidRDefault="00195E73">
            <w:pPr>
              <w:rPr>
                <w:rFonts w:eastAsia="Times New Roman"/>
                <w:sz w:val="20"/>
                <w:szCs w:val="20"/>
              </w:rPr>
            </w:pPr>
          </w:p>
        </w:tc>
        <w:tc>
          <w:tcPr>
            <w:tcW w:w="0" w:type="auto"/>
            <w:vAlign w:val="center"/>
            <w:hideMark/>
          </w:tcPr>
          <w:p w14:paraId="46D69FCE" w14:textId="77777777" w:rsidR="00000000" w:rsidRDefault="00195E73">
            <w:pPr>
              <w:rPr>
                <w:rFonts w:eastAsia="Times New Roman"/>
                <w:sz w:val="20"/>
                <w:szCs w:val="20"/>
              </w:rPr>
            </w:pPr>
          </w:p>
        </w:tc>
        <w:tc>
          <w:tcPr>
            <w:tcW w:w="0" w:type="auto"/>
            <w:vAlign w:val="center"/>
            <w:hideMark/>
          </w:tcPr>
          <w:p w14:paraId="32BD8D5C" w14:textId="77777777" w:rsidR="00000000" w:rsidRDefault="00195E73">
            <w:pPr>
              <w:rPr>
                <w:rFonts w:eastAsia="Times New Roman"/>
                <w:sz w:val="20"/>
                <w:szCs w:val="20"/>
              </w:rPr>
            </w:pPr>
          </w:p>
        </w:tc>
        <w:tc>
          <w:tcPr>
            <w:tcW w:w="0" w:type="auto"/>
            <w:vAlign w:val="center"/>
            <w:hideMark/>
          </w:tcPr>
          <w:p w14:paraId="2CE4CF00" w14:textId="77777777" w:rsidR="00000000" w:rsidRDefault="00195E73">
            <w:pPr>
              <w:rPr>
                <w:rFonts w:eastAsia="Times New Roman"/>
                <w:sz w:val="20"/>
                <w:szCs w:val="20"/>
              </w:rPr>
            </w:pPr>
          </w:p>
        </w:tc>
        <w:tc>
          <w:tcPr>
            <w:tcW w:w="0" w:type="auto"/>
            <w:vAlign w:val="center"/>
            <w:hideMark/>
          </w:tcPr>
          <w:p w14:paraId="60E5FEE7" w14:textId="77777777" w:rsidR="00000000" w:rsidRDefault="00195E73">
            <w:pPr>
              <w:rPr>
                <w:rFonts w:eastAsia="Times New Roman"/>
                <w:sz w:val="20"/>
                <w:szCs w:val="20"/>
              </w:rPr>
            </w:pPr>
          </w:p>
        </w:tc>
      </w:tr>
      <w:tr w:rsidR="00000000" w14:paraId="4CDC34D2" w14:textId="77777777">
        <w:trPr>
          <w:divId w:val="1214343037"/>
          <w:jc w:val="center"/>
        </w:trPr>
        <w:tc>
          <w:tcPr>
            <w:tcW w:w="0" w:type="auto"/>
            <w:gridSpan w:val="3"/>
            <w:shd w:val="clear" w:color="auto" w:fill="CCEEFF"/>
            <w:tcMar>
              <w:top w:w="15" w:type="dxa"/>
              <w:left w:w="20" w:type="dxa"/>
              <w:bottom w:w="15" w:type="dxa"/>
              <w:right w:w="20" w:type="dxa"/>
            </w:tcMar>
            <w:vAlign w:val="bottom"/>
            <w:hideMark/>
          </w:tcPr>
          <w:p w14:paraId="6A2F6D04"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8762E2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8D5B077" w14:textId="77777777" w:rsidR="00000000" w:rsidRDefault="00195E73">
            <w:pPr>
              <w:jc w:val="right"/>
              <w:rPr>
                <w:rFonts w:eastAsia="Times New Roman"/>
              </w:rPr>
            </w:pPr>
            <w:r>
              <w:rPr>
                <w:rFonts w:eastAsia="Times New Roman"/>
                <w:color w:val="000000"/>
                <w:sz w:val="20"/>
                <w:szCs w:val="20"/>
              </w:rPr>
              <w:t>(1,096</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8DF895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A4ACB8"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282C7B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E348C27" w14:textId="77777777" w:rsidR="00000000" w:rsidRDefault="00195E73">
            <w:pPr>
              <w:jc w:val="right"/>
              <w:rPr>
                <w:rFonts w:eastAsia="Times New Roman"/>
              </w:rPr>
            </w:pPr>
            <w:r>
              <w:rPr>
                <w:rFonts w:eastAsia="Times New Roman"/>
                <w:color w:val="000000"/>
                <w:sz w:val="20"/>
                <w:szCs w:val="20"/>
              </w:rPr>
              <w:t>1,422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0F1716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97A5CE"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9C0843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99CE42F" w14:textId="77777777" w:rsidR="00000000" w:rsidRDefault="00195E73">
            <w:pPr>
              <w:jc w:val="right"/>
              <w:rPr>
                <w:rFonts w:eastAsia="Times New Roman"/>
              </w:rPr>
            </w:pPr>
            <w:r>
              <w:rPr>
                <w:rFonts w:eastAsia="Times New Roman"/>
                <w:color w:val="000000"/>
                <w:sz w:val="20"/>
                <w:szCs w:val="20"/>
              </w:rPr>
              <w:t>2,613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2EAAD6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00A0E98" w14:textId="77777777" w:rsidR="00000000" w:rsidRDefault="00195E73">
            <w:pPr>
              <w:rPr>
                <w:rFonts w:eastAsia="Times New Roman"/>
                <w:sz w:val="20"/>
                <w:szCs w:val="20"/>
              </w:rPr>
            </w:pPr>
          </w:p>
        </w:tc>
        <w:tc>
          <w:tcPr>
            <w:tcW w:w="0" w:type="auto"/>
            <w:vAlign w:val="center"/>
            <w:hideMark/>
          </w:tcPr>
          <w:p w14:paraId="4CDECB70" w14:textId="77777777" w:rsidR="00000000" w:rsidRDefault="00195E73">
            <w:pPr>
              <w:rPr>
                <w:rFonts w:eastAsia="Times New Roman"/>
                <w:sz w:val="20"/>
                <w:szCs w:val="20"/>
              </w:rPr>
            </w:pPr>
          </w:p>
        </w:tc>
        <w:tc>
          <w:tcPr>
            <w:tcW w:w="0" w:type="auto"/>
            <w:vAlign w:val="center"/>
            <w:hideMark/>
          </w:tcPr>
          <w:p w14:paraId="1A2F6906" w14:textId="77777777" w:rsidR="00000000" w:rsidRDefault="00195E73">
            <w:pPr>
              <w:rPr>
                <w:rFonts w:eastAsia="Times New Roman"/>
                <w:sz w:val="20"/>
                <w:szCs w:val="20"/>
              </w:rPr>
            </w:pPr>
          </w:p>
        </w:tc>
        <w:tc>
          <w:tcPr>
            <w:tcW w:w="0" w:type="auto"/>
            <w:vAlign w:val="center"/>
            <w:hideMark/>
          </w:tcPr>
          <w:p w14:paraId="27DCBCC9" w14:textId="77777777" w:rsidR="00000000" w:rsidRDefault="00195E73">
            <w:pPr>
              <w:rPr>
                <w:rFonts w:eastAsia="Times New Roman"/>
                <w:sz w:val="20"/>
                <w:szCs w:val="20"/>
              </w:rPr>
            </w:pPr>
          </w:p>
        </w:tc>
        <w:tc>
          <w:tcPr>
            <w:tcW w:w="0" w:type="auto"/>
            <w:vAlign w:val="center"/>
            <w:hideMark/>
          </w:tcPr>
          <w:p w14:paraId="5A4327EF" w14:textId="77777777" w:rsidR="00000000" w:rsidRDefault="00195E73">
            <w:pPr>
              <w:rPr>
                <w:rFonts w:eastAsia="Times New Roman"/>
                <w:sz w:val="20"/>
                <w:szCs w:val="20"/>
              </w:rPr>
            </w:pPr>
          </w:p>
        </w:tc>
        <w:tc>
          <w:tcPr>
            <w:tcW w:w="0" w:type="auto"/>
            <w:vAlign w:val="center"/>
            <w:hideMark/>
          </w:tcPr>
          <w:p w14:paraId="5D5FEF83" w14:textId="77777777" w:rsidR="00000000" w:rsidRDefault="00195E73">
            <w:pPr>
              <w:rPr>
                <w:rFonts w:eastAsia="Times New Roman"/>
                <w:sz w:val="20"/>
                <w:szCs w:val="20"/>
              </w:rPr>
            </w:pPr>
          </w:p>
        </w:tc>
        <w:tc>
          <w:tcPr>
            <w:tcW w:w="0" w:type="auto"/>
            <w:vAlign w:val="center"/>
            <w:hideMark/>
          </w:tcPr>
          <w:p w14:paraId="44745FD0" w14:textId="77777777" w:rsidR="00000000" w:rsidRDefault="00195E73">
            <w:pPr>
              <w:rPr>
                <w:rFonts w:eastAsia="Times New Roman"/>
                <w:sz w:val="20"/>
                <w:szCs w:val="20"/>
              </w:rPr>
            </w:pPr>
          </w:p>
        </w:tc>
        <w:tc>
          <w:tcPr>
            <w:tcW w:w="0" w:type="auto"/>
            <w:vAlign w:val="center"/>
            <w:hideMark/>
          </w:tcPr>
          <w:p w14:paraId="3F8C85A1" w14:textId="77777777" w:rsidR="00000000" w:rsidRDefault="00195E73">
            <w:pPr>
              <w:rPr>
                <w:rFonts w:eastAsia="Times New Roman"/>
                <w:sz w:val="20"/>
                <w:szCs w:val="20"/>
              </w:rPr>
            </w:pPr>
          </w:p>
        </w:tc>
        <w:tc>
          <w:tcPr>
            <w:tcW w:w="0" w:type="auto"/>
            <w:vAlign w:val="center"/>
            <w:hideMark/>
          </w:tcPr>
          <w:p w14:paraId="0CEF4DE1" w14:textId="77777777" w:rsidR="00000000" w:rsidRDefault="00195E73">
            <w:pPr>
              <w:rPr>
                <w:rFonts w:eastAsia="Times New Roman"/>
                <w:sz w:val="20"/>
                <w:szCs w:val="20"/>
              </w:rPr>
            </w:pPr>
          </w:p>
        </w:tc>
        <w:tc>
          <w:tcPr>
            <w:tcW w:w="0" w:type="auto"/>
            <w:vAlign w:val="center"/>
            <w:hideMark/>
          </w:tcPr>
          <w:p w14:paraId="538B62CA" w14:textId="77777777" w:rsidR="00000000" w:rsidRDefault="00195E73">
            <w:pPr>
              <w:rPr>
                <w:rFonts w:eastAsia="Times New Roman"/>
                <w:sz w:val="20"/>
                <w:szCs w:val="20"/>
              </w:rPr>
            </w:pPr>
          </w:p>
        </w:tc>
        <w:tc>
          <w:tcPr>
            <w:tcW w:w="0" w:type="auto"/>
            <w:vAlign w:val="center"/>
            <w:hideMark/>
          </w:tcPr>
          <w:p w14:paraId="2559C61D" w14:textId="77777777" w:rsidR="00000000" w:rsidRDefault="00195E73">
            <w:pPr>
              <w:rPr>
                <w:rFonts w:eastAsia="Times New Roman"/>
                <w:sz w:val="20"/>
                <w:szCs w:val="20"/>
              </w:rPr>
            </w:pPr>
          </w:p>
        </w:tc>
        <w:tc>
          <w:tcPr>
            <w:tcW w:w="0" w:type="auto"/>
            <w:vAlign w:val="center"/>
            <w:hideMark/>
          </w:tcPr>
          <w:p w14:paraId="0011FB24" w14:textId="77777777" w:rsidR="00000000" w:rsidRDefault="00195E73">
            <w:pPr>
              <w:rPr>
                <w:rFonts w:eastAsia="Times New Roman"/>
                <w:sz w:val="20"/>
                <w:szCs w:val="20"/>
              </w:rPr>
            </w:pPr>
          </w:p>
        </w:tc>
      </w:tr>
    </w:tbl>
    <w:p w14:paraId="36E34497" w14:textId="77777777" w:rsidR="00000000" w:rsidRDefault="00195E73">
      <w:pPr>
        <w:divId w:val="1517422886"/>
        <w:rPr>
          <w:rFonts w:eastAsia="Times New Roman"/>
        </w:rPr>
      </w:pPr>
    </w:p>
    <w:p w14:paraId="47CB3656" w14:textId="77777777" w:rsidR="00000000" w:rsidRDefault="00195E73">
      <w:pPr>
        <w:divId w:val="1904169773"/>
        <w:rPr>
          <w:rFonts w:eastAsia="Times New Roman"/>
        </w:rPr>
      </w:pPr>
    </w:p>
    <w:p w14:paraId="59F06725" w14:textId="77777777" w:rsidR="00000000" w:rsidRDefault="00195E73">
      <w:pPr>
        <w:divId w:val="1950699864"/>
        <w:rPr>
          <w:rFonts w:eastAsia="Times New Roman"/>
        </w:rPr>
      </w:pPr>
    </w:p>
    <w:p w14:paraId="76B1D17A" w14:textId="77777777" w:rsidR="00000000" w:rsidRDefault="00195E73">
      <w:pPr>
        <w:divId w:val="1045107861"/>
        <w:rPr>
          <w:rFonts w:eastAsia="Times New Roman"/>
        </w:rPr>
      </w:pPr>
    </w:p>
    <w:p w14:paraId="1EBE29C3" w14:textId="77777777" w:rsidR="00000000" w:rsidRDefault="00195E73">
      <w:pPr>
        <w:divId w:val="679744433"/>
        <w:rPr>
          <w:rFonts w:eastAsia="Times New Roman"/>
        </w:rPr>
      </w:pPr>
    </w:p>
    <w:p w14:paraId="0054DBCF" w14:textId="77777777" w:rsidR="00000000" w:rsidRDefault="00195E73">
      <w:pPr>
        <w:divId w:val="139809775"/>
        <w:rPr>
          <w:rFonts w:eastAsia="Times New Roman"/>
        </w:rPr>
      </w:pPr>
    </w:p>
    <w:p w14:paraId="52814FFE" w14:textId="77777777" w:rsidR="00000000" w:rsidRDefault="00195E73">
      <w:pPr>
        <w:jc w:val="center"/>
        <w:rPr>
          <w:rFonts w:eastAsia="Times New Roman"/>
        </w:rPr>
      </w:pPr>
    </w:p>
    <w:p w14:paraId="45E69B2A" w14:textId="77777777" w:rsidR="00000000" w:rsidRDefault="00195E73">
      <w:pPr>
        <w:jc w:val="center"/>
        <w:rPr>
          <w:rFonts w:eastAsia="Times New Roman"/>
        </w:rPr>
      </w:pPr>
    </w:p>
    <w:p w14:paraId="3ADB84F5" w14:textId="77777777" w:rsidR="00000000" w:rsidRDefault="00195E73">
      <w:pPr>
        <w:jc w:val="center"/>
        <w:rPr>
          <w:rFonts w:eastAsia="Times New Roman"/>
        </w:rPr>
      </w:pPr>
    </w:p>
    <w:p w14:paraId="128877A9" w14:textId="77777777" w:rsidR="00000000" w:rsidRDefault="00195E73">
      <w:pPr>
        <w:jc w:val="center"/>
        <w:rPr>
          <w:rFonts w:eastAsia="Times New Roman"/>
        </w:rPr>
      </w:pPr>
    </w:p>
    <w:p w14:paraId="18633AE8" w14:textId="77777777" w:rsidR="00000000" w:rsidRDefault="00195E73">
      <w:pPr>
        <w:jc w:val="center"/>
        <w:rPr>
          <w:rFonts w:eastAsia="Times New Roman"/>
        </w:rPr>
      </w:pPr>
    </w:p>
    <w:p w14:paraId="31D785B6" w14:textId="77777777" w:rsidR="00000000" w:rsidRDefault="00195E73">
      <w:pPr>
        <w:jc w:val="center"/>
        <w:rPr>
          <w:rFonts w:eastAsia="Times New Roman"/>
        </w:rPr>
      </w:pPr>
    </w:p>
    <w:p w14:paraId="34317022" w14:textId="77777777" w:rsidR="00000000" w:rsidRDefault="00195E73">
      <w:pPr>
        <w:jc w:val="center"/>
        <w:rPr>
          <w:rFonts w:eastAsia="Times New Roman"/>
        </w:rPr>
      </w:pPr>
    </w:p>
    <w:p w14:paraId="67A79A19" w14:textId="77777777" w:rsidR="00000000" w:rsidRDefault="00195E73">
      <w:pPr>
        <w:jc w:val="center"/>
        <w:rPr>
          <w:rFonts w:eastAsia="Times New Roman"/>
        </w:rPr>
      </w:pPr>
    </w:p>
    <w:p w14:paraId="23CF9171" w14:textId="77777777" w:rsidR="00000000" w:rsidRDefault="00195E73">
      <w:pPr>
        <w:jc w:val="center"/>
        <w:rPr>
          <w:rFonts w:eastAsia="Times New Roman"/>
        </w:rPr>
      </w:pPr>
    </w:p>
    <w:p w14:paraId="6D0B6627" w14:textId="77777777" w:rsidR="00000000" w:rsidRDefault="00195E73">
      <w:pPr>
        <w:jc w:val="center"/>
        <w:rPr>
          <w:rFonts w:eastAsia="Times New Roman"/>
        </w:rPr>
      </w:pPr>
    </w:p>
    <w:p w14:paraId="695AD8A8" w14:textId="77777777" w:rsidR="00000000" w:rsidRDefault="00195E73">
      <w:pPr>
        <w:jc w:val="center"/>
        <w:rPr>
          <w:rFonts w:eastAsia="Times New Roman"/>
        </w:rPr>
      </w:pPr>
    </w:p>
    <w:p w14:paraId="5D3693D9" w14:textId="77777777" w:rsidR="00000000" w:rsidRDefault="00195E73">
      <w:pPr>
        <w:jc w:val="center"/>
        <w:rPr>
          <w:rFonts w:eastAsia="Times New Roman"/>
        </w:rPr>
      </w:pPr>
    </w:p>
    <w:p w14:paraId="11D2DE7A" w14:textId="77777777" w:rsidR="00000000" w:rsidRDefault="00195E73">
      <w:pPr>
        <w:jc w:val="center"/>
        <w:rPr>
          <w:rFonts w:eastAsia="Times New Roman"/>
        </w:rPr>
      </w:pPr>
    </w:p>
    <w:p w14:paraId="61AD9E59" w14:textId="77777777" w:rsidR="00000000" w:rsidRDefault="00195E73">
      <w:pPr>
        <w:jc w:val="center"/>
        <w:rPr>
          <w:rFonts w:eastAsia="Times New Roman"/>
        </w:rPr>
      </w:pPr>
    </w:p>
    <w:p w14:paraId="5CA0A6BB" w14:textId="77777777" w:rsidR="00000000" w:rsidRDefault="00195E73">
      <w:pPr>
        <w:jc w:val="center"/>
        <w:rPr>
          <w:rFonts w:eastAsia="Times New Roman"/>
        </w:rPr>
      </w:pPr>
    </w:p>
    <w:p w14:paraId="1A292B14" w14:textId="77777777" w:rsidR="00000000" w:rsidRDefault="00195E73">
      <w:pPr>
        <w:jc w:val="center"/>
        <w:rPr>
          <w:rFonts w:eastAsia="Times New Roman"/>
        </w:rPr>
      </w:pPr>
    </w:p>
    <w:p w14:paraId="38665B42" w14:textId="77777777" w:rsidR="00000000" w:rsidRDefault="00195E73">
      <w:pPr>
        <w:jc w:val="center"/>
        <w:rPr>
          <w:rFonts w:eastAsia="Times New Roman"/>
        </w:rPr>
      </w:pPr>
    </w:p>
    <w:p w14:paraId="49C7C745" w14:textId="77777777" w:rsidR="00000000" w:rsidRDefault="00195E73">
      <w:pPr>
        <w:jc w:val="center"/>
        <w:rPr>
          <w:rFonts w:eastAsia="Times New Roman"/>
        </w:rPr>
      </w:pPr>
    </w:p>
    <w:p w14:paraId="1034892C" w14:textId="77777777" w:rsidR="00000000" w:rsidRDefault="00195E73">
      <w:pPr>
        <w:jc w:val="center"/>
        <w:rPr>
          <w:rFonts w:eastAsia="Times New Roman"/>
        </w:rPr>
      </w:pPr>
    </w:p>
    <w:p w14:paraId="4A7F0E10" w14:textId="77777777" w:rsidR="00000000" w:rsidRDefault="00195E73">
      <w:pPr>
        <w:jc w:val="center"/>
        <w:rPr>
          <w:rFonts w:eastAsia="Times New Roman"/>
        </w:rPr>
      </w:pPr>
    </w:p>
    <w:p w14:paraId="074B54AE" w14:textId="77777777" w:rsidR="00000000" w:rsidRDefault="00195E73">
      <w:pPr>
        <w:jc w:val="center"/>
        <w:rPr>
          <w:rFonts w:eastAsia="Times New Roman"/>
        </w:rPr>
      </w:pPr>
    </w:p>
    <w:p w14:paraId="6FFC5B05" w14:textId="77777777" w:rsidR="00000000" w:rsidRDefault="00195E73">
      <w:pPr>
        <w:jc w:val="center"/>
        <w:rPr>
          <w:rFonts w:eastAsia="Times New Roman"/>
        </w:rPr>
      </w:pPr>
    </w:p>
    <w:p w14:paraId="3F3CB76B" w14:textId="77777777" w:rsidR="00000000" w:rsidRDefault="00195E73">
      <w:pPr>
        <w:jc w:val="center"/>
        <w:rPr>
          <w:rFonts w:eastAsia="Times New Roman"/>
        </w:rPr>
      </w:pPr>
    </w:p>
    <w:p w14:paraId="17554D3B" w14:textId="77777777" w:rsidR="00000000" w:rsidRDefault="00195E73">
      <w:pPr>
        <w:jc w:val="center"/>
        <w:rPr>
          <w:rFonts w:eastAsia="Times New Roman"/>
        </w:rPr>
      </w:pPr>
      <w:r>
        <w:rPr>
          <w:rFonts w:eastAsia="Times New Roman"/>
          <w:i/>
          <w:iCs/>
          <w:color w:val="000000"/>
          <w:sz w:val="20"/>
          <w:szCs w:val="20"/>
        </w:rPr>
        <w:t>See notes to consolidated financial statements</w:t>
      </w:r>
      <w:r>
        <w:rPr>
          <w:rFonts w:eastAsia="Times New Roman"/>
          <w:i/>
          <w:iCs/>
          <w:color w:val="000000"/>
          <w:sz w:val="20"/>
          <w:szCs w:val="20"/>
        </w:rPr>
        <w:t>.</w:t>
      </w:r>
    </w:p>
    <w:p w14:paraId="3E807D3E" w14:textId="77777777" w:rsidR="00000000" w:rsidRDefault="00195E73">
      <w:pPr>
        <w:jc w:val="center"/>
        <w:divId w:val="537280729"/>
        <w:rPr>
          <w:rFonts w:eastAsia="Times New Roman"/>
        </w:rPr>
      </w:pPr>
      <w:r>
        <w:rPr>
          <w:rFonts w:eastAsia="Times New Roman"/>
          <w:color w:val="000000"/>
          <w:sz w:val="20"/>
          <w:szCs w:val="20"/>
        </w:rPr>
        <w:t>6</w:t>
      </w:r>
      <w:r>
        <w:rPr>
          <w:rFonts w:eastAsia="Times New Roman"/>
          <w:color w:val="000000"/>
          <w:sz w:val="20"/>
          <w:szCs w:val="20"/>
        </w:rPr>
        <w:t>1</w:t>
      </w:r>
    </w:p>
    <w:p w14:paraId="62517ED3" w14:textId="77777777" w:rsidR="00000000" w:rsidRDefault="00195E73">
      <w:pPr>
        <w:rPr>
          <w:rFonts w:eastAsia="Times New Roman"/>
        </w:rPr>
      </w:pPr>
      <w:r>
        <w:rPr>
          <w:rFonts w:eastAsia="Times New Roman"/>
        </w:rPr>
        <w:pict w14:anchorId="2E61BD3F">
          <v:rect id="_x0000_i1087" style="width:0;height:1.5pt" o:hralign="center" o:hrstd="t" o:hr="t" fillcolor="#a0a0a0" stroked="f"/>
        </w:pict>
      </w:r>
    </w:p>
    <w:p w14:paraId="6B7B538B" w14:textId="77777777" w:rsidR="00000000" w:rsidRDefault="00195E73">
      <w:pPr>
        <w:divId w:val="927693896"/>
        <w:rPr>
          <w:rFonts w:eastAsia="Times New Roman"/>
        </w:rPr>
      </w:pPr>
    </w:p>
    <w:p w14:paraId="7540F51A" w14:textId="77777777" w:rsidR="00000000" w:rsidRDefault="00195E73">
      <w:pPr>
        <w:jc w:val="center"/>
        <w:divId w:val="218132308"/>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5807DF27" w14:textId="77777777" w:rsidR="00000000" w:rsidRDefault="00195E73">
      <w:pPr>
        <w:jc w:val="center"/>
        <w:rPr>
          <w:rFonts w:eastAsia="Times New Roman"/>
        </w:rPr>
      </w:pPr>
      <w:r>
        <w:rPr>
          <w:rFonts w:eastAsia="Times New Roman"/>
          <w:b/>
          <w:bCs/>
          <w:color w:val="000000"/>
          <w:sz w:val="20"/>
          <w:szCs w:val="20"/>
        </w:rPr>
        <w:t>CONSOLIDATED STATEMENT OF CHANGES IN EQUIT</w:t>
      </w:r>
      <w:r>
        <w:rPr>
          <w:rFonts w:eastAsia="Times New Roman"/>
          <w:b/>
          <w:bCs/>
          <w:color w:val="000000"/>
          <w:sz w:val="20"/>
          <w:szCs w:val="20"/>
        </w:rPr>
        <w:t>Y</w:t>
      </w:r>
    </w:p>
    <w:p w14:paraId="4108CCFC" w14:textId="77777777" w:rsidR="00000000" w:rsidRDefault="00195E73">
      <w:pPr>
        <w:jc w:val="center"/>
        <w:rPr>
          <w:rFonts w:eastAsia="Times New Roman"/>
        </w:rPr>
      </w:pPr>
    </w:p>
    <w:p w14:paraId="09ACB605" w14:textId="77777777" w:rsidR="00000000" w:rsidRDefault="00195E73">
      <w:pPr>
        <w:divId w:val="48204828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295"/>
        <w:gridCol w:w="37"/>
        <w:gridCol w:w="126"/>
        <w:gridCol w:w="749"/>
        <w:gridCol w:w="81"/>
        <w:gridCol w:w="36"/>
        <w:gridCol w:w="36"/>
        <w:gridCol w:w="36"/>
        <w:gridCol w:w="126"/>
        <w:gridCol w:w="713"/>
        <w:gridCol w:w="81"/>
        <w:gridCol w:w="36"/>
        <w:gridCol w:w="36"/>
        <w:gridCol w:w="36"/>
        <w:gridCol w:w="126"/>
        <w:gridCol w:w="714"/>
        <w:gridCol w:w="81"/>
        <w:gridCol w:w="36"/>
        <w:gridCol w:w="36"/>
        <w:gridCol w:w="36"/>
        <w:gridCol w:w="126"/>
        <w:gridCol w:w="741"/>
        <w:gridCol w:w="80"/>
        <w:gridCol w:w="36"/>
        <w:gridCol w:w="36"/>
        <w:gridCol w:w="36"/>
        <w:gridCol w:w="125"/>
        <w:gridCol w:w="691"/>
        <w:gridCol w:w="8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6F53DF41" w14:textId="77777777">
        <w:trPr>
          <w:gridAfter w:val="24"/>
          <w:divId w:val="1979872608"/>
          <w:jc w:val="center"/>
        </w:trPr>
        <w:tc>
          <w:tcPr>
            <w:tcW w:w="50" w:type="pct"/>
            <w:vAlign w:val="center"/>
            <w:hideMark/>
          </w:tcPr>
          <w:p w14:paraId="41CF8275" w14:textId="77777777" w:rsidR="00000000" w:rsidRDefault="00195E73">
            <w:pPr>
              <w:rPr>
                <w:rFonts w:eastAsia="Times New Roman"/>
              </w:rPr>
            </w:pPr>
          </w:p>
        </w:tc>
        <w:tc>
          <w:tcPr>
            <w:tcW w:w="1573" w:type="pct"/>
            <w:vAlign w:val="center"/>
            <w:hideMark/>
          </w:tcPr>
          <w:p w14:paraId="50CC9586" w14:textId="77777777" w:rsidR="00000000" w:rsidRDefault="00195E73">
            <w:pPr>
              <w:rPr>
                <w:rFonts w:eastAsia="Times New Roman"/>
                <w:sz w:val="20"/>
                <w:szCs w:val="20"/>
              </w:rPr>
            </w:pPr>
          </w:p>
        </w:tc>
        <w:tc>
          <w:tcPr>
            <w:tcW w:w="50" w:type="pct"/>
            <w:vAlign w:val="center"/>
            <w:hideMark/>
          </w:tcPr>
          <w:p w14:paraId="53911969" w14:textId="77777777" w:rsidR="00000000" w:rsidRDefault="00195E73">
            <w:pPr>
              <w:rPr>
                <w:rFonts w:eastAsia="Times New Roman"/>
                <w:sz w:val="20"/>
                <w:szCs w:val="20"/>
              </w:rPr>
            </w:pPr>
          </w:p>
        </w:tc>
        <w:tc>
          <w:tcPr>
            <w:tcW w:w="50" w:type="pct"/>
            <w:vAlign w:val="center"/>
            <w:hideMark/>
          </w:tcPr>
          <w:p w14:paraId="0088A1EC" w14:textId="77777777" w:rsidR="00000000" w:rsidRDefault="00195E73">
            <w:pPr>
              <w:rPr>
                <w:rFonts w:eastAsia="Times New Roman"/>
                <w:sz w:val="20"/>
                <w:szCs w:val="20"/>
              </w:rPr>
            </w:pPr>
          </w:p>
        </w:tc>
        <w:tc>
          <w:tcPr>
            <w:tcW w:w="535" w:type="pct"/>
            <w:vAlign w:val="center"/>
            <w:hideMark/>
          </w:tcPr>
          <w:p w14:paraId="14B886DF" w14:textId="77777777" w:rsidR="00000000" w:rsidRDefault="00195E73">
            <w:pPr>
              <w:rPr>
                <w:rFonts w:eastAsia="Times New Roman"/>
                <w:sz w:val="20"/>
                <w:szCs w:val="20"/>
              </w:rPr>
            </w:pPr>
          </w:p>
        </w:tc>
        <w:tc>
          <w:tcPr>
            <w:tcW w:w="50" w:type="pct"/>
            <w:vAlign w:val="center"/>
            <w:hideMark/>
          </w:tcPr>
          <w:p w14:paraId="061ACBF8" w14:textId="77777777" w:rsidR="00000000" w:rsidRDefault="00195E73">
            <w:pPr>
              <w:rPr>
                <w:rFonts w:eastAsia="Times New Roman"/>
                <w:sz w:val="20"/>
                <w:szCs w:val="20"/>
              </w:rPr>
            </w:pPr>
          </w:p>
        </w:tc>
        <w:tc>
          <w:tcPr>
            <w:tcW w:w="5" w:type="pct"/>
            <w:vAlign w:val="center"/>
            <w:hideMark/>
          </w:tcPr>
          <w:p w14:paraId="4D0F957D" w14:textId="77777777" w:rsidR="00000000" w:rsidRDefault="00195E73">
            <w:pPr>
              <w:rPr>
                <w:rFonts w:eastAsia="Times New Roman"/>
                <w:sz w:val="20"/>
                <w:szCs w:val="20"/>
              </w:rPr>
            </w:pPr>
          </w:p>
        </w:tc>
        <w:tc>
          <w:tcPr>
            <w:tcW w:w="26" w:type="pct"/>
            <w:vAlign w:val="center"/>
            <w:hideMark/>
          </w:tcPr>
          <w:p w14:paraId="69E6BAEE" w14:textId="77777777" w:rsidR="00000000" w:rsidRDefault="00195E73">
            <w:pPr>
              <w:rPr>
                <w:rFonts w:eastAsia="Times New Roman"/>
                <w:sz w:val="20"/>
                <w:szCs w:val="20"/>
              </w:rPr>
            </w:pPr>
          </w:p>
        </w:tc>
        <w:tc>
          <w:tcPr>
            <w:tcW w:w="5" w:type="pct"/>
            <w:vAlign w:val="center"/>
            <w:hideMark/>
          </w:tcPr>
          <w:p w14:paraId="539E2ECD" w14:textId="77777777" w:rsidR="00000000" w:rsidRDefault="00195E73">
            <w:pPr>
              <w:rPr>
                <w:rFonts w:eastAsia="Times New Roman"/>
                <w:sz w:val="20"/>
                <w:szCs w:val="20"/>
              </w:rPr>
            </w:pPr>
          </w:p>
        </w:tc>
        <w:tc>
          <w:tcPr>
            <w:tcW w:w="50" w:type="pct"/>
            <w:vAlign w:val="center"/>
            <w:hideMark/>
          </w:tcPr>
          <w:p w14:paraId="76764F5A" w14:textId="77777777" w:rsidR="00000000" w:rsidRDefault="00195E73">
            <w:pPr>
              <w:rPr>
                <w:rFonts w:eastAsia="Times New Roman"/>
                <w:sz w:val="20"/>
                <w:szCs w:val="20"/>
              </w:rPr>
            </w:pPr>
          </w:p>
        </w:tc>
        <w:tc>
          <w:tcPr>
            <w:tcW w:w="535" w:type="pct"/>
            <w:vAlign w:val="center"/>
            <w:hideMark/>
          </w:tcPr>
          <w:p w14:paraId="33CF2A94" w14:textId="77777777" w:rsidR="00000000" w:rsidRDefault="00195E73">
            <w:pPr>
              <w:rPr>
                <w:rFonts w:eastAsia="Times New Roman"/>
                <w:sz w:val="20"/>
                <w:szCs w:val="20"/>
              </w:rPr>
            </w:pPr>
          </w:p>
        </w:tc>
        <w:tc>
          <w:tcPr>
            <w:tcW w:w="50" w:type="pct"/>
            <w:vAlign w:val="center"/>
            <w:hideMark/>
          </w:tcPr>
          <w:p w14:paraId="2DA14569" w14:textId="77777777" w:rsidR="00000000" w:rsidRDefault="00195E73">
            <w:pPr>
              <w:rPr>
                <w:rFonts w:eastAsia="Times New Roman"/>
                <w:sz w:val="20"/>
                <w:szCs w:val="20"/>
              </w:rPr>
            </w:pPr>
          </w:p>
        </w:tc>
        <w:tc>
          <w:tcPr>
            <w:tcW w:w="5" w:type="pct"/>
            <w:vAlign w:val="center"/>
            <w:hideMark/>
          </w:tcPr>
          <w:p w14:paraId="1EF0983A" w14:textId="77777777" w:rsidR="00000000" w:rsidRDefault="00195E73">
            <w:pPr>
              <w:rPr>
                <w:rFonts w:eastAsia="Times New Roman"/>
                <w:sz w:val="20"/>
                <w:szCs w:val="20"/>
              </w:rPr>
            </w:pPr>
          </w:p>
        </w:tc>
        <w:tc>
          <w:tcPr>
            <w:tcW w:w="26" w:type="pct"/>
            <w:vAlign w:val="center"/>
            <w:hideMark/>
          </w:tcPr>
          <w:p w14:paraId="0F0C9CB3" w14:textId="77777777" w:rsidR="00000000" w:rsidRDefault="00195E73">
            <w:pPr>
              <w:rPr>
                <w:rFonts w:eastAsia="Times New Roman"/>
                <w:sz w:val="20"/>
                <w:szCs w:val="20"/>
              </w:rPr>
            </w:pPr>
          </w:p>
        </w:tc>
        <w:tc>
          <w:tcPr>
            <w:tcW w:w="5" w:type="pct"/>
            <w:vAlign w:val="center"/>
            <w:hideMark/>
          </w:tcPr>
          <w:p w14:paraId="71E43845" w14:textId="77777777" w:rsidR="00000000" w:rsidRDefault="00195E73">
            <w:pPr>
              <w:rPr>
                <w:rFonts w:eastAsia="Times New Roman"/>
                <w:sz w:val="20"/>
                <w:szCs w:val="20"/>
              </w:rPr>
            </w:pPr>
          </w:p>
        </w:tc>
        <w:tc>
          <w:tcPr>
            <w:tcW w:w="50" w:type="pct"/>
            <w:vAlign w:val="center"/>
            <w:hideMark/>
          </w:tcPr>
          <w:p w14:paraId="5B4FA693" w14:textId="77777777" w:rsidR="00000000" w:rsidRDefault="00195E73">
            <w:pPr>
              <w:rPr>
                <w:rFonts w:eastAsia="Times New Roman"/>
                <w:sz w:val="20"/>
                <w:szCs w:val="20"/>
              </w:rPr>
            </w:pPr>
          </w:p>
        </w:tc>
        <w:tc>
          <w:tcPr>
            <w:tcW w:w="535" w:type="pct"/>
            <w:vAlign w:val="center"/>
            <w:hideMark/>
          </w:tcPr>
          <w:p w14:paraId="19B64AD1" w14:textId="77777777" w:rsidR="00000000" w:rsidRDefault="00195E73">
            <w:pPr>
              <w:rPr>
                <w:rFonts w:eastAsia="Times New Roman"/>
                <w:sz w:val="20"/>
                <w:szCs w:val="20"/>
              </w:rPr>
            </w:pPr>
          </w:p>
        </w:tc>
        <w:tc>
          <w:tcPr>
            <w:tcW w:w="50" w:type="pct"/>
            <w:vAlign w:val="center"/>
            <w:hideMark/>
          </w:tcPr>
          <w:p w14:paraId="0160FF9C" w14:textId="77777777" w:rsidR="00000000" w:rsidRDefault="00195E73">
            <w:pPr>
              <w:rPr>
                <w:rFonts w:eastAsia="Times New Roman"/>
                <w:sz w:val="20"/>
                <w:szCs w:val="20"/>
              </w:rPr>
            </w:pPr>
          </w:p>
        </w:tc>
        <w:tc>
          <w:tcPr>
            <w:tcW w:w="5" w:type="pct"/>
            <w:vAlign w:val="center"/>
            <w:hideMark/>
          </w:tcPr>
          <w:p w14:paraId="013AA252" w14:textId="77777777" w:rsidR="00000000" w:rsidRDefault="00195E73">
            <w:pPr>
              <w:rPr>
                <w:rFonts w:eastAsia="Times New Roman"/>
                <w:sz w:val="20"/>
                <w:szCs w:val="20"/>
              </w:rPr>
            </w:pPr>
          </w:p>
        </w:tc>
        <w:tc>
          <w:tcPr>
            <w:tcW w:w="26" w:type="pct"/>
            <w:vAlign w:val="center"/>
            <w:hideMark/>
          </w:tcPr>
          <w:p w14:paraId="4171E26E" w14:textId="77777777" w:rsidR="00000000" w:rsidRDefault="00195E73">
            <w:pPr>
              <w:rPr>
                <w:rFonts w:eastAsia="Times New Roman"/>
                <w:sz w:val="20"/>
                <w:szCs w:val="20"/>
              </w:rPr>
            </w:pPr>
          </w:p>
        </w:tc>
        <w:tc>
          <w:tcPr>
            <w:tcW w:w="5" w:type="pct"/>
            <w:vAlign w:val="center"/>
            <w:hideMark/>
          </w:tcPr>
          <w:p w14:paraId="4908759B" w14:textId="77777777" w:rsidR="00000000" w:rsidRDefault="00195E73">
            <w:pPr>
              <w:rPr>
                <w:rFonts w:eastAsia="Times New Roman"/>
                <w:sz w:val="20"/>
                <w:szCs w:val="20"/>
              </w:rPr>
            </w:pPr>
          </w:p>
        </w:tc>
        <w:tc>
          <w:tcPr>
            <w:tcW w:w="50" w:type="pct"/>
            <w:vAlign w:val="center"/>
            <w:hideMark/>
          </w:tcPr>
          <w:p w14:paraId="64948C28" w14:textId="77777777" w:rsidR="00000000" w:rsidRDefault="00195E73">
            <w:pPr>
              <w:rPr>
                <w:rFonts w:eastAsia="Times New Roman"/>
                <w:sz w:val="20"/>
                <w:szCs w:val="20"/>
              </w:rPr>
            </w:pPr>
          </w:p>
        </w:tc>
        <w:tc>
          <w:tcPr>
            <w:tcW w:w="535" w:type="pct"/>
            <w:vAlign w:val="center"/>
            <w:hideMark/>
          </w:tcPr>
          <w:p w14:paraId="31D1B3FF" w14:textId="77777777" w:rsidR="00000000" w:rsidRDefault="00195E73">
            <w:pPr>
              <w:rPr>
                <w:rFonts w:eastAsia="Times New Roman"/>
                <w:sz w:val="20"/>
                <w:szCs w:val="20"/>
              </w:rPr>
            </w:pPr>
          </w:p>
        </w:tc>
        <w:tc>
          <w:tcPr>
            <w:tcW w:w="50" w:type="pct"/>
            <w:vAlign w:val="center"/>
            <w:hideMark/>
          </w:tcPr>
          <w:p w14:paraId="54F312D4" w14:textId="77777777" w:rsidR="00000000" w:rsidRDefault="00195E73">
            <w:pPr>
              <w:rPr>
                <w:rFonts w:eastAsia="Times New Roman"/>
                <w:sz w:val="20"/>
                <w:szCs w:val="20"/>
              </w:rPr>
            </w:pPr>
          </w:p>
        </w:tc>
        <w:tc>
          <w:tcPr>
            <w:tcW w:w="5" w:type="pct"/>
            <w:vAlign w:val="center"/>
            <w:hideMark/>
          </w:tcPr>
          <w:p w14:paraId="0C263D04" w14:textId="77777777" w:rsidR="00000000" w:rsidRDefault="00195E73">
            <w:pPr>
              <w:rPr>
                <w:rFonts w:eastAsia="Times New Roman"/>
                <w:sz w:val="20"/>
                <w:szCs w:val="20"/>
              </w:rPr>
            </w:pPr>
          </w:p>
        </w:tc>
        <w:tc>
          <w:tcPr>
            <w:tcW w:w="26" w:type="pct"/>
            <w:vAlign w:val="center"/>
            <w:hideMark/>
          </w:tcPr>
          <w:p w14:paraId="31FF6871" w14:textId="77777777" w:rsidR="00000000" w:rsidRDefault="00195E73">
            <w:pPr>
              <w:rPr>
                <w:rFonts w:eastAsia="Times New Roman"/>
                <w:sz w:val="20"/>
                <w:szCs w:val="20"/>
              </w:rPr>
            </w:pPr>
          </w:p>
        </w:tc>
        <w:tc>
          <w:tcPr>
            <w:tcW w:w="5" w:type="pct"/>
            <w:vAlign w:val="center"/>
            <w:hideMark/>
          </w:tcPr>
          <w:p w14:paraId="2E56946A" w14:textId="77777777" w:rsidR="00000000" w:rsidRDefault="00195E73">
            <w:pPr>
              <w:rPr>
                <w:rFonts w:eastAsia="Times New Roman"/>
                <w:sz w:val="20"/>
                <w:szCs w:val="20"/>
              </w:rPr>
            </w:pPr>
          </w:p>
        </w:tc>
        <w:tc>
          <w:tcPr>
            <w:tcW w:w="50" w:type="pct"/>
            <w:vAlign w:val="center"/>
            <w:hideMark/>
          </w:tcPr>
          <w:p w14:paraId="4A88666C" w14:textId="77777777" w:rsidR="00000000" w:rsidRDefault="00195E73">
            <w:pPr>
              <w:rPr>
                <w:rFonts w:eastAsia="Times New Roman"/>
                <w:sz w:val="20"/>
                <w:szCs w:val="20"/>
              </w:rPr>
            </w:pPr>
          </w:p>
        </w:tc>
        <w:tc>
          <w:tcPr>
            <w:tcW w:w="536" w:type="pct"/>
            <w:vAlign w:val="center"/>
            <w:hideMark/>
          </w:tcPr>
          <w:p w14:paraId="6DCE14C0" w14:textId="77777777" w:rsidR="00000000" w:rsidRDefault="00195E73">
            <w:pPr>
              <w:rPr>
                <w:rFonts w:eastAsia="Times New Roman"/>
                <w:sz w:val="20"/>
                <w:szCs w:val="20"/>
              </w:rPr>
            </w:pPr>
          </w:p>
        </w:tc>
        <w:tc>
          <w:tcPr>
            <w:tcW w:w="50" w:type="pct"/>
            <w:vAlign w:val="center"/>
            <w:hideMark/>
          </w:tcPr>
          <w:p w14:paraId="15FEE996" w14:textId="77777777" w:rsidR="00000000" w:rsidRDefault="00195E73">
            <w:pPr>
              <w:rPr>
                <w:rFonts w:eastAsia="Times New Roman"/>
                <w:sz w:val="20"/>
                <w:szCs w:val="20"/>
              </w:rPr>
            </w:pPr>
          </w:p>
        </w:tc>
      </w:tr>
      <w:tr w:rsidR="00000000" w14:paraId="38ED12E2" w14:textId="77777777">
        <w:trPr>
          <w:gridAfter w:val="12"/>
          <w:divId w:val="1979872608"/>
          <w:jc w:val="center"/>
        </w:trPr>
        <w:tc>
          <w:tcPr>
            <w:tcW w:w="0" w:type="auto"/>
            <w:gridSpan w:val="3"/>
            <w:tcMar>
              <w:top w:w="15" w:type="dxa"/>
              <w:left w:w="20" w:type="dxa"/>
              <w:bottom w:w="15" w:type="dxa"/>
              <w:right w:w="20" w:type="dxa"/>
            </w:tcMar>
            <w:vAlign w:val="bottom"/>
            <w:hideMark/>
          </w:tcPr>
          <w:p w14:paraId="7FA8B08D"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058A1FD1" w14:textId="77777777" w:rsidR="00000000" w:rsidRDefault="00195E73">
            <w:pPr>
              <w:jc w:val="center"/>
              <w:rPr>
                <w:rFonts w:eastAsia="Times New Roman"/>
              </w:rPr>
            </w:pPr>
            <w:r>
              <w:rPr>
                <w:rFonts w:eastAsia="Times New Roman"/>
                <w:b/>
                <w:bCs/>
                <w:color w:val="000000"/>
                <w:sz w:val="18"/>
                <w:szCs w:val="18"/>
              </w:rPr>
              <w:t>Equity Attributable to Icahn Enterprises Holding</w:t>
            </w:r>
            <w:r>
              <w:rPr>
                <w:rFonts w:eastAsia="Times New Roman"/>
                <w:b/>
                <w:bCs/>
                <w:color w:val="000000"/>
                <w:sz w:val="18"/>
                <w:szCs w:val="18"/>
              </w:rPr>
              <w:t>s</w:t>
            </w:r>
          </w:p>
        </w:tc>
        <w:tc>
          <w:tcPr>
            <w:tcW w:w="0" w:type="auto"/>
            <w:gridSpan w:val="3"/>
            <w:vAlign w:val="center"/>
            <w:hideMark/>
          </w:tcPr>
          <w:p w14:paraId="1EF33B84" w14:textId="77777777" w:rsidR="00000000" w:rsidRDefault="00195E73">
            <w:pPr>
              <w:jc w:val="center"/>
              <w:rPr>
                <w:rFonts w:eastAsia="Times New Roman"/>
              </w:rPr>
            </w:pPr>
          </w:p>
        </w:tc>
        <w:tc>
          <w:tcPr>
            <w:tcW w:w="0" w:type="auto"/>
            <w:gridSpan w:val="3"/>
            <w:vAlign w:val="center"/>
            <w:hideMark/>
          </w:tcPr>
          <w:p w14:paraId="743EFF55" w14:textId="77777777" w:rsidR="00000000" w:rsidRDefault="00195E73">
            <w:pPr>
              <w:rPr>
                <w:rFonts w:eastAsia="Times New Roman"/>
                <w:sz w:val="20"/>
                <w:szCs w:val="20"/>
              </w:rPr>
            </w:pPr>
          </w:p>
        </w:tc>
        <w:tc>
          <w:tcPr>
            <w:tcW w:w="0" w:type="auto"/>
            <w:gridSpan w:val="3"/>
            <w:vAlign w:val="center"/>
            <w:hideMark/>
          </w:tcPr>
          <w:p w14:paraId="2FD64B8D" w14:textId="77777777" w:rsidR="00000000" w:rsidRDefault="00195E73">
            <w:pPr>
              <w:rPr>
                <w:rFonts w:eastAsia="Times New Roman"/>
                <w:sz w:val="20"/>
                <w:szCs w:val="20"/>
              </w:rPr>
            </w:pPr>
          </w:p>
        </w:tc>
        <w:tc>
          <w:tcPr>
            <w:tcW w:w="0" w:type="auto"/>
            <w:gridSpan w:val="3"/>
            <w:vAlign w:val="center"/>
            <w:hideMark/>
          </w:tcPr>
          <w:p w14:paraId="4B1D3AD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B660831"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455165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F46FFF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1D58F73" w14:textId="77777777" w:rsidR="00000000" w:rsidRDefault="00195E73">
            <w:pPr>
              <w:rPr>
                <w:rFonts w:eastAsia="Times New Roman"/>
                <w:sz w:val="20"/>
                <w:szCs w:val="20"/>
              </w:rPr>
            </w:pPr>
          </w:p>
        </w:tc>
      </w:tr>
      <w:tr w:rsidR="00000000" w14:paraId="322C48D7" w14:textId="77777777">
        <w:trPr>
          <w:gridAfter w:val="12"/>
          <w:divId w:val="1979872608"/>
          <w:jc w:val="center"/>
        </w:trPr>
        <w:tc>
          <w:tcPr>
            <w:tcW w:w="0" w:type="auto"/>
            <w:gridSpan w:val="3"/>
            <w:tcMar>
              <w:top w:w="15" w:type="dxa"/>
              <w:left w:w="20" w:type="dxa"/>
              <w:bottom w:w="15" w:type="dxa"/>
              <w:right w:w="20" w:type="dxa"/>
            </w:tcMar>
            <w:vAlign w:val="bottom"/>
            <w:hideMark/>
          </w:tcPr>
          <w:p w14:paraId="79FA3559"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EDDA1F4" w14:textId="77777777" w:rsidR="00000000" w:rsidRDefault="00195E73">
            <w:pPr>
              <w:jc w:val="center"/>
              <w:rPr>
                <w:rFonts w:eastAsia="Times New Roman"/>
              </w:rPr>
            </w:pPr>
            <w:r>
              <w:rPr>
                <w:rFonts w:eastAsia="Times New Roman"/>
                <w:b/>
                <w:bCs/>
                <w:color w:val="000000"/>
                <w:sz w:val="18"/>
                <w:szCs w:val="18"/>
              </w:rPr>
              <w:t>General Partner’s Equity (Deficit</w:t>
            </w:r>
            <w:r>
              <w:rPr>
                <w:rFonts w:eastAsia="Times New Roman"/>
                <w:b/>
                <w:bCs/>
                <w:color w:val="000000"/>
                <w:sz w:val="18"/>
                <w:szCs w:val="18"/>
              </w:rPr>
              <w:t>)</w:t>
            </w:r>
          </w:p>
        </w:tc>
        <w:tc>
          <w:tcPr>
            <w:tcW w:w="0" w:type="auto"/>
            <w:gridSpan w:val="3"/>
            <w:tcBorders>
              <w:top w:val="single" w:sz="8" w:space="0" w:color="000000"/>
            </w:tcBorders>
            <w:tcMar>
              <w:top w:w="15" w:type="dxa"/>
              <w:left w:w="20" w:type="dxa"/>
              <w:bottom w:w="15" w:type="dxa"/>
              <w:right w:w="20" w:type="dxa"/>
            </w:tcMar>
            <w:vAlign w:val="bottom"/>
            <w:hideMark/>
          </w:tcPr>
          <w:p w14:paraId="679AC29D"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728EAFC" w14:textId="77777777" w:rsidR="00000000" w:rsidRDefault="00195E73">
            <w:pPr>
              <w:jc w:val="center"/>
              <w:rPr>
                <w:rFonts w:eastAsia="Times New Roman"/>
              </w:rPr>
            </w:pPr>
            <w:r>
              <w:rPr>
                <w:rFonts w:eastAsia="Times New Roman"/>
                <w:b/>
                <w:bCs/>
                <w:color w:val="000000"/>
                <w:sz w:val="18"/>
                <w:szCs w:val="18"/>
              </w:rPr>
              <w:t>Limited Partner’s Equit</w:t>
            </w:r>
            <w:r>
              <w:rPr>
                <w:rFonts w:eastAsia="Times New Roman"/>
                <w:b/>
                <w:bCs/>
                <w:color w:val="000000"/>
                <w:sz w:val="18"/>
                <w:szCs w:val="18"/>
              </w:rPr>
              <w:t>y</w:t>
            </w:r>
          </w:p>
        </w:tc>
        <w:tc>
          <w:tcPr>
            <w:tcW w:w="0" w:type="auto"/>
            <w:gridSpan w:val="3"/>
            <w:tcBorders>
              <w:top w:val="single" w:sz="8" w:space="0" w:color="000000"/>
            </w:tcBorders>
            <w:tcMar>
              <w:top w:w="15" w:type="dxa"/>
              <w:left w:w="20" w:type="dxa"/>
              <w:bottom w:w="15" w:type="dxa"/>
              <w:right w:w="20" w:type="dxa"/>
            </w:tcMar>
            <w:vAlign w:val="bottom"/>
            <w:hideMark/>
          </w:tcPr>
          <w:p w14:paraId="37CB993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8C2B53E" w14:textId="77777777" w:rsidR="00000000" w:rsidRDefault="00195E73">
            <w:pPr>
              <w:jc w:val="center"/>
              <w:rPr>
                <w:rFonts w:eastAsia="Times New Roman"/>
              </w:rPr>
            </w:pPr>
            <w:r>
              <w:rPr>
                <w:rFonts w:eastAsia="Times New Roman"/>
                <w:b/>
                <w:bCs/>
                <w:color w:val="000000"/>
                <w:sz w:val="18"/>
                <w:szCs w:val="18"/>
              </w:rPr>
              <w:t>Total Partners’ Equit</w:t>
            </w:r>
            <w:r>
              <w:rPr>
                <w:rFonts w:eastAsia="Times New Roman"/>
                <w:b/>
                <w:bCs/>
                <w:color w:val="000000"/>
                <w:sz w:val="18"/>
                <w:szCs w:val="18"/>
              </w:rPr>
              <w:t>y</w:t>
            </w:r>
          </w:p>
        </w:tc>
        <w:tc>
          <w:tcPr>
            <w:tcW w:w="0" w:type="auto"/>
            <w:gridSpan w:val="3"/>
            <w:tcMar>
              <w:top w:w="15" w:type="dxa"/>
              <w:left w:w="20" w:type="dxa"/>
              <w:bottom w:w="15" w:type="dxa"/>
              <w:right w:w="20" w:type="dxa"/>
            </w:tcMar>
            <w:vAlign w:val="bottom"/>
            <w:hideMark/>
          </w:tcPr>
          <w:p w14:paraId="00AFDD93"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5D3FFE7" w14:textId="77777777" w:rsidR="00000000" w:rsidRDefault="00195E73">
            <w:pPr>
              <w:jc w:val="center"/>
              <w:rPr>
                <w:rFonts w:eastAsia="Times New Roman"/>
              </w:rPr>
            </w:pPr>
            <w:r>
              <w:rPr>
                <w:rFonts w:eastAsia="Times New Roman"/>
                <w:b/>
                <w:bCs/>
                <w:color w:val="000000"/>
                <w:sz w:val="18"/>
                <w:szCs w:val="18"/>
              </w:rPr>
              <w:t>Non-controlling Interest</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14:paraId="610D4744"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573D4F1" w14:textId="77777777" w:rsidR="00000000" w:rsidRDefault="00195E73">
            <w:pPr>
              <w:jc w:val="center"/>
              <w:rPr>
                <w:rFonts w:eastAsia="Times New Roman"/>
              </w:rPr>
            </w:pPr>
            <w:r>
              <w:rPr>
                <w:rFonts w:eastAsia="Times New Roman"/>
                <w:b/>
                <w:bCs/>
                <w:color w:val="000000"/>
                <w:sz w:val="18"/>
                <w:szCs w:val="18"/>
              </w:rPr>
              <w:t>Total Equit</w:t>
            </w:r>
            <w:r>
              <w:rPr>
                <w:rFonts w:eastAsia="Times New Roman"/>
                <w:b/>
                <w:bCs/>
                <w:color w:val="000000"/>
                <w:sz w:val="18"/>
                <w:szCs w:val="18"/>
              </w:rPr>
              <w:t>y</w:t>
            </w:r>
          </w:p>
        </w:tc>
        <w:tc>
          <w:tcPr>
            <w:tcW w:w="0" w:type="auto"/>
            <w:vAlign w:val="center"/>
            <w:hideMark/>
          </w:tcPr>
          <w:p w14:paraId="57BD0834" w14:textId="77777777" w:rsidR="00000000" w:rsidRDefault="00195E73">
            <w:pPr>
              <w:rPr>
                <w:rFonts w:eastAsia="Times New Roman"/>
                <w:sz w:val="20"/>
                <w:szCs w:val="20"/>
              </w:rPr>
            </w:pPr>
          </w:p>
        </w:tc>
        <w:tc>
          <w:tcPr>
            <w:tcW w:w="0" w:type="auto"/>
            <w:vAlign w:val="center"/>
            <w:hideMark/>
          </w:tcPr>
          <w:p w14:paraId="09F086E4" w14:textId="77777777" w:rsidR="00000000" w:rsidRDefault="00195E73">
            <w:pPr>
              <w:rPr>
                <w:rFonts w:eastAsia="Times New Roman"/>
                <w:sz w:val="20"/>
                <w:szCs w:val="20"/>
              </w:rPr>
            </w:pPr>
          </w:p>
        </w:tc>
        <w:tc>
          <w:tcPr>
            <w:tcW w:w="0" w:type="auto"/>
            <w:vAlign w:val="center"/>
            <w:hideMark/>
          </w:tcPr>
          <w:p w14:paraId="6B737DB1" w14:textId="77777777" w:rsidR="00000000" w:rsidRDefault="00195E73">
            <w:pPr>
              <w:rPr>
                <w:rFonts w:eastAsia="Times New Roman"/>
                <w:sz w:val="20"/>
                <w:szCs w:val="20"/>
              </w:rPr>
            </w:pPr>
          </w:p>
        </w:tc>
        <w:tc>
          <w:tcPr>
            <w:tcW w:w="0" w:type="auto"/>
            <w:vAlign w:val="center"/>
            <w:hideMark/>
          </w:tcPr>
          <w:p w14:paraId="48A9D73A" w14:textId="77777777" w:rsidR="00000000" w:rsidRDefault="00195E73">
            <w:pPr>
              <w:rPr>
                <w:rFonts w:eastAsia="Times New Roman"/>
                <w:sz w:val="20"/>
                <w:szCs w:val="20"/>
              </w:rPr>
            </w:pPr>
          </w:p>
        </w:tc>
        <w:tc>
          <w:tcPr>
            <w:tcW w:w="0" w:type="auto"/>
            <w:vAlign w:val="center"/>
            <w:hideMark/>
          </w:tcPr>
          <w:p w14:paraId="36B2A383" w14:textId="77777777" w:rsidR="00000000" w:rsidRDefault="00195E73">
            <w:pPr>
              <w:rPr>
                <w:rFonts w:eastAsia="Times New Roman"/>
                <w:sz w:val="20"/>
                <w:szCs w:val="20"/>
              </w:rPr>
            </w:pPr>
          </w:p>
        </w:tc>
        <w:tc>
          <w:tcPr>
            <w:tcW w:w="0" w:type="auto"/>
            <w:vAlign w:val="center"/>
            <w:hideMark/>
          </w:tcPr>
          <w:p w14:paraId="7E37B174" w14:textId="77777777" w:rsidR="00000000" w:rsidRDefault="00195E73">
            <w:pPr>
              <w:rPr>
                <w:rFonts w:eastAsia="Times New Roman"/>
                <w:sz w:val="20"/>
                <w:szCs w:val="20"/>
              </w:rPr>
            </w:pPr>
          </w:p>
        </w:tc>
        <w:tc>
          <w:tcPr>
            <w:tcW w:w="0" w:type="auto"/>
            <w:vAlign w:val="center"/>
            <w:hideMark/>
          </w:tcPr>
          <w:p w14:paraId="399F9951" w14:textId="77777777" w:rsidR="00000000" w:rsidRDefault="00195E73">
            <w:pPr>
              <w:rPr>
                <w:rFonts w:eastAsia="Times New Roman"/>
                <w:sz w:val="20"/>
                <w:szCs w:val="20"/>
              </w:rPr>
            </w:pPr>
          </w:p>
        </w:tc>
        <w:tc>
          <w:tcPr>
            <w:tcW w:w="0" w:type="auto"/>
            <w:vAlign w:val="center"/>
            <w:hideMark/>
          </w:tcPr>
          <w:p w14:paraId="3AC97ABD" w14:textId="77777777" w:rsidR="00000000" w:rsidRDefault="00195E73">
            <w:pPr>
              <w:rPr>
                <w:rFonts w:eastAsia="Times New Roman"/>
                <w:sz w:val="20"/>
                <w:szCs w:val="20"/>
              </w:rPr>
            </w:pPr>
          </w:p>
        </w:tc>
        <w:tc>
          <w:tcPr>
            <w:tcW w:w="0" w:type="auto"/>
            <w:vAlign w:val="center"/>
            <w:hideMark/>
          </w:tcPr>
          <w:p w14:paraId="5E7674FB" w14:textId="77777777" w:rsidR="00000000" w:rsidRDefault="00195E73">
            <w:pPr>
              <w:rPr>
                <w:rFonts w:eastAsia="Times New Roman"/>
                <w:sz w:val="20"/>
                <w:szCs w:val="20"/>
              </w:rPr>
            </w:pPr>
          </w:p>
        </w:tc>
        <w:tc>
          <w:tcPr>
            <w:tcW w:w="0" w:type="auto"/>
            <w:vAlign w:val="center"/>
            <w:hideMark/>
          </w:tcPr>
          <w:p w14:paraId="0172B69A" w14:textId="77777777" w:rsidR="00000000" w:rsidRDefault="00195E73">
            <w:pPr>
              <w:rPr>
                <w:rFonts w:eastAsia="Times New Roman"/>
                <w:sz w:val="20"/>
                <w:szCs w:val="20"/>
              </w:rPr>
            </w:pPr>
          </w:p>
        </w:tc>
        <w:tc>
          <w:tcPr>
            <w:tcW w:w="0" w:type="auto"/>
            <w:vAlign w:val="center"/>
            <w:hideMark/>
          </w:tcPr>
          <w:p w14:paraId="28D3D743" w14:textId="77777777" w:rsidR="00000000" w:rsidRDefault="00195E73">
            <w:pPr>
              <w:rPr>
                <w:rFonts w:eastAsia="Times New Roman"/>
                <w:sz w:val="20"/>
                <w:szCs w:val="20"/>
              </w:rPr>
            </w:pPr>
          </w:p>
        </w:tc>
        <w:tc>
          <w:tcPr>
            <w:tcW w:w="0" w:type="auto"/>
            <w:vAlign w:val="center"/>
            <w:hideMark/>
          </w:tcPr>
          <w:p w14:paraId="61F5EA59" w14:textId="77777777" w:rsidR="00000000" w:rsidRDefault="00195E73">
            <w:pPr>
              <w:rPr>
                <w:rFonts w:eastAsia="Times New Roman"/>
                <w:sz w:val="20"/>
                <w:szCs w:val="20"/>
              </w:rPr>
            </w:pPr>
          </w:p>
        </w:tc>
      </w:tr>
      <w:tr w:rsidR="00000000" w14:paraId="7EE5C426" w14:textId="77777777">
        <w:trPr>
          <w:divId w:val="1979872608"/>
          <w:jc w:val="center"/>
        </w:trPr>
        <w:tc>
          <w:tcPr>
            <w:tcW w:w="0" w:type="auto"/>
            <w:gridSpan w:val="3"/>
            <w:tcMar>
              <w:top w:w="15" w:type="dxa"/>
              <w:left w:w="20" w:type="dxa"/>
              <w:bottom w:w="15" w:type="dxa"/>
              <w:right w:w="20" w:type="dxa"/>
            </w:tcMar>
            <w:vAlign w:val="bottom"/>
            <w:hideMark/>
          </w:tcPr>
          <w:p w14:paraId="67F31C7F" w14:textId="77777777" w:rsidR="00000000" w:rsidRDefault="00195E73">
            <w:pPr>
              <w:jc w:val="center"/>
              <w:rPr>
                <w:rFonts w:eastAsia="Times New Roman"/>
              </w:rPr>
            </w:pPr>
          </w:p>
        </w:tc>
        <w:tc>
          <w:tcPr>
            <w:tcW w:w="0" w:type="auto"/>
            <w:gridSpan w:val="26"/>
            <w:tcBorders>
              <w:top w:val="single" w:sz="8" w:space="0" w:color="000000"/>
            </w:tcBorders>
            <w:tcMar>
              <w:top w:w="30" w:type="dxa"/>
              <w:left w:w="20" w:type="dxa"/>
              <w:bottom w:w="30" w:type="dxa"/>
              <w:right w:w="0" w:type="dxa"/>
            </w:tcMar>
            <w:vAlign w:val="bottom"/>
            <w:hideMark/>
          </w:tcPr>
          <w:p w14:paraId="74991D68"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310A26DA"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6D814DA3" w14:textId="77777777" w:rsidR="00000000" w:rsidRDefault="00195E73">
            <w:pPr>
              <w:jc w:val="right"/>
              <w:rPr>
                <w:rFonts w:eastAsia="Times New Roman"/>
              </w:rPr>
            </w:pPr>
          </w:p>
        </w:tc>
        <w:tc>
          <w:tcPr>
            <w:tcW w:w="0" w:type="auto"/>
            <w:gridSpan w:val="3"/>
            <w:vAlign w:val="center"/>
            <w:hideMark/>
          </w:tcPr>
          <w:p w14:paraId="148C5B41" w14:textId="77777777" w:rsidR="00000000" w:rsidRDefault="00195E73">
            <w:pPr>
              <w:rPr>
                <w:rFonts w:eastAsia="Times New Roman"/>
                <w:sz w:val="20"/>
                <w:szCs w:val="20"/>
              </w:rPr>
            </w:pPr>
          </w:p>
        </w:tc>
        <w:tc>
          <w:tcPr>
            <w:tcW w:w="0" w:type="auto"/>
            <w:gridSpan w:val="3"/>
            <w:vAlign w:val="center"/>
            <w:hideMark/>
          </w:tcPr>
          <w:p w14:paraId="67959BF6" w14:textId="77777777" w:rsidR="00000000" w:rsidRDefault="00195E73">
            <w:pPr>
              <w:rPr>
                <w:rFonts w:eastAsia="Times New Roman"/>
                <w:sz w:val="20"/>
                <w:szCs w:val="20"/>
              </w:rPr>
            </w:pPr>
          </w:p>
        </w:tc>
        <w:tc>
          <w:tcPr>
            <w:tcW w:w="0" w:type="auto"/>
            <w:gridSpan w:val="3"/>
            <w:vAlign w:val="center"/>
            <w:hideMark/>
          </w:tcPr>
          <w:p w14:paraId="718D13EA" w14:textId="77777777" w:rsidR="00000000" w:rsidRDefault="00195E73">
            <w:pPr>
              <w:rPr>
                <w:rFonts w:eastAsia="Times New Roman"/>
                <w:sz w:val="20"/>
                <w:szCs w:val="20"/>
              </w:rPr>
            </w:pPr>
          </w:p>
        </w:tc>
        <w:tc>
          <w:tcPr>
            <w:tcW w:w="0" w:type="auto"/>
            <w:gridSpan w:val="3"/>
            <w:vAlign w:val="center"/>
            <w:hideMark/>
          </w:tcPr>
          <w:p w14:paraId="4C41F942" w14:textId="77777777" w:rsidR="00000000" w:rsidRDefault="00195E73">
            <w:pPr>
              <w:rPr>
                <w:rFonts w:eastAsia="Times New Roman"/>
                <w:sz w:val="20"/>
                <w:szCs w:val="20"/>
              </w:rPr>
            </w:pPr>
          </w:p>
        </w:tc>
        <w:tc>
          <w:tcPr>
            <w:tcW w:w="0" w:type="auto"/>
            <w:gridSpan w:val="3"/>
            <w:vAlign w:val="center"/>
            <w:hideMark/>
          </w:tcPr>
          <w:p w14:paraId="1A043F8E" w14:textId="77777777" w:rsidR="00000000" w:rsidRDefault="00195E73">
            <w:pPr>
              <w:rPr>
                <w:rFonts w:eastAsia="Times New Roman"/>
                <w:sz w:val="20"/>
                <w:szCs w:val="20"/>
              </w:rPr>
            </w:pPr>
          </w:p>
        </w:tc>
        <w:tc>
          <w:tcPr>
            <w:tcW w:w="0" w:type="auto"/>
            <w:gridSpan w:val="3"/>
            <w:vAlign w:val="center"/>
            <w:hideMark/>
          </w:tcPr>
          <w:p w14:paraId="3006F79D" w14:textId="77777777" w:rsidR="00000000" w:rsidRDefault="00195E73">
            <w:pPr>
              <w:rPr>
                <w:rFonts w:eastAsia="Times New Roman"/>
                <w:sz w:val="20"/>
                <w:szCs w:val="20"/>
              </w:rPr>
            </w:pPr>
          </w:p>
        </w:tc>
        <w:tc>
          <w:tcPr>
            <w:tcW w:w="0" w:type="auto"/>
            <w:gridSpan w:val="3"/>
            <w:vAlign w:val="center"/>
            <w:hideMark/>
          </w:tcPr>
          <w:p w14:paraId="16561163" w14:textId="77777777" w:rsidR="00000000" w:rsidRDefault="00195E73">
            <w:pPr>
              <w:rPr>
                <w:rFonts w:eastAsia="Times New Roman"/>
                <w:sz w:val="20"/>
                <w:szCs w:val="20"/>
              </w:rPr>
            </w:pPr>
          </w:p>
        </w:tc>
      </w:tr>
      <w:tr w:rsidR="00000000" w14:paraId="0D1B211B" w14:textId="77777777">
        <w:trPr>
          <w:divId w:val="1979872608"/>
          <w:jc w:val="center"/>
        </w:trPr>
        <w:tc>
          <w:tcPr>
            <w:tcW w:w="0" w:type="auto"/>
            <w:gridSpan w:val="3"/>
            <w:shd w:val="clear" w:color="auto" w:fill="CCEEFF"/>
            <w:tcMar>
              <w:top w:w="30" w:type="dxa"/>
              <w:left w:w="20" w:type="dxa"/>
              <w:bottom w:w="30" w:type="dxa"/>
              <w:right w:w="20" w:type="dxa"/>
            </w:tcMar>
            <w:vAlign w:val="bottom"/>
            <w:hideMark/>
          </w:tcPr>
          <w:p w14:paraId="4FA2E70E" w14:textId="77777777" w:rsidR="00000000" w:rsidRDefault="00195E73">
            <w:pPr>
              <w:rPr>
                <w:rFonts w:eastAsia="Times New Roman"/>
              </w:rPr>
            </w:pPr>
            <w:r>
              <w:rPr>
                <w:rFonts w:eastAsia="Times New Roman"/>
                <w:b/>
                <w:bCs/>
                <w:color w:val="000000"/>
                <w:sz w:val="18"/>
                <w:szCs w:val="18"/>
              </w:rPr>
              <w:t>Balance, December 31, 201</w:t>
            </w:r>
            <w:r>
              <w:rPr>
                <w:rFonts w:eastAsia="Times New Roman"/>
                <w:b/>
                <w:bCs/>
                <w:color w:val="000000"/>
                <w:sz w:val="18"/>
                <w:szCs w:val="18"/>
              </w:rPr>
              <w:t>6</w:t>
            </w:r>
          </w:p>
        </w:tc>
        <w:tc>
          <w:tcPr>
            <w:tcW w:w="0" w:type="auto"/>
            <w:shd w:val="clear" w:color="auto" w:fill="CCEEFF"/>
            <w:tcMar>
              <w:top w:w="30" w:type="dxa"/>
              <w:left w:w="20" w:type="dxa"/>
              <w:bottom w:w="30" w:type="dxa"/>
              <w:right w:w="15" w:type="dxa"/>
            </w:tcMar>
            <w:vAlign w:val="bottom"/>
            <w:hideMark/>
          </w:tcPr>
          <w:p w14:paraId="3786EAAA"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4DE548C9" w14:textId="77777777" w:rsidR="00000000" w:rsidRDefault="00195E73">
            <w:pPr>
              <w:jc w:val="right"/>
              <w:rPr>
                <w:rFonts w:eastAsia="Times New Roman"/>
              </w:rPr>
            </w:pPr>
            <w:r>
              <w:rPr>
                <w:rFonts w:eastAsia="Times New Roman"/>
                <w:color w:val="000000"/>
                <w:sz w:val="18"/>
                <w:szCs w:val="18"/>
              </w:rPr>
              <w:t>(316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7026165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034FBB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BA8DD12"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6835A340" w14:textId="77777777" w:rsidR="00000000" w:rsidRDefault="00195E73">
            <w:pPr>
              <w:jc w:val="right"/>
              <w:rPr>
                <w:rFonts w:eastAsia="Times New Roman"/>
              </w:rPr>
            </w:pPr>
            <w:r>
              <w:rPr>
                <w:rFonts w:eastAsia="Times New Roman"/>
                <w:color w:val="000000"/>
                <w:sz w:val="18"/>
                <w:szCs w:val="18"/>
              </w:rPr>
              <w:t>2,533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CC4C0C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325855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17920A9"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7EE6ED39" w14:textId="77777777" w:rsidR="00000000" w:rsidRDefault="00195E73">
            <w:pPr>
              <w:jc w:val="right"/>
              <w:rPr>
                <w:rFonts w:eastAsia="Times New Roman"/>
              </w:rPr>
            </w:pPr>
            <w:r>
              <w:rPr>
                <w:rFonts w:eastAsia="Times New Roman"/>
                <w:color w:val="000000"/>
                <w:sz w:val="18"/>
                <w:szCs w:val="18"/>
              </w:rPr>
              <w:t>2,217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C27B13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9C79C6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9C6C44D"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79658500" w14:textId="77777777" w:rsidR="00000000" w:rsidRDefault="00195E73">
            <w:pPr>
              <w:jc w:val="right"/>
              <w:rPr>
                <w:rFonts w:eastAsia="Times New Roman"/>
              </w:rPr>
            </w:pPr>
            <w:r>
              <w:rPr>
                <w:rFonts w:eastAsia="Times New Roman"/>
                <w:color w:val="000000"/>
                <w:sz w:val="18"/>
                <w:szCs w:val="18"/>
              </w:rPr>
              <w:t>5,902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6AC58B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CD37CB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863EFA4"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6CED2FC8" w14:textId="77777777" w:rsidR="00000000" w:rsidRDefault="00195E73">
            <w:pPr>
              <w:jc w:val="right"/>
              <w:rPr>
                <w:rFonts w:eastAsia="Times New Roman"/>
              </w:rPr>
            </w:pPr>
            <w:r>
              <w:rPr>
                <w:rFonts w:eastAsia="Times New Roman"/>
                <w:color w:val="000000"/>
                <w:sz w:val="18"/>
                <w:szCs w:val="18"/>
              </w:rPr>
              <w:t>8,119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24EF740"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0A704C29" w14:textId="77777777" w:rsidR="00000000" w:rsidRDefault="00195E73">
            <w:pPr>
              <w:rPr>
                <w:rFonts w:eastAsia="Times New Roman"/>
                <w:sz w:val="20"/>
                <w:szCs w:val="20"/>
              </w:rPr>
            </w:pPr>
          </w:p>
        </w:tc>
        <w:tc>
          <w:tcPr>
            <w:tcW w:w="0" w:type="auto"/>
            <w:vAlign w:val="center"/>
            <w:hideMark/>
          </w:tcPr>
          <w:p w14:paraId="112688AE" w14:textId="77777777" w:rsidR="00000000" w:rsidRDefault="00195E73">
            <w:pPr>
              <w:rPr>
                <w:rFonts w:eastAsia="Times New Roman"/>
                <w:sz w:val="20"/>
                <w:szCs w:val="20"/>
              </w:rPr>
            </w:pPr>
          </w:p>
        </w:tc>
        <w:tc>
          <w:tcPr>
            <w:tcW w:w="0" w:type="auto"/>
            <w:vAlign w:val="center"/>
            <w:hideMark/>
          </w:tcPr>
          <w:p w14:paraId="0E562F24" w14:textId="77777777" w:rsidR="00000000" w:rsidRDefault="00195E73">
            <w:pPr>
              <w:rPr>
                <w:rFonts w:eastAsia="Times New Roman"/>
                <w:sz w:val="20"/>
                <w:szCs w:val="20"/>
              </w:rPr>
            </w:pPr>
          </w:p>
        </w:tc>
        <w:tc>
          <w:tcPr>
            <w:tcW w:w="0" w:type="auto"/>
            <w:vAlign w:val="center"/>
            <w:hideMark/>
          </w:tcPr>
          <w:p w14:paraId="1B5B26D6" w14:textId="77777777" w:rsidR="00000000" w:rsidRDefault="00195E73">
            <w:pPr>
              <w:rPr>
                <w:rFonts w:eastAsia="Times New Roman"/>
                <w:sz w:val="20"/>
                <w:szCs w:val="20"/>
              </w:rPr>
            </w:pPr>
          </w:p>
        </w:tc>
        <w:tc>
          <w:tcPr>
            <w:tcW w:w="0" w:type="auto"/>
            <w:vAlign w:val="center"/>
            <w:hideMark/>
          </w:tcPr>
          <w:p w14:paraId="12EDA069" w14:textId="77777777" w:rsidR="00000000" w:rsidRDefault="00195E73">
            <w:pPr>
              <w:rPr>
                <w:rFonts w:eastAsia="Times New Roman"/>
                <w:sz w:val="20"/>
                <w:szCs w:val="20"/>
              </w:rPr>
            </w:pPr>
          </w:p>
        </w:tc>
        <w:tc>
          <w:tcPr>
            <w:tcW w:w="0" w:type="auto"/>
            <w:vAlign w:val="center"/>
            <w:hideMark/>
          </w:tcPr>
          <w:p w14:paraId="412F8641" w14:textId="77777777" w:rsidR="00000000" w:rsidRDefault="00195E73">
            <w:pPr>
              <w:rPr>
                <w:rFonts w:eastAsia="Times New Roman"/>
                <w:sz w:val="20"/>
                <w:szCs w:val="20"/>
              </w:rPr>
            </w:pPr>
          </w:p>
        </w:tc>
        <w:tc>
          <w:tcPr>
            <w:tcW w:w="0" w:type="auto"/>
            <w:vAlign w:val="center"/>
            <w:hideMark/>
          </w:tcPr>
          <w:p w14:paraId="573E4899" w14:textId="77777777" w:rsidR="00000000" w:rsidRDefault="00195E73">
            <w:pPr>
              <w:rPr>
                <w:rFonts w:eastAsia="Times New Roman"/>
                <w:sz w:val="20"/>
                <w:szCs w:val="20"/>
              </w:rPr>
            </w:pPr>
          </w:p>
        </w:tc>
        <w:tc>
          <w:tcPr>
            <w:tcW w:w="0" w:type="auto"/>
            <w:vAlign w:val="center"/>
            <w:hideMark/>
          </w:tcPr>
          <w:p w14:paraId="0B73FF62" w14:textId="77777777" w:rsidR="00000000" w:rsidRDefault="00195E73">
            <w:pPr>
              <w:rPr>
                <w:rFonts w:eastAsia="Times New Roman"/>
                <w:sz w:val="20"/>
                <w:szCs w:val="20"/>
              </w:rPr>
            </w:pPr>
          </w:p>
        </w:tc>
        <w:tc>
          <w:tcPr>
            <w:tcW w:w="0" w:type="auto"/>
            <w:vAlign w:val="center"/>
            <w:hideMark/>
          </w:tcPr>
          <w:p w14:paraId="7C19185B" w14:textId="77777777" w:rsidR="00000000" w:rsidRDefault="00195E73">
            <w:pPr>
              <w:rPr>
                <w:rFonts w:eastAsia="Times New Roman"/>
                <w:sz w:val="20"/>
                <w:szCs w:val="20"/>
              </w:rPr>
            </w:pPr>
          </w:p>
        </w:tc>
        <w:tc>
          <w:tcPr>
            <w:tcW w:w="0" w:type="auto"/>
            <w:vAlign w:val="center"/>
            <w:hideMark/>
          </w:tcPr>
          <w:p w14:paraId="69C85F61" w14:textId="77777777" w:rsidR="00000000" w:rsidRDefault="00195E73">
            <w:pPr>
              <w:rPr>
                <w:rFonts w:eastAsia="Times New Roman"/>
                <w:sz w:val="20"/>
                <w:szCs w:val="20"/>
              </w:rPr>
            </w:pPr>
          </w:p>
        </w:tc>
        <w:tc>
          <w:tcPr>
            <w:tcW w:w="0" w:type="auto"/>
            <w:vAlign w:val="center"/>
            <w:hideMark/>
          </w:tcPr>
          <w:p w14:paraId="4700040C" w14:textId="77777777" w:rsidR="00000000" w:rsidRDefault="00195E73">
            <w:pPr>
              <w:rPr>
                <w:rFonts w:eastAsia="Times New Roman"/>
                <w:sz w:val="20"/>
                <w:szCs w:val="20"/>
              </w:rPr>
            </w:pPr>
          </w:p>
        </w:tc>
        <w:tc>
          <w:tcPr>
            <w:tcW w:w="0" w:type="auto"/>
            <w:vAlign w:val="center"/>
            <w:hideMark/>
          </w:tcPr>
          <w:p w14:paraId="66A82B35" w14:textId="77777777" w:rsidR="00000000" w:rsidRDefault="00195E73">
            <w:pPr>
              <w:rPr>
                <w:rFonts w:eastAsia="Times New Roman"/>
                <w:sz w:val="20"/>
                <w:szCs w:val="20"/>
              </w:rPr>
            </w:pPr>
          </w:p>
        </w:tc>
        <w:tc>
          <w:tcPr>
            <w:tcW w:w="0" w:type="auto"/>
            <w:vAlign w:val="center"/>
            <w:hideMark/>
          </w:tcPr>
          <w:p w14:paraId="5C8E6AD7" w14:textId="77777777" w:rsidR="00000000" w:rsidRDefault="00195E73">
            <w:pPr>
              <w:rPr>
                <w:rFonts w:eastAsia="Times New Roman"/>
                <w:sz w:val="20"/>
                <w:szCs w:val="20"/>
              </w:rPr>
            </w:pPr>
          </w:p>
        </w:tc>
        <w:tc>
          <w:tcPr>
            <w:tcW w:w="0" w:type="auto"/>
            <w:vAlign w:val="center"/>
            <w:hideMark/>
          </w:tcPr>
          <w:p w14:paraId="5EA5AB19" w14:textId="77777777" w:rsidR="00000000" w:rsidRDefault="00195E73">
            <w:pPr>
              <w:rPr>
                <w:rFonts w:eastAsia="Times New Roman"/>
                <w:sz w:val="20"/>
                <w:szCs w:val="20"/>
              </w:rPr>
            </w:pPr>
          </w:p>
        </w:tc>
        <w:tc>
          <w:tcPr>
            <w:tcW w:w="0" w:type="auto"/>
            <w:vAlign w:val="center"/>
            <w:hideMark/>
          </w:tcPr>
          <w:p w14:paraId="14A1B4A1" w14:textId="77777777" w:rsidR="00000000" w:rsidRDefault="00195E73">
            <w:pPr>
              <w:rPr>
                <w:rFonts w:eastAsia="Times New Roman"/>
                <w:sz w:val="20"/>
                <w:szCs w:val="20"/>
              </w:rPr>
            </w:pPr>
          </w:p>
        </w:tc>
        <w:tc>
          <w:tcPr>
            <w:tcW w:w="0" w:type="auto"/>
            <w:vAlign w:val="center"/>
            <w:hideMark/>
          </w:tcPr>
          <w:p w14:paraId="1A9B3019" w14:textId="77777777" w:rsidR="00000000" w:rsidRDefault="00195E73">
            <w:pPr>
              <w:rPr>
                <w:rFonts w:eastAsia="Times New Roman"/>
                <w:sz w:val="20"/>
                <w:szCs w:val="20"/>
              </w:rPr>
            </w:pPr>
          </w:p>
        </w:tc>
        <w:tc>
          <w:tcPr>
            <w:tcW w:w="0" w:type="auto"/>
            <w:vAlign w:val="center"/>
            <w:hideMark/>
          </w:tcPr>
          <w:p w14:paraId="4E90FDFB" w14:textId="77777777" w:rsidR="00000000" w:rsidRDefault="00195E73">
            <w:pPr>
              <w:rPr>
                <w:rFonts w:eastAsia="Times New Roman"/>
                <w:sz w:val="20"/>
                <w:szCs w:val="20"/>
              </w:rPr>
            </w:pPr>
          </w:p>
        </w:tc>
        <w:tc>
          <w:tcPr>
            <w:tcW w:w="0" w:type="auto"/>
            <w:vAlign w:val="center"/>
            <w:hideMark/>
          </w:tcPr>
          <w:p w14:paraId="2B6C6A4A" w14:textId="77777777" w:rsidR="00000000" w:rsidRDefault="00195E73">
            <w:pPr>
              <w:rPr>
                <w:rFonts w:eastAsia="Times New Roman"/>
                <w:sz w:val="20"/>
                <w:szCs w:val="20"/>
              </w:rPr>
            </w:pPr>
          </w:p>
        </w:tc>
        <w:tc>
          <w:tcPr>
            <w:tcW w:w="0" w:type="auto"/>
            <w:vAlign w:val="center"/>
            <w:hideMark/>
          </w:tcPr>
          <w:p w14:paraId="79366621" w14:textId="77777777" w:rsidR="00000000" w:rsidRDefault="00195E73">
            <w:pPr>
              <w:rPr>
                <w:rFonts w:eastAsia="Times New Roman"/>
                <w:sz w:val="20"/>
                <w:szCs w:val="20"/>
              </w:rPr>
            </w:pPr>
          </w:p>
        </w:tc>
        <w:tc>
          <w:tcPr>
            <w:tcW w:w="0" w:type="auto"/>
            <w:vAlign w:val="center"/>
            <w:hideMark/>
          </w:tcPr>
          <w:p w14:paraId="36F90A9B" w14:textId="77777777" w:rsidR="00000000" w:rsidRDefault="00195E73">
            <w:pPr>
              <w:rPr>
                <w:rFonts w:eastAsia="Times New Roman"/>
                <w:sz w:val="20"/>
                <w:szCs w:val="20"/>
              </w:rPr>
            </w:pPr>
          </w:p>
        </w:tc>
        <w:tc>
          <w:tcPr>
            <w:tcW w:w="0" w:type="auto"/>
            <w:vAlign w:val="center"/>
            <w:hideMark/>
          </w:tcPr>
          <w:p w14:paraId="0B18B7A6" w14:textId="77777777" w:rsidR="00000000" w:rsidRDefault="00195E73">
            <w:pPr>
              <w:rPr>
                <w:rFonts w:eastAsia="Times New Roman"/>
                <w:sz w:val="20"/>
                <w:szCs w:val="20"/>
              </w:rPr>
            </w:pPr>
          </w:p>
        </w:tc>
        <w:tc>
          <w:tcPr>
            <w:tcW w:w="0" w:type="auto"/>
            <w:vAlign w:val="center"/>
            <w:hideMark/>
          </w:tcPr>
          <w:p w14:paraId="4E4A1EE4" w14:textId="77777777" w:rsidR="00000000" w:rsidRDefault="00195E73">
            <w:pPr>
              <w:rPr>
                <w:rFonts w:eastAsia="Times New Roman"/>
                <w:sz w:val="20"/>
                <w:szCs w:val="20"/>
              </w:rPr>
            </w:pPr>
          </w:p>
        </w:tc>
        <w:tc>
          <w:tcPr>
            <w:tcW w:w="0" w:type="auto"/>
            <w:vAlign w:val="center"/>
            <w:hideMark/>
          </w:tcPr>
          <w:p w14:paraId="0C8FE487" w14:textId="77777777" w:rsidR="00000000" w:rsidRDefault="00195E73">
            <w:pPr>
              <w:rPr>
                <w:rFonts w:eastAsia="Times New Roman"/>
                <w:sz w:val="20"/>
                <w:szCs w:val="20"/>
              </w:rPr>
            </w:pPr>
          </w:p>
        </w:tc>
        <w:tc>
          <w:tcPr>
            <w:tcW w:w="0" w:type="auto"/>
            <w:vAlign w:val="center"/>
            <w:hideMark/>
          </w:tcPr>
          <w:p w14:paraId="073EBE67" w14:textId="77777777" w:rsidR="00000000" w:rsidRDefault="00195E73">
            <w:pPr>
              <w:rPr>
                <w:rFonts w:eastAsia="Times New Roman"/>
                <w:sz w:val="20"/>
                <w:szCs w:val="20"/>
              </w:rPr>
            </w:pPr>
          </w:p>
        </w:tc>
      </w:tr>
      <w:tr w:rsidR="00000000" w14:paraId="781431F8" w14:textId="77777777">
        <w:trPr>
          <w:divId w:val="1979872608"/>
          <w:jc w:val="center"/>
        </w:trPr>
        <w:tc>
          <w:tcPr>
            <w:tcW w:w="0" w:type="auto"/>
            <w:gridSpan w:val="3"/>
            <w:shd w:val="clear" w:color="auto" w:fill="FFFFFF"/>
            <w:tcMar>
              <w:top w:w="30" w:type="dxa"/>
              <w:left w:w="20" w:type="dxa"/>
              <w:bottom w:w="30" w:type="dxa"/>
              <w:right w:w="20" w:type="dxa"/>
            </w:tcMar>
            <w:vAlign w:val="bottom"/>
            <w:hideMark/>
          </w:tcPr>
          <w:p w14:paraId="64D1B850" w14:textId="77777777" w:rsidR="00000000" w:rsidRDefault="00195E73">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14:paraId="5C98B50B" w14:textId="77777777" w:rsidR="00000000" w:rsidRDefault="00195E73">
            <w:pPr>
              <w:jc w:val="right"/>
              <w:rPr>
                <w:rFonts w:eastAsia="Times New Roman"/>
              </w:rPr>
            </w:pPr>
            <w:r>
              <w:rPr>
                <w:rFonts w:eastAsia="Times New Roman"/>
                <w:color w:val="000000"/>
                <w:sz w:val="18"/>
                <w:szCs w:val="18"/>
              </w:rPr>
              <w:t>25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9665AF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6BD564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A3CEBC" w14:textId="77777777" w:rsidR="00000000" w:rsidRDefault="00195E73">
            <w:pPr>
              <w:jc w:val="right"/>
              <w:rPr>
                <w:rFonts w:eastAsia="Times New Roman"/>
              </w:rPr>
            </w:pPr>
            <w:r>
              <w:rPr>
                <w:rFonts w:eastAsia="Times New Roman"/>
                <w:color w:val="000000"/>
                <w:sz w:val="18"/>
                <w:szCs w:val="18"/>
              </w:rPr>
              <w:t>2,431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F3F068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FEAF34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833958" w14:textId="77777777" w:rsidR="00000000" w:rsidRDefault="00195E73">
            <w:pPr>
              <w:jc w:val="right"/>
              <w:rPr>
                <w:rFonts w:eastAsia="Times New Roman"/>
              </w:rPr>
            </w:pPr>
            <w:r>
              <w:rPr>
                <w:rFonts w:eastAsia="Times New Roman"/>
                <w:color w:val="000000"/>
                <w:sz w:val="18"/>
                <w:szCs w:val="18"/>
              </w:rPr>
              <w:t>2,456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C3B9CF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600975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BA39F9" w14:textId="77777777" w:rsidR="00000000" w:rsidRDefault="00195E73">
            <w:pPr>
              <w:jc w:val="right"/>
              <w:rPr>
                <w:rFonts w:eastAsia="Times New Roman"/>
              </w:rPr>
            </w:pPr>
            <w:r>
              <w:rPr>
                <w:rFonts w:eastAsia="Times New Roman"/>
                <w:color w:val="000000"/>
                <w:sz w:val="18"/>
                <w:szCs w:val="18"/>
              </w:rPr>
              <w:t>178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64ED1B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8D0EFB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881D56" w14:textId="77777777" w:rsidR="00000000" w:rsidRDefault="00195E73">
            <w:pPr>
              <w:jc w:val="right"/>
              <w:rPr>
                <w:rFonts w:eastAsia="Times New Roman"/>
              </w:rPr>
            </w:pPr>
            <w:r>
              <w:rPr>
                <w:rFonts w:eastAsia="Times New Roman"/>
                <w:color w:val="000000"/>
                <w:sz w:val="18"/>
                <w:szCs w:val="18"/>
              </w:rPr>
              <w:t>2,634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ADA4363"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1257E9F6" w14:textId="77777777" w:rsidR="00000000" w:rsidRDefault="00195E73">
            <w:pPr>
              <w:rPr>
                <w:rFonts w:eastAsia="Times New Roman"/>
                <w:sz w:val="20"/>
                <w:szCs w:val="20"/>
              </w:rPr>
            </w:pPr>
          </w:p>
        </w:tc>
        <w:tc>
          <w:tcPr>
            <w:tcW w:w="0" w:type="auto"/>
            <w:vAlign w:val="center"/>
            <w:hideMark/>
          </w:tcPr>
          <w:p w14:paraId="51B7304C" w14:textId="77777777" w:rsidR="00000000" w:rsidRDefault="00195E73">
            <w:pPr>
              <w:rPr>
                <w:rFonts w:eastAsia="Times New Roman"/>
                <w:sz w:val="20"/>
                <w:szCs w:val="20"/>
              </w:rPr>
            </w:pPr>
          </w:p>
        </w:tc>
        <w:tc>
          <w:tcPr>
            <w:tcW w:w="0" w:type="auto"/>
            <w:vAlign w:val="center"/>
            <w:hideMark/>
          </w:tcPr>
          <w:p w14:paraId="7BC4BAB5" w14:textId="77777777" w:rsidR="00000000" w:rsidRDefault="00195E73">
            <w:pPr>
              <w:rPr>
                <w:rFonts w:eastAsia="Times New Roman"/>
                <w:sz w:val="20"/>
                <w:szCs w:val="20"/>
              </w:rPr>
            </w:pPr>
          </w:p>
        </w:tc>
        <w:tc>
          <w:tcPr>
            <w:tcW w:w="0" w:type="auto"/>
            <w:vAlign w:val="center"/>
            <w:hideMark/>
          </w:tcPr>
          <w:p w14:paraId="453BAF8F" w14:textId="77777777" w:rsidR="00000000" w:rsidRDefault="00195E73">
            <w:pPr>
              <w:rPr>
                <w:rFonts w:eastAsia="Times New Roman"/>
                <w:sz w:val="20"/>
                <w:szCs w:val="20"/>
              </w:rPr>
            </w:pPr>
          </w:p>
        </w:tc>
        <w:tc>
          <w:tcPr>
            <w:tcW w:w="0" w:type="auto"/>
            <w:vAlign w:val="center"/>
            <w:hideMark/>
          </w:tcPr>
          <w:p w14:paraId="1DCAD9E4" w14:textId="77777777" w:rsidR="00000000" w:rsidRDefault="00195E73">
            <w:pPr>
              <w:rPr>
                <w:rFonts w:eastAsia="Times New Roman"/>
                <w:sz w:val="20"/>
                <w:szCs w:val="20"/>
              </w:rPr>
            </w:pPr>
          </w:p>
        </w:tc>
        <w:tc>
          <w:tcPr>
            <w:tcW w:w="0" w:type="auto"/>
            <w:vAlign w:val="center"/>
            <w:hideMark/>
          </w:tcPr>
          <w:p w14:paraId="0A15CA9C" w14:textId="77777777" w:rsidR="00000000" w:rsidRDefault="00195E73">
            <w:pPr>
              <w:rPr>
                <w:rFonts w:eastAsia="Times New Roman"/>
                <w:sz w:val="20"/>
                <w:szCs w:val="20"/>
              </w:rPr>
            </w:pPr>
          </w:p>
        </w:tc>
        <w:tc>
          <w:tcPr>
            <w:tcW w:w="0" w:type="auto"/>
            <w:vAlign w:val="center"/>
            <w:hideMark/>
          </w:tcPr>
          <w:p w14:paraId="010A80CB" w14:textId="77777777" w:rsidR="00000000" w:rsidRDefault="00195E73">
            <w:pPr>
              <w:rPr>
                <w:rFonts w:eastAsia="Times New Roman"/>
                <w:sz w:val="20"/>
                <w:szCs w:val="20"/>
              </w:rPr>
            </w:pPr>
          </w:p>
        </w:tc>
        <w:tc>
          <w:tcPr>
            <w:tcW w:w="0" w:type="auto"/>
            <w:vAlign w:val="center"/>
            <w:hideMark/>
          </w:tcPr>
          <w:p w14:paraId="0AFB8F1E" w14:textId="77777777" w:rsidR="00000000" w:rsidRDefault="00195E73">
            <w:pPr>
              <w:rPr>
                <w:rFonts w:eastAsia="Times New Roman"/>
                <w:sz w:val="20"/>
                <w:szCs w:val="20"/>
              </w:rPr>
            </w:pPr>
          </w:p>
        </w:tc>
        <w:tc>
          <w:tcPr>
            <w:tcW w:w="0" w:type="auto"/>
            <w:vAlign w:val="center"/>
            <w:hideMark/>
          </w:tcPr>
          <w:p w14:paraId="6FAE1B2F" w14:textId="77777777" w:rsidR="00000000" w:rsidRDefault="00195E73">
            <w:pPr>
              <w:rPr>
                <w:rFonts w:eastAsia="Times New Roman"/>
                <w:sz w:val="20"/>
                <w:szCs w:val="20"/>
              </w:rPr>
            </w:pPr>
          </w:p>
        </w:tc>
        <w:tc>
          <w:tcPr>
            <w:tcW w:w="0" w:type="auto"/>
            <w:vAlign w:val="center"/>
            <w:hideMark/>
          </w:tcPr>
          <w:p w14:paraId="0555C2A4" w14:textId="77777777" w:rsidR="00000000" w:rsidRDefault="00195E73">
            <w:pPr>
              <w:rPr>
                <w:rFonts w:eastAsia="Times New Roman"/>
                <w:sz w:val="20"/>
                <w:szCs w:val="20"/>
              </w:rPr>
            </w:pPr>
          </w:p>
        </w:tc>
        <w:tc>
          <w:tcPr>
            <w:tcW w:w="0" w:type="auto"/>
            <w:vAlign w:val="center"/>
            <w:hideMark/>
          </w:tcPr>
          <w:p w14:paraId="4618C04E" w14:textId="77777777" w:rsidR="00000000" w:rsidRDefault="00195E73">
            <w:pPr>
              <w:rPr>
                <w:rFonts w:eastAsia="Times New Roman"/>
                <w:sz w:val="20"/>
                <w:szCs w:val="20"/>
              </w:rPr>
            </w:pPr>
          </w:p>
        </w:tc>
        <w:tc>
          <w:tcPr>
            <w:tcW w:w="0" w:type="auto"/>
            <w:vAlign w:val="center"/>
            <w:hideMark/>
          </w:tcPr>
          <w:p w14:paraId="3E96490D" w14:textId="77777777" w:rsidR="00000000" w:rsidRDefault="00195E73">
            <w:pPr>
              <w:rPr>
                <w:rFonts w:eastAsia="Times New Roman"/>
                <w:sz w:val="20"/>
                <w:szCs w:val="20"/>
              </w:rPr>
            </w:pPr>
          </w:p>
        </w:tc>
        <w:tc>
          <w:tcPr>
            <w:tcW w:w="0" w:type="auto"/>
            <w:vAlign w:val="center"/>
            <w:hideMark/>
          </w:tcPr>
          <w:p w14:paraId="267D53F6" w14:textId="77777777" w:rsidR="00000000" w:rsidRDefault="00195E73">
            <w:pPr>
              <w:rPr>
                <w:rFonts w:eastAsia="Times New Roman"/>
                <w:sz w:val="20"/>
                <w:szCs w:val="20"/>
              </w:rPr>
            </w:pPr>
          </w:p>
        </w:tc>
        <w:tc>
          <w:tcPr>
            <w:tcW w:w="0" w:type="auto"/>
            <w:vAlign w:val="center"/>
            <w:hideMark/>
          </w:tcPr>
          <w:p w14:paraId="310ACED9" w14:textId="77777777" w:rsidR="00000000" w:rsidRDefault="00195E73">
            <w:pPr>
              <w:rPr>
                <w:rFonts w:eastAsia="Times New Roman"/>
                <w:sz w:val="20"/>
                <w:szCs w:val="20"/>
              </w:rPr>
            </w:pPr>
          </w:p>
        </w:tc>
        <w:tc>
          <w:tcPr>
            <w:tcW w:w="0" w:type="auto"/>
            <w:vAlign w:val="center"/>
            <w:hideMark/>
          </w:tcPr>
          <w:p w14:paraId="06AE2371" w14:textId="77777777" w:rsidR="00000000" w:rsidRDefault="00195E73">
            <w:pPr>
              <w:rPr>
                <w:rFonts w:eastAsia="Times New Roman"/>
                <w:sz w:val="20"/>
                <w:szCs w:val="20"/>
              </w:rPr>
            </w:pPr>
          </w:p>
        </w:tc>
        <w:tc>
          <w:tcPr>
            <w:tcW w:w="0" w:type="auto"/>
            <w:vAlign w:val="center"/>
            <w:hideMark/>
          </w:tcPr>
          <w:p w14:paraId="619259E6" w14:textId="77777777" w:rsidR="00000000" w:rsidRDefault="00195E73">
            <w:pPr>
              <w:rPr>
                <w:rFonts w:eastAsia="Times New Roman"/>
                <w:sz w:val="20"/>
                <w:szCs w:val="20"/>
              </w:rPr>
            </w:pPr>
          </w:p>
        </w:tc>
        <w:tc>
          <w:tcPr>
            <w:tcW w:w="0" w:type="auto"/>
            <w:vAlign w:val="center"/>
            <w:hideMark/>
          </w:tcPr>
          <w:p w14:paraId="468FC111" w14:textId="77777777" w:rsidR="00000000" w:rsidRDefault="00195E73">
            <w:pPr>
              <w:rPr>
                <w:rFonts w:eastAsia="Times New Roman"/>
                <w:sz w:val="20"/>
                <w:szCs w:val="20"/>
              </w:rPr>
            </w:pPr>
          </w:p>
        </w:tc>
        <w:tc>
          <w:tcPr>
            <w:tcW w:w="0" w:type="auto"/>
            <w:vAlign w:val="center"/>
            <w:hideMark/>
          </w:tcPr>
          <w:p w14:paraId="13EE9454" w14:textId="77777777" w:rsidR="00000000" w:rsidRDefault="00195E73">
            <w:pPr>
              <w:rPr>
                <w:rFonts w:eastAsia="Times New Roman"/>
                <w:sz w:val="20"/>
                <w:szCs w:val="20"/>
              </w:rPr>
            </w:pPr>
          </w:p>
        </w:tc>
        <w:tc>
          <w:tcPr>
            <w:tcW w:w="0" w:type="auto"/>
            <w:vAlign w:val="center"/>
            <w:hideMark/>
          </w:tcPr>
          <w:p w14:paraId="42BD0440" w14:textId="77777777" w:rsidR="00000000" w:rsidRDefault="00195E73">
            <w:pPr>
              <w:rPr>
                <w:rFonts w:eastAsia="Times New Roman"/>
                <w:sz w:val="20"/>
                <w:szCs w:val="20"/>
              </w:rPr>
            </w:pPr>
          </w:p>
        </w:tc>
        <w:tc>
          <w:tcPr>
            <w:tcW w:w="0" w:type="auto"/>
            <w:vAlign w:val="center"/>
            <w:hideMark/>
          </w:tcPr>
          <w:p w14:paraId="6858EBC1" w14:textId="77777777" w:rsidR="00000000" w:rsidRDefault="00195E73">
            <w:pPr>
              <w:rPr>
                <w:rFonts w:eastAsia="Times New Roman"/>
                <w:sz w:val="20"/>
                <w:szCs w:val="20"/>
              </w:rPr>
            </w:pPr>
          </w:p>
        </w:tc>
        <w:tc>
          <w:tcPr>
            <w:tcW w:w="0" w:type="auto"/>
            <w:vAlign w:val="center"/>
            <w:hideMark/>
          </w:tcPr>
          <w:p w14:paraId="36594985" w14:textId="77777777" w:rsidR="00000000" w:rsidRDefault="00195E73">
            <w:pPr>
              <w:rPr>
                <w:rFonts w:eastAsia="Times New Roman"/>
                <w:sz w:val="20"/>
                <w:szCs w:val="20"/>
              </w:rPr>
            </w:pPr>
          </w:p>
        </w:tc>
        <w:tc>
          <w:tcPr>
            <w:tcW w:w="0" w:type="auto"/>
            <w:vAlign w:val="center"/>
            <w:hideMark/>
          </w:tcPr>
          <w:p w14:paraId="1A663734" w14:textId="77777777" w:rsidR="00000000" w:rsidRDefault="00195E73">
            <w:pPr>
              <w:rPr>
                <w:rFonts w:eastAsia="Times New Roman"/>
                <w:sz w:val="20"/>
                <w:szCs w:val="20"/>
              </w:rPr>
            </w:pPr>
          </w:p>
        </w:tc>
        <w:tc>
          <w:tcPr>
            <w:tcW w:w="0" w:type="auto"/>
            <w:vAlign w:val="center"/>
            <w:hideMark/>
          </w:tcPr>
          <w:p w14:paraId="5E608F18" w14:textId="77777777" w:rsidR="00000000" w:rsidRDefault="00195E73">
            <w:pPr>
              <w:rPr>
                <w:rFonts w:eastAsia="Times New Roman"/>
                <w:sz w:val="20"/>
                <w:szCs w:val="20"/>
              </w:rPr>
            </w:pPr>
          </w:p>
        </w:tc>
        <w:tc>
          <w:tcPr>
            <w:tcW w:w="0" w:type="auto"/>
            <w:vAlign w:val="center"/>
            <w:hideMark/>
          </w:tcPr>
          <w:p w14:paraId="395E7751" w14:textId="77777777" w:rsidR="00000000" w:rsidRDefault="00195E73">
            <w:pPr>
              <w:rPr>
                <w:rFonts w:eastAsia="Times New Roman"/>
                <w:sz w:val="20"/>
                <w:szCs w:val="20"/>
              </w:rPr>
            </w:pPr>
          </w:p>
        </w:tc>
      </w:tr>
      <w:tr w:rsidR="00000000" w14:paraId="6A9EE065" w14:textId="77777777">
        <w:trPr>
          <w:divId w:val="1979872608"/>
          <w:jc w:val="center"/>
        </w:trPr>
        <w:tc>
          <w:tcPr>
            <w:tcW w:w="0" w:type="auto"/>
            <w:gridSpan w:val="3"/>
            <w:shd w:val="clear" w:color="auto" w:fill="CCEEFF"/>
            <w:tcMar>
              <w:top w:w="30" w:type="dxa"/>
              <w:left w:w="20" w:type="dxa"/>
              <w:bottom w:w="30" w:type="dxa"/>
              <w:right w:w="20" w:type="dxa"/>
            </w:tcMar>
            <w:vAlign w:val="bottom"/>
            <w:hideMark/>
          </w:tcPr>
          <w:p w14:paraId="39CDE53D" w14:textId="77777777" w:rsidR="00000000" w:rsidRDefault="00195E73">
            <w:pPr>
              <w:rPr>
                <w:rFonts w:eastAsia="Times New Roman"/>
              </w:rPr>
            </w:pPr>
            <w:r>
              <w:rPr>
                <w:rFonts w:eastAsia="Times New Roman"/>
                <w:color w:val="000000"/>
                <w:sz w:val="18"/>
                <w:szCs w:val="18"/>
              </w:rPr>
              <w:t>Other comprehensive incom</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14:paraId="2AE02F9A" w14:textId="77777777" w:rsidR="00000000" w:rsidRDefault="00195E73">
            <w:pPr>
              <w:jc w:val="right"/>
              <w:rPr>
                <w:rFonts w:eastAsia="Times New Roman"/>
              </w:rPr>
            </w:pPr>
            <w:r>
              <w:rPr>
                <w:rFonts w:eastAsia="Times New Roman"/>
                <w:color w:val="000000"/>
                <w:sz w:val="18"/>
                <w:szCs w:val="18"/>
              </w:rPr>
              <w:t>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58EE3A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5BFC30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A8A84D" w14:textId="77777777" w:rsidR="00000000" w:rsidRDefault="00195E73">
            <w:pPr>
              <w:jc w:val="right"/>
              <w:rPr>
                <w:rFonts w:eastAsia="Times New Roman"/>
              </w:rPr>
            </w:pPr>
            <w:r>
              <w:rPr>
                <w:rFonts w:eastAsia="Times New Roman"/>
                <w:color w:val="000000"/>
                <w:sz w:val="18"/>
                <w:szCs w:val="18"/>
              </w:rPr>
              <w:t>155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94D488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4E3F92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D9F0AF" w14:textId="77777777" w:rsidR="00000000" w:rsidRDefault="00195E73">
            <w:pPr>
              <w:jc w:val="right"/>
              <w:rPr>
                <w:rFonts w:eastAsia="Times New Roman"/>
              </w:rPr>
            </w:pPr>
            <w:r>
              <w:rPr>
                <w:rFonts w:eastAsia="Times New Roman"/>
                <w:color w:val="000000"/>
                <w:sz w:val="18"/>
                <w:szCs w:val="18"/>
              </w:rPr>
              <w:t>157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BF3472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EFDC4B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706BA3" w14:textId="77777777" w:rsidR="00000000" w:rsidRDefault="00195E73">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BDE06E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FBAEE8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5EB15A" w14:textId="77777777" w:rsidR="00000000" w:rsidRDefault="00195E73">
            <w:pPr>
              <w:jc w:val="right"/>
              <w:rPr>
                <w:rFonts w:eastAsia="Times New Roman"/>
              </w:rPr>
            </w:pPr>
            <w:r>
              <w:rPr>
                <w:rFonts w:eastAsia="Times New Roman"/>
                <w:color w:val="000000"/>
                <w:sz w:val="18"/>
                <w:szCs w:val="18"/>
              </w:rPr>
              <w:t>173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8C69598"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565E87F" w14:textId="77777777" w:rsidR="00000000" w:rsidRDefault="00195E73">
            <w:pPr>
              <w:rPr>
                <w:rFonts w:eastAsia="Times New Roman"/>
                <w:sz w:val="20"/>
                <w:szCs w:val="20"/>
              </w:rPr>
            </w:pPr>
          </w:p>
        </w:tc>
        <w:tc>
          <w:tcPr>
            <w:tcW w:w="0" w:type="auto"/>
            <w:vAlign w:val="center"/>
            <w:hideMark/>
          </w:tcPr>
          <w:p w14:paraId="519528C7" w14:textId="77777777" w:rsidR="00000000" w:rsidRDefault="00195E73">
            <w:pPr>
              <w:rPr>
                <w:rFonts w:eastAsia="Times New Roman"/>
                <w:sz w:val="20"/>
                <w:szCs w:val="20"/>
              </w:rPr>
            </w:pPr>
          </w:p>
        </w:tc>
        <w:tc>
          <w:tcPr>
            <w:tcW w:w="0" w:type="auto"/>
            <w:vAlign w:val="center"/>
            <w:hideMark/>
          </w:tcPr>
          <w:p w14:paraId="624A2F8F" w14:textId="77777777" w:rsidR="00000000" w:rsidRDefault="00195E73">
            <w:pPr>
              <w:rPr>
                <w:rFonts w:eastAsia="Times New Roman"/>
                <w:sz w:val="20"/>
                <w:szCs w:val="20"/>
              </w:rPr>
            </w:pPr>
          </w:p>
        </w:tc>
        <w:tc>
          <w:tcPr>
            <w:tcW w:w="0" w:type="auto"/>
            <w:vAlign w:val="center"/>
            <w:hideMark/>
          </w:tcPr>
          <w:p w14:paraId="530F75E9" w14:textId="77777777" w:rsidR="00000000" w:rsidRDefault="00195E73">
            <w:pPr>
              <w:rPr>
                <w:rFonts w:eastAsia="Times New Roman"/>
                <w:sz w:val="20"/>
                <w:szCs w:val="20"/>
              </w:rPr>
            </w:pPr>
          </w:p>
        </w:tc>
        <w:tc>
          <w:tcPr>
            <w:tcW w:w="0" w:type="auto"/>
            <w:vAlign w:val="center"/>
            <w:hideMark/>
          </w:tcPr>
          <w:p w14:paraId="132B5A3E" w14:textId="77777777" w:rsidR="00000000" w:rsidRDefault="00195E73">
            <w:pPr>
              <w:rPr>
                <w:rFonts w:eastAsia="Times New Roman"/>
                <w:sz w:val="20"/>
                <w:szCs w:val="20"/>
              </w:rPr>
            </w:pPr>
          </w:p>
        </w:tc>
        <w:tc>
          <w:tcPr>
            <w:tcW w:w="0" w:type="auto"/>
            <w:vAlign w:val="center"/>
            <w:hideMark/>
          </w:tcPr>
          <w:p w14:paraId="0131B3E6" w14:textId="77777777" w:rsidR="00000000" w:rsidRDefault="00195E73">
            <w:pPr>
              <w:rPr>
                <w:rFonts w:eastAsia="Times New Roman"/>
                <w:sz w:val="20"/>
                <w:szCs w:val="20"/>
              </w:rPr>
            </w:pPr>
          </w:p>
        </w:tc>
        <w:tc>
          <w:tcPr>
            <w:tcW w:w="0" w:type="auto"/>
            <w:vAlign w:val="center"/>
            <w:hideMark/>
          </w:tcPr>
          <w:p w14:paraId="6ACF3AF2" w14:textId="77777777" w:rsidR="00000000" w:rsidRDefault="00195E73">
            <w:pPr>
              <w:rPr>
                <w:rFonts w:eastAsia="Times New Roman"/>
                <w:sz w:val="20"/>
                <w:szCs w:val="20"/>
              </w:rPr>
            </w:pPr>
          </w:p>
        </w:tc>
        <w:tc>
          <w:tcPr>
            <w:tcW w:w="0" w:type="auto"/>
            <w:vAlign w:val="center"/>
            <w:hideMark/>
          </w:tcPr>
          <w:p w14:paraId="2B153F31" w14:textId="77777777" w:rsidR="00000000" w:rsidRDefault="00195E73">
            <w:pPr>
              <w:rPr>
                <w:rFonts w:eastAsia="Times New Roman"/>
                <w:sz w:val="20"/>
                <w:szCs w:val="20"/>
              </w:rPr>
            </w:pPr>
          </w:p>
        </w:tc>
        <w:tc>
          <w:tcPr>
            <w:tcW w:w="0" w:type="auto"/>
            <w:vAlign w:val="center"/>
            <w:hideMark/>
          </w:tcPr>
          <w:p w14:paraId="692601C1" w14:textId="77777777" w:rsidR="00000000" w:rsidRDefault="00195E73">
            <w:pPr>
              <w:rPr>
                <w:rFonts w:eastAsia="Times New Roman"/>
                <w:sz w:val="20"/>
                <w:szCs w:val="20"/>
              </w:rPr>
            </w:pPr>
          </w:p>
        </w:tc>
        <w:tc>
          <w:tcPr>
            <w:tcW w:w="0" w:type="auto"/>
            <w:vAlign w:val="center"/>
            <w:hideMark/>
          </w:tcPr>
          <w:p w14:paraId="721E49D6" w14:textId="77777777" w:rsidR="00000000" w:rsidRDefault="00195E73">
            <w:pPr>
              <w:rPr>
                <w:rFonts w:eastAsia="Times New Roman"/>
                <w:sz w:val="20"/>
                <w:szCs w:val="20"/>
              </w:rPr>
            </w:pPr>
          </w:p>
        </w:tc>
        <w:tc>
          <w:tcPr>
            <w:tcW w:w="0" w:type="auto"/>
            <w:vAlign w:val="center"/>
            <w:hideMark/>
          </w:tcPr>
          <w:p w14:paraId="0F039932" w14:textId="77777777" w:rsidR="00000000" w:rsidRDefault="00195E73">
            <w:pPr>
              <w:rPr>
                <w:rFonts w:eastAsia="Times New Roman"/>
                <w:sz w:val="20"/>
                <w:szCs w:val="20"/>
              </w:rPr>
            </w:pPr>
          </w:p>
        </w:tc>
        <w:tc>
          <w:tcPr>
            <w:tcW w:w="0" w:type="auto"/>
            <w:vAlign w:val="center"/>
            <w:hideMark/>
          </w:tcPr>
          <w:p w14:paraId="1818CFC9" w14:textId="77777777" w:rsidR="00000000" w:rsidRDefault="00195E73">
            <w:pPr>
              <w:rPr>
                <w:rFonts w:eastAsia="Times New Roman"/>
                <w:sz w:val="20"/>
                <w:szCs w:val="20"/>
              </w:rPr>
            </w:pPr>
          </w:p>
        </w:tc>
        <w:tc>
          <w:tcPr>
            <w:tcW w:w="0" w:type="auto"/>
            <w:vAlign w:val="center"/>
            <w:hideMark/>
          </w:tcPr>
          <w:p w14:paraId="0AE8037A" w14:textId="77777777" w:rsidR="00000000" w:rsidRDefault="00195E73">
            <w:pPr>
              <w:rPr>
                <w:rFonts w:eastAsia="Times New Roman"/>
                <w:sz w:val="20"/>
                <w:szCs w:val="20"/>
              </w:rPr>
            </w:pPr>
          </w:p>
        </w:tc>
        <w:tc>
          <w:tcPr>
            <w:tcW w:w="0" w:type="auto"/>
            <w:vAlign w:val="center"/>
            <w:hideMark/>
          </w:tcPr>
          <w:p w14:paraId="01DA0E4E" w14:textId="77777777" w:rsidR="00000000" w:rsidRDefault="00195E73">
            <w:pPr>
              <w:rPr>
                <w:rFonts w:eastAsia="Times New Roman"/>
                <w:sz w:val="20"/>
                <w:szCs w:val="20"/>
              </w:rPr>
            </w:pPr>
          </w:p>
        </w:tc>
        <w:tc>
          <w:tcPr>
            <w:tcW w:w="0" w:type="auto"/>
            <w:vAlign w:val="center"/>
            <w:hideMark/>
          </w:tcPr>
          <w:p w14:paraId="2563758B" w14:textId="77777777" w:rsidR="00000000" w:rsidRDefault="00195E73">
            <w:pPr>
              <w:rPr>
                <w:rFonts w:eastAsia="Times New Roman"/>
                <w:sz w:val="20"/>
                <w:szCs w:val="20"/>
              </w:rPr>
            </w:pPr>
          </w:p>
        </w:tc>
        <w:tc>
          <w:tcPr>
            <w:tcW w:w="0" w:type="auto"/>
            <w:vAlign w:val="center"/>
            <w:hideMark/>
          </w:tcPr>
          <w:p w14:paraId="73A1199B" w14:textId="77777777" w:rsidR="00000000" w:rsidRDefault="00195E73">
            <w:pPr>
              <w:rPr>
                <w:rFonts w:eastAsia="Times New Roman"/>
                <w:sz w:val="20"/>
                <w:szCs w:val="20"/>
              </w:rPr>
            </w:pPr>
          </w:p>
        </w:tc>
        <w:tc>
          <w:tcPr>
            <w:tcW w:w="0" w:type="auto"/>
            <w:vAlign w:val="center"/>
            <w:hideMark/>
          </w:tcPr>
          <w:p w14:paraId="0660446D" w14:textId="77777777" w:rsidR="00000000" w:rsidRDefault="00195E73">
            <w:pPr>
              <w:rPr>
                <w:rFonts w:eastAsia="Times New Roman"/>
                <w:sz w:val="20"/>
                <w:szCs w:val="20"/>
              </w:rPr>
            </w:pPr>
          </w:p>
        </w:tc>
        <w:tc>
          <w:tcPr>
            <w:tcW w:w="0" w:type="auto"/>
            <w:vAlign w:val="center"/>
            <w:hideMark/>
          </w:tcPr>
          <w:p w14:paraId="362DB97A" w14:textId="77777777" w:rsidR="00000000" w:rsidRDefault="00195E73">
            <w:pPr>
              <w:rPr>
                <w:rFonts w:eastAsia="Times New Roman"/>
                <w:sz w:val="20"/>
                <w:szCs w:val="20"/>
              </w:rPr>
            </w:pPr>
          </w:p>
        </w:tc>
        <w:tc>
          <w:tcPr>
            <w:tcW w:w="0" w:type="auto"/>
            <w:vAlign w:val="center"/>
            <w:hideMark/>
          </w:tcPr>
          <w:p w14:paraId="133159C9" w14:textId="77777777" w:rsidR="00000000" w:rsidRDefault="00195E73">
            <w:pPr>
              <w:rPr>
                <w:rFonts w:eastAsia="Times New Roman"/>
                <w:sz w:val="20"/>
                <w:szCs w:val="20"/>
              </w:rPr>
            </w:pPr>
          </w:p>
        </w:tc>
        <w:tc>
          <w:tcPr>
            <w:tcW w:w="0" w:type="auto"/>
            <w:vAlign w:val="center"/>
            <w:hideMark/>
          </w:tcPr>
          <w:p w14:paraId="674E2D0A" w14:textId="77777777" w:rsidR="00000000" w:rsidRDefault="00195E73">
            <w:pPr>
              <w:rPr>
                <w:rFonts w:eastAsia="Times New Roman"/>
                <w:sz w:val="20"/>
                <w:szCs w:val="20"/>
              </w:rPr>
            </w:pPr>
          </w:p>
        </w:tc>
        <w:tc>
          <w:tcPr>
            <w:tcW w:w="0" w:type="auto"/>
            <w:vAlign w:val="center"/>
            <w:hideMark/>
          </w:tcPr>
          <w:p w14:paraId="3D22BB3D" w14:textId="77777777" w:rsidR="00000000" w:rsidRDefault="00195E73">
            <w:pPr>
              <w:rPr>
                <w:rFonts w:eastAsia="Times New Roman"/>
                <w:sz w:val="20"/>
                <w:szCs w:val="20"/>
              </w:rPr>
            </w:pPr>
          </w:p>
        </w:tc>
        <w:tc>
          <w:tcPr>
            <w:tcW w:w="0" w:type="auto"/>
            <w:vAlign w:val="center"/>
            <w:hideMark/>
          </w:tcPr>
          <w:p w14:paraId="7875EE7F" w14:textId="77777777" w:rsidR="00000000" w:rsidRDefault="00195E73">
            <w:pPr>
              <w:rPr>
                <w:rFonts w:eastAsia="Times New Roman"/>
                <w:sz w:val="20"/>
                <w:szCs w:val="20"/>
              </w:rPr>
            </w:pPr>
          </w:p>
        </w:tc>
        <w:tc>
          <w:tcPr>
            <w:tcW w:w="0" w:type="auto"/>
            <w:vAlign w:val="center"/>
            <w:hideMark/>
          </w:tcPr>
          <w:p w14:paraId="5F4B6815" w14:textId="77777777" w:rsidR="00000000" w:rsidRDefault="00195E73">
            <w:pPr>
              <w:rPr>
                <w:rFonts w:eastAsia="Times New Roman"/>
                <w:sz w:val="20"/>
                <w:szCs w:val="20"/>
              </w:rPr>
            </w:pPr>
          </w:p>
        </w:tc>
        <w:tc>
          <w:tcPr>
            <w:tcW w:w="0" w:type="auto"/>
            <w:vAlign w:val="center"/>
            <w:hideMark/>
          </w:tcPr>
          <w:p w14:paraId="6AE4E7D6" w14:textId="77777777" w:rsidR="00000000" w:rsidRDefault="00195E73">
            <w:pPr>
              <w:rPr>
                <w:rFonts w:eastAsia="Times New Roman"/>
                <w:sz w:val="20"/>
                <w:szCs w:val="20"/>
              </w:rPr>
            </w:pPr>
          </w:p>
        </w:tc>
      </w:tr>
      <w:tr w:rsidR="00000000" w14:paraId="16EF0B2F" w14:textId="77777777">
        <w:trPr>
          <w:divId w:val="1979872608"/>
          <w:jc w:val="center"/>
        </w:trPr>
        <w:tc>
          <w:tcPr>
            <w:tcW w:w="0" w:type="auto"/>
            <w:gridSpan w:val="3"/>
            <w:shd w:val="clear" w:color="auto" w:fill="FFFFFF"/>
            <w:tcMar>
              <w:top w:w="30" w:type="dxa"/>
              <w:left w:w="20" w:type="dxa"/>
              <w:bottom w:w="30" w:type="dxa"/>
              <w:right w:w="20" w:type="dxa"/>
            </w:tcMar>
            <w:vAlign w:val="bottom"/>
            <w:hideMark/>
          </w:tcPr>
          <w:p w14:paraId="6C137302" w14:textId="77777777" w:rsidR="00000000" w:rsidRDefault="00195E73">
            <w:pPr>
              <w:rPr>
                <w:rFonts w:eastAsia="Times New Roman"/>
              </w:rPr>
            </w:pPr>
            <w:r>
              <w:rPr>
                <w:rFonts w:eastAsia="Times New Roman"/>
                <w:color w:val="000000"/>
                <w:sz w:val="18"/>
                <w:szCs w:val="18"/>
              </w:rPr>
              <w:t>Partnership distribution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412FF848"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6854B30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46406D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66C835" w14:textId="77777777" w:rsidR="00000000" w:rsidRDefault="00195E73">
            <w:pPr>
              <w:jc w:val="right"/>
              <w:rPr>
                <w:rFonts w:eastAsia="Times New Roman"/>
              </w:rPr>
            </w:pPr>
            <w:r>
              <w:rPr>
                <w:rFonts w:eastAsia="Times New Roman"/>
                <w:color w:val="000000"/>
                <w:sz w:val="18"/>
                <w:szCs w:val="18"/>
              </w:rPr>
              <w:t>(80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6E1B873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1206E9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3FE762" w14:textId="77777777" w:rsidR="00000000" w:rsidRDefault="00195E73">
            <w:pPr>
              <w:jc w:val="right"/>
              <w:rPr>
                <w:rFonts w:eastAsia="Times New Roman"/>
              </w:rPr>
            </w:pPr>
            <w:r>
              <w:rPr>
                <w:rFonts w:eastAsia="Times New Roman"/>
                <w:color w:val="000000"/>
                <w:sz w:val="18"/>
                <w:szCs w:val="18"/>
              </w:rPr>
              <w:t>(81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629C617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454A57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5BC042"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00EB868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693FD9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749E4A" w14:textId="77777777" w:rsidR="00000000" w:rsidRDefault="00195E73">
            <w:pPr>
              <w:jc w:val="right"/>
              <w:rPr>
                <w:rFonts w:eastAsia="Times New Roman"/>
              </w:rPr>
            </w:pPr>
            <w:r>
              <w:rPr>
                <w:rFonts w:eastAsia="Times New Roman"/>
                <w:color w:val="000000"/>
                <w:sz w:val="18"/>
                <w:szCs w:val="18"/>
              </w:rPr>
              <w:t>(81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52E95BAB"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5D6E8058" w14:textId="77777777" w:rsidR="00000000" w:rsidRDefault="00195E73">
            <w:pPr>
              <w:rPr>
                <w:rFonts w:eastAsia="Times New Roman"/>
                <w:sz w:val="20"/>
                <w:szCs w:val="20"/>
              </w:rPr>
            </w:pPr>
          </w:p>
        </w:tc>
        <w:tc>
          <w:tcPr>
            <w:tcW w:w="0" w:type="auto"/>
            <w:vAlign w:val="center"/>
            <w:hideMark/>
          </w:tcPr>
          <w:p w14:paraId="733E85E9" w14:textId="77777777" w:rsidR="00000000" w:rsidRDefault="00195E73">
            <w:pPr>
              <w:rPr>
                <w:rFonts w:eastAsia="Times New Roman"/>
                <w:sz w:val="20"/>
                <w:szCs w:val="20"/>
              </w:rPr>
            </w:pPr>
          </w:p>
        </w:tc>
        <w:tc>
          <w:tcPr>
            <w:tcW w:w="0" w:type="auto"/>
            <w:vAlign w:val="center"/>
            <w:hideMark/>
          </w:tcPr>
          <w:p w14:paraId="40A42299" w14:textId="77777777" w:rsidR="00000000" w:rsidRDefault="00195E73">
            <w:pPr>
              <w:rPr>
                <w:rFonts w:eastAsia="Times New Roman"/>
                <w:sz w:val="20"/>
                <w:szCs w:val="20"/>
              </w:rPr>
            </w:pPr>
          </w:p>
        </w:tc>
        <w:tc>
          <w:tcPr>
            <w:tcW w:w="0" w:type="auto"/>
            <w:vAlign w:val="center"/>
            <w:hideMark/>
          </w:tcPr>
          <w:p w14:paraId="73D0113C" w14:textId="77777777" w:rsidR="00000000" w:rsidRDefault="00195E73">
            <w:pPr>
              <w:rPr>
                <w:rFonts w:eastAsia="Times New Roman"/>
                <w:sz w:val="20"/>
                <w:szCs w:val="20"/>
              </w:rPr>
            </w:pPr>
          </w:p>
        </w:tc>
        <w:tc>
          <w:tcPr>
            <w:tcW w:w="0" w:type="auto"/>
            <w:vAlign w:val="center"/>
            <w:hideMark/>
          </w:tcPr>
          <w:p w14:paraId="103219D8" w14:textId="77777777" w:rsidR="00000000" w:rsidRDefault="00195E73">
            <w:pPr>
              <w:rPr>
                <w:rFonts w:eastAsia="Times New Roman"/>
                <w:sz w:val="20"/>
                <w:szCs w:val="20"/>
              </w:rPr>
            </w:pPr>
          </w:p>
        </w:tc>
        <w:tc>
          <w:tcPr>
            <w:tcW w:w="0" w:type="auto"/>
            <w:vAlign w:val="center"/>
            <w:hideMark/>
          </w:tcPr>
          <w:p w14:paraId="6D162E6F" w14:textId="77777777" w:rsidR="00000000" w:rsidRDefault="00195E73">
            <w:pPr>
              <w:rPr>
                <w:rFonts w:eastAsia="Times New Roman"/>
                <w:sz w:val="20"/>
                <w:szCs w:val="20"/>
              </w:rPr>
            </w:pPr>
          </w:p>
        </w:tc>
        <w:tc>
          <w:tcPr>
            <w:tcW w:w="0" w:type="auto"/>
            <w:vAlign w:val="center"/>
            <w:hideMark/>
          </w:tcPr>
          <w:p w14:paraId="070056A8" w14:textId="77777777" w:rsidR="00000000" w:rsidRDefault="00195E73">
            <w:pPr>
              <w:rPr>
                <w:rFonts w:eastAsia="Times New Roman"/>
                <w:sz w:val="20"/>
                <w:szCs w:val="20"/>
              </w:rPr>
            </w:pPr>
          </w:p>
        </w:tc>
        <w:tc>
          <w:tcPr>
            <w:tcW w:w="0" w:type="auto"/>
            <w:vAlign w:val="center"/>
            <w:hideMark/>
          </w:tcPr>
          <w:p w14:paraId="33092819" w14:textId="77777777" w:rsidR="00000000" w:rsidRDefault="00195E73">
            <w:pPr>
              <w:rPr>
                <w:rFonts w:eastAsia="Times New Roman"/>
                <w:sz w:val="20"/>
                <w:szCs w:val="20"/>
              </w:rPr>
            </w:pPr>
          </w:p>
        </w:tc>
        <w:tc>
          <w:tcPr>
            <w:tcW w:w="0" w:type="auto"/>
            <w:vAlign w:val="center"/>
            <w:hideMark/>
          </w:tcPr>
          <w:p w14:paraId="01542259" w14:textId="77777777" w:rsidR="00000000" w:rsidRDefault="00195E73">
            <w:pPr>
              <w:rPr>
                <w:rFonts w:eastAsia="Times New Roman"/>
                <w:sz w:val="20"/>
                <w:szCs w:val="20"/>
              </w:rPr>
            </w:pPr>
          </w:p>
        </w:tc>
        <w:tc>
          <w:tcPr>
            <w:tcW w:w="0" w:type="auto"/>
            <w:vAlign w:val="center"/>
            <w:hideMark/>
          </w:tcPr>
          <w:p w14:paraId="13B66CF4" w14:textId="77777777" w:rsidR="00000000" w:rsidRDefault="00195E73">
            <w:pPr>
              <w:rPr>
                <w:rFonts w:eastAsia="Times New Roman"/>
                <w:sz w:val="20"/>
                <w:szCs w:val="20"/>
              </w:rPr>
            </w:pPr>
          </w:p>
        </w:tc>
        <w:tc>
          <w:tcPr>
            <w:tcW w:w="0" w:type="auto"/>
            <w:vAlign w:val="center"/>
            <w:hideMark/>
          </w:tcPr>
          <w:p w14:paraId="587E7E18" w14:textId="77777777" w:rsidR="00000000" w:rsidRDefault="00195E73">
            <w:pPr>
              <w:rPr>
                <w:rFonts w:eastAsia="Times New Roman"/>
                <w:sz w:val="20"/>
                <w:szCs w:val="20"/>
              </w:rPr>
            </w:pPr>
          </w:p>
        </w:tc>
        <w:tc>
          <w:tcPr>
            <w:tcW w:w="0" w:type="auto"/>
            <w:vAlign w:val="center"/>
            <w:hideMark/>
          </w:tcPr>
          <w:p w14:paraId="07B83F91" w14:textId="77777777" w:rsidR="00000000" w:rsidRDefault="00195E73">
            <w:pPr>
              <w:rPr>
                <w:rFonts w:eastAsia="Times New Roman"/>
                <w:sz w:val="20"/>
                <w:szCs w:val="20"/>
              </w:rPr>
            </w:pPr>
          </w:p>
        </w:tc>
        <w:tc>
          <w:tcPr>
            <w:tcW w:w="0" w:type="auto"/>
            <w:vAlign w:val="center"/>
            <w:hideMark/>
          </w:tcPr>
          <w:p w14:paraId="426B5B91" w14:textId="77777777" w:rsidR="00000000" w:rsidRDefault="00195E73">
            <w:pPr>
              <w:rPr>
                <w:rFonts w:eastAsia="Times New Roman"/>
                <w:sz w:val="20"/>
                <w:szCs w:val="20"/>
              </w:rPr>
            </w:pPr>
          </w:p>
        </w:tc>
        <w:tc>
          <w:tcPr>
            <w:tcW w:w="0" w:type="auto"/>
            <w:vAlign w:val="center"/>
            <w:hideMark/>
          </w:tcPr>
          <w:p w14:paraId="2BA4A4DD" w14:textId="77777777" w:rsidR="00000000" w:rsidRDefault="00195E73">
            <w:pPr>
              <w:rPr>
                <w:rFonts w:eastAsia="Times New Roman"/>
                <w:sz w:val="20"/>
                <w:szCs w:val="20"/>
              </w:rPr>
            </w:pPr>
          </w:p>
        </w:tc>
        <w:tc>
          <w:tcPr>
            <w:tcW w:w="0" w:type="auto"/>
            <w:vAlign w:val="center"/>
            <w:hideMark/>
          </w:tcPr>
          <w:p w14:paraId="66558E4C" w14:textId="77777777" w:rsidR="00000000" w:rsidRDefault="00195E73">
            <w:pPr>
              <w:rPr>
                <w:rFonts w:eastAsia="Times New Roman"/>
                <w:sz w:val="20"/>
                <w:szCs w:val="20"/>
              </w:rPr>
            </w:pPr>
          </w:p>
        </w:tc>
        <w:tc>
          <w:tcPr>
            <w:tcW w:w="0" w:type="auto"/>
            <w:vAlign w:val="center"/>
            <w:hideMark/>
          </w:tcPr>
          <w:p w14:paraId="7B40D58B" w14:textId="77777777" w:rsidR="00000000" w:rsidRDefault="00195E73">
            <w:pPr>
              <w:rPr>
                <w:rFonts w:eastAsia="Times New Roman"/>
                <w:sz w:val="20"/>
                <w:szCs w:val="20"/>
              </w:rPr>
            </w:pPr>
          </w:p>
        </w:tc>
        <w:tc>
          <w:tcPr>
            <w:tcW w:w="0" w:type="auto"/>
            <w:vAlign w:val="center"/>
            <w:hideMark/>
          </w:tcPr>
          <w:p w14:paraId="014D30D5" w14:textId="77777777" w:rsidR="00000000" w:rsidRDefault="00195E73">
            <w:pPr>
              <w:rPr>
                <w:rFonts w:eastAsia="Times New Roman"/>
                <w:sz w:val="20"/>
                <w:szCs w:val="20"/>
              </w:rPr>
            </w:pPr>
          </w:p>
        </w:tc>
        <w:tc>
          <w:tcPr>
            <w:tcW w:w="0" w:type="auto"/>
            <w:vAlign w:val="center"/>
            <w:hideMark/>
          </w:tcPr>
          <w:p w14:paraId="09570E42" w14:textId="77777777" w:rsidR="00000000" w:rsidRDefault="00195E73">
            <w:pPr>
              <w:rPr>
                <w:rFonts w:eastAsia="Times New Roman"/>
                <w:sz w:val="20"/>
                <w:szCs w:val="20"/>
              </w:rPr>
            </w:pPr>
          </w:p>
        </w:tc>
        <w:tc>
          <w:tcPr>
            <w:tcW w:w="0" w:type="auto"/>
            <w:vAlign w:val="center"/>
            <w:hideMark/>
          </w:tcPr>
          <w:p w14:paraId="6BCABA44" w14:textId="77777777" w:rsidR="00000000" w:rsidRDefault="00195E73">
            <w:pPr>
              <w:rPr>
                <w:rFonts w:eastAsia="Times New Roman"/>
                <w:sz w:val="20"/>
                <w:szCs w:val="20"/>
              </w:rPr>
            </w:pPr>
          </w:p>
        </w:tc>
        <w:tc>
          <w:tcPr>
            <w:tcW w:w="0" w:type="auto"/>
            <w:vAlign w:val="center"/>
            <w:hideMark/>
          </w:tcPr>
          <w:p w14:paraId="5B58A233" w14:textId="77777777" w:rsidR="00000000" w:rsidRDefault="00195E73">
            <w:pPr>
              <w:rPr>
                <w:rFonts w:eastAsia="Times New Roman"/>
                <w:sz w:val="20"/>
                <w:szCs w:val="20"/>
              </w:rPr>
            </w:pPr>
          </w:p>
        </w:tc>
        <w:tc>
          <w:tcPr>
            <w:tcW w:w="0" w:type="auto"/>
            <w:vAlign w:val="center"/>
            <w:hideMark/>
          </w:tcPr>
          <w:p w14:paraId="72535883" w14:textId="77777777" w:rsidR="00000000" w:rsidRDefault="00195E73">
            <w:pPr>
              <w:rPr>
                <w:rFonts w:eastAsia="Times New Roman"/>
                <w:sz w:val="20"/>
                <w:szCs w:val="20"/>
              </w:rPr>
            </w:pPr>
          </w:p>
        </w:tc>
        <w:tc>
          <w:tcPr>
            <w:tcW w:w="0" w:type="auto"/>
            <w:vAlign w:val="center"/>
            <w:hideMark/>
          </w:tcPr>
          <w:p w14:paraId="02779F91" w14:textId="77777777" w:rsidR="00000000" w:rsidRDefault="00195E73">
            <w:pPr>
              <w:rPr>
                <w:rFonts w:eastAsia="Times New Roman"/>
                <w:sz w:val="20"/>
                <w:szCs w:val="20"/>
              </w:rPr>
            </w:pPr>
          </w:p>
        </w:tc>
        <w:tc>
          <w:tcPr>
            <w:tcW w:w="0" w:type="auto"/>
            <w:vAlign w:val="center"/>
            <w:hideMark/>
          </w:tcPr>
          <w:p w14:paraId="42312876" w14:textId="77777777" w:rsidR="00000000" w:rsidRDefault="00195E73">
            <w:pPr>
              <w:rPr>
                <w:rFonts w:eastAsia="Times New Roman"/>
                <w:sz w:val="20"/>
                <w:szCs w:val="20"/>
              </w:rPr>
            </w:pPr>
          </w:p>
        </w:tc>
        <w:tc>
          <w:tcPr>
            <w:tcW w:w="0" w:type="auto"/>
            <w:vAlign w:val="center"/>
            <w:hideMark/>
          </w:tcPr>
          <w:p w14:paraId="72EA05D7" w14:textId="77777777" w:rsidR="00000000" w:rsidRDefault="00195E73">
            <w:pPr>
              <w:rPr>
                <w:rFonts w:eastAsia="Times New Roman"/>
                <w:sz w:val="20"/>
                <w:szCs w:val="20"/>
              </w:rPr>
            </w:pPr>
          </w:p>
        </w:tc>
      </w:tr>
      <w:tr w:rsidR="00000000" w14:paraId="343B7F25" w14:textId="77777777">
        <w:trPr>
          <w:divId w:val="1979872608"/>
          <w:jc w:val="center"/>
        </w:trPr>
        <w:tc>
          <w:tcPr>
            <w:tcW w:w="0" w:type="auto"/>
            <w:gridSpan w:val="3"/>
            <w:shd w:val="clear" w:color="auto" w:fill="CCEEFF"/>
            <w:tcMar>
              <w:top w:w="30" w:type="dxa"/>
              <w:left w:w="20" w:type="dxa"/>
              <w:bottom w:w="30" w:type="dxa"/>
              <w:right w:w="20" w:type="dxa"/>
            </w:tcMar>
            <w:vAlign w:val="bottom"/>
            <w:hideMark/>
          </w:tcPr>
          <w:p w14:paraId="6B8CCA23" w14:textId="77777777" w:rsidR="00000000" w:rsidRDefault="00195E73">
            <w:pPr>
              <w:rPr>
                <w:rFonts w:eastAsia="Times New Roman"/>
              </w:rPr>
            </w:pPr>
            <w:r>
              <w:rPr>
                <w:rFonts w:eastAsia="Times New Roman"/>
                <w:color w:val="000000"/>
                <w:sz w:val="18"/>
                <w:szCs w:val="18"/>
              </w:rPr>
              <w:t>Partnership contributio</w:t>
            </w:r>
            <w:r>
              <w:rPr>
                <w:rFonts w:eastAsia="Times New Roman"/>
                <w:color w:val="000000"/>
                <w:sz w:val="18"/>
                <w:szCs w:val="18"/>
              </w:rPr>
              <w:t>n</w:t>
            </w:r>
          </w:p>
        </w:tc>
        <w:tc>
          <w:tcPr>
            <w:tcW w:w="0" w:type="auto"/>
            <w:gridSpan w:val="2"/>
            <w:shd w:val="clear" w:color="auto" w:fill="CCEEFF"/>
            <w:tcMar>
              <w:top w:w="30" w:type="dxa"/>
              <w:left w:w="20" w:type="dxa"/>
              <w:bottom w:w="30" w:type="dxa"/>
              <w:right w:w="0" w:type="dxa"/>
            </w:tcMar>
            <w:vAlign w:val="bottom"/>
            <w:hideMark/>
          </w:tcPr>
          <w:p w14:paraId="1333862C" w14:textId="77777777" w:rsidR="00000000" w:rsidRDefault="00195E73">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AAEF75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554792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B8F395" w14:textId="77777777" w:rsidR="00000000" w:rsidRDefault="00195E73">
            <w:pPr>
              <w:jc w:val="right"/>
              <w:rPr>
                <w:rFonts w:eastAsia="Times New Roman"/>
              </w:rPr>
            </w:pPr>
            <w:r>
              <w:rPr>
                <w:rFonts w:eastAsia="Times New Roman"/>
                <w:color w:val="000000"/>
                <w:sz w:val="18"/>
                <w:szCs w:val="18"/>
              </w:rPr>
              <w:t>606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665853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FB4E3B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903DF1" w14:textId="77777777" w:rsidR="00000000" w:rsidRDefault="00195E73">
            <w:pPr>
              <w:jc w:val="right"/>
              <w:rPr>
                <w:rFonts w:eastAsia="Times New Roman"/>
              </w:rPr>
            </w:pPr>
            <w:r>
              <w:rPr>
                <w:rFonts w:eastAsia="Times New Roman"/>
                <w:color w:val="000000"/>
                <w:sz w:val="18"/>
                <w:szCs w:val="18"/>
              </w:rPr>
              <w:t>612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DA5205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2D58E2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BA657F"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AD4AD5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C0B3BF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08970C" w14:textId="77777777" w:rsidR="00000000" w:rsidRDefault="00195E73">
            <w:pPr>
              <w:jc w:val="right"/>
              <w:rPr>
                <w:rFonts w:eastAsia="Times New Roman"/>
              </w:rPr>
            </w:pPr>
            <w:r>
              <w:rPr>
                <w:rFonts w:eastAsia="Times New Roman"/>
                <w:color w:val="000000"/>
                <w:sz w:val="18"/>
                <w:szCs w:val="18"/>
              </w:rPr>
              <w:t>612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2978E3D"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B387CB3" w14:textId="77777777" w:rsidR="00000000" w:rsidRDefault="00195E73">
            <w:pPr>
              <w:rPr>
                <w:rFonts w:eastAsia="Times New Roman"/>
                <w:sz w:val="20"/>
                <w:szCs w:val="20"/>
              </w:rPr>
            </w:pPr>
          </w:p>
        </w:tc>
        <w:tc>
          <w:tcPr>
            <w:tcW w:w="0" w:type="auto"/>
            <w:vAlign w:val="center"/>
            <w:hideMark/>
          </w:tcPr>
          <w:p w14:paraId="31149DE5" w14:textId="77777777" w:rsidR="00000000" w:rsidRDefault="00195E73">
            <w:pPr>
              <w:rPr>
                <w:rFonts w:eastAsia="Times New Roman"/>
                <w:sz w:val="20"/>
                <w:szCs w:val="20"/>
              </w:rPr>
            </w:pPr>
          </w:p>
        </w:tc>
        <w:tc>
          <w:tcPr>
            <w:tcW w:w="0" w:type="auto"/>
            <w:vAlign w:val="center"/>
            <w:hideMark/>
          </w:tcPr>
          <w:p w14:paraId="7EFA1CE0" w14:textId="77777777" w:rsidR="00000000" w:rsidRDefault="00195E73">
            <w:pPr>
              <w:rPr>
                <w:rFonts w:eastAsia="Times New Roman"/>
                <w:sz w:val="20"/>
                <w:szCs w:val="20"/>
              </w:rPr>
            </w:pPr>
          </w:p>
        </w:tc>
        <w:tc>
          <w:tcPr>
            <w:tcW w:w="0" w:type="auto"/>
            <w:vAlign w:val="center"/>
            <w:hideMark/>
          </w:tcPr>
          <w:p w14:paraId="5C32B08A" w14:textId="77777777" w:rsidR="00000000" w:rsidRDefault="00195E73">
            <w:pPr>
              <w:rPr>
                <w:rFonts w:eastAsia="Times New Roman"/>
                <w:sz w:val="20"/>
                <w:szCs w:val="20"/>
              </w:rPr>
            </w:pPr>
          </w:p>
        </w:tc>
        <w:tc>
          <w:tcPr>
            <w:tcW w:w="0" w:type="auto"/>
            <w:vAlign w:val="center"/>
            <w:hideMark/>
          </w:tcPr>
          <w:p w14:paraId="1FAB7F04" w14:textId="77777777" w:rsidR="00000000" w:rsidRDefault="00195E73">
            <w:pPr>
              <w:rPr>
                <w:rFonts w:eastAsia="Times New Roman"/>
                <w:sz w:val="20"/>
                <w:szCs w:val="20"/>
              </w:rPr>
            </w:pPr>
          </w:p>
        </w:tc>
        <w:tc>
          <w:tcPr>
            <w:tcW w:w="0" w:type="auto"/>
            <w:vAlign w:val="center"/>
            <w:hideMark/>
          </w:tcPr>
          <w:p w14:paraId="113490FA" w14:textId="77777777" w:rsidR="00000000" w:rsidRDefault="00195E73">
            <w:pPr>
              <w:rPr>
                <w:rFonts w:eastAsia="Times New Roman"/>
                <w:sz w:val="20"/>
                <w:szCs w:val="20"/>
              </w:rPr>
            </w:pPr>
          </w:p>
        </w:tc>
        <w:tc>
          <w:tcPr>
            <w:tcW w:w="0" w:type="auto"/>
            <w:vAlign w:val="center"/>
            <w:hideMark/>
          </w:tcPr>
          <w:p w14:paraId="28AA761A" w14:textId="77777777" w:rsidR="00000000" w:rsidRDefault="00195E73">
            <w:pPr>
              <w:rPr>
                <w:rFonts w:eastAsia="Times New Roman"/>
                <w:sz w:val="20"/>
                <w:szCs w:val="20"/>
              </w:rPr>
            </w:pPr>
          </w:p>
        </w:tc>
        <w:tc>
          <w:tcPr>
            <w:tcW w:w="0" w:type="auto"/>
            <w:vAlign w:val="center"/>
            <w:hideMark/>
          </w:tcPr>
          <w:p w14:paraId="2E818E86" w14:textId="77777777" w:rsidR="00000000" w:rsidRDefault="00195E73">
            <w:pPr>
              <w:rPr>
                <w:rFonts w:eastAsia="Times New Roman"/>
                <w:sz w:val="20"/>
                <w:szCs w:val="20"/>
              </w:rPr>
            </w:pPr>
          </w:p>
        </w:tc>
        <w:tc>
          <w:tcPr>
            <w:tcW w:w="0" w:type="auto"/>
            <w:vAlign w:val="center"/>
            <w:hideMark/>
          </w:tcPr>
          <w:p w14:paraId="3B4584AB" w14:textId="77777777" w:rsidR="00000000" w:rsidRDefault="00195E73">
            <w:pPr>
              <w:rPr>
                <w:rFonts w:eastAsia="Times New Roman"/>
                <w:sz w:val="20"/>
                <w:szCs w:val="20"/>
              </w:rPr>
            </w:pPr>
          </w:p>
        </w:tc>
        <w:tc>
          <w:tcPr>
            <w:tcW w:w="0" w:type="auto"/>
            <w:vAlign w:val="center"/>
            <w:hideMark/>
          </w:tcPr>
          <w:p w14:paraId="74FF73BA" w14:textId="77777777" w:rsidR="00000000" w:rsidRDefault="00195E73">
            <w:pPr>
              <w:rPr>
                <w:rFonts w:eastAsia="Times New Roman"/>
                <w:sz w:val="20"/>
                <w:szCs w:val="20"/>
              </w:rPr>
            </w:pPr>
          </w:p>
        </w:tc>
        <w:tc>
          <w:tcPr>
            <w:tcW w:w="0" w:type="auto"/>
            <w:vAlign w:val="center"/>
            <w:hideMark/>
          </w:tcPr>
          <w:p w14:paraId="07079E16" w14:textId="77777777" w:rsidR="00000000" w:rsidRDefault="00195E73">
            <w:pPr>
              <w:rPr>
                <w:rFonts w:eastAsia="Times New Roman"/>
                <w:sz w:val="20"/>
                <w:szCs w:val="20"/>
              </w:rPr>
            </w:pPr>
          </w:p>
        </w:tc>
        <w:tc>
          <w:tcPr>
            <w:tcW w:w="0" w:type="auto"/>
            <w:vAlign w:val="center"/>
            <w:hideMark/>
          </w:tcPr>
          <w:p w14:paraId="4A485AAE" w14:textId="77777777" w:rsidR="00000000" w:rsidRDefault="00195E73">
            <w:pPr>
              <w:rPr>
                <w:rFonts w:eastAsia="Times New Roman"/>
                <w:sz w:val="20"/>
                <w:szCs w:val="20"/>
              </w:rPr>
            </w:pPr>
          </w:p>
        </w:tc>
        <w:tc>
          <w:tcPr>
            <w:tcW w:w="0" w:type="auto"/>
            <w:vAlign w:val="center"/>
            <w:hideMark/>
          </w:tcPr>
          <w:p w14:paraId="54CB90E3" w14:textId="77777777" w:rsidR="00000000" w:rsidRDefault="00195E73">
            <w:pPr>
              <w:rPr>
                <w:rFonts w:eastAsia="Times New Roman"/>
                <w:sz w:val="20"/>
                <w:szCs w:val="20"/>
              </w:rPr>
            </w:pPr>
          </w:p>
        </w:tc>
        <w:tc>
          <w:tcPr>
            <w:tcW w:w="0" w:type="auto"/>
            <w:vAlign w:val="center"/>
            <w:hideMark/>
          </w:tcPr>
          <w:p w14:paraId="20823FD7" w14:textId="77777777" w:rsidR="00000000" w:rsidRDefault="00195E73">
            <w:pPr>
              <w:rPr>
                <w:rFonts w:eastAsia="Times New Roman"/>
                <w:sz w:val="20"/>
                <w:szCs w:val="20"/>
              </w:rPr>
            </w:pPr>
          </w:p>
        </w:tc>
        <w:tc>
          <w:tcPr>
            <w:tcW w:w="0" w:type="auto"/>
            <w:vAlign w:val="center"/>
            <w:hideMark/>
          </w:tcPr>
          <w:p w14:paraId="3FD7D9BF" w14:textId="77777777" w:rsidR="00000000" w:rsidRDefault="00195E73">
            <w:pPr>
              <w:rPr>
                <w:rFonts w:eastAsia="Times New Roman"/>
                <w:sz w:val="20"/>
                <w:szCs w:val="20"/>
              </w:rPr>
            </w:pPr>
          </w:p>
        </w:tc>
        <w:tc>
          <w:tcPr>
            <w:tcW w:w="0" w:type="auto"/>
            <w:vAlign w:val="center"/>
            <w:hideMark/>
          </w:tcPr>
          <w:p w14:paraId="56C94888" w14:textId="77777777" w:rsidR="00000000" w:rsidRDefault="00195E73">
            <w:pPr>
              <w:rPr>
                <w:rFonts w:eastAsia="Times New Roman"/>
                <w:sz w:val="20"/>
                <w:szCs w:val="20"/>
              </w:rPr>
            </w:pPr>
          </w:p>
        </w:tc>
        <w:tc>
          <w:tcPr>
            <w:tcW w:w="0" w:type="auto"/>
            <w:vAlign w:val="center"/>
            <w:hideMark/>
          </w:tcPr>
          <w:p w14:paraId="02F06293" w14:textId="77777777" w:rsidR="00000000" w:rsidRDefault="00195E73">
            <w:pPr>
              <w:rPr>
                <w:rFonts w:eastAsia="Times New Roman"/>
                <w:sz w:val="20"/>
                <w:szCs w:val="20"/>
              </w:rPr>
            </w:pPr>
          </w:p>
        </w:tc>
        <w:tc>
          <w:tcPr>
            <w:tcW w:w="0" w:type="auto"/>
            <w:vAlign w:val="center"/>
            <w:hideMark/>
          </w:tcPr>
          <w:p w14:paraId="5B025AB9" w14:textId="77777777" w:rsidR="00000000" w:rsidRDefault="00195E73">
            <w:pPr>
              <w:rPr>
                <w:rFonts w:eastAsia="Times New Roman"/>
                <w:sz w:val="20"/>
                <w:szCs w:val="20"/>
              </w:rPr>
            </w:pPr>
          </w:p>
        </w:tc>
        <w:tc>
          <w:tcPr>
            <w:tcW w:w="0" w:type="auto"/>
            <w:vAlign w:val="center"/>
            <w:hideMark/>
          </w:tcPr>
          <w:p w14:paraId="045F4354" w14:textId="77777777" w:rsidR="00000000" w:rsidRDefault="00195E73">
            <w:pPr>
              <w:rPr>
                <w:rFonts w:eastAsia="Times New Roman"/>
                <w:sz w:val="20"/>
                <w:szCs w:val="20"/>
              </w:rPr>
            </w:pPr>
          </w:p>
        </w:tc>
        <w:tc>
          <w:tcPr>
            <w:tcW w:w="0" w:type="auto"/>
            <w:vAlign w:val="center"/>
            <w:hideMark/>
          </w:tcPr>
          <w:p w14:paraId="55A6A902" w14:textId="77777777" w:rsidR="00000000" w:rsidRDefault="00195E73">
            <w:pPr>
              <w:rPr>
                <w:rFonts w:eastAsia="Times New Roman"/>
                <w:sz w:val="20"/>
                <w:szCs w:val="20"/>
              </w:rPr>
            </w:pPr>
          </w:p>
        </w:tc>
        <w:tc>
          <w:tcPr>
            <w:tcW w:w="0" w:type="auto"/>
            <w:vAlign w:val="center"/>
            <w:hideMark/>
          </w:tcPr>
          <w:p w14:paraId="75AE941B" w14:textId="77777777" w:rsidR="00000000" w:rsidRDefault="00195E73">
            <w:pPr>
              <w:rPr>
                <w:rFonts w:eastAsia="Times New Roman"/>
                <w:sz w:val="20"/>
                <w:szCs w:val="20"/>
              </w:rPr>
            </w:pPr>
          </w:p>
        </w:tc>
        <w:tc>
          <w:tcPr>
            <w:tcW w:w="0" w:type="auto"/>
            <w:vAlign w:val="center"/>
            <w:hideMark/>
          </w:tcPr>
          <w:p w14:paraId="4574BC9B" w14:textId="77777777" w:rsidR="00000000" w:rsidRDefault="00195E73">
            <w:pPr>
              <w:rPr>
                <w:rFonts w:eastAsia="Times New Roman"/>
                <w:sz w:val="20"/>
                <w:szCs w:val="20"/>
              </w:rPr>
            </w:pPr>
          </w:p>
        </w:tc>
        <w:tc>
          <w:tcPr>
            <w:tcW w:w="0" w:type="auto"/>
            <w:vAlign w:val="center"/>
            <w:hideMark/>
          </w:tcPr>
          <w:p w14:paraId="2A745642" w14:textId="77777777" w:rsidR="00000000" w:rsidRDefault="00195E73">
            <w:pPr>
              <w:rPr>
                <w:rFonts w:eastAsia="Times New Roman"/>
                <w:sz w:val="20"/>
                <w:szCs w:val="20"/>
              </w:rPr>
            </w:pPr>
          </w:p>
        </w:tc>
        <w:tc>
          <w:tcPr>
            <w:tcW w:w="0" w:type="auto"/>
            <w:vAlign w:val="center"/>
            <w:hideMark/>
          </w:tcPr>
          <w:p w14:paraId="4C1DF48C" w14:textId="77777777" w:rsidR="00000000" w:rsidRDefault="00195E73">
            <w:pPr>
              <w:rPr>
                <w:rFonts w:eastAsia="Times New Roman"/>
                <w:sz w:val="20"/>
                <w:szCs w:val="20"/>
              </w:rPr>
            </w:pPr>
          </w:p>
        </w:tc>
      </w:tr>
      <w:tr w:rsidR="00000000" w14:paraId="2ADEBD4F" w14:textId="77777777">
        <w:trPr>
          <w:divId w:val="1979872608"/>
          <w:jc w:val="center"/>
        </w:trPr>
        <w:tc>
          <w:tcPr>
            <w:tcW w:w="0" w:type="auto"/>
            <w:gridSpan w:val="3"/>
            <w:shd w:val="clear" w:color="auto" w:fill="FFFFFF"/>
            <w:tcMar>
              <w:top w:w="30" w:type="dxa"/>
              <w:left w:w="20" w:type="dxa"/>
              <w:bottom w:w="30" w:type="dxa"/>
              <w:right w:w="20" w:type="dxa"/>
            </w:tcMar>
            <w:vAlign w:val="bottom"/>
            <w:hideMark/>
          </w:tcPr>
          <w:p w14:paraId="69897193" w14:textId="77777777" w:rsidR="00000000" w:rsidRDefault="00195E73">
            <w:pPr>
              <w:rPr>
                <w:rFonts w:eastAsia="Times New Roman"/>
              </w:rPr>
            </w:pPr>
            <w:r>
              <w:rPr>
                <w:rFonts w:eastAsia="Times New Roman"/>
                <w:color w:val="000000"/>
                <w:sz w:val="18"/>
                <w:szCs w:val="18"/>
              </w:rPr>
              <w:t>Investment segment contribution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58D70B03"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CCE608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45A379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12A0AD"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9AACF0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8D4687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B8E79D"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B9A3CF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7219BC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622F82" w14:textId="77777777" w:rsidR="00000000" w:rsidRDefault="00195E73">
            <w:pPr>
              <w:jc w:val="right"/>
              <w:rPr>
                <w:rFonts w:eastAsia="Times New Roman"/>
              </w:rPr>
            </w:pPr>
            <w:r>
              <w:rPr>
                <w:rFonts w:eastAsia="Times New Roman"/>
                <w:color w:val="000000"/>
                <w:sz w:val="18"/>
                <w:szCs w:val="18"/>
              </w:rPr>
              <w:t>600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4C55E9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2CBF62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AEB0FF" w14:textId="77777777" w:rsidR="00000000" w:rsidRDefault="00195E73">
            <w:pPr>
              <w:jc w:val="right"/>
              <w:rPr>
                <w:rFonts w:eastAsia="Times New Roman"/>
              </w:rPr>
            </w:pPr>
            <w:r>
              <w:rPr>
                <w:rFonts w:eastAsia="Times New Roman"/>
                <w:color w:val="000000"/>
                <w:sz w:val="18"/>
                <w:szCs w:val="18"/>
              </w:rPr>
              <w:t>600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9C91262"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31D33216" w14:textId="77777777" w:rsidR="00000000" w:rsidRDefault="00195E73">
            <w:pPr>
              <w:rPr>
                <w:rFonts w:eastAsia="Times New Roman"/>
                <w:sz w:val="20"/>
                <w:szCs w:val="20"/>
              </w:rPr>
            </w:pPr>
          </w:p>
        </w:tc>
        <w:tc>
          <w:tcPr>
            <w:tcW w:w="0" w:type="auto"/>
            <w:vAlign w:val="center"/>
            <w:hideMark/>
          </w:tcPr>
          <w:p w14:paraId="0E3552D5" w14:textId="77777777" w:rsidR="00000000" w:rsidRDefault="00195E73">
            <w:pPr>
              <w:rPr>
                <w:rFonts w:eastAsia="Times New Roman"/>
                <w:sz w:val="20"/>
                <w:szCs w:val="20"/>
              </w:rPr>
            </w:pPr>
          </w:p>
        </w:tc>
        <w:tc>
          <w:tcPr>
            <w:tcW w:w="0" w:type="auto"/>
            <w:vAlign w:val="center"/>
            <w:hideMark/>
          </w:tcPr>
          <w:p w14:paraId="2EB76AE1" w14:textId="77777777" w:rsidR="00000000" w:rsidRDefault="00195E73">
            <w:pPr>
              <w:rPr>
                <w:rFonts w:eastAsia="Times New Roman"/>
                <w:sz w:val="20"/>
                <w:szCs w:val="20"/>
              </w:rPr>
            </w:pPr>
          </w:p>
        </w:tc>
        <w:tc>
          <w:tcPr>
            <w:tcW w:w="0" w:type="auto"/>
            <w:vAlign w:val="center"/>
            <w:hideMark/>
          </w:tcPr>
          <w:p w14:paraId="4D8C07BD" w14:textId="77777777" w:rsidR="00000000" w:rsidRDefault="00195E73">
            <w:pPr>
              <w:rPr>
                <w:rFonts w:eastAsia="Times New Roman"/>
                <w:sz w:val="20"/>
                <w:szCs w:val="20"/>
              </w:rPr>
            </w:pPr>
          </w:p>
        </w:tc>
        <w:tc>
          <w:tcPr>
            <w:tcW w:w="0" w:type="auto"/>
            <w:vAlign w:val="center"/>
            <w:hideMark/>
          </w:tcPr>
          <w:p w14:paraId="1011BAE0" w14:textId="77777777" w:rsidR="00000000" w:rsidRDefault="00195E73">
            <w:pPr>
              <w:rPr>
                <w:rFonts w:eastAsia="Times New Roman"/>
                <w:sz w:val="20"/>
                <w:szCs w:val="20"/>
              </w:rPr>
            </w:pPr>
          </w:p>
        </w:tc>
        <w:tc>
          <w:tcPr>
            <w:tcW w:w="0" w:type="auto"/>
            <w:vAlign w:val="center"/>
            <w:hideMark/>
          </w:tcPr>
          <w:p w14:paraId="133AD55B" w14:textId="77777777" w:rsidR="00000000" w:rsidRDefault="00195E73">
            <w:pPr>
              <w:rPr>
                <w:rFonts w:eastAsia="Times New Roman"/>
                <w:sz w:val="20"/>
                <w:szCs w:val="20"/>
              </w:rPr>
            </w:pPr>
          </w:p>
        </w:tc>
        <w:tc>
          <w:tcPr>
            <w:tcW w:w="0" w:type="auto"/>
            <w:vAlign w:val="center"/>
            <w:hideMark/>
          </w:tcPr>
          <w:p w14:paraId="5317BD74" w14:textId="77777777" w:rsidR="00000000" w:rsidRDefault="00195E73">
            <w:pPr>
              <w:rPr>
                <w:rFonts w:eastAsia="Times New Roman"/>
                <w:sz w:val="20"/>
                <w:szCs w:val="20"/>
              </w:rPr>
            </w:pPr>
          </w:p>
        </w:tc>
        <w:tc>
          <w:tcPr>
            <w:tcW w:w="0" w:type="auto"/>
            <w:vAlign w:val="center"/>
            <w:hideMark/>
          </w:tcPr>
          <w:p w14:paraId="50CBEA39" w14:textId="77777777" w:rsidR="00000000" w:rsidRDefault="00195E73">
            <w:pPr>
              <w:rPr>
                <w:rFonts w:eastAsia="Times New Roman"/>
                <w:sz w:val="20"/>
                <w:szCs w:val="20"/>
              </w:rPr>
            </w:pPr>
          </w:p>
        </w:tc>
        <w:tc>
          <w:tcPr>
            <w:tcW w:w="0" w:type="auto"/>
            <w:vAlign w:val="center"/>
            <w:hideMark/>
          </w:tcPr>
          <w:p w14:paraId="39E579CE" w14:textId="77777777" w:rsidR="00000000" w:rsidRDefault="00195E73">
            <w:pPr>
              <w:rPr>
                <w:rFonts w:eastAsia="Times New Roman"/>
                <w:sz w:val="20"/>
                <w:szCs w:val="20"/>
              </w:rPr>
            </w:pPr>
          </w:p>
        </w:tc>
        <w:tc>
          <w:tcPr>
            <w:tcW w:w="0" w:type="auto"/>
            <w:vAlign w:val="center"/>
            <w:hideMark/>
          </w:tcPr>
          <w:p w14:paraId="337E994C" w14:textId="77777777" w:rsidR="00000000" w:rsidRDefault="00195E73">
            <w:pPr>
              <w:rPr>
                <w:rFonts w:eastAsia="Times New Roman"/>
                <w:sz w:val="20"/>
                <w:szCs w:val="20"/>
              </w:rPr>
            </w:pPr>
          </w:p>
        </w:tc>
        <w:tc>
          <w:tcPr>
            <w:tcW w:w="0" w:type="auto"/>
            <w:vAlign w:val="center"/>
            <w:hideMark/>
          </w:tcPr>
          <w:p w14:paraId="1ACBBAB3" w14:textId="77777777" w:rsidR="00000000" w:rsidRDefault="00195E73">
            <w:pPr>
              <w:rPr>
                <w:rFonts w:eastAsia="Times New Roman"/>
                <w:sz w:val="20"/>
                <w:szCs w:val="20"/>
              </w:rPr>
            </w:pPr>
          </w:p>
        </w:tc>
        <w:tc>
          <w:tcPr>
            <w:tcW w:w="0" w:type="auto"/>
            <w:vAlign w:val="center"/>
            <w:hideMark/>
          </w:tcPr>
          <w:p w14:paraId="14C62073" w14:textId="77777777" w:rsidR="00000000" w:rsidRDefault="00195E73">
            <w:pPr>
              <w:rPr>
                <w:rFonts w:eastAsia="Times New Roman"/>
                <w:sz w:val="20"/>
                <w:szCs w:val="20"/>
              </w:rPr>
            </w:pPr>
          </w:p>
        </w:tc>
        <w:tc>
          <w:tcPr>
            <w:tcW w:w="0" w:type="auto"/>
            <w:vAlign w:val="center"/>
            <w:hideMark/>
          </w:tcPr>
          <w:p w14:paraId="0FD790D4" w14:textId="77777777" w:rsidR="00000000" w:rsidRDefault="00195E73">
            <w:pPr>
              <w:rPr>
                <w:rFonts w:eastAsia="Times New Roman"/>
                <w:sz w:val="20"/>
                <w:szCs w:val="20"/>
              </w:rPr>
            </w:pPr>
          </w:p>
        </w:tc>
        <w:tc>
          <w:tcPr>
            <w:tcW w:w="0" w:type="auto"/>
            <w:vAlign w:val="center"/>
            <w:hideMark/>
          </w:tcPr>
          <w:p w14:paraId="5BDBDF91" w14:textId="77777777" w:rsidR="00000000" w:rsidRDefault="00195E73">
            <w:pPr>
              <w:rPr>
                <w:rFonts w:eastAsia="Times New Roman"/>
                <w:sz w:val="20"/>
                <w:szCs w:val="20"/>
              </w:rPr>
            </w:pPr>
          </w:p>
        </w:tc>
        <w:tc>
          <w:tcPr>
            <w:tcW w:w="0" w:type="auto"/>
            <w:vAlign w:val="center"/>
            <w:hideMark/>
          </w:tcPr>
          <w:p w14:paraId="1D1CB39E" w14:textId="77777777" w:rsidR="00000000" w:rsidRDefault="00195E73">
            <w:pPr>
              <w:rPr>
                <w:rFonts w:eastAsia="Times New Roman"/>
                <w:sz w:val="20"/>
                <w:szCs w:val="20"/>
              </w:rPr>
            </w:pPr>
          </w:p>
        </w:tc>
        <w:tc>
          <w:tcPr>
            <w:tcW w:w="0" w:type="auto"/>
            <w:vAlign w:val="center"/>
            <w:hideMark/>
          </w:tcPr>
          <w:p w14:paraId="71236420" w14:textId="77777777" w:rsidR="00000000" w:rsidRDefault="00195E73">
            <w:pPr>
              <w:rPr>
                <w:rFonts w:eastAsia="Times New Roman"/>
                <w:sz w:val="20"/>
                <w:szCs w:val="20"/>
              </w:rPr>
            </w:pPr>
          </w:p>
        </w:tc>
        <w:tc>
          <w:tcPr>
            <w:tcW w:w="0" w:type="auto"/>
            <w:vAlign w:val="center"/>
            <w:hideMark/>
          </w:tcPr>
          <w:p w14:paraId="75C51483" w14:textId="77777777" w:rsidR="00000000" w:rsidRDefault="00195E73">
            <w:pPr>
              <w:rPr>
                <w:rFonts w:eastAsia="Times New Roman"/>
                <w:sz w:val="20"/>
                <w:szCs w:val="20"/>
              </w:rPr>
            </w:pPr>
          </w:p>
        </w:tc>
        <w:tc>
          <w:tcPr>
            <w:tcW w:w="0" w:type="auto"/>
            <w:vAlign w:val="center"/>
            <w:hideMark/>
          </w:tcPr>
          <w:p w14:paraId="24B0CD38" w14:textId="77777777" w:rsidR="00000000" w:rsidRDefault="00195E73">
            <w:pPr>
              <w:rPr>
                <w:rFonts w:eastAsia="Times New Roman"/>
                <w:sz w:val="20"/>
                <w:szCs w:val="20"/>
              </w:rPr>
            </w:pPr>
          </w:p>
        </w:tc>
        <w:tc>
          <w:tcPr>
            <w:tcW w:w="0" w:type="auto"/>
            <w:vAlign w:val="center"/>
            <w:hideMark/>
          </w:tcPr>
          <w:p w14:paraId="2DBD98EA" w14:textId="77777777" w:rsidR="00000000" w:rsidRDefault="00195E73">
            <w:pPr>
              <w:rPr>
                <w:rFonts w:eastAsia="Times New Roman"/>
                <w:sz w:val="20"/>
                <w:szCs w:val="20"/>
              </w:rPr>
            </w:pPr>
          </w:p>
        </w:tc>
        <w:tc>
          <w:tcPr>
            <w:tcW w:w="0" w:type="auto"/>
            <w:vAlign w:val="center"/>
            <w:hideMark/>
          </w:tcPr>
          <w:p w14:paraId="5DA00BFE" w14:textId="77777777" w:rsidR="00000000" w:rsidRDefault="00195E73">
            <w:pPr>
              <w:rPr>
                <w:rFonts w:eastAsia="Times New Roman"/>
                <w:sz w:val="20"/>
                <w:szCs w:val="20"/>
              </w:rPr>
            </w:pPr>
          </w:p>
        </w:tc>
        <w:tc>
          <w:tcPr>
            <w:tcW w:w="0" w:type="auto"/>
            <w:vAlign w:val="center"/>
            <w:hideMark/>
          </w:tcPr>
          <w:p w14:paraId="5FF8F7F2" w14:textId="77777777" w:rsidR="00000000" w:rsidRDefault="00195E73">
            <w:pPr>
              <w:rPr>
                <w:rFonts w:eastAsia="Times New Roman"/>
                <w:sz w:val="20"/>
                <w:szCs w:val="20"/>
              </w:rPr>
            </w:pPr>
          </w:p>
        </w:tc>
        <w:tc>
          <w:tcPr>
            <w:tcW w:w="0" w:type="auto"/>
            <w:vAlign w:val="center"/>
            <w:hideMark/>
          </w:tcPr>
          <w:p w14:paraId="6D4CF599" w14:textId="77777777" w:rsidR="00000000" w:rsidRDefault="00195E73">
            <w:pPr>
              <w:rPr>
                <w:rFonts w:eastAsia="Times New Roman"/>
                <w:sz w:val="20"/>
                <w:szCs w:val="20"/>
              </w:rPr>
            </w:pPr>
          </w:p>
        </w:tc>
        <w:tc>
          <w:tcPr>
            <w:tcW w:w="0" w:type="auto"/>
            <w:vAlign w:val="center"/>
            <w:hideMark/>
          </w:tcPr>
          <w:p w14:paraId="3C76E3FF" w14:textId="77777777" w:rsidR="00000000" w:rsidRDefault="00195E73">
            <w:pPr>
              <w:rPr>
                <w:rFonts w:eastAsia="Times New Roman"/>
                <w:sz w:val="20"/>
                <w:szCs w:val="20"/>
              </w:rPr>
            </w:pPr>
          </w:p>
        </w:tc>
        <w:tc>
          <w:tcPr>
            <w:tcW w:w="0" w:type="auto"/>
            <w:vAlign w:val="center"/>
            <w:hideMark/>
          </w:tcPr>
          <w:p w14:paraId="38157964" w14:textId="77777777" w:rsidR="00000000" w:rsidRDefault="00195E73">
            <w:pPr>
              <w:rPr>
                <w:rFonts w:eastAsia="Times New Roman"/>
                <w:sz w:val="20"/>
                <w:szCs w:val="20"/>
              </w:rPr>
            </w:pPr>
          </w:p>
        </w:tc>
      </w:tr>
      <w:tr w:rsidR="00000000" w14:paraId="72F4B25E" w14:textId="77777777">
        <w:trPr>
          <w:divId w:val="1979872608"/>
          <w:jc w:val="center"/>
        </w:trPr>
        <w:tc>
          <w:tcPr>
            <w:tcW w:w="0" w:type="auto"/>
            <w:gridSpan w:val="3"/>
            <w:shd w:val="clear" w:color="auto" w:fill="CCEEFF"/>
            <w:tcMar>
              <w:top w:w="30" w:type="dxa"/>
              <w:left w:w="20" w:type="dxa"/>
              <w:bottom w:w="30" w:type="dxa"/>
              <w:right w:w="20" w:type="dxa"/>
            </w:tcMar>
            <w:vAlign w:val="bottom"/>
            <w:hideMark/>
          </w:tcPr>
          <w:p w14:paraId="3E113A38" w14:textId="77777777" w:rsidR="00000000" w:rsidRDefault="00195E73">
            <w:pPr>
              <w:ind w:hanging="180"/>
              <w:divId w:val="1429960337"/>
              <w:rPr>
                <w:rFonts w:eastAsia="Times New Roman"/>
              </w:rPr>
            </w:pPr>
            <w:r>
              <w:rPr>
                <w:rFonts w:eastAsia="Times New Roman"/>
                <w:color w:val="000000"/>
                <w:sz w:val="18"/>
                <w:szCs w:val="18"/>
              </w:rPr>
              <w:t>Dividends and distributions to non-controlling interests in subsidiarie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14:paraId="35F34ADD"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18BD5E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C9AD68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25461F"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FFFF2F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918060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AC2BC3"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D179CE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DEBF5B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3DF0C7" w14:textId="77777777" w:rsidR="00000000" w:rsidRDefault="00195E73">
            <w:pPr>
              <w:jc w:val="right"/>
              <w:rPr>
                <w:rFonts w:eastAsia="Times New Roman"/>
              </w:rPr>
            </w:pPr>
            <w:r>
              <w:rPr>
                <w:rFonts w:eastAsia="Times New Roman"/>
                <w:color w:val="000000"/>
                <w:sz w:val="18"/>
                <w:szCs w:val="18"/>
              </w:rPr>
              <w:t>(92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434ADBD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9E0568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64D602" w14:textId="77777777" w:rsidR="00000000" w:rsidRDefault="00195E73">
            <w:pPr>
              <w:jc w:val="right"/>
              <w:rPr>
                <w:rFonts w:eastAsia="Times New Roman"/>
              </w:rPr>
            </w:pPr>
            <w:r>
              <w:rPr>
                <w:rFonts w:eastAsia="Times New Roman"/>
                <w:color w:val="000000"/>
                <w:sz w:val="18"/>
                <w:szCs w:val="18"/>
              </w:rPr>
              <w:t>(92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1D72D775"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59C056FA" w14:textId="77777777" w:rsidR="00000000" w:rsidRDefault="00195E73">
            <w:pPr>
              <w:rPr>
                <w:rFonts w:eastAsia="Times New Roman"/>
                <w:sz w:val="20"/>
                <w:szCs w:val="20"/>
              </w:rPr>
            </w:pPr>
          </w:p>
        </w:tc>
        <w:tc>
          <w:tcPr>
            <w:tcW w:w="0" w:type="auto"/>
            <w:vAlign w:val="center"/>
            <w:hideMark/>
          </w:tcPr>
          <w:p w14:paraId="42D5ACDB" w14:textId="77777777" w:rsidR="00000000" w:rsidRDefault="00195E73">
            <w:pPr>
              <w:rPr>
                <w:rFonts w:eastAsia="Times New Roman"/>
                <w:sz w:val="20"/>
                <w:szCs w:val="20"/>
              </w:rPr>
            </w:pPr>
          </w:p>
        </w:tc>
        <w:tc>
          <w:tcPr>
            <w:tcW w:w="0" w:type="auto"/>
            <w:vAlign w:val="center"/>
            <w:hideMark/>
          </w:tcPr>
          <w:p w14:paraId="1A5526F3" w14:textId="77777777" w:rsidR="00000000" w:rsidRDefault="00195E73">
            <w:pPr>
              <w:rPr>
                <w:rFonts w:eastAsia="Times New Roman"/>
                <w:sz w:val="20"/>
                <w:szCs w:val="20"/>
              </w:rPr>
            </w:pPr>
          </w:p>
        </w:tc>
        <w:tc>
          <w:tcPr>
            <w:tcW w:w="0" w:type="auto"/>
            <w:vAlign w:val="center"/>
            <w:hideMark/>
          </w:tcPr>
          <w:p w14:paraId="4FC40680" w14:textId="77777777" w:rsidR="00000000" w:rsidRDefault="00195E73">
            <w:pPr>
              <w:rPr>
                <w:rFonts w:eastAsia="Times New Roman"/>
                <w:sz w:val="20"/>
                <w:szCs w:val="20"/>
              </w:rPr>
            </w:pPr>
          </w:p>
        </w:tc>
        <w:tc>
          <w:tcPr>
            <w:tcW w:w="0" w:type="auto"/>
            <w:vAlign w:val="center"/>
            <w:hideMark/>
          </w:tcPr>
          <w:p w14:paraId="2E3A4E9E" w14:textId="77777777" w:rsidR="00000000" w:rsidRDefault="00195E73">
            <w:pPr>
              <w:rPr>
                <w:rFonts w:eastAsia="Times New Roman"/>
                <w:sz w:val="20"/>
                <w:szCs w:val="20"/>
              </w:rPr>
            </w:pPr>
          </w:p>
        </w:tc>
        <w:tc>
          <w:tcPr>
            <w:tcW w:w="0" w:type="auto"/>
            <w:vAlign w:val="center"/>
            <w:hideMark/>
          </w:tcPr>
          <w:p w14:paraId="0DE6CF61" w14:textId="77777777" w:rsidR="00000000" w:rsidRDefault="00195E73">
            <w:pPr>
              <w:rPr>
                <w:rFonts w:eastAsia="Times New Roman"/>
                <w:sz w:val="20"/>
                <w:szCs w:val="20"/>
              </w:rPr>
            </w:pPr>
          </w:p>
        </w:tc>
        <w:tc>
          <w:tcPr>
            <w:tcW w:w="0" w:type="auto"/>
            <w:vAlign w:val="center"/>
            <w:hideMark/>
          </w:tcPr>
          <w:p w14:paraId="6AAE76C1" w14:textId="77777777" w:rsidR="00000000" w:rsidRDefault="00195E73">
            <w:pPr>
              <w:rPr>
                <w:rFonts w:eastAsia="Times New Roman"/>
                <w:sz w:val="20"/>
                <w:szCs w:val="20"/>
              </w:rPr>
            </w:pPr>
          </w:p>
        </w:tc>
        <w:tc>
          <w:tcPr>
            <w:tcW w:w="0" w:type="auto"/>
            <w:vAlign w:val="center"/>
            <w:hideMark/>
          </w:tcPr>
          <w:p w14:paraId="420EC4FF" w14:textId="77777777" w:rsidR="00000000" w:rsidRDefault="00195E73">
            <w:pPr>
              <w:rPr>
                <w:rFonts w:eastAsia="Times New Roman"/>
                <w:sz w:val="20"/>
                <w:szCs w:val="20"/>
              </w:rPr>
            </w:pPr>
          </w:p>
        </w:tc>
        <w:tc>
          <w:tcPr>
            <w:tcW w:w="0" w:type="auto"/>
            <w:vAlign w:val="center"/>
            <w:hideMark/>
          </w:tcPr>
          <w:p w14:paraId="4BA84048" w14:textId="77777777" w:rsidR="00000000" w:rsidRDefault="00195E73">
            <w:pPr>
              <w:rPr>
                <w:rFonts w:eastAsia="Times New Roman"/>
                <w:sz w:val="20"/>
                <w:szCs w:val="20"/>
              </w:rPr>
            </w:pPr>
          </w:p>
        </w:tc>
        <w:tc>
          <w:tcPr>
            <w:tcW w:w="0" w:type="auto"/>
            <w:vAlign w:val="center"/>
            <w:hideMark/>
          </w:tcPr>
          <w:p w14:paraId="10B6D53D" w14:textId="77777777" w:rsidR="00000000" w:rsidRDefault="00195E73">
            <w:pPr>
              <w:rPr>
                <w:rFonts w:eastAsia="Times New Roman"/>
                <w:sz w:val="20"/>
                <w:szCs w:val="20"/>
              </w:rPr>
            </w:pPr>
          </w:p>
        </w:tc>
        <w:tc>
          <w:tcPr>
            <w:tcW w:w="0" w:type="auto"/>
            <w:vAlign w:val="center"/>
            <w:hideMark/>
          </w:tcPr>
          <w:p w14:paraId="511F38C9" w14:textId="77777777" w:rsidR="00000000" w:rsidRDefault="00195E73">
            <w:pPr>
              <w:rPr>
                <w:rFonts w:eastAsia="Times New Roman"/>
                <w:sz w:val="20"/>
                <w:szCs w:val="20"/>
              </w:rPr>
            </w:pPr>
          </w:p>
        </w:tc>
        <w:tc>
          <w:tcPr>
            <w:tcW w:w="0" w:type="auto"/>
            <w:vAlign w:val="center"/>
            <w:hideMark/>
          </w:tcPr>
          <w:p w14:paraId="35D256A1" w14:textId="77777777" w:rsidR="00000000" w:rsidRDefault="00195E73">
            <w:pPr>
              <w:rPr>
                <w:rFonts w:eastAsia="Times New Roman"/>
                <w:sz w:val="20"/>
                <w:szCs w:val="20"/>
              </w:rPr>
            </w:pPr>
          </w:p>
        </w:tc>
        <w:tc>
          <w:tcPr>
            <w:tcW w:w="0" w:type="auto"/>
            <w:vAlign w:val="center"/>
            <w:hideMark/>
          </w:tcPr>
          <w:p w14:paraId="61522FA2" w14:textId="77777777" w:rsidR="00000000" w:rsidRDefault="00195E73">
            <w:pPr>
              <w:rPr>
                <w:rFonts w:eastAsia="Times New Roman"/>
                <w:sz w:val="20"/>
                <w:szCs w:val="20"/>
              </w:rPr>
            </w:pPr>
          </w:p>
        </w:tc>
        <w:tc>
          <w:tcPr>
            <w:tcW w:w="0" w:type="auto"/>
            <w:vAlign w:val="center"/>
            <w:hideMark/>
          </w:tcPr>
          <w:p w14:paraId="28FA4F31" w14:textId="77777777" w:rsidR="00000000" w:rsidRDefault="00195E73">
            <w:pPr>
              <w:rPr>
                <w:rFonts w:eastAsia="Times New Roman"/>
                <w:sz w:val="20"/>
                <w:szCs w:val="20"/>
              </w:rPr>
            </w:pPr>
          </w:p>
        </w:tc>
        <w:tc>
          <w:tcPr>
            <w:tcW w:w="0" w:type="auto"/>
            <w:vAlign w:val="center"/>
            <w:hideMark/>
          </w:tcPr>
          <w:p w14:paraId="25BCCF83" w14:textId="77777777" w:rsidR="00000000" w:rsidRDefault="00195E73">
            <w:pPr>
              <w:rPr>
                <w:rFonts w:eastAsia="Times New Roman"/>
                <w:sz w:val="20"/>
                <w:szCs w:val="20"/>
              </w:rPr>
            </w:pPr>
          </w:p>
        </w:tc>
        <w:tc>
          <w:tcPr>
            <w:tcW w:w="0" w:type="auto"/>
            <w:vAlign w:val="center"/>
            <w:hideMark/>
          </w:tcPr>
          <w:p w14:paraId="57719DB8" w14:textId="77777777" w:rsidR="00000000" w:rsidRDefault="00195E73">
            <w:pPr>
              <w:rPr>
                <w:rFonts w:eastAsia="Times New Roman"/>
                <w:sz w:val="20"/>
                <w:szCs w:val="20"/>
              </w:rPr>
            </w:pPr>
          </w:p>
        </w:tc>
        <w:tc>
          <w:tcPr>
            <w:tcW w:w="0" w:type="auto"/>
            <w:vAlign w:val="center"/>
            <w:hideMark/>
          </w:tcPr>
          <w:p w14:paraId="3CBC8079" w14:textId="77777777" w:rsidR="00000000" w:rsidRDefault="00195E73">
            <w:pPr>
              <w:rPr>
                <w:rFonts w:eastAsia="Times New Roman"/>
                <w:sz w:val="20"/>
                <w:szCs w:val="20"/>
              </w:rPr>
            </w:pPr>
          </w:p>
        </w:tc>
        <w:tc>
          <w:tcPr>
            <w:tcW w:w="0" w:type="auto"/>
            <w:vAlign w:val="center"/>
            <w:hideMark/>
          </w:tcPr>
          <w:p w14:paraId="269979A0" w14:textId="77777777" w:rsidR="00000000" w:rsidRDefault="00195E73">
            <w:pPr>
              <w:rPr>
                <w:rFonts w:eastAsia="Times New Roman"/>
                <w:sz w:val="20"/>
                <w:szCs w:val="20"/>
              </w:rPr>
            </w:pPr>
          </w:p>
        </w:tc>
        <w:tc>
          <w:tcPr>
            <w:tcW w:w="0" w:type="auto"/>
            <w:vAlign w:val="center"/>
            <w:hideMark/>
          </w:tcPr>
          <w:p w14:paraId="68DBB688" w14:textId="77777777" w:rsidR="00000000" w:rsidRDefault="00195E73">
            <w:pPr>
              <w:rPr>
                <w:rFonts w:eastAsia="Times New Roman"/>
                <w:sz w:val="20"/>
                <w:szCs w:val="20"/>
              </w:rPr>
            </w:pPr>
          </w:p>
        </w:tc>
        <w:tc>
          <w:tcPr>
            <w:tcW w:w="0" w:type="auto"/>
            <w:vAlign w:val="center"/>
            <w:hideMark/>
          </w:tcPr>
          <w:p w14:paraId="4FF65D37" w14:textId="77777777" w:rsidR="00000000" w:rsidRDefault="00195E73">
            <w:pPr>
              <w:rPr>
                <w:rFonts w:eastAsia="Times New Roman"/>
                <w:sz w:val="20"/>
                <w:szCs w:val="20"/>
              </w:rPr>
            </w:pPr>
          </w:p>
        </w:tc>
        <w:tc>
          <w:tcPr>
            <w:tcW w:w="0" w:type="auto"/>
            <w:vAlign w:val="center"/>
            <w:hideMark/>
          </w:tcPr>
          <w:p w14:paraId="3962F0B4" w14:textId="77777777" w:rsidR="00000000" w:rsidRDefault="00195E73">
            <w:pPr>
              <w:rPr>
                <w:rFonts w:eastAsia="Times New Roman"/>
                <w:sz w:val="20"/>
                <w:szCs w:val="20"/>
              </w:rPr>
            </w:pPr>
          </w:p>
        </w:tc>
        <w:tc>
          <w:tcPr>
            <w:tcW w:w="0" w:type="auto"/>
            <w:vAlign w:val="center"/>
            <w:hideMark/>
          </w:tcPr>
          <w:p w14:paraId="23B90E8C" w14:textId="77777777" w:rsidR="00000000" w:rsidRDefault="00195E73">
            <w:pPr>
              <w:rPr>
                <w:rFonts w:eastAsia="Times New Roman"/>
                <w:sz w:val="20"/>
                <w:szCs w:val="20"/>
              </w:rPr>
            </w:pPr>
          </w:p>
        </w:tc>
        <w:tc>
          <w:tcPr>
            <w:tcW w:w="0" w:type="auto"/>
            <w:vAlign w:val="center"/>
            <w:hideMark/>
          </w:tcPr>
          <w:p w14:paraId="0D6FCC95" w14:textId="77777777" w:rsidR="00000000" w:rsidRDefault="00195E73">
            <w:pPr>
              <w:rPr>
                <w:rFonts w:eastAsia="Times New Roman"/>
                <w:sz w:val="20"/>
                <w:szCs w:val="20"/>
              </w:rPr>
            </w:pPr>
          </w:p>
        </w:tc>
        <w:tc>
          <w:tcPr>
            <w:tcW w:w="0" w:type="auto"/>
            <w:vAlign w:val="center"/>
            <w:hideMark/>
          </w:tcPr>
          <w:p w14:paraId="15081AB1" w14:textId="77777777" w:rsidR="00000000" w:rsidRDefault="00195E73">
            <w:pPr>
              <w:rPr>
                <w:rFonts w:eastAsia="Times New Roman"/>
                <w:sz w:val="20"/>
                <w:szCs w:val="20"/>
              </w:rPr>
            </w:pPr>
          </w:p>
        </w:tc>
      </w:tr>
      <w:tr w:rsidR="00000000" w14:paraId="1B32FA88" w14:textId="77777777">
        <w:trPr>
          <w:divId w:val="1979872608"/>
          <w:jc w:val="center"/>
        </w:trPr>
        <w:tc>
          <w:tcPr>
            <w:tcW w:w="0" w:type="auto"/>
            <w:gridSpan w:val="3"/>
            <w:shd w:val="clear" w:color="auto" w:fill="FFFFFF"/>
            <w:tcMar>
              <w:top w:w="30" w:type="dxa"/>
              <w:left w:w="180" w:type="dxa"/>
              <w:bottom w:w="30" w:type="dxa"/>
              <w:right w:w="20" w:type="dxa"/>
            </w:tcMar>
            <w:vAlign w:val="bottom"/>
            <w:hideMark/>
          </w:tcPr>
          <w:p w14:paraId="306BB796" w14:textId="77777777" w:rsidR="00000000" w:rsidRDefault="00195E73">
            <w:pPr>
              <w:rPr>
                <w:rFonts w:eastAsia="Times New Roman"/>
              </w:rPr>
            </w:pPr>
            <w:r>
              <w:rPr>
                <w:rFonts w:eastAsia="Times New Roman"/>
                <w:color w:val="000000"/>
                <w:sz w:val="18"/>
                <w:szCs w:val="18"/>
              </w:rPr>
              <w:t>Cumulative effect adjustment from adoption of accounting principl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14:paraId="2F6EBDA6"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66E601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368796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06C069" w14:textId="77777777" w:rsidR="00000000" w:rsidRDefault="00195E73">
            <w:pPr>
              <w:jc w:val="right"/>
              <w:rPr>
                <w:rFonts w:eastAsia="Times New Roman"/>
              </w:rPr>
            </w:pPr>
            <w:r>
              <w:rPr>
                <w:rFonts w:eastAsia="Times New Roman"/>
                <w:color w:val="000000"/>
                <w:sz w:val="18"/>
                <w:szCs w:val="18"/>
              </w:rPr>
              <w:t>(47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60103B0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9B4A4C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223318" w14:textId="77777777" w:rsidR="00000000" w:rsidRDefault="00195E73">
            <w:pPr>
              <w:jc w:val="right"/>
              <w:rPr>
                <w:rFonts w:eastAsia="Times New Roman"/>
              </w:rPr>
            </w:pPr>
            <w:r>
              <w:rPr>
                <w:rFonts w:eastAsia="Times New Roman"/>
                <w:color w:val="000000"/>
                <w:sz w:val="18"/>
                <w:szCs w:val="18"/>
              </w:rPr>
              <w:t>(47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050F008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B94089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1A88FB"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A05F64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1C4D2C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D650B1" w14:textId="77777777" w:rsidR="00000000" w:rsidRDefault="00195E73">
            <w:pPr>
              <w:jc w:val="right"/>
              <w:rPr>
                <w:rFonts w:eastAsia="Times New Roman"/>
              </w:rPr>
            </w:pPr>
            <w:r>
              <w:rPr>
                <w:rFonts w:eastAsia="Times New Roman"/>
                <w:color w:val="000000"/>
                <w:sz w:val="18"/>
                <w:szCs w:val="18"/>
              </w:rPr>
              <w:t>(47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26E26594"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565F98FC" w14:textId="77777777" w:rsidR="00000000" w:rsidRDefault="00195E73">
            <w:pPr>
              <w:rPr>
                <w:rFonts w:eastAsia="Times New Roman"/>
                <w:sz w:val="20"/>
                <w:szCs w:val="20"/>
              </w:rPr>
            </w:pPr>
          </w:p>
        </w:tc>
        <w:tc>
          <w:tcPr>
            <w:tcW w:w="0" w:type="auto"/>
            <w:vAlign w:val="center"/>
            <w:hideMark/>
          </w:tcPr>
          <w:p w14:paraId="2C7CDA8F" w14:textId="77777777" w:rsidR="00000000" w:rsidRDefault="00195E73">
            <w:pPr>
              <w:rPr>
                <w:rFonts w:eastAsia="Times New Roman"/>
                <w:sz w:val="20"/>
                <w:szCs w:val="20"/>
              </w:rPr>
            </w:pPr>
          </w:p>
        </w:tc>
        <w:tc>
          <w:tcPr>
            <w:tcW w:w="0" w:type="auto"/>
            <w:vAlign w:val="center"/>
            <w:hideMark/>
          </w:tcPr>
          <w:p w14:paraId="4CD95FB6" w14:textId="77777777" w:rsidR="00000000" w:rsidRDefault="00195E73">
            <w:pPr>
              <w:rPr>
                <w:rFonts w:eastAsia="Times New Roman"/>
                <w:sz w:val="20"/>
                <w:szCs w:val="20"/>
              </w:rPr>
            </w:pPr>
          </w:p>
        </w:tc>
        <w:tc>
          <w:tcPr>
            <w:tcW w:w="0" w:type="auto"/>
            <w:vAlign w:val="center"/>
            <w:hideMark/>
          </w:tcPr>
          <w:p w14:paraId="4A39B90F" w14:textId="77777777" w:rsidR="00000000" w:rsidRDefault="00195E73">
            <w:pPr>
              <w:rPr>
                <w:rFonts w:eastAsia="Times New Roman"/>
                <w:sz w:val="20"/>
                <w:szCs w:val="20"/>
              </w:rPr>
            </w:pPr>
          </w:p>
        </w:tc>
        <w:tc>
          <w:tcPr>
            <w:tcW w:w="0" w:type="auto"/>
            <w:vAlign w:val="center"/>
            <w:hideMark/>
          </w:tcPr>
          <w:p w14:paraId="237D5C87" w14:textId="77777777" w:rsidR="00000000" w:rsidRDefault="00195E73">
            <w:pPr>
              <w:rPr>
                <w:rFonts w:eastAsia="Times New Roman"/>
                <w:sz w:val="20"/>
                <w:szCs w:val="20"/>
              </w:rPr>
            </w:pPr>
          </w:p>
        </w:tc>
        <w:tc>
          <w:tcPr>
            <w:tcW w:w="0" w:type="auto"/>
            <w:vAlign w:val="center"/>
            <w:hideMark/>
          </w:tcPr>
          <w:p w14:paraId="1B5365FC" w14:textId="77777777" w:rsidR="00000000" w:rsidRDefault="00195E73">
            <w:pPr>
              <w:rPr>
                <w:rFonts w:eastAsia="Times New Roman"/>
                <w:sz w:val="20"/>
                <w:szCs w:val="20"/>
              </w:rPr>
            </w:pPr>
          </w:p>
        </w:tc>
        <w:tc>
          <w:tcPr>
            <w:tcW w:w="0" w:type="auto"/>
            <w:vAlign w:val="center"/>
            <w:hideMark/>
          </w:tcPr>
          <w:p w14:paraId="697C3E33" w14:textId="77777777" w:rsidR="00000000" w:rsidRDefault="00195E73">
            <w:pPr>
              <w:rPr>
                <w:rFonts w:eastAsia="Times New Roman"/>
                <w:sz w:val="20"/>
                <w:szCs w:val="20"/>
              </w:rPr>
            </w:pPr>
          </w:p>
        </w:tc>
        <w:tc>
          <w:tcPr>
            <w:tcW w:w="0" w:type="auto"/>
            <w:vAlign w:val="center"/>
            <w:hideMark/>
          </w:tcPr>
          <w:p w14:paraId="5E6B1992" w14:textId="77777777" w:rsidR="00000000" w:rsidRDefault="00195E73">
            <w:pPr>
              <w:rPr>
                <w:rFonts w:eastAsia="Times New Roman"/>
                <w:sz w:val="20"/>
                <w:szCs w:val="20"/>
              </w:rPr>
            </w:pPr>
          </w:p>
        </w:tc>
        <w:tc>
          <w:tcPr>
            <w:tcW w:w="0" w:type="auto"/>
            <w:vAlign w:val="center"/>
            <w:hideMark/>
          </w:tcPr>
          <w:p w14:paraId="4DC0D738" w14:textId="77777777" w:rsidR="00000000" w:rsidRDefault="00195E73">
            <w:pPr>
              <w:rPr>
                <w:rFonts w:eastAsia="Times New Roman"/>
                <w:sz w:val="20"/>
                <w:szCs w:val="20"/>
              </w:rPr>
            </w:pPr>
          </w:p>
        </w:tc>
        <w:tc>
          <w:tcPr>
            <w:tcW w:w="0" w:type="auto"/>
            <w:vAlign w:val="center"/>
            <w:hideMark/>
          </w:tcPr>
          <w:p w14:paraId="7A0D6FBC" w14:textId="77777777" w:rsidR="00000000" w:rsidRDefault="00195E73">
            <w:pPr>
              <w:rPr>
                <w:rFonts w:eastAsia="Times New Roman"/>
                <w:sz w:val="20"/>
                <w:szCs w:val="20"/>
              </w:rPr>
            </w:pPr>
          </w:p>
        </w:tc>
        <w:tc>
          <w:tcPr>
            <w:tcW w:w="0" w:type="auto"/>
            <w:vAlign w:val="center"/>
            <w:hideMark/>
          </w:tcPr>
          <w:p w14:paraId="70846AD1" w14:textId="77777777" w:rsidR="00000000" w:rsidRDefault="00195E73">
            <w:pPr>
              <w:rPr>
                <w:rFonts w:eastAsia="Times New Roman"/>
                <w:sz w:val="20"/>
                <w:szCs w:val="20"/>
              </w:rPr>
            </w:pPr>
          </w:p>
        </w:tc>
        <w:tc>
          <w:tcPr>
            <w:tcW w:w="0" w:type="auto"/>
            <w:vAlign w:val="center"/>
            <w:hideMark/>
          </w:tcPr>
          <w:p w14:paraId="2302C6F1" w14:textId="77777777" w:rsidR="00000000" w:rsidRDefault="00195E73">
            <w:pPr>
              <w:rPr>
                <w:rFonts w:eastAsia="Times New Roman"/>
                <w:sz w:val="20"/>
                <w:szCs w:val="20"/>
              </w:rPr>
            </w:pPr>
          </w:p>
        </w:tc>
        <w:tc>
          <w:tcPr>
            <w:tcW w:w="0" w:type="auto"/>
            <w:vAlign w:val="center"/>
            <w:hideMark/>
          </w:tcPr>
          <w:p w14:paraId="3C96DE7F" w14:textId="77777777" w:rsidR="00000000" w:rsidRDefault="00195E73">
            <w:pPr>
              <w:rPr>
                <w:rFonts w:eastAsia="Times New Roman"/>
                <w:sz w:val="20"/>
                <w:szCs w:val="20"/>
              </w:rPr>
            </w:pPr>
          </w:p>
        </w:tc>
        <w:tc>
          <w:tcPr>
            <w:tcW w:w="0" w:type="auto"/>
            <w:vAlign w:val="center"/>
            <w:hideMark/>
          </w:tcPr>
          <w:p w14:paraId="02E28AE7" w14:textId="77777777" w:rsidR="00000000" w:rsidRDefault="00195E73">
            <w:pPr>
              <w:rPr>
                <w:rFonts w:eastAsia="Times New Roman"/>
                <w:sz w:val="20"/>
                <w:szCs w:val="20"/>
              </w:rPr>
            </w:pPr>
          </w:p>
        </w:tc>
        <w:tc>
          <w:tcPr>
            <w:tcW w:w="0" w:type="auto"/>
            <w:vAlign w:val="center"/>
            <w:hideMark/>
          </w:tcPr>
          <w:p w14:paraId="47F76E73" w14:textId="77777777" w:rsidR="00000000" w:rsidRDefault="00195E73">
            <w:pPr>
              <w:rPr>
                <w:rFonts w:eastAsia="Times New Roman"/>
                <w:sz w:val="20"/>
                <w:szCs w:val="20"/>
              </w:rPr>
            </w:pPr>
          </w:p>
        </w:tc>
        <w:tc>
          <w:tcPr>
            <w:tcW w:w="0" w:type="auto"/>
            <w:vAlign w:val="center"/>
            <w:hideMark/>
          </w:tcPr>
          <w:p w14:paraId="7A5503E6" w14:textId="77777777" w:rsidR="00000000" w:rsidRDefault="00195E73">
            <w:pPr>
              <w:rPr>
                <w:rFonts w:eastAsia="Times New Roman"/>
                <w:sz w:val="20"/>
                <w:szCs w:val="20"/>
              </w:rPr>
            </w:pPr>
          </w:p>
        </w:tc>
        <w:tc>
          <w:tcPr>
            <w:tcW w:w="0" w:type="auto"/>
            <w:vAlign w:val="center"/>
            <w:hideMark/>
          </w:tcPr>
          <w:p w14:paraId="2A838265" w14:textId="77777777" w:rsidR="00000000" w:rsidRDefault="00195E73">
            <w:pPr>
              <w:rPr>
                <w:rFonts w:eastAsia="Times New Roman"/>
                <w:sz w:val="20"/>
                <w:szCs w:val="20"/>
              </w:rPr>
            </w:pPr>
          </w:p>
        </w:tc>
        <w:tc>
          <w:tcPr>
            <w:tcW w:w="0" w:type="auto"/>
            <w:vAlign w:val="center"/>
            <w:hideMark/>
          </w:tcPr>
          <w:p w14:paraId="122E2FA4" w14:textId="77777777" w:rsidR="00000000" w:rsidRDefault="00195E73">
            <w:pPr>
              <w:rPr>
                <w:rFonts w:eastAsia="Times New Roman"/>
                <w:sz w:val="20"/>
                <w:szCs w:val="20"/>
              </w:rPr>
            </w:pPr>
          </w:p>
        </w:tc>
        <w:tc>
          <w:tcPr>
            <w:tcW w:w="0" w:type="auto"/>
            <w:vAlign w:val="center"/>
            <w:hideMark/>
          </w:tcPr>
          <w:p w14:paraId="10E65CFB" w14:textId="77777777" w:rsidR="00000000" w:rsidRDefault="00195E73">
            <w:pPr>
              <w:rPr>
                <w:rFonts w:eastAsia="Times New Roman"/>
                <w:sz w:val="20"/>
                <w:szCs w:val="20"/>
              </w:rPr>
            </w:pPr>
          </w:p>
        </w:tc>
        <w:tc>
          <w:tcPr>
            <w:tcW w:w="0" w:type="auto"/>
            <w:vAlign w:val="center"/>
            <w:hideMark/>
          </w:tcPr>
          <w:p w14:paraId="7089B7B6" w14:textId="77777777" w:rsidR="00000000" w:rsidRDefault="00195E73">
            <w:pPr>
              <w:rPr>
                <w:rFonts w:eastAsia="Times New Roman"/>
                <w:sz w:val="20"/>
                <w:szCs w:val="20"/>
              </w:rPr>
            </w:pPr>
          </w:p>
        </w:tc>
        <w:tc>
          <w:tcPr>
            <w:tcW w:w="0" w:type="auto"/>
            <w:vAlign w:val="center"/>
            <w:hideMark/>
          </w:tcPr>
          <w:p w14:paraId="6E59B999" w14:textId="77777777" w:rsidR="00000000" w:rsidRDefault="00195E73">
            <w:pPr>
              <w:rPr>
                <w:rFonts w:eastAsia="Times New Roman"/>
                <w:sz w:val="20"/>
                <w:szCs w:val="20"/>
              </w:rPr>
            </w:pPr>
          </w:p>
        </w:tc>
        <w:tc>
          <w:tcPr>
            <w:tcW w:w="0" w:type="auto"/>
            <w:vAlign w:val="center"/>
            <w:hideMark/>
          </w:tcPr>
          <w:p w14:paraId="033225C9" w14:textId="77777777" w:rsidR="00000000" w:rsidRDefault="00195E73">
            <w:pPr>
              <w:rPr>
                <w:rFonts w:eastAsia="Times New Roman"/>
                <w:sz w:val="20"/>
                <w:szCs w:val="20"/>
              </w:rPr>
            </w:pPr>
          </w:p>
        </w:tc>
        <w:tc>
          <w:tcPr>
            <w:tcW w:w="0" w:type="auto"/>
            <w:vAlign w:val="center"/>
            <w:hideMark/>
          </w:tcPr>
          <w:p w14:paraId="35E04598" w14:textId="77777777" w:rsidR="00000000" w:rsidRDefault="00195E73">
            <w:pPr>
              <w:rPr>
                <w:rFonts w:eastAsia="Times New Roman"/>
                <w:sz w:val="20"/>
                <w:szCs w:val="20"/>
              </w:rPr>
            </w:pPr>
          </w:p>
        </w:tc>
        <w:tc>
          <w:tcPr>
            <w:tcW w:w="0" w:type="auto"/>
            <w:vAlign w:val="center"/>
            <w:hideMark/>
          </w:tcPr>
          <w:p w14:paraId="77DAAD30" w14:textId="77777777" w:rsidR="00000000" w:rsidRDefault="00195E73">
            <w:pPr>
              <w:rPr>
                <w:rFonts w:eastAsia="Times New Roman"/>
                <w:sz w:val="20"/>
                <w:szCs w:val="20"/>
              </w:rPr>
            </w:pPr>
          </w:p>
        </w:tc>
      </w:tr>
      <w:tr w:rsidR="00000000" w14:paraId="75E9D7CB" w14:textId="77777777">
        <w:trPr>
          <w:divId w:val="1979872608"/>
          <w:jc w:val="center"/>
        </w:trPr>
        <w:tc>
          <w:tcPr>
            <w:tcW w:w="0" w:type="auto"/>
            <w:gridSpan w:val="3"/>
            <w:shd w:val="clear" w:color="auto" w:fill="CCEEFF"/>
            <w:tcMar>
              <w:top w:w="30" w:type="dxa"/>
              <w:left w:w="20" w:type="dxa"/>
              <w:bottom w:w="30" w:type="dxa"/>
              <w:right w:w="20" w:type="dxa"/>
            </w:tcMar>
            <w:vAlign w:val="bottom"/>
            <w:hideMark/>
          </w:tcPr>
          <w:p w14:paraId="0DC2030F" w14:textId="77777777" w:rsidR="00000000" w:rsidRDefault="00195E73">
            <w:pPr>
              <w:rPr>
                <w:rFonts w:eastAsia="Times New Roman"/>
              </w:rPr>
            </w:pPr>
            <w:r>
              <w:rPr>
                <w:rFonts w:eastAsia="Times New Roman"/>
                <w:color w:val="000000"/>
                <w:sz w:val="18"/>
                <w:szCs w:val="18"/>
              </w:rPr>
              <w:t>Changes in subsidiary equity and 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14:paraId="66FC0D25" w14:textId="77777777" w:rsidR="00000000" w:rsidRDefault="00195E73">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6E91353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3B31A4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030DF3" w14:textId="77777777" w:rsidR="00000000" w:rsidRDefault="00195E73">
            <w:pPr>
              <w:jc w:val="right"/>
              <w:rPr>
                <w:rFonts w:eastAsia="Times New Roman"/>
              </w:rPr>
            </w:pPr>
            <w:r>
              <w:rPr>
                <w:rFonts w:eastAsia="Times New Roman"/>
                <w:color w:val="000000"/>
                <w:sz w:val="18"/>
                <w:szCs w:val="18"/>
              </w:rPr>
              <w:t>(117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53AF10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13E6E6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1DD708" w14:textId="77777777" w:rsidR="00000000" w:rsidRDefault="00195E73">
            <w:pPr>
              <w:jc w:val="right"/>
              <w:rPr>
                <w:rFonts w:eastAsia="Times New Roman"/>
              </w:rPr>
            </w:pPr>
            <w:r>
              <w:rPr>
                <w:rFonts w:eastAsia="Times New Roman"/>
                <w:color w:val="000000"/>
                <w:sz w:val="18"/>
                <w:szCs w:val="18"/>
              </w:rPr>
              <w:t>(119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1ACF2C8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8EC93C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EE3DD7" w14:textId="77777777" w:rsidR="00000000" w:rsidRDefault="00195E73">
            <w:pPr>
              <w:jc w:val="right"/>
              <w:rPr>
                <w:rFonts w:eastAsia="Times New Roman"/>
              </w:rPr>
            </w:pPr>
            <w:r>
              <w:rPr>
                <w:rFonts w:eastAsia="Times New Roman"/>
                <w:color w:val="000000"/>
                <w:sz w:val="18"/>
                <w:szCs w:val="18"/>
              </w:rPr>
              <w:t>(286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CC7474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407723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B6BED7" w14:textId="77777777" w:rsidR="00000000" w:rsidRDefault="00195E73">
            <w:pPr>
              <w:jc w:val="right"/>
              <w:rPr>
                <w:rFonts w:eastAsia="Times New Roman"/>
              </w:rPr>
            </w:pPr>
            <w:r>
              <w:rPr>
                <w:rFonts w:eastAsia="Times New Roman"/>
                <w:color w:val="000000"/>
                <w:sz w:val="18"/>
                <w:szCs w:val="18"/>
              </w:rPr>
              <w:t>(405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9C423C9"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349D9C3A" w14:textId="77777777" w:rsidR="00000000" w:rsidRDefault="00195E73">
            <w:pPr>
              <w:rPr>
                <w:rFonts w:eastAsia="Times New Roman"/>
                <w:sz w:val="20"/>
                <w:szCs w:val="20"/>
              </w:rPr>
            </w:pPr>
          </w:p>
        </w:tc>
        <w:tc>
          <w:tcPr>
            <w:tcW w:w="0" w:type="auto"/>
            <w:vAlign w:val="center"/>
            <w:hideMark/>
          </w:tcPr>
          <w:p w14:paraId="1D7F3E7B" w14:textId="77777777" w:rsidR="00000000" w:rsidRDefault="00195E73">
            <w:pPr>
              <w:rPr>
                <w:rFonts w:eastAsia="Times New Roman"/>
                <w:sz w:val="20"/>
                <w:szCs w:val="20"/>
              </w:rPr>
            </w:pPr>
          </w:p>
        </w:tc>
        <w:tc>
          <w:tcPr>
            <w:tcW w:w="0" w:type="auto"/>
            <w:vAlign w:val="center"/>
            <w:hideMark/>
          </w:tcPr>
          <w:p w14:paraId="358CAD41" w14:textId="77777777" w:rsidR="00000000" w:rsidRDefault="00195E73">
            <w:pPr>
              <w:rPr>
                <w:rFonts w:eastAsia="Times New Roman"/>
                <w:sz w:val="20"/>
                <w:szCs w:val="20"/>
              </w:rPr>
            </w:pPr>
          </w:p>
        </w:tc>
        <w:tc>
          <w:tcPr>
            <w:tcW w:w="0" w:type="auto"/>
            <w:vAlign w:val="center"/>
            <w:hideMark/>
          </w:tcPr>
          <w:p w14:paraId="70DF75C5" w14:textId="77777777" w:rsidR="00000000" w:rsidRDefault="00195E73">
            <w:pPr>
              <w:rPr>
                <w:rFonts w:eastAsia="Times New Roman"/>
                <w:sz w:val="20"/>
                <w:szCs w:val="20"/>
              </w:rPr>
            </w:pPr>
          </w:p>
        </w:tc>
        <w:tc>
          <w:tcPr>
            <w:tcW w:w="0" w:type="auto"/>
            <w:vAlign w:val="center"/>
            <w:hideMark/>
          </w:tcPr>
          <w:p w14:paraId="47B5FAA1" w14:textId="77777777" w:rsidR="00000000" w:rsidRDefault="00195E73">
            <w:pPr>
              <w:rPr>
                <w:rFonts w:eastAsia="Times New Roman"/>
                <w:sz w:val="20"/>
                <w:szCs w:val="20"/>
              </w:rPr>
            </w:pPr>
          </w:p>
        </w:tc>
        <w:tc>
          <w:tcPr>
            <w:tcW w:w="0" w:type="auto"/>
            <w:vAlign w:val="center"/>
            <w:hideMark/>
          </w:tcPr>
          <w:p w14:paraId="2B5CDA44" w14:textId="77777777" w:rsidR="00000000" w:rsidRDefault="00195E73">
            <w:pPr>
              <w:rPr>
                <w:rFonts w:eastAsia="Times New Roman"/>
                <w:sz w:val="20"/>
                <w:szCs w:val="20"/>
              </w:rPr>
            </w:pPr>
          </w:p>
        </w:tc>
        <w:tc>
          <w:tcPr>
            <w:tcW w:w="0" w:type="auto"/>
            <w:vAlign w:val="center"/>
            <w:hideMark/>
          </w:tcPr>
          <w:p w14:paraId="242E2C23" w14:textId="77777777" w:rsidR="00000000" w:rsidRDefault="00195E73">
            <w:pPr>
              <w:rPr>
                <w:rFonts w:eastAsia="Times New Roman"/>
                <w:sz w:val="20"/>
                <w:szCs w:val="20"/>
              </w:rPr>
            </w:pPr>
          </w:p>
        </w:tc>
        <w:tc>
          <w:tcPr>
            <w:tcW w:w="0" w:type="auto"/>
            <w:vAlign w:val="center"/>
            <w:hideMark/>
          </w:tcPr>
          <w:p w14:paraId="1A5FEE7E" w14:textId="77777777" w:rsidR="00000000" w:rsidRDefault="00195E73">
            <w:pPr>
              <w:rPr>
                <w:rFonts w:eastAsia="Times New Roman"/>
                <w:sz w:val="20"/>
                <w:szCs w:val="20"/>
              </w:rPr>
            </w:pPr>
          </w:p>
        </w:tc>
        <w:tc>
          <w:tcPr>
            <w:tcW w:w="0" w:type="auto"/>
            <w:vAlign w:val="center"/>
            <w:hideMark/>
          </w:tcPr>
          <w:p w14:paraId="6D4D1EF4" w14:textId="77777777" w:rsidR="00000000" w:rsidRDefault="00195E73">
            <w:pPr>
              <w:rPr>
                <w:rFonts w:eastAsia="Times New Roman"/>
                <w:sz w:val="20"/>
                <w:szCs w:val="20"/>
              </w:rPr>
            </w:pPr>
          </w:p>
        </w:tc>
        <w:tc>
          <w:tcPr>
            <w:tcW w:w="0" w:type="auto"/>
            <w:vAlign w:val="center"/>
            <w:hideMark/>
          </w:tcPr>
          <w:p w14:paraId="42A965E9" w14:textId="77777777" w:rsidR="00000000" w:rsidRDefault="00195E73">
            <w:pPr>
              <w:rPr>
                <w:rFonts w:eastAsia="Times New Roman"/>
                <w:sz w:val="20"/>
                <w:szCs w:val="20"/>
              </w:rPr>
            </w:pPr>
          </w:p>
        </w:tc>
        <w:tc>
          <w:tcPr>
            <w:tcW w:w="0" w:type="auto"/>
            <w:vAlign w:val="center"/>
            <w:hideMark/>
          </w:tcPr>
          <w:p w14:paraId="77B76B71" w14:textId="77777777" w:rsidR="00000000" w:rsidRDefault="00195E73">
            <w:pPr>
              <w:rPr>
                <w:rFonts w:eastAsia="Times New Roman"/>
                <w:sz w:val="20"/>
                <w:szCs w:val="20"/>
              </w:rPr>
            </w:pPr>
          </w:p>
        </w:tc>
        <w:tc>
          <w:tcPr>
            <w:tcW w:w="0" w:type="auto"/>
            <w:vAlign w:val="center"/>
            <w:hideMark/>
          </w:tcPr>
          <w:p w14:paraId="52A1B90C" w14:textId="77777777" w:rsidR="00000000" w:rsidRDefault="00195E73">
            <w:pPr>
              <w:rPr>
                <w:rFonts w:eastAsia="Times New Roman"/>
                <w:sz w:val="20"/>
                <w:szCs w:val="20"/>
              </w:rPr>
            </w:pPr>
          </w:p>
        </w:tc>
        <w:tc>
          <w:tcPr>
            <w:tcW w:w="0" w:type="auto"/>
            <w:vAlign w:val="center"/>
            <w:hideMark/>
          </w:tcPr>
          <w:p w14:paraId="2144E9E3" w14:textId="77777777" w:rsidR="00000000" w:rsidRDefault="00195E73">
            <w:pPr>
              <w:rPr>
                <w:rFonts w:eastAsia="Times New Roman"/>
                <w:sz w:val="20"/>
                <w:szCs w:val="20"/>
              </w:rPr>
            </w:pPr>
          </w:p>
        </w:tc>
        <w:tc>
          <w:tcPr>
            <w:tcW w:w="0" w:type="auto"/>
            <w:vAlign w:val="center"/>
            <w:hideMark/>
          </w:tcPr>
          <w:p w14:paraId="6BCD6BD9" w14:textId="77777777" w:rsidR="00000000" w:rsidRDefault="00195E73">
            <w:pPr>
              <w:rPr>
                <w:rFonts w:eastAsia="Times New Roman"/>
                <w:sz w:val="20"/>
                <w:szCs w:val="20"/>
              </w:rPr>
            </w:pPr>
          </w:p>
        </w:tc>
        <w:tc>
          <w:tcPr>
            <w:tcW w:w="0" w:type="auto"/>
            <w:vAlign w:val="center"/>
            <w:hideMark/>
          </w:tcPr>
          <w:p w14:paraId="42AF617D" w14:textId="77777777" w:rsidR="00000000" w:rsidRDefault="00195E73">
            <w:pPr>
              <w:rPr>
                <w:rFonts w:eastAsia="Times New Roman"/>
                <w:sz w:val="20"/>
                <w:szCs w:val="20"/>
              </w:rPr>
            </w:pPr>
          </w:p>
        </w:tc>
        <w:tc>
          <w:tcPr>
            <w:tcW w:w="0" w:type="auto"/>
            <w:vAlign w:val="center"/>
            <w:hideMark/>
          </w:tcPr>
          <w:p w14:paraId="5D3BC369" w14:textId="77777777" w:rsidR="00000000" w:rsidRDefault="00195E73">
            <w:pPr>
              <w:rPr>
                <w:rFonts w:eastAsia="Times New Roman"/>
                <w:sz w:val="20"/>
                <w:szCs w:val="20"/>
              </w:rPr>
            </w:pPr>
          </w:p>
        </w:tc>
        <w:tc>
          <w:tcPr>
            <w:tcW w:w="0" w:type="auto"/>
            <w:vAlign w:val="center"/>
            <w:hideMark/>
          </w:tcPr>
          <w:p w14:paraId="58C48C87" w14:textId="77777777" w:rsidR="00000000" w:rsidRDefault="00195E73">
            <w:pPr>
              <w:rPr>
                <w:rFonts w:eastAsia="Times New Roman"/>
                <w:sz w:val="20"/>
                <w:szCs w:val="20"/>
              </w:rPr>
            </w:pPr>
          </w:p>
        </w:tc>
        <w:tc>
          <w:tcPr>
            <w:tcW w:w="0" w:type="auto"/>
            <w:vAlign w:val="center"/>
            <w:hideMark/>
          </w:tcPr>
          <w:p w14:paraId="074FFAC7" w14:textId="77777777" w:rsidR="00000000" w:rsidRDefault="00195E73">
            <w:pPr>
              <w:rPr>
                <w:rFonts w:eastAsia="Times New Roman"/>
                <w:sz w:val="20"/>
                <w:szCs w:val="20"/>
              </w:rPr>
            </w:pPr>
          </w:p>
        </w:tc>
        <w:tc>
          <w:tcPr>
            <w:tcW w:w="0" w:type="auto"/>
            <w:vAlign w:val="center"/>
            <w:hideMark/>
          </w:tcPr>
          <w:p w14:paraId="22544EB4" w14:textId="77777777" w:rsidR="00000000" w:rsidRDefault="00195E73">
            <w:pPr>
              <w:rPr>
                <w:rFonts w:eastAsia="Times New Roman"/>
                <w:sz w:val="20"/>
                <w:szCs w:val="20"/>
              </w:rPr>
            </w:pPr>
          </w:p>
        </w:tc>
        <w:tc>
          <w:tcPr>
            <w:tcW w:w="0" w:type="auto"/>
            <w:vAlign w:val="center"/>
            <w:hideMark/>
          </w:tcPr>
          <w:p w14:paraId="175C21E4" w14:textId="77777777" w:rsidR="00000000" w:rsidRDefault="00195E73">
            <w:pPr>
              <w:rPr>
                <w:rFonts w:eastAsia="Times New Roman"/>
                <w:sz w:val="20"/>
                <w:szCs w:val="20"/>
              </w:rPr>
            </w:pPr>
          </w:p>
        </w:tc>
        <w:tc>
          <w:tcPr>
            <w:tcW w:w="0" w:type="auto"/>
            <w:vAlign w:val="center"/>
            <w:hideMark/>
          </w:tcPr>
          <w:p w14:paraId="448CDAC8" w14:textId="77777777" w:rsidR="00000000" w:rsidRDefault="00195E73">
            <w:pPr>
              <w:rPr>
                <w:rFonts w:eastAsia="Times New Roman"/>
                <w:sz w:val="20"/>
                <w:szCs w:val="20"/>
              </w:rPr>
            </w:pPr>
          </w:p>
        </w:tc>
        <w:tc>
          <w:tcPr>
            <w:tcW w:w="0" w:type="auto"/>
            <w:vAlign w:val="center"/>
            <w:hideMark/>
          </w:tcPr>
          <w:p w14:paraId="6AB1F1E9" w14:textId="77777777" w:rsidR="00000000" w:rsidRDefault="00195E73">
            <w:pPr>
              <w:rPr>
                <w:rFonts w:eastAsia="Times New Roman"/>
                <w:sz w:val="20"/>
                <w:szCs w:val="20"/>
              </w:rPr>
            </w:pPr>
          </w:p>
        </w:tc>
        <w:tc>
          <w:tcPr>
            <w:tcW w:w="0" w:type="auto"/>
            <w:vAlign w:val="center"/>
            <w:hideMark/>
          </w:tcPr>
          <w:p w14:paraId="479A6DE2" w14:textId="77777777" w:rsidR="00000000" w:rsidRDefault="00195E73">
            <w:pPr>
              <w:rPr>
                <w:rFonts w:eastAsia="Times New Roman"/>
                <w:sz w:val="20"/>
                <w:szCs w:val="20"/>
              </w:rPr>
            </w:pPr>
          </w:p>
        </w:tc>
        <w:tc>
          <w:tcPr>
            <w:tcW w:w="0" w:type="auto"/>
            <w:vAlign w:val="center"/>
            <w:hideMark/>
          </w:tcPr>
          <w:p w14:paraId="0A7642B5" w14:textId="77777777" w:rsidR="00000000" w:rsidRDefault="00195E73">
            <w:pPr>
              <w:rPr>
                <w:rFonts w:eastAsia="Times New Roman"/>
                <w:sz w:val="20"/>
                <w:szCs w:val="20"/>
              </w:rPr>
            </w:pPr>
          </w:p>
        </w:tc>
      </w:tr>
      <w:tr w:rsidR="00000000" w14:paraId="0F0DD1A7" w14:textId="77777777">
        <w:trPr>
          <w:divId w:val="1979872608"/>
          <w:jc w:val="center"/>
        </w:trPr>
        <w:tc>
          <w:tcPr>
            <w:tcW w:w="0" w:type="auto"/>
            <w:gridSpan w:val="3"/>
            <w:shd w:val="clear" w:color="auto" w:fill="FFFFFF"/>
            <w:tcMar>
              <w:top w:w="30" w:type="dxa"/>
              <w:left w:w="20" w:type="dxa"/>
              <w:bottom w:w="30" w:type="dxa"/>
              <w:right w:w="20" w:type="dxa"/>
            </w:tcMar>
            <w:vAlign w:val="bottom"/>
            <w:hideMark/>
          </w:tcPr>
          <w:p w14:paraId="27086FDF" w14:textId="77777777" w:rsidR="00000000" w:rsidRDefault="00195E73">
            <w:pPr>
              <w:rPr>
                <w:rFonts w:eastAsia="Times New Roman"/>
              </w:rPr>
            </w:pPr>
            <w:r>
              <w:rPr>
                <w:rFonts w:eastAsia="Times New Roman"/>
                <w:b/>
                <w:bCs/>
                <w:color w:val="000000"/>
                <w:sz w:val="18"/>
                <w:szCs w:val="18"/>
              </w:rPr>
              <w:t>Balance, December 31, 201</w:t>
            </w:r>
            <w:r>
              <w:rPr>
                <w:rFonts w:eastAsia="Times New Roman"/>
                <w:b/>
                <w:bCs/>
                <w:color w:val="000000"/>
                <w:sz w:val="18"/>
                <w:szCs w:val="18"/>
              </w:rPr>
              <w:t>7</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B891DC" w14:textId="77777777" w:rsidR="00000000" w:rsidRDefault="00195E73">
            <w:pPr>
              <w:jc w:val="right"/>
              <w:rPr>
                <w:rFonts w:eastAsia="Times New Roman"/>
              </w:rPr>
            </w:pPr>
            <w:r>
              <w:rPr>
                <w:rFonts w:eastAsia="Times New Roman"/>
                <w:color w:val="000000"/>
                <w:sz w:val="18"/>
                <w:szCs w:val="18"/>
              </w:rPr>
              <w:t>(286</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8C0623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784A1C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3F72A4" w14:textId="77777777" w:rsidR="00000000" w:rsidRDefault="00195E73">
            <w:pPr>
              <w:jc w:val="right"/>
              <w:rPr>
                <w:rFonts w:eastAsia="Times New Roman"/>
              </w:rPr>
            </w:pPr>
            <w:r>
              <w:rPr>
                <w:rFonts w:eastAsia="Times New Roman"/>
                <w:color w:val="000000"/>
                <w:sz w:val="18"/>
                <w:szCs w:val="18"/>
              </w:rPr>
              <w:t>5,481</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B1DB02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CFBB94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00F02E" w14:textId="77777777" w:rsidR="00000000" w:rsidRDefault="00195E73">
            <w:pPr>
              <w:jc w:val="right"/>
              <w:rPr>
                <w:rFonts w:eastAsia="Times New Roman"/>
              </w:rPr>
            </w:pPr>
            <w:r>
              <w:rPr>
                <w:rFonts w:eastAsia="Times New Roman"/>
                <w:color w:val="000000"/>
                <w:sz w:val="18"/>
                <w:szCs w:val="18"/>
              </w:rPr>
              <w:t>5,195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F0ADE7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F0464B3"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98042A" w14:textId="77777777" w:rsidR="00000000" w:rsidRDefault="00195E73">
            <w:pPr>
              <w:jc w:val="right"/>
              <w:rPr>
                <w:rFonts w:eastAsia="Times New Roman"/>
              </w:rPr>
            </w:pPr>
            <w:r>
              <w:rPr>
                <w:rFonts w:eastAsia="Times New Roman"/>
                <w:color w:val="000000"/>
                <w:sz w:val="18"/>
                <w:szCs w:val="18"/>
              </w:rPr>
              <w:t>6,318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0E490A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B8D545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EA78DC" w14:textId="77777777" w:rsidR="00000000" w:rsidRDefault="00195E73">
            <w:pPr>
              <w:jc w:val="right"/>
              <w:rPr>
                <w:rFonts w:eastAsia="Times New Roman"/>
              </w:rPr>
            </w:pPr>
            <w:r>
              <w:rPr>
                <w:rFonts w:eastAsia="Times New Roman"/>
                <w:color w:val="000000"/>
                <w:sz w:val="18"/>
                <w:szCs w:val="18"/>
              </w:rPr>
              <w:t>11,513</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92B5A2C"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3F2F4A69" w14:textId="77777777" w:rsidR="00000000" w:rsidRDefault="00195E73">
            <w:pPr>
              <w:rPr>
                <w:rFonts w:eastAsia="Times New Roman"/>
                <w:sz w:val="20"/>
                <w:szCs w:val="20"/>
              </w:rPr>
            </w:pPr>
          </w:p>
        </w:tc>
        <w:tc>
          <w:tcPr>
            <w:tcW w:w="0" w:type="auto"/>
            <w:vAlign w:val="center"/>
            <w:hideMark/>
          </w:tcPr>
          <w:p w14:paraId="144684B9" w14:textId="77777777" w:rsidR="00000000" w:rsidRDefault="00195E73">
            <w:pPr>
              <w:rPr>
                <w:rFonts w:eastAsia="Times New Roman"/>
                <w:sz w:val="20"/>
                <w:szCs w:val="20"/>
              </w:rPr>
            </w:pPr>
          </w:p>
        </w:tc>
        <w:tc>
          <w:tcPr>
            <w:tcW w:w="0" w:type="auto"/>
            <w:vAlign w:val="center"/>
            <w:hideMark/>
          </w:tcPr>
          <w:p w14:paraId="705E7A3B" w14:textId="77777777" w:rsidR="00000000" w:rsidRDefault="00195E73">
            <w:pPr>
              <w:rPr>
                <w:rFonts w:eastAsia="Times New Roman"/>
                <w:sz w:val="20"/>
                <w:szCs w:val="20"/>
              </w:rPr>
            </w:pPr>
          </w:p>
        </w:tc>
        <w:tc>
          <w:tcPr>
            <w:tcW w:w="0" w:type="auto"/>
            <w:vAlign w:val="center"/>
            <w:hideMark/>
          </w:tcPr>
          <w:p w14:paraId="73841F25" w14:textId="77777777" w:rsidR="00000000" w:rsidRDefault="00195E73">
            <w:pPr>
              <w:rPr>
                <w:rFonts w:eastAsia="Times New Roman"/>
                <w:sz w:val="20"/>
                <w:szCs w:val="20"/>
              </w:rPr>
            </w:pPr>
          </w:p>
        </w:tc>
        <w:tc>
          <w:tcPr>
            <w:tcW w:w="0" w:type="auto"/>
            <w:vAlign w:val="center"/>
            <w:hideMark/>
          </w:tcPr>
          <w:p w14:paraId="2EABB612" w14:textId="77777777" w:rsidR="00000000" w:rsidRDefault="00195E73">
            <w:pPr>
              <w:rPr>
                <w:rFonts w:eastAsia="Times New Roman"/>
                <w:sz w:val="20"/>
                <w:szCs w:val="20"/>
              </w:rPr>
            </w:pPr>
          </w:p>
        </w:tc>
        <w:tc>
          <w:tcPr>
            <w:tcW w:w="0" w:type="auto"/>
            <w:vAlign w:val="center"/>
            <w:hideMark/>
          </w:tcPr>
          <w:p w14:paraId="0C748C1C" w14:textId="77777777" w:rsidR="00000000" w:rsidRDefault="00195E73">
            <w:pPr>
              <w:rPr>
                <w:rFonts w:eastAsia="Times New Roman"/>
                <w:sz w:val="20"/>
                <w:szCs w:val="20"/>
              </w:rPr>
            </w:pPr>
          </w:p>
        </w:tc>
        <w:tc>
          <w:tcPr>
            <w:tcW w:w="0" w:type="auto"/>
            <w:vAlign w:val="center"/>
            <w:hideMark/>
          </w:tcPr>
          <w:p w14:paraId="6E2FD128" w14:textId="77777777" w:rsidR="00000000" w:rsidRDefault="00195E73">
            <w:pPr>
              <w:rPr>
                <w:rFonts w:eastAsia="Times New Roman"/>
                <w:sz w:val="20"/>
                <w:szCs w:val="20"/>
              </w:rPr>
            </w:pPr>
          </w:p>
        </w:tc>
        <w:tc>
          <w:tcPr>
            <w:tcW w:w="0" w:type="auto"/>
            <w:vAlign w:val="center"/>
            <w:hideMark/>
          </w:tcPr>
          <w:p w14:paraId="3B77D435" w14:textId="77777777" w:rsidR="00000000" w:rsidRDefault="00195E73">
            <w:pPr>
              <w:rPr>
                <w:rFonts w:eastAsia="Times New Roman"/>
                <w:sz w:val="20"/>
                <w:szCs w:val="20"/>
              </w:rPr>
            </w:pPr>
          </w:p>
        </w:tc>
        <w:tc>
          <w:tcPr>
            <w:tcW w:w="0" w:type="auto"/>
            <w:vAlign w:val="center"/>
            <w:hideMark/>
          </w:tcPr>
          <w:p w14:paraId="7F14C5A6" w14:textId="77777777" w:rsidR="00000000" w:rsidRDefault="00195E73">
            <w:pPr>
              <w:rPr>
                <w:rFonts w:eastAsia="Times New Roman"/>
                <w:sz w:val="20"/>
                <w:szCs w:val="20"/>
              </w:rPr>
            </w:pPr>
          </w:p>
        </w:tc>
        <w:tc>
          <w:tcPr>
            <w:tcW w:w="0" w:type="auto"/>
            <w:vAlign w:val="center"/>
            <w:hideMark/>
          </w:tcPr>
          <w:p w14:paraId="5AEF6DAF" w14:textId="77777777" w:rsidR="00000000" w:rsidRDefault="00195E73">
            <w:pPr>
              <w:rPr>
                <w:rFonts w:eastAsia="Times New Roman"/>
                <w:sz w:val="20"/>
                <w:szCs w:val="20"/>
              </w:rPr>
            </w:pPr>
          </w:p>
        </w:tc>
        <w:tc>
          <w:tcPr>
            <w:tcW w:w="0" w:type="auto"/>
            <w:vAlign w:val="center"/>
            <w:hideMark/>
          </w:tcPr>
          <w:p w14:paraId="2E4FC07F" w14:textId="77777777" w:rsidR="00000000" w:rsidRDefault="00195E73">
            <w:pPr>
              <w:rPr>
                <w:rFonts w:eastAsia="Times New Roman"/>
                <w:sz w:val="20"/>
                <w:szCs w:val="20"/>
              </w:rPr>
            </w:pPr>
          </w:p>
        </w:tc>
        <w:tc>
          <w:tcPr>
            <w:tcW w:w="0" w:type="auto"/>
            <w:vAlign w:val="center"/>
            <w:hideMark/>
          </w:tcPr>
          <w:p w14:paraId="44988D85" w14:textId="77777777" w:rsidR="00000000" w:rsidRDefault="00195E73">
            <w:pPr>
              <w:rPr>
                <w:rFonts w:eastAsia="Times New Roman"/>
                <w:sz w:val="20"/>
                <w:szCs w:val="20"/>
              </w:rPr>
            </w:pPr>
          </w:p>
        </w:tc>
        <w:tc>
          <w:tcPr>
            <w:tcW w:w="0" w:type="auto"/>
            <w:vAlign w:val="center"/>
            <w:hideMark/>
          </w:tcPr>
          <w:p w14:paraId="2B7A08CD" w14:textId="77777777" w:rsidR="00000000" w:rsidRDefault="00195E73">
            <w:pPr>
              <w:rPr>
                <w:rFonts w:eastAsia="Times New Roman"/>
                <w:sz w:val="20"/>
                <w:szCs w:val="20"/>
              </w:rPr>
            </w:pPr>
          </w:p>
        </w:tc>
        <w:tc>
          <w:tcPr>
            <w:tcW w:w="0" w:type="auto"/>
            <w:vAlign w:val="center"/>
            <w:hideMark/>
          </w:tcPr>
          <w:p w14:paraId="03B06004" w14:textId="77777777" w:rsidR="00000000" w:rsidRDefault="00195E73">
            <w:pPr>
              <w:rPr>
                <w:rFonts w:eastAsia="Times New Roman"/>
                <w:sz w:val="20"/>
                <w:szCs w:val="20"/>
              </w:rPr>
            </w:pPr>
          </w:p>
        </w:tc>
        <w:tc>
          <w:tcPr>
            <w:tcW w:w="0" w:type="auto"/>
            <w:vAlign w:val="center"/>
            <w:hideMark/>
          </w:tcPr>
          <w:p w14:paraId="20602E21" w14:textId="77777777" w:rsidR="00000000" w:rsidRDefault="00195E73">
            <w:pPr>
              <w:rPr>
                <w:rFonts w:eastAsia="Times New Roman"/>
                <w:sz w:val="20"/>
                <w:szCs w:val="20"/>
              </w:rPr>
            </w:pPr>
          </w:p>
        </w:tc>
        <w:tc>
          <w:tcPr>
            <w:tcW w:w="0" w:type="auto"/>
            <w:vAlign w:val="center"/>
            <w:hideMark/>
          </w:tcPr>
          <w:p w14:paraId="24D67611" w14:textId="77777777" w:rsidR="00000000" w:rsidRDefault="00195E73">
            <w:pPr>
              <w:rPr>
                <w:rFonts w:eastAsia="Times New Roman"/>
                <w:sz w:val="20"/>
                <w:szCs w:val="20"/>
              </w:rPr>
            </w:pPr>
          </w:p>
        </w:tc>
        <w:tc>
          <w:tcPr>
            <w:tcW w:w="0" w:type="auto"/>
            <w:vAlign w:val="center"/>
            <w:hideMark/>
          </w:tcPr>
          <w:p w14:paraId="527C27FE" w14:textId="77777777" w:rsidR="00000000" w:rsidRDefault="00195E73">
            <w:pPr>
              <w:rPr>
                <w:rFonts w:eastAsia="Times New Roman"/>
                <w:sz w:val="20"/>
                <w:szCs w:val="20"/>
              </w:rPr>
            </w:pPr>
          </w:p>
        </w:tc>
        <w:tc>
          <w:tcPr>
            <w:tcW w:w="0" w:type="auto"/>
            <w:vAlign w:val="center"/>
            <w:hideMark/>
          </w:tcPr>
          <w:p w14:paraId="00170F7F" w14:textId="77777777" w:rsidR="00000000" w:rsidRDefault="00195E73">
            <w:pPr>
              <w:rPr>
                <w:rFonts w:eastAsia="Times New Roman"/>
                <w:sz w:val="20"/>
                <w:szCs w:val="20"/>
              </w:rPr>
            </w:pPr>
          </w:p>
        </w:tc>
        <w:tc>
          <w:tcPr>
            <w:tcW w:w="0" w:type="auto"/>
            <w:vAlign w:val="center"/>
            <w:hideMark/>
          </w:tcPr>
          <w:p w14:paraId="0FBA34E9" w14:textId="77777777" w:rsidR="00000000" w:rsidRDefault="00195E73">
            <w:pPr>
              <w:rPr>
                <w:rFonts w:eastAsia="Times New Roman"/>
                <w:sz w:val="20"/>
                <w:szCs w:val="20"/>
              </w:rPr>
            </w:pPr>
          </w:p>
        </w:tc>
        <w:tc>
          <w:tcPr>
            <w:tcW w:w="0" w:type="auto"/>
            <w:vAlign w:val="center"/>
            <w:hideMark/>
          </w:tcPr>
          <w:p w14:paraId="758C83D8" w14:textId="77777777" w:rsidR="00000000" w:rsidRDefault="00195E73">
            <w:pPr>
              <w:rPr>
                <w:rFonts w:eastAsia="Times New Roman"/>
                <w:sz w:val="20"/>
                <w:szCs w:val="20"/>
              </w:rPr>
            </w:pPr>
          </w:p>
        </w:tc>
        <w:tc>
          <w:tcPr>
            <w:tcW w:w="0" w:type="auto"/>
            <w:vAlign w:val="center"/>
            <w:hideMark/>
          </w:tcPr>
          <w:p w14:paraId="2AAADB9E" w14:textId="77777777" w:rsidR="00000000" w:rsidRDefault="00195E73">
            <w:pPr>
              <w:rPr>
                <w:rFonts w:eastAsia="Times New Roman"/>
                <w:sz w:val="20"/>
                <w:szCs w:val="20"/>
              </w:rPr>
            </w:pPr>
          </w:p>
        </w:tc>
        <w:tc>
          <w:tcPr>
            <w:tcW w:w="0" w:type="auto"/>
            <w:vAlign w:val="center"/>
            <w:hideMark/>
          </w:tcPr>
          <w:p w14:paraId="77B7FE42" w14:textId="77777777" w:rsidR="00000000" w:rsidRDefault="00195E73">
            <w:pPr>
              <w:rPr>
                <w:rFonts w:eastAsia="Times New Roman"/>
                <w:sz w:val="20"/>
                <w:szCs w:val="20"/>
              </w:rPr>
            </w:pPr>
          </w:p>
        </w:tc>
        <w:tc>
          <w:tcPr>
            <w:tcW w:w="0" w:type="auto"/>
            <w:vAlign w:val="center"/>
            <w:hideMark/>
          </w:tcPr>
          <w:p w14:paraId="68A21D37" w14:textId="77777777" w:rsidR="00000000" w:rsidRDefault="00195E73">
            <w:pPr>
              <w:rPr>
                <w:rFonts w:eastAsia="Times New Roman"/>
                <w:sz w:val="20"/>
                <w:szCs w:val="20"/>
              </w:rPr>
            </w:pPr>
          </w:p>
        </w:tc>
        <w:tc>
          <w:tcPr>
            <w:tcW w:w="0" w:type="auto"/>
            <w:vAlign w:val="center"/>
            <w:hideMark/>
          </w:tcPr>
          <w:p w14:paraId="2E47AEE8" w14:textId="77777777" w:rsidR="00000000" w:rsidRDefault="00195E73">
            <w:pPr>
              <w:rPr>
                <w:rFonts w:eastAsia="Times New Roman"/>
                <w:sz w:val="20"/>
                <w:szCs w:val="20"/>
              </w:rPr>
            </w:pPr>
          </w:p>
        </w:tc>
      </w:tr>
      <w:tr w:rsidR="00000000" w14:paraId="2D8933B6" w14:textId="77777777">
        <w:trPr>
          <w:divId w:val="1979872608"/>
          <w:jc w:val="center"/>
        </w:trPr>
        <w:tc>
          <w:tcPr>
            <w:tcW w:w="0" w:type="auto"/>
            <w:gridSpan w:val="3"/>
            <w:shd w:val="clear" w:color="auto" w:fill="CCEEFF"/>
            <w:tcMar>
              <w:top w:w="30" w:type="dxa"/>
              <w:left w:w="20" w:type="dxa"/>
              <w:bottom w:w="30" w:type="dxa"/>
              <w:right w:w="20" w:type="dxa"/>
            </w:tcMar>
            <w:vAlign w:val="bottom"/>
            <w:hideMark/>
          </w:tcPr>
          <w:p w14:paraId="20309F34" w14:textId="77777777" w:rsidR="00000000" w:rsidRDefault="00195E73">
            <w:pPr>
              <w:rPr>
                <w:rFonts w:eastAsia="Times New Roman"/>
              </w:rPr>
            </w:pPr>
            <w:r>
              <w:rPr>
                <w:rFonts w:eastAsia="Times New Roman"/>
                <w:color w:val="000000"/>
                <w:sz w:val="18"/>
                <w:szCs w:val="18"/>
              </w:rPr>
              <w:t>Net (loss) incom</w:t>
            </w:r>
            <w:r>
              <w:rPr>
                <w:rFonts w:eastAsia="Times New Roman"/>
                <w:color w:val="000000"/>
                <w:sz w:val="18"/>
                <w:szCs w:val="18"/>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5855D3" w14:textId="77777777" w:rsidR="00000000" w:rsidRDefault="00195E73">
            <w:pPr>
              <w:jc w:val="right"/>
              <w:rPr>
                <w:rFonts w:eastAsia="Times New Roman"/>
              </w:rPr>
            </w:pPr>
            <w:r>
              <w:rPr>
                <w:rFonts w:eastAsia="Times New Roman"/>
                <w:color w:val="000000"/>
                <w:sz w:val="18"/>
                <w:szCs w:val="18"/>
              </w:rPr>
              <w:t>(577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BE1418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B9B31D5"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D379CB" w14:textId="77777777" w:rsidR="00000000" w:rsidRDefault="00195E73">
            <w:pPr>
              <w:jc w:val="right"/>
              <w:rPr>
                <w:rFonts w:eastAsia="Times New Roman"/>
              </w:rPr>
            </w:pPr>
            <w:r>
              <w:rPr>
                <w:rFonts w:eastAsia="Times New Roman"/>
                <w:color w:val="000000"/>
                <w:sz w:val="18"/>
                <w:szCs w:val="18"/>
              </w:rPr>
              <w:t>2,060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AF42A2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402DA7D"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84B4AA" w14:textId="77777777" w:rsidR="00000000" w:rsidRDefault="00195E73">
            <w:pPr>
              <w:jc w:val="right"/>
              <w:rPr>
                <w:rFonts w:eastAsia="Times New Roman"/>
              </w:rPr>
            </w:pPr>
            <w:r>
              <w:rPr>
                <w:rFonts w:eastAsia="Times New Roman"/>
                <w:color w:val="000000"/>
                <w:sz w:val="18"/>
                <w:szCs w:val="18"/>
              </w:rPr>
              <w:t>1,483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A13D3F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5B8A964"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472D4E" w14:textId="77777777" w:rsidR="00000000" w:rsidRDefault="00195E73">
            <w:pPr>
              <w:jc w:val="right"/>
              <w:rPr>
                <w:rFonts w:eastAsia="Times New Roman"/>
              </w:rPr>
            </w:pPr>
            <w:r>
              <w:rPr>
                <w:rFonts w:eastAsia="Times New Roman"/>
                <w:color w:val="000000"/>
                <w:sz w:val="18"/>
                <w:szCs w:val="18"/>
              </w:rPr>
              <w:t>519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DA1EA3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7A33ADC"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1605ED" w14:textId="77777777" w:rsidR="00000000" w:rsidRDefault="00195E73">
            <w:pPr>
              <w:jc w:val="right"/>
              <w:rPr>
                <w:rFonts w:eastAsia="Times New Roman"/>
              </w:rPr>
            </w:pPr>
            <w:r>
              <w:rPr>
                <w:rFonts w:eastAsia="Times New Roman"/>
                <w:color w:val="000000"/>
                <w:sz w:val="18"/>
                <w:szCs w:val="18"/>
              </w:rPr>
              <w:t>2,002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3EE4689"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1714F646" w14:textId="77777777" w:rsidR="00000000" w:rsidRDefault="00195E73">
            <w:pPr>
              <w:rPr>
                <w:rFonts w:eastAsia="Times New Roman"/>
                <w:sz w:val="20"/>
                <w:szCs w:val="20"/>
              </w:rPr>
            </w:pPr>
          </w:p>
        </w:tc>
        <w:tc>
          <w:tcPr>
            <w:tcW w:w="0" w:type="auto"/>
            <w:vAlign w:val="center"/>
            <w:hideMark/>
          </w:tcPr>
          <w:p w14:paraId="1A38A2B0" w14:textId="77777777" w:rsidR="00000000" w:rsidRDefault="00195E73">
            <w:pPr>
              <w:rPr>
                <w:rFonts w:eastAsia="Times New Roman"/>
                <w:sz w:val="20"/>
                <w:szCs w:val="20"/>
              </w:rPr>
            </w:pPr>
          </w:p>
        </w:tc>
        <w:tc>
          <w:tcPr>
            <w:tcW w:w="0" w:type="auto"/>
            <w:vAlign w:val="center"/>
            <w:hideMark/>
          </w:tcPr>
          <w:p w14:paraId="09C609D1" w14:textId="77777777" w:rsidR="00000000" w:rsidRDefault="00195E73">
            <w:pPr>
              <w:rPr>
                <w:rFonts w:eastAsia="Times New Roman"/>
                <w:sz w:val="20"/>
                <w:szCs w:val="20"/>
              </w:rPr>
            </w:pPr>
          </w:p>
        </w:tc>
        <w:tc>
          <w:tcPr>
            <w:tcW w:w="0" w:type="auto"/>
            <w:vAlign w:val="center"/>
            <w:hideMark/>
          </w:tcPr>
          <w:p w14:paraId="0D733C2B" w14:textId="77777777" w:rsidR="00000000" w:rsidRDefault="00195E73">
            <w:pPr>
              <w:rPr>
                <w:rFonts w:eastAsia="Times New Roman"/>
                <w:sz w:val="20"/>
                <w:szCs w:val="20"/>
              </w:rPr>
            </w:pPr>
          </w:p>
        </w:tc>
        <w:tc>
          <w:tcPr>
            <w:tcW w:w="0" w:type="auto"/>
            <w:vAlign w:val="center"/>
            <w:hideMark/>
          </w:tcPr>
          <w:p w14:paraId="18D7FBAA" w14:textId="77777777" w:rsidR="00000000" w:rsidRDefault="00195E73">
            <w:pPr>
              <w:rPr>
                <w:rFonts w:eastAsia="Times New Roman"/>
                <w:sz w:val="20"/>
                <w:szCs w:val="20"/>
              </w:rPr>
            </w:pPr>
          </w:p>
        </w:tc>
        <w:tc>
          <w:tcPr>
            <w:tcW w:w="0" w:type="auto"/>
            <w:vAlign w:val="center"/>
            <w:hideMark/>
          </w:tcPr>
          <w:p w14:paraId="30DE6B85" w14:textId="77777777" w:rsidR="00000000" w:rsidRDefault="00195E73">
            <w:pPr>
              <w:rPr>
                <w:rFonts w:eastAsia="Times New Roman"/>
                <w:sz w:val="20"/>
                <w:szCs w:val="20"/>
              </w:rPr>
            </w:pPr>
          </w:p>
        </w:tc>
        <w:tc>
          <w:tcPr>
            <w:tcW w:w="0" w:type="auto"/>
            <w:vAlign w:val="center"/>
            <w:hideMark/>
          </w:tcPr>
          <w:p w14:paraId="5FCFA116" w14:textId="77777777" w:rsidR="00000000" w:rsidRDefault="00195E73">
            <w:pPr>
              <w:rPr>
                <w:rFonts w:eastAsia="Times New Roman"/>
                <w:sz w:val="20"/>
                <w:szCs w:val="20"/>
              </w:rPr>
            </w:pPr>
          </w:p>
        </w:tc>
        <w:tc>
          <w:tcPr>
            <w:tcW w:w="0" w:type="auto"/>
            <w:vAlign w:val="center"/>
            <w:hideMark/>
          </w:tcPr>
          <w:p w14:paraId="3B63A5AE" w14:textId="77777777" w:rsidR="00000000" w:rsidRDefault="00195E73">
            <w:pPr>
              <w:rPr>
                <w:rFonts w:eastAsia="Times New Roman"/>
                <w:sz w:val="20"/>
                <w:szCs w:val="20"/>
              </w:rPr>
            </w:pPr>
          </w:p>
        </w:tc>
        <w:tc>
          <w:tcPr>
            <w:tcW w:w="0" w:type="auto"/>
            <w:vAlign w:val="center"/>
            <w:hideMark/>
          </w:tcPr>
          <w:p w14:paraId="78D7D222" w14:textId="77777777" w:rsidR="00000000" w:rsidRDefault="00195E73">
            <w:pPr>
              <w:rPr>
                <w:rFonts w:eastAsia="Times New Roman"/>
                <w:sz w:val="20"/>
                <w:szCs w:val="20"/>
              </w:rPr>
            </w:pPr>
          </w:p>
        </w:tc>
        <w:tc>
          <w:tcPr>
            <w:tcW w:w="0" w:type="auto"/>
            <w:vAlign w:val="center"/>
            <w:hideMark/>
          </w:tcPr>
          <w:p w14:paraId="0AA55EF6" w14:textId="77777777" w:rsidR="00000000" w:rsidRDefault="00195E73">
            <w:pPr>
              <w:rPr>
                <w:rFonts w:eastAsia="Times New Roman"/>
                <w:sz w:val="20"/>
                <w:szCs w:val="20"/>
              </w:rPr>
            </w:pPr>
          </w:p>
        </w:tc>
        <w:tc>
          <w:tcPr>
            <w:tcW w:w="0" w:type="auto"/>
            <w:vAlign w:val="center"/>
            <w:hideMark/>
          </w:tcPr>
          <w:p w14:paraId="0538B98B" w14:textId="77777777" w:rsidR="00000000" w:rsidRDefault="00195E73">
            <w:pPr>
              <w:rPr>
                <w:rFonts w:eastAsia="Times New Roman"/>
                <w:sz w:val="20"/>
                <w:szCs w:val="20"/>
              </w:rPr>
            </w:pPr>
          </w:p>
        </w:tc>
        <w:tc>
          <w:tcPr>
            <w:tcW w:w="0" w:type="auto"/>
            <w:vAlign w:val="center"/>
            <w:hideMark/>
          </w:tcPr>
          <w:p w14:paraId="6C32C97C" w14:textId="77777777" w:rsidR="00000000" w:rsidRDefault="00195E73">
            <w:pPr>
              <w:rPr>
                <w:rFonts w:eastAsia="Times New Roman"/>
                <w:sz w:val="20"/>
                <w:szCs w:val="20"/>
              </w:rPr>
            </w:pPr>
          </w:p>
        </w:tc>
        <w:tc>
          <w:tcPr>
            <w:tcW w:w="0" w:type="auto"/>
            <w:vAlign w:val="center"/>
            <w:hideMark/>
          </w:tcPr>
          <w:p w14:paraId="73687887" w14:textId="77777777" w:rsidR="00000000" w:rsidRDefault="00195E73">
            <w:pPr>
              <w:rPr>
                <w:rFonts w:eastAsia="Times New Roman"/>
                <w:sz w:val="20"/>
                <w:szCs w:val="20"/>
              </w:rPr>
            </w:pPr>
          </w:p>
        </w:tc>
        <w:tc>
          <w:tcPr>
            <w:tcW w:w="0" w:type="auto"/>
            <w:vAlign w:val="center"/>
            <w:hideMark/>
          </w:tcPr>
          <w:p w14:paraId="09E4D532" w14:textId="77777777" w:rsidR="00000000" w:rsidRDefault="00195E73">
            <w:pPr>
              <w:rPr>
                <w:rFonts w:eastAsia="Times New Roman"/>
                <w:sz w:val="20"/>
                <w:szCs w:val="20"/>
              </w:rPr>
            </w:pPr>
          </w:p>
        </w:tc>
        <w:tc>
          <w:tcPr>
            <w:tcW w:w="0" w:type="auto"/>
            <w:vAlign w:val="center"/>
            <w:hideMark/>
          </w:tcPr>
          <w:p w14:paraId="2AD3A646" w14:textId="77777777" w:rsidR="00000000" w:rsidRDefault="00195E73">
            <w:pPr>
              <w:rPr>
                <w:rFonts w:eastAsia="Times New Roman"/>
                <w:sz w:val="20"/>
                <w:szCs w:val="20"/>
              </w:rPr>
            </w:pPr>
          </w:p>
        </w:tc>
        <w:tc>
          <w:tcPr>
            <w:tcW w:w="0" w:type="auto"/>
            <w:vAlign w:val="center"/>
            <w:hideMark/>
          </w:tcPr>
          <w:p w14:paraId="149E8D5F" w14:textId="77777777" w:rsidR="00000000" w:rsidRDefault="00195E73">
            <w:pPr>
              <w:rPr>
                <w:rFonts w:eastAsia="Times New Roman"/>
                <w:sz w:val="20"/>
                <w:szCs w:val="20"/>
              </w:rPr>
            </w:pPr>
          </w:p>
        </w:tc>
        <w:tc>
          <w:tcPr>
            <w:tcW w:w="0" w:type="auto"/>
            <w:vAlign w:val="center"/>
            <w:hideMark/>
          </w:tcPr>
          <w:p w14:paraId="21A222FF" w14:textId="77777777" w:rsidR="00000000" w:rsidRDefault="00195E73">
            <w:pPr>
              <w:rPr>
                <w:rFonts w:eastAsia="Times New Roman"/>
                <w:sz w:val="20"/>
                <w:szCs w:val="20"/>
              </w:rPr>
            </w:pPr>
          </w:p>
        </w:tc>
        <w:tc>
          <w:tcPr>
            <w:tcW w:w="0" w:type="auto"/>
            <w:vAlign w:val="center"/>
            <w:hideMark/>
          </w:tcPr>
          <w:p w14:paraId="64254DED" w14:textId="77777777" w:rsidR="00000000" w:rsidRDefault="00195E73">
            <w:pPr>
              <w:rPr>
                <w:rFonts w:eastAsia="Times New Roman"/>
                <w:sz w:val="20"/>
                <w:szCs w:val="20"/>
              </w:rPr>
            </w:pPr>
          </w:p>
        </w:tc>
        <w:tc>
          <w:tcPr>
            <w:tcW w:w="0" w:type="auto"/>
            <w:vAlign w:val="center"/>
            <w:hideMark/>
          </w:tcPr>
          <w:p w14:paraId="062B6D45" w14:textId="77777777" w:rsidR="00000000" w:rsidRDefault="00195E73">
            <w:pPr>
              <w:rPr>
                <w:rFonts w:eastAsia="Times New Roman"/>
                <w:sz w:val="20"/>
                <w:szCs w:val="20"/>
              </w:rPr>
            </w:pPr>
          </w:p>
        </w:tc>
        <w:tc>
          <w:tcPr>
            <w:tcW w:w="0" w:type="auto"/>
            <w:vAlign w:val="center"/>
            <w:hideMark/>
          </w:tcPr>
          <w:p w14:paraId="4B0BA052" w14:textId="77777777" w:rsidR="00000000" w:rsidRDefault="00195E73">
            <w:pPr>
              <w:rPr>
                <w:rFonts w:eastAsia="Times New Roman"/>
                <w:sz w:val="20"/>
                <w:szCs w:val="20"/>
              </w:rPr>
            </w:pPr>
          </w:p>
        </w:tc>
        <w:tc>
          <w:tcPr>
            <w:tcW w:w="0" w:type="auto"/>
            <w:vAlign w:val="center"/>
            <w:hideMark/>
          </w:tcPr>
          <w:p w14:paraId="181242BB" w14:textId="77777777" w:rsidR="00000000" w:rsidRDefault="00195E73">
            <w:pPr>
              <w:rPr>
                <w:rFonts w:eastAsia="Times New Roman"/>
                <w:sz w:val="20"/>
                <w:szCs w:val="20"/>
              </w:rPr>
            </w:pPr>
          </w:p>
        </w:tc>
        <w:tc>
          <w:tcPr>
            <w:tcW w:w="0" w:type="auto"/>
            <w:vAlign w:val="center"/>
            <w:hideMark/>
          </w:tcPr>
          <w:p w14:paraId="0F96CAB7" w14:textId="77777777" w:rsidR="00000000" w:rsidRDefault="00195E73">
            <w:pPr>
              <w:rPr>
                <w:rFonts w:eastAsia="Times New Roman"/>
                <w:sz w:val="20"/>
                <w:szCs w:val="20"/>
              </w:rPr>
            </w:pPr>
          </w:p>
        </w:tc>
        <w:tc>
          <w:tcPr>
            <w:tcW w:w="0" w:type="auto"/>
            <w:vAlign w:val="center"/>
            <w:hideMark/>
          </w:tcPr>
          <w:p w14:paraId="26EB8C99" w14:textId="77777777" w:rsidR="00000000" w:rsidRDefault="00195E73">
            <w:pPr>
              <w:rPr>
                <w:rFonts w:eastAsia="Times New Roman"/>
                <w:sz w:val="20"/>
                <w:szCs w:val="20"/>
              </w:rPr>
            </w:pPr>
          </w:p>
        </w:tc>
        <w:tc>
          <w:tcPr>
            <w:tcW w:w="0" w:type="auto"/>
            <w:vAlign w:val="center"/>
            <w:hideMark/>
          </w:tcPr>
          <w:p w14:paraId="357D9350" w14:textId="77777777" w:rsidR="00000000" w:rsidRDefault="00195E73">
            <w:pPr>
              <w:rPr>
                <w:rFonts w:eastAsia="Times New Roman"/>
                <w:sz w:val="20"/>
                <w:szCs w:val="20"/>
              </w:rPr>
            </w:pPr>
          </w:p>
        </w:tc>
      </w:tr>
      <w:tr w:rsidR="00000000" w14:paraId="70A3F3E1" w14:textId="77777777">
        <w:trPr>
          <w:divId w:val="1979872608"/>
          <w:jc w:val="center"/>
        </w:trPr>
        <w:tc>
          <w:tcPr>
            <w:tcW w:w="0" w:type="auto"/>
            <w:gridSpan w:val="3"/>
            <w:shd w:val="clear" w:color="auto" w:fill="FFFFFF"/>
            <w:tcMar>
              <w:top w:w="30" w:type="dxa"/>
              <w:left w:w="20" w:type="dxa"/>
              <w:bottom w:w="30" w:type="dxa"/>
              <w:right w:w="20" w:type="dxa"/>
            </w:tcMar>
            <w:vAlign w:val="bottom"/>
            <w:hideMark/>
          </w:tcPr>
          <w:p w14:paraId="0391AA2F" w14:textId="77777777" w:rsidR="00000000" w:rsidRDefault="00195E73">
            <w:pPr>
              <w:rPr>
                <w:rFonts w:eastAsia="Times New Roman"/>
              </w:rPr>
            </w:pPr>
            <w:r>
              <w:rPr>
                <w:rFonts w:eastAsia="Times New Roman"/>
                <w:color w:val="000000"/>
                <w:sz w:val="18"/>
                <w:szCs w:val="18"/>
              </w:rPr>
              <w:t>Other comprehensive los</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063A711E"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0B124D8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8355F1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8E5C96" w14:textId="77777777" w:rsidR="00000000" w:rsidRDefault="00195E73">
            <w:pPr>
              <w:jc w:val="right"/>
              <w:rPr>
                <w:rFonts w:eastAsia="Times New Roman"/>
              </w:rPr>
            </w:pPr>
            <w:r>
              <w:rPr>
                <w:rFonts w:eastAsia="Times New Roman"/>
                <w:color w:val="000000"/>
                <w:sz w:val="18"/>
                <w:szCs w:val="18"/>
              </w:rPr>
              <w:t>(60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7A82AEC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278ACD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8A8632" w14:textId="77777777" w:rsidR="00000000" w:rsidRDefault="00195E73">
            <w:pPr>
              <w:jc w:val="right"/>
              <w:rPr>
                <w:rFonts w:eastAsia="Times New Roman"/>
              </w:rPr>
            </w:pPr>
            <w:r>
              <w:rPr>
                <w:rFonts w:eastAsia="Times New Roman"/>
                <w:color w:val="000000"/>
                <w:sz w:val="18"/>
                <w:szCs w:val="18"/>
              </w:rPr>
              <w:t>(61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5F4B15D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E90C1C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65BFE2" w14:textId="77777777" w:rsidR="00000000" w:rsidRDefault="00195E73">
            <w:pPr>
              <w:jc w:val="right"/>
              <w:rPr>
                <w:rFonts w:eastAsia="Times New Roman"/>
              </w:rPr>
            </w:pPr>
            <w:r>
              <w:rPr>
                <w:rFonts w:eastAsia="Times New Roman"/>
                <w:color w:val="000000"/>
                <w:sz w:val="18"/>
                <w:szCs w:val="18"/>
              </w:rPr>
              <w:t>(7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447F38D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FB44DC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186B37" w14:textId="77777777" w:rsidR="00000000" w:rsidRDefault="00195E73">
            <w:pPr>
              <w:jc w:val="right"/>
              <w:rPr>
                <w:rFonts w:eastAsia="Times New Roman"/>
              </w:rPr>
            </w:pPr>
            <w:r>
              <w:rPr>
                <w:rFonts w:eastAsia="Times New Roman"/>
                <w:color w:val="000000"/>
                <w:sz w:val="18"/>
                <w:szCs w:val="18"/>
              </w:rPr>
              <w:t>(68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7AD5DEFD"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79D89115" w14:textId="77777777" w:rsidR="00000000" w:rsidRDefault="00195E73">
            <w:pPr>
              <w:rPr>
                <w:rFonts w:eastAsia="Times New Roman"/>
                <w:sz w:val="20"/>
                <w:szCs w:val="20"/>
              </w:rPr>
            </w:pPr>
          </w:p>
        </w:tc>
        <w:tc>
          <w:tcPr>
            <w:tcW w:w="0" w:type="auto"/>
            <w:vAlign w:val="center"/>
            <w:hideMark/>
          </w:tcPr>
          <w:p w14:paraId="0442D888" w14:textId="77777777" w:rsidR="00000000" w:rsidRDefault="00195E73">
            <w:pPr>
              <w:rPr>
                <w:rFonts w:eastAsia="Times New Roman"/>
                <w:sz w:val="20"/>
                <w:szCs w:val="20"/>
              </w:rPr>
            </w:pPr>
          </w:p>
        </w:tc>
        <w:tc>
          <w:tcPr>
            <w:tcW w:w="0" w:type="auto"/>
            <w:vAlign w:val="center"/>
            <w:hideMark/>
          </w:tcPr>
          <w:p w14:paraId="13797D4D" w14:textId="77777777" w:rsidR="00000000" w:rsidRDefault="00195E73">
            <w:pPr>
              <w:rPr>
                <w:rFonts w:eastAsia="Times New Roman"/>
                <w:sz w:val="20"/>
                <w:szCs w:val="20"/>
              </w:rPr>
            </w:pPr>
          </w:p>
        </w:tc>
        <w:tc>
          <w:tcPr>
            <w:tcW w:w="0" w:type="auto"/>
            <w:vAlign w:val="center"/>
            <w:hideMark/>
          </w:tcPr>
          <w:p w14:paraId="36C8A6AD" w14:textId="77777777" w:rsidR="00000000" w:rsidRDefault="00195E73">
            <w:pPr>
              <w:rPr>
                <w:rFonts w:eastAsia="Times New Roman"/>
                <w:sz w:val="20"/>
                <w:szCs w:val="20"/>
              </w:rPr>
            </w:pPr>
          </w:p>
        </w:tc>
        <w:tc>
          <w:tcPr>
            <w:tcW w:w="0" w:type="auto"/>
            <w:vAlign w:val="center"/>
            <w:hideMark/>
          </w:tcPr>
          <w:p w14:paraId="4AAEFB10" w14:textId="77777777" w:rsidR="00000000" w:rsidRDefault="00195E73">
            <w:pPr>
              <w:rPr>
                <w:rFonts w:eastAsia="Times New Roman"/>
                <w:sz w:val="20"/>
                <w:szCs w:val="20"/>
              </w:rPr>
            </w:pPr>
          </w:p>
        </w:tc>
        <w:tc>
          <w:tcPr>
            <w:tcW w:w="0" w:type="auto"/>
            <w:vAlign w:val="center"/>
            <w:hideMark/>
          </w:tcPr>
          <w:p w14:paraId="35E261D7" w14:textId="77777777" w:rsidR="00000000" w:rsidRDefault="00195E73">
            <w:pPr>
              <w:rPr>
                <w:rFonts w:eastAsia="Times New Roman"/>
                <w:sz w:val="20"/>
                <w:szCs w:val="20"/>
              </w:rPr>
            </w:pPr>
          </w:p>
        </w:tc>
        <w:tc>
          <w:tcPr>
            <w:tcW w:w="0" w:type="auto"/>
            <w:vAlign w:val="center"/>
            <w:hideMark/>
          </w:tcPr>
          <w:p w14:paraId="48D04474" w14:textId="77777777" w:rsidR="00000000" w:rsidRDefault="00195E73">
            <w:pPr>
              <w:rPr>
                <w:rFonts w:eastAsia="Times New Roman"/>
                <w:sz w:val="20"/>
                <w:szCs w:val="20"/>
              </w:rPr>
            </w:pPr>
          </w:p>
        </w:tc>
        <w:tc>
          <w:tcPr>
            <w:tcW w:w="0" w:type="auto"/>
            <w:vAlign w:val="center"/>
            <w:hideMark/>
          </w:tcPr>
          <w:p w14:paraId="78DEFDB0" w14:textId="77777777" w:rsidR="00000000" w:rsidRDefault="00195E73">
            <w:pPr>
              <w:rPr>
                <w:rFonts w:eastAsia="Times New Roman"/>
                <w:sz w:val="20"/>
                <w:szCs w:val="20"/>
              </w:rPr>
            </w:pPr>
          </w:p>
        </w:tc>
        <w:tc>
          <w:tcPr>
            <w:tcW w:w="0" w:type="auto"/>
            <w:vAlign w:val="center"/>
            <w:hideMark/>
          </w:tcPr>
          <w:p w14:paraId="1DB74A31" w14:textId="77777777" w:rsidR="00000000" w:rsidRDefault="00195E73">
            <w:pPr>
              <w:rPr>
                <w:rFonts w:eastAsia="Times New Roman"/>
                <w:sz w:val="20"/>
                <w:szCs w:val="20"/>
              </w:rPr>
            </w:pPr>
          </w:p>
        </w:tc>
        <w:tc>
          <w:tcPr>
            <w:tcW w:w="0" w:type="auto"/>
            <w:vAlign w:val="center"/>
            <w:hideMark/>
          </w:tcPr>
          <w:p w14:paraId="1BA5FA04" w14:textId="77777777" w:rsidR="00000000" w:rsidRDefault="00195E73">
            <w:pPr>
              <w:rPr>
                <w:rFonts w:eastAsia="Times New Roman"/>
                <w:sz w:val="20"/>
                <w:szCs w:val="20"/>
              </w:rPr>
            </w:pPr>
          </w:p>
        </w:tc>
        <w:tc>
          <w:tcPr>
            <w:tcW w:w="0" w:type="auto"/>
            <w:vAlign w:val="center"/>
            <w:hideMark/>
          </w:tcPr>
          <w:p w14:paraId="4975387B" w14:textId="77777777" w:rsidR="00000000" w:rsidRDefault="00195E73">
            <w:pPr>
              <w:rPr>
                <w:rFonts w:eastAsia="Times New Roman"/>
                <w:sz w:val="20"/>
                <w:szCs w:val="20"/>
              </w:rPr>
            </w:pPr>
          </w:p>
        </w:tc>
        <w:tc>
          <w:tcPr>
            <w:tcW w:w="0" w:type="auto"/>
            <w:vAlign w:val="center"/>
            <w:hideMark/>
          </w:tcPr>
          <w:p w14:paraId="31049609" w14:textId="77777777" w:rsidR="00000000" w:rsidRDefault="00195E73">
            <w:pPr>
              <w:rPr>
                <w:rFonts w:eastAsia="Times New Roman"/>
                <w:sz w:val="20"/>
                <w:szCs w:val="20"/>
              </w:rPr>
            </w:pPr>
          </w:p>
        </w:tc>
        <w:tc>
          <w:tcPr>
            <w:tcW w:w="0" w:type="auto"/>
            <w:vAlign w:val="center"/>
            <w:hideMark/>
          </w:tcPr>
          <w:p w14:paraId="17FC9876" w14:textId="77777777" w:rsidR="00000000" w:rsidRDefault="00195E73">
            <w:pPr>
              <w:rPr>
                <w:rFonts w:eastAsia="Times New Roman"/>
                <w:sz w:val="20"/>
                <w:szCs w:val="20"/>
              </w:rPr>
            </w:pPr>
          </w:p>
        </w:tc>
        <w:tc>
          <w:tcPr>
            <w:tcW w:w="0" w:type="auto"/>
            <w:vAlign w:val="center"/>
            <w:hideMark/>
          </w:tcPr>
          <w:p w14:paraId="50719B64" w14:textId="77777777" w:rsidR="00000000" w:rsidRDefault="00195E73">
            <w:pPr>
              <w:rPr>
                <w:rFonts w:eastAsia="Times New Roman"/>
                <w:sz w:val="20"/>
                <w:szCs w:val="20"/>
              </w:rPr>
            </w:pPr>
          </w:p>
        </w:tc>
        <w:tc>
          <w:tcPr>
            <w:tcW w:w="0" w:type="auto"/>
            <w:vAlign w:val="center"/>
            <w:hideMark/>
          </w:tcPr>
          <w:p w14:paraId="316331D5" w14:textId="77777777" w:rsidR="00000000" w:rsidRDefault="00195E73">
            <w:pPr>
              <w:rPr>
                <w:rFonts w:eastAsia="Times New Roman"/>
                <w:sz w:val="20"/>
                <w:szCs w:val="20"/>
              </w:rPr>
            </w:pPr>
          </w:p>
        </w:tc>
        <w:tc>
          <w:tcPr>
            <w:tcW w:w="0" w:type="auto"/>
            <w:vAlign w:val="center"/>
            <w:hideMark/>
          </w:tcPr>
          <w:p w14:paraId="457B7E70" w14:textId="77777777" w:rsidR="00000000" w:rsidRDefault="00195E73">
            <w:pPr>
              <w:rPr>
                <w:rFonts w:eastAsia="Times New Roman"/>
                <w:sz w:val="20"/>
                <w:szCs w:val="20"/>
              </w:rPr>
            </w:pPr>
          </w:p>
        </w:tc>
        <w:tc>
          <w:tcPr>
            <w:tcW w:w="0" w:type="auto"/>
            <w:vAlign w:val="center"/>
            <w:hideMark/>
          </w:tcPr>
          <w:p w14:paraId="2DAE6229" w14:textId="77777777" w:rsidR="00000000" w:rsidRDefault="00195E73">
            <w:pPr>
              <w:rPr>
                <w:rFonts w:eastAsia="Times New Roman"/>
                <w:sz w:val="20"/>
                <w:szCs w:val="20"/>
              </w:rPr>
            </w:pPr>
          </w:p>
        </w:tc>
        <w:tc>
          <w:tcPr>
            <w:tcW w:w="0" w:type="auto"/>
            <w:vAlign w:val="center"/>
            <w:hideMark/>
          </w:tcPr>
          <w:p w14:paraId="15F87FB6" w14:textId="77777777" w:rsidR="00000000" w:rsidRDefault="00195E73">
            <w:pPr>
              <w:rPr>
                <w:rFonts w:eastAsia="Times New Roman"/>
                <w:sz w:val="20"/>
                <w:szCs w:val="20"/>
              </w:rPr>
            </w:pPr>
          </w:p>
        </w:tc>
        <w:tc>
          <w:tcPr>
            <w:tcW w:w="0" w:type="auto"/>
            <w:vAlign w:val="center"/>
            <w:hideMark/>
          </w:tcPr>
          <w:p w14:paraId="79482129" w14:textId="77777777" w:rsidR="00000000" w:rsidRDefault="00195E73">
            <w:pPr>
              <w:rPr>
                <w:rFonts w:eastAsia="Times New Roman"/>
                <w:sz w:val="20"/>
                <w:szCs w:val="20"/>
              </w:rPr>
            </w:pPr>
          </w:p>
        </w:tc>
        <w:tc>
          <w:tcPr>
            <w:tcW w:w="0" w:type="auto"/>
            <w:vAlign w:val="center"/>
            <w:hideMark/>
          </w:tcPr>
          <w:p w14:paraId="5F2D1D00" w14:textId="77777777" w:rsidR="00000000" w:rsidRDefault="00195E73">
            <w:pPr>
              <w:rPr>
                <w:rFonts w:eastAsia="Times New Roman"/>
                <w:sz w:val="20"/>
                <w:szCs w:val="20"/>
              </w:rPr>
            </w:pPr>
          </w:p>
        </w:tc>
        <w:tc>
          <w:tcPr>
            <w:tcW w:w="0" w:type="auto"/>
            <w:vAlign w:val="center"/>
            <w:hideMark/>
          </w:tcPr>
          <w:p w14:paraId="60BE739F" w14:textId="77777777" w:rsidR="00000000" w:rsidRDefault="00195E73">
            <w:pPr>
              <w:rPr>
                <w:rFonts w:eastAsia="Times New Roman"/>
                <w:sz w:val="20"/>
                <w:szCs w:val="20"/>
              </w:rPr>
            </w:pPr>
          </w:p>
        </w:tc>
        <w:tc>
          <w:tcPr>
            <w:tcW w:w="0" w:type="auto"/>
            <w:vAlign w:val="center"/>
            <w:hideMark/>
          </w:tcPr>
          <w:p w14:paraId="056686D0" w14:textId="77777777" w:rsidR="00000000" w:rsidRDefault="00195E73">
            <w:pPr>
              <w:rPr>
                <w:rFonts w:eastAsia="Times New Roman"/>
                <w:sz w:val="20"/>
                <w:szCs w:val="20"/>
              </w:rPr>
            </w:pPr>
          </w:p>
        </w:tc>
        <w:tc>
          <w:tcPr>
            <w:tcW w:w="0" w:type="auto"/>
            <w:vAlign w:val="center"/>
            <w:hideMark/>
          </w:tcPr>
          <w:p w14:paraId="494E8A31" w14:textId="77777777" w:rsidR="00000000" w:rsidRDefault="00195E73">
            <w:pPr>
              <w:rPr>
                <w:rFonts w:eastAsia="Times New Roman"/>
                <w:sz w:val="20"/>
                <w:szCs w:val="20"/>
              </w:rPr>
            </w:pPr>
          </w:p>
        </w:tc>
        <w:tc>
          <w:tcPr>
            <w:tcW w:w="0" w:type="auto"/>
            <w:vAlign w:val="center"/>
            <w:hideMark/>
          </w:tcPr>
          <w:p w14:paraId="65184F38" w14:textId="77777777" w:rsidR="00000000" w:rsidRDefault="00195E73">
            <w:pPr>
              <w:rPr>
                <w:rFonts w:eastAsia="Times New Roman"/>
                <w:sz w:val="20"/>
                <w:szCs w:val="20"/>
              </w:rPr>
            </w:pPr>
          </w:p>
        </w:tc>
      </w:tr>
      <w:tr w:rsidR="00000000" w14:paraId="055B1E96" w14:textId="77777777">
        <w:trPr>
          <w:divId w:val="1979872608"/>
          <w:jc w:val="center"/>
        </w:trPr>
        <w:tc>
          <w:tcPr>
            <w:tcW w:w="0" w:type="auto"/>
            <w:gridSpan w:val="3"/>
            <w:shd w:val="clear" w:color="auto" w:fill="CCEEFF"/>
            <w:tcMar>
              <w:top w:w="30" w:type="dxa"/>
              <w:left w:w="20" w:type="dxa"/>
              <w:bottom w:w="30" w:type="dxa"/>
              <w:right w:w="20" w:type="dxa"/>
            </w:tcMar>
            <w:vAlign w:val="bottom"/>
            <w:hideMark/>
          </w:tcPr>
          <w:p w14:paraId="5CCFE517" w14:textId="77777777" w:rsidR="00000000" w:rsidRDefault="00195E73">
            <w:pPr>
              <w:rPr>
                <w:rFonts w:eastAsia="Times New Roman"/>
              </w:rPr>
            </w:pPr>
            <w:r>
              <w:rPr>
                <w:rFonts w:eastAsia="Times New Roman"/>
                <w:color w:val="000000"/>
                <w:sz w:val="18"/>
                <w:szCs w:val="18"/>
              </w:rPr>
              <w:t>Partnership distribution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14:paraId="2E9481FE"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124BB09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CC13C2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2CCA8E" w14:textId="77777777" w:rsidR="00000000" w:rsidRDefault="00195E73">
            <w:pPr>
              <w:jc w:val="right"/>
              <w:rPr>
                <w:rFonts w:eastAsia="Times New Roman"/>
              </w:rPr>
            </w:pPr>
            <w:r>
              <w:rPr>
                <w:rFonts w:eastAsia="Times New Roman"/>
                <w:color w:val="000000"/>
                <w:sz w:val="18"/>
                <w:szCs w:val="18"/>
              </w:rPr>
              <w:t>(96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7D637A2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C514E4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35EC2B" w14:textId="77777777" w:rsidR="00000000" w:rsidRDefault="00195E73">
            <w:pPr>
              <w:jc w:val="right"/>
              <w:rPr>
                <w:rFonts w:eastAsia="Times New Roman"/>
              </w:rPr>
            </w:pPr>
            <w:r>
              <w:rPr>
                <w:rFonts w:eastAsia="Times New Roman"/>
                <w:color w:val="000000"/>
                <w:sz w:val="18"/>
                <w:szCs w:val="18"/>
              </w:rPr>
              <w:t>(97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5DB1DB6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B3AD79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6D4ECF"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B7559A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FFE331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F9D843" w14:textId="77777777" w:rsidR="00000000" w:rsidRDefault="00195E73">
            <w:pPr>
              <w:jc w:val="right"/>
              <w:rPr>
                <w:rFonts w:eastAsia="Times New Roman"/>
              </w:rPr>
            </w:pPr>
            <w:r>
              <w:rPr>
                <w:rFonts w:eastAsia="Times New Roman"/>
                <w:color w:val="000000"/>
                <w:sz w:val="18"/>
                <w:szCs w:val="18"/>
              </w:rPr>
              <w:t>(97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CEA47F3"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32D7054D" w14:textId="77777777" w:rsidR="00000000" w:rsidRDefault="00195E73">
            <w:pPr>
              <w:rPr>
                <w:rFonts w:eastAsia="Times New Roman"/>
                <w:sz w:val="20"/>
                <w:szCs w:val="20"/>
              </w:rPr>
            </w:pPr>
          </w:p>
        </w:tc>
        <w:tc>
          <w:tcPr>
            <w:tcW w:w="0" w:type="auto"/>
            <w:vAlign w:val="center"/>
            <w:hideMark/>
          </w:tcPr>
          <w:p w14:paraId="7DF33482" w14:textId="77777777" w:rsidR="00000000" w:rsidRDefault="00195E73">
            <w:pPr>
              <w:rPr>
                <w:rFonts w:eastAsia="Times New Roman"/>
                <w:sz w:val="20"/>
                <w:szCs w:val="20"/>
              </w:rPr>
            </w:pPr>
          </w:p>
        </w:tc>
        <w:tc>
          <w:tcPr>
            <w:tcW w:w="0" w:type="auto"/>
            <w:vAlign w:val="center"/>
            <w:hideMark/>
          </w:tcPr>
          <w:p w14:paraId="763261C0" w14:textId="77777777" w:rsidR="00000000" w:rsidRDefault="00195E73">
            <w:pPr>
              <w:rPr>
                <w:rFonts w:eastAsia="Times New Roman"/>
                <w:sz w:val="20"/>
                <w:szCs w:val="20"/>
              </w:rPr>
            </w:pPr>
          </w:p>
        </w:tc>
        <w:tc>
          <w:tcPr>
            <w:tcW w:w="0" w:type="auto"/>
            <w:vAlign w:val="center"/>
            <w:hideMark/>
          </w:tcPr>
          <w:p w14:paraId="05DCECC7" w14:textId="77777777" w:rsidR="00000000" w:rsidRDefault="00195E73">
            <w:pPr>
              <w:rPr>
                <w:rFonts w:eastAsia="Times New Roman"/>
                <w:sz w:val="20"/>
                <w:szCs w:val="20"/>
              </w:rPr>
            </w:pPr>
          </w:p>
        </w:tc>
        <w:tc>
          <w:tcPr>
            <w:tcW w:w="0" w:type="auto"/>
            <w:vAlign w:val="center"/>
            <w:hideMark/>
          </w:tcPr>
          <w:p w14:paraId="077442AC" w14:textId="77777777" w:rsidR="00000000" w:rsidRDefault="00195E73">
            <w:pPr>
              <w:rPr>
                <w:rFonts w:eastAsia="Times New Roman"/>
                <w:sz w:val="20"/>
                <w:szCs w:val="20"/>
              </w:rPr>
            </w:pPr>
          </w:p>
        </w:tc>
        <w:tc>
          <w:tcPr>
            <w:tcW w:w="0" w:type="auto"/>
            <w:vAlign w:val="center"/>
            <w:hideMark/>
          </w:tcPr>
          <w:p w14:paraId="122E72B1" w14:textId="77777777" w:rsidR="00000000" w:rsidRDefault="00195E73">
            <w:pPr>
              <w:rPr>
                <w:rFonts w:eastAsia="Times New Roman"/>
                <w:sz w:val="20"/>
                <w:szCs w:val="20"/>
              </w:rPr>
            </w:pPr>
          </w:p>
        </w:tc>
        <w:tc>
          <w:tcPr>
            <w:tcW w:w="0" w:type="auto"/>
            <w:vAlign w:val="center"/>
            <w:hideMark/>
          </w:tcPr>
          <w:p w14:paraId="1AF2983D" w14:textId="77777777" w:rsidR="00000000" w:rsidRDefault="00195E73">
            <w:pPr>
              <w:rPr>
                <w:rFonts w:eastAsia="Times New Roman"/>
                <w:sz w:val="20"/>
                <w:szCs w:val="20"/>
              </w:rPr>
            </w:pPr>
          </w:p>
        </w:tc>
        <w:tc>
          <w:tcPr>
            <w:tcW w:w="0" w:type="auto"/>
            <w:vAlign w:val="center"/>
            <w:hideMark/>
          </w:tcPr>
          <w:p w14:paraId="67C72EE1" w14:textId="77777777" w:rsidR="00000000" w:rsidRDefault="00195E73">
            <w:pPr>
              <w:rPr>
                <w:rFonts w:eastAsia="Times New Roman"/>
                <w:sz w:val="20"/>
                <w:szCs w:val="20"/>
              </w:rPr>
            </w:pPr>
          </w:p>
        </w:tc>
        <w:tc>
          <w:tcPr>
            <w:tcW w:w="0" w:type="auto"/>
            <w:vAlign w:val="center"/>
            <w:hideMark/>
          </w:tcPr>
          <w:p w14:paraId="5F5E5BF5" w14:textId="77777777" w:rsidR="00000000" w:rsidRDefault="00195E73">
            <w:pPr>
              <w:rPr>
                <w:rFonts w:eastAsia="Times New Roman"/>
                <w:sz w:val="20"/>
                <w:szCs w:val="20"/>
              </w:rPr>
            </w:pPr>
          </w:p>
        </w:tc>
        <w:tc>
          <w:tcPr>
            <w:tcW w:w="0" w:type="auto"/>
            <w:vAlign w:val="center"/>
            <w:hideMark/>
          </w:tcPr>
          <w:p w14:paraId="41FAA743" w14:textId="77777777" w:rsidR="00000000" w:rsidRDefault="00195E73">
            <w:pPr>
              <w:rPr>
                <w:rFonts w:eastAsia="Times New Roman"/>
                <w:sz w:val="20"/>
                <w:szCs w:val="20"/>
              </w:rPr>
            </w:pPr>
          </w:p>
        </w:tc>
        <w:tc>
          <w:tcPr>
            <w:tcW w:w="0" w:type="auto"/>
            <w:vAlign w:val="center"/>
            <w:hideMark/>
          </w:tcPr>
          <w:p w14:paraId="47EF8656" w14:textId="77777777" w:rsidR="00000000" w:rsidRDefault="00195E73">
            <w:pPr>
              <w:rPr>
                <w:rFonts w:eastAsia="Times New Roman"/>
                <w:sz w:val="20"/>
                <w:szCs w:val="20"/>
              </w:rPr>
            </w:pPr>
          </w:p>
        </w:tc>
        <w:tc>
          <w:tcPr>
            <w:tcW w:w="0" w:type="auto"/>
            <w:vAlign w:val="center"/>
            <w:hideMark/>
          </w:tcPr>
          <w:p w14:paraId="4B0178A5" w14:textId="77777777" w:rsidR="00000000" w:rsidRDefault="00195E73">
            <w:pPr>
              <w:rPr>
                <w:rFonts w:eastAsia="Times New Roman"/>
                <w:sz w:val="20"/>
                <w:szCs w:val="20"/>
              </w:rPr>
            </w:pPr>
          </w:p>
        </w:tc>
        <w:tc>
          <w:tcPr>
            <w:tcW w:w="0" w:type="auto"/>
            <w:vAlign w:val="center"/>
            <w:hideMark/>
          </w:tcPr>
          <w:p w14:paraId="127E1EE5" w14:textId="77777777" w:rsidR="00000000" w:rsidRDefault="00195E73">
            <w:pPr>
              <w:rPr>
                <w:rFonts w:eastAsia="Times New Roman"/>
                <w:sz w:val="20"/>
                <w:szCs w:val="20"/>
              </w:rPr>
            </w:pPr>
          </w:p>
        </w:tc>
        <w:tc>
          <w:tcPr>
            <w:tcW w:w="0" w:type="auto"/>
            <w:vAlign w:val="center"/>
            <w:hideMark/>
          </w:tcPr>
          <w:p w14:paraId="0B73FF93" w14:textId="77777777" w:rsidR="00000000" w:rsidRDefault="00195E73">
            <w:pPr>
              <w:rPr>
                <w:rFonts w:eastAsia="Times New Roman"/>
                <w:sz w:val="20"/>
                <w:szCs w:val="20"/>
              </w:rPr>
            </w:pPr>
          </w:p>
        </w:tc>
        <w:tc>
          <w:tcPr>
            <w:tcW w:w="0" w:type="auto"/>
            <w:vAlign w:val="center"/>
            <w:hideMark/>
          </w:tcPr>
          <w:p w14:paraId="7C206FB5" w14:textId="77777777" w:rsidR="00000000" w:rsidRDefault="00195E73">
            <w:pPr>
              <w:rPr>
                <w:rFonts w:eastAsia="Times New Roman"/>
                <w:sz w:val="20"/>
                <w:szCs w:val="20"/>
              </w:rPr>
            </w:pPr>
          </w:p>
        </w:tc>
        <w:tc>
          <w:tcPr>
            <w:tcW w:w="0" w:type="auto"/>
            <w:vAlign w:val="center"/>
            <w:hideMark/>
          </w:tcPr>
          <w:p w14:paraId="036A73A2" w14:textId="77777777" w:rsidR="00000000" w:rsidRDefault="00195E73">
            <w:pPr>
              <w:rPr>
                <w:rFonts w:eastAsia="Times New Roman"/>
                <w:sz w:val="20"/>
                <w:szCs w:val="20"/>
              </w:rPr>
            </w:pPr>
          </w:p>
        </w:tc>
        <w:tc>
          <w:tcPr>
            <w:tcW w:w="0" w:type="auto"/>
            <w:vAlign w:val="center"/>
            <w:hideMark/>
          </w:tcPr>
          <w:p w14:paraId="25E2D184" w14:textId="77777777" w:rsidR="00000000" w:rsidRDefault="00195E73">
            <w:pPr>
              <w:rPr>
                <w:rFonts w:eastAsia="Times New Roman"/>
                <w:sz w:val="20"/>
                <w:szCs w:val="20"/>
              </w:rPr>
            </w:pPr>
          </w:p>
        </w:tc>
        <w:tc>
          <w:tcPr>
            <w:tcW w:w="0" w:type="auto"/>
            <w:vAlign w:val="center"/>
            <w:hideMark/>
          </w:tcPr>
          <w:p w14:paraId="098C6942" w14:textId="77777777" w:rsidR="00000000" w:rsidRDefault="00195E73">
            <w:pPr>
              <w:rPr>
                <w:rFonts w:eastAsia="Times New Roman"/>
                <w:sz w:val="20"/>
                <w:szCs w:val="20"/>
              </w:rPr>
            </w:pPr>
          </w:p>
        </w:tc>
        <w:tc>
          <w:tcPr>
            <w:tcW w:w="0" w:type="auto"/>
            <w:vAlign w:val="center"/>
            <w:hideMark/>
          </w:tcPr>
          <w:p w14:paraId="6AAEB435" w14:textId="77777777" w:rsidR="00000000" w:rsidRDefault="00195E73">
            <w:pPr>
              <w:rPr>
                <w:rFonts w:eastAsia="Times New Roman"/>
                <w:sz w:val="20"/>
                <w:szCs w:val="20"/>
              </w:rPr>
            </w:pPr>
          </w:p>
        </w:tc>
        <w:tc>
          <w:tcPr>
            <w:tcW w:w="0" w:type="auto"/>
            <w:vAlign w:val="center"/>
            <w:hideMark/>
          </w:tcPr>
          <w:p w14:paraId="4B444E0A" w14:textId="77777777" w:rsidR="00000000" w:rsidRDefault="00195E73">
            <w:pPr>
              <w:rPr>
                <w:rFonts w:eastAsia="Times New Roman"/>
                <w:sz w:val="20"/>
                <w:szCs w:val="20"/>
              </w:rPr>
            </w:pPr>
          </w:p>
        </w:tc>
        <w:tc>
          <w:tcPr>
            <w:tcW w:w="0" w:type="auto"/>
            <w:vAlign w:val="center"/>
            <w:hideMark/>
          </w:tcPr>
          <w:p w14:paraId="1672A7FB" w14:textId="77777777" w:rsidR="00000000" w:rsidRDefault="00195E73">
            <w:pPr>
              <w:rPr>
                <w:rFonts w:eastAsia="Times New Roman"/>
                <w:sz w:val="20"/>
                <w:szCs w:val="20"/>
              </w:rPr>
            </w:pPr>
          </w:p>
        </w:tc>
        <w:tc>
          <w:tcPr>
            <w:tcW w:w="0" w:type="auto"/>
            <w:vAlign w:val="center"/>
            <w:hideMark/>
          </w:tcPr>
          <w:p w14:paraId="47A31390" w14:textId="77777777" w:rsidR="00000000" w:rsidRDefault="00195E73">
            <w:pPr>
              <w:rPr>
                <w:rFonts w:eastAsia="Times New Roman"/>
                <w:sz w:val="20"/>
                <w:szCs w:val="20"/>
              </w:rPr>
            </w:pPr>
          </w:p>
        </w:tc>
        <w:tc>
          <w:tcPr>
            <w:tcW w:w="0" w:type="auto"/>
            <w:vAlign w:val="center"/>
            <w:hideMark/>
          </w:tcPr>
          <w:p w14:paraId="56324ACF" w14:textId="77777777" w:rsidR="00000000" w:rsidRDefault="00195E73">
            <w:pPr>
              <w:rPr>
                <w:rFonts w:eastAsia="Times New Roman"/>
                <w:sz w:val="20"/>
                <w:szCs w:val="20"/>
              </w:rPr>
            </w:pPr>
          </w:p>
        </w:tc>
        <w:tc>
          <w:tcPr>
            <w:tcW w:w="0" w:type="auto"/>
            <w:vAlign w:val="center"/>
            <w:hideMark/>
          </w:tcPr>
          <w:p w14:paraId="626CDCAF" w14:textId="77777777" w:rsidR="00000000" w:rsidRDefault="00195E73">
            <w:pPr>
              <w:rPr>
                <w:rFonts w:eastAsia="Times New Roman"/>
                <w:sz w:val="20"/>
                <w:szCs w:val="20"/>
              </w:rPr>
            </w:pPr>
          </w:p>
        </w:tc>
      </w:tr>
      <w:tr w:rsidR="00000000" w14:paraId="10326220" w14:textId="77777777">
        <w:trPr>
          <w:divId w:val="1979872608"/>
          <w:jc w:val="center"/>
        </w:trPr>
        <w:tc>
          <w:tcPr>
            <w:tcW w:w="0" w:type="auto"/>
            <w:gridSpan w:val="3"/>
            <w:shd w:val="clear" w:color="auto" w:fill="FFFFFF"/>
            <w:tcMar>
              <w:top w:w="30" w:type="dxa"/>
              <w:left w:w="20" w:type="dxa"/>
              <w:bottom w:w="30" w:type="dxa"/>
              <w:right w:w="20" w:type="dxa"/>
            </w:tcMar>
            <w:vAlign w:val="bottom"/>
            <w:hideMark/>
          </w:tcPr>
          <w:p w14:paraId="13B12162" w14:textId="77777777" w:rsidR="00000000" w:rsidRDefault="00195E73">
            <w:pPr>
              <w:rPr>
                <w:rFonts w:eastAsia="Times New Roman"/>
              </w:rPr>
            </w:pPr>
            <w:r>
              <w:rPr>
                <w:rFonts w:eastAsia="Times New Roman"/>
                <w:color w:val="000000"/>
                <w:sz w:val="18"/>
                <w:szCs w:val="18"/>
              </w:rPr>
              <w:t>Investment segment contribution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0D5A6B9F"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0DF5D0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40073B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64FB37"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D065A0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7B796D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2315C5"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206E19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D09FC9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2CA578" w14:textId="77777777" w:rsidR="00000000" w:rsidRDefault="00195E73">
            <w:pPr>
              <w:jc w:val="right"/>
              <w:rPr>
                <w:rFonts w:eastAsia="Times New Roman"/>
              </w:rPr>
            </w:pPr>
            <w:r>
              <w:rPr>
                <w:rFonts w:eastAsia="Times New Roman"/>
                <w:color w:val="000000"/>
                <w:sz w:val="18"/>
                <w:szCs w:val="18"/>
              </w:rPr>
              <w:t>310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02D4BA4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5FBB6F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A64ABE" w14:textId="77777777" w:rsidR="00000000" w:rsidRDefault="00195E73">
            <w:pPr>
              <w:jc w:val="right"/>
              <w:rPr>
                <w:rFonts w:eastAsia="Times New Roman"/>
              </w:rPr>
            </w:pPr>
            <w:r>
              <w:rPr>
                <w:rFonts w:eastAsia="Times New Roman"/>
                <w:color w:val="000000"/>
                <w:sz w:val="18"/>
                <w:szCs w:val="18"/>
              </w:rPr>
              <w:t>310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A8E29EC"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4AEB26D7" w14:textId="77777777" w:rsidR="00000000" w:rsidRDefault="00195E73">
            <w:pPr>
              <w:rPr>
                <w:rFonts w:eastAsia="Times New Roman"/>
                <w:sz w:val="20"/>
                <w:szCs w:val="20"/>
              </w:rPr>
            </w:pPr>
          </w:p>
        </w:tc>
        <w:tc>
          <w:tcPr>
            <w:tcW w:w="0" w:type="auto"/>
            <w:vAlign w:val="center"/>
            <w:hideMark/>
          </w:tcPr>
          <w:p w14:paraId="3A3DD35B" w14:textId="77777777" w:rsidR="00000000" w:rsidRDefault="00195E73">
            <w:pPr>
              <w:rPr>
                <w:rFonts w:eastAsia="Times New Roman"/>
                <w:sz w:val="20"/>
                <w:szCs w:val="20"/>
              </w:rPr>
            </w:pPr>
          </w:p>
        </w:tc>
        <w:tc>
          <w:tcPr>
            <w:tcW w:w="0" w:type="auto"/>
            <w:vAlign w:val="center"/>
            <w:hideMark/>
          </w:tcPr>
          <w:p w14:paraId="70E22E4F" w14:textId="77777777" w:rsidR="00000000" w:rsidRDefault="00195E73">
            <w:pPr>
              <w:rPr>
                <w:rFonts w:eastAsia="Times New Roman"/>
                <w:sz w:val="20"/>
                <w:szCs w:val="20"/>
              </w:rPr>
            </w:pPr>
          </w:p>
        </w:tc>
        <w:tc>
          <w:tcPr>
            <w:tcW w:w="0" w:type="auto"/>
            <w:vAlign w:val="center"/>
            <w:hideMark/>
          </w:tcPr>
          <w:p w14:paraId="30178E40" w14:textId="77777777" w:rsidR="00000000" w:rsidRDefault="00195E73">
            <w:pPr>
              <w:rPr>
                <w:rFonts w:eastAsia="Times New Roman"/>
                <w:sz w:val="20"/>
                <w:szCs w:val="20"/>
              </w:rPr>
            </w:pPr>
          </w:p>
        </w:tc>
        <w:tc>
          <w:tcPr>
            <w:tcW w:w="0" w:type="auto"/>
            <w:vAlign w:val="center"/>
            <w:hideMark/>
          </w:tcPr>
          <w:p w14:paraId="12B90957" w14:textId="77777777" w:rsidR="00000000" w:rsidRDefault="00195E73">
            <w:pPr>
              <w:rPr>
                <w:rFonts w:eastAsia="Times New Roman"/>
                <w:sz w:val="20"/>
                <w:szCs w:val="20"/>
              </w:rPr>
            </w:pPr>
          </w:p>
        </w:tc>
        <w:tc>
          <w:tcPr>
            <w:tcW w:w="0" w:type="auto"/>
            <w:vAlign w:val="center"/>
            <w:hideMark/>
          </w:tcPr>
          <w:p w14:paraId="5FA80B25" w14:textId="77777777" w:rsidR="00000000" w:rsidRDefault="00195E73">
            <w:pPr>
              <w:rPr>
                <w:rFonts w:eastAsia="Times New Roman"/>
                <w:sz w:val="20"/>
                <w:szCs w:val="20"/>
              </w:rPr>
            </w:pPr>
          </w:p>
        </w:tc>
        <w:tc>
          <w:tcPr>
            <w:tcW w:w="0" w:type="auto"/>
            <w:vAlign w:val="center"/>
            <w:hideMark/>
          </w:tcPr>
          <w:p w14:paraId="4CC081A7" w14:textId="77777777" w:rsidR="00000000" w:rsidRDefault="00195E73">
            <w:pPr>
              <w:rPr>
                <w:rFonts w:eastAsia="Times New Roman"/>
                <w:sz w:val="20"/>
                <w:szCs w:val="20"/>
              </w:rPr>
            </w:pPr>
          </w:p>
        </w:tc>
        <w:tc>
          <w:tcPr>
            <w:tcW w:w="0" w:type="auto"/>
            <w:vAlign w:val="center"/>
            <w:hideMark/>
          </w:tcPr>
          <w:p w14:paraId="103ABD23" w14:textId="77777777" w:rsidR="00000000" w:rsidRDefault="00195E73">
            <w:pPr>
              <w:rPr>
                <w:rFonts w:eastAsia="Times New Roman"/>
                <w:sz w:val="20"/>
                <w:szCs w:val="20"/>
              </w:rPr>
            </w:pPr>
          </w:p>
        </w:tc>
        <w:tc>
          <w:tcPr>
            <w:tcW w:w="0" w:type="auto"/>
            <w:vAlign w:val="center"/>
            <w:hideMark/>
          </w:tcPr>
          <w:p w14:paraId="3876968C" w14:textId="77777777" w:rsidR="00000000" w:rsidRDefault="00195E73">
            <w:pPr>
              <w:rPr>
                <w:rFonts w:eastAsia="Times New Roman"/>
                <w:sz w:val="20"/>
                <w:szCs w:val="20"/>
              </w:rPr>
            </w:pPr>
          </w:p>
        </w:tc>
        <w:tc>
          <w:tcPr>
            <w:tcW w:w="0" w:type="auto"/>
            <w:vAlign w:val="center"/>
            <w:hideMark/>
          </w:tcPr>
          <w:p w14:paraId="387A407E" w14:textId="77777777" w:rsidR="00000000" w:rsidRDefault="00195E73">
            <w:pPr>
              <w:rPr>
                <w:rFonts w:eastAsia="Times New Roman"/>
                <w:sz w:val="20"/>
                <w:szCs w:val="20"/>
              </w:rPr>
            </w:pPr>
          </w:p>
        </w:tc>
        <w:tc>
          <w:tcPr>
            <w:tcW w:w="0" w:type="auto"/>
            <w:vAlign w:val="center"/>
            <w:hideMark/>
          </w:tcPr>
          <w:p w14:paraId="4508EE20" w14:textId="77777777" w:rsidR="00000000" w:rsidRDefault="00195E73">
            <w:pPr>
              <w:rPr>
                <w:rFonts w:eastAsia="Times New Roman"/>
                <w:sz w:val="20"/>
                <w:szCs w:val="20"/>
              </w:rPr>
            </w:pPr>
          </w:p>
        </w:tc>
        <w:tc>
          <w:tcPr>
            <w:tcW w:w="0" w:type="auto"/>
            <w:vAlign w:val="center"/>
            <w:hideMark/>
          </w:tcPr>
          <w:p w14:paraId="02A41EFD" w14:textId="77777777" w:rsidR="00000000" w:rsidRDefault="00195E73">
            <w:pPr>
              <w:rPr>
                <w:rFonts w:eastAsia="Times New Roman"/>
                <w:sz w:val="20"/>
                <w:szCs w:val="20"/>
              </w:rPr>
            </w:pPr>
          </w:p>
        </w:tc>
        <w:tc>
          <w:tcPr>
            <w:tcW w:w="0" w:type="auto"/>
            <w:vAlign w:val="center"/>
            <w:hideMark/>
          </w:tcPr>
          <w:p w14:paraId="6D458FD2" w14:textId="77777777" w:rsidR="00000000" w:rsidRDefault="00195E73">
            <w:pPr>
              <w:rPr>
                <w:rFonts w:eastAsia="Times New Roman"/>
                <w:sz w:val="20"/>
                <w:szCs w:val="20"/>
              </w:rPr>
            </w:pPr>
          </w:p>
        </w:tc>
        <w:tc>
          <w:tcPr>
            <w:tcW w:w="0" w:type="auto"/>
            <w:vAlign w:val="center"/>
            <w:hideMark/>
          </w:tcPr>
          <w:p w14:paraId="20AB692C" w14:textId="77777777" w:rsidR="00000000" w:rsidRDefault="00195E73">
            <w:pPr>
              <w:rPr>
                <w:rFonts w:eastAsia="Times New Roman"/>
                <w:sz w:val="20"/>
                <w:szCs w:val="20"/>
              </w:rPr>
            </w:pPr>
          </w:p>
        </w:tc>
        <w:tc>
          <w:tcPr>
            <w:tcW w:w="0" w:type="auto"/>
            <w:vAlign w:val="center"/>
            <w:hideMark/>
          </w:tcPr>
          <w:p w14:paraId="6AEE8D88" w14:textId="77777777" w:rsidR="00000000" w:rsidRDefault="00195E73">
            <w:pPr>
              <w:rPr>
                <w:rFonts w:eastAsia="Times New Roman"/>
                <w:sz w:val="20"/>
                <w:szCs w:val="20"/>
              </w:rPr>
            </w:pPr>
          </w:p>
        </w:tc>
        <w:tc>
          <w:tcPr>
            <w:tcW w:w="0" w:type="auto"/>
            <w:vAlign w:val="center"/>
            <w:hideMark/>
          </w:tcPr>
          <w:p w14:paraId="5CB87E5C" w14:textId="77777777" w:rsidR="00000000" w:rsidRDefault="00195E73">
            <w:pPr>
              <w:rPr>
                <w:rFonts w:eastAsia="Times New Roman"/>
                <w:sz w:val="20"/>
                <w:szCs w:val="20"/>
              </w:rPr>
            </w:pPr>
          </w:p>
        </w:tc>
        <w:tc>
          <w:tcPr>
            <w:tcW w:w="0" w:type="auto"/>
            <w:vAlign w:val="center"/>
            <w:hideMark/>
          </w:tcPr>
          <w:p w14:paraId="2CD47540" w14:textId="77777777" w:rsidR="00000000" w:rsidRDefault="00195E73">
            <w:pPr>
              <w:rPr>
                <w:rFonts w:eastAsia="Times New Roman"/>
                <w:sz w:val="20"/>
                <w:szCs w:val="20"/>
              </w:rPr>
            </w:pPr>
          </w:p>
        </w:tc>
        <w:tc>
          <w:tcPr>
            <w:tcW w:w="0" w:type="auto"/>
            <w:vAlign w:val="center"/>
            <w:hideMark/>
          </w:tcPr>
          <w:p w14:paraId="6DA2EC51" w14:textId="77777777" w:rsidR="00000000" w:rsidRDefault="00195E73">
            <w:pPr>
              <w:rPr>
                <w:rFonts w:eastAsia="Times New Roman"/>
                <w:sz w:val="20"/>
                <w:szCs w:val="20"/>
              </w:rPr>
            </w:pPr>
          </w:p>
        </w:tc>
        <w:tc>
          <w:tcPr>
            <w:tcW w:w="0" w:type="auto"/>
            <w:vAlign w:val="center"/>
            <w:hideMark/>
          </w:tcPr>
          <w:p w14:paraId="1E50D7FD" w14:textId="77777777" w:rsidR="00000000" w:rsidRDefault="00195E73">
            <w:pPr>
              <w:rPr>
                <w:rFonts w:eastAsia="Times New Roman"/>
                <w:sz w:val="20"/>
                <w:szCs w:val="20"/>
              </w:rPr>
            </w:pPr>
          </w:p>
        </w:tc>
        <w:tc>
          <w:tcPr>
            <w:tcW w:w="0" w:type="auto"/>
            <w:vAlign w:val="center"/>
            <w:hideMark/>
          </w:tcPr>
          <w:p w14:paraId="1E7AC26E" w14:textId="77777777" w:rsidR="00000000" w:rsidRDefault="00195E73">
            <w:pPr>
              <w:rPr>
                <w:rFonts w:eastAsia="Times New Roman"/>
                <w:sz w:val="20"/>
                <w:szCs w:val="20"/>
              </w:rPr>
            </w:pPr>
          </w:p>
        </w:tc>
        <w:tc>
          <w:tcPr>
            <w:tcW w:w="0" w:type="auto"/>
            <w:vAlign w:val="center"/>
            <w:hideMark/>
          </w:tcPr>
          <w:p w14:paraId="6681AE4E" w14:textId="77777777" w:rsidR="00000000" w:rsidRDefault="00195E73">
            <w:pPr>
              <w:rPr>
                <w:rFonts w:eastAsia="Times New Roman"/>
                <w:sz w:val="20"/>
                <w:szCs w:val="20"/>
              </w:rPr>
            </w:pPr>
          </w:p>
        </w:tc>
        <w:tc>
          <w:tcPr>
            <w:tcW w:w="0" w:type="auto"/>
            <w:vAlign w:val="center"/>
            <w:hideMark/>
          </w:tcPr>
          <w:p w14:paraId="1808D6F5" w14:textId="77777777" w:rsidR="00000000" w:rsidRDefault="00195E73">
            <w:pPr>
              <w:rPr>
                <w:rFonts w:eastAsia="Times New Roman"/>
                <w:sz w:val="20"/>
                <w:szCs w:val="20"/>
              </w:rPr>
            </w:pPr>
          </w:p>
        </w:tc>
        <w:tc>
          <w:tcPr>
            <w:tcW w:w="0" w:type="auto"/>
            <w:vAlign w:val="center"/>
            <w:hideMark/>
          </w:tcPr>
          <w:p w14:paraId="262B28B5" w14:textId="77777777" w:rsidR="00000000" w:rsidRDefault="00195E73">
            <w:pPr>
              <w:rPr>
                <w:rFonts w:eastAsia="Times New Roman"/>
                <w:sz w:val="20"/>
                <w:szCs w:val="20"/>
              </w:rPr>
            </w:pPr>
          </w:p>
        </w:tc>
        <w:tc>
          <w:tcPr>
            <w:tcW w:w="0" w:type="auto"/>
            <w:vAlign w:val="center"/>
            <w:hideMark/>
          </w:tcPr>
          <w:p w14:paraId="60C567F7" w14:textId="77777777" w:rsidR="00000000" w:rsidRDefault="00195E73">
            <w:pPr>
              <w:rPr>
                <w:rFonts w:eastAsia="Times New Roman"/>
                <w:sz w:val="20"/>
                <w:szCs w:val="20"/>
              </w:rPr>
            </w:pPr>
          </w:p>
        </w:tc>
      </w:tr>
      <w:tr w:rsidR="00000000" w14:paraId="18C073BA" w14:textId="77777777">
        <w:trPr>
          <w:divId w:val="1979872608"/>
          <w:jc w:val="center"/>
        </w:trPr>
        <w:tc>
          <w:tcPr>
            <w:tcW w:w="0" w:type="auto"/>
            <w:gridSpan w:val="3"/>
            <w:shd w:val="clear" w:color="auto" w:fill="CCEEFF"/>
            <w:tcMar>
              <w:top w:w="30" w:type="dxa"/>
              <w:left w:w="20" w:type="dxa"/>
              <w:bottom w:w="30" w:type="dxa"/>
              <w:right w:w="20" w:type="dxa"/>
            </w:tcMar>
            <w:vAlign w:val="bottom"/>
            <w:hideMark/>
          </w:tcPr>
          <w:p w14:paraId="77EB0E9C" w14:textId="77777777" w:rsidR="00000000" w:rsidRDefault="00195E73">
            <w:pPr>
              <w:ind w:hanging="180"/>
              <w:divId w:val="846482890"/>
              <w:rPr>
                <w:rFonts w:eastAsia="Times New Roman"/>
              </w:rPr>
            </w:pPr>
            <w:r>
              <w:rPr>
                <w:rFonts w:eastAsia="Times New Roman"/>
                <w:color w:val="000000"/>
                <w:sz w:val="18"/>
                <w:szCs w:val="18"/>
              </w:rPr>
              <w:t>Dividends and distributions to non-controlling interests in subsidiarie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14:paraId="0F9C5E3A"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CD78BB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418EC7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344F31"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0CF136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327E8A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142148"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84DBB3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9143B1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2CDDB1" w14:textId="77777777" w:rsidR="00000000" w:rsidRDefault="00195E73">
            <w:pPr>
              <w:jc w:val="right"/>
              <w:rPr>
                <w:rFonts w:eastAsia="Times New Roman"/>
              </w:rPr>
            </w:pPr>
            <w:r>
              <w:rPr>
                <w:rFonts w:eastAsia="Times New Roman"/>
                <w:color w:val="000000"/>
                <w:sz w:val="18"/>
                <w:szCs w:val="18"/>
              </w:rPr>
              <w:t>(153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C41A97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E0E1B3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3795B4" w14:textId="77777777" w:rsidR="00000000" w:rsidRDefault="00195E73">
            <w:pPr>
              <w:jc w:val="right"/>
              <w:rPr>
                <w:rFonts w:eastAsia="Times New Roman"/>
              </w:rPr>
            </w:pPr>
            <w:r>
              <w:rPr>
                <w:rFonts w:eastAsia="Times New Roman"/>
                <w:color w:val="000000"/>
                <w:sz w:val="18"/>
                <w:szCs w:val="18"/>
              </w:rPr>
              <w:t>(153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576EA31"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5E031E6F" w14:textId="77777777" w:rsidR="00000000" w:rsidRDefault="00195E73">
            <w:pPr>
              <w:rPr>
                <w:rFonts w:eastAsia="Times New Roman"/>
                <w:sz w:val="20"/>
                <w:szCs w:val="20"/>
              </w:rPr>
            </w:pPr>
          </w:p>
        </w:tc>
        <w:tc>
          <w:tcPr>
            <w:tcW w:w="0" w:type="auto"/>
            <w:vAlign w:val="center"/>
            <w:hideMark/>
          </w:tcPr>
          <w:p w14:paraId="38B370DA" w14:textId="77777777" w:rsidR="00000000" w:rsidRDefault="00195E73">
            <w:pPr>
              <w:rPr>
                <w:rFonts w:eastAsia="Times New Roman"/>
                <w:sz w:val="20"/>
                <w:szCs w:val="20"/>
              </w:rPr>
            </w:pPr>
          </w:p>
        </w:tc>
        <w:tc>
          <w:tcPr>
            <w:tcW w:w="0" w:type="auto"/>
            <w:vAlign w:val="center"/>
            <w:hideMark/>
          </w:tcPr>
          <w:p w14:paraId="56FD1D95" w14:textId="77777777" w:rsidR="00000000" w:rsidRDefault="00195E73">
            <w:pPr>
              <w:rPr>
                <w:rFonts w:eastAsia="Times New Roman"/>
                <w:sz w:val="20"/>
                <w:szCs w:val="20"/>
              </w:rPr>
            </w:pPr>
          </w:p>
        </w:tc>
        <w:tc>
          <w:tcPr>
            <w:tcW w:w="0" w:type="auto"/>
            <w:vAlign w:val="center"/>
            <w:hideMark/>
          </w:tcPr>
          <w:p w14:paraId="4764B46C" w14:textId="77777777" w:rsidR="00000000" w:rsidRDefault="00195E73">
            <w:pPr>
              <w:rPr>
                <w:rFonts w:eastAsia="Times New Roman"/>
                <w:sz w:val="20"/>
                <w:szCs w:val="20"/>
              </w:rPr>
            </w:pPr>
          </w:p>
        </w:tc>
        <w:tc>
          <w:tcPr>
            <w:tcW w:w="0" w:type="auto"/>
            <w:vAlign w:val="center"/>
            <w:hideMark/>
          </w:tcPr>
          <w:p w14:paraId="7D6A5E29" w14:textId="77777777" w:rsidR="00000000" w:rsidRDefault="00195E73">
            <w:pPr>
              <w:rPr>
                <w:rFonts w:eastAsia="Times New Roman"/>
                <w:sz w:val="20"/>
                <w:szCs w:val="20"/>
              </w:rPr>
            </w:pPr>
          </w:p>
        </w:tc>
        <w:tc>
          <w:tcPr>
            <w:tcW w:w="0" w:type="auto"/>
            <w:vAlign w:val="center"/>
            <w:hideMark/>
          </w:tcPr>
          <w:p w14:paraId="74AB3D4F" w14:textId="77777777" w:rsidR="00000000" w:rsidRDefault="00195E73">
            <w:pPr>
              <w:rPr>
                <w:rFonts w:eastAsia="Times New Roman"/>
                <w:sz w:val="20"/>
                <w:szCs w:val="20"/>
              </w:rPr>
            </w:pPr>
          </w:p>
        </w:tc>
        <w:tc>
          <w:tcPr>
            <w:tcW w:w="0" w:type="auto"/>
            <w:vAlign w:val="center"/>
            <w:hideMark/>
          </w:tcPr>
          <w:p w14:paraId="685BE79F" w14:textId="77777777" w:rsidR="00000000" w:rsidRDefault="00195E73">
            <w:pPr>
              <w:rPr>
                <w:rFonts w:eastAsia="Times New Roman"/>
                <w:sz w:val="20"/>
                <w:szCs w:val="20"/>
              </w:rPr>
            </w:pPr>
          </w:p>
        </w:tc>
        <w:tc>
          <w:tcPr>
            <w:tcW w:w="0" w:type="auto"/>
            <w:vAlign w:val="center"/>
            <w:hideMark/>
          </w:tcPr>
          <w:p w14:paraId="28D1BC91" w14:textId="77777777" w:rsidR="00000000" w:rsidRDefault="00195E73">
            <w:pPr>
              <w:rPr>
                <w:rFonts w:eastAsia="Times New Roman"/>
                <w:sz w:val="20"/>
                <w:szCs w:val="20"/>
              </w:rPr>
            </w:pPr>
          </w:p>
        </w:tc>
        <w:tc>
          <w:tcPr>
            <w:tcW w:w="0" w:type="auto"/>
            <w:vAlign w:val="center"/>
            <w:hideMark/>
          </w:tcPr>
          <w:p w14:paraId="113BDF8B" w14:textId="77777777" w:rsidR="00000000" w:rsidRDefault="00195E73">
            <w:pPr>
              <w:rPr>
                <w:rFonts w:eastAsia="Times New Roman"/>
                <w:sz w:val="20"/>
                <w:szCs w:val="20"/>
              </w:rPr>
            </w:pPr>
          </w:p>
        </w:tc>
        <w:tc>
          <w:tcPr>
            <w:tcW w:w="0" w:type="auto"/>
            <w:vAlign w:val="center"/>
            <w:hideMark/>
          </w:tcPr>
          <w:p w14:paraId="40FB9B4E" w14:textId="77777777" w:rsidR="00000000" w:rsidRDefault="00195E73">
            <w:pPr>
              <w:rPr>
                <w:rFonts w:eastAsia="Times New Roman"/>
                <w:sz w:val="20"/>
                <w:szCs w:val="20"/>
              </w:rPr>
            </w:pPr>
          </w:p>
        </w:tc>
        <w:tc>
          <w:tcPr>
            <w:tcW w:w="0" w:type="auto"/>
            <w:vAlign w:val="center"/>
            <w:hideMark/>
          </w:tcPr>
          <w:p w14:paraId="0F81E7F0" w14:textId="77777777" w:rsidR="00000000" w:rsidRDefault="00195E73">
            <w:pPr>
              <w:rPr>
                <w:rFonts w:eastAsia="Times New Roman"/>
                <w:sz w:val="20"/>
                <w:szCs w:val="20"/>
              </w:rPr>
            </w:pPr>
          </w:p>
        </w:tc>
        <w:tc>
          <w:tcPr>
            <w:tcW w:w="0" w:type="auto"/>
            <w:vAlign w:val="center"/>
            <w:hideMark/>
          </w:tcPr>
          <w:p w14:paraId="05ABAB8C" w14:textId="77777777" w:rsidR="00000000" w:rsidRDefault="00195E73">
            <w:pPr>
              <w:rPr>
                <w:rFonts w:eastAsia="Times New Roman"/>
                <w:sz w:val="20"/>
                <w:szCs w:val="20"/>
              </w:rPr>
            </w:pPr>
          </w:p>
        </w:tc>
        <w:tc>
          <w:tcPr>
            <w:tcW w:w="0" w:type="auto"/>
            <w:vAlign w:val="center"/>
            <w:hideMark/>
          </w:tcPr>
          <w:p w14:paraId="25E0C6AB" w14:textId="77777777" w:rsidR="00000000" w:rsidRDefault="00195E73">
            <w:pPr>
              <w:rPr>
                <w:rFonts w:eastAsia="Times New Roman"/>
                <w:sz w:val="20"/>
                <w:szCs w:val="20"/>
              </w:rPr>
            </w:pPr>
          </w:p>
        </w:tc>
        <w:tc>
          <w:tcPr>
            <w:tcW w:w="0" w:type="auto"/>
            <w:vAlign w:val="center"/>
            <w:hideMark/>
          </w:tcPr>
          <w:p w14:paraId="3B32596D" w14:textId="77777777" w:rsidR="00000000" w:rsidRDefault="00195E73">
            <w:pPr>
              <w:rPr>
                <w:rFonts w:eastAsia="Times New Roman"/>
                <w:sz w:val="20"/>
                <w:szCs w:val="20"/>
              </w:rPr>
            </w:pPr>
          </w:p>
        </w:tc>
        <w:tc>
          <w:tcPr>
            <w:tcW w:w="0" w:type="auto"/>
            <w:vAlign w:val="center"/>
            <w:hideMark/>
          </w:tcPr>
          <w:p w14:paraId="159D7322" w14:textId="77777777" w:rsidR="00000000" w:rsidRDefault="00195E73">
            <w:pPr>
              <w:rPr>
                <w:rFonts w:eastAsia="Times New Roman"/>
                <w:sz w:val="20"/>
                <w:szCs w:val="20"/>
              </w:rPr>
            </w:pPr>
          </w:p>
        </w:tc>
        <w:tc>
          <w:tcPr>
            <w:tcW w:w="0" w:type="auto"/>
            <w:vAlign w:val="center"/>
            <w:hideMark/>
          </w:tcPr>
          <w:p w14:paraId="54568C3C" w14:textId="77777777" w:rsidR="00000000" w:rsidRDefault="00195E73">
            <w:pPr>
              <w:rPr>
                <w:rFonts w:eastAsia="Times New Roman"/>
                <w:sz w:val="20"/>
                <w:szCs w:val="20"/>
              </w:rPr>
            </w:pPr>
          </w:p>
        </w:tc>
        <w:tc>
          <w:tcPr>
            <w:tcW w:w="0" w:type="auto"/>
            <w:vAlign w:val="center"/>
            <w:hideMark/>
          </w:tcPr>
          <w:p w14:paraId="174EAC12" w14:textId="77777777" w:rsidR="00000000" w:rsidRDefault="00195E73">
            <w:pPr>
              <w:rPr>
                <w:rFonts w:eastAsia="Times New Roman"/>
                <w:sz w:val="20"/>
                <w:szCs w:val="20"/>
              </w:rPr>
            </w:pPr>
          </w:p>
        </w:tc>
        <w:tc>
          <w:tcPr>
            <w:tcW w:w="0" w:type="auto"/>
            <w:vAlign w:val="center"/>
            <w:hideMark/>
          </w:tcPr>
          <w:p w14:paraId="402BF2F3" w14:textId="77777777" w:rsidR="00000000" w:rsidRDefault="00195E73">
            <w:pPr>
              <w:rPr>
                <w:rFonts w:eastAsia="Times New Roman"/>
                <w:sz w:val="20"/>
                <w:szCs w:val="20"/>
              </w:rPr>
            </w:pPr>
          </w:p>
        </w:tc>
        <w:tc>
          <w:tcPr>
            <w:tcW w:w="0" w:type="auto"/>
            <w:vAlign w:val="center"/>
            <w:hideMark/>
          </w:tcPr>
          <w:p w14:paraId="711427E5" w14:textId="77777777" w:rsidR="00000000" w:rsidRDefault="00195E73">
            <w:pPr>
              <w:rPr>
                <w:rFonts w:eastAsia="Times New Roman"/>
                <w:sz w:val="20"/>
                <w:szCs w:val="20"/>
              </w:rPr>
            </w:pPr>
          </w:p>
        </w:tc>
        <w:tc>
          <w:tcPr>
            <w:tcW w:w="0" w:type="auto"/>
            <w:vAlign w:val="center"/>
            <w:hideMark/>
          </w:tcPr>
          <w:p w14:paraId="2D4B714E" w14:textId="77777777" w:rsidR="00000000" w:rsidRDefault="00195E73">
            <w:pPr>
              <w:rPr>
                <w:rFonts w:eastAsia="Times New Roman"/>
                <w:sz w:val="20"/>
                <w:szCs w:val="20"/>
              </w:rPr>
            </w:pPr>
          </w:p>
        </w:tc>
        <w:tc>
          <w:tcPr>
            <w:tcW w:w="0" w:type="auto"/>
            <w:vAlign w:val="center"/>
            <w:hideMark/>
          </w:tcPr>
          <w:p w14:paraId="42469394" w14:textId="77777777" w:rsidR="00000000" w:rsidRDefault="00195E73">
            <w:pPr>
              <w:rPr>
                <w:rFonts w:eastAsia="Times New Roman"/>
                <w:sz w:val="20"/>
                <w:szCs w:val="20"/>
              </w:rPr>
            </w:pPr>
          </w:p>
        </w:tc>
        <w:tc>
          <w:tcPr>
            <w:tcW w:w="0" w:type="auto"/>
            <w:vAlign w:val="center"/>
            <w:hideMark/>
          </w:tcPr>
          <w:p w14:paraId="2898713B" w14:textId="77777777" w:rsidR="00000000" w:rsidRDefault="00195E73">
            <w:pPr>
              <w:rPr>
                <w:rFonts w:eastAsia="Times New Roman"/>
                <w:sz w:val="20"/>
                <w:szCs w:val="20"/>
              </w:rPr>
            </w:pPr>
          </w:p>
        </w:tc>
        <w:tc>
          <w:tcPr>
            <w:tcW w:w="0" w:type="auto"/>
            <w:vAlign w:val="center"/>
            <w:hideMark/>
          </w:tcPr>
          <w:p w14:paraId="7B3C9D73" w14:textId="77777777" w:rsidR="00000000" w:rsidRDefault="00195E73">
            <w:pPr>
              <w:rPr>
                <w:rFonts w:eastAsia="Times New Roman"/>
                <w:sz w:val="20"/>
                <w:szCs w:val="20"/>
              </w:rPr>
            </w:pPr>
          </w:p>
        </w:tc>
        <w:tc>
          <w:tcPr>
            <w:tcW w:w="0" w:type="auto"/>
            <w:vAlign w:val="center"/>
            <w:hideMark/>
          </w:tcPr>
          <w:p w14:paraId="5F714DBF" w14:textId="77777777" w:rsidR="00000000" w:rsidRDefault="00195E73">
            <w:pPr>
              <w:rPr>
                <w:rFonts w:eastAsia="Times New Roman"/>
                <w:sz w:val="20"/>
                <w:szCs w:val="20"/>
              </w:rPr>
            </w:pPr>
          </w:p>
        </w:tc>
      </w:tr>
      <w:tr w:rsidR="00000000" w14:paraId="62ED7C2E" w14:textId="77777777">
        <w:trPr>
          <w:divId w:val="1979872608"/>
          <w:jc w:val="center"/>
        </w:trPr>
        <w:tc>
          <w:tcPr>
            <w:tcW w:w="0" w:type="auto"/>
            <w:gridSpan w:val="3"/>
            <w:shd w:val="clear" w:color="auto" w:fill="FFFFFF"/>
            <w:tcMar>
              <w:top w:w="30" w:type="dxa"/>
              <w:left w:w="180" w:type="dxa"/>
              <w:bottom w:w="30" w:type="dxa"/>
              <w:right w:w="20" w:type="dxa"/>
            </w:tcMar>
            <w:vAlign w:val="bottom"/>
            <w:hideMark/>
          </w:tcPr>
          <w:p w14:paraId="2A246A28" w14:textId="77777777" w:rsidR="00000000" w:rsidRDefault="00195E73">
            <w:pPr>
              <w:rPr>
                <w:rFonts w:eastAsia="Times New Roman"/>
              </w:rPr>
            </w:pPr>
            <w:r>
              <w:rPr>
                <w:rFonts w:eastAsia="Times New Roman"/>
                <w:color w:val="000000"/>
                <w:sz w:val="18"/>
                <w:szCs w:val="18"/>
              </w:rPr>
              <w:t>Cumulative effect adjustment from adoption of accounting principl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14:paraId="5209543A"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AF10AC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C37B96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D186D5" w14:textId="77777777" w:rsidR="00000000" w:rsidRDefault="00195E73">
            <w:pPr>
              <w:jc w:val="right"/>
              <w:rPr>
                <w:rFonts w:eastAsia="Times New Roman"/>
              </w:rPr>
            </w:pPr>
            <w:r>
              <w:rPr>
                <w:rFonts w:eastAsia="Times New Roman"/>
                <w:color w:val="000000"/>
                <w:sz w:val="18"/>
                <w:szCs w:val="18"/>
              </w:rPr>
              <w:t>(29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212E530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932F4A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DF7EDD" w14:textId="77777777" w:rsidR="00000000" w:rsidRDefault="00195E73">
            <w:pPr>
              <w:jc w:val="right"/>
              <w:rPr>
                <w:rFonts w:eastAsia="Times New Roman"/>
              </w:rPr>
            </w:pPr>
            <w:r>
              <w:rPr>
                <w:rFonts w:eastAsia="Times New Roman"/>
                <w:color w:val="000000"/>
                <w:sz w:val="18"/>
                <w:szCs w:val="18"/>
              </w:rPr>
              <w:t>(29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5312848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87226C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457516"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9A97E9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66A708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6AABD3" w14:textId="77777777" w:rsidR="00000000" w:rsidRDefault="00195E73">
            <w:pPr>
              <w:jc w:val="right"/>
              <w:rPr>
                <w:rFonts w:eastAsia="Times New Roman"/>
              </w:rPr>
            </w:pPr>
            <w:r>
              <w:rPr>
                <w:rFonts w:eastAsia="Times New Roman"/>
                <w:color w:val="000000"/>
                <w:sz w:val="18"/>
                <w:szCs w:val="18"/>
              </w:rPr>
              <w:t>(29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034EA8E1"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7BB17070" w14:textId="77777777" w:rsidR="00000000" w:rsidRDefault="00195E73">
            <w:pPr>
              <w:rPr>
                <w:rFonts w:eastAsia="Times New Roman"/>
                <w:sz w:val="20"/>
                <w:szCs w:val="20"/>
              </w:rPr>
            </w:pPr>
          </w:p>
        </w:tc>
        <w:tc>
          <w:tcPr>
            <w:tcW w:w="0" w:type="auto"/>
            <w:vAlign w:val="center"/>
            <w:hideMark/>
          </w:tcPr>
          <w:p w14:paraId="61337B70" w14:textId="77777777" w:rsidR="00000000" w:rsidRDefault="00195E73">
            <w:pPr>
              <w:rPr>
                <w:rFonts w:eastAsia="Times New Roman"/>
                <w:sz w:val="20"/>
                <w:szCs w:val="20"/>
              </w:rPr>
            </w:pPr>
          </w:p>
        </w:tc>
        <w:tc>
          <w:tcPr>
            <w:tcW w:w="0" w:type="auto"/>
            <w:vAlign w:val="center"/>
            <w:hideMark/>
          </w:tcPr>
          <w:p w14:paraId="0F13671C" w14:textId="77777777" w:rsidR="00000000" w:rsidRDefault="00195E73">
            <w:pPr>
              <w:rPr>
                <w:rFonts w:eastAsia="Times New Roman"/>
                <w:sz w:val="20"/>
                <w:szCs w:val="20"/>
              </w:rPr>
            </w:pPr>
          </w:p>
        </w:tc>
        <w:tc>
          <w:tcPr>
            <w:tcW w:w="0" w:type="auto"/>
            <w:vAlign w:val="center"/>
            <w:hideMark/>
          </w:tcPr>
          <w:p w14:paraId="76675477" w14:textId="77777777" w:rsidR="00000000" w:rsidRDefault="00195E73">
            <w:pPr>
              <w:rPr>
                <w:rFonts w:eastAsia="Times New Roman"/>
                <w:sz w:val="20"/>
                <w:szCs w:val="20"/>
              </w:rPr>
            </w:pPr>
          </w:p>
        </w:tc>
        <w:tc>
          <w:tcPr>
            <w:tcW w:w="0" w:type="auto"/>
            <w:vAlign w:val="center"/>
            <w:hideMark/>
          </w:tcPr>
          <w:p w14:paraId="75205B61" w14:textId="77777777" w:rsidR="00000000" w:rsidRDefault="00195E73">
            <w:pPr>
              <w:rPr>
                <w:rFonts w:eastAsia="Times New Roman"/>
                <w:sz w:val="20"/>
                <w:szCs w:val="20"/>
              </w:rPr>
            </w:pPr>
          </w:p>
        </w:tc>
        <w:tc>
          <w:tcPr>
            <w:tcW w:w="0" w:type="auto"/>
            <w:vAlign w:val="center"/>
            <w:hideMark/>
          </w:tcPr>
          <w:p w14:paraId="755E85B5" w14:textId="77777777" w:rsidR="00000000" w:rsidRDefault="00195E73">
            <w:pPr>
              <w:rPr>
                <w:rFonts w:eastAsia="Times New Roman"/>
                <w:sz w:val="20"/>
                <w:szCs w:val="20"/>
              </w:rPr>
            </w:pPr>
          </w:p>
        </w:tc>
        <w:tc>
          <w:tcPr>
            <w:tcW w:w="0" w:type="auto"/>
            <w:vAlign w:val="center"/>
            <w:hideMark/>
          </w:tcPr>
          <w:p w14:paraId="463C5921" w14:textId="77777777" w:rsidR="00000000" w:rsidRDefault="00195E73">
            <w:pPr>
              <w:rPr>
                <w:rFonts w:eastAsia="Times New Roman"/>
                <w:sz w:val="20"/>
                <w:szCs w:val="20"/>
              </w:rPr>
            </w:pPr>
          </w:p>
        </w:tc>
        <w:tc>
          <w:tcPr>
            <w:tcW w:w="0" w:type="auto"/>
            <w:vAlign w:val="center"/>
            <w:hideMark/>
          </w:tcPr>
          <w:p w14:paraId="143421E1" w14:textId="77777777" w:rsidR="00000000" w:rsidRDefault="00195E73">
            <w:pPr>
              <w:rPr>
                <w:rFonts w:eastAsia="Times New Roman"/>
                <w:sz w:val="20"/>
                <w:szCs w:val="20"/>
              </w:rPr>
            </w:pPr>
          </w:p>
        </w:tc>
        <w:tc>
          <w:tcPr>
            <w:tcW w:w="0" w:type="auto"/>
            <w:vAlign w:val="center"/>
            <w:hideMark/>
          </w:tcPr>
          <w:p w14:paraId="2F0474E1" w14:textId="77777777" w:rsidR="00000000" w:rsidRDefault="00195E73">
            <w:pPr>
              <w:rPr>
                <w:rFonts w:eastAsia="Times New Roman"/>
                <w:sz w:val="20"/>
                <w:szCs w:val="20"/>
              </w:rPr>
            </w:pPr>
          </w:p>
        </w:tc>
        <w:tc>
          <w:tcPr>
            <w:tcW w:w="0" w:type="auto"/>
            <w:vAlign w:val="center"/>
            <w:hideMark/>
          </w:tcPr>
          <w:p w14:paraId="5904A1CC" w14:textId="77777777" w:rsidR="00000000" w:rsidRDefault="00195E73">
            <w:pPr>
              <w:rPr>
                <w:rFonts w:eastAsia="Times New Roman"/>
                <w:sz w:val="20"/>
                <w:szCs w:val="20"/>
              </w:rPr>
            </w:pPr>
          </w:p>
        </w:tc>
        <w:tc>
          <w:tcPr>
            <w:tcW w:w="0" w:type="auto"/>
            <w:vAlign w:val="center"/>
            <w:hideMark/>
          </w:tcPr>
          <w:p w14:paraId="21BFE295" w14:textId="77777777" w:rsidR="00000000" w:rsidRDefault="00195E73">
            <w:pPr>
              <w:rPr>
                <w:rFonts w:eastAsia="Times New Roman"/>
                <w:sz w:val="20"/>
                <w:szCs w:val="20"/>
              </w:rPr>
            </w:pPr>
          </w:p>
        </w:tc>
        <w:tc>
          <w:tcPr>
            <w:tcW w:w="0" w:type="auto"/>
            <w:vAlign w:val="center"/>
            <w:hideMark/>
          </w:tcPr>
          <w:p w14:paraId="59642EF1" w14:textId="77777777" w:rsidR="00000000" w:rsidRDefault="00195E73">
            <w:pPr>
              <w:rPr>
                <w:rFonts w:eastAsia="Times New Roman"/>
                <w:sz w:val="20"/>
                <w:szCs w:val="20"/>
              </w:rPr>
            </w:pPr>
          </w:p>
        </w:tc>
        <w:tc>
          <w:tcPr>
            <w:tcW w:w="0" w:type="auto"/>
            <w:vAlign w:val="center"/>
            <w:hideMark/>
          </w:tcPr>
          <w:p w14:paraId="7369B1F5" w14:textId="77777777" w:rsidR="00000000" w:rsidRDefault="00195E73">
            <w:pPr>
              <w:rPr>
                <w:rFonts w:eastAsia="Times New Roman"/>
                <w:sz w:val="20"/>
                <w:szCs w:val="20"/>
              </w:rPr>
            </w:pPr>
          </w:p>
        </w:tc>
        <w:tc>
          <w:tcPr>
            <w:tcW w:w="0" w:type="auto"/>
            <w:vAlign w:val="center"/>
            <w:hideMark/>
          </w:tcPr>
          <w:p w14:paraId="38DCFF1D" w14:textId="77777777" w:rsidR="00000000" w:rsidRDefault="00195E73">
            <w:pPr>
              <w:rPr>
                <w:rFonts w:eastAsia="Times New Roman"/>
                <w:sz w:val="20"/>
                <w:szCs w:val="20"/>
              </w:rPr>
            </w:pPr>
          </w:p>
        </w:tc>
        <w:tc>
          <w:tcPr>
            <w:tcW w:w="0" w:type="auto"/>
            <w:vAlign w:val="center"/>
            <w:hideMark/>
          </w:tcPr>
          <w:p w14:paraId="1133BFCC" w14:textId="77777777" w:rsidR="00000000" w:rsidRDefault="00195E73">
            <w:pPr>
              <w:rPr>
                <w:rFonts w:eastAsia="Times New Roman"/>
                <w:sz w:val="20"/>
                <w:szCs w:val="20"/>
              </w:rPr>
            </w:pPr>
          </w:p>
        </w:tc>
        <w:tc>
          <w:tcPr>
            <w:tcW w:w="0" w:type="auto"/>
            <w:vAlign w:val="center"/>
            <w:hideMark/>
          </w:tcPr>
          <w:p w14:paraId="0951BACC" w14:textId="77777777" w:rsidR="00000000" w:rsidRDefault="00195E73">
            <w:pPr>
              <w:rPr>
                <w:rFonts w:eastAsia="Times New Roman"/>
                <w:sz w:val="20"/>
                <w:szCs w:val="20"/>
              </w:rPr>
            </w:pPr>
          </w:p>
        </w:tc>
        <w:tc>
          <w:tcPr>
            <w:tcW w:w="0" w:type="auto"/>
            <w:vAlign w:val="center"/>
            <w:hideMark/>
          </w:tcPr>
          <w:p w14:paraId="1F77D4BD" w14:textId="77777777" w:rsidR="00000000" w:rsidRDefault="00195E73">
            <w:pPr>
              <w:rPr>
                <w:rFonts w:eastAsia="Times New Roman"/>
                <w:sz w:val="20"/>
                <w:szCs w:val="20"/>
              </w:rPr>
            </w:pPr>
          </w:p>
        </w:tc>
        <w:tc>
          <w:tcPr>
            <w:tcW w:w="0" w:type="auto"/>
            <w:vAlign w:val="center"/>
            <w:hideMark/>
          </w:tcPr>
          <w:p w14:paraId="53292C14" w14:textId="77777777" w:rsidR="00000000" w:rsidRDefault="00195E73">
            <w:pPr>
              <w:rPr>
                <w:rFonts w:eastAsia="Times New Roman"/>
                <w:sz w:val="20"/>
                <w:szCs w:val="20"/>
              </w:rPr>
            </w:pPr>
          </w:p>
        </w:tc>
        <w:tc>
          <w:tcPr>
            <w:tcW w:w="0" w:type="auto"/>
            <w:vAlign w:val="center"/>
            <w:hideMark/>
          </w:tcPr>
          <w:p w14:paraId="6D8CD7CD" w14:textId="77777777" w:rsidR="00000000" w:rsidRDefault="00195E73">
            <w:pPr>
              <w:rPr>
                <w:rFonts w:eastAsia="Times New Roman"/>
                <w:sz w:val="20"/>
                <w:szCs w:val="20"/>
              </w:rPr>
            </w:pPr>
          </w:p>
        </w:tc>
        <w:tc>
          <w:tcPr>
            <w:tcW w:w="0" w:type="auto"/>
            <w:vAlign w:val="center"/>
            <w:hideMark/>
          </w:tcPr>
          <w:p w14:paraId="4F3FB9D3" w14:textId="77777777" w:rsidR="00000000" w:rsidRDefault="00195E73">
            <w:pPr>
              <w:rPr>
                <w:rFonts w:eastAsia="Times New Roman"/>
                <w:sz w:val="20"/>
                <w:szCs w:val="20"/>
              </w:rPr>
            </w:pPr>
          </w:p>
        </w:tc>
        <w:tc>
          <w:tcPr>
            <w:tcW w:w="0" w:type="auto"/>
            <w:vAlign w:val="center"/>
            <w:hideMark/>
          </w:tcPr>
          <w:p w14:paraId="5AC8B249" w14:textId="77777777" w:rsidR="00000000" w:rsidRDefault="00195E73">
            <w:pPr>
              <w:rPr>
                <w:rFonts w:eastAsia="Times New Roman"/>
                <w:sz w:val="20"/>
                <w:szCs w:val="20"/>
              </w:rPr>
            </w:pPr>
          </w:p>
        </w:tc>
        <w:tc>
          <w:tcPr>
            <w:tcW w:w="0" w:type="auto"/>
            <w:vAlign w:val="center"/>
            <w:hideMark/>
          </w:tcPr>
          <w:p w14:paraId="606C842B" w14:textId="77777777" w:rsidR="00000000" w:rsidRDefault="00195E73">
            <w:pPr>
              <w:rPr>
                <w:rFonts w:eastAsia="Times New Roman"/>
                <w:sz w:val="20"/>
                <w:szCs w:val="20"/>
              </w:rPr>
            </w:pPr>
          </w:p>
        </w:tc>
        <w:tc>
          <w:tcPr>
            <w:tcW w:w="0" w:type="auto"/>
            <w:vAlign w:val="center"/>
            <w:hideMark/>
          </w:tcPr>
          <w:p w14:paraId="3E1743CE" w14:textId="77777777" w:rsidR="00000000" w:rsidRDefault="00195E73">
            <w:pPr>
              <w:rPr>
                <w:rFonts w:eastAsia="Times New Roman"/>
                <w:sz w:val="20"/>
                <w:szCs w:val="20"/>
              </w:rPr>
            </w:pPr>
          </w:p>
        </w:tc>
        <w:tc>
          <w:tcPr>
            <w:tcW w:w="0" w:type="auto"/>
            <w:vAlign w:val="center"/>
            <w:hideMark/>
          </w:tcPr>
          <w:p w14:paraId="1D911C0A" w14:textId="77777777" w:rsidR="00000000" w:rsidRDefault="00195E73">
            <w:pPr>
              <w:rPr>
                <w:rFonts w:eastAsia="Times New Roman"/>
                <w:sz w:val="20"/>
                <w:szCs w:val="20"/>
              </w:rPr>
            </w:pPr>
          </w:p>
        </w:tc>
      </w:tr>
      <w:tr w:rsidR="00000000" w14:paraId="75872B40" w14:textId="77777777">
        <w:trPr>
          <w:divId w:val="1979872608"/>
          <w:jc w:val="center"/>
        </w:trPr>
        <w:tc>
          <w:tcPr>
            <w:tcW w:w="0" w:type="auto"/>
            <w:gridSpan w:val="3"/>
            <w:shd w:val="clear" w:color="auto" w:fill="CCEEFF"/>
            <w:tcMar>
              <w:top w:w="30" w:type="dxa"/>
              <w:left w:w="20" w:type="dxa"/>
              <w:bottom w:w="30" w:type="dxa"/>
              <w:right w:w="20" w:type="dxa"/>
            </w:tcMar>
            <w:vAlign w:val="bottom"/>
            <w:hideMark/>
          </w:tcPr>
          <w:p w14:paraId="4BC1D4AA" w14:textId="77777777" w:rsidR="00000000" w:rsidRDefault="00195E73">
            <w:pPr>
              <w:rPr>
                <w:rFonts w:eastAsia="Times New Roman"/>
              </w:rPr>
            </w:pPr>
            <w:r>
              <w:rPr>
                <w:rFonts w:eastAsia="Times New Roman"/>
                <w:color w:val="000000"/>
                <w:sz w:val="18"/>
                <w:szCs w:val="18"/>
              </w:rPr>
              <w:t>Changes in subsidiary equity and 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14:paraId="6608636F"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ADB85D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2A9A3B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FAF9B3" w14:textId="77777777" w:rsidR="00000000" w:rsidRDefault="00195E73">
            <w:pPr>
              <w:jc w:val="right"/>
              <w:rPr>
                <w:rFonts w:eastAsia="Times New Roman"/>
              </w:rPr>
            </w:pPr>
            <w:r>
              <w:rPr>
                <w:rFonts w:eastAsia="Times New Roman"/>
                <w:color w:val="000000"/>
                <w:sz w:val="18"/>
                <w:szCs w:val="18"/>
              </w:rPr>
              <w:t>96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74A2DC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3CB35C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DA4717" w14:textId="77777777" w:rsidR="00000000" w:rsidRDefault="00195E73">
            <w:pPr>
              <w:jc w:val="right"/>
              <w:rPr>
                <w:rFonts w:eastAsia="Times New Roman"/>
              </w:rPr>
            </w:pPr>
            <w:r>
              <w:rPr>
                <w:rFonts w:eastAsia="Times New Roman"/>
                <w:color w:val="000000"/>
                <w:sz w:val="18"/>
                <w:szCs w:val="18"/>
              </w:rPr>
              <w:t>97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1E621B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4A718B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6C95D2" w14:textId="77777777" w:rsidR="00000000" w:rsidRDefault="00195E73">
            <w:pPr>
              <w:jc w:val="right"/>
              <w:rPr>
                <w:rFonts w:eastAsia="Times New Roman"/>
              </w:rPr>
            </w:pPr>
            <w:r>
              <w:rPr>
                <w:rFonts w:eastAsia="Times New Roman"/>
                <w:color w:val="000000"/>
                <w:sz w:val="18"/>
                <w:szCs w:val="18"/>
              </w:rPr>
              <w:t>(567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55BC9BF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FB8242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50BD33" w14:textId="77777777" w:rsidR="00000000" w:rsidRDefault="00195E73">
            <w:pPr>
              <w:jc w:val="right"/>
              <w:rPr>
                <w:rFonts w:eastAsia="Times New Roman"/>
              </w:rPr>
            </w:pPr>
            <w:r>
              <w:rPr>
                <w:rFonts w:eastAsia="Times New Roman"/>
                <w:color w:val="000000"/>
                <w:sz w:val="18"/>
                <w:szCs w:val="18"/>
              </w:rPr>
              <w:t>(470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27701C1"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1A8B13BF" w14:textId="77777777" w:rsidR="00000000" w:rsidRDefault="00195E73">
            <w:pPr>
              <w:rPr>
                <w:rFonts w:eastAsia="Times New Roman"/>
                <w:sz w:val="20"/>
                <w:szCs w:val="20"/>
              </w:rPr>
            </w:pPr>
          </w:p>
        </w:tc>
        <w:tc>
          <w:tcPr>
            <w:tcW w:w="0" w:type="auto"/>
            <w:vAlign w:val="center"/>
            <w:hideMark/>
          </w:tcPr>
          <w:p w14:paraId="64813690" w14:textId="77777777" w:rsidR="00000000" w:rsidRDefault="00195E73">
            <w:pPr>
              <w:rPr>
                <w:rFonts w:eastAsia="Times New Roman"/>
                <w:sz w:val="20"/>
                <w:szCs w:val="20"/>
              </w:rPr>
            </w:pPr>
          </w:p>
        </w:tc>
        <w:tc>
          <w:tcPr>
            <w:tcW w:w="0" w:type="auto"/>
            <w:vAlign w:val="center"/>
            <w:hideMark/>
          </w:tcPr>
          <w:p w14:paraId="4C172AA6" w14:textId="77777777" w:rsidR="00000000" w:rsidRDefault="00195E73">
            <w:pPr>
              <w:rPr>
                <w:rFonts w:eastAsia="Times New Roman"/>
                <w:sz w:val="20"/>
                <w:szCs w:val="20"/>
              </w:rPr>
            </w:pPr>
          </w:p>
        </w:tc>
        <w:tc>
          <w:tcPr>
            <w:tcW w:w="0" w:type="auto"/>
            <w:vAlign w:val="center"/>
            <w:hideMark/>
          </w:tcPr>
          <w:p w14:paraId="2FCBF135" w14:textId="77777777" w:rsidR="00000000" w:rsidRDefault="00195E73">
            <w:pPr>
              <w:rPr>
                <w:rFonts w:eastAsia="Times New Roman"/>
                <w:sz w:val="20"/>
                <w:szCs w:val="20"/>
              </w:rPr>
            </w:pPr>
          </w:p>
        </w:tc>
        <w:tc>
          <w:tcPr>
            <w:tcW w:w="0" w:type="auto"/>
            <w:vAlign w:val="center"/>
            <w:hideMark/>
          </w:tcPr>
          <w:p w14:paraId="3DF13BFF" w14:textId="77777777" w:rsidR="00000000" w:rsidRDefault="00195E73">
            <w:pPr>
              <w:rPr>
                <w:rFonts w:eastAsia="Times New Roman"/>
                <w:sz w:val="20"/>
                <w:szCs w:val="20"/>
              </w:rPr>
            </w:pPr>
          </w:p>
        </w:tc>
        <w:tc>
          <w:tcPr>
            <w:tcW w:w="0" w:type="auto"/>
            <w:vAlign w:val="center"/>
            <w:hideMark/>
          </w:tcPr>
          <w:p w14:paraId="6A9772E3" w14:textId="77777777" w:rsidR="00000000" w:rsidRDefault="00195E73">
            <w:pPr>
              <w:rPr>
                <w:rFonts w:eastAsia="Times New Roman"/>
                <w:sz w:val="20"/>
                <w:szCs w:val="20"/>
              </w:rPr>
            </w:pPr>
          </w:p>
        </w:tc>
        <w:tc>
          <w:tcPr>
            <w:tcW w:w="0" w:type="auto"/>
            <w:vAlign w:val="center"/>
            <w:hideMark/>
          </w:tcPr>
          <w:p w14:paraId="4F1F52B8" w14:textId="77777777" w:rsidR="00000000" w:rsidRDefault="00195E73">
            <w:pPr>
              <w:rPr>
                <w:rFonts w:eastAsia="Times New Roman"/>
                <w:sz w:val="20"/>
                <w:szCs w:val="20"/>
              </w:rPr>
            </w:pPr>
          </w:p>
        </w:tc>
        <w:tc>
          <w:tcPr>
            <w:tcW w:w="0" w:type="auto"/>
            <w:vAlign w:val="center"/>
            <w:hideMark/>
          </w:tcPr>
          <w:p w14:paraId="7FB53807" w14:textId="77777777" w:rsidR="00000000" w:rsidRDefault="00195E73">
            <w:pPr>
              <w:rPr>
                <w:rFonts w:eastAsia="Times New Roman"/>
                <w:sz w:val="20"/>
                <w:szCs w:val="20"/>
              </w:rPr>
            </w:pPr>
          </w:p>
        </w:tc>
        <w:tc>
          <w:tcPr>
            <w:tcW w:w="0" w:type="auto"/>
            <w:vAlign w:val="center"/>
            <w:hideMark/>
          </w:tcPr>
          <w:p w14:paraId="663366EB" w14:textId="77777777" w:rsidR="00000000" w:rsidRDefault="00195E73">
            <w:pPr>
              <w:rPr>
                <w:rFonts w:eastAsia="Times New Roman"/>
                <w:sz w:val="20"/>
                <w:szCs w:val="20"/>
              </w:rPr>
            </w:pPr>
          </w:p>
        </w:tc>
        <w:tc>
          <w:tcPr>
            <w:tcW w:w="0" w:type="auto"/>
            <w:vAlign w:val="center"/>
            <w:hideMark/>
          </w:tcPr>
          <w:p w14:paraId="5D00214F" w14:textId="77777777" w:rsidR="00000000" w:rsidRDefault="00195E73">
            <w:pPr>
              <w:rPr>
                <w:rFonts w:eastAsia="Times New Roman"/>
                <w:sz w:val="20"/>
                <w:szCs w:val="20"/>
              </w:rPr>
            </w:pPr>
          </w:p>
        </w:tc>
        <w:tc>
          <w:tcPr>
            <w:tcW w:w="0" w:type="auto"/>
            <w:vAlign w:val="center"/>
            <w:hideMark/>
          </w:tcPr>
          <w:p w14:paraId="690AA8AA" w14:textId="77777777" w:rsidR="00000000" w:rsidRDefault="00195E73">
            <w:pPr>
              <w:rPr>
                <w:rFonts w:eastAsia="Times New Roman"/>
                <w:sz w:val="20"/>
                <w:szCs w:val="20"/>
              </w:rPr>
            </w:pPr>
          </w:p>
        </w:tc>
        <w:tc>
          <w:tcPr>
            <w:tcW w:w="0" w:type="auto"/>
            <w:vAlign w:val="center"/>
            <w:hideMark/>
          </w:tcPr>
          <w:p w14:paraId="58F58136" w14:textId="77777777" w:rsidR="00000000" w:rsidRDefault="00195E73">
            <w:pPr>
              <w:rPr>
                <w:rFonts w:eastAsia="Times New Roman"/>
                <w:sz w:val="20"/>
                <w:szCs w:val="20"/>
              </w:rPr>
            </w:pPr>
          </w:p>
        </w:tc>
        <w:tc>
          <w:tcPr>
            <w:tcW w:w="0" w:type="auto"/>
            <w:vAlign w:val="center"/>
            <w:hideMark/>
          </w:tcPr>
          <w:p w14:paraId="5D6ACD55" w14:textId="77777777" w:rsidR="00000000" w:rsidRDefault="00195E73">
            <w:pPr>
              <w:rPr>
                <w:rFonts w:eastAsia="Times New Roman"/>
                <w:sz w:val="20"/>
                <w:szCs w:val="20"/>
              </w:rPr>
            </w:pPr>
          </w:p>
        </w:tc>
        <w:tc>
          <w:tcPr>
            <w:tcW w:w="0" w:type="auto"/>
            <w:vAlign w:val="center"/>
            <w:hideMark/>
          </w:tcPr>
          <w:p w14:paraId="6554121D" w14:textId="77777777" w:rsidR="00000000" w:rsidRDefault="00195E73">
            <w:pPr>
              <w:rPr>
                <w:rFonts w:eastAsia="Times New Roman"/>
                <w:sz w:val="20"/>
                <w:szCs w:val="20"/>
              </w:rPr>
            </w:pPr>
          </w:p>
        </w:tc>
        <w:tc>
          <w:tcPr>
            <w:tcW w:w="0" w:type="auto"/>
            <w:vAlign w:val="center"/>
            <w:hideMark/>
          </w:tcPr>
          <w:p w14:paraId="6547D360" w14:textId="77777777" w:rsidR="00000000" w:rsidRDefault="00195E73">
            <w:pPr>
              <w:rPr>
                <w:rFonts w:eastAsia="Times New Roman"/>
                <w:sz w:val="20"/>
                <w:szCs w:val="20"/>
              </w:rPr>
            </w:pPr>
          </w:p>
        </w:tc>
        <w:tc>
          <w:tcPr>
            <w:tcW w:w="0" w:type="auto"/>
            <w:vAlign w:val="center"/>
            <w:hideMark/>
          </w:tcPr>
          <w:p w14:paraId="0F84F8D9" w14:textId="77777777" w:rsidR="00000000" w:rsidRDefault="00195E73">
            <w:pPr>
              <w:rPr>
                <w:rFonts w:eastAsia="Times New Roman"/>
                <w:sz w:val="20"/>
                <w:szCs w:val="20"/>
              </w:rPr>
            </w:pPr>
          </w:p>
        </w:tc>
        <w:tc>
          <w:tcPr>
            <w:tcW w:w="0" w:type="auto"/>
            <w:vAlign w:val="center"/>
            <w:hideMark/>
          </w:tcPr>
          <w:p w14:paraId="7B4B50AE" w14:textId="77777777" w:rsidR="00000000" w:rsidRDefault="00195E73">
            <w:pPr>
              <w:rPr>
                <w:rFonts w:eastAsia="Times New Roman"/>
                <w:sz w:val="20"/>
                <w:szCs w:val="20"/>
              </w:rPr>
            </w:pPr>
          </w:p>
        </w:tc>
        <w:tc>
          <w:tcPr>
            <w:tcW w:w="0" w:type="auto"/>
            <w:vAlign w:val="center"/>
            <w:hideMark/>
          </w:tcPr>
          <w:p w14:paraId="136317BA" w14:textId="77777777" w:rsidR="00000000" w:rsidRDefault="00195E73">
            <w:pPr>
              <w:rPr>
                <w:rFonts w:eastAsia="Times New Roman"/>
                <w:sz w:val="20"/>
                <w:szCs w:val="20"/>
              </w:rPr>
            </w:pPr>
          </w:p>
        </w:tc>
        <w:tc>
          <w:tcPr>
            <w:tcW w:w="0" w:type="auto"/>
            <w:vAlign w:val="center"/>
            <w:hideMark/>
          </w:tcPr>
          <w:p w14:paraId="5B91FF6E" w14:textId="77777777" w:rsidR="00000000" w:rsidRDefault="00195E73">
            <w:pPr>
              <w:rPr>
                <w:rFonts w:eastAsia="Times New Roman"/>
                <w:sz w:val="20"/>
                <w:szCs w:val="20"/>
              </w:rPr>
            </w:pPr>
          </w:p>
        </w:tc>
        <w:tc>
          <w:tcPr>
            <w:tcW w:w="0" w:type="auto"/>
            <w:vAlign w:val="center"/>
            <w:hideMark/>
          </w:tcPr>
          <w:p w14:paraId="0B00F608" w14:textId="77777777" w:rsidR="00000000" w:rsidRDefault="00195E73">
            <w:pPr>
              <w:rPr>
                <w:rFonts w:eastAsia="Times New Roman"/>
                <w:sz w:val="20"/>
                <w:szCs w:val="20"/>
              </w:rPr>
            </w:pPr>
          </w:p>
        </w:tc>
        <w:tc>
          <w:tcPr>
            <w:tcW w:w="0" w:type="auto"/>
            <w:vAlign w:val="center"/>
            <w:hideMark/>
          </w:tcPr>
          <w:p w14:paraId="3EEB46EE" w14:textId="77777777" w:rsidR="00000000" w:rsidRDefault="00195E73">
            <w:pPr>
              <w:rPr>
                <w:rFonts w:eastAsia="Times New Roman"/>
                <w:sz w:val="20"/>
                <w:szCs w:val="20"/>
              </w:rPr>
            </w:pPr>
          </w:p>
        </w:tc>
        <w:tc>
          <w:tcPr>
            <w:tcW w:w="0" w:type="auto"/>
            <w:vAlign w:val="center"/>
            <w:hideMark/>
          </w:tcPr>
          <w:p w14:paraId="630CF0E0" w14:textId="77777777" w:rsidR="00000000" w:rsidRDefault="00195E73">
            <w:pPr>
              <w:rPr>
                <w:rFonts w:eastAsia="Times New Roman"/>
                <w:sz w:val="20"/>
                <w:szCs w:val="20"/>
              </w:rPr>
            </w:pPr>
          </w:p>
        </w:tc>
        <w:tc>
          <w:tcPr>
            <w:tcW w:w="0" w:type="auto"/>
            <w:vAlign w:val="center"/>
            <w:hideMark/>
          </w:tcPr>
          <w:p w14:paraId="0281A81B" w14:textId="77777777" w:rsidR="00000000" w:rsidRDefault="00195E73">
            <w:pPr>
              <w:rPr>
                <w:rFonts w:eastAsia="Times New Roman"/>
                <w:sz w:val="20"/>
                <w:szCs w:val="20"/>
              </w:rPr>
            </w:pPr>
          </w:p>
        </w:tc>
        <w:tc>
          <w:tcPr>
            <w:tcW w:w="0" w:type="auto"/>
            <w:vAlign w:val="center"/>
            <w:hideMark/>
          </w:tcPr>
          <w:p w14:paraId="431AC869" w14:textId="77777777" w:rsidR="00000000" w:rsidRDefault="00195E73">
            <w:pPr>
              <w:rPr>
                <w:rFonts w:eastAsia="Times New Roman"/>
                <w:sz w:val="20"/>
                <w:szCs w:val="20"/>
              </w:rPr>
            </w:pPr>
          </w:p>
        </w:tc>
      </w:tr>
      <w:tr w:rsidR="00000000" w14:paraId="11C7D195" w14:textId="77777777">
        <w:trPr>
          <w:divId w:val="1979872608"/>
          <w:jc w:val="center"/>
        </w:trPr>
        <w:tc>
          <w:tcPr>
            <w:tcW w:w="0" w:type="auto"/>
            <w:gridSpan w:val="3"/>
            <w:shd w:val="clear" w:color="auto" w:fill="FFFFFF"/>
            <w:tcMar>
              <w:top w:w="30" w:type="dxa"/>
              <w:left w:w="20" w:type="dxa"/>
              <w:bottom w:w="30" w:type="dxa"/>
              <w:right w:w="20" w:type="dxa"/>
            </w:tcMar>
            <w:vAlign w:val="bottom"/>
            <w:hideMark/>
          </w:tcPr>
          <w:p w14:paraId="5D93358D" w14:textId="77777777" w:rsidR="00000000" w:rsidRDefault="00195E73">
            <w:pPr>
              <w:rPr>
                <w:rFonts w:eastAsia="Times New Roman"/>
              </w:rPr>
            </w:pPr>
            <w:r>
              <w:rPr>
                <w:rFonts w:eastAsia="Times New Roman"/>
                <w:b/>
                <w:bCs/>
                <w:color w:val="000000"/>
                <w:sz w:val="18"/>
                <w:szCs w:val="18"/>
              </w:rPr>
              <w:t>Balance, December 31, 201</w:t>
            </w:r>
            <w:r>
              <w:rPr>
                <w:rFonts w:eastAsia="Times New Roman"/>
                <w:b/>
                <w:bCs/>
                <w:color w:val="000000"/>
                <w:sz w:val="18"/>
                <w:szCs w:val="18"/>
              </w:rPr>
              <w:t>8</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7A5370" w14:textId="77777777" w:rsidR="00000000" w:rsidRDefault="00195E73">
            <w:pPr>
              <w:jc w:val="right"/>
              <w:rPr>
                <w:rFonts w:eastAsia="Times New Roman"/>
              </w:rPr>
            </w:pPr>
            <w:r>
              <w:rPr>
                <w:rFonts w:eastAsia="Times New Roman"/>
                <w:color w:val="000000"/>
                <w:sz w:val="18"/>
                <w:szCs w:val="18"/>
              </w:rPr>
              <w:t>(864</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6DFDB2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4E6937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B466EA" w14:textId="77777777" w:rsidR="00000000" w:rsidRDefault="00195E73">
            <w:pPr>
              <w:jc w:val="right"/>
              <w:rPr>
                <w:rFonts w:eastAsia="Times New Roman"/>
              </w:rPr>
            </w:pPr>
            <w:r>
              <w:rPr>
                <w:rFonts w:eastAsia="Times New Roman"/>
                <w:color w:val="000000"/>
                <w:sz w:val="18"/>
                <w:szCs w:val="18"/>
              </w:rPr>
              <w:t>7,452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FDD16A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FBB7B0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6BC4BD" w14:textId="77777777" w:rsidR="00000000" w:rsidRDefault="00195E73">
            <w:pPr>
              <w:jc w:val="right"/>
              <w:rPr>
                <w:rFonts w:eastAsia="Times New Roman"/>
              </w:rPr>
            </w:pPr>
            <w:r>
              <w:rPr>
                <w:rFonts w:eastAsia="Times New Roman"/>
                <w:color w:val="000000"/>
                <w:sz w:val="18"/>
                <w:szCs w:val="18"/>
              </w:rPr>
              <w:t>6,588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F67508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9899BB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27B6AA" w14:textId="77777777" w:rsidR="00000000" w:rsidRDefault="00195E73">
            <w:pPr>
              <w:jc w:val="right"/>
              <w:rPr>
                <w:rFonts w:eastAsia="Times New Roman"/>
              </w:rPr>
            </w:pPr>
            <w:r>
              <w:rPr>
                <w:rFonts w:eastAsia="Times New Roman"/>
                <w:color w:val="000000"/>
                <w:sz w:val="18"/>
                <w:szCs w:val="18"/>
              </w:rPr>
              <w:t>6,420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19762E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7BA659A"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D8A070" w14:textId="77777777" w:rsidR="00000000" w:rsidRDefault="00195E73">
            <w:pPr>
              <w:jc w:val="right"/>
              <w:rPr>
                <w:rFonts w:eastAsia="Times New Roman"/>
              </w:rPr>
            </w:pPr>
            <w:r>
              <w:rPr>
                <w:rFonts w:eastAsia="Times New Roman"/>
                <w:color w:val="000000"/>
                <w:sz w:val="18"/>
                <w:szCs w:val="18"/>
              </w:rPr>
              <w:t>13,008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58F93DA"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7027B748" w14:textId="77777777" w:rsidR="00000000" w:rsidRDefault="00195E73">
            <w:pPr>
              <w:rPr>
                <w:rFonts w:eastAsia="Times New Roman"/>
                <w:sz w:val="20"/>
                <w:szCs w:val="20"/>
              </w:rPr>
            </w:pPr>
          </w:p>
        </w:tc>
        <w:tc>
          <w:tcPr>
            <w:tcW w:w="0" w:type="auto"/>
            <w:vAlign w:val="center"/>
            <w:hideMark/>
          </w:tcPr>
          <w:p w14:paraId="3EAF41FD" w14:textId="77777777" w:rsidR="00000000" w:rsidRDefault="00195E73">
            <w:pPr>
              <w:rPr>
                <w:rFonts w:eastAsia="Times New Roman"/>
                <w:sz w:val="20"/>
                <w:szCs w:val="20"/>
              </w:rPr>
            </w:pPr>
          </w:p>
        </w:tc>
        <w:tc>
          <w:tcPr>
            <w:tcW w:w="0" w:type="auto"/>
            <w:vAlign w:val="center"/>
            <w:hideMark/>
          </w:tcPr>
          <w:p w14:paraId="64835210" w14:textId="77777777" w:rsidR="00000000" w:rsidRDefault="00195E73">
            <w:pPr>
              <w:rPr>
                <w:rFonts w:eastAsia="Times New Roman"/>
                <w:sz w:val="20"/>
                <w:szCs w:val="20"/>
              </w:rPr>
            </w:pPr>
          </w:p>
        </w:tc>
        <w:tc>
          <w:tcPr>
            <w:tcW w:w="0" w:type="auto"/>
            <w:vAlign w:val="center"/>
            <w:hideMark/>
          </w:tcPr>
          <w:p w14:paraId="1CF010C6" w14:textId="77777777" w:rsidR="00000000" w:rsidRDefault="00195E73">
            <w:pPr>
              <w:rPr>
                <w:rFonts w:eastAsia="Times New Roman"/>
                <w:sz w:val="20"/>
                <w:szCs w:val="20"/>
              </w:rPr>
            </w:pPr>
          </w:p>
        </w:tc>
        <w:tc>
          <w:tcPr>
            <w:tcW w:w="0" w:type="auto"/>
            <w:vAlign w:val="center"/>
            <w:hideMark/>
          </w:tcPr>
          <w:p w14:paraId="40C0310E" w14:textId="77777777" w:rsidR="00000000" w:rsidRDefault="00195E73">
            <w:pPr>
              <w:rPr>
                <w:rFonts w:eastAsia="Times New Roman"/>
                <w:sz w:val="20"/>
                <w:szCs w:val="20"/>
              </w:rPr>
            </w:pPr>
          </w:p>
        </w:tc>
        <w:tc>
          <w:tcPr>
            <w:tcW w:w="0" w:type="auto"/>
            <w:vAlign w:val="center"/>
            <w:hideMark/>
          </w:tcPr>
          <w:p w14:paraId="2826B79C" w14:textId="77777777" w:rsidR="00000000" w:rsidRDefault="00195E73">
            <w:pPr>
              <w:rPr>
                <w:rFonts w:eastAsia="Times New Roman"/>
                <w:sz w:val="20"/>
                <w:szCs w:val="20"/>
              </w:rPr>
            </w:pPr>
          </w:p>
        </w:tc>
        <w:tc>
          <w:tcPr>
            <w:tcW w:w="0" w:type="auto"/>
            <w:vAlign w:val="center"/>
            <w:hideMark/>
          </w:tcPr>
          <w:p w14:paraId="705EA71F" w14:textId="77777777" w:rsidR="00000000" w:rsidRDefault="00195E73">
            <w:pPr>
              <w:rPr>
                <w:rFonts w:eastAsia="Times New Roman"/>
                <w:sz w:val="20"/>
                <w:szCs w:val="20"/>
              </w:rPr>
            </w:pPr>
          </w:p>
        </w:tc>
        <w:tc>
          <w:tcPr>
            <w:tcW w:w="0" w:type="auto"/>
            <w:vAlign w:val="center"/>
            <w:hideMark/>
          </w:tcPr>
          <w:p w14:paraId="7A3E4D17" w14:textId="77777777" w:rsidR="00000000" w:rsidRDefault="00195E73">
            <w:pPr>
              <w:rPr>
                <w:rFonts w:eastAsia="Times New Roman"/>
                <w:sz w:val="20"/>
                <w:szCs w:val="20"/>
              </w:rPr>
            </w:pPr>
          </w:p>
        </w:tc>
        <w:tc>
          <w:tcPr>
            <w:tcW w:w="0" w:type="auto"/>
            <w:vAlign w:val="center"/>
            <w:hideMark/>
          </w:tcPr>
          <w:p w14:paraId="43205CDF" w14:textId="77777777" w:rsidR="00000000" w:rsidRDefault="00195E73">
            <w:pPr>
              <w:rPr>
                <w:rFonts w:eastAsia="Times New Roman"/>
                <w:sz w:val="20"/>
                <w:szCs w:val="20"/>
              </w:rPr>
            </w:pPr>
          </w:p>
        </w:tc>
        <w:tc>
          <w:tcPr>
            <w:tcW w:w="0" w:type="auto"/>
            <w:vAlign w:val="center"/>
            <w:hideMark/>
          </w:tcPr>
          <w:p w14:paraId="4B97B80B" w14:textId="77777777" w:rsidR="00000000" w:rsidRDefault="00195E73">
            <w:pPr>
              <w:rPr>
                <w:rFonts w:eastAsia="Times New Roman"/>
                <w:sz w:val="20"/>
                <w:szCs w:val="20"/>
              </w:rPr>
            </w:pPr>
          </w:p>
        </w:tc>
        <w:tc>
          <w:tcPr>
            <w:tcW w:w="0" w:type="auto"/>
            <w:vAlign w:val="center"/>
            <w:hideMark/>
          </w:tcPr>
          <w:p w14:paraId="167C6074" w14:textId="77777777" w:rsidR="00000000" w:rsidRDefault="00195E73">
            <w:pPr>
              <w:rPr>
                <w:rFonts w:eastAsia="Times New Roman"/>
                <w:sz w:val="20"/>
                <w:szCs w:val="20"/>
              </w:rPr>
            </w:pPr>
          </w:p>
        </w:tc>
        <w:tc>
          <w:tcPr>
            <w:tcW w:w="0" w:type="auto"/>
            <w:vAlign w:val="center"/>
            <w:hideMark/>
          </w:tcPr>
          <w:p w14:paraId="3C8D0F8B" w14:textId="77777777" w:rsidR="00000000" w:rsidRDefault="00195E73">
            <w:pPr>
              <w:rPr>
                <w:rFonts w:eastAsia="Times New Roman"/>
                <w:sz w:val="20"/>
                <w:szCs w:val="20"/>
              </w:rPr>
            </w:pPr>
          </w:p>
        </w:tc>
        <w:tc>
          <w:tcPr>
            <w:tcW w:w="0" w:type="auto"/>
            <w:vAlign w:val="center"/>
            <w:hideMark/>
          </w:tcPr>
          <w:p w14:paraId="0A9A1354" w14:textId="77777777" w:rsidR="00000000" w:rsidRDefault="00195E73">
            <w:pPr>
              <w:rPr>
                <w:rFonts w:eastAsia="Times New Roman"/>
                <w:sz w:val="20"/>
                <w:szCs w:val="20"/>
              </w:rPr>
            </w:pPr>
          </w:p>
        </w:tc>
        <w:tc>
          <w:tcPr>
            <w:tcW w:w="0" w:type="auto"/>
            <w:vAlign w:val="center"/>
            <w:hideMark/>
          </w:tcPr>
          <w:p w14:paraId="53E42A19" w14:textId="77777777" w:rsidR="00000000" w:rsidRDefault="00195E73">
            <w:pPr>
              <w:rPr>
                <w:rFonts w:eastAsia="Times New Roman"/>
                <w:sz w:val="20"/>
                <w:szCs w:val="20"/>
              </w:rPr>
            </w:pPr>
          </w:p>
        </w:tc>
        <w:tc>
          <w:tcPr>
            <w:tcW w:w="0" w:type="auto"/>
            <w:vAlign w:val="center"/>
            <w:hideMark/>
          </w:tcPr>
          <w:p w14:paraId="732FDDD7" w14:textId="77777777" w:rsidR="00000000" w:rsidRDefault="00195E73">
            <w:pPr>
              <w:rPr>
                <w:rFonts w:eastAsia="Times New Roman"/>
                <w:sz w:val="20"/>
                <w:szCs w:val="20"/>
              </w:rPr>
            </w:pPr>
          </w:p>
        </w:tc>
        <w:tc>
          <w:tcPr>
            <w:tcW w:w="0" w:type="auto"/>
            <w:vAlign w:val="center"/>
            <w:hideMark/>
          </w:tcPr>
          <w:p w14:paraId="0E5E7C5E" w14:textId="77777777" w:rsidR="00000000" w:rsidRDefault="00195E73">
            <w:pPr>
              <w:rPr>
                <w:rFonts w:eastAsia="Times New Roman"/>
                <w:sz w:val="20"/>
                <w:szCs w:val="20"/>
              </w:rPr>
            </w:pPr>
          </w:p>
        </w:tc>
        <w:tc>
          <w:tcPr>
            <w:tcW w:w="0" w:type="auto"/>
            <w:vAlign w:val="center"/>
            <w:hideMark/>
          </w:tcPr>
          <w:p w14:paraId="59D5CDFB" w14:textId="77777777" w:rsidR="00000000" w:rsidRDefault="00195E73">
            <w:pPr>
              <w:rPr>
                <w:rFonts w:eastAsia="Times New Roman"/>
                <w:sz w:val="20"/>
                <w:szCs w:val="20"/>
              </w:rPr>
            </w:pPr>
          </w:p>
        </w:tc>
        <w:tc>
          <w:tcPr>
            <w:tcW w:w="0" w:type="auto"/>
            <w:vAlign w:val="center"/>
            <w:hideMark/>
          </w:tcPr>
          <w:p w14:paraId="7A4BF9FC" w14:textId="77777777" w:rsidR="00000000" w:rsidRDefault="00195E73">
            <w:pPr>
              <w:rPr>
                <w:rFonts w:eastAsia="Times New Roman"/>
                <w:sz w:val="20"/>
                <w:szCs w:val="20"/>
              </w:rPr>
            </w:pPr>
          </w:p>
        </w:tc>
        <w:tc>
          <w:tcPr>
            <w:tcW w:w="0" w:type="auto"/>
            <w:vAlign w:val="center"/>
            <w:hideMark/>
          </w:tcPr>
          <w:p w14:paraId="4FC236A7" w14:textId="77777777" w:rsidR="00000000" w:rsidRDefault="00195E73">
            <w:pPr>
              <w:rPr>
                <w:rFonts w:eastAsia="Times New Roman"/>
                <w:sz w:val="20"/>
                <w:szCs w:val="20"/>
              </w:rPr>
            </w:pPr>
          </w:p>
        </w:tc>
        <w:tc>
          <w:tcPr>
            <w:tcW w:w="0" w:type="auto"/>
            <w:vAlign w:val="center"/>
            <w:hideMark/>
          </w:tcPr>
          <w:p w14:paraId="68B7731E" w14:textId="77777777" w:rsidR="00000000" w:rsidRDefault="00195E73">
            <w:pPr>
              <w:rPr>
                <w:rFonts w:eastAsia="Times New Roman"/>
                <w:sz w:val="20"/>
                <w:szCs w:val="20"/>
              </w:rPr>
            </w:pPr>
          </w:p>
        </w:tc>
        <w:tc>
          <w:tcPr>
            <w:tcW w:w="0" w:type="auto"/>
            <w:vAlign w:val="center"/>
            <w:hideMark/>
          </w:tcPr>
          <w:p w14:paraId="60C8268E" w14:textId="77777777" w:rsidR="00000000" w:rsidRDefault="00195E73">
            <w:pPr>
              <w:rPr>
                <w:rFonts w:eastAsia="Times New Roman"/>
                <w:sz w:val="20"/>
                <w:szCs w:val="20"/>
              </w:rPr>
            </w:pPr>
          </w:p>
        </w:tc>
        <w:tc>
          <w:tcPr>
            <w:tcW w:w="0" w:type="auto"/>
            <w:vAlign w:val="center"/>
            <w:hideMark/>
          </w:tcPr>
          <w:p w14:paraId="797BFB8F" w14:textId="77777777" w:rsidR="00000000" w:rsidRDefault="00195E73">
            <w:pPr>
              <w:rPr>
                <w:rFonts w:eastAsia="Times New Roman"/>
                <w:sz w:val="20"/>
                <w:szCs w:val="20"/>
              </w:rPr>
            </w:pPr>
          </w:p>
        </w:tc>
        <w:tc>
          <w:tcPr>
            <w:tcW w:w="0" w:type="auto"/>
            <w:vAlign w:val="center"/>
            <w:hideMark/>
          </w:tcPr>
          <w:p w14:paraId="246EA552" w14:textId="77777777" w:rsidR="00000000" w:rsidRDefault="00195E73">
            <w:pPr>
              <w:rPr>
                <w:rFonts w:eastAsia="Times New Roman"/>
                <w:sz w:val="20"/>
                <w:szCs w:val="20"/>
              </w:rPr>
            </w:pPr>
          </w:p>
        </w:tc>
        <w:tc>
          <w:tcPr>
            <w:tcW w:w="0" w:type="auto"/>
            <w:vAlign w:val="center"/>
            <w:hideMark/>
          </w:tcPr>
          <w:p w14:paraId="43C904BE" w14:textId="77777777" w:rsidR="00000000" w:rsidRDefault="00195E73">
            <w:pPr>
              <w:rPr>
                <w:rFonts w:eastAsia="Times New Roman"/>
                <w:sz w:val="20"/>
                <w:szCs w:val="20"/>
              </w:rPr>
            </w:pPr>
          </w:p>
        </w:tc>
      </w:tr>
      <w:tr w:rsidR="00000000" w14:paraId="52CBFA3A" w14:textId="77777777">
        <w:trPr>
          <w:divId w:val="1979872608"/>
          <w:jc w:val="center"/>
        </w:trPr>
        <w:tc>
          <w:tcPr>
            <w:tcW w:w="0" w:type="auto"/>
            <w:gridSpan w:val="3"/>
            <w:shd w:val="clear" w:color="auto" w:fill="CCEEFF"/>
            <w:tcMar>
              <w:top w:w="30" w:type="dxa"/>
              <w:left w:w="20" w:type="dxa"/>
              <w:bottom w:w="30" w:type="dxa"/>
              <w:right w:w="20" w:type="dxa"/>
            </w:tcMar>
            <w:vAlign w:val="bottom"/>
            <w:hideMark/>
          </w:tcPr>
          <w:p w14:paraId="39BFEB77" w14:textId="77777777" w:rsidR="00000000" w:rsidRDefault="00195E73">
            <w:pPr>
              <w:rPr>
                <w:rFonts w:eastAsia="Times New Roman"/>
              </w:rPr>
            </w:pPr>
            <w:r>
              <w:rPr>
                <w:rFonts w:eastAsia="Times New Roman"/>
                <w:color w:val="000000"/>
                <w:sz w:val="18"/>
                <w:szCs w:val="18"/>
              </w:rPr>
              <w:t>Net los</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B8FFC3" w14:textId="77777777" w:rsidR="00000000" w:rsidRDefault="00195E73">
            <w:pPr>
              <w:jc w:val="right"/>
              <w:rPr>
                <w:rFonts w:eastAsia="Times New Roman"/>
              </w:rPr>
            </w:pPr>
            <w:r>
              <w:rPr>
                <w:rFonts w:eastAsia="Times New Roman"/>
                <w:color w:val="000000"/>
                <w:sz w:val="18"/>
                <w:szCs w:val="18"/>
              </w:rPr>
              <w:t>(11</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E3892E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B68E1E4"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AEBB39" w14:textId="77777777" w:rsidR="00000000" w:rsidRDefault="00195E73">
            <w:pPr>
              <w:jc w:val="right"/>
              <w:rPr>
                <w:rFonts w:eastAsia="Times New Roman"/>
              </w:rPr>
            </w:pPr>
            <w:r>
              <w:rPr>
                <w:rFonts w:eastAsia="Times New Roman"/>
                <w:color w:val="000000"/>
                <w:sz w:val="18"/>
                <w:szCs w:val="18"/>
              </w:rPr>
              <w:t>(1,086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75159E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6F3488A"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32AA81" w14:textId="77777777" w:rsidR="00000000" w:rsidRDefault="00195E73">
            <w:pPr>
              <w:jc w:val="right"/>
              <w:rPr>
                <w:rFonts w:eastAsia="Times New Roman"/>
              </w:rPr>
            </w:pPr>
            <w:r>
              <w:rPr>
                <w:rFonts w:eastAsia="Times New Roman"/>
                <w:color w:val="000000"/>
                <w:sz w:val="18"/>
                <w:szCs w:val="18"/>
              </w:rPr>
              <w:t>(1,097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8C3DE9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D3E5A5C"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1D54AA" w14:textId="77777777" w:rsidR="00000000" w:rsidRDefault="00195E73">
            <w:pPr>
              <w:jc w:val="right"/>
              <w:rPr>
                <w:rFonts w:eastAsia="Times New Roman"/>
              </w:rPr>
            </w:pPr>
            <w:r>
              <w:rPr>
                <w:rFonts w:eastAsia="Times New Roman"/>
                <w:color w:val="000000"/>
                <w:sz w:val="18"/>
                <w:szCs w:val="18"/>
              </w:rPr>
              <w:t>(693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C45BE0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A98A65C"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32BC4A" w14:textId="77777777" w:rsidR="00000000" w:rsidRDefault="00195E73">
            <w:pPr>
              <w:jc w:val="right"/>
              <w:rPr>
                <w:rFonts w:eastAsia="Times New Roman"/>
              </w:rPr>
            </w:pPr>
            <w:r>
              <w:rPr>
                <w:rFonts w:eastAsia="Times New Roman"/>
                <w:color w:val="000000"/>
                <w:sz w:val="18"/>
                <w:szCs w:val="18"/>
              </w:rPr>
              <w:t>(1,790</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E6E2472"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27900C8" w14:textId="77777777" w:rsidR="00000000" w:rsidRDefault="00195E73">
            <w:pPr>
              <w:rPr>
                <w:rFonts w:eastAsia="Times New Roman"/>
                <w:sz w:val="20"/>
                <w:szCs w:val="20"/>
              </w:rPr>
            </w:pPr>
          </w:p>
        </w:tc>
        <w:tc>
          <w:tcPr>
            <w:tcW w:w="0" w:type="auto"/>
            <w:vAlign w:val="center"/>
            <w:hideMark/>
          </w:tcPr>
          <w:p w14:paraId="171FCA8E" w14:textId="77777777" w:rsidR="00000000" w:rsidRDefault="00195E73">
            <w:pPr>
              <w:rPr>
                <w:rFonts w:eastAsia="Times New Roman"/>
                <w:sz w:val="20"/>
                <w:szCs w:val="20"/>
              </w:rPr>
            </w:pPr>
          </w:p>
        </w:tc>
        <w:tc>
          <w:tcPr>
            <w:tcW w:w="0" w:type="auto"/>
            <w:vAlign w:val="center"/>
            <w:hideMark/>
          </w:tcPr>
          <w:p w14:paraId="39AA7185" w14:textId="77777777" w:rsidR="00000000" w:rsidRDefault="00195E73">
            <w:pPr>
              <w:rPr>
                <w:rFonts w:eastAsia="Times New Roman"/>
                <w:sz w:val="20"/>
                <w:szCs w:val="20"/>
              </w:rPr>
            </w:pPr>
          </w:p>
        </w:tc>
        <w:tc>
          <w:tcPr>
            <w:tcW w:w="0" w:type="auto"/>
            <w:vAlign w:val="center"/>
            <w:hideMark/>
          </w:tcPr>
          <w:p w14:paraId="5AD1BD2D" w14:textId="77777777" w:rsidR="00000000" w:rsidRDefault="00195E73">
            <w:pPr>
              <w:rPr>
                <w:rFonts w:eastAsia="Times New Roman"/>
                <w:sz w:val="20"/>
                <w:szCs w:val="20"/>
              </w:rPr>
            </w:pPr>
          </w:p>
        </w:tc>
        <w:tc>
          <w:tcPr>
            <w:tcW w:w="0" w:type="auto"/>
            <w:vAlign w:val="center"/>
            <w:hideMark/>
          </w:tcPr>
          <w:p w14:paraId="3B535A97" w14:textId="77777777" w:rsidR="00000000" w:rsidRDefault="00195E73">
            <w:pPr>
              <w:rPr>
                <w:rFonts w:eastAsia="Times New Roman"/>
                <w:sz w:val="20"/>
                <w:szCs w:val="20"/>
              </w:rPr>
            </w:pPr>
          </w:p>
        </w:tc>
        <w:tc>
          <w:tcPr>
            <w:tcW w:w="0" w:type="auto"/>
            <w:vAlign w:val="center"/>
            <w:hideMark/>
          </w:tcPr>
          <w:p w14:paraId="07C71446" w14:textId="77777777" w:rsidR="00000000" w:rsidRDefault="00195E73">
            <w:pPr>
              <w:rPr>
                <w:rFonts w:eastAsia="Times New Roman"/>
                <w:sz w:val="20"/>
                <w:szCs w:val="20"/>
              </w:rPr>
            </w:pPr>
          </w:p>
        </w:tc>
        <w:tc>
          <w:tcPr>
            <w:tcW w:w="0" w:type="auto"/>
            <w:vAlign w:val="center"/>
            <w:hideMark/>
          </w:tcPr>
          <w:p w14:paraId="7B61647E" w14:textId="77777777" w:rsidR="00000000" w:rsidRDefault="00195E73">
            <w:pPr>
              <w:rPr>
                <w:rFonts w:eastAsia="Times New Roman"/>
                <w:sz w:val="20"/>
                <w:szCs w:val="20"/>
              </w:rPr>
            </w:pPr>
          </w:p>
        </w:tc>
        <w:tc>
          <w:tcPr>
            <w:tcW w:w="0" w:type="auto"/>
            <w:vAlign w:val="center"/>
            <w:hideMark/>
          </w:tcPr>
          <w:p w14:paraId="62593646" w14:textId="77777777" w:rsidR="00000000" w:rsidRDefault="00195E73">
            <w:pPr>
              <w:rPr>
                <w:rFonts w:eastAsia="Times New Roman"/>
                <w:sz w:val="20"/>
                <w:szCs w:val="20"/>
              </w:rPr>
            </w:pPr>
          </w:p>
        </w:tc>
        <w:tc>
          <w:tcPr>
            <w:tcW w:w="0" w:type="auto"/>
            <w:vAlign w:val="center"/>
            <w:hideMark/>
          </w:tcPr>
          <w:p w14:paraId="1384090E" w14:textId="77777777" w:rsidR="00000000" w:rsidRDefault="00195E73">
            <w:pPr>
              <w:rPr>
                <w:rFonts w:eastAsia="Times New Roman"/>
                <w:sz w:val="20"/>
                <w:szCs w:val="20"/>
              </w:rPr>
            </w:pPr>
          </w:p>
        </w:tc>
        <w:tc>
          <w:tcPr>
            <w:tcW w:w="0" w:type="auto"/>
            <w:vAlign w:val="center"/>
            <w:hideMark/>
          </w:tcPr>
          <w:p w14:paraId="4B5C0799" w14:textId="77777777" w:rsidR="00000000" w:rsidRDefault="00195E73">
            <w:pPr>
              <w:rPr>
                <w:rFonts w:eastAsia="Times New Roman"/>
                <w:sz w:val="20"/>
                <w:szCs w:val="20"/>
              </w:rPr>
            </w:pPr>
          </w:p>
        </w:tc>
        <w:tc>
          <w:tcPr>
            <w:tcW w:w="0" w:type="auto"/>
            <w:vAlign w:val="center"/>
            <w:hideMark/>
          </w:tcPr>
          <w:p w14:paraId="249C4430" w14:textId="77777777" w:rsidR="00000000" w:rsidRDefault="00195E73">
            <w:pPr>
              <w:rPr>
                <w:rFonts w:eastAsia="Times New Roman"/>
                <w:sz w:val="20"/>
                <w:szCs w:val="20"/>
              </w:rPr>
            </w:pPr>
          </w:p>
        </w:tc>
        <w:tc>
          <w:tcPr>
            <w:tcW w:w="0" w:type="auto"/>
            <w:vAlign w:val="center"/>
            <w:hideMark/>
          </w:tcPr>
          <w:p w14:paraId="19F0A37B" w14:textId="77777777" w:rsidR="00000000" w:rsidRDefault="00195E73">
            <w:pPr>
              <w:rPr>
                <w:rFonts w:eastAsia="Times New Roman"/>
                <w:sz w:val="20"/>
                <w:szCs w:val="20"/>
              </w:rPr>
            </w:pPr>
          </w:p>
        </w:tc>
        <w:tc>
          <w:tcPr>
            <w:tcW w:w="0" w:type="auto"/>
            <w:vAlign w:val="center"/>
            <w:hideMark/>
          </w:tcPr>
          <w:p w14:paraId="3FBC6872" w14:textId="77777777" w:rsidR="00000000" w:rsidRDefault="00195E73">
            <w:pPr>
              <w:rPr>
                <w:rFonts w:eastAsia="Times New Roman"/>
                <w:sz w:val="20"/>
                <w:szCs w:val="20"/>
              </w:rPr>
            </w:pPr>
          </w:p>
        </w:tc>
        <w:tc>
          <w:tcPr>
            <w:tcW w:w="0" w:type="auto"/>
            <w:vAlign w:val="center"/>
            <w:hideMark/>
          </w:tcPr>
          <w:p w14:paraId="39FFB12F" w14:textId="77777777" w:rsidR="00000000" w:rsidRDefault="00195E73">
            <w:pPr>
              <w:rPr>
                <w:rFonts w:eastAsia="Times New Roman"/>
                <w:sz w:val="20"/>
                <w:szCs w:val="20"/>
              </w:rPr>
            </w:pPr>
          </w:p>
        </w:tc>
        <w:tc>
          <w:tcPr>
            <w:tcW w:w="0" w:type="auto"/>
            <w:vAlign w:val="center"/>
            <w:hideMark/>
          </w:tcPr>
          <w:p w14:paraId="213D34C3" w14:textId="77777777" w:rsidR="00000000" w:rsidRDefault="00195E73">
            <w:pPr>
              <w:rPr>
                <w:rFonts w:eastAsia="Times New Roman"/>
                <w:sz w:val="20"/>
                <w:szCs w:val="20"/>
              </w:rPr>
            </w:pPr>
          </w:p>
        </w:tc>
        <w:tc>
          <w:tcPr>
            <w:tcW w:w="0" w:type="auto"/>
            <w:vAlign w:val="center"/>
            <w:hideMark/>
          </w:tcPr>
          <w:p w14:paraId="441DEAC4" w14:textId="77777777" w:rsidR="00000000" w:rsidRDefault="00195E73">
            <w:pPr>
              <w:rPr>
                <w:rFonts w:eastAsia="Times New Roman"/>
                <w:sz w:val="20"/>
                <w:szCs w:val="20"/>
              </w:rPr>
            </w:pPr>
          </w:p>
        </w:tc>
        <w:tc>
          <w:tcPr>
            <w:tcW w:w="0" w:type="auto"/>
            <w:vAlign w:val="center"/>
            <w:hideMark/>
          </w:tcPr>
          <w:p w14:paraId="4AC43772" w14:textId="77777777" w:rsidR="00000000" w:rsidRDefault="00195E73">
            <w:pPr>
              <w:rPr>
                <w:rFonts w:eastAsia="Times New Roman"/>
                <w:sz w:val="20"/>
                <w:szCs w:val="20"/>
              </w:rPr>
            </w:pPr>
          </w:p>
        </w:tc>
        <w:tc>
          <w:tcPr>
            <w:tcW w:w="0" w:type="auto"/>
            <w:vAlign w:val="center"/>
            <w:hideMark/>
          </w:tcPr>
          <w:p w14:paraId="648FECE0" w14:textId="77777777" w:rsidR="00000000" w:rsidRDefault="00195E73">
            <w:pPr>
              <w:rPr>
                <w:rFonts w:eastAsia="Times New Roman"/>
                <w:sz w:val="20"/>
                <w:szCs w:val="20"/>
              </w:rPr>
            </w:pPr>
          </w:p>
        </w:tc>
        <w:tc>
          <w:tcPr>
            <w:tcW w:w="0" w:type="auto"/>
            <w:vAlign w:val="center"/>
            <w:hideMark/>
          </w:tcPr>
          <w:p w14:paraId="007F2CC3" w14:textId="77777777" w:rsidR="00000000" w:rsidRDefault="00195E73">
            <w:pPr>
              <w:rPr>
                <w:rFonts w:eastAsia="Times New Roman"/>
                <w:sz w:val="20"/>
                <w:szCs w:val="20"/>
              </w:rPr>
            </w:pPr>
          </w:p>
        </w:tc>
        <w:tc>
          <w:tcPr>
            <w:tcW w:w="0" w:type="auto"/>
            <w:vAlign w:val="center"/>
            <w:hideMark/>
          </w:tcPr>
          <w:p w14:paraId="29E4F115" w14:textId="77777777" w:rsidR="00000000" w:rsidRDefault="00195E73">
            <w:pPr>
              <w:rPr>
                <w:rFonts w:eastAsia="Times New Roman"/>
                <w:sz w:val="20"/>
                <w:szCs w:val="20"/>
              </w:rPr>
            </w:pPr>
          </w:p>
        </w:tc>
        <w:tc>
          <w:tcPr>
            <w:tcW w:w="0" w:type="auto"/>
            <w:vAlign w:val="center"/>
            <w:hideMark/>
          </w:tcPr>
          <w:p w14:paraId="4F018DF8" w14:textId="77777777" w:rsidR="00000000" w:rsidRDefault="00195E73">
            <w:pPr>
              <w:rPr>
                <w:rFonts w:eastAsia="Times New Roman"/>
                <w:sz w:val="20"/>
                <w:szCs w:val="20"/>
              </w:rPr>
            </w:pPr>
          </w:p>
        </w:tc>
        <w:tc>
          <w:tcPr>
            <w:tcW w:w="0" w:type="auto"/>
            <w:vAlign w:val="center"/>
            <w:hideMark/>
          </w:tcPr>
          <w:p w14:paraId="09B0322F" w14:textId="77777777" w:rsidR="00000000" w:rsidRDefault="00195E73">
            <w:pPr>
              <w:rPr>
                <w:rFonts w:eastAsia="Times New Roman"/>
                <w:sz w:val="20"/>
                <w:szCs w:val="20"/>
              </w:rPr>
            </w:pPr>
          </w:p>
        </w:tc>
        <w:tc>
          <w:tcPr>
            <w:tcW w:w="0" w:type="auto"/>
            <w:vAlign w:val="center"/>
            <w:hideMark/>
          </w:tcPr>
          <w:p w14:paraId="4781F104" w14:textId="77777777" w:rsidR="00000000" w:rsidRDefault="00195E73">
            <w:pPr>
              <w:rPr>
                <w:rFonts w:eastAsia="Times New Roman"/>
                <w:sz w:val="20"/>
                <w:szCs w:val="20"/>
              </w:rPr>
            </w:pPr>
          </w:p>
        </w:tc>
        <w:tc>
          <w:tcPr>
            <w:tcW w:w="0" w:type="auto"/>
            <w:vAlign w:val="center"/>
            <w:hideMark/>
          </w:tcPr>
          <w:p w14:paraId="5F080C47" w14:textId="77777777" w:rsidR="00000000" w:rsidRDefault="00195E73">
            <w:pPr>
              <w:rPr>
                <w:rFonts w:eastAsia="Times New Roman"/>
                <w:sz w:val="20"/>
                <w:szCs w:val="20"/>
              </w:rPr>
            </w:pPr>
          </w:p>
        </w:tc>
      </w:tr>
      <w:tr w:rsidR="00000000" w14:paraId="18941783" w14:textId="77777777">
        <w:trPr>
          <w:divId w:val="1979872608"/>
          <w:jc w:val="center"/>
        </w:trPr>
        <w:tc>
          <w:tcPr>
            <w:tcW w:w="0" w:type="auto"/>
            <w:gridSpan w:val="3"/>
            <w:shd w:val="clear" w:color="auto" w:fill="FFFFFF"/>
            <w:tcMar>
              <w:top w:w="30" w:type="dxa"/>
              <w:left w:w="20" w:type="dxa"/>
              <w:bottom w:w="30" w:type="dxa"/>
              <w:right w:w="20" w:type="dxa"/>
            </w:tcMar>
            <w:vAlign w:val="bottom"/>
            <w:hideMark/>
          </w:tcPr>
          <w:p w14:paraId="764B5543" w14:textId="77777777" w:rsidR="00000000" w:rsidRDefault="00195E73">
            <w:pPr>
              <w:rPr>
                <w:rFonts w:eastAsia="Times New Roman"/>
              </w:rPr>
            </w:pPr>
            <w:r>
              <w:rPr>
                <w:rFonts w:eastAsia="Times New Roman"/>
                <w:color w:val="000000"/>
                <w:sz w:val="18"/>
                <w:szCs w:val="18"/>
              </w:rPr>
              <w:t>Other comprehensive incom</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14:paraId="4312F582"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96153F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5DF1F7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C71848"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FFB6C4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B74DB3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0BCD5D"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8D23B9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44491F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A01AC8"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A3015B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1BEDE8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6AFBD1"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D4B4B8D"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4C9E5D21" w14:textId="77777777" w:rsidR="00000000" w:rsidRDefault="00195E73">
            <w:pPr>
              <w:rPr>
                <w:rFonts w:eastAsia="Times New Roman"/>
                <w:sz w:val="20"/>
                <w:szCs w:val="20"/>
              </w:rPr>
            </w:pPr>
          </w:p>
        </w:tc>
        <w:tc>
          <w:tcPr>
            <w:tcW w:w="0" w:type="auto"/>
            <w:vAlign w:val="center"/>
            <w:hideMark/>
          </w:tcPr>
          <w:p w14:paraId="72678D08" w14:textId="77777777" w:rsidR="00000000" w:rsidRDefault="00195E73">
            <w:pPr>
              <w:rPr>
                <w:rFonts w:eastAsia="Times New Roman"/>
                <w:sz w:val="20"/>
                <w:szCs w:val="20"/>
              </w:rPr>
            </w:pPr>
          </w:p>
        </w:tc>
        <w:tc>
          <w:tcPr>
            <w:tcW w:w="0" w:type="auto"/>
            <w:vAlign w:val="center"/>
            <w:hideMark/>
          </w:tcPr>
          <w:p w14:paraId="099A6824" w14:textId="77777777" w:rsidR="00000000" w:rsidRDefault="00195E73">
            <w:pPr>
              <w:rPr>
                <w:rFonts w:eastAsia="Times New Roman"/>
                <w:sz w:val="20"/>
                <w:szCs w:val="20"/>
              </w:rPr>
            </w:pPr>
          </w:p>
        </w:tc>
        <w:tc>
          <w:tcPr>
            <w:tcW w:w="0" w:type="auto"/>
            <w:vAlign w:val="center"/>
            <w:hideMark/>
          </w:tcPr>
          <w:p w14:paraId="0399E6DA" w14:textId="77777777" w:rsidR="00000000" w:rsidRDefault="00195E73">
            <w:pPr>
              <w:rPr>
                <w:rFonts w:eastAsia="Times New Roman"/>
                <w:sz w:val="20"/>
                <w:szCs w:val="20"/>
              </w:rPr>
            </w:pPr>
          </w:p>
        </w:tc>
        <w:tc>
          <w:tcPr>
            <w:tcW w:w="0" w:type="auto"/>
            <w:vAlign w:val="center"/>
            <w:hideMark/>
          </w:tcPr>
          <w:p w14:paraId="4239EE65" w14:textId="77777777" w:rsidR="00000000" w:rsidRDefault="00195E73">
            <w:pPr>
              <w:rPr>
                <w:rFonts w:eastAsia="Times New Roman"/>
                <w:sz w:val="20"/>
                <w:szCs w:val="20"/>
              </w:rPr>
            </w:pPr>
          </w:p>
        </w:tc>
        <w:tc>
          <w:tcPr>
            <w:tcW w:w="0" w:type="auto"/>
            <w:vAlign w:val="center"/>
            <w:hideMark/>
          </w:tcPr>
          <w:p w14:paraId="437B712F" w14:textId="77777777" w:rsidR="00000000" w:rsidRDefault="00195E73">
            <w:pPr>
              <w:rPr>
                <w:rFonts w:eastAsia="Times New Roman"/>
                <w:sz w:val="20"/>
                <w:szCs w:val="20"/>
              </w:rPr>
            </w:pPr>
          </w:p>
        </w:tc>
        <w:tc>
          <w:tcPr>
            <w:tcW w:w="0" w:type="auto"/>
            <w:vAlign w:val="center"/>
            <w:hideMark/>
          </w:tcPr>
          <w:p w14:paraId="71B1DF67" w14:textId="77777777" w:rsidR="00000000" w:rsidRDefault="00195E73">
            <w:pPr>
              <w:rPr>
                <w:rFonts w:eastAsia="Times New Roman"/>
                <w:sz w:val="20"/>
                <w:szCs w:val="20"/>
              </w:rPr>
            </w:pPr>
          </w:p>
        </w:tc>
        <w:tc>
          <w:tcPr>
            <w:tcW w:w="0" w:type="auto"/>
            <w:vAlign w:val="center"/>
            <w:hideMark/>
          </w:tcPr>
          <w:p w14:paraId="4FD46F9F" w14:textId="77777777" w:rsidR="00000000" w:rsidRDefault="00195E73">
            <w:pPr>
              <w:rPr>
                <w:rFonts w:eastAsia="Times New Roman"/>
                <w:sz w:val="20"/>
                <w:szCs w:val="20"/>
              </w:rPr>
            </w:pPr>
          </w:p>
        </w:tc>
        <w:tc>
          <w:tcPr>
            <w:tcW w:w="0" w:type="auto"/>
            <w:vAlign w:val="center"/>
            <w:hideMark/>
          </w:tcPr>
          <w:p w14:paraId="23CB14AF" w14:textId="77777777" w:rsidR="00000000" w:rsidRDefault="00195E73">
            <w:pPr>
              <w:rPr>
                <w:rFonts w:eastAsia="Times New Roman"/>
                <w:sz w:val="20"/>
                <w:szCs w:val="20"/>
              </w:rPr>
            </w:pPr>
          </w:p>
        </w:tc>
        <w:tc>
          <w:tcPr>
            <w:tcW w:w="0" w:type="auto"/>
            <w:vAlign w:val="center"/>
            <w:hideMark/>
          </w:tcPr>
          <w:p w14:paraId="40E542F5" w14:textId="77777777" w:rsidR="00000000" w:rsidRDefault="00195E73">
            <w:pPr>
              <w:rPr>
                <w:rFonts w:eastAsia="Times New Roman"/>
                <w:sz w:val="20"/>
                <w:szCs w:val="20"/>
              </w:rPr>
            </w:pPr>
          </w:p>
        </w:tc>
        <w:tc>
          <w:tcPr>
            <w:tcW w:w="0" w:type="auto"/>
            <w:vAlign w:val="center"/>
            <w:hideMark/>
          </w:tcPr>
          <w:p w14:paraId="3646927D" w14:textId="77777777" w:rsidR="00000000" w:rsidRDefault="00195E73">
            <w:pPr>
              <w:rPr>
                <w:rFonts w:eastAsia="Times New Roman"/>
                <w:sz w:val="20"/>
                <w:szCs w:val="20"/>
              </w:rPr>
            </w:pPr>
          </w:p>
        </w:tc>
        <w:tc>
          <w:tcPr>
            <w:tcW w:w="0" w:type="auto"/>
            <w:vAlign w:val="center"/>
            <w:hideMark/>
          </w:tcPr>
          <w:p w14:paraId="4C6E84F3" w14:textId="77777777" w:rsidR="00000000" w:rsidRDefault="00195E73">
            <w:pPr>
              <w:rPr>
                <w:rFonts w:eastAsia="Times New Roman"/>
                <w:sz w:val="20"/>
                <w:szCs w:val="20"/>
              </w:rPr>
            </w:pPr>
          </w:p>
        </w:tc>
        <w:tc>
          <w:tcPr>
            <w:tcW w:w="0" w:type="auto"/>
            <w:vAlign w:val="center"/>
            <w:hideMark/>
          </w:tcPr>
          <w:p w14:paraId="46EF3951" w14:textId="77777777" w:rsidR="00000000" w:rsidRDefault="00195E73">
            <w:pPr>
              <w:rPr>
                <w:rFonts w:eastAsia="Times New Roman"/>
                <w:sz w:val="20"/>
                <w:szCs w:val="20"/>
              </w:rPr>
            </w:pPr>
          </w:p>
        </w:tc>
        <w:tc>
          <w:tcPr>
            <w:tcW w:w="0" w:type="auto"/>
            <w:vAlign w:val="center"/>
            <w:hideMark/>
          </w:tcPr>
          <w:p w14:paraId="6276A680" w14:textId="77777777" w:rsidR="00000000" w:rsidRDefault="00195E73">
            <w:pPr>
              <w:rPr>
                <w:rFonts w:eastAsia="Times New Roman"/>
                <w:sz w:val="20"/>
                <w:szCs w:val="20"/>
              </w:rPr>
            </w:pPr>
          </w:p>
        </w:tc>
        <w:tc>
          <w:tcPr>
            <w:tcW w:w="0" w:type="auto"/>
            <w:vAlign w:val="center"/>
            <w:hideMark/>
          </w:tcPr>
          <w:p w14:paraId="7CDE60AD" w14:textId="77777777" w:rsidR="00000000" w:rsidRDefault="00195E73">
            <w:pPr>
              <w:rPr>
                <w:rFonts w:eastAsia="Times New Roman"/>
                <w:sz w:val="20"/>
                <w:szCs w:val="20"/>
              </w:rPr>
            </w:pPr>
          </w:p>
        </w:tc>
        <w:tc>
          <w:tcPr>
            <w:tcW w:w="0" w:type="auto"/>
            <w:vAlign w:val="center"/>
            <w:hideMark/>
          </w:tcPr>
          <w:p w14:paraId="7A2FC76D" w14:textId="77777777" w:rsidR="00000000" w:rsidRDefault="00195E73">
            <w:pPr>
              <w:rPr>
                <w:rFonts w:eastAsia="Times New Roman"/>
                <w:sz w:val="20"/>
                <w:szCs w:val="20"/>
              </w:rPr>
            </w:pPr>
          </w:p>
        </w:tc>
        <w:tc>
          <w:tcPr>
            <w:tcW w:w="0" w:type="auto"/>
            <w:vAlign w:val="center"/>
            <w:hideMark/>
          </w:tcPr>
          <w:p w14:paraId="1602A719" w14:textId="77777777" w:rsidR="00000000" w:rsidRDefault="00195E73">
            <w:pPr>
              <w:rPr>
                <w:rFonts w:eastAsia="Times New Roman"/>
                <w:sz w:val="20"/>
                <w:szCs w:val="20"/>
              </w:rPr>
            </w:pPr>
          </w:p>
        </w:tc>
        <w:tc>
          <w:tcPr>
            <w:tcW w:w="0" w:type="auto"/>
            <w:vAlign w:val="center"/>
            <w:hideMark/>
          </w:tcPr>
          <w:p w14:paraId="7ED11F5A" w14:textId="77777777" w:rsidR="00000000" w:rsidRDefault="00195E73">
            <w:pPr>
              <w:rPr>
                <w:rFonts w:eastAsia="Times New Roman"/>
                <w:sz w:val="20"/>
                <w:szCs w:val="20"/>
              </w:rPr>
            </w:pPr>
          </w:p>
        </w:tc>
        <w:tc>
          <w:tcPr>
            <w:tcW w:w="0" w:type="auto"/>
            <w:vAlign w:val="center"/>
            <w:hideMark/>
          </w:tcPr>
          <w:p w14:paraId="37ACC585" w14:textId="77777777" w:rsidR="00000000" w:rsidRDefault="00195E73">
            <w:pPr>
              <w:rPr>
                <w:rFonts w:eastAsia="Times New Roman"/>
                <w:sz w:val="20"/>
                <w:szCs w:val="20"/>
              </w:rPr>
            </w:pPr>
          </w:p>
        </w:tc>
        <w:tc>
          <w:tcPr>
            <w:tcW w:w="0" w:type="auto"/>
            <w:vAlign w:val="center"/>
            <w:hideMark/>
          </w:tcPr>
          <w:p w14:paraId="7A2242AC" w14:textId="77777777" w:rsidR="00000000" w:rsidRDefault="00195E73">
            <w:pPr>
              <w:rPr>
                <w:rFonts w:eastAsia="Times New Roman"/>
                <w:sz w:val="20"/>
                <w:szCs w:val="20"/>
              </w:rPr>
            </w:pPr>
          </w:p>
        </w:tc>
        <w:tc>
          <w:tcPr>
            <w:tcW w:w="0" w:type="auto"/>
            <w:vAlign w:val="center"/>
            <w:hideMark/>
          </w:tcPr>
          <w:p w14:paraId="0F64CC01" w14:textId="77777777" w:rsidR="00000000" w:rsidRDefault="00195E73">
            <w:pPr>
              <w:rPr>
                <w:rFonts w:eastAsia="Times New Roman"/>
                <w:sz w:val="20"/>
                <w:szCs w:val="20"/>
              </w:rPr>
            </w:pPr>
          </w:p>
        </w:tc>
        <w:tc>
          <w:tcPr>
            <w:tcW w:w="0" w:type="auto"/>
            <w:vAlign w:val="center"/>
            <w:hideMark/>
          </w:tcPr>
          <w:p w14:paraId="28F2FE3C" w14:textId="77777777" w:rsidR="00000000" w:rsidRDefault="00195E73">
            <w:pPr>
              <w:rPr>
                <w:rFonts w:eastAsia="Times New Roman"/>
                <w:sz w:val="20"/>
                <w:szCs w:val="20"/>
              </w:rPr>
            </w:pPr>
          </w:p>
        </w:tc>
        <w:tc>
          <w:tcPr>
            <w:tcW w:w="0" w:type="auto"/>
            <w:vAlign w:val="center"/>
            <w:hideMark/>
          </w:tcPr>
          <w:p w14:paraId="0D0FFC4C" w14:textId="77777777" w:rsidR="00000000" w:rsidRDefault="00195E73">
            <w:pPr>
              <w:rPr>
                <w:rFonts w:eastAsia="Times New Roman"/>
                <w:sz w:val="20"/>
                <w:szCs w:val="20"/>
              </w:rPr>
            </w:pPr>
          </w:p>
        </w:tc>
        <w:tc>
          <w:tcPr>
            <w:tcW w:w="0" w:type="auto"/>
            <w:vAlign w:val="center"/>
            <w:hideMark/>
          </w:tcPr>
          <w:p w14:paraId="394EA170" w14:textId="77777777" w:rsidR="00000000" w:rsidRDefault="00195E73">
            <w:pPr>
              <w:rPr>
                <w:rFonts w:eastAsia="Times New Roman"/>
                <w:sz w:val="20"/>
                <w:szCs w:val="20"/>
              </w:rPr>
            </w:pPr>
          </w:p>
        </w:tc>
      </w:tr>
      <w:tr w:rsidR="00000000" w14:paraId="1DEA42A9" w14:textId="77777777">
        <w:trPr>
          <w:divId w:val="1979872608"/>
          <w:jc w:val="center"/>
        </w:trPr>
        <w:tc>
          <w:tcPr>
            <w:tcW w:w="0" w:type="auto"/>
            <w:gridSpan w:val="3"/>
            <w:shd w:val="clear" w:color="auto" w:fill="CCEEFF"/>
            <w:tcMar>
              <w:top w:w="30" w:type="dxa"/>
              <w:left w:w="20" w:type="dxa"/>
              <w:bottom w:w="30" w:type="dxa"/>
              <w:right w:w="20" w:type="dxa"/>
            </w:tcMar>
            <w:vAlign w:val="bottom"/>
            <w:hideMark/>
          </w:tcPr>
          <w:p w14:paraId="0456BD8F" w14:textId="77777777" w:rsidR="00000000" w:rsidRDefault="00195E73">
            <w:pPr>
              <w:rPr>
                <w:rFonts w:eastAsia="Times New Roman"/>
              </w:rPr>
            </w:pPr>
            <w:r>
              <w:rPr>
                <w:rFonts w:eastAsia="Times New Roman"/>
                <w:color w:val="000000"/>
                <w:sz w:val="18"/>
                <w:szCs w:val="18"/>
              </w:rPr>
              <w:t>Partnership distribution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14:paraId="0EB2B693" w14:textId="77777777" w:rsidR="00000000" w:rsidRDefault="00195E73">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7912CB8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117586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A851FF" w14:textId="77777777" w:rsidR="00000000" w:rsidRDefault="00195E73">
            <w:pPr>
              <w:jc w:val="right"/>
              <w:rPr>
                <w:rFonts w:eastAsia="Times New Roman"/>
              </w:rPr>
            </w:pPr>
            <w:r>
              <w:rPr>
                <w:rFonts w:eastAsia="Times New Roman"/>
                <w:color w:val="000000"/>
                <w:sz w:val="18"/>
                <w:szCs w:val="18"/>
              </w:rPr>
              <w:t>(142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6F5E7BE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6C425B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E77408" w14:textId="77777777" w:rsidR="00000000" w:rsidRDefault="00195E73">
            <w:pPr>
              <w:jc w:val="right"/>
              <w:rPr>
                <w:rFonts w:eastAsia="Times New Roman"/>
              </w:rPr>
            </w:pPr>
            <w:r>
              <w:rPr>
                <w:rFonts w:eastAsia="Times New Roman"/>
                <w:color w:val="000000"/>
                <w:sz w:val="18"/>
                <w:szCs w:val="18"/>
              </w:rPr>
              <w:t>(144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35B4A9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049947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D08A1E"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84F7D4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C8631F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36848E" w14:textId="77777777" w:rsidR="00000000" w:rsidRDefault="00195E73">
            <w:pPr>
              <w:jc w:val="right"/>
              <w:rPr>
                <w:rFonts w:eastAsia="Times New Roman"/>
              </w:rPr>
            </w:pPr>
            <w:r>
              <w:rPr>
                <w:rFonts w:eastAsia="Times New Roman"/>
                <w:color w:val="000000"/>
                <w:sz w:val="18"/>
                <w:szCs w:val="18"/>
              </w:rPr>
              <w:t>(144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D87F030"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5316288B" w14:textId="77777777" w:rsidR="00000000" w:rsidRDefault="00195E73">
            <w:pPr>
              <w:rPr>
                <w:rFonts w:eastAsia="Times New Roman"/>
                <w:sz w:val="20"/>
                <w:szCs w:val="20"/>
              </w:rPr>
            </w:pPr>
          </w:p>
        </w:tc>
        <w:tc>
          <w:tcPr>
            <w:tcW w:w="0" w:type="auto"/>
            <w:vAlign w:val="center"/>
            <w:hideMark/>
          </w:tcPr>
          <w:p w14:paraId="141E44CD" w14:textId="77777777" w:rsidR="00000000" w:rsidRDefault="00195E73">
            <w:pPr>
              <w:rPr>
                <w:rFonts w:eastAsia="Times New Roman"/>
                <w:sz w:val="20"/>
                <w:szCs w:val="20"/>
              </w:rPr>
            </w:pPr>
          </w:p>
        </w:tc>
        <w:tc>
          <w:tcPr>
            <w:tcW w:w="0" w:type="auto"/>
            <w:vAlign w:val="center"/>
            <w:hideMark/>
          </w:tcPr>
          <w:p w14:paraId="684219F4" w14:textId="77777777" w:rsidR="00000000" w:rsidRDefault="00195E73">
            <w:pPr>
              <w:rPr>
                <w:rFonts w:eastAsia="Times New Roman"/>
                <w:sz w:val="20"/>
                <w:szCs w:val="20"/>
              </w:rPr>
            </w:pPr>
          </w:p>
        </w:tc>
        <w:tc>
          <w:tcPr>
            <w:tcW w:w="0" w:type="auto"/>
            <w:vAlign w:val="center"/>
            <w:hideMark/>
          </w:tcPr>
          <w:p w14:paraId="4AEA894B" w14:textId="77777777" w:rsidR="00000000" w:rsidRDefault="00195E73">
            <w:pPr>
              <w:rPr>
                <w:rFonts w:eastAsia="Times New Roman"/>
                <w:sz w:val="20"/>
                <w:szCs w:val="20"/>
              </w:rPr>
            </w:pPr>
          </w:p>
        </w:tc>
        <w:tc>
          <w:tcPr>
            <w:tcW w:w="0" w:type="auto"/>
            <w:vAlign w:val="center"/>
            <w:hideMark/>
          </w:tcPr>
          <w:p w14:paraId="22A1F26A" w14:textId="77777777" w:rsidR="00000000" w:rsidRDefault="00195E73">
            <w:pPr>
              <w:rPr>
                <w:rFonts w:eastAsia="Times New Roman"/>
                <w:sz w:val="20"/>
                <w:szCs w:val="20"/>
              </w:rPr>
            </w:pPr>
          </w:p>
        </w:tc>
        <w:tc>
          <w:tcPr>
            <w:tcW w:w="0" w:type="auto"/>
            <w:vAlign w:val="center"/>
            <w:hideMark/>
          </w:tcPr>
          <w:p w14:paraId="39DDA320" w14:textId="77777777" w:rsidR="00000000" w:rsidRDefault="00195E73">
            <w:pPr>
              <w:rPr>
                <w:rFonts w:eastAsia="Times New Roman"/>
                <w:sz w:val="20"/>
                <w:szCs w:val="20"/>
              </w:rPr>
            </w:pPr>
          </w:p>
        </w:tc>
        <w:tc>
          <w:tcPr>
            <w:tcW w:w="0" w:type="auto"/>
            <w:vAlign w:val="center"/>
            <w:hideMark/>
          </w:tcPr>
          <w:p w14:paraId="06C7DB92" w14:textId="77777777" w:rsidR="00000000" w:rsidRDefault="00195E73">
            <w:pPr>
              <w:rPr>
                <w:rFonts w:eastAsia="Times New Roman"/>
                <w:sz w:val="20"/>
                <w:szCs w:val="20"/>
              </w:rPr>
            </w:pPr>
          </w:p>
        </w:tc>
        <w:tc>
          <w:tcPr>
            <w:tcW w:w="0" w:type="auto"/>
            <w:vAlign w:val="center"/>
            <w:hideMark/>
          </w:tcPr>
          <w:p w14:paraId="3C3F1474" w14:textId="77777777" w:rsidR="00000000" w:rsidRDefault="00195E73">
            <w:pPr>
              <w:rPr>
                <w:rFonts w:eastAsia="Times New Roman"/>
                <w:sz w:val="20"/>
                <w:szCs w:val="20"/>
              </w:rPr>
            </w:pPr>
          </w:p>
        </w:tc>
        <w:tc>
          <w:tcPr>
            <w:tcW w:w="0" w:type="auto"/>
            <w:vAlign w:val="center"/>
            <w:hideMark/>
          </w:tcPr>
          <w:p w14:paraId="5B008A9E" w14:textId="77777777" w:rsidR="00000000" w:rsidRDefault="00195E73">
            <w:pPr>
              <w:rPr>
                <w:rFonts w:eastAsia="Times New Roman"/>
                <w:sz w:val="20"/>
                <w:szCs w:val="20"/>
              </w:rPr>
            </w:pPr>
          </w:p>
        </w:tc>
        <w:tc>
          <w:tcPr>
            <w:tcW w:w="0" w:type="auto"/>
            <w:vAlign w:val="center"/>
            <w:hideMark/>
          </w:tcPr>
          <w:p w14:paraId="3ED2BF7E" w14:textId="77777777" w:rsidR="00000000" w:rsidRDefault="00195E73">
            <w:pPr>
              <w:rPr>
                <w:rFonts w:eastAsia="Times New Roman"/>
                <w:sz w:val="20"/>
                <w:szCs w:val="20"/>
              </w:rPr>
            </w:pPr>
          </w:p>
        </w:tc>
        <w:tc>
          <w:tcPr>
            <w:tcW w:w="0" w:type="auto"/>
            <w:vAlign w:val="center"/>
            <w:hideMark/>
          </w:tcPr>
          <w:p w14:paraId="3609146C" w14:textId="77777777" w:rsidR="00000000" w:rsidRDefault="00195E73">
            <w:pPr>
              <w:rPr>
                <w:rFonts w:eastAsia="Times New Roman"/>
                <w:sz w:val="20"/>
                <w:szCs w:val="20"/>
              </w:rPr>
            </w:pPr>
          </w:p>
        </w:tc>
        <w:tc>
          <w:tcPr>
            <w:tcW w:w="0" w:type="auto"/>
            <w:vAlign w:val="center"/>
            <w:hideMark/>
          </w:tcPr>
          <w:p w14:paraId="1561504C" w14:textId="77777777" w:rsidR="00000000" w:rsidRDefault="00195E73">
            <w:pPr>
              <w:rPr>
                <w:rFonts w:eastAsia="Times New Roman"/>
                <w:sz w:val="20"/>
                <w:szCs w:val="20"/>
              </w:rPr>
            </w:pPr>
          </w:p>
        </w:tc>
        <w:tc>
          <w:tcPr>
            <w:tcW w:w="0" w:type="auto"/>
            <w:vAlign w:val="center"/>
            <w:hideMark/>
          </w:tcPr>
          <w:p w14:paraId="51523E03" w14:textId="77777777" w:rsidR="00000000" w:rsidRDefault="00195E73">
            <w:pPr>
              <w:rPr>
                <w:rFonts w:eastAsia="Times New Roman"/>
                <w:sz w:val="20"/>
                <w:szCs w:val="20"/>
              </w:rPr>
            </w:pPr>
          </w:p>
        </w:tc>
        <w:tc>
          <w:tcPr>
            <w:tcW w:w="0" w:type="auto"/>
            <w:vAlign w:val="center"/>
            <w:hideMark/>
          </w:tcPr>
          <w:p w14:paraId="5B21E117" w14:textId="77777777" w:rsidR="00000000" w:rsidRDefault="00195E73">
            <w:pPr>
              <w:rPr>
                <w:rFonts w:eastAsia="Times New Roman"/>
                <w:sz w:val="20"/>
                <w:szCs w:val="20"/>
              </w:rPr>
            </w:pPr>
          </w:p>
        </w:tc>
        <w:tc>
          <w:tcPr>
            <w:tcW w:w="0" w:type="auto"/>
            <w:vAlign w:val="center"/>
            <w:hideMark/>
          </w:tcPr>
          <w:p w14:paraId="3DC50DB1" w14:textId="77777777" w:rsidR="00000000" w:rsidRDefault="00195E73">
            <w:pPr>
              <w:rPr>
                <w:rFonts w:eastAsia="Times New Roman"/>
                <w:sz w:val="20"/>
                <w:szCs w:val="20"/>
              </w:rPr>
            </w:pPr>
          </w:p>
        </w:tc>
        <w:tc>
          <w:tcPr>
            <w:tcW w:w="0" w:type="auto"/>
            <w:vAlign w:val="center"/>
            <w:hideMark/>
          </w:tcPr>
          <w:p w14:paraId="4BAB0D13" w14:textId="77777777" w:rsidR="00000000" w:rsidRDefault="00195E73">
            <w:pPr>
              <w:rPr>
                <w:rFonts w:eastAsia="Times New Roman"/>
                <w:sz w:val="20"/>
                <w:szCs w:val="20"/>
              </w:rPr>
            </w:pPr>
          </w:p>
        </w:tc>
        <w:tc>
          <w:tcPr>
            <w:tcW w:w="0" w:type="auto"/>
            <w:vAlign w:val="center"/>
            <w:hideMark/>
          </w:tcPr>
          <w:p w14:paraId="7C218091" w14:textId="77777777" w:rsidR="00000000" w:rsidRDefault="00195E73">
            <w:pPr>
              <w:rPr>
                <w:rFonts w:eastAsia="Times New Roman"/>
                <w:sz w:val="20"/>
                <w:szCs w:val="20"/>
              </w:rPr>
            </w:pPr>
          </w:p>
        </w:tc>
        <w:tc>
          <w:tcPr>
            <w:tcW w:w="0" w:type="auto"/>
            <w:vAlign w:val="center"/>
            <w:hideMark/>
          </w:tcPr>
          <w:p w14:paraId="2C4E45BF" w14:textId="77777777" w:rsidR="00000000" w:rsidRDefault="00195E73">
            <w:pPr>
              <w:rPr>
                <w:rFonts w:eastAsia="Times New Roman"/>
                <w:sz w:val="20"/>
                <w:szCs w:val="20"/>
              </w:rPr>
            </w:pPr>
          </w:p>
        </w:tc>
        <w:tc>
          <w:tcPr>
            <w:tcW w:w="0" w:type="auto"/>
            <w:vAlign w:val="center"/>
            <w:hideMark/>
          </w:tcPr>
          <w:p w14:paraId="51D668A8" w14:textId="77777777" w:rsidR="00000000" w:rsidRDefault="00195E73">
            <w:pPr>
              <w:rPr>
                <w:rFonts w:eastAsia="Times New Roman"/>
                <w:sz w:val="20"/>
                <w:szCs w:val="20"/>
              </w:rPr>
            </w:pPr>
          </w:p>
        </w:tc>
        <w:tc>
          <w:tcPr>
            <w:tcW w:w="0" w:type="auto"/>
            <w:vAlign w:val="center"/>
            <w:hideMark/>
          </w:tcPr>
          <w:p w14:paraId="2979DEAF" w14:textId="77777777" w:rsidR="00000000" w:rsidRDefault="00195E73">
            <w:pPr>
              <w:rPr>
                <w:rFonts w:eastAsia="Times New Roman"/>
                <w:sz w:val="20"/>
                <w:szCs w:val="20"/>
              </w:rPr>
            </w:pPr>
          </w:p>
        </w:tc>
        <w:tc>
          <w:tcPr>
            <w:tcW w:w="0" w:type="auto"/>
            <w:vAlign w:val="center"/>
            <w:hideMark/>
          </w:tcPr>
          <w:p w14:paraId="43609765" w14:textId="77777777" w:rsidR="00000000" w:rsidRDefault="00195E73">
            <w:pPr>
              <w:rPr>
                <w:rFonts w:eastAsia="Times New Roman"/>
                <w:sz w:val="20"/>
                <w:szCs w:val="20"/>
              </w:rPr>
            </w:pPr>
          </w:p>
        </w:tc>
        <w:tc>
          <w:tcPr>
            <w:tcW w:w="0" w:type="auto"/>
            <w:vAlign w:val="center"/>
            <w:hideMark/>
          </w:tcPr>
          <w:p w14:paraId="6B9CE3E4" w14:textId="77777777" w:rsidR="00000000" w:rsidRDefault="00195E73">
            <w:pPr>
              <w:rPr>
                <w:rFonts w:eastAsia="Times New Roman"/>
                <w:sz w:val="20"/>
                <w:szCs w:val="20"/>
              </w:rPr>
            </w:pPr>
          </w:p>
        </w:tc>
        <w:tc>
          <w:tcPr>
            <w:tcW w:w="0" w:type="auto"/>
            <w:vAlign w:val="center"/>
            <w:hideMark/>
          </w:tcPr>
          <w:p w14:paraId="7CDF98BC" w14:textId="77777777" w:rsidR="00000000" w:rsidRDefault="00195E73">
            <w:pPr>
              <w:rPr>
                <w:rFonts w:eastAsia="Times New Roman"/>
                <w:sz w:val="20"/>
                <w:szCs w:val="20"/>
              </w:rPr>
            </w:pPr>
          </w:p>
        </w:tc>
        <w:tc>
          <w:tcPr>
            <w:tcW w:w="0" w:type="auto"/>
            <w:vAlign w:val="center"/>
            <w:hideMark/>
          </w:tcPr>
          <w:p w14:paraId="28F36EB1" w14:textId="77777777" w:rsidR="00000000" w:rsidRDefault="00195E73">
            <w:pPr>
              <w:rPr>
                <w:rFonts w:eastAsia="Times New Roman"/>
                <w:sz w:val="20"/>
                <w:szCs w:val="20"/>
              </w:rPr>
            </w:pPr>
          </w:p>
        </w:tc>
      </w:tr>
      <w:tr w:rsidR="00000000" w14:paraId="724A5207" w14:textId="77777777">
        <w:trPr>
          <w:divId w:val="1979872608"/>
          <w:jc w:val="center"/>
        </w:trPr>
        <w:tc>
          <w:tcPr>
            <w:tcW w:w="0" w:type="auto"/>
            <w:gridSpan w:val="3"/>
            <w:shd w:val="clear" w:color="auto" w:fill="FFFFFF"/>
            <w:tcMar>
              <w:top w:w="30" w:type="dxa"/>
              <w:left w:w="20" w:type="dxa"/>
              <w:bottom w:w="30" w:type="dxa"/>
              <w:right w:w="20" w:type="dxa"/>
            </w:tcMar>
            <w:vAlign w:val="bottom"/>
            <w:hideMark/>
          </w:tcPr>
          <w:p w14:paraId="3F0C1660" w14:textId="77777777" w:rsidR="00000000" w:rsidRDefault="00195E73">
            <w:pPr>
              <w:rPr>
                <w:rFonts w:eastAsia="Times New Roman"/>
              </w:rPr>
            </w:pPr>
            <w:r>
              <w:rPr>
                <w:rFonts w:eastAsia="Times New Roman"/>
                <w:color w:val="000000"/>
                <w:sz w:val="18"/>
                <w:szCs w:val="18"/>
              </w:rPr>
              <w:t>Partnership contribution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4DC33791"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537959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072622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2C30A8" w14:textId="77777777" w:rsidR="00000000" w:rsidRDefault="00195E73">
            <w:pPr>
              <w:jc w:val="right"/>
              <w:rPr>
                <w:rFonts w:eastAsia="Times New Roman"/>
              </w:rPr>
            </w:pPr>
            <w:r>
              <w:rPr>
                <w:rFonts w:eastAsia="Times New Roman"/>
                <w:color w:val="000000"/>
                <w:sz w:val="18"/>
                <w:szCs w:val="18"/>
              </w:rPr>
              <w:t>54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D53899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8D2BA5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43EDA2" w14:textId="77777777" w:rsidR="00000000" w:rsidRDefault="00195E73">
            <w:pPr>
              <w:jc w:val="right"/>
              <w:rPr>
                <w:rFonts w:eastAsia="Times New Roman"/>
              </w:rPr>
            </w:pPr>
            <w:r>
              <w:rPr>
                <w:rFonts w:eastAsia="Times New Roman"/>
                <w:color w:val="000000"/>
                <w:sz w:val="18"/>
                <w:szCs w:val="18"/>
              </w:rPr>
              <w:t>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40018A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2BE660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5C1C10"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1AD7AA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7469D8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16F800" w14:textId="77777777" w:rsidR="00000000" w:rsidRDefault="00195E73">
            <w:pPr>
              <w:jc w:val="right"/>
              <w:rPr>
                <w:rFonts w:eastAsia="Times New Roman"/>
              </w:rPr>
            </w:pPr>
            <w:r>
              <w:rPr>
                <w:rFonts w:eastAsia="Times New Roman"/>
                <w:color w:val="000000"/>
                <w:sz w:val="18"/>
                <w:szCs w:val="18"/>
              </w:rPr>
              <w:t>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B34E04D"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368DF50A" w14:textId="77777777" w:rsidR="00000000" w:rsidRDefault="00195E73">
            <w:pPr>
              <w:rPr>
                <w:rFonts w:eastAsia="Times New Roman"/>
                <w:sz w:val="20"/>
                <w:szCs w:val="20"/>
              </w:rPr>
            </w:pPr>
          </w:p>
        </w:tc>
        <w:tc>
          <w:tcPr>
            <w:tcW w:w="0" w:type="auto"/>
            <w:vAlign w:val="center"/>
            <w:hideMark/>
          </w:tcPr>
          <w:p w14:paraId="7EFE5F44" w14:textId="77777777" w:rsidR="00000000" w:rsidRDefault="00195E73">
            <w:pPr>
              <w:rPr>
                <w:rFonts w:eastAsia="Times New Roman"/>
                <w:sz w:val="20"/>
                <w:szCs w:val="20"/>
              </w:rPr>
            </w:pPr>
          </w:p>
        </w:tc>
        <w:tc>
          <w:tcPr>
            <w:tcW w:w="0" w:type="auto"/>
            <w:vAlign w:val="center"/>
            <w:hideMark/>
          </w:tcPr>
          <w:p w14:paraId="7F999D59" w14:textId="77777777" w:rsidR="00000000" w:rsidRDefault="00195E73">
            <w:pPr>
              <w:rPr>
                <w:rFonts w:eastAsia="Times New Roman"/>
                <w:sz w:val="20"/>
                <w:szCs w:val="20"/>
              </w:rPr>
            </w:pPr>
          </w:p>
        </w:tc>
        <w:tc>
          <w:tcPr>
            <w:tcW w:w="0" w:type="auto"/>
            <w:vAlign w:val="center"/>
            <w:hideMark/>
          </w:tcPr>
          <w:p w14:paraId="43366408" w14:textId="77777777" w:rsidR="00000000" w:rsidRDefault="00195E73">
            <w:pPr>
              <w:rPr>
                <w:rFonts w:eastAsia="Times New Roman"/>
                <w:sz w:val="20"/>
                <w:szCs w:val="20"/>
              </w:rPr>
            </w:pPr>
          </w:p>
        </w:tc>
        <w:tc>
          <w:tcPr>
            <w:tcW w:w="0" w:type="auto"/>
            <w:vAlign w:val="center"/>
            <w:hideMark/>
          </w:tcPr>
          <w:p w14:paraId="18A854C2" w14:textId="77777777" w:rsidR="00000000" w:rsidRDefault="00195E73">
            <w:pPr>
              <w:rPr>
                <w:rFonts w:eastAsia="Times New Roman"/>
                <w:sz w:val="20"/>
                <w:szCs w:val="20"/>
              </w:rPr>
            </w:pPr>
          </w:p>
        </w:tc>
        <w:tc>
          <w:tcPr>
            <w:tcW w:w="0" w:type="auto"/>
            <w:vAlign w:val="center"/>
            <w:hideMark/>
          </w:tcPr>
          <w:p w14:paraId="0CC865C1" w14:textId="77777777" w:rsidR="00000000" w:rsidRDefault="00195E73">
            <w:pPr>
              <w:rPr>
                <w:rFonts w:eastAsia="Times New Roman"/>
                <w:sz w:val="20"/>
                <w:szCs w:val="20"/>
              </w:rPr>
            </w:pPr>
          </w:p>
        </w:tc>
        <w:tc>
          <w:tcPr>
            <w:tcW w:w="0" w:type="auto"/>
            <w:vAlign w:val="center"/>
            <w:hideMark/>
          </w:tcPr>
          <w:p w14:paraId="7EF45754" w14:textId="77777777" w:rsidR="00000000" w:rsidRDefault="00195E73">
            <w:pPr>
              <w:rPr>
                <w:rFonts w:eastAsia="Times New Roman"/>
                <w:sz w:val="20"/>
                <w:szCs w:val="20"/>
              </w:rPr>
            </w:pPr>
          </w:p>
        </w:tc>
        <w:tc>
          <w:tcPr>
            <w:tcW w:w="0" w:type="auto"/>
            <w:vAlign w:val="center"/>
            <w:hideMark/>
          </w:tcPr>
          <w:p w14:paraId="7EC736E2" w14:textId="77777777" w:rsidR="00000000" w:rsidRDefault="00195E73">
            <w:pPr>
              <w:rPr>
                <w:rFonts w:eastAsia="Times New Roman"/>
                <w:sz w:val="20"/>
                <w:szCs w:val="20"/>
              </w:rPr>
            </w:pPr>
          </w:p>
        </w:tc>
        <w:tc>
          <w:tcPr>
            <w:tcW w:w="0" w:type="auto"/>
            <w:vAlign w:val="center"/>
            <w:hideMark/>
          </w:tcPr>
          <w:p w14:paraId="3B918898" w14:textId="77777777" w:rsidR="00000000" w:rsidRDefault="00195E73">
            <w:pPr>
              <w:rPr>
                <w:rFonts w:eastAsia="Times New Roman"/>
                <w:sz w:val="20"/>
                <w:szCs w:val="20"/>
              </w:rPr>
            </w:pPr>
          </w:p>
        </w:tc>
        <w:tc>
          <w:tcPr>
            <w:tcW w:w="0" w:type="auto"/>
            <w:vAlign w:val="center"/>
            <w:hideMark/>
          </w:tcPr>
          <w:p w14:paraId="5931F8DF" w14:textId="77777777" w:rsidR="00000000" w:rsidRDefault="00195E73">
            <w:pPr>
              <w:rPr>
                <w:rFonts w:eastAsia="Times New Roman"/>
                <w:sz w:val="20"/>
                <w:szCs w:val="20"/>
              </w:rPr>
            </w:pPr>
          </w:p>
        </w:tc>
        <w:tc>
          <w:tcPr>
            <w:tcW w:w="0" w:type="auto"/>
            <w:vAlign w:val="center"/>
            <w:hideMark/>
          </w:tcPr>
          <w:p w14:paraId="6D25720E" w14:textId="77777777" w:rsidR="00000000" w:rsidRDefault="00195E73">
            <w:pPr>
              <w:rPr>
                <w:rFonts w:eastAsia="Times New Roman"/>
                <w:sz w:val="20"/>
                <w:szCs w:val="20"/>
              </w:rPr>
            </w:pPr>
          </w:p>
        </w:tc>
        <w:tc>
          <w:tcPr>
            <w:tcW w:w="0" w:type="auto"/>
            <w:vAlign w:val="center"/>
            <w:hideMark/>
          </w:tcPr>
          <w:p w14:paraId="50956444" w14:textId="77777777" w:rsidR="00000000" w:rsidRDefault="00195E73">
            <w:pPr>
              <w:rPr>
                <w:rFonts w:eastAsia="Times New Roman"/>
                <w:sz w:val="20"/>
                <w:szCs w:val="20"/>
              </w:rPr>
            </w:pPr>
          </w:p>
        </w:tc>
        <w:tc>
          <w:tcPr>
            <w:tcW w:w="0" w:type="auto"/>
            <w:vAlign w:val="center"/>
            <w:hideMark/>
          </w:tcPr>
          <w:p w14:paraId="0E34752D" w14:textId="77777777" w:rsidR="00000000" w:rsidRDefault="00195E73">
            <w:pPr>
              <w:rPr>
                <w:rFonts w:eastAsia="Times New Roman"/>
                <w:sz w:val="20"/>
                <w:szCs w:val="20"/>
              </w:rPr>
            </w:pPr>
          </w:p>
        </w:tc>
        <w:tc>
          <w:tcPr>
            <w:tcW w:w="0" w:type="auto"/>
            <w:vAlign w:val="center"/>
            <w:hideMark/>
          </w:tcPr>
          <w:p w14:paraId="0D7FE51D" w14:textId="77777777" w:rsidR="00000000" w:rsidRDefault="00195E73">
            <w:pPr>
              <w:rPr>
                <w:rFonts w:eastAsia="Times New Roman"/>
                <w:sz w:val="20"/>
                <w:szCs w:val="20"/>
              </w:rPr>
            </w:pPr>
          </w:p>
        </w:tc>
        <w:tc>
          <w:tcPr>
            <w:tcW w:w="0" w:type="auto"/>
            <w:vAlign w:val="center"/>
            <w:hideMark/>
          </w:tcPr>
          <w:p w14:paraId="7E8551FD" w14:textId="77777777" w:rsidR="00000000" w:rsidRDefault="00195E73">
            <w:pPr>
              <w:rPr>
                <w:rFonts w:eastAsia="Times New Roman"/>
                <w:sz w:val="20"/>
                <w:szCs w:val="20"/>
              </w:rPr>
            </w:pPr>
          </w:p>
        </w:tc>
        <w:tc>
          <w:tcPr>
            <w:tcW w:w="0" w:type="auto"/>
            <w:vAlign w:val="center"/>
            <w:hideMark/>
          </w:tcPr>
          <w:p w14:paraId="5BA7498D" w14:textId="77777777" w:rsidR="00000000" w:rsidRDefault="00195E73">
            <w:pPr>
              <w:rPr>
                <w:rFonts w:eastAsia="Times New Roman"/>
                <w:sz w:val="20"/>
                <w:szCs w:val="20"/>
              </w:rPr>
            </w:pPr>
          </w:p>
        </w:tc>
        <w:tc>
          <w:tcPr>
            <w:tcW w:w="0" w:type="auto"/>
            <w:vAlign w:val="center"/>
            <w:hideMark/>
          </w:tcPr>
          <w:p w14:paraId="3BBD7CC4" w14:textId="77777777" w:rsidR="00000000" w:rsidRDefault="00195E73">
            <w:pPr>
              <w:rPr>
                <w:rFonts w:eastAsia="Times New Roman"/>
                <w:sz w:val="20"/>
                <w:szCs w:val="20"/>
              </w:rPr>
            </w:pPr>
          </w:p>
        </w:tc>
        <w:tc>
          <w:tcPr>
            <w:tcW w:w="0" w:type="auto"/>
            <w:vAlign w:val="center"/>
            <w:hideMark/>
          </w:tcPr>
          <w:p w14:paraId="6F683D2C" w14:textId="77777777" w:rsidR="00000000" w:rsidRDefault="00195E73">
            <w:pPr>
              <w:rPr>
                <w:rFonts w:eastAsia="Times New Roman"/>
                <w:sz w:val="20"/>
                <w:szCs w:val="20"/>
              </w:rPr>
            </w:pPr>
          </w:p>
        </w:tc>
        <w:tc>
          <w:tcPr>
            <w:tcW w:w="0" w:type="auto"/>
            <w:vAlign w:val="center"/>
            <w:hideMark/>
          </w:tcPr>
          <w:p w14:paraId="0CFFB640" w14:textId="77777777" w:rsidR="00000000" w:rsidRDefault="00195E73">
            <w:pPr>
              <w:rPr>
                <w:rFonts w:eastAsia="Times New Roman"/>
                <w:sz w:val="20"/>
                <w:szCs w:val="20"/>
              </w:rPr>
            </w:pPr>
          </w:p>
        </w:tc>
        <w:tc>
          <w:tcPr>
            <w:tcW w:w="0" w:type="auto"/>
            <w:vAlign w:val="center"/>
            <w:hideMark/>
          </w:tcPr>
          <w:p w14:paraId="48FF7311" w14:textId="77777777" w:rsidR="00000000" w:rsidRDefault="00195E73">
            <w:pPr>
              <w:rPr>
                <w:rFonts w:eastAsia="Times New Roman"/>
                <w:sz w:val="20"/>
                <w:szCs w:val="20"/>
              </w:rPr>
            </w:pPr>
          </w:p>
        </w:tc>
        <w:tc>
          <w:tcPr>
            <w:tcW w:w="0" w:type="auto"/>
            <w:vAlign w:val="center"/>
            <w:hideMark/>
          </w:tcPr>
          <w:p w14:paraId="0AEE2766" w14:textId="77777777" w:rsidR="00000000" w:rsidRDefault="00195E73">
            <w:pPr>
              <w:rPr>
                <w:rFonts w:eastAsia="Times New Roman"/>
                <w:sz w:val="20"/>
                <w:szCs w:val="20"/>
              </w:rPr>
            </w:pPr>
          </w:p>
        </w:tc>
        <w:tc>
          <w:tcPr>
            <w:tcW w:w="0" w:type="auto"/>
            <w:vAlign w:val="center"/>
            <w:hideMark/>
          </w:tcPr>
          <w:p w14:paraId="6D6A2DD2" w14:textId="77777777" w:rsidR="00000000" w:rsidRDefault="00195E73">
            <w:pPr>
              <w:rPr>
                <w:rFonts w:eastAsia="Times New Roman"/>
                <w:sz w:val="20"/>
                <w:szCs w:val="20"/>
              </w:rPr>
            </w:pPr>
          </w:p>
        </w:tc>
        <w:tc>
          <w:tcPr>
            <w:tcW w:w="0" w:type="auto"/>
            <w:vAlign w:val="center"/>
            <w:hideMark/>
          </w:tcPr>
          <w:p w14:paraId="1D6CD338" w14:textId="77777777" w:rsidR="00000000" w:rsidRDefault="00195E73">
            <w:pPr>
              <w:rPr>
                <w:rFonts w:eastAsia="Times New Roman"/>
                <w:sz w:val="20"/>
                <w:szCs w:val="20"/>
              </w:rPr>
            </w:pPr>
          </w:p>
        </w:tc>
        <w:tc>
          <w:tcPr>
            <w:tcW w:w="0" w:type="auto"/>
            <w:vAlign w:val="center"/>
            <w:hideMark/>
          </w:tcPr>
          <w:p w14:paraId="72EFBD9E" w14:textId="77777777" w:rsidR="00000000" w:rsidRDefault="00195E73">
            <w:pPr>
              <w:rPr>
                <w:rFonts w:eastAsia="Times New Roman"/>
                <w:sz w:val="20"/>
                <w:szCs w:val="20"/>
              </w:rPr>
            </w:pPr>
          </w:p>
        </w:tc>
      </w:tr>
      <w:tr w:rsidR="00000000" w14:paraId="7BB8E1F6" w14:textId="77777777">
        <w:trPr>
          <w:divId w:val="1979872608"/>
          <w:jc w:val="center"/>
        </w:trPr>
        <w:tc>
          <w:tcPr>
            <w:tcW w:w="0" w:type="auto"/>
            <w:gridSpan w:val="3"/>
            <w:shd w:val="clear" w:color="auto" w:fill="CCEEFF"/>
            <w:tcMar>
              <w:top w:w="30" w:type="dxa"/>
              <w:left w:w="20" w:type="dxa"/>
              <w:bottom w:w="30" w:type="dxa"/>
              <w:right w:w="20" w:type="dxa"/>
            </w:tcMar>
            <w:vAlign w:val="bottom"/>
            <w:hideMark/>
          </w:tcPr>
          <w:p w14:paraId="2839CBA8" w14:textId="77777777" w:rsidR="00000000" w:rsidRDefault="00195E73">
            <w:pPr>
              <w:ind w:hanging="180"/>
              <w:divId w:val="1292200788"/>
              <w:rPr>
                <w:rFonts w:eastAsia="Times New Roman"/>
              </w:rPr>
            </w:pPr>
            <w:r>
              <w:rPr>
                <w:rFonts w:eastAsia="Times New Roman"/>
                <w:color w:val="000000"/>
                <w:sz w:val="18"/>
                <w:szCs w:val="18"/>
              </w:rPr>
              <w:t>Investment segment contribution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14:paraId="4C46C246"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197D3E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8A8B13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A3473A"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4F0310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D965CF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78839D"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65DCD7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7A0273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0E6DA2" w14:textId="77777777" w:rsidR="00000000" w:rsidRDefault="00195E73">
            <w:pPr>
              <w:jc w:val="right"/>
              <w:rPr>
                <w:rFonts w:eastAsia="Times New Roman"/>
              </w:rPr>
            </w:pPr>
            <w:r>
              <w:rPr>
                <w:rFonts w:eastAsia="Times New Roman"/>
                <w:color w:val="000000"/>
                <w:sz w:val="18"/>
                <w:szCs w:val="18"/>
              </w:rPr>
              <w:t>220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290C03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62AA1B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8B0256" w14:textId="77777777" w:rsidR="00000000" w:rsidRDefault="00195E73">
            <w:pPr>
              <w:jc w:val="right"/>
              <w:rPr>
                <w:rFonts w:eastAsia="Times New Roman"/>
              </w:rPr>
            </w:pPr>
            <w:r>
              <w:rPr>
                <w:rFonts w:eastAsia="Times New Roman"/>
                <w:color w:val="000000"/>
                <w:sz w:val="18"/>
                <w:szCs w:val="18"/>
              </w:rPr>
              <w:t>220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BE565B3"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3A7B504E" w14:textId="77777777" w:rsidR="00000000" w:rsidRDefault="00195E73">
            <w:pPr>
              <w:rPr>
                <w:rFonts w:eastAsia="Times New Roman"/>
                <w:sz w:val="20"/>
                <w:szCs w:val="20"/>
              </w:rPr>
            </w:pPr>
          </w:p>
        </w:tc>
        <w:tc>
          <w:tcPr>
            <w:tcW w:w="0" w:type="auto"/>
            <w:vAlign w:val="center"/>
            <w:hideMark/>
          </w:tcPr>
          <w:p w14:paraId="27C496BB" w14:textId="77777777" w:rsidR="00000000" w:rsidRDefault="00195E73">
            <w:pPr>
              <w:rPr>
                <w:rFonts w:eastAsia="Times New Roman"/>
                <w:sz w:val="20"/>
                <w:szCs w:val="20"/>
              </w:rPr>
            </w:pPr>
          </w:p>
        </w:tc>
        <w:tc>
          <w:tcPr>
            <w:tcW w:w="0" w:type="auto"/>
            <w:vAlign w:val="center"/>
            <w:hideMark/>
          </w:tcPr>
          <w:p w14:paraId="3BD747F8" w14:textId="77777777" w:rsidR="00000000" w:rsidRDefault="00195E73">
            <w:pPr>
              <w:rPr>
                <w:rFonts w:eastAsia="Times New Roman"/>
                <w:sz w:val="20"/>
                <w:szCs w:val="20"/>
              </w:rPr>
            </w:pPr>
          </w:p>
        </w:tc>
        <w:tc>
          <w:tcPr>
            <w:tcW w:w="0" w:type="auto"/>
            <w:vAlign w:val="center"/>
            <w:hideMark/>
          </w:tcPr>
          <w:p w14:paraId="4CF0CC3C" w14:textId="77777777" w:rsidR="00000000" w:rsidRDefault="00195E73">
            <w:pPr>
              <w:rPr>
                <w:rFonts w:eastAsia="Times New Roman"/>
                <w:sz w:val="20"/>
                <w:szCs w:val="20"/>
              </w:rPr>
            </w:pPr>
          </w:p>
        </w:tc>
        <w:tc>
          <w:tcPr>
            <w:tcW w:w="0" w:type="auto"/>
            <w:vAlign w:val="center"/>
            <w:hideMark/>
          </w:tcPr>
          <w:p w14:paraId="4CD7FD27" w14:textId="77777777" w:rsidR="00000000" w:rsidRDefault="00195E73">
            <w:pPr>
              <w:rPr>
                <w:rFonts w:eastAsia="Times New Roman"/>
                <w:sz w:val="20"/>
                <w:szCs w:val="20"/>
              </w:rPr>
            </w:pPr>
          </w:p>
        </w:tc>
        <w:tc>
          <w:tcPr>
            <w:tcW w:w="0" w:type="auto"/>
            <w:vAlign w:val="center"/>
            <w:hideMark/>
          </w:tcPr>
          <w:p w14:paraId="15179577" w14:textId="77777777" w:rsidR="00000000" w:rsidRDefault="00195E73">
            <w:pPr>
              <w:rPr>
                <w:rFonts w:eastAsia="Times New Roman"/>
                <w:sz w:val="20"/>
                <w:szCs w:val="20"/>
              </w:rPr>
            </w:pPr>
          </w:p>
        </w:tc>
        <w:tc>
          <w:tcPr>
            <w:tcW w:w="0" w:type="auto"/>
            <w:vAlign w:val="center"/>
            <w:hideMark/>
          </w:tcPr>
          <w:p w14:paraId="44CDB6F8" w14:textId="77777777" w:rsidR="00000000" w:rsidRDefault="00195E73">
            <w:pPr>
              <w:rPr>
                <w:rFonts w:eastAsia="Times New Roman"/>
                <w:sz w:val="20"/>
                <w:szCs w:val="20"/>
              </w:rPr>
            </w:pPr>
          </w:p>
        </w:tc>
        <w:tc>
          <w:tcPr>
            <w:tcW w:w="0" w:type="auto"/>
            <w:vAlign w:val="center"/>
            <w:hideMark/>
          </w:tcPr>
          <w:p w14:paraId="22F11F8A" w14:textId="77777777" w:rsidR="00000000" w:rsidRDefault="00195E73">
            <w:pPr>
              <w:rPr>
                <w:rFonts w:eastAsia="Times New Roman"/>
                <w:sz w:val="20"/>
                <w:szCs w:val="20"/>
              </w:rPr>
            </w:pPr>
          </w:p>
        </w:tc>
        <w:tc>
          <w:tcPr>
            <w:tcW w:w="0" w:type="auto"/>
            <w:vAlign w:val="center"/>
            <w:hideMark/>
          </w:tcPr>
          <w:p w14:paraId="1753A3A3" w14:textId="77777777" w:rsidR="00000000" w:rsidRDefault="00195E73">
            <w:pPr>
              <w:rPr>
                <w:rFonts w:eastAsia="Times New Roman"/>
                <w:sz w:val="20"/>
                <w:szCs w:val="20"/>
              </w:rPr>
            </w:pPr>
          </w:p>
        </w:tc>
        <w:tc>
          <w:tcPr>
            <w:tcW w:w="0" w:type="auto"/>
            <w:vAlign w:val="center"/>
            <w:hideMark/>
          </w:tcPr>
          <w:p w14:paraId="7EB96805" w14:textId="77777777" w:rsidR="00000000" w:rsidRDefault="00195E73">
            <w:pPr>
              <w:rPr>
                <w:rFonts w:eastAsia="Times New Roman"/>
                <w:sz w:val="20"/>
                <w:szCs w:val="20"/>
              </w:rPr>
            </w:pPr>
          </w:p>
        </w:tc>
        <w:tc>
          <w:tcPr>
            <w:tcW w:w="0" w:type="auto"/>
            <w:vAlign w:val="center"/>
            <w:hideMark/>
          </w:tcPr>
          <w:p w14:paraId="29D896C8" w14:textId="77777777" w:rsidR="00000000" w:rsidRDefault="00195E73">
            <w:pPr>
              <w:rPr>
                <w:rFonts w:eastAsia="Times New Roman"/>
                <w:sz w:val="20"/>
                <w:szCs w:val="20"/>
              </w:rPr>
            </w:pPr>
          </w:p>
        </w:tc>
        <w:tc>
          <w:tcPr>
            <w:tcW w:w="0" w:type="auto"/>
            <w:vAlign w:val="center"/>
            <w:hideMark/>
          </w:tcPr>
          <w:p w14:paraId="751D4002" w14:textId="77777777" w:rsidR="00000000" w:rsidRDefault="00195E73">
            <w:pPr>
              <w:rPr>
                <w:rFonts w:eastAsia="Times New Roman"/>
                <w:sz w:val="20"/>
                <w:szCs w:val="20"/>
              </w:rPr>
            </w:pPr>
          </w:p>
        </w:tc>
        <w:tc>
          <w:tcPr>
            <w:tcW w:w="0" w:type="auto"/>
            <w:vAlign w:val="center"/>
            <w:hideMark/>
          </w:tcPr>
          <w:p w14:paraId="7E2D8642" w14:textId="77777777" w:rsidR="00000000" w:rsidRDefault="00195E73">
            <w:pPr>
              <w:rPr>
                <w:rFonts w:eastAsia="Times New Roman"/>
                <w:sz w:val="20"/>
                <w:szCs w:val="20"/>
              </w:rPr>
            </w:pPr>
          </w:p>
        </w:tc>
        <w:tc>
          <w:tcPr>
            <w:tcW w:w="0" w:type="auto"/>
            <w:vAlign w:val="center"/>
            <w:hideMark/>
          </w:tcPr>
          <w:p w14:paraId="338483CB" w14:textId="77777777" w:rsidR="00000000" w:rsidRDefault="00195E73">
            <w:pPr>
              <w:rPr>
                <w:rFonts w:eastAsia="Times New Roman"/>
                <w:sz w:val="20"/>
                <w:szCs w:val="20"/>
              </w:rPr>
            </w:pPr>
          </w:p>
        </w:tc>
        <w:tc>
          <w:tcPr>
            <w:tcW w:w="0" w:type="auto"/>
            <w:vAlign w:val="center"/>
            <w:hideMark/>
          </w:tcPr>
          <w:p w14:paraId="7DC0D949" w14:textId="77777777" w:rsidR="00000000" w:rsidRDefault="00195E73">
            <w:pPr>
              <w:rPr>
                <w:rFonts w:eastAsia="Times New Roman"/>
                <w:sz w:val="20"/>
                <w:szCs w:val="20"/>
              </w:rPr>
            </w:pPr>
          </w:p>
        </w:tc>
        <w:tc>
          <w:tcPr>
            <w:tcW w:w="0" w:type="auto"/>
            <w:vAlign w:val="center"/>
            <w:hideMark/>
          </w:tcPr>
          <w:p w14:paraId="6A5CBDDA" w14:textId="77777777" w:rsidR="00000000" w:rsidRDefault="00195E73">
            <w:pPr>
              <w:rPr>
                <w:rFonts w:eastAsia="Times New Roman"/>
                <w:sz w:val="20"/>
                <w:szCs w:val="20"/>
              </w:rPr>
            </w:pPr>
          </w:p>
        </w:tc>
        <w:tc>
          <w:tcPr>
            <w:tcW w:w="0" w:type="auto"/>
            <w:vAlign w:val="center"/>
            <w:hideMark/>
          </w:tcPr>
          <w:p w14:paraId="02EC499D" w14:textId="77777777" w:rsidR="00000000" w:rsidRDefault="00195E73">
            <w:pPr>
              <w:rPr>
                <w:rFonts w:eastAsia="Times New Roman"/>
                <w:sz w:val="20"/>
                <w:szCs w:val="20"/>
              </w:rPr>
            </w:pPr>
          </w:p>
        </w:tc>
        <w:tc>
          <w:tcPr>
            <w:tcW w:w="0" w:type="auto"/>
            <w:vAlign w:val="center"/>
            <w:hideMark/>
          </w:tcPr>
          <w:p w14:paraId="3DD0B15A" w14:textId="77777777" w:rsidR="00000000" w:rsidRDefault="00195E73">
            <w:pPr>
              <w:rPr>
                <w:rFonts w:eastAsia="Times New Roman"/>
                <w:sz w:val="20"/>
                <w:szCs w:val="20"/>
              </w:rPr>
            </w:pPr>
          </w:p>
        </w:tc>
        <w:tc>
          <w:tcPr>
            <w:tcW w:w="0" w:type="auto"/>
            <w:vAlign w:val="center"/>
            <w:hideMark/>
          </w:tcPr>
          <w:p w14:paraId="0A308EB6" w14:textId="77777777" w:rsidR="00000000" w:rsidRDefault="00195E73">
            <w:pPr>
              <w:rPr>
                <w:rFonts w:eastAsia="Times New Roman"/>
                <w:sz w:val="20"/>
                <w:szCs w:val="20"/>
              </w:rPr>
            </w:pPr>
          </w:p>
        </w:tc>
        <w:tc>
          <w:tcPr>
            <w:tcW w:w="0" w:type="auto"/>
            <w:vAlign w:val="center"/>
            <w:hideMark/>
          </w:tcPr>
          <w:p w14:paraId="03DF8B67" w14:textId="77777777" w:rsidR="00000000" w:rsidRDefault="00195E73">
            <w:pPr>
              <w:rPr>
                <w:rFonts w:eastAsia="Times New Roman"/>
                <w:sz w:val="20"/>
                <w:szCs w:val="20"/>
              </w:rPr>
            </w:pPr>
          </w:p>
        </w:tc>
        <w:tc>
          <w:tcPr>
            <w:tcW w:w="0" w:type="auto"/>
            <w:vAlign w:val="center"/>
            <w:hideMark/>
          </w:tcPr>
          <w:p w14:paraId="31F39322" w14:textId="77777777" w:rsidR="00000000" w:rsidRDefault="00195E73">
            <w:pPr>
              <w:rPr>
                <w:rFonts w:eastAsia="Times New Roman"/>
                <w:sz w:val="20"/>
                <w:szCs w:val="20"/>
              </w:rPr>
            </w:pPr>
          </w:p>
        </w:tc>
        <w:tc>
          <w:tcPr>
            <w:tcW w:w="0" w:type="auto"/>
            <w:vAlign w:val="center"/>
            <w:hideMark/>
          </w:tcPr>
          <w:p w14:paraId="68605957" w14:textId="77777777" w:rsidR="00000000" w:rsidRDefault="00195E73">
            <w:pPr>
              <w:rPr>
                <w:rFonts w:eastAsia="Times New Roman"/>
                <w:sz w:val="20"/>
                <w:szCs w:val="20"/>
              </w:rPr>
            </w:pPr>
          </w:p>
        </w:tc>
        <w:tc>
          <w:tcPr>
            <w:tcW w:w="0" w:type="auto"/>
            <w:vAlign w:val="center"/>
            <w:hideMark/>
          </w:tcPr>
          <w:p w14:paraId="53503E37" w14:textId="77777777" w:rsidR="00000000" w:rsidRDefault="00195E73">
            <w:pPr>
              <w:rPr>
                <w:rFonts w:eastAsia="Times New Roman"/>
                <w:sz w:val="20"/>
                <w:szCs w:val="20"/>
              </w:rPr>
            </w:pPr>
          </w:p>
        </w:tc>
        <w:tc>
          <w:tcPr>
            <w:tcW w:w="0" w:type="auto"/>
            <w:vAlign w:val="center"/>
            <w:hideMark/>
          </w:tcPr>
          <w:p w14:paraId="486F9521" w14:textId="77777777" w:rsidR="00000000" w:rsidRDefault="00195E73">
            <w:pPr>
              <w:rPr>
                <w:rFonts w:eastAsia="Times New Roman"/>
                <w:sz w:val="20"/>
                <w:szCs w:val="20"/>
              </w:rPr>
            </w:pPr>
          </w:p>
        </w:tc>
      </w:tr>
      <w:tr w:rsidR="00000000" w14:paraId="241688C0" w14:textId="77777777">
        <w:trPr>
          <w:divId w:val="1979872608"/>
          <w:jc w:val="center"/>
        </w:trPr>
        <w:tc>
          <w:tcPr>
            <w:tcW w:w="0" w:type="auto"/>
            <w:gridSpan w:val="3"/>
            <w:shd w:val="clear" w:color="auto" w:fill="FFFFFF"/>
            <w:tcMar>
              <w:top w:w="30" w:type="dxa"/>
              <w:left w:w="20" w:type="dxa"/>
              <w:bottom w:w="30" w:type="dxa"/>
              <w:right w:w="20" w:type="dxa"/>
            </w:tcMar>
            <w:vAlign w:val="bottom"/>
            <w:hideMark/>
          </w:tcPr>
          <w:p w14:paraId="7EC18570" w14:textId="77777777" w:rsidR="00000000" w:rsidRDefault="00195E73">
            <w:pPr>
              <w:ind w:hanging="180"/>
              <w:divId w:val="532420576"/>
              <w:rPr>
                <w:rFonts w:eastAsia="Times New Roman"/>
              </w:rPr>
            </w:pPr>
            <w:r>
              <w:rPr>
                <w:rFonts w:eastAsia="Times New Roman"/>
                <w:color w:val="000000"/>
                <w:sz w:val="18"/>
                <w:szCs w:val="18"/>
              </w:rPr>
              <w:t>Dividends and distributions to non-controlling interests in subsidiarie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61290941"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E54EE4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B46410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39B9ED"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E9EBA2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A572F5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C12FDF"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756481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419730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5E9BFF" w14:textId="77777777" w:rsidR="00000000" w:rsidRDefault="00195E73">
            <w:pPr>
              <w:jc w:val="right"/>
              <w:rPr>
                <w:rFonts w:eastAsia="Times New Roman"/>
              </w:rPr>
            </w:pPr>
            <w:r>
              <w:rPr>
                <w:rFonts w:eastAsia="Times New Roman"/>
                <w:color w:val="000000"/>
                <w:sz w:val="18"/>
                <w:szCs w:val="18"/>
              </w:rPr>
              <w:t>(119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4B937847"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37A122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187F79" w14:textId="77777777" w:rsidR="00000000" w:rsidRDefault="00195E73">
            <w:pPr>
              <w:jc w:val="right"/>
              <w:rPr>
                <w:rFonts w:eastAsia="Times New Roman"/>
              </w:rPr>
            </w:pPr>
            <w:r>
              <w:rPr>
                <w:rFonts w:eastAsia="Times New Roman"/>
                <w:color w:val="000000"/>
                <w:sz w:val="18"/>
                <w:szCs w:val="18"/>
              </w:rPr>
              <w:t>(119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1FDF1C1A"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4D45CE70" w14:textId="77777777" w:rsidR="00000000" w:rsidRDefault="00195E73">
            <w:pPr>
              <w:rPr>
                <w:rFonts w:eastAsia="Times New Roman"/>
                <w:sz w:val="20"/>
                <w:szCs w:val="20"/>
              </w:rPr>
            </w:pPr>
          </w:p>
        </w:tc>
        <w:tc>
          <w:tcPr>
            <w:tcW w:w="0" w:type="auto"/>
            <w:vAlign w:val="center"/>
            <w:hideMark/>
          </w:tcPr>
          <w:p w14:paraId="0A0D72FC" w14:textId="77777777" w:rsidR="00000000" w:rsidRDefault="00195E73">
            <w:pPr>
              <w:rPr>
                <w:rFonts w:eastAsia="Times New Roman"/>
                <w:sz w:val="20"/>
                <w:szCs w:val="20"/>
              </w:rPr>
            </w:pPr>
          </w:p>
        </w:tc>
        <w:tc>
          <w:tcPr>
            <w:tcW w:w="0" w:type="auto"/>
            <w:vAlign w:val="center"/>
            <w:hideMark/>
          </w:tcPr>
          <w:p w14:paraId="4100EE49" w14:textId="77777777" w:rsidR="00000000" w:rsidRDefault="00195E73">
            <w:pPr>
              <w:rPr>
                <w:rFonts w:eastAsia="Times New Roman"/>
                <w:sz w:val="20"/>
                <w:szCs w:val="20"/>
              </w:rPr>
            </w:pPr>
          </w:p>
        </w:tc>
        <w:tc>
          <w:tcPr>
            <w:tcW w:w="0" w:type="auto"/>
            <w:vAlign w:val="center"/>
            <w:hideMark/>
          </w:tcPr>
          <w:p w14:paraId="5BC23DF6" w14:textId="77777777" w:rsidR="00000000" w:rsidRDefault="00195E73">
            <w:pPr>
              <w:rPr>
                <w:rFonts w:eastAsia="Times New Roman"/>
                <w:sz w:val="20"/>
                <w:szCs w:val="20"/>
              </w:rPr>
            </w:pPr>
          </w:p>
        </w:tc>
        <w:tc>
          <w:tcPr>
            <w:tcW w:w="0" w:type="auto"/>
            <w:vAlign w:val="center"/>
            <w:hideMark/>
          </w:tcPr>
          <w:p w14:paraId="45CFDF3B" w14:textId="77777777" w:rsidR="00000000" w:rsidRDefault="00195E73">
            <w:pPr>
              <w:rPr>
                <w:rFonts w:eastAsia="Times New Roman"/>
                <w:sz w:val="20"/>
                <w:szCs w:val="20"/>
              </w:rPr>
            </w:pPr>
          </w:p>
        </w:tc>
        <w:tc>
          <w:tcPr>
            <w:tcW w:w="0" w:type="auto"/>
            <w:vAlign w:val="center"/>
            <w:hideMark/>
          </w:tcPr>
          <w:p w14:paraId="52B3C49B" w14:textId="77777777" w:rsidR="00000000" w:rsidRDefault="00195E73">
            <w:pPr>
              <w:rPr>
                <w:rFonts w:eastAsia="Times New Roman"/>
                <w:sz w:val="20"/>
                <w:szCs w:val="20"/>
              </w:rPr>
            </w:pPr>
          </w:p>
        </w:tc>
        <w:tc>
          <w:tcPr>
            <w:tcW w:w="0" w:type="auto"/>
            <w:vAlign w:val="center"/>
            <w:hideMark/>
          </w:tcPr>
          <w:p w14:paraId="558A56E8" w14:textId="77777777" w:rsidR="00000000" w:rsidRDefault="00195E73">
            <w:pPr>
              <w:rPr>
                <w:rFonts w:eastAsia="Times New Roman"/>
                <w:sz w:val="20"/>
                <w:szCs w:val="20"/>
              </w:rPr>
            </w:pPr>
          </w:p>
        </w:tc>
        <w:tc>
          <w:tcPr>
            <w:tcW w:w="0" w:type="auto"/>
            <w:vAlign w:val="center"/>
            <w:hideMark/>
          </w:tcPr>
          <w:p w14:paraId="3734F200" w14:textId="77777777" w:rsidR="00000000" w:rsidRDefault="00195E73">
            <w:pPr>
              <w:rPr>
                <w:rFonts w:eastAsia="Times New Roman"/>
                <w:sz w:val="20"/>
                <w:szCs w:val="20"/>
              </w:rPr>
            </w:pPr>
          </w:p>
        </w:tc>
        <w:tc>
          <w:tcPr>
            <w:tcW w:w="0" w:type="auto"/>
            <w:vAlign w:val="center"/>
            <w:hideMark/>
          </w:tcPr>
          <w:p w14:paraId="0534BD2D" w14:textId="77777777" w:rsidR="00000000" w:rsidRDefault="00195E73">
            <w:pPr>
              <w:rPr>
                <w:rFonts w:eastAsia="Times New Roman"/>
                <w:sz w:val="20"/>
                <w:szCs w:val="20"/>
              </w:rPr>
            </w:pPr>
          </w:p>
        </w:tc>
        <w:tc>
          <w:tcPr>
            <w:tcW w:w="0" w:type="auto"/>
            <w:vAlign w:val="center"/>
            <w:hideMark/>
          </w:tcPr>
          <w:p w14:paraId="534A0C49" w14:textId="77777777" w:rsidR="00000000" w:rsidRDefault="00195E73">
            <w:pPr>
              <w:rPr>
                <w:rFonts w:eastAsia="Times New Roman"/>
                <w:sz w:val="20"/>
                <w:szCs w:val="20"/>
              </w:rPr>
            </w:pPr>
          </w:p>
        </w:tc>
        <w:tc>
          <w:tcPr>
            <w:tcW w:w="0" w:type="auto"/>
            <w:vAlign w:val="center"/>
            <w:hideMark/>
          </w:tcPr>
          <w:p w14:paraId="5AC63B69" w14:textId="77777777" w:rsidR="00000000" w:rsidRDefault="00195E73">
            <w:pPr>
              <w:rPr>
                <w:rFonts w:eastAsia="Times New Roman"/>
                <w:sz w:val="20"/>
                <w:szCs w:val="20"/>
              </w:rPr>
            </w:pPr>
          </w:p>
        </w:tc>
        <w:tc>
          <w:tcPr>
            <w:tcW w:w="0" w:type="auto"/>
            <w:vAlign w:val="center"/>
            <w:hideMark/>
          </w:tcPr>
          <w:p w14:paraId="01E224C2" w14:textId="77777777" w:rsidR="00000000" w:rsidRDefault="00195E73">
            <w:pPr>
              <w:rPr>
                <w:rFonts w:eastAsia="Times New Roman"/>
                <w:sz w:val="20"/>
                <w:szCs w:val="20"/>
              </w:rPr>
            </w:pPr>
          </w:p>
        </w:tc>
        <w:tc>
          <w:tcPr>
            <w:tcW w:w="0" w:type="auto"/>
            <w:vAlign w:val="center"/>
            <w:hideMark/>
          </w:tcPr>
          <w:p w14:paraId="5BA8D262" w14:textId="77777777" w:rsidR="00000000" w:rsidRDefault="00195E73">
            <w:pPr>
              <w:rPr>
                <w:rFonts w:eastAsia="Times New Roman"/>
                <w:sz w:val="20"/>
                <w:szCs w:val="20"/>
              </w:rPr>
            </w:pPr>
          </w:p>
        </w:tc>
        <w:tc>
          <w:tcPr>
            <w:tcW w:w="0" w:type="auto"/>
            <w:vAlign w:val="center"/>
            <w:hideMark/>
          </w:tcPr>
          <w:p w14:paraId="769BE460" w14:textId="77777777" w:rsidR="00000000" w:rsidRDefault="00195E73">
            <w:pPr>
              <w:rPr>
                <w:rFonts w:eastAsia="Times New Roman"/>
                <w:sz w:val="20"/>
                <w:szCs w:val="20"/>
              </w:rPr>
            </w:pPr>
          </w:p>
        </w:tc>
        <w:tc>
          <w:tcPr>
            <w:tcW w:w="0" w:type="auto"/>
            <w:vAlign w:val="center"/>
            <w:hideMark/>
          </w:tcPr>
          <w:p w14:paraId="5595217F" w14:textId="77777777" w:rsidR="00000000" w:rsidRDefault="00195E73">
            <w:pPr>
              <w:rPr>
                <w:rFonts w:eastAsia="Times New Roman"/>
                <w:sz w:val="20"/>
                <w:szCs w:val="20"/>
              </w:rPr>
            </w:pPr>
          </w:p>
        </w:tc>
        <w:tc>
          <w:tcPr>
            <w:tcW w:w="0" w:type="auto"/>
            <w:vAlign w:val="center"/>
            <w:hideMark/>
          </w:tcPr>
          <w:p w14:paraId="5532F142" w14:textId="77777777" w:rsidR="00000000" w:rsidRDefault="00195E73">
            <w:pPr>
              <w:rPr>
                <w:rFonts w:eastAsia="Times New Roman"/>
                <w:sz w:val="20"/>
                <w:szCs w:val="20"/>
              </w:rPr>
            </w:pPr>
          </w:p>
        </w:tc>
        <w:tc>
          <w:tcPr>
            <w:tcW w:w="0" w:type="auto"/>
            <w:vAlign w:val="center"/>
            <w:hideMark/>
          </w:tcPr>
          <w:p w14:paraId="1E5E4EF0" w14:textId="77777777" w:rsidR="00000000" w:rsidRDefault="00195E73">
            <w:pPr>
              <w:rPr>
                <w:rFonts w:eastAsia="Times New Roman"/>
                <w:sz w:val="20"/>
                <w:szCs w:val="20"/>
              </w:rPr>
            </w:pPr>
          </w:p>
        </w:tc>
        <w:tc>
          <w:tcPr>
            <w:tcW w:w="0" w:type="auto"/>
            <w:vAlign w:val="center"/>
            <w:hideMark/>
          </w:tcPr>
          <w:p w14:paraId="23071E7D" w14:textId="77777777" w:rsidR="00000000" w:rsidRDefault="00195E73">
            <w:pPr>
              <w:rPr>
                <w:rFonts w:eastAsia="Times New Roman"/>
                <w:sz w:val="20"/>
                <w:szCs w:val="20"/>
              </w:rPr>
            </w:pPr>
          </w:p>
        </w:tc>
        <w:tc>
          <w:tcPr>
            <w:tcW w:w="0" w:type="auto"/>
            <w:vAlign w:val="center"/>
            <w:hideMark/>
          </w:tcPr>
          <w:p w14:paraId="632957F5" w14:textId="77777777" w:rsidR="00000000" w:rsidRDefault="00195E73">
            <w:pPr>
              <w:rPr>
                <w:rFonts w:eastAsia="Times New Roman"/>
                <w:sz w:val="20"/>
                <w:szCs w:val="20"/>
              </w:rPr>
            </w:pPr>
          </w:p>
        </w:tc>
        <w:tc>
          <w:tcPr>
            <w:tcW w:w="0" w:type="auto"/>
            <w:vAlign w:val="center"/>
            <w:hideMark/>
          </w:tcPr>
          <w:p w14:paraId="442034D6" w14:textId="77777777" w:rsidR="00000000" w:rsidRDefault="00195E73">
            <w:pPr>
              <w:rPr>
                <w:rFonts w:eastAsia="Times New Roman"/>
                <w:sz w:val="20"/>
                <w:szCs w:val="20"/>
              </w:rPr>
            </w:pPr>
          </w:p>
        </w:tc>
        <w:tc>
          <w:tcPr>
            <w:tcW w:w="0" w:type="auto"/>
            <w:vAlign w:val="center"/>
            <w:hideMark/>
          </w:tcPr>
          <w:p w14:paraId="2297BFA0" w14:textId="77777777" w:rsidR="00000000" w:rsidRDefault="00195E73">
            <w:pPr>
              <w:rPr>
                <w:rFonts w:eastAsia="Times New Roman"/>
                <w:sz w:val="20"/>
                <w:szCs w:val="20"/>
              </w:rPr>
            </w:pPr>
          </w:p>
        </w:tc>
        <w:tc>
          <w:tcPr>
            <w:tcW w:w="0" w:type="auto"/>
            <w:vAlign w:val="center"/>
            <w:hideMark/>
          </w:tcPr>
          <w:p w14:paraId="329F1459" w14:textId="77777777" w:rsidR="00000000" w:rsidRDefault="00195E73">
            <w:pPr>
              <w:rPr>
                <w:rFonts w:eastAsia="Times New Roman"/>
                <w:sz w:val="20"/>
                <w:szCs w:val="20"/>
              </w:rPr>
            </w:pPr>
          </w:p>
        </w:tc>
        <w:tc>
          <w:tcPr>
            <w:tcW w:w="0" w:type="auto"/>
            <w:vAlign w:val="center"/>
            <w:hideMark/>
          </w:tcPr>
          <w:p w14:paraId="1BDC6F27" w14:textId="77777777" w:rsidR="00000000" w:rsidRDefault="00195E73">
            <w:pPr>
              <w:rPr>
                <w:rFonts w:eastAsia="Times New Roman"/>
                <w:sz w:val="20"/>
                <w:szCs w:val="20"/>
              </w:rPr>
            </w:pPr>
          </w:p>
        </w:tc>
        <w:tc>
          <w:tcPr>
            <w:tcW w:w="0" w:type="auto"/>
            <w:vAlign w:val="center"/>
            <w:hideMark/>
          </w:tcPr>
          <w:p w14:paraId="72A0F651" w14:textId="77777777" w:rsidR="00000000" w:rsidRDefault="00195E73">
            <w:pPr>
              <w:rPr>
                <w:rFonts w:eastAsia="Times New Roman"/>
                <w:sz w:val="20"/>
                <w:szCs w:val="20"/>
              </w:rPr>
            </w:pPr>
          </w:p>
        </w:tc>
      </w:tr>
      <w:tr w:rsidR="00000000" w14:paraId="209157C9" w14:textId="77777777">
        <w:trPr>
          <w:divId w:val="1979872608"/>
          <w:jc w:val="center"/>
        </w:trPr>
        <w:tc>
          <w:tcPr>
            <w:tcW w:w="0" w:type="auto"/>
            <w:gridSpan w:val="3"/>
            <w:shd w:val="clear" w:color="auto" w:fill="CCEEFF"/>
            <w:tcMar>
              <w:top w:w="30" w:type="dxa"/>
              <w:left w:w="20" w:type="dxa"/>
              <w:bottom w:w="30" w:type="dxa"/>
              <w:right w:w="20" w:type="dxa"/>
            </w:tcMar>
            <w:vAlign w:val="bottom"/>
            <w:hideMark/>
          </w:tcPr>
          <w:p w14:paraId="0F88E307" w14:textId="77777777" w:rsidR="00000000" w:rsidRDefault="00195E73">
            <w:pPr>
              <w:rPr>
                <w:rFonts w:eastAsia="Times New Roman"/>
              </w:rPr>
            </w:pPr>
            <w:r>
              <w:rPr>
                <w:rFonts w:eastAsia="Times New Roman"/>
                <w:color w:val="000000"/>
                <w:sz w:val="18"/>
                <w:szCs w:val="18"/>
              </w:rPr>
              <w:t>Changes in subsidiary equity and 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14:paraId="117A3CA4"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197522C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DC4769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06B5E8" w14:textId="77777777" w:rsidR="00000000" w:rsidRDefault="00195E73">
            <w:pPr>
              <w:jc w:val="right"/>
              <w:rPr>
                <w:rFonts w:eastAsia="Times New Roman"/>
              </w:rPr>
            </w:pPr>
            <w:r>
              <w:rPr>
                <w:rFonts w:eastAsia="Times New Roman"/>
                <w:color w:val="000000"/>
                <w:sz w:val="18"/>
                <w:szCs w:val="18"/>
              </w:rPr>
              <w:t>49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D7D557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C442A9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23C351" w14:textId="77777777" w:rsidR="00000000" w:rsidRDefault="00195E73">
            <w:pPr>
              <w:jc w:val="right"/>
              <w:rPr>
                <w:rFonts w:eastAsia="Times New Roman"/>
              </w:rPr>
            </w:pPr>
            <w:r>
              <w:rPr>
                <w:rFonts w:eastAsia="Times New Roman"/>
                <w:color w:val="000000"/>
                <w:sz w:val="18"/>
                <w:szCs w:val="18"/>
              </w:rPr>
              <w:t>50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D08E50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947E96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D211C7" w14:textId="77777777" w:rsidR="00000000" w:rsidRDefault="00195E73">
            <w:pPr>
              <w:jc w:val="right"/>
              <w:rPr>
                <w:rFonts w:eastAsia="Times New Roman"/>
              </w:rPr>
            </w:pPr>
            <w:r>
              <w:rPr>
                <w:rFonts w:eastAsia="Times New Roman"/>
                <w:color w:val="000000"/>
                <w:sz w:val="18"/>
                <w:szCs w:val="18"/>
              </w:rPr>
              <w:t>(342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4400AE5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92D68D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1CF301" w14:textId="77777777" w:rsidR="00000000" w:rsidRDefault="00195E73">
            <w:pPr>
              <w:jc w:val="right"/>
              <w:rPr>
                <w:rFonts w:eastAsia="Times New Roman"/>
              </w:rPr>
            </w:pPr>
            <w:r>
              <w:rPr>
                <w:rFonts w:eastAsia="Times New Roman"/>
                <w:color w:val="000000"/>
                <w:sz w:val="18"/>
                <w:szCs w:val="18"/>
              </w:rPr>
              <w:t>(292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07A3257D"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18E1E1C3" w14:textId="77777777" w:rsidR="00000000" w:rsidRDefault="00195E73">
            <w:pPr>
              <w:rPr>
                <w:rFonts w:eastAsia="Times New Roman"/>
                <w:sz w:val="20"/>
                <w:szCs w:val="20"/>
              </w:rPr>
            </w:pPr>
          </w:p>
        </w:tc>
        <w:tc>
          <w:tcPr>
            <w:tcW w:w="0" w:type="auto"/>
            <w:vAlign w:val="center"/>
            <w:hideMark/>
          </w:tcPr>
          <w:p w14:paraId="2C9EB5E8" w14:textId="77777777" w:rsidR="00000000" w:rsidRDefault="00195E73">
            <w:pPr>
              <w:rPr>
                <w:rFonts w:eastAsia="Times New Roman"/>
                <w:sz w:val="20"/>
                <w:szCs w:val="20"/>
              </w:rPr>
            </w:pPr>
          </w:p>
        </w:tc>
        <w:tc>
          <w:tcPr>
            <w:tcW w:w="0" w:type="auto"/>
            <w:vAlign w:val="center"/>
            <w:hideMark/>
          </w:tcPr>
          <w:p w14:paraId="5FB5445F" w14:textId="77777777" w:rsidR="00000000" w:rsidRDefault="00195E73">
            <w:pPr>
              <w:rPr>
                <w:rFonts w:eastAsia="Times New Roman"/>
                <w:sz w:val="20"/>
                <w:szCs w:val="20"/>
              </w:rPr>
            </w:pPr>
          </w:p>
        </w:tc>
        <w:tc>
          <w:tcPr>
            <w:tcW w:w="0" w:type="auto"/>
            <w:vAlign w:val="center"/>
            <w:hideMark/>
          </w:tcPr>
          <w:p w14:paraId="480CC81A" w14:textId="77777777" w:rsidR="00000000" w:rsidRDefault="00195E73">
            <w:pPr>
              <w:rPr>
                <w:rFonts w:eastAsia="Times New Roman"/>
                <w:sz w:val="20"/>
                <w:szCs w:val="20"/>
              </w:rPr>
            </w:pPr>
          </w:p>
        </w:tc>
        <w:tc>
          <w:tcPr>
            <w:tcW w:w="0" w:type="auto"/>
            <w:vAlign w:val="center"/>
            <w:hideMark/>
          </w:tcPr>
          <w:p w14:paraId="2D657440" w14:textId="77777777" w:rsidR="00000000" w:rsidRDefault="00195E73">
            <w:pPr>
              <w:rPr>
                <w:rFonts w:eastAsia="Times New Roman"/>
                <w:sz w:val="20"/>
                <w:szCs w:val="20"/>
              </w:rPr>
            </w:pPr>
          </w:p>
        </w:tc>
        <w:tc>
          <w:tcPr>
            <w:tcW w:w="0" w:type="auto"/>
            <w:vAlign w:val="center"/>
            <w:hideMark/>
          </w:tcPr>
          <w:p w14:paraId="282976D2" w14:textId="77777777" w:rsidR="00000000" w:rsidRDefault="00195E73">
            <w:pPr>
              <w:rPr>
                <w:rFonts w:eastAsia="Times New Roman"/>
                <w:sz w:val="20"/>
                <w:szCs w:val="20"/>
              </w:rPr>
            </w:pPr>
          </w:p>
        </w:tc>
        <w:tc>
          <w:tcPr>
            <w:tcW w:w="0" w:type="auto"/>
            <w:vAlign w:val="center"/>
            <w:hideMark/>
          </w:tcPr>
          <w:p w14:paraId="59C01946" w14:textId="77777777" w:rsidR="00000000" w:rsidRDefault="00195E73">
            <w:pPr>
              <w:rPr>
                <w:rFonts w:eastAsia="Times New Roman"/>
                <w:sz w:val="20"/>
                <w:szCs w:val="20"/>
              </w:rPr>
            </w:pPr>
          </w:p>
        </w:tc>
        <w:tc>
          <w:tcPr>
            <w:tcW w:w="0" w:type="auto"/>
            <w:vAlign w:val="center"/>
            <w:hideMark/>
          </w:tcPr>
          <w:p w14:paraId="39967B1B" w14:textId="77777777" w:rsidR="00000000" w:rsidRDefault="00195E73">
            <w:pPr>
              <w:rPr>
                <w:rFonts w:eastAsia="Times New Roman"/>
                <w:sz w:val="20"/>
                <w:szCs w:val="20"/>
              </w:rPr>
            </w:pPr>
          </w:p>
        </w:tc>
        <w:tc>
          <w:tcPr>
            <w:tcW w:w="0" w:type="auto"/>
            <w:vAlign w:val="center"/>
            <w:hideMark/>
          </w:tcPr>
          <w:p w14:paraId="5CFD8B21" w14:textId="77777777" w:rsidR="00000000" w:rsidRDefault="00195E73">
            <w:pPr>
              <w:rPr>
                <w:rFonts w:eastAsia="Times New Roman"/>
                <w:sz w:val="20"/>
                <w:szCs w:val="20"/>
              </w:rPr>
            </w:pPr>
          </w:p>
        </w:tc>
        <w:tc>
          <w:tcPr>
            <w:tcW w:w="0" w:type="auto"/>
            <w:vAlign w:val="center"/>
            <w:hideMark/>
          </w:tcPr>
          <w:p w14:paraId="05CF6668" w14:textId="77777777" w:rsidR="00000000" w:rsidRDefault="00195E73">
            <w:pPr>
              <w:rPr>
                <w:rFonts w:eastAsia="Times New Roman"/>
                <w:sz w:val="20"/>
                <w:szCs w:val="20"/>
              </w:rPr>
            </w:pPr>
          </w:p>
        </w:tc>
        <w:tc>
          <w:tcPr>
            <w:tcW w:w="0" w:type="auto"/>
            <w:vAlign w:val="center"/>
            <w:hideMark/>
          </w:tcPr>
          <w:p w14:paraId="0098491A" w14:textId="77777777" w:rsidR="00000000" w:rsidRDefault="00195E73">
            <w:pPr>
              <w:rPr>
                <w:rFonts w:eastAsia="Times New Roman"/>
                <w:sz w:val="20"/>
                <w:szCs w:val="20"/>
              </w:rPr>
            </w:pPr>
          </w:p>
        </w:tc>
        <w:tc>
          <w:tcPr>
            <w:tcW w:w="0" w:type="auto"/>
            <w:vAlign w:val="center"/>
            <w:hideMark/>
          </w:tcPr>
          <w:p w14:paraId="6D390917" w14:textId="77777777" w:rsidR="00000000" w:rsidRDefault="00195E73">
            <w:pPr>
              <w:rPr>
                <w:rFonts w:eastAsia="Times New Roman"/>
                <w:sz w:val="20"/>
                <w:szCs w:val="20"/>
              </w:rPr>
            </w:pPr>
          </w:p>
        </w:tc>
        <w:tc>
          <w:tcPr>
            <w:tcW w:w="0" w:type="auto"/>
            <w:vAlign w:val="center"/>
            <w:hideMark/>
          </w:tcPr>
          <w:p w14:paraId="401E9C5C" w14:textId="77777777" w:rsidR="00000000" w:rsidRDefault="00195E73">
            <w:pPr>
              <w:rPr>
                <w:rFonts w:eastAsia="Times New Roman"/>
                <w:sz w:val="20"/>
                <w:szCs w:val="20"/>
              </w:rPr>
            </w:pPr>
          </w:p>
        </w:tc>
        <w:tc>
          <w:tcPr>
            <w:tcW w:w="0" w:type="auto"/>
            <w:vAlign w:val="center"/>
            <w:hideMark/>
          </w:tcPr>
          <w:p w14:paraId="7161551A" w14:textId="77777777" w:rsidR="00000000" w:rsidRDefault="00195E73">
            <w:pPr>
              <w:rPr>
                <w:rFonts w:eastAsia="Times New Roman"/>
                <w:sz w:val="20"/>
                <w:szCs w:val="20"/>
              </w:rPr>
            </w:pPr>
          </w:p>
        </w:tc>
        <w:tc>
          <w:tcPr>
            <w:tcW w:w="0" w:type="auto"/>
            <w:vAlign w:val="center"/>
            <w:hideMark/>
          </w:tcPr>
          <w:p w14:paraId="3E0AC4ED" w14:textId="77777777" w:rsidR="00000000" w:rsidRDefault="00195E73">
            <w:pPr>
              <w:rPr>
                <w:rFonts w:eastAsia="Times New Roman"/>
                <w:sz w:val="20"/>
                <w:szCs w:val="20"/>
              </w:rPr>
            </w:pPr>
          </w:p>
        </w:tc>
        <w:tc>
          <w:tcPr>
            <w:tcW w:w="0" w:type="auto"/>
            <w:vAlign w:val="center"/>
            <w:hideMark/>
          </w:tcPr>
          <w:p w14:paraId="3E3182F4" w14:textId="77777777" w:rsidR="00000000" w:rsidRDefault="00195E73">
            <w:pPr>
              <w:rPr>
                <w:rFonts w:eastAsia="Times New Roman"/>
                <w:sz w:val="20"/>
                <w:szCs w:val="20"/>
              </w:rPr>
            </w:pPr>
          </w:p>
        </w:tc>
        <w:tc>
          <w:tcPr>
            <w:tcW w:w="0" w:type="auto"/>
            <w:vAlign w:val="center"/>
            <w:hideMark/>
          </w:tcPr>
          <w:p w14:paraId="0C798FBA" w14:textId="77777777" w:rsidR="00000000" w:rsidRDefault="00195E73">
            <w:pPr>
              <w:rPr>
                <w:rFonts w:eastAsia="Times New Roman"/>
                <w:sz w:val="20"/>
                <w:szCs w:val="20"/>
              </w:rPr>
            </w:pPr>
          </w:p>
        </w:tc>
        <w:tc>
          <w:tcPr>
            <w:tcW w:w="0" w:type="auto"/>
            <w:vAlign w:val="center"/>
            <w:hideMark/>
          </w:tcPr>
          <w:p w14:paraId="2E8B982E" w14:textId="77777777" w:rsidR="00000000" w:rsidRDefault="00195E73">
            <w:pPr>
              <w:rPr>
                <w:rFonts w:eastAsia="Times New Roman"/>
                <w:sz w:val="20"/>
                <w:szCs w:val="20"/>
              </w:rPr>
            </w:pPr>
          </w:p>
        </w:tc>
        <w:tc>
          <w:tcPr>
            <w:tcW w:w="0" w:type="auto"/>
            <w:vAlign w:val="center"/>
            <w:hideMark/>
          </w:tcPr>
          <w:p w14:paraId="3C59ECBC" w14:textId="77777777" w:rsidR="00000000" w:rsidRDefault="00195E73">
            <w:pPr>
              <w:rPr>
                <w:rFonts w:eastAsia="Times New Roman"/>
                <w:sz w:val="20"/>
                <w:szCs w:val="20"/>
              </w:rPr>
            </w:pPr>
          </w:p>
        </w:tc>
        <w:tc>
          <w:tcPr>
            <w:tcW w:w="0" w:type="auto"/>
            <w:vAlign w:val="center"/>
            <w:hideMark/>
          </w:tcPr>
          <w:p w14:paraId="60DBC1D6" w14:textId="77777777" w:rsidR="00000000" w:rsidRDefault="00195E73">
            <w:pPr>
              <w:rPr>
                <w:rFonts w:eastAsia="Times New Roman"/>
                <w:sz w:val="20"/>
                <w:szCs w:val="20"/>
              </w:rPr>
            </w:pPr>
          </w:p>
        </w:tc>
        <w:tc>
          <w:tcPr>
            <w:tcW w:w="0" w:type="auto"/>
            <w:vAlign w:val="center"/>
            <w:hideMark/>
          </w:tcPr>
          <w:p w14:paraId="69A80AE7" w14:textId="77777777" w:rsidR="00000000" w:rsidRDefault="00195E73">
            <w:pPr>
              <w:rPr>
                <w:rFonts w:eastAsia="Times New Roman"/>
                <w:sz w:val="20"/>
                <w:szCs w:val="20"/>
              </w:rPr>
            </w:pPr>
          </w:p>
        </w:tc>
        <w:tc>
          <w:tcPr>
            <w:tcW w:w="0" w:type="auto"/>
            <w:vAlign w:val="center"/>
            <w:hideMark/>
          </w:tcPr>
          <w:p w14:paraId="6EB729CA" w14:textId="77777777" w:rsidR="00000000" w:rsidRDefault="00195E73">
            <w:pPr>
              <w:rPr>
                <w:rFonts w:eastAsia="Times New Roman"/>
                <w:sz w:val="20"/>
                <w:szCs w:val="20"/>
              </w:rPr>
            </w:pPr>
          </w:p>
        </w:tc>
        <w:tc>
          <w:tcPr>
            <w:tcW w:w="0" w:type="auto"/>
            <w:vAlign w:val="center"/>
            <w:hideMark/>
          </w:tcPr>
          <w:p w14:paraId="03CB1D7A" w14:textId="77777777" w:rsidR="00000000" w:rsidRDefault="00195E73">
            <w:pPr>
              <w:rPr>
                <w:rFonts w:eastAsia="Times New Roman"/>
                <w:sz w:val="20"/>
                <w:szCs w:val="20"/>
              </w:rPr>
            </w:pPr>
          </w:p>
        </w:tc>
        <w:tc>
          <w:tcPr>
            <w:tcW w:w="0" w:type="auto"/>
            <w:vAlign w:val="center"/>
            <w:hideMark/>
          </w:tcPr>
          <w:p w14:paraId="223684CC" w14:textId="77777777" w:rsidR="00000000" w:rsidRDefault="00195E73">
            <w:pPr>
              <w:rPr>
                <w:rFonts w:eastAsia="Times New Roman"/>
                <w:sz w:val="20"/>
                <w:szCs w:val="20"/>
              </w:rPr>
            </w:pPr>
          </w:p>
        </w:tc>
      </w:tr>
      <w:tr w:rsidR="00000000" w14:paraId="4061177F" w14:textId="77777777">
        <w:trPr>
          <w:divId w:val="1979872608"/>
          <w:jc w:val="center"/>
        </w:trPr>
        <w:tc>
          <w:tcPr>
            <w:tcW w:w="0" w:type="auto"/>
            <w:gridSpan w:val="3"/>
            <w:shd w:val="clear" w:color="auto" w:fill="FFFFFF"/>
            <w:tcMar>
              <w:top w:w="30" w:type="dxa"/>
              <w:left w:w="20" w:type="dxa"/>
              <w:bottom w:w="30" w:type="dxa"/>
              <w:right w:w="20" w:type="dxa"/>
            </w:tcMar>
            <w:vAlign w:val="bottom"/>
            <w:hideMark/>
          </w:tcPr>
          <w:p w14:paraId="02E16D0D" w14:textId="77777777" w:rsidR="00000000" w:rsidRDefault="00195E73">
            <w:pPr>
              <w:rPr>
                <w:rFonts w:eastAsia="Times New Roman"/>
              </w:rPr>
            </w:pPr>
            <w:r>
              <w:rPr>
                <w:rFonts w:eastAsia="Times New Roman"/>
                <w:b/>
                <w:bCs/>
                <w:color w:val="000000"/>
                <w:sz w:val="18"/>
                <w:szCs w:val="18"/>
              </w:rPr>
              <w:t>Balance, December 31, 201</w:t>
            </w:r>
            <w:r>
              <w:rPr>
                <w:rFonts w:eastAsia="Times New Roman"/>
                <w:b/>
                <w:bCs/>
                <w:color w:val="000000"/>
                <w:sz w:val="18"/>
                <w:szCs w:val="18"/>
              </w:rPr>
              <w:t>9</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D213396"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DC4CD40" w14:textId="77777777" w:rsidR="00000000" w:rsidRDefault="00195E73">
            <w:pPr>
              <w:jc w:val="right"/>
              <w:rPr>
                <w:rFonts w:eastAsia="Times New Roman"/>
              </w:rPr>
            </w:pPr>
            <w:r>
              <w:rPr>
                <w:rFonts w:eastAsia="Times New Roman"/>
                <w:color w:val="000000"/>
                <w:sz w:val="18"/>
                <w:szCs w:val="18"/>
              </w:rPr>
              <w:t>(875</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202CCD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07A3876"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BD50293"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45D096F8" w14:textId="77777777" w:rsidR="00000000" w:rsidRDefault="00195E73">
            <w:pPr>
              <w:jc w:val="right"/>
              <w:rPr>
                <w:rFonts w:eastAsia="Times New Roman"/>
              </w:rPr>
            </w:pPr>
            <w:r>
              <w:rPr>
                <w:rFonts w:eastAsia="Times New Roman"/>
                <w:color w:val="000000"/>
                <w:sz w:val="18"/>
                <w:szCs w:val="18"/>
              </w:rPr>
              <w:t>6,328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E3C929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4CFA2CA"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CA4D841"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B090A48" w14:textId="77777777" w:rsidR="00000000" w:rsidRDefault="00195E73">
            <w:pPr>
              <w:jc w:val="right"/>
              <w:rPr>
                <w:rFonts w:eastAsia="Times New Roman"/>
              </w:rPr>
            </w:pPr>
            <w:r>
              <w:rPr>
                <w:rFonts w:eastAsia="Times New Roman"/>
                <w:color w:val="000000"/>
                <w:sz w:val="18"/>
                <w:szCs w:val="18"/>
              </w:rPr>
              <w:t>5,453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4DC4FB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2EBC893"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A7A6ABF"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55DF5D4" w14:textId="77777777" w:rsidR="00000000" w:rsidRDefault="00195E73">
            <w:pPr>
              <w:jc w:val="right"/>
              <w:rPr>
                <w:rFonts w:eastAsia="Times New Roman"/>
              </w:rPr>
            </w:pPr>
            <w:r>
              <w:rPr>
                <w:rFonts w:eastAsia="Times New Roman"/>
                <w:color w:val="000000"/>
                <w:sz w:val="18"/>
                <w:szCs w:val="18"/>
              </w:rPr>
              <w:t>5,486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0ACBB0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D90D749"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89FE522"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9262C7C" w14:textId="77777777" w:rsidR="00000000" w:rsidRDefault="00195E73">
            <w:pPr>
              <w:jc w:val="right"/>
              <w:rPr>
                <w:rFonts w:eastAsia="Times New Roman"/>
              </w:rPr>
            </w:pPr>
            <w:r>
              <w:rPr>
                <w:rFonts w:eastAsia="Times New Roman"/>
                <w:color w:val="000000"/>
                <w:sz w:val="18"/>
                <w:szCs w:val="18"/>
              </w:rPr>
              <w:t>10,939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8855071"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7D6BA5C9" w14:textId="77777777" w:rsidR="00000000" w:rsidRDefault="00195E73">
            <w:pPr>
              <w:rPr>
                <w:rFonts w:eastAsia="Times New Roman"/>
                <w:sz w:val="20"/>
                <w:szCs w:val="20"/>
              </w:rPr>
            </w:pPr>
          </w:p>
        </w:tc>
        <w:tc>
          <w:tcPr>
            <w:tcW w:w="0" w:type="auto"/>
            <w:vAlign w:val="center"/>
            <w:hideMark/>
          </w:tcPr>
          <w:p w14:paraId="25C40CB4" w14:textId="77777777" w:rsidR="00000000" w:rsidRDefault="00195E73">
            <w:pPr>
              <w:rPr>
                <w:rFonts w:eastAsia="Times New Roman"/>
                <w:sz w:val="20"/>
                <w:szCs w:val="20"/>
              </w:rPr>
            </w:pPr>
          </w:p>
        </w:tc>
        <w:tc>
          <w:tcPr>
            <w:tcW w:w="0" w:type="auto"/>
            <w:vAlign w:val="center"/>
            <w:hideMark/>
          </w:tcPr>
          <w:p w14:paraId="6D281274" w14:textId="77777777" w:rsidR="00000000" w:rsidRDefault="00195E73">
            <w:pPr>
              <w:rPr>
                <w:rFonts w:eastAsia="Times New Roman"/>
                <w:sz w:val="20"/>
                <w:szCs w:val="20"/>
              </w:rPr>
            </w:pPr>
          </w:p>
        </w:tc>
        <w:tc>
          <w:tcPr>
            <w:tcW w:w="0" w:type="auto"/>
            <w:vAlign w:val="center"/>
            <w:hideMark/>
          </w:tcPr>
          <w:p w14:paraId="3558EDC4" w14:textId="77777777" w:rsidR="00000000" w:rsidRDefault="00195E73">
            <w:pPr>
              <w:rPr>
                <w:rFonts w:eastAsia="Times New Roman"/>
                <w:sz w:val="20"/>
                <w:szCs w:val="20"/>
              </w:rPr>
            </w:pPr>
          </w:p>
        </w:tc>
        <w:tc>
          <w:tcPr>
            <w:tcW w:w="0" w:type="auto"/>
            <w:vAlign w:val="center"/>
            <w:hideMark/>
          </w:tcPr>
          <w:p w14:paraId="2FA65B56" w14:textId="77777777" w:rsidR="00000000" w:rsidRDefault="00195E73">
            <w:pPr>
              <w:rPr>
                <w:rFonts w:eastAsia="Times New Roman"/>
                <w:sz w:val="20"/>
                <w:szCs w:val="20"/>
              </w:rPr>
            </w:pPr>
          </w:p>
        </w:tc>
        <w:tc>
          <w:tcPr>
            <w:tcW w:w="0" w:type="auto"/>
            <w:vAlign w:val="center"/>
            <w:hideMark/>
          </w:tcPr>
          <w:p w14:paraId="1C0AB1A2" w14:textId="77777777" w:rsidR="00000000" w:rsidRDefault="00195E73">
            <w:pPr>
              <w:rPr>
                <w:rFonts w:eastAsia="Times New Roman"/>
                <w:sz w:val="20"/>
                <w:szCs w:val="20"/>
              </w:rPr>
            </w:pPr>
          </w:p>
        </w:tc>
        <w:tc>
          <w:tcPr>
            <w:tcW w:w="0" w:type="auto"/>
            <w:vAlign w:val="center"/>
            <w:hideMark/>
          </w:tcPr>
          <w:p w14:paraId="614D60F3" w14:textId="77777777" w:rsidR="00000000" w:rsidRDefault="00195E73">
            <w:pPr>
              <w:rPr>
                <w:rFonts w:eastAsia="Times New Roman"/>
                <w:sz w:val="20"/>
                <w:szCs w:val="20"/>
              </w:rPr>
            </w:pPr>
          </w:p>
        </w:tc>
        <w:tc>
          <w:tcPr>
            <w:tcW w:w="0" w:type="auto"/>
            <w:vAlign w:val="center"/>
            <w:hideMark/>
          </w:tcPr>
          <w:p w14:paraId="708D46F5" w14:textId="77777777" w:rsidR="00000000" w:rsidRDefault="00195E73">
            <w:pPr>
              <w:rPr>
                <w:rFonts w:eastAsia="Times New Roman"/>
                <w:sz w:val="20"/>
                <w:szCs w:val="20"/>
              </w:rPr>
            </w:pPr>
          </w:p>
        </w:tc>
        <w:tc>
          <w:tcPr>
            <w:tcW w:w="0" w:type="auto"/>
            <w:vAlign w:val="center"/>
            <w:hideMark/>
          </w:tcPr>
          <w:p w14:paraId="76E8086E" w14:textId="77777777" w:rsidR="00000000" w:rsidRDefault="00195E73">
            <w:pPr>
              <w:rPr>
                <w:rFonts w:eastAsia="Times New Roman"/>
                <w:sz w:val="20"/>
                <w:szCs w:val="20"/>
              </w:rPr>
            </w:pPr>
          </w:p>
        </w:tc>
        <w:tc>
          <w:tcPr>
            <w:tcW w:w="0" w:type="auto"/>
            <w:vAlign w:val="center"/>
            <w:hideMark/>
          </w:tcPr>
          <w:p w14:paraId="3E9865AA" w14:textId="77777777" w:rsidR="00000000" w:rsidRDefault="00195E73">
            <w:pPr>
              <w:rPr>
                <w:rFonts w:eastAsia="Times New Roman"/>
                <w:sz w:val="20"/>
                <w:szCs w:val="20"/>
              </w:rPr>
            </w:pPr>
          </w:p>
        </w:tc>
        <w:tc>
          <w:tcPr>
            <w:tcW w:w="0" w:type="auto"/>
            <w:vAlign w:val="center"/>
            <w:hideMark/>
          </w:tcPr>
          <w:p w14:paraId="7780EE6A" w14:textId="77777777" w:rsidR="00000000" w:rsidRDefault="00195E73">
            <w:pPr>
              <w:rPr>
                <w:rFonts w:eastAsia="Times New Roman"/>
                <w:sz w:val="20"/>
                <w:szCs w:val="20"/>
              </w:rPr>
            </w:pPr>
          </w:p>
        </w:tc>
        <w:tc>
          <w:tcPr>
            <w:tcW w:w="0" w:type="auto"/>
            <w:vAlign w:val="center"/>
            <w:hideMark/>
          </w:tcPr>
          <w:p w14:paraId="28475989" w14:textId="77777777" w:rsidR="00000000" w:rsidRDefault="00195E73">
            <w:pPr>
              <w:rPr>
                <w:rFonts w:eastAsia="Times New Roman"/>
                <w:sz w:val="20"/>
                <w:szCs w:val="20"/>
              </w:rPr>
            </w:pPr>
          </w:p>
        </w:tc>
        <w:tc>
          <w:tcPr>
            <w:tcW w:w="0" w:type="auto"/>
            <w:vAlign w:val="center"/>
            <w:hideMark/>
          </w:tcPr>
          <w:p w14:paraId="5442AE84" w14:textId="77777777" w:rsidR="00000000" w:rsidRDefault="00195E73">
            <w:pPr>
              <w:rPr>
                <w:rFonts w:eastAsia="Times New Roman"/>
                <w:sz w:val="20"/>
                <w:szCs w:val="20"/>
              </w:rPr>
            </w:pPr>
          </w:p>
        </w:tc>
        <w:tc>
          <w:tcPr>
            <w:tcW w:w="0" w:type="auto"/>
            <w:vAlign w:val="center"/>
            <w:hideMark/>
          </w:tcPr>
          <w:p w14:paraId="1D2DDE50" w14:textId="77777777" w:rsidR="00000000" w:rsidRDefault="00195E73">
            <w:pPr>
              <w:rPr>
                <w:rFonts w:eastAsia="Times New Roman"/>
                <w:sz w:val="20"/>
                <w:szCs w:val="20"/>
              </w:rPr>
            </w:pPr>
          </w:p>
        </w:tc>
        <w:tc>
          <w:tcPr>
            <w:tcW w:w="0" w:type="auto"/>
            <w:vAlign w:val="center"/>
            <w:hideMark/>
          </w:tcPr>
          <w:p w14:paraId="03B66D2C" w14:textId="77777777" w:rsidR="00000000" w:rsidRDefault="00195E73">
            <w:pPr>
              <w:rPr>
                <w:rFonts w:eastAsia="Times New Roman"/>
                <w:sz w:val="20"/>
                <w:szCs w:val="20"/>
              </w:rPr>
            </w:pPr>
          </w:p>
        </w:tc>
        <w:tc>
          <w:tcPr>
            <w:tcW w:w="0" w:type="auto"/>
            <w:vAlign w:val="center"/>
            <w:hideMark/>
          </w:tcPr>
          <w:p w14:paraId="0886D6C0" w14:textId="77777777" w:rsidR="00000000" w:rsidRDefault="00195E73">
            <w:pPr>
              <w:rPr>
                <w:rFonts w:eastAsia="Times New Roman"/>
                <w:sz w:val="20"/>
                <w:szCs w:val="20"/>
              </w:rPr>
            </w:pPr>
          </w:p>
        </w:tc>
        <w:tc>
          <w:tcPr>
            <w:tcW w:w="0" w:type="auto"/>
            <w:vAlign w:val="center"/>
            <w:hideMark/>
          </w:tcPr>
          <w:p w14:paraId="37E94C35" w14:textId="77777777" w:rsidR="00000000" w:rsidRDefault="00195E73">
            <w:pPr>
              <w:rPr>
                <w:rFonts w:eastAsia="Times New Roman"/>
                <w:sz w:val="20"/>
                <w:szCs w:val="20"/>
              </w:rPr>
            </w:pPr>
          </w:p>
        </w:tc>
        <w:tc>
          <w:tcPr>
            <w:tcW w:w="0" w:type="auto"/>
            <w:vAlign w:val="center"/>
            <w:hideMark/>
          </w:tcPr>
          <w:p w14:paraId="0C1D5989" w14:textId="77777777" w:rsidR="00000000" w:rsidRDefault="00195E73">
            <w:pPr>
              <w:rPr>
                <w:rFonts w:eastAsia="Times New Roman"/>
                <w:sz w:val="20"/>
                <w:szCs w:val="20"/>
              </w:rPr>
            </w:pPr>
          </w:p>
        </w:tc>
        <w:tc>
          <w:tcPr>
            <w:tcW w:w="0" w:type="auto"/>
            <w:vAlign w:val="center"/>
            <w:hideMark/>
          </w:tcPr>
          <w:p w14:paraId="5D008CCC" w14:textId="77777777" w:rsidR="00000000" w:rsidRDefault="00195E73">
            <w:pPr>
              <w:rPr>
                <w:rFonts w:eastAsia="Times New Roman"/>
                <w:sz w:val="20"/>
                <w:szCs w:val="20"/>
              </w:rPr>
            </w:pPr>
          </w:p>
        </w:tc>
        <w:tc>
          <w:tcPr>
            <w:tcW w:w="0" w:type="auto"/>
            <w:vAlign w:val="center"/>
            <w:hideMark/>
          </w:tcPr>
          <w:p w14:paraId="79265881" w14:textId="77777777" w:rsidR="00000000" w:rsidRDefault="00195E73">
            <w:pPr>
              <w:rPr>
                <w:rFonts w:eastAsia="Times New Roman"/>
                <w:sz w:val="20"/>
                <w:szCs w:val="20"/>
              </w:rPr>
            </w:pPr>
          </w:p>
        </w:tc>
        <w:tc>
          <w:tcPr>
            <w:tcW w:w="0" w:type="auto"/>
            <w:vAlign w:val="center"/>
            <w:hideMark/>
          </w:tcPr>
          <w:p w14:paraId="4F1E4A5E" w14:textId="77777777" w:rsidR="00000000" w:rsidRDefault="00195E73">
            <w:pPr>
              <w:rPr>
                <w:rFonts w:eastAsia="Times New Roman"/>
                <w:sz w:val="20"/>
                <w:szCs w:val="20"/>
              </w:rPr>
            </w:pPr>
          </w:p>
        </w:tc>
        <w:tc>
          <w:tcPr>
            <w:tcW w:w="0" w:type="auto"/>
            <w:vAlign w:val="center"/>
            <w:hideMark/>
          </w:tcPr>
          <w:p w14:paraId="5817DB94" w14:textId="77777777" w:rsidR="00000000" w:rsidRDefault="00195E73">
            <w:pPr>
              <w:rPr>
                <w:rFonts w:eastAsia="Times New Roman"/>
                <w:sz w:val="20"/>
                <w:szCs w:val="20"/>
              </w:rPr>
            </w:pPr>
          </w:p>
        </w:tc>
        <w:tc>
          <w:tcPr>
            <w:tcW w:w="0" w:type="auto"/>
            <w:vAlign w:val="center"/>
            <w:hideMark/>
          </w:tcPr>
          <w:p w14:paraId="264F9808" w14:textId="77777777" w:rsidR="00000000" w:rsidRDefault="00195E73">
            <w:pPr>
              <w:rPr>
                <w:rFonts w:eastAsia="Times New Roman"/>
                <w:sz w:val="20"/>
                <w:szCs w:val="20"/>
              </w:rPr>
            </w:pPr>
          </w:p>
        </w:tc>
        <w:tc>
          <w:tcPr>
            <w:tcW w:w="0" w:type="auto"/>
            <w:vAlign w:val="center"/>
            <w:hideMark/>
          </w:tcPr>
          <w:p w14:paraId="56882786" w14:textId="77777777" w:rsidR="00000000" w:rsidRDefault="00195E73">
            <w:pPr>
              <w:rPr>
                <w:rFonts w:eastAsia="Times New Roman"/>
                <w:sz w:val="20"/>
                <w:szCs w:val="20"/>
              </w:rPr>
            </w:pPr>
          </w:p>
        </w:tc>
      </w:tr>
    </w:tbl>
    <w:p w14:paraId="67CF387A" w14:textId="77777777" w:rsidR="00000000" w:rsidRDefault="00195E73">
      <w:pPr>
        <w:jc w:val="center"/>
        <w:rPr>
          <w:rFonts w:eastAsia="Times New Roman"/>
        </w:rPr>
      </w:pPr>
    </w:p>
    <w:p w14:paraId="13B69C41" w14:textId="77777777" w:rsidR="00000000" w:rsidRDefault="00195E73">
      <w:pPr>
        <w:divId w:val="48379222"/>
        <w:rPr>
          <w:rFonts w:eastAsia="Times New Roman"/>
        </w:rPr>
      </w:pPr>
    </w:p>
    <w:p w14:paraId="5F952DB9" w14:textId="77777777" w:rsidR="00000000" w:rsidRDefault="00195E73">
      <w:pPr>
        <w:jc w:val="center"/>
        <w:rPr>
          <w:rFonts w:eastAsia="Times New Roman"/>
        </w:rPr>
      </w:pPr>
    </w:p>
    <w:p w14:paraId="7907F050" w14:textId="77777777" w:rsidR="00000000" w:rsidRDefault="00195E73">
      <w:pPr>
        <w:jc w:val="center"/>
        <w:rPr>
          <w:rFonts w:eastAsia="Times New Roman"/>
        </w:rPr>
      </w:pPr>
    </w:p>
    <w:p w14:paraId="409B32A9" w14:textId="77777777" w:rsidR="00000000" w:rsidRDefault="00195E73">
      <w:pPr>
        <w:jc w:val="center"/>
        <w:rPr>
          <w:rFonts w:eastAsia="Times New Roman"/>
        </w:rPr>
      </w:pPr>
    </w:p>
    <w:p w14:paraId="1CF35224" w14:textId="77777777" w:rsidR="00000000" w:rsidRDefault="00195E73">
      <w:pPr>
        <w:jc w:val="center"/>
        <w:rPr>
          <w:rFonts w:eastAsia="Times New Roman"/>
        </w:rPr>
      </w:pPr>
    </w:p>
    <w:p w14:paraId="3DA2F343" w14:textId="77777777" w:rsidR="00000000" w:rsidRDefault="00195E73">
      <w:pPr>
        <w:jc w:val="center"/>
        <w:rPr>
          <w:rFonts w:eastAsia="Times New Roman"/>
        </w:rPr>
      </w:pPr>
    </w:p>
    <w:p w14:paraId="2F5B366B" w14:textId="77777777" w:rsidR="00000000" w:rsidRDefault="00195E73">
      <w:pPr>
        <w:jc w:val="center"/>
        <w:rPr>
          <w:rFonts w:eastAsia="Times New Roman"/>
        </w:rPr>
      </w:pPr>
    </w:p>
    <w:p w14:paraId="594381FC" w14:textId="77777777" w:rsidR="00000000" w:rsidRDefault="00195E73">
      <w:pPr>
        <w:jc w:val="center"/>
        <w:rPr>
          <w:rFonts w:eastAsia="Times New Roman"/>
        </w:rPr>
      </w:pPr>
    </w:p>
    <w:p w14:paraId="0DDE7598" w14:textId="77777777" w:rsidR="00000000" w:rsidRDefault="00195E73">
      <w:pPr>
        <w:jc w:val="center"/>
        <w:rPr>
          <w:rFonts w:eastAsia="Times New Roman"/>
        </w:rPr>
      </w:pPr>
    </w:p>
    <w:p w14:paraId="2A5201EA" w14:textId="77777777" w:rsidR="00000000" w:rsidRDefault="00195E73">
      <w:pPr>
        <w:jc w:val="center"/>
        <w:rPr>
          <w:rFonts w:eastAsia="Times New Roman"/>
        </w:rPr>
      </w:pPr>
    </w:p>
    <w:p w14:paraId="2720429B" w14:textId="77777777" w:rsidR="00000000" w:rsidRDefault="00195E73">
      <w:pPr>
        <w:jc w:val="center"/>
        <w:rPr>
          <w:rFonts w:eastAsia="Times New Roman"/>
        </w:rPr>
      </w:pPr>
    </w:p>
    <w:p w14:paraId="1BA7EA8F" w14:textId="77777777" w:rsidR="00000000" w:rsidRDefault="00195E73">
      <w:pPr>
        <w:jc w:val="center"/>
        <w:rPr>
          <w:rFonts w:eastAsia="Times New Roman"/>
        </w:rPr>
      </w:pPr>
      <w:r>
        <w:rPr>
          <w:rFonts w:eastAsia="Times New Roman"/>
          <w:i/>
          <w:iCs/>
          <w:color w:val="000000"/>
          <w:sz w:val="20"/>
          <w:szCs w:val="20"/>
        </w:rPr>
        <w:t>See notes to consolidated financial statements</w:t>
      </w:r>
      <w:r>
        <w:rPr>
          <w:rFonts w:eastAsia="Times New Roman"/>
          <w:i/>
          <w:iCs/>
          <w:color w:val="000000"/>
          <w:sz w:val="20"/>
          <w:szCs w:val="20"/>
        </w:rPr>
        <w:t>.</w:t>
      </w:r>
    </w:p>
    <w:p w14:paraId="13DE36E9" w14:textId="77777777" w:rsidR="00000000" w:rsidRDefault="00195E73">
      <w:pPr>
        <w:jc w:val="center"/>
        <w:divId w:val="1114402826"/>
        <w:rPr>
          <w:rFonts w:eastAsia="Times New Roman"/>
        </w:rPr>
      </w:pPr>
      <w:r>
        <w:rPr>
          <w:rFonts w:eastAsia="Times New Roman"/>
          <w:color w:val="000000"/>
          <w:sz w:val="20"/>
          <w:szCs w:val="20"/>
        </w:rPr>
        <w:t>6</w:t>
      </w:r>
      <w:r>
        <w:rPr>
          <w:rFonts w:eastAsia="Times New Roman"/>
          <w:color w:val="000000"/>
          <w:sz w:val="20"/>
          <w:szCs w:val="20"/>
        </w:rPr>
        <w:t>2</w:t>
      </w:r>
    </w:p>
    <w:p w14:paraId="4EED3CA5" w14:textId="77777777" w:rsidR="00000000" w:rsidRDefault="00195E73">
      <w:pPr>
        <w:rPr>
          <w:rFonts w:eastAsia="Times New Roman"/>
        </w:rPr>
      </w:pPr>
      <w:r>
        <w:rPr>
          <w:rFonts w:eastAsia="Times New Roman"/>
        </w:rPr>
        <w:pict w14:anchorId="76A5F5BF">
          <v:rect id="_x0000_i1088" style="width:0;height:1.5pt" o:hralign="center" o:hrstd="t" o:hr="t" fillcolor="#a0a0a0" stroked="f"/>
        </w:pict>
      </w:r>
    </w:p>
    <w:p w14:paraId="7E3C6206" w14:textId="77777777" w:rsidR="00000000" w:rsidRDefault="00195E73">
      <w:pPr>
        <w:divId w:val="475880082"/>
        <w:rPr>
          <w:rFonts w:eastAsia="Times New Roman"/>
        </w:rPr>
      </w:pPr>
    </w:p>
    <w:p w14:paraId="6D898972" w14:textId="77777777" w:rsidR="00000000" w:rsidRDefault="00195E73">
      <w:pPr>
        <w:jc w:val="center"/>
        <w:divId w:val="1682000719"/>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506AD1A0" w14:textId="77777777" w:rsidR="00000000" w:rsidRDefault="00195E73">
      <w:pPr>
        <w:jc w:val="center"/>
        <w:rPr>
          <w:rFonts w:eastAsia="Times New Roman"/>
        </w:rPr>
      </w:pPr>
      <w:r>
        <w:rPr>
          <w:rFonts w:eastAsia="Times New Roman"/>
          <w:b/>
          <w:bCs/>
          <w:color w:val="000000"/>
          <w:sz w:val="20"/>
          <w:szCs w:val="20"/>
        </w:rPr>
        <w:t>CONSOLIDATED STATEMENTS OF CASH FLOW</w:t>
      </w:r>
      <w:r>
        <w:rPr>
          <w:rFonts w:eastAsia="Times New Roman"/>
          <w:b/>
          <w:bCs/>
          <w:color w:val="000000"/>
          <w:sz w:val="20"/>
          <w:szCs w:val="20"/>
        </w:rPr>
        <w: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4119"/>
        <w:gridCol w:w="60"/>
        <w:gridCol w:w="100"/>
        <w:gridCol w:w="976"/>
        <w:gridCol w:w="68"/>
        <w:gridCol w:w="36"/>
        <w:gridCol w:w="36"/>
        <w:gridCol w:w="41"/>
        <w:gridCol w:w="100"/>
        <w:gridCol w:w="957"/>
        <w:gridCol w:w="68"/>
        <w:gridCol w:w="36"/>
        <w:gridCol w:w="36"/>
        <w:gridCol w:w="41"/>
        <w:gridCol w:w="100"/>
        <w:gridCol w:w="959"/>
        <w:gridCol w:w="68"/>
        <w:gridCol w:w="36"/>
        <w:gridCol w:w="36"/>
        <w:gridCol w:w="36"/>
        <w:gridCol w:w="36"/>
        <w:gridCol w:w="36"/>
        <w:gridCol w:w="36"/>
        <w:gridCol w:w="36"/>
        <w:gridCol w:w="36"/>
        <w:gridCol w:w="36"/>
        <w:gridCol w:w="36"/>
        <w:gridCol w:w="36"/>
        <w:gridCol w:w="36"/>
      </w:tblGrid>
      <w:tr w:rsidR="00000000" w14:paraId="3F05CAF0" w14:textId="77777777">
        <w:trPr>
          <w:gridAfter w:val="12"/>
          <w:divId w:val="963343899"/>
          <w:jc w:val="center"/>
        </w:trPr>
        <w:tc>
          <w:tcPr>
            <w:tcW w:w="50" w:type="pct"/>
            <w:vAlign w:val="center"/>
            <w:hideMark/>
          </w:tcPr>
          <w:p w14:paraId="2CF8C0AA" w14:textId="77777777" w:rsidR="00000000" w:rsidRDefault="00195E73">
            <w:pPr>
              <w:jc w:val="center"/>
              <w:rPr>
                <w:rFonts w:eastAsia="Times New Roman"/>
              </w:rPr>
            </w:pPr>
          </w:p>
        </w:tc>
        <w:tc>
          <w:tcPr>
            <w:tcW w:w="2630" w:type="pct"/>
            <w:vAlign w:val="center"/>
            <w:hideMark/>
          </w:tcPr>
          <w:p w14:paraId="5E0415EB" w14:textId="77777777" w:rsidR="00000000" w:rsidRDefault="00195E73">
            <w:pPr>
              <w:rPr>
                <w:rFonts w:eastAsia="Times New Roman"/>
                <w:sz w:val="20"/>
                <w:szCs w:val="20"/>
              </w:rPr>
            </w:pPr>
          </w:p>
        </w:tc>
        <w:tc>
          <w:tcPr>
            <w:tcW w:w="50" w:type="pct"/>
            <w:vAlign w:val="center"/>
            <w:hideMark/>
          </w:tcPr>
          <w:p w14:paraId="5DC9C23E" w14:textId="77777777" w:rsidR="00000000" w:rsidRDefault="00195E73">
            <w:pPr>
              <w:rPr>
                <w:rFonts w:eastAsia="Times New Roman"/>
                <w:sz w:val="20"/>
                <w:szCs w:val="20"/>
              </w:rPr>
            </w:pPr>
          </w:p>
        </w:tc>
        <w:tc>
          <w:tcPr>
            <w:tcW w:w="50" w:type="pct"/>
            <w:vAlign w:val="center"/>
            <w:hideMark/>
          </w:tcPr>
          <w:p w14:paraId="202DB79E" w14:textId="77777777" w:rsidR="00000000" w:rsidRDefault="00195E73">
            <w:pPr>
              <w:rPr>
                <w:rFonts w:eastAsia="Times New Roman"/>
                <w:sz w:val="20"/>
                <w:szCs w:val="20"/>
              </w:rPr>
            </w:pPr>
          </w:p>
        </w:tc>
        <w:tc>
          <w:tcPr>
            <w:tcW w:w="632" w:type="pct"/>
            <w:vAlign w:val="center"/>
            <w:hideMark/>
          </w:tcPr>
          <w:p w14:paraId="14E9DBE1" w14:textId="77777777" w:rsidR="00000000" w:rsidRDefault="00195E73">
            <w:pPr>
              <w:rPr>
                <w:rFonts w:eastAsia="Times New Roman"/>
                <w:sz w:val="20"/>
                <w:szCs w:val="20"/>
              </w:rPr>
            </w:pPr>
          </w:p>
        </w:tc>
        <w:tc>
          <w:tcPr>
            <w:tcW w:w="50" w:type="pct"/>
            <w:vAlign w:val="center"/>
            <w:hideMark/>
          </w:tcPr>
          <w:p w14:paraId="6AA4F20B" w14:textId="77777777" w:rsidR="00000000" w:rsidRDefault="00195E73">
            <w:pPr>
              <w:rPr>
                <w:rFonts w:eastAsia="Times New Roman"/>
                <w:sz w:val="20"/>
                <w:szCs w:val="20"/>
              </w:rPr>
            </w:pPr>
          </w:p>
        </w:tc>
        <w:tc>
          <w:tcPr>
            <w:tcW w:w="5" w:type="pct"/>
            <w:vAlign w:val="center"/>
            <w:hideMark/>
          </w:tcPr>
          <w:p w14:paraId="54E68FBF" w14:textId="77777777" w:rsidR="00000000" w:rsidRDefault="00195E73">
            <w:pPr>
              <w:rPr>
                <w:rFonts w:eastAsia="Times New Roman"/>
                <w:sz w:val="20"/>
                <w:szCs w:val="20"/>
              </w:rPr>
            </w:pPr>
          </w:p>
        </w:tc>
        <w:tc>
          <w:tcPr>
            <w:tcW w:w="26" w:type="pct"/>
            <w:vAlign w:val="center"/>
            <w:hideMark/>
          </w:tcPr>
          <w:p w14:paraId="2C2586FA" w14:textId="77777777" w:rsidR="00000000" w:rsidRDefault="00195E73">
            <w:pPr>
              <w:rPr>
                <w:rFonts w:eastAsia="Times New Roman"/>
                <w:sz w:val="20"/>
                <w:szCs w:val="20"/>
              </w:rPr>
            </w:pPr>
          </w:p>
        </w:tc>
        <w:tc>
          <w:tcPr>
            <w:tcW w:w="5" w:type="pct"/>
            <w:vAlign w:val="center"/>
            <w:hideMark/>
          </w:tcPr>
          <w:p w14:paraId="36B7F093" w14:textId="77777777" w:rsidR="00000000" w:rsidRDefault="00195E73">
            <w:pPr>
              <w:rPr>
                <w:rFonts w:eastAsia="Times New Roman"/>
                <w:sz w:val="20"/>
                <w:szCs w:val="20"/>
              </w:rPr>
            </w:pPr>
          </w:p>
        </w:tc>
        <w:tc>
          <w:tcPr>
            <w:tcW w:w="50" w:type="pct"/>
            <w:vAlign w:val="center"/>
            <w:hideMark/>
          </w:tcPr>
          <w:p w14:paraId="49950361" w14:textId="77777777" w:rsidR="00000000" w:rsidRDefault="00195E73">
            <w:pPr>
              <w:rPr>
                <w:rFonts w:eastAsia="Times New Roman"/>
                <w:sz w:val="20"/>
                <w:szCs w:val="20"/>
              </w:rPr>
            </w:pPr>
          </w:p>
        </w:tc>
        <w:tc>
          <w:tcPr>
            <w:tcW w:w="632" w:type="pct"/>
            <w:vAlign w:val="center"/>
            <w:hideMark/>
          </w:tcPr>
          <w:p w14:paraId="74AF811E" w14:textId="77777777" w:rsidR="00000000" w:rsidRDefault="00195E73">
            <w:pPr>
              <w:rPr>
                <w:rFonts w:eastAsia="Times New Roman"/>
                <w:sz w:val="20"/>
                <w:szCs w:val="20"/>
              </w:rPr>
            </w:pPr>
          </w:p>
        </w:tc>
        <w:tc>
          <w:tcPr>
            <w:tcW w:w="50" w:type="pct"/>
            <w:vAlign w:val="center"/>
            <w:hideMark/>
          </w:tcPr>
          <w:p w14:paraId="0BF956C9" w14:textId="77777777" w:rsidR="00000000" w:rsidRDefault="00195E73">
            <w:pPr>
              <w:rPr>
                <w:rFonts w:eastAsia="Times New Roman"/>
                <w:sz w:val="20"/>
                <w:szCs w:val="20"/>
              </w:rPr>
            </w:pPr>
          </w:p>
        </w:tc>
        <w:tc>
          <w:tcPr>
            <w:tcW w:w="5" w:type="pct"/>
            <w:vAlign w:val="center"/>
            <w:hideMark/>
          </w:tcPr>
          <w:p w14:paraId="77830C4C" w14:textId="77777777" w:rsidR="00000000" w:rsidRDefault="00195E73">
            <w:pPr>
              <w:rPr>
                <w:rFonts w:eastAsia="Times New Roman"/>
                <w:sz w:val="20"/>
                <w:szCs w:val="20"/>
              </w:rPr>
            </w:pPr>
          </w:p>
        </w:tc>
        <w:tc>
          <w:tcPr>
            <w:tcW w:w="26" w:type="pct"/>
            <w:vAlign w:val="center"/>
            <w:hideMark/>
          </w:tcPr>
          <w:p w14:paraId="797BB10C" w14:textId="77777777" w:rsidR="00000000" w:rsidRDefault="00195E73">
            <w:pPr>
              <w:rPr>
                <w:rFonts w:eastAsia="Times New Roman"/>
                <w:sz w:val="20"/>
                <w:szCs w:val="20"/>
              </w:rPr>
            </w:pPr>
          </w:p>
        </w:tc>
        <w:tc>
          <w:tcPr>
            <w:tcW w:w="5" w:type="pct"/>
            <w:vAlign w:val="center"/>
            <w:hideMark/>
          </w:tcPr>
          <w:p w14:paraId="194419DD" w14:textId="77777777" w:rsidR="00000000" w:rsidRDefault="00195E73">
            <w:pPr>
              <w:rPr>
                <w:rFonts w:eastAsia="Times New Roman"/>
                <w:sz w:val="20"/>
                <w:szCs w:val="20"/>
              </w:rPr>
            </w:pPr>
          </w:p>
        </w:tc>
        <w:tc>
          <w:tcPr>
            <w:tcW w:w="50" w:type="pct"/>
            <w:vAlign w:val="center"/>
            <w:hideMark/>
          </w:tcPr>
          <w:p w14:paraId="64A0FA8A" w14:textId="77777777" w:rsidR="00000000" w:rsidRDefault="00195E73">
            <w:pPr>
              <w:rPr>
                <w:rFonts w:eastAsia="Times New Roman"/>
                <w:sz w:val="20"/>
                <w:szCs w:val="20"/>
              </w:rPr>
            </w:pPr>
          </w:p>
        </w:tc>
        <w:tc>
          <w:tcPr>
            <w:tcW w:w="632" w:type="pct"/>
            <w:vAlign w:val="center"/>
            <w:hideMark/>
          </w:tcPr>
          <w:p w14:paraId="0EB8765F" w14:textId="77777777" w:rsidR="00000000" w:rsidRDefault="00195E73">
            <w:pPr>
              <w:rPr>
                <w:rFonts w:eastAsia="Times New Roman"/>
                <w:sz w:val="20"/>
                <w:szCs w:val="20"/>
              </w:rPr>
            </w:pPr>
          </w:p>
        </w:tc>
        <w:tc>
          <w:tcPr>
            <w:tcW w:w="50" w:type="pct"/>
            <w:vAlign w:val="center"/>
            <w:hideMark/>
          </w:tcPr>
          <w:p w14:paraId="55A1E61D" w14:textId="77777777" w:rsidR="00000000" w:rsidRDefault="00195E73">
            <w:pPr>
              <w:rPr>
                <w:rFonts w:eastAsia="Times New Roman"/>
                <w:sz w:val="20"/>
                <w:szCs w:val="20"/>
              </w:rPr>
            </w:pPr>
          </w:p>
        </w:tc>
      </w:tr>
      <w:tr w:rsidR="00000000" w14:paraId="3368D397" w14:textId="77777777">
        <w:trPr>
          <w:divId w:val="963343899"/>
          <w:jc w:val="center"/>
        </w:trPr>
        <w:tc>
          <w:tcPr>
            <w:tcW w:w="0" w:type="auto"/>
            <w:gridSpan w:val="3"/>
            <w:tcMar>
              <w:top w:w="15" w:type="dxa"/>
              <w:left w:w="20" w:type="dxa"/>
              <w:bottom w:w="15" w:type="dxa"/>
              <w:right w:w="20" w:type="dxa"/>
            </w:tcMar>
            <w:vAlign w:val="bottom"/>
            <w:hideMark/>
          </w:tcPr>
          <w:p w14:paraId="5C47424F"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34C7CAD5" w14:textId="77777777" w:rsidR="00000000" w:rsidRDefault="00195E73">
            <w:pPr>
              <w:jc w:val="center"/>
              <w:rPr>
                <w:rFonts w:eastAsia="Times New Roman"/>
              </w:rPr>
            </w:pPr>
            <w:r>
              <w:rPr>
                <w:rFonts w:eastAsia="Times New Roman"/>
                <w:b/>
                <w:bCs/>
                <w:color w:val="000000"/>
                <w:sz w:val="13"/>
                <w:szCs w:val="13"/>
              </w:rPr>
              <w:t>Year Ended December 31</w:t>
            </w:r>
            <w:r>
              <w:rPr>
                <w:rFonts w:eastAsia="Times New Roman"/>
                <w:b/>
                <w:bCs/>
                <w:color w:val="000000"/>
                <w:sz w:val="13"/>
                <w:szCs w:val="13"/>
              </w:rPr>
              <w:t>,</w:t>
            </w:r>
          </w:p>
        </w:tc>
        <w:tc>
          <w:tcPr>
            <w:tcW w:w="0" w:type="auto"/>
            <w:gridSpan w:val="3"/>
            <w:vAlign w:val="center"/>
            <w:hideMark/>
          </w:tcPr>
          <w:p w14:paraId="6FBD2A10" w14:textId="77777777" w:rsidR="00000000" w:rsidRDefault="00195E73">
            <w:pPr>
              <w:jc w:val="center"/>
              <w:rPr>
                <w:rFonts w:eastAsia="Times New Roman"/>
              </w:rPr>
            </w:pPr>
          </w:p>
        </w:tc>
        <w:tc>
          <w:tcPr>
            <w:tcW w:w="0" w:type="auto"/>
            <w:gridSpan w:val="3"/>
            <w:vAlign w:val="center"/>
            <w:hideMark/>
          </w:tcPr>
          <w:p w14:paraId="47039C1A" w14:textId="77777777" w:rsidR="00000000" w:rsidRDefault="00195E73">
            <w:pPr>
              <w:rPr>
                <w:rFonts w:eastAsia="Times New Roman"/>
                <w:sz w:val="20"/>
                <w:szCs w:val="20"/>
              </w:rPr>
            </w:pPr>
          </w:p>
        </w:tc>
        <w:tc>
          <w:tcPr>
            <w:tcW w:w="0" w:type="auto"/>
            <w:gridSpan w:val="3"/>
            <w:vAlign w:val="center"/>
            <w:hideMark/>
          </w:tcPr>
          <w:p w14:paraId="708867AF" w14:textId="77777777" w:rsidR="00000000" w:rsidRDefault="00195E73">
            <w:pPr>
              <w:rPr>
                <w:rFonts w:eastAsia="Times New Roman"/>
                <w:sz w:val="20"/>
                <w:szCs w:val="20"/>
              </w:rPr>
            </w:pPr>
          </w:p>
        </w:tc>
        <w:tc>
          <w:tcPr>
            <w:tcW w:w="0" w:type="auto"/>
            <w:gridSpan w:val="3"/>
            <w:vAlign w:val="center"/>
            <w:hideMark/>
          </w:tcPr>
          <w:p w14:paraId="3BFEA766" w14:textId="77777777" w:rsidR="00000000" w:rsidRDefault="00195E73">
            <w:pPr>
              <w:rPr>
                <w:rFonts w:eastAsia="Times New Roman"/>
                <w:sz w:val="20"/>
                <w:szCs w:val="20"/>
              </w:rPr>
            </w:pPr>
          </w:p>
        </w:tc>
      </w:tr>
      <w:tr w:rsidR="00000000" w14:paraId="0C340340" w14:textId="77777777">
        <w:trPr>
          <w:divId w:val="963343899"/>
          <w:jc w:val="center"/>
        </w:trPr>
        <w:tc>
          <w:tcPr>
            <w:tcW w:w="0" w:type="auto"/>
            <w:gridSpan w:val="3"/>
            <w:tcMar>
              <w:top w:w="15" w:type="dxa"/>
              <w:left w:w="20" w:type="dxa"/>
              <w:bottom w:w="15" w:type="dxa"/>
              <w:right w:w="20" w:type="dxa"/>
            </w:tcMar>
            <w:vAlign w:val="bottom"/>
            <w:hideMark/>
          </w:tcPr>
          <w:p w14:paraId="578A1209"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6E2B65D" w14:textId="77777777" w:rsidR="00000000" w:rsidRDefault="00195E73">
            <w:pPr>
              <w:jc w:val="center"/>
              <w:rPr>
                <w:rFonts w:eastAsia="Times New Roman"/>
              </w:rPr>
            </w:pPr>
            <w:r>
              <w:rPr>
                <w:rFonts w:eastAsia="Times New Roman"/>
                <w:b/>
                <w:bCs/>
                <w:color w:val="000000"/>
                <w:sz w:val="13"/>
                <w:szCs w:val="13"/>
              </w:rPr>
              <w:t>201</w:t>
            </w:r>
            <w:r>
              <w:rPr>
                <w:rFonts w:eastAsia="Times New Roman"/>
                <w:b/>
                <w:bCs/>
                <w:color w:val="000000"/>
                <w:sz w:val="13"/>
                <w:szCs w:val="13"/>
              </w:rPr>
              <w:t>9</w:t>
            </w:r>
          </w:p>
        </w:tc>
        <w:tc>
          <w:tcPr>
            <w:tcW w:w="0" w:type="auto"/>
            <w:gridSpan w:val="3"/>
            <w:tcBorders>
              <w:top w:val="single" w:sz="8" w:space="0" w:color="000000"/>
            </w:tcBorders>
            <w:tcMar>
              <w:top w:w="15" w:type="dxa"/>
              <w:left w:w="20" w:type="dxa"/>
              <w:bottom w:w="15" w:type="dxa"/>
              <w:right w:w="20" w:type="dxa"/>
            </w:tcMar>
            <w:vAlign w:val="bottom"/>
            <w:hideMark/>
          </w:tcPr>
          <w:p w14:paraId="227AF87C"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29B79B2" w14:textId="77777777" w:rsidR="00000000" w:rsidRDefault="00195E73">
            <w:pPr>
              <w:jc w:val="center"/>
              <w:rPr>
                <w:rFonts w:eastAsia="Times New Roman"/>
              </w:rPr>
            </w:pPr>
            <w:r>
              <w:rPr>
                <w:rFonts w:eastAsia="Times New Roman"/>
                <w:b/>
                <w:bCs/>
                <w:color w:val="000000"/>
                <w:sz w:val="13"/>
                <w:szCs w:val="13"/>
              </w:rPr>
              <w:t>201</w:t>
            </w:r>
            <w:r>
              <w:rPr>
                <w:rFonts w:eastAsia="Times New Roman"/>
                <w:b/>
                <w:bCs/>
                <w:color w:val="000000"/>
                <w:sz w:val="13"/>
                <w:szCs w:val="13"/>
              </w:rPr>
              <w:t>8</w:t>
            </w:r>
          </w:p>
        </w:tc>
        <w:tc>
          <w:tcPr>
            <w:tcW w:w="0" w:type="auto"/>
            <w:gridSpan w:val="3"/>
            <w:tcBorders>
              <w:top w:val="single" w:sz="8" w:space="0" w:color="000000"/>
            </w:tcBorders>
            <w:tcMar>
              <w:top w:w="15" w:type="dxa"/>
              <w:left w:w="20" w:type="dxa"/>
              <w:bottom w:w="15" w:type="dxa"/>
              <w:right w:w="20" w:type="dxa"/>
            </w:tcMar>
            <w:vAlign w:val="bottom"/>
            <w:hideMark/>
          </w:tcPr>
          <w:p w14:paraId="01989AE7"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67B3F59" w14:textId="77777777" w:rsidR="00000000" w:rsidRDefault="00195E73">
            <w:pPr>
              <w:jc w:val="center"/>
              <w:rPr>
                <w:rFonts w:eastAsia="Times New Roman"/>
              </w:rPr>
            </w:pPr>
            <w:r>
              <w:rPr>
                <w:rFonts w:eastAsia="Times New Roman"/>
                <w:b/>
                <w:bCs/>
                <w:color w:val="000000"/>
                <w:sz w:val="13"/>
                <w:szCs w:val="13"/>
              </w:rPr>
              <w:t>201</w:t>
            </w:r>
            <w:r>
              <w:rPr>
                <w:rFonts w:eastAsia="Times New Roman"/>
                <w:b/>
                <w:bCs/>
                <w:color w:val="000000"/>
                <w:sz w:val="13"/>
                <w:szCs w:val="13"/>
              </w:rPr>
              <w:t>7</w:t>
            </w:r>
          </w:p>
        </w:tc>
        <w:tc>
          <w:tcPr>
            <w:tcW w:w="0" w:type="auto"/>
            <w:vAlign w:val="center"/>
            <w:hideMark/>
          </w:tcPr>
          <w:p w14:paraId="513A1259" w14:textId="77777777" w:rsidR="00000000" w:rsidRDefault="00195E73">
            <w:pPr>
              <w:rPr>
                <w:rFonts w:eastAsia="Times New Roman"/>
                <w:sz w:val="20"/>
                <w:szCs w:val="20"/>
              </w:rPr>
            </w:pPr>
          </w:p>
        </w:tc>
        <w:tc>
          <w:tcPr>
            <w:tcW w:w="0" w:type="auto"/>
            <w:vAlign w:val="center"/>
            <w:hideMark/>
          </w:tcPr>
          <w:p w14:paraId="3BDEBD8B" w14:textId="77777777" w:rsidR="00000000" w:rsidRDefault="00195E73">
            <w:pPr>
              <w:rPr>
                <w:rFonts w:eastAsia="Times New Roman"/>
                <w:sz w:val="20"/>
                <w:szCs w:val="20"/>
              </w:rPr>
            </w:pPr>
          </w:p>
        </w:tc>
        <w:tc>
          <w:tcPr>
            <w:tcW w:w="0" w:type="auto"/>
            <w:vAlign w:val="center"/>
            <w:hideMark/>
          </w:tcPr>
          <w:p w14:paraId="6B1A55D6" w14:textId="77777777" w:rsidR="00000000" w:rsidRDefault="00195E73">
            <w:pPr>
              <w:rPr>
                <w:rFonts w:eastAsia="Times New Roman"/>
                <w:sz w:val="20"/>
                <w:szCs w:val="20"/>
              </w:rPr>
            </w:pPr>
          </w:p>
        </w:tc>
        <w:tc>
          <w:tcPr>
            <w:tcW w:w="0" w:type="auto"/>
            <w:vAlign w:val="center"/>
            <w:hideMark/>
          </w:tcPr>
          <w:p w14:paraId="6C5BD280" w14:textId="77777777" w:rsidR="00000000" w:rsidRDefault="00195E73">
            <w:pPr>
              <w:rPr>
                <w:rFonts w:eastAsia="Times New Roman"/>
                <w:sz w:val="20"/>
                <w:szCs w:val="20"/>
              </w:rPr>
            </w:pPr>
          </w:p>
        </w:tc>
        <w:tc>
          <w:tcPr>
            <w:tcW w:w="0" w:type="auto"/>
            <w:vAlign w:val="center"/>
            <w:hideMark/>
          </w:tcPr>
          <w:p w14:paraId="19A757BD" w14:textId="77777777" w:rsidR="00000000" w:rsidRDefault="00195E73">
            <w:pPr>
              <w:rPr>
                <w:rFonts w:eastAsia="Times New Roman"/>
                <w:sz w:val="20"/>
                <w:szCs w:val="20"/>
              </w:rPr>
            </w:pPr>
          </w:p>
        </w:tc>
        <w:tc>
          <w:tcPr>
            <w:tcW w:w="0" w:type="auto"/>
            <w:vAlign w:val="center"/>
            <w:hideMark/>
          </w:tcPr>
          <w:p w14:paraId="43DD9C0A" w14:textId="77777777" w:rsidR="00000000" w:rsidRDefault="00195E73">
            <w:pPr>
              <w:rPr>
                <w:rFonts w:eastAsia="Times New Roman"/>
                <w:sz w:val="20"/>
                <w:szCs w:val="20"/>
              </w:rPr>
            </w:pPr>
          </w:p>
        </w:tc>
        <w:tc>
          <w:tcPr>
            <w:tcW w:w="0" w:type="auto"/>
            <w:vAlign w:val="center"/>
            <w:hideMark/>
          </w:tcPr>
          <w:p w14:paraId="27B8162F" w14:textId="77777777" w:rsidR="00000000" w:rsidRDefault="00195E73">
            <w:pPr>
              <w:rPr>
                <w:rFonts w:eastAsia="Times New Roman"/>
                <w:sz w:val="20"/>
                <w:szCs w:val="20"/>
              </w:rPr>
            </w:pPr>
          </w:p>
        </w:tc>
        <w:tc>
          <w:tcPr>
            <w:tcW w:w="0" w:type="auto"/>
            <w:vAlign w:val="center"/>
            <w:hideMark/>
          </w:tcPr>
          <w:p w14:paraId="5C37C7CA" w14:textId="77777777" w:rsidR="00000000" w:rsidRDefault="00195E73">
            <w:pPr>
              <w:rPr>
                <w:rFonts w:eastAsia="Times New Roman"/>
                <w:sz w:val="20"/>
                <w:szCs w:val="20"/>
              </w:rPr>
            </w:pPr>
          </w:p>
        </w:tc>
        <w:tc>
          <w:tcPr>
            <w:tcW w:w="0" w:type="auto"/>
            <w:vAlign w:val="center"/>
            <w:hideMark/>
          </w:tcPr>
          <w:p w14:paraId="62F86B7E" w14:textId="77777777" w:rsidR="00000000" w:rsidRDefault="00195E73">
            <w:pPr>
              <w:rPr>
                <w:rFonts w:eastAsia="Times New Roman"/>
                <w:sz w:val="20"/>
                <w:szCs w:val="20"/>
              </w:rPr>
            </w:pPr>
          </w:p>
        </w:tc>
        <w:tc>
          <w:tcPr>
            <w:tcW w:w="0" w:type="auto"/>
            <w:vAlign w:val="center"/>
            <w:hideMark/>
          </w:tcPr>
          <w:p w14:paraId="6F40BC2E" w14:textId="77777777" w:rsidR="00000000" w:rsidRDefault="00195E73">
            <w:pPr>
              <w:rPr>
                <w:rFonts w:eastAsia="Times New Roman"/>
                <w:sz w:val="20"/>
                <w:szCs w:val="20"/>
              </w:rPr>
            </w:pPr>
          </w:p>
        </w:tc>
        <w:tc>
          <w:tcPr>
            <w:tcW w:w="0" w:type="auto"/>
            <w:vAlign w:val="center"/>
            <w:hideMark/>
          </w:tcPr>
          <w:p w14:paraId="218010C5" w14:textId="77777777" w:rsidR="00000000" w:rsidRDefault="00195E73">
            <w:pPr>
              <w:rPr>
                <w:rFonts w:eastAsia="Times New Roman"/>
                <w:sz w:val="20"/>
                <w:szCs w:val="20"/>
              </w:rPr>
            </w:pPr>
          </w:p>
        </w:tc>
        <w:tc>
          <w:tcPr>
            <w:tcW w:w="0" w:type="auto"/>
            <w:vAlign w:val="center"/>
            <w:hideMark/>
          </w:tcPr>
          <w:p w14:paraId="49102A4F" w14:textId="77777777" w:rsidR="00000000" w:rsidRDefault="00195E73">
            <w:pPr>
              <w:rPr>
                <w:rFonts w:eastAsia="Times New Roman"/>
                <w:sz w:val="20"/>
                <w:szCs w:val="20"/>
              </w:rPr>
            </w:pPr>
          </w:p>
        </w:tc>
      </w:tr>
      <w:tr w:rsidR="00000000" w14:paraId="26FF9AC8" w14:textId="77777777">
        <w:trPr>
          <w:divId w:val="963343899"/>
          <w:jc w:val="center"/>
        </w:trPr>
        <w:tc>
          <w:tcPr>
            <w:tcW w:w="0" w:type="auto"/>
            <w:gridSpan w:val="3"/>
            <w:tcMar>
              <w:top w:w="30" w:type="dxa"/>
              <w:left w:w="20" w:type="dxa"/>
              <w:bottom w:w="30" w:type="dxa"/>
              <w:right w:w="20" w:type="dxa"/>
            </w:tcMar>
            <w:vAlign w:val="bottom"/>
            <w:hideMark/>
          </w:tcPr>
          <w:p w14:paraId="426D6CF7" w14:textId="77777777" w:rsidR="00000000" w:rsidRDefault="00195E73">
            <w:pPr>
              <w:rPr>
                <w:rFonts w:eastAsia="Times New Roman"/>
              </w:rPr>
            </w:pPr>
            <w:r>
              <w:rPr>
                <w:rFonts w:eastAsia="Times New Roman"/>
                <w:b/>
                <w:bCs/>
                <w:color w:val="000000"/>
                <w:sz w:val="13"/>
                <w:szCs w:val="13"/>
              </w:rPr>
              <w:t>Cash flows from operating activities</w:t>
            </w:r>
            <w:r>
              <w:rPr>
                <w:rFonts w:eastAsia="Times New Roman"/>
                <w:b/>
                <w:bCs/>
                <w:color w:val="000000"/>
                <w:sz w:val="13"/>
                <w:szCs w:val="13"/>
              </w:rPr>
              <w:t>:</w:t>
            </w:r>
          </w:p>
        </w:tc>
        <w:tc>
          <w:tcPr>
            <w:tcW w:w="0" w:type="auto"/>
            <w:gridSpan w:val="15"/>
            <w:tcBorders>
              <w:top w:val="single" w:sz="8" w:space="0" w:color="000000"/>
            </w:tcBorders>
            <w:tcMar>
              <w:top w:w="30" w:type="dxa"/>
              <w:left w:w="20" w:type="dxa"/>
              <w:bottom w:w="30" w:type="dxa"/>
              <w:right w:w="20" w:type="dxa"/>
            </w:tcMar>
            <w:vAlign w:val="bottom"/>
            <w:hideMark/>
          </w:tcPr>
          <w:p w14:paraId="7AFA1AD7" w14:textId="77777777" w:rsidR="00000000" w:rsidRDefault="00195E73">
            <w:pPr>
              <w:jc w:val="center"/>
              <w:rPr>
                <w:rFonts w:eastAsia="Times New Roman"/>
              </w:rPr>
            </w:pPr>
            <w:r>
              <w:rPr>
                <w:rFonts w:eastAsia="Times New Roman"/>
                <w:color w:val="000000"/>
                <w:sz w:val="13"/>
                <w:szCs w:val="13"/>
              </w:rPr>
              <w:t>(In millions</w:t>
            </w:r>
            <w:r>
              <w:rPr>
                <w:rFonts w:eastAsia="Times New Roman"/>
                <w:color w:val="000000"/>
                <w:sz w:val="13"/>
                <w:szCs w:val="13"/>
              </w:rPr>
              <w:t>)</w:t>
            </w:r>
          </w:p>
        </w:tc>
        <w:tc>
          <w:tcPr>
            <w:tcW w:w="0" w:type="auto"/>
            <w:gridSpan w:val="3"/>
            <w:vAlign w:val="center"/>
            <w:hideMark/>
          </w:tcPr>
          <w:p w14:paraId="67E4A583" w14:textId="77777777" w:rsidR="00000000" w:rsidRDefault="00195E73">
            <w:pPr>
              <w:jc w:val="center"/>
              <w:rPr>
                <w:rFonts w:eastAsia="Times New Roman"/>
              </w:rPr>
            </w:pPr>
          </w:p>
        </w:tc>
        <w:tc>
          <w:tcPr>
            <w:tcW w:w="0" w:type="auto"/>
            <w:gridSpan w:val="3"/>
            <w:vAlign w:val="center"/>
            <w:hideMark/>
          </w:tcPr>
          <w:p w14:paraId="49AE72B9" w14:textId="77777777" w:rsidR="00000000" w:rsidRDefault="00195E73">
            <w:pPr>
              <w:rPr>
                <w:rFonts w:eastAsia="Times New Roman"/>
                <w:sz w:val="20"/>
                <w:szCs w:val="20"/>
              </w:rPr>
            </w:pPr>
          </w:p>
        </w:tc>
        <w:tc>
          <w:tcPr>
            <w:tcW w:w="0" w:type="auto"/>
            <w:gridSpan w:val="3"/>
            <w:vAlign w:val="center"/>
            <w:hideMark/>
          </w:tcPr>
          <w:p w14:paraId="4473FEC5" w14:textId="77777777" w:rsidR="00000000" w:rsidRDefault="00195E73">
            <w:pPr>
              <w:rPr>
                <w:rFonts w:eastAsia="Times New Roman"/>
                <w:sz w:val="20"/>
                <w:szCs w:val="20"/>
              </w:rPr>
            </w:pPr>
          </w:p>
        </w:tc>
        <w:tc>
          <w:tcPr>
            <w:tcW w:w="0" w:type="auto"/>
            <w:gridSpan w:val="3"/>
            <w:vAlign w:val="center"/>
            <w:hideMark/>
          </w:tcPr>
          <w:p w14:paraId="3101A40F" w14:textId="77777777" w:rsidR="00000000" w:rsidRDefault="00195E73">
            <w:pPr>
              <w:rPr>
                <w:rFonts w:eastAsia="Times New Roman"/>
                <w:sz w:val="20"/>
                <w:szCs w:val="20"/>
              </w:rPr>
            </w:pPr>
          </w:p>
        </w:tc>
      </w:tr>
      <w:tr w:rsidR="00000000" w14:paraId="0BEB88DC"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36E1C180" w14:textId="77777777" w:rsidR="00000000" w:rsidRDefault="00195E73">
            <w:pPr>
              <w:rPr>
                <w:rFonts w:eastAsia="Times New Roman"/>
              </w:rPr>
            </w:pPr>
            <w:r>
              <w:rPr>
                <w:rFonts w:eastAsia="Times New Roman"/>
                <w:color w:val="000000"/>
                <w:sz w:val="13"/>
                <w:szCs w:val="13"/>
              </w:rPr>
              <w:t>Net (loss) incom</w:t>
            </w:r>
            <w:r>
              <w:rPr>
                <w:rFonts w:eastAsia="Times New Roman"/>
                <w:color w:val="000000"/>
                <w:sz w:val="13"/>
                <w:szCs w:val="13"/>
              </w:rPr>
              <w:t>e</w:t>
            </w:r>
          </w:p>
        </w:tc>
        <w:tc>
          <w:tcPr>
            <w:tcW w:w="0" w:type="auto"/>
            <w:shd w:val="clear" w:color="auto" w:fill="CCEEFF"/>
            <w:tcMar>
              <w:top w:w="30" w:type="dxa"/>
              <w:left w:w="20" w:type="dxa"/>
              <w:bottom w:w="30" w:type="dxa"/>
              <w:right w:w="15" w:type="dxa"/>
            </w:tcMar>
            <w:vAlign w:val="bottom"/>
            <w:hideMark/>
          </w:tcPr>
          <w:p w14:paraId="0DC912FC" w14:textId="77777777" w:rsidR="00000000" w:rsidRDefault="00195E73">
            <w:pPr>
              <w:rPr>
                <w:rFonts w:eastAsia="Times New Roman"/>
              </w:rPr>
            </w:pPr>
            <w:r>
              <w:rPr>
                <w:rFonts w:eastAsia="Times New Roman"/>
                <w:color w:val="000000"/>
                <w:sz w:val="13"/>
                <w:szCs w:val="13"/>
              </w:rPr>
              <w:t>$</w:t>
            </w:r>
          </w:p>
        </w:tc>
        <w:tc>
          <w:tcPr>
            <w:tcW w:w="0" w:type="auto"/>
            <w:shd w:val="clear" w:color="auto" w:fill="CCEEFF"/>
            <w:tcMar>
              <w:top w:w="30" w:type="dxa"/>
              <w:left w:w="15" w:type="dxa"/>
              <w:bottom w:w="30" w:type="dxa"/>
              <w:right w:w="0" w:type="dxa"/>
            </w:tcMar>
            <w:vAlign w:val="bottom"/>
            <w:hideMark/>
          </w:tcPr>
          <w:p w14:paraId="75EA0BF6" w14:textId="77777777" w:rsidR="00000000" w:rsidRDefault="00195E73">
            <w:pPr>
              <w:jc w:val="right"/>
              <w:rPr>
                <w:rFonts w:eastAsia="Times New Roman"/>
              </w:rPr>
            </w:pPr>
            <w:r>
              <w:rPr>
                <w:rFonts w:eastAsia="Times New Roman"/>
                <w:color w:val="000000"/>
                <w:sz w:val="13"/>
                <w:szCs w:val="13"/>
              </w:rPr>
              <w:t>(1,790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2ED9C1F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72F32C9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603AE51" w14:textId="77777777" w:rsidR="00000000" w:rsidRDefault="00195E73">
            <w:pPr>
              <w:rPr>
                <w:rFonts w:eastAsia="Times New Roman"/>
              </w:rPr>
            </w:pPr>
            <w:r>
              <w:rPr>
                <w:rFonts w:eastAsia="Times New Roman"/>
                <w:color w:val="000000"/>
                <w:sz w:val="13"/>
                <w:szCs w:val="13"/>
              </w:rPr>
              <w:t>$</w:t>
            </w:r>
          </w:p>
        </w:tc>
        <w:tc>
          <w:tcPr>
            <w:tcW w:w="0" w:type="auto"/>
            <w:shd w:val="clear" w:color="auto" w:fill="CCEEFF"/>
            <w:tcMar>
              <w:top w:w="30" w:type="dxa"/>
              <w:left w:w="15" w:type="dxa"/>
              <w:bottom w:w="30" w:type="dxa"/>
              <w:right w:w="0" w:type="dxa"/>
            </w:tcMar>
            <w:vAlign w:val="bottom"/>
            <w:hideMark/>
          </w:tcPr>
          <w:p w14:paraId="064362A0" w14:textId="77777777" w:rsidR="00000000" w:rsidRDefault="00195E73">
            <w:pPr>
              <w:jc w:val="right"/>
              <w:rPr>
                <w:rFonts w:eastAsia="Times New Roman"/>
              </w:rPr>
            </w:pPr>
            <w:r>
              <w:rPr>
                <w:rFonts w:eastAsia="Times New Roman"/>
                <w:color w:val="000000"/>
                <w:sz w:val="13"/>
                <w:szCs w:val="13"/>
              </w:rPr>
              <w:t>2,002</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22B37B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2F054C0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942C5F7" w14:textId="77777777" w:rsidR="00000000" w:rsidRDefault="00195E73">
            <w:pPr>
              <w:rPr>
                <w:rFonts w:eastAsia="Times New Roman"/>
              </w:rPr>
            </w:pPr>
            <w:r>
              <w:rPr>
                <w:rFonts w:eastAsia="Times New Roman"/>
                <w:color w:val="000000"/>
                <w:sz w:val="13"/>
                <w:szCs w:val="13"/>
              </w:rPr>
              <w:t>$</w:t>
            </w:r>
          </w:p>
        </w:tc>
        <w:tc>
          <w:tcPr>
            <w:tcW w:w="0" w:type="auto"/>
            <w:shd w:val="clear" w:color="auto" w:fill="CCEEFF"/>
            <w:tcMar>
              <w:top w:w="30" w:type="dxa"/>
              <w:left w:w="15" w:type="dxa"/>
              <w:bottom w:w="30" w:type="dxa"/>
              <w:right w:w="0" w:type="dxa"/>
            </w:tcMar>
            <w:vAlign w:val="bottom"/>
            <w:hideMark/>
          </w:tcPr>
          <w:p w14:paraId="11B186A0" w14:textId="77777777" w:rsidR="00000000" w:rsidRDefault="00195E73">
            <w:pPr>
              <w:jc w:val="right"/>
              <w:rPr>
                <w:rFonts w:eastAsia="Times New Roman"/>
              </w:rPr>
            </w:pPr>
            <w:r>
              <w:rPr>
                <w:rFonts w:eastAsia="Times New Roman"/>
                <w:color w:val="000000"/>
                <w:sz w:val="13"/>
                <w:szCs w:val="13"/>
              </w:rPr>
              <w:t>2,634</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2865F32"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7FEEE69" w14:textId="77777777" w:rsidR="00000000" w:rsidRDefault="00195E73">
            <w:pPr>
              <w:rPr>
                <w:rFonts w:eastAsia="Times New Roman"/>
                <w:sz w:val="20"/>
                <w:szCs w:val="20"/>
              </w:rPr>
            </w:pPr>
          </w:p>
        </w:tc>
        <w:tc>
          <w:tcPr>
            <w:tcW w:w="0" w:type="auto"/>
            <w:vAlign w:val="center"/>
            <w:hideMark/>
          </w:tcPr>
          <w:p w14:paraId="6A0D058A" w14:textId="77777777" w:rsidR="00000000" w:rsidRDefault="00195E73">
            <w:pPr>
              <w:rPr>
                <w:rFonts w:eastAsia="Times New Roman"/>
                <w:sz w:val="20"/>
                <w:szCs w:val="20"/>
              </w:rPr>
            </w:pPr>
          </w:p>
        </w:tc>
        <w:tc>
          <w:tcPr>
            <w:tcW w:w="0" w:type="auto"/>
            <w:vAlign w:val="center"/>
            <w:hideMark/>
          </w:tcPr>
          <w:p w14:paraId="109A5F58" w14:textId="77777777" w:rsidR="00000000" w:rsidRDefault="00195E73">
            <w:pPr>
              <w:rPr>
                <w:rFonts w:eastAsia="Times New Roman"/>
                <w:sz w:val="20"/>
                <w:szCs w:val="20"/>
              </w:rPr>
            </w:pPr>
          </w:p>
        </w:tc>
        <w:tc>
          <w:tcPr>
            <w:tcW w:w="0" w:type="auto"/>
            <w:vAlign w:val="center"/>
            <w:hideMark/>
          </w:tcPr>
          <w:p w14:paraId="0D486F24" w14:textId="77777777" w:rsidR="00000000" w:rsidRDefault="00195E73">
            <w:pPr>
              <w:rPr>
                <w:rFonts w:eastAsia="Times New Roman"/>
                <w:sz w:val="20"/>
                <w:szCs w:val="20"/>
              </w:rPr>
            </w:pPr>
          </w:p>
        </w:tc>
        <w:tc>
          <w:tcPr>
            <w:tcW w:w="0" w:type="auto"/>
            <w:vAlign w:val="center"/>
            <w:hideMark/>
          </w:tcPr>
          <w:p w14:paraId="2EDC6616" w14:textId="77777777" w:rsidR="00000000" w:rsidRDefault="00195E73">
            <w:pPr>
              <w:rPr>
                <w:rFonts w:eastAsia="Times New Roman"/>
                <w:sz w:val="20"/>
                <w:szCs w:val="20"/>
              </w:rPr>
            </w:pPr>
          </w:p>
        </w:tc>
        <w:tc>
          <w:tcPr>
            <w:tcW w:w="0" w:type="auto"/>
            <w:vAlign w:val="center"/>
            <w:hideMark/>
          </w:tcPr>
          <w:p w14:paraId="584521B3" w14:textId="77777777" w:rsidR="00000000" w:rsidRDefault="00195E73">
            <w:pPr>
              <w:rPr>
                <w:rFonts w:eastAsia="Times New Roman"/>
                <w:sz w:val="20"/>
                <w:szCs w:val="20"/>
              </w:rPr>
            </w:pPr>
          </w:p>
        </w:tc>
        <w:tc>
          <w:tcPr>
            <w:tcW w:w="0" w:type="auto"/>
            <w:vAlign w:val="center"/>
            <w:hideMark/>
          </w:tcPr>
          <w:p w14:paraId="6F2AA358" w14:textId="77777777" w:rsidR="00000000" w:rsidRDefault="00195E73">
            <w:pPr>
              <w:rPr>
                <w:rFonts w:eastAsia="Times New Roman"/>
                <w:sz w:val="20"/>
                <w:szCs w:val="20"/>
              </w:rPr>
            </w:pPr>
          </w:p>
        </w:tc>
        <w:tc>
          <w:tcPr>
            <w:tcW w:w="0" w:type="auto"/>
            <w:vAlign w:val="center"/>
            <w:hideMark/>
          </w:tcPr>
          <w:p w14:paraId="51C96692" w14:textId="77777777" w:rsidR="00000000" w:rsidRDefault="00195E73">
            <w:pPr>
              <w:rPr>
                <w:rFonts w:eastAsia="Times New Roman"/>
                <w:sz w:val="20"/>
                <w:szCs w:val="20"/>
              </w:rPr>
            </w:pPr>
          </w:p>
        </w:tc>
        <w:tc>
          <w:tcPr>
            <w:tcW w:w="0" w:type="auto"/>
            <w:vAlign w:val="center"/>
            <w:hideMark/>
          </w:tcPr>
          <w:p w14:paraId="3670D5C4" w14:textId="77777777" w:rsidR="00000000" w:rsidRDefault="00195E73">
            <w:pPr>
              <w:rPr>
                <w:rFonts w:eastAsia="Times New Roman"/>
                <w:sz w:val="20"/>
                <w:szCs w:val="20"/>
              </w:rPr>
            </w:pPr>
          </w:p>
        </w:tc>
        <w:tc>
          <w:tcPr>
            <w:tcW w:w="0" w:type="auto"/>
            <w:vAlign w:val="center"/>
            <w:hideMark/>
          </w:tcPr>
          <w:p w14:paraId="21C59B2B" w14:textId="77777777" w:rsidR="00000000" w:rsidRDefault="00195E73">
            <w:pPr>
              <w:rPr>
                <w:rFonts w:eastAsia="Times New Roman"/>
                <w:sz w:val="20"/>
                <w:szCs w:val="20"/>
              </w:rPr>
            </w:pPr>
          </w:p>
        </w:tc>
        <w:tc>
          <w:tcPr>
            <w:tcW w:w="0" w:type="auto"/>
            <w:vAlign w:val="center"/>
            <w:hideMark/>
          </w:tcPr>
          <w:p w14:paraId="34DE87BB" w14:textId="77777777" w:rsidR="00000000" w:rsidRDefault="00195E73">
            <w:pPr>
              <w:rPr>
                <w:rFonts w:eastAsia="Times New Roman"/>
                <w:sz w:val="20"/>
                <w:szCs w:val="20"/>
              </w:rPr>
            </w:pPr>
          </w:p>
        </w:tc>
        <w:tc>
          <w:tcPr>
            <w:tcW w:w="0" w:type="auto"/>
            <w:vAlign w:val="center"/>
            <w:hideMark/>
          </w:tcPr>
          <w:p w14:paraId="5809D2DF" w14:textId="77777777" w:rsidR="00000000" w:rsidRDefault="00195E73">
            <w:pPr>
              <w:rPr>
                <w:rFonts w:eastAsia="Times New Roman"/>
                <w:sz w:val="20"/>
                <w:szCs w:val="20"/>
              </w:rPr>
            </w:pPr>
          </w:p>
        </w:tc>
      </w:tr>
      <w:tr w:rsidR="00000000" w14:paraId="5195CC1A" w14:textId="77777777">
        <w:trPr>
          <w:divId w:val="963343899"/>
          <w:jc w:val="center"/>
        </w:trPr>
        <w:tc>
          <w:tcPr>
            <w:tcW w:w="0" w:type="auto"/>
            <w:gridSpan w:val="3"/>
            <w:shd w:val="clear" w:color="auto" w:fill="FFFFFF"/>
            <w:tcMar>
              <w:top w:w="30" w:type="dxa"/>
              <w:left w:w="90" w:type="dxa"/>
              <w:bottom w:w="30" w:type="dxa"/>
              <w:right w:w="20" w:type="dxa"/>
            </w:tcMar>
            <w:vAlign w:val="bottom"/>
            <w:hideMark/>
          </w:tcPr>
          <w:p w14:paraId="65EE1D36" w14:textId="77777777" w:rsidR="00000000" w:rsidRDefault="00195E73">
            <w:pPr>
              <w:rPr>
                <w:rFonts w:eastAsia="Times New Roman"/>
              </w:rPr>
            </w:pPr>
            <w:r>
              <w:rPr>
                <w:rFonts w:eastAsia="Times New Roman"/>
                <w:color w:val="000000"/>
                <w:sz w:val="13"/>
                <w:szCs w:val="13"/>
              </w:rPr>
              <w:t>Adjustments to reconcile net (loss) income to net cash (used in) provided by operating activities</w:t>
            </w:r>
            <w:r>
              <w:rPr>
                <w:rFonts w:eastAsia="Times New Roman"/>
                <w:color w:val="000000"/>
                <w:sz w:val="13"/>
                <w:szCs w:val="13"/>
              </w:rPr>
              <w:t>:</w:t>
            </w:r>
          </w:p>
        </w:tc>
        <w:tc>
          <w:tcPr>
            <w:tcW w:w="0" w:type="auto"/>
            <w:gridSpan w:val="3"/>
            <w:shd w:val="clear" w:color="auto" w:fill="FFFFFF"/>
            <w:tcMar>
              <w:top w:w="15" w:type="dxa"/>
              <w:left w:w="20" w:type="dxa"/>
              <w:bottom w:w="15" w:type="dxa"/>
              <w:right w:w="20" w:type="dxa"/>
            </w:tcMar>
            <w:vAlign w:val="bottom"/>
            <w:hideMark/>
          </w:tcPr>
          <w:p w14:paraId="7AE390C8"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73645A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81A572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58E645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2AB0F2E" w14:textId="77777777" w:rsidR="00000000" w:rsidRDefault="00195E73">
            <w:pPr>
              <w:rPr>
                <w:rFonts w:eastAsia="Times New Roman"/>
                <w:sz w:val="20"/>
                <w:szCs w:val="20"/>
              </w:rPr>
            </w:pPr>
          </w:p>
        </w:tc>
        <w:tc>
          <w:tcPr>
            <w:tcW w:w="0" w:type="auto"/>
            <w:vAlign w:val="center"/>
            <w:hideMark/>
          </w:tcPr>
          <w:p w14:paraId="67722170" w14:textId="77777777" w:rsidR="00000000" w:rsidRDefault="00195E73">
            <w:pPr>
              <w:rPr>
                <w:rFonts w:eastAsia="Times New Roman"/>
                <w:sz w:val="20"/>
                <w:szCs w:val="20"/>
              </w:rPr>
            </w:pPr>
          </w:p>
        </w:tc>
        <w:tc>
          <w:tcPr>
            <w:tcW w:w="0" w:type="auto"/>
            <w:vAlign w:val="center"/>
            <w:hideMark/>
          </w:tcPr>
          <w:p w14:paraId="2079BBB4" w14:textId="77777777" w:rsidR="00000000" w:rsidRDefault="00195E73">
            <w:pPr>
              <w:rPr>
                <w:rFonts w:eastAsia="Times New Roman"/>
                <w:sz w:val="20"/>
                <w:szCs w:val="20"/>
              </w:rPr>
            </w:pPr>
          </w:p>
        </w:tc>
        <w:tc>
          <w:tcPr>
            <w:tcW w:w="0" w:type="auto"/>
            <w:vAlign w:val="center"/>
            <w:hideMark/>
          </w:tcPr>
          <w:p w14:paraId="79229F16" w14:textId="77777777" w:rsidR="00000000" w:rsidRDefault="00195E73">
            <w:pPr>
              <w:rPr>
                <w:rFonts w:eastAsia="Times New Roman"/>
                <w:sz w:val="20"/>
                <w:szCs w:val="20"/>
              </w:rPr>
            </w:pPr>
          </w:p>
        </w:tc>
        <w:tc>
          <w:tcPr>
            <w:tcW w:w="0" w:type="auto"/>
            <w:vAlign w:val="center"/>
            <w:hideMark/>
          </w:tcPr>
          <w:p w14:paraId="403DFFC2" w14:textId="77777777" w:rsidR="00000000" w:rsidRDefault="00195E73">
            <w:pPr>
              <w:rPr>
                <w:rFonts w:eastAsia="Times New Roman"/>
                <w:sz w:val="20"/>
                <w:szCs w:val="20"/>
              </w:rPr>
            </w:pPr>
          </w:p>
        </w:tc>
        <w:tc>
          <w:tcPr>
            <w:tcW w:w="0" w:type="auto"/>
            <w:vAlign w:val="center"/>
            <w:hideMark/>
          </w:tcPr>
          <w:p w14:paraId="25899D8E" w14:textId="77777777" w:rsidR="00000000" w:rsidRDefault="00195E73">
            <w:pPr>
              <w:rPr>
                <w:rFonts w:eastAsia="Times New Roman"/>
                <w:sz w:val="20"/>
                <w:szCs w:val="20"/>
              </w:rPr>
            </w:pPr>
          </w:p>
        </w:tc>
        <w:tc>
          <w:tcPr>
            <w:tcW w:w="0" w:type="auto"/>
            <w:vAlign w:val="center"/>
            <w:hideMark/>
          </w:tcPr>
          <w:p w14:paraId="2B6E0F87" w14:textId="77777777" w:rsidR="00000000" w:rsidRDefault="00195E73">
            <w:pPr>
              <w:rPr>
                <w:rFonts w:eastAsia="Times New Roman"/>
                <w:sz w:val="20"/>
                <w:szCs w:val="20"/>
              </w:rPr>
            </w:pPr>
          </w:p>
        </w:tc>
        <w:tc>
          <w:tcPr>
            <w:tcW w:w="0" w:type="auto"/>
            <w:vAlign w:val="center"/>
            <w:hideMark/>
          </w:tcPr>
          <w:p w14:paraId="385677B3" w14:textId="77777777" w:rsidR="00000000" w:rsidRDefault="00195E73">
            <w:pPr>
              <w:rPr>
                <w:rFonts w:eastAsia="Times New Roman"/>
                <w:sz w:val="20"/>
                <w:szCs w:val="20"/>
              </w:rPr>
            </w:pPr>
          </w:p>
        </w:tc>
        <w:tc>
          <w:tcPr>
            <w:tcW w:w="0" w:type="auto"/>
            <w:vAlign w:val="center"/>
            <w:hideMark/>
          </w:tcPr>
          <w:p w14:paraId="683AD6B5" w14:textId="77777777" w:rsidR="00000000" w:rsidRDefault="00195E73">
            <w:pPr>
              <w:rPr>
                <w:rFonts w:eastAsia="Times New Roman"/>
                <w:sz w:val="20"/>
                <w:szCs w:val="20"/>
              </w:rPr>
            </w:pPr>
          </w:p>
        </w:tc>
        <w:tc>
          <w:tcPr>
            <w:tcW w:w="0" w:type="auto"/>
            <w:vAlign w:val="center"/>
            <w:hideMark/>
          </w:tcPr>
          <w:p w14:paraId="344BBEF0" w14:textId="77777777" w:rsidR="00000000" w:rsidRDefault="00195E73">
            <w:pPr>
              <w:rPr>
                <w:rFonts w:eastAsia="Times New Roman"/>
                <w:sz w:val="20"/>
                <w:szCs w:val="20"/>
              </w:rPr>
            </w:pPr>
          </w:p>
        </w:tc>
        <w:tc>
          <w:tcPr>
            <w:tcW w:w="0" w:type="auto"/>
            <w:vAlign w:val="center"/>
            <w:hideMark/>
          </w:tcPr>
          <w:p w14:paraId="58E8C737" w14:textId="77777777" w:rsidR="00000000" w:rsidRDefault="00195E73">
            <w:pPr>
              <w:rPr>
                <w:rFonts w:eastAsia="Times New Roman"/>
                <w:sz w:val="20"/>
                <w:szCs w:val="20"/>
              </w:rPr>
            </w:pPr>
          </w:p>
        </w:tc>
        <w:tc>
          <w:tcPr>
            <w:tcW w:w="0" w:type="auto"/>
            <w:vAlign w:val="center"/>
            <w:hideMark/>
          </w:tcPr>
          <w:p w14:paraId="752F7480" w14:textId="77777777" w:rsidR="00000000" w:rsidRDefault="00195E73">
            <w:pPr>
              <w:rPr>
                <w:rFonts w:eastAsia="Times New Roman"/>
                <w:sz w:val="20"/>
                <w:szCs w:val="20"/>
              </w:rPr>
            </w:pPr>
          </w:p>
        </w:tc>
        <w:tc>
          <w:tcPr>
            <w:tcW w:w="0" w:type="auto"/>
            <w:vAlign w:val="center"/>
            <w:hideMark/>
          </w:tcPr>
          <w:p w14:paraId="38954571" w14:textId="77777777" w:rsidR="00000000" w:rsidRDefault="00195E73">
            <w:pPr>
              <w:rPr>
                <w:rFonts w:eastAsia="Times New Roman"/>
                <w:sz w:val="20"/>
                <w:szCs w:val="20"/>
              </w:rPr>
            </w:pPr>
          </w:p>
        </w:tc>
      </w:tr>
      <w:tr w:rsidR="00000000" w14:paraId="2C2F3931" w14:textId="77777777">
        <w:trPr>
          <w:divId w:val="963343899"/>
          <w:jc w:val="center"/>
        </w:trPr>
        <w:tc>
          <w:tcPr>
            <w:tcW w:w="0" w:type="auto"/>
            <w:gridSpan w:val="3"/>
            <w:shd w:val="clear" w:color="auto" w:fill="CCEEFF"/>
            <w:tcMar>
              <w:top w:w="30" w:type="dxa"/>
              <w:left w:w="90" w:type="dxa"/>
              <w:bottom w:w="30" w:type="dxa"/>
              <w:right w:w="20" w:type="dxa"/>
            </w:tcMar>
            <w:vAlign w:val="bottom"/>
            <w:hideMark/>
          </w:tcPr>
          <w:p w14:paraId="7AC3E94B" w14:textId="77777777" w:rsidR="00000000" w:rsidRDefault="00195E73">
            <w:pPr>
              <w:rPr>
                <w:rFonts w:eastAsia="Times New Roman"/>
              </w:rPr>
            </w:pPr>
            <w:r>
              <w:rPr>
                <w:rFonts w:eastAsia="Times New Roman"/>
                <w:color w:val="000000"/>
                <w:sz w:val="13"/>
                <w:szCs w:val="13"/>
              </w:rPr>
              <w:t>Income from discontinued operation</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48D9D902" w14:textId="77777777" w:rsidR="00000000" w:rsidRDefault="00195E73">
            <w:pPr>
              <w:jc w:val="right"/>
              <w:rPr>
                <w:rFonts w:eastAsia="Times New Roman"/>
              </w:rPr>
            </w:pPr>
            <w:r>
              <w:rPr>
                <w:rFonts w:eastAsia="Times New Roman"/>
                <w:color w:val="000000"/>
                <w:sz w:val="13"/>
                <w:szCs w:val="13"/>
              </w:rPr>
              <w:t>32</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866F7D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513E01D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D87030" w14:textId="77777777" w:rsidR="00000000" w:rsidRDefault="00195E73">
            <w:pPr>
              <w:jc w:val="right"/>
              <w:rPr>
                <w:rFonts w:eastAsia="Times New Roman"/>
              </w:rPr>
            </w:pPr>
            <w:r>
              <w:rPr>
                <w:rFonts w:eastAsia="Times New Roman"/>
                <w:color w:val="000000"/>
                <w:sz w:val="13"/>
                <w:szCs w:val="13"/>
              </w:rPr>
              <w:t>(1,764</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5454C34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52D4F6A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0644EC" w14:textId="77777777" w:rsidR="00000000" w:rsidRDefault="00195E73">
            <w:pPr>
              <w:jc w:val="right"/>
              <w:rPr>
                <w:rFonts w:eastAsia="Times New Roman"/>
              </w:rPr>
            </w:pPr>
            <w:r>
              <w:rPr>
                <w:rFonts w:eastAsia="Times New Roman"/>
                <w:color w:val="000000"/>
                <w:sz w:val="13"/>
                <w:szCs w:val="13"/>
              </w:rPr>
              <w:t>(234</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3E8EE1AF"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0A74C926" w14:textId="77777777" w:rsidR="00000000" w:rsidRDefault="00195E73">
            <w:pPr>
              <w:rPr>
                <w:rFonts w:eastAsia="Times New Roman"/>
                <w:sz w:val="20"/>
                <w:szCs w:val="20"/>
              </w:rPr>
            </w:pPr>
          </w:p>
        </w:tc>
        <w:tc>
          <w:tcPr>
            <w:tcW w:w="0" w:type="auto"/>
            <w:vAlign w:val="center"/>
            <w:hideMark/>
          </w:tcPr>
          <w:p w14:paraId="3D5570BA" w14:textId="77777777" w:rsidR="00000000" w:rsidRDefault="00195E73">
            <w:pPr>
              <w:rPr>
                <w:rFonts w:eastAsia="Times New Roman"/>
                <w:sz w:val="20"/>
                <w:szCs w:val="20"/>
              </w:rPr>
            </w:pPr>
          </w:p>
        </w:tc>
        <w:tc>
          <w:tcPr>
            <w:tcW w:w="0" w:type="auto"/>
            <w:vAlign w:val="center"/>
            <w:hideMark/>
          </w:tcPr>
          <w:p w14:paraId="11D252B6" w14:textId="77777777" w:rsidR="00000000" w:rsidRDefault="00195E73">
            <w:pPr>
              <w:rPr>
                <w:rFonts w:eastAsia="Times New Roman"/>
                <w:sz w:val="20"/>
                <w:szCs w:val="20"/>
              </w:rPr>
            </w:pPr>
          </w:p>
        </w:tc>
        <w:tc>
          <w:tcPr>
            <w:tcW w:w="0" w:type="auto"/>
            <w:vAlign w:val="center"/>
            <w:hideMark/>
          </w:tcPr>
          <w:p w14:paraId="4CBBBA00" w14:textId="77777777" w:rsidR="00000000" w:rsidRDefault="00195E73">
            <w:pPr>
              <w:rPr>
                <w:rFonts w:eastAsia="Times New Roman"/>
                <w:sz w:val="20"/>
                <w:szCs w:val="20"/>
              </w:rPr>
            </w:pPr>
          </w:p>
        </w:tc>
        <w:tc>
          <w:tcPr>
            <w:tcW w:w="0" w:type="auto"/>
            <w:vAlign w:val="center"/>
            <w:hideMark/>
          </w:tcPr>
          <w:p w14:paraId="58DB8071" w14:textId="77777777" w:rsidR="00000000" w:rsidRDefault="00195E73">
            <w:pPr>
              <w:rPr>
                <w:rFonts w:eastAsia="Times New Roman"/>
                <w:sz w:val="20"/>
                <w:szCs w:val="20"/>
              </w:rPr>
            </w:pPr>
          </w:p>
        </w:tc>
        <w:tc>
          <w:tcPr>
            <w:tcW w:w="0" w:type="auto"/>
            <w:vAlign w:val="center"/>
            <w:hideMark/>
          </w:tcPr>
          <w:p w14:paraId="77DB6536" w14:textId="77777777" w:rsidR="00000000" w:rsidRDefault="00195E73">
            <w:pPr>
              <w:rPr>
                <w:rFonts w:eastAsia="Times New Roman"/>
                <w:sz w:val="20"/>
                <w:szCs w:val="20"/>
              </w:rPr>
            </w:pPr>
          </w:p>
        </w:tc>
        <w:tc>
          <w:tcPr>
            <w:tcW w:w="0" w:type="auto"/>
            <w:vAlign w:val="center"/>
            <w:hideMark/>
          </w:tcPr>
          <w:p w14:paraId="36C6B39E" w14:textId="77777777" w:rsidR="00000000" w:rsidRDefault="00195E73">
            <w:pPr>
              <w:rPr>
                <w:rFonts w:eastAsia="Times New Roman"/>
                <w:sz w:val="20"/>
                <w:szCs w:val="20"/>
              </w:rPr>
            </w:pPr>
          </w:p>
        </w:tc>
        <w:tc>
          <w:tcPr>
            <w:tcW w:w="0" w:type="auto"/>
            <w:vAlign w:val="center"/>
            <w:hideMark/>
          </w:tcPr>
          <w:p w14:paraId="7FE5768E" w14:textId="77777777" w:rsidR="00000000" w:rsidRDefault="00195E73">
            <w:pPr>
              <w:rPr>
                <w:rFonts w:eastAsia="Times New Roman"/>
                <w:sz w:val="20"/>
                <w:szCs w:val="20"/>
              </w:rPr>
            </w:pPr>
          </w:p>
        </w:tc>
        <w:tc>
          <w:tcPr>
            <w:tcW w:w="0" w:type="auto"/>
            <w:vAlign w:val="center"/>
            <w:hideMark/>
          </w:tcPr>
          <w:p w14:paraId="210234B4" w14:textId="77777777" w:rsidR="00000000" w:rsidRDefault="00195E73">
            <w:pPr>
              <w:rPr>
                <w:rFonts w:eastAsia="Times New Roman"/>
                <w:sz w:val="20"/>
                <w:szCs w:val="20"/>
              </w:rPr>
            </w:pPr>
          </w:p>
        </w:tc>
        <w:tc>
          <w:tcPr>
            <w:tcW w:w="0" w:type="auto"/>
            <w:vAlign w:val="center"/>
            <w:hideMark/>
          </w:tcPr>
          <w:p w14:paraId="6CAC8E77" w14:textId="77777777" w:rsidR="00000000" w:rsidRDefault="00195E73">
            <w:pPr>
              <w:rPr>
                <w:rFonts w:eastAsia="Times New Roman"/>
                <w:sz w:val="20"/>
                <w:szCs w:val="20"/>
              </w:rPr>
            </w:pPr>
          </w:p>
        </w:tc>
        <w:tc>
          <w:tcPr>
            <w:tcW w:w="0" w:type="auto"/>
            <w:vAlign w:val="center"/>
            <w:hideMark/>
          </w:tcPr>
          <w:p w14:paraId="32E26A76" w14:textId="77777777" w:rsidR="00000000" w:rsidRDefault="00195E73">
            <w:pPr>
              <w:rPr>
                <w:rFonts w:eastAsia="Times New Roman"/>
                <w:sz w:val="20"/>
                <w:szCs w:val="20"/>
              </w:rPr>
            </w:pPr>
          </w:p>
        </w:tc>
        <w:tc>
          <w:tcPr>
            <w:tcW w:w="0" w:type="auto"/>
            <w:vAlign w:val="center"/>
            <w:hideMark/>
          </w:tcPr>
          <w:p w14:paraId="331AF4D4" w14:textId="77777777" w:rsidR="00000000" w:rsidRDefault="00195E73">
            <w:pPr>
              <w:rPr>
                <w:rFonts w:eastAsia="Times New Roman"/>
                <w:sz w:val="20"/>
                <w:szCs w:val="20"/>
              </w:rPr>
            </w:pPr>
          </w:p>
        </w:tc>
      </w:tr>
      <w:tr w:rsidR="00000000" w14:paraId="59397F68" w14:textId="77777777">
        <w:trPr>
          <w:divId w:val="963343899"/>
          <w:jc w:val="center"/>
        </w:trPr>
        <w:tc>
          <w:tcPr>
            <w:tcW w:w="0" w:type="auto"/>
            <w:gridSpan w:val="3"/>
            <w:shd w:val="clear" w:color="auto" w:fill="FFFFFF"/>
            <w:tcMar>
              <w:top w:w="30" w:type="dxa"/>
              <w:left w:w="90" w:type="dxa"/>
              <w:bottom w:w="30" w:type="dxa"/>
              <w:right w:w="20" w:type="dxa"/>
            </w:tcMar>
            <w:vAlign w:val="bottom"/>
            <w:hideMark/>
          </w:tcPr>
          <w:p w14:paraId="2AB1CDEA" w14:textId="77777777" w:rsidR="00000000" w:rsidRDefault="00195E73">
            <w:pPr>
              <w:rPr>
                <w:rFonts w:eastAsia="Times New Roman"/>
              </w:rPr>
            </w:pPr>
            <w:r>
              <w:rPr>
                <w:rFonts w:eastAsia="Times New Roman"/>
                <w:color w:val="000000"/>
                <w:sz w:val="13"/>
                <w:szCs w:val="13"/>
              </w:rPr>
              <w:t>Net (gain) loss from securities transaction</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02355DEE" w14:textId="77777777" w:rsidR="00000000" w:rsidRDefault="00195E73">
            <w:pPr>
              <w:jc w:val="right"/>
              <w:rPr>
                <w:rFonts w:eastAsia="Times New Roman"/>
              </w:rPr>
            </w:pPr>
            <w:r>
              <w:rPr>
                <w:rFonts w:eastAsia="Times New Roman"/>
                <w:color w:val="000000"/>
                <w:sz w:val="13"/>
                <w:szCs w:val="13"/>
              </w:rPr>
              <w:t>(570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546137B8"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0A379E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880DD4" w14:textId="77777777" w:rsidR="00000000" w:rsidRDefault="00195E73">
            <w:pPr>
              <w:jc w:val="right"/>
              <w:rPr>
                <w:rFonts w:eastAsia="Times New Roman"/>
              </w:rPr>
            </w:pPr>
            <w:r>
              <w:rPr>
                <w:rFonts w:eastAsia="Times New Roman"/>
                <w:color w:val="000000"/>
                <w:sz w:val="13"/>
                <w:szCs w:val="13"/>
              </w:rPr>
              <w:t>476</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2087240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7B7D17B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03FA7D" w14:textId="77777777" w:rsidR="00000000" w:rsidRDefault="00195E73">
            <w:pPr>
              <w:jc w:val="right"/>
              <w:rPr>
                <w:rFonts w:eastAsia="Times New Roman"/>
              </w:rPr>
            </w:pPr>
            <w:r>
              <w:rPr>
                <w:rFonts w:eastAsia="Times New Roman"/>
                <w:color w:val="000000"/>
                <w:sz w:val="13"/>
                <w:szCs w:val="13"/>
              </w:rPr>
              <w:t>(2,273</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78AD3EA3"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2948DA05" w14:textId="77777777" w:rsidR="00000000" w:rsidRDefault="00195E73">
            <w:pPr>
              <w:rPr>
                <w:rFonts w:eastAsia="Times New Roman"/>
                <w:sz w:val="20"/>
                <w:szCs w:val="20"/>
              </w:rPr>
            </w:pPr>
          </w:p>
        </w:tc>
        <w:tc>
          <w:tcPr>
            <w:tcW w:w="0" w:type="auto"/>
            <w:vAlign w:val="center"/>
            <w:hideMark/>
          </w:tcPr>
          <w:p w14:paraId="6AE0AD62" w14:textId="77777777" w:rsidR="00000000" w:rsidRDefault="00195E73">
            <w:pPr>
              <w:rPr>
                <w:rFonts w:eastAsia="Times New Roman"/>
                <w:sz w:val="20"/>
                <w:szCs w:val="20"/>
              </w:rPr>
            </w:pPr>
          </w:p>
        </w:tc>
        <w:tc>
          <w:tcPr>
            <w:tcW w:w="0" w:type="auto"/>
            <w:vAlign w:val="center"/>
            <w:hideMark/>
          </w:tcPr>
          <w:p w14:paraId="486871F3" w14:textId="77777777" w:rsidR="00000000" w:rsidRDefault="00195E73">
            <w:pPr>
              <w:rPr>
                <w:rFonts w:eastAsia="Times New Roman"/>
                <w:sz w:val="20"/>
                <w:szCs w:val="20"/>
              </w:rPr>
            </w:pPr>
          </w:p>
        </w:tc>
        <w:tc>
          <w:tcPr>
            <w:tcW w:w="0" w:type="auto"/>
            <w:vAlign w:val="center"/>
            <w:hideMark/>
          </w:tcPr>
          <w:p w14:paraId="69E8601A" w14:textId="77777777" w:rsidR="00000000" w:rsidRDefault="00195E73">
            <w:pPr>
              <w:rPr>
                <w:rFonts w:eastAsia="Times New Roman"/>
                <w:sz w:val="20"/>
                <w:szCs w:val="20"/>
              </w:rPr>
            </w:pPr>
          </w:p>
        </w:tc>
        <w:tc>
          <w:tcPr>
            <w:tcW w:w="0" w:type="auto"/>
            <w:vAlign w:val="center"/>
            <w:hideMark/>
          </w:tcPr>
          <w:p w14:paraId="12BBA3B5" w14:textId="77777777" w:rsidR="00000000" w:rsidRDefault="00195E73">
            <w:pPr>
              <w:rPr>
                <w:rFonts w:eastAsia="Times New Roman"/>
                <w:sz w:val="20"/>
                <w:szCs w:val="20"/>
              </w:rPr>
            </w:pPr>
          </w:p>
        </w:tc>
        <w:tc>
          <w:tcPr>
            <w:tcW w:w="0" w:type="auto"/>
            <w:vAlign w:val="center"/>
            <w:hideMark/>
          </w:tcPr>
          <w:p w14:paraId="43841D90" w14:textId="77777777" w:rsidR="00000000" w:rsidRDefault="00195E73">
            <w:pPr>
              <w:rPr>
                <w:rFonts w:eastAsia="Times New Roman"/>
                <w:sz w:val="20"/>
                <w:szCs w:val="20"/>
              </w:rPr>
            </w:pPr>
          </w:p>
        </w:tc>
        <w:tc>
          <w:tcPr>
            <w:tcW w:w="0" w:type="auto"/>
            <w:vAlign w:val="center"/>
            <w:hideMark/>
          </w:tcPr>
          <w:p w14:paraId="3E6EE9BD" w14:textId="77777777" w:rsidR="00000000" w:rsidRDefault="00195E73">
            <w:pPr>
              <w:rPr>
                <w:rFonts w:eastAsia="Times New Roman"/>
                <w:sz w:val="20"/>
                <w:szCs w:val="20"/>
              </w:rPr>
            </w:pPr>
          </w:p>
        </w:tc>
        <w:tc>
          <w:tcPr>
            <w:tcW w:w="0" w:type="auto"/>
            <w:vAlign w:val="center"/>
            <w:hideMark/>
          </w:tcPr>
          <w:p w14:paraId="4009DBFD" w14:textId="77777777" w:rsidR="00000000" w:rsidRDefault="00195E73">
            <w:pPr>
              <w:rPr>
                <w:rFonts w:eastAsia="Times New Roman"/>
                <w:sz w:val="20"/>
                <w:szCs w:val="20"/>
              </w:rPr>
            </w:pPr>
          </w:p>
        </w:tc>
        <w:tc>
          <w:tcPr>
            <w:tcW w:w="0" w:type="auto"/>
            <w:vAlign w:val="center"/>
            <w:hideMark/>
          </w:tcPr>
          <w:p w14:paraId="55495B11" w14:textId="77777777" w:rsidR="00000000" w:rsidRDefault="00195E73">
            <w:pPr>
              <w:rPr>
                <w:rFonts w:eastAsia="Times New Roman"/>
                <w:sz w:val="20"/>
                <w:szCs w:val="20"/>
              </w:rPr>
            </w:pPr>
          </w:p>
        </w:tc>
        <w:tc>
          <w:tcPr>
            <w:tcW w:w="0" w:type="auto"/>
            <w:vAlign w:val="center"/>
            <w:hideMark/>
          </w:tcPr>
          <w:p w14:paraId="7A377310" w14:textId="77777777" w:rsidR="00000000" w:rsidRDefault="00195E73">
            <w:pPr>
              <w:rPr>
                <w:rFonts w:eastAsia="Times New Roman"/>
                <w:sz w:val="20"/>
                <w:szCs w:val="20"/>
              </w:rPr>
            </w:pPr>
          </w:p>
        </w:tc>
        <w:tc>
          <w:tcPr>
            <w:tcW w:w="0" w:type="auto"/>
            <w:vAlign w:val="center"/>
            <w:hideMark/>
          </w:tcPr>
          <w:p w14:paraId="3C462F7D" w14:textId="77777777" w:rsidR="00000000" w:rsidRDefault="00195E73">
            <w:pPr>
              <w:rPr>
                <w:rFonts w:eastAsia="Times New Roman"/>
                <w:sz w:val="20"/>
                <w:szCs w:val="20"/>
              </w:rPr>
            </w:pPr>
          </w:p>
        </w:tc>
        <w:tc>
          <w:tcPr>
            <w:tcW w:w="0" w:type="auto"/>
            <w:vAlign w:val="center"/>
            <w:hideMark/>
          </w:tcPr>
          <w:p w14:paraId="6B989FDB" w14:textId="77777777" w:rsidR="00000000" w:rsidRDefault="00195E73">
            <w:pPr>
              <w:rPr>
                <w:rFonts w:eastAsia="Times New Roman"/>
                <w:sz w:val="20"/>
                <w:szCs w:val="20"/>
              </w:rPr>
            </w:pPr>
          </w:p>
        </w:tc>
      </w:tr>
      <w:tr w:rsidR="00000000" w14:paraId="20B5CD0E"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0DD99386" w14:textId="77777777" w:rsidR="00000000" w:rsidRDefault="00195E73">
            <w:pPr>
              <w:ind w:firstLine="90"/>
              <w:divId w:val="1179347746"/>
              <w:rPr>
                <w:rFonts w:eastAsia="Times New Roman"/>
              </w:rPr>
            </w:pPr>
            <w:r>
              <w:rPr>
                <w:rFonts w:eastAsia="Times New Roman"/>
                <w:color w:val="000000"/>
                <w:sz w:val="13"/>
                <w:szCs w:val="13"/>
              </w:rPr>
              <w:t>Purchases of securitie</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6EFD2DE1" w14:textId="77777777" w:rsidR="00000000" w:rsidRDefault="00195E73">
            <w:pPr>
              <w:jc w:val="right"/>
              <w:rPr>
                <w:rFonts w:eastAsia="Times New Roman"/>
              </w:rPr>
            </w:pPr>
            <w:r>
              <w:rPr>
                <w:rFonts w:eastAsia="Times New Roman"/>
                <w:color w:val="000000"/>
                <w:sz w:val="13"/>
                <w:szCs w:val="13"/>
              </w:rPr>
              <w:t>(4,948</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1D60568"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A9A133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DFF3CE" w14:textId="77777777" w:rsidR="00000000" w:rsidRDefault="00195E73">
            <w:pPr>
              <w:jc w:val="right"/>
              <w:rPr>
                <w:rFonts w:eastAsia="Times New Roman"/>
              </w:rPr>
            </w:pPr>
            <w:r>
              <w:rPr>
                <w:rFonts w:eastAsia="Times New Roman"/>
                <w:color w:val="000000"/>
                <w:sz w:val="13"/>
                <w:szCs w:val="13"/>
              </w:rPr>
              <w:t>(4,810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519919F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7985F81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8C5325" w14:textId="77777777" w:rsidR="00000000" w:rsidRDefault="00195E73">
            <w:pPr>
              <w:jc w:val="right"/>
              <w:rPr>
                <w:rFonts w:eastAsia="Times New Roman"/>
              </w:rPr>
            </w:pPr>
            <w:r>
              <w:rPr>
                <w:rFonts w:eastAsia="Times New Roman"/>
                <w:color w:val="000000"/>
                <w:sz w:val="13"/>
                <w:szCs w:val="13"/>
              </w:rPr>
              <w:t>(781</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595E676A"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15B23776" w14:textId="77777777" w:rsidR="00000000" w:rsidRDefault="00195E73">
            <w:pPr>
              <w:rPr>
                <w:rFonts w:eastAsia="Times New Roman"/>
                <w:sz w:val="20"/>
                <w:szCs w:val="20"/>
              </w:rPr>
            </w:pPr>
          </w:p>
        </w:tc>
        <w:tc>
          <w:tcPr>
            <w:tcW w:w="0" w:type="auto"/>
            <w:vAlign w:val="center"/>
            <w:hideMark/>
          </w:tcPr>
          <w:p w14:paraId="71065732" w14:textId="77777777" w:rsidR="00000000" w:rsidRDefault="00195E73">
            <w:pPr>
              <w:rPr>
                <w:rFonts w:eastAsia="Times New Roman"/>
                <w:sz w:val="20"/>
                <w:szCs w:val="20"/>
              </w:rPr>
            </w:pPr>
          </w:p>
        </w:tc>
        <w:tc>
          <w:tcPr>
            <w:tcW w:w="0" w:type="auto"/>
            <w:vAlign w:val="center"/>
            <w:hideMark/>
          </w:tcPr>
          <w:p w14:paraId="1B4C153F" w14:textId="77777777" w:rsidR="00000000" w:rsidRDefault="00195E73">
            <w:pPr>
              <w:rPr>
                <w:rFonts w:eastAsia="Times New Roman"/>
                <w:sz w:val="20"/>
                <w:szCs w:val="20"/>
              </w:rPr>
            </w:pPr>
          </w:p>
        </w:tc>
        <w:tc>
          <w:tcPr>
            <w:tcW w:w="0" w:type="auto"/>
            <w:vAlign w:val="center"/>
            <w:hideMark/>
          </w:tcPr>
          <w:p w14:paraId="50D7E3EF" w14:textId="77777777" w:rsidR="00000000" w:rsidRDefault="00195E73">
            <w:pPr>
              <w:rPr>
                <w:rFonts w:eastAsia="Times New Roman"/>
                <w:sz w:val="20"/>
                <w:szCs w:val="20"/>
              </w:rPr>
            </w:pPr>
          </w:p>
        </w:tc>
        <w:tc>
          <w:tcPr>
            <w:tcW w:w="0" w:type="auto"/>
            <w:vAlign w:val="center"/>
            <w:hideMark/>
          </w:tcPr>
          <w:p w14:paraId="05501DB2" w14:textId="77777777" w:rsidR="00000000" w:rsidRDefault="00195E73">
            <w:pPr>
              <w:rPr>
                <w:rFonts w:eastAsia="Times New Roman"/>
                <w:sz w:val="20"/>
                <w:szCs w:val="20"/>
              </w:rPr>
            </w:pPr>
          </w:p>
        </w:tc>
        <w:tc>
          <w:tcPr>
            <w:tcW w:w="0" w:type="auto"/>
            <w:vAlign w:val="center"/>
            <w:hideMark/>
          </w:tcPr>
          <w:p w14:paraId="6D8FEF48" w14:textId="77777777" w:rsidR="00000000" w:rsidRDefault="00195E73">
            <w:pPr>
              <w:rPr>
                <w:rFonts w:eastAsia="Times New Roman"/>
                <w:sz w:val="20"/>
                <w:szCs w:val="20"/>
              </w:rPr>
            </w:pPr>
          </w:p>
        </w:tc>
        <w:tc>
          <w:tcPr>
            <w:tcW w:w="0" w:type="auto"/>
            <w:vAlign w:val="center"/>
            <w:hideMark/>
          </w:tcPr>
          <w:p w14:paraId="45DB9125" w14:textId="77777777" w:rsidR="00000000" w:rsidRDefault="00195E73">
            <w:pPr>
              <w:rPr>
                <w:rFonts w:eastAsia="Times New Roman"/>
                <w:sz w:val="20"/>
                <w:szCs w:val="20"/>
              </w:rPr>
            </w:pPr>
          </w:p>
        </w:tc>
        <w:tc>
          <w:tcPr>
            <w:tcW w:w="0" w:type="auto"/>
            <w:vAlign w:val="center"/>
            <w:hideMark/>
          </w:tcPr>
          <w:p w14:paraId="135C192D" w14:textId="77777777" w:rsidR="00000000" w:rsidRDefault="00195E73">
            <w:pPr>
              <w:rPr>
                <w:rFonts w:eastAsia="Times New Roman"/>
                <w:sz w:val="20"/>
                <w:szCs w:val="20"/>
              </w:rPr>
            </w:pPr>
          </w:p>
        </w:tc>
        <w:tc>
          <w:tcPr>
            <w:tcW w:w="0" w:type="auto"/>
            <w:vAlign w:val="center"/>
            <w:hideMark/>
          </w:tcPr>
          <w:p w14:paraId="4F3E99EE" w14:textId="77777777" w:rsidR="00000000" w:rsidRDefault="00195E73">
            <w:pPr>
              <w:rPr>
                <w:rFonts w:eastAsia="Times New Roman"/>
                <w:sz w:val="20"/>
                <w:szCs w:val="20"/>
              </w:rPr>
            </w:pPr>
          </w:p>
        </w:tc>
        <w:tc>
          <w:tcPr>
            <w:tcW w:w="0" w:type="auto"/>
            <w:vAlign w:val="center"/>
            <w:hideMark/>
          </w:tcPr>
          <w:p w14:paraId="2FA41D59" w14:textId="77777777" w:rsidR="00000000" w:rsidRDefault="00195E73">
            <w:pPr>
              <w:rPr>
                <w:rFonts w:eastAsia="Times New Roman"/>
                <w:sz w:val="20"/>
                <w:szCs w:val="20"/>
              </w:rPr>
            </w:pPr>
          </w:p>
        </w:tc>
        <w:tc>
          <w:tcPr>
            <w:tcW w:w="0" w:type="auto"/>
            <w:vAlign w:val="center"/>
            <w:hideMark/>
          </w:tcPr>
          <w:p w14:paraId="4606A9A9" w14:textId="77777777" w:rsidR="00000000" w:rsidRDefault="00195E73">
            <w:pPr>
              <w:rPr>
                <w:rFonts w:eastAsia="Times New Roman"/>
                <w:sz w:val="20"/>
                <w:szCs w:val="20"/>
              </w:rPr>
            </w:pPr>
          </w:p>
        </w:tc>
        <w:tc>
          <w:tcPr>
            <w:tcW w:w="0" w:type="auto"/>
            <w:vAlign w:val="center"/>
            <w:hideMark/>
          </w:tcPr>
          <w:p w14:paraId="08A7996E" w14:textId="77777777" w:rsidR="00000000" w:rsidRDefault="00195E73">
            <w:pPr>
              <w:rPr>
                <w:rFonts w:eastAsia="Times New Roman"/>
                <w:sz w:val="20"/>
                <w:szCs w:val="20"/>
              </w:rPr>
            </w:pPr>
          </w:p>
        </w:tc>
      </w:tr>
      <w:tr w:rsidR="00000000" w14:paraId="0216CFAE" w14:textId="77777777">
        <w:trPr>
          <w:divId w:val="963343899"/>
          <w:jc w:val="center"/>
        </w:trPr>
        <w:tc>
          <w:tcPr>
            <w:tcW w:w="0" w:type="auto"/>
            <w:gridSpan w:val="3"/>
            <w:shd w:val="clear" w:color="auto" w:fill="FFFFFF"/>
            <w:tcMar>
              <w:top w:w="30" w:type="dxa"/>
              <w:left w:w="90" w:type="dxa"/>
              <w:bottom w:w="30" w:type="dxa"/>
              <w:right w:w="20" w:type="dxa"/>
            </w:tcMar>
            <w:vAlign w:val="bottom"/>
            <w:hideMark/>
          </w:tcPr>
          <w:p w14:paraId="79885F7C" w14:textId="77777777" w:rsidR="00000000" w:rsidRDefault="00195E73">
            <w:pPr>
              <w:rPr>
                <w:rFonts w:eastAsia="Times New Roman"/>
              </w:rPr>
            </w:pPr>
            <w:r>
              <w:rPr>
                <w:rFonts w:eastAsia="Times New Roman"/>
                <w:color w:val="000000"/>
                <w:sz w:val="13"/>
                <w:szCs w:val="13"/>
              </w:rPr>
              <w:t>Proceeds from sales of securitie</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7FC40A3C" w14:textId="77777777" w:rsidR="00000000" w:rsidRDefault="00195E73">
            <w:pPr>
              <w:jc w:val="right"/>
              <w:rPr>
                <w:rFonts w:eastAsia="Times New Roman"/>
              </w:rPr>
            </w:pPr>
            <w:r>
              <w:rPr>
                <w:rFonts w:eastAsia="Times New Roman"/>
                <w:color w:val="000000"/>
                <w:sz w:val="13"/>
                <w:szCs w:val="13"/>
              </w:rPr>
              <w:t>3,648</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1EC9991C"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7037DA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F7FECE" w14:textId="77777777" w:rsidR="00000000" w:rsidRDefault="00195E73">
            <w:pPr>
              <w:jc w:val="right"/>
              <w:rPr>
                <w:rFonts w:eastAsia="Times New Roman"/>
              </w:rPr>
            </w:pPr>
            <w:r>
              <w:rPr>
                <w:rFonts w:eastAsia="Times New Roman"/>
                <w:color w:val="000000"/>
                <w:sz w:val="13"/>
                <w:szCs w:val="13"/>
              </w:rPr>
              <w:t>6,763</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13F6F2D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3CED8F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65E0FB" w14:textId="77777777" w:rsidR="00000000" w:rsidRDefault="00195E73">
            <w:pPr>
              <w:jc w:val="right"/>
              <w:rPr>
                <w:rFonts w:eastAsia="Times New Roman"/>
              </w:rPr>
            </w:pPr>
            <w:r>
              <w:rPr>
                <w:rFonts w:eastAsia="Times New Roman"/>
                <w:color w:val="000000"/>
                <w:sz w:val="13"/>
                <w:szCs w:val="13"/>
              </w:rPr>
              <w:t>2,413</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2C74DCF2"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1A4CE8A3" w14:textId="77777777" w:rsidR="00000000" w:rsidRDefault="00195E73">
            <w:pPr>
              <w:rPr>
                <w:rFonts w:eastAsia="Times New Roman"/>
                <w:sz w:val="20"/>
                <w:szCs w:val="20"/>
              </w:rPr>
            </w:pPr>
          </w:p>
        </w:tc>
        <w:tc>
          <w:tcPr>
            <w:tcW w:w="0" w:type="auto"/>
            <w:vAlign w:val="center"/>
            <w:hideMark/>
          </w:tcPr>
          <w:p w14:paraId="13857BF3" w14:textId="77777777" w:rsidR="00000000" w:rsidRDefault="00195E73">
            <w:pPr>
              <w:rPr>
                <w:rFonts w:eastAsia="Times New Roman"/>
                <w:sz w:val="20"/>
                <w:szCs w:val="20"/>
              </w:rPr>
            </w:pPr>
          </w:p>
        </w:tc>
        <w:tc>
          <w:tcPr>
            <w:tcW w:w="0" w:type="auto"/>
            <w:vAlign w:val="center"/>
            <w:hideMark/>
          </w:tcPr>
          <w:p w14:paraId="02F0DEBD" w14:textId="77777777" w:rsidR="00000000" w:rsidRDefault="00195E73">
            <w:pPr>
              <w:rPr>
                <w:rFonts w:eastAsia="Times New Roman"/>
                <w:sz w:val="20"/>
                <w:szCs w:val="20"/>
              </w:rPr>
            </w:pPr>
          </w:p>
        </w:tc>
        <w:tc>
          <w:tcPr>
            <w:tcW w:w="0" w:type="auto"/>
            <w:vAlign w:val="center"/>
            <w:hideMark/>
          </w:tcPr>
          <w:p w14:paraId="6D9DBABF" w14:textId="77777777" w:rsidR="00000000" w:rsidRDefault="00195E73">
            <w:pPr>
              <w:rPr>
                <w:rFonts w:eastAsia="Times New Roman"/>
                <w:sz w:val="20"/>
                <w:szCs w:val="20"/>
              </w:rPr>
            </w:pPr>
          </w:p>
        </w:tc>
        <w:tc>
          <w:tcPr>
            <w:tcW w:w="0" w:type="auto"/>
            <w:vAlign w:val="center"/>
            <w:hideMark/>
          </w:tcPr>
          <w:p w14:paraId="5712132B" w14:textId="77777777" w:rsidR="00000000" w:rsidRDefault="00195E73">
            <w:pPr>
              <w:rPr>
                <w:rFonts w:eastAsia="Times New Roman"/>
                <w:sz w:val="20"/>
                <w:szCs w:val="20"/>
              </w:rPr>
            </w:pPr>
          </w:p>
        </w:tc>
        <w:tc>
          <w:tcPr>
            <w:tcW w:w="0" w:type="auto"/>
            <w:vAlign w:val="center"/>
            <w:hideMark/>
          </w:tcPr>
          <w:p w14:paraId="6B764B09" w14:textId="77777777" w:rsidR="00000000" w:rsidRDefault="00195E73">
            <w:pPr>
              <w:rPr>
                <w:rFonts w:eastAsia="Times New Roman"/>
                <w:sz w:val="20"/>
                <w:szCs w:val="20"/>
              </w:rPr>
            </w:pPr>
          </w:p>
        </w:tc>
        <w:tc>
          <w:tcPr>
            <w:tcW w:w="0" w:type="auto"/>
            <w:vAlign w:val="center"/>
            <w:hideMark/>
          </w:tcPr>
          <w:p w14:paraId="3429801F" w14:textId="77777777" w:rsidR="00000000" w:rsidRDefault="00195E73">
            <w:pPr>
              <w:rPr>
                <w:rFonts w:eastAsia="Times New Roman"/>
                <w:sz w:val="20"/>
                <w:szCs w:val="20"/>
              </w:rPr>
            </w:pPr>
          </w:p>
        </w:tc>
        <w:tc>
          <w:tcPr>
            <w:tcW w:w="0" w:type="auto"/>
            <w:vAlign w:val="center"/>
            <w:hideMark/>
          </w:tcPr>
          <w:p w14:paraId="3724F5CF" w14:textId="77777777" w:rsidR="00000000" w:rsidRDefault="00195E73">
            <w:pPr>
              <w:rPr>
                <w:rFonts w:eastAsia="Times New Roman"/>
                <w:sz w:val="20"/>
                <w:szCs w:val="20"/>
              </w:rPr>
            </w:pPr>
          </w:p>
        </w:tc>
        <w:tc>
          <w:tcPr>
            <w:tcW w:w="0" w:type="auto"/>
            <w:vAlign w:val="center"/>
            <w:hideMark/>
          </w:tcPr>
          <w:p w14:paraId="1FF6EA28" w14:textId="77777777" w:rsidR="00000000" w:rsidRDefault="00195E73">
            <w:pPr>
              <w:rPr>
                <w:rFonts w:eastAsia="Times New Roman"/>
                <w:sz w:val="20"/>
                <w:szCs w:val="20"/>
              </w:rPr>
            </w:pPr>
          </w:p>
        </w:tc>
        <w:tc>
          <w:tcPr>
            <w:tcW w:w="0" w:type="auto"/>
            <w:vAlign w:val="center"/>
            <w:hideMark/>
          </w:tcPr>
          <w:p w14:paraId="5E81BFD8" w14:textId="77777777" w:rsidR="00000000" w:rsidRDefault="00195E73">
            <w:pPr>
              <w:rPr>
                <w:rFonts w:eastAsia="Times New Roman"/>
                <w:sz w:val="20"/>
                <w:szCs w:val="20"/>
              </w:rPr>
            </w:pPr>
          </w:p>
        </w:tc>
        <w:tc>
          <w:tcPr>
            <w:tcW w:w="0" w:type="auto"/>
            <w:vAlign w:val="center"/>
            <w:hideMark/>
          </w:tcPr>
          <w:p w14:paraId="32A9ADF7" w14:textId="77777777" w:rsidR="00000000" w:rsidRDefault="00195E73">
            <w:pPr>
              <w:rPr>
                <w:rFonts w:eastAsia="Times New Roman"/>
                <w:sz w:val="20"/>
                <w:szCs w:val="20"/>
              </w:rPr>
            </w:pPr>
          </w:p>
        </w:tc>
        <w:tc>
          <w:tcPr>
            <w:tcW w:w="0" w:type="auto"/>
            <w:vAlign w:val="center"/>
            <w:hideMark/>
          </w:tcPr>
          <w:p w14:paraId="3283B72C" w14:textId="77777777" w:rsidR="00000000" w:rsidRDefault="00195E73">
            <w:pPr>
              <w:rPr>
                <w:rFonts w:eastAsia="Times New Roman"/>
                <w:sz w:val="20"/>
                <w:szCs w:val="20"/>
              </w:rPr>
            </w:pPr>
          </w:p>
        </w:tc>
      </w:tr>
      <w:tr w:rsidR="00000000" w14:paraId="08D39D0F" w14:textId="77777777">
        <w:trPr>
          <w:divId w:val="963343899"/>
          <w:jc w:val="center"/>
        </w:trPr>
        <w:tc>
          <w:tcPr>
            <w:tcW w:w="0" w:type="auto"/>
            <w:gridSpan w:val="3"/>
            <w:shd w:val="clear" w:color="auto" w:fill="CCEEFF"/>
            <w:tcMar>
              <w:top w:w="30" w:type="dxa"/>
              <w:left w:w="90" w:type="dxa"/>
              <w:bottom w:w="30" w:type="dxa"/>
              <w:right w:w="20" w:type="dxa"/>
            </w:tcMar>
            <w:vAlign w:val="bottom"/>
            <w:hideMark/>
          </w:tcPr>
          <w:p w14:paraId="4029FEA2" w14:textId="77777777" w:rsidR="00000000" w:rsidRDefault="00195E73">
            <w:pPr>
              <w:rPr>
                <w:rFonts w:eastAsia="Times New Roman"/>
              </w:rPr>
            </w:pPr>
            <w:r>
              <w:rPr>
                <w:rFonts w:eastAsia="Times New Roman"/>
                <w:color w:val="000000"/>
                <w:sz w:val="13"/>
                <w:szCs w:val="13"/>
              </w:rPr>
              <w:t>Purchases to cover securities sold, not yet purchase</w:t>
            </w:r>
            <w:r>
              <w:rPr>
                <w:rFonts w:eastAsia="Times New Roman"/>
                <w:color w:val="000000"/>
                <w:sz w:val="13"/>
                <w:szCs w:val="13"/>
              </w:rPr>
              <w:t>d</w:t>
            </w:r>
          </w:p>
        </w:tc>
        <w:tc>
          <w:tcPr>
            <w:tcW w:w="0" w:type="auto"/>
            <w:gridSpan w:val="2"/>
            <w:shd w:val="clear" w:color="auto" w:fill="CCEEFF"/>
            <w:tcMar>
              <w:top w:w="30" w:type="dxa"/>
              <w:left w:w="20" w:type="dxa"/>
              <w:bottom w:w="30" w:type="dxa"/>
              <w:right w:w="0" w:type="dxa"/>
            </w:tcMar>
            <w:vAlign w:val="bottom"/>
            <w:hideMark/>
          </w:tcPr>
          <w:p w14:paraId="261A5E14" w14:textId="77777777" w:rsidR="00000000" w:rsidRDefault="00195E73">
            <w:pPr>
              <w:jc w:val="right"/>
              <w:rPr>
                <w:rFonts w:eastAsia="Times New Roman"/>
              </w:rPr>
            </w:pPr>
            <w:r>
              <w:rPr>
                <w:rFonts w:eastAsia="Times New Roman"/>
                <w:color w:val="000000"/>
                <w:sz w:val="13"/>
                <w:szCs w:val="13"/>
              </w:rPr>
              <w:t>(938</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5C97EBD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4B3FC1B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F77A2C" w14:textId="77777777" w:rsidR="00000000" w:rsidRDefault="00195E73">
            <w:pPr>
              <w:jc w:val="right"/>
              <w:rPr>
                <w:rFonts w:eastAsia="Times New Roman"/>
              </w:rPr>
            </w:pPr>
            <w:r>
              <w:rPr>
                <w:rFonts w:eastAsia="Times New Roman"/>
                <w:color w:val="000000"/>
                <w:sz w:val="13"/>
                <w:szCs w:val="13"/>
              </w:rPr>
              <w:t>(1,083</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1C16CB05"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31773AE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1BCA0C" w14:textId="77777777" w:rsidR="00000000" w:rsidRDefault="00195E73">
            <w:pPr>
              <w:jc w:val="right"/>
              <w:rPr>
                <w:rFonts w:eastAsia="Times New Roman"/>
              </w:rPr>
            </w:pPr>
            <w:r>
              <w:rPr>
                <w:rFonts w:eastAsia="Times New Roman"/>
                <w:color w:val="000000"/>
                <w:sz w:val="13"/>
                <w:szCs w:val="13"/>
              </w:rPr>
              <w:t>(1,078</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3322FA30"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FE4D662" w14:textId="77777777" w:rsidR="00000000" w:rsidRDefault="00195E73">
            <w:pPr>
              <w:rPr>
                <w:rFonts w:eastAsia="Times New Roman"/>
                <w:sz w:val="20"/>
                <w:szCs w:val="20"/>
              </w:rPr>
            </w:pPr>
          </w:p>
        </w:tc>
        <w:tc>
          <w:tcPr>
            <w:tcW w:w="0" w:type="auto"/>
            <w:vAlign w:val="center"/>
            <w:hideMark/>
          </w:tcPr>
          <w:p w14:paraId="69014A5C" w14:textId="77777777" w:rsidR="00000000" w:rsidRDefault="00195E73">
            <w:pPr>
              <w:rPr>
                <w:rFonts w:eastAsia="Times New Roman"/>
                <w:sz w:val="20"/>
                <w:szCs w:val="20"/>
              </w:rPr>
            </w:pPr>
          </w:p>
        </w:tc>
        <w:tc>
          <w:tcPr>
            <w:tcW w:w="0" w:type="auto"/>
            <w:vAlign w:val="center"/>
            <w:hideMark/>
          </w:tcPr>
          <w:p w14:paraId="718EA6AD" w14:textId="77777777" w:rsidR="00000000" w:rsidRDefault="00195E73">
            <w:pPr>
              <w:rPr>
                <w:rFonts w:eastAsia="Times New Roman"/>
                <w:sz w:val="20"/>
                <w:szCs w:val="20"/>
              </w:rPr>
            </w:pPr>
          </w:p>
        </w:tc>
        <w:tc>
          <w:tcPr>
            <w:tcW w:w="0" w:type="auto"/>
            <w:vAlign w:val="center"/>
            <w:hideMark/>
          </w:tcPr>
          <w:p w14:paraId="089D3356" w14:textId="77777777" w:rsidR="00000000" w:rsidRDefault="00195E73">
            <w:pPr>
              <w:rPr>
                <w:rFonts w:eastAsia="Times New Roman"/>
                <w:sz w:val="20"/>
                <w:szCs w:val="20"/>
              </w:rPr>
            </w:pPr>
          </w:p>
        </w:tc>
        <w:tc>
          <w:tcPr>
            <w:tcW w:w="0" w:type="auto"/>
            <w:vAlign w:val="center"/>
            <w:hideMark/>
          </w:tcPr>
          <w:p w14:paraId="11C720B8" w14:textId="77777777" w:rsidR="00000000" w:rsidRDefault="00195E73">
            <w:pPr>
              <w:rPr>
                <w:rFonts w:eastAsia="Times New Roman"/>
                <w:sz w:val="20"/>
                <w:szCs w:val="20"/>
              </w:rPr>
            </w:pPr>
          </w:p>
        </w:tc>
        <w:tc>
          <w:tcPr>
            <w:tcW w:w="0" w:type="auto"/>
            <w:vAlign w:val="center"/>
            <w:hideMark/>
          </w:tcPr>
          <w:p w14:paraId="1F3EE858" w14:textId="77777777" w:rsidR="00000000" w:rsidRDefault="00195E73">
            <w:pPr>
              <w:rPr>
                <w:rFonts w:eastAsia="Times New Roman"/>
                <w:sz w:val="20"/>
                <w:szCs w:val="20"/>
              </w:rPr>
            </w:pPr>
          </w:p>
        </w:tc>
        <w:tc>
          <w:tcPr>
            <w:tcW w:w="0" w:type="auto"/>
            <w:vAlign w:val="center"/>
            <w:hideMark/>
          </w:tcPr>
          <w:p w14:paraId="4B6445F8" w14:textId="77777777" w:rsidR="00000000" w:rsidRDefault="00195E73">
            <w:pPr>
              <w:rPr>
                <w:rFonts w:eastAsia="Times New Roman"/>
                <w:sz w:val="20"/>
                <w:szCs w:val="20"/>
              </w:rPr>
            </w:pPr>
          </w:p>
        </w:tc>
        <w:tc>
          <w:tcPr>
            <w:tcW w:w="0" w:type="auto"/>
            <w:vAlign w:val="center"/>
            <w:hideMark/>
          </w:tcPr>
          <w:p w14:paraId="60DD184E" w14:textId="77777777" w:rsidR="00000000" w:rsidRDefault="00195E73">
            <w:pPr>
              <w:rPr>
                <w:rFonts w:eastAsia="Times New Roman"/>
                <w:sz w:val="20"/>
                <w:szCs w:val="20"/>
              </w:rPr>
            </w:pPr>
          </w:p>
        </w:tc>
        <w:tc>
          <w:tcPr>
            <w:tcW w:w="0" w:type="auto"/>
            <w:vAlign w:val="center"/>
            <w:hideMark/>
          </w:tcPr>
          <w:p w14:paraId="1CFA40AE" w14:textId="77777777" w:rsidR="00000000" w:rsidRDefault="00195E73">
            <w:pPr>
              <w:rPr>
                <w:rFonts w:eastAsia="Times New Roman"/>
                <w:sz w:val="20"/>
                <w:szCs w:val="20"/>
              </w:rPr>
            </w:pPr>
          </w:p>
        </w:tc>
        <w:tc>
          <w:tcPr>
            <w:tcW w:w="0" w:type="auto"/>
            <w:vAlign w:val="center"/>
            <w:hideMark/>
          </w:tcPr>
          <w:p w14:paraId="47900C9B" w14:textId="77777777" w:rsidR="00000000" w:rsidRDefault="00195E73">
            <w:pPr>
              <w:rPr>
                <w:rFonts w:eastAsia="Times New Roman"/>
                <w:sz w:val="20"/>
                <w:szCs w:val="20"/>
              </w:rPr>
            </w:pPr>
          </w:p>
        </w:tc>
        <w:tc>
          <w:tcPr>
            <w:tcW w:w="0" w:type="auto"/>
            <w:vAlign w:val="center"/>
            <w:hideMark/>
          </w:tcPr>
          <w:p w14:paraId="7C407564" w14:textId="77777777" w:rsidR="00000000" w:rsidRDefault="00195E73">
            <w:pPr>
              <w:rPr>
                <w:rFonts w:eastAsia="Times New Roman"/>
                <w:sz w:val="20"/>
                <w:szCs w:val="20"/>
              </w:rPr>
            </w:pPr>
          </w:p>
        </w:tc>
        <w:tc>
          <w:tcPr>
            <w:tcW w:w="0" w:type="auto"/>
            <w:vAlign w:val="center"/>
            <w:hideMark/>
          </w:tcPr>
          <w:p w14:paraId="4FE46A6C" w14:textId="77777777" w:rsidR="00000000" w:rsidRDefault="00195E73">
            <w:pPr>
              <w:rPr>
                <w:rFonts w:eastAsia="Times New Roman"/>
                <w:sz w:val="20"/>
                <w:szCs w:val="20"/>
              </w:rPr>
            </w:pPr>
          </w:p>
        </w:tc>
      </w:tr>
      <w:tr w:rsidR="00000000" w14:paraId="34FF72F5" w14:textId="77777777">
        <w:trPr>
          <w:divId w:val="963343899"/>
          <w:jc w:val="center"/>
        </w:trPr>
        <w:tc>
          <w:tcPr>
            <w:tcW w:w="0" w:type="auto"/>
            <w:gridSpan w:val="3"/>
            <w:shd w:val="clear" w:color="auto" w:fill="FFFFFF"/>
            <w:tcMar>
              <w:top w:w="30" w:type="dxa"/>
              <w:left w:w="90" w:type="dxa"/>
              <w:bottom w:w="30" w:type="dxa"/>
              <w:right w:w="20" w:type="dxa"/>
            </w:tcMar>
            <w:vAlign w:val="bottom"/>
            <w:hideMark/>
          </w:tcPr>
          <w:p w14:paraId="393D0A89" w14:textId="77777777" w:rsidR="00000000" w:rsidRDefault="00195E73">
            <w:pPr>
              <w:rPr>
                <w:rFonts w:eastAsia="Times New Roman"/>
              </w:rPr>
            </w:pPr>
            <w:r>
              <w:rPr>
                <w:rFonts w:eastAsia="Times New Roman"/>
                <w:color w:val="000000"/>
                <w:sz w:val="13"/>
                <w:szCs w:val="13"/>
              </w:rPr>
              <w:t>Proceeds from securities sold, not yet purchase</w:t>
            </w:r>
            <w:r>
              <w:rPr>
                <w:rFonts w:eastAsia="Times New Roman"/>
                <w:color w:val="000000"/>
                <w:sz w:val="13"/>
                <w:szCs w:val="13"/>
              </w:rPr>
              <w:t>d</w:t>
            </w:r>
          </w:p>
        </w:tc>
        <w:tc>
          <w:tcPr>
            <w:tcW w:w="0" w:type="auto"/>
            <w:gridSpan w:val="2"/>
            <w:shd w:val="clear" w:color="auto" w:fill="FFFFFF"/>
            <w:tcMar>
              <w:top w:w="30" w:type="dxa"/>
              <w:left w:w="20" w:type="dxa"/>
              <w:bottom w:w="30" w:type="dxa"/>
              <w:right w:w="0" w:type="dxa"/>
            </w:tcMar>
            <w:vAlign w:val="bottom"/>
            <w:hideMark/>
          </w:tcPr>
          <w:p w14:paraId="75CA0B8C" w14:textId="77777777" w:rsidR="00000000" w:rsidRDefault="00195E73">
            <w:pPr>
              <w:jc w:val="right"/>
              <w:rPr>
                <w:rFonts w:eastAsia="Times New Roman"/>
              </w:rPr>
            </w:pPr>
            <w:r>
              <w:rPr>
                <w:rFonts w:eastAsia="Times New Roman"/>
                <w:color w:val="000000"/>
                <w:sz w:val="13"/>
                <w:szCs w:val="13"/>
              </w:rPr>
              <w:t>1,523</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6329FBA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5CA766C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1E6325" w14:textId="77777777" w:rsidR="00000000" w:rsidRDefault="00195E73">
            <w:pPr>
              <w:jc w:val="right"/>
              <w:rPr>
                <w:rFonts w:eastAsia="Times New Roman"/>
              </w:rPr>
            </w:pPr>
            <w:r>
              <w:rPr>
                <w:rFonts w:eastAsia="Times New Roman"/>
                <w:color w:val="000000"/>
                <w:sz w:val="13"/>
                <w:szCs w:val="13"/>
              </w:rPr>
              <w:t>1,077</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31CE322C"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E67908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1FB2D9" w14:textId="77777777" w:rsidR="00000000" w:rsidRDefault="00195E73">
            <w:pPr>
              <w:jc w:val="right"/>
              <w:rPr>
                <w:rFonts w:eastAsia="Times New Roman"/>
              </w:rPr>
            </w:pPr>
            <w:r>
              <w:rPr>
                <w:rFonts w:eastAsia="Times New Roman"/>
                <w:color w:val="000000"/>
                <w:sz w:val="13"/>
                <w:szCs w:val="13"/>
              </w:rPr>
              <w:t>1,222</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391D370D"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30D5D041" w14:textId="77777777" w:rsidR="00000000" w:rsidRDefault="00195E73">
            <w:pPr>
              <w:rPr>
                <w:rFonts w:eastAsia="Times New Roman"/>
                <w:sz w:val="20"/>
                <w:szCs w:val="20"/>
              </w:rPr>
            </w:pPr>
          </w:p>
        </w:tc>
        <w:tc>
          <w:tcPr>
            <w:tcW w:w="0" w:type="auto"/>
            <w:vAlign w:val="center"/>
            <w:hideMark/>
          </w:tcPr>
          <w:p w14:paraId="15A321FC" w14:textId="77777777" w:rsidR="00000000" w:rsidRDefault="00195E73">
            <w:pPr>
              <w:rPr>
                <w:rFonts w:eastAsia="Times New Roman"/>
                <w:sz w:val="20"/>
                <w:szCs w:val="20"/>
              </w:rPr>
            </w:pPr>
          </w:p>
        </w:tc>
        <w:tc>
          <w:tcPr>
            <w:tcW w:w="0" w:type="auto"/>
            <w:vAlign w:val="center"/>
            <w:hideMark/>
          </w:tcPr>
          <w:p w14:paraId="2E5B8841" w14:textId="77777777" w:rsidR="00000000" w:rsidRDefault="00195E73">
            <w:pPr>
              <w:rPr>
                <w:rFonts w:eastAsia="Times New Roman"/>
                <w:sz w:val="20"/>
                <w:szCs w:val="20"/>
              </w:rPr>
            </w:pPr>
          </w:p>
        </w:tc>
        <w:tc>
          <w:tcPr>
            <w:tcW w:w="0" w:type="auto"/>
            <w:vAlign w:val="center"/>
            <w:hideMark/>
          </w:tcPr>
          <w:p w14:paraId="0886F8F0" w14:textId="77777777" w:rsidR="00000000" w:rsidRDefault="00195E73">
            <w:pPr>
              <w:rPr>
                <w:rFonts w:eastAsia="Times New Roman"/>
                <w:sz w:val="20"/>
                <w:szCs w:val="20"/>
              </w:rPr>
            </w:pPr>
          </w:p>
        </w:tc>
        <w:tc>
          <w:tcPr>
            <w:tcW w:w="0" w:type="auto"/>
            <w:vAlign w:val="center"/>
            <w:hideMark/>
          </w:tcPr>
          <w:p w14:paraId="3D08C210" w14:textId="77777777" w:rsidR="00000000" w:rsidRDefault="00195E73">
            <w:pPr>
              <w:rPr>
                <w:rFonts w:eastAsia="Times New Roman"/>
                <w:sz w:val="20"/>
                <w:szCs w:val="20"/>
              </w:rPr>
            </w:pPr>
          </w:p>
        </w:tc>
        <w:tc>
          <w:tcPr>
            <w:tcW w:w="0" w:type="auto"/>
            <w:vAlign w:val="center"/>
            <w:hideMark/>
          </w:tcPr>
          <w:p w14:paraId="1409C678" w14:textId="77777777" w:rsidR="00000000" w:rsidRDefault="00195E73">
            <w:pPr>
              <w:rPr>
                <w:rFonts w:eastAsia="Times New Roman"/>
                <w:sz w:val="20"/>
                <w:szCs w:val="20"/>
              </w:rPr>
            </w:pPr>
          </w:p>
        </w:tc>
        <w:tc>
          <w:tcPr>
            <w:tcW w:w="0" w:type="auto"/>
            <w:vAlign w:val="center"/>
            <w:hideMark/>
          </w:tcPr>
          <w:p w14:paraId="560F9739" w14:textId="77777777" w:rsidR="00000000" w:rsidRDefault="00195E73">
            <w:pPr>
              <w:rPr>
                <w:rFonts w:eastAsia="Times New Roman"/>
                <w:sz w:val="20"/>
                <w:szCs w:val="20"/>
              </w:rPr>
            </w:pPr>
          </w:p>
        </w:tc>
        <w:tc>
          <w:tcPr>
            <w:tcW w:w="0" w:type="auto"/>
            <w:vAlign w:val="center"/>
            <w:hideMark/>
          </w:tcPr>
          <w:p w14:paraId="2F29574D" w14:textId="77777777" w:rsidR="00000000" w:rsidRDefault="00195E73">
            <w:pPr>
              <w:rPr>
                <w:rFonts w:eastAsia="Times New Roman"/>
                <w:sz w:val="20"/>
                <w:szCs w:val="20"/>
              </w:rPr>
            </w:pPr>
          </w:p>
        </w:tc>
        <w:tc>
          <w:tcPr>
            <w:tcW w:w="0" w:type="auto"/>
            <w:vAlign w:val="center"/>
            <w:hideMark/>
          </w:tcPr>
          <w:p w14:paraId="6006E689" w14:textId="77777777" w:rsidR="00000000" w:rsidRDefault="00195E73">
            <w:pPr>
              <w:rPr>
                <w:rFonts w:eastAsia="Times New Roman"/>
                <w:sz w:val="20"/>
                <w:szCs w:val="20"/>
              </w:rPr>
            </w:pPr>
          </w:p>
        </w:tc>
        <w:tc>
          <w:tcPr>
            <w:tcW w:w="0" w:type="auto"/>
            <w:vAlign w:val="center"/>
            <w:hideMark/>
          </w:tcPr>
          <w:p w14:paraId="03C6ED24" w14:textId="77777777" w:rsidR="00000000" w:rsidRDefault="00195E73">
            <w:pPr>
              <w:rPr>
                <w:rFonts w:eastAsia="Times New Roman"/>
                <w:sz w:val="20"/>
                <w:szCs w:val="20"/>
              </w:rPr>
            </w:pPr>
          </w:p>
        </w:tc>
        <w:tc>
          <w:tcPr>
            <w:tcW w:w="0" w:type="auto"/>
            <w:vAlign w:val="center"/>
            <w:hideMark/>
          </w:tcPr>
          <w:p w14:paraId="0184299E" w14:textId="77777777" w:rsidR="00000000" w:rsidRDefault="00195E73">
            <w:pPr>
              <w:rPr>
                <w:rFonts w:eastAsia="Times New Roman"/>
                <w:sz w:val="20"/>
                <w:szCs w:val="20"/>
              </w:rPr>
            </w:pPr>
          </w:p>
        </w:tc>
        <w:tc>
          <w:tcPr>
            <w:tcW w:w="0" w:type="auto"/>
            <w:vAlign w:val="center"/>
            <w:hideMark/>
          </w:tcPr>
          <w:p w14:paraId="463D33F7" w14:textId="77777777" w:rsidR="00000000" w:rsidRDefault="00195E73">
            <w:pPr>
              <w:rPr>
                <w:rFonts w:eastAsia="Times New Roman"/>
                <w:sz w:val="20"/>
                <w:szCs w:val="20"/>
              </w:rPr>
            </w:pPr>
          </w:p>
        </w:tc>
      </w:tr>
      <w:tr w:rsidR="00000000" w14:paraId="171BEF85"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46E9F958" w14:textId="77777777" w:rsidR="00000000" w:rsidRDefault="00195E73">
            <w:pPr>
              <w:ind w:hanging="90"/>
              <w:divId w:val="608858854"/>
              <w:rPr>
                <w:rFonts w:eastAsia="Times New Roman"/>
              </w:rPr>
            </w:pPr>
            <w:r>
              <w:rPr>
                <w:rFonts w:eastAsia="Times New Roman"/>
                <w:color w:val="000000"/>
                <w:sz w:val="13"/>
                <w:szCs w:val="13"/>
              </w:rPr>
              <w:t>Changes in receivables and payables relating to securities transaction</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190F84BB" w14:textId="77777777" w:rsidR="00000000" w:rsidRDefault="00195E73">
            <w:pPr>
              <w:jc w:val="right"/>
              <w:rPr>
                <w:rFonts w:eastAsia="Times New Roman"/>
              </w:rPr>
            </w:pPr>
            <w:r>
              <w:rPr>
                <w:rFonts w:eastAsia="Times New Roman"/>
                <w:color w:val="000000"/>
                <w:sz w:val="13"/>
                <w:szCs w:val="13"/>
              </w:rPr>
              <w:t>(220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363B2A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22C99DC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B62DAA" w14:textId="77777777" w:rsidR="00000000" w:rsidRDefault="00195E73">
            <w:pPr>
              <w:jc w:val="right"/>
              <w:rPr>
                <w:rFonts w:eastAsia="Times New Roman"/>
              </w:rPr>
            </w:pPr>
            <w:r>
              <w:rPr>
                <w:rFonts w:eastAsia="Times New Roman"/>
                <w:color w:val="000000"/>
                <w:sz w:val="13"/>
                <w:szCs w:val="13"/>
              </w:rPr>
              <w:t>(1,195</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70294D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915044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50E6AB" w14:textId="77777777" w:rsidR="00000000" w:rsidRDefault="00195E73">
            <w:pPr>
              <w:jc w:val="right"/>
              <w:rPr>
                <w:rFonts w:eastAsia="Times New Roman"/>
              </w:rPr>
            </w:pPr>
            <w:r>
              <w:rPr>
                <w:rFonts w:eastAsia="Times New Roman"/>
                <w:color w:val="000000"/>
                <w:sz w:val="13"/>
                <w:szCs w:val="13"/>
              </w:rPr>
              <w:t>(1,704</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68ADD24F"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F6A16A2" w14:textId="77777777" w:rsidR="00000000" w:rsidRDefault="00195E73">
            <w:pPr>
              <w:rPr>
                <w:rFonts w:eastAsia="Times New Roman"/>
                <w:sz w:val="20"/>
                <w:szCs w:val="20"/>
              </w:rPr>
            </w:pPr>
          </w:p>
        </w:tc>
        <w:tc>
          <w:tcPr>
            <w:tcW w:w="0" w:type="auto"/>
            <w:vAlign w:val="center"/>
            <w:hideMark/>
          </w:tcPr>
          <w:p w14:paraId="53F3414E" w14:textId="77777777" w:rsidR="00000000" w:rsidRDefault="00195E73">
            <w:pPr>
              <w:rPr>
                <w:rFonts w:eastAsia="Times New Roman"/>
                <w:sz w:val="20"/>
                <w:szCs w:val="20"/>
              </w:rPr>
            </w:pPr>
          </w:p>
        </w:tc>
        <w:tc>
          <w:tcPr>
            <w:tcW w:w="0" w:type="auto"/>
            <w:vAlign w:val="center"/>
            <w:hideMark/>
          </w:tcPr>
          <w:p w14:paraId="361D424D" w14:textId="77777777" w:rsidR="00000000" w:rsidRDefault="00195E73">
            <w:pPr>
              <w:rPr>
                <w:rFonts w:eastAsia="Times New Roman"/>
                <w:sz w:val="20"/>
                <w:szCs w:val="20"/>
              </w:rPr>
            </w:pPr>
          </w:p>
        </w:tc>
        <w:tc>
          <w:tcPr>
            <w:tcW w:w="0" w:type="auto"/>
            <w:vAlign w:val="center"/>
            <w:hideMark/>
          </w:tcPr>
          <w:p w14:paraId="1B854C35" w14:textId="77777777" w:rsidR="00000000" w:rsidRDefault="00195E73">
            <w:pPr>
              <w:rPr>
                <w:rFonts w:eastAsia="Times New Roman"/>
                <w:sz w:val="20"/>
                <w:szCs w:val="20"/>
              </w:rPr>
            </w:pPr>
          </w:p>
        </w:tc>
        <w:tc>
          <w:tcPr>
            <w:tcW w:w="0" w:type="auto"/>
            <w:vAlign w:val="center"/>
            <w:hideMark/>
          </w:tcPr>
          <w:p w14:paraId="63C944A0" w14:textId="77777777" w:rsidR="00000000" w:rsidRDefault="00195E73">
            <w:pPr>
              <w:rPr>
                <w:rFonts w:eastAsia="Times New Roman"/>
                <w:sz w:val="20"/>
                <w:szCs w:val="20"/>
              </w:rPr>
            </w:pPr>
          </w:p>
        </w:tc>
        <w:tc>
          <w:tcPr>
            <w:tcW w:w="0" w:type="auto"/>
            <w:vAlign w:val="center"/>
            <w:hideMark/>
          </w:tcPr>
          <w:p w14:paraId="3B5A90E2" w14:textId="77777777" w:rsidR="00000000" w:rsidRDefault="00195E73">
            <w:pPr>
              <w:rPr>
                <w:rFonts w:eastAsia="Times New Roman"/>
                <w:sz w:val="20"/>
                <w:szCs w:val="20"/>
              </w:rPr>
            </w:pPr>
          </w:p>
        </w:tc>
        <w:tc>
          <w:tcPr>
            <w:tcW w:w="0" w:type="auto"/>
            <w:vAlign w:val="center"/>
            <w:hideMark/>
          </w:tcPr>
          <w:p w14:paraId="1C74F104" w14:textId="77777777" w:rsidR="00000000" w:rsidRDefault="00195E73">
            <w:pPr>
              <w:rPr>
                <w:rFonts w:eastAsia="Times New Roman"/>
                <w:sz w:val="20"/>
                <w:szCs w:val="20"/>
              </w:rPr>
            </w:pPr>
          </w:p>
        </w:tc>
        <w:tc>
          <w:tcPr>
            <w:tcW w:w="0" w:type="auto"/>
            <w:vAlign w:val="center"/>
            <w:hideMark/>
          </w:tcPr>
          <w:p w14:paraId="4D4EE1CC" w14:textId="77777777" w:rsidR="00000000" w:rsidRDefault="00195E73">
            <w:pPr>
              <w:rPr>
                <w:rFonts w:eastAsia="Times New Roman"/>
                <w:sz w:val="20"/>
                <w:szCs w:val="20"/>
              </w:rPr>
            </w:pPr>
          </w:p>
        </w:tc>
        <w:tc>
          <w:tcPr>
            <w:tcW w:w="0" w:type="auto"/>
            <w:vAlign w:val="center"/>
            <w:hideMark/>
          </w:tcPr>
          <w:p w14:paraId="6639238D" w14:textId="77777777" w:rsidR="00000000" w:rsidRDefault="00195E73">
            <w:pPr>
              <w:rPr>
                <w:rFonts w:eastAsia="Times New Roman"/>
                <w:sz w:val="20"/>
                <w:szCs w:val="20"/>
              </w:rPr>
            </w:pPr>
          </w:p>
        </w:tc>
        <w:tc>
          <w:tcPr>
            <w:tcW w:w="0" w:type="auto"/>
            <w:vAlign w:val="center"/>
            <w:hideMark/>
          </w:tcPr>
          <w:p w14:paraId="3915CD43" w14:textId="77777777" w:rsidR="00000000" w:rsidRDefault="00195E73">
            <w:pPr>
              <w:rPr>
                <w:rFonts w:eastAsia="Times New Roman"/>
                <w:sz w:val="20"/>
                <w:szCs w:val="20"/>
              </w:rPr>
            </w:pPr>
          </w:p>
        </w:tc>
        <w:tc>
          <w:tcPr>
            <w:tcW w:w="0" w:type="auto"/>
            <w:vAlign w:val="center"/>
            <w:hideMark/>
          </w:tcPr>
          <w:p w14:paraId="1470528B" w14:textId="77777777" w:rsidR="00000000" w:rsidRDefault="00195E73">
            <w:pPr>
              <w:rPr>
                <w:rFonts w:eastAsia="Times New Roman"/>
                <w:sz w:val="20"/>
                <w:szCs w:val="20"/>
              </w:rPr>
            </w:pPr>
          </w:p>
        </w:tc>
        <w:tc>
          <w:tcPr>
            <w:tcW w:w="0" w:type="auto"/>
            <w:vAlign w:val="center"/>
            <w:hideMark/>
          </w:tcPr>
          <w:p w14:paraId="341B51C0" w14:textId="77777777" w:rsidR="00000000" w:rsidRDefault="00195E73">
            <w:pPr>
              <w:rPr>
                <w:rFonts w:eastAsia="Times New Roman"/>
                <w:sz w:val="20"/>
                <w:szCs w:val="20"/>
              </w:rPr>
            </w:pPr>
          </w:p>
        </w:tc>
      </w:tr>
      <w:tr w:rsidR="00000000" w14:paraId="4698D396" w14:textId="77777777">
        <w:trPr>
          <w:divId w:val="963343899"/>
          <w:jc w:val="center"/>
        </w:trPr>
        <w:tc>
          <w:tcPr>
            <w:tcW w:w="0" w:type="auto"/>
            <w:gridSpan w:val="3"/>
            <w:shd w:val="clear" w:color="auto" w:fill="FFFFFF"/>
            <w:tcMar>
              <w:top w:w="30" w:type="dxa"/>
              <w:left w:w="90" w:type="dxa"/>
              <w:bottom w:w="30" w:type="dxa"/>
              <w:right w:w="20" w:type="dxa"/>
            </w:tcMar>
            <w:vAlign w:val="bottom"/>
            <w:hideMark/>
          </w:tcPr>
          <w:p w14:paraId="25C080B5" w14:textId="77777777" w:rsidR="00000000" w:rsidRDefault="00195E73">
            <w:pPr>
              <w:rPr>
                <w:rFonts w:eastAsia="Times New Roman"/>
              </w:rPr>
            </w:pPr>
            <w:r>
              <w:rPr>
                <w:rFonts w:eastAsia="Times New Roman"/>
                <w:color w:val="000000"/>
                <w:sz w:val="13"/>
                <w:szCs w:val="13"/>
              </w:rPr>
              <w:t>Gain on disposition of assets, ne</w:t>
            </w:r>
            <w:r>
              <w:rPr>
                <w:rFonts w:eastAsia="Times New Roman"/>
                <w:color w:val="000000"/>
                <w:sz w:val="13"/>
                <w:szCs w:val="13"/>
              </w:rPr>
              <w:t>t</w:t>
            </w:r>
          </w:p>
        </w:tc>
        <w:tc>
          <w:tcPr>
            <w:tcW w:w="0" w:type="auto"/>
            <w:gridSpan w:val="2"/>
            <w:shd w:val="clear" w:color="auto" w:fill="FFFFFF"/>
            <w:tcMar>
              <w:top w:w="30" w:type="dxa"/>
              <w:left w:w="20" w:type="dxa"/>
              <w:bottom w:w="30" w:type="dxa"/>
              <w:right w:w="0" w:type="dxa"/>
            </w:tcMar>
            <w:vAlign w:val="bottom"/>
            <w:hideMark/>
          </w:tcPr>
          <w:p w14:paraId="65166CDA" w14:textId="77777777" w:rsidR="00000000" w:rsidRDefault="00195E73">
            <w:pPr>
              <w:jc w:val="right"/>
              <w:rPr>
                <w:rFonts w:eastAsia="Times New Roman"/>
              </w:rPr>
            </w:pPr>
            <w:r>
              <w:rPr>
                <w:rFonts w:eastAsia="Times New Roman"/>
                <w:color w:val="000000"/>
                <w:sz w:val="13"/>
                <w:szCs w:val="13"/>
              </w:rPr>
              <w:t>(253</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285AE3E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1E4EBC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37191A" w14:textId="77777777" w:rsidR="00000000" w:rsidRDefault="00195E73">
            <w:pPr>
              <w:jc w:val="right"/>
              <w:rPr>
                <w:rFonts w:eastAsia="Times New Roman"/>
              </w:rPr>
            </w:pPr>
            <w:r>
              <w:rPr>
                <w:rFonts w:eastAsia="Times New Roman"/>
                <w:color w:val="000000"/>
                <w:sz w:val="13"/>
                <w:szCs w:val="13"/>
              </w:rPr>
              <w:t>(84</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0ACAB71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DDDB8A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00CDD5" w14:textId="77777777" w:rsidR="00000000" w:rsidRDefault="00195E73">
            <w:pPr>
              <w:jc w:val="right"/>
              <w:rPr>
                <w:rFonts w:eastAsia="Times New Roman"/>
              </w:rPr>
            </w:pPr>
            <w:r>
              <w:rPr>
                <w:rFonts w:eastAsia="Times New Roman"/>
                <w:color w:val="000000"/>
                <w:sz w:val="13"/>
                <w:szCs w:val="13"/>
              </w:rPr>
              <w:t>(2,163</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5FE539F2"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77ECE362" w14:textId="77777777" w:rsidR="00000000" w:rsidRDefault="00195E73">
            <w:pPr>
              <w:rPr>
                <w:rFonts w:eastAsia="Times New Roman"/>
                <w:sz w:val="20"/>
                <w:szCs w:val="20"/>
              </w:rPr>
            </w:pPr>
          </w:p>
        </w:tc>
        <w:tc>
          <w:tcPr>
            <w:tcW w:w="0" w:type="auto"/>
            <w:vAlign w:val="center"/>
            <w:hideMark/>
          </w:tcPr>
          <w:p w14:paraId="55DC2B13" w14:textId="77777777" w:rsidR="00000000" w:rsidRDefault="00195E73">
            <w:pPr>
              <w:rPr>
                <w:rFonts w:eastAsia="Times New Roman"/>
                <w:sz w:val="20"/>
                <w:szCs w:val="20"/>
              </w:rPr>
            </w:pPr>
          </w:p>
        </w:tc>
        <w:tc>
          <w:tcPr>
            <w:tcW w:w="0" w:type="auto"/>
            <w:vAlign w:val="center"/>
            <w:hideMark/>
          </w:tcPr>
          <w:p w14:paraId="7A6D5722" w14:textId="77777777" w:rsidR="00000000" w:rsidRDefault="00195E73">
            <w:pPr>
              <w:rPr>
                <w:rFonts w:eastAsia="Times New Roman"/>
                <w:sz w:val="20"/>
                <w:szCs w:val="20"/>
              </w:rPr>
            </w:pPr>
          </w:p>
        </w:tc>
        <w:tc>
          <w:tcPr>
            <w:tcW w:w="0" w:type="auto"/>
            <w:vAlign w:val="center"/>
            <w:hideMark/>
          </w:tcPr>
          <w:p w14:paraId="4FB4AE62" w14:textId="77777777" w:rsidR="00000000" w:rsidRDefault="00195E73">
            <w:pPr>
              <w:rPr>
                <w:rFonts w:eastAsia="Times New Roman"/>
                <w:sz w:val="20"/>
                <w:szCs w:val="20"/>
              </w:rPr>
            </w:pPr>
          </w:p>
        </w:tc>
        <w:tc>
          <w:tcPr>
            <w:tcW w:w="0" w:type="auto"/>
            <w:vAlign w:val="center"/>
            <w:hideMark/>
          </w:tcPr>
          <w:p w14:paraId="6192C954" w14:textId="77777777" w:rsidR="00000000" w:rsidRDefault="00195E73">
            <w:pPr>
              <w:rPr>
                <w:rFonts w:eastAsia="Times New Roman"/>
                <w:sz w:val="20"/>
                <w:szCs w:val="20"/>
              </w:rPr>
            </w:pPr>
          </w:p>
        </w:tc>
        <w:tc>
          <w:tcPr>
            <w:tcW w:w="0" w:type="auto"/>
            <w:vAlign w:val="center"/>
            <w:hideMark/>
          </w:tcPr>
          <w:p w14:paraId="574292A7" w14:textId="77777777" w:rsidR="00000000" w:rsidRDefault="00195E73">
            <w:pPr>
              <w:rPr>
                <w:rFonts w:eastAsia="Times New Roman"/>
                <w:sz w:val="20"/>
                <w:szCs w:val="20"/>
              </w:rPr>
            </w:pPr>
          </w:p>
        </w:tc>
        <w:tc>
          <w:tcPr>
            <w:tcW w:w="0" w:type="auto"/>
            <w:vAlign w:val="center"/>
            <w:hideMark/>
          </w:tcPr>
          <w:p w14:paraId="3000E32A" w14:textId="77777777" w:rsidR="00000000" w:rsidRDefault="00195E73">
            <w:pPr>
              <w:rPr>
                <w:rFonts w:eastAsia="Times New Roman"/>
                <w:sz w:val="20"/>
                <w:szCs w:val="20"/>
              </w:rPr>
            </w:pPr>
          </w:p>
        </w:tc>
        <w:tc>
          <w:tcPr>
            <w:tcW w:w="0" w:type="auto"/>
            <w:vAlign w:val="center"/>
            <w:hideMark/>
          </w:tcPr>
          <w:p w14:paraId="2D179B93" w14:textId="77777777" w:rsidR="00000000" w:rsidRDefault="00195E73">
            <w:pPr>
              <w:rPr>
                <w:rFonts w:eastAsia="Times New Roman"/>
                <w:sz w:val="20"/>
                <w:szCs w:val="20"/>
              </w:rPr>
            </w:pPr>
          </w:p>
        </w:tc>
        <w:tc>
          <w:tcPr>
            <w:tcW w:w="0" w:type="auto"/>
            <w:vAlign w:val="center"/>
            <w:hideMark/>
          </w:tcPr>
          <w:p w14:paraId="7DB81DA8" w14:textId="77777777" w:rsidR="00000000" w:rsidRDefault="00195E73">
            <w:pPr>
              <w:rPr>
                <w:rFonts w:eastAsia="Times New Roman"/>
                <w:sz w:val="20"/>
                <w:szCs w:val="20"/>
              </w:rPr>
            </w:pPr>
          </w:p>
        </w:tc>
        <w:tc>
          <w:tcPr>
            <w:tcW w:w="0" w:type="auto"/>
            <w:vAlign w:val="center"/>
            <w:hideMark/>
          </w:tcPr>
          <w:p w14:paraId="1B56AC45" w14:textId="77777777" w:rsidR="00000000" w:rsidRDefault="00195E73">
            <w:pPr>
              <w:rPr>
                <w:rFonts w:eastAsia="Times New Roman"/>
                <w:sz w:val="20"/>
                <w:szCs w:val="20"/>
              </w:rPr>
            </w:pPr>
          </w:p>
        </w:tc>
        <w:tc>
          <w:tcPr>
            <w:tcW w:w="0" w:type="auto"/>
            <w:vAlign w:val="center"/>
            <w:hideMark/>
          </w:tcPr>
          <w:p w14:paraId="671B9ED1" w14:textId="77777777" w:rsidR="00000000" w:rsidRDefault="00195E73">
            <w:pPr>
              <w:rPr>
                <w:rFonts w:eastAsia="Times New Roman"/>
                <w:sz w:val="20"/>
                <w:szCs w:val="20"/>
              </w:rPr>
            </w:pPr>
          </w:p>
        </w:tc>
        <w:tc>
          <w:tcPr>
            <w:tcW w:w="0" w:type="auto"/>
            <w:vAlign w:val="center"/>
            <w:hideMark/>
          </w:tcPr>
          <w:p w14:paraId="29A8AA45" w14:textId="77777777" w:rsidR="00000000" w:rsidRDefault="00195E73">
            <w:pPr>
              <w:rPr>
                <w:rFonts w:eastAsia="Times New Roman"/>
                <w:sz w:val="20"/>
                <w:szCs w:val="20"/>
              </w:rPr>
            </w:pPr>
          </w:p>
        </w:tc>
      </w:tr>
      <w:tr w:rsidR="00000000" w14:paraId="34B4C5EC" w14:textId="77777777">
        <w:trPr>
          <w:divId w:val="963343899"/>
          <w:jc w:val="center"/>
        </w:trPr>
        <w:tc>
          <w:tcPr>
            <w:tcW w:w="0" w:type="auto"/>
            <w:gridSpan w:val="3"/>
            <w:shd w:val="clear" w:color="auto" w:fill="CCEEFF"/>
            <w:tcMar>
              <w:top w:w="30" w:type="dxa"/>
              <w:left w:w="90" w:type="dxa"/>
              <w:bottom w:w="30" w:type="dxa"/>
              <w:right w:w="20" w:type="dxa"/>
            </w:tcMar>
            <w:vAlign w:val="bottom"/>
            <w:hideMark/>
          </w:tcPr>
          <w:p w14:paraId="6FF9F602" w14:textId="77777777" w:rsidR="00000000" w:rsidRDefault="00195E73">
            <w:pPr>
              <w:rPr>
                <w:rFonts w:eastAsia="Times New Roman"/>
              </w:rPr>
            </w:pPr>
            <w:r>
              <w:rPr>
                <w:rFonts w:eastAsia="Times New Roman"/>
                <w:color w:val="000000"/>
                <w:sz w:val="13"/>
                <w:szCs w:val="13"/>
              </w:rPr>
              <w:t>Depreciation and amortizatio</w:t>
            </w:r>
            <w:r>
              <w:rPr>
                <w:rFonts w:eastAsia="Times New Roman"/>
                <w:color w:val="000000"/>
                <w:sz w:val="13"/>
                <w:szCs w:val="13"/>
              </w:rPr>
              <w:t>n</w:t>
            </w:r>
          </w:p>
        </w:tc>
        <w:tc>
          <w:tcPr>
            <w:tcW w:w="0" w:type="auto"/>
            <w:gridSpan w:val="2"/>
            <w:shd w:val="clear" w:color="auto" w:fill="CCEEFF"/>
            <w:tcMar>
              <w:top w:w="30" w:type="dxa"/>
              <w:left w:w="20" w:type="dxa"/>
              <w:bottom w:w="30" w:type="dxa"/>
              <w:right w:w="0" w:type="dxa"/>
            </w:tcMar>
            <w:vAlign w:val="bottom"/>
            <w:hideMark/>
          </w:tcPr>
          <w:p w14:paraId="635FA6BB" w14:textId="77777777" w:rsidR="00000000" w:rsidRDefault="00195E73">
            <w:pPr>
              <w:jc w:val="right"/>
              <w:rPr>
                <w:rFonts w:eastAsia="Times New Roman"/>
              </w:rPr>
            </w:pPr>
            <w:r>
              <w:rPr>
                <w:rFonts w:eastAsia="Times New Roman"/>
                <w:color w:val="000000"/>
                <w:sz w:val="13"/>
                <w:szCs w:val="13"/>
              </w:rPr>
              <w:t>519</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78C4573"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B512DB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5460C9" w14:textId="77777777" w:rsidR="00000000" w:rsidRDefault="00195E73">
            <w:pPr>
              <w:jc w:val="right"/>
              <w:rPr>
                <w:rFonts w:eastAsia="Times New Roman"/>
              </w:rPr>
            </w:pPr>
            <w:r>
              <w:rPr>
                <w:rFonts w:eastAsia="Times New Roman"/>
                <w:color w:val="000000"/>
                <w:sz w:val="13"/>
                <w:szCs w:val="13"/>
              </w:rPr>
              <w:t>508</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7411D08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A7A2FF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8E53D1" w14:textId="77777777" w:rsidR="00000000" w:rsidRDefault="00195E73">
            <w:pPr>
              <w:jc w:val="right"/>
              <w:rPr>
                <w:rFonts w:eastAsia="Times New Roman"/>
              </w:rPr>
            </w:pPr>
            <w:r>
              <w:rPr>
                <w:rFonts w:eastAsia="Times New Roman"/>
                <w:color w:val="000000"/>
                <w:sz w:val="13"/>
                <w:szCs w:val="13"/>
              </w:rPr>
              <w:t>518</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2B327143"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492FE664" w14:textId="77777777" w:rsidR="00000000" w:rsidRDefault="00195E73">
            <w:pPr>
              <w:rPr>
                <w:rFonts w:eastAsia="Times New Roman"/>
                <w:sz w:val="20"/>
                <w:szCs w:val="20"/>
              </w:rPr>
            </w:pPr>
          </w:p>
        </w:tc>
        <w:tc>
          <w:tcPr>
            <w:tcW w:w="0" w:type="auto"/>
            <w:vAlign w:val="center"/>
            <w:hideMark/>
          </w:tcPr>
          <w:p w14:paraId="4DA65601" w14:textId="77777777" w:rsidR="00000000" w:rsidRDefault="00195E73">
            <w:pPr>
              <w:rPr>
                <w:rFonts w:eastAsia="Times New Roman"/>
                <w:sz w:val="20"/>
                <w:szCs w:val="20"/>
              </w:rPr>
            </w:pPr>
          </w:p>
        </w:tc>
        <w:tc>
          <w:tcPr>
            <w:tcW w:w="0" w:type="auto"/>
            <w:vAlign w:val="center"/>
            <w:hideMark/>
          </w:tcPr>
          <w:p w14:paraId="013E4FBD" w14:textId="77777777" w:rsidR="00000000" w:rsidRDefault="00195E73">
            <w:pPr>
              <w:rPr>
                <w:rFonts w:eastAsia="Times New Roman"/>
                <w:sz w:val="20"/>
                <w:szCs w:val="20"/>
              </w:rPr>
            </w:pPr>
          </w:p>
        </w:tc>
        <w:tc>
          <w:tcPr>
            <w:tcW w:w="0" w:type="auto"/>
            <w:vAlign w:val="center"/>
            <w:hideMark/>
          </w:tcPr>
          <w:p w14:paraId="4E85C44D" w14:textId="77777777" w:rsidR="00000000" w:rsidRDefault="00195E73">
            <w:pPr>
              <w:rPr>
                <w:rFonts w:eastAsia="Times New Roman"/>
                <w:sz w:val="20"/>
                <w:szCs w:val="20"/>
              </w:rPr>
            </w:pPr>
          </w:p>
        </w:tc>
        <w:tc>
          <w:tcPr>
            <w:tcW w:w="0" w:type="auto"/>
            <w:vAlign w:val="center"/>
            <w:hideMark/>
          </w:tcPr>
          <w:p w14:paraId="7CC8921D" w14:textId="77777777" w:rsidR="00000000" w:rsidRDefault="00195E73">
            <w:pPr>
              <w:rPr>
                <w:rFonts w:eastAsia="Times New Roman"/>
                <w:sz w:val="20"/>
                <w:szCs w:val="20"/>
              </w:rPr>
            </w:pPr>
          </w:p>
        </w:tc>
        <w:tc>
          <w:tcPr>
            <w:tcW w:w="0" w:type="auto"/>
            <w:vAlign w:val="center"/>
            <w:hideMark/>
          </w:tcPr>
          <w:p w14:paraId="359A6D87" w14:textId="77777777" w:rsidR="00000000" w:rsidRDefault="00195E73">
            <w:pPr>
              <w:rPr>
                <w:rFonts w:eastAsia="Times New Roman"/>
                <w:sz w:val="20"/>
                <w:szCs w:val="20"/>
              </w:rPr>
            </w:pPr>
          </w:p>
        </w:tc>
        <w:tc>
          <w:tcPr>
            <w:tcW w:w="0" w:type="auto"/>
            <w:vAlign w:val="center"/>
            <w:hideMark/>
          </w:tcPr>
          <w:p w14:paraId="0068ABCA" w14:textId="77777777" w:rsidR="00000000" w:rsidRDefault="00195E73">
            <w:pPr>
              <w:rPr>
                <w:rFonts w:eastAsia="Times New Roman"/>
                <w:sz w:val="20"/>
                <w:szCs w:val="20"/>
              </w:rPr>
            </w:pPr>
          </w:p>
        </w:tc>
        <w:tc>
          <w:tcPr>
            <w:tcW w:w="0" w:type="auto"/>
            <w:vAlign w:val="center"/>
            <w:hideMark/>
          </w:tcPr>
          <w:p w14:paraId="4A930C65" w14:textId="77777777" w:rsidR="00000000" w:rsidRDefault="00195E73">
            <w:pPr>
              <w:rPr>
                <w:rFonts w:eastAsia="Times New Roman"/>
                <w:sz w:val="20"/>
                <w:szCs w:val="20"/>
              </w:rPr>
            </w:pPr>
          </w:p>
        </w:tc>
        <w:tc>
          <w:tcPr>
            <w:tcW w:w="0" w:type="auto"/>
            <w:vAlign w:val="center"/>
            <w:hideMark/>
          </w:tcPr>
          <w:p w14:paraId="064F5863" w14:textId="77777777" w:rsidR="00000000" w:rsidRDefault="00195E73">
            <w:pPr>
              <w:rPr>
                <w:rFonts w:eastAsia="Times New Roman"/>
                <w:sz w:val="20"/>
                <w:szCs w:val="20"/>
              </w:rPr>
            </w:pPr>
          </w:p>
        </w:tc>
        <w:tc>
          <w:tcPr>
            <w:tcW w:w="0" w:type="auto"/>
            <w:vAlign w:val="center"/>
            <w:hideMark/>
          </w:tcPr>
          <w:p w14:paraId="2CFE79B9" w14:textId="77777777" w:rsidR="00000000" w:rsidRDefault="00195E73">
            <w:pPr>
              <w:rPr>
                <w:rFonts w:eastAsia="Times New Roman"/>
                <w:sz w:val="20"/>
                <w:szCs w:val="20"/>
              </w:rPr>
            </w:pPr>
          </w:p>
        </w:tc>
        <w:tc>
          <w:tcPr>
            <w:tcW w:w="0" w:type="auto"/>
            <w:vAlign w:val="center"/>
            <w:hideMark/>
          </w:tcPr>
          <w:p w14:paraId="39908B0B" w14:textId="77777777" w:rsidR="00000000" w:rsidRDefault="00195E73">
            <w:pPr>
              <w:rPr>
                <w:rFonts w:eastAsia="Times New Roman"/>
                <w:sz w:val="20"/>
                <w:szCs w:val="20"/>
              </w:rPr>
            </w:pPr>
          </w:p>
        </w:tc>
        <w:tc>
          <w:tcPr>
            <w:tcW w:w="0" w:type="auto"/>
            <w:vAlign w:val="center"/>
            <w:hideMark/>
          </w:tcPr>
          <w:p w14:paraId="793300DB" w14:textId="77777777" w:rsidR="00000000" w:rsidRDefault="00195E73">
            <w:pPr>
              <w:rPr>
                <w:rFonts w:eastAsia="Times New Roman"/>
                <w:sz w:val="20"/>
                <w:szCs w:val="20"/>
              </w:rPr>
            </w:pPr>
          </w:p>
        </w:tc>
      </w:tr>
      <w:tr w:rsidR="00000000" w14:paraId="7627BB92" w14:textId="77777777">
        <w:trPr>
          <w:divId w:val="963343899"/>
          <w:jc w:val="center"/>
        </w:trPr>
        <w:tc>
          <w:tcPr>
            <w:tcW w:w="0" w:type="auto"/>
            <w:gridSpan w:val="3"/>
            <w:shd w:val="clear" w:color="auto" w:fill="FFFFFF"/>
            <w:tcMar>
              <w:top w:w="30" w:type="dxa"/>
              <w:left w:w="90" w:type="dxa"/>
              <w:bottom w:w="30" w:type="dxa"/>
              <w:right w:w="20" w:type="dxa"/>
            </w:tcMar>
            <w:vAlign w:val="bottom"/>
            <w:hideMark/>
          </w:tcPr>
          <w:p w14:paraId="1619CC06" w14:textId="77777777" w:rsidR="00000000" w:rsidRDefault="00195E73">
            <w:pPr>
              <w:rPr>
                <w:rFonts w:eastAsia="Times New Roman"/>
              </w:rPr>
            </w:pPr>
            <w:r>
              <w:rPr>
                <w:rFonts w:eastAsia="Times New Roman"/>
                <w:color w:val="000000"/>
                <w:sz w:val="13"/>
                <w:szCs w:val="13"/>
              </w:rPr>
              <w:t>Impairmen</w:t>
            </w:r>
            <w:r>
              <w:rPr>
                <w:rFonts w:eastAsia="Times New Roman"/>
                <w:color w:val="000000"/>
                <w:sz w:val="13"/>
                <w:szCs w:val="13"/>
              </w:rPr>
              <w:t>t</w:t>
            </w:r>
          </w:p>
        </w:tc>
        <w:tc>
          <w:tcPr>
            <w:tcW w:w="0" w:type="auto"/>
            <w:gridSpan w:val="2"/>
            <w:shd w:val="clear" w:color="auto" w:fill="FFFFFF"/>
            <w:tcMar>
              <w:top w:w="30" w:type="dxa"/>
              <w:left w:w="20" w:type="dxa"/>
              <w:bottom w:w="30" w:type="dxa"/>
              <w:right w:w="0" w:type="dxa"/>
            </w:tcMar>
            <w:vAlign w:val="bottom"/>
            <w:hideMark/>
          </w:tcPr>
          <w:p w14:paraId="76B4BB1F" w14:textId="77777777" w:rsidR="00000000" w:rsidRDefault="00195E73">
            <w:pPr>
              <w:jc w:val="right"/>
              <w:rPr>
                <w:rFonts w:eastAsia="Times New Roman"/>
              </w:rPr>
            </w:pPr>
            <w:r>
              <w:rPr>
                <w:rFonts w:eastAsia="Times New Roman"/>
                <w:color w:val="000000"/>
                <w:sz w:val="13"/>
                <w:szCs w:val="13"/>
              </w:rPr>
              <w:t>2</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0E7B9644"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64067E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DDC68D" w14:textId="77777777" w:rsidR="00000000" w:rsidRDefault="00195E73">
            <w:pPr>
              <w:jc w:val="right"/>
              <w:rPr>
                <w:rFonts w:eastAsia="Times New Roman"/>
              </w:rPr>
            </w:pPr>
            <w:r>
              <w:rPr>
                <w:rFonts w:eastAsia="Times New Roman"/>
                <w:color w:val="000000"/>
                <w:sz w:val="13"/>
                <w:szCs w:val="13"/>
              </w:rPr>
              <w:t>92</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5A1708A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0B4E5E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E4E84B" w14:textId="77777777" w:rsidR="00000000" w:rsidRDefault="00195E73">
            <w:pPr>
              <w:jc w:val="right"/>
              <w:rPr>
                <w:rFonts w:eastAsia="Times New Roman"/>
              </w:rPr>
            </w:pPr>
            <w:r>
              <w:rPr>
                <w:rFonts w:eastAsia="Times New Roman"/>
                <w:color w:val="000000"/>
                <w:sz w:val="13"/>
                <w:szCs w:val="13"/>
              </w:rPr>
              <w:t>87</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46B07E7B"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7BF10A9F" w14:textId="77777777" w:rsidR="00000000" w:rsidRDefault="00195E73">
            <w:pPr>
              <w:rPr>
                <w:rFonts w:eastAsia="Times New Roman"/>
                <w:sz w:val="20"/>
                <w:szCs w:val="20"/>
              </w:rPr>
            </w:pPr>
          </w:p>
        </w:tc>
        <w:tc>
          <w:tcPr>
            <w:tcW w:w="0" w:type="auto"/>
            <w:vAlign w:val="center"/>
            <w:hideMark/>
          </w:tcPr>
          <w:p w14:paraId="69318313" w14:textId="77777777" w:rsidR="00000000" w:rsidRDefault="00195E73">
            <w:pPr>
              <w:rPr>
                <w:rFonts w:eastAsia="Times New Roman"/>
                <w:sz w:val="20"/>
                <w:szCs w:val="20"/>
              </w:rPr>
            </w:pPr>
          </w:p>
        </w:tc>
        <w:tc>
          <w:tcPr>
            <w:tcW w:w="0" w:type="auto"/>
            <w:vAlign w:val="center"/>
            <w:hideMark/>
          </w:tcPr>
          <w:p w14:paraId="2B7E5FEC" w14:textId="77777777" w:rsidR="00000000" w:rsidRDefault="00195E73">
            <w:pPr>
              <w:rPr>
                <w:rFonts w:eastAsia="Times New Roman"/>
                <w:sz w:val="20"/>
                <w:szCs w:val="20"/>
              </w:rPr>
            </w:pPr>
          </w:p>
        </w:tc>
        <w:tc>
          <w:tcPr>
            <w:tcW w:w="0" w:type="auto"/>
            <w:vAlign w:val="center"/>
            <w:hideMark/>
          </w:tcPr>
          <w:p w14:paraId="2A32A96B" w14:textId="77777777" w:rsidR="00000000" w:rsidRDefault="00195E73">
            <w:pPr>
              <w:rPr>
                <w:rFonts w:eastAsia="Times New Roman"/>
                <w:sz w:val="20"/>
                <w:szCs w:val="20"/>
              </w:rPr>
            </w:pPr>
          </w:p>
        </w:tc>
        <w:tc>
          <w:tcPr>
            <w:tcW w:w="0" w:type="auto"/>
            <w:vAlign w:val="center"/>
            <w:hideMark/>
          </w:tcPr>
          <w:p w14:paraId="749A28B0" w14:textId="77777777" w:rsidR="00000000" w:rsidRDefault="00195E73">
            <w:pPr>
              <w:rPr>
                <w:rFonts w:eastAsia="Times New Roman"/>
                <w:sz w:val="20"/>
                <w:szCs w:val="20"/>
              </w:rPr>
            </w:pPr>
          </w:p>
        </w:tc>
        <w:tc>
          <w:tcPr>
            <w:tcW w:w="0" w:type="auto"/>
            <w:vAlign w:val="center"/>
            <w:hideMark/>
          </w:tcPr>
          <w:p w14:paraId="5917D854" w14:textId="77777777" w:rsidR="00000000" w:rsidRDefault="00195E73">
            <w:pPr>
              <w:rPr>
                <w:rFonts w:eastAsia="Times New Roman"/>
                <w:sz w:val="20"/>
                <w:szCs w:val="20"/>
              </w:rPr>
            </w:pPr>
          </w:p>
        </w:tc>
        <w:tc>
          <w:tcPr>
            <w:tcW w:w="0" w:type="auto"/>
            <w:vAlign w:val="center"/>
            <w:hideMark/>
          </w:tcPr>
          <w:p w14:paraId="02D2FA0B" w14:textId="77777777" w:rsidR="00000000" w:rsidRDefault="00195E73">
            <w:pPr>
              <w:rPr>
                <w:rFonts w:eastAsia="Times New Roman"/>
                <w:sz w:val="20"/>
                <w:szCs w:val="20"/>
              </w:rPr>
            </w:pPr>
          </w:p>
        </w:tc>
        <w:tc>
          <w:tcPr>
            <w:tcW w:w="0" w:type="auto"/>
            <w:vAlign w:val="center"/>
            <w:hideMark/>
          </w:tcPr>
          <w:p w14:paraId="72CF1E35" w14:textId="77777777" w:rsidR="00000000" w:rsidRDefault="00195E73">
            <w:pPr>
              <w:rPr>
                <w:rFonts w:eastAsia="Times New Roman"/>
                <w:sz w:val="20"/>
                <w:szCs w:val="20"/>
              </w:rPr>
            </w:pPr>
          </w:p>
        </w:tc>
        <w:tc>
          <w:tcPr>
            <w:tcW w:w="0" w:type="auto"/>
            <w:vAlign w:val="center"/>
            <w:hideMark/>
          </w:tcPr>
          <w:p w14:paraId="0EC6C986" w14:textId="77777777" w:rsidR="00000000" w:rsidRDefault="00195E73">
            <w:pPr>
              <w:rPr>
                <w:rFonts w:eastAsia="Times New Roman"/>
                <w:sz w:val="20"/>
                <w:szCs w:val="20"/>
              </w:rPr>
            </w:pPr>
          </w:p>
        </w:tc>
        <w:tc>
          <w:tcPr>
            <w:tcW w:w="0" w:type="auto"/>
            <w:vAlign w:val="center"/>
            <w:hideMark/>
          </w:tcPr>
          <w:p w14:paraId="7B2DE43B" w14:textId="77777777" w:rsidR="00000000" w:rsidRDefault="00195E73">
            <w:pPr>
              <w:rPr>
                <w:rFonts w:eastAsia="Times New Roman"/>
                <w:sz w:val="20"/>
                <w:szCs w:val="20"/>
              </w:rPr>
            </w:pPr>
          </w:p>
        </w:tc>
        <w:tc>
          <w:tcPr>
            <w:tcW w:w="0" w:type="auto"/>
            <w:vAlign w:val="center"/>
            <w:hideMark/>
          </w:tcPr>
          <w:p w14:paraId="2A99A15F" w14:textId="77777777" w:rsidR="00000000" w:rsidRDefault="00195E73">
            <w:pPr>
              <w:rPr>
                <w:rFonts w:eastAsia="Times New Roman"/>
                <w:sz w:val="20"/>
                <w:szCs w:val="20"/>
              </w:rPr>
            </w:pPr>
          </w:p>
        </w:tc>
        <w:tc>
          <w:tcPr>
            <w:tcW w:w="0" w:type="auto"/>
            <w:vAlign w:val="center"/>
            <w:hideMark/>
          </w:tcPr>
          <w:p w14:paraId="62D08FC1" w14:textId="77777777" w:rsidR="00000000" w:rsidRDefault="00195E73">
            <w:pPr>
              <w:rPr>
                <w:rFonts w:eastAsia="Times New Roman"/>
                <w:sz w:val="20"/>
                <w:szCs w:val="20"/>
              </w:rPr>
            </w:pPr>
          </w:p>
        </w:tc>
      </w:tr>
      <w:tr w:rsidR="00000000" w14:paraId="57D04666" w14:textId="77777777">
        <w:trPr>
          <w:divId w:val="963343899"/>
          <w:jc w:val="center"/>
        </w:trPr>
        <w:tc>
          <w:tcPr>
            <w:tcW w:w="0" w:type="auto"/>
            <w:gridSpan w:val="3"/>
            <w:shd w:val="clear" w:color="auto" w:fill="CCEEFF"/>
            <w:tcMar>
              <w:top w:w="30" w:type="dxa"/>
              <w:left w:w="90" w:type="dxa"/>
              <w:bottom w:w="30" w:type="dxa"/>
              <w:right w:w="20" w:type="dxa"/>
            </w:tcMar>
            <w:vAlign w:val="bottom"/>
            <w:hideMark/>
          </w:tcPr>
          <w:p w14:paraId="6D53D5C9" w14:textId="77777777" w:rsidR="00000000" w:rsidRDefault="00195E73">
            <w:pPr>
              <w:rPr>
                <w:rFonts w:eastAsia="Times New Roman"/>
              </w:rPr>
            </w:pPr>
            <w:r>
              <w:rPr>
                <w:rFonts w:eastAsia="Times New Roman"/>
                <w:color w:val="000000"/>
                <w:sz w:val="13"/>
                <w:szCs w:val="13"/>
              </w:rPr>
              <w:t>Deferred taxe</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443D62B3" w14:textId="77777777" w:rsidR="00000000" w:rsidRDefault="00195E73">
            <w:pPr>
              <w:jc w:val="right"/>
              <w:rPr>
                <w:rFonts w:eastAsia="Times New Roman"/>
              </w:rPr>
            </w:pPr>
            <w:r>
              <w:rPr>
                <w:rFonts w:eastAsia="Times New Roman"/>
                <w:color w:val="000000"/>
                <w:sz w:val="13"/>
                <w:szCs w:val="13"/>
              </w:rPr>
              <w:t>(89</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2004F6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0F3359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5B3EB7" w14:textId="77777777" w:rsidR="00000000" w:rsidRDefault="00195E73">
            <w:pPr>
              <w:jc w:val="right"/>
              <w:rPr>
                <w:rFonts w:eastAsia="Times New Roman"/>
              </w:rPr>
            </w:pPr>
            <w:r>
              <w:rPr>
                <w:rFonts w:eastAsia="Times New Roman"/>
                <w:color w:val="000000"/>
                <w:sz w:val="13"/>
                <w:szCs w:val="13"/>
              </w:rPr>
              <w:t>(29</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6081DC0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70E3DC6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8A402A" w14:textId="77777777" w:rsidR="00000000" w:rsidRDefault="00195E73">
            <w:pPr>
              <w:jc w:val="right"/>
              <w:rPr>
                <w:rFonts w:eastAsia="Times New Roman"/>
              </w:rPr>
            </w:pPr>
            <w:r>
              <w:rPr>
                <w:rFonts w:eastAsia="Times New Roman"/>
                <w:color w:val="000000"/>
                <w:sz w:val="13"/>
                <w:szCs w:val="13"/>
              </w:rPr>
              <w:t>(560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2CC7DAD"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79FE1768" w14:textId="77777777" w:rsidR="00000000" w:rsidRDefault="00195E73">
            <w:pPr>
              <w:rPr>
                <w:rFonts w:eastAsia="Times New Roman"/>
                <w:sz w:val="20"/>
                <w:szCs w:val="20"/>
              </w:rPr>
            </w:pPr>
          </w:p>
        </w:tc>
        <w:tc>
          <w:tcPr>
            <w:tcW w:w="0" w:type="auto"/>
            <w:vAlign w:val="center"/>
            <w:hideMark/>
          </w:tcPr>
          <w:p w14:paraId="23D4EE84" w14:textId="77777777" w:rsidR="00000000" w:rsidRDefault="00195E73">
            <w:pPr>
              <w:rPr>
                <w:rFonts w:eastAsia="Times New Roman"/>
                <w:sz w:val="20"/>
                <w:szCs w:val="20"/>
              </w:rPr>
            </w:pPr>
          </w:p>
        </w:tc>
        <w:tc>
          <w:tcPr>
            <w:tcW w:w="0" w:type="auto"/>
            <w:vAlign w:val="center"/>
            <w:hideMark/>
          </w:tcPr>
          <w:p w14:paraId="3ACF0091" w14:textId="77777777" w:rsidR="00000000" w:rsidRDefault="00195E73">
            <w:pPr>
              <w:rPr>
                <w:rFonts w:eastAsia="Times New Roman"/>
                <w:sz w:val="20"/>
                <w:szCs w:val="20"/>
              </w:rPr>
            </w:pPr>
          </w:p>
        </w:tc>
        <w:tc>
          <w:tcPr>
            <w:tcW w:w="0" w:type="auto"/>
            <w:vAlign w:val="center"/>
            <w:hideMark/>
          </w:tcPr>
          <w:p w14:paraId="32558083" w14:textId="77777777" w:rsidR="00000000" w:rsidRDefault="00195E73">
            <w:pPr>
              <w:rPr>
                <w:rFonts w:eastAsia="Times New Roman"/>
                <w:sz w:val="20"/>
                <w:szCs w:val="20"/>
              </w:rPr>
            </w:pPr>
          </w:p>
        </w:tc>
        <w:tc>
          <w:tcPr>
            <w:tcW w:w="0" w:type="auto"/>
            <w:vAlign w:val="center"/>
            <w:hideMark/>
          </w:tcPr>
          <w:p w14:paraId="152FE028" w14:textId="77777777" w:rsidR="00000000" w:rsidRDefault="00195E73">
            <w:pPr>
              <w:rPr>
                <w:rFonts w:eastAsia="Times New Roman"/>
                <w:sz w:val="20"/>
                <w:szCs w:val="20"/>
              </w:rPr>
            </w:pPr>
          </w:p>
        </w:tc>
        <w:tc>
          <w:tcPr>
            <w:tcW w:w="0" w:type="auto"/>
            <w:vAlign w:val="center"/>
            <w:hideMark/>
          </w:tcPr>
          <w:p w14:paraId="68B72BB5" w14:textId="77777777" w:rsidR="00000000" w:rsidRDefault="00195E73">
            <w:pPr>
              <w:rPr>
                <w:rFonts w:eastAsia="Times New Roman"/>
                <w:sz w:val="20"/>
                <w:szCs w:val="20"/>
              </w:rPr>
            </w:pPr>
          </w:p>
        </w:tc>
        <w:tc>
          <w:tcPr>
            <w:tcW w:w="0" w:type="auto"/>
            <w:vAlign w:val="center"/>
            <w:hideMark/>
          </w:tcPr>
          <w:p w14:paraId="56149C0A" w14:textId="77777777" w:rsidR="00000000" w:rsidRDefault="00195E73">
            <w:pPr>
              <w:rPr>
                <w:rFonts w:eastAsia="Times New Roman"/>
                <w:sz w:val="20"/>
                <w:szCs w:val="20"/>
              </w:rPr>
            </w:pPr>
          </w:p>
        </w:tc>
        <w:tc>
          <w:tcPr>
            <w:tcW w:w="0" w:type="auto"/>
            <w:vAlign w:val="center"/>
            <w:hideMark/>
          </w:tcPr>
          <w:p w14:paraId="6FB30AF0" w14:textId="77777777" w:rsidR="00000000" w:rsidRDefault="00195E73">
            <w:pPr>
              <w:rPr>
                <w:rFonts w:eastAsia="Times New Roman"/>
                <w:sz w:val="20"/>
                <w:szCs w:val="20"/>
              </w:rPr>
            </w:pPr>
          </w:p>
        </w:tc>
        <w:tc>
          <w:tcPr>
            <w:tcW w:w="0" w:type="auto"/>
            <w:vAlign w:val="center"/>
            <w:hideMark/>
          </w:tcPr>
          <w:p w14:paraId="42B79B30" w14:textId="77777777" w:rsidR="00000000" w:rsidRDefault="00195E73">
            <w:pPr>
              <w:rPr>
                <w:rFonts w:eastAsia="Times New Roman"/>
                <w:sz w:val="20"/>
                <w:szCs w:val="20"/>
              </w:rPr>
            </w:pPr>
          </w:p>
        </w:tc>
        <w:tc>
          <w:tcPr>
            <w:tcW w:w="0" w:type="auto"/>
            <w:vAlign w:val="center"/>
            <w:hideMark/>
          </w:tcPr>
          <w:p w14:paraId="18C95FF9" w14:textId="77777777" w:rsidR="00000000" w:rsidRDefault="00195E73">
            <w:pPr>
              <w:rPr>
                <w:rFonts w:eastAsia="Times New Roman"/>
                <w:sz w:val="20"/>
                <w:szCs w:val="20"/>
              </w:rPr>
            </w:pPr>
          </w:p>
        </w:tc>
        <w:tc>
          <w:tcPr>
            <w:tcW w:w="0" w:type="auto"/>
            <w:vAlign w:val="center"/>
            <w:hideMark/>
          </w:tcPr>
          <w:p w14:paraId="00739DA4" w14:textId="77777777" w:rsidR="00000000" w:rsidRDefault="00195E73">
            <w:pPr>
              <w:rPr>
                <w:rFonts w:eastAsia="Times New Roman"/>
                <w:sz w:val="20"/>
                <w:szCs w:val="20"/>
              </w:rPr>
            </w:pPr>
          </w:p>
        </w:tc>
        <w:tc>
          <w:tcPr>
            <w:tcW w:w="0" w:type="auto"/>
            <w:vAlign w:val="center"/>
            <w:hideMark/>
          </w:tcPr>
          <w:p w14:paraId="6E73494F" w14:textId="77777777" w:rsidR="00000000" w:rsidRDefault="00195E73">
            <w:pPr>
              <w:rPr>
                <w:rFonts w:eastAsia="Times New Roman"/>
                <w:sz w:val="20"/>
                <w:szCs w:val="20"/>
              </w:rPr>
            </w:pPr>
          </w:p>
        </w:tc>
      </w:tr>
      <w:tr w:rsidR="00000000" w14:paraId="754FFA56" w14:textId="77777777">
        <w:trPr>
          <w:divId w:val="963343899"/>
          <w:jc w:val="center"/>
        </w:trPr>
        <w:tc>
          <w:tcPr>
            <w:tcW w:w="0" w:type="auto"/>
            <w:gridSpan w:val="3"/>
            <w:shd w:val="clear" w:color="auto" w:fill="FFFFFF"/>
            <w:tcMar>
              <w:top w:w="30" w:type="dxa"/>
              <w:left w:w="90" w:type="dxa"/>
              <w:bottom w:w="30" w:type="dxa"/>
              <w:right w:w="20" w:type="dxa"/>
            </w:tcMar>
            <w:vAlign w:val="bottom"/>
            <w:hideMark/>
          </w:tcPr>
          <w:p w14:paraId="6C298F3E" w14:textId="77777777" w:rsidR="00000000" w:rsidRDefault="00195E73">
            <w:pPr>
              <w:rPr>
                <w:rFonts w:eastAsia="Times New Roman"/>
              </w:rPr>
            </w:pPr>
            <w:r>
              <w:rPr>
                <w:rFonts w:eastAsia="Times New Roman"/>
                <w:color w:val="000000"/>
                <w:sz w:val="13"/>
                <w:szCs w:val="13"/>
              </w:rPr>
              <w:t>Other, ne</w:t>
            </w:r>
            <w:r>
              <w:rPr>
                <w:rFonts w:eastAsia="Times New Roman"/>
                <w:color w:val="000000"/>
                <w:sz w:val="13"/>
                <w:szCs w:val="13"/>
              </w:rPr>
              <w:t>t</w:t>
            </w:r>
          </w:p>
        </w:tc>
        <w:tc>
          <w:tcPr>
            <w:tcW w:w="0" w:type="auto"/>
            <w:gridSpan w:val="2"/>
            <w:shd w:val="clear" w:color="auto" w:fill="FFFFFF"/>
            <w:tcMar>
              <w:top w:w="30" w:type="dxa"/>
              <w:left w:w="20" w:type="dxa"/>
              <w:bottom w:w="30" w:type="dxa"/>
              <w:right w:w="0" w:type="dxa"/>
            </w:tcMar>
            <w:vAlign w:val="bottom"/>
            <w:hideMark/>
          </w:tcPr>
          <w:p w14:paraId="116935B6" w14:textId="77777777" w:rsidR="00000000" w:rsidRDefault="00195E73">
            <w:pPr>
              <w:jc w:val="right"/>
              <w:rPr>
                <w:rFonts w:eastAsia="Times New Roman"/>
              </w:rPr>
            </w:pPr>
            <w:r>
              <w:rPr>
                <w:rFonts w:eastAsia="Times New Roman"/>
                <w:color w:val="000000"/>
                <w:sz w:val="13"/>
                <w:szCs w:val="13"/>
              </w:rPr>
              <w:t>15</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0C3E4815"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C60139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DD3A8A" w14:textId="77777777" w:rsidR="00000000" w:rsidRDefault="00195E73">
            <w:pPr>
              <w:jc w:val="right"/>
              <w:rPr>
                <w:rFonts w:eastAsia="Times New Roman"/>
              </w:rPr>
            </w:pPr>
            <w:r>
              <w:rPr>
                <w:rFonts w:eastAsia="Times New Roman"/>
                <w:color w:val="000000"/>
                <w:sz w:val="13"/>
                <w:szCs w:val="13"/>
              </w:rPr>
              <w:t>122</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6E1B8510"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0CCBB3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36DEF5" w14:textId="77777777" w:rsidR="00000000" w:rsidRDefault="00195E73">
            <w:pPr>
              <w:jc w:val="right"/>
              <w:rPr>
                <w:rFonts w:eastAsia="Times New Roman"/>
              </w:rPr>
            </w:pPr>
            <w:r>
              <w:rPr>
                <w:rFonts w:eastAsia="Times New Roman"/>
                <w:color w:val="000000"/>
                <w:sz w:val="13"/>
                <w:szCs w:val="13"/>
              </w:rPr>
              <w:t>(29</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09143CC4"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86BE3EC" w14:textId="77777777" w:rsidR="00000000" w:rsidRDefault="00195E73">
            <w:pPr>
              <w:rPr>
                <w:rFonts w:eastAsia="Times New Roman"/>
                <w:sz w:val="20"/>
                <w:szCs w:val="20"/>
              </w:rPr>
            </w:pPr>
          </w:p>
        </w:tc>
        <w:tc>
          <w:tcPr>
            <w:tcW w:w="0" w:type="auto"/>
            <w:vAlign w:val="center"/>
            <w:hideMark/>
          </w:tcPr>
          <w:p w14:paraId="0E13C1D5" w14:textId="77777777" w:rsidR="00000000" w:rsidRDefault="00195E73">
            <w:pPr>
              <w:rPr>
                <w:rFonts w:eastAsia="Times New Roman"/>
                <w:sz w:val="20"/>
                <w:szCs w:val="20"/>
              </w:rPr>
            </w:pPr>
          </w:p>
        </w:tc>
        <w:tc>
          <w:tcPr>
            <w:tcW w:w="0" w:type="auto"/>
            <w:vAlign w:val="center"/>
            <w:hideMark/>
          </w:tcPr>
          <w:p w14:paraId="26FFCDD7" w14:textId="77777777" w:rsidR="00000000" w:rsidRDefault="00195E73">
            <w:pPr>
              <w:rPr>
                <w:rFonts w:eastAsia="Times New Roman"/>
                <w:sz w:val="20"/>
                <w:szCs w:val="20"/>
              </w:rPr>
            </w:pPr>
          </w:p>
        </w:tc>
        <w:tc>
          <w:tcPr>
            <w:tcW w:w="0" w:type="auto"/>
            <w:vAlign w:val="center"/>
            <w:hideMark/>
          </w:tcPr>
          <w:p w14:paraId="3E887331" w14:textId="77777777" w:rsidR="00000000" w:rsidRDefault="00195E73">
            <w:pPr>
              <w:rPr>
                <w:rFonts w:eastAsia="Times New Roman"/>
                <w:sz w:val="20"/>
                <w:szCs w:val="20"/>
              </w:rPr>
            </w:pPr>
          </w:p>
        </w:tc>
        <w:tc>
          <w:tcPr>
            <w:tcW w:w="0" w:type="auto"/>
            <w:vAlign w:val="center"/>
            <w:hideMark/>
          </w:tcPr>
          <w:p w14:paraId="13B80096" w14:textId="77777777" w:rsidR="00000000" w:rsidRDefault="00195E73">
            <w:pPr>
              <w:rPr>
                <w:rFonts w:eastAsia="Times New Roman"/>
                <w:sz w:val="20"/>
                <w:szCs w:val="20"/>
              </w:rPr>
            </w:pPr>
          </w:p>
        </w:tc>
        <w:tc>
          <w:tcPr>
            <w:tcW w:w="0" w:type="auto"/>
            <w:vAlign w:val="center"/>
            <w:hideMark/>
          </w:tcPr>
          <w:p w14:paraId="14FB2F8B" w14:textId="77777777" w:rsidR="00000000" w:rsidRDefault="00195E73">
            <w:pPr>
              <w:rPr>
                <w:rFonts w:eastAsia="Times New Roman"/>
                <w:sz w:val="20"/>
                <w:szCs w:val="20"/>
              </w:rPr>
            </w:pPr>
          </w:p>
        </w:tc>
        <w:tc>
          <w:tcPr>
            <w:tcW w:w="0" w:type="auto"/>
            <w:vAlign w:val="center"/>
            <w:hideMark/>
          </w:tcPr>
          <w:p w14:paraId="035BB20E" w14:textId="77777777" w:rsidR="00000000" w:rsidRDefault="00195E73">
            <w:pPr>
              <w:rPr>
                <w:rFonts w:eastAsia="Times New Roman"/>
                <w:sz w:val="20"/>
                <w:szCs w:val="20"/>
              </w:rPr>
            </w:pPr>
          </w:p>
        </w:tc>
        <w:tc>
          <w:tcPr>
            <w:tcW w:w="0" w:type="auto"/>
            <w:vAlign w:val="center"/>
            <w:hideMark/>
          </w:tcPr>
          <w:p w14:paraId="6FCA6C4B" w14:textId="77777777" w:rsidR="00000000" w:rsidRDefault="00195E73">
            <w:pPr>
              <w:rPr>
                <w:rFonts w:eastAsia="Times New Roman"/>
                <w:sz w:val="20"/>
                <w:szCs w:val="20"/>
              </w:rPr>
            </w:pPr>
          </w:p>
        </w:tc>
        <w:tc>
          <w:tcPr>
            <w:tcW w:w="0" w:type="auto"/>
            <w:vAlign w:val="center"/>
            <w:hideMark/>
          </w:tcPr>
          <w:p w14:paraId="43A975B4" w14:textId="77777777" w:rsidR="00000000" w:rsidRDefault="00195E73">
            <w:pPr>
              <w:rPr>
                <w:rFonts w:eastAsia="Times New Roman"/>
                <w:sz w:val="20"/>
                <w:szCs w:val="20"/>
              </w:rPr>
            </w:pPr>
          </w:p>
        </w:tc>
        <w:tc>
          <w:tcPr>
            <w:tcW w:w="0" w:type="auto"/>
            <w:vAlign w:val="center"/>
            <w:hideMark/>
          </w:tcPr>
          <w:p w14:paraId="571548FD" w14:textId="77777777" w:rsidR="00000000" w:rsidRDefault="00195E73">
            <w:pPr>
              <w:rPr>
                <w:rFonts w:eastAsia="Times New Roman"/>
                <w:sz w:val="20"/>
                <w:szCs w:val="20"/>
              </w:rPr>
            </w:pPr>
          </w:p>
        </w:tc>
        <w:tc>
          <w:tcPr>
            <w:tcW w:w="0" w:type="auto"/>
            <w:vAlign w:val="center"/>
            <w:hideMark/>
          </w:tcPr>
          <w:p w14:paraId="669E0081" w14:textId="77777777" w:rsidR="00000000" w:rsidRDefault="00195E73">
            <w:pPr>
              <w:rPr>
                <w:rFonts w:eastAsia="Times New Roman"/>
                <w:sz w:val="20"/>
                <w:szCs w:val="20"/>
              </w:rPr>
            </w:pPr>
          </w:p>
        </w:tc>
        <w:tc>
          <w:tcPr>
            <w:tcW w:w="0" w:type="auto"/>
            <w:vAlign w:val="center"/>
            <w:hideMark/>
          </w:tcPr>
          <w:p w14:paraId="56863299" w14:textId="77777777" w:rsidR="00000000" w:rsidRDefault="00195E73">
            <w:pPr>
              <w:rPr>
                <w:rFonts w:eastAsia="Times New Roman"/>
                <w:sz w:val="20"/>
                <w:szCs w:val="20"/>
              </w:rPr>
            </w:pPr>
          </w:p>
        </w:tc>
      </w:tr>
      <w:tr w:rsidR="00000000" w14:paraId="7441605D" w14:textId="77777777">
        <w:trPr>
          <w:divId w:val="963343899"/>
          <w:jc w:val="center"/>
        </w:trPr>
        <w:tc>
          <w:tcPr>
            <w:tcW w:w="0" w:type="auto"/>
            <w:gridSpan w:val="3"/>
            <w:shd w:val="clear" w:color="auto" w:fill="CCEEFF"/>
            <w:tcMar>
              <w:top w:w="30" w:type="dxa"/>
              <w:left w:w="90" w:type="dxa"/>
              <w:bottom w:w="30" w:type="dxa"/>
              <w:right w:w="20" w:type="dxa"/>
            </w:tcMar>
            <w:vAlign w:val="bottom"/>
            <w:hideMark/>
          </w:tcPr>
          <w:p w14:paraId="18439E85" w14:textId="77777777" w:rsidR="00000000" w:rsidRDefault="00195E73">
            <w:pPr>
              <w:rPr>
                <w:rFonts w:eastAsia="Times New Roman"/>
              </w:rPr>
            </w:pPr>
            <w:r>
              <w:rPr>
                <w:rFonts w:eastAsia="Times New Roman"/>
                <w:color w:val="000000"/>
                <w:sz w:val="13"/>
                <w:szCs w:val="13"/>
              </w:rPr>
              <w:t>Changes in operating assets and liabilitie</w:t>
            </w:r>
            <w:r>
              <w:rPr>
                <w:rFonts w:eastAsia="Times New Roman"/>
                <w:color w:val="000000"/>
                <w:sz w:val="13"/>
                <w:szCs w:val="13"/>
              </w:rPr>
              <w:t>s</w:t>
            </w:r>
          </w:p>
        </w:tc>
        <w:tc>
          <w:tcPr>
            <w:tcW w:w="0" w:type="auto"/>
            <w:gridSpan w:val="3"/>
            <w:shd w:val="clear" w:color="auto" w:fill="CCEEFF"/>
            <w:tcMar>
              <w:top w:w="15" w:type="dxa"/>
              <w:left w:w="20" w:type="dxa"/>
              <w:bottom w:w="15" w:type="dxa"/>
              <w:right w:w="20" w:type="dxa"/>
            </w:tcMar>
            <w:vAlign w:val="bottom"/>
            <w:hideMark/>
          </w:tcPr>
          <w:p w14:paraId="75250FBB"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9D97AB6"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74562A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BE7300F"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F2B858B" w14:textId="77777777" w:rsidR="00000000" w:rsidRDefault="00195E73">
            <w:pPr>
              <w:rPr>
                <w:rFonts w:eastAsia="Times New Roman"/>
                <w:sz w:val="20"/>
                <w:szCs w:val="20"/>
              </w:rPr>
            </w:pPr>
          </w:p>
        </w:tc>
        <w:tc>
          <w:tcPr>
            <w:tcW w:w="0" w:type="auto"/>
            <w:vAlign w:val="center"/>
            <w:hideMark/>
          </w:tcPr>
          <w:p w14:paraId="53AEF405" w14:textId="77777777" w:rsidR="00000000" w:rsidRDefault="00195E73">
            <w:pPr>
              <w:rPr>
                <w:rFonts w:eastAsia="Times New Roman"/>
                <w:sz w:val="20"/>
                <w:szCs w:val="20"/>
              </w:rPr>
            </w:pPr>
          </w:p>
        </w:tc>
        <w:tc>
          <w:tcPr>
            <w:tcW w:w="0" w:type="auto"/>
            <w:vAlign w:val="center"/>
            <w:hideMark/>
          </w:tcPr>
          <w:p w14:paraId="79D44B70" w14:textId="77777777" w:rsidR="00000000" w:rsidRDefault="00195E73">
            <w:pPr>
              <w:rPr>
                <w:rFonts w:eastAsia="Times New Roman"/>
                <w:sz w:val="20"/>
                <w:szCs w:val="20"/>
              </w:rPr>
            </w:pPr>
          </w:p>
        </w:tc>
        <w:tc>
          <w:tcPr>
            <w:tcW w:w="0" w:type="auto"/>
            <w:vAlign w:val="center"/>
            <w:hideMark/>
          </w:tcPr>
          <w:p w14:paraId="605F0FE8" w14:textId="77777777" w:rsidR="00000000" w:rsidRDefault="00195E73">
            <w:pPr>
              <w:rPr>
                <w:rFonts w:eastAsia="Times New Roman"/>
                <w:sz w:val="20"/>
                <w:szCs w:val="20"/>
              </w:rPr>
            </w:pPr>
          </w:p>
        </w:tc>
        <w:tc>
          <w:tcPr>
            <w:tcW w:w="0" w:type="auto"/>
            <w:vAlign w:val="center"/>
            <w:hideMark/>
          </w:tcPr>
          <w:p w14:paraId="39F219D0" w14:textId="77777777" w:rsidR="00000000" w:rsidRDefault="00195E73">
            <w:pPr>
              <w:rPr>
                <w:rFonts w:eastAsia="Times New Roman"/>
                <w:sz w:val="20"/>
                <w:szCs w:val="20"/>
              </w:rPr>
            </w:pPr>
          </w:p>
        </w:tc>
        <w:tc>
          <w:tcPr>
            <w:tcW w:w="0" w:type="auto"/>
            <w:vAlign w:val="center"/>
            <w:hideMark/>
          </w:tcPr>
          <w:p w14:paraId="17D514EF" w14:textId="77777777" w:rsidR="00000000" w:rsidRDefault="00195E73">
            <w:pPr>
              <w:rPr>
                <w:rFonts w:eastAsia="Times New Roman"/>
                <w:sz w:val="20"/>
                <w:szCs w:val="20"/>
              </w:rPr>
            </w:pPr>
          </w:p>
        </w:tc>
        <w:tc>
          <w:tcPr>
            <w:tcW w:w="0" w:type="auto"/>
            <w:vAlign w:val="center"/>
            <w:hideMark/>
          </w:tcPr>
          <w:p w14:paraId="6490DC87" w14:textId="77777777" w:rsidR="00000000" w:rsidRDefault="00195E73">
            <w:pPr>
              <w:rPr>
                <w:rFonts w:eastAsia="Times New Roman"/>
                <w:sz w:val="20"/>
                <w:szCs w:val="20"/>
              </w:rPr>
            </w:pPr>
          </w:p>
        </w:tc>
        <w:tc>
          <w:tcPr>
            <w:tcW w:w="0" w:type="auto"/>
            <w:vAlign w:val="center"/>
            <w:hideMark/>
          </w:tcPr>
          <w:p w14:paraId="246920BB" w14:textId="77777777" w:rsidR="00000000" w:rsidRDefault="00195E73">
            <w:pPr>
              <w:rPr>
                <w:rFonts w:eastAsia="Times New Roman"/>
                <w:sz w:val="20"/>
                <w:szCs w:val="20"/>
              </w:rPr>
            </w:pPr>
          </w:p>
        </w:tc>
        <w:tc>
          <w:tcPr>
            <w:tcW w:w="0" w:type="auto"/>
            <w:vAlign w:val="center"/>
            <w:hideMark/>
          </w:tcPr>
          <w:p w14:paraId="701958CF" w14:textId="77777777" w:rsidR="00000000" w:rsidRDefault="00195E73">
            <w:pPr>
              <w:rPr>
                <w:rFonts w:eastAsia="Times New Roman"/>
                <w:sz w:val="20"/>
                <w:szCs w:val="20"/>
              </w:rPr>
            </w:pPr>
          </w:p>
        </w:tc>
        <w:tc>
          <w:tcPr>
            <w:tcW w:w="0" w:type="auto"/>
            <w:vAlign w:val="center"/>
            <w:hideMark/>
          </w:tcPr>
          <w:p w14:paraId="1770E3DB" w14:textId="77777777" w:rsidR="00000000" w:rsidRDefault="00195E73">
            <w:pPr>
              <w:rPr>
                <w:rFonts w:eastAsia="Times New Roman"/>
                <w:sz w:val="20"/>
                <w:szCs w:val="20"/>
              </w:rPr>
            </w:pPr>
          </w:p>
        </w:tc>
        <w:tc>
          <w:tcPr>
            <w:tcW w:w="0" w:type="auto"/>
            <w:vAlign w:val="center"/>
            <w:hideMark/>
          </w:tcPr>
          <w:p w14:paraId="60E1F657" w14:textId="77777777" w:rsidR="00000000" w:rsidRDefault="00195E73">
            <w:pPr>
              <w:rPr>
                <w:rFonts w:eastAsia="Times New Roman"/>
                <w:sz w:val="20"/>
                <w:szCs w:val="20"/>
              </w:rPr>
            </w:pPr>
          </w:p>
        </w:tc>
        <w:tc>
          <w:tcPr>
            <w:tcW w:w="0" w:type="auto"/>
            <w:vAlign w:val="center"/>
            <w:hideMark/>
          </w:tcPr>
          <w:p w14:paraId="57B440C5" w14:textId="77777777" w:rsidR="00000000" w:rsidRDefault="00195E73">
            <w:pPr>
              <w:rPr>
                <w:rFonts w:eastAsia="Times New Roman"/>
                <w:sz w:val="20"/>
                <w:szCs w:val="20"/>
              </w:rPr>
            </w:pPr>
          </w:p>
        </w:tc>
        <w:tc>
          <w:tcPr>
            <w:tcW w:w="0" w:type="auto"/>
            <w:vAlign w:val="center"/>
            <w:hideMark/>
          </w:tcPr>
          <w:p w14:paraId="3925A540" w14:textId="77777777" w:rsidR="00000000" w:rsidRDefault="00195E73">
            <w:pPr>
              <w:rPr>
                <w:rFonts w:eastAsia="Times New Roman"/>
                <w:sz w:val="20"/>
                <w:szCs w:val="20"/>
              </w:rPr>
            </w:pPr>
          </w:p>
        </w:tc>
      </w:tr>
      <w:tr w:rsidR="00000000" w14:paraId="5F2774CB" w14:textId="77777777">
        <w:trPr>
          <w:divId w:val="963343899"/>
          <w:jc w:val="center"/>
        </w:trPr>
        <w:tc>
          <w:tcPr>
            <w:tcW w:w="0" w:type="auto"/>
            <w:gridSpan w:val="3"/>
            <w:shd w:val="clear" w:color="auto" w:fill="FFFFFF"/>
            <w:tcMar>
              <w:top w:w="30" w:type="dxa"/>
              <w:left w:w="180" w:type="dxa"/>
              <w:bottom w:w="30" w:type="dxa"/>
              <w:right w:w="20" w:type="dxa"/>
            </w:tcMar>
            <w:vAlign w:val="bottom"/>
            <w:hideMark/>
          </w:tcPr>
          <w:p w14:paraId="0B1AC101" w14:textId="77777777" w:rsidR="00000000" w:rsidRDefault="00195E73">
            <w:pPr>
              <w:rPr>
                <w:rFonts w:eastAsia="Times New Roman"/>
              </w:rPr>
            </w:pPr>
            <w:r>
              <w:rPr>
                <w:rFonts w:eastAsia="Times New Roman"/>
                <w:color w:val="000000"/>
                <w:sz w:val="13"/>
                <w:szCs w:val="13"/>
              </w:rPr>
              <w:t>Accounts receivable, ne</w:t>
            </w:r>
            <w:r>
              <w:rPr>
                <w:rFonts w:eastAsia="Times New Roman"/>
                <w:color w:val="000000"/>
                <w:sz w:val="13"/>
                <w:szCs w:val="13"/>
              </w:rPr>
              <w:t>t</w:t>
            </w:r>
          </w:p>
        </w:tc>
        <w:tc>
          <w:tcPr>
            <w:tcW w:w="0" w:type="auto"/>
            <w:gridSpan w:val="2"/>
            <w:shd w:val="clear" w:color="auto" w:fill="FFFFFF"/>
            <w:tcMar>
              <w:top w:w="30" w:type="dxa"/>
              <w:left w:w="20" w:type="dxa"/>
              <w:bottom w:w="30" w:type="dxa"/>
              <w:right w:w="0" w:type="dxa"/>
            </w:tcMar>
            <w:vAlign w:val="bottom"/>
            <w:hideMark/>
          </w:tcPr>
          <w:p w14:paraId="1C6B0886" w14:textId="77777777" w:rsidR="00000000" w:rsidRDefault="00195E73">
            <w:pPr>
              <w:jc w:val="right"/>
              <w:rPr>
                <w:rFonts w:eastAsia="Times New Roman"/>
              </w:rPr>
            </w:pPr>
            <w:r>
              <w:rPr>
                <w:rFonts w:eastAsia="Times New Roman"/>
                <w:color w:val="000000"/>
                <w:sz w:val="13"/>
                <w:szCs w:val="13"/>
              </w:rPr>
              <w:t>(33</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5132C94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45FB4E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AAF5A8" w14:textId="77777777" w:rsidR="00000000" w:rsidRDefault="00195E73">
            <w:pPr>
              <w:jc w:val="right"/>
              <w:rPr>
                <w:rFonts w:eastAsia="Times New Roman"/>
              </w:rPr>
            </w:pPr>
            <w:r>
              <w:rPr>
                <w:rFonts w:eastAsia="Times New Roman"/>
                <w:color w:val="000000"/>
                <w:sz w:val="13"/>
                <w:szCs w:val="13"/>
              </w:rPr>
              <w:t>45</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679EE04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55100BF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A7F7B1" w14:textId="77777777" w:rsidR="00000000" w:rsidRDefault="00195E73">
            <w:pPr>
              <w:jc w:val="right"/>
              <w:rPr>
                <w:rFonts w:eastAsia="Times New Roman"/>
              </w:rPr>
            </w:pPr>
            <w:r>
              <w:rPr>
                <w:rFonts w:eastAsia="Times New Roman"/>
                <w:color w:val="000000"/>
                <w:sz w:val="13"/>
                <w:szCs w:val="13"/>
              </w:rPr>
              <w:t>(72</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3DD62FE5"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CF841ED" w14:textId="77777777" w:rsidR="00000000" w:rsidRDefault="00195E73">
            <w:pPr>
              <w:rPr>
                <w:rFonts w:eastAsia="Times New Roman"/>
                <w:sz w:val="20"/>
                <w:szCs w:val="20"/>
              </w:rPr>
            </w:pPr>
          </w:p>
        </w:tc>
        <w:tc>
          <w:tcPr>
            <w:tcW w:w="0" w:type="auto"/>
            <w:vAlign w:val="center"/>
            <w:hideMark/>
          </w:tcPr>
          <w:p w14:paraId="3B0603DB" w14:textId="77777777" w:rsidR="00000000" w:rsidRDefault="00195E73">
            <w:pPr>
              <w:rPr>
                <w:rFonts w:eastAsia="Times New Roman"/>
                <w:sz w:val="20"/>
                <w:szCs w:val="20"/>
              </w:rPr>
            </w:pPr>
          </w:p>
        </w:tc>
        <w:tc>
          <w:tcPr>
            <w:tcW w:w="0" w:type="auto"/>
            <w:vAlign w:val="center"/>
            <w:hideMark/>
          </w:tcPr>
          <w:p w14:paraId="70CEAB78" w14:textId="77777777" w:rsidR="00000000" w:rsidRDefault="00195E73">
            <w:pPr>
              <w:rPr>
                <w:rFonts w:eastAsia="Times New Roman"/>
                <w:sz w:val="20"/>
                <w:szCs w:val="20"/>
              </w:rPr>
            </w:pPr>
          </w:p>
        </w:tc>
        <w:tc>
          <w:tcPr>
            <w:tcW w:w="0" w:type="auto"/>
            <w:vAlign w:val="center"/>
            <w:hideMark/>
          </w:tcPr>
          <w:p w14:paraId="4394FC4D" w14:textId="77777777" w:rsidR="00000000" w:rsidRDefault="00195E73">
            <w:pPr>
              <w:rPr>
                <w:rFonts w:eastAsia="Times New Roman"/>
                <w:sz w:val="20"/>
                <w:szCs w:val="20"/>
              </w:rPr>
            </w:pPr>
          </w:p>
        </w:tc>
        <w:tc>
          <w:tcPr>
            <w:tcW w:w="0" w:type="auto"/>
            <w:vAlign w:val="center"/>
            <w:hideMark/>
          </w:tcPr>
          <w:p w14:paraId="459FEA6B" w14:textId="77777777" w:rsidR="00000000" w:rsidRDefault="00195E73">
            <w:pPr>
              <w:rPr>
                <w:rFonts w:eastAsia="Times New Roman"/>
                <w:sz w:val="20"/>
                <w:szCs w:val="20"/>
              </w:rPr>
            </w:pPr>
          </w:p>
        </w:tc>
        <w:tc>
          <w:tcPr>
            <w:tcW w:w="0" w:type="auto"/>
            <w:vAlign w:val="center"/>
            <w:hideMark/>
          </w:tcPr>
          <w:p w14:paraId="22F0D98C" w14:textId="77777777" w:rsidR="00000000" w:rsidRDefault="00195E73">
            <w:pPr>
              <w:rPr>
                <w:rFonts w:eastAsia="Times New Roman"/>
                <w:sz w:val="20"/>
                <w:szCs w:val="20"/>
              </w:rPr>
            </w:pPr>
          </w:p>
        </w:tc>
        <w:tc>
          <w:tcPr>
            <w:tcW w:w="0" w:type="auto"/>
            <w:vAlign w:val="center"/>
            <w:hideMark/>
          </w:tcPr>
          <w:p w14:paraId="0CD69F10" w14:textId="77777777" w:rsidR="00000000" w:rsidRDefault="00195E73">
            <w:pPr>
              <w:rPr>
                <w:rFonts w:eastAsia="Times New Roman"/>
                <w:sz w:val="20"/>
                <w:szCs w:val="20"/>
              </w:rPr>
            </w:pPr>
          </w:p>
        </w:tc>
        <w:tc>
          <w:tcPr>
            <w:tcW w:w="0" w:type="auto"/>
            <w:vAlign w:val="center"/>
            <w:hideMark/>
          </w:tcPr>
          <w:p w14:paraId="20A0DC11" w14:textId="77777777" w:rsidR="00000000" w:rsidRDefault="00195E73">
            <w:pPr>
              <w:rPr>
                <w:rFonts w:eastAsia="Times New Roman"/>
                <w:sz w:val="20"/>
                <w:szCs w:val="20"/>
              </w:rPr>
            </w:pPr>
          </w:p>
        </w:tc>
        <w:tc>
          <w:tcPr>
            <w:tcW w:w="0" w:type="auto"/>
            <w:vAlign w:val="center"/>
            <w:hideMark/>
          </w:tcPr>
          <w:p w14:paraId="562734F1" w14:textId="77777777" w:rsidR="00000000" w:rsidRDefault="00195E73">
            <w:pPr>
              <w:rPr>
                <w:rFonts w:eastAsia="Times New Roman"/>
                <w:sz w:val="20"/>
                <w:szCs w:val="20"/>
              </w:rPr>
            </w:pPr>
          </w:p>
        </w:tc>
        <w:tc>
          <w:tcPr>
            <w:tcW w:w="0" w:type="auto"/>
            <w:vAlign w:val="center"/>
            <w:hideMark/>
          </w:tcPr>
          <w:p w14:paraId="3926E74E" w14:textId="77777777" w:rsidR="00000000" w:rsidRDefault="00195E73">
            <w:pPr>
              <w:rPr>
                <w:rFonts w:eastAsia="Times New Roman"/>
                <w:sz w:val="20"/>
                <w:szCs w:val="20"/>
              </w:rPr>
            </w:pPr>
          </w:p>
        </w:tc>
        <w:tc>
          <w:tcPr>
            <w:tcW w:w="0" w:type="auto"/>
            <w:vAlign w:val="center"/>
            <w:hideMark/>
          </w:tcPr>
          <w:p w14:paraId="24846870" w14:textId="77777777" w:rsidR="00000000" w:rsidRDefault="00195E73">
            <w:pPr>
              <w:rPr>
                <w:rFonts w:eastAsia="Times New Roman"/>
                <w:sz w:val="20"/>
                <w:szCs w:val="20"/>
              </w:rPr>
            </w:pPr>
          </w:p>
        </w:tc>
        <w:tc>
          <w:tcPr>
            <w:tcW w:w="0" w:type="auto"/>
            <w:vAlign w:val="center"/>
            <w:hideMark/>
          </w:tcPr>
          <w:p w14:paraId="06A76702" w14:textId="77777777" w:rsidR="00000000" w:rsidRDefault="00195E73">
            <w:pPr>
              <w:rPr>
                <w:rFonts w:eastAsia="Times New Roman"/>
                <w:sz w:val="20"/>
                <w:szCs w:val="20"/>
              </w:rPr>
            </w:pPr>
          </w:p>
        </w:tc>
      </w:tr>
      <w:tr w:rsidR="00000000" w14:paraId="5F99CA50" w14:textId="77777777">
        <w:trPr>
          <w:divId w:val="963343899"/>
          <w:jc w:val="center"/>
        </w:trPr>
        <w:tc>
          <w:tcPr>
            <w:tcW w:w="0" w:type="auto"/>
            <w:gridSpan w:val="3"/>
            <w:shd w:val="clear" w:color="auto" w:fill="CCEEFF"/>
            <w:tcMar>
              <w:top w:w="30" w:type="dxa"/>
              <w:left w:w="180" w:type="dxa"/>
              <w:bottom w:w="30" w:type="dxa"/>
              <w:right w:w="20" w:type="dxa"/>
            </w:tcMar>
            <w:vAlign w:val="bottom"/>
            <w:hideMark/>
          </w:tcPr>
          <w:p w14:paraId="07B86B03" w14:textId="77777777" w:rsidR="00000000" w:rsidRDefault="00195E73">
            <w:pPr>
              <w:rPr>
                <w:rFonts w:eastAsia="Times New Roman"/>
              </w:rPr>
            </w:pPr>
            <w:r>
              <w:rPr>
                <w:rFonts w:eastAsia="Times New Roman"/>
                <w:color w:val="000000"/>
                <w:sz w:val="13"/>
                <w:szCs w:val="13"/>
              </w:rPr>
              <w:t>Inventories, ne</w:t>
            </w:r>
            <w:r>
              <w:rPr>
                <w:rFonts w:eastAsia="Times New Roman"/>
                <w:color w:val="000000"/>
                <w:sz w:val="13"/>
                <w:szCs w:val="13"/>
              </w:rPr>
              <w:t>t</w:t>
            </w:r>
          </w:p>
        </w:tc>
        <w:tc>
          <w:tcPr>
            <w:tcW w:w="0" w:type="auto"/>
            <w:gridSpan w:val="2"/>
            <w:shd w:val="clear" w:color="auto" w:fill="CCEEFF"/>
            <w:tcMar>
              <w:top w:w="30" w:type="dxa"/>
              <w:left w:w="20" w:type="dxa"/>
              <w:bottom w:w="30" w:type="dxa"/>
              <w:right w:w="0" w:type="dxa"/>
            </w:tcMar>
            <w:vAlign w:val="bottom"/>
            <w:hideMark/>
          </w:tcPr>
          <w:p w14:paraId="48EE0EB5" w14:textId="77777777" w:rsidR="00000000" w:rsidRDefault="00195E73">
            <w:pPr>
              <w:jc w:val="right"/>
              <w:rPr>
                <w:rFonts w:eastAsia="Times New Roman"/>
              </w:rPr>
            </w:pPr>
            <w:r>
              <w:rPr>
                <w:rFonts w:eastAsia="Times New Roman"/>
                <w:color w:val="000000"/>
                <w:sz w:val="13"/>
                <w:szCs w:val="13"/>
              </w:rPr>
              <w:t>(20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6FB70D9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5C906F6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0DD83F" w14:textId="77777777" w:rsidR="00000000" w:rsidRDefault="00195E73">
            <w:pPr>
              <w:jc w:val="right"/>
              <w:rPr>
                <w:rFonts w:eastAsia="Times New Roman"/>
              </w:rPr>
            </w:pPr>
            <w:r>
              <w:rPr>
                <w:rFonts w:eastAsia="Times New Roman"/>
                <w:color w:val="000000"/>
                <w:sz w:val="13"/>
                <w:szCs w:val="13"/>
              </w:rPr>
              <w:t>(86</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2A2DB3F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365DE4B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1C4674" w14:textId="77777777" w:rsidR="00000000" w:rsidRDefault="00195E73">
            <w:pPr>
              <w:jc w:val="right"/>
              <w:rPr>
                <w:rFonts w:eastAsia="Times New Roman"/>
              </w:rPr>
            </w:pPr>
            <w:r>
              <w:rPr>
                <w:rFonts w:eastAsia="Times New Roman"/>
                <w:color w:val="000000"/>
                <w:sz w:val="13"/>
                <w:szCs w:val="13"/>
              </w:rPr>
              <w:t>(185</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16C7A14A"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038362DC" w14:textId="77777777" w:rsidR="00000000" w:rsidRDefault="00195E73">
            <w:pPr>
              <w:rPr>
                <w:rFonts w:eastAsia="Times New Roman"/>
                <w:sz w:val="20"/>
                <w:szCs w:val="20"/>
              </w:rPr>
            </w:pPr>
          </w:p>
        </w:tc>
        <w:tc>
          <w:tcPr>
            <w:tcW w:w="0" w:type="auto"/>
            <w:vAlign w:val="center"/>
            <w:hideMark/>
          </w:tcPr>
          <w:p w14:paraId="627456A1" w14:textId="77777777" w:rsidR="00000000" w:rsidRDefault="00195E73">
            <w:pPr>
              <w:rPr>
                <w:rFonts w:eastAsia="Times New Roman"/>
                <w:sz w:val="20"/>
                <w:szCs w:val="20"/>
              </w:rPr>
            </w:pPr>
          </w:p>
        </w:tc>
        <w:tc>
          <w:tcPr>
            <w:tcW w:w="0" w:type="auto"/>
            <w:vAlign w:val="center"/>
            <w:hideMark/>
          </w:tcPr>
          <w:p w14:paraId="242C4DFC" w14:textId="77777777" w:rsidR="00000000" w:rsidRDefault="00195E73">
            <w:pPr>
              <w:rPr>
                <w:rFonts w:eastAsia="Times New Roman"/>
                <w:sz w:val="20"/>
                <w:szCs w:val="20"/>
              </w:rPr>
            </w:pPr>
          </w:p>
        </w:tc>
        <w:tc>
          <w:tcPr>
            <w:tcW w:w="0" w:type="auto"/>
            <w:vAlign w:val="center"/>
            <w:hideMark/>
          </w:tcPr>
          <w:p w14:paraId="52B87AD0" w14:textId="77777777" w:rsidR="00000000" w:rsidRDefault="00195E73">
            <w:pPr>
              <w:rPr>
                <w:rFonts w:eastAsia="Times New Roman"/>
                <w:sz w:val="20"/>
                <w:szCs w:val="20"/>
              </w:rPr>
            </w:pPr>
          </w:p>
        </w:tc>
        <w:tc>
          <w:tcPr>
            <w:tcW w:w="0" w:type="auto"/>
            <w:vAlign w:val="center"/>
            <w:hideMark/>
          </w:tcPr>
          <w:p w14:paraId="0A4C553B" w14:textId="77777777" w:rsidR="00000000" w:rsidRDefault="00195E73">
            <w:pPr>
              <w:rPr>
                <w:rFonts w:eastAsia="Times New Roman"/>
                <w:sz w:val="20"/>
                <w:szCs w:val="20"/>
              </w:rPr>
            </w:pPr>
          </w:p>
        </w:tc>
        <w:tc>
          <w:tcPr>
            <w:tcW w:w="0" w:type="auto"/>
            <w:vAlign w:val="center"/>
            <w:hideMark/>
          </w:tcPr>
          <w:p w14:paraId="2D6E7FD7" w14:textId="77777777" w:rsidR="00000000" w:rsidRDefault="00195E73">
            <w:pPr>
              <w:rPr>
                <w:rFonts w:eastAsia="Times New Roman"/>
                <w:sz w:val="20"/>
                <w:szCs w:val="20"/>
              </w:rPr>
            </w:pPr>
          </w:p>
        </w:tc>
        <w:tc>
          <w:tcPr>
            <w:tcW w:w="0" w:type="auto"/>
            <w:vAlign w:val="center"/>
            <w:hideMark/>
          </w:tcPr>
          <w:p w14:paraId="032B38EB" w14:textId="77777777" w:rsidR="00000000" w:rsidRDefault="00195E73">
            <w:pPr>
              <w:rPr>
                <w:rFonts w:eastAsia="Times New Roman"/>
                <w:sz w:val="20"/>
                <w:szCs w:val="20"/>
              </w:rPr>
            </w:pPr>
          </w:p>
        </w:tc>
        <w:tc>
          <w:tcPr>
            <w:tcW w:w="0" w:type="auto"/>
            <w:vAlign w:val="center"/>
            <w:hideMark/>
          </w:tcPr>
          <w:p w14:paraId="2C3352BC" w14:textId="77777777" w:rsidR="00000000" w:rsidRDefault="00195E73">
            <w:pPr>
              <w:rPr>
                <w:rFonts w:eastAsia="Times New Roman"/>
                <w:sz w:val="20"/>
                <w:szCs w:val="20"/>
              </w:rPr>
            </w:pPr>
          </w:p>
        </w:tc>
        <w:tc>
          <w:tcPr>
            <w:tcW w:w="0" w:type="auto"/>
            <w:vAlign w:val="center"/>
            <w:hideMark/>
          </w:tcPr>
          <w:p w14:paraId="47F9B517" w14:textId="77777777" w:rsidR="00000000" w:rsidRDefault="00195E73">
            <w:pPr>
              <w:rPr>
                <w:rFonts w:eastAsia="Times New Roman"/>
                <w:sz w:val="20"/>
                <w:szCs w:val="20"/>
              </w:rPr>
            </w:pPr>
          </w:p>
        </w:tc>
        <w:tc>
          <w:tcPr>
            <w:tcW w:w="0" w:type="auto"/>
            <w:vAlign w:val="center"/>
            <w:hideMark/>
          </w:tcPr>
          <w:p w14:paraId="51A50613" w14:textId="77777777" w:rsidR="00000000" w:rsidRDefault="00195E73">
            <w:pPr>
              <w:rPr>
                <w:rFonts w:eastAsia="Times New Roman"/>
                <w:sz w:val="20"/>
                <w:szCs w:val="20"/>
              </w:rPr>
            </w:pPr>
          </w:p>
        </w:tc>
        <w:tc>
          <w:tcPr>
            <w:tcW w:w="0" w:type="auto"/>
            <w:vAlign w:val="center"/>
            <w:hideMark/>
          </w:tcPr>
          <w:p w14:paraId="42E6F51F" w14:textId="77777777" w:rsidR="00000000" w:rsidRDefault="00195E73">
            <w:pPr>
              <w:rPr>
                <w:rFonts w:eastAsia="Times New Roman"/>
                <w:sz w:val="20"/>
                <w:szCs w:val="20"/>
              </w:rPr>
            </w:pPr>
          </w:p>
        </w:tc>
        <w:tc>
          <w:tcPr>
            <w:tcW w:w="0" w:type="auto"/>
            <w:vAlign w:val="center"/>
            <w:hideMark/>
          </w:tcPr>
          <w:p w14:paraId="31568785" w14:textId="77777777" w:rsidR="00000000" w:rsidRDefault="00195E73">
            <w:pPr>
              <w:rPr>
                <w:rFonts w:eastAsia="Times New Roman"/>
                <w:sz w:val="20"/>
                <w:szCs w:val="20"/>
              </w:rPr>
            </w:pPr>
          </w:p>
        </w:tc>
      </w:tr>
      <w:tr w:rsidR="00000000" w14:paraId="3CAF1AB1" w14:textId="77777777">
        <w:trPr>
          <w:divId w:val="963343899"/>
          <w:jc w:val="center"/>
        </w:trPr>
        <w:tc>
          <w:tcPr>
            <w:tcW w:w="0" w:type="auto"/>
            <w:gridSpan w:val="3"/>
            <w:shd w:val="clear" w:color="auto" w:fill="FFFFFF"/>
            <w:tcMar>
              <w:top w:w="30" w:type="dxa"/>
              <w:left w:w="180" w:type="dxa"/>
              <w:bottom w:w="30" w:type="dxa"/>
              <w:right w:w="20" w:type="dxa"/>
            </w:tcMar>
            <w:vAlign w:val="bottom"/>
            <w:hideMark/>
          </w:tcPr>
          <w:p w14:paraId="29F34677" w14:textId="77777777" w:rsidR="00000000" w:rsidRDefault="00195E73">
            <w:pPr>
              <w:rPr>
                <w:rFonts w:eastAsia="Times New Roman"/>
              </w:rPr>
            </w:pPr>
            <w:r>
              <w:rPr>
                <w:rFonts w:eastAsia="Times New Roman"/>
                <w:color w:val="000000"/>
                <w:sz w:val="13"/>
                <w:szCs w:val="13"/>
              </w:rPr>
              <w:t>Other asset</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74E3102E" w14:textId="77777777" w:rsidR="00000000" w:rsidRDefault="00195E73">
            <w:pPr>
              <w:jc w:val="right"/>
              <w:rPr>
                <w:rFonts w:eastAsia="Times New Roman"/>
              </w:rPr>
            </w:pPr>
            <w:r>
              <w:rPr>
                <w:rFonts w:eastAsia="Times New Roman"/>
                <w:color w:val="000000"/>
                <w:sz w:val="13"/>
                <w:szCs w:val="13"/>
              </w:rPr>
              <w:t>356</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45F0A374"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BBB84F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E8B9D2" w14:textId="77777777" w:rsidR="00000000" w:rsidRDefault="00195E73">
            <w:pPr>
              <w:jc w:val="right"/>
              <w:rPr>
                <w:rFonts w:eastAsia="Times New Roman"/>
              </w:rPr>
            </w:pPr>
            <w:r>
              <w:rPr>
                <w:rFonts w:eastAsia="Times New Roman"/>
                <w:color w:val="000000"/>
                <w:sz w:val="13"/>
                <w:szCs w:val="13"/>
              </w:rPr>
              <w:t>316</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322D68B5"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316C32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4A132C" w14:textId="77777777" w:rsidR="00000000" w:rsidRDefault="00195E73">
            <w:pPr>
              <w:jc w:val="right"/>
              <w:rPr>
                <w:rFonts w:eastAsia="Times New Roman"/>
              </w:rPr>
            </w:pPr>
            <w:r>
              <w:rPr>
                <w:rFonts w:eastAsia="Times New Roman"/>
                <w:color w:val="000000"/>
                <w:sz w:val="13"/>
                <w:szCs w:val="13"/>
              </w:rPr>
              <w:t>2</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13CE74ED"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726857F9" w14:textId="77777777" w:rsidR="00000000" w:rsidRDefault="00195E73">
            <w:pPr>
              <w:rPr>
                <w:rFonts w:eastAsia="Times New Roman"/>
                <w:sz w:val="20"/>
                <w:szCs w:val="20"/>
              </w:rPr>
            </w:pPr>
          </w:p>
        </w:tc>
        <w:tc>
          <w:tcPr>
            <w:tcW w:w="0" w:type="auto"/>
            <w:vAlign w:val="center"/>
            <w:hideMark/>
          </w:tcPr>
          <w:p w14:paraId="2803EE49" w14:textId="77777777" w:rsidR="00000000" w:rsidRDefault="00195E73">
            <w:pPr>
              <w:rPr>
                <w:rFonts w:eastAsia="Times New Roman"/>
                <w:sz w:val="20"/>
                <w:szCs w:val="20"/>
              </w:rPr>
            </w:pPr>
          </w:p>
        </w:tc>
        <w:tc>
          <w:tcPr>
            <w:tcW w:w="0" w:type="auto"/>
            <w:vAlign w:val="center"/>
            <w:hideMark/>
          </w:tcPr>
          <w:p w14:paraId="39D91FB1" w14:textId="77777777" w:rsidR="00000000" w:rsidRDefault="00195E73">
            <w:pPr>
              <w:rPr>
                <w:rFonts w:eastAsia="Times New Roman"/>
                <w:sz w:val="20"/>
                <w:szCs w:val="20"/>
              </w:rPr>
            </w:pPr>
          </w:p>
        </w:tc>
        <w:tc>
          <w:tcPr>
            <w:tcW w:w="0" w:type="auto"/>
            <w:vAlign w:val="center"/>
            <w:hideMark/>
          </w:tcPr>
          <w:p w14:paraId="59A1937B" w14:textId="77777777" w:rsidR="00000000" w:rsidRDefault="00195E73">
            <w:pPr>
              <w:rPr>
                <w:rFonts w:eastAsia="Times New Roman"/>
                <w:sz w:val="20"/>
                <w:szCs w:val="20"/>
              </w:rPr>
            </w:pPr>
          </w:p>
        </w:tc>
        <w:tc>
          <w:tcPr>
            <w:tcW w:w="0" w:type="auto"/>
            <w:vAlign w:val="center"/>
            <w:hideMark/>
          </w:tcPr>
          <w:p w14:paraId="26A3A8C8" w14:textId="77777777" w:rsidR="00000000" w:rsidRDefault="00195E73">
            <w:pPr>
              <w:rPr>
                <w:rFonts w:eastAsia="Times New Roman"/>
                <w:sz w:val="20"/>
                <w:szCs w:val="20"/>
              </w:rPr>
            </w:pPr>
          </w:p>
        </w:tc>
        <w:tc>
          <w:tcPr>
            <w:tcW w:w="0" w:type="auto"/>
            <w:vAlign w:val="center"/>
            <w:hideMark/>
          </w:tcPr>
          <w:p w14:paraId="6F8EC4FD" w14:textId="77777777" w:rsidR="00000000" w:rsidRDefault="00195E73">
            <w:pPr>
              <w:rPr>
                <w:rFonts w:eastAsia="Times New Roman"/>
                <w:sz w:val="20"/>
                <w:szCs w:val="20"/>
              </w:rPr>
            </w:pPr>
          </w:p>
        </w:tc>
        <w:tc>
          <w:tcPr>
            <w:tcW w:w="0" w:type="auto"/>
            <w:vAlign w:val="center"/>
            <w:hideMark/>
          </w:tcPr>
          <w:p w14:paraId="532810ED" w14:textId="77777777" w:rsidR="00000000" w:rsidRDefault="00195E73">
            <w:pPr>
              <w:rPr>
                <w:rFonts w:eastAsia="Times New Roman"/>
                <w:sz w:val="20"/>
                <w:szCs w:val="20"/>
              </w:rPr>
            </w:pPr>
          </w:p>
        </w:tc>
        <w:tc>
          <w:tcPr>
            <w:tcW w:w="0" w:type="auto"/>
            <w:vAlign w:val="center"/>
            <w:hideMark/>
          </w:tcPr>
          <w:p w14:paraId="431E270B" w14:textId="77777777" w:rsidR="00000000" w:rsidRDefault="00195E73">
            <w:pPr>
              <w:rPr>
                <w:rFonts w:eastAsia="Times New Roman"/>
                <w:sz w:val="20"/>
                <w:szCs w:val="20"/>
              </w:rPr>
            </w:pPr>
          </w:p>
        </w:tc>
        <w:tc>
          <w:tcPr>
            <w:tcW w:w="0" w:type="auto"/>
            <w:vAlign w:val="center"/>
            <w:hideMark/>
          </w:tcPr>
          <w:p w14:paraId="76CCADC1" w14:textId="77777777" w:rsidR="00000000" w:rsidRDefault="00195E73">
            <w:pPr>
              <w:rPr>
                <w:rFonts w:eastAsia="Times New Roman"/>
                <w:sz w:val="20"/>
                <w:szCs w:val="20"/>
              </w:rPr>
            </w:pPr>
          </w:p>
        </w:tc>
        <w:tc>
          <w:tcPr>
            <w:tcW w:w="0" w:type="auto"/>
            <w:vAlign w:val="center"/>
            <w:hideMark/>
          </w:tcPr>
          <w:p w14:paraId="2532C05F" w14:textId="77777777" w:rsidR="00000000" w:rsidRDefault="00195E73">
            <w:pPr>
              <w:rPr>
                <w:rFonts w:eastAsia="Times New Roman"/>
                <w:sz w:val="20"/>
                <w:szCs w:val="20"/>
              </w:rPr>
            </w:pPr>
          </w:p>
        </w:tc>
        <w:tc>
          <w:tcPr>
            <w:tcW w:w="0" w:type="auto"/>
            <w:vAlign w:val="center"/>
            <w:hideMark/>
          </w:tcPr>
          <w:p w14:paraId="270ACEB6" w14:textId="77777777" w:rsidR="00000000" w:rsidRDefault="00195E73">
            <w:pPr>
              <w:rPr>
                <w:rFonts w:eastAsia="Times New Roman"/>
                <w:sz w:val="20"/>
                <w:szCs w:val="20"/>
              </w:rPr>
            </w:pPr>
          </w:p>
        </w:tc>
        <w:tc>
          <w:tcPr>
            <w:tcW w:w="0" w:type="auto"/>
            <w:vAlign w:val="center"/>
            <w:hideMark/>
          </w:tcPr>
          <w:p w14:paraId="64A8D98E" w14:textId="77777777" w:rsidR="00000000" w:rsidRDefault="00195E73">
            <w:pPr>
              <w:rPr>
                <w:rFonts w:eastAsia="Times New Roman"/>
                <w:sz w:val="20"/>
                <w:szCs w:val="20"/>
              </w:rPr>
            </w:pPr>
          </w:p>
        </w:tc>
      </w:tr>
      <w:tr w:rsidR="00000000" w14:paraId="560D143C" w14:textId="77777777">
        <w:trPr>
          <w:divId w:val="963343899"/>
          <w:jc w:val="center"/>
        </w:trPr>
        <w:tc>
          <w:tcPr>
            <w:tcW w:w="0" w:type="auto"/>
            <w:gridSpan w:val="3"/>
            <w:shd w:val="clear" w:color="auto" w:fill="CCEEFF"/>
            <w:tcMar>
              <w:top w:w="30" w:type="dxa"/>
              <w:left w:w="180" w:type="dxa"/>
              <w:bottom w:w="30" w:type="dxa"/>
              <w:right w:w="20" w:type="dxa"/>
            </w:tcMar>
            <w:vAlign w:val="bottom"/>
            <w:hideMark/>
          </w:tcPr>
          <w:p w14:paraId="249FC6AE" w14:textId="77777777" w:rsidR="00000000" w:rsidRDefault="00195E73">
            <w:pPr>
              <w:rPr>
                <w:rFonts w:eastAsia="Times New Roman"/>
              </w:rPr>
            </w:pPr>
            <w:r>
              <w:rPr>
                <w:rFonts w:eastAsia="Times New Roman"/>
                <w:color w:val="000000"/>
                <w:sz w:val="13"/>
                <w:szCs w:val="13"/>
              </w:rPr>
              <w:t>Accounts payabl</w:t>
            </w:r>
            <w:r>
              <w:rPr>
                <w:rFonts w:eastAsia="Times New Roman"/>
                <w:color w:val="000000"/>
                <w:sz w:val="13"/>
                <w:szCs w:val="13"/>
              </w:rPr>
              <w:t>e</w:t>
            </w:r>
          </w:p>
        </w:tc>
        <w:tc>
          <w:tcPr>
            <w:tcW w:w="0" w:type="auto"/>
            <w:gridSpan w:val="2"/>
            <w:shd w:val="clear" w:color="auto" w:fill="CCEEFF"/>
            <w:tcMar>
              <w:top w:w="30" w:type="dxa"/>
              <w:left w:w="20" w:type="dxa"/>
              <w:bottom w:w="30" w:type="dxa"/>
              <w:right w:w="0" w:type="dxa"/>
            </w:tcMar>
            <w:vAlign w:val="bottom"/>
            <w:hideMark/>
          </w:tcPr>
          <w:p w14:paraId="2095B48A" w14:textId="77777777" w:rsidR="00000000" w:rsidRDefault="00195E73">
            <w:pPr>
              <w:jc w:val="right"/>
              <w:rPr>
                <w:rFonts w:eastAsia="Times New Roman"/>
              </w:rPr>
            </w:pPr>
            <w:r>
              <w:rPr>
                <w:rFonts w:eastAsia="Times New Roman"/>
                <w:color w:val="000000"/>
                <w:sz w:val="13"/>
                <w:szCs w:val="13"/>
              </w:rPr>
              <w:t>145</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2A3BD5DF"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5488874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BAA2A3" w14:textId="77777777" w:rsidR="00000000" w:rsidRDefault="00195E73">
            <w:pPr>
              <w:jc w:val="right"/>
              <w:rPr>
                <w:rFonts w:eastAsia="Times New Roman"/>
              </w:rPr>
            </w:pPr>
            <w:r>
              <w:rPr>
                <w:rFonts w:eastAsia="Times New Roman"/>
                <w:color w:val="000000"/>
                <w:sz w:val="13"/>
                <w:szCs w:val="13"/>
              </w:rPr>
              <w:t>(59</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56FDF3A5"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778F62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872D20" w14:textId="77777777" w:rsidR="00000000" w:rsidRDefault="00195E73">
            <w:pPr>
              <w:jc w:val="right"/>
              <w:rPr>
                <w:rFonts w:eastAsia="Times New Roman"/>
              </w:rPr>
            </w:pPr>
            <w:r>
              <w:rPr>
                <w:rFonts w:eastAsia="Times New Roman"/>
                <w:color w:val="000000"/>
                <w:sz w:val="13"/>
                <w:szCs w:val="13"/>
              </w:rPr>
              <w:t>130</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2ADAF600"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2D1C1B85" w14:textId="77777777" w:rsidR="00000000" w:rsidRDefault="00195E73">
            <w:pPr>
              <w:rPr>
                <w:rFonts w:eastAsia="Times New Roman"/>
                <w:sz w:val="20"/>
                <w:szCs w:val="20"/>
              </w:rPr>
            </w:pPr>
          </w:p>
        </w:tc>
        <w:tc>
          <w:tcPr>
            <w:tcW w:w="0" w:type="auto"/>
            <w:vAlign w:val="center"/>
            <w:hideMark/>
          </w:tcPr>
          <w:p w14:paraId="2A5875AA" w14:textId="77777777" w:rsidR="00000000" w:rsidRDefault="00195E73">
            <w:pPr>
              <w:rPr>
                <w:rFonts w:eastAsia="Times New Roman"/>
                <w:sz w:val="20"/>
                <w:szCs w:val="20"/>
              </w:rPr>
            </w:pPr>
          </w:p>
        </w:tc>
        <w:tc>
          <w:tcPr>
            <w:tcW w:w="0" w:type="auto"/>
            <w:vAlign w:val="center"/>
            <w:hideMark/>
          </w:tcPr>
          <w:p w14:paraId="1EA6C504" w14:textId="77777777" w:rsidR="00000000" w:rsidRDefault="00195E73">
            <w:pPr>
              <w:rPr>
                <w:rFonts w:eastAsia="Times New Roman"/>
                <w:sz w:val="20"/>
                <w:szCs w:val="20"/>
              </w:rPr>
            </w:pPr>
          </w:p>
        </w:tc>
        <w:tc>
          <w:tcPr>
            <w:tcW w:w="0" w:type="auto"/>
            <w:vAlign w:val="center"/>
            <w:hideMark/>
          </w:tcPr>
          <w:p w14:paraId="7EE0DE26" w14:textId="77777777" w:rsidR="00000000" w:rsidRDefault="00195E73">
            <w:pPr>
              <w:rPr>
                <w:rFonts w:eastAsia="Times New Roman"/>
                <w:sz w:val="20"/>
                <w:szCs w:val="20"/>
              </w:rPr>
            </w:pPr>
          </w:p>
        </w:tc>
        <w:tc>
          <w:tcPr>
            <w:tcW w:w="0" w:type="auto"/>
            <w:vAlign w:val="center"/>
            <w:hideMark/>
          </w:tcPr>
          <w:p w14:paraId="13B764BF" w14:textId="77777777" w:rsidR="00000000" w:rsidRDefault="00195E73">
            <w:pPr>
              <w:rPr>
                <w:rFonts w:eastAsia="Times New Roman"/>
                <w:sz w:val="20"/>
                <w:szCs w:val="20"/>
              </w:rPr>
            </w:pPr>
          </w:p>
        </w:tc>
        <w:tc>
          <w:tcPr>
            <w:tcW w:w="0" w:type="auto"/>
            <w:vAlign w:val="center"/>
            <w:hideMark/>
          </w:tcPr>
          <w:p w14:paraId="7DA0C07C" w14:textId="77777777" w:rsidR="00000000" w:rsidRDefault="00195E73">
            <w:pPr>
              <w:rPr>
                <w:rFonts w:eastAsia="Times New Roman"/>
                <w:sz w:val="20"/>
                <w:szCs w:val="20"/>
              </w:rPr>
            </w:pPr>
          </w:p>
        </w:tc>
        <w:tc>
          <w:tcPr>
            <w:tcW w:w="0" w:type="auto"/>
            <w:vAlign w:val="center"/>
            <w:hideMark/>
          </w:tcPr>
          <w:p w14:paraId="1B0551BB" w14:textId="77777777" w:rsidR="00000000" w:rsidRDefault="00195E73">
            <w:pPr>
              <w:rPr>
                <w:rFonts w:eastAsia="Times New Roman"/>
                <w:sz w:val="20"/>
                <w:szCs w:val="20"/>
              </w:rPr>
            </w:pPr>
          </w:p>
        </w:tc>
        <w:tc>
          <w:tcPr>
            <w:tcW w:w="0" w:type="auto"/>
            <w:vAlign w:val="center"/>
            <w:hideMark/>
          </w:tcPr>
          <w:p w14:paraId="361D3000" w14:textId="77777777" w:rsidR="00000000" w:rsidRDefault="00195E73">
            <w:pPr>
              <w:rPr>
                <w:rFonts w:eastAsia="Times New Roman"/>
                <w:sz w:val="20"/>
                <w:szCs w:val="20"/>
              </w:rPr>
            </w:pPr>
          </w:p>
        </w:tc>
        <w:tc>
          <w:tcPr>
            <w:tcW w:w="0" w:type="auto"/>
            <w:vAlign w:val="center"/>
            <w:hideMark/>
          </w:tcPr>
          <w:p w14:paraId="18C74B44" w14:textId="77777777" w:rsidR="00000000" w:rsidRDefault="00195E73">
            <w:pPr>
              <w:rPr>
                <w:rFonts w:eastAsia="Times New Roman"/>
                <w:sz w:val="20"/>
                <w:szCs w:val="20"/>
              </w:rPr>
            </w:pPr>
          </w:p>
        </w:tc>
        <w:tc>
          <w:tcPr>
            <w:tcW w:w="0" w:type="auto"/>
            <w:vAlign w:val="center"/>
            <w:hideMark/>
          </w:tcPr>
          <w:p w14:paraId="309F2C52" w14:textId="77777777" w:rsidR="00000000" w:rsidRDefault="00195E73">
            <w:pPr>
              <w:rPr>
                <w:rFonts w:eastAsia="Times New Roman"/>
                <w:sz w:val="20"/>
                <w:szCs w:val="20"/>
              </w:rPr>
            </w:pPr>
          </w:p>
        </w:tc>
        <w:tc>
          <w:tcPr>
            <w:tcW w:w="0" w:type="auto"/>
            <w:vAlign w:val="center"/>
            <w:hideMark/>
          </w:tcPr>
          <w:p w14:paraId="65741D9A" w14:textId="77777777" w:rsidR="00000000" w:rsidRDefault="00195E73">
            <w:pPr>
              <w:rPr>
                <w:rFonts w:eastAsia="Times New Roman"/>
                <w:sz w:val="20"/>
                <w:szCs w:val="20"/>
              </w:rPr>
            </w:pPr>
          </w:p>
        </w:tc>
        <w:tc>
          <w:tcPr>
            <w:tcW w:w="0" w:type="auto"/>
            <w:vAlign w:val="center"/>
            <w:hideMark/>
          </w:tcPr>
          <w:p w14:paraId="32A098A7" w14:textId="77777777" w:rsidR="00000000" w:rsidRDefault="00195E73">
            <w:pPr>
              <w:rPr>
                <w:rFonts w:eastAsia="Times New Roman"/>
                <w:sz w:val="20"/>
                <w:szCs w:val="20"/>
              </w:rPr>
            </w:pPr>
          </w:p>
        </w:tc>
      </w:tr>
      <w:tr w:rsidR="00000000" w14:paraId="2E41051F" w14:textId="77777777">
        <w:trPr>
          <w:divId w:val="963343899"/>
          <w:jc w:val="center"/>
        </w:trPr>
        <w:tc>
          <w:tcPr>
            <w:tcW w:w="0" w:type="auto"/>
            <w:gridSpan w:val="3"/>
            <w:shd w:val="clear" w:color="auto" w:fill="FFFFFF"/>
            <w:tcMar>
              <w:top w:w="30" w:type="dxa"/>
              <w:left w:w="180" w:type="dxa"/>
              <w:bottom w:w="30" w:type="dxa"/>
              <w:right w:w="20" w:type="dxa"/>
            </w:tcMar>
            <w:vAlign w:val="bottom"/>
            <w:hideMark/>
          </w:tcPr>
          <w:p w14:paraId="4ECE2C45" w14:textId="77777777" w:rsidR="00000000" w:rsidRDefault="00195E73">
            <w:pPr>
              <w:rPr>
                <w:rFonts w:eastAsia="Times New Roman"/>
              </w:rPr>
            </w:pPr>
            <w:r>
              <w:rPr>
                <w:rFonts w:eastAsia="Times New Roman"/>
                <w:color w:val="000000"/>
                <w:sz w:val="13"/>
                <w:szCs w:val="13"/>
              </w:rPr>
              <w:t>Unrealized gain/loss on derivative contract</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5685312D" w14:textId="77777777" w:rsidR="00000000" w:rsidRDefault="00195E73">
            <w:pPr>
              <w:jc w:val="right"/>
              <w:rPr>
                <w:rFonts w:eastAsia="Times New Roman"/>
              </w:rPr>
            </w:pPr>
            <w:r>
              <w:rPr>
                <w:rFonts w:eastAsia="Times New Roman"/>
                <w:color w:val="000000"/>
                <w:sz w:val="13"/>
                <w:szCs w:val="13"/>
              </w:rPr>
              <w:t>1,181</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4EBC6A95"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D51AAC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1237B1" w14:textId="77777777" w:rsidR="00000000" w:rsidRDefault="00195E73">
            <w:pPr>
              <w:jc w:val="right"/>
              <w:rPr>
                <w:rFonts w:eastAsia="Times New Roman"/>
              </w:rPr>
            </w:pPr>
            <w:r>
              <w:rPr>
                <w:rFonts w:eastAsia="Times New Roman"/>
                <w:color w:val="000000"/>
                <w:sz w:val="13"/>
                <w:szCs w:val="13"/>
              </w:rPr>
              <w:t>(1,763</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22EF4424"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5015CD7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77B3B4" w14:textId="77777777" w:rsidR="00000000" w:rsidRDefault="00195E73">
            <w:pPr>
              <w:jc w:val="right"/>
              <w:rPr>
                <w:rFonts w:eastAsia="Times New Roman"/>
              </w:rPr>
            </w:pPr>
            <w:r>
              <w:rPr>
                <w:rFonts w:eastAsia="Times New Roman"/>
                <w:color w:val="000000"/>
                <w:sz w:val="13"/>
                <w:szCs w:val="13"/>
              </w:rPr>
              <w:t>155</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5E35F50D"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706ECE1" w14:textId="77777777" w:rsidR="00000000" w:rsidRDefault="00195E73">
            <w:pPr>
              <w:rPr>
                <w:rFonts w:eastAsia="Times New Roman"/>
                <w:sz w:val="20"/>
                <w:szCs w:val="20"/>
              </w:rPr>
            </w:pPr>
          </w:p>
        </w:tc>
        <w:tc>
          <w:tcPr>
            <w:tcW w:w="0" w:type="auto"/>
            <w:vAlign w:val="center"/>
            <w:hideMark/>
          </w:tcPr>
          <w:p w14:paraId="3FBA68ED" w14:textId="77777777" w:rsidR="00000000" w:rsidRDefault="00195E73">
            <w:pPr>
              <w:rPr>
                <w:rFonts w:eastAsia="Times New Roman"/>
                <w:sz w:val="20"/>
                <w:szCs w:val="20"/>
              </w:rPr>
            </w:pPr>
          </w:p>
        </w:tc>
        <w:tc>
          <w:tcPr>
            <w:tcW w:w="0" w:type="auto"/>
            <w:vAlign w:val="center"/>
            <w:hideMark/>
          </w:tcPr>
          <w:p w14:paraId="6D58293B" w14:textId="77777777" w:rsidR="00000000" w:rsidRDefault="00195E73">
            <w:pPr>
              <w:rPr>
                <w:rFonts w:eastAsia="Times New Roman"/>
                <w:sz w:val="20"/>
                <w:szCs w:val="20"/>
              </w:rPr>
            </w:pPr>
          </w:p>
        </w:tc>
        <w:tc>
          <w:tcPr>
            <w:tcW w:w="0" w:type="auto"/>
            <w:vAlign w:val="center"/>
            <w:hideMark/>
          </w:tcPr>
          <w:p w14:paraId="6A32B42B" w14:textId="77777777" w:rsidR="00000000" w:rsidRDefault="00195E73">
            <w:pPr>
              <w:rPr>
                <w:rFonts w:eastAsia="Times New Roman"/>
                <w:sz w:val="20"/>
                <w:szCs w:val="20"/>
              </w:rPr>
            </w:pPr>
          </w:p>
        </w:tc>
        <w:tc>
          <w:tcPr>
            <w:tcW w:w="0" w:type="auto"/>
            <w:vAlign w:val="center"/>
            <w:hideMark/>
          </w:tcPr>
          <w:p w14:paraId="3636B9A7" w14:textId="77777777" w:rsidR="00000000" w:rsidRDefault="00195E73">
            <w:pPr>
              <w:rPr>
                <w:rFonts w:eastAsia="Times New Roman"/>
                <w:sz w:val="20"/>
                <w:szCs w:val="20"/>
              </w:rPr>
            </w:pPr>
          </w:p>
        </w:tc>
        <w:tc>
          <w:tcPr>
            <w:tcW w:w="0" w:type="auto"/>
            <w:vAlign w:val="center"/>
            <w:hideMark/>
          </w:tcPr>
          <w:p w14:paraId="6C7D01F3" w14:textId="77777777" w:rsidR="00000000" w:rsidRDefault="00195E73">
            <w:pPr>
              <w:rPr>
                <w:rFonts w:eastAsia="Times New Roman"/>
                <w:sz w:val="20"/>
                <w:szCs w:val="20"/>
              </w:rPr>
            </w:pPr>
          </w:p>
        </w:tc>
        <w:tc>
          <w:tcPr>
            <w:tcW w:w="0" w:type="auto"/>
            <w:vAlign w:val="center"/>
            <w:hideMark/>
          </w:tcPr>
          <w:p w14:paraId="12C0AFA8" w14:textId="77777777" w:rsidR="00000000" w:rsidRDefault="00195E73">
            <w:pPr>
              <w:rPr>
                <w:rFonts w:eastAsia="Times New Roman"/>
                <w:sz w:val="20"/>
                <w:szCs w:val="20"/>
              </w:rPr>
            </w:pPr>
          </w:p>
        </w:tc>
        <w:tc>
          <w:tcPr>
            <w:tcW w:w="0" w:type="auto"/>
            <w:vAlign w:val="center"/>
            <w:hideMark/>
          </w:tcPr>
          <w:p w14:paraId="051F748F" w14:textId="77777777" w:rsidR="00000000" w:rsidRDefault="00195E73">
            <w:pPr>
              <w:rPr>
                <w:rFonts w:eastAsia="Times New Roman"/>
                <w:sz w:val="20"/>
                <w:szCs w:val="20"/>
              </w:rPr>
            </w:pPr>
          </w:p>
        </w:tc>
        <w:tc>
          <w:tcPr>
            <w:tcW w:w="0" w:type="auto"/>
            <w:vAlign w:val="center"/>
            <w:hideMark/>
          </w:tcPr>
          <w:p w14:paraId="22C75217" w14:textId="77777777" w:rsidR="00000000" w:rsidRDefault="00195E73">
            <w:pPr>
              <w:rPr>
                <w:rFonts w:eastAsia="Times New Roman"/>
                <w:sz w:val="20"/>
                <w:szCs w:val="20"/>
              </w:rPr>
            </w:pPr>
          </w:p>
        </w:tc>
        <w:tc>
          <w:tcPr>
            <w:tcW w:w="0" w:type="auto"/>
            <w:vAlign w:val="center"/>
            <w:hideMark/>
          </w:tcPr>
          <w:p w14:paraId="53A5026A" w14:textId="77777777" w:rsidR="00000000" w:rsidRDefault="00195E73">
            <w:pPr>
              <w:rPr>
                <w:rFonts w:eastAsia="Times New Roman"/>
                <w:sz w:val="20"/>
                <w:szCs w:val="20"/>
              </w:rPr>
            </w:pPr>
          </w:p>
        </w:tc>
        <w:tc>
          <w:tcPr>
            <w:tcW w:w="0" w:type="auto"/>
            <w:vAlign w:val="center"/>
            <w:hideMark/>
          </w:tcPr>
          <w:p w14:paraId="7C5A6FF9" w14:textId="77777777" w:rsidR="00000000" w:rsidRDefault="00195E73">
            <w:pPr>
              <w:rPr>
                <w:rFonts w:eastAsia="Times New Roman"/>
                <w:sz w:val="20"/>
                <w:szCs w:val="20"/>
              </w:rPr>
            </w:pPr>
          </w:p>
        </w:tc>
        <w:tc>
          <w:tcPr>
            <w:tcW w:w="0" w:type="auto"/>
            <w:vAlign w:val="center"/>
            <w:hideMark/>
          </w:tcPr>
          <w:p w14:paraId="3486B0FF" w14:textId="77777777" w:rsidR="00000000" w:rsidRDefault="00195E73">
            <w:pPr>
              <w:rPr>
                <w:rFonts w:eastAsia="Times New Roman"/>
                <w:sz w:val="20"/>
                <w:szCs w:val="20"/>
              </w:rPr>
            </w:pPr>
          </w:p>
        </w:tc>
      </w:tr>
      <w:tr w:rsidR="00000000" w14:paraId="3B935187" w14:textId="77777777">
        <w:trPr>
          <w:divId w:val="963343899"/>
          <w:jc w:val="center"/>
        </w:trPr>
        <w:tc>
          <w:tcPr>
            <w:tcW w:w="0" w:type="auto"/>
            <w:gridSpan w:val="3"/>
            <w:shd w:val="clear" w:color="auto" w:fill="CCEEFF"/>
            <w:tcMar>
              <w:top w:w="30" w:type="dxa"/>
              <w:left w:w="180" w:type="dxa"/>
              <w:bottom w:w="30" w:type="dxa"/>
              <w:right w:w="20" w:type="dxa"/>
            </w:tcMar>
            <w:vAlign w:val="bottom"/>
            <w:hideMark/>
          </w:tcPr>
          <w:p w14:paraId="0F6E51FA" w14:textId="77777777" w:rsidR="00000000" w:rsidRDefault="00195E73">
            <w:pPr>
              <w:rPr>
                <w:rFonts w:eastAsia="Times New Roman"/>
              </w:rPr>
            </w:pPr>
            <w:r>
              <w:rPr>
                <w:rFonts w:eastAsia="Times New Roman"/>
                <w:color w:val="000000"/>
                <w:sz w:val="13"/>
                <w:szCs w:val="13"/>
              </w:rPr>
              <w:t>Accrued expenses and other liabilitie</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164BA3E3" w14:textId="77777777" w:rsidR="00000000" w:rsidRDefault="00195E73">
            <w:pPr>
              <w:jc w:val="right"/>
              <w:rPr>
                <w:rFonts w:eastAsia="Times New Roman"/>
              </w:rPr>
            </w:pPr>
            <w:r>
              <w:rPr>
                <w:rFonts w:eastAsia="Times New Roman"/>
                <w:color w:val="000000"/>
                <w:sz w:val="13"/>
                <w:szCs w:val="13"/>
              </w:rPr>
              <w:t>(20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6EDAFA8D"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1CAF12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933239" w14:textId="77777777" w:rsidR="00000000" w:rsidRDefault="00195E73">
            <w:pPr>
              <w:jc w:val="right"/>
              <w:rPr>
                <w:rFonts w:eastAsia="Times New Roman"/>
              </w:rPr>
            </w:pPr>
            <w:r>
              <w:rPr>
                <w:rFonts w:eastAsia="Times New Roman"/>
                <w:color w:val="000000"/>
                <w:sz w:val="13"/>
                <w:szCs w:val="13"/>
              </w:rPr>
              <w:t>(84</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46FA9D9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177D288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88F8D2" w14:textId="77777777" w:rsidR="00000000" w:rsidRDefault="00195E73">
            <w:pPr>
              <w:jc w:val="right"/>
              <w:rPr>
                <w:rFonts w:eastAsia="Times New Roman"/>
              </w:rPr>
            </w:pPr>
            <w:r>
              <w:rPr>
                <w:rFonts w:eastAsia="Times New Roman"/>
                <w:color w:val="000000"/>
                <w:sz w:val="13"/>
                <w:szCs w:val="13"/>
              </w:rPr>
              <w:t>(124</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1CBE5D18"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4E061C2A" w14:textId="77777777" w:rsidR="00000000" w:rsidRDefault="00195E73">
            <w:pPr>
              <w:rPr>
                <w:rFonts w:eastAsia="Times New Roman"/>
                <w:sz w:val="20"/>
                <w:szCs w:val="20"/>
              </w:rPr>
            </w:pPr>
          </w:p>
        </w:tc>
        <w:tc>
          <w:tcPr>
            <w:tcW w:w="0" w:type="auto"/>
            <w:vAlign w:val="center"/>
            <w:hideMark/>
          </w:tcPr>
          <w:p w14:paraId="5B7344CF" w14:textId="77777777" w:rsidR="00000000" w:rsidRDefault="00195E73">
            <w:pPr>
              <w:rPr>
                <w:rFonts w:eastAsia="Times New Roman"/>
                <w:sz w:val="20"/>
                <w:szCs w:val="20"/>
              </w:rPr>
            </w:pPr>
          </w:p>
        </w:tc>
        <w:tc>
          <w:tcPr>
            <w:tcW w:w="0" w:type="auto"/>
            <w:vAlign w:val="center"/>
            <w:hideMark/>
          </w:tcPr>
          <w:p w14:paraId="702392F6" w14:textId="77777777" w:rsidR="00000000" w:rsidRDefault="00195E73">
            <w:pPr>
              <w:rPr>
                <w:rFonts w:eastAsia="Times New Roman"/>
                <w:sz w:val="20"/>
                <w:szCs w:val="20"/>
              </w:rPr>
            </w:pPr>
          </w:p>
        </w:tc>
        <w:tc>
          <w:tcPr>
            <w:tcW w:w="0" w:type="auto"/>
            <w:vAlign w:val="center"/>
            <w:hideMark/>
          </w:tcPr>
          <w:p w14:paraId="1FC9D870" w14:textId="77777777" w:rsidR="00000000" w:rsidRDefault="00195E73">
            <w:pPr>
              <w:rPr>
                <w:rFonts w:eastAsia="Times New Roman"/>
                <w:sz w:val="20"/>
                <w:szCs w:val="20"/>
              </w:rPr>
            </w:pPr>
          </w:p>
        </w:tc>
        <w:tc>
          <w:tcPr>
            <w:tcW w:w="0" w:type="auto"/>
            <w:vAlign w:val="center"/>
            <w:hideMark/>
          </w:tcPr>
          <w:p w14:paraId="1D80F7E9" w14:textId="77777777" w:rsidR="00000000" w:rsidRDefault="00195E73">
            <w:pPr>
              <w:rPr>
                <w:rFonts w:eastAsia="Times New Roman"/>
                <w:sz w:val="20"/>
                <w:szCs w:val="20"/>
              </w:rPr>
            </w:pPr>
          </w:p>
        </w:tc>
        <w:tc>
          <w:tcPr>
            <w:tcW w:w="0" w:type="auto"/>
            <w:vAlign w:val="center"/>
            <w:hideMark/>
          </w:tcPr>
          <w:p w14:paraId="77B37A76" w14:textId="77777777" w:rsidR="00000000" w:rsidRDefault="00195E73">
            <w:pPr>
              <w:rPr>
                <w:rFonts w:eastAsia="Times New Roman"/>
                <w:sz w:val="20"/>
                <w:szCs w:val="20"/>
              </w:rPr>
            </w:pPr>
          </w:p>
        </w:tc>
        <w:tc>
          <w:tcPr>
            <w:tcW w:w="0" w:type="auto"/>
            <w:vAlign w:val="center"/>
            <w:hideMark/>
          </w:tcPr>
          <w:p w14:paraId="3B6DF262" w14:textId="77777777" w:rsidR="00000000" w:rsidRDefault="00195E73">
            <w:pPr>
              <w:rPr>
                <w:rFonts w:eastAsia="Times New Roman"/>
                <w:sz w:val="20"/>
                <w:szCs w:val="20"/>
              </w:rPr>
            </w:pPr>
          </w:p>
        </w:tc>
        <w:tc>
          <w:tcPr>
            <w:tcW w:w="0" w:type="auto"/>
            <w:vAlign w:val="center"/>
            <w:hideMark/>
          </w:tcPr>
          <w:p w14:paraId="03F87AA3" w14:textId="77777777" w:rsidR="00000000" w:rsidRDefault="00195E73">
            <w:pPr>
              <w:rPr>
                <w:rFonts w:eastAsia="Times New Roman"/>
                <w:sz w:val="20"/>
                <w:szCs w:val="20"/>
              </w:rPr>
            </w:pPr>
          </w:p>
        </w:tc>
        <w:tc>
          <w:tcPr>
            <w:tcW w:w="0" w:type="auto"/>
            <w:vAlign w:val="center"/>
            <w:hideMark/>
          </w:tcPr>
          <w:p w14:paraId="6E857B4E" w14:textId="77777777" w:rsidR="00000000" w:rsidRDefault="00195E73">
            <w:pPr>
              <w:rPr>
                <w:rFonts w:eastAsia="Times New Roman"/>
                <w:sz w:val="20"/>
                <w:szCs w:val="20"/>
              </w:rPr>
            </w:pPr>
          </w:p>
        </w:tc>
        <w:tc>
          <w:tcPr>
            <w:tcW w:w="0" w:type="auto"/>
            <w:vAlign w:val="center"/>
            <w:hideMark/>
          </w:tcPr>
          <w:p w14:paraId="11D8531A" w14:textId="77777777" w:rsidR="00000000" w:rsidRDefault="00195E73">
            <w:pPr>
              <w:rPr>
                <w:rFonts w:eastAsia="Times New Roman"/>
                <w:sz w:val="20"/>
                <w:szCs w:val="20"/>
              </w:rPr>
            </w:pPr>
          </w:p>
        </w:tc>
        <w:tc>
          <w:tcPr>
            <w:tcW w:w="0" w:type="auto"/>
            <w:vAlign w:val="center"/>
            <w:hideMark/>
          </w:tcPr>
          <w:p w14:paraId="32F8D859" w14:textId="77777777" w:rsidR="00000000" w:rsidRDefault="00195E73">
            <w:pPr>
              <w:rPr>
                <w:rFonts w:eastAsia="Times New Roman"/>
                <w:sz w:val="20"/>
                <w:szCs w:val="20"/>
              </w:rPr>
            </w:pPr>
          </w:p>
        </w:tc>
        <w:tc>
          <w:tcPr>
            <w:tcW w:w="0" w:type="auto"/>
            <w:vAlign w:val="center"/>
            <w:hideMark/>
          </w:tcPr>
          <w:p w14:paraId="0F90A840" w14:textId="77777777" w:rsidR="00000000" w:rsidRDefault="00195E73">
            <w:pPr>
              <w:rPr>
                <w:rFonts w:eastAsia="Times New Roman"/>
                <w:sz w:val="20"/>
                <w:szCs w:val="20"/>
              </w:rPr>
            </w:pPr>
          </w:p>
        </w:tc>
      </w:tr>
      <w:tr w:rsidR="00000000" w14:paraId="3AF579F2"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1DAB7D50" w14:textId="77777777" w:rsidR="00000000" w:rsidRDefault="00195E73">
            <w:pPr>
              <w:rPr>
                <w:rFonts w:eastAsia="Times New Roman"/>
              </w:rPr>
            </w:pPr>
            <w:r>
              <w:rPr>
                <w:rFonts w:eastAsia="Times New Roman"/>
                <w:color w:val="000000"/>
                <w:sz w:val="13"/>
                <w:szCs w:val="13"/>
              </w:rPr>
              <w:t>Net cash (used in) provided by operating activities from continuing operation</w:t>
            </w:r>
            <w:r>
              <w:rPr>
                <w:rFonts w:eastAsia="Times New Roman"/>
                <w:color w:val="000000"/>
                <w:sz w:val="13"/>
                <w:szCs w:val="13"/>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F334A9" w14:textId="77777777" w:rsidR="00000000" w:rsidRDefault="00195E73">
            <w:pPr>
              <w:jc w:val="right"/>
              <w:rPr>
                <w:rFonts w:eastAsia="Times New Roman"/>
              </w:rPr>
            </w:pPr>
            <w:r>
              <w:rPr>
                <w:rFonts w:eastAsia="Times New Roman"/>
                <w:color w:val="000000"/>
                <w:sz w:val="13"/>
                <w:szCs w:val="13"/>
              </w:rPr>
              <w:t>(1,460</w:t>
            </w:r>
            <w:r>
              <w:rPr>
                <w:rFonts w:eastAsia="Times New Roman"/>
                <w:color w:val="000000"/>
                <w:sz w:val="13"/>
                <w:szCs w:val="13"/>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B3825FD"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41638A5"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87F4B3" w14:textId="77777777" w:rsidR="00000000" w:rsidRDefault="00195E73">
            <w:pPr>
              <w:jc w:val="right"/>
              <w:rPr>
                <w:rFonts w:eastAsia="Times New Roman"/>
              </w:rPr>
            </w:pPr>
            <w:r>
              <w:rPr>
                <w:rFonts w:eastAsia="Times New Roman"/>
                <w:color w:val="000000"/>
                <w:sz w:val="13"/>
                <w:szCs w:val="13"/>
              </w:rPr>
              <w:t>444</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1C339F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9928DE5"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5A5EA2" w14:textId="77777777" w:rsidR="00000000" w:rsidRDefault="00195E73">
            <w:pPr>
              <w:jc w:val="right"/>
              <w:rPr>
                <w:rFonts w:eastAsia="Times New Roman"/>
              </w:rPr>
            </w:pPr>
            <w:r>
              <w:rPr>
                <w:rFonts w:eastAsia="Times New Roman"/>
                <w:color w:val="000000"/>
                <w:sz w:val="13"/>
                <w:szCs w:val="13"/>
              </w:rPr>
              <w:t>(2,042</w:t>
            </w:r>
            <w:r>
              <w:rPr>
                <w:rFonts w:eastAsia="Times New Roman"/>
                <w:color w:val="000000"/>
                <w:sz w:val="13"/>
                <w:szCs w:val="13"/>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3ED61E5"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44D1372D" w14:textId="77777777" w:rsidR="00000000" w:rsidRDefault="00195E73">
            <w:pPr>
              <w:rPr>
                <w:rFonts w:eastAsia="Times New Roman"/>
                <w:sz w:val="20"/>
                <w:szCs w:val="20"/>
              </w:rPr>
            </w:pPr>
          </w:p>
        </w:tc>
        <w:tc>
          <w:tcPr>
            <w:tcW w:w="0" w:type="auto"/>
            <w:vAlign w:val="center"/>
            <w:hideMark/>
          </w:tcPr>
          <w:p w14:paraId="293EA0E6" w14:textId="77777777" w:rsidR="00000000" w:rsidRDefault="00195E73">
            <w:pPr>
              <w:rPr>
                <w:rFonts w:eastAsia="Times New Roman"/>
                <w:sz w:val="20"/>
                <w:szCs w:val="20"/>
              </w:rPr>
            </w:pPr>
          </w:p>
        </w:tc>
        <w:tc>
          <w:tcPr>
            <w:tcW w:w="0" w:type="auto"/>
            <w:vAlign w:val="center"/>
            <w:hideMark/>
          </w:tcPr>
          <w:p w14:paraId="62AF7271" w14:textId="77777777" w:rsidR="00000000" w:rsidRDefault="00195E73">
            <w:pPr>
              <w:rPr>
                <w:rFonts w:eastAsia="Times New Roman"/>
                <w:sz w:val="20"/>
                <w:szCs w:val="20"/>
              </w:rPr>
            </w:pPr>
          </w:p>
        </w:tc>
        <w:tc>
          <w:tcPr>
            <w:tcW w:w="0" w:type="auto"/>
            <w:vAlign w:val="center"/>
            <w:hideMark/>
          </w:tcPr>
          <w:p w14:paraId="7FC63F8D" w14:textId="77777777" w:rsidR="00000000" w:rsidRDefault="00195E73">
            <w:pPr>
              <w:rPr>
                <w:rFonts w:eastAsia="Times New Roman"/>
                <w:sz w:val="20"/>
                <w:szCs w:val="20"/>
              </w:rPr>
            </w:pPr>
          </w:p>
        </w:tc>
        <w:tc>
          <w:tcPr>
            <w:tcW w:w="0" w:type="auto"/>
            <w:vAlign w:val="center"/>
            <w:hideMark/>
          </w:tcPr>
          <w:p w14:paraId="7380F0A4" w14:textId="77777777" w:rsidR="00000000" w:rsidRDefault="00195E73">
            <w:pPr>
              <w:rPr>
                <w:rFonts w:eastAsia="Times New Roman"/>
                <w:sz w:val="20"/>
                <w:szCs w:val="20"/>
              </w:rPr>
            </w:pPr>
          </w:p>
        </w:tc>
        <w:tc>
          <w:tcPr>
            <w:tcW w:w="0" w:type="auto"/>
            <w:vAlign w:val="center"/>
            <w:hideMark/>
          </w:tcPr>
          <w:p w14:paraId="349CBD7D" w14:textId="77777777" w:rsidR="00000000" w:rsidRDefault="00195E73">
            <w:pPr>
              <w:rPr>
                <w:rFonts w:eastAsia="Times New Roman"/>
                <w:sz w:val="20"/>
                <w:szCs w:val="20"/>
              </w:rPr>
            </w:pPr>
          </w:p>
        </w:tc>
        <w:tc>
          <w:tcPr>
            <w:tcW w:w="0" w:type="auto"/>
            <w:vAlign w:val="center"/>
            <w:hideMark/>
          </w:tcPr>
          <w:p w14:paraId="7C1E2C43" w14:textId="77777777" w:rsidR="00000000" w:rsidRDefault="00195E73">
            <w:pPr>
              <w:rPr>
                <w:rFonts w:eastAsia="Times New Roman"/>
                <w:sz w:val="20"/>
                <w:szCs w:val="20"/>
              </w:rPr>
            </w:pPr>
          </w:p>
        </w:tc>
        <w:tc>
          <w:tcPr>
            <w:tcW w:w="0" w:type="auto"/>
            <w:vAlign w:val="center"/>
            <w:hideMark/>
          </w:tcPr>
          <w:p w14:paraId="2C950DF6" w14:textId="77777777" w:rsidR="00000000" w:rsidRDefault="00195E73">
            <w:pPr>
              <w:rPr>
                <w:rFonts w:eastAsia="Times New Roman"/>
                <w:sz w:val="20"/>
                <w:szCs w:val="20"/>
              </w:rPr>
            </w:pPr>
          </w:p>
        </w:tc>
        <w:tc>
          <w:tcPr>
            <w:tcW w:w="0" w:type="auto"/>
            <w:vAlign w:val="center"/>
            <w:hideMark/>
          </w:tcPr>
          <w:p w14:paraId="6D456783" w14:textId="77777777" w:rsidR="00000000" w:rsidRDefault="00195E73">
            <w:pPr>
              <w:rPr>
                <w:rFonts w:eastAsia="Times New Roman"/>
                <w:sz w:val="20"/>
                <w:szCs w:val="20"/>
              </w:rPr>
            </w:pPr>
          </w:p>
        </w:tc>
        <w:tc>
          <w:tcPr>
            <w:tcW w:w="0" w:type="auto"/>
            <w:vAlign w:val="center"/>
            <w:hideMark/>
          </w:tcPr>
          <w:p w14:paraId="1AA101EE" w14:textId="77777777" w:rsidR="00000000" w:rsidRDefault="00195E73">
            <w:pPr>
              <w:rPr>
                <w:rFonts w:eastAsia="Times New Roman"/>
                <w:sz w:val="20"/>
                <w:szCs w:val="20"/>
              </w:rPr>
            </w:pPr>
          </w:p>
        </w:tc>
        <w:tc>
          <w:tcPr>
            <w:tcW w:w="0" w:type="auto"/>
            <w:vAlign w:val="center"/>
            <w:hideMark/>
          </w:tcPr>
          <w:p w14:paraId="2DD3CC52" w14:textId="77777777" w:rsidR="00000000" w:rsidRDefault="00195E73">
            <w:pPr>
              <w:rPr>
                <w:rFonts w:eastAsia="Times New Roman"/>
                <w:sz w:val="20"/>
                <w:szCs w:val="20"/>
              </w:rPr>
            </w:pPr>
          </w:p>
        </w:tc>
        <w:tc>
          <w:tcPr>
            <w:tcW w:w="0" w:type="auto"/>
            <w:vAlign w:val="center"/>
            <w:hideMark/>
          </w:tcPr>
          <w:p w14:paraId="31523CDB" w14:textId="77777777" w:rsidR="00000000" w:rsidRDefault="00195E73">
            <w:pPr>
              <w:rPr>
                <w:rFonts w:eastAsia="Times New Roman"/>
                <w:sz w:val="20"/>
                <w:szCs w:val="20"/>
              </w:rPr>
            </w:pPr>
          </w:p>
        </w:tc>
      </w:tr>
      <w:tr w:rsidR="00000000" w14:paraId="6437958C"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76541154" w14:textId="77777777" w:rsidR="00000000" w:rsidRDefault="00195E73">
            <w:pPr>
              <w:rPr>
                <w:rFonts w:eastAsia="Times New Roman"/>
              </w:rPr>
            </w:pPr>
            <w:r>
              <w:rPr>
                <w:rFonts w:eastAsia="Times New Roman"/>
                <w:color w:val="000000"/>
                <w:sz w:val="13"/>
                <w:szCs w:val="13"/>
              </w:rPr>
              <w:t>Net cash provided by operating activities from discontinued operation</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1229AA3F"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374E78F"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16E44D6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79B325" w14:textId="77777777" w:rsidR="00000000" w:rsidRDefault="00195E73">
            <w:pPr>
              <w:jc w:val="right"/>
              <w:rPr>
                <w:rFonts w:eastAsia="Times New Roman"/>
              </w:rPr>
            </w:pPr>
            <w:r>
              <w:rPr>
                <w:rFonts w:eastAsia="Times New Roman"/>
                <w:color w:val="000000"/>
                <w:sz w:val="13"/>
                <w:szCs w:val="13"/>
              </w:rPr>
              <w:t>479</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0ADA66A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77A1418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5BB39C" w14:textId="77777777" w:rsidR="00000000" w:rsidRDefault="00195E73">
            <w:pPr>
              <w:jc w:val="right"/>
              <w:rPr>
                <w:rFonts w:eastAsia="Times New Roman"/>
              </w:rPr>
            </w:pPr>
            <w:r>
              <w:rPr>
                <w:rFonts w:eastAsia="Times New Roman"/>
                <w:color w:val="000000"/>
                <w:sz w:val="13"/>
                <w:szCs w:val="13"/>
              </w:rPr>
              <w:t>694</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590619F3"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A1E548C" w14:textId="77777777" w:rsidR="00000000" w:rsidRDefault="00195E73">
            <w:pPr>
              <w:rPr>
                <w:rFonts w:eastAsia="Times New Roman"/>
                <w:sz w:val="20"/>
                <w:szCs w:val="20"/>
              </w:rPr>
            </w:pPr>
          </w:p>
        </w:tc>
        <w:tc>
          <w:tcPr>
            <w:tcW w:w="0" w:type="auto"/>
            <w:vAlign w:val="center"/>
            <w:hideMark/>
          </w:tcPr>
          <w:p w14:paraId="589E5BD8" w14:textId="77777777" w:rsidR="00000000" w:rsidRDefault="00195E73">
            <w:pPr>
              <w:rPr>
                <w:rFonts w:eastAsia="Times New Roman"/>
                <w:sz w:val="20"/>
                <w:szCs w:val="20"/>
              </w:rPr>
            </w:pPr>
          </w:p>
        </w:tc>
        <w:tc>
          <w:tcPr>
            <w:tcW w:w="0" w:type="auto"/>
            <w:vAlign w:val="center"/>
            <w:hideMark/>
          </w:tcPr>
          <w:p w14:paraId="4E365744" w14:textId="77777777" w:rsidR="00000000" w:rsidRDefault="00195E73">
            <w:pPr>
              <w:rPr>
                <w:rFonts w:eastAsia="Times New Roman"/>
                <w:sz w:val="20"/>
                <w:szCs w:val="20"/>
              </w:rPr>
            </w:pPr>
          </w:p>
        </w:tc>
        <w:tc>
          <w:tcPr>
            <w:tcW w:w="0" w:type="auto"/>
            <w:vAlign w:val="center"/>
            <w:hideMark/>
          </w:tcPr>
          <w:p w14:paraId="15BEB7D4" w14:textId="77777777" w:rsidR="00000000" w:rsidRDefault="00195E73">
            <w:pPr>
              <w:rPr>
                <w:rFonts w:eastAsia="Times New Roman"/>
                <w:sz w:val="20"/>
                <w:szCs w:val="20"/>
              </w:rPr>
            </w:pPr>
          </w:p>
        </w:tc>
        <w:tc>
          <w:tcPr>
            <w:tcW w:w="0" w:type="auto"/>
            <w:vAlign w:val="center"/>
            <w:hideMark/>
          </w:tcPr>
          <w:p w14:paraId="509EF79D" w14:textId="77777777" w:rsidR="00000000" w:rsidRDefault="00195E73">
            <w:pPr>
              <w:rPr>
                <w:rFonts w:eastAsia="Times New Roman"/>
                <w:sz w:val="20"/>
                <w:szCs w:val="20"/>
              </w:rPr>
            </w:pPr>
          </w:p>
        </w:tc>
        <w:tc>
          <w:tcPr>
            <w:tcW w:w="0" w:type="auto"/>
            <w:vAlign w:val="center"/>
            <w:hideMark/>
          </w:tcPr>
          <w:p w14:paraId="7D8E1354" w14:textId="77777777" w:rsidR="00000000" w:rsidRDefault="00195E73">
            <w:pPr>
              <w:rPr>
                <w:rFonts w:eastAsia="Times New Roman"/>
                <w:sz w:val="20"/>
                <w:szCs w:val="20"/>
              </w:rPr>
            </w:pPr>
          </w:p>
        </w:tc>
        <w:tc>
          <w:tcPr>
            <w:tcW w:w="0" w:type="auto"/>
            <w:vAlign w:val="center"/>
            <w:hideMark/>
          </w:tcPr>
          <w:p w14:paraId="4E8880CA" w14:textId="77777777" w:rsidR="00000000" w:rsidRDefault="00195E73">
            <w:pPr>
              <w:rPr>
                <w:rFonts w:eastAsia="Times New Roman"/>
                <w:sz w:val="20"/>
                <w:szCs w:val="20"/>
              </w:rPr>
            </w:pPr>
          </w:p>
        </w:tc>
        <w:tc>
          <w:tcPr>
            <w:tcW w:w="0" w:type="auto"/>
            <w:vAlign w:val="center"/>
            <w:hideMark/>
          </w:tcPr>
          <w:p w14:paraId="65C1A836" w14:textId="77777777" w:rsidR="00000000" w:rsidRDefault="00195E73">
            <w:pPr>
              <w:rPr>
                <w:rFonts w:eastAsia="Times New Roman"/>
                <w:sz w:val="20"/>
                <w:szCs w:val="20"/>
              </w:rPr>
            </w:pPr>
          </w:p>
        </w:tc>
        <w:tc>
          <w:tcPr>
            <w:tcW w:w="0" w:type="auto"/>
            <w:vAlign w:val="center"/>
            <w:hideMark/>
          </w:tcPr>
          <w:p w14:paraId="515F0FDC" w14:textId="77777777" w:rsidR="00000000" w:rsidRDefault="00195E73">
            <w:pPr>
              <w:rPr>
                <w:rFonts w:eastAsia="Times New Roman"/>
                <w:sz w:val="20"/>
                <w:szCs w:val="20"/>
              </w:rPr>
            </w:pPr>
          </w:p>
        </w:tc>
        <w:tc>
          <w:tcPr>
            <w:tcW w:w="0" w:type="auto"/>
            <w:vAlign w:val="center"/>
            <w:hideMark/>
          </w:tcPr>
          <w:p w14:paraId="46F04882" w14:textId="77777777" w:rsidR="00000000" w:rsidRDefault="00195E73">
            <w:pPr>
              <w:rPr>
                <w:rFonts w:eastAsia="Times New Roman"/>
                <w:sz w:val="20"/>
                <w:szCs w:val="20"/>
              </w:rPr>
            </w:pPr>
          </w:p>
        </w:tc>
        <w:tc>
          <w:tcPr>
            <w:tcW w:w="0" w:type="auto"/>
            <w:vAlign w:val="center"/>
            <w:hideMark/>
          </w:tcPr>
          <w:p w14:paraId="0B1A780D" w14:textId="77777777" w:rsidR="00000000" w:rsidRDefault="00195E73">
            <w:pPr>
              <w:rPr>
                <w:rFonts w:eastAsia="Times New Roman"/>
                <w:sz w:val="20"/>
                <w:szCs w:val="20"/>
              </w:rPr>
            </w:pPr>
          </w:p>
        </w:tc>
        <w:tc>
          <w:tcPr>
            <w:tcW w:w="0" w:type="auto"/>
            <w:vAlign w:val="center"/>
            <w:hideMark/>
          </w:tcPr>
          <w:p w14:paraId="117C2F84" w14:textId="77777777" w:rsidR="00000000" w:rsidRDefault="00195E73">
            <w:pPr>
              <w:rPr>
                <w:rFonts w:eastAsia="Times New Roman"/>
                <w:sz w:val="20"/>
                <w:szCs w:val="20"/>
              </w:rPr>
            </w:pPr>
          </w:p>
        </w:tc>
      </w:tr>
      <w:tr w:rsidR="00000000" w14:paraId="7C844D57"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4370F759" w14:textId="77777777" w:rsidR="00000000" w:rsidRDefault="00195E73">
            <w:pPr>
              <w:rPr>
                <w:rFonts w:eastAsia="Times New Roman"/>
              </w:rPr>
            </w:pPr>
            <w:r>
              <w:rPr>
                <w:rFonts w:eastAsia="Times New Roman"/>
                <w:b/>
                <w:bCs/>
                <w:color w:val="000000"/>
                <w:sz w:val="13"/>
                <w:szCs w:val="13"/>
              </w:rPr>
              <w:t>Net cash (used in) provided by operating activitie</w:t>
            </w:r>
            <w:r>
              <w:rPr>
                <w:rFonts w:eastAsia="Times New Roman"/>
                <w:b/>
                <w:bCs/>
                <w:color w:val="000000"/>
                <w:sz w:val="13"/>
                <w:szCs w:val="13"/>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CDE2DA" w14:textId="77777777" w:rsidR="00000000" w:rsidRDefault="00195E73">
            <w:pPr>
              <w:jc w:val="right"/>
              <w:rPr>
                <w:rFonts w:eastAsia="Times New Roman"/>
              </w:rPr>
            </w:pPr>
            <w:r>
              <w:rPr>
                <w:rFonts w:eastAsia="Times New Roman"/>
                <w:color w:val="000000"/>
                <w:sz w:val="13"/>
                <w:szCs w:val="13"/>
              </w:rPr>
              <w:t>(1,460</w:t>
            </w:r>
            <w:r>
              <w:rPr>
                <w:rFonts w:eastAsia="Times New Roman"/>
                <w:color w:val="000000"/>
                <w:sz w:val="13"/>
                <w:szCs w:val="13"/>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884B70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66DC48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1A6D1B" w14:textId="77777777" w:rsidR="00000000" w:rsidRDefault="00195E73">
            <w:pPr>
              <w:jc w:val="right"/>
              <w:rPr>
                <w:rFonts w:eastAsia="Times New Roman"/>
              </w:rPr>
            </w:pPr>
            <w:r>
              <w:rPr>
                <w:rFonts w:eastAsia="Times New Roman"/>
                <w:color w:val="000000"/>
                <w:sz w:val="13"/>
                <w:szCs w:val="13"/>
              </w:rPr>
              <w:t>923</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CD85F66"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3D0CDE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780EE1" w14:textId="77777777" w:rsidR="00000000" w:rsidRDefault="00195E73">
            <w:pPr>
              <w:jc w:val="right"/>
              <w:rPr>
                <w:rFonts w:eastAsia="Times New Roman"/>
              </w:rPr>
            </w:pPr>
            <w:r>
              <w:rPr>
                <w:rFonts w:eastAsia="Times New Roman"/>
                <w:color w:val="000000"/>
                <w:sz w:val="13"/>
                <w:szCs w:val="13"/>
              </w:rPr>
              <w:t>(1,348</w:t>
            </w:r>
            <w:r>
              <w:rPr>
                <w:rFonts w:eastAsia="Times New Roman"/>
                <w:color w:val="000000"/>
                <w:sz w:val="13"/>
                <w:szCs w:val="13"/>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4DFA028"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7210173D" w14:textId="77777777" w:rsidR="00000000" w:rsidRDefault="00195E73">
            <w:pPr>
              <w:rPr>
                <w:rFonts w:eastAsia="Times New Roman"/>
                <w:sz w:val="20"/>
                <w:szCs w:val="20"/>
              </w:rPr>
            </w:pPr>
          </w:p>
        </w:tc>
        <w:tc>
          <w:tcPr>
            <w:tcW w:w="0" w:type="auto"/>
            <w:vAlign w:val="center"/>
            <w:hideMark/>
          </w:tcPr>
          <w:p w14:paraId="6E5870E6" w14:textId="77777777" w:rsidR="00000000" w:rsidRDefault="00195E73">
            <w:pPr>
              <w:rPr>
                <w:rFonts w:eastAsia="Times New Roman"/>
                <w:sz w:val="20"/>
                <w:szCs w:val="20"/>
              </w:rPr>
            </w:pPr>
          </w:p>
        </w:tc>
        <w:tc>
          <w:tcPr>
            <w:tcW w:w="0" w:type="auto"/>
            <w:vAlign w:val="center"/>
            <w:hideMark/>
          </w:tcPr>
          <w:p w14:paraId="51F01D91" w14:textId="77777777" w:rsidR="00000000" w:rsidRDefault="00195E73">
            <w:pPr>
              <w:rPr>
                <w:rFonts w:eastAsia="Times New Roman"/>
                <w:sz w:val="20"/>
                <w:szCs w:val="20"/>
              </w:rPr>
            </w:pPr>
          </w:p>
        </w:tc>
        <w:tc>
          <w:tcPr>
            <w:tcW w:w="0" w:type="auto"/>
            <w:vAlign w:val="center"/>
            <w:hideMark/>
          </w:tcPr>
          <w:p w14:paraId="03AB20D1" w14:textId="77777777" w:rsidR="00000000" w:rsidRDefault="00195E73">
            <w:pPr>
              <w:rPr>
                <w:rFonts w:eastAsia="Times New Roman"/>
                <w:sz w:val="20"/>
                <w:szCs w:val="20"/>
              </w:rPr>
            </w:pPr>
          </w:p>
        </w:tc>
        <w:tc>
          <w:tcPr>
            <w:tcW w:w="0" w:type="auto"/>
            <w:vAlign w:val="center"/>
            <w:hideMark/>
          </w:tcPr>
          <w:p w14:paraId="57169CEF" w14:textId="77777777" w:rsidR="00000000" w:rsidRDefault="00195E73">
            <w:pPr>
              <w:rPr>
                <w:rFonts w:eastAsia="Times New Roman"/>
                <w:sz w:val="20"/>
                <w:szCs w:val="20"/>
              </w:rPr>
            </w:pPr>
          </w:p>
        </w:tc>
        <w:tc>
          <w:tcPr>
            <w:tcW w:w="0" w:type="auto"/>
            <w:vAlign w:val="center"/>
            <w:hideMark/>
          </w:tcPr>
          <w:p w14:paraId="198F60B5" w14:textId="77777777" w:rsidR="00000000" w:rsidRDefault="00195E73">
            <w:pPr>
              <w:rPr>
                <w:rFonts w:eastAsia="Times New Roman"/>
                <w:sz w:val="20"/>
                <w:szCs w:val="20"/>
              </w:rPr>
            </w:pPr>
          </w:p>
        </w:tc>
        <w:tc>
          <w:tcPr>
            <w:tcW w:w="0" w:type="auto"/>
            <w:vAlign w:val="center"/>
            <w:hideMark/>
          </w:tcPr>
          <w:p w14:paraId="2C7DB81A" w14:textId="77777777" w:rsidR="00000000" w:rsidRDefault="00195E73">
            <w:pPr>
              <w:rPr>
                <w:rFonts w:eastAsia="Times New Roman"/>
                <w:sz w:val="20"/>
                <w:szCs w:val="20"/>
              </w:rPr>
            </w:pPr>
          </w:p>
        </w:tc>
        <w:tc>
          <w:tcPr>
            <w:tcW w:w="0" w:type="auto"/>
            <w:vAlign w:val="center"/>
            <w:hideMark/>
          </w:tcPr>
          <w:p w14:paraId="6E0C87B2" w14:textId="77777777" w:rsidR="00000000" w:rsidRDefault="00195E73">
            <w:pPr>
              <w:rPr>
                <w:rFonts w:eastAsia="Times New Roman"/>
                <w:sz w:val="20"/>
                <w:szCs w:val="20"/>
              </w:rPr>
            </w:pPr>
          </w:p>
        </w:tc>
        <w:tc>
          <w:tcPr>
            <w:tcW w:w="0" w:type="auto"/>
            <w:vAlign w:val="center"/>
            <w:hideMark/>
          </w:tcPr>
          <w:p w14:paraId="71BEB817" w14:textId="77777777" w:rsidR="00000000" w:rsidRDefault="00195E73">
            <w:pPr>
              <w:rPr>
                <w:rFonts w:eastAsia="Times New Roman"/>
                <w:sz w:val="20"/>
                <w:szCs w:val="20"/>
              </w:rPr>
            </w:pPr>
          </w:p>
        </w:tc>
        <w:tc>
          <w:tcPr>
            <w:tcW w:w="0" w:type="auto"/>
            <w:vAlign w:val="center"/>
            <w:hideMark/>
          </w:tcPr>
          <w:p w14:paraId="3CA93115" w14:textId="77777777" w:rsidR="00000000" w:rsidRDefault="00195E73">
            <w:pPr>
              <w:rPr>
                <w:rFonts w:eastAsia="Times New Roman"/>
                <w:sz w:val="20"/>
                <w:szCs w:val="20"/>
              </w:rPr>
            </w:pPr>
          </w:p>
        </w:tc>
        <w:tc>
          <w:tcPr>
            <w:tcW w:w="0" w:type="auto"/>
            <w:vAlign w:val="center"/>
            <w:hideMark/>
          </w:tcPr>
          <w:p w14:paraId="41CCCDAB" w14:textId="77777777" w:rsidR="00000000" w:rsidRDefault="00195E73">
            <w:pPr>
              <w:rPr>
                <w:rFonts w:eastAsia="Times New Roman"/>
                <w:sz w:val="20"/>
                <w:szCs w:val="20"/>
              </w:rPr>
            </w:pPr>
          </w:p>
        </w:tc>
        <w:tc>
          <w:tcPr>
            <w:tcW w:w="0" w:type="auto"/>
            <w:vAlign w:val="center"/>
            <w:hideMark/>
          </w:tcPr>
          <w:p w14:paraId="68FAE732" w14:textId="77777777" w:rsidR="00000000" w:rsidRDefault="00195E73">
            <w:pPr>
              <w:rPr>
                <w:rFonts w:eastAsia="Times New Roman"/>
                <w:sz w:val="20"/>
                <w:szCs w:val="20"/>
              </w:rPr>
            </w:pPr>
          </w:p>
        </w:tc>
      </w:tr>
      <w:tr w:rsidR="00000000" w14:paraId="4F74FE4E"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7A97FD2F" w14:textId="77777777" w:rsidR="00000000" w:rsidRDefault="00195E73">
            <w:pPr>
              <w:rPr>
                <w:rFonts w:eastAsia="Times New Roman"/>
              </w:rPr>
            </w:pPr>
            <w:r>
              <w:rPr>
                <w:rFonts w:eastAsia="Times New Roman"/>
                <w:b/>
                <w:bCs/>
                <w:color w:val="000000"/>
                <w:sz w:val="13"/>
                <w:szCs w:val="13"/>
              </w:rPr>
              <w:t>Cash flows from investing activities</w:t>
            </w:r>
            <w:r>
              <w:rPr>
                <w:rFonts w:eastAsia="Times New Roman"/>
                <w:b/>
                <w:bCs/>
                <w:color w:val="000000"/>
                <w:sz w:val="13"/>
                <w:szCs w:val="13"/>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33D8FA92"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6118EAE"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0A9B624F"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61733EA"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32F48DC" w14:textId="77777777" w:rsidR="00000000" w:rsidRDefault="00195E73">
            <w:pPr>
              <w:rPr>
                <w:rFonts w:eastAsia="Times New Roman"/>
                <w:sz w:val="20"/>
                <w:szCs w:val="20"/>
              </w:rPr>
            </w:pPr>
          </w:p>
        </w:tc>
        <w:tc>
          <w:tcPr>
            <w:tcW w:w="0" w:type="auto"/>
            <w:vAlign w:val="center"/>
            <w:hideMark/>
          </w:tcPr>
          <w:p w14:paraId="080B0A40" w14:textId="77777777" w:rsidR="00000000" w:rsidRDefault="00195E73">
            <w:pPr>
              <w:rPr>
                <w:rFonts w:eastAsia="Times New Roman"/>
                <w:sz w:val="20"/>
                <w:szCs w:val="20"/>
              </w:rPr>
            </w:pPr>
          </w:p>
        </w:tc>
        <w:tc>
          <w:tcPr>
            <w:tcW w:w="0" w:type="auto"/>
            <w:vAlign w:val="center"/>
            <w:hideMark/>
          </w:tcPr>
          <w:p w14:paraId="2A94E310" w14:textId="77777777" w:rsidR="00000000" w:rsidRDefault="00195E73">
            <w:pPr>
              <w:rPr>
                <w:rFonts w:eastAsia="Times New Roman"/>
                <w:sz w:val="20"/>
                <w:szCs w:val="20"/>
              </w:rPr>
            </w:pPr>
          </w:p>
        </w:tc>
        <w:tc>
          <w:tcPr>
            <w:tcW w:w="0" w:type="auto"/>
            <w:vAlign w:val="center"/>
            <w:hideMark/>
          </w:tcPr>
          <w:p w14:paraId="2CD79DED" w14:textId="77777777" w:rsidR="00000000" w:rsidRDefault="00195E73">
            <w:pPr>
              <w:rPr>
                <w:rFonts w:eastAsia="Times New Roman"/>
                <w:sz w:val="20"/>
                <w:szCs w:val="20"/>
              </w:rPr>
            </w:pPr>
          </w:p>
        </w:tc>
        <w:tc>
          <w:tcPr>
            <w:tcW w:w="0" w:type="auto"/>
            <w:vAlign w:val="center"/>
            <w:hideMark/>
          </w:tcPr>
          <w:p w14:paraId="66D26104" w14:textId="77777777" w:rsidR="00000000" w:rsidRDefault="00195E73">
            <w:pPr>
              <w:rPr>
                <w:rFonts w:eastAsia="Times New Roman"/>
                <w:sz w:val="20"/>
                <w:szCs w:val="20"/>
              </w:rPr>
            </w:pPr>
          </w:p>
        </w:tc>
        <w:tc>
          <w:tcPr>
            <w:tcW w:w="0" w:type="auto"/>
            <w:vAlign w:val="center"/>
            <w:hideMark/>
          </w:tcPr>
          <w:p w14:paraId="2FE0C114" w14:textId="77777777" w:rsidR="00000000" w:rsidRDefault="00195E73">
            <w:pPr>
              <w:rPr>
                <w:rFonts w:eastAsia="Times New Roman"/>
                <w:sz w:val="20"/>
                <w:szCs w:val="20"/>
              </w:rPr>
            </w:pPr>
          </w:p>
        </w:tc>
        <w:tc>
          <w:tcPr>
            <w:tcW w:w="0" w:type="auto"/>
            <w:vAlign w:val="center"/>
            <w:hideMark/>
          </w:tcPr>
          <w:p w14:paraId="5C5BE1F3" w14:textId="77777777" w:rsidR="00000000" w:rsidRDefault="00195E73">
            <w:pPr>
              <w:rPr>
                <w:rFonts w:eastAsia="Times New Roman"/>
                <w:sz w:val="20"/>
                <w:szCs w:val="20"/>
              </w:rPr>
            </w:pPr>
          </w:p>
        </w:tc>
        <w:tc>
          <w:tcPr>
            <w:tcW w:w="0" w:type="auto"/>
            <w:vAlign w:val="center"/>
            <w:hideMark/>
          </w:tcPr>
          <w:p w14:paraId="4BF7FE45" w14:textId="77777777" w:rsidR="00000000" w:rsidRDefault="00195E73">
            <w:pPr>
              <w:rPr>
                <w:rFonts w:eastAsia="Times New Roman"/>
                <w:sz w:val="20"/>
                <w:szCs w:val="20"/>
              </w:rPr>
            </w:pPr>
          </w:p>
        </w:tc>
        <w:tc>
          <w:tcPr>
            <w:tcW w:w="0" w:type="auto"/>
            <w:vAlign w:val="center"/>
            <w:hideMark/>
          </w:tcPr>
          <w:p w14:paraId="03E2727D" w14:textId="77777777" w:rsidR="00000000" w:rsidRDefault="00195E73">
            <w:pPr>
              <w:rPr>
                <w:rFonts w:eastAsia="Times New Roman"/>
                <w:sz w:val="20"/>
                <w:szCs w:val="20"/>
              </w:rPr>
            </w:pPr>
          </w:p>
        </w:tc>
        <w:tc>
          <w:tcPr>
            <w:tcW w:w="0" w:type="auto"/>
            <w:vAlign w:val="center"/>
            <w:hideMark/>
          </w:tcPr>
          <w:p w14:paraId="214EDB96" w14:textId="77777777" w:rsidR="00000000" w:rsidRDefault="00195E73">
            <w:pPr>
              <w:rPr>
                <w:rFonts w:eastAsia="Times New Roman"/>
                <w:sz w:val="20"/>
                <w:szCs w:val="20"/>
              </w:rPr>
            </w:pPr>
          </w:p>
        </w:tc>
        <w:tc>
          <w:tcPr>
            <w:tcW w:w="0" w:type="auto"/>
            <w:vAlign w:val="center"/>
            <w:hideMark/>
          </w:tcPr>
          <w:p w14:paraId="694AC97B" w14:textId="77777777" w:rsidR="00000000" w:rsidRDefault="00195E73">
            <w:pPr>
              <w:rPr>
                <w:rFonts w:eastAsia="Times New Roman"/>
                <w:sz w:val="20"/>
                <w:szCs w:val="20"/>
              </w:rPr>
            </w:pPr>
          </w:p>
        </w:tc>
        <w:tc>
          <w:tcPr>
            <w:tcW w:w="0" w:type="auto"/>
            <w:vAlign w:val="center"/>
            <w:hideMark/>
          </w:tcPr>
          <w:p w14:paraId="7520522A" w14:textId="77777777" w:rsidR="00000000" w:rsidRDefault="00195E73">
            <w:pPr>
              <w:rPr>
                <w:rFonts w:eastAsia="Times New Roman"/>
                <w:sz w:val="20"/>
                <w:szCs w:val="20"/>
              </w:rPr>
            </w:pPr>
          </w:p>
        </w:tc>
        <w:tc>
          <w:tcPr>
            <w:tcW w:w="0" w:type="auto"/>
            <w:vAlign w:val="center"/>
            <w:hideMark/>
          </w:tcPr>
          <w:p w14:paraId="73FD1755" w14:textId="77777777" w:rsidR="00000000" w:rsidRDefault="00195E73">
            <w:pPr>
              <w:rPr>
                <w:rFonts w:eastAsia="Times New Roman"/>
                <w:sz w:val="20"/>
                <w:szCs w:val="20"/>
              </w:rPr>
            </w:pPr>
          </w:p>
        </w:tc>
      </w:tr>
      <w:tr w:rsidR="00000000" w14:paraId="0E3E451C"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564CDBDD" w14:textId="77777777" w:rsidR="00000000" w:rsidRDefault="00195E73">
            <w:pPr>
              <w:rPr>
                <w:rFonts w:eastAsia="Times New Roman"/>
              </w:rPr>
            </w:pPr>
            <w:r>
              <w:rPr>
                <w:rFonts w:eastAsia="Times New Roman"/>
                <w:color w:val="000000"/>
                <w:sz w:val="13"/>
                <w:szCs w:val="13"/>
              </w:rPr>
              <w:t>Capital expenditure</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5D9B8BD8" w14:textId="77777777" w:rsidR="00000000" w:rsidRDefault="00195E73">
            <w:pPr>
              <w:jc w:val="right"/>
              <w:rPr>
                <w:rFonts w:eastAsia="Times New Roman"/>
              </w:rPr>
            </w:pPr>
            <w:r>
              <w:rPr>
                <w:rFonts w:eastAsia="Times New Roman"/>
                <w:color w:val="000000"/>
                <w:sz w:val="13"/>
                <w:szCs w:val="13"/>
              </w:rPr>
              <w:t>(250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3350C02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BE8541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EF9C00" w14:textId="77777777" w:rsidR="00000000" w:rsidRDefault="00195E73">
            <w:pPr>
              <w:jc w:val="right"/>
              <w:rPr>
                <w:rFonts w:eastAsia="Times New Roman"/>
              </w:rPr>
            </w:pPr>
            <w:r>
              <w:rPr>
                <w:rFonts w:eastAsia="Times New Roman"/>
                <w:color w:val="000000"/>
                <w:sz w:val="13"/>
                <w:szCs w:val="13"/>
              </w:rPr>
              <w:t>(272</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3540801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67E04B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88841A" w14:textId="77777777" w:rsidR="00000000" w:rsidRDefault="00195E73">
            <w:pPr>
              <w:jc w:val="right"/>
              <w:rPr>
                <w:rFonts w:eastAsia="Times New Roman"/>
              </w:rPr>
            </w:pPr>
            <w:r>
              <w:rPr>
                <w:rFonts w:eastAsia="Times New Roman"/>
                <w:color w:val="000000"/>
                <w:sz w:val="13"/>
                <w:szCs w:val="13"/>
              </w:rPr>
              <w:t>(316</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2F40B130"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FDA4CD0" w14:textId="77777777" w:rsidR="00000000" w:rsidRDefault="00195E73">
            <w:pPr>
              <w:rPr>
                <w:rFonts w:eastAsia="Times New Roman"/>
                <w:sz w:val="20"/>
                <w:szCs w:val="20"/>
              </w:rPr>
            </w:pPr>
          </w:p>
        </w:tc>
        <w:tc>
          <w:tcPr>
            <w:tcW w:w="0" w:type="auto"/>
            <w:vAlign w:val="center"/>
            <w:hideMark/>
          </w:tcPr>
          <w:p w14:paraId="54C1A140" w14:textId="77777777" w:rsidR="00000000" w:rsidRDefault="00195E73">
            <w:pPr>
              <w:rPr>
                <w:rFonts w:eastAsia="Times New Roman"/>
                <w:sz w:val="20"/>
                <w:szCs w:val="20"/>
              </w:rPr>
            </w:pPr>
          </w:p>
        </w:tc>
        <w:tc>
          <w:tcPr>
            <w:tcW w:w="0" w:type="auto"/>
            <w:vAlign w:val="center"/>
            <w:hideMark/>
          </w:tcPr>
          <w:p w14:paraId="2353FE5A" w14:textId="77777777" w:rsidR="00000000" w:rsidRDefault="00195E73">
            <w:pPr>
              <w:rPr>
                <w:rFonts w:eastAsia="Times New Roman"/>
                <w:sz w:val="20"/>
                <w:szCs w:val="20"/>
              </w:rPr>
            </w:pPr>
          </w:p>
        </w:tc>
        <w:tc>
          <w:tcPr>
            <w:tcW w:w="0" w:type="auto"/>
            <w:vAlign w:val="center"/>
            <w:hideMark/>
          </w:tcPr>
          <w:p w14:paraId="68517DF6" w14:textId="77777777" w:rsidR="00000000" w:rsidRDefault="00195E73">
            <w:pPr>
              <w:rPr>
                <w:rFonts w:eastAsia="Times New Roman"/>
                <w:sz w:val="20"/>
                <w:szCs w:val="20"/>
              </w:rPr>
            </w:pPr>
          </w:p>
        </w:tc>
        <w:tc>
          <w:tcPr>
            <w:tcW w:w="0" w:type="auto"/>
            <w:vAlign w:val="center"/>
            <w:hideMark/>
          </w:tcPr>
          <w:p w14:paraId="195A3A36" w14:textId="77777777" w:rsidR="00000000" w:rsidRDefault="00195E73">
            <w:pPr>
              <w:rPr>
                <w:rFonts w:eastAsia="Times New Roman"/>
                <w:sz w:val="20"/>
                <w:szCs w:val="20"/>
              </w:rPr>
            </w:pPr>
          </w:p>
        </w:tc>
        <w:tc>
          <w:tcPr>
            <w:tcW w:w="0" w:type="auto"/>
            <w:vAlign w:val="center"/>
            <w:hideMark/>
          </w:tcPr>
          <w:p w14:paraId="3577D60D" w14:textId="77777777" w:rsidR="00000000" w:rsidRDefault="00195E73">
            <w:pPr>
              <w:rPr>
                <w:rFonts w:eastAsia="Times New Roman"/>
                <w:sz w:val="20"/>
                <w:szCs w:val="20"/>
              </w:rPr>
            </w:pPr>
          </w:p>
        </w:tc>
        <w:tc>
          <w:tcPr>
            <w:tcW w:w="0" w:type="auto"/>
            <w:vAlign w:val="center"/>
            <w:hideMark/>
          </w:tcPr>
          <w:p w14:paraId="515B7F8C" w14:textId="77777777" w:rsidR="00000000" w:rsidRDefault="00195E73">
            <w:pPr>
              <w:rPr>
                <w:rFonts w:eastAsia="Times New Roman"/>
                <w:sz w:val="20"/>
                <w:szCs w:val="20"/>
              </w:rPr>
            </w:pPr>
          </w:p>
        </w:tc>
        <w:tc>
          <w:tcPr>
            <w:tcW w:w="0" w:type="auto"/>
            <w:vAlign w:val="center"/>
            <w:hideMark/>
          </w:tcPr>
          <w:p w14:paraId="3E38FAFF" w14:textId="77777777" w:rsidR="00000000" w:rsidRDefault="00195E73">
            <w:pPr>
              <w:rPr>
                <w:rFonts w:eastAsia="Times New Roman"/>
                <w:sz w:val="20"/>
                <w:szCs w:val="20"/>
              </w:rPr>
            </w:pPr>
          </w:p>
        </w:tc>
        <w:tc>
          <w:tcPr>
            <w:tcW w:w="0" w:type="auto"/>
            <w:vAlign w:val="center"/>
            <w:hideMark/>
          </w:tcPr>
          <w:p w14:paraId="2B01DA03" w14:textId="77777777" w:rsidR="00000000" w:rsidRDefault="00195E73">
            <w:pPr>
              <w:rPr>
                <w:rFonts w:eastAsia="Times New Roman"/>
                <w:sz w:val="20"/>
                <w:szCs w:val="20"/>
              </w:rPr>
            </w:pPr>
          </w:p>
        </w:tc>
        <w:tc>
          <w:tcPr>
            <w:tcW w:w="0" w:type="auto"/>
            <w:vAlign w:val="center"/>
            <w:hideMark/>
          </w:tcPr>
          <w:p w14:paraId="0115629C" w14:textId="77777777" w:rsidR="00000000" w:rsidRDefault="00195E73">
            <w:pPr>
              <w:rPr>
                <w:rFonts w:eastAsia="Times New Roman"/>
                <w:sz w:val="20"/>
                <w:szCs w:val="20"/>
              </w:rPr>
            </w:pPr>
          </w:p>
        </w:tc>
        <w:tc>
          <w:tcPr>
            <w:tcW w:w="0" w:type="auto"/>
            <w:vAlign w:val="center"/>
            <w:hideMark/>
          </w:tcPr>
          <w:p w14:paraId="2C74B305" w14:textId="77777777" w:rsidR="00000000" w:rsidRDefault="00195E73">
            <w:pPr>
              <w:rPr>
                <w:rFonts w:eastAsia="Times New Roman"/>
                <w:sz w:val="20"/>
                <w:szCs w:val="20"/>
              </w:rPr>
            </w:pPr>
          </w:p>
        </w:tc>
        <w:tc>
          <w:tcPr>
            <w:tcW w:w="0" w:type="auto"/>
            <w:vAlign w:val="center"/>
            <w:hideMark/>
          </w:tcPr>
          <w:p w14:paraId="14049113" w14:textId="77777777" w:rsidR="00000000" w:rsidRDefault="00195E73">
            <w:pPr>
              <w:rPr>
                <w:rFonts w:eastAsia="Times New Roman"/>
                <w:sz w:val="20"/>
                <w:szCs w:val="20"/>
              </w:rPr>
            </w:pPr>
          </w:p>
        </w:tc>
      </w:tr>
      <w:tr w:rsidR="00000000" w14:paraId="78997115"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05EDEBAD" w14:textId="77777777" w:rsidR="00000000" w:rsidRDefault="00195E73">
            <w:pPr>
              <w:rPr>
                <w:rFonts w:eastAsia="Times New Roman"/>
              </w:rPr>
            </w:pPr>
            <w:r>
              <w:rPr>
                <w:rFonts w:eastAsia="Times New Roman"/>
                <w:color w:val="000000"/>
                <w:sz w:val="13"/>
                <w:szCs w:val="13"/>
              </w:rPr>
              <w:t>Acquisition of businesses, net of cash acquire</w:t>
            </w:r>
            <w:r>
              <w:rPr>
                <w:rFonts w:eastAsia="Times New Roman"/>
                <w:color w:val="000000"/>
                <w:sz w:val="13"/>
                <w:szCs w:val="13"/>
              </w:rPr>
              <w:t>d</w:t>
            </w:r>
          </w:p>
        </w:tc>
        <w:tc>
          <w:tcPr>
            <w:tcW w:w="0" w:type="auto"/>
            <w:gridSpan w:val="2"/>
            <w:shd w:val="clear" w:color="auto" w:fill="CCEEFF"/>
            <w:tcMar>
              <w:top w:w="30" w:type="dxa"/>
              <w:left w:w="20" w:type="dxa"/>
              <w:bottom w:w="30" w:type="dxa"/>
              <w:right w:w="0" w:type="dxa"/>
            </w:tcMar>
            <w:vAlign w:val="bottom"/>
            <w:hideMark/>
          </w:tcPr>
          <w:p w14:paraId="1376F2ED" w14:textId="77777777" w:rsidR="00000000" w:rsidRDefault="00195E73">
            <w:pPr>
              <w:jc w:val="right"/>
              <w:rPr>
                <w:rFonts w:eastAsia="Times New Roman"/>
              </w:rPr>
            </w:pPr>
            <w:r>
              <w:rPr>
                <w:rFonts w:eastAsia="Times New Roman"/>
                <w:color w:val="000000"/>
                <w:sz w:val="13"/>
                <w:szCs w:val="13"/>
              </w:rPr>
              <w:t>(39</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55522A3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4C2AD72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8C36A1" w14:textId="77777777" w:rsidR="00000000" w:rsidRDefault="00195E73">
            <w:pPr>
              <w:jc w:val="right"/>
              <w:rPr>
                <w:rFonts w:eastAsia="Times New Roman"/>
              </w:rPr>
            </w:pPr>
            <w:r>
              <w:rPr>
                <w:rFonts w:eastAsia="Times New Roman"/>
                <w:color w:val="000000"/>
                <w:sz w:val="13"/>
                <w:szCs w:val="13"/>
              </w:rPr>
              <w:t>(15</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78187AF4"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5E31D2E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7405D6" w14:textId="77777777" w:rsidR="00000000" w:rsidRDefault="00195E73">
            <w:pPr>
              <w:jc w:val="right"/>
              <w:rPr>
                <w:rFonts w:eastAsia="Times New Roman"/>
              </w:rPr>
            </w:pPr>
            <w:r>
              <w:rPr>
                <w:rFonts w:eastAsia="Times New Roman"/>
                <w:color w:val="000000"/>
                <w:sz w:val="13"/>
                <w:szCs w:val="13"/>
              </w:rPr>
              <w:t>(249</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5610C57F"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C758269" w14:textId="77777777" w:rsidR="00000000" w:rsidRDefault="00195E73">
            <w:pPr>
              <w:rPr>
                <w:rFonts w:eastAsia="Times New Roman"/>
                <w:sz w:val="20"/>
                <w:szCs w:val="20"/>
              </w:rPr>
            </w:pPr>
          </w:p>
        </w:tc>
        <w:tc>
          <w:tcPr>
            <w:tcW w:w="0" w:type="auto"/>
            <w:vAlign w:val="center"/>
            <w:hideMark/>
          </w:tcPr>
          <w:p w14:paraId="2318D7DA" w14:textId="77777777" w:rsidR="00000000" w:rsidRDefault="00195E73">
            <w:pPr>
              <w:rPr>
                <w:rFonts w:eastAsia="Times New Roman"/>
                <w:sz w:val="20"/>
                <w:szCs w:val="20"/>
              </w:rPr>
            </w:pPr>
          </w:p>
        </w:tc>
        <w:tc>
          <w:tcPr>
            <w:tcW w:w="0" w:type="auto"/>
            <w:vAlign w:val="center"/>
            <w:hideMark/>
          </w:tcPr>
          <w:p w14:paraId="0B1D9AA5" w14:textId="77777777" w:rsidR="00000000" w:rsidRDefault="00195E73">
            <w:pPr>
              <w:rPr>
                <w:rFonts w:eastAsia="Times New Roman"/>
                <w:sz w:val="20"/>
                <w:szCs w:val="20"/>
              </w:rPr>
            </w:pPr>
          </w:p>
        </w:tc>
        <w:tc>
          <w:tcPr>
            <w:tcW w:w="0" w:type="auto"/>
            <w:vAlign w:val="center"/>
            <w:hideMark/>
          </w:tcPr>
          <w:p w14:paraId="09C25442" w14:textId="77777777" w:rsidR="00000000" w:rsidRDefault="00195E73">
            <w:pPr>
              <w:rPr>
                <w:rFonts w:eastAsia="Times New Roman"/>
                <w:sz w:val="20"/>
                <w:szCs w:val="20"/>
              </w:rPr>
            </w:pPr>
          </w:p>
        </w:tc>
        <w:tc>
          <w:tcPr>
            <w:tcW w:w="0" w:type="auto"/>
            <w:vAlign w:val="center"/>
            <w:hideMark/>
          </w:tcPr>
          <w:p w14:paraId="7F2710CF" w14:textId="77777777" w:rsidR="00000000" w:rsidRDefault="00195E73">
            <w:pPr>
              <w:rPr>
                <w:rFonts w:eastAsia="Times New Roman"/>
                <w:sz w:val="20"/>
                <w:szCs w:val="20"/>
              </w:rPr>
            </w:pPr>
          </w:p>
        </w:tc>
        <w:tc>
          <w:tcPr>
            <w:tcW w:w="0" w:type="auto"/>
            <w:vAlign w:val="center"/>
            <w:hideMark/>
          </w:tcPr>
          <w:p w14:paraId="18BCD52E" w14:textId="77777777" w:rsidR="00000000" w:rsidRDefault="00195E73">
            <w:pPr>
              <w:rPr>
                <w:rFonts w:eastAsia="Times New Roman"/>
                <w:sz w:val="20"/>
                <w:szCs w:val="20"/>
              </w:rPr>
            </w:pPr>
          </w:p>
        </w:tc>
        <w:tc>
          <w:tcPr>
            <w:tcW w:w="0" w:type="auto"/>
            <w:vAlign w:val="center"/>
            <w:hideMark/>
          </w:tcPr>
          <w:p w14:paraId="1F4B027B" w14:textId="77777777" w:rsidR="00000000" w:rsidRDefault="00195E73">
            <w:pPr>
              <w:rPr>
                <w:rFonts w:eastAsia="Times New Roman"/>
                <w:sz w:val="20"/>
                <w:szCs w:val="20"/>
              </w:rPr>
            </w:pPr>
          </w:p>
        </w:tc>
        <w:tc>
          <w:tcPr>
            <w:tcW w:w="0" w:type="auto"/>
            <w:vAlign w:val="center"/>
            <w:hideMark/>
          </w:tcPr>
          <w:p w14:paraId="1BAAE813" w14:textId="77777777" w:rsidR="00000000" w:rsidRDefault="00195E73">
            <w:pPr>
              <w:rPr>
                <w:rFonts w:eastAsia="Times New Roman"/>
                <w:sz w:val="20"/>
                <w:szCs w:val="20"/>
              </w:rPr>
            </w:pPr>
          </w:p>
        </w:tc>
        <w:tc>
          <w:tcPr>
            <w:tcW w:w="0" w:type="auto"/>
            <w:vAlign w:val="center"/>
            <w:hideMark/>
          </w:tcPr>
          <w:p w14:paraId="0695EE02" w14:textId="77777777" w:rsidR="00000000" w:rsidRDefault="00195E73">
            <w:pPr>
              <w:rPr>
                <w:rFonts w:eastAsia="Times New Roman"/>
                <w:sz w:val="20"/>
                <w:szCs w:val="20"/>
              </w:rPr>
            </w:pPr>
          </w:p>
        </w:tc>
        <w:tc>
          <w:tcPr>
            <w:tcW w:w="0" w:type="auto"/>
            <w:vAlign w:val="center"/>
            <w:hideMark/>
          </w:tcPr>
          <w:p w14:paraId="40D872AE" w14:textId="77777777" w:rsidR="00000000" w:rsidRDefault="00195E73">
            <w:pPr>
              <w:rPr>
                <w:rFonts w:eastAsia="Times New Roman"/>
                <w:sz w:val="20"/>
                <w:szCs w:val="20"/>
              </w:rPr>
            </w:pPr>
          </w:p>
        </w:tc>
        <w:tc>
          <w:tcPr>
            <w:tcW w:w="0" w:type="auto"/>
            <w:vAlign w:val="center"/>
            <w:hideMark/>
          </w:tcPr>
          <w:p w14:paraId="4AB460A4" w14:textId="77777777" w:rsidR="00000000" w:rsidRDefault="00195E73">
            <w:pPr>
              <w:rPr>
                <w:rFonts w:eastAsia="Times New Roman"/>
                <w:sz w:val="20"/>
                <w:szCs w:val="20"/>
              </w:rPr>
            </w:pPr>
          </w:p>
        </w:tc>
        <w:tc>
          <w:tcPr>
            <w:tcW w:w="0" w:type="auto"/>
            <w:vAlign w:val="center"/>
            <w:hideMark/>
          </w:tcPr>
          <w:p w14:paraId="04EC4ED8" w14:textId="77777777" w:rsidR="00000000" w:rsidRDefault="00195E73">
            <w:pPr>
              <w:rPr>
                <w:rFonts w:eastAsia="Times New Roman"/>
                <w:sz w:val="20"/>
                <w:szCs w:val="20"/>
              </w:rPr>
            </w:pPr>
          </w:p>
        </w:tc>
      </w:tr>
      <w:tr w:rsidR="00000000" w14:paraId="6168DA52"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319430CF" w14:textId="77777777" w:rsidR="00000000" w:rsidRDefault="00195E73">
            <w:pPr>
              <w:rPr>
                <w:rFonts w:eastAsia="Times New Roman"/>
              </w:rPr>
            </w:pPr>
            <w:r>
              <w:rPr>
                <w:rFonts w:eastAsia="Times New Roman"/>
                <w:color w:val="000000"/>
                <w:sz w:val="13"/>
                <w:szCs w:val="13"/>
              </w:rPr>
              <w:t>Purchases of investment</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1D214A8C" w14:textId="77777777" w:rsidR="00000000" w:rsidRDefault="00195E73">
            <w:pPr>
              <w:jc w:val="right"/>
              <w:rPr>
                <w:rFonts w:eastAsia="Times New Roman"/>
              </w:rPr>
            </w:pPr>
            <w:r>
              <w:rPr>
                <w:rFonts w:eastAsia="Times New Roman"/>
                <w:color w:val="000000"/>
                <w:sz w:val="13"/>
                <w:szCs w:val="13"/>
              </w:rPr>
              <w:t>(50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21358C1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E4B2C4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EECAA1" w14:textId="77777777" w:rsidR="00000000" w:rsidRDefault="00195E73">
            <w:pPr>
              <w:jc w:val="right"/>
              <w:rPr>
                <w:rFonts w:eastAsia="Times New Roman"/>
              </w:rPr>
            </w:pPr>
            <w:r>
              <w:rPr>
                <w:rFonts w:eastAsia="Times New Roman"/>
                <w:color w:val="000000"/>
                <w:sz w:val="13"/>
                <w:szCs w:val="13"/>
              </w:rPr>
              <w:t>(60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17E061B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611CAE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A0D6F4" w14:textId="77777777" w:rsidR="00000000" w:rsidRDefault="00195E73">
            <w:pPr>
              <w:jc w:val="right"/>
              <w:rPr>
                <w:rFonts w:eastAsia="Times New Roman"/>
              </w:rPr>
            </w:pPr>
            <w:r>
              <w:rPr>
                <w:rFonts w:eastAsia="Times New Roman"/>
                <w:color w:val="000000"/>
                <w:sz w:val="13"/>
                <w:szCs w:val="13"/>
              </w:rPr>
              <w:t>(77</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0C6337D8"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5620DD8" w14:textId="77777777" w:rsidR="00000000" w:rsidRDefault="00195E73">
            <w:pPr>
              <w:rPr>
                <w:rFonts w:eastAsia="Times New Roman"/>
                <w:sz w:val="20"/>
                <w:szCs w:val="20"/>
              </w:rPr>
            </w:pPr>
          </w:p>
        </w:tc>
        <w:tc>
          <w:tcPr>
            <w:tcW w:w="0" w:type="auto"/>
            <w:vAlign w:val="center"/>
            <w:hideMark/>
          </w:tcPr>
          <w:p w14:paraId="2DB9F009" w14:textId="77777777" w:rsidR="00000000" w:rsidRDefault="00195E73">
            <w:pPr>
              <w:rPr>
                <w:rFonts w:eastAsia="Times New Roman"/>
                <w:sz w:val="20"/>
                <w:szCs w:val="20"/>
              </w:rPr>
            </w:pPr>
          </w:p>
        </w:tc>
        <w:tc>
          <w:tcPr>
            <w:tcW w:w="0" w:type="auto"/>
            <w:vAlign w:val="center"/>
            <w:hideMark/>
          </w:tcPr>
          <w:p w14:paraId="513A5792" w14:textId="77777777" w:rsidR="00000000" w:rsidRDefault="00195E73">
            <w:pPr>
              <w:rPr>
                <w:rFonts w:eastAsia="Times New Roman"/>
                <w:sz w:val="20"/>
                <w:szCs w:val="20"/>
              </w:rPr>
            </w:pPr>
          </w:p>
        </w:tc>
        <w:tc>
          <w:tcPr>
            <w:tcW w:w="0" w:type="auto"/>
            <w:vAlign w:val="center"/>
            <w:hideMark/>
          </w:tcPr>
          <w:p w14:paraId="463E4EC3" w14:textId="77777777" w:rsidR="00000000" w:rsidRDefault="00195E73">
            <w:pPr>
              <w:rPr>
                <w:rFonts w:eastAsia="Times New Roman"/>
                <w:sz w:val="20"/>
                <w:szCs w:val="20"/>
              </w:rPr>
            </w:pPr>
          </w:p>
        </w:tc>
        <w:tc>
          <w:tcPr>
            <w:tcW w:w="0" w:type="auto"/>
            <w:vAlign w:val="center"/>
            <w:hideMark/>
          </w:tcPr>
          <w:p w14:paraId="5F6056B2" w14:textId="77777777" w:rsidR="00000000" w:rsidRDefault="00195E73">
            <w:pPr>
              <w:rPr>
                <w:rFonts w:eastAsia="Times New Roman"/>
                <w:sz w:val="20"/>
                <w:szCs w:val="20"/>
              </w:rPr>
            </w:pPr>
          </w:p>
        </w:tc>
        <w:tc>
          <w:tcPr>
            <w:tcW w:w="0" w:type="auto"/>
            <w:vAlign w:val="center"/>
            <w:hideMark/>
          </w:tcPr>
          <w:p w14:paraId="0DEACBED" w14:textId="77777777" w:rsidR="00000000" w:rsidRDefault="00195E73">
            <w:pPr>
              <w:rPr>
                <w:rFonts w:eastAsia="Times New Roman"/>
                <w:sz w:val="20"/>
                <w:szCs w:val="20"/>
              </w:rPr>
            </w:pPr>
          </w:p>
        </w:tc>
        <w:tc>
          <w:tcPr>
            <w:tcW w:w="0" w:type="auto"/>
            <w:vAlign w:val="center"/>
            <w:hideMark/>
          </w:tcPr>
          <w:p w14:paraId="039DEDBC" w14:textId="77777777" w:rsidR="00000000" w:rsidRDefault="00195E73">
            <w:pPr>
              <w:rPr>
                <w:rFonts w:eastAsia="Times New Roman"/>
                <w:sz w:val="20"/>
                <w:szCs w:val="20"/>
              </w:rPr>
            </w:pPr>
          </w:p>
        </w:tc>
        <w:tc>
          <w:tcPr>
            <w:tcW w:w="0" w:type="auto"/>
            <w:vAlign w:val="center"/>
            <w:hideMark/>
          </w:tcPr>
          <w:p w14:paraId="5CB60655" w14:textId="77777777" w:rsidR="00000000" w:rsidRDefault="00195E73">
            <w:pPr>
              <w:rPr>
                <w:rFonts w:eastAsia="Times New Roman"/>
                <w:sz w:val="20"/>
                <w:szCs w:val="20"/>
              </w:rPr>
            </w:pPr>
          </w:p>
        </w:tc>
        <w:tc>
          <w:tcPr>
            <w:tcW w:w="0" w:type="auto"/>
            <w:vAlign w:val="center"/>
            <w:hideMark/>
          </w:tcPr>
          <w:p w14:paraId="4E1DDE31" w14:textId="77777777" w:rsidR="00000000" w:rsidRDefault="00195E73">
            <w:pPr>
              <w:rPr>
                <w:rFonts w:eastAsia="Times New Roman"/>
                <w:sz w:val="20"/>
                <w:szCs w:val="20"/>
              </w:rPr>
            </w:pPr>
          </w:p>
        </w:tc>
        <w:tc>
          <w:tcPr>
            <w:tcW w:w="0" w:type="auto"/>
            <w:vAlign w:val="center"/>
            <w:hideMark/>
          </w:tcPr>
          <w:p w14:paraId="6AE1EC8B" w14:textId="77777777" w:rsidR="00000000" w:rsidRDefault="00195E73">
            <w:pPr>
              <w:rPr>
                <w:rFonts w:eastAsia="Times New Roman"/>
                <w:sz w:val="20"/>
                <w:szCs w:val="20"/>
              </w:rPr>
            </w:pPr>
          </w:p>
        </w:tc>
        <w:tc>
          <w:tcPr>
            <w:tcW w:w="0" w:type="auto"/>
            <w:vAlign w:val="center"/>
            <w:hideMark/>
          </w:tcPr>
          <w:p w14:paraId="783C7C2A" w14:textId="77777777" w:rsidR="00000000" w:rsidRDefault="00195E73">
            <w:pPr>
              <w:rPr>
                <w:rFonts w:eastAsia="Times New Roman"/>
                <w:sz w:val="20"/>
                <w:szCs w:val="20"/>
              </w:rPr>
            </w:pPr>
          </w:p>
        </w:tc>
        <w:tc>
          <w:tcPr>
            <w:tcW w:w="0" w:type="auto"/>
            <w:vAlign w:val="center"/>
            <w:hideMark/>
          </w:tcPr>
          <w:p w14:paraId="43745836" w14:textId="77777777" w:rsidR="00000000" w:rsidRDefault="00195E73">
            <w:pPr>
              <w:rPr>
                <w:rFonts w:eastAsia="Times New Roman"/>
                <w:sz w:val="20"/>
                <w:szCs w:val="20"/>
              </w:rPr>
            </w:pPr>
          </w:p>
        </w:tc>
      </w:tr>
      <w:tr w:rsidR="00000000" w14:paraId="3D18B1AB"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0E8C594E" w14:textId="77777777" w:rsidR="00000000" w:rsidRDefault="00195E73">
            <w:pPr>
              <w:rPr>
                <w:rFonts w:eastAsia="Times New Roman"/>
              </w:rPr>
            </w:pPr>
            <w:r>
              <w:rPr>
                <w:rFonts w:eastAsia="Times New Roman"/>
                <w:color w:val="000000"/>
                <w:sz w:val="13"/>
                <w:szCs w:val="13"/>
              </w:rPr>
              <w:t>Proceeds from sale of investment</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394AACD3" w14:textId="77777777" w:rsidR="00000000" w:rsidRDefault="00195E73">
            <w:pPr>
              <w:jc w:val="right"/>
              <w:rPr>
                <w:rFonts w:eastAsia="Times New Roman"/>
              </w:rPr>
            </w:pPr>
            <w:r>
              <w:rPr>
                <w:rFonts w:eastAsia="Times New Roman"/>
                <w:color w:val="000000"/>
                <w:sz w:val="13"/>
                <w:szCs w:val="13"/>
              </w:rPr>
              <w:t>458</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00D4E9E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31F09A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C33738" w14:textId="77777777" w:rsidR="00000000" w:rsidRDefault="00195E73">
            <w:pPr>
              <w:jc w:val="right"/>
              <w:rPr>
                <w:rFonts w:eastAsia="Times New Roman"/>
              </w:rPr>
            </w:pPr>
            <w:r>
              <w:rPr>
                <w:rFonts w:eastAsia="Times New Roman"/>
                <w:color w:val="000000"/>
                <w:sz w:val="13"/>
                <w:szCs w:val="13"/>
              </w:rPr>
              <w:t>1</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542A50F8"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767121B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2771B3" w14:textId="77777777" w:rsidR="00000000" w:rsidRDefault="00195E73">
            <w:pPr>
              <w:jc w:val="right"/>
              <w:rPr>
                <w:rFonts w:eastAsia="Times New Roman"/>
              </w:rPr>
            </w:pPr>
            <w:r>
              <w:rPr>
                <w:rFonts w:eastAsia="Times New Roman"/>
                <w:color w:val="000000"/>
                <w:sz w:val="13"/>
                <w:szCs w:val="13"/>
              </w:rPr>
              <w:t>1</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1D41C28F"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7ED1BC64" w14:textId="77777777" w:rsidR="00000000" w:rsidRDefault="00195E73">
            <w:pPr>
              <w:rPr>
                <w:rFonts w:eastAsia="Times New Roman"/>
                <w:sz w:val="20"/>
                <w:szCs w:val="20"/>
              </w:rPr>
            </w:pPr>
          </w:p>
        </w:tc>
        <w:tc>
          <w:tcPr>
            <w:tcW w:w="0" w:type="auto"/>
            <w:vAlign w:val="center"/>
            <w:hideMark/>
          </w:tcPr>
          <w:p w14:paraId="4F353D5E" w14:textId="77777777" w:rsidR="00000000" w:rsidRDefault="00195E73">
            <w:pPr>
              <w:rPr>
                <w:rFonts w:eastAsia="Times New Roman"/>
                <w:sz w:val="20"/>
                <w:szCs w:val="20"/>
              </w:rPr>
            </w:pPr>
          </w:p>
        </w:tc>
        <w:tc>
          <w:tcPr>
            <w:tcW w:w="0" w:type="auto"/>
            <w:vAlign w:val="center"/>
            <w:hideMark/>
          </w:tcPr>
          <w:p w14:paraId="48800E7F" w14:textId="77777777" w:rsidR="00000000" w:rsidRDefault="00195E73">
            <w:pPr>
              <w:rPr>
                <w:rFonts w:eastAsia="Times New Roman"/>
                <w:sz w:val="20"/>
                <w:szCs w:val="20"/>
              </w:rPr>
            </w:pPr>
          </w:p>
        </w:tc>
        <w:tc>
          <w:tcPr>
            <w:tcW w:w="0" w:type="auto"/>
            <w:vAlign w:val="center"/>
            <w:hideMark/>
          </w:tcPr>
          <w:p w14:paraId="73B905AF" w14:textId="77777777" w:rsidR="00000000" w:rsidRDefault="00195E73">
            <w:pPr>
              <w:rPr>
                <w:rFonts w:eastAsia="Times New Roman"/>
                <w:sz w:val="20"/>
                <w:szCs w:val="20"/>
              </w:rPr>
            </w:pPr>
          </w:p>
        </w:tc>
        <w:tc>
          <w:tcPr>
            <w:tcW w:w="0" w:type="auto"/>
            <w:vAlign w:val="center"/>
            <w:hideMark/>
          </w:tcPr>
          <w:p w14:paraId="1C1C0BD4" w14:textId="77777777" w:rsidR="00000000" w:rsidRDefault="00195E73">
            <w:pPr>
              <w:rPr>
                <w:rFonts w:eastAsia="Times New Roman"/>
                <w:sz w:val="20"/>
                <w:szCs w:val="20"/>
              </w:rPr>
            </w:pPr>
          </w:p>
        </w:tc>
        <w:tc>
          <w:tcPr>
            <w:tcW w:w="0" w:type="auto"/>
            <w:vAlign w:val="center"/>
            <w:hideMark/>
          </w:tcPr>
          <w:p w14:paraId="7AFE843A" w14:textId="77777777" w:rsidR="00000000" w:rsidRDefault="00195E73">
            <w:pPr>
              <w:rPr>
                <w:rFonts w:eastAsia="Times New Roman"/>
                <w:sz w:val="20"/>
                <w:szCs w:val="20"/>
              </w:rPr>
            </w:pPr>
          </w:p>
        </w:tc>
        <w:tc>
          <w:tcPr>
            <w:tcW w:w="0" w:type="auto"/>
            <w:vAlign w:val="center"/>
            <w:hideMark/>
          </w:tcPr>
          <w:p w14:paraId="11239877" w14:textId="77777777" w:rsidR="00000000" w:rsidRDefault="00195E73">
            <w:pPr>
              <w:rPr>
                <w:rFonts w:eastAsia="Times New Roman"/>
                <w:sz w:val="20"/>
                <w:szCs w:val="20"/>
              </w:rPr>
            </w:pPr>
          </w:p>
        </w:tc>
        <w:tc>
          <w:tcPr>
            <w:tcW w:w="0" w:type="auto"/>
            <w:vAlign w:val="center"/>
            <w:hideMark/>
          </w:tcPr>
          <w:p w14:paraId="1D9CB638" w14:textId="77777777" w:rsidR="00000000" w:rsidRDefault="00195E73">
            <w:pPr>
              <w:rPr>
                <w:rFonts w:eastAsia="Times New Roman"/>
                <w:sz w:val="20"/>
                <w:szCs w:val="20"/>
              </w:rPr>
            </w:pPr>
          </w:p>
        </w:tc>
        <w:tc>
          <w:tcPr>
            <w:tcW w:w="0" w:type="auto"/>
            <w:vAlign w:val="center"/>
            <w:hideMark/>
          </w:tcPr>
          <w:p w14:paraId="20074389" w14:textId="77777777" w:rsidR="00000000" w:rsidRDefault="00195E73">
            <w:pPr>
              <w:rPr>
                <w:rFonts w:eastAsia="Times New Roman"/>
                <w:sz w:val="20"/>
                <w:szCs w:val="20"/>
              </w:rPr>
            </w:pPr>
          </w:p>
        </w:tc>
        <w:tc>
          <w:tcPr>
            <w:tcW w:w="0" w:type="auto"/>
            <w:vAlign w:val="center"/>
            <w:hideMark/>
          </w:tcPr>
          <w:p w14:paraId="51B6934B" w14:textId="77777777" w:rsidR="00000000" w:rsidRDefault="00195E73">
            <w:pPr>
              <w:rPr>
                <w:rFonts w:eastAsia="Times New Roman"/>
                <w:sz w:val="20"/>
                <w:szCs w:val="20"/>
              </w:rPr>
            </w:pPr>
          </w:p>
        </w:tc>
        <w:tc>
          <w:tcPr>
            <w:tcW w:w="0" w:type="auto"/>
            <w:vAlign w:val="center"/>
            <w:hideMark/>
          </w:tcPr>
          <w:p w14:paraId="643D8ABF" w14:textId="77777777" w:rsidR="00000000" w:rsidRDefault="00195E73">
            <w:pPr>
              <w:rPr>
                <w:rFonts w:eastAsia="Times New Roman"/>
                <w:sz w:val="20"/>
                <w:szCs w:val="20"/>
              </w:rPr>
            </w:pPr>
          </w:p>
        </w:tc>
        <w:tc>
          <w:tcPr>
            <w:tcW w:w="0" w:type="auto"/>
            <w:vAlign w:val="center"/>
            <w:hideMark/>
          </w:tcPr>
          <w:p w14:paraId="2800ADCF" w14:textId="77777777" w:rsidR="00000000" w:rsidRDefault="00195E73">
            <w:pPr>
              <w:rPr>
                <w:rFonts w:eastAsia="Times New Roman"/>
                <w:sz w:val="20"/>
                <w:szCs w:val="20"/>
              </w:rPr>
            </w:pPr>
          </w:p>
        </w:tc>
      </w:tr>
      <w:tr w:rsidR="00000000" w14:paraId="4C7207E6"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7764D44B" w14:textId="77777777" w:rsidR="00000000" w:rsidRDefault="00195E73">
            <w:pPr>
              <w:rPr>
                <w:rFonts w:eastAsia="Times New Roman"/>
              </w:rPr>
            </w:pPr>
            <w:r>
              <w:rPr>
                <w:rFonts w:eastAsia="Times New Roman"/>
                <w:color w:val="000000"/>
                <w:sz w:val="13"/>
                <w:szCs w:val="13"/>
              </w:rPr>
              <w:t>Proceeds from disposition of asset</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72314604" w14:textId="77777777" w:rsidR="00000000" w:rsidRDefault="00195E73">
            <w:pPr>
              <w:jc w:val="right"/>
              <w:rPr>
                <w:rFonts w:eastAsia="Times New Roman"/>
              </w:rPr>
            </w:pPr>
            <w:r>
              <w:rPr>
                <w:rFonts w:eastAsia="Times New Roman"/>
                <w:color w:val="000000"/>
                <w:sz w:val="13"/>
                <w:szCs w:val="13"/>
              </w:rPr>
              <w:t>505</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6758028F"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667129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405716" w14:textId="77777777" w:rsidR="00000000" w:rsidRDefault="00195E73">
            <w:pPr>
              <w:jc w:val="right"/>
              <w:rPr>
                <w:rFonts w:eastAsia="Times New Roman"/>
              </w:rPr>
            </w:pPr>
            <w:r>
              <w:rPr>
                <w:rFonts w:eastAsia="Times New Roman"/>
                <w:color w:val="000000"/>
                <w:sz w:val="13"/>
                <w:szCs w:val="13"/>
              </w:rPr>
              <w:t>3,370</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5E59BDF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3DA41F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217D44" w14:textId="77777777" w:rsidR="00000000" w:rsidRDefault="00195E73">
            <w:pPr>
              <w:jc w:val="right"/>
              <w:rPr>
                <w:rFonts w:eastAsia="Times New Roman"/>
              </w:rPr>
            </w:pPr>
            <w:r>
              <w:rPr>
                <w:rFonts w:eastAsia="Times New Roman"/>
                <w:color w:val="000000"/>
                <w:sz w:val="13"/>
                <w:szCs w:val="13"/>
              </w:rPr>
              <w:t>1,983</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3ACF800E"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45707792" w14:textId="77777777" w:rsidR="00000000" w:rsidRDefault="00195E73">
            <w:pPr>
              <w:rPr>
                <w:rFonts w:eastAsia="Times New Roman"/>
                <w:sz w:val="20"/>
                <w:szCs w:val="20"/>
              </w:rPr>
            </w:pPr>
          </w:p>
        </w:tc>
        <w:tc>
          <w:tcPr>
            <w:tcW w:w="0" w:type="auto"/>
            <w:vAlign w:val="center"/>
            <w:hideMark/>
          </w:tcPr>
          <w:p w14:paraId="06A7F7C1" w14:textId="77777777" w:rsidR="00000000" w:rsidRDefault="00195E73">
            <w:pPr>
              <w:rPr>
                <w:rFonts w:eastAsia="Times New Roman"/>
                <w:sz w:val="20"/>
                <w:szCs w:val="20"/>
              </w:rPr>
            </w:pPr>
          </w:p>
        </w:tc>
        <w:tc>
          <w:tcPr>
            <w:tcW w:w="0" w:type="auto"/>
            <w:vAlign w:val="center"/>
            <w:hideMark/>
          </w:tcPr>
          <w:p w14:paraId="74D8672D" w14:textId="77777777" w:rsidR="00000000" w:rsidRDefault="00195E73">
            <w:pPr>
              <w:rPr>
                <w:rFonts w:eastAsia="Times New Roman"/>
                <w:sz w:val="20"/>
                <w:szCs w:val="20"/>
              </w:rPr>
            </w:pPr>
          </w:p>
        </w:tc>
        <w:tc>
          <w:tcPr>
            <w:tcW w:w="0" w:type="auto"/>
            <w:vAlign w:val="center"/>
            <w:hideMark/>
          </w:tcPr>
          <w:p w14:paraId="2CFB0ECD" w14:textId="77777777" w:rsidR="00000000" w:rsidRDefault="00195E73">
            <w:pPr>
              <w:rPr>
                <w:rFonts w:eastAsia="Times New Roman"/>
                <w:sz w:val="20"/>
                <w:szCs w:val="20"/>
              </w:rPr>
            </w:pPr>
          </w:p>
        </w:tc>
        <w:tc>
          <w:tcPr>
            <w:tcW w:w="0" w:type="auto"/>
            <w:vAlign w:val="center"/>
            <w:hideMark/>
          </w:tcPr>
          <w:p w14:paraId="3673A637" w14:textId="77777777" w:rsidR="00000000" w:rsidRDefault="00195E73">
            <w:pPr>
              <w:rPr>
                <w:rFonts w:eastAsia="Times New Roman"/>
                <w:sz w:val="20"/>
                <w:szCs w:val="20"/>
              </w:rPr>
            </w:pPr>
          </w:p>
        </w:tc>
        <w:tc>
          <w:tcPr>
            <w:tcW w:w="0" w:type="auto"/>
            <w:vAlign w:val="center"/>
            <w:hideMark/>
          </w:tcPr>
          <w:p w14:paraId="0DBC5A5C" w14:textId="77777777" w:rsidR="00000000" w:rsidRDefault="00195E73">
            <w:pPr>
              <w:rPr>
                <w:rFonts w:eastAsia="Times New Roman"/>
                <w:sz w:val="20"/>
                <w:szCs w:val="20"/>
              </w:rPr>
            </w:pPr>
          </w:p>
        </w:tc>
        <w:tc>
          <w:tcPr>
            <w:tcW w:w="0" w:type="auto"/>
            <w:vAlign w:val="center"/>
            <w:hideMark/>
          </w:tcPr>
          <w:p w14:paraId="0DE32EC0" w14:textId="77777777" w:rsidR="00000000" w:rsidRDefault="00195E73">
            <w:pPr>
              <w:rPr>
                <w:rFonts w:eastAsia="Times New Roman"/>
                <w:sz w:val="20"/>
                <w:szCs w:val="20"/>
              </w:rPr>
            </w:pPr>
          </w:p>
        </w:tc>
        <w:tc>
          <w:tcPr>
            <w:tcW w:w="0" w:type="auto"/>
            <w:vAlign w:val="center"/>
            <w:hideMark/>
          </w:tcPr>
          <w:p w14:paraId="5F853F7C" w14:textId="77777777" w:rsidR="00000000" w:rsidRDefault="00195E73">
            <w:pPr>
              <w:rPr>
                <w:rFonts w:eastAsia="Times New Roman"/>
                <w:sz w:val="20"/>
                <w:szCs w:val="20"/>
              </w:rPr>
            </w:pPr>
          </w:p>
        </w:tc>
        <w:tc>
          <w:tcPr>
            <w:tcW w:w="0" w:type="auto"/>
            <w:vAlign w:val="center"/>
            <w:hideMark/>
          </w:tcPr>
          <w:p w14:paraId="15E159AE" w14:textId="77777777" w:rsidR="00000000" w:rsidRDefault="00195E73">
            <w:pPr>
              <w:rPr>
                <w:rFonts w:eastAsia="Times New Roman"/>
                <w:sz w:val="20"/>
                <w:szCs w:val="20"/>
              </w:rPr>
            </w:pPr>
          </w:p>
        </w:tc>
        <w:tc>
          <w:tcPr>
            <w:tcW w:w="0" w:type="auto"/>
            <w:vAlign w:val="center"/>
            <w:hideMark/>
          </w:tcPr>
          <w:p w14:paraId="013A35B1" w14:textId="77777777" w:rsidR="00000000" w:rsidRDefault="00195E73">
            <w:pPr>
              <w:rPr>
                <w:rFonts w:eastAsia="Times New Roman"/>
                <w:sz w:val="20"/>
                <w:szCs w:val="20"/>
              </w:rPr>
            </w:pPr>
          </w:p>
        </w:tc>
        <w:tc>
          <w:tcPr>
            <w:tcW w:w="0" w:type="auto"/>
            <w:vAlign w:val="center"/>
            <w:hideMark/>
          </w:tcPr>
          <w:p w14:paraId="312A73BC" w14:textId="77777777" w:rsidR="00000000" w:rsidRDefault="00195E73">
            <w:pPr>
              <w:rPr>
                <w:rFonts w:eastAsia="Times New Roman"/>
                <w:sz w:val="20"/>
                <w:szCs w:val="20"/>
              </w:rPr>
            </w:pPr>
          </w:p>
        </w:tc>
        <w:tc>
          <w:tcPr>
            <w:tcW w:w="0" w:type="auto"/>
            <w:vAlign w:val="center"/>
            <w:hideMark/>
          </w:tcPr>
          <w:p w14:paraId="44A6C21F" w14:textId="77777777" w:rsidR="00000000" w:rsidRDefault="00195E73">
            <w:pPr>
              <w:rPr>
                <w:rFonts w:eastAsia="Times New Roman"/>
                <w:sz w:val="20"/>
                <w:szCs w:val="20"/>
              </w:rPr>
            </w:pPr>
          </w:p>
        </w:tc>
      </w:tr>
      <w:tr w:rsidR="00000000" w14:paraId="1F35CEDC"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4DA5E29D" w14:textId="77777777" w:rsidR="00000000" w:rsidRDefault="00195E73">
            <w:pPr>
              <w:rPr>
                <w:rFonts w:eastAsia="Times New Roman"/>
              </w:rPr>
            </w:pPr>
            <w:r>
              <w:rPr>
                <w:rFonts w:eastAsia="Times New Roman"/>
                <w:color w:val="000000"/>
                <w:sz w:val="13"/>
                <w:szCs w:val="13"/>
              </w:rPr>
              <w:t>Other, ne</w:t>
            </w:r>
            <w:r>
              <w:rPr>
                <w:rFonts w:eastAsia="Times New Roman"/>
                <w:color w:val="000000"/>
                <w:sz w:val="13"/>
                <w:szCs w:val="13"/>
              </w:rPr>
              <w:t>t</w:t>
            </w:r>
          </w:p>
        </w:tc>
        <w:tc>
          <w:tcPr>
            <w:tcW w:w="0" w:type="auto"/>
            <w:gridSpan w:val="2"/>
            <w:shd w:val="clear" w:color="auto" w:fill="CCEEFF"/>
            <w:tcMar>
              <w:top w:w="30" w:type="dxa"/>
              <w:left w:w="20" w:type="dxa"/>
              <w:bottom w:w="30" w:type="dxa"/>
              <w:right w:w="0" w:type="dxa"/>
            </w:tcMar>
            <w:vAlign w:val="bottom"/>
            <w:hideMark/>
          </w:tcPr>
          <w:p w14:paraId="6FF375A0" w14:textId="77777777" w:rsidR="00000000" w:rsidRDefault="00195E73">
            <w:pPr>
              <w:jc w:val="right"/>
              <w:rPr>
                <w:rFonts w:eastAsia="Times New Roman"/>
              </w:rPr>
            </w:pPr>
            <w:r>
              <w:rPr>
                <w:rFonts w:eastAsia="Times New Roman"/>
                <w:color w:val="000000"/>
                <w:sz w:val="13"/>
                <w:szCs w:val="13"/>
              </w:rPr>
              <w:t>(38</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69F47E1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396726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AFB3C9"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7890DBBD"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84AEAE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237D50" w14:textId="77777777" w:rsidR="00000000" w:rsidRDefault="00195E73">
            <w:pPr>
              <w:jc w:val="right"/>
              <w:rPr>
                <w:rFonts w:eastAsia="Times New Roman"/>
              </w:rPr>
            </w:pPr>
            <w:r>
              <w:rPr>
                <w:rFonts w:eastAsia="Times New Roman"/>
                <w:color w:val="000000"/>
                <w:sz w:val="13"/>
                <w:szCs w:val="13"/>
              </w:rPr>
              <w:t>(80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758B1929"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74513573" w14:textId="77777777" w:rsidR="00000000" w:rsidRDefault="00195E73">
            <w:pPr>
              <w:rPr>
                <w:rFonts w:eastAsia="Times New Roman"/>
                <w:sz w:val="20"/>
                <w:szCs w:val="20"/>
              </w:rPr>
            </w:pPr>
          </w:p>
        </w:tc>
        <w:tc>
          <w:tcPr>
            <w:tcW w:w="0" w:type="auto"/>
            <w:vAlign w:val="center"/>
            <w:hideMark/>
          </w:tcPr>
          <w:p w14:paraId="6A7C6AD8" w14:textId="77777777" w:rsidR="00000000" w:rsidRDefault="00195E73">
            <w:pPr>
              <w:rPr>
                <w:rFonts w:eastAsia="Times New Roman"/>
                <w:sz w:val="20"/>
                <w:szCs w:val="20"/>
              </w:rPr>
            </w:pPr>
          </w:p>
        </w:tc>
        <w:tc>
          <w:tcPr>
            <w:tcW w:w="0" w:type="auto"/>
            <w:vAlign w:val="center"/>
            <w:hideMark/>
          </w:tcPr>
          <w:p w14:paraId="421BDA3A" w14:textId="77777777" w:rsidR="00000000" w:rsidRDefault="00195E73">
            <w:pPr>
              <w:rPr>
                <w:rFonts w:eastAsia="Times New Roman"/>
                <w:sz w:val="20"/>
                <w:szCs w:val="20"/>
              </w:rPr>
            </w:pPr>
          </w:p>
        </w:tc>
        <w:tc>
          <w:tcPr>
            <w:tcW w:w="0" w:type="auto"/>
            <w:vAlign w:val="center"/>
            <w:hideMark/>
          </w:tcPr>
          <w:p w14:paraId="418FC347" w14:textId="77777777" w:rsidR="00000000" w:rsidRDefault="00195E73">
            <w:pPr>
              <w:rPr>
                <w:rFonts w:eastAsia="Times New Roman"/>
                <w:sz w:val="20"/>
                <w:szCs w:val="20"/>
              </w:rPr>
            </w:pPr>
          </w:p>
        </w:tc>
        <w:tc>
          <w:tcPr>
            <w:tcW w:w="0" w:type="auto"/>
            <w:vAlign w:val="center"/>
            <w:hideMark/>
          </w:tcPr>
          <w:p w14:paraId="43435D53" w14:textId="77777777" w:rsidR="00000000" w:rsidRDefault="00195E73">
            <w:pPr>
              <w:rPr>
                <w:rFonts w:eastAsia="Times New Roman"/>
                <w:sz w:val="20"/>
                <w:szCs w:val="20"/>
              </w:rPr>
            </w:pPr>
          </w:p>
        </w:tc>
        <w:tc>
          <w:tcPr>
            <w:tcW w:w="0" w:type="auto"/>
            <w:vAlign w:val="center"/>
            <w:hideMark/>
          </w:tcPr>
          <w:p w14:paraId="0A600D86" w14:textId="77777777" w:rsidR="00000000" w:rsidRDefault="00195E73">
            <w:pPr>
              <w:rPr>
                <w:rFonts w:eastAsia="Times New Roman"/>
                <w:sz w:val="20"/>
                <w:szCs w:val="20"/>
              </w:rPr>
            </w:pPr>
          </w:p>
        </w:tc>
        <w:tc>
          <w:tcPr>
            <w:tcW w:w="0" w:type="auto"/>
            <w:vAlign w:val="center"/>
            <w:hideMark/>
          </w:tcPr>
          <w:p w14:paraId="21F39563" w14:textId="77777777" w:rsidR="00000000" w:rsidRDefault="00195E73">
            <w:pPr>
              <w:rPr>
                <w:rFonts w:eastAsia="Times New Roman"/>
                <w:sz w:val="20"/>
                <w:szCs w:val="20"/>
              </w:rPr>
            </w:pPr>
          </w:p>
        </w:tc>
        <w:tc>
          <w:tcPr>
            <w:tcW w:w="0" w:type="auto"/>
            <w:vAlign w:val="center"/>
            <w:hideMark/>
          </w:tcPr>
          <w:p w14:paraId="18B6CA4A" w14:textId="77777777" w:rsidR="00000000" w:rsidRDefault="00195E73">
            <w:pPr>
              <w:rPr>
                <w:rFonts w:eastAsia="Times New Roman"/>
                <w:sz w:val="20"/>
                <w:szCs w:val="20"/>
              </w:rPr>
            </w:pPr>
          </w:p>
        </w:tc>
        <w:tc>
          <w:tcPr>
            <w:tcW w:w="0" w:type="auto"/>
            <w:vAlign w:val="center"/>
            <w:hideMark/>
          </w:tcPr>
          <w:p w14:paraId="377B2BC3" w14:textId="77777777" w:rsidR="00000000" w:rsidRDefault="00195E73">
            <w:pPr>
              <w:rPr>
                <w:rFonts w:eastAsia="Times New Roman"/>
                <w:sz w:val="20"/>
                <w:szCs w:val="20"/>
              </w:rPr>
            </w:pPr>
          </w:p>
        </w:tc>
        <w:tc>
          <w:tcPr>
            <w:tcW w:w="0" w:type="auto"/>
            <w:vAlign w:val="center"/>
            <w:hideMark/>
          </w:tcPr>
          <w:p w14:paraId="0B4A9822" w14:textId="77777777" w:rsidR="00000000" w:rsidRDefault="00195E73">
            <w:pPr>
              <w:rPr>
                <w:rFonts w:eastAsia="Times New Roman"/>
                <w:sz w:val="20"/>
                <w:szCs w:val="20"/>
              </w:rPr>
            </w:pPr>
          </w:p>
        </w:tc>
        <w:tc>
          <w:tcPr>
            <w:tcW w:w="0" w:type="auto"/>
            <w:vAlign w:val="center"/>
            <w:hideMark/>
          </w:tcPr>
          <w:p w14:paraId="47BAFDFC" w14:textId="77777777" w:rsidR="00000000" w:rsidRDefault="00195E73">
            <w:pPr>
              <w:rPr>
                <w:rFonts w:eastAsia="Times New Roman"/>
                <w:sz w:val="20"/>
                <w:szCs w:val="20"/>
              </w:rPr>
            </w:pPr>
          </w:p>
        </w:tc>
        <w:tc>
          <w:tcPr>
            <w:tcW w:w="0" w:type="auto"/>
            <w:vAlign w:val="center"/>
            <w:hideMark/>
          </w:tcPr>
          <w:p w14:paraId="6BAE77C6" w14:textId="77777777" w:rsidR="00000000" w:rsidRDefault="00195E73">
            <w:pPr>
              <w:rPr>
                <w:rFonts w:eastAsia="Times New Roman"/>
                <w:sz w:val="20"/>
                <w:szCs w:val="20"/>
              </w:rPr>
            </w:pPr>
          </w:p>
        </w:tc>
      </w:tr>
      <w:tr w:rsidR="00000000" w14:paraId="3E20448F"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6E4D7EFF" w14:textId="77777777" w:rsidR="00000000" w:rsidRDefault="00195E73">
            <w:pPr>
              <w:rPr>
                <w:rFonts w:eastAsia="Times New Roman"/>
              </w:rPr>
            </w:pPr>
            <w:r>
              <w:rPr>
                <w:rFonts w:eastAsia="Times New Roman"/>
                <w:color w:val="000000"/>
                <w:sz w:val="13"/>
                <w:szCs w:val="13"/>
              </w:rPr>
              <w:t>Net cash provided by investing activities from continuing operation</w:t>
            </w:r>
            <w:r>
              <w:rPr>
                <w:rFonts w:eastAsia="Times New Roman"/>
                <w:color w:val="000000"/>
                <w:sz w:val="13"/>
                <w:szCs w:val="13"/>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0DFBDE" w14:textId="77777777" w:rsidR="00000000" w:rsidRDefault="00195E73">
            <w:pPr>
              <w:jc w:val="right"/>
              <w:rPr>
                <w:rFonts w:eastAsia="Times New Roman"/>
              </w:rPr>
            </w:pPr>
            <w:r>
              <w:rPr>
                <w:rFonts w:eastAsia="Times New Roman"/>
                <w:color w:val="000000"/>
                <w:sz w:val="13"/>
                <w:szCs w:val="13"/>
              </w:rPr>
              <w:t>586</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984379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0562BD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DCE4F2" w14:textId="77777777" w:rsidR="00000000" w:rsidRDefault="00195E73">
            <w:pPr>
              <w:jc w:val="right"/>
              <w:rPr>
                <w:rFonts w:eastAsia="Times New Roman"/>
              </w:rPr>
            </w:pPr>
            <w:r>
              <w:rPr>
                <w:rFonts w:eastAsia="Times New Roman"/>
                <w:color w:val="000000"/>
                <w:sz w:val="13"/>
                <w:szCs w:val="13"/>
              </w:rPr>
              <w:t>3,024</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947EBD6"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72F350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112D0D" w14:textId="77777777" w:rsidR="00000000" w:rsidRDefault="00195E73">
            <w:pPr>
              <w:jc w:val="right"/>
              <w:rPr>
                <w:rFonts w:eastAsia="Times New Roman"/>
              </w:rPr>
            </w:pPr>
            <w:r>
              <w:rPr>
                <w:rFonts w:eastAsia="Times New Roman"/>
                <w:color w:val="000000"/>
                <w:sz w:val="13"/>
                <w:szCs w:val="13"/>
              </w:rPr>
              <w:t>1,262</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2F9FC59"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7B52DE1C" w14:textId="77777777" w:rsidR="00000000" w:rsidRDefault="00195E73">
            <w:pPr>
              <w:rPr>
                <w:rFonts w:eastAsia="Times New Roman"/>
                <w:sz w:val="20"/>
                <w:szCs w:val="20"/>
              </w:rPr>
            </w:pPr>
          </w:p>
        </w:tc>
        <w:tc>
          <w:tcPr>
            <w:tcW w:w="0" w:type="auto"/>
            <w:vAlign w:val="center"/>
            <w:hideMark/>
          </w:tcPr>
          <w:p w14:paraId="351FDB13" w14:textId="77777777" w:rsidR="00000000" w:rsidRDefault="00195E73">
            <w:pPr>
              <w:rPr>
                <w:rFonts w:eastAsia="Times New Roman"/>
                <w:sz w:val="20"/>
                <w:szCs w:val="20"/>
              </w:rPr>
            </w:pPr>
          </w:p>
        </w:tc>
        <w:tc>
          <w:tcPr>
            <w:tcW w:w="0" w:type="auto"/>
            <w:vAlign w:val="center"/>
            <w:hideMark/>
          </w:tcPr>
          <w:p w14:paraId="222427F8" w14:textId="77777777" w:rsidR="00000000" w:rsidRDefault="00195E73">
            <w:pPr>
              <w:rPr>
                <w:rFonts w:eastAsia="Times New Roman"/>
                <w:sz w:val="20"/>
                <w:szCs w:val="20"/>
              </w:rPr>
            </w:pPr>
          </w:p>
        </w:tc>
        <w:tc>
          <w:tcPr>
            <w:tcW w:w="0" w:type="auto"/>
            <w:vAlign w:val="center"/>
            <w:hideMark/>
          </w:tcPr>
          <w:p w14:paraId="601E142F" w14:textId="77777777" w:rsidR="00000000" w:rsidRDefault="00195E73">
            <w:pPr>
              <w:rPr>
                <w:rFonts w:eastAsia="Times New Roman"/>
                <w:sz w:val="20"/>
                <w:szCs w:val="20"/>
              </w:rPr>
            </w:pPr>
          </w:p>
        </w:tc>
        <w:tc>
          <w:tcPr>
            <w:tcW w:w="0" w:type="auto"/>
            <w:vAlign w:val="center"/>
            <w:hideMark/>
          </w:tcPr>
          <w:p w14:paraId="7CF926A9" w14:textId="77777777" w:rsidR="00000000" w:rsidRDefault="00195E73">
            <w:pPr>
              <w:rPr>
                <w:rFonts w:eastAsia="Times New Roman"/>
                <w:sz w:val="20"/>
                <w:szCs w:val="20"/>
              </w:rPr>
            </w:pPr>
          </w:p>
        </w:tc>
        <w:tc>
          <w:tcPr>
            <w:tcW w:w="0" w:type="auto"/>
            <w:vAlign w:val="center"/>
            <w:hideMark/>
          </w:tcPr>
          <w:p w14:paraId="7D4D2E8E" w14:textId="77777777" w:rsidR="00000000" w:rsidRDefault="00195E73">
            <w:pPr>
              <w:rPr>
                <w:rFonts w:eastAsia="Times New Roman"/>
                <w:sz w:val="20"/>
                <w:szCs w:val="20"/>
              </w:rPr>
            </w:pPr>
          </w:p>
        </w:tc>
        <w:tc>
          <w:tcPr>
            <w:tcW w:w="0" w:type="auto"/>
            <w:vAlign w:val="center"/>
            <w:hideMark/>
          </w:tcPr>
          <w:p w14:paraId="150005E2" w14:textId="77777777" w:rsidR="00000000" w:rsidRDefault="00195E73">
            <w:pPr>
              <w:rPr>
                <w:rFonts w:eastAsia="Times New Roman"/>
                <w:sz w:val="20"/>
                <w:szCs w:val="20"/>
              </w:rPr>
            </w:pPr>
          </w:p>
        </w:tc>
        <w:tc>
          <w:tcPr>
            <w:tcW w:w="0" w:type="auto"/>
            <w:vAlign w:val="center"/>
            <w:hideMark/>
          </w:tcPr>
          <w:p w14:paraId="3CEE722A" w14:textId="77777777" w:rsidR="00000000" w:rsidRDefault="00195E73">
            <w:pPr>
              <w:rPr>
                <w:rFonts w:eastAsia="Times New Roman"/>
                <w:sz w:val="20"/>
                <w:szCs w:val="20"/>
              </w:rPr>
            </w:pPr>
          </w:p>
        </w:tc>
        <w:tc>
          <w:tcPr>
            <w:tcW w:w="0" w:type="auto"/>
            <w:vAlign w:val="center"/>
            <w:hideMark/>
          </w:tcPr>
          <w:p w14:paraId="229E7E8A" w14:textId="77777777" w:rsidR="00000000" w:rsidRDefault="00195E73">
            <w:pPr>
              <w:rPr>
                <w:rFonts w:eastAsia="Times New Roman"/>
                <w:sz w:val="20"/>
                <w:szCs w:val="20"/>
              </w:rPr>
            </w:pPr>
          </w:p>
        </w:tc>
        <w:tc>
          <w:tcPr>
            <w:tcW w:w="0" w:type="auto"/>
            <w:vAlign w:val="center"/>
            <w:hideMark/>
          </w:tcPr>
          <w:p w14:paraId="35694056" w14:textId="77777777" w:rsidR="00000000" w:rsidRDefault="00195E73">
            <w:pPr>
              <w:rPr>
                <w:rFonts w:eastAsia="Times New Roman"/>
                <w:sz w:val="20"/>
                <w:szCs w:val="20"/>
              </w:rPr>
            </w:pPr>
          </w:p>
        </w:tc>
        <w:tc>
          <w:tcPr>
            <w:tcW w:w="0" w:type="auto"/>
            <w:vAlign w:val="center"/>
            <w:hideMark/>
          </w:tcPr>
          <w:p w14:paraId="21D5F2AB" w14:textId="77777777" w:rsidR="00000000" w:rsidRDefault="00195E73">
            <w:pPr>
              <w:rPr>
                <w:rFonts w:eastAsia="Times New Roman"/>
                <w:sz w:val="20"/>
                <w:szCs w:val="20"/>
              </w:rPr>
            </w:pPr>
          </w:p>
        </w:tc>
        <w:tc>
          <w:tcPr>
            <w:tcW w:w="0" w:type="auto"/>
            <w:vAlign w:val="center"/>
            <w:hideMark/>
          </w:tcPr>
          <w:p w14:paraId="27CB5247" w14:textId="77777777" w:rsidR="00000000" w:rsidRDefault="00195E73">
            <w:pPr>
              <w:rPr>
                <w:rFonts w:eastAsia="Times New Roman"/>
                <w:sz w:val="20"/>
                <w:szCs w:val="20"/>
              </w:rPr>
            </w:pPr>
          </w:p>
        </w:tc>
      </w:tr>
      <w:tr w:rsidR="00000000" w14:paraId="548F75EF"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76F308D3" w14:textId="77777777" w:rsidR="00000000" w:rsidRDefault="00195E73">
            <w:pPr>
              <w:rPr>
                <w:rFonts w:eastAsia="Times New Roman"/>
              </w:rPr>
            </w:pPr>
            <w:r>
              <w:rPr>
                <w:rFonts w:eastAsia="Times New Roman"/>
                <w:color w:val="000000"/>
                <w:sz w:val="13"/>
                <w:szCs w:val="13"/>
              </w:rPr>
              <w:t>Net cash used in investing activities from discontinued operation</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64A66F8D"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0125973"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3AFE79D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9486D1" w14:textId="77777777" w:rsidR="00000000" w:rsidRDefault="00195E73">
            <w:pPr>
              <w:jc w:val="right"/>
              <w:rPr>
                <w:rFonts w:eastAsia="Times New Roman"/>
              </w:rPr>
            </w:pPr>
            <w:r>
              <w:rPr>
                <w:rFonts w:eastAsia="Times New Roman"/>
                <w:color w:val="000000"/>
                <w:sz w:val="13"/>
                <w:szCs w:val="13"/>
              </w:rPr>
              <w:t>(437</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1004E0BD"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262E59D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39B398" w14:textId="77777777" w:rsidR="00000000" w:rsidRDefault="00195E73">
            <w:pPr>
              <w:jc w:val="right"/>
              <w:rPr>
                <w:rFonts w:eastAsia="Times New Roman"/>
              </w:rPr>
            </w:pPr>
            <w:r>
              <w:rPr>
                <w:rFonts w:eastAsia="Times New Roman"/>
                <w:color w:val="000000"/>
                <w:sz w:val="13"/>
                <w:szCs w:val="13"/>
              </w:rPr>
              <w:t>(580</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4FABBF49"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0AD63109" w14:textId="77777777" w:rsidR="00000000" w:rsidRDefault="00195E73">
            <w:pPr>
              <w:rPr>
                <w:rFonts w:eastAsia="Times New Roman"/>
                <w:sz w:val="20"/>
                <w:szCs w:val="20"/>
              </w:rPr>
            </w:pPr>
          </w:p>
        </w:tc>
        <w:tc>
          <w:tcPr>
            <w:tcW w:w="0" w:type="auto"/>
            <w:vAlign w:val="center"/>
            <w:hideMark/>
          </w:tcPr>
          <w:p w14:paraId="5623CDC1" w14:textId="77777777" w:rsidR="00000000" w:rsidRDefault="00195E73">
            <w:pPr>
              <w:rPr>
                <w:rFonts w:eastAsia="Times New Roman"/>
                <w:sz w:val="20"/>
                <w:szCs w:val="20"/>
              </w:rPr>
            </w:pPr>
          </w:p>
        </w:tc>
        <w:tc>
          <w:tcPr>
            <w:tcW w:w="0" w:type="auto"/>
            <w:vAlign w:val="center"/>
            <w:hideMark/>
          </w:tcPr>
          <w:p w14:paraId="36995AC0" w14:textId="77777777" w:rsidR="00000000" w:rsidRDefault="00195E73">
            <w:pPr>
              <w:rPr>
                <w:rFonts w:eastAsia="Times New Roman"/>
                <w:sz w:val="20"/>
                <w:szCs w:val="20"/>
              </w:rPr>
            </w:pPr>
          </w:p>
        </w:tc>
        <w:tc>
          <w:tcPr>
            <w:tcW w:w="0" w:type="auto"/>
            <w:vAlign w:val="center"/>
            <w:hideMark/>
          </w:tcPr>
          <w:p w14:paraId="343B5855" w14:textId="77777777" w:rsidR="00000000" w:rsidRDefault="00195E73">
            <w:pPr>
              <w:rPr>
                <w:rFonts w:eastAsia="Times New Roman"/>
                <w:sz w:val="20"/>
                <w:szCs w:val="20"/>
              </w:rPr>
            </w:pPr>
          </w:p>
        </w:tc>
        <w:tc>
          <w:tcPr>
            <w:tcW w:w="0" w:type="auto"/>
            <w:vAlign w:val="center"/>
            <w:hideMark/>
          </w:tcPr>
          <w:p w14:paraId="63B893E3" w14:textId="77777777" w:rsidR="00000000" w:rsidRDefault="00195E73">
            <w:pPr>
              <w:rPr>
                <w:rFonts w:eastAsia="Times New Roman"/>
                <w:sz w:val="20"/>
                <w:szCs w:val="20"/>
              </w:rPr>
            </w:pPr>
          </w:p>
        </w:tc>
        <w:tc>
          <w:tcPr>
            <w:tcW w:w="0" w:type="auto"/>
            <w:vAlign w:val="center"/>
            <w:hideMark/>
          </w:tcPr>
          <w:p w14:paraId="3B0E5198" w14:textId="77777777" w:rsidR="00000000" w:rsidRDefault="00195E73">
            <w:pPr>
              <w:rPr>
                <w:rFonts w:eastAsia="Times New Roman"/>
                <w:sz w:val="20"/>
                <w:szCs w:val="20"/>
              </w:rPr>
            </w:pPr>
          </w:p>
        </w:tc>
        <w:tc>
          <w:tcPr>
            <w:tcW w:w="0" w:type="auto"/>
            <w:vAlign w:val="center"/>
            <w:hideMark/>
          </w:tcPr>
          <w:p w14:paraId="2F5CFDCD" w14:textId="77777777" w:rsidR="00000000" w:rsidRDefault="00195E73">
            <w:pPr>
              <w:rPr>
                <w:rFonts w:eastAsia="Times New Roman"/>
                <w:sz w:val="20"/>
                <w:szCs w:val="20"/>
              </w:rPr>
            </w:pPr>
          </w:p>
        </w:tc>
        <w:tc>
          <w:tcPr>
            <w:tcW w:w="0" w:type="auto"/>
            <w:vAlign w:val="center"/>
            <w:hideMark/>
          </w:tcPr>
          <w:p w14:paraId="1D816330" w14:textId="77777777" w:rsidR="00000000" w:rsidRDefault="00195E73">
            <w:pPr>
              <w:rPr>
                <w:rFonts w:eastAsia="Times New Roman"/>
                <w:sz w:val="20"/>
                <w:szCs w:val="20"/>
              </w:rPr>
            </w:pPr>
          </w:p>
        </w:tc>
        <w:tc>
          <w:tcPr>
            <w:tcW w:w="0" w:type="auto"/>
            <w:vAlign w:val="center"/>
            <w:hideMark/>
          </w:tcPr>
          <w:p w14:paraId="07C6E762" w14:textId="77777777" w:rsidR="00000000" w:rsidRDefault="00195E73">
            <w:pPr>
              <w:rPr>
                <w:rFonts w:eastAsia="Times New Roman"/>
                <w:sz w:val="20"/>
                <w:szCs w:val="20"/>
              </w:rPr>
            </w:pPr>
          </w:p>
        </w:tc>
        <w:tc>
          <w:tcPr>
            <w:tcW w:w="0" w:type="auto"/>
            <w:vAlign w:val="center"/>
            <w:hideMark/>
          </w:tcPr>
          <w:p w14:paraId="74A73DE4" w14:textId="77777777" w:rsidR="00000000" w:rsidRDefault="00195E73">
            <w:pPr>
              <w:rPr>
                <w:rFonts w:eastAsia="Times New Roman"/>
                <w:sz w:val="20"/>
                <w:szCs w:val="20"/>
              </w:rPr>
            </w:pPr>
          </w:p>
        </w:tc>
        <w:tc>
          <w:tcPr>
            <w:tcW w:w="0" w:type="auto"/>
            <w:vAlign w:val="center"/>
            <w:hideMark/>
          </w:tcPr>
          <w:p w14:paraId="4EFE42DF" w14:textId="77777777" w:rsidR="00000000" w:rsidRDefault="00195E73">
            <w:pPr>
              <w:rPr>
                <w:rFonts w:eastAsia="Times New Roman"/>
                <w:sz w:val="20"/>
                <w:szCs w:val="20"/>
              </w:rPr>
            </w:pPr>
          </w:p>
        </w:tc>
        <w:tc>
          <w:tcPr>
            <w:tcW w:w="0" w:type="auto"/>
            <w:vAlign w:val="center"/>
            <w:hideMark/>
          </w:tcPr>
          <w:p w14:paraId="0B584659" w14:textId="77777777" w:rsidR="00000000" w:rsidRDefault="00195E73">
            <w:pPr>
              <w:rPr>
                <w:rFonts w:eastAsia="Times New Roman"/>
                <w:sz w:val="20"/>
                <w:szCs w:val="20"/>
              </w:rPr>
            </w:pPr>
          </w:p>
        </w:tc>
      </w:tr>
      <w:tr w:rsidR="00000000" w14:paraId="10096620"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1EAC351B" w14:textId="77777777" w:rsidR="00000000" w:rsidRDefault="00195E73">
            <w:pPr>
              <w:rPr>
                <w:rFonts w:eastAsia="Times New Roman"/>
              </w:rPr>
            </w:pPr>
            <w:r>
              <w:rPr>
                <w:rFonts w:eastAsia="Times New Roman"/>
                <w:b/>
                <w:bCs/>
                <w:color w:val="000000"/>
                <w:sz w:val="13"/>
                <w:szCs w:val="13"/>
              </w:rPr>
              <w:t>Net cash provided by investing activitie</w:t>
            </w:r>
            <w:r>
              <w:rPr>
                <w:rFonts w:eastAsia="Times New Roman"/>
                <w:b/>
                <w:bCs/>
                <w:color w:val="000000"/>
                <w:sz w:val="13"/>
                <w:szCs w:val="13"/>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7E1A22" w14:textId="77777777" w:rsidR="00000000" w:rsidRDefault="00195E73">
            <w:pPr>
              <w:jc w:val="right"/>
              <w:rPr>
                <w:rFonts w:eastAsia="Times New Roman"/>
              </w:rPr>
            </w:pPr>
            <w:r>
              <w:rPr>
                <w:rFonts w:eastAsia="Times New Roman"/>
                <w:color w:val="000000"/>
                <w:sz w:val="13"/>
                <w:szCs w:val="13"/>
              </w:rPr>
              <w:t>586</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3BD7593"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6545F7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DF5AFA" w14:textId="77777777" w:rsidR="00000000" w:rsidRDefault="00195E73">
            <w:pPr>
              <w:jc w:val="right"/>
              <w:rPr>
                <w:rFonts w:eastAsia="Times New Roman"/>
              </w:rPr>
            </w:pPr>
            <w:r>
              <w:rPr>
                <w:rFonts w:eastAsia="Times New Roman"/>
                <w:color w:val="000000"/>
                <w:sz w:val="13"/>
                <w:szCs w:val="13"/>
              </w:rPr>
              <w:t>2,587</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CB2279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9A5FF4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4054AB" w14:textId="77777777" w:rsidR="00000000" w:rsidRDefault="00195E73">
            <w:pPr>
              <w:jc w:val="right"/>
              <w:rPr>
                <w:rFonts w:eastAsia="Times New Roman"/>
              </w:rPr>
            </w:pPr>
            <w:r>
              <w:rPr>
                <w:rFonts w:eastAsia="Times New Roman"/>
                <w:color w:val="000000"/>
                <w:sz w:val="13"/>
                <w:szCs w:val="13"/>
              </w:rPr>
              <w:t>682</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EFCC4DD"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02193A97" w14:textId="77777777" w:rsidR="00000000" w:rsidRDefault="00195E73">
            <w:pPr>
              <w:rPr>
                <w:rFonts w:eastAsia="Times New Roman"/>
                <w:sz w:val="20"/>
                <w:szCs w:val="20"/>
              </w:rPr>
            </w:pPr>
          </w:p>
        </w:tc>
        <w:tc>
          <w:tcPr>
            <w:tcW w:w="0" w:type="auto"/>
            <w:vAlign w:val="center"/>
            <w:hideMark/>
          </w:tcPr>
          <w:p w14:paraId="1CE96EBA" w14:textId="77777777" w:rsidR="00000000" w:rsidRDefault="00195E73">
            <w:pPr>
              <w:rPr>
                <w:rFonts w:eastAsia="Times New Roman"/>
                <w:sz w:val="20"/>
                <w:szCs w:val="20"/>
              </w:rPr>
            </w:pPr>
          </w:p>
        </w:tc>
        <w:tc>
          <w:tcPr>
            <w:tcW w:w="0" w:type="auto"/>
            <w:vAlign w:val="center"/>
            <w:hideMark/>
          </w:tcPr>
          <w:p w14:paraId="42498E12" w14:textId="77777777" w:rsidR="00000000" w:rsidRDefault="00195E73">
            <w:pPr>
              <w:rPr>
                <w:rFonts w:eastAsia="Times New Roman"/>
                <w:sz w:val="20"/>
                <w:szCs w:val="20"/>
              </w:rPr>
            </w:pPr>
          </w:p>
        </w:tc>
        <w:tc>
          <w:tcPr>
            <w:tcW w:w="0" w:type="auto"/>
            <w:vAlign w:val="center"/>
            <w:hideMark/>
          </w:tcPr>
          <w:p w14:paraId="1ADC115F" w14:textId="77777777" w:rsidR="00000000" w:rsidRDefault="00195E73">
            <w:pPr>
              <w:rPr>
                <w:rFonts w:eastAsia="Times New Roman"/>
                <w:sz w:val="20"/>
                <w:szCs w:val="20"/>
              </w:rPr>
            </w:pPr>
          </w:p>
        </w:tc>
        <w:tc>
          <w:tcPr>
            <w:tcW w:w="0" w:type="auto"/>
            <w:vAlign w:val="center"/>
            <w:hideMark/>
          </w:tcPr>
          <w:p w14:paraId="07933245" w14:textId="77777777" w:rsidR="00000000" w:rsidRDefault="00195E73">
            <w:pPr>
              <w:rPr>
                <w:rFonts w:eastAsia="Times New Roman"/>
                <w:sz w:val="20"/>
                <w:szCs w:val="20"/>
              </w:rPr>
            </w:pPr>
          </w:p>
        </w:tc>
        <w:tc>
          <w:tcPr>
            <w:tcW w:w="0" w:type="auto"/>
            <w:vAlign w:val="center"/>
            <w:hideMark/>
          </w:tcPr>
          <w:p w14:paraId="34FC42DB" w14:textId="77777777" w:rsidR="00000000" w:rsidRDefault="00195E73">
            <w:pPr>
              <w:rPr>
                <w:rFonts w:eastAsia="Times New Roman"/>
                <w:sz w:val="20"/>
                <w:szCs w:val="20"/>
              </w:rPr>
            </w:pPr>
          </w:p>
        </w:tc>
        <w:tc>
          <w:tcPr>
            <w:tcW w:w="0" w:type="auto"/>
            <w:vAlign w:val="center"/>
            <w:hideMark/>
          </w:tcPr>
          <w:p w14:paraId="4C9D9177" w14:textId="77777777" w:rsidR="00000000" w:rsidRDefault="00195E73">
            <w:pPr>
              <w:rPr>
                <w:rFonts w:eastAsia="Times New Roman"/>
                <w:sz w:val="20"/>
                <w:szCs w:val="20"/>
              </w:rPr>
            </w:pPr>
          </w:p>
        </w:tc>
        <w:tc>
          <w:tcPr>
            <w:tcW w:w="0" w:type="auto"/>
            <w:vAlign w:val="center"/>
            <w:hideMark/>
          </w:tcPr>
          <w:p w14:paraId="53E26E20" w14:textId="77777777" w:rsidR="00000000" w:rsidRDefault="00195E73">
            <w:pPr>
              <w:rPr>
                <w:rFonts w:eastAsia="Times New Roman"/>
                <w:sz w:val="20"/>
                <w:szCs w:val="20"/>
              </w:rPr>
            </w:pPr>
          </w:p>
        </w:tc>
        <w:tc>
          <w:tcPr>
            <w:tcW w:w="0" w:type="auto"/>
            <w:vAlign w:val="center"/>
            <w:hideMark/>
          </w:tcPr>
          <w:p w14:paraId="30A7B10B" w14:textId="77777777" w:rsidR="00000000" w:rsidRDefault="00195E73">
            <w:pPr>
              <w:rPr>
                <w:rFonts w:eastAsia="Times New Roman"/>
                <w:sz w:val="20"/>
                <w:szCs w:val="20"/>
              </w:rPr>
            </w:pPr>
          </w:p>
        </w:tc>
        <w:tc>
          <w:tcPr>
            <w:tcW w:w="0" w:type="auto"/>
            <w:vAlign w:val="center"/>
            <w:hideMark/>
          </w:tcPr>
          <w:p w14:paraId="2C3FD0A8" w14:textId="77777777" w:rsidR="00000000" w:rsidRDefault="00195E73">
            <w:pPr>
              <w:rPr>
                <w:rFonts w:eastAsia="Times New Roman"/>
                <w:sz w:val="20"/>
                <w:szCs w:val="20"/>
              </w:rPr>
            </w:pPr>
          </w:p>
        </w:tc>
        <w:tc>
          <w:tcPr>
            <w:tcW w:w="0" w:type="auto"/>
            <w:vAlign w:val="center"/>
            <w:hideMark/>
          </w:tcPr>
          <w:p w14:paraId="273498D2" w14:textId="77777777" w:rsidR="00000000" w:rsidRDefault="00195E73">
            <w:pPr>
              <w:rPr>
                <w:rFonts w:eastAsia="Times New Roman"/>
                <w:sz w:val="20"/>
                <w:szCs w:val="20"/>
              </w:rPr>
            </w:pPr>
          </w:p>
        </w:tc>
        <w:tc>
          <w:tcPr>
            <w:tcW w:w="0" w:type="auto"/>
            <w:vAlign w:val="center"/>
            <w:hideMark/>
          </w:tcPr>
          <w:p w14:paraId="27D77753" w14:textId="77777777" w:rsidR="00000000" w:rsidRDefault="00195E73">
            <w:pPr>
              <w:rPr>
                <w:rFonts w:eastAsia="Times New Roman"/>
                <w:sz w:val="20"/>
                <w:szCs w:val="20"/>
              </w:rPr>
            </w:pPr>
          </w:p>
        </w:tc>
      </w:tr>
      <w:tr w:rsidR="00000000" w14:paraId="337B03B1"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539F8B3A" w14:textId="77777777" w:rsidR="00000000" w:rsidRDefault="00195E73">
            <w:pPr>
              <w:rPr>
                <w:rFonts w:eastAsia="Times New Roman"/>
              </w:rPr>
            </w:pPr>
            <w:r>
              <w:rPr>
                <w:rFonts w:eastAsia="Times New Roman"/>
                <w:b/>
                <w:bCs/>
                <w:color w:val="000000"/>
                <w:sz w:val="13"/>
                <w:szCs w:val="13"/>
              </w:rPr>
              <w:t>Cash flows from financing activities</w:t>
            </w:r>
            <w:r>
              <w:rPr>
                <w:rFonts w:eastAsia="Times New Roman"/>
                <w:b/>
                <w:bCs/>
                <w:color w:val="000000"/>
                <w:sz w:val="13"/>
                <w:szCs w:val="13"/>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2AAD135A"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CCC3105"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5081780A"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1E6EEB4"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3602569" w14:textId="77777777" w:rsidR="00000000" w:rsidRDefault="00195E73">
            <w:pPr>
              <w:rPr>
                <w:rFonts w:eastAsia="Times New Roman"/>
                <w:sz w:val="20"/>
                <w:szCs w:val="20"/>
              </w:rPr>
            </w:pPr>
          </w:p>
        </w:tc>
        <w:tc>
          <w:tcPr>
            <w:tcW w:w="0" w:type="auto"/>
            <w:vAlign w:val="center"/>
            <w:hideMark/>
          </w:tcPr>
          <w:p w14:paraId="7A882BEC" w14:textId="77777777" w:rsidR="00000000" w:rsidRDefault="00195E73">
            <w:pPr>
              <w:rPr>
                <w:rFonts w:eastAsia="Times New Roman"/>
                <w:sz w:val="20"/>
                <w:szCs w:val="20"/>
              </w:rPr>
            </w:pPr>
          </w:p>
        </w:tc>
        <w:tc>
          <w:tcPr>
            <w:tcW w:w="0" w:type="auto"/>
            <w:vAlign w:val="center"/>
            <w:hideMark/>
          </w:tcPr>
          <w:p w14:paraId="5509E376" w14:textId="77777777" w:rsidR="00000000" w:rsidRDefault="00195E73">
            <w:pPr>
              <w:rPr>
                <w:rFonts w:eastAsia="Times New Roman"/>
                <w:sz w:val="20"/>
                <w:szCs w:val="20"/>
              </w:rPr>
            </w:pPr>
          </w:p>
        </w:tc>
        <w:tc>
          <w:tcPr>
            <w:tcW w:w="0" w:type="auto"/>
            <w:vAlign w:val="center"/>
            <w:hideMark/>
          </w:tcPr>
          <w:p w14:paraId="776800E7" w14:textId="77777777" w:rsidR="00000000" w:rsidRDefault="00195E73">
            <w:pPr>
              <w:rPr>
                <w:rFonts w:eastAsia="Times New Roman"/>
                <w:sz w:val="20"/>
                <w:szCs w:val="20"/>
              </w:rPr>
            </w:pPr>
          </w:p>
        </w:tc>
        <w:tc>
          <w:tcPr>
            <w:tcW w:w="0" w:type="auto"/>
            <w:vAlign w:val="center"/>
            <w:hideMark/>
          </w:tcPr>
          <w:p w14:paraId="6BF7925B" w14:textId="77777777" w:rsidR="00000000" w:rsidRDefault="00195E73">
            <w:pPr>
              <w:rPr>
                <w:rFonts w:eastAsia="Times New Roman"/>
                <w:sz w:val="20"/>
                <w:szCs w:val="20"/>
              </w:rPr>
            </w:pPr>
          </w:p>
        </w:tc>
        <w:tc>
          <w:tcPr>
            <w:tcW w:w="0" w:type="auto"/>
            <w:vAlign w:val="center"/>
            <w:hideMark/>
          </w:tcPr>
          <w:p w14:paraId="13B69164" w14:textId="77777777" w:rsidR="00000000" w:rsidRDefault="00195E73">
            <w:pPr>
              <w:rPr>
                <w:rFonts w:eastAsia="Times New Roman"/>
                <w:sz w:val="20"/>
                <w:szCs w:val="20"/>
              </w:rPr>
            </w:pPr>
          </w:p>
        </w:tc>
        <w:tc>
          <w:tcPr>
            <w:tcW w:w="0" w:type="auto"/>
            <w:vAlign w:val="center"/>
            <w:hideMark/>
          </w:tcPr>
          <w:p w14:paraId="5DF46532" w14:textId="77777777" w:rsidR="00000000" w:rsidRDefault="00195E73">
            <w:pPr>
              <w:rPr>
                <w:rFonts w:eastAsia="Times New Roman"/>
                <w:sz w:val="20"/>
                <w:szCs w:val="20"/>
              </w:rPr>
            </w:pPr>
          </w:p>
        </w:tc>
        <w:tc>
          <w:tcPr>
            <w:tcW w:w="0" w:type="auto"/>
            <w:vAlign w:val="center"/>
            <w:hideMark/>
          </w:tcPr>
          <w:p w14:paraId="03DB0E07" w14:textId="77777777" w:rsidR="00000000" w:rsidRDefault="00195E73">
            <w:pPr>
              <w:rPr>
                <w:rFonts w:eastAsia="Times New Roman"/>
                <w:sz w:val="20"/>
                <w:szCs w:val="20"/>
              </w:rPr>
            </w:pPr>
          </w:p>
        </w:tc>
        <w:tc>
          <w:tcPr>
            <w:tcW w:w="0" w:type="auto"/>
            <w:vAlign w:val="center"/>
            <w:hideMark/>
          </w:tcPr>
          <w:p w14:paraId="05B5D460" w14:textId="77777777" w:rsidR="00000000" w:rsidRDefault="00195E73">
            <w:pPr>
              <w:rPr>
                <w:rFonts w:eastAsia="Times New Roman"/>
                <w:sz w:val="20"/>
                <w:szCs w:val="20"/>
              </w:rPr>
            </w:pPr>
          </w:p>
        </w:tc>
        <w:tc>
          <w:tcPr>
            <w:tcW w:w="0" w:type="auto"/>
            <w:vAlign w:val="center"/>
            <w:hideMark/>
          </w:tcPr>
          <w:p w14:paraId="2BA11256" w14:textId="77777777" w:rsidR="00000000" w:rsidRDefault="00195E73">
            <w:pPr>
              <w:rPr>
                <w:rFonts w:eastAsia="Times New Roman"/>
                <w:sz w:val="20"/>
                <w:szCs w:val="20"/>
              </w:rPr>
            </w:pPr>
          </w:p>
        </w:tc>
        <w:tc>
          <w:tcPr>
            <w:tcW w:w="0" w:type="auto"/>
            <w:vAlign w:val="center"/>
            <w:hideMark/>
          </w:tcPr>
          <w:p w14:paraId="5D492E34" w14:textId="77777777" w:rsidR="00000000" w:rsidRDefault="00195E73">
            <w:pPr>
              <w:rPr>
                <w:rFonts w:eastAsia="Times New Roman"/>
                <w:sz w:val="20"/>
                <w:szCs w:val="20"/>
              </w:rPr>
            </w:pPr>
          </w:p>
        </w:tc>
        <w:tc>
          <w:tcPr>
            <w:tcW w:w="0" w:type="auto"/>
            <w:vAlign w:val="center"/>
            <w:hideMark/>
          </w:tcPr>
          <w:p w14:paraId="5B7E6D3C" w14:textId="77777777" w:rsidR="00000000" w:rsidRDefault="00195E73">
            <w:pPr>
              <w:rPr>
                <w:rFonts w:eastAsia="Times New Roman"/>
                <w:sz w:val="20"/>
                <w:szCs w:val="20"/>
              </w:rPr>
            </w:pPr>
          </w:p>
        </w:tc>
        <w:tc>
          <w:tcPr>
            <w:tcW w:w="0" w:type="auto"/>
            <w:vAlign w:val="center"/>
            <w:hideMark/>
          </w:tcPr>
          <w:p w14:paraId="1C3189AA" w14:textId="77777777" w:rsidR="00000000" w:rsidRDefault="00195E73">
            <w:pPr>
              <w:rPr>
                <w:rFonts w:eastAsia="Times New Roman"/>
                <w:sz w:val="20"/>
                <w:szCs w:val="20"/>
              </w:rPr>
            </w:pPr>
          </w:p>
        </w:tc>
      </w:tr>
      <w:tr w:rsidR="00000000" w14:paraId="18410195"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11497B57" w14:textId="77777777" w:rsidR="00000000" w:rsidRDefault="00195E73">
            <w:pPr>
              <w:rPr>
                <w:rFonts w:eastAsia="Times New Roman"/>
              </w:rPr>
            </w:pPr>
            <w:r>
              <w:rPr>
                <w:rFonts w:eastAsia="Times New Roman"/>
                <w:color w:val="000000"/>
                <w:sz w:val="13"/>
                <w:szCs w:val="13"/>
              </w:rPr>
              <w:t>Investment segment contributions from non-controlling interest</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4B0D6A82" w14:textId="77777777" w:rsidR="00000000" w:rsidRDefault="00195E73">
            <w:pPr>
              <w:jc w:val="right"/>
              <w:rPr>
                <w:rFonts w:eastAsia="Times New Roman"/>
              </w:rPr>
            </w:pPr>
            <w:r>
              <w:rPr>
                <w:rFonts w:eastAsia="Times New Roman"/>
                <w:color w:val="000000"/>
                <w:sz w:val="13"/>
                <w:szCs w:val="13"/>
              </w:rPr>
              <w:t>220</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5CBBD604"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D0E3AA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ED2BC1" w14:textId="77777777" w:rsidR="00000000" w:rsidRDefault="00195E73">
            <w:pPr>
              <w:jc w:val="right"/>
              <w:rPr>
                <w:rFonts w:eastAsia="Times New Roman"/>
              </w:rPr>
            </w:pPr>
            <w:r>
              <w:rPr>
                <w:rFonts w:eastAsia="Times New Roman"/>
                <w:color w:val="000000"/>
                <w:sz w:val="13"/>
                <w:szCs w:val="13"/>
              </w:rPr>
              <w:t>310</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46B45418"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F0AF36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28E30E" w14:textId="77777777" w:rsidR="00000000" w:rsidRDefault="00195E73">
            <w:pPr>
              <w:jc w:val="right"/>
              <w:rPr>
                <w:rFonts w:eastAsia="Times New Roman"/>
              </w:rPr>
            </w:pPr>
            <w:r>
              <w:rPr>
                <w:rFonts w:eastAsia="Times New Roman"/>
                <w:color w:val="000000"/>
                <w:sz w:val="13"/>
                <w:szCs w:val="13"/>
              </w:rPr>
              <w:t>600</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659B56BE"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135B9BE1" w14:textId="77777777" w:rsidR="00000000" w:rsidRDefault="00195E73">
            <w:pPr>
              <w:rPr>
                <w:rFonts w:eastAsia="Times New Roman"/>
                <w:sz w:val="20"/>
                <w:szCs w:val="20"/>
              </w:rPr>
            </w:pPr>
          </w:p>
        </w:tc>
        <w:tc>
          <w:tcPr>
            <w:tcW w:w="0" w:type="auto"/>
            <w:vAlign w:val="center"/>
            <w:hideMark/>
          </w:tcPr>
          <w:p w14:paraId="3C77CCF2" w14:textId="77777777" w:rsidR="00000000" w:rsidRDefault="00195E73">
            <w:pPr>
              <w:rPr>
                <w:rFonts w:eastAsia="Times New Roman"/>
                <w:sz w:val="20"/>
                <w:szCs w:val="20"/>
              </w:rPr>
            </w:pPr>
          </w:p>
        </w:tc>
        <w:tc>
          <w:tcPr>
            <w:tcW w:w="0" w:type="auto"/>
            <w:vAlign w:val="center"/>
            <w:hideMark/>
          </w:tcPr>
          <w:p w14:paraId="5AFE4152" w14:textId="77777777" w:rsidR="00000000" w:rsidRDefault="00195E73">
            <w:pPr>
              <w:rPr>
                <w:rFonts w:eastAsia="Times New Roman"/>
                <w:sz w:val="20"/>
                <w:szCs w:val="20"/>
              </w:rPr>
            </w:pPr>
          </w:p>
        </w:tc>
        <w:tc>
          <w:tcPr>
            <w:tcW w:w="0" w:type="auto"/>
            <w:vAlign w:val="center"/>
            <w:hideMark/>
          </w:tcPr>
          <w:p w14:paraId="671CC5B9" w14:textId="77777777" w:rsidR="00000000" w:rsidRDefault="00195E73">
            <w:pPr>
              <w:rPr>
                <w:rFonts w:eastAsia="Times New Roman"/>
                <w:sz w:val="20"/>
                <w:szCs w:val="20"/>
              </w:rPr>
            </w:pPr>
          </w:p>
        </w:tc>
        <w:tc>
          <w:tcPr>
            <w:tcW w:w="0" w:type="auto"/>
            <w:vAlign w:val="center"/>
            <w:hideMark/>
          </w:tcPr>
          <w:p w14:paraId="55DA295D" w14:textId="77777777" w:rsidR="00000000" w:rsidRDefault="00195E73">
            <w:pPr>
              <w:rPr>
                <w:rFonts w:eastAsia="Times New Roman"/>
                <w:sz w:val="20"/>
                <w:szCs w:val="20"/>
              </w:rPr>
            </w:pPr>
          </w:p>
        </w:tc>
        <w:tc>
          <w:tcPr>
            <w:tcW w:w="0" w:type="auto"/>
            <w:vAlign w:val="center"/>
            <w:hideMark/>
          </w:tcPr>
          <w:p w14:paraId="2D71C8DA" w14:textId="77777777" w:rsidR="00000000" w:rsidRDefault="00195E73">
            <w:pPr>
              <w:rPr>
                <w:rFonts w:eastAsia="Times New Roman"/>
                <w:sz w:val="20"/>
                <w:szCs w:val="20"/>
              </w:rPr>
            </w:pPr>
          </w:p>
        </w:tc>
        <w:tc>
          <w:tcPr>
            <w:tcW w:w="0" w:type="auto"/>
            <w:vAlign w:val="center"/>
            <w:hideMark/>
          </w:tcPr>
          <w:p w14:paraId="01331489" w14:textId="77777777" w:rsidR="00000000" w:rsidRDefault="00195E73">
            <w:pPr>
              <w:rPr>
                <w:rFonts w:eastAsia="Times New Roman"/>
                <w:sz w:val="20"/>
                <w:szCs w:val="20"/>
              </w:rPr>
            </w:pPr>
          </w:p>
        </w:tc>
        <w:tc>
          <w:tcPr>
            <w:tcW w:w="0" w:type="auto"/>
            <w:vAlign w:val="center"/>
            <w:hideMark/>
          </w:tcPr>
          <w:p w14:paraId="1FA78E3C" w14:textId="77777777" w:rsidR="00000000" w:rsidRDefault="00195E73">
            <w:pPr>
              <w:rPr>
                <w:rFonts w:eastAsia="Times New Roman"/>
                <w:sz w:val="20"/>
                <w:szCs w:val="20"/>
              </w:rPr>
            </w:pPr>
          </w:p>
        </w:tc>
        <w:tc>
          <w:tcPr>
            <w:tcW w:w="0" w:type="auto"/>
            <w:vAlign w:val="center"/>
            <w:hideMark/>
          </w:tcPr>
          <w:p w14:paraId="7A084BB1" w14:textId="77777777" w:rsidR="00000000" w:rsidRDefault="00195E73">
            <w:pPr>
              <w:rPr>
                <w:rFonts w:eastAsia="Times New Roman"/>
                <w:sz w:val="20"/>
                <w:szCs w:val="20"/>
              </w:rPr>
            </w:pPr>
          </w:p>
        </w:tc>
        <w:tc>
          <w:tcPr>
            <w:tcW w:w="0" w:type="auto"/>
            <w:vAlign w:val="center"/>
            <w:hideMark/>
          </w:tcPr>
          <w:p w14:paraId="2B4CBDF9" w14:textId="77777777" w:rsidR="00000000" w:rsidRDefault="00195E73">
            <w:pPr>
              <w:rPr>
                <w:rFonts w:eastAsia="Times New Roman"/>
                <w:sz w:val="20"/>
                <w:szCs w:val="20"/>
              </w:rPr>
            </w:pPr>
          </w:p>
        </w:tc>
        <w:tc>
          <w:tcPr>
            <w:tcW w:w="0" w:type="auto"/>
            <w:vAlign w:val="center"/>
            <w:hideMark/>
          </w:tcPr>
          <w:p w14:paraId="3A20D4A5" w14:textId="77777777" w:rsidR="00000000" w:rsidRDefault="00195E73">
            <w:pPr>
              <w:rPr>
                <w:rFonts w:eastAsia="Times New Roman"/>
                <w:sz w:val="20"/>
                <w:szCs w:val="20"/>
              </w:rPr>
            </w:pPr>
          </w:p>
        </w:tc>
        <w:tc>
          <w:tcPr>
            <w:tcW w:w="0" w:type="auto"/>
            <w:vAlign w:val="center"/>
            <w:hideMark/>
          </w:tcPr>
          <w:p w14:paraId="188A99F5" w14:textId="77777777" w:rsidR="00000000" w:rsidRDefault="00195E73">
            <w:pPr>
              <w:rPr>
                <w:rFonts w:eastAsia="Times New Roman"/>
                <w:sz w:val="20"/>
                <w:szCs w:val="20"/>
              </w:rPr>
            </w:pPr>
          </w:p>
        </w:tc>
      </w:tr>
      <w:tr w:rsidR="00000000" w14:paraId="16C13DF2"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10E65FBD" w14:textId="77777777" w:rsidR="00000000" w:rsidRDefault="00195E73">
            <w:pPr>
              <w:rPr>
                <w:rFonts w:eastAsia="Times New Roman"/>
              </w:rPr>
            </w:pPr>
            <w:r>
              <w:rPr>
                <w:rFonts w:eastAsia="Times New Roman"/>
                <w:color w:val="000000"/>
                <w:sz w:val="13"/>
                <w:szCs w:val="13"/>
              </w:rPr>
              <w:t>Partnership contribution</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70F38862" w14:textId="77777777" w:rsidR="00000000" w:rsidRDefault="00195E73">
            <w:pPr>
              <w:jc w:val="right"/>
              <w:rPr>
                <w:rFonts w:eastAsia="Times New Roman"/>
              </w:rPr>
            </w:pPr>
            <w:r>
              <w:rPr>
                <w:rFonts w:eastAsia="Times New Roman"/>
                <w:color w:val="000000"/>
                <w:sz w:val="13"/>
                <w:szCs w:val="13"/>
              </w:rPr>
              <w:t>55</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49C416A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2A6ED7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F01F41"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0EEBEF96"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C53185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D9D36A" w14:textId="77777777" w:rsidR="00000000" w:rsidRDefault="00195E73">
            <w:pPr>
              <w:jc w:val="right"/>
              <w:rPr>
                <w:rFonts w:eastAsia="Times New Roman"/>
              </w:rPr>
            </w:pPr>
            <w:r>
              <w:rPr>
                <w:rFonts w:eastAsia="Times New Roman"/>
                <w:color w:val="000000"/>
                <w:sz w:val="13"/>
                <w:szCs w:val="13"/>
              </w:rPr>
              <w:t>612</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4190757B"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DF7BFC8" w14:textId="77777777" w:rsidR="00000000" w:rsidRDefault="00195E73">
            <w:pPr>
              <w:rPr>
                <w:rFonts w:eastAsia="Times New Roman"/>
                <w:sz w:val="20"/>
                <w:szCs w:val="20"/>
              </w:rPr>
            </w:pPr>
          </w:p>
        </w:tc>
        <w:tc>
          <w:tcPr>
            <w:tcW w:w="0" w:type="auto"/>
            <w:vAlign w:val="center"/>
            <w:hideMark/>
          </w:tcPr>
          <w:p w14:paraId="04853C2B" w14:textId="77777777" w:rsidR="00000000" w:rsidRDefault="00195E73">
            <w:pPr>
              <w:rPr>
                <w:rFonts w:eastAsia="Times New Roman"/>
                <w:sz w:val="20"/>
                <w:szCs w:val="20"/>
              </w:rPr>
            </w:pPr>
          </w:p>
        </w:tc>
        <w:tc>
          <w:tcPr>
            <w:tcW w:w="0" w:type="auto"/>
            <w:vAlign w:val="center"/>
            <w:hideMark/>
          </w:tcPr>
          <w:p w14:paraId="0661EF4D" w14:textId="77777777" w:rsidR="00000000" w:rsidRDefault="00195E73">
            <w:pPr>
              <w:rPr>
                <w:rFonts w:eastAsia="Times New Roman"/>
                <w:sz w:val="20"/>
                <w:szCs w:val="20"/>
              </w:rPr>
            </w:pPr>
          </w:p>
        </w:tc>
        <w:tc>
          <w:tcPr>
            <w:tcW w:w="0" w:type="auto"/>
            <w:vAlign w:val="center"/>
            <w:hideMark/>
          </w:tcPr>
          <w:p w14:paraId="762620DB" w14:textId="77777777" w:rsidR="00000000" w:rsidRDefault="00195E73">
            <w:pPr>
              <w:rPr>
                <w:rFonts w:eastAsia="Times New Roman"/>
                <w:sz w:val="20"/>
                <w:szCs w:val="20"/>
              </w:rPr>
            </w:pPr>
          </w:p>
        </w:tc>
        <w:tc>
          <w:tcPr>
            <w:tcW w:w="0" w:type="auto"/>
            <w:vAlign w:val="center"/>
            <w:hideMark/>
          </w:tcPr>
          <w:p w14:paraId="2FC76121" w14:textId="77777777" w:rsidR="00000000" w:rsidRDefault="00195E73">
            <w:pPr>
              <w:rPr>
                <w:rFonts w:eastAsia="Times New Roman"/>
                <w:sz w:val="20"/>
                <w:szCs w:val="20"/>
              </w:rPr>
            </w:pPr>
          </w:p>
        </w:tc>
        <w:tc>
          <w:tcPr>
            <w:tcW w:w="0" w:type="auto"/>
            <w:vAlign w:val="center"/>
            <w:hideMark/>
          </w:tcPr>
          <w:p w14:paraId="0EE5F44D" w14:textId="77777777" w:rsidR="00000000" w:rsidRDefault="00195E73">
            <w:pPr>
              <w:rPr>
                <w:rFonts w:eastAsia="Times New Roman"/>
                <w:sz w:val="20"/>
                <w:szCs w:val="20"/>
              </w:rPr>
            </w:pPr>
          </w:p>
        </w:tc>
        <w:tc>
          <w:tcPr>
            <w:tcW w:w="0" w:type="auto"/>
            <w:vAlign w:val="center"/>
            <w:hideMark/>
          </w:tcPr>
          <w:p w14:paraId="26D9E220" w14:textId="77777777" w:rsidR="00000000" w:rsidRDefault="00195E73">
            <w:pPr>
              <w:rPr>
                <w:rFonts w:eastAsia="Times New Roman"/>
                <w:sz w:val="20"/>
                <w:szCs w:val="20"/>
              </w:rPr>
            </w:pPr>
          </w:p>
        </w:tc>
        <w:tc>
          <w:tcPr>
            <w:tcW w:w="0" w:type="auto"/>
            <w:vAlign w:val="center"/>
            <w:hideMark/>
          </w:tcPr>
          <w:p w14:paraId="0FC4A94A" w14:textId="77777777" w:rsidR="00000000" w:rsidRDefault="00195E73">
            <w:pPr>
              <w:rPr>
                <w:rFonts w:eastAsia="Times New Roman"/>
                <w:sz w:val="20"/>
                <w:szCs w:val="20"/>
              </w:rPr>
            </w:pPr>
          </w:p>
        </w:tc>
        <w:tc>
          <w:tcPr>
            <w:tcW w:w="0" w:type="auto"/>
            <w:vAlign w:val="center"/>
            <w:hideMark/>
          </w:tcPr>
          <w:p w14:paraId="069F3030" w14:textId="77777777" w:rsidR="00000000" w:rsidRDefault="00195E73">
            <w:pPr>
              <w:rPr>
                <w:rFonts w:eastAsia="Times New Roman"/>
                <w:sz w:val="20"/>
                <w:szCs w:val="20"/>
              </w:rPr>
            </w:pPr>
          </w:p>
        </w:tc>
        <w:tc>
          <w:tcPr>
            <w:tcW w:w="0" w:type="auto"/>
            <w:vAlign w:val="center"/>
            <w:hideMark/>
          </w:tcPr>
          <w:p w14:paraId="24084CAC" w14:textId="77777777" w:rsidR="00000000" w:rsidRDefault="00195E73">
            <w:pPr>
              <w:rPr>
                <w:rFonts w:eastAsia="Times New Roman"/>
                <w:sz w:val="20"/>
                <w:szCs w:val="20"/>
              </w:rPr>
            </w:pPr>
          </w:p>
        </w:tc>
        <w:tc>
          <w:tcPr>
            <w:tcW w:w="0" w:type="auto"/>
            <w:vAlign w:val="center"/>
            <w:hideMark/>
          </w:tcPr>
          <w:p w14:paraId="6D7234E7" w14:textId="77777777" w:rsidR="00000000" w:rsidRDefault="00195E73">
            <w:pPr>
              <w:rPr>
                <w:rFonts w:eastAsia="Times New Roman"/>
                <w:sz w:val="20"/>
                <w:szCs w:val="20"/>
              </w:rPr>
            </w:pPr>
          </w:p>
        </w:tc>
        <w:tc>
          <w:tcPr>
            <w:tcW w:w="0" w:type="auto"/>
            <w:vAlign w:val="center"/>
            <w:hideMark/>
          </w:tcPr>
          <w:p w14:paraId="51647AA0" w14:textId="77777777" w:rsidR="00000000" w:rsidRDefault="00195E73">
            <w:pPr>
              <w:rPr>
                <w:rFonts w:eastAsia="Times New Roman"/>
                <w:sz w:val="20"/>
                <w:szCs w:val="20"/>
              </w:rPr>
            </w:pPr>
          </w:p>
        </w:tc>
      </w:tr>
      <w:tr w:rsidR="00000000" w14:paraId="0A6255CB"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0E721D05" w14:textId="77777777" w:rsidR="00000000" w:rsidRDefault="00195E73">
            <w:pPr>
              <w:rPr>
                <w:rFonts w:eastAsia="Times New Roman"/>
              </w:rPr>
            </w:pPr>
            <w:r>
              <w:rPr>
                <w:rFonts w:eastAsia="Times New Roman"/>
                <w:color w:val="000000"/>
                <w:sz w:val="13"/>
                <w:szCs w:val="13"/>
              </w:rPr>
              <w:t>Partnership distribution</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4AD013D2" w14:textId="77777777" w:rsidR="00000000" w:rsidRDefault="00195E73">
            <w:pPr>
              <w:jc w:val="right"/>
              <w:rPr>
                <w:rFonts w:eastAsia="Times New Roman"/>
              </w:rPr>
            </w:pPr>
            <w:r>
              <w:rPr>
                <w:rFonts w:eastAsia="Times New Roman"/>
                <w:color w:val="000000"/>
                <w:sz w:val="13"/>
                <w:szCs w:val="13"/>
              </w:rPr>
              <w:t>(112</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2B953250"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5B7E46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C320BC" w14:textId="77777777" w:rsidR="00000000" w:rsidRDefault="00195E73">
            <w:pPr>
              <w:jc w:val="right"/>
              <w:rPr>
                <w:rFonts w:eastAsia="Times New Roman"/>
              </w:rPr>
            </w:pPr>
            <w:r>
              <w:rPr>
                <w:rFonts w:eastAsia="Times New Roman"/>
                <w:color w:val="000000"/>
                <w:sz w:val="13"/>
                <w:szCs w:val="13"/>
              </w:rPr>
              <w:t>(97</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3ACB9EC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097AB1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8A4C12" w14:textId="77777777" w:rsidR="00000000" w:rsidRDefault="00195E73">
            <w:pPr>
              <w:jc w:val="right"/>
              <w:rPr>
                <w:rFonts w:eastAsia="Times New Roman"/>
              </w:rPr>
            </w:pPr>
            <w:r>
              <w:rPr>
                <w:rFonts w:eastAsia="Times New Roman"/>
                <w:color w:val="000000"/>
                <w:sz w:val="13"/>
                <w:szCs w:val="13"/>
              </w:rPr>
              <w:t>(81</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65951E69"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24BC941D" w14:textId="77777777" w:rsidR="00000000" w:rsidRDefault="00195E73">
            <w:pPr>
              <w:rPr>
                <w:rFonts w:eastAsia="Times New Roman"/>
                <w:sz w:val="20"/>
                <w:szCs w:val="20"/>
              </w:rPr>
            </w:pPr>
          </w:p>
        </w:tc>
        <w:tc>
          <w:tcPr>
            <w:tcW w:w="0" w:type="auto"/>
            <w:vAlign w:val="center"/>
            <w:hideMark/>
          </w:tcPr>
          <w:p w14:paraId="718ADA93" w14:textId="77777777" w:rsidR="00000000" w:rsidRDefault="00195E73">
            <w:pPr>
              <w:rPr>
                <w:rFonts w:eastAsia="Times New Roman"/>
                <w:sz w:val="20"/>
                <w:szCs w:val="20"/>
              </w:rPr>
            </w:pPr>
          </w:p>
        </w:tc>
        <w:tc>
          <w:tcPr>
            <w:tcW w:w="0" w:type="auto"/>
            <w:vAlign w:val="center"/>
            <w:hideMark/>
          </w:tcPr>
          <w:p w14:paraId="76F02286" w14:textId="77777777" w:rsidR="00000000" w:rsidRDefault="00195E73">
            <w:pPr>
              <w:rPr>
                <w:rFonts w:eastAsia="Times New Roman"/>
                <w:sz w:val="20"/>
                <w:szCs w:val="20"/>
              </w:rPr>
            </w:pPr>
          </w:p>
        </w:tc>
        <w:tc>
          <w:tcPr>
            <w:tcW w:w="0" w:type="auto"/>
            <w:vAlign w:val="center"/>
            <w:hideMark/>
          </w:tcPr>
          <w:p w14:paraId="756968E3" w14:textId="77777777" w:rsidR="00000000" w:rsidRDefault="00195E73">
            <w:pPr>
              <w:rPr>
                <w:rFonts w:eastAsia="Times New Roman"/>
                <w:sz w:val="20"/>
                <w:szCs w:val="20"/>
              </w:rPr>
            </w:pPr>
          </w:p>
        </w:tc>
        <w:tc>
          <w:tcPr>
            <w:tcW w:w="0" w:type="auto"/>
            <w:vAlign w:val="center"/>
            <w:hideMark/>
          </w:tcPr>
          <w:p w14:paraId="67E9B031" w14:textId="77777777" w:rsidR="00000000" w:rsidRDefault="00195E73">
            <w:pPr>
              <w:rPr>
                <w:rFonts w:eastAsia="Times New Roman"/>
                <w:sz w:val="20"/>
                <w:szCs w:val="20"/>
              </w:rPr>
            </w:pPr>
          </w:p>
        </w:tc>
        <w:tc>
          <w:tcPr>
            <w:tcW w:w="0" w:type="auto"/>
            <w:vAlign w:val="center"/>
            <w:hideMark/>
          </w:tcPr>
          <w:p w14:paraId="0B193F04" w14:textId="77777777" w:rsidR="00000000" w:rsidRDefault="00195E73">
            <w:pPr>
              <w:rPr>
                <w:rFonts w:eastAsia="Times New Roman"/>
                <w:sz w:val="20"/>
                <w:szCs w:val="20"/>
              </w:rPr>
            </w:pPr>
          </w:p>
        </w:tc>
        <w:tc>
          <w:tcPr>
            <w:tcW w:w="0" w:type="auto"/>
            <w:vAlign w:val="center"/>
            <w:hideMark/>
          </w:tcPr>
          <w:p w14:paraId="62932F8D" w14:textId="77777777" w:rsidR="00000000" w:rsidRDefault="00195E73">
            <w:pPr>
              <w:rPr>
                <w:rFonts w:eastAsia="Times New Roman"/>
                <w:sz w:val="20"/>
                <w:szCs w:val="20"/>
              </w:rPr>
            </w:pPr>
          </w:p>
        </w:tc>
        <w:tc>
          <w:tcPr>
            <w:tcW w:w="0" w:type="auto"/>
            <w:vAlign w:val="center"/>
            <w:hideMark/>
          </w:tcPr>
          <w:p w14:paraId="43942FC8" w14:textId="77777777" w:rsidR="00000000" w:rsidRDefault="00195E73">
            <w:pPr>
              <w:rPr>
                <w:rFonts w:eastAsia="Times New Roman"/>
                <w:sz w:val="20"/>
                <w:szCs w:val="20"/>
              </w:rPr>
            </w:pPr>
          </w:p>
        </w:tc>
        <w:tc>
          <w:tcPr>
            <w:tcW w:w="0" w:type="auto"/>
            <w:vAlign w:val="center"/>
            <w:hideMark/>
          </w:tcPr>
          <w:p w14:paraId="26F9D34A" w14:textId="77777777" w:rsidR="00000000" w:rsidRDefault="00195E73">
            <w:pPr>
              <w:rPr>
                <w:rFonts w:eastAsia="Times New Roman"/>
                <w:sz w:val="20"/>
                <w:szCs w:val="20"/>
              </w:rPr>
            </w:pPr>
          </w:p>
        </w:tc>
        <w:tc>
          <w:tcPr>
            <w:tcW w:w="0" w:type="auto"/>
            <w:vAlign w:val="center"/>
            <w:hideMark/>
          </w:tcPr>
          <w:p w14:paraId="592B8A3C" w14:textId="77777777" w:rsidR="00000000" w:rsidRDefault="00195E73">
            <w:pPr>
              <w:rPr>
                <w:rFonts w:eastAsia="Times New Roman"/>
                <w:sz w:val="20"/>
                <w:szCs w:val="20"/>
              </w:rPr>
            </w:pPr>
          </w:p>
        </w:tc>
        <w:tc>
          <w:tcPr>
            <w:tcW w:w="0" w:type="auto"/>
            <w:vAlign w:val="center"/>
            <w:hideMark/>
          </w:tcPr>
          <w:p w14:paraId="7662FD28" w14:textId="77777777" w:rsidR="00000000" w:rsidRDefault="00195E73">
            <w:pPr>
              <w:rPr>
                <w:rFonts w:eastAsia="Times New Roman"/>
                <w:sz w:val="20"/>
                <w:szCs w:val="20"/>
              </w:rPr>
            </w:pPr>
          </w:p>
        </w:tc>
        <w:tc>
          <w:tcPr>
            <w:tcW w:w="0" w:type="auto"/>
            <w:vAlign w:val="center"/>
            <w:hideMark/>
          </w:tcPr>
          <w:p w14:paraId="4E96CDCF" w14:textId="77777777" w:rsidR="00000000" w:rsidRDefault="00195E73">
            <w:pPr>
              <w:rPr>
                <w:rFonts w:eastAsia="Times New Roman"/>
                <w:sz w:val="20"/>
                <w:szCs w:val="20"/>
              </w:rPr>
            </w:pPr>
          </w:p>
        </w:tc>
      </w:tr>
      <w:tr w:rsidR="00000000" w14:paraId="34B915C1"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79820D2E" w14:textId="77777777" w:rsidR="00000000" w:rsidRDefault="00195E73">
            <w:pPr>
              <w:rPr>
                <w:rFonts w:eastAsia="Times New Roman"/>
              </w:rPr>
            </w:pPr>
            <w:r>
              <w:rPr>
                <w:rFonts w:eastAsia="Times New Roman"/>
                <w:color w:val="000000"/>
                <w:sz w:val="13"/>
                <w:szCs w:val="13"/>
              </w:rPr>
              <w:t>Purchase of additional interests in consolidated subsidiarie</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0D40A602" w14:textId="77777777" w:rsidR="00000000" w:rsidRDefault="00195E73">
            <w:pPr>
              <w:jc w:val="right"/>
              <w:rPr>
                <w:rFonts w:eastAsia="Times New Roman"/>
              </w:rPr>
            </w:pPr>
            <w:r>
              <w:rPr>
                <w:rFonts w:eastAsia="Times New Roman"/>
                <w:color w:val="000000"/>
                <w:sz w:val="13"/>
                <w:szCs w:val="13"/>
              </w:rPr>
              <w:t>(241</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042D5DC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5B73D7A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2560F7" w14:textId="77777777" w:rsidR="00000000" w:rsidRDefault="00195E73">
            <w:pPr>
              <w:jc w:val="right"/>
              <w:rPr>
                <w:rFonts w:eastAsia="Times New Roman"/>
              </w:rPr>
            </w:pPr>
            <w:r>
              <w:rPr>
                <w:rFonts w:eastAsia="Times New Roman"/>
                <w:color w:val="000000"/>
                <w:sz w:val="13"/>
                <w:szCs w:val="13"/>
              </w:rPr>
              <w:t>(5</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63058CC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66F70FE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29E7B0" w14:textId="77777777" w:rsidR="00000000" w:rsidRDefault="00195E73">
            <w:pPr>
              <w:jc w:val="right"/>
              <w:rPr>
                <w:rFonts w:eastAsia="Times New Roman"/>
              </w:rPr>
            </w:pPr>
            <w:r>
              <w:rPr>
                <w:rFonts w:eastAsia="Times New Roman"/>
                <w:color w:val="000000"/>
                <w:sz w:val="13"/>
                <w:szCs w:val="13"/>
              </w:rPr>
              <w:t>(349</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75AA0B73"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178623AE" w14:textId="77777777" w:rsidR="00000000" w:rsidRDefault="00195E73">
            <w:pPr>
              <w:rPr>
                <w:rFonts w:eastAsia="Times New Roman"/>
                <w:sz w:val="20"/>
                <w:szCs w:val="20"/>
              </w:rPr>
            </w:pPr>
          </w:p>
        </w:tc>
        <w:tc>
          <w:tcPr>
            <w:tcW w:w="0" w:type="auto"/>
            <w:vAlign w:val="center"/>
            <w:hideMark/>
          </w:tcPr>
          <w:p w14:paraId="10138914" w14:textId="77777777" w:rsidR="00000000" w:rsidRDefault="00195E73">
            <w:pPr>
              <w:rPr>
                <w:rFonts w:eastAsia="Times New Roman"/>
                <w:sz w:val="20"/>
                <w:szCs w:val="20"/>
              </w:rPr>
            </w:pPr>
          </w:p>
        </w:tc>
        <w:tc>
          <w:tcPr>
            <w:tcW w:w="0" w:type="auto"/>
            <w:vAlign w:val="center"/>
            <w:hideMark/>
          </w:tcPr>
          <w:p w14:paraId="587E86F3" w14:textId="77777777" w:rsidR="00000000" w:rsidRDefault="00195E73">
            <w:pPr>
              <w:rPr>
                <w:rFonts w:eastAsia="Times New Roman"/>
                <w:sz w:val="20"/>
                <w:szCs w:val="20"/>
              </w:rPr>
            </w:pPr>
          </w:p>
        </w:tc>
        <w:tc>
          <w:tcPr>
            <w:tcW w:w="0" w:type="auto"/>
            <w:vAlign w:val="center"/>
            <w:hideMark/>
          </w:tcPr>
          <w:p w14:paraId="090C0B72" w14:textId="77777777" w:rsidR="00000000" w:rsidRDefault="00195E73">
            <w:pPr>
              <w:rPr>
                <w:rFonts w:eastAsia="Times New Roman"/>
                <w:sz w:val="20"/>
                <w:szCs w:val="20"/>
              </w:rPr>
            </w:pPr>
          </w:p>
        </w:tc>
        <w:tc>
          <w:tcPr>
            <w:tcW w:w="0" w:type="auto"/>
            <w:vAlign w:val="center"/>
            <w:hideMark/>
          </w:tcPr>
          <w:p w14:paraId="2E1FCEDC" w14:textId="77777777" w:rsidR="00000000" w:rsidRDefault="00195E73">
            <w:pPr>
              <w:rPr>
                <w:rFonts w:eastAsia="Times New Roman"/>
                <w:sz w:val="20"/>
                <w:szCs w:val="20"/>
              </w:rPr>
            </w:pPr>
          </w:p>
        </w:tc>
        <w:tc>
          <w:tcPr>
            <w:tcW w:w="0" w:type="auto"/>
            <w:vAlign w:val="center"/>
            <w:hideMark/>
          </w:tcPr>
          <w:p w14:paraId="154F9B7A" w14:textId="77777777" w:rsidR="00000000" w:rsidRDefault="00195E73">
            <w:pPr>
              <w:rPr>
                <w:rFonts w:eastAsia="Times New Roman"/>
                <w:sz w:val="20"/>
                <w:szCs w:val="20"/>
              </w:rPr>
            </w:pPr>
          </w:p>
        </w:tc>
        <w:tc>
          <w:tcPr>
            <w:tcW w:w="0" w:type="auto"/>
            <w:vAlign w:val="center"/>
            <w:hideMark/>
          </w:tcPr>
          <w:p w14:paraId="2A0C4AB9" w14:textId="77777777" w:rsidR="00000000" w:rsidRDefault="00195E73">
            <w:pPr>
              <w:rPr>
                <w:rFonts w:eastAsia="Times New Roman"/>
                <w:sz w:val="20"/>
                <w:szCs w:val="20"/>
              </w:rPr>
            </w:pPr>
          </w:p>
        </w:tc>
        <w:tc>
          <w:tcPr>
            <w:tcW w:w="0" w:type="auto"/>
            <w:vAlign w:val="center"/>
            <w:hideMark/>
          </w:tcPr>
          <w:p w14:paraId="349B65E9" w14:textId="77777777" w:rsidR="00000000" w:rsidRDefault="00195E73">
            <w:pPr>
              <w:rPr>
                <w:rFonts w:eastAsia="Times New Roman"/>
                <w:sz w:val="20"/>
                <w:szCs w:val="20"/>
              </w:rPr>
            </w:pPr>
          </w:p>
        </w:tc>
        <w:tc>
          <w:tcPr>
            <w:tcW w:w="0" w:type="auto"/>
            <w:vAlign w:val="center"/>
            <w:hideMark/>
          </w:tcPr>
          <w:p w14:paraId="48A17928" w14:textId="77777777" w:rsidR="00000000" w:rsidRDefault="00195E73">
            <w:pPr>
              <w:rPr>
                <w:rFonts w:eastAsia="Times New Roman"/>
                <w:sz w:val="20"/>
                <w:szCs w:val="20"/>
              </w:rPr>
            </w:pPr>
          </w:p>
        </w:tc>
        <w:tc>
          <w:tcPr>
            <w:tcW w:w="0" w:type="auto"/>
            <w:vAlign w:val="center"/>
            <w:hideMark/>
          </w:tcPr>
          <w:p w14:paraId="75B1C161" w14:textId="77777777" w:rsidR="00000000" w:rsidRDefault="00195E73">
            <w:pPr>
              <w:rPr>
                <w:rFonts w:eastAsia="Times New Roman"/>
                <w:sz w:val="20"/>
                <w:szCs w:val="20"/>
              </w:rPr>
            </w:pPr>
          </w:p>
        </w:tc>
        <w:tc>
          <w:tcPr>
            <w:tcW w:w="0" w:type="auto"/>
            <w:vAlign w:val="center"/>
            <w:hideMark/>
          </w:tcPr>
          <w:p w14:paraId="3F549BE0" w14:textId="77777777" w:rsidR="00000000" w:rsidRDefault="00195E73">
            <w:pPr>
              <w:rPr>
                <w:rFonts w:eastAsia="Times New Roman"/>
                <w:sz w:val="20"/>
                <w:szCs w:val="20"/>
              </w:rPr>
            </w:pPr>
          </w:p>
        </w:tc>
        <w:tc>
          <w:tcPr>
            <w:tcW w:w="0" w:type="auto"/>
            <w:vAlign w:val="center"/>
            <w:hideMark/>
          </w:tcPr>
          <w:p w14:paraId="2BECC11C" w14:textId="77777777" w:rsidR="00000000" w:rsidRDefault="00195E73">
            <w:pPr>
              <w:rPr>
                <w:rFonts w:eastAsia="Times New Roman"/>
                <w:sz w:val="20"/>
                <w:szCs w:val="20"/>
              </w:rPr>
            </w:pPr>
          </w:p>
        </w:tc>
      </w:tr>
      <w:tr w:rsidR="00000000" w14:paraId="51B34D25"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3B846B00" w14:textId="77777777" w:rsidR="00000000" w:rsidRDefault="00195E73">
            <w:pPr>
              <w:ind w:hanging="90"/>
              <w:divId w:val="189421584"/>
              <w:rPr>
                <w:rFonts w:eastAsia="Times New Roman"/>
              </w:rPr>
            </w:pPr>
            <w:r>
              <w:rPr>
                <w:rFonts w:eastAsia="Times New Roman"/>
                <w:color w:val="000000"/>
                <w:sz w:val="13"/>
                <w:szCs w:val="13"/>
              </w:rPr>
              <w:t>Dividends and distributions to non-controlling interests in subsidiarie</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6209A954" w14:textId="77777777" w:rsidR="00000000" w:rsidRDefault="00195E73">
            <w:pPr>
              <w:jc w:val="right"/>
              <w:rPr>
                <w:rFonts w:eastAsia="Times New Roman"/>
              </w:rPr>
            </w:pPr>
            <w:r>
              <w:rPr>
                <w:rFonts w:eastAsia="Times New Roman"/>
                <w:color w:val="000000"/>
                <w:sz w:val="13"/>
                <w:szCs w:val="13"/>
              </w:rPr>
              <w:t>(119</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27B1DC8D"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6D66C95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45F5D4" w14:textId="77777777" w:rsidR="00000000" w:rsidRDefault="00195E73">
            <w:pPr>
              <w:jc w:val="right"/>
              <w:rPr>
                <w:rFonts w:eastAsia="Times New Roman"/>
              </w:rPr>
            </w:pPr>
            <w:r>
              <w:rPr>
                <w:rFonts w:eastAsia="Times New Roman"/>
                <w:color w:val="000000"/>
                <w:sz w:val="13"/>
                <w:szCs w:val="13"/>
              </w:rPr>
              <w:t>(139</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65F491E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728EBE4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26CF28" w14:textId="77777777" w:rsidR="00000000" w:rsidRDefault="00195E73">
            <w:pPr>
              <w:jc w:val="right"/>
              <w:rPr>
                <w:rFonts w:eastAsia="Times New Roman"/>
              </w:rPr>
            </w:pPr>
            <w:r>
              <w:rPr>
                <w:rFonts w:eastAsia="Times New Roman"/>
                <w:color w:val="000000"/>
                <w:sz w:val="13"/>
                <w:szCs w:val="13"/>
              </w:rPr>
              <w:t>(75</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10E62D3E"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96252BA" w14:textId="77777777" w:rsidR="00000000" w:rsidRDefault="00195E73">
            <w:pPr>
              <w:rPr>
                <w:rFonts w:eastAsia="Times New Roman"/>
                <w:sz w:val="20"/>
                <w:szCs w:val="20"/>
              </w:rPr>
            </w:pPr>
          </w:p>
        </w:tc>
        <w:tc>
          <w:tcPr>
            <w:tcW w:w="0" w:type="auto"/>
            <w:vAlign w:val="center"/>
            <w:hideMark/>
          </w:tcPr>
          <w:p w14:paraId="7C0C940A" w14:textId="77777777" w:rsidR="00000000" w:rsidRDefault="00195E73">
            <w:pPr>
              <w:rPr>
                <w:rFonts w:eastAsia="Times New Roman"/>
                <w:sz w:val="20"/>
                <w:szCs w:val="20"/>
              </w:rPr>
            </w:pPr>
          </w:p>
        </w:tc>
        <w:tc>
          <w:tcPr>
            <w:tcW w:w="0" w:type="auto"/>
            <w:vAlign w:val="center"/>
            <w:hideMark/>
          </w:tcPr>
          <w:p w14:paraId="0998481C" w14:textId="77777777" w:rsidR="00000000" w:rsidRDefault="00195E73">
            <w:pPr>
              <w:rPr>
                <w:rFonts w:eastAsia="Times New Roman"/>
                <w:sz w:val="20"/>
                <w:szCs w:val="20"/>
              </w:rPr>
            </w:pPr>
          </w:p>
        </w:tc>
        <w:tc>
          <w:tcPr>
            <w:tcW w:w="0" w:type="auto"/>
            <w:vAlign w:val="center"/>
            <w:hideMark/>
          </w:tcPr>
          <w:p w14:paraId="3213130B" w14:textId="77777777" w:rsidR="00000000" w:rsidRDefault="00195E73">
            <w:pPr>
              <w:rPr>
                <w:rFonts w:eastAsia="Times New Roman"/>
                <w:sz w:val="20"/>
                <w:szCs w:val="20"/>
              </w:rPr>
            </w:pPr>
          </w:p>
        </w:tc>
        <w:tc>
          <w:tcPr>
            <w:tcW w:w="0" w:type="auto"/>
            <w:vAlign w:val="center"/>
            <w:hideMark/>
          </w:tcPr>
          <w:p w14:paraId="20CE61AB" w14:textId="77777777" w:rsidR="00000000" w:rsidRDefault="00195E73">
            <w:pPr>
              <w:rPr>
                <w:rFonts w:eastAsia="Times New Roman"/>
                <w:sz w:val="20"/>
                <w:szCs w:val="20"/>
              </w:rPr>
            </w:pPr>
          </w:p>
        </w:tc>
        <w:tc>
          <w:tcPr>
            <w:tcW w:w="0" w:type="auto"/>
            <w:vAlign w:val="center"/>
            <w:hideMark/>
          </w:tcPr>
          <w:p w14:paraId="28859A57" w14:textId="77777777" w:rsidR="00000000" w:rsidRDefault="00195E73">
            <w:pPr>
              <w:rPr>
                <w:rFonts w:eastAsia="Times New Roman"/>
                <w:sz w:val="20"/>
                <w:szCs w:val="20"/>
              </w:rPr>
            </w:pPr>
          </w:p>
        </w:tc>
        <w:tc>
          <w:tcPr>
            <w:tcW w:w="0" w:type="auto"/>
            <w:vAlign w:val="center"/>
            <w:hideMark/>
          </w:tcPr>
          <w:p w14:paraId="287EBE71" w14:textId="77777777" w:rsidR="00000000" w:rsidRDefault="00195E73">
            <w:pPr>
              <w:rPr>
                <w:rFonts w:eastAsia="Times New Roman"/>
                <w:sz w:val="20"/>
                <w:szCs w:val="20"/>
              </w:rPr>
            </w:pPr>
          </w:p>
        </w:tc>
        <w:tc>
          <w:tcPr>
            <w:tcW w:w="0" w:type="auto"/>
            <w:vAlign w:val="center"/>
            <w:hideMark/>
          </w:tcPr>
          <w:p w14:paraId="215CCFCB" w14:textId="77777777" w:rsidR="00000000" w:rsidRDefault="00195E73">
            <w:pPr>
              <w:rPr>
                <w:rFonts w:eastAsia="Times New Roman"/>
                <w:sz w:val="20"/>
                <w:szCs w:val="20"/>
              </w:rPr>
            </w:pPr>
          </w:p>
        </w:tc>
        <w:tc>
          <w:tcPr>
            <w:tcW w:w="0" w:type="auto"/>
            <w:vAlign w:val="center"/>
            <w:hideMark/>
          </w:tcPr>
          <w:p w14:paraId="009C50F4" w14:textId="77777777" w:rsidR="00000000" w:rsidRDefault="00195E73">
            <w:pPr>
              <w:rPr>
                <w:rFonts w:eastAsia="Times New Roman"/>
                <w:sz w:val="20"/>
                <w:szCs w:val="20"/>
              </w:rPr>
            </w:pPr>
          </w:p>
        </w:tc>
        <w:tc>
          <w:tcPr>
            <w:tcW w:w="0" w:type="auto"/>
            <w:vAlign w:val="center"/>
            <w:hideMark/>
          </w:tcPr>
          <w:p w14:paraId="07DA4895" w14:textId="77777777" w:rsidR="00000000" w:rsidRDefault="00195E73">
            <w:pPr>
              <w:rPr>
                <w:rFonts w:eastAsia="Times New Roman"/>
                <w:sz w:val="20"/>
                <w:szCs w:val="20"/>
              </w:rPr>
            </w:pPr>
          </w:p>
        </w:tc>
        <w:tc>
          <w:tcPr>
            <w:tcW w:w="0" w:type="auto"/>
            <w:vAlign w:val="center"/>
            <w:hideMark/>
          </w:tcPr>
          <w:p w14:paraId="5C1F287C" w14:textId="77777777" w:rsidR="00000000" w:rsidRDefault="00195E73">
            <w:pPr>
              <w:rPr>
                <w:rFonts w:eastAsia="Times New Roman"/>
                <w:sz w:val="20"/>
                <w:szCs w:val="20"/>
              </w:rPr>
            </w:pPr>
          </w:p>
        </w:tc>
        <w:tc>
          <w:tcPr>
            <w:tcW w:w="0" w:type="auto"/>
            <w:vAlign w:val="center"/>
            <w:hideMark/>
          </w:tcPr>
          <w:p w14:paraId="326116C5" w14:textId="77777777" w:rsidR="00000000" w:rsidRDefault="00195E73">
            <w:pPr>
              <w:rPr>
                <w:rFonts w:eastAsia="Times New Roman"/>
                <w:sz w:val="20"/>
                <w:szCs w:val="20"/>
              </w:rPr>
            </w:pPr>
          </w:p>
        </w:tc>
      </w:tr>
      <w:tr w:rsidR="00000000" w14:paraId="6A121EE8"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66A36C84" w14:textId="77777777" w:rsidR="00000000" w:rsidRDefault="00195E73">
            <w:pPr>
              <w:rPr>
                <w:rFonts w:eastAsia="Times New Roman"/>
              </w:rPr>
            </w:pPr>
            <w:r>
              <w:rPr>
                <w:rFonts w:eastAsia="Times New Roman"/>
                <w:color w:val="000000"/>
                <w:sz w:val="13"/>
                <w:szCs w:val="13"/>
              </w:rPr>
              <w:t>Proceeds from Holding Company senior unsecured note</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2686E942" w14:textId="77777777" w:rsidR="00000000" w:rsidRDefault="00195E73">
            <w:pPr>
              <w:jc w:val="right"/>
              <w:rPr>
                <w:rFonts w:eastAsia="Times New Roman"/>
              </w:rPr>
            </w:pPr>
            <w:r>
              <w:rPr>
                <w:rFonts w:eastAsia="Times New Roman"/>
                <w:color w:val="000000"/>
                <w:sz w:val="13"/>
                <w:szCs w:val="13"/>
              </w:rPr>
              <w:t>2,507</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20AF52A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101D98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031797"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74ACC5E2"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2330661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C944EB" w14:textId="77777777" w:rsidR="00000000" w:rsidRDefault="00195E73">
            <w:pPr>
              <w:jc w:val="right"/>
              <w:rPr>
                <w:rFonts w:eastAsia="Times New Roman"/>
              </w:rPr>
            </w:pPr>
            <w:r>
              <w:rPr>
                <w:rFonts w:eastAsia="Times New Roman"/>
                <w:color w:val="000000"/>
                <w:sz w:val="13"/>
                <w:szCs w:val="13"/>
              </w:rPr>
              <w:t>2,470</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4E65A690"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2CB3CF2F" w14:textId="77777777" w:rsidR="00000000" w:rsidRDefault="00195E73">
            <w:pPr>
              <w:rPr>
                <w:rFonts w:eastAsia="Times New Roman"/>
                <w:sz w:val="20"/>
                <w:szCs w:val="20"/>
              </w:rPr>
            </w:pPr>
          </w:p>
        </w:tc>
        <w:tc>
          <w:tcPr>
            <w:tcW w:w="0" w:type="auto"/>
            <w:vAlign w:val="center"/>
            <w:hideMark/>
          </w:tcPr>
          <w:p w14:paraId="092014FF" w14:textId="77777777" w:rsidR="00000000" w:rsidRDefault="00195E73">
            <w:pPr>
              <w:rPr>
                <w:rFonts w:eastAsia="Times New Roman"/>
                <w:sz w:val="20"/>
                <w:szCs w:val="20"/>
              </w:rPr>
            </w:pPr>
          </w:p>
        </w:tc>
        <w:tc>
          <w:tcPr>
            <w:tcW w:w="0" w:type="auto"/>
            <w:vAlign w:val="center"/>
            <w:hideMark/>
          </w:tcPr>
          <w:p w14:paraId="2ED222BA" w14:textId="77777777" w:rsidR="00000000" w:rsidRDefault="00195E73">
            <w:pPr>
              <w:rPr>
                <w:rFonts w:eastAsia="Times New Roman"/>
                <w:sz w:val="20"/>
                <w:szCs w:val="20"/>
              </w:rPr>
            </w:pPr>
          </w:p>
        </w:tc>
        <w:tc>
          <w:tcPr>
            <w:tcW w:w="0" w:type="auto"/>
            <w:vAlign w:val="center"/>
            <w:hideMark/>
          </w:tcPr>
          <w:p w14:paraId="4E8AF3DD" w14:textId="77777777" w:rsidR="00000000" w:rsidRDefault="00195E73">
            <w:pPr>
              <w:rPr>
                <w:rFonts w:eastAsia="Times New Roman"/>
                <w:sz w:val="20"/>
                <w:szCs w:val="20"/>
              </w:rPr>
            </w:pPr>
          </w:p>
        </w:tc>
        <w:tc>
          <w:tcPr>
            <w:tcW w:w="0" w:type="auto"/>
            <w:vAlign w:val="center"/>
            <w:hideMark/>
          </w:tcPr>
          <w:p w14:paraId="43BA4B43" w14:textId="77777777" w:rsidR="00000000" w:rsidRDefault="00195E73">
            <w:pPr>
              <w:rPr>
                <w:rFonts w:eastAsia="Times New Roman"/>
                <w:sz w:val="20"/>
                <w:szCs w:val="20"/>
              </w:rPr>
            </w:pPr>
          </w:p>
        </w:tc>
        <w:tc>
          <w:tcPr>
            <w:tcW w:w="0" w:type="auto"/>
            <w:vAlign w:val="center"/>
            <w:hideMark/>
          </w:tcPr>
          <w:p w14:paraId="5CE62B58" w14:textId="77777777" w:rsidR="00000000" w:rsidRDefault="00195E73">
            <w:pPr>
              <w:rPr>
                <w:rFonts w:eastAsia="Times New Roman"/>
                <w:sz w:val="20"/>
                <w:szCs w:val="20"/>
              </w:rPr>
            </w:pPr>
          </w:p>
        </w:tc>
        <w:tc>
          <w:tcPr>
            <w:tcW w:w="0" w:type="auto"/>
            <w:vAlign w:val="center"/>
            <w:hideMark/>
          </w:tcPr>
          <w:p w14:paraId="0519BF4A" w14:textId="77777777" w:rsidR="00000000" w:rsidRDefault="00195E73">
            <w:pPr>
              <w:rPr>
                <w:rFonts w:eastAsia="Times New Roman"/>
                <w:sz w:val="20"/>
                <w:szCs w:val="20"/>
              </w:rPr>
            </w:pPr>
          </w:p>
        </w:tc>
        <w:tc>
          <w:tcPr>
            <w:tcW w:w="0" w:type="auto"/>
            <w:vAlign w:val="center"/>
            <w:hideMark/>
          </w:tcPr>
          <w:p w14:paraId="47CC3813" w14:textId="77777777" w:rsidR="00000000" w:rsidRDefault="00195E73">
            <w:pPr>
              <w:rPr>
                <w:rFonts w:eastAsia="Times New Roman"/>
                <w:sz w:val="20"/>
                <w:szCs w:val="20"/>
              </w:rPr>
            </w:pPr>
          </w:p>
        </w:tc>
        <w:tc>
          <w:tcPr>
            <w:tcW w:w="0" w:type="auto"/>
            <w:vAlign w:val="center"/>
            <w:hideMark/>
          </w:tcPr>
          <w:p w14:paraId="0090019B" w14:textId="77777777" w:rsidR="00000000" w:rsidRDefault="00195E73">
            <w:pPr>
              <w:rPr>
                <w:rFonts w:eastAsia="Times New Roman"/>
                <w:sz w:val="20"/>
                <w:szCs w:val="20"/>
              </w:rPr>
            </w:pPr>
          </w:p>
        </w:tc>
        <w:tc>
          <w:tcPr>
            <w:tcW w:w="0" w:type="auto"/>
            <w:vAlign w:val="center"/>
            <w:hideMark/>
          </w:tcPr>
          <w:p w14:paraId="2F9A3C79" w14:textId="77777777" w:rsidR="00000000" w:rsidRDefault="00195E73">
            <w:pPr>
              <w:rPr>
                <w:rFonts w:eastAsia="Times New Roman"/>
                <w:sz w:val="20"/>
                <w:szCs w:val="20"/>
              </w:rPr>
            </w:pPr>
          </w:p>
        </w:tc>
        <w:tc>
          <w:tcPr>
            <w:tcW w:w="0" w:type="auto"/>
            <w:vAlign w:val="center"/>
            <w:hideMark/>
          </w:tcPr>
          <w:p w14:paraId="4B0ECB65" w14:textId="77777777" w:rsidR="00000000" w:rsidRDefault="00195E73">
            <w:pPr>
              <w:rPr>
                <w:rFonts w:eastAsia="Times New Roman"/>
                <w:sz w:val="20"/>
                <w:szCs w:val="20"/>
              </w:rPr>
            </w:pPr>
          </w:p>
        </w:tc>
        <w:tc>
          <w:tcPr>
            <w:tcW w:w="0" w:type="auto"/>
            <w:vAlign w:val="center"/>
            <w:hideMark/>
          </w:tcPr>
          <w:p w14:paraId="119DB414" w14:textId="77777777" w:rsidR="00000000" w:rsidRDefault="00195E73">
            <w:pPr>
              <w:rPr>
                <w:rFonts w:eastAsia="Times New Roman"/>
                <w:sz w:val="20"/>
                <w:szCs w:val="20"/>
              </w:rPr>
            </w:pPr>
          </w:p>
        </w:tc>
      </w:tr>
      <w:tr w:rsidR="00000000" w14:paraId="2813620F"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54389A99" w14:textId="77777777" w:rsidR="00000000" w:rsidRDefault="00195E73">
            <w:pPr>
              <w:rPr>
                <w:rFonts w:eastAsia="Times New Roman"/>
              </w:rPr>
            </w:pPr>
            <w:r>
              <w:rPr>
                <w:rFonts w:eastAsia="Times New Roman"/>
                <w:color w:val="000000"/>
                <w:sz w:val="13"/>
                <w:szCs w:val="13"/>
              </w:rPr>
              <w:t>Repayments of Holding Company senior unsecured note</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1A8FC423" w14:textId="77777777" w:rsidR="00000000" w:rsidRDefault="00195E73">
            <w:pPr>
              <w:jc w:val="right"/>
              <w:rPr>
                <w:rFonts w:eastAsia="Times New Roman"/>
              </w:rPr>
            </w:pPr>
            <w:r>
              <w:rPr>
                <w:rFonts w:eastAsia="Times New Roman"/>
                <w:color w:val="000000"/>
                <w:sz w:val="13"/>
                <w:szCs w:val="13"/>
              </w:rPr>
              <w:t>(1,700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1864436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597B050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7D07B4"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5A9D71A3"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651D4D9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3739E2" w14:textId="77777777" w:rsidR="00000000" w:rsidRDefault="00195E73">
            <w:pPr>
              <w:jc w:val="right"/>
              <w:rPr>
                <w:rFonts w:eastAsia="Times New Roman"/>
              </w:rPr>
            </w:pPr>
            <w:r>
              <w:rPr>
                <w:rFonts w:eastAsia="Times New Roman"/>
                <w:color w:val="000000"/>
                <w:sz w:val="13"/>
                <w:szCs w:val="13"/>
              </w:rPr>
              <w:t>(2,450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51B44F45"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0D51DE70" w14:textId="77777777" w:rsidR="00000000" w:rsidRDefault="00195E73">
            <w:pPr>
              <w:rPr>
                <w:rFonts w:eastAsia="Times New Roman"/>
                <w:sz w:val="20"/>
                <w:szCs w:val="20"/>
              </w:rPr>
            </w:pPr>
          </w:p>
        </w:tc>
        <w:tc>
          <w:tcPr>
            <w:tcW w:w="0" w:type="auto"/>
            <w:vAlign w:val="center"/>
            <w:hideMark/>
          </w:tcPr>
          <w:p w14:paraId="18CF3666" w14:textId="77777777" w:rsidR="00000000" w:rsidRDefault="00195E73">
            <w:pPr>
              <w:rPr>
                <w:rFonts w:eastAsia="Times New Roman"/>
                <w:sz w:val="20"/>
                <w:szCs w:val="20"/>
              </w:rPr>
            </w:pPr>
          </w:p>
        </w:tc>
        <w:tc>
          <w:tcPr>
            <w:tcW w:w="0" w:type="auto"/>
            <w:vAlign w:val="center"/>
            <w:hideMark/>
          </w:tcPr>
          <w:p w14:paraId="60669403" w14:textId="77777777" w:rsidR="00000000" w:rsidRDefault="00195E73">
            <w:pPr>
              <w:rPr>
                <w:rFonts w:eastAsia="Times New Roman"/>
                <w:sz w:val="20"/>
                <w:szCs w:val="20"/>
              </w:rPr>
            </w:pPr>
          </w:p>
        </w:tc>
        <w:tc>
          <w:tcPr>
            <w:tcW w:w="0" w:type="auto"/>
            <w:vAlign w:val="center"/>
            <w:hideMark/>
          </w:tcPr>
          <w:p w14:paraId="5A491054" w14:textId="77777777" w:rsidR="00000000" w:rsidRDefault="00195E73">
            <w:pPr>
              <w:rPr>
                <w:rFonts w:eastAsia="Times New Roman"/>
                <w:sz w:val="20"/>
                <w:szCs w:val="20"/>
              </w:rPr>
            </w:pPr>
          </w:p>
        </w:tc>
        <w:tc>
          <w:tcPr>
            <w:tcW w:w="0" w:type="auto"/>
            <w:vAlign w:val="center"/>
            <w:hideMark/>
          </w:tcPr>
          <w:p w14:paraId="40044D2B" w14:textId="77777777" w:rsidR="00000000" w:rsidRDefault="00195E73">
            <w:pPr>
              <w:rPr>
                <w:rFonts w:eastAsia="Times New Roman"/>
                <w:sz w:val="20"/>
                <w:szCs w:val="20"/>
              </w:rPr>
            </w:pPr>
          </w:p>
        </w:tc>
        <w:tc>
          <w:tcPr>
            <w:tcW w:w="0" w:type="auto"/>
            <w:vAlign w:val="center"/>
            <w:hideMark/>
          </w:tcPr>
          <w:p w14:paraId="00113E9F" w14:textId="77777777" w:rsidR="00000000" w:rsidRDefault="00195E73">
            <w:pPr>
              <w:rPr>
                <w:rFonts w:eastAsia="Times New Roman"/>
                <w:sz w:val="20"/>
                <w:szCs w:val="20"/>
              </w:rPr>
            </w:pPr>
          </w:p>
        </w:tc>
        <w:tc>
          <w:tcPr>
            <w:tcW w:w="0" w:type="auto"/>
            <w:vAlign w:val="center"/>
            <w:hideMark/>
          </w:tcPr>
          <w:p w14:paraId="309BFEA1" w14:textId="77777777" w:rsidR="00000000" w:rsidRDefault="00195E73">
            <w:pPr>
              <w:rPr>
                <w:rFonts w:eastAsia="Times New Roman"/>
                <w:sz w:val="20"/>
                <w:szCs w:val="20"/>
              </w:rPr>
            </w:pPr>
          </w:p>
        </w:tc>
        <w:tc>
          <w:tcPr>
            <w:tcW w:w="0" w:type="auto"/>
            <w:vAlign w:val="center"/>
            <w:hideMark/>
          </w:tcPr>
          <w:p w14:paraId="6B84280D" w14:textId="77777777" w:rsidR="00000000" w:rsidRDefault="00195E73">
            <w:pPr>
              <w:rPr>
                <w:rFonts w:eastAsia="Times New Roman"/>
                <w:sz w:val="20"/>
                <w:szCs w:val="20"/>
              </w:rPr>
            </w:pPr>
          </w:p>
        </w:tc>
        <w:tc>
          <w:tcPr>
            <w:tcW w:w="0" w:type="auto"/>
            <w:vAlign w:val="center"/>
            <w:hideMark/>
          </w:tcPr>
          <w:p w14:paraId="48015FBA" w14:textId="77777777" w:rsidR="00000000" w:rsidRDefault="00195E73">
            <w:pPr>
              <w:rPr>
                <w:rFonts w:eastAsia="Times New Roman"/>
                <w:sz w:val="20"/>
                <w:szCs w:val="20"/>
              </w:rPr>
            </w:pPr>
          </w:p>
        </w:tc>
        <w:tc>
          <w:tcPr>
            <w:tcW w:w="0" w:type="auto"/>
            <w:vAlign w:val="center"/>
            <w:hideMark/>
          </w:tcPr>
          <w:p w14:paraId="77C236B6" w14:textId="77777777" w:rsidR="00000000" w:rsidRDefault="00195E73">
            <w:pPr>
              <w:rPr>
                <w:rFonts w:eastAsia="Times New Roman"/>
                <w:sz w:val="20"/>
                <w:szCs w:val="20"/>
              </w:rPr>
            </w:pPr>
          </w:p>
        </w:tc>
        <w:tc>
          <w:tcPr>
            <w:tcW w:w="0" w:type="auto"/>
            <w:vAlign w:val="center"/>
            <w:hideMark/>
          </w:tcPr>
          <w:p w14:paraId="70B9E3A4" w14:textId="77777777" w:rsidR="00000000" w:rsidRDefault="00195E73">
            <w:pPr>
              <w:rPr>
                <w:rFonts w:eastAsia="Times New Roman"/>
                <w:sz w:val="20"/>
                <w:szCs w:val="20"/>
              </w:rPr>
            </w:pPr>
          </w:p>
        </w:tc>
        <w:tc>
          <w:tcPr>
            <w:tcW w:w="0" w:type="auto"/>
            <w:vAlign w:val="center"/>
            <w:hideMark/>
          </w:tcPr>
          <w:p w14:paraId="265F10C7" w14:textId="77777777" w:rsidR="00000000" w:rsidRDefault="00195E73">
            <w:pPr>
              <w:rPr>
                <w:rFonts w:eastAsia="Times New Roman"/>
                <w:sz w:val="20"/>
                <w:szCs w:val="20"/>
              </w:rPr>
            </w:pPr>
          </w:p>
        </w:tc>
      </w:tr>
      <w:tr w:rsidR="00000000" w14:paraId="0470AADF"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0AA5A308" w14:textId="77777777" w:rsidR="00000000" w:rsidRDefault="00195E73">
            <w:pPr>
              <w:rPr>
                <w:rFonts w:eastAsia="Times New Roman"/>
              </w:rPr>
            </w:pPr>
            <w:r>
              <w:rPr>
                <w:rFonts w:eastAsia="Times New Roman"/>
                <w:color w:val="000000"/>
                <w:sz w:val="13"/>
                <w:szCs w:val="13"/>
              </w:rPr>
              <w:t>Proceeds from subsidiary borrowing</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0F6C2B9F" w14:textId="77777777" w:rsidR="00000000" w:rsidRDefault="00195E73">
            <w:pPr>
              <w:jc w:val="right"/>
              <w:rPr>
                <w:rFonts w:eastAsia="Times New Roman"/>
              </w:rPr>
            </w:pPr>
            <w:r>
              <w:rPr>
                <w:rFonts w:eastAsia="Times New Roman"/>
                <w:color w:val="000000"/>
                <w:sz w:val="13"/>
                <w:szCs w:val="13"/>
              </w:rPr>
              <w:t>810</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43D231B4"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71C9900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A7E50A" w14:textId="77777777" w:rsidR="00000000" w:rsidRDefault="00195E73">
            <w:pPr>
              <w:jc w:val="right"/>
              <w:rPr>
                <w:rFonts w:eastAsia="Times New Roman"/>
              </w:rPr>
            </w:pPr>
            <w:r>
              <w:rPr>
                <w:rFonts w:eastAsia="Times New Roman"/>
                <w:color w:val="000000"/>
                <w:sz w:val="13"/>
                <w:szCs w:val="13"/>
              </w:rPr>
              <w:t>1,268</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300A91F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208E88B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1EF7F2" w14:textId="77777777" w:rsidR="00000000" w:rsidRDefault="00195E73">
            <w:pPr>
              <w:jc w:val="right"/>
              <w:rPr>
                <w:rFonts w:eastAsia="Times New Roman"/>
              </w:rPr>
            </w:pPr>
            <w:r>
              <w:rPr>
                <w:rFonts w:eastAsia="Times New Roman"/>
                <w:color w:val="000000"/>
                <w:sz w:val="13"/>
                <w:szCs w:val="13"/>
              </w:rPr>
              <w:t>1,334</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1A1ACC3E"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111A2B63" w14:textId="77777777" w:rsidR="00000000" w:rsidRDefault="00195E73">
            <w:pPr>
              <w:rPr>
                <w:rFonts w:eastAsia="Times New Roman"/>
                <w:sz w:val="20"/>
                <w:szCs w:val="20"/>
              </w:rPr>
            </w:pPr>
          </w:p>
        </w:tc>
        <w:tc>
          <w:tcPr>
            <w:tcW w:w="0" w:type="auto"/>
            <w:vAlign w:val="center"/>
            <w:hideMark/>
          </w:tcPr>
          <w:p w14:paraId="33FF25AB" w14:textId="77777777" w:rsidR="00000000" w:rsidRDefault="00195E73">
            <w:pPr>
              <w:rPr>
                <w:rFonts w:eastAsia="Times New Roman"/>
                <w:sz w:val="20"/>
                <w:szCs w:val="20"/>
              </w:rPr>
            </w:pPr>
          </w:p>
        </w:tc>
        <w:tc>
          <w:tcPr>
            <w:tcW w:w="0" w:type="auto"/>
            <w:vAlign w:val="center"/>
            <w:hideMark/>
          </w:tcPr>
          <w:p w14:paraId="5E54ED82" w14:textId="77777777" w:rsidR="00000000" w:rsidRDefault="00195E73">
            <w:pPr>
              <w:rPr>
                <w:rFonts w:eastAsia="Times New Roman"/>
                <w:sz w:val="20"/>
                <w:szCs w:val="20"/>
              </w:rPr>
            </w:pPr>
          </w:p>
        </w:tc>
        <w:tc>
          <w:tcPr>
            <w:tcW w:w="0" w:type="auto"/>
            <w:vAlign w:val="center"/>
            <w:hideMark/>
          </w:tcPr>
          <w:p w14:paraId="7B286CA3" w14:textId="77777777" w:rsidR="00000000" w:rsidRDefault="00195E73">
            <w:pPr>
              <w:rPr>
                <w:rFonts w:eastAsia="Times New Roman"/>
                <w:sz w:val="20"/>
                <w:szCs w:val="20"/>
              </w:rPr>
            </w:pPr>
          </w:p>
        </w:tc>
        <w:tc>
          <w:tcPr>
            <w:tcW w:w="0" w:type="auto"/>
            <w:vAlign w:val="center"/>
            <w:hideMark/>
          </w:tcPr>
          <w:p w14:paraId="58DCB64E" w14:textId="77777777" w:rsidR="00000000" w:rsidRDefault="00195E73">
            <w:pPr>
              <w:rPr>
                <w:rFonts w:eastAsia="Times New Roman"/>
                <w:sz w:val="20"/>
                <w:szCs w:val="20"/>
              </w:rPr>
            </w:pPr>
          </w:p>
        </w:tc>
        <w:tc>
          <w:tcPr>
            <w:tcW w:w="0" w:type="auto"/>
            <w:vAlign w:val="center"/>
            <w:hideMark/>
          </w:tcPr>
          <w:p w14:paraId="264AA960" w14:textId="77777777" w:rsidR="00000000" w:rsidRDefault="00195E73">
            <w:pPr>
              <w:rPr>
                <w:rFonts w:eastAsia="Times New Roman"/>
                <w:sz w:val="20"/>
                <w:szCs w:val="20"/>
              </w:rPr>
            </w:pPr>
          </w:p>
        </w:tc>
        <w:tc>
          <w:tcPr>
            <w:tcW w:w="0" w:type="auto"/>
            <w:vAlign w:val="center"/>
            <w:hideMark/>
          </w:tcPr>
          <w:p w14:paraId="195095F4" w14:textId="77777777" w:rsidR="00000000" w:rsidRDefault="00195E73">
            <w:pPr>
              <w:rPr>
                <w:rFonts w:eastAsia="Times New Roman"/>
                <w:sz w:val="20"/>
                <w:szCs w:val="20"/>
              </w:rPr>
            </w:pPr>
          </w:p>
        </w:tc>
        <w:tc>
          <w:tcPr>
            <w:tcW w:w="0" w:type="auto"/>
            <w:vAlign w:val="center"/>
            <w:hideMark/>
          </w:tcPr>
          <w:p w14:paraId="43956F75" w14:textId="77777777" w:rsidR="00000000" w:rsidRDefault="00195E73">
            <w:pPr>
              <w:rPr>
                <w:rFonts w:eastAsia="Times New Roman"/>
                <w:sz w:val="20"/>
                <w:szCs w:val="20"/>
              </w:rPr>
            </w:pPr>
          </w:p>
        </w:tc>
        <w:tc>
          <w:tcPr>
            <w:tcW w:w="0" w:type="auto"/>
            <w:vAlign w:val="center"/>
            <w:hideMark/>
          </w:tcPr>
          <w:p w14:paraId="56E1AFB9" w14:textId="77777777" w:rsidR="00000000" w:rsidRDefault="00195E73">
            <w:pPr>
              <w:rPr>
                <w:rFonts w:eastAsia="Times New Roman"/>
                <w:sz w:val="20"/>
                <w:szCs w:val="20"/>
              </w:rPr>
            </w:pPr>
          </w:p>
        </w:tc>
        <w:tc>
          <w:tcPr>
            <w:tcW w:w="0" w:type="auto"/>
            <w:vAlign w:val="center"/>
            <w:hideMark/>
          </w:tcPr>
          <w:p w14:paraId="2B1F2C57" w14:textId="77777777" w:rsidR="00000000" w:rsidRDefault="00195E73">
            <w:pPr>
              <w:rPr>
                <w:rFonts w:eastAsia="Times New Roman"/>
                <w:sz w:val="20"/>
                <w:szCs w:val="20"/>
              </w:rPr>
            </w:pPr>
          </w:p>
        </w:tc>
        <w:tc>
          <w:tcPr>
            <w:tcW w:w="0" w:type="auto"/>
            <w:vAlign w:val="center"/>
            <w:hideMark/>
          </w:tcPr>
          <w:p w14:paraId="65F4E12A" w14:textId="77777777" w:rsidR="00000000" w:rsidRDefault="00195E73">
            <w:pPr>
              <w:rPr>
                <w:rFonts w:eastAsia="Times New Roman"/>
                <w:sz w:val="20"/>
                <w:szCs w:val="20"/>
              </w:rPr>
            </w:pPr>
          </w:p>
        </w:tc>
        <w:tc>
          <w:tcPr>
            <w:tcW w:w="0" w:type="auto"/>
            <w:vAlign w:val="center"/>
            <w:hideMark/>
          </w:tcPr>
          <w:p w14:paraId="7E6F071C" w14:textId="77777777" w:rsidR="00000000" w:rsidRDefault="00195E73">
            <w:pPr>
              <w:rPr>
                <w:rFonts w:eastAsia="Times New Roman"/>
                <w:sz w:val="20"/>
                <w:szCs w:val="20"/>
              </w:rPr>
            </w:pPr>
          </w:p>
        </w:tc>
      </w:tr>
      <w:tr w:rsidR="00000000" w14:paraId="12B6B686"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7157DD7D" w14:textId="77777777" w:rsidR="00000000" w:rsidRDefault="00195E73">
            <w:pPr>
              <w:rPr>
                <w:rFonts w:eastAsia="Times New Roman"/>
              </w:rPr>
            </w:pPr>
            <w:r>
              <w:rPr>
                <w:rFonts w:eastAsia="Times New Roman"/>
                <w:color w:val="000000"/>
                <w:sz w:val="13"/>
                <w:szCs w:val="13"/>
              </w:rPr>
              <w:t>Repayments of subsidiary borrowing</w:t>
            </w:r>
            <w:r>
              <w:rPr>
                <w:rFonts w:eastAsia="Times New Roman"/>
                <w:color w:val="000000"/>
                <w:sz w:val="13"/>
                <w:szCs w:val="13"/>
              </w:rPr>
              <w:t>s</w:t>
            </w:r>
          </w:p>
        </w:tc>
        <w:tc>
          <w:tcPr>
            <w:tcW w:w="0" w:type="auto"/>
            <w:gridSpan w:val="2"/>
            <w:shd w:val="clear" w:color="auto" w:fill="FFFFFF"/>
            <w:tcMar>
              <w:top w:w="30" w:type="dxa"/>
              <w:left w:w="20" w:type="dxa"/>
              <w:bottom w:w="30" w:type="dxa"/>
              <w:right w:w="0" w:type="dxa"/>
            </w:tcMar>
            <w:vAlign w:val="bottom"/>
            <w:hideMark/>
          </w:tcPr>
          <w:p w14:paraId="52D8F241" w14:textId="77777777" w:rsidR="00000000" w:rsidRDefault="00195E73">
            <w:pPr>
              <w:jc w:val="right"/>
              <w:rPr>
                <w:rFonts w:eastAsia="Times New Roman"/>
              </w:rPr>
            </w:pPr>
            <w:r>
              <w:rPr>
                <w:rFonts w:eastAsia="Times New Roman"/>
                <w:color w:val="000000"/>
                <w:sz w:val="13"/>
                <w:szCs w:val="13"/>
              </w:rPr>
              <w:t>(847</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67D28C8A"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3667DA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F00CC5" w14:textId="77777777" w:rsidR="00000000" w:rsidRDefault="00195E73">
            <w:pPr>
              <w:jc w:val="right"/>
              <w:rPr>
                <w:rFonts w:eastAsia="Times New Roman"/>
              </w:rPr>
            </w:pPr>
            <w:r>
              <w:rPr>
                <w:rFonts w:eastAsia="Times New Roman"/>
                <w:color w:val="000000"/>
                <w:sz w:val="13"/>
                <w:szCs w:val="13"/>
              </w:rPr>
              <w:t>(1,346</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5D26C0E0"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32C22D0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45AB8C" w14:textId="77777777" w:rsidR="00000000" w:rsidRDefault="00195E73">
            <w:pPr>
              <w:jc w:val="right"/>
              <w:rPr>
                <w:rFonts w:eastAsia="Times New Roman"/>
              </w:rPr>
            </w:pPr>
            <w:r>
              <w:rPr>
                <w:rFonts w:eastAsia="Times New Roman"/>
                <w:color w:val="000000"/>
                <w:sz w:val="13"/>
                <w:szCs w:val="13"/>
              </w:rPr>
              <w:t>(1,430</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31D3036F"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0737908B" w14:textId="77777777" w:rsidR="00000000" w:rsidRDefault="00195E73">
            <w:pPr>
              <w:rPr>
                <w:rFonts w:eastAsia="Times New Roman"/>
                <w:sz w:val="20"/>
                <w:szCs w:val="20"/>
              </w:rPr>
            </w:pPr>
          </w:p>
        </w:tc>
        <w:tc>
          <w:tcPr>
            <w:tcW w:w="0" w:type="auto"/>
            <w:vAlign w:val="center"/>
            <w:hideMark/>
          </w:tcPr>
          <w:p w14:paraId="79B0E874" w14:textId="77777777" w:rsidR="00000000" w:rsidRDefault="00195E73">
            <w:pPr>
              <w:rPr>
                <w:rFonts w:eastAsia="Times New Roman"/>
                <w:sz w:val="20"/>
                <w:szCs w:val="20"/>
              </w:rPr>
            </w:pPr>
          </w:p>
        </w:tc>
        <w:tc>
          <w:tcPr>
            <w:tcW w:w="0" w:type="auto"/>
            <w:vAlign w:val="center"/>
            <w:hideMark/>
          </w:tcPr>
          <w:p w14:paraId="12D2A0AE" w14:textId="77777777" w:rsidR="00000000" w:rsidRDefault="00195E73">
            <w:pPr>
              <w:rPr>
                <w:rFonts w:eastAsia="Times New Roman"/>
                <w:sz w:val="20"/>
                <w:szCs w:val="20"/>
              </w:rPr>
            </w:pPr>
          </w:p>
        </w:tc>
        <w:tc>
          <w:tcPr>
            <w:tcW w:w="0" w:type="auto"/>
            <w:vAlign w:val="center"/>
            <w:hideMark/>
          </w:tcPr>
          <w:p w14:paraId="356AF479" w14:textId="77777777" w:rsidR="00000000" w:rsidRDefault="00195E73">
            <w:pPr>
              <w:rPr>
                <w:rFonts w:eastAsia="Times New Roman"/>
                <w:sz w:val="20"/>
                <w:szCs w:val="20"/>
              </w:rPr>
            </w:pPr>
          </w:p>
        </w:tc>
        <w:tc>
          <w:tcPr>
            <w:tcW w:w="0" w:type="auto"/>
            <w:vAlign w:val="center"/>
            <w:hideMark/>
          </w:tcPr>
          <w:p w14:paraId="6331A7D0" w14:textId="77777777" w:rsidR="00000000" w:rsidRDefault="00195E73">
            <w:pPr>
              <w:rPr>
                <w:rFonts w:eastAsia="Times New Roman"/>
                <w:sz w:val="20"/>
                <w:szCs w:val="20"/>
              </w:rPr>
            </w:pPr>
          </w:p>
        </w:tc>
        <w:tc>
          <w:tcPr>
            <w:tcW w:w="0" w:type="auto"/>
            <w:vAlign w:val="center"/>
            <w:hideMark/>
          </w:tcPr>
          <w:p w14:paraId="02FFB8F3" w14:textId="77777777" w:rsidR="00000000" w:rsidRDefault="00195E73">
            <w:pPr>
              <w:rPr>
                <w:rFonts w:eastAsia="Times New Roman"/>
                <w:sz w:val="20"/>
                <w:szCs w:val="20"/>
              </w:rPr>
            </w:pPr>
          </w:p>
        </w:tc>
        <w:tc>
          <w:tcPr>
            <w:tcW w:w="0" w:type="auto"/>
            <w:vAlign w:val="center"/>
            <w:hideMark/>
          </w:tcPr>
          <w:p w14:paraId="2766E259" w14:textId="77777777" w:rsidR="00000000" w:rsidRDefault="00195E73">
            <w:pPr>
              <w:rPr>
                <w:rFonts w:eastAsia="Times New Roman"/>
                <w:sz w:val="20"/>
                <w:szCs w:val="20"/>
              </w:rPr>
            </w:pPr>
          </w:p>
        </w:tc>
        <w:tc>
          <w:tcPr>
            <w:tcW w:w="0" w:type="auto"/>
            <w:vAlign w:val="center"/>
            <w:hideMark/>
          </w:tcPr>
          <w:p w14:paraId="31064049" w14:textId="77777777" w:rsidR="00000000" w:rsidRDefault="00195E73">
            <w:pPr>
              <w:rPr>
                <w:rFonts w:eastAsia="Times New Roman"/>
                <w:sz w:val="20"/>
                <w:szCs w:val="20"/>
              </w:rPr>
            </w:pPr>
          </w:p>
        </w:tc>
        <w:tc>
          <w:tcPr>
            <w:tcW w:w="0" w:type="auto"/>
            <w:vAlign w:val="center"/>
            <w:hideMark/>
          </w:tcPr>
          <w:p w14:paraId="57DCF3BB" w14:textId="77777777" w:rsidR="00000000" w:rsidRDefault="00195E73">
            <w:pPr>
              <w:rPr>
                <w:rFonts w:eastAsia="Times New Roman"/>
                <w:sz w:val="20"/>
                <w:szCs w:val="20"/>
              </w:rPr>
            </w:pPr>
          </w:p>
        </w:tc>
        <w:tc>
          <w:tcPr>
            <w:tcW w:w="0" w:type="auto"/>
            <w:vAlign w:val="center"/>
            <w:hideMark/>
          </w:tcPr>
          <w:p w14:paraId="527F2426" w14:textId="77777777" w:rsidR="00000000" w:rsidRDefault="00195E73">
            <w:pPr>
              <w:rPr>
                <w:rFonts w:eastAsia="Times New Roman"/>
                <w:sz w:val="20"/>
                <w:szCs w:val="20"/>
              </w:rPr>
            </w:pPr>
          </w:p>
        </w:tc>
        <w:tc>
          <w:tcPr>
            <w:tcW w:w="0" w:type="auto"/>
            <w:vAlign w:val="center"/>
            <w:hideMark/>
          </w:tcPr>
          <w:p w14:paraId="729AB020" w14:textId="77777777" w:rsidR="00000000" w:rsidRDefault="00195E73">
            <w:pPr>
              <w:rPr>
                <w:rFonts w:eastAsia="Times New Roman"/>
                <w:sz w:val="20"/>
                <w:szCs w:val="20"/>
              </w:rPr>
            </w:pPr>
          </w:p>
        </w:tc>
        <w:tc>
          <w:tcPr>
            <w:tcW w:w="0" w:type="auto"/>
            <w:vAlign w:val="center"/>
            <w:hideMark/>
          </w:tcPr>
          <w:p w14:paraId="3363B22A" w14:textId="77777777" w:rsidR="00000000" w:rsidRDefault="00195E73">
            <w:pPr>
              <w:rPr>
                <w:rFonts w:eastAsia="Times New Roman"/>
                <w:sz w:val="20"/>
                <w:szCs w:val="20"/>
              </w:rPr>
            </w:pPr>
          </w:p>
        </w:tc>
      </w:tr>
      <w:tr w:rsidR="00000000" w14:paraId="3EC97D77"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0684EE2D" w14:textId="77777777" w:rsidR="00000000" w:rsidRDefault="00195E73">
            <w:pPr>
              <w:rPr>
                <w:rFonts w:eastAsia="Times New Roman"/>
              </w:rPr>
            </w:pPr>
            <w:r>
              <w:rPr>
                <w:rFonts w:eastAsia="Times New Roman"/>
                <w:color w:val="000000"/>
                <w:sz w:val="13"/>
                <w:szCs w:val="13"/>
              </w:rPr>
              <w:t>Other, ne</w:t>
            </w:r>
            <w:r>
              <w:rPr>
                <w:rFonts w:eastAsia="Times New Roman"/>
                <w:color w:val="000000"/>
                <w:sz w:val="13"/>
                <w:szCs w:val="13"/>
              </w:rPr>
              <w:t>t</w:t>
            </w:r>
          </w:p>
        </w:tc>
        <w:tc>
          <w:tcPr>
            <w:tcW w:w="0" w:type="auto"/>
            <w:gridSpan w:val="2"/>
            <w:shd w:val="clear" w:color="auto" w:fill="CCEEFF"/>
            <w:tcMar>
              <w:top w:w="30" w:type="dxa"/>
              <w:left w:w="20" w:type="dxa"/>
              <w:bottom w:w="30" w:type="dxa"/>
              <w:right w:w="0" w:type="dxa"/>
            </w:tcMar>
            <w:vAlign w:val="bottom"/>
            <w:hideMark/>
          </w:tcPr>
          <w:p w14:paraId="34B1F05E" w14:textId="77777777" w:rsidR="00000000" w:rsidRDefault="00195E73">
            <w:pPr>
              <w:jc w:val="right"/>
              <w:rPr>
                <w:rFonts w:eastAsia="Times New Roman"/>
              </w:rPr>
            </w:pPr>
            <w:r>
              <w:rPr>
                <w:rFonts w:eastAsia="Times New Roman"/>
                <w:color w:val="000000"/>
                <w:sz w:val="13"/>
                <w:szCs w:val="13"/>
              </w:rPr>
              <w:t>(7</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295F0C95"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3E72801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A851D6" w14:textId="77777777" w:rsidR="00000000" w:rsidRDefault="00195E73">
            <w:pPr>
              <w:jc w:val="right"/>
              <w:rPr>
                <w:rFonts w:eastAsia="Times New Roman"/>
              </w:rPr>
            </w:pPr>
            <w:r>
              <w:rPr>
                <w:rFonts w:eastAsia="Times New Roman"/>
                <w:color w:val="000000"/>
                <w:sz w:val="13"/>
                <w:szCs w:val="13"/>
              </w:rPr>
              <w:t>15</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59585F06"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2E4252A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6AAD76" w14:textId="77777777" w:rsidR="00000000" w:rsidRDefault="00195E73">
            <w:pPr>
              <w:jc w:val="right"/>
              <w:rPr>
                <w:rFonts w:eastAsia="Times New Roman"/>
              </w:rPr>
            </w:pP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348D4FF3"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2C40ED14" w14:textId="77777777" w:rsidR="00000000" w:rsidRDefault="00195E73">
            <w:pPr>
              <w:rPr>
                <w:rFonts w:eastAsia="Times New Roman"/>
                <w:sz w:val="20"/>
                <w:szCs w:val="20"/>
              </w:rPr>
            </w:pPr>
          </w:p>
        </w:tc>
        <w:tc>
          <w:tcPr>
            <w:tcW w:w="0" w:type="auto"/>
            <w:vAlign w:val="center"/>
            <w:hideMark/>
          </w:tcPr>
          <w:p w14:paraId="51D3DCE6" w14:textId="77777777" w:rsidR="00000000" w:rsidRDefault="00195E73">
            <w:pPr>
              <w:rPr>
                <w:rFonts w:eastAsia="Times New Roman"/>
                <w:sz w:val="20"/>
                <w:szCs w:val="20"/>
              </w:rPr>
            </w:pPr>
          </w:p>
        </w:tc>
        <w:tc>
          <w:tcPr>
            <w:tcW w:w="0" w:type="auto"/>
            <w:vAlign w:val="center"/>
            <w:hideMark/>
          </w:tcPr>
          <w:p w14:paraId="47CE4C14" w14:textId="77777777" w:rsidR="00000000" w:rsidRDefault="00195E73">
            <w:pPr>
              <w:rPr>
                <w:rFonts w:eastAsia="Times New Roman"/>
                <w:sz w:val="20"/>
                <w:szCs w:val="20"/>
              </w:rPr>
            </w:pPr>
          </w:p>
        </w:tc>
        <w:tc>
          <w:tcPr>
            <w:tcW w:w="0" w:type="auto"/>
            <w:vAlign w:val="center"/>
            <w:hideMark/>
          </w:tcPr>
          <w:p w14:paraId="50498404" w14:textId="77777777" w:rsidR="00000000" w:rsidRDefault="00195E73">
            <w:pPr>
              <w:rPr>
                <w:rFonts w:eastAsia="Times New Roman"/>
                <w:sz w:val="20"/>
                <w:szCs w:val="20"/>
              </w:rPr>
            </w:pPr>
          </w:p>
        </w:tc>
        <w:tc>
          <w:tcPr>
            <w:tcW w:w="0" w:type="auto"/>
            <w:vAlign w:val="center"/>
            <w:hideMark/>
          </w:tcPr>
          <w:p w14:paraId="2F5A64BF" w14:textId="77777777" w:rsidR="00000000" w:rsidRDefault="00195E73">
            <w:pPr>
              <w:rPr>
                <w:rFonts w:eastAsia="Times New Roman"/>
                <w:sz w:val="20"/>
                <w:szCs w:val="20"/>
              </w:rPr>
            </w:pPr>
          </w:p>
        </w:tc>
        <w:tc>
          <w:tcPr>
            <w:tcW w:w="0" w:type="auto"/>
            <w:vAlign w:val="center"/>
            <w:hideMark/>
          </w:tcPr>
          <w:p w14:paraId="39D7BE51" w14:textId="77777777" w:rsidR="00000000" w:rsidRDefault="00195E73">
            <w:pPr>
              <w:rPr>
                <w:rFonts w:eastAsia="Times New Roman"/>
                <w:sz w:val="20"/>
                <w:szCs w:val="20"/>
              </w:rPr>
            </w:pPr>
          </w:p>
        </w:tc>
        <w:tc>
          <w:tcPr>
            <w:tcW w:w="0" w:type="auto"/>
            <w:vAlign w:val="center"/>
            <w:hideMark/>
          </w:tcPr>
          <w:p w14:paraId="24ACF57B" w14:textId="77777777" w:rsidR="00000000" w:rsidRDefault="00195E73">
            <w:pPr>
              <w:rPr>
                <w:rFonts w:eastAsia="Times New Roman"/>
                <w:sz w:val="20"/>
                <w:szCs w:val="20"/>
              </w:rPr>
            </w:pPr>
          </w:p>
        </w:tc>
        <w:tc>
          <w:tcPr>
            <w:tcW w:w="0" w:type="auto"/>
            <w:vAlign w:val="center"/>
            <w:hideMark/>
          </w:tcPr>
          <w:p w14:paraId="1A52312C" w14:textId="77777777" w:rsidR="00000000" w:rsidRDefault="00195E73">
            <w:pPr>
              <w:rPr>
                <w:rFonts w:eastAsia="Times New Roman"/>
                <w:sz w:val="20"/>
                <w:szCs w:val="20"/>
              </w:rPr>
            </w:pPr>
          </w:p>
        </w:tc>
        <w:tc>
          <w:tcPr>
            <w:tcW w:w="0" w:type="auto"/>
            <w:vAlign w:val="center"/>
            <w:hideMark/>
          </w:tcPr>
          <w:p w14:paraId="5E353562" w14:textId="77777777" w:rsidR="00000000" w:rsidRDefault="00195E73">
            <w:pPr>
              <w:rPr>
                <w:rFonts w:eastAsia="Times New Roman"/>
                <w:sz w:val="20"/>
                <w:szCs w:val="20"/>
              </w:rPr>
            </w:pPr>
          </w:p>
        </w:tc>
        <w:tc>
          <w:tcPr>
            <w:tcW w:w="0" w:type="auto"/>
            <w:vAlign w:val="center"/>
            <w:hideMark/>
          </w:tcPr>
          <w:p w14:paraId="3A4DC69F" w14:textId="77777777" w:rsidR="00000000" w:rsidRDefault="00195E73">
            <w:pPr>
              <w:rPr>
                <w:rFonts w:eastAsia="Times New Roman"/>
                <w:sz w:val="20"/>
                <w:szCs w:val="20"/>
              </w:rPr>
            </w:pPr>
          </w:p>
        </w:tc>
        <w:tc>
          <w:tcPr>
            <w:tcW w:w="0" w:type="auto"/>
            <w:vAlign w:val="center"/>
            <w:hideMark/>
          </w:tcPr>
          <w:p w14:paraId="54C98951" w14:textId="77777777" w:rsidR="00000000" w:rsidRDefault="00195E73">
            <w:pPr>
              <w:rPr>
                <w:rFonts w:eastAsia="Times New Roman"/>
                <w:sz w:val="20"/>
                <w:szCs w:val="20"/>
              </w:rPr>
            </w:pPr>
          </w:p>
        </w:tc>
        <w:tc>
          <w:tcPr>
            <w:tcW w:w="0" w:type="auto"/>
            <w:vAlign w:val="center"/>
            <w:hideMark/>
          </w:tcPr>
          <w:p w14:paraId="52A5D42C" w14:textId="77777777" w:rsidR="00000000" w:rsidRDefault="00195E73">
            <w:pPr>
              <w:rPr>
                <w:rFonts w:eastAsia="Times New Roman"/>
                <w:sz w:val="20"/>
                <w:szCs w:val="20"/>
              </w:rPr>
            </w:pPr>
          </w:p>
        </w:tc>
      </w:tr>
      <w:tr w:rsidR="00000000" w14:paraId="56646200"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52DF2422" w14:textId="77777777" w:rsidR="00000000" w:rsidRDefault="00195E73">
            <w:pPr>
              <w:rPr>
                <w:rFonts w:eastAsia="Times New Roman"/>
              </w:rPr>
            </w:pPr>
            <w:r>
              <w:rPr>
                <w:rFonts w:eastAsia="Times New Roman"/>
                <w:color w:val="000000"/>
                <w:sz w:val="13"/>
                <w:szCs w:val="13"/>
              </w:rPr>
              <w:t>Net cash provided by financing activities from continuing operation</w:t>
            </w:r>
            <w:r>
              <w:rPr>
                <w:rFonts w:eastAsia="Times New Roman"/>
                <w:color w:val="000000"/>
                <w:sz w:val="13"/>
                <w:szCs w:val="13"/>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7A0763" w14:textId="77777777" w:rsidR="00000000" w:rsidRDefault="00195E73">
            <w:pPr>
              <w:jc w:val="right"/>
              <w:rPr>
                <w:rFonts w:eastAsia="Times New Roman"/>
              </w:rPr>
            </w:pPr>
            <w:r>
              <w:rPr>
                <w:rFonts w:eastAsia="Times New Roman"/>
                <w:color w:val="000000"/>
                <w:sz w:val="13"/>
                <w:szCs w:val="13"/>
              </w:rPr>
              <w:t>566</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57A556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12B349A"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8DA5CC" w14:textId="77777777" w:rsidR="00000000" w:rsidRDefault="00195E73">
            <w:pPr>
              <w:jc w:val="right"/>
              <w:rPr>
                <w:rFonts w:eastAsia="Times New Roman"/>
              </w:rPr>
            </w:pPr>
            <w:r>
              <w:rPr>
                <w:rFonts w:eastAsia="Times New Roman"/>
                <w:color w:val="000000"/>
                <w:sz w:val="13"/>
                <w:szCs w:val="13"/>
              </w:rPr>
              <w:t>6</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21E899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4891E67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440175" w14:textId="77777777" w:rsidR="00000000" w:rsidRDefault="00195E73">
            <w:pPr>
              <w:jc w:val="right"/>
              <w:rPr>
                <w:rFonts w:eastAsia="Times New Roman"/>
              </w:rPr>
            </w:pPr>
            <w:r>
              <w:rPr>
                <w:rFonts w:eastAsia="Times New Roman"/>
                <w:color w:val="000000"/>
                <w:sz w:val="13"/>
                <w:szCs w:val="13"/>
              </w:rPr>
              <w:t>630</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BF8BA3F"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400DED6F" w14:textId="77777777" w:rsidR="00000000" w:rsidRDefault="00195E73">
            <w:pPr>
              <w:rPr>
                <w:rFonts w:eastAsia="Times New Roman"/>
                <w:sz w:val="20"/>
                <w:szCs w:val="20"/>
              </w:rPr>
            </w:pPr>
          </w:p>
        </w:tc>
        <w:tc>
          <w:tcPr>
            <w:tcW w:w="0" w:type="auto"/>
            <w:vAlign w:val="center"/>
            <w:hideMark/>
          </w:tcPr>
          <w:p w14:paraId="715AA08D" w14:textId="77777777" w:rsidR="00000000" w:rsidRDefault="00195E73">
            <w:pPr>
              <w:rPr>
                <w:rFonts w:eastAsia="Times New Roman"/>
                <w:sz w:val="20"/>
                <w:szCs w:val="20"/>
              </w:rPr>
            </w:pPr>
          </w:p>
        </w:tc>
        <w:tc>
          <w:tcPr>
            <w:tcW w:w="0" w:type="auto"/>
            <w:vAlign w:val="center"/>
            <w:hideMark/>
          </w:tcPr>
          <w:p w14:paraId="3CCE2A46" w14:textId="77777777" w:rsidR="00000000" w:rsidRDefault="00195E73">
            <w:pPr>
              <w:rPr>
                <w:rFonts w:eastAsia="Times New Roman"/>
                <w:sz w:val="20"/>
                <w:szCs w:val="20"/>
              </w:rPr>
            </w:pPr>
          </w:p>
        </w:tc>
        <w:tc>
          <w:tcPr>
            <w:tcW w:w="0" w:type="auto"/>
            <w:vAlign w:val="center"/>
            <w:hideMark/>
          </w:tcPr>
          <w:p w14:paraId="4C388C61" w14:textId="77777777" w:rsidR="00000000" w:rsidRDefault="00195E73">
            <w:pPr>
              <w:rPr>
                <w:rFonts w:eastAsia="Times New Roman"/>
                <w:sz w:val="20"/>
                <w:szCs w:val="20"/>
              </w:rPr>
            </w:pPr>
          </w:p>
        </w:tc>
        <w:tc>
          <w:tcPr>
            <w:tcW w:w="0" w:type="auto"/>
            <w:vAlign w:val="center"/>
            <w:hideMark/>
          </w:tcPr>
          <w:p w14:paraId="306E53FC" w14:textId="77777777" w:rsidR="00000000" w:rsidRDefault="00195E73">
            <w:pPr>
              <w:rPr>
                <w:rFonts w:eastAsia="Times New Roman"/>
                <w:sz w:val="20"/>
                <w:szCs w:val="20"/>
              </w:rPr>
            </w:pPr>
          </w:p>
        </w:tc>
        <w:tc>
          <w:tcPr>
            <w:tcW w:w="0" w:type="auto"/>
            <w:vAlign w:val="center"/>
            <w:hideMark/>
          </w:tcPr>
          <w:p w14:paraId="1398AFDC" w14:textId="77777777" w:rsidR="00000000" w:rsidRDefault="00195E73">
            <w:pPr>
              <w:rPr>
                <w:rFonts w:eastAsia="Times New Roman"/>
                <w:sz w:val="20"/>
                <w:szCs w:val="20"/>
              </w:rPr>
            </w:pPr>
          </w:p>
        </w:tc>
        <w:tc>
          <w:tcPr>
            <w:tcW w:w="0" w:type="auto"/>
            <w:vAlign w:val="center"/>
            <w:hideMark/>
          </w:tcPr>
          <w:p w14:paraId="639F3F12" w14:textId="77777777" w:rsidR="00000000" w:rsidRDefault="00195E73">
            <w:pPr>
              <w:rPr>
                <w:rFonts w:eastAsia="Times New Roman"/>
                <w:sz w:val="20"/>
                <w:szCs w:val="20"/>
              </w:rPr>
            </w:pPr>
          </w:p>
        </w:tc>
        <w:tc>
          <w:tcPr>
            <w:tcW w:w="0" w:type="auto"/>
            <w:vAlign w:val="center"/>
            <w:hideMark/>
          </w:tcPr>
          <w:p w14:paraId="6F437F8F" w14:textId="77777777" w:rsidR="00000000" w:rsidRDefault="00195E73">
            <w:pPr>
              <w:rPr>
                <w:rFonts w:eastAsia="Times New Roman"/>
                <w:sz w:val="20"/>
                <w:szCs w:val="20"/>
              </w:rPr>
            </w:pPr>
          </w:p>
        </w:tc>
        <w:tc>
          <w:tcPr>
            <w:tcW w:w="0" w:type="auto"/>
            <w:vAlign w:val="center"/>
            <w:hideMark/>
          </w:tcPr>
          <w:p w14:paraId="0B8191FB" w14:textId="77777777" w:rsidR="00000000" w:rsidRDefault="00195E73">
            <w:pPr>
              <w:rPr>
                <w:rFonts w:eastAsia="Times New Roman"/>
                <w:sz w:val="20"/>
                <w:szCs w:val="20"/>
              </w:rPr>
            </w:pPr>
          </w:p>
        </w:tc>
        <w:tc>
          <w:tcPr>
            <w:tcW w:w="0" w:type="auto"/>
            <w:vAlign w:val="center"/>
            <w:hideMark/>
          </w:tcPr>
          <w:p w14:paraId="04C9F592" w14:textId="77777777" w:rsidR="00000000" w:rsidRDefault="00195E73">
            <w:pPr>
              <w:rPr>
                <w:rFonts w:eastAsia="Times New Roman"/>
                <w:sz w:val="20"/>
                <w:szCs w:val="20"/>
              </w:rPr>
            </w:pPr>
          </w:p>
        </w:tc>
        <w:tc>
          <w:tcPr>
            <w:tcW w:w="0" w:type="auto"/>
            <w:vAlign w:val="center"/>
            <w:hideMark/>
          </w:tcPr>
          <w:p w14:paraId="52DE9C08" w14:textId="77777777" w:rsidR="00000000" w:rsidRDefault="00195E73">
            <w:pPr>
              <w:rPr>
                <w:rFonts w:eastAsia="Times New Roman"/>
                <w:sz w:val="20"/>
                <w:szCs w:val="20"/>
              </w:rPr>
            </w:pPr>
          </w:p>
        </w:tc>
        <w:tc>
          <w:tcPr>
            <w:tcW w:w="0" w:type="auto"/>
            <w:vAlign w:val="center"/>
            <w:hideMark/>
          </w:tcPr>
          <w:p w14:paraId="4114CF60" w14:textId="77777777" w:rsidR="00000000" w:rsidRDefault="00195E73">
            <w:pPr>
              <w:rPr>
                <w:rFonts w:eastAsia="Times New Roman"/>
                <w:sz w:val="20"/>
                <w:szCs w:val="20"/>
              </w:rPr>
            </w:pPr>
          </w:p>
        </w:tc>
      </w:tr>
      <w:tr w:rsidR="00000000" w14:paraId="1450FB4B"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641088D1" w14:textId="77777777" w:rsidR="00000000" w:rsidRDefault="00195E73">
            <w:pPr>
              <w:rPr>
                <w:rFonts w:eastAsia="Times New Roman"/>
              </w:rPr>
            </w:pPr>
            <w:r>
              <w:rPr>
                <w:rFonts w:eastAsia="Times New Roman"/>
                <w:color w:val="000000"/>
                <w:sz w:val="13"/>
                <w:szCs w:val="13"/>
              </w:rPr>
              <w:t>Net cash used in financing activities from discontinued operation</w:t>
            </w:r>
            <w:r>
              <w:rPr>
                <w:rFonts w:eastAsia="Times New Roman"/>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695DAC90" w14:textId="77777777" w:rsidR="00000000" w:rsidRDefault="00195E73">
            <w:pPr>
              <w:jc w:val="right"/>
              <w:rPr>
                <w:rFonts w:eastAsia="Times New Roman"/>
              </w:rPr>
            </w:pPr>
            <w:r>
              <w:rPr>
                <w:rFonts w:eastAsia="Times New Roman"/>
                <w:color w:val="000000"/>
                <w:sz w:val="13"/>
                <w:szCs w:val="13"/>
              </w:rPr>
              <w:t>—</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49B20D11"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4EAC2F9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A9F18B" w14:textId="77777777" w:rsidR="00000000" w:rsidRDefault="00195E73">
            <w:pPr>
              <w:jc w:val="right"/>
              <w:rPr>
                <w:rFonts w:eastAsia="Times New Roman"/>
              </w:rPr>
            </w:pPr>
            <w:r>
              <w:rPr>
                <w:rFonts w:eastAsia="Times New Roman"/>
                <w:color w:val="000000"/>
                <w:sz w:val="13"/>
                <w:szCs w:val="13"/>
              </w:rPr>
              <w:t>(163</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18A444D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70F2337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AE2984" w14:textId="77777777" w:rsidR="00000000" w:rsidRDefault="00195E73">
            <w:pPr>
              <w:jc w:val="right"/>
              <w:rPr>
                <w:rFonts w:eastAsia="Times New Roman"/>
              </w:rPr>
            </w:pPr>
            <w:r>
              <w:rPr>
                <w:rFonts w:eastAsia="Times New Roman"/>
                <w:color w:val="000000"/>
                <w:sz w:val="13"/>
                <w:szCs w:val="13"/>
              </w:rPr>
              <w:t>(261</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327B5E08"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41D331C5" w14:textId="77777777" w:rsidR="00000000" w:rsidRDefault="00195E73">
            <w:pPr>
              <w:rPr>
                <w:rFonts w:eastAsia="Times New Roman"/>
                <w:sz w:val="20"/>
                <w:szCs w:val="20"/>
              </w:rPr>
            </w:pPr>
          </w:p>
        </w:tc>
        <w:tc>
          <w:tcPr>
            <w:tcW w:w="0" w:type="auto"/>
            <w:vAlign w:val="center"/>
            <w:hideMark/>
          </w:tcPr>
          <w:p w14:paraId="5E293CBD" w14:textId="77777777" w:rsidR="00000000" w:rsidRDefault="00195E73">
            <w:pPr>
              <w:rPr>
                <w:rFonts w:eastAsia="Times New Roman"/>
                <w:sz w:val="20"/>
                <w:szCs w:val="20"/>
              </w:rPr>
            </w:pPr>
          </w:p>
        </w:tc>
        <w:tc>
          <w:tcPr>
            <w:tcW w:w="0" w:type="auto"/>
            <w:vAlign w:val="center"/>
            <w:hideMark/>
          </w:tcPr>
          <w:p w14:paraId="6F0C0742" w14:textId="77777777" w:rsidR="00000000" w:rsidRDefault="00195E73">
            <w:pPr>
              <w:rPr>
                <w:rFonts w:eastAsia="Times New Roman"/>
                <w:sz w:val="20"/>
                <w:szCs w:val="20"/>
              </w:rPr>
            </w:pPr>
          </w:p>
        </w:tc>
        <w:tc>
          <w:tcPr>
            <w:tcW w:w="0" w:type="auto"/>
            <w:vAlign w:val="center"/>
            <w:hideMark/>
          </w:tcPr>
          <w:p w14:paraId="3B7F5EB2" w14:textId="77777777" w:rsidR="00000000" w:rsidRDefault="00195E73">
            <w:pPr>
              <w:rPr>
                <w:rFonts w:eastAsia="Times New Roman"/>
                <w:sz w:val="20"/>
                <w:szCs w:val="20"/>
              </w:rPr>
            </w:pPr>
          </w:p>
        </w:tc>
        <w:tc>
          <w:tcPr>
            <w:tcW w:w="0" w:type="auto"/>
            <w:vAlign w:val="center"/>
            <w:hideMark/>
          </w:tcPr>
          <w:p w14:paraId="2060A5E9" w14:textId="77777777" w:rsidR="00000000" w:rsidRDefault="00195E73">
            <w:pPr>
              <w:rPr>
                <w:rFonts w:eastAsia="Times New Roman"/>
                <w:sz w:val="20"/>
                <w:szCs w:val="20"/>
              </w:rPr>
            </w:pPr>
          </w:p>
        </w:tc>
        <w:tc>
          <w:tcPr>
            <w:tcW w:w="0" w:type="auto"/>
            <w:vAlign w:val="center"/>
            <w:hideMark/>
          </w:tcPr>
          <w:p w14:paraId="36C9ADEB" w14:textId="77777777" w:rsidR="00000000" w:rsidRDefault="00195E73">
            <w:pPr>
              <w:rPr>
                <w:rFonts w:eastAsia="Times New Roman"/>
                <w:sz w:val="20"/>
                <w:szCs w:val="20"/>
              </w:rPr>
            </w:pPr>
          </w:p>
        </w:tc>
        <w:tc>
          <w:tcPr>
            <w:tcW w:w="0" w:type="auto"/>
            <w:vAlign w:val="center"/>
            <w:hideMark/>
          </w:tcPr>
          <w:p w14:paraId="7221D4C7" w14:textId="77777777" w:rsidR="00000000" w:rsidRDefault="00195E73">
            <w:pPr>
              <w:rPr>
                <w:rFonts w:eastAsia="Times New Roman"/>
                <w:sz w:val="20"/>
                <w:szCs w:val="20"/>
              </w:rPr>
            </w:pPr>
          </w:p>
        </w:tc>
        <w:tc>
          <w:tcPr>
            <w:tcW w:w="0" w:type="auto"/>
            <w:vAlign w:val="center"/>
            <w:hideMark/>
          </w:tcPr>
          <w:p w14:paraId="16ECD047" w14:textId="77777777" w:rsidR="00000000" w:rsidRDefault="00195E73">
            <w:pPr>
              <w:rPr>
                <w:rFonts w:eastAsia="Times New Roman"/>
                <w:sz w:val="20"/>
                <w:szCs w:val="20"/>
              </w:rPr>
            </w:pPr>
          </w:p>
        </w:tc>
        <w:tc>
          <w:tcPr>
            <w:tcW w:w="0" w:type="auto"/>
            <w:vAlign w:val="center"/>
            <w:hideMark/>
          </w:tcPr>
          <w:p w14:paraId="15FF028C" w14:textId="77777777" w:rsidR="00000000" w:rsidRDefault="00195E73">
            <w:pPr>
              <w:rPr>
                <w:rFonts w:eastAsia="Times New Roman"/>
                <w:sz w:val="20"/>
                <w:szCs w:val="20"/>
              </w:rPr>
            </w:pPr>
          </w:p>
        </w:tc>
        <w:tc>
          <w:tcPr>
            <w:tcW w:w="0" w:type="auto"/>
            <w:vAlign w:val="center"/>
            <w:hideMark/>
          </w:tcPr>
          <w:p w14:paraId="731164A9" w14:textId="77777777" w:rsidR="00000000" w:rsidRDefault="00195E73">
            <w:pPr>
              <w:rPr>
                <w:rFonts w:eastAsia="Times New Roman"/>
                <w:sz w:val="20"/>
                <w:szCs w:val="20"/>
              </w:rPr>
            </w:pPr>
          </w:p>
        </w:tc>
        <w:tc>
          <w:tcPr>
            <w:tcW w:w="0" w:type="auto"/>
            <w:vAlign w:val="center"/>
            <w:hideMark/>
          </w:tcPr>
          <w:p w14:paraId="7D4FA33F" w14:textId="77777777" w:rsidR="00000000" w:rsidRDefault="00195E73">
            <w:pPr>
              <w:rPr>
                <w:rFonts w:eastAsia="Times New Roman"/>
                <w:sz w:val="20"/>
                <w:szCs w:val="20"/>
              </w:rPr>
            </w:pPr>
          </w:p>
        </w:tc>
        <w:tc>
          <w:tcPr>
            <w:tcW w:w="0" w:type="auto"/>
            <w:vAlign w:val="center"/>
            <w:hideMark/>
          </w:tcPr>
          <w:p w14:paraId="7336B1D4" w14:textId="77777777" w:rsidR="00000000" w:rsidRDefault="00195E73">
            <w:pPr>
              <w:rPr>
                <w:rFonts w:eastAsia="Times New Roman"/>
                <w:sz w:val="20"/>
                <w:szCs w:val="20"/>
              </w:rPr>
            </w:pPr>
          </w:p>
        </w:tc>
      </w:tr>
      <w:tr w:rsidR="00000000" w14:paraId="2D1A49BE"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01C527AB" w14:textId="77777777" w:rsidR="00000000" w:rsidRDefault="00195E73">
            <w:pPr>
              <w:rPr>
                <w:rFonts w:eastAsia="Times New Roman"/>
              </w:rPr>
            </w:pPr>
            <w:r>
              <w:rPr>
                <w:rFonts w:eastAsia="Times New Roman"/>
                <w:b/>
                <w:bCs/>
                <w:color w:val="000000"/>
                <w:sz w:val="13"/>
                <w:szCs w:val="13"/>
              </w:rPr>
              <w:t>Net cash provided by (used in) financing activitie</w:t>
            </w:r>
            <w:r>
              <w:rPr>
                <w:rFonts w:eastAsia="Times New Roman"/>
                <w:b/>
                <w:bCs/>
                <w:color w:val="000000"/>
                <w:sz w:val="13"/>
                <w:szCs w:val="13"/>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8F802D" w14:textId="77777777" w:rsidR="00000000" w:rsidRDefault="00195E73">
            <w:pPr>
              <w:jc w:val="right"/>
              <w:rPr>
                <w:rFonts w:eastAsia="Times New Roman"/>
              </w:rPr>
            </w:pPr>
            <w:r>
              <w:rPr>
                <w:rFonts w:eastAsia="Times New Roman"/>
                <w:color w:val="000000"/>
                <w:sz w:val="13"/>
                <w:szCs w:val="13"/>
              </w:rPr>
              <w:t>566</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334E28B"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EE3AEB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B1ED2B" w14:textId="77777777" w:rsidR="00000000" w:rsidRDefault="00195E73">
            <w:pPr>
              <w:jc w:val="right"/>
              <w:rPr>
                <w:rFonts w:eastAsia="Times New Roman"/>
              </w:rPr>
            </w:pPr>
            <w:r>
              <w:rPr>
                <w:rFonts w:eastAsia="Times New Roman"/>
                <w:color w:val="000000"/>
                <w:sz w:val="13"/>
                <w:szCs w:val="13"/>
              </w:rPr>
              <w:t>(157</w:t>
            </w:r>
            <w:r>
              <w:rPr>
                <w:rFonts w:eastAsia="Times New Roman"/>
                <w:color w:val="000000"/>
                <w:sz w:val="13"/>
                <w:szCs w:val="13"/>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7E46E89"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171731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59BE08" w14:textId="77777777" w:rsidR="00000000" w:rsidRDefault="00195E73">
            <w:pPr>
              <w:jc w:val="right"/>
              <w:rPr>
                <w:rFonts w:eastAsia="Times New Roman"/>
              </w:rPr>
            </w:pPr>
            <w:r>
              <w:rPr>
                <w:rFonts w:eastAsia="Times New Roman"/>
                <w:color w:val="000000"/>
                <w:sz w:val="13"/>
                <w:szCs w:val="13"/>
              </w:rPr>
              <w:t>369</w:t>
            </w:r>
            <w:r>
              <w:rPr>
                <w:rFonts w:eastAsia="Times New Roman"/>
                <w:color w:val="000000"/>
                <w:sz w:val="13"/>
                <w:szCs w:val="13"/>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5DC0FF9"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65D9FD8" w14:textId="77777777" w:rsidR="00000000" w:rsidRDefault="00195E73">
            <w:pPr>
              <w:rPr>
                <w:rFonts w:eastAsia="Times New Roman"/>
                <w:sz w:val="20"/>
                <w:szCs w:val="20"/>
              </w:rPr>
            </w:pPr>
          </w:p>
        </w:tc>
        <w:tc>
          <w:tcPr>
            <w:tcW w:w="0" w:type="auto"/>
            <w:vAlign w:val="center"/>
            <w:hideMark/>
          </w:tcPr>
          <w:p w14:paraId="60C9F9E2" w14:textId="77777777" w:rsidR="00000000" w:rsidRDefault="00195E73">
            <w:pPr>
              <w:rPr>
                <w:rFonts w:eastAsia="Times New Roman"/>
                <w:sz w:val="20"/>
                <w:szCs w:val="20"/>
              </w:rPr>
            </w:pPr>
          </w:p>
        </w:tc>
        <w:tc>
          <w:tcPr>
            <w:tcW w:w="0" w:type="auto"/>
            <w:vAlign w:val="center"/>
            <w:hideMark/>
          </w:tcPr>
          <w:p w14:paraId="3F8439D4" w14:textId="77777777" w:rsidR="00000000" w:rsidRDefault="00195E73">
            <w:pPr>
              <w:rPr>
                <w:rFonts w:eastAsia="Times New Roman"/>
                <w:sz w:val="20"/>
                <w:szCs w:val="20"/>
              </w:rPr>
            </w:pPr>
          </w:p>
        </w:tc>
        <w:tc>
          <w:tcPr>
            <w:tcW w:w="0" w:type="auto"/>
            <w:vAlign w:val="center"/>
            <w:hideMark/>
          </w:tcPr>
          <w:p w14:paraId="4EAB54FA" w14:textId="77777777" w:rsidR="00000000" w:rsidRDefault="00195E73">
            <w:pPr>
              <w:rPr>
                <w:rFonts w:eastAsia="Times New Roman"/>
                <w:sz w:val="20"/>
                <w:szCs w:val="20"/>
              </w:rPr>
            </w:pPr>
          </w:p>
        </w:tc>
        <w:tc>
          <w:tcPr>
            <w:tcW w:w="0" w:type="auto"/>
            <w:vAlign w:val="center"/>
            <w:hideMark/>
          </w:tcPr>
          <w:p w14:paraId="1DE7E84B" w14:textId="77777777" w:rsidR="00000000" w:rsidRDefault="00195E73">
            <w:pPr>
              <w:rPr>
                <w:rFonts w:eastAsia="Times New Roman"/>
                <w:sz w:val="20"/>
                <w:szCs w:val="20"/>
              </w:rPr>
            </w:pPr>
          </w:p>
        </w:tc>
        <w:tc>
          <w:tcPr>
            <w:tcW w:w="0" w:type="auto"/>
            <w:vAlign w:val="center"/>
            <w:hideMark/>
          </w:tcPr>
          <w:p w14:paraId="64C7472E" w14:textId="77777777" w:rsidR="00000000" w:rsidRDefault="00195E73">
            <w:pPr>
              <w:rPr>
                <w:rFonts w:eastAsia="Times New Roman"/>
                <w:sz w:val="20"/>
                <w:szCs w:val="20"/>
              </w:rPr>
            </w:pPr>
          </w:p>
        </w:tc>
        <w:tc>
          <w:tcPr>
            <w:tcW w:w="0" w:type="auto"/>
            <w:vAlign w:val="center"/>
            <w:hideMark/>
          </w:tcPr>
          <w:p w14:paraId="4C02A9EB" w14:textId="77777777" w:rsidR="00000000" w:rsidRDefault="00195E73">
            <w:pPr>
              <w:rPr>
                <w:rFonts w:eastAsia="Times New Roman"/>
                <w:sz w:val="20"/>
                <w:szCs w:val="20"/>
              </w:rPr>
            </w:pPr>
          </w:p>
        </w:tc>
        <w:tc>
          <w:tcPr>
            <w:tcW w:w="0" w:type="auto"/>
            <w:vAlign w:val="center"/>
            <w:hideMark/>
          </w:tcPr>
          <w:p w14:paraId="1D3D8007" w14:textId="77777777" w:rsidR="00000000" w:rsidRDefault="00195E73">
            <w:pPr>
              <w:rPr>
                <w:rFonts w:eastAsia="Times New Roman"/>
                <w:sz w:val="20"/>
                <w:szCs w:val="20"/>
              </w:rPr>
            </w:pPr>
          </w:p>
        </w:tc>
        <w:tc>
          <w:tcPr>
            <w:tcW w:w="0" w:type="auto"/>
            <w:vAlign w:val="center"/>
            <w:hideMark/>
          </w:tcPr>
          <w:p w14:paraId="5B655659" w14:textId="77777777" w:rsidR="00000000" w:rsidRDefault="00195E73">
            <w:pPr>
              <w:rPr>
                <w:rFonts w:eastAsia="Times New Roman"/>
                <w:sz w:val="20"/>
                <w:szCs w:val="20"/>
              </w:rPr>
            </w:pPr>
          </w:p>
        </w:tc>
        <w:tc>
          <w:tcPr>
            <w:tcW w:w="0" w:type="auto"/>
            <w:vAlign w:val="center"/>
            <w:hideMark/>
          </w:tcPr>
          <w:p w14:paraId="59AE6AF3" w14:textId="77777777" w:rsidR="00000000" w:rsidRDefault="00195E73">
            <w:pPr>
              <w:rPr>
                <w:rFonts w:eastAsia="Times New Roman"/>
                <w:sz w:val="20"/>
                <w:szCs w:val="20"/>
              </w:rPr>
            </w:pPr>
          </w:p>
        </w:tc>
        <w:tc>
          <w:tcPr>
            <w:tcW w:w="0" w:type="auto"/>
            <w:vAlign w:val="center"/>
            <w:hideMark/>
          </w:tcPr>
          <w:p w14:paraId="1349C538" w14:textId="77777777" w:rsidR="00000000" w:rsidRDefault="00195E73">
            <w:pPr>
              <w:rPr>
                <w:rFonts w:eastAsia="Times New Roman"/>
                <w:sz w:val="20"/>
                <w:szCs w:val="20"/>
              </w:rPr>
            </w:pPr>
          </w:p>
        </w:tc>
        <w:tc>
          <w:tcPr>
            <w:tcW w:w="0" w:type="auto"/>
            <w:vAlign w:val="center"/>
            <w:hideMark/>
          </w:tcPr>
          <w:p w14:paraId="101FC020" w14:textId="77777777" w:rsidR="00000000" w:rsidRDefault="00195E73">
            <w:pPr>
              <w:rPr>
                <w:rFonts w:eastAsia="Times New Roman"/>
                <w:sz w:val="20"/>
                <w:szCs w:val="20"/>
              </w:rPr>
            </w:pPr>
          </w:p>
        </w:tc>
      </w:tr>
      <w:tr w:rsidR="00000000" w14:paraId="5EF82B86"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648BC7C0" w14:textId="77777777" w:rsidR="00000000" w:rsidRDefault="00195E73">
            <w:pPr>
              <w:ind w:hanging="180"/>
              <w:divId w:val="177282791"/>
              <w:rPr>
                <w:rFonts w:eastAsia="Times New Roman"/>
              </w:rPr>
            </w:pPr>
            <w:r>
              <w:rPr>
                <w:rFonts w:eastAsia="Times New Roman"/>
                <w:color w:val="000000"/>
                <w:sz w:val="13"/>
                <w:szCs w:val="13"/>
              </w:rPr>
              <w:t>Effect of exchange rate changes on cash and cash equivalents and restricted cash and restricted cash equivalent</w:t>
            </w:r>
            <w:r>
              <w:rPr>
                <w:rFonts w:eastAsia="Times New Roman"/>
                <w:color w:val="000000"/>
                <w:sz w:val="13"/>
                <w:szCs w:val="13"/>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7B06C3" w14:textId="77777777" w:rsidR="00000000" w:rsidRDefault="00195E73">
            <w:pPr>
              <w:jc w:val="right"/>
              <w:rPr>
                <w:rFonts w:eastAsia="Times New Roman"/>
              </w:rPr>
            </w:pPr>
            <w:r>
              <w:rPr>
                <w:rFonts w:eastAsia="Times New Roman"/>
                <w:color w:val="000000"/>
                <w:sz w:val="13"/>
                <w:szCs w:val="13"/>
              </w:rPr>
              <w:t>(2</w:t>
            </w:r>
            <w:r>
              <w:rPr>
                <w:rFonts w:eastAsia="Times New Roman"/>
                <w:color w:val="000000"/>
                <w:sz w:val="13"/>
                <w:szCs w:val="13"/>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7BF43E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F9CBF5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6494CB" w14:textId="77777777" w:rsidR="00000000" w:rsidRDefault="00195E73">
            <w:pPr>
              <w:jc w:val="right"/>
              <w:rPr>
                <w:rFonts w:eastAsia="Times New Roman"/>
              </w:rPr>
            </w:pPr>
            <w:r>
              <w:rPr>
                <w:rFonts w:eastAsia="Times New Roman"/>
                <w:color w:val="000000"/>
                <w:sz w:val="13"/>
                <w:szCs w:val="13"/>
              </w:rPr>
              <w:t>(7</w:t>
            </w:r>
            <w:r>
              <w:rPr>
                <w:rFonts w:eastAsia="Times New Roman"/>
                <w:color w:val="000000"/>
                <w:sz w:val="13"/>
                <w:szCs w:val="13"/>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CACE7B8"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00424BA0"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5BDB12" w14:textId="77777777" w:rsidR="00000000" w:rsidRDefault="00195E73">
            <w:pPr>
              <w:jc w:val="right"/>
              <w:rPr>
                <w:rFonts w:eastAsia="Times New Roman"/>
              </w:rPr>
            </w:pPr>
            <w:r>
              <w:rPr>
                <w:rFonts w:eastAsia="Times New Roman"/>
                <w:color w:val="000000"/>
                <w:sz w:val="13"/>
                <w:szCs w:val="13"/>
              </w:rPr>
              <w:t>3</w:t>
            </w:r>
            <w:r>
              <w:rPr>
                <w:rFonts w:eastAsia="Times New Roman"/>
                <w:color w:val="000000"/>
                <w:sz w:val="13"/>
                <w:szCs w:val="13"/>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0EFFFE3"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123847C1" w14:textId="77777777" w:rsidR="00000000" w:rsidRDefault="00195E73">
            <w:pPr>
              <w:rPr>
                <w:rFonts w:eastAsia="Times New Roman"/>
                <w:sz w:val="20"/>
                <w:szCs w:val="20"/>
              </w:rPr>
            </w:pPr>
          </w:p>
        </w:tc>
        <w:tc>
          <w:tcPr>
            <w:tcW w:w="0" w:type="auto"/>
            <w:vAlign w:val="center"/>
            <w:hideMark/>
          </w:tcPr>
          <w:p w14:paraId="1425665A" w14:textId="77777777" w:rsidR="00000000" w:rsidRDefault="00195E73">
            <w:pPr>
              <w:rPr>
                <w:rFonts w:eastAsia="Times New Roman"/>
                <w:sz w:val="20"/>
                <w:szCs w:val="20"/>
              </w:rPr>
            </w:pPr>
          </w:p>
        </w:tc>
        <w:tc>
          <w:tcPr>
            <w:tcW w:w="0" w:type="auto"/>
            <w:vAlign w:val="center"/>
            <w:hideMark/>
          </w:tcPr>
          <w:p w14:paraId="79D43B57" w14:textId="77777777" w:rsidR="00000000" w:rsidRDefault="00195E73">
            <w:pPr>
              <w:rPr>
                <w:rFonts w:eastAsia="Times New Roman"/>
                <w:sz w:val="20"/>
                <w:szCs w:val="20"/>
              </w:rPr>
            </w:pPr>
          </w:p>
        </w:tc>
        <w:tc>
          <w:tcPr>
            <w:tcW w:w="0" w:type="auto"/>
            <w:vAlign w:val="center"/>
            <w:hideMark/>
          </w:tcPr>
          <w:p w14:paraId="5DF56C89" w14:textId="77777777" w:rsidR="00000000" w:rsidRDefault="00195E73">
            <w:pPr>
              <w:rPr>
                <w:rFonts w:eastAsia="Times New Roman"/>
                <w:sz w:val="20"/>
                <w:szCs w:val="20"/>
              </w:rPr>
            </w:pPr>
          </w:p>
        </w:tc>
        <w:tc>
          <w:tcPr>
            <w:tcW w:w="0" w:type="auto"/>
            <w:vAlign w:val="center"/>
            <w:hideMark/>
          </w:tcPr>
          <w:p w14:paraId="2B51BC2E" w14:textId="77777777" w:rsidR="00000000" w:rsidRDefault="00195E73">
            <w:pPr>
              <w:rPr>
                <w:rFonts w:eastAsia="Times New Roman"/>
                <w:sz w:val="20"/>
                <w:szCs w:val="20"/>
              </w:rPr>
            </w:pPr>
          </w:p>
        </w:tc>
        <w:tc>
          <w:tcPr>
            <w:tcW w:w="0" w:type="auto"/>
            <w:vAlign w:val="center"/>
            <w:hideMark/>
          </w:tcPr>
          <w:p w14:paraId="79AD0693" w14:textId="77777777" w:rsidR="00000000" w:rsidRDefault="00195E73">
            <w:pPr>
              <w:rPr>
                <w:rFonts w:eastAsia="Times New Roman"/>
                <w:sz w:val="20"/>
                <w:szCs w:val="20"/>
              </w:rPr>
            </w:pPr>
          </w:p>
        </w:tc>
        <w:tc>
          <w:tcPr>
            <w:tcW w:w="0" w:type="auto"/>
            <w:vAlign w:val="center"/>
            <w:hideMark/>
          </w:tcPr>
          <w:p w14:paraId="7DE23BBF" w14:textId="77777777" w:rsidR="00000000" w:rsidRDefault="00195E73">
            <w:pPr>
              <w:rPr>
                <w:rFonts w:eastAsia="Times New Roman"/>
                <w:sz w:val="20"/>
                <w:szCs w:val="20"/>
              </w:rPr>
            </w:pPr>
          </w:p>
        </w:tc>
        <w:tc>
          <w:tcPr>
            <w:tcW w:w="0" w:type="auto"/>
            <w:vAlign w:val="center"/>
            <w:hideMark/>
          </w:tcPr>
          <w:p w14:paraId="6B1B0273" w14:textId="77777777" w:rsidR="00000000" w:rsidRDefault="00195E73">
            <w:pPr>
              <w:rPr>
                <w:rFonts w:eastAsia="Times New Roman"/>
                <w:sz w:val="20"/>
                <w:szCs w:val="20"/>
              </w:rPr>
            </w:pPr>
          </w:p>
        </w:tc>
        <w:tc>
          <w:tcPr>
            <w:tcW w:w="0" w:type="auto"/>
            <w:vAlign w:val="center"/>
            <w:hideMark/>
          </w:tcPr>
          <w:p w14:paraId="0639DD8F" w14:textId="77777777" w:rsidR="00000000" w:rsidRDefault="00195E73">
            <w:pPr>
              <w:rPr>
                <w:rFonts w:eastAsia="Times New Roman"/>
                <w:sz w:val="20"/>
                <w:szCs w:val="20"/>
              </w:rPr>
            </w:pPr>
          </w:p>
        </w:tc>
        <w:tc>
          <w:tcPr>
            <w:tcW w:w="0" w:type="auto"/>
            <w:vAlign w:val="center"/>
            <w:hideMark/>
          </w:tcPr>
          <w:p w14:paraId="74F55A16" w14:textId="77777777" w:rsidR="00000000" w:rsidRDefault="00195E73">
            <w:pPr>
              <w:rPr>
                <w:rFonts w:eastAsia="Times New Roman"/>
                <w:sz w:val="20"/>
                <w:szCs w:val="20"/>
              </w:rPr>
            </w:pPr>
          </w:p>
        </w:tc>
        <w:tc>
          <w:tcPr>
            <w:tcW w:w="0" w:type="auto"/>
            <w:vAlign w:val="center"/>
            <w:hideMark/>
          </w:tcPr>
          <w:p w14:paraId="038E0577" w14:textId="77777777" w:rsidR="00000000" w:rsidRDefault="00195E73">
            <w:pPr>
              <w:rPr>
                <w:rFonts w:eastAsia="Times New Roman"/>
                <w:sz w:val="20"/>
                <w:szCs w:val="20"/>
              </w:rPr>
            </w:pPr>
          </w:p>
        </w:tc>
        <w:tc>
          <w:tcPr>
            <w:tcW w:w="0" w:type="auto"/>
            <w:vAlign w:val="center"/>
            <w:hideMark/>
          </w:tcPr>
          <w:p w14:paraId="7A74694A" w14:textId="77777777" w:rsidR="00000000" w:rsidRDefault="00195E73">
            <w:pPr>
              <w:rPr>
                <w:rFonts w:eastAsia="Times New Roman"/>
                <w:sz w:val="20"/>
                <w:szCs w:val="20"/>
              </w:rPr>
            </w:pPr>
          </w:p>
        </w:tc>
      </w:tr>
      <w:tr w:rsidR="00000000" w14:paraId="33016DB2"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71AAA664" w14:textId="77777777" w:rsidR="00000000" w:rsidRDefault="00195E73">
            <w:pPr>
              <w:rPr>
                <w:rFonts w:eastAsia="Times New Roman"/>
              </w:rPr>
            </w:pPr>
            <w:r>
              <w:rPr>
                <w:rFonts w:eastAsia="Times New Roman"/>
                <w:color w:val="000000"/>
                <w:sz w:val="13"/>
                <w:szCs w:val="13"/>
              </w:rPr>
              <w:t>Add back change in cash and restricted cash of assets held for sal</w:t>
            </w:r>
            <w:r>
              <w:rPr>
                <w:rFonts w:eastAsia="Times New Roman"/>
                <w:color w:val="000000"/>
                <w:sz w:val="13"/>
                <w:szCs w:val="13"/>
              </w:rPr>
              <w:t>e</w:t>
            </w:r>
          </w:p>
        </w:tc>
        <w:tc>
          <w:tcPr>
            <w:tcW w:w="0" w:type="auto"/>
            <w:gridSpan w:val="2"/>
            <w:shd w:val="clear" w:color="auto" w:fill="FFFFFF"/>
            <w:tcMar>
              <w:top w:w="30" w:type="dxa"/>
              <w:left w:w="20" w:type="dxa"/>
              <w:bottom w:w="30" w:type="dxa"/>
              <w:right w:w="0" w:type="dxa"/>
            </w:tcMar>
            <w:vAlign w:val="bottom"/>
            <w:hideMark/>
          </w:tcPr>
          <w:p w14:paraId="3ABE4E0D" w14:textId="77777777" w:rsidR="00000000" w:rsidRDefault="00195E73">
            <w:pPr>
              <w:jc w:val="right"/>
              <w:rPr>
                <w:rFonts w:eastAsia="Times New Roman"/>
              </w:rPr>
            </w:pPr>
            <w:r>
              <w:rPr>
                <w:rFonts w:eastAsia="Times New Roman"/>
                <w:color w:val="000000"/>
                <w:sz w:val="13"/>
                <w:szCs w:val="13"/>
              </w:rPr>
              <w:t>(83</w:t>
            </w:r>
            <w:r>
              <w:rPr>
                <w:rFonts w:eastAsia="Times New Roman"/>
                <w:color w:val="000000"/>
                <w:sz w:val="13"/>
                <w:szCs w:val="13"/>
              </w:rPr>
              <w:t>)</w:t>
            </w:r>
          </w:p>
        </w:tc>
        <w:tc>
          <w:tcPr>
            <w:tcW w:w="0" w:type="auto"/>
            <w:shd w:val="clear" w:color="auto" w:fill="FFFFFF"/>
            <w:tcMar>
              <w:top w:w="30" w:type="dxa"/>
              <w:left w:w="15" w:type="dxa"/>
              <w:bottom w:w="30" w:type="dxa"/>
              <w:right w:w="20" w:type="dxa"/>
            </w:tcMar>
            <w:vAlign w:val="bottom"/>
            <w:hideMark/>
          </w:tcPr>
          <w:p w14:paraId="31C52F27"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74AEAA4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C67D91" w14:textId="77777777" w:rsidR="00000000" w:rsidRDefault="00195E73">
            <w:pPr>
              <w:jc w:val="right"/>
              <w:rPr>
                <w:rFonts w:eastAsia="Times New Roman"/>
              </w:rPr>
            </w:pPr>
            <w:r>
              <w:rPr>
                <w:rFonts w:eastAsia="Times New Roman"/>
                <w:color w:val="000000"/>
                <w:sz w:val="13"/>
                <w:szCs w:val="13"/>
              </w:rPr>
              <w:t>81</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38CC0A8E"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06BDAC3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83E65D" w14:textId="77777777" w:rsidR="00000000" w:rsidRDefault="00195E73">
            <w:pPr>
              <w:jc w:val="right"/>
              <w:rPr>
                <w:rFonts w:eastAsia="Times New Roman"/>
              </w:rPr>
            </w:pPr>
            <w:r>
              <w:rPr>
                <w:rFonts w:eastAsia="Times New Roman"/>
                <w:color w:val="000000"/>
                <w:sz w:val="13"/>
                <w:szCs w:val="13"/>
              </w:rPr>
              <w:t>321</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20293C5A"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8FD15DF" w14:textId="77777777" w:rsidR="00000000" w:rsidRDefault="00195E73">
            <w:pPr>
              <w:rPr>
                <w:rFonts w:eastAsia="Times New Roman"/>
                <w:sz w:val="20"/>
                <w:szCs w:val="20"/>
              </w:rPr>
            </w:pPr>
          </w:p>
        </w:tc>
        <w:tc>
          <w:tcPr>
            <w:tcW w:w="0" w:type="auto"/>
            <w:vAlign w:val="center"/>
            <w:hideMark/>
          </w:tcPr>
          <w:p w14:paraId="503CE94C" w14:textId="77777777" w:rsidR="00000000" w:rsidRDefault="00195E73">
            <w:pPr>
              <w:rPr>
                <w:rFonts w:eastAsia="Times New Roman"/>
                <w:sz w:val="20"/>
                <w:szCs w:val="20"/>
              </w:rPr>
            </w:pPr>
          </w:p>
        </w:tc>
        <w:tc>
          <w:tcPr>
            <w:tcW w:w="0" w:type="auto"/>
            <w:vAlign w:val="center"/>
            <w:hideMark/>
          </w:tcPr>
          <w:p w14:paraId="4BCEE7EB" w14:textId="77777777" w:rsidR="00000000" w:rsidRDefault="00195E73">
            <w:pPr>
              <w:rPr>
                <w:rFonts w:eastAsia="Times New Roman"/>
                <w:sz w:val="20"/>
                <w:szCs w:val="20"/>
              </w:rPr>
            </w:pPr>
          </w:p>
        </w:tc>
        <w:tc>
          <w:tcPr>
            <w:tcW w:w="0" w:type="auto"/>
            <w:vAlign w:val="center"/>
            <w:hideMark/>
          </w:tcPr>
          <w:p w14:paraId="5BA3FE02" w14:textId="77777777" w:rsidR="00000000" w:rsidRDefault="00195E73">
            <w:pPr>
              <w:rPr>
                <w:rFonts w:eastAsia="Times New Roman"/>
                <w:sz w:val="20"/>
                <w:szCs w:val="20"/>
              </w:rPr>
            </w:pPr>
          </w:p>
        </w:tc>
        <w:tc>
          <w:tcPr>
            <w:tcW w:w="0" w:type="auto"/>
            <w:vAlign w:val="center"/>
            <w:hideMark/>
          </w:tcPr>
          <w:p w14:paraId="3D547230" w14:textId="77777777" w:rsidR="00000000" w:rsidRDefault="00195E73">
            <w:pPr>
              <w:rPr>
                <w:rFonts w:eastAsia="Times New Roman"/>
                <w:sz w:val="20"/>
                <w:szCs w:val="20"/>
              </w:rPr>
            </w:pPr>
          </w:p>
        </w:tc>
        <w:tc>
          <w:tcPr>
            <w:tcW w:w="0" w:type="auto"/>
            <w:vAlign w:val="center"/>
            <w:hideMark/>
          </w:tcPr>
          <w:p w14:paraId="6BAD5EA5" w14:textId="77777777" w:rsidR="00000000" w:rsidRDefault="00195E73">
            <w:pPr>
              <w:rPr>
                <w:rFonts w:eastAsia="Times New Roman"/>
                <w:sz w:val="20"/>
                <w:szCs w:val="20"/>
              </w:rPr>
            </w:pPr>
          </w:p>
        </w:tc>
        <w:tc>
          <w:tcPr>
            <w:tcW w:w="0" w:type="auto"/>
            <w:vAlign w:val="center"/>
            <w:hideMark/>
          </w:tcPr>
          <w:p w14:paraId="7514DD85" w14:textId="77777777" w:rsidR="00000000" w:rsidRDefault="00195E73">
            <w:pPr>
              <w:rPr>
                <w:rFonts w:eastAsia="Times New Roman"/>
                <w:sz w:val="20"/>
                <w:szCs w:val="20"/>
              </w:rPr>
            </w:pPr>
          </w:p>
        </w:tc>
        <w:tc>
          <w:tcPr>
            <w:tcW w:w="0" w:type="auto"/>
            <w:vAlign w:val="center"/>
            <w:hideMark/>
          </w:tcPr>
          <w:p w14:paraId="3C8321A4" w14:textId="77777777" w:rsidR="00000000" w:rsidRDefault="00195E73">
            <w:pPr>
              <w:rPr>
                <w:rFonts w:eastAsia="Times New Roman"/>
                <w:sz w:val="20"/>
                <w:szCs w:val="20"/>
              </w:rPr>
            </w:pPr>
          </w:p>
        </w:tc>
        <w:tc>
          <w:tcPr>
            <w:tcW w:w="0" w:type="auto"/>
            <w:vAlign w:val="center"/>
            <w:hideMark/>
          </w:tcPr>
          <w:p w14:paraId="0DAE60D4" w14:textId="77777777" w:rsidR="00000000" w:rsidRDefault="00195E73">
            <w:pPr>
              <w:rPr>
                <w:rFonts w:eastAsia="Times New Roman"/>
                <w:sz w:val="20"/>
                <w:szCs w:val="20"/>
              </w:rPr>
            </w:pPr>
          </w:p>
        </w:tc>
        <w:tc>
          <w:tcPr>
            <w:tcW w:w="0" w:type="auto"/>
            <w:vAlign w:val="center"/>
            <w:hideMark/>
          </w:tcPr>
          <w:p w14:paraId="75C56D18" w14:textId="77777777" w:rsidR="00000000" w:rsidRDefault="00195E73">
            <w:pPr>
              <w:rPr>
                <w:rFonts w:eastAsia="Times New Roman"/>
                <w:sz w:val="20"/>
                <w:szCs w:val="20"/>
              </w:rPr>
            </w:pPr>
          </w:p>
        </w:tc>
        <w:tc>
          <w:tcPr>
            <w:tcW w:w="0" w:type="auto"/>
            <w:vAlign w:val="center"/>
            <w:hideMark/>
          </w:tcPr>
          <w:p w14:paraId="31F727E2" w14:textId="77777777" w:rsidR="00000000" w:rsidRDefault="00195E73">
            <w:pPr>
              <w:rPr>
                <w:rFonts w:eastAsia="Times New Roman"/>
                <w:sz w:val="20"/>
                <w:szCs w:val="20"/>
              </w:rPr>
            </w:pPr>
          </w:p>
        </w:tc>
        <w:tc>
          <w:tcPr>
            <w:tcW w:w="0" w:type="auto"/>
            <w:vAlign w:val="center"/>
            <w:hideMark/>
          </w:tcPr>
          <w:p w14:paraId="71C1CDCF" w14:textId="77777777" w:rsidR="00000000" w:rsidRDefault="00195E73">
            <w:pPr>
              <w:rPr>
                <w:rFonts w:eastAsia="Times New Roman"/>
                <w:sz w:val="20"/>
                <w:szCs w:val="20"/>
              </w:rPr>
            </w:pPr>
          </w:p>
        </w:tc>
      </w:tr>
      <w:tr w:rsidR="00000000" w14:paraId="05F36E10"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58DA03EE" w14:textId="77777777" w:rsidR="00000000" w:rsidRDefault="00195E73">
            <w:pPr>
              <w:ind w:hanging="180"/>
              <w:divId w:val="368065868"/>
              <w:rPr>
                <w:rFonts w:eastAsia="Times New Roman"/>
              </w:rPr>
            </w:pPr>
            <w:r>
              <w:rPr>
                <w:rFonts w:eastAsia="Times New Roman"/>
                <w:b/>
                <w:bCs/>
                <w:color w:val="000000"/>
                <w:sz w:val="13"/>
                <w:szCs w:val="13"/>
              </w:rPr>
              <w:t>Net (decrease) increase in cash and cash equivalents and restricted cash and restricted cash equivalent</w:t>
            </w:r>
            <w:r>
              <w:rPr>
                <w:rFonts w:eastAsia="Times New Roman"/>
                <w:b/>
                <w:bCs/>
                <w:color w:val="000000"/>
                <w:sz w:val="13"/>
                <w:szCs w:val="13"/>
              </w:rPr>
              <w:t>s</w:t>
            </w:r>
          </w:p>
        </w:tc>
        <w:tc>
          <w:tcPr>
            <w:tcW w:w="0" w:type="auto"/>
            <w:gridSpan w:val="2"/>
            <w:shd w:val="clear" w:color="auto" w:fill="CCEEFF"/>
            <w:tcMar>
              <w:top w:w="30" w:type="dxa"/>
              <w:left w:w="20" w:type="dxa"/>
              <w:bottom w:w="30" w:type="dxa"/>
              <w:right w:w="0" w:type="dxa"/>
            </w:tcMar>
            <w:vAlign w:val="bottom"/>
            <w:hideMark/>
          </w:tcPr>
          <w:p w14:paraId="3ED59921" w14:textId="77777777" w:rsidR="00000000" w:rsidRDefault="00195E73">
            <w:pPr>
              <w:jc w:val="right"/>
              <w:rPr>
                <w:rFonts w:eastAsia="Times New Roman"/>
              </w:rPr>
            </w:pPr>
            <w:r>
              <w:rPr>
                <w:rFonts w:eastAsia="Times New Roman"/>
                <w:color w:val="000000"/>
                <w:sz w:val="13"/>
                <w:szCs w:val="13"/>
              </w:rPr>
              <w:t>(393</w:t>
            </w:r>
            <w:r>
              <w:rPr>
                <w:rFonts w:eastAsia="Times New Roman"/>
                <w:color w:val="000000"/>
                <w:sz w:val="13"/>
                <w:szCs w:val="13"/>
              </w:rPr>
              <w:t>)</w:t>
            </w:r>
          </w:p>
        </w:tc>
        <w:tc>
          <w:tcPr>
            <w:tcW w:w="0" w:type="auto"/>
            <w:shd w:val="clear" w:color="auto" w:fill="CCEEFF"/>
            <w:tcMar>
              <w:top w:w="30" w:type="dxa"/>
              <w:left w:w="15" w:type="dxa"/>
              <w:bottom w:w="30" w:type="dxa"/>
              <w:right w:w="20" w:type="dxa"/>
            </w:tcMar>
            <w:vAlign w:val="bottom"/>
            <w:hideMark/>
          </w:tcPr>
          <w:p w14:paraId="23604E66"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40AC568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7F563A" w14:textId="77777777" w:rsidR="00000000" w:rsidRDefault="00195E73">
            <w:pPr>
              <w:jc w:val="right"/>
              <w:rPr>
                <w:rFonts w:eastAsia="Times New Roman"/>
              </w:rPr>
            </w:pPr>
            <w:r>
              <w:rPr>
                <w:rFonts w:eastAsia="Times New Roman"/>
                <w:color w:val="000000"/>
                <w:sz w:val="13"/>
                <w:szCs w:val="13"/>
              </w:rPr>
              <w:t>3,427</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61BADDC"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CCEEFF"/>
            <w:tcMar>
              <w:top w:w="15" w:type="dxa"/>
              <w:left w:w="20" w:type="dxa"/>
              <w:bottom w:w="15" w:type="dxa"/>
              <w:right w:w="20" w:type="dxa"/>
            </w:tcMar>
            <w:vAlign w:val="bottom"/>
            <w:hideMark/>
          </w:tcPr>
          <w:p w14:paraId="4EE9B30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84FE48" w14:textId="77777777" w:rsidR="00000000" w:rsidRDefault="00195E73">
            <w:pPr>
              <w:jc w:val="right"/>
              <w:rPr>
                <w:rFonts w:eastAsia="Times New Roman"/>
              </w:rPr>
            </w:pPr>
            <w:r>
              <w:rPr>
                <w:rFonts w:eastAsia="Times New Roman"/>
                <w:color w:val="000000"/>
                <w:sz w:val="13"/>
                <w:szCs w:val="13"/>
              </w:rPr>
              <w:t>27</w:t>
            </w:r>
            <w:r>
              <w:rPr>
                <w:rFonts w:eastAsia="Times New Roman"/>
                <w:color w:val="000000"/>
                <w:sz w:val="13"/>
                <w:szCs w:val="13"/>
              </w:rPr>
              <w:t> </w:t>
            </w:r>
          </w:p>
        </w:tc>
        <w:tc>
          <w:tcPr>
            <w:tcW w:w="0" w:type="auto"/>
            <w:shd w:val="clear" w:color="auto" w:fill="CCEEFF"/>
            <w:tcMar>
              <w:top w:w="30" w:type="dxa"/>
              <w:left w:w="15" w:type="dxa"/>
              <w:bottom w:w="30" w:type="dxa"/>
              <w:right w:w="20" w:type="dxa"/>
            </w:tcMar>
            <w:vAlign w:val="bottom"/>
            <w:hideMark/>
          </w:tcPr>
          <w:p w14:paraId="671C16F3"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3BA95FCA" w14:textId="77777777" w:rsidR="00000000" w:rsidRDefault="00195E73">
            <w:pPr>
              <w:rPr>
                <w:rFonts w:eastAsia="Times New Roman"/>
                <w:sz w:val="20"/>
                <w:szCs w:val="20"/>
              </w:rPr>
            </w:pPr>
          </w:p>
        </w:tc>
        <w:tc>
          <w:tcPr>
            <w:tcW w:w="0" w:type="auto"/>
            <w:vAlign w:val="center"/>
            <w:hideMark/>
          </w:tcPr>
          <w:p w14:paraId="6BCC975B" w14:textId="77777777" w:rsidR="00000000" w:rsidRDefault="00195E73">
            <w:pPr>
              <w:rPr>
                <w:rFonts w:eastAsia="Times New Roman"/>
                <w:sz w:val="20"/>
                <w:szCs w:val="20"/>
              </w:rPr>
            </w:pPr>
          </w:p>
        </w:tc>
        <w:tc>
          <w:tcPr>
            <w:tcW w:w="0" w:type="auto"/>
            <w:vAlign w:val="center"/>
            <w:hideMark/>
          </w:tcPr>
          <w:p w14:paraId="22D76922" w14:textId="77777777" w:rsidR="00000000" w:rsidRDefault="00195E73">
            <w:pPr>
              <w:rPr>
                <w:rFonts w:eastAsia="Times New Roman"/>
                <w:sz w:val="20"/>
                <w:szCs w:val="20"/>
              </w:rPr>
            </w:pPr>
          </w:p>
        </w:tc>
        <w:tc>
          <w:tcPr>
            <w:tcW w:w="0" w:type="auto"/>
            <w:vAlign w:val="center"/>
            <w:hideMark/>
          </w:tcPr>
          <w:p w14:paraId="3CE9068F" w14:textId="77777777" w:rsidR="00000000" w:rsidRDefault="00195E73">
            <w:pPr>
              <w:rPr>
                <w:rFonts w:eastAsia="Times New Roman"/>
                <w:sz w:val="20"/>
                <w:szCs w:val="20"/>
              </w:rPr>
            </w:pPr>
          </w:p>
        </w:tc>
        <w:tc>
          <w:tcPr>
            <w:tcW w:w="0" w:type="auto"/>
            <w:vAlign w:val="center"/>
            <w:hideMark/>
          </w:tcPr>
          <w:p w14:paraId="52AD612F" w14:textId="77777777" w:rsidR="00000000" w:rsidRDefault="00195E73">
            <w:pPr>
              <w:rPr>
                <w:rFonts w:eastAsia="Times New Roman"/>
                <w:sz w:val="20"/>
                <w:szCs w:val="20"/>
              </w:rPr>
            </w:pPr>
          </w:p>
        </w:tc>
        <w:tc>
          <w:tcPr>
            <w:tcW w:w="0" w:type="auto"/>
            <w:vAlign w:val="center"/>
            <w:hideMark/>
          </w:tcPr>
          <w:p w14:paraId="60761B9E" w14:textId="77777777" w:rsidR="00000000" w:rsidRDefault="00195E73">
            <w:pPr>
              <w:rPr>
                <w:rFonts w:eastAsia="Times New Roman"/>
                <w:sz w:val="20"/>
                <w:szCs w:val="20"/>
              </w:rPr>
            </w:pPr>
          </w:p>
        </w:tc>
        <w:tc>
          <w:tcPr>
            <w:tcW w:w="0" w:type="auto"/>
            <w:vAlign w:val="center"/>
            <w:hideMark/>
          </w:tcPr>
          <w:p w14:paraId="2E0E6A8B" w14:textId="77777777" w:rsidR="00000000" w:rsidRDefault="00195E73">
            <w:pPr>
              <w:rPr>
                <w:rFonts w:eastAsia="Times New Roman"/>
                <w:sz w:val="20"/>
                <w:szCs w:val="20"/>
              </w:rPr>
            </w:pPr>
          </w:p>
        </w:tc>
        <w:tc>
          <w:tcPr>
            <w:tcW w:w="0" w:type="auto"/>
            <w:vAlign w:val="center"/>
            <w:hideMark/>
          </w:tcPr>
          <w:p w14:paraId="7A1A30C8" w14:textId="77777777" w:rsidR="00000000" w:rsidRDefault="00195E73">
            <w:pPr>
              <w:rPr>
                <w:rFonts w:eastAsia="Times New Roman"/>
                <w:sz w:val="20"/>
                <w:szCs w:val="20"/>
              </w:rPr>
            </w:pPr>
          </w:p>
        </w:tc>
        <w:tc>
          <w:tcPr>
            <w:tcW w:w="0" w:type="auto"/>
            <w:vAlign w:val="center"/>
            <w:hideMark/>
          </w:tcPr>
          <w:p w14:paraId="59CE6423" w14:textId="77777777" w:rsidR="00000000" w:rsidRDefault="00195E73">
            <w:pPr>
              <w:rPr>
                <w:rFonts w:eastAsia="Times New Roman"/>
                <w:sz w:val="20"/>
                <w:szCs w:val="20"/>
              </w:rPr>
            </w:pPr>
          </w:p>
        </w:tc>
        <w:tc>
          <w:tcPr>
            <w:tcW w:w="0" w:type="auto"/>
            <w:vAlign w:val="center"/>
            <w:hideMark/>
          </w:tcPr>
          <w:p w14:paraId="5DE479BD" w14:textId="77777777" w:rsidR="00000000" w:rsidRDefault="00195E73">
            <w:pPr>
              <w:rPr>
                <w:rFonts w:eastAsia="Times New Roman"/>
                <w:sz w:val="20"/>
                <w:szCs w:val="20"/>
              </w:rPr>
            </w:pPr>
          </w:p>
        </w:tc>
        <w:tc>
          <w:tcPr>
            <w:tcW w:w="0" w:type="auto"/>
            <w:vAlign w:val="center"/>
            <w:hideMark/>
          </w:tcPr>
          <w:p w14:paraId="211F3E80" w14:textId="77777777" w:rsidR="00000000" w:rsidRDefault="00195E73">
            <w:pPr>
              <w:rPr>
                <w:rFonts w:eastAsia="Times New Roman"/>
                <w:sz w:val="20"/>
                <w:szCs w:val="20"/>
              </w:rPr>
            </w:pPr>
          </w:p>
        </w:tc>
        <w:tc>
          <w:tcPr>
            <w:tcW w:w="0" w:type="auto"/>
            <w:vAlign w:val="center"/>
            <w:hideMark/>
          </w:tcPr>
          <w:p w14:paraId="46AD6B1F" w14:textId="77777777" w:rsidR="00000000" w:rsidRDefault="00195E73">
            <w:pPr>
              <w:rPr>
                <w:rFonts w:eastAsia="Times New Roman"/>
                <w:sz w:val="20"/>
                <w:szCs w:val="20"/>
              </w:rPr>
            </w:pPr>
          </w:p>
        </w:tc>
      </w:tr>
      <w:tr w:rsidR="00000000" w14:paraId="15754923" w14:textId="77777777">
        <w:trPr>
          <w:divId w:val="963343899"/>
          <w:jc w:val="center"/>
        </w:trPr>
        <w:tc>
          <w:tcPr>
            <w:tcW w:w="0" w:type="auto"/>
            <w:gridSpan w:val="3"/>
            <w:shd w:val="clear" w:color="auto" w:fill="FFFFFF"/>
            <w:tcMar>
              <w:top w:w="30" w:type="dxa"/>
              <w:left w:w="20" w:type="dxa"/>
              <w:bottom w:w="30" w:type="dxa"/>
              <w:right w:w="20" w:type="dxa"/>
            </w:tcMar>
            <w:vAlign w:val="bottom"/>
            <w:hideMark/>
          </w:tcPr>
          <w:p w14:paraId="66D22192" w14:textId="77777777" w:rsidR="00000000" w:rsidRDefault="00195E73">
            <w:pPr>
              <w:rPr>
                <w:rFonts w:eastAsia="Times New Roman"/>
              </w:rPr>
            </w:pPr>
            <w:r>
              <w:rPr>
                <w:rFonts w:eastAsia="Times New Roman"/>
                <w:color w:val="000000"/>
                <w:sz w:val="13"/>
                <w:szCs w:val="13"/>
              </w:rPr>
              <w:t>Cash and cash equivalents and restricted cash and restricted cash equivalents, beginning of perio</w:t>
            </w:r>
            <w:r>
              <w:rPr>
                <w:rFonts w:eastAsia="Times New Roman"/>
                <w:color w:val="000000"/>
                <w:sz w:val="13"/>
                <w:szCs w:val="13"/>
              </w:rPr>
              <w:t>d</w:t>
            </w:r>
          </w:p>
        </w:tc>
        <w:tc>
          <w:tcPr>
            <w:tcW w:w="0" w:type="auto"/>
            <w:gridSpan w:val="2"/>
            <w:shd w:val="clear" w:color="auto" w:fill="FFFFFF"/>
            <w:tcMar>
              <w:top w:w="30" w:type="dxa"/>
              <w:left w:w="20" w:type="dxa"/>
              <w:bottom w:w="30" w:type="dxa"/>
              <w:right w:w="0" w:type="dxa"/>
            </w:tcMar>
            <w:vAlign w:val="bottom"/>
            <w:hideMark/>
          </w:tcPr>
          <w:p w14:paraId="265EBC00" w14:textId="77777777" w:rsidR="00000000" w:rsidRDefault="00195E73">
            <w:pPr>
              <w:jc w:val="right"/>
              <w:rPr>
                <w:rFonts w:eastAsia="Times New Roman"/>
              </w:rPr>
            </w:pPr>
            <w:r>
              <w:rPr>
                <w:rFonts w:eastAsia="Times New Roman"/>
                <w:color w:val="000000"/>
                <w:sz w:val="13"/>
                <w:szCs w:val="13"/>
              </w:rPr>
              <w:t>5,338</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1B5F1D4D"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2AF3C98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86D625" w14:textId="77777777" w:rsidR="00000000" w:rsidRDefault="00195E73">
            <w:pPr>
              <w:jc w:val="right"/>
              <w:rPr>
                <w:rFonts w:eastAsia="Times New Roman"/>
              </w:rPr>
            </w:pPr>
            <w:r>
              <w:rPr>
                <w:rFonts w:eastAsia="Times New Roman"/>
                <w:color w:val="000000"/>
                <w:sz w:val="13"/>
                <w:szCs w:val="13"/>
              </w:rPr>
              <w:t>1,911</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00D239B0" w14:textId="77777777" w:rsidR="00000000" w:rsidRDefault="00195E73">
            <w:pPr>
              <w:jc w:val="right"/>
              <w:rPr>
                <w:rFonts w:eastAsia="Times New Roman"/>
              </w:rPr>
            </w:pPr>
            <w:r>
              <w:rPr>
                <w:rFonts w:eastAsia="Times New Roman"/>
                <w:color w:val="000000"/>
                <w:sz w:val="13"/>
                <w:szCs w:val="13"/>
              </w:rPr>
              <w:t> </w:t>
            </w:r>
          </w:p>
        </w:tc>
        <w:tc>
          <w:tcPr>
            <w:tcW w:w="0" w:type="auto"/>
            <w:gridSpan w:val="3"/>
            <w:shd w:val="clear" w:color="auto" w:fill="FFFFFF"/>
            <w:tcMar>
              <w:top w:w="15" w:type="dxa"/>
              <w:left w:w="20" w:type="dxa"/>
              <w:bottom w:w="15" w:type="dxa"/>
              <w:right w:w="20" w:type="dxa"/>
            </w:tcMar>
            <w:vAlign w:val="bottom"/>
            <w:hideMark/>
          </w:tcPr>
          <w:p w14:paraId="1BFBCC2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D415B7" w14:textId="77777777" w:rsidR="00000000" w:rsidRDefault="00195E73">
            <w:pPr>
              <w:jc w:val="right"/>
              <w:rPr>
                <w:rFonts w:eastAsia="Times New Roman"/>
              </w:rPr>
            </w:pPr>
            <w:r>
              <w:rPr>
                <w:rFonts w:eastAsia="Times New Roman"/>
                <w:color w:val="000000"/>
                <w:sz w:val="13"/>
                <w:szCs w:val="13"/>
              </w:rPr>
              <w:t>1,884</w:t>
            </w:r>
            <w:r>
              <w:rPr>
                <w:rFonts w:eastAsia="Times New Roman"/>
                <w:color w:val="000000"/>
                <w:sz w:val="13"/>
                <w:szCs w:val="13"/>
              </w:rPr>
              <w:t> </w:t>
            </w:r>
          </w:p>
        </w:tc>
        <w:tc>
          <w:tcPr>
            <w:tcW w:w="0" w:type="auto"/>
            <w:shd w:val="clear" w:color="auto" w:fill="FFFFFF"/>
            <w:tcMar>
              <w:top w:w="30" w:type="dxa"/>
              <w:left w:w="15" w:type="dxa"/>
              <w:bottom w:w="30" w:type="dxa"/>
              <w:right w:w="20" w:type="dxa"/>
            </w:tcMar>
            <w:vAlign w:val="bottom"/>
            <w:hideMark/>
          </w:tcPr>
          <w:p w14:paraId="5451E422"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64A9DBF5" w14:textId="77777777" w:rsidR="00000000" w:rsidRDefault="00195E73">
            <w:pPr>
              <w:rPr>
                <w:rFonts w:eastAsia="Times New Roman"/>
                <w:sz w:val="20"/>
                <w:szCs w:val="20"/>
              </w:rPr>
            </w:pPr>
          </w:p>
        </w:tc>
        <w:tc>
          <w:tcPr>
            <w:tcW w:w="0" w:type="auto"/>
            <w:vAlign w:val="center"/>
            <w:hideMark/>
          </w:tcPr>
          <w:p w14:paraId="636821DD" w14:textId="77777777" w:rsidR="00000000" w:rsidRDefault="00195E73">
            <w:pPr>
              <w:rPr>
                <w:rFonts w:eastAsia="Times New Roman"/>
                <w:sz w:val="20"/>
                <w:szCs w:val="20"/>
              </w:rPr>
            </w:pPr>
          </w:p>
        </w:tc>
        <w:tc>
          <w:tcPr>
            <w:tcW w:w="0" w:type="auto"/>
            <w:vAlign w:val="center"/>
            <w:hideMark/>
          </w:tcPr>
          <w:p w14:paraId="2CE80FA6" w14:textId="77777777" w:rsidR="00000000" w:rsidRDefault="00195E73">
            <w:pPr>
              <w:rPr>
                <w:rFonts w:eastAsia="Times New Roman"/>
                <w:sz w:val="20"/>
                <w:szCs w:val="20"/>
              </w:rPr>
            </w:pPr>
          </w:p>
        </w:tc>
        <w:tc>
          <w:tcPr>
            <w:tcW w:w="0" w:type="auto"/>
            <w:vAlign w:val="center"/>
            <w:hideMark/>
          </w:tcPr>
          <w:p w14:paraId="5DAD3084" w14:textId="77777777" w:rsidR="00000000" w:rsidRDefault="00195E73">
            <w:pPr>
              <w:rPr>
                <w:rFonts w:eastAsia="Times New Roman"/>
                <w:sz w:val="20"/>
                <w:szCs w:val="20"/>
              </w:rPr>
            </w:pPr>
          </w:p>
        </w:tc>
        <w:tc>
          <w:tcPr>
            <w:tcW w:w="0" w:type="auto"/>
            <w:vAlign w:val="center"/>
            <w:hideMark/>
          </w:tcPr>
          <w:p w14:paraId="582B104B" w14:textId="77777777" w:rsidR="00000000" w:rsidRDefault="00195E73">
            <w:pPr>
              <w:rPr>
                <w:rFonts w:eastAsia="Times New Roman"/>
                <w:sz w:val="20"/>
                <w:szCs w:val="20"/>
              </w:rPr>
            </w:pPr>
          </w:p>
        </w:tc>
        <w:tc>
          <w:tcPr>
            <w:tcW w:w="0" w:type="auto"/>
            <w:vAlign w:val="center"/>
            <w:hideMark/>
          </w:tcPr>
          <w:p w14:paraId="071CED02" w14:textId="77777777" w:rsidR="00000000" w:rsidRDefault="00195E73">
            <w:pPr>
              <w:rPr>
                <w:rFonts w:eastAsia="Times New Roman"/>
                <w:sz w:val="20"/>
                <w:szCs w:val="20"/>
              </w:rPr>
            </w:pPr>
          </w:p>
        </w:tc>
        <w:tc>
          <w:tcPr>
            <w:tcW w:w="0" w:type="auto"/>
            <w:vAlign w:val="center"/>
            <w:hideMark/>
          </w:tcPr>
          <w:p w14:paraId="7BBD1E72" w14:textId="77777777" w:rsidR="00000000" w:rsidRDefault="00195E73">
            <w:pPr>
              <w:rPr>
                <w:rFonts w:eastAsia="Times New Roman"/>
                <w:sz w:val="20"/>
                <w:szCs w:val="20"/>
              </w:rPr>
            </w:pPr>
          </w:p>
        </w:tc>
        <w:tc>
          <w:tcPr>
            <w:tcW w:w="0" w:type="auto"/>
            <w:vAlign w:val="center"/>
            <w:hideMark/>
          </w:tcPr>
          <w:p w14:paraId="2145E883" w14:textId="77777777" w:rsidR="00000000" w:rsidRDefault="00195E73">
            <w:pPr>
              <w:rPr>
                <w:rFonts w:eastAsia="Times New Roman"/>
                <w:sz w:val="20"/>
                <w:szCs w:val="20"/>
              </w:rPr>
            </w:pPr>
          </w:p>
        </w:tc>
        <w:tc>
          <w:tcPr>
            <w:tcW w:w="0" w:type="auto"/>
            <w:vAlign w:val="center"/>
            <w:hideMark/>
          </w:tcPr>
          <w:p w14:paraId="11F5AF0D" w14:textId="77777777" w:rsidR="00000000" w:rsidRDefault="00195E73">
            <w:pPr>
              <w:rPr>
                <w:rFonts w:eastAsia="Times New Roman"/>
                <w:sz w:val="20"/>
                <w:szCs w:val="20"/>
              </w:rPr>
            </w:pPr>
          </w:p>
        </w:tc>
        <w:tc>
          <w:tcPr>
            <w:tcW w:w="0" w:type="auto"/>
            <w:vAlign w:val="center"/>
            <w:hideMark/>
          </w:tcPr>
          <w:p w14:paraId="194947D0" w14:textId="77777777" w:rsidR="00000000" w:rsidRDefault="00195E73">
            <w:pPr>
              <w:rPr>
                <w:rFonts w:eastAsia="Times New Roman"/>
                <w:sz w:val="20"/>
                <w:szCs w:val="20"/>
              </w:rPr>
            </w:pPr>
          </w:p>
        </w:tc>
        <w:tc>
          <w:tcPr>
            <w:tcW w:w="0" w:type="auto"/>
            <w:vAlign w:val="center"/>
            <w:hideMark/>
          </w:tcPr>
          <w:p w14:paraId="2B54B1FB" w14:textId="77777777" w:rsidR="00000000" w:rsidRDefault="00195E73">
            <w:pPr>
              <w:rPr>
                <w:rFonts w:eastAsia="Times New Roman"/>
                <w:sz w:val="20"/>
                <w:szCs w:val="20"/>
              </w:rPr>
            </w:pPr>
          </w:p>
        </w:tc>
        <w:tc>
          <w:tcPr>
            <w:tcW w:w="0" w:type="auto"/>
            <w:vAlign w:val="center"/>
            <w:hideMark/>
          </w:tcPr>
          <w:p w14:paraId="6B3CC598" w14:textId="77777777" w:rsidR="00000000" w:rsidRDefault="00195E73">
            <w:pPr>
              <w:rPr>
                <w:rFonts w:eastAsia="Times New Roman"/>
                <w:sz w:val="20"/>
                <w:szCs w:val="20"/>
              </w:rPr>
            </w:pPr>
          </w:p>
        </w:tc>
      </w:tr>
      <w:tr w:rsidR="00000000" w14:paraId="5D944E5F" w14:textId="77777777">
        <w:trPr>
          <w:divId w:val="963343899"/>
          <w:jc w:val="center"/>
        </w:trPr>
        <w:tc>
          <w:tcPr>
            <w:tcW w:w="0" w:type="auto"/>
            <w:gridSpan w:val="3"/>
            <w:shd w:val="clear" w:color="auto" w:fill="CCEEFF"/>
            <w:tcMar>
              <w:top w:w="30" w:type="dxa"/>
              <w:left w:w="20" w:type="dxa"/>
              <w:bottom w:w="30" w:type="dxa"/>
              <w:right w:w="20" w:type="dxa"/>
            </w:tcMar>
            <w:vAlign w:val="bottom"/>
            <w:hideMark/>
          </w:tcPr>
          <w:p w14:paraId="4F83935D" w14:textId="77777777" w:rsidR="00000000" w:rsidRDefault="00195E73">
            <w:pPr>
              <w:rPr>
                <w:rFonts w:eastAsia="Times New Roman"/>
              </w:rPr>
            </w:pPr>
            <w:r>
              <w:rPr>
                <w:rFonts w:eastAsia="Times New Roman"/>
                <w:color w:val="000000"/>
                <w:sz w:val="13"/>
                <w:szCs w:val="13"/>
              </w:rPr>
              <w:t>Cash and cash equivalents and restricted cash and restricted cash equivalents, end of perio</w:t>
            </w:r>
            <w:r>
              <w:rPr>
                <w:rFonts w:eastAsia="Times New Roman"/>
                <w:color w:val="000000"/>
                <w:sz w:val="13"/>
                <w:szCs w:val="13"/>
              </w:rPr>
              <w:t>d</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5B933DA" w14:textId="77777777" w:rsidR="00000000" w:rsidRDefault="00195E73">
            <w:pPr>
              <w:rPr>
                <w:rFonts w:eastAsia="Times New Roman"/>
              </w:rPr>
            </w:pPr>
            <w:r>
              <w:rPr>
                <w:rFonts w:eastAsia="Times New Roman"/>
                <w:color w:val="000000"/>
                <w:sz w:val="13"/>
                <w:szCs w:val="13"/>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D06D63D" w14:textId="77777777" w:rsidR="00000000" w:rsidRDefault="00195E73">
            <w:pPr>
              <w:jc w:val="right"/>
              <w:rPr>
                <w:rFonts w:eastAsia="Times New Roman"/>
              </w:rPr>
            </w:pPr>
            <w:r>
              <w:rPr>
                <w:rFonts w:eastAsia="Times New Roman"/>
                <w:color w:val="000000"/>
                <w:sz w:val="13"/>
                <w:szCs w:val="13"/>
              </w:rPr>
              <w:t>4,945</w:t>
            </w:r>
            <w:r>
              <w:rPr>
                <w:rFonts w:eastAsia="Times New Roman"/>
                <w:color w:val="000000"/>
                <w:sz w:val="13"/>
                <w:szCs w:val="13"/>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A55A3CB" w14:textId="77777777" w:rsidR="00000000" w:rsidRDefault="00195E73">
            <w:pPr>
              <w:jc w:val="right"/>
              <w:rPr>
                <w:rFonts w:eastAsia="Times New Roman"/>
              </w:rPr>
            </w:pPr>
            <w:r>
              <w:rPr>
                <w:rFonts w:eastAsia="Times New Roman"/>
                <w:color w:val="000000"/>
                <w:sz w:val="13"/>
                <w:szCs w:val="13"/>
              </w:rPr>
              <w:t> </w:t>
            </w:r>
          </w:p>
        </w:tc>
        <w:tc>
          <w:tcPr>
            <w:tcW w:w="0" w:type="auto"/>
            <w:gridSpan w:val="2"/>
            <w:shd w:val="clear" w:color="auto" w:fill="CCEEFF"/>
            <w:tcMar>
              <w:top w:w="15" w:type="dxa"/>
              <w:left w:w="20" w:type="dxa"/>
              <w:bottom w:w="15" w:type="dxa"/>
              <w:right w:w="0" w:type="dxa"/>
            </w:tcMar>
            <w:vAlign w:val="bottom"/>
            <w:hideMark/>
          </w:tcPr>
          <w:p w14:paraId="4279A772"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50198E44"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F7395F9" w14:textId="77777777" w:rsidR="00000000" w:rsidRDefault="00195E73">
            <w:pPr>
              <w:rPr>
                <w:rFonts w:eastAsia="Times New Roman"/>
              </w:rPr>
            </w:pPr>
            <w:r>
              <w:rPr>
                <w:rFonts w:eastAsia="Times New Roman"/>
                <w:color w:val="000000"/>
                <w:sz w:val="13"/>
                <w:szCs w:val="13"/>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04D7868" w14:textId="77777777" w:rsidR="00000000" w:rsidRDefault="00195E73">
            <w:pPr>
              <w:jc w:val="right"/>
              <w:rPr>
                <w:rFonts w:eastAsia="Times New Roman"/>
              </w:rPr>
            </w:pPr>
            <w:r>
              <w:rPr>
                <w:rFonts w:eastAsia="Times New Roman"/>
                <w:color w:val="000000"/>
                <w:sz w:val="13"/>
                <w:szCs w:val="13"/>
              </w:rPr>
              <w:t>5,338</w:t>
            </w:r>
            <w:r>
              <w:rPr>
                <w:rFonts w:eastAsia="Times New Roman"/>
                <w:color w:val="000000"/>
                <w:sz w:val="13"/>
                <w:szCs w:val="13"/>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710E681" w14:textId="77777777" w:rsidR="00000000" w:rsidRDefault="00195E73">
            <w:pPr>
              <w:jc w:val="right"/>
              <w:rPr>
                <w:rFonts w:eastAsia="Times New Roman"/>
              </w:rPr>
            </w:pPr>
            <w:r>
              <w:rPr>
                <w:rFonts w:eastAsia="Times New Roman"/>
                <w:color w:val="000000"/>
                <w:sz w:val="13"/>
                <w:szCs w:val="13"/>
              </w:rPr>
              <w:t> </w:t>
            </w:r>
          </w:p>
        </w:tc>
        <w:tc>
          <w:tcPr>
            <w:tcW w:w="0" w:type="auto"/>
            <w:gridSpan w:val="2"/>
            <w:shd w:val="clear" w:color="auto" w:fill="CCEEFF"/>
            <w:tcMar>
              <w:top w:w="15" w:type="dxa"/>
              <w:left w:w="20" w:type="dxa"/>
              <w:bottom w:w="15" w:type="dxa"/>
              <w:right w:w="0" w:type="dxa"/>
            </w:tcMar>
            <w:vAlign w:val="bottom"/>
            <w:hideMark/>
          </w:tcPr>
          <w:p w14:paraId="2E67A999"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59E2180A" w14:textId="77777777" w:rsidR="00000000" w:rsidRDefault="00195E7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1C12015" w14:textId="77777777" w:rsidR="00000000" w:rsidRDefault="00195E73">
            <w:pPr>
              <w:rPr>
                <w:rFonts w:eastAsia="Times New Roman"/>
              </w:rPr>
            </w:pPr>
            <w:r>
              <w:rPr>
                <w:rFonts w:eastAsia="Times New Roman"/>
                <w:color w:val="000000"/>
                <w:sz w:val="13"/>
                <w:szCs w:val="13"/>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8F8A768" w14:textId="77777777" w:rsidR="00000000" w:rsidRDefault="00195E73">
            <w:pPr>
              <w:jc w:val="right"/>
              <w:rPr>
                <w:rFonts w:eastAsia="Times New Roman"/>
              </w:rPr>
            </w:pPr>
            <w:r>
              <w:rPr>
                <w:rFonts w:eastAsia="Times New Roman"/>
                <w:color w:val="000000"/>
                <w:sz w:val="13"/>
                <w:szCs w:val="13"/>
              </w:rPr>
              <w:t>1,911</w:t>
            </w:r>
            <w:r>
              <w:rPr>
                <w:rFonts w:eastAsia="Times New Roman"/>
                <w:color w:val="000000"/>
                <w:sz w:val="13"/>
                <w:szCs w:val="13"/>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63B428E" w14:textId="77777777" w:rsidR="00000000" w:rsidRDefault="00195E73">
            <w:pPr>
              <w:jc w:val="right"/>
              <w:rPr>
                <w:rFonts w:eastAsia="Times New Roman"/>
              </w:rPr>
            </w:pPr>
            <w:r>
              <w:rPr>
                <w:rFonts w:eastAsia="Times New Roman"/>
                <w:color w:val="000000"/>
                <w:sz w:val="13"/>
                <w:szCs w:val="13"/>
              </w:rPr>
              <w:t> </w:t>
            </w:r>
          </w:p>
        </w:tc>
        <w:tc>
          <w:tcPr>
            <w:tcW w:w="0" w:type="auto"/>
            <w:vAlign w:val="center"/>
            <w:hideMark/>
          </w:tcPr>
          <w:p w14:paraId="5A753280" w14:textId="77777777" w:rsidR="00000000" w:rsidRDefault="00195E73">
            <w:pPr>
              <w:rPr>
                <w:rFonts w:eastAsia="Times New Roman"/>
                <w:sz w:val="20"/>
                <w:szCs w:val="20"/>
              </w:rPr>
            </w:pPr>
          </w:p>
        </w:tc>
        <w:tc>
          <w:tcPr>
            <w:tcW w:w="0" w:type="auto"/>
            <w:vAlign w:val="center"/>
            <w:hideMark/>
          </w:tcPr>
          <w:p w14:paraId="5D1F4E83" w14:textId="77777777" w:rsidR="00000000" w:rsidRDefault="00195E73">
            <w:pPr>
              <w:rPr>
                <w:rFonts w:eastAsia="Times New Roman"/>
                <w:sz w:val="20"/>
                <w:szCs w:val="20"/>
              </w:rPr>
            </w:pPr>
          </w:p>
        </w:tc>
        <w:tc>
          <w:tcPr>
            <w:tcW w:w="0" w:type="auto"/>
            <w:vAlign w:val="center"/>
            <w:hideMark/>
          </w:tcPr>
          <w:p w14:paraId="1513D4A7" w14:textId="77777777" w:rsidR="00000000" w:rsidRDefault="00195E73">
            <w:pPr>
              <w:rPr>
                <w:rFonts w:eastAsia="Times New Roman"/>
                <w:sz w:val="20"/>
                <w:szCs w:val="20"/>
              </w:rPr>
            </w:pPr>
          </w:p>
        </w:tc>
        <w:tc>
          <w:tcPr>
            <w:tcW w:w="0" w:type="auto"/>
            <w:vAlign w:val="center"/>
            <w:hideMark/>
          </w:tcPr>
          <w:p w14:paraId="34D1D513" w14:textId="77777777" w:rsidR="00000000" w:rsidRDefault="00195E73">
            <w:pPr>
              <w:rPr>
                <w:rFonts w:eastAsia="Times New Roman"/>
                <w:sz w:val="20"/>
                <w:szCs w:val="20"/>
              </w:rPr>
            </w:pPr>
          </w:p>
        </w:tc>
        <w:tc>
          <w:tcPr>
            <w:tcW w:w="0" w:type="auto"/>
            <w:vAlign w:val="center"/>
            <w:hideMark/>
          </w:tcPr>
          <w:p w14:paraId="70E7FB89" w14:textId="77777777" w:rsidR="00000000" w:rsidRDefault="00195E73">
            <w:pPr>
              <w:rPr>
                <w:rFonts w:eastAsia="Times New Roman"/>
                <w:sz w:val="20"/>
                <w:szCs w:val="20"/>
              </w:rPr>
            </w:pPr>
          </w:p>
        </w:tc>
        <w:tc>
          <w:tcPr>
            <w:tcW w:w="0" w:type="auto"/>
            <w:vAlign w:val="center"/>
            <w:hideMark/>
          </w:tcPr>
          <w:p w14:paraId="0EA9BB79" w14:textId="77777777" w:rsidR="00000000" w:rsidRDefault="00195E73">
            <w:pPr>
              <w:rPr>
                <w:rFonts w:eastAsia="Times New Roman"/>
                <w:sz w:val="20"/>
                <w:szCs w:val="20"/>
              </w:rPr>
            </w:pPr>
          </w:p>
        </w:tc>
        <w:tc>
          <w:tcPr>
            <w:tcW w:w="0" w:type="auto"/>
            <w:vAlign w:val="center"/>
            <w:hideMark/>
          </w:tcPr>
          <w:p w14:paraId="2089B872" w14:textId="77777777" w:rsidR="00000000" w:rsidRDefault="00195E73">
            <w:pPr>
              <w:rPr>
                <w:rFonts w:eastAsia="Times New Roman"/>
                <w:sz w:val="20"/>
                <w:szCs w:val="20"/>
              </w:rPr>
            </w:pPr>
          </w:p>
        </w:tc>
        <w:tc>
          <w:tcPr>
            <w:tcW w:w="0" w:type="auto"/>
            <w:vAlign w:val="center"/>
            <w:hideMark/>
          </w:tcPr>
          <w:p w14:paraId="5E75BCB0" w14:textId="77777777" w:rsidR="00000000" w:rsidRDefault="00195E73">
            <w:pPr>
              <w:rPr>
                <w:rFonts w:eastAsia="Times New Roman"/>
                <w:sz w:val="20"/>
                <w:szCs w:val="20"/>
              </w:rPr>
            </w:pPr>
          </w:p>
        </w:tc>
        <w:tc>
          <w:tcPr>
            <w:tcW w:w="0" w:type="auto"/>
            <w:vAlign w:val="center"/>
            <w:hideMark/>
          </w:tcPr>
          <w:p w14:paraId="65D48C85" w14:textId="77777777" w:rsidR="00000000" w:rsidRDefault="00195E73">
            <w:pPr>
              <w:rPr>
                <w:rFonts w:eastAsia="Times New Roman"/>
                <w:sz w:val="20"/>
                <w:szCs w:val="20"/>
              </w:rPr>
            </w:pPr>
          </w:p>
        </w:tc>
        <w:tc>
          <w:tcPr>
            <w:tcW w:w="0" w:type="auto"/>
            <w:vAlign w:val="center"/>
            <w:hideMark/>
          </w:tcPr>
          <w:p w14:paraId="261FA954" w14:textId="77777777" w:rsidR="00000000" w:rsidRDefault="00195E73">
            <w:pPr>
              <w:rPr>
                <w:rFonts w:eastAsia="Times New Roman"/>
                <w:sz w:val="20"/>
                <w:szCs w:val="20"/>
              </w:rPr>
            </w:pPr>
          </w:p>
        </w:tc>
        <w:tc>
          <w:tcPr>
            <w:tcW w:w="0" w:type="auto"/>
            <w:vAlign w:val="center"/>
            <w:hideMark/>
          </w:tcPr>
          <w:p w14:paraId="27AFBB48" w14:textId="77777777" w:rsidR="00000000" w:rsidRDefault="00195E73">
            <w:pPr>
              <w:rPr>
                <w:rFonts w:eastAsia="Times New Roman"/>
                <w:sz w:val="20"/>
                <w:szCs w:val="20"/>
              </w:rPr>
            </w:pPr>
          </w:p>
        </w:tc>
        <w:tc>
          <w:tcPr>
            <w:tcW w:w="0" w:type="auto"/>
            <w:vAlign w:val="center"/>
            <w:hideMark/>
          </w:tcPr>
          <w:p w14:paraId="1BB082BD" w14:textId="77777777" w:rsidR="00000000" w:rsidRDefault="00195E73">
            <w:pPr>
              <w:rPr>
                <w:rFonts w:eastAsia="Times New Roman"/>
                <w:sz w:val="20"/>
                <w:szCs w:val="20"/>
              </w:rPr>
            </w:pPr>
          </w:p>
        </w:tc>
      </w:tr>
    </w:tbl>
    <w:p w14:paraId="1D8F77D1" w14:textId="77777777" w:rsidR="00000000" w:rsidRDefault="00195E73">
      <w:pPr>
        <w:jc w:val="center"/>
        <w:rPr>
          <w:rFonts w:eastAsia="Times New Roman"/>
        </w:rPr>
      </w:pPr>
      <w:r>
        <w:rPr>
          <w:rFonts w:eastAsia="Times New Roman"/>
          <w:i/>
          <w:iCs/>
          <w:color w:val="000000"/>
          <w:sz w:val="20"/>
          <w:szCs w:val="20"/>
        </w:rPr>
        <w:t>See notes to consolidated financial statements</w:t>
      </w:r>
      <w:r>
        <w:rPr>
          <w:rFonts w:eastAsia="Times New Roman"/>
          <w:i/>
          <w:iCs/>
          <w:color w:val="000000"/>
          <w:sz w:val="20"/>
          <w:szCs w:val="20"/>
        </w:rPr>
        <w:t>.</w:t>
      </w:r>
    </w:p>
    <w:p w14:paraId="23F45695" w14:textId="77777777" w:rsidR="00000000" w:rsidRDefault="00195E73">
      <w:pPr>
        <w:divId w:val="669941467"/>
        <w:rPr>
          <w:rFonts w:eastAsia="Times New Roman"/>
        </w:rPr>
      </w:pPr>
    </w:p>
    <w:p w14:paraId="6FAA5ACF" w14:textId="77777777" w:rsidR="00000000" w:rsidRDefault="00195E73">
      <w:pPr>
        <w:jc w:val="center"/>
        <w:divId w:val="1400250885"/>
        <w:rPr>
          <w:rFonts w:eastAsia="Times New Roman"/>
        </w:rPr>
      </w:pPr>
      <w:r>
        <w:rPr>
          <w:rFonts w:eastAsia="Times New Roman"/>
          <w:color w:val="000000"/>
          <w:sz w:val="20"/>
          <w:szCs w:val="20"/>
        </w:rPr>
        <w:t>6</w:t>
      </w:r>
      <w:r>
        <w:rPr>
          <w:rFonts w:eastAsia="Times New Roman"/>
          <w:color w:val="000000"/>
          <w:sz w:val="20"/>
          <w:szCs w:val="20"/>
        </w:rPr>
        <w:t>3</w:t>
      </w:r>
    </w:p>
    <w:p w14:paraId="756A9861" w14:textId="77777777" w:rsidR="00000000" w:rsidRDefault="00195E73">
      <w:pPr>
        <w:rPr>
          <w:rFonts w:eastAsia="Times New Roman"/>
        </w:rPr>
      </w:pPr>
      <w:r>
        <w:rPr>
          <w:rFonts w:eastAsia="Times New Roman"/>
        </w:rPr>
        <w:pict w14:anchorId="57D194C0">
          <v:rect id="_x0000_i1089" style="width:0;height:1.5pt" o:hralign="center" o:hrstd="t" o:hr="t" fillcolor="#a0a0a0" stroked="f"/>
        </w:pict>
      </w:r>
    </w:p>
    <w:p w14:paraId="1564B1B5" w14:textId="77777777" w:rsidR="00000000" w:rsidRDefault="00195E73">
      <w:pPr>
        <w:jc w:val="center"/>
        <w:divId w:val="478154744"/>
        <w:rPr>
          <w:rFonts w:eastAsia="Times New Roman"/>
        </w:rPr>
      </w:pPr>
    </w:p>
    <w:p w14:paraId="530238F5" w14:textId="77777777" w:rsidR="00000000" w:rsidRDefault="00195E73">
      <w:pPr>
        <w:jc w:val="center"/>
        <w:divId w:val="478154744"/>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174FDE6E" w14:textId="77777777" w:rsidR="00000000" w:rsidRDefault="00195E73">
      <w:pPr>
        <w:jc w:val="center"/>
        <w:divId w:val="478154744"/>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6E14EA1D" w14:textId="77777777" w:rsidR="00000000" w:rsidRDefault="00195E73">
      <w:pPr>
        <w:jc w:val="center"/>
        <w:divId w:val="478154744"/>
        <w:rPr>
          <w:rFonts w:eastAsia="Times New Roman"/>
        </w:rPr>
      </w:pPr>
    </w:p>
    <w:p w14:paraId="336657AB" w14:textId="77777777" w:rsidR="00000000" w:rsidRDefault="00195E73">
      <w:pPr>
        <w:jc w:val="center"/>
        <w:divId w:val="478154744"/>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783DFBC8" w14:textId="77777777" w:rsidR="00000000" w:rsidRDefault="00195E73">
      <w:pPr>
        <w:ind w:hanging="360"/>
        <w:divId w:val="430710750"/>
        <w:rPr>
          <w:rFonts w:eastAsia="Times New Roman"/>
        </w:rPr>
      </w:pPr>
      <w:r>
        <w:rPr>
          <w:rFonts w:eastAsia="Times New Roman"/>
          <w:b/>
          <w:bCs/>
          <w:color w:val="000000"/>
          <w:sz w:val="20"/>
          <w:szCs w:val="20"/>
        </w:rPr>
        <w:t>1. Description of Business</w:t>
      </w:r>
      <w:r>
        <w:rPr>
          <w:rFonts w:eastAsia="Times New Roman"/>
          <w:b/>
          <w:bCs/>
          <w:color w:val="000000"/>
          <w:sz w:val="20"/>
          <w:szCs w:val="20"/>
        </w:rPr>
        <w:t>.</w:t>
      </w:r>
    </w:p>
    <w:p w14:paraId="7CF11E7D" w14:textId="77777777" w:rsidR="00000000" w:rsidRDefault="00195E73">
      <w:pPr>
        <w:divId w:val="497040946"/>
        <w:rPr>
          <w:rFonts w:eastAsia="Times New Roman"/>
        </w:rPr>
      </w:pPr>
      <w:r>
        <w:rPr>
          <w:rFonts w:eastAsia="Times New Roman"/>
          <w:b/>
          <w:bCs/>
          <w:i/>
          <w:iCs/>
          <w:color w:val="000000"/>
          <w:sz w:val="20"/>
          <w:szCs w:val="20"/>
        </w:rPr>
        <w:t>Overvie</w:t>
      </w:r>
      <w:r>
        <w:rPr>
          <w:rFonts w:eastAsia="Times New Roman"/>
          <w:b/>
          <w:bCs/>
          <w:i/>
          <w:iCs/>
          <w:color w:val="000000"/>
          <w:sz w:val="20"/>
          <w:szCs w:val="20"/>
        </w:rPr>
        <w:t>w</w:t>
      </w:r>
    </w:p>
    <w:p w14:paraId="492BA4E9" w14:textId="77777777" w:rsidR="00000000" w:rsidRDefault="00195E73">
      <w:pPr>
        <w:ind w:firstLine="450"/>
        <w:divId w:val="276065184"/>
        <w:rPr>
          <w:rFonts w:eastAsia="Times New Roman"/>
        </w:rPr>
      </w:pPr>
      <w:r>
        <w:rPr>
          <w:rFonts w:eastAsia="Times New Roman"/>
          <w:color w:val="000000"/>
          <w:sz w:val="20"/>
          <w:szCs w:val="20"/>
        </w:rPr>
        <w:t>Icahn Enterprises L.P. (“Icahn Enterprises”) is</w:t>
      </w:r>
      <w:r>
        <w:rPr>
          <w:rFonts w:eastAsia="Times New Roman"/>
          <w:color w:val="000000"/>
          <w:sz w:val="20"/>
          <w:szCs w:val="20"/>
        </w:rPr>
        <w:t xml:space="preserve"> a master limited partnership formed in Delaware on February 17, 1987. Icahn Enterprises Holdings L.P. (“Icahn Enterprises Holdings”) is a limited partnership formed in Delaware on February 17, 1987.</w:t>
      </w:r>
      <w:r>
        <w:rPr>
          <w:rFonts w:eastAsia="Times New Roman"/>
          <w:color w:val="000000"/>
          <w:sz w:val="20"/>
          <w:szCs w:val="20"/>
        </w:rPr>
        <w:t xml:space="preserve"> </w:t>
      </w:r>
      <w:r>
        <w:rPr>
          <w:rFonts w:eastAsia="Times New Roman"/>
          <w:color w:val="000000"/>
          <w:sz w:val="20"/>
          <w:szCs w:val="20"/>
          <w:shd w:val="clear" w:color="auto" w:fill="FFFFFF"/>
        </w:rPr>
        <w:t>References to</w:t>
      </w:r>
      <w:r>
        <w:rPr>
          <w:rFonts w:eastAsia="Times New Roman"/>
          <w:color w:val="000000"/>
          <w:sz w:val="20"/>
          <w:szCs w:val="20"/>
          <w:shd w:val="clear" w:color="auto" w:fill="FFFFFF"/>
        </w:rPr>
        <w:t xml:space="preserve"> </w:t>
      </w:r>
      <w:r>
        <w:rPr>
          <w:rFonts w:eastAsia="Times New Roman"/>
          <w:color w:val="000000"/>
          <w:sz w:val="20"/>
          <w:szCs w:val="20"/>
        </w:rPr>
        <w:t>“we,” “our” or “us</w:t>
      </w:r>
      <w:r>
        <w:rPr>
          <w:rFonts w:eastAsia="Times New Roman"/>
          <w:color w:val="000000"/>
          <w:sz w:val="20"/>
          <w:szCs w:val="20"/>
        </w:rPr>
        <w:t>”</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herein include both Icahn Enterprises and Icahn Enterprises Holdings and their subsidiaries, unless the context otherwise requires.</w:t>
      </w:r>
    </w:p>
    <w:p w14:paraId="2A625018" w14:textId="77777777" w:rsidR="00000000" w:rsidRDefault="00195E73">
      <w:pPr>
        <w:ind w:firstLine="450"/>
        <w:divId w:val="1887839407"/>
        <w:rPr>
          <w:rFonts w:eastAsia="Times New Roman"/>
        </w:rPr>
      </w:pPr>
      <w:r>
        <w:rPr>
          <w:rFonts w:eastAsia="Times New Roman"/>
          <w:color w:val="000000"/>
          <w:sz w:val="20"/>
          <w:szCs w:val="20"/>
        </w:rPr>
        <w:t>Icahn Enterprises</w:t>
      </w:r>
      <w:r>
        <w:rPr>
          <w:rFonts w:eastAsia="Times New Roman"/>
          <w:color w:val="000000"/>
          <w:sz w:val="20"/>
          <w:szCs w:val="20"/>
        </w:rPr>
        <w:t xml:space="preserve"> </w:t>
      </w:r>
      <w:r>
        <w:rPr>
          <w:rFonts w:eastAsia="Times New Roman"/>
          <w:color w:val="000000"/>
          <w:sz w:val="20"/>
          <w:szCs w:val="20"/>
          <w:shd w:val="clear" w:color="auto" w:fill="FFFFFF"/>
        </w:rPr>
        <w:t>owns a 99% limited partner interest in Icahn Enterprises Holdings. Icahn Enterprises G.P. Inc. (“Icahn Ent</w:t>
      </w:r>
      <w:r>
        <w:rPr>
          <w:rFonts w:eastAsia="Times New Roman"/>
          <w:color w:val="000000"/>
          <w:sz w:val="20"/>
          <w:szCs w:val="20"/>
          <w:shd w:val="clear" w:color="auto" w:fill="FFFFFF"/>
        </w:rPr>
        <w:t>erprises GP”), which is owned and controlled by Mr. Carl C. Icahn, owns a 1% general partner interest in each of Icahn Enterprises and Icahn Enterprises Holdings as of December 31, 2019. Icahn Enterprises Holdings and its subsidiaries own substantially all</w:t>
      </w:r>
      <w:r>
        <w:rPr>
          <w:rFonts w:eastAsia="Times New Roman"/>
          <w:color w:val="000000"/>
          <w:sz w:val="20"/>
          <w:szCs w:val="20"/>
          <w:shd w:val="clear" w:color="auto" w:fill="FFFFFF"/>
        </w:rPr>
        <w:t xml:space="preserve"> of our assets and liabilities and conduct substantially all of our operations. Therefore, the financial results of Icahn Enterprises and Icahn Enterprises Holdings are substantially the same, with differences relating primarily to the allocation of the ge</w:t>
      </w:r>
      <w:r>
        <w:rPr>
          <w:rFonts w:eastAsia="Times New Roman"/>
          <w:color w:val="000000"/>
          <w:sz w:val="20"/>
          <w:szCs w:val="20"/>
          <w:shd w:val="clear" w:color="auto" w:fill="FFFFFF"/>
        </w:rPr>
        <w:t>neral partner interest, which is reflected as an aggregate 1.99% general partner interest in the financial statements of Icahn Enterprises. In addition to the above, Mr. Icahn and his affiliates owned approximately</w:t>
      </w:r>
      <w:r>
        <w:rPr>
          <w:rFonts w:eastAsia="Times New Roman"/>
          <w:color w:val="000000"/>
          <w:sz w:val="20"/>
          <w:szCs w:val="20"/>
          <w:shd w:val="clear" w:color="auto" w:fill="FFFFFF"/>
        </w:rPr>
        <w:t xml:space="preserve"> </w:t>
      </w:r>
      <w:r>
        <w:rPr>
          <w:rFonts w:eastAsia="Times New Roman"/>
          <w:color w:val="000000"/>
          <w:sz w:val="20"/>
          <w:szCs w:val="20"/>
        </w:rPr>
        <w:t>92.0</w:t>
      </w:r>
      <w:r>
        <w:rPr>
          <w:rFonts w:eastAsia="Times New Roman"/>
          <w:color w:val="000000"/>
          <w:sz w:val="20"/>
          <w:szCs w:val="20"/>
        </w:rPr>
        <w:t>%</w:t>
      </w:r>
      <w:r>
        <w:rPr>
          <w:rFonts w:eastAsia="Times New Roman"/>
          <w:color w:val="000000"/>
          <w:sz w:val="20"/>
          <w:szCs w:val="20"/>
          <w:shd w:val="clear" w:color="auto" w:fill="FFFFFF"/>
        </w:rPr>
        <w:t xml:space="preserve"> of Icahn Enterprises’ outstanding d</w:t>
      </w:r>
      <w:r>
        <w:rPr>
          <w:rFonts w:eastAsia="Times New Roman"/>
          <w:color w:val="000000"/>
          <w:sz w:val="20"/>
          <w:szCs w:val="20"/>
          <w:shd w:val="clear" w:color="auto" w:fill="FFFFFF"/>
        </w:rPr>
        <w:t xml:space="preserve">epositary units as of December 31, 2019. </w:t>
      </w:r>
    </w:p>
    <w:p w14:paraId="18A76D35" w14:textId="77777777" w:rsidR="00000000" w:rsidRDefault="00195E73">
      <w:pPr>
        <w:divId w:val="1878346739"/>
        <w:rPr>
          <w:rFonts w:eastAsia="Times New Roman"/>
        </w:rPr>
      </w:pPr>
      <w:r>
        <w:rPr>
          <w:rFonts w:eastAsia="Times New Roman"/>
          <w:b/>
          <w:bCs/>
          <w:i/>
          <w:iCs/>
          <w:color w:val="000000"/>
          <w:sz w:val="20"/>
          <w:szCs w:val="20"/>
          <w:shd w:val="clear" w:color="auto" w:fill="FFFFFF"/>
        </w:rPr>
        <w:t>Description of Operating Businesses</w:t>
      </w:r>
    </w:p>
    <w:p w14:paraId="6A153E7A" w14:textId="77777777" w:rsidR="00000000" w:rsidRDefault="00195E73">
      <w:pPr>
        <w:ind w:firstLine="450"/>
        <w:divId w:val="933855085"/>
        <w:rPr>
          <w:rFonts w:eastAsia="Times New Roman"/>
        </w:rPr>
      </w:pPr>
      <w:r>
        <w:rPr>
          <w:rFonts w:eastAsia="Times New Roman"/>
          <w:color w:val="000000"/>
          <w:sz w:val="20"/>
          <w:szCs w:val="20"/>
        </w:rPr>
        <w:t>We are a diversified holding company owning subsidiaries currently engaged in the following continuing operating businesses:</w:t>
      </w:r>
      <w:r>
        <w:rPr>
          <w:rFonts w:eastAsia="Times New Roman"/>
          <w:color w:val="000000"/>
          <w:sz w:val="20"/>
          <w:szCs w:val="20"/>
        </w:rPr>
        <w:t xml:space="preserve"> </w:t>
      </w:r>
      <w:r>
        <w:rPr>
          <w:rFonts w:eastAsia="Times New Roman"/>
          <w:color w:val="231F20"/>
          <w:sz w:val="20"/>
          <w:szCs w:val="20"/>
        </w:rPr>
        <w:t>Investment, Energy, Automotive, Food Packaging, Metal</w:t>
      </w:r>
      <w:r>
        <w:rPr>
          <w:rFonts w:eastAsia="Times New Roman"/>
          <w:color w:val="231F20"/>
          <w:sz w:val="20"/>
          <w:szCs w:val="20"/>
        </w:rPr>
        <w:t>s, Real Estate and Home Fashion.</w:t>
      </w:r>
      <w:r>
        <w:rPr>
          <w:rFonts w:eastAsia="Times New Roman"/>
          <w:color w:val="231F20"/>
          <w:sz w:val="20"/>
          <w:szCs w:val="20"/>
        </w:rPr>
        <w:t xml:space="preserve"> </w:t>
      </w:r>
      <w:r>
        <w:rPr>
          <w:rFonts w:eastAsia="Times New Roman"/>
          <w:color w:val="000000"/>
          <w:sz w:val="20"/>
          <w:szCs w:val="20"/>
        </w:rPr>
        <w:t>We also report the results of our Holding Company, which includes the results of certain subsidiaries of Icahn Enterprises and Icahn Enterprises Holdings (unless otherwise noted), and investment activity and expenses associ</w:t>
      </w:r>
      <w:r>
        <w:rPr>
          <w:rFonts w:eastAsia="Times New Roman"/>
          <w:color w:val="000000"/>
          <w:sz w:val="20"/>
          <w:szCs w:val="20"/>
        </w:rPr>
        <w:t>ated with our Holding Company. Our historical results also report the results of our Mining segment, until sold on August 1, 2019, and our Railcar segment through the date we sold our last remaining railcars on lease, which occurred in the third quarter of</w:t>
      </w:r>
      <w:r>
        <w:rPr>
          <w:rFonts w:eastAsia="Times New Roman"/>
          <w:color w:val="000000"/>
          <w:sz w:val="20"/>
          <w:szCs w:val="20"/>
        </w:rPr>
        <w:t xml:space="preserve"> 2018. See Note 13, “Segment and Geographic Reporting,” for a reconciliation of each of our reporting segment’s results of operations to our consolidated results. Certain additional information with respect to our segments are discussed below.</w:t>
      </w:r>
      <w:r>
        <w:rPr>
          <w:rFonts w:eastAsia="Times New Roman"/>
          <w:color w:val="000000"/>
          <w:sz w:val="20"/>
          <w:szCs w:val="20"/>
        </w:rPr>
        <w:t xml:space="preserve"> </w:t>
      </w:r>
    </w:p>
    <w:p w14:paraId="4C0ABF50" w14:textId="77777777" w:rsidR="00000000" w:rsidRDefault="00195E73">
      <w:pPr>
        <w:divId w:val="346836099"/>
        <w:rPr>
          <w:rFonts w:eastAsia="Times New Roman"/>
        </w:rPr>
      </w:pPr>
      <w:r>
        <w:rPr>
          <w:rFonts w:eastAsia="Times New Roman"/>
          <w:i/>
          <w:iCs/>
          <w:color w:val="000000"/>
          <w:sz w:val="20"/>
          <w:szCs w:val="20"/>
        </w:rPr>
        <w:t>Investmen</w:t>
      </w:r>
      <w:r>
        <w:rPr>
          <w:rFonts w:eastAsia="Times New Roman"/>
          <w:i/>
          <w:iCs/>
          <w:color w:val="000000"/>
          <w:sz w:val="20"/>
          <w:szCs w:val="20"/>
        </w:rPr>
        <w:t>t</w:t>
      </w:r>
    </w:p>
    <w:p w14:paraId="535A369B" w14:textId="77777777" w:rsidR="00000000" w:rsidRDefault="00195E73">
      <w:pPr>
        <w:ind w:firstLine="450"/>
        <w:divId w:val="1743717545"/>
        <w:rPr>
          <w:rFonts w:eastAsia="Times New Roman"/>
        </w:rPr>
      </w:pPr>
      <w:r>
        <w:rPr>
          <w:rFonts w:eastAsia="Times New Roman"/>
          <w:color w:val="000000"/>
          <w:sz w:val="20"/>
          <w:szCs w:val="20"/>
        </w:rPr>
        <w:t xml:space="preserve">Our Investment segment is comprised of various private investment funds (“Investment Funds”) in which we have general partner interests and through which we invest our proprietary capital. We and certain of Mr. Icahn’s wholly-owned affiliates are the only </w:t>
      </w:r>
      <w:r>
        <w:rPr>
          <w:rFonts w:eastAsia="Times New Roman"/>
          <w:color w:val="000000"/>
          <w:sz w:val="20"/>
          <w:szCs w:val="20"/>
        </w:rPr>
        <w:t xml:space="preserve">investors in the Investment Funds. As general partner, we provide investment advisory and certain administrative and back office services to the Investment Funds but do not provide such services to any other entities, individuals or accounts. Interests in </w:t>
      </w:r>
      <w:r>
        <w:rPr>
          <w:rFonts w:eastAsia="Times New Roman"/>
          <w:color w:val="000000"/>
          <w:sz w:val="20"/>
          <w:szCs w:val="20"/>
        </w:rPr>
        <w:t>the Investment Funds are not offered to outside investors. We had interests in the Investment Funds with a fair market value of approximately $4.3 billion and $5.1 billion as of December 31, 2019 and 2018, respectively.</w:t>
      </w:r>
      <w:r>
        <w:rPr>
          <w:rFonts w:eastAsia="Times New Roman"/>
          <w:color w:val="000000"/>
          <w:sz w:val="20"/>
          <w:szCs w:val="20"/>
        </w:rPr>
        <w:t xml:space="preserve"> </w:t>
      </w:r>
    </w:p>
    <w:p w14:paraId="46EDAA48" w14:textId="77777777" w:rsidR="00000000" w:rsidRDefault="00195E73">
      <w:pPr>
        <w:divId w:val="1108694190"/>
        <w:rPr>
          <w:rFonts w:eastAsia="Times New Roman"/>
        </w:rPr>
      </w:pPr>
      <w:r>
        <w:rPr>
          <w:rFonts w:eastAsia="Times New Roman"/>
          <w:i/>
          <w:iCs/>
          <w:color w:val="000000"/>
          <w:sz w:val="20"/>
          <w:szCs w:val="20"/>
        </w:rPr>
        <w:t>Energ</w:t>
      </w:r>
      <w:r>
        <w:rPr>
          <w:rFonts w:eastAsia="Times New Roman"/>
          <w:i/>
          <w:iCs/>
          <w:color w:val="000000"/>
          <w:sz w:val="20"/>
          <w:szCs w:val="20"/>
        </w:rPr>
        <w:t>y</w:t>
      </w:r>
    </w:p>
    <w:p w14:paraId="26AA5B0F" w14:textId="77777777" w:rsidR="00000000" w:rsidRDefault="00195E73">
      <w:pPr>
        <w:ind w:firstLine="450"/>
        <w:divId w:val="804128817"/>
        <w:rPr>
          <w:rFonts w:eastAsia="Times New Roman"/>
        </w:rPr>
      </w:pPr>
      <w:r>
        <w:rPr>
          <w:rFonts w:eastAsia="Times New Roman"/>
          <w:color w:val="000000"/>
          <w:sz w:val="20"/>
          <w:szCs w:val="20"/>
        </w:rPr>
        <w:t>We conduct our Energy segmen</w:t>
      </w:r>
      <w:r>
        <w:rPr>
          <w:rFonts w:eastAsia="Times New Roman"/>
          <w:color w:val="000000"/>
          <w:sz w:val="20"/>
          <w:szCs w:val="20"/>
        </w:rPr>
        <w:t>t through our majority owned subsidiary, CVR Energy, Inc. (“CVR Energy”). CVR Energy is a diversified holding company primarily engaged in the petroleum refining and nitrogen fertilizer manufacturing businesses through its holdings in CVR Refining, LP (“CV</w:t>
      </w:r>
      <w:r>
        <w:rPr>
          <w:rFonts w:eastAsia="Times New Roman"/>
          <w:color w:val="000000"/>
          <w:sz w:val="20"/>
          <w:szCs w:val="20"/>
        </w:rPr>
        <w:t xml:space="preserve">R Refining”) and CVR Partners, LP (“CVR Partners”), respectively. CVR Refining is an independent petroleum refiner and marketer of high value transportation fuels. CVR Partners produces and markets nitrogen fertilizers in the form of urea ammonium nitrate </w:t>
      </w:r>
      <w:r>
        <w:rPr>
          <w:rFonts w:eastAsia="Times New Roman"/>
          <w:color w:val="000000"/>
          <w:sz w:val="20"/>
          <w:szCs w:val="20"/>
        </w:rPr>
        <w:t>and ammonia. CVR Energy has a general partner interest in each of CVR Refining and CVR Partners. In addition, CVR Energy is the sole limited partner of CVR Refining and owns 34.4% of the outstanding common units of CVR Partners as of December 31, 2019.</w:t>
      </w:r>
      <w:r>
        <w:rPr>
          <w:rFonts w:eastAsia="Times New Roman"/>
          <w:color w:val="000000"/>
          <w:sz w:val="20"/>
          <w:szCs w:val="20"/>
        </w:rPr>
        <w:t xml:space="preserve"> </w:t>
      </w:r>
    </w:p>
    <w:p w14:paraId="70740C30" w14:textId="77777777" w:rsidR="00000000" w:rsidRDefault="00195E73">
      <w:pPr>
        <w:ind w:firstLine="450"/>
        <w:divId w:val="1049260349"/>
        <w:rPr>
          <w:rFonts w:eastAsia="Times New Roman"/>
        </w:rPr>
      </w:pPr>
      <w:r>
        <w:rPr>
          <w:rFonts w:eastAsia="Times New Roman"/>
          <w:color w:val="000000"/>
          <w:sz w:val="20"/>
          <w:szCs w:val="20"/>
        </w:rPr>
        <w:t>As</w:t>
      </w:r>
      <w:r>
        <w:rPr>
          <w:rFonts w:eastAsia="Times New Roman"/>
          <w:color w:val="000000"/>
          <w:sz w:val="20"/>
          <w:szCs w:val="20"/>
        </w:rPr>
        <w:t xml:space="preserve"> of December 31, 2019, we owned approximately 70.8% of the total outstanding common stock of CVR Energy.</w:t>
      </w:r>
      <w:r>
        <w:rPr>
          <w:rFonts w:eastAsia="Times New Roman"/>
          <w:color w:val="000000"/>
          <w:sz w:val="20"/>
          <w:szCs w:val="20"/>
        </w:rPr>
        <w:t xml:space="preserve"> </w:t>
      </w:r>
    </w:p>
    <w:p w14:paraId="2F04810E" w14:textId="77777777" w:rsidR="00000000" w:rsidRDefault="00195E73">
      <w:pPr>
        <w:ind w:firstLine="450"/>
        <w:divId w:val="1419983991"/>
        <w:rPr>
          <w:rFonts w:eastAsia="Times New Roman"/>
        </w:rPr>
      </w:pPr>
      <w:r>
        <w:rPr>
          <w:rFonts w:eastAsia="Times New Roman"/>
          <w:color w:val="000000"/>
          <w:sz w:val="20"/>
          <w:szCs w:val="20"/>
        </w:rPr>
        <w:t>On January 29, 2019, CVR Energy, pursuant to the exercise of its right to purchase all of the issued and outstanding common units in CVR Refining, pur</w:t>
      </w:r>
      <w:r>
        <w:rPr>
          <w:rFonts w:eastAsia="Times New Roman"/>
          <w:color w:val="000000"/>
          <w:sz w:val="20"/>
          <w:szCs w:val="20"/>
        </w:rPr>
        <w:t>chased the remaining common units of CVR Refining not already owned by CVR Energy, including the purchase of CVR Refining common units owned directly by us. Prior to this, CVR Energy owned approximately 80.6% of the common units of CVR Refining and we dire</w:t>
      </w:r>
      <w:r>
        <w:rPr>
          <w:rFonts w:eastAsia="Times New Roman"/>
          <w:color w:val="000000"/>
          <w:sz w:val="20"/>
          <w:szCs w:val="20"/>
        </w:rPr>
        <w:t xml:space="preserve">ctly owned approximately 3.9% of the common units of CVR Refining. As a result of exercising its purchase right, as of January 29, 2019, CVR Energy owns all of the common units of CVR Refining and we no longer have any direct ownership in CVR Refining. In </w:t>
      </w:r>
      <w:r>
        <w:rPr>
          <w:rFonts w:eastAsia="Times New Roman"/>
          <w:color w:val="000000"/>
          <w:sz w:val="20"/>
          <w:szCs w:val="20"/>
        </w:rPr>
        <w:t>addition, the common units of CVR Refining have subsequently ceased to be publicly traded or listed on the New York Stock Exchange or any other national securities exchange. The remaining common units of CVR Refining acquired in this transaction were purch</w:t>
      </w:r>
      <w:r>
        <w:rPr>
          <w:rFonts w:eastAsia="Times New Roman"/>
          <w:color w:val="000000"/>
          <w:sz w:val="20"/>
          <w:szCs w:val="20"/>
        </w:rPr>
        <w:t>ased for $241 million, excluding the amount paid by CVR Energy to us for the common units of CVR Refining directly owned by us.</w:t>
      </w:r>
      <w:r>
        <w:rPr>
          <w:rFonts w:eastAsia="Times New Roman"/>
          <w:color w:val="000000"/>
          <w:sz w:val="20"/>
          <w:szCs w:val="20"/>
        </w:rPr>
        <w:t xml:space="preserve"> </w:t>
      </w:r>
    </w:p>
    <w:p w14:paraId="5AD7B40D" w14:textId="77777777" w:rsidR="00000000" w:rsidRDefault="00195E73">
      <w:pPr>
        <w:jc w:val="center"/>
        <w:divId w:val="1234927379"/>
        <w:rPr>
          <w:rFonts w:eastAsia="Times New Roman"/>
        </w:rPr>
      </w:pPr>
      <w:r>
        <w:rPr>
          <w:rFonts w:eastAsia="Times New Roman"/>
          <w:color w:val="000000"/>
          <w:sz w:val="20"/>
          <w:szCs w:val="20"/>
        </w:rPr>
        <w:t>6</w:t>
      </w:r>
      <w:r>
        <w:rPr>
          <w:rFonts w:eastAsia="Times New Roman"/>
          <w:color w:val="000000"/>
          <w:sz w:val="20"/>
          <w:szCs w:val="20"/>
        </w:rPr>
        <w:t>4</w:t>
      </w:r>
    </w:p>
    <w:p w14:paraId="202338E2" w14:textId="77777777" w:rsidR="00000000" w:rsidRDefault="00195E73">
      <w:pPr>
        <w:rPr>
          <w:rFonts w:eastAsia="Times New Roman"/>
        </w:rPr>
      </w:pPr>
      <w:r>
        <w:rPr>
          <w:rFonts w:eastAsia="Times New Roman"/>
        </w:rPr>
        <w:pict w14:anchorId="1E44670A">
          <v:rect id="_x0000_i1090" style="width:0;height:1.5pt" o:hralign="center" o:hrstd="t" o:hr="t" fillcolor="#a0a0a0" stroked="f"/>
        </w:pict>
      </w:r>
    </w:p>
    <w:p w14:paraId="0249E7A2" w14:textId="77777777" w:rsidR="00000000" w:rsidRDefault="00195E73">
      <w:pPr>
        <w:jc w:val="center"/>
        <w:divId w:val="1704089203"/>
        <w:rPr>
          <w:rFonts w:eastAsia="Times New Roman"/>
        </w:rPr>
      </w:pPr>
    </w:p>
    <w:p w14:paraId="6847E7CC" w14:textId="77777777" w:rsidR="00000000" w:rsidRDefault="00195E73">
      <w:pPr>
        <w:jc w:val="center"/>
        <w:divId w:val="1704089203"/>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299474EC" w14:textId="77777777" w:rsidR="00000000" w:rsidRDefault="00195E73">
      <w:pPr>
        <w:jc w:val="center"/>
        <w:divId w:val="1704089203"/>
        <w:rPr>
          <w:rFonts w:eastAsia="Times New Roman"/>
        </w:rPr>
      </w:pPr>
      <w:r>
        <w:rPr>
          <w:rFonts w:eastAsia="Times New Roman"/>
          <w:b/>
          <w:bCs/>
          <w:color w:val="000000"/>
          <w:sz w:val="20"/>
          <w:szCs w:val="20"/>
        </w:rPr>
        <w:t>ICAHN ENTERPRISES HOLDINGS L.P. AND SUBSIDIARI</w:t>
      </w:r>
      <w:r>
        <w:rPr>
          <w:rFonts w:eastAsia="Times New Roman"/>
          <w:b/>
          <w:bCs/>
          <w:color w:val="000000"/>
          <w:sz w:val="20"/>
          <w:szCs w:val="20"/>
        </w:rPr>
        <w:t>E</w:t>
      </w:r>
      <w:r>
        <w:rPr>
          <w:rFonts w:eastAsia="Times New Roman"/>
          <w:b/>
          <w:bCs/>
          <w:color w:val="000000"/>
          <w:sz w:val="20"/>
          <w:szCs w:val="20"/>
        </w:rPr>
        <w:t>S</w:t>
      </w:r>
    </w:p>
    <w:p w14:paraId="3F565D39" w14:textId="77777777" w:rsidR="00000000" w:rsidRDefault="00195E73">
      <w:pPr>
        <w:jc w:val="center"/>
        <w:divId w:val="1704089203"/>
        <w:rPr>
          <w:rFonts w:eastAsia="Times New Roman"/>
        </w:rPr>
      </w:pPr>
    </w:p>
    <w:p w14:paraId="6F43253A" w14:textId="77777777" w:rsidR="00000000" w:rsidRDefault="00195E73">
      <w:pPr>
        <w:jc w:val="center"/>
        <w:divId w:val="1704089203"/>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7DF813E2" w14:textId="77777777" w:rsidR="00000000" w:rsidRDefault="00195E73">
      <w:pPr>
        <w:ind w:firstLine="405"/>
        <w:divId w:val="748041778"/>
        <w:rPr>
          <w:rFonts w:eastAsia="Times New Roman"/>
        </w:rPr>
      </w:pPr>
      <w:r>
        <w:rPr>
          <w:rFonts w:eastAsia="Times New Roman"/>
          <w:color w:val="000000"/>
          <w:sz w:val="20"/>
          <w:szCs w:val="20"/>
        </w:rPr>
        <w:t xml:space="preserve">Prior to this, on August 1, 2018, CVR Energy completed an exchange offer whereby CVR Refining’s public unitholders tendered a total of 21,625,106 </w:t>
      </w:r>
      <w:r>
        <w:rPr>
          <w:rFonts w:eastAsia="Times New Roman"/>
          <w:color w:val="000000"/>
          <w:sz w:val="20"/>
          <w:szCs w:val="20"/>
        </w:rPr>
        <w:t>common units of CVR Refining in exchange for 13,699,549 shares of CVR Energy common stock. In connection with this transaction, our equity attributable to Icahn Enterprises and Icahn Enterprises Holdings increased by $99 million</w:t>
      </w:r>
      <w:r>
        <w:rPr>
          <w:rFonts w:eastAsia="Times New Roman"/>
          <w:color w:val="000000"/>
          <w:sz w:val="20"/>
          <w:szCs w:val="20"/>
        </w:rPr>
        <w:t>.</w:t>
      </w:r>
    </w:p>
    <w:p w14:paraId="311FC202" w14:textId="77777777" w:rsidR="00000000" w:rsidRDefault="00195E73">
      <w:pPr>
        <w:divId w:val="1142116118"/>
        <w:rPr>
          <w:rFonts w:eastAsia="Times New Roman"/>
        </w:rPr>
      </w:pPr>
      <w:r>
        <w:rPr>
          <w:rFonts w:eastAsia="Times New Roman"/>
          <w:i/>
          <w:iCs/>
          <w:color w:val="000000"/>
          <w:sz w:val="20"/>
          <w:szCs w:val="20"/>
        </w:rPr>
        <w:t>Automotiv</w:t>
      </w:r>
      <w:r>
        <w:rPr>
          <w:rFonts w:eastAsia="Times New Roman"/>
          <w:i/>
          <w:iCs/>
          <w:color w:val="000000"/>
          <w:sz w:val="20"/>
          <w:szCs w:val="20"/>
        </w:rPr>
        <w:t>e</w:t>
      </w:r>
    </w:p>
    <w:p w14:paraId="2A6298C6" w14:textId="77777777" w:rsidR="00000000" w:rsidRDefault="00195E73">
      <w:pPr>
        <w:ind w:firstLine="450"/>
        <w:divId w:val="759134020"/>
        <w:rPr>
          <w:rFonts w:eastAsia="Times New Roman"/>
        </w:rPr>
      </w:pPr>
      <w:r>
        <w:rPr>
          <w:rFonts w:eastAsia="Times New Roman"/>
          <w:color w:val="000000"/>
          <w:sz w:val="20"/>
          <w:szCs w:val="20"/>
        </w:rPr>
        <w:t xml:space="preserve">We conduct our </w:t>
      </w:r>
      <w:r>
        <w:rPr>
          <w:rFonts w:eastAsia="Times New Roman"/>
          <w:color w:val="000000"/>
          <w:sz w:val="20"/>
          <w:szCs w:val="20"/>
        </w:rPr>
        <w:t xml:space="preserve">Automotive segment through our wholly-owned subsidiary, Icahn Automotive Group LLC (“Icahn Automotive”). Icahn Automotive is engaged in the retail and wholesale distribution of automotive parts in the aftermarket (“aftermarket parts”) as well as providing </w:t>
      </w:r>
      <w:r>
        <w:rPr>
          <w:rFonts w:eastAsia="Times New Roman"/>
          <w:color w:val="000000"/>
          <w:sz w:val="20"/>
          <w:szCs w:val="20"/>
        </w:rPr>
        <w:t xml:space="preserve">automotive repair and maintenance services (“automotive services”) to its customers. Icahn Automotive’s aftermarket parts and automotive services businesses serve different customer channels and have distinct strategies, opportunities and requirements. As </w:t>
      </w:r>
      <w:r>
        <w:rPr>
          <w:rFonts w:eastAsia="Times New Roman"/>
          <w:color w:val="000000"/>
          <w:sz w:val="20"/>
          <w:szCs w:val="20"/>
        </w:rPr>
        <w:t xml:space="preserve">a result, the board of directors of Icahn Automotive has approved the separation of its aftermarket parts and automotive services businesses into two independent operating companies, each with its own Chief Executive Officer and management teams, and both </w:t>
      </w:r>
      <w:r>
        <w:rPr>
          <w:rFonts w:eastAsia="Times New Roman"/>
          <w:color w:val="000000"/>
          <w:sz w:val="20"/>
          <w:szCs w:val="20"/>
        </w:rPr>
        <w:t>of which are supported by a central shared service group.</w:t>
      </w:r>
      <w:r>
        <w:rPr>
          <w:rFonts w:eastAsia="Times New Roman"/>
          <w:color w:val="000000"/>
          <w:sz w:val="20"/>
          <w:szCs w:val="20"/>
        </w:rPr>
        <w:t xml:space="preserve"> </w:t>
      </w:r>
    </w:p>
    <w:p w14:paraId="238BB9CD" w14:textId="77777777" w:rsidR="00000000" w:rsidRDefault="00195E73">
      <w:pPr>
        <w:ind w:firstLine="450"/>
        <w:divId w:val="222909899"/>
        <w:rPr>
          <w:rFonts w:eastAsia="Times New Roman"/>
        </w:rPr>
      </w:pPr>
      <w:r>
        <w:rPr>
          <w:rFonts w:eastAsia="Times New Roman"/>
          <w:color w:val="000000"/>
          <w:sz w:val="20"/>
          <w:szCs w:val="20"/>
        </w:rPr>
        <w:t>Icahn Automotive is the parent company of various automotive businesses acquired in recent years, including the franchise businesses of Precision Tune Auto Care (“Precision Tune”) and American Driv</w:t>
      </w:r>
      <w:r>
        <w:rPr>
          <w:rFonts w:eastAsia="Times New Roman"/>
          <w:color w:val="000000"/>
          <w:sz w:val="20"/>
          <w:szCs w:val="20"/>
        </w:rPr>
        <w:t>eline Systems, the franchisor of AAMCO and Cottman Transmission service centers (“American Driveline”). Precision Tune and American Driveline were acquired in 2017 for an aggregate purchase price of $162 million. Our Automotive segment also includes our se</w:t>
      </w:r>
      <w:r>
        <w:rPr>
          <w:rFonts w:eastAsia="Times New Roman"/>
          <w:color w:val="000000"/>
          <w:sz w:val="20"/>
          <w:szCs w:val="20"/>
        </w:rPr>
        <w:t xml:space="preserve">parate equity method investment in 767 Auto Leasing LLC (“767 Leasing”), a joint venture created by us to purchase vehicles for lease, as described further in Note 3, “Related Party Transactions.” Although 767 Leasing is separate from Icahn Automotive, we </w:t>
      </w:r>
      <w:r>
        <w:rPr>
          <w:rFonts w:eastAsia="Times New Roman"/>
          <w:color w:val="000000"/>
          <w:sz w:val="20"/>
          <w:szCs w:val="20"/>
        </w:rPr>
        <w:t>include it as a component of our Automotive segment due to the nature of the joint venture activities</w:t>
      </w:r>
      <w:r>
        <w:rPr>
          <w:rFonts w:eastAsia="Times New Roman"/>
          <w:color w:val="000000"/>
          <w:sz w:val="20"/>
          <w:szCs w:val="20"/>
        </w:rPr>
        <w:t>.</w:t>
      </w:r>
    </w:p>
    <w:p w14:paraId="4263A718" w14:textId="77777777" w:rsidR="00000000" w:rsidRDefault="00195E73">
      <w:pPr>
        <w:divId w:val="1805348601"/>
        <w:rPr>
          <w:rFonts w:eastAsia="Times New Roman"/>
        </w:rPr>
      </w:pPr>
      <w:r>
        <w:rPr>
          <w:rFonts w:eastAsia="Times New Roman"/>
          <w:i/>
          <w:iCs/>
          <w:color w:val="000000"/>
          <w:sz w:val="20"/>
          <w:szCs w:val="20"/>
        </w:rPr>
        <w:t>Food Packagin</w:t>
      </w:r>
      <w:r>
        <w:rPr>
          <w:rFonts w:eastAsia="Times New Roman"/>
          <w:i/>
          <w:iCs/>
          <w:color w:val="000000"/>
          <w:sz w:val="20"/>
          <w:szCs w:val="20"/>
        </w:rPr>
        <w:t>g</w:t>
      </w:r>
    </w:p>
    <w:p w14:paraId="040E1159" w14:textId="77777777" w:rsidR="00000000" w:rsidRDefault="00195E73">
      <w:pPr>
        <w:ind w:firstLine="450"/>
        <w:divId w:val="2121949929"/>
        <w:rPr>
          <w:rFonts w:eastAsia="Times New Roman"/>
        </w:rPr>
      </w:pPr>
      <w:r>
        <w:rPr>
          <w:rFonts w:eastAsia="Times New Roman"/>
          <w:color w:val="000000"/>
          <w:sz w:val="20"/>
          <w:szCs w:val="20"/>
        </w:rPr>
        <w:t>We conduct our Food Packaging segment through our majority owned subsidiary, Viskase Companies, Inc. (“Viskase”). Viskase is a producer of</w:t>
      </w:r>
      <w:r>
        <w:rPr>
          <w:rFonts w:eastAsia="Times New Roman"/>
          <w:color w:val="000000"/>
          <w:sz w:val="20"/>
          <w:szCs w:val="20"/>
        </w:rPr>
        <w:t xml:space="preserve"> cellulosic, fibrous and plastic casings used to prepare and package processed meat products.</w:t>
      </w:r>
      <w:r>
        <w:rPr>
          <w:rFonts w:eastAsia="Times New Roman"/>
          <w:color w:val="000000"/>
          <w:sz w:val="20"/>
          <w:szCs w:val="20"/>
        </w:rPr>
        <w:t xml:space="preserve"> </w:t>
      </w:r>
    </w:p>
    <w:p w14:paraId="2ABC3DB4" w14:textId="77777777" w:rsidR="00000000" w:rsidRDefault="00195E73">
      <w:pPr>
        <w:ind w:firstLine="450"/>
        <w:divId w:val="720402569"/>
        <w:rPr>
          <w:rFonts w:eastAsia="Times New Roman"/>
        </w:rPr>
      </w:pPr>
      <w:r>
        <w:rPr>
          <w:rFonts w:eastAsia="Times New Roman"/>
          <w:color w:val="000000"/>
          <w:sz w:val="20"/>
          <w:szCs w:val="20"/>
        </w:rPr>
        <w:t>During January 2018, Viskase received $50 million in connection with its common stock rights offering. In connection with this rights offering, we fully exercise</w:t>
      </w:r>
      <w:r>
        <w:rPr>
          <w:rFonts w:eastAsia="Times New Roman"/>
          <w:color w:val="000000"/>
          <w:sz w:val="20"/>
          <w:szCs w:val="20"/>
        </w:rPr>
        <w:t>d our subscription rights under our basic and over subscription privileges to purchase additional shares of Viskase common stock, thereby increasing our ownership of Viskase from 74.6% to 78.6%, for an aggregate additional investment of $44 million.</w:t>
      </w:r>
      <w:r>
        <w:rPr>
          <w:rFonts w:eastAsia="Times New Roman"/>
          <w:color w:val="000000"/>
          <w:sz w:val="20"/>
          <w:szCs w:val="20"/>
        </w:rPr>
        <w:t xml:space="preserve"> </w:t>
      </w:r>
    </w:p>
    <w:p w14:paraId="1297E8FA" w14:textId="77777777" w:rsidR="00000000" w:rsidRDefault="00195E73">
      <w:pPr>
        <w:divId w:val="1511484121"/>
        <w:rPr>
          <w:rFonts w:eastAsia="Times New Roman"/>
        </w:rPr>
      </w:pPr>
      <w:r>
        <w:rPr>
          <w:rFonts w:eastAsia="Times New Roman"/>
          <w:i/>
          <w:iCs/>
          <w:color w:val="000000"/>
          <w:sz w:val="20"/>
          <w:szCs w:val="20"/>
        </w:rPr>
        <w:t>Metal</w:t>
      </w:r>
      <w:r>
        <w:rPr>
          <w:rFonts w:eastAsia="Times New Roman"/>
          <w:i/>
          <w:iCs/>
          <w:color w:val="000000"/>
          <w:sz w:val="20"/>
          <w:szCs w:val="20"/>
        </w:rPr>
        <w:t>s</w:t>
      </w:r>
    </w:p>
    <w:p w14:paraId="68D17657" w14:textId="77777777" w:rsidR="00000000" w:rsidRDefault="00195E73">
      <w:pPr>
        <w:ind w:firstLine="450"/>
        <w:divId w:val="611018275"/>
        <w:rPr>
          <w:rFonts w:eastAsia="Times New Roman"/>
        </w:rPr>
      </w:pPr>
      <w:r>
        <w:rPr>
          <w:rFonts w:eastAsia="Times New Roman"/>
          <w:color w:val="000000"/>
          <w:sz w:val="20"/>
          <w:szCs w:val="20"/>
        </w:rPr>
        <w:t xml:space="preserve">We conduct our Metals segment through our indirect wholly-owned subsidiary, PSC Metals, LLC (“PSC Metals”). PSC Metals is principally engaged in the business of collecting, processing and selling ferrous and non-ferrous metals, as well as the processing </w:t>
      </w:r>
      <w:r>
        <w:rPr>
          <w:rFonts w:eastAsia="Times New Roman"/>
          <w:color w:val="000000"/>
          <w:sz w:val="20"/>
          <w:szCs w:val="20"/>
        </w:rPr>
        <w:t>and distribution of steel pipe and plate products. PSC Metals collects industrial and obsolete scrap metal, processes it into reusable forms and supplies the recycled metals to its customer</w:t>
      </w:r>
      <w:r>
        <w:rPr>
          <w:rFonts w:eastAsia="Times New Roman"/>
          <w:color w:val="000000"/>
          <w:sz w:val="20"/>
          <w:szCs w:val="20"/>
        </w:rPr>
        <w:t>s</w:t>
      </w:r>
      <w:r>
        <w:rPr>
          <w:rFonts w:eastAsia="Times New Roman"/>
          <w:i/>
          <w:iCs/>
          <w:color w:val="000000"/>
          <w:sz w:val="20"/>
          <w:szCs w:val="20"/>
        </w:rPr>
        <w:t>.</w:t>
      </w:r>
    </w:p>
    <w:p w14:paraId="46B5D84C" w14:textId="77777777" w:rsidR="00000000" w:rsidRDefault="00195E73">
      <w:pPr>
        <w:divId w:val="2055037635"/>
        <w:rPr>
          <w:rFonts w:eastAsia="Times New Roman"/>
        </w:rPr>
      </w:pPr>
      <w:r>
        <w:rPr>
          <w:rFonts w:eastAsia="Times New Roman"/>
          <w:i/>
          <w:iCs/>
          <w:color w:val="000000"/>
          <w:sz w:val="20"/>
          <w:szCs w:val="20"/>
        </w:rPr>
        <w:t>Real Estat</w:t>
      </w:r>
      <w:r>
        <w:rPr>
          <w:rFonts w:eastAsia="Times New Roman"/>
          <w:i/>
          <w:iCs/>
          <w:color w:val="000000"/>
          <w:sz w:val="20"/>
          <w:szCs w:val="20"/>
        </w:rPr>
        <w:t>e</w:t>
      </w:r>
    </w:p>
    <w:p w14:paraId="4937BCA4" w14:textId="77777777" w:rsidR="00000000" w:rsidRDefault="00195E73">
      <w:pPr>
        <w:ind w:firstLine="450"/>
        <w:divId w:val="1791700996"/>
        <w:rPr>
          <w:rFonts w:eastAsia="Times New Roman"/>
        </w:rPr>
      </w:pPr>
      <w:r>
        <w:rPr>
          <w:rFonts w:eastAsia="Times New Roman"/>
          <w:color w:val="000000"/>
          <w:sz w:val="20"/>
          <w:szCs w:val="20"/>
        </w:rPr>
        <w:t>Our Real Estate operations consist primarily of rent</w:t>
      </w:r>
      <w:r>
        <w:rPr>
          <w:rFonts w:eastAsia="Times New Roman"/>
          <w:color w:val="000000"/>
          <w:sz w:val="20"/>
          <w:szCs w:val="20"/>
        </w:rPr>
        <w:t>al real estate, property development and associated club activities. Our rental real estate operations consist primarily of office and industrial properties leased to single corporate tenants. Our property development operations are run primarily through a</w:t>
      </w:r>
      <w:r>
        <w:rPr>
          <w:rFonts w:eastAsia="Times New Roman"/>
          <w:color w:val="000000"/>
          <w:sz w:val="20"/>
          <w:szCs w:val="20"/>
        </w:rPr>
        <w:t xml:space="preserve"> real estate investment, management and development subsidiary that focuses primarily on the construction and sale of single-family and multi-family homes, lots in subdivisions and planned communities, and raw land for residential development. Our property</w:t>
      </w:r>
      <w:r>
        <w:rPr>
          <w:rFonts w:eastAsia="Times New Roman"/>
          <w:color w:val="000000"/>
          <w:sz w:val="20"/>
          <w:szCs w:val="20"/>
        </w:rPr>
        <w:t xml:space="preserve"> development locations also operate golf and club operations. In addition, our Real Estate operations also includes a hotel, timeshare and casino resort property in Aruba as well as a casino property in Atlantic City, New Jersey, which ceased operations in</w:t>
      </w:r>
      <w:r>
        <w:rPr>
          <w:rFonts w:eastAsia="Times New Roman"/>
          <w:color w:val="000000"/>
          <w:sz w:val="20"/>
          <w:szCs w:val="20"/>
        </w:rPr>
        <w:t xml:space="preserve"> 2014 prior to our obtaining control of the property</w:t>
      </w:r>
      <w:r>
        <w:rPr>
          <w:rFonts w:eastAsia="Times New Roman"/>
          <w:color w:val="000000"/>
          <w:sz w:val="20"/>
          <w:szCs w:val="20"/>
        </w:rPr>
        <w:t>.</w:t>
      </w:r>
    </w:p>
    <w:p w14:paraId="7A4CC208" w14:textId="77777777" w:rsidR="00000000" w:rsidRDefault="00195E73">
      <w:pPr>
        <w:ind w:firstLine="450"/>
        <w:divId w:val="491874013"/>
        <w:rPr>
          <w:rFonts w:eastAsia="Times New Roman"/>
        </w:rPr>
      </w:pPr>
      <w:r>
        <w:rPr>
          <w:rFonts w:eastAsia="Times New Roman"/>
          <w:color w:val="000000"/>
          <w:sz w:val="20"/>
          <w:szCs w:val="20"/>
        </w:rPr>
        <w:t xml:space="preserve">During 2018, our Real Estate segment sold two commercial rental properties for aggregate proceeds of $179 </w:t>
      </w:r>
      <w:r>
        <w:rPr>
          <w:rFonts w:eastAsia="Times New Roman"/>
          <w:color w:val="000000"/>
          <w:sz w:val="20"/>
          <w:szCs w:val="20"/>
        </w:rPr>
        <w:t>million, resulting in aggregate pretax gain on disposition of assets of $89 million.</w:t>
      </w:r>
      <w:r>
        <w:rPr>
          <w:rFonts w:eastAsia="Times New Roman"/>
          <w:color w:val="000000"/>
          <w:sz w:val="20"/>
          <w:szCs w:val="20"/>
        </w:rPr>
        <w:t xml:space="preserve"> </w:t>
      </w:r>
    </w:p>
    <w:p w14:paraId="6DBCA0AB" w14:textId="77777777" w:rsidR="00000000" w:rsidRDefault="00195E73">
      <w:pPr>
        <w:ind w:firstLine="450"/>
        <w:divId w:val="1217469646"/>
        <w:rPr>
          <w:rFonts w:eastAsia="Times New Roman"/>
        </w:rPr>
      </w:pPr>
      <w:r>
        <w:rPr>
          <w:rFonts w:eastAsia="Times New Roman"/>
          <w:color w:val="000000"/>
          <w:sz w:val="20"/>
          <w:szCs w:val="20"/>
        </w:rPr>
        <w:t>In August 2017, our Real Estate segment sold a development property in Las Vegas, Nevada for $600 million, resulting in a pretax gain on disposition of assets of $456 mil</w:t>
      </w:r>
      <w:r>
        <w:rPr>
          <w:rFonts w:eastAsia="Times New Roman"/>
          <w:color w:val="000000"/>
          <w:sz w:val="20"/>
          <w:szCs w:val="20"/>
        </w:rPr>
        <w:t>lion. The transaction included cash proceeds from the sale of $225 million and two tranches of seller financing totaling $375 million (including a $345 million first-lien mortgage and a $30 million second-lien mortgage). The seller financing receivables we</w:t>
      </w:r>
      <w:r>
        <w:rPr>
          <w:rFonts w:eastAsia="Times New Roman"/>
          <w:color w:val="000000"/>
          <w:sz w:val="20"/>
          <w:szCs w:val="20"/>
        </w:rPr>
        <w:t>re received in full during 2018</w:t>
      </w:r>
      <w:r>
        <w:rPr>
          <w:rFonts w:eastAsia="Times New Roman"/>
          <w:color w:val="000000"/>
          <w:sz w:val="20"/>
          <w:szCs w:val="20"/>
        </w:rPr>
        <w:t>.</w:t>
      </w:r>
    </w:p>
    <w:p w14:paraId="786CB262" w14:textId="77777777" w:rsidR="00000000" w:rsidRDefault="00195E73">
      <w:pPr>
        <w:divId w:val="169831088"/>
        <w:rPr>
          <w:rFonts w:eastAsia="Times New Roman"/>
        </w:rPr>
      </w:pPr>
    </w:p>
    <w:p w14:paraId="7D0459F3" w14:textId="77777777" w:rsidR="00000000" w:rsidRDefault="00195E73">
      <w:pPr>
        <w:jc w:val="center"/>
        <w:divId w:val="20782259"/>
        <w:rPr>
          <w:rFonts w:eastAsia="Times New Roman"/>
        </w:rPr>
      </w:pPr>
      <w:r>
        <w:rPr>
          <w:rFonts w:eastAsia="Times New Roman"/>
          <w:color w:val="000000"/>
          <w:sz w:val="20"/>
          <w:szCs w:val="20"/>
        </w:rPr>
        <w:t>6</w:t>
      </w:r>
      <w:r>
        <w:rPr>
          <w:rFonts w:eastAsia="Times New Roman"/>
          <w:color w:val="000000"/>
          <w:sz w:val="20"/>
          <w:szCs w:val="20"/>
        </w:rPr>
        <w:t>5</w:t>
      </w:r>
    </w:p>
    <w:p w14:paraId="2AFBC553" w14:textId="77777777" w:rsidR="00000000" w:rsidRDefault="00195E73">
      <w:pPr>
        <w:rPr>
          <w:rFonts w:eastAsia="Times New Roman"/>
        </w:rPr>
      </w:pPr>
      <w:r>
        <w:rPr>
          <w:rFonts w:eastAsia="Times New Roman"/>
        </w:rPr>
        <w:pict w14:anchorId="4131A394">
          <v:rect id="_x0000_i1091" style="width:0;height:1.5pt" o:hralign="center" o:hrstd="t" o:hr="t" fillcolor="#a0a0a0" stroked="f"/>
        </w:pict>
      </w:r>
    </w:p>
    <w:p w14:paraId="17CDD959" w14:textId="77777777" w:rsidR="00000000" w:rsidRDefault="00195E73">
      <w:pPr>
        <w:jc w:val="center"/>
        <w:divId w:val="1711108569"/>
        <w:rPr>
          <w:rFonts w:eastAsia="Times New Roman"/>
        </w:rPr>
      </w:pPr>
    </w:p>
    <w:p w14:paraId="4F17D6CA" w14:textId="77777777" w:rsidR="00000000" w:rsidRDefault="00195E73">
      <w:pPr>
        <w:jc w:val="center"/>
        <w:divId w:val="1711108569"/>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6097EAB5" w14:textId="77777777" w:rsidR="00000000" w:rsidRDefault="00195E73">
      <w:pPr>
        <w:jc w:val="center"/>
        <w:divId w:val="1711108569"/>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3F140E1A" w14:textId="77777777" w:rsidR="00000000" w:rsidRDefault="00195E73">
      <w:pPr>
        <w:jc w:val="center"/>
        <w:divId w:val="1711108569"/>
        <w:rPr>
          <w:rFonts w:eastAsia="Times New Roman"/>
        </w:rPr>
      </w:pPr>
    </w:p>
    <w:p w14:paraId="7F6DC7F2" w14:textId="77777777" w:rsidR="00000000" w:rsidRDefault="00195E73">
      <w:pPr>
        <w:jc w:val="center"/>
        <w:divId w:val="1711108569"/>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319C7A36" w14:textId="77777777" w:rsidR="00000000" w:rsidRDefault="00195E73">
      <w:pPr>
        <w:divId w:val="696009078"/>
        <w:rPr>
          <w:rFonts w:eastAsia="Times New Roman"/>
        </w:rPr>
      </w:pPr>
      <w:r>
        <w:rPr>
          <w:rFonts w:eastAsia="Times New Roman"/>
          <w:i/>
          <w:iCs/>
          <w:color w:val="000000"/>
          <w:sz w:val="20"/>
          <w:szCs w:val="20"/>
        </w:rPr>
        <w:t>Home Fashio</w:t>
      </w:r>
      <w:r>
        <w:rPr>
          <w:rFonts w:eastAsia="Times New Roman"/>
          <w:i/>
          <w:iCs/>
          <w:color w:val="000000"/>
          <w:sz w:val="20"/>
          <w:szCs w:val="20"/>
        </w:rPr>
        <w:t>n</w:t>
      </w:r>
    </w:p>
    <w:p w14:paraId="5B0947A7" w14:textId="77777777" w:rsidR="00000000" w:rsidRDefault="00195E73">
      <w:pPr>
        <w:ind w:firstLine="450"/>
        <w:divId w:val="1715740005"/>
        <w:rPr>
          <w:rFonts w:eastAsia="Times New Roman"/>
        </w:rPr>
      </w:pPr>
      <w:r>
        <w:rPr>
          <w:rFonts w:eastAsia="Times New Roman"/>
          <w:color w:val="000000"/>
          <w:sz w:val="20"/>
          <w:szCs w:val="20"/>
        </w:rPr>
        <w:t>We conduct our Home Fashion segme</w:t>
      </w:r>
      <w:r>
        <w:rPr>
          <w:rFonts w:eastAsia="Times New Roman"/>
          <w:color w:val="000000"/>
          <w:sz w:val="20"/>
          <w:szCs w:val="20"/>
        </w:rPr>
        <w:t>nt through our wholly-owned subsidiary, WestPoint Home LLC (“WPH”). WPH’s business consists of manufacturing, sourcing, marketing, distributing and selling home fashion consumer products.</w:t>
      </w:r>
      <w:r>
        <w:rPr>
          <w:rFonts w:eastAsia="Times New Roman"/>
          <w:color w:val="000000"/>
          <w:sz w:val="20"/>
          <w:szCs w:val="20"/>
        </w:rPr>
        <w:t xml:space="preserve"> </w:t>
      </w:r>
    </w:p>
    <w:p w14:paraId="0E0EA9F0" w14:textId="77777777" w:rsidR="00000000" w:rsidRDefault="00195E73">
      <w:pPr>
        <w:divId w:val="984699599"/>
        <w:rPr>
          <w:rFonts w:eastAsia="Times New Roman"/>
        </w:rPr>
      </w:pPr>
      <w:r>
        <w:rPr>
          <w:rFonts w:eastAsia="Times New Roman"/>
          <w:i/>
          <w:iCs/>
          <w:color w:val="000000"/>
          <w:sz w:val="20"/>
          <w:szCs w:val="20"/>
        </w:rPr>
        <w:t>Minin</w:t>
      </w:r>
      <w:r>
        <w:rPr>
          <w:rFonts w:eastAsia="Times New Roman"/>
          <w:i/>
          <w:iCs/>
          <w:color w:val="000000"/>
          <w:sz w:val="20"/>
          <w:szCs w:val="20"/>
        </w:rPr>
        <w:t>g</w:t>
      </w:r>
    </w:p>
    <w:p w14:paraId="639A0E9D" w14:textId="77777777" w:rsidR="00000000" w:rsidRDefault="00195E73">
      <w:pPr>
        <w:ind w:firstLine="450"/>
        <w:divId w:val="2115972548"/>
        <w:rPr>
          <w:rFonts w:eastAsia="Times New Roman"/>
        </w:rPr>
      </w:pPr>
      <w:r>
        <w:rPr>
          <w:rFonts w:eastAsia="Times New Roman"/>
          <w:color w:val="000000"/>
          <w:sz w:val="20"/>
          <w:szCs w:val="20"/>
        </w:rPr>
        <w:t>We conducted our Mining segment through our majority owned s</w:t>
      </w:r>
      <w:r>
        <w:rPr>
          <w:rFonts w:eastAsia="Times New Roman"/>
          <w:color w:val="000000"/>
          <w:sz w:val="20"/>
          <w:szCs w:val="20"/>
        </w:rPr>
        <w:t>ubsidiary, Ferrous Resources Ltd. (“Ferrous Resources”). Ferrous Resources acquired certain rights to iron ore mineral resources in Brazil and develops mining operations and related infrastructure to produce and sell iron ore products to the global steel i</w:t>
      </w:r>
      <w:r>
        <w:rPr>
          <w:rFonts w:eastAsia="Times New Roman"/>
          <w:color w:val="000000"/>
          <w:sz w:val="20"/>
          <w:szCs w:val="20"/>
        </w:rPr>
        <w:t>ndustry. Prior to the sale of Ferrous Resources, as discussed below, we owned approximately 77.2% of its total outstanding common stock.</w:t>
      </w:r>
      <w:r>
        <w:rPr>
          <w:rFonts w:eastAsia="Times New Roman"/>
          <w:color w:val="000000"/>
          <w:sz w:val="20"/>
          <w:szCs w:val="20"/>
        </w:rPr>
        <w:t xml:space="preserve"> </w:t>
      </w:r>
    </w:p>
    <w:p w14:paraId="282F803E" w14:textId="77777777" w:rsidR="00000000" w:rsidRDefault="00195E73">
      <w:pPr>
        <w:ind w:firstLine="405"/>
        <w:divId w:val="1444767873"/>
        <w:rPr>
          <w:rFonts w:eastAsia="Times New Roman"/>
        </w:rPr>
      </w:pPr>
      <w:r>
        <w:rPr>
          <w:rFonts w:eastAsia="Times New Roman"/>
          <w:color w:val="000000"/>
          <w:sz w:val="20"/>
          <w:szCs w:val="20"/>
        </w:rPr>
        <w:t>On December 5, 2018, we announced a definitive agreement to sell Ferrous Resources for total consideration of $550 mil</w:t>
      </w:r>
      <w:r>
        <w:rPr>
          <w:rFonts w:eastAsia="Times New Roman"/>
          <w:color w:val="000000"/>
          <w:sz w:val="20"/>
          <w:szCs w:val="20"/>
        </w:rPr>
        <w:t>lion (including repaid indebtedness). This transaction met all the criteria to be classified as held for sale on December 5, 2018 upon execution of the definitive agreement. On August 1, 2019, we closed on the sale of Ferrous Resources. Our proportionate s</w:t>
      </w:r>
      <w:r>
        <w:rPr>
          <w:rFonts w:eastAsia="Times New Roman"/>
          <w:color w:val="000000"/>
          <w:sz w:val="20"/>
          <w:szCs w:val="20"/>
        </w:rPr>
        <w:t>hare of the cash proceeds from the sale, net of adjustments, was $463 million. As a result of the sale of Ferrous Resources, our Mining segment recorded a pretax gain on disposition of assets of $252 million in 2019. Subsequent to the sale, we no longer op</w:t>
      </w:r>
      <w:r>
        <w:rPr>
          <w:rFonts w:eastAsia="Times New Roman"/>
          <w:color w:val="000000"/>
          <w:sz w:val="20"/>
          <w:szCs w:val="20"/>
        </w:rPr>
        <w:t>erate an active Mining segment.</w:t>
      </w:r>
      <w:r>
        <w:rPr>
          <w:rFonts w:eastAsia="Times New Roman"/>
          <w:color w:val="000000"/>
          <w:sz w:val="20"/>
          <w:szCs w:val="20"/>
        </w:rPr>
        <w:t xml:space="preserve"> </w:t>
      </w:r>
    </w:p>
    <w:p w14:paraId="415790E2" w14:textId="77777777" w:rsidR="00000000" w:rsidRDefault="00195E73">
      <w:pPr>
        <w:divId w:val="1397167451"/>
        <w:rPr>
          <w:rFonts w:eastAsia="Times New Roman"/>
        </w:rPr>
      </w:pPr>
      <w:r>
        <w:rPr>
          <w:rFonts w:eastAsia="Times New Roman"/>
          <w:i/>
          <w:iCs/>
          <w:color w:val="000000"/>
          <w:sz w:val="20"/>
          <w:szCs w:val="20"/>
        </w:rPr>
        <w:t>Railca</w:t>
      </w:r>
      <w:r>
        <w:rPr>
          <w:rFonts w:eastAsia="Times New Roman"/>
          <w:i/>
          <w:iCs/>
          <w:color w:val="000000"/>
          <w:sz w:val="20"/>
          <w:szCs w:val="20"/>
        </w:rPr>
        <w:t>r</w:t>
      </w:r>
    </w:p>
    <w:p w14:paraId="575DF715" w14:textId="77777777" w:rsidR="00000000" w:rsidRDefault="00195E73">
      <w:pPr>
        <w:ind w:firstLine="405"/>
        <w:divId w:val="1356273381"/>
        <w:rPr>
          <w:rFonts w:eastAsia="Times New Roman"/>
        </w:rPr>
      </w:pPr>
      <w:r>
        <w:rPr>
          <w:rFonts w:eastAsia="Times New Roman"/>
          <w:color w:val="000000"/>
          <w:sz w:val="20"/>
          <w:szCs w:val="20"/>
        </w:rPr>
        <w:t>We conducted our Railcar segment through our wholly-owned subsidiary, American Railcar Leasing, LLC (“ARL”</w:t>
      </w:r>
      <w:r>
        <w:rPr>
          <w:rFonts w:eastAsia="Times New Roman"/>
          <w:color w:val="000000"/>
          <w:sz w:val="20"/>
          <w:szCs w:val="20"/>
        </w:rPr>
        <w:t>). ARL operated a leasing business consisting of purchased railcars leased to third parties under operating leases.</w:t>
      </w:r>
      <w:r>
        <w:rPr>
          <w:rFonts w:eastAsia="Times New Roman"/>
          <w:color w:val="000000"/>
          <w:sz w:val="20"/>
          <w:szCs w:val="20"/>
        </w:rPr>
        <w:t xml:space="preserve"> </w:t>
      </w:r>
    </w:p>
    <w:p w14:paraId="4ADCB752" w14:textId="77777777" w:rsidR="00000000" w:rsidRDefault="00195E73">
      <w:pPr>
        <w:ind w:firstLine="450"/>
        <w:divId w:val="1683315148"/>
        <w:rPr>
          <w:rFonts w:eastAsia="Times New Roman"/>
        </w:rPr>
      </w:pPr>
      <w:r>
        <w:rPr>
          <w:rFonts w:eastAsia="Times New Roman"/>
          <w:color w:val="000000"/>
          <w:sz w:val="20"/>
          <w:szCs w:val="20"/>
        </w:rPr>
        <w:t>During 2017, we sold ARL and a majority of its railcar lease fleet for aggregate cash consideration of approximately $1.8 billion and reass</w:t>
      </w:r>
      <w:r>
        <w:rPr>
          <w:rFonts w:eastAsia="Times New Roman"/>
          <w:color w:val="000000"/>
          <w:sz w:val="20"/>
          <w:szCs w:val="20"/>
        </w:rPr>
        <w:t>igned the debt of ARL to the purchaser. During 2018, we sold all remaining railcars of ARL not previously sold for additional cash consideration of $17 million. In connection with these transactions, we recorded a pretax gain on disposition of assets of ap</w:t>
      </w:r>
      <w:r>
        <w:rPr>
          <w:rFonts w:eastAsia="Times New Roman"/>
          <w:color w:val="000000"/>
          <w:sz w:val="20"/>
          <w:szCs w:val="20"/>
        </w:rPr>
        <w:t>proximately $1.7 billion in 2017 and an additional pretax gain of $5 million in 2018.</w:t>
      </w:r>
      <w:r>
        <w:rPr>
          <w:rFonts w:eastAsia="Times New Roman"/>
          <w:color w:val="000000"/>
          <w:sz w:val="20"/>
          <w:szCs w:val="20"/>
        </w:rPr>
        <w:t xml:space="preserve"> </w:t>
      </w:r>
    </w:p>
    <w:p w14:paraId="1071A4B3" w14:textId="77777777" w:rsidR="00000000" w:rsidRDefault="00195E73">
      <w:pPr>
        <w:ind w:firstLine="450"/>
        <w:divId w:val="184367197"/>
        <w:rPr>
          <w:rFonts w:eastAsia="Times New Roman"/>
        </w:rPr>
      </w:pPr>
      <w:r>
        <w:rPr>
          <w:rFonts w:eastAsia="Times New Roman"/>
          <w:color w:val="000000"/>
          <w:sz w:val="20"/>
          <w:szCs w:val="20"/>
        </w:rPr>
        <w:t>As a result of the sale of all remaining railcars during 2018, our business no longer includes an active Railcar segment</w:t>
      </w:r>
      <w:r>
        <w:rPr>
          <w:rFonts w:eastAsia="Times New Roman"/>
          <w:color w:val="000000"/>
          <w:sz w:val="20"/>
          <w:szCs w:val="20"/>
        </w:rPr>
        <w:t>.</w:t>
      </w:r>
    </w:p>
    <w:p w14:paraId="72C82DAF" w14:textId="77777777" w:rsidR="00000000" w:rsidRDefault="00195E73">
      <w:pPr>
        <w:divId w:val="1709918229"/>
        <w:rPr>
          <w:rFonts w:eastAsia="Times New Roman"/>
        </w:rPr>
      </w:pPr>
      <w:r>
        <w:rPr>
          <w:rFonts w:eastAsia="Times New Roman"/>
          <w:b/>
          <w:bCs/>
          <w:i/>
          <w:iCs/>
          <w:color w:val="000000"/>
          <w:sz w:val="20"/>
          <w:szCs w:val="20"/>
        </w:rPr>
        <w:t>Description of Discontinued Operating Businesse</w:t>
      </w:r>
      <w:r>
        <w:rPr>
          <w:rFonts w:eastAsia="Times New Roman"/>
          <w:b/>
          <w:bCs/>
          <w:i/>
          <w:iCs/>
          <w:color w:val="000000"/>
          <w:sz w:val="20"/>
          <w:szCs w:val="20"/>
        </w:rPr>
        <w:t>s</w:t>
      </w:r>
    </w:p>
    <w:p w14:paraId="048D776F" w14:textId="77777777" w:rsidR="00000000" w:rsidRDefault="00195E73">
      <w:pPr>
        <w:ind w:firstLine="450"/>
        <w:divId w:val="2054423472"/>
        <w:rPr>
          <w:rFonts w:eastAsia="Times New Roman"/>
        </w:rPr>
      </w:pPr>
      <w:r>
        <w:rPr>
          <w:rFonts w:eastAsia="Times New Roman"/>
          <w:color w:val="000000"/>
          <w:sz w:val="20"/>
          <w:szCs w:val="20"/>
        </w:rPr>
        <w:t xml:space="preserve">We also report discontinued operations previously reported in our Automotive and Railcar segments and former Gaming segment. In addition below, see Note 14, “Discontinued Operations,” for additional information with respect to our discontinued operating </w:t>
      </w:r>
      <w:r>
        <w:rPr>
          <w:rFonts w:eastAsia="Times New Roman"/>
          <w:color w:val="000000"/>
          <w:sz w:val="20"/>
          <w:szCs w:val="20"/>
        </w:rPr>
        <w:t>businesses.</w:t>
      </w:r>
      <w:r>
        <w:rPr>
          <w:rFonts w:eastAsia="Times New Roman"/>
          <w:color w:val="000000"/>
          <w:sz w:val="20"/>
          <w:szCs w:val="20"/>
        </w:rPr>
        <w:t xml:space="preserve"> </w:t>
      </w:r>
    </w:p>
    <w:p w14:paraId="422B7D52" w14:textId="77777777" w:rsidR="00000000" w:rsidRDefault="00195E73">
      <w:pPr>
        <w:divId w:val="2109688249"/>
        <w:rPr>
          <w:rFonts w:eastAsia="Times New Roman"/>
        </w:rPr>
      </w:pPr>
      <w:r>
        <w:rPr>
          <w:rFonts w:eastAsia="Times New Roman"/>
          <w:i/>
          <w:iCs/>
          <w:color w:val="000000"/>
          <w:sz w:val="20"/>
          <w:szCs w:val="20"/>
        </w:rPr>
        <w:t>Automotiv</w:t>
      </w:r>
      <w:r>
        <w:rPr>
          <w:rFonts w:eastAsia="Times New Roman"/>
          <w:i/>
          <w:iCs/>
          <w:color w:val="000000"/>
          <w:sz w:val="20"/>
          <w:szCs w:val="20"/>
        </w:rPr>
        <w:t>e</w:t>
      </w:r>
    </w:p>
    <w:p w14:paraId="19737BC6" w14:textId="77777777" w:rsidR="00000000" w:rsidRDefault="00195E73">
      <w:pPr>
        <w:ind w:firstLine="450"/>
        <w:divId w:val="1496258648"/>
        <w:rPr>
          <w:rFonts w:eastAsia="Times New Roman"/>
        </w:rPr>
      </w:pPr>
      <w:r>
        <w:rPr>
          <w:rFonts w:eastAsia="Times New Roman"/>
          <w:color w:val="000000"/>
          <w:sz w:val="20"/>
          <w:szCs w:val="20"/>
        </w:rPr>
        <w:t>Our discontinued Automotive operations consists of our previously wholly-owned subsidiary, Federal-Mogul LLC (“Federal-Mogul”). During January 2017, we increased our ownership in Federal-Mogul from 82.0% to 100% for an aggregate pur</w:t>
      </w:r>
      <w:r>
        <w:rPr>
          <w:rFonts w:eastAsia="Times New Roman"/>
          <w:color w:val="000000"/>
          <w:sz w:val="20"/>
          <w:szCs w:val="20"/>
        </w:rPr>
        <w:t>chase price of $305 million.</w:t>
      </w:r>
      <w:r>
        <w:rPr>
          <w:rFonts w:eastAsia="Times New Roman"/>
          <w:color w:val="000000"/>
          <w:sz w:val="20"/>
          <w:szCs w:val="20"/>
        </w:rPr>
        <w:t xml:space="preserve"> </w:t>
      </w:r>
    </w:p>
    <w:p w14:paraId="7E600B41" w14:textId="77777777" w:rsidR="00000000" w:rsidRDefault="00195E73">
      <w:pPr>
        <w:ind w:firstLine="450"/>
        <w:divId w:val="1935698728"/>
        <w:rPr>
          <w:rFonts w:eastAsia="Times New Roman"/>
        </w:rPr>
      </w:pPr>
      <w:r>
        <w:rPr>
          <w:rFonts w:eastAsia="Times New Roman"/>
          <w:color w:val="000000"/>
          <w:sz w:val="20"/>
          <w:szCs w:val="20"/>
        </w:rPr>
        <w:t>On October 1, 2018, we closed on the previously announced sale of Federal-Mogul to Tenneco Inc. (“Tenneco”). In connection with the sale, we received $800 million in cash and approximately 29.5 million shares of Tenneco common</w:t>
      </w:r>
      <w:r>
        <w:rPr>
          <w:rFonts w:eastAsia="Times New Roman"/>
          <w:color w:val="000000"/>
          <w:sz w:val="20"/>
          <w:szCs w:val="20"/>
        </w:rPr>
        <w:t xml:space="preserve"> stock, of which approximately 23.8 million shares are non-voting shares that will convert to voting shares if and when sold. The remaining approximately 5.7 million voting shares received by us represents approximately 9.9% of the aggregate voting interes</w:t>
      </w:r>
      <w:r>
        <w:rPr>
          <w:rFonts w:eastAsia="Times New Roman"/>
          <w:color w:val="000000"/>
          <w:sz w:val="20"/>
          <w:szCs w:val="20"/>
        </w:rPr>
        <w:t xml:space="preserve">t in Tenneco. There were restrictions on how many shares of Tenneco common stock that could be sold by us within the first 150 days after the closing of the sale. The voting and non-voting shares of Tenneco common stock have the same economic value. As of </w:t>
      </w:r>
      <w:r>
        <w:rPr>
          <w:rFonts w:eastAsia="Times New Roman"/>
          <w:color w:val="000000"/>
          <w:sz w:val="20"/>
          <w:szCs w:val="20"/>
        </w:rPr>
        <w:t>October 1, 2018, the approximately 29.5 million voting and non-voting shares of Tenneco common stock had a fair market value of approximately $1.2 billion, which our Holding Company will hold and record as a Level 1 investment measured at fair value on a r</w:t>
      </w:r>
      <w:r>
        <w:rPr>
          <w:rFonts w:eastAsia="Times New Roman"/>
          <w:color w:val="000000"/>
          <w:sz w:val="20"/>
          <w:szCs w:val="20"/>
        </w:rPr>
        <w:t>ecurring basis. In addition, Federal-Mogul’s outstanding debt was assumed by Tenneco.</w:t>
      </w:r>
      <w:r>
        <w:rPr>
          <w:rFonts w:eastAsia="Times New Roman"/>
          <w:color w:val="000000"/>
          <w:sz w:val="20"/>
          <w:szCs w:val="20"/>
        </w:rPr>
        <w:t xml:space="preserve"> </w:t>
      </w:r>
    </w:p>
    <w:p w14:paraId="459CC2E2" w14:textId="77777777" w:rsidR="00000000" w:rsidRDefault="00195E73">
      <w:pPr>
        <w:ind w:firstLine="450"/>
        <w:divId w:val="360788558"/>
        <w:rPr>
          <w:rFonts w:eastAsia="Times New Roman"/>
        </w:rPr>
      </w:pPr>
      <w:r>
        <w:rPr>
          <w:rFonts w:eastAsia="Times New Roman"/>
          <w:color w:val="000000"/>
          <w:sz w:val="20"/>
          <w:szCs w:val="20"/>
        </w:rPr>
        <w:t>As a result of the sale of Federal-Mogul, we recorded a pretax gain on sale of discontinued operations attributable to Icahn Enterprises of $251 million in the fourth qu</w:t>
      </w:r>
      <w:r>
        <w:rPr>
          <w:rFonts w:eastAsia="Times New Roman"/>
          <w:color w:val="000000"/>
          <w:sz w:val="20"/>
          <w:szCs w:val="20"/>
        </w:rPr>
        <w:t>arter of 2018</w:t>
      </w:r>
      <w:r>
        <w:rPr>
          <w:rFonts w:eastAsia="Times New Roman"/>
          <w:color w:val="000000"/>
          <w:sz w:val="20"/>
          <w:szCs w:val="20"/>
        </w:rPr>
        <w:t>.</w:t>
      </w:r>
    </w:p>
    <w:p w14:paraId="29ED4520" w14:textId="77777777" w:rsidR="00000000" w:rsidRDefault="00195E73">
      <w:pPr>
        <w:divId w:val="1867406063"/>
        <w:rPr>
          <w:rFonts w:eastAsia="Times New Roman"/>
        </w:rPr>
      </w:pPr>
      <w:r>
        <w:rPr>
          <w:rFonts w:eastAsia="Times New Roman"/>
          <w:i/>
          <w:iCs/>
          <w:color w:val="000000"/>
          <w:sz w:val="20"/>
          <w:szCs w:val="20"/>
        </w:rPr>
        <w:t>Gamin</w:t>
      </w:r>
      <w:r>
        <w:rPr>
          <w:rFonts w:eastAsia="Times New Roman"/>
          <w:i/>
          <w:iCs/>
          <w:color w:val="000000"/>
          <w:sz w:val="20"/>
          <w:szCs w:val="20"/>
        </w:rPr>
        <w:t>g</w:t>
      </w:r>
    </w:p>
    <w:p w14:paraId="0E819B1E" w14:textId="77777777" w:rsidR="00000000" w:rsidRDefault="00195E73">
      <w:pPr>
        <w:ind w:firstLine="450"/>
        <w:divId w:val="751203205"/>
        <w:rPr>
          <w:rFonts w:eastAsia="Times New Roman"/>
        </w:rPr>
      </w:pPr>
      <w:r>
        <w:rPr>
          <w:rFonts w:eastAsia="Times New Roman"/>
          <w:color w:val="000000"/>
          <w:sz w:val="20"/>
          <w:szCs w:val="20"/>
        </w:rPr>
        <w:t xml:space="preserve">Our discontinued Gaming operations consists of our previous majority ownership in Tropicana Entertainment Inc. (“Tropicana”) and the Trump Taj Mahal Casino Resort (“Taj Mahal”). In August 2017, we increased our ownership in Tropicana </w:t>
      </w:r>
      <w:r>
        <w:rPr>
          <w:rFonts w:eastAsia="Times New Roman"/>
          <w:color w:val="000000"/>
          <w:sz w:val="20"/>
          <w:szCs w:val="20"/>
        </w:rPr>
        <w:t>from 72.5% to 83.9% through a tender offer for additional shares of Tropicana common stock not already owned by us for an aggregate purchase price of $95 million. In addition, Tropicana repurchased and retired shares of its common stock in</w:t>
      </w:r>
      <w:r>
        <w:rPr>
          <w:rFonts w:eastAsia="Times New Roman"/>
          <w:color w:val="000000"/>
          <w:sz w:val="20"/>
          <w:szCs w:val="20"/>
        </w:rPr>
        <w:t xml:space="preserve"> </w:t>
      </w:r>
    </w:p>
    <w:p w14:paraId="1D28941C" w14:textId="77777777" w:rsidR="00000000" w:rsidRDefault="00195E73">
      <w:pPr>
        <w:jc w:val="center"/>
        <w:divId w:val="1498155046"/>
        <w:rPr>
          <w:rFonts w:eastAsia="Times New Roman"/>
        </w:rPr>
      </w:pPr>
      <w:r>
        <w:rPr>
          <w:rFonts w:eastAsia="Times New Roman"/>
          <w:color w:val="000000"/>
          <w:sz w:val="20"/>
          <w:szCs w:val="20"/>
        </w:rPr>
        <w:t>6</w:t>
      </w:r>
      <w:r>
        <w:rPr>
          <w:rFonts w:eastAsia="Times New Roman"/>
          <w:color w:val="000000"/>
          <w:sz w:val="20"/>
          <w:szCs w:val="20"/>
        </w:rPr>
        <w:t>6</w:t>
      </w:r>
    </w:p>
    <w:p w14:paraId="38C6B137" w14:textId="77777777" w:rsidR="00000000" w:rsidRDefault="00195E73">
      <w:pPr>
        <w:rPr>
          <w:rFonts w:eastAsia="Times New Roman"/>
        </w:rPr>
      </w:pPr>
      <w:r>
        <w:rPr>
          <w:rFonts w:eastAsia="Times New Roman"/>
        </w:rPr>
        <w:pict w14:anchorId="285D4068">
          <v:rect id="_x0000_i1092" style="width:0;height:1.5pt" o:hralign="center" o:hrstd="t" o:hr="t" fillcolor="#a0a0a0" stroked="f"/>
        </w:pict>
      </w:r>
    </w:p>
    <w:p w14:paraId="398969EA" w14:textId="77777777" w:rsidR="00000000" w:rsidRDefault="00195E73">
      <w:pPr>
        <w:jc w:val="center"/>
        <w:divId w:val="280459770"/>
        <w:rPr>
          <w:rFonts w:eastAsia="Times New Roman"/>
        </w:rPr>
      </w:pPr>
    </w:p>
    <w:p w14:paraId="67B1152A" w14:textId="77777777" w:rsidR="00000000" w:rsidRDefault="00195E73">
      <w:pPr>
        <w:jc w:val="center"/>
        <w:divId w:val="280459770"/>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0F85E053" w14:textId="77777777" w:rsidR="00000000" w:rsidRDefault="00195E73">
      <w:pPr>
        <w:jc w:val="center"/>
        <w:divId w:val="280459770"/>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1DFB917E" w14:textId="77777777" w:rsidR="00000000" w:rsidRDefault="00195E73">
      <w:pPr>
        <w:jc w:val="center"/>
        <w:divId w:val="280459770"/>
        <w:rPr>
          <w:rFonts w:eastAsia="Times New Roman"/>
        </w:rPr>
      </w:pPr>
    </w:p>
    <w:p w14:paraId="5709513C" w14:textId="77777777" w:rsidR="00000000" w:rsidRDefault="00195E73">
      <w:pPr>
        <w:jc w:val="center"/>
        <w:divId w:val="280459770"/>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1B7E490F" w14:textId="77777777" w:rsidR="00000000" w:rsidRDefault="00195E73">
      <w:pPr>
        <w:divId w:val="318850255"/>
        <w:rPr>
          <w:rFonts w:eastAsia="Times New Roman"/>
        </w:rPr>
      </w:pPr>
      <w:r>
        <w:rPr>
          <w:rFonts w:eastAsia="Times New Roman"/>
          <w:color w:val="000000"/>
          <w:sz w:val="20"/>
          <w:szCs w:val="20"/>
        </w:rPr>
        <w:t>connection with this tender offer for an aggregate purchase price of $36 million. Taj Mahal clos</w:t>
      </w:r>
      <w:r>
        <w:rPr>
          <w:rFonts w:eastAsia="Times New Roman"/>
          <w:color w:val="000000"/>
          <w:sz w:val="20"/>
          <w:szCs w:val="20"/>
        </w:rPr>
        <w:t>ed in October 2016 and was subsequently sold on March 31, 2017.</w:t>
      </w:r>
      <w:r>
        <w:rPr>
          <w:rFonts w:eastAsia="Times New Roman"/>
          <w:color w:val="000000"/>
          <w:sz w:val="20"/>
          <w:szCs w:val="20"/>
        </w:rPr>
        <w:t xml:space="preserve"> </w:t>
      </w:r>
    </w:p>
    <w:p w14:paraId="56C58B41" w14:textId="77777777" w:rsidR="00000000" w:rsidRDefault="00195E73">
      <w:pPr>
        <w:ind w:firstLine="450"/>
        <w:divId w:val="1747727080"/>
        <w:rPr>
          <w:rFonts w:eastAsia="Times New Roman"/>
        </w:rPr>
      </w:pPr>
      <w:r>
        <w:rPr>
          <w:rFonts w:eastAsia="Times New Roman"/>
          <w:color w:val="000000"/>
          <w:sz w:val="20"/>
          <w:szCs w:val="20"/>
        </w:rPr>
        <w:t xml:space="preserve">On October 1, 2018, Tropicana closed on the previously announced real estate sales and merger transaction for aggregate cash consideration, net of adjustments, of approximately $1.8 billion. </w:t>
      </w:r>
      <w:r>
        <w:rPr>
          <w:rFonts w:eastAsia="Times New Roman"/>
          <w:color w:val="000000"/>
          <w:sz w:val="20"/>
          <w:szCs w:val="20"/>
        </w:rPr>
        <w:t>The transaction did not include Tropicana Aruba Resort and Casino, which was retained by us and is now reported within our Real Estate segment. Our proportionate share of the cash proceeds, net of adjustments, was approximately $1.5 billion</w:t>
      </w:r>
      <w:r>
        <w:rPr>
          <w:rFonts w:eastAsia="Times New Roman"/>
          <w:color w:val="000000"/>
          <w:sz w:val="20"/>
          <w:szCs w:val="20"/>
        </w:rPr>
        <w:t>.</w:t>
      </w:r>
    </w:p>
    <w:p w14:paraId="737C2F67" w14:textId="77777777" w:rsidR="00000000" w:rsidRDefault="00195E73">
      <w:pPr>
        <w:ind w:firstLine="450"/>
        <w:divId w:val="251857068"/>
        <w:rPr>
          <w:rFonts w:eastAsia="Times New Roman"/>
        </w:rPr>
      </w:pPr>
      <w:r>
        <w:rPr>
          <w:rFonts w:eastAsia="Times New Roman"/>
          <w:color w:val="000000"/>
          <w:sz w:val="20"/>
          <w:szCs w:val="20"/>
        </w:rPr>
        <w:t>As a result of</w:t>
      </w:r>
      <w:r>
        <w:rPr>
          <w:rFonts w:eastAsia="Times New Roman"/>
          <w:color w:val="000000"/>
          <w:sz w:val="20"/>
          <w:szCs w:val="20"/>
        </w:rPr>
        <w:t xml:space="preserve"> the sale of Tropicana, we recorded a pretax gain on sale of discontinued operations attributable to Icahn Enterprises of $779 million in the fourth quarter of 2018</w:t>
      </w:r>
      <w:r>
        <w:rPr>
          <w:rFonts w:eastAsia="Times New Roman"/>
          <w:color w:val="000000"/>
          <w:sz w:val="20"/>
          <w:szCs w:val="20"/>
        </w:rPr>
        <w:t>.</w:t>
      </w:r>
    </w:p>
    <w:p w14:paraId="7E3366BE" w14:textId="77777777" w:rsidR="00000000" w:rsidRDefault="00195E73">
      <w:pPr>
        <w:divId w:val="1267038824"/>
        <w:rPr>
          <w:rFonts w:eastAsia="Times New Roman"/>
        </w:rPr>
      </w:pPr>
      <w:r>
        <w:rPr>
          <w:rFonts w:eastAsia="Times New Roman"/>
          <w:i/>
          <w:iCs/>
          <w:color w:val="000000"/>
          <w:sz w:val="20"/>
          <w:szCs w:val="20"/>
        </w:rPr>
        <w:t>Railca</w:t>
      </w:r>
      <w:r>
        <w:rPr>
          <w:rFonts w:eastAsia="Times New Roman"/>
          <w:i/>
          <w:iCs/>
          <w:color w:val="000000"/>
          <w:sz w:val="20"/>
          <w:szCs w:val="20"/>
        </w:rPr>
        <w:t>r</w:t>
      </w:r>
    </w:p>
    <w:p w14:paraId="14F98F9F" w14:textId="77777777" w:rsidR="00000000" w:rsidRDefault="00195E73">
      <w:pPr>
        <w:ind w:firstLine="450"/>
        <w:divId w:val="485706678"/>
        <w:rPr>
          <w:rFonts w:eastAsia="Times New Roman"/>
        </w:rPr>
      </w:pPr>
      <w:r>
        <w:rPr>
          <w:rFonts w:eastAsia="Times New Roman"/>
          <w:color w:val="000000"/>
          <w:sz w:val="20"/>
          <w:szCs w:val="20"/>
        </w:rPr>
        <w:t>Our discontinued Railcar operations consists of our previous majority ownership in</w:t>
      </w:r>
      <w:r>
        <w:rPr>
          <w:rFonts w:eastAsia="Times New Roman"/>
          <w:color w:val="000000"/>
          <w:sz w:val="20"/>
          <w:szCs w:val="20"/>
        </w:rPr>
        <w:t xml:space="preserve"> American Railcar Industries, Inc. (“ARI”). On December 5, 2018, we closed on the previously announced sale of ARI for aggregate cash consideration of</w:t>
      </w:r>
      <w:r>
        <w:rPr>
          <w:rFonts w:eastAsia="Times New Roman"/>
          <w:color w:val="000000"/>
          <w:sz w:val="20"/>
          <w:szCs w:val="20"/>
        </w:rPr>
        <w:t xml:space="preserve"> </w:t>
      </w:r>
      <w:r>
        <w:rPr>
          <w:rFonts w:eastAsia="Times New Roman"/>
          <w:color w:val="000000"/>
          <w:sz w:val="20"/>
          <w:szCs w:val="20"/>
          <w:shd w:val="clear" w:color="auto" w:fill="FFFFFF"/>
        </w:rPr>
        <w:t>$831 millio</w:t>
      </w:r>
      <w:r>
        <w:rPr>
          <w:rFonts w:eastAsia="Times New Roman"/>
          <w:color w:val="000000"/>
          <w:sz w:val="20"/>
          <w:szCs w:val="20"/>
          <w:shd w:val="clear" w:color="auto" w:fill="FFFFFF"/>
        </w:rPr>
        <w:t>n</w:t>
      </w:r>
      <w:r>
        <w:rPr>
          <w:rFonts w:eastAsia="Times New Roman"/>
          <w:color w:val="000000"/>
          <w:sz w:val="20"/>
          <w:szCs w:val="20"/>
        </w:rPr>
        <w:t>.</w:t>
      </w:r>
    </w:p>
    <w:p w14:paraId="45077F55" w14:textId="77777777" w:rsidR="00000000" w:rsidRDefault="00195E73">
      <w:pPr>
        <w:ind w:firstLine="450"/>
        <w:divId w:val="730272019"/>
        <w:rPr>
          <w:rFonts w:eastAsia="Times New Roman"/>
        </w:rPr>
      </w:pPr>
      <w:r>
        <w:rPr>
          <w:rFonts w:eastAsia="Times New Roman"/>
          <w:color w:val="000000"/>
          <w:sz w:val="20"/>
          <w:szCs w:val="20"/>
        </w:rPr>
        <w:t>As a result of the sale of ARI, we recorded a pretax gain on sale of discontinued operations attributable to Icahn Enterprises of $400 million in the fourth quarter of 2018</w:t>
      </w:r>
      <w:r>
        <w:rPr>
          <w:rFonts w:eastAsia="Times New Roman"/>
          <w:color w:val="000000"/>
          <w:sz w:val="20"/>
          <w:szCs w:val="20"/>
        </w:rPr>
        <w:t>.</w:t>
      </w:r>
    </w:p>
    <w:p w14:paraId="4BACBF0A" w14:textId="77777777" w:rsidR="00000000" w:rsidRDefault="00195E73">
      <w:pPr>
        <w:divId w:val="414280153"/>
        <w:rPr>
          <w:rFonts w:eastAsia="Times New Roman"/>
        </w:rPr>
      </w:pPr>
    </w:p>
    <w:p w14:paraId="3D29B055" w14:textId="77777777" w:rsidR="00000000" w:rsidRDefault="00195E73">
      <w:pPr>
        <w:divId w:val="1622684563"/>
        <w:rPr>
          <w:rFonts w:eastAsia="Times New Roman"/>
        </w:rPr>
      </w:pPr>
    </w:p>
    <w:p w14:paraId="035E9495" w14:textId="77777777" w:rsidR="00000000" w:rsidRDefault="00195E73">
      <w:pPr>
        <w:ind w:hanging="360"/>
        <w:divId w:val="438064724"/>
        <w:rPr>
          <w:rFonts w:eastAsia="Times New Roman"/>
        </w:rPr>
      </w:pPr>
      <w:r>
        <w:rPr>
          <w:rFonts w:eastAsia="Times New Roman"/>
          <w:b/>
          <w:bCs/>
          <w:color w:val="000000"/>
          <w:sz w:val="20"/>
          <w:szCs w:val="20"/>
        </w:rPr>
        <w:t>2. Basis of Presentation and Summary of Significant Accounting Policies</w:t>
      </w:r>
      <w:r>
        <w:rPr>
          <w:rFonts w:eastAsia="Times New Roman"/>
          <w:b/>
          <w:bCs/>
          <w:color w:val="000000"/>
          <w:sz w:val="20"/>
          <w:szCs w:val="20"/>
        </w:rPr>
        <w:t>.</w:t>
      </w:r>
    </w:p>
    <w:p w14:paraId="5E76DA97" w14:textId="77777777" w:rsidR="00000000" w:rsidRDefault="00195E73">
      <w:pPr>
        <w:ind w:firstLine="450"/>
        <w:divId w:val="1973360939"/>
        <w:rPr>
          <w:rFonts w:eastAsia="Times New Roman"/>
        </w:rPr>
      </w:pPr>
      <w:r>
        <w:rPr>
          <w:rFonts w:eastAsia="Times New Roman"/>
          <w:color w:val="000000"/>
          <w:sz w:val="20"/>
          <w:szCs w:val="20"/>
        </w:rPr>
        <w:t>The audited consolidated financial statements have been prepared in accordance with accounting principles generally accepted in the United States (“U.S. GAAP”)</w:t>
      </w:r>
      <w:r>
        <w:rPr>
          <w:rFonts w:eastAsia="Times New Roman"/>
          <w:color w:val="000000"/>
          <w:sz w:val="20"/>
          <w:szCs w:val="20"/>
        </w:rPr>
        <w:t>.</w:t>
      </w:r>
    </w:p>
    <w:p w14:paraId="10ACB11E" w14:textId="77777777" w:rsidR="00000000" w:rsidRDefault="00195E73">
      <w:pPr>
        <w:ind w:firstLine="450"/>
        <w:divId w:val="619267093"/>
        <w:rPr>
          <w:rFonts w:eastAsia="Times New Roman"/>
        </w:rPr>
      </w:pPr>
      <w:r>
        <w:rPr>
          <w:rFonts w:eastAsia="Times New Roman"/>
          <w:color w:val="000000"/>
          <w:sz w:val="20"/>
          <w:szCs w:val="20"/>
        </w:rPr>
        <w:t xml:space="preserve">We conduct and plan to continue to conduct our activities in such a manner as not to be deemed </w:t>
      </w:r>
      <w:r>
        <w:rPr>
          <w:rFonts w:eastAsia="Times New Roman"/>
          <w:color w:val="000000"/>
          <w:sz w:val="20"/>
          <w:szCs w:val="20"/>
        </w:rPr>
        <w:t>an investment company under the Investment Company Act of 1940, as amended (the “Investment Company Act”). Therefore, no more than 40% of our total assets can be invested in investment securities, as such term is defined in the Investment Company Act. In a</w:t>
      </w:r>
      <w:r>
        <w:rPr>
          <w:rFonts w:eastAsia="Times New Roman"/>
          <w:color w:val="000000"/>
          <w:sz w:val="20"/>
          <w:szCs w:val="20"/>
        </w:rPr>
        <w:t xml:space="preserve">ddition, we do not invest or intend to invest in securities as our primary business. We intend to structure our investments to continue to be taxed as a partnership rather than as a corporation under the applicable publicly traded partnership rules of the </w:t>
      </w:r>
      <w:r>
        <w:rPr>
          <w:rFonts w:eastAsia="Times New Roman"/>
          <w:color w:val="000000"/>
          <w:sz w:val="20"/>
          <w:szCs w:val="20"/>
        </w:rPr>
        <w:t>Internal Revenue Code, as amended</w:t>
      </w:r>
      <w:r>
        <w:rPr>
          <w:rFonts w:eastAsia="Times New Roman"/>
          <w:color w:val="000000"/>
          <w:sz w:val="20"/>
          <w:szCs w:val="20"/>
        </w:rPr>
        <w:t>.</w:t>
      </w:r>
    </w:p>
    <w:p w14:paraId="4C1392B5" w14:textId="77777777" w:rsidR="00000000" w:rsidRDefault="00195E73">
      <w:pPr>
        <w:ind w:firstLine="450"/>
        <w:divId w:val="2025550768"/>
        <w:rPr>
          <w:rFonts w:eastAsia="Times New Roman"/>
        </w:rPr>
      </w:pPr>
      <w:r>
        <w:rPr>
          <w:rFonts w:eastAsia="Times New Roman"/>
          <w:color w:val="000000"/>
          <w:sz w:val="20"/>
          <w:szCs w:val="20"/>
        </w:rPr>
        <w:t>Events beyond our control, including significant appreciation or depreciation in the market value of certain of our publicly traded holdings or adverse developments with respect to our ownership of certain of our subsidia</w:t>
      </w:r>
      <w:r>
        <w:rPr>
          <w:rFonts w:eastAsia="Times New Roman"/>
          <w:color w:val="000000"/>
          <w:sz w:val="20"/>
          <w:szCs w:val="20"/>
        </w:rPr>
        <w:t>ries, could result in our inadvertently becoming an investment company that is required to register under the Investment Company Act. Our recent sales of Federal-Mogul, Tropicana and ARI did not result in our being considered an investment company. However</w:t>
      </w:r>
      <w:r>
        <w:rPr>
          <w:rFonts w:eastAsia="Times New Roman"/>
          <w:color w:val="000000"/>
          <w:sz w:val="20"/>
          <w:szCs w:val="20"/>
        </w:rPr>
        <w:t>, additional transactions involving the sale of certain assets could result in our being considered an investment company. Following such events or transactions, an exemption under the Investment Company Act would provide us up to one year to take steps to</w:t>
      </w:r>
      <w:r>
        <w:rPr>
          <w:rFonts w:eastAsia="Times New Roman"/>
          <w:color w:val="000000"/>
          <w:sz w:val="20"/>
          <w:szCs w:val="20"/>
        </w:rPr>
        <w:t xml:space="preserve"> avoid becoming classified as an investment company. We expect to take steps to avoid becoming classified as an investment company, but no assurance can be made that we will successfully be able to take the steps necessary to avoid becoming classified as a</w:t>
      </w:r>
      <w:r>
        <w:rPr>
          <w:rFonts w:eastAsia="Times New Roman"/>
          <w:color w:val="000000"/>
          <w:sz w:val="20"/>
          <w:szCs w:val="20"/>
        </w:rPr>
        <w:t>n investment company</w:t>
      </w:r>
      <w:r>
        <w:rPr>
          <w:rFonts w:eastAsia="Times New Roman"/>
          <w:color w:val="000000"/>
          <w:sz w:val="20"/>
          <w:szCs w:val="20"/>
        </w:rPr>
        <w:t>.</w:t>
      </w:r>
    </w:p>
    <w:p w14:paraId="25EFF62F" w14:textId="77777777" w:rsidR="00000000" w:rsidRDefault="00195E73">
      <w:pPr>
        <w:divId w:val="1180849841"/>
        <w:rPr>
          <w:rFonts w:eastAsia="Times New Roman"/>
        </w:rPr>
      </w:pPr>
      <w:r>
        <w:rPr>
          <w:rFonts w:eastAsia="Times New Roman"/>
          <w:b/>
          <w:bCs/>
          <w:i/>
          <w:iCs/>
          <w:color w:val="000000"/>
          <w:sz w:val="20"/>
          <w:szCs w:val="20"/>
        </w:rPr>
        <w:t>Principles of Consolidatio</w:t>
      </w:r>
      <w:r>
        <w:rPr>
          <w:rFonts w:eastAsia="Times New Roman"/>
          <w:b/>
          <w:bCs/>
          <w:i/>
          <w:iCs/>
          <w:color w:val="000000"/>
          <w:sz w:val="20"/>
          <w:szCs w:val="20"/>
        </w:rPr>
        <w:t>n</w:t>
      </w:r>
    </w:p>
    <w:p w14:paraId="01C4270B" w14:textId="77777777" w:rsidR="00000000" w:rsidRDefault="00195E73">
      <w:pPr>
        <w:ind w:firstLine="450"/>
        <w:divId w:val="1610552608"/>
        <w:rPr>
          <w:rFonts w:eastAsia="Times New Roman"/>
        </w:rPr>
      </w:pPr>
      <w:r>
        <w:rPr>
          <w:rFonts w:eastAsia="Times New Roman"/>
          <w:color w:val="000000"/>
          <w:sz w:val="20"/>
          <w:szCs w:val="20"/>
        </w:rPr>
        <w:t>As of</w:t>
      </w:r>
      <w:r>
        <w:rPr>
          <w:rFonts w:eastAsia="Times New Roman"/>
          <w:color w:val="000000"/>
          <w:sz w:val="20"/>
          <w:szCs w:val="20"/>
        </w:rPr>
        <w:t xml:space="preserve"> </w:t>
      </w:r>
      <w:r>
        <w:rPr>
          <w:rFonts w:eastAsia="Times New Roman"/>
          <w:color w:val="000000"/>
          <w:sz w:val="20"/>
          <w:szCs w:val="20"/>
          <w:shd w:val="clear" w:color="auto" w:fill="FFFFFF"/>
        </w:rPr>
        <w:t>December 31, 201</w:t>
      </w:r>
      <w:r>
        <w:rPr>
          <w:rFonts w:eastAsia="Times New Roman"/>
          <w:color w:val="000000"/>
          <w:sz w:val="20"/>
          <w:szCs w:val="20"/>
          <w:shd w:val="clear" w:color="auto" w:fill="FFFFFF"/>
        </w:rPr>
        <w:t>9</w:t>
      </w:r>
      <w:r>
        <w:rPr>
          <w:rFonts w:eastAsia="Times New Roman"/>
          <w:color w:val="000000"/>
          <w:sz w:val="20"/>
          <w:szCs w:val="20"/>
        </w:rPr>
        <w:t>, our consolidated financial statements include the accounts of (i) Icahn Enterprises and Icahn Enterprises Holdings and (ii) the wholly and majority owned subsidiaries of Icahn Enter</w:t>
      </w:r>
      <w:r>
        <w:rPr>
          <w:rFonts w:eastAsia="Times New Roman"/>
          <w:color w:val="000000"/>
          <w:sz w:val="20"/>
          <w:szCs w:val="20"/>
        </w:rPr>
        <w:t>prises and Icahn Enterprises Holdings, in addition to variable interest entities (“VIEs”) in which we are the primary beneficiary. In evaluating whether we have a controlling financial interest in entities that we consolidate, we consider the following: (1</w:t>
      </w:r>
      <w:r>
        <w:rPr>
          <w:rFonts w:eastAsia="Times New Roman"/>
          <w:color w:val="000000"/>
          <w:sz w:val="20"/>
          <w:szCs w:val="20"/>
        </w:rPr>
        <w:t>) for voting interest entities, including limited partnerships and similar entities that are not VIEs, we consolidate these entities in which we own a majority of the voting interests; and (2) for VIEs, we consolidate these entities in which we are the pri</w:t>
      </w:r>
      <w:r>
        <w:rPr>
          <w:rFonts w:eastAsia="Times New Roman"/>
          <w:color w:val="000000"/>
          <w:sz w:val="20"/>
          <w:szCs w:val="20"/>
        </w:rPr>
        <w:t>mary beneficiary. See below for a discussion of our VIEs. Kick-out rights, which are the rights underlying the limited partners’ ability to dissolve the limited partnership or otherwise remove the general partners, held through voting interests of partners</w:t>
      </w:r>
      <w:r>
        <w:rPr>
          <w:rFonts w:eastAsia="Times New Roman"/>
          <w:color w:val="000000"/>
          <w:sz w:val="20"/>
          <w:szCs w:val="20"/>
        </w:rPr>
        <w:t>hips and similar entities that are not VIEs are considered the equivalent of the equity interests of corporations that are not VIEs</w:t>
      </w:r>
      <w:r>
        <w:rPr>
          <w:rFonts w:eastAsia="Times New Roman"/>
          <w:color w:val="000000"/>
          <w:sz w:val="20"/>
          <w:szCs w:val="20"/>
        </w:rPr>
        <w:t>.</w:t>
      </w:r>
    </w:p>
    <w:p w14:paraId="5D1A8CCA" w14:textId="77777777" w:rsidR="00000000" w:rsidRDefault="00195E73">
      <w:pPr>
        <w:ind w:firstLine="450"/>
        <w:divId w:val="1986348740"/>
        <w:rPr>
          <w:rFonts w:eastAsia="Times New Roman"/>
        </w:rPr>
      </w:pPr>
      <w:r>
        <w:rPr>
          <w:rFonts w:eastAsia="Times New Roman"/>
          <w:color w:val="000000"/>
          <w:sz w:val="20"/>
          <w:szCs w:val="20"/>
        </w:rPr>
        <w:t>Except for our Investment segment, for equity investments in which we own 50% or less but greater than 20%, we generally ac</w:t>
      </w:r>
      <w:r>
        <w:rPr>
          <w:rFonts w:eastAsia="Times New Roman"/>
          <w:color w:val="000000"/>
          <w:sz w:val="20"/>
          <w:szCs w:val="20"/>
        </w:rPr>
        <w:t>count for such investments using the equity method. All other equity investments are accounted for at fair value.</w:t>
      </w:r>
      <w:r>
        <w:rPr>
          <w:rFonts w:eastAsia="Times New Roman"/>
          <w:color w:val="000000"/>
          <w:sz w:val="20"/>
          <w:szCs w:val="20"/>
        </w:rPr>
        <w:t xml:space="preserve"> </w:t>
      </w:r>
    </w:p>
    <w:p w14:paraId="5E97F946" w14:textId="77777777" w:rsidR="00000000" w:rsidRDefault="00195E73">
      <w:pPr>
        <w:divId w:val="1656030404"/>
        <w:rPr>
          <w:rFonts w:eastAsia="Times New Roman"/>
        </w:rPr>
      </w:pPr>
      <w:r>
        <w:rPr>
          <w:rFonts w:eastAsia="Times New Roman"/>
          <w:b/>
          <w:bCs/>
          <w:i/>
          <w:iCs/>
          <w:color w:val="000000"/>
          <w:sz w:val="20"/>
          <w:szCs w:val="20"/>
        </w:rPr>
        <w:t>Discontinued Operations and Held For Sal</w:t>
      </w:r>
      <w:r>
        <w:rPr>
          <w:rFonts w:eastAsia="Times New Roman"/>
          <w:b/>
          <w:bCs/>
          <w:i/>
          <w:iCs/>
          <w:color w:val="000000"/>
          <w:sz w:val="20"/>
          <w:szCs w:val="20"/>
        </w:rPr>
        <w:t>e</w:t>
      </w:r>
    </w:p>
    <w:p w14:paraId="0742E5C0" w14:textId="77777777" w:rsidR="00000000" w:rsidRDefault="00195E73">
      <w:pPr>
        <w:ind w:firstLine="450"/>
        <w:divId w:val="1443265273"/>
        <w:rPr>
          <w:rFonts w:eastAsia="Times New Roman"/>
        </w:rPr>
      </w:pPr>
      <w:r>
        <w:rPr>
          <w:rFonts w:eastAsia="Times New Roman"/>
          <w:color w:val="000000"/>
          <w:sz w:val="20"/>
          <w:szCs w:val="20"/>
        </w:rPr>
        <w:t>We classify assets and liabilities as held for sale when management, having the authority to approv</w:t>
      </w:r>
      <w:r>
        <w:rPr>
          <w:rFonts w:eastAsia="Times New Roman"/>
          <w:color w:val="000000"/>
          <w:sz w:val="20"/>
          <w:szCs w:val="20"/>
        </w:rPr>
        <w:t>e the action, commits to a plan to sell the disposal group, the sale is probable within one year, and the disposal group is available for immediate sale</w:t>
      </w:r>
      <w:r>
        <w:rPr>
          <w:rFonts w:eastAsia="Times New Roman"/>
          <w:color w:val="000000"/>
          <w:sz w:val="20"/>
          <w:szCs w:val="20"/>
        </w:rPr>
        <w:t xml:space="preserve"> </w:t>
      </w:r>
    </w:p>
    <w:p w14:paraId="2C7498C5" w14:textId="77777777" w:rsidR="00000000" w:rsidRDefault="00195E73">
      <w:pPr>
        <w:jc w:val="center"/>
        <w:divId w:val="1047334061"/>
        <w:rPr>
          <w:rFonts w:eastAsia="Times New Roman"/>
        </w:rPr>
      </w:pPr>
      <w:r>
        <w:rPr>
          <w:rFonts w:eastAsia="Times New Roman"/>
          <w:color w:val="000000"/>
          <w:sz w:val="20"/>
          <w:szCs w:val="20"/>
        </w:rPr>
        <w:t>6</w:t>
      </w:r>
      <w:r>
        <w:rPr>
          <w:rFonts w:eastAsia="Times New Roman"/>
          <w:color w:val="000000"/>
          <w:sz w:val="20"/>
          <w:szCs w:val="20"/>
        </w:rPr>
        <w:t>7</w:t>
      </w:r>
    </w:p>
    <w:p w14:paraId="101582E1" w14:textId="77777777" w:rsidR="00000000" w:rsidRDefault="00195E73">
      <w:pPr>
        <w:rPr>
          <w:rFonts w:eastAsia="Times New Roman"/>
        </w:rPr>
      </w:pPr>
      <w:r>
        <w:rPr>
          <w:rFonts w:eastAsia="Times New Roman"/>
        </w:rPr>
        <w:pict w14:anchorId="1C7C8EE1">
          <v:rect id="_x0000_i1093" style="width:0;height:1.5pt" o:hralign="center" o:hrstd="t" o:hr="t" fillcolor="#a0a0a0" stroked="f"/>
        </w:pict>
      </w:r>
    </w:p>
    <w:p w14:paraId="244AA5E4" w14:textId="77777777" w:rsidR="00000000" w:rsidRDefault="00195E73">
      <w:pPr>
        <w:jc w:val="center"/>
        <w:divId w:val="1674799342"/>
        <w:rPr>
          <w:rFonts w:eastAsia="Times New Roman"/>
        </w:rPr>
      </w:pPr>
    </w:p>
    <w:p w14:paraId="5ECADF7D" w14:textId="77777777" w:rsidR="00000000" w:rsidRDefault="00195E73">
      <w:pPr>
        <w:jc w:val="center"/>
        <w:divId w:val="1674799342"/>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27EC9913" w14:textId="77777777" w:rsidR="00000000" w:rsidRDefault="00195E73">
      <w:pPr>
        <w:jc w:val="center"/>
        <w:divId w:val="1674799342"/>
        <w:rPr>
          <w:rFonts w:eastAsia="Times New Roman"/>
        </w:rPr>
      </w:pPr>
      <w:r>
        <w:rPr>
          <w:rFonts w:eastAsia="Times New Roman"/>
          <w:b/>
          <w:bCs/>
          <w:color w:val="000000"/>
          <w:sz w:val="20"/>
          <w:szCs w:val="20"/>
        </w:rPr>
        <w:t>ICAHN ENTERPRISES HO</w:t>
      </w:r>
      <w:r>
        <w:rPr>
          <w:rFonts w:eastAsia="Times New Roman"/>
          <w:b/>
          <w:bCs/>
          <w:color w:val="000000"/>
          <w:sz w:val="20"/>
          <w:szCs w:val="20"/>
        </w:rPr>
        <w:t>LDINGS L.P. AND SUBSIDIARIE</w:t>
      </w:r>
      <w:r>
        <w:rPr>
          <w:rFonts w:eastAsia="Times New Roman"/>
          <w:b/>
          <w:bCs/>
          <w:color w:val="000000"/>
          <w:sz w:val="20"/>
          <w:szCs w:val="20"/>
        </w:rPr>
        <w:t>S</w:t>
      </w:r>
    </w:p>
    <w:p w14:paraId="3AB93F80" w14:textId="77777777" w:rsidR="00000000" w:rsidRDefault="00195E73">
      <w:pPr>
        <w:jc w:val="center"/>
        <w:divId w:val="1674799342"/>
        <w:rPr>
          <w:rFonts w:eastAsia="Times New Roman"/>
        </w:rPr>
      </w:pPr>
    </w:p>
    <w:p w14:paraId="6FC5E3EB" w14:textId="77777777" w:rsidR="00000000" w:rsidRDefault="00195E73">
      <w:pPr>
        <w:jc w:val="center"/>
        <w:divId w:val="1674799342"/>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15C5A715" w14:textId="77777777" w:rsidR="00000000" w:rsidRDefault="00195E73">
      <w:pPr>
        <w:divId w:val="212616246"/>
        <w:rPr>
          <w:rFonts w:eastAsia="Times New Roman"/>
        </w:rPr>
      </w:pPr>
      <w:r>
        <w:rPr>
          <w:rFonts w:eastAsia="Times New Roman"/>
          <w:color w:val="000000"/>
          <w:sz w:val="20"/>
          <w:szCs w:val="20"/>
        </w:rPr>
        <w:t>in its present condition. We also consider whether an active program to locate a buyer has been initiated, whether the disposal group is marketed actively for sale at a price that is</w:t>
      </w:r>
      <w:r>
        <w:rPr>
          <w:rFonts w:eastAsia="Times New Roman"/>
          <w:color w:val="000000"/>
          <w:sz w:val="20"/>
          <w:szCs w:val="20"/>
        </w:rPr>
        <w:t xml:space="preserve"> reasonable in relation to its current fair value, and whether actions required to complete the plan indicate it is unlikely significant changes to the plan will be made or the plan will be withdrawn</w:t>
      </w:r>
      <w:r>
        <w:rPr>
          <w:rFonts w:eastAsia="Times New Roman"/>
          <w:color w:val="000000"/>
          <w:sz w:val="20"/>
          <w:szCs w:val="20"/>
        </w:rPr>
        <w:t>.</w:t>
      </w:r>
    </w:p>
    <w:p w14:paraId="5AA79C15" w14:textId="77777777" w:rsidR="00000000" w:rsidRDefault="00195E73">
      <w:pPr>
        <w:ind w:firstLine="450"/>
        <w:divId w:val="2061243416"/>
        <w:rPr>
          <w:rFonts w:eastAsia="Times New Roman"/>
        </w:rPr>
      </w:pPr>
      <w:r>
        <w:rPr>
          <w:rFonts w:eastAsia="Times New Roman"/>
          <w:color w:val="000000"/>
          <w:sz w:val="20"/>
          <w:szCs w:val="20"/>
        </w:rPr>
        <w:t>In accordance with U.S. GAAP, we classify operations as</w:t>
      </w:r>
      <w:r>
        <w:rPr>
          <w:rFonts w:eastAsia="Times New Roman"/>
          <w:color w:val="000000"/>
          <w:sz w:val="20"/>
          <w:szCs w:val="20"/>
        </w:rPr>
        <w:t xml:space="preserve"> discontinued when they meet all the criteria to be classified as held for sale and when the sale represents a strategic shift that will have a major impact on our financial condition and results of operations.</w:t>
      </w:r>
      <w:r>
        <w:rPr>
          <w:rFonts w:eastAsia="Times New Roman"/>
          <w:color w:val="000000"/>
          <w:sz w:val="20"/>
          <w:szCs w:val="20"/>
        </w:rPr>
        <w:t xml:space="preserve"> </w:t>
      </w:r>
    </w:p>
    <w:p w14:paraId="6B1BA818" w14:textId="77777777" w:rsidR="00000000" w:rsidRDefault="00195E73">
      <w:pPr>
        <w:divId w:val="1815026139"/>
        <w:rPr>
          <w:rFonts w:eastAsia="Times New Roman"/>
        </w:rPr>
      </w:pPr>
      <w:r>
        <w:rPr>
          <w:rFonts w:eastAsia="Times New Roman"/>
          <w:b/>
          <w:bCs/>
          <w:i/>
          <w:iCs/>
          <w:color w:val="000000"/>
          <w:sz w:val="20"/>
          <w:szCs w:val="20"/>
        </w:rPr>
        <w:t>Change in Accounting Principl</w:t>
      </w:r>
      <w:r>
        <w:rPr>
          <w:rFonts w:eastAsia="Times New Roman"/>
          <w:b/>
          <w:bCs/>
          <w:i/>
          <w:iCs/>
          <w:color w:val="000000"/>
          <w:sz w:val="20"/>
          <w:szCs w:val="20"/>
        </w:rPr>
        <w:t>e</w:t>
      </w:r>
    </w:p>
    <w:p w14:paraId="1F0C9216" w14:textId="77777777" w:rsidR="00000000" w:rsidRDefault="00195E73">
      <w:pPr>
        <w:ind w:firstLine="450"/>
        <w:divId w:val="2115006958"/>
        <w:rPr>
          <w:rFonts w:eastAsia="Times New Roman"/>
        </w:rPr>
      </w:pPr>
      <w:r>
        <w:rPr>
          <w:rFonts w:eastAsia="Times New Roman"/>
          <w:color w:val="000000"/>
          <w:sz w:val="20"/>
          <w:szCs w:val="20"/>
        </w:rPr>
        <w:t>Effective Jan</w:t>
      </w:r>
      <w:r>
        <w:rPr>
          <w:rFonts w:eastAsia="Times New Roman"/>
          <w:color w:val="000000"/>
          <w:sz w:val="20"/>
          <w:szCs w:val="20"/>
        </w:rPr>
        <w:t>uary 1, 2019, CVR Energy revised its accounting policy method for the costs of planned major maintenance activities (“turnarounds”) specific to its petroleum business from being expensed as incurred (the direct expensing method) to the deferral method. Tur</w:t>
      </w:r>
      <w:r>
        <w:rPr>
          <w:rFonts w:eastAsia="Times New Roman"/>
          <w:color w:val="000000"/>
          <w:sz w:val="20"/>
          <w:szCs w:val="20"/>
        </w:rPr>
        <w:t>narounds are planned shutdowns of refinery processing units for significant overhaul and refurbishment. Under the deferral method, the costs of turnarounds are deferred and amortized on a straight-line basis over a four-year period, which represents the es</w:t>
      </w:r>
      <w:r>
        <w:rPr>
          <w:rFonts w:eastAsia="Times New Roman"/>
          <w:color w:val="000000"/>
          <w:sz w:val="20"/>
          <w:szCs w:val="20"/>
        </w:rPr>
        <w:t>timated time until the next turnaround occurs. The new method of accounting for turnarounds is considered preferable as it is more consistent with the accounting policy of CVR Energy’s peer companies and better reflects the economic substance of the benefi</w:t>
      </w:r>
      <w:r>
        <w:rPr>
          <w:rFonts w:eastAsia="Times New Roman"/>
          <w:color w:val="000000"/>
          <w:sz w:val="20"/>
          <w:szCs w:val="20"/>
        </w:rPr>
        <w:t>ts earned from turnaround expenditures. The comparative consolidated balance sheet as of December 31, 2018 and the consolidated statements of operations and cash flows for the years ended December 31, 2018 and 2017 have been retrospectively adjusted to app</w:t>
      </w:r>
      <w:r>
        <w:rPr>
          <w:rFonts w:eastAsia="Times New Roman"/>
          <w:color w:val="000000"/>
          <w:sz w:val="20"/>
          <w:szCs w:val="20"/>
        </w:rPr>
        <w:t>ly the new accounting method. These turnaround costs, and related accumulated amortization, are included within other assets in the consolidated balance sheets. The amortization expense related to turnaround costs is included in cost of goods sold in the c</w:t>
      </w:r>
      <w:r>
        <w:rPr>
          <w:rFonts w:eastAsia="Times New Roman"/>
          <w:color w:val="000000"/>
          <w:sz w:val="20"/>
          <w:szCs w:val="20"/>
        </w:rPr>
        <w:t>onsolidated statement of operations. CVR Partners will continue to follow the direct expensing method, therefore this change had no impact on its current or comparative consolidated financial statements</w:t>
      </w:r>
      <w:r>
        <w:rPr>
          <w:rFonts w:eastAsia="Times New Roman"/>
          <w:color w:val="000000"/>
          <w:sz w:val="20"/>
          <w:szCs w:val="20"/>
        </w:rPr>
        <w:t>.</w:t>
      </w:r>
    </w:p>
    <w:p w14:paraId="404D2917" w14:textId="77777777" w:rsidR="00000000" w:rsidRDefault="00195E73">
      <w:pPr>
        <w:ind w:firstLine="450"/>
        <w:divId w:val="1949894663"/>
        <w:rPr>
          <w:rFonts w:eastAsia="Times New Roman"/>
        </w:rPr>
      </w:pPr>
      <w:r>
        <w:rPr>
          <w:rFonts w:eastAsia="Times New Roman"/>
          <w:color w:val="000000"/>
          <w:sz w:val="20"/>
          <w:szCs w:val="20"/>
        </w:rPr>
        <w:t>As a result of this accounting change, our Energy se</w:t>
      </w:r>
      <w:r>
        <w:rPr>
          <w:rFonts w:eastAsia="Times New Roman"/>
          <w:color w:val="000000"/>
          <w:sz w:val="20"/>
          <w:szCs w:val="20"/>
        </w:rPr>
        <w:t>gment increased other assets by $108 million and decreased property, plant and equipment, net by $15 million as of December 31, 2018. In addition, our Energy segment increased deferred tax liability by $18 million and total equity by $75 million, including</w:t>
      </w:r>
      <w:r>
        <w:rPr>
          <w:rFonts w:eastAsia="Times New Roman"/>
          <w:color w:val="000000"/>
          <w:sz w:val="20"/>
          <w:szCs w:val="20"/>
        </w:rPr>
        <w:t xml:space="preserve"> $31 million attributable to Icahn Enterprises and Icahn Enterprises Holdings as of December 31, 2018</w:t>
      </w:r>
      <w:r>
        <w:rPr>
          <w:rFonts w:eastAsia="Times New Roman"/>
          <w:color w:val="000000"/>
          <w:sz w:val="20"/>
          <w:szCs w:val="20"/>
        </w:rPr>
        <w:t>.</w:t>
      </w:r>
    </w:p>
    <w:p w14:paraId="6B2E1BB0" w14:textId="77777777" w:rsidR="00000000" w:rsidRDefault="00195E73">
      <w:pPr>
        <w:ind w:firstLine="450"/>
        <w:divId w:val="243610941"/>
        <w:rPr>
          <w:rFonts w:eastAsia="Times New Roman"/>
        </w:rPr>
      </w:pPr>
      <w:r>
        <w:rPr>
          <w:rFonts w:eastAsia="Times New Roman"/>
          <w:color w:val="000000"/>
          <w:sz w:val="20"/>
          <w:szCs w:val="20"/>
        </w:rPr>
        <w:t>The impact of the accounting change on our statements of operations is summarized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883"/>
        <w:gridCol w:w="39"/>
        <w:gridCol w:w="136"/>
        <w:gridCol w:w="859"/>
        <w:gridCol w:w="90"/>
        <w:gridCol w:w="36"/>
        <w:gridCol w:w="36"/>
        <w:gridCol w:w="36"/>
        <w:gridCol w:w="136"/>
        <w:gridCol w:w="841"/>
        <w:gridCol w:w="88"/>
        <w:gridCol w:w="36"/>
        <w:gridCol w:w="36"/>
        <w:gridCol w:w="36"/>
        <w:gridCol w:w="136"/>
        <w:gridCol w:w="740"/>
        <w:gridCol w:w="86"/>
        <w:gridCol w:w="36"/>
        <w:gridCol w:w="36"/>
        <w:gridCol w:w="36"/>
        <w:gridCol w:w="136"/>
        <w:gridCol w:w="859"/>
        <w:gridCol w:w="90"/>
        <w:gridCol w:w="36"/>
        <w:gridCol w:w="36"/>
        <w:gridCol w:w="36"/>
        <w:gridCol w:w="136"/>
        <w:gridCol w:w="841"/>
        <w:gridCol w:w="88"/>
        <w:gridCol w:w="36"/>
        <w:gridCol w:w="36"/>
        <w:gridCol w:w="36"/>
        <w:gridCol w:w="136"/>
        <w:gridCol w:w="741"/>
        <w:gridCol w:w="8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33041CD6" w14:textId="77777777">
        <w:trPr>
          <w:gridAfter w:val="24"/>
          <w:divId w:val="1157651963"/>
        </w:trPr>
        <w:tc>
          <w:tcPr>
            <w:tcW w:w="50" w:type="pct"/>
            <w:vAlign w:val="center"/>
            <w:hideMark/>
          </w:tcPr>
          <w:p w14:paraId="62E921F3" w14:textId="77777777" w:rsidR="00000000" w:rsidRDefault="00195E73">
            <w:pPr>
              <w:ind w:firstLine="450"/>
              <w:rPr>
                <w:rFonts w:eastAsia="Times New Roman"/>
              </w:rPr>
            </w:pPr>
          </w:p>
        </w:tc>
        <w:tc>
          <w:tcPr>
            <w:tcW w:w="1288" w:type="pct"/>
            <w:vAlign w:val="center"/>
            <w:hideMark/>
          </w:tcPr>
          <w:p w14:paraId="24C86097" w14:textId="77777777" w:rsidR="00000000" w:rsidRDefault="00195E73">
            <w:pPr>
              <w:rPr>
                <w:rFonts w:eastAsia="Times New Roman"/>
                <w:sz w:val="20"/>
                <w:szCs w:val="20"/>
              </w:rPr>
            </w:pPr>
          </w:p>
        </w:tc>
        <w:tc>
          <w:tcPr>
            <w:tcW w:w="50" w:type="pct"/>
            <w:vAlign w:val="center"/>
            <w:hideMark/>
          </w:tcPr>
          <w:p w14:paraId="362E3741" w14:textId="77777777" w:rsidR="00000000" w:rsidRDefault="00195E73">
            <w:pPr>
              <w:rPr>
                <w:rFonts w:eastAsia="Times New Roman"/>
                <w:sz w:val="20"/>
                <w:szCs w:val="20"/>
              </w:rPr>
            </w:pPr>
          </w:p>
        </w:tc>
        <w:tc>
          <w:tcPr>
            <w:tcW w:w="50" w:type="pct"/>
            <w:vAlign w:val="center"/>
            <w:hideMark/>
          </w:tcPr>
          <w:p w14:paraId="260A8D82" w14:textId="77777777" w:rsidR="00000000" w:rsidRDefault="00195E73">
            <w:pPr>
              <w:rPr>
                <w:rFonts w:eastAsia="Times New Roman"/>
                <w:sz w:val="20"/>
                <w:szCs w:val="20"/>
              </w:rPr>
            </w:pPr>
          </w:p>
        </w:tc>
        <w:tc>
          <w:tcPr>
            <w:tcW w:w="477" w:type="pct"/>
            <w:vAlign w:val="center"/>
            <w:hideMark/>
          </w:tcPr>
          <w:p w14:paraId="7DE38658" w14:textId="77777777" w:rsidR="00000000" w:rsidRDefault="00195E73">
            <w:pPr>
              <w:rPr>
                <w:rFonts w:eastAsia="Times New Roman"/>
                <w:sz w:val="20"/>
                <w:szCs w:val="20"/>
              </w:rPr>
            </w:pPr>
          </w:p>
        </w:tc>
        <w:tc>
          <w:tcPr>
            <w:tcW w:w="50" w:type="pct"/>
            <w:vAlign w:val="center"/>
            <w:hideMark/>
          </w:tcPr>
          <w:p w14:paraId="1CA5E12C" w14:textId="77777777" w:rsidR="00000000" w:rsidRDefault="00195E73">
            <w:pPr>
              <w:rPr>
                <w:rFonts w:eastAsia="Times New Roman"/>
                <w:sz w:val="20"/>
                <w:szCs w:val="20"/>
              </w:rPr>
            </w:pPr>
          </w:p>
        </w:tc>
        <w:tc>
          <w:tcPr>
            <w:tcW w:w="5" w:type="pct"/>
            <w:vAlign w:val="center"/>
            <w:hideMark/>
          </w:tcPr>
          <w:p w14:paraId="22BC0A8F" w14:textId="77777777" w:rsidR="00000000" w:rsidRDefault="00195E73">
            <w:pPr>
              <w:rPr>
                <w:rFonts w:eastAsia="Times New Roman"/>
                <w:sz w:val="20"/>
                <w:szCs w:val="20"/>
              </w:rPr>
            </w:pPr>
          </w:p>
        </w:tc>
        <w:tc>
          <w:tcPr>
            <w:tcW w:w="19" w:type="pct"/>
            <w:vAlign w:val="center"/>
            <w:hideMark/>
          </w:tcPr>
          <w:p w14:paraId="22EDE4EC" w14:textId="77777777" w:rsidR="00000000" w:rsidRDefault="00195E73">
            <w:pPr>
              <w:rPr>
                <w:rFonts w:eastAsia="Times New Roman"/>
                <w:sz w:val="20"/>
                <w:szCs w:val="20"/>
              </w:rPr>
            </w:pPr>
          </w:p>
        </w:tc>
        <w:tc>
          <w:tcPr>
            <w:tcW w:w="5" w:type="pct"/>
            <w:vAlign w:val="center"/>
            <w:hideMark/>
          </w:tcPr>
          <w:p w14:paraId="1B73E477" w14:textId="77777777" w:rsidR="00000000" w:rsidRDefault="00195E73">
            <w:pPr>
              <w:rPr>
                <w:rFonts w:eastAsia="Times New Roman"/>
                <w:sz w:val="20"/>
                <w:szCs w:val="20"/>
              </w:rPr>
            </w:pPr>
          </w:p>
        </w:tc>
        <w:tc>
          <w:tcPr>
            <w:tcW w:w="50" w:type="pct"/>
            <w:vAlign w:val="center"/>
            <w:hideMark/>
          </w:tcPr>
          <w:p w14:paraId="48105B95" w14:textId="77777777" w:rsidR="00000000" w:rsidRDefault="00195E73">
            <w:pPr>
              <w:rPr>
                <w:rFonts w:eastAsia="Times New Roman"/>
                <w:sz w:val="20"/>
                <w:szCs w:val="20"/>
              </w:rPr>
            </w:pPr>
          </w:p>
        </w:tc>
        <w:tc>
          <w:tcPr>
            <w:tcW w:w="477" w:type="pct"/>
            <w:vAlign w:val="center"/>
            <w:hideMark/>
          </w:tcPr>
          <w:p w14:paraId="36963F5E" w14:textId="77777777" w:rsidR="00000000" w:rsidRDefault="00195E73">
            <w:pPr>
              <w:rPr>
                <w:rFonts w:eastAsia="Times New Roman"/>
                <w:sz w:val="20"/>
                <w:szCs w:val="20"/>
              </w:rPr>
            </w:pPr>
          </w:p>
        </w:tc>
        <w:tc>
          <w:tcPr>
            <w:tcW w:w="50" w:type="pct"/>
            <w:vAlign w:val="center"/>
            <w:hideMark/>
          </w:tcPr>
          <w:p w14:paraId="3D09C3A1" w14:textId="77777777" w:rsidR="00000000" w:rsidRDefault="00195E73">
            <w:pPr>
              <w:rPr>
                <w:rFonts w:eastAsia="Times New Roman"/>
                <w:sz w:val="20"/>
                <w:szCs w:val="20"/>
              </w:rPr>
            </w:pPr>
          </w:p>
        </w:tc>
        <w:tc>
          <w:tcPr>
            <w:tcW w:w="5" w:type="pct"/>
            <w:vAlign w:val="center"/>
            <w:hideMark/>
          </w:tcPr>
          <w:p w14:paraId="3AA2C018" w14:textId="77777777" w:rsidR="00000000" w:rsidRDefault="00195E73">
            <w:pPr>
              <w:rPr>
                <w:rFonts w:eastAsia="Times New Roman"/>
                <w:sz w:val="20"/>
                <w:szCs w:val="20"/>
              </w:rPr>
            </w:pPr>
          </w:p>
        </w:tc>
        <w:tc>
          <w:tcPr>
            <w:tcW w:w="19" w:type="pct"/>
            <w:vAlign w:val="center"/>
            <w:hideMark/>
          </w:tcPr>
          <w:p w14:paraId="10B032F0" w14:textId="77777777" w:rsidR="00000000" w:rsidRDefault="00195E73">
            <w:pPr>
              <w:rPr>
                <w:rFonts w:eastAsia="Times New Roman"/>
                <w:sz w:val="20"/>
                <w:szCs w:val="20"/>
              </w:rPr>
            </w:pPr>
          </w:p>
        </w:tc>
        <w:tc>
          <w:tcPr>
            <w:tcW w:w="5" w:type="pct"/>
            <w:vAlign w:val="center"/>
            <w:hideMark/>
          </w:tcPr>
          <w:p w14:paraId="529EC8F9" w14:textId="77777777" w:rsidR="00000000" w:rsidRDefault="00195E73">
            <w:pPr>
              <w:rPr>
                <w:rFonts w:eastAsia="Times New Roman"/>
                <w:sz w:val="20"/>
                <w:szCs w:val="20"/>
              </w:rPr>
            </w:pPr>
          </w:p>
        </w:tc>
        <w:tc>
          <w:tcPr>
            <w:tcW w:w="50" w:type="pct"/>
            <w:vAlign w:val="center"/>
            <w:hideMark/>
          </w:tcPr>
          <w:p w14:paraId="3090E39B" w14:textId="77777777" w:rsidR="00000000" w:rsidRDefault="00195E73">
            <w:pPr>
              <w:rPr>
                <w:rFonts w:eastAsia="Times New Roman"/>
                <w:sz w:val="20"/>
                <w:szCs w:val="20"/>
              </w:rPr>
            </w:pPr>
          </w:p>
        </w:tc>
        <w:tc>
          <w:tcPr>
            <w:tcW w:w="477" w:type="pct"/>
            <w:vAlign w:val="center"/>
            <w:hideMark/>
          </w:tcPr>
          <w:p w14:paraId="41788168" w14:textId="77777777" w:rsidR="00000000" w:rsidRDefault="00195E73">
            <w:pPr>
              <w:rPr>
                <w:rFonts w:eastAsia="Times New Roman"/>
                <w:sz w:val="20"/>
                <w:szCs w:val="20"/>
              </w:rPr>
            </w:pPr>
          </w:p>
        </w:tc>
        <w:tc>
          <w:tcPr>
            <w:tcW w:w="50" w:type="pct"/>
            <w:vAlign w:val="center"/>
            <w:hideMark/>
          </w:tcPr>
          <w:p w14:paraId="4709534A" w14:textId="77777777" w:rsidR="00000000" w:rsidRDefault="00195E73">
            <w:pPr>
              <w:rPr>
                <w:rFonts w:eastAsia="Times New Roman"/>
                <w:sz w:val="20"/>
                <w:szCs w:val="20"/>
              </w:rPr>
            </w:pPr>
          </w:p>
        </w:tc>
        <w:tc>
          <w:tcPr>
            <w:tcW w:w="5" w:type="pct"/>
            <w:vAlign w:val="center"/>
            <w:hideMark/>
          </w:tcPr>
          <w:p w14:paraId="4BCD15EC" w14:textId="77777777" w:rsidR="00000000" w:rsidRDefault="00195E73">
            <w:pPr>
              <w:rPr>
                <w:rFonts w:eastAsia="Times New Roman"/>
                <w:sz w:val="20"/>
                <w:szCs w:val="20"/>
              </w:rPr>
            </w:pPr>
          </w:p>
        </w:tc>
        <w:tc>
          <w:tcPr>
            <w:tcW w:w="19" w:type="pct"/>
            <w:vAlign w:val="center"/>
            <w:hideMark/>
          </w:tcPr>
          <w:p w14:paraId="15CEE8FC" w14:textId="77777777" w:rsidR="00000000" w:rsidRDefault="00195E73">
            <w:pPr>
              <w:rPr>
                <w:rFonts w:eastAsia="Times New Roman"/>
                <w:sz w:val="20"/>
                <w:szCs w:val="20"/>
              </w:rPr>
            </w:pPr>
          </w:p>
        </w:tc>
        <w:tc>
          <w:tcPr>
            <w:tcW w:w="5" w:type="pct"/>
            <w:vAlign w:val="center"/>
            <w:hideMark/>
          </w:tcPr>
          <w:p w14:paraId="3DCCD4C1" w14:textId="77777777" w:rsidR="00000000" w:rsidRDefault="00195E73">
            <w:pPr>
              <w:rPr>
                <w:rFonts w:eastAsia="Times New Roman"/>
                <w:sz w:val="20"/>
                <w:szCs w:val="20"/>
              </w:rPr>
            </w:pPr>
          </w:p>
        </w:tc>
        <w:tc>
          <w:tcPr>
            <w:tcW w:w="50" w:type="pct"/>
            <w:vAlign w:val="center"/>
            <w:hideMark/>
          </w:tcPr>
          <w:p w14:paraId="760AB558" w14:textId="77777777" w:rsidR="00000000" w:rsidRDefault="00195E73">
            <w:pPr>
              <w:rPr>
                <w:rFonts w:eastAsia="Times New Roman"/>
                <w:sz w:val="20"/>
                <w:szCs w:val="20"/>
              </w:rPr>
            </w:pPr>
          </w:p>
        </w:tc>
        <w:tc>
          <w:tcPr>
            <w:tcW w:w="477" w:type="pct"/>
            <w:vAlign w:val="center"/>
            <w:hideMark/>
          </w:tcPr>
          <w:p w14:paraId="13DBEAE1" w14:textId="77777777" w:rsidR="00000000" w:rsidRDefault="00195E73">
            <w:pPr>
              <w:rPr>
                <w:rFonts w:eastAsia="Times New Roman"/>
                <w:sz w:val="20"/>
                <w:szCs w:val="20"/>
              </w:rPr>
            </w:pPr>
          </w:p>
        </w:tc>
        <w:tc>
          <w:tcPr>
            <w:tcW w:w="50" w:type="pct"/>
            <w:vAlign w:val="center"/>
            <w:hideMark/>
          </w:tcPr>
          <w:p w14:paraId="76CE8197" w14:textId="77777777" w:rsidR="00000000" w:rsidRDefault="00195E73">
            <w:pPr>
              <w:rPr>
                <w:rFonts w:eastAsia="Times New Roman"/>
                <w:sz w:val="20"/>
                <w:szCs w:val="20"/>
              </w:rPr>
            </w:pPr>
          </w:p>
        </w:tc>
        <w:tc>
          <w:tcPr>
            <w:tcW w:w="5" w:type="pct"/>
            <w:vAlign w:val="center"/>
            <w:hideMark/>
          </w:tcPr>
          <w:p w14:paraId="6B4E8579" w14:textId="77777777" w:rsidR="00000000" w:rsidRDefault="00195E73">
            <w:pPr>
              <w:rPr>
                <w:rFonts w:eastAsia="Times New Roman"/>
                <w:sz w:val="20"/>
                <w:szCs w:val="20"/>
              </w:rPr>
            </w:pPr>
          </w:p>
        </w:tc>
        <w:tc>
          <w:tcPr>
            <w:tcW w:w="19" w:type="pct"/>
            <w:vAlign w:val="center"/>
            <w:hideMark/>
          </w:tcPr>
          <w:p w14:paraId="3E636A78" w14:textId="77777777" w:rsidR="00000000" w:rsidRDefault="00195E73">
            <w:pPr>
              <w:rPr>
                <w:rFonts w:eastAsia="Times New Roman"/>
                <w:sz w:val="20"/>
                <w:szCs w:val="20"/>
              </w:rPr>
            </w:pPr>
          </w:p>
        </w:tc>
        <w:tc>
          <w:tcPr>
            <w:tcW w:w="5" w:type="pct"/>
            <w:vAlign w:val="center"/>
            <w:hideMark/>
          </w:tcPr>
          <w:p w14:paraId="06F84CA6" w14:textId="77777777" w:rsidR="00000000" w:rsidRDefault="00195E73">
            <w:pPr>
              <w:rPr>
                <w:rFonts w:eastAsia="Times New Roman"/>
                <w:sz w:val="20"/>
                <w:szCs w:val="20"/>
              </w:rPr>
            </w:pPr>
          </w:p>
        </w:tc>
        <w:tc>
          <w:tcPr>
            <w:tcW w:w="50" w:type="pct"/>
            <w:vAlign w:val="center"/>
            <w:hideMark/>
          </w:tcPr>
          <w:p w14:paraId="7EA1219E" w14:textId="77777777" w:rsidR="00000000" w:rsidRDefault="00195E73">
            <w:pPr>
              <w:rPr>
                <w:rFonts w:eastAsia="Times New Roman"/>
                <w:sz w:val="20"/>
                <w:szCs w:val="20"/>
              </w:rPr>
            </w:pPr>
          </w:p>
        </w:tc>
        <w:tc>
          <w:tcPr>
            <w:tcW w:w="477" w:type="pct"/>
            <w:vAlign w:val="center"/>
            <w:hideMark/>
          </w:tcPr>
          <w:p w14:paraId="069395C6" w14:textId="77777777" w:rsidR="00000000" w:rsidRDefault="00195E73">
            <w:pPr>
              <w:rPr>
                <w:rFonts w:eastAsia="Times New Roman"/>
                <w:sz w:val="20"/>
                <w:szCs w:val="20"/>
              </w:rPr>
            </w:pPr>
          </w:p>
        </w:tc>
        <w:tc>
          <w:tcPr>
            <w:tcW w:w="50" w:type="pct"/>
            <w:vAlign w:val="center"/>
            <w:hideMark/>
          </w:tcPr>
          <w:p w14:paraId="66E58BA5" w14:textId="77777777" w:rsidR="00000000" w:rsidRDefault="00195E73">
            <w:pPr>
              <w:rPr>
                <w:rFonts w:eastAsia="Times New Roman"/>
                <w:sz w:val="20"/>
                <w:szCs w:val="20"/>
              </w:rPr>
            </w:pPr>
          </w:p>
        </w:tc>
        <w:tc>
          <w:tcPr>
            <w:tcW w:w="5" w:type="pct"/>
            <w:vAlign w:val="center"/>
            <w:hideMark/>
          </w:tcPr>
          <w:p w14:paraId="0F2B140F" w14:textId="77777777" w:rsidR="00000000" w:rsidRDefault="00195E73">
            <w:pPr>
              <w:rPr>
                <w:rFonts w:eastAsia="Times New Roman"/>
                <w:sz w:val="20"/>
                <w:szCs w:val="20"/>
              </w:rPr>
            </w:pPr>
          </w:p>
        </w:tc>
        <w:tc>
          <w:tcPr>
            <w:tcW w:w="19" w:type="pct"/>
            <w:vAlign w:val="center"/>
            <w:hideMark/>
          </w:tcPr>
          <w:p w14:paraId="02AD3222" w14:textId="77777777" w:rsidR="00000000" w:rsidRDefault="00195E73">
            <w:pPr>
              <w:rPr>
                <w:rFonts w:eastAsia="Times New Roman"/>
                <w:sz w:val="20"/>
                <w:szCs w:val="20"/>
              </w:rPr>
            </w:pPr>
          </w:p>
        </w:tc>
        <w:tc>
          <w:tcPr>
            <w:tcW w:w="5" w:type="pct"/>
            <w:vAlign w:val="center"/>
            <w:hideMark/>
          </w:tcPr>
          <w:p w14:paraId="4968FC0C" w14:textId="77777777" w:rsidR="00000000" w:rsidRDefault="00195E73">
            <w:pPr>
              <w:rPr>
                <w:rFonts w:eastAsia="Times New Roman"/>
                <w:sz w:val="20"/>
                <w:szCs w:val="20"/>
              </w:rPr>
            </w:pPr>
          </w:p>
        </w:tc>
        <w:tc>
          <w:tcPr>
            <w:tcW w:w="50" w:type="pct"/>
            <w:vAlign w:val="center"/>
            <w:hideMark/>
          </w:tcPr>
          <w:p w14:paraId="5B9A2CF4" w14:textId="77777777" w:rsidR="00000000" w:rsidRDefault="00195E73">
            <w:pPr>
              <w:rPr>
                <w:rFonts w:eastAsia="Times New Roman"/>
                <w:sz w:val="20"/>
                <w:szCs w:val="20"/>
              </w:rPr>
            </w:pPr>
          </w:p>
        </w:tc>
        <w:tc>
          <w:tcPr>
            <w:tcW w:w="477" w:type="pct"/>
            <w:vAlign w:val="center"/>
            <w:hideMark/>
          </w:tcPr>
          <w:p w14:paraId="44BB8041" w14:textId="77777777" w:rsidR="00000000" w:rsidRDefault="00195E73">
            <w:pPr>
              <w:rPr>
                <w:rFonts w:eastAsia="Times New Roman"/>
                <w:sz w:val="20"/>
                <w:szCs w:val="20"/>
              </w:rPr>
            </w:pPr>
          </w:p>
        </w:tc>
        <w:tc>
          <w:tcPr>
            <w:tcW w:w="50" w:type="pct"/>
            <w:vAlign w:val="center"/>
            <w:hideMark/>
          </w:tcPr>
          <w:p w14:paraId="683421DD" w14:textId="77777777" w:rsidR="00000000" w:rsidRDefault="00195E73">
            <w:pPr>
              <w:rPr>
                <w:rFonts w:eastAsia="Times New Roman"/>
                <w:sz w:val="20"/>
                <w:szCs w:val="20"/>
              </w:rPr>
            </w:pPr>
          </w:p>
        </w:tc>
      </w:tr>
      <w:tr w:rsidR="00000000" w14:paraId="01BA3981" w14:textId="77777777">
        <w:trPr>
          <w:divId w:val="1157651963"/>
        </w:trPr>
        <w:tc>
          <w:tcPr>
            <w:tcW w:w="0" w:type="auto"/>
            <w:gridSpan w:val="3"/>
            <w:tcMar>
              <w:top w:w="15" w:type="dxa"/>
              <w:left w:w="20" w:type="dxa"/>
              <w:bottom w:w="15" w:type="dxa"/>
              <w:right w:w="20" w:type="dxa"/>
            </w:tcMar>
            <w:vAlign w:val="bottom"/>
            <w:hideMark/>
          </w:tcPr>
          <w:p w14:paraId="3FD319C1"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208FDD0D" w14:textId="77777777" w:rsidR="00000000" w:rsidRDefault="00195E73">
            <w:pPr>
              <w:jc w:val="center"/>
              <w:rPr>
                <w:rFonts w:eastAsia="Times New Roman"/>
              </w:rPr>
            </w:pPr>
            <w:r>
              <w:rPr>
                <w:rFonts w:eastAsia="Times New Roman"/>
                <w:b/>
                <w:bCs/>
                <w:color w:val="000000"/>
                <w:sz w:val="20"/>
                <w:szCs w:val="20"/>
              </w:rPr>
              <w:t>Year Ended December 31, 201</w:t>
            </w:r>
            <w:r>
              <w:rPr>
                <w:rFonts w:eastAsia="Times New Roman"/>
                <w:b/>
                <w:bCs/>
                <w:color w:val="000000"/>
                <w:sz w:val="20"/>
                <w:szCs w:val="20"/>
              </w:rPr>
              <w:t>8</w:t>
            </w:r>
          </w:p>
        </w:tc>
        <w:tc>
          <w:tcPr>
            <w:tcW w:w="0" w:type="auto"/>
            <w:gridSpan w:val="3"/>
            <w:vAlign w:val="center"/>
            <w:hideMark/>
          </w:tcPr>
          <w:p w14:paraId="4A2010B1" w14:textId="77777777" w:rsidR="00000000" w:rsidRDefault="00195E73">
            <w:pPr>
              <w:jc w:val="center"/>
              <w:rPr>
                <w:rFonts w:eastAsia="Times New Roman"/>
              </w:rPr>
            </w:pPr>
          </w:p>
        </w:tc>
        <w:tc>
          <w:tcPr>
            <w:tcW w:w="0" w:type="auto"/>
            <w:gridSpan w:val="3"/>
            <w:vAlign w:val="center"/>
            <w:hideMark/>
          </w:tcPr>
          <w:p w14:paraId="4B2D2F64" w14:textId="77777777" w:rsidR="00000000" w:rsidRDefault="00195E73">
            <w:pPr>
              <w:rPr>
                <w:rFonts w:eastAsia="Times New Roman"/>
                <w:sz w:val="20"/>
                <w:szCs w:val="20"/>
              </w:rPr>
            </w:pPr>
          </w:p>
        </w:tc>
        <w:tc>
          <w:tcPr>
            <w:tcW w:w="0" w:type="auto"/>
            <w:gridSpan w:val="3"/>
            <w:vAlign w:val="center"/>
            <w:hideMark/>
          </w:tcPr>
          <w:p w14:paraId="1F7FE80C" w14:textId="77777777" w:rsidR="00000000" w:rsidRDefault="00195E73">
            <w:pPr>
              <w:rPr>
                <w:rFonts w:eastAsia="Times New Roman"/>
                <w:sz w:val="20"/>
                <w:szCs w:val="20"/>
              </w:rPr>
            </w:pPr>
          </w:p>
        </w:tc>
        <w:tc>
          <w:tcPr>
            <w:tcW w:w="0" w:type="auto"/>
            <w:gridSpan w:val="3"/>
            <w:vAlign w:val="center"/>
            <w:hideMark/>
          </w:tcPr>
          <w:p w14:paraId="08F5CA3D"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85C2A46"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62CEAE66" w14:textId="77777777" w:rsidR="00000000" w:rsidRDefault="00195E73">
            <w:pPr>
              <w:jc w:val="center"/>
              <w:rPr>
                <w:rFonts w:eastAsia="Times New Roman"/>
              </w:rPr>
            </w:pPr>
            <w:r>
              <w:rPr>
                <w:rFonts w:eastAsia="Times New Roman"/>
                <w:b/>
                <w:bCs/>
                <w:color w:val="000000"/>
                <w:sz w:val="20"/>
                <w:szCs w:val="20"/>
              </w:rPr>
              <w:t>Year Ended December 31, 201</w:t>
            </w:r>
            <w:r>
              <w:rPr>
                <w:rFonts w:eastAsia="Times New Roman"/>
                <w:b/>
                <w:bCs/>
                <w:color w:val="000000"/>
                <w:sz w:val="20"/>
                <w:szCs w:val="20"/>
              </w:rPr>
              <w:t>7</w:t>
            </w:r>
          </w:p>
        </w:tc>
        <w:tc>
          <w:tcPr>
            <w:tcW w:w="0" w:type="auto"/>
            <w:gridSpan w:val="3"/>
            <w:vAlign w:val="center"/>
            <w:hideMark/>
          </w:tcPr>
          <w:p w14:paraId="2E055945" w14:textId="77777777" w:rsidR="00000000" w:rsidRDefault="00195E73">
            <w:pPr>
              <w:jc w:val="center"/>
              <w:rPr>
                <w:rFonts w:eastAsia="Times New Roman"/>
              </w:rPr>
            </w:pPr>
          </w:p>
        </w:tc>
        <w:tc>
          <w:tcPr>
            <w:tcW w:w="0" w:type="auto"/>
            <w:gridSpan w:val="3"/>
            <w:vAlign w:val="center"/>
            <w:hideMark/>
          </w:tcPr>
          <w:p w14:paraId="1E3E7A38" w14:textId="77777777" w:rsidR="00000000" w:rsidRDefault="00195E73">
            <w:pPr>
              <w:rPr>
                <w:rFonts w:eastAsia="Times New Roman"/>
                <w:sz w:val="20"/>
                <w:szCs w:val="20"/>
              </w:rPr>
            </w:pPr>
          </w:p>
        </w:tc>
        <w:tc>
          <w:tcPr>
            <w:tcW w:w="0" w:type="auto"/>
            <w:gridSpan w:val="3"/>
            <w:vAlign w:val="center"/>
            <w:hideMark/>
          </w:tcPr>
          <w:p w14:paraId="5DE37B20" w14:textId="77777777" w:rsidR="00000000" w:rsidRDefault="00195E73">
            <w:pPr>
              <w:rPr>
                <w:rFonts w:eastAsia="Times New Roman"/>
                <w:sz w:val="20"/>
                <w:szCs w:val="20"/>
              </w:rPr>
            </w:pPr>
          </w:p>
        </w:tc>
        <w:tc>
          <w:tcPr>
            <w:tcW w:w="0" w:type="auto"/>
            <w:gridSpan w:val="3"/>
            <w:vAlign w:val="center"/>
            <w:hideMark/>
          </w:tcPr>
          <w:p w14:paraId="7AF77115" w14:textId="77777777" w:rsidR="00000000" w:rsidRDefault="00195E73">
            <w:pPr>
              <w:rPr>
                <w:rFonts w:eastAsia="Times New Roman"/>
                <w:sz w:val="20"/>
                <w:szCs w:val="20"/>
              </w:rPr>
            </w:pPr>
          </w:p>
        </w:tc>
      </w:tr>
      <w:tr w:rsidR="00000000" w14:paraId="02C4C4A4" w14:textId="77777777">
        <w:trPr>
          <w:divId w:val="1157651963"/>
        </w:trPr>
        <w:tc>
          <w:tcPr>
            <w:tcW w:w="0" w:type="auto"/>
            <w:gridSpan w:val="3"/>
            <w:tcMar>
              <w:top w:w="15" w:type="dxa"/>
              <w:left w:w="20" w:type="dxa"/>
              <w:bottom w:w="15" w:type="dxa"/>
              <w:right w:w="20" w:type="dxa"/>
            </w:tcMar>
            <w:vAlign w:val="bottom"/>
            <w:hideMark/>
          </w:tcPr>
          <w:p w14:paraId="603CBB8A"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4F38763" w14:textId="77777777" w:rsidR="00000000" w:rsidRDefault="00195E73">
            <w:pPr>
              <w:jc w:val="center"/>
              <w:rPr>
                <w:rFonts w:eastAsia="Times New Roman"/>
              </w:rPr>
            </w:pPr>
            <w:r>
              <w:rPr>
                <w:rFonts w:eastAsia="Times New Roman"/>
                <w:b/>
                <w:bCs/>
                <w:color w:val="000000"/>
                <w:sz w:val="20"/>
                <w:szCs w:val="20"/>
              </w:rPr>
              <w:t>As Historically State</w:t>
            </w:r>
            <w:r>
              <w:rPr>
                <w:rFonts w:eastAsia="Times New Roman"/>
                <w:b/>
                <w:bCs/>
                <w:color w:val="000000"/>
                <w:sz w:val="20"/>
                <w:szCs w:val="20"/>
              </w:rPr>
              <w:t>d</w:t>
            </w:r>
          </w:p>
        </w:tc>
        <w:tc>
          <w:tcPr>
            <w:tcW w:w="0" w:type="auto"/>
            <w:gridSpan w:val="3"/>
            <w:tcBorders>
              <w:top w:val="single" w:sz="8" w:space="0" w:color="000000"/>
            </w:tcBorders>
            <w:tcMar>
              <w:top w:w="15" w:type="dxa"/>
              <w:left w:w="20" w:type="dxa"/>
              <w:bottom w:w="15" w:type="dxa"/>
              <w:right w:w="20" w:type="dxa"/>
            </w:tcMar>
            <w:vAlign w:val="bottom"/>
            <w:hideMark/>
          </w:tcPr>
          <w:p w14:paraId="5D9D9ACF"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48D9BC" w14:textId="77777777" w:rsidR="00000000" w:rsidRDefault="00195E73">
            <w:pPr>
              <w:jc w:val="center"/>
              <w:rPr>
                <w:rFonts w:eastAsia="Times New Roman"/>
              </w:rPr>
            </w:pPr>
            <w:r>
              <w:rPr>
                <w:rFonts w:eastAsia="Times New Roman"/>
                <w:b/>
                <w:bCs/>
                <w:color w:val="000000"/>
                <w:sz w:val="20"/>
                <w:szCs w:val="20"/>
              </w:rPr>
              <w:t>Effect of Accounting Chang</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14:paraId="3FD5AF4E"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B30B0C" w14:textId="77777777" w:rsidR="00000000" w:rsidRDefault="00195E73">
            <w:pPr>
              <w:jc w:val="center"/>
              <w:rPr>
                <w:rFonts w:eastAsia="Times New Roman"/>
              </w:rPr>
            </w:pPr>
            <w:r>
              <w:rPr>
                <w:rFonts w:eastAsia="Times New Roman"/>
                <w:b/>
                <w:bCs/>
                <w:color w:val="000000"/>
                <w:sz w:val="20"/>
                <w:szCs w:val="20"/>
              </w:rPr>
              <w:t>As Currently State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14:paraId="06BB8F53"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760CF6" w14:textId="77777777" w:rsidR="00000000" w:rsidRDefault="00195E73">
            <w:pPr>
              <w:jc w:val="center"/>
              <w:rPr>
                <w:rFonts w:eastAsia="Times New Roman"/>
              </w:rPr>
            </w:pPr>
            <w:r>
              <w:rPr>
                <w:rFonts w:eastAsia="Times New Roman"/>
                <w:b/>
                <w:bCs/>
                <w:color w:val="000000"/>
                <w:sz w:val="20"/>
                <w:szCs w:val="20"/>
              </w:rPr>
              <w:t>As Historically State</w:t>
            </w:r>
            <w:r>
              <w:rPr>
                <w:rFonts w:eastAsia="Times New Roman"/>
                <w:b/>
                <w:bCs/>
                <w:color w:val="000000"/>
                <w:sz w:val="20"/>
                <w:szCs w:val="20"/>
              </w:rPr>
              <w:t>d</w:t>
            </w:r>
          </w:p>
        </w:tc>
        <w:tc>
          <w:tcPr>
            <w:tcW w:w="0" w:type="auto"/>
            <w:gridSpan w:val="3"/>
            <w:tcBorders>
              <w:top w:val="single" w:sz="8" w:space="0" w:color="000000"/>
            </w:tcBorders>
            <w:tcMar>
              <w:top w:w="15" w:type="dxa"/>
              <w:left w:w="20" w:type="dxa"/>
              <w:bottom w:w="15" w:type="dxa"/>
              <w:right w:w="20" w:type="dxa"/>
            </w:tcMar>
            <w:vAlign w:val="bottom"/>
            <w:hideMark/>
          </w:tcPr>
          <w:p w14:paraId="1FDC20D8"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E4D263" w14:textId="77777777" w:rsidR="00000000" w:rsidRDefault="00195E73">
            <w:pPr>
              <w:jc w:val="center"/>
              <w:rPr>
                <w:rFonts w:eastAsia="Times New Roman"/>
              </w:rPr>
            </w:pPr>
            <w:r>
              <w:rPr>
                <w:rFonts w:eastAsia="Times New Roman"/>
                <w:b/>
                <w:bCs/>
                <w:color w:val="000000"/>
                <w:sz w:val="20"/>
                <w:szCs w:val="20"/>
              </w:rPr>
              <w:t>Effect of Accounting Chang</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14:paraId="17680A97"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6B088B" w14:textId="77777777" w:rsidR="00000000" w:rsidRDefault="00195E73">
            <w:pPr>
              <w:jc w:val="center"/>
              <w:rPr>
                <w:rFonts w:eastAsia="Times New Roman"/>
              </w:rPr>
            </w:pPr>
            <w:r>
              <w:rPr>
                <w:rFonts w:eastAsia="Times New Roman"/>
                <w:b/>
                <w:bCs/>
                <w:color w:val="000000"/>
                <w:sz w:val="20"/>
                <w:szCs w:val="20"/>
              </w:rPr>
              <w:t>As Currently State</w:t>
            </w:r>
            <w:r>
              <w:rPr>
                <w:rFonts w:eastAsia="Times New Roman"/>
                <w:b/>
                <w:bCs/>
                <w:color w:val="000000"/>
                <w:sz w:val="20"/>
                <w:szCs w:val="20"/>
              </w:rPr>
              <w:t>d</w:t>
            </w:r>
          </w:p>
        </w:tc>
        <w:tc>
          <w:tcPr>
            <w:tcW w:w="0" w:type="auto"/>
            <w:vAlign w:val="center"/>
            <w:hideMark/>
          </w:tcPr>
          <w:p w14:paraId="5E336D1F" w14:textId="77777777" w:rsidR="00000000" w:rsidRDefault="00195E73">
            <w:pPr>
              <w:rPr>
                <w:rFonts w:eastAsia="Times New Roman"/>
                <w:sz w:val="20"/>
                <w:szCs w:val="20"/>
              </w:rPr>
            </w:pPr>
          </w:p>
        </w:tc>
        <w:tc>
          <w:tcPr>
            <w:tcW w:w="0" w:type="auto"/>
            <w:vAlign w:val="center"/>
            <w:hideMark/>
          </w:tcPr>
          <w:p w14:paraId="75EE3A0A" w14:textId="77777777" w:rsidR="00000000" w:rsidRDefault="00195E73">
            <w:pPr>
              <w:rPr>
                <w:rFonts w:eastAsia="Times New Roman"/>
                <w:sz w:val="20"/>
                <w:szCs w:val="20"/>
              </w:rPr>
            </w:pPr>
          </w:p>
        </w:tc>
        <w:tc>
          <w:tcPr>
            <w:tcW w:w="0" w:type="auto"/>
            <w:vAlign w:val="center"/>
            <w:hideMark/>
          </w:tcPr>
          <w:p w14:paraId="4F359488" w14:textId="77777777" w:rsidR="00000000" w:rsidRDefault="00195E73">
            <w:pPr>
              <w:rPr>
                <w:rFonts w:eastAsia="Times New Roman"/>
                <w:sz w:val="20"/>
                <w:szCs w:val="20"/>
              </w:rPr>
            </w:pPr>
          </w:p>
        </w:tc>
        <w:tc>
          <w:tcPr>
            <w:tcW w:w="0" w:type="auto"/>
            <w:vAlign w:val="center"/>
            <w:hideMark/>
          </w:tcPr>
          <w:p w14:paraId="55900BD5" w14:textId="77777777" w:rsidR="00000000" w:rsidRDefault="00195E73">
            <w:pPr>
              <w:rPr>
                <w:rFonts w:eastAsia="Times New Roman"/>
                <w:sz w:val="20"/>
                <w:szCs w:val="20"/>
              </w:rPr>
            </w:pPr>
          </w:p>
        </w:tc>
        <w:tc>
          <w:tcPr>
            <w:tcW w:w="0" w:type="auto"/>
            <w:vAlign w:val="center"/>
            <w:hideMark/>
          </w:tcPr>
          <w:p w14:paraId="1222CFD6" w14:textId="77777777" w:rsidR="00000000" w:rsidRDefault="00195E73">
            <w:pPr>
              <w:rPr>
                <w:rFonts w:eastAsia="Times New Roman"/>
                <w:sz w:val="20"/>
                <w:szCs w:val="20"/>
              </w:rPr>
            </w:pPr>
          </w:p>
        </w:tc>
        <w:tc>
          <w:tcPr>
            <w:tcW w:w="0" w:type="auto"/>
            <w:vAlign w:val="center"/>
            <w:hideMark/>
          </w:tcPr>
          <w:p w14:paraId="5C8BF5F8" w14:textId="77777777" w:rsidR="00000000" w:rsidRDefault="00195E73">
            <w:pPr>
              <w:rPr>
                <w:rFonts w:eastAsia="Times New Roman"/>
                <w:sz w:val="20"/>
                <w:szCs w:val="20"/>
              </w:rPr>
            </w:pPr>
          </w:p>
        </w:tc>
        <w:tc>
          <w:tcPr>
            <w:tcW w:w="0" w:type="auto"/>
            <w:vAlign w:val="center"/>
            <w:hideMark/>
          </w:tcPr>
          <w:p w14:paraId="006811E6" w14:textId="77777777" w:rsidR="00000000" w:rsidRDefault="00195E73">
            <w:pPr>
              <w:rPr>
                <w:rFonts w:eastAsia="Times New Roman"/>
                <w:sz w:val="20"/>
                <w:szCs w:val="20"/>
              </w:rPr>
            </w:pPr>
          </w:p>
        </w:tc>
        <w:tc>
          <w:tcPr>
            <w:tcW w:w="0" w:type="auto"/>
            <w:vAlign w:val="center"/>
            <w:hideMark/>
          </w:tcPr>
          <w:p w14:paraId="33836020" w14:textId="77777777" w:rsidR="00000000" w:rsidRDefault="00195E73">
            <w:pPr>
              <w:rPr>
                <w:rFonts w:eastAsia="Times New Roman"/>
                <w:sz w:val="20"/>
                <w:szCs w:val="20"/>
              </w:rPr>
            </w:pPr>
          </w:p>
        </w:tc>
        <w:tc>
          <w:tcPr>
            <w:tcW w:w="0" w:type="auto"/>
            <w:vAlign w:val="center"/>
            <w:hideMark/>
          </w:tcPr>
          <w:p w14:paraId="520B6E9D" w14:textId="77777777" w:rsidR="00000000" w:rsidRDefault="00195E73">
            <w:pPr>
              <w:rPr>
                <w:rFonts w:eastAsia="Times New Roman"/>
                <w:sz w:val="20"/>
                <w:szCs w:val="20"/>
              </w:rPr>
            </w:pPr>
          </w:p>
        </w:tc>
        <w:tc>
          <w:tcPr>
            <w:tcW w:w="0" w:type="auto"/>
            <w:vAlign w:val="center"/>
            <w:hideMark/>
          </w:tcPr>
          <w:p w14:paraId="1B9F4DBC" w14:textId="77777777" w:rsidR="00000000" w:rsidRDefault="00195E73">
            <w:pPr>
              <w:rPr>
                <w:rFonts w:eastAsia="Times New Roman"/>
                <w:sz w:val="20"/>
                <w:szCs w:val="20"/>
              </w:rPr>
            </w:pPr>
          </w:p>
        </w:tc>
        <w:tc>
          <w:tcPr>
            <w:tcW w:w="0" w:type="auto"/>
            <w:vAlign w:val="center"/>
            <w:hideMark/>
          </w:tcPr>
          <w:p w14:paraId="4975F0D3" w14:textId="77777777" w:rsidR="00000000" w:rsidRDefault="00195E73">
            <w:pPr>
              <w:rPr>
                <w:rFonts w:eastAsia="Times New Roman"/>
                <w:sz w:val="20"/>
                <w:szCs w:val="20"/>
              </w:rPr>
            </w:pPr>
          </w:p>
        </w:tc>
        <w:tc>
          <w:tcPr>
            <w:tcW w:w="0" w:type="auto"/>
            <w:vAlign w:val="center"/>
            <w:hideMark/>
          </w:tcPr>
          <w:p w14:paraId="4CA4AC16" w14:textId="77777777" w:rsidR="00000000" w:rsidRDefault="00195E73">
            <w:pPr>
              <w:rPr>
                <w:rFonts w:eastAsia="Times New Roman"/>
                <w:sz w:val="20"/>
                <w:szCs w:val="20"/>
              </w:rPr>
            </w:pPr>
          </w:p>
        </w:tc>
        <w:tc>
          <w:tcPr>
            <w:tcW w:w="0" w:type="auto"/>
            <w:vAlign w:val="center"/>
            <w:hideMark/>
          </w:tcPr>
          <w:p w14:paraId="646AB53C" w14:textId="77777777" w:rsidR="00000000" w:rsidRDefault="00195E73">
            <w:pPr>
              <w:rPr>
                <w:rFonts w:eastAsia="Times New Roman"/>
                <w:sz w:val="20"/>
                <w:szCs w:val="20"/>
              </w:rPr>
            </w:pPr>
          </w:p>
        </w:tc>
        <w:tc>
          <w:tcPr>
            <w:tcW w:w="0" w:type="auto"/>
            <w:vAlign w:val="center"/>
            <w:hideMark/>
          </w:tcPr>
          <w:p w14:paraId="6CB7B88E" w14:textId="77777777" w:rsidR="00000000" w:rsidRDefault="00195E73">
            <w:pPr>
              <w:rPr>
                <w:rFonts w:eastAsia="Times New Roman"/>
                <w:sz w:val="20"/>
                <w:szCs w:val="20"/>
              </w:rPr>
            </w:pPr>
          </w:p>
        </w:tc>
        <w:tc>
          <w:tcPr>
            <w:tcW w:w="0" w:type="auto"/>
            <w:vAlign w:val="center"/>
            <w:hideMark/>
          </w:tcPr>
          <w:p w14:paraId="5F2FFFCB" w14:textId="77777777" w:rsidR="00000000" w:rsidRDefault="00195E73">
            <w:pPr>
              <w:rPr>
                <w:rFonts w:eastAsia="Times New Roman"/>
                <w:sz w:val="20"/>
                <w:szCs w:val="20"/>
              </w:rPr>
            </w:pPr>
          </w:p>
        </w:tc>
        <w:tc>
          <w:tcPr>
            <w:tcW w:w="0" w:type="auto"/>
            <w:vAlign w:val="center"/>
            <w:hideMark/>
          </w:tcPr>
          <w:p w14:paraId="4F74F147" w14:textId="77777777" w:rsidR="00000000" w:rsidRDefault="00195E73">
            <w:pPr>
              <w:rPr>
                <w:rFonts w:eastAsia="Times New Roman"/>
                <w:sz w:val="20"/>
                <w:szCs w:val="20"/>
              </w:rPr>
            </w:pPr>
          </w:p>
        </w:tc>
        <w:tc>
          <w:tcPr>
            <w:tcW w:w="0" w:type="auto"/>
            <w:vAlign w:val="center"/>
            <w:hideMark/>
          </w:tcPr>
          <w:p w14:paraId="54590529" w14:textId="77777777" w:rsidR="00000000" w:rsidRDefault="00195E73">
            <w:pPr>
              <w:rPr>
                <w:rFonts w:eastAsia="Times New Roman"/>
                <w:sz w:val="20"/>
                <w:szCs w:val="20"/>
              </w:rPr>
            </w:pPr>
          </w:p>
        </w:tc>
        <w:tc>
          <w:tcPr>
            <w:tcW w:w="0" w:type="auto"/>
            <w:vAlign w:val="center"/>
            <w:hideMark/>
          </w:tcPr>
          <w:p w14:paraId="7627E3F6" w14:textId="77777777" w:rsidR="00000000" w:rsidRDefault="00195E73">
            <w:pPr>
              <w:rPr>
                <w:rFonts w:eastAsia="Times New Roman"/>
                <w:sz w:val="20"/>
                <w:szCs w:val="20"/>
              </w:rPr>
            </w:pPr>
          </w:p>
        </w:tc>
        <w:tc>
          <w:tcPr>
            <w:tcW w:w="0" w:type="auto"/>
            <w:vAlign w:val="center"/>
            <w:hideMark/>
          </w:tcPr>
          <w:p w14:paraId="73614E0C" w14:textId="77777777" w:rsidR="00000000" w:rsidRDefault="00195E73">
            <w:pPr>
              <w:rPr>
                <w:rFonts w:eastAsia="Times New Roman"/>
                <w:sz w:val="20"/>
                <w:szCs w:val="20"/>
              </w:rPr>
            </w:pPr>
          </w:p>
        </w:tc>
        <w:tc>
          <w:tcPr>
            <w:tcW w:w="0" w:type="auto"/>
            <w:vAlign w:val="center"/>
            <w:hideMark/>
          </w:tcPr>
          <w:p w14:paraId="76FC21F6" w14:textId="77777777" w:rsidR="00000000" w:rsidRDefault="00195E73">
            <w:pPr>
              <w:rPr>
                <w:rFonts w:eastAsia="Times New Roman"/>
                <w:sz w:val="20"/>
                <w:szCs w:val="20"/>
              </w:rPr>
            </w:pPr>
          </w:p>
        </w:tc>
        <w:tc>
          <w:tcPr>
            <w:tcW w:w="0" w:type="auto"/>
            <w:vAlign w:val="center"/>
            <w:hideMark/>
          </w:tcPr>
          <w:p w14:paraId="41AFC118" w14:textId="77777777" w:rsidR="00000000" w:rsidRDefault="00195E73">
            <w:pPr>
              <w:rPr>
                <w:rFonts w:eastAsia="Times New Roman"/>
                <w:sz w:val="20"/>
                <w:szCs w:val="20"/>
              </w:rPr>
            </w:pPr>
          </w:p>
        </w:tc>
        <w:tc>
          <w:tcPr>
            <w:tcW w:w="0" w:type="auto"/>
            <w:vAlign w:val="center"/>
            <w:hideMark/>
          </w:tcPr>
          <w:p w14:paraId="0E8F90C3" w14:textId="77777777" w:rsidR="00000000" w:rsidRDefault="00195E73">
            <w:pPr>
              <w:rPr>
                <w:rFonts w:eastAsia="Times New Roman"/>
                <w:sz w:val="20"/>
                <w:szCs w:val="20"/>
              </w:rPr>
            </w:pPr>
          </w:p>
        </w:tc>
        <w:tc>
          <w:tcPr>
            <w:tcW w:w="0" w:type="auto"/>
            <w:vAlign w:val="center"/>
            <w:hideMark/>
          </w:tcPr>
          <w:p w14:paraId="34B1308E" w14:textId="77777777" w:rsidR="00000000" w:rsidRDefault="00195E73">
            <w:pPr>
              <w:rPr>
                <w:rFonts w:eastAsia="Times New Roman"/>
                <w:sz w:val="20"/>
                <w:szCs w:val="20"/>
              </w:rPr>
            </w:pPr>
          </w:p>
        </w:tc>
        <w:tc>
          <w:tcPr>
            <w:tcW w:w="0" w:type="auto"/>
            <w:vAlign w:val="center"/>
            <w:hideMark/>
          </w:tcPr>
          <w:p w14:paraId="0CA07568" w14:textId="77777777" w:rsidR="00000000" w:rsidRDefault="00195E73">
            <w:pPr>
              <w:rPr>
                <w:rFonts w:eastAsia="Times New Roman"/>
                <w:sz w:val="20"/>
                <w:szCs w:val="20"/>
              </w:rPr>
            </w:pPr>
          </w:p>
        </w:tc>
      </w:tr>
      <w:tr w:rsidR="00000000" w14:paraId="02469B87" w14:textId="77777777">
        <w:trPr>
          <w:divId w:val="1157651963"/>
        </w:trPr>
        <w:tc>
          <w:tcPr>
            <w:tcW w:w="0" w:type="auto"/>
            <w:gridSpan w:val="3"/>
            <w:shd w:val="clear" w:color="auto" w:fill="CCEEFF"/>
            <w:tcMar>
              <w:top w:w="30" w:type="dxa"/>
              <w:left w:w="20" w:type="dxa"/>
              <w:bottom w:w="30" w:type="dxa"/>
              <w:right w:w="20" w:type="dxa"/>
            </w:tcMar>
            <w:vAlign w:val="bottom"/>
            <w:hideMark/>
          </w:tcPr>
          <w:p w14:paraId="51B88159" w14:textId="77777777" w:rsidR="00000000" w:rsidRDefault="00195E73">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E470EE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71356AF" w14:textId="77777777" w:rsidR="00000000" w:rsidRDefault="00195E73">
            <w:pPr>
              <w:jc w:val="right"/>
              <w:rPr>
                <w:rFonts w:eastAsia="Times New Roman"/>
              </w:rPr>
            </w:pPr>
            <w:r>
              <w:rPr>
                <w:rFonts w:eastAsia="Times New Roman"/>
                <w:color w:val="000000"/>
                <w:sz w:val="20"/>
                <w:szCs w:val="20"/>
              </w:rPr>
              <w:t>11,777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BF15C3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6B0EA2"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71D2B3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51029C2"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81EE19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3C0A609"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0AE74B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FC1962F" w14:textId="77777777" w:rsidR="00000000" w:rsidRDefault="00195E73">
            <w:pPr>
              <w:jc w:val="right"/>
              <w:rPr>
                <w:rFonts w:eastAsia="Times New Roman"/>
              </w:rPr>
            </w:pPr>
            <w:r>
              <w:rPr>
                <w:rFonts w:eastAsia="Times New Roman"/>
                <w:color w:val="000000"/>
                <w:sz w:val="20"/>
                <w:szCs w:val="20"/>
              </w:rPr>
              <w:t>11,777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0AB57E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857EFB1"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0932AAC"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8D8EC5D" w14:textId="77777777" w:rsidR="00000000" w:rsidRDefault="00195E73">
            <w:pPr>
              <w:jc w:val="right"/>
              <w:rPr>
                <w:rFonts w:eastAsia="Times New Roman"/>
              </w:rPr>
            </w:pPr>
            <w:r>
              <w:rPr>
                <w:rFonts w:eastAsia="Times New Roman"/>
                <w:color w:val="000000"/>
                <w:sz w:val="20"/>
                <w:szCs w:val="20"/>
              </w:rPr>
              <w:t>12,619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4F08A7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AFDF464"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B957A7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08814C8"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F91DF3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2C7741"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6E7C1D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4035A85" w14:textId="77777777" w:rsidR="00000000" w:rsidRDefault="00195E73">
            <w:pPr>
              <w:jc w:val="right"/>
              <w:rPr>
                <w:rFonts w:eastAsia="Times New Roman"/>
              </w:rPr>
            </w:pPr>
            <w:r>
              <w:rPr>
                <w:rFonts w:eastAsia="Times New Roman"/>
                <w:color w:val="000000"/>
                <w:sz w:val="20"/>
                <w:szCs w:val="20"/>
              </w:rPr>
              <w:t>12,619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FB49A3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E8D6AEE" w14:textId="77777777" w:rsidR="00000000" w:rsidRDefault="00195E73">
            <w:pPr>
              <w:rPr>
                <w:rFonts w:eastAsia="Times New Roman"/>
                <w:sz w:val="20"/>
                <w:szCs w:val="20"/>
              </w:rPr>
            </w:pPr>
          </w:p>
        </w:tc>
        <w:tc>
          <w:tcPr>
            <w:tcW w:w="0" w:type="auto"/>
            <w:vAlign w:val="center"/>
            <w:hideMark/>
          </w:tcPr>
          <w:p w14:paraId="624BE75A" w14:textId="77777777" w:rsidR="00000000" w:rsidRDefault="00195E73">
            <w:pPr>
              <w:rPr>
                <w:rFonts w:eastAsia="Times New Roman"/>
                <w:sz w:val="20"/>
                <w:szCs w:val="20"/>
              </w:rPr>
            </w:pPr>
          </w:p>
        </w:tc>
        <w:tc>
          <w:tcPr>
            <w:tcW w:w="0" w:type="auto"/>
            <w:vAlign w:val="center"/>
            <w:hideMark/>
          </w:tcPr>
          <w:p w14:paraId="14F75F0F" w14:textId="77777777" w:rsidR="00000000" w:rsidRDefault="00195E73">
            <w:pPr>
              <w:rPr>
                <w:rFonts w:eastAsia="Times New Roman"/>
                <w:sz w:val="20"/>
                <w:szCs w:val="20"/>
              </w:rPr>
            </w:pPr>
          </w:p>
        </w:tc>
        <w:tc>
          <w:tcPr>
            <w:tcW w:w="0" w:type="auto"/>
            <w:vAlign w:val="center"/>
            <w:hideMark/>
          </w:tcPr>
          <w:p w14:paraId="7106837C" w14:textId="77777777" w:rsidR="00000000" w:rsidRDefault="00195E73">
            <w:pPr>
              <w:rPr>
                <w:rFonts w:eastAsia="Times New Roman"/>
                <w:sz w:val="20"/>
                <w:szCs w:val="20"/>
              </w:rPr>
            </w:pPr>
          </w:p>
        </w:tc>
        <w:tc>
          <w:tcPr>
            <w:tcW w:w="0" w:type="auto"/>
            <w:vAlign w:val="center"/>
            <w:hideMark/>
          </w:tcPr>
          <w:p w14:paraId="21EF1F5D" w14:textId="77777777" w:rsidR="00000000" w:rsidRDefault="00195E73">
            <w:pPr>
              <w:rPr>
                <w:rFonts w:eastAsia="Times New Roman"/>
                <w:sz w:val="20"/>
                <w:szCs w:val="20"/>
              </w:rPr>
            </w:pPr>
          </w:p>
        </w:tc>
        <w:tc>
          <w:tcPr>
            <w:tcW w:w="0" w:type="auto"/>
            <w:vAlign w:val="center"/>
            <w:hideMark/>
          </w:tcPr>
          <w:p w14:paraId="6D92FB3D" w14:textId="77777777" w:rsidR="00000000" w:rsidRDefault="00195E73">
            <w:pPr>
              <w:rPr>
                <w:rFonts w:eastAsia="Times New Roman"/>
                <w:sz w:val="20"/>
                <w:szCs w:val="20"/>
              </w:rPr>
            </w:pPr>
          </w:p>
        </w:tc>
        <w:tc>
          <w:tcPr>
            <w:tcW w:w="0" w:type="auto"/>
            <w:vAlign w:val="center"/>
            <w:hideMark/>
          </w:tcPr>
          <w:p w14:paraId="3ABD45CD" w14:textId="77777777" w:rsidR="00000000" w:rsidRDefault="00195E73">
            <w:pPr>
              <w:rPr>
                <w:rFonts w:eastAsia="Times New Roman"/>
                <w:sz w:val="20"/>
                <w:szCs w:val="20"/>
              </w:rPr>
            </w:pPr>
          </w:p>
        </w:tc>
        <w:tc>
          <w:tcPr>
            <w:tcW w:w="0" w:type="auto"/>
            <w:vAlign w:val="center"/>
            <w:hideMark/>
          </w:tcPr>
          <w:p w14:paraId="0A2BA005" w14:textId="77777777" w:rsidR="00000000" w:rsidRDefault="00195E73">
            <w:pPr>
              <w:rPr>
                <w:rFonts w:eastAsia="Times New Roman"/>
                <w:sz w:val="20"/>
                <w:szCs w:val="20"/>
              </w:rPr>
            </w:pPr>
          </w:p>
        </w:tc>
        <w:tc>
          <w:tcPr>
            <w:tcW w:w="0" w:type="auto"/>
            <w:vAlign w:val="center"/>
            <w:hideMark/>
          </w:tcPr>
          <w:p w14:paraId="46A68B6D" w14:textId="77777777" w:rsidR="00000000" w:rsidRDefault="00195E73">
            <w:pPr>
              <w:rPr>
                <w:rFonts w:eastAsia="Times New Roman"/>
                <w:sz w:val="20"/>
                <w:szCs w:val="20"/>
              </w:rPr>
            </w:pPr>
          </w:p>
        </w:tc>
        <w:tc>
          <w:tcPr>
            <w:tcW w:w="0" w:type="auto"/>
            <w:vAlign w:val="center"/>
            <w:hideMark/>
          </w:tcPr>
          <w:p w14:paraId="7E3FA37E" w14:textId="77777777" w:rsidR="00000000" w:rsidRDefault="00195E73">
            <w:pPr>
              <w:rPr>
                <w:rFonts w:eastAsia="Times New Roman"/>
                <w:sz w:val="20"/>
                <w:szCs w:val="20"/>
              </w:rPr>
            </w:pPr>
          </w:p>
        </w:tc>
        <w:tc>
          <w:tcPr>
            <w:tcW w:w="0" w:type="auto"/>
            <w:vAlign w:val="center"/>
            <w:hideMark/>
          </w:tcPr>
          <w:p w14:paraId="6A70233D" w14:textId="77777777" w:rsidR="00000000" w:rsidRDefault="00195E73">
            <w:pPr>
              <w:rPr>
                <w:rFonts w:eastAsia="Times New Roman"/>
                <w:sz w:val="20"/>
                <w:szCs w:val="20"/>
              </w:rPr>
            </w:pPr>
          </w:p>
        </w:tc>
        <w:tc>
          <w:tcPr>
            <w:tcW w:w="0" w:type="auto"/>
            <w:vAlign w:val="center"/>
            <w:hideMark/>
          </w:tcPr>
          <w:p w14:paraId="6B04CEC6" w14:textId="77777777" w:rsidR="00000000" w:rsidRDefault="00195E73">
            <w:pPr>
              <w:rPr>
                <w:rFonts w:eastAsia="Times New Roman"/>
                <w:sz w:val="20"/>
                <w:szCs w:val="20"/>
              </w:rPr>
            </w:pPr>
          </w:p>
        </w:tc>
        <w:tc>
          <w:tcPr>
            <w:tcW w:w="0" w:type="auto"/>
            <w:vAlign w:val="center"/>
            <w:hideMark/>
          </w:tcPr>
          <w:p w14:paraId="327D662F" w14:textId="77777777" w:rsidR="00000000" w:rsidRDefault="00195E73">
            <w:pPr>
              <w:rPr>
                <w:rFonts w:eastAsia="Times New Roman"/>
                <w:sz w:val="20"/>
                <w:szCs w:val="20"/>
              </w:rPr>
            </w:pPr>
          </w:p>
        </w:tc>
        <w:tc>
          <w:tcPr>
            <w:tcW w:w="0" w:type="auto"/>
            <w:vAlign w:val="center"/>
            <w:hideMark/>
          </w:tcPr>
          <w:p w14:paraId="0FC5F46A" w14:textId="77777777" w:rsidR="00000000" w:rsidRDefault="00195E73">
            <w:pPr>
              <w:rPr>
                <w:rFonts w:eastAsia="Times New Roman"/>
                <w:sz w:val="20"/>
                <w:szCs w:val="20"/>
              </w:rPr>
            </w:pPr>
          </w:p>
        </w:tc>
        <w:tc>
          <w:tcPr>
            <w:tcW w:w="0" w:type="auto"/>
            <w:vAlign w:val="center"/>
            <w:hideMark/>
          </w:tcPr>
          <w:p w14:paraId="383E4A18" w14:textId="77777777" w:rsidR="00000000" w:rsidRDefault="00195E73">
            <w:pPr>
              <w:rPr>
                <w:rFonts w:eastAsia="Times New Roman"/>
                <w:sz w:val="20"/>
                <w:szCs w:val="20"/>
              </w:rPr>
            </w:pPr>
          </w:p>
        </w:tc>
        <w:tc>
          <w:tcPr>
            <w:tcW w:w="0" w:type="auto"/>
            <w:vAlign w:val="center"/>
            <w:hideMark/>
          </w:tcPr>
          <w:p w14:paraId="48AD4E6A" w14:textId="77777777" w:rsidR="00000000" w:rsidRDefault="00195E73">
            <w:pPr>
              <w:rPr>
                <w:rFonts w:eastAsia="Times New Roman"/>
                <w:sz w:val="20"/>
                <w:szCs w:val="20"/>
              </w:rPr>
            </w:pPr>
          </w:p>
        </w:tc>
        <w:tc>
          <w:tcPr>
            <w:tcW w:w="0" w:type="auto"/>
            <w:vAlign w:val="center"/>
            <w:hideMark/>
          </w:tcPr>
          <w:p w14:paraId="3BA60E3A" w14:textId="77777777" w:rsidR="00000000" w:rsidRDefault="00195E73">
            <w:pPr>
              <w:rPr>
                <w:rFonts w:eastAsia="Times New Roman"/>
                <w:sz w:val="20"/>
                <w:szCs w:val="20"/>
              </w:rPr>
            </w:pPr>
          </w:p>
        </w:tc>
        <w:tc>
          <w:tcPr>
            <w:tcW w:w="0" w:type="auto"/>
            <w:vAlign w:val="center"/>
            <w:hideMark/>
          </w:tcPr>
          <w:p w14:paraId="6C7C991D" w14:textId="77777777" w:rsidR="00000000" w:rsidRDefault="00195E73">
            <w:pPr>
              <w:rPr>
                <w:rFonts w:eastAsia="Times New Roman"/>
                <w:sz w:val="20"/>
                <w:szCs w:val="20"/>
              </w:rPr>
            </w:pPr>
          </w:p>
        </w:tc>
        <w:tc>
          <w:tcPr>
            <w:tcW w:w="0" w:type="auto"/>
            <w:vAlign w:val="center"/>
            <w:hideMark/>
          </w:tcPr>
          <w:p w14:paraId="030AE9C5" w14:textId="77777777" w:rsidR="00000000" w:rsidRDefault="00195E73">
            <w:pPr>
              <w:rPr>
                <w:rFonts w:eastAsia="Times New Roman"/>
                <w:sz w:val="20"/>
                <w:szCs w:val="20"/>
              </w:rPr>
            </w:pPr>
          </w:p>
        </w:tc>
        <w:tc>
          <w:tcPr>
            <w:tcW w:w="0" w:type="auto"/>
            <w:vAlign w:val="center"/>
            <w:hideMark/>
          </w:tcPr>
          <w:p w14:paraId="54B6E456" w14:textId="77777777" w:rsidR="00000000" w:rsidRDefault="00195E73">
            <w:pPr>
              <w:rPr>
                <w:rFonts w:eastAsia="Times New Roman"/>
                <w:sz w:val="20"/>
                <w:szCs w:val="20"/>
              </w:rPr>
            </w:pPr>
          </w:p>
        </w:tc>
        <w:tc>
          <w:tcPr>
            <w:tcW w:w="0" w:type="auto"/>
            <w:vAlign w:val="center"/>
            <w:hideMark/>
          </w:tcPr>
          <w:p w14:paraId="076292D0" w14:textId="77777777" w:rsidR="00000000" w:rsidRDefault="00195E73">
            <w:pPr>
              <w:rPr>
                <w:rFonts w:eastAsia="Times New Roman"/>
                <w:sz w:val="20"/>
                <w:szCs w:val="20"/>
              </w:rPr>
            </w:pPr>
          </w:p>
        </w:tc>
        <w:tc>
          <w:tcPr>
            <w:tcW w:w="0" w:type="auto"/>
            <w:vAlign w:val="center"/>
            <w:hideMark/>
          </w:tcPr>
          <w:p w14:paraId="6BA6D854" w14:textId="77777777" w:rsidR="00000000" w:rsidRDefault="00195E73">
            <w:pPr>
              <w:rPr>
                <w:rFonts w:eastAsia="Times New Roman"/>
                <w:sz w:val="20"/>
                <w:szCs w:val="20"/>
              </w:rPr>
            </w:pPr>
          </w:p>
        </w:tc>
        <w:tc>
          <w:tcPr>
            <w:tcW w:w="0" w:type="auto"/>
            <w:vAlign w:val="center"/>
            <w:hideMark/>
          </w:tcPr>
          <w:p w14:paraId="7AC5F324" w14:textId="77777777" w:rsidR="00000000" w:rsidRDefault="00195E73">
            <w:pPr>
              <w:rPr>
                <w:rFonts w:eastAsia="Times New Roman"/>
                <w:sz w:val="20"/>
                <w:szCs w:val="20"/>
              </w:rPr>
            </w:pPr>
          </w:p>
        </w:tc>
        <w:tc>
          <w:tcPr>
            <w:tcW w:w="0" w:type="auto"/>
            <w:vAlign w:val="center"/>
            <w:hideMark/>
          </w:tcPr>
          <w:p w14:paraId="170DAA2F" w14:textId="77777777" w:rsidR="00000000" w:rsidRDefault="00195E73">
            <w:pPr>
              <w:rPr>
                <w:rFonts w:eastAsia="Times New Roman"/>
                <w:sz w:val="20"/>
                <w:szCs w:val="20"/>
              </w:rPr>
            </w:pPr>
          </w:p>
        </w:tc>
      </w:tr>
      <w:tr w:rsidR="00000000" w14:paraId="30BC047C" w14:textId="77777777">
        <w:trPr>
          <w:divId w:val="1157651963"/>
        </w:trPr>
        <w:tc>
          <w:tcPr>
            <w:tcW w:w="0" w:type="auto"/>
            <w:gridSpan w:val="3"/>
            <w:shd w:val="clear" w:color="auto" w:fill="FFFFFF"/>
            <w:tcMar>
              <w:top w:w="30" w:type="dxa"/>
              <w:left w:w="20" w:type="dxa"/>
              <w:bottom w:w="30" w:type="dxa"/>
              <w:right w:w="20" w:type="dxa"/>
            </w:tcMar>
            <w:vAlign w:val="bottom"/>
            <w:hideMark/>
          </w:tcPr>
          <w:p w14:paraId="69C94456" w14:textId="77777777" w:rsidR="00000000" w:rsidRDefault="00195E73">
            <w:pPr>
              <w:rPr>
                <w:rFonts w:eastAsia="Times New Roman"/>
              </w:rPr>
            </w:pPr>
            <w:r>
              <w:rPr>
                <w:rFonts w:eastAsia="Times New Roman"/>
                <w:color w:val="000000"/>
                <w:sz w:val="20"/>
                <w:szCs w:val="20"/>
              </w:rPr>
              <w:t>Expenses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694F7D38"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983C65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F5D51F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A1D964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C1B8BDE"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7D1AE9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222F89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2A7CC1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A4D6545"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632FCE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D1C3B65" w14:textId="77777777" w:rsidR="00000000" w:rsidRDefault="00195E73">
            <w:pPr>
              <w:rPr>
                <w:rFonts w:eastAsia="Times New Roman"/>
                <w:sz w:val="20"/>
                <w:szCs w:val="20"/>
              </w:rPr>
            </w:pPr>
          </w:p>
        </w:tc>
        <w:tc>
          <w:tcPr>
            <w:tcW w:w="0" w:type="auto"/>
            <w:vAlign w:val="center"/>
            <w:hideMark/>
          </w:tcPr>
          <w:p w14:paraId="6F1F94F7" w14:textId="77777777" w:rsidR="00000000" w:rsidRDefault="00195E73">
            <w:pPr>
              <w:rPr>
                <w:rFonts w:eastAsia="Times New Roman"/>
                <w:sz w:val="20"/>
                <w:szCs w:val="20"/>
              </w:rPr>
            </w:pPr>
          </w:p>
        </w:tc>
        <w:tc>
          <w:tcPr>
            <w:tcW w:w="0" w:type="auto"/>
            <w:vAlign w:val="center"/>
            <w:hideMark/>
          </w:tcPr>
          <w:p w14:paraId="29A2AA90" w14:textId="77777777" w:rsidR="00000000" w:rsidRDefault="00195E73">
            <w:pPr>
              <w:rPr>
                <w:rFonts w:eastAsia="Times New Roman"/>
                <w:sz w:val="20"/>
                <w:szCs w:val="20"/>
              </w:rPr>
            </w:pPr>
          </w:p>
        </w:tc>
        <w:tc>
          <w:tcPr>
            <w:tcW w:w="0" w:type="auto"/>
            <w:vAlign w:val="center"/>
            <w:hideMark/>
          </w:tcPr>
          <w:p w14:paraId="60762044" w14:textId="77777777" w:rsidR="00000000" w:rsidRDefault="00195E73">
            <w:pPr>
              <w:rPr>
                <w:rFonts w:eastAsia="Times New Roman"/>
                <w:sz w:val="20"/>
                <w:szCs w:val="20"/>
              </w:rPr>
            </w:pPr>
          </w:p>
        </w:tc>
        <w:tc>
          <w:tcPr>
            <w:tcW w:w="0" w:type="auto"/>
            <w:vAlign w:val="center"/>
            <w:hideMark/>
          </w:tcPr>
          <w:p w14:paraId="2EC0B542" w14:textId="77777777" w:rsidR="00000000" w:rsidRDefault="00195E73">
            <w:pPr>
              <w:rPr>
                <w:rFonts w:eastAsia="Times New Roman"/>
                <w:sz w:val="20"/>
                <w:szCs w:val="20"/>
              </w:rPr>
            </w:pPr>
          </w:p>
        </w:tc>
        <w:tc>
          <w:tcPr>
            <w:tcW w:w="0" w:type="auto"/>
            <w:vAlign w:val="center"/>
            <w:hideMark/>
          </w:tcPr>
          <w:p w14:paraId="31F675AD" w14:textId="77777777" w:rsidR="00000000" w:rsidRDefault="00195E73">
            <w:pPr>
              <w:rPr>
                <w:rFonts w:eastAsia="Times New Roman"/>
                <w:sz w:val="20"/>
                <w:szCs w:val="20"/>
              </w:rPr>
            </w:pPr>
          </w:p>
        </w:tc>
        <w:tc>
          <w:tcPr>
            <w:tcW w:w="0" w:type="auto"/>
            <w:vAlign w:val="center"/>
            <w:hideMark/>
          </w:tcPr>
          <w:p w14:paraId="570D3960" w14:textId="77777777" w:rsidR="00000000" w:rsidRDefault="00195E73">
            <w:pPr>
              <w:rPr>
                <w:rFonts w:eastAsia="Times New Roman"/>
                <w:sz w:val="20"/>
                <w:szCs w:val="20"/>
              </w:rPr>
            </w:pPr>
          </w:p>
        </w:tc>
        <w:tc>
          <w:tcPr>
            <w:tcW w:w="0" w:type="auto"/>
            <w:vAlign w:val="center"/>
            <w:hideMark/>
          </w:tcPr>
          <w:p w14:paraId="315EF550" w14:textId="77777777" w:rsidR="00000000" w:rsidRDefault="00195E73">
            <w:pPr>
              <w:rPr>
                <w:rFonts w:eastAsia="Times New Roman"/>
                <w:sz w:val="20"/>
                <w:szCs w:val="20"/>
              </w:rPr>
            </w:pPr>
          </w:p>
        </w:tc>
        <w:tc>
          <w:tcPr>
            <w:tcW w:w="0" w:type="auto"/>
            <w:vAlign w:val="center"/>
            <w:hideMark/>
          </w:tcPr>
          <w:p w14:paraId="22F5C4F2" w14:textId="77777777" w:rsidR="00000000" w:rsidRDefault="00195E73">
            <w:pPr>
              <w:rPr>
                <w:rFonts w:eastAsia="Times New Roman"/>
                <w:sz w:val="20"/>
                <w:szCs w:val="20"/>
              </w:rPr>
            </w:pPr>
          </w:p>
        </w:tc>
        <w:tc>
          <w:tcPr>
            <w:tcW w:w="0" w:type="auto"/>
            <w:vAlign w:val="center"/>
            <w:hideMark/>
          </w:tcPr>
          <w:p w14:paraId="49914B4F" w14:textId="77777777" w:rsidR="00000000" w:rsidRDefault="00195E73">
            <w:pPr>
              <w:rPr>
                <w:rFonts w:eastAsia="Times New Roman"/>
                <w:sz w:val="20"/>
                <w:szCs w:val="20"/>
              </w:rPr>
            </w:pPr>
          </w:p>
        </w:tc>
        <w:tc>
          <w:tcPr>
            <w:tcW w:w="0" w:type="auto"/>
            <w:vAlign w:val="center"/>
            <w:hideMark/>
          </w:tcPr>
          <w:p w14:paraId="6602F5E8" w14:textId="77777777" w:rsidR="00000000" w:rsidRDefault="00195E73">
            <w:pPr>
              <w:rPr>
                <w:rFonts w:eastAsia="Times New Roman"/>
                <w:sz w:val="20"/>
                <w:szCs w:val="20"/>
              </w:rPr>
            </w:pPr>
          </w:p>
        </w:tc>
        <w:tc>
          <w:tcPr>
            <w:tcW w:w="0" w:type="auto"/>
            <w:vAlign w:val="center"/>
            <w:hideMark/>
          </w:tcPr>
          <w:p w14:paraId="1AA0A7D1" w14:textId="77777777" w:rsidR="00000000" w:rsidRDefault="00195E73">
            <w:pPr>
              <w:rPr>
                <w:rFonts w:eastAsia="Times New Roman"/>
                <w:sz w:val="20"/>
                <w:szCs w:val="20"/>
              </w:rPr>
            </w:pPr>
          </w:p>
        </w:tc>
        <w:tc>
          <w:tcPr>
            <w:tcW w:w="0" w:type="auto"/>
            <w:vAlign w:val="center"/>
            <w:hideMark/>
          </w:tcPr>
          <w:p w14:paraId="2052AAEF" w14:textId="77777777" w:rsidR="00000000" w:rsidRDefault="00195E73">
            <w:pPr>
              <w:rPr>
                <w:rFonts w:eastAsia="Times New Roman"/>
                <w:sz w:val="20"/>
                <w:szCs w:val="20"/>
              </w:rPr>
            </w:pPr>
          </w:p>
        </w:tc>
        <w:tc>
          <w:tcPr>
            <w:tcW w:w="0" w:type="auto"/>
            <w:vAlign w:val="center"/>
            <w:hideMark/>
          </w:tcPr>
          <w:p w14:paraId="1E745A88" w14:textId="77777777" w:rsidR="00000000" w:rsidRDefault="00195E73">
            <w:pPr>
              <w:rPr>
                <w:rFonts w:eastAsia="Times New Roman"/>
                <w:sz w:val="20"/>
                <w:szCs w:val="20"/>
              </w:rPr>
            </w:pPr>
          </w:p>
        </w:tc>
        <w:tc>
          <w:tcPr>
            <w:tcW w:w="0" w:type="auto"/>
            <w:vAlign w:val="center"/>
            <w:hideMark/>
          </w:tcPr>
          <w:p w14:paraId="70C1E6B9" w14:textId="77777777" w:rsidR="00000000" w:rsidRDefault="00195E73">
            <w:pPr>
              <w:rPr>
                <w:rFonts w:eastAsia="Times New Roman"/>
                <w:sz w:val="20"/>
                <w:szCs w:val="20"/>
              </w:rPr>
            </w:pPr>
          </w:p>
        </w:tc>
        <w:tc>
          <w:tcPr>
            <w:tcW w:w="0" w:type="auto"/>
            <w:vAlign w:val="center"/>
            <w:hideMark/>
          </w:tcPr>
          <w:p w14:paraId="59BD46CF" w14:textId="77777777" w:rsidR="00000000" w:rsidRDefault="00195E73">
            <w:pPr>
              <w:rPr>
                <w:rFonts w:eastAsia="Times New Roman"/>
                <w:sz w:val="20"/>
                <w:szCs w:val="20"/>
              </w:rPr>
            </w:pPr>
          </w:p>
        </w:tc>
        <w:tc>
          <w:tcPr>
            <w:tcW w:w="0" w:type="auto"/>
            <w:vAlign w:val="center"/>
            <w:hideMark/>
          </w:tcPr>
          <w:p w14:paraId="4D5259ED" w14:textId="77777777" w:rsidR="00000000" w:rsidRDefault="00195E73">
            <w:pPr>
              <w:rPr>
                <w:rFonts w:eastAsia="Times New Roman"/>
                <w:sz w:val="20"/>
                <w:szCs w:val="20"/>
              </w:rPr>
            </w:pPr>
          </w:p>
        </w:tc>
        <w:tc>
          <w:tcPr>
            <w:tcW w:w="0" w:type="auto"/>
            <w:vAlign w:val="center"/>
            <w:hideMark/>
          </w:tcPr>
          <w:p w14:paraId="6B50B40F" w14:textId="77777777" w:rsidR="00000000" w:rsidRDefault="00195E73">
            <w:pPr>
              <w:rPr>
                <w:rFonts w:eastAsia="Times New Roman"/>
                <w:sz w:val="20"/>
                <w:szCs w:val="20"/>
              </w:rPr>
            </w:pPr>
          </w:p>
        </w:tc>
        <w:tc>
          <w:tcPr>
            <w:tcW w:w="0" w:type="auto"/>
            <w:vAlign w:val="center"/>
            <w:hideMark/>
          </w:tcPr>
          <w:p w14:paraId="121890EC" w14:textId="77777777" w:rsidR="00000000" w:rsidRDefault="00195E73">
            <w:pPr>
              <w:rPr>
                <w:rFonts w:eastAsia="Times New Roman"/>
                <w:sz w:val="20"/>
                <w:szCs w:val="20"/>
              </w:rPr>
            </w:pPr>
          </w:p>
        </w:tc>
        <w:tc>
          <w:tcPr>
            <w:tcW w:w="0" w:type="auto"/>
            <w:vAlign w:val="center"/>
            <w:hideMark/>
          </w:tcPr>
          <w:p w14:paraId="537C6FBF" w14:textId="77777777" w:rsidR="00000000" w:rsidRDefault="00195E73">
            <w:pPr>
              <w:rPr>
                <w:rFonts w:eastAsia="Times New Roman"/>
                <w:sz w:val="20"/>
                <w:szCs w:val="20"/>
              </w:rPr>
            </w:pPr>
          </w:p>
        </w:tc>
        <w:tc>
          <w:tcPr>
            <w:tcW w:w="0" w:type="auto"/>
            <w:vAlign w:val="center"/>
            <w:hideMark/>
          </w:tcPr>
          <w:p w14:paraId="67D7CD33" w14:textId="77777777" w:rsidR="00000000" w:rsidRDefault="00195E73">
            <w:pPr>
              <w:rPr>
                <w:rFonts w:eastAsia="Times New Roman"/>
                <w:sz w:val="20"/>
                <w:szCs w:val="20"/>
              </w:rPr>
            </w:pPr>
          </w:p>
        </w:tc>
        <w:tc>
          <w:tcPr>
            <w:tcW w:w="0" w:type="auto"/>
            <w:vAlign w:val="center"/>
            <w:hideMark/>
          </w:tcPr>
          <w:p w14:paraId="5CE7FD0F" w14:textId="77777777" w:rsidR="00000000" w:rsidRDefault="00195E73">
            <w:pPr>
              <w:rPr>
                <w:rFonts w:eastAsia="Times New Roman"/>
                <w:sz w:val="20"/>
                <w:szCs w:val="20"/>
              </w:rPr>
            </w:pPr>
          </w:p>
        </w:tc>
        <w:tc>
          <w:tcPr>
            <w:tcW w:w="0" w:type="auto"/>
            <w:vAlign w:val="center"/>
            <w:hideMark/>
          </w:tcPr>
          <w:p w14:paraId="4AE418FE" w14:textId="77777777" w:rsidR="00000000" w:rsidRDefault="00195E73">
            <w:pPr>
              <w:rPr>
                <w:rFonts w:eastAsia="Times New Roman"/>
                <w:sz w:val="20"/>
                <w:szCs w:val="20"/>
              </w:rPr>
            </w:pPr>
          </w:p>
        </w:tc>
        <w:tc>
          <w:tcPr>
            <w:tcW w:w="0" w:type="auto"/>
            <w:vAlign w:val="center"/>
            <w:hideMark/>
          </w:tcPr>
          <w:p w14:paraId="2B9F9B5F" w14:textId="77777777" w:rsidR="00000000" w:rsidRDefault="00195E73">
            <w:pPr>
              <w:rPr>
                <w:rFonts w:eastAsia="Times New Roman"/>
                <w:sz w:val="20"/>
                <w:szCs w:val="20"/>
              </w:rPr>
            </w:pPr>
          </w:p>
        </w:tc>
        <w:tc>
          <w:tcPr>
            <w:tcW w:w="0" w:type="auto"/>
            <w:vAlign w:val="center"/>
            <w:hideMark/>
          </w:tcPr>
          <w:p w14:paraId="25184FD9" w14:textId="77777777" w:rsidR="00000000" w:rsidRDefault="00195E73">
            <w:pPr>
              <w:rPr>
                <w:rFonts w:eastAsia="Times New Roman"/>
                <w:sz w:val="20"/>
                <w:szCs w:val="20"/>
              </w:rPr>
            </w:pPr>
          </w:p>
        </w:tc>
      </w:tr>
      <w:tr w:rsidR="00000000" w14:paraId="221AFBEE" w14:textId="77777777">
        <w:trPr>
          <w:divId w:val="1157651963"/>
        </w:trPr>
        <w:tc>
          <w:tcPr>
            <w:tcW w:w="0" w:type="auto"/>
            <w:gridSpan w:val="3"/>
            <w:shd w:val="clear" w:color="auto" w:fill="CCEEFF"/>
            <w:tcMar>
              <w:top w:w="30" w:type="dxa"/>
              <w:left w:w="180" w:type="dxa"/>
              <w:bottom w:w="30" w:type="dxa"/>
              <w:right w:w="20" w:type="dxa"/>
            </w:tcMar>
            <w:vAlign w:val="bottom"/>
            <w:hideMark/>
          </w:tcPr>
          <w:p w14:paraId="3804DBEB" w14:textId="77777777" w:rsidR="00000000" w:rsidRDefault="00195E73">
            <w:pPr>
              <w:rPr>
                <w:rFonts w:eastAsia="Times New Roman"/>
              </w:rPr>
            </w:pPr>
            <w:r>
              <w:rPr>
                <w:rFonts w:eastAsia="Times New Roman"/>
                <w:color w:val="000000"/>
                <w:sz w:val="20"/>
                <w:szCs w:val="20"/>
              </w:rPr>
              <w:t>Cost of goods sol</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2D759C2A" w14:textId="77777777" w:rsidR="00000000" w:rsidRDefault="00195E73">
            <w:pPr>
              <w:jc w:val="right"/>
              <w:rPr>
                <w:rFonts w:eastAsia="Times New Roman"/>
              </w:rPr>
            </w:pPr>
            <w:r>
              <w:rPr>
                <w:rFonts w:eastAsia="Times New Roman"/>
                <w:color w:val="000000"/>
                <w:sz w:val="20"/>
                <w:szCs w:val="20"/>
              </w:rPr>
              <w:t>8,947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3F4D04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E6DF2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0CA1B6" w14:textId="77777777" w:rsidR="00000000" w:rsidRDefault="00195E73">
            <w:pPr>
              <w:jc w:val="right"/>
              <w:rPr>
                <w:rFonts w:eastAsia="Times New Roman"/>
              </w:rPr>
            </w:pPr>
            <w:r>
              <w:rPr>
                <w:rFonts w:eastAsia="Times New Roman"/>
                <w:color w:val="000000"/>
                <w:sz w:val="20"/>
                <w:szCs w:val="20"/>
              </w:rPr>
              <w:t>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CA466D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A0AD20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2910A4" w14:textId="77777777" w:rsidR="00000000" w:rsidRDefault="00195E73">
            <w:pPr>
              <w:jc w:val="right"/>
              <w:rPr>
                <w:rFonts w:eastAsia="Times New Roman"/>
              </w:rPr>
            </w:pPr>
            <w:r>
              <w:rPr>
                <w:rFonts w:eastAsia="Times New Roman"/>
                <w:color w:val="000000"/>
                <w:sz w:val="20"/>
                <w:szCs w:val="20"/>
              </w:rPr>
              <w:t>9,002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E704E3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574E6A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C14C44" w14:textId="77777777" w:rsidR="00000000" w:rsidRDefault="00195E73">
            <w:pPr>
              <w:jc w:val="right"/>
              <w:rPr>
                <w:rFonts w:eastAsia="Times New Roman"/>
              </w:rPr>
            </w:pPr>
            <w:r>
              <w:rPr>
                <w:rFonts w:eastAsia="Times New Roman"/>
                <w:color w:val="000000"/>
                <w:sz w:val="20"/>
                <w:szCs w:val="20"/>
              </w:rPr>
              <w:t>8,258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2979E0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9542E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34C77A" w14:textId="77777777" w:rsidR="00000000" w:rsidRDefault="00195E73">
            <w:pPr>
              <w:jc w:val="right"/>
              <w:rPr>
                <w:rFonts w:eastAsia="Times New Roman"/>
              </w:rPr>
            </w:pPr>
            <w:r>
              <w:rPr>
                <w:rFonts w:eastAsia="Times New Roman"/>
                <w:color w:val="000000"/>
                <w:sz w:val="20"/>
                <w:szCs w:val="20"/>
              </w:rPr>
              <w:t>(38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DD5743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0D7C36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7068CA" w14:textId="77777777" w:rsidR="00000000" w:rsidRDefault="00195E73">
            <w:pPr>
              <w:jc w:val="right"/>
              <w:rPr>
                <w:rFonts w:eastAsia="Times New Roman"/>
              </w:rPr>
            </w:pPr>
            <w:r>
              <w:rPr>
                <w:rFonts w:eastAsia="Times New Roman"/>
                <w:color w:val="000000"/>
                <w:sz w:val="20"/>
                <w:szCs w:val="20"/>
              </w:rPr>
              <w:t>8,220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370D88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B2FE0B9" w14:textId="77777777" w:rsidR="00000000" w:rsidRDefault="00195E73">
            <w:pPr>
              <w:rPr>
                <w:rFonts w:eastAsia="Times New Roman"/>
                <w:sz w:val="20"/>
                <w:szCs w:val="20"/>
              </w:rPr>
            </w:pPr>
          </w:p>
        </w:tc>
        <w:tc>
          <w:tcPr>
            <w:tcW w:w="0" w:type="auto"/>
            <w:vAlign w:val="center"/>
            <w:hideMark/>
          </w:tcPr>
          <w:p w14:paraId="26CD1B0F" w14:textId="77777777" w:rsidR="00000000" w:rsidRDefault="00195E73">
            <w:pPr>
              <w:rPr>
                <w:rFonts w:eastAsia="Times New Roman"/>
                <w:sz w:val="20"/>
                <w:szCs w:val="20"/>
              </w:rPr>
            </w:pPr>
          </w:p>
        </w:tc>
        <w:tc>
          <w:tcPr>
            <w:tcW w:w="0" w:type="auto"/>
            <w:vAlign w:val="center"/>
            <w:hideMark/>
          </w:tcPr>
          <w:p w14:paraId="2593E00C" w14:textId="77777777" w:rsidR="00000000" w:rsidRDefault="00195E73">
            <w:pPr>
              <w:rPr>
                <w:rFonts w:eastAsia="Times New Roman"/>
                <w:sz w:val="20"/>
                <w:szCs w:val="20"/>
              </w:rPr>
            </w:pPr>
          </w:p>
        </w:tc>
        <w:tc>
          <w:tcPr>
            <w:tcW w:w="0" w:type="auto"/>
            <w:vAlign w:val="center"/>
            <w:hideMark/>
          </w:tcPr>
          <w:p w14:paraId="3506FEC8" w14:textId="77777777" w:rsidR="00000000" w:rsidRDefault="00195E73">
            <w:pPr>
              <w:rPr>
                <w:rFonts w:eastAsia="Times New Roman"/>
                <w:sz w:val="20"/>
                <w:szCs w:val="20"/>
              </w:rPr>
            </w:pPr>
          </w:p>
        </w:tc>
        <w:tc>
          <w:tcPr>
            <w:tcW w:w="0" w:type="auto"/>
            <w:vAlign w:val="center"/>
            <w:hideMark/>
          </w:tcPr>
          <w:p w14:paraId="68691100" w14:textId="77777777" w:rsidR="00000000" w:rsidRDefault="00195E73">
            <w:pPr>
              <w:rPr>
                <w:rFonts w:eastAsia="Times New Roman"/>
                <w:sz w:val="20"/>
                <w:szCs w:val="20"/>
              </w:rPr>
            </w:pPr>
          </w:p>
        </w:tc>
        <w:tc>
          <w:tcPr>
            <w:tcW w:w="0" w:type="auto"/>
            <w:vAlign w:val="center"/>
            <w:hideMark/>
          </w:tcPr>
          <w:p w14:paraId="21BE1EBE" w14:textId="77777777" w:rsidR="00000000" w:rsidRDefault="00195E73">
            <w:pPr>
              <w:rPr>
                <w:rFonts w:eastAsia="Times New Roman"/>
                <w:sz w:val="20"/>
                <w:szCs w:val="20"/>
              </w:rPr>
            </w:pPr>
          </w:p>
        </w:tc>
        <w:tc>
          <w:tcPr>
            <w:tcW w:w="0" w:type="auto"/>
            <w:vAlign w:val="center"/>
            <w:hideMark/>
          </w:tcPr>
          <w:p w14:paraId="15AE2E86" w14:textId="77777777" w:rsidR="00000000" w:rsidRDefault="00195E73">
            <w:pPr>
              <w:rPr>
                <w:rFonts w:eastAsia="Times New Roman"/>
                <w:sz w:val="20"/>
                <w:szCs w:val="20"/>
              </w:rPr>
            </w:pPr>
          </w:p>
        </w:tc>
        <w:tc>
          <w:tcPr>
            <w:tcW w:w="0" w:type="auto"/>
            <w:vAlign w:val="center"/>
            <w:hideMark/>
          </w:tcPr>
          <w:p w14:paraId="563B99CE" w14:textId="77777777" w:rsidR="00000000" w:rsidRDefault="00195E73">
            <w:pPr>
              <w:rPr>
                <w:rFonts w:eastAsia="Times New Roman"/>
                <w:sz w:val="20"/>
                <w:szCs w:val="20"/>
              </w:rPr>
            </w:pPr>
          </w:p>
        </w:tc>
        <w:tc>
          <w:tcPr>
            <w:tcW w:w="0" w:type="auto"/>
            <w:vAlign w:val="center"/>
            <w:hideMark/>
          </w:tcPr>
          <w:p w14:paraId="4788467B" w14:textId="77777777" w:rsidR="00000000" w:rsidRDefault="00195E73">
            <w:pPr>
              <w:rPr>
                <w:rFonts w:eastAsia="Times New Roman"/>
                <w:sz w:val="20"/>
                <w:szCs w:val="20"/>
              </w:rPr>
            </w:pPr>
          </w:p>
        </w:tc>
        <w:tc>
          <w:tcPr>
            <w:tcW w:w="0" w:type="auto"/>
            <w:vAlign w:val="center"/>
            <w:hideMark/>
          </w:tcPr>
          <w:p w14:paraId="5204C3EF" w14:textId="77777777" w:rsidR="00000000" w:rsidRDefault="00195E73">
            <w:pPr>
              <w:rPr>
                <w:rFonts w:eastAsia="Times New Roman"/>
                <w:sz w:val="20"/>
                <w:szCs w:val="20"/>
              </w:rPr>
            </w:pPr>
          </w:p>
        </w:tc>
        <w:tc>
          <w:tcPr>
            <w:tcW w:w="0" w:type="auto"/>
            <w:vAlign w:val="center"/>
            <w:hideMark/>
          </w:tcPr>
          <w:p w14:paraId="1BDD8D34" w14:textId="77777777" w:rsidR="00000000" w:rsidRDefault="00195E73">
            <w:pPr>
              <w:rPr>
                <w:rFonts w:eastAsia="Times New Roman"/>
                <w:sz w:val="20"/>
                <w:szCs w:val="20"/>
              </w:rPr>
            </w:pPr>
          </w:p>
        </w:tc>
        <w:tc>
          <w:tcPr>
            <w:tcW w:w="0" w:type="auto"/>
            <w:vAlign w:val="center"/>
            <w:hideMark/>
          </w:tcPr>
          <w:p w14:paraId="1D7ED484" w14:textId="77777777" w:rsidR="00000000" w:rsidRDefault="00195E73">
            <w:pPr>
              <w:rPr>
                <w:rFonts w:eastAsia="Times New Roman"/>
                <w:sz w:val="20"/>
                <w:szCs w:val="20"/>
              </w:rPr>
            </w:pPr>
          </w:p>
        </w:tc>
        <w:tc>
          <w:tcPr>
            <w:tcW w:w="0" w:type="auto"/>
            <w:vAlign w:val="center"/>
            <w:hideMark/>
          </w:tcPr>
          <w:p w14:paraId="25AB9084" w14:textId="77777777" w:rsidR="00000000" w:rsidRDefault="00195E73">
            <w:pPr>
              <w:rPr>
                <w:rFonts w:eastAsia="Times New Roman"/>
                <w:sz w:val="20"/>
                <w:szCs w:val="20"/>
              </w:rPr>
            </w:pPr>
          </w:p>
        </w:tc>
        <w:tc>
          <w:tcPr>
            <w:tcW w:w="0" w:type="auto"/>
            <w:vAlign w:val="center"/>
            <w:hideMark/>
          </w:tcPr>
          <w:p w14:paraId="41D3D326" w14:textId="77777777" w:rsidR="00000000" w:rsidRDefault="00195E73">
            <w:pPr>
              <w:rPr>
                <w:rFonts w:eastAsia="Times New Roman"/>
                <w:sz w:val="20"/>
                <w:szCs w:val="20"/>
              </w:rPr>
            </w:pPr>
          </w:p>
        </w:tc>
        <w:tc>
          <w:tcPr>
            <w:tcW w:w="0" w:type="auto"/>
            <w:vAlign w:val="center"/>
            <w:hideMark/>
          </w:tcPr>
          <w:p w14:paraId="76581F4F" w14:textId="77777777" w:rsidR="00000000" w:rsidRDefault="00195E73">
            <w:pPr>
              <w:rPr>
                <w:rFonts w:eastAsia="Times New Roman"/>
                <w:sz w:val="20"/>
                <w:szCs w:val="20"/>
              </w:rPr>
            </w:pPr>
          </w:p>
        </w:tc>
        <w:tc>
          <w:tcPr>
            <w:tcW w:w="0" w:type="auto"/>
            <w:vAlign w:val="center"/>
            <w:hideMark/>
          </w:tcPr>
          <w:p w14:paraId="2DB616FB" w14:textId="77777777" w:rsidR="00000000" w:rsidRDefault="00195E73">
            <w:pPr>
              <w:rPr>
                <w:rFonts w:eastAsia="Times New Roman"/>
                <w:sz w:val="20"/>
                <w:szCs w:val="20"/>
              </w:rPr>
            </w:pPr>
          </w:p>
        </w:tc>
        <w:tc>
          <w:tcPr>
            <w:tcW w:w="0" w:type="auto"/>
            <w:vAlign w:val="center"/>
            <w:hideMark/>
          </w:tcPr>
          <w:p w14:paraId="3D9C69A2" w14:textId="77777777" w:rsidR="00000000" w:rsidRDefault="00195E73">
            <w:pPr>
              <w:rPr>
                <w:rFonts w:eastAsia="Times New Roman"/>
                <w:sz w:val="20"/>
                <w:szCs w:val="20"/>
              </w:rPr>
            </w:pPr>
          </w:p>
        </w:tc>
        <w:tc>
          <w:tcPr>
            <w:tcW w:w="0" w:type="auto"/>
            <w:vAlign w:val="center"/>
            <w:hideMark/>
          </w:tcPr>
          <w:p w14:paraId="348D4C83" w14:textId="77777777" w:rsidR="00000000" w:rsidRDefault="00195E73">
            <w:pPr>
              <w:rPr>
                <w:rFonts w:eastAsia="Times New Roman"/>
                <w:sz w:val="20"/>
                <w:szCs w:val="20"/>
              </w:rPr>
            </w:pPr>
          </w:p>
        </w:tc>
        <w:tc>
          <w:tcPr>
            <w:tcW w:w="0" w:type="auto"/>
            <w:vAlign w:val="center"/>
            <w:hideMark/>
          </w:tcPr>
          <w:p w14:paraId="2BBCFD35" w14:textId="77777777" w:rsidR="00000000" w:rsidRDefault="00195E73">
            <w:pPr>
              <w:rPr>
                <w:rFonts w:eastAsia="Times New Roman"/>
                <w:sz w:val="20"/>
                <w:szCs w:val="20"/>
              </w:rPr>
            </w:pPr>
          </w:p>
        </w:tc>
        <w:tc>
          <w:tcPr>
            <w:tcW w:w="0" w:type="auto"/>
            <w:vAlign w:val="center"/>
            <w:hideMark/>
          </w:tcPr>
          <w:p w14:paraId="0C4A95E6" w14:textId="77777777" w:rsidR="00000000" w:rsidRDefault="00195E73">
            <w:pPr>
              <w:rPr>
                <w:rFonts w:eastAsia="Times New Roman"/>
                <w:sz w:val="20"/>
                <w:szCs w:val="20"/>
              </w:rPr>
            </w:pPr>
          </w:p>
        </w:tc>
        <w:tc>
          <w:tcPr>
            <w:tcW w:w="0" w:type="auto"/>
            <w:vAlign w:val="center"/>
            <w:hideMark/>
          </w:tcPr>
          <w:p w14:paraId="24656283" w14:textId="77777777" w:rsidR="00000000" w:rsidRDefault="00195E73">
            <w:pPr>
              <w:rPr>
                <w:rFonts w:eastAsia="Times New Roman"/>
                <w:sz w:val="20"/>
                <w:szCs w:val="20"/>
              </w:rPr>
            </w:pPr>
          </w:p>
        </w:tc>
        <w:tc>
          <w:tcPr>
            <w:tcW w:w="0" w:type="auto"/>
            <w:vAlign w:val="center"/>
            <w:hideMark/>
          </w:tcPr>
          <w:p w14:paraId="6080F9C7" w14:textId="77777777" w:rsidR="00000000" w:rsidRDefault="00195E73">
            <w:pPr>
              <w:rPr>
                <w:rFonts w:eastAsia="Times New Roman"/>
                <w:sz w:val="20"/>
                <w:szCs w:val="20"/>
              </w:rPr>
            </w:pPr>
          </w:p>
        </w:tc>
        <w:tc>
          <w:tcPr>
            <w:tcW w:w="0" w:type="auto"/>
            <w:vAlign w:val="center"/>
            <w:hideMark/>
          </w:tcPr>
          <w:p w14:paraId="4EFB3E5A" w14:textId="77777777" w:rsidR="00000000" w:rsidRDefault="00195E73">
            <w:pPr>
              <w:rPr>
                <w:rFonts w:eastAsia="Times New Roman"/>
                <w:sz w:val="20"/>
                <w:szCs w:val="20"/>
              </w:rPr>
            </w:pPr>
          </w:p>
        </w:tc>
        <w:tc>
          <w:tcPr>
            <w:tcW w:w="0" w:type="auto"/>
            <w:vAlign w:val="center"/>
            <w:hideMark/>
          </w:tcPr>
          <w:p w14:paraId="1793F497" w14:textId="77777777" w:rsidR="00000000" w:rsidRDefault="00195E73">
            <w:pPr>
              <w:rPr>
                <w:rFonts w:eastAsia="Times New Roman"/>
                <w:sz w:val="20"/>
                <w:szCs w:val="20"/>
              </w:rPr>
            </w:pPr>
          </w:p>
        </w:tc>
      </w:tr>
      <w:tr w:rsidR="00000000" w14:paraId="76893CE9" w14:textId="77777777">
        <w:trPr>
          <w:divId w:val="1157651963"/>
        </w:trPr>
        <w:tc>
          <w:tcPr>
            <w:tcW w:w="0" w:type="auto"/>
            <w:gridSpan w:val="3"/>
            <w:shd w:val="clear" w:color="auto" w:fill="FFFFFF"/>
            <w:tcMar>
              <w:top w:w="30" w:type="dxa"/>
              <w:left w:w="180" w:type="dxa"/>
              <w:bottom w:w="30" w:type="dxa"/>
              <w:right w:w="20" w:type="dxa"/>
            </w:tcMar>
            <w:vAlign w:val="bottom"/>
            <w:hideMark/>
          </w:tcPr>
          <w:p w14:paraId="003FA059" w14:textId="77777777" w:rsidR="00000000" w:rsidRDefault="00195E73">
            <w:pPr>
              <w:rPr>
                <w:rFonts w:eastAsia="Times New Roman"/>
              </w:rPr>
            </w:pPr>
            <w:r>
              <w:rPr>
                <w:rFonts w:eastAsia="Times New Roman"/>
                <w:color w:val="000000"/>
                <w:sz w:val="20"/>
                <w:szCs w:val="20"/>
              </w:rPr>
              <w:t>All other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3F7235E" w14:textId="77777777" w:rsidR="00000000" w:rsidRDefault="00195E73">
            <w:pPr>
              <w:jc w:val="right"/>
              <w:rPr>
                <w:rFonts w:eastAsia="Times New Roman"/>
              </w:rPr>
            </w:pPr>
            <w:r>
              <w:rPr>
                <w:rFonts w:eastAsia="Times New Roman"/>
                <w:color w:val="000000"/>
                <w:sz w:val="20"/>
                <w:szCs w:val="20"/>
              </w:rPr>
              <w:t>2,552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B1486F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D8BAF3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CCBA60"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316CAF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C755A9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224706" w14:textId="77777777" w:rsidR="00000000" w:rsidRDefault="00195E73">
            <w:pPr>
              <w:jc w:val="right"/>
              <w:rPr>
                <w:rFonts w:eastAsia="Times New Roman"/>
              </w:rPr>
            </w:pPr>
            <w:r>
              <w:rPr>
                <w:rFonts w:eastAsia="Times New Roman"/>
                <w:color w:val="000000"/>
                <w:sz w:val="20"/>
                <w:szCs w:val="20"/>
              </w:rPr>
              <w:t>2,552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70B930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14A2A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B0A719" w14:textId="77777777" w:rsidR="00000000" w:rsidRDefault="00195E73">
            <w:pPr>
              <w:jc w:val="right"/>
              <w:rPr>
                <w:rFonts w:eastAsia="Times New Roman"/>
              </w:rPr>
            </w:pPr>
            <w:r>
              <w:rPr>
                <w:rFonts w:eastAsia="Times New Roman"/>
                <w:color w:val="000000"/>
                <w:sz w:val="20"/>
                <w:szCs w:val="20"/>
              </w:rPr>
              <w:t>2,533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007606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609D55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4A2B7E"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273662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022B6C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CB4E4E" w14:textId="77777777" w:rsidR="00000000" w:rsidRDefault="00195E73">
            <w:pPr>
              <w:jc w:val="right"/>
              <w:rPr>
                <w:rFonts w:eastAsia="Times New Roman"/>
              </w:rPr>
            </w:pPr>
            <w:r>
              <w:rPr>
                <w:rFonts w:eastAsia="Times New Roman"/>
                <w:color w:val="000000"/>
                <w:sz w:val="20"/>
                <w:szCs w:val="20"/>
              </w:rPr>
              <w:t>2,533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887FEE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44A7B12" w14:textId="77777777" w:rsidR="00000000" w:rsidRDefault="00195E73">
            <w:pPr>
              <w:rPr>
                <w:rFonts w:eastAsia="Times New Roman"/>
                <w:sz w:val="20"/>
                <w:szCs w:val="20"/>
              </w:rPr>
            </w:pPr>
          </w:p>
        </w:tc>
        <w:tc>
          <w:tcPr>
            <w:tcW w:w="0" w:type="auto"/>
            <w:vAlign w:val="center"/>
            <w:hideMark/>
          </w:tcPr>
          <w:p w14:paraId="18604040" w14:textId="77777777" w:rsidR="00000000" w:rsidRDefault="00195E73">
            <w:pPr>
              <w:rPr>
                <w:rFonts w:eastAsia="Times New Roman"/>
                <w:sz w:val="20"/>
                <w:szCs w:val="20"/>
              </w:rPr>
            </w:pPr>
          </w:p>
        </w:tc>
        <w:tc>
          <w:tcPr>
            <w:tcW w:w="0" w:type="auto"/>
            <w:vAlign w:val="center"/>
            <w:hideMark/>
          </w:tcPr>
          <w:p w14:paraId="3F8DA181" w14:textId="77777777" w:rsidR="00000000" w:rsidRDefault="00195E73">
            <w:pPr>
              <w:rPr>
                <w:rFonts w:eastAsia="Times New Roman"/>
                <w:sz w:val="20"/>
                <w:szCs w:val="20"/>
              </w:rPr>
            </w:pPr>
          </w:p>
        </w:tc>
        <w:tc>
          <w:tcPr>
            <w:tcW w:w="0" w:type="auto"/>
            <w:vAlign w:val="center"/>
            <w:hideMark/>
          </w:tcPr>
          <w:p w14:paraId="3779ABEE" w14:textId="77777777" w:rsidR="00000000" w:rsidRDefault="00195E73">
            <w:pPr>
              <w:rPr>
                <w:rFonts w:eastAsia="Times New Roman"/>
                <w:sz w:val="20"/>
                <w:szCs w:val="20"/>
              </w:rPr>
            </w:pPr>
          </w:p>
        </w:tc>
        <w:tc>
          <w:tcPr>
            <w:tcW w:w="0" w:type="auto"/>
            <w:vAlign w:val="center"/>
            <w:hideMark/>
          </w:tcPr>
          <w:p w14:paraId="51C589AC" w14:textId="77777777" w:rsidR="00000000" w:rsidRDefault="00195E73">
            <w:pPr>
              <w:rPr>
                <w:rFonts w:eastAsia="Times New Roman"/>
                <w:sz w:val="20"/>
                <w:szCs w:val="20"/>
              </w:rPr>
            </w:pPr>
          </w:p>
        </w:tc>
        <w:tc>
          <w:tcPr>
            <w:tcW w:w="0" w:type="auto"/>
            <w:vAlign w:val="center"/>
            <w:hideMark/>
          </w:tcPr>
          <w:p w14:paraId="223F7EE0" w14:textId="77777777" w:rsidR="00000000" w:rsidRDefault="00195E73">
            <w:pPr>
              <w:rPr>
                <w:rFonts w:eastAsia="Times New Roman"/>
                <w:sz w:val="20"/>
                <w:szCs w:val="20"/>
              </w:rPr>
            </w:pPr>
          </w:p>
        </w:tc>
        <w:tc>
          <w:tcPr>
            <w:tcW w:w="0" w:type="auto"/>
            <w:vAlign w:val="center"/>
            <w:hideMark/>
          </w:tcPr>
          <w:p w14:paraId="78F326B9" w14:textId="77777777" w:rsidR="00000000" w:rsidRDefault="00195E73">
            <w:pPr>
              <w:rPr>
                <w:rFonts w:eastAsia="Times New Roman"/>
                <w:sz w:val="20"/>
                <w:szCs w:val="20"/>
              </w:rPr>
            </w:pPr>
          </w:p>
        </w:tc>
        <w:tc>
          <w:tcPr>
            <w:tcW w:w="0" w:type="auto"/>
            <w:vAlign w:val="center"/>
            <w:hideMark/>
          </w:tcPr>
          <w:p w14:paraId="23216EC3" w14:textId="77777777" w:rsidR="00000000" w:rsidRDefault="00195E73">
            <w:pPr>
              <w:rPr>
                <w:rFonts w:eastAsia="Times New Roman"/>
                <w:sz w:val="20"/>
                <w:szCs w:val="20"/>
              </w:rPr>
            </w:pPr>
          </w:p>
        </w:tc>
        <w:tc>
          <w:tcPr>
            <w:tcW w:w="0" w:type="auto"/>
            <w:vAlign w:val="center"/>
            <w:hideMark/>
          </w:tcPr>
          <w:p w14:paraId="54A2E383" w14:textId="77777777" w:rsidR="00000000" w:rsidRDefault="00195E73">
            <w:pPr>
              <w:rPr>
                <w:rFonts w:eastAsia="Times New Roman"/>
                <w:sz w:val="20"/>
                <w:szCs w:val="20"/>
              </w:rPr>
            </w:pPr>
          </w:p>
        </w:tc>
        <w:tc>
          <w:tcPr>
            <w:tcW w:w="0" w:type="auto"/>
            <w:vAlign w:val="center"/>
            <w:hideMark/>
          </w:tcPr>
          <w:p w14:paraId="07FF0D08" w14:textId="77777777" w:rsidR="00000000" w:rsidRDefault="00195E73">
            <w:pPr>
              <w:rPr>
                <w:rFonts w:eastAsia="Times New Roman"/>
                <w:sz w:val="20"/>
                <w:szCs w:val="20"/>
              </w:rPr>
            </w:pPr>
          </w:p>
        </w:tc>
        <w:tc>
          <w:tcPr>
            <w:tcW w:w="0" w:type="auto"/>
            <w:vAlign w:val="center"/>
            <w:hideMark/>
          </w:tcPr>
          <w:p w14:paraId="5EA3A9B8" w14:textId="77777777" w:rsidR="00000000" w:rsidRDefault="00195E73">
            <w:pPr>
              <w:rPr>
                <w:rFonts w:eastAsia="Times New Roman"/>
                <w:sz w:val="20"/>
                <w:szCs w:val="20"/>
              </w:rPr>
            </w:pPr>
          </w:p>
        </w:tc>
        <w:tc>
          <w:tcPr>
            <w:tcW w:w="0" w:type="auto"/>
            <w:vAlign w:val="center"/>
            <w:hideMark/>
          </w:tcPr>
          <w:p w14:paraId="47B2F26D" w14:textId="77777777" w:rsidR="00000000" w:rsidRDefault="00195E73">
            <w:pPr>
              <w:rPr>
                <w:rFonts w:eastAsia="Times New Roman"/>
                <w:sz w:val="20"/>
                <w:szCs w:val="20"/>
              </w:rPr>
            </w:pPr>
          </w:p>
        </w:tc>
        <w:tc>
          <w:tcPr>
            <w:tcW w:w="0" w:type="auto"/>
            <w:vAlign w:val="center"/>
            <w:hideMark/>
          </w:tcPr>
          <w:p w14:paraId="370B1FBB" w14:textId="77777777" w:rsidR="00000000" w:rsidRDefault="00195E73">
            <w:pPr>
              <w:rPr>
                <w:rFonts w:eastAsia="Times New Roman"/>
                <w:sz w:val="20"/>
                <w:szCs w:val="20"/>
              </w:rPr>
            </w:pPr>
          </w:p>
        </w:tc>
        <w:tc>
          <w:tcPr>
            <w:tcW w:w="0" w:type="auto"/>
            <w:vAlign w:val="center"/>
            <w:hideMark/>
          </w:tcPr>
          <w:p w14:paraId="40CD247F" w14:textId="77777777" w:rsidR="00000000" w:rsidRDefault="00195E73">
            <w:pPr>
              <w:rPr>
                <w:rFonts w:eastAsia="Times New Roman"/>
                <w:sz w:val="20"/>
                <w:szCs w:val="20"/>
              </w:rPr>
            </w:pPr>
          </w:p>
        </w:tc>
        <w:tc>
          <w:tcPr>
            <w:tcW w:w="0" w:type="auto"/>
            <w:vAlign w:val="center"/>
            <w:hideMark/>
          </w:tcPr>
          <w:p w14:paraId="18FDF4A1" w14:textId="77777777" w:rsidR="00000000" w:rsidRDefault="00195E73">
            <w:pPr>
              <w:rPr>
                <w:rFonts w:eastAsia="Times New Roman"/>
                <w:sz w:val="20"/>
                <w:szCs w:val="20"/>
              </w:rPr>
            </w:pPr>
          </w:p>
        </w:tc>
        <w:tc>
          <w:tcPr>
            <w:tcW w:w="0" w:type="auto"/>
            <w:vAlign w:val="center"/>
            <w:hideMark/>
          </w:tcPr>
          <w:p w14:paraId="619E8BD1" w14:textId="77777777" w:rsidR="00000000" w:rsidRDefault="00195E73">
            <w:pPr>
              <w:rPr>
                <w:rFonts w:eastAsia="Times New Roman"/>
                <w:sz w:val="20"/>
                <w:szCs w:val="20"/>
              </w:rPr>
            </w:pPr>
          </w:p>
        </w:tc>
        <w:tc>
          <w:tcPr>
            <w:tcW w:w="0" w:type="auto"/>
            <w:vAlign w:val="center"/>
            <w:hideMark/>
          </w:tcPr>
          <w:p w14:paraId="1A66CE22" w14:textId="77777777" w:rsidR="00000000" w:rsidRDefault="00195E73">
            <w:pPr>
              <w:rPr>
                <w:rFonts w:eastAsia="Times New Roman"/>
                <w:sz w:val="20"/>
                <w:szCs w:val="20"/>
              </w:rPr>
            </w:pPr>
          </w:p>
        </w:tc>
        <w:tc>
          <w:tcPr>
            <w:tcW w:w="0" w:type="auto"/>
            <w:vAlign w:val="center"/>
            <w:hideMark/>
          </w:tcPr>
          <w:p w14:paraId="74FEB5D5" w14:textId="77777777" w:rsidR="00000000" w:rsidRDefault="00195E73">
            <w:pPr>
              <w:rPr>
                <w:rFonts w:eastAsia="Times New Roman"/>
                <w:sz w:val="20"/>
                <w:szCs w:val="20"/>
              </w:rPr>
            </w:pPr>
          </w:p>
        </w:tc>
        <w:tc>
          <w:tcPr>
            <w:tcW w:w="0" w:type="auto"/>
            <w:vAlign w:val="center"/>
            <w:hideMark/>
          </w:tcPr>
          <w:p w14:paraId="6A929128" w14:textId="77777777" w:rsidR="00000000" w:rsidRDefault="00195E73">
            <w:pPr>
              <w:rPr>
                <w:rFonts w:eastAsia="Times New Roman"/>
                <w:sz w:val="20"/>
                <w:szCs w:val="20"/>
              </w:rPr>
            </w:pPr>
          </w:p>
        </w:tc>
        <w:tc>
          <w:tcPr>
            <w:tcW w:w="0" w:type="auto"/>
            <w:vAlign w:val="center"/>
            <w:hideMark/>
          </w:tcPr>
          <w:p w14:paraId="13D79136" w14:textId="77777777" w:rsidR="00000000" w:rsidRDefault="00195E73">
            <w:pPr>
              <w:rPr>
                <w:rFonts w:eastAsia="Times New Roman"/>
                <w:sz w:val="20"/>
                <w:szCs w:val="20"/>
              </w:rPr>
            </w:pPr>
          </w:p>
        </w:tc>
        <w:tc>
          <w:tcPr>
            <w:tcW w:w="0" w:type="auto"/>
            <w:vAlign w:val="center"/>
            <w:hideMark/>
          </w:tcPr>
          <w:p w14:paraId="4FEA8AC0" w14:textId="77777777" w:rsidR="00000000" w:rsidRDefault="00195E73">
            <w:pPr>
              <w:rPr>
                <w:rFonts w:eastAsia="Times New Roman"/>
                <w:sz w:val="20"/>
                <w:szCs w:val="20"/>
              </w:rPr>
            </w:pPr>
          </w:p>
        </w:tc>
        <w:tc>
          <w:tcPr>
            <w:tcW w:w="0" w:type="auto"/>
            <w:vAlign w:val="center"/>
            <w:hideMark/>
          </w:tcPr>
          <w:p w14:paraId="73D9C230" w14:textId="77777777" w:rsidR="00000000" w:rsidRDefault="00195E73">
            <w:pPr>
              <w:rPr>
                <w:rFonts w:eastAsia="Times New Roman"/>
                <w:sz w:val="20"/>
                <w:szCs w:val="20"/>
              </w:rPr>
            </w:pPr>
          </w:p>
        </w:tc>
        <w:tc>
          <w:tcPr>
            <w:tcW w:w="0" w:type="auto"/>
            <w:vAlign w:val="center"/>
            <w:hideMark/>
          </w:tcPr>
          <w:p w14:paraId="03FB8E7F" w14:textId="77777777" w:rsidR="00000000" w:rsidRDefault="00195E73">
            <w:pPr>
              <w:rPr>
                <w:rFonts w:eastAsia="Times New Roman"/>
                <w:sz w:val="20"/>
                <w:szCs w:val="20"/>
              </w:rPr>
            </w:pPr>
          </w:p>
        </w:tc>
        <w:tc>
          <w:tcPr>
            <w:tcW w:w="0" w:type="auto"/>
            <w:vAlign w:val="center"/>
            <w:hideMark/>
          </w:tcPr>
          <w:p w14:paraId="649656B5" w14:textId="77777777" w:rsidR="00000000" w:rsidRDefault="00195E73">
            <w:pPr>
              <w:rPr>
                <w:rFonts w:eastAsia="Times New Roman"/>
                <w:sz w:val="20"/>
                <w:szCs w:val="20"/>
              </w:rPr>
            </w:pPr>
          </w:p>
        </w:tc>
      </w:tr>
      <w:tr w:rsidR="00000000" w14:paraId="3321CD8B" w14:textId="77777777">
        <w:trPr>
          <w:divId w:val="1157651963"/>
        </w:trPr>
        <w:tc>
          <w:tcPr>
            <w:tcW w:w="0" w:type="auto"/>
            <w:gridSpan w:val="3"/>
            <w:shd w:val="clear" w:color="auto" w:fill="CCEEFF"/>
            <w:tcMar>
              <w:top w:w="30" w:type="dxa"/>
              <w:left w:w="20" w:type="dxa"/>
              <w:bottom w:w="30" w:type="dxa"/>
              <w:right w:w="20" w:type="dxa"/>
            </w:tcMar>
            <w:vAlign w:val="bottom"/>
            <w:hideMark/>
          </w:tcPr>
          <w:p w14:paraId="09F2AAB6" w14:textId="77777777" w:rsidR="00000000" w:rsidRDefault="00195E73">
            <w:pPr>
              <w:rPr>
                <w:rFonts w:eastAsia="Times New Roman"/>
              </w:rPr>
            </w:pPr>
            <w:r>
              <w:rPr>
                <w:rFonts w:eastAsia="Times New Roman"/>
                <w:color w:val="000000"/>
                <w:sz w:val="20"/>
                <w:szCs w:val="20"/>
              </w:rPr>
              <w:t>Total expense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8BC988" w14:textId="77777777" w:rsidR="00000000" w:rsidRDefault="00195E73">
            <w:pPr>
              <w:jc w:val="right"/>
              <w:rPr>
                <w:rFonts w:eastAsia="Times New Roman"/>
              </w:rPr>
            </w:pPr>
            <w:r>
              <w:rPr>
                <w:rFonts w:eastAsia="Times New Roman"/>
                <w:color w:val="000000"/>
                <w:sz w:val="20"/>
                <w:szCs w:val="20"/>
              </w:rPr>
              <w:t>11,499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6BF2FD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F9AFEE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30EB48" w14:textId="77777777" w:rsidR="00000000" w:rsidRDefault="00195E73">
            <w:pPr>
              <w:jc w:val="right"/>
              <w:rPr>
                <w:rFonts w:eastAsia="Times New Roman"/>
              </w:rPr>
            </w:pPr>
            <w:r>
              <w:rPr>
                <w:rFonts w:eastAsia="Times New Roman"/>
                <w:color w:val="000000"/>
                <w:sz w:val="20"/>
                <w:szCs w:val="20"/>
              </w:rPr>
              <w:t>55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7BF186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918DD5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EF76D2" w14:textId="77777777" w:rsidR="00000000" w:rsidRDefault="00195E73">
            <w:pPr>
              <w:jc w:val="right"/>
              <w:rPr>
                <w:rFonts w:eastAsia="Times New Roman"/>
              </w:rPr>
            </w:pPr>
            <w:r>
              <w:rPr>
                <w:rFonts w:eastAsia="Times New Roman"/>
                <w:color w:val="000000"/>
                <w:sz w:val="20"/>
                <w:szCs w:val="20"/>
              </w:rPr>
              <w:t>11,554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2AE1C9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C8AF56A"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F5BE52" w14:textId="77777777" w:rsidR="00000000" w:rsidRDefault="00195E73">
            <w:pPr>
              <w:jc w:val="right"/>
              <w:rPr>
                <w:rFonts w:eastAsia="Times New Roman"/>
              </w:rPr>
            </w:pPr>
            <w:r>
              <w:rPr>
                <w:rFonts w:eastAsia="Times New Roman"/>
                <w:color w:val="000000"/>
                <w:sz w:val="20"/>
                <w:szCs w:val="20"/>
              </w:rPr>
              <w:t>10,791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3932F5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08B4D56"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2288F9" w14:textId="77777777" w:rsidR="00000000" w:rsidRDefault="00195E73">
            <w:pPr>
              <w:jc w:val="right"/>
              <w:rPr>
                <w:rFonts w:eastAsia="Times New Roman"/>
              </w:rPr>
            </w:pPr>
            <w:r>
              <w:rPr>
                <w:rFonts w:eastAsia="Times New Roman"/>
                <w:color w:val="000000"/>
                <w:sz w:val="20"/>
                <w:szCs w:val="20"/>
              </w:rPr>
              <w:t>(38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6EDA32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990DBA"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B0441B" w14:textId="77777777" w:rsidR="00000000" w:rsidRDefault="00195E73">
            <w:pPr>
              <w:jc w:val="right"/>
              <w:rPr>
                <w:rFonts w:eastAsia="Times New Roman"/>
              </w:rPr>
            </w:pPr>
            <w:r>
              <w:rPr>
                <w:rFonts w:eastAsia="Times New Roman"/>
                <w:color w:val="000000"/>
                <w:sz w:val="20"/>
                <w:szCs w:val="20"/>
              </w:rPr>
              <w:t>10,753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43187B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B3145E3" w14:textId="77777777" w:rsidR="00000000" w:rsidRDefault="00195E73">
            <w:pPr>
              <w:rPr>
                <w:rFonts w:eastAsia="Times New Roman"/>
                <w:sz w:val="20"/>
                <w:szCs w:val="20"/>
              </w:rPr>
            </w:pPr>
          </w:p>
        </w:tc>
        <w:tc>
          <w:tcPr>
            <w:tcW w:w="0" w:type="auto"/>
            <w:vAlign w:val="center"/>
            <w:hideMark/>
          </w:tcPr>
          <w:p w14:paraId="4C52E257" w14:textId="77777777" w:rsidR="00000000" w:rsidRDefault="00195E73">
            <w:pPr>
              <w:rPr>
                <w:rFonts w:eastAsia="Times New Roman"/>
                <w:sz w:val="20"/>
                <w:szCs w:val="20"/>
              </w:rPr>
            </w:pPr>
          </w:p>
        </w:tc>
        <w:tc>
          <w:tcPr>
            <w:tcW w:w="0" w:type="auto"/>
            <w:vAlign w:val="center"/>
            <w:hideMark/>
          </w:tcPr>
          <w:p w14:paraId="22C20B62" w14:textId="77777777" w:rsidR="00000000" w:rsidRDefault="00195E73">
            <w:pPr>
              <w:rPr>
                <w:rFonts w:eastAsia="Times New Roman"/>
                <w:sz w:val="20"/>
                <w:szCs w:val="20"/>
              </w:rPr>
            </w:pPr>
          </w:p>
        </w:tc>
        <w:tc>
          <w:tcPr>
            <w:tcW w:w="0" w:type="auto"/>
            <w:vAlign w:val="center"/>
            <w:hideMark/>
          </w:tcPr>
          <w:p w14:paraId="093B7809" w14:textId="77777777" w:rsidR="00000000" w:rsidRDefault="00195E73">
            <w:pPr>
              <w:rPr>
                <w:rFonts w:eastAsia="Times New Roman"/>
                <w:sz w:val="20"/>
                <w:szCs w:val="20"/>
              </w:rPr>
            </w:pPr>
          </w:p>
        </w:tc>
        <w:tc>
          <w:tcPr>
            <w:tcW w:w="0" w:type="auto"/>
            <w:vAlign w:val="center"/>
            <w:hideMark/>
          </w:tcPr>
          <w:p w14:paraId="4978A50B" w14:textId="77777777" w:rsidR="00000000" w:rsidRDefault="00195E73">
            <w:pPr>
              <w:rPr>
                <w:rFonts w:eastAsia="Times New Roman"/>
                <w:sz w:val="20"/>
                <w:szCs w:val="20"/>
              </w:rPr>
            </w:pPr>
          </w:p>
        </w:tc>
        <w:tc>
          <w:tcPr>
            <w:tcW w:w="0" w:type="auto"/>
            <w:vAlign w:val="center"/>
            <w:hideMark/>
          </w:tcPr>
          <w:p w14:paraId="3460848B" w14:textId="77777777" w:rsidR="00000000" w:rsidRDefault="00195E73">
            <w:pPr>
              <w:rPr>
                <w:rFonts w:eastAsia="Times New Roman"/>
                <w:sz w:val="20"/>
                <w:szCs w:val="20"/>
              </w:rPr>
            </w:pPr>
          </w:p>
        </w:tc>
        <w:tc>
          <w:tcPr>
            <w:tcW w:w="0" w:type="auto"/>
            <w:vAlign w:val="center"/>
            <w:hideMark/>
          </w:tcPr>
          <w:p w14:paraId="75C99166" w14:textId="77777777" w:rsidR="00000000" w:rsidRDefault="00195E73">
            <w:pPr>
              <w:rPr>
                <w:rFonts w:eastAsia="Times New Roman"/>
                <w:sz w:val="20"/>
                <w:szCs w:val="20"/>
              </w:rPr>
            </w:pPr>
          </w:p>
        </w:tc>
        <w:tc>
          <w:tcPr>
            <w:tcW w:w="0" w:type="auto"/>
            <w:vAlign w:val="center"/>
            <w:hideMark/>
          </w:tcPr>
          <w:p w14:paraId="50DBEC24" w14:textId="77777777" w:rsidR="00000000" w:rsidRDefault="00195E73">
            <w:pPr>
              <w:rPr>
                <w:rFonts w:eastAsia="Times New Roman"/>
                <w:sz w:val="20"/>
                <w:szCs w:val="20"/>
              </w:rPr>
            </w:pPr>
          </w:p>
        </w:tc>
        <w:tc>
          <w:tcPr>
            <w:tcW w:w="0" w:type="auto"/>
            <w:vAlign w:val="center"/>
            <w:hideMark/>
          </w:tcPr>
          <w:p w14:paraId="1FFF051C" w14:textId="77777777" w:rsidR="00000000" w:rsidRDefault="00195E73">
            <w:pPr>
              <w:rPr>
                <w:rFonts w:eastAsia="Times New Roman"/>
                <w:sz w:val="20"/>
                <w:szCs w:val="20"/>
              </w:rPr>
            </w:pPr>
          </w:p>
        </w:tc>
        <w:tc>
          <w:tcPr>
            <w:tcW w:w="0" w:type="auto"/>
            <w:vAlign w:val="center"/>
            <w:hideMark/>
          </w:tcPr>
          <w:p w14:paraId="1573C975" w14:textId="77777777" w:rsidR="00000000" w:rsidRDefault="00195E73">
            <w:pPr>
              <w:rPr>
                <w:rFonts w:eastAsia="Times New Roman"/>
                <w:sz w:val="20"/>
                <w:szCs w:val="20"/>
              </w:rPr>
            </w:pPr>
          </w:p>
        </w:tc>
        <w:tc>
          <w:tcPr>
            <w:tcW w:w="0" w:type="auto"/>
            <w:vAlign w:val="center"/>
            <w:hideMark/>
          </w:tcPr>
          <w:p w14:paraId="16044F85" w14:textId="77777777" w:rsidR="00000000" w:rsidRDefault="00195E73">
            <w:pPr>
              <w:rPr>
                <w:rFonts w:eastAsia="Times New Roman"/>
                <w:sz w:val="20"/>
                <w:szCs w:val="20"/>
              </w:rPr>
            </w:pPr>
          </w:p>
        </w:tc>
        <w:tc>
          <w:tcPr>
            <w:tcW w:w="0" w:type="auto"/>
            <w:vAlign w:val="center"/>
            <w:hideMark/>
          </w:tcPr>
          <w:p w14:paraId="3E6B55C4" w14:textId="77777777" w:rsidR="00000000" w:rsidRDefault="00195E73">
            <w:pPr>
              <w:rPr>
                <w:rFonts w:eastAsia="Times New Roman"/>
                <w:sz w:val="20"/>
                <w:szCs w:val="20"/>
              </w:rPr>
            </w:pPr>
          </w:p>
        </w:tc>
        <w:tc>
          <w:tcPr>
            <w:tcW w:w="0" w:type="auto"/>
            <w:vAlign w:val="center"/>
            <w:hideMark/>
          </w:tcPr>
          <w:p w14:paraId="36C61FBD" w14:textId="77777777" w:rsidR="00000000" w:rsidRDefault="00195E73">
            <w:pPr>
              <w:rPr>
                <w:rFonts w:eastAsia="Times New Roman"/>
                <w:sz w:val="20"/>
                <w:szCs w:val="20"/>
              </w:rPr>
            </w:pPr>
          </w:p>
        </w:tc>
        <w:tc>
          <w:tcPr>
            <w:tcW w:w="0" w:type="auto"/>
            <w:vAlign w:val="center"/>
            <w:hideMark/>
          </w:tcPr>
          <w:p w14:paraId="69BC5FD6" w14:textId="77777777" w:rsidR="00000000" w:rsidRDefault="00195E73">
            <w:pPr>
              <w:rPr>
                <w:rFonts w:eastAsia="Times New Roman"/>
                <w:sz w:val="20"/>
                <w:szCs w:val="20"/>
              </w:rPr>
            </w:pPr>
          </w:p>
        </w:tc>
        <w:tc>
          <w:tcPr>
            <w:tcW w:w="0" w:type="auto"/>
            <w:vAlign w:val="center"/>
            <w:hideMark/>
          </w:tcPr>
          <w:p w14:paraId="7AB58E33" w14:textId="77777777" w:rsidR="00000000" w:rsidRDefault="00195E73">
            <w:pPr>
              <w:rPr>
                <w:rFonts w:eastAsia="Times New Roman"/>
                <w:sz w:val="20"/>
                <w:szCs w:val="20"/>
              </w:rPr>
            </w:pPr>
          </w:p>
        </w:tc>
        <w:tc>
          <w:tcPr>
            <w:tcW w:w="0" w:type="auto"/>
            <w:vAlign w:val="center"/>
            <w:hideMark/>
          </w:tcPr>
          <w:p w14:paraId="221D253A" w14:textId="77777777" w:rsidR="00000000" w:rsidRDefault="00195E73">
            <w:pPr>
              <w:rPr>
                <w:rFonts w:eastAsia="Times New Roman"/>
                <w:sz w:val="20"/>
                <w:szCs w:val="20"/>
              </w:rPr>
            </w:pPr>
          </w:p>
        </w:tc>
        <w:tc>
          <w:tcPr>
            <w:tcW w:w="0" w:type="auto"/>
            <w:vAlign w:val="center"/>
            <w:hideMark/>
          </w:tcPr>
          <w:p w14:paraId="5329EEB9" w14:textId="77777777" w:rsidR="00000000" w:rsidRDefault="00195E73">
            <w:pPr>
              <w:rPr>
                <w:rFonts w:eastAsia="Times New Roman"/>
                <w:sz w:val="20"/>
                <w:szCs w:val="20"/>
              </w:rPr>
            </w:pPr>
          </w:p>
        </w:tc>
        <w:tc>
          <w:tcPr>
            <w:tcW w:w="0" w:type="auto"/>
            <w:vAlign w:val="center"/>
            <w:hideMark/>
          </w:tcPr>
          <w:p w14:paraId="0AB80215" w14:textId="77777777" w:rsidR="00000000" w:rsidRDefault="00195E73">
            <w:pPr>
              <w:rPr>
                <w:rFonts w:eastAsia="Times New Roman"/>
                <w:sz w:val="20"/>
                <w:szCs w:val="20"/>
              </w:rPr>
            </w:pPr>
          </w:p>
        </w:tc>
        <w:tc>
          <w:tcPr>
            <w:tcW w:w="0" w:type="auto"/>
            <w:vAlign w:val="center"/>
            <w:hideMark/>
          </w:tcPr>
          <w:p w14:paraId="50348F0F" w14:textId="77777777" w:rsidR="00000000" w:rsidRDefault="00195E73">
            <w:pPr>
              <w:rPr>
                <w:rFonts w:eastAsia="Times New Roman"/>
                <w:sz w:val="20"/>
                <w:szCs w:val="20"/>
              </w:rPr>
            </w:pPr>
          </w:p>
        </w:tc>
        <w:tc>
          <w:tcPr>
            <w:tcW w:w="0" w:type="auto"/>
            <w:vAlign w:val="center"/>
            <w:hideMark/>
          </w:tcPr>
          <w:p w14:paraId="0B610B78" w14:textId="77777777" w:rsidR="00000000" w:rsidRDefault="00195E73">
            <w:pPr>
              <w:rPr>
                <w:rFonts w:eastAsia="Times New Roman"/>
                <w:sz w:val="20"/>
                <w:szCs w:val="20"/>
              </w:rPr>
            </w:pPr>
          </w:p>
        </w:tc>
        <w:tc>
          <w:tcPr>
            <w:tcW w:w="0" w:type="auto"/>
            <w:vAlign w:val="center"/>
            <w:hideMark/>
          </w:tcPr>
          <w:p w14:paraId="2501A5FB" w14:textId="77777777" w:rsidR="00000000" w:rsidRDefault="00195E73">
            <w:pPr>
              <w:rPr>
                <w:rFonts w:eastAsia="Times New Roman"/>
                <w:sz w:val="20"/>
                <w:szCs w:val="20"/>
              </w:rPr>
            </w:pPr>
          </w:p>
        </w:tc>
        <w:tc>
          <w:tcPr>
            <w:tcW w:w="0" w:type="auto"/>
            <w:vAlign w:val="center"/>
            <w:hideMark/>
          </w:tcPr>
          <w:p w14:paraId="4B49482D" w14:textId="77777777" w:rsidR="00000000" w:rsidRDefault="00195E73">
            <w:pPr>
              <w:rPr>
                <w:rFonts w:eastAsia="Times New Roman"/>
                <w:sz w:val="20"/>
                <w:szCs w:val="20"/>
              </w:rPr>
            </w:pPr>
          </w:p>
        </w:tc>
        <w:tc>
          <w:tcPr>
            <w:tcW w:w="0" w:type="auto"/>
            <w:vAlign w:val="center"/>
            <w:hideMark/>
          </w:tcPr>
          <w:p w14:paraId="5562D6D0" w14:textId="77777777" w:rsidR="00000000" w:rsidRDefault="00195E73">
            <w:pPr>
              <w:rPr>
                <w:rFonts w:eastAsia="Times New Roman"/>
                <w:sz w:val="20"/>
                <w:szCs w:val="20"/>
              </w:rPr>
            </w:pPr>
          </w:p>
        </w:tc>
        <w:tc>
          <w:tcPr>
            <w:tcW w:w="0" w:type="auto"/>
            <w:vAlign w:val="center"/>
            <w:hideMark/>
          </w:tcPr>
          <w:p w14:paraId="4BD7DC0D" w14:textId="77777777" w:rsidR="00000000" w:rsidRDefault="00195E73">
            <w:pPr>
              <w:rPr>
                <w:rFonts w:eastAsia="Times New Roman"/>
                <w:sz w:val="20"/>
                <w:szCs w:val="20"/>
              </w:rPr>
            </w:pPr>
          </w:p>
        </w:tc>
      </w:tr>
      <w:tr w:rsidR="00000000" w14:paraId="33FA137B" w14:textId="77777777">
        <w:trPr>
          <w:divId w:val="1157651963"/>
        </w:trPr>
        <w:tc>
          <w:tcPr>
            <w:tcW w:w="0" w:type="auto"/>
            <w:gridSpan w:val="3"/>
            <w:shd w:val="clear" w:color="auto" w:fill="FFFFFF"/>
            <w:tcMar>
              <w:top w:w="30" w:type="dxa"/>
              <w:left w:w="20" w:type="dxa"/>
              <w:bottom w:w="30" w:type="dxa"/>
              <w:right w:w="20" w:type="dxa"/>
            </w:tcMar>
            <w:vAlign w:val="bottom"/>
            <w:hideMark/>
          </w:tcPr>
          <w:p w14:paraId="32D719C6" w14:textId="77777777" w:rsidR="00000000" w:rsidRDefault="00195E73">
            <w:pPr>
              <w:ind w:hanging="180"/>
              <w:divId w:val="2007856069"/>
              <w:rPr>
                <w:rFonts w:eastAsia="Times New Roman"/>
              </w:rPr>
            </w:pPr>
            <w:r>
              <w:rPr>
                <w:rFonts w:eastAsia="Times New Roman"/>
                <w:color w:val="000000"/>
                <w:sz w:val="20"/>
                <w:szCs w:val="20"/>
              </w:rPr>
              <w:t>Income from continuing operations before income tax expens</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049754" w14:textId="77777777" w:rsidR="00000000" w:rsidRDefault="00195E73">
            <w:pPr>
              <w:jc w:val="right"/>
              <w:rPr>
                <w:rFonts w:eastAsia="Times New Roman"/>
              </w:rPr>
            </w:pPr>
            <w:r>
              <w:rPr>
                <w:rFonts w:eastAsia="Times New Roman"/>
                <w:color w:val="000000"/>
                <w:sz w:val="20"/>
                <w:szCs w:val="20"/>
              </w:rPr>
              <w:t>278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82E0F3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097B95"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D6CBA0" w14:textId="77777777" w:rsidR="00000000" w:rsidRDefault="00195E73">
            <w:pPr>
              <w:jc w:val="right"/>
              <w:rPr>
                <w:rFonts w:eastAsia="Times New Roman"/>
              </w:rPr>
            </w:pPr>
            <w:r>
              <w:rPr>
                <w:rFonts w:eastAsia="Times New Roman"/>
                <w:color w:val="000000"/>
                <w:sz w:val="20"/>
                <w:szCs w:val="20"/>
              </w:rPr>
              <w:t>(55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34E75B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40661E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E6C578" w14:textId="77777777" w:rsidR="00000000" w:rsidRDefault="00195E73">
            <w:pPr>
              <w:jc w:val="right"/>
              <w:rPr>
                <w:rFonts w:eastAsia="Times New Roman"/>
              </w:rPr>
            </w:pPr>
            <w:r>
              <w:rPr>
                <w:rFonts w:eastAsia="Times New Roman"/>
                <w:color w:val="000000"/>
                <w:sz w:val="20"/>
                <w:szCs w:val="20"/>
              </w:rPr>
              <w:t>223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7324B4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F7FF0C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46309C" w14:textId="77777777" w:rsidR="00000000" w:rsidRDefault="00195E73">
            <w:pPr>
              <w:jc w:val="right"/>
              <w:rPr>
                <w:rFonts w:eastAsia="Times New Roman"/>
              </w:rPr>
            </w:pPr>
            <w:r>
              <w:rPr>
                <w:rFonts w:eastAsia="Times New Roman"/>
                <w:color w:val="000000"/>
                <w:sz w:val="20"/>
                <w:szCs w:val="20"/>
              </w:rPr>
              <w:t>1,828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1C38A7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5A2EC9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5C1B87" w14:textId="77777777" w:rsidR="00000000" w:rsidRDefault="00195E73">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698D16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FA526B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CB2854" w14:textId="77777777" w:rsidR="00000000" w:rsidRDefault="00195E73">
            <w:pPr>
              <w:jc w:val="right"/>
              <w:rPr>
                <w:rFonts w:eastAsia="Times New Roman"/>
              </w:rPr>
            </w:pPr>
            <w:r>
              <w:rPr>
                <w:rFonts w:eastAsia="Times New Roman"/>
                <w:color w:val="000000"/>
                <w:sz w:val="20"/>
                <w:szCs w:val="20"/>
              </w:rPr>
              <w:t>1,866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5D6DCE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EE67C10" w14:textId="77777777" w:rsidR="00000000" w:rsidRDefault="00195E73">
            <w:pPr>
              <w:rPr>
                <w:rFonts w:eastAsia="Times New Roman"/>
                <w:sz w:val="20"/>
                <w:szCs w:val="20"/>
              </w:rPr>
            </w:pPr>
          </w:p>
        </w:tc>
        <w:tc>
          <w:tcPr>
            <w:tcW w:w="0" w:type="auto"/>
            <w:vAlign w:val="center"/>
            <w:hideMark/>
          </w:tcPr>
          <w:p w14:paraId="1B325758" w14:textId="77777777" w:rsidR="00000000" w:rsidRDefault="00195E73">
            <w:pPr>
              <w:rPr>
                <w:rFonts w:eastAsia="Times New Roman"/>
                <w:sz w:val="20"/>
                <w:szCs w:val="20"/>
              </w:rPr>
            </w:pPr>
          </w:p>
        </w:tc>
        <w:tc>
          <w:tcPr>
            <w:tcW w:w="0" w:type="auto"/>
            <w:vAlign w:val="center"/>
            <w:hideMark/>
          </w:tcPr>
          <w:p w14:paraId="754D833D" w14:textId="77777777" w:rsidR="00000000" w:rsidRDefault="00195E73">
            <w:pPr>
              <w:rPr>
                <w:rFonts w:eastAsia="Times New Roman"/>
                <w:sz w:val="20"/>
                <w:szCs w:val="20"/>
              </w:rPr>
            </w:pPr>
          </w:p>
        </w:tc>
        <w:tc>
          <w:tcPr>
            <w:tcW w:w="0" w:type="auto"/>
            <w:vAlign w:val="center"/>
            <w:hideMark/>
          </w:tcPr>
          <w:p w14:paraId="39B0A4CF" w14:textId="77777777" w:rsidR="00000000" w:rsidRDefault="00195E73">
            <w:pPr>
              <w:rPr>
                <w:rFonts w:eastAsia="Times New Roman"/>
                <w:sz w:val="20"/>
                <w:szCs w:val="20"/>
              </w:rPr>
            </w:pPr>
          </w:p>
        </w:tc>
        <w:tc>
          <w:tcPr>
            <w:tcW w:w="0" w:type="auto"/>
            <w:vAlign w:val="center"/>
            <w:hideMark/>
          </w:tcPr>
          <w:p w14:paraId="48AF7789" w14:textId="77777777" w:rsidR="00000000" w:rsidRDefault="00195E73">
            <w:pPr>
              <w:rPr>
                <w:rFonts w:eastAsia="Times New Roman"/>
                <w:sz w:val="20"/>
                <w:szCs w:val="20"/>
              </w:rPr>
            </w:pPr>
          </w:p>
        </w:tc>
        <w:tc>
          <w:tcPr>
            <w:tcW w:w="0" w:type="auto"/>
            <w:vAlign w:val="center"/>
            <w:hideMark/>
          </w:tcPr>
          <w:p w14:paraId="0E89908C" w14:textId="77777777" w:rsidR="00000000" w:rsidRDefault="00195E73">
            <w:pPr>
              <w:rPr>
                <w:rFonts w:eastAsia="Times New Roman"/>
                <w:sz w:val="20"/>
                <w:szCs w:val="20"/>
              </w:rPr>
            </w:pPr>
          </w:p>
        </w:tc>
        <w:tc>
          <w:tcPr>
            <w:tcW w:w="0" w:type="auto"/>
            <w:vAlign w:val="center"/>
            <w:hideMark/>
          </w:tcPr>
          <w:p w14:paraId="4E7B132A" w14:textId="77777777" w:rsidR="00000000" w:rsidRDefault="00195E73">
            <w:pPr>
              <w:rPr>
                <w:rFonts w:eastAsia="Times New Roman"/>
                <w:sz w:val="20"/>
                <w:szCs w:val="20"/>
              </w:rPr>
            </w:pPr>
          </w:p>
        </w:tc>
        <w:tc>
          <w:tcPr>
            <w:tcW w:w="0" w:type="auto"/>
            <w:vAlign w:val="center"/>
            <w:hideMark/>
          </w:tcPr>
          <w:p w14:paraId="629B16F6" w14:textId="77777777" w:rsidR="00000000" w:rsidRDefault="00195E73">
            <w:pPr>
              <w:rPr>
                <w:rFonts w:eastAsia="Times New Roman"/>
                <w:sz w:val="20"/>
                <w:szCs w:val="20"/>
              </w:rPr>
            </w:pPr>
          </w:p>
        </w:tc>
        <w:tc>
          <w:tcPr>
            <w:tcW w:w="0" w:type="auto"/>
            <w:vAlign w:val="center"/>
            <w:hideMark/>
          </w:tcPr>
          <w:p w14:paraId="72CCBA00" w14:textId="77777777" w:rsidR="00000000" w:rsidRDefault="00195E73">
            <w:pPr>
              <w:rPr>
                <w:rFonts w:eastAsia="Times New Roman"/>
                <w:sz w:val="20"/>
                <w:szCs w:val="20"/>
              </w:rPr>
            </w:pPr>
          </w:p>
        </w:tc>
        <w:tc>
          <w:tcPr>
            <w:tcW w:w="0" w:type="auto"/>
            <w:vAlign w:val="center"/>
            <w:hideMark/>
          </w:tcPr>
          <w:p w14:paraId="33087BA6" w14:textId="77777777" w:rsidR="00000000" w:rsidRDefault="00195E73">
            <w:pPr>
              <w:rPr>
                <w:rFonts w:eastAsia="Times New Roman"/>
                <w:sz w:val="20"/>
                <w:szCs w:val="20"/>
              </w:rPr>
            </w:pPr>
          </w:p>
        </w:tc>
        <w:tc>
          <w:tcPr>
            <w:tcW w:w="0" w:type="auto"/>
            <w:vAlign w:val="center"/>
            <w:hideMark/>
          </w:tcPr>
          <w:p w14:paraId="677C6DA3" w14:textId="77777777" w:rsidR="00000000" w:rsidRDefault="00195E73">
            <w:pPr>
              <w:rPr>
                <w:rFonts w:eastAsia="Times New Roman"/>
                <w:sz w:val="20"/>
                <w:szCs w:val="20"/>
              </w:rPr>
            </w:pPr>
          </w:p>
        </w:tc>
        <w:tc>
          <w:tcPr>
            <w:tcW w:w="0" w:type="auto"/>
            <w:vAlign w:val="center"/>
            <w:hideMark/>
          </w:tcPr>
          <w:p w14:paraId="2B86FA5B" w14:textId="77777777" w:rsidR="00000000" w:rsidRDefault="00195E73">
            <w:pPr>
              <w:rPr>
                <w:rFonts w:eastAsia="Times New Roman"/>
                <w:sz w:val="20"/>
                <w:szCs w:val="20"/>
              </w:rPr>
            </w:pPr>
          </w:p>
        </w:tc>
        <w:tc>
          <w:tcPr>
            <w:tcW w:w="0" w:type="auto"/>
            <w:vAlign w:val="center"/>
            <w:hideMark/>
          </w:tcPr>
          <w:p w14:paraId="743F3D5D" w14:textId="77777777" w:rsidR="00000000" w:rsidRDefault="00195E73">
            <w:pPr>
              <w:rPr>
                <w:rFonts w:eastAsia="Times New Roman"/>
                <w:sz w:val="20"/>
                <w:szCs w:val="20"/>
              </w:rPr>
            </w:pPr>
          </w:p>
        </w:tc>
        <w:tc>
          <w:tcPr>
            <w:tcW w:w="0" w:type="auto"/>
            <w:vAlign w:val="center"/>
            <w:hideMark/>
          </w:tcPr>
          <w:p w14:paraId="3921FD7D" w14:textId="77777777" w:rsidR="00000000" w:rsidRDefault="00195E73">
            <w:pPr>
              <w:rPr>
                <w:rFonts w:eastAsia="Times New Roman"/>
                <w:sz w:val="20"/>
                <w:szCs w:val="20"/>
              </w:rPr>
            </w:pPr>
          </w:p>
        </w:tc>
        <w:tc>
          <w:tcPr>
            <w:tcW w:w="0" w:type="auto"/>
            <w:vAlign w:val="center"/>
            <w:hideMark/>
          </w:tcPr>
          <w:p w14:paraId="6806830B" w14:textId="77777777" w:rsidR="00000000" w:rsidRDefault="00195E73">
            <w:pPr>
              <w:rPr>
                <w:rFonts w:eastAsia="Times New Roman"/>
                <w:sz w:val="20"/>
                <w:szCs w:val="20"/>
              </w:rPr>
            </w:pPr>
          </w:p>
        </w:tc>
        <w:tc>
          <w:tcPr>
            <w:tcW w:w="0" w:type="auto"/>
            <w:vAlign w:val="center"/>
            <w:hideMark/>
          </w:tcPr>
          <w:p w14:paraId="5CDE26A5" w14:textId="77777777" w:rsidR="00000000" w:rsidRDefault="00195E73">
            <w:pPr>
              <w:rPr>
                <w:rFonts w:eastAsia="Times New Roman"/>
                <w:sz w:val="20"/>
                <w:szCs w:val="20"/>
              </w:rPr>
            </w:pPr>
          </w:p>
        </w:tc>
        <w:tc>
          <w:tcPr>
            <w:tcW w:w="0" w:type="auto"/>
            <w:vAlign w:val="center"/>
            <w:hideMark/>
          </w:tcPr>
          <w:p w14:paraId="517D6620" w14:textId="77777777" w:rsidR="00000000" w:rsidRDefault="00195E73">
            <w:pPr>
              <w:rPr>
                <w:rFonts w:eastAsia="Times New Roman"/>
                <w:sz w:val="20"/>
                <w:szCs w:val="20"/>
              </w:rPr>
            </w:pPr>
          </w:p>
        </w:tc>
        <w:tc>
          <w:tcPr>
            <w:tcW w:w="0" w:type="auto"/>
            <w:vAlign w:val="center"/>
            <w:hideMark/>
          </w:tcPr>
          <w:p w14:paraId="52C3BFD4" w14:textId="77777777" w:rsidR="00000000" w:rsidRDefault="00195E73">
            <w:pPr>
              <w:rPr>
                <w:rFonts w:eastAsia="Times New Roman"/>
                <w:sz w:val="20"/>
                <w:szCs w:val="20"/>
              </w:rPr>
            </w:pPr>
          </w:p>
        </w:tc>
        <w:tc>
          <w:tcPr>
            <w:tcW w:w="0" w:type="auto"/>
            <w:vAlign w:val="center"/>
            <w:hideMark/>
          </w:tcPr>
          <w:p w14:paraId="3AA2F890" w14:textId="77777777" w:rsidR="00000000" w:rsidRDefault="00195E73">
            <w:pPr>
              <w:rPr>
                <w:rFonts w:eastAsia="Times New Roman"/>
                <w:sz w:val="20"/>
                <w:szCs w:val="20"/>
              </w:rPr>
            </w:pPr>
          </w:p>
        </w:tc>
        <w:tc>
          <w:tcPr>
            <w:tcW w:w="0" w:type="auto"/>
            <w:vAlign w:val="center"/>
            <w:hideMark/>
          </w:tcPr>
          <w:p w14:paraId="19269045" w14:textId="77777777" w:rsidR="00000000" w:rsidRDefault="00195E73">
            <w:pPr>
              <w:rPr>
                <w:rFonts w:eastAsia="Times New Roman"/>
                <w:sz w:val="20"/>
                <w:szCs w:val="20"/>
              </w:rPr>
            </w:pPr>
          </w:p>
        </w:tc>
        <w:tc>
          <w:tcPr>
            <w:tcW w:w="0" w:type="auto"/>
            <w:vAlign w:val="center"/>
            <w:hideMark/>
          </w:tcPr>
          <w:p w14:paraId="77796661" w14:textId="77777777" w:rsidR="00000000" w:rsidRDefault="00195E73">
            <w:pPr>
              <w:rPr>
                <w:rFonts w:eastAsia="Times New Roman"/>
                <w:sz w:val="20"/>
                <w:szCs w:val="20"/>
              </w:rPr>
            </w:pPr>
          </w:p>
        </w:tc>
        <w:tc>
          <w:tcPr>
            <w:tcW w:w="0" w:type="auto"/>
            <w:vAlign w:val="center"/>
            <w:hideMark/>
          </w:tcPr>
          <w:p w14:paraId="075983BD" w14:textId="77777777" w:rsidR="00000000" w:rsidRDefault="00195E73">
            <w:pPr>
              <w:rPr>
                <w:rFonts w:eastAsia="Times New Roman"/>
                <w:sz w:val="20"/>
                <w:szCs w:val="20"/>
              </w:rPr>
            </w:pPr>
          </w:p>
        </w:tc>
        <w:tc>
          <w:tcPr>
            <w:tcW w:w="0" w:type="auto"/>
            <w:vAlign w:val="center"/>
            <w:hideMark/>
          </w:tcPr>
          <w:p w14:paraId="101F9DBD" w14:textId="77777777" w:rsidR="00000000" w:rsidRDefault="00195E73">
            <w:pPr>
              <w:rPr>
                <w:rFonts w:eastAsia="Times New Roman"/>
                <w:sz w:val="20"/>
                <w:szCs w:val="20"/>
              </w:rPr>
            </w:pPr>
          </w:p>
        </w:tc>
        <w:tc>
          <w:tcPr>
            <w:tcW w:w="0" w:type="auto"/>
            <w:vAlign w:val="center"/>
            <w:hideMark/>
          </w:tcPr>
          <w:p w14:paraId="27F3185B" w14:textId="77777777" w:rsidR="00000000" w:rsidRDefault="00195E73">
            <w:pPr>
              <w:rPr>
                <w:rFonts w:eastAsia="Times New Roman"/>
                <w:sz w:val="20"/>
                <w:szCs w:val="20"/>
              </w:rPr>
            </w:pPr>
          </w:p>
        </w:tc>
      </w:tr>
      <w:tr w:rsidR="00000000" w14:paraId="10A342FC" w14:textId="77777777">
        <w:trPr>
          <w:divId w:val="1157651963"/>
        </w:trPr>
        <w:tc>
          <w:tcPr>
            <w:tcW w:w="0" w:type="auto"/>
            <w:gridSpan w:val="3"/>
            <w:shd w:val="clear" w:color="auto" w:fill="CCEEFF"/>
            <w:tcMar>
              <w:top w:w="30" w:type="dxa"/>
              <w:left w:w="20" w:type="dxa"/>
              <w:bottom w:w="30" w:type="dxa"/>
              <w:right w:w="20" w:type="dxa"/>
            </w:tcMar>
            <w:vAlign w:val="bottom"/>
            <w:hideMark/>
          </w:tcPr>
          <w:p w14:paraId="1BCA26E9" w14:textId="77777777" w:rsidR="00000000" w:rsidRDefault="00195E73">
            <w:pPr>
              <w:rPr>
                <w:rFonts w:eastAsia="Times New Roman"/>
              </w:rPr>
            </w:pPr>
            <w:r>
              <w:rPr>
                <w:rFonts w:eastAsia="Times New Roman"/>
                <w:color w:val="000000"/>
                <w:sz w:val="20"/>
                <w:szCs w:val="20"/>
              </w:rPr>
              <w:t>Income tax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3543683A"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60239A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6AD1E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0345BC" w14:textId="77777777" w:rsidR="00000000" w:rsidRDefault="00195E73">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F972DB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5C0A47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720F73" w14:textId="77777777" w:rsidR="00000000" w:rsidRDefault="00195E73">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4C7545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DFA815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40BF40" w14:textId="77777777" w:rsidR="00000000" w:rsidRDefault="00195E73">
            <w:pPr>
              <w:jc w:val="right"/>
              <w:rPr>
                <w:rFonts w:eastAsia="Times New Roman"/>
              </w:rPr>
            </w:pPr>
            <w:r>
              <w:rPr>
                <w:rFonts w:eastAsia="Times New Roman"/>
                <w:color w:val="000000"/>
                <w:sz w:val="20"/>
                <w:szCs w:val="20"/>
              </w:rPr>
              <w:t>529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4F5A93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F6A120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417479"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11E241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C5A7F6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D6B3D1" w14:textId="77777777" w:rsidR="00000000" w:rsidRDefault="00195E73">
            <w:pPr>
              <w:jc w:val="right"/>
              <w:rPr>
                <w:rFonts w:eastAsia="Times New Roman"/>
              </w:rPr>
            </w:pPr>
            <w:r>
              <w:rPr>
                <w:rFonts w:eastAsia="Times New Roman"/>
                <w:color w:val="000000"/>
                <w:sz w:val="20"/>
                <w:szCs w:val="20"/>
              </w:rPr>
              <w:t>532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BD162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2074C48" w14:textId="77777777" w:rsidR="00000000" w:rsidRDefault="00195E73">
            <w:pPr>
              <w:rPr>
                <w:rFonts w:eastAsia="Times New Roman"/>
                <w:sz w:val="20"/>
                <w:szCs w:val="20"/>
              </w:rPr>
            </w:pPr>
          </w:p>
        </w:tc>
        <w:tc>
          <w:tcPr>
            <w:tcW w:w="0" w:type="auto"/>
            <w:vAlign w:val="center"/>
            <w:hideMark/>
          </w:tcPr>
          <w:p w14:paraId="6D061A87" w14:textId="77777777" w:rsidR="00000000" w:rsidRDefault="00195E73">
            <w:pPr>
              <w:rPr>
                <w:rFonts w:eastAsia="Times New Roman"/>
                <w:sz w:val="20"/>
                <w:szCs w:val="20"/>
              </w:rPr>
            </w:pPr>
          </w:p>
        </w:tc>
        <w:tc>
          <w:tcPr>
            <w:tcW w:w="0" w:type="auto"/>
            <w:vAlign w:val="center"/>
            <w:hideMark/>
          </w:tcPr>
          <w:p w14:paraId="1E34ABFA" w14:textId="77777777" w:rsidR="00000000" w:rsidRDefault="00195E73">
            <w:pPr>
              <w:rPr>
                <w:rFonts w:eastAsia="Times New Roman"/>
                <w:sz w:val="20"/>
                <w:szCs w:val="20"/>
              </w:rPr>
            </w:pPr>
          </w:p>
        </w:tc>
        <w:tc>
          <w:tcPr>
            <w:tcW w:w="0" w:type="auto"/>
            <w:vAlign w:val="center"/>
            <w:hideMark/>
          </w:tcPr>
          <w:p w14:paraId="65B654D5" w14:textId="77777777" w:rsidR="00000000" w:rsidRDefault="00195E73">
            <w:pPr>
              <w:rPr>
                <w:rFonts w:eastAsia="Times New Roman"/>
                <w:sz w:val="20"/>
                <w:szCs w:val="20"/>
              </w:rPr>
            </w:pPr>
          </w:p>
        </w:tc>
        <w:tc>
          <w:tcPr>
            <w:tcW w:w="0" w:type="auto"/>
            <w:vAlign w:val="center"/>
            <w:hideMark/>
          </w:tcPr>
          <w:p w14:paraId="1EE1665E" w14:textId="77777777" w:rsidR="00000000" w:rsidRDefault="00195E73">
            <w:pPr>
              <w:rPr>
                <w:rFonts w:eastAsia="Times New Roman"/>
                <w:sz w:val="20"/>
                <w:szCs w:val="20"/>
              </w:rPr>
            </w:pPr>
          </w:p>
        </w:tc>
        <w:tc>
          <w:tcPr>
            <w:tcW w:w="0" w:type="auto"/>
            <w:vAlign w:val="center"/>
            <w:hideMark/>
          </w:tcPr>
          <w:p w14:paraId="4820E8B5" w14:textId="77777777" w:rsidR="00000000" w:rsidRDefault="00195E73">
            <w:pPr>
              <w:rPr>
                <w:rFonts w:eastAsia="Times New Roman"/>
                <w:sz w:val="20"/>
                <w:szCs w:val="20"/>
              </w:rPr>
            </w:pPr>
          </w:p>
        </w:tc>
        <w:tc>
          <w:tcPr>
            <w:tcW w:w="0" w:type="auto"/>
            <w:vAlign w:val="center"/>
            <w:hideMark/>
          </w:tcPr>
          <w:p w14:paraId="318C4950" w14:textId="77777777" w:rsidR="00000000" w:rsidRDefault="00195E73">
            <w:pPr>
              <w:rPr>
                <w:rFonts w:eastAsia="Times New Roman"/>
                <w:sz w:val="20"/>
                <w:szCs w:val="20"/>
              </w:rPr>
            </w:pPr>
          </w:p>
        </w:tc>
        <w:tc>
          <w:tcPr>
            <w:tcW w:w="0" w:type="auto"/>
            <w:vAlign w:val="center"/>
            <w:hideMark/>
          </w:tcPr>
          <w:p w14:paraId="6DE54891" w14:textId="77777777" w:rsidR="00000000" w:rsidRDefault="00195E73">
            <w:pPr>
              <w:rPr>
                <w:rFonts w:eastAsia="Times New Roman"/>
                <w:sz w:val="20"/>
                <w:szCs w:val="20"/>
              </w:rPr>
            </w:pPr>
          </w:p>
        </w:tc>
        <w:tc>
          <w:tcPr>
            <w:tcW w:w="0" w:type="auto"/>
            <w:vAlign w:val="center"/>
            <w:hideMark/>
          </w:tcPr>
          <w:p w14:paraId="101DDFF6" w14:textId="77777777" w:rsidR="00000000" w:rsidRDefault="00195E73">
            <w:pPr>
              <w:rPr>
                <w:rFonts w:eastAsia="Times New Roman"/>
                <w:sz w:val="20"/>
                <w:szCs w:val="20"/>
              </w:rPr>
            </w:pPr>
          </w:p>
        </w:tc>
        <w:tc>
          <w:tcPr>
            <w:tcW w:w="0" w:type="auto"/>
            <w:vAlign w:val="center"/>
            <w:hideMark/>
          </w:tcPr>
          <w:p w14:paraId="65258874" w14:textId="77777777" w:rsidR="00000000" w:rsidRDefault="00195E73">
            <w:pPr>
              <w:rPr>
                <w:rFonts w:eastAsia="Times New Roman"/>
                <w:sz w:val="20"/>
                <w:szCs w:val="20"/>
              </w:rPr>
            </w:pPr>
          </w:p>
        </w:tc>
        <w:tc>
          <w:tcPr>
            <w:tcW w:w="0" w:type="auto"/>
            <w:vAlign w:val="center"/>
            <w:hideMark/>
          </w:tcPr>
          <w:p w14:paraId="6BF0AACC" w14:textId="77777777" w:rsidR="00000000" w:rsidRDefault="00195E73">
            <w:pPr>
              <w:rPr>
                <w:rFonts w:eastAsia="Times New Roman"/>
                <w:sz w:val="20"/>
                <w:szCs w:val="20"/>
              </w:rPr>
            </w:pPr>
          </w:p>
        </w:tc>
        <w:tc>
          <w:tcPr>
            <w:tcW w:w="0" w:type="auto"/>
            <w:vAlign w:val="center"/>
            <w:hideMark/>
          </w:tcPr>
          <w:p w14:paraId="0AD53A17" w14:textId="77777777" w:rsidR="00000000" w:rsidRDefault="00195E73">
            <w:pPr>
              <w:rPr>
                <w:rFonts w:eastAsia="Times New Roman"/>
                <w:sz w:val="20"/>
                <w:szCs w:val="20"/>
              </w:rPr>
            </w:pPr>
          </w:p>
        </w:tc>
        <w:tc>
          <w:tcPr>
            <w:tcW w:w="0" w:type="auto"/>
            <w:vAlign w:val="center"/>
            <w:hideMark/>
          </w:tcPr>
          <w:p w14:paraId="31224013" w14:textId="77777777" w:rsidR="00000000" w:rsidRDefault="00195E73">
            <w:pPr>
              <w:rPr>
                <w:rFonts w:eastAsia="Times New Roman"/>
                <w:sz w:val="20"/>
                <w:szCs w:val="20"/>
              </w:rPr>
            </w:pPr>
          </w:p>
        </w:tc>
        <w:tc>
          <w:tcPr>
            <w:tcW w:w="0" w:type="auto"/>
            <w:vAlign w:val="center"/>
            <w:hideMark/>
          </w:tcPr>
          <w:p w14:paraId="0A00E9D4" w14:textId="77777777" w:rsidR="00000000" w:rsidRDefault="00195E73">
            <w:pPr>
              <w:rPr>
                <w:rFonts w:eastAsia="Times New Roman"/>
                <w:sz w:val="20"/>
                <w:szCs w:val="20"/>
              </w:rPr>
            </w:pPr>
          </w:p>
        </w:tc>
        <w:tc>
          <w:tcPr>
            <w:tcW w:w="0" w:type="auto"/>
            <w:vAlign w:val="center"/>
            <w:hideMark/>
          </w:tcPr>
          <w:p w14:paraId="60172415" w14:textId="77777777" w:rsidR="00000000" w:rsidRDefault="00195E73">
            <w:pPr>
              <w:rPr>
                <w:rFonts w:eastAsia="Times New Roman"/>
                <w:sz w:val="20"/>
                <w:szCs w:val="20"/>
              </w:rPr>
            </w:pPr>
          </w:p>
        </w:tc>
        <w:tc>
          <w:tcPr>
            <w:tcW w:w="0" w:type="auto"/>
            <w:vAlign w:val="center"/>
            <w:hideMark/>
          </w:tcPr>
          <w:p w14:paraId="72D03110" w14:textId="77777777" w:rsidR="00000000" w:rsidRDefault="00195E73">
            <w:pPr>
              <w:rPr>
                <w:rFonts w:eastAsia="Times New Roman"/>
                <w:sz w:val="20"/>
                <w:szCs w:val="20"/>
              </w:rPr>
            </w:pPr>
          </w:p>
        </w:tc>
        <w:tc>
          <w:tcPr>
            <w:tcW w:w="0" w:type="auto"/>
            <w:vAlign w:val="center"/>
            <w:hideMark/>
          </w:tcPr>
          <w:p w14:paraId="37F7212F" w14:textId="77777777" w:rsidR="00000000" w:rsidRDefault="00195E73">
            <w:pPr>
              <w:rPr>
                <w:rFonts w:eastAsia="Times New Roman"/>
                <w:sz w:val="20"/>
                <w:szCs w:val="20"/>
              </w:rPr>
            </w:pPr>
          </w:p>
        </w:tc>
        <w:tc>
          <w:tcPr>
            <w:tcW w:w="0" w:type="auto"/>
            <w:vAlign w:val="center"/>
            <w:hideMark/>
          </w:tcPr>
          <w:p w14:paraId="1EC0D0FB" w14:textId="77777777" w:rsidR="00000000" w:rsidRDefault="00195E73">
            <w:pPr>
              <w:rPr>
                <w:rFonts w:eastAsia="Times New Roman"/>
                <w:sz w:val="20"/>
                <w:szCs w:val="20"/>
              </w:rPr>
            </w:pPr>
          </w:p>
        </w:tc>
        <w:tc>
          <w:tcPr>
            <w:tcW w:w="0" w:type="auto"/>
            <w:vAlign w:val="center"/>
            <w:hideMark/>
          </w:tcPr>
          <w:p w14:paraId="661DFCE8" w14:textId="77777777" w:rsidR="00000000" w:rsidRDefault="00195E73">
            <w:pPr>
              <w:rPr>
                <w:rFonts w:eastAsia="Times New Roman"/>
                <w:sz w:val="20"/>
                <w:szCs w:val="20"/>
              </w:rPr>
            </w:pPr>
          </w:p>
        </w:tc>
        <w:tc>
          <w:tcPr>
            <w:tcW w:w="0" w:type="auto"/>
            <w:vAlign w:val="center"/>
            <w:hideMark/>
          </w:tcPr>
          <w:p w14:paraId="277C3450" w14:textId="77777777" w:rsidR="00000000" w:rsidRDefault="00195E73">
            <w:pPr>
              <w:rPr>
                <w:rFonts w:eastAsia="Times New Roman"/>
                <w:sz w:val="20"/>
                <w:szCs w:val="20"/>
              </w:rPr>
            </w:pPr>
          </w:p>
        </w:tc>
        <w:tc>
          <w:tcPr>
            <w:tcW w:w="0" w:type="auto"/>
            <w:vAlign w:val="center"/>
            <w:hideMark/>
          </w:tcPr>
          <w:p w14:paraId="62EFA758" w14:textId="77777777" w:rsidR="00000000" w:rsidRDefault="00195E73">
            <w:pPr>
              <w:rPr>
                <w:rFonts w:eastAsia="Times New Roman"/>
                <w:sz w:val="20"/>
                <w:szCs w:val="20"/>
              </w:rPr>
            </w:pPr>
          </w:p>
        </w:tc>
        <w:tc>
          <w:tcPr>
            <w:tcW w:w="0" w:type="auto"/>
            <w:vAlign w:val="center"/>
            <w:hideMark/>
          </w:tcPr>
          <w:p w14:paraId="1EF3C359" w14:textId="77777777" w:rsidR="00000000" w:rsidRDefault="00195E73">
            <w:pPr>
              <w:rPr>
                <w:rFonts w:eastAsia="Times New Roman"/>
                <w:sz w:val="20"/>
                <w:szCs w:val="20"/>
              </w:rPr>
            </w:pPr>
          </w:p>
        </w:tc>
        <w:tc>
          <w:tcPr>
            <w:tcW w:w="0" w:type="auto"/>
            <w:vAlign w:val="center"/>
            <w:hideMark/>
          </w:tcPr>
          <w:p w14:paraId="0899E1C9" w14:textId="77777777" w:rsidR="00000000" w:rsidRDefault="00195E73">
            <w:pPr>
              <w:rPr>
                <w:rFonts w:eastAsia="Times New Roman"/>
                <w:sz w:val="20"/>
                <w:szCs w:val="20"/>
              </w:rPr>
            </w:pPr>
          </w:p>
        </w:tc>
        <w:tc>
          <w:tcPr>
            <w:tcW w:w="0" w:type="auto"/>
            <w:vAlign w:val="center"/>
            <w:hideMark/>
          </w:tcPr>
          <w:p w14:paraId="12779531" w14:textId="77777777" w:rsidR="00000000" w:rsidRDefault="00195E73">
            <w:pPr>
              <w:rPr>
                <w:rFonts w:eastAsia="Times New Roman"/>
                <w:sz w:val="20"/>
                <w:szCs w:val="20"/>
              </w:rPr>
            </w:pPr>
          </w:p>
        </w:tc>
      </w:tr>
      <w:tr w:rsidR="00000000" w14:paraId="0B29626D" w14:textId="77777777">
        <w:trPr>
          <w:divId w:val="1157651963"/>
        </w:trPr>
        <w:tc>
          <w:tcPr>
            <w:tcW w:w="0" w:type="auto"/>
            <w:gridSpan w:val="3"/>
            <w:shd w:val="clear" w:color="auto" w:fill="FFFFFF"/>
            <w:tcMar>
              <w:top w:w="30" w:type="dxa"/>
              <w:left w:w="20" w:type="dxa"/>
              <w:bottom w:w="30" w:type="dxa"/>
              <w:right w:w="20" w:type="dxa"/>
            </w:tcMar>
            <w:vAlign w:val="bottom"/>
            <w:hideMark/>
          </w:tcPr>
          <w:p w14:paraId="624D6A47" w14:textId="77777777" w:rsidR="00000000" w:rsidRDefault="00195E73">
            <w:pPr>
              <w:ind w:hanging="180"/>
              <w:divId w:val="1715083361"/>
              <w:rPr>
                <w:rFonts w:eastAsia="Times New Roman"/>
              </w:rPr>
            </w:pPr>
            <w:r>
              <w:rPr>
                <w:rFonts w:eastAsia="Times New Roman"/>
                <w:color w:val="000000"/>
                <w:sz w:val="20"/>
                <w:szCs w:val="20"/>
              </w:rPr>
              <w:t>Income from continuing operation</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F3107E" w14:textId="77777777" w:rsidR="00000000" w:rsidRDefault="00195E73">
            <w:pPr>
              <w:jc w:val="right"/>
              <w:rPr>
                <w:rFonts w:eastAsia="Times New Roman"/>
              </w:rPr>
            </w:pPr>
            <w:r>
              <w:rPr>
                <w:rFonts w:eastAsia="Times New Roman"/>
                <w:color w:val="000000"/>
                <w:sz w:val="20"/>
                <w:szCs w:val="20"/>
              </w:rPr>
              <w:t>282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DCC7E6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91AEE7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3B4762" w14:textId="77777777" w:rsidR="00000000" w:rsidRDefault="00195E73">
            <w:pPr>
              <w:jc w:val="right"/>
              <w:rPr>
                <w:rFonts w:eastAsia="Times New Roman"/>
              </w:rPr>
            </w:pPr>
            <w:r>
              <w:rPr>
                <w:rFonts w:eastAsia="Times New Roman"/>
                <w:color w:val="000000"/>
                <w:sz w:val="20"/>
                <w:szCs w:val="20"/>
              </w:rPr>
              <w:t>(45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22E79F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C0A63E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A881D1" w14:textId="77777777" w:rsidR="00000000" w:rsidRDefault="00195E73">
            <w:pPr>
              <w:jc w:val="right"/>
              <w:rPr>
                <w:rFonts w:eastAsia="Times New Roman"/>
              </w:rPr>
            </w:pPr>
            <w:r>
              <w:rPr>
                <w:rFonts w:eastAsia="Times New Roman"/>
                <w:color w:val="000000"/>
                <w:sz w:val="20"/>
                <w:szCs w:val="20"/>
              </w:rPr>
              <w:t>237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C891F8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38BF19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BEE187" w14:textId="77777777" w:rsidR="00000000" w:rsidRDefault="00195E73">
            <w:pPr>
              <w:jc w:val="right"/>
              <w:rPr>
                <w:rFonts w:eastAsia="Times New Roman"/>
              </w:rPr>
            </w:pPr>
            <w:r>
              <w:rPr>
                <w:rFonts w:eastAsia="Times New Roman"/>
                <w:color w:val="000000"/>
                <w:sz w:val="20"/>
                <w:szCs w:val="20"/>
              </w:rPr>
              <w:t>2,357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7DEC51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83B12E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507617" w14:textId="77777777" w:rsidR="00000000" w:rsidRDefault="00195E73">
            <w:pPr>
              <w:jc w:val="right"/>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2CF323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C6240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5FDA6F" w14:textId="77777777" w:rsidR="00000000" w:rsidRDefault="00195E73">
            <w:pPr>
              <w:jc w:val="right"/>
              <w:rPr>
                <w:rFonts w:eastAsia="Times New Roman"/>
              </w:rPr>
            </w:pPr>
            <w:r>
              <w:rPr>
                <w:rFonts w:eastAsia="Times New Roman"/>
                <w:color w:val="000000"/>
                <w:sz w:val="20"/>
                <w:szCs w:val="20"/>
              </w:rPr>
              <w:t>2,398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D4BA44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9E9FB01" w14:textId="77777777" w:rsidR="00000000" w:rsidRDefault="00195E73">
            <w:pPr>
              <w:rPr>
                <w:rFonts w:eastAsia="Times New Roman"/>
                <w:sz w:val="20"/>
                <w:szCs w:val="20"/>
              </w:rPr>
            </w:pPr>
          </w:p>
        </w:tc>
        <w:tc>
          <w:tcPr>
            <w:tcW w:w="0" w:type="auto"/>
            <w:vAlign w:val="center"/>
            <w:hideMark/>
          </w:tcPr>
          <w:p w14:paraId="604F2C94" w14:textId="77777777" w:rsidR="00000000" w:rsidRDefault="00195E73">
            <w:pPr>
              <w:rPr>
                <w:rFonts w:eastAsia="Times New Roman"/>
                <w:sz w:val="20"/>
                <w:szCs w:val="20"/>
              </w:rPr>
            </w:pPr>
          </w:p>
        </w:tc>
        <w:tc>
          <w:tcPr>
            <w:tcW w:w="0" w:type="auto"/>
            <w:vAlign w:val="center"/>
            <w:hideMark/>
          </w:tcPr>
          <w:p w14:paraId="586E1416" w14:textId="77777777" w:rsidR="00000000" w:rsidRDefault="00195E73">
            <w:pPr>
              <w:rPr>
                <w:rFonts w:eastAsia="Times New Roman"/>
                <w:sz w:val="20"/>
                <w:szCs w:val="20"/>
              </w:rPr>
            </w:pPr>
          </w:p>
        </w:tc>
        <w:tc>
          <w:tcPr>
            <w:tcW w:w="0" w:type="auto"/>
            <w:vAlign w:val="center"/>
            <w:hideMark/>
          </w:tcPr>
          <w:p w14:paraId="12058688" w14:textId="77777777" w:rsidR="00000000" w:rsidRDefault="00195E73">
            <w:pPr>
              <w:rPr>
                <w:rFonts w:eastAsia="Times New Roman"/>
                <w:sz w:val="20"/>
                <w:szCs w:val="20"/>
              </w:rPr>
            </w:pPr>
          </w:p>
        </w:tc>
        <w:tc>
          <w:tcPr>
            <w:tcW w:w="0" w:type="auto"/>
            <w:vAlign w:val="center"/>
            <w:hideMark/>
          </w:tcPr>
          <w:p w14:paraId="7906D084" w14:textId="77777777" w:rsidR="00000000" w:rsidRDefault="00195E73">
            <w:pPr>
              <w:rPr>
                <w:rFonts w:eastAsia="Times New Roman"/>
                <w:sz w:val="20"/>
                <w:szCs w:val="20"/>
              </w:rPr>
            </w:pPr>
          </w:p>
        </w:tc>
        <w:tc>
          <w:tcPr>
            <w:tcW w:w="0" w:type="auto"/>
            <w:vAlign w:val="center"/>
            <w:hideMark/>
          </w:tcPr>
          <w:p w14:paraId="157A523D" w14:textId="77777777" w:rsidR="00000000" w:rsidRDefault="00195E73">
            <w:pPr>
              <w:rPr>
                <w:rFonts w:eastAsia="Times New Roman"/>
                <w:sz w:val="20"/>
                <w:szCs w:val="20"/>
              </w:rPr>
            </w:pPr>
          </w:p>
        </w:tc>
        <w:tc>
          <w:tcPr>
            <w:tcW w:w="0" w:type="auto"/>
            <w:vAlign w:val="center"/>
            <w:hideMark/>
          </w:tcPr>
          <w:p w14:paraId="10B1B26C" w14:textId="77777777" w:rsidR="00000000" w:rsidRDefault="00195E73">
            <w:pPr>
              <w:rPr>
                <w:rFonts w:eastAsia="Times New Roman"/>
                <w:sz w:val="20"/>
                <w:szCs w:val="20"/>
              </w:rPr>
            </w:pPr>
          </w:p>
        </w:tc>
        <w:tc>
          <w:tcPr>
            <w:tcW w:w="0" w:type="auto"/>
            <w:vAlign w:val="center"/>
            <w:hideMark/>
          </w:tcPr>
          <w:p w14:paraId="0C169EEC" w14:textId="77777777" w:rsidR="00000000" w:rsidRDefault="00195E73">
            <w:pPr>
              <w:rPr>
                <w:rFonts w:eastAsia="Times New Roman"/>
                <w:sz w:val="20"/>
                <w:szCs w:val="20"/>
              </w:rPr>
            </w:pPr>
          </w:p>
        </w:tc>
        <w:tc>
          <w:tcPr>
            <w:tcW w:w="0" w:type="auto"/>
            <w:vAlign w:val="center"/>
            <w:hideMark/>
          </w:tcPr>
          <w:p w14:paraId="5ADB745D" w14:textId="77777777" w:rsidR="00000000" w:rsidRDefault="00195E73">
            <w:pPr>
              <w:rPr>
                <w:rFonts w:eastAsia="Times New Roman"/>
                <w:sz w:val="20"/>
                <w:szCs w:val="20"/>
              </w:rPr>
            </w:pPr>
          </w:p>
        </w:tc>
        <w:tc>
          <w:tcPr>
            <w:tcW w:w="0" w:type="auto"/>
            <w:vAlign w:val="center"/>
            <w:hideMark/>
          </w:tcPr>
          <w:p w14:paraId="300BE934" w14:textId="77777777" w:rsidR="00000000" w:rsidRDefault="00195E73">
            <w:pPr>
              <w:rPr>
                <w:rFonts w:eastAsia="Times New Roman"/>
                <w:sz w:val="20"/>
                <w:szCs w:val="20"/>
              </w:rPr>
            </w:pPr>
          </w:p>
        </w:tc>
        <w:tc>
          <w:tcPr>
            <w:tcW w:w="0" w:type="auto"/>
            <w:vAlign w:val="center"/>
            <w:hideMark/>
          </w:tcPr>
          <w:p w14:paraId="53FE4C6D" w14:textId="77777777" w:rsidR="00000000" w:rsidRDefault="00195E73">
            <w:pPr>
              <w:rPr>
                <w:rFonts w:eastAsia="Times New Roman"/>
                <w:sz w:val="20"/>
                <w:szCs w:val="20"/>
              </w:rPr>
            </w:pPr>
          </w:p>
        </w:tc>
        <w:tc>
          <w:tcPr>
            <w:tcW w:w="0" w:type="auto"/>
            <w:vAlign w:val="center"/>
            <w:hideMark/>
          </w:tcPr>
          <w:p w14:paraId="5DC6D7F3" w14:textId="77777777" w:rsidR="00000000" w:rsidRDefault="00195E73">
            <w:pPr>
              <w:rPr>
                <w:rFonts w:eastAsia="Times New Roman"/>
                <w:sz w:val="20"/>
                <w:szCs w:val="20"/>
              </w:rPr>
            </w:pPr>
          </w:p>
        </w:tc>
        <w:tc>
          <w:tcPr>
            <w:tcW w:w="0" w:type="auto"/>
            <w:vAlign w:val="center"/>
            <w:hideMark/>
          </w:tcPr>
          <w:p w14:paraId="305763C3" w14:textId="77777777" w:rsidR="00000000" w:rsidRDefault="00195E73">
            <w:pPr>
              <w:rPr>
                <w:rFonts w:eastAsia="Times New Roman"/>
                <w:sz w:val="20"/>
                <w:szCs w:val="20"/>
              </w:rPr>
            </w:pPr>
          </w:p>
        </w:tc>
        <w:tc>
          <w:tcPr>
            <w:tcW w:w="0" w:type="auto"/>
            <w:vAlign w:val="center"/>
            <w:hideMark/>
          </w:tcPr>
          <w:p w14:paraId="239B0B8E" w14:textId="77777777" w:rsidR="00000000" w:rsidRDefault="00195E73">
            <w:pPr>
              <w:rPr>
                <w:rFonts w:eastAsia="Times New Roman"/>
                <w:sz w:val="20"/>
                <w:szCs w:val="20"/>
              </w:rPr>
            </w:pPr>
          </w:p>
        </w:tc>
        <w:tc>
          <w:tcPr>
            <w:tcW w:w="0" w:type="auto"/>
            <w:vAlign w:val="center"/>
            <w:hideMark/>
          </w:tcPr>
          <w:p w14:paraId="0E1706A7" w14:textId="77777777" w:rsidR="00000000" w:rsidRDefault="00195E73">
            <w:pPr>
              <w:rPr>
                <w:rFonts w:eastAsia="Times New Roman"/>
                <w:sz w:val="20"/>
                <w:szCs w:val="20"/>
              </w:rPr>
            </w:pPr>
          </w:p>
        </w:tc>
        <w:tc>
          <w:tcPr>
            <w:tcW w:w="0" w:type="auto"/>
            <w:vAlign w:val="center"/>
            <w:hideMark/>
          </w:tcPr>
          <w:p w14:paraId="2466F3C2" w14:textId="77777777" w:rsidR="00000000" w:rsidRDefault="00195E73">
            <w:pPr>
              <w:rPr>
                <w:rFonts w:eastAsia="Times New Roman"/>
                <w:sz w:val="20"/>
                <w:szCs w:val="20"/>
              </w:rPr>
            </w:pPr>
          </w:p>
        </w:tc>
        <w:tc>
          <w:tcPr>
            <w:tcW w:w="0" w:type="auto"/>
            <w:vAlign w:val="center"/>
            <w:hideMark/>
          </w:tcPr>
          <w:p w14:paraId="1CA23112" w14:textId="77777777" w:rsidR="00000000" w:rsidRDefault="00195E73">
            <w:pPr>
              <w:rPr>
                <w:rFonts w:eastAsia="Times New Roman"/>
                <w:sz w:val="20"/>
                <w:szCs w:val="20"/>
              </w:rPr>
            </w:pPr>
          </w:p>
        </w:tc>
        <w:tc>
          <w:tcPr>
            <w:tcW w:w="0" w:type="auto"/>
            <w:vAlign w:val="center"/>
            <w:hideMark/>
          </w:tcPr>
          <w:p w14:paraId="15413FFB" w14:textId="77777777" w:rsidR="00000000" w:rsidRDefault="00195E73">
            <w:pPr>
              <w:rPr>
                <w:rFonts w:eastAsia="Times New Roman"/>
                <w:sz w:val="20"/>
                <w:szCs w:val="20"/>
              </w:rPr>
            </w:pPr>
          </w:p>
        </w:tc>
        <w:tc>
          <w:tcPr>
            <w:tcW w:w="0" w:type="auto"/>
            <w:vAlign w:val="center"/>
            <w:hideMark/>
          </w:tcPr>
          <w:p w14:paraId="03403BC1" w14:textId="77777777" w:rsidR="00000000" w:rsidRDefault="00195E73">
            <w:pPr>
              <w:rPr>
                <w:rFonts w:eastAsia="Times New Roman"/>
                <w:sz w:val="20"/>
                <w:szCs w:val="20"/>
              </w:rPr>
            </w:pPr>
          </w:p>
        </w:tc>
        <w:tc>
          <w:tcPr>
            <w:tcW w:w="0" w:type="auto"/>
            <w:vAlign w:val="center"/>
            <w:hideMark/>
          </w:tcPr>
          <w:p w14:paraId="52411E19" w14:textId="77777777" w:rsidR="00000000" w:rsidRDefault="00195E73">
            <w:pPr>
              <w:rPr>
                <w:rFonts w:eastAsia="Times New Roman"/>
                <w:sz w:val="20"/>
                <w:szCs w:val="20"/>
              </w:rPr>
            </w:pPr>
          </w:p>
        </w:tc>
        <w:tc>
          <w:tcPr>
            <w:tcW w:w="0" w:type="auto"/>
            <w:vAlign w:val="center"/>
            <w:hideMark/>
          </w:tcPr>
          <w:p w14:paraId="272C8DC3" w14:textId="77777777" w:rsidR="00000000" w:rsidRDefault="00195E73">
            <w:pPr>
              <w:rPr>
                <w:rFonts w:eastAsia="Times New Roman"/>
                <w:sz w:val="20"/>
                <w:szCs w:val="20"/>
              </w:rPr>
            </w:pPr>
          </w:p>
        </w:tc>
        <w:tc>
          <w:tcPr>
            <w:tcW w:w="0" w:type="auto"/>
            <w:vAlign w:val="center"/>
            <w:hideMark/>
          </w:tcPr>
          <w:p w14:paraId="734732CD" w14:textId="77777777" w:rsidR="00000000" w:rsidRDefault="00195E73">
            <w:pPr>
              <w:rPr>
                <w:rFonts w:eastAsia="Times New Roman"/>
                <w:sz w:val="20"/>
                <w:szCs w:val="20"/>
              </w:rPr>
            </w:pPr>
          </w:p>
        </w:tc>
        <w:tc>
          <w:tcPr>
            <w:tcW w:w="0" w:type="auto"/>
            <w:vAlign w:val="center"/>
            <w:hideMark/>
          </w:tcPr>
          <w:p w14:paraId="0D74CED3" w14:textId="77777777" w:rsidR="00000000" w:rsidRDefault="00195E73">
            <w:pPr>
              <w:rPr>
                <w:rFonts w:eastAsia="Times New Roman"/>
                <w:sz w:val="20"/>
                <w:szCs w:val="20"/>
              </w:rPr>
            </w:pPr>
          </w:p>
        </w:tc>
        <w:tc>
          <w:tcPr>
            <w:tcW w:w="0" w:type="auto"/>
            <w:vAlign w:val="center"/>
            <w:hideMark/>
          </w:tcPr>
          <w:p w14:paraId="552F1AF1" w14:textId="77777777" w:rsidR="00000000" w:rsidRDefault="00195E73">
            <w:pPr>
              <w:rPr>
                <w:rFonts w:eastAsia="Times New Roman"/>
                <w:sz w:val="20"/>
                <w:szCs w:val="20"/>
              </w:rPr>
            </w:pPr>
          </w:p>
        </w:tc>
      </w:tr>
      <w:tr w:rsidR="00000000" w14:paraId="58B661AB" w14:textId="77777777">
        <w:trPr>
          <w:divId w:val="1157651963"/>
        </w:trPr>
        <w:tc>
          <w:tcPr>
            <w:tcW w:w="0" w:type="auto"/>
            <w:gridSpan w:val="3"/>
            <w:shd w:val="clear" w:color="auto" w:fill="CCEEFF"/>
            <w:tcMar>
              <w:top w:w="30" w:type="dxa"/>
              <w:left w:w="20" w:type="dxa"/>
              <w:bottom w:w="30" w:type="dxa"/>
              <w:right w:w="20" w:type="dxa"/>
            </w:tcMar>
            <w:vAlign w:val="bottom"/>
            <w:hideMark/>
          </w:tcPr>
          <w:p w14:paraId="4DB19F07" w14:textId="77777777" w:rsidR="00000000" w:rsidRDefault="00195E73">
            <w:pPr>
              <w:ind w:hanging="180"/>
              <w:divId w:val="1076249874"/>
              <w:rPr>
                <w:rFonts w:eastAsia="Times New Roman"/>
              </w:rPr>
            </w:pPr>
            <w:r>
              <w:rPr>
                <w:rFonts w:eastAsia="Times New Roman"/>
                <w:color w:val="000000"/>
                <w:sz w:val="20"/>
                <w:szCs w:val="20"/>
              </w:rPr>
              <w:t>Less: Income from continuing operations attributable to 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22EA88F" w14:textId="77777777" w:rsidR="00000000" w:rsidRDefault="00195E73">
            <w:pPr>
              <w:jc w:val="right"/>
              <w:rPr>
                <w:rFonts w:eastAsia="Times New Roman"/>
              </w:rPr>
            </w:pPr>
            <w:r>
              <w:rPr>
                <w:rFonts w:eastAsia="Times New Roman"/>
                <w:color w:val="000000"/>
                <w:sz w:val="20"/>
                <w:szCs w:val="20"/>
              </w:rPr>
              <w:t>495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30547B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C9C580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E9A848" w14:textId="77777777" w:rsidR="00000000" w:rsidRDefault="00195E73">
            <w:pPr>
              <w:jc w:val="right"/>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2E9C4A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D29DCC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06F11E" w14:textId="77777777" w:rsidR="00000000" w:rsidRDefault="00195E73">
            <w:pPr>
              <w:jc w:val="right"/>
              <w:rPr>
                <w:rFonts w:eastAsia="Times New Roman"/>
              </w:rPr>
            </w:pPr>
            <w:r>
              <w:rPr>
                <w:rFonts w:eastAsia="Times New Roman"/>
                <w:color w:val="000000"/>
                <w:sz w:val="20"/>
                <w:szCs w:val="20"/>
              </w:rPr>
              <w:t>475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75CE27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67DB0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4A4414" w14:textId="77777777" w:rsidR="00000000" w:rsidRDefault="00195E73">
            <w:pPr>
              <w:jc w:val="right"/>
              <w:rPr>
                <w:rFonts w:eastAsia="Times New Roman"/>
              </w:rPr>
            </w:pPr>
            <w:r>
              <w:rPr>
                <w:rFonts w:eastAsia="Times New Roman"/>
                <w:color w:val="000000"/>
                <w:sz w:val="20"/>
                <w:szCs w:val="20"/>
              </w:rPr>
              <w:t>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422975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15E4C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F5F119" w14:textId="77777777" w:rsidR="00000000" w:rsidRDefault="00195E73">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E2F00E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C42A04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0C3930" w14:textId="77777777" w:rsidR="00000000" w:rsidRDefault="00195E73">
            <w:pPr>
              <w:jc w:val="right"/>
              <w:rPr>
                <w:rFonts w:eastAsia="Times New Roman"/>
              </w:rPr>
            </w:pPr>
            <w:r>
              <w:rPr>
                <w:rFonts w:eastAsia="Times New Roman"/>
                <w:color w:val="000000"/>
                <w:sz w:val="20"/>
                <w:szCs w:val="20"/>
              </w:rPr>
              <w:t>101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6FA950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634A016" w14:textId="77777777" w:rsidR="00000000" w:rsidRDefault="00195E73">
            <w:pPr>
              <w:rPr>
                <w:rFonts w:eastAsia="Times New Roman"/>
                <w:sz w:val="20"/>
                <w:szCs w:val="20"/>
              </w:rPr>
            </w:pPr>
          </w:p>
        </w:tc>
        <w:tc>
          <w:tcPr>
            <w:tcW w:w="0" w:type="auto"/>
            <w:vAlign w:val="center"/>
            <w:hideMark/>
          </w:tcPr>
          <w:p w14:paraId="3BEE5BB4" w14:textId="77777777" w:rsidR="00000000" w:rsidRDefault="00195E73">
            <w:pPr>
              <w:rPr>
                <w:rFonts w:eastAsia="Times New Roman"/>
                <w:sz w:val="20"/>
                <w:szCs w:val="20"/>
              </w:rPr>
            </w:pPr>
          </w:p>
        </w:tc>
        <w:tc>
          <w:tcPr>
            <w:tcW w:w="0" w:type="auto"/>
            <w:vAlign w:val="center"/>
            <w:hideMark/>
          </w:tcPr>
          <w:p w14:paraId="4240CC47" w14:textId="77777777" w:rsidR="00000000" w:rsidRDefault="00195E73">
            <w:pPr>
              <w:rPr>
                <w:rFonts w:eastAsia="Times New Roman"/>
                <w:sz w:val="20"/>
                <w:szCs w:val="20"/>
              </w:rPr>
            </w:pPr>
          </w:p>
        </w:tc>
        <w:tc>
          <w:tcPr>
            <w:tcW w:w="0" w:type="auto"/>
            <w:vAlign w:val="center"/>
            <w:hideMark/>
          </w:tcPr>
          <w:p w14:paraId="4AE988FF" w14:textId="77777777" w:rsidR="00000000" w:rsidRDefault="00195E73">
            <w:pPr>
              <w:rPr>
                <w:rFonts w:eastAsia="Times New Roman"/>
                <w:sz w:val="20"/>
                <w:szCs w:val="20"/>
              </w:rPr>
            </w:pPr>
          </w:p>
        </w:tc>
        <w:tc>
          <w:tcPr>
            <w:tcW w:w="0" w:type="auto"/>
            <w:vAlign w:val="center"/>
            <w:hideMark/>
          </w:tcPr>
          <w:p w14:paraId="7C398A3B" w14:textId="77777777" w:rsidR="00000000" w:rsidRDefault="00195E73">
            <w:pPr>
              <w:rPr>
                <w:rFonts w:eastAsia="Times New Roman"/>
                <w:sz w:val="20"/>
                <w:szCs w:val="20"/>
              </w:rPr>
            </w:pPr>
          </w:p>
        </w:tc>
        <w:tc>
          <w:tcPr>
            <w:tcW w:w="0" w:type="auto"/>
            <w:vAlign w:val="center"/>
            <w:hideMark/>
          </w:tcPr>
          <w:p w14:paraId="4678F358" w14:textId="77777777" w:rsidR="00000000" w:rsidRDefault="00195E73">
            <w:pPr>
              <w:rPr>
                <w:rFonts w:eastAsia="Times New Roman"/>
                <w:sz w:val="20"/>
                <w:szCs w:val="20"/>
              </w:rPr>
            </w:pPr>
          </w:p>
        </w:tc>
        <w:tc>
          <w:tcPr>
            <w:tcW w:w="0" w:type="auto"/>
            <w:vAlign w:val="center"/>
            <w:hideMark/>
          </w:tcPr>
          <w:p w14:paraId="291C3ED4" w14:textId="77777777" w:rsidR="00000000" w:rsidRDefault="00195E73">
            <w:pPr>
              <w:rPr>
                <w:rFonts w:eastAsia="Times New Roman"/>
                <w:sz w:val="20"/>
                <w:szCs w:val="20"/>
              </w:rPr>
            </w:pPr>
          </w:p>
        </w:tc>
        <w:tc>
          <w:tcPr>
            <w:tcW w:w="0" w:type="auto"/>
            <w:vAlign w:val="center"/>
            <w:hideMark/>
          </w:tcPr>
          <w:p w14:paraId="3BA305E9" w14:textId="77777777" w:rsidR="00000000" w:rsidRDefault="00195E73">
            <w:pPr>
              <w:rPr>
                <w:rFonts w:eastAsia="Times New Roman"/>
                <w:sz w:val="20"/>
                <w:szCs w:val="20"/>
              </w:rPr>
            </w:pPr>
          </w:p>
        </w:tc>
        <w:tc>
          <w:tcPr>
            <w:tcW w:w="0" w:type="auto"/>
            <w:vAlign w:val="center"/>
            <w:hideMark/>
          </w:tcPr>
          <w:p w14:paraId="78268CA4" w14:textId="77777777" w:rsidR="00000000" w:rsidRDefault="00195E73">
            <w:pPr>
              <w:rPr>
                <w:rFonts w:eastAsia="Times New Roman"/>
                <w:sz w:val="20"/>
                <w:szCs w:val="20"/>
              </w:rPr>
            </w:pPr>
          </w:p>
        </w:tc>
        <w:tc>
          <w:tcPr>
            <w:tcW w:w="0" w:type="auto"/>
            <w:vAlign w:val="center"/>
            <w:hideMark/>
          </w:tcPr>
          <w:p w14:paraId="79EE56FA" w14:textId="77777777" w:rsidR="00000000" w:rsidRDefault="00195E73">
            <w:pPr>
              <w:rPr>
                <w:rFonts w:eastAsia="Times New Roman"/>
                <w:sz w:val="20"/>
                <w:szCs w:val="20"/>
              </w:rPr>
            </w:pPr>
          </w:p>
        </w:tc>
        <w:tc>
          <w:tcPr>
            <w:tcW w:w="0" w:type="auto"/>
            <w:vAlign w:val="center"/>
            <w:hideMark/>
          </w:tcPr>
          <w:p w14:paraId="478BA823" w14:textId="77777777" w:rsidR="00000000" w:rsidRDefault="00195E73">
            <w:pPr>
              <w:rPr>
                <w:rFonts w:eastAsia="Times New Roman"/>
                <w:sz w:val="20"/>
                <w:szCs w:val="20"/>
              </w:rPr>
            </w:pPr>
          </w:p>
        </w:tc>
        <w:tc>
          <w:tcPr>
            <w:tcW w:w="0" w:type="auto"/>
            <w:vAlign w:val="center"/>
            <w:hideMark/>
          </w:tcPr>
          <w:p w14:paraId="53BE0F2B" w14:textId="77777777" w:rsidR="00000000" w:rsidRDefault="00195E73">
            <w:pPr>
              <w:rPr>
                <w:rFonts w:eastAsia="Times New Roman"/>
                <w:sz w:val="20"/>
                <w:szCs w:val="20"/>
              </w:rPr>
            </w:pPr>
          </w:p>
        </w:tc>
        <w:tc>
          <w:tcPr>
            <w:tcW w:w="0" w:type="auto"/>
            <w:vAlign w:val="center"/>
            <w:hideMark/>
          </w:tcPr>
          <w:p w14:paraId="3D58D743" w14:textId="77777777" w:rsidR="00000000" w:rsidRDefault="00195E73">
            <w:pPr>
              <w:rPr>
                <w:rFonts w:eastAsia="Times New Roman"/>
                <w:sz w:val="20"/>
                <w:szCs w:val="20"/>
              </w:rPr>
            </w:pPr>
          </w:p>
        </w:tc>
        <w:tc>
          <w:tcPr>
            <w:tcW w:w="0" w:type="auto"/>
            <w:vAlign w:val="center"/>
            <w:hideMark/>
          </w:tcPr>
          <w:p w14:paraId="1446FBBC" w14:textId="77777777" w:rsidR="00000000" w:rsidRDefault="00195E73">
            <w:pPr>
              <w:rPr>
                <w:rFonts w:eastAsia="Times New Roman"/>
                <w:sz w:val="20"/>
                <w:szCs w:val="20"/>
              </w:rPr>
            </w:pPr>
          </w:p>
        </w:tc>
        <w:tc>
          <w:tcPr>
            <w:tcW w:w="0" w:type="auto"/>
            <w:vAlign w:val="center"/>
            <w:hideMark/>
          </w:tcPr>
          <w:p w14:paraId="02341F56" w14:textId="77777777" w:rsidR="00000000" w:rsidRDefault="00195E73">
            <w:pPr>
              <w:rPr>
                <w:rFonts w:eastAsia="Times New Roman"/>
                <w:sz w:val="20"/>
                <w:szCs w:val="20"/>
              </w:rPr>
            </w:pPr>
          </w:p>
        </w:tc>
        <w:tc>
          <w:tcPr>
            <w:tcW w:w="0" w:type="auto"/>
            <w:vAlign w:val="center"/>
            <w:hideMark/>
          </w:tcPr>
          <w:p w14:paraId="24A2D706" w14:textId="77777777" w:rsidR="00000000" w:rsidRDefault="00195E73">
            <w:pPr>
              <w:rPr>
                <w:rFonts w:eastAsia="Times New Roman"/>
                <w:sz w:val="20"/>
                <w:szCs w:val="20"/>
              </w:rPr>
            </w:pPr>
          </w:p>
        </w:tc>
        <w:tc>
          <w:tcPr>
            <w:tcW w:w="0" w:type="auto"/>
            <w:vAlign w:val="center"/>
            <w:hideMark/>
          </w:tcPr>
          <w:p w14:paraId="161FBE2D" w14:textId="77777777" w:rsidR="00000000" w:rsidRDefault="00195E73">
            <w:pPr>
              <w:rPr>
                <w:rFonts w:eastAsia="Times New Roman"/>
                <w:sz w:val="20"/>
                <w:szCs w:val="20"/>
              </w:rPr>
            </w:pPr>
          </w:p>
        </w:tc>
        <w:tc>
          <w:tcPr>
            <w:tcW w:w="0" w:type="auto"/>
            <w:vAlign w:val="center"/>
            <w:hideMark/>
          </w:tcPr>
          <w:p w14:paraId="5ACF8948" w14:textId="77777777" w:rsidR="00000000" w:rsidRDefault="00195E73">
            <w:pPr>
              <w:rPr>
                <w:rFonts w:eastAsia="Times New Roman"/>
                <w:sz w:val="20"/>
                <w:szCs w:val="20"/>
              </w:rPr>
            </w:pPr>
          </w:p>
        </w:tc>
        <w:tc>
          <w:tcPr>
            <w:tcW w:w="0" w:type="auto"/>
            <w:vAlign w:val="center"/>
            <w:hideMark/>
          </w:tcPr>
          <w:p w14:paraId="66D26D30" w14:textId="77777777" w:rsidR="00000000" w:rsidRDefault="00195E73">
            <w:pPr>
              <w:rPr>
                <w:rFonts w:eastAsia="Times New Roman"/>
                <w:sz w:val="20"/>
                <w:szCs w:val="20"/>
              </w:rPr>
            </w:pPr>
          </w:p>
        </w:tc>
        <w:tc>
          <w:tcPr>
            <w:tcW w:w="0" w:type="auto"/>
            <w:vAlign w:val="center"/>
            <w:hideMark/>
          </w:tcPr>
          <w:p w14:paraId="31B3C911" w14:textId="77777777" w:rsidR="00000000" w:rsidRDefault="00195E73">
            <w:pPr>
              <w:rPr>
                <w:rFonts w:eastAsia="Times New Roman"/>
                <w:sz w:val="20"/>
                <w:szCs w:val="20"/>
              </w:rPr>
            </w:pPr>
          </w:p>
        </w:tc>
        <w:tc>
          <w:tcPr>
            <w:tcW w:w="0" w:type="auto"/>
            <w:vAlign w:val="center"/>
            <w:hideMark/>
          </w:tcPr>
          <w:p w14:paraId="593569F7" w14:textId="77777777" w:rsidR="00000000" w:rsidRDefault="00195E73">
            <w:pPr>
              <w:rPr>
                <w:rFonts w:eastAsia="Times New Roman"/>
                <w:sz w:val="20"/>
                <w:szCs w:val="20"/>
              </w:rPr>
            </w:pPr>
          </w:p>
        </w:tc>
        <w:tc>
          <w:tcPr>
            <w:tcW w:w="0" w:type="auto"/>
            <w:vAlign w:val="center"/>
            <w:hideMark/>
          </w:tcPr>
          <w:p w14:paraId="712F0BEF" w14:textId="77777777" w:rsidR="00000000" w:rsidRDefault="00195E73">
            <w:pPr>
              <w:rPr>
                <w:rFonts w:eastAsia="Times New Roman"/>
                <w:sz w:val="20"/>
                <w:szCs w:val="20"/>
              </w:rPr>
            </w:pPr>
          </w:p>
        </w:tc>
        <w:tc>
          <w:tcPr>
            <w:tcW w:w="0" w:type="auto"/>
            <w:vAlign w:val="center"/>
            <w:hideMark/>
          </w:tcPr>
          <w:p w14:paraId="34E9BC8C" w14:textId="77777777" w:rsidR="00000000" w:rsidRDefault="00195E73">
            <w:pPr>
              <w:rPr>
                <w:rFonts w:eastAsia="Times New Roman"/>
                <w:sz w:val="20"/>
                <w:szCs w:val="20"/>
              </w:rPr>
            </w:pPr>
          </w:p>
        </w:tc>
        <w:tc>
          <w:tcPr>
            <w:tcW w:w="0" w:type="auto"/>
            <w:vAlign w:val="center"/>
            <w:hideMark/>
          </w:tcPr>
          <w:p w14:paraId="05F30FEB" w14:textId="77777777" w:rsidR="00000000" w:rsidRDefault="00195E73">
            <w:pPr>
              <w:rPr>
                <w:rFonts w:eastAsia="Times New Roman"/>
                <w:sz w:val="20"/>
                <w:szCs w:val="20"/>
              </w:rPr>
            </w:pPr>
          </w:p>
        </w:tc>
      </w:tr>
      <w:tr w:rsidR="00000000" w14:paraId="69FAFD3B" w14:textId="77777777">
        <w:trPr>
          <w:divId w:val="1157651963"/>
        </w:trPr>
        <w:tc>
          <w:tcPr>
            <w:tcW w:w="0" w:type="auto"/>
            <w:gridSpan w:val="3"/>
            <w:shd w:val="clear" w:color="auto" w:fill="FFFFFF"/>
            <w:tcMar>
              <w:top w:w="30" w:type="dxa"/>
              <w:left w:w="20" w:type="dxa"/>
              <w:bottom w:w="30" w:type="dxa"/>
              <w:right w:w="20" w:type="dxa"/>
            </w:tcMar>
            <w:vAlign w:val="bottom"/>
            <w:hideMark/>
          </w:tcPr>
          <w:p w14:paraId="67CDB8E8" w14:textId="77777777" w:rsidR="00000000" w:rsidRDefault="00195E73">
            <w:pPr>
              <w:ind w:hanging="180"/>
              <w:divId w:val="1766419787"/>
              <w:rPr>
                <w:rFonts w:eastAsia="Times New Roman"/>
              </w:rPr>
            </w:pPr>
            <w:r>
              <w:rPr>
                <w:rFonts w:eastAsia="Times New Roman"/>
                <w:color w:val="000000"/>
                <w:sz w:val="20"/>
                <w:szCs w:val="20"/>
              </w:rPr>
              <w:t>Income from continuing operations attributable to Icahn Enterprise</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A3B89AD"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91D932E" w14:textId="77777777" w:rsidR="00000000" w:rsidRDefault="00195E73">
            <w:pPr>
              <w:jc w:val="right"/>
              <w:rPr>
                <w:rFonts w:eastAsia="Times New Roman"/>
              </w:rPr>
            </w:pPr>
            <w:r>
              <w:rPr>
                <w:rFonts w:eastAsia="Times New Roman"/>
                <w:color w:val="000000"/>
                <w:sz w:val="20"/>
                <w:szCs w:val="20"/>
              </w:rPr>
              <w:t>(213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EA423A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9F98721"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34C1CA5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97B4A4A" w14:textId="77777777" w:rsidR="00000000" w:rsidRDefault="00195E73">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9DDA99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7BFBBE1"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1977F2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BF5E1E5" w14:textId="77777777" w:rsidR="00000000" w:rsidRDefault="00195E73">
            <w:pPr>
              <w:jc w:val="right"/>
              <w:rPr>
                <w:rFonts w:eastAsia="Times New Roman"/>
              </w:rPr>
            </w:pPr>
            <w:r>
              <w:rPr>
                <w:rFonts w:eastAsia="Times New Roman"/>
                <w:color w:val="000000"/>
                <w:sz w:val="20"/>
                <w:szCs w:val="20"/>
              </w:rPr>
              <w:t>(238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2E7E92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E87623"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20913A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14434FA" w14:textId="77777777" w:rsidR="00000000" w:rsidRDefault="00195E73">
            <w:pPr>
              <w:jc w:val="right"/>
              <w:rPr>
                <w:rFonts w:eastAsia="Times New Roman"/>
              </w:rPr>
            </w:pPr>
            <w:r>
              <w:rPr>
                <w:rFonts w:eastAsia="Times New Roman"/>
                <w:color w:val="000000"/>
                <w:sz w:val="20"/>
                <w:szCs w:val="20"/>
              </w:rPr>
              <w:t>2,273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0B13AF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A2F7E33"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3B09696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31C9BEE" w14:textId="77777777" w:rsidR="00000000" w:rsidRDefault="00195E73">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B96F6A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981C5AD"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289699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CA4CDB3" w14:textId="77777777" w:rsidR="00000000" w:rsidRDefault="00195E73">
            <w:pPr>
              <w:jc w:val="right"/>
              <w:rPr>
                <w:rFonts w:eastAsia="Times New Roman"/>
              </w:rPr>
            </w:pPr>
            <w:r>
              <w:rPr>
                <w:rFonts w:eastAsia="Times New Roman"/>
                <w:color w:val="000000"/>
                <w:sz w:val="20"/>
                <w:szCs w:val="20"/>
              </w:rPr>
              <w:t>2,297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97431E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9AC5280" w14:textId="77777777" w:rsidR="00000000" w:rsidRDefault="00195E73">
            <w:pPr>
              <w:rPr>
                <w:rFonts w:eastAsia="Times New Roman"/>
                <w:sz w:val="20"/>
                <w:szCs w:val="20"/>
              </w:rPr>
            </w:pPr>
          </w:p>
        </w:tc>
        <w:tc>
          <w:tcPr>
            <w:tcW w:w="0" w:type="auto"/>
            <w:vAlign w:val="center"/>
            <w:hideMark/>
          </w:tcPr>
          <w:p w14:paraId="52E5C693" w14:textId="77777777" w:rsidR="00000000" w:rsidRDefault="00195E73">
            <w:pPr>
              <w:rPr>
                <w:rFonts w:eastAsia="Times New Roman"/>
                <w:sz w:val="20"/>
                <w:szCs w:val="20"/>
              </w:rPr>
            </w:pPr>
          </w:p>
        </w:tc>
        <w:tc>
          <w:tcPr>
            <w:tcW w:w="0" w:type="auto"/>
            <w:vAlign w:val="center"/>
            <w:hideMark/>
          </w:tcPr>
          <w:p w14:paraId="53FFD995" w14:textId="77777777" w:rsidR="00000000" w:rsidRDefault="00195E73">
            <w:pPr>
              <w:rPr>
                <w:rFonts w:eastAsia="Times New Roman"/>
                <w:sz w:val="20"/>
                <w:szCs w:val="20"/>
              </w:rPr>
            </w:pPr>
          </w:p>
        </w:tc>
        <w:tc>
          <w:tcPr>
            <w:tcW w:w="0" w:type="auto"/>
            <w:vAlign w:val="center"/>
            <w:hideMark/>
          </w:tcPr>
          <w:p w14:paraId="194AFD5A" w14:textId="77777777" w:rsidR="00000000" w:rsidRDefault="00195E73">
            <w:pPr>
              <w:rPr>
                <w:rFonts w:eastAsia="Times New Roman"/>
                <w:sz w:val="20"/>
                <w:szCs w:val="20"/>
              </w:rPr>
            </w:pPr>
          </w:p>
        </w:tc>
        <w:tc>
          <w:tcPr>
            <w:tcW w:w="0" w:type="auto"/>
            <w:vAlign w:val="center"/>
            <w:hideMark/>
          </w:tcPr>
          <w:p w14:paraId="6CE61F76" w14:textId="77777777" w:rsidR="00000000" w:rsidRDefault="00195E73">
            <w:pPr>
              <w:rPr>
                <w:rFonts w:eastAsia="Times New Roman"/>
                <w:sz w:val="20"/>
                <w:szCs w:val="20"/>
              </w:rPr>
            </w:pPr>
          </w:p>
        </w:tc>
        <w:tc>
          <w:tcPr>
            <w:tcW w:w="0" w:type="auto"/>
            <w:vAlign w:val="center"/>
            <w:hideMark/>
          </w:tcPr>
          <w:p w14:paraId="5351F3CB" w14:textId="77777777" w:rsidR="00000000" w:rsidRDefault="00195E73">
            <w:pPr>
              <w:rPr>
                <w:rFonts w:eastAsia="Times New Roman"/>
                <w:sz w:val="20"/>
                <w:szCs w:val="20"/>
              </w:rPr>
            </w:pPr>
          </w:p>
        </w:tc>
        <w:tc>
          <w:tcPr>
            <w:tcW w:w="0" w:type="auto"/>
            <w:vAlign w:val="center"/>
            <w:hideMark/>
          </w:tcPr>
          <w:p w14:paraId="0A028B64" w14:textId="77777777" w:rsidR="00000000" w:rsidRDefault="00195E73">
            <w:pPr>
              <w:rPr>
                <w:rFonts w:eastAsia="Times New Roman"/>
                <w:sz w:val="20"/>
                <w:szCs w:val="20"/>
              </w:rPr>
            </w:pPr>
          </w:p>
        </w:tc>
        <w:tc>
          <w:tcPr>
            <w:tcW w:w="0" w:type="auto"/>
            <w:vAlign w:val="center"/>
            <w:hideMark/>
          </w:tcPr>
          <w:p w14:paraId="1EAA2A3C" w14:textId="77777777" w:rsidR="00000000" w:rsidRDefault="00195E73">
            <w:pPr>
              <w:rPr>
                <w:rFonts w:eastAsia="Times New Roman"/>
                <w:sz w:val="20"/>
                <w:szCs w:val="20"/>
              </w:rPr>
            </w:pPr>
          </w:p>
        </w:tc>
        <w:tc>
          <w:tcPr>
            <w:tcW w:w="0" w:type="auto"/>
            <w:vAlign w:val="center"/>
            <w:hideMark/>
          </w:tcPr>
          <w:p w14:paraId="01230E67" w14:textId="77777777" w:rsidR="00000000" w:rsidRDefault="00195E73">
            <w:pPr>
              <w:rPr>
                <w:rFonts w:eastAsia="Times New Roman"/>
                <w:sz w:val="20"/>
                <w:szCs w:val="20"/>
              </w:rPr>
            </w:pPr>
          </w:p>
        </w:tc>
        <w:tc>
          <w:tcPr>
            <w:tcW w:w="0" w:type="auto"/>
            <w:vAlign w:val="center"/>
            <w:hideMark/>
          </w:tcPr>
          <w:p w14:paraId="38EC2749" w14:textId="77777777" w:rsidR="00000000" w:rsidRDefault="00195E73">
            <w:pPr>
              <w:rPr>
                <w:rFonts w:eastAsia="Times New Roman"/>
                <w:sz w:val="20"/>
                <w:szCs w:val="20"/>
              </w:rPr>
            </w:pPr>
          </w:p>
        </w:tc>
        <w:tc>
          <w:tcPr>
            <w:tcW w:w="0" w:type="auto"/>
            <w:vAlign w:val="center"/>
            <w:hideMark/>
          </w:tcPr>
          <w:p w14:paraId="56ABF941" w14:textId="77777777" w:rsidR="00000000" w:rsidRDefault="00195E73">
            <w:pPr>
              <w:rPr>
                <w:rFonts w:eastAsia="Times New Roman"/>
                <w:sz w:val="20"/>
                <w:szCs w:val="20"/>
              </w:rPr>
            </w:pPr>
          </w:p>
        </w:tc>
        <w:tc>
          <w:tcPr>
            <w:tcW w:w="0" w:type="auto"/>
            <w:vAlign w:val="center"/>
            <w:hideMark/>
          </w:tcPr>
          <w:p w14:paraId="1E8620D6" w14:textId="77777777" w:rsidR="00000000" w:rsidRDefault="00195E73">
            <w:pPr>
              <w:rPr>
                <w:rFonts w:eastAsia="Times New Roman"/>
                <w:sz w:val="20"/>
                <w:szCs w:val="20"/>
              </w:rPr>
            </w:pPr>
          </w:p>
        </w:tc>
        <w:tc>
          <w:tcPr>
            <w:tcW w:w="0" w:type="auto"/>
            <w:vAlign w:val="center"/>
            <w:hideMark/>
          </w:tcPr>
          <w:p w14:paraId="1AA66CA3" w14:textId="77777777" w:rsidR="00000000" w:rsidRDefault="00195E73">
            <w:pPr>
              <w:rPr>
                <w:rFonts w:eastAsia="Times New Roman"/>
                <w:sz w:val="20"/>
                <w:szCs w:val="20"/>
              </w:rPr>
            </w:pPr>
          </w:p>
        </w:tc>
        <w:tc>
          <w:tcPr>
            <w:tcW w:w="0" w:type="auto"/>
            <w:vAlign w:val="center"/>
            <w:hideMark/>
          </w:tcPr>
          <w:p w14:paraId="7DA27A35" w14:textId="77777777" w:rsidR="00000000" w:rsidRDefault="00195E73">
            <w:pPr>
              <w:rPr>
                <w:rFonts w:eastAsia="Times New Roman"/>
                <w:sz w:val="20"/>
                <w:szCs w:val="20"/>
              </w:rPr>
            </w:pPr>
          </w:p>
        </w:tc>
        <w:tc>
          <w:tcPr>
            <w:tcW w:w="0" w:type="auto"/>
            <w:vAlign w:val="center"/>
            <w:hideMark/>
          </w:tcPr>
          <w:p w14:paraId="5D375104" w14:textId="77777777" w:rsidR="00000000" w:rsidRDefault="00195E73">
            <w:pPr>
              <w:rPr>
                <w:rFonts w:eastAsia="Times New Roman"/>
                <w:sz w:val="20"/>
                <w:szCs w:val="20"/>
              </w:rPr>
            </w:pPr>
          </w:p>
        </w:tc>
        <w:tc>
          <w:tcPr>
            <w:tcW w:w="0" w:type="auto"/>
            <w:vAlign w:val="center"/>
            <w:hideMark/>
          </w:tcPr>
          <w:p w14:paraId="2E2BF9C5" w14:textId="77777777" w:rsidR="00000000" w:rsidRDefault="00195E73">
            <w:pPr>
              <w:rPr>
                <w:rFonts w:eastAsia="Times New Roman"/>
                <w:sz w:val="20"/>
                <w:szCs w:val="20"/>
              </w:rPr>
            </w:pPr>
          </w:p>
        </w:tc>
        <w:tc>
          <w:tcPr>
            <w:tcW w:w="0" w:type="auto"/>
            <w:vAlign w:val="center"/>
            <w:hideMark/>
          </w:tcPr>
          <w:p w14:paraId="6819C2F2" w14:textId="77777777" w:rsidR="00000000" w:rsidRDefault="00195E73">
            <w:pPr>
              <w:rPr>
                <w:rFonts w:eastAsia="Times New Roman"/>
                <w:sz w:val="20"/>
                <w:szCs w:val="20"/>
              </w:rPr>
            </w:pPr>
          </w:p>
        </w:tc>
        <w:tc>
          <w:tcPr>
            <w:tcW w:w="0" w:type="auto"/>
            <w:vAlign w:val="center"/>
            <w:hideMark/>
          </w:tcPr>
          <w:p w14:paraId="3F58A996" w14:textId="77777777" w:rsidR="00000000" w:rsidRDefault="00195E73">
            <w:pPr>
              <w:rPr>
                <w:rFonts w:eastAsia="Times New Roman"/>
                <w:sz w:val="20"/>
                <w:szCs w:val="20"/>
              </w:rPr>
            </w:pPr>
          </w:p>
        </w:tc>
        <w:tc>
          <w:tcPr>
            <w:tcW w:w="0" w:type="auto"/>
            <w:vAlign w:val="center"/>
            <w:hideMark/>
          </w:tcPr>
          <w:p w14:paraId="476EBA01" w14:textId="77777777" w:rsidR="00000000" w:rsidRDefault="00195E73">
            <w:pPr>
              <w:rPr>
                <w:rFonts w:eastAsia="Times New Roman"/>
                <w:sz w:val="20"/>
                <w:szCs w:val="20"/>
              </w:rPr>
            </w:pPr>
          </w:p>
        </w:tc>
        <w:tc>
          <w:tcPr>
            <w:tcW w:w="0" w:type="auto"/>
            <w:vAlign w:val="center"/>
            <w:hideMark/>
          </w:tcPr>
          <w:p w14:paraId="7DE2A262" w14:textId="77777777" w:rsidR="00000000" w:rsidRDefault="00195E73">
            <w:pPr>
              <w:rPr>
                <w:rFonts w:eastAsia="Times New Roman"/>
                <w:sz w:val="20"/>
                <w:szCs w:val="20"/>
              </w:rPr>
            </w:pPr>
          </w:p>
        </w:tc>
        <w:tc>
          <w:tcPr>
            <w:tcW w:w="0" w:type="auto"/>
            <w:vAlign w:val="center"/>
            <w:hideMark/>
          </w:tcPr>
          <w:p w14:paraId="7A7C8AA0" w14:textId="77777777" w:rsidR="00000000" w:rsidRDefault="00195E73">
            <w:pPr>
              <w:rPr>
                <w:rFonts w:eastAsia="Times New Roman"/>
                <w:sz w:val="20"/>
                <w:szCs w:val="20"/>
              </w:rPr>
            </w:pPr>
          </w:p>
        </w:tc>
        <w:tc>
          <w:tcPr>
            <w:tcW w:w="0" w:type="auto"/>
            <w:vAlign w:val="center"/>
            <w:hideMark/>
          </w:tcPr>
          <w:p w14:paraId="16DF143D" w14:textId="77777777" w:rsidR="00000000" w:rsidRDefault="00195E73">
            <w:pPr>
              <w:rPr>
                <w:rFonts w:eastAsia="Times New Roman"/>
                <w:sz w:val="20"/>
                <w:szCs w:val="20"/>
              </w:rPr>
            </w:pPr>
          </w:p>
        </w:tc>
        <w:tc>
          <w:tcPr>
            <w:tcW w:w="0" w:type="auto"/>
            <w:vAlign w:val="center"/>
            <w:hideMark/>
          </w:tcPr>
          <w:p w14:paraId="0718223C" w14:textId="77777777" w:rsidR="00000000" w:rsidRDefault="00195E73">
            <w:pPr>
              <w:rPr>
                <w:rFonts w:eastAsia="Times New Roman"/>
                <w:sz w:val="20"/>
                <w:szCs w:val="20"/>
              </w:rPr>
            </w:pPr>
          </w:p>
        </w:tc>
        <w:tc>
          <w:tcPr>
            <w:tcW w:w="0" w:type="auto"/>
            <w:vAlign w:val="center"/>
            <w:hideMark/>
          </w:tcPr>
          <w:p w14:paraId="43E60282" w14:textId="77777777" w:rsidR="00000000" w:rsidRDefault="00195E73">
            <w:pPr>
              <w:rPr>
                <w:rFonts w:eastAsia="Times New Roman"/>
                <w:sz w:val="20"/>
                <w:szCs w:val="20"/>
              </w:rPr>
            </w:pPr>
          </w:p>
        </w:tc>
      </w:tr>
      <w:tr w:rsidR="00000000" w14:paraId="44234606" w14:textId="77777777">
        <w:trPr>
          <w:divId w:val="1157651963"/>
        </w:trPr>
        <w:tc>
          <w:tcPr>
            <w:tcW w:w="0" w:type="auto"/>
            <w:gridSpan w:val="3"/>
            <w:shd w:val="clear" w:color="auto" w:fill="CCEEFF"/>
            <w:tcMar>
              <w:top w:w="30" w:type="dxa"/>
              <w:left w:w="20" w:type="dxa"/>
              <w:bottom w:w="30" w:type="dxa"/>
              <w:right w:w="20" w:type="dxa"/>
            </w:tcMar>
            <w:vAlign w:val="bottom"/>
            <w:hideMark/>
          </w:tcPr>
          <w:p w14:paraId="5CD1AFA0" w14:textId="77777777" w:rsidR="00000000" w:rsidRDefault="00195E73">
            <w:pPr>
              <w:ind w:hanging="180"/>
              <w:divId w:val="1888369376"/>
              <w:rPr>
                <w:rFonts w:eastAsia="Times New Roman"/>
              </w:rPr>
            </w:pPr>
            <w:r>
              <w:rPr>
                <w:rFonts w:eastAsia="Times New Roman"/>
                <w:color w:val="000000"/>
                <w:sz w:val="20"/>
                <w:szCs w:val="20"/>
              </w:rPr>
              <w:t>Net income attributable to Icahn Enterprise</w:t>
            </w:r>
            <w:r>
              <w:rPr>
                <w:rFonts w:eastAsia="Times New Roman"/>
                <w:color w:val="000000"/>
                <w:sz w:val="20"/>
                <w:szCs w:val="20"/>
              </w:rPr>
              <w:t>s</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734B7C3E"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31EA3EAD" w14:textId="77777777" w:rsidR="00000000" w:rsidRDefault="00195E73">
            <w:pPr>
              <w:jc w:val="right"/>
              <w:rPr>
                <w:rFonts w:eastAsia="Times New Roman"/>
              </w:rPr>
            </w:pPr>
            <w:r>
              <w:rPr>
                <w:rFonts w:eastAsia="Times New Roman"/>
                <w:color w:val="000000"/>
                <w:sz w:val="20"/>
                <w:szCs w:val="20"/>
              </w:rPr>
              <w:t>1,507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027338E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5AEFC1" w14:textId="77777777" w:rsidR="00000000" w:rsidRDefault="00195E73">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50AC7FEE"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04B49C84" w14:textId="77777777" w:rsidR="00000000" w:rsidRDefault="00195E73">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1FE5194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3073114" w14:textId="77777777" w:rsidR="00000000" w:rsidRDefault="00195E73">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35F28AE8"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34C7BA6D" w14:textId="77777777" w:rsidR="00000000" w:rsidRDefault="00195E73">
            <w:pPr>
              <w:jc w:val="right"/>
              <w:rPr>
                <w:rFonts w:eastAsia="Times New Roman"/>
              </w:rPr>
            </w:pPr>
            <w:r>
              <w:rPr>
                <w:rFonts w:eastAsia="Times New Roman"/>
                <w:color w:val="000000"/>
                <w:sz w:val="20"/>
                <w:szCs w:val="20"/>
              </w:rPr>
              <w:t>1,482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6D47C0C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4BAD885" w14:textId="77777777" w:rsidR="00000000" w:rsidRDefault="00195E73">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3F1164DF"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195790E9" w14:textId="77777777" w:rsidR="00000000" w:rsidRDefault="00195E73">
            <w:pPr>
              <w:jc w:val="right"/>
              <w:rPr>
                <w:rFonts w:eastAsia="Times New Roman"/>
              </w:rPr>
            </w:pPr>
            <w:r>
              <w:rPr>
                <w:rFonts w:eastAsia="Times New Roman"/>
                <w:color w:val="000000"/>
                <w:sz w:val="20"/>
                <w:szCs w:val="20"/>
              </w:rPr>
              <w:t>2,430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4F5F029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AF2A9A2" w14:textId="77777777" w:rsidR="00000000" w:rsidRDefault="00195E73">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1A62525E"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48FEA190" w14:textId="77777777" w:rsidR="00000000" w:rsidRDefault="00195E73">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6B88DAB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C3C8529" w14:textId="77777777" w:rsidR="00000000" w:rsidRDefault="00195E73">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38CD6384"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3A6F8EE7" w14:textId="77777777" w:rsidR="00000000" w:rsidRDefault="00195E73">
            <w:pPr>
              <w:jc w:val="right"/>
              <w:rPr>
                <w:rFonts w:eastAsia="Times New Roman"/>
              </w:rPr>
            </w:pPr>
            <w:r>
              <w:rPr>
                <w:rFonts w:eastAsia="Times New Roman"/>
                <w:color w:val="000000"/>
                <w:sz w:val="20"/>
                <w:szCs w:val="20"/>
              </w:rPr>
              <w:t>2,454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64CA067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567C9B2" w14:textId="77777777" w:rsidR="00000000" w:rsidRDefault="00195E73">
            <w:pPr>
              <w:rPr>
                <w:rFonts w:eastAsia="Times New Roman"/>
                <w:sz w:val="20"/>
                <w:szCs w:val="20"/>
              </w:rPr>
            </w:pPr>
          </w:p>
        </w:tc>
        <w:tc>
          <w:tcPr>
            <w:tcW w:w="0" w:type="auto"/>
            <w:vAlign w:val="center"/>
            <w:hideMark/>
          </w:tcPr>
          <w:p w14:paraId="69B174CC" w14:textId="77777777" w:rsidR="00000000" w:rsidRDefault="00195E73">
            <w:pPr>
              <w:rPr>
                <w:rFonts w:eastAsia="Times New Roman"/>
                <w:sz w:val="20"/>
                <w:szCs w:val="20"/>
              </w:rPr>
            </w:pPr>
          </w:p>
        </w:tc>
        <w:tc>
          <w:tcPr>
            <w:tcW w:w="0" w:type="auto"/>
            <w:vAlign w:val="center"/>
            <w:hideMark/>
          </w:tcPr>
          <w:p w14:paraId="57DAACB8" w14:textId="77777777" w:rsidR="00000000" w:rsidRDefault="00195E73">
            <w:pPr>
              <w:rPr>
                <w:rFonts w:eastAsia="Times New Roman"/>
                <w:sz w:val="20"/>
                <w:szCs w:val="20"/>
              </w:rPr>
            </w:pPr>
          </w:p>
        </w:tc>
        <w:tc>
          <w:tcPr>
            <w:tcW w:w="0" w:type="auto"/>
            <w:vAlign w:val="center"/>
            <w:hideMark/>
          </w:tcPr>
          <w:p w14:paraId="7B20FD49" w14:textId="77777777" w:rsidR="00000000" w:rsidRDefault="00195E73">
            <w:pPr>
              <w:rPr>
                <w:rFonts w:eastAsia="Times New Roman"/>
                <w:sz w:val="20"/>
                <w:szCs w:val="20"/>
              </w:rPr>
            </w:pPr>
          </w:p>
        </w:tc>
        <w:tc>
          <w:tcPr>
            <w:tcW w:w="0" w:type="auto"/>
            <w:vAlign w:val="center"/>
            <w:hideMark/>
          </w:tcPr>
          <w:p w14:paraId="3BA1CFAF" w14:textId="77777777" w:rsidR="00000000" w:rsidRDefault="00195E73">
            <w:pPr>
              <w:rPr>
                <w:rFonts w:eastAsia="Times New Roman"/>
                <w:sz w:val="20"/>
                <w:szCs w:val="20"/>
              </w:rPr>
            </w:pPr>
          </w:p>
        </w:tc>
        <w:tc>
          <w:tcPr>
            <w:tcW w:w="0" w:type="auto"/>
            <w:vAlign w:val="center"/>
            <w:hideMark/>
          </w:tcPr>
          <w:p w14:paraId="49A93148" w14:textId="77777777" w:rsidR="00000000" w:rsidRDefault="00195E73">
            <w:pPr>
              <w:rPr>
                <w:rFonts w:eastAsia="Times New Roman"/>
                <w:sz w:val="20"/>
                <w:szCs w:val="20"/>
              </w:rPr>
            </w:pPr>
          </w:p>
        </w:tc>
        <w:tc>
          <w:tcPr>
            <w:tcW w:w="0" w:type="auto"/>
            <w:vAlign w:val="center"/>
            <w:hideMark/>
          </w:tcPr>
          <w:p w14:paraId="7AD486A5" w14:textId="77777777" w:rsidR="00000000" w:rsidRDefault="00195E73">
            <w:pPr>
              <w:rPr>
                <w:rFonts w:eastAsia="Times New Roman"/>
                <w:sz w:val="20"/>
                <w:szCs w:val="20"/>
              </w:rPr>
            </w:pPr>
          </w:p>
        </w:tc>
        <w:tc>
          <w:tcPr>
            <w:tcW w:w="0" w:type="auto"/>
            <w:vAlign w:val="center"/>
            <w:hideMark/>
          </w:tcPr>
          <w:p w14:paraId="463E72EF" w14:textId="77777777" w:rsidR="00000000" w:rsidRDefault="00195E73">
            <w:pPr>
              <w:rPr>
                <w:rFonts w:eastAsia="Times New Roman"/>
                <w:sz w:val="20"/>
                <w:szCs w:val="20"/>
              </w:rPr>
            </w:pPr>
          </w:p>
        </w:tc>
        <w:tc>
          <w:tcPr>
            <w:tcW w:w="0" w:type="auto"/>
            <w:vAlign w:val="center"/>
            <w:hideMark/>
          </w:tcPr>
          <w:p w14:paraId="64CC1290" w14:textId="77777777" w:rsidR="00000000" w:rsidRDefault="00195E73">
            <w:pPr>
              <w:rPr>
                <w:rFonts w:eastAsia="Times New Roman"/>
                <w:sz w:val="20"/>
                <w:szCs w:val="20"/>
              </w:rPr>
            </w:pPr>
          </w:p>
        </w:tc>
        <w:tc>
          <w:tcPr>
            <w:tcW w:w="0" w:type="auto"/>
            <w:vAlign w:val="center"/>
            <w:hideMark/>
          </w:tcPr>
          <w:p w14:paraId="03F1130E" w14:textId="77777777" w:rsidR="00000000" w:rsidRDefault="00195E73">
            <w:pPr>
              <w:rPr>
                <w:rFonts w:eastAsia="Times New Roman"/>
                <w:sz w:val="20"/>
                <w:szCs w:val="20"/>
              </w:rPr>
            </w:pPr>
          </w:p>
        </w:tc>
        <w:tc>
          <w:tcPr>
            <w:tcW w:w="0" w:type="auto"/>
            <w:vAlign w:val="center"/>
            <w:hideMark/>
          </w:tcPr>
          <w:p w14:paraId="5274B369" w14:textId="77777777" w:rsidR="00000000" w:rsidRDefault="00195E73">
            <w:pPr>
              <w:rPr>
                <w:rFonts w:eastAsia="Times New Roman"/>
                <w:sz w:val="20"/>
                <w:szCs w:val="20"/>
              </w:rPr>
            </w:pPr>
          </w:p>
        </w:tc>
        <w:tc>
          <w:tcPr>
            <w:tcW w:w="0" w:type="auto"/>
            <w:vAlign w:val="center"/>
            <w:hideMark/>
          </w:tcPr>
          <w:p w14:paraId="6213AD3E" w14:textId="77777777" w:rsidR="00000000" w:rsidRDefault="00195E73">
            <w:pPr>
              <w:rPr>
                <w:rFonts w:eastAsia="Times New Roman"/>
                <w:sz w:val="20"/>
                <w:szCs w:val="20"/>
              </w:rPr>
            </w:pPr>
          </w:p>
        </w:tc>
        <w:tc>
          <w:tcPr>
            <w:tcW w:w="0" w:type="auto"/>
            <w:vAlign w:val="center"/>
            <w:hideMark/>
          </w:tcPr>
          <w:p w14:paraId="27EA0528" w14:textId="77777777" w:rsidR="00000000" w:rsidRDefault="00195E73">
            <w:pPr>
              <w:rPr>
                <w:rFonts w:eastAsia="Times New Roman"/>
                <w:sz w:val="20"/>
                <w:szCs w:val="20"/>
              </w:rPr>
            </w:pPr>
          </w:p>
        </w:tc>
        <w:tc>
          <w:tcPr>
            <w:tcW w:w="0" w:type="auto"/>
            <w:vAlign w:val="center"/>
            <w:hideMark/>
          </w:tcPr>
          <w:p w14:paraId="57D49D02" w14:textId="77777777" w:rsidR="00000000" w:rsidRDefault="00195E73">
            <w:pPr>
              <w:rPr>
                <w:rFonts w:eastAsia="Times New Roman"/>
                <w:sz w:val="20"/>
                <w:szCs w:val="20"/>
              </w:rPr>
            </w:pPr>
          </w:p>
        </w:tc>
        <w:tc>
          <w:tcPr>
            <w:tcW w:w="0" w:type="auto"/>
            <w:vAlign w:val="center"/>
            <w:hideMark/>
          </w:tcPr>
          <w:p w14:paraId="12982887" w14:textId="77777777" w:rsidR="00000000" w:rsidRDefault="00195E73">
            <w:pPr>
              <w:rPr>
                <w:rFonts w:eastAsia="Times New Roman"/>
                <w:sz w:val="20"/>
                <w:szCs w:val="20"/>
              </w:rPr>
            </w:pPr>
          </w:p>
        </w:tc>
        <w:tc>
          <w:tcPr>
            <w:tcW w:w="0" w:type="auto"/>
            <w:vAlign w:val="center"/>
            <w:hideMark/>
          </w:tcPr>
          <w:p w14:paraId="72576B80" w14:textId="77777777" w:rsidR="00000000" w:rsidRDefault="00195E73">
            <w:pPr>
              <w:rPr>
                <w:rFonts w:eastAsia="Times New Roman"/>
                <w:sz w:val="20"/>
                <w:szCs w:val="20"/>
              </w:rPr>
            </w:pPr>
          </w:p>
        </w:tc>
        <w:tc>
          <w:tcPr>
            <w:tcW w:w="0" w:type="auto"/>
            <w:vAlign w:val="center"/>
            <w:hideMark/>
          </w:tcPr>
          <w:p w14:paraId="1EC41100" w14:textId="77777777" w:rsidR="00000000" w:rsidRDefault="00195E73">
            <w:pPr>
              <w:rPr>
                <w:rFonts w:eastAsia="Times New Roman"/>
                <w:sz w:val="20"/>
                <w:szCs w:val="20"/>
              </w:rPr>
            </w:pPr>
          </w:p>
        </w:tc>
        <w:tc>
          <w:tcPr>
            <w:tcW w:w="0" w:type="auto"/>
            <w:vAlign w:val="center"/>
            <w:hideMark/>
          </w:tcPr>
          <w:p w14:paraId="62CCFE72" w14:textId="77777777" w:rsidR="00000000" w:rsidRDefault="00195E73">
            <w:pPr>
              <w:rPr>
                <w:rFonts w:eastAsia="Times New Roman"/>
                <w:sz w:val="20"/>
                <w:szCs w:val="20"/>
              </w:rPr>
            </w:pPr>
          </w:p>
        </w:tc>
        <w:tc>
          <w:tcPr>
            <w:tcW w:w="0" w:type="auto"/>
            <w:vAlign w:val="center"/>
            <w:hideMark/>
          </w:tcPr>
          <w:p w14:paraId="6D4A4642" w14:textId="77777777" w:rsidR="00000000" w:rsidRDefault="00195E73">
            <w:pPr>
              <w:rPr>
                <w:rFonts w:eastAsia="Times New Roman"/>
                <w:sz w:val="20"/>
                <w:szCs w:val="20"/>
              </w:rPr>
            </w:pPr>
          </w:p>
        </w:tc>
        <w:tc>
          <w:tcPr>
            <w:tcW w:w="0" w:type="auto"/>
            <w:vAlign w:val="center"/>
            <w:hideMark/>
          </w:tcPr>
          <w:p w14:paraId="557652ED" w14:textId="77777777" w:rsidR="00000000" w:rsidRDefault="00195E73">
            <w:pPr>
              <w:rPr>
                <w:rFonts w:eastAsia="Times New Roman"/>
                <w:sz w:val="20"/>
                <w:szCs w:val="20"/>
              </w:rPr>
            </w:pPr>
          </w:p>
        </w:tc>
        <w:tc>
          <w:tcPr>
            <w:tcW w:w="0" w:type="auto"/>
            <w:vAlign w:val="center"/>
            <w:hideMark/>
          </w:tcPr>
          <w:p w14:paraId="37583F2A" w14:textId="77777777" w:rsidR="00000000" w:rsidRDefault="00195E73">
            <w:pPr>
              <w:rPr>
                <w:rFonts w:eastAsia="Times New Roman"/>
                <w:sz w:val="20"/>
                <w:szCs w:val="20"/>
              </w:rPr>
            </w:pPr>
          </w:p>
        </w:tc>
        <w:tc>
          <w:tcPr>
            <w:tcW w:w="0" w:type="auto"/>
            <w:vAlign w:val="center"/>
            <w:hideMark/>
          </w:tcPr>
          <w:p w14:paraId="4F7C0BC5" w14:textId="77777777" w:rsidR="00000000" w:rsidRDefault="00195E73">
            <w:pPr>
              <w:rPr>
                <w:rFonts w:eastAsia="Times New Roman"/>
                <w:sz w:val="20"/>
                <w:szCs w:val="20"/>
              </w:rPr>
            </w:pPr>
          </w:p>
        </w:tc>
        <w:tc>
          <w:tcPr>
            <w:tcW w:w="0" w:type="auto"/>
            <w:vAlign w:val="center"/>
            <w:hideMark/>
          </w:tcPr>
          <w:p w14:paraId="64DC526A" w14:textId="77777777" w:rsidR="00000000" w:rsidRDefault="00195E73">
            <w:pPr>
              <w:rPr>
                <w:rFonts w:eastAsia="Times New Roman"/>
                <w:sz w:val="20"/>
                <w:szCs w:val="20"/>
              </w:rPr>
            </w:pPr>
          </w:p>
        </w:tc>
        <w:tc>
          <w:tcPr>
            <w:tcW w:w="0" w:type="auto"/>
            <w:vAlign w:val="center"/>
            <w:hideMark/>
          </w:tcPr>
          <w:p w14:paraId="7352A224" w14:textId="77777777" w:rsidR="00000000" w:rsidRDefault="00195E73">
            <w:pPr>
              <w:rPr>
                <w:rFonts w:eastAsia="Times New Roman"/>
                <w:sz w:val="20"/>
                <w:szCs w:val="20"/>
              </w:rPr>
            </w:pPr>
          </w:p>
        </w:tc>
      </w:tr>
    </w:tbl>
    <w:p w14:paraId="18423344" w14:textId="77777777" w:rsidR="00000000" w:rsidRDefault="00195E73">
      <w:pPr>
        <w:ind w:firstLine="450"/>
        <w:divId w:val="2113281621"/>
        <w:rPr>
          <w:rFonts w:eastAsia="Times New Roman"/>
        </w:rPr>
      </w:pPr>
    </w:p>
    <w:p w14:paraId="3EB57E70" w14:textId="77777777" w:rsidR="00000000" w:rsidRDefault="00195E73">
      <w:pPr>
        <w:jc w:val="center"/>
        <w:divId w:val="640887482"/>
        <w:rPr>
          <w:rFonts w:eastAsia="Times New Roman"/>
        </w:rPr>
      </w:pPr>
      <w:r>
        <w:rPr>
          <w:rFonts w:eastAsia="Times New Roman"/>
          <w:color w:val="000000"/>
          <w:sz w:val="20"/>
          <w:szCs w:val="20"/>
        </w:rPr>
        <w:t>6</w:t>
      </w:r>
      <w:r>
        <w:rPr>
          <w:rFonts w:eastAsia="Times New Roman"/>
          <w:color w:val="000000"/>
          <w:sz w:val="20"/>
          <w:szCs w:val="20"/>
        </w:rPr>
        <w:t>8</w:t>
      </w:r>
    </w:p>
    <w:p w14:paraId="53C05425" w14:textId="77777777" w:rsidR="00000000" w:rsidRDefault="00195E73">
      <w:pPr>
        <w:rPr>
          <w:rFonts w:eastAsia="Times New Roman"/>
        </w:rPr>
      </w:pPr>
      <w:r>
        <w:rPr>
          <w:rFonts w:eastAsia="Times New Roman"/>
        </w:rPr>
        <w:pict w14:anchorId="718210F2">
          <v:rect id="_x0000_i1094" style="width:0;height:1.5pt" o:hralign="center" o:hrstd="t" o:hr="t" fillcolor="#a0a0a0" stroked="f"/>
        </w:pict>
      </w:r>
    </w:p>
    <w:p w14:paraId="1468F7E5" w14:textId="77777777" w:rsidR="00000000" w:rsidRDefault="00195E73">
      <w:pPr>
        <w:jc w:val="center"/>
        <w:divId w:val="95097938"/>
        <w:rPr>
          <w:rFonts w:eastAsia="Times New Roman"/>
        </w:rPr>
      </w:pPr>
    </w:p>
    <w:p w14:paraId="19FAC79D" w14:textId="77777777" w:rsidR="00000000" w:rsidRDefault="00195E73">
      <w:pPr>
        <w:jc w:val="center"/>
        <w:divId w:val="95097938"/>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44C88716" w14:textId="77777777" w:rsidR="00000000" w:rsidRDefault="00195E73">
      <w:pPr>
        <w:jc w:val="center"/>
        <w:divId w:val="95097938"/>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5BF3218B" w14:textId="77777777" w:rsidR="00000000" w:rsidRDefault="00195E73">
      <w:pPr>
        <w:jc w:val="center"/>
        <w:divId w:val="95097938"/>
        <w:rPr>
          <w:rFonts w:eastAsia="Times New Roman"/>
        </w:rPr>
      </w:pPr>
    </w:p>
    <w:p w14:paraId="195AC770" w14:textId="77777777" w:rsidR="00000000" w:rsidRDefault="00195E73">
      <w:pPr>
        <w:jc w:val="center"/>
        <w:divId w:val="95097938"/>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4AA1C36B" w14:textId="77777777" w:rsidR="00000000" w:rsidRDefault="00195E73">
      <w:pPr>
        <w:divId w:val="198277650"/>
        <w:rPr>
          <w:rFonts w:eastAsia="Times New Roman"/>
        </w:rPr>
      </w:pPr>
      <w:r>
        <w:rPr>
          <w:rFonts w:eastAsia="Times New Roman"/>
          <w:b/>
          <w:bCs/>
          <w:i/>
          <w:iCs/>
          <w:color w:val="000000"/>
          <w:sz w:val="20"/>
          <w:szCs w:val="20"/>
        </w:rPr>
        <w:t>Use of Estimates in Prepar</w:t>
      </w:r>
      <w:r>
        <w:rPr>
          <w:rFonts w:eastAsia="Times New Roman"/>
          <w:b/>
          <w:bCs/>
          <w:i/>
          <w:iCs/>
          <w:color w:val="000000"/>
          <w:sz w:val="20"/>
          <w:szCs w:val="20"/>
        </w:rPr>
        <w:t>ation of Financial Statement</w:t>
      </w:r>
      <w:r>
        <w:rPr>
          <w:rFonts w:eastAsia="Times New Roman"/>
          <w:b/>
          <w:bCs/>
          <w:i/>
          <w:iCs/>
          <w:color w:val="000000"/>
          <w:sz w:val="20"/>
          <w:szCs w:val="20"/>
        </w:rPr>
        <w:t>s</w:t>
      </w:r>
    </w:p>
    <w:p w14:paraId="3AD2AE66" w14:textId="77777777" w:rsidR="00000000" w:rsidRDefault="00195E73">
      <w:pPr>
        <w:ind w:firstLine="450"/>
        <w:divId w:val="609777483"/>
        <w:rPr>
          <w:rFonts w:eastAsia="Times New Roman"/>
        </w:rPr>
      </w:pPr>
      <w:r>
        <w:rPr>
          <w:rFonts w:eastAsia="Times New Roman"/>
          <w:color w:val="000000"/>
          <w:sz w:val="20"/>
          <w:szCs w:val="20"/>
        </w:rPr>
        <w:t>The preparation of the consolidated financial statements in conformity with U.S. GAAP requires management to make estimates and assumptions that affect the reported amount of assets and liabilities at the date of the financial</w:t>
      </w:r>
      <w:r>
        <w:rPr>
          <w:rFonts w:eastAsia="Times New Roman"/>
          <w:color w:val="000000"/>
          <w:sz w:val="20"/>
          <w:szCs w:val="20"/>
        </w:rPr>
        <w:t xml:space="preserve"> statements and the reported amount of revenues and expenses during the period. Due to the inherent uncertainty involved in making estimates, actual results may differ from the estimates and assumptions used in preparing the consolidated financial statemen</w:t>
      </w:r>
      <w:r>
        <w:rPr>
          <w:rFonts w:eastAsia="Times New Roman"/>
          <w:color w:val="000000"/>
          <w:sz w:val="20"/>
          <w:szCs w:val="20"/>
        </w:rPr>
        <w:t>ts</w:t>
      </w:r>
      <w:r>
        <w:rPr>
          <w:rFonts w:eastAsia="Times New Roman"/>
          <w:color w:val="000000"/>
          <w:sz w:val="20"/>
          <w:szCs w:val="20"/>
        </w:rPr>
        <w:t>.</w:t>
      </w:r>
    </w:p>
    <w:p w14:paraId="3F794051" w14:textId="77777777" w:rsidR="00000000" w:rsidRDefault="00195E73">
      <w:pPr>
        <w:divId w:val="796534453"/>
        <w:rPr>
          <w:rFonts w:eastAsia="Times New Roman"/>
        </w:rPr>
      </w:pPr>
      <w:r>
        <w:rPr>
          <w:rFonts w:eastAsia="Times New Roman"/>
          <w:b/>
          <w:bCs/>
          <w:i/>
          <w:iCs/>
          <w:color w:val="000000"/>
          <w:sz w:val="20"/>
          <w:szCs w:val="20"/>
        </w:rPr>
        <w:t>Reclassification</w:t>
      </w:r>
      <w:r>
        <w:rPr>
          <w:rFonts w:eastAsia="Times New Roman"/>
          <w:b/>
          <w:bCs/>
          <w:i/>
          <w:iCs/>
          <w:color w:val="000000"/>
          <w:sz w:val="20"/>
          <w:szCs w:val="20"/>
        </w:rPr>
        <w:t>s</w:t>
      </w:r>
    </w:p>
    <w:p w14:paraId="29A54549" w14:textId="77777777" w:rsidR="00000000" w:rsidRDefault="00195E73">
      <w:pPr>
        <w:ind w:firstLine="450"/>
        <w:divId w:val="136798714"/>
        <w:rPr>
          <w:rFonts w:eastAsia="Times New Roman"/>
        </w:rPr>
      </w:pPr>
      <w:r>
        <w:rPr>
          <w:rFonts w:eastAsia="Times New Roman"/>
          <w:color w:val="000000"/>
          <w:sz w:val="20"/>
          <w:szCs w:val="20"/>
        </w:rPr>
        <w:t>Certain reclassifications have been made from prior year presentations to conform to the current year presentation</w:t>
      </w:r>
      <w:r>
        <w:rPr>
          <w:rFonts w:eastAsia="Times New Roman"/>
          <w:color w:val="000000"/>
          <w:sz w:val="20"/>
          <w:szCs w:val="20"/>
        </w:rPr>
        <w:t>.</w:t>
      </w:r>
    </w:p>
    <w:p w14:paraId="445FBD8A" w14:textId="77777777" w:rsidR="00000000" w:rsidRDefault="00195E73">
      <w:pPr>
        <w:divId w:val="1435859443"/>
        <w:rPr>
          <w:rFonts w:eastAsia="Times New Roman"/>
        </w:rPr>
      </w:pPr>
      <w:r>
        <w:rPr>
          <w:rFonts w:eastAsia="Times New Roman"/>
          <w:b/>
          <w:bCs/>
          <w:i/>
          <w:iCs/>
          <w:color w:val="000000"/>
          <w:sz w:val="20"/>
          <w:szCs w:val="20"/>
        </w:rPr>
        <w:t>Consolidated Variable Interest Entitie</w:t>
      </w:r>
      <w:r>
        <w:rPr>
          <w:rFonts w:eastAsia="Times New Roman"/>
          <w:b/>
          <w:bCs/>
          <w:i/>
          <w:iCs/>
          <w:color w:val="000000"/>
          <w:sz w:val="20"/>
          <w:szCs w:val="20"/>
        </w:rPr>
        <w:t>s</w:t>
      </w:r>
    </w:p>
    <w:p w14:paraId="27F71D91" w14:textId="77777777" w:rsidR="00000000" w:rsidRDefault="00195E73">
      <w:pPr>
        <w:ind w:firstLine="450"/>
        <w:divId w:val="450976526"/>
        <w:rPr>
          <w:rFonts w:eastAsia="Times New Roman"/>
        </w:rPr>
      </w:pPr>
      <w:r>
        <w:rPr>
          <w:rFonts w:eastAsia="Times New Roman"/>
          <w:color w:val="000000"/>
          <w:sz w:val="20"/>
          <w:szCs w:val="20"/>
          <w:shd w:val="clear" w:color="auto" w:fill="FFFFFF"/>
        </w:rPr>
        <w:t>The following is a discussion of variable interest entities in which we are de</w:t>
      </w:r>
      <w:r>
        <w:rPr>
          <w:rFonts w:eastAsia="Times New Roman"/>
          <w:color w:val="000000"/>
          <w:sz w:val="20"/>
          <w:szCs w:val="20"/>
          <w:shd w:val="clear" w:color="auto" w:fill="FFFFFF"/>
        </w:rPr>
        <w:t>emed to be the primary beneficiary and in which we therefore consolidate. In addition, as discussed in Note 3, “Related Party Transactions,” we have a variable interest in an entity in which we are not the primary beneficiary and therefore we do not consol</w:t>
      </w:r>
      <w:r>
        <w:rPr>
          <w:rFonts w:eastAsia="Times New Roman"/>
          <w:color w:val="000000"/>
          <w:sz w:val="20"/>
          <w:szCs w:val="20"/>
          <w:shd w:val="clear" w:color="auto" w:fill="FFFFFF"/>
        </w:rPr>
        <w:t xml:space="preserve">idate. </w:t>
      </w:r>
    </w:p>
    <w:p w14:paraId="4E3613A0" w14:textId="77777777" w:rsidR="00000000" w:rsidRDefault="00195E73">
      <w:pPr>
        <w:divId w:val="1137726378"/>
        <w:rPr>
          <w:rFonts w:eastAsia="Times New Roman"/>
        </w:rPr>
      </w:pPr>
      <w:r>
        <w:rPr>
          <w:rFonts w:eastAsia="Times New Roman"/>
          <w:i/>
          <w:iCs/>
          <w:color w:val="000000"/>
          <w:sz w:val="20"/>
          <w:szCs w:val="20"/>
          <w:shd w:val="clear" w:color="auto" w:fill="FFFFFF"/>
        </w:rPr>
        <w:t>Icahn Enterprises Holdings</w:t>
      </w:r>
    </w:p>
    <w:p w14:paraId="0B9BB3B3" w14:textId="77777777" w:rsidR="00000000" w:rsidRDefault="00195E73">
      <w:pPr>
        <w:ind w:firstLine="450"/>
        <w:divId w:val="1137801698"/>
        <w:rPr>
          <w:rFonts w:eastAsia="Times New Roman"/>
        </w:rPr>
      </w:pPr>
      <w:r>
        <w:rPr>
          <w:rFonts w:eastAsia="Times New Roman"/>
          <w:color w:val="000000"/>
          <w:sz w:val="20"/>
          <w:szCs w:val="20"/>
        </w:rPr>
        <w:t>W</w:t>
      </w:r>
      <w:r>
        <w:rPr>
          <w:rFonts w:eastAsia="Times New Roman"/>
          <w:color w:val="000000"/>
          <w:sz w:val="20"/>
          <w:szCs w:val="20"/>
        </w:rPr>
        <w:t>e</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determined that Icahn Enterprises Holdings is a VIE because it is a limited partnership that lacks both substantive kick-out and participating rights. Although Icahn Enterprises is not the general partner of Icahn Enterprises Holdings, Icahn Enterprises is</w:t>
      </w:r>
      <w:r>
        <w:rPr>
          <w:rFonts w:eastAsia="Times New Roman"/>
          <w:color w:val="000000"/>
          <w:sz w:val="20"/>
          <w:szCs w:val="20"/>
          <w:shd w:val="clear" w:color="auto" w:fill="FFFFFF"/>
        </w:rPr>
        <w:t xml:space="preserve"> deemed to be the primary beneficiary of Icahn Enterprises Holdings principally based on its 99% limited partner interest in Icahn Enterprises</w:t>
      </w:r>
      <w:r>
        <w:rPr>
          <w:rFonts w:eastAsia="Times New Roman"/>
          <w:color w:val="000000"/>
          <w:sz w:val="20"/>
          <w:szCs w:val="20"/>
          <w:shd w:val="clear" w:color="auto" w:fill="FFFFFF"/>
        </w:rPr>
        <w:t xml:space="preserve"> </w:t>
      </w:r>
      <w:r>
        <w:rPr>
          <w:rFonts w:eastAsia="Times New Roman"/>
          <w:color w:val="000000"/>
          <w:sz w:val="20"/>
          <w:szCs w:val="20"/>
        </w:rPr>
        <w:t>Holdings, as well as our related party relationship with the general partner, and therefore continues to consolid</w:t>
      </w:r>
      <w:r>
        <w:rPr>
          <w:rFonts w:eastAsia="Times New Roman"/>
          <w:color w:val="000000"/>
          <w:sz w:val="20"/>
          <w:szCs w:val="20"/>
        </w:rPr>
        <w:t>ate Icahn Enterprises Holdings. The consolidated financial statements of Icahn Enterprises Holdings are included in this Report. The balances with respect to Icahn Enterprises Holdings’ consolidated VIEs are discussed below, comprising the Investment Funds</w:t>
      </w:r>
      <w:r>
        <w:rPr>
          <w:rFonts w:eastAsia="Times New Roman"/>
          <w:color w:val="000000"/>
          <w:sz w:val="20"/>
          <w:szCs w:val="20"/>
        </w:rPr>
        <w:t>, CVR Refining (prior to January 2019), CVR Partners</w:t>
      </w:r>
      <w:r>
        <w:rPr>
          <w:rFonts w:eastAsia="Times New Roman"/>
          <w:color w:val="000000"/>
          <w:sz w:val="20"/>
          <w:szCs w:val="20"/>
        </w:rPr>
        <w:t xml:space="preserve"> </w:t>
      </w:r>
      <w:r>
        <w:rPr>
          <w:rFonts w:eastAsia="Times New Roman"/>
          <w:color w:val="000000"/>
          <w:sz w:val="20"/>
          <w:szCs w:val="20"/>
          <w:shd w:val="clear" w:color="auto" w:fill="FFFFFF"/>
        </w:rPr>
        <w:t>and Viskase’s joint venture.</w:t>
      </w:r>
    </w:p>
    <w:p w14:paraId="6F4993F2" w14:textId="77777777" w:rsidR="00000000" w:rsidRDefault="00195E73">
      <w:pPr>
        <w:divId w:val="2023126715"/>
        <w:rPr>
          <w:rFonts w:eastAsia="Times New Roman"/>
        </w:rPr>
      </w:pPr>
      <w:r>
        <w:rPr>
          <w:rFonts w:eastAsia="Times New Roman"/>
          <w:i/>
          <w:iCs/>
          <w:color w:val="000000"/>
          <w:sz w:val="20"/>
          <w:szCs w:val="20"/>
          <w:shd w:val="clear" w:color="auto" w:fill="FFFFFF"/>
        </w:rPr>
        <w:t>Investment</w:t>
      </w:r>
    </w:p>
    <w:p w14:paraId="74BD9469" w14:textId="77777777" w:rsidR="00000000" w:rsidRDefault="00195E73">
      <w:pPr>
        <w:ind w:firstLine="450"/>
        <w:divId w:val="183833536"/>
        <w:rPr>
          <w:rFonts w:eastAsia="Times New Roman"/>
        </w:rPr>
      </w:pPr>
      <w:r>
        <w:rPr>
          <w:rFonts w:eastAsia="Times New Roman"/>
          <w:color w:val="000000"/>
          <w:sz w:val="20"/>
          <w:szCs w:val="20"/>
        </w:rPr>
        <w:t>We determined that each of the Investment Funds are considered VIEs because these limited partnerships lack both substantive kick-out and participating rights. Bec</w:t>
      </w:r>
      <w:r>
        <w:rPr>
          <w:rFonts w:eastAsia="Times New Roman"/>
          <w:color w:val="000000"/>
          <w:sz w:val="20"/>
          <w:szCs w:val="20"/>
        </w:rPr>
        <w:t>ause we have a general partner interest in each of the Investment Funds and have significant limited partner interests in each of the Investment Funds, coupled with our significant exposure to losses and benefits in each of the Investment Funds, we are the</w:t>
      </w:r>
      <w:r>
        <w:rPr>
          <w:rFonts w:eastAsia="Times New Roman"/>
          <w:color w:val="000000"/>
          <w:sz w:val="20"/>
          <w:szCs w:val="20"/>
        </w:rPr>
        <w:t xml:space="preserve"> primary beneficiary of each of the Investment Funds and therefore continue to consolidate each of the Investment Funds.</w:t>
      </w:r>
      <w:r>
        <w:rPr>
          <w:rFonts w:eastAsia="Times New Roman"/>
          <w:color w:val="000000"/>
          <w:sz w:val="20"/>
          <w:szCs w:val="20"/>
        </w:rPr>
        <w:t xml:space="preserve"> </w:t>
      </w:r>
    </w:p>
    <w:p w14:paraId="27F376C2" w14:textId="77777777" w:rsidR="00000000" w:rsidRDefault="00195E73">
      <w:pPr>
        <w:divId w:val="890265052"/>
        <w:rPr>
          <w:rFonts w:eastAsia="Times New Roman"/>
        </w:rPr>
      </w:pPr>
      <w:r>
        <w:rPr>
          <w:rFonts w:eastAsia="Times New Roman"/>
          <w:i/>
          <w:iCs/>
          <w:color w:val="000000"/>
          <w:sz w:val="20"/>
          <w:szCs w:val="20"/>
          <w:shd w:val="clear" w:color="auto" w:fill="FFFFFF"/>
        </w:rPr>
        <w:t>Energy</w:t>
      </w:r>
    </w:p>
    <w:p w14:paraId="421FB8A2" w14:textId="77777777" w:rsidR="00000000" w:rsidRDefault="00195E73">
      <w:pPr>
        <w:ind w:firstLine="450"/>
        <w:divId w:val="1914849740"/>
        <w:rPr>
          <w:rFonts w:eastAsia="Times New Roman"/>
        </w:rPr>
      </w:pPr>
      <w:r>
        <w:rPr>
          <w:rFonts w:eastAsia="Times New Roman"/>
          <w:color w:val="000000"/>
          <w:sz w:val="20"/>
          <w:szCs w:val="20"/>
        </w:rPr>
        <w:t xml:space="preserve">CVR Refining (prior to January 2019) and CVR Partners are each considered VIEs because each of these limited partnerships lack </w:t>
      </w:r>
      <w:r>
        <w:rPr>
          <w:rFonts w:eastAsia="Times New Roman"/>
          <w:color w:val="000000"/>
          <w:sz w:val="20"/>
          <w:szCs w:val="20"/>
        </w:rPr>
        <w:t>both substantive kick-out and participating rights. In addition, CVR Energy also concluded that, based upon its general partner’s roles and rights in CVR Refining and CVR Partners as afforded by their respective partnership agreements, coupled with its exp</w:t>
      </w:r>
      <w:r>
        <w:rPr>
          <w:rFonts w:eastAsia="Times New Roman"/>
          <w:color w:val="000000"/>
          <w:sz w:val="20"/>
          <w:szCs w:val="20"/>
        </w:rPr>
        <w:t xml:space="preserve">osure to losses and benefits in each of CVR Refining and CVR Partners through its significant limited partner interests, intercompany credit facilities and services agreements, it is the primary beneficiary of both CVR Refining (prior to January 2019) and </w:t>
      </w:r>
      <w:r>
        <w:rPr>
          <w:rFonts w:eastAsia="Times New Roman"/>
          <w:color w:val="000000"/>
          <w:sz w:val="20"/>
          <w:szCs w:val="20"/>
        </w:rPr>
        <w:t>CVR Partners. Beginning in January 2019, CVR Refining is no longer considered a VIE as it is a wholly-owned subsidiary of CVR Energy</w:t>
      </w:r>
      <w:r>
        <w:rPr>
          <w:rFonts w:eastAsia="Times New Roman"/>
          <w:color w:val="000000"/>
          <w:sz w:val="20"/>
          <w:szCs w:val="20"/>
        </w:rPr>
        <w:t>.</w:t>
      </w:r>
    </w:p>
    <w:p w14:paraId="55FAF59E" w14:textId="77777777" w:rsidR="00000000" w:rsidRDefault="00195E73">
      <w:pPr>
        <w:divId w:val="1111172156"/>
        <w:rPr>
          <w:rFonts w:eastAsia="Times New Roman"/>
        </w:rPr>
      </w:pPr>
      <w:r>
        <w:rPr>
          <w:rFonts w:eastAsia="Times New Roman"/>
          <w:i/>
          <w:iCs/>
          <w:color w:val="000000"/>
          <w:sz w:val="20"/>
          <w:szCs w:val="20"/>
        </w:rPr>
        <w:t>Food Packagin</w:t>
      </w:r>
      <w:r>
        <w:rPr>
          <w:rFonts w:eastAsia="Times New Roman"/>
          <w:i/>
          <w:iCs/>
          <w:color w:val="000000"/>
          <w:sz w:val="20"/>
          <w:szCs w:val="20"/>
        </w:rPr>
        <w:t>g</w:t>
      </w:r>
    </w:p>
    <w:p w14:paraId="17AD9547" w14:textId="77777777" w:rsidR="00000000" w:rsidRDefault="00195E73">
      <w:pPr>
        <w:ind w:firstLine="450"/>
        <w:divId w:val="340475969"/>
        <w:rPr>
          <w:rFonts w:eastAsia="Times New Roman"/>
        </w:rPr>
      </w:pPr>
      <w:r>
        <w:rPr>
          <w:rFonts w:eastAsia="Times New Roman"/>
          <w:color w:val="000000"/>
          <w:sz w:val="20"/>
          <w:szCs w:val="20"/>
        </w:rPr>
        <w:t>Viskase holds a variable interest in a joint venture for which Viskase is the primary beneficiary. Viskase’</w:t>
      </w:r>
      <w:r>
        <w:rPr>
          <w:rFonts w:eastAsia="Times New Roman"/>
          <w:color w:val="000000"/>
          <w:sz w:val="20"/>
          <w:szCs w:val="20"/>
        </w:rPr>
        <w:t>s interest in the joint venture includes a 50% equity interest and also relates to the sales, operations, administrative and financial support to the joint venture through providing many of the assets used in its business.</w:t>
      </w:r>
      <w:r>
        <w:rPr>
          <w:rFonts w:eastAsia="Times New Roman"/>
          <w:color w:val="000000"/>
          <w:sz w:val="20"/>
          <w:szCs w:val="20"/>
        </w:rPr>
        <w:t xml:space="preserve"> </w:t>
      </w:r>
    </w:p>
    <w:p w14:paraId="79448753" w14:textId="77777777" w:rsidR="00000000" w:rsidRDefault="00195E73">
      <w:pPr>
        <w:ind w:firstLine="450"/>
        <w:divId w:val="640112642"/>
        <w:rPr>
          <w:rFonts w:eastAsia="Times New Roman"/>
        </w:rPr>
      </w:pPr>
    </w:p>
    <w:p w14:paraId="550886BE" w14:textId="77777777" w:rsidR="00000000" w:rsidRDefault="00195E73">
      <w:pPr>
        <w:jc w:val="center"/>
        <w:divId w:val="1752115093"/>
        <w:rPr>
          <w:rFonts w:eastAsia="Times New Roman"/>
        </w:rPr>
      </w:pPr>
      <w:r>
        <w:rPr>
          <w:rFonts w:eastAsia="Times New Roman"/>
          <w:color w:val="000000"/>
          <w:sz w:val="20"/>
          <w:szCs w:val="20"/>
        </w:rPr>
        <w:t>6</w:t>
      </w:r>
      <w:r>
        <w:rPr>
          <w:rFonts w:eastAsia="Times New Roman"/>
          <w:color w:val="000000"/>
          <w:sz w:val="20"/>
          <w:szCs w:val="20"/>
        </w:rPr>
        <w:t>9</w:t>
      </w:r>
    </w:p>
    <w:p w14:paraId="43261026" w14:textId="77777777" w:rsidR="00000000" w:rsidRDefault="00195E73">
      <w:pPr>
        <w:rPr>
          <w:rFonts w:eastAsia="Times New Roman"/>
        </w:rPr>
      </w:pPr>
      <w:r>
        <w:rPr>
          <w:rFonts w:eastAsia="Times New Roman"/>
        </w:rPr>
        <w:pict w14:anchorId="25D1117F">
          <v:rect id="_x0000_i1095" style="width:0;height:1.5pt" o:hralign="center" o:hrstd="t" o:hr="t" fillcolor="#a0a0a0" stroked="f"/>
        </w:pict>
      </w:r>
    </w:p>
    <w:p w14:paraId="26465594" w14:textId="77777777" w:rsidR="00000000" w:rsidRDefault="00195E73">
      <w:pPr>
        <w:jc w:val="center"/>
        <w:divId w:val="1746299383"/>
        <w:rPr>
          <w:rFonts w:eastAsia="Times New Roman"/>
        </w:rPr>
      </w:pPr>
    </w:p>
    <w:p w14:paraId="734DC516" w14:textId="77777777" w:rsidR="00000000" w:rsidRDefault="00195E73">
      <w:pPr>
        <w:jc w:val="center"/>
        <w:divId w:val="1746299383"/>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098ED149" w14:textId="77777777" w:rsidR="00000000" w:rsidRDefault="00195E73">
      <w:pPr>
        <w:jc w:val="center"/>
        <w:divId w:val="1746299383"/>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46FF8D66" w14:textId="77777777" w:rsidR="00000000" w:rsidRDefault="00195E73">
      <w:pPr>
        <w:jc w:val="center"/>
        <w:divId w:val="1746299383"/>
        <w:rPr>
          <w:rFonts w:eastAsia="Times New Roman"/>
        </w:rPr>
      </w:pPr>
    </w:p>
    <w:p w14:paraId="54E05E84" w14:textId="77777777" w:rsidR="00000000" w:rsidRDefault="00195E73">
      <w:pPr>
        <w:jc w:val="center"/>
        <w:divId w:val="1746299383"/>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3E96CD56" w14:textId="77777777" w:rsidR="00000000" w:rsidRDefault="00195E73">
      <w:pPr>
        <w:ind w:firstLine="450"/>
        <w:divId w:val="1277323828"/>
        <w:rPr>
          <w:rFonts w:eastAsia="Times New Roman"/>
        </w:rPr>
      </w:pPr>
      <w:r>
        <w:rPr>
          <w:rFonts w:eastAsia="Times New Roman"/>
          <w:color w:val="000000"/>
          <w:sz w:val="20"/>
          <w:szCs w:val="20"/>
        </w:rPr>
        <w:t>The following table includes balances of assets and liabilities of VIE’s included in</w:t>
      </w:r>
      <w:r>
        <w:rPr>
          <w:rFonts w:eastAsia="Times New Roman"/>
          <w:color w:val="000000"/>
          <w:sz w:val="20"/>
          <w:szCs w:val="20"/>
        </w:rPr>
        <w:t xml:space="preserve"> Icahn Enterprises Holdings’ consolidated balance sheets</w:t>
      </w:r>
      <w:r>
        <w:rPr>
          <w:rFonts w:eastAsia="Times New Roman"/>
          <w:color w:val="000000"/>
          <w:sz w:val="20"/>
          <w:szCs w:val="20"/>
        </w:rPr>
        <w:t>.</w:t>
      </w:r>
    </w:p>
    <w:tbl>
      <w:tblPr>
        <w:tblW w:w="4912" w:type="pct"/>
        <w:tblCellMar>
          <w:top w:w="15" w:type="dxa"/>
          <w:left w:w="15" w:type="dxa"/>
          <w:bottom w:w="15" w:type="dxa"/>
          <w:right w:w="15" w:type="dxa"/>
        </w:tblCellMar>
        <w:tblLook w:val="04A0" w:firstRow="1" w:lastRow="0" w:firstColumn="1" w:lastColumn="0" w:noHBand="0" w:noVBand="1"/>
      </w:tblPr>
      <w:tblGrid>
        <w:gridCol w:w="49"/>
        <w:gridCol w:w="5521"/>
        <w:gridCol w:w="50"/>
        <w:gridCol w:w="136"/>
        <w:gridCol w:w="899"/>
        <w:gridCol w:w="85"/>
        <w:gridCol w:w="36"/>
        <w:gridCol w:w="36"/>
        <w:gridCol w:w="36"/>
        <w:gridCol w:w="136"/>
        <w:gridCol w:w="875"/>
        <w:gridCol w:w="85"/>
        <w:gridCol w:w="36"/>
        <w:gridCol w:w="36"/>
        <w:gridCol w:w="36"/>
        <w:gridCol w:w="36"/>
        <w:gridCol w:w="36"/>
        <w:gridCol w:w="36"/>
      </w:tblGrid>
      <w:tr w:rsidR="00000000" w14:paraId="33776756" w14:textId="77777777">
        <w:trPr>
          <w:gridAfter w:val="6"/>
          <w:divId w:val="294718749"/>
        </w:trPr>
        <w:tc>
          <w:tcPr>
            <w:tcW w:w="50" w:type="pct"/>
            <w:vAlign w:val="center"/>
            <w:hideMark/>
          </w:tcPr>
          <w:p w14:paraId="3A503ED9" w14:textId="77777777" w:rsidR="00000000" w:rsidRDefault="00195E73">
            <w:pPr>
              <w:ind w:firstLine="450"/>
              <w:rPr>
                <w:rFonts w:eastAsia="Times New Roman"/>
              </w:rPr>
            </w:pPr>
          </w:p>
        </w:tc>
        <w:tc>
          <w:tcPr>
            <w:tcW w:w="3493" w:type="pct"/>
            <w:vAlign w:val="center"/>
            <w:hideMark/>
          </w:tcPr>
          <w:p w14:paraId="3387E62C" w14:textId="77777777" w:rsidR="00000000" w:rsidRDefault="00195E73">
            <w:pPr>
              <w:rPr>
                <w:rFonts w:eastAsia="Times New Roman"/>
                <w:sz w:val="20"/>
                <w:szCs w:val="20"/>
              </w:rPr>
            </w:pPr>
          </w:p>
        </w:tc>
        <w:tc>
          <w:tcPr>
            <w:tcW w:w="50" w:type="pct"/>
            <w:vAlign w:val="center"/>
            <w:hideMark/>
          </w:tcPr>
          <w:p w14:paraId="7F95E991" w14:textId="77777777" w:rsidR="00000000" w:rsidRDefault="00195E73">
            <w:pPr>
              <w:rPr>
                <w:rFonts w:eastAsia="Times New Roman"/>
                <w:sz w:val="20"/>
                <w:szCs w:val="20"/>
              </w:rPr>
            </w:pPr>
          </w:p>
        </w:tc>
        <w:tc>
          <w:tcPr>
            <w:tcW w:w="50" w:type="pct"/>
            <w:vAlign w:val="center"/>
            <w:hideMark/>
          </w:tcPr>
          <w:p w14:paraId="352E59BC" w14:textId="77777777" w:rsidR="00000000" w:rsidRDefault="00195E73">
            <w:pPr>
              <w:rPr>
                <w:rFonts w:eastAsia="Times New Roman"/>
                <w:sz w:val="20"/>
                <w:szCs w:val="20"/>
              </w:rPr>
            </w:pPr>
          </w:p>
        </w:tc>
        <w:tc>
          <w:tcPr>
            <w:tcW w:w="584" w:type="pct"/>
            <w:vAlign w:val="center"/>
            <w:hideMark/>
          </w:tcPr>
          <w:p w14:paraId="4E355717" w14:textId="77777777" w:rsidR="00000000" w:rsidRDefault="00195E73">
            <w:pPr>
              <w:rPr>
                <w:rFonts w:eastAsia="Times New Roman"/>
                <w:sz w:val="20"/>
                <w:szCs w:val="20"/>
              </w:rPr>
            </w:pPr>
          </w:p>
        </w:tc>
        <w:tc>
          <w:tcPr>
            <w:tcW w:w="50" w:type="pct"/>
            <w:vAlign w:val="center"/>
            <w:hideMark/>
          </w:tcPr>
          <w:p w14:paraId="6F5AE65E" w14:textId="77777777" w:rsidR="00000000" w:rsidRDefault="00195E73">
            <w:pPr>
              <w:rPr>
                <w:rFonts w:eastAsia="Times New Roman"/>
                <w:sz w:val="20"/>
                <w:szCs w:val="20"/>
              </w:rPr>
            </w:pPr>
          </w:p>
        </w:tc>
        <w:tc>
          <w:tcPr>
            <w:tcW w:w="5" w:type="pct"/>
            <w:vAlign w:val="center"/>
            <w:hideMark/>
          </w:tcPr>
          <w:p w14:paraId="0D449C43" w14:textId="77777777" w:rsidR="00000000" w:rsidRDefault="00195E73">
            <w:pPr>
              <w:rPr>
                <w:rFonts w:eastAsia="Times New Roman"/>
                <w:sz w:val="20"/>
                <w:szCs w:val="20"/>
              </w:rPr>
            </w:pPr>
          </w:p>
        </w:tc>
        <w:tc>
          <w:tcPr>
            <w:tcW w:w="27" w:type="pct"/>
            <w:vAlign w:val="center"/>
            <w:hideMark/>
          </w:tcPr>
          <w:p w14:paraId="1C2B7069" w14:textId="77777777" w:rsidR="00000000" w:rsidRDefault="00195E73">
            <w:pPr>
              <w:rPr>
                <w:rFonts w:eastAsia="Times New Roman"/>
                <w:sz w:val="20"/>
                <w:szCs w:val="20"/>
              </w:rPr>
            </w:pPr>
          </w:p>
        </w:tc>
        <w:tc>
          <w:tcPr>
            <w:tcW w:w="5" w:type="pct"/>
            <w:vAlign w:val="center"/>
            <w:hideMark/>
          </w:tcPr>
          <w:p w14:paraId="49843D37" w14:textId="77777777" w:rsidR="00000000" w:rsidRDefault="00195E73">
            <w:pPr>
              <w:rPr>
                <w:rFonts w:eastAsia="Times New Roman"/>
                <w:sz w:val="20"/>
                <w:szCs w:val="20"/>
              </w:rPr>
            </w:pPr>
          </w:p>
        </w:tc>
        <w:tc>
          <w:tcPr>
            <w:tcW w:w="50" w:type="pct"/>
            <w:vAlign w:val="center"/>
            <w:hideMark/>
          </w:tcPr>
          <w:p w14:paraId="712D5559" w14:textId="77777777" w:rsidR="00000000" w:rsidRDefault="00195E73">
            <w:pPr>
              <w:rPr>
                <w:rFonts w:eastAsia="Times New Roman"/>
                <w:sz w:val="20"/>
                <w:szCs w:val="20"/>
              </w:rPr>
            </w:pPr>
          </w:p>
        </w:tc>
        <w:tc>
          <w:tcPr>
            <w:tcW w:w="584" w:type="pct"/>
            <w:vAlign w:val="center"/>
            <w:hideMark/>
          </w:tcPr>
          <w:p w14:paraId="73302686" w14:textId="77777777" w:rsidR="00000000" w:rsidRDefault="00195E73">
            <w:pPr>
              <w:rPr>
                <w:rFonts w:eastAsia="Times New Roman"/>
                <w:sz w:val="20"/>
                <w:szCs w:val="20"/>
              </w:rPr>
            </w:pPr>
          </w:p>
        </w:tc>
        <w:tc>
          <w:tcPr>
            <w:tcW w:w="50" w:type="pct"/>
            <w:vAlign w:val="center"/>
            <w:hideMark/>
          </w:tcPr>
          <w:p w14:paraId="1942D1CD" w14:textId="77777777" w:rsidR="00000000" w:rsidRDefault="00195E73">
            <w:pPr>
              <w:rPr>
                <w:rFonts w:eastAsia="Times New Roman"/>
                <w:sz w:val="20"/>
                <w:szCs w:val="20"/>
              </w:rPr>
            </w:pPr>
          </w:p>
        </w:tc>
      </w:tr>
      <w:tr w:rsidR="00000000" w14:paraId="1D07F002" w14:textId="77777777">
        <w:trPr>
          <w:divId w:val="294718749"/>
        </w:trPr>
        <w:tc>
          <w:tcPr>
            <w:tcW w:w="0" w:type="auto"/>
            <w:gridSpan w:val="3"/>
            <w:tcMar>
              <w:top w:w="15" w:type="dxa"/>
              <w:left w:w="20" w:type="dxa"/>
              <w:bottom w:w="15" w:type="dxa"/>
              <w:right w:w="20" w:type="dxa"/>
            </w:tcMar>
            <w:vAlign w:val="bottom"/>
            <w:hideMark/>
          </w:tcPr>
          <w:p w14:paraId="06C41B1F"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2C5135AD"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4284F747" w14:textId="77777777" w:rsidR="00000000" w:rsidRDefault="00195E73">
            <w:pPr>
              <w:jc w:val="center"/>
              <w:rPr>
                <w:rFonts w:eastAsia="Times New Roman"/>
              </w:rPr>
            </w:pPr>
          </w:p>
        </w:tc>
        <w:tc>
          <w:tcPr>
            <w:tcW w:w="0" w:type="auto"/>
            <w:gridSpan w:val="3"/>
            <w:vAlign w:val="center"/>
            <w:hideMark/>
          </w:tcPr>
          <w:p w14:paraId="020F38F0" w14:textId="77777777" w:rsidR="00000000" w:rsidRDefault="00195E73">
            <w:pPr>
              <w:rPr>
                <w:rFonts w:eastAsia="Times New Roman"/>
                <w:sz w:val="20"/>
                <w:szCs w:val="20"/>
              </w:rPr>
            </w:pPr>
          </w:p>
        </w:tc>
      </w:tr>
      <w:tr w:rsidR="00000000" w14:paraId="0CF311E0" w14:textId="77777777">
        <w:trPr>
          <w:divId w:val="294718749"/>
        </w:trPr>
        <w:tc>
          <w:tcPr>
            <w:tcW w:w="0" w:type="auto"/>
            <w:gridSpan w:val="3"/>
            <w:tcMar>
              <w:top w:w="15" w:type="dxa"/>
              <w:left w:w="20" w:type="dxa"/>
              <w:bottom w:w="15" w:type="dxa"/>
              <w:right w:w="20" w:type="dxa"/>
            </w:tcMar>
            <w:vAlign w:val="bottom"/>
            <w:hideMark/>
          </w:tcPr>
          <w:p w14:paraId="548F45A2"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76F3E95"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21C08EB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30630A"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22545EEF" w14:textId="77777777" w:rsidR="00000000" w:rsidRDefault="00195E73">
            <w:pPr>
              <w:rPr>
                <w:rFonts w:eastAsia="Times New Roman"/>
                <w:sz w:val="20"/>
                <w:szCs w:val="20"/>
              </w:rPr>
            </w:pPr>
          </w:p>
        </w:tc>
        <w:tc>
          <w:tcPr>
            <w:tcW w:w="0" w:type="auto"/>
            <w:vAlign w:val="center"/>
            <w:hideMark/>
          </w:tcPr>
          <w:p w14:paraId="19CACAAC" w14:textId="77777777" w:rsidR="00000000" w:rsidRDefault="00195E73">
            <w:pPr>
              <w:rPr>
                <w:rFonts w:eastAsia="Times New Roman"/>
                <w:sz w:val="20"/>
                <w:szCs w:val="20"/>
              </w:rPr>
            </w:pPr>
          </w:p>
        </w:tc>
        <w:tc>
          <w:tcPr>
            <w:tcW w:w="0" w:type="auto"/>
            <w:vAlign w:val="center"/>
            <w:hideMark/>
          </w:tcPr>
          <w:p w14:paraId="13CDE5C7" w14:textId="77777777" w:rsidR="00000000" w:rsidRDefault="00195E73">
            <w:pPr>
              <w:rPr>
                <w:rFonts w:eastAsia="Times New Roman"/>
                <w:sz w:val="20"/>
                <w:szCs w:val="20"/>
              </w:rPr>
            </w:pPr>
          </w:p>
        </w:tc>
        <w:tc>
          <w:tcPr>
            <w:tcW w:w="0" w:type="auto"/>
            <w:vAlign w:val="center"/>
            <w:hideMark/>
          </w:tcPr>
          <w:p w14:paraId="5CF4CD19" w14:textId="77777777" w:rsidR="00000000" w:rsidRDefault="00195E73">
            <w:pPr>
              <w:rPr>
                <w:rFonts w:eastAsia="Times New Roman"/>
                <w:sz w:val="20"/>
                <w:szCs w:val="20"/>
              </w:rPr>
            </w:pPr>
          </w:p>
        </w:tc>
        <w:tc>
          <w:tcPr>
            <w:tcW w:w="0" w:type="auto"/>
            <w:vAlign w:val="center"/>
            <w:hideMark/>
          </w:tcPr>
          <w:p w14:paraId="366D0EB3" w14:textId="77777777" w:rsidR="00000000" w:rsidRDefault="00195E73">
            <w:pPr>
              <w:rPr>
                <w:rFonts w:eastAsia="Times New Roman"/>
                <w:sz w:val="20"/>
                <w:szCs w:val="20"/>
              </w:rPr>
            </w:pPr>
          </w:p>
        </w:tc>
        <w:tc>
          <w:tcPr>
            <w:tcW w:w="0" w:type="auto"/>
            <w:vAlign w:val="center"/>
            <w:hideMark/>
          </w:tcPr>
          <w:p w14:paraId="10D9C1F8" w14:textId="77777777" w:rsidR="00000000" w:rsidRDefault="00195E73">
            <w:pPr>
              <w:rPr>
                <w:rFonts w:eastAsia="Times New Roman"/>
                <w:sz w:val="20"/>
                <w:szCs w:val="20"/>
              </w:rPr>
            </w:pPr>
          </w:p>
        </w:tc>
      </w:tr>
      <w:tr w:rsidR="00000000" w14:paraId="1FC86E13" w14:textId="77777777">
        <w:trPr>
          <w:divId w:val="294718749"/>
        </w:trPr>
        <w:tc>
          <w:tcPr>
            <w:tcW w:w="0" w:type="auto"/>
            <w:gridSpan w:val="3"/>
            <w:tcMar>
              <w:top w:w="15" w:type="dxa"/>
              <w:left w:w="20" w:type="dxa"/>
              <w:bottom w:w="15" w:type="dxa"/>
              <w:right w:w="20" w:type="dxa"/>
            </w:tcMar>
            <w:vAlign w:val="bottom"/>
            <w:hideMark/>
          </w:tcPr>
          <w:p w14:paraId="64017C7D"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811B781"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4AB99F83" w14:textId="77777777" w:rsidR="00000000" w:rsidRDefault="00195E73">
            <w:pPr>
              <w:jc w:val="center"/>
              <w:rPr>
                <w:rFonts w:eastAsia="Times New Roman"/>
              </w:rPr>
            </w:pPr>
          </w:p>
        </w:tc>
        <w:tc>
          <w:tcPr>
            <w:tcW w:w="0" w:type="auto"/>
            <w:gridSpan w:val="3"/>
            <w:vAlign w:val="center"/>
            <w:hideMark/>
          </w:tcPr>
          <w:p w14:paraId="4E2941A6" w14:textId="77777777" w:rsidR="00000000" w:rsidRDefault="00195E73">
            <w:pPr>
              <w:rPr>
                <w:rFonts w:eastAsia="Times New Roman"/>
                <w:sz w:val="20"/>
                <w:szCs w:val="20"/>
              </w:rPr>
            </w:pPr>
          </w:p>
        </w:tc>
      </w:tr>
      <w:tr w:rsidR="00000000" w14:paraId="7AA8F333" w14:textId="77777777">
        <w:trPr>
          <w:divId w:val="294718749"/>
        </w:trPr>
        <w:tc>
          <w:tcPr>
            <w:tcW w:w="0" w:type="auto"/>
            <w:gridSpan w:val="3"/>
            <w:shd w:val="clear" w:color="auto" w:fill="CCEEFF"/>
            <w:tcMar>
              <w:top w:w="30" w:type="dxa"/>
              <w:left w:w="20" w:type="dxa"/>
              <w:bottom w:w="30" w:type="dxa"/>
              <w:right w:w="20" w:type="dxa"/>
            </w:tcMar>
            <w:vAlign w:val="bottom"/>
            <w:hideMark/>
          </w:tcPr>
          <w:p w14:paraId="6733908A" w14:textId="77777777" w:rsidR="00000000" w:rsidRDefault="00195E73">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403CDC7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9E2B55E" w14:textId="77777777" w:rsidR="00000000" w:rsidRDefault="00195E73">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954C5D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35C7B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E3B29F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EC6DACC" w14:textId="77777777" w:rsidR="00000000" w:rsidRDefault="00195E73">
            <w:pPr>
              <w:jc w:val="right"/>
              <w:rPr>
                <w:rFonts w:eastAsia="Times New Roman"/>
              </w:rPr>
            </w:pPr>
            <w:r>
              <w:rPr>
                <w:rFonts w:eastAsia="Times New Roman"/>
                <w:color w:val="000000"/>
                <w:sz w:val="20"/>
                <w:szCs w:val="20"/>
              </w:rPr>
              <w:t>420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DC4C91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163FA88" w14:textId="77777777" w:rsidR="00000000" w:rsidRDefault="00195E73">
            <w:pPr>
              <w:rPr>
                <w:rFonts w:eastAsia="Times New Roman"/>
                <w:sz w:val="20"/>
                <w:szCs w:val="20"/>
              </w:rPr>
            </w:pPr>
          </w:p>
        </w:tc>
        <w:tc>
          <w:tcPr>
            <w:tcW w:w="0" w:type="auto"/>
            <w:vAlign w:val="center"/>
            <w:hideMark/>
          </w:tcPr>
          <w:p w14:paraId="538F188F" w14:textId="77777777" w:rsidR="00000000" w:rsidRDefault="00195E73">
            <w:pPr>
              <w:rPr>
                <w:rFonts w:eastAsia="Times New Roman"/>
                <w:sz w:val="20"/>
                <w:szCs w:val="20"/>
              </w:rPr>
            </w:pPr>
          </w:p>
        </w:tc>
        <w:tc>
          <w:tcPr>
            <w:tcW w:w="0" w:type="auto"/>
            <w:vAlign w:val="center"/>
            <w:hideMark/>
          </w:tcPr>
          <w:p w14:paraId="33AE0808" w14:textId="77777777" w:rsidR="00000000" w:rsidRDefault="00195E73">
            <w:pPr>
              <w:rPr>
                <w:rFonts w:eastAsia="Times New Roman"/>
                <w:sz w:val="20"/>
                <w:szCs w:val="20"/>
              </w:rPr>
            </w:pPr>
          </w:p>
        </w:tc>
        <w:tc>
          <w:tcPr>
            <w:tcW w:w="0" w:type="auto"/>
            <w:vAlign w:val="center"/>
            <w:hideMark/>
          </w:tcPr>
          <w:p w14:paraId="3676EBD4" w14:textId="77777777" w:rsidR="00000000" w:rsidRDefault="00195E73">
            <w:pPr>
              <w:rPr>
                <w:rFonts w:eastAsia="Times New Roman"/>
                <w:sz w:val="20"/>
                <w:szCs w:val="20"/>
              </w:rPr>
            </w:pPr>
          </w:p>
        </w:tc>
        <w:tc>
          <w:tcPr>
            <w:tcW w:w="0" w:type="auto"/>
            <w:vAlign w:val="center"/>
            <w:hideMark/>
          </w:tcPr>
          <w:p w14:paraId="0B420474" w14:textId="77777777" w:rsidR="00000000" w:rsidRDefault="00195E73">
            <w:pPr>
              <w:rPr>
                <w:rFonts w:eastAsia="Times New Roman"/>
                <w:sz w:val="20"/>
                <w:szCs w:val="20"/>
              </w:rPr>
            </w:pPr>
          </w:p>
        </w:tc>
        <w:tc>
          <w:tcPr>
            <w:tcW w:w="0" w:type="auto"/>
            <w:vAlign w:val="center"/>
            <w:hideMark/>
          </w:tcPr>
          <w:p w14:paraId="7EB180D9" w14:textId="77777777" w:rsidR="00000000" w:rsidRDefault="00195E73">
            <w:pPr>
              <w:rPr>
                <w:rFonts w:eastAsia="Times New Roman"/>
                <w:sz w:val="20"/>
                <w:szCs w:val="20"/>
              </w:rPr>
            </w:pPr>
          </w:p>
        </w:tc>
      </w:tr>
      <w:tr w:rsidR="00000000" w14:paraId="07145E5E" w14:textId="77777777">
        <w:trPr>
          <w:divId w:val="294718749"/>
        </w:trPr>
        <w:tc>
          <w:tcPr>
            <w:tcW w:w="0" w:type="auto"/>
            <w:gridSpan w:val="3"/>
            <w:shd w:val="clear" w:color="auto" w:fill="FFFFFF"/>
            <w:tcMar>
              <w:top w:w="30" w:type="dxa"/>
              <w:left w:w="20" w:type="dxa"/>
              <w:bottom w:w="30" w:type="dxa"/>
              <w:right w:w="20" w:type="dxa"/>
            </w:tcMar>
            <w:vAlign w:val="bottom"/>
            <w:hideMark/>
          </w:tcPr>
          <w:p w14:paraId="3E86DACC" w14:textId="77777777" w:rsidR="00000000" w:rsidRDefault="00195E73">
            <w:pPr>
              <w:rPr>
                <w:rFonts w:eastAsia="Times New Roman"/>
              </w:rPr>
            </w:pPr>
            <w:r>
              <w:rPr>
                <w:rFonts w:eastAsia="Times New Roman"/>
                <w:color w:val="000000"/>
                <w:sz w:val="20"/>
                <w:szCs w:val="20"/>
              </w:rPr>
              <w:t>Cash held at consolidated affiliated partnerships and restricted cas</w:t>
            </w:r>
            <w:r>
              <w:rPr>
                <w:rFonts w:eastAsia="Times New Roman"/>
                <w:color w:val="000000"/>
                <w:sz w:val="20"/>
                <w:szCs w:val="20"/>
              </w:rPr>
              <w:t>h</w:t>
            </w:r>
          </w:p>
        </w:tc>
        <w:tc>
          <w:tcPr>
            <w:tcW w:w="0" w:type="auto"/>
            <w:gridSpan w:val="2"/>
            <w:shd w:val="clear" w:color="auto" w:fill="FFFFFF"/>
            <w:tcMar>
              <w:top w:w="30" w:type="dxa"/>
              <w:left w:w="20" w:type="dxa"/>
              <w:bottom w:w="30" w:type="dxa"/>
              <w:right w:w="0" w:type="dxa"/>
            </w:tcMar>
            <w:vAlign w:val="bottom"/>
            <w:hideMark/>
          </w:tcPr>
          <w:p w14:paraId="568493E8" w14:textId="77777777" w:rsidR="00000000" w:rsidRDefault="00195E73">
            <w:pPr>
              <w:jc w:val="right"/>
              <w:rPr>
                <w:rFonts w:eastAsia="Times New Roman"/>
              </w:rPr>
            </w:pPr>
            <w:r>
              <w:rPr>
                <w:rFonts w:eastAsia="Times New Roman"/>
                <w:color w:val="000000"/>
                <w:sz w:val="20"/>
                <w:szCs w:val="20"/>
              </w:rPr>
              <w:t>989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72B164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B028A5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812E2C" w14:textId="77777777" w:rsidR="00000000" w:rsidRDefault="00195E73">
            <w:pPr>
              <w:jc w:val="right"/>
              <w:rPr>
                <w:rFonts w:eastAsia="Times New Roman"/>
              </w:rPr>
            </w:pPr>
            <w:r>
              <w:rPr>
                <w:rFonts w:eastAsia="Times New Roman"/>
                <w:color w:val="000000"/>
                <w:sz w:val="20"/>
                <w:szCs w:val="20"/>
              </w:rPr>
              <w:t>2,648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5D54BA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2C39D96" w14:textId="77777777" w:rsidR="00000000" w:rsidRDefault="00195E73">
            <w:pPr>
              <w:rPr>
                <w:rFonts w:eastAsia="Times New Roman"/>
                <w:sz w:val="20"/>
                <w:szCs w:val="20"/>
              </w:rPr>
            </w:pPr>
          </w:p>
        </w:tc>
        <w:tc>
          <w:tcPr>
            <w:tcW w:w="0" w:type="auto"/>
            <w:vAlign w:val="center"/>
            <w:hideMark/>
          </w:tcPr>
          <w:p w14:paraId="25813027" w14:textId="77777777" w:rsidR="00000000" w:rsidRDefault="00195E73">
            <w:pPr>
              <w:rPr>
                <w:rFonts w:eastAsia="Times New Roman"/>
                <w:sz w:val="20"/>
                <w:szCs w:val="20"/>
              </w:rPr>
            </w:pPr>
          </w:p>
        </w:tc>
        <w:tc>
          <w:tcPr>
            <w:tcW w:w="0" w:type="auto"/>
            <w:vAlign w:val="center"/>
            <w:hideMark/>
          </w:tcPr>
          <w:p w14:paraId="68210589" w14:textId="77777777" w:rsidR="00000000" w:rsidRDefault="00195E73">
            <w:pPr>
              <w:rPr>
                <w:rFonts w:eastAsia="Times New Roman"/>
                <w:sz w:val="20"/>
                <w:szCs w:val="20"/>
              </w:rPr>
            </w:pPr>
          </w:p>
        </w:tc>
        <w:tc>
          <w:tcPr>
            <w:tcW w:w="0" w:type="auto"/>
            <w:vAlign w:val="center"/>
            <w:hideMark/>
          </w:tcPr>
          <w:p w14:paraId="55DE408B" w14:textId="77777777" w:rsidR="00000000" w:rsidRDefault="00195E73">
            <w:pPr>
              <w:rPr>
                <w:rFonts w:eastAsia="Times New Roman"/>
                <w:sz w:val="20"/>
                <w:szCs w:val="20"/>
              </w:rPr>
            </w:pPr>
          </w:p>
        </w:tc>
        <w:tc>
          <w:tcPr>
            <w:tcW w:w="0" w:type="auto"/>
            <w:vAlign w:val="center"/>
            <w:hideMark/>
          </w:tcPr>
          <w:p w14:paraId="4A5F044A" w14:textId="77777777" w:rsidR="00000000" w:rsidRDefault="00195E73">
            <w:pPr>
              <w:rPr>
                <w:rFonts w:eastAsia="Times New Roman"/>
                <w:sz w:val="20"/>
                <w:szCs w:val="20"/>
              </w:rPr>
            </w:pPr>
          </w:p>
        </w:tc>
        <w:tc>
          <w:tcPr>
            <w:tcW w:w="0" w:type="auto"/>
            <w:vAlign w:val="center"/>
            <w:hideMark/>
          </w:tcPr>
          <w:p w14:paraId="3A346506" w14:textId="77777777" w:rsidR="00000000" w:rsidRDefault="00195E73">
            <w:pPr>
              <w:rPr>
                <w:rFonts w:eastAsia="Times New Roman"/>
                <w:sz w:val="20"/>
                <w:szCs w:val="20"/>
              </w:rPr>
            </w:pPr>
          </w:p>
        </w:tc>
      </w:tr>
      <w:tr w:rsidR="00000000" w14:paraId="09F4C3A2" w14:textId="77777777">
        <w:trPr>
          <w:divId w:val="294718749"/>
        </w:trPr>
        <w:tc>
          <w:tcPr>
            <w:tcW w:w="0" w:type="auto"/>
            <w:gridSpan w:val="3"/>
            <w:shd w:val="clear" w:color="auto" w:fill="CCEEFF"/>
            <w:tcMar>
              <w:top w:w="30" w:type="dxa"/>
              <w:left w:w="20" w:type="dxa"/>
              <w:bottom w:w="30" w:type="dxa"/>
              <w:right w:w="20" w:type="dxa"/>
            </w:tcMar>
            <w:vAlign w:val="bottom"/>
            <w:hideMark/>
          </w:tcPr>
          <w:p w14:paraId="3374DEB1" w14:textId="77777777" w:rsidR="00000000" w:rsidRDefault="00195E73">
            <w:pPr>
              <w:rPr>
                <w:rFonts w:eastAsia="Times New Roman"/>
              </w:rPr>
            </w:pPr>
            <w:r>
              <w:rPr>
                <w:rFonts w:eastAsia="Times New Roman"/>
                <w:color w:val="000000"/>
                <w:sz w:val="20"/>
                <w:szCs w:val="20"/>
              </w:rPr>
              <w:t>Investment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58FFC07" w14:textId="77777777" w:rsidR="00000000" w:rsidRDefault="00195E73">
            <w:pPr>
              <w:jc w:val="right"/>
              <w:rPr>
                <w:rFonts w:eastAsia="Times New Roman"/>
              </w:rPr>
            </w:pPr>
            <w:r>
              <w:rPr>
                <w:rFonts w:eastAsia="Times New Roman"/>
                <w:color w:val="000000"/>
                <w:sz w:val="20"/>
                <w:szCs w:val="20"/>
              </w:rPr>
              <w:t>9,207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FC4563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A2C1BE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372EEF" w14:textId="77777777" w:rsidR="00000000" w:rsidRDefault="00195E73">
            <w:pPr>
              <w:jc w:val="right"/>
              <w:rPr>
                <w:rFonts w:eastAsia="Times New Roman"/>
              </w:rPr>
            </w:pPr>
            <w:r>
              <w:rPr>
                <w:rFonts w:eastAsia="Times New Roman"/>
                <w:color w:val="000000"/>
                <w:sz w:val="20"/>
                <w:szCs w:val="20"/>
              </w:rPr>
              <w:t>6,951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5103B4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ABECBF8" w14:textId="77777777" w:rsidR="00000000" w:rsidRDefault="00195E73">
            <w:pPr>
              <w:rPr>
                <w:rFonts w:eastAsia="Times New Roman"/>
                <w:sz w:val="20"/>
                <w:szCs w:val="20"/>
              </w:rPr>
            </w:pPr>
          </w:p>
        </w:tc>
        <w:tc>
          <w:tcPr>
            <w:tcW w:w="0" w:type="auto"/>
            <w:vAlign w:val="center"/>
            <w:hideMark/>
          </w:tcPr>
          <w:p w14:paraId="54A38CFC" w14:textId="77777777" w:rsidR="00000000" w:rsidRDefault="00195E73">
            <w:pPr>
              <w:rPr>
                <w:rFonts w:eastAsia="Times New Roman"/>
                <w:sz w:val="20"/>
                <w:szCs w:val="20"/>
              </w:rPr>
            </w:pPr>
          </w:p>
        </w:tc>
        <w:tc>
          <w:tcPr>
            <w:tcW w:w="0" w:type="auto"/>
            <w:vAlign w:val="center"/>
            <w:hideMark/>
          </w:tcPr>
          <w:p w14:paraId="2164799D" w14:textId="77777777" w:rsidR="00000000" w:rsidRDefault="00195E73">
            <w:pPr>
              <w:rPr>
                <w:rFonts w:eastAsia="Times New Roman"/>
                <w:sz w:val="20"/>
                <w:szCs w:val="20"/>
              </w:rPr>
            </w:pPr>
          </w:p>
        </w:tc>
        <w:tc>
          <w:tcPr>
            <w:tcW w:w="0" w:type="auto"/>
            <w:vAlign w:val="center"/>
            <w:hideMark/>
          </w:tcPr>
          <w:p w14:paraId="269A3C40" w14:textId="77777777" w:rsidR="00000000" w:rsidRDefault="00195E73">
            <w:pPr>
              <w:rPr>
                <w:rFonts w:eastAsia="Times New Roman"/>
                <w:sz w:val="20"/>
                <w:szCs w:val="20"/>
              </w:rPr>
            </w:pPr>
          </w:p>
        </w:tc>
        <w:tc>
          <w:tcPr>
            <w:tcW w:w="0" w:type="auto"/>
            <w:vAlign w:val="center"/>
            <w:hideMark/>
          </w:tcPr>
          <w:p w14:paraId="06063048" w14:textId="77777777" w:rsidR="00000000" w:rsidRDefault="00195E73">
            <w:pPr>
              <w:rPr>
                <w:rFonts w:eastAsia="Times New Roman"/>
                <w:sz w:val="20"/>
                <w:szCs w:val="20"/>
              </w:rPr>
            </w:pPr>
          </w:p>
        </w:tc>
        <w:tc>
          <w:tcPr>
            <w:tcW w:w="0" w:type="auto"/>
            <w:vAlign w:val="center"/>
            <w:hideMark/>
          </w:tcPr>
          <w:p w14:paraId="3676E325" w14:textId="77777777" w:rsidR="00000000" w:rsidRDefault="00195E73">
            <w:pPr>
              <w:rPr>
                <w:rFonts w:eastAsia="Times New Roman"/>
                <w:sz w:val="20"/>
                <w:szCs w:val="20"/>
              </w:rPr>
            </w:pPr>
          </w:p>
        </w:tc>
      </w:tr>
      <w:tr w:rsidR="00000000" w14:paraId="0FD20344" w14:textId="77777777">
        <w:trPr>
          <w:divId w:val="294718749"/>
        </w:trPr>
        <w:tc>
          <w:tcPr>
            <w:tcW w:w="0" w:type="auto"/>
            <w:gridSpan w:val="3"/>
            <w:shd w:val="clear" w:color="auto" w:fill="FFFFFF"/>
            <w:tcMar>
              <w:top w:w="30" w:type="dxa"/>
              <w:left w:w="20" w:type="dxa"/>
              <w:bottom w:w="30" w:type="dxa"/>
              <w:right w:w="20" w:type="dxa"/>
            </w:tcMar>
            <w:vAlign w:val="bottom"/>
            <w:hideMark/>
          </w:tcPr>
          <w:p w14:paraId="0E01D261" w14:textId="77777777" w:rsidR="00000000" w:rsidRDefault="00195E73">
            <w:pPr>
              <w:rPr>
                <w:rFonts w:eastAsia="Times New Roman"/>
              </w:rPr>
            </w:pPr>
            <w:r>
              <w:rPr>
                <w:rFonts w:eastAsia="Times New Roman"/>
                <w:color w:val="000000"/>
                <w:sz w:val="20"/>
                <w:szCs w:val="20"/>
              </w:rPr>
              <w:t>Due from broker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6F09360" w14:textId="77777777" w:rsidR="00000000" w:rsidRDefault="00195E73">
            <w:pPr>
              <w:jc w:val="right"/>
              <w:rPr>
                <w:rFonts w:eastAsia="Times New Roman"/>
              </w:rPr>
            </w:pPr>
            <w:r>
              <w:rPr>
                <w:rFonts w:eastAsia="Times New Roman"/>
                <w:color w:val="000000"/>
                <w:sz w:val="20"/>
                <w:szCs w:val="20"/>
              </w:rPr>
              <w:t>858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652B64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E28552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57A750" w14:textId="77777777" w:rsidR="00000000" w:rsidRDefault="00195E73">
            <w:pPr>
              <w:jc w:val="right"/>
              <w:rPr>
                <w:rFonts w:eastAsia="Times New Roman"/>
              </w:rPr>
            </w:pPr>
            <w:r>
              <w:rPr>
                <w:rFonts w:eastAsia="Times New Roman"/>
                <w:color w:val="000000"/>
                <w:sz w:val="20"/>
                <w:szCs w:val="20"/>
              </w:rPr>
              <w:t>664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9BA825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3278BD0" w14:textId="77777777" w:rsidR="00000000" w:rsidRDefault="00195E73">
            <w:pPr>
              <w:rPr>
                <w:rFonts w:eastAsia="Times New Roman"/>
                <w:sz w:val="20"/>
                <w:szCs w:val="20"/>
              </w:rPr>
            </w:pPr>
          </w:p>
        </w:tc>
        <w:tc>
          <w:tcPr>
            <w:tcW w:w="0" w:type="auto"/>
            <w:vAlign w:val="center"/>
            <w:hideMark/>
          </w:tcPr>
          <w:p w14:paraId="4F2B9197" w14:textId="77777777" w:rsidR="00000000" w:rsidRDefault="00195E73">
            <w:pPr>
              <w:rPr>
                <w:rFonts w:eastAsia="Times New Roman"/>
                <w:sz w:val="20"/>
                <w:szCs w:val="20"/>
              </w:rPr>
            </w:pPr>
          </w:p>
        </w:tc>
        <w:tc>
          <w:tcPr>
            <w:tcW w:w="0" w:type="auto"/>
            <w:vAlign w:val="center"/>
            <w:hideMark/>
          </w:tcPr>
          <w:p w14:paraId="557D1E67" w14:textId="77777777" w:rsidR="00000000" w:rsidRDefault="00195E73">
            <w:pPr>
              <w:rPr>
                <w:rFonts w:eastAsia="Times New Roman"/>
                <w:sz w:val="20"/>
                <w:szCs w:val="20"/>
              </w:rPr>
            </w:pPr>
          </w:p>
        </w:tc>
        <w:tc>
          <w:tcPr>
            <w:tcW w:w="0" w:type="auto"/>
            <w:vAlign w:val="center"/>
            <w:hideMark/>
          </w:tcPr>
          <w:p w14:paraId="3C04395F" w14:textId="77777777" w:rsidR="00000000" w:rsidRDefault="00195E73">
            <w:pPr>
              <w:rPr>
                <w:rFonts w:eastAsia="Times New Roman"/>
                <w:sz w:val="20"/>
                <w:szCs w:val="20"/>
              </w:rPr>
            </w:pPr>
          </w:p>
        </w:tc>
        <w:tc>
          <w:tcPr>
            <w:tcW w:w="0" w:type="auto"/>
            <w:vAlign w:val="center"/>
            <w:hideMark/>
          </w:tcPr>
          <w:p w14:paraId="0919D731" w14:textId="77777777" w:rsidR="00000000" w:rsidRDefault="00195E73">
            <w:pPr>
              <w:rPr>
                <w:rFonts w:eastAsia="Times New Roman"/>
                <w:sz w:val="20"/>
                <w:szCs w:val="20"/>
              </w:rPr>
            </w:pPr>
          </w:p>
        </w:tc>
        <w:tc>
          <w:tcPr>
            <w:tcW w:w="0" w:type="auto"/>
            <w:vAlign w:val="center"/>
            <w:hideMark/>
          </w:tcPr>
          <w:p w14:paraId="3F6138EF" w14:textId="77777777" w:rsidR="00000000" w:rsidRDefault="00195E73">
            <w:pPr>
              <w:rPr>
                <w:rFonts w:eastAsia="Times New Roman"/>
                <w:sz w:val="20"/>
                <w:szCs w:val="20"/>
              </w:rPr>
            </w:pPr>
          </w:p>
        </w:tc>
      </w:tr>
      <w:tr w:rsidR="00000000" w14:paraId="3ACF8C0E" w14:textId="77777777">
        <w:trPr>
          <w:divId w:val="294718749"/>
        </w:trPr>
        <w:tc>
          <w:tcPr>
            <w:tcW w:w="0" w:type="auto"/>
            <w:gridSpan w:val="3"/>
            <w:shd w:val="clear" w:color="auto" w:fill="CCEEFF"/>
            <w:tcMar>
              <w:top w:w="30" w:type="dxa"/>
              <w:left w:w="20" w:type="dxa"/>
              <w:bottom w:w="30" w:type="dxa"/>
              <w:right w:w="20" w:type="dxa"/>
            </w:tcMar>
            <w:vAlign w:val="bottom"/>
            <w:hideMark/>
          </w:tcPr>
          <w:p w14:paraId="06D40466" w14:textId="77777777" w:rsidR="00000000" w:rsidRDefault="00195E73">
            <w:pPr>
              <w:rPr>
                <w:rFonts w:eastAsia="Times New Roman"/>
              </w:rPr>
            </w:pPr>
            <w:r>
              <w:rPr>
                <w:rFonts w:eastAsia="Times New Roman"/>
                <w:color w:val="000000"/>
                <w:sz w:val="20"/>
                <w:szCs w:val="20"/>
              </w:rPr>
              <w:t>Inventories,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0EB9757B" w14:textId="77777777" w:rsidR="00000000" w:rsidRDefault="00195E73">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BDC9A8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219C7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7B5BB6" w14:textId="77777777" w:rsidR="00000000" w:rsidRDefault="00195E73">
            <w:pPr>
              <w:jc w:val="right"/>
              <w:rPr>
                <w:rFonts w:eastAsia="Times New Roman"/>
              </w:rPr>
            </w:pPr>
            <w:r>
              <w:rPr>
                <w:rFonts w:eastAsia="Times New Roman"/>
                <w:color w:val="000000"/>
                <w:sz w:val="20"/>
                <w:szCs w:val="20"/>
              </w:rPr>
              <w:t>380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C7A4BF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AC0ACC7" w14:textId="77777777" w:rsidR="00000000" w:rsidRDefault="00195E73">
            <w:pPr>
              <w:rPr>
                <w:rFonts w:eastAsia="Times New Roman"/>
                <w:sz w:val="20"/>
                <w:szCs w:val="20"/>
              </w:rPr>
            </w:pPr>
          </w:p>
        </w:tc>
        <w:tc>
          <w:tcPr>
            <w:tcW w:w="0" w:type="auto"/>
            <w:vAlign w:val="center"/>
            <w:hideMark/>
          </w:tcPr>
          <w:p w14:paraId="5CB11FAA" w14:textId="77777777" w:rsidR="00000000" w:rsidRDefault="00195E73">
            <w:pPr>
              <w:rPr>
                <w:rFonts w:eastAsia="Times New Roman"/>
                <w:sz w:val="20"/>
                <w:szCs w:val="20"/>
              </w:rPr>
            </w:pPr>
          </w:p>
        </w:tc>
        <w:tc>
          <w:tcPr>
            <w:tcW w:w="0" w:type="auto"/>
            <w:vAlign w:val="center"/>
            <w:hideMark/>
          </w:tcPr>
          <w:p w14:paraId="1218A0A4" w14:textId="77777777" w:rsidR="00000000" w:rsidRDefault="00195E73">
            <w:pPr>
              <w:rPr>
                <w:rFonts w:eastAsia="Times New Roman"/>
                <w:sz w:val="20"/>
                <w:szCs w:val="20"/>
              </w:rPr>
            </w:pPr>
          </w:p>
        </w:tc>
        <w:tc>
          <w:tcPr>
            <w:tcW w:w="0" w:type="auto"/>
            <w:vAlign w:val="center"/>
            <w:hideMark/>
          </w:tcPr>
          <w:p w14:paraId="55D76BEC" w14:textId="77777777" w:rsidR="00000000" w:rsidRDefault="00195E73">
            <w:pPr>
              <w:rPr>
                <w:rFonts w:eastAsia="Times New Roman"/>
                <w:sz w:val="20"/>
                <w:szCs w:val="20"/>
              </w:rPr>
            </w:pPr>
          </w:p>
        </w:tc>
        <w:tc>
          <w:tcPr>
            <w:tcW w:w="0" w:type="auto"/>
            <w:vAlign w:val="center"/>
            <w:hideMark/>
          </w:tcPr>
          <w:p w14:paraId="44542D5A" w14:textId="77777777" w:rsidR="00000000" w:rsidRDefault="00195E73">
            <w:pPr>
              <w:rPr>
                <w:rFonts w:eastAsia="Times New Roman"/>
                <w:sz w:val="20"/>
                <w:szCs w:val="20"/>
              </w:rPr>
            </w:pPr>
          </w:p>
        </w:tc>
        <w:tc>
          <w:tcPr>
            <w:tcW w:w="0" w:type="auto"/>
            <w:vAlign w:val="center"/>
            <w:hideMark/>
          </w:tcPr>
          <w:p w14:paraId="6C5CAFC2" w14:textId="77777777" w:rsidR="00000000" w:rsidRDefault="00195E73">
            <w:pPr>
              <w:rPr>
                <w:rFonts w:eastAsia="Times New Roman"/>
                <w:sz w:val="20"/>
                <w:szCs w:val="20"/>
              </w:rPr>
            </w:pPr>
          </w:p>
        </w:tc>
      </w:tr>
      <w:tr w:rsidR="00000000" w14:paraId="7F2DCDC4" w14:textId="77777777">
        <w:trPr>
          <w:divId w:val="294718749"/>
        </w:trPr>
        <w:tc>
          <w:tcPr>
            <w:tcW w:w="0" w:type="auto"/>
            <w:gridSpan w:val="3"/>
            <w:shd w:val="clear" w:color="auto" w:fill="FFFFFF"/>
            <w:tcMar>
              <w:top w:w="30" w:type="dxa"/>
              <w:left w:w="20" w:type="dxa"/>
              <w:bottom w:w="30" w:type="dxa"/>
              <w:right w:w="20" w:type="dxa"/>
            </w:tcMar>
            <w:vAlign w:val="bottom"/>
            <w:hideMark/>
          </w:tcPr>
          <w:p w14:paraId="473CC230" w14:textId="77777777" w:rsidR="00000000" w:rsidRDefault="00195E73">
            <w:pPr>
              <w:rPr>
                <w:rFonts w:eastAsia="Times New Roman"/>
              </w:rPr>
            </w:pPr>
            <w:r>
              <w:rPr>
                <w:rFonts w:eastAsia="Times New Roman"/>
                <w:color w:val="000000"/>
                <w:sz w:val="20"/>
                <w:szCs w:val="20"/>
              </w:rPr>
              <w:t>Property, plant and equipment,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00F281C2" w14:textId="77777777" w:rsidR="00000000" w:rsidRDefault="00195E73">
            <w:pPr>
              <w:jc w:val="right"/>
              <w:rPr>
                <w:rFonts w:eastAsia="Times New Roman"/>
              </w:rPr>
            </w:pPr>
            <w:r>
              <w:rPr>
                <w:rFonts w:eastAsia="Times New Roman"/>
                <w:color w:val="000000"/>
                <w:sz w:val="20"/>
                <w:szCs w:val="20"/>
              </w:rPr>
              <w:t>1,123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68AC8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B02BC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8B9FFE" w14:textId="77777777" w:rsidR="00000000" w:rsidRDefault="00195E73">
            <w:pPr>
              <w:jc w:val="right"/>
              <w:rPr>
                <w:rFonts w:eastAsia="Times New Roman"/>
              </w:rPr>
            </w:pPr>
            <w:r>
              <w:rPr>
                <w:rFonts w:eastAsia="Times New Roman"/>
                <w:color w:val="000000"/>
                <w:sz w:val="20"/>
                <w:szCs w:val="20"/>
              </w:rPr>
              <w:t>3,023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885D06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098E64C" w14:textId="77777777" w:rsidR="00000000" w:rsidRDefault="00195E73">
            <w:pPr>
              <w:rPr>
                <w:rFonts w:eastAsia="Times New Roman"/>
                <w:sz w:val="20"/>
                <w:szCs w:val="20"/>
              </w:rPr>
            </w:pPr>
          </w:p>
        </w:tc>
        <w:tc>
          <w:tcPr>
            <w:tcW w:w="0" w:type="auto"/>
            <w:vAlign w:val="center"/>
            <w:hideMark/>
          </w:tcPr>
          <w:p w14:paraId="04C7B426" w14:textId="77777777" w:rsidR="00000000" w:rsidRDefault="00195E73">
            <w:pPr>
              <w:rPr>
                <w:rFonts w:eastAsia="Times New Roman"/>
                <w:sz w:val="20"/>
                <w:szCs w:val="20"/>
              </w:rPr>
            </w:pPr>
          </w:p>
        </w:tc>
        <w:tc>
          <w:tcPr>
            <w:tcW w:w="0" w:type="auto"/>
            <w:vAlign w:val="center"/>
            <w:hideMark/>
          </w:tcPr>
          <w:p w14:paraId="7C56D4AB" w14:textId="77777777" w:rsidR="00000000" w:rsidRDefault="00195E73">
            <w:pPr>
              <w:rPr>
                <w:rFonts w:eastAsia="Times New Roman"/>
                <w:sz w:val="20"/>
                <w:szCs w:val="20"/>
              </w:rPr>
            </w:pPr>
          </w:p>
        </w:tc>
        <w:tc>
          <w:tcPr>
            <w:tcW w:w="0" w:type="auto"/>
            <w:vAlign w:val="center"/>
            <w:hideMark/>
          </w:tcPr>
          <w:p w14:paraId="2A2998AB" w14:textId="77777777" w:rsidR="00000000" w:rsidRDefault="00195E73">
            <w:pPr>
              <w:rPr>
                <w:rFonts w:eastAsia="Times New Roman"/>
                <w:sz w:val="20"/>
                <w:szCs w:val="20"/>
              </w:rPr>
            </w:pPr>
          </w:p>
        </w:tc>
        <w:tc>
          <w:tcPr>
            <w:tcW w:w="0" w:type="auto"/>
            <w:vAlign w:val="center"/>
            <w:hideMark/>
          </w:tcPr>
          <w:p w14:paraId="18D2ABF8" w14:textId="77777777" w:rsidR="00000000" w:rsidRDefault="00195E73">
            <w:pPr>
              <w:rPr>
                <w:rFonts w:eastAsia="Times New Roman"/>
                <w:sz w:val="20"/>
                <w:szCs w:val="20"/>
              </w:rPr>
            </w:pPr>
          </w:p>
        </w:tc>
        <w:tc>
          <w:tcPr>
            <w:tcW w:w="0" w:type="auto"/>
            <w:vAlign w:val="center"/>
            <w:hideMark/>
          </w:tcPr>
          <w:p w14:paraId="651C0662" w14:textId="77777777" w:rsidR="00000000" w:rsidRDefault="00195E73">
            <w:pPr>
              <w:rPr>
                <w:rFonts w:eastAsia="Times New Roman"/>
                <w:sz w:val="20"/>
                <w:szCs w:val="20"/>
              </w:rPr>
            </w:pPr>
          </w:p>
        </w:tc>
      </w:tr>
      <w:tr w:rsidR="00000000" w14:paraId="5D8DDC5D" w14:textId="77777777">
        <w:trPr>
          <w:divId w:val="294718749"/>
        </w:trPr>
        <w:tc>
          <w:tcPr>
            <w:tcW w:w="0" w:type="auto"/>
            <w:gridSpan w:val="3"/>
            <w:shd w:val="clear" w:color="auto" w:fill="CCEEFF"/>
            <w:tcMar>
              <w:top w:w="30" w:type="dxa"/>
              <w:left w:w="20" w:type="dxa"/>
              <w:bottom w:w="30" w:type="dxa"/>
              <w:right w:w="20" w:type="dxa"/>
            </w:tcMar>
            <w:vAlign w:val="bottom"/>
            <w:hideMark/>
          </w:tcPr>
          <w:p w14:paraId="1B3BD530" w14:textId="77777777" w:rsidR="00000000" w:rsidRDefault="00195E73">
            <w:pPr>
              <w:rPr>
                <w:rFonts w:eastAsia="Times New Roman"/>
              </w:rPr>
            </w:pPr>
            <w:r>
              <w:rPr>
                <w:rFonts w:eastAsia="Times New Roman"/>
                <w:color w:val="000000"/>
                <w:sz w:val="20"/>
                <w:szCs w:val="20"/>
              </w:rPr>
              <w:t>Intangible assets,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616E4503" w14:textId="77777777" w:rsidR="00000000" w:rsidRDefault="00195E73">
            <w:pPr>
              <w:jc w:val="right"/>
              <w:rPr>
                <w:rFonts w:eastAsia="Times New Roman"/>
              </w:rPr>
            </w:pPr>
            <w:r>
              <w:rPr>
                <w:rFonts w:eastAsia="Times New Roman"/>
                <w:color w:val="000000"/>
                <w:sz w:val="20"/>
                <w:szCs w:val="20"/>
              </w:rPr>
              <w:t>258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E5A753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F503CE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3DA6BD" w14:textId="77777777" w:rsidR="00000000" w:rsidRDefault="00195E73">
            <w:pPr>
              <w:jc w:val="right"/>
              <w:rPr>
                <w:rFonts w:eastAsia="Times New Roman"/>
              </w:rPr>
            </w:pPr>
            <w:r>
              <w:rPr>
                <w:rFonts w:eastAsia="Times New Roman"/>
                <w:color w:val="000000"/>
                <w:sz w:val="20"/>
                <w:szCs w:val="20"/>
              </w:rPr>
              <w:t>278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C32704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60B63C3" w14:textId="77777777" w:rsidR="00000000" w:rsidRDefault="00195E73">
            <w:pPr>
              <w:rPr>
                <w:rFonts w:eastAsia="Times New Roman"/>
                <w:sz w:val="20"/>
                <w:szCs w:val="20"/>
              </w:rPr>
            </w:pPr>
          </w:p>
        </w:tc>
        <w:tc>
          <w:tcPr>
            <w:tcW w:w="0" w:type="auto"/>
            <w:vAlign w:val="center"/>
            <w:hideMark/>
          </w:tcPr>
          <w:p w14:paraId="4DFEFA3E" w14:textId="77777777" w:rsidR="00000000" w:rsidRDefault="00195E73">
            <w:pPr>
              <w:rPr>
                <w:rFonts w:eastAsia="Times New Roman"/>
                <w:sz w:val="20"/>
                <w:szCs w:val="20"/>
              </w:rPr>
            </w:pPr>
          </w:p>
        </w:tc>
        <w:tc>
          <w:tcPr>
            <w:tcW w:w="0" w:type="auto"/>
            <w:vAlign w:val="center"/>
            <w:hideMark/>
          </w:tcPr>
          <w:p w14:paraId="49D30486" w14:textId="77777777" w:rsidR="00000000" w:rsidRDefault="00195E73">
            <w:pPr>
              <w:rPr>
                <w:rFonts w:eastAsia="Times New Roman"/>
                <w:sz w:val="20"/>
                <w:szCs w:val="20"/>
              </w:rPr>
            </w:pPr>
          </w:p>
        </w:tc>
        <w:tc>
          <w:tcPr>
            <w:tcW w:w="0" w:type="auto"/>
            <w:vAlign w:val="center"/>
            <w:hideMark/>
          </w:tcPr>
          <w:p w14:paraId="3F616704" w14:textId="77777777" w:rsidR="00000000" w:rsidRDefault="00195E73">
            <w:pPr>
              <w:rPr>
                <w:rFonts w:eastAsia="Times New Roman"/>
                <w:sz w:val="20"/>
                <w:szCs w:val="20"/>
              </w:rPr>
            </w:pPr>
          </w:p>
        </w:tc>
        <w:tc>
          <w:tcPr>
            <w:tcW w:w="0" w:type="auto"/>
            <w:vAlign w:val="center"/>
            <w:hideMark/>
          </w:tcPr>
          <w:p w14:paraId="16B9D23B" w14:textId="77777777" w:rsidR="00000000" w:rsidRDefault="00195E73">
            <w:pPr>
              <w:rPr>
                <w:rFonts w:eastAsia="Times New Roman"/>
                <w:sz w:val="20"/>
                <w:szCs w:val="20"/>
              </w:rPr>
            </w:pPr>
          </w:p>
        </w:tc>
        <w:tc>
          <w:tcPr>
            <w:tcW w:w="0" w:type="auto"/>
            <w:vAlign w:val="center"/>
            <w:hideMark/>
          </w:tcPr>
          <w:p w14:paraId="71C2E9BD" w14:textId="77777777" w:rsidR="00000000" w:rsidRDefault="00195E73">
            <w:pPr>
              <w:rPr>
                <w:rFonts w:eastAsia="Times New Roman"/>
                <w:sz w:val="20"/>
                <w:szCs w:val="20"/>
              </w:rPr>
            </w:pPr>
          </w:p>
        </w:tc>
      </w:tr>
      <w:tr w:rsidR="00000000" w14:paraId="21EA1E9E" w14:textId="77777777">
        <w:trPr>
          <w:divId w:val="294718749"/>
        </w:trPr>
        <w:tc>
          <w:tcPr>
            <w:tcW w:w="0" w:type="auto"/>
            <w:gridSpan w:val="3"/>
            <w:shd w:val="clear" w:color="auto" w:fill="FFFFFF"/>
            <w:tcMar>
              <w:top w:w="30" w:type="dxa"/>
              <w:left w:w="20" w:type="dxa"/>
              <w:bottom w:w="30" w:type="dxa"/>
              <w:right w:w="20" w:type="dxa"/>
            </w:tcMar>
            <w:vAlign w:val="bottom"/>
            <w:hideMark/>
          </w:tcPr>
          <w:p w14:paraId="264BBA6C" w14:textId="77777777" w:rsidR="00000000" w:rsidRDefault="00195E73">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23B8485" w14:textId="77777777" w:rsidR="00000000" w:rsidRDefault="00195E73">
            <w:pPr>
              <w:jc w:val="right"/>
              <w:rPr>
                <w:rFonts w:eastAsia="Times New Roman"/>
              </w:rPr>
            </w:pPr>
            <w:r>
              <w:rPr>
                <w:rFonts w:eastAsia="Times New Roman"/>
                <w:color w:val="000000"/>
                <w:sz w:val="20"/>
                <w:szCs w:val="20"/>
              </w:rPr>
              <w:t>260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057C08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180D4B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6CCDF2" w14:textId="77777777" w:rsidR="00000000" w:rsidRDefault="00195E73">
            <w:pPr>
              <w:jc w:val="right"/>
              <w:rPr>
                <w:rFonts w:eastAsia="Times New Roman"/>
              </w:rPr>
            </w:pPr>
            <w:r>
              <w:rPr>
                <w:rFonts w:eastAsia="Times New Roman"/>
                <w:color w:val="000000"/>
                <w:sz w:val="20"/>
                <w:szCs w:val="20"/>
              </w:rPr>
              <w:t>932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725628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041B5EE" w14:textId="77777777" w:rsidR="00000000" w:rsidRDefault="00195E73">
            <w:pPr>
              <w:rPr>
                <w:rFonts w:eastAsia="Times New Roman"/>
                <w:sz w:val="20"/>
                <w:szCs w:val="20"/>
              </w:rPr>
            </w:pPr>
          </w:p>
        </w:tc>
        <w:tc>
          <w:tcPr>
            <w:tcW w:w="0" w:type="auto"/>
            <w:vAlign w:val="center"/>
            <w:hideMark/>
          </w:tcPr>
          <w:p w14:paraId="43ED199E" w14:textId="77777777" w:rsidR="00000000" w:rsidRDefault="00195E73">
            <w:pPr>
              <w:rPr>
                <w:rFonts w:eastAsia="Times New Roman"/>
                <w:sz w:val="20"/>
                <w:szCs w:val="20"/>
              </w:rPr>
            </w:pPr>
          </w:p>
        </w:tc>
        <w:tc>
          <w:tcPr>
            <w:tcW w:w="0" w:type="auto"/>
            <w:vAlign w:val="center"/>
            <w:hideMark/>
          </w:tcPr>
          <w:p w14:paraId="79FC980A" w14:textId="77777777" w:rsidR="00000000" w:rsidRDefault="00195E73">
            <w:pPr>
              <w:rPr>
                <w:rFonts w:eastAsia="Times New Roman"/>
                <w:sz w:val="20"/>
                <w:szCs w:val="20"/>
              </w:rPr>
            </w:pPr>
          </w:p>
        </w:tc>
        <w:tc>
          <w:tcPr>
            <w:tcW w:w="0" w:type="auto"/>
            <w:vAlign w:val="center"/>
            <w:hideMark/>
          </w:tcPr>
          <w:p w14:paraId="6A61A912" w14:textId="77777777" w:rsidR="00000000" w:rsidRDefault="00195E73">
            <w:pPr>
              <w:rPr>
                <w:rFonts w:eastAsia="Times New Roman"/>
                <w:sz w:val="20"/>
                <w:szCs w:val="20"/>
              </w:rPr>
            </w:pPr>
          </w:p>
        </w:tc>
        <w:tc>
          <w:tcPr>
            <w:tcW w:w="0" w:type="auto"/>
            <w:vAlign w:val="center"/>
            <w:hideMark/>
          </w:tcPr>
          <w:p w14:paraId="3FA0180B" w14:textId="77777777" w:rsidR="00000000" w:rsidRDefault="00195E73">
            <w:pPr>
              <w:rPr>
                <w:rFonts w:eastAsia="Times New Roman"/>
                <w:sz w:val="20"/>
                <w:szCs w:val="20"/>
              </w:rPr>
            </w:pPr>
          </w:p>
        </w:tc>
        <w:tc>
          <w:tcPr>
            <w:tcW w:w="0" w:type="auto"/>
            <w:vAlign w:val="center"/>
            <w:hideMark/>
          </w:tcPr>
          <w:p w14:paraId="7BC7252D" w14:textId="77777777" w:rsidR="00000000" w:rsidRDefault="00195E73">
            <w:pPr>
              <w:rPr>
                <w:rFonts w:eastAsia="Times New Roman"/>
                <w:sz w:val="20"/>
                <w:szCs w:val="20"/>
              </w:rPr>
            </w:pPr>
          </w:p>
        </w:tc>
      </w:tr>
      <w:tr w:rsidR="00000000" w14:paraId="1306596E" w14:textId="77777777">
        <w:trPr>
          <w:divId w:val="294718749"/>
        </w:trPr>
        <w:tc>
          <w:tcPr>
            <w:tcW w:w="0" w:type="auto"/>
            <w:gridSpan w:val="3"/>
            <w:shd w:val="clear" w:color="auto" w:fill="CCEEFF"/>
            <w:tcMar>
              <w:top w:w="30" w:type="dxa"/>
              <w:left w:w="20" w:type="dxa"/>
              <w:bottom w:w="30" w:type="dxa"/>
              <w:right w:w="20" w:type="dxa"/>
            </w:tcMar>
            <w:vAlign w:val="bottom"/>
            <w:hideMark/>
          </w:tcPr>
          <w:p w14:paraId="2DA56333" w14:textId="77777777" w:rsidR="00000000" w:rsidRDefault="00195E73">
            <w:pPr>
              <w:rPr>
                <w:rFonts w:eastAsia="Times New Roman"/>
              </w:rPr>
            </w:pPr>
            <w:r>
              <w:rPr>
                <w:rFonts w:eastAsia="Times New Roman"/>
                <w:color w:val="000000"/>
                <w:sz w:val="20"/>
                <w:szCs w:val="20"/>
              </w:rPr>
              <w:t>Accounts payable, accrued expenses and other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CDB602A" w14:textId="77777777" w:rsidR="00000000" w:rsidRDefault="00195E73">
            <w:pPr>
              <w:jc w:val="right"/>
              <w:rPr>
                <w:rFonts w:eastAsia="Times New Roman"/>
              </w:rPr>
            </w:pPr>
            <w:r>
              <w:rPr>
                <w:rFonts w:eastAsia="Times New Roman"/>
                <w:color w:val="000000"/>
                <w:sz w:val="20"/>
                <w:szCs w:val="20"/>
              </w:rPr>
              <w:t>1,338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704ED6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3150A9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454D0D" w14:textId="77777777" w:rsidR="00000000" w:rsidRDefault="00195E73">
            <w:pPr>
              <w:jc w:val="right"/>
              <w:rPr>
                <w:rFonts w:eastAsia="Times New Roman"/>
              </w:rPr>
            </w:pPr>
            <w:r>
              <w:rPr>
                <w:rFonts w:eastAsia="Times New Roman"/>
                <w:color w:val="000000"/>
                <w:sz w:val="20"/>
                <w:szCs w:val="20"/>
              </w:rPr>
              <w:t>523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2A9DD0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990AE81" w14:textId="77777777" w:rsidR="00000000" w:rsidRDefault="00195E73">
            <w:pPr>
              <w:rPr>
                <w:rFonts w:eastAsia="Times New Roman"/>
                <w:sz w:val="20"/>
                <w:szCs w:val="20"/>
              </w:rPr>
            </w:pPr>
          </w:p>
        </w:tc>
        <w:tc>
          <w:tcPr>
            <w:tcW w:w="0" w:type="auto"/>
            <w:vAlign w:val="center"/>
            <w:hideMark/>
          </w:tcPr>
          <w:p w14:paraId="3E8372CA" w14:textId="77777777" w:rsidR="00000000" w:rsidRDefault="00195E73">
            <w:pPr>
              <w:rPr>
                <w:rFonts w:eastAsia="Times New Roman"/>
                <w:sz w:val="20"/>
                <w:szCs w:val="20"/>
              </w:rPr>
            </w:pPr>
          </w:p>
        </w:tc>
        <w:tc>
          <w:tcPr>
            <w:tcW w:w="0" w:type="auto"/>
            <w:vAlign w:val="center"/>
            <w:hideMark/>
          </w:tcPr>
          <w:p w14:paraId="53D786D3" w14:textId="77777777" w:rsidR="00000000" w:rsidRDefault="00195E73">
            <w:pPr>
              <w:rPr>
                <w:rFonts w:eastAsia="Times New Roman"/>
                <w:sz w:val="20"/>
                <w:szCs w:val="20"/>
              </w:rPr>
            </w:pPr>
          </w:p>
        </w:tc>
        <w:tc>
          <w:tcPr>
            <w:tcW w:w="0" w:type="auto"/>
            <w:vAlign w:val="center"/>
            <w:hideMark/>
          </w:tcPr>
          <w:p w14:paraId="0E5C2585" w14:textId="77777777" w:rsidR="00000000" w:rsidRDefault="00195E73">
            <w:pPr>
              <w:rPr>
                <w:rFonts w:eastAsia="Times New Roman"/>
                <w:sz w:val="20"/>
                <w:szCs w:val="20"/>
              </w:rPr>
            </w:pPr>
          </w:p>
        </w:tc>
        <w:tc>
          <w:tcPr>
            <w:tcW w:w="0" w:type="auto"/>
            <w:vAlign w:val="center"/>
            <w:hideMark/>
          </w:tcPr>
          <w:p w14:paraId="00182321" w14:textId="77777777" w:rsidR="00000000" w:rsidRDefault="00195E73">
            <w:pPr>
              <w:rPr>
                <w:rFonts w:eastAsia="Times New Roman"/>
                <w:sz w:val="20"/>
                <w:szCs w:val="20"/>
              </w:rPr>
            </w:pPr>
          </w:p>
        </w:tc>
        <w:tc>
          <w:tcPr>
            <w:tcW w:w="0" w:type="auto"/>
            <w:vAlign w:val="center"/>
            <w:hideMark/>
          </w:tcPr>
          <w:p w14:paraId="39086B3A" w14:textId="77777777" w:rsidR="00000000" w:rsidRDefault="00195E73">
            <w:pPr>
              <w:rPr>
                <w:rFonts w:eastAsia="Times New Roman"/>
                <w:sz w:val="20"/>
                <w:szCs w:val="20"/>
              </w:rPr>
            </w:pPr>
          </w:p>
        </w:tc>
      </w:tr>
      <w:tr w:rsidR="00000000" w14:paraId="3634E342" w14:textId="77777777">
        <w:trPr>
          <w:divId w:val="294718749"/>
        </w:trPr>
        <w:tc>
          <w:tcPr>
            <w:tcW w:w="0" w:type="auto"/>
            <w:gridSpan w:val="3"/>
            <w:shd w:val="clear" w:color="auto" w:fill="FFFFFF"/>
            <w:tcMar>
              <w:top w:w="30" w:type="dxa"/>
              <w:left w:w="20" w:type="dxa"/>
              <w:bottom w:w="30" w:type="dxa"/>
              <w:right w:w="20" w:type="dxa"/>
            </w:tcMar>
            <w:vAlign w:val="bottom"/>
            <w:hideMark/>
          </w:tcPr>
          <w:p w14:paraId="75A18B67" w14:textId="77777777" w:rsidR="00000000" w:rsidRDefault="00195E73">
            <w:pPr>
              <w:rPr>
                <w:rFonts w:eastAsia="Times New Roman"/>
              </w:rPr>
            </w:pPr>
            <w:r>
              <w:rPr>
                <w:rFonts w:eastAsia="Times New Roman"/>
                <w:color w:val="000000"/>
                <w:sz w:val="20"/>
                <w:szCs w:val="20"/>
              </w:rPr>
              <w:t>Securities sold, not yet purchased, at fair valu</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516DE255" w14:textId="77777777" w:rsidR="00000000" w:rsidRDefault="00195E73">
            <w:pPr>
              <w:jc w:val="right"/>
              <w:rPr>
                <w:rFonts w:eastAsia="Times New Roman"/>
              </w:rPr>
            </w:pPr>
            <w:r>
              <w:rPr>
                <w:rFonts w:eastAsia="Times New Roman"/>
                <w:color w:val="000000"/>
                <w:sz w:val="20"/>
                <w:szCs w:val="20"/>
              </w:rPr>
              <w:t>1,190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F90B0B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CD8548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2F257E" w14:textId="77777777" w:rsidR="00000000" w:rsidRDefault="00195E73">
            <w:pPr>
              <w:jc w:val="right"/>
              <w:rPr>
                <w:rFonts w:eastAsia="Times New Roman"/>
              </w:rPr>
            </w:pPr>
            <w:r>
              <w:rPr>
                <w:rFonts w:eastAsia="Times New Roman"/>
                <w:color w:val="000000"/>
                <w:sz w:val="20"/>
                <w:szCs w:val="20"/>
              </w:rPr>
              <w:t>468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5BE2F0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C1E5092" w14:textId="77777777" w:rsidR="00000000" w:rsidRDefault="00195E73">
            <w:pPr>
              <w:rPr>
                <w:rFonts w:eastAsia="Times New Roman"/>
                <w:sz w:val="20"/>
                <w:szCs w:val="20"/>
              </w:rPr>
            </w:pPr>
          </w:p>
        </w:tc>
        <w:tc>
          <w:tcPr>
            <w:tcW w:w="0" w:type="auto"/>
            <w:vAlign w:val="center"/>
            <w:hideMark/>
          </w:tcPr>
          <w:p w14:paraId="0205B9A6" w14:textId="77777777" w:rsidR="00000000" w:rsidRDefault="00195E73">
            <w:pPr>
              <w:rPr>
                <w:rFonts w:eastAsia="Times New Roman"/>
                <w:sz w:val="20"/>
                <w:szCs w:val="20"/>
              </w:rPr>
            </w:pPr>
          </w:p>
        </w:tc>
        <w:tc>
          <w:tcPr>
            <w:tcW w:w="0" w:type="auto"/>
            <w:vAlign w:val="center"/>
            <w:hideMark/>
          </w:tcPr>
          <w:p w14:paraId="30AFC928" w14:textId="77777777" w:rsidR="00000000" w:rsidRDefault="00195E73">
            <w:pPr>
              <w:rPr>
                <w:rFonts w:eastAsia="Times New Roman"/>
                <w:sz w:val="20"/>
                <w:szCs w:val="20"/>
              </w:rPr>
            </w:pPr>
          </w:p>
        </w:tc>
        <w:tc>
          <w:tcPr>
            <w:tcW w:w="0" w:type="auto"/>
            <w:vAlign w:val="center"/>
            <w:hideMark/>
          </w:tcPr>
          <w:p w14:paraId="62C4D1AF" w14:textId="77777777" w:rsidR="00000000" w:rsidRDefault="00195E73">
            <w:pPr>
              <w:rPr>
                <w:rFonts w:eastAsia="Times New Roman"/>
                <w:sz w:val="20"/>
                <w:szCs w:val="20"/>
              </w:rPr>
            </w:pPr>
          </w:p>
        </w:tc>
        <w:tc>
          <w:tcPr>
            <w:tcW w:w="0" w:type="auto"/>
            <w:vAlign w:val="center"/>
            <w:hideMark/>
          </w:tcPr>
          <w:p w14:paraId="33AD025D" w14:textId="77777777" w:rsidR="00000000" w:rsidRDefault="00195E73">
            <w:pPr>
              <w:rPr>
                <w:rFonts w:eastAsia="Times New Roman"/>
                <w:sz w:val="20"/>
                <w:szCs w:val="20"/>
              </w:rPr>
            </w:pPr>
          </w:p>
        </w:tc>
        <w:tc>
          <w:tcPr>
            <w:tcW w:w="0" w:type="auto"/>
            <w:vAlign w:val="center"/>
            <w:hideMark/>
          </w:tcPr>
          <w:p w14:paraId="0F4070D2" w14:textId="77777777" w:rsidR="00000000" w:rsidRDefault="00195E73">
            <w:pPr>
              <w:rPr>
                <w:rFonts w:eastAsia="Times New Roman"/>
                <w:sz w:val="20"/>
                <w:szCs w:val="20"/>
              </w:rPr>
            </w:pPr>
          </w:p>
        </w:tc>
      </w:tr>
      <w:tr w:rsidR="00000000" w14:paraId="7CB91C83" w14:textId="77777777">
        <w:trPr>
          <w:divId w:val="294718749"/>
        </w:trPr>
        <w:tc>
          <w:tcPr>
            <w:tcW w:w="0" w:type="auto"/>
            <w:gridSpan w:val="3"/>
            <w:shd w:val="clear" w:color="auto" w:fill="CCEEFF"/>
            <w:tcMar>
              <w:top w:w="30" w:type="dxa"/>
              <w:left w:w="20" w:type="dxa"/>
              <w:bottom w:w="30" w:type="dxa"/>
              <w:right w:w="20" w:type="dxa"/>
            </w:tcMar>
            <w:vAlign w:val="bottom"/>
            <w:hideMark/>
          </w:tcPr>
          <w:p w14:paraId="25FF32F2" w14:textId="77777777" w:rsidR="00000000" w:rsidRDefault="00195E73">
            <w:pPr>
              <w:rPr>
                <w:rFonts w:eastAsia="Times New Roman"/>
              </w:rPr>
            </w:pPr>
            <w:r>
              <w:rPr>
                <w:rFonts w:eastAsia="Times New Roman"/>
                <w:color w:val="000000"/>
                <w:sz w:val="20"/>
                <w:szCs w:val="20"/>
              </w:rPr>
              <w:t>Due to broker</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A522AD5" w14:textId="77777777" w:rsidR="00000000" w:rsidRDefault="00195E73">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D41FAB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73BB69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D97C1A" w14:textId="77777777" w:rsidR="00000000" w:rsidRDefault="00195E73">
            <w:pPr>
              <w:jc w:val="right"/>
              <w:rPr>
                <w:rFonts w:eastAsia="Times New Roman"/>
              </w:rPr>
            </w:pPr>
            <w:r>
              <w:rPr>
                <w:rFonts w:eastAsia="Times New Roman"/>
                <w:color w:val="000000"/>
                <w:sz w:val="20"/>
                <w:szCs w:val="20"/>
              </w:rPr>
              <w:t>141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A7ACDF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43CFC89" w14:textId="77777777" w:rsidR="00000000" w:rsidRDefault="00195E73">
            <w:pPr>
              <w:rPr>
                <w:rFonts w:eastAsia="Times New Roman"/>
                <w:sz w:val="20"/>
                <w:szCs w:val="20"/>
              </w:rPr>
            </w:pPr>
          </w:p>
        </w:tc>
        <w:tc>
          <w:tcPr>
            <w:tcW w:w="0" w:type="auto"/>
            <w:vAlign w:val="center"/>
            <w:hideMark/>
          </w:tcPr>
          <w:p w14:paraId="22B0F242" w14:textId="77777777" w:rsidR="00000000" w:rsidRDefault="00195E73">
            <w:pPr>
              <w:rPr>
                <w:rFonts w:eastAsia="Times New Roman"/>
                <w:sz w:val="20"/>
                <w:szCs w:val="20"/>
              </w:rPr>
            </w:pPr>
          </w:p>
        </w:tc>
        <w:tc>
          <w:tcPr>
            <w:tcW w:w="0" w:type="auto"/>
            <w:vAlign w:val="center"/>
            <w:hideMark/>
          </w:tcPr>
          <w:p w14:paraId="794A8353" w14:textId="77777777" w:rsidR="00000000" w:rsidRDefault="00195E73">
            <w:pPr>
              <w:rPr>
                <w:rFonts w:eastAsia="Times New Roman"/>
                <w:sz w:val="20"/>
                <w:szCs w:val="20"/>
              </w:rPr>
            </w:pPr>
          </w:p>
        </w:tc>
        <w:tc>
          <w:tcPr>
            <w:tcW w:w="0" w:type="auto"/>
            <w:vAlign w:val="center"/>
            <w:hideMark/>
          </w:tcPr>
          <w:p w14:paraId="3A9CED94" w14:textId="77777777" w:rsidR="00000000" w:rsidRDefault="00195E73">
            <w:pPr>
              <w:rPr>
                <w:rFonts w:eastAsia="Times New Roman"/>
                <w:sz w:val="20"/>
                <w:szCs w:val="20"/>
              </w:rPr>
            </w:pPr>
          </w:p>
        </w:tc>
        <w:tc>
          <w:tcPr>
            <w:tcW w:w="0" w:type="auto"/>
            <w:vAlign w:val="center"/>
            <w:hideMark/>
          </w:tcPr>
          <w:p w14:paraId="31532C4B" w14:textId="77777777" w:rsidR="00000000" w:rsidRDefault="00195E73">
            <w:pPr>
              <w:rPr>
                <w:rFonts w:eastAsia="Times New Roman"/>
                <w:sz w:val="20"/>
                <w:szCs w:val="20"/>
              </w:rPr>
            </w:pPr>
          </w:p>
        </w:tc>
        <w:tc>
          <w:tcPr>
            <w:tcW w:w="0" w:type="auto"/>
            <w:vAlign w:val="center"/>
            <w:hideMark/>
          </w:tcPr>
          <w:p w14:paraId="5ED717CE" w14:textId="77777777" w:rsidR="00000000" w:rsidRDefault="00195E73">
            <w:pPr>
              <w:rPr>
                <w:rFonts w:eastAsia="Times New Roman"/>
                <w:sz w:val="20"/>
                <w:szCs w:val="20"/>
              </w:rPr>
            </w:pPr>
          </w:p>
        </w:tc>
      </w:tr>
      <w:tr w:rsidR="00000000" w14:paraId="3640BE7A" w14:textId="77777777">
        <w:trPr>
          <w:divId w:val="294718749"/>
        </w:trPr>
        <w:tc>
          <w:tcPr>
            <w:tcW w:w="0" w:type="auto"/>
            <w:gridSpan w:val="3"/>
            <w:shd w:val="clear" w:color="auto" w:fill="FFFFFF"/>
            <w:tcMar>
              <w:top w:w="30" w:type="dxa"/>
              <w:left w:w="20" w:type="dxa"/>
              <w:bottom w:w="30" w:type="dxa"/>
              <w:right w:w="20" w:type="dxa"/>
            </w:tcMar>
            <w:vAlign w:val="bottom"/>
            <w:hideMark/>
          </w:tcPr>
          <w:p w14:paraId="6487D642" w14:textId="77777777" w:rsidR="00000000" w:rsidRDefault="00195E73">
            <w:pPr>
              <w:rPr>
                <w:rFonts w:eastAsia="Times New Roman"/>
              </w:rPr>
            </w:pPr>
            <w:r>
              <w:rPr>
                <w:rFonts w:eastAsia="Times New Roman"/>
                <w:color w:val="000000"/>
                <w:sz w:val="20"/>
                <w:szCs w:val="20"/>
              </w:rPr>
              <w:t>Deb</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4A3387CE" w14:textId="77777777" w:rsidR="00000000" w:rsidRDefault="00195E73">
            <w:pPr>
              <w:jc w:val="right"/>
              <w:rPr>
                <w:rFonts w:eastAsia="Times New Roman"/>
              </w:rPr>
            </w:pPr>
            <w:r>
              <w:rPr>
                <w:rFonts w:eastAsia="Times New Roman"/>
                <w:color w:val="000000"/>
                <w:sz w:val="20"/>
                <w:szCs w:val="20"/>
              </w:rPr>
              <w:t>633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EDBDE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C9B3F7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DF0F1F" w14:textId="77777777" w:rsidR="00000000" w:rsidRDefault="00195E73">
            <w:pPr>
              <w:jc w:val="right"/>
              <w:rPr>
                <w:rFonts w:eastAsia="Times New Roman"/>
              </w:rPr>
            </w:pPr>
            <w:r>
              <w:rPr>
                <w:rFonts w:eastAsia="Times New Roman"/>
                <w:color w:val="000000"/>
                <w:sz w:val="20"/>
                <w:szCs w:val="20"/>
              </w:rPr>
              <w:t>1,171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A54165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6EAE299" w14:textId="77777777" w:rsidR="00000000" w:rsidRDefault="00195E73">
            <w:pPr>
              <w:rPr>
                <w:rFonts w:eastAsia="Times New Roman"/>
                <w:sz w:val="20"/>
                <w:szCs w:val="20"/>
              </w:rPr>
            </w:pPr>
          </w:p>
        </w:tc>
        <w:tc>
          <w:tcPr>
            <w:tcW w:w="0" w:type="auto"/>
            <w:vAlign w:val="center"/>
            <w:hideMark/>
          </w:tcPr>
          <w:p w14:paraId="0C03E83E" w14:textId="77777777" w:rsidR="00000000" w:rsidRDefault="00195E73">
            <w:pPr>
              <w:rPr>
                <w:rFonts w:eastAsia="Times New Roman"/>
                <w:sz w:val="20"/>
                <w:szCs w:val="20"/>
              </w:rPr>
            </w:pPr>
          </w:p>
        </w:tc>
        <w:tc>
          <w:tcPr>
            <w:tcW w:w="0" w:type="auto"/>
            <w:vAlign w:val="center"/>
            <w:hideMark/>
          </w:tcPr>
          <w:p w14:paraId="0CF15224" w14:textId="77777777" w:rsidR="00000000" w:rsidRDefault="00195E73">
            <w:pPr>
              <w:rPr>
                <w:rFonts w:eastAsia="Times New Roman"/>
                <w:sz w:val="20"/>
                <w:szCs w:val="20"/>
              </w:rPr>
            </w:pPr>
          </w:p>
        </w:tc>
        <w:tc>
          <w:tcPr>
            <w:tcW w:w="0" w:type="auto"/>
            <w:vAlign w:val="center"/>
            <w:hideMark/>
          </w:tcPr>
          <w:p w14:paraId="20E8EAB9" w14:textId="77777777" w:rsidR="00000000" w:rsidRDefault="00195E73">
            <w:pPr>
              <w:rPr>
                <w:rFonts w:eastAsia="Times New Roman"/>
                <w:sz w:val="20"/>
                <w:szCs w:val="20"/>
              </w:rPr>
            </w:pPr>
          </w:p>
        </w:tc>
        <w:tc>
          <w:tcPr>
            <w:tcW w:w="0" w:type="auto"/>
            <w:vAlign w:val="center"/>
            <w:hideMark/>
          </w:tcPr>
          <w:p w14:paraId="2281852A" w14:textId="77777777" w:rsidR="00000000" w:rsidRDefault="00195E73">
            <w:pPr>
              <w:rPr>
                <w:rFonts w:eastAsia="Times New Roman"/>
                <w:sz w:val="20"/>
                <w:szCs w:val="20"/>
              </w:rPr>
            </w:pPr>
          </w:p>
        </w:tc>
        <w:tc>
          <w:tcPr>
            <w:tcW w:w="0" w:type="auto"/>
            <w:vAlign w:val="center"/>
            <w:hideMark/>
          </w:tcPr>
          <w:p w14:paraId="5DDE5A72" w14:textId="77777777" w:rsidR="00000000" w:rsidRDefault="00195E73">
            <w:pPr>
              <w:rPr>
                <w:rFonts w:eastAsia="Times New Roman"/>
                <w:sz w:val="20"/>
                <w:szCs w:val="20"/>
              </w:rPr>
            </w:pPr>
          </w:p>
        </w:tc>
      </w:tr>
    </w:tbl>
    <w:p w14:paraId="6CD819D8" w14:textId="77777777" w:rsidR="00000000" w:rsidRDefault="00195E73">
      <w:pPr>
        <w:divId w:val="355467377"/>
        <w:rPr>
          <w:rFonts w:eastAsia="Times New Roman"/>
        </w:rPr>
      </w:pPr>
    </w:p>
    <w:p w14:paraId="39647745" w14:textId="77777777" w:rsidR="00000000" w:rsidRDefault="00195E73">
      <w:pPr>
        <w:divId w:val="1896771473"/>
        <w:rPr>
          <w:rFonts w:eastAsia="Times New Roman"/>
        </w:rPr>
      </w:pPr>
      <w:r>
        <w:rPr>
          <w:rFonts w:eastAsia="Times New Roman"/>
          <w:b/>
          <w:bCs/>
          <w:i/>
          <w:iCs/>
          <w:color w:val="000000"/>
          <w:sz w:val="20"/>
          <w:szCs w:val="20"/>
          <w:shd w:val="clear" w:color="auto" w:fill="FFFFFF"/>
        </w:rPr>
        <w:t>Fair Value of Financial Instruments</w:t>
      </w:r>
    </w:p>
    <w:p w14:paraId="5E405906" w14:textId="77777777" w:rsidR="00000000" w:rsidRDefault="00195E73">
      <w:pPr>
        <w:ind w:firstLine="450"/>
        <w:divId w:val="831871999"/>
        <w:rPr>
          <w:rFonts w:eastAsia="Times New Roman"/>
        </w:rPr>
      </w:pPr>
      <w:r>
        <w:rPr>
          <w:rFonts w:eastAsia="Times New Roman"/>
          <w:color w:val="000000"/>
          <w:sz w:val="20"/>
          <w:szCs w:val="20"/>
        </w:rPr>
        <w:t>Th</w:t>
      </w:r>
      <w:r>
        <w:rPr>
          <w:rFonts w:eastAsia="Times New Roman"/>
          <w:color w:val="000000"/>
          <w:sz w:val="20"/>
          <w:szCs w:val="20"/>
        </w:rPr>
        <w:t>e</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carrying values of cash and cash equivalents, cash held at consolidated affiliated partnerships and restricted cash, accounts receivable</w:t>
      </w:r>
      <w:r>
        <w:rPr>
          <w:rFonts w:eastAsia="Times New Roman"/>
          <w:color w:val="000000"/>
          <w:sz w:val="20"/>
          <w:szCs w:val="20"/>
          <w:shd w:val="clear" w:color="auto" w:fill="FFFFFF"/>
        </w:rPr>
        <w:t>,</w:t>
      </w:r>
      <w:r>
        <w:rPr>
          <w:rFonts w:eastAsia="Times New Roman"/>
          <w:color w:val="000000"/>
          <w:sz w:val="20"/>
          <w:szCs w:val="20"/>
        </w:rPr>
        <w:t xml:space="preserve"> due from brokers, </w:t>
      </w:r>
      <w:r>
        <w:rPr>
          <w:rFonts w:eastAsia="Times New Roman"/>
          <w:color w:val="000000"/>
          <w:sz w:val="20"/>
          <w:szCs w:val="20"/>
        </w:rPr>
        <w:t>a</w:t>
      </w:r>
      <w:r>
        <w:rPr>
          <w:rFonts w:eastAsia="Times New Roman"/>
          <w:color w:val="000000"/>
          <w:sz w:val="20"/>
          <w:szCs w:val="20"/>
          <w:shd w:val="clear" w:color="auto" w:fill="FFFFFF"/>
        </w:rPr>
        <w:t>ccounts payable, accrued expenses and other liabilities and due to brokers are deemed to be reasonable estimates of their fair values because of their short-term nature.</w:t>
      </w:r>
      <w:r>
        <w:rPr>
          <w:rFonts w:eastAsia="Times New Roman"/>
          <w:color w:val="000000"/>
          <w:sz w:val="20"/>
          <w:szCs w:val="20"/>
          <w:shd w:val="clear" w:color="auto" w:fill="FFFFFF"/>
        </w:rPr>
        <w:t xml:space="preserve"> </w:t>
      </w:r>
      <w:r>
        <w:rPr>
          <w:rFonts w:eastAsia="Times New Roman"/>
          <w:color w:val="000000"/>
          <w:sz w:val="20"/>
          <w:szCs w:val="20"/>
        </w:rPr>
        <w:t>Se</w:t>
      </w:r>
      <w:r>
        <w:rPr>
          <w:rFonts w:eastAsia="Times New Roman"/>
          <w:color w:val="000000"/>
          <w:sz w:val="20"/>
          <w:szCs w:val="20"/>
        </w:rPr>
        <w:t>e</w:t>
      </w:r>
      <w:r>
        <w:rPr>
          <w:rFonts w:eastAsia="Times New Roman"/>
          <w:color w:val="000000"/>
          <w:sz w:val="20"/>
          <w:szCs w:val="20"/>
          <w:shd w:val="clear" w:color="auto" w:fill="FFFFFF"/>
        </w:rPr>
        <w:t xml:space="preserve"> Note 4, </w:t>
      </w:r>
      <w:r>
        <w:rPr>
          <w:rFonts w:eastAsia="Times New Roman"/>
          <w:color w:val="000000"/>
          <w:sz w:val="20"/>
          <w:szCs w:val="20"/>
          <w:shd w:val="clear" w:color="auto" w:fill="FFFFFF"/>
        </w:rPr>
        <w:t>“</w:t>
      </w:r>
      <w:r>
        <w:rPr>
          <w:rFonts w:eastAsia="Times New Roman"/>
          <w:color w:val="000000"/>
          <w:sz w:val="20"/>
          <w:szCs w:val="20"/>
        </w:rPr>
        <w:t>Investment</w:t>
      </w:r>
      <w:r>
        <w:rPr>
          <w:rFonts w:eastAsia="Times New Roman"/>
          <w:color w:val="000000"/>
          <w:sz w:val="20"/>
          <w:szCs w:val="20"/>
        </w:rPr>
        <w:t>s</w:t>
      </w:r>
      <w:r>
        <w:rPr>
          <w:rFonts w:eastAsia="Times New Roman"/>
          <w:color w:val="000000"/>
          <w:sz w:val="20"/>
          <w:szCs w:val="20"/>
          <w:shd w:val="clear" w:color="auto" w:fill="FFFFFF"/>
        </w:rPr>
        <w:t xml:space="preserve">,” and Note 5, </w:t>
      </w:r>
      <w:r>
        <w:rPr>
          <w:rFonts w:eastAsia="Times New Roman"/>
          <w:color w:val="000000"/>
          <w:sz w:val="20"/>
          <w:szCs w:val="20"/>
          <w:shd w:val="clear" w:color="auto" w:fill="FFFFFF"/>
        </w:rPr>
        <w:t>“</w:t>
      </w:r>
      <w:r>
        <w:rPr>
          <w:rFonts w:eastAsia="Times New Roman"/>
          <w:color w:val="000000"/>
          <w:sz w:val="20"/>
          <w:szCs w:val="20"/>
        </w:rPr>
        <w:t>Fair Value Measurement</w:t>
      </w:r>
      <w:r>
        <w:rPr>
          <w:rFonts w:eastAsia="Times New Roman"/>
          <w:color w:val="000000"/>
          <w:sz w:val="20"/>
          <w:szCs w:val="20"/>
        </w:rPr>
        <w:t>s</w:t>
      </w:r>
      <w:r>
        <w:rPr>
          <w:rFonts w:eastAsia="Times New Roman"/>
          <w:color w:val="000000"/>
          <w:sz w:val="20"/>
          <w:szCs w:val="20"/>
          <w:shd w:val="clear" w:color="auto" w:fill="FFFFFF"/>
        </w:rPr>
        <w:t>,” for a detailed discu</w:t>
      </w:r>
      <w:r>
        <w:rPr>
          <w:rFonts w:eastAsia="Times New Roman"/>
          <w:color w:val="000000"/>
          <w:sz w:val="20"/>
          <w:szCs w:val="20"/>
          <w:shd w:val="clear" w:color="auto" w:fill="FFFFFF"/>
        </w:rPr>
        <w:t>ssion of our investments and other</w:t>
      </w:r>
      <w:r>
        <w:rPr>
          <w:rFonts w:eastAsia="Times New Roman"/>
          <w:color w:val="000000"/>
          <w:sz w:val="20"/>
          <w:szCs w:val="20"/>
          <w:shd w:val="clear" w:color="auto" w:fill="FFFFFF"/>
        </w:rPr>
        <w:t xml:space="preserve"> </w:t>
      </w:r>
      <w:r>
        <w:rPr>
          <w:rFonts w:eastAsia="Times New Roman"/>
          <w:color w:val="000000"/>
          <w:sz w:val="20"/>
          <w:szCs w:val="20"/>
        </w:rPr>
        <w:t>non-financial assets and/or liabilitie</w:t>
      </w:r>
      <w:r>
        <w:rPr>
          <w:rFonts w:eastAsia="Times New Roman"/>
          <w:color w:val="000000"/>
          <w:sz w:val="20"/>
          <w:szCs w:val="20"/>
        </w:rPr>
        <w:t>s</w:t>
      </w:r>
      <w:r>
        <w:rPr>
          <w:rFonts w:eastAsia="Times New Roman"/>
          <w:color w:val="000000"/>
          <w:sz w:val="20"/>
          <w:szCs w:val="20"/>
          <w:shd w:val="clear" w:color="auto" w:fill="FFFFFF"/>
        </w:rPr>
        <w:t>.</w:t>
      </w:r>
    </w:p>
    <w:p w14:paraId="65A4158B" w14:textId="77777777" w:rsidR="00000000" w:rsidRDefault="00195E73">
      <w:pPr>
        <w:ind w:firstLine="450"/>
        <w:divId w:val="1847551816"/>
        <w:rPr>
          <w:rFonts w:eastAsia="Times New Roman"/>
        </w:rPr>
      </w:pPr>
      <w:r>
        <w:rPr>
          <w:rFonts w:eastAsia="Times New Roman"/>
          <w:color w:val="000000"/>
          <w:sz w:val="20"/>
          <w:szCs w:val="20"/>
        </w:rPr>
        <w:t>The fair value of our long-term debt is based on the quoted market prices for the same or similar issues or on the current rates offered to us for debt of the same remaining maturi</w:t>
      </w:r>
      <w:r>
        <w:rPr>
          <w:rFonts w:eastAsia="Times New Roman"/>
          <w:color w:val="000000"/>
          <w:sz w:val="20"/>
          <w:szCs w:val="20"/>
        </w:rPr>
        <w:t>ties. The carrying value and estimated fair value of our debt as of December 31, 2019 was approximately $8.2 billion and $7.7 billion, respectively. The carrying value and estimated fair value of our debt as of December 31, 2018 was approximately $7.3 bill</w:t>
      </w:r>
      <w:r>
        <w:rPr>
          <w:rFonts w:eastAsia="Times New Roman"/>
          <w:color w:val="000000"/>
          <w:sz w:val="20"/>
          <w:szCs w:val="20"/>
        </w:rPr>
        <w:t>ion and $7.3 billion, respectively</w:t>
      </w:r>
      <w:r>
        <w:rPr>
          <w:rFonts w:eastAsia="Times New Roman"/>
          <w:color w:val="000000"/>
          <w:sz w:val="20"/>
          <w:szCs w:val="20"/>
        </w:rPr>
        <w:t>.</w:t>
      </w:r>
    </w:p>
    <w:p w14:paraId="62DB5195" w14:textId="77777777" w:rsidR="00000000" w:rsidRDefault="00195E73">
      <w:pPr>
        <w:divId w:val="1240599787"/>
        <w:rPr>
          <w:rFonts w:eastAsia="Times New Roman"/>
        </w:rPr>
      </w:pPr>
      <w:r>
        <w:rPr>
          <w:rFonts w:eastAsia="Times New Roman"/>
          <w:b/>
          <w:bCs/>
          <w:i/>
          <w:iCs/>
          <w:color w:val="000000"/>
          <w:sz w:val="20"/>
          <w:szCs w:val="20"/>
        </w:rPr>
        <w:t>Acquisitions of Businesse</w:t>
      </w:r>
      <w:r>
        <w:rPr>
          <w:rFonts w:eastAsia="Times New Roman"/>
          <w:b/>
          <w:bCs/>
          <w:i/>
          <w:iCs/>
          <w:color w:val="000000"/>
          <w:sz w:val="20"/>
          <w:szCs w:val="20"/>
        </w:rPr>
        <w:t>s</w:t>
      </w:r>
    </w:p>
    <w:p w14:paraId="12D5A40A" w14:textId="77777777" w:rsidR="00000000" w:rsidRDefault="00195E73">
      <w:pPr>
        <w:ind w:firstLine="405"/>
        <w:divId w:val="322439176"/>
        <w:rPr>
          <w:rFonts w:eastAsia="Times New Roman"/>
        </w:rPr>
      </w:pPr>
      <w:r>
        <w:rPr>
          <w:rFonts w:eastAsia="Times New Roman"/>
          <w:color w:val="000000"/>
          <w:sz w:val="20"/>
          <w:szCs w:val="20"/>
        </w:rPr>
        <w:t>We account for business combinations under the acquisition method of accounting (other than acquisitions of businesses under common control), which requires us to recognize separately from good</w:t>
      </w:r>
      <w:r>
        <w:rPr>
          <w:rFonts w:eastAsia="Times New Roman"/>
          <w:color w:val="000000"/>
          <w:sz w:val="20"/>
          <w:szCs w:val="20"/>
        </w:rPr>
        <w:t>will the assets acquired and the liabilities assumed at their acquisition date fair values. While we use our best estimates and assumptions to accurately value assets acquired and liabilities assumed at the acquisition date as well as contingent considerat</w:t>
      </w:r>
      <w:r>
        <w:rPr>
          <w:rFonts w:eastAsia="Times New Roman"/>
          <w:color w:val="000000"/>
          <w:sz w:val="20"/>
          <w:szCs w:val="20"/>
        </w:rPr>
        <w:t>ion, where applicable, our estimates are inherently uncertain and subject to refinement.</w:t>
      </w:r>
      <w:r>
        <w:rPr>
          <w:rFonts w:eastAsia="Times New Roman"/>
          <w:color w:val="000000"/>
          <w:sz w:val="20"/>
          <w:szCs w:val="20"/>
        </w:rPr>
        <w:t xml:space="preserve"> </w:t>
      </w:r>
    </w:p>
    <w:p w14:paraId="2902BE1E" w14:textId="77777777" w:rsidR="00000000" w:rsidRDefault="00195E73">
      <w:pPr>
        <w:ind w:firstLine="405"/>
        <w:divId w:val="538981306"/>
        <w:rPr>
          <w:rFonts w:eastAsia="Times New Roman"/>
        </w:rPr>
      </w:pPr>
      <w:r>
        <w:rPr>
          <w:rFonts w:eastAsia="Times New Roman"/>
          <w:color w:val="000000"/>
          <w:sz w:val="20"/>
          <w:szCs w:val="20"/>
        </w:rPr>
        <w:t>Accounting for business combinations requires us to make significant estimates and assumptions, especially at the acquisition date including our estimates for intangi</w:t>
      </w:r>
      <w:r>
        <w:rPr>
          <w:rFonts w:eastAsia="Times New Roman"/>
          <w:color w:val="000000"/>
          <w:sz w:val="20"/>
          <w:szCs w:val="20"/>
        </w:rPr>
        <w:t>ble assets, contractual obligations assumed, pre-acquisition contingencies, and contingent consideration, where applicable. In valuing our acquisitions, we estimate fair values based on industry data and trends and by reference to relevant market rates and</w:t>
      </w:r>
      <w:r>
        <w:rPr>
          <w:rFonts w:eastAsia="Times New Roman"/>
          <w:color w:val="000000"/>
          <w:sz w:val="20"/>
          <w:szCs w:val="20"/>
        </w:rPr>
        <w:t xml:space="preserve"> transactions, and discounted cash flow valuation methods, among other factors. The discount rates used were commensurate with the inherent risks associated with each type of asset and the level and timing of cash flows appropriately reflect market partici</w:t>
      </w:r>
      <w:r>
        <w:rPr>
          <w:rFonts w:eastAsia="Times New Roman"/>
          <w:color w:val="000000"/>
          <w:sz w:val="20"/>
          <w:szCs w:val="20"/>
        </w:rPr>
        <w:t>pant assumptions. The primary items that generate goodwill include the value of the synergies between the acquired company and our existing businesses and the value of the acquired assembled workforce, neither of which qualifies for recognition as an intan</w:t>
      </w:r>
      <w:r>
        <w:rPr>
          <w:rFonts w:eastAsia="Times New Roman"/>
          <w:color w:val="000000"/>
          <w:sz w:val="20"/>
          <w:szCs w:val="20"/>
        </w:rPr>
        <w:t>gible asset.</w:t>
      </w:r>
      <w:r>
        <w:rPr>
          <w:rFonts w:eastAsia="Times New Roman"/>
          <w:color w:val="000000"/>
          <w:sz w:val="20"/>
          <w:szCs w:val="20"/>
        </w:rPr>
        <w:t> </w:t>
      </w:r>
    </w:p>
    <w:p w14:paraId="69445E5C" w14:textId="77777777" w:rsidR="00000000" w:rsidRDefault="00195E73">
      <w:pPr>
        <w:divId w:val="1803845260"/>
        <w:rPr>
          <w:rFonts w:eastAsia="Times New Roman"/>
        </w:rPr>
      </w:pPr>
      <w:r>
        <w:rPr>
          <w:rFonts w:eastAsia="Times New Roman"/>
          <w:b/>
          <w:bCs/>
          <w:i/>
          <w:iCs/>
          <w:color w:val="000000"/>
          <w:sz w:val="20"/>
          <w:szCs w:val="20"/>
        </w:rPr>
        <w:t>Acquisition, Investments and Disposition of Entities under Common Contro</w:t>
      </w:r>
      <w:r>
        <w:rPr>
          <w:rFonts w:eastAsia="Times New Roman"/>
          <w:b/>
          <w:bCs/>
          <w:i/>
          <w:iCs/>
          <w:color w:val="000000"/>
          <w:sz w:val="20"/>
          <w:szCs w:val="20"/>
        </w:rPr>
        <w:t>l</w:t>
      </w:r>
    </w:p>
    <w:p w14:paraId="7EE4EAFA" w14:textId="77777777" w:rsidR="00000000" w:rsidRDefault="00195E73">
      <w:pPr>
        <w:ind w:firstLine="450"/>
        <w:divId w:val="1732731997"/>
        <w:rPr>
          <w:rFonts w:eastAsia="Times New Roman"/>
        </w:rPr>
      </w:pPr>
      <w:r>
        <w:rPr>
          <w:rFonts w:eastAsia="Times New Roman"/>
          <w:color w:val="000000"/>
          <w:sz w:val="20"/>
          <w:szCs w:val="20"/>
        </w:rPr>
        <w:t>Acquisitions or investments of entities under common control are reflected in a manner similar to pooling of interests. The general partner’s capital account or non-controlling interests, as applicable, are charged or credited for the difference between th</w:t>
      </w:r>
      <w:r>
        <w:rPr>
          <w:rFonts w:eastAsia="Times New Roman"/>
          <w:color w:val="000000"/>
          <w:sz w:val="20"/>
          <w:szCs w:val="20"/>
        </w:rPr>
        <w:t>e consideration we pay for the entity and the related entity’s basis prior to our acquisition or investment. Net gains or losses of an acquired entity prior to its acquisition or investment date are allocated to the general partner’s capital account or non</w:t>
      </w:r>
      <w:r>
        <w:rPr>
          <w:rFonts w:eastAsia="Times New Roman"/>
          <w:color w:val="000000"/>
          <w:sz w:val="20"/>
          <w:szCs w:val="20"/>
        </w:rPr>
        <w:t>-controlling interests, as applicable. In allocating gains and losses upon the sale of a previously acquired common control entity,</w:t>
      </w:r>
      <w:r>
        <w:rPr>
          <w:rFonts w:eastAsia="Times New Roman"/>
          <w:color w:val="000000"/>
          <w:sz w:val="20"/>
          <w:szCs w:val="20"/>
        </w:rPr>
        <w:t xml:space="preserve"> </w:t>
      </w:r>
    </w:p>
    <w:p w14:paraId="2F1766D1" w14:textId="77777777" w:rsidR="00000000" w:rsidRDefault="00195E73">
      <w:pPr>
        <w:jc w:val="center"/>
        <w:divId w:val="1484195219"/>
        <w:rPr>
          <w:rFonts w:eastAsia="Times New Roman"/>
        </w:rPr>
      </w:pPr>
      <w:r>
        <w:rPr>
          <w:rFonts w:eastAsia="Times New Roman"/>
          <w:color w:val="000000"/>
          <w:sz w:val="20"/>
          <w:szCs w:val="20"/>
        </w:rPr>
        <w:t>7</w:t>
      </w:r>
      <w:r>
        <w:rPr>
          <w:rFonts w:eastAsia="Times New Roman"/>
          <w:color w:val="000000"/>
          <w:sz w:val="20"/>
          <w:szCs w:val="20"/>
        </w:rPr>
        <w:t>0</w:t>
      </w:r>
    </w:p>
    <w:p w14:paraId="2FD02C47" w14:textId="77777777" w:rsidR="00000000" w:rsidRDefault="00195E73">
      <w:pPr>
        <w:rPr>
          <w:rFonts w:eastAsia="Times New Roman"/>
        </w:rPr>
      </w:pPr>
      <w:r>
        <w:rPr>
          <w:rFonts w:eastAsia="Times New Roman"/>
        </w:rPr>
        <w:pict w14:anchorId="6098F918">
          <v:rect id="_x0000_i1096" style="width:0;height:1.5pt" o:hralign="center" o:hrstd="t" o:hr="t" fillcolor="#a0a0a0" stroked="f"/>
        </w:pict>
      </w:r>
    </w:p>
    <w:p w14:paraId="603F7D27" w14:textId="77777777" w:rsidR="00000000" w:rsidRDefault="00195E73">
      <w:pPr>
        <w:jc w:val="center"/>
        <w:divId w:val="157769205"/>
        <w:rPr>
          <w:rFonts w:eastAsia="Times New Roman"/>
        </w:rPr>
      </w:pPr>
    </w:p>
    <w:p w14:paraId="7EB12771" w14:textId="77777777" w:rsidR="00000000" w:rsidRDefault="00195E73">
      <w:pPr>
        <w:jc w:val="center"/>
        <w:divId w:val="157769205"/>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6D4317EE" w14:textId="77777777" w:rsidR="00000000" w:rsidRDefault="00195E73">
      <w:pPr>
        <w:jc w:val="center"/>
        <w:divId w:val="157769205"/>
        <w:rPr>
          <w:rFonts w:eastAsia="Times New Roman"/>
        </w:rPr>
      </w:pPr>
      <w:r>
        <w:rPr>
          <w:rFonts w:eastAsia="Times New Roman"/>
          <w:b/>
          <w:bCs/>
          <w:color w:val="000000"/>
          <w:sz w:val="20"/>
          <w:szCs w:val="20"/>
        </w:rPr>
        <w:t>ICAHN ENTERPRISES HOLDINGS L.P. AND SUBSID</w:t>
      </w:r>
      <w:r>
        <w:rPr>
          <w:rFonts w:eastAsia="Times New Roman"/>
          <w:b/>
          <w:bCs/>
          <w:color w:val="000000"/>
          <w:sz w:val="20"/>
          <w:szCs w:val="20"/>
        </w:rPr>
        <w:t>IARIE</w:t>
      </w:r>
      <w:r>
        <w:rPr>
          <w:rFonts w:eastAsia="Times New Roman"/>
          <w:b/>
          <w:bCs/>
          <w:color w:val="000000"/>
          <w:sz w:val="20"/>
          <w:szCs w:val="20"/>
        </w:rPr>
        <w:t>S</w:t>
      </w:r>
    </w:p>
    <w:p w14:paraId="41F9E54B" w14:textId="77777777" w:rsidR="00000000" w:rsidRDefault="00195E73">
      <w:pPr>
        <w:jc w:val="center"/>
        <w:divId w:val="157769205"/>
        <w:rPr>
          <w:rFonts w:eastAsia="Times New Roman"/>
        </w:rPr>
      </w:pPr>
    </w:p>
    <w:p w14:paraId="2ADE5460" w14:textId="77777777" w:rsidR="00000000" w:rsidRDefault="00195E73">
      <w:pPr>
        <w:jc w:val="center"/>
        <w:divId w:val="157769205"/>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2E57B075" w14:textId="77777777" w:rsidR="00000000" w:rsidRDefault="00195E73">
      <w:pPr>
        <w:divId w:val="873352627"/>
        <w:rPr>
          <w:rFonts w:eastAsia="Times New Roman"/>
        </w:rPr>
      </w:pPr>
      <w:r>
        <w:rPr>
          <w:rFonts w:eastAsia="Times New Roman"/>
          <w:color w:val="000000"/>
          <w:sz w:val="20"/>
          <w:szCs w:val="20"/>
        </w:rPr>
        <w:t>we allocate a gain or loss for financial reporting purposes by first restoring the general partner’s capital account or non-controlling interests, as applicable, for the cumulative charges or credits rela</w:t>
      </w:r>
      <w:r>
        <w:rPr>
          <w:rFonts w:eastAsia="Times New Roman"/>
          <w:color w:val="000000"/>
          <w:sz w:val="20"/>
          <w:szCs w:val="20"/>
        </w:rPr>
        <w:t>ting to prior periods recorded at the time of our acquisition or investment and then allocating the remaining gain or loss (“Common Control Gains or Losses”) among our general partner, limited partners and non-controlling interests, as applicable, in accor</w:t>
      </w:r>
      <w:r>
        <w:rPr>
          <w:rFonts w:eastAsia="Times New Roman"/>
          <w:color w:val="000000"/>
          <w:sz w:val="20"/>
          <w:szCs w:val="20"/>
        </w:rPr>
        <w:t>dance with their respective ownership percentages. In the case of acquisitions of entities under common control, such Common Control Gains or Losses are allocated in accordance with their respective partnership percentages under the Amended and Restated Ag</w:t>
      </w:r>
      <w:r>
        <w:rPr>
          <w:rFonts w:eastAsia="Times New Roman"/>
          <w:color w:val="000000"/>
          <w:sz w:val="20"/>
          <w:szCs w:val="20"/>
        </w:rPr>
        <w:t>reement of Limited Partnership dated as of May 12, 1987, as amended from time to time (together with the partnership agreement of Icahn Enterprises Holdings, the “Partnership Agreement”) (i.e., 98.01% to the limited partners and 1.99% to the general partne</w:t>
      </w:r>
      <w:r>
        <w:rPr>
          <w:rFonts w:eastAsia="Times New Roman"/>
          <w:color w:val="000000"/>
          <w:sz w:val="20"/>
          <w:szCs w:val="20"/>
        </w:rPr>
        <w:t>r)</w:t>
      </w:r>
      <w:r>
        <w:rPr>
          <w:rFonts w:eastAsia="Times New Roman"/>
          <w:color w:val="000000"/>
          <w:sz w:val="20"/>
          <w:szCs w:val="20"/>
        </w:rPr>
        <w:t>.</w:t>
      </w:r>
    </w:p>
    <w:p w14:paraId="75193A37" w14:textId="77777777" w:rsidR="00000000" w:rsidRDefault="00195E73">
      <w:pPr>
        <w:divId w:val="2104522813"/>
        <w:rPr>
          <w:rFonts w:eastAsia="Times New Roman"/>
        </w:rPr>
      </w:pPr>
      <w:r>
        <w:rPr>
          <w:rFonts w:eastAsia="Times New Roman"/>
          <w:b/>
          <w:bCs/>
          <w:i/>
          <w:iCs/>
          <w:color w:val="000000"/>
          <w:sz w:val="20"/>
          <w:szCs w:val="20"/>
        </w:rPr>
        <w:t>Cash Flo</w:t>
      </w:r>
      <w:r>
        <w:rPr>
          <w:rFonts w:eastAsia="Times New Roman"/>
          <w:b/>
          <w:bCs/>
          <w:i/>
          <w:iCs/>
          <w:color w:val="000000"/>
          <w:sz w:val="20"/>
          <w:szCs w:val="20"/>
        </w:rPr>
        <w:t>w</w:t>
      </w:r>
    </w:p>
    <w:p w14:paraId="63DB3548" w14:textId="77777777" w:rsidR="00000000" w:rsidRDefault="00195E73">
      <w:pPr>
        <w:ind w:firstLine="450"/>
        <w:divId w:val="1822574526"/>
        <w:rPr>
          <w:rFonts w:eastAsia="Times New Roman"/>
        </w:rPr>
      </w:pPr>
      <w:r>
        <w:rPr>
          <w:rFonts w:eastAsia="Times New Roman"/>
          <w:color w:val="000000"/>
          <w:sz w:val="20"/>
          <w:szCs w:val="20"/>
        </w:rPr>
        <w:t>Cash and cash equivalents and restricted cash and restricted cash equivalents in our consolidated statements of cash flows is comprised of (i) cash and cash equivalents and (ii) cash held at consolidated affiliated partnerships and restricted</w:t>
      </w:r>
      <w:r>
        <w:rPr>
          <w:rFonts w:eastAsia="Times New Roman"/>
          <w:color w:val="000000"/>
          <w:sz w:val="20"/>
          <w:szCs w:val="20"/>
        </w:rPr>
        <w:t xml:space="preserve"> cash.</w:t>
      </w:r>
      <w:r>
        <w:rPr>
          <w:rFonts w:eastAsia="Times New Roman"/>
          <w:color w:val="000000"/>
          <w:sz w:val="20"/>
          <w:szCs w:val="20"/>
        </w:rPr>
        <w:t xml:space="preserve"> </w:t>
      </w:r>
    </w:p>
    <w:p w14:paraId="6B97FB2C" w14:textId="77777777" w:rsidR="00000000" w:rsidRDefault="00195E73">
      <w:pPr>
        <w:divId w:val="1834682959"/>
        <w:rPr>
          <w:rFonts w:eastAsia="Times New Roman"/>
        </w:rPr>
      </w:pPr>
      <w:r>
        <w:rPr>
          <w:rFonts w:eastAsia="Times New Roman"/>
          <w:b/>
          <w:bCs/>
          <w:i/>
          <w:iCs/>
          <w:color w:val="000000"/>
          <w:sz w:val="20"/>
          <w:szCs w:val="20"/>
        </w:rPr>
        <w:t>Cash and Cash Equivalent</w:t>
      </w:r>
      <w:r>
        <w:rPr>
          <w:rFonts w:eastAsia="Times New Roman"/>
          <w:b/>
          <w:bCs/>
          <w:i/>
          <w:iCs/>
          <w:color w:val="000000"/>
          <w:sz w:val="20"/>
          <w:szCs w:val="20"/>
        </w:rPr>
        <w:t>s</w:t>
      </w:r>
    </w:p>
    <w:p w14:paraId="408BB607" w14:textId="77777777" w:rsidR="00000000" w:rsidRDefault="00195E73">
      <w:pPr>
        <w:ind w:firstLine="450"/>
        <w:divId w:val="376704570"/>
        <w:rPr>
          <w:rFonts w:eastAsia="Times New Roman"/>
        </w:rPr>
      </w:pPr>
      <w:r>
        <w:rPr>
          <w:rFonts w:eastAsia="Times New Roman"/>
          <w:color w:val="000000"/>
          <w:sz w:val="20"/>
          <w:szCs w:val="20"/>
        </w:rPr>
        <w:t>We consider short-term investments, which are highly liquid with original maturities of three months or less at date of purchase, to be cash equivalents</w:t>
      </w:r>
      <w:r>
        <w:rPr>
          <w:rFonts w:eastAsia="Times New Roman"/>
          <w:color w:val="000000"/>
          <w:sz w:val="20"/>
          <w:szCs w:val="20"/>
        </w:rPr>
        <w:t>.</w:t>
      </w:r>
    </w:p>
    <w:p w14:paraId="4AD30BE0" w14:textId="77777777" w:rsidR="00000000" w:rsidRDefault="00195E73">
      <w:pPr>
        <w:divId w:val="1561016253"/>
        <w:rPr>
          <w:rFonts w:eastAsia="Times New Roman"/>
        </w:rPr>
      </w:pPr>
      <w:r>
        <w:rPr>
          <w:rFonts w:eastAsia="Times New Roman"/>
          <w:b/>
          <w:bCs/>
          <w:i/>
          <w:iCs/>
          <w:color w:val="000000"/>
          <w:sz w:val="20"/>
          <w:szCs w:val="20"/>
        </w:rPr>
        <w:t>Cash Held at Consolidated Affiliated Partnerships and Restricted Cas</w:t>
      </w:r>
      <w:r>
        <w:rPr>
          <w:rFonts w:eastAsia="Times New Roman"/>
          <w:b/>
          <w:bCs/>
          <w:i/>
          <w:iCs/>
          <w:color w:val="000000"/>
          <w:sz w:val="20"/>
          <w:szCs w:val="20"/>
        </w:rPr>
        <w:t>h</w:t>
      </w:r>
    </w:p>
    <w:p w14:paraId="1D7B6858" w14:textId="77777777" w:rsidR="00000000" w:rsidRDefault="00195E73">
      <w:pPr>
        <w:ind w:firstLine="450"/>
        <w:divId w:val="1500001335"/>
        <w:rPr>
          <w:rFonts w:eastAsia="Times New Roman"/>
        </w:rPr>
      </w:pPr>
      <w:r>
        <w:rPr>
          <w:rFonts w:eastAsia="Times New Roman"/>
          <w:color w:val="000000"/>
          <w:sz w:val="20"/>
          <w:szCs w:val="20"/>
        </w:rPr>
        <w:t xml:space="preserve">Our cash held at consolidated affiliated partnerships balance was $86 million and $2,648 million as of December 31, 2019 and 2018, respectively. Cash held at consolidated affiliated partnerships relates to our Investment segment and consists of cash and </w:t>
      </w:r>
      <w:r>
        <w:rPr>
          <w:rFonts w:eastAsia="Times New Roman"/>
          <w:color w:val="000000"/>
          <w:sz w:val="20"/>
          <w:szCs w:val="20"/>
        </w:rPr>
        <w:t>cash equivalents held by the Investment Funds that, although not legally restricted, is not available to fund the general liquidity needs of the Investment segment or Icahn Enterprises.</w:t>
      </w:r>
      <w:r>
        <w:rPr>
          <w:rFonts w:eastAsia="Times New Roman"/>
          <w:color w:val="000000"/>
          <w:sz w:val="20"/>
          <w:szCs w:val="20"/>
        </w:rPr>
        <w:t xml:space="preserve"> </w:t>
      </w:r>
    </w:p>
    <w:p w14:paraId="225EB4E3" w14:textId="77777777" w:rsidR="00000000" w:rsidRDefault="00195E73">
      <w:pPr>
        <w:ind w:firstLine="450"/>
        <w:divId w:val="1008289090"/>
        <w:rPr>
          <w:rFonts w:eastAsia="Times New Roman"/>
        </w:rPr>
      </w:pPr>
      <w:r>
        <w:rPr>
          <w:rFonts w:eastAsia="Times New Roman"/>
          <w:color w:val="000000"/>
          <w:sz w:val="20"/>
          <w:szCs w:val="20"/>
        </w:rPr>
        <w:t xml:space="preserve">Our restricted cash balance was $1,065 million and $34 million as of </w:t>
      </w:r>
      <w:r>
        <w:rPr>
          <w:rFonts w:eastAsia="Times New Roman"/>
          <w:color w:val="000000"/>
          <w:sz w:val="20"/>
          <w:szCs w:val="20"/>
        </w:rPr>
        <w:t>December 31, 2019 and 2018, respectively. Restricted cash includes, but is not limited to, our Investment segment’s cash pledged and held for margin requirements on derivative transactions.</w:t>
      </w:r>
      <w:r>
        <w:rPr>
          <w:rFonts w:eastAsia="Times New Roman"/>
          <w:color w:val="000000"/>
          <w:sz w:val="20"/>
          <w:szCs w:val="20"/>
        </w:rPr>
        <w:t xml:space="preserve"> </w:t>
      </w:r>
    </w:p>
    <w:p w14:paraId="264E35CB" w14:textId="77777777" w:rsidR="00000000" w:rsidRDefault="00195E73">
      <w:pPr>
        <w:divId w:val="574820390"/>
        <w:rPr>
          <w:rFonts w:eastAsia="Times New Roman"/>
        </w:rPr>
      </w:pPr>
      <w:r>
        <w:rPr>
          <w:rFonts w:eastAsia="Times New Roman"/>
          <w:b/>
          <w:bCs/>
          <w:i/>
          <w:iCs/>
          <w:color w:val="000000"/>
          <w:sz w:val="20"/>
          <w:szCs w:val="20"/>
        </w:rPr>
        <w:t>Investments and Related Transaction</w:t>
      </w:r>
      <w:r>
        <w:rPr>
          <w:rFonts w:eastAsia="Times New Roman"/>
          <w:b/>
          <w:bCs/>
          <w:i/>
          <w:iCs/>
          <w:color w:val="000000"/>
          <w:sz w:val="20"/>
          <w:szCs w:val="20"/>
        </w:rPr>
        <w:t>s</w:t>
      </w:r>
    </w:p>
    <w:p w14:paraId="2172719B" w14:textId="77777777" w:rsidR="00000000" w:rsidRDefault="00195E73">
      <w:pPr>
        <w:divId w:val="106237646"/>
        <w:rPr>
          <w:rFonts w:eastAsia="Times New Roman"/>
        </w:rPr>
      </w:pPr>
      <w:r>
        <w:rPr>
          <w:rFonts w:eastAsia="Times New Roman"/>
          <w:i/>
          <w:iCs/>
          <w:color w:val="000000"/>
          <w:sz w:val="20"/>
          <w:szCs w:val="20"/>
        </w:rPr>
        <w:t>Investmen</w:t>
      </w:r>
      <w:r>
        <w:rPr>
          <w:rFonts w:eastAsia="Times New Roman"/>
          <w:i/>
          <w:iCs/>
          <w:color w:val="000000"/>
          <w:sz w:val="20"/>
          <w:szCs w:val="20"/>
        </w:rPr>
        <w:t>t</w:t>
      </w:r>
    </w:p>
    <w:p w14:paraId="3E7D1E60" w14:textId="77777777" w:rsidR="00000000" w:rsidRDefault="00195E73">
      <w:pPr>
        <w:ind w:firstLine="450"/>
        <w:divId w:val="2126002405"/>
        <w:rPr>
          <w:rFonts w:eastAsia="Times New Roman"/>
        </w:rPr>
      </w:pPr>
      <w:r>
        <w:rPr>
          <w:rFonts w:eastAsia="Times New Roman"/>
          <w:i/>
          <w:iCs/>
          <w:color w:val="000000"/>
          <w:sz w:val="20"/>
          <w:szCs w:val="20"/>
        </w:rPr>
        <w:t>Investment Transa</w:t>
      </w:r>
      <w:r>
        <w:rPr>
          <w:rFonts w:eastAsia="Times New Roman"/>
          <w:i/>
          <w:iCs/>
          <w:color w:val="000000"/>
          <w:sz w:val="20"/>
          <w:szCs w:val="20"/>
        </w:rPr>
        <w:t>ctions and Related Investment Income (Loss)</w:t>
      </w:r>
      <w:r>
        <w:rPr>
          <w:rFonts w:eastAsia="Times New Roman"/>
          <w:i/>
          <w:iCs/>
          <w:color w:val="000000"/>
          <w:sz w:val="20"/>
          <w:szCs w:val="20"/>
        </w:rPr>
        <w:t>.</w:t>
      </w:r>
      <w:r>
        <w:rPr>
          <w:rFonts w:eastAsia="Times New Roman"/>
          <w:color w:val="000000"/>
          <w:sz w:val="20"/>
          <w:szCs w:val="20"/>
        </w:rPr>
        <w:t xml:space="preserve"> Investment transactions of the Investment Funds are recorded on a trade date basis. Realized gains or losses on sales of investments are based on the first-in, first-out or the specific identification method. Re</w:t>
      </w:r>
      <w:r>
        <w:rPr>
          <w:rFonts w:eastAsia="Times New Roman"/>
          <w:color w:val="000000"/>
          <w:sz w:val="20"/>
          <w:szCs w:val="20"/>
        </w:rPr>
        <w:t>alized and unrealized gains or losses on investments are recorded in the consolidated statements of operations. Interest income and expenses are recorded on an accrual basis and dividends are recorded on the ex-dividend date. Premiums and discounts on fixe</w:t>
      </w:r>
      <w:r>
        <w:rPr>
          <w:rFonts w:eastAsia="Times New Roman"/>
          <w:color w:val="000000"/>
          <w:sz w:val="20"/>
          <w:szCs w:val="20"/>
        </w:rPr>
        <w:t>d income securities are amortized using the effective yield method</w:t>
      </w:r>
      <w:r>
        <w:rPr>
          <w:rFonts w:eastAsia="Times New Roman"/>
          <w:color w:val="000000"/>
          <w:sz w:val="20"/>
          <w:szCs w:val="20"/>
        </w:rPr>
        <w:t>.</w:t>
      </w:r>
    </w:p>
    <w:p w14:paraId="61032543" w14:textId="77777777" w:rsidR="00000000" w:rsidRDefault="00195E73">
      <w:pPr>
        <w:ind w:firstLine="450"/>
        <w:divId w:val="1310861455"/>
        <w:rPr>
          <w:rFonts w:eastAsia="Times New Roman"/>
        </w:rPr>
      </w:pPr>
      <w:r>
        <w:rPr>
          <w:rFonts w:eastAsia="Times New Roman"/>
          <w:color w:val="000000"/>
          <w:sz w:val="20"/>
          <w:szCs w:val="20"/>
        </w:rPr>
        <w:t>Investments held by our Investment segment are carried at fair value. Our Investment segment applies the fair value option to those investments that are otherwise subject to the equity met</w:t>
      </w:r>
      <w:r>
        <w:rPr>
          <w:rFonts w:eastAsia="Times New Roman"/>
          <w:color w:val="000000"/>
          <w:sz w:val="20"/>
          <w:szCs w:val="20"/>
        </w:rPr>
        <w:t>hod of accounting.</w:t>
      </w:r>
      <w:r>
        <w:rPr>
          <w:rFonts w:eastAsia="Times New Roman"/>
          <w:color w:val="000000"/>
          <w:sz w:val="20"/>
          <w:szCs w:val="20"/>
        </w:rPr>
        <w:t xml:space="preserve"> </w:t>
      </w:r>
    </w:p>
    <w:p w14:paraId="50B953C1" w14:textId="77777777" w:rsidR="00000000" w:rsidRDefault="00195E73">
      <w:pPr>
        <w:ind w:firstLine="450"/>
        <w:divId w:val="2105102169"/>
        <w:rPr>
          <w:rFonts w:eastAsia="Times New Roman"/>
        </w:rPr>
      </w:pPr>
      <w:r>
        <w:rPr>
          <w:rFonts w:eastAsia="Times New Roman"/>
          <w:i/>
          <w:iCs/>
          <w:color w:val="000000"/>
          <w:sz w:val="20"/>
          <w:szCs w:val="20"/>
        </w:rPr>
        <w:t>Valuation of Investments</w:t>
      </w:r>
      <w:r>
        <w:rPr>
          <w:rFonts w:eastAsia="Times New Roman"/>
          <w:i/>
          <w:iCs/>
          <w:color w:val="000000"/>
          <w:sz w:val="20"/>
          <w:szCs w:val="20"/>
        </w:rPr>
        <w:t>.</w:t>
      </w:r>
      <w:r>
        <w:rPr>
          <w:rFonts w:eastAsia="Times New Roman"/>
          <w:color w:val="000000"/>
          <w:sz w:val="20"/>
          <w:szCs w:val="20"/>
        </w:rPr>
        <w:t xml:space="preserve"> Securities of the Investment Funds that are listed on a securities exchange are valued at their last sales price on the primary securities exchange on which such securities are traded on such date. Securities t</w:t>
      </w:r>
      <w:r>
        <w:rPr>
          <w:rFonts w:eastAsia="Times New Roman"/>
          <w:color w:val="000000"/>
          <w:sz w:val="20"/>
          <w:szCs w:val="20"/>
        </w:rPr>
        <w:t>hat are not listed on any exchange but are traded over-the-counter are valued at the mean between the last “bid” and “ask” price for such security on such date. Securities and other instruments for which market quotes are not readily available are valued a</w:t>
      </w:r>
      <w:r>
        <w:rPr>
          <w:rFonts w:eastAsia="Times New Roman"/>
          <w:color w:val="000000"/>
          <w:sz w:val="20"/>
          <w:szCs w:val="20"/>
        </w:rPr>
        <w:t>t fair value as determined in good faith by the Investment Funds</w:t>
      </w:r>
      <w:r>
        <w:rPr>
          <w:rFonts w:eastAsia="Times New Roman"/>
          <w:color w:val="000000"/>
          <w:sz w:val="20"/>
          <w:szCs w:val="20"/>
        </w:rPr>
        <w:t>.</w:t>
      </w:r>
    </w:p>
    <w:p w14:paraId="70CEF9D6" w14:textId="77777777" w:rsidR="00000000" w:rsidRDefault="00195E73">
      <w:pPr>
        <w:ind w:firstLine="450"/>
        <w:divId w:val="773553448"/>
        <w:rPr>
          <w:rFonts w:eastAsia="Times New Roman"/>
        </w:rPr>
      </w:pPr>
      <w:r>
        <w:rPr>
          <w:rFonts w:eastAsia="Times New Roman"/>
          <w:i/>
          <w:iCs/>
          <w:color w:val="000000"/>
          <w:sz w:val="20"/>
          <w:szCs w:val="20"/>
        </w:rPr>
        <w:t>Foreign Currency Transactions</w:t>
      </w:r>
      <w:r>
        <w:rPr>
          <w:rFonts w:eastAsia="Times New Roman"/>
          <w:i/>
          <w:iCs/>
          <w:color w:val="000000"/>
          <w:sz w:val="20"/>
          <w:szCs w:val="20"/>
        </w:rPr>
        <w:t>.</w:t>
      </w:r>
      <w:r>
        <w:rPr>
          <w:rFonts w:eastAsia="Times New Roman"/>
          <w:color w:val="000000"/>
          <w:sz w:val="20"/>
          <w:szCs w:val="20"/>
        </w:rPr>
        <w:t xml:space="preserve"> The books and records of the Investment Funds are maintained in U.S. dollars. Assets and liabilities denominated in currencies other than U.S. dollars are tran</w:t>
      </w:r>
      <w:r>
        <w:rPr>
          <w:rFonts w:eastAsia="Times New Roman"/>
          <w:color w:val="000000"/>
          <w:sz w:val="20"/>
          <w:szCs w:val="20"/>
        </w:rPr>
        <w:t>slated into U.S. dollars at the rate of exchange in effect at the balance sheet date. Transactions during the period denominated in currencies other than U.S. dollars are translated at the rate of exchange applicable on the date of the transaction. Foreign</w:t>
      </w:r>
      <w:r>
        <w:rPr>
          <w:rFonts w:eastAsia="Times New Roman"/>
          <w:color w:val="000000"/>
          <w:sz w:val="20"/>
          <w:szCs w:val="20"/>
        </w:rPr>
        <w:t xml:space="preserve"> currency translation gains and losses are recorded in the consolidated statements of operations. The Investment Funds do not isolate that portion of the results of operations resulting from changes in foreign exchange rates on investments from the fluctua</w:t>
      </w:r>
      <w:r>
        <w:rPr>
          <w:rFonts w:eastAsia="Times New Roman"/>
          <w:color w:val="000000"/>
          <w:sz w:val="20"/>
          <w:szCs w:val="20"/>
        </w:rPr>
        <w:t>tions arising from changes in the market prices of securities. Such fluctuations are reflected in net gain (loss) from investment activities in the consolidated statements of operations</w:t>
      </w:r>
      <w:r>
        <w:rPr>
          <w:rFonts w:eastAsia="Times New Roman"/>
          <w:color w:val="000000"/>
          <w:sz w:val="20"/>
          <w:szCs w:val="20"/>
        </w:rPr>
        <w:t>.</w:t>
      </w:r>
    </w:p>
    <w:p w14:paraId="4F538811" w14:textId="77777777" w:rsidR="00000000" w:rsidRDefault="00195E73">
      <w:pPr>
        <w:ind w:firstLine="450"/>
        <w:divId w:val="144664466"/>
        <w:rPr>
          <w:rFonts w:eastAsia="Times New Roman"/>
        </w:rPr>
      </w:pPr>
      <w:r>
        <w:rPr>
          <w:rFonts w:eastAsia="Times New Roman"/>
          <w:i/>
          <w:iCs/>
          <w:color w:val="000000"/>
          <w:sz w:val="20"/>
          <w:szCs w:val="20"/>
        </w:rPr>
        <w:t>Fair Values of Financial Instruments</w:t>
      </w:r>
      <w:r>
        <w:rPr>
          <w:rFonts w:eastAsia="Times New Roman"/>
          <w:i/>
          <w:iCs/>
          <w:color w:val="000000"/>
          <w:sz w:val="20"/>
          <w:szCs w:val="20"/>
        </w:rPr>
        <w:t>.</w:t>
      </w:r>
      <w:r>
        <w:rPr>
          <w:rFonts w:eastAsia="Times New Roman"/>
          <w:color w:val="000000"/>
          <w:sz w:val="20"/>
          <w:szCs w:val="20"/>
        </w:rPr>
        <w:t xml:space="preserve"> The fair values of the Investme</w:t>
      </w:r>
      <w:r>
        <w:rPr>
          <w:rFonts w:eastAsia="Times New Roman"/>
          <w:color w:val="000000"/>
          <w:sz w:val="20"/>
          <w:szCs w:val="20"/>
        </w:rPr>
        <w:t>nt Funds’ assets and liabilities that qualify as financial instruments under applicable U.S. GAAP approximate the carrying amounts presented in the consolidated balance sheets</w:t>
      </w:r>
      <w:r>
        <w:rPr>
          <w:rFonts w:eastAsia="Times New Roman"/>
          <w:color w:val="000000"/>
          <w:sz w:val="20"/>
          <w:szCs w:val="20"/>
        </w:rPr>
        <w:t>.</w:t>
      </w:r>
    </w:p>
    <w:p w14:paraId="5297E1CC" w14:textId="77777777" w:rsidR="00000000" w:rsidRDefault="00195E73">
      <w:pPr>
        <w:jc w:val="center"/>
        <w:divId w:val="1871406968"/>
        <w:rPr>
          <w:rFonts w:eastAsia="Times New Roman"/>
        </w:rPr>
      </w:pPr>
      <w:r>
        <w:rPr>
          <w:rFonts w:eastAsia="Times New Roman"/>
          <w:color w:val="000000"/>
          <w:sz w:val="20"/>
          <w:szCs w:val="20"/>
        </w:rPr>
        <w:t>7</w:t>
      </w:r>
      <w:r>
        <w:rPr>
          <w:rFonts w:eastAsia="Times New Roman"/>
          <w:color w:val="000000"/>
          <w:sz w:val="20"/>
          <w:szCs w:val="20"/>
        </w:rPr>
        <w:t>1</w:t>
      </w:r>
    </w:p>
    <w:p w14:paraId="27BE1EFC" w14:textId="77777777" w:rsidR="00000000" w:rsidRDefault="00195E73">
      <w:pPr>
        <w:rPr>
          <w:rFonts w:eastAsia="Times New Roman"/>
        </w:rPr>
      </w:pPr>
      <w:r>
        <w:rPr>
          <w:rFonts w:eastAsia="Times New Roman"/>
        </w:rPr>
        <w:pict w14:anchorId="67990441">
          <v:rect id="_x0000_i1097" style="width:0;height:1.5pt" o:hralign="center" o:hrstd="t" o:hr="t" fillcolor="#a0a0a0" stroked="f"/>
        </w:pict>
      </w:r>
    </w:p>
    <w:p w14:paraId="43B77526" w14:textId="77777777" w:rsidR="00000000" w:rsidRDefault="00195E73">
      <w:pPr>
        <w:jc w:val="center"/>
        <w:divId w:val="1098871300"/>
        <w:rPr>
          <w:rFonts w:eastAsia="Times New Roman"/>
        </w:rPr>
      </w:pPr>
    </w:p>
    <w:p w14:paraId="70161735" w14:textId="77777777" w:rsidR="00000000" w:rsidRDefault="00195E73">
      <w:pPr>
        <w:jc w:val="center"/>
        <w:divId w:val="1098871300"/>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1A853562" w14:textId="77777777" w:rsidR="00000000" w:rsidRDefault="00195E73">
      <w:pPr>
        <w:jc w:val="center"/>
        <w:divId w:val="1098871300"/>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035D9E16" w14:textId="77777777" w:rsidR="00000000" w:rsidRDefault="00195E73">
      <w:pPr>
        <w:jc w:val="center"/>
        <w:divId w:val="1098871300"/>
        <w:rPr>
          <w:rFonts w:eastAsia="Times New Roman"/>
        </w:rPr>
      </w:pPr>
    </w:p>
    <w:p w14:paraId="39866F49" w14:textId="77777777" w:rsidR="00000000" w:rsidRDefault="00195E73">
      <w:pPr>
        <w:jc w:val="center"/>
        <w:divId w:val="1098871300"/>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75680D52" w14:textId="77777777" w:rsidR="00000000" w:rsidRDefault="00195E73">
      <w:pPr>
        <w:ind w:firstLine="450"/>
        <w:divId w:val="492645258"/>
        <w:rPr>
          <w:rFonts w:eastAsia="Times New Roman"/>
        </w:rPr>
      </w:pPr>
      <w:r>
        <w:rPr>
          <w:rFonts w:eastAsia="Times New Roman"/>
          <w:i/>
          <w:iCs/>
          <w:color w:val="000000"/>
          <w:sz w:val="20"/>
          <w:szCs w:val="20"/>
        </w:rPr>
        <w:t>Securities Sold, Not Yet Purchased</w:t>
      </w:r>
      <w:r>
        <w:rPr>
          <w:rFonts w:eastAsia="Times New Roman"/>
          <w:i/>
          <w:iCs/>
          <w:color w:val="000000"/>
          <w:sz w:val="20"/>
          <w:szCs w:val="20"/>
        </w:rPr>
        <w:t>.</w:t>
      </w:r>
      <w:r>
        <w:rPr>
          <w:rFonts w:eastAsia="Times New Roman"/>
          <w:color w:val="000000"/>
          <w:sz w:val="20"/>
          <w:szCs w:val="20"/>
        </w:rPr>
        <w:t xml:space="preserve"> </w:t>
      </w:r>
      <w:r>
        <w:rPr>
          <w:rFonts w:eastAsia="Times New Roman"/>
          <w:color w:val="000000"/>
          <w:sz w:val="20"/>
          <w:szCs w:val="20"/>
        </w:rPr>
        <w:t>The Investment Funds may sell an investment they do not own in anticipation of a decline in the fair value of that investment. When the Investment Funds sell an investment short, they must borrow the investment sold short and deliver it to the broker-deale</w:t>
      </w:r>
      <w:r>
        <w:rPr>
          <w:rFonts w:eastAsia="Times New Roman"/>
          <w:color w:val="000000"/>
          <w:sz w:val="20"/>
          <w:szCs w:val="20"/>
        </w:rPr>
        <w:t>r through which they made the short sale. A gain, limited to the price at which the Investment Funds sold the investment short, or a loss, unlimited in amount, will be recognized upon the cover of the short sale</w:t>
      </w:r>
      <w:r>
        <w:rPr>
          <w:rFonts w:eastAsia="Times New Roman"/>
          <w:color w:val="000000"/>
          <w:sz w:val="20"/>
          <w:szCs w:val="20"/>
        </w:rPr>
        <w:t>.</w:t>
      </w:r>
    </w:p>
    <w:p w14:paraId="33D3FFC5" w14:textId="77777777" w:rsidR="00000000" w:rsidRDefault="00195E73">
      <w:pPr>
        <w:ind w:firstLine="450"/>
        <w:divId w:val="1691293629"/>
        <w:rPr>
          <w:rFonts w:eastAsia="Times New Roman"/>
        </w:rPr>
      </w:pPr>
      <w:r>
        <w:rPr>
          <w:rFonts w:eastAsia="Times New Roman"/>
          <w:i/>
          <w:iCs/>
          <w:color w:val="000000"/>
          <w:sz w:val="20"/>
          <w:szCs w:val="20"/>
        </w:rPr>
        <w:t>Due From Brokers</w:t>
      </w:r>
      <w:r>
        <w:rPr>
          <w:rFonts w:eastAsia="Times New Roman"/>
          <w:i/>
          <w:iCs/>
          <w:color w:val="000000"/>
          <w:sz w:val="20"/>
          <w:szCs w:val="20"/>
        </w:rPr>
        <w:t>.</w:t>
      </w:r>
      <w:r>
        <w:rPr>
          <w:rFonts w:eastAsia="Times New Roman"/>
          <w:color w:val="000000"/>
          <w:sz w:val="20"/>
          <w:szCs w:val="20"/>
        </w:rPr>
        <w:t xml:space="preserve"> Due from brokers represen</w:t>
      </w:r>
      <w:r>
        <w:rPr>
          <w:rFonts w:eastAsia="Times New Roman"/>
          <w:color w:val="000000"/>
          <w:sz w:val="20"/>
          <w:szCs w:val="20"/>
        </w:rPr>
        <w:t>ts cash balances with the Investment Funds’ clearing brokers. These funds as well as fully-paid for and marginable securities are essentially restricted to the extent that they serve as collateral against securities sold, not yet purchased. Due from broker</w:t>
      </w:r>
      <w:r>
        <w:rPr>
          <w:rFonts w:eastAsia="Times New Roman"/>
          <w:color w:val="000000"/>
          <w:sz w:val="20"/>
          <w:szCs w:val="20"/>
        </w:rPr>
        <w:t>s may also include unrestricted balances with derivative counterparties.</w:t>
      </w:r>
      <w:r>
        <w:rPr>
          <w:rFonts w:eastAsia="Times New Roman"/>
          <w:color w:val="000000"/>
          <w:sz w:val="20"/>
          <w:szCs w:val="20"/>
        </w:rPr>
        <w:t> </w:t>
      </w:r>
    </w:p>
    <w:p w14:paraId="67080181" w14:textId="77777777" w:rsidR="00000000" w:rsidRDefault="00195E73">
      <w:pPr>
        <w:ind w:firstLine="450"/>
        <w:divId w:val="834496986"/>
        <w:rPr>
          <w:rFonts w:eastAsia="Times New Roman"/>
        </w:rPr>
      </w:pPr>
      <w:r>
        <w:rPr>
          <w:rFonts w:eastAsia="Times New Roman"/>
          <w:i/>
          <w:iCs/>
          <w:color w:val="000000"/>
          <w:sz w:val="20"/>
          <w:szCs w:val="20"/>
        </w:rPr>
        <w:t>Due To Brokers</w:t>
      </w:r>
      <w:r>
        <w:rPr>
          <w:rFonts w:eastAsia="Times New Roman"/>
          <w:i/>
          <w:iCs/>
          <w:color w:val="000000"/>
          <w:sz w:val="20"/>
          <w:szCs w:val="20"/>
        </w:rPr>
        <w:t>.</w:t>
      </w:r>
      <w:r>
        <w:rPr>
          <w:rFonts w:eastAsia="Times New Roman"/>
          <w:color w:val="000000"/>
          <w:sz w:val="20"/>
          <w:szCs w:val="20"/>
        </w:rPr>
        <w:t> Due to brokers represents margin debit balances collateralized by certain of the Investment Funds’ investments in securities</w:t>
      </w:r>
      <w:r>
        <w:rPr>
          <w:rFonts w:eastAsia="Times New Roman"/>
          <w:color w:val="000000"/>
          <w:sz w:val="20"/>
          <w:szCs w:val="20"/>
        </w:rPr>
        <w:t>.</w:t>
      </w:r>
    </w:p>
    <w:p w14:paraId="392EA301" w14:textId="77777777" w:rsidR="00000000" w:rsidRDefault="00195E73">
      <w:pPr>
        <w:divId w:val="1764108133"/>
        <w:rPr>
          <w:rFonts w:eastAsia="Times New Roman"/>
        </w:rPr>
      </w:pPr>
      <w:r>
        <w:rPr>
          <w:rFonts w:eastAsia="Times New Roman"/>
          <w:i/>
          <w:iCs/>
          <w:color w:val="000000"/>
          <w:sz w:val="20"/>
          <w:szCs w:val="20"/>
        </w:rPr>
        <w:t>Other Segments and Holding Compan</w:t>
      </w:r>
      <w:r>
        <w:rPr>
          <w:rFonts w:eastAsia="Times New Roman"/>
          <w:i/>
          <w:iCs/>
          <w:color w:val="000000"/>
          <w:sz w:val="20"/>
          <w:szCs w:val="20"/>
        </w:rPr>
        <w:t>y</w:t>
      </w:r>
    </w:p>
    <w:p w14:paraId="4D3041D7" w14:textId="77777777" w:rsidR="00000000" w:rsidRDefault="00195E73">
      <w:pPr>
        <w:ind w:firstLine="450"/>
        <w:divId w:val="1556818133"/>
        <w:rPr>
          <w:rFonts w:eastAsia="Times New Roman"/>
        </w:rPr>
      </w:pPr>
      <w:r>
        <w:rPr>
          <w:rFonts w:eastAsia="Times New Roman"/>
          <w:color w:val="000000"/>
          <w:sz w:val="20"/>
          <w:szCs w:val="20"/>
        </w:rPr>
        <w:t>Inves</w:t>
      </w:r>
      <w:r>
        <w:rPr>
          <w:rFonts w:eastAsia="Times New Roman"/>
          <w:color w:val="000000"/>
          <w:sz w:val="20"/>
          <w:szCs w:val="20"/>
        </w:rPr>
        <w:t>tments in equity and debt securities are carried at fair value with the unrealized gains or losses reflected in the consolidated statements of operations. For purposes of determining gains and losses, the cost of securities is based on specific identificat</w:t>
      </w:r>
      <w:r>
        <w:rPr>
          <w:rFonts w:eastAsia="Times New Roman"/>
          <w:color w:val="000000"/>
          <w:sz w:val="20"/>
          <w:szCs w:val="20"/>
        </w:rPr>
        <w:t>ion. Dividend income is recorded when declared and interest income is recognized when earned</w:t>
      </w:r>
      <w:r>
        <w:rPr>
          <w:rFonts w:eastAsia="Times New Roman"/>
          <w:color w:val="000000"/>
          <w:sz w:val="20"/>
          <w:szCs w:val="20"/>
        </w:rPr>
        <w:t>.</w:t>
      </w:r>
    </w:p>
    <w:p w14:paraId="4F5AC533" w14:textId="77777777" w:rsidR="00000000" w:rsidRDefault="00195E73">
      <w:pPr>
        <w:divId w:val="1988242856"/>
        <w:rPr>
          <w:rFonts w:eastAsia="Times New Roman"/>
        </w:rPr>
      </w:pPr>
      <w:r>
        <w:rPr>
          <w:rFonts w:eastAsia="Times New Roman"/>
          <w:b/>
          <w:bCs/>
          <w:i/>
          <w:iCs/>
          <w:color w:val="000000"/>
          <w:sz w:val="20"/>
          <w:szCs w:val="20"/>
        </w:rPr>
        <w:t>Fair Value Option for Financial Assets and Financial Liabilitie</w:t>
      </w:r>
      <w:r>
        <w:rPr>
          <w:rFonts w:eastAsia="Times New Roman"/>
          <w:b/>
          <w:bCs/>
          <w:i/>
          <w:iCs/>
          <w:color w:val="000000"/>
          <w:sz w:val="20"/>
          <w:szCs w:val="20"/>
        </w:rPr>
        <w:t>s</w:t>
      </w:r>
    </w:p>
    <w:p w14:paraId="684C052D" w14:textId="77777777" w:rsidR="00000000" w:rsidRDefault="00195E73">
      <w:pPr>
        <w:ind w:firstLine="450"/>
        <w:divId w:val="652636699"/>
        <w:rPr>
          <w:rFonts w:eastAsia="Times New Roman"/>
        </w:rPr>
      </w:pPr>
      <w:r>
        <w:rPr>
          <w:rFonts w:eastAsia="Times New Roman"/>
          <w:color w:val="000000"/>
          <w:sz w:val="20"/>
          <w:szCs w:val="20"/>
        </w:rPr>
        <w:t>The fair value option gives entities the option to measure eligible financial assets, financial l</w:t>
      </w:r>
      <w:r>
        <w:rPr>
          <w:rFonts w:eastAsia="Times New Roman"/>
          <w:color w:val="000000"/>
          <w:sz w:val="20"/>
          <w:szCs w:val="20"/>
        </w:rPr>
        <w:t>iabilities and firm commitments at fair value (i.e., the fair value option), on an instrument-by-instrument basis, that are otherwise not permitted to be accounted for at fair value pursuant to the provisions of the Financial Accounting Standards Board (“F</w:t>
      </w:r>
      <w:r>
        <w:rPr>
          <w:rFonts w:eastAsia="Times New Roman"/>
          <w:color w:val="000000"/>
          <w:sz w:val="20"/>
          <w:szCs w:val="20"/>
        </w:rPr>
        <w:t>ASB”) Accounting Standards Codification (“ASC”) Topic 825,</w:t>
      </w:r>
      <w:r>
        <w:rPr>
          <w:rFonts w:eastAsia="Times New Roman"/>
          <w:color w:val="000000"/>
          <w:sz w:val="20"/>
          <w:szCs w:val="20"/>
        </w:rPr>
        <w:t xml:space="preserve"> </w:t>
      </w:r>
      <w:r>
        <w:rPr>
          <w:rFonts w:eastAsia="Times New Roman"/>
          <w:i/>
          <w:iCs/>
          <w:color w:val="000000"/>
          <w:sz w:val="20"/>
          <w:szCs w:val="20"/>
        </w:rPr>
        <w:t>Financial Instrumen</w:t>
      </w:r>
      <w:r>
        <w:rPr>
          <w:rFonts w:eastAsia="Times New Roman"/>
          <w:i/>
          <w:iCs/>
          <w:color w:val="000000"/>
          <w:sz w:val="20"/>
          <w:szCs w:val="20"/>
        </w:rPr>
        <w:t>t</w:t>
      </w:r>
      <w:r>
        <w:rPr>
          <w:rFonts w:eastAsia="Times New Roman"/>
          <w:color w:val="000000"/>
          <w:sz w:val="20"/>
          <w:szCs w:val="20"/>
        </w:rPr>
        <w:t>s. The election to use the fair value option is available when an entity first recognizes a financial asset or financial liability or upon entering into a firm commitment. Subse</w:t>
      </w:r>
      <w:r>
        <w:rPr>
          <w:rFonts w:eastAsia="Times New Roman"/>
          <w:color w:val="000000"/>
          <w:sz w:val="20"/>
          <w:szCs w:val="20"/>
        </w:rPr>
        <w:t>quent changes in fair value must be recorded in earnings. In estimating the fair value for financial instruments for which the fair value option has been elected, we use the valuation methodologies in accordance to where the financial instruments are class</w:t>
      </w:r>
      <w:r>
        <w:rPr>
          <w:rFonts w:eastAsia="Times New Roman"/>
          <w:color w:val="000000"/>
          <w:sz w:val="20"/>
          <w:szCs w:val="20"/>
        </w:rPr>
        <w:t>ified within the fair value hierarchy as discussed in Note 5, “Fair Value Measurements.” For our Investment segment, we apply the fair value option to our investments that would otherwise be accounted under the equity method</w:t>
      </w:r>
      <w:r>
        <w:rPr>
          <w:rFonts w:eastAsia="Times New Roman"/>
          <w:color w:val="000000"/>
          <w:sz w:val="20"/>
          <w:szCs w:val="20"/>
        </w:rPr>
        <w:t>.</w:t>
      </w:r>
    </w:p>
    <w:p w14:paraId="476F6C69" w14:textId="77777777" w:rsidR="00000000" w:rsidRDefault="00195E73">
      <w:pPr>
        <w:divId w:val="648706002"/>
        <w:rPr>
          <w:rFonts w:eastAsia="Times New Roman"/>
        </w:rPr>
      </w:pPr>
      <w:r>
        <w:rPr>
          <w:rFonts w:eastAsia="Times New Roman"/>
          <w:b/>
          <w:bCs/>
          <w:i/>
          <w:iCs/>
          <w:color w:val="000000"/>
          <w:sz w:val="20"/>
          <w:szCs w:val="20"/>
        </w:rPr>
        <w:t>Derivative</w:t>
      </w:r>
      <w:r>
        <w:rPr>
          <w:rFonts w:eastAsia="Times New Roman"/>
          <w:b/>
          <w:bCs/>
          <w:i/>
          <w:iCs/>
          <w:color w:val="000000"/>
          <w:sz w:val="20"/>
          <w:szCs w:val="20"/>
        </w:rPr>
        <w:t>s</w:t>
      </w:r>
    </w:p>
    <w:p w14:paraId="189EC28D" w14:textId="77777777" w:rsidR="00000000" w:rsidRDefault="00195E73">
      <w:pPr>
        <w:ind w:firstLine="450"/>
        <w:divId w:val="1740249368"/>
        <w:rPr>
          <w:rFonts w:eastAsia="Times New Roman"/>
        </w:rPr>
      </w:pPr>
      <w:r>
        <w:rPr>
          <w:rFonts w:eastAsia="Times New Roman"/>
          <w:color w:val="000000"/>
          <w:sz w:val="20"/>
          <w:szCs w:val="20"/>
        </w:rPr>
        <w:t>From time to time,</w:t>
      </w:r>
      <w:r>
        <w:rPr>
          <w:rFonts w:eastAsia="Times New Roman"/>
          <w:color w:val="000000"/>
          <w:sz w:val="20"/>
          <w:szCs w:val="20"/>
        </w:rPr>
        <w:t xml:space="preserve"> our subsidiaries enter into derivative contracts, including purchased and written option contracts, swap contracts, futures contracts and forward contracts. U.S. GAAP requires recognition of all derivatives as either assets or liabilities in the balance s</w:t>
      </w:r>
      <w:r>
        <w:rPr>
          <w:rFonts w:eastAsia="Times New Roman"/>
          <w:color w:val="000000"/>
          <w:sz w:val="20"/>
          <w:szCs w:val="20"/>
        </w:rPr>
        <w:t>heet at their fair value. The accounting for changes in fair value depends on the intended use of the derivative and its resulting designation. For those derivative instruments that are designated and qualify as hedging instruments, a company must designat</w:t>
      </w:r>
      <w:r>
        <w:rPr>
          <w:rFonts w:eastAsia="Times New Roman"/>
          <w:color w:val="000000"/>
          <w:sz w:val="20"/>
          <w:szCs w:val="20"/>
        </w:rPr>
        <w:t>e the hedging instrument, based upon the exposure being hedged, as a fair value hedge, cash flow hedge or a hedge of a net investment in a foreign operation. Gains and losses related to a hedge are either recognized in income immediately to offset the gain</w:t>
      </w:r>
      <w:r>
        <w:rPr>
          <w:rFonts w:eastAsia="Times New Roman"/>
          <w:color w:val="000000"/>
          <w:sz w:val="20"/>
          <w:szCs w:val="20"/>
        </w:rPr>
        <w:t xml:space="preserve"> or loss on the hedged item or are deferred and reported as a component of accumulated other comprehensive loss and subsequently recognized in earnings when the hedged item affects earnings. The change in fair value of the ineffective portion of a financia</w:t>
      </w:r>
      <w:r>
        <w:rPr>
          <w:rFonts w:eastAsia="Times New Roman"/>
          <w:color w:val="000000"/>
          <w:sz w:val="20"/>
          <w:szCs w:val="20"/>
        </w:rPr>
        <w:t>l instrument, determined using the hypothetical derivative method, is recognized in earnings immediately. The gain or loss related to financial instruments that are not designated as hedges are recognized immediately in earnings. Cash flows related to hedg</w:t>
      </w:r>
      <w:r>
        <w:rPr>
          <w:rFonts w:eastAsia="Times New Roman"/>
          <w:color w:val="000000"/>
          <w:sz w:val="20"/>
          <w:szCs w:val="20"/>
        </w:rPr>
        <w:t>ing activities are included in the operating section of the consolidated statements of cash flows. For further information regarding our derivative contracts, see Note 6, “Financial Instruments.</w:t>
      </w:r>
      <w:r>
        <w:rPr>
          <w:rFonts w:eastAsia="Times New Roman"/>
          <w:color w:val="000000"/>
          <w:sz w:val="20"/>
          <w:szCs w:val="20"/>
        </w:rPr>
        <w:t>”</w:t>
      </w:r>
    </w:p>
    <w:p w14:paraId="1D9A5CDD" w14:textId="77777777" w:rsidR="00000000" w:rsidRDefault="00195E73">
      <w:pPr>
        <w:divId w:val="1014308506"/>
        <w:rPr>
          <w:rFonts w:eastAsia="Times New Roman"/>
        </w:rPr>
      </w:pPr>
      <w:r>
        <w:rPr>
          <w:rFonts w:eastAsia="Times New Roman"/>
          <w:b/>
          <w:bCs/>
          <w:i/>
          <w:iCs/>
          <w:color w:val="000000"/>
          <w:sz w:val="20"/>
          <w:szCs w:val="20"/>
        </w:rPr>
        <w:t>Accounts Receivable, Ne</w:t>
      </w:r>
      <w:r>
        <w:rPr>
          <w:rFonts w:eastAsia="Times New Roman"/>
          <w:b/>
          <w:bCs/>
          <w:i/>
          <w:iCs/>
          <w:color w:val="000000"/>
          <w:sz w:val="20"/>
          <w:szCs w:val="20"/>
        </w:rPr>
        <w:t>t</w:t>
      </w:r>
    </w:p>
    <w:p w14:paraId="45E94242" w14:textId="77777777" w:rsidR="00000000" w:rsidRDefault="00195E73">
      <w:pPr>
        <w:ind w:firstLine="450"/>
        <w:divId w:val="325481285"/>
        <w:rPr>
          <w:rFonts w:eastAsia="Times New Roman"/>
        </w:rPr>
      </w:pPr>
      <w:r>
        <w:rPr>
          <w:rFonts w:eastAsia="Times New Roman"/>
          <w:color w:val="000000"/>
          <w:sz w:val="20"/>
          <w:szCs w:val="20"/>
        </w:rPr>
        <w:t>Accounts receivable, net consists o</w:t>
      </w:r>
      <w:r>
        <w:rPr>
          <w:rFonts w:eastAsia="Times New Roman"/>
          <w:color w:val="000000"/>
          <w:sz w:val="20"/>
          <w:szCs w:val="20"/>
        </w:rPr>
        <w:t>f trade receivables from customers, including contract assets when we have an unconditional right to receive consideration. An allowance for doubtful accounts is determined through analysis of the aging of accounts receivable at the date of the consolidate</w:t>
      </w:r>
      <w:r>
        <w:rPr>
          <w:rFonts w:eastAsia="Times New Roman"/>
          <w:color w:val="000000"/>
          <w:sz w:val="20"/>
          <w:szCs w:val="20"/>
        </w:rPr>
        <w:t>d financial statements, assessments of collectability based on an evaluation of historic and anticipated trends, the financial condition of our customers, and an evaluation of the impact of economic conditions. Our allowance for doubtful accounts is an est</w:t>
      </w:r>
      <w:r>
        <w:rPr>
          <w:rFonts w:eastAsia="Times New Roman"/>
          <w:color w:val="000000"/>
          <w:sz w:val="20"/>
          <w:szCs w:val="20"/>
        </w:rPr>
        <w:t>imate based on specifically identified accounts as well as general reserves based on historical experience</w:t>
      </w:r>
      <w:r>
        <w:rPr>
          <w:rFonts w:eastAsia="Times New Roman"/>
          <w:color w:val="000000"/>
          <w:sz w:val="20"/>
          <w:szCs w:val="20"/>
        </w:rPr>
        <w:t>.</w:t>
      </w:r>
    </w:p>
    <w:p w14:paraId="209FABC1" w14:textId="77777777" w:rsidR="00000000" w:rsidRDefault="00195E73">
      <w:pPr>
        <w:divId w:val="1352681114"/>
        <w:rPr>
          <w:rFonts w:eastAsia="Times New Roman"/>
        </w:rPr>
      </w:pPr>
      <w:r>
        <w:rPr>
          <w:rFonts w:eastAsia="Times New Roman"/>
          <w:b/>
          <w:bCs/>
          <w:i/>
          <w:iCs/>
          <w:color w:val="000000"/>
          <w:sz w:val="20"/>
          <w:szCs w:val="20"/>
        </w:rPr>
        <w:t>Inventories, Ne</w:t>
      </w:r>
      <w:r>
        <w:rPr>
          <w:rFonts w:eastAsia="Times New Roman"/>
          <w:b/>
          <w:bCs/>
          <w:i/>
          <w:iCs/>
          <w:color w:val="000000"/>
          <w:sz w:val="20"/>
          <w:szCs w:val="20"/>
        </w:rPr>
        <w:t>t</w:t>
      </w:r>
    </w:p>
    <w:p w14:paraId="288CD36C" w14:textId="77777777" w:rsidR="00000000" w:rsidRDefault="00195E73">
      <w:pPr>
        <w:divId w:val="290089562"/>
        <w:rPr>
          <w:rFonts w:eastAsia="Times New Roman"/>
        </w:rPr>
      </w:pPr>
      <w:r>
        <w:rPr>
          <w:rFonts w:eastAsia="Times New Roman"/>
          <w:i/>
          <w:iCs/>
          <w:color w:val="000000"/>
          <w:sz w:val="20"/>
          <w:szCs w:val="20"/>
        </w:rPr>
        <w:t>Energ</w:t>
      </w:r>
      <w:r>
        <w:rPr>
          <w:rFonts w:eastAsia="Times New Roman"/>
          <w:i/>
          <w:iCs/>
          <w:color w:val="000000"/>
          <w:sz w:val="20"/>
          <w:szCs w:val="20"/>
        </w:rPr>
        <w:t>y</w:t>
      </w:r>
    </w:p>
    <w:p w14:paraId="3D979493" w14:textId="77777777" w:rsidR="00000000" w:rsidRDefault="00195E73">
      <w:pPr>
        <w:ind w:firstLine="450"/>
        <w:divId w:val="452599709"/>
        <w:rPr>
          <w:rFonts w:eastAsia="Times New Roman"/>
        </w:rPr>
      </w:pPr>
      <w:r>
        <w:rPr>
          <w:rFonts w:eastAsia="Times New Roman"/>
          <w:color w:val="000000"/>
          <w:sz w:val="20"/>
          <w:szCs w:val="20"/>
        </w:rPr>
        <w:t>Our Energy segment inventories consist primarily of domestic and foreign crude oil, blending stock and components, work in p</w:t>
      </w:r>
      <w:r>
        <w:rPr>
          <w:rFonts w:eastAsia="Times New Roman"/>
          <w:color w:val="000000"/>
          <w:sz w:val="20"/>
          <w:szCs w:val="20"/>
        </w:rPr>
        <w:t>rogress, fertilizer products, and refined fuels and by-products. Inventories are valued at the lower of FIFO cost, or net realizable value for fertilizer products, refined fuels and by-products for all periods presented. Refinery unfinished and finished</w:t>
      </w:r>
      <w:r>
        <w:rPr>
          <w:rFonts w:eastAsia="Times New Roman"/>
          <w:color w:val="000000"/>
          <w:sz w:val="20"/>
          <w:szCs w:val="20"/>
        </w:rPr>
        <w:t xml:space="preserve"> </w:t>
      </w:r>
    </w:p>
    <w:p w14:paraId="7B2BAA09" w14:textId="77777777" w:rsidR="00000000" w:rsidRDefault="00195E73">
      <w:pPr>
        <w:jc w:val="center"/>
        <w:divId w:val="1407073076"/>
        <w:rPr>
          <w:rFonts w:eastAsia="Times New Roman"/>
        </w:rPr>
      </w:pPr>
      <w:r>
        <w:rPr>
          <w:rFonts w:eastAsia="Times New Roman"/>
          <w:color w:val="000000"/>
          <w:sz w:val="20"/>
          <w:szCs w:val="20"/>
        </w:rPr>
        <w:t>7</w:t>
      </w:r>
      <w:r>
        <w:rPr>
          <w:rFonts w:eastAsia="Times New Roman"/>
          <w:color w:val="000000"/>
          <w:sz w:val="20"/>
          <w:szCs w:val="20"/>
        </w:rPr>
        <w:t>2</w:t>
      </w:r>
    </w:p>
    <w:p w14:paraId="552704EB" w14:textId="77777777" w:rsidR="00000000" w:rsidRDefault="00195E73">
      <w:pPr>
        <w:rPr>
          <w:rFonts w:eastAsia="Times New Roman"/>
        </w:rPr>
      </w:pPr>
      <w:r>
        <w:rPr>
          <w:rFonts w:eastAsia="Times New Roman"/>
        </w:rPr>
        <w:pict w14:anchorId="74451916">
          <v:rect id="_x0000_i1098" style="width:0;height:1.5pt" o:hralign="center" o:hrstd="t" o:hr="t" fillcolor="#a0a0a0" stroked="f"/>
        </w:pict>
      </w:r>
    </w:p>
    <w:p w14:paraId="54F489B4" w14:textId="77777777" w:rsidR="00000000" w:rsidRDefault="00195E73">
      <w:pPr>
        <w:jc w:val="center"/>
        <w:divId w:val="698702801"/>
        <w:rPr>
          <w:rFonts w:eastAsia="Times New Roman"/>
        </w:rPr>
      </w:pPr>
    </w:p>
    <w:p w14:paraId="4453B288" w14:textId="77777777" w:rsidR="00000000" w:rsidRDefault="00195E73">
      <w:pPr>
        <w:jc w:val="center"/>
        <w:divId w:val="698702801"/>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59F4D3B6" w14:textId="77777777" w:rsidR="00000000" w:rsidRDefault="00195E73">
      <w:pPr>
        <w:jc w:val="center"/>
        <w:divId w:val="698702801"/>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206AD1D3" w14:textId="77777777" w:rsidR="00000000" w:rsidRDefault="00195E73">
      <w:pPr>
        <w:jc w:val="center"/>
        <w:divId w:val="698702801"/>
        <w:rPr>
          <w:rFonts w:eastAsia="Times New Roman"/>
        </w:rPr>
      </w:pPr>
    </w:p>
    <w:p w14:paraId="3D0043ED" w14:textId="77777777" w:rsidR="00000000" w:rsidRDefault="00195E73">
      <w:pPr>
        <w:jc w:val="center"/>
        <w:divId w:val="698702801"/>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4E3A9E62" w14:textId="77777777" w:rsidR="00000000" w:rsidRDefault="00195E73">
      <w:pPr>
        <w:divId w:val="210193893"/>
        <w:rPr>
          <w:rFonts w:eastAsia="Times New Roman"/>
        </w:rPr>
      </w:pPr>
      <w:r>
        <w:rPr>
          <w:rFonts w:eastAsia="Times New Roman"/>
          <w:color w:val="000000"/>
          <w:sz w:val="20"/>
          <w:szCs w:val="20"/>
        </w:rPr>
        <w:t>products inventory values were determined using the ability-to-bear process, where</w:t>
      </w:r>
      <w:r>
        <w:rPr>
          <w:rFonts w:eastAsia="Times New Roman"/>
          <w:color w:val="000000"/>
          <w:sz w:val="20"/>
          <w:szCs w:val="20"/>
        </w:rPr>
        <w:t>by raw materials and production costs are allocated to work-in-process and finished goods based on their relative fair values. Other inventories, including other raw materials, spare parts and supplies, are valued at the lower of moving-average cost, which</w:t>
      </w:r>
      <w:r>
        <w:rPr>
          <w:rFonts w:eastAsia="Times New Roman"/>
          <w:color w:val="000000"/>
          <w:sz w:val="20"/>
          <w:szCs w:val="20"/>
        </w:rPr>
        <w:t xml:space="preserve"> approximates FIFO, or net realizable value. The cost of inventories includes inbound freight costs</w:t>
      </w:r>
      <w:r>
        <w:rPr>
          <w:rFonts w:eastAsia="Times New Roman"/>
          <w:color w:val="000000"/>
          <w:sz w:val="20"/>
          <w:szCs w:val="20"/>
        </w:rPr>
        <w:t>.</w:t>
      </w:r>
    </w:p>
    <w:p w14:paraId="39DAF3CA" w14:textId="77777777" w:rsidR="00000000" w:rsidRDefault="00195E73">
      <w:pPr>
        <w:divId w:val="1823963137"/>
        <w:rPr>
          <w:rFonts w:eastAsia="Times New Roman"/>
        </w:rPr>
      </w:pPr>
      <w:r>
        <w:rPr>
          <w:rFonts w:eastAsia="Times New Roman"/>
          <w:i/>
          <w:iCs/>
          <w:color w:val="000000"/>
          <w:sz w:val="20"/>
          <w:szCs w:val="20"/>
        </w:rPr>
        <w:t>Automotive, Food Packaging, and Home Fashio</w:t>
      </w:r>
      <w:r>
        <w:rPr>
          <w:rFonts w:eastAsia="Times New Roman"/>
          <w:i/>
          <w:iCs/>
          <w:color w:val="000000"/>
          <w:sz w:val="20"/>
          <w:szCs w:val="20"/>
        </w:rPr>
        <w:t>n</w:t>
      </w:r>
    </w:p>
    <w:p w14:paraId="1FC74C39" w14:textId="77777777" w:rsidR="00000000" w:rsidRDefault="00195E73">
      <w:pPr>
        <w:ind w:firstLine="450"/>
        <w:divId w:val="1530989942"/>
        <w:rPr>
          <w:rFonts w:eastAsia="Times New Roman"/>
        </w:rPr>
      </w:pPr>
      <w:r>
        <w:rPr>
          <w:rFonts w:eastAsia="Times New Roman"/>
          <w:color w:val="000000"/>
          <w:sz w:val="20"/>
          <w:szCs w:val="20"/>
        </w:rPr>
        <w:t>Our Automotive, Food Packaging and Home Fashion segment inventories are stated at the lower of cost or market.</w:t>
      </w:r>
      <w:r>
        <w:rPr>
          <w:rFonts w:eastAsia="Times New Roman"/>
          <w:color w:val="000000"/>
          <w:sz w:val="20"/>
          <w:szCs w:val="20"/>
        </w:rPr>
        <w:t xml:space="preserve"> Cost is determined by using the first-in, first-out basis method (“FIFO”), except for our Automotive segment, which also utilizes weighted-average cost and the last-in, first-out method for certain of its subsidiaries. Inventory recorded using the last-in</w:t>
      </w:r>
      <w:r>
        <w:rPr>
          <w:rFonts w:eastAsia="Times New Roman"/>
          <w:color w:val="000000"/>
          <w:sz w:val="20"/>
          <w:szCs w:val="20"/>
        </w:rPr>
        <w:t>, first-out method was $869 million and $846 million as of December 31, 2019 and 2018, respectively, all of which relates to finished goods. The cost of manufactured goods includes the cost of direct materials, labor and manufacturing overhead. Our Automot</w:t>
      </w:r>
      <w:r>
        <w:rPr>
          <w:rFonts w:eastAsia="Times New Roman"/>
          <w:color w:val="000000"/>
          <w:sz w:val="20"/>
          <w:szCs w:val="20"/>
        </w:rPr>
        <w:t>ive, Food Packaging and Home Fashion segments reserve for estimated excess, slow-moving and obsolete inventory as well as inventory whose carrying value is in excess of net realizable value</w:t>
      </w:r>
      <w:r>
        <w:rPr>
          <w:rFonts w:eastAsia="Times New Roman"/>
          <w:color w:val="000000"/>
          <w:sz w:val="20"/>
          <w:szCs w:val="20"/>
        </w:rPr>
        <w:t>.</w:t>
      </w:r>
    </w:p>
    <w:p w14:paraId="3BC3F741" w14:textId="77777777" w:rsidR="00000000" w:rsidRDefault="00195E73">
      <w:pPr>
        <w:divId w:val="1693721932"/>
        <w:rPr>
          <w:rFonts w:eastAsia="Times New Roman"/>
        </w:rPr>
      </w:pPr>
      <w:r>
        <w:rPr>
          <w:rFonts w:eastAsia="Times New Roman"/>
          <w:i/>
          <w:iCs/>
          <w:color w:val="000000"/>
          <w:sz w:val="20"/>
          <w:szCs w:val="20"/>
        </w:rPr>
        <w:t>Metal</w:t>
      </w:r>
      <w:r>
        <w:rPr>
          <w:rFonts w:eastAsia="Times New Roman"/>
          <w:i/>
          <w:iCs/>
          <w:color w:val="000000"/>
          <w:sz w:val="20"/>
          <w:szCs w:val="20"/>
        </w:rPr>
        <w:t>s</w:t>
      </w:r>
    </w:p>
    <w:p w14:paraId="67F15C91" w14:textId="77777777" w:rsidR="00000000" w:rsidRDefault="00195E73">
      <w:pPr>
        <w:ind w:firstLine="450"/>
        <w:divId w:val="1491094031"/>
        <w:rPr>
          <w:rFonts w:eastAsia="Times New Roman"/>
        </w:rPr>
      </w:pPr>
      <w:r>
        <w:rPr>
          <w:rFonts w:eastAsia="Times New Roman"/>
          <w:color w:val="000000"/>
          <w:sz w:val="20"/>
          <w:szCs w:val="20"/>
        </w:rPr>
        <w:t xml:space="preserve">Our Metals segment inventories are stated at the lower of </w:t>
      </w:r>
      <w:r>
        <w:rPr>
          <w:rFonts w:eastAsia="Times New Roman"/>
          <w:color w:val="000000"/>
          <w:sz w:val="20"/>
          <w:szCs w:val="20"/>
        </w:rPr>
        <w:t xml:space="preserve">cost or market. Cost is determined using the average cost method. The production and accounting process utilized by our Metals segment to record recycled metals inventory quantities relies on significant estimates. Our Metals segment relies upon perpetual </w:t>
      </w:r>
      <w:r>
        <w:rPr>
          <w:rFonts w:eastAsia="Times New Roman"/>
          <w:color w:val="000000"/>
          <w:sz w:val="20"/>
          <w:szCs w:val="20"/>
        </w:rPr>
        <w:t>inventory records that utilize estimated recoveries and yields that are based upon historical trends and periodic tests for certain unprocessed metal commodities. Over time, these estimates are reasonably good indicators of what is ultimately produced; how</w:t>
      </w:r>
      <w:r>
        <w:rPr>
          <w:rFonts w:eastAsia="Times New Roman"/>
          <w:color w:val="000000"/>
          <w:sz w:val="20"/>
          <w:szCs w:val="20"/>
        </w:rPr>
        <w:t>ever, actual recoveries and yields can vary depending on product quality, moisture content and source of the unprocessed metal. To assist in validating the reasonableness of the estimates, our Metals segment performs periodic physical inventories which inv</w:t>
      </w:r>
      <w:r>
        <w:rPr>
          <w:rFonts w:eastAsia="Times New Roman"/>
          <w:color w:val="000000"/>
          <w:sz w:val="20"/>
          <w:szCs w:val="20"/>
        </w:rPr>
        <w:t>olve the use of estimation techniques. Physical inventories may detect significant variations in volume, but because of variations in product density and production processes utilized to manufacture the product, physical inventories will not generally dete</w:t>
      </w:r>
      <w:r>
        <w:rPr>
          <w:rFonts w:eastAsia="Times New Roman"/>
          <w:color w:val="000000"/>
          <w:sz w:val="20"/>
          <w:szCs w:val="20"/>
        </w:rPr>
        <w:t>ct smaller variations. To help mitigate this risk, our Metals segment adjusts its physical inventories when the volume of a commodity is low and a physical inventory can more accurately estimate the remaining volume</w:t>
      </w:r>
      <w:r>
        <w:rPr>
          <w:rFonts w:eastAsia="Times New Roman"/>
          <w:color w:val="000000"/>
          <w:sz w:val="20"/>
          <w:szCs w:val="20"/>
        </w:rPr>
        <w:t>.</w:t>
      </w:r>
    </w:p>
    <w:p w14:paraId="31790C5B" w14:textId="77777777" w:rsidR="00000000" w:rsidRDefault="00195E73">
      <w:pPr>
        <w:divId w:val="870459125"/>
        <w:rPr>
          <w:rFonts w:eastAsia="Times New Roman"/>
        </w:rPr>
      </w:pPr>
      <w:r>
        <w:rPr>
          <w:rFonts w:eastAsia="Times New Roman"/>
          <w:b/>
          <w:bCs/>
          <w:i/>
          <w:iCs/>
          <w:color w:val="000000"/>
          <w:sz w:val="20"/>
          <w:szCs w:val="20"/>
        </w:rPr>
        <w:t>Long-Lived Asset</w:t>
      </w:r>
      <w:r>
        <w:rPr>
          <w:rFonts w:eastAsia="Times New Roman"/>
          <w:b/>
          <w:bCs/>
          <w:i/>
          <w:iCs/>
          <w:color w:val="000000"/>
          <w:sz w:val="20"/>
          <w:szCs w:val="20"/>
        </w:rPr>
        <w:t>s</w:t>
      </w:r>
    </w:p>
    <w:p w14:paraId="0BDBC532" w14:textId="77777777" w:rsidR="00000000" w:rsidRDefault="00195E73">
      <w:pPr>
        <w:ind w:firstLine="450"/>
        <w:divId w:val="722874223"/>
        <w:rPr>
          <w:rFonts w:eastAsia="Times New Roman"/>
        </w:rPr>
      </w:pPr>
      <w:r>
        <w:rPr>
          <w:rFonts w:eastAsia="Times New Roman"/>
          <w:color w:val="000000"/>
          <w:sz w:val="20"/>
          <w:szCs w:val="20"/>
        </w:rPr>
        <w:t>Long-lived assets such as property, plant, and equipment, and definite-lived intangible assets are recorded at cost or fair value established at acquisition, less accumulated depreciation or amortization, unless the expected future use of the assets indica</w:t>
      </w:r>
      <w:r>
        <w:rPr>
          <w:rFonts w:eastAsia="Times New Roman"/>
          <w:color w:val="000000"/>
          <w:sz w:val="20"/>
          <w:szCs w:val="20"/>
        </w:rPr>
        <w:t>te a lower value is appropriate. Long-lived asset groups are evaluated for impairment when impairment indicators exist. If the carrying value of a long-lived asset group is impaired, an impairment charge is recorded for the amount by which the carrying val</w:t>
      </w:r>
      <w:r>
        <w:rPr>
          <w:rFonts w:eastAsia="Times New Roman"/>
          <w:color w:val="000000"/>
          <w:sz w:val="20"/>
          <w:szCs w:val="20"/>
        </w:rPr>
        <w:t>ue of the long-lived asset group exceeds its fair value. Depreciation and amortization are computed principally by the straight-line method for financial reporting purposes</w:t>
      </w:r>
      <w:r>
        <w:rPr>
          <w:rFonts w:eastAsia="Times New Roman"/>
          <w:color w:val="000000"/>
          <w:sz w:val="20"/>
          <w:szCs w:val="20"/>
        </w:rPr>
        <w:t>.</w:t>
      </w:r>
    </w:p>
    <w:p w14:paraId="0928C33E" w14:textId="77777777" w:rsidR="00000000" w:rsidRDefault="00195E73">
      <w:pPr>
        <w:ind w:firstLine="450"/>
        <w:divId w:val="1454521510"/>
        <w:rPr>
          <w:rFonts w:eastAsia="Times New Roman"/>
        </w:rPr>
      </w:pPr>
      <w:r>
        <w:rPr>
          <w:rFonts w:eastAsia="Times New Roman"/>
          <w:color w:val="000000"/>
          <w:sz w:val="20"/>
          <w:szCs w:val="20"/>
        </w:rPr>
        <w:t>Land and construction in progress are stated at the lower of cost or net realizabl</w:t>
      </w:r>
      <w:r>
        <w:rPr>
          <w:rFonts w:eastAsia="Times New Roman"/>
          <w:color w:val="000000"/>
          <w:sz w:val="20"/>
          <w:szCs w:val="20"/>
        </w:rPr>
        <w:t>e value. Interest is capitalized on expenditures for long-term projects until a salable or ready-for-use condition is reached. The interest capitalization rate is based on the interest rate on specific borrowings to fund the projects.</w:t>
      </w:r>
      <w:r>
        <w:rPr>
          <w:rFonts w:eastAsia="Times New Roman"/>
          <w:color w:val="000000"/>
          <w:sz w:val="20"/>
          <w:szCs w:val="20"/>
        </w:rPr>
        <w:t> </w:t>
      </w:r>
    </w:p>
    <w:p w14:paraId="7BD6DE36" w14:textId="77777777" w:rsidR="00000000" w:rsidRDefault="00195E73">
      <w:pPr>
        <w:divId w:val="1104418691"/>
        <w:rPr>
          <w:rFonts w:eastAsia="Times New Roman"/>
        </w:rPr>
      </w:pPr>
      <w:r>
        <w:rPr>
          <w:rFonts w:eastAsia="Times New Roman"/>
          <w:b/>
          <w:bCs/>
          <w:i/>
          <w:iCs/>
          <w:color w:val="000000"/>
          <w:sz w:val="20"/>
          <w:szCs w:val="20"/>
        </w:rPr>
        <w:t>Goodwill and Indefin</w:t>
      </w:r>
      <w:r>
        <w:rPr>
          <w:rFonts w:eastAsia="Times New Roman"/>
          <w:b/>
          <w:bCs/>
          <w:i/>
          <w:iCs/>
          <w:color w:val="000000"/>
          <w:sz w:val="20"/>
          <w:szCs w:val="20"/>
        </w:rPr>
        <w:t>ite-Lived Intangible Asset</w:t>
      </w:r>
      <w:r>
        <w:rPr>
          <w:rFonts w:eastAsia="Times New Roman"/>
          <w:b/>
          <w:bCs/>
          <w:i/>
          <w:iCs/>
          <w:color w:val="000000"/>
          <w:sz w:val="20"/>
          <w:szCs w:val="20"/>
        </w:rPr>
        <w:t>s</w:t>
      </w:r>
    </w:p>
    <w:p w14:paraId="7D17C2C3" w14:textId="77777777" w:rsidR="00000000" w:rsidRDefault="00195E73">
      <w:pPr>
        <w:ind w:firstLine="450"/>
        <w:divId w:val="288165055"/>
        <w:rPr>
          <w:rFonts w:eastAsia="Times New Roman"/>
        </w:rPr>
      </w:pPr>
      <w:r>
        <w:rPr>
          <w:rFonts w:eastAsia="Times New Roman"/>
          <w:color w:val="000000"/>
          <w:sz w:val="20"/>
          <w:szCs w:val="20"/>
        </w:rPr>
        <w:t>Goodwill and indefinite-lived intangible assets primarily include trademarks and brand names acquired in acquisitions. For a complete discussion of the impairment of goodwill and indefinite-lived intangible assets related to our</w:t>
      </w:r>
      <w:r>
        <w:rPr>
          <w:rFonts w:eastAsia="Times New Roman"/>
          <w:color w:val="000000"/>
          <w:sz w:val="20"/>
          <w:szCs w:val="20"/>
        </w:rPr>
        <w:t xml:space="preserve"> various segments, see Note 9, “Goodwill and Intangible Assets, Net.</w:t>
      </w:r>
      <w:r>
        <w:rPr>
          <w:rFonts w:eastAsia="Times New Roman"/>
          <w:color w:val="000000"/>
          <w:sz w:val="20"/>
          <w:szCs w:val="20"/>
        </w:rPr>
        <w:t>”</w:t>
      </w:r>
    </w:p>
    <w:p w14:paraId="1397AA81" w14:textId="77777777" w:rsidR="00000000" w:rsidRDefault="00195E73">
      <w:pPr>
        <w:divId w:val="199168597"/>
        <w:rPr>
          <w:rFonts w:eastAsia="Times New Roman"/>
        </w:rPr>
      </w:pPr>
      <w:r>
        <w:rPr>
          <w:rFonts w:eastAsia="Times New Roman"/>
          <w:i/>
          <w:iCs/>
          <w:color w:val="000000"/>
          <w:sz w:val="20"/>
          <w:szCs w:val="20"/>
        </w:rPr>
        <w:t>Goodwil</w:t>
      </w:r>
      <w:r>
        <w:rPr>
          <w:rFonts w:eastAsia="Times New Roman"/>
          <w:i/>
          <w:iCs/>
          <w:color w:val="000000"/>
          <w:sz w:val="20"/>
          <w:szCs w:val="20"/>
        </w:rPr>
        <w:t>l</w:t>
      </w:r>
    </w:p>
    <w:p w14:paraId="3C74CD7D" w14:textId="77777777" w:rsidR="00000000" w:rsidRDefault="00195E73">
      <w:pPr>
        <w:ind w:firstLine="450"/>
        <w:divId w:val="1294289248"/>
        <w:rPr>
          <w:rFonts w:eastAsia="Times New Roman"/>
        </w:rPr>
      </w:pPr>
      <w:r>
        <w:rPr>
          <w:rFonts w:eastAsia="Times New Roman"/>
          <w:color w:val="000000"/>
          <w:sz w:val="20"/>
          <w:szCs w:val="20"/>
        </w:rPr>
        <w:t>Goodwill is determined as the excess of fair value over amounts attributable to specific tangible and intangible net assets. Goodwill is reviewed for impairment annually, or more frequently if impairment indicators exist. An impairment exists when a report</w:t>
      </w:r>
      <w:r>
        <w:rPr>
          <w:rFonts w:eastAsia="Times New Roman"/>
          <w:color w:val="000000"/>
          <w:sz w:val="20"/>
          <w:szCs w:val="20"/>
        </w:rPr>
        <w:t>ing unit’s carrying value exceeds its fair value. When performing the goodwill impairment testing, we first consider qualitative factors to determine if it is more likely than not that the fair value of a reporting unit is less than its carrying amount. Qu</w:t>
      </w:r>
      <w:r>
        <w:rPr>
          <w:rFonts w:eastAsia="Times New Roman"/>
          <w:color w:val="000000"/>
          <w:sz w:val="20"/>
          <w:szCs w:val="20"/>
        </w:rPr>
        <w:t xml:space="preserve">alitative factors include considering macroeconomic conditions, industry and market conditions, overall financial performance and other factors. If necessary, a quantitative impairment test is performed. When a quantitative impairment test is performed, a </w:t>
      </w:r>
      <w:r>
        <w:rPr>
          <w:rFonts w:eastAsia="Times New Roman"/>
          <w:color w:val="000000"/>
          <w:sz w:val="20"/>
          <w:szCs w:val="20"/>
        </w:rPr>
        <w:t>reporting units’ fair value is based on valuation techniques using the best available information, primarily discounted cash flows projections, guideline transaction multiples, and multiples of current and future earnings. The impairment charge, if any, is</w:t>
      </w:r>
      <w:r>
        <w:rPr>
          <w:rFonts w:eastAsia="Times New Roman"/>
          <w:color w:val="000000"/>
          <w:sz w:val="20"/>
          <w:szCs w:val="20"/>
        </w:rPr>
        <w:t xml:space="preserve"> the excess of the tested reporting unit’s carrying value over its fair value, limited to the total amount of goodwill allocated to the tested reporting unit</w:t>
      </w:r>
      <w:r>
        <w:rPr>
          <w:rFonts w:eastAsia="Times New Roman"/>
          <w:color w:val="000000"/>
          <w:sz w:val="20"/>
          <w:szCs w:val="20"/>
        </w:rPr>
        <w:t>.</w:t>
      </w:r>
    </w:p>
    <w:p w14:paraId="67FBF7D8" w14:textId="77777777" w:rsidR="00000000" w:rsidRDefault="00195E73">
      <w:pPr>
        <w:jc w:val="center"/>
        <w:divId w:val="129252663"/>
        <w:rPr>
          <w:rFonts w:eastAsia="Times New Roman"/>
        </w:rPr>
      </w:pPr>
      <w:r>
        <w:rPr>
          <w:rFonts w:eastAsia="Times New Roman"/>
          <w:color w:val="000000"/>
          <w:sz w:val="20"/>
          <w:szCs w:val="20"/>
        </w:rPr>
        <w:t>7</w:t>
      </w:r>
      <w:r>
        <w:rPr>
          <w:rFonts w:eastAsia="Times New Roman"/>
          <w:color w:val="000000"/>
          <w:sz w:val="20"/>
          <w:szCs w:val="20"/>
        </w:rPr>
        <w:t>3</w:t>
      </w:r>
    </w:p>
    <w:p w14:paraId="48600597" w14:textId="77777777" w:rsidR="00000000" w:rsidRDefault="00195E73">
      <w:pPr>
        <w:rPr>
          <w:rFonts w:eastAsia="Times New Roman"/>
        </w:rPr>
      </w:pPr>
      <w:r>
        <w:rPr>
          <w:rFonts w:eastAsia="Times New Roman"/>
        </w:rPr>
        <w:pict w14:anchorId="19E05B47">
          <v:rect id="_x0000_i1099" style="width:0;height:1.5pt" o:hralign="center" o:hrstd="t" o:hr="t" fillcolor="#a0a0a0" stroked="f"/>
        </w:pict>
      </w:r>
    </w:p>
    <w:p w14:paraId="26C34FD1" w14:textId="77777777" w:rsidR="00000000" w:rsidRDefault="00195E73">
      <w:pPr>
        <w:jc w:val="center"/>
        <w:divId w:val="690643509"/>
        <w:rPr>
          <w:rFonts w:eastAsia="Times New Roman"/>
        </w:rPr>
      </w:pPr>
    </w:p>
    <w:p w14:paraId="2DD9D639" w14:textId="77777777" w:rsidR="00000000" w:rsidRDefault="00195E73">
      <w:pPr>
        <w:jc w:val="center"/>
        <w:divId w:val="690643509"/>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18FC259F" w14:textId="77777777" w:rsidR="00000000" w:rsidRDefault="00195E73">
      <w:pPr>
        <w:jc w:val="center"/>
        <w:divId w:val="690643509"/>
        <w:rPr>
          <w:rFonts w:eastAsia="Times New Roman"/>
        </w:rPr>
      </w:pPr>
      <w:r>
        <w:rPr>
          <w:rFonts w:eastAsia="Times New Roman"/>
          <w:b/>
          <w:bCs/>
          <w:color w:val="000000"/>
          <w:sz w:val="20"/>
          <w:szCs w:val="20"/>
        </w:rPr>
        <w:t>ICAHN ENTERPRISE</w:t>
      </w:r>
      <w:r>
        <w:rPr>
          <w:rFonts w:eastAsia="Times New Roman"/>
          <w:b/>
          <w:bCs/>
          <w:color w:val="000000"/>
          <w:sz w:val="20"/>
          <w:szCs w:val="20"/>
        </w:rPr>
        <w:t>S HOLDINGS L.P. AND SUBSIDIARIE</w:t>
      </w:r>
      <w:r>
        <w:rPr>
          <w:rFonts w:eastAsia="Times New Roman"/>
          <w:b/>
          <w:bCs/>
          <w:color w:val="000000"/>
          <w:sz w:val="20"/>
          <w:szCs w:val="20"/>
        </w:rPr>
        <w:t>S</w:t>
      </w:r>
    </w:p>
    <w:p w14:paraId="1C3C013B" w14:textId="77777777" w:rsidR="00000000" w:rsidRDefault="00195E73">
      <w:pPr>
        <w:jc w:val="center"/>
        <w:divId w:val="690643509"/>
        <w:rPr>
          <w:rFonts w:eastAsia="Times New Roman"/>
        </w:rPr>
      </w:pPr>
    </w:p>
    <w:p w14:paraId="4507FE50" w14:textId="77777777" w:rsidR="00000000" w:rsidRDefault="00195E73">
      <w:pPr>
        <w:jc w:val="center"/>
        <w:divId w:val="690643509"/>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5EB420A5" w14:textId="77777777" w:rsidR="00000000" w:rsidRDefault="00195E73">
      <w:pPr>
        <w:divId w:val="1126848110"/>
        <w:rPr>
          <w:rFonts w:eastAsia="Times New Roman"/>
        </w:rPr>
      </w:pPr>
      <w:r>
        <w:rPr>
          <w:rFonts w:eastAsia="Times New Roman"/>
          <w:i/>
          <w:iCs/>
          <w:color w:val="000000"/>
          <w:sz w:val="20"/>
          <w:szCs w:val="20"/>
        </w:rPr>
        <w:t>Indefinite-Lived Intangible Asset</w:t>
      </w:r>
      <w:r>
        <w:rPr>
          <w:rFonts w:eastAsia="Times New Roman"/>
          <w:i/>
          <w:iCs/>
          <w:color w:val="000000"/>
          <w:sz w:val="20"/>
          <w:szCs w:val="20"/>
        </w:rPr>
        <w:t>s</w:t>
      </w:r>
    </w:p>
    <w:p w14:paraId="3F555520" w14:textId="77777777" w:rsidR="00000000" w:rsidRDefault="00195E73">
      <w:pPr>
        <w:ind w:firstLine="450"/>
        <w:divId w:val="1477187585"/>
        <w:rPr>
          <w:rFonts w:eastAsia="Times New Roman"/>
        </w:rPr>
      </w:pPr>
      <w:r>
        <w:rPr>
          <w:rFonts w:eastAsia="Times New Roman"/>
          <w:color w:val="000000"/>
          <w:sz w:val="20"/>
          <w:szCs w:val="20"/>
        </w:rPr>
        <w:t>Indefinite-lived intangible assets are stated at fair value established at acquisition or cost. These indefinite-lived intangible assets are re</w:t>
      </w:r>
      <w:r>
        <w:rPr>
          <w:rFonts w:eastAsia="Times New Roman"/>
          <w:color w:val="000000"/>
          <w:sz w:val="20"/>
          <w:szCs w:val="20"/>
        </w:rPr>
        <w:t>viewed for impairment annually, or more frequently if impairment indicators exist. An impairment exists when a trademark or brand names’ carrying value exceeds its fair value. The fair values of these assets are based upon the prospective stream of hypothe</w:t>
      </w:r>
      <w:r>
        <w:rPr>
          <w:rFonts w:eastAsia="Times New Roman"/>
          <w:color w:val="000000"/>
          <w:sz w:val="20"/>
          <w:szCs w:val="20"/>
        </w:rPr>
        <w:t>tical after-tax royalty cost savings discounted at rates that reflect the rates of return appropriate for these intangible assets. The impairment charge, if any, is the excess of the assets carrying value over its fair value</w:t>
      </w:r>
      <w:r>
        <w:rPr>
          <w:rFonts w:eastAsia="Times New Roman"/>
          <w:color w:val="000000"/>
          <w:sz w:val="20"/>
          <w:szCs w:val="20"/>
        </w:rPr>
        <w:t>.</w:t>
      </w:r>
    </w:p>
    <w:p w14:paraId="47AF77C7" w14:textId="77777777" w:rsidR="00000000" w:rsidRDefault="00195E73">
      <w:pPr>
        <w:divId w:val="2016565851"/>
        <w:rPr>
          <w:rFonts w:eastAsia="Times New Roman"/>
        </w:rPr>
      </w:pPr>
      <w:r>
        <w:rPr>
          <w:rFonts w:eastAsia="Times New Roman"/>
          <w:b/>
          <w:bCs/>
          <w:i/>
          <w:iCs/>
          <w:color w:val="000000"/>
          <w:sz w:val="20"/>
          <w:szCs w:val="20"/>
        </w:rPr>
        <w:t>Pension and Other Post-Retirem</w:t>
      </w:r>
      <w:r>
        <w:rPr>
          <w:rFonts w:eastAsia="Times New Roman"/>
          <w:b/>
          <w:bCs/>
          <w:i/>
          <w:iCs/>
          <w:color w:val="000000"/>
          <w:sz w:val="20"/>
          <w:szCs w:val="20"/>
        </w:rPr>
        <w:t>ent Benefit Plan Obligation</w:t>
      </w:r>
      <w:r>
        <w:rPr>
          <w:rFonts w:eastAsia="Times New Roman"/>
          <w:b/>
          <w:bCs/>
          <w:i/>
          <w:iCs/>
          <w:color w:val="000000"/>
          <w:sz w:val="20"/>
          <w:szCs w:val="20"/>
        </w:rPr>
        <w:t>s</w:t>
      </w:r>
    </w:p>
    <w:p w14:paraId="3192EE40" w14:textId="77777777" w:rsidR="00000000" w:rsidRDefault="00195E73">
      <w:pPr>
        <w:ind w:firstLine="450"/>
        <w:divId w:val="1895240332"/>
        <w:rPr>
          <w:rFonts w:eastAsia="Times New Roman"/>
        </w:rPr>
      </w:pPr>
      <w:r>
        <w:rPr>
          <w:rFonts w:eastAsia="Times New Roman"/>
          <w:color w:val="000000"/>
          <w:sz w:val="20"/>
          <w:szCs w:val="20"/>
        </w:rPr>
        <w:t>Post-retirement benefit liabilities were $73 million and $77 million as of December 31, 2019 and 2018, respectively, and are included in accrued expenses and other liabilities in our consolidated balance sheets.</w:t>
      </w:r>
      <w:r>
        <w:rPr>
          <w:rFonts w:eastAsia="Times New Roman"/>
          <w:color w:val="000000"/>
          <w:sz w:val="20"/>
          <w:szCs w:val="20"/>
        </w:rPr>
        <w:t xml:space="preserve"> </w:t>
      </w:r>
    </w:p>
    <w:p w14:paraId="6CCAE8BC" w14:textId="77777777" w:rsidR="00000000" w:rsidRDefault="00195E73">
      <w:pPr>
        <w:ind w:firstLine="450"/>
        <w:divId w:val="581067814"/>
        <w:rPr>
          <w:rFonts w:eastAsia="Times New Roman"/>
        </w:rPr>
      </w:pPr>
      <w:r>
        <w:rPr>
          <w:rFonts w:eastAsia="Times New Roman"/>
          <w:color w:val="000000"/>
          <w:sz w:val="20"/>
          <w:szCs w:val="20"/>
        </w:rPr>
        <w:t>Appropriate ac</w:t>
      </w:r>
      <w:r>
        <w:rPr>
          <w:rFonts w:eastAsia="Times New Roman"/>
          <w:color w:val="000000"/>
          <w:sz w:val="20"/>
          <w:szCs w:val="20"/>
        </w:rPr>
        <w:t>tuarial methods and assumptions are used in accounting for defined benefit pension plans and other post-retirement benefit plans. These assumptions include long-term rate of return on plan assets, discount rates and other factors. Actual results that diffe</w:t>
      </w:r>
      <w:r>
        <w:rPr>
          <w:rFonts w:eastAsia="Times New Roman"/>
          <w:color w:val="000000"/>
          <w:sz w:val="20"/>
          <w:szCs w:val="20"/>
        </w:rPr>
        <w:t>r from the assumptions used are accumulated and amortized over future periods. Therefore, assumptions used to calculate benefit obligations as of the end of the year directly impact the expense to be recognized in future periods. The measurement date for a</w:t>
      </w:r>
      <w:r>
        <w:rPr>
          <w:rFonts w:eastAsia="Times New Roman"/>
          <w:color w:val="000000"/>
          <w:sz w:val="20"/>
          <w:szCs w:val="20"/>
        </w:rPr>
        <w:t>ll defined benefit plans is December 31 of each year.</w:t>
      </w:r>
      <w:r>
        <w:rPr>
          <w:rFonts w:eastAsia="Times New Roman"/>
          <w:color w:val="000000"/>
          <w:sz w:val="20"/>
          <w:szCs w:val="20"/>
        </w:rPr>
        <w:t xml:space="preserve"> </w:t>
      </w:r>
    </w:p>
    <w:p w14:paraId="3F4F6C2F" w14:textId="77777777" w:rsidR="00000000" w:rsidRDefault="00195E73">
      <w:pPr>
        <w:divId w:val="411854865"/>
        <w:rPr>
          <w:rFonts w:eastAsia="Times New Roman"/>
        </w:rPr>
      </w:pPr>
      <w:r>
        <w:rPr>
          <w:rFonts w:eastAsia="Times New Roman"/>
          <w:b/>
          <w:bCs/>
          <w:i/>
          <w:iCs/>
          <w:color w:val="000000"/>
          <w:sz w:val="20"/>
          <w:szCs w:val="20"/>
        </w:rPr>
        <w:t>Accumulated Other Comprehensive Los</w:t>
      </w:r>
      <w:r>
        <w:rPr>
          <w:rFonts w:eastAsia="Times New Roman"/>
          <w:b/>
          <w:bCs/>
          <w:i/>
          <w:iCs/>
          <w:color w:val="000000"/>
          <w:sz w:val="20"/>
          <w:szCs w:val="20"/>
        </w:rPr>
        <w:t>s</w:t>
      </w:r>
    </w:p>
    <w:p w14:paraId="64F61286" w14:textId="77777777" w:rsidR="00000000" w:rsidRDefault="00195E73">
      <w:pPr>
        <w:ind w:firstLine="450"/>
        <w:divId w:val="2109344947"/>
        <w:rPr>
          <w:rFonts w:eastAsia="Times New Roman"/>
        </w:rPr>
      </w:pPr>
      <w:r>
        <w:rPr>
          <w:rFonts w:eastAsia="Times New Roman"/>
          <w:color w:val="000000"/>
          <w:sz w:val="20"/>
          <w:szCs w:val="20"/>
        </w:rPr>
        <w:t xml:space="preserve">Accumulated other comprehensive loss is included in the limited partners and general partner components of equity in the consolidated balance sheets in the amounts </w:t>
      </w:r>
      <w:r>
        <w:rPr>
          <w:rFonts w:eastAsia="Times New Roman"/>
          <w:color w:val="000000"/>
          <w:sz w:val="20"/>
          <w:szCs w:val="20"/>
        </w:rPr>
        <w:t>of $89 million and $85 million as of December 31, 2019 and 2018, respectively. Refer to Note 16, “Changes in Accumulated Other Comprehensive Loss,” for further information.</w:t>
      </w:r>
      <w:r>
        <w:rPr>
          <w:rFonts w:eastAsia="Times New Roman"/>
          <w:color w:val="000000"/>
          <w:sz w:val="20"/>
          <w:szCs w:val="20"/>
        </w:rPr>
        <w:t xml:space="preserve"> </w:t>
      </w:r>
    </w:p>
    <w:p w14:paraId="4F319B82" w14:textId="77777777" w:rsidR="00000000" w:rsidRDefault="00195E73">
      <w:pPr>
        <w:divId w:val="837429593"/>
        <w:rPr>
          <w:rFonts w:eastAsia="Times New Roman"/>
        </w:rPr>
      </w:pPr>
      <w:r>
        <w:rPr>
          <w:rFonts w:eastAsia="Times New Roman"/>
          <w:b/>
          <w:bCs/>
          <w:i/>
          <w:iCs/>
          <w:color w:val="000000"/>
          <w:sz w:val="20"/>
          <w:szCs w:val="20"/>
        </w:rPr>
        <w:t>Allocation of Net Profits and Losses in Consolidated Affiliated Partnership</w:t>
      </w:r>
      <w:r>
        <w:rPr>
          <w:rFonts w:eastAsia="Times New Roman"/>
          <w:b/>
          <w:bCs/>
          <w:i/>
          <w:iCs/>
          <w:color w:val="000000"/>
          <w:sz w:val="20"/>
          <w:szCs w:val="20"/>
        </w:rPr>
        <w:t>s</w:t>
      </w:r>
    </w:p>
    <w:p w14:paraId="3D27BB98" w14:textId="77777777" w:rsidR="00000000" w:rsidRDefault="00195E73">
      <w:pPr>
        <w:ind w:firstLine="450"/>
        <w:divId w:val="1093555176"/>
        <w:rPr>
          <w:rFonts w:eastAsia="Times New Roman"/>
        </w:rPr>
      </w:pPr>
      <w:r>
        <w:rPr>
          <w:rFonts w:eastAsia="Times New Roman"/>
          <w:color w:val="000000"/>
          <w:sz w:val="20"/>
          <w:szCs w:val="20"/>
        </w:rPr>
        <w:t>Net i</w:t>
      </w:r>
      <w:r>
        <w:rPr>
          <w:rFonts w:eastAsia="Times New Roman"/>
          <w:color w:val="000000"/>
          <w:sz w:val="20"/>
          <w:szCs w:val="20"/>
        </w:rPr>
        <w:t>nvestment income and net realized and unrealized gains and losses on investments of the Investment Funds are allocated to the respective partners of the Investment Funds based on their percentage ownership in such Investment Funds on a monthly basis. Excep</w:t>
      </w:r>
      <w:r>
        <w:rPr>
          <w:rFonts w:eastAsia="Times New Roman"/>
          <w:color w:val="000000"/>
          <w:sz w:val="20"/>
          <w:szCs w:val="20"/>
        </w:rPr>
        <w:t>t for our limited partner interest, such allocations made to the limited partners of the Investment Funds are represented as non-controlling interests in our consolidated statements of operations.</w:t>
      </w:r>
      <w:r>
        <w:rPr>
          <w:rFonts w:eastAsia="Times New Roman"/>
          <w:color w:val="000000"/>
          <w:sz w:val="20"/>
          <w:szCs w:val="20"/>
        </w:rPr>
        <w:t xml:space="preserve"> </w:t>
      </w:r>
    </w:p>
    <w:p w14:paraId="3854893D" w14:textId="77777777" w:rsidR="00000000" w:rsidRDefault="00195E73">
      <w:pPr>
        <w:divId w:val="482283717"/>
        <w:rPr>
          <w:rFonts w:eastAsia="Times New Roman"/>
        </w:rPr>
      </w:pPr>
      <w:r>
        <w:rPr>
          <w:rFonts w:eastAsia="Times New Roman"/>
          <w:b/>
          <w:bCs/>
          <w:i/>
          <w:iCs/>
          <w:color w:val="000000"/>
          <w:sz w:val="20"/>
          <w:szCs w:val="20"/>
        </w:rPr>
        <w:t>General Partnership Interest of Icahn Enterprises and Icah</w:t>
      </w:r>
      <w:r>
        <w:rPr>
          <w:rFonts w:eastAsia="Times New Roman"/>
          <w:b/>
          <w:bCs/>
          <w:i/>
          <w:iCs/>
          <w:color w:val="000000"/>
          <w:sz w:val="20"/>
          <w:szCs w:val="20"/>
        </w:rPr>
        <w:t>n Enterprises Holding</w:t>
      </w:r>
      <w:r>
        <w:rPr>
          <w:rFonts w:eastAsia="Times New Roman"/>
          <w:b/>
          <w:bCs/>
          <w:i/>
          <w:iCs/>
          <w:color w:val="000000"/>
          <w:sz w:val="20"/>
          <w:szCs w:val="20"/>
        </w:rPr>
        <w:t>s</w:t>
      </w:r>
    </w:p>
    <w:p w14:paraId="1E21CCE4" w14:textId="77777777" w:rsidR="00000000" w:rsidRDefault="00195E73">
      <w:pPr>
        <w:ind w:firstLine="450"/>
        <w:divId w:val="1533611943"/>
        <w:rPr>
          <w:rFonts w:eastAsia="Times New Roman"/>
        </w:rPr>
      </w:pPr>
      <w:r>
        <w:rPr>
          <w:rFonts w:eastAsia="Times New Roman"/>
          <w:color w:val="000000"/>
          <w:sz w:val="20"/>
          <w:szCs w:val="20"/>
        </w:rPr>
        <w:t>The general partner’s capital account generally consists of its cumulative share of our net income less cash distributions plus capital contributions. Additionally, in acquisitions of common control companies accounted for at histori</w:t>
      </w:r>
      <w:r>
        <w:rPr>
          <w:rFonts w:eastAsia="Times New Roman"/>
          <w:color w:val="000000"/>
          <w:sz w:val="20"/>
          <w:szCs w:val="20"/>
        </w:rPr>
        <w:t>cal cost similar to a pooling of interests, the general partner’s capital account would be charged (or credited) in a manner similar to a distribution (or contribution) for the excess (or deficit) of the fair value of consideration paid over historical bas</w:t>
      </w:r>
      <w:r>
        <w:rPr>
          <w:rFonts w:eastAsia="Times New Roman"/>
          <w:color w:val="000000"/>
          <w:sz w:val="20"/>
          <w:szCs w:val="20"/>
        </w:rPr>
        <w:t>is in the business acquired</w:t>
      </w:r>
      <w:r>
        <w:rPr>
          <w:rFonts w:eastAsia="Times New Roman"/>
          <w:color w:val="000000"/>
          <w:sz w:val="20"/>
          <w:szCs w:val="20"/>
        </w:rPr>
        <w:t>.</w:t>
      </w:r>
    </w:p>
    <w:p w14:paraId="11BE179B" w14:textId="77777777" w:rsidR="00000000" w:rsidRDefault="00195E73">
      <w:pPr>
        <w:ind w:firstLine="450"/>
        <w:divId w:val="2125806068"/>
        <w:rPr>
          <w:rFonts w:eastAsia="Times New Roman"/>
        </w:rPr>
      </w:pPr>
      <w:r>
        <w:rPr>
          <w:rFonts w:eastAsia="Times New Roman"/>
          <w:color w:val="000000"/>
          <w:sz w:val="20"/>
          <w:szCs w:val="20"/>
        </w:rPr>
        <w:t>Capital Accounts, as defined under the Partnership Agreement, are maintained for our general partner and our limited partners. The capital account provisions of our Partnership Agreement incorporate principles established for U</w:t>
      </w:r>
      <w:r>
        <w:rPr>
          <w:rFonts w:eastAsia="Times New Roman"/>
          <w:color w:val="000000"/>
          <w:sz w:val="20"/>
          <w:szCs w:val="20"/>
        </w:rPr>
        <w:t>.S. federal income tax purposes and are not comparable to the equity accounts reflected under U.S. GAAP in our consolidated financial statements. Under our Partnership Agreement, the general partner is required to make additional capital contributions to u</w:t>
      </w:r>
      <w:r>
        <w:rPr>
          <w:rFonts w:eastAsia="Times New Roman"/>
          <w:color w:val="000000"/>
          <w:sz w:val="20"/>
          <w:szCs w:val="20"/>
        </w:rPr>
        <w:t>s upon the issuance of any additional depositary units in order to maintain a capital account balance equal to 1.99% (1% in the case of Icahn Enterprises Holdings) of the total capital accounts of all partners</w:t>
      </w:r>
      <w:r>
        <w:rPr>
          <w:rFonts w:eastAsia="Times New Roman"/>
          <w:color w:val="000000"/>
          <w:sz w:val="20"/>
          <w:szCs w:val="20"/>
        </w:rPr>
        <w:t>.</w:t>
      </w:r>
    </w:p>
    <w:p w14:paraId="449C4171" w14:textId="77777777" w:rsidR="00000000" w:rsidRDefault="00195E73">
      <w:pPr>
        <w:ind w:firstLine="450"/>
        <w:divId w:val="1638485332"/>
        <w:rPr>
          <w:rFonts w:eastAsia="Times New Roman"/>
        </w:rPr>
      </w:pPr>
      <w:r>
        <w:rPr>
          <w:rFonts w:eastAsia="Times New Roman"/>
          <w:color w:val="000000"/>
          <w:sz w:val="20"/>
          <w:szCs w:val="20"/>
        </w:rPr>
        <w:t>Generally, net earnings for U.S. federal inco</w:t>
      </w:r>
      <w:r>
        <w:rPr>
          <w:rFonts w:eastAsia="Times New Roman"/>
          <w:color w:val="000000"/>
          <w:sz w:val="20"/>
          <w:szCs w:val="20"/>
        </w:rPr>
        <w:t>me tax purposes are allocated 1.99% (1% in the case of Icahn Enterprises Holdings) and 98.01% (99% in the case of Icahn Enterprises Holdings) between the general partner and the limited partners, respectively, in the same proportion as aggregate cash distr</w:t>
      </w:r>
      <w:r>
        <w:rPr>
          <w:rFonts w:eastAsia="Times New Roman"/>
          <w:color w:val="000000"/>
          <w:sz w:val="20"/>
          <w:szCs w:val="20"/>
        </w:rPr>
        <w:t xml:space="preserve">ibutions made to the general partner and the limited partners during the period. This is generally consistent with the manner of allocating net income under our Partnership Agreement; however, it is not comparable to the allocation of net income reflected </w:t>
      </w:r>
      <w:r>
        <w:rPr>
          <w:rFonts w:eastAsia="Times New Roman"/>
          <w:color w:val="000000"/>
          <w:sz w:val="20"/>
          <w:szCs w:val="20"/>
        </w:rPr>
        <w:t>in our consolidated financial statements</w:t>
      </w:r>
      <w:r>
        <w:rPr>
          <w:rFonts w:eastAsia="Times New Roman"/>
          <w:color w:val="000000"/>
          <w:sz w:val="20"/>
          <w:szCs w:val="20"/>
        </w:rPr>
        <w:t>.</w:t>
      </w:r>
    </w:p>
    <w:p w14:paraId="3987655E" w14:textId="77777777" w:rsidR="00000000" w:rsidRDefault="00195E73">
      <w:pPr>
        <w:ind w:firstLine="450"/>
        <w:divId w:val="1062673305"/>
        <w:rPr>
          <w:rFonts w:eastAsia="Times New Roman"/>
        </w:rPr>
      </w:pPr>
      <w:r>
        <w:rPr>
          <w:rFonts w:eastAsia="Times New Roman"/>
          <w:color w:val="000000"/>
          <w:sz w:val="20"/>
          <w:szCs w:val="20"/>
        </w:rPr>
        <w:t xml:space="preserve">Pursuant to the Partnership Agreement, in the event of our dissolution, after satisfying our liabilities, our remaining assets would be divided among our limited partners and the general partner in accordance with </w:t>
      </w:r>
      <w:r>
        <w:rPr>
          <w:rFonts w:eastAsia="Times New Roman"/>
          <w:color w:val="000000"/>
          <w:sz w:val="20"/>
          <w:szCs w:val="20"/>
        </w:rPr>
        <w:t xml:space="preserve">their respective percentage interests under the Partnership Agreement. If a deficit balance still remains in the general partner’s capital account after all allocations are made between the partners, the general partner would not be required to make whole </w:t>
      </w:r>
      <w:r>
        <w:rPr>
          <w:rFonts w:eastAsia="Times New Roman"/>
          <w:color w:val="000000"/>
          <w:sz w:val="20"/>
          <w:szCs w:val="20"/>
        </w:rPr>
        <w:t>any such deficit</w:t>
      </w:r>
      <w:r>
        <w:rPr>
          <w:rFonts w:eastAsia="Times New Roman"/>
          <w:color w:val="000000"/>
          <w:sz w:val="20"/>
          <w:szCs w:val="20"/>
        </w:rPr>
        <w:t>.</w:t>
      </w:r>
    </w:p>
    <w:p w14:paraId="1A488E68" w14:textId="77777777" w:rsidR="00000000" w:rsidRDefault="00195E73">
      <w:pPr>
        <w:divId w:val="1549102332"/>
        <w:rPr>
          <w:rFonts w:eastAsia="Times New Roman"/>
        </w:rPr>
      </w:pPr>
      <w:r>
        <w:rPr>
          <w:rFonts w:eastAsia="Times New Roman"/>
          <w:b/>
          <w:bCs/>
          <w:i/>
          <w:iCs/>
          <w:color w:val="000000"/>
          <w:sz w:val="20"/>
          <w:szCs w:val="20"/>
        </w:rPr>
        <w:t>Basic and Diluted Income Per LP Uni</w:t>
      </w:r>
      <w:r>
        <w:rPr>
          <w:rFonts w:eastAsia="Times New Roman"/>
          <w:b/>
          <w:bCs/>
          <w:i/>
          <w:iCs/>
          <w:color w:val="000000"/>
          <w:sz w:val="20"/>
          <w:szCs w:val="20"/>
        </w:rPr>
        <w:t>t</w:t>
      </w:r>
    </w:p>
    <w:p w14:paraId="6C8BFBA7" w14:textId="77777777" w:rsidR="00000000" w:rsidRDefault="00195E73">
      <w:pPr>
        <w:ind w:firstLine="450"/>
        <w:divId w:val="699428184"/>
        <w:rPr>
          <w:rFonts w:eastAsia="Times New Roman"/>
        </w:rPr>
      </w:pPr>
      <w:r>
        <w:rPr>
          <w:rFonts w:eastAsia="Times New Roman"/>
          <w:color w:val="000000"/>
          <w:sz w:val="20"/>
          <w:szCs w:val="20"/>
        </w:rPr>
        <w:t>For Icahn Enterprises, basic income (loss) per LP unit is based on net income or loss attributable to Icahn Enterprises allocated to limited partners. Net income or loss allocated to limited partners is divided by the weighted-average number of LP units ou</w:t>
      </w:r>
      <w:r>
        <w:rPr>
          <w:rFonts w:eastAsia="Times New Roman"/>
          <w:color w:val="000000"/>
          <w:sz w:val="20"/>
          <w:szCs w:val="20"/>
        </w:rPr>
        <w:t>tstanding. Diluted income (loss) per LP unit, when applicable, is based on basic income (loss) adjusted for the potential effect of dilutive securities as well as the related weighted-average number of units and equivalent units outstanding</w:t>
      </w:r>
      <w:r>
        <w:rPr>
          <w:rFonts w:eastAsia="Times New Roman"/>
          <w:color w:val="000000"/>
          <w:sz w:val="20"/>
          <w:szCs w:val="20"/>
        </w:rPr>
        <w:t>.</w:t>
      </w:r>
    </w:p>
    <w:p w14:paraId="514227A2" w14:textId="77777777" w:rsidR="00000000" w:rsidRDefault="00195E73">
      <w:pPr>
        <w:jc w:val="center"/>
        <w:divId w:val="1833984436"/>
        <w:rPr>
          <w:rFonts w:eastAsia="Times New Roman"/>
        </w:rPr>
      </w:pPr>
      <w:r>
        <w:rPr>
          <w:rFonts w:eastAsia="Times New Roman"/>
          <w:color w:val="000000"/>
          <w:sz w:val="20"/>
          <w:szCs w:val="20"/>
        </w:rPr>
        <w:t>7</w:t>
      </w:r>
      <w:r>
        <w:rPr>
          <w:rFonts w:eastAsia="Times New Roman"/>
          <w:color w:val="000000"/>
          <w:sz w:val="20"/>
          <w:szCs w:val="20"/>
        </w:rPr>
        <w:t>4</w:t>
      </w:r>
    </w:p>
    <w:p w14:paraId="71F75654" w14:textId="77777777" w:rsidR="00000000" w:rsidRDefault="00195E73">
      <w:pPr>
        <w:rPr>
          <w:rFonts w:eastAsia="Times New Roman"/>
        </w:rPr>
      </w:pPr>
      <w:r>
        <w:rPr>
          <w:rFonts w:eastAsia="Times New Roman"/>
        </w:rPr>
        <w:pict w14:anchorId="4F1A770D">
          <v:rect id="_x0000_i1100" style="width:0;height:1.5pt" o:hralign="center" o:hrstd="t" o:hr="t" fillcolor="#a0a0a0" stroked="f"/>
        </w:pict>
      </w:r>
    </w:p>
    <w:p w14:paraId="38B7C49C" w14:textId="77777777" w:rsidR="00000000" w:rsidRDefault="00195E73">
      <w:pPr>
        <w:jc w:val="center"/>
        <w:divId w:val="775321383"/>
        <w:rPr>
          <w:rFonts w:eastAsia="Times New Roman"/>
        </w:rPr>
      </w:pPr>
    </w:p>
    <w:p w14:paraId="7CFE6451" w14:textId="77777777" w:rsidR="00000000" w:rsidRDefault="00195E73">
      <w:pPr>
        <w:jc w:val="center"/>
        <w:divId w:val="775321383"/>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465B7ADA" w14:textId="77777777" w:rsidR="00000000" w:rsidRDefault="00195E73">
      <w:pPr>
        <w:jc w:val="center"/>
        <w:divId w:val="775321383"/>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3E84C7C0" w14:textId="77777777" w:rsidR="00000000" w:rsidRDefault="00195E73">
      <w:pPr>
        <w:jc w:val="center"/>
        <w:divId w:val="775321383"/>
        <w:rPr>
          <w:rFonts w:eastAsia="Times New Roman"/>
        </w:rPr>
      </w:pPr>
    </w:p>
    <w:p w14:paraId="06EFE054" w14:textId="77777777" w:rsidR="00000000" w:rsidRDefault="00195E73">
      <w:pPr>
        <w:jc w:val="center"/>
        <w:divId w:val="775321383"/>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3B7DA63F" w14:textId="77777777" w:rsidR="00000000" w:rsidRDefault="00195E73">
      <w:pPr>
        <w:ind w:firstLine="450"/>
        <w:divId w:val="1120799179"/>
        <w:rPr>
          <w:rFonts w:eastAsia="Times New Roman"/>
        </w:rPr>
      </w:pPr>
      <w:r>
        <w:rPr>
          <w:rFonts w:eastAsia="Times New Roman"/>
          <w:color w:val="000000"/>
          <w:sz w:val="20"/>
          <w:szCs w:val="20"/>
        </w:rPr>
        <w:t xml:space="preserve">For accounting purposes, when applicable, earnings prior to dates of acquisitions of entities </w:t>
      </w:r>
      <w:r>
        <w:rPr>
          <w:rFonts w:eastAsia="Times New Roman"/>
          <w:color w:val="000000"/>
          <w:sz w:val="20"/>
          <w:szCs w:val="20"/>
        </w:rPr>
        <w:t>under common control are excluded from the computation of basic and diluted income per LP unit as such earnings are allocated to our general partner</w:t>
      </w:r>
      <w:r>
        <w:rPr>
          <w:rFonts w:eastAsia="Times New Roman"/>
          <w:color w:val="000000"/>
          <w:sz w:val="20"/>
          <w:szCs w:val="20"/>
        </w:rPr>
        <w:t>.</w:t>
      </w:r>
    </w:p>
    <w:p w14:paraId="5E5F8D69" w14:textId="77777777" w:rsidR="00000000" w:rsidRDefault="00195E73">
      <w:pPr>
        <w:divId w:val="1034967137"/>
        <w:rPr>
          <w:rFonts w:eastAsia="Times New Roman"/>
        </w:rPr>
      </w:pPr>
      <w:r>
        <w:rPr>
          <w:rFonts w:eastAsia="Times New Roman"/>
          <w:b/>
          <w:bCs/>
          <w:i/>
          <w:iCs/>
          <w:color w:val="000000"/>
          <w:sz w:val="20"/>
          <w:szCs w:val="20"/>
        </w:rPr>
        <w:t>Income Taxe</w:t>
      </w:r>
      <w:r>
        <w:rPr>
          <w:rFonts w:eastAsia="Times New Roman"/>
          <w:b/>
          <w:bCs/>
          <w:i/>
          <w:iCs/>
          <w:color w:val="000000"/>
          <w:sz w:val="20"/>
          <w:szCs w:val="20"/>
        </w:rPr>
        <w:t>s</w:t>
      </w:r>
    </w:p>
    <w:p w14:paraId="12C0DCC6" w14:textId="77777777" w:rsidR="00000000" w:rsidRDefault="00195E73">
      <w:pPr>
        <w:ind w:firstLine="450"/>
        <w:divId w:val="909535616"/>
        <w:rPr>
          <w:rFonts w:eastAsia="Times New Roman"/>
        </w:rPr>
      </w:pPr>
      <w:r>
        <w:rPr>
          <w:rFonts w:eastAsia="Times New Roman"/>
          <w:color w:val="000000"/>
          <w:sz w:val="20"/>
          <w:szCs w:val="20"/>
        </w:rPr>
        <w:t>Except as described below, no provision has been made for federal, state, local or foreign in</w:t>
      </w:r>
      <w:r>
        <w:rPr>
          <w:rFonts w:eastAsia="Times New Roman"/>
          <w:color w:val="000000"/>
          <w:sz w:val="20"/>
          <w:szCs w:val="20"/>
        </w:rPr>
        <w:t>come taxes on the results of operations generated by partnership activities, as such taxes are the responsibility of the partners. Provision has been made for federal, state, local or foreign income taxes on the results of operations generated by our corpo</w:t>
      </w:r>
      <w:r>
        <w:rPr>
          <w:rFonts w:eastAsia="Times New Roman"/>
          <w:color w:val="000000"/>
          <w:sz w:val="20"/>
          <w:szCs w:val="20"/>
        </w:rPr>
        <w:t>rate subsidiaries and these are reflected within continuing and discontinued operations. Deferred tax assets and liabilities are recognized for the future tax consequences attributable to differences between the financial statement carrying amounts of exis</w:t>
      </w:r>
      <w:r>
        <w:rPr>
          <w:rFonts w:eastAsia="Times New Roman"/>
          <w:color w:val="000000"/>
          <w:sz w:val="20"/>
          <w:szCs w:val="20"/>
        </w:rPr>
        <w:t xml:space="preserve">ting assets and liabilities and their respective tax bases and operating loss and tax credit carry forwards. Deferred tax assets and liabilities are measured using enacted tax rates expected to apply to taxable income in the years in which those temporary </w:t>
      </w:r>
      <w:r>
        <w:rPr>
          <w:rFonts w:eastAsia="Times New Roman"/>
          <w:color w:val="000000"/>
          <w:sz w:val="20"/>
          <w:szCs w:val="20"/>
        </w:rPr>
        <w:t>differences are expected to be recovered or settled. The effect on deferred tax assets and liabilities of a change in tax rates is recognized in income in the period that includes the enactment date</w:t>
      </w:r>
      <w:r>
        <w:rPr>
          <w:rFonts w:eastAsia="Times New Roman"/>
          <w:color w:val="000000"/>
          <w:sz w:val="20"/>
          <w:szCs w:val="20"/>
        </w:rPr>
        <w:t>.</w:t>
      </w:r>
    </w:p>
    <w:p w14:paraId="0BE2536D" w14:textId="77777777" w:rsidR="00000000" w:rsidRDefault="00195E73">
      <w:pPr>
        <w:ind w:firstLine="450"/>
        <w:divId w:val="135682817"/>
        <w:rPr>
          <w:rFonts w:eastAsia="Times New Roman"/>
        </w:rPr>
      </w:pPr>
      <w:r>
        <w:rPr>
          <w:rFonts w:eastAsia="Times New Roman"/>
          <w:color w:val="000000"/>
          <w:sz w:val="20"/>
          <w:szCs w:val="20"/>
        </w:rPr>
        <w:t>Deferred tax assets are limited to amounts considered to</w:t>
      </w:r>
      <w:r>
        <w:rPr>
          <w:rFonts w:eastAsia="Times New Roman"/>
          <w:color w:val="000000"/>
          <w:sz w:val="20"/>
          <w:szCs w:val="20"/>
        </w:rPr>
        <w:t xml:space="preserve"> be realizable in future periods. A valuation allowance is recorded against deferred tax assets if management does not believe that we have met the “more-likely-than-not” standard to allow recognition of such an asset</w:t>
      </w:r>
      <w:r>
        <w:rPr>
          <w:rFonts w:eastAsia="Times New Roman"/>
          <w:color w:val="000000"/>
          <w:sz w:val="20"/>
          <w:szCs w:val="20"/>
        </w:rPr>
        <w:t>.</w:t>
      </w:r>
    </w:p>
    <w:p w14:paraId="04A7389F" w14:textId="77777777" w:rsidR="00000000" w:rsidRDefault="00195E73">
      <w:pPr>
        <w:ind w:firstLine="450"/>
        <w:divId w:val="1264410767"/>
        <w:rPr>
          <w:rFonts w:eastAsia="Times New Roman"/>
        </w:rPr>
      </w:pPr>
      <w:r>
        <w:rPr>
          <w:rFonts w:eastAsia="Times New Roman"/>
          <w:color w:val="000000"/>
          <w:sz w:val="20"/>
          <w:szCs w:val="20"/>
        </w:rPr>
        <w:t>U.S. GAAP provides that the tax effec</w:t>
      </w:r>
      <w:r>
        <w:rPr>
          <w:rFonts w:eastAsia="Times New Roman"/>
          <w:color w:val="000000"/>
          <w:sz w:val="20"/>
          <w:szCs w:val="20"/>
        </w:rPr>
        <w:t>ts from an uncertain tax position can be recognized in the financial statements only if the position is “more-likely-than-not” to be sustained if the position were to be challenged by a taxing authority. The assessment of the tax position is based solely o</w:t>
      </w:r>
      <w:r>
        <w:rPr>
          <w:rFonts w:eastAsia="Times New Roman"/>
          <w:color w:val="000000"/>
          <w:sz w:val="20"/>
          <w:szCs w:val="20"/>
        </w:rPr>
        <w:t>n the technical merits of the position, without regard to the likelihood that the tax position may be challenged. If an uncertain tax position meets the “more-likely-than-not” threshold, the largest amount of tax benefit that is greater than 50 percent lik</w:t>
      </w:r>
      <w:r>
        <w:rPr>
          <w:rFonts w:eastAsia="Times New Roman"/>
          <w:color w:val="000000"/>
          <w:sz w:val="20"/>
          <w:szCs w:val="20"/>
        </w:rPr>
        <w:t>ely to be recognized upon ultimate settlement with the taxing authority is recorded. See Note 15, “Income Taxes,” for additional information</w:t>
      </w:r>
      <w:r>
        <w:rPr>
          <w:rFonts w:eastAsia="Times New Roman"/>
          <w:color w:val="000000"/>
          <w:sz w:val="20"/>
          <w:szCs w:val="20"/>
        </w:rPr>
        <w:t>.</w:t>
      </w:r>
    </w:p>
    <w:p w14:paraId="1E33CBD5" w14:textId="77777777" w:rsidR="00000000" w:rsidRDefault="00195E73">
      <w:pPr>
        <w:divId w:val="50083942"/>
        <w:rPr>
          <w:rFonts w:eastAsia="Times New Roman"/>
        </w:rPr>
      </w:pPr>
      <w:r>
        <w:rPr>
          <w:rFonts w:eastAsia="Times New Roman"/>
          <w:b/>
          <w:bCs/>
          <w:i/>
          <w:iCs/>
          <w:color w:val="000000"/>
          <w:sz w:val="20"/>
          <w:szCs w:val="20"/>
        </w:rPr>
        <w:t>Lease</w:t>
      </w:r>
      <w:r>
        <w:rPr>
          <w:rFonts w:eastAsia="Times New Roman"/>
          <w:b/>
          <w:bCs/>
          <w:i/>
          <w:iCs/>
          <w:color w:val="000000"/>
          <w:sz w:val="20"/>
          <w:szCs w:val="20"/>
        </w:rPr>
        <w:t>s</w:t>
      </w:r>
    </w:p>
    <w:p w14:paraId="441F7A54" w14:textId="77777777" w:rsidR="00000000" w:rsidRDefault="00195E73">
      <w:pPr>
        <w:ind w:firstLine="450"/>
        <w:divId w:val="999574848"/>
        <w:rPr>
          <w:rFonts w:eastAsia="Times New Roman"/>
        </w:rPr>
      </w:pPr>
      <w:r>
        <w:rPr>
          <w:rFonts w:eastAsia="Times New Roman"/>
          <w:color w:val="000000"/>
          <w:sz w:val="20"/>
          <w:szCs w:val="20"/>
        </w:rPr>
        <w:t>As discussed below, on January 1, 2019, we adopted FASB ASC Topic 842,</w:t>
      </w:r>
      <w:r>
        <w:rPr>
          <w:rFonts w:eastAsia="Times New Roman"/>
          <w:color w:val="000000"/>
          <w:sz w:val="20"/>
          <w:szCs w:val="20"/>
        </w:rPr>
        <w:t xml:space="preserve"> </w:t>
      </w:r>
      <w:r>
        <w:rPr>
          <w:rFonts w:eastAsia="Times New Roman"/>
          <w:i/>
          <w:iCs/>
          <w:color w:val="000000"/>
          <w:sz w:val="20"/>
          <w:szCs w:val="20"/>
        </w:rPr>
        <w:t>Lease</w:t>
      </w:r>
      <w:r>
        <w:rPr>
          <w:rFonts w:eastAsia="Times New Roman"/>
          <w:i/>
          <w:iCs/>
          <w:color w:val="000000"/>
          <w:sz w:val="20"/>
          <w:szCs w:val="20"/>
        </w:rPr>
        <w:t>s</w:t>
      </w:r>
      <w:r>
        <w:rPr>
          <w:rFonts w:eastAsia="Times New Roman"/>
          <w:color w:val="000000"/>
          <w:sz w:val="20"/>
          <w:szCs w:val="20"/>
        </w:rPr>
        <w:t>, using the modified retrospec</w:t>
      </w:r>
      <w:r>
        <w:rPr>
          <w:rFonts w:eastAsia="Times New Roman"/>
          <w:color w:val="000000"/>
          <w:sz w:val="20"/>
          <w:szCs w:val="20"/>
        </w:rPr>
        <w:t>tive approach, which does not require the application of this Topic to periods prior to January 1, 2019. The application of this Topic requires the recognition of right-of-use assets and related lease liabilities on the balance sheet for operating leases i</w:t>
      </w:r>
      <w:r>
        <w:rPr>
          <w:rFonts w:eastAsia="Times New Roman"/>
          <w:color w:val="000000"/>
          <w:sz w:val="20"/>
          <w:szCs w:val="20"/>
        </w:rPr>
        <w:t>n which we are the lessee beginning in 2019. Financing leases under current U.S. GAAP are classified and accounted for in substantially the same manner as capital leases under prior U.S. GAAP and therefore, we do not distinguish between financing leases an</w:t>
      </w:r>
      <w:r>
        <w:rPr>
          <w:rFonts w:eastAsia="Times New Roman"/>
          <w:color w:val="000000"/>
          <w:sz w:val="20"/>
          <w:szCs w:val="20"/>
        </w:rPr>
        <w:t>d capital leases unless the context requires.</w:t>
      </w:r>
      <w:r>
        <w:rPr>
          <w:rFonts w:eastAsia="Times New Roman"/>
          <w:color w:val="000000"/>
          <w:sz w:val="20"/>
          <w:szCs w:val="20"/>
        </w:rPr>
        <w:t xml:space="preserve"> </w:t>
      </w:r>
    </w:p>
    <w:p w14:paraId="06A4BB17" w14:textId="77777777" w:rsidR="00000000" w:rsidRDefault="00195E73">
      <w:pPr>
        <w:ind w:firstLine="450"/>
        <w:divId w:val="483737588"/>
        <w:rPr>
          <w:rFonts w:eastAsia="Times New Roman"/>
        </w:rPr>
      </w:pPr>
      <w:r>
        <w:rPr>
          <w:rFonts w:eastAsia="Times New Roman"/>
          <w:color w:val="000000"/>
          <w:sz w:val="20"/>
          <w:szCs w:val="20"/>
        </w:rPr>
        <w:t>The determination of whether an arrangement is or contains a lease occurs at inception. We account for arrangements that contain lease and non-lease components as a single lease component for all classes of underlying assets. Leases in which we are the les</w:t>
      </w:r>
      <w:r>
        <w:rPr>
          <w:rFonts w:eastAsia="Times New Roman"/>
          <w:color w:val="000000"/>
          <w:sz w:val="20"/>
          <w:szCs w:val="20"/>
        </w:rPr>
        <w:t xml:space="preserve">sor are primarily within our Real Estate segment. Refer to Real Estate below for further discussion. In addition, all of our businesses, including our Real Estate segment, enter into lease arrangements as the lessee. The following is our accounting policy </w:t>
      </w:r>
      <w:r>
        <w:rPr>
          <w:rFonts w:eastAsia="Times New Roman"/>
          <w:color w:val="000000"/>
          <w:sz w:val="20"/>
          <w:szCs w:val="20"/>
        </w:rPr>
        <w:t>for leases in which we are the lessee.</w:t>
      </w:r>
      <w:r>
        <w:rPr>
          <w:rFonts w:eastAsia="Times New Roman"/>
          <w:color w:val="000000"/>
          <w:sz w:val="20"/>
          <w:szCs w:val="20"/>
        </w:rPr>
        <w:t xml:space="preserve"> </w:t>
      </w:r>
    </w:p>
    <w:p w14:paraId="78AA1B46" w14:textId="77777777" w:rsidR="00000000" w:rsidRDefault="00195E73">
      <w:pPr>
        <w:divId w:val="144206721"/>
        <w:rPr>
          <w:rFonts w:eastAsia="Times New Roman"/>
        </w:rPr>
      </w:pPr>
      <w:r>
        <w:rPr>
          <w:rFonts w:eastAsia="Times New Roman"/>
          <w:i/>
          <w:iCs/>
          <w:color w:val="000000"/>
          <w:sz w:val="20"/>
          <w:szCs w:val="20"/>
        </w:rPr>
        <w:t>All Segments and Holding Compan</w:t>
      </w:r>
      <w:r>
        <w:rPr>
          <w:rFonts w:eastAsia="Times New Roman"/>
          <w:i/>
          <w:iCs/>
          <w:color w:val="000000"/>
          <w:sz w:val="20"/>
          <w:szCs w:val="20"/>
        </w:rPr>
        <w:t>y</w:t>
      </w:r>
    </w:p>
    <w:p w14:paraId="30E535EE" w14:textId="77777777" w:rsidR="00000000" w:rsidRDefault="00195E73">
      <w:pPr>
        <w:ind w:firstLine="450"/>
        <w:divId w:val="1257208304"/>
        <w:rPr>
          <w:rFonts w:eastAsia="Times New Roman"/>
        </w:rPr>
      </w:pPr>
      <w:r>
        <w:rPr>
          <w:rFonts w:eastAsia="Times New Roman"/>
          <w:color w:val="000000"/>
          <w:sz w:val="20"/>
          <w:szCs w:val="20"/>
        </w:rPr>
        <w:t>Leases are classified as either operating or financing by the lessee depending on whether or not the lease terms provide for control of the underlying asset to be transferred to the l</w:t>
      </w:r>
      <w:r>
        <w:rPr>
          <w:rFonts w:eastAsia="Times New Roman"/>
          <w:color w:val="000000"/>
          <w:sz w:val="20"/>
          <w:szCs w:val="20"/>
        </w:rPr>
        <w:t>essee. When control transfers to the lessee, we classify the lease as a financing lease. All other leases are recorded as operating leases. Effective January 1, 2019, for all leases with an initial lease term in excess of twelve months, we record a right-o</w:t>
      </w:r>
      <w:r>
        <w:rPr>
          <w:rFonts w:eastAsia="Times New Roman"/>
          <w:color w:val="000000"/>
          <w:sz w:val="20"/>
          <w:szCs w:val="20"/>
        </w:rPr>
        <w:t>f-use asset with a corresponding liability in the consolidated balance sheet. Right-of-use assets represent our right to use an underlying asset for the lease term and lease liabilities represent our obligation to make lease payments arising from the lease</w:t>
      </w:r>
      <w:r>
        <w:rPr>
          <w:rFonts w:eastAsia="Times New Roman"/>
          <w:color w:val="000000"/>
          <w:sz w:val="20"/>
          <w:szCs w:val="20"/>
        </w:rPr>
        <w:t>. Right-of-use assets and lease liabilities are recognized at commencement of the lease based on the present value of the lease payments over the lease term. Right-of-use assets are adjusted for any lease payments made on or before commencement of the leas</w:t>
      </w:r>
      <w:r>
        <w:rPr>
          <w:rFonts w:eastAsia="Times New Roman"/>
          <w:color w:val="000000"/>
          <w:sz w:val="20"/>
          <w:szCs w:val="20"/>
        </w:rPr>
        <w:t>e, less any lease incentives received. As most of our leases do not provide an implicit rate, we use the incremental borrowing rate with respect to each of our businesses based on the information available at commencement of the lease in determining the pr</w:t>
      </w:r>
      <w:r>
        <w:rPr>
          <w:rFonts w:eastAsia="Times New Roman"/>
          <w:color w:val="000000"/>
          <w:sz w:val="20"/>
          <w:szCs w:val="20"/>
        </w:rPr>
        <w:t>esent value of lease payments. We use the implicit rate when readily determinable. The lease terms used in the determination of our right-of-use assets and lease liabilities reflect any options to extend or terminate the lease when it is reasonably certain</w:t>
      </w:r>
      <w:r>
        <w:rPr>
          <w:rFonts w:eastAsia="Times New Roman"/>
          <w:color w:val="000000"/>
          <w:sz w:val="20"/>
          <w:szCs w:val="20"/>
        </w:rPr>
        <w:t xml:space="preserve"> that we will exercise such option. We and our subsidiaries, independently of each other, apply a portfolio approach to account for the right-of-use assets and lease liabilities when we or our subsidiaries do not believe that applying the portfolio approac</w:t>
      </w:r>
      <w:r>
        <w:rPr>
          <w:rFonts w:eastAsia="Times New Roman"/>
          <w:color w:val="000000"/>
          <w:sz w:val="20"/>
          <w:szCs w:val="20"/>
        </w:rPr>
        <w:t>h would be materially different from accounting for right-of-use assets and lease liabilities individually.</w:t>
      </w:r>
      <w:r>
        <w:rPr>
          <w:rFonts w:eastAsia="Times New Roman"/>
          <w:color w:val="000000"/>
          <w:sz w:val="20"/>
          <w:szCs w:val="20"/>
        </w:rPr>
        <w:t xml:space="preserve"> </w:t>
      </w:r>
    </w:p>
    <w:p w14:paraId="6452BBB5" w14:textId="77777777" w:rsidR="00000000" w:rsidRDefault="00195E73">
      <w:pPr>
        <w:jc w:val="center"/>
        <w:divId w:val="552546676"/>
        <w:rPr>
          <w:rFonts w:eastAsia="Times New Roman"/>
        </w:rPr>
      </w:pPr>
      <w:r>
        <w:rPr>
          <w:rFonts w:eastAsia="Times New Roman"/>
          <w:color w:val="000000"/>
          <w:sz w:val="20"/>
          <w:szCs w:val="20"/>
        </w:rPr>
        <w:t>7</w:t>
      </w:r>
      <w:r>
        <w:rPr>
          <w:rFonts w:eastAsia="Times New Roman"/>
          <w:color w:val="000000"/>
          <w:sz w:val="20"/>
          <w:szCs w:val="20"/>
        </w:rPr>
        <w:t>5</w:t>
      </w:r>
    </w:p>
    <w:p w14:paraId="54F7FD32" w14:textId="77777777" w:rsidR="00000000" w:rsidRDefault="00195E73">
      <w:pPr>
        <w:rPr>
          <w:rFonts w:eastAsia="Times New Roman"/>
        </w:rPr>
      </w:pPr>
      <w:r>
        <w:rPr>
          <w:rFonts w:eastAsia="Times New Roman"/>
        </w:rPr>
        <w:pict w14:anchorId="455619C5">
          <v:rect id="_x0000_i1101" style="width:0;height:1.5pt" o:hralign="center" o:hrstd="t" o:hr="t" fillcolor="#a0a0a0" stroked="f"/>
        </w:pict>
      </w:r>
    </w:p>
    <w:p w14:paraId="48B95D53" w14:textId="77777777" w:rsidR="00000000" w:rsidRDefault="00195E73">
      <w:pPr>
        <w:jc w:val="center"/>
        <w:divId w:val="2059552521"/>
        <w:rPr>
          <w:rFonts w:eastAsia="Times New Roman"/>
        </w:rPr>
      </w:pPr>
    </w:p>
    <w:p w14:paraId="0A3E2427" w14:textId="77777777" w:rsidR="00000000" w:rsidRDefault="00195E73">
      <w:pPr>
        <w:jc w:val="center"/>
        <w:divId w:val="2059552521"/>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0CFDAE55" w14:textId="77777777" w:rsidR="00000000" w:rsidRDefault="00195E73">
      <w:pPr>
        <w:jc w:val="center"/>
        <w:divId w:val="2059552521"/>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7B15B543" w14:textId="77777777" w:rsidR="00000000" w:rsidRDefault="00195E73">
      <w:pPr>
        <w:jc w:val="center"/>
        <w:divId w:val="2059552521"/>
        <w:rPr>
          <w:rFonts w:eastAsia="Times New Roman"/>
        </w:rPr>
      </w:pPr>
    </w:p>
    <w:p w14:paraId="0AD7C900" w14:textId="77777777" w:rsidR="00000000" w:rsidRDefault="00195E73">
      <w:pPr>
        <w:jc w:val="center"/>
        <w:divId w:val="2059552521"/>
        <w:rPr>
          <w:rFonts w:eastAsia="Times New Roman"/>
        </w:rPr>
      </w:pPr>
      <w:r>
        <w:rPr>
          <w:rFonts w:eastAsia="Times New Roman"/>
          <w:b/>
          <w:bCs/>
          <w:color w:val="000000"/>
          <w:sz w:val="20"/>
          <w:szCs w:val="20"/>
        </w:rPr>
        <w:t>NOTES TO CONSOL</w:t>
      </w:r>
      <w:r>
        <w:rPr>
          <w:rFonts w:eastAsia="Times New Roman"/>
          <w:b/>
          <w:bCs/>
          <w:color w:val="000000"/>
          <w:sz w:val="20"/>
          <w:szCs w:val="20"/>
        </w:rPr>
        <w:t>IDATED FINANCIAL STATEMENT</w:t>
      </w:r>
      <w:r>
        <w:rPr>
          <w:rFonts w:eastAsia="Times New Roman"/>
          <w:b/>
          <w:bCs/>
          <w:color w:val="000000"/>
          <w:sz w:val="20"/>
          <w:szCs w:val="20"/>
        </w:rPr>
        <w:t>S</w:t>
      </w:r>
    </w:p>
    <w:p w14:paraId="1346A9A5" w14:textId="77777777" w:rsidR="00000000" w:rsidRDefault="00195E73">
      <w:pPr>
        <w:ind w:firstLine="450"/>
        <w:divId w:val="909463259"/>
        <w:rPr>
          <w:rFonts w:eastAsia="Times New Roman"/>
        </w:rPr>
      </w:pPr>
      <w:r>
        <w:rPr>
          <w:rFonts w:eastAsia="Times New Roman"/>
          <w:color w:val="000000"/>
          <w:sz w:val="20"/>
          <w:szCs w:val="20"/>
        </w:rPr>
        <w:t>Operating lease costs are recorded as a single expense recognized on a straight-line basis over the lease term. Operating lease right-of-use assets are amortized for the difference between the straight-line expense less the accr</w:t>
      </w:r>
      <w:r>
        <w:rPr>
          <w:rFonts w:eastAsia="Times New Roman"/>
          <w:color w:val="000000"/>
          <w:sz w:val="20"/>
          <w:szCs w:val="20"/>
        </w:rPr>
        <w:t>etion of interest of the related lease liability. Financing lease costs consists of interest expense on the financing lease liability as well as amortization of the right-of-use financing lease assets on a straight-line basis over the lease term</w:t>
      </w:r>
      <w:r>
        <w:rPr>
          <w:rFonts w:eastAsia="Times New Roman"/>
          <w:color w:val="000000"/>
          <w:sz w:val="20"/>
          <w:szCs w:val="20"/>
        </w:rPr>
        <w:t>.</w:t>
      </w:r>
    </w:p>
    <w:p w14:paraId="18E6CB9A" w14:textId="77777777" w:rsidR="00000000" w:rsidRDefault="00195E73">
      <w:pPr>
        <w:divId w:val="1256134443"/>
        <w:rPr>
          <w:rFonts w:eastAsia="Times New Roman"/>
        </w:rPr>
      </w:pPr>
      <w:r>
        <w:rPr>
          <w:rFonts w:eastAsia="Times New Roman"/>
          <w:i/>
          <w:iCs/>
          <w:color w:val="000000"/>
          <w:sz w:val="20"/>
          <w:szCs w:val="20"/>
        </w:rPr>
        <w:t>Real Esta</w:t>
      </w:r>
      <w:r>
        <w:rPr>
          <w:rFonts w:eastAsia="Times New Roman"/>
          <w:i/>
          <w:iCs/>
          <w:color w:val="000000"/>
          <w:sz w:val="20"/>
          <w:szCs w:val="20"/>
        </w:rPr>
        <w:t>t</w:t>
      </w:r>
      <w:r>
        <w:rPr>
          <w:rFonts w:eastAsia="Times New Roman"/>
          <w:i/>
          <w:iCs/>
          <w:color w:val="000000"/>
          <w:sz w:val="20"/>
          <w:szCs w:val="20"/>
        </w:rPr>
        <w:t>e</w:t>
      </w:r>
    </w:p>
    <w:p w14:paraId="691D904F" w14:textId="77777777" w:rsidR="00000000" w:rsidRDefault="00195E73">
      <w:pPr>
        <w:ind w:firstLine="450"/>
        <w:divId w:val="1265305746"/>
        <w:rPr>
          <w:rFonts w:eastAsia="Times New Roman"/>
        </w:rPr>
      </w:pPr>
      <w:r>
        <w:rPr>
          <w:rFonts w:eastAsia="Times New Roman"/>
          <w:color w:val="000000"/>
          <w:sz w:val="20"/>
          <w:szCs w:val="20"/>
        </w:rPr>
        <w:t>Leases are classified as either operating, sales-type or direct financing by the lessor. Our Real Estate segment’</w:t>
      </w:r>
      <w:r>
        <w:rPr>
          <w:rFonts w:eastAsia="Times New Roman"/>
          <w:color w:val="000000"/>
          <w:sz w:val="20"/>
          <w:szCs w:val="20"/>
        </w:rPr>
        <w:t>s net lease portfolio consists of commercial real estate leased to others under long-term operating leases and we account for these leases in accordance with FASB ASC Topic 842. These assets leased to others are recorded at cost, net of accumulated depreci</w:t>
      </w:r>
      <w:r>
        <w:rPr>
          <w:rFonts w:eastAsia="Times New Roman"/>
          <w:color w:val="000000"/>
          <w:sz w:val="20"/>
          <w:szCs w:val="20"/>
        </w:rPr>
        <w:t>ation, and are included in property, plant and equipment, net on our consolidated balance sheets. Assets leased to others are depreciated on a straight-line basis over the useful lives of the assets, ranging from 5 years to 39 years. Lease revenue is recog</w:t>
      </w:r>
      <w:r>
        <w:rPr>
          <w:rFonts w:eastAsia="Times New Roman"/>
          <w:color w:val="000000"/>
          <w:sz w:val="20"/>
          <w:szCs w:val="20"/>
        </w:rPr>
        <w:t xml:space="preserve">nized on a straight-line basis over the lease term. Cash receipts for all lease payments received are included in net cash flows from operating activities in the consolidated statements of cash flows. Our Real Estate segment’s accounting policy for assets </w:t>
      </w:r>
      <w:r>
        <w:rPr>
          <w:rFonts w:eastAsia="Times New Roman"/>
          <w:color w:val="000000"/>
          <w:sz w:val="20"/>
          <w:szCs w:val="20"/>
        </w:rPr>
        <w:t>leased to others is not significantly different from prior periods</w:t>
      </w:r>
      <w:r>
        <w:rPr>
          <w:rFonts w:eastAsia="Times New Roman"/>
          <w:color w:val="000000"/>
          <w:sz w:val="20"/>
          <w:szCs w:val="20"/>
        </w:rPr>
        <w:t>.</w:t>
      </w:r>
    </w:p>
    <w:p w14:paraId="2E361DD6" w14:textId="77777777" w:rsidR="00000000" w:rsidRDefault="00195E73">
      <w:pPr>
        <w:divId w:val="1706978361"/>
        <w:rPr>
          <w:rFonts w:eastAsia="Times New Roman"/>
        </w:rPr>
      </w:pPr>
      <w:r>
        <w:rPr>
          <w:rFonts w:eastAsia="Times New Roman"/>
          <w:b/>
          <w:bCs/>
          <w:i/>
          <w:iCs/>
          <w:color w:val="000000"/>
          <w:sz w:val="20"/>
          <w:szCs w:val="20"/>
        </w:rPr>
        <w:t>Revenue From Contracts With Customers and Contract Balance</w:t>
      </w:r>
      <w:r>
        <w:rPr>
          <w:rFonts w:eastAsia="Times New Roman"/>
          <w:b/>
          <w:bCs/>
          <w:i/>
          <w:iCs/>
          <w:color w:val="000000"/>
          <w:sz w:val="20"/>
          <w:szCs w:val="20"/>
        </w:rPr>
        <w:t>s</w:t>
      </w:r>
    </w:p>
    <w:p w14:paraId="6D236D3C" w14:textId="77777777" w:rsidR="00000000" w:rsidRDefault="00195E73">
      <w:pPr>
        <w:ind w:firstLine="450"/>
        <w:divId w:val="1965380905"/>
        <w:rPr>
          <w:rFonts w:eastAsia="Times New Roman"/>
        </w:rPr>
      </w:pPr>
      <w:r>
        <w:rPr>
          <w:rFonts w:eastAsia="Times New Roman"/>
          <w:color w:val="000000"/>
          <w:sz w:val="20"/>
          <w:szCs w:val="20"/>
        </w:rPr>
        <w:t>Due to the nature of our business, we derive revenue from various sources in various industries. With the exception of all of ou</w:t>
      </w:r>
      <w:r>
        <w:rPr>
          <w:rFonts w:eastAsia="Times New Roman"/>
          <w:color w:val="000000"/>
          <w:sz w:val="20"/>
          <w:szCs w:val="20"/>
        </w:rPr>
        <w:t>r Investment segment’s and our Holding Company’s revenues, and our Real Estate segment’s leasing revenue, our revenue is generally derived from contracts with customers in accordance with U.S. GAAP. Such revenue from contracts with customers are included i</w:t>
      </w:r>
      <w:r>
        <w:rPr>
          <w:rFonts w:eastAsia="Times New Roman"/>
          <w:color w:val="000000"/>
          <w:sz w:val="20"/>
          <w:szCs w:val="20"/>
        </w:rPr>
        <w:t xml:space="preserve">n net sales and other revenues from operations in the consolidated statements of operations; however, our Real Estate segment’s leasing revenue, as disclosed in Note 10, “Leases,” is also included in other revenues from operations. Related contract assets </w:t>
      </w:r>
      <w:r>
        <w:rPr>
          <w:rFonts w:eastAsia="Times New Roman"/>
          <w:color w:val="000000"/>
          <w:sz w:val="20"/>
          <w:szCs w:val="20"/>
        </w:rPr>
        <w:t xml:space="preserve">are included in accounts receivable, net or other assets and related contract liabilities are included in accrued expenses and other liabilities in the consolidated balance sheets. Our disaggregation of revenue information includes our net sales and other </w:t>
      </w:r>
      <w:r>
        <w:rPr>
          <w:rFonts w:eastAsia="Times New Roman"/>
          <w:color w:val="000000"/>
          <w:sz w:val="20"/>
          <w:szCs w:val="20"/>
        </w:rPr>
        <w:t>revenues from operations for each of our reporting segments as well as additional disaggregation of revenue information for our Energy and Automotive segments. See Note 13, “Segment and Geographic Reporting,” for our complete disaggregation of revenue info</w:t>
      </w:r>
      <w:r>
        <w:rPr>
          <w:rFonts w:eastAsia="Times New Roman"/>
          <w:color w:val="000000"/>
          <w:sz w:val="20"/>
          <w:szCs w:val="20"/>
        </w:rPr>
        <w:t>rmation. In addition, we disclose additional information with respect to revenue from contracts with customers and contract balances for our Energy and Automotive segments below.</w:t>
      </w:r>
      <w:r>
        <w:rPr>
          <w:rFonts w:eastAsia="Times New Roman"/>
          <w:color w:val="000000"/>
          <w:sz w:val="20"/>
          <w:szCs w:val="20"/>
        </w:rPr>
        <w:t xml:space="preserve"> </w:t>
      </w:r>
    </w:p>
    <w:p w14:paraId="0322967B" w14:textId="77777777" w:rsidR="00000000" w:rsidRDefault="00195E73">
      <w:pPr>
        <w:divId w:val="516508219"/>
        <w:rPr>
          <w:rFonts w:eastAsia="Times New Roman"/>
        </w:rPr>
      </w:pPr>
      <w:r>
        <w:rPr>
          <w:rFonts w:eastAsia="Times New Roman"/>
          <w:i/>
          <w:iCs/>
          <w:color w:val="000000"/>
          <w:sz w:val="20"/>
          <w:szCs w:val="20"/>
        </w:rPr>
        <w:t>Energ</w:t>
      </w:r>
      <w:r>
        <w:rPr>
          <w:rFonts w:eastAsia="Times New Roman"/>
          <w:i/>
          <w:iCs/>
          <w:color w:val="000000"/>
          <w:sz w:val="20"/>
          <w:szCs w:val="20"/>
        </w:rPr>
        <w:t>y</w:t>
      </w:r>
    </w:p>
    <w:p w14:paraId="60F38D93" w14:textId="77777777" w:rsidR="00000000" w:rsidRDefault="00195E73">
      <w:pPr>
        <w:ind w:firstLine="450"/>
        <w:divId w:val="1218853500"/>
        <w:rPr>
          <w:rFonts w:eastAsia="Times New Roman"/>
        </w:rPr>
      </w:pPr>
      <w:r>
        <w:rPr>
          <w:rFonts w:eastAsia="Times New Roman"/>
          <w:i/>
          <w:iCs/>
          <w:color w:val="000000"/>
          <w:sz w:val="20"/>
          <w:szCs w:val="20"/>
        </w:rPr>
        <w:t>Revenue</w:t>
      </w:r>
      <w:r>
        <w:rPr>
          <w:rFonts w:eastAsia="Times New Roman"/>
          <w:i/>
          <w:iCs/>
          <w:color w:val="000000"/>
          <w:sz w:val="20"/>
          <w:szCs w:val="20"/>
        </w:rPr>
        <w:t>:</w:t>
      </w:r>
      <w:r>
        <w:rPr>
          <w:rFonts w:eastAsia="Times New Roman"/>
          <w:color w:val="000000"/>
          <w:sz w:val="20"/>
          <w:szCs w:val="20"/>
        </w:rPr>
        <w:t xml:space="preserve"> Our Energy segment revenues from the sale of petroleum produ</w:t>
      </w:r>
      <w:r>
        <w:rPr>
          <w:rFonts w:eastAsia="Times New Roman"/>
          <w:color w:val="000000"/>
          <w:sz w:val="20"/>
          <w:szCs w:val="20"/>
        </w:rPr>
        <w:t xml:space="preserve">cts are recorded upon delivery of the products to customers, which is the point at which title is transferred and the customer has assumed the risk of loss. This generally takes place as product passes into the pipeline, as a product transfer order occurs </w:t>
      </w:r>
      <w:r>
        <w:rPr>
          <w:rFonts w:eastAsia="Times New Roman"/>
          <w:color w:val="000000"/>
          <w:sz w:val="20"/>
          <w:szCs w:val="20"/>
        </w:rPr>
        <w:t>within a pipeline system, or as product enters equipment or locations supplied or designated by the customer. For our Energy segment’s nitrogen fertilizer products sold, revenues are recorded at the point in time at which the customer obtains control of th</w:t>
      </w:r>
      <w:r>
        <w:rPr>
          <w:rFonts w:eastAsia="Times New Roman"/>
          <w:color w:val="000000"/>
          <w:sz w:val="20"/>
          <w:szCs w:val="20"/>
        </w:rPr>
        <w:t>e product, which is generally upon delivery and acceptance by the customer. Nitrogen fertilizer products are sold on a wholesale basis under a contract or by purchase order. Excise and other taxes collected from customers and remitted to governmental autho</w:t>
      </w:r>
      <w:r>
        <w:rPr>
          <w:rFonts w:eastAsia="Times New Roman"/>
          <w:color w:val="000000"/>
          <w:sz w:val="20"/>
          <w:szCs w:val="20"/>
        </w:rPr>
        <w:t>rities by our Energy segment are not included in reported revenues.</w:t>
      </w:r>
      <w:r>
        <w:rPr>
          <w:rFonts w:eastAsia="Times New Roman"/>
          <w:color w:val="000000"/>
          <w:sz w:val="20"/>
          <w:szCs w:val="20"/>
        </w:rPr>
        <w:t xml:space="preserve"> </w:t>
      </w:r>
    </w:p>
    <w:p w14:paraId="7A8B36A3" w14:textId="77777777" w:rsidR="00000000" w:rsidRDefault="00195E73">
      <w:pPr>
        <w:ind w:firstLine="450"/>
        <w:divId w:val="843857645"/>
        <w:rPr>
          <w:rFonts w:eastAsia="Times New Roman"/>
        </w:rPr>
      </w:pPr>
      <w:r>
        <w:rPr>
          <w:rFonts w:eastAsia="Times New Roman"/>
          <w:color w:val="000000"/>
          <w:sz w:val="20"/>
          <w:szCs w:val="20"/>
        </w:rPr>
        <w:t>The petroleum business’ contracts with its customers state the terms of the sale, including the description, quantity, and price of each product sold. Depending on the product sold, and t</w:t>
      </w:r>
      <w:r>
        <w:rPr>
          <w:rFonts w:eastAsia="Times New Roman"/>
          <w:color w:val="000000"/>
          <w:sz w:val="20"/>
          <w:szCs w:val="20"/>
        </w:rPr>
        <w:t>he type of contract, payments from customers are generally due in full within 30 days of product delivery or invoice date. Many of the petroleum business’ contracts have index-based pricing which is considered variable consideration that should be estimate</w:t>
      </w:r>
      <w:r>
        <w:rPr>
          <w:rFonts w:eastAsia="Times New Roman"/>
          <w:color w:val="000000"/>
          <w:sz w:val="20"/>
          <w:szCs w:val="20"/>
        </w:rPr>
        <w:t>d in determining the transaction price. Our Energy segment determined that it does not need to estimate the variable consideration because the uncertainty related to the consideration is resolved on the pricing date or the date when the product is delivere</w:t>
      </w:r>
      <w:r>
        <w:rPr>
          <w:rFonts w:eastAsia="Times New Roman"/>
          <w:color w:val="000000"/>
          <w:sz w:val="20"/>
          <w:szCs w:val="20"/>
        </w:rPr>
        <w:t>d. The nitrogen fertilizer business has an immaterial amount of variable consideration for contracts with an original duration of less than a year. A small portion of the nitrogen fertilizer partnership’s revenue includes contracts extending beyond one yea</w:t>
      </w:r>
      <w:r>
        <w:rPr>
          <w:rFonts w:eastAsia="Times New Roman"/>
          <w:color w:val="000000"/>
          <w:sz w:val="20"/>
          <w:szCs w:val="20"/>
        </w:rPr>
        <w:t>r and contain variable pricing in which the majority of the variability is attributed to the market-based pricing. The nitrogen fertilizer business’ contracts do not contain a significant financing component</w:t>
      </w:r>
      <w:r>
        <w:rPr>
          <w:rFonts w:eastAsia="Times New Roman"/>
          <w:color w:val="000000"/>
          <w:sz w:val="20"/>
          <w:szCs w:val="20"/>
        </w:rPr>
        <w:t>.</w:t>
      </w:r>
    </w:p>
    <w:p w14:paraId="49BC142F" w14:textId="77777777" w:rsidR="00000000" w:rsidRDefault="00195E73">
      <w:pPr>
        <w:ind w:firstLine="450"/>
        <w:divId w:val="791941229"/>
        <w:rPr>
          <w:rFonts w:eastAsia="Times New Roman"/>
        </w:rPr>
      </w:pPr>
      <w:r>
        <w:rPr>
          <w:rFonts w:eastAsia="Times New Roman"/>
          <w:color w:val="000000"/>
          <w:sz w:val="20"/>
          <w:szCs w:val="20"/>
        </w:rPr>
        <w:t>Our Energy segment generally provides no warran</w:t>
      </w:r>
      <w:r>
        <w:rPr>
          <w:rFonts w:eastAsia="Times New Roman"/>
          <w:color w:val="000000"/>
          <w:sz w:val="20"/>
          <w:szCs w:val="20"/>
        </w:rPr>
        <w:t>ty other than the implicit promise that goods delivered are free of liens and encumbrances and meet the agreed upon specifications. In addition, product returns are very rare and are accounted for as they occur; however, contracts do include provisions whi</w:t>
      </w:r>
      <w:r>
        <w:rPr>
          <w:rFonts w:eastAsia="Times New Roman"/>
          <w:color w:val="000000"/>
          <w:sz w:val="20"/>
          <w:szCs w:val="20"/>
        </w:rPr>
        <w:t>ch state that the petroleum business will except returns of off-spec product, refund the customer, provide on-spec product, and pay for damages to any customer equipment which resulted from off-spec product. Typically, if a customer is not satisfied with a</w:t>
      </w:r>
      <w:r>
        <w:rPr>
          <w:rFonts w:eastAsia="Times New Roman"/>
          <w:color w:val="000000"/>
          <w:sz w:val="20"/>
          <w:szCs w:val="20"/>
        </w:rPr>
        <w:t xml:space="preserve"> product, the price is adjusted downward instead of the product being returned or exchanged.</w:t>
      </w:r>
      <w:r>
        <w:rPr>
          <w:rFonts w:eastAsia="Times New Roman"/>
          <w:color w:val="000000"/>
          <w:sz w:val="20"/>
          <w:szCs w:val="20"/>
        </w:rPr>
        <w:t xml:space="preserve"> </w:t>
      </w:r>
    </w:p>
    <w:p w14:paraId="4F5F2A69" w14:textId="77777777" w:rsidR="00000000" w:rsidRDefault="00195E73">
      <w:pPr>
        <w:jc w:val="center"/>
        <w:divId w:val="823548560"/>
        <w:rPr>
          <w:rFonts w:eastAsia="Times New Roman"/>
        </w:rPr>
      </w:pPr>
      <w:r>
        <w:rPr>
          <w:rFonts w:eastAsia="Times New Roman"/>
          <w:color w:val="000000"/>
          <w:sz w:val="20"/>
          <w:szCs w:val="20"/>
        </w:rPr>
        <w:t>7</w:t>
      </w:r>
      <w:r>
        <w:rPr>
          <w:rFonts w:eastAsia="Times New Roman"/>
          <w:color w:val="000000"/>
          <w:sz w:val="20"/>
          <w:szCs w:val="20"/>
        </w:rPr>
        <w:t>6</w:t>
      </w:r>
    </w:p>
    <w:p w14:paraId="10EAE819" w14:textId="77777777" w:rsidR="00000000" w:rsidRDefault="00195E73">
      <w:pPr>
        <w:rPr>
          <w:rFonts w:eastAsia="Times New Roman"/>
        </w:rPr>
      </w:pPr>
      <w:r>
        <w:rPr>
          <w:rFonts w:eastAsia="Times New Roman"/>
        </w:rPr>
        <w:pict w14:anchorId="13277190">
          <v:rect id="_x0000_i1102" style="width:0;height:1.5pt" o:hralign="center" o:hrstd="t" o:hr="t" fillcolor="#a0a0a0" stroked="f"/>
        </w:pict>
      </w:r>
    </w:p>
    <w:p w14:paraId="1ED6B46A" w14:textId="77777777" w:rsidR="00000000" w:rsidRDefault="00195E73">
      <w:pPr>
        <w:jc w:val="center"/>
        <w:divId w:val="1633363313"/>
        <w:rPr>
          <w:rFonts w:eastAsia="Times New Roman"/>
        </w:rPr>
      </w:pPr>
    </w:p>
    <w:p w14:paraId="2DD41C3A" w14:textId="77777777" w:rsidR="00000000" w:rsidRDefault="00195E73">
      <w:pPr>
        <w:jc w:val="center"/>
        <w:divId w:val="1633363313"/>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3D4BAF1E" w14:textId="77777777" w:rsidR="00000000" w:rsidRDefault="00195E73">
      <w:pPr>
        <w:jc w:val="center"/>
        <w:divId w:val="1633363313"/>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1B89E7C5" w14:textId="77777777" w:rsidR="00000000" w:rsidRDefault="00195E73">
      <w:pPr>
        <w:jc w:val="center"/>
        <w:divId w:val="1633363313"/>
        <w:rPr>
          <w:rFonts w:eastAsia="Times New Roman"/>
        </w:rPr>
      </w:pPr>
    </w:p>
    <w:p w14:paraId="148D2A30" w14:textId="77777777" w:rsidR="00000000" w:rsidRDefault="00195E73">
      <w:pPr>
        <w:jc w:val="center"/>
        <w:divId w:val="1633363313"/>
        <w:rPr>
          <w:rFonts w:eastAsia="Times New Roman"/>
        </w:rPr>
      </w:pPr>
      <w:r>
        <w:rPr>
          <w:rFonts w:eastAsia="Times New Roman"/>
          <w:b/>
          <w:bCs/>
          <w:color w:val="000000"/>
          <w:sz w:val="20"/>
          <w:szCs w:val="20"/>
        </w:rPr>
        <w:t>NOTES TO CONSOLIDATED FINANCI</w:t>
      </w:r>
      <w:r>
        <w:rPr>
          <w:rFonts w:eastAsia="Times New Roman"/>
          <w:b/>
          <w:bCs/>
          <w:color w:val="000000"/>
          <w:sz w:val="20"/>
          <w:szCs w:val="20"/>
        </w:rPr>
        <w:t>AL STATEMENT</w:t>
      </w:r>
      <w:r>
        <w:rPr>
          <w:rFonts w:eastAsia="Times New Roman"/>
          <w:b/>
          <w:bCs/>
          <w:color w:val="000000"/>
          <w:sz w:val="20"/>
          <w:szCs w:val="20"/>
        </w:rPr>
        <w:t>S</w:t>
      </w:r>
    </w:p>
    <w:p w14:paraId="06984111" w14:textId="77777777" w:rsidR="00000000" w:rsidRDefault="00195E73">
      <w:pPr>
        <w:ind w:firstLine="450"/>
        <w:divId w:val="1643929338"/>
        <w:rPr>
          <w:rFonts w:eastAsia="Times New Roman"/>
        </w:rPr>
      </w:pPr>
      <w:r>
        <w:rPr>
          <w:rFonts w:eastAsia="Times New Roman"/>
          <w:color w:val="000000"/>
          <w:sz w:val="20"/>
          <w:szCs w:val="20"/>
        </w:rPr>
        <w:t xml:space="preserve">As of December 31, 2019, our Energy segment had $9 million of remaining performance obligations for contracts with an original expected duration of more than one year. Our Energy segment expects to recognize approximately $4 million of these </w:t>
      </w:r>
      <w:r>
        <w:rPr>
          <w:rFonts w:eastAsia="Times New Roman"/>
          <w:color w:val="000000"/>
          <w:sz w:val="20"/>
          <w:szCs w:val="20"/>
        </w:rPr>
        <w:t>performance obligations as revenue by the end of 2020 and the remaining balance thereafter.</w:t>
      </w:r>
      <w:r>
        <w:rPr>
          <w:rFonts w:eastAsia="Times New Roman"/>
          <w:color w:val="000000"/>
          <w:sz w:val="20"/>
          <w:szCs w:val="20"/>
        </w:rPr>
        <w:t xml:space="preserve"> </w:t>
      </w:r>
    </w:p>
    <w:p w14:paraId="1A04E38C" w14:textId="77777777" w:rsidR="00000000" w:rsidRDefault="00195E73">
      <w:pPr>
        <w:ind w:firstLine="450"/>
        <w:divId w:val="1247038395"/>
        <w:rPr>
          <w:rFonts w:eastAsia="Times New Roman"/>
        </w:rPr>
      </w:pPr>
      <w:r>
        <w:rPr>
          <w:rFonts w:eastAsia="Times New Roman"/>
          <w:i/>
          <w:iCs/>
          <w:color w:val="000000"/>
          <w:sz w:val="20"/>
          <w:szCs w:val="20"/>
        </w:rPr>
        <w:t>Contract balances:</w:t>
      </w:r>
      <w:r>
        <w:rPr>
          <w:rFonts w:eastAsia="Times New Roman"/>
          <w:i/>
          <w:iCs/>
          <w:color w:val="000000"/>
          <w:sz w:val="20"/>
          <w:szCs w:val="20"/>
        </w:rPr>
        <w:t xml:space="preserve"> </w:t>
      </w:r>
      <w:r>
        <w:rPr>
          <w:rFonts w:eastAsia="Times New Roman"/>
          <w:color w:val="000000"/>
          <w:sz w:val="20"/>
          <w:szCs w:val="20"/>
        </w:rPr>
        <w:t>Our Energy segment’s deferred revenue is a contract liability that primarily relates to fertilizer sales contracts requiring customer prepayment</w:t>
      </w:r>
      <w:r>
        <w:rPr>
          <w:rFonts w:eastAsia="Times New Roman"/>
          <w:color w:val="000000"/>
          <w:sz w:val="20"/>
          <w:szCs w:val="20"/>
        </w:rPr>
        <w:t xml:space="preserve"> prior to product delivery to guarantee a price and supply of nitrogen fertilizer. Deferred revenue is recorded at the point in time in which a prepaid contract is legally enforceable and the associated right to consideration is unconditional prior to tran</w:t>
      </w:r>
      <w:r>
        <w:rPr>
          <w:rFonts w:eastAsia="Times New Roman"/>
          <w:color w:val="000000"/>
          <w:sz w:val="20"/>
          <w:szCs w:val="20"/>
        </w:rPr>
        <w:t xml:space="preserve">sferring product to the customer. An associated receivable is recorded for uncollected prepaid contract amounts. Contracts requiring prepayment are generally short-term in nature and, as discussed above, revenue is recognized at the point in time in which </w:t>
      </w:r>
      <w:r>
        <w:rPr>
          <w:rFonts w:eastAsia="Times New Roman"/>
          <w:color w:val="000000"/>
          <w:sz w:val="20"/>
          <w:szCs w:val="20"/>
        </w:rPr>
        <w:t>the customer obtains control of the product. Our Energy segment had deferred revenue of $28 million and $69 million as of December 31, 2019 and 2018, respectively. Deferred revenue is included in accrued expense and other liabilities in the consolidated ba</w:t>
      </w:r>
      <w:r>
        <w:rPr>
          <w:rFonts w:eastAsia="Times New Roman"/>
          <w:color w:val="000000"/>
          <w:sz w:val="20"/>
          <w:szCs w:val="20"/>
        </w:rPr>
        <w:t>lance sheets. For the year ended December 31, 2019 and 2018, our Energy segment recorded revenue of $68 million and $34 million, respectively, with respect to deferred revenue outstanding as of the beginning of each respective year</w:t>
      </w:r>
      <w:r>
        <w:rPr>
          <w:rFonts w:eastAsia="Times New Roman"/>
          <w:color w:val="000000"/>
          <w:sz w:val="20"/>
          <w:szCs w:val="20"/>
        </w:rPr>
        <w:t>.</w:t>
      </w:r>
    </w:p>
    <w:p w14:paraId="489A3871" w14:textId="77777777" w:rsidR="00000000" w:rsidRDefault="00195E73">
      <w:pPr>
        <w:divId w:val="1776435686"/>
        <w:rPr>
          <w:rFonts w:eastAsia="Times New Roman"/>
        </w:rPr>
      </w:pPr>
      <w:r>
        <w:rPr>
          <w:rFonts w:eastAsia="Times New Roman"/>
          <w:i/>
          <w:iCs/>
          <w:color w:val="000000"/>
          <w:sz w:val="20"/>
          <w:szCs w:val="20"/>
        </w:rPr>
        <w:t>Automotiv</w:t>
      </w:r>
      <w:r>
        <w:rPr>
          <w:rFonts w:eastAsia="Times New Roman"/>
          <w:i/>
          <w:iCs/>
          <w:color w:val="000000"/>
          <w:sz w:val="20"/>
          <w:szCs w:val="20"/>
        </w:rPr>
        <w:t>e</w:t>
      </w:r>
    </w:p>
    <w:p w14:paraId="5F7424EF" w14:textId="77777777" w:rsidR="00000000" w:rsidRDefault="00195E73">
      <w:pPr>
        <w:ind w:firstLine="450"/>
        <w:divId w:val="529995492"/>
        <w:rPr>
          <w:rFonts w:eastAsia="Times New Roman"/>
        </w:rPr>
      </w:pPr>
      <w:r>
        <w:rPr>
          <w:rFonts w:eastAsia="Times New Roman"/>
          <w:i/>
          <w:iCs/>
          <w:color w:val="000000"/>
          <w:sz w:val="20"/>
          <w:szCs w:val="20"/>
        </w:rPr>
        <w:t>Revenue:</w:t>
      </w:r>
      <w:r>
        <w:rPr>
          <w:rFonts w:eastAsia="Times New Roman"/>
          <w:i/>
          <w:iCs/>
          <w:color w:val="000000"/>
          <w:sz w:val="20"/>
          <w:szCs w:val="20"/>
        </w:rPr>
        <w:t xml:space="preserve"> </w:t>
      </w:r>
      <w:r>
        <w:rPr>
          <w:rFonts w:eastAsia="Times New Roman"/>
          <w:color w:val="000000"/>
          <w:sz w:val="20"/>
          <w:szCs w:val="20"/>
        </w:rPr>
        <w:t>Our</w:t>
      </w:r>
      <w:r>
        <w:rPr>
          <w:rFonts w:eastAsia="Times New Roman"/>
          <w:color w:val="000000"/>
          <w:sz w:val="20"/>
          <w:szCs w:val="20"/>
        </w:rPr>
        <w:t xml:space="preserve"> Automotive segment recognizes revenue when it satisfies a performance obligation by transferring control over a product or service to a customer. Our Automotive segment revenue from retail and commercial parts sales is measured based on consideration spec</w:t>
      </w:r>
      <w:r>
        <w:rPr>
          <w:rFonts w:eastAsia="Times New Roman"/>
          <w:color w:val="000000"/>
          <w:sz w:val="20"/>
          <w:szCs w:val="20"/>
        </w:rPr>
        <w:t>ified in a contract with a customer and excludes any sales incentives and amounts collected on behalf of third parties. Automotive service revenues are recognized on completion of the service and consist of products and the labor charged for installing pro</w:t>
      </w:r>
      <w:r>
        <w:rPr>
          <w:rFonts w:eastAsia="Times New Roman"/>
          <w:color w:val="000000"/>
          <w:sz w:val="20"/>
          <w:szCs w:val="20"/>
        </w:rPr>
        <w:t>ducts or maintaining or repairing vehicles. Automotive services labor revenues are included in other revenues from operations in our consolidated statements of operations; however, the sale of any installed parts or materials related to automotive services</w:t>
      </w:r>
      <w:r>
        <w:rPr>
          <w:rFonts w:eastAsia="Times New Roman"/>
          <w:color w:val="000000"/>
          <w:sz w:val="20"/>
          <w:szCs w:val="20"/>
        </w:rPr>
        <w:t xml:space="preserve"> are included in net sales. Our Automotive segment recognizes revenues from extended warranties offered to its customers on tires its sells, including lifetime warranties for road hazard assistance (recognized over 3 years) and 1-year, 3-year and lifetime </w:t>
      </w:r>
      <w:r>
        <w:rPr>
          <w:rFonts w:eastAsia="Times New Roman"/>
          <w:color w:val="000000"/>
          <w:sz w:val="20"/>
          <w:szCs w:val="20"/>
        </w:rPr>
        <w:t>plans for alignments (recognized over 1 year, 3 years and 5 years, respectively), for which it receives payment upfront. Revenues from extended warranties are recognized over the term of the warranty contract with the satisfaction of its performance obliga</w:t>
      </w:r>
      <w:r>
        <w:rPr>
          <w:rFonts w:eastAsia="Times New Roman"/>
          <w:color w:val="000000"/>
          <w:sz w:val="20"/>
          <w:szCs w:val="20"/>
        </w:rPr>
        <w:t>tions measured using the output method. Our Automotive segment recognizes revenues from franchise fees, which it receives payment upfront, and franchise royalties, for which it receives payment over time. Revenues from upfront franchise fees are recognized</w:t>
      </w:r>
      <w:r>
        <w:rPr>
          <w:rFonts w:eastAsia="Times New Roman"/>
          <w:color w:val="000000"/>
          <w:sz w:val="20"/>
          <w:szCs w:val="20"/>
        </w:rPr>
        <w:t xml:space="preserve"> at the time the store opens, as that is when our Automotive segment’s performance obligations are deemed complete, and revenues from franchise royalties are recognized in the period in which royalties are earned, generally based on a percentage of franchi</w:t>
      </w:r>
      <w:r>
        <w:rPr>
          <w:rFonts w:eastAsia="Times New Roman"/>
          <w:color w:val="000000"/>
          <w:sz w:val="20"/>
          <w:szCs w:val="20"/>
        </w:rPr>
        <w:t>se sales.</w:t>
      </w:r>
      <w:r>
        <w:rPr>
          <w:rFonts w:eastAsia="Times New Roman"/>
          <w:color w:val="000000"/>
          <w:sz w:val="20"/>
          <w:szCs w:val="20"/>
        </w:rPr>
        <w:t xml:space="preserve"> </w:t>
      </w:r>
    </w:p>
    <w:p w14:paraId="05B9D585" w14:textId="77777777" w:rsidR="00000000" w:rsidRDefault="00195E73">
      <w:pPr>
        <w:ind w:firstLine="450"/>
        <w:divId w:val="1212502255"/>
        <w:rPr>
          <w:rFonts w:eastAsia="Times New Roman"/>
        </w:rPr>
      </w:pPr>
      <w:r>
        <w:rPr>
          <w:rFonts w:eastAsia="Times New Roman"/>
          <w:i/>
          <w:iCs/>
          <w:color w:val="000000"/>
          <w:sz w:val="20"/>
          <w:szCs w:val="20"/>
        </w:rPr>
        <w:t>Contract balances:</w:t>
      </w:r>
      <w:r>
        <w:rPr>
          <w:rFonts w:eastAsia="Times New Roman"/>
          <w:i/>
          <w:iCs/>
          <w:color w:val="000000"/>
          <w:sz w:val="20"/>
          <w:szCs w:val="20"/>
        </w:rPr>
        <w:t xml:space="preserve"> </w:t>
      </w:r>
      <w:r>
        <w:rPr>
          <w:rFonts w:eastAsia="Times New Roman"/>
          <w:color w:val="000000"/>
          <w:sz w:val="20"/>
          <w:szCs w:val="20"/>
        </w:rPr>
        <w:t>Our Automotive segment has deferred revenue with respect to extended warranty plans of $42 million and $42 million as of December 31, 2019 and 2018, respectively, which are included in accrued expenses and other liabilities in</w:t>
      </w:r>
      <w:r>
        <w:rPr>
          <w:rFonts w:eastAsia="Times New Roman"/>
          <w:color w:val="000000"/>
          <w:sz w:val="20"/>
          <w:szCs w:val="20"/>
        </w:rPr>
        <w:t xml:space="preserve"> our consolidated balance sheets. For the year ended December 31, 2019 and 2018, our Automotive segment recorded revenue of $21 million and $18 million, respectively, with respect to deferred revenue outstanding as of the beginning of each respective year.</w:t>
      </w:r>
      <w:r>
        <w:rPr>
          <w:rFonts w:eastAsia="Times New Roman"/>
          <w:color w:val="000000"/>
          <w:sz w:val="20"/>
          <w:szCs w:val="20"/>
        </w:rPr>
        <w:t xml:space="preserve"> For deferred revenue outstanding as of December 31, 2019, our Automotive segment expects to recognize approximately $21 million in 2020 and the remainder thereafter</w:t>
      </w:r>
      <w:r>
        <w:rPr>
          <w:rFonts w:eastAsia="Times New Roman"/>
          <w:color w:val="000000"/>
          <w:sz w:val="20"/>
          <w:szCs w:val="20"/>
        </w:rPr>
        <w:t>.</w:t>
      </w:r>
    </w:p>
    <w:p w14:paraId="454109FC" w14:textId="77777777" w:rsidR="00000000" w:rsidRDefault="00195E73">
      <w:pPr>
        <w:divId w:val="1999649178"/>
        <w:rPr>
          <w:rFonts w:eastAsia="Times New Roman"/>
        </w:rPr>
      </w:pPr>
      <w:r>
        <w:rPr>
          <w:rFonts w:eastAsia="Times New Roman"/>
          <w:i/>
          <w:iCs/>
          <w:color w:val="000000"/>
          <w:sz w:val="20"/>
          <w:szCs w:val="20"/>
        </w:rPr>
        <w:t>Food Packagin</w:t>
      </w:r>
      <w:r>
        <w:rPr>
          <w:rFonts w:eastAsia="Times New Roman"/>
          <w:i/>
          <w:iCs/>
          <w:color w:val="000000"/>
          <w:sz w:val="20"/>
          <w:szCs w:val="20"/>
        </w:rPr>
        <w:t>g</w:t>
      </w:r>
    </w:p>
    <w:p w14:paraId="6B28EB00" w14:textId="77777777" w:rsidR="00000000" w:rsidRDefault="00195E73">
      <w:pPr>
        <w:ind w:firstLine="450"/>
        <w:divId w:val="1711488229"/>
        <w:rPr>
          <w:rFonts w:eastAsia="Times New Roman"/>
        </w:rPr>
      </w:pPr>
      <w:r>
        <w:rPr>
          <w:rFonts w:eastAsia="Times New Roman"/>
          <w:color w:val="000000"/>
          <w:sz w:val="20"/>
          <w:szCs w:val="20"/>
        </w:rPr>
        <w:t>Our Food Packaging segment revenues are recognized at the time products ar</w:t>
      </w:r>
      <w:r>
        <w:rPr>
          <w:rFonts w:eastAsia="Times New Roman"/>
          <w:color w:val="000000"/>
          <w:sz w:val="20"/>
          <w:szCs w:val="20"/>
        </w:rPr>
        <w:t>e shipped to the customer, under F.O.B. shipping point or F.O.B. port terms, which is the point at which title is transferred, the customer has the assumed risk of loss, and payment has been received or collection is reasonably assumed. Revenues are net of</w:t>
      </w:r>
      <w:r>
        <w:rPr>
          <w:rFonts w:eastAsia="Times New Roman"/>
          <w:color w:val="000000"/>
          <w:sz w:val="20"/>
          <w:szCs w:val="20"/>
        </w:rPr>
        <w:t xml:space="preserve"> discounts, rebates and allowances. Viskase records all labor, raw materials, in-bound freight, plant receiving and purchasing, warehousing, handling and distribution costs as a component of costs of goods sold</w:t>
      </w:r>
      <w:r>
        <w:rPr>
          <w:rFonts w:eastAsia="Times New Roman"/>
          <w:color w:val="000000"/>
          <w:sz w:val="20"/>
          <w:szCs w:val="20"/>
        </w:rPr>
        <w:t>.</w:t>
      </w:r>
    </w:p>
    <w:p w14:paraId="1BCC52C4" w14:textId="77777777" w:rsidR="00000000" w:rsidRDefault="00195E73">
      <w:pPr>
        <w:divId w:val="638340065"/>
        <w:rPr>
          <w:rFonts w:eastAsia="Times New Roman"/>
        </w:rPr>
      </w:pPr>
      <w:r>
        <w:rPr>
          <w:rFonts w:eastAsia="Times New Roman"/>
          <w:i/>
          <w:iCs/>
          <w:color w:val="000000"/>
          <w:sz w:val="20"/>
          <w:szCs w:val="20"/>
        </w:rPr>
        <w:t>Metal</w:t>
      </w:r>
      <w:r>
        <w:rPr>
          <w:rFonts w:eastAsia="Times New Roman"/>
          <w:i/>
          <w:iCs/>
          <w:color w:val="000000"/>
          <w:sz w:val="20"/>
          <w:szCs w:val="20"/>
        </w:rPr>
        <w:t>s</w:t>
      </w:r>
    </w:p>
    <w:p w14:paraId="088FF51C" w14:textId="77777777" w:rsidR="00000000" w:rsidRDefault="00195E73">
      <w:pPr>
        <w:ind w:firstLine="450"/>
        <w:divId w:val="322977676"/>
        <w:rPr>
          <w:rFonts w:eastAsia="Times New Roman"/>
        </w:rPr>
      </w:pPr>
      <w:r>
        <w:rPr>
          <w:rFonts w:eastAsia="Times New Roman"/>
          <w:color w:val="000000"/>
          <w:sz w:val="20"/>
          <w:szCs w:val="20"/>
        </w:rPr>
        <w:t>Our Metals segment’s primary source o</w:t>
      </w:r>
      <w:r>
        <w:rPr>
          <w:rFonts w:eastAsia="Times New Roman"/>
          <w:color w:val="000000"/>
          <w:sz w:val="20"/>
          <w:szCs w:val="20"/>
        </w:rPr>
        <w:t>f revenue is from the sale of processed ferrous scrap metal, non-ferrous scrap metals, steel pipe and steel plate. PSC Metals also generates revenues from sales of secondary plate and pipe, the brokering of scrap metals and from services performed. All sal</w:t>
      </w:r>
      <w:r>
        <w:rPr>
          <w:rFonts w:eastAsia="Times New Roman"/>
          <w:color w:val="000000"/>
          <w:sz w:val="20"/>
          <w:szCs w:val="20"/>
        </w:rPr>
        <w:t>es are recognized when title passes to the customer. Revenues from services are recognized as the service is performed. Sales adjustments related to price and weight differences are reflected as a reduction of revenues when settled</w:t>
      </w:r>
      <w:r>
        <w:rPr>
          <w:rFonts w:eastAsia="Times New Roman"/>
          <w:color w:val="000000"/>
          <w:sz w:val="20"/>
          <w:szCs w:val="20"/>
        </w:rPr>
        <w:t>.</w:t>
      </w:r>
    </w:p>
    <w:p w14:paraId="15BAE6BA" w14:textId="77777777" w:rsidR="00000000" w:rsidRDefault="00195E73">
      <w:pPr>
        <w:divId w:val="1944729061"/>
        <w:rPr>
          <w:rFonts w:eastAsia="Times New Roman"/>
        </w:rPr>
      </w:pPr>
      <w:r>
        <w:rPr>
          <w:rFonts w:eastAsia="Times New Roman"/>
          <w:i/>
          <w:iCs/>
          <w:color w:val="000000"/>
          <w:sz w:val="20"/>
          <w:szCs w:val="20"/>
        </w:rPr>
        <w:t>Home Fashio</w:t>
      </w:r>
      <w:r>
        <w:rPr>
          <w:rFonts w:eastAsia="Times New Roman"/>
          <w:i/>
          <w:iCs/>
          <w:color w:val="000000"/>
          <w:sz w:val="20"/>
          <w:szCs w:val="20"/>
        </w:rPr>
        <w:t>n</w:t>
      </w:r>
    </w:p>
    <w:p w14:paraId="3E321FD9" w14:textId="77777777" w:rsidR="00000000" w:rsidRDefault="00195E73">
      <w:pPr>
        <w:ind w:firstLine="450"/>
        <w:divId w:val="1018893254"/>
        <w:rPr>
          <w:rFonts w:eastAsia="Times New Roman"/>
        </w:rPr>
      </w:pPr>
      <w:r>
        <w:rPr>
          <w:rFonts w:eastAsia="Times New Roman"/>
          <w:color w:val="000000"/>
          <w:sz w:val="20"/>
          <w:szCs w:val="20"/>
        </w:rPr>
        <w:t>Our Home F</w:t>
      </w:r>
      <w:r>
        <w:rPr>
          <w:rFonts w:eastAsia="Times New Roman"/>
          <w:color w:val="000000"/>
          <w:sz w:val="20"/>
          <w:szCs w:val="20"/>
        </w:rPr>
        <w:t>ashion segment records revenue upon delivery and when title is transferred and the customer has assumed the risk of loss. Unless otherwise agreed in writing, title and risk of loss pass from WPH to the customer when WPH delivers the</w:t>
      </w:r>
      <w:r>
        <w:rPr>
          <w:rFonts w:eastAsia="Times New Roman"/>
          <w:color w:val="000000"/>
          <w:sz w:val="20"/>
          <w:szCs w:val="20"/>
        </w:rPr>
        <w:t xml:space="preserve"> </w:t>
      </w:r>
    </w:p>
    <w:p w14:paraId="23FC9D1A" w14:textId="77777777" w:rsidR="00000000" w:rsidRDefault="00195E73">
      <w:pPr>
        <w:jc w:val="center"/>
        <w:divId w:val="318577457"/>
        <w:rPr>
          <w:rFonts w:eastAsia="Times New Roman"/>
        </w:rPr>
      </w:pPr>
      <w:r>
        <w:rPr>
          <w:rFonts w:eastAsia="Times New Roman"/>
          <w:color w:val="000000"/>
          <w:sz w:val="20"/>
          <w:szCs w:val="20"/>
        </w:rPr>
        <w:t>7</w:t>
      </w:r>
      <w:r>
        <w:rPr>
          <w:rFonts w:eastAsia="Times New Roman"/>
          <w:color w:val="000000"/>
          <w:sz w:val="20"/>
          <w:szCs w:val="20"/>
        </w:rPr>
        <w:t>7</w:t>
      </w:r>
    </w:p>
    <w:p w14:paraId="2D23BD0C" w14:textId="77777777" w:rsidR="00000000" w:rsidRDefault="00195E73">
      <w:pPr>
        <w:rPr>
          <w:rFonts w:eastAsia="Times New Roman"/>
        </w:rPr>
      </w:pPr>
      <w:r>
        <w:rPr>
          <w:rFonts w:eastAsia="Times New Roman"/>
        </w:rPr>
        <w:pict w14:anchorId="6B3C505D">
          <v:rect id="_x0000_i1103" style="width:0;height:1.5pt" o:hralign="center" o:hrstd="t" o:hr="t" fillcolor="#a0a0a0" stroked="f"/>
        </w:pict>
      </w:r>
    </w:p>
    <w:p w14:paraId="4F183D97" w14:textId="77777777" w:rsidR="00000000" w:rsidRDefault="00195E73">
      <w:pPr>
        <w:jc w:val="center"/>
        <w:divId w:val="722367243"/>
        <w:rPr>
          <w:rFonts w:eastAsia="Times New Roman"/>
        </w:rPr>
      </w:pPr>
    </w:p>
    <w:p w14:paraId="6FFFA797" w14:textId="77777777" w:rsidR="00000000" w:rsidRDefault="00195E73">
      <w:pPr>
        <w:jc w:val="center"/>
        <w:divId w:val="722367243"/>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3DCD2E9D" w14:textId="77777777" w:rsidR="00000000" w:rsidRDefault="00195E73">
      <w:pPr>
        <w:jc w:val="center"/>
        <w:divId w:val="722367243"/>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0382001A" w14:textId="77777777" w:rsidR="00000000" w:rsidRDefault="00195E73">
      <w:pPr>
        <w:jc w:val="center"/>
        <w:divId w:val="722367243"/>
        <w:rPr>
          <w:rFonts w:eastAsia="Times New Roman"/>
        </w:rPr>
      </w:pPr>
    </w:p>
    <w:p w14:paraId="2D4A885D" w14:textId="77777777" w:rsidR="00000000" w:rsidRDefault="00195E73">
      <w:pPr>
        <w:jc w:val="center"/>
        <w:divId w:val="722367243"/>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1F5E23FD" w14:textId="77777777" w:rsidR="00000000" w:rsidRDefault="00195E73">
      <w:pPr>
        <w:divId w:val="645091964"/>
        <w:rPr>
          <w:rFonts w:eastAsia="Times New Roman"/>
        </w:rPr>
      </w:pPr>
      <w:r>
        <w:rPr>
          <w:rFonts w:eastAsia="Times New Roman"/>
          <w:color w:val="000000"/>
          <w:sz w:val="20"/>
          <w:szCs w:val="20"/>
        </w:rPr>
        <w:t>merchandise to the designated point of delivery, to the designated point of destination or to the designated carrier, free on board. Provisions for certain rebates, sales incentives, product returns and discounts to customers are recorded in the same perio</w:t>
      </w:r>
      <w:r>
        <w:rPr>
          <w:rFonts w:eastAsia="Times New Roman"/>
          <w:color w:val="000000"/>
          <w:sz w:val="20"/>
          <w:szCs w:val="20"/>
        </w:rPr>
        <w:t>d the related revenue is recorded</w:t>
      </w:r>
      <w:r>
        <w:rPr>
          <w:rFonts w:eastAsia="Times New Roman"/>
          <w:color w:val="000000"/>
          <w:sz w:val="20"/>
          <w:szCs w:val="20"/>
        </w:rPr>
        <w:t>.</w:t>
      </w:r>
    </w:p>
    <w:p w14:paraId="79977055" w14:textId="77777777" w:rsidR="00000000" w:rsidRDefault="00195E73">
      <w:pPr>
        <w:divId w:val="2136869768"/>
        <w:rPr>
          <w:rFonts w:eastAsia="Times New Roman"/>
        </w:rPr>
      </w:pPr>
      <w:r>
        <w:rPr>
          <w:rFonts w:eastAsia="Times New Roman"/>
          <w:i/>
          <w:iCs/>
          <w:color w:val="000000"/>
          <w:sz w:val="20"/>
          <w:szCs w:val="20"/>
        </w:rPr>
        <w:t>Minin</w:t>
      </w:r>
      <w:r>
        <w:rPr>
          <w:rFonts w:eastAsia="Times New Roman"/>
          <w:i/>
          <w:iCs/>
          <w:color w:val="000000"/>
          <w:sz w:val="20"/>
          <w:szCs w:val="20"/>
        </w:rPr>
        <w:t>g</w:t>
      </w:r>
    </w:p>
    <w:p w14:paraId="41BD5B66" w14:textId="77777777" w:rsidR="00000000" w:rsidRDefault="00195E73">
      <w:pPr>
        <w:ind w:firstLine="450"/>
        <w:divId w:val="1994482790"/>
        <w:rPr>
          <w:rFonts w:eastAsia="Times New Roman"/>
        </w:rPr>
      </w:pPr>
      <w:r>
        <w:rPr>
          <w:rFonts w:eastAsia="Times New Roman"/>
          <w:color w:val="000000"/>
          <w:sz w:val="20"/>
          <w:szCs w:val="20"/>
        </w:rPr>
        <w:t>Our Mining segment recognized revenue when title, ownership, and risk of loss pass to the customer, all of which occur upon shipment or delivery of the product and is based on the applicable shipping terms. Revenue</w:t>
      </w:r>
      <w:r>
        <w:rPr>
          <w:rFonts w:eastAsia="Times New Roman"/>
          <w:color w:val="000000"/>
          <w:sz w:val="20"/>
          <w:szCs w:val="20"/>
        </w:rPr>
        <w:t xml:space="preserve"> was measured at the fair value of the consideration received or receivable, with any adjustments as a result of provisional pricing recorded against revenue</w:t>
      </w:r>
      <w:r>
        <w:rPr>
          <w:rFonts w:eastAsia="Times New Roman"/>
          <w:color w:val="000000"/>
          <w:sz w:val="20"/>
          <w:szCs w:val="20"/>
        </w:rPr>
        <w:t>.</w:t>
      </w:r>
    </w:p>
    <w:p w14:paraId="18682EE6" w14:textId="77777777" w:rsidR="00000000" w:rsidRDefault="00195E73">
      <w:pPr>
        <w:divId w:val="881676812"/>
        <w:rPr>
          <w:rFonts w:eastAsia="Times New Roman"/>
        </w:rPr>
      </w:pPr>
      <w:r>
        <w:rPr>
          <w:rFonts w:eastAsia="Times New Roman"/>
          <w:b/>
          <w:bCs/>
          <w:i/>
          <w:iCs/>
          <w:color w:val="000000"/>
          <w:sz w:val="20"/>
          <w:szCs w:val="20"/>
        </w:rPr>
        <w:t>Other Revenue and Expense Recognitio</w:t>
      </w:r>
      <w:r>
        <w:rPr>
          <w:rFonts w:eastAsia="Times New Roman"/>
          <w:b/>
          <w:bCs/>
          <w:i/>
          <w:iCs/>
          <w:color w:val="000000"/>
          <w:sz w:val="20"/>
          <w:szCs w:val="20"/>
        </w:rPr>
        <w:t>n</w:t>
      </w:r>
    </w:p>
    <w:p w14:paraId="6FDBF509" w14:textId="77777777" w:rsidR="00000000" w:rsidRDefault="00195E73">
      <w:pPr>
        <w:divId w:val="1169521034"/>
        <w:rPr>
          <w:rFonts w:eastAsia="Times New Roman"/>
        </w:rPr>
      </w:pPr>
      <w:r>
        <w:rPr>
          <w:rFonts w:eastAsia="Times New Roman"/>
          <w:i/>
          <w:iCs/>
          <w:color w:val="000000"/>
          <w:sz w:val="20"/>
          <w:szCs w:val="20"/>
        </w:rPr>
        <w:t>Real Estat</w:t>
      </w:r>
      <w:r>
        <w:rPr>
          <w:rFonts w:eastAsia="Times New Roman"/>
          <w:i/>
          <w:iCs/>
          <w:color w:val="000000"/>
          <w:sz w:val="20"/>
          <w:szCs w:val="20"/>
        </w:rPr>
        <w:t>e</w:t>
      </w:r>
    </w:p>
    <w:p w14:paraId="64543F0C" w14:textId="77777777" w:rsidR="00000000" w:rsidRDefault="00195E73">
      <w:pPr>
        <w:ind w:firstLine="450"/>
        <w:divId w:val="1386568936"/>
        <w:rPr>
          <w:rFonts w:eastAsia="Times New Roman"/>
        </w:rPr>
      </w:pPr>
      <w:r>
        <w:rPr>
          <w:rFonts w:eastAsia="Times New Roman"/>
          <w:i/>
          <w:iCs/>
          <w:color w:val="000000"/>
          <w:sz w:val="20"/>
          <w:szCs w:val="20"/>
        </w:rPr>
        <w:t>Revenue Recognition</w:t>
      </w:r>
      <w:r>
        <w:rPr>
          <w:rFonts w:eastAsia="Times New Roman"/>
          <w:i/>
          <w:iCs/>
          <w:color w:val="000000"/>
          <w:sz w:val="20"/>
          <w:szCs w:val="20"/>
        </w:rPr>
        <w:t>:</w:t>
      </w:r>
      <w:r>
        <w:rPr>
          <w:rFonts w:eastAsia="Times New Roman"/>
          <w:color w:val="000000"/>
          <w:sz w:val="20"/>
          <w:szCs w:val="20"/>
        </w:rPr>
        <w:t xml:space="preserve"> Revenue from real estate s</w:t>
      </w:r>
      <w:r>
        <w:rPr>
          <w:rFonts w:eastAsia="Times New Roman"/>
          <w:color w:val="000000"/>
          <w:sz w:val="20"/>
          <w:szCs w:val="20"/>
        </w:rPr>
        <w:t>ales and related costs are recognized at the time of closing primarily by specific identification. Substantially all of the property comprising our net lease portfolio is leased to others under long-term net leases and we account for these leases in accord</w:t>
      </w:r>
      <w:r>
        <w:rPr>
          <w:rFonts w:eastAsia="Times New Roman"/>
          <w:color w:val="000000"/>
          <w:sz w:val="20"/>
          <w:szCs w:val="20"/>
        </w:rPr>
        <w:t>ance with applicable U.S. GAAP. We account for our leases as follows: (i) for operating leases, revenue is recognized on a straight line basis over the lease term and (ii) for financing leases (x) minimum lease payments to be received plus the estimated va</w:t>
      </w:r>
      <w:r>
        <w:rPr>
          <w:rFonts w:eastAsia="Times New Roman"/>
          <w:color w:val="000000"/>
          <w:sz w:val="20"/>
          <w:szCs w:val="20"/>
        </w:rPr>
        <w:t>lue of the property at the end of the lease are considered the gross investment in the lease and (y) unearned income, representing the difference between gross investment and actual cost of the leased property, is amortized to income over the lease term so</w:t>
      </w:r>
      <w:r>
        <w:rPr>
          <w:rFonts w:eastAsia="Times New Roman"/>
          <w:color w:val="000000"/>
          <w:sz w:val="20"/>
          <w:szCs w:val="20"/>
        </w:rPr>
        <w:t xml:space="preserve"> as to produce a constant periodic rate of return on the net investment in the lease</w:t>
      </w:r>
      <w:r>
        <w:rPr>
          <w:rFonts w:eastAsia="Times New Roman"/>
          <w:color w:val="000000"/>
          <w:sz w:val="20"/>
          <w:szCs w:val="20"/>
        </w:rPr>
        <w:t>.</w:t>
      </w:r>
    </w:p>
    <w:p w14:paraId="0F03950A" w14:textId="77777777" w:rsidR="00000000" w:rsidRDefault="00195E73">
      <w:pPr>
        <w:divId w:val="1305116388"/>
        <w:rPr>
          <w:rFonts w:eastAsia="Times New Roman"/>
        </w:rPr>
      </w:pPr>
      <w:r>
        <w:rPr>
          <w:rFonts w:eastAsia="Times New Roman"/>
          <w:i/>
          <w:iCs/>
          <w:color w:val="000000"/>
          <w:sz w:val="20"/>
          <w:szCs w:val="20"/>
        </w:rPr>
        <w:t>Railca</w:t>
      </w:r>
      <w:r>
        <w:rPr>
          <w:rFonts w:eastAsia="Times New Roman"/>
          <w:i/>
          <w:iCs/>
          <w:color w:val="000000"/>
          <w:sz w:val="20"/>
          <w:szCs w:val="20"/>
        </w:rPr>
        <w:t>r</w:t>
      </w:r>
    </w:p>
    <w:p w14:paraId="177966C5" w14:textId="77777777" w:rsidR="00000000" w:rsidRDefault="00195E73">
      <w:pPr>
        <w:ind w:firstLine="450"/>
        <w:divId w:val="457722689"/>
        <w:rPr>
          <w:rFonts w:eastAsia="Times New Roman"/>
        </w:rPr>
      </w:pPr>
      <w:r>
        <w:rPr>
          <w:rFonts w:eastAsia="Times New Roman"/>
          <w:i/>
          <w:iCs/>
          <w:color w:val="000000"/>
          <w:sz w:val="20"/>
          <w:szCs w:val="20"/>
        </w:rPr>
        <w:t>Revenue recognition:</w:t>
      </w:r>
      <w:r>
        <w:rPr>
          <w:rFonts w:eastAsia="Times New Roman"/>
          <w:i/>
          <w:iCs/>
          <w:color w:val="000000"/>
          <w:sz w:val="20"/>
          <w:szCs w:val="20"/>
        </w:rPr>
        <w:t xml:space="preserve"> </w:t>
      </w:r>
      <w:r>
        <w:rPr>
          <w:rFonts w:eastAsia="Times New Roman"/>
          <w:color w:val="000000"/>
          <w:sz w:val="20"/>
          <w:szCs w:val="20"/>
        </w:rPr>
        <w:t>Revenues from railcar leasing were generated from operating leases that were priced as an integrated service that includes amounts related to</w:t>
      </w:r>
      <w:r>
        <w:rPr>
          <w:rFonts w:eastAsia="Times New Roman"/>
          <w:color w:val="000000"/>
          <w:sz w:val="20"/>
          <w:szCs w:val="20"/>
        </w:rPr>
        <w:t xml:space="preserve"> executory costs, such as certain maintenance, insurance, and ad valorem taxes and are recognized on a straight-line basis per terms of the underlying lease. If railcars were sold under a lease that is less than one year old, the proceeds from the railcars</w:t>
      </w:r>
      <w:r>
        <w:rPr>
          <w:rFonts w:eastAsia="Times New Roman"/>
          <w:color w:val="000000"/>
          <w:sz w:val="20"/>
          <w:szCs w:val="20"/>
        </w:rPr>
        <w:t xml:space="preserve"> sold that were on lease will be shown on a gross basis in revenues and cost of revenues at the time of sale. Sales of leased railcars that have been on lease for more than one year were recognized as a net gain or loss from the disposal of the long-term a</w:t>
      </w:r>
      <w:r>
        <w:rPr>
          <w:rFonts w:eastAsia="Times New Roman"/>
          <w:color w:val="000000"/>
          <w:sz w:val="20"/>
          <w:szCs w:val="20"/>
        </w:rPr>
        <w:t>sset as a component of earnings from operations. During the year ended December 31, 2017, our Railcar segment recognized $165 million of revenue from operating leases, prior to our sale of ARL</w:t>
      </w:r>
      <w:r>
        <w:rPr>
          <w:rFonts w:eastAsia="Times New Roman"/>
          <w:color w:val="000000"/>
          <w:sz w:val="20"/>
          <w:szCs w:val="20"/>
        </w:rPr>
        <w:t>.</w:t>
      </w:r>
    </w:p>
    <w:p w14:paraId="276847A5" w14:textId="77777777" w:rsidR="00000000" w:rsidRDefault="00195E73">
      <w:pPr>
        <w:divId w:val="301424343"/>
        <w:rPr>
          <w:rFonts w:eastAsia="Times New Roman"/>
        </w:rPr>
      </w:pPr>
      <w:r>
        <w:rPr>
          <w:rFonts w:eastAsia="Times New Roman"/>
          <w:i/>
          <w:iCs/>
          <w:color w:val="000000"/>
          <w:sz w:val="20"/>
          <w:szCs w:val="20"/>
        </w:rPr>
        <w:t>Energ</w:t>
      </w:r>
      <w:r>
        <w:rPr>
          <w:rFonts w:eastAsia="Times New Roman"/>
          <w:i/>
          <w:iCs/>
          <w:color w:val="000000"/>
          <w:sz w:val="20"/>
          <w:szCs w:val="20"/>
        </w:rPr>
        <w:t>y</w:t>
      </w:r>
    </w:p>
    <w:p w14:paraId="669141A2" w14:textId="77777777" w:rsidR="00000000" w:rsidRDefault="00195E73">
      <w:pPr>
        <w:ind w:firstLine="450"/>
        <w:divId w:val="276177139"/>
        <w:rPr>
          <w:rFonts w:eastAsia="Times New Roman"/>
        </w:rPr>
      </w:pPr>
      <w:r>
        <w:rPr>
          <w:rFonts w:eastAsia="Times New Roman"/>
          <w:i/>
          <w:iCs/>
          <w:color w:val="000000"/>
          <w:sz w:val="20"/>
          <w:szCs w:val="20"/>
        </w:rPr>
        <w:t>Shipping Costs:</w:t>
      </w:r>
      <w:r>
        <w:rPr>
          <w:rFonts w:eastAsia="Times New Roman"/>
          <w:i/>
          <w:iCs/>
          <w:color w:val="000000"/>
          <w:sz w:val="20"/>
          <w:szCs w:val="20"/>
        </w:rPr>
        <w:t xml:space="preserve"> </w:t>
      </w:r>
      <w:r>
        <w:rPr>
          <w:rFonts w:eastAsia="Times New Roman"/>
          <w:color w:val="000000"/>
          <w:sz w:val="20"/>
          <w:szCs w:val="20"/>
        </w:rPr>
        <w:t>Our Energy segment’s pass-through finis</w:t>
      </w:r>
      <w:r>
        <w:rPr>
          <w:rFonts w:eastAsia="Times New Roman"/>
          <w:color w:val="000000"/>
          <w:sz w:val="20"/>
          <w:szCs w:val="20"/>
        </w:rPr>
        <w:t>hed goods delivery costs reimbursed by customers are reported in net sales, while an offsetting expense is included in cost of goods sold</w:t>
      </w:r>
      <w:r>
        <w:rPr>
          <w:rFonts w:eastAsia="Times New Roman"/>
          <w:color w:val="000000"/>
          <w:sz w:val="20"/>
          <w:szCs w:val="20"/>
        </w:rPr>
        <w:t>.</w:t>
      </w:r>
    </w:p>
    <w:p w14:paraId="6D8FC2A2" w14:textId="77777777" w:rsidR="00000000" w:rsidRDefault="00195E73">
      <w:pPr>
        <w:divId w:val="229537290"/>
        <w:rPr>
          <w:rFonts w:eastAsia="Times New Roman"/>
        </w:rPr>
      </w:pPr>
      <w:r>
        <w:rPr>
          <w:rFonts w:eastAsia="Times New Roman"/>
          <w:i/>
          <w:iCs/>
          <w:color w:val="000000"/>
          <w:sz w:val="20"/>
          <w:szCs w:val="20"/>
        </w:rPr>
        <w:t>Automotive</w:t>
      </w:r>
      <w:r>
        <w:rPr>
          <w:rFonts w:eastAsia="Times New Roman"/>
          <w:i/>
          <w:iCs/>
          <w:color w:val="000000"/>
          <w:sz w:val="20"/>
          <w:szCs w:val="20"/>
        </w:rPr>
        <w:t xml:space="preserve"> </w:t>
      </w:r>
    </w:p>
    <w:p w14:paraId="3F2AB870" w14:textId="77777777" w:rsidR="00000000" w:rsidRDefault="00195E73">
      <w:pPr>
        <w:ind w:firstLine="450"/>
        <w:divId w:val="37248897"/>
        <w:rPr>
          <w:rFonts w:eastAsia="Times New Roman"/>
        </w:rPr>
      </w:pPr>
      <w:r>
        <w:rPr>
          <w:rFonts w:eastAsia="Times New Roman"/>
          <w:i/>
          <w:iCs/>
          <w:color w:val="000000"/>
          <w:sz w:val="20"/>
          <w:szCs w:val="20"/>
        </w:rPr>
        <w:t>Shipping Costs:</w:t>
      </w:r>
      <w:r>
        <w:rPr>
          <w:rFonts w:eastAsia="Times New Roman"/>
          <w:i/>
          <w:iCs/>
          <w:color w:val="000000"/>
          <w:sz w:val="20"/>
          <w:szCs w:val="20"/>
        </w:rPr>
        <w:t xml:space="preserve"> </w:t>
      </w:r>
      <w:r>
        <w:rPr>
          <w:rFonts w:eastAsia="Times New Roman"/>
          <w:color w:val="000000"/>
          <w:sz w:val="20"/>
          <w:szCs w:val="20"/>
        </w:rPr>
        <w:t>Our Automotive segment recognizes shipping and handling costs as incurred and is included</w:t>
      </w:r>
      <w:r>
        <w:rPr>
          <w:rFonts w:eastAsia="Times New Roman"/>
          <w:color w:val="000000"/>
          <w:sz w:val="20"/>
          <w:szCs w:val="20"/>
        </w:rPr>
        <w:t xml:space="preserve"> in selling, general and administrative in the consolidated statements of operations for its commercial and retail parts businesses.</w:t>
      </w:r>
      <w:r>
        <w:rPr>
          <w:rFonts w:eastAsia="Times New Roman"/>
          <w:color w:val="000000"/>
          <w:sz w:val="20"/>
          <w:szCs w:val="20"/>
        </w:rPr>
        <w:t xml:space="preserve"> </w:t>
      </w:r>
    </w:p>
    <w:p w14:paraId="64F276A1" w14:textId="77777777" w:rsidR="00000000" w:rsidRDefault="00195E73">
      <w:pPr>
        <w:divId w:val="178590511"/>
        <w:rPr>
          <w:rFonts w:eastAsia="Times New Roman"/>
        </w:rPr>
      </w:pPr>
      <w:r>
        <w:rPr>
          <w:rFonts w:eastAsia="Times New Roman"/>
          <w:b/>
          <w:bCs/>
          <w:i/>
          <w:iCs/>
          <w:color w:val="000000"/>
          <w:sz w:val="20"/>
          <w:szCs w:val="20"/>
        </w:rPr>
        <w:t>Environmental Liabilitie</w:t>
      </w:r>
      <w:r>
        <w:rPr>
          <w:rFonts w:eastAsia="Times New Roman"/>
          <w:b/>
          <w:bCs/>
          <w:i/>
          <w:iCs/>
          <w:color w:val="000000"/>
          <w:sz w:val="20"/>
          <w:szCs w:val="20"/>
        </w:rPr>
        <w:t>s</w:t>
      </w:r>
    </w:p>
    <w:p w14:paraId="44BDE571" w14:textId="77777777" w:rsidR="00000000" w:rsidRDefault="00195E73">
      <w:pPr>
        <w:ind w:firstLine="450"/>
        <w:divId w:val="2134589405"/>
        <w:rPr>
          <w:rFonts w:eastAsia="Times New Roman"/>
        </w:rPr>
      </w:pPr>
      <w:r>
        <w:rPr>
          <w:rFonts w:eastAsia="Times New Roman"/>
          <w:color w:val="000000"/>
          <w:sz w:val="20"/>
          <w:szCs w:val="20"/>
        </w:rPr>
        <w:t>We recognize environmental liabilities when a loss is probable and reasonably estimable. Estimat</w:t>
      </w:r>
      <w:r>
        <w:rPr>
          <w:rFonts w:eastAsia="Times New Roman"/>
          <w:color w:val="000000"/>
          <w:sz w:val="20"/>
          <w:szCs w:val="20"/>
        </w:rPr>
        <w:t>es of these costs are based upon currently available facts, internal and third-party assessments of contamination, available remediation technology, site-specific costs, and currently enacted laws and regulations. In reporting environmental liabilities, no</w:t>
      </w:r>
      <w:r>
        <w:rPr>
          <w:rFonts w:eastAsia="Times New Roman"/>
          <w:color w:val="000000"/>
          <w:sz w:val="20"/>
          <w:szCs w:val="20"/>
        </w:rPr>
        <w:t xml:space="preserve"> offset is made for potential recoveries. Loss contingency accruals, including those for environmental remediation, are subject to revision as further information develops or circumstances change, and such accruals can take into account the legal liability</w:t>
      </w:r>
      <w:r>
        <w:rPr>
          <w:rFonts w:eastAsia="Times New Roman"/>
          <w:color w:val="000000"/>
          <w:sz w:val="20"/>
          <w:szCs w:val="20"/>
        </w:rPr>
        <w:t xml:space="preserve"> of other parties. Environmental expenditures are capitalized at the time of the expenditure when such costs provide future economic benefits</w:t>
      </w:r>
      <w:r>
        <w:rPr>
          <w:rFonts w:eastAsia="Times New Roman"/>
          <w:color w:val="000000"/>
          <w:sz w:val="20"/>
          <w:szCs w:val="20"/>
        </w:rPr>
        <w:t>.</w:t>
      </w:r>
    </w:p>
    <w:p w14:paraId="4417E98E" w14:textId="77777777" w:rsidR="00000000" w:rsidRDefault="00195E73">
      <w:pPr>
        <w:divId w:val="199704039"/>
        <w:rPr>
          <w:rFonts w:eastAsia="Times New Roman"/>
        </w:rPr>
      </w:pPr>
      <w:r>
        <w:rPr>
          <w:rFonts w:eastAsia="Times New Roman"/>
          <w:b/>
          <w:bCs/>
          <w:i/>
          <w:iCs/>
          <w:color w:val="000000"/>
          <w:sz w:val="20"/>
          <w:szCs w:val="20"/>
        </w:rPr>
        <w:t>Litigatio</w:t>
      </w:r>
      <w:r>
        <w:rPr>
          <w:rFonts w:eastAsia="Times New Roman"/>
          <w:b/>
          <w:bCs/>
          <w:i/>
          <w:iCs/>
          <w:color w:val="000000"/>
          <w:sz w:val="20"/>
          <w:szCs w:val="20"/>
        </w:rPr>
        <w:t>n</w:t>
      </w:r>
    </w:p>
    <w:p w14:paraId="6467CDB1" w14:textId="77777777" w:rsidR="00000000" w:rsidRDefault="00195E73">
      <w:pPr>
        <w:ind w:firstLine="450"/>
        <w:divId w:val="1391462266"/>
        <w:rPr>
          <w:rFonts w:eastAsia="Times New Roman"/>
        </w:rPr>
      </w:pPr>
      <w:r>
        <w:rPr>
          <w:rFonts w:eastAsia="Times New Roman"/>
          <w:color w:val="000000"/>
          <w:sz w:val="20"/>
          <w:szCs w:val="20"/>
        </w:rPr>
        <w:t>On an ongoing basis, we assess the potential liabilities related to any lawsuits or claims brought aga</w:t>
      </w:r>
      <w:r>
        <w:rPr>
          <w:rFonts w:eastAsia="Times New Roman"/>
          <w:color w:val="000000"/>
          <w:sz w:val="20"/>
          <w:szCs w:val="20"/>
        </w:rPr>
        <w:t>inst us. While it is typically very difficult to determine the timing and ultimate outcome of such actions, we use our best judgment to determine if it is probable that we will incur an expense related to the settlement or final adjudication of such matter</w:t>
      </w:r>
      <w:r>
        <w:rPr>
          <w:rFonts w:eastAsia="Times New Roman"/>
          <w:color w:val="000000"/>
          <w:sz w:val="20"/>
          <w:szCs w:val="20"/>
        </w:rPr>
        <w:t>s and whether a reasonable estimation of such probable loss, if any, can be made. In assessing probable losses, we make estimates of the amount of insurance recoveries, if any. We accrue a liability when we believe a loss is probable and the amount of loss</w:t>
      </w:r>
      <w:r>
        <w:rPr>
          <w:rFonts w:eastAsia="Times New Roman"/>
          <w:color w:val="000000"/>
          <w:sz w:val="20"/>
          <w:szCs w:val="20"/>
        </w:rPr>
        <w:t xml:space="preserve"> can be reasonably estimated. Due to the inherent uncertainties related to the eventual outcome of litigation and potential insurance recovery, it is possible that certain matters may be resolved for amounts materially different from any provisions or disc</w:t>
      </w:r>
      <w:r>
        <w:rPr>
          <w:rFonts w:eastAsia="Times New Roman"/>
          <w:color w:val="000000"/>
          <w:sz w:val="20"/>
          <w:szCs w:val="20"/>
        </w:rPr>
        <w:t>losures that we have previously made</w:t>
      </w:r>
      <w:r>
        <w:rPr>
          <w:rFonts w:eastAsia="Times New Roman"/>
          <w:color w:val="000000"/>
          <w:sz w:val="20"/>
          <w:szCs w:val="20"/>
        </w:rPr>
        <w:t>.</w:t>
      </w:r>
    </w:p>
    <w:p w14:paraId="7D4AE8B9" w14:textId="77777777" w:rsidR="00000000" w:rsidRDefault="00195E73">
      <w:pPr>
        <w:jc w:val="center"/>
        <w:divId w:val="1882211324"/>
        <w:rPr>
          <w:rFonts w:eastAsia="Times New Roman"/>
        </w:rPr>
      </w:pPr>
      <w:r>
        <w:rPr>
          <w:rFonts w:eastAsia="Times New Roman"/>
          <w:color w:val="000000"/>
          <w:sz w:val="20"/>
          <w:szCs w:val="20"/>
        </w:rPr>
        <w:t>7</w:t>
      </w:r>
      <w:r>
        <w:rPr>
          <w:rFonts w:eastAsia="Times New Roman"/>
          <w:color w:val="000000"/>
          <w:sz w:val="20"/>
          <w:szCs w:val="20"/>
        </w:rPr>
        <w:t>8</w:t>
      </w:r>
    </w:p>
    <w:p w14:paraId="3DCEF0DA" w14:textId="77777777" w:rsidR="00000000" w:rsidRDefault="00195E73">
      <w:pPr>
        <w:rPr>
          <w:rFonts w:eastAsia="Times New Roman"/>
        </w:rPr>
      </w:pPr>
      <w:r>
        <w:rPr>
          <w:rFonts w:eastAsia="Times New Roman"/>
        </w:rPr>
        <w:pict w14:anchorId="03E402B0">
          <v:rect id="_x0000_i1104" style="width:0;height:1.5pt" o:hralign="center" o:hrstd="t" o:hr="t" fillcolor="#a0a0a0" stroked="f"/>
        </w:pict>
      </w:r>
    </w:p>
    <w:p w14:paraId="46FAA78C" w14:textId="77777777" w:rsidR="00000000" w:rsidRDefault="00195E73">
      <w:pPr>
        <w:jc w:val="center"/>
        <w:divId w:val="1399160606"/>
        <w:rPr>
          <w:rFonts w:eastAsia="Times New Roman"/>
        </w:rPr>
      </w:pPr>
    </w:p>
    <w:p w14:paraId="18FA8339" w14:textId="77777777" w:rsidR="00000000" w:rsidRDefault="00195E73">
      <w:pPr>
        <w:jc w:val="center"/>
        <w:divId w:val="1399160606"/>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5D88E19F" w14:textId="77777777" w:rsidR="00000000" w:rsidRDefault="00195E73">
      <w:pPr>
        <w:jc w:val="center"/>
        <w:divId w:val="1399160606"/>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67446847" w14:textId="77777777" w:rsidR="00000000" w:rsidRDefault="00195E73">
      <w:pPr>
        <w:jc w:val="center"/>
        <w:divId w:val="1399160606"/>
        <w:rPr>
          <w:rFonts w:eastAsia="Times New Roman"/>
        </w:rPr>
      </w:pPr>
    </w:p>
    <w:p w14:paraId="46614BA0" w14:textId="77777777" w:rsidR="00000000" w:rsidRDefault="00195E73">
      <w:pPr>
        <w:jc w:val="center"/>
        <w:divId w:val="1399160606"/>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1D9F1F2E" w14:textId="77777777" w:rsidR="00000000" w:rsidRDefault="00195E73">
      <w:pPr>
        <w:divId w:val="1280574037"/>
        <w:rPr>
          <w:rFonts w:eastAsia="Times New Roman"/>
        </w:rPr>
      </w:pPr>
      <w:r>
        <w:rPr>
          <w:rFonts w:eastAsia="Times New Roman"/>
          <w:b/>
          <w:bCs/>
          <w:i/>
          <w:iCs/>
          <w:color w:val="000000"/>
          <w:sz w:val="20"/>
          <w:szCs w:val="20"/>
        </w:rPr>
        <w:t>Foreign Currency Translatio</w:t>
      </w:r>
      <w:r>
        <w:rPr>
          <w:rFonts w:eastAsia="Times New Roman"/>
          <w:b/>
          <w:bCs/>
          <w:i/>
          <w:iCs/>
          <w:color w:val="000000"/>
          <w:sz w:val="20"/>
          <w:szCs w:val="20"/>
        </w:rPr>
        <w:t>n</w:t>
      </w:r>
    </w:p>
    <w:p w14:paraId="7C7BEA52" w14:textId="77777777" w:rsidR="00000000" w:rsidRDefault="00195E73">
      <w:pPr>
        <w:ind w:firstLine="450"/>
        <w:divId w:val="2123649411"/>
        <w:rPr>
          <w:rFonts w:eastAsia="Times New Roman"/>
        </w:rPr>
      </w:pPr>
      <w:r>
        <w:rPr>
          <w:rFonts w:eastAsia="Times New Roman"/>
          <w:color w:val="000000"/>
          <w:sz w:val="20"/>
          <w:szCs w:val="20"/>
        </w:rPr>
        <w:t>Exchange adjustments related to international currency transactions and translation adjustments for international subsidiaries whose functional currency is the U.S. dollar (principally those located in highly inflationary economies) are reflected in the co</w:t>
      </w:r>
      <w:r>
        <w:rPr>
          <w:rFonts w:eastAsia="Times New Roman"/>
          <w:color w:val="000000"/>
          <w:sz w:val="20"/>
          <w:szCs w:val="20"/>
        </w:rPr>
        <w:t>nsolidated statements of operations. Translation adjustments of international subsidiaries for which the local currency is the functional currency are reflected in the consolidated balance sheets as a component of accumulated other comprehensive income. De</w:t>
      </w:r>
      <w:r>
        <w:rPr>
          <w:rFonts w:eastAsia="Times New Roman"/>
          <w:color w:val="000000"/>
          <w:sz w:val="20"/>
          <w:szCs w:val="20"/>
        </w:rPr>
        <w:t>ferred taxes are not provided on translation adjustments, other than for intercompany loans not designated as permanently reinvested, as the earnings of the subsidiaries are considered to be permanently reinvested</w:t>
      </w:r>
      <w:r>
        <w:rPr>
          <w:rFonts w:eastAsia="Times New Roman"/>
          <w:color w:val="000000"/>
          <w:sz w:val="20"/>
          <w:szCs w:val="20"/>
        </w:rPr>
        <w:t>.</w:t>
      </w:r>
    </w:p>
    <w:p w14:paraId="38D937FC" w14:textId="77777777" w:rsidR="00000000" w:rsidRDefault="00195E73">
      <w:pPr>
        <w:divId w:val="581455144"/>
        <w:rPr>
          <w:rFonts w:eastAsia="Times New Roman"/>
        </w:rPr>
      </w:pPr>
      <w:r>
        <w:rPr>
          <w:rFonts w:eastAsia="Times New Roman"/>
          <w:b/>
          <w:bCs/>
          <w:i/>
          <w:iCs/>
          <w:color w:val="000000"/>
          <w:sz w:val="20"/>
          <w:szCs w:val="20"/>
        </w:rPr>
        <w:t>Concentrations of credit risk</w:t>
      </w:r>
      <w:r>
        <w:rPr>
          <w:rFonts w:eastAsia="Times New Roman"/>
          <w:b/>
          <w:bCs/>
          <w:i/>
          <w:iCs/>
          <w:color w:val="000000"/>
          <w:sz w:val="20"/>
          <w:szCs w:val="20"/>
        </w:rPr>
        <w:t xml:space="preserve"> </w:t>
      </w:r>
    </w:p>
    <w:p w14:paraId="0045A37B" w14:textId="77777777" w:rsidR="00000000" w:rsidRDefault="00195E73">
      <w:pPr>
        <w:ind w:firstLine="450"/>
        <w:divId w:val="153834991"/>
        <w:rPr>
          <w:rFonts w:eastAsia="Times New Roman"/>
        </w:rPr>
      </w:pPr>
      <w:r>
        <w:rPr>
          <w:rFonts w:eastAsia="Times New Roman"/>
          <w:color w:val="000000"/>
          <w:sz w:val="20"/>
          <w:szCs w:val="20"/>
        </w:rPr>
        <w:t>Concentrat</w:t>
      </w:r>
      <w:r>
        <w:rPr>
          <w:rFonts w:eastAsia="Times New Roman"/>
          <w:color w:val="000000"/>
          <w:sz w:val="20"/>
          <w:szCs w:val="20"/>
        </w:rPr>
        <w:t>ions of credit risk relate primarily to derivative instruments from our Investment segment. See Note 6, “Financial Instruments,” for further discussion.</w:t>
      </w:r>
      <w:r>
        <w:rPr>
          <w:rFonts w:eastAsia="Times New Roman"/>
          <w:color w:val="000000"/>
          <w:sz w:val="20"/>
          <w:szCs w:val="20"/>
        </w:rPr>
        <w:t xml:space="preserve"> </w:t>
      </w:r>
    </w:p>
    <w:p w14:paraId="0A9D4C80" w14:textId="77777777" w:rsidR="00000000" w:rsidRDefault="00195E73">
      <w:pPr>
        <w:ind w:firstLine="450"/>
        <w:divId w:val="1173764328"/>
        <w:rPr>
          <w:rFonts w:eastAsia="Times New Roman"/>
        </w:rPr>
      </w:pPr>
      <w:r>
        <w:rPr>
          <w:rFonts w:eastAsia="Times New Roman"/>
          <w:color w:val="000000"/>
          <w:sz w:val="20"/>
          <w:szCs w:val="20"/>
        </w:rPr>
        <w:t>In addition, at our Holding Company, financial instruments that potentially subject us to concentratio</w:t>
      </w:r>
      <w:r>
        <w:rPr>
          <w:rFonts w:eastAsia="Times New Roman"/>
          <w:color w:val="000000"/>
          <w:sz w:val="20"/>
          <w:szCs w:val="20"/>
        </w:rPr>
        <w:t>ns of credit risk are primarily cash and cash equivalent deposits. These cash and cash equivalent deposits are maintained with several financial institutions. The deposits held at the various financial institutions may exceed federally insured limits. Expo</w:t>
      </w:r>
      <w:r>
        <w:rPr>
          <w:rFonts w:eastAsia="Times New Roman"/>
          <w:color w:val="000000"/>
          <w:sz w:val="20"/>
          <w:szCs w:val="20"/>
        </w:rPr>
        <w:t>sure to this credit risk is reduced by placing such deposits with major financial institutions and monitoring their credit ratings and, therefore, these deposits bear minimal credit risk</w:t>
      </w:r>
      <w:r>
        <w:rPr>
          <w:rFonts w:eastAsia="Times New Roman"/>
          <w:color w:val="000000"/>
          <w:sz w:val="20"/>
          <w:szCs w:val="20"/>
        </w:rPr>
        <w:t>.</w:t>
      </w:r>
    </w:p>
    <w:p w14:paraId="4F8C816C" w14:textId="77777777" w:rsidR="00000000" w:rsidRDefault="00195E73">
      <w:pPr>
        <w:divId w:val="920601609"/>
        <w:rPr>
          <w:rFonts w:eastAsia="Times New Roman"/>
        </w:rPr>
      </w:pPr>
      <w:r>
        <w:rPr>
          <w:rFonts w:eastAsia="Times New Roman"/>
          <w:b/>
          <w:bCs/>
          <w:i/>
          <w:iCs/>
          <w:color w:val="000000"/>
          <w:sz w:val="20"/>
          <w:szCs w:val="20"/>
        </w:rPr>
        <w:t>Adoption of New Accounting Standards</w:t>
      </w:r>
      <w:r>
        <w:rPr>
          <w:rFonts w:eastAsia="Times New Roman"/>
          <w:b/>
          <w:bCs/>
          <w:i/>
          <w:iCs/>
          <w:color w:val="000000"/>
          <w:sz w:val="20"/>
          <w:szCs w:val="20"/>
        </w:rPr>
        <w:t xml:space="preserve"> </w:t>
      </w:r>
    </w:p>
    <w:p w14:paraId="5C4DF9EB" w14:textId="77777777" w:rsidR="00000000" w:rsidRDefault="00195E73">
      <w:pPr>
        <w:divId w:val="735517372"/>
        <w:rPr>
          <w:rFonts w:eastAsia="Times New Roman"/>
        </w:rPr>
      </w:pPr>
      <w:r>
        <w:rPr>
          <w:rFonts w:eastAsia="Times New Roman"/>
          <w:i/>
          <w:iCs/>
          <w:color w:val="000000"/>
          <w:sz w:val="20"/>
          <w:szCs w:val="20"/>
        </w:rPr>
        <w:t>Lease Accounting Standards Upd</w:t>
      </w:r>
      <w:r>
        <w:rPr>
          <w:rFonts w:eastAsia="Times New Roman"/>
          <w:i/>
          <w:iCs/>
          <w:color w:val="000000"/>
          <w:sz w:val="20"/>
          <w:szCs w:val="20"/>
        </w:rPr>
        <w:t>ate</w:t>
      </w:r>
      <w:r>
        <w:rPr>
          <w:rFonts w:eastAsia="Times New Roman"/>
          <w:i/>
          <w:iCs/>
          <w:color w:val="000000"/>
          <w:sz w:val="20"/>
          <w:szCs w:val="20"/>
        </w:rPr>
        <w:t>s</w:t>
      </w:r>
    </w:p>
    <w:p w14:paraId="36799A4B" w14:textId="77777777" w:rsidR="00000000" w:rsidRDefault="00195E73">
      <w:pPr>
        <w:ind w:firstLine="450"/>
        <w:divId w:val="746808768"/>
        <w:rPr>
          <w:rFonts w:eastAsia="Times New Roman"/>
        </w:rPr>
      </w:pPr>
      <w:r>
        <w:rPr>
          <w:rFonts w:eastAsia="Times New Roman"/>
          <w:color w:val="000000"/>
          <w:sz w:val="20"/>
          <w:szCs w:val="20"/>
        </w:rPr>
        <w:t>In February 2016, the FASB issued Accounting Standards Update (“ASU”) 2016-02,</w:t>
      </w:r>
      <w:r>
        <w:rPr>
          <w:rFonts w:eastAsia="Times New Roman"/>
          <w:color w:val="000000"/>
          <w:sz w:val="20"/>
          <w:szCs w:val="20"/>
        </w:rPr>
        <w:t xml:space="preserve"> </w:t>
      </w:r>
      <w:r>
        <w:rPr>
          <w:rFonts w:eastAsia="Times New Roman"/>
          <w:i/>
          <w:iCs/>
          <w:color w:val="000000"/>
          <w:sz w:val="20"/>
          <w:szCs w:val="20"/>
        </w:rPr>
        <w:t>Leases (Topic 842</w:t>
      </w:r>
      <w:r>
        <w:rPr>
          <w:rFonts w:eastAsia="Times New Roman"/>
          <w:i/>
          <w:iCs/>
          <w:color w:val="000000"/>
          <w:sz w:val="20"/>
          <w:szCs w:val="20"/>
        </w:rPr>
        <w:t>)</w:t>
      </w:r>
      <w:r>
        <w:rPr>
          <w:rFonts w:eastAsia="Times New Roman"/>
          <w:color w:val="000000"/>
          <w:sz w:val="20"/>
          <w:szCs w:val="20"/>
        </w:rPr>
        <w:t>, which supersedes FASB ASC Topic 840,</w:t>
      </w:r>
      <w:r>
        <w:rPr>
          <w:rFonts w:eastAsia="Times New Roman"/>
          <w:color w:val="000000"/>
          <w:sz w:val="20"/>
          <w:szCs w:val="20"/>
        </w:rPr>
        <w:t xml:space="preserve"> </w:t>
      </w:r>
      <w:r>
        <w:rPr>
          <w:rFonts w:eastAsia="Times New Roman"/>
          <w:i/>
          <w:iCs/>
          <w:color w:val="000000"/>
          <w:sz w:val="20"/>
          <w:szCs w:val="20"/>
        </w:rPr>
        <w:t>Lease</w:t>
      </w:r>
      <w:r>
        <w:rPr>
          <w:rFonts w:eastAsia="Times New Roman"/>
          <w:i/>
          <w:iCs/>
          <w:color w:val="000000"/>
          <w:sz w:val="20"/>
          <w:szCs w:val="20"/>
        </w:rPr>
        <w:t>s</w:t>
      </w:r>
      <w:r>
        <w:rPr>
          <w:rFonts w:eastAsia="Times New Roman"/>
          <w:color w:val="000000"/>
          <w:sz w:val="20"/>
          <w:szCs w:val="20"/>
        </w:rPr>
        <w:t>. This ASU requires the recognition of right-of-use assets and lease liabilities by lessees for those leases classified as operating leases under previous guidance. In addition, among other changes to the accounting for leases, this ASU retains the distinc</w:t>
      </w:r>
      <w:r>
        <w:rPr>
          <w:rFonts w:eastAsia="Times New Roman"/>
          <w:color w:val="000000"/>
          <w:sz w:val="20"/>
          <w:szCs w:val="20"/>
        </w:rPr>
        <w:t xml:space="preserve">tion between finance leases and operating leases. The classification criteria for distinguishing between financing leases and operating leases are substantially similar to the classification criteria for distinguishing between capital leases and operating </w:t>
      </w:r>
      <w:r>
        <w:rPr>
          <w:rFonts w:eastAsia="Times New Roman"/>
          <w:color w:val="000000"/>
          <w:sz w:val="20"/>
          <w:szCs w:val="20"/>
        </w:rPr>
        <w:t>leases under previous guidance. Furthermore, quantitative and qualitative disclosures, including disclosures regarding significant judgments made by management, will be required. This ASU is effective for fiscal years beginning after December 15, 2018, inc</w:t>
      </w:r>
      <w:r>
        <w:rPr>
          <w:rFonts w:eastAsia="Times New Roman"/>
          <w:color w:val="000000"/>
          <w:sz w:val="20"/>
          <w:szCs w:val="20"/>
        </w:rPr>
        <w:t>luding interim periods within those fiscal years. The amendments in this ASU should be applied using a modified retrospective approach. In addition, in July 2018, the FASB issued ASU 2018-11,</w:t>
      </w:r>
      <w:r>
        <w:rPr>
          <w:rFonts w:eastAsia="Times New Roman"/>
          <w:color w:val="000000"/>
          <w:sz w:val="20"/>
          <w:szCs w:val="20"/>
        </w:rPr>
        <w:t xml:space="preserve"> </w:t>
      </w:r>
      <w:r>
        <w:rPr>
          <w:rFonts w:eastAsia="Times New Roman"/>
          <w:i/>
          <w:iCs/>
          <w:color w:val="000000"/>
          <w:sz w:val="20"/>
          <w:szCs w:val="20"/>
        </w:rPr>
        <w:t>Leases (Topic 842),</w:t>
      </w:r>
      <w:r>
        <w:rPr>
          <w:rFonts w:eastAsia="Times New Roman"/>
          <w:i/>
          <w:iCs/>
          <w:color w:val="000000"/>
          <w:sz w:val="20"/>
          <w:szCs w:val="20"/>
        </w:rPr>
        <w:t xml:space="preserve"> </w:t>
      </w:r>
      <w:r>
        <w:rPr>
          <w:rFonts w:eastAsia="Times New Roman"/>
          <w:color w:val="000000"/>
          <w:sz w:val="20"/>
          <w:szCs w:val="20"/>
        </w:rPr>
        <w:t xml:space="preserve">which provides an additional (and optional) </w:t>
      </w:r>
      <w:r>
        <w:rPr>
          <w:rFonts w:eastAsia="Times New Roman"/>
          <w:color w:val="000000"/>
          <w:sz w:val="20"/>
          <w:szCs w:val="20"/>
        </w:rPr>
        <w:t>transition method to adopt the new leases standard. We adopted the new leases standards using the new transition method option effective January 1, 2019, which required a cumulative-effect adjustment recognized in equity at such date. No adjustment to prio</w:t>
      </w:r>
      <w:r>
        <w:rPr>
          <w:rFonts w:eastAsia="Times New Roman"/>
          <w:color w:val="000000"/>
          <w:sz w:val="20"/>
          <w:szCs w:val="20"/>
        </w:rPr>
        <w:t>r period presentation and disclosure were required. The most significant impact related to the recognition of right-of-use assets and lease liabilities in the consolidated balance sheets for long-term operating leases with the significant majority of the i</w:t>
      </w:r>
      <w:r>
        <w:rPr>
          <w:rFonts w:eastAsia="Times New Roman"/>
          <w:color w:val="000000"/>
          <w:sz w:val="20"/>
          <w:szCs w:val="20"/>
        </w:rPr>
        <w:t>mpact within our Automotive segment, and to a lesser extent, our Energy and Food Packaging segments. Our Automotive segment has identified approximately 2,300 leases, primarily for real estate (operating leases) and vehicles (financing leases) and recogniz</w:t>
      </w:r>
      <w:r>
        <w:rPr>
          <w:rFonts w:eastAsia="Times New Roman"/>
          <w:color w:val="000000"/>
          <w:sz w:val="20"/>
          <w:szCs w:val="20"/>
        </w:rPr>
        <w:t>ed operating lease right-of-use assets of $589 million (which includes the impact of above market leases, net of below market leases) and related liabilities of $621 million as of January 1, 2019 as well as additional financing lease right-of-use assets an</w:t>
      </w:r>
      <w:r>
        <w:rPr>
          <w:rFonts w:eastAsia="Times New Roman"/>
          <w:color w:val="000000"/>
          <w:sz w:val="20"/>
          <w:szCs w:val="20"/>
        </w:rPr>
        <w:t xml:space="preserve">d obligations of $20 million and $22 million, respectively. Our Energy segment recognized operating lease right-of-use assets and liabilities of $56 million and additional financing lease right-of-use assets and obligations of $26 million and $23 million, </w:t>
      </w:r>
      <w:r>
        <w:rPr>
          <w:rFonts w:eastAsia="Times New Roman"/>
          <w:color w:val="000000"/>
          <w:sz w:val="20"/>
          <w:szCs w:val="20"/>
        </w:rPr>
        <w:t xml:space="preserve">respectively, as of January 1, 2019. Our Food Packaging segment recognized operating lease right-of-use assets and liabilities of $35 million and $39 million, respectively, as of January 1, 2019. The aggregate impact for all other segments and our Holding </w:t>
      </w:r>
      <w:r>
        <w:rPr>
          <w:rFonts w:eastAsia="Times New Roman"/>
          <w:color w:val="000000"/>
          <w:sz w:val="20"/>
          <w:szCs w:val="20"/>
        </w:rPr>
        <w:t>Company was the recognition of operating lease right-of-use assets and liabilities of $34 million and $28 million, respectively, as of January 1, 2019.</w:t>
      </w:r>
      <w:r>
        <w:rPr>
          <w:rFonts w:eastAsia="Times New Roman"/>
          <w:color w:val="000000"/>
          <w:sz w:val="20"/>
          <w:szCs w:val="20"/>
        </w:rPr>
        <w:t xml:space="preserve"> </w:t>
      </w:r>
    </w:p>
    <w:p w14:paraId="7220F4A1" w14:textId="77777777" w:rsidR="00000000" w:rsidRDefault="00195E73">
      <w:pPr>
        <w:divId w:val="269045455"/>
        <w:rPr>
          <w:rFonts w:eastAsia="Times New Roman"/>
        </w:rPr>
      </w:pPr>
      <w:r>
        <w:rPr>
          <w:rFonts w:eastAsia="Times New Roman"/>
          <w:i/>
          <w:iCs/>
          <w:color w:val="000000"/>
          <w:sz w:val="20"/>
          <w:szCs w:val="20"/>
        </w:rPr>
        <w:t>Other Accounting Standards Update</w:t>
      </w:r>
      <w:r>
        <w:rPr>
          <w:rFonts w:eastAsia="Times New Roman"/>
          <w:i/>
          <w:iCs/>
          <w:color w:val="000000"/>
          <w:sz w:val="20"/>
          <w:szCs w:val="20"/>
        </w:rPr>
        <w:t>s</w:t>
      </w:r>
    </w:p>
    <w:p w14:paraId="7555A5F8" w14:textId="77777777" w:rsidR="00000000" w:rsidRDefault="00195E73">
      <w:pPr>
        <w:ind w:firstLine="450"/>
        <w:divId w:val="1849254108"/>
        <w:rPr>
          <w:rFonts w:eastAsia="Times New Roman"/>
        </w:rPr>
      </w:pPr>
      <w:r>
        <w:rPr>
          <w:rFonts w:eastAsia="Times New Roman"/>
          <w:color w:val="000000"/>
          <w:sz w:val="20"/>
          <w:szCs w:val="20"/>
        </w:rPr>
        <w:t>In March 2017, the FASB issued ASU 2017-08,</w:t>
      </w:r>
      <w:r>
        <w:rPr>
          <w:rFonts w:eastAsia="Times New Roman"/>
          <w:color w:val="000000"/>
          <w:sz w:val="20"/>
          <w:szCs w:val="20"/>
        </w:rPr>
        <w:t xml:space="preserve"> </w:t>
      </w:r>
      <w:r>
        <w:rPr>
          <w:rFonts w:eastAsia="Times New Roman"/>
          <w:i/>
          <w:iCs/>
          <w:color w:val="000000"/>
          <w:sz w:val="20"/>
          <w:szCs w:val="20"/>
        </w:rPr>
        <w:t xml:space="preserve">Premium Amortization on </w:t>
      </w:r>
      <w:r>
        <w:rPr>
          <w:rFonts w:eastAsia="Times New Roman"/>
          <w:i/>
          <w:iCs/>
          <w:color w:val="000000"/>
          <w:sz w:val="20"/>
          <w:szCs w:val="20"/>
        </w:rPr>
        <w:t>Purchased Callable Debt Securitie</w:t>
      </w:r>
      <w:r>
        <w:rPr>
          <w:rFonts w:eastAsia="Times New Roman"/>
          <w:i/>
          <w:iCs/>
          <w:color w:val="000000"/>
          <w:sz w:val="20"/>
          <w:szCs w:val="20"/>
        </w:rPr>
        <w:t>s</w:t>
      </w:r>
      <w:r>
        <w:rPr>
          <w:rFonts w:eastAsia="Times New Roman"/>
          <w:color w:val="000000"/>
          <w:sz w:val="20"/>
          <w:szCs w:val="20"/>
        </w:rPr>
        <w:t>, which amends FASB ASC Sub-Topic 310-20,</w:t>
      </w:r>
      <w:r>
        <w:rPr>
          <w:rFonts w:eastAsia="Times New Roman"/>
          <w:color w:val="000000"/>
          <w:sz w:val="20"/>
          <w:szCs w:val="20"/>
        </w:rPr>
        <w:t xml:space="preserve"> </w:t>
      </w:r>
      <w:r>
        <w:rPr>
          <w:rFonts w:eastAsia="Times New Roman"/>
          <w:i/>
          <w:iCs/>
          <w:color w:val="000000"/>
          <w:sz w:val="20"/>
          <w:szCs w:val="20"/>
        </w:rPr>
        <w:t>Receivables-Nonrefundable Fees and Other Cost</w:t>
      </w:r>
      <w:r>
        <w:rPr>
          <w:rFonts w:eastAsia="Times New Roman"/>
          <w:i/>
          <w:iCs/>
          <w:color w:val="000000"/>
          <w:sz w:val="20"/>
          <w:szCs w:val="20"/>
        </w:rPr>
        <w:t>s</w:t>
      </w:r>
      <w:r>
        <w:rPr>
          <w:rFonts w:eastAsia="Times New Roman"/>
          <w:color w:val="000000"/>
          <w:sz w:val="20"/>
          <w:szCs w:val="20"/>
        </w:rPr>
        <w:t>. This ASU amends the amortization period for certain purchased callable debt securities held at a premium by shortening the amortizat</w:t>
      </w:r>
      <w:r>
        <w:rPr>
          <w:rFonts w:eastAsia="Times New Roman"/>
          <w:color w:val="000000"/>
          <w:sz w:val="20"/>
          <w:szCs w:val="20"/>
        </w:rPr>
        <w:t>ion period for the premium to the earliest call date. This ASU is effective for fiscal years beginning after December 15, 2018, and interim periods within those fiscal years. We have adopted this standard on January 1, 2019 using the modified retrospective</w:t>
      </w:r>
      <w:r>
        <w:rPr>
          <w:rFonts w:eastAsia="Times New Roman"/>
          <w:color w:val="000000"/>
          <w:sz w:val="20"/>
          <w:szCs w:val="20"/>
        </w:rPr>
        <w:t xml:space="preserve"> application method. The adoption of this standard did not have a significant impact on our consolidated financial statements.</w:t>
      </w:r>
      <w:r>
        <w:rPr>
          <w:rFonts w:eastAsia="Times New Roman"/>
          <w:color w:val="000000"/>
          <w:sz w:val="20"/>
          <w:szCs w:val="20"/>
        </w:rPr>
        <w:t xml:space="preserve"> </w:t>
      </w:r>
    </w:p>
    <w:p w14:paraId="71CD0112" w14:textId="77777777" w:rsidR="00000000" w:rsidRDefault="00195E73">
      <w:pPr>
        <w:ind w:firstLine="450"/>
        <w:divId w:val="215358134"/>
        <w:rPr>
          <w:rFonts w:eastAsia="Times New Roman"/>
        </w:rPr>
      </w:pPr>
      <w:r>
        <w:rPr>
          <w:rFonts w:eastAsia="Times New Roman"/>
          <w:color w:val="000000"/>
          <w:sz w:val="20"/>
          <w:szCs w:val="20"/>
        </w:rPr>
        <w:t>In August 2017, the FASB issued ASU 2017-12,</w:t>
      </w:r>
      <w:r>
        <w:rPr>
          <w:rFonts w:eastAsia="Times New Roman"/>
          <w:color w:val="000000"/>
          <w:sz w:val="20"/>
          <w:szCs w:val="20"/>
        </w:rPr>
        <w:t xml:space="preserve"> </w:t>
      </w:r>
      <w:r>
        <w:rPr>
          <w:rFonts w:eastAsia="Times New Roman"/>
          <w:i/>
          <w:iCs/>
          <w:color w:val="000000"/>
          <w:sz w:val="20"/>
          <w:szCs w:val="20"/>
        </w:rPr>
        <w:t>Targeted Improvements to Accounting for Hedging Activitie</w:t>
      </w:r>
      <w:r>
        <w:rPr>
          <w:rFonts w:eastAsia="Times New Roman"/>
          <w:i/>
          <w:iCs/>
          <w:color w:val="000000"/>
          <w:sz w:val="20"/>
          <w:szCs w:val="20"/>
        </w:rPr>
        <w:t>s</w:t>
      </w:r>
      <w:r>
        <w:rPr>
          <w:rFonts w:eastAsia="Times New Roman"/>
          <w:color w:val="000000"/>
          <w:sz w:val="20"/>
          <w:szCs w:val="20"/>
        </w:rPr>
        <w:t>, which amends FASB ASC T</w:t>
      </w:r>
      <w:r>
        <w:rPr>
          <w:rFonts w:eastAsia="Times New Roman"/>
          <w:color w:val="000000"/>
          <w:sz w:val="20"/>
          <w:szCs w:val="20"/>
        </w:rPr>
        <w:t>opic 815,</w:t>
      </w:r>
      <w:r>
        <w:rPr>
          <w:rFonts w:eastAsia="Times New Roman"/>
          <w:color w:val="000000"/>
          <w:sz w:val="20"/>
          <w:szCs w:val="20"/>
        </w:rPr>
        <w:t xml:space="preserve"> </w:t>
      </w:r>
      <w:r>
        <w:rPr>
          <w:rFonts w:eastAsia="Times New Roman"/>
          <w:i/>
          <w:iCs/>
          <w:color w:val="000000"/>
          <w:sz w:val="20"/>
          <w:szCs w:val="20"/>
        </w:rPr>
        <w:t>Derivatives and Hedgin</w:t>
      </w:r>
      <w:r>
        <w:rPr>
          <w:rFonts w:eastAsia="Times New Roman"/>
          <w:i/>
          <w:iCs/>
          <w:color w:val="000000"/>
          <w:sz w:val="20"/>
          <w:szCs w:val="20"/>
        </w:rPr>
        <w:t>g</w:t>
      </w:r>
      <w:r>
        <w:rPr>
          <w:rFonts w:eastAsia="Times New Roman"/>
          <w:color w:val="000000"/>
          <w:sz w:val="20"/>
          <w:szCs w:val="20"/>
        </w:rPr>
        <w:t>. This ASU includes amendments to existing guidance to better align</w:t>
      </w:r>
      <w:r>
        <w:rPr>
          <w:rFonts w:eastAsia="Times New Roman"/>
          <w:color w:val="000000"/>
          <w:sz w:val="20"/>
          <w:szCs w:val="20"/>
        </w:rPr>
        <w:t xml:space="preserve"> </w:t>
      </w:r>
    </w:p>
    <w:p w14:paraId="60AEF19E" w14:textId="77777777" w:rsidR="00000000" w:rsidRDefault="00195E73">
      <w:pPr>
        <w:jc w:val="center"/>
        <w:divId w:val="1389958279"/>
        <w:rPr>
          <w:rFonts w:eastAsia="Times New Roman"/>
        </w:rPr>
      </w:pPr>
      <w:r>
        <w:rPr>
          <w:rFonts w:eastAsia="Times New Roman"/>
          <w:color w:val="000000"/>
          <w:sz w:val="20"/>
          <w:szCs w:val="20"/>
        </w:rPr>
        <w:t>7</w:t>
      </w:r>
      <w:r>
        <w:rPr>
          <w:rFonts w:eastAsia="Times New Roman"/>
          <w:color w:val="000000"/>
          <w:sz w:val="20"/>
          <w:szCs w:val="20"/>
        </w:rPr>
        <w:t>9</w:t>
      </w:r>
    </w:p>
    <w:p w14:paraId="327831C3" w14:textId="77777777" w:rsidR="00000000" w:rsidRDefault="00195E73">
      <w:pPr>
        <w:rPr>
          <w:rFonts w:eastAsia="Times New Roman"/>
        </w:rPr>
      </w:pPr>
      <w:r>
        <w:rPr>
          <w:rFonts w:eastAsia="Times New Roman"/>
        </w:rPr>
        <w:pict w14:anchorId="5D47DA00">
          <v:rect id="_x0000_i1105" style="width:0;height:1.5pt" o:hralign="center" o:hrstd="t" o:hr="t" fillcolor="#a0a0a0" stroked="f"/>
        </w:pict>
      </w:r>
    </w:p>
    <w:p w14:paraId="4819C6E1" w14:textId="77777777" w:rsidR="00000000" w:rsidRDefault="00195E73">
      <w:pPr>
        <w:jc w:val="center"/>
        <w:divId w:val="990714608"/>
        <w:rPr>
          <w:rFonts w:eastAsia="Times New Roman"/>
        </w:rPr>
      </w:pPr>
    </w:p>
    <w:p w14:paraId="1FEF72B1" w14:textId="77777777" w:rsidR="00000000" w:rsidRDefault="00195E73">
      <w:pPr>
        <w:jc w:val="center"/>
        <w:divId w:val="990714608"/>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400FB8AF" w14:textId="77777777" w:rsidR="00000000" w:rsidRDefault="00195E73">
      <w:pPr>
        <w:jc w:val="center"/>
        <w:divId w:val="990714608"/>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362CD6E2" w14:textId="77777777" w:rsidR="00000000" w:rsidRDefault="00195E73">
      <w:pPr>
        <w:jc w:val="center"/>
        <w:divId w:val="990714608"/>
        <w:rPr>
          <w:rFonts w:eastAsia="Times New Roman"/>
        </w:rPr>
      </w:pPr>
    </w:p>
    <w:p w14:paraId="713C769D" w14:textId="77777777" w:rsidR="00000000" w:rsidRDefault="00195E73">
      <w:pPr>
        <w:jc w:val="center"/>
        <w:divId w:val="990714608"/>
        <w:rPr>
          <w:rFonts w:eastAsia="Times New Roman"/>
        </w:rPr>
      </w:pPr>
      <w:r>
        <w:rPr>
          <w:rFonts w:eastAsia="Times New Roman"/>
          <w:b/>
          <w:bCs/>
          <w:color w:val="000000"/>
          <w:sz w:val="20"/>
          <w:szCs w:val="20"/>
        </w:rPr>
        <w:t>NOTES TO CONSOLIDATED</w:t>
      </w:r>
      <w:r>
        <w:rPr>
          <w:rFonts w:eastAsia="Times New Roman"/>
          <w:b/>
          <w:bCs/>
          <w:color w:val="000000"/>
          <w:sz w:val="20"/>
          <w:szCs w:val="20"/>
        </w:rPr>
        <w:t xml:space="preserve"> FINANCIAL STATEMENT</w:t>
      </w:r>
      <w:r>
        <w:rPr>
          <w:rFonts w:eastAsia="Times New Roman"/>
          <w:b/>
          <w:bCs/>
          <w:color w:val="000000"/>
          <w:sz w:val="20"/>
          <w:szCs w:val="20"/>
        </w:rPr>
        <w:t>S</w:t>
      </w:r>
    </w:p>
    <w:p w14:paraId="379F4F0F" w14:textId="77777777" w:rsidR="00000000" w:rsidRDefault="00195E73">
      <w:pPr>
        <w:divId w:val="181021437"/>
        <w:rPr>
          <w:rFonts w:eastAsia="Times New Roman"/>
        </w:rPr>
      </w:pPr>
      <w:r>
        <w:rPr>
          <w:rFonts w:eastAsia="Times New Roman"/>
          <w:color w:val="000000"/>
          <w:sz w:val="20"/>
          <w:szCs w:val="20"/>
        </w:rPr>
        <w:t>an entity’s risk management activities and financial reporting for hedging relationships through changes to both the designation and measurement guidance for qualifying hedging relationships and the presentation of hedge results. This</w:t>
      </w:r>
      <w:r>
        <w:rPr>
          <w:rFonts w:eastAsia="Times New Roman"/>
          <w:color w:val="000000"/>
          <w:sz w:val="20"/>
          <w:szCs w:val="20"/>
        </w:rPr>
        <w:t xml:space="preserve"> ASU is effective for fiscal years beginning after December 15, 2018, and interim periods within those fiscal years. We have adopted this standard on January 1, 2019. The adoption of this standard did not have a significant impact on our consolidated finan</w:t>
      </w:r>
      <w:r>
        <w:rPr>
          <w:rFonts w:eastAsia="Times New Roman"/>
          <w:color w:val="000000"/>
          <w:sz w:val="20"/>
          <w:szCs w:val="20"/>
        </w:rPr>
        <w:t>cial statements.</w:t>
      </w:r>
      <w:r>
        <w:rPr>
          <w:rFonts w:eastAsia="Times New Roman"/>
          <w:color w:val="000000"/>
          <w:sz w:val="20"/>
          <w:szCs w:val="20"/>
        </w:rPr>
        <w:t xml:space="preserve"> </w:t>
      </w:r>
    </w:p>
    <w:p w14:paraId="75A8CD2F" w14:textId="77777777" w:rsidR="00000000" w:rsidRDefault="00195E73">
      <w:pPr>
        <w:ind w:firstLine="450"/>
        <w:divId w:val="1379745976"/>
        <w:rPr>
          <w:rFonts w:eastAsia="Times New Roman"/>
        </w:rPr>
      </w:pPr>
      <w:r>
        <w:rPr>
          <w:rFonts w:eastAsia="Times New Roman"/>
          <w:color w:val="000000"/>
          <w:sz w:val="20"/>
          <w:szCs w:val="20"/>
        </w:rPr>
        <w:t>In February 2018, the FASB issued ASU 2018-02,</w:t>
      </w:r>
      <w:r>
        <w:rPr>
          <w:rFonts w:eastAsia="Times New Roman"/>
          <w:color w:val="000000"/>
          <w:sz w:val="20"/>
          <w:szCs w:val="20"/>
        </w:rPr>
        <w:t xml:space="preserve"> </w:t>
      </w:r>
      <w:r>
        <w:rPr>
          <w:rFonts w:eastAsia="Times New Roman"/>
          <w:i/>
          <w:iCs/>
          <w:color w:val="000000"/>
          <w:sz w:val="20"/>
          <w:szCs w:val="20"/>
        </w:rPr>
        <w:t>Reclassification of Certain Tax Effects from Accumulated Other Comprehensive Incom</w:t>
      </w:r>
      <w:r>
        <w:rPr>
          <w:rFonts w:eastAsia="Times New Roman"/>
          <w:i/>
          <w:iCs/>
          <w:color w:val="000000"/>
          <w:sz w:val="20"/>
          <w:szCs w:val="20"/>
        </w:rPr>
        <w:t>e</w:t>
      </w:r>
      <w:r>
        <w:rPr>
          <w:rFonts w:eastAsia="Times New Roman"/>
          <w:color w:val="000000"/>
          <w:sz w:val="20"/>
          <w:szCs w:val="20"/>
        </w:rPr>
        <w:t>, which amends FASB ASC Topic 220,</w:t>
      </w:r>
      <w:r>
        <w:rPr>
          <w:rFonts w:eastAsia="Times New Roman"/>
          <w:color w:val="000000"/>
          <w:sz w:val="20"/>
          <w:szCs w:val="20"/>
        </w:rPr>
        <w:t xml:space="preserve"> </w:t>
      </w:r>
      <w:r>
        <w:rPr>
          <w:rFonts w:eastAsia="Times New Roman"/>
          <w:i/>
          <w:iCs/>
          <w:color w:val="000000"/>
          <w:sz w:val="20"/>
          <w:szCs w:val="20"/>
        </w:rPr>
        <w:t>Income Statement - Reporting Comprehensive Incom</w:t>
      </w:r>
      <w:r>
        <w:rPr>
          <w:rFonts w:eastAsia="Times New Roman"/>
          <w:i/>
          <w:iCs/>
          <w:color w:val="000000"/>
          <w:sz w:val="20"/>
          <w:szCs w:val="20"/>
        </w:rPr>
        <w:t>e</w:t>
      </w:r>
      <w:r>
        <w:rPr>
          <w:rFonts w:eastAsia="Times New Roman"/>
          <w:color w:val="000000"/>
          <w:sz w:val="20"/>
          <w:szCs w:val="20"/>
        </w:rPr>
        <w:t>. This ASU allows a recl</w:t>
      </w:r>
      <w:r>
        <w:rPr>
          <w:rFonts w:eastAsia="Times New Roman"/>
          <w:color w:val="000000"/>
          <w:sz w:val="20"/>
          <w:szCs w:val="20"/>
        </w:rPr>
        <w:t>assification out of accumulated other comprehensive loss within equity for standard tax effects resulting from the Tax Cuts and Jobs Act and consequently, eliminates the stranded tax effects resulting from the Tax Cuts and Jobs Act. This ASU is effective f</w:t>
      </w:r>
      <w:r>
        <w:rPr>
          <w:rFonts w:eastAsia="Times New Roman"/>
          <w:color w:val="000000"/>
          <w:sz w:val="20"/>
          <w:szCs w:val="20"/>
        </w:rPr>
        <w:t xml:space="preserve">or fiscal years beginning after December 15, 2018, and interim periods within those fiscal years. We have adopted this standard effective on January 1, 2019. See Note 16, “Changes in Accumulated Other Comprehensive Loss,” for the impact on our accumulated </w:t>
      </w:r>
      <w:r>
        <w:rPr>
          <w:rFonts w:eastAsia="Times New Roman"/>
          <w:color w:val="000000"/>
          <w:sz w:val="20"/>
          <w:szCs w:val="20"/>
        </w:rPr>
        <w:t>other comprehensive loss, which is attributable to our Food Packaging segment.</w:t>
      </w:r>
      <w:r>
        <w:rPr>
          <w:rFonts w:eastAsia="Times New Roman"/>
          <w:color w:val="000000"/>
          <w:sz w:val="20"/>
          <w:szCs w:val="20"/>
        </w:rPr>
        <w:t xml:space="preserve"> </w:t>
      </w:r>
    </w:p>
    <w:p w14:paraId="67D48300" w14:textId="77777777" w:rsidR="00000000" w:rsidRDefault="00195E73">
      <w:pPr>
        <w:divId w:val="1790279542"/>
        <w:rPr>
          <w:rFonts w:eastAsia="Times New Roman"/>
        </w:rPr>
      </w:pPr>
      <w:r>
        <w:rPr>
          <w:rFonts w:eastAsia="Times New Roman"/>
          <w:b/>
          <w:bCs/>
          <w:i/>
          <w:iCs/>
          <w:color w:val="000000"/>
          <w:sz w:val="20"/>
          <w:szCs w:val="20"/>
        </w:rPr>
        <w:t>Recently Issued Accounting Standard</w:t>
      </w:r>
      <w:r>
        <w:rPr>
          <w:rFonts w:eastAsia="Times New Roman"/>
          <w:b/>
          <w:bCs/>
          <w:i/>
          <w:iCs/>
          <w:color w:val="000000"/>
          <w:sz w:val="20"/>
          <w:szCs w:val="20"/>
        </w:rPr>
        <w:t>s</w:t>
      </w:r>
    </w:p>
    <w:p w14:paraId="5EB28BD0" w14:textId="77777777" w:rsidR="00000000" w:rsidRDefault="00195E73">
      <w:pPr>
        <w:ind w:firstLine="450"/>
        <w:divId w:val="18434109"/>
        <w:rPr>
          <w:rFonts w:eastAsia="Times New Roman"/>
        </w:rPr>
      </w:pPr>
      <w:r>
        <w:rPr>
          <w:rFonts w:eastAsia="Times New Roman"/>
          <w:color w:val="000000"/>
          <w:sz w:val="20"/>
          <w:szCs w:val="20"/>
        </w:rPr>
        <w:t>In June 2016, the FASB issued ASU 2016-13,</w:t>
      </w:r>
      <w:r>
        <w:rPr>
          <w:rFonts w:eastAsia="Times New Roman"/>
          <w:color w:val="000000"/>
          <w:sz w:val="20"/>
          <w:szCs w:val="20"/>
        </w:rPr>
        <w:t xml:space="preserve"> </w:t>
      </w:r>
      <w:r>
        <w:rPr>
          <w:rFonts w:eastAsia="Times New Roman"/>
          <w:i/>
          <w:iCs/>
          <w:color w:val="000000"/>
          <w:sz w:val="20"/>
          <w:szCs w:val="20"/>
        </w:rPr>
        <w:t>Measurement of Credit Losses on Financial Instrument</w:t>
      </w:r>
      <w:r>
        <w:rPr>
          <w:rFonts w:eastAsia="Times New Roman"/>
          <w:i/>
          <w:iCs/>
          <w:color w:val="000000"/>
          <w:sz w:val="20"/>
          <w:szCs w:val="20"/>
        </w:rPr>
        <w:t>s</w:t>
      </w:r>
      <w:r>
        <w:rPr>
          <w:rFonts w:eastAsia="Times New Roman"/>
          <w:color w:val="000000"/>
          <w:sz w:val="20"/>
          <w:szCs w:val="20"/>
        </w:rPr>
        <w:t>, which amends FASB ASC Topic 326,</w:t>
      </w:r>
      <w:r>
        <w:rPr>
          <w:rFonts w:eastAsia="Times New Roman"/>
          <w:color w:val="000000"/>
          <w:sz w:val="20"/>
          <w:szCs w:val="20"/>
        </w:rPr>
        <w:t xml:space="preserve"> </w:t>
      </w:r>
      <w:r>
        <w:rPr>
          <w:rFonts w:eastAsia="Times New Roman"/>
          <w:i/>
          <w:iCs/>
          <w:color w:val="000000"/>
          <w:sz w:val="20"/>
          <w:szCs w:val="20"/>
        </w:rPr>
        <w:t>Financia</w:t>
      </w:r>
      <w:r>
        <w:rPr>
          <w:rFonts w:eastAsia="Times New Roman"/>
          <w:i/>
          <w:iCs/>
          <w:color w:val="000000"/>
          <w:sz w:val="20"/>
          <w:szCs w:val="20"/>
        </w:rPr>
        <w:t>l Instruments - Credit Losses.</w:t>
      </w:r>
      <w:r>
        <w:rPr>
          <w:rFonts w:eastAsia="Times New Roman"/>
          <w:i/>
          <w:iCs/>
          <w:color w:val="000000"/>
          <w:sz w:val="20"/>
          <w:szCs w:val="20"/>
        </w:rPr>
        <w:t xml:space="preserve"> </w:t>
      </w:r>
      <w:r>
        <w:rPr>
          <w:rFonts w:eastAsia="Times New Roman"/>
          <w:color w:val="000000"/>
          <w:sz w:val="20"/>
          <w:szCs w:val="20"/>
        </w:rPr>
        <w:t>In addition, in May 2019, the FASB issued ASU 2019-05,</w:t>
      </w:r>
      <w:r>
        <w:rPr>
          <w:rFonts w:eastAsia="Times New Roman"/>
          <w:color w:val="000000"/>
          <w:sz w:val="20"/>
          <w:szCs w:val="20"/>
        </w:rPr>
        <w:t xml:space="preserve"> </w:t>
      </w:r>
      <w:r>
        <w:rPr>
          <w:rFonts w:eastAsia="Times New Roman"/>
          <w:i/>
          <w:iCs/>
          <w:color w:val="000000"/>
          <w:sz w:val="20"/>
          <w:szCs w:val="20"/>
        </w:rPr>
        <w:t>Targeted Transition Relie</w:t>
      </w:r>
      <w:r>
        <w:rPr>
          <w:rFonts w:eastAsia="Times New Roman"/>
          <w:i/>
          <w:iCs/>
          <w:color w:val="000000"/>
          <w:sz w:val="20"/>
          <w:szCs w:val="20"/>
        </w:rPr>
        <w:t>f</w:t>
      </w:r>
      <w:r>
        <w:rPr>
          <w:rFonts w:eastAsia="Times New Roman"/>
          <w:color w:val="000000"/>
          <w:sz w:val="20"/>
          <w:szCs w:val="20"/>
        </w:rPr>
        <w:t>, which updates FASB ASU 2016-13. These ASU’s require financial assets measured at amortized cost to be presented at the net amount to be collec</w:t>
      </w:r>
      <w:r>
        <w:rPr>
          <w:rFonts w:eastAsia="Times New Roman"/>
          <w:color w:val="000000"/>
          <w:sz w:val="20"/>
          <w:szCs w:val="20"/>
        </w:rPr>
        <w:t>ted and broadens the information, including forecasted information incorporating more timely information, that an entity must consider in developing its expected credit loss estimate for assets measured. These ASU’s are effective for fiscal years beginning</w:t>
      </w:r>
      <w:r>
        <w:rPr>
          <w:rFonts w:eastAsia="Times New Roman"/>
          <w:color w:val="000000"/>
          <w:sz w:val="20"/>
          <w:szCs w:val="20"/>
        </w:rPr>
        <w:t xml:space="preserve"> after December 15, 2019, including interim periods within those fiscal years. Early application is permitted for fiscal years beginning after December 15, 2018. Most of our financial assets are excluded from the requirements of this standard as they are m</w:t>
      </w:r>
      <w:r>
        <w:rPr>
          <w:rFonts w:eastAsia="Times New Roman"/>
          <w:color w:val="000000"/>
          <w:sz w:val="20"/>
          <w:szCs w:val="20"/>
        </w:rPr>
        <w:t>easured at fair value or are subject to other accounting standards. In addition, certain of our other financial assets are short-term in nature and therefore are not likely to be subject to significant credit losses beyond what is already recorded under cu</w:t>
      </w:r>
      <w:r>
        <w:rPr>
          <w:rFonts w:eastAsia="Times New Roman"/>
          <w:color w:val="000000"/>
          <w:sz w:val="20"/>
          <w:szCs w:val="20"/>
        </w:rPr>
        <w:t>rrent accounting standards. As a result, we currently do not anticipate this standard to have a significant impact on our consolidated financial statements.</w:t>
      </w:r>
      <w:r>
        <w:rPr>
          <w:rFonts w:eastAsia="Times New Roman"/>
          <w:color w:val="000000"/>
          <w:sz w:val="20"/>
          <w:szCs w:val="20"/>
        </w:rPr>
        <w:t xml:space="preserve"> </w:t>
      </w:r>
    </w:p>
    <w:p w14:paraId="02AA8B39" w14:textId="77777777" w:rsidR="00000000" w:rsidRDefault="00195E73">
      <w:pPr>
        <w:ind w:firstLine="450"/>
        <w:divId w:val="1475291658"/>
        <w:rPr>
          <w:rFonts w:eastAsia="Times New Roman"/>
        </w:rPr>
      </w:pPr>
      <w:r>
        <w:rPr>
          <w:rFonts w:eastAsia="Times New Roman"/>
          <w:color w:val="000000"/>
          <w:sz w:val="20"/>
          <w:szCs w:val="20"/>
        </w:rPr>
        <w:t>In August 2018, the FASB issued ASU 2018-13,</w:t>
      </w:r>
      <w:r>
        <w:rPr>
          <w:rFonts w:eastAsia="Times New Roman"/>
          <w:color w:val="000000"/>
          <w:sz w:val="20"/>
          <w:szCs w:val="20"/>
        </w:rPr>
        <w:t xml:space="preserve"> </w:t>
      </w:r>
      <w:r>
        <w:rPr>
          <w:rFonts w:eastAsia="Times New Roman"/>
          <w:i/>
          <w:iCs/>
          <w:color w:val="000000"/>
          <w:sz w:val="20"/>
          <w:szCs w:val="20"/>
        </w:rPr>
        <w:t>Disclosure Framework-Changes to the Disclosure Requir</w:t>
      </w:r>
      <w:r>
        <w:rPr>
          <w:rFonts w:eastAsia="Times New Roman"/>
          <w:i/>
          <w:iCs/>
          <w:color w:val="000000"/>
          <w:sz w:val="20"/>
          <w:szCs w:val="20"/>
        </w:rPr>
        <w:t>ements for Fair Value Measurement</w:t>
      </w:r>
      <w:r>
        <w:rPr>
          <w:rFonts w:eastAsia="Times New Roman"/>
          <w:i/>
          <w:iCs/>
          <w:color w:val="000000"/>
          <w:sz w:val="20"/>
          <w:szCs w:val="20"/>
        </w:rPr>
        <w:t>s</w:t>
      </w:r>
      <w:r>
        <w:rPr>
          <w:rFonts w:eastAsia="Times New Roman"/>
          <w:color w:val="000000"/>
          <w:sz w:val="20"/>
          <w:szCs w:val="20"/>
        </w:rPr>
        <w:t>, which amends FASB ASC Topic 820,</w:t>
      </w:r>
      <w:r>
        <w:rPr>
          <w:rFonts w:eastAsia="Times New Roman"/>
          <w:color w:val="000000"/>
          <w:sz w:val="20"/>
          <w:szCs w:val="20"/>
        </w:rPr>
        <w:t xml:space="preserve"> </w:t>
      </w:r>
      <w:r>
        <w:rPr>
          <w:rFonts w:eastAsia="Times New Roman"/>
          <w:i/>
          <w:iCs/>
          <w:color w:val="000000"/>
          <w:sz w:val="20"/>
          <w:szCs w:val="20"/>
        </w:rPr>
        <w:t>Fair Value Measurement</w:t>
      </w:r>
      <w:r>
        <w:rPr>
          <w:rFonts w:eastAsia="Times New Roman"/>
          <w:i/>
          <w:iCs/>
          <w:color w:val="000000"/>
          <w:sz w:val="20"/>
          <w:szCs w:val="20"/>
        </w:rPr>
        <w:t>s</w:t>
      </w:r>
      <w:r>
        <w:rPr>
          <w:rFonts w:eastAsia="Times New Roman"/>
          <w:color w:val="000000"/>
          <w:sz w:val="20"/>
          <w:szCs w:val="20"/>
        </w:rPr>
        <w:t>. This ASU eliminates, modifies and adds various disclosure requirements for fair value measurements. This ASU is effective for fiscal years beginning after Decembe</w:t>
      </w:r>
      <w:r>
        <w:rPr>
          <w:rFonts w:eastAsia="Times New Roman"/>
          <w:color w:val="000000"/>
          <w:sz w:val="20"/>
          <w:szCs w:val="20"/>
        </w:rPr>
        <w:t>r 15, 2019, and interim periods within those fiscal years. Certain disclosures are required to be applied using a retrospective approach and others using a prospective approach. Early adoption is permitted. The various disclosure requirements being elimina</w:t>
      </w:r>
      <w:r>
        <w:rPr>
          <w:rFonts w:eastAsia="Times New Roman"/>
          <w:color w:val="000000"/>
          <w:sz w:val="20"/>
          <w:szCs w:val="20"/>
        </w:rPr>
        <w:t>ted, modified or added are not significant to us. As a result, we currently do not anticipate this standard to have a significant impact on our consolidated financial statements</w:t>
      </w:r>
      <w:r>
        <w:rPr>
          <w:rFonts w:eastAsia="Times New Roman"/>
          <w:color w:val="000000"/>
          <w:sz w:val="20"/>
          <w:szCs w:val="20"/>
        </w:rPr>
        <w:t>.</w:t>
      </w:r>
    </w:p>
    <w:p w14:paraId="63ABC952" w14:textId="77777777" w:rsidR="00000000" w:rsidRDefault="00195E73">
      <w:pPr>
        <w:ind w:firstLine="450"/>
        <w:divId w:val="1438016607"/>
        <w:rPr>
          <w:rFonts w:eastAsia="Times New Roman"/>
        </w:rPr>
      </w:pPr>
      <w:r>
        <w:rPr>
          <w:rFonts w:eastAsia="Times New Roman"/>
          <w:color w:val="000000"/>
          <w:sz w:val="20"/>
          <w:szCs w:val="20"/>
        </w:rPr>
        <w:t>In August 2018, the FASB issued ASU 2018-15,</w:t>
      </w:r>
      <w:r>
        <w:rPr>
          <w:rFonts w:eastAsia="Times New Roman"/>
          <w:color w:val="000000"/>
          <w:sz w:val="20"/>
          <w:szCs w:val="20"/>
        </w:rPr>
        <w:t xml:space="preserve"> </w:t>
      </w:r>
      <w:r>
        <w:rPr>
          <w:rFonts w:eastAsia="Times New Roman"/>
          <w:i/>
          <w:iCs/>
          <w:color w:val="000000"/>
          <w:sz w:val="20"/>
          <w:szCs w:val="20"/>
        </w:rPr>
        <w:t>Customer’s Accounting for Implem</w:t>
      </w:r>
      <w:r>
        <w:rPr>
          <w:rFonts w:eastAsia="Times New Roman"/>
          <w:i/>
          <w:iCs/>
          <w:color w:val="000000"/>
          <w:sz w:val="20"/>
          <w:szCs w:val="20"/>
        </w:rPr>
        <w:t>entation Costs Incurred in a Cloud Computing Arrangement That is a Service Contrac</w:t>
      </w:r>
      <w:r>
        <w:rPr>
          <w:rFonts w:eastAsia="Times New Roman"/>
          <w:i/>
          <w:iCs/>
          <w:color w:val="000000"/>
          <w:sz w:val="20"/>
          <w:szCs w:val="20"/>
        </w:rPr>
        <w:t>t</w:t>
      </w:r>
      <w:r>
        <w:rPr>
          <w:rFonts w:eastAsia="Times New Roman"/>
          <w:color w:val="000000"/>
          <w:sz w:val="20"/>
          <w:szCs w:val="20"/>
        </w:rPr>
        <w:t>, which amends FASB ASC Subtopic 350-40,</w:t>
      </w:r>
      <w:r>
        <w:rPr>
          <w:rFonts w:eastAsia="Times New Roman"/>
          <w:color w:val="000000"/>
          <w:sz w:val="20"/>
          <w:szCs w:val="20"/>
        </w:rPr>
        <w:t xml:space="preserve"> </w:t>
      </w:r>
      <w:r>
        <w:rPr>
          <w:rFonts w:eastAsia="Times New Roman"/>
          <w:i/>
          <w:iCs/>
          <w:color w:val="000000"/>
          <w:sz w:val="20"/>
          <w:szCs w:val="20"/>
        </w:rPr>
        <w:t>Intangibles-Goodwill and Other-Internal-Use Softwar</w:t>
      </w:r>
      <w:r>
        <w:rPr>
          <w:rFonts w:eastAsia="Times New Roman"/>
          <w:i/>
          <w:iCs/>
          <w:color w:val="000000"/>
          <w:sz w:val="20"/>
          <w:szCs w:val="20"/>
        </w:rPr>
        <w:t>e</w:t>
      </w:r>
      <w:r>
        <w:rPr>
          <w:rFonts w:eastAsia="Times New Roman"/>
          <w:color w:val="000000"/>
          <w:sz w:val="20"/>
          <w:szCs w:val="20"/>
        </w:rPr>
        <w:t xml:space="preserve">. This ASU adds certain disclosure requirements related to implementation costs </w:t>
      </w:r>
      <w:r>
        <w:rPr>
          <w:rFonts w:eastAsia="Times New Roman"/>
          <w:color w:val="000000"/>
          <w:sz w:val="20"/>
          <w:szCs w:val="20"/>
        </w:rPr>
        <w:t>incurred for internal-use software and cloud computing arrangements. The amendment aligns the requirements for capitalizing implementation costs incurred in a hosting arrangement that is a service contract with the requirements for capitalizing implementat</w:t>
      </w:r>
      <w:r>
        <w:rPr>
          <w:rFonts w:eastAsia="Times New Roman"/>
          <w:color w:val="000000"/>
          <w:sz w:val="20"/>
          <w:szCs w:val="20"/>
        </w:rPr>
        <w:t>ion costs incurred to develop or obtain internal-use software (and hosting arrangements that include an internal-use software license). This ASU is effective for fiscal years beginning after December 15, 2019, and interim periods within those fiscal years.</w:t>
      </w:r>
      <w:r>
        <w:rPr>
          <w:rFonts w:eastAsia="Times New Roman"/>
          <w:color w:val="000000"/>
          <w:sz w:val="20"/>
          <w:szCs w:val="20"/>
        </w:rPr>
        <w:t xml:space="preserve"> The amendments in this ASU should be applied either using a retrospective or prospective approach. Early adoption is permitted. We currently do not anticipate this standard to have a significant impact on our consolidated financial statements</w:t>
      </w:r>
      <w:r>
        <w:rPr>
          <w:rFonts w:eastAsia="Times New Roman"/>
          <w:color w:val="000000"/>
          <w:sz w:val="20"/>
          <w:szCs w:val="20"/>
        </w:rPr>
        <w:t>.</w:t>
      </w:r>
    </w:p>
    <w:p w14:paraId="505730CC" w14:textId="77777777" w:rsidR="00000000" w:rsidRDefault="00195E73">
      <w:pPr>
        <w:divId w:val="1036930345"/>
        <w:rPr>
          <w:rFonts w:eastAsia="Times New Roman"/>
        </w:rPr>
      </w:pPr>
    </w:p>
    <w:p w14:paraId="3BF7E311" w14:textId="77777777" w:rsidR="00000000" w:rsidRDefault="00195E73">
      <w:pPr>
        <w:divId w:val="1317564663"/>
        <w:rPr>
          <w:rFonts w:eastAsia="Times New Roman"/>
        </w:rPr>
      </w:pPr>
    </w:p>
    <w:p w14:paraId="2FCEDEAA" w14:textId="77777777" w:rsidR="00000000" w:rsidRDefault="00195E73">
      <w:pPr>
        <w:ind w:hanging="360"/>
        <w:divId w:val="1572739122"/>
        <w:rPr>
          <w:rFonts w:eastAsia="Times New Roman"/>
        </w:rPr>
      </w:pPr>
      <w:r>
        <w:rPr>
          <w:rFonts w:eastAsia="Times New Roman"/>
          <w:b/>
          <w:bCs/>
          <w:color w:val="000000"/>
          <w:sz w:val="20"/>
          <w:szCs w:val="20"/>
        </w:rPr>
        <w:t>3. Rela</w:t>
      </w:r>
      <w:r>
        <w:rPr>
          <w:rFonts w:eastAsia="Times New Roman"/>
          <w:b/>
          <w:bCs/>
          <w:color w:val="000000"/>
          <w:sz w:val="20"/>
          <w:szCs w:val="20"/>
        </w:rPr>
        <w:t>ted Party Transactions</w:t>
      </w:r>
      <w:r>
        <w:rPr>
          <w:rFonts w:eastAsia="Times New Roman"/>
          <w:b/>
          <w:bCs/>
          <w:color w:val="000000"/>
          <w:sz w:val="20"/>
          <w:szCs w:val="20"/>
        </w:rPr>
        <w:t>.</w:t>
      </w:r>
    </w:p>
    <w:p w14:paraId="2E40F148" w14:textId="77777777" w:rsidR="00000000" w:rsidRDefault="00195E73">
      <w:pPr>
        <w:ind w:firstLine="450"/>
        <w:divId w:val="1453396897"/>
        <w:rPr>
          <w:rFonts w:eastAsia="Times New Roman"/>
        </w:rPr>
      </w:pPr>
      <w:r>
        <w:rPr>
          <w:rFonts w:eastAsia="Times New Roman"/>
          <w:color w:val="000000"/>
          <w:sz w:val="20"/>
          <w:szCs w:val="20"/>
        </w:rPr>
        <w:t xml:space="preserve">Our second amended and restated agreement of limited partnership expressly permits us to enter into transactions with our general partner or any of its affiliates, including, without limitation, buying or selling properties from or </w:t>
      </w:r>
      <w:r>
        <w:rPr>
          <w:rFonts w:eastAsia="Times New Roman"/>
          <w:color w:val="000000"/>
          <w:sz w:val="20"/>
          <w:szCs w:val="20"/>
        </w:rPr>
        <w:t>to our general partner and any of its affiliates and borrowing and lending money from or to our general partner and any of its affiliates, subject to limitations contained in our partnership agreement and the Delaware Revised Uniform Limited Partnership Ac</w:t>
      </w:r>
      <w:r>
        <w:rPr>
          <w:rFonts w:eastAsia="Times New Roman"/>
          <w:color w:val="000000"/>
          <w:sz w:val="20"/>
          <w:szCs w:val="20"/>
        </w:rPr>
        <w:t>t. The indentures governing our indebtedness contain certain covenants applicable to transactions with affiliates.</w:t>
      </w:r>
      <w:r>
        <w:rPr>
          <w:rFonts w:eastAsia="Times New Roman"/>
          <w:color w:val="000000"/>
          <w:sz w:val="20"/>
          <w:szCs w:val="20"/>
        </w:rPr>
        <w:t xml:space="preserve"> </w:t>
      </w:r>
    </w:p>
    <w:p w14:paraId="0C75229D" w14:textId="77777777" w:rsidR="00000000" w:rsidRDefault="00195E73">
      <w:pPr>
        <w:divId w:val="633870742"/>
        <w:rPr>
          <w:rFonts w:eastAsia="Times New Roman"/>
        </w:rPr>
      </w:pPr>
      <w:r>
        <w:rPr>
          <w:rFonts w:eastAsia="Times New Roman"/>
          <w:b/>
          <w:bCs/>
          <w:i/>
          <w:iCs/>
          <w:color w:val="000000"/>
          <w:sz w:val="20"/>
          <w:szCs w:val="20"/>
        </w:rPr>
        <w:t>Investment Fund</w:t>
      </w:r>
      <w:r>
        <w:rPr>
          <w:rFonts w:eastAsia="Times New Roman"/>
          <w:b/>
          <w:bCs/>
          <w:i/>
          <w:iCs/>
          <w:color w:val="000000"/>
          <w:sz w:val="20"/>
          <w:szCs w:val="20"/>
        </w:rPr>
        <w:t>s</w:t>
      </w:r>
    </w:p>
    <w:p w14:paraId="04BD9125" w14:textId="77777777" w:rsidR="00000000" w:rsidRDefault="00195E73">
      <w:pPr>
        <w:ind w:firstLine="450"/>
        <w:divId w:val="535117432"/>
        <w:rPr>
          <w:rFonts w:eastAsia="Times New Roman"/>
        </w:rPr>
      </w:pPr>
      <w:r>
        <w:rPr>
          <w:rFonts w:eastAsia="Times New Roman"/>
          <w:color w:val="000000"/>
          <w:sz w:val="20"/>
          <w:szCs w:val="20"/>
        </w:rPr>
        <w:t>During the years ended December </w:t>
      </w:r>
      <w:r>
        <w:rPr>
          <w:rFonts w:eastAsia="Times New Roman"/>
          <w:color w:val="000000"/>
          <w:sz w:val="20"/>
          <w:szCs w:val="20"/>
        </w:rPr>
        <w:t>31, 2019, 2018 and 2017, Mr. Icahn and his affiliates (excluding us) invested $220 million, $310 million and $600 million, respectively, in the Investment Funds, net of redemptions. As of December 31, 2019</w:t>
      </w:r>
      <w:r>
        <w:rPr>
          <w:rFonts w:eastAsia="Times New Roman"/>
          <w:color w:val="000000"/>
          <w:sz w:val="20"/>
          <w:szCs w:val="20"/>
        </w:rPr>
        <w:t xml:space="preserve"> </w:t>
      </w:r>
    </w:p>
    <w:p w14:paraId="7775DD14" w14:textId="77777777" w:rsidR="00000000" w:rsidRDefault="00195E73">
      <w:pPr>
        <w:jc w:val="center"/>
        <w:divId w:val="716123080"/>
        <w:rPr>
          <w:rFonts w:eastAsia="Times New Roman"/>
        </w:rPr>
      </w:pPr>
      <w:r>
        <w:rPr>
          <w:rFonts w:eastAsia="Times New Roman"/>
          <w:color w:val="000000"/>
          <w:sz w:val="20"/>
          <w:szCs w:val="20"/>
        </w:rPr>
        <w:t>8</w:t>
      </w:r>
      <w:r>
        <w:rPr>
          <w:rFonts w:eastAsia="Times New Roman"/>
          <w:color w:val="000000"/>
          <w:sz w:val="20"/>
          <w:szCs w:val="20"/>
        </w:rPr>
        <w:t>0</w:t>
      </w:r>
    </w:p>
    <w:p w14:paraId="7FAF41A5" w14:textId="77777777" w:rsidR="00000000" w:rsidRDefault="00195E73">
      <w:pPr>
        <w:rPr>
          <w:rFonts w:eastAsia="Times New Roman"/>
        </w:rPr>
      </w:pPr>
      <w:r>
        <w:rPr>
          <w:rFonts w:eastAsia="Times New Roman"/>
        </w:rPr>
        <w:pict w14:anchorId="28831774">
          <v:rect id="_x0000_i1106" style="width:0;height:1.5pt" o:hralign="center" o:hrstd="t" o:hr="t" fillcolor="#a0a0a0" stroked="f"/>
        </w:pict>
      </w:r>
    </w:p>
    <w:p w14:paraId="0176610A" w14:textId="77777777" w:rsidR="00000000" w:rsidRDefault="00195E73">
      <w:pPr>
        <w:jc w:val="center"/>
        <w:divId w:val="438643579"/>
        <w:rPr>
          <w:rFonts w:eastAsia="Times New Roman"/>
        </w:rPr>
      </w:pPr>
    </w:p>
    <w:p w14:paraId="3575671E" w14:textId="77777777" w:rsidR="00000000" w:rsidRDefault="00195E73">
      <w:pPr>
        <w:jc w:val="center"/>
        <w:divId w:val="438643579"/>
        <w:rPr>
          <w:rFonts w:eastAsia="Times New Roman"/>
        </w:rPr>
      </w:pPr>
      <w:r>
        <w:rPr>
          <w:rFonts w:eastAsia="Times New Roman"/>
          <w:b/>
          <w:bCs/>
          <w:color w:val="000000"/>
          <w:sz w:val="20"/>
          <w:szCs w:val="20"/>
        </w:rPr>
        <w:t>ICAHN EN</w:t>
      </w:r>
      <w:r>
        <w:rPr>
          <w:rFonts w:eastAsia="Times New Roman"/>
          <w:b/>
          <w:bCs/>
          <w:color w:val="000000"/>
          <w:sz w:val="20"/>
          <w:szCs w:val="20"/>
        </w:rPr>
        <w:t>TERPRISES L.P. AND SUBSIDIARIE</w:t>
      </w:r>
      <w:r>
        <w:rPr>
          <w:rFonts w:eastAsia="Times New Roman"/>
          <w:b/>
          <w:bCs/>
          <w:color w:val="000000"/>
          <w:sz w:val="20"/>
          <w:szCs w:val="20"/>
        </w:rPr>
        <w:t>S</w:t>
      </w:r>
    </w:p>
    <w:p w14:paraId="7401C35C" w14:textId="77777777" w:rsidR="00000000" w:rsidRDefault="00195E73">
      <w:pPr>
        <w:jc w:val="center"/>
        <w:divId w:val="438643579"/>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02B0A772" w14:textId="77777777" w:rsidR="00000000" w:rsidRDefault="00195E73">
      <w:pPr>
        <w:jc w:val="center"/>
        <w:divId w:val="438643579"/>
        <w:rPr>
          <w:rFonts w:eastAsia="Times New Roman"/>
        </w:rPr>
      </w:pPr>
    </w:p>
    <w:p w14:paraId="4E14802D" w14:textId="77777777" w:rsidR="00000000" w:rsidRDefault="00195E73">
      <w:pPr>
        <w:jc w:val="center"/>
        <w:divId w:val="438643579"/>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03862E4C" w14:textId="77777777" w:rsidR="00000000" w:rsidRDefault="00195E73">
      <w:pPr>
        <w:divId w:val="289746112"/>
        <w:rPr>
          <w:rFonts w:eastAsia="Times New Roman"/>
        </w:rPr>
      </w:pPr>
      <w:r>
        <w:rPr>
          <w:rFonts w:eastAsia="Times New Roman"/>
          <w:color w:val="000000"/>
          <w:sz w:val="20"/>
          <w:szCs w:val="20"/>
        </w:rPr>
        <w:t xml:space="preserve">and 2018, the total fair market value of investments in the Investment Funds made by Mr. Icahn and his affiliates (excluding us) was approximately $4.5 billion and $5.0 billion, respectively, representing approximately 51% and 50% of the Investment Funds’ </w:t>
      </w:r>
      <w:r>
        <w:rPr>
          <w:rFonts w:eastAsia="Times New Roman"/>
          <w:color w:val="000000"/>
          <w:sz w:val="20"/>
          <w:szCs w:val="20"/>
        </w:rPr>
        <w:t>assets under management as of each respective date.</w:t>
      </w:r>
      <w:r>
        <w:rPr>
          <w:rFonts w:eastAsia="Times New Roman"/>
          <w:color w:val="000000"/>
          <w:sz w:val="20"/>
          <w:szCs w:val="20"/>
        </w:rPr>
        <w:t xml:space="preserve"> </w:t>
      </w:r>
    </w:p>
    <w:p w14:paraId="4DAACBF6" w14:textId="77777777" w:rsidR="00000000" w:rsidRDefault="00195E73">
      <w:pPr>
        <w:ind w:firstLine="450"/>
        <w:divId w:val="1189030102"/>
        <w:rPr>
          <w:rFonts w:eastAsia="Times New Roman"/>
        </w:rPr>
      </w:pPr>
      <w:r>
        <w:rPr>
          <w:rFonts w:eastAsia="Times New Roman"/>
          <w:color w:val="000000"/>
          <w:sz w:val="20"/>
          <w:szCs w:val="20"/>
        </w:rPr>
        <w:t>We pay for expenses pertaining to the operation, administration and investment activities of our Investment segment for the benefit of the Investment Funds (including salaries, benefits and rent). Effect</w:t>
      </w:r>
      <w:r>
        <w:rPr>
          <w:rFonts w:eastAsia="Times New Roman"/>
          <w:color w:val="000000"/>
          <w:sz w:val="20"/>
          <w:szCs w:val="20"/>
        </w:rPr>
        <w:t xml:space="preserve">ive April 1, 2011, based on an expense-sharing arrangement, certain expenses borne by us are reimbursed by the Investment Funds. For the years ended December 31, 2019, 2018 and 2017, $23 million, $12 million and $13 million, respectively, was allocated to </w:t>
      </w:r>
      <w:r>
        <w:rPr>
          <w:rFonts w:eastAsia="Times New Roman"/>
          <w:color w:val="000000"/>
          <w:sz w:val="20"/>
          <w:szCs w:val="20"/>
        </w:rPr>
        <w:t>the Investment Funds based on this expense-sharing arrangement.</w:t>
      </w:r>
      <w:r>
        <w:rPr>
          <w:rFonts w:eastAsia="Times New Roman"/>
          <w:color w:val="000000"/>
          <w:sz w:val="20"/>
          <w:szCs w:val="20"/>
        </w:rPr>
        <w:t xml:space="preserve"> </w:t>
      </w:r>
    </w:p>
    <w:p w14:paraId="2C5F789B" w14:textId="77777777" w:rsidR="00000000" w:rsidRDefault="00195E73">
      <w:pPr>
        <w:divId w:val="950891200"/>
        <w:rPr>
          <w:rFonts w:eastAsia="Times New Roman"/>
        </w:rPr>
      </w:pPr>
      <w:r>
        <w:rPr>
          <w:rFonts w:eastAsia="Times New Roman"/>
          <w:b/>
          <w:bCs/>
          <w:i/>
          <w:iCs/>
          <w:color w:val="000000"/>
          <w:sz w:val="20"/>
          <w:szCs w:val="20"/>
        </w:rPr>
        <w:t>Hertz Global Holdings, Inc.</w:t>
      </w:r>
      <w:r>
        <w:rPr>
          <w:rFonts w:eastAsia="Times New Roman"/>
          <w:b/>
          <w:bCs/>
          <w:i/>
          <w:iCs/>
          <w:color w:val="000000"/>
          <w:sz w:val="20"/>
          <w:szCs w:val="20"/>
        </w:rPr>
        <w:t xml:space="preserve"> </w:t>
      </w:r>
    </w:p>
    <w:p w14:paraId="65A29CC9" w14:textId="77777777" w:rsidR="00000000" w:rsidRDefault="00195E73">
      <w:pPr>
        <w:ind w:firstLine="450"/>
        <w:divId w:val="1255165285"/>
        <w:rPr>
          <w:rFonts w:eastAsia="Times New Roman"/>
        </w:rPr>
      </w:pPr>
      <w:r>
        <w:rPr>
          <w:rFonts w:eastAsia="Times New Roman"/>
          <w:color w:val="000000"/>
          <w:sz w:val="20"/>
          <w:szCs w:val="20"/>
        </w:rPr>
        <w:t>As discussed in Note 4, “Investments,” the Investment Funds have an investment in the common stock of Hertz Global Holdings, Inc. (“Hertz”) measured at fair value</w:t>
      </w:r>
      <w:r>
        <w:rPr>
          <w:rFonts w:eastAsia="Times New Roman"/>
          <w:color w:val="000000"/>
          <w:sz w:val="20"/>
          <w:szCs w:val="20"/>
        </w:rPr>
        <w:t xml:space="preserve"> that would have otherwise been subject to the equity method of accounting. Icahn Automotive provides services to Hertz in the ordinary course of business. For the years ended December 31, 2019, 2018 and 2017, revenue from Hertz was $54 million, $40 millio</w:t>
      </w:r>
      <w:r>
        <w:rPr>
          <w:rFonts w:eastAsia="Times New Roman"/>
          <w:color w:val="000000"/>
          <w:sz w:val="20"/>
          <w:szCs w:val="20"/>
        </w:rPr>
        <w:t>n and $17 million, respectively. Additionally, Federal-Mogul had payments to Hertz in the ordinary course of business of $1 million and $2 million for the years ended December 31, 2018 and 2017, respectively.</w:t>
      </w:r>
      <w:r>
        <w:rPr>
          <w:rFonts w:eastAsia="Times New Roman"/>
          <w:color w:val="000000"/>
          <w:sz w:val="20"/>
          <w:szCs w:val="20"/>
        </w:rPr>
        <w:t xml:space="preserve"> </w:t>
      </w:r>
    </w:p>
    <w:p w14:paraId="2A65B9FD" w14:textId="77777777" w:rsidR="00000000" w:rsidRDefault="00195E73">
      <w:pPr>
        <w:ind w:firstLine="405"/>
        <w:divId w:val="1179395057"/>
        <w:rPr>
          <w:rFonts w:eastAsia="Times New Roman"/>
        </w:rPr>
      </w:pPr>
      <w:r>
        <w:rPr>
          <w:rFonts w:eastAsia="Times New Roman"/>
          <w:color w:val="000000"/>
          <w:sz w:val="20"/>
          <w:szCs w:val="20"/>
        </w:rPr>
        <w:t>During the year ended December 31, 2018, the I</w:t>
      </w:r>
      <w:r>
        <w:rPr>
          <w:rFonts w:eastAsia="Times New Roman"/>
          <w:color w:val="000000"/>
          <w:sz w:val="20"/>
          <w:szCs w:val="20"/>
        </w:rPr>
        <w:t>nvestment Funds purchased shares of a certain investment from Hertz in the amount of $36 million.</w:t>
      </w:r>
      <w:r>
        <w:rPr>
          <w:rFonts w:eastAsia="Times New Roman"/>
          <w:color w:val="000000"/>
          <w:sz w:val="20"/>
          <w:szCs w:val="20"/>
        </w:rPr>
        <w:t xml:space="preserve"> </w:t>
      </w:r>
    </w:p>
    <w:p w14:paraId="1B9CF920" w14:textId="77777777" w:rsidR="00000000" w:rsidRDefault="00195E73">
      <w:pPr>
        <w:ind w:firstLine="450"/>
        <w:divId w:val="1445953477"/>
        <w:rPr>
          <w:rFonts w:eastAsia="Times New Roman"/>
        </w:rPr>
      </w:pPr>
      <w:r>
        <w:rPr>
          <w:rFonts w:eastAsia="Times New Roman"/>
          <w:color w:val="000000"/>
          <w:sz w:val="20"/>
          <w:szCs w:val="20"/>
        </w:rPr>
        <w:t>In addition to our transactions with Hertz disclosed above, in January 2018, we entered into a Master Motor Vehicle Lease and Management Agreement with Hertz</w:t>
      </w:r>
      <w:r>
        <w:rPr>
          <w:rFonts w:eastAsia="Times New Roman"/>
          <w:color w:val="000000"/>
          <w:sz w:val="20"/>
          <w:szCs w:val="20"/>
        </w:rPr>
        <w:t>, pursuant to which Hertz granted 767 Leasing the option to acquire certain vehicles from Hertz at rates aligned with the rates at which Hertz sells vehicles to third parties. Under this agreement, as amended, Hertz will lease the vehicles that 767 Leasing</w:t>
      </w:r>
      <w:r>
        <w:rPr>
          <w:rFonts w:eastAsia="Times New Roman"/>
          <w:color w:val="000000"/>
          <w:sz w:val="20"/>
          <w:szCs w:val="20"/>
        </w:rPr>
        <w:t xml:space="preserve"> purchases from Hertz, or from third parties, under a mutually developed fleet plan and Hertz will manage, service, repair, sell and maintain those leased vehicles on behalf of 767 Leasing. Additionally, Hertz will rent the leased vehicles to transportatio</w:t>
      </w:r>
      <w:r>
        <w:rPr>
          <w:rFonts w:eastAsia="Times New Roman"/>
          <w:color w:val="000000"/>
          <w:sz w:val="20"/>
          <w:szCs w:val="20"/>
        </w:rPr>
        <w:t>n network company drivers from rental counters within locations leased or owned by us. This agreement had an initial term of 18 months and is subject to automatic six-month renewals thereafter, unless terminated by either party (with or without cause) prio</w:t>
      </w:r>
      <w:r>
        <w:rPr>
          <w:rFonts w:eastAsia="Times New Roman"/>
          <w:color w:val="000000"/>
          <w:sz w:val="20"/>
          <w:szCs w:val="20"/>
        </w:rPr>
        <w:t xml:space="preserve">r to the start of any such six-month renewal. Our agreement with Hertz was unanimously approved by the independent directors of Icahn Enterprises’ audit committee. Due to the nature of our involvement with 767 Leasing, which includes Icahn Enterprises and </w:t>
      </w:r>
      <w:r>
        <w:rPr>
          <w:rFonts w:eastAsia="Times New Roman"/>
          <w:color w:val="000000"/>
          <w:sz w:val="20"/>
          <w:szCs w:val="20"/>
        </w:rPr>
        <w:t>Icahn Enterprises Holdings guaranteeing the payment obligations of 767 Leasing and sharing in the profits of 767 Leasing with Hertz, we determined that 767 Leasing is a variable interest entity. Furthermore, we determined that we are not the primary benefi</w:t>
      </w:r>
      <w:r>
        <w:rPr>
          <w:rFonts w:eastAsia="Times New Roman"/>
          <w:color w:val="000000"/>
          <w:sz w:val="20"/>
          <w:szCs w:val="20"/>
        </w:rPr>
        <w:t>ciary as we do not have the power to direct the activities of 767 Leasing that most significantly impact its economic performance. Therefore, we do not consolidate the results of 767 Leasing. Our exposure to loss with respect to 767 Leasing is primarily li</w:t>
      </w:r>
      <w:r>
        <w:rPr>
          <w:rFonts w:eastAsia="Times New Roman"/>
          <w:color w:val="000000"/>
          <w:sz w:val="20"/>
          <w:szCs w:val="20"/>
        </w:rPr>
        <w:t>mited to our direct investment in 767 Leasing as well as any payment obligations of 767 Leasing that we guarantee, which are not material as of December 31, 2019 and 2018. As of December 31, 2019 and 2018, 767 Leasing had assets of $121 million and $59 mil</w:t>
      </w:r>
      <w:r>
        <w:rPr>
          <w:rFonts w:eastAsia="Times New Roman"/>
          <w:color w:val="000000"/>
          <w:sz w:val="20"/>
          <w:szCs w:val="20"/>
        </w:rPr>
        <w:t>lion, respectively, (primarily vehicles for lease) and total liabilities of $1 million and $1 million, respectively, which represents a payable to Icahn Automotive in connection with a shared services agreement. For the year ended December 31, 2019 and 201</w:t>
      </w:r>
      <w:r>
        <w:rPr>
          <w:rFonts w:eastAsia="Times New Roman"/>
          <w:color w:val="000000"/>
          <w:sz w:val="20"/>
          <w:szCs w:val="20"/>
        </w:rPr>
        <w:t>8, we invested $50 million and $60 million, respectively, in 767 Leasing. During the years ended December 31, 2019 and 2018, we had equity earnings (losses) from 767 Leasing of $11 million and $(1) million, respectively. As of December 31, 2019 and Decembe</w:t>
      </w:r>
      <w:r>
        <w:rPr>
          <w:rFonts w:eastAsia="Times New Roman"/>
          <w:color w:val="000000"/>
          <w:sz w:val="20"/>
          <w:szCs w:val="20"/>
        </w:rPr>
        <w:t>r 31, 2018, we had an equity method investment in 767 Leasing of $120 million and $59 million, respectively, which we report in our Automotive segment.</w:t>
      </w:r>
      <w:r>
        <w:rPr>
          <w:rFonts w:eastAsia="Times New Roman"/>
          <w:color w:val="000000"/>
          <w:sz w:val="20"/>
          <w:szCs w:val="20"/>
        </w:rPr>
        <w:t xml:space="preserve"> </w:t>
      </w:r>
    </w:p>
    <w:p w14:paraId="700E0EC6" w14:textId="77777777" w:rsidR="00000000" w:rsidRDefault="00195E73">
      <w:pPr>
        <w:divId w:val="1324626182"/>
        <w:rPr>
          <w:rFonts w:eastAsia="Times New Roman"/>
        </w:rPr>
      </w:pPr>
      <w:r>
        <w:rPr>
          <w:rFonts w:eastAsia="Times New Roman"/>
          <w:b/>
          <w:bCs/>
          <w:i/>
          <w:iCs/>
          <w:color w:val="000000"/>
          <w:sz w:val="20"/>
          <w:szCs w:val="20"/>
        </w:rPr>
        <w:t>ACF Industries LL</w:t>
      </w:r>
      <w:r>
        <w:rPr>
          <w:rFonts w:eastAsia="Times New Roman"/>
          <w:b/>
          <w:bCs/>
          <w:i/>
          <w:iCs/>
          <w:color w:val="000000"/>
          <w:sz w:val="20"/>
          <w:szCs w:val="20"/>
        </w:rPr>
        <w:t>C</w:t>
      </w:r>
    </w:p>
    <w:p w14:paraId="6659AD13" w14:textId="77777777" w:rsidR="00000000" w:rsidRDefault="00195E73">
      <w:pPr>
        <w:ind w:firstLine="450"/>
        <w:divId w:val="1486580363"/>
        <w:rPr>
          <w:rFonts w:eastAsia="Times New Roman"/>
        </w:rPr>
      </w:pPr>
      <w:r>
        <w:rPr>
          <w:rFonts w:eastAsia="Times New Roman"/>
          <w:color w:val="000000"/>
          <w:sz w:val="20"/>
          <w:szCs w:val="20"/>
        </w:rPr>
        <w:t>Our Railcar operations, prior to December 5, 2018 (the date we closed on the sale of</w:t>
      </w:r>
      <w:r>
        <w:rPr>
          <w:rFonts w:eastAsia="Times New Roman"/>
          <w:color w:val="000000"/>
          <w:sz w:val="20"/>
          <w:szCs w:val="20"/>
        </w:rPr>
        <w:t xml:space="preserve"> ARI), had certain transactions with ACF Industries LLC (“ACF”), an affiliate of Mr. Icahn, under various agreements, as well as on a purchase order basis. ACF is a manufacturer and fabricator of specialty railcar parts and miscellaneous steel products. Ag</w:t>
      </w:r>
      <w:r>
        <w:rPr>
          <w:rFonts w:eastAsia="Times New Roman"/>
          <w:color w:val="000000"/>
          <w:sz w:val="20"/>
          <w:szCs w:val="20"/>
        </w:rPr>
        <w:t>reements and transactions with ACF include (i) railcar component purchases from ACF, (ii) railcar parts purchases from and sales to ACF, (iii) railcar purchasing and engineering services agreements with ACF, (iv) lease of certain intellectual property to A</w:t>
      </w:r>
      <w:r>
        <w:rPr>
          <w:rFonts w:eastAsia="Times New Roman"/>
          <w:color w:val="000000"/>
          <w:sz w:val="20"/>
          <w:szCs w:val="20"/>
        </w:rPr>
        <w:t>CF and (v) railcar repair services and support for ACF.</w:t>
      </w:r>
      <w:r>
        <w:rPr>
          <w:rFonts w:eastAsia="Times New Roman"/>
          <w:color w:val="000000"/>
          <w:sz w:val="20"/>
          <w:szCs w:val="20"/>
        </w:rPr>
        <w:t xml:space="preserve"> </w:t>
      </w:r>
    </w:p>
    <w:p w14:paraId="1951A884" w14:textId="77777777" w:rsidR="00000000" w:rsidRDefault="00195E73">
      <w:pPr>
        <w:ind w:firstLine="450"/>
        <w:divId w:val="2021620240"/>
        <w:rPr>
          <w:rFonts w:eastAsia="Times New Roman"/>
        </w:rPr>
      </w:pPr>
      <w:r>
        <w:rPr>
          <w:rFonts w:eastAsia="Times New Roman"/>
          <w:color w:val="000000"/>
          <w:sz w:val="20"/>
          <w:szCs w:val="20"/>
        </w:rPr>
        <w:t>Purchases from ACF were $3 million and $6 million for the years ended December 31, 2018 and 2017, respectively. For the years ended December 31, 2018 and 2017, revenues from ACF were $6 million and $</w:t>
      </w:r>
      <w:r>
        <w:rPr>
          <w:rFonts w:eastAsia="Times New Roman"/>
          <w:color w:val="000000"/>
          <w:sz w:val="20"/>
          <w:szCs w:val="20"/>
        </w:rPr>
        <w:t>1 million, respectively</w:t>
      </w:r>
      <w:r>
        <w:rPr>
          <w:rFonts w:eastAsia="Times New Roman"/>
          <w:color w:val="000000"/>
          <w:sz w:val="20"/>
          <w:szCs w:val="20"/>
        </w:rPr>
        <w:t>.</w:t>
      </w:r>
    </w:p>
    <w:p w14:paraId="6CBA9808" w14:textId="77777777" w:rsidR="00000000" w:rsidRDefault="00195E73">
      <w:pPr>
        <w:divId w:val="1463184444"/>
        <w:rPr>
          <w:rFonts w:eastAsia="Times New Roman"/>
        </w:rPr>
      </w:pPr>
    </w:p>
    <w:p w14:paraId="4D676111" w14:textId="77777777" w:rsidR="00000000" w:rsidRDefault="00195E73">
      <w:pPr>
        <w:jc w:val="center"/>
        <w:divId w:val="1877234113"/>
        <w:rPr>
          <w:rFonts w:eastAsia="Times New Roman"/>
        </w:rPr>
      </w:pPr>
      <w:r>
        <w:rPr>
          <w:rFonts w:eastAsia="Times New Roman"/>
          <w:color w:val="000000"/>
          <w:sz w:val="20"/>
          <w:szCs w:val="20"/>
        </w:rPr>
        <w:t>8</w:t>
      </w:r>
      <w:r>
        <w:rPr>
          <w:rFonts w:eastAsia="Times New Roman"/>
          <w:color w:val="000000"/>
          <w:sz w:val="20"/>
          <w:szCs w:val="20"/>
        </w:rPr>
        <w:t>1</w:t>
      </w:r>
    </w:p>
    <w:p w14:paraId="1203B440" w14:textId="77777777" w:rsidR="00000000" w:rsidRDefault="00195E73">
      <w:pPr>
        <w:rPr>
          <w:rFonts w:eastAsia="Times New Roman"/>
        </w:rPr>
      </w:pPr>
      <w:r>
        <w:rPr>
          <w:rFonts w:eastAsia="Times New Roman"/>
        </w:rPr>
        <w:pict w14:anchorId="482794BB">
          <v:rect id="_x0000_i1107" style="width:0;height:1.5pt" o:hralign="center" o:hrstd="t" o:hr="t" fillcolor="#a0a0a0" stroked="f"/>
        </w:pict>
      </w:r>
    </w:p>
    <w:p w14:paraId="3326C462" w14:textId="77777777" w:rsidR="00000000" w:rsidRDefault="00195E73">
      <w:pPr>
        <w:jc w:val="center"/>
        <w:divId w:val="1577133080"/>
        <w:rPr>
          <w:rFonts w:eastAsia="Times New Roman"/>
        </w:rPr>
      </w:pPr>
    </w:p>
    <w:p w14:paraId="7148A1DD" w14:textId="77777777" w:rsidR="00000000" w:rsidRDefault="00195E73">
      <w:pPr>
        <w:jc w:val="center"/>
        <w:divId w:val="1577133080"/>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0A769951" w14:textId="77777777" w:rsidR="00000000" w:rsidRDefault="00195E73">
      <w:pPr>
        <w:jc w:val="center"/>
        <w:divId w:val="1577133080"/>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02E47FFD" w14:textId="77777777" w:rsidR="00000000" w:rsidRDefault="00195E73">
      <w:pPr>
        <w:jc w:val="center"/>
        <w:divId w:val="1577133080"/>
        <w:rPr>
          <w:rFonts w:eastAsia="Times New Roman"/>
        </w:rPr>
      </w:pPr>
    </w:p>
    <w:p w14:paraId="130EABEF" w14:textId="77777777" w:rsidR="00000000" w:rsidRDefault="00195E73">
      <w:pPr>
        <w:jc w:val="center"/>
        <w:divId w:val="1577133080"/>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34E6AAF2" w14:textId="77777777" w:rsidR="00000000" w:rsidRDefault="00195E73">
      <w:pPr>
        <w:divId w:val="1330983599"/>
        <w:rPr>
          <w:rFonts w:eastAsia="Times New Roman"/>
        </w:rPr>
      </w:pPr>
      <w:r>
        <w:rPr>
          <w:rFonts w:eastAsia="Times New Roman"/>
          <w:b/>
          <w:bCs/>
          <w:i/>
          <w:iCs/>
          <w:color w:val="000000"/>
          <w:sz w:val="20"/>
          <w:szCs w:val="20"/>
        </w:rPr>
        <w:t>Insight Portfolio Group LL</w:t>
      </w:r>
      <w:r>
        <w:rPr>
          <w:rFonts w:eastAsia="Times New Roman"/>
          <w:b/>
          <w:bCs/>
          <w:i/>
          <w:iCs/>
          <w:color w:val="000000"/>
          <w:sz w:val="20"/>
          <w:szCs w:val="20"/>
        </w:rPr>
        <w:t>C</w:t>
      </w:r>
    </w:p>
    <w:p w14:paraId="1038DC76" w14:textId="77777777" w:rsidR="00000000" w:rsidRDefault="00195E73">
      <w:pPr>
        <w:ind w:firstLine="450"/>
        <w:divId w:val="1993948298"/>
        <w:rPr>
          <w:rFonts w:eastAsia="Times New Roman"/>
        </w:rPr>
      </w:pPr>
      <w:r>
        <w:rPr>
          <w:rFonts w:eastAsia="Times New Roman"/>
          <w:color w:val="000000"/>
          <w:sz w:val="20"/>
          <w:szCs w:val="20"/>
        </w:rPr>
        <w:t>Insight Portfolio Group LLC (“Insight Portfolio Group”) is an entity formed and controlled by Mr. Icahn in order to maximize the potential buying power of a group of entities with which Mr. Icahn has a relationship in negotiating with a wide range of suppl</w:t>
      </w:r>
      <w:r>
        <w:rPr>
          <w:rFonts w:eastAsia="Times New Roman"/>
          <w:color w:val="000000"/>
          <w:sz w:val="20"/>
          <w:szCs w:val="20"/>
        </w:rPr>
        <w:t xml:space="preserve">iers of goods, services and tangible and intangible property at negotiated rates. Icahn Enterprises Holdings has a minority equity interest in Insight Portfolio Group and agreed to pay a portion of Insight Portfolio Group’s operating expenses. In addition </w:t>
      </w:r>
      <w:r>
        <w:rPr>
          <w:rFonts w:eastAsia="Times New Roman"/>
          <w:color w:val="000000"/>
          <w:sz w:val="20"/>
          <w:szCs w:val="20"/>
        </w:rPr>
        <w:t>to the minority equity interest held by Icahn Enterprises Holdings, certain subsidiaries of ours, including CVR Energy, Viskase, PSC Metals, WPH, Federal-Mogul (prior to October 1, 2018), ARI (prior to December 5, 2018) and Tropicana (prior to October 1, 2</w:t>
      </w:r>
      <w:r>
        <w:rPr>
          <w:rFonts w:eastAsia="Times New Roman"/>
          <w:color w:val="000000"/>
          <w:sz w:val="20"/>
          <w:szCs w:val="20"/>
        </w:rPr>
        <w:t>018) also acquired minority equity interests in Insight Portfolio Group and agreed to pay a portion of Insight Portfolio Group’s operating expenses. A number of other entities with which Mr. Icahn has a relationship also have minority equity interests in I</w:t>
      </w:r>
      <w:r>
        <w:rPr>
          <w:rFonts w:eastAsia="Times New Roman"/>
          <w:color w:val="000000"/>
          <w:sz w:val="20"/>
          <w:szCs w:val="20"/>
        </w:rPr>
        <w:t>nsight Portfolio Group and also agreed to pay certain of Insight Portfolio Group’s operating expenses. For the years ended December 31, 2019, 2018 and 2017, we and certain of our subsidiaries paid certain of the Insight Portfolio Group’s operating expenses</w:t>
      </w:r>
      <w:r>
        <w:rPr>
          <w:rFonts w:eastAsia="Times New Roman"/>
          <w:color w:val="000000"/>
          <w:sz w:val="20"/>
          <w:szCs w:val="20"/>
        </w:rPr>
        <w:t xml:space="preserve"> of $3 million, $4 million and $2 million, respectively. Insight Portfolio Group ceased operations effective January 1, 2020.</w:t>
      </w:r>
      <w:r>
        <w:rPr>
          <w:rFonts w:eastAsia="Times New Roman"/>
          <w:color w:val="000000"/>
          <w:sz w:val="20"/>
          <w:szCs w:val="20"/>
        </w:rPr>
        <w:t xml:space="preserve"> </w:t>
      </w:r>
    </w:p>
    <w:p w14:paraId="706E4679" w14:textId="77777777" w:rsidR="00000000" w:rsidRDefault="00195E73">
      <w:pPr>
        <w:divId w:val="34041947"/>
        <w:rPr>
          <w:rFonts w:eastAsia="Times New Roman"/>
        </w:rPr>
      </w:pPr>
    </w:p>
    <w:p w14:paraId="51928538" w14:textId="77777777" w:rsidR="00000000" w:rsidRDefault="00195E73">
      <w:pPr>
        <w:ind w:hanging="360"/>
        <w:divId w:val="1995137661"/>
        <w:rPr>
          <w:rFonts w:eastAsia="Times New Roman"/>
        </w:rPr>
      </w:pPr>
      <w:r>
        <w:rPr>
          <w:rFonts w:eastAsia="Times New Roman"/>
          <w:b/>
          <w:bCs/>
          <w:color w:val="000000"/>
          <w:sz w:val="20"/>
          <w:szCs w:val="20"/>
        </w:rPr>
        <w:t>4. Investments</w:t>
      </w:r>
      <w:r>
        <w:rPr>
          <w:rFonts w:eastAsia="Times New Roman"/>
          <w:b/>
          <w:bCs/>
          <w:color w:val="000000"/>
          <w:sz w:val="20"/>
          <w:szCs w:val="20"/>
        </w:rPr>
        <w:t>.</w:t>
      </w:r>
    </w:p>
    <w:p w14:paraId="7D0D9985" w14:textId="77777777" w:rsidR="00000000" w:rsidRDefault="00195E73">
      <w:pPr>
        <w:divId w:val="1938710279"/>
        <w:rPr>
          <w:rFonts w:eastAsia="Times New Roman"/>
        </w:rPr>
      </w:pPr>
      <w:r>
        <w:rPr>
          <w:rFonts w:eastAsia="Times New Roman"/>
          <w:b/>
          <w:bCs/>
          <w:i/>
          <w:iCs/>
          <w:color w:val="000000"/>
          <w:sz w:val="20"/>
          <w:szCs w:val="20"/>
        </w:rPr>
        <w:t>Investmen</w:t>
      </w:r>
      <w:r>
        <w:rPr>
          <w:rFonts w:eastAsia="Times New Roman"/>
          <w:b/>
          <w:bCs/>
          <w:i/>
          <w:iCs/>
          <w:color w:val="000000"/>
          <w:sz w:val="20"/>
          <w:szCs w:val="20"/>
        </w:rPr>
        <w:t>t</w:t>
      </w:r>
    </w:p>
    <w:p w14:paraId="0DC77DE7" w14:textId="77777777" w:rsidR="00000000" w:rsidRDefault="00195E73">
      <w:pPr>
        <w:ind w:firstLine="405"/>
        <w:divId w:val="1179537390"/>
        <w:rPr>
          <w:rFonts w:eastAsia="Times New Roman"/>
        </w:rPr>
      </w:pPr>
      <w:r>
        <w:rPr>
          <w:rFonts w:eastAsia="Times New Roman"/>
          <w:color w:val="000000"/>
          <w:sz w:val="20"/>
          <w:szCs w:val="20"/>
        </w:rPr>
        <w:t>Investments and securities sold, not yet purchased consist of equities, bonds, bank debt and other c</w:t>
      </w:r>
      <w:r>
        <w:rPr>
          <w:rFonts w:eastAsia="Times New Roman"/>
          <w:color w:val="000000"/>
          <w:sz w:val="20"/>
          <w:szCs w:val="20"/>
        </w:rPr>
        <w:t xml:space="preserve">orporate obligations, all of which are reported at fair value in our consolidated balance sheets. These investments are considered trading securities. In addition, our Investment segment has certain derivative transactions which are discussed in Note </w:t>
      </w:r>
      <w:r>
        <w:rPr>
          <w:rFonts w:eastAsia="Times New Roman"/>
          <w:color w:val="000000"/>
          <w:sz w:val="20"/>
          <w:szCs w:val="20"/>
        </w:rPr>
        <w:t>6</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w:t>
      </w:r>
      <w:r>
        <w:rPr>
          <w:rFonts w:eastAsia="Times New Roman"/>
          <w:color w:val="000000"/>
          <w:sz w:val="20"/>
          <w:szCs w:val="20"/>
        </w:rPr>
        <w:t>F</w:t>
      </w:r>
      <w:r>
        <w:rPr>
          <w:rFonts w:eastAsia="Times New Roman"/>
          <w:color w:val="000000"/>
          <w:sz w:val="20"/>
          <w:szCs w:val="20"/>
        </w:rPr>
        <w:t>inancial Instruments.” The carrying value and detail by security type, including business sector for equity securities, with respect to investments and securities sold, not yet purchased held by our Investment segment consist of the following</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2"/>
        <w:gridCol w:w="5619"/>
        <w:gridCol w:w="52"/>
        <w:gridCol w:w="135"/>
        <w:gridCol w:w="908"/>
        <w:gridCol w:w="85"/>
        <w:gridCol w:w="36"/>
        <w:gridCol w:w="36"/>
        <w:gridCol w:w="36"/>
        <w:gridCol w:w="135"/>
        <w:gridCol w:w="886"/>
        <w:gridCol w:w="85"/>
        <w:gridCol w:w="36"/>
        <w:gridCol w:w="36"/>
        <w:gridCol w:w="36"/>
        <w:gridCol w:w="36"/>
        <w:gridCol w:w="36"/>
        <w:gridCol w:w="36"/>
      </w:tblGrid>
      <w:tr w:rsidR="00000000" w14:paraId="74535068" w14:textId="77777777">
        <w:trPr>
          <w:gridAfter w:val="6"/>
          <w:divId w:val="778334735"/>
          <w:jc w:val="center"/>
        </w:trPr>
        <w:tc>
          <w:tcPr>
            <w:tcW w:w="50" w:type="pct"/>
            <w:vAlign w:val="center"/>
            <w:hideMark/>
          </w:tcPr>
          <w:p w14:paraId="3935C0B0" w14:textId="77777777" w:rsidR="00000000" w:rsidRDefault="00195E73">
            <w:pPr>
              <w:ind w:firstLine="405"/>
              <w:rPr>
                <w:rFonts w:eastAsia="Times New Roman"/>
              </w:rPr>
            </w:pPr>
          </w:p>
        </w:tc>
        <w:tc>
          <w:tcPr>
            <w:tcW w:w="3499" w:type="pct"/>
            <w:vAlign w:val="center"/>
            <w:hideMark/>
          </w:tcPr>
          <w:p w14:paraId="5E2DFB80" w14:textId="77777777" w:rsidR="00000000" w:rsidRDefault="00195E73">
            <w:pPr>
              <w:rPr>
                <w:rFonts w:eastAsia="Times New Roman"/>
                <w:sz w:val="20"/>
                <w:szCs w:val="20"/>
              </w:rPr>
            </w:pPr>
          </w:p>
        </w:tc>
        <w:tc>
          <w:tcPr>
            <w:tcW w:w="50" w:type="pct"/>
            <w:vAlign w:val="center"/>
            <w:hideMark/>
          </w:tcPr>
          <w:p w14:paraId="251635FE" w14:textId="77777777" w:rsidR="00000000" w:rsidRDefault="00195E73">
            <w:pPr>
              <w:rPr>
                <w:rFonts w:eastAsia="Times New Roman"/>
                <w:sz w:val="20"/>
                <w:szCs w:val="20"/>
              </w:rPr>
            </w:pPr>
          </w:p>
        </w:tc>
        <w:tc>
          <w:tcPr>
            <w:tcW w:w="50" w:type="pct"/>
            <w:vAlign w:val="center"/>
            <w:hideMark/>
          </w:tcPr>
          <w:p w14:paraId="6022189B" w14:textId="77777777" w:rsidR="00000000" w:rsidRDefault="00195E73">
            <w:pPr>
              <w:rPr>
                <w:rFonts w:eastAsia="Times New Roman"/>
                <w:sz w:val="20"/>
                <w:szCs w:val="20"/>
              </w:rPr>
            </w:pPr>
          </w:p>
        </w:tc>
        <w:tc>
          <w:tcPr>
            <w:tcW w:w="581" w:type="pct"/>
            <w:vAlign w:val="center"/>
            <w:hideMark/>
          </w:tcPr>
          <w:p w14:paraId="1716C927" w14:textId="77777777" w:rsidR="00000000" w:rsidRDefault="00195E73">
            <w:pPr>
              <w:rPr>
                <w:rFonts w:eastAsia="Times New Roman"/>
                <w:sz w:val="20"/>
                <w:szCs w:val="20"/>
              </w:rPr>
            </w:pPr>
          </w:p>
        </w:tc>
        <w:tc>
          <w:tcPr>
            <w:tcW w:w="50" w:type="pct"/>
            <w:vAlign w:val="center"/>
            <w:hideMark/>
          </w:tcPr>
          <w:p w14:paraId="602FA4A6" w14:textId="77777777" w:rsidR="00000000" w:rsidRDefault="00195E73">
            <w:pPr>
              <w:rPr>
                <w:rFonts w:eastAsia="Times New Roman"/>
                <w:sz w:val="20"/>
                <w:szCs w:val="20"/>
              </w:rPr>
            </w:pPr>
          </w:p>
        </w:tc>
        <w:tc>
          <w:tcPr>
            <w:tcW w:w="5" w:type="pct"/>
            <w:vAlign w:val="center"/>
            <w:hideMark/>
          </w:tcPr>
          <w:p w14:paraId="1ECC5916" w14:textId="77777777" w:rsidR="00000000" w:rsidRDefault="00195E73">
            <w:pPr>
              <w:rPr>
                <w:rFonts w:eastAsia="Times New Roman"/>
                <w:sz w:val="20"/>
                <w:szCs w:val="20"/>
              </w:rPr>
            </w:pPr>
          </w:p>
        </w:tc>
        <w:tc>
          <w:tcPr>
            <w:tcW w:w="26" w:type="pct"/>
            <w:vAlign w:val="center"/>
            <w:hideMark/>
          </w:tcPr>
          <w:p w14:paraId="2082603C" w14:textId="77777777" w:rsidR="00000000" w:rsidRDefault="00195E73">
            <w:pPr>
              <w:rPr>
                <w:rFonts w:eastAsia="Times New Roman"/>
                <w:sz w:val="20"/>
                <w:szCs w:val="20"/>
              </w:rPr>
            </w:pPr>
          </w:p>
        </w:tc>
        <w:tc>
          <w:tcPr>
            <w:tcW w:w="5" w:type="pct"/>
            <w:vAlign w:val="center"/>
            <w:hideMark/>
          </w:tcPr>
          <w:p w14:paraId="44B29CF6" w14:textId="77777777" w:rsidR="00000000" w:rsidRDefault="00195E73">
            <w:pPr>
              <w:rPr>
                <w:rFonts w:eastAsia="Times New Roman"/>
                <w:sz w:val="20"/>
                <w:szCs w:val="20"/>
              </w:rPr>
            </w:pPr>
          </w:p>
        </w:tc>
        <w:tc>
          <w:tcPr>
            <w:tcW w:w="50" w:type="pct"/>
            <w:vAlign w:val="center"/>
            <w:hideMark/>
          </w:tcPr>
          <w:p w14:paraId="133C67EE" w14:textId="77777777" w:rsidR="00000000" w:rsidRDefault="00195E73">
            <w:pPr>
              <w:rPr>
                <w:rFonts w:eastAsia="Times New Roman"/>
                <w:sz w:val="20"/>
                <w:szCs w:val="20"/>
              </w:rPr>
            </w:pPr>
          </w:p>
        </w:tc>
        <w:tc>
          <w:tcPr>
            <w:tcW w:w="581" w:type="pct"/>
            <w:vAlign w:val="center"/>
            <w:hideMark/>
          </w:tcPr>
          <w:p w14:paraId="0F6BD1C8" w14:textId="77777777" w:rsidR="00000000" w:rsidRDefault="00195E73">
            <w:pPr>
              <w:rPr>
                <w:rFonts w:eastAsia="Times New Roman"/>
                <w:sz w:val="20"/>
                <w:szCs w:val="20"/>
              </w:rPr>
            </w:pPr>
          </w:p>
        </w:tc>
        <w:tc>
          <w:tcPr>
            <w:tcW w:w="50" w:type="pct"/>
            <w:vAlign w:val="center"/>
            <w:hideMark/>
          </w:tcPr>
          <w:p w14:paraId="365BA19A" w14:textId="77777777" w:rsidR="00000000" w:rsidRDefault="00195E73">
            <w:pPr>
              <w:rPr>
                <w:rFonts w:eastAsia="Times New Roman"/>
                <w:sz w:val="20"/>
                <w:szCs w:val="20"/>
              </w:rPr>
            </w:pPr>
          </w:p>
        </w:tc>
      </w:tr>
      <w:tr w:rsidR="00000000" w14:paraId="689C0E6C" w14:textId="77777777">
        <w:trPr>
          <w:divId w:val="778334735"/>
          <w:jc w:val="center"/>
        </w:trPr>
        <w:tc>
          <w:tcPr>
            <w:tcW w:w="0" w:type="auto"/>
            <w:gridSpan w:val="3"/>
            <w:tcMar>
              <w:top w:w="15" w:type="dxa"/>
              <w:left w:w="20" w:type="dxa"/>
              <w:bottom w:w="15" w:type="dxa"/>
              <w:right w:w="20" w:type="dxa"/>
            </w:tcMar>
            <w:vAlign w:val="bottom"/>
            <w:hideMark/>
          </w:tcPr>
          <w:p w14:paraId="3B40A037"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394F3054"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2DFDD1E5" w14:textId="77777777" w:rsidR="00000000" w:rsidRDefault="00195E73">
            <w:pPr>
              <w:jc w:val="center"/>
              <w:rPr>
                <w:rFonts w:eastAsia="Times New Roman"/>
              </w:rPr>
            </w:pPr>
          </w:p>
        </w:tc>
        <w:tc>
          <w:tcPr>
            <w:tcW w:w="0" w:type="auto"/>
            <w:gridSpan w:val="3"/>
            <w:vAlign w:val="center"/>
            <w:hideMark/>
          </w:tcPr>
          <w:p w14:paraId="7D6A0DB0" w14:textId="77777777" w:rsidR="00000000" w:rsidRDefault="00195E73">
            <w:pPr>
              <w:rPr>
                <w:rFonts w:eastAsia="Times New Roman"/>
                <w:sz w:val="20"/>
                <w:szCs w:val="20"/>
              </w:rPr>
            </w:pPr>
          </w:p>
        </w:tc>
      </w:tr>
      <w:tr w:rsidR="00000000" w14:paraId="690C2D7B" w14:textId="77777777">
        <w:trPr>
          <w:divId w:val="778334735"/>
          <w:jc w:val="center"/>
        </w:trPr>
        <w:tc>
          <w:tcPr>
            <w:tcW w:w="0" w:type="auto"/>
            <w:gridSpan w:val="3"/>
            <w:tcMar>
              <w:top w:w="15" w:type="dxa"/>
              <w:left w:w="20" w:type="dxa"/>
              <w:bottom w:w="15" w:type="dxa"/>
              <w:right w:w="20" w:type="dxa"/>
            </w:tcMar>
            <w:vAlign w:val="bottom"/>
            <w:hideMark/>
          </w:tcPr>
          <w:p w14:paraId="45E23E3E"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37AB7C7"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65E90C4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8A0353"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21AE4BB7" w14:textId="77777777" w:rsidR="00000000" w:rsidRDefault="00195E73">
            <w:pPr>
              <w:rPr>
                <w:rFonts w:eastAsia="Times New Roman"/>
                <w:sz w:val="20"/>
                <w:szCs w:val="20"/>
              </w:rPr>
            </w:pPr>
          </w:p>
        </w:tc>
        <w:tc>
          <w:tcPr>
            <w:tcW w:w="0" w:type="auto"/>
            <w:vAlign w:val="center"/>
            <w:hideMark/>
          </w:tcPr>
          <w:p w14:paraId="369B66AD" w14:textId="77777777" w:rsidR="00000000" w:rsidRDefault="00195E73">
            <w:pPr>
              <w:rPr>
                <w:rFonts w:eastAsia="Times New Roman"/>
                <w:sz w:val="20"/>
                <w:szCs w:val="20"/>
              </w:rPr>
            </w:pPr>
          </w:p>
        </w:tc>
        <w:tc>
          <w:tcPr>
            <w:tcW w:w="0" w:type="auto"/>
            <w:vAlign w:val="center"/>
            <w:hideMark/>
          </w:tcPr>
          <w:p w14:paraId="02BEC15C" w14:textId="77777777" w:rsidR="00000000" w:rsidRDefault="00195E73">
            <w:pPr>
              <w:rPr>
                <w:rFonts w:eastAsia="Times New Roman"/>
                <w:sz w:val="20"/>
                <w:szCs w:val="20"/>
              </w:rPr>
            </w:pPr>
          </w:p>
        </w:tc>
        <w:tc>
          <w:tcPr>
            <w:tcW w:w="0" w:type="auto"/>
            <w:vAlign w:val="center"/>
            <w:hideMark/>
          </w:tcPr>
          <w:p w14:paraId="6B0C96F9" w14:textId="77777777" w:rsidR="00000000" w:rsidRDefault="00195E73">
            <w:pPr>
              <w:rPr>
                <w:rFonts w:eastAsia="Times New Roman"/>
                <w:sz w:val="20"/>
                <w:szCs w:val="20"/>
              </w:rPr>
            </w:pPr>
          </w:p>
        </w:tc>
        <w:tc>
          <w:tcPr>
            <w:tcW w:w="0" w:type="auto"/>
            <w:vAlign w:val="center"/>
            <w:hideMark/>
          </w:tcPr>
          <w:p w14:paraId="5D08C345" w14:textId="77777777" w:rsidR="00000000" w:rsidRDefault="00195E73">
            <w:pPr>
              <w:rPr>
                <w:rFonts w:eastAsia="Times New Roman"/>
                <w:sz w:val="20"/>
                <w:szCs w:val="20"/>
              </w:rPr>
            </w:pPr>
          </w:p>
        </w:tc>
        <w:tc>
          <w:tcPr>
            <w:tcW w:w="0" w:type="auto"/>
            <w:vAlign w:val="center"/>
            <w:hideMark/>
          </w:tcPr>
          <w:p w14:paraId="343825BA" w14:textId="77777777" w:rsidR="00000000" w:rsidRDefault="00195E73">
            <w:pPr>
              <w:rPr>
                <w:rFonts w:eastAsia="Times New Roman"/>
                <w:sz w:val="20"/>
                <w:szCs w:val="20"/>
              </w:rPr>
            </w:pPr>
          </w:p>
        </w:tc>
      </w:tr>
      <w:tr w:rsidR="00000000" w14:paraId="21830B61" w14:textId="77777777">
        <w:trPr>
          <w:divId w:val="778334735"/>
          <w:jc w:val="center"/>
        </w:trPr>
        <w:tc>
          <w:tcPr>
            <w:tcW w:w="0" w:type="auto"/>
            <w:gridSpan w:val="3"/>
            <w:tcMar>
              <w:top w:w="30" w:type="dxa"/>
              <w:left w:w="20" w:type="dxa"/>
              <w:bottom w:w="30" w:type="dxa"/>
              <w:right w:w="20" w:type="dxa"/>
            </w:tcMar>
            <w:vAlign w:val="bottom"/>
            <w:hideMark/>
          </w:tcPr>
          <w:p w14:paraId="1339AA84" w14:textId="77777777" w:rsidR="00000000" w:rsidRDefault="00195E73">
            <w:pPr>
              <w:jc w:val="cente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9"/>
            <w:tcBorders>
              <w:top w:val="single" w:sz="8" w:space="0" w:color="000000"/>
            </w:tcBorders>
            <w:tcMar>
              <w:top w:w="30" w:type="dxa"/>
              <w:left w:w="20" w:type="dxa"/>
              <w:bottom w:w="30" w:type="dxa"/>
              <w:right w:w="20" w:type="dxa"/>
            </w:tcMar>
            <w:vAlign w:val="bottom"/>
            <w:hideMark/>
          </w:tcPr>
          <w:p w14:paraId="264F53D6"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4C4FEFF7" w14:textId="77777777" w:rsidR="00000000" w:rsidRDefault="00195E73">
            <w:pPr>
              <w:jc w:val="center"/>
              <w:rPr>
                <w:rFonts w:eastAsia="Times New Roman"/>
              </w:rPr>
            </w:pPr>
          </w:p>
        </w:tc>
        <w:tc>
          <w:tcPr>
            <w:tcW w:w="0" w:type="auto"/>
            <w:gridSpan w:val="3"/>
            <w:vAlign w:val="center"/>
            <w:hideMark/>
          </w:tcPr>
          <w:p w14:paraId="31B5AB8D" w14:textId="77777777" w:rsidR="00000000" w:rsidRDefault="00195E73">
            <w:pPr>
              <w:rPr>
                <w:rFonts w:eastAsia="Times New Roman"/>
                <w:sz w:val="20"/>
                <w:szCs w:val="20"/>
              </w:rPr>
            </w:pPr>
          </w:p>
        </w:tc>
      </w:tr>
      <w:tr w:rsidR="00000000" w14:paraId="57050B4A" w14:textId="77777777">
        <w:trPr>
          <w:divId w:val="778334735"/>
          <w:jc w:val="center"/>
        </w:trPr>
        <w:tc>
          <w:tcPr>
            <w:tcW w:w="0" w:type="auto"/>
            <w:gridSpan w:val="3"/>
            <w:tcMar>
              <w:top w:w="30" w:type="dxa"/>
              <w:left w:w="20" w:type="dxa"/>
              <w:bottom w:w="30" w:type="dxa"/>
              <w:right w:w="20" w:type="dxa"/>
            </w:tcMar>
            <w:vAlign w:val="bottom"/>
            <w:hideMark/>
          </w:tcPr>
          <w:p w14:paraId="3B5842D5" w14:textId="77777777" w:rsidR="00000000" w:rsidRDefault="00195E73">
            <w:pPr>
              <w:rPr>
                <w:rFonts w:eastAsia="Times New Roman"/>
              </w:rPr>
            </w:pPr>
            <w:r>
              <w:rPr>
                <w:rFonts w:eastAsia="Times New Roman"/>
                <w:color w:val="000000"/>
                <w:sz w:val="20"/>
                <w:szCs w:val="20"/>
              </w:rPr>
              <w:t>Investments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4408C0DE"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1EDBD62C"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2B4216F" w14:textId="77777777" w:rsidR="00000000" w:rsidRDefault="00195E73">
            <w:pPr>
              <w:rPr>
                <w:rFonts w:eastAsia="Times New Roman"/>
                <w:sz w:val="20"/>
                <w:szCs w:val="20"/>
              </w:rPr>
            </w:pPr>
          </w:p>
        </w:tc>
        <w:tc>
          <w:tcPr>
            <w:tcW w:w="0" w:type="auto"/>
            <w:vAlign w:val="center"/>
            <w:hideMark/>
          </w:tcPr>
          <w:p w14:paraId="03739C29" w14:textId="77777777" w:rsidR="00000000" w:rsidRDefault="00195E73">
            <w:pPr>
              <w:rPr>
                <w:rFonts w:eastAsia="Times New Roman"/>
                <w:sz w:val="20"/>
                <w:szCs w:val="20"/>
              </w:rPr>
            </w:pPr>
          </w:p>
        </w:tc>
        <w:tc>
          <w:tcPr>
            <w:tcW w:w="0" w:type="auto"/>
            <w:vAlign w:val="center"/>
            <w:hideMark/>
          </w:tcPr>
          <w:p w14:paraId="053A75B0" w14:textId="77777777" w:rsidR="00000000" w:rsidRDefault="00195E73">
            <w:pPr>
              <w:rPr>
                <w:rFonts w:eastAsia="Times New Roman"/>
                <w:sz w:val="20"/>
                <w:szCs w:val="20"/>
              </w:rPr>
            </w:pPr>
          </w:p>
        </w:tc>
        <w:tc>
          <w:tcPr>
            <w:tcW w:w="0" w:type="auto"/>
            <w:vAlign w:val="center"/>
            <w:hideMark/>
          </w:tcPr>
          <w:p w14:paraId="2EC19B88" w14:textId="77777777" w:rsidR="00000000" w:rsidRDefault="00195E73">
            <w:pPr>
              <w:rPr>
                <w:rFonts w:eastAsia="Times New Roman"/>
                <w:sz w:val="20"/>
                <w:szCs w:val="20"/>
              </w:rPr>
            </w:pPr>
          </w:p>
        </w:tc>
        <w:tc>
          <w:tcPr>
            <w:tcW w:w="0" w:type="auto"/>
            <w:vAlign w:val="center"/>
            <w:hideMark/>
          </w:tcPr>
          <w:p w14:paraId="54788BE5" w14:textId="77777777" w:rsidR="00000000" w:rsidRDefault="00195E73">
            <w:pPr>
              <w:rPr>
                <w:rFonts w:eastAsia="Times New Roman"/>
                <w:sz w:val="20"/>
                <w:szCs w:val="20"/>
              </w:rPr>
            </w:pPr>
          </w:p>
        </w:tc>
        <w:tc>
          <w:tcPr>
            <w:tcW w:w="0" w:type="auto"/>
            <w:vAlign w:val="center"/>
            <w:hideMark/>
          </w:tcPr>
          <w:p w14:paraId="2F9BA1B7" w14:textId="77777777" w:rsidR="00000000" w:rsidRDefault="00195E73">
            <w:pPr>
              <w:rPr>
                <w:rFonts w:eastAsia="Times New Roman"/>
                <w:sz w:val="20"/>
                <w:szCs w:val="20"/>
              </w:rPr>
            </w:pPr>
          </w:p>
        </w:tc>
        <w:tc>
          <w:tcPr>
            <w:tcW w:w="0" w:type="auto"/>
            <w:vAlign w:val="center"/>
            <w:hideMark/>
          </w:tcPr>
          <w:p w14:paraId="0097B4F0" w14:textId="77777777" w:rsidR="00000000" w:rsidRDefault="00195E73">
            <w:pPr>
              <w:rPr>
                <w:rFonts w:eastAsia="Times New Roman"/>
                <w:sz w:val="20"/>
                <w:szCs w:val="20"/>
              </w:rPr>
            </w:pPr>
          </w:p>
        </w:tc>
      </w:tr>
      <w:tr w:rsidR="00000000" w14:paraId="519F2DEB" w14:textId="77777777">
        <w:trPr>
          <w:divId w:val="778334735"/>
          <w:jc w:val="center"/>
        </w:trPr>
        <w:tc>
          <w:tcPr>
            <w:tcW w:w="0" w:type="auto"/>
            <w:gridSpan w:val="3"/>
            <w:tcMar>
              <w:top w:w="30" w:type="dxa"/>
              <w:left w:w="20" w:type="dxa"/>
              <w:bottom w:w="30" w:type="dxa"/>
              <w:right w:w="20" w:type="dxa"/>
            </w:tcMar>
            <w:vAlign w:val="bottom"/>
            <w:hideMark/>
          </w:tcPr>
          <w:p w14:paraId="778F073F" w14:textId="77777777" w:rsidR="00000000" w:rsidRDefault="00195E73">
            <w:pPr>
              <w:rPr>
                <w:rFonts w:eastAsia="Times New Roman"/>
              </w:rPr>
            </w:pPr>
            <w:r>
              <w:rPr>
                <w:rFonts w:eastAsia="Times New Roman"/>
                <w:color w:val="000000"/>
                <w:sz w:val="20"/>
                <w:szCs w:val="20"/>
              </w:rPr>
              <w:t>   Equity securities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451600BC"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78270815"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C6DFB07" w14:textId="77777777" w:rsidR="00000000" w:rsidRDefault="00195E73">
            <w:pPr>
              <w:rPr>
                <w:rFonts w:eastAsia="Times New Roman"/>
                <w:sz w:val="20"/>
                <w:szCs w:val="20"/>
              </w:rPr>
            </w:pPr>
          </w:p>
        </w:tc>
        <w:tc>
          <w:tcPr>
            <w:tcW w:w="0" w:type="auto"/>
            <w:vAlign w:val="center"/>
            <w:hideMark/>
          </w:tcPr>
          <w:p w14:paraId="7243F682" w14:textId="77777777" w:rsidR="00000000" w:rsidRDefault="00195E73">
            <w:pPr>
              <w:rPr>
                <w:rFonts w:eastAsia="Times New Roman"/>
                <w:sz w:val="20"/>
                <w:szCs w:val="20"/>
              </w:rPr>
            </w:pPr>
          </w:p>
        </w:tc>
        <w:tc>
          <w:tcPr>
            <w:tcW w:w="0" w:type="auto"/>
            <w:vAlign w:val="center"/>
            <w:hideMark/>
          </w:tcPr>
          <w:p w14:paraId="3454D78F" w14:textId="77777777" w:rsidR="00000000" w:rsidRDefault="00195E73">
            <w:pPr>
              <w:rPr>
                <w:rFonts w:eastAsia="Times New Roman"/>
                <w:sz w:val="20"/>
                <w:szCs w:val="20"/>
              </w:rPr>
            </w:pPr>
          </w:p>
        </w:tc>
        <w:tc>
          <w:tcPr>
            <w:tcW w:w="0" w:type="auto"/>
            <w:vAlign w:val="center"/>
            <w:hideMark/>
          </w:tcPr>
          <w:p w14:paraId="35DE4604" w14:textId="77777777" w:rsidR="00000000" w:rsidRDefault="00195E73">
            <w:pPr>
              <w:rPr>
                <w:rFonts w:eastAsia="Times New Roman"/>
                <w:sz w:val="20"/>
                <w:szCs w:val="20"/>
              </w:rPr>
            </w:pPr>
          </w:p>
        </w:tc>
        <w:tc>
          <w:tcPr>
            <w:tcW w:w="0" w:type="auto"/>
            <w:vAlign w:val="center"/>
            <w:hideMark/>
          </w:tcPr>
          <w:p w14:paraId="2B30E2B8" w14:textId="77777777" w:rsidR="00000000" w:rsidRDefault="00195E73">
            <w:pPr>
              <w:rPr>
                <w:rFonts w:eastAsia="Times New Roman"/>
                <w:sz w:val="20"/>
                <w:szCs w:val="20"/>
              </w:rPr>
            </w:pPr>
          </w:p>
        </w:tc>
        <w:tc>
          <w:tcPr>
            <w:tcW w:w="0" w:type="auto"/>
            <w:vAlign w:val="center"/>
            <w:hideMark/>
          </w:tcPr>
          <w:p w14:paraId="0D766977" w14:textId="77777777" w:rsidR="00000000" w:rsidRDefault="00195E73">
            <w:pPr>
              <w:rPr>
                <w:rFonts w:eastAsia="Times New Roman"/>
                <w:sz w:val="20"/>
                <w:szCs w:val="20"/>
              </w:rPr>
            </w:pPr>
          </w:p>
        </w:tc>
        <w:tc>
          <w:tcPr>
            <w:tcW w:w="0" w:type="auto"/>
            <w:vAlign w:val="center"/>
            <w:hideMark/>
          </w:tcPr>
          <w:p w14:paraId="12B8ABB0" w14:textId="77777777" w:rsidR="00000000" w:rsidRDefault="00195E73">
            <w:pPr>
              <w:rPr>
                <w:rFonts w:eastAsia="Times New Roman"/>
                <w:sz w:val="20"/>
                <w:szCs w:val="20"/>
              </w:rPr>
            </w:pPr>
          </w:p>
        </w:tc>
      </w:tr>
      <w:tr w:rsidR="00000000" w14:paraId="12CD9936" w14:textId="77777777">
        <w:trPr>
          <w:divId w:val="778334735"/>
          <w:jc w:val="center"/>
        </w:trPr>
        <w:tc>
          <w:tcPr>
            <w:tcW w:w="0" w:type="auto"/>
            <w:gridSpan w:val="3"/>
            <w:shd w:val="clear" w:color="auto" w:fill="CCEEFF"/>
            <w:tcMar>
              <w:top w:w="30" w:type="dxa"/>
              <w:left w:w="20" w:type="dxa"/>
              <w:bottom w:w="30" w:type="dxa"/>
              <w:right w:w="20" w:type="dxa"/>
            </w:tcMar>
            <w:vAlign w:val="bottom"/>
            <w:hideMark/>
          </w:tcPr>
          <w:p w14:paraId="62B165F0" w14:textId="77777777" w:rsidR="00000000" w:rsidRDefault="00195E73">
            <w:pPr>
              <w:rPr>
                <w:rFonts w:eastAsia="Times New Roman"/>
              </w:rPr>
            </w:pPr>
            <w:r>
              <w:rPr>
                <w:rFonts w:eastAsia="Times New Roman"/>
                <w:color w:val="000000"/>
                <w:sz w:val="20"/>
                <w:szCs w:val="20"/>
              </w:rPr>
              <w:t>      Basic material</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4AA092A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D273B82" w14:textId="77777777" w:rsidR="00000000" w:rsidRDefault="00195E73">
            <w:pPr>
              <w:jc w:val="right"/>
              <w:rPr>
                <w:rFonts w:eastAsia="Times New Roman"/>
              </w:rPr>
            </w:pPr>
            <w:r>
              <w:rPr>
                <w:rFonts w:eastAsia="Times New Roman"/>
                <w:color w:val="000000"/>
                <w:sz w:val="20"/>
                <w:szCs w:val="20"/>
              </w:rPr>
              <w:t>281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22A31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CD7CAC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D8A0B5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3E17EB7" w14:textId="77777777" w:rsidR="00000000" w:rsidRDefault="00195E73">
            <w:pPr>
              <w:jc w:val="right"/>
              <w:rPr>
                <w:rFonts w:eastAsia="Times New Roman"/>
              </w:rPr>
            </w:pPr>
            <w:r>
              <w:rPr>
                <w:rFonts w:eastAsia="Times New Roman"/>
                <w:color w:val="000000"/>
                <w:sz w:val="20"/>
                <w:szCs w:val="20"/>
              </w:rPr>
              <w:t>414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CC70D3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B52F5E9" w14:textId="77777777" w:rsidR="00000000" w:rsidRDefault="00195E73">
            <w:pPr>
              <w:rPr>
                <w:rFonts w:eastAsia="Times New Roman"/>
                <w:sz w:val="20"/>
                <w:szCs w:val="20"/>
              </w:rPr>
            </w:pPr>
          </w:p>
        </w:tc>
        <w:tc>
          <w:tcPr>
            <w:tcW w:w="0" w:type="auto"/>
            <w:vAlign w:val="center"/>
            <w:hideMark/>
          </w:tcPr>
          <w:p w14:paraId="78B0B9F1" w14:textId="77777777" w:rsidR="00000000" w:rsidRDefault="00195E73">
            <w:pPr>
              <w:rPr>
                <w:rFonts w:eastAsia="Times New Roman"/>
                <w:sz w:val="20"/>
                <w:szCs w:val="20"/>
              </w:rPr>
            </w:pPr>
          </w:p>
        </w:tc>
        <w:tc>
          <w:tcPr>
            <w:tcW w:w="0" w:type="auto"/>
            <w:vAlign w:val="center"/>
            <w:hideMark/>
          </w:tcPr>
          <w:p w14:paraId="2EDA4BA3" w14:textId="77777777" w:rsidR="00000000" w:rsidRDefault="00195E73">
            <w:pPr>
              <w:rPr>
                <w:rFonts w:eastAsia="Times New Roman"/>
                <w:sz w:val="20"/>
                <w:szCs w:val="20"/>
              </w:rPr>
            </w:pPr>
          </w:p>
        </w:tc>
        <w:tc>
          <w:tcPr>
            <w:tcW w:w="0" w:type="auto"/>
            <w:vAlign w:val="center"/>
            <w:hideMark/>
          </w:tcPr>
          <w:p w14:paraId="07947413" w14:textId="77777777" w:rsidR="00000000" w:rsidRDefault="00195E73">
            <w:pPr>
              <w:rPr>
                <w:rFonts w:eastAsia="Times New Roman"/>
                <w:sz w:val="20"/>
                <w:szCs w:val="20"/>
              </w:rPr>
            </w:pPr>
          </w:p>
        </w:tc>
        <w:tc>
          <w:tcPr>
            <w:tcW w:w="0" w:type="auto"/>
            <w:vAlign w:val="center"/>
            <w:hideMark/>
          </w:tcPr>
          <w:p w14:paraId="6535B7CB" w14:textId="77777777" w:rsidR="00000000" w:rsidRDefault="00195E73">
            <w:pPr>
              <w:rPr>
                <w:rFonts w:eastAsia="Times New Roman"/>
                <w:sz w:val="20"/>
                <w:szCs w:val="20"/>
              </w:rPr>
            </w:pPr>
          </w:p>
        </w:tc>
        <w:tc>
          <w:tcPr>
            <w:tcW w:w="0" w:type="auto"/>
            <w:vAlign w:val="center"/>
            <w:hideMark/>
          </w:tcPr>
          <w:p w14:paraId="58D8DE1B" w14:textId="77777777" w:rsidR="00000000" w:rsidRDefault="00195E73">
            <w:pPr>
              <w:rPr>
                <w:rFonts w:eastAsia="Times New Roman"/>
                <w:sz w:val="20"/>
                <w:szCs w:val="20"/>
              </w:rPr>
            </w:pPr>
          </w:p>
        </w:tc>
      </w:tr>
      <w:tr w:rsidR="00000000" w14:paraId="2F1740F7" w14:textId="77777777">
        <w:trPr>
          <w:divId w:val="778334735"/>
          <w:jc w:val="center"/>
        </w:trPr>
        <w:tc>
          <w:tcPr>
            <w:tcW w:w="0" w:type="auto"/>
            <w:gridSpan w:val="3"/>
            <w:shd w:val="clear" w:color="auto" w:fill="FFFFFF"/>
            <w:tcMar>
              <w:top w:w="30" w:type="dxa"/>
              <w:left w:w="20" w:type="dxa"/>
              <w:bottom w:w="30" w:type="dxa"/>
              <w:right w:w="20" w:type="dxa"/>
            </w:tcMar>
            <w:vAlign w:val="bottom"/>
            <w:hideMark/>
          </w:tcPr>
          <w:p w14:paraId="747B7991"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Consumer, non-cyclica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14:paraId="3FF39E6C" w14:textId="77777777" w:rsidR="00000000" w:rsidRDefault="00195E73">
            <w:pPr>
              <w:jc w:val="right"/>
              <w:rPr>
                <w:rFonts w:eastAsia="Times New Roman"/>
              </w:rPr>
            </w:pPr>
            <w:r>
              <w:rPr>
                <w:rFonts w:eastAsia="Times New Roman"/>
                <w:color w:val="000000"/>
                <w:sz w:val="20"/>
                <w:szCs w:val="20"/>
              </w:rPr>
              <w:t>2,085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0115AB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D120C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E24788" w14:textId="77777777" w:rsidR="00000000" w:rsidRDefault="00195E73">
            <w:pPr>
              <w:jc w:val="right"/>
              <w:rPr>
                <w:rFonts w:eastAsia="Times New Roman"/>
              </w:rPr>
            </w:pPr>
            <w:r>
              <w:rPr>
                <w:rFonts w:eastAsia="Times New Roman"/>
                <w:color w:val="000000"/>
                <w:sz w:val="20"/>
                <w:szCs w:val="20"/>
              </w:rPr>
              <w:t>2,161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4DF157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D46F64E" w14:textId="77777777" w:rsidR="00000000" w:rsidRDefault="00195E73">
            <w:pPr>
              <w:rPr>
                <w:rFonts w:eastAsia="Times New Roman"/>
                <w:sz w:val="20"/>
                <w:szCs w:val="20"/>
              </w:rPr>
            </w:pPr>
          </w:p>
        </w:tc>
        <w:tc>
          <w:tcPr>
            <w:tcW w:w="0" w:type="auto"/>
            <w:vAlign w:val="center"/>
            <w:hideMark/>
          </w:tcPr>
          <w:p w14:paraId="0663EF26" w14:textId="77777777" w:rsidR="00000000" w:rsidRDefault="00195E73">
            <w:pPr>
              <w:rPr>
                <w:rFonts w:eastAsia="Times New Roman"/>
                <w:sz w:val="20"/>
                <w:szCs w:val="20"/>
              </w:rPr>
            </w:pPr>
          </w:p>
        </w:tc>
        <w:tc>
          <w:tcPr>
            <w:tcW w:w="0" w:type="auto"/>
            <w:vAlign w:val="center"/>
            <w:hideMark/>
          </w:tcPr>
          <w:p w14:paraId="42DA2BFE" w14:textId="77777777" w:rsidR="00000000" w:rsidRDefault="00195E73">
            <w:pPr>
              <w:rPr>
                <w:rFonts w:eastAsia="Times New Roman"/>
                <w:sz w:val="20"/>
                <w:szCs w:val="20"/>
              </w:rPr>
            </w:pPr>
          </w:p>
        </w:tc>
        <w:tc>
          <w:tcPr>
            <w:tcW w:w="0" w:type="auto"/>
            <w:vAlign w:val="center"/>
            <w:hideMark/>
          </w:tcPr>
          <w:p w14:paraId="46D6890A" w14:textId="77777777" w:rsidR="00000000" w:rsidRDefault="00195E73">
            <w:pPr>
              <w:rPr>
                <w:rFonts w:eastAsia="Times New Roman"/>
                <w:sz w:val="20"/>
                <w:szCs w:val="20"/>
              </w:rPr>
            </w:pPr>
          </w:p>
        </w:tc>
        <w:tc>
          <w:tcPr>
            <w:tcW w:w="0" w:type="auto"/>
            <w:vAlign w:val="center"/>
            <w:hideMark/>
          </w:tcPr>
          <w:p w14:paraId="2F540F56" w14:textId="77777777" w:rsidR="00000000" w:rsidRDefault="00195E73">
            <w:pPr>
              <w:rPr>
                <w:rFonts w:eastAsia="Times New Roman"/>
                <w:sz w:val="20"/>
                <w:szCs w:val="20"/>
              </w:rPr>
            </w:pPr>
          </w:p>
        </w:tc>
        <w:tc>
          <w:tcPr>
            <w:tcW w:w="0" w:type="auto"/>
            <w:vAlign w:val="center"/>
            <w:hideMark/>
          </w:tcPr>
          <w:p w14:paraId="46DD33C1" w14:textId="77777777" w:rsidR="00000000" w:rsidRDefault="00195E73">
            <w:pPr>
              <w:rPr>
                <w:rFonts w:eastAsia="Times New Roman"/>
                <w:sz w:val="20"/>
                <w:szCs w:val="20"/>
              </w:rPr>
            </w:pPr>
          </w:p>
        </w:tc>
      </w:tr>
      <w:tr w:rsidR="00000000" w14:paraId="73A25A4F" w14:textId="77777777">
        <w:trPr>
          <w:divId w:val="778334735"/>
          <w:jc w:val="center"/>
        </w:trPr>
        <w:tc>
          <w:tcPr>
            <w:tcW w:w="0" w:type="auto"/>
            <w:gridSpan w:val="3"/>
            <w:shd w:val="clear" w:color="auto" w:fill="CCEEFF"/>
            <w:tcMar>
              <w:top w:w="30" w:type="dxa"/>
              <w:left w:w="20" w:type="dxa"/>
              <w:bottom w:w="30" w:type="dxa"/>
              <w:right w:w="20" w:type="dxa"/>
            </w:tcMar>
            <w:vAlign w:val="bottom"/>
            <w:hideMark/>
          </w:tcPr>
          <w:p w14:paraId="2A241302" w14:textId="77777777" w:rsidR="00000000" w:rsidRDefault="00195E73">
            <w:pPr>
              <w:rPr>
                <w:rFonts w:eastAsia="Times New Roman"/>
              </w:rPr>
            </w:pPr>
            <w:r>
              <w:rPr>
                <w:rFonts w:eastAsia="Times New Roman"/>
                <w:color w:val="000000"/>
                <w:sz w:val="20"/>
                <w:szCs w:val="20"/>
              </w:rPr>
              <w:t>      Consumer, cyclica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14:paraId="44F9EDF2" w14:textId="77777777" w:rsidR="00000000" w:rsidRDefault="00195E73">
            <w:pPr>
              <w:jc w:val="right"/>
              <w:rPr>
                <w:rFonts w:eastAsia="Times New Roman"/>
              </w:rPr>
            </w:pPr>
            <w:r>
              <w:rPr>
                <w:rFonts w:eastAsia="Times New Roman"/>
                <w:color w:val="000000"/>
                <w:sz w:val="20"/>
                <w:szCs w:val="20"/>
              </w:rPr>
              <w:t>2,427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32A3BE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649B2D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5F91DE" w14:textId="77777777" w:rsidR="00000000" w:rsidRDefault="00195E73">
            <w:pPr>
              <w:jc w:val="right"/>
              <w:rPr>
                <w:rFonts w:eastAsia="Times New Roman"/>
              </w:rPr>
            </w:pPr>
            <w:r>
              <w:rPr>
                <w:rFonts w:eastAsia="Times New Roman"/>
                <w:color w:val="000000"/>
                <w:sz w:val="20"/>
                <w:szCs w:val="20"/>
              </w:rPr>
              <w:t>1,161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16BB35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BCCB5BA" w14:textId="77777777" w:rsidR="00000000" w:rsidRDefault="00195E73">
            <w:pPr>
              <w:rPr>
                <w:rFonts w:eastAsia="Times New Roman"/>
                <w:sz w:val="20"/>
                <w:szCs w:val="20"/>
              </w:rPr>
            </w:pPr>
          </w:p>
        </w:tc>
        <w:tc>
          <w:tcPr>
            <w:tcW w:w="0" w:type="auto"/>
            <w:vAlign w:val="center"/>
            <w:hideMark/>
          </w:tcPr>
          <w:p w14:paraId="47646A3A" w14:textId="77777777" w:rsidR="00000000" w:rsidRDefault="00195E73">
            <w:pPr>
              <w:rPr>
                <w:rFonts w:eastAsia="Times New Roman"/>
                <w:sz w:val="20"/>
                <w:szCs w:val="20"/>
              </w:rPr>
            </w:pPr>
          </w:p>
        </w:tc>
        <w:tc>
          <w:tcPr>
            <w:tcW w:w="0" w:type="auto"/>
            <w:vAlign w:val="center"/>
            <w:hideMark/>
          </w:tcPr>
          <w:p w14:paraId="724BFBBF" w14:textId="77777777" w:rsidR="00000000" w:rsidRDefault="00195E73">
            <w:pPr>
              <w:rPr>
                <w:rFonts w:eastAsia="Times New Roman"/>
                <w:sz w:val="20"/>
                <w:szCs w:val="20"/>
              </w:rPr>
            </w:pPr>
          </w:p>
        </w:tc>
        <w:tc>
          <w:tcPr>
            <w:tcW w:w="0" w:type="auto"/>
            <w:vAlign w:val="center"/>
            <w:hideMark/>
          </w:tcPr>
          <w:p w14:paraId="6805D5EE" w14:textId="77777777" w:rsidR="00000000" w:rsidRDefault="00195E73">
            <w:pPr>
              <w:rPr>
                <w:rFonts w:eastAsia="Times New Roman"/>
                <w:sz w:val="20"/>
                <w:szCs w:val="20"/>
              </w:rPr>
            </w:pPr>
          </w:p>
        </w:tc>
        <w:tc>
          <w:tcPr>
            <w:tcW w:w="0" w:type="auto"/>
            <w:vAlign w:val="center"/>
            <w:hideMark/>
          </w:tcPr>
          <w:p w14:paraId="42ECFBEE" w14:textId="77777777" w:rsidR="00000000" w:rsidRDefault="00195E73">
            <w:pPr>
              <w:rPr>
                <w:rFonts w:eastAsia="Times New Roman"/>
                <w:sz w:val="20"/>
                <w:szCs w:val="20"/>
              </w:rPr>
            </w:pPr>
          </w:p>
        </w:tc>
        <w:tc>
          <w:tcPr>
            <w:tcW w:w="0" w:type="auto"/>
            <w:vAlign w:val="center"/>
            <w:hideMark/>
          </w:tcPr>
          <w:p w14:paraId="1889A597" w14:textId="77777777" w:rsidR="00000000" w:rsidRDefault="00195E73">
            <w:pPr>
              <w:rPr>
                <w:rFonts w:eastAsia="Times New Roman"/>
                <w:sz w:val="20"/>
                <w:szCs w:val="20"/>
              </w:rPr>
            </w:pPr>
          </w:p>
        </w:tc>
      </w:tr>
      <w:tr w:rsidR="00000000" w14:paraId="70767CA4" w14:textId="77777777">
        <w:trPr>
          <w:divId w:val="778334735"/>
          <w:jc w:val="center"/>
        </w:trPr>
        <w:tc>
          <w:tcPr>
            <w:tcW w:w="0" w:type="auto"/>
            <w:gridSpan w:val="3"/>
            <w:shd w:val="clear" w:color="auto" w:fill="FFFFFF"/>
            <w:tcMar>
              <w:top w:w="30" w:type="dxa"/>
              <w:left w:w="20" w:type="dxa"/>
              <w:bottom w:w="30" w:type="dxa"/>
              <w:right w:w="20" w:type="dxa"/>
            </w:tcMar>
            <w:vAlign w:val="bottom"/>
            <w:hideMark/>
          </w:tcPr>
          <w:p w14:paraId="366F7B57" w14:textId="77777777" w:rsidR="00000000" w:rsidRDefault="00195E73">
            <w:pPr>
              <w:rPr>
                <w:rFonts w:eastAsia="Times New Roman"/>
              </w:rPr>
            </w:pPr>
            <w:r>
              <w:rPr>
                <w:rFonts w:eastAsia="Times New Roman"/>
                <w:color w:val="000000"/>
                <w:sz w:val="20"/>
                <w:szCs w:val="20"/>
              </w:rPr>
              <w:t>      Energ</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14:paraId="6DDB8F25" w14:textId="77777777" w:rsidR="00000000" w:rsidRDefault="00195E73">
            <w:pPr>
              <w:jc w:val="right"/>
              <w:rPr>
                <w:rFonts w:eastAsia="Times New Roman"/>
              </w:rPr>
            </w:pPr>
            <w:r>
              <w:rPr>
                <w:rFonts w:eastAsia="Times New Roman"/>
                <w:color w:val="000000"/>
                <w:sz w:val="20"/>
                <w:szCs w:val="20"/>
              </w:rPr>
              <w:t>1,717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0F76C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B4C7F5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BE1EA7" w14:textId="77777777" w:rsidR="00000000" w:rsidRDefault="00195E73">
            <w:pPr>
              <w:jc w:val="right"/>
              <w:rPr>
                <w:rFonts w:eastAsia="Times New Roman"/>
              </w:rPr>
            </w:pPr>
            <w:r>
              <w:rPr>
                <w:rFonts w:eastAsia="Times New Roman"/>
                <w:color w:val="000000"/>
                <w:sz w:val="20"/>
                <w:szCs w:val="20"/>
              </w:rPr>
              <w:t>1,598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8AA8B5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1AF6111" w14:textId="77777777" w:rsidR="00000000" w:rsidRDefault="00195E73">
            <w:pPr>
              <w:rPr>
                <w:rFonts w:eastAsia="Times New Roman"/>
                <w:sz w:val="20"/>
                <w:szCs w:val="20"/>
              </w:rPr>
            </w:pPr>
          </w:p>
        </w:tc>
        <w:tc>
          <w:tcPr>
            <w:tcW w:w="0" w:type="auto"/>
            <w:vAlign w:val="center"/>
            <w:hideMark/>
          </w:tcPr>
          <w:p w14:paraId="202BA8D3" w14:textId="77777777" w:rsidR="00000000" w:rsidRDefault="00195E73">
            <w:pPr>
              <w:rPr>
                <w:rFonts w:eastAsia="Times New Roman"/>
                <w:sz w:val="20"/>
                <w:szCs w:val="20"/>
              </w:rPr>
            </w:pPr>
          </w:p>
        </w:tc>
        <w:tc>
          <w:tcPr>
            <w:tcW w:w="0" w:type="auto"/>
            <w:vAlign w:val="center"/>
            <w:hideMark/>
          </w:tcPr>
          <w:p w14:paraId="45F86824" w14:textId="77777777" w:rsidR="00000000" w:rsidRDefault="00195E73">
            <w:pPr>
              <w:rPr>
                <w:rFonts w:eastAsia="Times New Roman"/>
                <w:sz w:val="20"/>
                <w:szCs w:val="20"/>
              </w:rPr>
            </w:pPr>
          </w:p>
        </w:tc>
        <w:tc>
          <w:tcPr>
            <w:tcW w:w="0" w:type="auto"/>
            <w:vAlign w:val="center"/>
            <w:hideMark/>
          </w:tcPr>
          <w:p w14:paraId="65BFFD79" w14:textId="77777777" w:rsidR="00000000" w:rsidRDefault="00195E73">
            <w:pPr>
              <w:rPr>
                <w:rFonts w:eastAsia="Times New Roman"/>
                <w:sz w:val="20"/>
                <w:szCs w:val="20"/>
              </w:rPr>
            </w:pPr>
          </w:p>
        </w:tc>
        <w:tc>
          <w:tcPr>
            <w:tcW w:w="0" w:type="auto"/>
            <w:vAlign w:val="center"/>
            <w:hideMark/>
          </w:tcPr>
          <w:p w14:paraId="116C0757" w14:textId="77777777" w:rsidR="00000000" w:rsidRDefault="00195E73">
            <w:pPr>
              <w:rPr>
                <w:rFonts w:eastAsia="Times New Roman"/>
                <w:sz w:val="20"/>
                <w:szCs w:val="20"/>
              </w:rPr>
            </w:pPr>
          </w:p>
        </w:tc>
        <w:tc>
          <w:tcPr>
            <w:tcW w:w="0" w:type="auto"/>
            <w:vAlign w:val="center"/>
            <w:hideMark/>
          </w:tcPr>
          <w:p w14:paraId="78625C29" w14:textId="77777777" w:rsidR="00000000" w:rsidRDefault="00195E73">
            <w:pPr>
              <w:rPr>
                <w:rFonts w:eastAsia="Times New Roman"/>
                <w:sz w:val="20"/>
                <w:szCs w:val="20"/>
              </w:rPr>
            </w:pPr>
          </w:p>
        </w:tc>
      </w:tr>
      <w:tr w:rsidR="00000000" w14:paraId="6552C899" w14:textId="77777777">
        <w:trPr>
          <w:divId w:val="778334735"/>
          <w:jc w:val="center"/>
        </w:trPr>
        <w:tc>
          <w:tcPr>
            <w:tcW w:w="0" w:type="auto"/>
            <w:gridSpan w:val="3"/>
            <w:shd w:val="clear" w:color="auto" w:fill="CCEEFF"/>
            <w:tcMar>
              <w:top w:w="30" w:type="dxa"/>
              <w:left w:w="20" w:type="dxa"/>
              <w:bottom w:w="30" w:type="dxa"/>
              <w:right w:w="20" w:type="dxa"/>
            </w:tcMar>
            <w:vAlign w:val="bottom"/>
            <w:hideMark/>
          </w:tcPr>
          <w:p w14:paraId="0C988137" w14:textId="77777777" w:rsidR="00000000" w:rsidRDefault="00195E73">
            <w:pPr>
              <w:rPr>
                <w:rFonts w:eastAsia="Times New Roman"/>
              </w:rPr>
            </w:pPr>
            <w:r>
              <w:rPr>
                <w:rFonts w:eastAsia="Times New Roman"/>
                <w:color w:val="000000"/>
                <w:sz w:val="20"/>
                <w:szCs w:val="20"/>
              </w:rPr>
              <w:t>      Financia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14:paraId="51A1C22B"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A2C56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07B31A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2D4AA1" w14:textId="77777777" w:rsidR="00000000" w:rsidRDefault="00195E73">
            <w:pPr>
              <w:jc w:val="right"/>
              <w:rPr>
                <w:rFonts w:eastAsia="Times New Roman"/>
              </w:rPr>
            </w:pPr>
            <w:r>
              <w:rPr>
                <w:rFonts w:eastAsia="Times New Roman"/>
                <w:color w:val="000000"/>
                <w:sz w:val="20"/>
                <w:szCs w:val="20"/>
              </w:rPr>
              <w:t>167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194F6B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AC926AA" w14:textId="77777777" w:rsidR="00000000" w:rsidRDefault="00195E73">
            <w:pPr>
              <w:rPr>
                <w:rFonts w:eastAsia="Times New Roman"/>
                <w:sz w:val="20"/>
                <w:szCs w:val="20"/>
              </w:rPr>
            </w:pPr>
          </w:p>
        </w:tc>
        <w:tc>
          <w:tcPr>
            <w:tcW w:w="0" w:type="auto"/>
            <w:vAlign w:val="center"/>
            <w:hideMark/>
          </w:tcPr>
          <w:p w14:paraId="41DD2857" w14:textId="77777777" w:rsidR="00000000" w:rsidRDefault="00195E73">
            <w:pPr>
              <w:rPr>
                <w:rFonts w:eastAsia="Times New Roman"/>
                <w:sz w:val="20"/>
                <w:szCs w:val="20"/>
              </w:rPr>
            </w:pPr>
          </w:p>
        </w:tc>
        <w:tc>
          <w:tcPr>
            <w:tcW w:w="0" w:type="auto"/>
            <w:vAlign w:val="center"/>
            <w:hideMark/>
          </w:tcPr>
          <w:p w14:paraId="5C6170B0" w14:textId="77777777" w:rsidR="00000000" w:rsidRDefault="00195E73">
            <w:pPr>
              <w:rPr>
                <w:rFonts w:eastAsia="Times New Roman"/>
                <w:sz w:val="20"/>
                <w:szCs w:val="20"/>
              </w:rPr>
            </w:pPr>
          </w:p>
        </w:tc>
        <w:tc>
          <w:tcPr>
            <w:tcW w:w="0" w:type="auto"/>
            <w:vAlign w:val="center"/>
            <w:hideMark/>
          </w:tcPr>
          <w:p w14:paraId="212CFD09" w14:textId="77777777" w:rsidR="00000000" w:rsidRDefault="00195E73">
            <w:pPr>
              <w:rPr>
                <w:rFonts w:eastAsia="Times New Roman"/>
                <w:sz w:val="20"/>
                <w:szCs w:val="20"/>
              </w:rPr>
            </w:pPr>
          </w:p>
        </w:tc>
        <w:tc>
          <w:tcPr>
            <w:tcW w:w="0" w:type="auto"/>
            <w:vAlign w:val="center"/>
            <w:hideMark/>
          </w:tcPr>
          <w:p w14:paraId="55F407BA" w14:textId="77777777" w:rsidR="00000000" w:rsidRDefault="00195E73">
            <w:pPr>
              <w:rPr>
                <w:rFonts w:eastAsia="Times New Roman"/>
                <w:sz w:val="20"/>
                <w:szCs w:val="20"/>
              </w:rPr>
            </w:pPr>
          </w:p>
        </w:tc>
        <w:tc>
          <w:tcPr>
            <w:tcW w:w="0" w:type="auto"/>
            <w:vAlign w:val="center"/>
            <w:hideMark/>
          </w:tcPr>
          <w:p w14:paraId="0DD95306" w14:textId="77777777" w:rsidR="00000000" w:rsidRDefault="00195E73">
            <w:pPr>
              <w:rPr>
                <w:rFonts w:eastAsia="Times New Roman"/>
                <w:sz w:val="20"/>
                <w:szCs w:val="20"/>
              </w:rPr>
            </w:pPr>
          </w:p>
        </w:tc>
      </w:tr>
      <w:tr w:rsidR="00000000" w14:paraId="588ABAAB" w14:textId="77777777">
        <w:trPr>
          <w:divId w:val="778334735"/>
          <w:jc w:val="center"/>
        </w:trPr>
        <w:tc>
          <w:tcPr>
            <w:tcW w:w="0" w:type="auto"/>
            <w:gridSpan w:val="3"/>
            <w:shd w:val="clear" w:color="auto" w:fill="FFFFFF"/>
            <w:tcMar>
              <w:top w:w="30" w:type="dxa"/>
              <w:left w:w="20" w:type="dxa"/>
              <w:bottom w:w="30" w:type="dxa"/>
              <w:right w:w="20" w:type="dxa"/>
            </w:tcMar>
            <w:vAlign w:val="bottom"/>
            <w:hideMark/>
          </w:tcPr>
          <w:p w14:paraId="33E670FF" w14:textId="77777777" w:rsidR="00000000" w:rsidRDefault="00195E73">
            <w:pPr>
              <w:rPr>
                <w:rFonts w:eastAsia="Times New Roman"/>
              </w:rPr>
            </w:pPr>
            <w:r>
              <w:rPr>
                <w:rFonts w:eastAsia="Times New Roman"/>
                <w:color w:val="000000"/>
                <w:sz w:val="20"/>
                <w:szCs w:val="20"/>
              </w:rPr>
              <w:t>      Technolog</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14:paraId="2A89B131" w14:textId="77777777" w:rsidR="00000000" w:rsidRDefault="00195E73">
            <w:pPr>
              <w:jc w:val="right"/>
              <w:rPr>
                <w:rFonts w:eastAsia="Times New Roman"/>
              </w:rPr>
            </w:pPr>
            <w:r>
              <w:rPr>
                <w:rFonts w:eastAsia="Times New Roman"/>
                <w:color w:val="000000"/>
                <w:sz w:val="20"/>
                <w:szCs w:val="20"/>
              </w:rPr>
              <w:t>2,425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F5F745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C005CF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FB64B3" w14:textId="77777777" w:rsidR="00000000" w:rsidRDefault="00195E73">
            <w:pPr>
              <w:jc w:val="right"/>
              <w:rPr>
                <w:rFonts w:eastAsia="Times New Roman"/>
              </w:rPr>
            </w:pPr>
            <w:r>
              <w:rPr>
                <w:rFonts w:eastAsia="Times New Roman"/>
                <w:color w:val="000000"/>
                <w:sz w:val="20"/>
                <w:szCs w:val="20"/>
              </w:rPr>
              <w:t>1,040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B52C8E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1F1D6ED" w14:textId="77777777" w:rsidR="00000000" w:rsidRDefault="00195E73">
            <w:pPr>
              <w:rPr>
                <w:rFonts w:eastAsia="Times New Roman"/>
                <w:sz w:val="20"/>
                <w:szCs w:val="20"/>
              </w:rPr>
            </w:pPr>
          </w:p>
        </w:tc>
        <w:tc>
          <w:tcPr>
            <w:tcW w:w="0" w:type="auto"/>
            <w:vAlign w:val="center"/>
            <w:hideMark/>
          </w:tcPr>
          <w:p w14:paraId="65CF24DA" w14:textId="77777777" w:rsidR="00000000" w:rsidRDefault="00195E73">
            <w:pPr>
              <w:rPr>
                <w:rFonts w:eastAsia="Times New Roman"/>
                <w:sz w:val="20"/>
                <w:szCs w:val="20"/>
              </w:rPr>
            </w:pPr>
          </w:p>
        </w:tc>
        <w:tc>
          <w:tcPr>
            <w:tcW w:w="0" w:type="auto"/>
            <w:vAlign w:val="center"/>
            <w:hideMark/>
          </w:tcPr>
          <w:p w14:paraId="56C5A89E" w14:textId="77777777" w:rsidR="00000000" w:rsidRDefault="00195E73">
            <w:pPr>
              <w:rPr>
                <w:rFonts w:eastAsia="Times New Roman"/>
                <w:sz w:val="20"/>
                <w:szCs w:val="20"/>
              </w:rPr>
            </w:pPr>
          </w:p>
        </w:tc>
        <w:tc>
          <w:tcPr>
            <w:tcW w:w="0" w:type="auto"/>
            <w:vAlign w:val="center"/>
            <w:hideMark/>
          </w:tcPr>
          <w:p w14:paraId="77E2A50A" w14:textId="77777777" w:rsidR="00000000" w:rsidRDefault="00195E73">
            <w:pPr>
              <w:rPr>
                <w:rFonts w:eastAsia="Times New Roman"/>
                <w:sz w:val="20"/>
                <w:szCs w:val="20"/>
              </w:rPr>
            </w:pPr>
          </w:p>
        </w:tc>
        <w:tc>
          <w:tcPr>
            <w:tcW w:w="0" w:type="auto"/>
            <w:vAlign w:val="center"/>
            <w:hideMark/>
          </w:tcPr>
          <w:p w14:paraId="4CE26333" w14:textId="77777777" w:rsidR="00000000" w:rsidRDefault="00195E73">
            <w:pPr>
              <w:rPr>
                <w:rFonts w:eastAsia="Times New Roman"/>
                <w:sz w:val="20"/>
                <w:szCs w:val="20"/>
              </w:rPr>
            </w:pPr>
          </w:p>
        </w:tc>
        <w:tc>
          <w:tcPr>
            <w:tcW w:w="0" w:type="auto"/>
            <w:vAlign w:val="center"/>
            <w:hideMark/>
          </w:tcPr>
          <w:p w14:paraId="24046B07" w14:textId="77777777" w:rsidR="00000000" w:rsidRDefault="00195E73">
            <w:pPr>
              <w:rPr>
                <w:rFonts w:eastAsia="Times New Roman"/>
                <w:sz w:val="20"/>
                <w:szCs w:val="20"/>
              </w:rPr>
            </w:pPr>
          </w:p>
        </w:tc>
      </w:tr>
      <w:tr w:rsidR="00000000" w14:paraId="276AD5A4" w14:textId="77777777">
        <w:trPr>
          <w:divId w:val="778334735"/>
          <w:jc w:val="center"/>
        </w:trPr>
        <w:tc>
          <w:tcPr>
            <w:tcW w:w="0" w:type="auto"/>
            <w:gridSpan w:val="3"/>
            <w:shd w:val="clear" w:color="auto" w:fill="CCEEFF"/>
            <w:tcMar>
              <w:top w:w="30" w:type="dxa"/>
              <w:left w:w="20" w:type="dxa"/>
              <w:bottom w:w="30" w:type="dxa"/>
              <w:right w:w="20" w:type="dxa"/>
            </w:tcMar>
            <w:vAlign w:val="bottom"/>
            <w:hideMark/>
          </w:tcPr>
          <w:p w14:paraId="5D2804C4"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634BBA74" w14:textId="77777777" w:rsidR="00000000" w:rsidRDefault="00195E73">
            <w:pPr>
              <w:jc w:val="right"/>
              <w:rPr>
                <w:rFonts w:eastAsia="Times New Roman"/>
              </w:rPr>
            </w:pPr>
            <w:r>
              <w:rPr>
                <w:rFonts w:eastAsia="Times New Roman"/>
                <w:color w:val="000000"/>
                <w:sz w:val="20"/>
                <w:szCs w:val="20"/>
              </w:rPr>
              <w:t>127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B3CD98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87193F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45491C" w14:textId="77777777" w:rsidR="00000000" w:rsidRDefault="00195E73">
            <w:pPr>
              <w:jc w:val="right"/>
              <w:rPr>
                <w:rFonts w:eastAsia="Times New Roman"/>
              </w:rPr>
            </w:pPr>
            <w:r>
              <w:rPr>
                <w:rFonts w:eastAsia="Times New Roman"/>
                <w:color w:val="000000"/>
                <w:sz w:val="20"/>
                <w:szCs w:val="20"/>
              </w:rPr>
              <w:t>145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51298B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57A0470" w14:textId="77777777" w:rsidR="00000000" w:rsidRDefault="00195E73">
            <w:pPr>
              <w:rPr>
                <w:rFonts w:eastAsia="Times New Roman"/>
                <w:sz w:val="20"/>
                <w:szCs w:val="20"/>
              </w:rPr>
            </w:pPr>
          </w:p>
        </w:tc>
        <w:tc>
          <w:tcPr>
            <w:tcW w:w="0" w:type="auto"/>
            <w:vAlign w:val="center"/>
            <w:hideMark/>
          </w:tcPr>
          <w:p w14:paraId="15093A0C" w14:textId="77777777" w:rsidR="00000000" w:rsidRDefault="00195E73">
            <w:pPr>
              <w:rPr>
                <w:rFonts w:eastAsia="Times New Roman"/>
                <w:sz w:val="20"/>
                <w:szCs w:val="20"/>
              </w:rPr>
            </w:pPr>
          </w:p>
        </w:tc>
        <w:tc>
          <w:tcPr>
            <w:tcW w:w="0" w:type="auto"/>
            <w:vAlign w:val="center"/>
            <w:hideMark/>
          </w:tcPr>
          <w:p w14:paraId="1E048D6B" w14:textId="77777777" w:rsidR="00000000" w:rsidRDefault="00195E73">
            <w:pPr>
              <w:rPr>
                <w:rFonts w:eastAsia="Times New Roman"/>
                <w:sz w:val="20"/>
                <w:szCs w:val="20"/>
              </w:rPr>
            </w:pPr>
          </w:p>
        </w:tc>
        <w:tc>
          <w:tcPr>
            <w:tcW w:w="0" w:type="auto"/>
            <w:vAlign w:val="center"/>
            <w:hideMark/>
          </w:tcPr>
          <w:p w14:paraId="2FB1F80C" w14:textId="77777777" w:rsidR="00000000" w:rsidRDefault="00195E73">
            <w:pPr>
              <w:rPr>
                <w:rFonts w:eastAsia="Times New Roman"/>
                <w:sz w:val="20"/>
                <w:szCs w:val="20"/>
              </w:rPr>
            </w:pPr>
          </w:p>
        </w:tc>
        <w:tc>
          <w:tcPr>
            <w:tcW w:w="0" w:type="auto"/>
            <w:vAlign w:val="center"/>
            <w:hideMark/>
          </w:tcPr>
          <w:p w14:paraId="5985A459" w14:textId="77777777" w:rsidR="00000000" w:rsidRDefault="00195E73">
            <w:pPr>
              <w:rPr>
                <w:rFonts w:eastAsia="Times New Roman"/>
                <w:sz w:val="20"/>
                <w:szCs w:val="20"/>
              </w:rPr>
            </w:pPr>
          </w:p>
        </w:tc>
        <w:tc>
          <w:tcPr>
            <w:tcW w:w="0" w:type="auto"/>
            <w:vAlign w:val="center"/>
            <w:hideMark/>
          </w:tcPr>
          <w:p w14:paraId="76FEC8D0" w14:textId="77777777" w:rsidR="00000000" w:rsidRDefault="00195E73">
            <w:pPr>
              <w:rPr>
                <w:rFonts w:eastAsia="Times New Roman"/>
                <w:sz w:val="20"/>
                <w:szCs w:val="20"/>
              </w:rPr>
            </w:pPr>
          </w:p>
        </w:tc>
      </w:tr>
      <w:tr w:rsidR="00000000" w14:paraId="6FEF28C5" w14:textId="77777777">
        <w:trPr>
          <w:divId w:val="778334735"/>
          <w:jc w:val="center"/>
        </w:trPr>
        <w:tc>
          <w:tcPr>
            <w:tcW w:w="0" w:type="auto"/>
            <w:gridSpan w:val="3"/>
            <w:shd w:val="clear" w:color="auto" w:fill="FFFFFF"/>
            <w:tcMar>
              <w:top w:w="15" w:type="dxa"/>
              <w:left w:w="20" w:type="dxa"/>
              <w:bottom w:w="15" w:type="dxa"/>
              <w:right w:w="20" w:type="dxa"/>
            </w:tcMar>
            <w:vAlign w:val="bottom"/>
            <w:hideMark/>
          </w:tcPr>
          <w:p w14:paraId="4892B4A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28DD08" w14:textId="77777777" w:rsidR="00000000" w:rsidRDefault="00195E73">
            <w:pPr>
              <w:jc w:val="right"/>
              <w:rPr>
                <w:rFonts w:eastAsia="Times New Roman"/>
              </w:rPr>
            </w:pPr>
            <w:r>
              <w:rPr>
                <w:rFonts w:eastAsia="Times New Roman"/>
                <w:color w:val="000000"/>
                <w:sz w:val="20"/>
                <w:szCs w:val="20"/>
              </w:rPr>
              <w:t>9,062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DB4538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9F415F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FA7A1F" w14:textId="77777777" w:rsidR="00000000" w:rsidRDefault="00195E73">
            <w:pPr>
              <w:jc w:val="right"/>
              <w:rPr>
                <w:rFonts w:eastAsia="Times New Roman"/>
              </w:rPr>
            </w:pPr>
            <w:r>
              <w:rPr>
                <w:rFonts w:eastAsia="Times New Roman"/>
                <w:color w:val="000000"/>
                <w:sz w:val="20"/>
                <w:szCs w:val="20"/>
              </w:rPr>
              <w:t>6,686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B2BBA4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794EB90" w14:textId="77777777" w:rsidR="00000000" w:rsidRDefault="00195E73">
            <w:pPr>
              <w:rPr>
                <w:rFonts w:eastAsia="Times New Roman"/>
                <w:sz w:val="20"/>
                <w:szCs w:val="20"/>
              </w:rPr>
            </w:pPr>
          </w:p>
        </w:tc>
        <w:tc>
          <w:tcPr>
            <w:tcW w:w="0" w:type="auto"/>
            <w:vAlign w:val="center"/>
            <w:hideMark/>
          </w:tcPr>
          <w:p w14:paraId="171DC3A3" w14:textId="77777777" w:rsidR="00000000" w:rsidRDefault="00195E73">
            <w:pPr>
              <w:rPr>
                <w:rFonts w:eastAsia="Times New Roman"/>
                <w:sz w:val="20"/>
                <w:szCs w:val="20"/>
              </w:rPr>
            </w:pPr>
          </w:p>
        </w:tc>
        <w:tc>
          <w:tcPr>
            <w:tcW w:w="0" w:type="auto"/>
            <w:vAlign w:val="center"/>
            <w:hideMark/>
          </w:tcPr>
          <w:p w14:paraId="6BE71343" w14:textId="77777777" w:rsidR="00000000" w:rsidRDefault="00195E73">
            <w:pPr>
              <w:rPr>
                <w:rFonts w:eastAsia="Times New Roman"/>
                <w:sz w:val="20"/>
                <w:szCs w:val="20"/>
              </w:rPr>
            </w:pPr>
          </w:p>
        </w:tc>
        <w:tc>
          <w:tcPr>
            <w:tcW w:w="0" w:type="auto"/>
            <w:vAlign w:val="center"/>
            <w:hideMark/>
          </w:tcPr>
          <w:p w14:paraId="1ADAE362" w14:textId="77777777" w:rsidR="00000000" w:rsidRDefault="00195E73">
            <w:pPr>
              <w:rPr>
                <w:rFonts w:eastAsia="Times New Roman"/>
                <w:sz w:val="20"/>
                <w:szCs w:val="20"/>
              </w:rPr>
            </w:pPr>
          </w:p>
        </w:tc>
        <w:tc>
          <w:tcPr>
            <w:tcW w:w="0" w:type="auto"/>
            <w:vAlign w:val="center"/>
            <w:hideMark/>
          </w:tcPr>
          <w:p w14:paraId="5A51EBC2" w14:textId="77777777" w:rsidR="00000000" w:rsidRDefault="00195E73">
            <w:pPr>
              <w:rPr>
                <w:rFonts w:eastAsia="Times New Roman"/>
                <w:sz w:val="20"/>
                <w:szCs w:val="20"/>
              </w:rPr>
            </w:pPr>
          </w:p>
        </w:tc>
        <w:tc>
          <w:tcPr>
            <w:tcW w:w="0" w:type="auto"/>
            <w:vAlign w:val="center"/>
            <w:hideMark/>
          </w:tcPr>
          <w:p w14:paraId="13CE646B" w14:textId="77777777" w:rsidR="00000000" w:rsidRDefault="00195E73">
            <w:pPr>
              <w:rPr>
                <w:rFonts w:eastAsia="Times New Roman"/>
                <w:sz w:val="20"/>
                <w:szCs w:val="20"/>
              </w:rPr>
            </w:pPr>
          </w:p>
        </w:tc>
      </w:tr>
      <w:tr w:rsidR="00000000" w14:paraId="38B88EC1" w14:textId="77777777">
        <w:trPr>
          <w:divId w:val="778334735"/>
          <w:jc w:val="center"/>
        </w:trPr>
        <w:tc>
          <w:tcPr>
            <w:tcW w:w="0" w:type="auto"/>
            <w:gridSpan w:val="3"/>
            <w:shd w:val="clear" w:color="auto" w:fill="CCEEFF"/>
            <w:tcMar>
              <w:top w:w="30" w:type="dxa"/>
              <w:left w:w="20" w:type="dxa"/>
              <w:bottom w:w="30" w:type="dxa"/>
              <w:right w:w="20" w:type="dxa"/>
            </w:tcMar>
            <w:vAlign w:val="bottom"/>
            <w:hideMark/>
          </w:tcPr>
          <w:p w14:paraId="44FC0DD8" w14:textId="77777777" w:rsidR="00000000" w:rsidRDefault="00195E73">
            <w:pPr>
              <w:rPr>
                <w:rFonts w:eastAsia="Times New Roman"/>
              </w:rPr>
            </w:pPr>
            <w:r>
              <w:rPr>
                <w:rFonts w:eastAsia="Times New Roman"/>
                <w:color w:val="000000"/>
                <w:sz w:val="20"/>
                <w:szCs w:val="20"/>
              </w:rPr>
              <w:t>   Corporate debt securitie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ABF01D" w14:textId="77777777" w:rsidR="00000000" w:rsidRDefault="00195E73">
            <w:pPr>
              <w:jc w:val="right"/>
              <w:rPr>
                <w:rFonts w:eastAsia="Times New Roman"/>
              </w:rPr>
            </w:pPr>
            <w:r>
              <w:rPr>
                <w:rFonts w:eastAsia="Times New Roman"/>
                <w:color w:val="000000"/>
                <w:sz w:val="20"/>
                <w:szCs w:val="20"/>
              </w:rPr>
              <w:t>145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327377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286B8A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66A6E5" w14:textId="77777777" w:rsidR="00000000" w:rsidRDefault="00195E73">
            <w:pPr>
              <w:jc w:val="right"/>
              <w:rPr>
                <w:rFonts w:eastAsia="Times New Roman"/>
              </w:rPr>
            </w:pPr>
            <w:r>
              <w:rPr>
                <w:rFonts w:eastAsia="Times New Roman"/>
                <w:color w:val="000000"/>
                <w:sz w:val="20"/>
                <w:szCs w:val="20"/>
              </w:rPr>
              <w:t>181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E1DA34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20E30B6" w14:textId="77777777" w:rsidR="00000000" w:rsidRDefault="00195E73">
            <w:pPr>
              <w:rPr>
                <w:rFonts w:eastAsia="Times New Roman"/>
                <w:sz w:val="20"/>
                <w:szCs w:val="20"/>
              </w:rPr>
            </w:pPr>
          </w:p>
        </w:tc>
        <w:tc>
          <w:tcPr>
            <w:tcW w:w="0" w:type="auto"/>
            <w:vAlign w:val="center"/>
            <w:hideMark/>
          </w:tcPr>
          <w:p w14:paraId="056FA670" w14:textId="77777777" w:rsidR="00000000" w:rsidRDefault="00195E73">
            <w:pPr>
              <w:rPr>
                <w:rFonts w:eastAsia="Times New Roman"/>
                <w:sz w:val="20"/>
                <w:szCs w:val="20"/>
              </w:rPr>
            </w:pPr>
          </w:p>
        </w:tc>
        <w:tc>
          <w:tcPr>
            <w:tcW w:w="0" w:type="auto"/>
            <w:vAlign w:val="center"/>
            <w:hideMark/>
          </w:tcPr>
          <w:p w14:paraId="2750D4E1" w14:textId="77777777" w:rsidR="00000000" w:rsidRDefault="00195E73">
            <w:pPr>
              <w:rPr>
                <w:rFonts w:eastAsia="Times New Roman"/>
                <w:sz w:val="20"/>
                <w:szCs w:val="20"/>
              </w:rPr>
            </w:pPr>
          </w:p>
        </w:tc>
        <w:tc>
          <w:tcPr>
            <w:tcW w:w="0" w:type="auto"/>
            <w:vAlign w:val="center"/>
            <w:hideMark/>
          </w:tcPr>
          <w:p w14:paraId="63038C6F" w14:textId="77777777" w:rsidR="00000000" w:rsidRDefault="00195E73">
            <w:pPr>
              <w:rPr>
                <w:rFonts w:eastAsia="Times New Roman"/>
                <w:sz w:val="20"/>
                <w:szCs w:val="20"/>
              </w:rPr>
            </w:pPr>
          </w:p>
        </w:tc>
        <w:tc>
          <w:tcPr>
            <w:tcW w:w="0" w:type="auto"/>
            <w:vAlign w:val="center"/>
            <w:hideMark/>
          </w:tcPr>
          <w:p w14:paraId="1A2F7038" w14:textId="77777777" w:rsidR="00000000" w:rsidRDefault="00195E73">
            <w:pPr>
              <w:rPr>
                <w:rFonts w:eastAsia="Times New Roman"/>
                <w:sz w:val="20"/>
                <w:szCs w:val="20"/>
              </w:rPr>
            </w:pPr>
          </w:p>
        </w:tc>
        <w:tc>
          <w:tcPr>
            <w:tcW w:w="0" w:type="auto"/>
            <w:vAlign w:val="center"/>
            <w:hideMark/>
          </w:tcPr>
          <w:p w14:paraId="28F0CB6B" w14:textId="77777777" w:rsidR="00000000" w:rsidRDefault="00195E73">
            <w:pPr>
              <w:rPr>
                <w:rFonts w:eastAsia="Times New Roman"/>
                <w:sz w:val="20"/>
                <w:szCs w:val="20"/>
              </w:rPr>
            </w:pPr>
          </w:p>
        </w:tc>
      </w:tr>
      <w:tr w:rsidR="00000000" w14:paraId="567CAAEE" w14:textId="77777777">
        <w:trPr>
          <w:divId w:val="778334735"/>
          <w:jc w:val="center"/>
        </w:trPr>
        <w:tc>
          <w:tcPr>
            <w:tcW w:w="0" w:type="auto"/>
            <w:gridSpan w:val="3"/>
            <w:shd w:val="clear" w:color="auto" w:fill="FFFFFF"/>
            <w:tcMar>
              <w:top w:w="15" w:type="dxa"/>
              <w:left w:w="20" w:type="dxa"/>
              <w:bottom w:w="15" w:type="dxa"/>
              <w:right w:w="20" w:type="dxa"/>
            </w:tcMar>
            <w:vAlign w:val="bottom"/>
            <w:hideMark/>
          </w:tcPr>
          <w:p w14:paraId="1B495583"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7623C6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EB550DB" w14:textId="77777777" w:rsidR="00000000" w:rsidRDefault="00195E73">
            <w:pPr>
              <w:jc w:val="right"/>
              <w:rPr>
                <w:rFonts w:eastAsia="Times New Roman"/>
              </w:rPr>
            </w:pPr>
            <w:r>
              <w:rPr>
                <w:rFonts w:eastAsia="Times New Roman"/>
                <w:color w:val="000000"/>
                <w:sz w:val="20"/>
                <w:szCs w:val="20"/>
              </w:rPr>
              <w:t>9,207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CEBB5E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9AF332C"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14ACBF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D7EB5CA" w14:textId="77777777" w:rsidR="00000000" w:rsidRDefault="00195E73">
            <w:pPr>
              <w:jc w:val="right"/>
              <w:rPr>
                <w:rFonts w:eastAsia="Times New Roman"/>
              </w:rPr>
            </w:pPr>
            <w:r>
              <w:rPr>
                <w:rFonts w:eastAsia="Times New Roman"/>
                <w:color w:val="000000"/>
                <w:sz w:val="20"/>
                <w:szCs w:val="20"/>
              </w:rPr>
              <w:t>6,867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110ED0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1624643" w14:textId="77777777" w:rsidR="00000000" w:rsidRDefault="00195E73">
            <w:pPr>
              <w:rPr>
                <w:rFonts w:eastAsia="Times New Roman"/>
                <w:sz w:val="20"/>
                <w:szCs w:val="20"/>
              </w:rPr>
            </w:pPr>
          </w:p>
        </w:tc>
        <w:tc>
          <w:tcPr>
            <w:tcW w:w="0" w:type="auto"/>
            <w:vAlign w:val="center"/>
            <w:hideMark/>
          </w:tcPr>
          <w:p w14:paraId="422E69EE" w14:textId="77777777" w:rsidR="00000000" w:rsidRDefault="00195E73">
            <w:pPr>
              <w:rPr>
                <w:rFonts w:eastAsia="Times New Roman"/>
                <w:sz w:val="20"/>
                <w:szCs w:val="20"/>
              </w:rPr>
            </w:pPr>
          </w:p>
        </w:tc>
        <w:tc>
          <w:tcPr>
            <w:tcW w:w="0" w:type="auto"/>
            <w:vAlign w:val="center"/>
            <w:hideMark/>
          </w:tcPr>
          <w:p w14:paraId="09A2B764" w14:textId="77777777" w:rsidR="00000000" w:rsidRDefault="00195E73">
            <w:pPr>
              <w:rPr>
                <w:rFonts w:eastAsia="Times New Roman"/>
                <w:sz w:val="20"/>
                <w:szCs w:val="20"/>
              </w:rPr>
            </w:pPr>
          </w:p>
        </w:tc>
        <w:tc>
          <w:tcPr>
            <w:tcW w:w="0" w:type="auto"/>
            <w:vAlign w:val="center"/>
            <w:hideMark/>
          </w:tcPr>
          <w:p w14:paraId="42622855" w14:textId="77777777" w:rsidR="00000000" w:rsidRDefault="00195E73">
            <w:pPr>
              <w:rPr>
                <w:rFonts w:eastAsia="Times New Roman"/>
                <w:sz w:val="20"/>
                <w:szCs w:val="20"/>
              </w:rPr>
            </w:pPr>
          </w:p>
        </w:tc>
        <w:tc>
          <w:tcPr>
            <w:tcW w:w="0" w:type="auto"/>
            <w:vAlign w:val="center"/>
            <w:hideMark/>
          </w:tcPr>
          <w:p w14:paraId="4AB216C6" w14:textId="77777777" w:rsidR="00000000" w:rsidRDefault="00195E73">
            <w:pPr>
              <w:rPr>
                <w:rFonts w:eastAsia="Times New Roman"/>
                <w:sz w:val="20"/>
                <w:szCs w:val="20"/>
              </w:rPr>
            </w:pPr>
          </w:p>
        </w:tc>
        <w:tc>
          <w:tcPr>
            <w:tcW w:w="0" w:type="auto"/>
            <w:vAlign w:val="center"/>
            <w:hideMark/>
          </w:tcPr>
          <w:p w14:paraId="2D20983A" w14:textId="77777777" w:rsidR="00000000" w:rsidRDefault="00195E73">
            <w:pPr>
              <w:rPr>
                <w:rFonts w:eastAsia="Times New Roman"/>
                <w:sz w:val="20"/>
                <w:szCs w:val="20"/>
              </w:rPr>
            </w:pPr>
          </w:p>
        </w:tc>
      </w:tr>
      <w:tr w:rsidR="00000000" w14:paraId="37ECD4A8" w14:textId="77777777">
        <w:trPr>
          <w:divId w:val="778334735"/>
          <w:jc w:val="center"/>
        </w:trPr>
        <w:tc>
          <w:tcPr>
            <w:tcW w:w="0" w:type="auto"/>
            <w:gridSpan w:val="3"/>
            <w:shd w:val="clear" w:color="auto" w:fill="CCEEFF"/>
            <w:tcMar>
              <w:top w:w="30" w:type="dxa"/>
              <w:left w:w="20" w:type="dxa"/>
              <w:bottom w:w="30" w:type="dxa"/>
              <w:right w:w="20" w:type="dxa"/>
            </w:tcMar>
            <w:vAlign w:val="bottom"/>
            <w:hideMark/>
          </w:tcPr>
          <w:p w14:paraId="07B65FB4" w14:textId="77777777" w:rsidR="00000000" w:rsidRDefault="00195E73">
            <w:pPr>
              <w:jc w:val="center"/>
              <w:rPr>
                <w:rFonts w:eastAsia="Times New Roman"/>
              </w:rPr>
            </w:pPr>
            <w:r>
              <w:rPr>
                <w:rFonts w:eastAsia="Times New Roman"/>
                <w:b/>
                <w:bCs/>
                <w:color w:val="000000"/>
                <w:sz w:val="20"/>
                <w:szCs w:val="20"/>
              </w:rPr>
              <w:t>Liabilitie</w:t>
            </w:r>
            <w:r>
              <w:rPr>
                <w:rFonts w:eastAsia="Times New Roman"/>
                <w:b/>
                <w:bCs/>
                <w:color w:val="000000"/>
                <w:sz w:val="20"/>
                <w:szCs w:val="20"/>
              </w:rPr>
              <w:t>s</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A823DCD" w14:textId="77777777" w:rsidR="00000000" w:rsidRDefault="00195E73">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7189D143"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4F2DF7D7" w14:textId="77777777" w:rsidR="00000000" w:rsidRDefault="00195E73">
            <w:pPr>
              <w:rPr>
                <w:rFonts w:eastAsia="Times New Roman"/>
                <w:sz w:val="20"/>
                <w:szCs w:val="20"/>
              </w:rPr>
            </w:pPr>
          </w:p>
        </w:tc>
        <w:tc>
          <w:tcPr>
            <w:tcW w:w="0" w:type="auto"/>
            <w:vAlign w:val="center"/>
            <w:hideMark/>
          </w:tcPr>
          <w:p w14:paraId="3189E0BA" w14:textId="77777777" w:rsidR="00000000" w:rsidRDefault="00195E73">
            <w:pPr>
              <w:rPr>
                <w:rFonts w:eastAsia="Times New Roman"/>
                <w:sz w:val="20"/>
                <w:szCs w:val="20"/>
              </w:rPr>
            </w:pPr>
          </w:p>
        </w:tc>
        <w:tc>
          <w:tcPr>
            <w:tcW w:w="0" w:type="auto"/>
            <w:vAlign w:val="center"/>
            <w:hideMark/>
          </w:tcPr>
          <w:p w14:paraId="117F0F72" w14:textId="77777777" w:rsidR="00000000" w:rsidRDefault="00195E73">
            <w:pPr>
              <w:rPr>
                <w:rFonts w:eastAsia="Times New Roman"/>
                <w:sz w:val="20"/>
                <w:szCs w:val="20"/>
              </w:rPr>
            </w:pPr>
          </w:p>
        </w:tc>
        <w:tc>
          <w:tcPr>
            <w:tcW w:w="0" w:type="auto"/>
            <w:vAlign w:val="center"/>
            <w:hideMark/>
          </w:tcPr>
          <w:p w14:paraId="52805404" w14:textId="77777777" w:rsidR="00000000" w:rsidRDefault="00195E73">
            <w:pPr>
              <w:rPr>
                <w:rFonts w:eastAsia="Times New Roman"/>
                <w:sz w:val="20"/>
                <w:szCs w:val="20"/>
              </w:rPr>
            </w:pPr>
          </w:p>
        </w:tc>
        <w:tc>
          <w:tcPr>
            <w:tcW w:w="0" w:type="auto"/>
            <w:vAlign w:val="center"/>
            <w:hideMark/>
          </w:tcPr>
          <w:p w14:paraId="202401DC" w14:textId="77777777" w:rsidR="00000000" w:rsidRDefault="00195E73">
            <w:pPr>
              <w:rPr>
                <w:rFonts w:eastAsia="Times New Roman"/>
                <w:sz w:val="20"/>
                <w:szCs w:val="20"/>
              </w:rPr>
            </w:pPr>
          </w:p>
        </w:tc>
        <w:tc>
          <w:tcPr>
            <w:tcW w:w="0" w:type="auto"/>
            <w:vAlign w:val="center"/>
            <w:hideMark/>
          </w:tcPr>
          <w:p w14:paraId="206817AF" w14:textId="77777777" w:rsidR="00000000" w:rsidRDefault="00195E73">
            <w:pPr>
              <w:rPr>
                <w:rFonts w:eastAsia="Times New Roman"/>
                <w:sz w:val="20"/>
                <w:szCs w:val="20"/>
              </w:rPr>
            </w:pPr>
          </w:p>
        </w:tc>
        <w:tc>
          <w:tcPr>
            <w:tcW w:w="0" w:type="auto"/>
            <w:vAlign w:val="center"/>
            <w:hideMark/>
          </w:tcPr>
          <w:p w14:paraId="54616858" w14:textId="77777777" w:rsidR="00000000" w:rsidRDefault="00195E73">
            <w:pPr>
              <w:rPr>
                <w:rFonts w:eastAsia="Times New Roman"/>
                <w:sz w:val="20"/>
                <w:szCs w:val="20"/>
              </w:rPr>
            </w:pPr>
          </w:p>
        </w:tc>
      </w:tr>
      <w:tr w:rsidR="00000000" w14:paraId="069CFCB3" w14:textId="77777777">
        <w:trPr>
          <w:divId w:val="778334735"/>
          <w:jc w:val="center"/>
        </w:trPr>
        <w:tc>
          <w:tcPr>
            <w:tcW w:w="0" w:type="auto"/>
            <w:gridSpan w:val="3"/>
            <w:shd w:val="clear" w:color="auto" w:fill="FFFFFF"/>
            <w:tcMar>
              <w:top w:w="30" w:type="dxa"/>
              <w:left w:w="20" w:type="dxa"/>
              <w:bottom w:w="30" w:type="dxa"/>
              <w:right w:w="20" w:type="dxa"/>
            </w:tcMar>
            <w:vAlign w:val="bottom"/>
            <w:hideMark/>
          </w:tcPr>
          <w:p w14:paraId="13A6FEF6" w14:textId="77777777" w:rsidR="00000000" w:rsidRDefault="00195E73">
            <w:pPr>
              <w:ind w:hanging="180"/>
              <w:divId w:val="123935900"/>
              <w:rPr>
                <w:rFonts w:eastAsia="Times New Roman"/>
              </w:rPr>
            </w:pPr>
            <w:r>
              <w:rPr>
                <w:rFonts w:eastAsia="Times New Roman"/>
                <w:color w:val="000000"/>
                <w:sz w:val="20"/>
                <w:szCs w:val="20"/>
              </w:rPr>
              <w:t>Securities sold, not yet purchased, at fair value</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088FD340" w14:textId="77777777" w:rsidR="00000000" w:rsidRDefault="00195E73">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10A7F45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655D9B8" w14:textId="77777777" w:rsidR="00000000" w:rsidRDefault="00195E73">
            <w:pPr>
              <w:rPr>
                <w:rFonts w:eastAsia="Times New Roman"/>
                <w:sz w:val="20"/>
                <w:szCs w:val="20"/>
              </w:rPr>
            </w:pPr>
          </w:p>
        </w:tc>
        <w:tc>
          <w:tcPr>
            <w:tcW w:w="0" w:type="auto"/>
            <w:vAlign w:val="center"/>
            <w:hideMark/>
          </w:tcPr>
          <w:p w14:paraId="768E2415" w14:textId="77777777" w:rsidR="00000000" w:rsidRDefault="00195E73">
            <w:pPr>
              <w:rPr>
                <w:rFonts w:eastAsia="Times New Roman"/>
                <w:sz w:val="20"/>
                <w:szCs w:val="20"/>
              </w:rPr>
            </w:pPr>
          </w:p>
        </w:tc>
        <w:tc>
          <w:tcPr>
            <w:tcW w:w="0" w:type="auto"/>
            <w:vAlign w:val="center"/>
            <w:hideMark/>
          </w:tcPr>
          <w:p w14:paraId="460B3B54" w14:textId="77777777" w:rsidR="00000000" w:rsidRDefault="00195E73">
            <w:pPr>
              <w:rPr>
                <w:rFonts w:eastAsia="Times New Roman"/>
                <w:sz w:val="20"/>
                <w:szCs w:val="20"/>
              </w:rPr>
            </w:pPr>
          </w:p>
        </w:tc>
        <w:tc>
          <w:tcPr>
            <w:tcW w:w="0" w:type="auto"/>
            <w:vAlign w:val="center"/>
            <w:hideMark/>
          </w:tcPr>
          <w:p w14:paraId="37EFEF8A" w14:textId="77777777" w:rsidR="00000000" w:rsidRDefault="00195E73">
            <w:pPr>
              <w:rPr>
                <w:rFonts w:eastAsia="Times New Roman"/>
                <w:sz w:val="20"/>
                <w:szCs w:val="20"/>
              </w:rPr>
            </w:pPr>
          </w:p>
        </w:tc>
        <w:tc>
          <w:tcPr>
            <w:tcW w:w="0" w:type="auto"/>
            <w:vAlign w:val="center"/>
            <w:hideMark/>
          </w:tcPr>
          <w:p w14:paraId="0AC55BCD" w14:textId="77777777" w:rsidR="00000000" w:rsidRDefault="00195E73">
            <w:pPr>
              <w:rPr>
                <w:rFonts w:eastAsia="Times New Roman"/>
                <w:sz w:val="20"/>
                <w:szCs w:val="20"/>
              </w:rPr>
            </w:pPr>
          </w:p>
        </w:tc>
        <w:tc>
          <w:tcPr>
            <w:tcW w:w="0" w:type="auto"/>
            <w:vAlign w:val="center"/>
            <w:hideMark/>
          </w:tcPr>
          <w:p w14:paraId="505F72B5" w14:textId="77777777" w:rsidR="00000000" w:rsidRDefault="00195E73">
            <w:pPr>
              <w:rPr>
                <w:rFonts w:eastAsia="Times New Roman"/>
                <w:sz w:val="20"/>
                <w:szCs w:val="20"/>
              </w:rPr>
            </w:pPr>
          </w:p>
        </w:tc>
        <w:tc>
          <w:tcPr>
            <w:tcW w:w="0" w:type="auto"/>
            <w:vAlign w:val="center"/>
            <w:hideMark/>
          </w:tcPr>
          <w:p w14:paraId="78C05C2C" w14:textId="77777777" w:rsidR="00000000" w:rsidRDefault="00195E73">
            <w:pPr>
              <w:rPr>
                <w:rFonts w:eastAsia="Times New Roman"/>
                <w:sz w:val="20"/>
                <w:szCs w:val="20"/>
              </w:rPr>
            </w:pPr>
          </w:p>
        </w:tc>
      </w:tr>
      <w:tr w:rsidR="00000000" w14:paraId="7EB050D8" w14:textId="77777777">
        <w:trPr>
          <w:divId w:val="778334735"/>
          <w:jc w:val="center"/>
        </w:trPr>
        <w:tc>
          <w:tcPr>
            <w:tcW w:w="0" w:type="auto"/>
            <w:gridSpan w:val="3"/>
            <w:shd w:val="clear" w:color="auto" w:fill="CCEEFF"/>
            <w:tcMar>
              <w:top w:w="30" w:type="dxa"/>
              <w:left w:w="20" w:type="dxa"/>
              <w:bottom w:w="30" w:type="dxa"/>
              <w:right w:w="20" w:type="dxa"/>
            </w:tcMar>
            <w:vAlign w:val="bottom"/>
            <w:hideMark/>
          </w:tcPr>
          <w:p w14:paraId="4F97041E" w14:textId="77777777" w:rsidR="00000000" w:rsidRDefault="00195E73">
            <w:pPr>
              <w:rPr>
                <w:rFonts w:eastAsia="Times New Roman"/>
              </w:rPr>
            </w:pPr>
            <w:r>
              <w:rPr>
                <w:rFonts w:eastAsia="Times New Roman"/>
                <w:color w:val="000000"/>
                <w:sz w:val="20"/>
                <w:szCs w:val="20"/>
              </w:rPr>
              <w:t>   Equity securities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6F85C95D"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7A8AE626"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DAC3944" w14:textId="77777777" w:rsidR="00000000" w:rsidRDefault="00195E73">
            <w:pPr>
              <w:rPr>
                <w:rFonts w:eastAsia="Times New Roman"/>
                <w:sz w:val="20"/>
                <w:szCs w:val="20"/>
              </w:rPr>
            </w:pPr>
          </w:p>
        </w:tc>
        <w:tc>
          <w:tcPr>
            <w:tcW w:w="0" w:type="auto"/>
            <w:vAlign w:val="center"/>
            <w:hideMark/>
          </w:tcPr>
          <w:p w14:paraId="131DAA1E" w14:textId="77777777" w:rsidR="00000000" w:rsidRDefault="00195E73">
            <w:pPr>
              <w:rPr>
                <w:rFonts w:eastAsia="Times New Roman"/>
                <w:sz w:val="20"/>
                <w:szCs w:val="20"/>
              </w:rPr>
            </w:pPr>
          </w:p>
        </w:tc>
        <w:tc>
          <w:tcPr>
            <w:tcW w:w="0" w:type="auto"/>
            <w:vAlign w:val="center"/>
            <w:hideMark/>
          </w:tcPr>
          <w:p w14:paraId="7413EE27" w14:textId="77777777" w:rsidR="00000000" w:rsidRDefault="00195E73">
            <w:pPr>
              <w:rPr>
                <w:rFonts w:eastAsia="Times New Roman"/>
                <w:sz w:val="20"/>
                <w:szCs w:val="20"/>
              </w:rPr>
            </w:pPr>
          </w:p>
        </w:tc>
        <w:tc>
          <w:tcPr>
            <w:tcW w:w="0" w:type="auto"/>
            <w:vAlign w:val="center"/>
            <w:hideMark/>
          </w:tcPr>
          <w:p w14:paraId="3BA44348" w14:textId="77777777" w:rsidR="00000000" w:rsidRDefault="00195E73">
            <w:pPr>
              <w:rPr>
                <w:rFonts w:eastAsia="Times New Roman"/>
                <w:sz w:val="20"/>
                <w:szCs w:val="20"/>
              </w:rPr>
            </w:pPr>
          </w:p>
        </w:tc>
        <w:tc>
          <w:tcPr>
            <w:tcW w:w="0" w:type="auto"/>
            <w:vAlign w:val="center"/>
            <w:hideMark/>
          </w:tcPr>
          <w:p w14:paraId="27B5F767" w14:textId="77777777" w:rsidR="00000000" w:rsidRDefault="00195E73">
            <w:pPr>
              <w:rPr>
                <w:rFonts w:eastAsia="Times New Roman"/>
                <w:sz w:val="20"/>
                <w:szCs w:val="20"/>
              </w:rPr>
            </w:pPr>
          </w:p>
        </w:tc>
        <w:tc>
          <w:tcPr>
            <w:tcW w:w="0" w:type="auto"/>
            <w:vAlign w:val="center"/>
            <w:hideMark/>
          </w:tcPr>
          <w:p w14:paraId="0AE0E085" w14:textId="77777777" w:rsidR="00000000" w:rsidRDefault="00195E73">
            <w:pPr>
              <w:rPr>
                <w:rFonts w:eastAsia="Times New Roman"/>
                <w:sz w:val="20"/>
                <w:szCs w:val="20"/>
              </w:rPr>
            </w:pPr>
          </w:p>
        </w:tc>
        <w:tc>
          <w:tcPr>
            <w:tcW w:w="0" w:type="auto"/>
            <w:vAlign w:val="center"/>
            <w:hideMark/>
          </w:tcPr>
          <w:p w14:paraId="70120756" w14:textId="77777777" w:rsidR="00000000" w:rsidRDefault="00195E73">
            <w:pPr>
              <w:rPr>
                <w:rFonts w:eastAsia="Times New Roman"/>
                <w:sz w:val="20"/>
                <w:szCs w:val="20"/>
              </w:rPr>
            </w:pPr>
          </w:p>
        </w:tc>
      </w:tr>
      <w:tr w:rsidR="00000000" w14:paraId="2B2D7DE2" w14:textId="77777777">
        <w:trPr>
          <w:divId w:val="778334735"/>
          <w:jc w:val="center"/>
        </w:trPr>
        <w:tc>
          <w:tcPr>
            <w:tcW w:w="0" w:type="auto"/>
            <w:gridSpan w:val="3"/>
            <w:shd w:val="clear" w:color="auto" w:fill="FFFFFF"/>
            <w:tcMar>
              <w:top w:w="30" w:type="dxa"/>
              <w:left w:w="20" w:type="dxa"/>
              <w:bottom w:w="30" w:type="dxa"/>
              <w:right w:w="20" w:type="dxa"/>
            </w:tcMar>
            <w:vAlign w:val="bottom"/>
            <w:hideMark/>
          </w:tcPr>
          <w:p w14:paraId="4D1A702B" w14:textId="77777777" w:rsidR="00000000" w:rsidRDefault="00195E73">
            <w:pPr>
              <w:rPr>
                <w:rFonts w:eastAsia="Times New Roman"/>
              </w:rPr>
            </w:pPr>
            <w:r>
              <w:rPr>
                <w:rFonts w:eastAsia="Times New Roman"/>
                <w:color w:val="000000"/>
                <w:sz w:val="20"/>
                <w:szCs w:val="20"/>
              </w:rPr>
              <w:t>      Basic material</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14:paraId="0A4E0BA6"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6F21939A" w14:textId="77777777" w:rsidR="00000000" w:rsidRDefault="00195E73">
            <w:pPr>
              <w:jc w:val="right"/>
              <w:rPr>
                <w:rFonts w:eastAsia="Times New Roman"/>
              </w:rPr>
            </w:pPr>
            <w:r>
              <w:rPr>
                <w:rFonts w:eastAsia="Times New Roman"/>
                <w:color w:val="000000"/>
                <w:sz w:val="20"/>
                <w:szCs w:val="20"/>
              </w:rPr>
              <w:t>209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62872E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8CD00C8"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3BA3ABAF"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0FE26C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123523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316470C" w14:textId="77777777" w:rsidR="00000000" w:rsidRDefault="00195E73">
            <w:pPr>
              <w:rPr>
                <w:rFonts w:eastAsia="Times New Roman"/>
                <w:sz w:val="20"/>
                <w:szCs w:val="20"/>
              </w:rPr>
            </w:pPr>
          </w:p>
        </w:tc>
        <w:tc>
          <w:tcPr>
            <w:tcW w:w="0" w:type="auto"/>
            <w:vAlign w:val="center"/>
            <w:hideMark/>
          </w:tcPr>
          <w:p w14:paraId="48B0783E" w14:textId="77777777" w:rsidR="00000000" w:rsidRDefault="00195E73">
            <w:pPr>
              <w:rPr>
                <w:rFonts w:eastAsia="Times New Roman"/>
                <w:sz w:val="20"/>
                <w:szCs w:val="20"/>
              </w:rPr>
            </w:pPr>
          </w:p>
        </w:tc>
        <w:tc>
          <w:tcPr>
            <w:tcW w:w="0" w:type="auto"/>
            <w:vAlign w:val="center"/>
            <w:hideMark/>
          </w:tcPr>
          <w:p w14:paraId="3501C282" w14:textId="77777777" w:rsidR="00000000" w:rsidRDefault="00195E73">
            <w:pPr>
              <w:rPr>
                <w:rFonts w:eastAsia="Times New Roman"/>
                <w:sz w:val="20"/>
                <w:szCs w:val="20"/>
              </w:rPr>
            </w:pPr>
          </w:p>
        </w:tc>
        <w:tc>
          <w:tcPr>
            <w:tcW w:w="0" w:type="auto"/>
            <w:vAlign w:val="center"/>
            <w:hideMark/>
          </w:tcPr>
          <w:p w14:paraId="1F8FC2DB" w14:textId="77777777" w:rsidR="00000000" w:rsidRDefault="00195E73">
            <w:pPr>
              <w:rPr>
                <w:rFonts w:eastAsia="Times New Roman"/>
                <w:sz w:val="20"/>
                <w:szCs w:val="20"/>
              </w:rPr>
            </w:pPr>
          </w:p>
        </w:tc>
        <w:tc>
          <w:tcPr>
            <w:tcW w:w="0" w:type="auto"/>
            <w:vAlign w:val="center"/>
            <w:hideMark/>
          </w:tcPr>
          <w:p w14:paraId="693305ED" w14:textId="77777777" w:rsidR="00000000" w:rsidRDefault="00195E73">
            <w:pPr>
              <w:rPr>
                <w:rFonts w:eastAsia="Times New Roman"/>
                <w:sz w:val="20"/>
                <w:szCs w:val="20"/>
              </w:rPr>
            </w:pPr>
          </w:p>
        </w:tc>
        <w:tc>
          <w:tcPr>
            <w:tcW w:w="0" w:type="auto"/>
            <w:vAlign w:val="center"/>
            <w:hideMark/>
          </w:tcPr>
          <w:p w14:paraId="6577420B" w14:textId="77777777" w:rsidR="00000000" w:rsidRDefault="00195E73">
            <w:pPr>
              <w:rPr>
                <w:rFonts w:eastAsia="Times New Roman"/>
                <w:sz w:val="20"/>
                <w:szCs w:val="20"/>
              </w:rPr>
            </w:pPr>
          </w:p>
        </w:tc>
      </w:tr>
      <w:tr w:rsidR="00000000" w14:paraId="1E5777CF" w14:textId="77777777">
        <w:trPr>
          <w:divId w:val="778334735"/>
          <w:jc w:val="center"/>
        </w:trPr>
        <w:tc>
          <w:tcPr>
            <w:tcW w:w="0" w:type="auto"/>
            <w:gridSpan w:val="3"/>
            <w:shd w:val="clear" w:color="auto" w:fill="CCEEFF"/>
            <w:tcMar>
              <w:top w:w="30" w:type="dxa"/>
              <w:left w:w="20" w:type="dxa"/>
              <w:bottom w:w="30" w:type="dxa"/>
              <w:right w:w="20" w:type="dxa"/>
            </w:tcMar>
            <w:vAlign w:val="bottom"/>
            <w:hideMark/>
          </w:tcPr>
          <w:p w14:paraId="0B43116F" w14:textId="77777777" w:rsidR="00000000" w:rsidRDefault="00195E73">
            <w:pPr>
              <w:rPr>
                <w:rFonts w:eastAsia="Times New Roman"/>
              </w:rPr>
            </w:pPr>
            <w:r>
              <w:rPr>
                <w:rFonts w:eastAsia="Times New Roman"/>
                <w:color w:val="000000"/>
                <w:sz w:val="20"/>
                <w:szCs w:val="20"/>
              </w:rPr>
              <w:t>      Consumer, non-cyclica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14:paraId="270089FF" w14:textId="77777777" w:rsidR="00000000" w:rsidRDefault="00195E73">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ABAB7B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274E5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F50512" w14:textId="77777777" w:rsidR="00000000" w:rsidRDefault="00195E73">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D0567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392AFCE" w14:textId="77777777" w:rsidR="00000000" w:rsidRDefault="00195E73">
            <w:pPr>
              <w:rPr>
                <w:rFonts w:eastAsia="Times New Roman"/>
                <w:sz w:val="20"/>
                <w:szCs w:val="20"/>
              </w:rPr>
            </w:pPr>
          </w:p>
        </w:tc>
        <w:tc>
          <w:tcPr>
            <w:tcW w:w="0" w:type="auto"/>
            <w:vAlign w:val="center"/>
            <w:hideMark/>
          </w:tcPr>
          <w:p w14:paraId="5D6F6D17" w14:textId="77777777" w:rsidR="00000000" w:rsidRDefault="00195E73">
            <w:pPr>
              <w:rPr>
                <w:rFonts w:eastAsia="Times New Roman"/>
                <w:sz w:val="20"/>
                <w:szCs w:val="20"/>
              </w:rPr>
            </w:pPr>
          </w:p>
        </w:tc>
        <w:tc>
          <w:tcPr>
            <w:tcW w:w="0" w:type="auto"/>
            <w:vAlign w:val="center"/>
            <w:hideMark/>
          </w:tcPr>
          <w:p w14:paraId="16B903EB" w14:textId="77777777" w:rsidR="00000000" w:rsidRDefault="00195E73">
            <w:pPr>
              <w:rPr>
                <w:rFonts w:eastAsia="Times New Roman"/>
                <w:sz w:val="20"/>
                <w:szCs w:val="20"/>
              </w:rPr>
            </w:pPr>
          </w:p>
        </w:tc>
        <w:tc>
          <w:tcPr>
            <w:tcW w:w="0" w:type="auto"/>
            <w:vAlign w:val="center"/>
            <w:hideMark/>
          </w:tcPr>
          <w:p w14:paraId="52D80BD0" w14:textId="77777777" w:rsidR="00000000" w:rsidRDefault="00195E73">
            <w:pPr>
              <w:rPr>
                <w:rFonts w:eastAsia="Times New Roman"/>
                <w:sz w:val="20"/>
                <w:szCs w:val="20"/>
              </w:rPr>
            </w:pPr>
          </w:p>
        </w:tc>
        <w:tc>
          <w:tcPr>
            <w:tcW w:w="0" w:type="auto"/>
            <w:vAlign w:val="center"/>
            <w:hideMark/>
          </w:tcPr>
          <w:p w14:paraId="454A024E" w14:textId="77777777" w:rsidR="00000000" w:rsidRDefault="00195E73">
            <w:pPr>
              <w:rPr>
                <w:rFonts w:eastAsia="Times New Roman"/>
                <w:sz w:val="20"/>
                <w:szCs w:val="20"/>
              </w:rPr>
            </w:pPr>
          </w:p>
        </w:tc>
        <w:tc>
          <w:tcPr>
            <w:tcW w:w="0" w:type="auto"/>
            <w:vAlign w:val="center"/>
            <w:hideMark/>
          </w:tcPr>
          <w:p w14:paraId="434738B6" w14:textId="77777777" w:rsidR="00000000" w:rsidRDefault="00195E73">
            <w:pPr>
              <w:rPr>
                <w:rFonts w:eastAsia="Times New Roman"/>
                <w:sz w:val="20"/>
                <w:szCs w:val="20"/>
              </w:rPr>
            </w:pPr>
          </w:p>
        </w:tc>
      </w:tr>
      <w:tr w:rsidR="00000000" w14:paraId="6A6AFF7D" w14:textId="77777777">
        <w:trPr>
          <w:divId w:val="778334735"/>
          <w:jc w:val="center"/>
        </w:trPr>
        <w:tc>
          <w:tcPr>
            <w:tcW w:w="0" w:type="auto"/>
            <w:gridSpan w:val="3"/>
            <w:shd w:val="clear" w:color="auto" w:fill="FFFFFF"/>
            <w:tcMar>
              <w:top w:w="30" w:type="dxa"/>
              <w:left w:w="20" w:type="dxa"/>
              <w:bottom w:w="30" w:type="dxa"/>
              <w:right w:w="20" w:type="dxa"/>
            </w:tcMar>
            <w:vAlign w:val="bottom"/>
            <w:hideMark/>
          </w:tcPr>
          <w:p w14:paraId="1C9C03F0" w14:textId="77777777" w:rsidR="00000000" w:rsidRDefault="00195E73">
            <w:pPr>
              <w:rPr>
                <w:rFonts w:eastAsia="Times New Roman"/>
              </w:rPr>
            </w:pPr>
            <w:r>
              <w:rPr>
                <w:rFonts w:eastAsia="Times New Roman"/>
                <w:color w:val="000000"/>
                <w:sz w:val="20"/>
                <w:szCs w:val="20"/>
              </w:rPr>
              <w:t>      Consumer, cyclica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14:paraId="284FC975" w14:textId="77777777" w:rsidR="00000000" w:rsidRDefault="00195E73">
            <w:pPr>
              <w:jc w:val="right"/>
              <w:rPr>
                <w:rFonts w:eastAsia="Times New Roman"/>
              </w:rPr>
            </w:pPr>
            <w:r>
              <w:rPr>
                <w:rFonts w:eastAsia="Times New Roman"/>
                <w:color w:val="000000"/>
                <w:sz w:val="20"/>
                <w:szCs w:val="20"/>
              </w:rPr>
              <w:t>379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7F05AF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ADF21F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276902" w14:textId="77777777" w:rsidR="00000000" w:rsidRDefault="00195E73">
            <w:pPr>
              <w:jc w:val="right"/>
              <w:rPr>
                <w:rFonts w:eastAsia="Times New Roman"/>
              </w:rPr>
            </w:pPr>
            <w:r>
              <w:rPr>
                <w:rFonts w:eastAsia="Times New Roman"/>
                <w:color w:val="000000"/>
                <w:sz w:val="20"/>
                <w:szCs w:val="20"/>
              </w:rPr>
              <w:t>106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BF44ED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68245A7" w14:textId="77777777" w:rsidR="00000000" w:rsidRDefault="00195E73">
            <w:pPr>
              <w:rPr>
                <w:rFonts w:eastAsia="Times New Roman"/>
                <w:sz w:val="20"/>
                <w:szCs w:val="20"/>
              </w:rPr>
            </w:pPr>
          </w:p>
        </w:tc>
        <w:tc>
          <w:tcPr>
            <w:tcW w:w="0" w:type="auto"/>
            <w:vAlign w:val="center"/>
            <w:hideMark/>
          </w:tcPr>
          <w:p w14:paraId="7EB721E8" w14:textId="77777777" w:rsidR="00000000" w:rsidRDefault="00195E73">
            <w:pPr>
              <w:rPr>
                <w:rFonts w:eastAsia="Times New Roman"/>
                <w:sz w:val="20"/>
                <w:szCs w:val="20"/>
              </w:rPr>
            </w:pPr>
          </w:p>
        </w:tc>
        <w:tc>
          <w:tcPr>
            <w:tcW w:w="0" w:type="auto"/>
            <w:vAlign w:val="center"/>
            <w:hideMark/>
          </w:tcPr>
          <w:p w14:paraId="529CC66E" w14:textId="77777777" w:rsidR="00000000" w:rsidRDefault="00195E73">
            <w:pPr>
              <w:rPr>
                <w:rFonts w:eastAsia="Times New Roman"/>
                <w:sz w:val="20"/>
                <w:szCs w:val="20"/>
              </w:rPr>
            </w:pPr>
          </w:p>
        </w:tc>
        <w:tc>
          <w:tcPr>
            <w:tcW w:w="0" w:type="auto"/>
            <w:vAlign w:val="center"/>
            <w:hideMark/>
          </w:tcPr>
          <w:p w14:paraId="63753B42" w14:textId="77777777" w:rsidR="00000000" w:rsidRDefault="00195E73">
            <w:pPr>
              <w:rPr>
                <w:rFonts w:eastAsia="Times New Roman"/>
                <w:sz w:val="20"/>
                <w:szCs w:val="20"/>
              </w:rPr>
            </w:pPr>
          </w:p>
        </w:tc>
        <w:tc>
          <w:tcPr>
            <w:tcW w:w="0" w:type="auto"/>
            <w:vAlign w:val="center"/>
            <w:hideMark/>
          </w:tcPr>
          <w:p w14:paraId="236F2FE4" w14:textId="77777777" w:rsidR="00000000" w:rsidRDefault="00195E73">
            <w:pPr>
              <w:rPr>
                <w:rFonts w:eastAsia="Times New Roman"/>
                <w:sz w:val="20"/>
                <w:szCs w:val="20"/>
              </w:rPr>
            </w:pPr>
          </w:p>
        </w:tc>
        <w:tc>
          <w:tcPr>
            <w:tcW w:w="0" w:type="auto"/>
            <w:vAlign w:val="center"/>
            <w:hideMark/>
          </w:tcPr>
          <w:p w14:paraId="7B8CFA4B" w14:textId="77777777" w:rsidR="00000000" w:rsidRDefault="00195E73">
            <w:pPr>
              <w:rPr>
                <w:rFonts w:eastAsia="Times New Roman"/>
                <w:sz w:val="20"/>
                <w:szCs w:val="20"/>
              </w:rPr>
            </w:pPr>
          </w:p>
        </w:tc>
      </w:tr>
      <w:tr w:rsidR="00000000" w14:paraId="0DA823FE" w14:textId="77777777">
        <w:trPr>
          <w:divId w:val="778334735"/>
          <w:jc w:val="center"/>
        </w:trPr>
        <w:tc>
          <w:tcPr>
            <w:tcW w:w="0" w:type="auto"/>
            <w:gridSpan w:val="3"/>
            <w:shd w:val="clear" w:color="auto" w:fill="CCEEFF"/>
            <w:tcMar>
              <w:top w:w="30" w:type="dxa"/>
              <w:left w:w="20" w:type="dxa"/>
              <w:bottom w:w="30" w:type="dxa"/>
              <w:right w:w="20" w:type="dxa"/>
            </w:tcMar>
            <w:vAlign w:val="bottom"/>
            <w:hideMark/>
          </w:tcPr>
          <w:p w14:paraId="25D83C26" w14:textId="77777777" w:rsidR="00000000" w:rsidRDefault="00195E73">
            <w:pPr>
              <w:rPr>
                <w:rFonts w:eastAsia="Times New Roman"/>
              </w:rPr>
            </w:pPr>
            <w:r>
              <w:rPr>
                <w:rFonts w:eastAsia="Times New Roman"/>
                <w:color w:val="000000"/>
                <w:sz w:val="20"/>
                <w:szCs w:val="20"/>
              </w:rPr>
              <w:t>      Energ</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73883A32" w14:textId="77777777" w:rsidR="00000000" w:rsidRDefault="00195E73">
            <w:pPr>
              <w:jc w:val="right"/>
              <w:rPr>
                <w:rFonts w:eastAsia="Times New Roman"/>
              </w:rPr>
            </w:pPr>
            <w:r>
              <w:rPr>
                <w:rFonts w:eastAsia="Times New Roman"/>
                <w:color w:val="000000"/>
                <w:sz w:val="20"/>
                <w:szCs w:val="20"/>
              </w:rPr>
              <w:t>124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C2D797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7989F7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2A9A03" w14:textId="77777777" w:rsidR="00000000" w:rsidRDefault="00195E73">
            <w:pPr>
              <w:jc w:val="right"/>
              <w:rPr>
                <w:rFonts w:eastAsia="Times New Roman"/>
              </w:rPr>
            </w:pPr>
            <w:r>
              <w:rPr>
                <w:rFonts w:eastAsia="Times New Roman"/>
                <w:color w:val="000000"/>
                <w:sz w:val="20"/>
                <w:szCs w:val="20"/>
              </w:rPr>
              <w:t>305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E63094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867DEBB" w14:textId="77777777" w:rsidR="00000000" w:rsidRDefault="00195E73">
            <w:pPr>
              <w:rPr>
                <w:rFonts w:eastAsia="Times New Roman"/>
                <w:sz w:val="20"/>
                <w:szCs w:val="20"/>
              </w:rPr>
            </w:pPr>
          </w:p>
        </w:tc>
        <w:tc>
          <w:tcPr>
            <w:tcW w:w="0" w:type="auto"/>
            <w:vAlign w:val="center"/>
            <w:hideMark/>
          </w:tcPr>
          <w:p w14:paraId="53D88206" w14:textId="77777777" w:rsidR="00000000" w:rsidRDefault="00195E73">
            <w:pPr>
              <w:rPr>
                <w:rFonts w:eastAsia="Times New Roman"/>
                <w:sz w:val="20"/>
                <w:szCs w:val="20"/>
              </w:rPr>
            </w:pPr>
          </w:p>
        </w:tc>
        <w:tc>
          <w:tcPr>
            <w:tcW w:w="0" w:type="auto"/>
            <w:vAlign w:val="center"/>
            <w:hideMark/>
          </w:tcPr>
          <w:p w14:paraId="34011512" w14:textId="77777777" w:rsidR="00000000" w:rsidRDefault="00195E73">
            <w:pPr>
              <w:rPr>
                <w:rFonts w:eastAsia="Times New Roman"/>
                <w:sz w:val="20"/>
                <w:szCs w:val="20"/>
              </w:rPr>
            </w:pPr>
          </w:p>
        </w:tc>
        <w:tc>
          <w:tcPr>
            <w:tcW w:w="0" w:type="auto"/>
            <w:vAlign w:val="center"/>
            <w:hideMark/>
          </w:tcPr>
          <w:p w14:paraId="289214CE" w14:textId="77777777" w:rsidR="00000000" w:rsidRDefault="00195E73">
            <w:pPr>
              <w:rPr>
                <w:rFonts w:eastAsia="Times New Roman"/>
                <w:sz w:val="20"/>
                <w:szCs w:val="20"/>
              </w:rPr>
            </w:pPr>
          </w:p>
        </w:tc>
        <w:tc>
          <w:tcPr>
            <w:tcW w:w="0" w:type="auto"/>
            <w:vAlign w:val="center"/>
            <w:hideMark/>
          </w:tcPr>
          <w:p w14:paraId="0734DE55" w14:textId="77777777" w:rsidR="00000000" w:rsidRDefault="00195E73">
            <w:pPr>
              <w:rPr>
                <w:rFonts w:eastAsia="Times New Roman"/>
                <w:sz w:val="20"/>
                <w:szCs w:val="20"/>
              </w:rPr>
            </w:pPr>
          </w:p>
        </w:tc>
        <w:tc>
          <w:tcPr>
            <w:tcW w:w="0" w:type="auto"/>
            <w:vAlign w:val="center"/>
            <w:hideMark/>
          </w:tcPr>
          <w:p w14:paraId="12421EE6" w14:textId="77777777" w:rsidR="00000000" w:rsidRDefault="00195E73">
            <w:pPr>
              <w:rPr>
                <w:rFonts w:eastAsia="Times New Roman"/>
                <w:sz w:val="20"/>
                <w:szCs w:val="20"/>
              </w:rPr>
            </w:pPr>
          </w:p>
        </w:tc>
      </w:tr>
      <w:tr w:rsidR="00000000" w14:paraId="0A879A3D" w14:textId="77777777">
        <w:trPr>
          <w:divId w:val="778334735"/>
          <w:jc w:val="center"/>
        </w:trPr>
        <w:tc>
          <w:tcPr>
            <w:tcW w:w="0" w:type="auto"/>
            <w:gridSpan w:val="3"/>
            <w:shd w:val="clear" w:color="auto" w:fill="FFFFFF"/>
            <w:tcMar>
              <w:top w:w="30" w:type="dxa"/>
              <w:left w:w="20" w:type="dxa"/>
              <w:bottom w:w="30" w:type="dxa"/>
              <w:right w:w="20" w:type="dxa"/>
            </w:tcMar>
            <w:vAlign w:val="bottom"/>
            <w:hideMark/>
          </w:tcPr>
          <w:p w14:paraId="067970DD" w14:textId="77777777" w:rsidR="00000000" w:rsidRDefault="00195E73">
            <w:pPr>
              <w:rPr>
                <w:rFonts w:eastAsia="Times New Roman"/>
              </w:rPr>
            </w:pPr>
            <w:r>
              <w:rPr>
                <w:rFonts w:eastAsia="Times New Roman"/>
                <w:color w:val="000000"/>
                <w:sz w:val="20"/>
                <w:szCs w:val="20"/>
              </w:rPr>
              <w:t>      Financia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14:paraId="7BEB7A7D" w14:textId="77777777" w:rsidR="00000000" w:rsidRDefault="00195E73">
            <w:pPr>
              <w:jc w:val="right"/>
              <w:rPr>
                <w:rFonts w:eastAsia="Times New Roman"/>
              </w:rPr>
            </w:pPr>
            <w:r>
              <w:rPr>
                <w:rFonts w:eastAsia="Times New Roman"/>
                <w:color w:val="000000"/>
                <w:sz w:val="20"/>
                <w:szCs w:val="20"/>
              </w:rPr>
              <w:t>152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3C7140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75946A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F8989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A0382F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3C540CF" w14:textId="77777777" w:rsidR="00000000" w:rsidRDefault="00195E73">
            <w:pPr>
              <w:rPr>
                <w:rFonts w:eastAsia="Times New Roman"/>
                <w:sz w:val="20"/>
                <w:szCs w:val="20"/>
              </w:rPr>
            </w:pPr>
          </w:p>
        </w:tc>
        <w:tc>
          <w:tcPr>
            <w:tcW w:w="0" w:type="auto"/>
            <w:vAlign w:val="center"/>
            <w:hideMark/>
          </w:tcPr>
          <w:p w14:paraId="51542CAD" w14:textId="77777777" w:rsidR="00000000" w:rsidRDefault="00195E73">
            <w:pPr>
              <w:rPr>
                <w:rFonts w:eastAsia="Times New Roman"/>
                <w:sz w:val="20"/>
                <w:szCs w:val="20"/>
              </w:rPr>
            </w:pPr>
          </w:p>
        </w:tc>
        <w:tc>
          <w:tcPr>
            <w:tcW w:w="0" w:type="auto"/>
            <w:vAlign w:val="center"/>
            <w:hideMark/>
          </w:tcPr>
          <w:p w14:paraId="2542BCC5" w14:textId="77777777" w:rsidR="00000000" w:rsidRDefault="00195E73">
            <w:pPr>
              <w:rPr>
                <w:rFonts w:eastAsia="Times New Roman"/>
                <w:sz w:val="20"/>
                <w:szCs w:val="20"/>
              </w:rPr>
            </w:pPr>
          </w:p>
        </w:tc>
        <w:tc>
          <w:tcPr>
            <w:tcW w:w="0" w:type="auto"/>
            <w:vAlign w:val="center"/>
            <w:hideMark/>
          </w:tcPr>
          <w:p w14:paraId="0C5095D4" w14:textId="77777777" w:rsidR="00000000" w:rsidRDefault="00195E73">
            <w:pPr>
              <w:rPr>
                <w:rFonts w:eastAsia="Times New Roman"/>
                <w:sz w:val="20"/>
                <w:szCs w:val="20"/>
              </w:rPr>
            </w:pPr>
          </w:p>
        </w:tc>
        <w:tc>
          <w:tcPr>
            <w:tcW w:w="0" w:type="auto"/>
            <w:vAlign w:val="center"/>
            <w:hideMark/>
          </w:tcPr>
          <w:p w14:paraId="0A90ABB4" w14:textId="77777777" w:rsidR="00000000" w:rsidRDefault="00195E73">
            <w:pPr>
              <w:rPr>
                <w:rFonts w:eastAsia="Times New Roman"/>
                <w:sz w:val="20"/>
                <w:szCs w:val="20"/>
              </w:rPr>
            </w:pPr>
          </w:p>
        </w:tc>
        <w:tc>
          <w:tcPr>
            <w:tcW w:w="0" w:type="auto"/>
            <w:vAlign w:val="center"/>
            <w:hideMark/>
          </w:tcPr>
          <w:p w14:paraId="6B17C904" w14:textId="77777777" w:rsidR="00000000" w:rsidRDefault="00195E73">
            <w:pPr>
              <w:rPr>
                <w:rFonts w:eastAsia="Times New Roman"/>
                <w:sz w:val="20"/>
                <w:szCs w:val="20"/>
              </w:rPr>
            </w:pPr>
          </w:p>
        </w:tc>
      </w:tr>
      <w:tr w:rsidR="00000000" w14:paraId="42AD6867" w14:textId="77777777">
        <w:trPr>
          <w:divId w:val="778334735"/>
          <w:jc w:val="center"/>
        </w:trPr>
        <w:tc>
          <w:tcPr>
            <w:tcW w:w="0" w:type="auto"/>
            <w:gridSpan w:val="3"/>
            <w:shd w:val="clear" w:color="auto" w:fill="CCEEFF"/>
            <w:tcMar>
              <w:top w:w="30" w:type="dxa"/>
              <w:left w:w="20" w:type="dxa"/>
              <w:bottom w:w="30" w:type="dxa"/>
              <w:right w:w="20" w:type="dxa"/>
            </w:tcMar>
            <w:vAlign w:val="bottom"/>
            <w:hideMark/>
          </w:tcPr>
          <w:p w14:paraId="0F34CC56" w14:textId="77777777" w:rsidR="00000000" w:rsidRDefault="00195E73">
            <w:pPr>
              <w:rPr>
                <w:rFonts w:eastAsia="Times New Roman"/>
              </w:rPr>
            </w:pPr>
            <w:r>
              <w:rPr>
                <w:rFonts w:eastAsia="Times New Roman"/>
                <w:color w:val="000000"/>
                <w:sz w:val="20"/>
                <w:szCs w:val="20"/>
              </w:rPr>
              <w:t>      Technolog</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778FBF3A" w14:textId="77777777" w:rsidR="00000000" w:rsidRDefault="00195E73">
            <w:pPr>
              <w:jc w:val="right"/>
              <w:rPr>
                <w:rFonts w:eastAsia="Times New Roman"/>
              </w:rPr>
            </w:pPr>
            <w:r>
              <w:rPr>
                <w:rFonts w:eastAsia="Times New Roman"/>
                <w:color w:val="000000"/>
                <w:sz w:val="20"/>
                <w:szCs w:val="20"/>
              </w:rPr>
              <w:t>217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0A818E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D0CB2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0EAAEE"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1C0276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3B57EEE" w14:textId="77777777" w:rsidR="00000000" w:rsidRDefault="00195E73">
            <w:pPr>
              <w:rPr>
                <w:rFonts w:eastAsia="Times New Roman"/>
                <w:sz w:val="20"/>
                <w:szCs w:val="20"/>
              </w:rPr>
            </w:pPr>
          </w:p>
        </w:tc>
        <w:tc>
          <w:tcPr>
            <w:tcW w:w="0" w:type="auto"/>
            <w:vAlign w:val="center"/>
            <w:hideMark/>
          </w:tcPr>
          <w:p w14:paraId="64D32D60" w14:textId="77777777" w:rsidR="00000000" w:rsidRDefault="00195E73">
            <w:pPr>
              <w:rPr>
                <w:rFonts w:eastAsia="Times New Roman"/>
                <w:sz w:val="20"/>
                <w:szCs w:val="20"/>
              </w:rPr>
            </w:pPr>
          </w:p>
        </w:tc>
        <w:tc>
          <w:tcPr>
            <w:tcW w:w="0" w:type="auto"/>
            <w:vAlign w:val="center"/>
            <w:hideMark/>
          </w:tcPr>
          <w:p w14:paraId="1480AF91" w14:textId="77777777" w:rsidR="00000000" w:rsidRDefault="00195E73">
            <w:pPr>
              <w:rPr>
                <w:rFonts w:eastAsia="Times New Roman"/>
                <w:sz w:val="20"/>
                <w:szCs w:val="20"/>
              </w:rPr>
            </w:pPr>
          </w:p>
        </w:tc>
        <w:tc>
          <w:tcPr>
            <w:tcW w:w="0" w:type="auto"/>
            <w:vAlign w:val="center"/>
            <w:hideMark/>
          </w:tcPr>
          <w:p w14:paraId="27DC1289" w14:textId="77777777" w:rsidR="00000000" w:rsidRDefault="00195E73">
            <w:pPr>
              <w:rPr>
                <w:rFonts w:eastAsia="Times New Roman"/>
                <w:sz w:val="20"/>
                <w:szCs w:val="20"/>
              </w:rPr>
            </w:pPr>
          </w:p>
        </w:tc>
        <w:tc>
          <w:tcPr>
            <w:tcW w:w="0" w:type="auto"/>
            <w:vAlign w:val="center"/>
            <w:hideMark/>
          </w:tcPr>
          <w:p w14:paraId="40BFE8D6" w14:textId="77777777" w:rsidR="00000000" w:rsidRDefault="00195E73">
            <w:pPr>
              <w:rPr>
                <w:rFonts w:eastAsia="Times New Roman"/>
                <w:sz w:val="20"/>
                <w:szCs w:val="20"/>
              </w:rPr>
            </w:pPr>
          </w:p>
        </w:tc>
        <w:tc>
          <w:tcPr>
            <w:tcW w:w="0" w:type="auto"/>
            <w:vAlign w:val="center"/>
            <w:hideMark/>
          </w:tcPr>
          <w:p w14:paraId="1D543622" w14:textId="77777777" w:rsidR="00000000" w:rsidRDefault="00195E73">
            <w:pPr>
              <w:rPr>
                <w:rFonts w:eastAsia="Times New Roman"/>
                <w:sz w:val="20"/>
                <w:szCs w:val="20"/>
              </w:rPr>
            </w:pPr>
          </w:p>
        </w:tc>
      </w:tr>
      <w:tr w:rsidR="00000000" w14:paraId="70C31083" w14:textId="77777777">
        <w:trPr>
          <w:divId w:val="778334735"/>
          <w:jc w:val="center"/>
        </w:trPr>
        <w:tc>
          <w:tcPr>
            <w:tcW w:w="0" w:type="auto"/>
            <w:gridSpan w:val="3"/>
            <w:shd w:val="clear" w:color="auto" w:fill="FFFFFF"/>
            <w:tcMar>
              <w:top w:w="30" w:type="dxa"/>
              <w:left w:w="20" w:type="dxa"/>
              <w:bottom w:w="30" w:type="dxa"/>
              <w:right w:w="20" w:type="dxa"/>
            </w:tcMar>
            <w:vAlign w:val="bottom"/>
            <w:hideMark/>
          </w:tcPr>
          <w:p w14:paraId="118B1E26" w14:textId="77777777" w:rsidR="00000000" w:rsidRDefault="00195E73">
            <w:pPr>
              <w:rPr>
                <w:rFonts w:eastAsia="Times New Roman"/>
              </w:rPr>
            </w:pPr>
            <w:r>
              <w:rPr>
                <w:rFonts w:eastAsia="Times New Roman"/>
                <w:color w:val="000000"/>
                <w:sz w:val="20"/>
                <w:szCs w:val="20"/>
              </w:rPr>
              <w:t>      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21104C68" w14:textId="77777777" w:rsidR="00000000" w:rsidRDefault="00195E73">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94FF8E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C0C04C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1FA70C"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D585B0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1A87242" w14:textId="77777777" w:rsidR="00000000" w:rsidRDefault="00195E73">
            <w:pPr>
              <w:rPr>
                <w:rFonts w:eastAsia="Times New Roman"/>
                <w:sz w:val="20"/>
                <w:szCs w:val="20"/>
              </w:rPr>
            </w:pPr>
          </w:p>
        </w:tc>
        <w:tc>
          <w:tcPr>
            <w:tcW w:w="0" w:type="auto"/>
            <w:vAlign w:val="center"/>
            <w:hideMark/>
          </w:tcPr>
          <w:p w14:paraId="56342498" w14:textId="77777777" w:rsidR="00000000" w:rsidRDefault="00195E73">
            <w:pPr>
              <w:rPr>
                <w:rFonts w:eastAsia="Times New Roman"/>
                <w:sz w:val="20"/>
                <w:szCs w:val="20"/>
              </w:rPr>
            </w:pPr>
          </w:p>
        </w:tc>
        <w:tc>
          <w:tcPr>
            <w:tcW w:w="0" w:type="auto"/>
            <w:vAlign w:val="center"/>
            <w:hideMark/>
          </w:tcPr>
          <w:p w14:paraId="296CB429" w14:textId="77777777" w:rsidR="00000000" w:rsidRDefault="00195E73">
            <w:pPr>
              <w:rPr>
                <w:rFonts w:eastAsia="Times New Roman"/>
                <w:sz w:val="20"/>
                <w:szCs w:val="20"/>
              </w:rPr>
            </w:pPr>
          </w:p>
        </w:tc>
        <w:tc>
          <w:tcPr>
            <w:tcW w:w="0" w:type="auto"/>
            <w:vAlign w:val="center"/>
            <w:hideMark/>
          </w:tcPr>
          <w:p w14:paraId="4A4853AC" w14:textId="77777777" w:rsidR="00000000" w:rsidRDefault="00195E73">
            <w:pPr>
              <w:rPr>
                <w:rFonts w:eastAsia="Times New Roman"/>
                <w:sz w:val="20"/>
                <w:szCs w:val="20"/>
              </w:rPr>
            </w:pPr>
          </w:p>
        </w:tc>
        <w:tc>
          <w:tcPr>
            <w:tcW w:w="0" w:type="auto"/>
            <w:vAlign w:val="center"/>
            <w:hideMark/>
          </w:tcPr>
          <w:p w14:paraId="53BED1F6" w14:textId="77777777" w:rsidR="00000000" w:rsidRDefault="00195E73">
            <w:pPr>
              <w:rPr>
                <w:rFonts w:eastAsia="Times New Roman"/>
                <w:sz w:val="20"/>
                <w:szCs w:val="20"/>
              </w:rPr>
            </w:pPr>
          </w:p>
        </w:tc>
        <w:tc>
          <w:tcPr>
            <w:tcW w:w="0" w:type="auto"/>
            <w:vAlign w:val="center"/>
            <w:hideMark/>
          </w:tcPr>
          <w:p w14:paraId="5A89BA75" w14:textId="77777777" w:rsidR="00000000" w:rsidRDefault="00195E73">
            <w:pPr>
              <w:rPr>
                <w:rFonts w:eastAsia="Times New Roman"/>
                <w:sz w:val="20"/>
                <w:szCs w:val="20"/>
              </w:rPr>
            </w:pPr>
          </w:p>
        </w:tc>
      </w:tr>
      <w:tr w:rsidR="00000000" w14:paraId="3D72D4B8" w14:textId="77777777">
        <w:trPr>
          <w:divId w:val="778334735"/>
          <w:jc w:val="center"/>
        </w:trPr>
        <w:tc>
          <w:tcPr>
            <w:tcW w:w="0" w:type="auto"/>
            <w:gridSpan w:val="3"/>
            <w:vAlign w:val="center"/>
            <w:hideMark/>
          </w:tcPr>
          <w:p w14:paraId="065D7505" w14:textId="77777777" w:rsidR="00000000" w:rsidRDefault="00195E73">
            <w:pPr>
              <w:jc w:val="right"/>
              <w:rPr>
                <w:rFonts w:eastAsia="Times New Roman"/>
              </w:rPr>
            </w:pPr>
          </w:p>
        </w:tc>
        <w:tc>
          <w:tcPr>
            <w:tcW w:w="0" w:type="auto"/>
            <w:gridSpan w:val="3"/>
            <w:vAlign w:val="center"/>
            <w:hideMark/>
          </w:tcPr>
          <w:p w14:paraId="4A5EE502" w14:textId="77777777" w:rsidR="00000000" w:rsidRDefault="00195E73">
            <w:pPr>
              <w:rPr>
                <w:rFonts w:eastAsia="Times New Roman"/>
                <w:sz w:val="20"/>
                <w:szCs w:val="20"/>
              </w:rPr>
            </w:pPr>
          </w:p>
        </w:tc>
        <w:tc>
          <w:tcPr>
            <w:tcW w:w="0" w:type="auto"/>
            <w:gridSpan w:val="3"/>
            <w:vAlign w:val="center"/>
            <w:hideMark/>
          </w:tcPr>
          <w:p w14:paraId="35844D4D" w14:textId="77777777" w:rsidR="00000000" w:rsidRDefault="00195E73">
            <w:pPr>
              <w:rPr>
                <w:rFonts w:eastAsia="Times New Roman"/>
                <w:sz w:val="20"/>
                <w:szCs w:val="20"/>
              </w:rPr>
            </w:pPr>
          </w:p>
        </w:tc>
        <w:tc>
          <w:tcPr>
            <w:tcW w:w="0" w:type="auto"/>
            <w:gridSpan w:val="3"/>
            <w:vAlign w:val="center"/>
            <w:hideMark/>
          </w:tcPr>
          <w:p w14:paraId="2F965911" w14:textId="77777777" w:rsidR="00000000" w:rsidRDefault="00195E73">
            <w:pPr>
              <w:rPr>
                <w:rFonts w:eastAsia="Times New Roman"/>
                <w:sz w:val="20"/>
                <w:szCs w:val="20"/>
              </w:rPr>
            </w:pPr>
          </w:p>
        </w:tc>
        <w:tc>
          <w:tcPr>
            <w:tcW w:w="0" w:type="auto"/>
            <w:vAlign w:val="center"/>
            <w:hideMark/>
          </w:tcPr>
          <w:p w14:paraId="35E3AFB4" w14:textId="77777777" w:rsidR="00000000" w:rsidRDefault="00195E73">
            <w:pPr>
              <w:rPr>
                <w:rFonts w:eastAsia="Times New Roman"/>
                <w:sz w:val="20"/>
                <w:szCs w:val="20"/>
              </w:rPr>
            </w:pPr>
          </w:p>
        </w:tc>
        <w:tc>
          <w:tcPr>
            <w:tcW w:w="0" w:type="auto"/>
            <w:vAlign w:val="center"/>
            <w:hideMark/>
          </w:tcPr>
          <w:p w14:paraId="7AD84DA6" w14:textId="77777777" w:rsidR="00000000" w:rsidRDefault="00195E73">
            <w:pPr>
              <w:rPr>
                <w:rFonts w:eastAsia="Times New Roman"/>
                <w:sz w:val="20"/>
                <w:szCs w:val="20"/>
              </w:rPr>
            </w:pPr>
          </w:p>
        </w:tc>
        <w:tc>
          <w:tcPr>
            <w:tcW w:w="0" w:type="auto"/>
            <w:vAlign w:val="center"/>
            <w:hideMark/>
          </w:tcPr>
          <w:p w14:paraId="5727E186" w14:textId="77777777" w:rsidR="00000000" w:rsidRDefault="00195E73">
            <w:pPr>
              <w:rPr>
                <w:rFonts w:eastAsia="Times New Roman"/>
                <w:sz w:val="20"/>
                <w:szCs w:val="20"/>
              </w:rPr>
            </w:pPr>
          </w:p>
        </w:tc>
        <w:tc>
          <w:tcPr>
            <w:tcW w:w="0" w:type="auto"/>
            <w:vAlign w:val="center"/>
            <w:hideMark/>
          </w:tcPr>
          <w:p w14:paraId="3003B436" w14:textId="77777777" w:rsidR="00000000" w:rsidRDefault="00195E73">
            <w:pPr>
              <w:rPr>
                <w:rFonts w:eastAsia="Times New Roman"/>
                <w:sz w:val="20"/>
                <w:szCs w:val="20"/>
              </w:rPr>
            </w:pPr>
          </w:p>
        </w:tc>
        <w:tc>
          <w:tcPr>
            <w:tcW w:w="0" w:type="auto"/>
            <w:vAlign w:val="center"/>
            <w:hideMark/>
          </w:tcPr>
          <w:p w14:paraId="19254FFD" w14:textId="77777777" w:rsidR="00000000" w:rsidRDefault="00195E73">
            <w:pPr>
              <w:rPr>
                <w:rFonts w:eastAsia="Times New Roman"/>
                <w:sz w:val="20"/>
                <w:szCs w:val="20"/>
              </w:rPr>
            </w:pPr>
          </w:p>
        </w:tc>
        <w:tc>
          <w:tcPr>
            <w:tcW w:w="0" w:type="auto"/>
            <w:vAlign w:val="center"/>
            <w:hideMark/>
          </w:tcPr>
          <w:p w14:paraId="477A649E" w14:textId="77777777" w:rsidR="00000000" w:rsidRDefault="00195E73">
            <w:pPr>
              <w:rPr>
                <w:rFonts w:eastAsia="Times New Roman"/>
                <w:sz w:val="20"/>
                <w:szCs w:val="20"/>
              </w:rPr>
            </w:pPr>
          </w:p>
        </w:tc>
      </w:tr>
      <w:tr w:rsidR="00000000" w14:paraId="61E3E611" w14:textId="77777777">
        <w:trPr>
          <w:divId w:val="778334735"/>
          <w:jc w:val="center"/>
        </w:trPr>
        <w:tc>
          <w:tcPr>
            <w:tcW w:w="0" w:type="auto"/>
            <w:gridSpan w:val="3"/>
            <w:vAlign w:val="center"/>
            <w:hideMark/>
          </w:tcPr>
          <w:p w14:paraId="79577015" w14:textId="77777777" w:rsidR="00000000" w:rsidRDefault="00195E73">
            <w:pPr>
              <w:rPr>
                <w:rFonts w:eastAsia="Times New Roman"/>
                <w:sz w:val="20"/>
                <w:szCs w:val="20"/>
              </w:rPr>
            </w:pPr>
          </w:p>
        </w:tc>
        <w:tc>
          <w:tcPr>
            <w:tcW w:w="0" w:type="auto"/>
            <w:gridSpan w:val="3"/>
            <w:vAlign w:val="center"/>
            <w:hideMark/>
          </w:tcPr>
          <w:p w14:paraId="2A73BC48" w14:textId="77777777" w:rsidR="00000000" w:rsidRDefault="00195E73">
            <w:pPr>
              <w:rPr>
                <w:rFonts w:eastAsia="Times New Roman"/>
                <w:sz w:val="20"/>
                <w:szCs w:val="20"/>
              </w:rPr>
            </w:pPr>
          </w:p>
        </w:tc>
        <w:tc>
          <w:tcPr>
            <w:tcW w:w="0" w:type="auto"/>
            <w:gridSpan w:val="3"/>
            <w:vAlign w:val="center"/>
            <w:hideMark/>
          </w:tcPr>
          <w:p w14:paraId="350AEA4D" w14:textId="77777777" w:rsidR="00000000" w:rsidRDefault="00195E73">
            <w:pPr>
              <w:rPr>
                <w:rFonts w:eastAsia="Times New Roman"/>
                <w:sz w:val="20"/>
                <w:szCs w:val="20"/>
              </w:rPr>
            </w:pPr>
          </w:p>
        </w:tc>
        <w:tc>
          <w:tcPr>
            <w:tcW w:w="0" w:type="auto"/>
            <w:gridSpan w:val="3"/>
            <w:vAlign w:val="center"/>
            <w:hideMark/>
          </w:tcPr>
          <w:p w14:paraId="7ECB6522" w14:textId="77777777" w:rsidR="00000000" w:rsidRDefault="00195E73">
            <w:pPr>
              <w:rPr>
                <w:rFonts w:eastAsia="Times New Roman"/>
                <w:sz w:val="20"/>
                <w:szCs w:val="20"/>
              </w:rPr>
            </w:pPr>
          </w:p>
        </w:tc>
        <w:tc>
          <w:tcPr>
            <w:tcW w:w="0" w:type="auto"/>
            <w:vAlign w:val="center"/>
            <w:hideMark/>
          </w:tcPr>
          <w:p w14:paraId="5BF3CF66" w14:textId="77777777" w:rsidR="00000000" w:rsidRDefault="00195E73">
            <w:pPr>
              <w:rPr>
                <w:rFonts w:eastAsia="Times New Roman"/>
                <w:sz w:val="20"/>
                <w:szCs w:val="20"/>
              </w:rPr>
            </w:pPr>
          </w:p>
        </w:tc>
        <w:tc>
          <w:tcPr>
            <w:tcW w:w="0" w:type="auto"/>
            <w:vAlign w:val="center"/>
            <w:hideMark/>
          </w:tcPr>
          <w:p w14:paraId="3368543F" w14:textId="77777777" w:rsidR="00000000" w:rsidRDefault="00195E73">
            <w:pPr>
              <w:rPr>
                <w:rFonts w:eastAsia="Times New Roman"/>
                <w:sz w:val="20"/>
                <w:szCs w:val="20"/>
              </w:rPr>
            </w:pPr>
          </w:p>
        </w:tc>
        <w:tc>
          <w:tcPr>
            <w:tcW w:w="0" w:type="auto"/>
            <w:vAlign w:val="center"/>
            <w:hideMark/>
          </w:tcPr>
          <w:p w14:paraId="4474C6B5" w14:textId="77777777" w:rsidR="00000000" w:rsidRDefault="00195E73">
            <w:pPr>
              <w:rPr>
                <w:rFonts w:eastAsia="Times New Roman"/>
                <w:sz w:val="20"/>
                <w:szCs w:val="20"/>
              </w:rPr>
            </w:pPr>
          </w:p>
        </w:tc>
        <w:tc>
          <w:tcPr>
            <w:tcW w:w="0" w:type="auto"/>
            <w:vAlign w:val="center"/>
            <w:hideMark/>
          </w:tcPr>
          <w:p w14:paraId="4EF7F514" w14:textId="77777777" w:rsidR="00000000" w:rsidRDefault="00195E73">
            <w:pPr>
              <w:rPr>
                <w:rFonts w:eastAsia="Times New Roman"/>
                <w:sz w:val="20"/>
                <w:szCs w:val="20"/>
              </w:rPr>
            </w:pPr>
          </w:p>
        </w:tc>
        <w:tc>
          <w:tcPr>
            <w:tcW w:w="0" w:type="auto"/>
            <w:vAlign w:val="center"/>
            <w:hideMark/>
          </w:tcPr>
          <w:p w14:paraId="1981EC9D" w14:textId="77777777" w:rsidR="00000000" w:rsidRDefault="00195E73">
            <w:pPr>
              <w:rPr>
                <w:rFonts w:eastAsia="Times New Roman"/>
                <w:sz w:val="20"/>
                <w:szCs w:val="20"/>
              </w:rPr>
            </w:pPr>
          </w:p>
        </w:tc>
        <w:tc>
          <w:tcPr>
            <w:tcW w:w="0" w:type="auto"/>
            <w:vAlign w:val="center"/>
            <w:hideMark/>
          </w:tcPr>
          <w:p w14:paraId="285F0F8A" w14:textId="77777777" w:rsidR="00000000" w:rsidRDefault="00195E73">
            <w:pPr>
              <w:rPr>
                <w:rFonts w:eastAsia="Times New Roman"/>
                <w:sz w:val="20"/>
                <w:szCs w:val="20"/>
              </w:rPr>
            </w:pPr>
          </w:p>
        </w:tc>
      </w:tr>
      <w:tr w:rsidR="00000000" w14:paraId="085A4133" w14:textId="77777777">
        <w:trPr>
          <w:divId w:val="778334735"/>
          <w:jc w:val="center"/>
        </w:trPr>
        <w:tc>
          <w:tcPr>
            <w:tcW w:w="0" w:type="auto"/>
            <w:gridSpan w:val="3"/>
            <w:shd w:val="clear" w:color="auto" w:fill="CCEEFF"/>
            <w:tcMar>
              <w:top w:w="15" w:type="dxa"/>
              <w:left w:w="20" w:type="dxa"/>
              <w:bottom w:w="15" w:type="dxa"/>
              <w:right w:w="20" w:type="dxa"/>
            </w:tcMar>
            <w:vAlign w:val="bottom"/>
            <w:hideMark/>
          </w:tcPr>
          <w:p w14:paraId="7EFDF835"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02807E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AC3420B" w14:textId="77777777" w:rsidR="00000000" w:rsidRDefault="00195E73">
            <w:pPr>
              <w:jc w:val="right"/>
              <w:rPr>
                <w:rFonts w:eastAsia="Times New Roman"/>
              </w:rPr>
            </w:pPr>
            <w:r>
              <w:rPr>
                <w:rFonts w:eastAsia="Times New Roman"/>
                <w:color w:val="000000"/>
                <w:sz w:val="20"/>
                <w:szCs w:val="20"/>
              </w:rPr>
              <w:t>1,190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FC96AD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D14F248"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79F79C4"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C0F243A" w14:textId="77777777" w:rsidR="00000000" w:rsidRDefault="00195E73">
            <w:pPr>
              <w:jc w:val="right"/>
              <w:rPr>
                <w:rFonts w:eastAsia="Times New Roman"/>
              </w:rPr>
            </w:pPr>
            <w:r>
              <w:rPr>
                <w:rFonts w:eastAsia="Times New Roman"/>
                <w:color w:val="000000"/>
                <w:sz w:val="20"/>
                <w:szCs w:val="20"/>
              </w:rPr>
              <w:t>468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BED9E9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5EAA2D5" w14:textId="77777777" w:rsidR="00000000" w:rsidRDefault="00195E73">
            <w:pPr>
              <w:rPr>
                <w:rFonts w:eastAsia="Times New Roman"/>
                <w:sz w:val="20"/>
                <w:szCs w:val="20"/>
              </w:rPr>
            </w:pPr>
          </w:p>
        </w:tc>
        <w:tc>
          <w:tcPr>
            <w:tcW w:w="0" w:type="auto"/>
            <w:vAlign w:val="center"/>
            <w:hideMark/>
          </w:tcPr>
          <w:p w14:paraId="4575AF41" w14:textId="77777777" w:rsidR="00000000" w:rsidRDefault="00195E73">
            <w:pPr>
              <w:rPr>
                <w:rFonts w:eastAsia="Times New Roman"/>
                <w:sz w:val="20"/>
                <w:szCs w:val="20"/>
              </w:rPr>
            </w:pPr>
          </w:p>
        </w:tc>
        <w:tc>
          <w:tcPr>
            <w:tcW w:w="0" w:type="auto"/>
            <w:vAlign w:val="center"/>
            <w:hideMark/>
          </w:tcPr>
          <w:p w14:paraId="4ED11D6A" w14:textId="77777777" w:rsidR="00000000" w:rsidRDefault="00195E73">
            <w:pPr>
              <w:rPr>
                <w:rFonts w:eastAsia="Times New Roman"/>
                <w:sz w:val="20"/>
                <w:szCs w:val="20"/>
              </w:rPr>
            </w:pPr>
          </w:p>
        </w:tc>
        <w:tc>
          <w:tcPr>
            <w:tcW w:w="0" w:type="auto"/>
            <w:vAlign w:val="center"/>
            <w:hideMark/>
          </w:tcPr>
          <w:p w14:paraId="47624C51" w14:textId="77777777" w:rsidR="00000000" w:rsidRDefault="00195E73">
            <w:pPr>
              <w:rPr>
                <w:rFonts w:eastAsia="Times New Roman"/>
                <w:sz w:val="20"/>
                <w:szCs w:val="20"/>
              </w:rPr>
            </w:pPr>
          </w:p>
        </w:tc>
        <w:tc>
          <w:tcPr>
            <w:tcW w:w="0" w:type="auto"/>
            <w:vAlign w:val="center"/>
            <w:hideMark/>
          </w:tcPr>
          <w:p w14:paraId="21168CFB" w14:textId="77777777" w:rsidR="00000000" w:rsidRDefault="00195E73">
            <w:pPr>
              <w:rPr>
                <w:rFonts w:eastAsia="Times New Roman"/>
                <w:sz w:val="20"/>
                <w:szCs w:val="20"/>
              </w:rPr>
            </w:pPr>
          </w:p>
        </w:tc>
        <w:tc>
          <w:tcPr>
            <w:tcW w:w="0" w:type="auto"/>
            <w:vAlign w:val="center"/>
            <w:hideMark/>
          </w:tcPr>
          <w:p w14:paraId="792B2C95" w14:textId="77777777" w:rsidR="00000000" w:rsidRDefault="00195E73">
            <w:pPr>
              <w:rPr>
                <w:rFonts w:eastAsia="Times New Roman"/>
                <w:sz w:val="20"/>
                <w:szCs w:val="20"/>
              </w:rPr>
            </w:pPr>
          </w:p>
        </w:tc>
      </w:tr>
    </w:tbl>
    <w:p w14:paraId="0983F8C1" w14:textId="77777777" w:rsidR="00000000" w:rsidRDefault="00195E73">
      <w:pPr>
        <w:ind w:firstLine="450"/>
        <w:divId w:val="1112868420"/>
        <w:rPr>
          <w:rFonts w:eastAsia="Times New Roman"/>
        </w:rPr>
      </w:pPr>
    </w:p>
    <w:p w14:paraId="26EAB292" w14:textId="77777777" w:rsidR="00000000" w:rsidRDefault="00195E73">
      <w:pPr>
        <w:jc w:val="center"/>
        <w:divId w:val="1759903853"/>
        <w:rPr>
          <w:rFonts w:eastAsia="Times New Roman"/>
        </w:rPr>
      </w:pPr>
      <w:r>
        <w:rPr>
          <w:rFonts w:eastAsia="Times New Roman"/>
          <w:color w:val="000000"/>
          <w:sz w:val="20"/>
          <w:szCs w:val="20"/>
        </w:rPr>
        <w:t>8</w:t>
      </w:r>
      <w:r>
        <w:rPr>
          <w:rFonts w:eastAsia="Times New Roman"/>
          <w:color w:val="000000"/>
          <w:sz w:val="20"/>
          <w:szCs w:val="20"/>
        </w:rPr>
        <w:t>2</w:t>
      </w:r>
    </w:p>
    <w:p w14:paraId="14D15632" w14:textId="77777777" w:rsidR="00000000" w:rsidRDefault="00195E73">
      <w:pPr>
        <w:rPr>
          <w:rFonts w:eastAsia="Times New Roman"/>
        </w:rPr>
      </w:pPr>
      <w:r>
        <w:rPr>
          <w:rFonts w:eastAsia="Times New Roman"/>
        </w:rPr>
        <w:pict w14:anchorId="3181B0BD">
          <v:rect id="_x0000_i1108" style="width:0;height:1.5pt" o:hralign="center" o:hrstd="t" o:hr="t" fillcolor="#a0a0a0" stroked="f"/>
        </w:pict>
      </w:r>
    </w:p>
    <w:p w14:paraId="3DE476C2" w14:textId="77777777" w:rsidR="00000000" w:rsidRDefault="00195E73">
      <w:pPr>
        <w:jc w:val="center"/>
        <w:divId w:val="1789163229"/>
        <w:rPr>
          <w:rFonts w:eastAsia="Times New Roman"/>
        </w:rPr>
      </w:pPr>
    </w:p>
    <w:p w14:paraId="00ACCBF8" w14:textId="77777777" w:rsidR="00000000" w:rsidRDefault="00195E73">
      <w:pPr>
        <w:jc w:val="center"/>
        <w:divId w:val="1789163229"/>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00199442" w14:textId="77777777" w:rsidR="00000000" w:rsidRDefault="00195E73">
      <w:pPr>
        <w:jc w:val="center"/>
        <w:divId w:val="1789163229"/>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70594D11" w14:textId="77777777" w:rsidR="00000000" w:rsidRDefault="00195E73">
      <w:pPr>
        <w:jc w:val="center"/>
        <w:divId w:val="1789163229"/>
        <w:rPr>
          <w:rFonts w:eastAsia="Times New Roman"/>
        </w:rPr>
      </w:pPr>
    </w:p>
    <w:p w14:paraId="2CEE6725" w14:textId="77777777" w:rsidR="00000000" w:rsidRDefault="00195E73">
      <w:pPr>
        <w:jc w:val="center"/>
        <w:divId w:val="1789163229"/>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50F7BB4D" w14:textId="77777777" w:rsidR="00000000" w:rsidRDefault="00195E73">
      <w:pPr>
        <w:ind w:firstLine="405"/>
        <w:divId w:val="917326247"/>
        <w:rPr>
          <w:rFonts w:eastAsia="Times New Roman"/>
        </w:rPr>
      </w:pPr>
      <w:r>
        <w:rPr>
          <w:rFonts w:eastAsia="Times New Roman"/>
          <w:color w:val="000000"/>
          <w:sz w:val="20"/>
          <w:szCs w:val="20"/>
        </w:rPr>
        <w:t>The portion of unrealized gains (losses) that relates to securities still held by ou</w:t>
      </w:r>
      <w:r>
        <w:rPr>
          <w:rFonts w:eastAsia="Times New Roman"/>
          <w:color w:val="000000"/>
          <w:sz w:val="20"/>
          <w:szCs w:val="20"/>
        </w:rPr>
        <w:t>r Investment segment, primarily equity securities, was $706 million, $(800) million and $1,413 million for the years ended December 31, 2019, 2018 and 2017, respectively</w:t>
      </w:r>
      <w:r>
        <w:rPr>
          <w:rFonts w:eastAsia="Times New Roman"/>
          <w:color w:val="000000"/>
          <w:sz w:val="20"/>
          <w:szCs w:val="20"/>
        </w:rPr>
        <w:t>.</w:t>
      </w:r>
    </w:p>
    <w:p w14:paraId="4AD9500A" w14:textId="77777777" w:rsidR="00000000" w:rsidRDefault="00195E73">
      <w:pPr>
        <w:ind w:firstLine="405"/>
        <w:divId w:val="388386636"/>
        <w:rPr>
          <w:rFonts w:eastAsia="Times New Roman"/>
        </w:rPr>
      </w:pPr>
      <w:r>
        <w:rPr>
          <w:rFonts w:eastAsia="Times New Roman"/>
          <w:color w:val="000000"/>
          <w:sz w:val="20"/>
          <w:szCs w:val="20"/>
        </w:rPr>
        <w:t xml:space="preserve">As discussed in Note 2, “Basis of Presentation and Summary of Significant Accounting </w:t>
      </w:r>
      <w:r>
        <w:rPr>
          <w:rFonts w:eastAsia="Times New Roman"/>
          <w:color w:val="000000"/>
          <w:sz w:val="20"/>
          <w:szCs w:val="20"/>
        </w:rPr>
        <w:t>Policies,” when certain investments become subject to the equity method of accounting, our Investment segment elects the fair value option to such investment. Investments become subject to the equity method of accounting when we possess the ability to exer</w:t>
      </w:r>
      <w:r>
        <w:rPr>
          <w:rFonts w:eastAsia="Times New Roman"/>
          <w:color w:val="000000"/>
          <w:sz w:val="20"/>
          <w:szCs w:val="20"/>
        </w:rPr>
        <w:t>cise significant influence, but not control, over the operating and financial policies of the investee. The ability to exercise significant influence is presumed when we possess more than 20% of the voting interests of the investee. This presumption may be</w:t>
      </w:r>
      <w:r>
        <w:rPr>
          <w:rFonts w:eastAsia="Times New Roman"/>
          <w:color w:val="000000"/>
          <w:sz w:val="20"/>
          <w:szCs w:val="20"/>
        </w:rPr>
        <w:t xml:space="preserve"> overcome based on specific facts and circumstances that demonstrate that the ability to exercise significant influence is restricted. Conversely, there is a presumption that for investments in which we have less than 20% of the voting interests of the inv</w:t>
      </w:r>
      <w:r>
        <w:rPr>
          <w:rFonts w:eastAsia="Times New Roman"/>
          <w:color w:val="000000"/>
          <w:sz w:val="20"/>
          <w:szCs w:val="20"/>
        </w:rPr>
        <w:t>estee that we do not have the ability to exercise significant influence. However, such presumption may be overcome based on specific facts and circumstances that demonstrate that the ability to exercise significant influence is present, such as when we hav</w:t>
      </w:r>
      <w:r>
        <w:rPr>
          <w:rFonts w:eastAsia="Times New Roman"/>
          <w:color w:val="000000"/>
          <w:sz w:val="20"/>
          <w:szCs w:val="20"/>
        </w:rPr>
        <w:t>e representation on the board of directors of such investee.</w:t>
      </w:r>
      <w:r>
        <w:rPr>
          <w:rFonts w:eastAsia="Times New Roman"/>
          <w:color w:val="000000"/>
          <w:sz w:val="20"/>
          <w:szCs w:val="20"/>
        </w:rPr>
        <w:t xml:space="preserve"> </w:t>
      </w:r>
    </w:p>
    <w:p w14:paraId="0DE06C06" w14:textId="77777777" w:rsidR="00000000" w:rsidRDefault="00195E73">
      <w:pPr>
        <w:ind w:firstLine="405"/>
        <w:divId w:val="852914452"/>
        <w:rPr>
          <w:rFonts w:eastAsia="Times New Roman"/>
        </w:rPr>
      </w:pPr>
      <w:r>
        <w:rPr>
          <w:rFonts w:eastAsia="Times New Roman"/>
          <w:color w:val="000000"/>
          <w:sz w:val="20"/>
          <w:szCs w:val="20"/>
        </w:rPr>
        <w:t>After considering specific facts and circumstances, including the collective ownership in entities by the Investment Funds and affiliates of Mr. Icahn, as well as their collective representation</w:t>
      </w:r>
      <w:r>
        <w:rPr>
          <w:rFonts w:eastAsia="Times New Roman"/>
          <w:color w:val="000000"/>
          <w:sz w:val="20"/>
          <w:szCs w:val="20"/>
        </w:rPr>
        <w:t xml:space="preserve"> on each of the boards of directors, we have determined that we have the ability to exercise significant influence over the operating and financial policies of certain investees below. The following table summarizes our direct ownership in such investees a</w:t>
      </w:r>
      <w:r>
        <w:rPr>
          <w:rFonts w:eastAsia="Times New Roman"/>
          <w:color w:val="000000"/>
          <w:sz w:val="20"/>
          <w:szCs w:val="20"/>
        </w:rPr>
        <w:t>s well as certain financial information with respect to such investees in our consolidated financial statements during the respective periods in which we possessed the ability to exercise significant influence over the operating and financial policies of t</w:t>
      </w:r>
      <w:r>
        <w:rPr>
          <w:rFonts w:eastAsia="Times New Roman"/>
          <w:color w:val="000000"/>
          <w:sz w:val="20"/>
          <w:szCs w:val="20"/>
        </w:rPr>
        <w:t>he investee</w:t>
      </w:r>
      <w:r>
        <w:rPr>
          <w:rFonts w:eastAsia="Times New Roman"/>
          <w:color w:val="000000"/>
          <w:sz w:val="20"/>
          <w:szCs w:val="20"/>
        </w:rPr>
        <w:t>.</w:t>
      </w:r>
    </w:p>
    <w:tbl>
      <w:tblPr>
        <w:tblW w:w="4912" w:type="pct"/>
        <w:tblCellMar>
          <w:top w:w="15" w:type="dxa"/>
          <w:left w:w="15" w:type="dxa"/>
          <w:bottom w:w="15" w:type="dxa"/>
          <w:right w:w="15" w:type="dxa"/>
        </w:tblCellMar>
        <w:tblLook w:val="04A0" w:firstRow="1" w:lastRow="0" w:firstColumn="1" w:lastColumn="0" w:noHBand="0" w:noVBand="1"/>
      </w:tblPr>
      <w:tblGrid>
        <w:gridCol w:w="41"/>
        <w:gridCol w:w="1093"/>
        <w:gridCol w:w="41"/>
        <w:gridCol w:w="61"/>
        <w:gridCol w:w="786"/>
        <w:gridCol w:w="86"/>
        <w:gridCol w:w="36"/>
        <w:gridCol w:w="36"/>
        <w:gridCol w:w="36"/>
        <w:gridCol w:w="135"/>
        <w:gridCol w:w="515"/>
        <w:gridCol w:w="85"/>
        <w:gridCol w:w="76"/>
        <w:gridCol w:w="289"/>
        <w:gridCol w:w="75"/>
        <w:gridCol w:w="135"/>
        <w:gridCol w:w="515"/>
        <w:gridCol w:w="85"/>
        <w:gridCol w:w="76"/>
        <w:gridCol w:w="289"/>
        <w:gridCol w:w="75"/>
        <w:gridCol w:w="135"/>
        <w:gridCol w:w="449"/>
        <w:gridCol w:w="85"/>
        <w:gridCol w:w="76"/>
        <w:gridCol w:w="289"/>
        <w:gridCol w:w="75"/>
        <w:gridCol w:w="135"/>
        <w:gridCol w:w="365"/>
        <w:gridCol w:w="85"/>
        <w:gridCol w:w="76"/>
        <w:gridCol w:w="289"/>
        <w:gridCol w:w="75"/>
        <w:gridCol w:w="135"/>
        <w:gridCol w:w="365"/>
        <w:gridCol w:w="85"/>
        <w:gridCol w:w="147"/>
        <w:gridCol w:w="147"/>
        <w:gridCol w:w="14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684A1AF9" w14:textId="77777777">
        <w:trPr>
          <w:gridAfter w:val="24"/>
          <w:divId w:val="559946493"/>
        </w:trPr>
        <w:tc>
          <w:tcPr>
            <w:tcW w:w="50" w:type="pct"/>
            <w:vAlign w:val="center"/>
            <w:hideMark/>
          </w:tcPr>
          <w:p w14:paraId="759CD43B" w14:textId="77777777" w:rsidR="00000000" w:rsidRDefault="00195E73">
            <w:pPr>
              <w:ind w:firstLine="405"/>
              <w:rPr>
                <w:rFonts w:eastAsia="Times New Roman"/>
              </w:rPr>
            </w:pPr>
          </w:p>
        </w:tc>
        <w:tc>
          <w:tcPr>
            <w:tcW w:w="1365" w:type="pct"/>
            <w:vAlign w:val="center"/>
            <w:hideMark/>
          </w:tcPr>
          <w:p w14:paraId="1C86C22A" w14:textId="77777777" w:rsidR="00000000" w:rsidRDefault="00195E73">
            <w:pPr>
              <w:rPr>
                <w:rFonts w:eastAsia="Times New Roman"/>
                <w:sz w:val="20"/>
                <w:szCs w:val="20"/>
              </w:rPr>
            </w:pPr>
          </w:p>
        </w:tc>
        <w:tc>
          <w:tcPr>
            <w:tcW w:w="50" w:type="pct"/>
            <w:vAlign w:val="center"/>
            <w:hideMark/>
          </w:tcPr>
          <w:p w14:paraId="78D379EE" w14:textId="77777777" w:rsidR="00000000" w:rsidRDefault="00195E73">
            <w:pPr>
              <w:rPr>
                <w:rFonts w:eastAsia="Times New Roman"/>
                <w:sz w:val="20"/>
                <w:szCs w:val="20"/>
              </w:rPr>
            </w:pPr>
          </w:p>
        </w:tc>
        <w:tc>
          <w:tcPr>
            <w:tcW w:w="50" w:type="pct"/>
            <w:vAlign w:val="center"/>
            <w:hideMark/>
          </w:tcPr>
          <w:p w14:paraId="63F993E6" w14:textId="77777777" w:rsidR="00000000" w:rsidRDefault="00195E73">
            <w:pPr>
              <w:rPr>
                <w:rFonts w:eastAsia="Times New Roman"/>
                <w:sz w:val="20"/>
                <w:szCs w:val="20"/>
              </w:rPr>
            </w:pPr>
          </w:p>
        </w:tc>
        <w:tc>
          <w:tcPr>
            <w:tcW w:w="644" w:type="pct"/>
            <w:vAlign w:val="center"/>
            <w:hideMark/>
          </w:tcPr>
          <w:p w14:paraId="78ABC2E1" w14:textId="77777777" w:rsidR="00000000" w:rsidRDefault="00195E73">
            <w:pPr>
              <w:rPr>
                <w:rFonts w:eastAsia="Times New Roman"/>
                <w:sz w:val="20"/>
                <w:szCs w:val="20"/>
              </w:rPr>
            </w:pPr>
          </w:p>
        </w:tc>
        <w:tc>
          <w:tcPr>
            <w:tcW w:w="50" w:type="pct"/>
            <w:vAlign w:val="center"/>
            <w:hideMark/>
          </w:tcPr>
          <w:p w14:paraId="70603A41" w14:textId="77777777" w:rsidR="00000000" w:rsidRDefault="00195E73">
            <w:pPr>
              <w:rPr>
                <w:rFonts w:eastAsia="Times New Roman"/>
                <w:sz w:val="20"/>
                <w:szCs w:val="20"/>
              </w:rPr>
            </w:pPr>
          </w:p>
        </w:tc>
        <w:tc>
          <w:tcPr>
            <w:tcW w:w="5" w:type="pct"/>
            <w:vAlign w:val="center"/>
            <w:hideMark/>
          </w:tcPr>
          <w:p w14:paraId="36A7CE05" w14:textId="77777777" w:rsidR="00000000" w:rsidRDefault="00195E73">
            <w:pPr>
              <w:rPr>
                <w:rFonts w:eastAsia="Times New Roman"/>
                <w:sz w:val="20"/>
                <w:szCs w:val="20"/>
              </w:rPr>
            </w:pPr>
          </w:p>
        </w:tc>
        <w:tc>
          <w:tcPr>
            <w:tcW w:w="19" w:type="pct"/>
            <w:vAlign w:val="center"/>
            <w:hideMark/>
          </w:tcPr>
          <w:p w14:paraId="5E9759C6" w14:textId="77777777" w:rsidR="00000000" w:rsidRDefault="00195E73">
            <w:pPr>
              <w:rPr>
                <w:rFonts w:eastAsia="Times New Roman"/>
                <w:sz w:val="20"/>
                <w:szCs w:val="20"/>
              </w:rPr>
            </w:pPr>
          </w:p>
        </w:tc>
        <w:tc>
          <w:tcPr>
            <w:tcW w:w="5" w:type="pct"/>
            <w:vAlign w:val="center"/>
            <w:hideMark/>
          </w:tcPr>
          <w:p w14:paraId="6F5BF777" w14:textId="77777777" w:rsidR="00000000" w:rsidRDefault="00195E73">
            <w:pPr>
              <w:rPr>
                <w:rFonts w:eastAsia="Times New Roman"/>
                <w:sz w:val="20"/>
                <w:szCs w:val="20"/>
              </w:rPr>
            </w:pPr>
          </w:p>
        </w:tc>
        <w:tc>
          <w:tcPr>
            <w:tcW w:w="50" w:type="pct"/>
            <w:vAlign w:val="center"/>
            <w:hideMark/>
          </w:tcPr>
          <w:p w14:paraId="363177B5" w14:textId="77777777" w:rsidR="00000000" w:rsidRDefault="00195E73">
            <w:pPr>
              <w:rPr>
                <w:rFonts w:eastAsia="Times New Roman"/>
                <w:sz w:val="20"/>
                <w:szCs w:val="20"/>
              </w:rPr>
            </w:pPr>
          </w:p>
        </w:tc>
        <w:tc>
          <w:tcPr>
            <w:tcW w:w="428" w:type="pct"/>
            <w:vAlign w:val="center"/>
            <w:hideMark/>
          </w:tcPr>
          <w:p w14:paraId="22CA2EC0" w14:textId="77777777" w:rsidR="00000000" w:rsidRDefault="00195E73">
            <w:pPr>
              <w:rPr>
                <w:rFonts w:eastAsia="Times New Roman"/>
                <w:sz w:val="20"/>
                <w:szCs w:val="20"/>
              </w:rPr>
            </w:pPr>
          </w:p>
        </w:tc>
        <w:tc>
          <w:tcPr>
            <w:tcW w:w="50" w:type="pct"/>
            <w:vAlign w:val="center"/>
            <w:hideMark/>
          </w:tcPr>
          <w:p w14:paraId="417046FA" w14:textId="77777777" w:rsidR="00000000" w:rsidRDefault="00195E73">
            <w:pPr>
              <w:rPr>
                <w:rFonts w:eastAsia="Times New Roman"/>
                <w:sz w:val="20"/>
                <w:szCs w:val="20"/>
              </w:rPr>
            </w:pPr>
          </w:p>
        </w:tc>
        <w:tc>
          <w:tcPr>
            <w:tcW w:w="5" w:type="pct"/>
            <w:vAlign w:val="center"/>
            <w:hideMark/>
          </w:tcPr>
          <w:p w14:paraId="0B5FCCC0" w14:textId="77777777" w:rsidR="00000000" w:rsidRDefault="00195E73">
            <w:pPr>
              <w:rPr>
                <w:rFonts w:eastAsia="Times New Roman"/>
                <w:sz w:val="20"/>
                <w:szCs w:val="20"/>
              </w:rPr>
            </w:pPr>
          </w:p>
        </w:tc>
        <w:tc>
          <w:tcPr>
            <w:tcW w:w="19" w:type="pct"/>
            <w:vAlign w:val="center"/>
            <w:hideMark/>
          </w:tcPr>
          <w:p w14:paraId="753E92C0" w14:textId="77777777" w:rsidR="00000000" w:rsidRDefault="00195E73">
            <w:pPr>
              <w:rPr>
                <w:rFonts w:eastAsia="Times New Roman"/>
                <w:sz w:val="20"/>
                <w:szCs w:val="20"/>
              </w:rPr>
            </w:pPr>
          </w:p>
        </w:tc>
        <w:tc>
          <w:tcPr>
            <w:tcW w:w="5" w:type="pct"/>
            <w:vAlign w:val="center"/>
            <w:hideMark/>
          </w:tcPr>
          <w:p w14:paraId="7C90C802" w14:textId="77777777" w:rsidR="00000000" w:rsidRDefault="00195E73">
            <w:pPr>
              <w:rPr>
                <w:rFonts w:eastAsia="Times New Roman"/>
                <w:sz w:val="20"/>
                <w:szCs w:val="20"/>
              </w:rPr>
            </w:pPr>
          </w:p>
        </w:tc>
        <w:tc>
          <w:tcPr>
            <w:tcW w:w="50" w:type="pct"/>
            <w:vAlign w:val="center"/>
            <w:hideMark/>
          </w:tcPr>
          <w:p w14:paraId="5955E318" w14:textId="77777777" w:rsidR="00000000" w:rsidRDefault="00195E73">
            <w:pPr>
              <w:rPr>
                <w:rFonts w:eastAsia="Times New Roman"/>
                <w:sz w:val="20"/>
                <w:szCs w:val="20"/>
              </w:rPr>
            </w:pPr>
          </w:p>
        </w:tc>
        <w:tc>
          <w:tcPr>
            <w:tcW w:w="428" w:type="pct"/>
            <w:vAlign w:val="center"/>
            <w:hideMark/>
          </w:tcPr>
          <w:p w14:paraId="4EF5FEFD" w14:textId="77777777" w:rsidR="00000000" w:rsidRDefault="00195E73">
            <w:pPr>
              <w:rPr>
                <w:rFonts w:eastAsia="Times New Roman"/>
                <w:sz w:val="20"/>
                <w:szCs w:val="20"/>
              </w:rPr>
            </w:pPr>
          </w:p>
        </w:tc>
        <w:tc>
          <w:tcPr>
            <w:tcW w:w="50" w:type="pct"/>
            <w:vAlign w:val="center"/>
            <w:hideMark/>
          </w:tcPr>
          <w:p w14:paraId="4E43FFA2" w14:textId="77777777" w:rsidR="00000000" w:rsidRDefault="00195E73">
            <w:pPr>
              <w:rPr>
                <w:rFonts w:eastAsia="Times New Roman"/>
                <w:sz w:val="20"/>
                <w:szCs w:val="20"/>
              </w:rPr>
            </w:pPr>
          </w:p>
        </w:tc>
        <w:tc>
          <w:tcPr>
            <w:tcW w:w="5" w:type="pct"/>
            <w:vAlign w:val="center"/>
            <w:hideMark/>
          </w:tcPr>
          <w:p w14:paraId="21B2CDE2" w14:textId="77777777" w:rsidR="00000000" w:rsidRDefault="00195E73">
            <w:pPr>
              <w:rPr>
                <w:rFonts w:eastAsia="Times New Roman"/>
                <w:sz w:val="20"/>
                <w:szCs w:val="20"/>
              </w:rPr>
            </w:pPr>
          </w:p>
        </w:tc>
        <w:tc>
          <w:tcPr>
            <w:tcW w:w="19" w:type="pct"/>
            <w:vAlign w:val="center"/>
            <w:hideMark/>
          </w:tcPr>
          <w:p w14:paraId="63911D62" w14:textId="77777777" w:rsidR="00000000" w:rsidRDefault="00195E73">
            <w:pPr>
              <w:rPr>
                <w:rFonts w:eastAsia="Times New Roman"/>
                <w:sz w:val="20"/>
                <w:szCs w:val="20"/>
              </w:rPr>
            </w:pPr>
          </w:p>
        </w:tc>
        <w:tc>
          <w:tcPr>
            <w:tcW w:w="5" w:type="pct"/>
            <w:vAlign w:val="center"/>
            <w:hideMark/>
          </w:tcPr>
          <w:p w14:paraId="512120FA" w14:textId="77777777" w:rsidR="00000000" w:rsidRDefault="00195E73">
            <w:pPr>
              <w:rPr>
                <w:rFonts w:eastAsia="Times New Roman"/>
                <w:sz w:val="20"/>
                <w:szCs w:val="20"/>
              </w:rPr>
            </w:pPr>
          </w:p>
        </w:tc>
        <w:tc>
          <w:tcPr>
            <w:tcW w:w="50" w:type="pct"/>
            <w:vAlign w:val="center"/>
            <w:hideMark/>
          </w:tcPr>
          <w:p w14:paraId="7EFAF1A1" w14:textId="77777777" w:rsidR="00000000" w:rsidRDefault="00195E73">
            <w:pPr>
              <w:rPr>
                <w:rFonts w:eastAsia="Times New Roman"/>
                <w:sz w:val="20"/>
                <w:szCs w:val="20"/>
              </w:rPr>
            </w:pPr>
          </w:p>
        </w:tc>
        <w:tc>
          <w:tcPr>
            <w:tcW w:w="428" w:type="pct"/>
            <w:vAlign w:val="center"/>
            <w:hideMark/>
          </w:tcPr>
          <w:p w14:paraId="7C14B362" w14:textId="77777777" w:rsidR="00000000" w:rsidRDefault="00195E73">
            <w:pPr>
              <w:rPr>
                <w:rFonts w:eastAsia="Times New Roman"/>
                <w:sz w:val="20"/>
                <w:szCs w:val="20"/>
              </w:rPr>
            </w:pPr>
          </w:p>
        </w:tc>
        <w:tc>
          <w:tcPr>
            <w:tcW w:w="50" w:type="pct"/>
            <w:vAlign w:val="center"/>
            <w:hideMark/>
          </w:tcPr>
          <w:p w14:paraId="4132A738" w14:textId="77777777" w:rsidR="00000000" w:rsidRDefault="00195E73">
            <w:pPr>
              <w:rPr>
                <w:rFonts w:eastAsia="Times New Roman"/>
                <w:sz w:val="20"/>
                <w:szCs w:val="20"/>
              </w:rPr>
            </w:pPr>
          </w:p>
        </w:tc>
        <w:tc>
          <w:tcPr>
            <w:tcW w:w="5" w:type="pct"/>
            <w:vAlign w:val="center"/>
            <w:hideMark/>
          </w:tcPr>
          <w:p w14:paraId="4F45E97B" w14:textId="77777777" w:rsidR="00000000" w:rsidRDefault="00195E73">
            <w:pPr>
              <w:rPr>
                <w:rFonts w:eastAsia="Times New Roman"/>
                <w:sz w:val="20"/>
                <w:szCs w:val="20"/>
              </w:rPr>
            </w:pPr>
          </w:p>
        </w:tc>
        <w:tc>
          <w:tcPr>
            <w:tcW w:w="19" w:type="pct"/>
            <w:vAlign w:val="center"/>
            <w:hideMark/>
          </w:tcPr>
          <w:p w14:paraId="481B013B" w14:textId="77777777" w:rsidR="00000000" w:rsidRDefault="00195E73">
            <w:pPr>
              <w:rPr>
                <w:rFonts w:eastAsia="Times New Roman"/>
                <w:sz w:val="20"/>
                <w:szCs w:val="20"/>
              </w:rPr>
            </w:pPr>
          </w:p>
        </w:tc>
        <w:tc>
          <w:tcPr>
            <w:tcW w:w="5" w:type="pct"/>
            <w:vAlign w:val="center"/>
            <w:hideMark/>
          </w:tcPr>
          <w:p w14:paraId="4F0AFD57" w14:textId="77777777" w:rsidR="00000000" w:rsidRDefault="00195E73">
            <w:pPr>
              <w:rPr>
                <w:rFonts w:eastAsia="Times New Roman"/>
                <w:sz w:val="20"/>
                <w:szCs w:val="20"/>
              </w:rPr>
            </w:pPr>
          </w:p>
        </w:tc>
        <w:tc>
          <w:tcPr>
            <w:tcW w:w="50" w:type="pct"/>
            <w:vAlign w:val="center"/>
            <w:hideMark/>
          </w:tcPr>
          <w:p w14:paraId="73A5C254" w14:textId="77777777" w:rsidR="00000000" w:rsidRDefault="00195E73">
            <w:pPr>
              <w:rPr>
                <w:rFonts w:eastAsia="Times New Roman"/>
                <w:sz w:val="20"/>
                <w:szCs w:val="20"/>
              </w:rPr>
            </w:pPr>
          </w:p>
        </w:tc>
        <w:tc>
          <w:tcPr>
            <w:tcW w:w="428" w:type="pct"/>
            <w:vAlign w:val="center"/>
            <w:hideMark/>
          </w:tcPr>
          <w:p w14:paraId="391CF48C" w14:textId="77777777" w:rsidR="00000000" w:rsidRDefault="00195E73">
            <w:pPr>
              <w:rPr>
                <w:rFonts w:eastAsia="Times New Roman"/>
                <w:sz w:val="20"/>
                <w:szCs w:val="20"/>
              </w:rPr>
            </w:pPr>
          </w:p>
        </w:tc>
        <w:tc>
          <w:tcPr>
            <w:tcW w:w="50" w:type="pct"/>
            <w:vAlign w:val="center"/>
            <w:hideMark/>
          </w:tcPr>
          <w:p w14:paraId="26DE6538" w14:textId="77777777" w:rsidR="00000000" w:rsidRDefault="00195E73">
            <w:pPr>
              <w:rPr>
                <w:rFonts w:eastAsia="Times New Roman"/>
                <w:sz w:val="20"/>
                <w:szCs w:val="20"/>
              </w:rPr>
            </w:pPr>
          </w:p>
        </w:tc>
        <w:tc>
          <w:tcPr>
            <w:tcW w:w="5" w:type="pct"/>
            <w:vAlign w:val="center"/>
            <w:hideMark/>
          </w:tcPr>
          <w:p w14:paraId="3CDDDE53" w14:textId="77777777" w:rsidR="00000000" w:rsidRDefault="00195E73">
            <w:pPr>
              <w:rPr>
                <w:rFonts w:eastAsia="Times New Roman"/>
                <w:sz w:val="20"/>
                <w:szCs w:val="20"/>
              </w:rPr>
            </w:pPr>
          </w:p>
        </w:tc>
        <w:tc>
          <w:tcPr>
            <w:tcW w:w="19" w:type="pct"/>
            <w:vAlign w:val="center"/>
            <w:hideMark/>
          </w:tcPr>
          <w:p w14:paraId="26A6ECD9" w14:textId="77777777" w:rsidR="00000000" w:rsidRDefault="00195E73">
            <w:pPr>
              <w:rPr>
                <w:rFonts w:eastAsia="Times New Roman"/>
                <w:sz w:val="20"/>
                <w:szCs w:val="20"/>
              </w:rPr>
            </w:pPr>
          </w:p>
        </w:tc>
        <w:tc>
          <w:tcPr>
            <w:tcW w:w="5" w:type="pct"/>
            <w:vAlign w:val="center"/>
            <w:hideMark/>
          </w:tcPr>
          <w:p w14:paraId="6CD8FA60" w14:textId="77777777" w:rsidR="00000000" w:rsidRDefault="00195E73">
            <w:pPr>
              <w:rPr>
                <w:rFonts w:eastAsia="Times New Roman"/>
                <w:sz w:val="20"/>
                <w:szCs w:val="20"/>
              </w:rPr>
            </w:pPr>
          </w:p>
        </w:tc>
        <w:tc>
          <w:tcPr>
            <w:tcW w:w="50" w:type="pct"/>
            <w:vAlign w:val="center"/>
            <w:hideMark/>
          </w:tcPr>
          <w:p w14:paraId="5B0A21E5" w14:textId="77777777" w:rsidR="00000000" w:rsidRDefault="00195E73">
            <w:pPr>
              <w:rPr>
                <w:rFonts w:eastAsia="Times New Roman"/>
                <w:sz w:val="20"/>
                <w:szCs w:val="20"/>
              </w:rPr>
            </w:pPr>
          </w:p>
        </w:tc>
        <w:tc>
          <w:tcPr>
            <w:tcW w:w="428" w:type="pct"/>
            <w:vAlign w:val="center"/>
            <w:hideMark/>
          </w:tcPr>
          <w:p w14:paraId="2EC3331F" w14:textId="77777777" w:rsidR="00000000" w:rsidRDefault="00195E73">
            <w:pPr>
              <w:rPr>
                <w:rFonts w:eastAsia="Times New Roman"/>
                <w:sz w:val="20"/>
                <w:szCs w:val="20"/>
              </w:rPr>
            </w:pPr>
          </w:p>
        </w:tc>
        <w:tc>
          <w:tcPr>
            <w:tcW w:w="50" w:type="pct"/>
            <w:vAlign w:val="center"/>
            <w:hideMark/>
          </w:tcPr>
          <w:p w14:paraId="118CF971" w14:textId="77777777" w:rsidR="00000000" w:rsidRDefault="00195E73">
            <w:pPr>
              <w:rPr>
                <w:rFonts w:eastAsia="Times New Roman"/>
                <w:sz w:val="20"/>
                <w:szCs w:val="20"/>
              </w:rPr>
            </w:pPr>
          </w:p>
        </w:tc>
      </w:tr>
      <w:tr w:rsidR="00000000" w14:paraId="6BCD0909" w14:textId="77777777">
        <w:trPr>
          <w:gridAfter w:val="6"/>
          <w:divId w:val="559946493"/>
        </w:trPr>
        <w:tc>
          <w:tcPr>
            <w:tcW w:w="0" w:type="auto"/>
            <w:gridSpan w:val="3"/>
            <w:tcMar>
              <w:top w:w="15" w:type="dxa"/>
              <w:left w:w="20" w:type="dxa"/>
              <w:bottom w:w="15" w:type="dxa"/>
              <w:right w:w="20" w:type="dxa"/>
            </w:tcMar>
            <w:vAlign w:val="bottom"/>
            <w:hideMark/>
          </w:tcPr>
          <w:p w14:paraId="7DF9A1C3"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6CBFB7D7" w14:textId="77777777" w:rsidR="00000000" w:rsidRDefault="00195E73">
            <w:pPr>
              <w:jc w:val="center"/>
              <w:rPr>
                <w:rFonts w:eastAsia="Times New Roman"/>
              </w:rPr>
            </w:pPr>
            <w:r>
              <w:rPr>
                <w:rFonts w:eastAsia="Times New Roman"/>
                <w:b/>
                <w:bCs/>
                <w:color w:val="000000"/>
                <w:sz w:val="20"/>
                <w:szCs w:val="20"/>
              </w:rPr>
              <w:t>Voting Interest</w:t>
            </w:r>
            <w:r>
              <w:rPr>
                <w:rFonts w:eastAsia="Times New Roman"/>
                <w:b/>
                <w:bCs/>
                <w:color w:val="000000"/>
                <w:sz w:val="20"/>
                <w:szCs w:val="20"/>
              </w:rPr>
              <w:t>s</w:t>
            </w:r>
            <w:r>
              <w:rPr>
                <w:rFonts w:eastAsia="Times New Roman"/>
                <w:b/>
                <w:bCs/>
                <w:color w:val="000000"/>
                <w:sz w:val="13"/>
                <w:szCs w:val="13"/>
                <w:vertAlign w:val="superscript"/>
              </w:rPr>
              <w:t>(1)</w:t>
            </w:r>
          </w:p>
        </w:tc>
        <w:tc>
          <w:tcPr>
            <w:tcW w:w="0" w:type="auto"/>
            <w:gridSpan w:val="3"/>
            <w:tcMar>
              <w:top w:w="15" w:type="dxa"/>
              <w:left w:w="20" w:type="dxa"/>
              <w:bottom w:w="15" w:type="dxa"/>
              <w:right w:w="20" w:type="dxa"/>
            </w:tcMar>
            <w:vAlign w:val="bottom"/>
            <w:hideMark/>
          </w:tcPr>
          <w:p w14:paraId="11FC92A4" w14:textId="77777777" w:rsidR="00000000" w:rsidRDefault="00195E7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219267D6" w14:textId="77777777" w:rsidR="00000000" w:rsidRDefault="00195E73">
            <w:pPr>
              <w:jc w:val="center"/>
              <w:rPr>
                <w:rFonts w:eastAsia="Times New Roman"/>
              </w:rPr>
            </w:pPr>
            <w:r>
              <w:rPr>
                <w:rFonts w:eastAsia="Times New Roman"/>
                <w:b/>
                <w:bCs/>
                <w:color w:val="000000"/>
                <w:sz w:val="20"/>
                <w:szCs w:val="20"/>
              </w:rPr>
              <w:t>Fair Value of Investmen</w:t>
            </w:r>
            <w:r>
              <w:rPr>
                <w:rFonts w:eastAsia="Times New Roman"/>
                <w:b/>
                <w:bCs/>
                <w:color w:val="000000"/>
                <w:sz w:val="20"/>
                <w:szCs w:val="20"/>
              </w:rPr>
              <w:t>t</w:t>
            </w:r>
          </w:p>
        </w:tc>
        <w:tc>
          <w:tcPr>
            <w:tcW w:w="0" w:type="auto"/>
            <w:gridSpan w:val="3"/>
            <w:vAlign w:val="center"/>
            <w:hideMark/>
          </w:tcPr>
          <w:p w14:paraId="08A63072" w14:textId="77777777" w:rsidR="00000000" w:rsidRDefault="00195E73">
            <w:pPr>
              <w:jc w:val="center"/>
              <w:rPr>
                <w:rFonts w:eastAsia="Times New Roman"/>
              </w:rPr>
            </w:pPr>
          </w:p>
        </w:tc>
        <w:tc>
          <w:tcPr>
            <w:tcW w:w="0" w:type="auto"/>
            <w:gridSpan w:val="3"/>
            <w:vAlign w:val="center"/>
            <w:hideMark/>
          </w:tcPr>
          <w:p w14:paraId="6A9D45A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E84FE84" w14:textId="77777777" w:rsidR="00000000" w:rsidRDefault="00195E73">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3F24DD4D" w14:textId="77777777" w:rsidR="00000000" w:rsidRDefault="00195E73">
            <w:pPr>
              <w:jc w:val="center"/>
              <w:rPr>
                <w:rFonts w:eastAsia="Times New Roman"/>
              </w:rPr>
            </w:pPr>
            <w:r>
              <w:rPr>
                <w:rFonts w:eastAsia="Times New Roman"/>
                <w:b/>
                <w:bCs/>
                <w:color w:val="000000"/>
                <w:sz w:val="20"/>
                <w:szCs w:val="20"/>
              </w:rPr>
              <w:t xml:space="preserve">Gains (Losses) </w:t>
            </w:r>
            <w:r>
              <w:rPr>
                <w:rFonts w:eastAsia="Times New Roman"/>
                <w:b/>
                <w:bCs/>
                <w:color w:val="000000"/>
                <w:sz w:val="20"/>
                <w:szCs w:val="20"/>
              </w:rPr>
              <w:br/>
              <w:t>Recognized in Incom</w:t>
            </w:r>
            <w:r>
              <w:rPr>
                <w:rFonts w:eastAsia="Times New Roman"/>
                <w:b/>
                <w:bCs/>
                <w:color w:val="000000"/>
                <w:sz w:val="20"/>
                <w:szCs w:val="20"/>
              </w:rPr>
              <w:t>e</w:t>
            </w:r>
          </w:p>
        </w:tc>
        <w:tc>
          <w:tcPr>
            <w:tcW w:w="0" w:type="auto"/>
            <w:gridSpan w:val="3"/>
            <w:vAlign w:val="center"/>
            <w:hideMark/>
          </w:tcPr>
          <w:p w14:paraId="044ABA87" w14:textId="77777777" w:rsidR="00000000" w:rsidRDefault="00195E73">
            <w:pPr>
              <w:jc w:val="center"/>
              <w:rPr>
                <w:rFonts w:eastAsia="Times New Roman"/>
              </w:rPr>
            </w:pPr>
          </w:p>
        </w:tc>
        <w:tc>
          <w:tcPr>
            <w:tcW w:w="0" w:type="auto"/>
            <w:gridSpan w:val="3"/>
            <w:vAlign w:val="center"/>
            <w:hideMark/>
          </w:tcPr>
          <w:p w14:paraId="41E28191" w14:textId="77777777" w:rsidR="00000000" w:rsidRDefault="00195E73">
            <w:pPr>
              <w:rPr>
                <w:rFonts w:eastAsia="Times New Roman"/>
                <w:sz w:val="20"/>
                <w:szCs w:val="20"/>
              </w:rPr>
            </w:pPr>
          </w:p>
        </w:tc>
        <w:tc>
          <w:tcPr>
            <w:tcW w:w="0" w:type="auto"/>
            <w:gridSpan w:val="3"/>
            <w:vAlign w:val="center"/>
            <w:hideMark/>
          </w:tcPr>
          <w:p w14:paraId="29917E2E" w14:textId="77777777" w:rsidR="00000000" w:rsidRDefault="00195E73">
            <w:pPr>
              <w:rPr>
                <w:rFonts w:eastAsia="Times New Roman"/>
                <w:sz w:val="20"/>
                <w:szCs w:val="20"/>
              </w:rPr>
            </w:pPr>
          </w:p>
        </w:tc>
        <w:tc>
          <w:tcPr>
            <w:tcW w:w="0" w:type="auto"/>
            <w:gridSpan w:val="3"/>
            <w:vAlign w:val="center"/>
            <w:hideMark/>
          </w:tcPr>
          <w:p w14:paraId="4DA270C5" w14:textId="77777777" w:rsidR="00000000" w:rsidRDefault="00195E73">
            <w:pPr>
              <w:rPr>
                <w:rFonts w:eastAsia="Times New Roman"/>
                <w:sz w:val="20"/>
                <w:szCs w:val="20"/>
              </w:rPr>
            </w:pPr>
          </w:p>
        </w:tc>
      </w:tr>
      <w:tr w:rsidR="00000000" w14:paraId="27BC117E" w14:textId="77777777">
        <w:trPr>
          <w:gridAfter w:val="6"/>
          <w:divId w:val="559946493"/>
        </w:trPr>
        <w:tc>
          <w:tcPr>
            <w:tcW w:w="0" w:type="auto"/>
            <w:gridSpan w:val="3"/>
            <w:tcMar>
              <w:top w:w="15" w:type="dxa"/>
              <w:left w:w="20" w:type="dxa"/>
              <w:bottom w:w="15" w:type="dxa"/>
              <w:right w:w="20" w:type="dxa"/>
            </w:tcMar>
            <w:vAlign w:val="bottom"/>
            <w:hideMark/>
          </w:tcPr>
          <w:p w14:paraId="33E08572" w14:textId="77777777" w:rsidR="00000000" w:rsidRDefault="00195E73">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76C44E6" w14:textId="77777777" w:rsidR="00000000" w:rsidRDefault="00195E73">
            <w:pPr>
              <w:jc w:val="center"/>
              <w:rPr>
                <w:rFonts w:eastAsia="Times New Roman"/>
              </w:rPr>
            </w:pPr>
            <w:r>
              <w:rPr>
                <w:rFonts w:eastAsia="Times New Roman"/>
                <w:b/>
                <w:bCs/>
                <w:color w:val="000000"/>
                <w:sz w:val="20"/>
                <w:szCs w:val="20"/>
              </w:rPr>
              <w:t>December 31, 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14:paraId="1F9C0745"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FCFA221"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1B8BB172" w14:textId="77777777" w:rsidR="00000000" w:rsidRDefault="00195E73">
            <w:pPr>
              <w:jc w:val="center"/>
              <w:rPr>
                <w:rFonts w:eastAsia="Times New Roman"/>
              </w:rPr>
            </w:pPr>
          </w:p>
        </w:tc>
        <w:tc>
          <w:tcPr>
            <w:tcW w:w="0" w:type="auto"/>
            <w:gridSpan w:val="3"/>
            <w:vAlign w:val="center"/>
            <w:hideMark/>
          </w:tcPr>
          <w:p w14:paraId="592313A4"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1B56162" w14:textId="77777777" w:rsidR="00000000" w:rsidRDefault="00195E73">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1665A82C"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54F162F8" w14:textId="77777777" w:rsidR="00000000" w:rsidRDefault="00195E73">
            <w:pPr>
              <w:jc w:val="center"/>
              <w:rPr>
                <w:rFonts w:eastAsia="Times New Roman"/>
              </w:rPr>
            </w:pPr>
          </w:p>
        </w:tc>
        <w:tc>
          <w:tcPr>
            <w:tcW w:w="0" w:type="auto"/>
            <w:gridSpan w:val="3"/>
            <w:vAlign w:val="center"/>
            <w:hideMark/>
          </w:tcPr>
          <w:p w14:paraId="4B6EACC5" w14:textId="77777777" w:rsidR="00000000" w:rsidRDefault="00195E73">
            <w:pPr>
              <w:rPr>
                <w:rFonts w:eastAsia="Times New Roman"/>
                <w:sz w:val="20"/>
                <w:szCs w:val="20"/>
              </w:rPr>
            </w:pPr>
          </w:p>
        </w:tc>
        <w:tc>
          <w:tcPr>
            <w:tcW w:w="0" w:type="auto"/>
            <w:gridSpan w:val="3"/>
            <w:vAlign w:val="center"/>
            <w:hideMark/>
          </w:tcPr>
          <w:p w14:paraId="6FE6D1E3" w14:textId="77777777" w:rsidR="00000000" w:rsidRDefault="00195E73">
            <w:pPr>
              <w:rPr>
                <w:rFonts w:eastAsia="Times New Roman"/>
                <w:sz w:val="20"/>
                <w:szCs w:val="20"/>
              </w:rPr>
            </w:pPr>
          </w:p>
        </w:tc>
        <w:tc>
          <w:tcPr>
            <w:tcW w:w="0" w:type="auto"/>
            <w:gridSpan w:val="3"/>
            <w:vAlign w:val="center"/>
            <w:hideMark/>
          </w:tcPr>
          <w:p w14:paraId="050EE6E2" w14:textId="77777777" w:rsidR="00000000" w:rsidRDefault="00195E73">
            <w:pPr>
              <w:rPr>
                <w:rFonts w:eastAsia="Times New Roman"/>
                <w:sz w:val="20"/>
                <w:szCs w:val="20"/>
              </w:rPr>
            </w:pPr>
          </w:p>
        </w:tc>
      </w:tr>
      <w:tr w:rsidR="00000000" w14:paraId="325B0EAB" w14:textId="77777777">
        <w:trPr>
          <w:gridAfter w:val="6"/>
          <w:divId w:val="559946493"/>
        </w:trPr>
        <w:tc>
          <w:tcPr>
            <w:tcW w:w="0" w:type="auto"/>
            <w:gridSpan w:val="3"/>
            <w:tcMar>
              <w:top w:w="15" w:type="dxa"/>
              <w:left w:w="20" w:type="dxa"/>
              <w:bottom w:w="15" w:type="dxa"/>
              <w:right w:w="20" w:type="dxa"/>
            </w:tcMar>
            <w:vAlign w:val="bottom"/>
            <w:hideMark/>
          </w:tcPr>
          <w:p w14:paraId="74F7DABF" w14:textId="77777777" w:rsidR="00000000" w:rsidRDefault="00195E73">
            <w:pPr>
              <w:rPr>
                <w:rFonts w:eastAsia="Times New Roman"/>
                <w:sz w:val="20"/>
                <w:szCs w:val="20"/>
              </w:rPr>
            </w:pPr>
          </w:p>
        </w:tc>
        <w:tc>
          <w:tcPr>
            <w:tcW w:w="0" w:type="auto"/>
            <w:gridSpan w:val="3"/>
            <w:vMerge/>
            <w:tcBorders>
              <w:top w:val="single" w:sz="8" w:space="0" w:color="000000"/>
            </w:tcBorders>
            <w:vAlign w:val="center"/>
            <w:hideMark/>
          </w:tcPr>
          <w:p w14:paraId="638FD8A1" w14:textId="77777777" w:rsidR="00000000" w:rsidRDefault="00195E73">
            <w:pPr>
              <w:rPr>
                <w:rFonts w:eastAsia="Times New Roman"/>
              </w:rPr>
            </w:pPr>
          </w:p>
        </w:tc>
        <w:tc>
          <w:tcPr>
            <w:tcW w:w="0" w:type="auto"/>
            <w:gridSpan w:val="3"/>
            <w:vAlign w:val="center"/>
            <w:hideMark/>
          </w:tcPr>
          <w:p w14:paraId="2076937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0035908"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B7B288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5ECD90DD"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3B5833"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14:paraId="72B35984"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57E179C"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315CA2D9"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9E03D3E"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3A9A484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BD34340"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02C7D355" w14:textId="77777777" w:rsidR="00000000" w:rsidRDefault="00195E73">
            <w:pPr>
              <w:rPr>
                <w:rFonts w:eastAsia="Times New Roman"/>
                <w:sz w:val="20"/>
                <w:szCs w:val="20"/>
              </w:rPr>
            </w:pPr>
          </w:p>
        </w:tc>
        <w:tc>
          <w:tcPr>
            <w:tcW w:w="0" w:type="auto"/>
            <w:vAlign w:val="center"/>
            <w:hideMark/>
          </w:tcPr>
          <w:p w14:paraId="470318A1" w14:textId="77777777" w:rsidR="00000000" w:rsidRDefault="00195E73">
            <w:pPr>
              <w:rPr>
                <w:rFonts w:eastAsia="Times New Roman"/>
                <w:sz w:val="20"/>
                <w:szCs w:val="20"/>
              </w:rPr>
            </w:pPr>
          </w:p>
        </w:tc>
        <w:tc>
          <w:tcPr>
            <w:tcW w:w="0" w:type="auto"/>
            <w:vAlign w:val="center"/>
            <w:hideMark/>
          </w:tcPr>
          <w:p w14:paraId="5CD4AD88" w14:textId="77777777" w:rsidR="00000000" w:rsidRDefault="00195E73">
            <w:pPr>
              <w:rPr>
                <w:rFonts w:eastAsia="Times New Roman"/>
                <w:sz w:val="20"/>
                <w:szCs w:val="20"/>
              </w:rPr>
            </w:pPr>
          </w:p>
        </w:tc>
        <w:tc>
          <w:tcPr>
            <w:tcW w:w="0" w:type="auto"/>
            <w:vAlign w:val="center"/>
            <w:hideMark/>
          </w:tcPr>
          <w:p w14:paraId="66123177" w14:textId="77777777" w:rsidR="00000000" w:rsidRDefault="00195E73">
            <w:pPr>
              <w:rPr>
                <w:rFonts w:eastAsia="Times New Roman"/>
                <w:sz w:val="20"/>
                <w:szCs w:val="20"/>
              </w:rPr>
            </w:pPr>
          </w:p>
        </w:tc>
        <w:tc>
          <w:tcPr>
            <w:tcW w:w="0" w:type="auto"/>
            <w:vAlign w:val="center"/>
            <w:hideMark/>
          </w:tcPr>
          <w:p w14:paraId="6300941F" w14:textId="77777777" w:rsidR="00000000" w:rsidRDefault="00195E73">
            <w:pPr>
              <w:rPr>
                <w:rFonts w:eastAsia="Times New Roman"/>
                <w:sz w:val="20"/>
                <w:szCs w:val="20"/>
              </w:rPr>
            </w:pPr>
          </w:p>
        </w:tc>
        <w:tc>
          <w:tcPr>
            <w:tcW w:w="0" w:type="auto"/>
            <w:vAlign w:val="center"/>
            <w:hideMark/>
          </w:tcPr>
          <w:p w14:paraId="283F46B3" w14:textId="77777777" w:rsidR="00000000" w:rsidRDefault="00195E73">
            <w:pPr>
              <w:rPr>
                <w:rFonts w:eastAsia="Times New Roman"/>
                <w:sz w:val="20"/>
                <w:szCs w:val="20"/>
              </w:rPr>
            </w:pPr>
          </w:p>
        </w:tc>
        <w:tc>
          <w:tcPr>
            <w:tcW w:w="0" w:type="auto"/>
            <w:vAlign w:val="center"/>
            <w:hideMark/>
          </w:tcPr>
          <w:p w14:paraId="1E8807E9" w14:textId="77777777" w:rsidR="00000000" w:rsidRDefault="00195E73">
            <w:pPr>
              <w:rPr>
                <w:rFonts w:eastAsia="Times New Roman"/>
                <w:sz w:val="20"/>
                <w:szCs w:val="20"/>
              </w:rPr>
            </w:pPr>
          </w:p>
        </w:tc>
        <w:tc>
          <w:tcPr>
            <w:tcW w:w="0" w:type="auto"/>
            <w:vAlign w:val="center"/>
            <w:hideMark/>
          </w:tcPr>
          <w:p w14:paraId="63A4490A" w14:textId="77777777" w:rsidR="00000000" w:rsidRDefault="00195E73">
            <w:pPr>
              <w:rPr>
                <w:rFonts w:eastAsia="Times New Roman"/>
                <w:sz w:val="20"/>
                <w:szCs w:val="20"/>
              </w:rPr>
            </w:pPr>
          </w:p>
        </w:tc>
        <w:tc>
          <w:tcPr>
            <w:tcW w:w="0" w:type="auto"/>
            <w:vAlign w:val="center"/>
            <w:hideMark/>
          </w:tcPr>
          <w:p w14:paraId="3092E4D8" w14:textId="77777777" w:rsidR="00000000" w:rsidRDefault="00195E73">
            <w:pPr>
              <w:rPr>
                <w:rFonts w:eastAsia="Times New Roman"/>
                <w:sz w:val="20"/>
                <w:szCs w:val="20"/>
              </w:rPr>
            </w:pPr>
          </w:p>
        </w:tc>
        <w:tc>
          <w:tcPr>
            <w:tcW w:w="0" w:type="auto"/>
            <w:vAlign w:val="center"/>
            <w:hideMark/>
          </w:tcPr>
          <w:p w14:paraId="0E61EEA4" w14:textId="77777777" w:rsidR="00000000" w:rsidRDefault="00195E73">
            <w:pPr>
              <w:rPr>
                <w:rFonts w:eastAsia="Times New Roman"/>
                <w:sz w:val="20"/>
                <w:szCs w:val="20"/>
              </w:rPr>
            </w:pPr>
          </w:p>
        </w:tc>
        <w:tc>
          <w:tcPr>
            <w:tcW w:w="0" w:type="auto"/>
            <w:vAlign w:val="center"/>
            <w:hideMark/>
          </w:tcPr>
          <w:p w14:paraId="5E0CB795" w14:textId="77777777" w:rsidR="00000000" w:rsidRDefault="00195E73">
            <w:pPr>
              <w:rPr>
                <w:rFonts w:eastAsia="Times New Roman"/>
                <w:sz w:val="20"/>
                <w:szCs w:val="20"/>
              </w:rPr>
            </w:pPr>
          </w:p>
        </w:tc>
        <w:tc>
          <w:tcPr>
            <w:tcW w:w="0" w:type="auto"/>
            <w:vAlign w:val="center"/>
            <w:hideMark/>
          </w:tcPr>
          <w:p w14:paraId="28EBBD33" w14:textId="77777777" w:rsidR="00000000" w:rsidRDefault="00195E73">
            <w:pPr>
              <w:rPr>
                <w:rFonts w:eastAsia="Times New Roman"/>
                <w:sz w:val="20"/>
                <w:szCs w:val="20"/>
              </w:rPr>
            </w:pPr>
          </w:p>
        </w:tc>
        <w:tc>
          <w:tcPr>
            <w:tcW w:w="0" w:type="auto"/>
            <w:vAlign w:val="center"/>
            <w:hideMark/>
          </w:tcPr>
          <w:p w14:paraId="76C620D8" w14:textId="77777777" w:rsidR="00000000" w:rsidRDefault="00195E73">
            <w:pPr>
              <w:rPr>
                <w:rFonts w:eastAsia="Times New Roman"/>
                <w:sz w:val="20"/>
                <w:szCs w:val="20"/>
              </w:rPr>
            </w:pPr>
          </w:p>
        </w:tc>
        <w:tc>
          <w:tcPr>
            <w:tcW w:w="0" w:type="auto"/>
            <w:vAlign w:val="center"/>
            <w:hideMark/>
          </w:tcPr>
          <w:p w14:paraId="29E6FE13" w14:textId="77777777" w:rsidR="00000000" w:rsidRDefault="00195E73">
            <w:pPr>
              <w:rPr>
                <w:rFonts w:eastAsia="Times New Roman"/>
                <w:sz w:val="20"/>
                <w:szCs w:val="20"/>
              </w:rPr>
            </w:pPr>
          </w:p>
        </w:tc>
        <w:tc>
          <w:tcPr>
            <w:tcW w:w="0" w:type="auto"/>
            <w:vAlign w:val="center"/>
            <w:hideMark/>
          </w:tcPr>
          <w:p w14:paraId="1DADDF45" w14:textId="77777777" w:rsidR="00000000" w:rsidRDefault="00195E73">
            <w:pPr>
              <w:rPr>
                <w:rFonts w:eastAsia="Times New Roman"/>
                <w:sz w:val="20"/>
                <w:szCs w:val="20"/>
              </w:rPr>
            </w:pPr>
          </w:p>
        </w:tc>
      </w:tr>
      <w:tr w:rsidR="00000000" w14:paraId="3F888B82" w14:textId="77777777">
        <w:trPr>
          <w:divId w:val="559946493"/>
        </w:trPr>
        <w:tc>
          <w:tcPr>
            <w:tcW w:w="0" w:type="auto"/>
            <w:gridSpan w:val="3"/>
            <w:tcMar>
              <w:top w:w="15" w:type="dxa"/>
              <w:left w:w="20" w:type="dxa"/>
              <w:bottom w:w="15" w:type="dxa"/>
              <w:right w:w="20" w:type="dxa"/>
            </w:tcMar>
            <w:hideMark/>
          </w:tcPr>
          <w:p w14:paraId="6A4E7D3A" w14:textId="77777777" w:rsidR="00000000" w:rsidRDefault="00195E73">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14:paraId="6027025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392CA5B" w14:textId="77777777" w:rsidR="00000000" w:rsidRDefault="00195E73">
            <w:pPr>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4169E8B7"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17117E4A" w14:textId="77777777" w:rsidR="00000000" w:rsidRDefault="00195E73">
            <w:pPr>
              <w:jc w:val="center"/>
              <w:rPr>
                <w:rFonts w:eastAsia="Times New Roman"/>
              </w:rPr>
            </w:pPr>
          </w:p>
        </w:tc>
        <w:tc>
          <w:tcPr>
            <w:tcW w:w="0" w:type="auto"/>
            <w:gridSpan w:val="3"/>
            <w:vAlign w:val="center"/>
            <w:hideMark/>
          </w:tcPr>
          <w:p w14:paraId="15268D24" w14:textId="77777777" w:rsidR="00000000" w:rsidRDefault="00195E73">
            <w:pPr>
              <w:rPr>
                <w:rFonts w:eastAsia="Times New Roman"/>
                <w:sz w:val="20"/>
                <w:szCs w:val="20"/>
              </w:rPr>
            </w:pPr>
          </w:p>
        </w:tc>
        <w:tc>
          <w:tcPr>
            <w:tcW w:w="0" w:type="auto"/>
            <w:gridSpan w:val="3"/>
            <w:vAlign w:val="center"/>
            <w:hideMark/>
          </w:tcPr>
          <w:p w14:paraId="030150A9" w14:textId="77777777" w:rsidR="00000000" w:rsidRDefault="00195E73">
            <w:pPr>
              <w:rPr>
                <w:rFonts w:eastAsia="Times New Roman"/>
                <w:sz w:val="20"/>
                <w:szCs w:val="20"/>
              </w:rPr>
            </w:pPr>
          </w:p>
        </w:tc>
        <w:tc>
          <w:tcPr>
            <w:tcW w:w="0" w:type="auto"/>
            <w:gridSpan w:val="3"/>
            <w:vAlign w:val="center"/>
            <w:hideMark/>
          </w:tcPr>
          <w:p w14:paraId="648007CF" w14:textId="77777777" w:rsidR="00000000" w:rsidRDefault="00195E73">
            <w:pPr>
              <w:rPr>
                <w:rFonts w:eastAsia="Times New Roman"/>
                <w:sz w:val="20"/>
                <w:szCs w:val="20"/>
              </w:rPr>
            </w:pPr>
          </w:p>
        </w:tc>
        <w:tc>
          <w:tcPr>
            <w:tcW w:w="0" w:type="auto"/>
            <w:gridSpan w:val="3"/>
            <w:vAlign w:val="center"/>
            <w:hideMark/>
          </w:tcPr>
          <w:p w14:paraId="1EB874AF" w14:textId="77777777" w:rsidR="00000000" w:rsidRDefault="00195E73">
            <w:pPr>
              <w:rPr>
                <w:rFonts w:eastAsia="Times New Roman"/>
                <w:sz w:val="20"/>
                <w:szCs w:val="20"/>
              </w:rPr>
            </w:pPr>
          </w:p>
        </w:tc>
        <w:tc>
          <w:tcPr>
            <w:tcW w:w="0" w:type="auto"/>
            <w:gridSpan w:val="3"/>
            <w:vAlign w:val="center"/>
            <w:hideMark/>
          </w:tcPr>
          <w:p w14:paraId="256117F2" w14:textId="77777777" w:rsidR="00000000" w:rsidRDefault="00195E73">
            <w:pPr>
              <w:rPr>
                <w:rFonts w:eastAsia="Times New Roman"/>
                <w:sz w:val="20"/>
                <w:szCs w:val="20"/>
              </w:rPr>
            </w:pPr>
          </w:p>
        </w:tc>
        <w:tc>
          <w:tcPr>
            <w:tcW w:w="0" w:type="auto"/>
            <w:gridSpan w:val="3"/>
            <w:vAlign w:val="center"/>
            <w:hideMark/>
          </w:tcPr>
          <w:p w14:paraId="18E06580" w14:textId="77777777" w:rsidR="00000000" w:rsidRDefault="00195E73">
            <w:pPr>
              <w:rPr>
                <w:rFonts w:eastAsia="Times New Roman"/>
                <w:sz w:val="20"/>
                <w:szCs w:val="20"/>
              </w:rPr>
            </w:pPr>
          </w:p>
        </w:tc>
        <w:tc>
          <w:tcPr>
            <w:tcW w:w="0" w:type="auto"/>
            <w:gridSpan w:val="3"/>
            <w:vAlign w:val="center"/>
            <w:hideMark/>
          </w:tcPr>
          <w:p w14:paraId="73A29705" w14:textId="77777777" w:rsidR="00000000" w:rsidRDefault="00195E73">
            <w:pPr>
              <w:rPr>
                <w:rFonts w:eastAsia="Times New Roman"/>
                <w:sz w:val="20"/>
                <w:szCs w:val="20"/>
              </w:rPr>
            </w:pPr>
          </w:p>
        </w:tc>
      </w:tr>
      <w:tr w:rsidR="00195E73" w14:paraId="7C1ECB65" w14:textId="77777777">
        <w:trPr>
          <w:divId w:val="559946493"/>
        </w:trPr>
        <w:tc>
          <w:tcPr>
            <w:tcW w:w="0" w:type="auto"/>
            <w:gridSpan w:val="3"/>
            <w:shd w:val="clear" w:color="auto" w:fill="CCEEFF"/>
            <w:tcMar>
              <w:top w:w="30" w:type="dxa"/>
              <w:left w:w="20" w:type="dxa"/>
              <w:bottom w:w="30" w:type="dxa"/>
              <w:right w:w="20" w:type="dxa"/>
            </w:tcMar>
            <w:hideMark/>
          </w:tcPr>
          <w:p w14:paraId="745CDB41" w14:textId="77777777" w:rsidR="00000000" w:rsidRDefault="00195E73">
            <w:pPr>
              <w:rPr>
                <w:rFonts w:eastAsia="Times New Roman"/>
              </w:rPr>
            </w:pPr>
            <w:r>
              <w:rPr>
                <w:rFonts w:eastAsia="Times New Roman"/>
                <w:color w:val="000000"/>
                <w:sz w:val="20"/>
                <w:szCs w:val="20"/>
              </w:rPr>
              <w:t>Herbalife Nutrition Ltd</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hideMark/>
          </w:tcPr>
          <w:p w14:paraId="2954556F" w14:textId="77777777" w:rsidR="00000000" w:rsidRDefault="00195E73">
            <w:pPr>
              <w:jc w:val="center"/>
              <w:rPr>
                <w:rFonts w:eastAsia="Times New Roman"/>
              </w:rPr>
            </w:pPr>
            <w:r>
              <w:rPr>
                <w:rFonts w:eastAsia="Times New Roman"/>
                <w:color w:val="000000"/>
                <w:sz w:val="20"/>
                <w:szCs w:val="20"/>
              </w:rPr>
              <w:t>19.1%</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235E50E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4517B2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hideMark/>
          </w:tcPr>
          <w:p w14:paraId="74EDDEC7"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14:paraId="64887C3D" w14:textId="77777777" w:rsidR="00000000" w:rsidRDefault="00195E73">
            <w:pPr>
              <w:jc w:val="right"/>
              <w:rPr>
                <w:rFonts w:eastAsia="Times New Roman"/>
              </w:rPr>
            </w:pPr>
            <w:r>
              <w:rPr>
                <w:rFonts w:eastAsia="Times New Roman"/>
                <w:color w:val="000000"/>
                <w:sz w:val="20"/>
                <w:szCs w:val="20"/>
              </w:rPr>
              <w:t>1,343</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63132B6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17579F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hideMark/>
          </w:tcPr>
          <w:p w14:paraId="42D5E21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14:paraId="2250281C" w14:textId="77777777" w:rsidR="00000000" w:rsidRDefault="00195E73">
            <w:pPr>
              <w:jc w:val="right"/>
              <w:rPr>
                <w:rFonts w:eastAsia="Times New Roman"/>
              </w:rPr>
            </w:pPr>
            <w:r>
              <w:rPr>
                <w:rFonts w:eastAsia="Times New Roman"/>
                <w:color w:val="000000"/>
                <w:sz w:val="20"/>
                <w:szCs w:val="20"/>
              </w:rPr>
              <w:t>1,661</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781F8F2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DC3312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hideMark/>
          </w:tcPr>
          <w:p w14:paraId="7442176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14:paraId="2688FA6D" w14:textId="77777777" w:rsidR="00000000" w:rsidRDefault="00195E73">
            <w:pPr>
              <w:jc w:val="right"/>
              <w:rPr>
                <w:rFonts w:eastAsia="Times New Roman"/>
              </w:rPr>
            </w:pPr>
            <w:r>
              <w:rPr>
                <w:rFonts w:eastAsia="Times New Roman"/>
                <w:color w:val="000000"/>
                <w:sz w:val="20"/>
                <w:szCs w:val="20"/>
              </w:rPr>
              <w:t>(318</w:t>
            </w:r>
            <w:r>
              <w:rPr>
                <w:rFonts w:eastAsia="Times New Roman"/>
                <w:color w:val="000000"/>
                <w:sz w:val="20"/>
                <w:szCs w:val="20"/>
              </w:rPr>
              <w:t>)</w:t>
            </w:r>
          </w:p>
        </w:tc>
        <w:tc>
          <w:tcPr>
            <w:tcW w:w="0" w:type="auto"/>
            <w:shd w:val="clear" w:color="auto" w:fill="CCEEFF"/>
            <w:tcMar>
              <w:top w:w="30" w:type="dxa"/>
              <w:left w:w="15" w:type="dxa"/>
              <w:bottom w:w="30" w:type="dxa"/>
              <w:right w:w="20" w:type="dxa"/>
            </w:tcMar>
            <w:hideMark/>
          </w:tcPr>
          <w:p w14:paraId="6FFBF4FF"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hideMark/>
          </w:tcPr>
          <w:p w14:paraId="2FF2CCD4"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hideMark/>
          </w:tcPr>
          <w:p w14:paraId="10A8B3F7" w14:textId="77777777" w:rsidR="00000000" w:rsidRDefault="00195E73">
            <w:pPr>
              <w:jc w:val="right"/>
              <w:rPr>
                <w:rFonts w:eastAsia="Times New Roman"/>
                <w:sz w:val="20"/>
                <w:szCs w:val="20"/>
              </w:rPr>
            </w:pPr>
          </w:p>
        </w:tc>
        <w:tc>
          <w:tcPr>
            <w:tcW w:w="0" w:type="auto"/>
            <w:shd w:val="clear" w:color="auto" w:fill="CCEEFF"/>
            <w:tcMar>
              <w:top w:w="30" w:type="dxa"/>
              <w:left w:w="20" w:type="dxa"/>
              <w:bottom w:w="30" w:type="dxa"/>
              <w:right w:w="15" w:type="dxa"/>
            </w:tcMar>
            <w:hideMark/>
          </w:tcPr>
          <w:p w14:paraId="330CC12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14:paraId="0B59E3E3" w14:textId="77777777" w:rsidR="00000000" w:rsidRDefault="00195E73">
            <w:pPr>
              <w:jc w:val="right"/>
              <w:rPr>
                <w:rFonts w:eastAsia="Times New Roman"/>
              </w:rPr>
            </w:pPr>
            <w:r>
              <w:rPr>
                <w:rFonts w:eastAsia="Times New Roman"/>
                <w:color w:val="000000"/>
                <w:sz w:val="20"/>
                <w:szCs w:val="20"/>
              </w:rPr>
              <w:t>864</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1288273A"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hideMark/>
          </w:tcPr>
          <w:p w14:paraId="0C55928C"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hideMark/>
          </w:tcPr>
          <w:p w14:paraId="49E3BA5C" w14:textId="77777777" w:rsidR="00000000" w:rsidRDefault="00195E73">
            <w:pPr>
              <w:jc w:val="right"/>
              <w:rPr>
                <w:rFonts w:eastAsia="Times New Roman"/>
                <w:sz w:val="20"/>
                <w:szCs w:val="20"/>
              </w:rPr>
            </w:pPr>
          </w:p>
        </w:tc>
        <w:tc>
          <w:tcPr>
            <w:tcW w:w="0" w:type="auto"/>
            <w:shd w:val="clear" w:color="auto" w:fill="CCEEFF"/>
            <w:tcMar>
              <w:top w:w="30" w:type="dxa"/>
              <w:left w:w="20" w:type="dxa"/>
              <w:bottom w:w="30" w:type="dxa"/>
              <w:right w:w="15" w:type="dxa"/>
            </w:tcMar>
            <w:hideMark/>
          </w:tcPr>
          <w:p w14:paraId="4071296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14:paraId="504EF172" w14:textId="77777777" w:rsidR="00000000" w:rsidRDefault="00195E73">
            <w:pPr>
              <w:jc w:val="right"/>
              <w:rPr>
                <w:rFonts w:eastAsia="Times New Roman"/>
              </w:rPr>
            </w:pPr>
            <w:r>
              <w:rPr>
                <w:rFonts w:eastAsia="Times New Roman"/>
                <w:color w:val="000000"/>
                <w:sz w:val="20"/>
                <w:szCs w:val="20"/>
              </w:rPr>
              <w:t>357</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7F917AC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B1F1DE0" w14:textId="77777777" w:rsidR="00000000" w:rsidRDefault="00195E73">
            <w:pPr>
              <w:rPr>
                <w:rFonts w:eastAsia="Times New Roman"/>
                <w:sz w:val="20"/>
                <w:szCs w:val="20"/>
              </w:rPr>
            </w:pPr>
          </w:p>
        </w:tc>
        <w:tc>
          <w:tcPr>
            <w:tcW w:w="0" w:type="auto"/>
            <w:vAlign w:val="center"/>
            <w:hideMark/>
          </w:tcPr>
          <w:p w14:paraId="43C9D33F" w14:textId="77777777" w:rsidR="00000000" w:rsidRDefault="00195E73">
            <w:pPr>
              <w:rPr>
                <w:rFonts w:eastAsia="Times New Roman"/>
                <w:sz w:val="20"/>
                <w:szCs w:val="20"/>
              </w:rPr>
            </w:pPr>
          </w:p>
        </w:tc>
        <w:tc>
          <w:tcPr>
            <w:tcW w:w="0" w:type="auto"/>
            <w:vAlign w:val="center"/>
            <w:hideMark/>
          </w:tcPr>
          <w:p w14:paraId="30B9EC8F" w14:textId="77777777" w:rsidR="00000000" w:rsidRDefault="00195E73">
            <w:pPr>
              <w:rPr>
                <w:rFonts w:eastAsia="Times New Roman"/>
                <w:sz w:val="20"/>
                <w:szCs w:val="20"/>
              </w:rPr>
            </w:pPr>
          </w:p>
        </w:tc>
        <w:tc>
          <w:tcPr>
            <w:tcW w:w="0" w:type="auto"/>
            <w:vAlign w:val="center"/>
            <w:hideMark/>
          </w:tcPr>
          <w:p w14:paraId="67B4E72A" w14:textId="77777777" w:rsidR="00000000" w:rsidRDefault="00195E73">
            <w:pPr>
              <w:rPr>
                <w:rFonts w:eastAsia="Times New Roman"/>
                <w:sz w:val="20"/>
                <w:szCs w:val="20"/>
              </w:rPr>
            </w:pPr>
          </w:p>
        </w:tc>
        <w:tc>
          <w:tcPr>
            <w:tcW w:w="0" w:type="auto"/>
            <w:vAlign w:val="center"/>
            <w:hideMark/>
          </w:tcPr>
          <w:p w14:paraId="22151F76" w14:textId="77777777" w:rsidR="00000000" w:rsidRDefault="00195E73">
            <w:pPr>
              <w:rPr>
                <w:rFonts w:eastAsia="Times New Roman"/>
                <w:sz w:val="20"/>
                <w:szCs w:val="20"/>
              </w:rPr>
            </w:pPr>
          </w:p>
        </w:tc>
        <w:tc>
          <w:tcPr>
            <w:tcW w:w="0" w:type="auto"/>
            <w:vAlign w:val="center"/>
            <w:hideMark/>
          </w:tcPr>
          <w:p w14:paraId="1F64A63F" w14:textId="77777777" w:rsidR="00000000" w:rsidRDefault="00195E73">
            <w:pPr>
              <w:rPr>
                <w:rFonts w:eastAsia="Times New Roman"/>
                <w:sz w:val="20"/>
                <w:szCs w:val="20"/>
              </w:rPr>
            </w:pPr>
          </w:p>
        </w:tc>
        <w:tc>
          <w:tcPr>
            <w:tcW w:w="0" w:type="auto"/>
            <w:vAlign w:val="center"/>
            <w:hideMark/>
          </w:tcPr>
          <w:p w14:paraId="734A7116" w14:textId="77777777" w:rsidR="00000000" w:rsidRDefault="00195E73">
            <w:pPr>
              <w:rPr>
                <w:rFonts w:eastAsia="Times New Roman"/>
                <w:sz w:val="20"/>
                <w:szCs w:val="20"/>
              </w:rPr>
            </w:pPr>
          </w:p>
        </w:tc>
        <w:tc>
          <w:tcPr>
            <w:tcW w:w="0" w:type="auto"/>
            <w:vAlign w:val="center"/>
            <w:hideMark/>
          </w:tcPr>
          <w:p w14:paraId="09E14DA9" w14:textId="77777777" w:rsidR="00000000" w:rsidRDefault="00195E73">
            <w:pPr>
              <w:rPr>
                <w:rFonts w:eastAsia="Times New Roman"/>
                <w:sz w:val="20"/>
                <w:szCs w:val="20"/>
              </w:rPr>
            </w:pPr>
          </w:p>
        </w:tc>
        <w:tc>
          <w:tcPr>
            <w:tcW w:w="0" w:type="auto"/>
            <w:vAlign w:val="center"/>
            <w:hideMark/>
          </w:tcPr>
          <w:p w14:paraId="236CF8D4" w14:textId="77777777" w:rsidR="00000000" w:rsidRDefault="00195E73">
            <w:pPr>
              <w:rPr>
                <w:rFonts w:eastAsia="Times New Roman"/>
                <w:sz w:val="20"/>
                <w:szCs w:val="20"/>
              </w:rPr>
            </w:pPr>
          </w:p>
        </w:tc>
        <w:tc>
          <w:tcPr>
            <w:tcW w:w="0" w:type="auto"/>
            <w:vAlign w:val="center"/>
            <w:hideMark/>
          </w:tcPr>
          <w:p w14:paraId="2692ABD8" w14:textId="77777777" w:rsidR="00000000" w:rsidRDefault="00195E73">
            <w:pPr>
              <w:rPr>
                <w:rFonts w:eastAsia="Times New Roman"/>
                <w:sz w:val="20"/>
                <w:szCs w:val="20"/>
              </w:rPr>
            </w:pPr>
          </w:p>
        </w:tc>
        <w:tc>
          <w:tcPr>
            <w:tcW w:w="0" w:type="auto"/>
            <w:vAlign w:val="center"/>
            <w:hideMark/>
          </w:tcPr>
          <w:p w14:paraId="63D7343D" w14:textId="77777777" w:rsidR="00000000" w:rsidRDefault="00195E73">
            <w:pPr>
              <w:rPr>
                <w:rFonts w:eastAsia="Times New Roman"/>
                <w:sz w:val="20"/>
                <w:szCs w:val="20"/>
              </w:rPr>
            </w:pPr>
          </w:p>
        </w:tc>
        <w:tc>
          <w:tcPr>
            <w:tcW w:w="0" w:type="auto"/>
            <w:vAlign w:val="center"/>
            <w:hideMark/>
          </w:tcPr>
          <w:p w14:paraId="51FBFFE5" w14:textId="77777777" w:rsidR="00000000" w:rsidRDefault="00195E73">
            <w:pPr>
              <w:rPr>
                <w:rFonts w:eastAsia="Times New Roman"/>
                <w:sz w:val="20"/>
                <w:szCs w:val="20"/>
              </w:rPr>
            </w:pPr>
          </w:p>
        </w:tc>
        <w:tc>
          <w:tcPr>
            <w:tcW w:w="0" w:type="auto"/>
            <w:vAlign w:val="center"/>
            <w:hideMark/>
          </w:tcPr>
          <w:p w14:paraId="4B94D812" w14:textId="77777777" w:rsidR="00000000" w:rsidRDefault="00195E73">
            <w:pPr>
              <w:rPr>
                <w:rFonts w:eastAsia="Times New Roman"/>
                <w:sz w:val="20"/>
                <w:szCs w:val="20"/>
              </w:rPr>
            </w:pPr>
          </w:p>
        </w:tc>
        <w:tc>
          <w:tcPr>
            <w:tcW w:w="0" w:type="auto"/>
            <w:vAlign w:val="center"/>
            <w:hideMark/>
          </w:tcPr>
          <w:p w14:paraId="28320940" w14:textId="77777777" w:rsidR="00000000" w:rsidRDefault="00195E73">
            <w:pPr>
              <w:rPr>
                <w:rFonts w:eastAsia="Times New Roman"/>
                <w:sz w:val="20"/>
                <w:szCs w:val="20"/>
              </w:rPr>
            </w:pPr>
          </w:p>
        </w:tc>
        <w:tc>
          <w:tcPr>
            <w:tcW w:w="0" w:type="auto"/>
            <w:vAlign w:val="center"/>
            <w:hideMark/>
          </w:tcPr>
          <w:p w14:paraId="2299A682" w14:textId="77777777" w:rsidR="00000000" w:rsidRDefault="00195E73">
            <w:pPr>
              <w:rPr>
                <w:rFonts w:eastAsia="Times New Roman"/>
                <w:sz w:val="20"/>
                <w:szCs w:val="20"/>
              </w:rPr>
            </w:pPr>
          </w:p>
        </w:tc>
        <w:tc>
          <w:tcPr>
            <w:tcW w:w="0" w:type="auto"/>
            <w:vAlign w:val="center"/>
            <w:hideMark/>
          </w:tcPr>
          <w:p w14:paraId="7B957CEC" w14:textId="77777777" w:rsidR="00000000" w:rsidRDefault="00195E73">
            <w:pPr>
              <w:rPr>
                <w:rFonts w:eastAsia="Times New Roman"/>
                <w:sz w:val="20"/>
                <w:szCs w:val="20"/>
              </w:rPr>
            </w:pPr>
          </w:p>
        </w:tc>
        <w:tc>
          <w:tcPr>
            <w:tcW w:w="0" w:type="auto"/>
            <w:vAlign w:val="center"/>
            <w:hideMark/>
          </w:tcPr>
          <w:p w14:paraId="30E676AD" w14:textId="77777777" w:rsidR="00000000" w:rsidRDefault="00195E73">
            <w:pPr>
              <w:rPr>
                <w:rFonts w:eastAsia="Times New Roman"/>
                <w:sz w:val="20"/>
                <w:szCs w:val="20"/>
              </w:rPr>
            </w:pPr>
          </w:p>
        </w:tc>
        <w:tc>
          <w:tcPr>
            <w:tcW w:w="0" w:type="auto"/>
            <w:vAlign w:val="center"/>
            <w:hideMark/>
          </w:tcPr>
          <w:p w14:paraId="146397F4" w14:textId="77777777" w:rsidR="00000000" w:rsidRDefault="00195E73">
            <w:pPr>
              <w:rPr>
                <w:rFonts w:eastAsia="Times New Roman"/>
                <w:sz w:val="20"/>
                <w:szCs w:val="20"/>
              </w:rPr>
            </w:pPr>
          </w:p>
        </w:tc>
        <w:tc>
          <w:tcPr>
            <w:tcW w:w="0" w:type="auto"/>
            <w:vAlign w:val="center"/>
            <w:hideMark/>
          </w:tcPr>
          <w:p w14:paraId="4BC91B98" w14:textId="77777777" w:rsidR="00000000" w:rsidRDefault="00195E73">
            <w:pPr>
              <w:rPr>
                <w:rFonts w:eastAsia="Times New Roman"/>
                <w:sz w:val="20"/>
                <w:szCs w:val="20"/>
              </w:rPr>
            </w:pPr>
          </w:p>
        </w:tc>
        <w:tc>
          <w:tcPr>
            <w:tcW w:w="0" w:type="auto"/>
            <w:vAlign w:val="center"/>
            <w:hideMark/>
          </w:tcPr>
          <w:p w14:paraId="7D3479A5" w14:textId="77777777" w:rsidR="00000000" w:rsidRDefault="00195E73">
            <w:pPr>
              <w:rPr>
                <w:rFonts w:eastAsia="Times New Roman"/>
                <w:sz w:val="20"/>
                <w:szCs w:val="20"/>
              </w:rPr>
            </w:pPr>
          </w:p>
        </w:tc>
        <w:tc>
          <w:tcPr>
            <w:tcW w:w="0" w:type="auto"/>
            <w:vAlign w:val="center"/>
            <w:hideMark/>
          </w:tcPr>
          <w:p w14:paraId="612BB091" w14:textId="77777777" w:rsidR="00000000" w:rsidRDefault="00195E73">
            <w:pPr>
              <w:rPr>
                <w:rFonts w:eastAsia="Times New Roman"/>
                <w:sz w:val="20"/>
                <w:szCs w:val="20"/>
              </w:rPr>
            </w:pPr>
          </w:p>
        </w:tc>
        <w:tc>
          <w:tcPr>
            <w:tcW w:w="0" w:type="auto"/>
            <w:vAlign w:val="center"/>
            <w:hideMark/>
          </w:tcPr>
          <w:p w14:paraId="64218DCE" w14:textId="77777777" w:rsidR="00000000" w:rsidRDefault="00195E73">
            <w:pPr>
              <w:rPr>
                <w:rFonts w:eastAsia="Times New Roman"/>
                <w:sz w:val="20"/>
                <w:szCs w:val="20"/>
              </w:rPr>
            </w:pPr>
          </w:p>
        </w:tc>
        <w:tc>
          <w:tcPr>
            <w:tcW w:w="0" w:type="auto"/>
            <w:vAlign w:val="center"/>
            <w:hideMark/>
          </w:tcPr>
          <w:p w14:paraId="7649FD96" w14:textId="77777777" w:rsidR="00000000" w:rsidRDefault="00195E73">
            <w:pPr>
              <w:rPr>
                <w:rFonts w:eastAsia="Times New Roman"/>
                <w:sz w:val="20"/>
                <w:szCs w:val="20"/>
              </w:rPr>
            </w:pPr>
          </w:p>
        </w:tc>
        <w:tc>
          <w:tcPr>
            <w:tcW w:w="0" w:type="auto"/>
            <w:vAlign w:val="center"/>
            <w:hideMark/>
          </w:tcPr>
          <w:p w14:paraId="0F9256F6" w14:textId="77777777" w:rsidR="00000000" w:rsidRDefault="00195E73">
            <w:pPr>
              <w:rPr>
                <w:rFonts w:eastAsia="Times New Roman"/>
                <w:sz w:val="20"/>
                <w:szCs w:val="20"/>
              </w:rPr>
            </w:pPr>
          </w:p>
        </w:tc>
      </w:tr>
      <w:tr w:rsidR="00000000" w14:paraId="69CB0197" w14:textId="77777777">
        <w:trPr>
          <w:divId w:val="559946493"/>
        </w:trPr>
        <w:tc>
          <w:tcPr>
            <w:tcW w:w="0" w:type="auto"/>
            <w:gridSpan w:val="3"/>
            <w:shd w:val="clear" w:color="auto" w:fill="FFFFFF"/>
            <w:tcMar>
              <w:top w:w="30" w:type="dxa"/>
              <w:left w:w="20" w:type="dxa"/>
              <w:bottom w:w="30" w:type="dxa"/>
              <w:right w:w="20" w:type="dxa"/>
            </w:tcMar>
            <w:hideMark/>
          </w:tcPr>
          <w:p w14:paraId="446DCC17" w14:textId="77777777" w:rsidR="00000000" w:rsidRDefault="00195E73">
            <w:pPr>
              <w:rPr>
                <w:rFonts w:eastAsia="Times New Roman"/>
              </w:rPr>
            </w:pPr>
            <w:r>
              <w:rPr>
                <w:rFonts w:eastAsia="Times New Roman"/>
                <w:color w:val="000000"/>
                <w:sz w:val="20"/>
                <w:szCs w:val="20"/>
              </w:rPr>
              <w:t>Hertz Global Holdings, Inc</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hideMark/>
          </w:tcPr>
          <w:p w14:paraId="433B657F" w14:textId="77777777" w:rsidR="00000000" w:rsidRDefault="00195E73">
            <w:pPr>
              <w:jc w:val="center"/>
              <w:rPr>
                <w:rFonts w:eastAsia="Times New Roman"/>
              </w:rPr>
            </w:pPr>
            <w:r>
              <w:rPr>
                <w:rFonts w:eastAsia="Times New Roman"/>
                <w:color w:val="000000"/>
                <w:sz w:val="20"/>
                <w:szCs w:val="20"/>
              </w:rPr>
              <w:t>24.6%</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14:paraId="58B19C7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0CD621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hideMark/>
          </w:tcPr>
          <w:p w14:paraId="52380D47" w14:textId="77777777" w:rsidR="00000000" w:rsidRDefault="00195E73">
            <w:pPr>
              <w:jc w:val="right"/>
              <w:rPr>
                <w:rFonts w:eastAsia="Times New Roman"/>
              </w:rPr>
            </w:pPr>
            <w:r>
              <w:rPr>
                <w:rFonts w:eastAsia="Times New Roman"/>
                <w:color w:val="000000"/>
                <w:sz w:val="20"/>
                <w:szCs w:val="20"/>
              </w:rPr>
              <w:t>551</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14:paraId="4B62343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17ABAA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hideMark/>
          </w:tcPr>
          <w:p w14:paraId="2C57CF92" w14:textId="77777777" w:rsidR="00000000" w:rsidRDefault="00195E73">
            <w:pPr>
              <w:jc w:val="right"/>
              <w:rPr>
                <w:rFonts w:eastAsia="Times New Roman"/>
              </w:rPr>
            </w:pPr>
            <w:r>
              <w:rPr>
                <w:rFonts w:eastAsia="Times New Roman"/>
                <w:color w:val="000000"/>
                <w:sz w:val="20"/>
                <w:szCs w:val="20"/>
              </w:rPr>
              <w:t>320</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14:paraId="3FC2D64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0A32B2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hideMark/>
          </w:tcPr>
          <w:p w14:paraId="7EBB23F9" w14:textId="77777777" w:rsidR="00000000" w:rsidRDefault="00195E73">
            <w:pPr>
              <w:jc w:val="right"/>
              <w:rPr>
                <w:rFonts w:eastAsia="Times New Roman"/>
              </w:rPr>
            </w:pPr>
            <w:r>
              <w:rPr>
                <w:rFonts w:eastAsia="Times New Roman"/>
                <w:color w:val="000000"/>
                <w:sz w:val="20"/>
                <w:szCs w:val="20"/>
              </w:rPr>
              <w:t>105</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14:paraId="6C5FF91F"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hideMark/>
          </w:tcPr>
          <w:p w14:paraId="38E5093B"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hideMark/>
          </w:tcPr>
          <w:p w14:paraId="459FF6B9"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24C8EC54" w14:textId="77777777" w:rsidR="00000000" w:rsidRDefault="00195E73">
            <w:pPr>
              <w:jc w:val="right"/>
              <w:rPr>
                <w:rFonts w:eastAsia="Times New Roman"/>
              </w:rPr>
            </w:pPr>
            <w:r>
              <w:rPr>
                <w:rFonts w:eastAsia="Times New Roman"/>
                <w:color w:val="000000"/>
                <w:sz w:val="20"/>
                <w:szCs w:val="20"/>
              </w:rPr>
              <w:t>(197</w:t>
            </w:r>
            <w:r>
              <w:rPr>
                <w:rFonts w:eastAsia="Times New Roman"/>
                <w:color w:val="000000"/>
                <w:sz w:val="20"/>
                <w:szCs w:val="20"/>
              </w:rPr>
              <w:t>)</w:t>
            </w:r>
          </w:p>
        </w:tc>
        <w:tc>
          <w:tcPr>
            <w:tcW w:w="0" w:type="auto"/>
            <w:shd w:val="clear" w:color="auto" w:fill="FFFFFF"/>
            <w:tcMar>
              <w:top w:w="30" w:type="dxa"/>
              <w:left w:w="15" w:type="dxa"/>
              <w:bottom w:w="30" w:type="dxa"/>
              <w:right w:w="20" w:type="dxa"/>
            </w:tcMar>
            <w:hideMark/>
          </w:tcPr>
          <w:p w14:paraId="4B1F132E"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hideMark/>
          </w:tcPr>
          <w:p w14:paraId="022F9C30"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hideMark/>
          </w:tcPr>
          <w:p w14:paraId="7787940F"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2747ED41" w14:textId="77777777" w:rsidR="00000000" w:rsidRDefault="00195E73">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14:paraId="0D658D1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BE260DC" w14:textId="77777777" w:rsidR="00000000" w:rsidRDefault="00195E73">
            <w:pPr>
              <w:rPr>
                <w:rFonts w:eastAsia="Times New Roman"/>
                <w:sz w:val="20"/>
                <w:szCs w:val="20"/>
              </w:rPr>
            </w:pPr>
          </w:p>
        </w:tc>
        <w:tc>
          <w:tcPr>
            <w:tcW w:w="0" w:type="auto"/>
            <w:vAlign w:val="center"/>
            <w:hideMark/>
          </w:tcPr>
          <w:p w14:paraId="06AA7F90" w14:textId="77777777" w:rsidR="00000000" w:rsidRDefault="00195E73">
            <w:pPr>
              <w:rPr>
                <w:rFonts w:eastAsia="Times New Roman"/>
                <w:sz w:val="20"/>
                <w:szCs w:val="20"/>
              </w:rPr>
            </w:pPr>
          </w:p>
        </w:tc>
        <w:tc>
          <w:tcPr>
            <w:tcW w:w="0" w:type="auto"/>
            <w:vAlign w:val="center"/>
            <w:hideMark/>
          </w:tcPr>
          <w:p w14:paraId="55EC6E29" w14:textId="77777777" w:rsidR="00000000" w:rsidRDefault="00195E73">
            <w:pPr>
              <w:rPr>
                <w:rFonts w:eastAsia="Times New Roman"/>
                <w:sz w:val="20"/>
                <w:szCs w:val="20"/>
              </w:rPr>
            </w:pPr>
          </w:p>
        </w:tc>
        <w:tc>
          <w:tcPr>
            <w:tcW w:w="0" w:type="auto"/>
            <w:vAlign w:val="center"/>
            <w:hideMark/>
          </w:tcPr>
          <w:p w14:paraId="6A4AF33C" w14:textId="77777777" w:rsidR="00000000" w:rsidRDefault="00195E73">
            <w:pPr>
              <w:rPr>
                <w:rFonts w:eastAsia="Times New Roman"/>
                <w:sz w:val="20"/>
                <w:szCs w:val="20"/>
              </w:rPr>
            </w:pPr>
          </w:p>
        </w:tc>
        <w:tc>
          <w:tcPr>
            <w:tcW w:w="0" w:type="auto"/>
            <w:vAlign w:val="center"/>
            <w:hideMark/>
          </w:tcPr>
          <w:p w14:paraId="5862248E" w14:textId="77777777" w:rsidR="00000000" w:rsidRDefault="00195E73">
            <w:pPr>
              <w:rPr>
                <w:rFonts w:eastAsia="Times New Roman"/>
                <w:sz w:val="20"/>
                <w:szCs w:val="20"/>
              </w:rPr>
            </w:pPr>
          </w:p>
        </w:tc>
        <w:tc>
          <w:tcPr>
            <w:tcW w:w="0" w:type="auto"/>
            <w:vAlign w:val="center"/>
            <w:hideMark/>
          </w:tcPr>
          <w:p w14:paraId="48213AAB" w14:textId="77777777" w:rsidR="00000000" w:rsidRDefault="00195E73">
            <w:pPr>
              <w:rPr>
                <w:rFonts w:eastAsia="Times New Roman"/>
                <w:sz w:val="20"/>
                <w:szCs w:val="20"/>
              </w:rPr>
            </w:pPr>
          </w:p>
        </w:tc>
        <w:tc>
          <w:tcPr>
            <w:tcW w:w="0" w:type="auto"/>
            <w:vAlign w:val="center"/>
            <w:hideMark/>
          </w:tcPr>
          <w:p w14:paraId="3DD49F38" w14:textId="77777777" w:rsidR="00000000" w:rsidRDefault="00195E73">
            <w:pPr>
              <w:rPr>
                <w:rFonts w:eastAsia="Times New Roman"/>
                <w:sz w:val="20"/>
                <w:szCs w:val="20"/>
              </w:rPr>
            </w:pPr>
          </w:p>
        </w:tc>
        <w:tc>
          <w:tcPr>
            <w:tcW w:w="0" w:type="auto"/>
            <w:vAlign w:val="center"/>
            <w:hideMark/>
          </w:tcPr>
          <w:p w14:paraId="20ECECCE" w14:textId="77777777" w:rsidR="00000000" w:rsidRDefault="00195E73">
            <w:pPr>
              <w:rPr>
                <w:rFonts w:eastAsia="Times New Roman"/>
                <w:sz w:val="20"/>
                <w:szCs w:val="20"/>
              </w:rPr>
            </w:pPr>
          </w:p>
        </w:tc>
        <w:tc>
          <w:tcPr>
            <w:tcW w:w="0" w:type="auto"/>
            <w:vAlign w:val="center"/>
            <w:hideMark/>
          </w:tcPr>
          <w:p w14:paraId="3C455CEC" w14:textId="77777777" w:rsidR="00000000" w:rsidRDefault="00195E73">
            <w:pPr>
              <w:rPr>
                <w:rFonts w:eastAsia="Times New Roman"/>
                <w:sz w:val="20"/>
                <w:szCs w:val="20"/>
              </w:rPr>
            </w:pPr>
          </w:p>
        </w:tc>
        <w:tc>
          <w:tcPr>
            <w:tcW w:w="0" w:type="auto"/>
            <w:vAlign w:val="center"/>
            <w:hideMark/>
          </w:tcPr>
          <w:p w14:paraId="4C0AAB84" w14:textId="77777777" w:rsidR="00000000" w:rsidRDefault="00195E73">
            <w:pPr>
              <w:rPr>
                <w:rFonts w:eastAsia="Times New Roman"/>
                <w:sz w:val="20"/>
                <w:szCs w:val="20"/>
              </w:rPr>
            </w:pPr>
          </w:p>
        </w:tc>
        <w:tc>
          <w:tcPr>
            <w:tcW w:w="0" w:type="auto"/>
            <w:vAlign w:val="center"/>
            <w:hideMark/>
          </w:tcPr>
          <w:p w14:paraId="5062C25D" w14:textId="77777777" w:rsidR="00000000" w:rsidRDefault="00195E73">
            <w:pPr>
              <w:rPr>
                <w:rFonts w:eastAsia="Times New Roman"/>
                <w:sz w:val="20"/>
                <w:szCs w:val="20"/>
              </w:rPr>
            </w:pPr>
          </w:p>
        </w:tc>
        <w:tc>
          <w:tcPr>
            <w:tcW w:w="0" w:type="auto"/>
            <w:vAlign w:val="center"/>
            <w:hideMark/>
          </w:tcPr>
          <w:p w14:paraId="77C75AB3" w14:textId="77777777" w:rsidR="00000000" w:rsidRDefault="00195E73">
            <w:pPr>
              <w:rPr>
                <w:rFonts w:eastAsia="Times New Roman"/>
                <w:sz w:val="20"/>
                <w:szCs w:val="20"/>
              </w:rPr>
            </w:pPr>
          </w:p>
        </w:tc>
        <w:tc>
          <w:tcPr>
            <w:tcW w:w="0" w:type="auto"/>
            <w:vAlign w:val="center"/>
            <w:hideMark/>
          </w:tcPr>
          <w:p w14:paraId="35EF7AF7" w14:textId="77777777" w:rsidR="00000000" w:rsidRDefault="00195E73">
            <w:pPr>
              <w:rPr>
                <w:rFonts w:eastAsia="Times New Roman"/>
                <w:sz w:val="20"/>
                <w:szCs w:val="20"/>
              </w:rPr>
            </w:pPr>
          </w:p>
        </w:tc>
        <w:tc>
          <w:tcPr>
            <w:tcW w:w="0" w:type="auto"/>
            <w:vAlign w:val="center"/>
            <w:hideMark/>
          </w:tcPr>
          <w:p w14:paraId="3F4D2BF9" w14:textId="77777777" w:rsidR="00000000" w:rsidRDefault="00195E73">
            <w:pPr>
              <w:rPr>
                <w:rFonts w:eastAsia="Times New Roman"/>
                <w:sz w:val="20"/>
                <w:szCs w:val="20"/>
              </w:rPr>
            </w:pPr>
          </w:p>
        </w:tc>
        <w:tc>
          <w:tcPr>
            <w:tcW w:w="0" w:type="auto"/>
            <w:vAlign w:val="center"/>
            <w:hideMark/>
          </w:tcPr>
          <w:p w14:paraId="0E9CCBEC" w14:textId="77777777" w:rsidR="00000000" w:rsidRDefault="00195E73">
            <w:pPr>
              <w:rPr>
                <w:rFonts w:eastAsia="Times New Roman"/>
                <w:sz w:val="20"/>
                <w:szCs w:val="20"/>
              </w:rPr>
            </w:pPr>
          </w:p>
        </w:tc>
        <w:tc>
          <w:tcPr>
            <w:tcW w:w="0" w:type="auto"/>
            <w:vAlign w:val="center"/>
            <w:hideMark/>
          </w:tcPr>
          <w:p w14:paraId="3047D5C2" w14:textId="77777777" w:rsidR="00000000" w:rsidRDefault="00195E73">
            <w:pPr>
              <w:rPr>
                <w:rFonts w:eastAsia="Times New Roman"/>
                <w:sz w:val="20"/>
                <w:szCs w:val="20"/>
              </w:rPr>
            </w:pPr>
          </w:p>
        </w:tc>
        <w:tc>
          <w:tcPr>
            <w:tcW w:w="0" w:type="auto"/>
            <w:vAlign w:val="center"/>
            <w:hideMark/>
          </w:tcPr>
          <w:p w14:paraId="4EE02FB8" w14:textId="77777777" w:rsidR="00000000" w:rsidRDefault="00195E73">
            <w:pPr>
              <w:rPr>
                <w:rFonts w:eastAsia="Times New Roman"/>
                <w:sz w:val="20"/>
                <w:szCs w:val="20"/>
              </w:rPr>
            </w:pPr>
          </w:p>
        </w:tc>
        <w:tc>
          <w:tcPr>
            <w:tcW w:w="0" w:type="auto"/>
            <w:vAlign w:val="center"/>
            <w:hideMark/>
          </w:tcPr>
          <w:p w14:paraId="0993812F" w14:textId="77777777" w:rsidR="00000000" w:rsidRDefault="00195E73">
            <w:pPr>
              <w:rPr>
                <w:rFonts w:eastAsia="Times New Roman"/>
                <w:sz w:val="20"/>
                <w:szCs w:val="20"/>
              </w:rPr>
            </w:pPr>
          </w:p>
        </w:tc>
        <w:tc>
          <w:tcPr>
            <w:tcW w:w="0" w:type="auto"/>
            <w:vAlign w:val="center"/>
            <w:hideMark/>
          </w:tcPr>
          <w:p w14:paraId="7ACFABA8" w14:textId="77777777" w:rsidR="00000000" w:rsidRDefault="00195E73">
            <w:pPr>
              <w:rPr>
                <w:rFonts w:eastAsia="Times New Roman"/>
                <w:sz w:val="20"/>
                <w:szCs w:val="20"/>
              </w:rPr>
            </w:pPr>
          </w:p>
        </w:tc>
        <w:tc>
          <w:tcPr>
            <w:tcW w:w="0" w:type="auto"/>
            <w:vAlign w:val="center"/>
            <w:hideMark/>
          </w:tcPr>
          <w:p w14:paraId="0BF94618" w14:textId="77777777" w:rsidR="00000000" w:rsidRDefault="00195E73">
            <w:pPr>
              <w:rPr>
                <w:rFonts w:eastAsia="Times New Roman"/>
                <w:sz w:val="20"/>
                <w:szCs w:val="20"/>
              </w:rPr>
            </w:pPr>
          </w:p>
        </w:tc>
        <w:tc>
          <w:tcPr>
            <w:tcW w:w="0" w:type="auto"/>
            <w:vAlign w:val="center"/>
            <w:hideMark/>
          </w:tcPr>
          <w:p w14:paraId="7502B625" w14:textId="77777777" w:rsidR="00000000" w:rsidRDefault="00195E73">
            <w:pPr>
              <w:rPr>
                <w:rFonts w:eastAsia="Times New Roman"/>
                <w:sz w:val="20"/>
                <w:szCs w:val="20"/>
              </w:rPr>
            </w:pPr>
          </w:p>
        </w:tc>
        <w:tc>
          <w:tcPr>
            <w:tcW w:w="0" w:type="auto"/>
            <w:vAlign w:val="center"/>
            <w:hideMark/>
          </w:tcPr>
          <w:p w14:paraId="0412A8D3" w14:textId="77777777" w:rsidR="00000000" w:rsidRDefault="00195E73">
            <w:pPr>
              <w:rPr>
                <w:rFonts w:eastAsia="Times New Roman"/>
                <w:sz w:val="20"/>
                <w:szCs w:val="20"/>
              </w:rPr>
            </w:pPr>
          </w:p>
        </w:tc>
        <w:tc>
          <w:tcPr>
            <w:tcW w:w="0" w:type="auto"/>
            <w:vAlign w:val="center"/>
            <w:hideMark/>
          </w:tcPr>
          <w:p w14:paraId="5AE35209" w14:textId="77777777" w:rsidR="00000000" w:rsidRDefault="00195E73">
            <w:pPr>
              <w:rPr>
                <w:rFonts w:eastAsia="Times New Roman"/>
                <w:sz w:val="20"/>
                <w:szCs w:val="20"/>
              </w:rPr>
            </w:pPr>
          </w:p>
        </w:tc>
        <w:tc>
          <w:tcPr>
            <w:tcW w:w="0" w:type="auto"/>
            <w:vAlign w:val="center"/>
            <w:hideMark/>
          </w:tcPr>
          <w:p w14:paraId="5DCF03A0" w14:textId="77777777" w:rsidR="00000000" w:rsidRDefault="00195E73">
            <w:pPr>
              <w:rPr>
                <w:rFonts w:eastAsia="Times New Roman"/>
                <w:sz w:val="20"/>
                <w:szCs w:val="20"/>
              </w:rPr>
            </w:pPr>
          </w:p>
        </w:tc>
      </w:tr>
      <w:tr w:rsidR="00000000" w14:paraId="61D91A4D" w14:textId="77777777">
        <w:trPr>
          <w:divId w:val="559946493"/>
        </w:trPr>
        <w:tc>
          <w:tcPr>
            <w:tcW w:w="0" w:type="auto"/>
            <w:gridSpan w:val="3"/>
            <w:shd w:val="clear" w:color="auto" w:fill="CCEEFF"/>
            <w:tcMar>
              <w:top w:w="30" w:type="dxa"/>
              <w:left w:w="20" w:type="dxa"/>
              <w:bottom w:w="30" w:type="dxa"/>
              <w:right w:w="20" w:type="dxa"/>
            </w:tcMar>
            <w:hideMark/>
          </w:tcPr>
          <w:p w14:paraId="2C08F059" w14:textId="77777777" w:rsidR="00000000" w:rsidRDefault="00195E73">
            <w:pPr>
              <w:rPr>
                <w:rFonts w:eastAsia="Times New Roman"/>
              </w:rPr>
            </w:pPr>
            <w:r>
              <w:rPr>
                <w:rFonts w:eastAsia="Times New Roman"/>
                <w:color w:val="000000"/>
                <w:sz w:val="20"/>
                <w:szCs w:val="20"/>
              </w:rPr>
              <w:t>Caesars Entertainment Corporatio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hideMark/>
          </w:tcPr>
          <w:p w14:paraId="6DF94EC9" w14:textId="77777777" w:rsidR="00000000" w:rsidRDefault="00195E73">
            <w:pPr>
              <w:jc w:val="center"/>
              <w:rPr>
                <w:rFonts w:eastAsia="Times New Roman"/>
              </w:rPr>
            </w:pPr>
            <w:r>
              <w:rPr>
                <w:rFonts w:eastAsia="Times New Roman"/>
                <w:color w:val="000000"/>
                <w:sz w:val="20"/>
                <w:szCs w:val="20"/>
              </w:rPr>
              <w:t>13.4%</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105067A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7A594E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hideMark/>
          </w:tcPr>
          <w:p w14:paraId="264F8D29" w14:textId="77777777" w:rsidR="00000000" w:rsidRDefault="00195E73">
            <w:pPr>
              <w:jc w:val="right"/>
              <w:rPr>
                <w:rFonts w:eastAsia="Times New Roman"/>
              </w:rPr>
            </w:pPr>
            <w:r>
              <w:rPr>
                <w:rFonts w:eastAsia="Times New Roman"/>
                <w:color w:val="000000"/>
                <w:sz w:val="20"/>
                <w:szCs w:val="20"/>
              </w:rPr>
              <w:t>1,243</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54E72CF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3B40B9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hideMark/>
          </w:tcPr>
          <w:p w14:paraId="6D2D8B3A"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0743151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38C4E0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hideMark/>
          </w:tcPr>
          <w:p w14:paraId="289AFB87" w14:textId="77777777" w:rsidR="00000000" w:rsidRDefault="00195E73">
            <w:pPr>
              <w:jc w:val="right"/>
              <w:rPr>
                <w:rFonts w:eastAsia="Times New Roman"/>
              </w:rPr>
            </w:pPr>
            <w:r>
              <w:rPr>
                <w:rFonts w:eastAsia="Times New Roman"/>
                <w:color w:val="000000"/>
                <w:sz w:val="20"/>
                <w:szCs w:val="20"/>
              </w:rPr>
              <w:t>478</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5CB0235D"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hideMark/>
          </w:tcPr>
          <w:p w14:paraId="6C497EE6"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hideMark/>
          </w:tcPr>
          <w:p w14:paraId="5A962EC5"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E8D2717"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182169EF"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hideMark/>
          </w:tcPr>
          <w:p w14:paraId="54E9C1BA"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hideMark/>
          </w:tcPr>
          <w:p w14:paraId="26B9D67C"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2662BB0"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14:paraId="64A6D43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F27C3DA" w14:textId="77777777" w:rsidR="00000000" w:rsidRDefault="00195E73">
            <w:pPr>
              <w:rPr>
                <w:rFonts w:eastAsia="Times New Roman"/>
                <w:sz w:val="20"/>
                <w:szCs w:val="20"/>
              </w:rPr>
            </w:pPr>
          </w:p>
        </w:tc>
        <w:tc>
          <w:tcPr>
            <w:tcW w:w="0" w:type="auto"/>
            <w:vAlign w:val="center"/>
            <w:hideMark/>
          </w:tcPr>
          <w:p w14:paraId="639170CA" w14:textId="77777777" w:rsidR="00000000" w:rsidRDefault="00195E73">
            <w:pPr>
              <w:rPr>
                <w:rFonts w:eastAsia="Times New Roman"/>
                <w:sz w:val="20"/>
                <w:szCs w:val="20"/>
              </w:rPr>
            </w:pPr>
          </w:p>
        </w:tc>
        <w:tc>
          <w:tcPr>
            <w:tcW w:w="0" w:type="auto"/>
            <w:vAlign w:val="center"/>
            <w:hideMark/>
          </w:tcPr>
          <w:p w14:paraId="5DA0D31E" w14:textId="77777777" w:rsidR="00000000" w:rsidRDefault="00195E73">
            <w:pPr>
              <w:rPr>
                <w:rFonts w:eastAsia="Times New Roman"/>
                <w:sz w:val="20"/>
                <w:szCs w:val="20"/>
              </w:rPr>
            </w:pPr>
          </w:p>
        </w:tc>
        <w:tc>
          <w:tcPr>
            <w:tcW w:w="0" w:type="auto"/>
            <w:vAlign w:val="center"/>
            <w:hideMark/>
          </w:tcPr>
          <w:p w14:paraId="7DD008A7" w14:textId="77777777" w:rsidR="00000000" w:rsidRDefault="00195E73">
            <w:pPr>
              <w:rPr>
                <w:rFonts w:eastAsia="Times New Roman"/>
                <w:sz w:val="20"/>
                <w:szCs w:val="20"/>
              </w:rPr>
            </w:pPr>
          </w:p>
        </w:tc>
        <w:tc>
          <w:tcPr>
            <w:tcW w:w="0" w:type="auto"/>
            <w:vAlign w:val="center"/>
            <w:hideMark/>
          </w:tcPr>
          <w:p w14:paraId="30E8D7F2" w14:textId="77777777" w:rsidR="00000000" w:rsidRDefault="00195E73">
            <w:pPr>
              <w:rPr>
                <w:rFonts w:eastAsia="Times New Roman"/>
                <w:sz w:val="20"/>
                <w:szCs w:val="20"/>
              </w:rPr>
            </w:pPr>
          </w:p>
        </w:tc>
        <w:tc>
          <w:tcPr>
            <w:tcW w:w="0" w:type="auto"/>
            <w:vAlign w:val="center"/>
            <w:hideMark/>
          </w:tcPr>
          <w:p w14:paraId="6FB11A54" w14:textId="77777777" w:rsidR="00000000" w:rsidRDefault="00195E73">
            <w:pPr>
              <w:rPr>
                <w:rFonts w:eastAsia="Times New Roman"/>
                <w:sz w:val="20"/>
                <w:szCs w:val="20"/>
              </w:rPr>
            </w:pPr>
          </w:p>
        </w:tc>
        <w:tc>
          <w:tcPr>
            <w:tcW w:w="0" w:type="auto"/>
            <w:vAlign w:val="center"/>
            <w:hideMark/>
          </w:tcPr>
          <w:p w14:paraId="784C0A4A" w14:textId="77777777" w:rsidR="00000000" w:rsidRDefault="00195E73">
            <w:pPr>
              <w:rPr>
                <w:rFonts w:eastAsia="Times New Roman"/>
                <w:sz w:val="20"/>
                <w:szCs w:val="20"/>
              </w:rPr>
            </w:pPr>
          </w:p>
        </w:tc>
        <w:tc>
          <w:tcPr>
            <w:tcW w:w="0" w:type="auto"/>
            <w:vAlign w:val="center"/>
            <w:hideMark/>
          </w:tcPr>
          <w:p w14:paraId="1833A9CD" w14:textId="77777777" w:rsidR="00000000" w:rsidRDefault="00195E73">
            <w:pPr>
              <w:rPr>
                <w:rFonts w:eastAsia="Times New Roman"/>
                <w:sz w:val="20"/>
                <w:szCs w:val="20"/>
              </w:rPr>
            </w:pPr>
          </w:p>
        </w:tc>
        <w:tc>
          <w:tcPr>
            <w:tcW w:w="0" w:type="auto"/>
            <w:vAlign w:val="center"/>
            <w:hideMark/>
          </w:tcPr>
          <w:p w14:paraId="1105ED20" w14:textId="77777777" w:rsidR="00000000" w:rsidRDefault="00195E73">
            <w:pPr>
              <w:rPr>
                <w:rFonts w:eastAsia="Times New Roman"/>
                <w:sz w:val="20"/>
                <w:szCs w:val="20"/>
              </w:rPr>
            </w:pPr>
          </w:p>
        </w:tc>
        <w:tc>
          <w:tcPr>
            <w:tcW w:w="0" w:type="auto"/>
            <w:vAlign w:val="center"/>
            <w:hideMark/>
          </w:tcPr>
          <w:p w14:paraId="2B669B53" w14:textId="77777777" w:rsidR="00000000" w:rsidRDefault="00195E73">
            <w:pPr>
              <w:rPr>
                <w:rFonts w:eastAsia="Times New Roman"/>
                <w:sz w:val="20"/>
                <w:szCs w:val="20"/>
              </w:rPr>
            </w:pPr>
          </w:p>
        </w:tc>
        <w:tc>
          <w:tcPr>
            <w:tcW w:w="0" w:type="auto"/>
            <w:vAlign w:val="center"/>
            <w:hideMark/>
          </w:tcPr>
          <w:p w14:paraId="1A61898F" w14:textId="77777777" w:rsidR="00000000" w:rsidRDefault="00195E73">
            <w:pPr>
              <w:rPr>
                <w:rFonts w:eastAsia="Times New Roman"/>
                <w:sz w:val="20"/>
                <w:szCs w:val="20"/>
              </w:rPr>
            </w:pPr>
          </w:p>
        </w:tc>
        <w:tc>
          <w:tcPr>
            <w:tcW w:w="0" w:type="auto"/>
            <w:vAlign w:val="center"/>
            <w:hideMark/>
          </w:tcPr>
          <w:p w14:paraId="2AE6F497" w14:textId="77777777" w:rsidR="00000000" w:rsidRDefault="00195E73">
            <w:pPr>
              <w:rPr>
                <w:rFonts w:eastAsia="Times New Roman"/>
                <w:sz w:val="20"/>
                <w:szCs w:val="20"/>
              </w:rPr>
            </w:pPr>
          </w:p>
        </w:tc>
        <w:tc>
          <w:tcPr>
            <w:tcW w:w="0" w:type="auto"/>
            <w:vAlign w:val="center"/>
            <w:hideMark/>
          </w:tcPr>
          <w:p w14:paraId="7941FCD3" w14:textId="77777777" w:rsidR="00000000" w:rsidRDefault="00195E73">
            <w:pPr>
              <w:rPr>
                <w:rFonts w:eastAsia="Times New Roman"/>
                <w:sz w:val="20"/>
                <w:szCs w:val="20"/>
              </w:rPr>
            </w:pPr>
          </w:p>
        </w:tc>
        <w:tc>
          <w:tcPr>
            <w:tcW w:w="0" w:type="auto"/>
            <w:vAlign w:val="center"/>
            <w:hideMark/>
          </w:tcPr>
          <w:p w14:paraId="738D1ECA" w14:textId="77777777" w:rsidR="00000000" w:rsidRDefault="00195E73">
            <w:pPr>
              <w:rPr>
                <w:rFonts w:eastAsia="Times New Roman"/>
                <w:sz w:val="20"/>
                <w:szCs w:val="20"/>
              </w:rPr>
            </w:pPr>
          </w:p>
        </w:tc>
        <w:tc>
          <w:tcPr>
            <w:tcW w:w="0" w:type="auto"/>
            <w:vAlign w:val="center"/>
            <w:hideMark/>
          </w:tcPr>
          <w:p w14:paraId="07E31A35" w14:textId="77777777" w:rsidR="00000000" w:rsidRDefault="00195E73">
            <w:pPr>
              <w:rPr>
                <w:rFonts w:eastAsia="Times New Roman"/>
                <w:sz w:val="20"/>
                <w:szCs w:val="20"/>
              </w:rPr>
            </w:pPr>
          </w:p>
        </w:tc>
        <w:tc>
          <w:tcPr>
            <w:tcW w:w="0" w:type="auto"/>
            <w:vAlign w:val="center"/>
            <w:hideMark/>
          </w:tcPr>
          <w:p w14:paraId="2E71093E" w14:textId="77777777" w:rsidR="00000000" w:rsidRDefault="00195E73">
            <w:pPr>
              <w:rPr>
                <w:rFonts w:eastAsia="Times New Roman"/>
                <w:sz w:val="20"/>
                <w:szCs w:val="20"/>
              </w:rPr>
            </w:pPr>
          </w:p>
        </w:tc>
        <w:tc>
          <w:tcPr>
            <w:tcW w:w="0" w:type="auto"/>
            <w:vAlign w:val="center"/>
            <w:hideMark/>
          </w:tcPr>
          <w:p w14:paraId="417C6CE2" w14:textId="77777777" w:rsidR="00000000" w:rsidRDefault="00195E73">
            <w:pPr>
              <w:rPr>
                <w:rFonts w:eastAsia="Times New Roman"/>
                <w:sz w:val="20"/>
                <w:szCs w:val="20"/>
              </w:rPr>
            </w:pPr>
          </w:p>
        </w:tc>
        <w:tc>
          <w:tcPr>
            <w:tcW w:w="0" w:type="auto"/>
            <w:vAlign w:val="center"/>
            <w:hideMark/>
          </w:tcPr>
          <w:p w14:paraId="5D6A0061" w14:textId="77777777" w:rsidR="00000000" w:rsidRDefault="00195E73">
            <w:pPr>
              <w:rPr>
                <w:rFonts w:eastAsia="Times New Roman"/>
                <w:sz w:val="20"/>
                <w:szCs w:val="20"/>
              </w:rPr>
            </w:pPr>
          </w:p>
        </w:tc>
        <w:tc>
          <w:tcPr>
            <w:tcW w:w="0" w:type="auto"/>
            <w:vAlign w:val="center"/>
            <w:hideMark/>
          </w:tcPr>
          <w:p w14:paraId="469D60C1" w14:textId="77777777" w:rsidR="00000000" w:rsidRDefault="00195E73">
            <w:pPr>
              <w:rPr>
                <w:rFonts w:eastAsia="Times New Roman"/>
                <w:sz w:val="20"/>
                <w:szCs w:val="20"/>
              </w:rPr>
            </w:pPr>
          </w:p>
        </w:tc>
        <w:tc>
          <w:tcPr>
            <w:tcW w:w="0" w:type="auto"/>
            <w:vAlign w:val="center"/>
            <w:hideMark/>
          </w:tcPr>
          <w:p w14:paraId="1E95ABF3" w14:textId="77777777" w:rsidR="00000000" w:rsidRDefault="00195E73">
            <w:pPr>
              <w:rPr>
                <w:rFonts w:eastAsia="Times New Roman"/>
                <w:sz w:val="20"/>
                <w:szCs w:val="20"/>
              </w:rPr>
            </w:pPr>
          </w:p>
        </w:tc>
        <w:tc>
          <w:tcPr>
            <w:tcW w:w="0" w:type="auto"/>
            <w:vAlign w:val="center"/>
            <w:hideMark/>
          </w:tcPr>
          <w:p w14:paraId="6EF248F7" w14:textId="77777777" w:rsidR="00000000" w:rsidRDefault="00195E73">
            <w:pPr>
              <w:rPr>
                <w:rFonts w:eastAsia="Times New Roman"/>
                <w:sz w:val="20"/>
                <w:szCs w:val="20"/>
              </w:rPr>
            </w:pPr>
          </w:p>
        </w:tc>
        <w:tc>
          <w:tcPr>
            <w:tcW w:w="0" w:type="auto"/>
            <w:vAlign w:val="center"/>
            <w:hideMark/>
          </w:tcPr>
          <w:p w14:paraId="5FE614B4" w14:textId="77777777" w:rsidR="00000000" w:rsidRDefault="00195E73">
            <w:pPr>
              <w:rPr>
                <w:rFonts w:eastAsia="Times New Roman"/>
                <w:sz w:val="20"/>
                <w:szCs w:val="20"/>
              </w:rPr>
            </w:pPr>
          </w:p>
        </w:tc>
        <w:tc>
          <w:tcPr>
            <w:tcW w:w="0" w:type="auto"/>
            <w:vAlign w:val="center"/>
            <w:hideMark/>
          </w:tcPr>
          <w:p w14:paraId="18B529AA" w14:textId="77777777" w:rsidR="00000000" w:rsidRDefault="00195E73">
            <w:pPr>
              <w:rPr>
                <w:rFonts w:eastAsia="Times New Roman"/>
                <w:sz w:val="20"/>
                <w:szCs w:val="20"/>
              </w:rPr>
            </w:pPr>
          </w:p>
        </w:tc>
        <w:tc>
          <w:tcPr>
            <w:tcW w:w="0" w:type="auto"/>
            <w:vAlign w:val="center"/>
            <w:hideMark/>
          </w:tcPr>
          <w:p w14:paraId="790C244A" w14:textId="77777777" w:rsidR="00000000" w:rsidRDefault="00195E73">
            <w:pPr>
              <w:rPr>
                <w:rFonts w:eastAsia="Times New Roman"/>
                <w:sz w:val="20"/>
                <w:szCs w:val="20"/>
              </w:rPr>
            </w:pPr>
          </w:p>
        </w:tc>
      </w:tr>
      <w:tr w:rsidR="00195E73" w14:paraId="778392DC" w14:textId="77777777">
        <w:trPr>
          <w:divId w:val="559946493"/>
        </w:trPr>
        <w:tc>
          <w:tcPr>
            <w:tcW w:w="0" w:type="auto"/>
            <w:gridSpan w:val="3"/>
            <w:shd w:val="clear" w:color="auto" w:fill="FFFFFF"/>
            <w:tcMar>
              <w:top w:w="15" w:type="dxa"/>
              <w:left w:w="20" w:type="dxa"/>
              <w:bottom w:w="15" w:type="dxa"/>
              <w:right w:w="20" w:type="dxa"/>
            </w:tcMar>
            <w:vAlign w:val="bottom"/>
            <w:hideMark/>
          </w:tcPr>
          <w:p w14:paraId="60D2D9B5"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13F6D78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FB67F7F"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hideMark/>
          </w:tcPr>
          <w:p w14:paraId="1746333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hideMark/>
          </w:tcPr>
          <w:p w14:paraId="7B274CB2" w14:textId="77777777" w:rsidR="00000000" w:rsidRDefault="00195E73">
            <w:pPr>
              <w:jc w:val="right"/>
              <w:rPr>
                <w:rFonts w:eastAsia="Times New Roman"/>
              </w:rPr>
            </w:pPr>
            <w:r>
              <w:rPr>
                <w:rFonts w:eastAsia="Times New Roman"/>
                <w:color w:val="000000"/>
                <w:sz w:val="20"/>
                <w:szCs w:val="20"/>
              </w:rPr>
              <w:t>3,137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hideMark/>
          </w:tcPr>
          <w:p w14:paraId="2DB63DB4"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hideMark/>
          </w:tcPr>
          <w:p w14:paraId="4369F1BD"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hideMark/>
          </w:tcPr>
          <w:p w14:paraId="526BC736" w14:textId="77777777" w:rsidR="00000000" w:rsidRDefault="00195E7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hideMark/>
          </w:tcPr>
          <w:p w14:paraId="0BC63D8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hideMark/>
          </w:tcPr>
          <w:p w14:paraId="4F32645D" w14:textId="77777777" w:rsidR="00000000" w:rsidRDefault="00195E73">
            <w:pPr>
              <w:jc w:val="right"/>
              <w:rPr>
                <w:rFonts w:eastAsia="Times New Roman"/>
              </w:rPr>
            </w:pPr>
            <w:r>
              <w:rPr>
                <w:rFonts w:eastAsia="Times New Roman"/>
                <w:color w:val="000000"/>
                <w:sz w:val="20"/>
                <w:szCs w:val="20"/>
              </w:rPr>
              <w:t>1,981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hideMark/>
          </w:tcPr>
          <w:p w14:paraId="5B41303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EE334B9"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hideMark/>
          </w:tcPr>
          <w:p w14:paraId="1D6A846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hideMark/>
          </w:tcPr>
          <w:p w14:paraId="1A658217" w14:textId="77777777" w:rsidR="00000000" w:rsidRDefault="00195E73">
            <w:pPr>
              <w:jc w:val="right"/>
              <w:rPr>
                <w:rFonts w:eastAsia="Times New Roman"/>
              </w:rPr>
            </w:pPr>
            <w:r>
              <w:rPr>
                <w:rFonts w:eastAsia="Times New Roman"/>
                <w:color w:val="000000"/>
                <w:sz w:val="20"/>
                <w:szCs w:val="20"/>
              </w:rPr>
              <w:t>265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hideMark/>
          </w:tcPr>
          <w:p w14:paraId="433C61B4" w14:textId="77777777" w:rsidR="00000000" w:rsidRDefault="00195E73">
            <w:pPr>
              <w:jc w:val="right"/>
              <w:rPr>
                <w:rFonts w:eastAsia="Times New Roman"/>
              </w:rPr>
            </w:pPr>
            <w:r>
              <w:rPr>
                <w:rFonts w:eastAsia="Times New Roman"/>
                <w:color w:val="000000"/>
                <w:sz w:val="20"/>
                <w:szCs w:val="20"/>
              </w:rPr>
              <w:t> </w:t>
            </w:r>
          </w:p>
        </w:tc>
        <w:tc>
          <w:tcPr>
            <w:tcW w:w="0" w:type="auto"/>
            <w:gridSpan w:val="2"/>
            <w:tcBorders>
              <w:bottom w:val="double" w:sz="6" w:space="0" w:color="000000"/>
            </w:tcBorders>
            <w:shd w:val="clear" w:color="auto" w:fill="FFFFFF"/>
            <w:tcMar>
              <w:top w:w="15" w:type="dxa"/>
              <w:left w:w="20" w:type="dxa"/>
              <w:bottom w:w="15" w:type="dxa"/>
              <w:right w:w="0" w:type="dxa"/>
            </w:tcMar>
            <w:hideMark/>
          </w:tcPr>
          <w:p w14:paraId="7E7D1CD0" w14:textId="77777777" w:rsidR="00000000" w:rsidRDefault="00195E73">
            <w:pPr>
              <w:jc w:val="right"/>
              <w:rPr>
                <w:rFonts w:eastAsia="Times New Roman"/>
              </w:rPr>
            </w:pPr>
          </w:p>
        </w:tc>
        <w:tc>
          <w:tcPr>
            <w:tcW w:w="0" w:type="auto"/>
            <w:tcBorders>
              <w:bottom w:val="double" w:sz="6" w:space="0" w:color="000000"/>
            </w:tcBorders>
            <w:shd w:val="clear" w:color="auto" w:fill="FFFFFF"/>
            <w:tcMar>
              <w:top w:w="15" w:type="dxa"/>
              <w:left w:w="15" w:type="dxa"/>
              <w:bottom w:w="15" w:type="dxa"/>
              <w:right w:w="20" w:type="dxa"/>
            </w:tcMar>
            <w:hideMark/>
          </w:tcPr>
          <w:p w14:paraId="20C76362" w14:textId="77777777" w:rsidR="00000000" w:rsidRDefault="00195E7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hideMark/>
          </w:tcPr>
          <w:p w14:paraId="1C3C57F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hideMark/>
          </w:tcPr>
          <w:p w14:paraId="5208068F" w14:textId="77777777" w:rsidR="00000000" w:rsidRDefault="00195E73">
            <w:pPr>
              <w:jc w:val="right"/>
              <w:rPr>
                <w:rFonts w:eastAsia="Times New Roman"/>
              </w:rPr>
            </w:pPr>
            <w:r>
              <w:rPr>
                <w:rFonts w:eastAsia="Times New Roman"/>
                <w:color w:val="000000"/>
                <w:sz w:val="20"/>
                <w:szCs w:val="20"/>
              </w:rPr>
              <w:t>667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hideMark/>
          </w:tcPr>
          <w:p w14:paraId="18F075A4" w14:textId="77777777" w:rsidR="00000000" w:rsidRDefault="00195E73">
            <w:pPr>
              <w:jc w:val="right"/>
              <w:rPr>
                <w:rFonts w:eastAsia="Times New Roman"/>
              </w:rPr>
            </w:pPr>
            <w:r>
              <w:rPr>
                <w:rFonts w:eastAsia="Times New Roman"/>
                <w:color w:val="000000"/>
                <w:sz w:val="20"/>
                <w:szCs w:val="20"/>
              </w:rPr>
              <w:t> </w:t>
            </w:r>
          </w:p>
        </w:tc>
        <w:tc>
          <w:tcPr>
            <w:tcW w:w="0" w:type="auto"/>
            <w:gridSpan w:val="2"/>
            <w:tcBorders>
              <w:bottom w:val="double" w:sz="6" w:space="0" w:color="000000"/>
            </w:tcBorders>
            <w:shd w:val="clear" w:color="auto" w:fill="FFFFFF"/>
            <w:tcMar>
              <w:top w:w="15" w:type="dxa"/>
              <w:left w:w="20" w:type="dxa"/>
              <w:bottom w:w="15" w:type="dxa"/>
              <w:right w:w="0" w:type="dxa"/>
            </w:tcMar>
            <w:hideMark/>
          </w:tcPr>
          <w:p w14:paraId="5BDDD850" w14:textId="77777777" w:rsidR="00000000" w:rsidRDefault="00195E73">
            <w:pPr>
              <w:jc w:val="right"/>
              <w:rPr>
                <w:rFonts w:eastAsia="Times New Roman"/>
              </w:rPr>
            </w:pPr>
          </w:p>
        </w:tc>
        <w:tc>
          <w:tcPr>
            <w:tcW w:w="0" w:type="auto"/>
            <w:tcBorders>
              <w:bottom w:val="double" w:sz="6" w:space="0" w:color="000000"/>
            </w:tcBorders>
            <w:shd w:val="clear" w:color="auto" w:fill="FFFFFF"/>
            <w:tcMar>
              <w:top w:w="15" w:type="dxa"/>
              <w:left w:w="15" w:type="dxa"/>
              <w:bottom w:w="15" w:type="dxa"/>
              <w:right w:w="20" w:type="dxa"/>
            </w:tcMar>
            <w:hideMark/>
          </w:tcPr>
          <w:p w14:paraId="68C056B1" w14:textId="77777777" w:rsidR="00000000" w:rsidRDefault="00195E7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hideMark/>
          </w:tcPr>
          <w:p w14:paraId="35CAB824"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hideMark/>
          </w:tcPr>
          <w:p w14:paraId="3D070FE0" w14:textId="77777777" w:rsidR="00000000" w:rsidRDefault="00195E73">
            <w:pPr>
              <w:jc w:val="right"/>
              <w:rPr>
                <w:rFonts w:eastAsia="Times New Roman"/>
              </w:rPr>
            </w:pPr>
            <w:r>
              <w:rPr>
                <w:rFonts w:eastAsia="Times New Roman"/>
                <w:color w:val="000000"/>
                <w:sz w:val="20"/>
                <w:szCs w:val="20"/>
              </w:rPr>
              <w:t>370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hideMark/>
          </w:tcPr>
          <w:p w14:paraId="52F8D33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ECB28AA" w14:textId="77777777" w:rsidR="00000000" w:rsidRDefault="00195E73">
            <w:pPr>
              <w:rPr>
                <w:rFonts w:eastAsia="Times New Roman"/>
                <w:sz w:val="20"/>
                <w:szCs w:val="20"/>
              </w:rPr>
            </w:pPr>
          </w:p>
        </w:tc>
        <w:tc>
          <w:tcPr>
            <w:tcW w:w="0" w:type="auto"/>
            <w:vAlign w:val="center"/>
            <w:hideMark/>
          </w:tcPr>
          <w:p w14:paraId="42E3D321" w14:textId="77777777" w:rsidR="00000000" w:rsidRDefault="00195E73">
            <w:pPr>
              <w:rPr>
                <w:rFonts w:eastAsia="Times New Roman"/>
                <w:sz w:val="20"/>
                <w:szCs w:val="20"/>
              </w:rPr>
            </w:pPr>
          </w:p>
        </w:tc>
        <w:tc>
          <w:tcPr>
            <w:tcW w:w="0" w:type="auto"/>
            <w:vAlign w:val="center"/>
            <w:hideMark/>
          </w:tcPr>
          <w:p w14:paraId="39277CDE" w14:textId="77777777" w:rsidR="00000000" w:rsidRDefault="00195E73">
            <w:pPr>
              <w:rPr>
                <w:rFonts w:eastAsia="Times New Roman"/>
                <w:sz w:val="20"/>
                <w:szCs w:val="20"/>
              </w:rPr>
            </w:pPr>
          </w:p>
        </w:tc>
        <w:tc>
          <w:tcPr>
            <w:tcW w:w="0" w:type="auto"/>
            <w:vAlign w:val="center"/>
            <w:hideMark/>
          </w:tcPr>
          <w:p w14:paraId="3AEE2F5C" w14:textId="77777777" w:rsidR="00000000" w:rsidRDefault="00195E73">
            <w:pPr>
              <w:rPr>
                <w:rFonts w:eastAsia="Times New Roman"/>
                <w:sz w:val="20"/>
                <w:szCs w:val="20"/>
              </w:rPr>
            </w:pPr>
          </w:p>
        </w:tc>
        <w:tc>
          <w:tcPr>
            <w:tcW w:w="0" w:type="auto"/>
            <w:vAlign w:val="center"/>
            <w:hideMark/>
          </w:tcPr>
          <w:p w14:paraId="5E9BA6AD" w14:textId="77777777" w:rsidR="00000000" w:rsidRDefault="00195E73">
            <w:pPr>
              <w:rPr>
                <w:rFonts w:eastAsia="Times New Roman"/>
                <w:sz w:val="20"/>
                <w:szCs w:val="20"/>
              </w:rPr>
            </w:pPr>
          </w:p>
        </w:tc>
        <w:tc>
          <w:tcPr>
            <w:tcW w:w="0" w:type="auto"/>
            <w:vAlign w:val="center"/>
            <w:hideMark/>
          </w:tcPr>
          <w:p w14:paraId="145614EA" w14:textId="77777777" w:rsidR="00000000" w:rsidRDefault="00195E73">
            <w:pPr>
              <w:rPr>
                <w:rFonts w:eastAsia="Times New Roman"/>
                <w:sz w:val="20"/>
                <w:szCs w:val="20"/>
              </w:rPr>
            </w:pPr>
          </w:p>
        </w:tc>
        <w:tc>
          <w:tcPr>
            <w:tcW w:w="0" w:type="auto"/>
            <w:vAlign w:val="center"/>
            <w:hideMark/>
          </w:tcPr>
          <w:p w14:paraId="456D1539" w14:textId="77777777" w:rsidR="00000000" w:rsidRDefault="00195E73">
            <w:pPr>
              <w:rPr>
                <w:rFonts w:eastAsia="Times New Roman"/>
                <w:sz w:val="20"/>
                <w:szCs w:val="20"/>
              </w:rPr>
            </w:pPr>
          </w:p>
        </w:tc>
        <w:tc>
          <w:tcPr>
            <w:tcW w:w="0" w:type="auto"/>
            <w:vAlign w:val="center"/>
            <w:hideMark/>
          </w:tcPr>
          <w:p w14:paraId="04D3F8BD" w14:textId="77777777" w:rsidR="00000000" w:rsidRDefault="00195E73">
            <w:pPr>
              <w:rPr>
                <w:rFonts w:eastAsia="Times New Roman"/>
                <w:sz w:val="20"/>
                <w:szCs w:val="20"/>
              </w:rPr>
            </w:pPr>
          </w:p>
        </w:tc>
        <w:tc>
          <w:tcPr>
            <w:tcW w:w="0" w:type="auto"/>
            <w:vAlign w:val="center"/>
            <w:hideMark/>
          </w:tcPr>
          <w:p w14:paraId="52FA13A5" w14:textId="77777777" w:rsidR="00000000" w:rsidRDefault="00195E73">
            <w:pPr>
              <w:rPr>
                <w:rFonts w:eastAsia="Times New Roman"/>
                <w:sz w:val="20"/>
                <w:szCs w:val="20"/>
              </w:rPr>
            </w:pPr>
          </w:p>
        </w:tc>
        <w:tc>
          <w:tcPr>
            <w:tcW w:w="0" w:type="auto"/>
            <w:vAlign w:val="center"/>
            <w:hideMark/>
          </w:tcPr>
          <w:p w14:paraId="5ED0887E" w14:textId="77777777" w:rsidR="00000000" w:rsidRDefault="00195E73">
            <w:pPr>
              <w:rPr>
                <w:rFonts w:eastAsia="Times New Roman"/>
                <w:sz w:val="20"/>
                <w:szCs w:val="20"/>
              </w:rPr>
            </w:pPr>
          </w:p>
        </w:tc>
        <w:tc>
          <w:tcPr>
            <w:tcW w:w="0" w:type="auto"/>
            <w:vAlign w:val="center"/>
            <w:hideMark/>
          </w:tcPr>
          <w:p w14:paraId="011124AA" w14:textId="77777777" w:rsidR="00000000" w:rsidRDefault="00195E73">
            <w:pPr>
              <w:rPr>
                <w:rFonts w:eastAsia="Times New Roman"/>
                <w:sz w:val="20"/>
                <w:szCs w:val="20"/>
              </w:rPr>
            </w:pPr>
          </w:p>
        </w:tc>
        <w:tc>
          <w:tcPr>
            <w:tcW w:w="0" w:type="auto"/>
            <w:vAlign w:val="center"/>
            <w:hideMark/>
          </w:tcPr>
          <w:p w14:paraId="09B84DE6" w14:textId="77777777" w:rsidR="00000000" w:rsidRDefault="00195E73">
            <w:pPr>
              <w:rPr>
                <w:rFonts w:eastAsia="Times New Roman"/>
                <w:sz w:val="20"/>
                <w:szCs w:val="20"/>
              </w:rPr>
            </w:pPr>
          </w:p>
        </w:tc>
        <w:tc>
          <w:tcPr>
            <w:tcW w:w="0" w:type="auto"/>
            <w:vAlign w:val="center"/>
            <w:hideMark/>
          </w:tcPr>
          <w:p w14:paraId="7E91369C" w14:textId="77777777" w:rsidR="00000000" w:rsidRDefault="00195E73">
            <w:pPr>
              <w:rPr>
                <w:rFonts w:eastAsia="Times New Roman"/>
                <w:sz w:val="20"/>
                <w:szCs w:val="20"/>
              </w:rPr>
            </w:pPr>
          </w:p>
        </w:tc>
        <w:tc>
          <w:tcPr>
            <w:tcW w:w="0" w:type="auto"/>
            <w:vAlign w:val="center"/>
            <w:hideMark/>
          </w:tcPr>
          <w:p w14:paraId="23E90402" w14:textId="77777777" w:rsidR="00000000" w:rsidRDefault="00195E73">
            <w:pPr>
              <w:rPr>
                <w:rFonts w:eastAsia="Times New Roman"/>
                <w:sz w:val="20"/>
                <w:szCs w:val="20"/>
              </w:rPr>
            </w:pPr>
          </w:p>
        </w:tc>
        <w:tc>
          <w:tcPr>
            <w:tcW w:w="0" w:type="auto"/>
            <w:vAlign w:val="center"/>
            <w:hideMark/>
          </w:tcPr>
          <w:p w14:paraId="3D4B903A" w14:textId="77777777" w:rsidR="00000000" w:rsidRDefault="00195E73">
            <w:pPr>
              <w:rPr>
                <w:rFonts w:eastAsia="Times New Roman"/>
                <w:sz w:val="20"/>
                <w:szCs w:val="20"/>
              </w:rPr>
            </w:pPr>
          </w:p>
        </w:tc>
        <w:tc>
          <w:tcPr>
            <w:tcW w:w="0" w:type="auto"/>
            <w:vAlign w:val="center"/>
            <w:hideMark/>
          </w:tcPr>
          <w:p w14:paraId="16E8D033" w14:textId="77777777" w:rsidR="00000000" w:rsidRDefault="00195E73">
            <w:pPr>
              <w:rPr>
                <w:rFonts w:eastAsia="Times New Roman"/>
                <w:sz w:val="20"/>
                <w:szCs w:val="20"/>
              </w:rPr>
            </w:pPr>
          </w:p>
        </w:tc>
        <w:tc>
          <w:tcPr>
            <w:tcW w:w="0" w:type="auto"/>
            <w:vAlign w:val="center"/>
            <w:hideMark/>
          </w:tcPr>
          <w:p w14:paraId="7C87E0CE" w14:textId="77777777" w:rsidR="00000000" w:rsidRDefault="00195E73">
            <w:pPr>
              <w:rPr>
                <w:rFonts w:eastAsia="Times New Roman"/>
                <w:sz w:val="20"/>
                <w:szCs w:val="20"/>
              </w:rPr>
            </w:pPr>
          </w:p>
        </w:tc>
        <w:tc>
          <w:tcPr>
            <w:tcW w:w="0" w:type="auto"/>
            <w:vAlign w:val="center"/>
            <w:hideMark/>
          </w:tcPr>
          <w:p w14:paraId="03C84C74" w14:textId="77777777" w:rsidR="00000000" w:rsidRDefault="00195E73">
            <w:pPr>
              <w:rPr>
                <w:rFonts w:eastAsia="Times New Roman"/>
                <w:sz w:val="20"/>
                <w:szCs w:val="20"/>
              </w:rPr>
            </w:pPr>
          </w:p>
        </w:tc>
        <w:tc>
          <w:tcPr>
            <w:tcW w:w="0" w:type="auto"/>
            <w:vAlign w:val="center"/>
            <w:hideMark/>
          </w:tcPr>
          <w:p w14:paraId="3629BD4E" w14:textId="77777777" w:rsidR="00000000" w:rsidRDefault="00195E73">
            <w:pPr>
              <w:rPr>
                <w:rFonts w:eastAsia="Times New Roman"/>
                <w:sz w:val="20"/>
                <w:szCs w:val="20"/>
              </w:rPr>
            </w:pPr>
          </w:p>
        </w:tc>
        <w:tc>
          <w:tcPr>
            <w:tcW w:w="0" w:type="auto"/>
            <w:vAlign w:val="center"/>
            <w:hideMark/>
          </w:tcPr>
          <w:p w14:paraId="7A5037E4" w14:textId="77777777" w:rsidR="00000000" w:rsidRDefault="00195E73">
            <w:pPr>
              <w:rPr>
                <w:rFonts w:eastAsia="Times New Roman"/>
                <w:sz w:val="20"/>
                <w:szCs w:val="20"/>
              </w:rPr>
            </w:pPr>
          </w:p>
        </w:tc>
        <w:tc>
          <w:tcPr>
            <w:tcW w:w="0" w:type="auto"/>
            <w:vAlign w:val="center"/>
            <w:hideMark/>
          </w:tcPr>
          <w:p w14:paraId="727D2EDF" w14:textId="77777777" w:rsidR="00000000" w:rsidRDefault="00195E73">
            <w:pPr>
              <w:rPr>
                <w:rFonts w:eastAsia="Times New Roman"/>
                <w:sz w:val="20"/>
                <w:szCs w:val="20"/>
              </w:rPr>
            </w:pPr>
          </w:p>
        </w:tc>
        <w:tc>
          <w:tcPr>
            <w:tcW w:w="0" w:type="auto"/>
            <w:vAlign w:val="center"/>
            <w:hideMark/>
          </w:tcPr>
          <w:p w14:paraId="477C0364" w14:textId="77777777" w:rsidR="00000000" w:rsidRDefault="00195E73">
            <w:pPr>
              <w:rPr>
                <w:rFonts w:eastAsia="Times New Roman"/>
                <w:sz w:val="20"/>
                <w:szCs w:val="20"/>
              </w:rPr>
            </w:pPr>
          </w:p>
        </w:tc>
        <w:tc>
          <w:tcPr>
            <w:tcW w:w="0" w:type="auto"/>
            <w:vAlign w:val="center"/>
            <w:hideMark/>
          </w:tcPr>
          <w:p w14:paraId="7B9B0032" w14:textId="77777777" w:rsidR="00000000" w:rsidRDefault="00195E73">
            <w:pPr>
              <w:rPr>
                <w:rFonts w:eastAsia="Times New Roman"/>
                <w:sz w:val="20"/>
                <w:szCs w:val="20"/>
              </w:rPr>
            </w:pPr>
          </w:p>
        </w:tc>
        <w:tc>
          <w:tcPr>
            <w:tcW w:w="0" w:type="auto"/>
            <w:vAlign w:val="center"/>
            <w:hideMark/>
          </w:tcPr>
          <w:p w14:paraId="04637B73" w14:textId="77777777" w:rsidR="00000000" w:rsidRDefault="00195E73">
            <w:pPr>
              <w:rPr>
                <w:rFonts w:eastAsia="Times New Roman"/>
                <w:sz w:val="20"/>
                <w:szCs w:val="20"/>
              </w:rPr>
            </w:pPr>
          </w:p>
        </w:tc>
      </w:tr>
    </w:tbl>
    <w:p w14:paraId="0DA608F2" w14:textId="77777777" w:rsidR="00000000" w:rsidRDefault="00195E73">
      <w:pPr>
        <w:divId w:val="1820923872"/>
        <w:rPr>
          <w:rFonts w:eastAsia="Times New Roman"/>
        </w:rPr>
      </w:pPr>
    </w:p>
    <w:p w14:paraId="35B1EBAE" w14:textId="77777777" w:rsidR="00000000" w:rsidRDefault="00195E73">
      <w:pPr>
        <w:ind w:hanging="180"/>
        <w:divId w:val="1774858972"/>
        <w:rPr>
          <w:rFonts w:eastAsia="Times New Roman"/>
        </w:rPr>
      </w:pPr>
      <w:r>
        <w:rPr>
          <w:rFonts w:eastAsia="Times New Roman"/>
          <w:color w:val="000000"/>
          <w:sz w:val="10"/>
          <w:szCs w:val="10"/>
          <w:vertAlign w:val="superscript"/>
        </w:rPr>
        <w:t>(1)</w:t>
      </w:r>
      <w:r>
        <w:rPr>
          <w:rFonts w:eastAsia="Times New Roman"/>
          <w:color w:val="000000"/>
          <w:sz w:val="10"/>
          <w:szCs w:val="10"/>
          <w:vertAlign w:val="superscript"/>
        </w:rPr>
        <w:t xml:space="preserve"> </w:t>
      </w:r>
      <w:r>
        <w:rPr>
          <w:rFonts w:eastAsia="Times New Roman"/>
          <w:color w:val="000000"/>
          <w:sz w:val="16"/>
          <w:szCs w:val="16"/>
        </w:rPr>
        <w:t>Voting interest represents our share of the voting common stock currently held as of December 31, 2019; however, voting common stock held by Mr. Icahn and his affiliates (excluding us) a</w:t>
      </w:r>
      <w:r>
        <w:rPr>
          <w:rFonts w:eastAsia="Times New Roman"/>
          <w:color w:val="000000"/>
          <w:sz w:val="16"/>
          <w:szCs w:val="16"/>
        </w:rPr>
        <w:t>re not included.</w:t>
      </w:r>
      <w:r>
        <w:rPr>
          <w:rFonts w:eastAsia="Times New Roman"/>
          <w:color w:val="000000"/>
          <w:sz w:val="16"/>
          <w:szCs w:val="16"/>
        </w:rPr>
        <w:t xml:space="preserve"> </w:t>
      </w:r>
    </w:p>
    <w:p w14:paraId="05AB3BCB" w14:textId="77777777" w:rsidR="00000000" w:rsidRDefault="00195E73">
      <w:pPr>
        <w:ind w:firstLine="405"/>
        <w:divId w:val="827019760"/>
        <w:rPr>
          <w:rFonts w:eastAsia="Times New Roman"/>
        </w:rPr>
      </w:pPr>
    </w:p>
    <w:p w14:paraId="15219C76" w14:textId="77777777" w:rsidR="00000000" w:rsidRDefault="00195E73">
      <w:pPr>
        <w:ind w:firstLine="405"/>
        <w:divId w:val="39013350"/>
        <w:rPr>
          <w:rFonts w:eastAsia="Times New Roman"/>
        </w:rPr>
      </w:pPr>
      <w:r>
        <w:rPr>
          <w:rFonts w:eastAsia="Times New Roman"/>
          <w:color w:val="000000"/>
          <w:sz w:val="20"/>
          <w:szCs w:val="20"/>
        </w:rPr>
        <w:t>The following tables contain summarized financial information with respect to these investees as if such investees were consolidated in our financial statements during the respective periods (or partial periods) in which we possessed th</w:t>
      </w:r>
      <w:r>
        <w:rPr>
          <w:rFonts w:eastAsia="Times New Roman"/>
          <w:color w:val="000000"/>
          <w:sz w:val="20"/>
          <w:szCs w:val="20"/>
        </w:rPr>
        <w:t>e ability to exercise significant influence over the operating and financial policies of the investee. In addition, each of these investees file annual, quarterly and current reports, and proxy and information statements with the SEC.</w:t>
      </w:r>
      <w:r>
        <w:rPr>
          <w:rFonts w:eastAsia="Times New Roman"/>
          <w:color w:val="000000"/>
          <w:sz w:val="20"/>
          <w:szCs w:val="20"/>
        </w:rPr>
        <w:t xml:space="preserve"> </w:t>
      </w:r>
    </w:p>
    <w:p w14:paraId="457C19CF" w14:textId="77777777" w:rsidR="00000000" w:rsidRDefault="00195E73">
      <w:pPr>
        <w:divId w:val="1546286360"/>
        <w:rPr>
          <w:rFonts w:eastAsia="Times New Roman"/>
        </w:rPr>
      </w:pPr>
      <w:r>
        <w:rPr>
          <w:rFonts w:eastAsia="Times New Roman"/>
          <w:i/>
          <w:iCs/>
          <w:color w:val="000000"/>
          <w:sz w:val="20"/>
          <w:szCs w:val="20"/>
        </w:rPr>
        <w:t xml:space="preserve">Herbalife Nutrition </w:t>
      </w:r>
      <w:r>
        <w:rPr>
          <w:rFonts w:eastAsia="Times New Roman"/>
          <w:i/>
          <w:iCs/>
          <w:color w:val="000000"/>
          <w:sz w:val="20"/>
          <w:szCs w:val="20"/>
        </w:rPr>
        <w:t>Ltd</w:t>
      </w:r>
      <w:r>
        <w:rPr>
          <w:rFonts w:eastAsia="Times New Roman"/>
          <w:i/>
          <w:iCs/>
          <w:color w:val="000000"/>
          <w:sz w:val="20"/>
          <w:szCs w:val="20"/>
        </w:rPr>
        <w:t>.</w:t>
      </w:r>
    </w:p>
    <w:tbl>
      <w:tblPr>
        <w:tblW w:w="4912" w:type="pct"/>
        <w:tblCellMar>
          <w:top w:w="15" w:type="dxa"/>
          <w:left w:w="15" w:type="dxa"/>
          <w:bottom w:w="15" w:type="dxa"/>
          <w:right w:w="15" w:type="dxa"/>
        </w:tblCellMar>
        <w:tblLook w:val="04A0" w:firstRow="1" w:lastRow="0" w:firstColumn="1" w:lastColumn="0" w:noHBand="0" w:noVBand="1"/>
      </w:tblPr>
      <w:tblGrid>
        <w:gridCol w:w="42"/>
        <w:gridCol w:w="4559"/>
        <w:gridCol w:w="43"/>
        <w:gridCol w:w="135"/>
        <w:gridCol w:w="1376"/>
        <w:gridCol w:w="85"/>
        <w:gridCol w:w="36"/>
        <w:gridCol w:w="36"/>
        <w:gridCol w:w="36"/>
        <w:gridCol w:w="135"/>
        <w:gridCol w:w="1376"/>
        <w:gridCol w:w="85"/>
        <w:gridCol w:w="36"/>
        <w:gridCol w:w="36"/>
        <w:gridCol w:w="36"/>
        <w:gridCol w:w="36"/>
        <w:gridCol w:w="36"/>
        <w:gridCol w:w="36"/>
      </w:tblGrid>
      <w:tr w:rsidR="00000000" w14:paraId="5C6CD4EF" w14:textId="77777777">
        <w:trPr>
          <w:gridAfter w:val="6"/>
          <w:divId w:val="1911188346"/>
        </w:trPr>
        <w:tc>
          <w:tcPr>
            <w:tcW w:w="50" w:type="pct"/>
            <w:vAlign w:val="center"/>
            <w:hideMark/>
          </w:tcPr>
          <w:p w14:paraId="44F6E3DB" w14:textId="77777777" w:rsidR="00000000" w:rsidRDefault="00195E73">
            <w:pPr>
              <w:rPr>
                <w:rFonts w:eastAsia="Times New Roman"/>
              </w:rPr>
            </w:pPr>
          </w:p>
        </w:tc>
        <w:tc>
          <w:tcPr>
            <w:tcW w:w="2891" w:type="pct"/>
            <w:vAlign w:val="center"/>
            <w:hideMark/>
          </w:tcPr>
          <w:p w14:paraId="4E90113D" w14:textId="77777777" w:rsidR="00000000" w:rsidRDefault="00195E73">
            <w:pPr>
              <w:rPr>
                <w:rFonts w:eastAsia="Times New Roman"/>
                <w:sz w:val="20"/>
                <w:szCs w:val="20"/>
              </w:rPr>
            </w:pPr>
          </w:p>
        </w:tc>
        <w:tc>
          <w:tcPr>
            <w:tcW w:w="50" w:type="pct"/>
            <w:vAlign w:val="center"/>
            <w:hideMark/>
          </w:tcPr>
          <w:p w14:paraId="07F23259" w14:textId="77777777" w:rsidR="00000000" w:rsidRDefault="00195E73">
            <w:pPr>
              <w:rPr>
                <w:rFonts w:eastAsia="Times New Roman"/>
                <w:sz w:val="20"/>
                <w:szCs w:val="20"/>
              </w:rPr>
            </w:pPr>
          </w:p>
        </w:tc>
        <w:tc>
          <w:tcPr>
            <w:tcW w:w="50" w:type="pct"/>
            <w:vAlign w:val="center"/>
            <w:hideMark/>
          </w:tcPr>
          <w:p w14:paraId="718223FF" w14:textId="77777777" w:rsidR="00000000" w:rsidRDefault="00195E73">
            <w:pPr>
              <w:rPr>
                <w:rFonts w:eastAsia="Times New Roman"/>
                <w:sz w:val="20"/>
                <w:szCs w:val="20"/>
              </w:rPr>
            </w:pPr>
          </w:p>
        </w:tc>
        <w:tc>
          <w:tcPr>
            <w:tcW w:w="889" w:type="pct"/>
            <w:vAlign w:val="center"/>
            <w:hideMark/>
          </w:tcPr>
          <w:p w14:paraId="28ABD929" w14:textId="77777777" w:rsidR="00000000" w:rsidRDefault="00195E73">
            <w:pPr>
              <w:rPr>
                <w:rFonts w:eastAsia="Times New Roman"/>
                <w:sz w:val="20"/>
                <w:szCs w:val="20"/>
              </w:rPr>
            </w:pPr>
          </w:p>
        </w:tc>
        <w:tc>
          <w:tcPr>
            <w:tcW w:w="50" w:type="pct"/>
            <w:vAlign w:val="center"/>
            <w:hideMark/>
          </w:tcPr>
          <w:p w14:paraId="63B6C68B" w14:textId="77777777" w:rsidR="00000000" w:rsidRDefault="00195E73">
            <w:pPr>
              <w:rPr>
                <w:rFonts w:eastAsia="Times New Roman"/>
                <w:sz w:val="20"/>
                <w:szCs w:val="20"/>
              </w:rPr>
            </w:pPr>
          </w:p>
        </w:tc>
        <w:tc>
          <w:tcPr>
            <w:tcW w:w="5" w:type="pct"/>
            <w:vAlign w:val="center"/>
            <w:hideMark/>
          </w:tcPr>
          <w:p w14:paraId="75EBBBBA" w14:textId="77777777" w:rsidR="00000000" w:rsidRDefault="00195E73">
            <w:pPr>
              <w:rPr>
                <w:rFonts w:eastAsia="Times New Roman"/>
                <w:sz w:val="20"/>
                <w:szCs w:val="20"/>
              </w:rPr>
            </w:pPr>
          </w:p>
        </w:tc>
        <w:tc>
          <w:tcPr>
            <w:tcW w:w="19" w:type="pct"/>
            <w:vAlign w:val="center"/>
            <w:hideMark/>
          </w:tcPr>
          <w:p w14:paraId="6F8DCAB9" w14:textId="77777777" w:rsidR="00000000" w:rsidRDefault="00195E73">
            <w:pPr>
              <w:rPr>
                <w:rFonts w:eastAsia="Times New Roman"/>
                <w:sz w:val="20"/>
                <w:szCs w:val="20"/>
              </w:rPr>
            </w:pPr>
          </w:p>
        </w:tc>
        <w:tc>
          <w:tcPr>
            <w:tcW w:w="5" w:type="pct"/>
            <w:vAlign w:val="center"/>
            <w:hideMark/>
          </w:tcPr>
          <w:p w14:paraId="2DA71AA9" w14:textId="77777777" w:rsidR="00000000" w:rsidRDefault="00195E73">
            <w:pPr>
              <w:rPr>
                <w:rFonts w:eastAsia="Times New Roman"/>
                <w:sz w:val="20"/>
                <w:szCs w:val="20"/>
              </w:rPr>
            </w:pPr>
          </w:p>
        </w:tc>
        <w:tc>
          <w:tcPr>
            <w:tcW w:w="50" w:type="pct"/>
            <w:vAlign w:val="center"/>
            <w:hideMark/>
          </w:tcPr>
          <w:p w14:paraId="7EB69E2E" w14:textId="77777777" w:rsidR="00000000" w:rsidRDefault="00195E73">
            <w:pPr>
              <w:rPr>
                <w:rFonts w:eastAsia="Times New Roman"/>
                <w:sz w:val="20"/>
                <w:szCs w:val="20"/>
              </w:rPr>
            </w:pPr>
          </w:p>
        </w:tc>
        <w:tc>
          <w:tcPr>
            <w:tcW w:w="889" w:type="pct"/>
            <w:vAlign w:val="center"/>
            <w:hideMark/>
          </w:tcPr>
          <w:p w14:paraId="3EDF5448" w14:textId="77777777" w:rsidR="00000000" w:rsidRDefault="00195E73">
            <w:pPr>
              <w:rPr>
                <w:rFonts w:eastAsia="Times New Roman"/>
                <w:sz w:val="20"/>
                <w:szCs w:val="20"/>
              </w:rPr>
            </w:pPr>
          </w:p>
        </w:tc>
        <w:tc>
          <w:tcPr>
            <w:tcW w:w="50" w:type="pct"/>
            <w:vAlign w:val="center"/>
            <w:hideMark/>
          </w:tcPr>
          <w:p w14:paraId="18B11484" w14:textId="77777777" w:rsidR="00000000" w:rsidRDefault="00195E73">
            <w:pPr>
              <w:rPr>
                <w:rFonts w:eastAsia="Times New Roman"/>
                <w:sz w:val="20"/>
                <w:szCs w:val="20"/>
              </w:rPr>
            </w:pPr>
          </w:p>
        </w:tc>
      </w:tr>
      <w:tr w:rsidR="00000000" w14:paraId="0006F7FE" w14:textId="77777777">
        <w:trPr>
          <w:divId w:val="1911188346"/>
        </w:trPr>
        <w:tc>
          <w:tcPr>
            <w:tcW w:w="0" w:type="auto"/>
            <w:gridSpan w:val="3"/>
            <w:tcMar>
              <w:top w:w="15" w:type="dxa"/>
              <w:left w:w="20" w:type="dxa"/>
              <w:bottom w:w="15" w:type="dxa"/>
              <w:right w:w="20" w:type="dxa"/>
            </w:tcMar>
            <w:vAlign w:val="bottom"/>
            <w:hideMark/>
          </w:tcPr>
          <w:p w14:paraId="5631AB84"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4A8DC6DC"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3C12D2F1" w14:textId="77777777" w:rsidR="00000000" w:rsidRDefault="00195E73">
            <w:pPr>
              <w:jc w:val="center"/>
              <w:rPr>
                <w:rFonts w:eastAsia="Times New Roman"/>
              </w:rPr>
            </w:pPr>
          </w:p>
        </w:tc>
        <w:tc>
          <w:tcPr>
            <w:tcW w:w="0" w:type="auto"/>
            <w:gridSpan w:val="3"/>
            <w:vAlign w:val="center"/>
            <w:hideMark/>
          </w:tcPr>
          <w:p w14:paraId="39334C68" w14:textId="77777777" w:rsidR="00000000" w:rsidRDefault="00195E73">
            <w:pPr>
              <w:rPr>
                <w:rFonts w:eastAsia="Times New Roman"/>
                <w:sz w:val="20"/>
                <w:szCs w:val="20"/>
              </w:rPr>
            </w:pPr>
          </w:p>
        </w:tc>
      </w:tr>
      <w:tr w:rsidR="00000000" w14:paraId="468DC491" w14:textId="77777777">
        <w:trPr>
          <w:divId w:val="1911188346"/>
        </w:trPr>
        <w:tc>
          <w:tcPr>
            <w:tcW w:w="0" w:type="auto"/>
            <w:gridSpan w:val="3"/>
            <w:tcMar>
              <w:top w:w="15" w:type="dxa"/>
              <w:left w:w="20" w:type="dxa"/>
              <w:bottom w:w="15" w:type="dxa"/>
              <w:right w:w="20" w:type="dxa"/>
            </w:tcMar>
            <w:vAlign w:val="bottom"/>
            <w:hideMark/>
          </w:tcPr>
          <w:p w14:paraId="26648652"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981B05C"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7F57A637"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090824A"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22E349E5" w14:textId="77777777" w:rsidR="00000000" w:rsidRDefault="00195E73">
            <w:pPr>
              <w:rPr>
                <w:rFonts w:eastAsia="Times New Roman"/>
                <w:sz w:val="20"/>
                <w:szCs w:val="20"/>
              </w:rPr>
            </w:pPr>
          </w:p>
        </w:tc>
        <w:tc>
          <w:tcPr>
            <w:tcW w:w="0" w:type="auto"/>
            <w:vAlign w:val="center"/>
            <w:hideMark/>
          </w:tcPr>
          <w:p w14:paraId="04969715" w14:textId="77777777" w:rsidR="00000000" w:rsidRDefault="00195E73">
            <w:pPr>
              <w:rPr>
                <w:rFonts w:eastAsia="Times New Roman"/>
                <w:sz w:val="20"/>
                <w:szCs w:val="20"/>
              </w:rPr>
            </w:pPr>
          </w:p>
        </w:tc>
        <w:tc>
          <w:tcPr>
            <w:tcW w:w="0" w:type="auto"/>
            <w:vAlign w:val="center"/>
            <w:hideMark/>
          </w:tcPr>
          <w:p w14:paraId="202EBFA5" w14:textId="77777777" w:rsidR="00000000" w:rsidRDefault="00195E73">
            <w:pPr>
              <w:rPr>
                <w:rFonts w:eastAsia="Times New Roman"/>
                <w:sz w:val="20"/>
                <w:szCs w:val="20"/>
              </w:rPr>
            </w:pPr>
          </w:p>
        </w:tc>
        <w:tc>
          <w:tcPr>
            <w:tcW w:w="0" w:type="auto"/>
            <w:vAlign w:val="center"/>
            <w:hideMark/>
          </w:tcPr>
          <w:p w14:paraId="3C7AED91" w14:textId="77777777" w:rsidR="00000000" w:rsidRDefault="00195E73">
            <w:pPr>
              <w:rPr>
                <w:rFonts w:eastAsia="Times New Roman"/>
                <w:sz w:val="20"/>
                <w:szCs w:val="20"/>
              </w:rPr>
            </w:pPr>
          </w:p>
        </w:tc>
        <w:tc>
          <w:tcPr>
            <w:tcW w:w="0" w:type="auto"/>
            <w:vAlign w:val="center"/>
            <w:hideMark/>
          </w:tcPr>
          <w:p w14:paraId="52F8983C" w14:textId="77777777" w:rsidR="00000000" w:rsidRDefault="00195E73">
            <w:pPr>
              <w:rPr>
                <w:rFonts w:eastAsia="Times New Roman"/>
                <w:sz w:val="20"/>
                <w:szCs w:val="20"/>
              </w:rPr>
            </w:pPr>
          </w:p>
        </w:tc>
        <w:tc>
          <w:tcPr>
            <w:tcW w:w="0" w:type="auto"/>
            <w:vAlign w:val="center"/>
            <w:hideMark/>
          </w:tcPr>
          <w:p w14:paraId="25F5175B" w14:textId="77777777" w:rsidR="00000000" w:rsidRDefault="00195E73">
            <w:pPr>
              <w:rPr>
                <w:rFonts w:eastAsia="Times New Roman"/>
                <w:sz w:val="20"/>
                <w:szCs w:val="20"/>
              </w:rPr>
            </w:pPr>
          </w:p>
        </w:tc>
      </w:tr>
      <w:tr w:rsidR="00000000" w14:paraId="067E4F27" w14:textId="77777777">
        <w:trPr>
          <w:divId w:val="1911188346"/>
        </w:trPr>
        <w:tc>
          <w:tcPr>
            <w:tcW w:w="0" w:type="auto"/>
            <w:gridSpan w:val="3"/>
            <w:tcMar>
              <w:top w:w="15" w:type="dxa"/>
              <w:left w:w="20" w:type="dxa"/>
              <w:bottom w:w="15" w:type="dxa"/>
              <w:right w:w="20" w:type="dxa"/>
            </w:tcMar>
            <w:vAlign w:val="bottom"/>
            <w:hideMark/>
          </w:tcPr>
          <w:p w14:paraId="47BAC598"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33B26AB"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6F474EC7" w14:textId="77777777" w:rsidR="00000000" w:rsidRDefault="00195E73">
            <w:pPr>
              <w:jc w:val="center"/>
              <w:rPr>
                <w:rFonts w:eastAsia="Times New Roman"/>
              </w:rPr>
            </w:pPr>
          </w:p>
        </w:tc>
        <w:tc>
          <w:tcPr>
            <w:tcW w:w="0" w:type="auto"/>
            <w:gridSpan w:val="3"/>
            <w:vAlign w:val="center"/>
            <w:hideMark/>
          </w:tcPr>
          <w:p w14:paraId="1DA60E46" w14:textId="77777777" w:rsidR="00000000" w:rsidRDefault="00195E73">
            <w:pPr>
              <w:rPr>
                <w:rFonts w:eastAsia="Times New Roman"/>
                <w:sz w:val="20"/>
                <w:szCs w:val="20"/>
              </w:rPr>
            </w:pPr>
          </w:p>
        </w:tc>
      </w:tr>
      <w:tr w:rsidR="00000000" w14:paraId="27E002FD" w14:textId="77777777">
        <w:trPr>
          <w:divId w:val="1911188346"/>
        </w:trPr>
        <w:tc>
          <w:tcPr>
            <w:tcW w:w="0" w:type="auto"/>
            <w:gridSpan w:val="3"/>
            <w:shd w:val="clear" w:color="auto" w:fill="CCEEFF"/>
            <w:tcMar>
              <w:top w:w="30" w:type="dxa"/>
              <w:left w:w="20" w:type="dxa"/>
              <w:bottom w:w="30" w:type="dxa"/>
              <w:right w:w="20" w:type="dxa"/>
            </w:tcMar>
            <w:vAlign w:val="bottom"/>
            <w:hideMark/>
          </w:tcPr>
          <w:p w14:paraId="36AF35BA" w14:textId="77777777" w:rsidR="00000000" w:rsidRDefault="00195E73">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7AAD010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A0C546F" w14:textId="77777777" w:rsidR="00000000" w:rsidRDefault="00195E73">
            <w:pPr>
              <w:jc w:val="right"/>
              <w:rPr>
                <w:rFonts w:eastAsia="Times New Roman"/>
              </w:rPr>
            </w:pPr>
            <w:r>
              <w:rPr>
                <w:rFonts w:eastAsia="Times New Roman"/>
                <w:color w:val="000000"/>
                <w:sz w:val="20"/>
                <w:szCs w:val="20"/>
              </w:rPr>
              <w:t>2,679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61014D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1FC793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DC3D9A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D828462" w14:textId="77777777" w:rsidR="00000000" w:rsidRDefault="00195E73">
            <w:pPr>
              <w:jc w:val="right"/>
              <w:rPr>
                <w:rFonts w:eastAsia="Times New Roman"/>
              </w:rPr>
            </w:pPr>
            <w:r>
              <w:rPr>
                <w:rFonts w:eastAsia="Times New Roman"/>
                <w:color w:val="000000"/>
                <w:sz w:val="20"/>
                <w:szCs w:val="20"/>
              </w:rPr>
              <w:t>2,790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31D88D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F171611" w14:textId="77777777" w:rsidR="00000000" w:rsidRDefault="00195E73">
            <w:pPr>
              <w:rPr>
                <w:rFonts w:eastAsia="Times New Roman"/>
                <w:sz w:val="20"/>
                <w:szCs w:val="20"/>
              </w:rPr>
            </w:pPr>
          </w:p>
        </w:tc>
        <w:tc>
          <w:tcPr>
            <w:tcW w:w="0" w:type="auto"/>
            <w:vAlign w:val="center"/>
            <w:hideMark/>
          </w:tcPr>
          <w:p w14:paraId="23B656FB" w14:textId="77777777" w:rsidR="00000000" w:rsidRDefault="00195E73">
            <w:pPr>
              <w:rPr>
                <w:rFonts w:eastAsia="Times New Roman"/>
                <w:sz w:val="20"/>
                <w:szCs w:val="20"/>
              </w:rPr>
            </w:pPr>
          </w:p>
        </w:tc>
        <w:tc>
          <w:tcPr>
            <w:tcW w:w="0" w:type="auto"/>
            <w:vAlign w:val="center"/>
            <w:hideMark/>
          </w:tcPr>
          <w:p w14:paraId="253395A1" w14:textId="77777777" w:rsidR="00000000" w:rsidRDefault="00195E73">
            <w:pPr>
              <w:rPr>
                <w:rFonts w:eastAsia="Times New Roman"/>
                <w:sz w:val="20"/>
                <w:szCs w:val="20"/>
              </w:rPr>
            </w:pPr>
          </w:p>
        </w:tc>
        <w:tc>
          <w:tcPr>
            <w:tcW w:w="0" w:type="auto"/>
            <w:vAlign w:val="center"/>
            <w:hideMark/>
          </w:tcPr>
          <w:p w14:paraId="47000F0A" w14:textId="77777777" w:rsidR="00000000" w:rsidRDefault="00195E73">
            <w:pPr>
              <w:rPr>
                <w:rFonts w:eastAsia="Times New Roman"/>
                <w:sz w:val="20"/>
                <w:szCs w:val="20"/>
              </w:rPr>
            </w:pPr>
          </w:p>
        </w:tc>
        <w:tc>
          <w:tcPr>
            <w:tcW w:w="0" w:type="auto"/>
            <w:vAlign w:val="center"/>
            <w:hideMark/>
          </w:tcPr>
          <w:p w14:paraId="684DCC65" w14:textId="77777777" w:rsidR="00000000" w:rsidRDefault="00195E73">
            <w:pPr>
              <w:rPr>
                <w:rFonts w:eastAsia="Times New Roman"/>
                <w:sz w:val="20"/>
                <w:szCs w:val="20"/>
              </w:rPr>
            </w:pPr>
          </w:p>
        </w:tc>
        <w:tc>
          <w:tcPr>
            <w:tcW w:w="0" w:type="auto"/>
            <w:vAlign w:val="center"/>
            <w:hideMark/>
          </w:tcPr>
          <w:p w14:paraId="0BA72FC3" w14:textId="77777777" w:rsidR="00000000" w:rsidRDefault="00195E73">
            <w:pPr>
              <w:rPr>
                <w:rFonts w:eastAsia="Times New Roman"/>
                <w:sz w:val="20"/>
                <w:szCs w:val="20"/>
              </w:rPr>
            </w:pPr>
          </w:p>
        </w:tc>
      </w:tr>
      <w:tr w:rsidR="00000000" w14:paraId="4895340D" w14:textId="77777777">
        <w:trPr>
          <w:divId w:val="1911188346"/>
        </w:trPr>
        <w:tc>
          <w:tcPr>
            <w:tcW w:w="0" w:type="auto"/>
            <w:gridSpan w:val="3"/>
            <w:shd w:val="clear" w:color="auto" w:fill="FFFFFF"/>
            <w:tcMar>
              <w:top w:w="30" w:type="dxa"/>
              <w:left w:w="20" w:type="dxa"/>
              <w:bottom w:w="30" w:type="dxa"/>
              <w:right w:w="20" w:type="dxa"/>
            </w:tcMar>
            <w:vAlign w:val="bottom"/>
            <w:hideMark/>
          </w:tcPr>
          <w:p w14:paraId="57DF71C2" w14:textId="77777777" w:rsidR="00000000" w:rsidRDefault="00195E73">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21C151D" w14:textId="77777777" w:rsidR="00000000" w:rsidRDefault="00195E73">
            <w:pPr>
              <w:jc w:val="right"/>
              <w:rPr>
                <w:rFonts w:eastAsia="Times New Roman"/>
              </w:rPr>
            </w:pPr>
            <w:r>
              <w:rPr>
                <w:rFonts w:eastAsia="Times New Roman"/>
                <w:color w:val="000000"/>
                <w:sz w:val="20"/>
                <w:szCs w:val="20"/>
              </w:rPr>
              <w:t>3,069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A62DA1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D568FE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DB9D69" w14:textId="77777777" w:rsidR="00000000" w:rsidRDefault="00195E73">
            <w:pPr>
              <w:jc w:val="right"/>
              <w:rPr>
                <w:rFonts w:eastAsia="Times New Roman"/>
              </w:rPr>
            </w:pPr>
            <w:r>
              <w:rPr>
                <w:rFonts w:eastAsia="Times New Roman"/>
                <w:color w:val="000000"/>
                <w:sz w:val="20"/>
                <w:szCs w:val="20"/>
              </w:rPr>
              <w:t>3,513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0328EB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E9A3748" w14:textId="77777777" w:rsidR="00000000" w:rsidRDefault="00195E73">
            <w:pPr>
              <w:rPr>
                <w:rFonts w:eastAsia="Times New Roman"/>
                <w:sz w:val="20"/>
                <w:szCs w:val="20"/>
              </w:rPr>
            </w:pPr>
          </w:p>
        </w:tc>
        <w:tc>
          <w:tcPr>
            <w:tcW w:w="0" w:type="auto"/>
            <w:vAlign w:val="center"/>
            <w:hideMark/>
          </w:tcPr>
          <w:p w14:paraId="3D47AA76" w14:textId="77777777" w:rsidR="00000000" w:rsidRDefault="00195E73">
            <w:pPr>
              <w:rPr>
                <w:rFonts w:eastAsia="Times New Roman"/>
                <w:sz w:val="20"/>
                <w:szCs w:val="20"/>
              </w:rPr>
            </w:pPr>
          </w:p>
        </w:tc>
        <w:tc>
          <w:tcPr>
            <w:tcW w:w="0" w:type="auto"/>
            <w:vAlign w:val="center"/>
            <w:hideMark/>
          </w:tcPr>
          <w:p w14:paraId="01633A87" w14:textId="77777777" w:rsidR="00000000" w:rsidRDefault="00195E73">
            <w:pPr>
              <w:rPr>
                <w:rFonts w:eastAsia="Times New Roman"/>
                <w:sz w:val="20"/>
                <w:szCs w:val="20"/>
              </w:rPr>
            </w:pPr>
          </w:p>
        </w:tc>
        <w:tc>
          <w:tcPr>
            <w:tcW w:w="0" w:type="auto"/>
            <w:vAlign w:val="center"/>
            <w:hideMark/>
          </w:tcPr>
          <w:p w14:paraId="56C8EF5C" w14:textId="77777777" w:rsidR="00000000" w:rsidRDefault="00195E73">
            <w:pPr>
              <w:rPr>
                <w:rFonts w:eastAsia="Times New Roman"/>
                <w:sz w:val="20"/>
                <w:szCs w:val="20"/>
              </w:rPr>
            </w:pPr>
          </w:p>
        </w:tc>
        <w:tc>
          <w:tcPr>
            <w:tcW w:w="0" w:type="auto"/>
            <w:vAlign w:val="center"/>
            <w:hideMark/>
          </w:tcPr>
          <w:p w14:paraId="75937D9A" w14:textId="77777777" w:rsidR="00000000" w:rsidRDefault="00195E73">
            <w:pPr>
              <w:rPr>
                <w:rFonts w:eastAsia="Times New Roman"/>
                <w:sz w:val="20"/>
                <w:szCs w:val="20"/>
              </w:rPr>
            </w:pPr>
          </w:p>
        </w:tc>
        <w:tc>
          <w:tcPr>
            <w:tcW w:w="0" w:type="auto"/>
            <w:vAlign w:val="center"/>
            <w:hideMark/>
          </w:tcPr>
          <w:p w14:paraId="364678CD" w14:textId="77777777" w:rsidR="00000000" w:rsidRDefault="00195E73">
            <w:pPr>
              <w:rPr>
                <w:rFonts w:eastAsia="Times New Roman"/>
                <w:sz w:val="20"/>
                <w:szCs w:val="20"/>
              </w:rPr>
            </w:pPr>
          </w:p>
        </w:tc>
      </w:tr>
      <w:tr w:rsidR="00000000" w14:paraId="4E98022B" w14:textId="77777777">
        <w:trPr>
          <w:divId w:val="1911188346"/>
        </w:trPr>
        <w:tc>
          <w:tcPr>
            <w:tcW w:w="0" w:type="auto"/>
            <w:gridSpan w:val="3"/>
            <w:shd w:val="clear" w:color="auto" w:fill="CCEEFF"/>
            <w:tcMar>
              <w:top w:w="30" w:type="dxa"/>
              <w:left w:w="20" w:type="dxa"/>
              <w:bottom w:w="30" w:type="dxa"/>
              <w:right w:w="20" w:type="dxa"/>
            </w:tcMar>
            <w:vAlign w:val="bottom"/>
            <w:hideMark/>
          </w:tcPr>
          <w:p w14:paraId="1EFABFED" w14:textId="77777777" w:rsidR="00000000" w:rsidRDefault="00195E73">
            <w:pPr>
              <w:rPr>
                <w:rFonts w:eastAsia="Times New Roman"/>
              </w:rPr>
            </w:pPr>
            <w:r>
              <w:rPr>
                <w:rFonts w:eastAsia="Times New Roman"/>
                <w:color w:val="000000"/>
                <w:sz w:val="20"/>
                <w:szCs w:val="20"/>
              </w:rPr>
              <w:t>Equity (deficit</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14A19B7A" w14:textId="77777777" w:rsidR="00000000" w:rsidRDefault="00195E73">
            <w:pPr>
              <w:jc w:val="right"/>
              <w:rPr>
                <w:rFonts w:eastAsia="Times New Roman"/>
              </w:rPr>
            </w:pPr>
            <w:r>
              <w:rPr>
                <w:rFonts w:eastAsia="Times New Roman"/>
                <w:color w:val="000000"/>
                <w:sz w:val="20"/>
                <w:szCs w:val="20"/>
              </w:rPr>
              <w:t>(390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6D6498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CF67F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D4DAE7" w14:textId="77777777" w:rsidR="00000000" w:rsidRDefault="00195E73">
            <w:pPr>
              <w:jc w:val="right"/>
              <w:rPr>
                <w:rFonts w:eastAsia="Times New Roman"/>
              </w:rPr>
            </w:pPr>
            <w:r>
              <w:rPr>
                <w:rFonts w:eastAsia="Times New Roman"/>
                <w:color w:val="000000"/>
                <w:sz w:val="20"/>
                <w:szCs w:val="20"/>
              </w:rPr>
              <w:t>(723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0DEBE2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C31260B" w14:textId="77777777" w:rsidR="00000000" w:rsidRDefault="00195E73">
            <w:pPr>
              <w:rPr>
                <w:rFonts w:eastAsia="Times New Roman"/>
                <w:sz w:val="20"/>
                <w:szCs w:val="20"/>
              </w:rPr>
            </w:pPr>
          </w:p>
        </w:tc>
        <w:tc>
          <w:tcPr>
            <w:tcW w:w="0" w:type="auto"/>
            <w:vAlign w:val="center"/>
            <w:hideMark/>
          </w:tcPr>
          <w:p w14:paraId="348D7254" w14:textId="77777777" w:rsidR="00000000" w:rsidRDefault="00195E73">
            <w:pPr>
              <w:rPr>
                <w:rFonts w:eastAsia="Times New Roman"/>
                <w:sz w:val="20"/>
                <w:szCs w:val="20"/>
              </w:rPr>
            </w:pPr>
          </w:p>
        </w:tc>
        <w:tc>
          <w:tcPr>
            <w:tcW w:w="0" w:type="auto"/>
            <w:vAlign w:val="center"/>
            <w:hideMark/>
          </w:tcPr>
          <w:p w14:paraId="3167BD95" w14:textId="77777777" w:rsidR="00000000" w:rsidRDefault="00195E73">
            <w:pPr>
              <w:rPr>
                <w:rFonts w:eastAsia="Times New Roman"/>
                <w:sz w:val="20"/>
                <w:szCs w:val="20"/>
              </w:rPr>
            </w:pPr>
          </w:p>
        </w:tc>
        <w:tc>
          <w:tcPr>
            <w:tcW w:w="0" w:type="auto"/>
            <w:vAlign w:val="center"/>
            <w:hideMark/>
          </w:tcPr>
          <w:p w14:paraId="73E0D864" w14:textId="77777777" w:rsidR="00000000" w:rsidRDefault="00195E73">
            <w:pPr>
              <w:rPr>
                <w:rFonts w:eastAsia="Times New Roman"/>
                <w:sz w:val="20"/>
                <w:szCs w:val="20"/>
              </w:rPr>
            </w:pPr>
          </w:p>
        </w:tc>
        <w:tc>
          <w:tcPr>
            <w:tcW w:w="0" w:type="auto"/>
            <w:vAlign w:val="center"/>
            <w:hideMark/>
          </w:tcPr>
          <w:p w14:paraId="13DA5750" w14:textId="77777777" w:rsidR="00000000" w:rsidRDefault="00195E73">
            <w:pPr>
              <w:rPr>
                <w:rFonts w:eastAsia="Times New Roman"/>
                <w:sz w:val="20"/>
                <w:szCs w:val="20"/>
              </w:rPr>
            </w:pPr>
          </w:p>
        </w:tc>
        <w:tc>
          <w:tcPr>
            <w:tcW w:w="0" w:type="auto"/>
            <w:vAlign w:val="center"/>
            <w:hideMark/>
          </w:tcPr>
          <w:p w14:paraId="3A544997" w14:textId="77777777" w:rsidR="00000000" w:rsidRDefault="00195E73">
            <w:pPr>
              <w:rPr>
                <w:rFonts w:eastAsia="Times New Roman"/>
                <w:sz w:val="20"/>
                <w:szCs w:val="20"/>
              </w:rPr>
            </w:pPr>
          </w:p>
        </w:tc>
      </w:tr>
    </w:tbl>
    <w:p w14:paraId="3897FD12" w14:textId="77777777" w:rsidR="00000000" w:rsidRDefault="00195E73">
      <w:pPr>
        <w:divId w:val="1333264973"/>
        <w:rPr>
          <w:rFonts w:eastAsia="Times New Roman"/>
        </w:rPr>
      </w:pPr>
    </w:p>
    <w:p w14:paraId="39D46006" w14:textId="77777777" w:rsidR="00000000" w:rsidRDefault="00195E73">
      <w:pPr>
        <w:jc w:val="center"/>
        <w:divId w:val="1466662149"/>
        <w:rPr>
          <w:rFonts w:eastAsia="Times New Roman"/>
        </w:rPr>
      </w:pPr>
      <w:r>
        <w:rPr>
          <w:rFonts w:eastAsia="Times New Roman"/>
          <w:color w:val="000000"/>
          <w:sz w:val="20"/>
          <w:szCs w:val="20"/>
        </w:rPr>
        <w:t>8</w:t>
      </w:r>
      <w:r>
        <w:rPr>
          <w:rFonts w:eastAsia="Times New Roman"/>
          <w:color w:val="000000"/>
          <w:sz w:val="20"/>
          <w:szCs w:val="20"/>
        </w:rPr>
        <w:t>3</w:t>
      </w:r>
    </w:p>
    <w:p w14:paraId="2374A0C5" w14:textId="77777777" w:rsidR="00000000" w:rsidRDefault="00195E73">
      <w:pPr>
        <w:rPr>
          <w:rFonts w:eastAsia="Times New Roman"/>
        </w:rPr>
      </w:pPr>
      <w:r>
        <w:rPr>
          <w:rFonts w:eastAsia="Times New Roman"/>
        </w:rPr>
        <w:pict w14:anchorId="5765FE3A">
          <v:rect id="_x0000_i1109" style="width:0;height:1.5pt" o:hralign="center" o:hrstd="t" o:hr="t" fillcolor="#a0a0a0" stroked="f"/>
        </w:pict>
      </w:r>
    </w:p>
    <w:p w14:paraId="4C487032" w14:textId="77777777" w:rsidR="00000000" w:rsidRDefault="00195E73">
      <w:pPr>
        <w:jc w:val="center"/>
        <w:divId w:val="2082632376"/>
        <w:rPr>
          <w:rFonts w:eastAsia="Times New Roman"/>
        </w:rPr>
      </w:pPr>
    </w:p>
    <w:p w14:paraId="120504B6" w14:textId="77777777" w:rsidR="00000000" w:rsidRDefault="00195E73">
      <w:pPr>
        <w:jc w:val="center"/>
        <w:divId w:val="2082632376"/>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659265B9" w14:textId="77777777" w:rsidR="00000000" w:rsidRDefault="00195E73">
      <w:pPr>
        <w:jc w:val="center"/>
        <w:divId w:val="2082632376"/>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3C555F78" w14:textId="77777777" w:rsidR="00000000" w:rsidRDefault="00195E73">
      <w:pPr>
        <w:jc w:val="center"/>
        <w:divId w:val="2082632376"/>
        <w:rPr>
          <w:rFonts w:eastAsia="Times New Roman"/>
        </w:rPr>
      </w:pPr>
    </w:p>
    <w:p w14:paraId="323C62B3" w14:textId="77777777" w:rsidR="00000000" w:rsidRDefault="00195E73">
      <w:pPr>
        <w:jc w:val="center"/>
        <w:divId w:val="2082632376"/>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tbl>
      <w:tblPr>
        <w:tblW w:w="4912" w:type="pct"/>
        <w:tblCellMar>
          <w:top w:w="15" w:type="dxa"/>
          <w:left w:w="15" w:type="dxa"/>
          <w:bottom w:w="15" w:type="dxa"/>
          <w:right w:w="15" w:type="dxa"/>
        </w:tblCellMar>
        <w:tblLook w:val="04A0" w:firstRow="1" w:lastRow="0" w:firstColumn="1" w:lastColumn="0" w:noHBand="0" w:noVBand="1"/>
      </w:tblPr>
      <w:tblGrid>
        <w:gridCol w:w="38"/>
        <w:gridCol w:w="2821"/>
        <w:gridCol w:w="36"/>
        <w:gridCol w:w="135"/>
        <w:gridCol w:w="1305"/>
        <w:gridCol w:w="85"/>
        <w:gridCol w:w="36"/>
        <w:gridCol w:w="36"/>
        <w:gridCol w:w="41"/>
        <w:gridCol w:w="135"/>
        <w:gridCol w:w="1321"/>
        <w:gridCol w:w="85"/>
        <w:gridCol w:w="36"/>
        <w:gridCol w:w="36"/>
        <w:gridCol w:w="41"/>
        <w:gridCol w:w="135"/>
        <w:gridCol w:w="1321"/>
        <w:gridCol w:w="85"/>
        <w:gridCol w:w="36"/>
        <w:gridCol w:w="36"/>
        <w:gridCol w:w="36"/>
        <w:gridCol w:w="36"/>
        <w:gridCol w:w="36"/>
        <w:gridCol w:w="36"/>
        <w:gridCol w:w="36"/>
        <w:gridCol w:w="36"/>
        <w:gridCol w:w="36"/>
        <w:gridCol w:w="36"/>
        <w:gridCol w:w="36"/>
        <w:gridCol w:w="36"/>
      </w:tblGrid>
      <w:tr w:rsidR="00000000" w14:paraId="7D285D76" w14:textId="77777777">
        <w:trPr>
          <w:gridAfter w:val="12"/>
          <w:divId w:val="2037072580"/>
        </w:trPr>
        <w:tc>
          <w:tcPr>
            <w:tcW w:w="50" w:type="pct"/>
            <w:vAlign w:val="center"/>
            <w:hideMark/>
          </w:tcPr>
          <w:p w14:paraId="51A33A47" w14:textId="77777777" w:rsidR="00000000" w:rsidRDefault="00195E73">
            <w:pPr>
              <w:jc w:val="center"/>
              <w:rPr>
                <w:rFonts w:eastAsia="Times New Roman"/>
              </w:rPr>
            </w:pPr>
          </w:p>
        </w:tc>
        <w:tc>
          <w:tcPr>
            <w:tcW w:w="1871" w:type="pct"/>
            <w:vAlign w:val="center"/>
            <w:hideMark/>
          </w:tcPr>
          <w:p w14:paraId="7DFF9A0B" w14:textId="77777777" w:rsidR="00000000" w:rsidRDefault="00195E73">
            <w:pPr>
              <w:rPr>
                <w:rFonts w:eastAsia="Times New Roman"/>
                <w:sz w:val="20"/>
                <w:szCs w:val="20"/>
              </w:rPr>
            </w:pPr>
          </w:p>
        </w:tc>
        <w:tc>
          <w:tcPr>
            <w:tcW w:w="50" w:type="pct"/>
            <w:vAlign w:val="center"/>
            <w:hideMark/>
          </w:tcPr>
          <w:p w14:paraId="51C5998C" w14:textId="77777777" w:rsidR="00000000" w:rsidRDefault="00195E73">
            <w:pPr>
              <w:rPr>
                <w:rFonts w:eastAsia="Times New Roman"/>
                <w:sz w:val="20"/>
                <w:szCs w:val="20"/>
              </w:rPr>
            </w:pPr>
          </w:p>
        </w:tc>
        <w:tc>
          <w:tcPr>
            <w:tcW w:w="50" w:type="pct"/>
            <w:vAlign w:val="center"/>
            <w:hideMark/>
          </w:tcPr>
          <w:p w14:paraId="24A06BF3" w14:textId="77777777" w:rsidR="00000000" w:rsidRDefault="00195E73">
            <w:pPr>
              <w:rPr>
                <w:rFonts w:eastAsia="Times New Roman"/>
                <w:sz w:val="20"/>
                <w:szCs w:val="20"/>
              </w:rPr>
            </w:pPr>
          </w:p>
        </w:tc>
        <w:tc>
          <w:tcPr>
            <w:tcW w:w="889" w:type="pct"/>
            <w:vAlign w:val="center"/>
            <w:hideMark/>
          </w:tcPr>
          <w:p w14:paraId="395A05D2" w14:textId="77777777" w:rsidR="00000000" w:rsidRDefault="00195E73">
            <w:pPr>
              <w:rPr>
                <w:rFonts w:eastAsia="Times New Roman"/>
                <w:sz w:val="20"/>
                <w:szCs w:val="20"/>
              </w:rPr>
            </w:pPr>
          </w:p>
        </w:tc>
        <w:tc>
          <w:tcPr>
            <w:tcW w:w="50" w:type="pct"/>
            <w:vAlign w:val="center"/>
            <w:hideMark/>
          </w:tcPr>
          <w:p w14:paraId="4D9E1A23" w14:textId="77777777" w:rsidR="00000000" w:rsidRDefault="00195E73">
            <w:pPr>
              <w:rPr>
                <w:rFonts w:eastAsia="Times New Roman"/>
                <w:sz w:val="20"/>
                <w:szCs w:val="20"/>
              </w:rPr>
            </w:pPr>
          </w:p>
        </w:tc>
        <w:tc>
          <w:tcPr>
            <w:tcW w:w="5" w:type="pct"/>
            <w:vAlign w:val="center"/>
            <w:hideMark/>
          </w:tcPr>
          <w:p w14:paraId="455D8A2E" w14:textId="77777777" w:rsidR="00000000" w:rsidRDefault="00195E73">
            <w:pPr>
              <w:rPr>
                <w:rFonts w:eastAsia="Times New Roman"/>
                <w:sz w:val="20"/>
                <w:szCs w:val="20"/>
              </w:rPr>
            </w:pPr>
          </w:p>
        </w:tc>
        <w:tc>
          <w:tcPr>
            <w:tcW w:w="19" w:type="pct"/>
            <w:vAlign w:val="center"/>
            <w:hideMark/>
          </w:tcPr>
          <w:p w14:paraId="308ADBE8" w14:textId="77777777" w:rsidR="00000000" w:rsidRDefault="00195E73">
            <w:pPr>
              <w:rPr>
                <w:rFonts w:eastAsia="Times New Roman"/>
                <w:sz w:val="20"/>
                <w:szCs w:val="20"/>
              </w:rPr>
            </w:pPr>
          </w:p>
        </w:tc>
        <w:tc>
          <w:tcPr>
            <w:tcW w:w="5" w:type="pct"/>
            <w:vAlign w:val="center"/>
            <w:hideMark/>
          </w:tcPr>
          <w:p w14:paraId="5A231AE9" w14:textId="77777777" w:rsidR="00000000" w:rsidRDefault="00195E73">
            <w:pPr>
              <w:rPr>
                <w:rFonts w:eastAsia="Times New Roman"/>
                <w:sz w:val="20"/>
                <w:szCs w:val="20"/>
              </w:rPr>
            </w:pPr>
          </w:p>
        </w:tc>
        <w:tc>
          <w:tcPr>
            <w:tcW w:w="50" w:type="pct"/>
            <w:vAlign w:val="center"/>
            <w:hideMark/>
          </w:tcPr>
          <w:p w14:paraId="0FCC4F5D" w14:textId="77777777" w:rsidR="00000000" w:rsidRDefault="00195E73">
            <w:pPr>
              <w:rPr>
                <w:rFonts w:eastAsia="Times New Roman"/>
                <w:sz w:val="20"/>
                <w:szCs w:val="20"/>
              </w:rPr>
            </w:pPr>
          </w:p>
        </w:tc>
        <w:tc>
          <w:tcPr>
            <w:tcW w:w="889" w:type="pct"/>
            <w:vAlign w:val="center"/>
            <w:hideMark/>
          </w:tcPr>
          <w:p w14:paraId="2C0D59C9" w14:textId="77777777" w:rsidR="00000000" w:rsidRDefault="00195E73">
            <w:pPr>
              <w:rPr>
                <w:rFonts w:eastAsia="Times New Roman"/>
                <w:sz w:val="20"/>
                <w:szCs w:val="20"/>
              </w:rPr>
            </w:pPr>
          </w:p>
        </w:tc>
        <w:tc>
          <w:tcPr>
            <w:tcW w:w="50" w:type="pct"/>
            <w:vAlign w:val="center"/>
            <w:hideMark/>
          </w:tcPr>
          <w:p w14:paraId="173A33F0" w14:textId="77777777" w:rsidR="00000000" w:rsidRDefault="00195E73">
            <w:pPr>
              <w:rPr>
                <w:rFonts w:eastAsia="Times New Roman"/>
                <w:sz w:val="20"/>
                <w:szCs w:val="20"/>
              </w:rPr>
            </w:pPr>
          </w:p>
        </w:tc>
        <w:tc>
          <w:tcPr>
            <w:tcW w:w="5" w:type="pct"/>
            <w:vAlign w:val="center"/>
            <w:hideMark/>
          </w:tcPr>
          <w:p w14:paraId="2EE72F58" w14:textId="77777777" w:rsidR="00000000" w:rsidRDefault="00195E73">
            <w:pPr>
              <w:rPr>
                <w:rFonts w:eastAsia="Times New Roman"/>
                <w:sz w:val="20"/>
                <w:szCs w:val="20"/>
              </w:rPr>
            </w:pPr>
          </w:p>
        </w:tc>
        <w:tc>
          <w:tcPr>
            <w:tcW w:w="19" w:type="pct"/>
            <w:vAlign w:val="center"/>
            <w:hideMark/>
          </w:tcPr>
          <w:p w14:paraId="760FFC70" w14:textId="77777777" w:rsidR="00000000" w:rsidRDefault="00195E73">
            <w:pPr>
              <w:rPr>
                <w:rFonts w:eastAsia="Times New Roman"/>
                <w:sz w:val="20"/>
                <w:szCs w:val="20"/>
              </w:rPr>
            </w:pPr>
          </w:p>
        </w:tc>
        <w:tc>
          <w:tcPr>
            <w:tcW w:w="5" w:type="pct"/>
            <w:vAlign w:val="center"/>
            <w:hideMark/>
          </w:tcPr>
          <w:p w14:paraId="5E543ABD" w14:textId="77777777" w:rsidR="00000000" w:rsidRDefault="00195E73">
            <w:pPr>
              <w:rPr>
                <w:rFonts w:eastAsia="Times New Roman"/>
                <w:sz w:val="20"/>
                <w:szCs w:val="20"/>
              </w:rPr>
            </w:pPr>
          </w:p>
        </w:tc>
        <w:tc>
          <w:tcPr>
            <w:tcW w:w="50" w:type="pct"/>
            <w:vAlign w:val="center"/>
            <w:hideMark/>
          </w:tcPr>
          <w:p w14:paraId="605E4DC8" w14:textId="77777777" w:rsidR="00000000" w:rsidRDefault="00195E73">
            <w:pPr>
              <w:rPr>
                <w:rFonts w:eastAsia="Times New Roman"/>
                <w:sz w:val="20"/>
                <w:szCs w:val="20"/>
              </w:rPr>
            </w:pPr>
          </w:p>
        </w:tc>
        <w:tc>
          <w:tcPr>
            <w:tcW w:w="889" w:type="pct"/>
            <w:vAlign w:val="center"/>
            <w:hideMark/>
          </w:tcPr>
          <w:p w14:paraId="1CDAEBCB" w14:textId="77777777" w:rsidR="00000000" w:rsidRDefault="00195E73">
            <w:pPr>
              <w:rPr>
                <w:rFonts w:eastAsia="Times New Roman"/>
                <w:sz w:val="20"/>
                <w:szCs w:val="20"/>
              </w:rPr>
            </w:pPr>
          </w:p>
        </w:tc>
        <w:tc>
          <w:tcPr>
            <w:tcW w:w="50" w:type="pct"/>
            <w:vAlign w:val="center"/>
            <w:hideMark/>
          </w:tcPr>
          <w:p w14:paraId="15948112" w14:textId="77777777" w:rsidR="00000000" w:rsidRDefault="00195E73">
            <w:pPr>
              <w:rPr>
                <w:rFonts w:eastAsia="Times New Roman"/>
                <w:sz w:val="20"/>
                <w:szCs w:val="20"/>
              </w:rPr>
            </w:pPr>
          </w:p>
        </w:tc>
      </w:tr>
      <w:tr w:rsidR="00000000" w14:paraId="00883DE8" w14:textId="77777777">
        <w:trPr>
          <w:divId w:val="2037072580"/>
        </w:trPr>
        <w:tc>
          <w:tcPr>
            <w:tcW w:w="0" w:type="auto"/>
            <w:gridSpan w:val="3"/>
            <w:tcMar>
              <w:top w:w="15" w:type="dxa"/>
              <w:left w:w="20" w:type="dxa"/>
              <w:bottom w:w="15" w:type="dxa"/>
              <w:right w:w="20" w:type="dxa"/>
            </w:tcMar>
            <w:vAlign w:val="bottom"/>
            <w:hideMark/>
          </w:tcPr>
          <w:p w14:paraId="1096747A"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76FF227E"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34DB2220" w14:textId="77777777" w:rsidR="00000000" w:rsidRDefault="00195E73">
            <w:pPr>
              <w:jc w:val="center"/>
              <w:rPr>
                <w:rFonts w:eastAsia="Times New Roman"/>
              </w:rPr>
            </w:pPr>
          </w:p>
        </w:tc>
        <w:tc>
          <w:tcPr>
            <w:tcW w:w="0" w:type="auto"/>
            <w:gridSpan w:val="3"/>
            <w:vAlign w:val="center"/>
            <w:hideMark/>
          </w:tcPr>
          <w:p w14:paraId="55B90442" w14:textId="77777777" w:rsidR="00000000" w:rsidRDefault="00195E73">
            <w:pPr>
              <w:rPr>
                <w:rFonts w:eastAsia="Times New Roman"/>
                <w:sz w:val="20"/>
                <w:szCs w:val="20"/>
              </w:rPr>
            </w:pPr>
          </w:p>
        </w:tc>
        <w:tc>
          <w:tcPr>
            <w:tcW w:w="0" w:type="auto"/>
            <w:gridSpan w:val="3"/>
            <w:vAlign w:val="center"/>
            <w:hideMark/>
          </w:tcPr>
          <w:p w14:paraId="35E541A0" w14:textId="77777777" w:rsidR="00000000" w:rsidRDefault="00195E73">
            <w:pPr>
              <w:rPr>
                <w:rFonts w:eastAsia="Times New Roman"/>
                <w:sz w:val="20"/>
                <w:szCs w:val="20"/>
              </w:rPr>
            </w:pPr>
          </w:p>
        </w:tc>
        <w:tc>
          <w:tcPr>
            <w:tcW w:w="0" w:type="auto"/>
            <w:gridSpan w:val="3"/>
            <w:vAlign w:val="center"/>
            <w:hideMark/>
          </w:tcPr>
          <w:p w14:paraId="37137550" w14:textId="77777777" w:rsidR="00000000" w:rsidRDefault="00195E73">
            <w:pPr>
              <w:rPr>
                <w:rFonts w:eastAsia="Times New Roman"/>
                <w:sz w:val="20"/>
                <w:szCs w:val="20"/>
              </w:rPr>
            </w:pPr>
          </w:p>
        </w:tc>
      </w:tr>
      <w:tr w:rsidR="00000000" w14:paraId="1DB28D4E" w14:textId="77777777">
        <w:trPr>
          <w:divId w:val="2037072580"/>
        </w:trPr>
        <w:tc>
          <w:tcPr>
            <w:tcW w:w="0" w:type="auto"/>
            <w:gridSpan w:val="3"/>
            <w:tcMar>
              <w:top w:w="15" w:type="dxa"/>
              <w:left w:w="20" w:type="dxa"/>
              <w:bottom w:w="15" w:type="dxa"/>
              <w:right w:w="20" w:type="dxa"/>
            </w:tcMar>
            <w:vAlign w:val="bottom"/>
            <w:hideMark/>
          </w:tcPr>
          <w:p w14:paraId="05BB9778"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8AE943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2C77C04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917246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57DC8EEF"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6448E8"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794DBD33" w14:textId="77777777" w:rsidR="00000000" w:rsidRDefault="00195E73">
            <w:pPr>
              <w:rPr>
                <w:rFonts w:eastAsia="Times New Roman"/>
                <w:sz w:val="20"/>
                <w:szCs w:val="20"/>
              </w:rPr>
            </w:pPr>
          </w:p>
        </w:tc>
        <w:tc>
          <w:tcPr>
            <w:tcW w:w="0" w:type="auto"/>
            <w:vAlign w:val="center"/>
            <w:hideMark/>
          </w:tcPr>
          <w:p w14:paraId="36605453" w14:textId="77777777" w:rsidR="00000000" w:rsidRDefault="00195E73">
            <w:pPr>
              <w:rPr>
                <w:rFonts w:eastAsia="Times New Roman"/>
                <w:sz w:val="20"/>
                <w:szCs w:val="20"/>
              </w:rPr>
            </w:pPr>
          </w:p>
        </w:tc>
        <w:tc>
          <w:tcPr>
            <w:tcW w:w="0" w:type="auto"/>
            <w:vAlign w:val="center"/>
            <w:hideMark/>
          </w:tcPr>
          <w:p w14:paraId="288FC54D" w14:textId="77777777" w:rsidR="00000000" w:rsidRDefault="00195E73">
            <w:pPr>
              <w:rPr>
                <w:rFonts w:eastAsia="Times New Roman"/>
                <w:sz w:val="20"/>
                <w:szCs w:val="20"/>
              </w:rPr>
            </w:pPr>
          </w:p>
        </w:tc>
        <w:tc>
          <w:tcPr>
            <w:tcW w:w="0" w:type="auto"/>
            <w:vAlign w:val="center"/>
            <w:hideMark/>
          </w:tcPr>
          <w:p w14:paraId="2E90E9F3" w14:textId="77777777" w:rsidR="00000000" w:rsidRDefault="00195E73">
            <w:pPr>
              <w:rPr>
                <w:rFonts w:eastAsia="Times New Roman"/>
                <w:sz w:val="20"/>
                <w:szCs w:val="20"/>
              </w:rPr>
            </w:pPr>
          </w:p>
        </w:tc>
        <w:tc>
          <w:tcPr>
            <w:tcW w:w="0" w:type="auto"/>
            <w:vAlign w:val="center"/>
            <w:hideMark/>
          </w:tcPr>
          <w:p w14:paraId="086BD3FE" w14:textId="77777777" w:rsidR="00000000" w:rsidRDefault="00195E73">
            <w:pPr>
              <w:rPr>
                <w:rFonts w:eastAsia="Times New Roman"/>
                <w:sz w:val="20"/>
                <w:szCs w:val="20"/>
              </w:rPr>
            </w:pPr>
          </w:p>
        </w:tc>
        <w:tc>
          <w:tcPr>
            <w:tcW w:w="0" w:type="auto"/>
            <w:vAlign w:val="center"/>
            <w:hideMark/>
          </w:tcPr>
          <w:p w14:paraId="2BB05A0B" w14:textId="77777777" w:rsidR="00000000" w:rsidRDefault="00195E73">
            <w:pPr>
              <w:rPr>
                <w:rFonts w:eastAsia="Times New Roman"/>
                <w:sz w:val="20"/>
                <w:szCs w:val="20"/>
              </w:rPr>
            </w:pPr>
          </w:p>
        </w:tc>
        <w:tc>
          <w:tcPr>
            <w:tcW w:w="0" w:type="auto"/>
            <w:vAlign w:val="center"/>
            <w:hideMark/>
          </w:tcPr>
          <w:p w14:paraId="277B1643" w14:textId="77777777" w:rsidR="00000000" w:rsidRDefault="00195E73">
            <w:pPr>
              <w:rPr>
                <w:rFonts w:eastAsia="Times New Roman"/>
                <w:sz w:val="20"/>
                <w:szCs w:val="20"/>
              </w:rPr>
            </w:pPr>
          </w:p>
        </w:tc>
        <w:tc>
          <w:tcPr>
            <w:tcW w:w="0" w:type="auto"/>
            <w:vAlign w:val="center"/>
            <w:hideMark/>
          </w:tcPr>
          <w:p w14:paraId="3811E002" w14:textId="77777777" w:rsidR="00000000" w:rsidRDefault="00195E73">
            <w:pPr>
              <w:rPr>
                <w:rFonts w:eastAsia="Times New Roman"/>
                <w:sz w:val="20"/>
                <w:szCs w:val="20"/>
              </w:rPr>
            </w:pPr>
          </w:p>
        </w:tc>
        <w:tc>
          <w:tcPr>
            <w:tcW w:w="0" w:type="auto"/>
            <w:vAlign w:val="center"/>
            <w:hideMark/>
          </w:tcPr>
          <w:p w14:paraId="20CB7423" w14:textId="77777777" w:rsidR="00000000" w:rsidRDefault="00195E73">
            <w:pPr>
              <w:rPr>
                <w:rFonts w:eastAsia="Times New Roman"/>
                <w:sz w:val="20"/>
                <w:szCs w:val="20"/>
              </w:rPr>
            </w:pPr>
          </w:p>
        </w:tc>
        <w:tc>
          <w:tcPr>
            <w:tcW w:w="0" w:type="auto"/>
            <w:vAlign w:val="center"/>
            <w:hideMark/>
          </w:tcPr>
          <w:p w14:paraId="38331A2A" w14:textId="77777777" w:rsidR="00000000" w:rsidRDefault="00195E73">
            <w:pPr>
              <w:rPr>
                <w:rFonts w:eastAsia="Times New Roman"/>
                <w:sz w:val="20"/>
                <w:szCs w:val="20"/>
              </w:rPr>
            </w:pPr>
          </w:p>
        </w:tc>
        <w:tc>
          <w:tcPr>
            <w:tcW w:w="0" w:type="auto"/>
            <w:vAlign w:val="center"/>
            <w:hideMark/>
          </w:tcPr>
          <w:p w14:paraId="1B7F809F" w14:textId="77777777" w:rsidR="00000000" w:rsidRDefault="00195E73">
            <w:pPr>
              <w:rPr>
                <w:rFonts w:eastAsia="Times New Roman"/>
                <w:sz w:val="20"/>
                <w:szCs w:val="20"/>
              </w:rPr>
            </w:pPr>
          </w:p>
        </w:tc>
        <w:tc>
          <w:tcPr>
            <w:tcW w:w="0" w:type="auto"/>
            <w:vAlign w:val="center"/>
            <w:hideMark/>
          </w:tcPr>
          <w:p w14:paraId="0576128E" w14:textId="77777777" w:rsidR="00000000" w:rsidRDefault="00195E73">
            <w:pPr>
              <w:rPr>
                <w:rFonts w:eastAsia="Times New Roman"/>
                <w:sz w:val="20"/>
                <w:szCs w:val="20"/>
              </w:rPr>
            </w:pPr>
          </w:p>
        </w:tc>
      </w:tr>
      <w:tr w:rsidR="00000000" w14:paraId="3FF9F5AA" w14:textId="77777777">
        <w:trPr>
          <w:divId w:val="2037072580"/>
        </w:trPr>
        <w:tc>
          <w:tcPr>
            <w:tcW w:w="0" w:type="auto"/>
            <w:gridSpan w:val="3"/>
            <w:tcMar>
              <w:top w:w="15" w:type="dxa"/>
              <w:left w:w="20" w:type="dxa"/>
              <w:bottom w:w="15" w:type="dxa"/>
              <w:right w:w="20" w:type="dxa"/>
            </w:tcMar>
            <w:vAlign w:val="bottom"/>
            <w:hideMark/>
          </w:tcPr>
          <w:p w14:paraId="65E3BA42"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C6D5668"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3998CB38" w14:textId="77777777" w:rsidR="00000000" w:rsidRDefault="00195E73">
            <w:pPr>
              <w:jc w:val="center"/>
              <w:rPr>
                <w:rFonts w:eastAsia="Times New Roman"/>
              </w:rPr>
            </w:pPr>
          </w:p>
        </w:tc>
        <w:tc>
          <w:tcPr>
            <w:tcW w:w="0" w:type="auto"/>
            <w:gridSpan w:val="3"/>
            <w:vAlign w:val="center"/>
            <w:hideMark/>
          </w:tcPr>
          <w:p w14:paraId="35B8EB80" w14:textId="77777777" w:rsidR="00000000" w:rsidRDefault="00195E73">
            <w:pPr>
              <w:rPr>
                <w:rFonts w:eastAsia="Times New Roman"/>
                <w:sz w:val="20"/>
                <w:szCs w:val="20"/>
              </w:rPr>
            </w:pPr>
          </w:p>
        </w:tc>
        <w:tc>
          <w:tcPr>
            <w:tcW w:w="0" w:type="auto"/>
            <w:gridSpan w:val="3"/>
            <w:vAlign w:val="center"/>
            <w:hideMark/>
          </w:tcPr>
          <w:p w14:paraId="122F6445" w14:textId="77777777" w:rsidR="00000000" w:rsidRDefault="00195E73">
            <w:pPr>
              <w:rPr>
                <w:rFonts w:eastAsia="Times New Roman"/>
                <w:sz w:val="20"/>
                <w:szCs w:val="20"/>
              </w:rPr>
            </w:pPr>
          </w:p>
        </w:tc>
        <w:tc>
          <w:tcPr>
            <w:tcW w:w="0" w:type="auto"/>
            <w:gridSpan w:val="3"/>
            <w:vAlign w:val="center"/>
            <w:hideMark/>
          </w:tcPr>
          <w:p w14:paraId="3F266B94" w14:textId="77777777" w:rsidR="00000000" w:rsidRDefault="00195E73">
            <w:pPr>
              <w:rPr>
                <w:rFonts w:eastAsia="Times New Roman"/>
                <w:sz w:val="20"/>
                <w:szCs w:val="20"/>
              </w:rPr>
            </w:pPr>
          </w:p>
        </w:tc>
      </w:tr>
      <w:tr w:rsidR="00000000" w14:paraId="0BF6BC62" w14:textId="77777777">
        <w:trPr>
          <w:divId w:val="2037072580"/>
        </w:trPr>
        <w:tc>
          <w:tcPr>
            <w:tcW w:w="0" w:type="auto"/>
            <w:gridSpan w:val="3"/>
            <w:shd w:val="clear" w:color="auto" w:fill="CCEEFF"/>
            <w:tcMar>
              <w:top w:w="30" w:type="dxa"/>
              <w:left w:w="20" w:type="dxa"/>
              <w:bottom w:w="30" w:type="dxa"/>
              <w:right w:w="20" w:type="dxa"/>
            </w:tcMar>
            <w:vAlign w:val="bottom"/>
            <w:hideMark/>
          </w:tcPr>
          <w:p w14:paraId="73525FFC" w14:textId="77777777" w:rsidR="00000000" w:rsidRDefault="00195E73">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14:paraId="3A392F9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EE3CD89" w14:textId="77777777" w:rsidR="00000000" w:rsidRDefault="00195E73">
            <w:pPr>
              <w:jc w:val="right"/>
              <w:rPr>
                <w:rFonts w:eastAsia="Times New Roman"/>
              </w:rPr>
            </w:pPr>
            <w:r>
              <w:rPr>
                <w:rFonts w:eastAsia="Times New Roman"/>
                <w:color w:val="000000"/>
                <w:sz w:val="20"/>
                <w:szCs w:val="20"/>
              </w:rPr>
              <w:t>4,877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450C926"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6A41A279"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7302FCD5" w14:textId="77777777" w:rsidR="00000000" w:rsidRDefault="00195E73">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54AA6167"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7678728" w14:textId="77777777" w:rsidR="00000000" w:rsidRDefault="00195E73">
            <w:pPr>
              <w:jc w:val="right"/>
              <w:rPr>
                <w:rFonts w:eastAsia="Times New Roman"/>
              </w:rPr>
            </w:pPr>
            <w:r>
              <w:rPr>
                <w:rFonts w:eastAsia="Times New Roman"/>
                <w:color w:val="000000"/>
                <w:sz w:val="20"/>
                <w:szCs w:val="20"/>
              </w:rPr>
              <w:t>4,892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9B8E219"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54C6A762"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64102D52" w14:textId="77777777" w:rsidR="00000000" w:rsidRDefault="00195E73">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5BA7910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672DAFC" w14:textId="77777777" w:rsidR="00000000" w:rsidRDefault="00195E73">
            <w:pPr>
              <w:jc w:val="right"/>
              <w:rPr>
                <w:rFonts w:eastAsia="Times New Roman"/>
              </w:rPr>
            </w:pPr>
            <w:r>
              <w:rPr>
                <w:rFonts w:eastAsia="Times New Roman"/>
                <w:color w:val="000000"/>
                <w:sz w:val="20"/>
                <w:szCs w:val="20"/>
              </w:rPr>
              <w:t>4,428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F47C68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F98A9E6" w14:textId="77777777" w:rsidR="00000000" w:rsidRDefault="00195E73">
            <w:pPr>
              <w:rPr>
                <w:rFonts w:eastAsia="Times New Roman"/>
                <w:sz w:val="20"/>
                <w:szCs w:val="20"/>
              </w:rPr>
            </w:pPr>
          </w:p>
        </w:tc>
        <w:tc>
          <w:tcPr>
            <w:tcW w:w="0" w:type="auto"/>
            <w:vAlign w:val="center"/>
            <w:hideMark/>
          </w:tcPr>
          <w:p w14:paraId="5EBAA981" w14:textId="77777777" w:rsidR="00000000" w:rsidRDefault="00195E73">
            <w:pPr>
              <w:rPr>
                <w:rFonts w:eastAsia="Times New Roman"/>
                <w:sz w:val="20"/>
                <w:szCs w:val="20"/>
              </w:rPr>
            </w:pPr>
          </w:p>
        </w:tc>
        <w:tc>
          <w:tcPr>
            <w:tcW w:w="0" w:type="auto"/>
            <w:vAlign w:val="center"/>
            <w:hideMark/>
          </w:tcPr>
          <w:p w14:paraId="3A05A89C" w14:textId="77777777" w:rsidR="00000000" w:rsidRDefault="00195E73">
            <w:pPr>
              <w:rPr>
                <w:rFonts w:eastAsia="Times New Roman"/>
                <w:sz w:val="20"/>
                <w:szCs w:val="20"/>
              </w:rPr>
            </w:pPr>
          </w:p>
        </w:tc>
        <w:tc>
          <w:tcPr>
            <w:tcW w:w="0" w:type="auto"/>
            <w:vAlign w:val="center"/>
            <w:hideMark/>
          </w:tcPr>
          <w:p w14:paraId="06222DFC" w14:textId="77777777" w:rsidR="00000000" w:rsidRDefault="00195E73">
            <w:pPr>
              <w:rPr>
                <w:rFonts w:eastAsia="Times New Roman"/>
                <w:sz w:val="20"/>
                <w:szCs w:val="20"/>
              </w:rPr>
            </w:pPr>
          </w:p>
        </w:tc>
        <w:tc>
          <w:tcPr>
            <w:tcW w:w="0" w:type="auto"/>
            <w:vAlign w:val="center"/>
            <w:hideMark/>
          </w:tcPr>
          <w:p w14:paraId="684AD0B2" w14:textId="77777777" w:rsidR="00000000" w:rsidRDefault="00195E73">
            <w:pPr>
              <w:rPr>
                <w:rFonts w:eastAsia="Times New Roman"/>
                <w:sz w:val="20"/>
                <w:szCs w:val="20"/>
              </w:rPr>
            </w:pPr>
          </w:p>
        </w:tc>
        <w:tc>
          <w:tcPr>
            <w:tcW w:w="0" w:type="auto"/>
            <w:vAlign w:val="center"/>
            <w:hideMark/>
          </w:tcPr>
          <w:p w14:paraId="193526B1" w14:textId="77777777" w:rsidR="00000000" w:rsidRDefault="00195E73">
            <w:pPr>
              <w:rPr>
                <w:rFonts w:eastAsia="Times New Roman"/>
                <w:sz w:val="20"/>
                <w:szCs w:val="20"/>
              </w:rPr>
            </w:pPr>
          </w:p>
        </w:tc>
        <w:tc>
          <w:tcPr>
            <w:tcW w:w="0" w:type="auto"/>
            <w:vAlign w:val="center"/>
            <w:hideMark/>
          </w:tcPr>
          <w:p w14:paraId="271A089A" w14:textId="77777777" w:rsidR="00000000" w:rsidRDefault="00195E73">
            <w:pPr>
              <w:rPr>
                <w:rFonts w:eastAsia="Times New Roman"/>
                <w:sz w:val="20"/>
                <w:szCs w:val="20"/>
              </w:rPr>
            </w:pPr>
          </w:p>
        </w:tc>
        <w:tc>
          <w:tcPr>
            <w:tcW w:w="0" w:type="auto"/>
            <w:vAlign w:val="center"/>
            <w:hideMark/>
          </w:tcPr>
          <w:p w14:paraId="2CC8CD8B" w14:textId="77777777" w:rsidR="00000000" w:rsidRDefault="00195E73">
            <w:pPr>
              <w:rPr>
                <w:rFonts w:eastAsia="Times New Roman"/>
                <w:sz w:val="20"/>
                <w:szCs w:val="20"/>
              </w:rPr>
            </w:pPr>
          </w:p>
        </w:tc>
        <w:tc>
          <w:tcPr>
            <w:tcW w:w="0" w:type="auto"/>
            <w:vAlign w:val="center"/>
            <w:hideMark/>
          </w:tcPr>
          <w:p w14:paraId="2E821FEB" w14:textId="77777777" w:rsidR="00000000" w:rsidRDefault="00195E73">
            <w:pPr>
              <w:rPr>
                <w:rFonts w:eastAsia="Times New Roman"/>
                <w:sz w:val="20"/>
                <w:szCs w:val="20"/>
              </w:rPr>
            </w:pPr>
          </w:p>
        </w:tc>
        <w:tc>
          <w:tcPr>
            <w:tcW w:w="0" w:type="auto"/>
            <w:vAlign w:val="center"/>
            <w:hideMark/>
          </w:tcPr>
          <w:p w14:paraId="510F4CB7" w14:textId="77777777" w:rsidR="00000000" w:rsidRDefault="00195E73">
            <w:pPr>
              <w:rPr>
                <w:rFonts w:eastAsia="Times New Roman"/>
                <w:sz w:val="20"/>
                <w:szCs w:val="20"/>
              </w:rPr>
            </w:pPr>
          </w:p>
        </w:tc>
        <w:tc>
          <w:tcPr>
            <w:tcW w:w="0" w:type="auto"/>
            <w:vAlign w:val="center"/>
            <w:hideMark/>
          </w:tcPr>
          <w:p w14:paraId="52FEFA39" w14:textId="77777777" w:rsidR="00000000" w:rsidRDefault="00195E73">
            <w:pPr>
              <w:rPr>
                <w:rFonts w:eastAsia="Times New Roman"/>
                <w:sz w:val="20"/>
                <w:szCs w:val="20"/>
              </w:rPr>
            </w:pPr>
          </w:p>
        </w:tc>
        <w:tc>
          <w:tcPr>
            <w:tcW w:w="0" w:type="auto"/>
            <w:vAlign w:val="center"/>
            <w:hideMark/>
          </w:tcPr>
          <w:p w14:paraId="1AD22C35" w14:textId="77777777" w:rsidR="00000000" w:rsidRDefault="00195E73">
            <w:pPr>
              <w:rPr>
                <w:rFonts w:eastAsia="Times New Roman"/>
                <w:sz w:val="20"/>
                <w:szCs w:val="20"/>
              </w:rPr>
            </w:pPr>
          </w:p>
        </w:tc>
      </w:tr>
      <w:tr w:rsidR="00000000" w14:paraId="559A626A" w14:textId="77777777">
        <w:trPr>
          <w:divId w:val="2037072580"/>
        </w:trPr>
        <w:tc>
          <w:tcPr>
            <w:tcW w:w="0" w:type="auto"/>
            <w:gridSpan w:val="3"/>
            <w:shd w:val="clear" w:color="auto" w:fill="FFFFFF"/>
            <w:tcMar>
              <w:top w:w="30" w:type="dxa"/>
              <w:left w:w="20" w:type="dxa"/>
              <w:bottom w:w="30" w:type="dxa"/>
              <w:right w:w="20" w:type="dxa"/>
            </w:tcMar>
            <w:vAlign w:val="bottom"/>
            <w:hideMark/>
          </w:tcPr>
          <w:p w14:paraId="13A5A7E3" w14:textId="77777777" w:rsidR="00000000" w:rsidRDefault="00195E73">
            <w:pPr>
              <w:rPr>
                <w:rFonts w:eastAsia="Times New Roman"/>
              </w:rPr>
            </w:pPr>
            <w:r>
              <w:rPr>
                <w:rFonts w:eastAsia="Times New Roman"/>
                <w:color w:val="000000"/>
                <w:sz w:val="20"/>
                <w:szCs w:val="20"/>
              </w:rPr>
              <w:t>Net income attributable to shareholder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526705A" w14:textId="77777777" w:rsidR="00000000" w:rsidRDefault="00195E73">
            <w:pPr>
              <w:jc w:val="right"/>
              <w:rPr>
                <w:rFonts w:eastAsia="Times New Roman"/>
              </w:rPr>
            </w:pPr>
            <w:r>
              <w:rPr>
                <w:rFonts w:eastAsia="Times New Roman"/>
                <w:color w:val="000000"/>
                <w:sz w:val="20"/>
                <w:szCs w:val="20"/>
              </w:rPr>
              <w:t>311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EB11213"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2A0F3387"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2438869B"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90A381" w14:textId="77777777" w:rsidR="00000000" w:rsidRDefault="00195E73">
            <w:pPr>
              <w:jc w:val="right"/>
              <w:rPr>
                <w:rFonts w:eastAsia="Times New Roman"/>
              </w:rPr>
            </w:pPr>
            <w:r>
              <w:rPr>
                <w:rFonts w:eastAsia="Times New Roman"/>
                <w:color w:val="000000"/>
                <w:sz w:val="20"/>
                <w:szCs w:val="20"/>
              </w:rPr>
              <w:t>297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DD525E"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2FADDD6E"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3C149369"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6803CC" w14:textId="77777777" w:rsidR="00000000" w:rsidRDefault="00195E73">
            <w:pPr>
              <w:jc w:val="right"/>
              <w:rPr>
                <w:rFonts w:eastAsia="Times New Roman"/>
              </w:rPr>
            </w:pPr>
            <w:r>
              <w:rPr>
                <w:rFonts w:eastAsia="Times New Roman"/>
                <w:color w:val="000000"/>
                <w:sz w:val="20"/>
                <w:szCs w:val="20"/>
              </w:rPr>
              <w:t>214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D66B57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84BDEDC" w14:textId="77777777" w:rsidR="00000000" w:rsidRDefault="00195E73">
            <w:pPr>
              <w:rPr>
                <w:rFonts w:eastAsia="Times New Roman"/>
                <w:sz w:val="20"/>
                <w:szCs w:val="20"/>
              </w:rPr>
            </w:pPr>
          </w:p>
        </w:tc>
        <w:tc>
          <w:tcPr>
            <w:tcW w:w="0" w:type="auto"/>
            <w:vAlign w:val="center"/>
            <w:hideMark/>
          </w:tcPr>
          <w:p w14:paraId="01B16ED9" w14:textId="77777777" w:rsidR="00000000" w:rsidRDefault="00195E73">
            <w:pPr>
              <w:rPr>
                <w:rFonts w:eastAsia="Times New Roman"/>
                <w:sz w:val="20"/>
                <w:szCs w:val="20"/>
              </w:rPr>
            </w:pPr>
          </w:p>
        </w:tc>
        <w:tc>
          <w:tcPr>
            <w:tcW w:w="0" w:type="auto"/>
            <w:vAlign w:val="center"/>
            <w:hideMark/>
          </w:tcPr>
          <w:p w14:paraId="0EF634E8" w14:textId="77777777" w:rsidR="00000000" w:rsidRDefault="00195E73">
            <w:pPr>
              <w:rPr>
                <w:rFonts w:eastAsia="Times New Roman"/>
                <w:sz w:val="20"/>
                <w:szCs w:val="20"/>
              </w:rPr>
            </w:pPr>
          </w:p>
        </w:tc>
        <w:tc>
          <w:tcPr>
            <w:tcW w:w="0" w:type="auto"/>
            <w:vAlign w:val="center"/>
            <w:hideMark/>
          </w:tcPr>
          <w:p w14:paraId="165852FF" w14:textId="77777777" w:rsidR="00000000" w:rsidRDefault="00195E73">
            <w:pPr>
              <w:rPr>
                <w:rFonts w:eastAsia="Times New Roman"/>
                <w:sz w:val="20"/>
                <w:szCs w:val="20"/>
              </w:rPr>
            </w:pPr>
          </w:p>
        </w:tc>
        <w:tc>
          <w:tcPr>
            <w:tcW w:w="0" w:type="auto"/>
            <w:vAlign w:val="center"/>
            <w:hideMark/>
          </w:tcPr>
          <w:p w14:paraId="5574B948" w14:textId="77777777" w:rsidR="00000000" w:rsidRDefault="00195E73">
            <w:pPr>
              <w:rPr>
                <w:rFonts w:eastAsia="Times New Roman"/>
                <w:sz w:val="20"/>
                <w:szCs w:val="20"/>
              </w:rPr>
            </w:pPr>
          </w:p>
        </w:tc>
        <w:tc>
          <w:tcPr>
            <w:tcW w:w="0" w:type="auto"/>
            <w:vAlign w:val="center"/>
            <w:hideMark/>
          </w:tcPr>
          <w:p w14:paraId="79F4E548" w14:textId="77777777" w:rsidR="00000000" w:rsidRDefault="00195E73">
            <w:pPr>
              <w:rPr>
                <w:rFonts w:eastAsia="Times New Roman"/>
                <w:sz w:val="20"/>
                <w:szCs w:val="20"/>
              </w:rPr>
            </w:pPr>
          </w:p>
        </w:tc>
        <w:tc>
          <w:tcPr>
            <w:tcW w:w="0" w:type="auto"/>
            <w:vAlign w:val="center"/>
            <w:hideMark/>
          </w:tcPr>
          <w:p w14:paraId="430CEB19" w14:textId="77777777" w:rsidR="00000000" w:rsidRDefault="00195E73">
            <w:pPr>
              <w:rPr>
                <w:rFonts w:eastAsia="Times New Roman"/>
                <w:sz w:val="20"/>
                <w:szCs w:val="20"/>
              </w:rPr>
            </w:pPr>
          </w:p>
        </w:tc>
        <w:tc>
          <w:tcPr>
            <w:tcW w:w="0" w:type="auto"/>
            <w:vAlign w:val="center"/>
            <w:hideMark/>
          </w:tcPr>
          <w:p w14:paraId="61A4064E" w14:textId="77777777" w:rsidR="00000000" w:rsidRDefault="00195E73">
            <w:pPr>
              <w:rPr>
                <w:rFonts w:eastAsia="Times New Roman"/>
                <w:sz w:val="20"/>
                <w:szCs w:val="20"/>
              </w:rPr>
            </w:pPr>
          </w:p>
        </w:tc>
        <w:tc>
          <w:tcPr>
            <w:tcW w:w="0" w:type="auto"/>
            <w:vAlign w:val="center"/>
            <w:hideMark/>
          </w:tcPr>
          <w:p w14:paraId="6C92D193" w14:textId="77777777" w:rsidR="00000000" w:rsidRDefault="00195E73">
            <w:pPr>
              <w:rPr>
                <w:rFonts w:eastAsia="Times New Roman"/>
                <w:sz w:val="20"/>
                <w:szCs w:val="20"/>
              </w:rPr>
            </w:pPr>
          </w:p>
        </w:tc>
        <w:tc>
          <w:tcPr>
            <w:tcW w:w="0" w:type="auto"/>
            <w:vAlign w:val="center"/>
            <w:hideMark/>
          </w:tcPr>
          <w:p w14:paraId="577EDC2D" w14:textId="77777777" w:rsidR="00000000" w:rsidRDefault="00195E73">
            <w:pPr>
              <w:rPr>
                <w:rFonts w:eastAsia="Times New Roman"/>
                <w:sz w:val="20"/>
                <w:szCs w:val="20"/>
              </w:rPr>
            </w:pPr>
          </w:p>
        </w:tc>
        <w:tc>
          <w:tcPr>
            <w:tcW w:w="0" w:type="auto"/>
            <w:vAlign w:val="center"/>
            <w:hideMark/>
          </w:tcPr>
          <w:p w14:paraId="38D19A37" w14:textId="77777777" w:rsidR="00000000" w:rsidRDefault="00195E73">
            <w:pPr>
              <w:rPr>
                <w:rFonts w:eastAsia="Times New Roman"/>
                <w:sz w:val="20"/>
                <w:szCs w:val="20"/>
              </w:rPr>
            </w:pPr>
          </w:p>
        </w:tc>
        <w:tc>
          <w:tcPr>
            <w:tcW w:w="0" w:type="auto"/>
            <w:vAlign w:val="center"/>
            <w:hideMark/>
          </w:tcPr>
          <w:p w14:paraId="5C161116" w14:textId="77777777" w:rsidR="00000000" w:rsidRDefault="00195E73">
            <w:pPr>
              <w:rPr>
                <w:rFonts w:eastAsia="Times New Roman"/>
                <w:sz w:val="20"/>
                <w:szCs w:val="20"/>
              </w:rPr>
            </w:pPr>
          </w:p>
        </w:tc>
      </w:tr>
    </w:tbl>
    <w:p w14:paraId="1EBE6C27" w14:textId="77777777" w:rsidR="00000000" w:rsidRDefault="00195E73">
      <w:pPr>
        <w:divId w:val="1948005542"/>
        <w:rPr>
          <w:rFonts w:eastAsia="Times New Roman"/>
        </w:rPr>
      </w:pPr>
    </w:p>
    <w:p w14:paraId="0A47E060" w14:textId="77777777" w:rsidR="00000000" w:rsidRDefault="00195E73">
      <w:pPr>
        <w:divId w:val="1561867217"/>
        <w:rPr>
          <w:rFonts w:eastAsia="Times New Roman"/>
        </w:rPr>
      </w:pPr>
      <w:r>
        <w:rPr>
          <w:rFonts w:eastAsia="Times New Roman"/>
          <w:i/>
          <w:iCs/>
          <w:color w:val="000000"/>
          <w:sz w:val="20"/>
          <w:szCs w:val="20"/>
        </w:rPr>
        <w:t>Hertz Global Holdings, Inc</w:t>
      </w:r>
      <w:r>
        <w:rPr>
          <w:rFonts w:eastAsia="Times New Roman"/>
          <w:i/>
          <w:iCs/>
          <w:color w:val="000000"/>
          <w:sz w:val="20"/>
          <w:szCs w:val="20"/>
        </w:rPr>
        <w:t>.</w:t>
      </w:r>
    </w:p>
    <w:tbl>
      <w:tblPr>
        <w:tblW w:w="4912" w:type="pct"/>
        <w:tblCellMar>
          <w:top w:w="15" w:type="dxa"/>
          <w:left w:w="15" w:type="dxa"/>
          <w:bottom w:w="15" w:type="dxa"/>
          <w:right w:w="15" w:type="dxa"/>
        </w:tblCellMar>
        <w:tblLook w:val="04A0" w:firstRow="1" w:lastRow="0" w:firstColumn="1" w:lastColumn="0" w:noHBand="0" w:noVBand="1"/>
      </w:tblPr>
      <w:tblGrid>
        <w:gridCol w:w="42"/>
        <w:gridCol w:w="4559"/>
        <w:gridCol w:w="43"/>
        <w:gridCol w:w="135"/>
        <w:gridCol w:w="1376"/>
        <w:gridCol w:w="85"/>
        <w:gridCol w:w="36"/>
        <w:gridCol w:w="36"/>
        <w:gridCol w:w="36"/>
        <w:gridCol w:w="135"/>
        <w:gridCol w:w="1376"/>
        <w:gridCol w:w="85"/>
        <w:gridCol w:w="36"/>
        <w:gridCol w:w="36"/>
        <w:gridCol w:w="36"/>
        <w:gridCol w:w="36"/>
        <w:gridCol w:w="36"/>
        <w:gridCol w:w="36"/>
      </w:tblGrid>
      <w:tr w:rsidR="00000000" w14:paraId="639A9870" w14:textId="77777777">
        <w:trPr>
          <w:gridAfter w:val="6"/>
          <w:divId w:val="984357330"/>
        </w:trPr>
        <w:tc>
          <w:tcPr>
            <w:tcW w:w="50" w:type="pct"/>
            <w:vAlign w:val="center"/>
            <w:hideMark/>
          </w:tcPr>
          <w:p w14:paraId="02776BF1" w14:textId="77777777" w:rsidR="00000000" w:rsidRDefault="00195E73">
            <w:pPr>
              <w:rPr>
                <w:rFonts w:eastAsia="Times New Roman"/>
              </w:rPr>
            </w:pPr>
          </w:p>
        </w:tc>
        <w:tc>
          <w:tcPr>
            <w:tcW w:w="2891" w:type="pct"/>
            <w:vAlign w:val="center"/>
            <w:hideMark/>
          </w:tcPr>
          <w:p w14:paraId="3A749E58" w14:textId="77777777" w:rsidR="00000000" w:rsidRDefault="00195E73">
            <w:pPr>
              <w:rPr>
                <w:rFonts w:eastAsia="Times New Roman"/>
                <w:sz w:val="20"/>
                <w:szCs w:val="20"/>
              </w:rPr>
            </w:pPr>
          </w:p>
        </w:tc>
        <w:tc>
          <w:tcPr>
            <w:tcW w:w="50" w:type="pct"/>
            <w:vAlign w:val="center"/>
            <w:hideMark/>
          </w:tcPr>
          <w:p w14:paraId="26EB6CBD" w14:textId="77777777" w:rsidR="00000000" w:rsidRDefault="00195E73">
            <w:pPr>
              <w:rPr>
                <w:rFonts w:eastAsia="Times New Roman"/>
                <w:sz w:val="20"/>
                <w:szCs w:val="20"/>
              </w:rPr>
            </w:pPr>
          </w:p>
        </w:tc>
        <w:tc>
          <w:tcPr>
            <w:tcW w:w="50" w:type="pct"/>
            <w:vAlign w:val="center"/>
            <w:hideMark/>
          </w:tcPr>
          <w:p w14:paraId="30B7662D" w14:textId="77777777" w:rsidR="00000000" w:rsidRDefault="00195E73">
            <w:pPr>
              <w:rPr>
                <w:rFonts w:eastAsia="Times New Roman"/>
                <w:sz w:val="20"/>
                <w:szCs w:val="20"/>
              </w:rPr>
            </w:pPr>
          </w:p>
        </w:tc>
        <w:tc>
          <w:tcPr>
            <w:tcW w:w="889" w:type="pct"/>
            <w:vAlign w:val="center"/>
            <w:hideMark/>
          </w:tcPr>
          <w:p w14:paraId="06D7AC2F" w14:textId="77777777" w:rsidR="00000000" w:rsidRDefault="00195E73">
            <w:pPr>
              <w:rPr>
                <w:rFonts w:eastAsia="Times New Roman"/>
                <w:sz w:val="20"/>
                <w:szCs w:val="20"/>
              </w:rPr>
            </w:pPr>
          </w:p>
        </w:tc>
        <w:tc>
          <w:tcPr>
            <w:tcW w:w="50" w:type="pct"/>
            <w:vAlign w:val="center"/>
            <w:hideMark/>
          </w:tcPr>
          <w:p w14:paraId="1AF546C4" w14:textId="77777777" w:rsidR="00000000" w:rsidRDefault="00195E73">
            <w:pPr>
              <w:rPr>
                <w:rFonts w:eastAsia="Times New Roman"/>
                <w:sz w:val="20"/>
                <w:szCs w:val="20"/>
              </w:rPr>
            </w:pPr>
          </w:p>
        </w:tc>
        <w:tc>
          <w:tcPr>
            <w:tcW w:w="5" w:type="pct"/>
            <w:vAlign w:val="center"/>
            <w:hideMark/>
          </w:tcPr>
          <w:p w14:paraId="4EA88FD0" w14:textId="77777777" w:rsidR="00000000" w:rsidRDefault="00195E73">
            <w:pPr>
              <w:rPr>
                <w:rFonts w:eastAsia="Times New Roman"/>
                <w:sz w:val="20"/>
                <w:szCs w:val="20"/>
              </w:rPr>
            </w:pPr>
          </w:p>
        </w:tc>
        <w:tc>
          <w:tcPr>
            <w:tcW w:w="19" w:type="pct"/>
            <w:vAlign w:val="center"/>
            <w:hideMark/>
          </w:tcPr>
          <w:p w14:paraId="33A20AC3" w14:textId="77777777" w:rsidR="00000000" w:rsidRDefault="00195E73">
            <w:pPr>
              <w:rPr>
                <w:rFonts w:eastAsia="Times New Roman"/>
                <w:sz w:val="20"/>
                <w:szCs w:val="20"/>
              </w:rPr>
            </w:pPr>
          </w:p>
        </w:tc>
        <w:tc>
          <w:tcPr>
            <w:tcW w:w="5" w:type="pct"/>
            <w:vAlign w:val="center"/>
            <w:hideMark/>
          </w:tcPr>
          <w:p w14:paraId="6A839967" w14:textId="77777777" w:rsidR="00000000" w:rsidRDefault="00195E73">
            <w:pPr>
              <w:rPr>
                <w:rFonts w:eastAsia="Times New Roman"/>
                <w:sz w:val="20"/>
                <w:szCs w:val="20"/>
              </w:rPr>
            </w:pPr>
          </w:p>
        </w:tc>
        <w:tc>
          <w:tcPr>
            <w:tcW w:w="50" w:type="pct"/>
            <w:vAlign w:val="center"/>
            <w:hideMark/>
          </w:tcPr>
          <w:p w14:paraId="55A0F7F5" w14:textId="77777777" w:rsidR="00000000" w:rsidRDefault="00195E73">
            <w:pPr>
              <w:rPr>
                <w:rFonts w:eastAsia="Times New Roman"/>
                <w:sz w:val="20"/>
                <w:szCs w:val="20"/>
              </w:rPr>
            </w:pPr>
          </w:p>
        </w:tc>
        <w:tc>
          <w:tcPr>
            <w:tcW w:w="889" w:type="pct"/>
            <w:vAlign w:val="center"/>
            <w:hideMark/>
          </w:tcPr>
          <w:p w14:paraId="1B554F4B" w14:textId="77777777" w:rsidR="00000000" w:rsidRDefault="00195E73">
            <w:pPr>
              <w:rPr>
                <w:rFonts w:eastAsia="Times New Roman"/>
                <w:sz w:val="20"/>
                <w:szCs w:val="20"/>
              </w:rPr>
            </w:pPr>
          </w:p>
        </w:tc>
        <w:tc>
          <w:tcPr>
            <w:tcW w:w="50" w:type="pct"/>
            <w:vAlign w:val="center"/>
            <w:hideMark/>
          </w:tcPr>
          <w:p w14:paraId="32CFA931" w14:textId="77777777" w:rsidR="00000000" w:rsidRDefault="00195E73">
            <w:pPr>
              <w:rPr>
                <w:rFonts w:eastAsia="Times New Roman"/>
                <w:sz w:val="20"/>
                <w:szCs w:val="20"/>
              </w:rPr>
            </w:pPr>
          </w:p>
        </w:tc>
      </w:tr>
      <w:tr w:rsidR="00000000" w14:paraId="6B282096" w14:textId="77777777">
        <w:trPr>
          <w:divId w:val="984357330"/>
        </w:trPr>
        <w:tc>
          <w:tcPr>
            <w:tcW w:w="0" w:type="auto"/>
            <w:gridSpan w:val="3"/>
            <w:tcMar>
              <w:top w:w="15" w:type="dxa"/>
              <w:left w:w="20" w:type="dxa"/>
              <w:bottom w:w="15" w:type="dxa"/>
              <w:right w:w="20" w:type="dxa"/>
            </w:tcMar>
            <w:vAlign w:val="bottom"/>
            <w:hideMark/>
          </w:tcPr>
          <w:p w14:paraId="3CD6E026"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1A61D505"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3635D1AC" w14:textId="77777777" w:rsidR="00000000" w:rsidRDefault="00195E73">
            <w:pPr>
              <w:jc w:val="center"/>
              <w:rPr>
                <w:rFonts w:eastAsia="Times New Roman"/>
              </w:rPr>
            </w:pPr>
          </w:p>
        </w:tc>
        <w:tc>
          <w:tcPr>
            <w:tcW w:w="0" w:type="auto"/>
            <w:gridSpan w:val="3"/>
            <w:vAlign w:val="center"/>
            <w:hideMark/>
          </w:tcPr>
          <w:p w14:paraId="49B97772" w14:textId="77777777" w:rsidR="00000000" w:rsidRDefault="00195E73">
            <w:pPr>
              <w:rPr>
                <w:rFonts w:eastAsia="Times New Roman"/>
                <w:sz w:val="20"/>
                <w:szCs w:val="20"/>
              </w:rPr>
            </w:pPr>
          </w:p>
        </w:tc>
      </w:tr>
      <w:tr w:rsidR="00000000" w14:paraId="2C8C2A18" w14:textId="77777777">
        <w:trPr>
          <w:divId w:val="984357330"/>
        </w:trPr>
        <w:tc>
          <w:tcPr>
            <w:tcW w:w="0" w:type="auto"/>
            <w:gridSpan w:val="3"/>
            <w:tcMar>
              <w:top w:w="15" w:type="dxa"/>
              <w:left w:w="20" w:type="dxa"/>
              <w:bottom w:w="15" w:type="dxa"/>
              <w:right w:w="20" w:type="dxa"/>
            </w:tcMar>
            <w:vAlign w:val="bottom"/>
            <w:hideMark/>
          </w:tcPr>
          <w:p w14:paraId="7D7701F7"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9935B16"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051A4CAA"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CFBB7EC"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3FCBD258" w14:textId="77777777" w:rsidR="00000000" w:rsidRDefault="00195E73">
            <w:pPr>
              <w:rPr>
                <w:rFonts w:eastAsia="Times New Roman"/>
                <w:sz w:val="20"/>
                <w:szCs w:val="20"/>
              </w:rPr>
            </w:pPr>
          </w:p>
        </w:tc>
        <w:tc>
          <w:tcPr>
            <w:tcW w:w="0" w:type="auto"/>
            <w:vAlign w:val="center"/>
            <w:hideMark/>
          </w:tcPr>
          <w:p w14:paraId="09514C3E" w14:textId="77777777" w:rsidR="00000000" w:rsidRDefault="00195E73">
            <w:pPr>
              <w:rPr>
                <w:rFonts w:eastAsia="Times New Roman"/>
                <w:sz w:val="20"/>
                <w:szCs w:val="20"/>
              </w:rPr>
            </w:pPr>
          </w:p>
        </w:tc>
        <w:tc>
          <w:tcPr>
            <w:tcW w:w="0" w:type="auto"/>
            <w:vAlign w:val="center"/>
            <w:hideMark/>
          </w:tcPr>
          <w:p w14:paraId="0EE6AAF0" w14:textId="77777777" w:rsidR="00000000" w:rsidRDefault="00195E73">
            <w:pPr>
              <w:rPr>
                <w:rFonts w:eastAsia="Times New Roman"/>
                <w:sz w:val="20"/>
                <w:szCs w:val="20"/>
              </w:rPr>
            </w:pPr>
          </w:p>
        </w:tc>
        <w:tc>
          <w:tcPr>
            <w:tcW w:w="0" w:type="auto"/>
            <w:vAlign w:val="center"/>
            <w:hideMark/>
          </w:tcPr>
          <w:p w14:paraId="42386672" w14:textId="77777777" w:rsidR="00000000" w:rsidRDefault="00195E73">
            <w:pPr>
              <w:rPr>
                <w:rFonts w:eastAsia="Times New Roman"/>
                <w:sz w:val="20"/>
                <w:szCs w:val="20"/>
              </w:rPr>
            </w:pPr>
          </w:p>
        </w:tc>
        <w:tc>
          <w:tcPr>
            <w:tcW w:w="0" w:type="auto"/>
            <w:vAlign w:val="center"/>
            <w:hideMark/>
          </w:tcPr>
          <w:p w14:paraId="08BEF22B" w14:textId="77777777" w:rsidR="00000000" w:rsidRDefault="00195E73">
            <w:pPr>
              <w:rPr>
                <w:rFonts w:eastAsia="Times New Roman"/>
                <w:sz w:val="20"/>
                <w:szCs w:val="20"/>
              </w:rPr>
            </w:pPr>
          </w:p>
        </w:tc>
        <w:tc>
          <w:tcPr>
            <w:tcW w:w="0" w:type="auto"/>
            <w:vAlign w:val="center"/>
            <w:hideMark/>
          </w:tcPr>
          <w:p w14:paraId="205D0B6D" w14:textId="77777777" w:rsidR="00000000" w:rsidRDefault="00195E73">
            <w:pPr>
              <w:rPr>
                <w:rFonts w:eastAsia="Times New Roman"/>
                <w:sz w:val="20"/>
                <w:szCs w:val="20"/>
              </w:rPr>
            </w:pPr>
          </w:p>
        </w:tc>
      </w:tr>
      <w:tr w:rsidR="00000000" w14:paraId="26320A1F" w14:textId="77777777">
        <w:trPr>
          <w:divId w:val="984357330"/>
        </w:trPr>
        <w:tc>
          <w:tcPr>
            <w:tcW w:w="0" w:type="auto"/>
            <w:gridSpan w:val="3"/>
            <w:tcMar>
              <w:top w:w="15" w:type="dxa"/>
              <w:left w:w="20" w:type="dxa"/>
              <w:bottom w:w="15" w:type="dxa"/>
              <w:right w:w="20" w:type="dxa"/>
            </w:tcMar>
            <w:vAlign w:val="bottom"/>
            <w:hideMark/>
          </w:tcPr>
          <w:p w14:paraId="183797DD"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7C9B528"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00377808" w14:textId="77777777" w:rsidR="00000000" w:rsidRDefault="00195E73">
            <w:pPr>
              <w:jc w:val="center"/>
              <w:rPr>
                <w:rFonts w:eastAsia="Times New Roman"/>
              </w:rPr>
            </w:pPr>
          </w:p>
        </w:tc>
        <w:tc>
          <w:tcPr>
            <w:tcW w:w="0" w:type="auto"/>
            <w:gridSpan w:val="3"/>
            <w:vAlign w:val="center"/>
            <w:hideMark/>
          </w:tcPr>
          <w:p w14:paraId="6B047CBB" w14:textId="77777777" w:rsidR="00000000" w:rsidRDefault="00195E73">
            <w:pPr>
              <w:rPr>
                <w:rFonts w:eastAsia="Times New Roman"/>
                <w:sz w:val="20"/>
                <w:szCs w:val="20"/>
              </w:rPr>
            </w:pPr>
          </w:p>
        </w:tc>
      </w:tr>
      <w:tr w:rsidR="00000000" w14:paraId="2D99D041" w14:textId="77777777">
        <w:trPr>
          <w:divId w:val="984357330"/>
        </w:trPr>
        <w:tc>
          <w:tcPr>
            <w:tcW w:w="0" w:type="auto"/>
            <w:gridSpan w:val="3"/>
            <w:shd w:val="clear" w:color="auto" w:fill="CCEEFF"/>
            <w:tcMar>
              <w:top w:w="30" w:type="dxa"/>
              <w:left w:w="20" w:type="dxa"/>
              <w:bottom w:w="30" w:type="dxa"/>
              <w:right w:w="20" w:type="dxa"/>
            </w:tcMar>
            <w:vAlign w:val="bottom"/>
            <w:hideMark/>
          </w:tcPr>
          <w:p w14:paraId="68BB169C" w14:textId="77777777" w:rsidR="00000000" w:rsidRDefault="00195E73">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6C5F463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E15D399" w14:textId="77777777" w:rsidR="00000000" w:rsidRDefault="00195E73">
            <w:pPr>
              <w:jc w:val="right"/>
              <w:rPr>
                <w:rFonts w:eastAsia="Times New Roman"/>
              </w:rPr>
            </w:pPr>
            <w:r>
              <w:rPr>
                <w:rFonts w:eastAsia="Times New Roman"/>
                <w:color w:val="000000"/>
                <w:sz w:val="20"/>
                <w:szCs w:val="20"/>
              </w:rPr>
              <w:t>24,627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6354C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BB8E32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EEE851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F739E71" w14:textId="77777777" w:rsidR="00000000" w:rsidRDefault="00195E73">
            <w:pPr>
              <w:jc w:val="right"/>
              <w:rPr>
                <w:rFonts w:eastAsia="Times New Roman"/>
              </w:rPr>
            </w:pPr>
            <w:r>
              <w:rPr>
                <w:rFonts w:eastAsia="Times New Roman"/>
                <w:color w:val="000000"/>
                <w:sz w:val="20"/>
                <w:szCs w:val="20"/>
              </w:rPr>
              <w:t>21,382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192108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B9186E1" w14:textId="77777777" w:rsidR="00000000" w:rsidRDefault="00195E73">
            <w:pPr>
              <w:rPr>
                <w:rFonts w:eastAsia="Times New Roman"/>
                <w:sz w:val="20"/>
                <w:szCs w:val="20"/>
              </w:rPr>
            </w:pPr>
          </w:p>
        </w:tc>
        <w:tc>
          <w:tcPr>
            <w:tcW w:w="0" w:type="auto"/>
            <w:vAlign w:val="center"/>
            <w:hideMark/>
          </w:tcPr>
          <w:p w14:paraId="58F02C2B" w14:textId="77777777" w:rsidR="00000000" w:rsidRDefault="00195E73">
            <w:pPr>
              <w:rPr>
                <w:rFonts w:eastAsia="Times New Roman"/>
                <w:sz w:val="20"/>
                <w:szCs w:val="20"/>
              </w:rPr>
            </w:pPr>
          </w:p>
        </w:tc>
        <w:tc>
          <w:tcPr>
            <w:tcW w:w="0" w:type="auto"/>
            <w:vAlign w:val="center"/>
            <w:hideMark/>
          </w:tcPr>
          <w:p w14:paraId="10DB63F0" w14:textId="77777777" w:rsidR="00000000" w:rsidRDefault="00195E73">
            <w:pPr>
              <w:rPr>
                <w:rFonts w:eastAsia="Times New Roman"/>
                <w:sz w:val="20"/>
                <w:szCs w:val="20"/>
              </w:rPr>
            </w:pPr>
          </w:p>
        </w:tc>
        <w:tc>
          <w:tcPr>
            <w:tcW w:w="0" w:type="auto"/>
            <w:vAlign w:val="center"/>
            <w:hideMark/>
          </w:tcPr>
          <w:p w14:paraId="4B959A65" w14:textId="77777777" w:rsidR="00000000" w:rsidRDefault="00195E73">
            <w:pPr>
              <w:rPr>
                <w:rFonts w:eastAsia="Times New Roman"/>
                <w:sz w:val="20"/>
                <w:szCs w:val="20"/>
              </w:rPr>
            </w:pPr>
          </w:p>
        </w:tc>
        <w:tc>
          <w:tcPr>
            <w:tcW w:w="0" w:type="auto"/>
            <w:vAlign w:val="center"/>
            <w:hideMark/>
          </w:tcPr>
          <w:p w14:paraId="4550F4F9" w14:textId="77777777" w:rsidR="00000000" w:rsidRDefault="00195E73">
            <w:pPr>
              <w:rPr>
                <w:rFonts w:eastAsia="Times New Roman"/>
                <w:sz w:val="20"/>
                <w:szCs w:val="20"/>
              </w:rPr>
            </w:pPr>
          </w:p>
        </w:tc>
        <w:tc>
          <w:tcPr>
            <w:tcW w:w="0" w:type="auto"/>
            <w:vAlign w:val="center"/>
            <w:hideMark/>
          </w:tcPr>
          <w:p w14:paraId="4DD2DDF5" w14:textId="77777777" w:rsidR="00000000" w:rsidRDefault="00195E73">
            <w:pPr>
              <w:rPr>
                <w:rFonts w:eastAsia="Times New Roman"/>
                <w:sz w:val="20"/>
                <w:szCs w:val="20"/>
              </w:rPr>
            </w:pPr>
          </w:p>
        </w:tc>
      </w:tr>
      <w:tr w:rsidR="00000000" w14:paraId="41A10400" w14:textId="77777777">
        <w:trPr>
          <w:divId w:val="984357330"/>
        </w:trPr>
        <w:tc>
          <w:tcPr>
            <w:tcW w:w="0" w:type="auto"/>
            <w:gridSpan w:val="3"/>
            <w:shd w:val="clear" w:color="auto" w:fill="FFFFFF"/>
            <w:tcMar>
              <w:top w:w="30" w:type="dxa"/>
              <w:left w:w="20" w:type="dxa"/>
              <w:bottom w:w="30" w:type="dxa"/>
              <w:right w:w="20" w:type="dxa"/>
            </w:tcMar>
            <w:vAlign w:val="bottom"/>
            <w:hideMark/>
          </w:tcPr>
          <w:p w14:paraId="00D715B3" w14:textId="77777777" w:rsidR="00000000" w:rsidRDefault="00195E73">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6681D76" w14:textId="77777777" w:rsidR="00000000" w:rsidRDefault="00195E73">
            <w:pPr>
              <w:jc w:val="right"/>
              <w:rPr>
                <w:rFonts w:eastAsia="Times New Roman"/>
              </w:rPr>
            </w:pPr>
            <w:r>
              <w:rPr>
                <w:rFonts w:eastAsia="Times New Roman"/>
                <w:color w:val="000000"/>
                <w:sz w:val="20"/>
                <w:szCs w:val="20"/>
              </w:rPr>
              <w:t>22,739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33F22D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8296C4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2B9A29" w14:textId="77777777" w:rsidR="00000000" w:rsidRDefault="00195E73">
            <w:pPr>
              <w:jc w:val="right"/>
              <w:rPr>
                <w:rFonts w:eastAsia="Times New Roman"/>
              </w:rPr>
            </w:pPr>
            <w:r>
              <w:rPr>
                <w:rFonts w:eastAsia="Times New Roman"/>
                <w:color w:val="000000"/>
                <w:sz w:val="20"/>
                <w:szCs w:val="20"/>
              </w:rPr>
              <w:t>20,262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BC603D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68E2CFF" w14:textId="77777777" w:rsidR="00000000" w:rsidRDefault="00195E73">
            <w:pPr>
              <w:rPr>
                <w:rFonts w:eastAsia="Times New Roman"/>
                <w:sz w:val="20"/>
                <w:szCs w:val="20"/>
              </w:rPr>
            </w:pPr>
          </w:p>
        </w:tc>
        <w:tc>
          <w:tcPr>
            <w:tcW w:w="0" w:type="auto"/>
            <w:vAlign w:val="center"/>
            <w:hideMark/>
          </w:tcPr>
          <w:p w14:paraId="1760D69B" w14:textId="77777777" w:rsidR="00000000" w:rsidRDefault="00195E73">
            <w:pPr>
              <w:rPr>
                <w:rFonts w:eastAsia="Times New Roman"/>
                <w:sz w:val="20"/>
                <w:szCs w:val="20"/>
              </w:rPr>
            </w:pPr>
          </w:p>
        </w:tc>
        <w:tc>
          <w:tcPr>
            <w:tcW w:w="0" w:type="auto"/>
            <w:vAlign w:val="center"/>
            <w:hideMark/>
          </w:tcPr>
          <w:p w14:paraId="7915B2F9" w14:textId="77777777" w:rsidR="00000000" w:rsidRDefault="00195E73">
            <w:pPr>
              <w:rPr>
                <w:rFonts w:eastAsia="Times New Roman"/>
                <w:sz w:val="20"/>
                <w:szCs w:val="20"/>
              </w:rPr>
            </w:pPr>
          </w:p>
        </w:tc>
        <w:tc>
          <w:tcPr>
            <w:tcW w:w="0" w:type="auto"/>
            <w:vAlign w:val="center"/>
            <w:hideMark/>
          </w:tcPr>
          <w:p w14:paraId="50800347" w14:textId="77777777" w:rsidR="00000000" w:rsidRDefault="00195E73">
            <w:pPr>
              <w:rPr>
                <w:rFonts w:eastAsia="Times New Roman"/>
                <w:sz w:val="20"/>
                <w:szCs w:val="20"/>
              </w:rPr>
            </w:pPr>
          </w:p>
        </w:tc>
        <w:tc>
          <w:tcPr>
            <w:tcW w:w="0" w:type="auto"/>
            <w:vAlign w:val="center"/>
            <w:hideMark/>
          </w:tcPr>
          <w:p w14:paraId="5A0A8858" w14:textId="77777777" w:rsidR="00000000" w:rsidRDefault="00195E73">
            <w:pPr>
              <w:rPr>
                <w:rFonts w:eastAsia="Times New Roman"/>
                <w:sz w:val="20"/>
                <w:szCs w:val="20"/>
              </w:rPr>
            </w:pPr>
          </w:p>
        </w:tc>
        <w:tc>
          <w:tcPr>
            <w:tcW w:w="0" w:type="auto"/>
            <w:vAlign w:val="center"/>
            <w:hideMark/>
          </w:tcPr>
          <w:p w14:paraId="611D71BB" w14:textId="77777777" w:rsidR="00000000" w:rsidRDefault="00195E73">
            <w:pPr>
              <w:rPr>
                <w:rFonts w:eastAsia="Times New Roman"/>
                <w:sz w:val="20"/>
                <w:szCs w:val="20"/>
              </w:rPr>
            </w:pPr>
          </w:p>
        </w:tc>
      </w:tr>
      <w:tr w:rsidR="00000000" w14:paraId="5C78E27C" w14:textId="77777777">
        <w:trPr>
          <w:divId w:val="984357330"/>
        </w:trPr>
        <w:tc>
          <w:tcPr>
            <w:tcW w:w="0" w:type="auto"/>
            <w:gridSpan w:val="3"/>
            <w:shd w:val="clear" w:color="auto" w:fill="CCEEFF"/>
            <w:tcMar>
              <w:top w:w="30" w:type="dxa"/>
              <w:left w:w="20" w:type="dxa"/>
              <w:bottom w:w="30" w:type="dxa"/>
              <w:right w:w="20" w:type="dxa"/>
            </w:tcMar>
            <w:vAlign w:val="bottom"/>
            <w:hideMark/>
          </w:tcPr>
          <w:p w14:paraId="59235182" w14:textId="77777777" w:rsidR="00000000" w:rsidRDefault="00195E73">
            <w:pPr>
              <w:rPr>
                <w:rFonts w:eastAsia="Times New Roman"/>
              </w:rPr>
            </w:pPr>
            <w:r>
              <w:rPr>
                <w:rFonts w:eastAsia="Times New Roman"/>
                <w:color w:val="000000"/>
                <w:sz w:val="20"/>
                <w:szCs w:val="20"/>
              </w:rPr>
              <w:t>Equit</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3AFADC71" w14:textId="77777777" w:rsidR="00000000" w:rsidRDefault="00195E73">
            <w:pPr>
              <w:jc w:val="right"/>
              <w:rPr>
                <w:rFonts w:eastAsia="Times New Roman"/>
              </w:rPr>
            </w:pPr>
            <w:r>
              <w:rPr>
                <w:rFonts w:eastAsia="Times New Roman"/>
                <w:color w:val="000000"/>
                <w:sz w:val="20"/>
                <w:szCs w:val="20"/>
              </w:rPr>
              <w:t>1,888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4E7AA5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67E12B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A1954F" w14:textId="77777777" w:rsidR="00000000" w:rsidRDefault="00195E73">
            <w:pPr>
              <w:jc w:val="right"/>
              <w:rPr>
                <w:rFonts w:eastAsia="Times New Roman"/>
              </w:rPr>
            </w:pPr>
            <w:r>
              <w:rPr>
                <w:rFonts w:eastAsia="Times New Roman"/>
                <w:color w:val="000000"/>
                <w:sz w:val="20"/>
                <w:szCs w:val="20"/>
              </w:rPr>
              <w:t>1,120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AE9B77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33019CF" w14:textId="77777777" w:rsidR="00000000" w:rsidRDefault="00195E73">
            <w:pPr>
              <w:rPr>
                <w:rFonts w:eastAsia="Times New Roman"/>
                <w:sz w:val="20"/>
                <w:szCs w:val="20"/>
              </w:rPr>
            </w:pPr>
          </w:p>
        </w:tc>
        <w:tc>
          <w:tcPr>
            <w:tcW w:w="0" w:type="auto"/>
            <w:vAlign w:val="center"/>
            <w:hideMark/>
          </w:tcPr>
          <w:p w14:paraId="475B0246" w14:textId="77777777" w:rsidR="00000000" w:rsidRDefault="00195E73">
            <w:pPr>
              <w:rPr>
                <w:rFonts w:eastAsia="Times New Roman"/>
                <w:sz w:val="20"/>
                <w:szCs w:val="20"/>
              </w:rPr>
            </w:pPr>
          </w:p>
        </w:tc>
        <w:tc>
          <w:tcPr>
            <w:tcW w:w="0" w:type="auto"/>
            <w:vAlign w:val="center"/>
            <w:hideMark/>
          </w:tcPr>
          <w:p w14:paraId="09731CBD" w14:textId="77777777" w:rsidR="00000000" w:rsidRDefault="00195E73">
            <w:pPr>
              <w:rPr>
                <w:rFonts w:eastAsia="Times New Roman"/>
                <w:sz w:val="20"/>
                <w:szCs w:val="20"/>
              </w:rPr>
            </w:pPr>
          </w:p>
        </w:tc>
        <w:tc>
          <w:tcPr>
            <w:tcW w:w="0" w:type="auto"/>
            <w:vAlign w:val="center"/>
            <w:hideMark/>
          </w:tcPr>
          <w:p w14:paraId="202221F4" w14:textId="77777777" w:rsidR="00000000" w:rsidRDefault="00195E73">
            <w:pPr>
              <w:rPr>
                <w:rFonts w:eastAsia="Times New Roman"/>
                <w:sz w:val="20"/>
                <w:szCs w:val="20"/>
              </w:rPr>
            </w:pPr>
          </w:p>
        </w:tc>
        <w:tc>
          <w:tcPr>
            <w:tcW w:w="0" w:type="auto"/>
            <w:vAlign w:val="center"/>
            <w:hideMark/>
          </w:tcPr>
          <w:p w14:paraId="587D5652" w14:textId="77777777" w:rsidR="00000000" w:rsidRDefault="00195E73">
            <w:pPr>
              <w:rPr>
                <w:rFonts w:eastAsia="Times New Roman"/>
                <w:sz w:val="20"/>
                <w:szCs w:val="20"/>
              </w:rPr>
            </w:pPr>
          </w:p>
        </w:tc>
        <w:tc>
          <w:tcPr>
            <w:tcW w:w="0" w:type="auto"/>
            <w:vAlign w:val="center"/>
            <w:hideMark/>
          </w:tcPr>
          <w:p w14:paraId="5B6568F8" w14:textId="77777777" w:rsidR="00000000" w:rsidRDefault="00195E73">
            <w:pPr>
              <w:rPr>
                <w:rFonts w:eastAsia="Times New Roman"/>
                <w:sz w:val="20"/>
                <w:szCs w:val="20"/>
              </w:rPr>
            </w:pPr>
          </w:p>
        </w:tc>
      </w:tr>
    </w:tbl>
    <w:p w14:paraId="24959A92" w14:textId="77777777" w:rsidR="00000000" w:rsidRDefault="00195E73">
      <w:pPr>
        <w:divId w:val="210269585"/>
        <w:rPr>
          <w:rFonts w:eastAsia="Times New Roman"/>
        </w:rPr>
      </w:pPr>
    </w:p>
    <w:tbl>
      <w:tblPr>
        <w:tblW w:w="4912" w:type="pct"/>
        <w:tblCellMar>
          <w:top w:w="15" w:type="dxa"/>
          <w:left w:w="15" w:type="dxa"/>
          <w:bottom w:w="15" w:type="dxa"/>
          <w:right w:w="15" w:type="dxa"/>
        </w:tblCellMar>
        <w:tblLook w:val="04A0" w:firstRow="1" w:lastRow="0" w:firstColumn="1" w:lastColumn="0" w:noHBand="0" w:noVBand="1"/>
      </w:tblPr>
      <w:tblGrid>
        <w:gridCol w:w="38"/>
        <w:gridCol w:w="2821"/>
        <w:gridCol w:w="36"/>
        <w:gridCol w:w="135"/>
        <w:gridCol w:w="1305"/>
        <w:gridCol w:w="85"/>
        <w:gridCol w:w="36"/>
        <w:gridCol w:w="36"/>
        <w:gridCol w:w="41"/>
        <w:gridCol w:w="135"/>
        <w:gridCol w:w="1321"/>
        <w:gridCol w:w="85"/>
        <w:gridCol w:w="36"/>
        <w:gridCol w:w="36"/>
        <w:gridCol w:w="41"/>
        <w:gridCol w:w="135"/>
        <w:gridCol w:w="1321"/>
        <w:gridCol w:w="85"/>
        <w:gridCol w:w="36"/>
        <w:gridCol w:w="36"/>
        <w:gridCol w:w="36"/>
        <w:gridCol w:w="36"/>
        <w:gridCol w:w="36"/>
        <w:gridCol w:w="36"/>
        <w:gridCol w:w="36"/>
        <w:gridCol w:w="36"/>
        <w:gridCol w:w="36"/>
        <w:gridCol w:w="36"/>
        <w:gridCol w:w="36"/>
        <w:gridCol w:w="36"/>
      </w:tblGrid>
      <w:tr w:rsidR="00000000" w14:paraId="73BDCCC3" w14:textId="77777777">
        <w:trPr>
          <w:gridAfter w:val="12"/>
          <w:divId w:val="1251505288"/>
        </w:trPr>
        <w:tc>
          <w:tcPr>
            <w:tcW w:w="50" w:type="pct"/>
            <w:vAlign w:val="center"/>
            <w:hideMark/>
          </w:tcPr>
          <w:p w14:paraId="1A579F9E" w14:textId="77777777" w:rsidR="00000000" w:rsidRDefault="00195E73">
            <w:pPr>
              <w:rPr>
                <w:rFonts w:eastAsia="Times New Roman"/>
              </w:rPr>
            </w:pPr>
          </w:p>
        </w:tc>
        <w:tc>
          <w:tcPr>
            <w:tcW w:w="1871" w:type="pct"/>
            <w:vAlign w:val="center"/>
            <w:hideMark/>
          </w:tcPr>
          <w:p w14:paraId="2E933C4D" w14:textId="77777777" w:rsidR="00000000" w:rsidRDefault="00195E73">
            <w:pPr>
              <w:rPr>
                <w:rFonts w:eastAsia="Times New Roman"/>
                <w:sz w:val="20"/>
                <w:szCs w:val="20"/>
              </w:rPr>
            </w:pPr>
          </w:p>
        </w:tc>
        <w:tc>
          <w:tcPr>
            <w:tcW w:w="50" w:type="pct"/>
            <w:vAlign w:val="center"/>
            <w:hideMark/>
          </w:tcPr>
          <w:p w14:paraId="617D2FE3" w14:textId="77777777" w:rsidR="00000000" w:rsidRDefault="00195E73">
            <w:pPr>
              <w:rPr>
                <w:rFonts w:eastAsia="Times New Roman"/>
                <w:sz w:val="20"/>
                <w:szCs w:val="20"/>
              </w:rPr>
            </w:pPr>
          </w:p>
        </w:tc>
        <w:tc>
          <w:tcPr>
            <w:tcW w:w="50" w:type="pct"/>
            <w:vAlign w:val="center"/>
            <w:hideMark/>
          </w:tcPr>
          <w:p w14:paraId="1AA2F01C" w14:textId="77777777" w:rsidR="00000000" w:rsidRDefault="00195E73">
            <w:pPr>
              <w:rPr>
                <w:rFonts w:eastAsia="Times New Roman"/>
                <w:sz w:val="20"/>
                <w:szCs w:val="20"/>
              </w:rPr>
            </w:pPr>
          </w:p>
        </w:tc>
        <w:tc>
          <w:tcPr>
            <w:tcW w:w="889" w:type="pct"/>
            <w:vAlign w:val="center"/>
            <w:hideMark/>
          </w:tcPr>
          <w:p w14:paraId="77E21113" w14:textId="77777777" w:rsidR="00000000" w:rsidRDefault="00195E73">
            <w:pPr>
              <w:rPr>
                <w:rFonts w:eastAsia="Times New Roman"/>
                <w:sz w:val="20"/>
                <w:szCs w:val="20"/>
              </w:rPr>
            </w:pPr>
          </w:p>
        </w:tc>
        <w:tc>
          <w:tcPr>
            <w:tcW w:w="50" w:type="pct"/>
            <w:vAlign w:val="center"/>
            <w:hideMark/>
          </w:tcPr>
          <w:p w14:paraId="36B5FADE" w14:textId="77777777" w:rsidR="00000000" w:rsidRDefault="00195E73">
            <w:pPr>
              <w:rPr>
                <w:rFonts w:eastAsia="Times New Roman"/>
                <w:sz w:val="20"/>
                <w:szCs w:val="20"/>
              </w:rPr>
            </w:pPr>
          </w:p>
        </w:tc>
        <w:tc>
          <w:tcPr>
            <w:tcW w:w="5" w:type="pct"/>
            <w:vAlign w:val="center"/>
            <w:hideMark/>
          </w:tcPr>
          <w:p w14:paraId="7E65DEF3" w14:textId="77777777" w:rsidR="00000000" w:rsidRDefault="00195E73">
            <w:pPr>
              <w:rPr>
                <w:rFonts w:eastAsia="Times New Roman"/>
                <w:sz w:val="20"/>
                <w:szCs w:val="20"/>
              </w:rPr>
            </w:pPr>
          </w:p>
        </w:tc>
        <w:tc>
          <w:tcPr>
            <w:tcW w:w="19" w:type="pct"/>
            <w:vAlign w:val="center"/>
            <w:hideMark/>
          </w:tcPr>
          <w:p w14:paraId="25271B59" w14:textId="77777777" w:rsidR="00000000" w:rsidRDefault="00195E73">
            <w:pPr>
              <w:rPr>
                <w:rFonts w:eastAsia="Times New Roman"/>
                <w:sz w:val="20"/>
                <w:szCs w:val="20"/>
              </w:rPr>
            </w:pPr>
          </w:p>
        </w:tc>
        <w:tc>
          <w:tcPr>
            <w:tcW w:w="5" w:type="pct"/>
            <w:vAlign w:val="center"/>
            <w:hideMark/>
          </w:tcPr>
          <w:p w14:paraId="6850DD9A" w14:textId="77777777" w:rsidR="00000000" w:rsidRDefault="00195E73">
            <w:pPr>
              <w:rPr>
                <w:rFonts w:eastAsia="Times New Roman"/>
                <w:sz w:val="20"/>
                <w:szCs w:val="20"/>
              </w:rPr>
            </w:pPr>
          </w:p>
        </w:tc>
        <w:tc>
          <w:tcPr>
            <w:tcW w:w="50" w:type="pct"/>
            <w:vAlign w:val="center"/>
            <w:hideMark/>
          </w:tcPr>
          <w:p w14:paraId="01524699" w14:textId="77777777" w:rsidR="00000000" w:rsidRDefault="00195E73">
            <w:pPr>
              <w:rPr>
                <w:rFonts w:eastAsia="Times New Roman"/>
                <w:sz w:val="20"/>
                <w:szCs w:val="20"/>
              </w:rPr>
            </w:pPr>
          </w:p>
        </w:tc>
        <w:tc>
          <w:tcPr>
            <w:tcW w:w="889" w:type="pct"/>
            <w:vAlign w:val="center"/>
            <w:hideMark/>
          </w:tcPr>
          <w:p w14:paraId="4C6B1367" w14:textId="77777777" w:rsidR="00000000" w:rsidRDefault="00195E73">
            <w:pPr>
              <w:rPr>
                <w:rFonts w:eastAsia="Times New Roman"/>
                <w:sz w:val="20"/>
                <w:szCs w:val="20"/>
              </w:rPr>
            </w:pPr>
          </w:p>
        </w:tc>
        <w:tc>
          <w:tcPr>
            <w:tcW w:w="50" w:type="pct"/>
            <w:vAlign w:val="center"/>
            <w:hideMark/>
          </w:tcPr>
          <w:p w14:paraId="42D43C9F" w14:textId="77777777" w:rsidR="00000000" w:rsidRDefault="00195E73">
            <w:pPr>
              <w:rPr>
                <w:rFonts w:eastAsia="Times New Roman"/>
                <w:sz w:val="20"/>
                <w:szCs w:val="20"/>
              </w:rPr>
            </w:pPr>
          </w:p>
        </w:tc>
        <w:tc>
          <w:tcPr>
            <w:tcW w:w="5" w:type="pct"/>
            <w:vAlign w:val="center"/>
            <w:hideMark/>
          </w:tcPr>
          <w:p w14:paraId="63267BC6" w14:textId="77777777" w:rsidR="00000000" w:rsidRDefault="00195E73">
            <w:pPr>
              <w:rPr>
                <w:rFonts w:eastAsia="Times New Roman"/>
                <w:sz w:val="20"/>
                <w:szCs w:val="20"/>
              </w:rPr>
            </w:pPr>
          </w:p>
        </w:tc>
        <w:tc>
          <w:tcPr>
            <w:tcW w:w="19" w:type="pct"/>
            <w:vAlign w:val="center"/>
            <w:hideMark/>
          </w:tcPr>
          <w:p w14:paraId="566736DE" w14:textId="77777777" w:rsidR="00000000" w:rsidRDefault="00195E73">
            <w:pPr>
              <w:rPr>
                <w:rFonts w:eastAsia="Times New Roman"/>
                <w:sz w:val="20"/>
                <w:szCs w:val="20"/>
              </w:rPr>
            </w:pPr>
          </w:p>
        </w:tc>
        <w:tc>
          <w:tcPr>
            <w:tcW w:w="5" w:type="pct"/>
            <w:vAlign w:val="center"/>
            <w:hideMark/>
          </w:tcPr>
          <w:p w14:paraId="50B0B79E" w14:textId="77777777" w:rsidR="00000000" w:rsidRDefault="00195E73">
            <w:pPr>
              <w:rPr>
                <w:rFonts w:eastAsia="Times New Roman"/>
                <w:sz w:val="20"/>
                <w:szCs w:val="20"/>
              </w:rPr>
            </w:pPr>
          </w:p>
        </w:tc>
        <w:tc>
          <w:tcPr>
            <w:tcW w:w="50" w:type="pct"/>
            <w:vAlign w:val="center"/>
            <w:hideMark/>
          </w:tcPr>
          <w:p w14:paraId="2681017D" w14:textId="77777777" w:rsidR="00000000" w:rsidRDefault="00195E73">
            <w:pPr>
              <w:rPr>
                <w:rFonts w:eastAsia="Times New Roman"/>
                <w:sz w:val="20"/>
                <w:szCs w:val="20"/>
              </w:rPr>
            </w:pPr>
          </w:p>
        </w:tc>
        <w:tc>
          <w:tcPr>
            <w:tcW w:w="889" w:type="pct"/>
            <w:vAlign w:val="center"/>
            <w:hideMark/>
          </w:tcPr>
          <w:p w14:paraId="3E22F120" w14:textId="77777777" w:rsidR="00000000" w:rsidRDefault="00195E73">
            <w:pPr>
              <w:rPr>
                <w:rFonts w:eastAsia="Times New Roman"/>
                <w:sz w:val="20"/>
                <w:szCs w:val="20"/>
              </w:rPr>
            </w:pPr>
          </w:p>
        </w:tc>
        <w:tc>
          <w:tcPr>
            <w:tcW w:w="50" w:type="pct"/>
            <w:vAlign w:val="center"/>
            <w:hideMark/>
          </w:tcPr>
          <w:p w14:paraId="5D8934DC" w14:textId="77777777" w:rsidR="00000000" w:rsidRDefault="00195E73">
            <w:pPr>
              <w:rPr>
                <w:rFonts w:eastAsia="Times New Roman"/>
                <w:sz w:val="20"/>
                <w:szCs w:val="20"/>
              </w:rPr>
            </w:pPr>
          </w:p>
        </w:tc>
      </w:tr>
      <w:tr w:rsidR="00000000" w14:paraId="4C49E5B3" w14:textId="77777777">
        <w:trPr>
          <w:divId w:val="1251505288"/>
        </w:trPr>
        <w:tc>
          <w:tcPr>
            <w:tcW w:w="0" w:type="auto"/>
            <w:gridSpan w:val="3"/>
            <w:tcMar>
              <w:top w:w="15" w:type="dxa"/>
              <w:left w:w="20" w:type="dxa"/>
              <w:bottom w:w="15" w:type="dxa"/>
              <w:right w:w="20" w:type="dxa"/>
            </w:tcMar>
            <w:vAlign w:val="bottom"/>
            <w:hideMark/>
          </w:tcPr>
          <w:p w14:paraId="536543CF"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6EE7367C"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37222E88" w14:textId="77777777" w:rsidR="00000000" w:rsidRDefault="00195E73">
            <w:pPr>
              <w:jc w:val="center"/>
              <w:rPr>
                <w:rFonts w:eastAsia="Times New Roman"/>
              </w:rPr>
            </w:pPr>
          </w:p>
        </w:tc>
        <w:tc>
          <w:tcPr>
            <w:tcW w:w="0" w:type="auto"/>
            <w:gridSpan w:val="3"/>
            <w:vAlign w:val="center"/>
            <w:hideMark/>
          </w:tcPr>
          <w:p w14:paraId="355FD812" w14:textId="77777777" w:rsidR="00000000" w:rsidRDefault="00195E73">
            <w:pPr>
              <w:rPr>
                <w:rFonts w:eastAsia="Times New Roman"/>
                <w:sz w:val="20"/>
                <w:szCs w:val="20"/>
              </w:rPr>
            </w:pPr>
          </w:p>
        </w:tc>
        <w:tc>
          <w:tcPr>
            <w:tcW w:w="0" w:type="auto"/>
            <w:gridSpan w:val="3"/>
            <w:vAlign w:val="center"/>
            <w:hideMark/>
          </w:tcPr>
          <w:p w14:paraId="38F0FB03" w14:textId="77777777" w:rsidR="00000000" w:rsidRDefault="00195E73">
            <w:pPr>
              <w:rPr>
                <w:rFonts w:eastAsia="Times New Roman"/>
                <w:sz w:val="20"/>
                <w:szCs w:val="20"/>
              </w:rPr>
            </w:pPr>
          </w:p>
        </w:tc>
        <w:tc>
          <w:tcPr>
            <w:tcW w:w="0" w:type="auto"/>
            <w:gridSpan w:val="3"/>
            <w:vAlign w:val="center"/>
            <w:hideMark/>
          </w:tcPr>
          <w:p w14:paraId="0FDA7F14" w14:textId="77777777" w:rsidR="00000000" w:rsidRDefault="00195E73">
            <w:pPr>
              <w:rPr>
                <w:rFonts w:eastAsia="Times New Roman"/>
                <w:sz w:val="20"/>
                <w:szCs w:val="20"/>
              </w:rPr>
            </w:pPr>
          </w:p>
        </w:tc>
      </w:tr>
      <w:tr w:rsidR="00000000" w14:paraId="121C8CCB" w14:textId="77777777">
        <w:trPr>
          <w:divId w:val="1251505288"/>
        </w:trPr>
        <w:tc>
          <w:tcPr>
            <w:tcW w:w="0" w:type="auto"/>
            <w:gridSpan w:val="3"/>
            <w:tcMar>
              <w:top w:w="15" w:type="dxa"/>
              <w:left w:w="20" w:type="dxa"/>
              <w:bottom w:w="15" w:type="dxa"/>
              <w:right w:w="20" w:type="dxa"/>
            </w:tcMar>
            <w:vAlign w:val="bottom"/>
            <w:hideMark/>
          </w:tcPr>
          <w:p w14:paraId="49FDF026"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DF2BFC4"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54B3938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82E726A"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78E808F9"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8AD28B2"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25FF38C4" w14:textId="77777777" w:rsidR="00000000" w:rsidRDefault="00195E73">
            <w:pPr>
              <w:rPr>
                <w:rFonts w:eastAsia="Times New Roman"/>
                <w:sz w:val="20"/>
                <w:szCs w:val="20"/>
              </w:rPr>
            </w:pPr>
          </w:p>
        </w:tc>
        <w:tc>
          <w:tcPr>
            <w:tcW w:w="0" w:type="auto"/>
            <w:vAlign w:val="center"/>
            <w:hideMark/>
          </w:tcPr>
          <w:p w14:paraId="4B3173AB" w14:textId="77777777" w:rsidR="00000000" w:rsidRDefault="00195E73">
            <w:pPr>
              <w:rPr>
                <w:rFonts w:eastAsia="Times New Roman"/>
                <w:sz w:val="20"/>
                <w:szCs w:val="20"/>
              </w:rPr>
            </w:pPr>
          </w:p>
        </w:tc>
        <w:tc>
          <w:tcPr>
            <w:tcW w:w="0" w:type="auto"/>
            <w:vAlign w:val="center"/>
            <w:hideMark/>
          </w:tcPr>
          <w:p w14:paraId="432F575D" w14:textId="77777777" w:rsidR="00000000" w:rsidRDefault="00195E73">
            <w:pPr>
              <w:rPr>
                <w:rFonts w:eastAsia="Times New Roman"/>
                <w:sz w:val="20"/>
                <w:szCs w:val="20"/>
              </w:rPr>
            </w:pPr>
          </w:p>
        </w:tc>
        <w:tc>
          <w:tcPr>
            <w:tcW w:w="0" w:type="auto"/>
            <w:vAlign w:val="center"/>
            <w:hideMark/>
          </w:tcPr>
          <w:p w14:paraId="0A376860" w14:textId="77777777" w:rsidR="00000000" w:rsidRDefault="00195E73">
            <w:pPr>
              <w:rPr>
                <w:rFonts w:eastAsia="Times New Roman"/>
                <w:sz w:val="20"/>
                <w:szCs w:val="20"/>
              </w:rPr>
            </w:pPr>
          </w:p>
        </w:tc>
        <w:tc>
          <w:tcPr>
            <w:tcW w:w="0" w:type="auto"/>
            <w:vAlign w:val="center"/>
            <w:hideMark/>
          </w:tcPr>
          <w:p w14:paraId="0AABD956" w14:textId="77777777" w:rsidR="00000000" w:rsidRDefault="00195E73">
            <w:pPr>
              <w:rPr>
                <w:rFonts w:eastAsia="Times New Roman"/>
                <w:sz w:val="20"/>
                <w:szCs w:val="20"/>
              </w:rPr>
            </w:pPr>
          </w:p>
        </w:tc>
        <w:tc>
          <w:tcPr>
            <w:tcW w:w="0" w:type="auto"/>
            <w:vAlign w:val="center"/>
            <w:hideMark/>
          </w:tcPr>
          <w:p w14:paraId="7DBD5D07" w14:textId="77777777" w:rsidR="00000000" w:rsidRDefault="00195E73">
            <w:pPr>
              <w:rPr>
                <w:rFonts w:eastAsia="Times New Roman"/>
                <w:sz w:val="20"/>
                <w:szCs w:val="20"/>
              </w:rPr>
            </w:pPr>
          </w:p>
        </w:tc>
        <w:tc>
          <w:tcPr>
            <w:tcW w:w="0" w:type="auto"/>
            <w:vAlign w:val="center"/>
            <w:hideMark/>
          </w:tcPr>
          <w:p w14:paraId="64A6DCDD" w14:textId="77777777" w:rsidR="00000000" w:rsidRDefault="00195E73">
            <w:pPr>
              <w:rPr>
                <w:rFonts w:eastAsia="Times New Roman"/>
                <w:sz w:val="20"/>
                <w:szCs w:val="20"/>
              </w:rPr>
            </w:pPr>
          </w:p>
        </w:tc>
        <w:tc>
          <w:tcPr>
            <w:tcW w:w="0" w:type="auto"/>
            <w:vAlign w:val="center"/>
            <w:hideMark/>
          </w:tcPr>
          <w:p w14:paraId="7073E5EB" w14:textId="77777777" w:rsidR="00000000" w:rsidRDefault="00195E73">
            <w:pPr>
              <w:rPr>
                <w:rFonts w:eastAsia="Times New Roman"/>
                <w:sz w:val="20"/>
                <w:szCs w:val="20"/>
              </w:rPr>
            </w:pPr>
          </w:p>
        </w:tc>
        <w:tc>
          <w:tcPr>
            <w:tcW w:w="0" w:type="auto"/>
            <w:vAlign w:val="center"/>
            <w:hideMark/>
          </w:tcPr>
          <w:p w14:paraId="29486E32" w14:textId="77777777" w:rsidR="00000000" w:rsidRDefault="00195E73">
            <w:pPr>
              <w:rPr>
                <w:rFonts w:eastAsia="Times New Roman"/>
                <w:sz w:val="20"/>
                <w:szCs w:val="20"/>
              </w:rPr>
            </w:pPr>
          </w:p>
        </w:tc>
        <w:tc>
          <w:tcPr>
            <w:tcW w:w="0" w:type="auto"/>
            <w:vAlign w:val="center"/>
            <w:hideMark/>
          </w:tcPr>
          <w:p w14:paraId="5AB83786" w14:textId="77777777" w:rsidR="00000000" w:rsidRDefault="00195E73">
            <w:pPr>
              <w:rPr>
                <w:rFonts w:eastAsia="Times New Roman"/>
                <w:sz w:val="20"/>
                <w:szCs w:val="20"/>
              </w:rPr>
            </w:pPr>
          </w:p>
        </w:tc>
        <w:tc>
          <w:tcPr>
            <w:tcW w:w="0" w:type="auto"/>
            <w:vAlign w:val="center"/>
            <w:hideMark/>
          </w:tcPr>
          <w:p w14:paraId="6836F4D5" w14:textId="77777777" w:rsidR="00000000" w:rsidRDefault="00195E73">
            <w:pPr>
              <w:rPr>
                <w:rFonts w:eastAsia="Times New Roman"/>
                <w:sz w:val="20"/>
                <w:szCs w:val="20"/>
              </w:rPr>
            </w:pPr>
          </w:p>
        </w:tc>
        <w:tc>
          <w:tcPr>
            <w:tcW w:w="0" w:type="auto"/>
            <w:vAlign w:val="center"/>
            <w:hideMark/>
          </w:tcPr>
          <w:p w14:paraId="1F5B7176" w14:textId="77777777" w:rsidR="00000000" w:rsidRDefault="00195E73">
            <w:pPr>
              <w:rPr>
                <w:rFonts w:eastAsia="Times New Roman"/>
                <w:sz w:val="20"/>
                <w:szCs w:val="20"/>
              </w:rPr>
            </w:pPr>
          </w:p>
        </w:tc>
      </w:tr>
      <w:tr w:rsidR="00000000" w14:paraId="28F39D25" w14:textId="77777777">
        <w:trPr>
          <w:divId w:val="1251505288"/>
        </w:trPr>
        <w:tc>
          <w:tcPr>
            <w:tcW w:w="0" w:type="auto"/>
            <w:gridSpan w:val="3"/>
            <w:tcMar>
              <w:top w:w="15" w:type="dxa"/>
              <w:left w:w="20" w:type="dxa"/>
              <w:bottom w:w="15" w:type="dxa"/>
              <w:right w:w="20" w:type="dxa"/>
            </w:tcMar>
            <w:vAlign w:val="bottom"/>
            <w:hideMark/>
          </w:tcPr>
          <w:p w14:paraId="6C5201D0"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11C8000"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5D674828" w14:textId="77777777" w:rsidR="00000000" w:rsidRDefault="00195E73">
            <w:pPr>
              <w:jc w:val="center"/>
              <w:rPr>
                <w:rFonts w:eastAsia="Times New Roman"/>
              </w:rPr>
            </w:pPr>
          </w:p>
        </w:tc>
        <w:tc>
          <w:tcPr>
            <w:tcW w:w="0" w:type="auto"/>
            <w:gridSpan w:val="3"/>
            <w:vAlign w:val="center"/>
            <w:hideMark/>
          </w:tcPr>
          <w:p w14:paraId="5E47FD4C" w14:textId="77777777" w:rsidR="00000000" w:rsidRDefault="00195E73">
            <w:pPr>
              <w:rPr>
                <w:rFonts w:eastAsia="Times New Roman"/>
                <w:sz w:val="20"/>
                <w:szCs w:val="20"/>
              </w:rPr>
            </w:pPr>
          </w:p>
        </w:tc>
        <w:tc>
          <w:tcPr>
            <w:tcW w:w="0" w:type="auto"/>
            <w:gridSpan w:val="3"/>
            <w:vAlign w:val="center"/>
            <w:hideMark/>
          </w:tcPr>
          <w:p w14:paraId="0ACD337D" w14:textId="77777777" w:rsidR="00000000" w:rsidRDefault="00195E73">
            <w:pPr>
              <w:rPr>
                <w:rFonts w:eastAsia="Times New Roman"/>
                <w:sz w:val="20"/>
                <w:szCs w:val="20"/>
              </w:rPr>
            </w:pPr>
          </w:p>
        </w:tc>
        <w:tc>
          <w:tcPr>
            <w:tcW w:w="0" w:type="auto"/>
            <w:gridSpan w:val="3"/>
            <w:vAlign w:val="center"/>
            <w:hideMark/>
          </w:tcPr>
          <w:p w14:paraId="7D3D04F1" w14:textId="77777777" w:rsidR="00000000" w:rsidRDefault="00195E73">
            <w:pPr>
              <w:rPr>
                <w:rFonts w:eastAsia="Times New Roman"/>
                <w:sz w:val="20"/>
                <w:szCs w:val="20"/>
              </w:rPr>
            </w:pPr>
          </w:p>
        </w:tc>
      </w:tr>
      <w:tr w:rsidR="00000000" w14:paraId="6A316E39" w14:textId="77777777">
        <w:trPr>
          <w:divId w:val="1251505288"/>
        </w:trPr>
        <w:tc>
          <w:tcPr>
            <w:tcW w:w="0" w:type="auto"/>
            <w:gridSpan w:val="3"/>
            <w:shd w:val="clear" w:color="auto" w:fill="CCEEFF"/>
            <w:tcMar>
              <w:top w:w="30" w:type="dxa"/>
              <w:left w:w="20" w:type="dxa"/>
              <w:bottom w:w="30" w:type="dxa"/>
              <w:right w:w="20" w:type="dxa"/>
            </w:tcMar>
            <w:vAlign w:val="bottom"/>
            <w:hideMark/>
          </w:tcPr>
          <w:p w14:paraId="24E05734" w14:textId="77777777" w:rsidR="00000000" w:rsidRDefault="00195E73">
            <w:pPr>
              <w:rPr>
                <w:rFonts w:eastAsia="Times New Roman"/>
              </w:rPr>
            </w:pPr>
            <w:r>
              <w:rPr>
                <w:rFonts w:eastAsia="Times New Roman"/>
                <w:color w:val="000000"/>
                <w:sz w:val="20"/>
                <w:szCs w:val="20"/>
              </w:rPr>
              <w:t>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14:paraId="4D7E39A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E76E514" w14:textId="77777777" w:rsidR="00000000" w:rsidRDefault="00195E73">
            <w:pPr>
              <w:jc w:val="right"/>
              <w:rPr>
                <w:rFonts w:eastAsia="Times New Roman"/>
              </w:rPr>
            </w:pPr>
            <w:r>
              <w:rPr>
                <w:rFonts w:eastAsia="Times New Roman"/>
                <w:color w:val="000000"/>
                <w:sz w:val="20"/>
                <w:szCs w:val="20"/>
              </w:rPr>
              <w:t>9,779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23F248E"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3B6A31D4"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74066E79" w14:textId="77777777" w:rsidR="00000000" w:rsidRDefault="00195E73">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35C91DB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F856511" w14:textId="77777777" w:rsidR="00000000" w:rsidRDefault="00195E73">
            <w:pPr>
              <w:jc w:val="right"/>
              <w:rPr>
                <w:rFonts w:eastAsia="Times New Roman"/>
              </w:rPr>
            </w:pPr>
            <w:r>
              <w:rPr>
                <w:rFonts w:eastAsia="Times New Roman"/>
                <w:color w:val="000000"/>
                <w:sz w:val="20"/>
                <w:szCs w:val="20"/>
              </w:rPr>
              <w:t>9,504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B8345D8"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361B554C"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51A418AE" w14:textId="77777777" w:rsidR="00000000" w:rsidRDefault="00195E73">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1F539D6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5CA8295" w14:textId="77777777" w:rsidR="00000000" w:rsidRDefault="00195E73">
            <w:pPr>
              <w:jc w:val="right"/>
              <w:rPr>
                <w:rFonts w:eastAsia="Times New Roman"/>
              </w:rPr>
            </w:pPr>
            <w:r>
              <w:rPr>
                <w:rFonts w:eastAsia="Times New Roman"/>
                <w:color w:val="000000"/>
                <w:sz w:val="20"/>
                <w:szCs w:val="20"/>
              </w:rPr>
              <w:t>8,803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5008C3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110A82D" w14:textId="77777777" w:rsidR="00000000" w:rsidRDefault="00195E73">
            <w:pPr>
              <w:rPr>
                <w:rFonts w:eastAsia="Times New Roman"/>
                <w:sz w:val="20"/>
                <w:szCs w:val="20"/>
              </w:rPr>
            </w:pPr>
          </w:p>
        </w:tc>
        <w:tc>
          <w:tcPr>
            <w:tcW w:w="0" w:type="auto"/>
            <w:vAlign w:val="center"/>
            <w:hideMark/>
          </w:tcPr>
          <w:p w14:paraId="171079AD" w14:textId="77777777" w:rsidR="00000000" w:rsidRDefault="00195E73">
            <w:pPr>
              <w:rPr>
                <w:rFonts w:eastAsia="Times New Roman"/>
                <w:sz w:val="20"/>
                <w:szCs w:val="20"/>
              </w:rPr>
            </w:pPr>
          </w:p>
        </w:tc>
        <w:tc>
          <w:tcPr>
            <w:tcW w:w="0" w:type="auto"/>
            <w:vAlign w:val="center"/>
            <w:hideMark/>
          </w:tcPr>
          <w:p w14:paraId="6E18A595" w14:textId="77777777" w:rsidR="00000000" w:rsidRDefault="00195E73">
            <w:pPr>
              <w:rPr>
                <w:rFonts w:eastAsia="Times New Roman"/>
                <w:sz w:val="20"/>
                <w:szCs w:val="20"/>
              </w:rPr>
            </w:pPr>
          </w:p>
        </w:tc>
        <w:tc>
          <w:tcPr>
            <w:tcW w:w="0" w:type="auto"/>
            <w:vAlign w:val="center"/>
            <w:hideMark/>
          </w:tcPr>
          <w:p w14:paraId="429526C3" w14:textId="77777777" w:rsidR="00000000" w:rsidRDefault="00195E73">
            <w:pPr>
              <w:rPr>
                <w:rFonts w:eastAsia="Times New Roman"/>
                <w:sz w:val="20"/>
                <w:szCs w:val="20"/>
              </w:rPr>
            </w:pPr>
          </w:p>
        </w:tc>
        <w:tc>
          <w:tcPr>
            <w:tcW w:w="0" w:type="auto"/>
            <w:vAlign w:val="center"/>
            <w:hideMark/>
          </w:tcPr>
          <w:p w14:paraId="6EFCD463" w14:textId="77777777" w:rsidR="00000000" w:rsidRDefault="00195E73">
            <w:pPr>
              <w:rPr>
                <w:rFonts w:eastAsia="Times New Roman"/>
                <w:sz w:val="20"/>
                <w:szCs w:val="20"/>
              </w:rPr>
            </w:pPr>
          </w:p>
        </w:tc>
        <w:tc>
          <w:tcPr>
            <w:tcW w:w="0" w:type="auto"/>
            <w:vAlign w:val="center"/>
            <w:hideMark/>
          </w:tcPr>
          <w:p w14:paraId="746CDA17" w14:textId="77777777" w:rsidR="00000000" w:rsidRDefault="00195E73">
            <w:pPr>
              <w:rPr>
                <w:rFonts w:eastAsia="Times New Roman"/>
                <w:sz w:val="20"/>
                <w:szCs w:val="20"/>
              </w:rPr>
            </w:pPr>
          </w:p>
        </w:tc>
        <w:tc>
          <w:tcPr>
            <w:tcW w:w="0" w:type="auto"/>
            <w:vAlign w:val="center"/>
            <w:hideMark/>
          </w:tcPr>
          <w:p w14:paraId="0EF79593" w14:textId="77777777" w:rsidR="00000000" w:rsidRDefault="00195E73">
            <w:pPr>
              <w:rPr>
                <w:rFonts w:eastAsia="Times New Roman"/>
                <w:sz w:val="20"/>
                <w:szCs w:val="20"/>
              </w:rPr>
            </w:pPr>
          </w:p>
        </w:tc>
        <w:tc>
          <w:tcPr>
            <w:tcW w:w="0" w:type="auto"/>
            <w:vAlign w:val="center"/>
            <w:hideMark/>
          </w:tcPr>
          <w:p w14:paraId="4B31ED90" w14:textId="77777777" w:rsidR="00000000" w:rsidRDefault="00195E73">
            <w:pPr>
              <w:rPr>
                <w:rFonts w:eastAsia="Times New Roman"/>
                <w:sz w:val="20"/>
                <w:szCs w:val="20"/>
              </w:rPr>
            </w:pPr>
          </w:p>
        </w:tc>
        <w:tc>
          <w:tcPr>
            <w:tcW w:w="0" w:type="auto"/>
            <w:vAlign w:val="center"/>
            <w:hideMark/>
          </w:tcPr>
          <w:p w14:paraId="557379E3" w14:textId="77777777" w:rsidR="00000000" w:rsidRDefault="00195E73">
            <w:pPr>
              <w:rPr>
                <w:rFonts w:eastAsia="Times New Roman"/>
                <w:sz w:val="20"/>
                <w:szCs w:val="20"/>
              </w:rPr>
            </w:pPr>
          </w:p>
        </w:tc>
        <w:tc>
          <w:tcPr>
            <w:tcW w:w="0" w:type="auto"/>
            <w:vAlign w:val="center"/>
            <w:hideMark/>
          </w:tcPr>
          <w:p w14:paraId="4A17EBBB" w14:textId="77777777" w:rsidR="00000000" w:rsidRDefault="00195E73">
            <w:pPr>
              <w:rPr>
                <w:rFonts w:eastAsia="Times New Roman"/>
                <w:sz w:val="20"/>
                <w:szCs w:val="20"/>
              </w:rPr>
            </w:pPr>
          </w:p>
        </w:tc>
        <w:tc>
          <w:tcPr>
            <w:tcW w:w="0" w:type="auto"/>
            <w:vAlign w:val="center"/>
            <w:hideMark/>
          </w:tcPr>
          <w:p w14:paraId="12BB3EDA" w14:textId="77777777" w:rsidR="00000000" w:rsidRDefault="00195E73">
            <w:pPr>
              <w:rPr>
                <w:rFonts w:eastAsia="Times New Roman"/>
                <w:sz w:val="20"/>
                <w:szCs w:val="20"/>
              </w:rPr>
            </w:pPr>
          </w:p>
        </w:tc>
        <w:tc>
          <w:tcPr>
            <w:tcW w:w="0" w:type="auto"/>
            <w:vAlign w:val="center"/>
            <w:hideMark/>
          </w:tcPr>
          <w:p w14:paraId="3466E379" w14:textId="77777777" w:rsidR="00000000" w:rsidRDefault="00195E73">
            <w:pPr>
              <w:rPr>
                <w:rFonts w:eastAsia="Times New Roman"/>
                <w:sz w:val="20"/>
                <w:szCs w:val="20"/>
              </w:rPr>
            </w:pPr>
          </w:p>
        </w:tc>
      </w:tr>
      <w:tr w:rsidR="00000000" w14:paraId="143E76F8" w14:textId="77777777">
        <w:trPr>
          <w:divId w:val="1251505288"/>
        </w:trPr>
        <w:tc>
          <w:tcPr>
            <w:tcW w:w="0" w:type="auto"/>
            <w:gridSpan w:val="3"/>
            <w:shd w:val="clear" w:color="auto" w:fill="FFFFFF"/>
            <w:tcMar>
              <w:top w:w="30" w:type="dxa"/>
              <w:left w:w="20" w:type="dxa"/>
              <w:bottom w:w="30" w:type="dxa"/>
              <w:right w:w="20" w:type="dxa"/>
            </w:tcMar>
            <w:vAlign w:val="bottom"/>
            <w:hideMark/>
          </w:tcPr>
          <w:p w14:paraId="055E75AD" w14:textId="77777777" w:rsidR="00000000" w:rsidRDefault="00195E73">
            <w:pPr>
              <w:rPr>
                <w:rFonts w:eastAsia="Times New Roman"/>
              </w:rPr>
            </w:pPr>
            <w:r>
              <w:rPr>
                <w:rFonts w:eastAsia="Times New Roman"/>
                <w:color w:val="000000"/>
                <w:sz w:val="20"/>
                <w:szCs w:val="20"/>
              </w:rPr>
              <w:t>Net income attributable to shareholder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3D50FB8" w14:textId="77777777" w:rsidR="00000000" w:rsidRDefault="00195E73">
            <w:pPr>
              <w:jc w:val="right"/>
              <w:rPr>
                <w:rFonts w:eastAsia="Times New Roman"/>
              </w:rPr>
            </w:pPr>
            <w:r>
              <w:rPr>
                <w:rFonts w:eastAsia="Times New Roman"/>
                <w:color w:val="000000"/>
                <w:sz w:val="20"/>
                <w:szCs w:val="20"/>
              </w:rPr>
              <w:t>(58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FC8BD37"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030FC9BD"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0FBB1AB9"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FCF47E" w14:textId="77777777" w:rsidR="00000000" w:rsidRDefault="00195E73">
            <w:pPr>
              <w:jc w:val="right"/>
              <w:rPr>
                <w:rFonts w:eastAsia="Times New Roman"/>
              </w:rPr>
            </w:pPr>
            <w:r>
              <w:rPr>
                <w:rFonts w:eastAsia="Times New Roman"/>
                <w:color w:val="000000"/>
                <w:sz w:val="20"/>
                <w:szCs w:val="20"/>
              </w:rPr>
              <w:t>(225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E3C429D"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48D46DC2"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18837476"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178333" w14:textId="77777777" w:rsidR="00000000" w:rsidRDefault="00195E73">
            <w:pPr>
              <w:jc w:val="right"/>
              <w:rPr>
                <w:rFonts w:eastAsia="Times New Roman"/>
              </w:rPr>
            </w:pPr>
            <w:r>
              <w:rPr>
                <w:rFonts w:eastAsia="Times New Roman"/>
                <w:color w:val="000000"/>
                <w:sz w:val="20"/>
                <w:szCs w:val="20"/>
              </w:rPr>
              <w:t>327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F10F51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896A08F" w14:textId="77777777" w:rsidR="00000000" w:rsidRDefault="00195E73">
            <w:pPr>
              <w:rPr>
                <w:rFonts w:eastAsia="Times New Roman"/>
                <w:sz w:val="20"/>
                <w:szCs w:val="20"/>
              </w:rPr>
            </w:pPr>
          </w:p>
        </w:tc>
        <w:tc>
          <w:tcPr>
            <w:tcW w:w="0" w:type="auto"/>
            <w:vAlign w:val="center"/>
            <w:hideMark/>
          </w:tcPr>
          <w:p w14:paraId="259A72CE" w14:textId="77777777" w:rsidR="00000000" w:rsidRDefault="00195E73">
            <w:pPr>
              <w:rPr>
                <w:rFonts w:eastAsia="Times New Roman"/>
                <w:sz w:val="20"/>
                <w:szCs w:val="20"/>
              </w:rPr>
            </w:pPr>
          </w:p>
        </w:tc>
        <w:tc>
          <w:tcPr>
            <w:tcW w:w="0" w:type="auto"/>
            <w:vAlign w:val="center"/>
            <w:hideMark/>
          </w:tcPr>
          <w:p w14:paraId="31330F0C" w14:textId="77777777" w:rsidR="00000000" w:rsidRDefault="00195E73">
            <w:pPr>
              <w:rPr>
                <w:rFonts w:eastAsia="Times New Roman"/>
                <w:sz w:val="20"/>
                <w:szCs w:val="20"/>
              </w:rPr>
            </w:pPr>
          </w:p>
        </w:tc>
        <w:tc>
          <w:tcPr>
            <w:tcW w:w="0" w:type="auto"/>
            <w:vAlign w:val="center"/>
            <w:hideMark/>
          </w:tcPr>
          <w:p w14:paraId="0ED4FA68" w14:textId="77777777" w:rsidR="00000000" w:rsidRDefault="00195E73">
            <w:pPr>
              <w:rPr>
                <w:rFonts w:eastAsia="Times New Roman"/>
                <w:sz w:val="20"/>
                <w:szCs w:val="20"/>
              </w:rPr>
            </w:pPr>
          </w:p>
        </w:tc>
        <w:tc>
          <w:tcPr>
            <w:tcW w:w="0" w:type="auto"/>
            <w:vAlign w:val="center"/>
            <w:hideMark/>
          </w:tcPr>
          <w:p w14:paraId="1B97205B" w14:textId="77777777" w:rsidR="00000000" w:rsidRDefault="00195E73">
            <w:pPr>
              <w:rPr>
                <w:rFonts w:eastAsia="Times New Roman"/>
                <w:sz w:val="20"/>
                <w:szCs w:val="20"/>
              </w:rPr>
            </w:pPr>
          </w:p>
        </w:tc>
        <w:tc>
          <w:tcPr>
            <w:tcW w:w="0" w:type="auto"/>
            <w:vAlign w:val="center"/>
            <w:hideMark/>
          </w:tcPr>
          <w:p w14:paraId="0FC0FBDC" w14:textId="77777777" w:rsidR="00000000" w:rsidRDefault="00195E73">
            <w:pPr>
              <w:rPr>
                <w:rFonts w:eastAsia="Times New Roman"/>
                <w:sz w:val="20"/>
                <w:szCs w:val="20"/>
              </w:rPr>
            </w:pPr>
          </w:p>
        </w:tc>
        <w:tc>
          <w:tcPr>
            <w:tcW w:w="0" w:type="auto"/>
            <w:vAlign w:val="center"/>
            <w:hideMark/>
          </w:tcPr>
          <w:p w14:paraId="798ACE42" w14:textId="77777777" w:rsidR="00000000" w:rsidRDefault="00195E73">
            <w:pPr>
              <w:rPr>
                <w:rFonts w:eastAsia="Times New Roman"/>
                <w:sz w:val="20"/>
                <w:szCs w:val="20"/>
              </w:rPr>
            </w:pPr>
          </w:p>
        </w:tc>
        <w:tc>
          <w:tcPr>
            <w:tcW w:w="0" w:type="auto"/>
            <w:vAlign w:val="center"/>
            <w:hideMark/>
          </w:tcPr>
          <w:p w14:paraId="5D17A1AD" w14:textId="77777777" w:rsidR="00000000" w:rsidRDefault="00195E73">
            <w:pPr>
              <w:rPr>
                <w:rFonts w:eastAsia="Times New Roman"/>
                <w:sz w:val="20"/>
                <w:szCs w:val="20"/>
              </w:rPr>
            </w:pPr>
          </w:p>
        </w:tc>
        <w:tc>
          <w:tcPr>
            <w:tcW w:w="0" w:type="auto"/>
            <w:vAlign w:val="center"/>
            <w:hideMark/>
          </w:tcPr>
          <w:p w14:paraId="6EA252AB" w14:textId="77777777" w:rsidR="00000000" w:rsidRDefault="00195E73">
            <w:pPr>
              <w:rPr>
                <w:rFonts w:eastAsia="Times New Roman"/>
                <w:sz w:val="20"/>
                <w:szCs w:val="20"/>
              </w:rPr>
            </w:pPr>
          </w:p>
        </w:tc>
        <w:tc>
          <w:tcPr>
            <w:tcW w:w="0" w:type="auto"/>
            <w:vAlign w:val="center"/>
            <w:hideMark/>
          </w:tcPr>
          <w:p w14:paraId="644A6EBE" w14:textId="77777777" w:rsidR="00000000" w:rsidRDefault="00195E73">
            <w:pPr>
              <w:rPr>
                <w:rFonts w:eastAsia="Times New Roman"/>
                <w:sz w:val="20"/>
                <w:szCs w:val="20"/>
              </w:rPr>
            </w:pPr>
          </w:p>
        </w:tc>
        <w:tc>
          <w:tcPr>
            <w:tcW w:w="0" w:type="auto"/>
            <w:vAlign w:val="center"/>
            <w:hideMark/>
          </w:tcPr>
          <w:p w14:paraId="16875C59" w14:textId="77777777" w:rsidR="00000000" w:rsidRDefault="00195E73">
            <w:pPr>
              <w:rPr>
                <w:rFonts w:eastAsia="Times New Roman"/>
                <w:sz w:val="20"/>
                <w:szCs w:val="20"/>
              </w:rPr>
            </w:pPr>
          </w:p>
        </w:tc>
        <w:tc>
          <w:tcPr>
            <w:tcW w:w="0" w:type="auto"/>
            <w:vAlign w:val="center"/>
            <w:hideMark/>
          </w:tcPr>
          <w:p w14:paraId="61EE7655" w14:textId="77777777" w:rsidR="00000000" w:rsidRDefault="00195E73">
            <w:pPr>
              <w:rPr>
                <w:rFonts w:eastAsia="Times New Roman"/>
                <w:sz w:val="20"/>
                <w:szCs w:val="20"/>
              </w:rPr>
            </w:pPr>
          </w:p>
        </w:tc>
      </w:tr>
    </w:tbl>
    <w:p w14:paraId="3B66C4A3" w14:textId="77777777" w:rsidR="00000000" w:rsidRDefault="00195E73">
      <w:pPr>
        <w:divId w:val="553397085"/>
        <w:rPr>
          <w:rFonts w:eastAsia="Times New Roman"/>
        </w:rPr>
      </w:pPr>
    </w:p>
    <w:p w14:paraId="7092720F" w14:textId="77777777" w:rsidR="00000000" w:rsidRDefault="00195E73">
      <w:pPr>
        <w:divId w:val="357241215"/>
        <w:rPr>
          <w:rFonts w:eastAsia="Times New Roman"/>
        </w:rPr>
      </w:pPr>
      <w:r>
        <w:rPr>
          <w:rFonts w:eastAsia="Times New Roman"/>
          <w:i/>
          <w:iCs/>
          <w:color w:val="000000"/>
          <w:sz w:val="20"/>
          <w:szCs w:val="20"/>
        </w:rPr>
        <w:t>Caesars Entertainment Corporatio</w:t>
      </w:r>
      <w:r>
        <w:rPr>
          <w:rFonts w:eastAsia="Times New Roman"/>
          <w:i/>
          <w:iCs/>
          <w:color w:val="000000"/>
          <w:sz w:val="20"/>
          <w:szCs w:val="20"/>
        </w:rPr>
        <w:t>n</w:t>
      </w:r>
    </w:p>
    <w:p w14:paraId="3D2EA947" w14:textId="77777777" w:rsidR="00000000" w:rsidRDefault="00195E73">
      <w:pPr>
        <w:ind w:firstLine="450"/>
        <w:divId w:val="803742518"/>
        <w:rPr>
          <w:rFonts w:eastAsia="Times New Roman"/>
        </w:rPr>
      </w:pPr>
      <w:r>
        <w:rPr>
          <w:rFonts w:eastAsia="Times New Roman"/>
          <w:color w:val="000000"/>
          <w:sz w:val="20"/>
          <w:szCs w:val="20"/>
        </w:rPr>
        <w:t>We obtained significant influence over Caesars Entertainment Corporation (“Caesars”), and elected the fair value option with respect to our investment in Caesars, beginning in the first quarter of 2019. As</w:t>
      </w:r>
      <w:r>
        <w:rPr>
          <w:rFonts w:eastAsia="Times New Roman"/>
          <w:color w:val="000000"/>
          <w:sz w:val="20"/>
          <w:szCs w:val="20"/>
        </w:rPr>
        <w:t xml:space="preserve"> of December 31, 2019, Caesars had total assets of approximately $25.3 billion, total liabilities of $23.1 billion and equity of $2.2 billion. For 2019, during the period in which we had significant influence over Caesars, revenues were $8.7 billion and ne</w:t>
      </w:r>
      <w:r>
        <w:rPr>
          <w:rFonts w:eastAsia="Times New Roman"/>
          <w:color w:val="000000"/>
          <w:sz w:val="20"/>
          <w:szCs w:val="20"/>
        </w:rPr>
        <w:t>t income attributable to Caesars’ shareholders was $(1.2) billion. During the second quarter of 2019, we agreed to vote our Caesars’ shares in favor of the proposed merger between Caesars and Eldorado Resorts, Inc. (“Eldorado”). Pursuant to the merger, Cae</w:t>
      </w:r>
      <w:r>
        <w:rPr>
          <w:rFonts w:eastAsia="Times New Roman"/>
          <w:color w:val="000000"/>
          <w:sz w:val="20"/>
          <w:szCs w:val="20"/>
        </w:rPr>
        <w:t>sars will merge into a subsidiary of Eldorado and Caesars stockholders will have the right, subject to certain allocation limitations, to elect to receive cash, stock in Eldorado, or a combination of cash and stock. Upon consummation of the merger, dependi</w:t>
      </w:r>
      <w:r>
        <w:rPr>
          <w:rFonts w:eastAsia="Times New Roman"/>
          <w:color w:val="000000"/>
          <w:sz w:val="20"/>
          <w:szCs w:val="20"/>
        </w:rPr>
        <w:t>ng on what consideration we and other stockholders elect, we expect to receive a combination of cash and Eldorado shares. The transaction has not yet been consummated as of December 31, 2019</w:t>
      </w:r>
      <w:r>
        <w:rPr>
          <w:rFonts w:eastAsia="Times New Roman"/>
          <w:color w:val="000000"/>
          <w:sz w:val="20"/>
          <w:szCs w:val="20"/>
        </w:rPr>
        <w:t>.</w:t>
      </w:r>
    </w:p>
    <w:p w14:paraId="4220DE23" w14:textId="77777777" w:rsidR="00000000" w:rsidRDefault="00195E73">
      <w:pPr>
        <w:divId w:val="1395734123"/>
        <w:rPr>
          <w:rFonts w:eastAsia="Times New Roman"/>
        </w:rPr>
      </w:pPr>
      <w:r>
        <w:rPr>
          <w:rFonts w:eastAsia="Times New Roman"/>
          <w:b/>
          <w:bCs/>
          <w:i/>
          <w:iCs/>
          <w:color w:val="000000"/>
          <w:sz w:val="20"/>
          <w:szCs w:val="20"/>
        </w:rPr>
        <w:t>Other Segments and Holding Compan</w:t>
      </w:r>
      <w:r>
        <w:rPr>
          <w:rFonts w:eastAsia="Times New Roman"/>
          <w:b/>
          <w:bCs/>
          <w:i/>
          <w:iCs/>
          <w:color w:val="000000"/>
          <w:sz w:val="20"/>
          <w:szCs w:val="20"/>
        </w:rPr>
        <w:t>y</w:t>
      </w:r>
    </w:p>
    <w:p w14:paraId="01F6BA49" w14:textId="77777777" w:rsidR="00000000" w:rsidRDefault="00195E73">
      <w:pPr>
        <w:ind w:firstLine="450"/>
        <w:divId w:val="996344980"/>
        <w:rPr>
          <w:rFonts w:eastAsia="Times New Roman"/>
        </w:rPr>
      </w:pPr>
      <w:r>
        <w:rPr>
          <w:rFonts w:eastAsia="Times New Roman"/>
          <w:color w:val="000000"/>
          <w:sz w:val="20"/>
          <w:szCs w:val="20"/>
        </w:rPr>
        <w:t>With the exception of certain</w:t>
      </w:r>
      <w:r>
        <w:rPr>
          <w:rFonts w:eastAsia="Times New Roman"/>
          <w:color w:val="000000"/>
          <w:sz w:val="20"/>
          <w:szCs w:val="20"/>
        </w:rPr>
        <w:t xml:space="preserve"> equity method investments at our operating subsidiaries and our Holding Company disclosed in the table below, our investments are measured at fair value in our consolidated balance sheets. The carrying value of investments held by our other segments and o</w:t>
      </w:r>
      <w:r>
        <w:rPr>
          <w:rFonts w:eastAsia="Times New Roman"/>
          <w:color w:val="000000"/>
          <w:sz w:val="20"/>
          <w:szCs w:val="20"/>
        </w:rPr>
        <w:t>ur Holding Company consist of the following</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2"/>
        <w:gridCol w:w="5451"/>
        <w:gridCol w:w="52"/>
        <w:gridCol w:w="135"/>
        <w:gridCol w:w="993"/>
        <w:gridCol w:w="85"/>
        <w:gridCol w:w="36"/>
        <w:gridCol w:w="36"/>
        <w:gridCol w:w="36"/>
        <w:gridCol w:w="135"/>
        <w:gridCol w:w="969"/>
        <w:gridCol w:w="85"/>
        <w:gridCol w:w="36"/>
        <w:gridCol w:w="36"/>
        <w:gridCol w:w="36"/>
        <w:gridCol w:w="36"/>
        <w:gridCol w:w="36"/>
        <w:gridCol w:w="36"/>
      </w:tblGrid>
      <w:tr w:rsidR="00000000" w14:paraId="5CDAD157" w14:textId="77777777">
        <w:trPr>
          <w:gridAfter w:val="6"/>
          <w:divId w:val="2004697824"/>
          <w:jc w:val="center"/>
        </w:trPr>
        <w:tc>
          <w:tcPr>
            <w:tcW w:w="50" w:type="pct"/>
            <w:vAlign w:val="center"/>
            <w:hideMark/>
          </w:tcPr>
          <w:p w14:paraId="715546A0" w14:textId="77777777" w:rsidR="00000000" w:rsidRDefault="00195E73">
            <w:pPr>
              <w:ind w:firstLine="450"/>
              <w:rPr>
                <w:rFonts w:eastAsia="Times New Roman"/>
              </w:rPr>
            </w:pPr>
          </w:p>
        </w:tc>
        <w:tc>
          <w:tcPr>
            <w:tcW w:w="3397" w:type="pct"/>
            <w:vAlign w:val="center"/>
            <w:hideMark/>
          </w:tcPr>
          <w:p w14:paraId="6F836C99" w14:textId="77777777" w:rsidR="00000000" w:rsidRDefault="00195E73">
            <w:pPr>
              <w:rPr>
                <w:rFonts w:eastAsia="Times New Roman"/>
                <w:sz w:val="20"/>
                <w:szCs w:val="20"/>
              </w:rPr>
            </w:pPr>
          </w:p>
        </w:tc>
        <w:tc>
          <w:tcPr>
            <w:tcW w:w="50" w:type="pct"/>
            <w:vAlign w:val="center"/>
            <w:hideMark/>
          </w:tcPr>
          <w:p w14:paraId="1FEA1FE5" w14:textId="77777777" w:rsidR="00000000" w:rsidRDefault="00195E73">
            <w:pPr>
              <w:rPr>
                <w:rFonts w:eastAsia="Times New Roman"/>
                <w:sz w:val="20"/>
                <w:szCs w:val="20"/>
              </w:rPr>
            </w:pPr>
          </w:p>
        </w:tc>
        <w:tc>
          <w:tcPr>
            <w:tcW w:w="50" w:type="pct"/>
            <w:vAlign w:val="center"/>
            <w:hideMark/>
          </w:tcPr>
          <w:p w14:paraId="73D666D6" w14:textId="77777777" w:rsidR="00000000" w:rsidRDefault="00195E73">
            <w:pPr>
              <w:rPr>
                <w:rFonts w:eastAsia="Times New Roman"/>
                <w:sz w:val="20"/>
                <w:szCs w:val="20"/>
              </w:rPr>
            </w:pPr>
          </w:p>
        </w:tc>
        <w:tc>
          <w:tcPr>
            <w:tcW w:w="633" w:type="pct"/>
            <w:vAlign w:val="center"/>
            <w:hideMark/>
          </w:tcPr>
          <w:p w14:paraId="033406FF" w14:textId="77777777" w:rsidR="00000000" w:rsidRDefault="00195E73">
            <w:pPr>
              <w:rPr>
                <w:rFonts w:eastAsia="Times New Roman"/>
                <w:sz w:val="20"/>
                <w:szCs w:val="20"/>
              </w:rPr>
            </w:pPr>
          </w:p>
        </w:tc>
        <w:tc>
          <w:tcPr>
            <w:tcW w:w="50" w:type="pct"/>
            <w:vAlign w:val="center"/>
            <w:hideMark/>
          </w:tcPr>
          <w:p w14:paraId="7DFD23CC" w14:textId="77777777" w:rsidR="00000000" w:rsidRDefault="00195E73">
            <w:pPr>
              <w:rPr>
                <w:rFonts w:eastAsia="Times New Roman"/>
                <w:sz w:val="20"/>
                <w:szCs w:val="20"/>
              </w:rPr>
            </w:pPr>
          </w:p>
        </w:tc>
        <w:tc>
          <w:tcPr>
            <w:tcW w:w="5" w:type="pct"/>
            <w:vAlign w:val="center"/>
            <w:hideMark/>
          </w:tcPr>
          <w:p w14:paraId="73534E08" w14:textId="77777777" w:rsidR="00000000" w:rsidRDefault="00195E73">
            <w:pPr>
              <w:rPr>
                <w:rFonts w:eastAsia="Times New Roman"/>
                <w:sz w:val="20"/>
                <w:szCs w:val="20"/>
              </w:rPr>
            </w:pPr>
          </w:p>
        </w:tc>
        <w:tc>
          <w:tcPr>
            <w:tcW w:w="26" w:type="pct"/>
            <w:vAlign w:val="center"/>
            <w:hideMark/>
          </w:tcPr>
          <w:p w14:paraId="5DE582AA" w14:textId="77777777" w:rsidR="00000000" w:rsidRDefault="00195E73">
            <w:pPr>
              <w:rPr>
                <w:rFonts w:eastAsia="Times New Roman"/>
                <w:sz w:val="20"/>
                <w:szCs w:val="20"/>
              </w:rPr>
            </w:pPr>
          </w:p>
        </w:tc>
        <w:tc>
          <w:tcPr>
            <w:tcW w:w="5" w:type="pct"/>
            <w:vAlign w:val="center"/>
            <w:hideMark/>
          </w:tcPr>
          <w:p w14:paraId="48D2940A" w14:textId="77777777" w:rsidR="00000000" w:rsidRDefault="00195E73">
            <w:pPr>
              <w:rPr>
                <w:rFonts w:eastAsia="Times New Roman"/>
                <w:sz w:val="20"/>
                <w:szCs w:val="20"/>
              </w:rPr>
            </w:pPr>
          </w:p>
        </w:tc>
        <w:tc>
          <w:tcPr>
            <w:tcW w:w="50" w:type="pct"/>
            <w:vAlign w:val="center"/>
            <w:hideMark/>
          </w:tcPr>
          <w:p w14:paraId="51862D22" w14:textId="77777777" w:rsidR="00000000" w:rsidRDefault="00195E73">
            <w:pPr>
              <w:rPr>
                <w:rFonts w:eastAsia="Times New Roman"/>
                <w:sz w:val="20"/>
                <w:szCs w:val="20"/>
              </w:rPr>
            </w:pPr>
          </w:p>
        </w:tc>
        <w:tc>
          <w:tcPr>
            <w:tcW w:w="633" w:type="pct"/>
            <w:vAlign w:val="center"/>
            <w:hideMark/>
          </w:tcPr>
          <w:p w14:paraId="237E419A" w14:textId="77777777" w:rsidR="00000000" w:rsidRDefault="00195E73">
            <w:pPr>
              <w:rPr>
                <w:rFonts w:eastAsia="Times New Roman"/>
                <w:sz w:val="20"/>
                <w:szCs w:val="20"/>
              </w:rPr>
            </w:pPr>
          </w:p>
        </w:tc>
        <w:tc>
          <w:tcPr>
            <w:tcW w:w="50" w:type="pct"/>
            <w:vAlign w:val="center"/>
            <w:hideMark/>
          </w:tcPr>
          <w:p w14:paraId="3DA77907" w14:textId="77777777" w:rsidR="00000000" w:rsidRDefault="00195E73">
            <w:pPr>
              <w:rPr>
                <w:rFonts w:eastAsia="Times New Roman"/>
                <w:sz w:val="20"/>
                <w:szCs w:val="20"/>
              </w:rPr>
            </w:pPr>
          </w:p>
        </w:tc>
      </w:tr>
      <w:tr w:rsidR="00000000" w14:paraId="262A0145" w14:textId="77777777">
        <w:trPr>
          <w:divId w:val="2004697824"/>
          <w:jc w:val="center"/>
        </w:trPr>
        <w:tc>
          <w:tcPr>
            <w:tcW w:w="0" w:type="auto"/>
            <w:gridSpan w:val="3"/>
            <w:tcMar>
              <w:top w:w="15" w:type="dxa"/>
              <w:left w:w="20" w:type="dxa"/>
              <w:bottom w:w="15" w:type="dxa"/>
              <w:right w:w="20" w:type="dxa"/>
            </w:tcMar>
            <w:vAlign w:val="bottom"/>
            <w:hideMark/>
          </w:tcPr>
          <w:p w14:paraId="519DE19A"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30E4B979"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51AC1958" w14:textId="77777777" w:rsidR="00000000" w:rsidRDefault="00195E73">
            <w:pPr>
              <w:jc w:val="center"/>
              <w:rPr>
                <w:rFonts w:eastAsia="Times New Roman"/>
              </w:rPr>
            </w:pPr>
          </w:p>
        </w:tc>
        <w:tc>
          <w:tcPr>
            <w:tcW w:w="0" w:type="auto"/>
            <w:gridSpan w:val="3"/>
            <w:vAlign w:val="center"/>
            <w:hideMark/>
          </w:tcPr>
          <w:p w14:paraId="52551C42" w14:textId="77777777" w:rsidR="00000000" w:rsidRDefault="00195E73">
            <w:pPr>
              <w:rPr>
                <w:rFonts w:eastAsia="Times New Roman"/>
                <w:sz w:val="20"/>
                <w:szCs w:val="20"/>
              </w:rPr>
            </w:pPr>
          </w:p>
        </w:tc>
      </w:tr>
      <w:tr w:rsidR="00000000" w14:paraId="37D3286B" w14:textId="77777777">
        <w:trPr>
          <w:divId w:val="2004697824"/>
          <w:jc w:val="center"/>
        </w:trPr>
        <w:tc>
          <w:tcPr>
            <w:tcW w:w="0" w:type="auto"/>
            <w:gridSpan w:val="3"/>
            <w:tcMar>
              <w:top w:w="15" w:type="dxa"/>
              <w:left w:w="20" w:type="dxa"/>
              <w:bottom w:w="15" w:type="dxa"/>
              <w:right w:w="20" w:type="dxa"/>
            </w:tcMar>
            <w:vAlign w:val="bottom"/>
            <w:hideMark/>
          </w:tcPr>
          <w:p w14:paraId="347F801F"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A62E6C0"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5F3B242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AE69BD2"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7BF4B535" w14:textId="77777777" w:rsidR="00000000" w:rsidRDefault="00195E73">
            <w:pPr>
              <w:rPr>
                <w:rFonts w:eastAsia="Times New Roman"/>
                <w:sz w:val="20"/>
                <w:szCs w:val="20"/>
              </w:rPr>
            </w:pPr>
          </w:p>
        </w:tc>
        <w:tc>
          <w:tcPr>
            <w:tcW w:w="0" w:type="auto"/>
            <w:vAlign w:val="center"/>
            <w:hideMark/>
          </w:tcPr>
          <w:p w14:paraId="75D89E13" w14:textId="77777777" w:rsidR="00000000" w:rsidRDefault="00195E73">
            <w:pPr>
              <w:rPr>
                <w:rFonts w:eastAsia="Times New Roman"/>
                <w:sz w:val="20"/>
                <w:szCs w:val="20"/>
              </w:rPr>
            </w:pPr>
          </w:p>
        </w:tc>
        <w:tc>
          <w:tcPr>
            <w:tcW w:w="0" w:type="auto"/>
            <w:vAlign w:val="center"/>
            <w:hideMark/>
          </w:tcPr>
          <w:p w14:paraId="1235276E" w14:textId="77777777" w:rsidR="00000000" w:rsidRDefault="00195E73">
            <w:pPr>
              <w:rPr>
                <w:rFonts w:eastAsia="Times New Roman"/>
                <w:sz w:val="20"/>
                <w:szCs w:val="20"/>
              </w:rPr>
            </w:pPr>
          </w:p>
        </w:tc>
        <w:tc>
          <w:tcPr>
            <w:tcW w:w="0" w:type="auto"/>
            <w:vAlign w:val="center"/>
            <w:hideMark/>
          </w:tcPr>
          <w:p w14:paraId="1C36696D" w14:textId="77777777" w:rsidR="00000000" w:rsidRDefault="00195E73">
            <w:pPr>
              <w:rPr>
                <w:rFonts w:eastAsia="Times New Roman"/>
                <w:sz w:val="20"/>
                <w:szCs w:val="20"/>
              </w:rPr>
            </w:pPr>
          </w:p>
        </w:tc>
        <w:tc>
          <w:tcPr>
            <w:tcW w:w="0" w:type="auto"/>
            <w:vAlign w:val="center"/>
            <w:hideMark/>
          </w:tcPr>
          <w:p w14:paraId="6E77327E" w14:textId="77777777" w:rsidR="00000000" w:rsidRDefault="00195E73">
            <w:pPr>
              <w:rPr>
                <w:rFonts w:eastAsia="Times New Roman"/>
                <w:sz w:val="20"/>
                <w:szCs w:val="20"/>
              </w:rPr>
            </w:pPr>
          </w:p>
        </w:tc>
        <w:tc>
          <w:tcPr>
            <w:tcW w:w="0" w:type="auto"/>
            <w:vAlign w:val="center"/>
            <w:hideMark/>
          </w:tcPr>
          <w:p w14:paraId="6DD8F8F1" w14:textId="77777777" w:rsidR="00000000" w:rsidRDefault="00195E73">
            <w:pPr>
              <w:rPr>
                <w:rFonts w:eastAsia="Times New Roman"/>
                <w:sz w:val="20"/>
                <w:szCs w:val="20"/>
              </w:rPr>
            </w:pPr>
          </w:p>
        </w:tc>
      </w:tr>
      <w:tr w:rsidR="00000000" w14:paraId="6112C6DA" w14:textId="77777777">
        <w:trPr>
          <w:divId w:val="2004697824"/>
          <w:jc w:val="center"/>
        </w:trPr>
        <w:tc>
          <w:tcPr>
            <w:tcW w:w="0" w:type="auto"/>
            <w:gridSpan w:val="3"/>
            <w:tcMar>
              <w:top w:w="15" w:type="dxa"/>
              <w:left w:w="20" w:type="dxa"/>
              <w:bottom w:w="15" w:type="dxa"/>
              <w:right w:w="20" w:type="dxa"/>
            </w:tcMar>
            <w:vAlign w:val="bottom"/>
            <w:hideMark/>
          </w:tcPr>
          <w:p w14:paraId="3AC255E1"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C657DBE"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6C95B62A" w14:textId="77777777" w:rsidR="00000000" w:rsidRDefault="00195E73">
            <w:pPr>
              <w:jc w:val="center"/>
              <w:rPr>
                <w:rFonts w:eastAsia="Times New Roman"/>
              </w:rPr>
            </w:pPr>
          </w:p>
        </w:tc>
        <w:tc>
          <w:tcPr>
            <w:tcW w:w="0" w:type="auto"/>
            <w:gridSpan w:val="3"/>
            <w:vAlign w:val="center"/>
            <w:hideMark/>
          </w:tcPr>
          <w:p w14:paraId="467A68C9" w14:textId="77777777" w:rsidR="00000000" w:rsidRDefault="00195E73">
            <w:pPr>
              <w:rPr>
                <w:rFonts w:eastAsia="Times New Roman"/>
                <w:sz w:val="20"/>
                <w:szCs w:val="20"/>
              </w:rPr>
            </w:pPr>
          </w:p>
        </w:tc>
      </w:tr>
      <w:tr w:rsidR="00000000" w14:paraId="6FD95E3E" w14:textId="77777777">
        <w:trPr>
          <w:divId w:val="2004697824"/>
          <w:jc w:val="center"/>
        </w:trPr>
        <w:tc>
          <w:tcPr>
            <w:tcW w:w="0" w:type="auto"/>
            <w:gridSpan w:val="3"/>
            <w:shd w:val="clear" w:color="auto" w:fill="CCEEFF"/>
            <w:tcMar>
              <w:top w:w="30" w:type="dxa"/>
              <w:left w:w="20" w:type="dxa"/>
              <w:bottom w:w="30" w:type="dxa"/>
              <w:right w:w="20" w:type="dxa"/>
            </w:tcMar>
            <w:vAlign w:val="bottom"/>
            <w:hideMark/>
          </w:tcPr>
          <w:p w14:paraId="28637F40" w14:textId="77777777" w:rsidR="00000000" w:rsidRDefault="00195E73">
            <w:pPr>
              <w:rPr>
                <w:rFonts w:eastAsia="Times New Roman"/>
              </w:rPr>
            </w:pPr>
            <w:r>
              <w:rPr>
                <w:rFonts w:eastAsia="Times New Roman"/>
                <w:color w:val="000000"/>
                <w:sz w:val="20"/>
                <w:szCs w:val="20"/>
              </w:rPr>
              <w:t>Equity method investment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0C157CD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F63F01F" w14:textId="77777777" w:rsidR="00000000" w:rsidRDefault="00195E73">
            <w:pPr>
              <w:jc w:val="right"/>
              <w:rPr>
                <w:rFonts w:eastAsia="Times New Roman"/>
              </w:rPr>
            </w:pPr>
            <w:r>
              <w:rPr>
                <w:rFonts w:eastAsia="Times New Roman"/>
                <w:color w:val="000000"/>
                <w:sz w:val="20"/>
                <w:szCs w:val="20"/>
              </w:rPr>
              <w:t>201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7FF93D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2D6F93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C22AA1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8E3ED4D" w14:textId="77777777" w:rsidR="00000000" w:rsidRDefault="00195E73">
            <w:pPr>
              <w:jc w:val="right"/>
              <w:rPr>
                <w:rFonts w:eastAsia="Times New Roman"/>
              </w:rPr>
            </w:pPr>
            <w:r>
              <w:rPr>
                <w:rFonts w:eastAsia="Times New Roman"/>
                <w:color w:val="000000"/>
                <w:sz w:val="20"/>
                <w:szCs w:val="20"/>
              </w:rPr>
              <w:t>143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B137E9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5ED0621" w14:textId="77777777" w:rsidR="00000000" w:rsidRDefault="00195E73">
            <w:pPr>
              <w:rPr>
                <w:rFonts w:eastAsia="Times New Roman"/>
                <w:sz w:val="20"/>
                <w:szCs w:val="20"/>
              </w:rPr>
            </w:pPr>
          </w:p>
        </w:tc>
        <w:tc>
          <w:tcPr>
            <w:tcW w:w="0" w:type="auto"/>
            <w:vAlign w:val="center"/>
            <w:hideMark/>
          </w:tcPr>
          <w:p w14:paraId="01110991" w14:textId="77777777" w:rsidR="00000000" w:rsidRDefault="00195E73">
            <w:pPr>
              <w:rPr>
                <w:rFonts w:eastAsia="Times New Roman"/>
                <w:sz w:val="20"/>
                <w:szCs w:val="20"/>
              </w:rPr>
            </w:pPr>
          </w:p>
        </w:tc>
        <w:tc>
          <w:tcPr>
            <w:tcW w:w="0" w:type="auto"/>
            <w:vAlign w:val="center"/>
            <w:hideMark/>
          </w:tcPr>
          <w:p w14:paraId="05A8B088" w14:textId="77777777" w:rsidR="00000000" w:rsidRDefault="00195E73">
            <w:pPr>
              <w:rPr>
                <w:rFonts w:eastAsia="Times New Roman"/>
                <w:sz w:val="20"/>
                <w:szCs w:val="20"/>
              </w:rPr>
            </w:pPr>
          </w:p>
        </w:tc>
        <w:tc>
          <w:tcPr>
            <w:tcW w:w="0" w:type="auto"/>
            <w:vAlign w:val="center"/>
            <w:hideMark/>
          </w:tcPr>
          <w:p w14:paraId="3389155E" w14:textId="77777777" w:rsidR="00000000" w:rsidRDefault="00195E73">
            <w:pPr>
              <w:rPr>
                <w:rFonts w:eastAsia="Times New Roman"/>
                <w:sz w:val="20"/>
                <w:szCs w:val="20"/>
              </w:rPr>
            </w:pPr>
          </w:p>
        </w:tc>
        <w:tc>
          <w:tcPr>
            <w:tcW w:w="0" w:type="auto"/>
            <w:vAlign w:val="center"/>
            <w:hideMark/>
          </w:tcPr>
          <w:p w14:paraId="2D0592D2" w14:textId="77777777" w:rsidR="00000000" w:rsidRDefault="00195E73">
            <w:pPr>
              <w:rPr>
                <w:rFonts w:eastAsia="Times New Roman"/>
                <w:sz w:val="20"/>
                <w:szCs w:val="20"/>
              </w:rPr>
            </w:pPr>
          </w:p>
        </w:tc>
        <w:tc>
          <w:tcPr>
            <w:tcW w:w="0" w:type="auto"/>
            <w:vAlign w:val="center"/>
            <w:hideMark/>
          </w:tcPr>
          <w:p w14:paraId="49DE4A68" w14:textId="77777777" w:rsidR="00000000" w:rsidRDefault="00195E73">
            <w:pPr>
              <w:rPr>
                <w:rFonts w:eastAsia="Times New Roman"/>
                <w:sz w:val="20"/>
                <w:szCs w:val="20"/>
              </w:rPr>
            </w:pPr>
          </w:p>
        </w:tc>
      </w:tr>
      <w:tr w:rsidR="00000000" w14:paraId="0D7B8DC3" w14:textId="77777777">
        <w:trPr>
          <w:divId w:val="2004697824"/>
          <w:jc w:val="center"/>
        </w:trPr>
        <w:tc>
          <w:tcPr>
            <w:tcW w:w="0" w:type="auto"/>
            <w:gridSpan w:val="3"/>
            <w:shd w:val="clear" w:color="auto" w:fill="FFFFFF"/>
            <w:tcMar>
              <w:top w:w="30" w:type="dxa"/>
              <w:left w:w="20" w:type="dxa"/>
              <w:bottom w:w="30" w:type="dxa"/>
              <w:right w:w="20" w:type="dxa"/>
            </w:tcMar>
            <w:vAlign w:val="bottom"/>
            <w:hideMark/>
          </w:tcPr>
          <w:p w14:paraId="01016C9C" w14:textId="77777777" w:rsidR="00000000" w:rsidRDefault="00195E73">
            <w:pPr>
              <w:rPr>
                <w:rFonts w:eastAsia="Times New Roman"/>
              </w:rPr>
            </w:pPr>
            <w:r>
              <w:rPr>
                <w:rFonts w:eastAsia="Times New Roman"/>
                <w:color w:val="000000"/>
                <w:sz w:val="20"/>
                <w:szCs w:val="20"/>
              </w:rPr>
              <w:t>Other investments (measured at fair value</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14:paraId="2EB0485B" w14:textId="77777777" w:rsidR="00000000" w:rsidRDefault="00195E73">
            <w:pPr>
              <w:jc w:val="right"/>
              <w:rPr>
                <w:rFonts w:eastAsia="Times New Roman"/>
              </w:rPr>
            </w:pPr>
            <w:r>
              <w:rPr>
                <w:rFonts w:eastAsia="Times New Roman"/>
                <w:color w:val="000000"/>
                <w:sz w:val="20"/>
                <w:szCs w:val="20"/>
              </w:rPr>
              <w:t>537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BD4A0E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2E8F9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472372" w14:textId="77777777" w:rsidR="00000000" w:rsidRDefault="00195E73">
            <w:pPr>
              <w:jc w:val="right"/>
              <w:rPr>
                <w:rFonts w:eastAsia="Times New Roman"/>
              </w:rPr>
            </w:pPr>
            <w:r>
              <w:rPr>
                <w:rFonts w:eastAsia="Times New Roman"/>
                <w:color w:val="000000"/>
                <w:sz w:val="20"/>
                <w:szCs w:val="20"/>
              </w:rPr>
              <w:t>1,327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427777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9202DFD" w14:textId="77777777" w:rsidR="00000000" w:rsidRDefault="00195E73">
            <w:pPr>
              <w:rPr>
                <w:rFonts w:eastAsia="Times New Roman"/>
                <w:sz w:val="20"/>
                <w:szCs w:val="20"/>
              </w:rPr>
            </w:pPr>
          </w:p>
        </w:tc>
        <w:tc>
          <w:tcPr>
            <w:tcW w:w="0" w:type="auto"/>
            <w:vAlign w:val="center"/>
            <w:hideMark/>
          </w:tcPr>
          <w:p w14:paraId="22910586" w14:textId="77777777" w:rsidR="00000000" w:rsidRDefault="00195E73">
            <w:pPr>
              <w:rPr>
                <w:rFonts w:eastAsia="Times New Roman"/>
                <w:sz w:val="20"/>
                <w:szCs w:val="20"/>
              </w:rPr>
            </w:pPr>
          </w:p>
        </w:tc>
        <w:tc>
          <w:tcPr>
            <w:tcW w:w="0" w:type="auto"/>
            <w:vAlign w:val="center"/>
            <w:hideMark/>
          </w:tcPr>
          <w:p w14:paraId="308DAB84" w14:textId="77777777" w:rsidR="00000000" w:rsidRDefault="00195E73">
            <w:pPr>
              <w:rPr>
                <w:rFonts w:eastAsia="Times New Roman"/>
                <w:sz w:val="20"/>
                <w:szCs w:val="20"/>
              </w:rPr>
            </w:pPr>
          </w:p>
        </w:tc>
        <w:tc>
          <w:tcPr>
            <w:tcW w:w="0" w:type="auto"/>
            <w:vAlign w:val="center"/>
            <w:hideMark/>
          </w:tcPr>
          <w:p w14:paraId="45F9A585" w14:textId="77777777" w:rsidR="00000000" w:rsidRDefault="00195E73">
            <w:pPr>
              <w:rPr>
                <w:rFonts w:eastAsia="Times New Roman"/>
                <w:sz w:val="20"/>
                <w:szCs w:val="20"/>
              </w:rPr>
            </w:pPr>
          </w:p>
        </w:tc>
        <w:tc>
          <w:tcPr>
            <w:tcW w:w="0" w:type="auto"/>
            <w:vAlign w:val="center"/>
            <w:hideMark/>
          </w:tcPr>
          <w:p w14:paraId="154FAC7F" w14:textId="77777777" w:rsidR="00000000" w:rsidRDefault="00195E73">
            <w:pPr>
              <w:rPr>
                <w:rFonts w:eastAsia="Times New Roman"/>
                <w:sz w:val="20"/>
                <w:szCs w:val="20"/>
              </w:rPr>
            </w:pPr>
          </w:p>
        </w:tc>
        <w:tc>
          <w:tcPr>
            <w:tcW w:w="0" w:type="auto"/>
            <w:vAlign w:val="center"/>
            <w:hideMark/>
          </w:tcPr>
          <w:p w14:paraId="2C993B10" w14:textId="77777777" w:rsidR="00000000" w:rsidRDefault="00195E73">
            <w:pPr>
              <w:rPr>
                <w:rFonts w:eastAsia="Times New Roman"/>
                <w:sz w:val="20"/>
                <w:szCs w:val="20"/>
              </w:rPr>
            </w:pPr>
          </w:p>
        </w:tc>
      </w:tr>
      <w:tr w:rsidR="00000000" w14:paraId="3160D9A1" w14:textId="77777777">
        <w:trPr>
          <w:divId w:val="2004697824"/>
          <w:jc w:val="center"/>
        </w:trPr>
        <w:tc>
          <w:tcPr>
            <w:tcW w:w="0" w:type="auto"/>
            <w:gridSpan w:val="3"/>
            <w:shd w:val="clear" w:color="auto" w:fill="CCEEFF"/>
            <w:tcMar>
              <w:top w:w="15" w:type="dxa"/>
              <w:left w:w="20" w:type="dxa"/>
              <w:bottom w:w="15" w:type="dxa"/>
              <w:right w:w="20" w:type="dxa"/>
            </w:tcMar>
            <w:vAlign w:val="bottom"/>
            <w:hideMark/>
          </w:tcPr>
          <w:p w14:paraId="57FA271D"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2BB62F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9D193D9" w14:textId="77777777" w:rsidR="00000000" w:rsidRDefault="00195E73">
            <w:pPr>
              <w:jc w:val="right"/>
              <w:rPr>
                <w:rFonts w:eastAsia="Times New Roman"/>
              </w:rPr>
            </w:pPr>
            <w:r>
              <w:rPr>
                <w:rFonts w:eastAsia="Times New Roman"/>
                <w:color w:val="000000"/>
                <w:sz w:val="20"/>
                <w:szCs w:val="20"/>
              </w:rPr>
              <w:t>738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821C30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448DAF"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AFC42C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A9980DC" w14:textId="77777777" w:rsidR="00000000" w:rsidRDefault="00195E73">
            <w:pPr>
              <w:jc w:val="right"/>
              <w:rPr>
                <w:rFonts w:eastAsia="Times New Roman"/>
              </w:rPr>
            </w:pPr>
            <w:r>
              <w:rPr>
                <w:rFonts w:eastAsia="Times New Roman"/>
                <w:color w:val="000000"/>
                <w:sz w:val="20"/>
                <w:szCs w:val="20"/>
              </w:rPr>
              <w:t>1,470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DF1723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2B71F83" w14:textId="77777777" w:rsidR="00000000" w:rsidRDefault="00195E73">
            <w:pPr>
              <w:rPr>
                <w:rFonts w:eastAsia="Times New Roman"/>
                <w:sz w:val="20"/>
                <w:szCs w:val="20"/>
              </w:rPr>
            </w:pPr>
          </w:p>
        </w:tc>
        <w:tc>
          <w:tcPr>
            <w:tcW w:w="0" w:type="auto"/>
            <w:vAlign w:val="center"/>
            <w:hideMark/>
          </w:tcPr>
          <w:p w14:paraId="2640D0B7" w14:textId="77777777" w:rsidR="00000000" w:rsidRDefault="00195E73">
            <w:pPr>
              <w:rPr>
                <w:rFonts w:eastAsia="Times New Roman"/>
                <w:sz w:val="20"/>
                <w:szCs w:val="20"/>
              </w:rPr>
            </w:pPr>
          </w:p>
        </w:tc>
        <w:tc>
          <w:tcPr>
            <w:tcW w:w="0" w:type="auto"/>
            <w:vAlign w:val="center"/>
            <w:hideMark/>
          </w:tcPr>
          <w:p w14:paraId="1F93B414" w14:textId="77777777" w:rsidR="00000000" w:rsidRDefault="00195E73">
            <w:pPr>
              <w:rPr>
                <w:rFonts w:eastAsia="Times New Roman"/>
                <w:sz w:val="20"/>
                <w:szCs w:val="20"/>
              </w:rPr>
            </w:pPr>
          </w:p>
        </w:tc>
        <w:tc>
          <w:tcPr>
            <w:tcW w:w="0" w:type="auto"/>
            <w:vAlign w:val="center"/>
            <w:hideMark/>
          </w:tcPr>
          <w:p w14:paraId="00703491" w14:textId="77777777" w:rsidR="00000000" w:rsidRDefault="00195E73">
            <w:pPr>
              <w:rPr>
                <w:rFonts w:eastAsia="Times New Roman"/>
                <w:sz w:val="20"/>
                <w:szCs w:val="20"/>
              </w:rPr>
            </w:pPr>
          </w:p>
        </w:tc>
        <w:tc>
          <w:tcPr>
            <w:tcW w:w="0" w:type="auto"/>
            <w:vAlign w:val="center"/>
            <w:hideMark/>
          </w:tcPr>
          <w:p w14:paraId="6B9D5539" w14:textId="77777777" w:rsidR="00000000" w:rsidRDefault="00195E73">
            <w:pPr>
              <w:rPr>
                <w:rFonts w:eastAsia="Times New Roman"/>
                <w:sz w:val="20"/>
                <w:szCs w:val="20"/>
              </w:rPr>
            </w:pPr>
          </w:p>
        </w:tc>
        <w:tc>
          <w:tcPr>
            <w:tcW w:w="0" w:type="auto"/>
            <w:vAlign w:val="center"/>
            <w:hideMark/>
          </w:tcPr>
          <w:p w14:paraId="0DDB4E8B" w14:textId="77777777" w:rsidR="00000000" w:rsidRDefault="00195E73">
            <w:pPr>
              <w:rPr>
                <w:rFonts w:eastAsia="Times New Roman"/>
                <w:sz w:val="20"/>
                <w:szCs w:val="20"/>
              </w:rPr>
            </w:pPr>
          </w:p>
        </w:tc>
      </w:tr>
    </w:tbl>
    <w:p w14:paraId="6B89B2A1" w14:textId="77777777" w:rsidR="00000000" w:rsidRDefault="00195E73">
      <w:pPr>
        <w:ind w:firstLine="450"/>
        <w:divId w:val="943459459"/>
        <w:rPr>
          <w:rFonts w:eastAsia="Times New Roman"/>
        </w:rPr>
      </w:pPr>
    </w:p>
    <w:p w14:paraId="1C96ACB9" w14:textId="77777777" w:rsidR="00000000" w:rsidRDefault="00195E73">
      <w:pPr>
        <w:jc w:val="center"/>
        <w:divId w:val="288317331"/>
        <w:rPr>
          <w:rFonts w:eastAsia="Times New Roman"/>
        </w:rPr>
      </w:pPr>
      <w:r>
        <w:rPr>
          <w:rFonts w:eastAsia="Times New Roman"/>
          <w:color w:val="000000"/>
          <w:sz w:val="20"/>
          <w:szCs w:val="20"/>
        </w:rPr>
        <w:t>8</w:t>
      </w:r>
      <w:r>
        <w:rPr>
          <w:rFonts w:eastAsia="Times New Roman"/>
          <w:color w:val="000000"/>
          <w:sz w:val="20"/>
          <w:szCs w:val="20"/>
        </w:rPr>
        <w:t>4</w:t>
      </w:r>
    </w:p>
    <w:p w14:paraId="5B6CEDC7" w14:textId="77777777" w:rsidR="00000000" w:rsidRDefault="00195E73">
      <w:pPr>
        <w:rPr>
          <w:rFonts w:eastAsia="Times New Roman"/>
        </w:rPr>
      </w:pPr>
      <w:r>
        <w:rPr>
          <w:rFonts w:eastAsia="Times New Roman"/>
        </w:rPr>
        <w:pict w14:anchorId="7ED6E06A">
          <v:rect id="_x0000_i1110" style="width:0;height:1.5pt" o:hralign="center" o:hrstd="t" o:hr="t" fillcolor="#a0a0a0" stroked="f"/>
        </w:pict>
      </w:r>
    </w:p>
    <w:p w14:paraId="7CEACA73" w14:textId="77777777" w:rsidR="00000000" w:rsidRDefault="00195E73">
      <w:pPr>
        <w:jc w:val="center"/>
        <w:divId w:val="1752000225"/>
        <w:rPr>
          <w:rFonts w:eastAsia="Times New Roman"/>
        </w:rPr>
      </w:pPr>
    </w:p>
    <w:p w14:paraId="566591D7" w14:textId="77777777" w:rsidR="00000000" w:rsidRDefault="00195E73">
      <w:pPr>
        <w:jc w:val="center"/>
        <w:divId w:val="1752000225"/>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1198CCE2" w14:textId="77777777" w:rsidR="00000000" w:rsidRDefault="00195E73">
      <w:pPr>
        <w:jc w:val="center"/>
        <w:divId w:val="1752000225"/>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2DF8C388" w14:textId="77777777" w:rsidR="00000000" w:rsidRDefault="00195E73">
      <w:pPr>
        <w:jc w:val="center"/>
        <w:divId w:val="1752000225"/>
        <w:rPr>
          <w:rFonts w:eastAsia="Times New Roman"/>
        </w:rPr>
      </w:pPr>
    </w:p>
    <w:p w14:paraId="3B72128C" w14:textId="77777777" w:rsidR="00000000" w:rsidRDefault="00195E73">
      <w:pPr>
        <w:jc w:val="center"/>
        <w:divId w:val="1752000225"/>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223E4C0B" w14:textId="77777777" w:rsidR="00000000" w:rsidRDefault="00195E73">
      <w:pPr>
        <w:ind w:firstLine="450"/>
        <w:divId w:val="1931312653"/>
        <w:rPr>
          <w:rFonts w:eastAsia="Times New Roman"/>
        </w:rPr>
      </w:pPr>
      <w:r>
        <w:rPr>
          <w:rFonts w:eastAsia="Times New Roman"/>
          <w:color w:val="000000"/>
          <w:sz w:val="20"/>
          <w:szCs w:val="20"/>
        </w:rPr>
        <w:t>The portion of unrealized (losses) gains that relates to equity securities still hel</w:t>
      </w:r>
      <w:r>
        <w:rPr>
          <w:rFonts w:eastAsia="Times New Roman"/>
          <w:color w:val="000000"/>
          <w:sz w:val="20"/>
          <w:szCs w:val="20"/>
        </w:rPr>
        <w:t>d by our other segments and our Holding Company was $(421) million, $(339) million and $67 million for the years ended December 31, 2019, 2018 and 2017, respectively</w:t>
      </w:r>
      <w:r>
        <w:rPr>
          <w:rFonts w:eastAsia="Times New Roman"/>
          <w:color w:val="000000"/>
          <w:sz w:val="20"/>
          <w:szCs w:val="20"/>
        </w:rPr>
        <w:t>.</w:t>
      </w:r>
    </w:p>
    <w:p w14:paraId="4AF80AE7" w14:textId="77777777" w:rsidR="00000000" w:rsidRDefault="00195E73">
      <w:pPr>
        <w:divId w:val="1523518471"/>
        <w:rPr>
          <w:rFonts w:eastAsia="Times New Roman"/>
        </w:rPr>
      </w:pPr>
    </w:p>
    <w:p w14:paraId="28C70FA5" w14:textId="77777777" w:rsidR="00000000" w:rsidRDefault="00195E73">
      <w:pPr>
        <w:ind w:hanging="360"/>
        <w:divId w:val="1883445733"/>
        <w:rPr>
          <w:rFonts w:eastAsia="Times New Roman"/>
        </w:rPr>
      </w:pPr>
      <w:r>
        <w:rPr>
          <w:rFonts w:eastAsia="Times New Roman"/>
          <w:b/>
          <w:bCs/>
          <w:color w:val="000000"/>
          <w:sz w:val="20"/>
          <w:szCs w:val="20"/>
        </w:rPr>
        <w:t>5. Fair Value Measurements</w:t>
      </w:r>
      <w:r>
        <w:rPr>
          <w:rFonts w:eastAsia="Times New Roman"/>
          <w:b/>
          <w:bCs/>
          <w:color w:val="000000"/>
          <w:sz w:val="20"/>
          <w:szCs w:val="20"/>
        </w:rPr>
        <w:t>.</w:t>
      </w:r>
    </w:p>
    <w:p w14:paraId="77AFEA9B" w14:textId="77777777" w:rsidR="00000000" w:rsidRDefault="00195E73">
      <w:pPr>
        <w:ind w:firstLine="450"/>
        <w:divId w:val="1915124340"/>
        <w:rPr>
          <w:rFonts w:eastAsia="Times New Roman"/>
        </w:rPr>
      </w:pPr>
      <w:r>
        <w:rPr>
          <w:rFonts w:eastAsia="Times New Roman"/>
          <w:color w:val="000000"/>
          <w:sz w:val="20"/>
          <w:szCs w:val="20"/>
        </w:rPr>
        <w:t>U.S. GAAP requires enhanced disclosures about investments a</w:t>
      </w:r>
      <w:r>
        <w:rPr>
          <w:rFonts w:eastAsia="Times New Roman"/>
          <w:color w:val="000000"/>
          <w:sz w:val="20"/>
          <w:szCs w:val="20"/>
        </w:rPr>
        <w:t>nd non-recurring non-financial assets and liabilities that are measured and reported at fair value and has established a hierarchal disclosure framework that prioritizes and ranks the level of market price observability used in measuring investments or non</w:t>
      </w:r>
      <w:r>
        <w:rPr>
          <w:rFonts w:eastAsia="Times New Roman"/>
          <w:color w:val="000000"/>
          <w:sz w:val="20"/>
          <w:szCs w:val="20"/>
        </w:rPr>
        <w:t xml:space="preserve">-financial assets and liabilities at fair value. Market price observability is impacted by a number of factors, including the type of investment and the characteristics specific to the investment. Investments with readily available active quoted prices or </w:t>
      </w:r>
      <w:r>
        <w:rPr>
          <w:rFonts w:eastAsia="Times New Roman"/>
          <w:color w:val="000000"/>
          <w:sz w:val="20"/>
          <w:szCs w:val="20"/>
        </w:rPr>
        <w:t>for which fair value can be measured from actively quoted prices generally will have a higher degree of market price observability and a lesser degree of judgment used in measuring fair value</w:t>
      </w:r>
      <w:r>
        <w:rPr>
          <w:rFonts w:eastAsia="Times New Roman"/>
          <w:color w:val="000000"/>
          <w:sz w:val="20"/>
          <w:szCs w:val="20"/>
        </w:rPr>
        <w:t>.</w:t>
      </w:r>
    </w:p>
    <w:p w14:paraId="32C828F5" w14:textId="77777777" w:rsidR="00000000" w:rsidRDefault="00195E73">
      <w:pPr>
        <w:ind w:firstLine="450"/>
        <w:divId w:val="1693728604"/>
        <w:rPr>
          <w:rFonts w:eastAsia="Times New Roman"/>
        </w:rPr>
      </w:pPr>
      <w:r>
        <w:rPr>
          <w:rFonts w:eastAsia="Times New Roman"/>
          <w:color w:val="000000"/>
          <w:sz w:val="20"/>
          <w:szCs w:val="20"/>
        </w:rPr>
        <w:t>Investments and non-financial assets and/or liabilities measure</w:t>
      </w:r>
      <w:r>
        <w:rPr>
          <w:rFonts w:eastAsia="Times New Roman"/>
          <w:color w:val="000000"/>
          <w:sz w:val="20"/>
          <w:szCs w:val="20"/>
        </w:rPr>
        <w:t>d and reported at fair value are classified and disclosed in one of the following categories</w:t>
      </w:r>
      <w:r>
        <w:rPr>
          <w:rFonts w:eastAsia="Times New Roman"/>
          <w:color w:val="000000"/>
          <w:sz w:val="20"/>
          <w:szCs w:val="20"/>
        </w:rPr>
        <w:t>:</w:t>
      </w:r>
    </w:p>
    <w:p w14:paraId="43D8012A" w14:textId="77777777" w:rsidR="00000000" w:rsidRDefault="00195E73">
      <w:pPr>
        <w:divId w:val="1024555464"/>
        <w:rPr>
          <w:rFonts w:eastAsia="Times New Roman"/>
        </w:rPr>
      </w:pPr>
      <w:r>
        <w:rPr>
          <w:rFonts w:eastAsia="Times New Roman"/>
          <w:color w:val="000000"/>
          <w:sz w:val="20"/>
          <w:szCs w:val="20"/>
        </w:rPr>
        <w:t>Level 1 - Quoted prices are available in active markets for identical investments and non-financial assets and/or liabilities as of the reporting date.</w:t>
      </w:r>
      <w:r>
        <w:rPr>
          <w:rFonts w:eastAsia="Times New Roman"/>
          <w:color w:val="000000"/>
          <w:sz w:val="20"/>
          <w:szCs w:val="20"/>
        </w:rPr>
        <w:t xml:space="preserve"> </w:t>
      </w:r>
    </w:p>
    <w:p w14:paraId="50B19102" w14:textId="77777777" w:rsidR="00000000" w:rsidRDefault="00195E73">
      <w:pPr>
        <w:divId w:val="416246640"/>
        <w:rPr>
          <w:rFonts w:eastAsia="Times New Roman"/>
        </w:rPr>
      </w:pPr>
      <w:r>
        <w:rPr>
          <w:rFonts w:eastAsia="Times New Roman"/>
          <w:color w:val="000000"/>
          <w:sz w:val="20"/>
          <w:szCs w:val="20"/>
        </w:rPr>
        <w:t>Level 2 -</w:t>
      </w:r>
      <w:r>
        <w:rPr>
          <w:rFonts w:eastAsia="Times New Roman"/>
          <w:color w:val="000000"/>
          <w:sz w:val="20"/>
          <w:szCs w:val="20"/>
        </w:rPr>
        <w:t xml:space="preserve"> Pricing inputs are other than quoted prices in active markets, which are either directly or indirectly observable as of the reporting date, and fair value is determined through the use of models or other valuation methodologies where all significant input</w:t>
      </w:r>
      <w:r>
        <w:rPr>
          <w:rFonts w:eastAsia="Times New Roman"/>
          <w:color w:val="000000"/>
          <w:sz w:val="20"/>
          <w:szCs w:val="20"/>
        </w:rPr>
        <w:t>s are observable. The inputs and assumptions of our Level 2 investments are derived from market observable sources including reported trades, broker/dealer quotes and other pertinent data.</w:t>
      </w:r>
      <w:r>
        <w:rPr>
          <w:rFonts w:eastAsia="Times New Roman"/>
          <w:color w:val="000000"/>
          <w:sz w:val="20"/>
          <w:szCs w:val="20"/>
        </w:rPr>
        <w:t xml:space="preserve"> </w:t>
      </w:r>
    </w:p>
    <w:p w14:paraId="4714D105" w14:textId="77777777" w:rsidR="00000000" w:rsidRDefault="00195E73">
      <w:pPr>
        <w:divId w:val="1487667537"/>
        <w:rPr>
          <w:rFonts w:eastAsia="Times New Roman"/>
        </w:rPr>
      </w:pPr>
      <w:r>
        <w:rPr>
          <w:rFonts w:eastAsia="Times New Roman"/>
          <w:color w:val="000000"/>
          <w:sz w:val="20"/>
          <w:szCs w:val="20"/>
        </w:rPr>
        <w:t>Level 3 - Pricing inputs are unobservable for the investment and n</w:t>
      </w:r>
      <w:r>
        <w:rPr>
          <w:rFonts w:eastAsia="Times New Roman"/>
          <w:color w:val="000000"/>
          <w:sz w:val="20"/>
          <w:szCs w:val="20"/>
        </w:rPr>
        <w:t>on-financial asset and/or liability and include situations where there is little, if any, market activity for the investment or non-financial asset and/or liability. The inputs into the determination of fair value require significant management judgment or</w:t>
      </w:r>
      <w:r>
        <w:rPr>
          <w:rFonts w:eastAsia="Times New Roman"/>
          <w:color w:val="000000"/>
          <w:sz w:val="20"/>
          <w:szCs w:val="20"/>
        </w:rPr>
        <w:t xml:space="preserve"> estimation. Fair value is determined using comparable market transactions and other valuation methodologies, adjusted as appropriate for liquidity, credit, market and/or other risk factors</w:t>
      </w:r>
      <w:r>
        <w:rPr>
          <w:rFonts w:eastAsia="Times New Roman"/>
          <w:color w:val="000000"/>
          <w:sz w:val="20"/>
          <w:szCs w:val="20"/>
        </w:rPr>
        <w:t>.</w:t>
      </w:r>
    </w:p>
    <w:p w14:paraId="04A377C0" w14:textId="77777777" w:rsidR="00000000" w:rsidRDefault="00195E73">
      <w:pPr>
        <w:ind w:firstLine="450"/>
        <w:divId w:val="129523181"/>
        <w:rPr>
          <w:rFonts w:eastAsia="Times New Roman"/>
        </w:rPr>
      </w:pPr>
      <w:r>
        <w:rPr>
          <w:rFonts w:eastAsia="Times New Roman"/>
          <w:color w:val="000000"/>
          <w:sz w:val="20"/>
          <w:szCs w:val="20"/>
        </w:rPr>
        <w:t xml:space="preserve">In certain cases, the inputs used to measure fair value may fall </w:t>
      </w:r>
      <w:r>
        <w:rPr>
          <w:rFonts w:eastAsia="Times New Roman"/>
          <w:color w:val="000000"/>
          <w:sz w:val="20"/>
          <w:szCs w:val="20"/>
        </w:rPr>
        <w:t>into different levels of the fair value hierarchy. In such cases, the investments’, non-financial assets’ and/or liabilities’ level within the fair value hierarchy is based on the lowest level of input that is significant to the fair value measurement. Our</w:t>
      </w:r>
      <w:r>
        <w:rPr>
          <w:rFonts w:eastAsia="Times New Roman"/>
          <w:color w:val="000000"/>
          <w:sz w:val="20"/>
          <w:szCs w:val="20"/>
        </w:rPr>
        <w:t xml:space="preserve"> assessment of the significance of a particular input to the fair value measurement in its entirety requires judgment and consideration of factors specific to the investment. Significant transfers, if any, between the levels within the fair value hierarchy</w:t>
      </w:r>
      <w:r>
        <w:rPr>
          <w:rFonts w:eastAsia="Times New Roman"/>
          <w:color w:val="000000"/>
          <w:sz w:val="20"/>
          <w:szCs w:val="20"/>
        </w:rPr>
        <w:t xml:space="preserve"> are recognized at the beginning of the reporting period when changes in circumstances require such transfers</w:t>
      </w:r>
      <w:r>
        <w:rPr>
          <w:rFonts w:eastAsia="Times New Roman"/>
          <w:color w:val="000000"/>
          <w:sz w:val="20"/>
          <w:szCs w:val="20"/>
        </w:rPr>
        <w:t>.</w:t>
      </w:r>
    </w:p>
    <w:p w14:paraId="0E35A671" w14:textId="77777777" w:rsidR="00000000" w:rsidRDefault="00195E73">
      <w:pPr>
        <w:divId w:val="22025558"/>
        <w:rPr>
          <w:rFonts w:eastAsia="Times New Roman"/>
        </w:rPr>
      </w:pPr>
      <w:r>
        <w:rPr>
          <w:rFonts w:eastAsia="Times New Roman"/>
          <w:b/>
          <w:bCs/>
          <w:i/>
          <w:iCs/>
          <w:color w:val="000000"/>
          <w:sz w:val="20"/>
          <w:szCs w:val="20"/>
        </w:rPr>
        <w:t>Assets and Liabilities Measured at Fair Value on a Recurring Basi</w:t>
      </w:r>
      <w:r>
        <w:rPr>
          <w:rFonts w:eastAsia="Times New Roman"/>
          <w:b/>
          <w:bCs/>
          <w:i/>
          <w:iCs/>
          <w:color w:val="000000"/>
          <w:sz w:val="20"/>
          <w:szCs w:val="20"/>
        </w:rPr>
        <w:t>s</w:t>
      </w:r>
    </w:p>
    <w:p w14:paraId="3B3EFE8A" w14:textId="77777777" w:rsidR="00000000" w:rsidRDefault="00195E73">
      <w:pPr>
        <w:ind w:firstLine="450"/>
        <w:divId w:val="517700049"/>
        <w:rPr>
          <w:rFonts w:eastAsia="Times New Roman"/>
        </w:rPr>
      </w:pPr>
      <w:r>
        <w:rPr>
          <w:rFonts w:eastAsia="Times New Roman"/>
          <w:color w:val="000000"/>
          <w:sz w:val="20"/>
          <w:szCs w:val="20"/>
        </w:rPr>
        <w:t xml:space="preserve">The following table summarizes the valuation of our assets and liabilities by </w:t>
      </w:r>
      <w:r>
        <w:rPr>
          <w:rFonts w:eastAsia="Times New Roman"/>
          <w:color w:val="000000"/>
          <w:sz w:val="20"/>
          <w:szCs w:val="20"/>
        </w:rPr>
        <w:t>the above fair value hierarchy levels measured on a recurring basis</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1448"/>
        <w:gridCol w:w="37"/>
        <w:gridCol w:w="135"/>
        <w:gridCol w:w="515"/>
        <w:gridCol w:w="85"/>
        <w:gridCol w:w="36"/>
        <w:gridCol w:w="36"/>
        <w:gridCol w:w="36"/>
        <w:gridCol w:w="135"/>
        <w:gridCol w:w="515"/>
        <w:gridCol w:w="85"/>
        <w:gridCol w:w="36"/>
        <w:gridCol w:w="36"/>
        <w:gridCol w:w="36"/>
        <w:gridCol w:w="136"/>
        <w:gridCol w:w="382"/>
        <w:gridCol w:w="85"/>
        <w:gridCol w:w="36"/>
        <w:gridCol w:w="36"/>
        <w:gridCol w:w="36"/>
        <w:gridCol w:w="135"/>
        <w:gridCol w:w="515"/>
        <w:gridCol w:w="85"/>
        <w:gridCol w:w="36"/>
        <w:gridCol w:w="36"/>
        <w:gridCol w:w="36"/>
        <w:gridCol w:w="135"/>
        <w:gridCol w:w="515"/>
        <w:gridCol w:w="85"/>
        <w:gridCol w:w="36"/>
        <w:gridCol w:w="36"/>
        <w:gridCol w:w="36"/>
        <w:gridCol w:w="135"/>
        <w:gridCol w:w="365"/>
        <w:gridCol w:w="85"/>
        <w:gridCol w:w="36"/>
        <w:gridCol w:w="36"/>
        <w:gridCol w:w="36"/>
        <w:gridCol w:w="135"/>
        <w:gridCol w:w="365"/>
        <w:gridCol w:w="85"/>
        <w:gridCol w:w="36"/>
        <w:gridCol w:w="36"/>
        <w:gridCol w:w="36"/>
        <w:gridCol w:w="135"/>
        <w:gridCol w:w="515"/>
        <w:gridCol w:w="85"/>
        <w:gridCol w:w="36"/>
        <w:gridCol w:w="36"/>
        <w:gridCol w:w="36"/>
        <w:gridCol w:w="36"/>
        <w:gridCol w:w="36"/>
        <w:gridCol w:w="36"/>
        <w:gridCol w:w="36"/>
        <w:gridCol w:w="36"/>
        <w:gridCol w:w="36"/>
        <w:gridCol w:w="36"/>
        <w:gridCol w:w="36"/>
        <w:gridCol w:w="36"/>
        <w:gridCol w:w="36"/>
        <w:gridCol w:w="36"/>
        <w:gridCol w:w="36"/>
      </w:tblGrid>
      <w:tr w:rsidR="00000000" w14:paraId="13123A7F" w14:textId="77777777">
        <w:trPr>
          <w:gridAfter w:val="15"/>
          <w:divId w:val="1674213598"/>
          <w:jc w:val="center"/>
        </w:trPr>
        <w:tc>
          <w:tcPr>
            <w:tcW w:w="50" w:type="pct"/>
            <w:vAlign w:val="center"/>
            <w:hideMark/>
          </w:tcPr>
          <w:p w14:paraId="7AB7C487" w14:textId="77777777" w:rsidR="00000000" w:rsidRDefault="00195E73">
            <w:pPr>
              <w:ind w:firstLine="450"/>
              <w:rPr>
                <w:rFonts w:eastAsia="Times New Roman"/>
              </w:rPr>
            </w:pPr>
          </w:p>
        </w:tc>
        <w:tc>
          <w:tcPr>
            <w:tcW w:w="1419" w:type="pct"/>
            <w:vAlign w:val="center"/>
            <w:hideMark/>
          </w:tcPr>
          <w:p w14:paraId="76FB6B6C" w14:textId="77777777" w:rsidR="00000000" w:rsidRDefault="00195E73">
            <w:pPr>
              <w:rPr>
                <w:rFonts w:eastAsia="Times New Roman"/>
                <w:sz w:val="20"/>
                <w:szCs w:val="20"/>
              </w:rPr>
            </w:pPr>
          </w:p>
        </w:tc>
        <w:tc>
          <w:tcPr>
            <w:tcW w:w="50" w:type="pct"/>
            <w:vAlign w:val="center"/>
            <w:hideMark/>
          </w:tcPr>
          <w:p w14:paraId="2654FC28" w14:textId="77777777" w:rsidR="00000000" w:rsidRDefault="00195E73">
            <w:pPr>
              <w:rPr>
                <w:rFonts w:eastAsia="Times New Roman"/>
                <w:sz w:val="20"/>
                <w:szCs w:val="20"/>
              </w:rPr>
            </w:pPr>
          </w:p>
        </w:tc>
        <w:tc>
          <w:tcPr>
            <w:tcW w:w="50" w:type="pct"/>
            <w:vAlign w:val="center"/>
            <w:hideMark/>
          </w:tcPr>
          <w:p w14:paraId="255A4FFE" w14:textId="77777777" w:rsidR="00000000" w:rsidRDefault="00195E73">
            <w:pPr>
              <w:rPr>
                <w:rFonts w:eastAsia="Times New Roman"/>
                <w:sz w:val="20"/>
                <w:szCs w:val="20"/>
              </w:rPr>
            </w:pPr>
          </w:p>
        </w:tc>
        <w:tc>
          <w:tcPr>
            <w:tcW w:w="289" w:type="pct"/>
            <w:vAlign w:val="center"/>
            <w:hideMark/>
          </w:tcPr>
          <w:p w14:paraId="14BB855D" w14:textId="77777777" w:rsidR="00000000" w:rsidRDefault="00195E73">
            <w:pPr>
              <w:rPr>
                <w:rFonts w:eastAsia="Times New Roman"/>
                <w:sz w:val="20"/>
                <w:szCs w:val="20"/>
              </w:rPr>
            </w:pPr>
          </w:p>
        </w:tc>
        <w:tc>
          <w:tcPr>
            <w:tcW w:w="50" w:type="pct"/>
            <w:vAlign w:val="center"/>
            <w:hideMark/>
          </w:tcPr>
          <w:p w14:paraId="78F7FC33" w14:textId="77777777" w:rsidR="00000000" w:rsidRDefault="00195E73">
            <w:pPr>
              <w:rPr>
                <w:rFonts w:eastAsia="Times New Roman"/>
                <w:sz w:val="20"/>
                <w:szCs w:val="20"/>
              </w:rPr>
            </w:pPr>
          </w:p>
        </w:tc>
        <w:tc>
          <w:tcPr>
            <w:tcW w:w="5" w:type="pct"/>
            <w:vAlign w:val="center"/>
            <w:hideMark/>
          </w:tcPr>
          <w:p w14:paraId="5C93324D" w14:textId="77777777" w:rsidR="00000000" w:rsidRDefault="00195E73">
            <w:pPr>
              <w:rPr>
                <w:rFonts w:eastAsia="Times New Roman"/>
                <w:sz w:val="20"/>
                <w:szCs w:val="20"/>
              </w:rPr>
            </w:pPr>
          </w:p>
        </w:tc>
        <w:tc>
          <w:tcPr>
            <w:tcW w:w="26" w:type="pct"/>
            <w:vAlign w:val="center"/>
            <w:hideMark/>
          </w:tcPr>
          <w:p w14:paraId="15FDA4E4" w14:textId="77777777" w:rsidR="00000000" w:rsidRDefault="00195E73">
            <w:pPr>
              <w:rPr>
                <w:rFonts w:eastAsia="Times New Roman"/>
                <w:sz w:val="20"/>
                <w:szCs w:val="20"/>
              </w:rPr>
            </w:pPr>
          </w:p>
        </w:tc>
        <w:tc>
          <w:tcPr>
            <w:tcW w:w="5" w:type="pct"/>
            <w:vAlign w:val="center"/>
            <w:hideMark/>
          </w:tcPr>
          <w:p w14:paraId="3EAB8E67" w14:textId="77777777" w:rsidR="00000000" w:rsidRDefault="00195E73">
            <w:pPr>
              <w:rPr>
                <w:rFonts w:eastAsia="Times New Roman"/>
                <w:sz w:val="20"/>
                <w:szCs w:val="20"/>
              </w:rPr>
            </w:pPr>
          </w:p>
        </w:tc>
        <w:tc>
          <w:tcPr>
            <w:tcW w:w="50" w:type="pct"/>
            <w:vAlign w:val="center"/>
            <w:hideMark/>
          </w:tcPr>
          <w:p w14:paraId="5682DB82" w14:textId="77777777" w:rsidR="00000000" w:rsidRDefault="00195E73">
            <w:pPr>
              <w:rPr>
                <w:rFonts w:eastAsia="Times New Roman"/>
                <w:sz w:val="20"/>
                <w:szCs w:val="20"/>
              </w:rPr>
            </w:pPr>
          </w:p>
        </w:tc>
        <w:tc>
          <w:tcPr>
            <w:tcW w:w="303" w:type="pct"/>
            <w:vAlign w:val="center"/>
            <w:hideMark/>
          </w:tcPr>
          <w:p w14:paraId="752BFF1D" w14:textId="77777777" w:rsidR="00000000" w:rsidRDefault="00195E73">
            <w:pPr>
              <w:rPr>
                <w:rFonts w:eastAsia="Times New Roman"/>
                <w:sz w:val="20"/>
                <w:szCs w:val="20"/>
              </w:rPr>
            </w:pPr>
          </w:p>
        </w:tc>
        <w:tc>
          <w:tcPr>
            <w:tcW w:w="50" w:type="pct"/>
            <w:vAlign w:val="center"/>
            <w:hideMark/>
          </w:tcPr>
          <w:p w14:paraId="33E6E329" w14:textId="77777777" w:rsidR="00000000" w:rsidRDefault="00195E73">
            <w:pPr>
              <w:rPr>
                <w:rFonts w:eastAsia="Times New Roman"/>
                <w:sz w:val="20"/>
                <w:szCs w:val="20"/>
              </w:rPr>
            </w:pPr>
          </w:p>
        </w:tc>
        <w:tc>
          <w:tcPr>
            <w:tcW w:w="5" w:type="pct"/>
            <w:vAlign w:val="center"/>
            <w:hideMark/>
          </w:tcPr>
          <w:p w14:paraId="3BA57DD4" w14:textId="77777777" w:rsidR="00000000" w:rsidRDefault="00195E73">
            <w:pPr>
              <w:rPr>
                <w:rFonts w:eastAsia="Times New Roman"/>
                <w:sz w:val="20"/>
                <w:szCs w:val="20"/>
              </w:rPr>
            </w:pPr>
          </w:p>
        </w:tc>
        <w:tc>
          <w:tcPr>
            <w:tcW w:w="26" w:type="pct"/>
            <w:vAlign w:val="center"/>
            <w:hideMark/>
          </w:tcPr>
          <w:p w14:paraId="56D8F100" w14:textId="77777777" w:rsidR="00000000" w:rsidRDefault="00195E73">
            <w:pPr>
              <w:rPr>
                <w:rFonts w:eastAsia="Times New Roman"/>
                <w:sz w:val="20"/>
                <w:szCs w:val="20"/>
              </w:rPr>
            </w:pPr>
          </w:p>
        </w:tc>
        <w:tc>
          <w:tcPr>
            <w:tcW w:w="5" w:type="pct"/>
            <w:vAlign w:val="center"/>
            <w:hideMark/>
          </w:tcPr>
          <w:p w14:paraId="5BA275AC" w14:textId="77777777" w:rsidR="00000000" w:rsidRDefault="00195E73">
            <w:pPr>
              <w:rPr>
                <w:rFonts w:eastAsia="Times New Roman"/>
                <w:sz w:val="20"/>
                <w:szCs w:val="20"/>
              </w:rPr>
            </w:pPr>
          </w:p>
        </w:tc>
        <w:tc>
          <w:tcPr>
            <w:tcW w:w="50" w:type="pct"/>
            <w:vAlign w:val="center"/>
            <w:hideMark/>
          </w:tcPr>
          <w:p w14:paraId="02893E2D" w14:textId="77777777" w:rsidR="00000000" w:rsidRDefault="00195E73">
            <w:pPr>
              <w:rPr>
                <w:rFonts w:eastAsia="Times New Roman"/>
                <w:sz w:val="20"/>
                <w:szCs w:val="20"/>
              </w:rPr>
            </w:pPr>
          </w:p>
        </w:tc>
        <w:tc>
          <w:tcPr>
            <w:tcW w:w="303" w:type="pct"/>
            <w:vAlign w:val="center"/>
            <w:hideMark/>
          </w:tcPr>
          <w:p w14:paraId="6622ED08" w14:textId="77777777" w:rsidR="00000000" w:rsidRDefault="00195E73">
            <w:pPr>
              <w:rPr>
                <w:rFonts w:eastAsia="Times New Roman"/>
                <w:sz w:val="20"/>
                <w:szCs w:val="20"/>
              </w:rPr>
            </w:pPr>
          </w:p>
        </w:tc>
        <w:tc>
          <w:tcPr>
            <w:tcW w:w="50" w:type="pct"/>
            <w:vAlign w:val="center"/>
            <w:hideMark/>
          </w:tcPr>
          <w:p w14:paraId="64EC3DF3" w14:textId="77777777" w:rsidR="00000000" w:rsidRDefault="00195E73">
            <w:pPr>
              <w:rPr>
                <w:rFonts w:eastAsia="Times New Roman"/>
                <w:sz w:val="20"/>
                <w:szCs w:val="20"/>
              </w:rPr>
            </w:pPr>
          </w:p>
        </w:tc>
        <w:tc>
          <w:tcPr>
            <w:tcW w:w="5" w:type="pct"/>
            <w:vAlign w:val="center"/>
            <w:hideMark/>
          </w:tcPr>
          <w:p w14:paraId="56116F4A" w14:textId="77777777" w:rsidR="00000000" w:rsidRDefault="00195E73">
            <w:pPr>
              <w:rPr>
                <w:rFonts w:eastAsia="Times New Roman"/>
                <w:sz w:val="20"/>
                <w:szCs w:val="20"/>
              </w:rPr>
            </w:pPr>
          </w:p>
        </w:tc>
        <w:tc>
          <w:tcPr>
            <w:tcW w:w="26" w:type="pct"/>
            <w:vAlign w:val="center"/>
            <w:hideMark/>
          </w:tcPr>
          <w:p w14:paraId="75E745D1" w14:textId="77777777" w:rsidR="00000000" w:rsidRDefault="00195E73">
            <w:pPr>
              <w:rPr>
                <w:rFonts w:eastAsia="Times New Roman"/>
                <w:sz w:val="20"/>
                <w:szCs w:val="20"/>
              </w:rPr>
            </w:pPr>
          </w:p>
        </w:tc>
        <w:tc>
          <w:tcPr>
            <w:tcW w:w="5" w:type="pct"/>
            <w:vAlign w:val="center"/>
            <w:hideMark/>
          </w:tcPr>
          <w:p w14:paraId="446E5E42" w14:textId="77777777" w:rsidR="00000000" w:rsidRDefault="00195E73">
            <w:pPr>
              <w:rPr>
                <w:rFonts w:eastAsia="Times New Roman"/>
                <w:sz w:val="20"/>
                <w:szCs w:val="20"/>
              </w:rPr>
            </w:pPr>
          </w:p>
        </w:tc>
        <w:tc>
          <w:tcPr>
            <w:tcW w:w="50" w:type="pct"/>
            <w:vAlign w:val="center"/>
            <w:hideMark/>
          </w:tcPr>
          <w:p w14:paraId="5922E337" w14:textId="77777777" w:rsidR="00000000" w:rsidRDefault="00195E73">
            <w:pPr>
              <w:rPr>
                <w:rFonts w:eastAsia="Times New Roman"/>
                <w:sz w:val="20"/>
                <w:szCs w:val="20"/>
              </w:rPr>
            </w:pPr>
          </w:p>
        </w:tc>
        <w:tc>
          <w:tcPr>
            <w:tcW w:w="303" w:type="pct"/>
            <w:vAlign w:val="center"/>
            <w:hideMark/>
          </w:tcPr>
          <w:p w14:paraId="2A739BA2" w14:textId="77777777" w:rsidR="00000000" w:rsidRDefault="00195E73">
            <w:pPr>
              <w:rPr>
                <w:rFonts w:eastAsia="Times New Roman"/>
                <w:sz w:val="20"/>
                <w:szCs w:val="20"/>
              </w:rPr>
            </w:pPr>
          </w:p>
        </w:tc>
        <w:tc>
          <w:tcPr>
            <w:tcW w:w="50" w:type="pct"/>
            <w:vAlign w:val="center"/>
            <w:hideMark/>
          </w:tcPr>
          <w:p w14:paraId="302669D9" w14:textId="77777777" w:rsidR="00000000" w:rsidRDefault="00195E73">
            <w:pPr>
              <w:rPr>
                <w:rFonts w:eastAsia="Times New Roman"/>
                <w:sz w:val="20"/>
                <w:szCs w:val="20"/>
              </w:rPr>
            </w:pPr>
          </w:p>
        </w:tc>
        <w:tc>
          <w:tcPr>
            <w:tcW w:w="5" w:type="pct"/>
            <w:vAlign w:val="center"/>
            <w:hideMark/>
          </w:tcPr>
          <w:p w14:paraId="4CB7750F" w14:textId="77777777" w:rsidR="00000000" w:rsidRDefault="00195E73">
            <w:pPr>
              <w:rPr>
                <w:rFonts w:eastAsia="Times New Roman"/>
                <w:sz w:val="20"/>
                <w:szCs w:val="20"/>
              </w:rPr>
            </w:pPr>
          </w:p>
        </w:tc>
        <w:tc>
          <w:tcPr>
            <w:tcW w:w="26" w:type="pct"/>
            <w:vAlign w:val="center"/>
            <w:hideMark/>
          </w:tcPr>
          <w:p w14:paraId="3512A860" w14:textId="77777777" w:rsidR="00000000" w:rsidRDefault="00195E73">
            <w:pPr>
              <w:rPr>
                <w:rFonts w:eastAsia="Times New Roman"/>
                <w:sz w:val="20"/>
                <w:szCs w:val="20"/>
              </w:rPr>
            </w:pPr>
          </w:p>
        </w:tc>
        <w:tc>
          <w:tcPr>
            <w:tcW w:w="5" w:type="pct"/>
            <w:vAlign w:val="center"/>
            <w:hideMark/>
          </w:tcPr>
          <w:p w14:paraId="27D2423E" w14:textId="77777777" w:rsidR="00000000" w:rsidRDefault="00195E73">
            <w:pPr>
              <w:rPr>
                <w:rFonts w:eastAsia="Times New Roman"/>
                <w:sz w:val="20"/>
                <w:szCs w:val="20"/>
              </w:rPr>
            </w:pPr>
          </w:p>
        </w:tc>
        <w:tc>
          <w:tcPr>
            <w:tcW w:w="50" w:type="pct"/>
            <w:vAlign w:val="center"/>
            <w:hideMark/>
          </w:tcPr>
          <w:p w14:paraId="4844166B" w14:textId="77777777" w:rsidR="00000000" w:rsidRDefault="00195E73">
            <w:pPr>
              <w:rPr>
                <w:rFonts w:eastAsia="Times New Roman"/>
                <w:sz w:val="20"/>
                <w:szCs w:val="20"/>
              </w:rPr>
            </w:pPr>
          </w:p>
        </w:tc>
        <w:tc>
          <w:tcPr>
            <w:tcW w:w="289" w:type="pct"/>
            <w:vAlign w:val="center"/>
            <w:hideMark/>
          </w:tcPr>
          <w:p w14:paraId="771CF52A" w14:textId="77777777" w:rsidR="00000000" w:rsidRDefault="00195E73">
            <w:pPr>
              <w:rPr>
                <w:rFonts w:eastAsia="Times New Roman"/>
                <w:sz w:val="20"/>
                <w:szCs w:val="20"/>
              </w:rPr>
            </w:pPr>
          </w:p>
        </w:tc>
        <w:tc>
          <w:tcPr>
            <w:tcW w:w="50" w:type="pct"/>
            <w:vAlign w:val="center"/>
            <w:hideMark/>
          </w:tcPr>
          <w:p w14:paraId="2CF6347C" w14:textId="77777777" w:rsidR="00000000" w:rsidRDefault="00195E73">
            <w:pPr>
              <w:rPr>
                <w:rFonts w:eastAsia="Times New Roman"/>
                <w:sz w:val="20"/>
                <w:szCs w:val="20"/>
              </w:rPr>
            </w:pPr>
          </w:p>
        </w:tc>
        <w:tc>
          <w:tcPr>
            <w:tcW w:w="5" w:type="pct"/>
            <w:vAlign w:val="center"/>
            <w:hideMark/>
          </w:tcPr>
          <w:p w14:paraId="7C4845FF" w14:textId="77777777" w:rsidR="00000000" w:rsidRDefault="00195E73">
            <w:pPr>
              <w:rPr>
                <w:rFonts w:eastAsia="Times New Roman"/>
                <w:sz w:val="20"/>
                <w:szCs w:val="20"/>
              </w:rPr>
            </w:pPr>
          </w:p>
        </w:tc>
        <w:tc>
          <w:tcPr>
            <w:tcW w:w="26" w:type="pct"/>
            <w:vAlign w:val="center"/>
            <w:hideMark/>
          </w:tcPr>
          <w:p w14:paraId="7BB23661" w14:textId="77777777" w:rsidR="00000000" w:rsidRDefault="00195E73">
            <w:pPr>
              <w:rPr>
                <w:rFonts w:eastAsia="Times New Roman"/>
                <w:sz w:val="20"/>
                <w:szCs w:val="20"/>
              </w:rPr>
            </w:pPr>
          </w:p>
        </w:tc>
        <w:tc>
          <w:tcPr>
            <w:tcW w:w="5" w:type="pct"/>
            <w:vAlign w:val="center"/>
            <w:hideMark/>
          </w:tcPr>
          <w:p w14:paraId="7EDD130E" w14:textId="77777777" w:rsidR="00000000" w:rsidRDefault="00195E73">
            <w:pPr>
              <w:rPr>
                <w:rFonts w:eastAsia="Times New Roman"/>
                <w:sz w:val="20"/>
                <w:szCs w:val="20"/>
              </w:rPr>
            </w:pPr>
          </w:p>
        </w:tc>
        <w:tc>
          <w:tcPr>
            <w:tcW w:w="50" w:type="pct"/>
            <w:vAlign w:val="center"/>
            <w:hideMark/>
          </w:tcPr>
          <w:p w14:paraId="02310EFA" w14:textId="77777777" w:rsidR="00000000" w:rsidRDefault="00195E73">
            <w:pPr>
              <w:rPr>
                <w:rFonts w:eastAsia="Times New Roman"/>
                <w:sz w:val="20"/>
                <w:szCs w:val="20"/>
              </w:rPr>
            </w:pPr>
          </w:p>
        </w:tc>
        <w:tc>
          <w:tcPr>
            <w:tcW w:w="303" w:type="pct"/>
            <w:vAlign w:val="center"/>
            <w:hideMark/>
          </w:tcPr>
          <w:p w14:paraId="2F184F48" w14:textId="77777777" w:rsidR="00000000" w:rsidRDefault="00195E73">
            <w:pPr>
              <w:rPr>
                <w:rFonts w:eastAsia="Times New Roman"/>
                <w:sz w:val="20"/>
                <w:szCs w:val="20"/>
              </w:rPr>
            </w:pPr>
          </w:p>
        </w:tc>
        <w:tc>
          <w:tcPr>
            <w:tcW w:w="50" w:type="pct"/>
            <w:vAlign w:val="center"/>
            <w:hideMark/>
          </w:tcPr>
          <w:p w14:paraId="52A65B6B" w14:textId="77777777" w:rsidR="00000000" w:rsidRDefault="00195E73">
            <w:pPr>
              <w:rPr>
                <w:rFonts w:eastAsia="Times New Roman"/>
                <w:sz w:val="20"/>
                <w:szCs w:val="20"/>
              </w:rPr>
            </w:pPr>
          </w:p>
        </w:tc>
        <w:tc>
          <w:tcPr>
            <w:tcW w:w="5" w:type="pct"/>
            <w:vAlign w:val="center"/>
            <w:hideMark/>
          </w:tcPr>
          <w:p w14:paraId="530DF5AE" w14:textId="77777777" w:rsidR="00000000" w:rsidRDefault="00195E73">
            <w:pPr>
              <w:rPr>
                <w:rFonts w:eastAsia="Times New Roman"/>
                <w:sz w:val="20"/>
                <w:szCs w:val="20"/>
              </w:rPr>
            </w:pPr>
          </w:p>
        </w:tc>
        <w:tc>
          <w:tcPr>
            <w:tcW w:w="26" w:type="pct"/>
            <w:vAlign w:val="center"/>
            <w:hideMark/>
          </w:tcPr>
          <w:p w14:paraId="5996FDEF" w14:textId="77777777" w:rsidR="00000000" w:rsidRDefault="00195E73">
            <w:pPr>
              <w:rPr>
                <w:rFonts w:eastAsia="Times New Roman"/>
                <w:sz w:val="20"/>
                <w:szCs w:val="20"/>
              </w:rPr>
            </w:pPr>
          </w:p>
        </w:tc>
        <w:tc>
          <w:tcPr>
            <w:tcW w:w="5" w:type="pct"/>
            <w:vAlign w:val="center"/>
            <w:hideMark/>
          </w:tcPr>
          <w:p w14:paraId="10989EFB" w14:textId="77777777" w:rsidR="00000000" w:rsidRDefault="00195E73">
            <w:pPr>
              <w:rPr>
                <w:rFonts w:eastAsia="Times New Roman"/>
                <w:sz w:val="20"/>
                <w:szCs w:val="20"/>
              </w:rPr>
            </w:pPr>
          </w:p>
        </w:tc>
        <w:tc>
          <w:tcPr>
            <w:tcW w:w="50" w:type="pct"/>
            <w:vAlign w:val="center"/>
            <w:hideMark/>
          </w:tcPr>
          <w:p w14:paraId="4A17BEE7" w14:textId="77777777" w:rsidR="00000000" w:rsidRDefault="00195E73">
            <w:pPr>
              <w:rPr>
                <w:rFonts w:eastAsia="Times New Roman"/>
                <w:sz w:val="20"/>
                <w:szCs w:val="20"/>
              </w:rPr>
            </w:pPr>
          </w:p>
        </w:tc>
        <w:tc>
          <w:tcPr>
            <w:tcW w:w="311" w:type="pct"/>
            <w:vAlign w:val="center"/>
            <w:hideMark/>
          </w:tcPr>
          <w:p w14:paraId="0C0374D8" w14:textId="77777777" w:rsidR="00000000" w:rsidRDefault="00195E73">
            <w:pPr>
              <w:rPr>
                <w:rFonts w:eastAsia="Times New Roman"/>
                <w:sz w:val="20"/>
                <w:szCs w:val="20"/>
              </w:rPr>
            </w:pPr>
          </w:p>
        </w:tc>
        <w:tc>
          <w:tcPr>
            <w:tcW w:w="50" w:type="pct"/>
            <w:vAlign w:val="center"/>
            <w:hideMark/>
          </w:tcPr>
          <w:p w14:paraId="7BA63C89" w14:textId="77777777" w:rsidR="00000000" w:rsidRDefault="00195E73">
            <w:pPr>
              <w:rPr>
                <w:rFonts w:eastAsia="Times New Roman"/>
                <w:sz w:val="20"/>
                <w:szCs w:val="20"/>
              </w:rPr>
            </w:pPr>
          </w:p>
        </w:tc>
        <w:tc>
          <w:tcPr>
            <w:tcW w:w="5" w:type="pct"/>
            <w:vAlign w:val="center"/>
            <w:hideMark/>
          </w:tcPr>
          <w:p w14:paraId="336D4B35" w14:textId="77777777" w:rsidR="00000000" w:rsidRDefault="00195E73">
            <w:pPr>
              <w:rPr>
                <w:rFonts w:eastAsia="Times New Roman"/>
                <w:sz w:val="20"/>
                <w:szCs w:val="20"/>
              </w:rPr>
            </w:pPr>
          </w:p>
        </w:tc>
        <w:tc>
          <w:tcPr>
            <w:tcW w:w="26" w:type="pct"/>
            <w:vAlign w:val="center"/>
            <w:hideMark/>
          </w:tcPr>
          <w:p w14:paraId="02EAF86A" w14:textId="77777777" w:rsidR="00000000" w:rsidRDefault="00195E73">
            <w:pPr>
              <w:rPr>
                <w:rFonts w:eastAsia="Times New Roman"/>
                <w:sz w:val="20"/>
                <w:szCs w:val="20"/>
              </w:rPr>
            </w:pPr>
          </w:p>
        </w:tc>
        <w:tc>
          <w:tcPr>
            <w:tcW w:w="5" w:type="pct"/>
            <w:vAlign w:val="center"/>
            <w:hideMark/>
          </w:tcPr>
          <w:p w14:paraId="0B48AAEA" w14:textId="77777777" w:rsidR="00000000" w:rsidRDefault="00195E73">
            <w:pPr>
              <w:rPr>
                <w:rFonts w:eastAsia="Times New Roman"/>
                <w:sz w:val="20"/>
                <w:szCs w:val="20"/>
              </w:rPr>
            </w:pPr>
          </w:p>
        </w:tc>
        <w:tc>
          <w:tcPr>
            <w:tcW w:w="50" w:type="pct"/>
            <w:vAlign w:val="center"/>
            <w:hideMark/>
          </w:tcPr>
          <w:p w14:paraId="7DD19385" w14:textId="77777777" w:rsidR="00000000" w:rsidRDefault="00195E73">
            <w:pPr>
              <w:rPr>
                <w:rFonts w:eastAsia="Times New Roman"/>
                <w:sz w:val="20"/>
                <w:szCs w:val="20"/>
              </w:rPr>
            </w:pPr>
          </w:p>
        </w:tc>
        <w:tc>
          <w:tcPr>
            <w:tcW w:w="318" w:type="pct"/>
            <w:vAlign w:val="center"/>
            <w:hideMark/>
          </w:tcPr>
          <w:p w14:paraId="6C155535" w14:textId="77777777" w:rsidR="00000000" w:rsidRDefault="00195E73">
            <w:pPr>
              <w:rPr>
                <w:rFonts w:eastAsia="Times New Roman"/>
                <w:sz w:val="20"/>
                <w:szCs w:val="20"/>
              </w:rPr>
            </w:pPr>
          </w:p>
        </w:tc>
        <w:tc>
          <w:tcPr>
            <w:tcW w:w="50" w:type="pct"/>
            <w:vAlign w:val="center"/>
            <w:hideMark/>
          </w:tcPr>
          <w:p w14:paraId="0972C592" w14:textId="77777777" w:rsidR="00000000" w:rsidRDefault="00195E73">
            <w:pPr>
              <w:rPr>
                <w:rFonts w:eastAsia="Times New Roman"/>
                <w:sz w:val="20"/>
                <w:szCs w:val="20"/>
              </w:rPr>
            </w:pPr>
          </w:p>
        </w:tc>
      </w:tr>
      <w:tr w:rsidR="00000000" w14:paraId="44194291" w14:textId="77777777">
        <w:trPr>
          <w:divId w:val="1674213598"/>
          <w:jc w:val="center"/>
        </w:trPr>
        <w:tc>
          <w:tcPr>
            <w:tcW w:w="0" w:type="auto"/>
            <w:gridSpan w:val="3"/>
            <w:tcMar>
              <w:top w:w="15" w:type="dxa"/>
              <w:left w:w="20" w:type="dxa"/>
              <w:bottom w:w="15" w:type="dxa"/>
              <w:right w:w="20" w:type="dxa"/>
            </w:tcMar>
            <w:vAlign w:val="bottom"/>
            <w:hideMark/>
          </w:tcPr>
          <w:p w14:paraId="3D5AE66A" w14:textId="77777777" w:rsidR="00000000" w:rsidRDefault="00195E73">
            <w:pPr>
              <w:rPr>
                <w:rFonts w:eastAsia="Times New Roman"/>
                <w:sz w:val="20"/>
                <w:szCs w:val="20"/>
              </w:rPr>
            </w:pPr>
          </w:p>
        </w:tc>
        <w:tc>
          <w:tcPr>
            <w:tcW w:w="0" w:type="auto"/>
            <w:gridSpan w:val="21"/>
            <w:tcMar>
              <w:top w:w="30" w:type="dxa"/>
              <w:left w:w="20" w:type="dxa"/>
              <w:bottom w:w="30" w:type="dxa"/>
              <w:right w:w="20" w:type="dxa"/>
            </w:tcMar>
            <w:vAlign w:val="bottom"/>
            <w:hideMark/>
          </w:tcPr>
          <w:p w14:paraId="634646E6" w14:textId="77777777" w:rsidR="00000000" w:rsidRDefault="00195E73">
            <w:pPr>
              <w:jc w:val="center"/>
              <w:rPr>
                <w:rFonts w:eastAsia="Times New Roman"/>
              </w:rPr>
            </w:pPr>
            <w:r>
              <w:rPr>
                <w:rFonts w:eastAsia="Times New Roman"/>
                <w:b/>
                <w:bCs/>
                <w:color w:val="000000"/>
                <w:sz w:val="20"/>
                <w:szCs w:val="20"/>
              </w:rPr>
              <w:t>December 31, 201</w:t>
            </w:r>
            <w:r>
              <w:rPr>
                <w:rFonts w:eastAsia="Times New Roman"/>
                <w:b/>
                <w:bCs/>
                <w:color w:val="000000"/>
                <w:sz w:val="20"/>
                <w:szCs w:val="20"/>
              </w:rPr>
              <w:t>9</w:t>
            </w:r>
          </w:p>
        </w:tc>
        <w:tc>
          <w:tcPr>
            <w:tcW w:w="0" w:type="auto"/>
            <w:gridSpan w:val="3"/>
            <w:vAlign w:val="center"/>
            <w:hideMark/>
          </w:tcPr>
          <w:p w14:paraId="1A1ACFF5" w14:textId="77777777" w:rsidR="00000000" w:rsidRDefault="00195E73">
            <w:pPr>
              <w:jc w:val="center"/>
              <w:rPr>
                <w:rFonts w:eastAsia="Times New Roman"/>
              </w:rPr>
            </w:pPr>
          </w:p>
        </w:tc>
        <w:tc>
          <w:tcPr>
            <w:tcW w:w="0" w:type="auto"/>
            <w:gridSpan w:val="3"/>
            <w:vAlign w:val="center"/>
            <w:hideMark/>
          </w:tcPr>
          <w:p w14:paraId="11A89AC9" w14:textId="77777777" w:rsidR="00000000" w:rsidRDefault="00195E73">
            <w:pPr>
              <w:rPr>
                <w:rFonts w:eastAsia="Times New Roman"/>
                <w:sz w:val="20"/>
                <w:szCs w:val="20"/>
              </w:rPr>
            </w:pPr>
          </w:p>
        </w:tc>
        <w:tc>
          <w:tcPr>
            <w:tcW w:w="0" w:type="auto"/>
            <w:gridSpan w:val="3"/>
            <w:vAlign w:val="center"/>
            <w:hideMark/>
          </w:tcPr>
          <w:p w14:paraId="0C46CE04" w14:textId="77777777" w:rsidR="00000000" w:rsidRDefault="00195E73">
            <w:pPr>
              <w:rPr>
                <w:rFonts w:eastAsia="Times New Roman"/>
                <w:sz w:val="20"/>
                <w:szCs w:val="20"/>
              </w:rPr>
            </w:pPr>
          </w:p>
        </w:tc>
        <w:tc>
          <w:tcPr>
            <w:tcW w:w="0" w:type="auto"/>
            <w:gridSpan w:val="3"/>
            <w:vAlign w:val="center"/>
            <w:hideMark/>
          </w:tcPr>
          <w:p w14:paraId="135A1D63" w14:textId="77777777" w:rsidR="00000000" w:rsidRDefault="00195E73">
            <w:pPr>
              <w:rPr>
                <w:rFonts w:eastAsia="Times New Roman"/>
                <w:sz w:val="20"/>
                <w:szCs w:val="20"/>
              </w:rPr>
            </w:pPr>
          </w:p>
        </w:tc>
        <w:tc>
          <w:tcPr>
            <w:tcW w:w="0" w:type="auto"/>
            <w:gridSpan w:val="3"/>
            <w:vAlign w:val="center"/>
            <w:hideMark/>
          </w:tcPr>
          <w:p w14:paraId="03261FB5" w14:textId="77777777" w:rsidR="00000000" w:rsidRDefault="00195E73">
            <w:pPr>
              <w:rPr>
                <w:rFonts w:eastAsia="Times New Roman"/>
                <w:sz w:val="20"/>
                <w:szCs w:val="20"/>
              </w:rPr>
            </w:pPr>
          </w:p>
        </w:tc>
        <w:tc>
          <w:tcPr>
            <w:tcW w:w="0" w:type="auto"/>
            <w:gridSpan w:val="3"/>
            <w:vAlign w:val="center"/>
            <w:hideMark/>
          </w:tcPr>
          <w:p w14:paraId="689B13D4"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054AB40" w14:textId="77777777" w:rsidR="00000000" w:rsidRDefault="00195E73">
            <w:pPr>
              <w:rPr>
                <w:rFonts w:eastAsia="Times New Roman"/>
                <w:sz w:val="20"/>
                <w:szCs w:val="20"/>
              </w:rPr>
            </w:pPr>
          </w:p>
        </w:tc>
        <w:tc>
          <w:tcPr>
            <w:tcW w:w="0" w:type="auto"/>
            <w:gridSpan w:val="17"/>
            <w:tcMar>
              <w:top w:w="30" w:type="dxa"/>
              <w:left w:w="20" w:type="dxa"/>
              <w:bottom w:w="30" w:type="dxa"/>
              <w:right w:w="20" w:type="dxa"/>
            </w:tcMar>
            <w:vAlign w:val="bottom"/>
            <w:hideMark/>
          </w:tcPr>
          <w:p w14:paraId="6B3A6AB3" w14:textId="77777777" w:rsidR="00000000" w:rsidRDefault="00195E73">
            <w:pPr>
              <w:jc w:val="center"/>
              <w:rPr>
                <w:rFonts w:eastAsia="Times New Roman"/>
              </w:rPr>
            </w:pPr>
            <w:r>
              <w:rPr>
                <w:rFonts w:eastAsia="Times New Roman"/>
                <w:b/>
                <w:bCs/>
                <w:color w:val="000000"/>
                <w:sz w:val="20"/>
                <w:szCs w:val="20"/>
              </w:rPr>
              <w:t>December 31, 201</w:t>
            </w:r>
            <w:r>
              <w:rPr>
                <w:rFonts w:eastAsia="Times New Roman"/>
                <w:b/>
                <w:bCs/>
                <w:color w:val="000000"/>
                <w:sz w:val="20"/>
                <w:szCs w:val="20"/>
              </w:rPr>
              <w:t>8</w:t>
            </w:r>
          </w:p>
        </w:tc>
        <w:tc>
          <w:tcPr>
            <w:tcW w:w="0" w:type="auto"/>
            <w:vAlign w:val="center"/>
            <w:hideMark/>
          </w:tcPr>
          <w:p w14:paraId="3B1C3490" w14:textId="77777777" w:rsidR="00000000" w:rsidRDefault="00195E73">
            <w:pPr>
              <w:jc w:val="center"/>
              <w:rPr>
                <w:rFonts w:eastAsia="Times New Roman"/>
              </w:rPr>
            </w:pPr>
          </w:p>
        </w:tc>
      </w:tr>
      <w:tr w:rsidR="00000000" w14:paraId="29890D43" w14:textId="77777777">
        <w:trPr>
          <w:divId w:val="1674213598"/>
          <w:jc w:val="center"/>
        </w:trPr>
        <w:tc>
          <w:tcPr>
            <w:tcW w:w="0" w:type="auto"/>
            <w:gridSpan w:val="3"/>
            <w:tcMar>
              <w:top w:w="30" w:type="dxa"/>
              <w:left w:w="20" w:type="dxa"/>
              <w:bottom w:w="30" w:type="dxa"/>
              <w:right w:w="20" w:type="dxa"/>
            </w:tcMar>
            <w:vAlign w:val="bottom"/>
            <w:hideMark/>
          </w:tcPr>
          <w:p w14:paraId="181B8EBE" w14:textId="77777777" w:rsidR="00000000" w:rsidRDefault="00195E73">
            <w:pPr>
              <w:rPr>
                <w:rFonts w:eastAsia="Times New Roman"/>
              </w:rPr>
            </w:pPr>
            <w:r>
              <w:rPr>
                <w:rFonts w:eastAsia="Times New Roman"/>
                <w:b/>
                <w:bCs/>
                <w:color w:val="000000"/>
                <w:sz w:val="20"/>
                <w:szCs w:val="20"/>
              </w:rPr>
              <w:t> </w:t>
            </w: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43FCF3C" w14:textId="77777777" w:rsidR="00000000" w:rsidRDefault="00195E73">
            <w:pPr>
              <w:jc w:val="center"/>
              <w:rPr>
                <w:rFonts w:eastAsia="Times New Roman"/>
              </w:rPr>
            </w:pPr>
            <w:r>
              <w:rPr>
                <w:rFonts w:eastAsia="Times New Roman"/>
                <w:b/>
                <w:bCs/>
                <w:color w:val="000000"/>
                <w:sz w:val="20"/>
                <w:szCs w:val="20"/>
              </w:rPr>
              <w:t xml:space="preserve">Level </w:t>
            </w:r>
            <w:r>
              <w:rPr>
                <w:rFonts w:eastAsia="Times New Roman"/>
                <w:b/>
                <w:bCs/>
                <w:color w:val="000000"/>
                <w:sz w:val="20"/>
                <w:szCs w:val="20"/>
              </w:rPr>
              <w:t>1</w:t>
            </w:r>
          </w:p>
        </w:tc>
        <w:tc>
          <w:tcPr>
            <w:tcW w:w="0" w:type="auto"/>
            <w:gridSpan w:val="3"/>
            <w:tcBorders>
              <w:top w:val="single" w:sz="8" w:space="0" w:color="000000"/>
            </w:tcBorders>
            <w:tcMar>
              <w:top w:w="15" w:type="dxa"/>
              <w:left w:w="20" w:type="dxa"/>
              <w:bottom w:w="15" w:type="dxa"/>
              <w:right w:w="20" w:type="dxa"/>
            </w:tcMar>
            <w:vAlign w:val="bottom"/>
            <w:hideMark/>
          </w:tcPr>
          <w:p w14:paraId="4EFE243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6BF14CA" w14:textId="77777777" w:rsidR="00000000" w:rsidRDefault="00195E73">
            <w:pPr>
              <w:jc w:val="center"/>
              <w:rPr>
                <w:rFonts w:eastAsia="Times New Roman"/>
              </w:rPr>
            </w:pPr>
            <w:r>
              <w:rPr>
                <w:rFonts w:eastAsia="Times New Roman"/>
                <w:b/>
                <w:bCs/>
                <w:color w:val="000000"/>
                <w:sz w:val="20"/>
                <w:szCs w:val="20"/>
              </w:rPr>
              <w:t xml:space="preserve">Level </w:t>
            </w:r>
            <w:r>
              <w:rPr>
                <w:rFonts w:eastAsia="Times New Roman"/>
                <w:b/>
                <w:bCs/>
                <w:color w:val="000000"/>
                <w:sz w:val="20"/>
                <w:szCs w:val="20"/>
              </w:rPr>
              <w:t>2</w:t>
            </w:r>
          </w:p>
        </w:tc>
        <w:tc>
          <w:tcPr>
            <w:tcW w:w="0" w:type="auto"/>
            <w:gridSpan w:val="3"/>
            <w:tcBorders>
              <w:top w:val="single" w:sz="8" w:space="0" w:color="000000"/>
            </w:tcBorders>
            <w:tcMar>
              <w:top w:w="15" w:type="dxa"/>
              <w:left w:w="20" w:type="dxa"/>
              <w:bottom w:w="15" w:type="dxa"/>
              <w:right w:w="20" w:type="dxa"/>
            </w:tcMar>
            <w:vAlign w:val="bottom"/>
            <w:hideMark/>
          </w:tcPr>
          <w:p w14:paraId="6B8D4A91"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6729DEE" w14:textId="77777777" w:rsidR="00000000" w:rsidRDefault="00195E73">
            <w:pPr>
              <w:jc w:val="center"/>
              <w:rPr>
                <w:rFonts w:eastAsia="Times New Roman"/>
              </w:rPr>
            </w:pPr>
            <w:r>
              <w:rPr>
                <w:rFonts w:eastAsia="Times New Roman"/>
                <w:b/>
                <w:bCs/>
                <w:color w:val="000000"/>
                <w:sz w:val="20"/>
                <w:szCs w:val="20"/>
              </w:rPr>
              <w:t xml:space="preserve">Level </w:t>
            </w:r>
            <w:r>
              <w:rPr>
                <w:rFonts w:eastAsia="Times New Roman"/>
                <w:b/>
                <w:bCs/>
                <w:color w:val="000000"/>
                <w:sz w:val="20"/>
                <w:szCs w:val="20"/>
              </w:rPr>
              <w:t>3</w:t>
            </w:r>
          </w:p>
        </w:tc>
        <w:tc>
          <w:tcPr>
            <w:tcW w:w="0" w:type="auto"/>
            <w:gridSpan w:val="3"/>
            <w:tcBorders>
              <w:top w:val="single" w:sz="8" w:space="0" w:color="000000"/>
            </w:tcBorders>
            <w:tcMar>
              <w:top w:w="15" w:type="dxa"/>
              <w:left w:w="20" w:type="dxa"/>
              <w:bottom w:w="15" w:type="dxa"/>
              <w:right w:w="20" w:type="dxa"/>
            </w:tcMar>
            <w:vAlign w:val="bottom"/>
            <w:hideMark/>
          </w:tcPr>
          <w:p w14:paraId="162173AD"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C5F80E0" w14:textId="77777777" w:rsidR="00000000" w:rsidRDefault="00195E73">
            <w:pPr>
              <w:jc w:val="cente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gridSpan w:val="3"/>
            <w:tcMar>
              <w:top w:w="15" w:type="dxa"/>
              <w:left w:w="20" w:type="dxa"/>
              <w:bottom w:w="15" w:type="dxa"/>
              <w:right w:w="20" w:type="dxa"/>
            </w:tcMar>
            <w:vAlign w:val="bottom"/>
            <w:hideMark/>
          </w:tcPr>
          <w:p w14:paraId="16DFE0BA"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5BD00C3" w14:textId="77777777" w:rsidR="00000000" w:rsidRDefault="00195E73">
            <w:pPr>
              <w:jc w:val="center"/>
              <w:rPr>
                <w:rFonts w:eastAsia="Times New Roman"/>
              </w:rPr>
            </w:pPr>
            <w:r>
              <w:rPr>
                <w:rFonts w:eastAsia="Times New Roman"/>
                <w:b/>
                <w:bCs/>
                <w:color w:val="000000"/>
                <w:sz w:val="20"/>
                <w:szCs w:val="20"/>
              </w:rPr>
              <w:t xml:space="preserve">Level </w:t>
            </w:r>
            <w:r>
              <w:rPr>
                <w:rFonts w:eastAsia="Times New Roman"/>
                <w:b/>
                <w:bCs/>
                <w:color w:val="000000"/>
                <w:sz w:val="20"/>
                <w:szCs w:val="20"/>
              </w:rPr>
              <w:t>1</w:t>
            </w:r>
          </w:p>
        </w:tc>
        <w:tc>
          <w:tcPr>
            <w:tcW w:w="0" w:type="auto"/>
            <w:gridSpan w:val="3"/>
            <w:tcBorders>
              <w:top w:val="single" w:sz="8" w:space="0" w:color="000000"/>
            </w:tcBorders>
            <w:tcMar>
              <w:top w:w="15" w:type="dxa"/>
              <w:left w:w="20" w:type="dxa"/>
              <w:bottom w:w="15" w:type="dxa"/>
              <w:right w:w="20" w:type="dxa"/>
            </w:tcMar>
            <w:vAlign w:val="bottom"/>
            <w:hideMark/>
          </w:tcPr>
          <w:p w14:paraId="5ED2ED5D"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CE8EF49" w14:textId="77777777" w:rsidR="00000000" w:rsidRDefault="00195E73">
            <w:pPr>
              <w:jc w:val="center"/>
              <w:rPr>
                <w:rFonts w:eastAsia="Times New Roman"/>
              </w:rPr>
            </w:pPr>
            <w:r>
              <w:rPr>
                <w:rFonts w:eastAsia="Times New Roman"/>
                <w:b/>
                <w:bCs/>
                <w:color w:val="000000"/>
                <w:sz w:val="20"/>
                <w:szCs w:val="20"/>
              </w:rPr>
              <w:t xml:space="preserve">Level </w:t>
            </w:r>
            <w:r>
              <w:rPr>
                <w:rFonts w:eastAsia="Times New Roman"/>
                <w:b/>
                <w:bCs/>
                <w:color w:val="000000"/>
                <w:sz w:val="20"/>
                <w:szCs w:val="20"/>
              </w:rPr>
              <w:t>2</w:t>
            </w:r>
          </w:p>
        </w:tc>
        <w:tc>
          <w:tcPr>
            <w:tcW w:w="0" w:type="auto"/>
            <w:gridSpan w:val="3"/>
            <w:tcBorders>
              <w:top w:val="single" w:sz="8" w:space="0" w:color="000000"/>
            </w:tcBorders>
            <w:tcMar>
              <w:top w:w="15" w:type="dxa"/>
              <w:left w:w="20" w:type="dxa"/>
              <w:bottom w:w="15" w:type="dxa"/>
              <w:right w:w="20" w:type="dxa"/>
            </w:tcMar>
            <w:vAlign w:val="bottom"/>
            <w:hideMark/>
          </w:tcPr>
          <w:p w14:paraId="6F30AFF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9DA8406" w14:textId="77777777" w:rsidR="00000000" w:rsidRDefault="00195E73">
            <w:pPr>
              <w:jc w:val="center"/>
              <w:rPr>
                <w:rFonts w:eastAsia="Times New Roman"/>
              </w:rPr>
            </w:pPr>
            <w:r>
              <w:rPr>
                <w:rFonts w:eastAsia="Times New Roman"/>
                <w:b/>
                <w:bCs/>
                <w:color w:val="000000"/>
                <w:sz w:val="20"/>
                <w:szCs w:val="20"/>
              </w:rPr>
              <w:t xml:space="preserve">Level </w:t>
            </w:r>
            <w:r>
              <w:rPr>
                <w:rFonts w:eastAsia="Times New Roman"/>
                <w:b/>
                <w:bCs/>
                <w:color w:val="000000"/>
                <w:sz w:val="20"/>
                <w:szCs w:val="20"/>
              </w:rPr>
              <w:t>3</w:t>
            </w:r>
          </w:p>
        </w:tc>
        <w:tc>
          <w:tcPr>
            <w:tcW w:w="0" w:type="auto"/>
            <w:gridSpan w:val="3"/>
            <w:tcBorders>
              <w:top w:val="single" w:sz="8" w:space="0" w:color="000000"/>
            </w:tcBorders>
            <w:tcMar>
              <w:top w:w="15" w:type="dxa"/>
              <w:left w:w="20" w:type="dxa"/>
              <w:bottom w:w="15" w:type="dxa"/>
              <w:right w:w="20" w:type="dxa"/>
            </w:tcMar>
            <w:vAlign w:val="bottom"/>
            <w:hideMark/>
          </w:tcPr>
          <w:p w14:paraId="0F079B2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D7A06D" w14:textId="77777777" w:rsidR="00000000" w:rsidRDefault="00195E73">
            <w:pPr>
              <w:jc w:val="cente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vAlign w:val="center"/>
            <w:hideMark/>
          </w:tcPr>
          <w:p w14:paraId="3832421A" w14:textId="77777777" w:rsidR="00000000" w:rsidRDefault="00195E73">
            <w:pPr>
              <w:rPr>
                <w:rFonts w:eastAsia="Times New Roman"/>
                <w:sz w:val="20"/>
                <w:szCs w:val="20"/>
              </w:rPr>
            </w:pPr>
          </w:p>
        </w:tc>
        <w:tc>
          <w:tcPr>
            <w:tcW w:w="0" w:type="auto"/>
            <w:vAlign w:val="center"/>
            <w:hideMark/>
          </w:tcPr>
          <w:p w14:paraId="7B1EA460" w14:textId="77777777" w:rsidR="00000000" w:rsidRDefault="00195E73">
            <w:pPr>
              <w:rPr>
                <w:rFonts w:eastAsia="Times New Roman"/>
                <w:sz w:val="20"/>
                <w:szCs w:val="20"/>
              </w:rPr>
            </w:pPr>
          </w:p>
        </w:tc>
        <w:tc>
          <w:tcPr>
            <w:tcW w:w="0" w:type="auto"/>
            <w:vAlign w:val="center"/>
            <w:hideMark/>
          </w:tcPr>
          <w:p w14:paraId="6194FB46" w14:textId="77777777" w:rsidR="00000000" w:rsidRDefault="00195E73">
            <w:pPr>
              <w:rPr>
                <w:rFonts w:eastAsia="Times New Roman"/>
                <w:sz w:val="20"/>
                <w:szCs w:val="20"/>
              </w:rPr>
            </w:pPr>
          </w:p>
        </w:tc>
        <w:tc>
          <w:tcPr>
            <w:tcW w:w="0" w:type="auto"/>
            <w:vAlign w:val="center"/>
            <w:hideMark/>
          </w:tcPr>
          <w:p w14:paraId="2B7884C6" w14:textId="77777777" w:rsidR="00000000" w:rsidRDefault="00195E73">
            <w:pPr>
              <w:rPr>
                <w:rFonts w:eastAsia="Times New Roman"/>
                <w:sz w:val="20"/>
                <w:szCs w:val="20"/>
              </w:rPr>
            </w:pPr>
          </w:p>
        </w:tc>
        <w:tc>
          <w:tcPr>
            <w:tcW w:w="0" w:type="auto"/>
            <w:vAlign w:val="center"/>
            <w:hideMark/>
          </w:tcPr>
          <w:p w14:paraId="498A5953" w14:textId="77777777" w:rsidR="00000000" w:rsidRDefault="00195E73">
            <w:pPr>
              <w:rPr>
                <w:rFonts w:eastAsia="Times New Roman"/>
                <w:sz w:val="20"/>
                <w:szCs w:val="20"/>
              </w:rPr>
            </w:pPr>
          </w:p>
        </w:tc>
        <w:tc>
          <w:tcPr>
            <w:tcW w:w="0" w:type="auto"/>
            <w:vAlign w:val="center"/>
            <w:hideMark/>
          </w:tcPr>
          <w:p w14:paraId="5B91A43C" w14:textId="77777777" w:rsidR="00000000" w:rsidRDefault="00195E73">
            <w:pPr>
              <w:rPr>
                <w:rFonts w:eastAsia="Times New Roman"/>
                <w:sz w:val="20"/>
                <w:szCs w:val="20"/>
              </w:rPr>
            </w:pPr>
          </w:p>
        </w:tc>
        <w:tc>
          <w:tcPr>
            <w:tcW w:w="0" w:type="auto"/>
            <w:vAlign w:val="center"/>
            <w:hideMark/>
          </w:tcPr>
          <w:p w14:paraId="7D567EE4" w14:textId="77777777" w:rsidR="00000000" w:rsidRDefault="00195E73">
            <w:pPr>
              <w:rPr>
                <w:rFonts w:eastAsia="Times New Roman"/>
                <w:sz w:val="20"/>
                <w:szCs w:val="20"/>
              </w:rPr>
            </w:pPr>
          </w:p>
        </w:tc>
        <w:tc>
          <w:tcPr>
            <w:tcW w:w="0" w:type="auto"/>
            <w:vAlign w:val="center"/>
            <w:hideMark/>
          </w:tcPr>
          <w:p w14:paraId="7A4EDCA6" w14:textId="77777777" w:rsidR="00000000" w:rsidRDefault="00195E73">
            <w:pPr>
              <w:rPr>
                <w:rFonts w:eastAsia="Times New Roman"/>
                <w:sz w:val="20"/>
                <w:szCs w:val="20"/>
              </w:rPr>
            </w:pPr>
          </w:p>
        </w:tc>
        <w:tc>
          <w:tcPr>
            <w:tcW w:w="0" w:type="auto"/>
            <w:vAlign w:val="center"/>
            <w:hideMark/>
          </w:tcPr>
          <w:p w14:paraId="3E73B4D5" w14:textId="77777777" w:rsidR="00000000" w:rsidRDefault="00195E73">
            <w:pPr>
              <w:rPr>
                <w:rFonts w:eastAsia="Times New Roman"/>
                <w:sz w:val="20"/>
                <w:szCs w:val="20"/>
              </w:rPr>
            </w:pPr>
          </w:p>
        </w:tc>
        <w:tc>
          <w:tcPr>
            <w:tcW w:w="0" w:type="auto"/>
            <w:vAlign w:val="center"/>
            <w:hideMark/>
          </w:tcPr>
          <w:p w14:paraId="77ED11D6" w14:textId="77777777" w:rsidR="00000000" w:rsidRDefault="00195E73">
            <w:pPr>
              <w:rPr>
                <w:rFonts w:eastAsia="Times New Roman"/>
                <w:sz w:val="20"/>
                <w:szCs w:val="20"/>
              </w:rPr>
            </w:pPr>
          </w:p>
        </w:tc>
        <w:tc>
          <w:tcPr>
            <w:tcW w:w="0" w:type="auto"/>
            <w:vAlign w:val="center"/>
            <w:hideMark/>
          </w:tcPr>
          <w:p w14:paraId="5CD2435D" w14:textId="77777777" w:rsidR="00000000" w:rsidRDefault="00195E73">
            <w:pPr>
              <w:rPr>
                <w:rFonts w:eastAsia="Times New Roman"/>
                <w:sz w:val="20"/>
                <w:szCs w:val="20"/>
              </w:rPr>
            </w:pPr>
          </w:p>
        </w:tc>
        <w:tc>
          <w:tcPr>
            <w:tcW w:w="0" w:type="auto"/>
            <w:vAlign w:val="center"/>
            <w:hideMark/>
          </w:tcPr>
          <w:p w14:paraId="096F341C" w14:textId="77777777" w:rsidR="00000000" w:rsidRDefault="00195E73">
            <w:pPr>
              <w:rPr>
                <w:rFonts w:eastAsia="Times New Roman"/>
                <w:sz w:val="20"/>
                <w:szCs w:val="20"/>
              </w:rPr>
            </w:pPr>
          </w:p>
        </w:tc>
        <w:tc>
          <w:tcPr>
            <w:tcW w:w="0" w:type="auto"/>
            <w:vAlign w:val="center"/>
            <w:hideMark/>
          </w:tcPr>
          <w:p w14:paraId="0A2ECA2D" w14:textId="77777777" w:rsidR="00000000" w:rsidRDefault="00195E73">
            <w:pPr>
              <w:rPr>
                <w:rFonts w:eastAsia="Times New Roman"/>
                <w:sz w:val="20"/>
                <w:szCs w:val="20"/>
              </w:rPr>
            </w:pPr>
          </w:p>
        </w:tc>
        <w:tc>
          <w:tcPr>
            <w:tcW w:w="0" w:type="auto"/>
            <w:vAlign w:val="center"/>
            <w:hideMark/>
          </w:tcPr>
          <w:p w14:paraId="400ED612" w14:textId="77777777" w:rsidR="00000000" w:rsidRDefault="00195E73">
            <w:pPr>
              <w:rPr>
                <w:rFonts w:eastAsia="Times New Roman"/>
                <w:sz w:val="20"/>
                <w:szCs w:val="20"/>
              </w:rPr>
            </w:pPr>
          </w:p>
        </w:tc>
        <w:tc>
          <w:tcPr>
            <w:tcW w:w="0" w:type="auto"/>
            <w:vAlign w:val="center"/>
            <w:hideMark/>
          </w:tcPr>
          <w:p w14:paraId="14375373" w14:textId="77777777" w:rsidR="00000000" w:rsidRDefault="00195E73">
            <w:pPr>
              <w:rPr>
                <w:rFonts w:eastAsia="Times New Roman"/>
                <w:sz w:val="20"/>
                <w:szCs w:val="20"/>
              </w:rPr>
            </w:pPr>
          </w:p>
        </w:tc>
      </w:tr>
      <w:tr w:rsidR="00000000" w14:paraId="2AC7F15E" w14:textId="77777777">
        <w:trPr>
          <w:divId w:val="1674213598"/>
          <w:jc w:val="center"/>
        </w:trPr>
        <w:tc>
          <w:tcPr>
            <w:tcW w:w="0" w:type="auto"/>
            <w:gridSpan w:val="3"/>
            <w:tcMar>
              <w:top w:w="30" w:type="dxa"/>
              <w:left w:w="20" w:type="dxa"/>
              <w:bottom w:w="30" w:type="dxa"/>
              <w:right w:w="20" w:type="dxa"/>
            </w:tcMar>
            <w:vAlign w:val="bottom"/>
            <w:hideMark/>
          </w:tcPr>
          <w:p w14:paraId="09CE9CCF" w14:textId="77777777" w:rsidR="00000000" w:rsidRDefault="00195E73">
            <w:pPr>
              <w:jc w:val="cente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45"/>
            <w:tcBorders>
              <w:top w:val="single" w:sz="8" w:space="0" w:color="000000"/>
            </w:tcBorders>
            <w:tcMar>
              <w:top w:w="30" w:type="dxa"/>
              <w:left w:w="20" w:type="dxa"/>
              <w:bottom w:w="30" w:type="dxa"/>
              <w:right w:w="20" w:type="dxa"/>
            </w:tcMar>
            <w:vAlign w:val="bottom"/>
            <w:hideMark/>
          </w:tcPr>
          <w:p w14:paraId="56626007"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170ADA8A" w14:textId="77777777" w:rsidR="00000000" w:rsidRDefault="00195E73">
            <w:pPr>
              <w:jc w:val="center"/>
              <w:rPr>
                <w:rFonts w:eastAsia="Times New Roman"/>
              </w:rPr>
            </w:pPr>
          </w:p>
        </w:tc>
        <w:tc>
          <w:tcPr>
            <w:tcW w:w="0" w:type="auto"/>
            <w:gridSpan w:val="3"/>
            <w:vAlign w:val="center"/>
            <w:hideMark/>
          </w:tcPr>
          <w:p w14:paraId="166EAC7D" w14:textId="77777777" w:rsidR="00000000" w:rsidRDefault="00195E73">
            <w:pPr>
              <w:rPr>
                <w:rFonts w:eastAsia="Times New Roman"/>
                <w:sz w:val="20"/>
                <w:szCs w:val="20"/>
              </w:rPr>
            </w:pPr>
          </w:p>
        </w:tc>
        <w:tc>
          <w:tcPr>
            <w:tcW w:w="0" w:type="auto"/>
            <w:gridSpan w:val="3"/>
            <w:vAlign w:val="center"/>
            <w:hideMark/>
          </w:tcPr>
          <w:p w14:paraId="2EDBEE69" w14:textId="77777777" w:rsidR="00000000" w:rsidRDefault="00195E73">
            <w:pPr>
              <w:rPr>
                <w:rFonts w:eastAsia="Times New Roman"/>
                <w:sz w:val="20"/>
                <w:szCs w:val="20"/>
              </w:rPr>
            </w:pPr>
          </w:p>
        </w:tc>
        <w:tc>
          <w:tcPr>
            <w:tcW w:w="0" w:type="auto"/>
            <w:gridSpan w:val="3"/>
            <w:vAlign w:val="center"/>
            <w:hideMark/>
          </w:tcPr>
          <w:p w14:paraId="4655F20F" w14:textId="77777777" w:rsidR="00000000" w:rsidRDefault="00195E73">
            <w:pPr>
              <w:rPr>
                <w:rFonts w:eastAsia="Times New Roman"/>
                <w:sz w:val="20"/>
                <w:szCs w:val="20"/>
              </w:rPr>
            </w:pPr>
          </w:p>
        </w:tc>
        <w:tc>
          <w:tcPr>
            <w:tcW w:w="0" w:type="auto"/>
            <w:gridSpan w:val="2"/>
            <w:vAlign w:val="center"/>
            <w:hideMark/>
          </w:tcPr>
          <w:p w14:paraId="6A3400F7" w14:textId="77777777" w:rsidR="00000000" w:rsidRDefault="00195E73">
            <w:pPr>
              <w:rPr>
                <w:rFonts w:eastAsia="Times New Roman"/>
                <w:sz w:val="20"/>
                <w:szCs w:val="20"/>
              </w:rPr>
            </w:pPr>
          </w:p>
        </w:tc>
        <w:tc>
          <w:tcPr>
            <w:tcW w:w="0" w:type="auto"/>
            <w:vAlign w:val="center"/>
            <w:hideMark/>
          </w:tcPr>
          <w:p w14:paraId="6815E390" w14:textId="77777777" w:rsidR="00000000" w:rsidRDefault="00195E73">
            <w:pPr>
              <w:rPr>
                <w:rFonts w:eastAsia="Times New Roman"/>
                <w:sz w:val="20"/>
                <w:szCs w:val="20"/>
              </w:rPr>
            </w:pPr>
          </w:p>
        </w:tc>
      </w:tr>
      <w:tr w:rsidR="00195E73" w14:paraId="2EA7D779" w14:textId="77777777">
        <w:trPr>
          <w:divId w:val="1674213598"/>
          <w:jc w:val="center"/>
        </w:trPr>
        <w:tc>
          <w:tcPr>
            <w:tcW w:w="0" w:type="auto"/>
            <w:gridSpan w:val="3"/>
            <w:shd w:val="clear" w:color="auto" w:fill="CCEEFF"/>
            <w:tcMar>
              <w:top w:w="30" w:type="dxa"/>
              <w:left w:w="20" w:type="dxa"/>
              <w:bottom w:w="30" w:type="dxa"/>
              <w:right w:w="20" w:type="dxa"/>
            </w:tcMar>
            <w:vAlign w:val="bottom"/>
            <w:hideMark/>
          </w:tcPr>
          <w:p w14:paraId="538365C2" w14:textId="77777777" w:rsidR="00000000" w:rsidRDefault="00195E73">
            <w:pPr>
              <w:ind w:hanging="180"/>
              <w:divId w:val="1936742594"/>
              <w:rPr>
                <w:rFonts w:eastAsia="Times New Roman"/>
              </w:rPr>
            </w:pPr>
            <w:r>
              <w:rPr>
                <w:rFonts w:eastAsia="Times New Roman"/>
                <w:color w:val="000000"/>
                <w:sz w:val="20"/>
                <w:szCs w:val="20"/>
              </w:rPr>
              <w:t>Investments (Note 4</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14:paraId="72E3AFA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3D73E6A" w14:textId="77777777" w:rsidR="00000000" w:rsidRDefault="00195E73">
            <w:pPr>
              <w:jc w:val="right"/>
              <w:rPr>
                <w:rFonts w:eastAsia="Times New Roman"/>
              </w:rPr>
            </w:pPr>
            <w:r>
              <w:rPr>
                <w:rFonts w:eastAsia="Times New Roman"/>
                <w:color w:val="000000"/>
                <w:sz w:val="20"/>
                <w:szCs w:val="20"/>
              </w:rPr>
              <w:t>9,448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38235C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55537B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147DC1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CD46D46" w14:textId="77777777" w:rsidR="00000000" w:rsidRDefault="00195E73">
            <w:pPr>
              <w:jc w:val="right"/>
              <w:rPr>
                <w:rFonts w:eastAsia="Times New Roman"/>
              </w:rPr>
            </w:pPr>
            <w:r>
              <w:rPr>
                <w:rFonts w:eastAsia="Times New Roman"/>
                <w:color w:val="000000"/>
                <w:sz w:val="20"/>
                <w:szCs w:val="20"/>
              </w:rPr>
              <w:t>281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C70F25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40ED51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812B92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1555A5E"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2789C2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80B02A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972420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F5C9DCE" w14:textId="77777777" w:rsidR="00000000" w:rsidRDefault="00195E73">
            <w:pPr>
              <w:jc w:val="right"/>
              <w:rPr>
                <w:rFonts w:eastAsia="Times New Roman"/>
              </w:rPr>
            </w:pPr>
            <w:r>
              <w:rPr>
                <w:rFonts w:eastAsia="Times New Roman"/>
                <w:color w:val="000000"/>
                <w:sz w:val="20"/>
                <w:szCs w:val="20"/>
              </w:rPr>
              <w:t>9,732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F1E9A5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413BF6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4A32E3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32F9167" w14:textId="77777777" w:rsidR="00000000" w:rsidRDefault="00195E73">
            <w:pPr>
              <w:jc w:val="right"/>
              <w:rPr>
                <w:rFonts w:eastAsia="Times New Roman"/>
              </w:rPr>
            </w:pPr>
            <w:r>
              <w:rPr>
                <w:rFonts w:eastAsia="Times New Roman"/>
                <w:color w:val="000000"/>
                <w:sz w:val="20"/>
                <w:szCs w:val="20"/>
              </w:rPr>
              <w:t>7,493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2E9C51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D3B687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B245F6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D6D8E2B" w14:textId="77777777" w:rsidR="00000000" w:rsidRDefault="00195E73">
            <w:pPr>
              <w:jc w:val="right"/>
              <w:rPr>
                <w:rFonts w:eastAsia="Times New Roman"/>
              </w:rPr>
            </w:pPr>
            <w:r>
              <w:rPr>
                <w:rFonts w:eastAsia="Times New Roman"/>
                <w:color w:val="000000"/>
                <w:sz w:val="20"/>
                <w:szCs w:val="20"/>
              </w:rPr>
              <w:t>317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EF402F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22223B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2C195A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796DD8C" w14:textId="77777777" w:rsidR="00000000" w:rsidRDefault="00195E73">
            <w:pPr>
              <w:jc w:val="right"/>
              <w:rPr>
                <w:rFonts w:eastAsia="Times New Roman"/>
              </w:rPr>
            </w:pPr>
            <w:r>
              <w:rPr>
                <w:rFonts w:eastAsia="Times New Roman"/>
                <w:color w:val="000000"/>
                <w:sz w:val="20"/>
                <w:szCs w:val="20"/>
              </w:rPr>
              <w:t>372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1BDFEF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0EBA2B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ACE6E3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C6834F6" w14:textId="77777777" w:rsidR="00000000" w:rsidRDefault="00195E73">
            <w:pPr>
              <w:jc w:val="right"/>
              <w:rPr>
                <w:rFonts w:eastAsia="Times New Roman"/>
              </w:rPr>
            </w:pPr>
            <w:r>
              <w:rPr>
                <w:rFonts w:eastAsia="Times New Roman"/>
                <w:color w:val="000000"/>
                <w:sz w:val="20"/>
                <w:szCs w:val="20"/>
              </w:rPr>
              <w:t>8,182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4C4A58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70FC015" w14:textId="77777777" w:rsidR="00000000" w:rsidRDefault="00195E73">
            <w:pPr>
              <w:rPr>
                <w:rFonts w:eastAsia="Times New Roman"/>
                <w:sz w:val="20"/>
                <w:szCs w:val="20"/>
              </w:rPr>
            </w:pPr>
          </w:p>
        </w:tc>
        <w:tc>
          <w:tcPr>
            <w:tcW w:w="0" w:type="auto"/>
            <w:vAlign w:val="center"/>
            <w:hideMark/>
          </w:tcPr>
          <w:p w14:paraId="02489F67" w14:textId="77777777" w:rsidR="00000000" w:rsidRDefault="00195E73">
            <w:pPr>
              <w:rPr>
                <w:rFonts w:eastAsia="Times New Roman"/>
                <w:sz w:val="20"/>
                <w:szCs w:val="20"/>
              </w:rPr>
            </w:pPr>
          </w:p>
        </w:tc>
        <w:tc>
          <w:tcPr>
            <w:tcW w:w="0" w:type="auto"/>
            <w:vAlign w:val="center"/>
            <w:hideMark/>
          </w:tcPr>
          <w:p w14:paraId="3717E79E" w14:textId="77777777" w:rsidR="00000000" w:rsidRDefault="00195E73">
            <w:pPr>
              <w:rPr>
                <w:rFonts w:eastAsia="Times New Roman"/>
                <w:sz w:val="20"/>
                <w:szCs w:val="20"/>
              </w:rPr>
            </w:pPr>
          </w:p>
        </w:tc>
        <w:tc>
          <w:tcPr>
            <w:tcW w:w="0" w:type="auto"/>
            <w:vAlign w:val="center"/>
            <w:hideMark/>
          </w:tcPr>
          <w:p w14:paraId="2B1D70E5" w14:textId="77777777" w:rsidR="00000000" w:rsidRDefault="00195E73">
            <w:pPr>
              <w:rPr>
                <w:rFonts w:eastAsia="Times New Roman"/>
                <w:sz w:val="20"/>
                <w:szCs w:val="20"/>
              </w:rPr>
            </w:pPr>
          </w:p>
        </w:tc>
        <w:tc>
          <w:tcPr>
            <w:tcW w:w="0" w:type="auto"/>
            <w:vAlign w:val="center"/>
            <w:hideMark/>
          </w:tcPr>
          <w:p w14:paraId="2380B92A" w14:textId="77777777" w:rsidR="00000000" w:rsidRDefault="00195E73">
            <w:pPr>
              <w:rPr>
                <w:rFonts w:eastAsia="Times New Roman"/>
                <w:sz w:val="20"/>
                <w:szCs w:val="20"/>
              </w:rPr>
            </w:pPr>
          </w:p>
        </w:tc>
        <w:tc>
          <w:tcPr>
            <w:tcW w:w="0" w:type="auto"/>
            <w:vAlign w:val="center"/>
            <w:hideMark/>
          </w:tcPr>
          <w:p w14:paraId="1C4C4E09" w14:textId="77777777" w:rsidR="00000000" w:rsidRDefault="00195E73">
            <w:pPr>
              <w:rPr>
                <w:rFonts w:eastAsia="Times New Roman"/>
                <w:sz w:val="20"/>
                <w:szCs w:val="20"/>
              </w:rPr>
            </w:pPr>
          </w:p>
        </w:tc>
        <w:tc>
          <w:tcPr>
            <w:tcW w:w="0" w:type="auto"/>
            <w:vAlign w:val="center"/>
            <w:hideMark/>
          </w:tcPr>
          <w:p w14:paraId="365A7794" w14:textId="77777777" w:rsidR="00000000" w:rsidRDefault="00195E73">
            <w:pPr>
              <w:rPr>
                <w:rFonts w:eastAsia="Times New Roman"/>
                <w:sz w:val="20"/>
                <w:szCs w:val="20"/>
              </w:rPr>
            </w:pPr>
          </w:p>
        </w:tc>
        <w:tc>
          <w:tcPr>
            <w:tcW w:w="0" w:type="auto"/>
            <w:vAlign w:val="center"/>
            <w:hideMark/>
          </w:tcPr>
          <w:p w14:paraId="47AA271B" w14:textId="77777777" w:rsidR="00000000" w:rsidRDefault="00195E73">
            <w:pPr>
              <w:rPr>
                <w:rFonts w:eastAsia="Times New Roman"/>
                <w:sz w:val="20"/>
                <w:szCs w:val="20"/>
              </w:rPr>
            </w:pPr>
          </w:p>
        </w:tc>
        <w:tc>
          <w:tcPr>
            <w:tcW w:w="0" w:type="auto"/>
            <w:vAlign w:val="center"/>
            <w:hideMark/>
          </w:tcPr>
          <w:p w14:paraId="65AB1571" w14:textId="77777777" w:rsidR="00000000" w:rsidRDefault="00195E73">
            <w:pPr>
              <w:rPr>
                <w:rFonts w:eastAsia="Times New Roman"/>
                <w:sz w:val="20"/>
                <w:szCs w:val="20"/>
              </w:rPr>
            </w:pPr>
          </w:p>
        </w:tc>
        <w:tc>
          <w:tcPr>
            <w:tcW w:w="0" w:type="auto"/>
            <w:vAlign w:val="center"/>
            <w:hideMark/>
          </w:tcPr>
          <w:p w14:paraId="6F6279B2" w14:textId="77777777" w:rsidR="00000000" w:rsidRDefault="00195E73">
            <w:pPr>
              <w:rPr>
                <w:rFonts w:eastAsia="Times New Roman"/>
                <w:sz w:val="20"/>
                <w:szCs w:val="20"/>
              </w:rPr>
            </w:pPr>
          </w:p>
        </w:tc>
        <w:tc>
          <w:tcPr>
            <w:tcW w:w="0" w:type="auto"/>
            <w:vAlign w:val="center"/>
            <w:hideMark/>
          </w:tcPr>
          <w:p w14:paraId="2FE3A637" w14:textId="77777777" w:rsidR="00000000" w:rsidRDefault="00195E73">
            <w:pPr>
              <w:rPr>
                <w:rFonts w:eastAsia="Times New Roman"/>
                <w:sz w:val="20"/>
                <w:szCs w:val="20"/>
              </w:rPr>
            </w:pPr>
          </w:p>
        </w:tc>
        <w:tc>
          <w:tcPr>
            <w:tcW w:w="0" w:type="auto"/>
            <w:vAlign w:val="center"/>
            <w:hideMark/>
          </w:tcPr>
          <w:p w14:paraId="4B6C4BE5" w14:textId="77777777" w:rsidR="00000000" w:rsidRDefault="00195E73">
            <w:pPr>
              <w:rPr>
                <w:rFonts w:eastAsia="Times New Roman"/>
                <w:sz w:val="20"/>
                <w:szCs w:val="20"/>
              </w:rPr>
            </w:pPr>
          </w:p>
        </w:tc>
        <w:tc>
          <w:tcPr>
            <w:tcW w:w="0" w:type="auto"/>
            <w:vAlign w:val="center"/>
            <w:hideMark/>
          </w:tcPr>
          <w:p w14:paraId="14A867B6" w14:textId="77777777" w:rsidR="00000000" w:rsidRDefault="00195E73">
            <w:pPr>
              <w:rPr>
                <w:rFonts w:eastAsia="Times New Roman"/>
                <w:sz w:val="20"/>
                <w:szCs w:val="20"/>
              </w:rPr>
            </w:pPr>
          </w:p>
        </w:tc>
        <w:tc>
          <w:tcPr>
            <w:tcW w:w="0" w:type="auto"/>
            <w:vAlign w:val="center"/>
            <w:hideMark/>
          </w:tcPr>
          <w:p w14:paraId="1B9F6A97" w14:textId="77777777" w:rsidR="00000000" w:rsidRDefault="00195E73">
            <w:pPr>
              <w:rPr>
                <w:rFonts w:eastAsia="Times New Roman"/>
                <w:sz w:val="20"/>
                <w:szCs w:val="20"/>
              </w:rPr>
            </w:pPr>
          </w:p>
        </w:tc>
        <w:tc>
          <w:tcPr>
            <w:tcW w:w="0" w:type="auto"/>
            <w:vAlign w:val="center"/>
            <w:hideMark/>
          </w:tcPr>
          <w:p w14:paraId="4DC8E28B" w14:textId="77777777" w:rsidR="00000000" w:rsidRDefault="00195E73">
            <w:pPr>
              <w:rPr>
                <w:rFonts w:eastAsia="Times New Roman"/>
                <w:sz w:val="20"/>
                <w:szCs w:val="20"/>
              </w:rPr>
            </w:pPr>
          </w:p>
        </w:tc>
      </w:tr>
      <w:tr w:rsidR="00000000" w14:paraId="0A4201DF" w14:textId="77777777">
        <w:trPr>
          <w:divId w:val="1674213598"/>
          <w:jc w:val="center"/>
        </w:trPr>
        <w:tc>
          <w:tcPr>
            <w:tcW w:w="0" w:type="auto"/>
            <w:gridSpan w:val="3"/>
            <w:shd w:val="clear" w:color="auto" w:fill="FFFFFF"/>
            <w:tcMar>
              <w:top w:w="30" w:type="dxa"/>
              <w:left w:w="20" w:type="dxa"/>
              <w:bottom w:w="30" w:type="dxa"/>
              <w:right w:w="20" w:type="dxa"/>
            </w:tcMar>
            <w:vAlign w:val="bottom"/>
            <w:hideMark/>
          </w:tcPr>
          <w:p w14:paraId="780202C9" w14:textId="77777777" w:rsidR="00000000" w:rsidRDefault="00195E73">
            <w:pPr>
              <w:ind w:hanging="180"/>
              <w:divId w:val="891038082"/>
              <w:rPr>
                <w:rFonts w:eastAsia="Times New Roman"/>
              </w:rPr>
            </w:pPr>
            <w:r>
              <w:rPr>
                <w:rFonts w:eastAsia="Times New Roman"/>
                <w:color w:val="000000"/>
                <w:sz w:val="20"/>
                <w:szCs w:val="20"/>
              </w:rPr>
              <w:t>Derivative contracts, at fair value (Note 6</w:t>
            </w:r>
            <w:r>
              <w:rPr>
                <w:rFonts w:eastAsia="Times New Roman"/>
                <w:color w:val="000000"/>
                <w:sz w:val="20"/>
                <w:szCs w:val="20"/>
              </w:rPr>
              <w:t>)</w:t>
            </w:r>
            <w:r>
              <w:rPr>
                <w:rFonts w:eastAsia="Times New Roman"/>
                <w:color w:val="000000"/>
                <w:sz w:val="13"/>
                <w:szCs w:val="13"/>
                <w:vertAlign w:val="superscript"/>
              </w:rPr>
              <w:t>(1)</w:t>
            </w:r>
          </w:p>
        </w:tc>
        <w:tc>
          <w:tcPr>
            <w:tcW w:w="0" w:type="auto"/>
            <w:gridSpan w:val="2"/>
            <w:shd w:val="clear" w:color="auto" w:fill="FFFFFF"/>
            <w:tcMar>
              <w:top w:w="30" w:type="dxa"/>
              <w:left w:w="20" w:type="dxa"/>
              <w:bottom w:w="30" w:type="dxa"/>
              <w:right w:w="0" w:type="dxa"/>
            </w:tcMar>
            <w:vAlign w:val="bottom"/>
            <w:hideMark/>
          </w:tcPr>
          <w:p w14:paraId="0031E451"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5109E5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996475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3AD7FB" w14:textId="77777777" w:rsidR="00000000" w:rsidRDefault="00195E73">
            <w:pPr>
              <w:jc w:val="right"/>
              <w:rPr>
                <w:rFonts w:eastAsia="Times New Roman"/>
              </w:rPr>
            </w:pPr>
            <w:r>
              <w:rPr>
                <w:rFonts w:eastAsia="Times New Roman"/>
                <w:color w:val="000000"/>
                <w:sz w:val="20"/>
                <w:szCs w:val="20"/>
              </w:rPr>
              <w:t>182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D7C974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C3F8C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2C95EE"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80B3E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582D36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F5D803" w14:textId="77777777" w:rsidR="00000000" w:rsidRDefault="00195E73">
            <w:pPr>
              <w:jc w:val="right"/>
              <w:rPr>
                <w:rFonts w:eastAsia="Times New Roman"/>
              </w:rPr>
            </w:pPr>
            <w:r>
              <w:rPr>
                <w:rFonts w:eastAsia="Times New Roman"/>
                <w:color w:val="000000"/>
                <w:sz w:val="20"/>
                <w:szCs w:val="20"/>
              </w:rPr>
              <w:t>182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06CB5A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5814A8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14800B"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9811AE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8F137B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F3BC6C" w14:textId="77777777" w:rsidR="00000000" w:rsidRDefault="00195E73">
            <w:pPr>
              <w:jc w:val="right"/>
              <w:rPr>
                <w:rFonts w:eastAsia="Times New Roman"/>
              </w:rPr>
            </w:pPr>
            <w:r>
              <w:rPr>
                <w:rFonts w:eastAsia="Times New Roman"/>
                <w:color w:val="000000"/>
                <w:sz w:val="20"/>
                <w:szCs w:val="20"/>
              </w:rPr>
              <w:t>517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99083F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823FAB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552F38"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A0145C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DF5D6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0F1E65" w14:textId="77777777" w:rsidR="00000000" w:rsidRDefault="00195E73">
            <w:pPr>
              <w:jc w:val="right"/>
              <w:rPr>
                <w:rFonts w:eastAsia="Times New Roman"/>
              </w:rPr>
            </w:pPr>
            <w:r>
              <w:rPr>
                <w:rFonts w:eastAsia="Times New Roman"/>
                <w:color w:val="000000"/>
                <w:sz w:val="20"/>
                <w:szCs w:val="20"/>
              </w:rPr>
              <w:t>524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80DEAB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8F19EFB" w14:textId="77777777" w:rsidR="00000000" w:rsidRDefault="00195E73">
            <w:pPr>
              <w:rPr>
                <w:rFonts w:eastAsia="Times New Roman"/>
                <w:sz w:val="20"/>
                <w:szCs w:val="20"/>
              </w:rPr>
            </w:pPr>
          </w:p>
        </w:tc>
        <w:tc>
          <w:tcPr>
            <w:tcW w:w="0" w:type="auto"/>
            <w:vAlign w:val="center"/>
            <w:hideMark/>
          </w:tcPr>
          <w:p w14:paraId="286CE7BD" w14:textId="77777777" w:rsidR="00000000" w:rsidRDefault="00195E73">
            <w:pPr>
              <w:rPr>
                <w:rFonts w:eastAsia="Times New Roman"/>
                <w:sz w:val="20"/>
                <w:szCs w:val="20"/>
              </w:rPr>
            </w:pPr>
          </w:p>
        </w:tc>
        <w:tc>
          <w:tcPr>
            <w:tcW w:w="0" w:type="auto"/>
            <w:vAlign w:val="center"/>
            <w:hideMark/>
          </w:tcPr>
          <w:p w14:paraId="75030E5B" w14:textId="77777777" w:rsidR="00000000" w:rsidRDefault="00195E73">
            <w:pPr>
              <w:rPr>
                <w:rFonts w:eastAsia="Times New Roman"/>
                <w:sz w:val="20"/>
                <w:szCs w:val="20"/>
              </w:rPr>
            </w:pPr>
          </w:p>
        </w:tc>
        <w:tc>
          <w:tcPr>
            <w:tcW w:w="0" w:type="auto"/>
            <w:vAlign w:val="center"/>
            <w:hideMark/>
          </w:tcPr>
          <w:p w14:paraId="114AAAF4" w14:textId="77777777" w:rsidR="00000000" w:rsidRDefault="00195E73">
            <w:pPr>
              <w:rPr>
                <w:rFonts w:eastAsia="Times New Roman"/>
                <w:sz w:val="20"/>
                <w:szCs w:val="20"/>
              </w:rPr>
            </w:pPr>
          </w:p>
        </w:tc>
        <w:tc>
          <w:tcPr>
            <w:tcW w:w="0" w:type="auto"/>
            <w:vAlign w:val="center"/>
            <w:hideMark/>
          </w:tcPr>
          <w:p w14:paraId="788D09B6" w14:textId="77777777" w:rsidR="00000000" w:rsidRDefault="00195E73">
            <w:pPr>
              <w:rPr>
                <w:rFonts w:eastAsia="Times New Roman"/>
                <w:sz w:val="20"/>
                <w:szCs w:val="20"/>
              </w:rPr>
            </w:pPr>
          </w:p>
        </w:tc>
        <w:tc>
          <w:tcPr>
            <w:tcW w:w="0" w:type="auto"/>
            <w:vAlign w:val="center"/>
            <w:hideMark/>
          </w:tcPr>
          <w:p w14:paraId="55BA785D" w14:textId="77777777" w:rsidR="00000000" w:rsidRDefault="00195E73">
            <w:pPr>
              <w:rPr>
                <w:rFonts w:eastAsia="Times New Roman"/>
                <w:sz w:val="20"/>
                <w:szCs w:val="20"/>
              </w:rPr>
            </w:pPr>
          </w:p>
        </w:tc>
        <w:tc>
          <w:tcPr>
            <w:tcW w:w="0" w:type="auto"/>
            <w:vAlign w:val="center"/>
            <w:hideMark/>
          </w:tcPr>
          <w:p w14:paraId="6DA85B54" w14:textId="77777777" w:rsidR="00000000" w:rsidRDefault="00195E73">
            <w:pPr>
              <w:rPr>
                <w:rFonts w:eastAsia="Times New Roman"/>
                <w:sz w:val="20"/>
                <w:szCs w:val="20"/>
              </w:rPr>
            </w:pPr>
          </w:p>
        </w:tc>
        <w:tc>
          <w:tcPr>
            <w:tcW w:w="0" w:type="auto"/>
            <w:vAlign w:val="center"/>
            <w:hideMark/>
          </w:tcPr>
          <w:p w14:paraId="6EC493A8" w14:textId="77777777" w:rsidR="00000000" w:rsidRDefault="00195E73">
            <w:pPr>
              <w:rPr>
                <w:rFonts w:eastAsia="Times New Roman"/>
                <w:sz w:val="20"/>
                <w:szCs w:val="20"/>
              </w:rPr>
            </w:pPr>
          </w:p>
        </w:tc>
        <w:tc>
          <w:tcPr>
            <w:tcW w:w="0" w:type="auto"/>
            <w:vAlign w:val="center"/>
            <w:hideMark/>
          </w:tcPr>
          <w:p w14:paraId="066194D6" w14:textId="77777777" w:rsidR="00000000" w:rsidRDefault="00195E73">
            <w:pPr>
              <w:rPr>
                <w:rFonts w:eastAsia="Times New Roman"/>
                <w:sz w:val="20"/>
                <w:szCs w:val="20"/>
              </w:rPr>
            </w:pPr>
          </w:p>
        </w:tc>
        <w:tc>
          <w:tcPr>
            <w:tcW w:w="0" w:type="auto"/>
            <w:vAlign w:val="center"/>
            <w:hideMark/>
          </w:tcPr>
          <w:p w14:paraId="68979282" w14:textId="77777777" w:rsidR="00000000" w:rsidRDefault="00195E73">
            <w:pPr>
              <w:rPr>
                <w:rFonts w:eastAsia="Times New Roman"/>
                <w:sz w:val="20"/>
                <w:szCs w:val="20"/>
              </w:rPr>
            </w:pPr>
          </w:p>
        </w:tc>
        <w:tc>
          <w:tcPr>
            <w:tcW w:w="0" w:type="auto"/>
            <w:vAlign w:val="center"/>
            <w:hideMark/>
          </w:tcPr>
          <w:p w14:paraId="19DC6AFB" w14:textId="77777777" w:rsidR="00000000" w:rsidRDefault="00195E73">
            <w:pPr>
              <w:rPr>
                <w:rFonts w:eastAsia="Times New Roman"/>
                <w:sz w:val="20"/>
                <w:szCs w:val="20"/>
              </w:rPr>
            </w:pPr>
          </w:p>
        </w:tc>
        <w:tc>
          <w:tcPr>
            <w:tcW w:w="0" w:type="auto"/>
            <w:vAlign w:val="center"/>
            <w:hideMark/>
          </w:tcPr>
          <w:p w14:paraId="3800EC49" w14:textId="77777777" w:rsidR="00000000" w:rsidRDefault="00195E73">
            <w:pPr>
              <w:rPr>
                <w:rFonts w:eastAsia="Times New Roman"/>
                <w:sz w:val="20"/>
                <w:szCs w:val="20"/>
              </w:rPr>
            </w:pPr>
          </w:p>
        </w:tc>
        <w:tc>
          <w:tcPr>
            <w:tcW w:w="0" w:type="auto"/>
            <w:vAlign w:val="center"/>
            <w:hideMark/>
          </w:tcPr>
          <w:p w14:paraId="167582D7" w14:textId="77777777" w:rsidR="00000000" w:rsidRDefault="00195E73">
            <w:pPr>
              <w:rPr>
                <w:rFonts w:eastAsia="Times New Roman"/>
                <w:sz w:val="20"/>
                <w:szCs w:val="20"/>
              </w:rPr>
            </w:pPr>
          </w:p>
        </w:tc>
        <w:tc>
          <w:tcPr>
            <w:tcW w:w="0" w:type="auto"/>
            <w:vAlign w:val="center"/>
            <w:hideMark/>
          </w:tcPr>
          <w:p w14:paraId="35292F2C" w14:textId="77777777" w:rsidR="00000000" w:rsidRDefault="00195E73">
            <w:pPr>
              <w:rPr>
                <w:rFonts w:eastAsia="Times New Roman"/>
                <w:sz w:val="20"/>
                <w:szCs w:val="20"/>
              </w:rPr>
            </w:pPr>
          </w:p>
        </w:tc>
        <w:tc>
          <w:tcPr>
            <w:tcW w:w="0" w:type="auto"/>
            <w:vAlign w:val="center"/>
            <w:hideMark/>
          </w:tcPr>
          <w:p w14:paraId="08038640" w14:textId="77777777" w:rsidR="00000000" w:rsidRDefault="00195E73">
            <w:pPr>
              <w:rPr>
                <w:rFonts w:eastAsia="Times New Roman"/>
                <w:sz w:val="20"/>
                <w:szCs w:val="20"/>
              </w:rPr>
            </w:pPr>
          </w:p>
        </w:tc>
      </w:tr>
      <w:tr w:rsidR="00195E73" w14:paraId="33FA457C" w14:textId="77777777">
        <w:trPr>
          <w:divId w:val="1674213598"/>
          <w:jc w:val="center"/>
        </w:trPr>
        <w:tc>
          <w:tcPr>
            <w:tcW w:w="0" w:type="auto"/>
            <w:gridSpan w:val="3"/>
            <w:shd w:val="clear" w:color="auto" w:fill="CCEEFF"/>
            <w:tcMar>
              <w:top w:w="15" w:type="dxa"/>
              <w:left w:w="20" w:type="dxa"/>
              <w:bottom w:w="15" w:type="dxa"/>
              <w:right w:w="20" w:type="dxa"/>
            </w:tcMar>
            <w:vAlign w:val="bottom"/>
            <w:hideMark/>
          </w:tcPr>
          <w:p w14:paraId="214E7977"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A969F9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F749FF8" w14:textId="77777777" w:rsidR="00000000" w:rsidRDefault="00195E73">
            <w:pPr>
              <w:jc w:val="right"/>
              <w:rPr>
                <w:rFonts w:eastAsia="Times New Roman"/>
              </w:rPr>
            </w:pPr>
            <w:r>
              <w:rPr>
                <w:rFonts w:eastAsia="Times New Roman"/>
                <w:color w:val="000000"/>
                <w:sz w:val="20"/>
                <w:szCs w:val="20"/>
              </w:rPr>
              <w:t>9,448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829D79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83FB3CA"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EE1054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9936347" w14:textId="77777777" w:rsidR="00000000" w:rsidRDefault="00195E73">
            <w:pPr>
              <w:jc w:val="right"/>
              <w:rPr>
                <w:rFonts w:eastAsia="Times New Roman"/>
              </w:rPr>
            </w:pPr>
            <w:r>
              <w:rPr>
                <w:rFonts w:eastAsia="Times New Roman"/>
                <w:color w:val="000000"/>
                <w:sz w:val="20"/>
                <w:szCs w:val="20"/>
              </w:rPr>
              <w:t>463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654A4B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840A993"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3B627C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E1F9ED4"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E1D200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E63886F"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B75F1E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6CCF943" w14:textId="77777777" w:rsidR="00000000" w:rsidRDefault="00195E73">
            <w:pPr>
              <w:jc w:val="right"/>
              <w:rPr>
                <w:rFonts w:eastAsia="Times New Roman"/>
              </w:rPr>
            </w:pPr>
            <w:r>
              <w:rPr>
                <w:rFonts w:eastAsia="Times New Roman"/>
                <w:color w:val="000000"/>
                <w:sz w:val="20"/>
                <w:szCs w:val="20"/>
              </w:rPr>
              <w:t>9,914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08365D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E6D587"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19A6F8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CB4DBC5" w14:textId="77777777" w:rsidR="00000000" w:rsidRDefault="00195E73">
            <w:pPr>
              <w:jc w:val="right"/>
              <w:rPr>
                <w:rFonts w:eastAsia="Times New Roman"/>
              </w:rPr>
            </w:pPr>
            <w:r>
              <w:rPr>
                <w:rFonts w:eastAsia="Times New Roman"/>
                <w:color w:val="000000"/>
                <w:sz w:val="20"/>
                <w:szCs w:val="20"/>
              </w:rPr>
              <w:t>7,500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15FCC9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33977C7"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EB4F7D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F94D82F" w14:textId="77777777" w:rsidR="00000000" w:rsidRDefault="00195E73">
            <w:pPr>
              <w:jc w:val="right"/>
              <w:rPr>
                <w:rFonts w:eastAsia="Times New Roman"/>
              </w:rPr>
            </w:pPr>
            <w:r>
              <w:rPr>
                <w:rFonts w:eastAsia="Times New Roman"/>
                <w:color w:val="000000"/>
                <w:sz w:val="20"/>
                <w:szCs w:val="20"/>
              </w:rPr>
              <w:t>834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C365E3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CC82C7B"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65F4AB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0C32FC5" w14:textId="77777777" w:rsidR="00000000" w:rsidRDefault="00195E73">
            <w:pPr>
              <w:jc w:val="right"/>
              <w:rPr>
                <w:rFonts w:eastAsia="Times New Roman"/>
              </w:rPr>
            </w:pPr>
            <w:r>
              <w:rPr>
                <w:rFonts w:eastAsia="Times New Roman"/>
                <w:color w:val="000000"/>
                <w:sz w:val="20"/>
                <w:szCs w:val="20"/>
              </w:rPr>
              <w:t>372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B0C5CB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44F16D5"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92B9E3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9610CE6" w14:textId="77777777" w:rsidR="00000000" w:rsidRDefault="00195E73">
            <w:pPr>
              <w:jc w:val="right"/>
              <w:rPr>
                <w:rFonts w:eastAsia="Times New Roman"/>
              </w:rPr>
            </w:pPr>
            <w:r>
              <w:rPr>
                <w:rFonts w:eastAsia="Times New Roman"/>
                <w:color w:val="000000"/>
                <w:sz w:val="20"/>
                <w:szCs w:val="20"/>
              </w:rPr>
              <w:t>8,706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B38D5D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E710787" w14:textId="77777777" w:rsidR="00000000" w:rsidRDefault="00195E73">
            <w:pPr>
              <w:rPr>
                <w:rFonts w:eastAsia="Times New Roman"/>
                <w:sz w:val="20"/>
                <w:szCs w:val="20"/>
              </w:rPr>
            </w:pPr>
          </w:p>
        </w:tc>
        <w:tc>
          <w:tcPr>
            <w:tcW w:w="0" w:type="auto"/>
            <w:vAlign w:val="center"/>
            <w:hideMark/>
          </w:tcPr>
          <w:p w14:paraId="313A9F22" w14:textId="77777777" w:rsidR="00000000" w:rsidRDefault="00195E73">
            <w:pPr>
              <w:rPr>
                <w:rFonts w:eastAsia="Times New Roman"/>
                <w:sz w:val="20"/>
                <w:szCs w:val="20"/>
              </w:rPr>
            </w:pPr>
          </w:p>
        </w:tc>
        <w:tc>
          <w:tcPr>
            <w:tcW w:w="0" w:type="auto"/>
            <w:vAlign w:val="center"/>
            <w:hideMark/>
          </w:tcPr>
          <w:p w14:paraId="30F7B411" w14:textId="77777777" w:rsidR="00000000" w:rsidRDefault="00195E73">
            <w:pPr>
              <w:rPr>
                <w:rFonts w:eastAsia="Times New Roman"/>
                <w:sz w:val="20"/>
                <w:szCs w:val="20"/>
              </w:rPr>
            </w:pPr>
          </w:p>
        </w:tc>
        <w:tc>
          <w:tcPr>
            <w:tcW w:w="0" w:type="auto"/>
            <w:vAlign w:val="center"/>
            <w:hideMark/>
          </w:tcPr>
          <w:p w14:paraId="29C3CC6A" w14:textId="77777777" w:rsidR="00000000" w:rsidRDefault="00195E73">
            <w:pPr>
              <w:rPr>
                <w:rFonts w:eastAsia="Times New Roman"/>
                <w:sz w:val="20"/>
                <w:szCs w:val="20"/>
              </w:rPr>
            </w:pPr>
          </w:p>
        </w:tc>
        <w:tc>
          <w:tcPr>
            <w:tcW w:w="0" w:type="auto"/>
            <w:vAlign w:val="center"/>
            <w:hideMark/>
          </w:tcPr>
          <w:p w14:paraId="5785C8FC" w14:textId="77777777" w:rsidR="00000000" w:rsidRDefault="00195E73">
            <w:pPr>
              <w:rPr>
                <w:rFonts w:eastAsia="Times New Roman"/>
                <w:sz w:val="20"/>
                <w:szCs w:val="20"/>
              </w:rPr>
            </w:pPr>
          </w:p>
        </w:tc>
        <w:tc>
          <w:tcPr>
            <w:tcW w:w="0" w:type="auto"/>
            <w:vAlign w:val="center"/>
            <w:hideMark/>
          </w:tcPr>
          <w:p w14:paraId="427C5A84" w14:textId="77777777" w:rsidR="00000000" w:rsidRDefault="00195E73">
            <w:pPr>
              <w:rPr>
                <w:rFonts w:eastAsia="Times New Roman"/>
                <w:sz w:val="20"/>
                <w:szCs w:val="20"/>
              </w:rPr>
            </w:pPr>
          </w:p>
        </w:tc>
        <w:tc>
          <w:tcPr>
            <w:tcW w:w="0" w:type="auto"/>
            <w:vAlign w:val="center"/>
            <w:hideMark/>
          </w:tcPr>
          <w:p w14:paraId="37A9542B" w14:textId="77777777" w:rsidR="00000000" w:rsidRDefault="00195E73">
            <w:pPr>
              <w:rPr>
                <w:rFonts w:eastAsia="Times New Roman"/>
                <w:sz w:val="20"/>
                <w:szCs w:val="20"/>
              </w:rPr>
            </w:pPr>
          </w:p>
        </w:tc>
        <w:tc>
          <w:tcPr>
            <w:tcW w:w="0" w:type="auto"/>
            <w:vAlign w:val="center"/>
            <w:hideMark/>
          </w:tcPr>
          <w:p w14:paraId="760EC3C5" w14:textId="77777777" w:rsidR="00000000" w:rsidRDefault="00195E73">
            <w:pPr>
              <w:rPr>
                <w:rFonts w:eastAsia="Times New Roman"/>
                <w:sz w:val="20"/>
                <w:szCs w:val="20"/>
              </w:rPr>
            </w:pPr>
          </w:p>
        </w:tc>
        <w:tc>
          <w:tcPr>
            <w:tcW w:w="0" w:type="auto"/>
            <w:vAlign w:val="center"/>
            <w:hideMark/>
          </w:tcPr>
          <w:p w14:paraId="2F7947B7" w14:textId="77777777" w:rsidR="00000000" w:rsidRDefault="00195E73">
            <w:pPr>
              <w:rPr>
                <w:rFonts w:eastAsia="Times New Roman"/>
                <w:sz w:val="20"/>
                <w:szCs w:val="20"/>
              </w:rPr>
            </w:pPr>
          </w:p>
        </w:tc>
        <w:tc>
          <w:tcPr>
            <w:tcW w:w="0" w:type="auto"/>
            <w:vAlign w:val="center"/>
            <w:hideMark/>
          </w:tcPr>
          <w:p w14:paraId="5AC107BA" w14:textId="77777777" w:rsidR="00000000" w:rsidRDefault="00195E73">
            <w:pPr>
              <w:rPr>
                <w:rFonts w:eastAsia="Times New Roman"/>
                <w:sz w:val="20"/>
                <w:szCs w:val="20"/>
              </w:rPr>
            </w:pPr>
          </w:p>
        </w:tc>
        <w:tc>
          <w:tcPr>
            <w:tcW w:w="0" w:type="auto"/>
            <w:vAlign w:val="center"/>
            <w:hideMark/>
          </w:tcPr>
          <w:p w14:paraId="3A525904" w14:textId="77777777" w:rsidR="00000000" w:rsidRDefault="00195E73">
            <w:pPr>
              <w:rPr>
                <w:rFonts w:eastAsia="Times New Roman"/>
                <w:sz w:val="20"/>
                <w:szCs w:val="20"/>
              </w:rPr>
            </w:pPr>
          </w:p>
        </w:tc>
        <w:tc>
          <w:tcPr>
            <w:tcW w:w="0" w:type="auto"/>
            <w:vAlign w:val="center"/>
            <w:hideMark/>
          </w:tcPr>
          <w:p w14:paraId="042DBE41" w14:textId="77777777" w:rsidR="00000000" w:rsidRDefault="00195E73">
            <w:pPr>
              <w:rPr>
                <w:rFonts w:eastAsia="Times New Roman"/>
                <w:sz w:val="20"/>
                <w:szCs w:val="20"/>
              </w:rPr>
            </w:pPr>
          </w:p>
        </w:tc>
        <w:tc>
          <w:tcPr>
            <w:tcW w:w="0" w:type="auto"/>
            <w:vAlign w:val="center"/>
            <w:hideMark/>
          </w:tcPr>
          <w:p w14:paraId="69E8883F" w14:textId="77777777" w:rsidR="00000000" w:rsidRDefault="00195E73">
            <w:pPr>
              <w:rPr>
                <w:rFonts w:eastAsia="Times New Roman"/>
                <w:sz w:val="20"/>
                <w:szCs w:val="20"/>
              </w:rPr>
            </w:pPr>
          </w:p>
        </w:tc>
        <w:tc>
          <w:tcPr>
            <w:tcW w:w="0" w:type="auto"/>
            <w:vAlign w:val="center"/>
            <w:hideMark/>
          </w:tcPr>
          <w:p w14:paraId="18BFC16A" w14:textId="77777777" w:rsidR="00000000" w:rsidRDefault="00195E73">
            <w:pPr>
              <w:rPr>
                <w:rFonts w:eastAsia="Times New Roman"/>
                <w:sz w:val="20"/>
                <w:szCs w:val="20"/>
              </w:rPr>
            </w:pPr>
          </w:p>
        </w:tc>
        <w:tc>
          <w:tcPr>
            <w:tcW w:w="0" w:type="auto"/>
            <w:vAlign w:val="center"/>
            <w:hideMark/>
          </w:tcPr>
          <w:p w14:paraId="0F6BC1E6" w14:textId="77777777" w:rsidR="00000000" w:rsidRDefault="00195E73">
            <w:pPr>
              <w:rPr>
                <w:rFonts w:eastAsia="Times New Roman"/>
                <w:sz w:val="20"/>
                <w:szCs w:val="20"/>
              </w:rPr>
            </w:pPr>
          </w:p>
        </w:tc>
      </w:tr>
      <w:tr w:rsidR="00000000" w14:paraId="0D6F4C90" w14:textId="77777777">
        <w:trPr>
          <w:divId w:val="1674213598"/>
          <w:jc w:val="center"/>
        </w:trPr>
        <w:tc>
          <w:tcPr>
            <w:tcW w:w="0" w:type="auto"/>
            <w:gridSpan w:val="3"/>
            <w:shd w:val="clear" w:color="auto" w:fill="FFFFFF"/>
            <w:tcMar>
              <w:top w:w="30" w:type="dxa"/>
              <w:left w:w="20" w:type="dxa"/>
              <w:bottom w:w="30" w:type="dxa"/>
              <w:right w:w="20" w:type="dxa"/>
            </w:tcMar>
            <w:vAlign w:val="bottom"/>
            <w:hideMark/>
          </w:tcPr>
          <w:p w14:paraId="234870FA" w14:textId="77777777" w:rsidR="00000000" w:rsidRDefault="00195E73">
            <w:pPr>
              <w:jc w:val="center"/>
              <w:rPr>
                <w:rFonts w:eastAsia="Times New Roman"/>
              </w:rPr>
            </w:pPr>
            <w:r>
              <w:rPr>
                <w:rFonts w:eastAsia="Times New Roman"/>
                <w:b/>
                <w:bCs/>
                <w:color w:val="000000"/>
                <w:sz w:val="20"/>
                <w:szCs w:val="20"/>
              </w:rPr>
              <w:t>Liabilitie</w:t>
            </w:r>
            <w:r>
              <w:rPr>
                <w:rFonts w:eastAsia="Times New Roman"/>
                <w:b/>
                <w:bCs/>
                <w:color w:val="000000"/>
                <w:sz w:val="20"/>
                <w:szCs w:val="20"/>
              </w:rPr>
              <w:t>s</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D22F2E0" w14:textId="77777777" w:rsidR="00000000" w:rsidRDefault="00195E73">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0CC3CDD"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647BAA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8D1A198"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D310BC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D9D96AE"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1AA4C55"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D3F186B"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8989BE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1A207B8"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00F020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ACD7465"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36F74D3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8590613"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A4AE65D" w14:textId="77777777" w:rsidR="00000000" w:rsidRDefault="00195E73">
            <w:pPr>
              <w:rPr>
                <w:rFonts w:eastAsia="Times New Roman"/>
                <w:sz w:val="20"/>
                <w:szCs w:val="20"/>
              </w:rPr>
            </w:pPr>
          </w:p>
        </w:tc>
        <w:tc>
          <w:tcPr>
            <w:tcW w:w="0" w:type="auto"/>
            <w:vAlign w:val="center"/>
            <w:hideMark/>
          </w:tcPr>
          <w:p w14:paraId="467440FF" w14:textId="77777777" w:rsidR="00000000" w:rsidRDefault="00195E73">
            <w:pPr>
              <w:rPr>
                <w:rFonts w:eastAsia="Times New Roman"/>
                <w:sz w:val="20"/>
                <w:szCs w:val="20"/>
              </w:rPr>
            </w:pPr>
          </w:p>
        </w:tc>
        <w:tc>
          <w:tcPr>
            <w:tcW w:w="0" w:type="auto"/>
            <w:vAlign w:val="center"/>
            <w:hideMark/>
          </w:tcPr>
          <w:p w14:paraId="74EE4DDA" w14:textId="77777777" w:rsidR="00000000" w:rsidRDefault="00195E73">
            <w:pPr>
              <w:rPr>
                <w:rFonts w:eastAsia="Times New Roman"/>
                <w:sz w:val="20"/>
                <w:szCs w:val="20"/>
              </w:rPr>
            </w:pPr>
          </w:p>
        </w:tc>
        <w:tc>
          <w:tcPr>
            <w:tcW w:w="0" w:type="auto"/>
            <w:vAlign w:val="center"/>
            <w:hideMark/>
          </w:tcPr>
          <w:p w14:paraId="752D8E84" w14:textId="77777777" w:rsidR="00000000" w:rsidRDefault="00195E73">
            <w:pPr>
              <w:rPr>
                <w:rFonts w:eastAsia="Times New Roman"/>
                <w:sz w:val="20"/>
                <w:szCs w:val="20"/>
              </w:rPr>
            </w:pPr>
          </w:p>
        </w:tc>
        <w:tc>
          <w:tcPr>
            <w:tcW w:w="0" w:type="auto"/>
            <w:vAlign w:val="center"/>
            <w:hideMark/>
          </w:tcPr>
          <w:p w14:paraId="6FC15490" w14:textId="77777777" w:rsidR="00000000" w:rsidRDefault="00195E73">
            <w:pPr>
              <w:rPr>
                <w:rFonts w:eastAsia="Times New Roman"/>
                <w:sz w:val="20"/>
                <w:szCs w:val="20"/>
              </w:rPr>
            </w:pPr>
          </w:p>
        </w:tc>
        <w:tc>
          <w:tcPr>
            <w:tcW w:w="0" w:type="auto"/>
            <w:vAlign w:val="center"/>
            <w:hideMark/>
          </w:tcPr>
          <w:p w14:paraId="66D606D4" w14:textId="77777777" w:rsidR="00000000" w:rsidRDefault="00195E73">
            <w:pPr>
              <w:rPr>
                <w:rFonts w:eastAsia="Times New Roman"/>
                <w:sz w:val="20"/>
                <w:szCs w:val="20"/>
              </w:rPr>
            </w:pPr>
          </w:p>
        </w:tc>
        <w:tc>
          <w:tcPr>
            <w:tcW w:w="0" w:type="auto"/>
            <w:vAlign w:val="center"/>
            <w:hideMark/>
          </w:tcPr>
          <w:p w14:paraId="3BD0F039" w14:textId="77777777" w:rsidR="00000000" w:rsidRDefault="00195E73">
            <w:pPr>
              <w:rPr>
                <w:rFonts w:eastAsia="Times New Roman"/>
                <w:sz w:val="20"/>
                <w:szCs w:val="20"/>
              </w:rPr>
            </w:pPr>
          </w:p>
        </w:tc>
        <w:tc>
          <w:tcPr>
            <w:tcW w:w="0" w:type="auto"/>
            <w:vAlign w:val="center"/>
            <w:hideMark/>
          </w:tcPr>
          <w:p w14:paraId="599C8230" w14:textId="77777777" w:rsidR="00000000" w:rsidRDefault="00195E73">
            <w:pPr>
              <w:rPr>
                <w:rFonts w:eastAsia="Times New Roman"/>
                <w:sz w:val="20"/>
                <w:szCs w:val="20"/>
              </w:rPr>
            </w:pPr>
          </w:p>
        </w:tc>
        <w:tc>
          <w:tcPr>
            <w:tcW w:w="0" w:type="auto"/>
            <w:vAlign w:val="center"/>
            <w:hideMark/>
          </w:tcPr>
          <w:p w14:paraId="643B5037" w14:textId="77777777" w:rsidR="00000000" w:rsidRDefault="00195E73">
            <w:pPr>
              <w:rPr>
                <w:rFonts w:eastAsia="Times New Roman"/>
                <w:sz w:val="20"/>
                <w:szCs w:val="20"/>
              </w:rPr>
            </w:pPr>
          </w:p>
        </w:tc>
        <w:tc>
          <w:tcPr>
            <w:tcW w:w="0" w:type="auto"/>
            <w:vAlign w:val="center"/>
            <w:hideMark/>
          </w:tcPr>
          <w:p w14:paraId="52813395" w14:textId="77777777" w:rsidR="00000000" w:rsidRDefault="00195E73">
            <w:pPr>
              <w:rPr>
                <w:rFonts w:eastAsia="Times New Roman"/>
                <w:sz w:val="20"/>
                <w:szCs w:val="20"/>
              </w:rPr>
            </w:pPr>
          </w:p>
        </w:tc>
        <w:tc>
          <w:tcPr>
            <w:tcW w:w="0" w:type="auto"/>
            <w:vAlign w:val="center"/>
            <w:hideMark/>
          </w:tcPr>
          <w:p w14:paraId="41A4C0A8" w14:textId="77777777" w:rsidR="00000000" w:rsidRDefault="00195E73">
            <w:pPr>
              <w:rPr>
                <w:rFonts w:eastAsia="Times New Roman"/>
                <w:sz w:val="20"/>
                <w:szCs w:val="20"/>
              </w:rPr>
            </w:pPr>
          </w:p>
        </w:tc>
        <w:tc>
          <w:tcPr>
            <w:tcW w:w="0" w:type="auto"/>
            <w:vAlign w:val="center"/>
            <w:hideMark/>
          </w:tcPr>
          <w:p w14:paraId="687FCB97" w14:textId="77777777" w:rsidR="00000000" w:rsidRDefault="00195E73">
            <w:pPr>
              <w:rPr>
                <w:rFonts w:eastAsia="Times New Roman"/>
                <w:sz w:val="20"/>
                <w:szCs w:val="20"/>
              </w:rPr>
            </w:pPr>
          </w:p>
        </w:tc>
        <w:tc>
          <w:tcPr>
            <w:tcW w:w="0" w:type="auto"/>
            <w:vAlign w:val="center"/>
            <w:hideMark/>
          </w:tcPr>
          <w:p w14:paraId="09B2428A" w14:textId="77777777" w:rsidR="00000000" w:rsidRDefault="00195E73">
            <w:pPr>
              <w:rPr>
                <w:rFonts w:eastAsia="Times New Roman"/>
                <w:sz w:val="20"/>
                <w:szCs w:val="20"/>
              </w:rPr>
            </w:pPr>
          </w:p>
        </w:tc>
        <w:tc>
          <w:tcPr>
            <w:tcW w:w="0" w:type="auto"/>
            <w:vAlign w:val="center"/>
            <w:hideMark/>
          </w:tcPr>
          <w:p w14:paraId="16AF6414" w14:textId="77777777" w:rsidR="00000000" w:rsidRDefault="00195E73">
            <w:pPr>
              <w:rPr>
                <w:rFonts w:eastAsia="Times New Roman"/>
                <w:sz w:val="20"/>
                <w:szCs w:val="20"/>
              </w:rPr>
            </w:pPr>
          </w:p>
        </w:tc>
        <w:tc>
          <w:tcPr>
            <w:tcW w:w="0" w:type="auto"/>
            <w:vAlign w:val="center"/>
            <w:hideMark/>
          </w:tcPr>
          <w:p w14:paraId="619F12BA" w14:textId="77777777" w:rsidR="00000000" w:rsidRDefault="00195E73">
            <w:pPr>
              <w:rPr>
                <w:rFonts w:eastAsia="Times New Roman"/>
                <w:sz w:val="20"/>
                <w:szCs w:val="20"/>
              </w:rPr>
            </w:pPr>
          </w:p>
        </w:tc>
        <w:tc>
          <w:tcPr>
            <w:tcW w:w="0" w:type="auto"/>
            <w:vAlign w:val="center"/>
            <w:hideMark/>
          </w:tcPr>
          <w:p w14:paraId="2E9E6401" w14:textId="77777777" w:rsidR="00000000" w:rsidRDefault="00195E73">
            <w:pPr>
              <w:rPr>
                <w:rFonts w:eastAsia="Times New Roman"/>
                <w:sz w:val="20"/>
                <w:szCs w:val="20"/>
              </w:rPr>
            </w:pPr>
          </w:p>
        </w:tc>
      </w:tr>
      <w:tr w:rsidR="00195E73" w14:paraId="292B8B0A" w14:textId="77777777">
        <w:trPr>
          <w:divId w:val="1674213598"/>
          <w:jc w:val="center"/>
        </w:trPr>
        <w:tc>
          <w:tcPr>
            <w:tcW w:w="0" w:type="auto"/>
            <w:gridSpan w:val="3"/>
            <w:shd w:val="clear" w:color="auto" w:fill="CCEEFF"/>
            <w:tcMar>
              <w:top w:w="30" w:type="dxa"/>
              <w:left w:w="20" w:type="dxa"/>
              <w:bottom w:w="30" w:type="dxa"/>
              <w:right w:w="20" w:type="dxa"/>
            </w:tcMar>
            <w:vAlign w:val="bottom"/>
            <w:hideMark/>
          </w:tcPr>
          <w:p w14:paraId="01D8EDC2" w14:textId="77777777" w:rsidR="00000000" w:rsidRDefault="00195E73">
            <w:pPr>
              <w:ind w:hanging="180"/>
              <w:divId w:val="1836527838"/>
              <w:rPr>
                <w:rFonts w:eastAsia="Times New Roman"/>
              </w:rPr>
            </w:pPr>
            <w:r>
              <w:rPr>
                <w:rFonts w:eastAsia="Times New Roman"/>
                <w:color w:val="000000"/>
                <w:sz w:val="20"/>
                <w:szCs w:val="20"/>
              </w:rPr>
              <w:t>Securities sold, not yet purchased (Note 4</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14:paraId="7A25DCD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9968BF0" w14:textId="77777777" w:rsidR="00000000" w:rsidRDefault="00195E73">
            <w:pPr>
              <w:jc w:val="right"/>
              <w:rPr>
                <w:rFonts w:eastAsia="Times New Roman"/>
              </w:rPr>
            </w:pPr>
            <w:r>
              <w:rPr>
                <w:rFonts w:eastAsia="Times New Roman"/>
                <w:color w:val="000000"/>
                <w:sz w:val="20"/>
                <w:szCs w:val="20"/>
              </w:rPr>
              <w:t>1,190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F83409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951C8D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19357E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C9FB9F7"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6AE276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22A58C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D9BE91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14AC0D3"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BD42D7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5E17E7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6BD1FE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07CB841" w14:textId="77777777" w:rsidR="00000000" w:rsidRDefault="00195E73">
            <w:pPr>
              <w:jc w:val="right"/>
              <w:rPr>
                <w:rFonts w:eastAsia="Times New Roman"/>
              </w:rPr>
            </w:pPr>
            <w:r>
              <w:rPr>
                <w:rFonts w:eastAsia="Times New Roman"/>
                <w:color w:val="000000"/>
                <w:sz w:val="20"/>
                <w:szCs w:val="20"/>
              </w:rPr>
              <w:t>1,190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BB5745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B3C5E67"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5FE95D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2C76633" w14:textId="77777777" w:rsidR="00000000" w:rsidRDefault="00195E73">
            <w:pPr>
              <w:jc w:val="right"/>
              <w:rPr>
                <w:rFonts w:eastAsia="Times New Roman"/>
              </w:rPr>
            </w:pPr>
            <w:r>
              <w:rPr>
                <w:rFonts w:eastAsia="Times New Roman"/>
                <w:color w:val="000000"/>
                <w:sz w:val="20"/>
                <w:szCs w:val="20"/>
              </w:rPr>
              <w:t>468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6A8672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589241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93A950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773B4A9"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CE69B2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5D9EB67"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4287A8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FF24C89"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D6F116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8FAF94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F39EB5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C072F11" w14:textId="77777777" w:rsidR="00000000" w:rsidRDefault="00195E73">
            <w:pPr>
              <w:jc w:val="right"/>
              <w:rPr>
                <w:rFonts w:eastAsia="Times New Roman"/>
              </w:rPr>
            </w:pPr>
            <w:r>
              <w:rPr>
                <w:rFonts w:eastAsia="Times New Roman"/>
                <w:color w:val="000000"/>
                <w:sz w:val="20"/>
                <w:szCs w:val="20"/>
              </w:rPr>
              <w:t>468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AA588B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B7C050A" w14:textId="77777777" w:rsidR="00000000" w:rsidRDefault="00195E73">
            <w:pPr>
              <w:rPr>
                <w:rFonts w:eastAsia="Times New Roman"/>
                <w:sz w:val="20"/>
                <w:szCs w:val="20"/>
              </w:rPr>
            </w:pPr>
          </w:p>
        </w:tc>
        <w:tc>
          <w:tcPr>
            <w:tcW w:w="0" w:type="auto"/>
            <w:vAlign w:val="center"/>
            <w:hideMark/>
          </w:tcPr>
          <w:p w14:paraId="0FDA41ED" w14:textId="77777777" w:rsidR="00000000" w:rsidRDefault="00195E73">
            <w:pPr>
              <w:rPr>
                <w:rFonts w:eastAsia="Times New Roman"/>
                <w:sz w:val="20"/>
                <w:szCs w:val="20"/>
              </w:rPr>
            </w:pPr>
          </w:p>
        </w:tc>
        <w:tc>
          <w:tcPr>
            <w:tcW w:w="0" w:type="auto"/>
            <w:vAlign w:val="center"/>
            <w:hideMark/>
          </w:tcPr>
          <w:p w14:paraId="431FED26" w14:textId="77777777" w:rsidR="00000000" w:rsidRDefault="00195E73">
            <w:pPr>
              <w:rPr>
                <w:rFonts w:eastAsia="Times New Roman"/>
                <w:sz w:val="20"/>
                <w:szCs w:val="20"/>
              </w:rPr>
            </w:pPr>
          </w:p>
        </w:tc>
        <w:tc>
          <w:tcPr>
            <w:tcW w:w="0" w:type="auto"/>
            <w:vAlign w:val="center"/>
            <w:hideMark/>
          </w:tcPr>
          <w:p w14:paraId="3AD9B2A8" w14:textId="77777777" w:rsidR="00000000" w:rsidRDefault="00195E73">
            <w:pPr>
              <w:rPr>
                <w:rFonts w:eastAsia="Times New Roman"/>
                <w:sz w:val="20"/>
                <w:szCs w:val="20"/>
              </w:rPr>
            </w:pPr>
          </w:p>
        </w:tc>
        <w:tc>
          <w:tcPr>
            <w:tcW w:w="0" w:type="auto"/>
            <w:vAlign w:val="center"/>
            <w:hideMark/>
          </w:tcPr>
          <w:p w14:paraId="4CA7A76E" w14:textId="77777777" w:rsidR="00000000" w:rsidRDefault="00195E73">
            <w:pPr>
              <w:rPr>
                <w:rFonts w:eastAsia="Times New Roman"/>
                <w:sz w:val="20"/>
                <w:szCs w:val="20"/>
              </w:rPr>
            </w:pPr>
          </w:p>
        </w:tc>
        <w:tc>
          <w:tcPr>
            <w:tcW w:w="0" w:type="auto"/>
            <w:vAlign w:val="center"/>
            <w:hideMark/>
          </w:tcPr>
          <w:p w14:paraId="56CEFCFA" w14:textId="77777777" w:rsidR="00000000" w:rsidRDefault="00195E73">
            <w:pPr>
              <w:rPr>
                <w:rFonts w:eastAsia="Times New Roman"/>
                <w:sz w:val="20"/>
                <w:szCs w:val="20"/>
              </w:rPr>
            </w:pPr>
          </w:p>
        </w:tc>
        <w:tc>
          <w:tcPr>
            <w:tcW w:w="0" w:type="auto"/>
            <w:vAlign w:val="center"/>
            <w:hideMark/>
          </w:tcPr>
          <w:p w14:paraId="5DCBF0BD" w14:textId="77777777" w:rsidR="00000000" w:rsidRDefault="00195E73">
            <w:pPr>
              <w:rPr>
                <w:rFonts w:eastAsia="Times New Roman"/>
                <w:sz w:val="20"/>
                <w:szCs w:val="20"/>
              </w:rPr>
            </w:pPr>
          </w:p>
        </w:tc>
        <w:tc>
          <w:tcPr>
            <w:tcW w:w="0" w:type="auto"/>
            <w:vAlign w:val="center"/>
            <w:hideMark/>
          </w:tcPr>
          <w:p w14:paraId="73DF6E67" w14:textId="77777777" w:rsidR="00000000" w:rsidRDefault="00195E73">
            <w:pPr>
              <w:rPr>
                <w:rFonts w:eastAsia="Times New Roman"/>
                <w:sz w:val="20"/>
                <w:szCs w:val="20"/>
              </w:rPr>
            </w:pPr>
          </w:p>
        </w:tc>
        <w:tc>
          <w:tcPr>
            <w:tcW w:w="0" w:type="auto"/>
            <w:vAlign w:val="center"/>
            <w:hideMark/>
          </w:tcPr>
          <w:p w14:paraId="5D9B6D43" w14:textId="77777777" w:rsidR="00000000" w:rsidRDefault="00195E73">
            <w:pPr>
              <w:rPr>
                <w:rFonts w:eastAsia="Times New Roman"/>
                <w:sz w:val="20"/>
                <w:szCs w:val="20"/>
              </w:rPr>
            </w:pPr>
          </w:p>
        </w:tc>
        <w:tc>
          <w:tcPr>
            <w:tcW w:w="0" w:type="auto"/>
            <w:vAlign w:val="center"/>
            <w:hideMark/>
          </w:tcPr>
          <w:p w14:paraId="2EBB8952" w14:textId="77777777" w:rsidR="00000000" w:rsidRDefault="00195E73">
            <w:pPr>
              <w:rPr>
                <w:rFonts w:eastAsia="Times New Roman"/>
                <w:sz w:val="20"/>
                <w:szCs w:val="20"/>
              </w:rPr>
            </w:pPr>
          </w:p>
        </w:tc>
        <w:tc>
          <w:tcPr>
            <w:tcW w:w="0" w:type="auto"/>
            <w:vAlign w:val="center"/>
            <w:hideMark/>
          </w:tcPr>
          <w:p w14:paraId="6B8FCA6E" w14:textId="77777777" w:rsidR="00000000" w:rsidRDefault="00195E73">
            <w:pPr>
              <w:rPr>
                <w:rFonts w:eastAsia="Times New Roman"/>
                <w:sz w:val="20"/>
                <w:szCs w:val="20"/>
              </w:rPr>
            </w:pPr>
          </w:p>
        </w:tc>
        <w:tc>
          <w:tcPr>
            <w:tcW w:w="0" w:type="auto"/>
            <w:vAlign w:val="center"/>
            <w:hideMark/>
          </w:tcPr>
          <w:p w14:paraId="0655CE48" w14:textId="77777777" w:rsidR="00000000" w:rsidRDefault="00195E73">
            <w:pPr>
              <w:rPr>
                <w:rFonts w:eastAsia="Times New Roman"/>
                <w:sz w:val="20"/>
                <w:szCs w:val="20"/>
              </w:rPr>
            </w:pPr>
          </w:p>
        </w:tc>
        <w:tc>
          <w:tcPr>
            <w:tcW w:w="0" w:type="auto"/>
            <w:vAlign w:val="center"/>
            <w:hideMark/>
          </w:tcPr>
          <w:p w14:paraId="24D75E6C" w14:textId="77777777" w:rsidR="00000000" w:rsidRDefault="00195E73">
            <w:pPr>
              <w:rPr>
                <w:rFonts w:eastAsia="Times New Roman"/>
                <w:sz w:val="20"/>
                <w:szCs w:val="20"/>
              </w:rPr>
            </w:pPr>
          </w:p>
        </w:tc>
        <w:tc>
          <w:tcPr>
            <w:tcW w:w="0" w:type="auto"/>
            <w:vAlign w:val="center"/>
            <w:hideMark/>
          </w:tcPr>
          <w:p w14:paraId="754E2CE6" w14:textId="77777777" w:rsidR="00000000" w:rsidRDefault="00195E73">
            <w:pPr>
              <w:rPr>
                <w:rFonts w:eastAsia="Times New Roman"/>
                <w:sz w:val="20"/>
                <w:szCs w:val="20"/>
              </w:rPr>
            </w:pPr>
          </w:p>
        </w:tc>
        <w:tc>
          <w:tcPr>
            <w:tcW w:w="0" w:type="auto"/>
            <w:vAlign w:val="center"/>
            <w:hideMark/>
          </w:tcPr>
          <w:p w14:paraId="531D6153" w14:textId="77777777" w:rsidR="00000000" w:rsidRDefault="00195E73">
            <w:pPr>
              <w:rPr>
                <w:rFonts w:eastAsia="Times New Roman"/>
                <w:sz w:val="20"/>
                <w:szCs w:val="20"/>
              </w:rPr>
            </w:pPr>
          </w:p>
        </w:tc>
      </w:tr>
      <w:tr w:rsidR="00000000" w14:paraId="1D8447FA" w14:textId="77777777">
        <w:trPr>
          <w:divId w:val="1674213598"/>
          <w:jc w:val="center"/>
        </w:trPr>
        <w:tc>
          <w:tcPr>
            <w:tcW w:w="0" w:type="auto"/>
            <w:gridSpan w:val="3"/>
            <w:shd w:val="clear" w:color="auto" w:fill="FFFFFF"/>
            <w:tcMar>
              <w:top w:w="30" w:type="dxa"/>
              <w:left w:w="20" w:type="dxa"/>
              <w:bottom w:w="30" w:type="dxa"/>
              <w:right w:w="20" w:type="dxa"/>
            </w:tcMar>
            <w:vAlign w:val="bottom"/>
            <w:hideMark/>
          </w:tcPr>
          <w:p w14:paraId="0681C8F7" w14:textId="77777777" w:rsidR="00000000" w:rsidRDefault="00195E73">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C076666"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2F0398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4DB23F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00931A"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F18366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EEB948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AE2F6D" w14:textId="77777777" w:rsidR="00000000" w:rsidRDefault="00195E73">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5E326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7C0700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96E235" w14:textId="77777777" w:rsidR="00000000" w:rsidRDefault="00195E73">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370FC6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08F935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13887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66B7E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EAA438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ED82BD"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6BD475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6643F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4A74DB"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F71E7C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D483B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CD206D"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661CA7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0A215E5" w14:textId="77777777" w:rsidR="00000000" w:rsidRDefault="00195E73">
            <w:pPr>
              <w:rPr>
                <w:rFonts w:eastAsia="Times New Roman"/>
                <w:sz w:val="20"/>
                <w:szCs w:val="20"/>
              </w:rPr>
            </w:pPr>
          </w:p>
        </w:tc>
        <w:tc>
          <w:tcPr>
            <w:tcW w:w="0" w:type="auto"/>
            <w:vAlign w:val="center"/>
            <w:hideMark/>
          </w:tcPr>
          <w:p w14:paraId="252ECF08" w14:textId="77777777" w:rsidR="00000000" w:rsidRDefault="00195E73">
            <w:pPr>
              <w:rPr>
                <w:rFonts w:eastAsia="Times New Roman"/>
                <w:sz w:val="20"/>
                <w:szCs w:val="20"/>
              </w:rPr>
            </w:pPr>
          </w:p>
        </w:tc>
        <w:tc>
          <w:tcPr>
            <w:tcW w:w="0" w:type="auto"/>
            <w:vAlign w:val="center"/>
            <w:hideMark/>
          </w:tcPr>
          <w:p w14:paraId="0FC91B69" w14:textId="77777777" w:rsidR="00000000" w:rsidRDefault="00195E73">
            <w:pPr>
              <w:rPr>
                <w:rFonts w:eastAsia="Times New Roman"/>
                <w:sz w:val="20"/>
                <w:szCs w:val="20"/>
              </w:rPr>
            </w:pPr>
          </w:p>
        </w:tc>
        <w:tc>
          <w:tcPr>
            <w:tcW w:w="0" w:type="auto"/>
            <w:vAlign w:val="center"/>
            <w:hideMark/>
          </w:tcPr>
          <w:p w14:paraId="312D32C8" w14:textId="77777777" w:rsidR="00000000" w:rsidRDefault="00195E73">
            <w:pPr>
              <w:rPr>
                <w:rFonts w:eastAsia="Times New Roman"/>
                <w:sz w:val="20"/>
                <w:szCs w:val="20"/>
              </w:rPr>
            </w:pPr>
          </w:p>
        </w:tc>
        <w:tc>
          <w:tcPr>
            <w:tcW w:w="0" w:type="auto"/>
            <w:vAlign w:val="center"/>
            <w:hideMark/>
          </w:tcPr>
          <w:p w14:paraId="2E01FFDE" w14:textId="77777777" w:rsidR="00000000" w:rsidRDefault="00195E73">
            <w:pPr>
              <w:rPr>
                <w:rFonts w:eastAsia="Times New Roman"/>
                <w:sz w:val="20"/>
                <w:szCs w:val="20"/>
              </w:rPr>
            </w:pPr>
          </w:p>
        </w:tc>
        <w:tc>
          <w:tcPr>
            <w:tcW w:w="0" w:type="auto"/>
            <w:vAlign w:val="center"/>
            <w:hideMark/>
          </w:tcPr>
          <w:p w14:paraId="1DC1BFFE" w14:textId="77777777" w:rsidR="00000000" w:rsidRDefault="00195E73">
            <w:pPr>
              <w:rPr>
                <w:rFonts w:eastAsia="Times New Roman"/>
                <w:sz w:val="20"/>
                <w:szCs w:val="20"/>
              </w:rPr>
            </w:pPr>
          </w:p>
        </w:tc>
        <w:tc>
          <w:tcPr>
            <w:tcW w:w="0" w:type="auto"/>
            <w:vAlign w:val="center"/>
            <w:hideMark/>
          </w:tcPr>
          <w:p w14:paraId="2CEF2CAC" w14:textId="77777777" w:rsidR="00000000" w:rsidRDefault="00195E73">
            <w:pPr>
              <w:rPr>
                <w:rFonts w:eastAsia="Times New Roman"/>
                <w:sz w:val="20"/>
                <w:szCs w:val="20"/>
              </w:rPr>
            </w:pPr>
          </w:p>
        </w:tc>
        <w:tc>
          <w:tcPr>
            <w:tcW w:w="0" w:type="auto"/>
            <w:vAlign w:val="center"/>
            <w:hideMark/>
          </w:tcPr>
          <w:p w14:paraId="6E917B34" w14:textId="77777777" w:rsidR="00000000" w:rsidRDefault="00195E73">
            <w:pPr>
              <w:rPr>
                <w:rFonts w:eastAsia="Times New Roman"/>
                <w:sz w:val="20"/>
                <w:szCs w:val="20"/>
              </w:rPr>
            </w:pPr>
          </w:p>
        </w:tc>
        <w:tc>
          <w:tcPr>
            <w:tcW w:w="0" w:type="auto"/>
            <w:vAlign w:val="center"/>
            <w:hideMark/>
          </w:tcPr>
          <w:p w14:paraId="5E3066FC" w14:textId="77777777" w:rsidR="00000000" w:rsidRDefault="00195E73">
            <w:pPr>
              <w:rPr>
                <w:rFonts w:eastAsia="Times New Roman"/>
                <w:sz w:val="20"/>
                <w:szCs w:val="20"/>
              </w:rPr>
            </w:pPr>
          </w:p>
        </w:tc>
        <w:tc>
          <w:tcPr>
            <w:tcW w:w="0" w:type="auto"/>
            <w:vAlign w:val="center"/>
            <w:hideMark/>
          </w:tcPr>
          <w:p w14:paraId="01EBBD5F" w14:textId="77777777" w:rsidR="00000000" w:rsidRDefault="00195E73">
            <w:pPr>
              <w:rPr>
                <w:rFonts w:eastAsia="Times New Roman"/>
                <w:sz w:val="20"/>
                <w:szCs w:val="20"/>
              </w:rPr>
            </w:pPr>
          </w:p>
        </w:tc>
        <w:tc>
          <w:tcPr>
            <w:tcW w:w="0" w:type="auto"/>
            <w:vAlign w:val="center"/>
            <w:hideMark/>
          </w:tcPr>
          <w:p w14:paraId="4BCCA799" w14:textId="77777777" w:rsidR="00000000" w:rsidRDefault="00195E73">
            <w:pPr>
              <w:rPr>
                <w:rFonts w:eastAsia="Times New Roman"/>
                <w:sz w:val="20"/>
                <w:szCs w:val="20"/>
              </w:rPr>
            </w:pPr>
          </w:p>
        </w:tc>
        <w:tc>
          <w:tcPr>
            <w:tcW w:w="0" w:type="auto"/>
            <w:vAlign w:val="center"/>
            <w:hideMark/>
          </w:tcPr>
          <w:p w14:paraId="05467A5F" w14:textId="77777777" w:rsidR="00000000" w:rsidRDefault="00195E73">
            <w:pPr>
              <w:rPr>
                <w:rFonts w:eastAsia="Times New Roman"/>
                <w:sz w:val="20"/>
                <w:szCs w:val="20"/>
              </w:rPr>
            </w:pPr>
          </w:p>
        </w:tc>
        <w:tc>
          <w:tcPr>
            <w:tcW w:w="0" w:type="auto"/>
            <w:vAlign w:val="center"/>
            <w:hideMark/>
          </w:tcPr>
          <w:p w14:paraId="7BD13433" w14:textId="77777777" w:rsidR="00000000" w:rsidRDefault="00195E73">
            <w:pPr>
              <w:rPr>
                <w:rFonts w:eastAsia="Times New Roman"/>
                <w:sz w:val="20"/>
                <w:szCs w:val="20"/>
              </w:rPr>
            </w:pPr>
          </w:p>
        </w:tc>
        <w:tc>
          <w:tcPr>
            <w:tcW w:w="0" w:type="auto"/>
            <w:vAlign w:val="center"/>
            <w:hideMark/>
          </w:tcPr>
          <w:p w14:paraId="23CC7061" w14:textId="77777777" w:rsidR="00000000" w:rsidRDefault="00195E73">
            <w:pPr>
              <w:rPr>
                <w:rFonts w:eastAsia="Times New Roman"/>
                <w:sz w:val="20"/>
                <w:szCs w:val="20"/>
              </w:rPr>
            </w:pPr>
          </w:p>
        </w:tc>
        <w:tc>
          <w:tcPr>
            <w:tcW w:w="0" w:type="auto"/>
            <w:vAlign w:val="center"/>
            <w:hideMark/>
          </w:tcPr>
          <w:p w14:paraId="750009C9" w14:textId="77777777" w:rsidR="00000000" w:rsidRDefault="00195E73">
            <w:pPr>
              <w:rPr>
                <w:rFonts w:eastAsia="Times New Roman"/>
                <w:sz w:val="20"/>
                <w:szCs w:val="20"/>
              </w:rPr>
            </w:pPr>
          </w:p>
        </w:tc>
      </w:tr>
      <w:tr w:rsidR="00000000" w14:paraId="6E4B39F8" w14:textId="77777777">
        <w:trPr>
          <w:divId w:val="1674213598"/>
          <w:jc w:val="center"/>
        </w:trPr>
        <w:tc>
          <w:tcPr>
            <w:tcW w:w="0" w:type="auto"/>
            <w:gridSpan w:val="3"/>
            <w:shd w:val="clear" w:color="auto" w:fill="CCEEFF"/>
            <w:tcMar>
              <w:top w:w="30" w:type="dxa"/>
              <w:left w:w="20" w:type="dxa"/>
              <w:bottom w:w="30" w:type="dxa"/>
              <w:right w:w="20" w:type="dxa"/>
            </w:tcMar>
            <w:vAlign w:val="bottom"/>
            <w:hideMark/>
          </w:tcPr>
          <w:p w14:paraId="76CA0148" w14:textId="77777777" w:rsidR="00000000" w:rsidRDefault="00195E73">
            <w:pPr>
              <w:ind w:hanging="180"/>
              <w:divId w:val="1305739962"/>
              <w:rPr>
                <w:rFonts w:eastAsia="Times New Roman"/>
              </w:rPr>
            </w:pPr>
            <w:r>
              <w:rPr>
                <w:rFonts w:eastAsia="Times New Roman"/>
                <w:color w:val="000000"/>
                <w:sz w:val="20"/>
                <w:szCs w:val="20"/>
              </w:rPr>
              <w:t>Derivative contracts, at fair value (Note 6</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3EA02197"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35703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D1E464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7A9491" w14:textId="77777777" w:rsidR="00000000" w:rsidRDefault="00195E73">
            <w:pPr>
              <w:jc w:val="right"/>
              <w:rPr>
                <w:rFonts w:eastAsia="Times New Roman"/>
              </w:rPr>
            </w:pPr>
            <w:r>
              <w:rPr>
                <w:rFonts w:eastAsia="Times New Roman"/>
                <w:color w:val="000000"/>
                <w:sz w:val="20"/>
                <w:szCs w:val="20"/>
              </w:rPr>
              <w:t>1,224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2A24DC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8F841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CC5A3A"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AE290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569CA9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8DC7C9" w14:textId="77777777" w:rsidR="00000000" w:rsidRDefault="00195E73">
            <w:pPr>
              <w:jc w:val="right"/>
              <w:rPr>
                <w:rFonts w:eastAsia="Times New Roman"/>
              </w:rPr>
            </w:pPr>
            <w:r>
              <w:rPr>
                <w:rFonts w:eastAsia="Times New Roman"/>
                <w:color w:val="000000"/>
                <w:sz w:val="20"/>
                <w:szCs w:val="20"/>
              </w:rPr>
              <w:t>1,224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8366E6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B36D73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EB1261"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22CCBF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B99631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7BA1E7" w14:textId="77777777" w:rsidR="00000000" w:rsidRDefault="00195E73">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FFF035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310EE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169BE0"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C66AAE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B83C0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E3FB5D" w14:textId="77777777" w:rsidR="00000000" w:rsidRDefault="00195E73">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42EED5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752D754" w14:textId="77777777" w:rsidR="00000000" w:rsidRDefault="00195E73">
            <w:pPr>
              <w:rPr>
                <w:rFonts w:eastAsia="Times New Roman"/>
                <w:sz w:val="20"/>
                <w:szCs w:val="20"/>
              </w:rPr>
            </w:pPr>
          </w:p>
        </w:tc>
        <w:tc>
          <w:tcPr>
            <w:tcW w:w="0" w:type="auto"/>
            <w:vAlign w:val="center"/>
            <w:hideMark/>
          </w:tcPr>
          <w:p w14:paraId="601B6D02" w14:textId="77777777" w:rsidR="00000000" w:rsidRDefault="00195E73">
            <w:pPr>
              <w:rPr>
                <w:rFonts w:eastAsia="Times New Roman"/>
                <w:sz w:val="20"/>
                <w:szCs w:val="20"/>
              </w:rPr>
            </w:pPr>
          </w:p>
        </w:tc>
        <w:tc>
          <w:tcPr>
            <w:tcW w:w="0" w:type="auto"/>
            <w:vAlign w:val="center"/>
            <w:hideMark/>
          </w:tcPr>
          <w:p w14:paraId="1731C81C" w14:textId="77777777" w:rsidR="00000000" w:rsidRDefault="00195E73">
            <w:pPr>
              <w:rPr>
                <w:rFonts w:eastAsia="Times New Roman"/>
                <w:sz w:val="20"/>
                <w:szCs w:val="20"/>
              </w:rPr>
            </w:pPr>
          </w:p>
        </w:tc>
        <w:tc>
          <w:tcPr>
            <w:tcW w:w="0" w:type="auto"/>
            <w:vAlign w:val="center"/>
            <w:hideMark/>
          </w:tcPr>
          <w:p w14:paraId="6BD6A09A" w14:textId="77777777" w:rsidR="00000000" w:rsidRDefault="00195E73">
            <w:pPr>
              <w:rPr>
                <w:rFonts w:eastAsia="Times New Roman"/>
                <w:sz w:val="20"/>
                <w:szCs w:val="20"/>
              </w:rPr>
            </w:pPr>
          </w:p>
        </w:tc>
        <w:tc>
          <w:tcPr>
            <w:tcW w:w="0" w:type="auto"/>
            <w:vAlign w:val="center"/>
            <w:hideMark/>
          </w:tcPr>
          <w:p w14:paraId="23DC2A42" w14:textId="77777777" w:rsidR="00000000" w:rsidRDefault="00195E73">
            <w:pPr>
              <w:rPr>
                <w:rFonts w:eastAsia="Times New Roman"/>
                <w:sz w:val="20"/>
                <w:szCs w:val="20"/>
              </w:rPr>
            </w:pPr>
          </w:p>
        </w:tc>
        <w:tc>
          <w:tcPr>
            <w:tcW w:w="0" w:type="auto"/>
            <w:vAlign w:val="center"/>
            <w:hideMark/>
          </w:tcPr>
          <w:p w14:paraId="504DF89F" w14:textId="77777777" w:rsidR="00000000" w:rsidRDefault="00195E73">
            <w:pPr>
              <w:rPr>
                <w:rFonts w:eastAsia="Times New Roman"/>
                <w:sz w:val="20"/>
                <w:szCs w:val="20"/>
              </w:rPr>
            </w:pPr>
          </w:p>
        </w:tc>
        <w:tc>
          <w:tcPr>
            <w:tcW w:w="0" w:type="auto"/>
            <w:vAlign w:val="center"/>
            <w:hideMark/>
          </w:tcPr>
          <w:p w14:paraId="5A47D303" w14:textId="77777777" w:rsidR="00000000" w:rsidRDefault="00195E73">
            <w:pPr>
              <w:rPr>
                <w:rFonts w:eastAsia="Times New Roman"/>
                <w:sz w:val="20"/>
                <w:szCs w:val="20"/>
              </w:rPr>
            </w:pPr>
          </w:p>
        </w:tc>
        <w:tc>
          <w:tcPr>
            <w:tcW w:w="0" w:type="auto"/>
            <w:vAlign w:val="center"/>
            <w:hideMark/>
          </w:tcPr>
          <w:p w14:paraId="1076FF79" w14:textId="77777777" w:rsidR="00000000" w:rsidRDefault="00195E73">
            <w:pPr>
              <w:rPr>
                <w:rFonts w:eastAsia="Times New Roman"/>
                <w:sz w:val="20"/>
                <w:szCs w:val="20"/>
              </w:rPr>
            </w:pPr>
          </w:p>
        </w:tc>
        <w:tc>
          <w:tcPr>
            <w:tcW w:w="0" w:type="auto"/>
            <w:vAlign w:val="center"/>
            <w:hideMark/>
          </w:tcPr>
          <w:p w14:paraId="40336F38" w14:textId="77777777" w:rsidR="00000000" w:rsidRDefault="00195E73">
            <w:pPr>
              <w:rPr>
                <w:rFonts w:eastAsia="Times New Roman"/>
                <w:sz w:val="20"/>
                <w:szCs w:val="20"/>
              </w:rPr>
            </w:pPr>
          </w:p>
        </w:tc>
        <w:tc>
          <w:tcPr>
            <w:tcW w:w="0" w:type="auto"/>
            <w:vAlign w:val="center"/>
            <w:hideMark/>
          </w:tcPr>
          <w:p w14:paraId="103E7BE8" w14:textId="77777777" w:rsidR="00000000" w:rsidRDefault="00195E73">
            <w:pPr>
              <w:rPr>
                <w:rFonts w:eastAsia="Times New Roman"/>
                <w:sz w:val="20"/>
                <w:szCs w:val="20"/>
              </w:rPr>
            </w:pPr>
          </w:p>
        </w:tc>
        <w:tc>
          <w:tcPr>
            <w:tcW w:w="0" w:type="auto"/>
            <w:vAlign w:val="center"/>
            <w:hideMark/>
          </w:tcPr>
          <w:p w14:paraId="48242E79" w14:textId="77777777" w:rsidR="00000000" w:rsidRDefault="00195E73">
            <w:pPr>
              <w:rPr>
                <w:rFonts w:eastAsia="Times New Roman"/>
                <w:sz w:val="20"/>
                <w:szCs w:val="20"/>
              </w:rPr>
            </w:pPr>
          </w:p>
        </w:tc>
        <w:tc>
          <w:tcPr>
            <w:tcW w:w="0" w:type="auto"/>
            <w:vAlign w:val="center"/>
            <w:hideMark/>
          </w:tcPr>
          <w:p w14:paraId="2F17C4D4" w14:textId="77777777" w:rsidR="00000000" w:rsidRDefault="00195E73">
            <w:pPr>
              <w:rPr>
                <w:rFonts w:eastAsia="Times New Roman"/>
                <w:sz w:val="20"/>
                <w:szCs w:val="20"/>
              </w:rPr>
            </w:pPr>
          </w:p>
        </w:tc>
        <w:tc>
          <w:tcPr>
            <w:tcW w:w="0" w:type="auto"/>
            <w:vAlign w:val="center"/>
            <w:hideMark/>
          </w:tcPr>
          <w:p w14:paraId="3DE6CFEF" w14:textId="77777777" w:rsidR="00000000" w:rsidRDefault="00195E73">
            <w:pPr>
              <w:rPr>
                <w:rFonts w:eastAsia="Times New Roman"/>
                <w:sz w:val="20"/>
                <w:szCs w:val="20"/>
              </w:rPr>
            </w:pPr>
          </w:p>
        </w:tc>
        <w:tc>
          <w:tcPr>
            <w:tcW w:w="0" w:type="auto"/>
            <w:vAlign w:val="center"/>
            <w:hideMark/>
          </w:tcPr>
          <w:p w14:paraId="5AC3D246" w14:textId="77777777" w:rsidR="00000000" w:rsidRDefault="00195E73">
            <w:pPr>
              <w:rPr>
                <w:rFonts w:eastAsia="Times New Roman"/>
                <w:sz w:val="20"/>
                <w:szCs w:val="20"/>
              </w:rPr>
            </w:pPr>
          </w:p>
        </w:tc>
        <w:tc>
          <w:tcPr>
            <w:tcW w:w="0" w:type="auto"/>
            <w:vAlign w:val="center"/>
            <w:hideMark/>
          </w:tcPr>
          <w:p w14:paraId="2566A817" w14:textId="77777777" w:rsidR="00000000" w:rsidRDefault="00195E73">
            <w:pPr>
              <w:rPr>
                <w:rFonts w:eastAsia="Times New Roman"/>
                <w:sz w:val="20"/>
                <w:szCs w:val="20"/>
              </w:rPr>
            </w:pPr>
          </w:p>
        </w:tc>
      </w:tr>
      <w:tr w:rsidR="00195E73" w14:paraId="02A81143" w14:textId="77777777">
        <w:trPr>
          <w:divId w:val="1674213598"/>
          <w:jc w:val="center"/>
        </w:trPr>
        <w:tc>
          <w:tcPr>
            <w:tcW w:w="0" w:type="auto"/>
            <w:gridSpan w:val="3"/>
            <w:shd w:val="clear" w:color="auto" w:fill="FFFFFF"/>
            <w:tcMar>
              <w:top w:w="15" w:type="dxa"/>
              <w:left w:w="20" w:type="dxa"/>
              <w:bottom w:w="15" w:type="dxa"/>
              <w:right w:w="20" w:type="dxa"/>
            </w:tcMar>
            <w:vAlign w:val="bottom"/>
            <w:hideMark/>
          </w:tcPr>
          <w:p w14:paraId="56FBC119"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32BCC6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24D499D" w14:textId="77777777" w:rsidR="00000000" w:rsidRDefault="00195E73">
            <w:pPr>
              <w:jc w:val="right"/>
              <w:rPr>
                <w:rFonts w:eastAsia="Times New Roman"/>
              </w:rPr>
            </w:pPr>
            <w:r>
              <w:rPr>
                <w:rFonts w:eastAsia="Times New Roman"/>
                <w:color w:val="000000"/>
                <w:sz w:val="20"/>
                <w:szCs w:val="20"/>
              </w:rPr>
              <w:t>1,190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A0DB65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B1A260A"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5322B1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0AB186C" w14:textId="77777777" w:rsidR="00000000" w:rsidRDefault="00195E73">
            <w:pPr>
              <w:jc w:val="right"/>
              <w:rPr>
                <w:rFonts w:eastAsia="Times New Roman"/>
              </w:rPr>
            </w:pPr>
            <w:r>
              <w:rPr>
                <w:rFonts w:eastAsia="Times New Roman"/>
                <w:color w:val="000000"/>
                <w:sz w:val="20"/>
                <w:szCs w:val="20"/>
              </w:rPr>
              <w:t>1,231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ED4BAC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20E5271"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A7D6CF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8CA87F0" w14:textId="77777777" w:rsidR="00000000" w:rsidRDefault="00195E73">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CCDE93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278B374"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B89464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C59E32A" w14:textId="77777777" w:rsidR="00000000" w:rsidRDefault="00195E73">
            <w:pPr>
              <w:jc w:val="right"/>
              <w:rPr>
                <w:rFonts w:eastAsia="Times New Roman"/>
              </w:rPr>
            </w:pPr>
            <w:r>
              <w:rPr>
                <w:rFonts w:eastAsia="Times New Roman"/>
                <w:color w:val="000000"/>
                <w:sz w:val="20"/>
                <w:szCs w:val="20"/>
              </w:rPr>
              <w:t>2,427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F6CA62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62E6B6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DDBFED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BCCCB43" w14:textId="77777777" w:rsidR="00000000" w:rsidRDefault="00195E73">
            <w:pPr>
              <w:jc w:val="right"/>
              <w:rPr>
                <w:rFonts w:eastAsia="Times New Roman"/>
              </w:rPr>
            </w:pPr>
            <w:r>
              <w:rPr>
                <w:rFonts w:eastAsia="Times New Roman"/>
                <w:color w:val="000000"/>
                <w:sz w:val="20"/>
                <w:szCs w:val="20"/>
              </w:rPr>
              <w:t>468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A9E898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F0FD99D"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E1C2B6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9B93628" w14:textId="77777777" w:rsidR="00000000" w:rsidRDefault="00195E73">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15F510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0B56C96"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B13A2E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B5DBE7B"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661357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A4E278D"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34FFA9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E4DD07E" w14:textId="77777777" w:rsidR="00000000" w:rsidRDefault="00195E73">
            <w:pPr>
              <w:jc w:val="right"/>
              <w:rPr>
                <w:rFonts w:eastAsia="Times New Roman"/>
              </w:rPr>
            </w:pPr>
            <w:r>
              <w:rPr>
                <w:rFonts w:eastAsia="Times New Roman"/>
                <w:color w:val="000000"/>
                <w:sz w:val="20"/>
                <w:szCs w:val="20"/>
              </w:rPr>
              <w:t>506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A4456D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AC4C461" w14:textId="77777777" w:rsidR="00000000" w:rsidRDefault="00195E73">
            <w:pPr>
              <w:rPr>
                <w:rFonts w:eastAsia="Times New Roman"/>
                <w:sz w:val="20"/>
                <w:szCs w:val="20"/>
              </w:rPr>
            </w:pPr>
          </w:p>
        </w:tc>
        <w:tc>
          <w:tcPr>
            <w:tcW w:w="0" w:type="auto"/>
            <w:vAlign w:val="center"/>
            <w:hideMark/>
          </w:tcPr>
          <w:p w14:paraId="19AEBF9E" w14:textId="77777777" w:rsidR="00000000" w:rsidRDefault="00195E73">
            <w:pPr>
              <w:rPr>
                <w:rFonts w:eastAsia="Times New Roman"/>
                <w:sz w:val="20"/>
                <w:szCs w:val="20"/>
              </w:rPr>
            </w:pPr>
          </w:p>
        </w:tc>
        <w:tc>
          <w:tcPr>
            <w:tcW w:w="0" w:type="auto"/>
            <w:vAlign w:val="center"/>
            <w:hideMark/>
          </w:tcPr>
          <w:p w14:paraId="5FF9C5F8" w14:textId="77777777" w:rsidR="00000000" w:rsidRDefault="00195E73">
            <w:pPr>
              <w:rPr>
                <w:rFonts w:eastAsia="Times New Roman"/>
                <w:sz w:val="20"/>
                <w:szCs w:val="20"/>
              </w:rPr>
            </w:pPr>
          </w:p>
        </w:tc>
        <w:tc>
          <w:tcPr>
            <w:tcW w:w="0" w:type="auto"/>
            <w:vAlign w:val="center"/>
            <w:hideMark/>
          </w:tcPr>
          <w:p w14:paraId="0C2CB66E" w14:textId="77777777" w:rsidR="00000000" w:rsidRDefault="00195E73">
            <w:pPr>
              <w:rPr>
                <w:rFonts w:eastAsia="Times New Roman"/>
                <w:sz w:val="20"/>
                <w:szCs w:val="20"/>
              </w:rPr>
            </w:pPr>
          </w:p>
        </w:tc>
        <w:tc>
          <w:tcPr>
            <w:tcW w:w="0" w:type="auto"/>
            <w:vAlign w:val="center"/>
            <w:hideMark/>
          </w:tcPr>
          <w:p w14:paraId="2A5F4CB0" w14:textId="77777777" w:rsidR="00000000" w:rsidRDefault="00195E73">
            <w:pPr>
              <w:rPr>
                <w:rFonts w:eastAsia="Times New Roman"/>
                <w:sz w:val="20"/>
                <w:szCs w:val="20"/>
              </w:rPr>
            </w:pPr>
          </w:p>
        </w:tc>
        <w:tc>
          <w:tcPr>
            <w:tcW w:w="0" w:type="auto"/>
            <w:vAlign w:val="center"/>
            <w:hideMark/>
          </w:tcPr>
          <w:p w14:paraId="250DD4A8" w14:textId="77777777" w:rsidR="00000000" w:rsidRDefault="00195E73">
            <w:pPr>
              <w:rPr>
                <w:rFonts w:eastAsia="Times New Roman"/>
                <w:sz w:val="20"/>
                <w:szCs w:val="20"/>
              </w:rPr>
            </w:pPr>
          </w:p>
        </w:tc>
        <w:tc>
          <w:tcPr>
            <w:tcW w:w="0" w:type="auto"/>
            <w:vAlign w:val="center"/>
            <w:hideMark/>
          </w:tcPr>
          <w:p w14:paraId="1EA3E6E8" w14:textId="77777777" w:rsidR="00000000" w:rsidRDefault="00195E73">
            <w:pPr>
              <w:rPr>
                <w:rFonts w:eastAsia="Times New Roman"/>
                <w:sz w:val="20"/>
                <w:szCs w:val="20"/>
              </w:rPr>
            </w:pPr>
          </w:p>
        </w:tc>
        <w:tc>
          <w:tcPr>
            <w:tcW w:w="0" w:type="auto"/>
            <w:vAlign w:val="center"/>
            <w:hideMark/>
          </w:tcPr>
          <w:p w14:paraId="10DE1CC3" w14:textId="77777777" w:rsidR="00000000" w:rsidRDefault="00195E73">
            <w:pPr>
              <w:rPr>
                <w:rFonts w:eastAsia="Times New Roman"/>
                <w:sz w:val="20"/>
                <w:szCs w:val="20"/>
              </w:rPr>
            </w:pPr>
          </w:p>
        </w:tc>
        <w:tc>
          <w:tcPr>
            <w:tcW w:w="0" w:type="auto"/>
            <w:vAlign w:val="center"/>
            <w:hideMark/>
          </w:tcPr>
          <w:p w14:paraId="34022D72" w14:textId="77777777" w:rsidR="00000000" w:rsidRDefault="00195E73">
            <w:pPr>
              <w:rPr>
                <w:rFonts w:eastAsia="Times New Roman"/>
                <w:sz w:val="20"/>
                <w:szCs w:val="20"/>
              </w:rPr>
            </w:pPr>
          </w:p>
        </w:tc>
        <w:tc>
          <w:tcPr>
            <w:tcW w:w="0" w:type="auto"/>
            <w:vAlign w:val="center"/>
            <w:hideMark/>
          </w:tcPr>
          <w:p w14:paraId="529648A0" w14:textId="77777777" w:rsidR="00000000" w:rsidRDefault="00195E73">
            <w:pPr>
              <w:rPr>
                <w:rFonts w:eastAsia="Times New Roman"/>
                <w:sz w:val="20"/>
                <w:szCs w:val="20"/>
              </w:rPr>
            </w:pPr>
          </w:p>
        </w:tc>
        <w:tc>
          <w:tcPr>
            <w:tcW w:w="0" w:type="auto"/>
            <w:vAlign w:val="center"/>
            <w:hideMark/>
          </w:tcPr>
          <w:p w14:paraId="6A6D16A3" w14:textId="77777777" w:rsidR="00000000" w:rsidRDefault="00195E73">
            <w:pPr>
              <w:rPr>
                <w:rFonts w:eastAsia="Times New Roman"/>
                <w:sz w:val="20"/>
                <w:szCs w:val="20"/>
              </w:rPr>
            </w:pPr>
          </w:p>
        </w:tc>
        <w:tc>
          <w:tcPr>
            <w:tcW w:w="0" w:type="auto"/>
            <w:vAlign w:val="center"/>
            <w:hideMark/>
          </w:tcPr>
          <w:p w14:paraId="760A565C" w14:textId="77777777" w:rsidR="00000000" w:rsidRDefault="00195E73">
            <w:pPr>
              <w:rPr>
                <w:rFonts w:eastAsia="Times New Roman"/>
                <w:sz w:val="20"/>
                <w:szCs w:val="20"/>
              </w:rPr>
            </w:pPr>
          </w:p>
        </w:tc>
        <w:tc>
          <w:tcPr>
            <w:tcW w:w="0" w:type="auto"/>
            <w:vAlign w:val="center"/>
            <w:hideMark/>
          </w:tcPr>
          <w:p w14:paraId="059FFDE3" w14:textId="77777777" w:rsidR="00000000" w:rsidRDefault="00195E73">
            <w:pPr>
              <w:rPr>
                <w:rFonts w:eastAsia="Times New Roman"/>
                <w:sz w:val="20"/>
                <w:szCs w:val="20"/>
              </w:rPr>
            </w:pPr>
          </w:p>
        </w:tc>
        <w:tc>
          <w:tcPr>
            <w:tcW w:w="0" w:type="auto"/>
            <w:vAlign w:val="center"/>
            <w:hideMark/>
          </w:tcPr>
          <w:p w14:paraId="65DBA7AF" w14:textId="77777777" w:rsidR="00000000" w:rsidRDefault="00195E73">
            <w:pPr>
              <w:rPr>
                <w:rFonts w:eastAsia="Times New Roman"/>
                <w:sz w:val="20"/>
                <w:szCs w:val="20"/>
              </w:rPr>
            </w:pPr>
          </w:p>
        </w:tc>
        <w:tc>
          <w:tcPr>
            <w:tcW w:w="0" w:type="auto"/>
            <w:vAlign w:val="center"/>
            <w:hideMark/>
          </w:tcPr>
          <w:p w14:paraId="36BCC396" w14:textId="77777777" w:rsidR="00000000" w:rsidRDefault="00195E73">
            <w:pPr>
              <w:rPr>
                <w:rFonts w:eastAsia="Times New Roman"/>
                <w:sz w:val="20"/>
                <w:szCs w:val="20"/>
              </w:rPr>
            </w:pPr>
          </w:p>
        </w:tc>
      </w:tr>
    </w:tbl>
    <w:p w14:paraId="04AADA8F" w14:textId="77777777" w:rsidR="00000000" w:rsidRDefault="00195E73">
      <w:pPr>
        <w:ind w:hanging="180"/>
        <w:divId w:val="2026667890"/>
        <w:rPr>
          <w:rFonts w:eastAsia="Times New Roman"/>
        </w:rPr>
      </w:pPr>
      <w:r>
        <w:rPr>
          <w:rFonts w:eastAsia="Times New Roman"/>
          <w:color w:val="000000"/>
          <w:sz w:val="12"/>
          <w:szCs w:val="12"/>
          <w:vertAlign w:val="superscript"/>
        </w:rPr>
        <w:t>(1</w:t>
      </w:r>
      <w:r>
        <w:rPr>
          <w:rFonts w:eastAsia="Times New Roman"/>
          <w:color w:val="000000"/>
          <w:sz w:val="12"/>
          <w:szCs w:val="12"/>
          <w:vertAlign w:val="superscript"/>
        </w:rPr>
        <w:t>)</w:t>
      </w:r>
      <w:r>
        <w:rPr>
          <w:rFonts w:eastAsia="Times New Roman"/>
          <w:color w:val="000000"/>
          <w:sz w:val="16"/>
          <w:szCs w:val="16"/>
        </w:rPr>
        <w:t>Amounts are classified within other assets in our consolidated balance sheets</w:t>
      </w:r>
      <w:r>
        <w:rPr>
          <w:rFonts w:eastAsia="Times New Roman"/>
          <w:color w:val="000000"/>
          <w:sz w:val="16"/>
          <w:szCs w:val="16"/>
        </w:rPr>
        <w:t>.</w:t>
      </w:r>
    </w:p>
    <w:p w14:paraId="298F61AA" w14:textId="77777777" w:rsidR="00000000" w:rsidRDefault="00195E73">
      <w:pPr>
        <w:ind w:firstLine="450"/>
        <w:divId w:val="1632512886"/>
        <w:rPr>
          <w:rFonts w:eastAsia="Times New Roman"/>
        </w:rPr>
      </w:pPr>
    </w:p>
    <w:p w14:paraId="7CA28CB0" w14:textId="77777777" w:rsidR="00000000" w:rsidRDefault="00195E73">
      <w:pPr>
        <w:jc w:val="center"/>
        <w:divId w:val="1653177746"/>
        <w:rPr>
          <w:rFonts w:eastAsia="Times New Roman"/>
        </w:rPr>
      </w:pPr>
      <w:r>
        <w:rPr>
          <w:rFonts w:eastAsia="Times New Roman"/>
          <w:color w:val="000000"/>
          <w:sz w:val="20"/>
          <w:szCs w:val="20"/>
        </w:rPr>
        <w:t>8</w:t>
      </w:r>
      <w:r>
        <w:rPr>
          <w:rFonts w:eastAsia="Times New Roman"/>
          <w:color w:val="000000"/>
          <w:sz w:val="20"/>
          <w:szCs w:val="20"/>
        </w:rPr>
        <w:t>5</w:t>
      </w:r>
    </w:p>
    <w:p w14:paraId="02FC3A02" w14:textId="77777777" w:rsidR="00000000" w:rsidRDefault="00195E73">
      <w:pPr>
        <w:rPr>
          <w:rFonts w:eastAsia="Times New Roman"/>
        </w:rPr>
      </w:pPr>
      <w:r>
        <w:rPr>
          <w:rFonts w:eastAsia="Times New Roman"/>
        </w:rPr>
        <w:pict w14:anchorId="146C518D">
          <v:rect id="_x0000_i1111" style="width:0;height:1.5pt" o:hralign="center" o:hrstd="t" o:hr="t" fillcolor="#a0a0a0" stroked="f"/>
        </w:pict>
      </w:r>
    </w:p>
    <w:p w14:paraId="214A168D" w14:textId="77777777" w:rsidR="00000000" w:rsidRDefault="00195E73">
      <w:pPr>
        <w:jc w:val="center"/>
        <w:divId w:val="398290542"/>
        <w:rPr>
          <w:rFonts w:eastAsia="Times New Roman"/>
        </w:rPr>
      </w:pPr>
    </w:p>
    <w:p w14:paraId="324FDF11" w14:textId="77777777" w:rsidR="00000000" w:rsidRDefault="00195E73">
      <w:pPr>
        <w:jc w:val="center"/>
        <w:divId w:val="398290542"/>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3D2D505D" w14:textId="77777777" w:rsidR="00000000" w:rsidRDefault="00195E73">
      <w:pPr>
        <w:jc w:val="center"/>
        <w:divId w:val="398290542"/>
        <w:rPr>
          <w:rFonts w:eastAsia="Times New Roman"/>
        </w:rPr>
      </w:pPr>
      <w:r>
        <w:rPr>
          <w:rFonts w:eastAsia="Times New Roman"/>
          <w:b/>
          <w:bCs/>
          <w:color w:val="000000"/>
          <w:sz w:val="20"/>
          <w:szCs w:val="20"/>
        </w:rPr>
        <w:t>ICAHN ENTERPRISES HOLDINGS L.P. AND SUBS</w:t>
      </w:r>
      <w:r>
        <w:rPr>
          <w:rFonts w:eastAsia="Times New Roman"/>
          <w:b/>
          <w:bCs/>
          <w:color w:val="000000"/>
          <w:sz w:val="20"/>
          <w:szCs w:val="20"/>
        </w:rPr>
        <w:t>IDIARIE</w:t>
      </w:r>
      <w:r>
        <w:rPr>
          <w:rFonts w:eastAsia="Times New Roman"/>
          <w:b/>
          <w:bCs/>
          <w:color w:val="000000"/>
          <w:sz w:val="20"/>
          <w:szCs w:val="20"/>
        </w:rPr>
        <w:t>S</w:t>
      </w:r>
    </w:p>
    <w:p w14:paraId="0E70DAAD" w14:textId="77777777" w:rsidR="00000000" w:rsidRDefault="00195E73">
      <w:pPr>
        <w:jc w:val="center"/>
        <w:divId w:val="398290542"/>
        <w:rPr>
          <w:rFonts w:eastAsia="Times New Roman"/>
        </w:rPr>
      </w:pPr>
    </w:p>
    <w:p w14:paraId="1A81DEFD" w14:textId="77777777" w:rsidR="00000000" w:rsidRDefault="00195E73">
      <w:pPr>
        <w:jc w:val="center"/>
        <w:divId w:val="398290542"/>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035455F9" w14:textId="77777777" w:rsidR="00000000" w:rsidRDefault="00195E73">
      <w:pPr>
        <w:ind w:firstLine="450"/>
        <w:divId w:val="385877867"/>
        <w:rPr>
          <w:rFonts w:eastAsia="Times New Roman"/>
        </w:rPr>
      </w:pPr>
      <w:r>
        <w:rPr>
          <w:rFonts w:eastAsia="Times New Roman"/>
          <w:color w:val="000000"/>
          <w:sz w:val="20"/>
          <w:szCs w:val="20"/>
        </w:rPr>
        <w:t xml:space="preserve">Refer to Note 19, “Pension and Other Post-Retirement Benefit Plans,” for our Food Packaging segment’s defined benefit plan assets measured at fair value on a recurring basis as of December 31, 2019 and </w:t>
      </w:r>
      <w:r>
        <w:rPr>
          <w:rFonts w:eastAsia="Times New Roman"/>
          <w:color w:val="000000"/>
          <w:sz w:val="20"/>
          <w:szCs w:val="20"/>
        </w:rPr>
        <w:t>2018</w:t>
      </w:r>
      <w:r>
        <w:rPr>
          <w:rFonts w:eastAsia="Times New Roman"/>
          <w:color w:val="000000"/>
          <w:sz w:val="20"/>
          <w:szCs w:val="20"/>
        </w:rPr>
        <w:t>.</w:t>
      </w:r>
    </w:p>
    <w:p w14:paraId="5572DE90" w14:textId="77777777" w:rsidR="00000000" w:rsidRDefault="00195E73">
      <w:pPr>
        <w:divId w:val="521476299"/>
        <w:rPr>
          <w:rFonts w:eastAsia="Times New Roman"/>
        </w:rPr>
      </w:pPr>
      <w:r>
        <w:rPr>
          <w:rFonts w:eastAsia="Times New Roman"/>
          <w:b/>
          <w:bCs/>
          <w:i/>
          <w:iCs/>
          <w:color w:val="000000"/>
          <w:sz w:val="20"/>
          <w:szCs w:val="20"/>
        </w:rPr>
        <w:t>Assets Measured at Fair Value on a Recurring Basis for Which We Use Level 3 Inputs to Determine Fair Valu</w:t>
      </w:r>
      <w:r>
        <w:rPr>
          <w:rFonts w:eastAsia="Times New Roman"/>
          <w:b/>
          <w:bCs/>
          <w:i/>
          <w:iCs/>
          <w:color w:val="000000"/>
          <w:sz w:val="20"/>
          <w:szCs w:val="20"/>
        </w:rPr>
        <w:t>e</w:t>
      </w:r>
    </w:p>
    <w:p w14:paraId="32D1217E" w14:textId="77777777" w:rsidR="00000000" w:rsidRDefault="00195E73">
      <w:pPr>
        <w:ind w:firstLine="450"/>
        <w:divId w:val="538053120"/>
        <w:rPr>
          <w:rFonts w:eastAsia="Times New Roman"/>
        </w:rPr>
      </w:pPr>
      <w:r>
        <w:rPr>
          <w:rFonts w:eastAsia="Times New Roman"/>
          <w:color w:val="000000"/>
          <w:sz w:val="20"/>
          <w:szCs w:val="20"/>
        </w:rPr>
        <w:t>The changes in investments measured at fair value on a recurring basis for which we use Level 3 inputs to determine fair value are as follows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2"/>
        <w:gridCol w:w="5619"/>
        <w:gridCol w:w="52"/>
        <w:gridCol w:w="135"/>
        <w:gridCol w:w="908"/>
        <w:gridCol w:w="85"/>
        <w:gridCol w:w="36"/>
        <w:gridCol w:w="36"/>
        <w:gridCol w:w="36"/>
        <w:gridCol w:w="135"/>
        <w:gridCol w:w="886"/>
        <w:gridCol w:w="85"/>
        <w:gridCol w:w="36"/>
        <w:gridCol w:w="36"/>
        <w:gridCol w:w="36"/>
        <w:gridCol w:w="36"/>
        <w:gridCol w:w="36"/>
        <w:gridCol w:w="36"/>
      </w:tblGrid>
      <w:tr w:rsidR="00000000" w14:paraId="13EA788C" w14:textId="77777777">
        <w:trPr>
          <w:gridAfter w:val="6"/>
          <w:divId w:val="411243130"/>
          <w:jc w:val="center"/>
        </w:trPr>
        <w:tc>
          <w:tcPr>
            <w:tcW w:w="50" w:type="pct"/>
            <w:vAlign w:val="center"/>
            <w:hideMark/>
          </w:tcPr>
          <w:p w14:paraId="1BFEADD3" w14:textId="77777777" w:rsidR="00000000" w:rsidRDefault="00195E73">
            <w:pPr>
              <w:ind w:firstLine="450"/>
              <w:rPr>
                <w:rFonts w:eastAsia="Times New Roman"/>
              </w:rPr>
            </w:pPr>
          </w:p>
        </w:tc>
        <w:tc>
          <w:tcPr>
            <w:tcW w:w="3499" w:type="pct"/>
            <w:vAlign w:val="center"/>
            <w:hideMark/>
          </w:tcPr>
          <w:p w14:paraId="145F4355" w14:textId="77777777" w:rsidR="00000000" w:rsidRDefault="00195E73">
            <w:pPr>
              <w:rPr>
                <w:rFonts w:eastAsia="Times New Roman"/>
                <w:sz w:val="20"/>
                <w:szCs w:val="20"/>
              </w:rPr>
            </w:pPr>
          </w:p>
        </w:tc>
        <w:tc>
          <w:tcPr>
            <w:tcW w:w="50" w:type="pct"/>
            <w:vAlign w:val="center"/>
            <w:hideMark/>
          </w:tcPr>
          <w:p w14:paraId="25A6D8E4" w14:textId="77777777" w:rsidR="00000000" w:rsidRDefault="00195E73">
            <w:pPr>
              <w:rPr>
                <w:rFonts w:eastAsia="Times New Roman"/>
                <w:sz w:val="20"/>
                <w:szCs w:val="20"/>
              </w:rPr>
            </w:pPr>
          </w:p>
        </w:tc>
        <w:tc>
          <w:tcPr>
            <w:tcW w:w="50" w:type="pct"/>
            <w:vAlign w:val="center"/>
            <w:hideMark/>
          </w:tcPr>
          <w:p w14:paraId="0CDB6179" w14:textId="77777777" w:rsidR="00000000" w:rsidRDefault="00195E73">
            <w:pPr>
              <w:rPr>
                <w:rFonts w:eastAsia="Times New Roman"/>
                <w:sz w:val="20"/>
                <w:szCs w:val="20"/>
              </w:rPr>
            </w:pPr>
          </w:p>
        </w:tc>
        <w:tc>
          <w:tcPr>
            <w:tcW w:w="581" w:type="pct"/>
            <w:vAlign w:val="center"/>
            <w:hideMark/>
          </w:tcPr>
          <w:p w14:paraId="57370CBD" w14:textId="77777777" w:rsidR="00000000" w:rsidRDefault="00195E73">
            <w:pPr>
              <w:rPr>
                <w:rFonts w:eastAsia="Times New Roman"/>
                <w:sz w:val="20"/>
                <w:szCs w:val="20"/>
              </w:rPr>
            </w:pPr>
          </w:p>
        </w:tc>
        <w:tc>
          <w:tcPr>
            <w:tcW w:w="50" w:type="pct"/>
            <w:vAlign w:val="center"/>
            <w:hideMark/>
          </w:tcPr>
          <w:p w14:paraId="75F087D2" w14:textId="77777777" w:rsidR="00000000" w:rsidRDefault="00195E73">
            <w:pPr>
              <w:rPr>
                <w:rFonts w:eastAsia="Times New Roman"/>
                <w:sz w:val="20"/>
                <w:szCs w:val="20"/>
              </w:rPr>
            </w:pPr>
          </w:p>
        </w:tc>
        <w:tc>
          <w:tcPr>
            <w:tcW w:w="5" w:type="pct"/>
            <w:vAlign w:val="center"/>
            <w:hideMark/>
          </w:tcPr>
          <w:p w14:paraId="27978956" w14:textId="77777777" w:rsidR="00000000" w:rsidRDefault="00195E73">
            <w:pPr>
              <w:rPr>
                <w:rFonts w:eastAsia="Times New Roman"/>
                <w:sz w:val="20"/>
                <w:szCs w:val="20"/>
              </w:rPr>
            </w:pPr>
          </w:p>
        </w:tc>
        <w:tc>
          <w:tcPr>
            <w:tcW w:w="26" w:type="pct"/>
            <w:vAlign w:val="center"/>
            <w:hideMark/>
          </w:tcPr>
          <w:p w14:paraId="7B7C806E" w14:textId="77777777" w:rsidR="00000000" w:rsidRDefault="00195E73">
            <w:pPr>
              <w:rPr>
                <w:rFonts w:eastAsia="Times New Roman"/>
                <w:sz w:val="20"/>
                <w:szCs w:val="20"/>
              </w:rPr>
            </w:pPr>
          </w:p>
        </w:tc>
        <w:tc>
          <w:tcPr>
            <w:tcW w:w="5" w:type="pct"/>
            <w:vAlign w:val="center"/>
            <w:hideMark/>
          </w:tcPr>
          <w:p w14:paraId="7257F425" w14:textId="77777777" w:rsidR="00000000" w:rsidRDefault="00195E73">
            <w:pPr>
              <w:rPr>
                <w:rFonts w:eastAsia="Times New Roman"/>
                <w:sz w:val="20"/>
                <w:szCs w:val="20"/>
              </w:rPr>
            </w:pPr>
          </w:p>
        </w:tc>
        <w:tc>
          <w:tcPr>
            <w:tcW w:w="50" w:type="pct"/>
            <w:vAlign w:val="center"/>
            <w:hideMark/>
          </w:tcPr>
          <w:p w14:paraId="333E16C5" w14:textId="77777777" w:rsidR="00000000" w:rsidRDefault="00195E73">
            <w:pPr>
              <w:rPr>
                <w:rFonts w:eastAsia="Times New Roman"/>
                <w:sz w:val="20"/>
                <w:szCs w:val="20"/>
              </w:rPr>
            </w:pPr>
          </w:p>
        </w:tc>
        <w:tc>
          <w:tcPr>
            <w:tcW w:w="581" w:type="pct"/>
            <w:vAlign w:val="center"/>
            <w:hideMark/>
          </w:tcPr>
          <w:p w14:paraId="6FFC499F" w14:textId="77777777" w:rsidR="00000000" w:rsidRDefault="00195E73">
            <w:pPr>
              <w:rPr>
                <w:rFonts w:eastAsia="Times New Roman"/>
                <w:sz w:val="20"/>
                <w:szCs w:val="20"/>
              </w:rPr>
            </w:pPr>
          </w:p>
        </w:tc>
        <w:tc>
          <w:tcPr>
            <w:tcW w:w="50" w:type="pct"/>
            <w:vAlign w:val="center"/>
            <w:hideMark/>
          </w:tcPr>
          <w:p w14:paraId="3CA15298" w14:textId="77777777" w:rsidR="00000000" w:rsidRDefault="00195E73">
            <w:pPr>
              <w:rPr>
                <w:rFonts w:eastAsia="Times New Roman"/>
                <w:sz w:val="20"/>
                <w:szCs w:val="20"/>
              </w:rPr>
            </w:pPr>
          </w:p>
        </w:tc>
      </w:tr>
      <w:tr w:rsidR="00000000" w14:paraId="6F19210C" w14:textId="77777777">
        <w:trPr>
          <w:divId w:val="411243130"/>
          <w:jc w:val="center"/>
        </w:trPr>
        <w:tc>
          <w:tcPr>
            <w:tcW w:w="0" w:type="auto"/>
            <w:gridSpan w:val="3"/>
            <w:tcMar>
              <w:top w:w="15" w:type="dxa"/>
              <w:left w:w="20" w:type="dxa"/>
              <w:bottom w:w="15" w:type="dxa"/>
              <w:right w:w="20" w:type="dxa"/>
            </w:tcMar>
            <w:vAlign w:val="bottom"/>
            <w:hideMark/>
          </w:tcPr>
          <w:p w14:paraId="251F58D8"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3EA022F9"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206A6F65" w14:textId="77777777" w:rsidR="00000000" w:rsidRDefault="00195E73">
            <w:pPr>
              <w:jc w:val="center"/>
              <w:rPr>
                <w:rFonts w:eastAsia="Times New Roman"/>
              </w:rPr>
            </w:pPr>
          </w:p>
        </w:tc>
        <w:tc>
          <w:tcPr>
            <w:tcW w:w="0" w:type="auto"/>
            <w:gridSpan w:val="3"/>
            <w:vAlign w:val="center"/>
            <w:hideMark/>
          </w:tcPr>
          <w:p w14:paraId="2E402D5D" w14:textId="77777777" w:rsidR="00000000" w:rsidRDefault="00195E73">
            <w:pPr>
              <w:rPr>
                <w:rFonts w:eastAsia="Times New Roman"/>
                <w:sz w:val="20"/>
                <w:szCs w:val="20"/>
              </w:rPr>
            </w:pPr>
          </w:p>
        </w:tc>
      </w:tr>
      <w:tr w:rsidR="00000000" w14:paraId="43401B1A" w14:textId="77777777">
        <w:trPr>
          <w:divId w:val="411243130"/>
          <w:jc w:val="center"/>
        </w:trPr>
        <w:tc>
          <w:tcPr>
            <w:tcW w:w="0" w:type="auto"/>
            <w:gridSpan w:val="3"/>
            <w:tcMar>
              <w:top w:w="15" w:type="dxa"/>
              <w:left w:w="20" w:type="dxa"/>
              <w:bottom w:w="15" w:type="dxa"/>
              <w:right w:w="20" w:type="dxa"/>
            </w:tcMar>
            <w:vAlign w:val="bottom"/>
            <w:hideMark/>
          </w:tcPr>
          <w:p w14:paraId="3215C884"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8BA2CE0"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6958345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DCB276"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68B7564C" w14:textId="77777777" w:rsidR="00000000" w:rsidRDefault="00195E73">
            <w:pPr>
              <w:rPr>
                <w:rFonts w:eastAsia="Times New Roman"/>
                <w:sz w:val="20"/>
                <w:szCs w:val="20"/>
              </w:rPr>
            </w:pPr>
          </w:p>
        </w:tc>
        <w:tc>
          <w:tcPr>
            <w:tcW w:w="0" w:type="auto"/>
            <w:vAlign w:val="center"/>
            <w:hideMark/>
          </w:tcPr>
          <w:p w14:paraId="5C767E25" w14:textId="77777777" w:rsidR="00000000" w:rsidRDefault="00195E73">
            <w:pPr>
              <w:rPr>
                <w:rFonts w:eastAsia="Times New Roman"/>
                <w:sz w:val="20"/>
                <w:szCs w:val="20"/>
              </w:rPr>
            </w:pPr>
          </w:p>
        </w:tc>
        <w:tc>
          <w:tcPr>
            <w:tcW w:w="0" w:type="auto"/>
            <w:vAlign w:val="center"/>
            <w:hideMark/>
          </w:tcPr>
          <w:p w14:paraId="48D237CB" w14:textId="77777777" w:rsidR="00000000" w:rsidRDefault="00195E73">
            <w:pPr>
              <w:rPr>
                <w:rFonts w:eastAsia="Times New Roman"/>
                <w:sz w:val="20"/>
                <w:szCs w:val="20"/>
              </w:rPr>
            </w:pPr>
          </w:p>
        </w:tc>
        <w:tc>
          <w:tcPr>
            <w:tcW w:w="0" w:type="auto"/>
            <w:vAlign w:val="center"/>
            <w:hideMark/>
          </w:tcPr>
          <w:p w14:paraId="43B3453B" w14:textId="77777777" w:rsidR="00000000" w:rsidRDefault="00195E73">
            <w:pPr>
              <w:rPr>
                <w:rFonts w:eastAsia="Times New Roman"/>
                <w:sz w:val="20"/>
                <w:szCs w:val="20"/>
              </w:rPr>
            </w:pPr>
          </w:p>
        </w:tc>
        <w:tc>
          <w:tcPr>
            <w:tcW w:w="0" w:type="auto"/>
            <w:vAlign w:val="center"/>
            <w:hideMark/>
          </w:tcPr>
          <w:p w14:paraId="4F73C425" w14:textId="77777777" w:rsidR="00000000" w:rsidRDefault="00195E73">
            <w:pPr>
              <w:rPr>
                <w:rFonts w:eastAsia="Times New Roman"/>
                <w:sz w:val="20"/>
                <w:szCs w:val="20"/>
              </w:rPr>
            </w:pPr>
          </w:p>
        </w:tc>
        <w:tc>
          <w:tcPr>
            <w:tcW w:w="0" w:type="auto"/>
            <w:vAlign w:val="center"/>
            <w:hideMark/>
          </w:tcPr>
          <w:p w14:paraId="2738A5DF" w14:textId="77777777" w:rsidR="00000000" w:rsidRDefault="00195E73">
            <w:pPr>
              <w:rPr>
                <w:rFonts w:eastAsia="Times New Roman"/>
                <w:sz w:val="20"/>
                <w:szCs w:val="20"/>
              </w:rPr>
            </w:pPr>
          </w:p>
        </w:tc>
      </w:tr>
      <w:tr w:rsidR="00000000" w14:paraId="772B7364" w14:textId="77777777">
        <w:trPr>
          <w:divId w:val="411243130"/>
          <w:jc w:val="center"/>
        </w:trPr>
        <w:tc>
          <w:tcPr>
            <w:tcW w:w="0" w:type="auto"/>
            <w:gridSpan w:val="3"/>
            <w:tcMar>
              <w:top w:w="15" w:type="dxa"/>
              <w:left w:w="20" w:type="dxa"/>
              <w:bottom w:w="15" w:type="dxa"/>
              <w:right w:w="20" w:type="dxa"/>
            </w:tcMar>
            <w:vAlign w:val="bottom"/>
            <w:hideMark/>
          </w:tcPr>
          <w:p w14:paraId="0D5C8C0A" w14:textId="77777777" w:rsidR="00000000" w:rsidRDefault="00195E73">
            <w:pPr>
              <w:jc w:val="center"/>
              <w:rPr>
                <w:rFonts w:eastAsia="Times New Roman"/>
              </w:rPr>
            </w:pPr>
          </w:p>
        </w:tc>
        <w:tc>
          <w:tcPr>
            <w:tcW w:w="0" w:type="auto"/>
            <w:gridSpan w:val="8"/>
            <w:tcBorders>
              <w:top w:val="single" w:sz="8" w:space="0" w:color="000000"/>
            </w:tcBorders>
            <w:tcMar>
              <w:top w:w="30" w:type="dxa"/>
              <w:left w:w="20" w:type="dxa"/>
              <w:bottom w:w="30" w:type="dxa"/>
              <w:right w:w="0" w:type="dxa"/>
            </w:tcMar>
            <w:vAlign w:val="bottom"/>
            <w:hideMark/>
          </w:tcPr>
          <w:p w14:paraId="32751C13"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51C2C078"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375EA4F2" w14:textId="77777777" w:rsidR="00000000" w:rsidRDefault="00195E73">
            <w:pPr>
              <w:jc w:val="right"/>
              <w:rPr>
                <w:rFonts w:eastAsia="Times New Roman"/>
              </w:rPr>
            </w:pPr>
          </w:p>
        </w:tc>
        <w:tc>
          <w:tcPr>
            <w:tcW w:w="0" w:type="auto"/>
            <w:gridSpan w:val="3"/>
            <w:vAlign w:val="center"/>
            <w:hideMark/>
          </w:tcPr>
          <w:p w14:paraId="44EA9A3A" w14:textId="77777777" w:rsidR="00000000" w:rsidRDefault="00195E73">
            <w:pPr>
              <w:rPr>
                <w:rFonts w:eastAsia="Times New Roman"/>
                <w:sz w:val="20"/>
                <w:szCs w:val="20"/>
              </w:rPr>
            </w:pPr>
          </w:p>
        </w:tc>
      </w:tr>
      <w:tr w:rsidR="00000000" w14:paraId="13748C99" w14:textId="77777777">
        <w:trPr>
          <w:divId w:val="411243130"/>
          <w:jc w:val="center"/>
        </w:trPr>
        <w:tc>
          <w:tcPr>
            <w:tcW w:w="0" w:type="auto"/>
            <w:gridSpan w:val="3"/>
            <w:shd w:val="clear" w:color="auto" w:fill="CCEEFF"/>
            <w:tcMar>
              <w:top w:w="30" w:type="dxa"/>
              <w:left w:w="20" w:type="dxa"/>
              <w:bottom w:w="30" w:type="dxa"/>
              <w:right w:w="20" w:type="dxa"/>
            </w:tcMar>
            <w:vAlign w:val="bottom"/>
            <w:hideMark/>
          </w:tcPr>
          <w:p w14:paraId="58F6B8BD" w14:textId="77777777" w:rsidR="00000000" w:rsidRDefault="00195E73">
            <w:pPr>
              <w:rPr>
                <w:rFonts w:eastAsia="Times New Roman"/>
              </w:rPr>
            </w:pPr>
            <w:r>
              <w:rPr>
                <w:rFonts w:eastAsia="Times New Roman"/>
                <w:color w:val="000000"/>
                <w:sz w:val="20"/>
                <w:szCs w:val="20"/>
              </w:rPr>
              <w:t xml:space="preserve">Balance at January </w:t>
            </w:r>
            <w:r>
              <w:rPr>
                <w:rFonts w:eastAsia="Times New Roman"/>
                <w:color w:val="000000"/>
                <w:sz w:val="20"/>
                <w:szCs w:val="20"/>
              </w:rPr>
              <w:t>1</w:t>
            </w:r>
          </w:p>
        </w:tc>
        <w:tc>
          <w:tcPr>
            <w:tcW w:w="0" w:type="auto"/>
            <w:shd w:val="clear" w:color="auto" w:fill="CCEEFF"/>
            <w:tcMar>
              <w:top w:w="30" w:type="dxa"/>
              <w:left w:w="20" w:type="dxa"/>
              <w:bottom w:w="30" w:type="dxa"/>
              <w:right w:w="15" w:type="dxa"/>
            </w:tcMar>
            <w:vAlign w:val="bottom"/>
            <w:hideMark/>
          </w:tcPr>
          <w:p w14:paraId="0C1A1CC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0CECA45" w14:textId="77777777" w:rsidR="00000000" w:rsidRDefault="00195E73">
            <w:pPr>
              <w:jc w:val="right"/>
              <w:rPr>
                <w:rFonts w:eastAsia="Times New Roman"/>
              </w:rPr>
            </w:pPr>
            <w:r>
              <w:rPr>
                <w:rFonts w:eastAsia="Times New Roman"/>
                <w:color w:val="000000"/>
                <w:sz w:val="20"/>
                <w:szCs w:val="20"/>
              </w:rPr>
              <w:t>372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83299F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48D3C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CF20EC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D2CCD31" w14:textId="77777777" w:rsidR="00000000" w:rsidRDefault="00195E73">
            <w:pPr>
              <w:jc w:val="right"/>
              <w:rPr>
                <w:rFonts w:eastAsia="Times New Roman"/>
              </w:rPr>
            </w:pPr>
            <w:r>
              <w:rPr>
                <w:rFonts w:eastAsia="Times New Roman"/>
                <w:color w:val="000000"/>
                <w:sz w:val="20"/>
                <w:szCs w:val="20"/>
              </w:rPr>
              <w:t>278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AC8AAC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F4CE6FE" w14:textId="77777777" w:rsidR="00000000" w:rsidRDefault="00195E73">
            <w:pPr>
              <w:rPr>
                <w:rFonts w:eastAsia="Times New Roman"/>
                <w:sz w:val="20"/>
                <w:szCs w:val="20"/>
              </w:rPr>
            </w:pPr>
          </w:p>
        </w:tc>
        <w:tc>
          <w:tcPr>
            <w:tcW w:w="0" w:type="auto"/>
            <w:vAlign w:val="center"/>
            <w:hideMark/>
          </w:tcPr>
          <w:p w14:paraId="64466F6B" w14:textId="77777777" w:rsidR="00000000" w:rsidRDefault="00195E73">
            <w:pPr>
              <w:rPr>
                <w:rFonts w:eastAsia="Times New Roman"/>
                <w:sz w:val="20"/>
                <w:szCs w:val="20"/>
              </w:rPr>
            </w:pPr>
          </w:p>
        </w:tc>
        <w:tc>
          <w:tcPr>
            <w:tcW w:w="0" w:type="auto"/>
            <w:vAlign w:val="center"/>
            <w:hideMark/>
          </w:tcPr>
          <w:p w14:paraId="7D2D5135" w14:textId="77777777" w:rsidR="00000000" w:rsidRDefault="00195E73">
            <w:pPr>
              <w:rPr>
                <w:rFonts w:eastAsia="Times New Roman"/>
                <w:sz w:val="20"/>
                <w:szCs w:val="20"/>
              </w:rPr>
            </w:pPr>
          </w:p>
        </w:tc>
        <w:tc>
          <w:tcPr>
            <w:tcW w:w="0" w:type="auto"/>
            <w:vAlign w:val="center"/>
            <w:hideMark/>
          </w:tcPr>
          <w:p w14:paraId="4E914953" w14:textId="77777777" w:rsidR="00000000" w:rsidRDefault="00195E73">
            <w:pPr>
              <w:rPr>
                <w:rFonts w:eastAsia="Times New Roman"/>
                <w:sz w:val="20"/>
                <w:szCs w:val="20"/>
              </w:rPr>
            </w:pPr>
          </w:p>
        </w:tc>
        <w:tc>
          <w:tcPr>
            <w:tcW w:w="0" w:type="auto"/>
            <w:vAlign w:val="center"/>
            <w:hideMark/>
          </w:tcPr>
          <w:p w14:paraId="36B6E4B9" w14:textId="77777777" w:rsidR="00000000" w:rsidRDefault="00195E73">
            <w:pPr>
              <w:rPr>
                <w:rFonts w:eastAsia="Times New Roman"/>
                <w:sz w:val="20"/>
                <w:szCs w:val="20"/>
              </w:rPr>
            </w:pPr>
          </w:p>
        </w:tc>
        <w:tc>
          <w:tcPr>
            <w:tcW w:w="0" w:type="auto"/>
            <w:vAlign w:val="center"/>
            <w:hideMark/>
          </w:tcPr>
          <w:p w14:paraId="21715271" w14:textId="77777777" w:rsidR="00000000" w:rsidRDefault="00195E73">
            <w:pPr>
              <w:rPr>
                <w:rFonts w:eastAsia="Times New Roman"/>
                <w:sz w:val="20"/>
                <w:szCs w:val="20"/>
              </w:rPr>
            </w:pPr>
          </w:p>
        </w:tc>
      </w:tr>
      <w:tr w:rsidR="00000000" w14:paraId="338F464F" w14:textId="77777777">
        <w:trPr>
          <w:divId w:val="411243130"/>
          <w:jc w:val="center"/>
        </w:trPr>
        <w:tc>
          <w:tcPr>
            <w:tcW w:w="0" w:type="auto"/>
            <w:gridSpan w:val="3"/>
            <w:shd w:val="clear" w:color="auto" w:fill="FFFFFF"/>
            <w:tcMar>
              <w:top w:w="30" w:type="dxa"/>
              <w:left w:w="20" w:type="dxa"/>
              <w:bottom w:w="30" w:type="dxa"/>
              <w:right w:w="20" w:type="dxa"/>
            </w:tcMar>
            <w:vAlign w:val="bottom"/>
            <w:hideMark/>
          </w:tcPr>
          <w:p w14:paraId="7942915C" w14:textId="77777777" w:rsidR="00000000" w:rsidRDefault="00195E73">
            <w:pPr>
              <w:rPr>
                <w:rFonts w:eastAsia="Times New Roman"/>
              </w:rPr>
            </w:pPr>
            <w:r>
              <w:rPr>
                <w:rFonts w:eastAsia="Times New Roman"/>
                <w:color w:val="000000"/>
                <w:sz w:val="20"/>
                <w:szCs w:val="20"/>
              </w:rPr>
              <w:t>Net gains recognized in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09CF7714" w14:textId="77777777" w:rsidR="00000000" w:rsidRDefault="00195E73">
            <w:pPr>
              <w:jc w:val="right"/>
              <w:rPr>
                <w:rFonts w:eastAsia="Times New Roman"/>
              </w:rPr>
            </w:pPr>
            <w:r>
              <w:rPr>
                <w:rFonts w:eastAsia="Times New Roman"/>
                <w:color w:val="000000"/>
                <w:sz w:val="20"/>
                <w:szCs w:val="20"/>
              </w:rPr>
              <w:t>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717E91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B562BB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D7D7D5" w14:textId="77777777" w:rsidR="00000000" w:rsidRDefault="00195E73">
            <w:pPr>
              <w:jc w:val="right"/>
              <w:rPr>
                <w:rFonts w:eastAsia="Times New Roman"/>
              </w:rPr>
            </w:pPr>
            <w:r>
              <w:rPr>
                <w:rFonts w:eastAsia="Times New Roman"/>
                <w:color w:val="000000"/>
                <w:sz w:val="20"/>
                <w:szCs w:val="20"/>
              </w:rPr>
              <w:t>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A7FE3D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7538FCF" w14:textId="77777777" w:rsidR="00000000" w:rsidRDefault="00195E73">
            <w:pPr>
              <w:rPr>
                <w:rFonts w:eastAsia="Times New Roman"/>
                <w:sz w:val="20"/>
                <w:szCs w:val="20"/>
              </w:rPr>
            </w:pPr>
          </w:p>
        </w:tc>
        <w:tc>
          <w:tcPr>
            <w:tcW w:w="0" w:type="auto"/>
            <w:vAlign w:val="center"/>
            <w:hideMark/>
          </w:tcPr>
          <w:p w14:paraId="6BC0CB98" w14:textId="77777777" w:rsidR="00000000" w:rsidRDefault="00195E73">
            <w:pPr>
              <w:rPr>
                <w:rFonts w:eastAsia="Times New Roman"/>
                <w:sz w:val="20"/>
                <w:szCs w:val="20"/>
              </w:rPr>
            </w:pPr>
          </w:p>
        </w:tc>
        <w:tc>
          <w:tcPr>
            <w:tcW w:w="0" w:type="auto"/>
            <w:vAlign w:val="center"/>
            <w:hideMark/>
          </w:tcPr>
          <w:p w14:paraId="5E4F666D" w14:textId="77777777" w:rsidR="00000000" w:rsidRDefault="00195E73">
            <w:pPr>
              <w:rPr>
                <w:rFonts w:eastAsia="Times New Roman"/>
                <w:sz w:val="20"/>
                <w:szCs w:val="20"/>
              </w:rPr>
            </w:pPr>
          </w:p>
        </w:tc>
        <w:tc>
          <w:tcPr>
            <w:tcW w:w="0" w:type="auto"/>
            <w:vAlign w:val="center"/>
            <w:hideMark/>
          </w:tcPr>
          <w:p w14:paraId="27194621" w14:textId="77777777" w:rsidR="00000000" w:rsidRDefault="00195E73">
            <w:pPr>
              <w:rPr>
                <w:rFonts w:eastAsia="Times New Roman"/>
                <w:sz w:val="20"/>
                <w:szCs w:val="20"/>
              </w:rPr>
            </w:pPr>
          </w:p>
        </w:tc>
        <w:tc>
          <w:tcPr>
            <w:tcW w:w="0" w:type="auto"/>
            <w:vAlign w:val="center"/>
            <w:hideMark/>
          </w:tcPr>
          <w:p w14:paraId="0FA4345C" w14:textId="77777777" w:rsidR="00000000" w:rsidRDefault="00195E73">
            <w:pPr>
              <w:rPr>
                <w:rFonts w:eastAsia="Times New Roman"/>
                <w:sz w:val="20"/>
                <w:szCs w:val="20"/>
              </w:rPr>
            </w:pPr>
          </w:p>
        </w:tc>
        <w:tc>
          <w:tcPr>
            <w:tcW w:w="0" w:type="auto"/>
            <w:vAlign w:val="center"/>
            <w:hideMark/>
          </w:tcPr>
          <w:p w14:paraId="29797521" w14:textId="77777777" w:rsidR="00000000" w:rsidRDefault="00195E73">
            <w:pPr>
              <w:rPr>
                <w:rFonts w:eastAsia="Times New Roman"/>
                <w:sz w:val="20"/>
                <w:szCs w:val="20"/>
              </w:rPr>
            </w:pPr>
          </w:p>
        </w:tc>
      </w:tr>
      <w:tr w:rsidR="00000000" w14:paraId="7DB9FC9D" w14:textId="77777777">
        <w:trPr>
          <w:divId w:val="411243130"/>
          <w:jc w:val="center"/>
        </w:trPr>
        <w:tc>
          <w:tcPr>
            <w:tcW w:w="0" w:type="auto"/>
            <w:gridSpan w:val="3"/>
            <w:shd w:val="clear" w:color="auto" w:fill="CCEEFF"/>
            <w:tcMar>
              <w:top w:w="30" w:type="dxa"/>
              <w:left w:w="20" w:type="dxa"/>
              <w:bottom w:w="30" w:type="dxa"/>
              <w:right w:w="20" w:type="dxa"/>
            </w:tcMar>
            <w:vAlign w:val="bottom"/>
            <w:hideMark/>
          </w:tcPr>
          <w:p w14:paraId="1A891DF1" w14:textId="77777777" w:rsidR="00000000" w:rsidRDefault="00195E73">
            <w:pPr>
              <w:rPr>
                <w:rFonts w:eastAsia="Times New Roman"/>
              </w:rPr>
            </w:pPr>
            <w:r>
              <w:rPr>
                <w:rFonts w:eastAsia="Times New Roman"/>
                <w:color w:val="000000"/>
                <w:sz w:val="20"/>
                <w:szCs w:val="20"/>
              </w:rPr>
              <w:t>Sale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194E66D8" w14:textId="77777777" w:rsidR="00000000" w:rsidRDefault="00195E73">
            <w:pPr>
              <w:jc w:val="right"/>
              <w:rPr>
                <w:rFonts w:eastAsia="Times New Roman"/>
              </w:rPr>
            </w:pPr>
            <w:r>
              <w:rPr>
                <w:rFonts w:eastAsia="Times New Roman"/>
                <w:color w:val="000000"/>
                <w:sz w:val="20"/>
                <w:szCs w:val="20"/>
              </w:rPr>
              <w:t>(458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FCC1A1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41222A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C90869"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547B8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913227D" w14:textId="77777777" w:rsidR="00000000" w:rsidRDefault="00195E73">
            <w:pPr>
              <w:rPr>
                <w:rFonts w:eastAsia="Times New Roman"/>
                <w:sz w:val="20"/>
                <w:szCs w:val="20"/>
              </w:rPr>
            </w:pPr>
          </w:p>
        </w:tc>
        <w:tc>
          <w:tcPr>
            <w:tcW w:w="0" w:type="auto"/>
            <w:vAlign w:val="center"/>
            <w:hideMark/>
          </w:tcPr>
          <w:p w14:paraId="5E1EDD57" w14:textId="77777777" w:rsidR="00000000" w:rsidRDefault="00195E73">
            <w:pPr>
              <w:rPr>
                <w:rFonts w:eastAsia="Times New Roman"/>
                <w:sz w:val="20"/>
                <w:szCs w:val="20"/>
              </w:rPr>
            </w:pPr>
          </w:p>
        </w:tc>
        <w:tc>
          <w:tcPr>
            <w:tcW w:w="0" w:type="auto"/>
            <w:vAlign w:val="center"/>
            <w:hideMark/>
          </w:tcPr>
          <w:p w14:paraId="611E3AD4" w14:textId="77777777" w:rsidR="00000000" w:rsidRDefault="00195E73">
            <w:pPr>
              <w:rPr>
                <w:rFonts w:eastAsia="Times New Roman"/>
                <w:sz w:val="20"/>
                <w:szCs w:val="20"/>
              </w:rPr>
            </w:pPr>
          </w:p>
        </w:tc>
        <w:tc>
          <w:tcPr>
            <w:tcW w:w="0" w:type="auto"/>
            <w:vAlign w:val="center"/>
            <w:hideMark/>
          </w:tcPr>
          <w:p w14:paraId="5FC3CA41" w14:textId="77777777" w:rsidR="00000000" w:rsidRDefault="00195E73">
            <w:pPr>
              <w:rPr>
                <w:rFonts w:eastAsia="Times New Roman"/>
                <w:sz w:val="20"/>
                <w:szCs w:val="20"/>
              </w:rPr>
            </w:pPr>
          </w:p>
        </w:tc>
        <w:tc>
          <w:tcPr>
            <w:tcW w:w="0" w:type="auto"/>
            <w:vAlign w:val="center"/>
            <w:hideMark/>
          </w:tcPr>
          <w:p w14:paraId="75330763" w14:textId="77777777" w:rsidR="00000000" w:rsidRDefault="00195E73">
            <w:pPr>
              <w:rPr>
                <w:rFonts w:eastAsia="Times New Roman"/>
                <w:sz w:val="20"/>
                <w:szCs w:val="20"/>
              </w:rPr>
            </w:pPr>
          </w:p>
        </w:tc>
        <w:tc>
          <w:tcPr>
            <w:tcW w:w="0" w:type="auto"/>
            <w:vAlign w:val="center"/>
            <w:hideMark/>
          </w:tcPr>
          <w:p w14:paraId="41AF50C2" w14:textId="77777777" w:rsidR="00000000" w:rsidRDefault="00195E73">
            <w:pPr>
              <w:rPr>
                <w:rFonts w:eastAsia="Times New Roman"/>
                <w:sz w:val="20"/>
                <w:szCs w:val="20"/>
              </w:rPr>
            </w:pPr>
          </w:p>
        </w:tc>
      </w:tr>
      <w:tr w:rsidR="00000000" w14:paraId="7A1BF05D" w14:textId="77777777">
        <w:trPr>
          <w:divId w:val="411243130"/>
          <w:jc w:val="center"/>
        </w:trPr>
        <w:tc>
          <w:tcPr>
            <w:tcW w:w="0" w:type="auto"/>
            <w:gridSpan w:val="3"/>
            <w:shd w:val="clear" w:color="auto" w:fill="FFFFFF"/>
            <w:tcMar>
              <w:top w:w="30" w:type="dxa"/>
              <w:left w:w="20" w:type="dxa"/>
              <w:bottom w:w="30" w:type="dxa"/>
              <w:right w:w="20" w:type="dxa"/>
            </w:tcMar>
            <w:vAlign w:val="bottom"/>
            <w:hideMark/>
          </w:tcPr>
          <w:p w14:paraId="631D0094" w14:textId="77777777" w:rsidR="00000000" w:rsidRDefault="00195E73">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6AAC1D2F"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7E871B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B60151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15B407"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BA82B8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D9A188E" w14:textId="77777777" w:rsidR="00000000" w:rsidRDefault="00195E73">
            <w:pPr>
              <w:rPr>
                <w:rFonts w:eastAsia="Times New Roman"/>
                <w:sz w:val="20"/>
                <w:szCs w:val="20"/>
              </w:rPr>
            </w:pPr>
          </w:p>
        </w:tc>
        <w:tc>
          <w:tcPr>
            <w:tcW w:w="0" w:type="auto"/>
            <w:vAlign w:val="center"/>
            <w:hideMark/>
          </w:tcPr>
          <w:p w14:paraId="4BACE2DE" w14:textId="77777777" w:rsidR="00000000" w:rsidRDefault="00195E73">
            <w:pPr>
              <w:rPr>
                <w:rFonts w:eastAsia="Times New Roman"/>
                <w:sz w:val="20"/>
                <w:szCs w:val="20"/>
              </w:rPr>
            </w:pPr>
          </w:p>
        </w:tc>
        <w:tc>
          <w:tcPr>
            <w:tcW w:w="0" w:type="auto"/>
            <w:vAlign w:val="center"/>
            <w:hideMark/>
          </w:tcPr>
          <w:p w14:paraId="42882C0D" w14:textId="77777777" w:rsidR="00000000" w:rsidRDefault="00195E73">
            <w:pPr>
              <w:rPr>
                <w:rFonts w:eastAsia="Times New Roman"/>
                <w:sz w:val="20"/>
                <w:szCs w:val="20"/>
              </w:rPr>
            </w:pPr>
          </w:p>
        </w:tc>
        <w:tc>
          <w:tcPr>
            <w:tcW w:w="0" w:type="auto"/>
            <w:vAlign w:val="center"/>
            <w:hideMark/>
          </w:tcPr>
          <w:p w14:paraId="7D0EBA8C" w14:textId="77777777" w:rsidR="00000000" w:rsidRDefault="00195E73">
            <w:pPr>
              <w:rPr>
                <w:rFonts w:eastAsia="Times New Roman"/>
                <w:sz w:val="20"/>
                <w:szCs w:val="20"/>
              </w:rPr>
            </w:pPr>
          </w:p>
        </w:tc>
        <w:tc>
          <w:tcPr>
            <w:tcW w:w="0" w:type="auto"/>
            <w:vAlign w:val="center"/>
            <w:hideMark/>
          </w:tcPr>
          <w:p w14:paraId="3917862B" w14:textId="77777777" w:rsidR="00000000" w:rsidRDefault="00195E73">
            <w:pPr>
              <w:rPr>
                <w:rFonts w:eastAsia="Times New Roman"/>
                <w:sz w:val="20"/>
                <w:szCs w:val="20"/>
              </w:rPr>
            </w:pPr>
          </w:p>
        </w:tc>
        <w:tc>
          <w:tcPr>
            <w:tcW w:w="0" w:type="auto"/>
            <w:vAlign w:val="center"/>
            <w:hideMark/>
          </w:tcPr>
          <w:p w14:paraId="5682FC75" w14:textId="77777777" w:rsidR="00000000" w:rsidRDefault="00195E73">
            <w:pPr>
              <w:rPr>
                <w:rFonts w:eastAsia="Times New Roman"/>
                <w:sz w:val="20"/>
                <w:szCs w:val="20"/>
              </w:rPr>
            </w:pPr>
          </w:p>
        </w:tc>
      </w:tr>
      <w:tr w:rsidR="00000000" w14:paraId="11911765" w14:textId="77777777">
        <w:trPr>
          <w:divId w:val="411243130"/>
          <w:jc w:val="center"/>
        </w:trPr>
        <w:tc>
          <w:tcPr>
            <w:tcW w:w="0" w:type="auto"/>
            <w:gridSpan w:val="3"/>
            <w:shd w:val="clear" w:color="auto" w:fill="CCEEFF"/>
            <w:tcMar>
              <w:top w:w="30" w:type="dxa"/>
              <w:left w:w="20" w:type="dxa"/>
              <w:bottom w:w="30" w:type="dxa"/>
              <w:right w:w="20" w:type="dxa"/>
            </w:tcMar>
            <w:vAlign w:val="bottom"/>
            <w:hideMark/>
          </w:tcPr>
          <w:p w14:paraId="1CE11427" w14:textId="77777777" w:rsidR="00000000" w:rsidRDefault="00195E73">
            <w:pPr>
              <w:rPr>
                <w:rFonts w:eastAsia="Times New Roman"/>
              </w:rPr>
            </w:pPr>
            <w:r>
              <w:rPr>
                <w:rFonts w:eastAsia="Times New Roman"/>
                <w:color w:val="000000"/>
                <w:sz w:val="20"/>
                <w:szCs w:val="20"/>
              </w:rPr>
              <w:t>Balance at December 3</w:t>
            </w:r>
            <w:r>
              <w:rPr>
                <w:rFonts w:eastAsia="Times New Roman"/>
                <w:color w:val="000000"/>
                <w:sz w:val="20"/>
                <w:szCs w:val="20"/>
              </w:rPr>
              <w:t>1</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1CED31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684F8A9"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6446D6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A25B227"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33062AD"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2465EE4" w14:textId="77777777" w:rsidR="00000000" w:rsidRDefault="00195E73">
            <w:pPr>
              <w:jc w:val="right"/>
              <w:rPr>
                <w:rFonts w:eastAsia="Times New Roman"/>
              </w:rPr>
            </w:pPr>
            <w:r>
              <w:rPr>
                <w:rFonts w:eastAsia="Times New Roman"/>
                <w:color w:val="000000"/>
                <w:sz w:val="20"/>
                <w:szCs w:val="20"/>
              </w:rPr>
              <w:t>372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0B314B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12E79B1" w14:textId="77777777" w:rsidR="00000000" w:rsidRDefault="00195E73">
            <w:pPr>
              <w:rPr>
                <w:rFonts w:eastAsia="Times New Roman"/>
                <w:sz w:val="20"/>
                <w:szCs w:val="20"/>
              </w:rPr>
            </w:pPr>
          </w:p>
        </w:tc>
        <w:tc>
          <w:tcPr>
            <w:tcW w:w="0" w:type="auto"/>
            <w:vAlign w:val="center"/>
            <w:hideMark/>
          </w:tcPr>
          <w:p w14:paraId="6EFF1A2B" w14:textId="77777777" w:rsidR="00000000" w:rsidRDefault="00195E73">
            <w:pPr>
              <w:rPr>
                <w:rFonts w:eastAsia="Times New Roman"/>
                <w:sz w:val="20"/>
                <w:szCs w:val="20"/>
              </w:rPr>
            </w:pPr>
          </w:p>
        </w:tc>
        <w:tc>
          <w:tcPr>
            <w:tcW w:w="0" w:type="auto"/>
            <w:vAlign w:val="center"/>
            <w:hideMark/>
          </w:tcPr>
          <w:p w14:paraId="4B9BDD88" w14:textId="77777777" w:rsidR="00000000" w:rsidRDefault="00195E73">
            <w:pPr>
              <w:rPr>
                <w:rFonts w:eastAsia="Times New Roman"/>
                <w:sz w:val="20"/>
                <w:szCs w:val="20"/>
              </w:rPr>
            </w:pPr>
          </w:p>
        </w:tc>
        <w:tc>
          <w:tcPr>
            <w:tcW w:w="0" w:type="auto"/>
            <w:vAlign w:val="center"/>
            <w:hideMark/>
          </w:tcPr>
          <w:p w14:paraId="358E7DCD" w14:textId="77777777" w:rsidR="00000000" w:rsidRDefault="00195E73">
            <w:pPr>
              <w:rPr>
                <w:rFonts w:eastAsia="Times New Roman"/>
                <w:sz w:val="20"/>
                <w:szCs w:val="20"/>
              </w:rPr>
            </w:pPr>
          </w:p>
        </w:tc>
        <w:tc>
          <w:tcPr>
            <w:tcW w:w="0" w:type="auto"/>
            <w:vAlign w:val="center"/>
            <w:hideMark/>
          </w:tcPr>
          <w:p w14:paraId="367D01AE" w14:textId="77777777" w:rsidR="00000000" w:rsidRDefault="00195E73">
            <w:pPr>
              <w:rPr>
                <w:rFonts w:eastAsia="Times New Roman"/>
                <w:sz w:val="20"/>
                <w:szCs w:val="20"/>
              </w:rPr>
            </w:pPr>
          </w:p>
        </w:tc>
        <w:tc>
          <w:tcPr>
            <w:tcW w:w="0" w:type="auto"/>
            <w:vAlign w:val="center"/>
            <w:hideMark/>
          </w:tcPr>
          <w:p w14:paraId="74B652BD" w14:textId="77777777" w:rsidR="00000000" w:rsidRDefault="00195E73">
            <w:pPr>
              <w:rPr>
                <w:rFonts w:eastAsia="Times New Roman"/>
                <w:sz w:val="20"/>
                <w:szCs w:val="20"/>
              </w:rPr>
            </w:pPr>
          </w:p>
        </w:tc>
      </w:tr>
    </w:tbl>
    <w:p w14:paraId="063B458D" w14:textId="77777777" w:rsidR="00000000" w:rsidRDefault="00195E73">
      <w:pPr>
        <w:ind w:firstLine="450"/>
        <w:divId w:val="1520314288"/>
        <w:rPr>
          <w:rFonts w:eastAsia="Times New Roman"/>
        </w:rPr>
      </w:pPr>
    </w:p>
    <w:p w14:paraId="2AE7ED1E" w14:textId="77777777" w:rsidR="00000000" w:rsidRDefault="00195E73">
      <w:pPr>
        <w:ind w:firstLine="450"/>
        <w:divId w:val="689523818"/>
        <w:rPr>
          <w:rFonts w:eastAsia="Times New Roman"/>
        </w:rPr>
      </w:pPr>
      <w:r>
        <w:rPr>
          <w:rFonts w:eastAsia="Times New Roman"/>
          <w:color w:val="000000"/>
          <w:sz w:val="20"/>
          <w:szCs w:val="20"/>
        </w:rPr>
        <w:t>As of December </w:t>
      </w:r>
      <w:r>
        <w:rPr>
          <w:rFonts w:eastAsia="Times New Roman"/>
          <w:color w:val="000000"/>
          <w:sz w:val="20"/>
          <w:szCs w:val="20"/>
        </w:rPr>
        <w:t>31, 2018, we had a certain equity investment which was considered a Level 3 investment due to unobservable market data and was measured at fair value on a recurring basis. We determined the fair value of this investment based on recent market transactions.</w:t>
      </w:r>
      <w:r>
        <w:rPr>
          <w:rFonts w:eastAsia="Times New Roman"/>
          <w:color w:val="000000"/>
          <w:sz w:val="20"/>
          <w:szCs w:val="20"/>
        </w:rPr>
        <w:t xml:space="preserve"> During 2019, we sold this investment in its entirety</w:t>
      </w:r>
      <w:r>
        <w:rPr>
          <w:rFonts w:eastAsia="Times New Roman"/>
          <w:color w:val="000000"/>
          <w:sz w:val="20"/>
          <w:szCs w:val="20"/>
        </w:rPr>
        <w:t>.</w:t>
      </w:r>
    </w:p>
    <w:p w14:paraId="1E8068E6" w14:textId="77777777" w:rsidR="00000000" w:rsidRDefault="00195E73">
      <w:pPr>
        <w:divId w:val="347102862"/>
        <w:rPr>
          <w:rFonts w:eastAsia="Times New Roman"/>
        </w:rPr>
      </w:pPr>
      <w:r>
        <w:rPr>
          <w:rFonts w:eastAsia="Times New Roman"/>
          <w:b/>
          <w:bCs/>
          <w:i/>
          <w:iCs/>
          <w:color w:val="000000"/>
          <w:sz w:val="20"/>
          <w:szCs w:val="20"/>
        </w:rPr>
        <w:t>Assets Measured at Fair Value on a Non-Recurring Basis for Which We Use Level 3 Inputs to Determine Fair Value</w:t>
      </w:r>
      <w:r>
        <w:rPr>
          <w:rFonts w:eastAsia="Times New Roman"/>
          <w:b/>
          <w:bCs/>
          <w:i/>
          <w:iCs/>
          <w:color w:val="000000"/>
          <w:sz w:val="20"/>
          <w:szCs w:val="20"/>
        </w:rPr>
        <w:t xml:space="preserve"> </w:t>
      </w:r>
    </w:p>
    <w:p w14:paraId="3F450098" w14:textId="77777777" w:rsidR="00000000" w:rsidRDefault="00195E73">
      <w:pPr>
        <w:ind w:firstLine="450"/>
        <w:divId w:val="150566943"/>
        <w:rPr>
          <w:rFonts w:eastAsia="Times New Roman"/>
        </w:rPr>
      </w:pPr>
      <w:r>
        <w:rPr>
          <w:rFonts w:eastAsia="Times New Roman"/>
          <w:color w:val="000000"/>
          <w:sz w:val="20"/>
          <w:szCs w:val="20"/>
        </w:rPr>
        <w:t>Certain assets measured at fair value using Level 3 inputs on a nonrecurring basis have been impaired. During the years ended December 31, 2019, 2018 and 2017, we recorded impairment charges of $2 million, $5 million and $10 million, respectively, relating</w:t>
      </w:r>
      <w:r>
        <w:rPr>
          <w:rFonts w:eastAsia="Times New Roman"/>
          <w:color w:val="000000"/>
          <w:sz w:val="20"/>
          <w:szCs w:val="20"/>
        </w:rPr>
        <w:t xml:space="preserve"> to property, plant and equipment. We determined the fair value of property, plant and equipment by applying probability weighted, expected present value techniques to the estimated future cash flows using assumptions a market participant would utilize. In</w:t>
      </w:r>
      <w:r>
        <w:rPr>
          <w:rFonts w:eastAsia="Times New Roman"/>
          <w:color w:val="000000"/>
          <w:sz w:val="20"/>
          <w:szCs w:val="20"/>
        </w:rPr>
        <w:t xml:space="preserve"> addition, during the year ended December 31, 2017, we recorded a loss of $8 million from marking inventory down to net realizable value at our Automotive segment. Additionally, in connection with our reclassification of certain Railcar segment assets from</w:t>
      </w:r>
      <w:r>
        <w:rPr>
          <w:rFonts w:eastAsia="Times New Roman"/>
          <w:color w:val="000000"/>
          <w:sz w:val="20"/>
          <w:szCs w:val="20"/>
        </w:rPr>
        <w:t xml:space="preserve"> held and used to assets held for sale, we recorded aggregate impairment charges of $68 million for the year ended December 31, 2017, which represents the difference between the carrying value and fair value less cost to sell of such assets.</w:t>
      </w:r>
      <w:r>
        <w:rPr>
          <w:rFonts w:eastAsia="Times New Roman"/>
          <w:color w:val="000000"/>
          <w:sz w:val="20"/>
          <w:szCs w:val="20"/>
        </w:rPr>
        <w:t xml:space="preserve"> </w:t>
      </w:r>
    </w:p>
    <w:p w14:paraId="5534942B" w14:textId="77777777" w:rsidR="00000000" w:rsidRDefault="00195E73">
      <w:pPr>
        <w:ind w:firstLine="450"/>
        <w:divId w:val="1983536987"/>
        <w:rPr>
          <w:rFonts w:eastAsia="Times New Roman"/>
        </w:rPr>
      </w:pPr>
      <w:r>
        <w:rPr>
          <w:rFonts w:eastAsia="Times New Roman"/>
          <w:color w:val="000000"/>
          <w:sz w:val="20"/>
          <w:szCs w:val="20"/>
        </w:rPr>
        <w:t>Refer to Note</w:t>
      </w:r>
      <w:r>
        <w:rPr>
          <w:rFonts w:eastAsia="Times New Roman"/>
          <w:color w:val="000000"/>
          <w:sz w:val="20"/>
          <w:szCs w:val="20"/>
        </w:rPr>
        <w:t xml:space="preserve"> 9, “Goodwill and Intangible Assets, Net,” for discussion of our goodwill and intangible asset impairments</w:t>
      </w:r>
      <w:r>
        <w:rPr>
          <w:rFonts w:eastAsia="Times New Roman"/>
          <w:color w:val="000000"/>
          <w:sz w:val="20"/>
          <w:szCs w:val="20"/>
        </w:rPr>
        <w:t>.</w:t>
      </w:r>
    </w:p>
    <w:p w14:paraId="5D25245D" w14:textId="77777777" w:rsidR="00000000" w:rsidRDefault="00195E73">
      <w:pPr>
        <w:ind w:firstLine="450"/>
        <w:divId w:val="1443649419"/>
        <w:rPr>
          <w:rFonts w:eastAsia="Times New Roman"/>
        </w:rPr>
      </w:pPr>
      <w:r>
        <w:rPr>
          <w:rFonts w:eastAsia="Times New Roman"/>
          <w:color w:val="000000"/>
          <w:sz w:val="20"/>
          <w:szCs w:val="20"/>
        </w:rPr>
        <w:t>Refer to Note 13, “Segment and Geographic Reporting,” for total impairment recorded by each of our segments.</w:t>
      </w:r>
      <w:r>
        <w:rPr>
          <w:rFonts w:eastAsia="Times New Roman"/>
          <w:color w:val="000000"/>
          <w:sz w:val="20"/>
          <w:szCs w:val="20"/>
        </w:rPr>
        <w:t xml:space="preserve"> </w:t>
      </w:r>
    </w:p>
    <w:p w14:paraId="74F0EF74" w14:textId="77777777" w:rsidR="00000000" w:rsidRDefault="00195E73">
      <w:pPr>
        <w:divId w:val="191384978"/>
        <w:rPr>
          <w:rFonts w:eastAsia="Times New Roman"/>
        </w:rPr>
      </w:pPr>
    </w:p>
    <w:p w14:paraId="5A1F3604" w14:textId="77777777" w:rsidR="00000000" w:rsidRDefault="00195E73">
      <w:pPr>
        <w:divId w:val="13847361"/>
        <w:rPr>
          <w:rFonts w:eastAsia="Times New Roman"/>
        </w:rPr>
      </w:pPr>
    </w:p>
    <w:p w14:paraId="7A682179" w14:textId="77777777" w:rsidR="00000000" w:rsidRDefault="00195E73">
      <w:pPr>
        <w:ind w:hanging="360"/>
        <w:divId w:val="675813157"/>
        <w:rPr>
          <w:rFonts w:eastAsia="Times New Roman"/>
        </w:rPr>
      </w:pPr>
      <w:r>
        <w:rPr>
          <w:rFonts w:eastAsia="Times New Roman"/>
          <w:b/>
          <w:bCs/>
          <w:color w:val="000000"/>
          <w:sz w:val="20"/>
          <w:szCs w:val="20"/>
        </w:rPr>
        <w:t>6. Financial Instruments</w:t>
      </w:r>
      <w:r>
        <w:rPr>
          <w:rFonts w:eastAsia="Times New Roman"/>
          <w:b/>
          <w:bCs/>
          <w:color w:val="000000"/>
          <w:sz w:val="20"/>
          <w:szCs w:val="20"/>
        </w:rPr>
        <w:t>.</w:t>
      </w:r>
    </w:p>
    <w:p w14:paraId="07D91FFD" w14:textId="77777777" w:rsidR="00000000" w:rsidRDefault="00195E73">
      <w:pPr>
        <w:divId w:val="1938713345"/>
        <w:rPr>
          <w:rFonts w:eastAsia="Times New Roman"/>
        </w:rPr>
      </w:pPr>
      <w:r>
        <w:rPr>
          <w:rFonts w:eastAsia="Times New Roman"/>
          <w:b/>
          <w:bCs/>
          <w:i/>
          <w:iCs/>
          <w:color w:val="000000"/>
          <w:sz w:val="20"/>
          <w:szCs w:val="20"/>
        </w:rPr>
        <w:t>Overvie</w:t>
      </w:r>
      <w:r>
        <w:rPr>
          <w:rFonts w:eastAsia="Times New Roman"/>
          <w:b/>
          <w:bCs/>
          <w:i/>
          <w:iCs/>
          <w:color w:val="000000"/>
          <w:sz w:val="20"/>
          <w:szCs w:val="20"/>
        </w:rPr>
        <w:t>w</w:t>
      </w:r>
    </w:p>
    <w:p w14:paraId="2FACD84C" w14:textId="77777777" w:rsidR="00000000" w:rsidRDefault="00195E73">
      <w:pPr>
        <w:divId w:val="800073161"/>
        <w:rPr>
          <w:rFonts w:eastAsia="Times New Roman"/>
        </w:rPr>
      </w:pPr>
      <w:r>
        <w:rPr>
          <w:rFonts w:eastAsia="Times New Roman"/>
          <w:i/>
          <w:iCs/>
          <w:color w:val="000000"/>
          <w:sz w:val="20"/>
          <w:szCs w:val="20"/>
          <w:shd w:val="clear" w:color="auto" w:fill="FFFFFF"/>
        </w:rPr>
        <w:t>Investment</w:t>
      </w:r>
    </w:p>
    <w:p w14:paraId="14F2959B" w14:textId="77777777" w:rsidR="00000000" w:rsidRDefault="00195E73">
      <w:pPr>
        <w:ind w:firstLine="450"/>
        <w:divId w:val="658770617"/>
        <w:rPr>
          <w:rFonts w:eastAsia="Times New Roman"/>
        </w:rPr>
      </w:pPr>
      <w:r>
        <w:rPr>
          <w:rFonts w:eastAsia="Times New Roman"/>
          <w:color w:val="000000"/>
          <w:sz w:val="20"/>
          <w:szCs w:val="20"/>
        </w:rPr>
        <w:t>In the normal course of business, the Investment Funds may trade various financial instruments and enter into certain investment activities, which may give rise to off-balance-sheet risks, with the objective of capital appreciation or as econom</w:t>
      </w:r>
      <w:r>
        <w:rPr>
          <w:rFonts w:eastAsia="Times New Roman"/>
          <w:color w:val="000000"/>
          <w:sz w:val="20"/>
          <w:szCs w:val="20"/>
        </w:rPr>
        <w:t>ic hedges against other securities or the market as a whole. The Investment Funds’ investments may include futures, options, swaps and securities sold, not yet purchased. These financial instruments represent future commitments to purchase or sell other fi</w:t>
      </w:r>
      <w:r>
        <w:rPr>
          <w:rFonts w:eastAsia="Times New Roman"/>
          <w:color w:val="000000"/>
          <w:sz w:val="20"/>
          <w:szCs w:val="20"/>
        </w:rPr>
        <w:t>nancial instruments or to exchange an amount of cash based on the change in an underlying instrument at specific terms at specified future dates. Risks arise with these financial instruments from potential counterparty non-performance and from changes in t</w:t>
      </w:r>
      <w:r>
        <w:rPr>
          <w:rFonts w:eastAsia="Times New Roman"/>
          <w:color w:val="000000"/>
          <w:sz w:val="20"/>
          <w:szCs w:val="20"/>
        </w:rPr>
        <w:t>he market values of underlying instruments</w:t>
      </w:r>
      <w:r>
        <w:rPr>
          <w:rFonts w:eastAsia="Times New Roman"/>
          <w:color w:val="000000"/>
          <w:sz w:val="20"/>
          <w:szCs w:val="20"/>
        </w:rPr>
        <w:t>.</w:t>
      </w:r>
    </w:p>
    <w:p w14:paraId="3962256A" w14:textId="77777777" w:rsidR="00000000" w:rsidRDefault="00195E73">
      <w:pPr>
        <w:ind w:firstLine="450"/>
        <w:divId w:val="1957522184"/>
        <w:rPr>
          <w:rFonts w:eastAsia="Times New Roman"/>
        </w:rPr>
      </w:pPr>
      <w:r>
        <w:rPr>
          <w:rFonts w:eastAsia="Times New Roman"/>
          <w:color w:val="000000"/>
          <w:sz w:val="20"/>
          <w:szCs w:val="20"/>
        </w:rPr>
        <w:t>Credit concentrations may arise from investment activities and may be impacted by changes in economic, industry or political factors. The Investment Funds routinely execute transactions with counterparties in the</w:t>
      </w:r>
      <w:r>
        <w:rPr>
          <w:rFonts w:eastAsia="Times New Roman"/>
          <w:color w:val="000000"/>
          <w:sz w:val="20"/>
          <w:szCs w:val="20"/>
        </w:rPr>
        <w:t xml:space="preserve"> financial services industry, resulting in credit concentration with respect to the financial services industry. In the ordinary course of business, the Investment Funds may also be subject to a concentration of credit risk to a particular counterparty. Th</w:t>
      </w:r>
      <w:r>
        <w:rPr>
          <w:rFonts w:eastAsia="Times New Roman"/>
          <w:color w:val="000000"/>
          <w:sz w:val="20"/>
          <w:szCs w:val="20"/>
        </w:rPr>
        <w:t>e Investment Funds seek to mitigate these risks by actively monitoring exposures, collateral requirements and the creditworthiness of its counterparties.</w:t>
      </w:r>
      <w:r>
        <w:rPr>
          <w:rFonts w:eastAsia="Times New Roman"/>
          <w:color w:val="000000"/>
          <w:sz w:val="20"/>
          <w:szCs w:val="20"/>
        </w:rPr>
        <w:t xml:space="preserve"> </w:t>
      </w:r>
    </w:p>
    <w:p w14:paraId="05421FA4" w14:textId="77777777" w:rsidR="00000000" w:rsidRDefault="00195E73">
      <w:pPr>
        <w:jc w:val="center"/>
        <w:divId w:val="1188982950"/>
        <w:rPr>
          <w:rFonts w:eastAsia="Times New Roman"/>
        </w:rPr>
      </w:pPr>
      <w:r>
        <w:rPr>
          <w:rFonts w:eastAsia="Times New Roman"/>
          <w:color w:val="000000"/>
          <w:sz w:val="20"/>
          <w:szCs w:val="20"/>
        </w:rPr>
        <w:t>8</w:t>
      </w:r>
      <w:r>
        <w:rPr>
          <w:rFonts w:eastAsia="Times New Roman"/>
          <w:color w:val="000000"/>
          <w:sz w:val="20"/>
          <w:szCs w:val="20"/>
        </w:rPr>
        <w:t>6</w:t>
      </w:r>
    </w:p>
    <w:p w14:paraId="54C478AB" w14:textId="77777777" w:rsidR="00000000" w:rsidRDefault="00195E73">
      <w:pPr>
        <w:rPr>
          <w:rFonts w:eastAsia="Times New Roman"/>
        </w:rPr>
      </w:pPr>
      <w:r>
        <w:rPr>
          <w:rFonts w:eastAsia="Times New Roman"/>
        </w:rPr>
        <w:pict w14:anchorId="1A813843">
          <v:rect id="_x0000_i1112" style="width:0;height:1.5pt" o:hralign="center" o:hrstd="t" o:hr="t" fillcolor="#a0a0a0" stroked="f"/>
        </w:pict>
      </w:r>
    </w:p>
    <w:p w14:paraId="10562AC4" w14:textId="77777777" w:rsidR="00000000" w:rsidRDefault="00195E73">
      <w:pPr>
        <w:jc w:val="center"/>
        <w:divId w:val="661735299"/>
        <w:rPr>
          <w:rFonts w:eastAsia="Times New Roman"/>
        </w:rPr>
      </w:pPr>
    </w:p>
    <w:p w14:paraId="54B3513B" w14:textId="77777777" w:rsidR="00000000" w:rsidRDefault="00195E73">
      <w:pPr>
        <w:jc w:val="center"/>
        <w:divId w:val="661735299"/>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7E402ED4" w14:textId="77777777" w:rsidR="00000000" w:rsidRDefault="00195E73">
      <w:pPr>
        <w:jc w:val="center"/>
        <w:divId w:val="661735299"/>
        <w:rPr>
          <w:rFonts w:eastAsia="Times New Roman"/>
        </w:rPr>
      </w:pPr>
      <w:r>
        <w:rPr>
          <w:rFonts w:eastAsia="Times New Roman"/>
          <w:b/>
          <w:bCs/>
          <w:color w:val="000000"/>
          <w:sz w:val="20"/>
          <w:szCs w:val="20"/>
        </w:rPr>
        <w:t>ICAHN ENTERPRISES HO</w:t>
      </w:r>
      <w:r>
        <w:rPr>
          <w:rFonts w:eastAsia="Times New Roman"/>
          <w:b/>
          <w:bCs/>
          <w:color w:val="000000"/>
          <w:sz w:val="20"/>
          <w:szCs w:val="20"/>
        </w:rPr>
        <w:t>LDINGS L.P. AND SUBSIDIARIE</w:t>
      </w:r>
      <w:r>
        <w:rPr>
          <w:rFonts w:eastAsia="Times New Roman"/>
          <w:b/>
          <w:bCs/>
          <w:color w:val="000000"/>
          <w:sz w:val="20"/>
          <w:szCs w:val="20"/>
        </w:rPr>
        <w:t>S</w:t>
      </w:r>
    </w:p>
    <w:p w14:paraId="7F517884" w14:textId="77777777" w:rsidR="00000000" w:rsidRDefault="00195E73">
      <w:pPr>
        <w:jc w:val="center"/>
        <w:divId w:val="661735299"/>
        <w:rPr>
          <w:rFonts w:eastAsia="Times New Roman"/>
        </w:rPr>
      </w:pPr>
    </w:p>
    <w:p w14:paraId="738969BE" w14:textId="77777777" w:rsidR="00000000" w:rsidRDefault="00195E73">
      <w:pPr>
        <w:jc w:val="center"/>
        <w:divId w:val="661735299"/>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79AA9FB9" w14:textId="77777777" w:rsidR="00000000" w:rsidRDefault="00195E73">
      <w:pPr>
        <w:ind w:firstLine="450"/>
        <w:divId w:val="98644045"/>
        <w:rPr>
          <w:rFonts w:eastAsia="Times New Roman"/>
        </w:rPr>
      </w:pPr>
      <w:r>
        <w:rPr>
          <w:rFonts w:eastAsia="Times New Roman"/>
          <w:color w:val="000000"/>
          <w:sz w:val="20"/>
          <w:szCs w:val="20"/>
        </w:rPr>
        <w:t>The Investment Funds have entered into various types of swap contracts with other counterparties. These agreements provide that they are entitled to receive or are obligated to pay i</w:t>
      </w:r>
      <w:r>
        <w:rPr>
          <w:rFonts w:eastAsia="Times New Roman"/>
          <w:color w:val="000000"/>
          <w:sz w:val="20"/>
          <w:szCs w:val="20"/>
        </w:rPr>
        <w:t>n cash an amount equal to the increase or decrease, respectively, in the value of the underlying shares, debt and other instruments that are the subject of the contracts, during the period from inception of the applicable agreement to its expiration. In ad</w:t>
      </w:r>
      <w:r>
        <w:rPr>
          <w:rFonts w:eastAsia="Times New Roman"/>
          <w:color w:val="000000"/>
          <w:sz w:val="20"/>
          <w:szCs w:val="20"/>
        </w:rPr>
        <w:t>dition, pursuant to the terms of such agreements, they are entitled to receive or obligated to pay other amounts, including interest, dividends and other distributions made in respect of the underlying shares, debt and other instruments during the specifie</w:t>
      </w:r>
      <w:r>
        <w:rPr>
          <w:rFonts w:eastAsia="Times New Roman"/>
          <w:color w:val="000000"/>
          <w:sz w:val="20"/>
          <w:szCs w:val="20"/>
        </w:rPr>
        <w:t>d time frame. They are also required to pay to the counterparty a floating interest rate equal to the product of the notional amount multiplied by an agreed-upon rate, and they receive interest on any cash collateral that they post to the counterparty at t</w:t>
      </w:r>
      <w:r>
        <w:rPr>
          <w:rFonts w:eastAsia="Times New Roman"/>
          <w:color w:val="000000"/>
          <w:sz w:val="20"/>
          <w:szCs w:val="20"/>
        </w:rPr>
        <w:t>he federal funds or LIBOR rate in effect for such period</w:t>
      </w:r>
      <w:r>
        <w:rPr>
          <w:rFonts w:eastAsia="Times New Roman"/>
          <w:color w:val="000000"/>
          <w:sz w:val="20"/>
          <w:szCs w:val="20"/>
        </w:rPr>
        <w:t>.</w:t>
      </w:r>
    </w:p>
    <w:p w14:paraId="21BE663C" w14:textId="77777777" w:rsidR="00000000" w:rsidRDefault="00195E73">
      <w:pPr>
        <w:ind w:firstLine="450"/>
        <w:divId w:val="577207634"/>
        <w:rPr>
          <w:rFonts w:eastAsia="Times New Roman"/>
        </w:rPr>
      </w:pPr>
      <w:r>
        <w:rPr>
          <w:rFonts w:eastAsia="Times New Roman"/>
          <w:color w:val="000000"/>
          <w:sz w:val="20"/>
          <w:szCs w:val="20"/>
        </w:rPr>
        <w:t>The Investment Funds may trade futures contracts. A futures contract is a firm commitment to buy or sell a specified quantity of a standardized amount of a deliverable grade commodity, security, cur</w:t>
      </w:r>
      <w:r>
        <w:rPr>
          <w:rFonts w:eastAsia="Times New Roman"/>
          <w:color w:val="000000"/>
          <w:sz w:val="20"/>
          <w:szCs w:val="20"/>
        </w:rPr>
        <w:t>rency or cash at a specified price and specified future date unless the contract is closed before the delivery date. Payments (or variation margin) are made or received by the Investment Funds each day, depending on the daily fluctuations in the value of t</w:t>
      </w:r>
      <w:r>
        <w:rPr>
          <w:rFonts w:eastAsia="Times New Roman"/>
          <w:color w:val="000000"/>
          <w:sz w:val="20"/>
          <w:szCs w:val="20"/>
        </w:rPr>
        <w:t>he contract, and the whole value change is recorded as an unrealized gain or loss by the Investment Funds. When the contract is closed, the Investment Funds record a realized gain or loss equal to the difference between the value of the contract at the tim</w:t>
      </w:r>
      <w:r>
        <w:rPr>
          <w:rFonts w:eastAsia="Times New Roman"/>
          <w:color w:val="000000"/>
          <w:sz w:val="20"/>
          <w:szCs w:val="20"/>
        </w:rPr>
        <w:t>e it was opened and the value at the time it was closed</w:t>
      </w:r>
      <w:r>
        <w:rPr>
          <w:rFonts w:eastAsia="Times New Roman"/>
          <w:color w:val="000000"/>
          <w:sz w:val="20"/>
          <w:szCs w:val="20"/>
        </w:rPr>
        <w:t>.</w:t>
      </w:r>
    </w:p>
    <w:p w14:paraId="2064C02D" w14:textId="77777777" w:rsidR="00000000" w:rsidRDefault="00195E73">
      <w:pPr>
        <w:ind w:firstLine="450"/>
        <w:divId w:val="1682856859"/>
        <w:rPr>
          <w:rFonts w:eastAsia="Times New Roman"/>
        </w:rPr>
      </w:pPr>
      <w:r>
        <w:rPr>
          <w:rFonts w:eastAsia="Times New Roman"/>
          <w:color w:val="000000"/>
          <w:sz w:val="20"/>
          <w:szCs w:val="20"/>
        </w:rPr>
        <w:t>The Investment Funds may utilize forward contracts to seek to protect their assets denominated in foreign currencies and precious metals holdings from losses due to fluctuations in foreign exchange r</w:t>
      </w:r>
      <w:r>
        <w:rPr>
          <w:rFonts w:eastAsia="Times New Roman"/>
          <w:color w:val="000000"/>
          <w:sz w:val="20"/>
          <w:szCs w:val="20"/>
        </w:rPr>
        <w:t xml:space="preserve">ates and spot rates. The Investment Funds’ exposure to credit risk associated with non-performance of such forward contracts is limited to the unrealized gains or losses inherent in such contracts, which are recognized in other assets and accrued expenses </w:t>
      </w:r>
      <w:r>
        <w:rPr>
          <w:rFonts w:eastAsia="Times New Roman"/>
          <w:color w:val="000000"/>
          <w:sz w:val="20"/>
          <w:szCs w:val="20"/>
        </w:rPr>
        <w:t>and other liabilities in our consolidated balance sheets</w:t>
      </w:r>
      <w:r>
        <w:rPr>
          <w:rFonts w:eastAsia="Times New Roman"/>
          <w:color w:val="000000"/>
          <w:sz w:val="20"/>
          <w:szCs w:val="20"/>
        </w:rPr>
        <w:t>.</w:t>
      </w:r>
    </w:p>
    <w:p w14:paraId="542D308C" w14:textId="77777777" w:rsidR="00000000" w:rsidRDefault="00195E73">
      <w:pPr>
        <w:ind w:firstLine="450"/>
        <w:divId w:val="1734886251"/>
        <w:rPr>
          <w:rFonts w:eastAsia="Times New Roman"/>
        </w:rPr>
      </w:pPr>
      <w:r>
        <w:rPr>
          <w:rFonts w:eastAsia="Times New Roman"/>
          <w:color w:val="000000"/>
          <w:sz w:val="20"/>
          <w:szCs w:val="20"/>
        </w:rPr>
        <w:t>The Investment Funds may also enter into foreign currency contracts for purposes other than hedging denominated securities. When entering into a foreign currency forward contract, the Investment Fun</w:t>
      </w:r>
      <w:r>
        <w:rPr>
          <w:rFonts w:eastAsia="Times New Roman"/>
          <w:color w:val="000000"/>
          <w:sz w:val="20"/>
          <w:szCs w:val="20"/>
        </w:rPr>
        <w:t>ds agree to receive or deliver a fixed quantity of foreign currency for an agreed-upon price on an agreed-upon future date unless the contract is closed before such date. The Investment Funds record unrealized gains or losses on the contracts as measured b</w:t>
      </w:r>
      <w:r>
        <w:rPr>
          <w:rFonts w:eastAsia="Times New Roman"/>
          <w:color w:val="000000"/>
          <w:sz w:val="20"/>
          <w:szCs w:val="20"/>
        </w:rPr>
        <w:t>y the difference between the forward foreign exchange rates at the dates of entry into such contracts and the forward rates at the reporting date.</w:t>
      </w:r>
      <w:r>
        <w:rPr>
          <w:rFonts w:eastAsia="Times New Roman"/>
          <w:color w:val="000000"/>
          <w:sz w:val="20"/>
          <w:szCs w:val="20"/>
        </w:rPr>
        <w:t xml:space="preserve"> </w:t>
      </w:r>
    </w:p>
    <w:p w14:paraId="64AC5F85" w14:textId="77777777" w:rsidR="00000000" w:rsidRDefault="00195E73">
      <w:pPr>
        <w:ind w:firstLine="450"/>
        <w:divId w:val="1856649213"/>
        <w:rPr>
          <w:rFonts w:eastAsia="Times New Roman"/>
        </w:rPr>
      </w:pPr>
      <w:r>
        <w:rPr>
          <w:rFonts w:eastAsia="Times New Roman"/>
          <w:color w:val="000000"/>
          <w:sz w:val="20"/>
          <w:szCs w:val="20"/>
        </w:rPr>
        <w:t>The Investment Funds may also purchase and write option contracts. As a writer of option contracts, the Inve</w:t>
      </w:r>
      <w:r>
        <w:rPr>
          <w:rFonts w:eastAsia="Times New Roman"/>
          <w:color w:val="000000"/>
          <w:sz w:val="20"/>
          <w:szCs w:val="20"/>
        </w:rPr>
        <w:t>stment Funds receive a premium at the outset and then bear the market risk of unfavorable changes in the price of the underlying financial instrument. As a result of writing option contracts, the Investment Funds are obligated to purchase or sell, at the h</w:t>
      </w:r>
      <w:r>
        <w:rPr>
          <w:rFonts w:eastAsia="Times New Roman"/>
          <w:color w:val="000000"/>
          <w:sz w:val="20"/>
          <w:szCs w:val="20"/>
        </w:rPr>
        <w:t>older’s option, the underlying financial instrument. Accordingly, these transactions result in off-balance-sheet risk, as the Investment Funds’ satisfaction of the obligations may exceed the amount recognized in our consolidated balance sheets</w:t>
      </w:r>
      <w:r>
        <w:rPr>
          <w:rFonts w:eastAsia="Times New Roman"/>
          <w:color w:val="000000"/>
          <w:sz w:val="20"/>
          <w:szCs w:val="20"/>
        </w:rPr>
        <w:t>.</w:t>
      </w:r>
    </w:p>
    <w:p w14:paraId="43D96A67" w14:textId="77777777" w:rsidR="00000000" w:rsidRDefault="00195E73">
      <w:pPr>
        <w:ind w:firstLine="450"/>
        <w:divId w:val="1907719480"/>
        <w:rPr>
          <w:rFonts w:eastAsia="Times New Roman"/>
        </w:rPr>
      </w:pPr>
      <w:r>
        <w:rPr>
          <w:rFonts w:eastAsia="Times New Roman"/>
          <w:color w:val="000000"/>
          <w:sz w:val="20"/>
          <w:szCs w:val="20"/>
        </w:rPr>
        <w:t>Certain ter</w:t>
      </w:r>
      <w:r>
        <w:rPr>
          <w:rFonts w:eastAsia="Times New Roman"/>
          <w:color w:val="000000"/>
          <w:sz w:val="20"/>
          <w:szCs w:val="20"/>
        </w:rPr>
        <w:t>ms of the Investment Funds’ contracts with derivative counterparties, which are standard and customary to such contracts, contain certain triggering events that would give the counterparties the right to terminate the derivative instruments. In such events</w:t>
      </w:r>
      <w:r>
        <w:rPr>
          <w:rFonts w:eastAsia="Times New Roman"/>
          <w:color w:val="000000"/>
          <w:sz w:val="20"/>
          <w:szCs w:val="20"/>
        </w:rPr>
        <w:t>, the counterparties to the derivative instruments could request immediate payment on derivative instruments in net liability positions. The aggregate fair value of all of the Investment Funds’ derivative instruments with credit-risk-related contingent fea</w:t>
      </w:r>
      <w:r>
        <w:rPr>
          <w:rFonts w:eastAsia="Times New Roman"/>
          <w:color w:val="000000"/>
          <w:sz w:val="20"/>
          <w:szCs w:val="20"/>
        </w:rPr>
        <w:t>tures that are in a liability position at December 31, 2019 and 2018 was $266 million and zero, respectively</w:t>
      </w:r>
      <w:r>
        <w:rPr>
          <w:rFonts w:eastAsia="Times New Roman"/>
          <w:color w:val="000000"/>
          <w:sz w:val="20"/>
          <w:szCs w:val="20"/>
        </w:rPr>
        <w:t>.</w:t>
      </w:r>
    </w:p>
    <w:p w14:paraId="06D3B947" w14:textId="77777777" w:rsidR="00000000" w:rsidRDefault="00195E73">
      <w:pPr>
        <w:ind w:firstLine="450"/>
        <w:divId w:val="161631388"/>
        <w:rPr>
          <w:rFonts w:eastAsia="Times New Roman"/>
        </w:rPr>
      </w:pPr>
      <w:r>
        <w:rPr>
          <w:rFonts w:eastAsia="Times New Roman"/>
          <w:color w:val="000000"/>
          <w:sz w:val="20"/>
          <w:szCs w:val="20"/>
        </w:rPr>
        <w:t>The following table summarizes the volume of our Investment segment’s derivative activities based on their notional exposure, categorized by prima</w:t>
      </w:r>
      <w:r>
        <w:rPr>
          <w:rFonts w:eastAsia="Times New Roman"/>
          <w:color w:val="000000"/>
          <w:sz w:val="20"/>
          <w:szCs w:val="20"/>
        </w:rPr>
        <w:t>ry underlying risk</w:t>
      </w:r>
      <w:r>
        <w:rPr>
          <w:rFonts w:eastAsia="Times New Roman"/>
          <w:color w:val="000000"/>
          <w:sz w:val="20"/>
          <w:szCs w:val="20"/>
        </w:rPr>
        <w:t>:</w:t>
      </w:r>
    </w:p>
    <w:tbl>
      <w:tblPr>
        <w:tblW w:w="4970" w:type="pct"/>
        <w:jc w:val="center"/>
        <w:tblCellMar>
          <w:top w:w="15" w:type="dxa"/>
          <w:left w:w="15" w:type="dxa"/>
          <w:bottom w:w="15" w:type="dxa"/>
          <w:right w:w="15" w:type="dxa"/>
        </w:tblCellMar>
        <w:tblLook w:val="04A0" w:firstRow="1" w:lastRow="0" w:firstColumn="1" w:lastColumn="0" w:noHBand="0" w:noVBand="1"/>
      </w:tblPr>
      <w:tblGrid>
        <w:gridCol w:w="40"/>
        <w:gridCol w:w="3075"/>
        <w:gridCol w:w="38"/>
        <w:gridCol w:w="136"/>
        <w:gridCol w:w="836"/>
        <w:gridCol w:w="85"/>
        <w:gridCol w:w="36"/>
        <w:gridCol w:w="36"/>
        <w:gridCol w:w="36"/>
        <w:gridCol w:w="135"/>
        <w:gridCol w:w="803"/>
        <w:gridCol w:w="85"/>
        <w:gridCol w:w="36"/>
        <w:gridCol w:w="36"/>
        <w:gridCol w:w="36"/>
        <w:gridCol w:w="136"/>
        <w:gridCol w:w="804"/>
        <w:gridCol w:w="85"/>
        <w:gridCol w:w="36"/>
        <w:gridCol w:w="36"/>
        <w:gridCol w:w="36"/>
        <w:gridCol w:w="136"/>
        <w:gridCol w:w="804"/>
        <w:gridCol w:w="8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07BAE9B5" w14:textId="77777777">
        <w:trPr>
          <w:gridAfter w:val="18"/>
          <w:divId w:val="573929859"/>
          <w:jc w:val="center"/>
        </w:trPr>
        <w:tc>
          <w:tcPr>
            <w:tcW w:w="50" w:type="pct"/>
            <w:vAlign w:val="center"/>
            <w:hideMark/>
          </w:tcPr>
          <w:p w14:paraId="037793B1" w14:textId="77777777" w:rsidR="00000000" w:rsidRDefault="00195E73">
            <w:pPr>
              <w:ind w:firstLine="450"/>
              <w:rPr>
                <w:rFonts w:eastAsia="Times New Roman"/>
              </w:rPr>
            </w:pPr>
          </w:p>
        </w:tc>
        <w:tc>
          <w:tcPr>
            <w:tcW w:w="2054" w:type="pct"/>
            <w:vAlign w:val="center"/>
            <w:hideMark/>
          </w:tcPr>
          <w:p w14:paraId="1D6997F0" w14:textId="77777777" w:rsidR="00000000" w:rsidRDefault="00195E73">
            <w:pPr>
              <w:rPr>
                <w:rFonts w:eastAsia="Times New Roman"/>
                <w:sz w:val="20"/>
                <w:szCs w:val="20"/>
              </w:rPr>
            </w:pPr>
          </w:p>
        </w:tc>
        <w:tc>
          <w:tcPr>
            <w:tcW w:w="50" w:type="pct"/>
            <w:vAlign w:val="center"/>
            <w:hideMark/>
          </w:tcPr>
          <w:p w14:paraId="76F69339" w14:textId="77777777" w:rsidR="00000000" w:rsidRDefault="00195E73">
            <w:pPr>
              <w:rPr>
                <w:rFonts w:eastAsia="Times New Roman"/>
                <w:sz w:val="20"/>
                <w:szCs w:val="20"/>
              </w:rPr>
            </w:pPr>
          </w:p>
        </w:tc>
        <w:tc>
          <w:tcPr>
            <w:tcW w:w="50" w:type="pct"/>
            <w:vAlign w:val="center"/>
            <w:hideMark/>
          </w:tcPr>
          <w:p w14:paraId="6C7AE505" w14:textId="77777777" w:rsidR="00000000" w:rsidRDefault="00195E73">
            <w:pPr>
              <w:rPr>
                <w:rFonts w:eastAsia="Times New Roman"/>
                <w:sz w:val="20"/>
                <w:szCs w:val="20"/>
              </w:rPr>
            </w:pPr>
          </w:p>
        </w:tc>
        <w:tc>
          <w:tcPr>
            <w:tcW w:w="583" w:type="pct"/>
            <w:vAlign w:val="center"/>
            <w:hideMark/>
          </w:tcPr>
          <w:p w14:paraId="41B0DFA3" w14:textId="77777777" w:rsidR="00000000" w:rsidRDefault="00195E73">
            <w:pPr>
              <w:rPr>
                <w:rFonts w:eastAsia="Times New Roman"/>
                <w:sz w:val="20"/>
                <w:szCs w:val="20"/>
              </w:rPr>
            </w:pPr>
          </w:p>
        </w:tc>
        <w:tc>
          <w:tcPr>
            <w:tcW w:w="50" w:type="pct"/>
            <w:vAlign w:val="center"/>
            <w:hideMark/>
          </w:tcPr>
          <w:p w14:paraId="39803C91" w14:textId="77777777" w:rsidR="00000000" w:rsidRDefault="00195E73">
            <w:pPr>
              <w:rPr>
                <w:rFonts w:eastAsia="Times New Roman"/>
                <w:sz w:val="20"/>
                <w:szCs w:val="20"/>
              </w:rPr>
            </w:pPr>
          </w:p>
        </w:tc>
        <w:tc>
          <w:tcPr>
            <w:tcW w:w="5" w:type="pct"/>
            <w:vAlign w:val="center"/>
            <w:hideMark/>
          </w:tcPr>
          <w:p w14:paraId="07A0640A" w14:textId="77777777" w:rsidR="00000000" w:rsidRDefault="00195E73">
            <w:pPr>
              <w:rPr>
                <w:rFonts w:eastAsia="Times New Roman"/>
                <w:sz w:val="20"/>
                <w:szCs w:val="20"/>
              </w:rPr>
            </w:pPr>
          </w:p>
        </w:tc>
        <w:tc>
          <w:tcPr>
            <w:tcW w:w="26" w:type="pct"/>
            <w:vAlign w:val="center"/>
            <w:hideMark/>
          </w:tcPr>
          <w:p w14:paraId="2F2A938C" w14:textId="77777777" w:rsidR="00000000" w:rsidRDefault="00195E73">
            <w:pPr>
              <w:rPr>
                <w:rFonts w:eastAsia="Times New Roman"/>
                <w:sz w:val="20"/>
                <w:szCs w:val="20"/>
              </w:rPr>
            </w:pPr>
          </w:p>
        </w:tc>
        <w:tc>
          <w:tcPr>
            <w:tcW w:w="5" w:type="pct"/>
            <w:vAlign w:val="center"/>
            <w:hideMark/>
          </w:tcPr>
          <w:p w14:paraId="0F6B3961" w14:textId="77777777" w:rsidR="00000000" w:rsidRDefault="00195E73">
            <w:pPr>
              <w:rPr>
                <w:rFonts w:eastAsia="Times New Roman"/>
                <w:sz w:val="20"/>
                <w:szCs w:val="20"/>
              </w:rPr>
            </w:pPr>
          </w:p>
        </w:tc>
        <w:tc>
          <w:tcPr>
            <w:tcW w:w="50" w:type="pct"/>
            <w:vAlign w:val="center"/>
            <w:hideMark/>
          </w:tcPr>
          <w:p w14:paraId="1F84F7B6" w14:textId="77777777" w:rsidR="00000000" w:rsidRDefault="00195E73">
            <w:pPr>
              <w:rPr>
                <w:rFonts w:eastAsia="Times New Roman"/>
                <w:sz w:val="20"/>
                <w:szCs w:val="20"/>
              </w:rPr>
            </w:pPr>
          </w:p>
        </w:tc>
        <w:tc>
          <w:tcPr>
            <w:tcW w:w="583" w:type="pct"/>
            <w:vAlign w:val="center"/>
            <w:hideMark/>
          </w:tcPr>
          <w:p w14:paraId="4B1FC0CE" w14:textId="77777777" w:rsidR="00000000" w:rsidRDefault="00195E73">
            <w:pPr>
              <w:rPr>
                <w:rFonts w:eastAsia="Times New Roman"/>
                <w:sz w:val="20"/>
                <w:szCs w:val="20"/>
              </w:rPr>
            </w:pPr>
          </w:p>
        </w:tc>
        <w:tc>
          <w:tcPr>
            <w:tcW w:w="50" w:type="pct"/>
            <w:vAlign w:val="center"/>
            <w:hideMark/>
          </w:tcPr>
          <w:p w14:paraId="1C3487D0" w14:textId="77777777" w:rsidR="00000000" w:rsidRDefault="00195E73">
            <w:pPr>
              <w:rPr>
                <w:rFonts w:eastAsia="Times New Roman"/>
                <w:sz w:val="20"/>
                <w:szCs w:val="20"/>
              </w:rPr>
            </w:pPr>
          </w:p>
        </w:tc>
        <w:tc>
          <w:tcPr>
            <w:tcW w:w="5" w:type="pct"/>
            <w:vAlign w:val="center"/>
            <w:hideMark/>
          </w:tcPr>
          <w:p w14:paraId="264AFC66" w14:textId="77777777" w:rsidR="00000000" w:rsidRDefault="00195E73">
            <w:pPr>
              <w:rPr>
                <w:rFonts w:eastAsia="Times New Roman"/>
                <w:sz w:val="20"/>
                <w:szCs w:val="20"/>
              </w:rPr>
            </w:pPr>
          </w:p>
        </w:tc>
        <w:tc>
          <w:tcPr>
            <w:tcW w:w="26" w:type="pct"/>
            <w:vAlign w:val="center"/>
            <w:hideMark/>
          </w:tcPr>
          <w:p w14:paraId="25C1939F" w14:textId="77777777" w:rsidR="00000000" w:rsidRDefault="00195E73">
            <w:pPr>
              <w:rPr>
                <w:rFonts w:eastAsia="Times New Roman"/>
                <w:sz w:val="20"/>
                <w:szCs w:val="20"/>
              </w:rPr>
            </w:pPr>
          </w:p>
        </w:tc>
        <w:tc>
          <w:tcPr>
            <w:tcW w:w="5" w:type="pct"/>
            <w:vAlign w:val="center"/>
            <w:hideMark/>
          </w:tcPr>
          <w:p w14:paraId="0E4907F1" w14:textId="77777777" w:rsidR="00000000" w:rsidRDefault="00195E73">
            <w:pPr>
              <w:rPr>
                <w:rFonts w:eastAsia="Times New Roman"/>
                <w:sz w:val="20"/>
                <w:szCs w:val="20"/>
              </w:rPr>
            </w:pPr>
          </w:p>
        </w:tc>
        <w:tc>
          <w:tcPr>
            <w:tcW w:w="50" w:type="pct"/>
            <w:vAlign w:val="center"/>
            <w:hideMark/>
          </w:tcPr>
          <w:p w14:paraId="22C25F7A" w14:textId="77777777" w:rsidR="00000000" w:rsidRDefault="00195E73">
            <w:pPr>
              <w:rPr>
                <w:rFonts w:eastAsia="Times New Roman"/>
                <w:sz w:val="20"/>
                <w:szCs w:val="20"/>
              </w:rPr>
            </w:pPr>
          </w:p>
        </w:tc>
        <w:tc>
          <w:tcPr>
            <w:tcW w:w="583" w:type="pct"/>
            <w:vAlign w:val="center"/>
            <w:hideMark/>
          </w:tcPr>
          <w:p w14:paraId="15D58445" w14:textId="77777777" w:rsidR="00000000" w:rsidRDefault="00195E73">
            <w:pPr>
              <w:rPr>
                <w:rFonts w:eastAsia="Times New Roman"/>
                <w:sz w:val="20"/>
                <w:szCs w:val="20"/>
              </w:rPr>
            </w:pPr>
          </w:p>
        </w:tc>
        <w:tc>
          <w:tcPr>
            <w:tcW w:w="50" w:type="pct"/>
            <w:vAlign w:val="center"/>
            <w:hideMark/>
          </w:tcPr>
          <w:p w14:paraId="3B400057" w14:textId="77777777" w:rsidR="00000000" w:rsidRDefault="00195E73">
            <w:pPr>
              <w:rPr>
                <w:rFonts w:eastAsia="Times New Roman"/>
                <w:sz w:val="20"/>
                <w:szCs w:val="20"/>
              </w:rPr>
            </w:pPr>
          </w:p>
        </w:tc>
        <w:tc>
          <w:tcPr>
            <w:tcW w:w="5" w:type="pct"/>
            <w:vAlign w:val="center"/>
            <w:hideMark/>
          </w:tcPr>
          <w:p w14:paraId="2159E911" w14:textId="77777777" w:rsidR="00000000" w:rsidRDefault="00195E73">
            <w:pPr>
              <w:rPr>
                <w:rFonts w:eastAsia="Times New Roman"/>
                <w:sz w:val="20"/>
                <w:szCs w:val="20"/>
              </w:rPr>
            </w:pPr>
          </w:p>
        </w:tc>
        <w:tc>
          <w:tcPr>
            <w:tcW w:w="26" w:type="pct"/>
            <w:vAlign w:val="center"/>
            <w:hideMark/>
          </w:tcPr>
          <w:p w14:paraId="114EF464" w14:textId="77777777" w:rsidR="00000000" w:rsidRDefault="00195E73">
            <w:pPr>
              <w:rPr>
                <w:rFonts w:eastAsia="Times New Roman"/>
                <w:sz w:val="20"/>
                <w:szCs w:val="20"/>
              </w:rPr>
            </w:pPr>
          </w:p>
        </w:tc>
        <w:tc>
          <w:tcPr>
            <w:tcW w:w="5" w:type="pct"/>
            <w:vAlign w:val="center"/>
            <w:hideMark/>
          </w:tcPr>
          <w:p w14:paraId="1D02512F" w14:textId="77777777" w:rsidR="00000000" w:rsidRDefault="00195E73">
            <w:pPr>
              <w:rPr>
                <w:rFonts w:eastAsia="Times New Roman"/>
                <w:sz w:val="20"/>
                <w:szCs w:val="20"/>
              </w:rPr>
            </w:pPr>
          </w:p>
        </w:tc>
        <w:tc>
          <w:tcPr>
            <w:tcW w:w="50" w:type="pct"/>
            <w:vAlign w:val="center"/>
            <w:hideMark/>
          </w:tcPr>
          <w:p w14:paraId="7CF13C08" w14:textId="77777777" w:rsidR="00000000" w:rsidRDefault="00195E73">
            <w:pPr>
              <w:rPr>
                <w:rFonts w:eastAsia="Times New Roman"/>
                <w:sz w:val="20"/>
                <w:szCs w:val="20"/>
              </w:rPr>
            </w:pPr>
          </w:p>
        </w:tc>
        <w:tc>
          <w:tcPr>
            <w:tcW w:w="583" w:type="pct"/>
            <w:vAlign w:val="center"/>
            <w:hideMark/>
          </w:tcPr>
          <w:p w14:paraId="4D98F571" w14:textId="77777777" w:rsidR="00000000" w:rsidRDefault="00195E73">
            <w:pPr>
              <w:rPr>
                <w:rFonts w:eastAsia="Times New Roman"/>
                <w:sz w:val="20"/>
                <w:szCs w:val="20"/>
              </w:rPr>
            </w:pPr>
          </w:p>
        </w:tc>
        <w:tc>
          <w:tcPr>
            <w:tcW w:w="50" w:type="pct"/>
            <w:vAlign w:val="center"/>
            <w:hideMark/>
          </w:tcPr>
          <w:p w14:paraId="000CD7AE" w14:textId="77777777" w:rsidR="00000000" w:rsidRDefault="00195E73">
            <w:pPr>
              <w:rPr>
                <w:rFonts w:eastAsia="Times New Roman"/>
                <w:sz w:val="20"/>
                <w:szCs w:val="20"/>
              </w:rPr>
            </w:pPr>
          </w:p>
        </w:tc>
      </w:tr>
      <w:tr w:rsidR="00000000" w14:paraId="33D033FA" w14:textId="77777777">
        <w:trPr>
          <w:gridAfter w:val="6"/>
          <w:divId w:val="573929859"/>
          <w:jc w:val="center"/>
        </w:trPr>
        <w:tc>
          <w:tcPr>
            <w:tcW w:w="0" w:type="auto"/>
            <w:gridSpan w:val="3"/>
            <w:tcMar>
              <w:top w:w="15" w:type="dxa"/>
              <w:left w:w="20" w:type="dxa"/>
              <w:bottom w:w="15" w:type="dxa"/>
              <w:right w:w="20" w:type="dxa"/>
            </w:tcMar>
            <w:vAlign w:val="bottom"/>
            <w:hideMark/>
          </w:tcPr>
          <w:p w14:paraId="28A480C6"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49ED0005" w14:textId="77777777" w:rsidR="00000000" w:rsidRDefault="00195E73">
            <w:pPr>
              <w:jc w:val="center"/>
              <w:rPr>
                <w:rFonts w:eastAsia="Times New Roman"/>
              </w:rPr>
            </w:pPr>
            <w:r>
              <w:rPr>
                <w:rFonts w:eastAsia="Times New Roman"/>
                <w:b/>
                <w:bCs/>
                <w:color w:val="000000"/>
                <w:sz w:val="18"/>
                <w:szCs w:val="18"/>
              </w:rPr>
              <w:t>December 31, 201</w:t>
            </w:r>
            <w:r>
              <w:rPr>
                <w:rFonts w:eastAsia="Times New Roman"/>
                <w:b/>
                <w:bCs/>
                <w:color w:val="000000"/>
                <w:sz w:val="18"/>
                <w:szCs w:val="18"/>
              </w:rPr>
              <w:t>9</w:t>
            </w:r>
          </w:p>
        </w:tc>
        <w:tc>
          <w:tcPr>
            <w:tcW w:w="0" w:type="auto"/>
            <w:gridSpan w:val="3"/>
            <w:vAlign w:val="center"/>
            <w:hideMark/>
          </w:tcPr>
          <w:p w14:paraId="24268A26" w14:textId="77777777" w:rsidR="00000000" w:rsidRDefault="00195E73">
            <w:pPr>
              <w:jc w:val="center"/>
              <w:rPr>
                <w:rFonts w:eastAsia="Times New Roman"/>
              </w:rPr>
            </w:pPr>
          </w:p>
        </w:tc>
        <w:tc>
          <w:tcPr>
            <w:tcW w:w="0" w:type="auto"/>
            <w:gridSpan w:val="3"/>
            <w:vAlign w:val="center"/>
            <w:hideMark/>
          </w:tcPr>
          <w:p w14:paraId="758E8E7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8FC9A69"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0DBCA210" w14:textId="77777777" w:rsidR="00000000" w:rsidRDefault="00195E73">
            <w:pPr>
              <w:jc w:val="center"/>
              <w:rPr>
                <w:rFonts w:eastAsia="Times New Roman"/>
              </w:rPr>
            </w:pPr>
            <w:r>
              <w:rPr>
                <w:rFonts w:eastAsia="Times New Roman"/>
                <w:b/>
                <w:bCs/>
                <w:color w:val="000000"/>
                <w:sz w:val="18"/>
                <w:szCs w:val="18"/>
              </w:rPr>
              <w:t>December 31, 201</w:t>
            </w:r>
            <w:r>
              <w:rPr>
                <w:rFonts w:eastAsia="Times New Roman"/>
                <w:b/>
                <w:bCs/>
                <w:color w:val="000000"/>
                <w:sz w:val="18"/>
                <w:szCs w:val="18"/>
              </w:rPr>
              <w:t>8</w:t>
            </w:r>
          </w:p>
        </w:tc>
        <w:tc>
          <w:tcPr>
            <w:tcW w:w="0" w:type="auto"/>
            <w:gridSpan w:val="3"/>
            <w:vAlign w:val="center"/>
            <w:hideMark/>
          </w:tcPr>
          <w:p w14:paraId="18A1F34A" w14:textId="77777777" w:rsidR="00000000" w:rsidRDefault="00195E73">
            <w:pPr>
              <w:jc w:val="center"/>
              <w:rPr>
                <w:rFonts w:eastAsia="Times New Roman"/>
              </w:rPr>
            </w:pPr>
          </w:p>
        </w:tc>
        <w:tc>
          <w:tcPr>
            <w:tcW w:w="0" w:type="auto"/>
            <w:gridSpan w:val="3"/>
            <w:vAlign w:val="center"/>
            <w:hideMark/>
          </w:tcPr>
          <w:p w14:paraId="17FF2F8F" w14:textId="77777777" w:rsidR="00000000" w:rsidRDefault="00195E73">
            <w:pPr>
              <w:rPr>
                <w:rFonts w:eastAsia="Times New Roman"/>
                <w:sz w:val="20"/>
                <w:szCs w:val="20"/>
              </w:rPr>
            </w:pPr>
          </w:p>
        </w:tc>
      </w:tr>
      <w:tr w:rsidR="00000000" w14:paraId="71C243EA" w14:textId="77777777">
        <w:trPr>
          <w:gridAfter w:val="6"/>
          <w:divId w:val="573929859"/>
          <w:jc w:val="center"/>
        </w:trPr>
        <w:tc>
          <w:tcPr>
            <w:tcW w:w="0" w:type="auto"/>
            <w:gridSpan w:val="3"/>
            <w:tcMar>
              <w:top w:w="30" w:type="dxa"/>
              <w:left w:w="20" w:type="dxa"/>
              <w:bottom w:w="30" w:type="dxa"/>
              <w:right w:w="20" w:type="dxa"/>
            </w:tcMar>
            <w:vAlign w:val="bottom"/>
            <w:hideMark/>
          </w:tcPr>
          <w:p w14:paraId="5566CC0B" w14:textId="77777777" w:rsidR="00000000" w:rsidRDefault="00195E73">
            <w:pPr>
              <w:rPr>
                <w:rFonts w:eastAsia="Times New Roman"/>
              </w:rPr>
            </w:pPr>
            <w:r>
              <w:rPr>
                <w:rFonts w:eastAsia="Times New Roman"/>
                <w:b/>
                <w:bCs/>
                <w:color w:val="000000"/>
                <w:sz w:val="20"/>
                <w:szCs w:val="20"/>
              </w:rPr>
              <w:t> </w:t>
            </w: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3AEB41C" w14:textId="77777777" w:rsidR="00000000" w:rsidRDefault="00195E73">
            <w:pPr>
              <w:jc w:val="center"/>
              <w:rPr>
                <w:rFonts w:eastAsia="Times New Roman"/>
              </w:rPr>
            </w:pPr>
            <w:r>
              <w:rPr>
                <w:rFonts w:eastAsia="Times New Roman"/>
                <w:b/>
                <w:bCs/>
                <w:color w:val="000000"/>
                <w:sz w:val="18"/>
                <w:szCs w:val="18"/>
              </w:rPr>
              <w:t>Long Notional Exposur</w:t>
            </w:r>
            <w:r>
              <w:rPr>
                <w:rFonts w:eastAsia="Times New Roman"/>
                <w:b/>
                <w:bCs/>
                <w:color w:val="000000"/>
                <w:sz w:val="18"/>
                <w:szCs w:val="18"/>
              </w:rPr>
              <w:t>e</w:t>
            </w:r>
          </w:p>
        </w:tc>
        <w:tc>
          <w:tcPr>
            <w:tcW w:w="0" w:type="auto"/>
            <w:gridSpan w:val="3"/>
            <w:tcBorders>
              <w:top w:val="single" w:sz="8" w:space="0" w:color="000000"/>
            </w:tcBorders>
            <w:tcMar>
              <w:top w:w="15" w:type="dxa"/>
              <w:left w:w="20" w:type="dxa"/>
              <w:bottom w:w="15" w:type="dxa"/>
              <w:right w:w="20" w:type="dxa"/>
            </w:tcMar>
            <w:vAlign w:val="bottom"/>
            <w:hideMark/>
          </w:tcPr>
          <w:p w14:paraId="40408883"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6C1EA7A" w14:textId="77777777" w:rsidR="00000000" w:rsidRDefault="00195E73">
            <w:pPr>
              <w:jc w:val="center"/>
              <w:rPr>
                <w:rFonts w:eastAsia="Times New Roman"/>
              </w:rPr>
            </w:pPr>
            <w:r>
              <w:rPr>
                <w:rFonts w:eastAsia="Times New Roman"/>
                <w:b/>
                <w:bCs/>
                <w:color w:val="000000"/>
                <w:sz w:val="18"/>
                <w:szCs w:val="18"/>
              </w:rPr>
              <w:t>Short Notional Exposur</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14:paraId="584CF87A"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BE535F7" w14:textId="77777777" w:rsidR="00000000" w:rsidRDefault="00195E73">
            <w:pPr>
              <w:jc w:val="center"/>
              <w:rPr>
                <w:rFonts w:eastAsia="Times New Roman"/>
              </w:rPr>
            </w:pPr>
            <w:r>
              <w:rPr>
                <w:rFonts w:eastAsia="Times New Roman"/>
                <w:b/>
                <w:bCs/>
                <w:color w:val="000000"/>
                <w:sz w:val="18"/>
                <w:szCs w:val="18"/>
              </w:rPr>
              <w:t>Long Notional Exposur</w:t>
            </w:r>
            <w:r>
              <w:rPr>
                <w:rFonts w:eastAsia="Times New Roman"/>
                <w:b/>
                <w:bCs/>
                <w:color w:val="000000"/>
                <w:sz w:val="18"/>
                <w:szCs w:val="18"/>
              </w:rPr>
              <w:t>e</w:t>
            </w:r>
          </w:p>
        </w:tc>
        <w:tc>
          <w:tcPr>
            <w:tcW w:w="0" w:type="auto"/>
            <w:gridSpan w:val="3"/>
            <w:tcBorders>
              <w:top w:val="single" w:sz="8" w:space="0" w:color="000000"/>
            </w:tcBorders>
            <w:tcMar>
              <w:top w:w="15" w:type="dxa"/>
              <w:left w:w="20" w:type="dxa"/>
              <w:bottom w:w="15" w:type="dxa"/>
              <w:right w:w="20" w:type="dxa"/>
            </w:tcMar>
            <w:vAlign w:val="bottom"/>
            <w:hideMark/>
          </w:tcPr>
          <w:p w14:paraId="43540FCF"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AEF5231" w14:textId="77777777" w:rsidR="00000000" w:rsidRDefault="00195E73">
            <w:pPr>
              <w:jc w:val="center"/>
              <w:rPr>
                <w:rFonts w:eastAsia="Times New Roman"/>
              </w:rPr>
            </w:pPr>
            <w:r>
              <w:rPr>
                <w:rFonts w:eastAsia="Times New Roman"/>
                <w:b/>
                <w:bCs/>
                <w:color w:val="000000"/>
                <w:sz w:val="18"/>
                <w:szCs w:val="18"/>
              </w:rPr>
              <w:t>Short Notional Exposur</w:t>
            </w:r>
            <w:r>
              <w:rPr>
                <w:rFonts w:eastAsia="Times New Roman"/>
                <w:b/>
                <w:bCs/>
                <w:color w:val="000000"/>
                <w:sz w:val="18"/>
                <w:szCs w:val="18"/>
              </w:rPr>
              <w:t>e</w:t>
            </w:r>
          </w:p>
        </w:tc>
        <w:tc>
          <w:tcPr>
            <w:tcW w:w="0" w:type="auto"/>
            <w:vAlign w:val="center"/>
            <w:hideMark/>
          </w:tcPr>
          <w:p w14:paraId="1A30DB0C" w14:textId="77777777" w:rsidR="00000000" w:rsidRDefault="00195E73">
            <w:pPr>
              <w:rPr>
                <w:rFonts w:eastAsia="Times New Roman"/>
                <w:sz w:val="20"/>
                <w:szCs w:val="20"/>
              </w:rPr>
            </w:pPr>
          </w:p>
        </w:tc>
        <w:tc>
          <w:tcPr>
            <w:tcW w:w="0" w:type="auto"/>
            <w:vAlign w:val="center"/>
            <w:hideMark/>
          </w:tcPr>
          <w:p w14:paraId="5F502C81" w14:textId="77777777" w:rsidR="00000000" w:rsidRDefault="00195E73">
            <w:pPr>
              <w:rPr>
                <w:rFonts w:eastAsia="Times New Roman"/>
                <w:sz w:val="20"/>
                <w:szCs w:val="20"/>
              </w:rPr>
            </w:pPr>
          </w:p>
        </w:tc>
        <w:tc>
          <w:tcPr>
            <w:tcW w:w="0" w:type="auto"/>
            <w:vAlign w:val="center"/>
            <w:hideMark/>
          </w:tcPr>
          <w:p w14:paraId="21C84634" w14:textId="77777777" w:rsidR="00000000" w:rsidRDefault="00195E73">
            <w:pPr>
              <w:rPr>
                <w:rFonts w:eastAsia="Times New Roman"/>
                <w:sz w:val="20"/>
                <w:szCs w:val="20"/>
              </w:rPr>
            </w:pPr>
          </w:p>
        </w:tc>
        <w:tc>
          <w:tcPr>
            <w:tcW w:w="0" w:type="auto"/>
            <w:vAlign w:val="center"/>
            <w:hideMark/>
          </w:tcPr>
          <w:p w14:paraId="1B39FD9A" w14:textId="77777777" w:rsidR="00000000" w:rsidRDefault="00195E73">
            <w:pPr>
              <w:rPr>
                <w:rFonts w:eastAsia="Times New Roman"/>
                <w:sz w:val="20"/>
                <w:szCs w:val="20"/>
              </w:rPr>
            </w:pPr>
          </w:p>
        </w:tc>
        <w:tc>
          <w:tcPr>
            <w:tcW w:w="0" w:type="auto"/>
            <w:vAlign w:val="center"/>
            <w:hideMark/>
          </w:tcPr>
          <w:p w14:paraId="1AC2C614" w14:textId="77777777" w:rsidR="00000000" w:rsidRDefault="00195E73">
            <w:pPr>
              <w:rPr>
                <w:rFonts w:eastAsia="Times New Roman"/>
                <w:sz w:val="20"/>
                <w:szCs w:val="20"/>
              </w:rPr>
            </w:pPr>
          </w:p>
        </w:tc>
        <w:tc>
          <w:tcPr>
            <w:tcW w:w="0" w:type="auto"/>
            <w:vAlign w:val="center"/>
            <w:hideMark/>
          </w:tcPr>
          <w:p w14:paraId="3D35AB88" w14:textId="77777777" w:rsidR="00000000" w:rsidRDefault="00195E73">
            <w:pPr>
              <w:rPr>
                <w:rFonts w:eastAsia="Times New Roman"/>
                <w:sz w:val="20"/>
                <w:szCs w:val="20"/>
              </w:rPr>
            </w:pPr>
          </w:p>
        </w:tc>
        <w:tc>
          <w:tcPr>
            <w:tcW w:w="0" w:type="auto"/>
            <w:vAlign w:val="center"/>
            <w:hideMark/>
          </w:tcPr>
          <w:p w14:paraId="4F025812" w14:textId="77777777" w:rsidR="00000000" w:rsidRDefault="00195E73">
            <w:pPr>
              <w:rPr>
                <w:rFonts w:eastAsia="Times New Roman"/>
                <w:sz w:val="20"/>
                <w:szCs w:val="20"/>
              </w:rPr>
            </w:pPr>
          </w:p>
        </w:tc>
        <w:tc>
          <w:tcPr>
            <w:tcW w:w="0" w:type="auto"/>
            <w:vAlign w:val="center"/>
            <w:hideMark/>
          </w:tcPr>
          <w:p w14:paraId="27F99850" w14:textId="77777777" w:rsidR="00000000" w:rsidRDefault="00195E73">
            <w:pPr>
              <w:rPr>
                <w:rFonts w:eastAsia="Times New Roman"/>
                <w:sz w:val="20"/>
                <w:szCs w:val="20"/>
              </w:rPr>
            </w:pPr>
          </w:p>
        </w:tc>
        <w:tc>
          <w:tcPr>
            <w:tcW w:w="0" w:type="auto"/>
            <w:vAlign w:val="center"/>
            <w:hideMark/>
          </w:tcPr>
          <w:p w14:paraId="2D54EC83" w14:textId="77777777" w:rsidR="00000000" w:rsidRDefault="00195E73">
            <w:pPr>
              <w:rPr>
                <w:rFonts w:eastAsia="Times New Roman"/>
                <w:sz w:val="20"/>
                <w:szCs w:val="20"/>
              </w:rPr>
            </w:pPr>
          </w:p>
        </w:tc>
        <w:tc>
          <w:tcPr>
            <w:tcW w:w="0" w:type="auto"/>
            <w:vAlign w:val="center"/>
            <w:hideMark/>
          </w:tcPr>
          <w:p w14:paraId="2E0220F4" w14:textId="77777777" w:rsidR="00000000" w:rsidRDefault="00195E73">
            <w:pPr>
              <w:rPr>
                <w:rFonts w:eastAsia="Times New Roman"/>
                <w:sz w:val="20"/>
                <w:szCs w:val="20"/>
              </w:rPr>
            </w:pPr>
          </w:p>
        </w:tc>
        <w:tc>
          <w:tcPr>
            <w:tcW w:w="0" w:type="auto"/>
            <w:vAlign w:val="center"/>
            <w:hideMark/>
          </w:tcPr>
          <w:p w14:paraId="22B6EF6F" w14:textId="77777777" w:rsidR="00000000" w:rsidRDefault="00195E73">
            <w:pPr>
              <w:rPr>
                <w:rFonts w:eastAsia="Times New Roman"/>
                <w:sz w:val="20"/>
                <w:szCs w:val="20"/>
              </w:rPr>
            </w:pPr>
          </w:p>
        </w:tc>
        <w:tc>
          <w:tcPr>
            <w:tcW w:w="0" w:type="auto"/>
            <w:vAlign w:val="center"/>
            <w:hideMark/>
          </w:tcPr>
          <w:p w14:paraId="5F0C310A" w14:textId="77777777" w:rsidR="00000000" w:rsidRDefault="00195E73">
            <w:pPr>
              <w:rPr>
                <w:rFonts w:eastAsia="Times New Roman"/>
                <w:sz w:val="20"/>
                <w:szCs w:val="20"/>
              </w:rPr>
            </w:pPr>
          </w:p>
        </w:tc>
      </w:tr>
      <w:tr w:rsidR="00000000" w14:paraId="4B328984" w14:textId="77777777">
        <w:trPr>
          <w:divId w:val="573929859"/>
          <w:jc w:val="center"/>
        </w:trPr>
        <w:tc>
          <w:tcPr>
            <w:tcW w:w="0" w:type="auto"/>
            <w:gridSpan w:val="3"/>
            <w:tcMar>
              <w:top w:w="30" w:type="dxa"/>
              <w:left w:w="20" w:type="dxa"/>
              <w:bottom w:w="30" w:type="dxa"/>
              <w:right w:w="20" w:type="dxa"/>
            </w:tcMar>
            <w:vAlign w:val="bottom"/>
            <w:hideMark/>
          </w:tcPr>
          <w:p w14:paraId="44B46ECE" w14:textId="77777777" w:rsidR="00000000" w:rsidRDefault="00195E73">
            <w:pPr>
              <w:rPr>
                <w:rFonts w:eastAsia="Times New Roman"/>
              </w:rPr>
            </w:pPr>
            <w:r>
              <w:rPr>
                <w:rFonts w:eastAsia="Times New Roman"/>
                <w:color w:val="000000"/>
                <w:sz w:val="20"/>
                <w:szCs w:val="20"/>
              </w:rPr>
              <w:t>Primary underlying risk</w:t>
            </w:r>
            <w:r>
              <w:rPr>
                <w:rFonts w:eastAsia="Times New Roman"/>
                <w:color w:val="000000"/>
                <w:sz w:val="20"/>
                <w:szCs w:val="20"/>
              </w:rPr>
              <w:t>:</w:t>
            </w:r>
          </w:p>
        </w:tc>
        <w:tc>
          <w:tcPr>
            <w:tcW w:w="0" w:type="auto"/>
            <w:gridSpan w:val="21"/>
            <w:tcBorders>
              <w:top w:val="single" w:sz="8" w:space="0" w:color="000000"/>
            </w:tcBorders>
            <w:tcMar>
              <w:top w:w="30" w:type="dxa"/>
              <w:left w:w="20" w:type="dxa"/>
              <w:bottom w:w="30" w:type="dxa"/>
              <w:right w:w="20" w:type="dxa"/>
            </w:tcMar>
            <w:vAlign w:val="bottom"/>
            <w:hideMark/>
          </w:tcPr>
          <w:p w14:paraId="590BA5FB"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2EEB8386" w14:textId="77777777" w:rsidR="00000000" w:rsidRDefault="00195E73">
            <w:pPr>
              <w:jc w:val="center"/>
              <w:rPr>
                <w:rFonts w:eastAsia="Times New Roman"/>
              </w:rPr>
            </w:pPr>
          </w:p>
        </w:tc>
        <w:tc>
          <w:tcPr>
            <w:tcW w:w="0" w:type="auto"/>
            <w:gridSpan w:val="3"/>
            <w:vAlign w:val="center"/>
            <w:hideMark/>
          </w:tcPr>
          <w:p w14:paraId="1C217064" w14:textId="77777777" w:rsidR="00000000" w:rsidRDefault="00195E73">
            <w:pPr>
              <w:rPr>
                <w:rFonts w:eastAsia="Times New Roman"/>
                <w:sz w:val="20"/>
                <w:szCs w:val="20"/>
              </w:rPr>
            </w:pPr>
          </w:p>
        </w:tc>
        <w:tc>
          <w:tcPr>
            <w:tcW w:w="0" w:type="auto"/>
            <w:gridSpan w:val="3"/>
            <w:vAlign w:val="center"/>
            <w:hideMark/>
          </w:tcPr>
          <w:p w14:paraId="49E17575" w14:textId="77777777" w:rsidR="00000000" w:rsidRDefault="00195E73">
            <w:pPr>
              <w:rPr>
                <w:rFonts w:eastAsia="Times New Roman"/>
                <w:sz w:val="20"/>
                <w:szCs w:val="20"/>
              </w:rPr>
            </w:pPr>
          </w:p>
        </w:tc>
        <w:tc>
          <w:tcPr>
            <w:tcW w:w="0" w:type="auto"/>
            <w:gridSpan w:val="3"/>
            <w:vAlign w:val="center"/>
            <w:hideMark/>
          </w:tcPr>
          <w:p w14:paraId="6963EE21" w14:textId="77777777" w:rsidR="00000000" w:rsidRDefault="00195E73">
            <w:pPr>
              <w:rPr>
                <w:rFonts w:eastAsia="Times New Roman"/>
                <w:sz w:val="20"/>
                <w:szCs w:val="20"/>
              </w:rPr>
            </w:pPr>
          </w:p>
        </w:tc>
        <w:tc>
          <w:tcPr>
            <w:tcW w:w="0" w:type="auto"/>
            <w:gridSpan w:val="3"/>
            <w:vAlign w:val="center"/>
            <w:hideMark/>
          </w:tcPr>
          <w:p w14:paraId="39B36605" w14:textId="77777777" w:rsidR="00000000" w:rsidRDefault="00195E73">
            <w:pPr>
              <w:rPr>
                <w:rFonts w:eastAsia="Times New Roman"/>
                <w:sz w:val="20"/>
                <w:szCs w:val="20"/>
              </w:rPr>
            </w:pPr>
          </w:p>
        </w:tc>
        <w:tc>
          <w:tcPr>
            <w:tcW w:w="0" w:type="auto"/>
            <w:gridSpan w:val="3"/>
            <w:vAlign w:val="center"/>
            <w:hideMark/>
          </w:tcPr>
          <w:p w14:paraId="325D9539" w14:textId="77777777" w:rsidR="00000000" w:rsidRDefault="00195E73">
            <w:pPr>
              <w:rPr>
                <w:rFonts w:eastAsia="Times New Roman"/>
                <w:sz w:val="20"/>
                <w:szCs w:val="20"/>
              </w:rPr>
            </w:pPr>
          </w:p>
        </w:tc>
      </w:tr>
      <w:tr w:rsidR="00000000" w14:paraId="141739FB" w14:textId="77777777">
        <w:trPr>
          <w:divId w:val="573929859"/>
          <w:jc w:val="center"/>
        </w:trPr>
        <w:tc>
          <w:tcPr>
            <w:tcW w:w="0" w:type="auto"/>
            <w:gridSpan w:val="3"/>
            <w:shd w:val="clear" w:color="auto" w:fill="CCEEFF"/>
            <w:tcMar>
              <w:top w:w="30" w:type="dxa"/>
              <w:left w:w="225" w:type="dxa"/>
              <w:bottom w:w="30" w:type="dxa"/>
              <w:right w:w="20" w:type="dxa"/>
            </w:tcMar>
            <w:vAlign w:val="bottom"/>
            <w:hideMark/>
          </w:tcPr>
          <w:p w14:paraId="6CD276AD" w14:textId="77777777" w:rsidR="00000000" w:rsidRDefault="00195E73">
            <w:pPr>
              <w:rPr>
                <w:rFonts w:eastAsia="Times New Roman"/>
              </w:rPr>
            </w:pPr>
            <w:r>
              <w:rPr>
                <w:rFonts w:eastAsia="Times New Roman"/>
                <w:color w:val="000000"/>
                <w:sz w:val="20"/>
                <w:szCs w:val="20"/>
              </w:rPr>
              <w:t>Equity contract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611FB00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7AFD23C" w14:textId="77777777" w:rsidR="00000000" w:rsidRDefault="00195E73">
            <w:pPr>
              <w:jc w:val="right"/>
              <w:rPr>
                <w:rFonts w:eastAsia="Times New Roman"/>
              </w:rPr>
            </w:pPr>
            <w:r>
              <w:rPr>
                <w:rFonts w:eastAsia="Times New Roman"/>
                <w:color w:val="000000"/>
                <w:sz w:val="20"/>
                <w:szCs w:val="20"/>
              </w:rPr>
              <w:t>806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F21004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15157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3E43B8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5CBD18D" w14:textId="77777777" w:rsidR="00000000" w:rsidRDefault="00195E73">
            <w:pPr>
              <w:jc w:val="right"/>
              <w:rPr>
                <w:rFonts w:eastAsia="Times New Roman"/>
              </w:rPr>
            </w:pPr>
            <w:r>
              <w:rPr>
                <w:rFonts w:eastAsia="Times New Roman"/>
                <w:color w:val="000000"/>
                <w:sz w:val="20"/>
                <w:szCs w:val="20"/>
              </w:rPr>
              <w:t>13,113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732FA9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C37F8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C00BC6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349A600" w14:textId="77777777" w:rsidR="00000000" w:rsidRDefault="00195E73">
            <w:pPr>
              <w:jc w:val="right"/>
              <w:rPr>
                <w:rFonts w:eastAsia="Times New Roman"/>
              </w:rPr>
            </w:pPr>
            <w:r>
              <w:rPr>
                <w:rFonts w:eastAsia="Times New Roman"/>
                <w:color w:val="000000"/>
                <w:sz w:val="20"/>
                <w:szCs w:val="20"/>
              </w:rPr>
              <w:t>118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B71FFE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7319B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DAE2EF7"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E4C7706" w14:textId="77777777" w:rsidR="00000000" w:rsidRDefault="00195E73">
            <w:pPr>
              <w:jc w:val="right"/>
              <w:rPr>
                <w:rFonts w:eastAsia="Times New Roman"/>
              </w:rPr>
            </w:pPr>
            <w:r>
              <w:rPr>
                <w:rFonts w:eastAsia="Times New Roman"/>
                <w:color w:val="000000"/>
                <w:sz w:val="20"/>
                <w:szCs w:val="20"/>
              </w:rPr>
              <w:t>8,368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67EEAF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E099C2B" w14:textId="77777777" w:rsidR="00000000" w:rsidRDefault="00195E73">
            <w:pPr>
              <w:rPr>
                <w:rFonts w:eastAsia="Times New Roman"/>
                <w:sz w:val="20"/>
                <w:szCs w:val="20"/>
              </w:rPr>
            </w:pPr>
          </w:p>
        </w:tc>
        <w:tc>
          <w:tcPr>
            <w:tcW w:w="0" w:type="auto"/>
            <w:vAlign w:val="center"/>
            <w:hideMark/>
          </w:tcPr>
          <w:p w14:paraId="71B8D032" w14:textId="77777777" w:rsidR="00000000" w:rsidRDefault="00195E73">
            <w:pPr>
              <w:rPr>
                <w:rFonts w:eastAsia="Times New Roman"/>
                <w:sz w:val="20"/>
                <w:szCs w:val="20"/>
              </w:rPr>
            </w:pPr>
          </w:p>
        </w:tc>
        <w:tc>
          <w:tcPr>
            <w:tcW w:w="0" w:type="auto"/>
            <w:vAlign w:val="center"/>
            <w:hideMark/>
          </w:tcPr>
          <w:p w14:paraId="5A17FF4E" w14:textId="77777777" w:rsidR="00000000" w:rsidRDefault="00195E73">
            <w:pPr>
              <w:rPr>
                <w:rFonts w:eastAsia="Times New Roman"/>
                <w:sz w:val="20"/>
                <w:szCs w:val="20"/>
              </w:rPr>
            </w:pPr>
          </w:p>
        </w:tc>
        <w:tc>
          <w:tcPr>
            <w:tcW w:w="0" w:type="auto"/>
            <w:vAlign w:val="center"/>
            <w:hideMark/>
          </w:tcPr>
          <w:p w14:paraId="65AA37F6" w14:textId="77777777" w:rsidR="00000000" w:rsidRDefault="00195E73">
            <w:pPr>
              <w:rPr>
                <w:rFonts w:eastAsia="Times New Roman"/>
                <w:sz w:val="20"/>
                <w:szCs w:val="20"/>
              </w:rPr>
            </w:pPr>
          </w:p>
        </w:tc>
        <w:tc>
          <w:tcPr>
            <w:tcW w:w="0" w:type="auto"/>
            <w:vAlign w:val="center"/>
            <w:hideMark/>
          </w:tcPr>
          <w:p w14:paraId="4E31D665" w14:textId="77777777" w:rsidR="00000000" w:rsidRDefault="00195E73">
            <w:pPr>
              <w:rPr>
                <w:rFonts w:eastAsia="Times New Roman"/>
                <w:sz w:val="20"/>
                <w:szCs w:val="20"/>
              </w:rPr>
            </w:pPr>
          </w:p>
        </w:tc>
        <w:tc>
          <w:tcPr>
            <w:tcW w:w="0" w:type="auto"/>
            <w:vAlign w:val="center"/>
            <w:hideMark/>
          </w:tcPr>
          <w:p w14:paraId="68FACE76" w14:textId="77777777" w:rsidR="00000000" w:rsidRDefault="00195E73">
            <w:pPr>
              <w:rPr>
                <w:rFonts w:eastAsia="Times New Roman"/>
                <w:sz w:val="20"/>
                <w:szCs w:val="20"/>
              </w:rPr>
            </w:pPr>
          </w:p>
        </w:tc>
        <w:tc>
          <w:tcPr>
            <w:tcW w:w="0" w:type="auto"/>
            <w:vAlign w:val="center"/>
            <w:hideMark/>
          </w:tcPr>
          <w:p w14:paraId="78CF62AD" w14:textId="77777777" w:rsidR="00000000" w:rsidRDefault="00195E73">
            <w:pPr>
              <w:rPr>
                <w:rFonts w:eastAsia="Times New Roman"/>
                <w:sz w:val="20"/>
                <w:szCs w:val="20"/>
              </w:rPr>
            </w:pPr>
          </w:p>
        </w:tc>
        <w:tc>
          <w:tcPr>
            <w:tcW w:w="0" w:type="auto"/>
            <w:vAlign w:val="center"/>
            <w:hideMark/>
          </w:tcPr>
          <w:p w14:paraId="47097092" w14:textId="77777777" w:rsidR="00000000" w:rsidRDefault="00195E73">
            <w:pPr>
              <w:rPr>
                <w:rFonts w:eastAsia="Times New Roman"/>
                <w:sz w:val="20"/>
                <w:szCs w:val="20"/>
              </w:rPr>
            </w:pPr>
          </w:p>
        </w:tc>
        <w:tc>
          <w:tcPr>
            <w:tcW w:w="0" w:type="auto"/>
            <w:vAlign w:val="center"/>
            <w:hideMark/>
          </w:tcPr>
          <w:p w14:paraId="50307644" w14:textId="77777777" w:rsidR="00000000" w:rsidRDefault="00195E73">
            <w:pPr>
              <w:rPr>
                <w:rFonts w:eastAsia="Times New Roman"/>
                <w:sz w:val="20"/>
                <w:szCs w:val="20"/>
              </w:rPr>
            </w:pPr>
          </w:p>
        </w:tc>
        <w:tc>
          <w:tcPr>
            <w:tcW w:w="0" w:type="auto"/>
            <w:vAlign w:val="center"/>
            <w:hideMark/>
          </w:tcPr>
          <w:p w14:paraId="6E35F7C0" w14:textId="77777777" w:rsidR="00000000" w:rsidRDefault="00195E73">
            <w:pPr>
              <w:rPr>
                <w:rFonts w:eastAsia="Times New Roman"/>
                <w:sz w:val="20"/>
                <w:szCs w:val="20"/>
              </w:rPr>
            </w:pPr>
          </w:p>
        </w:tc>
        <w:tc>
          <w:tcPr>
            <w:tcW w:w="0" w:type="auto"/>
            <w:vAlign w:val="center"/>
            <w:hideMark/>
          </w:tcPr>
          <w:p w14:paraId="276E73EB" w14:textId="77777777" w:rsidR="00000000" w:rsidRDefault="00195E73">
            <w:pPr>
              <w:rPr>
                <w:rFonts w:eastAsia="Times New Roman"/>
                <w:sz w:val="20"/>
                <w:szCs w:val="20"/>
              </w:rPr>
            </w:pPr>
          </w:p>
        </w:tc>
        <w:tc>
          <w:tcPr>
            <w:tcW w:w="0" w:type="auto"/>
            <w:vAlign w:val="center"/>
            <w:hideMark/>
          </w:tcPr>
          <w:p w14:paraId="5361B8E4" w14:textId="77777777" w:rsidR="00000000" w:rsidRDefault="00195E73">
            <w:pPr>
              <w:rPr>
                <w:rFonts w:eastAsia="Times New Roman"/>
                <w:sz w:val="20"/>
                <w:szCs w:val="20"/>
              </w:rPr>
            </w:pPr>
          </w:p>
        </w:tc>
        <w:tc>
          <w:tcPr>
            <w:tcW w:w="0" w:type="auto"/>
            <w:vAlign w:val="center"/>
            <w:hideMark/>
          </w:tcPr>
          <w:p w14:paraId="66FED758" w14:textId="77777777" w:rsidR="00000000" w:rsidRDefault="00195E73">
            <w:pPr>
              <w:rPr>
                <w:rFonts w:eastAsia="Times New Roman"/>
                <w:sz w:val="20"/>
                <w:szCs w:val="20"/>
              </w:rPr>
            </w:pPr>
          </w:p>
        </w:tc>
        <w:tc>
          <w:tcPr>
            <w:tcW w:w="0" w:type="auto"/>
            <w:vAlign w:val="center"/>
            <w:hideMark/>
          </w:tcPr>
          <w:p w14:paraId="599846F9" w14:textId="77777777" w:rsidR="00000000" w:rsidRDefault="00195E73">
            <w:pPr>
              <w:rPr>
                <w:rFonts w:eastAsia="Times New Roman"/>
                <w:sz w:val="20"/>
                <w:szCs w:val="20"/>
              </w:rPr>
            </w:pPr>
          </w:p>
        </w:tc>
        <w:tc>
          <w:tcPr>
            <w:tcW w:w="0" w:type="auto"/>
            <w:vAlign w:val="center"/>
            <w:hideMark/>
          </w:tcPr>
          <w:p w14:paraId="41E7AFE6" w14:textId="77777777" w:rsidR="00000000" w:rsidRDefault="00195E73">
            <w:pPr>
              <w:rPr>
                <w:rFonts w:eastAsia="Times New Roman"/>
                <w:sz w:val="20"/>
                <w:szCs w:val="20"/>
              </w:rPr>
            </w:pPr>
          </w:p>
        </w:tc>
        <w:tc>
          <w:tcPr>
            <w:tcW w:w="0" w:type="auto"/>
            <w:vAlign w:val="center"/>
            <w:hideMark/>
          </w:tcPr>
          <w:p w14:paraId="7053E48A" w14:textId="77777777" w:rsidR="00000000" w:rsidRDefault="00195E73">
            <w:pPr>
              <w:rPr>
                <w:rFonts w:eastAsia="Times New Roman"/>
                <w:sz w:val="20"/>
                <w:szCs w:val="20"/>
              </w:rPr>
            </w:pPr>
          </w:p>
        </w:tc>
        <w:tc>
          <w:tcPr>
            <w:tcW w:w="0" w:type="auto"/>
            <w:vAlign w:val="center"/>
            <w:hideMark/>
          </w:tcPr>
          <w:p w14:paraId="5D73881A" w14:textId="77777777" w:rsidR="00000000" w:rsidRDefault="00195E73">
            <w:pPr>
              <w:rPr>
                <w:rFonts w:eastAsia="Times New Roman"/>
                <w:sz w:val="20"/>
                <w:szCs w:val="20"/>
              </w:rPr>
            </w:pPr>
          </w:p>
        </w:tc>
        <w:tc>
          <w:tcPr>
            <w:tcW w:w="0" w:type="auto"/>
            <w:vAlign w:val="center"/>
            <w:hideMark/>
          </w:tcPr>
          <w:p w14:paraId="343944F5" w14:textId="77777777" w:rsidR="00000000" w:rsidRDefault="00195E73">
            <w:pPr>
              <w:rPr>
                <w:rFonts w:eastAsia="Times New Roman"/>
                <w:sz w:val="20"/>
                <w:szCs w:val="20"/>
              </w:rPr>
            </w:pPr>
          </w:p>
        </w:tc>
      </w:tr>
      <w:tr w:rsidR="00000000" w14:paraId="48C9D12D" w14:textId="77777777">
        <w:trPr>
          <w:divId w:val="573929859"/>
          <w:jc w:val="center"/>
        </w:trPr>
        <w:tc>
          <w:tcPr>
            <w:tcW w:w="0" w:type="auto"/>
            <w:gridSpan w:val="3"/>
            <w:vAlign w:val="center"/>
            <w:hideMark/>
          </w:tcPr>
          <w:p w14:paraId="5A1816E4" w14:textId="77777777" w:rsidR="00000000" w:rsidRDefault="00195E73">
            <w:pPr>
              <w:jc w:val="right"/>
              <w:rPr>
                <w:rFonts w:eastAsia="Times New Roman"/>
              </w:rPr>
            </w:pPr>
          </w:p>
        </w:tc>
        <w:tc>
          <w:tcPr>
            <w:tcW w:w="0" w:type="auto"/>
            <w:gridSpan w:val="3"/>
            <w:vAlign w:val="center"/>
            <w:hideMark/>
          </w:tcPr>
          <w:p w14:paraId="69331852" w14:textId="77777777" w:rsidR="00000000" w:rsidRDefault="00195E73">
            <w:pPr>
              <w:rPr>
                <w:rFonts w:eastAsia="Times New Roman"/>
                <w:sz w:val="20"/>
                <w:szCs w:val="20"/>
              </w:rPr>
            </w:pPr>
          </w:p>
        </w:tc>
        <w:tc>
          <w:tcPr>
            <w:tcW w:w="0" w:type="auto"/>
            <w:gridSpan w:val="3"/>
            <w:vAlign w:val="center"/>
            <w:hideMark/>
          </w:tcPr>
          <w:p w14:paraId="6838E66A" w14:textId="77777777" w:rsidR="00000000" w:rsidRDefault="00195E73">
            <w:pPr>
              <w:rPr>
                <w:rFonts w:eastAsia="Times New Roman"/>
                <w:sz w:val="20"/>
                <w:szCs w:val="20"/>
              </w:rPr>
            </w:pPr>
          </w:p>
        </w:tc>
        <w:tc>
          <w:tcPr>
            <w:tcW w:w="0" w:type="auto"/>
            <w:gridSpan w:val="3"/>
            <w:vAlign w:val="center"/>
            <w:hideMark/>
          </w:tcPr>
          <w:p w14:paraId="69EC6E89" w14:textId="77777777" w:rsidR="00000000" w:rsidRDefault="00195E73">
            <w:pPr>
              <w:rPr>
                <w:rFonts w:eastAsia="Times New Roman"/>
                <w:sz w:val="20"/>
                <w:szCs w:val="20"/>
              </w:rPr>
            </w:pPr>
          </w:p>
        </w:tc>
        <w:tc>
          <w:tcPr>
            <w:tcW w:w="0" w:type="auto"/>
            <w:gridSpan w:val="3"/>
            <w:vAlign w:val="center"/>
            <w:hideMark/>
          </w:tcPr>
          <w:p w14:paraId="2E596B8A" w14:textId="77777777" w:rsidR="00000000" w:rsidRDefault="00195E73">
            <w:pPr>
              <w:rPr>
                <w:rFonts w:eastAsia="Times New Roman"/>
                <w:sz w:val="20"/>
                <w:szCs w:val="20"/>
              </w:rPr>
            </w:pPr>
          </w:p>
        </w:tc>
        <w:tc>
          <w:tcPr>
            <w:tcW w:w="0" w:type="auto"/>
            <w:gridSpan w:val="3"/>
            <w:vAlign w:val="center"/>
            <w:hideMark/>
          </w:tcPr>
          <w:p w14:paraId="377F6AF2" w14:textId="77777777" w:rsidR="00000000" w:rsidRDefault="00195E73">
            <w:pPr>
              <w:rPr>
                <w:rFonts w:eastAsia="Times New Roman"/>
                <w:sz w:val="20"/>
                <w:szCs w:val="20"/>
              </w:rPr>
            </w:pPr>
          </w:p>
        </w:tc>
        <w:tc>
          <w:tcPr>
            <w:tcW w:w="0" w:type="auto"/>
            <w:gridSpan w:val="3"/>
            <w:vAlign w:val="center"/>
            <w:hideMark/>
          </w:tcPr>
          <w:p w14:paraId="2E368947" w14:textId="77777777" w:rsidR="00000000" w:rsidRDefault="00195E73">
            <w:pPr>
              <w:rPr>
                <w:rFonts w:eastAsia="Times New Roman"/>
                <w:sz w:val="20"/>
                <w:szCs w:val="20"/>
              </w:rPr>
            </w:pPr>
          </w:p>
        </w:tc>
        <w:tc>
          <w:tcPr>
            <w:tcW w:w="0" w:type="auto"/>
            <w:gridSpan w:val="3"/>
            <w:vAlign w:val="center"/>
            <w:hideMark/>
          </w:tcPr>
          <w:p w14:paraId="7D3D2794" w14:textId="77777777" w:rsidR="00000000" w:rsidRDefault="00195E73">
            <w:pPr>
              <w:rPr>
                <w:rFonts w:eastAsia="Times New Roman"/>
                <w:sz w:val="20"/>
                <w:szCs w:val="20"/>
              </w:rPr>
            </w:pPr>
          </w:p>
        </w:tc>
        <w:tc>
          <w:tcPr>
            <w:tcW w:w="0" w:type="auto"/>
            <w:vAlign w:val="center"/>
            <w:hideMark/>
          </w:tcPr>
          <w:p w14:paraId="2E246136" w14:textId="77777777" w:rsidR="00000000" w:rsidRDefault="00195E73">
            <w:pPr>
              <w:rPr>
                <w:rFonts w:eastAsia="Times New Roman"/>
                <w:sz w:val="20"/>
                <w:szCs w:val="20"/>
              </w:rPr>
            </w:pPr>
          </w:p>
        </w:tc>
        <w:tc>
          <w:tcPr>
            <w:tcW w:w="0" w:type="auto"/>
            <w:vAlign w:val="center"/>
            <w:hideMark/>
          </w:tcPr>
          <w:p w14:paraId="44B2259D" w14:textId="77777777" w:rsidR="00000000" w:rsidRDefault="00195E73">
            <w:pPr>
              <w:rPr>
                <w:rFonts w:eastAsia="Times New Roman"/>
                <w:sz w:val="20"/>
                <w:szCs w:val="20"/>
              </w:rPr>
            </w:pPr>
          </w:p>
        </w:tc>
        <w:tc>
          <w:tcPr>
            <w:tcW w:w="0" w:type="auto"/>
            <w:vAlign w:val="center"/>
            <w:hideMark/>
          </w:tcPr>
          <w:p w14:paraId="0159DF71" w14:textId="77777777" w:rsidR="00000000" w:rsidRDefault="00195E73">
            <w:pPr>
              <w:rPr>
                <w:rFonts w:eastAsia="Times New Roman"/>
                <w:sz w:val="20"/>
                <w:szCs w:val="20"/>
              </w:rPr>
            </w:pPr>
          </w:p>
        </w:tc>
        <w:tc>
          <w:tcPr>
            <w:tcW w:w="0" w:type="auto"/>
            <w:vAlign w:val="center"/>
            <w:hideMark/>
          </w:tcPr>
          <w:p w14:paraId="6FDD98A3" w14:textId="77777777" w:rsidR="00000000" w:rsidRDefault="00195E73">
            <w:pPr>
              <w:rPr>
                <w:rFonts w:eastAsia="Times New Roman"/>
                <w:sz w:val="20"/>
                <w:szCs w:val="20"/>
              </w:rPr>
            </w:pPr>
          </w:p>
        </w:tc>
        <w:tc>
          <w:tcPr>
            <w:tcW w:w="0" w:type="auto"/>
            <w:vAlign w:val="center"/>
            <w:hideMark/>
          </w:tcPr>
          <w:p w14:paraId="233593F6" w14:textId="77777777" w:rsidR="00000000" w:rsidRDefault="00195E73">
            <w:pPr>
              <w:rPr>
                <w:rFonts w:eastAsia="Times New Roman"/>
                <w:sz w:val="20"/>
                <w:szCs w:val="20"/>
              </w:rPr>
            </w:pPr>
          </w:p>
        </w:tc>
        <w:tc>
          <w:tcPr>
            <w:tcW w:w="0" w:type="auto"/>
            <w:vAlign w:val="center"/>
            <w:hideMark/>
          </w:tcPr>
          <w:p w14:paraId="597A1537" w14:textId="77777777" w:rsidR="00000000" w:rsidRDefault="00195E73">
            <w:pPr>
              <w:rPr>
                <w:rFonts w:eastAsia="Times New Roman"/>
                <w:sz w:val="20"/>
                <w:szCs w:val="20"/>
              </w:rPr>
            </w:pPr>
          </w:p>
        </w:tc>
        <w:tc>
          <w:tcPr>
            <w:tcW w:w="0" w:type="auto"/>
            <w:vAlign w:val="center"/>
            <w:hideMark/>
          </w:tcPr>
          <w:p w14:paraId="3B8CB872" w14:textId="77777777" w:rsidR="00000000" w:rsidRDefault="00195E73">
            <w:pPr>
              <w:rPr>
                <w:rFonts w:eastAsia="Times New Roman"/>
                <w:sz w:val="20"/>
                <w:szCs w:val="20"/>
              </w:rPr>
            </w:pPr>
          </w:p>
        </w:tc>
        <w:tc>
          <w:tcPr>
            <w:tcW w:w="0" w:type="auto"/>
            <w:vAlign w:val="center"/>
            <w:hideMark/>
          </w:tcPr>
          <w:p w14:paraId="208CC29C" w14:textId="77777777" w:rsidR="00000000" w:rsidRDefault="00195E73">
            <w:pPr>
              <w:rPr>
                <w:rFonts w:eastAsia="Times New Roman"/>
                <w:sz w:val="20"/>
                <w:szCs w:val="20"/>
              </w:rPr>
            </w:pPr>
          </w:p>
        </w:tc>
        <w:tc>
          <w:tcPr>
            <w:tcW w:w="0" w:type="auto"/>
            <w:vAlign w:val="center"/>
            <w:hideMark/>
          </w:tcPr>
          <w:p w14:paraId="5312A24D" w14:textId="77777777" w:rsidR="00000000" w:rsidRDefault="00195E73">
            <w:pPr>
              <w:rPr>
                <w:rFonts w:eastAsia="Times New Roman"/>
                <w:sz w:val="20"/>
                <w:szCs w:val="20"/>
              </w:rPr>
            </w:pPr>
          </w:p>
        </w:tc>
        <w:tc>
          <w:tcPr>
            <w:tcW w:w="0" w:type="auto"/>
            <w:vAlign w:val="center"/>
            <w:hideMark/>
          </w:tcPr>
          <w:p w14:paraId="0CE956B1" w14:textId="77777777" w:rsidR="00000000" w:rsidRDefault="00195E73">
            <w:pPr>
              <w:rPr>
                <w:rFonts w:eastAsia="Times New Roman"/>
                <w:sz w:val="20"/>
                <w:szCs w:val="20"/>
              </w:rPr>
            </w:pPr>
          </w:p>
        </w:tc>
        <w:tc>
          <w:tcPr>
            <w:tcW w:w="0" w:type="auto"/>
            <w:vAlign w:val="center"/>
            <w:hideMark/>
          </w:tcPr>
          <w:p w14:paraId="6EAF7B4C" w14:textId="77777777" w:rsidR="00000000" w:rsidRDefault="00195E73">
            <w:pPr>
              <w:rPr>
                <w:rFonts w:eastAsia="Times New Roman"/>
                <w:sz w:val="20"/>
                <w:szCs w:val="20"/>
              </w:rPr>
            </w:pPr>
          </w:p>
        </w:tc>
        <w:tc>
          <w:tcPr>
            <w:tcW w:w="0" w:type="auto"/>
            <w:vAlign w:val="center"/>
            <w:hideMark/>
          </w:tcPr>
          <w:p w14:paraId="5D19F8E3" w14:textId="77777777" w:rsidR="00000000" w:rsidRDefault="00195E73">
            <w:pPr>
              <w:rPr>
                <w:rFonts w:eastAsia="Times New Roman"/>
                <w:sz w:val="20"/>
                <w:szCs w:val="20"/>
              </w:rPr>
            </w:pPr>
          </w:p>
        </w:tc>
        <w:tc>
          <w:tcPr>
            <w:tcW w:w="0" w:type="auto"/>
            <w:vAlign w:val="center"/>
            <w:hideMark/>
          </w:tcPr>
          <w:p w14:paraId="486DF40E" w14:textId="77777777" w:rsidR="00000000" w:rsidRDefault="00195E73">
            <w:pPr>
              <w:rPr>
                <w:rFonts w:eastAsia="Times New Roman"/>
                <w:sz w:val="20"/>
                <w:szCs w:val="20"/>
              </w:rPr>
            </w:pPr>
          </w:p>
        </w:tc>
        <w:tc>
          <w:tcPr>
            <w:tcW w:w="0" w:type="auto"/>
            <w:vAlign w:val="center"/>
            <w:hideMark/>
          </w:tcPr>
          <w:p w14:paraId="3D38A3E3" w14:textId="77777777" w:rsidR="00000000" w:rsidRDefault="00195E73">
            <w:pPr>
              <w:rPr>
                <w:rFonts w:eastAsia="Times New Roman"/>
                <w:sz w:val="20"/>
                <w:szCs w:val="20"/>
              </w:rPr>
            </w:pPr>
          </w:p>
        </w:tc>
        <w:tc>
          <w:tcPr>
            <w:tcW w:w="0" w:type="auto"/>
            <w:vAlign w:val="center"/>
            <w:hideMark/>
          </w:tcPr>
          <w:p w14:paraId="40F41D65" w14:textId="77777777" w:rsidR="00000000" w:rsidRDefault="00195E73">
            <w:pPr>
              <w:rPr>
                <w:rFonts w:eastAsia="Times New Roman"/>
                <w:sz w:val="20"/>
                <w:szCs w:val="20"/>
              </w:rPr>
            </w:pPr>
          </w:p>
        </w:tc>
        <w:tc>
          <w:tcPr>
            <w:tcW w:w="0" w:type="auto"/>
            <w:vAlign w:val="center"/>
            <w:hideMark/>
          </w:tcPr>
          <w:p w14:paraId="7018950A" w14:textId="77777777" w:rsidR="00000000" w:rsidRDefault="00195E73">
            <w:pPr>
              <w:rPr>
                <w:rFonts w:eastAsia="Times New Roman"/>
                <w:sz w:val="20"/>
                <w:szCs w:val="20"/>
              </w:rPr>
            </w:pPr>
          </w:p>
        </w:tc>
        <w:tc>
          <w:tcPr>
            <w:tcW w:w="0" w:type="auto"/>
            <w:vAlign w:val="center"/>
            <w:hideMark/>
          </w:tcPr>
          <w:p w14:paraId="7A1A894E" w14:textId="77777777" w:rsidR="00000000" w:rsidRDefault="00195E73">
            <w:pPr>
              <w:rPr>
                <w:rFonts w:eastAsia="Times New Roman"/>
                <w:sz w:val="20"/>
                <w:szCs w:val="20"/>
              </w:rPr>
            </w:pPr>
          </w:p>
        </w:tc>
        <w:tc>
          <w:tcPr>
            <w:tcW w:w="0" w:type="auto"/>
            <w:vAlign w:val="center"/>
            <w:hideMark/>
          </w:tcPr>
          <w:p w14:paraId="67126C18" w14:textId="77777777" w:rsidR="00000000" w:rsidRDefault="00195E73">
            <w:pPr>
              <w:rPr>
                <w:rFonts w:eastAsia="Times New Roman"/>
                <w:sz w:val="20"/>
                <w:szCs w:val="20"/>
              </w:rPr>
            </w:pPr>
          </w:p>
        </w:tc>
      </w:tr>
      <w:tr w:rsidR="00000000" w14:paraId="3B7A932F" w14:textId="77777777">
        <w:trPr>
          <w:divId w:val="573929859"/>
          <w:jc w:val="center"/>
        </w:trPr>
        <w:tc>
          <w:tcPr>
            <w:tcW w:w="0" w:type="auto"/>
            <w:gridSpan w:val="3"/>
            <w:shd w:val="clear" w:color="auto" w:fill="FFFFFF"/>
            <w:tcMar>
              <w:top w:w="30" w:type="dxa"/>
              <w:left w:w="20" w:type="dxa"/>
              <w:bottom w:w="30" w:type="dxa"/>
              <w:right w:w="20" w:type="dxa"/>
            </w:tcMar>
            <w:vAlign w:val="bottom"/>
            <w:hideMark/>
          </w:tcPr>
          <w:p w14:paraId="016A79E0" w14:textId="77777777" w:rsidR="00000000" w:rsidRDefault="00195E73">
            <w:pPr>
              <w:divId w:val="669941240"/>
              <w:rPr>
                <w:rFonts w:eastAsia="Times New Roman"/>
              </w:rPr>
            </w:pPr>
            <w:r>
              <w:rPr>
                <w:rFonts w:eastAsia="Times New Roman"/>
                <w:color w:val="000000"/>
                <w:sz w:val="20"/>
                <w:szCs w:val="20"/>
              </w:rPr>
              <w:t>Credit contract</w:t>
            </w:r>
            <w:r>
              <w:rPr>
                <w:rFonts w:eastAsia="Times New Roman"/>
                <w:color w:val="000000"/>
                <w:sz w:val="20"/>
                <w:szCs w:val="20"/>
              </w:rPr>
              <w:t>s</w:t>
            </w:r>
            <w:r>
              <w:rPr>
                <w:rFonts w:eastAsia="Times New Roman"/>
                <w:color w:val="000000"/>
                <w:sz w:val="13"/>
                <w:szCs w:val="13"/>
                <w:vertAlign w:val="superscript"/>
              </w:rPr>
              <w:t>(1)</w:t>
            </w:r>
          </w:p>
        </w:tc>
        <w:tc>
          <w:tcPr>
            <w:tcW w:w="0" w:type="auto"/>
            <w:gridSpan w:val="2"/>
            <w:shd w:val="clear" w:color="auto" w:fill="FFFFFF"/>
            <w:tcMar>
              <w:top w:w="30" w:type="dxa"/>
              <w:left w:w="20" w:type="dxa"/>
              <w:bottom w:w="30" w:type="dxa"/>
              <w:right w:w="0" w:type="dxa"/>
            </w:tcMar>
            <w:vAlign w:val="bottom"/>
            <w:hideMark/>
          </w:tcPr>
          <w:p w14:paraId="6CD247A3"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A131A1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9DC127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BCFE3F" w14:textId="77777777" w:rsidR="00000000" w:rsidRDefault="00195E73">
            <w:pPr>
              <w:jc w:val="right"/>
              <w:rPr>
                <w:rFonts w:eastAsia="Times New Roman"/>
              </w:rPr>
            </w:pPr>
            <w:r>
              <w:rPr>
                <w:rFonts w:eastAsia="Times New Roman"/>
                <w:color w:val="000000"/>
                <w:sz w:val="20"/>
                <w:szCs w:val="20"/>
              </w:rPr>
              <w:t>622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72BEB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00BF1E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4C59A6"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D18259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68295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05D947" w14:textId="77777777" w:rsidR="00000000" w:rsidRDefault="00195E73">
            <w:pPr>
              <w:jc w:val="right"/>
              <w:rPr>
                <w:rFonts w:eastAsia="Times New Roman"/>
              </w:rPr>
            </w:pPr>
            <w:r>
              <w:rPr>
                <w:rFonts w:eastAsia="Times New Roman"/>
                <w:color w:val="000000"/>
                <w:sz w:val="20"/>
                <w:szCs w:val="20"/>
              </w:rPr>
              <w:t>479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86D2BE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F39C562" w14:textId="77777777" w:rsidR="00000000" w:rsidRDefault="00195E73">
            <w:pPr>
              <w:rPr>
                <w:rFonts w:eastAsia="Times New Roman"/>
                <w:sz w:val="20"/>
                <w:szCs w:val="20"/>
              </w:rPr>
            </w:pPr>
          </w:p>
        </w:tc>
        <w:tc>
          <w:tcPr>
            <w:tcW w:w="0" w:type="auto"/>
            <w:vAlign w:val="center"/>
            <w:hideMark/>
          </w:tcPr>
          <w:p w14:paraId="16563A10" w14:textId="77777777" w:rsidR="00000000" w:rsidRDefault="00195E73">
            <w:pPr>
              <w:rPr>
                <w:rFonts w:eastAsia="Times New Roman"/>
                <w:sz w:val="20"/>
                <w:szCs w:val="20"/>
              </w:rPr>
            </w:pPr>
          </w:p>
        </w:tc>
        <w:tc>
          <w:tcPr>
            <w:tcW w:w="0" w:type="auto"/>
            <w:vAlign w:val="center"/>
            <w:hideMark/>
          </w:tcPr>
          <w:p w14:paraId="04FE3C3A" w14:textId="77777777" w:rsidR="00000000" w:rsidRDefault="00195E73">
            <w:pPr>
              <w:rPr>
                <w:rFonts w:eastAsia="Times New Roman"/>
                <w:sz w:val="20"/>
                <w:szCs w:val="20"/>
              </w:rPr>
            </w:pPr>
          </w:p>
        </w:tc>
        <w:tc>
          <w:tcPr>
            <w:tcW w:w="0" w:type="auto"/>
            <w:vAlign w:val="center"/>
            <w:hideMark/>
          </w:tcPr>
          <w:p w14:paraId="28592A54" w14:textId="77777777" w:rsidR="00000000" w:rsidRDefault="00195E73">
            <w:pPr>
              <w:rPr>
                <w:rFonts w:eastAsia="Times New Roman"/>
                <w:sz w:val="20"/>
                <w:szCs w:val="20"/>
              </w:rPr>
            </w:pPr>
          </w:p>
        </w:tc>
        <w:tc>
          <w:tcPr>
            <w:tcW w:w="0" w:type="auto"/>
            <w:vAlign w:val="center"/>
            <w:hideMark/>
          </w:tcPr>
          <w:p w14:paraId="7FB9A743" w14:textId="77777777" w:rsidR="00000000" w:rsidRDefault="00195E73">
            <w:pPr>
              <w:rPr>
                <w:rFonts w:eastAsia="Times New Roman"/>
                <w:sz w:val="20"/>
                <w:szCs w:val="20"/>
              </w:rPr>
            </w:pPr>
          </w:p>
        </w:tc>
        <w:tc>
          <w:tcPr>
            <w:tcW w:w="0" w:type="auto"/>
            <w:vAlign w:val="center"/>
            <w:hideMark/>
          </w:tcPr>
          <w:p w14:paraId="1052B1E0" w14:textId="77777777" w:rsidR="00000000" w:rsidRDefault="00195E73">
            <w:pPr>
              <w:rPr>
                <w:rFonts w:eastAsia="Times New Roman"/>
                <w:sz w:val="20"/>
                <w:szCs w:val="20"/>
              </w:rPr>
            </w:pPr>
          </w:p>
        </w:tc>
        <w:tc>
          <w:tcPr>
            <w:tcW w:w="0" w:type="auto"/>
            <w:vAlign w:val="center"/>
            <w:hideMark/>
          </w:tcPr>
          <w:p w14:paraId="4F7E8DA7" w14:textId="77777777" w:rsidR="00000000" w:rsidRDefault="00195E73">
            <w:pPr>
              <w:rPr>
                <w:rFonts w:eastAsia="Times New Roman"/>
                <w:sz w:val="20"/>
                <w:szCs w:val="20"/>
              </w:rPr>
            </w:pPr>
          </w:p>
        </w:tc>
        <w:tc>
          <w:tcPr>
            <w:tcW w:w="0" w:type="auto"/>
            <w:vAlign w:val="center"/>
            <w:hideMark/>
          </w:tcPr>
          <w:p w14:paraId="450D311C" w14:textId="77777777" w:rsidR="00000000" w:rsidRDefault="00195E73">
            <w:pPr>
              <w:rPr>
                <w:rFonts w:eastAsia="Times New Roman"/>
                <w:sz w:val="20"/>
                <w:szCs w:val="20"/>
              </w:rPr>
            </w:pPr>
          </w:p>
        </w:tc>
        <w:tc>
          <w:tcPr>
            <w:tcW w:w="0" w:type="auto"/>
            <w:vAlign w:val="center"/>
            <w:hideMark/>
          </w:tcPr>
          <w:p w14:paraId="2621D92A" w14:textId="77777777" w:rsidR="00000000" w:rsidRDefault="00195E73">
            <w:pPr>
              <w:rPr>
                <w:rFonts w:eastAsia="Times New Roman"/>
                <w:sz w:val="20"/>
                <w:szCs w:val="20"/>
              </w:rPr>
            </w:pPr>
          </w:p>
        </w:tc>
        <w:tc>
          <w:tcPr>
            <w:tcW w:w="0" w:type="auto"/>
            <w:vAlign w:val="center"/>
            <w:hideMark/>
          </w:tcPr>
          <w:p w14:paraId="7B94D980" w14:textId="77777777" w:rsidR="00000000" w:rsidRDefault="00195E73">
            <w:pPr>
              <w:rPr>
                <w:rFonts w:eastAsia="Times New Roman"/>
                <w:sz w:val="20"/>
                <w:szCs w:val="20"/>
              </w:rPr>
            </w:pPr>
          </w:p>
        </w:tc>
        <w:tc>
          <w:tcPr>
            <w:tcW w:w="0" w:type="auto"/>
            <w:vAlign w:val="center"/>
            <w:hideMark/>
          </w:tcPr>
          <w:p w14:paraId="1868FB03" w14:textId="77777777" w:rsidR="00000000" w:rsidRDefault="00195E73">
            <w:pPr>
              <w:rPr>
                <w:rFonts w:eastAsia="Times New Roman"/>
                <w:sz w:val="20"/>
                <w:szCs w:val="20"/>
              </w:rPr>
            </w:pPr>
          </w:p>
        </w:tc>
        <w:tc>
          <w:tcPr>
            <w:tcW w:w="0" w:type="auto"/>
            <w:vAlign w:val="center"/>
            <w:hideMark/>
          </w:tcPr>
          <w:p w14:paraId="0E727124" w14:textId="77777777" w:rsidR="00000000" w:rsidRDefault="00195E73">
            <w:pPr>
              <w:rPr>
                <w:rFonts w:eastAsia="Times New Roman"/>
                <w:sz w:val="20"/>
                <w:szCs w:val="20"/>
              </w:rPr>
            </w:pPr>
          </w:p>
        </w:tc>
        <w:tc>
          <w:tcPr>
            <w:tcW w:w="0" w:type="auto"/>
            <w:vAlign w:val="center"/>
            <w:hideMark/>
          </w:tcPr>
          <w:p w14:paraId="576B3DC1" w14:textId="77777777" w:rsidR="00000000" w:rsidRDefault="00195E73">
            <w:pPr>
              <w:rPr>
                <w:rFonts w:eastAsia="Times New Roman"/>
                <w:sz w:val="20"/>
                <w:szCs w:val="20"/>
              </w:rPr>
            </w:pPr>
          </w:p>
        </w:tc>
        <w:tc>
          <w:tcPr>
            <w:tcW w:w="0" w:type="auto"/>
            <w:vAlign w:val="center"/>
            <w:hideMark/>
          </w:tcPr>
          <w:p w14:paraId="482D007C" w14:textId="77777777" w:rsidR="00000000" w:rsidRDefault="00195E73">
            <w:pPr>
              <w:rPr>
                <w:rFonts w:eastAsia="Times New Roman"/>
                <w:sz w:val="20"/>
                <w:szCs w:val="20"/>
              </w:rPr>
            </w:pPr>
          </w:p>
        </w:tc>
        <w:tc>
          <w:tcPr>
            <w:tcW w:w="0" w:type="auto"/>
            <w:vAlign w:val="center"/>
            <w:hideMark/>
          </w:tcPr>
          <w:p w14:paraId="01787A0E" w14:textId="77777777" w:rsidR="00000000" w:rsidRDefault="00195E73">
            <w:pPr>
              <w:rPr>
                <w:rFonts w:eastAsia="Times New Roman"/>
                <w:sz w:val="20"/>
                <w:szCs w:val="20"/>
              </w:rPr>
            </w:pPr>
          </w:p>
        </w:tc>
        <w:tc>
          <w:tcPr>
            <w:tcW w:w="0" w:type="auto"/>
            <w:vAlign w:val="center"/>
            <w:hideMark/>
          </w:tcPr>
          <w:p w14:paraId="05EF18DF" w14:textId="77777777" w:rsidR="00000000" w:rsidRDefault="00195E73">
            <w:pPr>
              <w:rPr>
                <w:rFonts w:eastAsia="Times New Roman"/>
                <w:sz w:val="20"/>
                <w:szCs w:val="20"/>
              </w:rPr>
            </w:pPr>
          </w:p>
        </w:tc>
        <w:tc>
          <w:tcPr>
            <w:tcW w:w="0" w:type="auto"/>
            <w:vAlign w:val="center"/>
            <w:hideMark/>
          </w:tcPr>
          <w:p w14:paraId="4099D5D1" w14:textId="77777777" w:rsidR="00000000" w:rsidRDefault="00195E73">
            <w:pPr>
              <w:rPr>
                <w:rFonts w:eastAsia="Times New Roman"/>
                <w:sz w:val="20"/>
                <w:szCs w:val="20"/>
              </w:rPr>
            </w:pPr>
          </w:p>
        </w:tc>
        <w:tc>
          <w:tcPr>
            <w:tcW w:w="0" w:type="auto"/>
            <w:vAlign w:val="center"/>
            <w:hideMark/>
          </w:tcPr>
          <w:p w14:paraId="68AC77BE" w14:textId="77777777" w:rsidR="00000000" w:rsidRDefault="00195E73">
            <w:pPr>
              <w:rPr>
                <w:rFonts w:eastAsia="Times New Roman"/>
                <w:sz w:val="20"/>
                <w:szCs w:val="20"/>
              </w:rPr>
            </w:pPr>
          </w:p>
        </w:tc>
      </w:tr>
      <w:tr w:rsidR="00000000" w14:paraId="043A6728" w14:textId="77777777">
        <w:trPr>
          <w:divId w:val="573929859"/>
          <w:jc w:val="center"/>
        </w:trPr>
        <w:tc>
          <w:tcPr>
            <w:tcW w:w="0" w:type="auto"/>
            <w:gridSpan w:val="3"/>
            <w:shd w:val="clear" w:color="auto" w:fill="CCEEFF"/>
            <w:tcMar>
              <w:top w:w="30" w:type="dxa"/>
              <w:left w:w="225" w:type="dxa"/>
              <w:bottom w:w="30" w:type="dxa"/>
              <w:right w:w="20" w:type="dxa"/>
            </w:tcMar>
            <w:vAlign w:val="bottom"/>
            <w:hideMark/>
          </w:tcPr>
          <w:p w14:paraId="686D3FC6" w14:textId="77777777" w:rsidR="00000000" w:rsidRDefault="00195E73">
            <w:pPr>
              <w:rPr>
                <w:rFonts w:eastAsia="Times New Roman"/>
              </w:rPr>
            </w:pPr>
            <w:r>
              <w:rPr>
                <w:rFonts w:eastAsia="Times New Roman"/>
                <w:color w:val="000000"/>
                <w:sz w:val="20"/>
                <w:szCs w:val="20"/>
              </w:rPr>
              <w:t>Commodity contract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23476A1"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1B7E74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731C65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92251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0A67D8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E2ACCD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01D078"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FA7419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8BB2E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5A3759" w14:textId="77777777" w:rsidR="00000000" w:rsidRDefault="00195E73">
            <w:pPr>
              <w:jc w:val="right"/>
              <w:rPr>
                <w:rFonts w:eastAsia="Times New Roman"/>
              </w:rPr>
            </w:pPr>
            <w:r>
              <w:rPr>
                <w:rFonts w:eastAsia="Times New Roman"/>
                <w:color w:val="000000"/>
                <w:sz w:val="20"/>
                <w:szCs w:val="20"/>
              </w:rPr>
              <w:t>114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00A05C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B8CA930" w14:textId="77777777" w:rsidR="00000000" w:rsidRDefault="00195E73">
            <w:pPr>
              <w:rPr>
                <w:rFonts w:eastAsia="Times New Roman"/>
                <w:sz w:val="20"/>
                <w:szCs w:val="20"/>
              </w:rPr>
            </w:pPr>
          </w:p>
        </w:tc>
        <w:tc>
          <w:tcPr>
            <w:tcW w:w="0" w:type="auto"/>
            <w:vAlign w:val="center"/>
            <w:hideMark/>
          </w:tcPr>
          <w:p w14:paraId="6E43870D" w14:textId="77777777" w:rsidR="00000000" w:rsidRDefault="00195E73">
            <w:pPr>
              <w:rPr>
                <w:rFonts w:eastAsia="Times New Roman"/>
                <w:sz w:val="20"/>
                <w:szCs w:val="20"/>
              </w:rPr>
            </w:pPr>
          </w:p>
        </w:tc>
        <w:tc>
          <w:tcPr>
            <w:tcW w:w="0" w:type="auto"/>
            <w:vAlign w:val="center"/>
            <w:hideMark/>
          </w:tcPr>
          <w:p w14:paraId="2FA0FE27" w14:textId="77777777" w:rsidR="00000000" w:rsidRDefault="00195E73">
            <w:pPr>
              <w:rPr>
                <w:rFonts w:eastAsia="Times New Roman"/>
                <w:sz w:val="20"/>
                <w:szCs w:val="20"/>
              </w:rPr>
            </w:pPr>
          </w:p>
        </w:tc>
        <w:tc>
          <w:tcPr>
            <w:tcW w:w="0" w:type="auto"/>
            <w:vAlign w:val="center"/>
            <w:hideMark/>
          </w:tcPr>
          <w:p w14:paraId="4E42DE88" w14:textId="77777777" w:rsidR="00000000" w:rsidRDefault="00195E73">
            <w:pPr>
              <w:rPr>
                <w:rFonts w:eastAsia="Times New Roman"/>
                <w:sz w:val="20"/>
                <w:szCs w:val="20"/>
              </w:rPr>
            </w:pPr>
          </w:p>
        </w:tc>
        <w:tc>
          <w:tcPr>
            <w:tcW w:w="0" w:type="auto"/>
            <w:vAlign w:val="center"/>
            <w:hideMark/>
          </w:tcPr>
          <w:p w14:paraId="765FE25E" w14:textId="77777777" w:rsidR="00000000" w:rsidRDefault="00195E73">
            <w:pPr>
              <w:rPr>
                <w:rFonts w:eastAsia="Times New Roman"/>
                <w:sz w:val="20"/>
                <w:szCs w:val="20"/>
              </w:rPr>
            </w:pPr>
          </w:p>
        </w:tc>
        <w:tc>
          <w:tcPr>
            <w:tcW w:w="0" w:type="auto"/>
            <w:vAlign w:val="center"/>
            <w:hideMark/>
          </w:tcPr>
          <w:p w14:paraId="577C1D9E" w14:textId="77777777" w:rsidR="00000000" w:rsidRDefault="00195E73">
            <w:pPr>
              <w:rPr>
                <w:rFonts w:eastAsia="Times New Roman"/>
                <w:sz w:val="20"/>
                <w:szCs w:val="20"/>
              </w:rPr>
            </w:pPr>
          </w:p>
        </w:tc>
        <w:tc>
          <w:tcPr>
            <w:tcW w:w="0" w:type="auto"/>
            <w:vAlign w:val="center"/>
            <w:hideMark/>
          </w:tcPr>
          <w:p w14:paraId="4F891EC6" w14:textId="77777777" w:rsidR="00000000" w:rsidRDefault="00195E73">
            <w:pPr>
              <w:rPr>
                <w:rFonts w:eastAsia="Times New Roman"/>
                <w:sz w:val="20"/>
                <w:szCs w:val="20"/>
              </w:rPr>
            </w:pPr>
          </w:p>
        </w:tc>
        <w:tc>
          <w:tcPr>
            <w:tcW w:w="0" w:type="auto"/>
            <w:vAlign w:val="center"/>
            <w:hideMark/>
          </w:tcPr>
          <w:p w14:paraId="5A6E6CBE" w14:textId="77777777" w:rsidR="00000000" w:rsidRDefault="00195E73">
            <w:pPr>
              <w:rPr>
                <w:rFonts w:eastAsia="Times New Roman"/>
                <w:sz w:val="20"/>
                <w:szCs w:val="20"/>
              </w:rPr>
            </w:pPr>
          </w:p>
        </w:tc>
        <w:tc>
          <w:tcPr>
            <w:tcW w:w="0" w:type="auto"/>
            <w:vAlign w:val="center"/>
            <w:hideMark/>
          </w:tcPr>
          <w:p w14:paraId="594E948E" w14:textId="77777777" w:rsidR="00000000" w:rsidRDefault="00195E73">
            <w:pPr>
              <w:rPr>
                <w:rFonts w:eastAsia="Times New Roman"/>
                <w:sz w:val="20"/>
                <w:szCs w:val="20"/>
              </w:rPr>
            </w:pPr>
          </w:p>
        </w:tc>
        <w:tc>
          <w:tcPr>
            <w:tcW w:w="0" w:type="auto"/>
            <w:vAlign w:val="center"/>
            <w:hideMark/>
          </w:tcPr>
          <w:p w14:paraId="36A5FC21" w14:textId="77777777" w:rsidR="00000000" w:rsidRDefault="00195E73">
            <w:pPr>
              <w:rPr>
                <w:rFonts w:eastAsia="Times New Roman"/>
                <w:sz w:val="20"/>
                <w:szCs w:val="20"/>
              </w:rPr>
            </w:pPr>
          </w:p>
        </w:tc>
        <w:tc>
          <w:tcPr>
            <w:tcW w:w="0" w:type="auto"/>
            <w:vAlign w:val="center"/>
            <w:hideMark/>
          </w:tcPr>
          <w:p w14:paraId="18C65116" w14:textId="77777777" w:rsidR="00000000" w:rsidRDefault="00195E73">
            <w:pPr>
              <w:rPr>
                <w:rFonts w:eastAsia="Times New Roman"/>
                <w:sz w:val="20"/>
                <w:szCs w:val="20"/>
              </w:rPr>
            </w:pPr>
          </w:p>
        </w:tc>
        <w:tc>
          <w:tcPr>
            <w:tcW w:w="0" w:type="auto"/>
            <w:vAlign w:val="center"/>
            <w:hideMark/>
          </w:tcPr>
          <w:p w14:paraId="0B217D55" w14:textId="77777777" w:rsidR="00000000" w:rsidRDefault="00195E73">
            <w:pPr>
              <w:rPr>
                <w:rFonts w:eastAsia="Times New Roman"/>
                <w:sz w:val="20"/>
                <w:szCs w:val="20"/>
              </w:rPr>
            </w:pPr>
          </w:p>
        </w:tc>
        <w:tc>
          <w:tcPr>
            <w:tcW w:w="0" w:type="auto"/>
            <w:vAlign w:val="center"/>
            <w:hideMark/>
          </w:tcPr>
          <w:p w14:paraId="1ED1CC2B" w14:textId="77777777" w:rsidR="00000000" w:rsidRDefault="00195E73">
            <w:pPr>
              <w:rPr>
                <w:rFonts w:eastAsia="Times New Roman"/>
                <w:sz w:val="20"/>
                <w:szCs w:val="20"/>
              </w:rPr>
            </w:pPr>
          </w:p>
        </w:tc>
        <w:tc>
          <w:tcPr>
            <w:tcW w:w="0" w:type="auto"/>
            <w:vAlign w:val="center"/>
            <w:hideMark/>
          </w:tcPr>
          <w:p w14:paraId="7192607D" w14:textId="77777777" w:rsidR="00000000" w:rsidRDefault="00195E73">
            <w:pPr>
              <w:rPr>
                <w:rFonts w:eastAsia="Times New Roman"/>
                <w:sz w:val="20"/>
                <w:szCs w:val="20"/>
              </w:rPr>
            </w:pPr>
          </w:p>
        </w:tc>
        <w:tc>
          <w:tcPr>
            <w:tcW w:w="0" w:type="auto"/>
            <w:vAlign w:val="center"/>
            <w:hideMark/>
          </w:tcPr>
          <w:p w14:paraId="178C9792" w14:textId="77777777" w:rsidR="00000000" w:rsidRDefault="00195E73">
            <w:pPr>
              <w:rPr>
                <w:rFonts w:eastAsia="Times New Roman"/>
                <w:sz w:val="20"/>
                <w:szCs w:val="20"/>
              </w:rPr>
            </w:pPr>
          </w:p>
        </w:tc>
        <w:tc>
          <w:tcPr>
            <w:tcW w:w="0" w:type="auto"/>
            <w:vAlign w:val="center"/>
            <w:hideMark/>
          </w:tcPr>
          <w:p w14:paraId="079F6EC5" w14:textId="77777777" w:rsidR="00000000" w:rsidRDefault="00195E73">
            <w:pPr>
              <w:rPr>
                <w:rFonts w:eastAsia="Times New Roman"/>
                <w:sz w:val="20"/>
                <w:szCs w:val="20"/>
              </w:rPr>
            </w:pPr>
          </w:p>
        </w:tc>
        <w:tc>
          <w:tcPr>
            <w:tcW w:w="0" w:type="auto"/>
            <w:vAlign w:val="center"/>
            <w:hideMark/>
          </w:tcPr>
          <w:p w14:paraId="0A692DEC" w14:textId="77777777" w:rsidR="00000000" w:rsidRDefault="00195E73">
            <w:pPr>
              <w:rPr>
                <w:rFonts w:eastAsia="Times New Roman"/>
                <w:sz w:val="20"/>
                <w:szCs w:val="20"/>
              </w:rPr>
            </w:pPr>
          </w:p>
        </w:tc>
        <w:tc>
          <w:tcPr>
            <w:tcW w:w="0" w:type="auto"/>
            <w:vAlign w:val="center"/>
            <w:hideMark/>
          </w:tcPr>
          <w:p w14:paraId="00136C9D" w14:textId="77777777" w:rsidR="00000000" w:rsidRDefault="00195E73">
            <w:pPr>
              <w:rPr>
                <w:rFonts w:eastAsia="Times New Roman"/>
                <w:sz w:val="20"/>
                <w:szCs w:val="20"/>
              </w:rPr>
            </w:pPr>
          </w:p>
        </w:tc>
      </w:tr>
    </w:tbl>
    <w:p w14:paraId="4F940BC6" w14:textId="77777777" w:rsidR="00000000" w:rsidRDefault="00195E73">
      <w:pPr>
        <w:ind w:hanging="180"/>
        <w:divId w:val="971977946"/>
        <w:rPr>
          <w:rFonts w:eastAsia="Times New Roman"/>
        </w:rPr>
      </w:pPr>
      <w:r>
        <w:rPr>
          <w:rFonts w:eastAsia="Times New Roman"/>
          <w:color w:val="000000"/>
          <w:sz w:val="10"/>
          <w:szCs w:val="10"/>
          <w:vertAlign w:val="superscript"/>
        </w:rPr>
        <w:t>(1</w:t>
      </w:r>
      <w:r>
        <w:rPr>
          <w:rFonts w:eastAsia="Times New Roman"/>
          <w:color w:val="000000"/>
          <w:sz w:val="10"/>
          <w:szCs w:val="10"/>
          <w:vertAlign w:val="superscript"/>
        </w:rPr>
        <w:t>)</w:t>
      </w:r>
      <w:r>
        <w:rPr>
          <w:rFonts w:eastAsia="Times New Roman"/>
          <w:color w:val="000000"/>
          <w:sz w:val="16"/>
          <w:szCs w:val="16"/>
        </w:rPr>
        <w:t>The short notional amount o</w:t>
      </w:r>
      <w:r>
        <w:rPr>
          <w:rFonts w:eastAsia="Times New Roman"/>
          <w:color w:val="000000"/>
          <w:sz w:val="16"/>
          <w:szCs w:val="16"/>
        </w:rPr>
        <w:t>n our credit default swap positions was approximately $4.7 billion at December 31, 2019. However, because credit spreads cannot compress below zero, our downside short notional exposure to loss is $622 million as of December 31, 2019. The short notional am</w:t>
      </w:r>
      <w:r>
        <w:rPr>
          <w:rFonts w:eastAsia="Times New Roman"/>
          <w:color w:val="000000"/>
          <w:sz w:val="16"/>
          <w:szCs w:val="16"/>
        </w:rPr>
        <w:t>ount on our credit default swap positions was approximately $1.8 billion as of December 31, 2018. However, because credit spreads cannot compress below zero, our downside short notional exposure to loss is $479 million as of December 31, 2018.</w:t>
      </w:r>
      <w:r>
        <w:rPr>
          <w:rFonts w:eastAsia="Times New Roman"/>
          <w:color w:val="000000"/>
          <w:sz w:val="16"/>
          <w:szCs w:val="16"/>
        </w:rPr>
        <w:t xml:space="preserve"> </w:t>
      </w:r>
    </w:p>
    <w:p w14:paraId="7D9492CC" w14:textId="77777777" w:rsidR="00000000" w:rsidRDefault="00195E73">
      <w:pPr>
        <w:ind w:firstLine="450"/>
        <w:divId w:val="741954305"/>
        <w:rPr>
          <w:rFonts w:eastAsia="Times New Roman"/>
        </w:rPr>
      </w:pPr>
      <w:r>
        <w:rPr>
          <w:rFonts w:eastAsia="Times New Roman"/>
          <w:color w:val="000000"/>
          <w:sz w:val="20"/>
          <w:szCs w:val="20"/>
        </w:rPr>
        <w:t>Certain der</w:t>
      </w:r>
      <w:r>
        <w:rPr>
          <w:rFonts w:eastAsia="Times New Roman"/>
          <w:color w:val="000000"/>
          <w:sz w:val="20"/>
          <w:szCs w:val="20"/>
        </w:rPr>
        <w:t>ivative contracts executed by each of the Investment Funds with a single counterparty are reported on a net-by-counterparty basis where a legal right of offset exists under an enforceable netting agreement. Values for the derivative</w:t>
      </w:r>
      <w:r>
        <w:rPr>
          <w:rFonts w:eastAsia="Times New Roman"/>
          <w:color w:val="000000"/>
          <w:sz w:val="20"/>
          <w:szCs w:val="20"/>
        </w:rPr>
        <w:t xml:space="preserve"> </w:t>
      </w:r>
    </w:p>
    <w:p w14:paraId="47D08B01" w14:textId="77777777" w:rsidR="00000000" w:rsidRDefault="00195E73">
      <w:pPr>
        <w:jc w:val="center"/>
        <w:divId w:val="1860267313"/>
        <w:rPr>
          <w:rFonts w:eastAsia="Times New Roman"/>
        </w:rPr>
      </w:pPr>
      <w:r>
        <w:rPr>
          <w:rFonts w:eastAsia="Times New Roman"/>
          <w:color w:val="000000"/>
          <w:sz w:val="20"/>
          <w:szCs w:val="20"/>
        </w:rPr>
        <w:t>8</w:t>
      </w:r>
      <w:r>
        <w:rPr>
          <w:rFonts w:eastAsia="Times New Roman"/>
          <w:color w:val="000000"/>
          <w:sz w:val="20"/>
          <w:szCs w:val="20"/>
        </w:rPr>
        <w:t>7</w:t>
      </w:r>
    </w:p>
    <w:p w14:paraId="2671789C" w14:textId="77777777" w:rsidR="00000000" w:rsidRDefault="00195E73">
      <w:pPr>
        <w:rPr>
          <w:rFonts w:eastAsia="Times New Roman"/>
        </w:rPr>
      </w:pPr>
      <w:r>
        <w:rPr>
          <w:rFonts w:eastAsia="Times New Roman"/>
        </w:rPr>
        <w:pict w14:anchorId="6A5811FE">
          <v:rect id="_x0000_i1113" style="width:0;height:1.5pt" o:hralign="center" o:hrstd="t" o:hr="t" fillcolor="#a0a0a0" stroked="f"/>
        </w:pict>
      </w:r>
    </w:p>
    <w:p w14:paraId="6A2CCAF1" w14:textId="77777777" w:rsidR="00000000" w:rsidRDefault="00195E73">
      <w:pPr>
        <w:jc w:val="center"/>
        <w:divId w:val="19015067"/>
        <w:rPr>
          <w:rFonts w:eastAsia="Times New Roman"/>
        </w:rPr>
      </w:pPr>
    </w:p>
    <w:p w14:paraId="53726A53" w14:textId="77777777" w:rsidR="00000000" w:rsidRDefault="00195E73">
      <w:pPr>
        <w:jc w:val="center"/>
        <w:divId w:val="19015067"/>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6765C5C5" w14:textId="77777777" w:rsidR="00000000" w:rsidRDefault="00195E73">
      <w:pPr>
        <w:jc w:val="center"/>
        <w:divId w:val="19015067"/>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46610BAE" w14:textId="77777777" w:rsidR="00000000" w:rsidRDefault="00195E73">
      <w:pPr>
        <w:jc w:val="center"/>
        <w:divId w:val="19015067"/>
        <w:rPr>
          <w:rFonts w:eastAsia="Times New Roman"/>
        </w:rPr>
      </w:pPr>
    </w:p>
    <w:p w14:paraId="1409E862" w14:textId="77777777" w:rsidR="00000000" w:rsidRDefault="00195E73">
      <w:pPr>
        <w:jc w:val="center"/>
        <w:divId w:val="19015067"/>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5B24A6BB" w14:textId="77777777" w:rsidR="00000000" w:rsidRDefault="00195E73">
      <w:pPr>
        <w:divId w:val="1137064901"/>
        <w:rPr>
          <w:rFonts w:eastAsia="Times New Roman"/>
        </w:rPr>
      </w:pPr>
      <w:r>
        <w:rPr>
          <w:rFonts w:eastAsia="Times New Roman"/>
          <w:color w:val="000000"/>
          <w:sz w:val="20"/>
          <w:szCs w:val="20"/>
        </w:rPr>
        <w:t>financial instruments, principally swaps, forwards, over-the-counter options and oth</w:t>
      </w:r>
      <w:r>
        <w:rPr>
          <w:rFonts w:eastAsia="Times New Roman"/>
          <w:color w:val="000000"/>
          <w:sz w:val="20"/>
          <w:szCs w:val="20"/>
        </w:rPr>
        <w:t>er conditional and exchange contracts, are reported on a net-by-counterparty basis</w:t>
      </w:r>
      <w:r>
        <w:rPr>
          <w:rFonts w:eastAsia="Times New Roman"/>
          <w:color w:val="000000"/>
          <w:sz w:val="20"/>
          <w:szCs w:val="20"/>
        </w:rPr>
        <w:t>.</w:t>
      </w:r>
    </w:p>
    <w:p w14:paraId="281D3771" w14:textId="77777777" w:rsidR="00000000" w:rsidRDefault="00195E73">
      <w:pPr>
        <w:ind w:firstLine="450"/>
        <w:divId w:val="456024217"/>
        <w:rPr>
          <w:rFonts w:eastAsia="Times New Roman"/>
        </w:rPr>
      </w:pPr>
      <w:r>
        <w:rPr>
          <w:rFonts w:eastAsia="Times New Roman"/>
          <w:color w:val="000000"/>
          <w:sz w:val="20"/>
          <w:szCs w:val="20"/>
        </w:rPr>
        <w:t>The following table presents the fair values of our Investment segment’s derivatives that are not designated as hedging instruments in accordance with U.S. GAAP</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255"/>
        <w:gridCol w:w="37"/>
        <w:gridCol w:w="135"/>
        <w:gridCol w:w="365"/>
        <w:gridCol w:w="85"/>
        <w:gridCol w:w="126"/>
        <w:gridCol w:w="656"/>
        <w:gridCol w:w="125"/>
        <w:gridCol w:w="135"/>
        <w:gridCol w:w="365"/>
        <w:gridCol w:w="85"/>
        <w:gridCol w:w="126"/>
        <w:gridCol w:w="656"/>
        <w:gridCol w:w="125"/>
        <w:gridCol w:w="135"/>
        <w:gridCol w:w="515"/>
        <w:gridCol w:w="85"/>
        <w:gridCol w:w="126"/>
        <w:gridCol w:w="656"/>
        <w:gridCol w:w="125"/>
        <w:gridCol w:w="135"/>
        <w:gridCol w:w="365"/>
        <w:gridCol w:w="85"/>
        <w:gridCol w:w="303"/>
        <w:gridCol w:w="302"/>
        <w:gridCol w:w="302"/>
        <w:gridCol w:w="142"/>
        <w:gridCol w:w="142"/>
        <w:gridCol w:w="142"/>
        <w:gridCol w:w="36"/>
        <w:gridCol w:w="36"/>
        <w:gridCol w:w="36"/>
        <w:gridCol w:w="36"/>
        <w:gridCol w:w="36"/>
        <w:gridCol w:w="36"/>
        <w:gridCol w:w="36"/>
        <w:gridCol w:w="36"/>
        <w:gridCol w:w="36"/>
        <w:gridCol w:w="36"/>
        <w:gridCol w:w="36"/>
        <w:gridCol w:w="36"/>
      </w:tblGrid>
      <w:tr w:rsidR="00000000" w14:paraId="34F8EDAE" w14:textId="77777777">
        <w:trPr>
          <w:gridAfter w:val="18"/>
          <w:divId w:val="697662974"/>
          <w:jc w:val="center"/>
        </w:trPr>
        <w:tc>
          <w:tcPr>
            <w:tcW w:w="50" w:type="pct"/>
            <w:vAlign w:val="center"/>
            <w:hideMark/>
          </w:tcPr>
          <w:p w14:paraId="03E4A5EC" w14:textId="77777777" w:rsidR="00000000" w:rsidRDefault="00195E73">
            <w:pPr>
              <w:ind w:firstLine="450"/>
              <w:rPr>
                <w:rFonts w:eastAsia="Times New Roman"/>
              </w:rPr>
            </w:pPr>
          </w:p>
        </w:tc>
        <w:tc>
          <w:tcPr>
            <w:tcW w:w="1661" w:type="pct"/>
            <w:vAlign w:val="center"/>
            <w:hideMark/>
          </w:tcPr>
          <w:p w14:paraId="75BE073A" w14:textId="77777777" w:rsidR="00000000" w:rsidRDefault="00195E73">
            <w:pPr>
              <w:rPr>
                <w:rFonts w:eastAsia="Times New Roman"/>
                <w:sz w:val="20"/>
                <w:szCs w:val="20"/>
              </w:rPr>
            </w:pPr>
          </w:p>
        </w:tc>
        <w:tc>
          <w:tcPr>
            <w:tcW w:w="50" w:type="pct"/>
            <w:vAlign w:val="center"/>
            <w:hideMark/>
          </w:tcPr>
          <w:p w14:paraId="16283AA1" w14:textId="77777777" w:rsidR="00000000" w:rsidRDefault="00195E73">
            <w:pPr>
              <w:rPr>
                <w:rFonts w:eastAsia="Times New Roman"/>
                <w:sz w:val="20"/>
                <w:szCs w:val="20"/>
              </w:rPr>
            </w:pPr>
          </w:p>
        </w:tc>
        <w:tc>
          <w:tcPr>
            <w:tcW w:w="50" w:type="pct"/>
            <w:vAlign w:val="center"/>
            <w:hideMark/>
          </w:tcPr>
          <w:p w14:paraId="205DDE06" w14:textId="77777777" w:rsidR="00000000" w:rsidRDefault="00195E73">
            <w:pPr>
              <w:rPr>
                <w:rFonts w:eastAsia="Times New Roman"/>
                <w:sz w:val="20"/>
                <w:szCs w:val="20"/>
              </w:rPr>
            </w:pPr>
          </w:p>
        </w:tc>
        <w:tc>
          <w:tcPr>
            <w:tcW w:w="682" w:type="pct"/>
            <w:vAlign w:val="center"/>
            <w:hideMark/>
          </w:tcPr>
          <w:p w14:paraId="4C1B541C" w14:textId="77777777" w:rsidR="00000000" w:rsidRDefault="00195E73">
            <w:pPr>
              <w:rPr>
                <w:rFonts w:eastAsia="Times New Roman"/>
                <w:sz w:val="20"/>
                <w:szCs w:val="20"/>
              </w:rPr>
            </w:pPr>
          </w:p>
        </w:tc>
        <w:tc>
          <w:tcPr>
            <w:tcW w:w="50" w:type="pct"/>
            <w:vAlign w:val="center"/>
            <w:hideMark/>
          </w:tcPr>
          <w:p w14:paraId="4F769E66" w14:textId="77777777" w:rsidR="00000000" w:rsidRDefault="00195E73">
            <w:pPr>
              <w:rPr>
                <w:rFonts w:eastAsia="Times New Roman"/>
                <w:sz w:val="20"/>
                <w:szCs w:val="20"/>
              </w:rPr>
            </w:pPr>
          </w:p>
        </w:tc>
        <w:tc>
          <w:tcPr>
            <w:tcW w:w="5" w:type="pct"/>
            <w:vAlign w:val="center"/>
            <w:hideMark/>
          </w:tcPr>
          <w:p w14:paraId="14A77BEF" w14:textId="77777777" w:rsidR="00000000" w:rsidRDefault="00195E73">
            <w:pPr>
              <w:rPr>
                <w:rFonts w:eastAsia="Times New Roman"/>
                <w:sz w:val="20"/>
                <w:szCs w:val="20"/>
              </w:rPr>
            </w:pPr>
          </w:p>
        </w:tc>
        <w:tc>
          <w:tcPr>
            <w:tcW w:w="26" w:type="pct"/>
            <w:vAlign w:val="center"/>
            <w:hideMark/>
          </w:tcPr>
          <w:p w14:paraId="784A413C" w14:textId="77777777" w:rsidR="00000000" w:rsidRDefault="00195E73">
            <w:pPr>
              <w:rPr>
                <w:rFonts w:eastAsia="Times New Roman"/>
                <w:sz w:val="20"/>
                <w:szCs w:val="20"/>
              </w:rPr>
            </w:pPr>
          </w:p>
        </w:tc>
        <w:tc>
          <w:tcPr>
            <w:tcW w:w="5" w:type="pct"/>
            <w:vAlign w:val="center"/>
            <w:hideMark/>
          </w:tcPr>
          <w:p w14:paraId="53B58A97" w14:textId="77777777" w:rsidR="00000000" w:rsidRDefault="00195E73">
            <w:pPr>
              <w:rPr>
                <w:rFonts w:eastAsia="Times New Roman"/>
                <w:sz w:val="20"/>
                <w:szCs w:val="20"/>
              </w:rPr>
            </w:pPr>
          </w:p>
        </w:tc>
        <w:tc>
          <w:tcPr>
            <w:tcW w:w="50" w:type="pct"/>
            <w:vAlign w:val="center"/>
            <w:hideMark/>
          </w:tcPr>
          <w:p w14:paraId="76929CFE" w14:textId="77777777" w:rsidR="00000000" w:rsidRDefault="00195E73">
            <w:pPr>
              <w:rPr>
                <w:rFonts w:eastAsia="Times New Roman"/>
                <w:sz w:val="20"/>
                <w:szCs w:val="20"/>
              </w:rPr>
            </w:pPr>
          </w:p>
        </w:tc>
        <w:tc>
          <w:tcPr>
            <w:tcW w:w="682" w:type="pct"/>
            <w:vAlign w:val="center"/>
            <w:hideMark/>
          </w:tcPr>
          <w:p w14:paraId="719DA9D1" w14:textId="77777777" w:rsidR="00000000" w:rsidRDefault="00195E73">
            <w:pPr>
              <w:rPr>
                <w:rFonts w:eastAsia="Times New Roman"/>
                <w:sz w:val="20"/>
                <w:szCs w:val="20"/>
              </w:rPr>
            </w:pPr>
          </w:p>
        </w:tc>
        <w:tc>
          <w:tcPr>
            <w:tcW w:w="50" w:type="pct"/>
            <w:vAlign w:val="center"/>
            <w:hideMark/>
          </w:tcPr>
          <w:p w14:paraId="4888A658" w14:textId="77777777" w:rsidR="00000000" w:rsidRDefault="00195E73">
            <w:pPr>
              <w:rPr>
                <w:rFonts w:eastAsia="Times New Roman"/>
                <w:sz w:val="20"/>
                <w:szCs w:val="20"/>
              </w:rPr>
            </w:pPr>
          </w:p>
        </w:tc>
        <w:tc>
          <w:tcPr>
            <w:tcW w:w="5" w:type="pct"/>
            <w:vAlign w:val="center"/>
            <w:hideMark/>
          </w:tcPr>
          <w:p w14:paraId="3D625BB4" w14:textId="77777777" w:rsidR="00000000" w:rsidRDefault="00195E73">
            <w:pPr>
              <w:rPr>
                <w:rFonts w:eastAsia="Times New Roman"/>
                <w:sz w:val="20"/>
                <w:szCs w:val="20"/>
              </w:rPr>
            </w:pPr>
          </w:p>
        </w:tc>
        <w:tc>
          <w:tcPr>
            <w:tcW w:w="26" w:type="pct"/>
            <w:vAlign w:val="center"/>
            <w:hideMark/>
          </w:tcPr>
          <w:p w14:paraId="0164EB26" w14:textId="77777777" w:rsidR="00000000" w:rsidRDefault="00195E73">
            <w:pPr>
              <w:rPr>
                <w:rFonts w:eastAsia="Times New Roman"/>
                <w:sz w:val="20"/>
                <w:szCs w:val="20"/>
              </w:rPr>
            </w:pPr>
          </w:p>
        </w:tc>
        <w:tc>
          <w:tcPr>
            <w:tcW w:w="5" w:type="pct"/>
            <w:vAlign w:val="center"/>
            <w:hideMark/>
          </w:tcPr>
          <w:p w14:paraId="179DD3B8" w14:textId="77777777" w:rsidR="00000000" w:rsidRDefault="00195E73">
            <w:pPr>
              <w:rPr>
                <w:rFonts w:eastAsia="Times New Roman"/>
                <w:sz w:val="20"/>
                <w:szCs w:val="20"/>
              </w:rPr>
            </w:pPr>
          </w:p>
        </w:tc>
        <w:tc>
          <w:tcPr>
            <w:tcW w:w="50" w:type="pct"/>
            <w:vAlign w:val="center"/>
            <w:hideMark/>
          </w:tcPr>
          <w:p w14:paraId="1CCFF531" w14:textId="77777777" w:rsidR="00000000" w:rsidRDefault="00195E73">
            <w:pPr>
              <w:rPr>
                <w:rFonts w:eastAsia="Times New Roman"/>
                <w:sz w:val="20"/>
                <w:szCs w:val="20"/>
              </w:rPr>
            </w:pPr>
          </w:p>
        </w:tc>
        <w:tc>
          <w:tcPr>
            <w:tcW w:w="682" w:type="pct"/>
            <w:vAlign w:val="center"/>
            <w:hideMark/>
          </w:tcPr>
          <w:p w14:paraId="70FE1261" w14:textId="77777777" w:rsidR="00000000" w:rsidRDefault="00195E73">
            <w:pPr>
              <w:rPr>
                <w:rFonts w:eastAsia="Times New Roman"/>
                <w:sz w:val="20"/>
                <w:szCs w:val="20"/>
              </w:rPr>
            </w:pPr>
          </w:p>
        </w:tc>
        <w:tc>
          <w:tcPr>
            <w:tcW w:w="50" w:type="pct"/>
            <w:vAlign w:val="center"/>
            <w:hideMark/>
          </w:tcPr>
          <w:p w14:paraId="5E1416EC" w14:textId="77777777" w:rsidR="00000000" w:rsidRDefault="00195E73">
            <w:pPr>
              <w:rPr>
                <w:rFonts w:eastAsia="Times New Roman"/>
                <w:sz w:val="20"/>
                <w:szCs w:val="20"/>
              </w:rPr>
            </w:pPr>
          </w:p>
        </w:tc>
        <w:tc>
          <w:tcPr>
            <w:tcW w:w="5" w:type="pct"/>
            <w:vAlign w:val="center"/>
            <w:hideMark/>
          </w:tcPr>
          <w:p w14:paraId="43C051BF" w14:textId="77777777" w:rsidR="00000000" w:rsidRDefault="00195E73">
            <w:pPr>
              <w:rPr>
                <w:rFonts w:eastAsia="Times New Roman"/>
                <w:sz w:val="20"/>
                <w:szCs w:val="20"/>
              </w:rPr>
            </w:pPr>
          </w:p>
        </w:tc>
        <w:tc>
          <w:tcPr>
            <w:tcW w:w="26" w:type="pct"/>
            <w:vAlign w:val="center"/>
            <w:hideMark/>
          </w:tcPr>
          <w:p w14:paraId="440CE973" w14:textId="77777777" w:rsidR="00000000" w:rsidRDefault="00195E73">
            <w:pPr>
              <w:rPr>
                <w:rFonts w:eastAsia="Times New Roman"/>
                <w:sz w:val="20"/>
                <w:szCs w:val="20"/>
              </w:rPr>
            </w:pPr>
          </w:p>
        </w:tc>
        <w:tc>
          <w:tcPr>
            <w:tcW w:w="5" w:type="pct"/>
            <w:vAlign w:val="center"/>
            <w:hideMark/>
          </w:tcPr>
          <w:p w14:paraId="3E64AB2E" w14:textId="77777777" w:rsidR="00000000" w:rsidRDefault="00195E73">
            <w:pPr>
              <w:rPr>
                <w:rFonts w:eastAsia="Times New Roman"/>
                <w:sz w:val="20"/>
                <w:szCs w:val="20"/>
              </w:rPr>
            </w:pPr>
          </w:p>
        </w:tc>
        <w:tc>
          <w:tcPr>
            <w:tcW w:w="50" w:type="pct"/>
            <w:vAlign w:val="center"/>
            <w:hideMark/>
          </w:tcPr>
          <w:p w14:paraId="3707EBB6" w14:textId="77777777" w:rsidR="00000000" w:rsidRDefault="00195E73">
            <w:pPr>
              <w:rPr>
                <w:rFonts w:eastAsia="Times New Roman"/>
                <w:sz w:val="20"/>
                <w:szCs w:val="20"/>
              </w:rPr>
            </w:pPr>
          </w:p>
        </w:tc>
        <w:tc>
          <w:tcPr>
            <w:tcW w:w="682" w:type="pct"/>
            <w:vAlign w:val="center"/>
            <w:hideMark/>
          </w:tcPr>
          <w:p w14:paraId="45EA8374" w14:textId="77777777" w:rsidR="00000000" w:rsidRDefault="00195E73">
            <w:pPr>
              <w:rPr>
                <w:rFonts w:eastAsia="Times New Roman"/>
                <w:sz w:val="20"/>
                <w:szCs w:val="20"/>
              </w:rPr>
            </w:pPr>
          </w:p>
        </w:tc>
        <w:tc>
          <w:tcPr>
            <w:tcW w:w="50" w:type="pct"/>
            <w:vAlign w:val="center"/>
            <w:hideMark/>
          </w:tcPr>
          <w:p w14:paraId="50C1C6EA" w14:textId="77777777" w:rsidR="00000000" w:rsidRDefault="00195E73">
            <w:pPr>
              <w:rPr>
                <w:rFonts w:eastAsia="Times New Roman"/>
                <w:sz w:val="20"/>
                <w:szCs w:val="20"/>
              </w:rPr>
            </w:pPr>
          </w:p>
        </w:tc>
      </w:tr>
      <w:tr w:rsidR="00000000" w14:paraId="12F0A09D" w14:textId="77777777">
        <w:trPr>
          <w:gridAfter w:val="6"/>
          <w:divId w:val="697662974"/>
          <w:jc w:val="center"/>
        </w:trPr>
        <w:tc>
          <w:tcPr>
            <w:tcW w:w="0" w:type="auto"/>
            <w:gridSpan w:val="3"/>
            <w:vMerge w:val="restart"/>
            <w:tcMar>
              <w:top w:w="15" w:type="dxa"/>
              <w:left w:w="20" w:type="dxa"/>
              <w:bottom w:w="15" w:type="dxa"/>
              <w:right w:w="20" w:type="dxa"/>
            </w:tcMar>
            <w:vAlign w:val="bottom"/>
            <w:hideMark/>
          </w:tcPr>
          <w:p w14:paraId="4CC2EA8D"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6CAD01DB" w14:textId="77777777" w:rsidR="00000000" w:rsidRDefault="00195E73">
            <w:pPr>
              <w:jc w:val="center"/>
              <w:rPr>
                <w:rFonts w:eastAsia="Times New Roman"/>
              </w:rPr>
            </w:pPr>
            <w:r>
              <w:rPr>
                <w:rFonts w:eastAsia="Times New Roman"/>
                <w:b/>
                <w:bCs/>
                <w:color w:val="000000"/>
                <w:sz w:val="20"/>
                <w:szCs w:val="20"/>
              </w:rPr>
              <w:t>Asset Derivative</w:t>
            </w:r>
            <w:r>
              <w:rPr>
                <w:rFonts w:eastAsia="Times New Roman"/>
                <w:b/>
                <w:bCs/>
                <w:color w:val="000000"/>
                <w:sz w:val="20"/>
                <w:szCs w:val="20"/>
              </w:rPr>
              <w:t>s</w:t>
            </w:r>
            <w:r>
              <w:rPr>
                <w:rFonts w:eastAsia="Times New Roman"/>
                <w:b/>
                <w:bCs/>
                <w:color w:val="000000"/>
                <w:sz w:val="13"/>
                <w:szCs w:val="13"/>
                <w:vertAlign w:val="superscript"/>
              </w:rPr>
              <w:t>(1)</w:t>
            </w:r>
          </w:p>
        </w:tc>
        <w:tc>
          <w:tcPr>
            <w:tcW w:w="0" w:type="auto"/>
            <w:gridSpan w:val="3"/>
            <w:vAlign w:val="center"/>
            <w:hideMark/>
          </w:tcPr>
          <w:p w14:paraId="442D1835" w14:textId="77777777" w:rsidR="00000000" w:rsidRDefault="00195E73">
            <w:pPr>
              <w:jc w:val="center"/>
              <w:rPr>
                <w:rFonts w:eastAsia="Times New Roman"/>
              </w:rPr>
            </w:pPr>
          </w:p>
        </w:tc>
        <w:tc>
          <w:tcPr>
            <w:tcW w:w="0" w:type="auto"/>
            <w:gridSpan w:val="3"/>
            <w:vAlign w:val="center"/>
            <w:hideMark/>
          </w:tcPr>
          <w:p w14:paraId="1106879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28C79A2"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22230429" w14:textId="77777777" w:rsidR="00000000" w:rsidRDefault="00195E73">
            <w:pPr>
              <w:jc w:val="center"/>
              <w:rPr>
                <w:rFonts w:eastAsia="Times New Roman"/>
              </w:rPr>
            </w:pPr>
            <w:r>
              <w:rPr>
                <w:rFonts w:eastAsia="Times New Roman"/>
                <w:b/>
                <w:bCs/>
                <w:color w:val="000000"/>
                <w:sz w:val="20"/>
                <w:szCs w:val="20"/>
              </w:rPr>
              <w:t>Liability Derivative</w:t>
            </w:r>
            <w:r>
              <w:rPr>
                <w:rFonts w:eastAsia="Times New Roman"/>
                <w:b/>
                <w:bCs/>
                <w:color w:val="000000"/>
                <w:sz w:val="20"/>
                <w:szCs w:val="20"/>
              </w:rPr>
              <w:t>s</w:t>
            </w:r>
          </w:p>
        </w:tc>
        <w:tc>
          <w:tcPr>
            <w:tcW w:w="0" w:type="auto"/>
            <w:gridSpan w:val="3"/>
            <w:vAlign w:val="center"/>
            <w:hideMark/>
          </w:tcPr>
          <w:p w14:paraId="3463573C" w14:textId="77777777" w:rsidR="00000000" w:rsidRDefault="00195E73">
            <w:pPr>
              <w:jc w:val="center"/>
              <w:rPr>
                <w:rFonts w:eastAsia="Times New Roman"/>
              </w:rPr>
            </w:pPr>
          </w:p>
        </w:tc>
        <w:tc>
          <w:tcPr>
            <w:tcW w:w="0" w:type="auto"/>
            <w:gridSpan w:val="3"/>
            <w:vAlign w:val="center"/>
            <w:hideMark/>
          </w:tcPr>
          <w:p w14:paraId="6216776E" w14:textId="77777777" w:rsidR="00000000" w:rsidRDefault="00195E73">
            <w:pPr>
              <w:rPr>
                <w:rFonts w:eastAsia="Times New Roman"/>
                <w:sz w:val="20"/>
                <w:szCs w:val="20"/>
              </w:rPr>
            </w:pPr>
          </w:p>
        </w:tc>
      </w:tr>
      <w:tr w:rsidR="00000000" w14:paraId="5352DC51" w14:textId="77777777">
        <w:trPr>
          <w:gridAfter w:val="6"/>
          <w:divId w:val="697662974"/>
          <w:jc w:val="center"/>
        </w:trPr>
        <w:tc>
          <w:tcPr>
            <w:tcW w:w="0" w:type="auto"/>
            <w:gridSpan w:val="3"/>
            <w:vMerge/>
            <w:vAlign w:val="center"/>
            <w:hideMark/>
          </w:tcPr>
          <w:p w14:paraId="344E5EDC" w14:textId="77777777" w:rsidR="00000000" w:rsidRDefault="00195E73">
            <w:pPr>
              <w:rPr>
                <w:rFonts w:eastAsia="Times New Roman"/>
                <w:sz w:val="20"/>
                <w:szCs w:val="20"/>
              </w:rPr>
            </w:pPr>
          </w:p>
        </w:tc>
        <w:tc>
          <w:tcPr>
            <w:tcW w:w="0" w:type="auto"/>
            <w:gridSpan w:val="3"/>
            <w:vAlign w:val="center"/>
            <w:hideMark/>
          </w:tcPr>
          <w:p w14:paraId="3D99DDC3"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2DD5263" w14:textId="77777777" w:rsidR="00000000" w:rsidRDefault="00195E73">
            <w:pPr>
              <w:jc w:val="center"/>
              <w:rPr>
                <w:rFonts w:eastAsia="Times New Roman"/>
              </w:rPr>
            </w:pPr>
            <w:r>
              <w:rPr>
                <w:rFonts w:eastAsia="Times New Roman"/>
                <w:b/>
                <w:bCs/>
                <w:color w:val="000000"/>
                <w:sz w:val="20"/>
                <w:szCs w:val="20"/>
              </w:rPr>
              <w:t>December 31, 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0FAE83EC"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507B40D" w14:textId="77777777" w:rsidR="00000000" w:rsidRDefault="00195E73">
            <w:pPr>
              <w:jc w:val="center"/>
              <w:rPr>
                <w:rFonts w:eastAsia="Times New Roman"/>
              </w:rPr>
            </w:pPr>
            <w:r>
              <w:rPr>
                <w:rFonts w:eastAsia="Times New Roman"/>
                <w:b/>
                <w:bCs/>
                <w:color w:val="000000"/>
                <w:sz w:val="20"/>
                <w:szCs w:val="20"/>
              </w:rPr>
              <w:t>December 31, 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14:paraId="03931CDC"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DC6D7FF" w14:textId="77777777" w:rsidR="00000000" w:rsidRDefault="00195E73">
            <w:pPr>
              <w:jc w:val="center"/>
              <w:rPr>
                <w:rFonts w:eastAsia="Times New Roman"/>
              </w:rPr>
            </w:pPr>
            <w:r>
              <w:rPr>
                <w:rFonts w:eastAsia="Times New Roman"/>
                <w:b/>
                <w:bCs/>
                <w:color w:val="000000"/>
                <w:sz w:val="20"/>
                <w:szCs w:val="20"/>
              </w:rPr>
              <w:t>December 31, 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105934B2"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9474916" w14:textId="77777777" w:rsidR="00000000" w:rsidRDefault="00195E73">
            <w:pPr>
              <w:jc w:val="center"/>
              <w:rPr>
                <w:rFonts w:eastAsia="Times New Roman"/>
              </w:rPr>
            </w:pPr>
            <w:r>
              <w:rPr>
                <w:rFonts w:eastAsia="Times New Roman"/>
                <w:b/>
                <w:bCs/>
                <w:color w:val="000000"/>
                <w:sz w:val="20"/>
                <w:szCs w:val="20"/>
              </w:rPr>
              <w:t>December 31, 201</w:t>
            </w:r>
            <w:r>
              <w:rPr>
                <w:rFonts w:eastAsia="Times New Roman"/>
                <w:b/>
                <w:bCs/>
                <w:color w:val="000000"/>
                <w:sz w:val="20"/>
                <w:szCs w:val="20"/>
              </w:rPr>
              <w:t>8</w:t>
            </w:r>
          </w:p>
        </w:tc>
        <w:tc>
          <w:tcPr>
            <w:tcW w:w="0" w:type="auto"/>
            <w:vAlign w:val="center"/>
            <w:hideMark/>
          </w:tcPr>
          <w:p w14:paraId="4ECBA237" w14:textId="77777777" w:rsidR="00000000" w:rsidRDefault="00195E73">
            <w:pPr>
              <w:rPr>
                <w:rFonts w:eastAsia="Times New Roman"/>
                <w:sz w:val="20"/>
                <w:szCs w:val="20"/>
              </w:rPr>
            </w:pPr>
          </w:p>
        </w:tc>
        <w:tc>
          <w:tcPr>
            <w:tcW w:w="0" w:type="auto"/>
            <w:vAlign w:val="center"/>
            <w:hideMark/>
          </w:tcPr>
          <w:p w14:paraId="751AEDEC" w14:textId="77777777" w:rsidR="00000000" w:rsidRDefault="00195E73">
            <w:pPr>
              <w:rPr>
                <w:rFonts w:eastAsia="Times New Roman"/>
                <w:sz w:val="20"/>
                <w:szCs w:val="20"/>
              </w:rPr>
            </w:pPr>
          </w:p>
        </w:tc>
        <w:tc>
          <w:tcPr>
            <w:tcW w:w="0" w:type="auto"/>
            <w:vAlign w:val="center"/>
            <w:hideMark/>
          </w:tcPr>
          <w:p w14:paraId="25265DB0" w14:textId="77777777" w:rsidR="00000000" w:rsidRDefault="00195E73">
            <w:pPr>
              <w:rPr>
                <w:rFonts w:eastAsia="Times New Roman"/>
                <w:sz w:val="20"/>
                <w:szCs w:val="20"/>
              </w:rPr>
            </w:pPr>
          </w:p>
        </w:tc>
        <w:tc>
          <w:tcPr>
            <w:tcW w:w="0" w:type="auto"/>
            <w:vAlign w:val="center"/>
            <w:hideMark/>
          </w:tcPr>
          <w:p w14:paraId="4BE4F297" w14:textId="77777777" w:rsidR="00000000" w:rsidRDefault="00195E73">
            <w:pPr>
              <w:rPr>
                <w:rFonts w:eastAsia="Times New Roman"/>
                <w:sz w:val="20"/>
                <w:szCs w:val="20"/>
              </w:rPr>
            </w:pPr>
          </w:p>
        </w:tc>
        <w:tc>
          <w:tcPr>
            <w:tcW w:w="0" w:type="auto"/>
            <w:vAlign w:val="center"/>
            <w:hideMark/>
          </w:tcPr>
          <w:p w14:paraId="293B79E7" w14:textId="77777777" w:rsidR="00000000" w:rsidRDefault="00195E73">
            <w:pPr>
              <w:rPr>
                <w:rFonts w:eastAsia="Times New Roman"/>
                <w:sz w:val="20"/>
                <w:szCs w:val="20"/>
              </w:rPr>
            </w:pPr>
          </w:p>
        </w:tc>
        <w:tc>
          <w:tcPr>
            <w:tcW w:w="0" w:type="auto"/>
            <w:vAlign w:val="center"/>
            <w:hideMark/>
          </w:tcPr>
          <w:p w14:paraId="69C04DBC" w14:textId="77777777" w:rsidR="00000000" w:rsidRDefault="00195E73">
            <w:pPr>
              <w:rPr>
                <w:rFonts w:eastAsia="Times New Roman"/>
                <w:sz w:val="20"/>
                <w:szCs w:val="20"/>
              </w:rPr>
            </w:pPr>
          </w:p>
        </w:tc>
        <w:tc>
          <w:tcPr>
            <w:tcW w:w="0" w:type="auto"/>
            <w:vAlign w:val="center"/>
            <w:hideMark/>
          </w:tcPr>
          <w:p w14:paraId="117315B1" w14:textId="77777777" w:rsidR="00000000" w:rsidRDefault="00195E73">
            <w:pPr>
              <w:rPr>
                <w:rFonts w:eastAsia="Times New Roman"/>
                <w:sz w:val="20"/>
                <w:szCs w:val="20"/>
              </w:rPr>
            </w:pPr>
          </w:p>
        </w:tc>
        <w:tc>
          <w:tcPr>
            <w:tcW w:w="0" w:type="auto"/>
            <w:vAlign w:val="center"/>
            <w:hideMark/>
          </w:tcPr>
          <w:p w14:paraId="0713EC77" w14:textId="77777777" w:rsidR="00000000" w:rsidRDefault="00195E73">
            <w:pPr>
              <w:rPr>
                <w:rFonts w:eastAsia="Times New Roman"/>
                <w:sz w:val="20"/>
                <w:szCs w:val="20"/>
              </w:rPr>
            </w:pPr>
          </w:p>
        </w:tc>
        <w:tc>
          <w:tcPr>
            <w:tcW w:w="0" w:type="auto"/>
            <w:vAlign w:val="center"/>
            <w:hideMark/>
          </w:tcPr>
          <w:p w14:paraId="22633772" w14:textId="77777777" w:rsidR="00000000" w:rsidRDefault="00195E73">
            <w:pPr>
              <w:rPr>
                <w:rFonts w:eastAsia="Times New Roman"/>
                <w:sz w:val="20"/>
                <w:szCs w:val="20"/>
              </w:rPr>
            </w:pPr>
          </w:p>
        </w:tc>
      </w:tr>
      <w:tr w:rsidR="00000000" w14:paraId="4C2A955B" w14:textId="77777777">
        <w:trPr>
          <w:divId w:val="697662974"/>
          <w:jc w:val="center"/>
        </w:trPr>
        <w:tc>
          <w:tcPr>
            <w:tcW w:w="0" w:type="auto"/>
            <w:gridSpan w:val="3"/>
            <w:tcMar>
              <w:top w:w="15" w:type="dxa"/>
              <w:left w:w="20" w:type="dxa"/>
              <w:bottom w:w="15" w:type="dxa"/>
              <w:right w:w="20" w:type="dxa"/>
            </w:tcMar>
            <w:vAlign w:val="bottom"/>
            <w:hideMark/>
          </w:tcPr>
          <w:p w14:paraId="2CDAE957" w14:textId="77777777" w:rsidR="00000000" w:rsidRDefault="00195E73">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14:paraId="6536873E"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77EF5127" w14:textId="77777777" w:rsidR="00000000" w:rsidRDefault="00195E73">
            <w:pPr>
              <w:jc w:val="center"/>
              <w:rPr>
                <w:rFonts w:eastAsia="Times New Roman"/>
              </w:rPr>
            </w:pPr>
          </w:p>
        </w:tc>
        <w:tc>
          <w:tcPr>
            <w:tcW w:w="0" w:type="auto"/>
            <w:gridSpan w:val="3"/>
            <w:vAlign w:val="center"/>
            <w:hideMark/>
          </w:tcPr>
          <w:p w14:paraId="33093A22" w14:textId="77777777" w:rsidR="00000000" w:rsidRDefault="00195E73">
            <w:pPr>
              <w:rPr>
                <w:rFonts w:eastAsia="Times New Roman"/>
                <w:sz w:val="20"/>
                <w:szCs w:val="20"/>
              </w:rPr>
            </w:pPr>
          </w:p>
        </w:tc>
        <w:tc>
          <w:tcPr>
            <w:tcW w:w="0" w:type="auto"/>
            <w:gridSpan w:val="3"/>
            <w:vAlign w:val="center"/>
            <w:hideMark/>
          </w:tcPr>
          <w:p w14:paraId="0407F2A9" w14:textId="77777777" w:rsidR="00000000" w:rsidRDefault="00195E73">
            <w:pPr>
              <w:rPr>
                <w:rFonts w:eastAsia="Times New Roman"/>
                <w:sz w:val="20"/>
                <w:szCs w:val="20"/>
              </w:rPr>
            </w:pPr>
          </w:p>
        </w:tc>
        <w:tc>
          <w:tcPr>
            <w:tcW w:w="0" w:type="auto"/>
            <w:gridSpan w:val="3"/>
            <w:vAlign w:val="center"/>
            <w:hideMark/>
          </w:tcPr>
          <w:p w14:paraId="3FF4FBBC" w14:textId="77777777" w:rsidR="00000000" w:rsidRDefault="00195E73">
            <w:pPr>
              <w:rPr>
                <w:rFonts w:eastAsia="Times New Roman"/>
                <w:sz w:val="20"/>
                <w:szCs w:val="20"/>
              </w:rPr>
            </w:pPr>
          </w:p>
        </w:tc>
        <w:tc>
          <w:tcPr>
            <w:tcW w:w="0" w:type="auto"/>
            <w:gridSpan w:val="3"/>
            <w:vAlign w:val="center"/>
            <w:hideMark/>
          </w:tcPr>
          <w:p w14:paraId="346A39EF" w14:textId="77777777" w:rsidR="00000000" w:rsidRDefault="00195E73">
            <w:pPr>
              <w:rPr>
                <w:rFonts w:eastAsia="Times New Roman"/>
                <w:sz w:val="20"/>
                <w:szCs w:val="20"/>
              </w:rPr>
            </w:pPr>
          </w:p>
        </w:tc>
        <w:tc>
          <w:tcPr>
            <w:tcW w:w="0" w:type="auto"/>
            <w:gridSpan w:val="3"/>
            <w:vAlign w:val="center"/>
            <w:hideMark/>
          </w:tcPr>
          <w:p w14:paraId="6A3D491C" w14:textId="77777777" w:rsidR="00000000" w:rsidRDefault="00195E73">
            <w:pPr>
              <w:rPr>
                <w:rFonts w:eastAsia="Times New Roman"/>
                <w:sz w:val="20"/>
                <w:szCs w:val="20"/>
              </w:rPr>
            </w:pPr>
          </w:p>
        </w:tc>
      </w:tr>
      <w:tr w:rsidR="00000000" w14:paraId="17C1F9F9" w14:textId="77777777">
        <w:trPr>
          <w:divId w:val="697662974"/>
          <w:jc w:val="center"/>
        </w:trPr>
        <w:tc>
          <w:tcPr>
            <w:tcW w:w="0" w:type="auto"/>
            <w:gridSpan w:val="3"/>
            <w:shd w:val="clear" w:color="auto" w:fill="CCEEFF"/>
            <w:tcMar>
              <w:top w:w="30" w:type="dxa"/>
              <w:left w:w="20" w:type="dxa"/>
              <w:bottom w:w="30" w:type="dxa"/>
              <w:right w:w="20" w:type="dxa"/>
            </w:tcMar>
            <w:vAlign w:val="bottom"/>
            <w:hideMark/>
          </w:tcPr>
          <w:p w14:paraId="18B0AA43" w14:textId="77777777" w:rsidR="00000000" w:rsidRDefault="00195E73">
            <w:pPr>
              <w:rPr>
                <w:rFonts w:eastAsia="Times New Roman"/>
              </w:rPr>
            </w:pPr>
            <w:r>
              <w:rPr>
                <w:rFonts w:eastAsia="Times New Roman"/>
                <w:color w:val="000000"/>
                <w:sz w:val="20"/>
                <w:szCs w:val="20"/>
              </w:rPr>
              <w:t>Equity contract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4C809CE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D0F946A" w14:textId="77777777" w:rsidR="00000000" w:rsidRDefault="00195E73">
            <w:pPr>
              <w:jc w:val="right"/>
              <w:rPr>
                <w:rFonts w:eastAsia="Times New Roman"/>
              </w:rPr>
            </w:pPr>
            <w:r>
              <w:rPr>
                <w:rFonts w:eastAsia="Times New Roman"/>
                <w:color w:val="000000"/>
                <w:sz w:val="20"/>
                <w:szCs w:val="20"/>
              </w:rPr>
              <w:t>291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9BDB28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D77916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F130A5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8819716" w14:textId="77777777" w:rsidR="00000000" w:rsidRDefault="00195E73">
            <w:pPr>
              <w:jc w:val="right"/>
              <w:rPr>
                <w:rFonts w:eastAsia="Times New Roman"/>
              </w:rPr>
            </w:pPr>
            <w:r>
              <w:rPr>
                <w:rFonts w:eastAsia="Times New Roman"/>
                <w:color w:val="000000"/>
                <w:sz w:val="20"/>
                <w:szCs w:val="20"/>
              </w:rPr>
              <w:t>568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E8DDFC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3CF161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A8F0B5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CB27E58" w14:textId="77777777" w:rsidR="00000000" w:rsidRDefault="00195E73">
            <w:pPr>
              <w:jc w:val="right"/>
              <w:rPr>
                <w:rFonts w:eastAsia="Times New Roman"/>
              </w:rPr>
            </w:pPr>
            <w:r>
              <w:rPr>
                <w:rFonts w:eastAsia="Times New Roman"/>
                <w:color w:val="000000"/>
                <w:sz w:val="20"/>
                <w:szCs w:val="20"/>
              </w:rPr>
              <w:t>1,058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6A5ADD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0BE47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C4828E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75716CB" w14:textId="77777777" w:rsidR="00000000" w:rsidRDefault="00195E73">
            <w:pPr>
              <w:jc w:val="right"/>
              <w:rPr>
                <w:rFonts w:eastAsia="Times New Roman"/>
              </w:rPr>
            </w:pPr>
            <w:r>
              <w:rPr>
                <w:rFonts w:eastAsia="Times New Roman"/>
                <w:color w:val="000000"/>
                <w:sz w:val="20"/>
                <w:szCs w:val="20"/>
              </w:rPr>
              <w:t>170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312258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A36F705" w14:textId="77777777" w:rsidR="00000000" w:rsidRDefault="00195E73">
            <w:pPr>
              <w:rPr>
                <w:rFonts w:eastAsia="Times New Roman"/>
                <w:sz w:val="20"/>
                <w:szCs w:val="20"/>
              </w:rPr>
            </w:pPr>
          </w:p>
        </w:tc>
        <w:tc>
          <w:tcPr>
            <w:tcW w:w="0" w:type="auto"/>
            <w:vAlign w:val="center"/>
            <w:hideMark/>
          </w:tcPr>
          <w:p w14:paraId="59AF7D7E" w14:textId="77777777" w:rsidR="00000000" w:rsidRDefault="00195E73">
            <w:pPr>
              <w:rPr>
                <w:rFonts w:eastAsia="Times New Roman"/>
                <w:sz w:val="20"/>
                <w:szCs w:val="20"/>
              </w:rPr>
            </w:pPr>
          </w:p>
        </w:tc>
        <w:tc>
          <w:tcPr>
            <w:tcW w:w="0" w:type="auto"/>
            <w:vAlign w:val="center"/>
            <w:hideMark/>
          </w:tcPr>
          <w:p w14:paraId="3C6E3339" w14:textId="77777777" w:rsidR="00000000" w:rsidRDefault="00195E73">
            <w:pPr>
              <w:rPr>
                <w:rFonts w:eastAsia="Times New Roman"/>
                <w:sz w:val="20"/>
                <w:szCs w:val="20"/>
              </w:rPr>
            </w:pPr>
          </w:p>
        </w:tc>
        <w:tc>
          <w:tcPr>
            <w:tcW w:w="0" w:type="auto"/>
            <w:vAlign w:val="center"/>
            <w:hideMark/>
          </w:tcPr>
          <w:p w14:paraId="6AAFF37C" w14:textId="77777777" w:rsidR="00000000" w:rsidRDefault="00195E73">
            <w:pPr>
              <w:rPr>
                <w:rFonts w:eastAsia="Times New Roman"/>
                <w:sz w:val="20"/>
                <w:szCs w:val="20"/>
              </w:rPr>
            </w:pPr>
          </w:p>
        </w:tc>
        <w:tc>
          <w:tcPr>
            <w:tcW w:w="0" w:type="auto"/>
            <w:vAlign w:val="center"/>
            <w:hideMark/>
          </w:tcPr>
          <w:p w14:paraId="7B1CDDD2" w14:textId="77777777" w:rsidR="00000000" w:rsidRDefault="00195E73">
            <w:pPr>
              <w:rPr>
                <w:rFonts w:eastAsia="Times New Roman"/>
                <w:sz w:val="20"/>
                <w:szCs w:val="20"/>
              </w:rPr>
            </w:pPr>
          </w:p>
        </w:tc>
        <w:tc>
          <w:tcPr>
            <w:tcW w:w="0" w:type="auto"/>
            <w:vAlign w:val="center"/>
            <w:hideMark/>
          </w:tcPr>
          <w:p w14:paraId="1D76B235" w14:textId="77777777" w:rsidR="00000000" w:rsidRDefault="00195E73">
            <w:pPr>
              <w:rPr>
                <w:rFonts w:eastAsia="Times New Roman"/>
                <w:sz w:val="20"/>
                <w:szCs w:val="20"/>
              </w:rPr>
            </w:pPr>
          </w:p>
        </w:tc>
        <w:tc>
          <w:tcPr>
            <w:tcW w:w="0" w:type="auto"/>
            <w:vAlign w:val="center"/>
            <w:hideMark/>
          </w:tcPr>
          <w:p w14:paraId="6D9F6AE6" w14:textId="77777777" w:rsidR="00000000" w:rsidRDefault="00195E73">
            <w:pPr>
              <w:rPr>
                <w:rFonts w:eastAsia="Times New Roman"/>
                <w:sz w:val="20"/>
                <w:szCs w:val="20"/>
              </w:rPr>
            </w:pPr>
          </w:p>
        </w:tc>
        <w:tc>
          <w:tcPr>
            <w:tcW w:w="0" w:type="auto"/>
            <w:vAlign w:val="center"/>
            <w:hideMark/>
          </w:tcPr>
          <w:p w14:paraId="17D4FCFB" w14:textId="77777777" w:rsidR="00000000" w:rsidRDefault="00195E73">
            <w:pPr>
              <w:rPr>
                <w:rFonts w:eastAsia="Times New Roman"/>
                <w:sz w:val="20"/>
                <w:szCs w:val="20"/>
              </w:rPr>
            </w:pPr>
          </w:p>
        </w:tc>
        <w:tc>
          <w:tcPr>
            <w:tcW w:w="0" w:type="auto"/>
            <w:vAlign w:val="center"/>
            <w:hideMark/>
          </w:tcPr>
          <w:p w14:paraId="60F9F3BC" w14:textId="77777777" w:rsidR="00000000" w:rsidRDefault="00195E73">
            <w:pPr>
              <w:rPr>
                <w:rFonts w:eastAsia="Times New Roman"/>
                <w:sz w:val="20"/>
                <w:szCs w:val="20"/>
              </w:rPr>
            </w:pPr>
          </w:p>
        </w:tc>
        <w:tc>
          <w:tcPr>
            <w:tcW w:w="0" w:type="auto"/>
            <w:vAlign w:val="center"/>
            <w:hideMark/>
          </w:tcPr>
          <w:p w14:paraId="7008693B" w14:textId="77777777" w:rsidR="00000000" w:rsidRDefault="00195E73">
            <w:pPr>
              <w:rPr>
                <w:rFonts w:eastAsia="Times New Roman"/>
                <w:sz w:val="20"/>
                <w:szCs w:val="20"/>
              </w:rPr>
            </w:pPr>
          </w:p>
        </w:tc>
        <w:tc>
          <w:tcPr>
            <w:tcW w:w="0" w:type="auto"/>
            <w:vAlign w:val="center"/>
            <w:hideMark/>
          </w:tcPr>
          <w:p w14:paraId="0DB9F8E5" w14:textId="77777777" w:rsidR="00000000" w:rsidRDefault="00195E73">
            <w:pPr>
              <w:rPr>
                <w:rFonts w:eastAsia="Times New Roman"/>
                <w:sz w:val="20"/>
                <w:szCs w:val="20"/>
              </w:rPr>
            </w:pPr>
          </w:p>
        </w:tc>
        <w:tc>
          <w:tcPr>
            <w:tcW w:w="0" w:type="auto"/>
            <w:vAlign w:val="center"/>
            <w:hideMark/>
          </w:tcPr>
          <w:p w14:paraId="328E116E" w14:textId="77777777" w:rsidR="00000000" w:rsidRDefault="00195E73">
            <w:pPr>
              <w:rPr>
                <w:rFonts w:eastAsia="Times New Roman"/>
                <w:sz w:val="20"/>
                <w:szCs w:val="20"/>
              </w:rPr>
            </w:pPr>
          </w:p>
        </w:tc>
        <w:tc>
          <w:tcPr>
            <w:tcW w:w="0" w:type="auto"/>
            <w:vAlign w:val="center"/>
            <w:hideMark/>
          </w:tcPr>
          <w:p w14:paraId="0F3F7132" w14:textId="77777777" w:rsidR="00000000" w:rsidRDefault="00195E73">
            <w:pPr>
              <w:rPr>
                <w:rFonts w:eastAsia="Times New Roman"/>
                <w:sz w:val="20"/>
                <w:szCs w:val="20"/>
              </w:rPr>
            </w:pPr>
          </w:p>
        </w:tc>
        <w:tc>
          <w:tcPr>
            <w:tcW w:w="0" w:type="auto"/>
            <w:vAlign w:val="center"/>
            <w:hideMark/>
          </w:tcPr>
          <w:p w14:paraId="0FE6428A" w14:textId="77777777" w:rsidR="00000000" w:rsidRDefault="00195E73">
            <w:pPr>
              <w:rPr>
                <w:rFonts w:eastAsia="Times New Roman"/>
                <w:sz w:val="20"/>
                <w:szCs w:val="20"/>
              </w:rPr>
            </w:pPr>
          </w:p>
        </w:tc>
        <w:tc>
          <w:tcPr>
            <w:tcW w:w="0" w:type="auto"/>
            <w:vAlign w:val="center"/>
            <w:hideMark/>
          </w:tcPr>
          <w:p w14:paraId="0F936487" w14:textId="77777777" w:rsidR="00000000" w:rsidRDefault="00195E73">
            <w:pPr>
              <w:rPr>
                <w:rFonts w:eastAsia="Times New Roman"/>
                <w:sz w:val="20"/>
                <w:szCs w:val="20"/>
              </w:rPr>
            </w:pPr>
          </w:p>
        </w:tc>
        <w:tc>
          <w:tcPr>
            <w:tcW w:w="0" w:type="auto"/>
            <w:vAlign w:val="center"/>
            <w:hideMark/>
          </w:tcPr>
          <w:p w14:paraId="248451F5" w14:textId="77777777" w:rsidR="00000000" w:rsidRDefault="00195E73">
            <w:pPr>
              <w:rPr>
                <w:rFonts w:eastAsia="Times New Roman"/>
                <w:sz w:val="20"/>
                <w:szCs w:val="20"/>
              </w:rPr>
            </w:pPr>
          </w:p>
        </w:tc>
        <w:tc>
          <w:tcPr>
            <w:tcW w:w="0" w:type="auto"/>
            <w:vAlign w:val="center"/>
            <w:hideMark/>
          </w:tcPr>
          <w:p w14:paraId="0348DF5A" w14:textId="77777777" w:rsidR="00000000" w:rsidRDefault="00195E73">
            <w:pPr>
              <w:rPr>
                <w:rFonts w:eastAsia="Times New Roman"/>
                <w:sz w:val="20"/>
                <w:szCs w:val="20"/>
              </w:rPr>
            </w:pPr>
          </w:p>
        </w:tc>
        <w:tc>
          <w:tcPr>
            <w:tcW w:w="0" w:type="auto"/>
            <w:vAlign w:val="center"/>
            <w:hideMark/>
          </w:tcPr>
          <w:p w14:paraId="1DAD2DC7" w14:textId="77777777" w:rsidR="00000000" w:rsidRDefault="00195E73">
            <w:pPr>
              <w:rPr>
                <w:rFonts w:eastAsia="Times New Roman"/>
                <w:sz w:val="20"/>
                <w:szCs w:val="20"/>
              </w:rPr>
            </w:pPr>
          </w:p>
        </w:tc>
      </w:tr>
      <w:tr w:rsidR="00000000" w14:paraId="70FDBF90" w14:textId="77777777">
        <w:trPr>
          <w:divId w:val="697662974"/>
          <w:jc w:val="center"/>
        </w:trPr>
        <w:tc>
          <w:tcPr>
            <w:tcW w:w="0" w:type="auto"/>
            <w:gridSpan w:val="3"/>
            <w:shd w:val="clear" w:color="auto" w:fill="FFFFFF"/>
            <w:tcMar>
              <w:top w:w="30" w:type="dxa"/>
              <w:left w:w="20" w:type="dxa"/>
              <w:bottom w:w="30" w:type="dxa"/>
              <w:right w:w="20" w:type="dxa"/>
            </w:tcMar>
            <w:vAlign w:val="bottom"/>
            <w:hideMark/>
          </w:tcPr>
          <w:p w14:paraId="079F854D" w14:textId="77777777" w:rsidR="00000000" w:rsidRDefault="00195E73">
            <w:pPr>
              <w:rPr>
                <w:rFonts w:eastAsia="Times New Roman"/>
              </w:rPr>
            </w:pPr>
            <w:r>
              <w:rPr>
                <w:rFonts w:eastAsia="Times New Roman"/>
                <w:color w:val="000000"/>
                <w:sz w:val="20"/>
                <w:szCs w:val="20"/>
              </w:rPr>
              <w:t>Credit contract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DC98529"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706337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3F201B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3902B4" w14:textId="77777777" w:rsidR="00000000" w:rsidRDefault="00195E73">
            <w:pPr>
              <w:jc w:val="right"/>
              <w:rPr>
                <w:rFonts w:eastAsia="Times New Roman"/>
              </w:rPr>
            </w:pPr>
            <w:r>
              <w:rPr>
                <w:rFonts w:eastAsia="Times New Roman"/>
                <w:color w:val="000000"/>
                <w:sz w:val="20"/>
                <w:szCs w:val="20"/>
              </w:rPr>
              <w:t>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4298DD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932E11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F14E53" w14:textId="77777777" w:rsidR="00000000" w:rsidRDefault="00195E73">
            <w:pPr>
              <w:jc w:val="right"/>
              <w:rPr>
                <w:rFonts w:eastAsia="Times New Roman"/>
              </w:rPr>
            </w:pPr>
            <w:r>
              <w:rPr>
                <w:rFonts w:eastAsia="Times New Roman"/>
                <w:color w:val="000000"/>
                <w:sz w:val="20"/>
                <w:szCs w:val="20"/>
              </w:rPr>
              <w:t>266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756975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FFA13D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D71FF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2F1A41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B31C986" w14:textId="77777777" w:rsidR="00000000" w:rsidRDefault="00195E73">
            <w:pPr>
              <w:rPr>
                <w:rFonts w:eastAsia="Times New Roman"/>
                <w:sz w:val="20"/>
                <w:szCs w:val="20"/>
              </w:rPr>
            </w:pPr>
          </w:p>
        </w:tc>
        <w:tc>
          <w:tcPr>
            <w:tcW w:w="0" w:type="auto"/>
            <w:vAlign w:val="center"/>
            <w:hideMark/>
          </w:tcPr>
          <w:p w14:paraId="300CDD1E" w14:textId="77777777" w:rsidR="00000000" w:rsidRDefault="00195E73">
            <w:pPr>
              <w:rPr>
                <w:rFonts w:eastAsia="Times New Roman"/>
                <w:sz w:val="20"/>
                <w:szCs w:val="20"/>
              </w:rPr>
            </w:pPr>
          </w:p>
        </w:tc>
        <w:tc>
          <w:tcPr>
            <w:tcW w:w="0" w:type="auto"/>
            <w:vAlign w:val="center"/>
            <w:hideMark/>
          </w:tcPr>
          <w:p w14:paraId="788B8DA7" w14:textId="77777777" w:rsidR="00000000" w:rsidRDefault="00195E73">
            <w:pPr>
              <w:rPr>
                <w:rFonts w:eastAsia="Times New Roman"/>
                <w:sz w:val="20"/>
                <w:szCs w:val="20"/>
              </w:rPr>
            </w:pPr>
          </w:p>
        </w:tc>
        <w:tc>
          <w:tcPr>
            <w:tcW w:w="0" w:type="auto"/>
            <w:vAlign w:val="center"/>
            <w:hideMark/>
          </w:tcPr>
          <w:p w14:paraId="1CC643FE" w14:textId="77777777" w:rsidR="00000000" w:rsidRDefault="00195E73">
            <w:pPr>
              <w:rPr>
                <w:rFonts w:eastAsia="Times New Roman"/>
                <w:sz w:val="20"/>
                <w:szCs w:val="20"/>
              </w:rPr>
            </w:pPr>
          </w:p>
        </w:tc>
        <w:tc>
          <w:tcPr>
            <w:tcW w:w="0" w:type="auto"/>
            <w:vAlign w:val="center"/>
            <w:hideMark/>
          </w:tcPr>
          <w:p w14:paraId="7D2B38B8" w14:textId="77777777" w:rsidR="00000000" w:rsidRDefault="00195E73">
            <w:pPr>
              <w:rPr>
                <w:rFonts w:eastAsia="Times New Roman"/>
                <w:sz w:val="20"/>
                <w:szCs w:val="20"/>
              </w:rPr>
            </w:pPr>
          </w:p>
        </w:tc>
        <w:tc>
          <w:tcPr>
            <w:tcW w:w="0" w:type="auto"/>
            <w:vAlign w:val="center"/>
            <w:hideMark/>
          </w:tcPr>
          <w:p w14:paraId="7E2BD5B0" w14:textId="77777777" w:rsidR="00000000" w:rsidRDefault="00195E73">
            <w:pPr>
              <w:rPr>
                <w:rFonts w:eastAsia="Times New Roman"/>
                <w:sz w:val="20"/>
                <w:szCs w:val="20"/>
              </w:rPr>
            </w:pPr>
          </w:p>
        </w:tc>
        <w:tc>
          <w:tcPr>
            <w:tcW w:w="0" w:type="auto"/>
            <w:vAlign w:val="center"/>
            <w:hideMark/>
          </w:tcPr>
          <w:p w14:paraId="72B1C209" w14:textId="77777777" w:rsidR="00000000" w:rsidRDefault="00195E73">
            <w:pPr>
              <w:rPr>
                <w:rFonts w:eastAsia="Times New Roman"/>
                <w:sz w:val="20"/>
                <w:szCs w:val="20"/>
              </w:rPr>
            </w:pPr>
          </w:p>
        </w:tc>
        <w:tc>
          <w:tcPr>
            <w:tcW w:w="0" w:type="auto"/>
            <w:vAlign w:val="center"/>
            <w:hideMark/>
          </w:tcPr>
          <w:p w14:paraId="286DD246" w14:textId="77777777" w:rsidR="00000000" w:rsidRDefault="00195E73">
            <w:pPr>
              <w:rPr>
                <w:rFonts w:eastAsia="Times New Roman"/>
                <w:sz w:val="20"/>
                <w:szCs w:val="20"/>
              </w:rPr>
            </w:pPr>
          </w:p>
        </w:tc>
        <w:tc>
          <w:tcPr>
            <w:tcW w:w="0" w:type="auto"/>
            <w:vAlign w:val="center"/>
            <w:hideMark/>
          </w:tcPr>
          <w:p w14:paraId="18289CC7" w14:textId="77777777" w:rsidR="00000000" w:rsidRDefault="00195E73">
            <w:pPr>
              <w:rPr>
                <w:rFonts w:eastAsia="Times New Roman"/>
                <w:sz w:val="20"/>
                <w:szCs w:val="20"/>
              </w:rPr>
            </w:pPr>
          </w:p>
        </w:tc>
        <w:tc>
          <w:tcPr>
            <w:tcW w:w="0" w:type="auto"/>
            <w:vAlign w:val="center"/>
            <w:hideMark/>
          </w:tcPr>
          <w:p w14:paraId="69132D7F" w14:textId="77777777" w:rsidR="00000000" w:rsidRDefault="00195E73">
            <w:pPr>
              <w:rPr>
                <w:rFonts w:eastAsia="Times New Roman"/>
                <w:sz w:val="20"/>
                <w:szCs w:val="20"/>
              </w:rPr>
            </w:pPr>
          </w:p>
        </w:tc>
        <w:tc>
          <w:tcPr>
            <w:tcW w:w="0" w:type="auto"/>
            <w:vAlign w:val="center"/>
            <w:hideMark/>
          </w:tcPr>
          <w:p w14:paraId="1FC54B9D" w14:textId="77777777" w:rsidR="00000000" w:rsidRDefault="00195E73">
            <w:pPr>
              <w:rPr>
                <w:rFonts w:eastAsia="Times New Roman"/>
                <w:sz w:val="20"/>
                <w:szCs w:val="20"/>
              </w:rPr>
            </w:pPr>
          </w:p>
        </w:tc>
        <w:tc>
          <w:tcPr>
            <w:tcW w:w="0" w:type="auto"/>
            <w:vAlign w:val="center"/>
            <w:hideMark/>
          </w:tcPr>
          <w:p w14:paraId="6EF27DC7" w14:textId="77777777" w:rsidR="00000000" w:rsidRDefault="00195E73">
            <w:pPr>
              <w:rPr>
                <w:rFonts w:eastAsia="Times New Roman"/>
                <w:sz w:val="20"/>
                <w:szCs w:val="20"/>
              </w:rPr>
            </w:pPr>
          </w:p>
        </w:tc>
        <w:tc>
          <w:tcPr>
            <w:tcW w:w="0" w:type="auto"/>
            <w:vAlign w:val="center"/>
            <w:hideMark/>
          </w:tcPr>
          <w:p w14:paraId="67D040E3" w14:textId="77777777" w:rsidR="00000000" w:rsidRDefault="00195E73">
            <w:pPr>
              <w:rPr>
                <w:rFonts w:eastAsia="Times New Roman"/>
                <w:sz w:val="20"/>
                <w:szCs w:val="20"/>
              </w:rPr>
            </w:pPr>
          </w:p>
        </w:tc>
        <w:tc>
          <w:tcPr>
            <w:tcW w:w="0" w:type="auto"/>
            <w:vAlign w:val="center"/>
            <w:hideMark/>
          </w:tcPr>
          <w:p w14:paraId="3B563F93" w14:textId="77777777" w:rsidR="00000000" w:rsidRDefault="00195E73">
            <w:pPr>
              <w:rPr>
                <w:rFonts w:eastAsia="Times New Roman"/>
                <w:sz w:val="20"/>
                <w:szCs w:val="20"/>
              </w:rPr>
            </w:pPr>
          </w:p>
        </w:tc>
        <w:tc>
          <w:tcPr>
            <w:tcW w:w="0" w:type="auto"/>
            <w:vAlign w:val="center"/>
            <w:hideMark/>
          </w:tcPr>
          <w:p w14:paraId="76D1AE96" w14:textId="77777777" w:rsidR="00000000" w:rsidRDefault="00195E73">
            <w:pPr>
              <w:rPr>
                <w:rFonts w:eastAsia="Times New Roman"/>
                <w:sz w:val="20"/>
                <w:szCs w:val="20"/>
              </w:rPr>
            </w:pPr>
          </w:p>
        </w:tc>
        <w:tc>
          <w:tcPr>
            <w:tcW w:w="0" w:type="auto"/>
            <w:vAlign w:val="center"/>
            <w:hideMark/>
          </w:tcPr>
          <w:p w14:paraId="65239592" w14:textId="77777777" w:rsidR="00000000" w:rsidRDefault="00195E73">
            <w:pPr>
              <w:rPr>
                <w:rFonts w:eastAsia="Times New Roman"/>
                <w:sz w:val="20"/>
                <w:szCs w:val="20"/>
              </w:rPr>
            </w:pPr>
          </w:p>
        </w:tc>
        <w:tc>
          <w:tcPr>
            <w:tcW w:w="0" w:type="auto"/>
            <w:vAlign w:val="center"/>
            <w:hideMark/>
          </w:tcPr>
          <w:p w14:paraId="212DDD3B" w14:textId="77777777" w:rsidR="00000000" w:rsidRDefault="00195E73">
            <w:pPr>
              <w:rPr>
                <w:rFonts w:eastAsia="Times New Roman"/>
                <w:sz w:val="20"/>
                <w:szCs w:val="20"/>
              </w:rPr>
            </w:pPr>
          </w:p>
        </w:tc>
        <w:tc>
          <w:tcPr>
            <w:tcW w:w="0" w:type="auto"/>
            <w:vAlign w:val="center"/>
            <w:hideMark/>
          </w:tcPr>
          <w:p w14:paraId="778CD614" w14:textId="77777777" w:rsidR="00000000" w:rsidRDefault="00195E73">
            <w:pPr>
              <w:rPr>
                <w:rFonts w:eastAsia="Times New Roman"/>
                <w:sz w:val="20"/>
                <w:szCs w:val="20"/>
              </w:rPr>
            </w:pPr>
          </w:p>
        </w:tc>
      </w:tr>
      <w:tr w:rsidR="00000000" w14:paraId="732A30C6" w14:textId="77777777">
        <w:trPr>
          <w:divId w:val="697662974"/>
          <w:jc w:val="center"/>
        </w:trPr>
        <w:tc>
          <w:tcPr>
            <w:tcW w:w="0" w:type="auto"/>
            <w:gridSpan w:val="3"/>
            <w:shd w:val="clear" w:color="auto" w:fill="CCEEFF"/>
            <w:tcMar>
              <w:top w:w="30" w:type="dxa"/>
              <w:left w:w="20" w:type="dxa"/>
              <w:bottom w:w="30" w:type="dxa"/>
              <w:right w:w="20" w:type="dxa"/>
            </w:tcMar>
            <w:vAlign w:val="bottom"/>
            <w:hideMark/>
          </w:tcPr>
          <w:p w14:paraId="51AAF2B8" w14:textId="77777777" w:rsidR="00000000" w:rsidRDefault="00195E73">
            <w:pPr>
              <w:rPr>
                <w:rFonts w:eastAsia="Times New Roman"/>
              </w:rPr>
            </w:pPr>
            <w:r>
              <w:rPr>
                <w:rFonts w:eastAsia="Times New Roman"/>
                <w:color w:val="000000"/>
                <w:sz w:val="20"/>
                <w:szCs w:val="20"/>
              </w:rPr>
              <w:t>Commodity contract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62E5CFB"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BB1BE6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CE18E1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14F60E"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330279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6AAD2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81BC4F"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822084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CA5578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1AA80F"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FAE2A2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793164C" w14:textId="77777777" w:rsidR="00000000" w:rsidRDefault="00195E73">
            <w:pPr>
              <w:rPr>
                <w:rFonts w:eastAsia="Times New Roman"/>
                <w:sz w:val="20"/>
                <w:szCs w:val="20"/>
              </w:rPr>
            </w:pPr>
          </w:p>
        </w:tc>
        <w:tc>
          <w:tcPr>
            <w:tcW w:w="0" w:type="auto"/>
            <w:vAlign w:val="center"/>
            <w:hideMark/>
          </w:tcPr>
          <w:p w14:paraId="30CB2113" w14:textId="77777777" w:rsidR="00000000" w:rsidRDefault="00195E73">
            <w:pPr>
              <w:rPr>
                <w:rFonts w:eastAsia="Times New Roman"/>
                <w:sz w:val="20"/>
                <w:szCs w:val="20"/>
              </w:rPr>
            </w:pPr>
          </w:p>
        </w:tc>
        <w:tc>
          <w:tcPr>
            <w:tcW w:w="0" w:type="auto"/>
            <w:vAlign w:val="center"/>
            <w:hideMark/>
          </w:tcPr>
          <w:p w14:paraId="7BC0A9F8" w14:textId="77777777" w:rsidR="00000000" w:rsidRDefault="00195E73">
            <w:pPr>
              <w:rPr>
                <w:rFonts w:eastAsia="Times New Roman"/>
                <w:sz w:val="20"/>
                <w:szCs w:val="20"/>
              </w:rPr>
            </w:pPr>
          </w:p>
        </w:tc>
        <w:tc>
          <w:tcPr>
            <w:tcW w:w="0" w:type="auto"/>
            <w:vAlign w:val="center"/>
            <w:hideMark/>
          </w:tcPr>
          <w:p w14:paraId="294587A8" w14:textId="77777777" w:rsidR="00000000" w:rsidRDefault="00195E73">
            <w:pPr>
              <w:rPr>
                <w:rFonts w:eastAsia="Times New Roman"/>
                <w:sz w:val="20"/>
                <w:szCs w:val="20"/>
              </w:rPr>
            </w:pPr>
          </w:p>
        </w:tc>
        <w:tc>
          <w:tcPr>
            <w:tcW w:w="0" w:type="auto"/>
            <w:vAlign w:val="center"/>
            <w:hideMark/>
          </w:tcPr>
          <w:p w14:paraId="6B71F58C" w14:textId="77777777" w:rsidR="00000000" w:rsidRDefault="00195E73">
            <w:pPr>
              <w:rPr>
                <w:rFonts w:eastAsia="Times New Roman"/>
                <w:sz w:val="20"/>
                <w:szCs w:val="20"/>
              </w:rPr>
            </w:pPr>
          </w:p>
        </w:tc>
        <w:tc>
          <w:tcPr>
            <w:tcW w:w="0" w:type="auto"/>
            <w:vAlign w:val="center"/>
            <w:hideMark/>
          </w:tcPr>
          <w:p w14:paraId="0DE5DA92" w14:textId="77777777" w:rsidR="00000000" w:rsidRDefault="00195E73">
            <w:pPr>
              <w:rPr>
                <w:rFonts w:eastAsia="Times New Roman"/>
                <w:sz w:val="20"/>
                <w:szCs w:val="20"/>
              </w:rPr>
            </w:pPr>
          </w:p>
        </w:tc>
        <w:tc>
          <w:tcPr>
            <w:tcW w:w="0" w:type="auto"/>
            <w:vAlign w:val="center"/>
            <w:hideMark/>
          </w:tcPr>
          <w:p w14:paraId="45FEDD4B" w14:textId="77777777" w:rsidR="00000000" w:rsidRDefault="00195E73">
            <w:pPr>
              <w:rPr>
                <w:rFonts w:eastAsia="Times New Roman"/>
                <w:sz w:val="20"/>
                <w:szCs w:val="20"/>
              </w:rPr>
            </w:pPr>
          </w:p>
        </w:tc>
        <w:tc>
          <w:tcPr>
            <w:tcW w:w="0" w:type="auto"/>
            <w:vAlign w:val="center"/>
            <w:hideMark/>
          </w:tcPr>
          <w:p w14:paraId="5D7C604F" w14:textId="77777777" w:rsidR="00000000" w:rsidRDefault="00195E73">
            <w:pPr>
              <w:rPr>
                <w:rFonts w:eastAsia="Times New Roman"/>
                <w:sz w:val="20"/>
                <w:szCs w:val="20"/>
              </w:rPr>
            </w:pPr>
          </w:p>
        </w:tc>
        <w:tc>
          <w:tcPr>
            <w:tcW w:w="0" w:type="auto"/>
            <w:vAlign w:val="center"/>
            <w:hideMark/>
          </w:tcPr>
          <w:p w14:paraId="07879D48" w14:textId="77777777" w:rsidR="00000000" w:rsidRDefault="00195E73">
            <w:pPr>
              <w:rPr>
                <w:rFonts w:eastAsia="Times New Roman"/>
                <w:sz w:val="20"/>
                <w:szCs w:val="20"/>
              </w:rPr>
            </w:pPr>
          </w:p>
        </w:tc>
        <w:tc>
          <w:tcPr>
            <w:tcW w:w="0" w:type="auto"/>
            <w:vAlign w:val="center"/>
            <w:hideMark/>
          </w:tcPr>
          <w:p w14:paraId="78A979D1" w14:textId="77777777" w:rsidR="00000000" w:rsidRDefault="00195E73">
            <w:pPr>
              <w:rPr>
                <w:rFonts w:eastAsia="Times New Roman"/>
                <w:sz w:val="20"/>
                <w:szCs w:val="20"/>
              </w:rPr>
            </w:pPr>
          </w:p>
        </w:tc>
        <w:tc>
          <w:tcPr>
            <w:tcW w:w="0" w:type="auto"/>
            <w:vAlign w:val="center"/>
            <w:hideMark/>
          </w:tcPr>
          <w:p w14:paraId="18B33CA4" w14:textId="77777777" w:rsidR="00000000" w:rsidRDefault="00195E73">
            <w:pPr>
              <w:rPr>
                <w:rFonts w:eastAsia="Times New Roman"/>
                <w:sz w:val="20"/>
                <w:szCs w:val="20"/>
              </w:rPr>
            </w:pPr>
          </w:p>
        </w:tc>
        <w:tc>
          <w:tcPr>
            <w:tcW w:w="0" w:type="auto"/>
            <w:vAlign w:val="center"/>
            <w:hideMark/>
          </w:tcPr>
          <w:p w14:paraId="2F2A20D8" w14:textId="77777777" w:rsidR="00000000" w:rsidRDefault="00195E73">
            <w:pPr>
              <w:rPr>
                <w:rFonts w:eastAsia="Times New Roman"/>
                <w:sz w:val="20"/>
                <w:szCs w:val="20"/>
              </w:rPr>
            </w:pPr>
          </w:p>
        </w:tc>
        <w:tc>
          <w:tcPr>
            <w:tcW w:w="0" w:type="auto"/>
            <w:vAlign w:val="center"/>
            <w:hideMark/>
          </w:tcPr>
          <w:p w14:paraId="7E3AB9F5" w14:textId="77777777" w:rsidR="00000000" w:rsidRDefault="00195E73">
            <w:pPr>
              <w:rPr>
                <w:rFonts w:eastAsia="Times New Roman"/>
                <w:sz w:val="20"/>
                <w:szCs w:val="20"/>
              </w:rPr>
            </w:pPr>
          </w:p>
        </w:tc>
        <w:tc>
          <w:tcPr>
            <w:tcW w:w="0" w:type="auto"/>
            <w:vAlign w:val="center"/>
            <w:hideMark/>
          </w:tcPr>
          <w:p w14:paraId="2DFCF4C0" w14:textId="77777777" w:rsidR="00000000" w:rsidRDefault="00195E73">
            <w:pPr>
              <w:rPr>
                <w:rFonts w:eastAsia="Times New Roman"/>
                <w:sz w:val="20"/>
                <w:szCs w:val="20"/>
              </w:rPr>
            </w:pPr>
          </w:p>
        </w:tc>
        <w:tc>
          <w:tcPr>
            <w:tcW w:w="0" w:type="auto"/>
            <w:vAlign w:val="center"/>
            <w:hideMark/>
          </w:tcPr>
          <w:p w14:paraId="5C463042" w14:textId="77777777" w:rsidR="00000000" w:rsidRDefault="00195E73">
            <w:pPr>
              <w:rPr>
                <w:rFonts w:eastAsia="Times New Roman"/>
                <w:sz w:val="20"/>
                <w:szCs w:val="20"/>
              </w:rPr>
            </w:pPr>
          </w:p>
        </w:tc>
        <w:tc>
          <w:tcPr>
            <w:tcW w:w="0" w:type="auto"/>
            <w:vAlign w:val="center"/>
            <w:hideMark/>
          </w:tcPr>
          <w:p w14:paraId="0BB62AE6" w14:textId="77777777" w:rsidR="00000000" w:rsidRDefault="00195E73">
            <w:pPr>
              <w:rPr>
                <w:rFonts w:eastAsia="Times New Roman"/>
                <w:sz w:val="20"/>
                <w:szCs w:val="20"/>
              </w:rPr>
            </w:pPr>
          </w:p>
        </w:tc>
        <w:tc>
          <w:tcPr>
            <w:tcW w:w="0" w:type="auto"/>
            <w:vAlign w:val="center"/>
            <w:hideMark/>
          </w:tcPr>
          <w:p w14:paraId="669861A4" w14:textId="77777777" w:rsidR="00000000" w:rsidRDefault="00195E73">
            <w:pPr>
              <w:rPr>
                <w:rFonts w:eastAsia="Times New Roman"/>
                <w:sz w:val="20"/>
                <w:szCs w:val="20"/>
              </w:rPr>
            </w:pPr>
          </w:p>
        </w:tc>
        <w:tc>
          <w:tcPr>
            <w:tcW w:w="0" w:type="auto"/>
            <w:vAlign w:val="center"/>
            <w:hideMark/>
          </w:tcPr>
          <w:p w14:paraId="7EE6B13B" w14:textId="77777777" w:rsidR="00000000" w:rsidRDefault="00195E73">
            <w:pPr>
              <w:rPr>
                <w:rFonts w:eastAsia="Times New Roman"/>
                <w:sz w:val="20"/>
                <w:szCs w:val="20"/>
              </w:rPr>
            </w:pPr>
          </w:p>
        </w:tc>
      </w:tr>
      <w:tr w:rsidR="00000000" w14:paraId="34A24DA9" w14:textId="77777777">
        <w:trPr>
          <w:divId w:val="697662974"/>
          <w:jc w:val="center"/>
        </w:trPr>
        <w:tc>
          <w:tcPr>
            <w:tcW w:w="0" w:type="auto"/>
            <w:gridSpan w:val="3"/>
            <w:shd w:val="clear" w:color="auto" w:fill="FFFFFF"/>
            <w:tcMar>
              <w:top w:w="30" w:type="dxa"/>
              <w:left w:w="225" w:type="dxa"/>
              <w:bottom w:w="30" w:type="dxa"/>
              <w:right w:w="20" w:type="dxa"/>
            </w:tcMar>
            <w:vAlign w:val="bottom"/>
            <w:hideMark/>
          </w:tcPr>
          <w:p w14:paraId="349DFE03" w14:textId="77777777" w:rsidR="00000000" w:rsidRDefault="00195E73">
            <w:pPr>
              <w:rPr>
                <w:rFonts w:eastAsia="Times New Roman"/>
              </w:rPr>
            </w:pPr>
            <w:r>
              <w:rPr>
                <w:rFonts w:eastAsia="Times New Roman"/>
                <w:color w:val="000000"/>
                <w:sz w:val="20"/>
                <w:szCs w:val="20"/>
              </w:rPr>
              <w:t>Sub-tota</w:t>
            </w:r>
            <w:r>
              <w:rPr>
                <w:rFonts w:eastAsia="Times New Roman"/>
                <w:color w:val="000000"/>
                <w:sz w:val="20"/>
                <w:szCs w:val="20"/>
              </w:rPr>
              <w:t>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268A17" w14:textId="77777777" w:rsidR="00000000" w:rsidRDefault="00195E73">
            <w:pPr>
              <w:jc w:val="right"/>
              <w:rPr>
                <w:rFonts w:eastAsia="Times New Roman"/>
              </w:rPr>
            </w:pPr>
            <w:r>
              <w:rPr>
                <w:rFonts w:eastAsia="Times New Roman"/>
                <w:color w:val="000000"/>
                <w:sz w:val="20"/>
                <w:szCs w:val="20"/>
              </w:rPr>
              <w:t>291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D8C556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BB4D0A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B51253" w14:textId="77777777" w:rsidR="00000000" w:rsidRDefault="00195E73">
            <w:pPr>
              <w:jc w:val="right"/>
              <w:rPr>
                <w:rFonts w:eastAsia="Times New Roman"/>
              </w:rPr>
            </w:pPr>
            <w:r>
              <w:rPr>
                <w:rFonts w:eastAsia="Times New Roman"/>
                <w:color w:val="000000"/>
                <w:sz w:val="20"/>
                <w:szCs w:val="20"/>
              </w:rPr>
              <w:t>651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78CBF9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D9FAC1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9B030A" w14:textId="77777777" w:rsidR="00000000" w:rsidRDefault="00195E73">
            <w:pPr>
              <w:jc w:val="right"/>
              <w:rPr>
                <w:rFonts w:eastAsia="Times New Roman"/>
              </w:rPr>
            </w:pPr>
            <w:r>
              <w:rPr>
                <w:rFonts w:eastAsia="Times New Roman"/>
                <w:color w:val="000000"/>
                <w:sz w:val="20"/>
                <w:szCs w:val="20"/>
              </w:rPr>
              <w:t>1,324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2D0987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7769EA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B0F25D" w14:textId="77777777" w:rsidR="00000000" w:rsidRDefault="00195E73">
            <w:pPr>
              <w:jc w:val="right"/>
              <w:rPr>
                <w:rFonts w:eastAsia="Times New Roman"/>
              </w:rPr>
            </w:pPr>
            <w:r>
              <w:rPr>
                <w:rFonts w:eastAsia="Times New Roman"/>
                <w:color w:val="000000"/>
                <w:sz w:val="20"/>
                <w:szCs w:val="20"/>
              </w:rPr>
              <w:t>170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B4EAC2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42E5FBB" w14:textId="77777777" w:rsidR="00000000" w:rsidRDefault="00195E73">
            <w:pPr>
              <w:rPr>
                <w:rFonts w:eastAsia="Times New Roman"/>
                <w:sz w:val="20"/>
                <w:szCs w:val="20"/>
              </w:rPr>
            </w:pPr>
          </w:p>
        </w:tc>
        <w:tc>
          <w:tcPr>
            <w:tcW w:w="0" w:type="auto"/>
            <w:vAlign w:val="center"/>
            <w:hideMark/>
          </w:tcPr>
          <w:p w14:paraId="221B586F" w14:textId="77777777" w:rsidR="00000000" w:rsidRDefault="00195E73">
            <w:pPr>
              <w:rPr>
                <w:rFonts w:eastAsia="Times New Roman"/>
                <w:sz w:val="20"/>
                <w:szCs w:val="20"/>
              </w:rPr>
            </w:pPr>
          </w:p>
        </w:tc>
        <w:tc>
          <w:tcPr>
            <w:tcW w:w="0" w:type="auto"/>
            <w:vAlign w:val="center"/>
            <w:hideMark/>
          </w:tcPr>
          <w:p w14:paraId="0E1C6974" w14:textId="77777777" w:rsidR="00000000" w:rsidRDefault="00195E73">
            <w:pPr>
              <w:rPr>
                <w:rFonts w:eastAsia="Times New Roman"/>
                <w:sz w:val="20"/>
                <w:szCs w:val="20"/>
              </w:rPr>
            </w:pPr>
          </w:p>
        </w:tc>
        <w:tc>
          <w:tcPr>
            <w:tcW w:w="0" w:type="auto"/>
            <w:vAlign w:val="center"/>
            <w:hideMark/>
          </w:tcPr>
          <w:p w14:paraId="7306336C" w14:textId="77777777" w:rsidR="00000000" w:rsidRDefault="00195E73">
            <w:pPr>
              <w:rPr>
                <w:rFonts w:eastAsia="Times New Roman"/>
                <w:sz w:val="20"/>
                <w:szCs w:val="20"/>
              </w:rPr>
            </w:pPr>
          </w:p>
        </w:tc>
        <w:tc>
          <w:tcPr>
            <w:tcW w:w="0" w:type="auto"/>
            <w:vAlign w:val="center"/>
            <w:hideMark/>
          </w:tcPr>
          <w:p w14:paraId="4FEF9D7C" w14:textId="77777777" w:rsidR="00000000" w:rsidRDefault="00195E73">
            <w:pPr>
              <w:rPr>
                <w:rFonts w:eastAsia="Times New Roman"/>
                <w:sz w:val="20"/>
                <w:szCs w:val="20"/>
              </w:rPr>
            </w:pPr>
          </w:p>
        </w:tc>
        <w:tc>
          <w:tcPr>
            <w:tcW w:w="0" w:type="auto"/>
            <w:vAlign w:val="center"/>
            <w:hideMark/>
          </w:tcPr>
          <w:p w14:paraId="36798393" w14:textId="77777777" w:rsidR="00000000" w:rsidRDefault="00195E73">
            <w:pPr>
              <w:rPr>
                <w:rFonts w:eastAsia="Times New Roman"/>
                <w:sz w:val="20"/>
                <w:szCs w:val="20"/>
              </w:rPr>
            </w:pPr>
          </w:p>
        </w:tc>
        <w:tc>
          <w:tcPr>
            <w:tcW w:w="0" w:type="auto"/>
            <w:vAlign w:val="center"/>
            <w:hideMark/>
          </w:tcPr>
          <w:p w14:paraId="6EB97CF6" w14:textId="77777777" w:rsidR="00000000" w:rsidRDefault="00195E73">
            <w:pPr>
              <w:rPr>
                <w:rFonts w:eastAsia="Times New Roman"/>
                <w:sz w:val="20"/>
                <w:szCs w:val="20"/>
              </w:rPr>
            </w:pPr>
          </w:p>
        </w:tc>
        <w:tc>
          <w:tcPr>
            <w:tcW w:w="0" w:type="auto"/>
            <w:vAlign w:val="center"/>
            <w:hideMark/>
          </w:tcPr>
          <w:p w14:paraId="5CFBCC0C" w14:textId="77777777" w:rsidR="00000000" w:rsidRDefault="00195E73">
            <w:pPr>
              <w:rPr>
                <w:rFonts w:eastAsia="Times New Roman"/>
                <w:sz w:val="20"/>
                <w:szCs w:val="20"/>
              </w:rPr>
            </w:pPr>
          </w:p>
        </w:tc>
        <w:tc>
          <w:tcPr>
            <w:tcW w:w="0" w:type="auto"/>
            <w:vAlign w:val="center"/>
            <w:hideMark/>
          </w:tcPr>
          <w:p w14:paraId="42CFCABE" w14:textId="77777777" w:rsidR="00000000" w:rsidRDefault="00195E73">
            <w:pPr>
              <w:rPr>
                <w:rFonts w:eastAsia="Times New Roman"/>
                <w:sz w:val="20"/>
                <w:szCs w:val="20"/>
              </w:rPr>
            </w:pPr>
          </w:p>
        </w:tc>
        <w:tc>
          <w:tcPr>
            <w:tcW w:w="0" w:type="auto"/>
            <w:vAlign w:val="center"/>
            <w:hideMark/>
          </w:tcPr>
          <w:p w14:paraId="38A1A175" w14:textId="77777777" w:rsidR="00000000" w:rsidRDefault="00195E73">
            <w:pPr>
              <w:rPr>
                <w:rFonts w:eastAsia="Times New Roman"/>
                <w:sz w:val="20"/>
                <w:szCs w:val="20"/>
              </w:rPr>
            </w:pPr>
          </w:p>
        </w:tc>
        <w:tc>
          <w:tcPr>
            <w:tcW w:w="0" w:type="auto"/>
            <w:vAlign w:val="center"/>
            <w:hideMark/>
          </w:tcPr>
          <w:p w14:paraId="2BBBD574" w14:textId="77777777" w:rsidR="00000000" w:rsidRDefault="00195E73">
            <w:pPr>
              <w:rPr>
                <w:rFonts w:eastAsia="Times New Roman"/>
                <w:sz w:val="20"/>
                <w:szCs w:val="20"/>
              </w:rPr>
            </w:pPr>
          </w:p>
        </w:tc>
        <w:tc>
          <w:tcPr>
            <w:tcW w:w="0" w:type="auto"/>
            <w:vAlign w:val="center"/>
            <w:hideMark/>
          </w:tcPr>
          <w:p w14:paraId="5FF895B6" w14:textId="77777777" w:rsidR="00000000" w:rsidRDefault="00195E73">
            <w:pPr>
              <w:rPr>
                <w:rFonts w:eastAsia="Times New Roman"/>
                <w:sz w:val="20"/>
                <w:szCs w:val="20"/>
              </w:rPr>
            </w:pPr>
          </w:p>
        </w:tc>
        <w:tc>
          <w:tcPr>
            <w:tcW w:w="0" w:type="auto"/>
            <w:vAlign w:val="center"/>
            <w:hideMark/>
          </w:tcPr>
          <w:p w14:paraId="5E944766" w14:textId="77777777" w:rsidR="00000000" w:rsidRDefault="00195E73">
            <w:pPr>
              <w:rPr>
                <w:rFonts w:eastAsia="Times New Roman"/>
                <w:sz w:val="20"/>
                <w:szCs w:val="20"/>
              </w:rPr>
            </w:pPr>
          </w:p>
        </w:tc>
        <w:tc>
          <w:tcPr>
            <w:tcW w:w="0" w:type="auto"/>
            <w:vAlign w:val="center"/>
            <w:hideMark/>
          </w:tcPr>
          <w:p w14:paraId="7983FD8D" w14:textId="77777777" w:rsidR="00000000" w:rsidRDefault="00195E73">
            <w:pPr>
              <w:rPr>
                <w:rFonts w:eastAsia="Times New Roman"/>
                <w:sz w:val="20"/>
                <w:szCs w:val="20"/>
              </w:rPr>
            </w:pPr>
          </w:p>
        </w:tc>
        <w:tc>
          <w:tcPr>
            <w:tcW w:w="0" w:type="auto"/>
            <w:vAlign w:val="center"/>
            <w:hideMark/>
          </w:tcPr>
          <w:p w14:paraId="57A300D5" w14:textId="77777777" w:rsidR="00000000" w:rsidRDefault="00195E73">
            <w:pPr>
              <w:rPr>
                <w:rFonts w:eastAsia="Times New Roman"/>
                <w:sz w:val="20"/>
                <w:szCs w:val="20"/>
              </w:rPr>
            </w:pPr>
          </w:p>
        </w:tc>
        <w:tc>
          <w:tcPr>
            <w:tcW w:w="0" w:type="auto"/>
            <w:vAlign w:val="center"/>
            <w:hideMark/>
          </w:tcPr>
          <w:p w14:paraId="2363D9E6" w14:textId="77777777" w:rsidR="00000000" w:rsidRDefault="00195E73">
            <w:pPr>
              <w:rPr>
                <w:rFonts w:eastAsia="Times New Roman"/>
                <w:sz w:val="20"/>
                <w:szCs w:val="20"/>
              </w:rPr>
            </w:pPr>
          </w:p>
        </w:tc>
        <w:tc>
          <w:tcPr>
            <w:tcW w:w="0" w:type="auto"/>
            <w:vAlign w:val="center"/>
            <w:hideMark/>
          </w:tcPr>
          <w:p w14:paraId="48AB2352" w14:textId="77777777" w:rsidR="00000000" w:rsidRDefault="00195E73">
            <w:pPr>
              <w:rPr>
                <w:rFonts w:eastAsia="Times New Roman"/>
                <w:sz w:val="20"/>
                <w:szCs w:val="20"/>
              </w:rPr>
            </w:pPr>
          </w:p>
        </w:tc>
        <w:tc>
          <w:tcPr>
            <w:tcW w:w="0" w:type="auto"/>
            <w:vAlign w:val="center"/>
            <w:hideMark/>
          </w:tcPr>
          <w:p w14:paraId="6876E7AA" w14:textId="77777777" w:rsidR="00000000" w:rsidRDefault="00195E73">
            <w:pPr>
              <w:rPr>
                <w:rFonts w:eastAsia="Times New Roman"/>
                <w:sz w:val="20"/>
                <w:szCs w:val="20"/>
              </w:rPr>
            </w:pPr>
          </w:p>
        </w:tc>
      </w:tr>
      <w:tr w:rsidR="00000000" w14:paraId="3E0A9B08" w14:textId="77777777">
        <w:trPr>
          <w:divId w:val="697662974"/>
          <w:jc w:val="center"/>
        </w:trPr>
        <w:tc>
          <w:tcPr>
            <w:tcW w:w="0" w:type="auto"/>
            <w:gridSpan w:val="3"/>
            <w:shd w:val="clear" w:color="auto" w:fill="CCEEFF"/>
            <w:tcMar>
              <w:top w:w="30" w:type="dxa"/>
              <w:left w:w="20" w:type="dxa"/>
              <w:bottom w:w="30" w:type="dxa"/>
              <w:right w:w="20" w:type="dxa"/>
            </w:tcMar>
            <w:vAlign w:val="bottom"/>
            <w:hideMark/>
          </w:tcPr>
          <w:p w14:paraId="518A0B42" w14:textId="77777777" w:rsidR="00000000" w:rsidRDefault="00195E73">
            <w:pPr>
              <w:divId w:val="2070227722"/>
              <w:rPr>
                <w:rFonts w:eastAsia="Times New Roman"/>
              </w:rPr>
            </w:pPr>
            <w:r>
              <w:rPr>
                <w:rFonts w:eastAsia="Times New Roman"/>
                <w:color w:val="000000"/>
                <w:sz w:val="20"/>
                <w:szCs w:val="20"/>
              </w:rPr>
              <w:t>Netting across contract type</w:t>
            </w:r>
            <w:r>
              <w:rPr>
                <w:rFonts w:eastAsia="Times New Roman"/>
                <w:color w:val="000000"/>
                <w:sz w:val="20"/>
                <w:szCs w:val="20"/>
              </w:rPr>
              <w:t>s</w:t>
            </w:r>
            <w:r>
              <w:rPr>
                <w:rFonts w:eastAsia="Times New Roman"/>
                <w:color w:val="000000"/>
                <w:sz w:val="13"/>
                <w:szCs w:val="13"/>
                <w:vertAlign w:val="superscript"/>
              </w:rPr>
              <w:t>(2)</w:t>
            </w:r>
          </w:p>
        </w:tc>
        <w:tc>
          <w:tcPr>
            <w:tcW w:w="0" w:type="auto"/>
            <w:gridSpan w:val="2"/>
            <w:shd w:val="clear" w:color="auto" w:fill="CCEEFF"/>
            <w:tcMar>
              <w:top w:w="30" w:type="dxa"/>
              <w:left w:w="20" w:type="dxa"/>
              <w:bottom w:w="30" w:type="dxa"/>
              <w:right w:w="0" w:type="dxa"/>
            </w:tcMar>
            <w:vAlign w:val="bottom"/>
            <w:hideMark/>
          </w:tcPr>
          <w:p w14:paraId="37DECC07" w14:textId="77777777" w:rsidR="00000000" w:rsidRDefault="00195E73">
            <w:pPr>
              <w:jc w:val="right"/>
              <w:rPr>
                <w:rFonts w:eastAsia="Times New Roman"/>
              </w:rPr>
            </w:pPr>
            <w:r>
              <w:rPr>
                <w:rFonts w:eastAsia="Times New Roman"/>
                <w:color w:val="000000"/>
                <w:sz w:val="20"/>
                <w:szCs w:val="20"/>
              </w:rPr>
              <w:t>(109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945F55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BE211C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D0CCD7" w14:textId="77777777" w:rsidR="00000000" w:rsidRDefault="00195E73">
            <w:pPr>
              <w:jc w:val="right"/>
              <w:rPr>
                <w:rFonts w:eastAsia="Times New Roman"/>
              </w:rPr>
            </w:pPr>
            <w:r>
              <w:rPr>
                <w:rFonts w:eastAsia="Times New Roman"/>
                <w:color w:val="000000"/>
                <w:sz w:val="20"/>
                <w:szCs w:val="20"/>
              </w:rPr>
              <w:t>(134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74F543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95F4CA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0C67C0" w14:textId="77777777" w:rsidR="00000000" w:rsidRDefault="00195E73">
            <w:pPr>
              <w:jc w:val="right"/>
              <w:rPr>
                <w:rFonts w:eastAsia="Times New Roman"/>
              </w:rPr>
            </w:pPr>
            <w:r>
              <w:rPr>
                <w:rFonts w:eastAsia="Times New Roman"/>
                <w:color w:val="000000"/>
                <w:sz w:val="20"/>
                <w:szCs w:val="20"/>
              </w:rPr>
              <w:t>(109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EF51CD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C6174F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D145E7" w14:textId="77777777" w:rsidR="00000000" w:rsidRDefault="00195E73">
            <w:pPr>
              <w:jc w:val="right"/>
              <w:rPr>
                <w:rFonts w:eastAsia="Times New Roman"/>
              </w:rPr>
            </w:pPr>
            <w:r>
              <w:rPr>
                <w:rFonts w:eastAsia="Times New Roman"/>
                <w:color w:val="000000"/>
                <w:sz w:val="20"/>
                <w:szCs w:val="20"/>
              </w:rPr>
              <w:t>(134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47399C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1DECECB" w14:textId="77777777" w:rsidR="00000000" w:rsidRDefault="00195E73">
            <w:pPr>
              <w:rPr>
                <w:rFonts w:eastAsia="Times New Roman"/>
                <w:sz w:val="20"/>
                <w:szCs w:val="20"/>
              </w:rPr>
            </w:pPr>
          </w:p>
        </w:tc>
        <w:tc>
          <w:tcPr>
            <w:tcW w:w="0" w:type="auto"/>
            <w:vAlign w:val="center"/>
            <w:hideMark/>
          </w:tcPr>
          <w:p w14:paraId="1BB00C61" w14:textId="77777777" w:rsidR="00000000" w:rsidRDefault="00195E73">
            <w:pPr>
              <w:rPr>
                <w:rFonts w:eastAsia="Times New Roman"/>
                <w:sz w:val="20"/>
                <w:szCs w:val="20"/>
              </w:rPr>
            </w:pPr>
          </w:p>
        </w:tc>
        <w:tc>
          <w:tcPr>
            <w:tcW w:w="0" w:type="auto"/>
            <w:vAlign w:val="center"/>
            <w:hideMark/>
          </w:tcPr>
          <w:p w14:paraId="4BD7956B" w14:textId="77777777" w:rsidR="00000000" w:rsidRDefault="00195E73">
            <w:pPr>
              <w:rPr>
                <w:rFonts w:eastAsia="Times New Roman"/>
                <w:sz w:val="20"/>
                <w:szCs w:val="20"/>
              </w:rPr>
            </w:pPr>
          </w:p>
        </w:tc>
        <w:tc>
          <w:tcPr>
            <w:tcW w:w="0" w:type="auto"/>
            <w:vAlign w:val="center"/>
            <w:hideMark/>
          </w:tcPr>
          <w:p w14:paraId="288BFBD8" w14:textId="77777777" w:rsidR="00000000" w:rsidRDefault="00195E73">
            <w:pPr>
              <w:rPr>
                <w:rFonts w:eastAsia="Times New Roman"/>
                <w:sz w:val="20"/>
                <w:szCs w:val="20"/>
              </w:rPr>
            </w:pPr>
          </w:p>
        </w:tc>
        <w:tc>
          <w:tcPr>
            <w:tcW w:w="0" w:type="auto"/>
            <w:vAlign w:val="center"/>
            <w:hideMark/>
          </w:tcPr>
          <w:p w14:paraId="1D495C5F" w14:textId="77777777" w:rsidR="00000000" w:rsidRDefault="00195E73">
            <w:pPr>
              <w:rPr>
                <w:rFonts w:eastAsia="Times New Roman"/>
                <w:sz w:val="20"/>
                <w:szCs w:val="20"/>
              </w:rPr>
            </w:pPr>
          </w:p>
        </w:tc>
        <w:tc>
          <w:tcPr>
            <w:tcW w:w="0" w:type="auto"/>
            <w:vAlign w:val="center"/>
            <w:hideMark/>
          </w:tcPr>
          <w:p w14:paraId="22696641" w14:textId="77777777" w:rsidR="00000000" w:rsidRDefault="00195E73">
            <w:pPr>
              <w:rPr>
                <w:rFonts w:eastAsia="Times New Roman"/>
                <w:sz w:val="20"/>
                <w:szCs w:val="20"/>
              </w:rPr>
            </w:pPr>
          </w:p>
        </w:tc>
        <w:tc>
          <w:tcPr>
            <w:tcW w:w="0" w:type="auto"/>
            <w:vAlign w:val="center"/>
            <w:hideMark/>
          </w:tcPr>
          <w:p w14:paraId="408498DD" w14:textId="77777777" w:rsidR="00000000" w:rsidRDefault="00195E73">
            <w:pPr>
              <w:rPr>
                <w:rFonts w:eastAsia="Times New Roman"/>
                <w:sz w:val="20"/>
                <w:szCs w:val="20"/>
              </w:rPr>
            </w:pPr>
          </w:p>
        </w:tc>
        <w:tc>
          <w:tcPr>
            <w:tcW w:w="0" w:type="auto"/>
            <w:vAlign w:val="center"/>
            <w:hideMark/>
          </w:tcPr>
          <w:p w14:paraId="39E93A8A" w14:textId="77777777" w:rsidR="00000000" w:rsidRDefault="00195E73">
            <w:pPr>
              <w:rPr>
                <w:rFonts w:eastAsia="Times New Roman"/>
                <w:sz w:val="20"/>
                <w:szCs w:val="20"/>
              </w:rPr>
            </w:pPr>
          </w:p>
        </w:tc>
        <w:tc>
          <w:tcPr>
            <w:tcW w:w="0" w:type="auto"/>
            <w:vAlign w:val="center"/>
            <w:hideMark/>
          </w:tcPr>
          <w:p w14:paraId="43779B52" w14:textId="77777777" w:rsidR="00000000" w:rsidRDefault="00195E73">
            <w:pPr>
              <w:rPr>
                <w:rFonts w:eastAsia="Times New Roman"/>
                <w:sz w:val="20"/>
                <w:szCs w:val="20"/>
              </w:rPr>
            </w:pPr>
          </w:p>
        </w:tc>
        <w:tc>
          <w:tcPr>
            <w:tcW w:w="0" w:type="auto"/>
            <w:vAlign w:val="center"/>
            <w:hideMark/>
          </w:tcPr>
          <w:p w14:paraId="5E8E74CD" w14:textId="77777777" w:rsidR="00000000" w:rsidRDefault="00195E73">
            <w:pPr>
              <w:rPr>
                <w:rFonts w:eastAsia="Times New Roman"/>
                <w:sz w:val="20"/>
                <w:szCs w:val="20"/>
              </w:rPr>
            </w:pPr>
          </w:p>
        </w:tc>
        <w:tc>
          <w:tcPr>
            <w:tcW w:w="0" w:type="auto"/>
            <w:vAlign w:val="center"/>
            <w:hideMark/>
          </w:tcPr>
          <w:p w14:paraId="1A23B86A" w14:textId="77777777" w:rsidR="00000000" w:rsidRDefault="00195E73">
            <w:pPr>
              <w:rPr>
                <w:rFonts w:eastAsia="Times New Roman"/>
                <w:sz w:val="20"/>
                <w:szCs w:val="20"/>
              </w:rPr>
            </w:pPr>
          </w:p>
        </w:tc>
        <w:tc>
          <w:tcPr>
            <w:tcW w:w="0" w:type="auto"/>
            <w:vAlign w:val="center"/>
            <w:hideMark/>
          </w:tcPr>
          <w:p w14:paraId="6766691C" w14:textId="77777777" w:rsidR="00000000" w:rsidRDefault="00195E73">
            <w:pPr>
              <w:rPr>
                <w:rFonts w:eastAsia="Times New Roman"/>
                <w:sz w:val="20"/>
                <w:szCs w:val="20"/>
              </w:rPr>
            </w:pPr>
          </w:p>
        </w:tc>
        <w:tc>
          <w:tcPr>
            <w:tcW w:w="0" w:type="auto"/>
            <w:vAlign w:val="center"/>
            <w:hideMark/>
          </w:tcPr>
          <w:p w14:paraId="5EDB56A0" w14:textId="77777777" w:rsidR="00000000" w:rsidRDefault="00195E73">
            <w:pPr>
              <w:rPr>
                <w:rFonts w:eastAsia="Times New Roman"/>
                <w:sz w:val="20"/>
                <w:szCs w:val="20"/>
              </w:rPr>
            </w:pPr>
          </w:p>
        </w:tc>
        <w:tc>
          <w:tcPr>
            <w:tcW w:w="0" w:type="auto"/>
            <w:vAlign w:val="center"/>
            <w:hideMark/>
          </w:tcPr>
          <w:p w14:paraId="1F9710D8" w14:textId="77777777" w:rsidR="00000000" w:rsidRDefault="00195E73">
            <w:pPr>
              <w:rPr>
                <w:rFonts w:eastAsia="Times New Roman"/>
                <w:sz w:val="20"/>
                <w:szCs w:val="20"/>
              </w:rPr>
            </w:pPr>
          </w:p>
        </w:tc>
        <w:tc>
          <w:tcPr>
            <w:tcW w:w="0" w:type="auto"/>
            <w:vAlign w:val="center"/>
            <w:hideMark/>
          </w:tcPr>
          <w:p w14:paraId="016DE459" w14:textId="77777777" w:rsidR="00000000" w:rsidRDefault="00195E73">
            <w:pPr>
              <w:rPr>
                <w:rFonts w:eastAsia="Times New Roman"/>
                <w:sz w:val="20"/>
                <w:szCs w:val="20"/>
              </w:rPr>
            </w:pPr>
          </w:p>
        </w:tc>
        <w:tc>
          <w:tcPr>
            <w:tcW w:w="0" w:type="auto"/>
            <w:vAlign w:val="center"/>
            <w:hideMark/>
          </w:tcPr>
          <w:p w14:paraId="6FDDCE72" w14:textId="77777777" w:rsidR="00000000" w:rsidRDefault="00195E73">
            <w:pPr>
              <w:rPr>
                <w:rFonts w:eastAsia="Times New Roman"/>
                <w:sz w:val="20"/>
                <w:szCs w:val="20"/>
              </w:rPr>
            </w:pPr>
          </w:p>
        </w:tc>
        <w:tc>
          <w:tcPr>
            <w:tcW w:w="0" w:type="auto"/>
            <w:vAlign w:val="center"/>
            <w:hideMark/>
          </w:tcPr>
          <w:p w14:paraId="2B45DA63" w14:textId="77777777" w:rsidR="00000000" w:rsidRDefault="00195E73">
            <w:pPr>
              <w:rPr>
                <w:rFonts w:eastAsia="Times New Roman"/>
                <w:sz w:val="20"/>
                <w:szCs w:val="20"/>
              </w:rPr>
            </w:pPr>
          </w:p>
        </w:tc>
        <w:tc>
          <w:tcPr>
            <w:tcW w:w="0" w:type="auto"/>
            <w:vAlign w:val="center"/>
            <w:hideMark/>
          </w:tcPr>
          <w:p w14:paraId="31D7C76E" w14:textId="77777777" w:rsidR="00000000" w:rsidRDefault="00195E73">
            <w:pPr>
              <w:rPr>
                <w:rFonts w:eastAsia="Times New Roman"/>
                <w:sz w:val="20"/>
                <w:szCs w:val="20"/>
              </w:rPr>
            </w:pPr>
          </w:p>
        </w:tc>
      </w:tr>
      <w:tr w:rsidR="00000000" w14:paraId="3EE60BFC" w14:textId="77777777">
        <w:trPr>
          <w:divId w:val="697662974"/>
          <w:jc w:val="center"/>
        </w:trPr>
        <w:tc>
          <w:tcPr>
            <w:tcW w:w="0" w:type="auto"/>
            <w:gridSpan w:val="3"/>
            <w:shd w:val="clear" w:color="auto" w:fill="FFFFFF"/>
            <w:tcMar>
              <w:top w:w="30" w:type="dxa"/>
              <w:left w:w="20" w:type="dxa"/>
              <w:bottom w:w="30" w:type="dxa"/>
              <w:right w:w="20" w:type="dxa"/>
            </w:tcMar>
            <w:vAlign w:val="bottom"/>
            <w:hideMark/>
          </w:tcPr>
          <w:p w14:paraId="37EA541A" w14:textId="77777777" w:rsidR="00000000" w:rsidRDefault="00195E73">
            <w:pPr>
              <w:divId w:val="1115514193"/>
              <w:rPr>
                <w:rFonts w:eastAsia="Times New Roman"/>
              </w:rPr>
            </w:pPr>
            <w:r>
              <w:rPr>
                <w:rFonts w:eastAsia="Times New Roman"/>
                <w:color w:val="000000"/>
                <w:sz w:val="20"/>
                <w:szCs w:val="20"/>
              </w:rPr>
              <w:t>Tota</w:t>
            </w:r>
            <w:r>
              <w:rPr>
                <w:rFonts w:eastAsia="Times New Roman"/>
                <w:color w:val="000000"/>
                <w:sz w:val="20"/>
                <w:szCs w:val="20"/>
              </w:rPr>
              <w:t>l</w:t>
            </w:r>
            <w:r>
              <w:rPr>
                <w:rFonts w:eastAsia="Times New Roman"/>
                <w:color w:val="000000"/>
                <w:sz w:val="13"/>
                <w:szCs w:val="13"/>
                <w:vertAlign w:val="superscript"/>
              </w:rPr>
              <w:t>(2)</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3A94D4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10567FF" w14:textId="77777777" w:rsidR="00000000" w:rsidRDefault="00195E73">
            <w:pPr>
              <w:jc w:val="right"/>
              <w:rPr>
                <w:rFonts w:eastAsia="Times New Roman"/>
              </w:rPr>
            </w:pPr>
            <w:r>
              <w:rPr>
                <w:rFonts w:eastAsia="Times New Roman"/>
                <w:color w:val="000000"/>
                <w:sz w:val="20"/>
                <w:szCs w:val="20"/>
              </w:rPr>
              <w:t>182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77349A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CDD3EFF"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EC68BD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1EF6A5B" w14:textId="77777777" w:rsidR="00000000" w:rsidRDefault="00195E73">
            <w:pPr>
              <w:jc w:val="right"/>
              <w:rPr>
                <w:rFonts w:eastAsia="Times New Roman"/>
              </w:rPr>
            </w:pPr>
            <w:r>
              <w:rPr>
                <w:rFonts w:eastAsia="Times New Roman"/>
                <w:color w:val="000000"/>
                <w:sz w:val="20"/>
                <w:szCs w:val="20"/>
              </w:rPr>
              <w:t>517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8D0083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FD6FF31"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608C7E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9E9BF3C" w14:textId="77777777" w:rsidR="00000000" w:rsidRDefault="00195E73">
            <w:pPr>
              <w:jc w:val="right"/>
              <w:rPr>
                <w:rFonts w:eastAsia="Times New Roman"/>
              </w:rPr>
            </w:pPr>
            <w:r>
              <w:rPr>
                <w:rFonts w:eastAsia="Times New Roman"/>
                <w:color w:val="000000"/>
                <w:sz w:val="20"/>
                <w:szCs w:val="20"/>
              </w:rPr>
              <w:t>1,215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75A443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CF84055"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AC8DFDD"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740D2D0" w14:textId="77777777" w:rsidR="00000000" w:rsidRDefault="00195E73">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CE451D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E25CFD3" w14:textId="77777777" w:rsidR="00000000" w:rsidRDefault="00195E73">
            <w:pPr>
              <w:rPr>
                <w:rFonts w:eastAsia="Times New Roman"/>
                <w:sz w:val="20"/>
                <w:szCs w:val="20"/>
              </w:rPr>
            </w:pPr>
          </w:p>
        </w:tc>
        <w:tc>
          <w:tcPr>
            <w:tcW w:w="0" w:type="auto"/>
            <w:vAlign w:val="center"/>
            <w:hideMark/>
          </w:tcPr>
          <w:p w14:paraId="5BA29636" w14:textId="77777777" w:rsidR="00000000" w:rsidRDefault="00195E73">
            <w:pPr>
              <w:rPr>
                <w:rFonts w:eastAsia="Times New Roman"/>
                <w:sz w:val="20"/>
                <w:szCs w:val="20"/>
              </w:rPr>
            </w:pPr>
          </w:p>
        </w:tc>
        <w:tc>
          <w:tcPr>
            <w:tcW w:w="0" w:type="auto"/>
            <w:vAlign w:val="center"/>
            <w:hideMark/>
          </w:tcPr>
          <w:p w14:paraId="0769772D" w14:textId="77777777" w:rsidR="00000000" w:rsidRDefault="00195E73">
            <w:pPr>
              <w:rPr>
                <w:rFonts w:eastAsia="Times New Roman"/>
                <w:sz w:val="20"/>
                <w:szCs w:val="20"/>
              </w:rPr>
            </w:pPr>
          </w:p>
        </w:tc>
        <w:tc>
          <w:tcPr>
            <w:tcW w:w="0" w:type="auto"/>
            <w:vAlign w:val="center"/>
            <w:hideMark/>
          </w:tcPr>
          <w:p w14:paraId="740DBFDA" w14:textId="77777777" w:rsidR="00000000" w:rsidRDefault="00195E73">
            <w:pPr>
              <w:rPr>
                <w:rFonts w:eastAsia="Times New Roman"/>
                <w:sz w:val="20"/>
                <w:szCs w:val="20"/>
              </w:rPr>
            </w:pPr>
          </w:p>
        </w:tc>
        <w:tc>
          <w:tcPr>
            <w:tcW w:w="0" w:type="auto"/>
            <w:vAlign w:val="center"/>
            <w:hideMark/>
          </w:tcPr>
          <w:p w14:paraId="4E860B7A" w14:textId="77777777" w:rsidR="00000000" w:rsidRDefault="00195E73">
            <w:pPr>
              <w:rPr>
                <w:rFonts w:eastAsia="Times New Roman"/>
                <w:sz w:val="20"/>
                <w:szCs w:val="20"/>
              </w:rPr>
            </w:pPr>
          </w:p>
        </w:tc>
        <w:tc>
          <w:tcPr>
            <w:tcW w:w="0" w:type="auto"/>
            <w:vAlign w:val="center"/>
            <w:hideMark/>
          </w:tcPr>
          <w:p w14:paraId="077315C6" w14:textId="77777777" w:rsidR="00000000" w:rsidRDefault="00195E73">
            <w:pPr>
              <w:rPr>
                <w:rFonts w:eastAsia="Times New Roman"/>
                <w:sz w:val="20"/>
                <w:szCs w:val="20"/>
              </w:rPr>
            </w:pPr>
          </w:p>
        </w:tc>
        <w:tc>
          <w:tcPr>
            <w:tcW w:w="0" w:type="auto"/>
            <w:vAlign w:val="center"/>
            <w:hideMark/>
          </w:tcPr>
          <w:p w14:paraId="65170739" w14:textId="77777777" w:rsidR="00000000" w:rsidRDefault="00195E73">
            <w:pPr>
              <w:rPr>
                <w:rFonts w:eastAsia="Times New Roman"/>
                <w:sz w:val="20"/>
                <w:szCs w:val="20"/>
              </w:rPr>
            </w:pPr>
          </w:p>
        </w:tc>
        <w:tc>
          <w:tcPr>
            <w:tcW w:w="0" w:type="auto"/>
            <w:vAlign w:val="center"/>
            <w:hideMark/>
          </w:tcPr>
          <w:p w14:paraId="3F7CFBAF" w14:textId="77777777" w:rsidR="00000000" w:rsidRDefault="00195E73">
            <w:pPr>
              <w:rPr>
                <w:rFonts w:eastAsia="Times New Roman"/>
                <w:sz w:val="20"/>
                <w:szCs w:val="20"/>
              </w:rPr>
            </w:pPr>
          </w:p>
        </w:tc>
        <w:tc>
          <w:tcPr>
            <w:tcW w:w="0" w:type="auto"/>
            <w:vAlign w:val="center"/>
            <w:hideMark/>
          </w:tcPr>
          <w:p w14:paraId="38D04A95" w14:textId="77777777" w:rsidR="00000000" w:rsidRDefault="00195E73">
            <w:pPr>
              <w:rPr>
                <w:rFonts w:eastAsia="Times New Roman"/>
                <w:sz w:val="20"/>
                <w:szCs w:val="20"/>
              </w:rPr>
            </w:pPr>
          </w:p>
        </w:tc>
        <w:tc>
          <w:tcPr>
            <w:tcW w:w="0" w:type="auto"/>
            <w:vAlign w:val="center"/>
            <w:hideMark/>
          </w:tcPr>
          <w:p w14:paraId="29CA0016" w14:textId="77777777" w:rsidR="00000000" w:rsidRDefault="00195E73">
            <w:pPr>
              <w:rPr>
                <w:rFonts w:eastAsia="Times New Roman"/>
                <w:sz w:val="20"/>
                <w:szCs w:val="20"/>
              </w:rPr>
            </w:pPr>
          </w:p>
        </w:tc>
        <w:tc>
          <w:tcPr>
            <w:tcW w:w="0" w:type="auto"/>
            <w:vAlign w:val="center"/>
            <w:hideMark/>
          </w:tcPr>
          <w:p w14:paraId="45720A2F" w14:textId="77777777" w:rsidR="00000000" w:rsidRDefault="00195E73">
            <w:pPr>
              <w:rPr>
                <w:rFonts w:eastAsia="Times New Roman"/>
                <w:sz w:val="20"/>
                <w:szCs w:val="20"/>
              </w:rPr>
            </w:pPr>
          </w:p>
        </w:tc>
        <w:tc>
          <w:tcPr>
            <w:tcW w:w="0" w:type="auto"/>
            <w:vAlign w:val="center"/>
            <w:hideMark/>
          </w:tcPr>
          <w:p w14:paraId="42FD7DC6" w14:textId="77777777" w:rsidR="00000000" w:rsidRDefault="00195E73">
            <w:pPr>
              <w:rPr>
                <w:rFonts w:eastAsia="Times New Roman"/>
                <w:sz w:val="20"/>
                <w:szCs w:val="20"/>
              </w:rPr>
            </w:pPr>
          </w:p>
        </w:tc>
        <w:tc>
          <w:tcPr>
            <w:tcW w:w="0" w:type="auto"/>
            <w:vAlign w:val="center"/>
            <w:hideMark/>
          </w:tcPr>
          <w:p w14:paraId="11CEE076" w14:textId="77777777" w:rsidR="00000000" w:rsidRDefault="00195E73">
            <w:pPr>
              <w:rPr>
                <w:rFonts w:eastAsia="Times New Roman"/>
                <w:sz w:val="20"/>
                <w:szCs w:val="20"/>
              </w:rPr>
            </w:pPr>
          </w:p>
        </w:tc>
        <w:tc>
          <w:tcPr>
            <w:tcW w:w="0" w:type="auto"/>
            <w:vAlign w:val="center"/>
            <w:hideMark/>
          </w:tcPr>
          <w:p w14:paraId="4885C5F0" w14:textId="77777777" w:rsidR="00000000" w:rsidRDefault="00195E73">
            <w:pPr>
              <w:rPr>
                <w:rFonts w:eastAsia="Times New Roman"/>
                <w:sz w:val="20"/>
                <w:szCs w:val="20"/>
              </w:rPr>
            </w:pPr>
          </w:p>
        </w:tc>
        <w:tc>
          <w:tcPr>
            <w:tcW w:w="0" w:type="auto"/>
            <w:vAlign w:val="center"/>
            <w:hideMark/>
          </w:tcPr>
          <w:p w14:paraId="4F07756F" w14:textId="77777777" w:rsidR="00000000" w:rsidRDefault="00195E73">
            <w:pPr>
              <w:rPr>
                <w:rFonts w:eastAsia="Times New Roman"/>
                <w:sz w:val="20"/>
                <w:szCs w:val="20"/>
              </w:rPr>
            </w:pPr>
          </w:p>
        </w:tc>
        <w:tc>
          <w:tcPr>
            <w:tcW w:w="0" w:type="auto"/>
            <w:vAlign w:val="center"/>
            <w:hideMark/>
          </w:tcPr>
          <w:p w14:paraId="6C30F6B8" w14:textId="77777777" w:rsidR="00000000" w:rsidRDefault="00195E73">
            <w:pPr>
              <w:rPr>
                <w:rFonts w:eastAsia="Times New Roman"/>
                <w:sz w:val="20"/>
                <w:szCs w:val="20"/>
              </w:rPr>
            </w:pPr>
          </w:p>
        </w:tc>
        <w:tc>
          <w:tcPr>
            <w:tcW w:w="0" w:type="auto"/>
            <w:vAlign w:val="center"/>
            <w:hideMark/>
          </w:tcPr>
          <w:p w14:paraId="2D75D10E" w14:textId="77777777" w:rsidR="00000000" w:rsidRDefault="00195E73">
            <w:pPr>
              <w:rPr>
                <w:rFonts w:eastAsia="Times New Roman"/>
                <w:sz w:val="20"/>
                <w:szCs w:val="20"/>
              </w:rPr>
            </w:pPr>
          </w:p>
        </w:tc>
        <w:tc>
          <w:tcPr>
            <w:tcW w:w="0" w:type="auto"/>
            <w:vAlign w:val="center"/>
            <w:hideMark/>
          </w:tcPr>
          <w:p w14:paraId="1BE1C242" w14:textId="77777777" w:rsidR="00000000" w:rsidRDefault="00195E73">
            <w:pPr>
              <w:rPr>
                <w:rFonts w:eastAsia="Times New Roman"/>
                <w:sz w:val="20"/>
                <w:szCs w:val="20"/>
              </w:rPr>
            </w:pPr>
          </w:p>
        </w:tc>
      </w:tr>
    </w:tbl>
    <w:p w14:paraId="1A668A42" w14:textId="77777777" w:rsidR="00000000" w:rsidRDefault="00195E73">
      <w:pPr>
        <w:ind w:hanging="180"/>
        <w:divId w:val="835729739"/>
        <w:rPr>
          <w:rFonts w:eastAsia="Times New Roman"/>
        </w:rPr>
      </w:pPr>
      <w:r>
        <w:rPr>
          <w:rFonts w:eastAsia="Times New Roman"/>
          <w:color w:val="000000"/>
          <w:sz w:val="10"/>
          <w:szCs w:val="10"/>
          <w:vertAlign w:val="superscript"/>
        </w:rPr>
        <w:t>(1</w:t>
      </w:r>
      <w:r>
        <w:rPr>
          <w:rFonts w:eastAsia="Times New Roman"/>
          <w:color w:val="000000"/>
          <w:sz w:val="10"/>
          <w:szCs w:val="10"/>
          <w:vertAlign w:val="superscript"/>
        </w:rPr>
        <w:t>)</w:t>
      </w:r>
      <w:r>
        <w:rPr>
          <w:rFonts w:eastAsia="Times New Roman"/>
          <w:color w:val="000000"/>
          <w:sz w:val="16"/>
          <w:szCs w:val="16"/>
        </w:rPr>
        <w:t>Net asset derivatives are classified within other assets in our consolidated balance sheets</w:t>
      </w:r>
      <w:r>
        <w:rPr>
          <w:rFonts w:eastAsia="Times New Roman"/>
          <w:color w:val="000000"/>
          <w:sz w:val="16"/>
          <w:szCs w:val="16"/>
        </w:rPr>
        <w:t>.</w:t>
      </w:r>
    </w:p>
    <w:p w14:paraId="6AD2B2EE" w14:textId="77777777" w:rsidR="00000000" w:rsidRDefault="00195E73">
      <w:pPr>
        <w:ind w:hanging="180"/>
        <w:divId w:val="64766074"/>
        <w:rPr>
          <w:rFonts w:eastAsia="Times New Roman"/>
        </w:rPr>
      </w:pPr>
      <w:r>
        <w:rPr>
          <w:rFonts w:eastAsia="Times New Roman"/>
          <w:color w:val="000000"/>
          <w:sz w:val="10"/>
          <w:szCs w:val="10"/>
          <w:vertAlign w:val="superscript"/>
        </w:rPr>
        <w:t>(2</w:t>
      </w:r>
      <w:r>
        <w:rPr>
          <w:rFonts w:eastAsia="Times New Roman"/>
          <w:color w:val="000000"/>
          <w:sz w:val="10"/>
          <w:szCs w:val="10"/>
          <w:vertAlign w:val="superscript"/>
        </w:rPr>
        <w:t>)</w:t>
      </w:r>
      <w:r>
        <w:rPr>
          <w:rFonts w:eastAsia="Times New Roman"/>
          <w:color w:val="000000"/>
          <w:sz w:val="16"/>
          <w:szCs w:val="16"/>
        </w:rPr>
        <w:t>Excludes netting of cash collateral received and posted. The total collateral posted at December 31, 2019 and December 31, 2018 was $903 million a</w:t>
      </w:r>
      <w:r>
        <w:rPr>
          <w:rFonts w:eastAsia="Times New Roman"/>
          <w:color w:val="000000"/>
          <w:sz w:val="16"/>
          <w:szCs w:val="16"/>
        </w:rPr>
        <w:t>nd $0 million, respectively, across all counterparties, which are included in cash held at consolidated affiliated partnerships and restricted cash in the consolidated balance sheets</w:t>
      </w:r>
      <w:r>
        <w:rPr>
          <w:rFonts w:eastAsia="Times New Roman"/>
          <w:color w:val="000000"/>
          <w:sz w:val="16"/>
          <w:szCs w:val="16"/>
        </w:rPr>
        <w:t>.</w:t>
      </w:r>
    </w:p>
    <w:p w14:paraId="30275411" w14:textId="77777777" w:rsidR="00000000" w:rsidRDefault="00195E73">
      <w:pPr>
        <w:ind w:firstLine="450"/>
        <w:divId w:val="419719901"/>
        <w:rPr>
          <w:rFonts w:eastAsia="Times New Roman"/>
        </w:rPr>
      </w:pPr>
      <w:r>
        <w:rPr>
          <w:rFonts w:eastAsia="Times New Roman"/>
          <w:color w:val="000000"/>
          <w:sz w:val="20"/>
          <w:szCs w:val="20"/>
        </w:rPr>
        <w:t>The following table presents the amount of gain (loss) recognized in the</w:t>
      </w:r>
      <w:r>
        <w:rPr>
          <w:rFonts w:eastAsia="Times New Roman"/>
          <w:color w:val="000000"/>
          <w:sz w:val="20"/>
          <w:szCs w:val="20"/>
        </w:rPr>
        <w:t xml:space="preserve"> consolidated statements of operations for our Investment segment’s derivatives not designated as hedging instruments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619"/>
        <w:gridCol w:w="37"/>
        <w:gridCol w:w="36"/>
        <w:gridCol w:w="36"/>
        <w:gridCol w:w="36"/>
        <w:gridCol w:w="36"/>
        <w:gridCol w:w="135"/>
        <w:gridCol w:w="633"/>
        <w:gridCol w:w="85"/>
        <w:gridCol w:w="76"/>
        <w:gridCol w:w="289"/>
        <w:gridCol w:w="75"/>
        <w:gridCol w:w="135"/>
        <w:gridCol w:w="764"/>
        <w:gridCol w:w="85"/>
        <w:gridCol w:w="76"/>
        <w:gridCol w:w="289"/>
        <w:gridCol w:w="75"/>
        <w:gridCol w:w="135"/>
        <w:gridCol w:w="766"/>
        <w:gridCol w:w="85"/>
        <w:gridCol w:w="147"/>
        <w:gridCol w:w="147"/>
        <w:gridCol w:w="147"/>
        <w:gridCol w:w="36"/>
        <w:gridCol w:w="36"/>
        <w:gridCol w:w="36"/>
        <w:gridCol w:w="36"/>
        <w:gridCol w:w="36"/>
        <w:gridCol w:w="36"/>
        <w:gridCol w:w="36"/>
        <w:gridCol w:w="36"/>
        <w:gridCol w:w="36"/>
      </w:tblGrid>
      <w:tr w:rsidR="00000000" w14:paraId="2A4CCDE3" w14:textId="77777777">
        <w:trPr>
          <w:gridAfter w:val="12"/>
          <w:divId w:val="1991404719"/>
          <w:jc w:val="center"/>
        </w:trPr>
        <w:tc>
          <w:tcPr>
            <w:tcW w:w="50" w:type="pct"/>
            <w:vAlign w:val="center"/>
            <w:hideMark/>
          </w:tcPr>
          <w:p w14:paraId="6FD0D089" w14:textId="77777777" w:rsidR="00000000" w:rsidRDefault="00195E73">
            <w:pPr>
              <w:ind w:firstLine="450"/>
              <w:rPr>
                <w:rFonts w:eastAsia="Times New Roman"/>
              </w:rPr>
            </w:pPr>
          </w:p>
        </w:tc>
        <w:tc>
          <w:tcPr>
            <w:tcW w:w="2648" w:type="pct"/>
            <w:vAlign w:val="center"/>
            <w:hideMark/>
          </w:tcPr>
          <w:p w14:paraId="38DD1919" w14:textId="77777777" w:rsidR="00000000" w:rsidRDefault="00195E73">
            <w:pPr>
              <w:rPr>
                <w:rFonts w:eastAsia="Times New Roman"/>
                <w:sz w:val="20"/>
                <w:szCs w:val="20"/>
              </w:rPr>
            </w:pPr>
          </w:p>
        </w:tc>
        <w:tc>
          <w:tcPr>
            <w:tcW w:w="50" w:type="pct"/>
            <w:vAlign w:val="center"/>
            <w:hideMark/>
          </w:tcPr>
          <w:p w14:paraId="15189B57" w14:textId="77777777" w:rsidR="00000000" w:rsidRDefault="00195E73">
            <w:pPr>
              <w:rPr>
                <w:rFonts w:eastAsia="Times New Roman"/>
                <w:sz w:val="20"/>
                <w:szCs w:val="20"/>
              </w:rPr>
            </w:pPr>
          </w:p>
        </w:tc>
        <w:tc>
          <w:tcPr>
            <w:tcW w:w="0" w:type="auto"/>
            <w:vAlign w:val="center"/>
            <w:hideMark/>
          </w:tcPr>
          <w:p w14:paraId="6C0C287A" w14:textId="77777777" w:rsidR="00000000" w:rsidRDefault="00195E73">
            <w:pPr>
              <w:rPr>
                <w:rFonts w:eastAsia="Times New Roman"/>
                <w:sz w:val="20"/>
                <w:szCs w:val="20"/>
              </w:rPr>
            </w:pPr>
          </w:p>
        </w:tc>
        <w:tc>
          <w:tcPr>
            <w:tcW w:w="0" w:type="auto"/>
            <w:vAlign w:val="center"/>
            <w:hideMark/>
          </w:tcPr>
          <w:p w14:paraId="2979C24A" w14:textId="77777777" w:rsidR="00000000" w:rsidRDefault="00195E73">
            <w:pPr>
              <w:rPr>
                <w:rFonts w:eastAsia="Times New Roman"/>
                <w:sz w:val="20"/>
                <w:szCs w:val="20"/>
              </w:rPr>
            </w:pPr>
          </w:p>
        </w:tc>
        <w:tc>
          <w:tcPr>
            <w:tcW w:w="0" w:type="auto"/>
            <w:vAlign w:val="center"/>
            <w:hideMark/>
          </w:tcPr>
          <w:p w14:paraId="3F1F4F00" w14:textId="77777777" w:rsidR="00000000" w:rsidRDefault="00195E73">
            <w:pPr>
              <w:rPr>
                <w:rFonts w:eastAsia="Times New Roman"/>
                <w:sz w:val="20"/>
                <w:szCs w:val="20"/>
              </w:rPr>
            </w:pPr>
          </w:p>
        </w:tc>
        <w:tc>
          <w:tcPr>
            <w:tcW w:w="0" w:type="auto"/>
            <w:vAlign w:val="center"/>
            <w:hideMark/>
          </w:tcPr>
          <w:p w14:paraId="2F267CBB" w14:textId="77777777" w:rsidR="00000000" w:rsidRDefault="00195E73">
            <w:pPr>
              <w:rPr>
                <w:rFonts w:eastAsia="Times New Roman"/>
                <w:sz w:val="20"/>
                <w:szCs w:val="20"/>
              </w:rPr>
            </w:pPr>
          </w:p>
        </w:tc>
        <w:tc>
          <w:tcPr>
            <w:tcW w:w="50" w:type="pct"/>
            <w:vAlign w:val="center"/>
            <w:hideMark/>
          </w:tcPr>
          <w:p w14:paraId="728BE194" w14:textId="77777777" w:rsidR="00000000" w:rsidRDefault="00195E73">
            <w:pPr>
              <w:rPr>
                <w:rFonts w:eastAsia="Times New Roman"/>
                <w:sz w:val="20"/>
                <w:szCs w:val="20"/>
              </w:rPr>
            </w:pPr>
          </w:p>
        </w:tc>
        <w:tc>
          <w:tcPr>
            <w:tcW w:w="630" w:type="pct"/>
            <w:vAlign w:val="center"/>
            <w:hideMark/>
          </w:tcPr>
          <w:p w14:paraId="7B59EE30" w14:textId="77777777" w:rsidR="00000000" w:rsidRDefault="00195E73">
            <w:pPr>
              <w:rPr>
                <w:rFonts w:eastAsia="Times New Roman"/>
                <w:sz w:val="20"/>
                <w:szCs w:val="20"/>
              </w:rPr>
            </w:pPr>
          </w:p>
        </w:tc>
        <w:tc>
          <w:tcPr>
            <w:tcW w:w="50" w:type="pct"/>
            <w:vAlign w:val="center"/>
            <w:hideMark/>
          </w:tcPr>
          <w:p w14:paraId="4413985B" w14:textId="77777777" w:rsidR="00000000" w:rsidRDefault="00195E73">
            <w:pPr>
              <w:rPr>
                <w:rFonts w:eastAsia="Times New Roman"/>
                <w:sz w:val="20"/>
                <w:szCs w:val="20"/>
              </w:rPr>
            </w:pPr>
          </w:p>
        </w:tc>
        <w:tc>
          <w:tcPr>
            <w:tcW w:w="5" w:type="pct"/>
            <w:vAlign w:val="center"/>
            <w:hideMark/>
          </w:tcPr>
          <w:p w14:paraId="3EC8AAB5" w14:textId="77777777" w:rsidR="00000000" w:rsidRDefault="00195E73">
            <w:pPr>
              <w:rPr>
                <w:rFonts w:eastAsia="Times New Roman"/>
                <w:sz w:val="20"/>
                <w:szCs w:val="20"/>
              </w:rPr>
            </w:pPr>
          </w:p>
        </w:tc>
        <w:tc>
          <w:tcPr>
            <w:tcW w:w="19" w:type="pct"/>
            <w:vAlign w:val="center"/>
            <w:hideMark/>
          </w:tcPr>
          <w:p w14:paraId="3349BED1" w14:textId="77777777" w:rsidR="00000000" w:rsidRDefault="00195E73">
            <w:pPr>
              <w:rPr>
                <w:rFonts w:eastAsia="Times New Roman"/>
                <w:sz w:val="20"/>
                <w:szCs w:val="20"/>
              </w:rPr>
            </w:pPr>
          </w:p>
        </w:tc>
        <w:tc>
          <w:tcPr>
            <w:tcW w:w="5" w:type="pct"/>
            <w:vAlign w:val="center"/>
            <w:hideMark/>
          </w:tcPr>
          <w:p w14:paraId="2F2A2255" w14:textId="77777777" w:rsidR="00000000" w:rsidRDefault="00195E73">
            <w:pPr>
              <w:rPr>
                <w:rFonts w:eastAsia="Times New Roman"/>
                <w:sz w:val="20"/>
                <w:szCs w:val="20"/>
              </w:rPr>
            </w:pPr>
          </w:p>
        </w:tc>
        <w:tc>
          <w:tcPr>
            <w:tcW w:w="50" w:type="pct"/>
            <w:vAlign w:val="center"/>
            <w:hideMark/>
          </w:tcPr>
          <w:p w14:paraId="7E73D883" w14:textId="77777777" w:rsidR="00000000" w:rsidRDefault="00195E73">
            <w:pPr>
              <w:rPr>
                <w:rFonts w:eastAsia="Times New Roman"/>
                <w:sz w:val="20"/>
                <w:szCs w:val="20"/>
              </w:rPr>
            </w:pPr>
          </w:p>
        </w:tc>
        <w:tc>
          <w:tcPr>
            <w:tcW w:w="630" w:type="pct"/>
            <w:vAlign w:val="center"/>
            <w:hideMark/>
          </w:tcPr>
          <w:p w14:paraId="3D461E4A" w14:textId="77777777" w:rsidR="00000000" w:rsidRDefault="00195E73">
            <w:pPr>
              <w:rPr>
                <w:rFonts w:eastAsia="Times New Roman"/>
                <w:sz w:val="20"/>
                <w:szCs w:val="20"/>
              </w:rPr>
            </w:pPr>
          </w:p>
        </w:tc>
        <w:tc>
          <w:tcPr>
            <w:tcW w:w="50" w:type="pct"/>
            <w:vAlign w:val="center"/>
            <w:hideMark/>
          </w:tcPr>
          <w:p w14:paraId="4604CABC" w14:textId="77777777" w:rsidR="00000000" w:rsidRDefault="00195E73">
            <w:pPr>
              <w:rPr>
                <w:rFonts w:eastAsia="Times New Roman"/>
                <w:sz w:val="20"/>
                <w:szCs w:val="20"/>
              </w:rPr>
            </w:pPr>
          </w:p>
        </w:tc>
        <w:tc>
          <w:tcPr>
            <w:tcW w:w="5" w:type="pct"/>
            <w:vAlign w:val="center"/>
            <w:hideMark/>
          </w:tcPr>
          <w:p w14:paraId="40E25D92" w14:textId="77777777" w:rsidR="00000000" w:rsidRDefault="00195E73">
            <w:pPr>
              <w:rPr>
                <w:rFonts w:eastAsia="Times New Roman"/>
                <w:sz w:val="20"/>
                <w:szCs w:val="20"/>
              </w:rPr>
            </w:pPr>
          </w:p>
        </w:tc>
        <w:tc>
          <w:tcPr>
            <w:tcW w:w="19" w:type="pct"/>
            <w:vAlign w:val="center"/>
            <w:hideMark/>
          </w:tcPr>
          <w:p w14:paraId="472C8A9F" w14:textId="77777777" w:rsidR="00000000" w:rsidRDefault="00195E73">
            <w:pPr>
              <w:rPr>
                <w:rFonts w:eastAsia="Times New Roman"/>
                <w:sz w:val="20"/>
                <w:szCs w:val="20"/>
              </w:rPr>
            </w:pPr>
          </w:p>
        </w:tc>
        <w:tc>
          <w:tcPr>
            <w:tcW w:w="5" w:type="pct"/>
            <w:vAlign w:val="center"/>
            <w:hideMark/>
          </w:tcPr>
          <w:p w14:paraId="12CED4C6" w14:textId="77777777" w:rsidR="00000000" w:rsidRDefault="00195E73">
            <w:pPr>
              <w:rPr>
                <w:rFonts w:eastAsia="Times New Roman"/>
                <w:sz w:val="20"/>
                <w:szCs w:val="20"/>
              </w:rPr>
            </w:pPr>
          </w:p>
        </w:tc>
        <w:tc>
          <w:tcPr>
            <w:tcW w:w="50" w:type="pct"/>
            <w:vAlign w:val="center"/>
            <w:hideMark/>
          </w:tcPr>
          <w:p w14:paraId="23C56FB2" w14:textId="77777777" w:rsidR="00000000" w:rsidRDefault="00195E73">
            <w:pPr>
              <w:rPr>
                <w:rFonts w:eastAsia="Times New Roman"/>
                <w:sz w:val="20"/>
                <w:szCs w:val="20"/>
              </w:rPr>
            </w:pPr>
          </w:p>
        </w:tc>
        <w:tc>
          <w:tcPr>
            <w:tcW w:w="631" w:type="pct"/>
            <w:vAlign w:val="center"/>
            <w:hideMark/>
          </w:tcPr>
          <w:p w14:paraId="685AC93E" w14:textId="77777777" w:rsidR="00000000" w:rsidRDefault="00195E73">
            <w:pPr>
              <w:rPr>
                <w:rFonts w:eastAsia="Times New Roman"/>
                <w:sz w:val="20"/>
                <w:szCs w:val="20"/>
              </w:rPr>
            </w:pPr>
          </w:p>
        </w:tc>
        <w:tc>
          <w:tcPr>
            <w:tcW w:w="50" w:type="pct"/>
            <w:vAlign w:val="center"/>
            <w:hideMark/>
          </w:tcPr>
          <w:p w14:paraId="7DE73798" w14:textId="77777777" w:rsidR="00000000" w:rsidRDefault="00195E73">
            <w:pPr>
              <w:rPr>
                <w:rFonts w:eastAsia="Times New Roman"/>
                <w:sz w:val="20"/>
                <w:szCs w:val="20"/>
              </w:rPr>
            </w:pPr>
          </w:p>
        </w:tc>
      </w:tr>
      <w:tr w:rsidR="00000000" w14:paraId="3A5E0A81" w14:textId="77777777">
        <w:trPr>
          <w:divId w:val="1991404719"/>
          <w:jc w:val="center"/>
        </w:trPr>
        <w:tc>
          <w:tcPr>
            <w:tcW w:w="0" w:type="auto"/>
            <w:gridSpan w:val="3"/>
            <w:tcMar>
              <w:top w:w="15" w:type="dxa"/>
              <w:left w:w="20" w:type="dxa"/>
              <w:bottom w:w="15" w:type="dxa"/>
              <w:right w:w="20" w:type="dxa"/>
            </w:tcMar>
            <w:vAlign w:val="bottom"/>
            <w:hideMark/>
          </w:tcPr>
          <w:p w14:paraId="5F83471E" w14:textId="77777777" w:rsidR="00000000" w:rsidRDefault="00195E73">
            <w:pPr>
              <w:rPr>
                <w:rFonts w:eastAsia="Times New Roman"/>
                <w:sz w:val="20"/>
                <w:szCs w:val="20"/>
              </w:rPr>
            </w:pPr>
          </w:p>
        </w:tc>
        <w:tc>
          <w:tcPr>
            <w:tcW w:w="0" w:type="auto"/>
            <w:vAlign w:val="center"/>
            <w:hideMark/>
          </w:tcPr>
          <w:p w14:paraId="4A4C38F1" w14:textId="77777777" w:rsidR="00000000" w:rsidRDefault="00195E73">
            <w:pPr>
              <w:rPr>
                <w:rFonts w:eastAsia="Times New Roman"/>
                <w:sz w:val="20"/>
                <w:szCs w:val="20"/>
              </w:rPr>
            </w:pPr>
          </w:p>
        </w:tc>
        <w:tc>
          <w:tcPr>
            <w:tcW w:w="0" w:type="auto"/>
            <w:vAlign w:val="center"/>
            <w:hideMark/>
          </w:tcPr>
          <w:p w14:paraId="693156BB" w14:textId="77777777" w:rsidR="00000000" w:rsidRDefault="00195E73">
            <w:pPr>
              <w:rPr>
                <w:rFonts w:eastAsia="Times New Roman"/>
                <w:sz w:val="20"/>
                <w:szCs w:val="20"/>
              </w:rPr>
            </w:pPr>
          </w:p>
        </w:tc>
        <w:tc>
          <w:tcPr>
            <w:tcW w:w="0" w:type="auto"/>
            <w:vAlign w:val="center"/>
            <w:hideMark/>
          </w:tcPr>
          <w:p w14:paraId="24D93454" w14:textId="77777777" w:rsidR="00000000" w:rsidRDefault="00195E73">
            <w:pPr>
              <w:rPr>
                <w:rFonts w:eastAsia="Times New Roman"/>
                <w:sz w:val="20"/>
                <w:szCs w:val="20"/>
              </w:rPr>
            </w:pPr>
          </w:p>
        </w:tc>
        <w:tc>
          <w:tcPr>
            <w:tcW w:w="0" w:type="auto"/>
            <w:vAlign w:val="center"/>
            <w:hideMark/>
          </w:tcPr>
          <w:p w14:paraId="3BB93FAD" w14:textId="77777777" w:rsidR="00000000" w:rsidRDefault="00195E73">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4CCC9C6D" w14:textId="77777777" w:rsidR="00000000" w:rsidRDefault="00195E73">
            <w:pPr>
              <w:jc w:val="center"/>
              <w:rPr>
                <w:rFonts w:eastAsia="Times New Roman"/>
              </w:rPr>
            </w:pPr>
            <w:r>
              <w:rPr>
                <w:rFonts w:eastAsia="Times New Roman"/>
                <w:b/>
                <w:bCs/>
                <w:color w:val="000000"/>
                <w:sz w:val="20"/>
                <w:szCs w:val="20"/>
              </w:rPr>
              <w:t>Gain (Loss) Recognized in Incom</w:t>
            </w:r>
            <w:r>
              <w:rPr>
                <w:rFonts w:eastAsia="Times New Roman"/>
                <w:b/>
                <w:bCs/>
                <w:color w:val="000000"/>
                <w:sz w:val="20"/>
                <w:szCs w:val="20"/>
              </w:rPr>
              <w:t>e</w:t>
            </w:r>
            <w:r>
              <w:rPr>
                <w:rFonts w:eastAsia="Times New Roman"/>
                <w:b/>
                <w:bCs/>
                <w:color w:val="000000"/>
                <w:sz w:val="13"/>
                <w:szCs w:val="13"/>
                <w:vertAlign w:val="superscript"/>
              </w:rPr>
              <w:t>(1)</w:t>
            </w:r>
          </w:p>
        </w:tc>
        <w:tc>
          <w:tcPr>
            <w:tcW w:w="0" w:type="auto"/>
            <w:gridSpan w:val="3"/>
            <w:vAlign w:val="center"/>
            <w:hideMark/>
          </w:tcPr>
          <w:p w14:paraId="6099CD80" w14:textId="77777777" w:rsidR="00000000" w:rsidRDefault="00195E73">
            <w:pPr>
              <w:jc w:val="center"/>
              <w:rPr>
                <w:rFonts w:eastAsia="Times New Roman"/>
              </w:rPr>
            </w:pPr>
          </w:p>
        </w:tc>
        <w:tc>
          <w:tcPr>
            <w:tcW w:w="0" w:type="auto"/>
            <w:gridSpan w:val="3"/>
            <w:vAlign w:val="center"/>
            <w:hideMark/>
          </w:tcPr>
          <w:p w14:paraId="076D816B" w14:textId="77777777" w:rsidR="00000000" w:rsidRDefault="00195E73">
            <w:pPr>
              <w:rPr>
                <w:rFonts w:eastAsia="Times New Roman"/>
                <w:sz w:val="20"/>
                <w:szCs w:val="20"/>
              </w:rPr>
            </w:pPr>
          </w:p>
        </w:tc>
        <w:tc>
          <w:tcPr>
            <w:tcW w:w="0" w:type="auto"/>
            <w:gridSpan w:val="3"/>
            <w:vAlign w:val="center"/>
            <w:hideMark/>
          </w:tcPr>
          <w:p w14:paraId="0F0A9827" w14:textId="77777777" w:rsidR="00000000" w:rsidRDefault="00195E73">
            <w:pPr>
              <w:rPr>
                <w:rFonts w:eastAsia="Times New Roman"/>
                <w:sz w:val="20"/>
                <w:szCs w:val="20"/>
              </w:rPr>
            </w:pPr>
          </w:p>
        </w:tc>
        <w:tc>
          <w:tcPr>
            <w:tcW w:w="0" w:type="auto"/>
            <w:gridSpan w:val="3"/>
            <w:vAlign w:val="center"/>
            <w:hideMark/>
          </w:tcPr>
          <w:p w14:paraId="247BBF13" w14:textId="77777777" w:rsidR="00000000" w:rsidRDefault="00195E73">
            <w:pPr>
              <w:rPr>
                <w:rFonts w:eastAsia="Times New Roman"/>
                <w:sz w:val="20"/>
                <w:szCs w:val="20"/>
              </w:rPr>
            </w:pPr>
          </w:p>
        </w:tc>
      </w:tr>
      <w:tr w:rsidR="00000000" w14:paraId="07BD6612" w14:textId="77777777">
        <w:trPr>
          <w:divId w:val="1991404719"/>
          <w:jc w:val="center"/>
        </w:trPr>
        <w:tc>
          <w:tcPr>
            <w:tcW w:w="0" w:type="auto"/>
            <w:gridSpan w:val="3"/>
            <w:vMerge w:val="restart"/>
            <w:tcMar>
              <w:top w:w="15" w:type="dxa"/>
              <w:left w:w="20" w:type="dxa"/>
              <w:bottom w:w="15" w:type="dxa"/>
              <w:right w:w="20" w:type="dxa"/>
            </w:tcMar>
            <w:vAlign w:val="bottom"/>
            <w:hideMark/>
          </w:tcPr>
          <w:p w14:paraId="44C5BF18" w14:textId="77777777" w:rsidR="00000000" w:rsidRDefault="00195E73">
            <w:pPr>
              <w:rPr>
                <w:rFonts w:eastAsia="Times New Roman"/>
                <w:sz w:val="20"/>
                <w:szCs w:val="20"/>
              </w:rPr>
            </w:pPr>
          </w:p>
        </w:tc>
        <w:tc>
          <w:tcPr>
            <w:tcW w:w="0" w:type="auto"/>
            <w:vAlign w:val="center"/>
            <w:hideMark/>
          </w:tcPr>
          <w:p w14:paraId="7140D974" w14:textId="77777777" w:rsidR="00000000" w:rsidRDefault="00195E73">
            <w:pPr>
              <w:rPr>
                <w:rFonts w:eastAsia="Times New Roman"/>
                <w:sz w:val="20"/>
                <w:szCs w:val="20"/>
              </w:rPr>
            </w:pPr>
          </w:p>
        </w:tc>
        <w:tc>
          <w:tcPr>
            <w:tcW w:w="0" w:type="auto"/>
            <w:vAlign w:val="center"/>
            <w:hideMark/>
          </w:tcPr>
          <w:p w14:paraId="5FE319E5" w14:textId="77777777" w:rsidR="00000000" w:rsidRDefault="00195E73">
            <w:pPr>
              <w:rPr>
                <w:rFonts w:eastAsia="Times New Roman"/>
                <w:sz w:val="20"/>
                <w:szCs w:val="20"/>
              </w:rPr>
            </w:pPr>
          </w:p>
        </w:tc>
        <w:tc>
          <w:tcPr>
            <w:tcW w:w="0" w:type="auto"/>
            <w:vAlign w:val="center"/>
            <w:hideMark/>
          </w:tcPr>
          <w:p w14:paraId="26654F9E" w14:textId="77777777" w:rsidR="00000000" w:rsidRDefault="00195E73">
            <w:pPr>
              <w:rPr>
                <w:rFonts w:eastAsia="Times New Roman"/>
                <w:sz w:val="20"/>
                <w:szCs w:val="20"/>
              </w:rPr>
            </w:pPr>
          </w:p>
        </w:tc>
        <w:tc>
          <w:tcPr>
            <w:tcW w:w="0" w:type="auto"/>
            <w:vAlign w:val="center"/>
            <w:hideMark/>
          </w:tcPr>
          <w:p w14:paraId="17AC29AE" w14:textId="77777777" w:rsidR="00000000" w:rsidRDefault="00195E73">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42C7C46A"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04C6E5F0" w14:textId="77777777" w:rsidR="00000000" w:rsidRDefault="00195E73">
            <w:pPr>
              <w:jc w:val="center"/>
              <w:rPr>
                <w:rFonts w:eastAsia="Times New Roman"/>
              </w:rPr>
            </w:pPr>
          </w:p>
        </w:tc>
        <w:tc>
          <w:tcPr>
            <w:tcW w:w="0" w:type="auto"/>
            <w:gridSpan w:val="3"/>
            <w:vAlign w:val="center"/>
            <w:hideMark/>
          </w:tcPr>
          <w:p w14:paraId="5D6FC9FB" w14:textId="77777777" w:rsidR="00000000" w:rsidRDefault="00195E73">
            <w:pPr>
              <w:rPr>
                <w:rFonts w:eastAsia="Times New Roman"/>
                <w:sz w:val="20"/>
                <w:szCs w:val="20"/>
              </w:rPr>
            </w:pPr>
          </w:p>
        </w:tc>
        <w:tc>
          <w:tcPr>
            <w:tcW w:w="0" w:type="auto"/>
            <w:gridSpan w:val="3"/>
            <w:vAlign w:val="center"/>
            <w:hideMark/>
          </w:tcPr>
          <w:p w14:paraId="24A478F4" w14:textId="77777777" w:rsidR="00000000" w:rsidRDefault="00195E73">
            <w:pPr>
              <w:rPr>
                <w:rFonts w:eastAsia="Times New Roman"/>
                <w:sz w:val="20"/>
                <w:szCs w:val="20"/>
              </w:rPr>
            </w:pPr>
          </w:p>
        </w:tc>
        <w:tc>
          <w:tcPr>
            <w:tcW w:w="0" w:type="auto"/>
            <w:gridSpan w:val="3"/>
            <w:vAlign w:val="center"/>
            <w:hideMark/>
          </w:tcPr>
          <w:p w14:paraId="54C0E927" w14:textId="77777777" w:rsidR="00000000" w:rsidRDefault="00195E73">
            <w:pPr>
              <w:rPr>
                <w:rFonts w:eastAsia="Times New Roman"/>
                <w:sz w:val="20"/>
                <w:szCs w:val="20"/>
              </w:rPr>
            </w:pPr>
          </w:p>
        </w:tc>
      </w:tr>
      <w:tr w:rsidR="00000000" w14:paraId="20078C8A" w14:textId="77777777">
        <w:trPr>
          <w:divId w:val="1991404719"/>
          <w:jc w:val="center"/>
        </w:trPr>
        <w:tc>
          <w:tcPr>
            <w:tcW w:w="0" w:type="auto"/>
            <w:gridSpan w:val="3"/>
            <w:vMerge/>
            <w:vAlign w:val="center"/>
            <w:hideMark/>
          </w:tcPr>
          <w:p w14:paraId="08017F68" w14:textId="77777777" w:rsidR="00000000" w:rsidRDefault="00195E73">
            <w:pPr>
              <w:rPr>
                <w:rFonts w:eastAsia="Times New Roman"/>
                <w:sz w:val="20"/>
                <w:szCs w:val="20"/>
              </w:rPr>
            </w:pPr>
          </w:p>
        </w:tc>
        <w:tc>
          <w:tcPr>
            <w:tcW w:w="0" w:type="auto"/>
            <w:vAlign w:val="center"/>
            <w:hideMark/>
          </w:tcPr>
          <w:p w14:paraId="3C817B78" w14:textId="77777777" w:rsidR="00000000" w:rsidRDefault="00195E73">
            <w:pPr>
              <w:rPr>
                <w:rFonts w:eastAsia="Times New Roman"/>
                <w:sz w:val="20"/>
                <w:szCs w:val="20"/>
              </w:rPr>
            </w:pPr>
          </w:p>
        </w:tc>
        <w:tc>
          <w:tcPr>
            <w:tcW w:w="0" w:type="auto"/>
            <w:vAlign w:val="center"/>
            <w:hideMark/>
          </w:tcPr>
          <w:p w14:paraId="4E6A7765" w14:textId="77777777" w:rsidR="00000000" w:rsidRDefault="00195E73">
            <w:pPr>
              <w:rPr>
                <w:rFonts w:eastAsia="Times New Roman"/>
                <w:sz w:val="20"/>
                <w:szCs w:val="20"/>
              </w:rPr>
            </w:pPr>
          </w:p>
        </w:tc>
        <w:tc>
          <w:tcPr>
            <w:tcW w:w="0" w:type="auto"/>
            <w:vAlign w:val="center"/>
            <w:hideMark/>
          </w:tcPr>
          <w:p w14:paraId="65733E7F" w14:textId="77777777" w:rsidR="00000000" w:rsidRDefault="00195E73">
            <w:pPr>
              <w:rPr>
                <w:rFonts w:eastAsia="Times New Roman"/>
                <w:sz w:val="20"/>
                <w:szCs w:val="20"/>
              </w:rPr>
            </w:pPr>
          </w:p>
        </w:tc>
        <w:tc>
          <w:tcPr>
            <w:tcW w:w="0" w:type="auto"/>
            <w:vAlign w:val="center"/>
            <w:hideMark/>
          </w:tcPr>
          <w:p w14:paraId="1131820E" w14:textId="77777777" w:rsidR="00000000" w:rsidRDefault="00195E73">
            <w:pPr>
              <w:rPr>
                <w:rFonts w:eastAsia="Times New Roman"/>
                <w:sz w:val="20"/>
                <w:szCs w:val="20"/>
              </w:rPr>
            </w:pPr>
          </w:p>
        </w:tc>
        <w:tc>
          <w:tcPr>
            <w:tcW w:w="0" w:type="auto"/>
            <w:gridSpan w:val="3"/>
            <w:vAlign w:val="center"/>
            <w:hideMark/>
          </w:tcPr>
          <w:p w14:paraId="3357067D"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CA0B41D"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2C2A9A0C"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9648C35"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2163C2E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B388590"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1268ABE6" w14:textId="77777777" w:rsidR="00000000" w:rsidRDefault="00195E73">
            <w:pPr>
              <w:rPr>
                <w:rFonts w:eastAsia="Times New Roman"/>
                <w:sz w:val="20"/>
                <w:szCs w:val="20"/>
              </w:rPr>
            </w:pPr>
          </w:p>
        </w:tc>
        <w:tc>
          <w:tcPr>
            <w:tcW w:w="0" w:type="auto"/>
            <w:vAlign w:val="center"/>
            <w:hideMark/>
          </w:tcPr>
          <w:p w14:paraId="54974E13" w14:textId="77777777" w:rsidR="00000000" w:rsidRDefault="00195E73">
            <w:pPr>
              <w:rPr>
                <w:rFonts w:eastAsia="Times New Roman"/>
                <w:sz w:val="20"/>
                <w:szCs w:val="20"/>
              </w:rPr>
            </w:pPr>
          </w:p>
        </w:tc>
        <w:tc>
          <w:tcPr>
            <w:tcW w:w="0" w:type="auto"/>
            <w:vAlign w:val="center"/>
            <w:hideMark/>
          </w:tcPr>
          <w:p w14:paraId="4B9B1F98" w14:textId="77777777" w:rsidR="00000000" w:rsidRDefault="00195E73">
            <w:pPr>
              <w:rPr>
                <w:rFonts w:eastAsia="Times New Roman"/>
                <w:sz w:val="20"/>
                <w:szCs w:val="20"/>
              </w:rPr>
            </w:pPr>
          </w:p>
        </w:tc>
        <w:tc>
          <w:tcPr>
            <w:tcW w:w="0" w:type="auto"/>
            <w:vAlign w:val="center"/>
            <w:hideMark/>
          </w:tcPr>
          <w:p w14:paraId="1917EB41" w14:textId="77777777" w:rsidR="00000000" w:rsidRDefault="00195E73">
            <w:pPr>
              <w:rPr>
                <w:rFonts w:eastAsia="Times New Roman"/>
                <w:sz w:val="20"/>
                <w:szCs w:val="20"/>
              </w:rPr>
            </w:pPr>
          </w:p>
        </w:tc>
        <w:tc>
          <w:tcPr>
            <w:tcW w:w="0" w:type="auto"/>
            <w:vAlign w:val="center"/>
            <w:hideMark/>
          </w:tcPr>
          <w:p w14:paraId="45A8D8B5" w14:textId="77777777" w:rsidR="00000000" w:rsidRDefault="00195E73">
            <w:pPr>
              <w:rPr>
                <w:rFonts w:eastAsia="Times New Roman"/>
                <w:sz w:val="20"/>
                <w:szCs w:val="20"/>
              </w:rPr>
            </w:pPr>
          </w:p>
        </w:tc>
        <w:tc>
          <w:tcPr>
            <w:tcW w:w="0" w:type="auto"/>
            <w:vAlign w:val="center"/>
            <w:hideMark/>
          </w:tcPr>
          <w:p w14:paraId="798E6527" w14:textId="77777777" w:rsidR="00000000" w:rsidRDefault="00195E73">
            <w:pPr>
              <w:rPr>
                <w:rFonts w:eastAsia="Times New Roman"/>
                <w:sz w:val="20"/>
                <w:szCs w:val="20"/>
              </w:rPr>
            </w:pPr>
          </w:p>
        </w:tc>
        <w:tc>
          <w:tcPr>
            <w:tcW w:w="0" w:type="auto"/>
            <w:vAlign w:val="center"/>
            <w:hideMark/>
          </w:tcPr>
          <w:p w14:paraId="66CB7B5B" w14:textId="77777777" w:rsidR="00000000" w:rsidRDefault="00195E73">
            <w:pPr>
              <w:rPr>
                <w:rFonts w:eastAsia="Times New Roman"/>
                <w:sz w:val="20"/>
                <w:szCs w:val="20"/>
              </w:rPr>
            </w:pPr>
          </w:p>
        </w:tc>
        <w:tc>
          <w:tcPr>
            <w:tcW w:w="0" w:type="auto"/>
            <w:vAlign w:val="center"/>
            <w:hideMark/>
          </w:tcPr>
          <w:p w14:paraId="27484B5F" w14:textId="77777777" w:rsidR="00000000" w:rsidRDefault="00195E73">
            <w:pPr>
              <w:rPr>
                <w:rFonts w:eastAsia="Times New Roman"/>
                <w:sz w:val="20"/>
                <w:szCs w:val="20"/>
              </w:rPr>
            </w:pPr>
          </w:p>
        </w:tc>
        <w:tc>
          <w:tcPr>
            <w:tcW w:w="0" w:type="auto"/>
            <w:vAlign w:val="center"/>
            <w:hideMark/>
          </w:tcPr>
          <w:p w14:paraId="1B8031EA" w14:textId="77777777" w:rsidR="00000000" w:rsidRDefault="00195E73">
            <w:pPr>
              <w:rPr>
                <w:rFonts w:eastAsia="Times New Roman"/>
                <w:sz w:val="20"/>
                <w:szCs w:val="20"/>
              </w:rPr>
            </w:pPr>
          </w:p>
        </w:tc>
      </w:tr>
      <w:tr w:rsidR="00000000" w14:paraId="565FD755" w14:textId="77777777">
        <w:trPr>
          <w:divId w:val="1991404719"/>
          <w:jc w:val="center"/>
        </w:trPr>
        <w:tc>
          <w:tcPr>
            <w:tcW w:w="0" w:type="auto"/>
            <w:gridSpan w:val="3"/>
            <w:tcMar>
              <w:top w:w="15" w:type="dxa"/>
              <w:left w:w="20" w:type="dxa"/>
              <w:bottom w:w="15" w:type="dxa"/>
              <w:right w:w="20" w:type="dxa"/>
            </w:tcMar>
            <w:vAlign w:val="bottom"/>
            <w:hideMark/>
          </w:tcPr>
          <w:p w14:paraId="5CA75C41" w14:textId="77777777" w:rsidR="00000000" w:rsidRDefault="00195E73">
            <w:pPr>
              <w:jc w:val="center"/>
              <w:rPr>
                <w:rFonts w:eastAsia="Times New Roman"/>
              </w:rPr>
            </w:pPr>
          </w:p>
        </w:tc>
        <w:tc>
          <w:tcPr>
            <w:tcW w:w="0" w:type="auto"/>
            <w:vAlign w:val="center"/>
            <w:hideMark/>
          </w:tcPr>
          <w:p w14:paraId="1B8B0674" w14:textId="77777777" w:rsidR="00000000" w:rsidRDefault="00195E73">
            <w:pPr>
              <w:rPr>
                <w:rFonts w:eastAsia="Times New Roman"/>
                <w:sz w:val="20"/>
                <w:szCs w:val="20"/>
              </w:rPr>
            </w:pPr>
          </w:p>
        </w:tc>
        <w:tc>
          <w:tcPr>
            <w:tcW w:w="0" w:type="auto"/>
            <w:vAlign w:val="center"/>
            <w:hideMark/>
          </w:tcPr>
          <w:p w14:paraId="3F8345A4" w14:textId="77777777" w:rsidR="00000000" w:rsidRDefault="00195E73">
            <w:pPr>
              <w:rPr>
                <w:rFonts w:eastAsia="Times New Roman"/>
                <w:sz w:val="20"/>
                <w:szCs w:val="20"/>
              </w:rPr>
            </w:pPr>
          </w:p>
        </w:tc>
        <w:tc>
          <w:tcPr>
            <w:tcW w:w="0" w:type="auto"/>
            <w:vAlign w:val="center"/>
            <w:hideMark/>
          </w:tcPr>
          <w:p w14:paraId="2A137295" w14:textId="77777777" w:rsidR="00000000" w:rsidRDefault="00195E73">
            <w:pPr>
              <w:rPr>
                <w:rFonts w:eastAsia="Times New Roman"/>
                <w:sz w:val="20"/>
                <w:szCs w:val="20"/>
              </w:rPr>
            </w:pPr>
          </w:p>
        </w:tc>
        <w:tc>
          <w:tcPr>
            <w:tcW w:w="0" w:type="auto"/>
            <w:vAlign w:val="center"/>
            <w:hideMark/>
          </w:tcPr>
          <w:p w14:paraId="471F74FA" w14:textId="77777777" w:rsidR="00000000" w:rsidRDefault="00195E73">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1CD7732A"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1069CBA8" w14:textId="77777777" w:rsidR="00000000" w:rsidRDefault="00195E73">
            <w:pPr>
              <w:jc w:val="center"/>
              <w:rPr>
                <w:rFonts w:eastAsia="Times New Roman"/>
              </w:rPr>
            </w:pPr>
          </w:p>
        </w:tc>
        <w:tc>
          <w:tcPr>
            <w:tcW w:w="0" w:type="auto"/>
            <w:gridSpan w:val="3"/>
            <w:vAlign w:val="center"/>
            <w:hideMark/>
          </w:tcPr>
          <w:p w14:paraId="45B6A4C0" w14:textId="77777777" w:rsidR="00000000" w:rsidRDefault="00195E73">
            <w:pPr>
              <w:rPr>
                <w:rFonts w:eastAsia="Times New Roman"/>
                <w:sz w:val="20"/>
                <w:szCs w:val="20"/>
              </w:rPr>
            </w:pPr>
          </w:p>
        </w:tc>
        <w:tc>
          <w:tcPr>
            <w:tcW w:w="0" w:type="auto"/>
            <w:gridSpan w:val="3"/>
            <w:vAlign w:val="center"/>
            <w:hideMark/>
          </w:tcPr>
          <w:p w14:paraId="0ADB46D9" w14:textId="77777777" w:rsidR="00000000" w:rsidRDefault="00195E73">
            <w:pPr>
              <w:rPr>
                <w:rFonts w:eastAsia="Times New Roman"/>
                <w:sz w:val="20"/>
                <w:szCs w:val="20"/>
              </w:rPr>
            </w:pPr>
          </w:p>
        </w:tc>
        <w:tc>
          <w:tcPr>
            <w:tcW w:w="0" w:type="auto"/>
            <w:gridSpan w:val="3"/>
            <w:vAlign w:val="center"/>
            <w:hideMark/>
          </w:tcPr>
          <w:p w14:paraId="1939B84B" w14:textId="77777777" w:rsidR="00000000" w:rsidRDefault="00195E73">
            <w:pPr>
              <w:rPr>
                <w:rFonts w:eastAsia="Times New Roman"/>
                <w:sz w:val="20"/>
                <w:szCs w:val="20"/>
              </w:rPr>
            </w:pPr>
          </w:p>
        </w:tc>
      </w:tr>
      <w:tr w:rsidR="00000000" w14:paraId="5611318B" w14:textId="77777777">
        <w:trPr>
          <w:divId w:val="1991404719"/>
          <w:jc w:val="center"/>
        </w:trPr>
        <w:tc>
          <w:tcPr>
            <w:tcW w:w="0" w:type="auto"/>
            <w:gridSpan w:val="3"/>
            <w:shd w:val="clear" w:color="auto" w:fill="CCEEFF"/>
            <w:tcMar>
              <w:top w:w="30" w:type="dxa"/>
              <w:left w:w="20" w:type="dxa"/>
              <w:bottom w:w="30" w:type="dxa"/>
              <w:right w:w="20" w:type="dxa"/>
            </w:tcMar>
            <w:vAlign w:val="bottom"/>
            <w:hideMark/>
          </w:tcPr>
          <w:p w14:paraId="35D4B9A9" w14:textId="77777777" w:rsidR="00000000" w:rsidRDefault="00195E73">
            <w:pPr>
              <w:rPr>
                <w:rFonts w:eastAsia="Times New Roman"/>
              </w:rPr>
            </w:pPr>
            <w:r>
              <w:rPr>
                <w:rFonts w:eastAsia="Times New Roman"/>
                <w:color w:val="000000"/>
                <w:sz w:val="20"/>
                <w:szCs w:val="20"/>
              </w:rPr>
              <w:t>Equity contract</w:t>
            </w:r>
            <w:r>
              <w:rPr>
                <w:rFonts w:eastAsia="Times New Roman"/>
                <w:color w:val="000000"/>
                <w:sz w:val="20"/>
                <w:szCs w:val="20"/>
              </w:rPr>
              <w:t>s</w:t>
            </w:r>
          </w:p>
        </w:tc>
        <w:tc>
          <w:tcPr>
            <w:tcW w:w="0" w:type="auto"/>
            <w:vAlign w:val="center"/>
            <w:hideMark/>
          </w:tcPr>
          <w:p w14:paraId="3CE363CF" w14:textId="77777777" w:rsidR="00000000" w:rsidRDefault="00195E73">
            <w:pPr>
              <w:rPr>
                <w:rFonts w:eastAsia="Times New Roman"/>
              </w:rPr>
            </w:pPr>
          </w:p>
        </w:tc>
        <w:tc>
          <w:tcPr>
            <w:tcW w:w="0" w:type="auto"/>
            <w:vAlign w:val="center"/>
            <w:hideMark/>
          </w:tcPr>
          <w:p w14:paraId="7A78C6C0" w14:textId="77777777" w:rsidR="00000000" w:rsidRDefault="00195E73">
            <w:pPr>
              <w:rPr>
                <w:rFonts w:eastAsia="Times New Roman"/>
                <w:sz w:val="20"/>
                <w:szCs w:val="20"/>
              </w:rPr>
            </w:pPr>
          </w:p>
        </w:tc>
        <w:tc>
          <w:tcPr>
            <w:tcW w:w="0" w:type="auto"/>
            <w:vAlign w:val="center"/>
            <w:hideMark/>
          </w:tcPr>
          <w:p w14:paraId="066DA9B1" w14:textId="77777777" w:rsidR="00000000" w:rsidRDefault="00195E73">
            <w:pPr>
              <w:rPr>
                <w:rFonts w:eastAsia="Times New Roman"/>
                <w:sz w:val="20"/>
                <w:szCs w:val="20"/>
              </w:rPr>
            </w:pPr>
          </w:p>
        </w:tc>
        <w:tc>
          <w:tcPr>
            <w:tcW w:w="0" w:type="auto"/>
            <w:vAlign w:val="center"/>
            <w:hideMark/>
          </w:tcPr>
          <w:p w14:paraId="38139B2E" w14:textId="77777777" w:rsidR="00000000" w:rsidRDefault="00195E73">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6335102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5BA475F" w14:textId="77777777" w:rsidR="00000000" w:rsidRDefault="00195E73">
            <w:pPr>
              <w:jc w:val="right"/>
              <w:rPr>
                <w:rFonts w:eastAsia="Times New Roman"/>
              </w:rPr>
            </w:pPr>
            <w:r>
              <w:rPr>
                <w:rFonts w:eastAsia="Times New Roman"/>
                <w:color w:val="000000"/>
                <w:sz w:val="20"/>
                <w:szCs w:val="20"/>
              </w:rPr>
              <w:t>(2,152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650C3C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3729E7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F358BBB"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43E326B" w14:textId="77777777" w:rsidR="00000000" w:rsidRDefault="00195E73">
            <w:pPr>
              <w:jc w:val="right"/>
              <w:rPr>
                <w:rFonts w:eastAsia="Times New Roman"/>
              </w:rPr>
            </w:pPr>
            <w:r>
              <w:rPr>
                <w:rFonts w:eastAsia="Times New Roman"/>
                <w:color w:val="000000"/>
                <w:sz w:val="20"/>
                <w:szCs w:val="20"/>
              </w:rPr>
              <w:t>603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120F02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AA451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A284D6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72F4DE7" w14:textId="77777777" w:rsidR="00000000" w:rsidRDefault="00195E73">
            <w:pPr>
              <w:jc w:val="right"/>
              <w:rPr>
                <w:rFonts w:eastAsia="Times New Roman"/>
              </w:rPr>
            </w:pPr>
            <w:r>
              <w:rPr>
                <w:rFonts w:eastAsia="Times New Roman"/>
                <w:color w:val="000000"/>
                <w:sz w:val="20"/>
                <w:szCs w:val="20"/>
              </w:rPr>
              <w:t>(1,815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CCC61B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7CCCE25" w14:textId="77777777" w:rsidR="00000000" w:rsidRDefault="00195E73">
            <w:pPr>
              <w:rPr>
                <w:rFonts w:eastAsia="Times New Roman"/>
                <w:sz w:val="20"/>
                <w:szCs w:val="20"/>
              </w:rPr>
            </w:pPr>
          </w:p>
        </w:tc>
        <w:tc>
          <w:tcPr>
            <w:tcW w:w="0" w:type="auto"/>
            <w:vAlign w:val="center"/>
            <w:hideMark/>
          </w:tcPr>
          <w:p w14:paraId="470D2B2C" w14:textId="77777777" w:rsidR="00000000" w:rsidRDefault="00195E73">
            <w:pPr>
              <w:rPr>
                <w:rFonts w:eastAsia="Times New Roman"/>
                <w:sz w:val="20"/>
                <w:szCs w:val="20"/>
              </w:rPr>
            </w:pPr>
          </w:p>
        </w:tc>
        <w:tc>
          <w:tcPr>
            <w:tcW w:w="0" w:type="auto"/>
            <w:vAlign w:val="center"/>
            <w:hideMark/>
          </w:tcPr>
          <w:p w14:paraId="5F3E06A2" w14:textId="77777777" w:rsidR="00000000" w:rsidRDefault="00195E73">
            <w:pPr>
              <w:rPr>
                <w:rFonts w:eastAsia="Times New Roman"/>
                <w:sz w:val="20"/>
                <w:szCs w:val="20"/>
              </w:rPr>
            </w:pPr>
          </w:p>
        </w:tc>
        <w:tc>
          <w:tcPr>
            <w:tcW w:w="0" w:type="auto"/>
            <w:vAlign w:val="center"/>
            <w:hideMark/>
          </w:tcPr>
          <w:p w14:paraId="699151E9" w14:textId="77777777" w:rsidR="00000000" w:rsidRDefault="00195E73">
            <w:pPr>
              <w:rPr>
                <w:rFonts w:eastAsia="Times New Roman"/>
                <w:sz w:val="20"/>
                <w:szCs w:val="20"/>
              </w:rPr>
            </w:pPr>
          </w:p>
        </w:tc>
        <w:tc>
          <w:tcPr>
            <w:tcW w:w="0" w:type="auto"/>
            <w:vAlign w:val="center"/>
            <w:hideMark/>
          </w:tcPr>
          <w:p w14:paraId="0700486A" w14:textId="77777777" w:rsidR="00000000" w:rsidRDefault="00195E73">
            <w:pPr>
              <w:rPr>
                <w:rFonts w:eastAsia="Times New Roman"/>
                <w:sz w:val="20"/>
                <w:szCs w:val="20"/>
              </w:rPr>
            </w:pPr>
          </w:p>
        </w:tc>
        <w:tc>
          <w:tcPr>
            <w:tcW w:w="0" w:type="auto"/>
            <w:vAlign w:val="center"/>
            <w:hideMark/>
          </w:tcPr>
          <w:p w14:paraId="30E6CC25" w14:textId="77777777" w:rsidR="00000000" w:rsidRDefault="00195E73">
            <w:pPr>
              <w:rPr>
                <w:rFonts w:eastAsia="Times New Roman"/>
                <w:sz w:val="20"/>
                <w:szCs w:val="20"/>
              </w:rPr>
            </w:pPr>
          </w:p>
        </w:tc>
        <w:tc>
          <w:tcPr>
            <w:tcW w:w="0" w:type="auto"/>
            <w:vAlign w:val="center"/>
            <w:hideMark/>
          </w:tcPr>
          <w:p w14:paraId="213285C7" w14:textId="77777777" w:rsidR="00000000" w:rsidRDefault="00195E73">
            <w:pPr>
              <w:rPr>
                <w:rFonts w:eastAsia="Times New Roman"/>
                <w:sz w:val="20"/>
                <w:szCs w:val="20"/>
              </w:rPr>
            </w:pPr>
          </w:p>
        </w:tc>
        <w:tc>
          <w:tcPr>
            <w:tcW w:w="0" w:type="auto"/>
            <w:vAlign w:val="center"/>
            <w:hideMark/>
          </w:tcPr>
          <w:p w14:paraId="2A42F112" w14:textId="77777777" w:rsidR="00000000" w:rsidRDefault="00195E73">
            <w:pPr>
              <w:rPr>
                <w:rFonts w:eastAsia="Times New Roman"/>
                <w:sz w:val="20"/>
                <w:szCs w:val="20"/>
              </w:rPr>
            </w:pPr>
          </w:p>
        </w:tc>
        <w:tc>
          <w:tcPr>
            <w:tcW w:w="0" w:type="auto"/>
            <w:vAlign w:val="center"/>
            <w:hideMark/>
          </w:tcPr>
          <w:p w14:paraId="652707D8" w14:textId="77777777" w:rsidR="00000000" w:rsidRDefault="00195E73">
            <w:pPr>
              <w:rPr>
                <w:rFonts w:eastAsia="Times New Roman"/>
                <w:sz w:val="20"/>
                <w:szCs w:val="20"/>
              </w:rPr>
            </w:pPr>
          </w:p>
        </w:tc>
        <w:tc>
          <w:tcPr>
            <w:tcW w:w="0" w:type="auto"/>
            <w:vAlign w:val="center"/>
            <w:hideMark/>
          </w:tcPr>
          <w:p w14:paraId="2564CE2D" w14:textId="77777777" w:rsidR="00000000" w:rsidRDefault="00195E73">
            <w:pPr>
              <w:rPr>
                <w:rFonts w:eastAsia="Times New Roman"/>
                <w:sz w:val="20"/>
                <w:szCs w:val="20"/>
              </w:rPr>
            </w:pPr>
          </w:p>
        </w:tc>
        <w:tc>
          <w:tcPr>
            <w:tcW w:w="0" w:type="auto"/>
            <w:vAlign w:val="center"/>
            <w:hideMark/>
          </w:tcPr>
          <w:p w14:paraId="27464C9F" w14:textId="77777777" w:rsidR="00000000" w:rsidRDefault="00195E73">
            <w:pPr>
              <w:rPr>
                <w:rFonts w:eastAsia="Times New Roman"/>
                <w:sz w:val="20"/>
                <w:szCs w:val="20"/>
              </w:rPr>
            </w:pPr>
          </w:p>
        </w:tc>
        <w:tc>
          <w:tcPr>
            <w:tcW w:w="0" w:type="auto"/>
            <w:vAlign w:val="center"/>
            <w:hideMark/>
          </w:tcPr>
          <w:p w14:paraId="4EF6330C" w14:textId="77777777" w:rsidR="00000000" w:rsidRDefault="00195E73">
            <w:pPr>
              <w:rPr>
                <w:rFonts w:eastAsia="Times New Roman"/>
                <w:sz w:val="20"/>
                <w:szCs w:val="20"/>
              </w:rPr>
            </w:pPr>
          </w:p>
        </w:tc>
      </w:tr>
      <w:tr w:rsidR="00000000" w14:paraId="192BC00C" w14:textId="77777777">
        <w:trPr>
          <w:divId w:val="1991404719"/>
          <w:jc w:val="center"/>
        </w:trPr>
        <w:tc>
          <w:tcPr>
            <w:tcW w:w="0" w:type="auto"/>
            <w:gridSpan w:val="3"/>
            <w:shd w:val="clear" w:color="auto" w:fill="FFFFFF"/>
            <w:tcMar>
              <w:top w:w="30" w:type="dxa"/>
              <w:left w:w="20" w:type="dxa"/>
              <w:bottom w:w="30" w:type="dxa"/>
              <w:right w:w="20" w:type="dxa"/>
            </w:tcMar>
            <w:vAlign w:val="bottom"/>
            <w:hideMark/>
          </w:tcPr>
          <w:p w14:paraId="6CA687B2" w14:textId="77777777" w:rsidR="00000000" w:rsidRDefault="00195E73">
            <w:pPr>
              <w:rPr>
                <w:rFonts w:eastAsia="Times New Roman"/>
              </w:rPr>
            </w:pPr>
            <w:r>
              <w:rPr>
                <w:rFonts w:eastAsia="Times New Roman"/>
                <w:color w:val="000000"/>
                <w:sz w:val="20"/>
                <w:szCs w:val="20"/>
              </w:rPr>
              <w:t>Credit contract</w:t>
            </w:r>
            <w:r>
              <w:rPr>
                <w:rFonts w:eastAsia="Times New Roman"/>
                <w:color w:val="000000"/>
                <w:sz w:val="20"/>
                <w:szCs w:val="20"/>
              </w:rPr>
              <w:t>s</w:t>
            </w:r>
          </w:p>
        </w:tc>
        <w:tc>
          <w:tcPr>
            <w:tcW w:w="0" w:type="auto"/>
            <w:vAlign w:val="center"/>
            <w:hideMark/>
          </w:tcPr>
          <w:p w14:paraId="4BB0AE93" w14:textId="77777777" w:rsidR="00000000" w:rsidRDefault="00195E73">
            <w:pPr>
              <w:rPr>
                <w:rFonts w:eastAsia="Times New Roman"/>
              </w:rPr>
            </w:pPr>
          </w:p>
        </w:tc>
        <w:tc>
          <w:tcPr>
            <w:tcW w:w="0" w:type="auto"/>
            <w:vAlign w:val="center"/>
            <w:hideMark/>
          </w:tcPr>
          <w:p w14:paraId="5426216E" w14:textId="77777777" w:rsidR="00000000" w:rsidRDefault="00195E73">
            <w:pPr>
              <w:rPr>
                <w:rFonts w:eastAsia="Times New Roman"/>
                <w:sz w:val="20"/>
                <w:szCs w:val="20"/>
              </w:rPr>
            </w:pPr>
          </w:p>
        </w:tc>
        <w:tc>
          <w:tcPr>
            <w:tcW w:w="0" w:type="auto"/>
            <w:vAlign w:val="center"/>
            <w:hideMark/>
          </w:tcPr>
          <w:p w14:paraId="55DD659B" w14:textId="77777777" w:rsidR="00000000" w:rsidRDefault="00195E73">
            <w:pPr>
              <w:rPr>
                <w:rFonts w:eastAsia="Times New Roman"/>
                <w:sz w:val="20"/>
                <w:szCs w:val="20"/>
              </w:rPr>
            </w:pPr>
          </w:p>
        </w:tc>
        <w:tc>
          <w:tcPr>
            <w:tcW w:w="0" w:type="auto"/>
            <w:vAlign w:val="center"/>
            <w:hideMark/>
          </w:tcPr>
          <w:p w14:paraId="298FD3AF"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B8BB64" w14:textId="77777777" w:rsidR="00000000" w:rsidRDefault="00195E73">
            <w:pPr>
              <w:jc w:val="right"/>
              <w:rPr>
                <w:rFonts w:eastAsia="Times New Roman"/>
              </w:rPr>
            </w:pPr>
            <w:r>
              <w:rPr>
                <w:rFonts w:eastAsia="Times New Roman"/>
                <w:color w:val="000000"/>
                <w:sz w:val="20"/>
                <w:szCs w:val="20"/>
              </w:rPr>
              <w:t>(342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2F9A48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E288CA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A9C24F" w14:textId="77777777" w:rsidR="00000000" w:rsidRDefault="00195E73">
            <w:pPr>
              <w:jc w:val="right"/>
              <w:rPr>
                <w:rFonts w:eastAsia="Times New Roman"/>
              </w:rPr>
            </w:pPr>
            <w:r>
              <w:rPr>
                <w:rFonts w:eastAsia="Times New Roman"/>
                <w:color w:val="000000"/>
                <w:sz w:val="20"/>
                <w:szCs w:val="20"/>
              </w:rPr>
              <w:t>129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F902C0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8F63F3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E41B30" w14:textId="77777777" w:rsidR="00000000" w:rsidRDefault="00195E73">
            <w:pPr>
              <w:jc w:val="right"/>
              <w:rPr>
                <w:rFonts w:eastAsia="Times New Roman"/>
              </w:rPr>
            </w:pPr>
            <w:r>
              <w:rPr>
                <w:rFonts w:eastAsia="Times New Roman"/>
                <w:color w:val="000000"/>
                <w:sz w:val="20"/>
                <w:szCs w:val="20"/>
              </w:rPr>
              <w:t>(42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EF3E41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D823687" w14:textId="77777777" w:rsidR="00000000" w:rsidRDefault="00195E73">
            <w:pPr>
              <w:rPr>
                <w:rFonts w:eastAsia="Times New Roman"/>
                <w:sz w:val="20"/>
                <w:szCs w:val="20"/>
              </w:rPr>
            </w:pPr>
          </w:p>
        </w:tc>
        <w:tc>
          <w:tcPr>
            <w:tcW w:w="0" w:type="auto"/>
            <w:vAlign w:val="center"/>
            <w:hideMark/>
          </w:tcPr>
          <w:p w14:paraId="27728960" w14:textId="77777777" w:rsidR="00000000" w:rsidRDefault="00195E73">
            <w:pPr>
              <w:rPr>
                <w:rFonts w:eastAsia="Times New Roman"/>
                <w:sz w:val="20"/>
                <w:szCs w:val="20"/>
              </w:rPr>
            </w:pPr>
          </w:p>
        </w:tc>
        <w:tc>
          <w:tcPr>
            <w:tcW w:w="0" w:type="auto"/>
            <w:vAlign w:val="center"/>
            <w:hideMark/>
          </w:tcPr>
          <w:p w14:paraId="700CE16B" w14:textId="77777777" w:rsidR="00000000" w:rsidRDefault="00195E73">
            <w:pPr>
              <w:rPr>
                <w:rFonts w:eastAsia="Times New Roman"/>
                <w:sz w:val="20"/>
                <w:szCs w:val="20"/>
              </w:rPr>
            </w:pPr>
          </w:p>
        </w:tc>
        <w:tc>
          <w:tcPr>
            <w:tcW w:w="0" w:type="auto"/>
            <w:vAlign w:val="center"/>
            <w:hideMark/>
          </w:tcPr>
          <w:p w14:paraId="3930B2E4" w14:textId="77777777" w:rsidR="00000000" w:rsidRDefault="00195E73">
            <w:pPr>
              <w:rPr>
                <w:rFonts w:eastAsia="Times New Roman"/>
                <w:sz w:val="20"/>
                <w:szCs w:val="20"/>
              </w:rPr>
            </w:pPr>
          </w:p>
        </w:tc>
        <w:tc>
          <w:tcPr>
            <w:tcW w:w="0" w:type="auto"/>
            <w:vAlign w:val="center"/>
            <w:hideMark/>
          </w:tcPr>
          <w:p w14:paraId="1C4BB9C2" w14:textId="77777777" w:rsidR="00000000" w:rsidRDefault="00195E73">
            <w:pPr>
              <w:rPr>
                <w:rFonts w:eastAsia="Times New Roman"/>
                <w:sz w:val="20"/>
                <w:szCs w:val="20"/>
              </w:rPr>
            </w:pPr>
          </w:p>
        </w:tc>
        <w:tc>
          <w:tcPr>
            <w:tcW w:w="0" w:type="auto"/>
            <w:vAlign w:val="center"/>
            <w:hideMark/>
          </w:tcPr>
          <w:p w14:paraId="202214A8" w14:textId="77777777" w:rsidR="00000000" w:rsidRDefault="00195E73">
            <w:pPr>
              <w:rPr>
                <w:rFonts w:eastAsia="Times New Roman"/>
                <w:sz w:val="20"/>
                <w:szCs w:val="20"/>
              </w:rPr>
            </w:pPr>
          </w:p>
        </w:tc>
        <w:tc>
          <w:tcPr>
            <w:tcW w:w="0" w:type="auto"/>
            <w:vAlign w:val="center"/>
            <w:hideMark/>
          </w:tcPr>
          <w:p w14:paraId="567F27F4" w14:textId="77777777" w:rsidR="00000000" w:rsidRDefault="00195E73">
            <w:pPr>
              <w:rPr>
                <w:rFonts w:eastAsia="Times New Roman"/>
                <w:sz w:val="20"/>
                <w:szCs w:val="20"/>
              </w:rPr>
            </w:pPr>
          </w:p>
        </w:tc>
        <w:tc>
          <w:tcPr>
            <w:tcW w:w="0" w:type="auto"/>
            <w:vAlign w:val="center"/>
            <w:hideMark/>
          </w:tcPr>
          <w:p w14:paraId="672C9AF3" w14:textId="77777777" w:rsidR="00000000" w:rsidRDefault="00195E73">
            <w:pPr>
              <w:rPr>
                <w:rFonts w:eastAsia="Times New Roman"/>
                <w:sz w:val="20"/>
                <w:szCs w:val="20"/>
              </w:rPr>
            </w:pPr>
          </w:p>
        </w:tc>
        <w:tc>
          <w:tcPr>
            <w:tcW w:w="0" w:type="auto"/>
            <w:vAlign w:val="center"/>
            <w:hideMark/>
          </w:tcPr>
          <w:p w14:paraId="354137EA" w14:textId="77777777" w:rsidR="00000000" w:rsidRDefault="00195E73">
            <w:pPr>
              <w:rPr>
                <w:rFonts w:eastAsia="Times New Roman"/>
                <w:sz w:val="20"/>
                <w:szCs w:val="20"/>
              </w:rPr>
            </w:pPr>
          </w:p>
        </w:tc>
        <w:tc>
          <w:tcPr>
            <w:tcW w:w="0" w:type="auto"/>
            <w:vAlign w:val="center"/>
            <w:hideMark/>
          </w:tcPr>
          <w:p w14:paraId="220AEB78" w14:textId="77777777" w:rsidR="00000000" w:rsidRDefault="00195E73">
            <w:pPr>
              <w:rPr>
                <w:rFonts w:eastAsia="Times New Roman"/>
                <w:sz w:val="20"/>
                <w:szCs w:val="20"/>
              </w:rPr>
            </w:pPr>
          </w:p>
        </w:tc>
        <w:tc>
          <w:tcPr>
            <w:tcW w:w="0" w:type="auto"/>
            <w:vAlign w:val="center"/>
            <w:hideMark/>
          </w:tcPr>
          <w:p w14:paraId="17F81DCF" w14:textId="77777777" w:rsidR="00000000" w:rsidRDefault="00195E73">
            <w:pPr>
              <w:rPr>
                <w:rFonts w:eastAsia="Times New Roman"/>
                <w:sz w:val="20"/>
                <w:szCs w:val="20"/>
              </w:rPr>
            </w:pPr>
          </w:p>
        </w:tc>
        <w:tc>
          <w:tcPr>
            <w:tcW w:w="0" w:type="auto"/>
            <w:vAlign w:val="center"/>
            <w:hideMark/>
          </w:tcPr>
          <w:p w14:paraId="249C3F0E" w14:textId="77777777" w:rsidR="00000000" w:rsidRDefault="00195E73">
            <w:pPr>
              <w:rPr>
                <w:rFonts w:eastAsia="Times New Roman"/>
                <w:sz w:val="20"/>
                <w:szCs w:val="20"/>
              </w:rPr>
            </w:pPr>
          </w:p>
        </w:tc>
      </w:tr>
      <w:tr w:rsidR="00000000" w14:paraId="5998A56D" w14:textId="77777777">
        <w:trPr>
          <w:divId w:val="1991404719"/>
          <w:jc w:val="center"/>
        </w:trPr>
        <w:tc>
          <w:tcPr>
            <w:tcW w:w="0" w:type="auto"/>
            <w:gridSpan w:val="3"/>
            <w:shd w:val="clear" w:color="auto" w:fill="CCEEFF"/>
            <w:tcMar>
              <w:top w:w="30" w:type="dxa"/>
              <w:left w:w="20" w:type="dxa"/>
              <w:bottom w:w="30" w:type="dxa"/>
              <w:right w:w="20" w:type="dxa"/>
            </w:tcMar>
            <w:vAlign w:val="bottom"/>
            <w:hideMark/>
          </w:tcPr>
          <w:p w14:paraId="3E735C88" w14:textId="77777777" w:rsidR="00000000" w:rsidRDefault="00195E73">
            <w:pPr>
              <w:rPr>
                <w:rFonts w:eastAsia="Times New Roman"/>
              </w:rPr>
            </w:pPr>
            <w:r>
              <w:rPr>
                <w:rFonts w:eastAsia="Times New Roman"/>
                <w:color w:val="000000"/>
                <w:sz w:val="20"/>
                <w:szCs w:val="20"/>
              </w:rPr>
              <w:t>Commodity contract</w:t>
            </w:r>
            <w:r>
              <w:rPr>
                <w:rFonts w:eastAsia="Times New Roman"/>
                <w:color w:val="000000"/>
                <w:sz w:val="20"/>
                <w:szCs w:val="20"/>
              </w:rPr>
              <w:t>s</w:t>
            </w:r>
          </w:p>
        </w:tc>
        <w:tc>
          <w:tcPr>
            <w:tcW w:w="0" w:type="auto"/>
            <w:vAlign w:val="center"/>
            <w:hideMark/>
          </w:tcPr>
          <w:p w14:paraId="6AB1B4E1" w14:textId="77777777" w:rsidR="00000000" w:rsidRDefault="00195E73">
            <w:pPr>
              <w:rPr>
                <w:rFonts w:eastAsia="Times New Roman"/>
              </w:rPr>
            </w:pPr>
          </w:p>
        </w:tc>
        <w:tc>
          <w:tcPr>
            <w:tcW w:w="0" w:type="auto"/>
            <w:vAlign w:val="center"/>
            <w:hideMark/>
          </w:tcPr>
          <w:p w14:paraId="3E751606" w14:textId="77777777" w:rsidR="00000000" w:rsidRDefault="00195E73">
            <w:pPr>
              <w:rPr>
                <w:rFonts w:eastAsia="Times New Roman"/>
                <w:sz w:val="20"/>
                <w:szCs w:val="20"/>
              </w:rPr>
            </w:pPr>
          </w:p>
        </w:tc>
        <w:tc>
          <w:tcPr>
            <w:tcW w:w="0" w:type="auto"/>
            <w:vAlign w:val="center"/>
            <w:hideMark/>
          </w:tcPr>
          <w:p w14:paraId="2CDAA871" w14:textId="77777777" w:rsidR="00000000" w:rsidRDefault="00195E73">
            <w:pPr>
              <w:rPr>
                <w:rFonts w:eastAsia="Times New Roman"/>
                <w:sz w:val="20"/>
                <w:szCs w:val="20"/>
              </w:rPr>
            </w:pPr>
          </w:p>
        </w:tc>
        <w:tc>
          <w:tcPr>
            <w:tcW w:w="0" w:type="auto"/>
            <w:vAlign w:val="center"/>
            <w:hideMark/>
          </w:tcPr>
          <w:p w14:paraId="5B7CBCBC"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614F4A" w14:textId="77777777" w:rsidR="00000000" w:rsidRDefault="00195E73">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F2B9F4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78B298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C44695" w14:textId="77777777" w:rsidR="00000000" w:rsidRDefault="00195E73">
            <w:pPr>
              <w:jc w:val="right"/>
              <w:rPr>
                <w:rFonts w:eastAsia="Times New Roman"/>
              </w:rPr>
            </w:pPr>
            <w:r>
              <w:rPr>
                <w:rFonts w:eastAsia="Times New Roman"/>
                <w:color w:val="000000"/>
                <w:sz w:val="20"/>
                <w:szCs w:val="20"/>
              </w:rPr>
              <w:t>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4D47A4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662C4F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2B034A" w14:textId="77777777" w:rsidR="00000000" w:rsidRDefault="00195E73">
            <w:pPr>
              <w:jc w:val="right"/>
              <w:rPr>
                <w:rFonts w:eastAsia="Times New Roman"/>
              </w:rPr>
            </w:pPr>
            <w:r>
              <w:rPr>
                <w:rFonts w:eastAsia="Times New Roman"/>
                <w:color w:val="000000"/>
                <w:sz w:val="20"/>
                <w:szCs w:val="20"/>
              </w:rPr>
              <w:t>(112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B2A1A6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942D5AD" w14:textId="77777777" w:rsidR="00000000" w:rsidRDefault="00195E73">
            <w:pPr>
              <w:rPr>
                <w:rFonts w:eastAsia="Times New Roman"/>
                <w:sz w:val="20"/>
                <w:szCs w:val="20"/>
              </w:rPr>
            </w:pPr>
          </w:p>
        </w:tc>
        <w:tc>
          <w:tcPr>
            <w:tcW w:w="0" w:type="auto"/>
            <w:vAlign w:val="center"/>
            <w:hideMark/>
          </w:tcPr>
          <w:p w14:paraId="240C30FB" w14:textId="77777777" w:rsidR="00000000" w:rsidRDefault="00195E73">
            <w:pPr>
              <w:rPr>
                <w:rFonts w:eastAsia="Times New Roman"/>
                <w:sz w:val="20"/>
                <w:szCs w:val="20"/>
              </w:rPr>
            </w:pPr>
          </w:p>
        </w:tc>
        <w:tc>
          <w:tcPr>
            <w:tcW w:w="0" w:type="auto"/>
            <w:vAlign w:val="center"/>
            <w:hideMark/>
          </w:tcPr>
          <w:p w14:paraId="02BFCC94" w14:textId="77777777" w:rsidR="00000000" w:rsidRDefault="00195E73">
            <w:pPr>
              <w:rPr>
                <w:rFonts w:eastAsia="Times New Roman"/>
                <w:sz w:val="20"/>
                <w:szCs w:val="20"/>
              </w:rPr>
            </w:pPr>
          </w:p>
        </w:tc>
        <w:tc>
          <w:tcPr>
            <w:tcW w:w="0" w:type="auto"/>
            <w:vAlign w:val="center"/>
            <w:hideMark/>
          </w:tcPr>
          <w:p w14:paraId="1317F082" w14:textId="77777777" w:rsidR="00000000" w:rsidRDefault="00195E73">
            <w:pPr>
              <w:rPr>
                <w:rFonts w:eastAsia="Times New Roman"/>
                <w:sz w:val="20"/>
                <w:szCs w:val="20"/>
              </w:rPr>
            </w:pPr>
          </w:p>
        </w:tc>
        <w:tc>
          <w:tcPr>
            <w:tcW w:w="0" w:type="auto"/>
            <w:vAlign w:val="center"/>
            <w:hideMark/>
          </w:tcPr>
          <w:p w14:paraId="18725B30" w14:textId="77777777" w:rsidR="00000000" w:rsidRDefault="00195E73">
            <w:pPr>
              <w:rPr>
                <w:rFonts w:eastAsia="Times New Roman"/>
                <w:sz w:val="20"/>
                <w:szCs w:val="20"/>
              </w:rPr>
            </w:pPr>
          </w:p>
        </w:tc>
        <w:tc>
          <w:tcPr>
            <w:tcW w:w="0" w:type="auto"/>
            <w:vAlign w:val="center"/>
            <w:hideMark/>
          </w:tcPr>
          <w:p w14:paraId="7620EE24" w14:textId="77777777" w:rsidR="00000000" w:rsidRDefault="00195E73">
            <w:pPr>
              <w:rPr>
                <w:rFonts w:eastAsia="Times New Roman"/>
                <w:sz w:val="20"/>
                <w:szCs w:val="20"/>
              </w:rPr>
            </w:pPr>
          </w:p>
        </w:tc>
        <w:tc>
          <w:tcPr>
            <w:tcW w:w="0" w:type="auto"/>
            <w:vAlign w:val="center"/>
            <w:hideMark/>
          </w:tcPr>
          <w:p w14:paraId="685CD3A3" w14:textId="77777777" w:rsidR="00000000" w:rsidRDefault="00195E73">
            <w:pPr>
              <w:rPr>
                <w:rFonts w:eastAsia="Times New Roman"/>
                <w:sz w:val="20"/>
                <w:szCs w:val="20"/>
              </w:rPr>
            </w:pPr>
          </w:p>
        </w:tc>
        <w:tc>
          <w:tcPr>
            <w:tcW w:w="0" w:type="auto"/>
            <w:vAlign w:val="center"/>
            <w:hideMark/>
          </w:tcPr>
          <w:p w14:paraId="4C2FF818" w14:textId="77777777" w:rsidR="00000000" w:rsidRDefault="00195E73">
            <w:pPr>
              <w:rPr>
                <w:rFonts w:eastAsia="Times New Roman"/>
                <w:sz w:val="20"/>
                <w:szCs w:val="20"/>
              </w:rPr>
            </w:pPr>
          </w:p>
        </w:tc>
        <w:tc>
          <w:tcPr>
            <w:tcW w:w="0" w:type="auto"/>
            <w:vAlign w:val="center"/>
            <w:hideMark/>
          </w:tcPr>
          <w:p w14:paraId="674D8F6D" w14:textId="77777777" w:rsidR="00000000" w:rsidRDefault="00195E73">
            <w:pPr>
              <w:rPr>
                <w:rFonts w:eastAsia="Times New Roman"/>
                <w:sz w:val="20"/>
                <w:szCs w:val="20"/>
              </w:rPr>
            </w:pPr>
          </w:p>
        </w:tc>
        <w:tc>
          <w:tcPr>
            <w:tcW w:w="0" w:type="auto"/>
            <w:vAlign w:val="center"/>
            <w:hideMark/>
          </w:tcPr>
          <w:p w14:paraId="25843938" w14:textId="77777777" w:rsidR="00000000" w:rsidRDefault="00195E73">
            <w:pPr>
              <w:rPr>
                <w:rFonts w:eastAsia="Times New Roman"/>
                <w:sz w:val="20"/>
                <w:szCs w:val="20"/>
              </w:rPr>
            </w:pPr>
          </w:p>
        </w:tc>
        <w:tc>
          <w:tcPr>
            <w:tcW w:w="0" w:type="auto"/>
            <w:vAlign w:val="center"/>
            <w:hideMark/>
          </w:tcPr>
          <w:p w14:paraId="5C93CD0B" w14:textId="77777777" w:rsidR="00000000" w:rsidRDefault="00195E73">
            <w:pPr>
              <w:rPr>
                <w:rFonts w:eastAsia="Times New Roman"/>
                <w:sz w:val="20"/>
                <w:szCs w:val="20"/>
              </w:rPr>
            </w:pPr>
          </w:p>
        </w:tc>
        <w:tc>
          <w:tcPr>
            <w:tcW w:w="0" w:type="auto"/>
            <w:vAlign w:val="center"/>
            <w:hideMark/>
          </w:tcPr>
          <w:p w14:paraId="2D2E0593" w14:textId="77777777" w:rsidR="00000000" w:rsidRDefault="00195E73">
            <w:pPr>
              <w:rPr>
                <w:rFonts w:eastAsia="Times New Roman"/>
                <w:sz w:val="20"/>
                <w:szCs w:val="20"/>
              </w:rPr>
            </w:pPr>
          </w:p>
        </w:tc>
      </w:tr>
      <w:tr w:rsidR="00000000" w14:paraId="0BC04B64" w14:textId="77777777">
        <w:trPr>
          <w:divId w:val="1991404719"/>
          <w:jc w:val="center"/>
        </w:trPr>
        <w:tc>
          <w:tcPr>
            <w:tcW w:w="0" w:type="auto"/>
            <w:gridSpan w:val="3"/>
            <w:shd w:val="clear" w:color="auto" w:fill="FFFFFF"/>
            <w:tcMar>
              <w:top w:w="15" w:type="dxa"/>
              <w:left w:w="20" w:type="dxa"/>
              <w:bottom w:w="15" w:type="dxa"/>
              <w:right w:w="20" w:type="dxa"/>
            </w:tcMar>
            <w:vAlign w:val="bottom"/>
            <w:hideMark/>
          </w:tcPr>
          <w:p w14:paraId="500F3C4F" w14:textId="77777777" w:rsidR="00000000" w:rsidRDefault="00195E73">
            <w:pPr>
              <w:jc w:val="right"/>
              <w:rPr>
                <w:rFonts w:eastAsia="Times New Roman"/>
              </w:rPr>
            </w:pPr>
          </w:p>
        </w:tc>
        <w:tc>
          <w:tcPr>
            <w:tcW w:w="0" w:type="auto"/>
            <w:vAlign w:val="center"/>
            <w:hideMark/>
          </w:tcPr>
          <w:p w14:paraId="73898A3F" w14:textId="77777777" w:rsidR="00000000" w:rsidRDefault="00195E73">
            <w:pPr>
              <w:rPr>
                <w:rFonts w:eastAsia="Times New Roman"/>
                <w:sz w:val="20"/>
                <w:szCs w:val="20"/>
              </w:rPr>
            </w:pPr>
          </w:p>
        </w:tc>
        <w:tc>
          <w:tcPr>
            <w:tcW w:w="0" w:type="auto"/>
            <w:vAlign w:val="center"/>
            <w:hideMark/>
          </w:tcPr>
          <w:p w14:paraId="7E899422" w14:textId="77777777" w:rsidR="00000000" w:rsidRDefault="00195E73">
            <w:pPr>
              <w:rPr>
                <w:rFonts w:eastAsia="Times New Roman"/>
                <w:sz w:val="20"/>
                <w:szCs w:val="20"/>
              </w:rPr>
            </w:pPr>
          </w:p>
        </w:tc>
        <w:tc>
          <w:tcPr>
            <w:tcW w:w="0" w:type="auto"/>
            <w:vAlign w:val="center"/>
            <w:hideMark/>
          </w:tcPr>
          <w:p w14:paraId="7F04E94A" w14:textId="77777777" w:rsidR="00000000" w:rsidRDefault="00195E73">
            <w:pPr>
              <w:rPr>
                <w:rFonts w:eastAsia="Times New Roman"/>
                <w:sz w:val="20"/>
                <w:szCs w:val="20"/>
              </w:rPr>
            </w:pPr>
          </w:p>
        </w:tc>
        <w:tc>
          <w:tcPr>
            <w:tcW w:w="0" w:type="auto"/>
            <w:vAlign w:val="center"/>
            <w:hideMark/>
          </w:tcPr>
          <w:p w14:paraId="7A76AF58"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631BFB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D9506AE" w14:textId="77777777" w:rsidR="00000000" w:rsidRDefault="00195E73">
            <w:pPr>
              <w:jc w:val="right"/>
              <w:rPr>
                <w:rFonts w:eastAsia="Times New Roman"/>
              </w:rPr>
            </w:pPr>
            <w:r>
              <w:rPr>
                <w:rFonts w:eastAsia="Times New Roman"/>
                <w:color w:val="000000"/>
                <w:sz w:val="20"/>
                <w:szCs w:val="20"/>
              </w:rPr>
              <w:t>(2,502</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92E1F5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9746C07"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260F6D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CEAC669" w14:textId="77777777" w:rsidR="00000000" w:rsidRDefault="00195E73">
            <w:pPr>
              <w:jc w:val="right"/>
              <w:rPr>
                <w:rFonts w:eastAsia="Times New Roman"/>
              </w:rPr>
            </w:pPr>
            <w:r>
              <w:rPr>
                <w:rFonts w:eastAsia="Times New Roman"/>
                <w:color w:val="000000"/>
                <w:sz w:val="20"/>
                <w:szCs w:val="20"/>
              </w:rPr>
              <w:t>798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5CA935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78371B5"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8AE055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70EE916" w14:textId="77777777" w:rsidR="00000000" w:rsidRDefault="00195E73">
            <w:pPr>
              <w:jc w:val="right"/>
              <w:rPr>
                <w:rFonts w:eastAsia="Times New Roman"/>
              </w:rPr>
            </w:pPr>
            <w:r>
              <w:rPr>
                <w:rFonts w:eastAsia="Times New Roman"/>
                <w:color w:val="000000"/>
                <w:sz w:val="20"/>
                <w:szCs w:val="20"/>
              </w:rPr>
              <w:t>(1,969</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210EA1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DF0C920" w14:textId="77777777" w:rsidR="00000000" w:rsidRDefault="00195E73">
            <w:pPr>
              <w:rPr>
                <w:rFonts w:eastAsia="Times New Roman"/>
                <w:sz w:val="20"/>
                <w:szCs w:val="20"/>
              </w:rPr>
            </w:pPr>
          </w:p>
        </w:tc>
        <w:tc>
          <w:tcPr>
            <w:tcW w:w="0" w:type="auto"/>
            <w:vAlign w:val="center"/>
            <w:hideMark/>
          </w:tcPr>
          <w:p w14:paraId="39608B85" w14:textId="77777777" w:rsidR="00000000" w:rsidRDefault="00195E73">
            <w:pPr>
              <w:rPr>
                <w:rFonts w:eastAsia="Times New Roman"/>
                <w:sz w:val="20"/>
                <w:szCs w:val="20"/>
              </w:rPr>
            </w:pPr>
          </w:p>
        </w:tc>
        <w:tc>
          <w:tcPr>
            <w:tcW w:w="0" w:type="auto"/>
            <w:vAlign w:val="center"/>
            <w:hideMark/>
          </w:tcPr>
          <w:p w14:paraId="47D53E50" w14:textId="77777777" w:rsidR="00000000" w:rsidRDefault="00195E73">
            <w:pPr>
              <w:rPr>
                <w:rFonts w:eastAsia="Times New Roman"/>
                <w:sz w:val="20"/>
                <w:szCs w:val="20"/>
              </w:rPr>
            </w:pPr>
          </w:p>
        </w:tc>
        <w:tc>
          <w:tcPr>
            <w:tcW w:w="0" w:type="auto"/>
            <w:vAlign w:val="center"/>
            <w:hideMark/>
          </w:tcPr>
          <w:p w14:paraId="5AC46A76" w14:textId="77777777" w:rsidR="00000000" w:rsidRDefault="00195E73">
            <w:pPr>
              <w:rPr>
                <w:rFonts w:eastAsia="Times New Roman"/>
                <w:sz w:val="20"/>
                <w:szCs w:val="20"/>
              </w:rPr>
            </w:pPr>
          </w:p>
        </w:tc>
        <w:tc>
          <w:tcPr>
            <w:tcW w:w="0" w:type="auto"/>
            <w:vAlign w:val="center"/>
            <w:hideMark/>
          </w:tcPr>
          <w:p w14:paraId="3C35242F" w14:textId="77777777" w:rsidR="00000000" w:rsidRDefault="00195E73">
            <w:pPr>
              <w:rPr>
                <w:rFonts w:eastAsia="Times New Roman"/>
                <w:sz w:val="20"/>
                <w:szCs w:val="20"/>
              </w:rPr>
            </w:pPr>
          </w:p>
        </w:tc>
        <w:tc>
          <w:tcPr>
            <w:tcW w:w="0" w:type="auto"/>
            <w:vAlign w:val="center"/>
            <w:hideMark/>
          </w:tcPr>
          <w:p w14:paraId="5DB9E774" w14:textId="77777777" w:rsidR="00000000" w:rsidRDefault="00195E73">
            <w:pPr>
              <w:rPr>
                <w:rFonts w:eastAsia="Times New Roman"/>
                <w:sz w:val="20"/>
                <w:szCs w:val="20"/>
              </w:rPr>
            </w:pPr>
          </w:p>
        </w:tc>
        <w:tc>
          <w:tcPr>
            <w:tcW w:w="0" w:type="auto"/>
            <w:vAlign w:val="center"/>
            <w:hideMark/>
          </w:tcPr>
          <w:p w14:paraId="3FF138D0" w14:textId="77777777" w:rsidR="00000000" w:rsidRDefault="00195E73">
            <w:pPr>
              <w:rPr>
                <w:rFonts w:eastAsia="Times New Roman"/>
                <w:sz w:val="20"/>
                <w:szCs w:val="20"/>
              </w:rPr>
            </w:pPr>
          </w:p>
        </w:tc>
        <w:tc>
          <w:tcPr>
            <w:tcW w:w="0" w:type="auto"/>
            <w:vAlign w:val="center"/>
            <w:hideMark/>
          </w:tcPr>
          <w:p w14:paraId="241D5E14" w14:textId="77777777" w:rsidR="00000000" w:rsidRDefault="00195E73">
            <w:pPr>
              <w:rPr>
                <w:rFonts w:eastAsia="Times New Roman"/>
                <w:sz w:val="20"/>
                <w:szCs w:val="20"/>
              </w:rPr>
            </w:pPr>
          </w:p>
        </w:tc>
        <w:tc>
          <w:tcPr>
            <w:tcW w:w="0" w:type="auto"/>
            <w:vAlign w:val="center"/>
            <w:hideMark/>
          </w:tcPr>
          <w:p w14:paraId="15AEE8EE" w14:textId="77777777" w:rsidR="00000000" w:rsidRDefault="00195E73">
            <w:pPr>
              <w:rPr>
                <w:rFonts w:eastAsia="Times New Roman"/>
                <w:sz w:val="20"/>
                <w:szCs w:val="20"/>
              </w:rPr>
            </w:pPr>
          </w:p>
        </w:tc>
        <w:tc>
          <w:tcPr>
            <w:tcW w:w="0" w:type="auto"/>
            <w:vAlign w:val="center"/>
            <w:hideMark/>
          </w:tcPr>
          <w:p w14:paraId="722AA6C2" w14:textId="77777777" w:rsidR="00000000" w:rsidRDefault="00195E73">
            <w:pPr>
              <w:rPr>
                <w:rFonts w:eastAsia="Times New Roman"/>
                <w:sz w:val="20"/>
                <w:szCs w:val="20"/>
              </w:rPr>
            </w:pPr>
          </w:p>
        </w:tc>
        <w:tc>
          <w:tcPr>
            <w:tcW w:w="0" w:type="auto"/>
            <w:vAlign w:val="center"/>
            <w:hideMark/>
          </w:tcPr>
          <w:p w14:paraId="694C586F" w14:textId="77777777" w:rsidR="00000000" w:rsidRDefault="00195E73">
            <w:pPr>
              <w:rPr>
                <w:rFonts w:eastAsia="Times New Roman"/>
                <w:sz w:val="20"/>
                <w:szCs w:val="20"/>
              </w:rPr>
            </w:pPr>
          </w:p>
        </w:tc>
        <w:tc>
          <w:tcPr>
            <w:tcW w:w="0" w:type="auto"/>
            <w:vAlign w:val="center"/>
            <w:hideMark/>
          </w:tcPr>
          <w:p w14:paraId="30E9932F" w14:textId="77777777" w:rsidR="00000000" w:rsidRDefault="00195E73">
            <w:pPr>
              <w:rPr>
                <w:rFonts w:eastAsia="Times New Roman"/>
                <w:sz w:val="20"/>
                <w:szCs w:val="20"/>
              </w:rPr>
            </w:pPr>
          </w:p>
        </w:tc>
      </w:tr>
    </w:tbl>
    <w:p w14:paraId="6B190295" w14:textId="77777777" w:rsidR="00000000" w:rsidRDefault="00195E73">
      <w:pPr>
        <w:ind w:hanging="180"/>
        <w:divId w:val="484321938"/>
        <w:rPr>
          <w:rFonts w:eastAsia="Times New Roman"/>
        </w:rPr>
      </w:pPr>
      <w:r>
        <w:rPr>
          <w:rFonts w:eastAsia="Times New Roman"/>
          <w:color w:val="000000"/>
          <w:sz w:val="10"/>
          <w:szCs w:val="10"/>
          <w:vertAlign w:val="superscript"/>
        </w:rPr>
        <w:t>(1</w:t>
      </w:r>
      <w:r>
        <w:rPr>
          <w:rFonts w:eastAsia="Times New Roman"/>
          <w:color w:val="000000"/>
          <w:sz w:val="10"/>
          <w:szCs w:val="10"/>
          <w:vertAlign w:val="superscript"/>
        </w:rPr>
        <w:t>)</w:t>
      </w:r>
      <w:r>
        <w:rPr>
          <w:rFonts w:eastAsia="Times New Roman"/>
          <w:color w:val="000000"/>
          <w:sz w:val="16"/>
          <w:szCs w:val="16"/>
        </w:rPr>
        <w:t xml:space="preserve">Gains (losses) recognized on derivatives are classified </w:t>
      </w:r>
      <w:r>
        <w:rPr>
          <w:rFonts w:eastAsia="Times New Roman"/>
          <w:color w:val="000000"/>
          <w:sz w:val="16"/>
          <w:szCs w:val="16"/>
        </w:rPr>
        <w:t>in net gain (loss) from investment activities in our consolidated statements of operations for our Investment segment</w:t>
      </w:r>
      <w:r>
        <w:rPr>
          <w:rFonts w:eastAsia="Times New Roman"/>
          <w:color w:val="000000"/>
          <w:sz w:val="16"/>
          <w:szCs w:val="16"/>
        </w:rPr>
        <w:t>.</w:t>
      </w:r>
    </w:p>
    <w:p w14:paraId="3985045E" w14:textId="77777777" w:rsidR="00000000" w:rsidRDefault="00195E73">
      <w:pPr>
        <w:divId w:val="690883483"/>
        <w:rPr>
          <w:rFonts w:eastAsia="Times New Roman"/>
        </w:rPr>
      </w:pPr>
      <w:r>
        <w:rPr>
          <w:rFonts w:eastAsia="Times New Roman"/>
          <w:i/>
          <w:iCs/>
          <w:color w:val="000000"/>
          <w:sz w:val="20"/>
          <w:szCs w:val="20"/>
        </w:rPr>
        <w:t>Energ</w:t>
      </w:r>
      <w:r>
        <w:rPr>
          <w:rFonts w:eastAsia="Times New Roman"/>
          <w:i/>
          <w:iCs/>
          <w:color w:val="000000"/>
          <w:sz w:val="20"/>
          <w:szCs w:val="20"/>
        </w:rPr>
        <w:t>y</w:t>
      </w:r>
    </w:p>
    <w:p w14:paraId="3F0555E7" w14:textId="77777777" w:rsidR="00000000" w:rsidRDefault="00195E73">
      <w:pPr>
        <w:ind w:firstLine="450"/>
        <w:divId w:val="1249971146"/>
        <w:rPr>
          <w:rFonts w:eastAsia="Times New Roman"/>
        </w:rPr>
      </w:pPr>
      <w:r>
        <w:rPr>
          <w:rFonts w:eastAsia="Times New Roman"/>
          <w:color w:val="000000"/>
          <w:sz w:val="20"/>
          <w:szCs w:val="20"/>
        </w:rPr>
        <w:t>CVR Energy’s businesses are subject to price fluctuations caused by supply conditions, weather, economic conditions, interest rate</w:t>
      </w:r>
      <w:r>
        <w:rPr>
          <w:rFonts w:eastAsia="Times New Roman"/>
          <w:color w:val="000000"/>
          <w:sz w:val="20"/>
          <w:szCs w:val="20"/>
        </w:rPr>
        <w:t xml:space="preserve"> fluctuations and other factors. To manage price risk on crude oil and other inventories and to fix margins on certain future production, CVR Refining from time to time enters into various commodity derivative transactions. CVR Refining holds derivative in</w:t>
      </w:r>
      <w:r>
        <w:rPr>
          <w:rFonts w:eastAsia="Times New Roman"/>
          <w:color w:val="000000"/>
          <w:sz w:val="20"/>
          <w:szCs w:val="20"/>
        </w:rPr>
        <w:t>struments, such as exchange-traded crude oil futures and certain over-the-counter forward swap agreements, which it believes provide an economic hedge on future transactions, but such instruments are not designated as hedges under U.S. GAAP. There are no p</w:t>
      </w:r>
      <w:r>
        <w:rPr>
          <w:rFonts w:eastAsia="Times New Roman"/>
          <w:color w:val="000000"/>
          <w:sz w:val="20"/>
          <w:szCs w:val="20"/>
        </w:rPr>
        <w:t>remiums paid or received at inception of the derivative contracts and upon settlement</w:t>
      </w:r>
      <w:r>
        <w:rPr>
          <w:rFonts w:eastAsia="Times New Roman"/>
          <w:color w:val="000000"/>
          <w:sz w:val="20"/>
          <w:szCs w:val="20"/>
        </w:rPr>
        <w:t>.</w:t>
      </w:r>
    </w:p>
    <w:p w14:paraId="4ABD4AE5" w14:textId="77777777" w:rsidR="00000000" w:rsidRDefault="00195E73">
      <w:pPr>
        <w:ind w:firstLine="450"/>
        <w:divId w:val="1646205293"/>
        <w:rPr>
          <w:rFonts w:eastAsia="Times New Roman"/>
        </w:rPr>
      </w:pPr>
      <w:r>
        <w:rPr>
          <w:rFonts w:eastAsia="Times New Roman"/>
          <w:color w:val="000000"/>
          <w:sz w:val="20"/>
          <w:szCs w:val="20"/>
        </w:rPr>
        <w:t>As of December 31, 2019 and 2018, CVR Refining had open forward purchase and sale commitments for 5 million barrels and 2 million barrels, respectively, of Canadian crud</w:t>
      </w:r>
      <w:r>
        <w:rPr>
          <w:rFonts w:eastAsia="Times New Roman"/>
          <w:color w:val="000000"/>
          <w:sz w:val="20"/>
          <w:szCs w:val="20"/>
        </w:rPr>
        <w:t>e oil priced at fixed differentials that are not considered probable of physical settlement and are accounted for as derivatives. CVR Refining may enter into forward purchase or sale contracts associated with renewable identification numbers (“RINs”). As o</w:t>
      </w:r>
      <w:r>
        <w:rPr>
          <w:rFonts w:eastAsia="Times New Roman"/>
          <w:color w:val="000000"/>
          <w:sz w:val="20"/>
          <w:szCs w:val="20"/>
        </w:rPr>
        <w:t>f December 31, 2019, CVR Refining had open fixed-price commitments to purchase 20 million RINs.</w:t>
      </w:r>
      <w:r>
        <w:rPr>
          <w:rFonts w:eastAsia="Times New Roman"/>
          <w:color w:val="000000"/>
          <w:sz w:val="20"/>
          <w:szCs w:val="20"/>
        </w:rPr>
        <w:t xml:space="preserve"> </w:t>
      </w:r>
    </w:p>
    <w:p w14:paraId="5AEF1413" w14:textId="77777777" w:rsidR="00000000" w:rsidRDefault="00195E73">
      <w:pPr>
        <w:ind w:firstLine="405"/>
        <w:divId w:val="1864854367"/>
        <w:rPr>
          <w:rFonts w:eastAsia="Times New Roman"/>
        </w:rPr>
      </w:pPr>
      <w:r>
        <w:rPr>
          <w:rFonts w:eastAsia="Times New Roman"/>
          <w:color w:val="000000"/>
          <w:sz w:val="20"/>
          <w:szCs w:val="20"/>
        </w:rPr>
        <w:t>Certain derivative contracts executed by our Energy segment with a single counterparty are reported on a net-by-counterparty basis where a legal right of offse</w:t>
      </w:r>
      <w:r>
        <w:rPr>
          <w:rFonts w:eastAsia="Times New Roman"/>
          <w:color w:val="000000"/>
          <w:sz w:val="20"/>
          <w:szCs w:val="20"/>
        </w:rPr>
        <w:t xml:space="preserve">t exists under an enforceable netting agreement. As of December 31, 2019 and 2018, our Energy segment had gross asset derivatives of $3 million and $8 million, respectively; however, when netted with gross liability derivatives, such net asset derivatives </w:t>
      </w:r>
      <w:r>
        <w:rPr>
          <w:rFonts w:eastAsia="Times New Roman"/>
          <w:color w:val="000000"/>
          <w:sz w:val="20"/>
          <w:szCs w:val="20"/>
        </w:rPr>
        <w:t>were $0 million and $7 million, respectively. Net asset derivatives are included in other assets on the consolidated balance sheets. Gains (losses) recognized on derivatives for our Energy segment were $19 million, $146 million and $(70) million for the ye</w:t>
      </w:r>
      <w:r>
        <w:rPr>
          <w:rFonts w:eastAsia="Times New Roman"/>
          <w:color w:val="000000"/>
          <w:sz w:val="20"/>
          <w:szCs w:val="20"/>
        </w:rPr>
        <w:t>ars ended December 31, 2019, 2018 and 2017, respectively. Gains</w:t>
      </w:r>
      <w:r>
        <w:rPr>
          <w:rFonts w:eastAsia="Times New Roman"/>
          <w:color w:val="000000"/>
          <w:sz w:val="20"/>
          <w:szCs w:val="20"/>
        </w:rPr>
        <w:t xml:space="preserve"> </w:t>
      </w:r>
    </w:p>
    <w:p w14:paraId="20E1F16C" w14:textId="77777777" w:rsidR="00000000" w:rsidRDefault="00195E73">
      <w:pPr>
        <w:jc w:val="center"/>
        <w:divId w:val="1445228061"/>
        <w:rPr>
          <w:rFonts w:eastAsia="Times New Roman"/>
        </w:rPr>
      </w:pPr>
      <w:r>
        <w:rPr>
          <w:rFonts w:eastAsia="Times New Roman"/>
          <w:color w:val="000000"/>
          <w:sz w:val="20"/>
          <w:szCs w:val="20"/>
        </w:rPr>
        <w:t>8</w:t>
      </w:r>
      <w:r>
        <w:rPr>
          <w:rFonts w:eastAsia="Times New Roman"/>
          <w:color w:val="000000"/>
          <w:sz w:val="20"/>
          <w:szCs w:val="20"/>
        </w:rPr>
        <w:t>8</w:t>
      </w:r>
    </w:p>
    <w:p w14:paraId="16F791E1" w14:textId="77777777" w:rsidR="00000000" w:rsidRDefault="00195E73">
      <w:pPr>
        <w:rPr>
          <w:rFonts w:eastAsia="Times New Roman"/>
        </w:rPr>
      </w:pPr>
      <w:r>
        <w:rPr>
          <w:rFonts w:eastAsia="Times New Roman"/>
        </w:rPr>
        <w:pict w14:anchorId="4FB72B31">
          <v:rect id="_x0000_i1114" style="width:0;height:1.5pt" o:hralign="center" o:hrstd="t" o:hr="t" fillcolor="#a0a0a0" stroked="f"/>
        </w:pict>
      </w:r>
    </w:p>
    <w:p w14:paraId="32A42FD1" w14:textId="77777777" w:rsidR="00000000" w:rsidRDefault="00195E73">
      <w:pPr>
        <w:jc w:val="center"/>
        <w:divId w:val="1718625705"/>
        <w:rPr>
          <w:rFonts w:eastAsia="Times New Roman"/>
        </w:rPr>
      </w:pPr>
    </w:p>
    <w:p w14:paraId="5FCB3EEA" w14:textId="77777777" w:rsidR="00000000" w:rsidRDefault="00195E73">
      <w:pPr>
        <w:jc w:val="center"/>
        <w:divId w:val="1718625705"/>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1339769F" w14:textId="77777777" w:rsidR="00000000" w:rsidRDefault="00195E73">
      <w:pPr>
        <w:jc w:val="center"/>
        <w:divId w:val="1718625705"/>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1E885C8C" w14:textId="77777777" w:rsidR="00000000" w:rsidRDefault="00195E73">
      <w:pPr>
        <w:jc w:val="center"/>
        <w:divId w:val="1718625705"/>
        <w:rPr>
          <w:rFonts w:eastAsia="Times New Roman"/>
        </w:rPr>
      </w:pPr>
    </w:p>
    <w:p w14:paraId="705335D5" w14:textId="77777777" w:rsidR="00000000" w:rsidRDefault="00195E73">
      <w:pPr>
        <w:jc w:val="center"/>
        <w:divId w:val="1718625705"/>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43451774" w14:textId="77777777" w:rsidR="00000000" w:rsidRDefault="00195E73">
      <w:pPr>
        <w:divId w:val="1532839084"/>
        <w:rPr>
          <w:rFonts w:eastAsia="Times New Roman"/>
        </w:rPr>
      </w:pPr>
      <w:r>
        <w:rPr>
          <w:rFonts w:eastAsia="Times New Roman"/>
          <w:color w:val="000000"/>
          <w:sz w:val="20"/>
          <w:szCs w:val="20"/>
        </w:rPr>
        <w:t>recognized on derivatives for our Energy segment are included in cost of goods sold on the consolidated statements of operations.</w:t>
      </w:r>
      <w:r>
        <w:rPr>
          <w:rFonts w:eastAsia="Times New Roman"/>
          <w:color w:val="000000"/>
          <w:sz w:val="20"/>
          <w:szCs w:val="20"/>
        </w:rPr>
        <w:t xml:space="preserve"> </w:t>
      </w:r>
    </w:p>
    <w:p w14:paraId="4CA18658" w14:textId="77777777" w:rsidR="00000000" w:rsidRDefault="00195E73">
      <w:pPr>
        <w:divId w:val="506559904"/>
        <w:rPr>
          <w:rFonts w:eastAsia="Times New Roman"/>
        </w:rPr>
      </w:pPr>
    </w:p>
    <w:p w14:paraId="6BABC990" w14:textId="77777777" w:rsidR="00000000" w:rsidRDefault="00195E73">
      <w:pPr>
        <w:ind w:hanging="360"/>
        <w:divId w:val="469903101"/>
        <w:rPr>
          <w:rFonts w:eastAsia="Times New Roman"/>
        </w:rPr>
      </w:pPr>
      <w:r>
        <w:rPr>
          <w:rFonts w:eastAsia="Times New Roman"/>
          <w:b/>
          <w:bCs/>
          <w:color w:val="000000"/>
          <w:sz w:val="20"/>
          <w:szCs w:val="20"/>
        </w:rPr>
        <w:t>7</w:t>
      </w:r>
      <w:r>
        <w:rPr>
          <w:rFonts w:eastAsia="Times New Roman"/>
          <w:color w:val="000000"/>
          <w:sz w:val="20"/>
          <w:szCs w:val="20"/>
        </w:rPr>
        <w:t>.</w:t>
      </w:r>
      <w:r>
        <w:rPr>
          <w:rFonts w:eastAsia="Times New Roman"/>
          <w:color w:val="000000"/>
          <w:sz w:val="20"/>
          <w:szCs w:val="20"/>
        </w:rPr>
        <w:t xml:space="preserve"> </w:t>
      </w:r>
      <w:r>
        <w:rPr>
          <w:rFonts w:eastAsia="Times New Roman"/>
          <w:b/>
          <w:bCs/>
          <w:color w:val="000000"/>
          <w:sz w:val="20"/>
          <w:szCs w:val="20"/>
        </w:rPr>
        <w:t>Inventories, Ne</w:t>
      </w:r>
      <w:r>
        <w:rPr>
          <w:rFonts w:eastAsia="Times New Roman"/>
          <w:b/>
          <w:bCs/>
          <w:color w:val="000000"/>
          <w:sz w:val="20"/>
          <w:szCs w:val="20"/>
        </w:rPr>
        <w:t>t</w:t>
      </w:r>
      <w:r>
        <w:rPr>
          <w:rFonts w:eastAsia="Times New Roman"/>
          <w:color w:val="000000"/>
          <w:sz w:val="20"/>
          <w:szCs w:val="20"/>
        </w:rPr>
        <w:t>.</w:t>
      </w:r>
      <w:r>
        <w:rPr>
          <w:rFonts w:eastAsia="Times New Roman"/>
          <w:color w:val="000000"/>
          <w:sz w:val="20"/>
          <w:szCs w:val="20"/>
        </w:rPr>
        <w:t xml:space="preserve"> </w:t>
      </w:r>
    </w:p>
    <w:p w14:paraId="38609339" w14:textId="77777777" w:rsidR="00000000" w:rsidRDefault="00195E73">
      <w:pPr>
        <w:ind w:firstLine="450"/>
        <w:divId w:val="1197042187"/>
        <w:rPr>
          <w:rFonts w:eastAsia="Times New Roman"/>
        </w:rPr>
      </w:pPr>
      <w:r>
        <w:rPr>
          <w:rFonts w:eastAsia="Times New Roman"/>
          <w:color w:val="000000"/>
          <w:sz w:val="20"/>
          <w:szCs w:val="20"/>
        </w:rPr>
        <w:t>Inventories, net consists of the following</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2"/>
        <w:gridCol w:w="5619"/>
        <w:gridCol w:w="52"/>
        <w:gridCol w:w="135"/>
        <w:gridCol w:w="908"/>
        <w:gridCol w:w="85"/>
        <w:gridCol w:w="36"/>
        <w:gridCol w:w="36"/>
        <w:gridCol w:w="36"/>
        <w:gridCol w:w="135"/>
        <w:gridCol w:w="886"/>
        <w:gridCol w:w="85"/>
        <w:gridCol w:w="36"/>
        <w:gridCol w:w="36"/>
        <w:gridCol w:w="36"/>
        <w:gridCol w:w="36"/>
        <w:gridCol w:w="36"/>
        <w:gridCol w:w="36"/>
      </w:tblGrid>
      <w:tr w:rsidR="00000000" w14:paraId="09B7BC0E" w14:textId="77777777">
        <w:trPr>
          <w:gridAfter w:val="6"/>
          <w:divId w:val="2029913421"/>
          <w:jc w:val="center"/>
        </w:trPr>
        <w:tc>
          <w:tcPr>
            <w:tcW w:w="50" w:type="pct"/>
            <w:vAlign w:val="center"/>
            <w:hideMark/>
          </w:tcPr>
          <w:p w14:paraId="6BFCB990" w14:textId="77777777" w:rsidR="00000000" w:rsidRDefault="00195E73">
            <w:pPr>
              <w:ind w:firstLine="450"/>
              <w:rPr>
                <w:rFonts w:eastAsia="Times New Roman"/>
              </w:rPr>
            </w:pPr>
          </w:p>
        </w:tc>
        <w:tc>
          <w:tcPr>
            <w:tcW w:w="3499" w:type="pct"/>
            <w:vAlign w:val="center"/>
            <w:hideMark/>
          </w:tcPr>
          <w:p w14:paraId="5967AA91" w14:textId="77777777" w:rsidR="00000000" w:rsidRDefault="00195E73">
            <w:pPr>
              <w:rPr>
                <w:rFonts w:eastAsia="Times New Roman"/>
                <w:sz w:val="20"/>
                <w:szCs w:val="20"/>
              </w:rPr>
            </w:pPr>
          </w:p>
        </w:tc>
        <w:tc>
          <w:tcPr>
            <w:tcW w:w="50" w:type="pct"/>
            <w:vAlign w:val="center"/>
            <w:hideMark/>
          </w:tcPr>
          <w:p w14:paraId="7907742F" w14:textId="77777777" w:rsidR="00000000" w:rsidRDefault="00195E73">
            <w:pPr>
              <w:rPr>
                <w:rFonts w:eastAsia="Times New Roman"/>
                <w:sz w:val="20"/>
                <w:szCs w:val="20"/>
              </w:rPr>
            </w:pPr>
          </w:p>
        </w:tc>
        <w:tc>
          <w:tcPr>
            <w:tcW w:w="50" w:type="pct"/>
            <w:vAlign w:val="center"/>
            <w:hideMark/>
          </w:tcPr>
          <w:p w14:paraId="2E01246A" w14:textId="77777777" w:rsidR="00000000" w:rsidRDefault="00195E73">
            <w:pPr>
              <w:rPr>
                <w:rFonts w:eastAsia="Times New Roman"/>
                <w:sz w:val="20"/>
                <w:szCs w:val="20"/>
              </w:rPr>
            </w:pPr>
          </w:p>
        </w:tc>
        <w:tc>
          <w:tcPr>
            <w:tcW w:w="581" w:type="pct"/>
            <w:vAlign w:val="center"/>
            <w:hideMark/>
          </w:tcPr>
          <w:p w14:paraId="7CDEBB5D" w14:textId="77777777" w:rsidR="00000000" w:rsidRDefault="00195E73">
            <w:pPr>
              <w:rPr>
                <w:rFonts w:eastAsia="Times New Roman"/>
                <w:sz w:val="20"/>
                <w:szCs w:val="20"/>
              </w:rPr>
            </w:pPr>
          </w:p>
        </w:tc>
        <w:tc>
          <w:tcPr>
            <w:tcW w:w="50" w:type="pct"/>
            <w:vAlign w:val="center"/>
            <w:hideMark/>
          </w:tcPr>
          <w:p w14:paraId="07C6DC38" w14:textId="77777777" w:rsidR="00000000" w:rsidRDefault="00195E73">
            <w:pPr>
              <w:rPr>
                <w:rFonts w:eastAsia="Times New Roman"/>
                <w:sz w:val="20"/>
                <w:szCs w:val="20"/>
              </w:rPr>
            </w:pPr>
          </w:p>
        </w:tc>
        <w:tc>
          <w:tcPr>
            <w:tcW w:w="5" w:type="pct"/>
            <w:vAlign w:val="center"/>
            <w:hideMark/>
          </w:tcPr>
          <w:p w14:paraId="72FB0684" w14:textId="77777777" w:rsidR="00000000" w:rsidRDefault="00195E73">
            <w:pPr>
              <w:rPr>
                <w:rFonts w:eastAsia="Times New Roman"/>
                <w:sz w:val="20"/>
                <w:szCs w:val="20"/>
              </w:rPr>
            </w:pPr>
          </w:p>
        </w:tc>
        <w:tc>
          <w:tcPr>
            <w:tcW w:w="26" w:type="pct"/>
            <w:vAlign w:val="center"/>
            <w:hideMark/>
          </w:tcPr>
          <w:p w14:paraId="2335DC4F" w14:textId="77777777" w:rsidR="00000000" w:rsidRDefault="00195E73">
            <w:pPr>
              <w:rPr>
                <w:rFonts w:eastAsia="Times New Roman"/>
                <w:sz w:val="20"/>
                <w:szCs w:val="20"/>
              </w:rPr>
            </w:pPr>
          </w:p>
        </w:tc>
        <w:tc>
          <w:tcPr>
            <w:tcW w:w="5" w:type="pct"/>
            <w:vAlign w:val="center"/>
            <w:hideMark/>
          </w:tcPr>
          <w:p w14:paraId="64517AF8" w14:textId="77777777" w:rsidR="00000000" w:rsidRDefault="00195E73">
            <w:pPr>
              <w:rPr>
                <w:rFonts w:eastAsia="Times New Roman"/>
                <w:sz w:val="20"/>
                <w:szCs w:val="20"/>
              </w:rPr>
            </w:pPr>
          </w:p>
        </w:tc>
        <w:tc>
          <w:tcPr>
            <w:tcW w:w="50" w:type="pct"/>
            <w:vAlign w:val="center"/>
            <w:hideMark/>
          </w:tcPr>
          <w:p w14:paraId="24E765BF" w14:textId="77777777" w:rsidR="00000000" w:rsidRDefault="00195E73">
            <w:pPr>
              <w:rPr>
                <w:rFonts w:eastAsia="Times New Roman"/>
                <w:sz w:val="20"/>
                <w:szCs w:val="20"/>
              </w:rPr>
            </w:pPr>
          </w:p>
        </w:tc>
        <w:tc>
          <w:tcPr>
            <w:tcW w:w="581" w:type="pct"/>
            <w:vAlign w:val="center"/>
            <w:hideMark/>
          </w:tcPr>
          <w:p w14:paraId="5C370835" w14:textId="77777777" w:rsidR="00000000" w:rsidRDefault="00195E73">
            <w:pPr>
              <w:rPr>
                <w:rFonts w:eastAsia="Times New Roman"/>
                <w:sz w:val="20"/>
                <w:szCs w:val="20"/>
              </w:rPr>
            </w:pPr>
          </w:p>
        </w:tc>
        <w:tc>
          <w:tcPr>
            <w:tcW w:w="50" w:type="pct"/>
            <w:vAlign w:val="center"/>
            <w:hideMark/>
          </w:tcPr>
          <w:p w14:paraId="4642BF75" w14:textId="77777777" w:rsidR="00000000" w:rsidRDefault="00195E73">
            <w:pPr>
              <w:rPr>
                <w:rFonts w:eastAsia="Times New Roman"/>
                <w:sz w:val="20"/>
                <w:szCs w:val="20"/>
              </w:rPr>
            </w:pPr>
          </w:p>
        </w:tc>
      </w:tr>
      <w:tr w:rsidR="00000000" w14:paraId="39B1DF13" w14:textId="77777777">
        <w:trPr>
          <w:divId w:val="2029913421"/>
          <w:jc w:val="center"/>
        </w:trPr>
        <w:tc>
          <w:tcPr>
            <w:tcW w:w="0" w:type="auto"/>
            <w:gridSpan w:val="3"/>
            <w:tcMar>
              <w:top w:w="15" w:type="dxa"/>
              <w:left w:w="20" w:type="dxa"/>
              <w:bottom w:w="15" w:type="dxa"/>
              <w:right w:w="20" w:type="dxa"/>
            </w:tcMar>
            <w:vAlign w:val="bottom"/>
            <w:hideMark/>
          </w:tcPr>
          <w:p w14:paraId="68B622AD"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2E5D2C87"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4781FD2D" w14:textId="77777777" w:rsidR="00000000" w:rsidRDefault="00195E73">
            <w:pPr>
              <w:jc w:val="center"/>
              <w:rPr>
                <w:rFonts w:eastAsia="Times New Roman"/>
              </w:rPr>
            </w:pPr>
          </w:p>
        </w:tc>
        <w:tc>
          <w:tcPr>
            <w:tcW w:w="0" w:type="auto"/>
            <w:gridSpan w:val="3"/>
            <w:vAlign w:val="center"/>
            <w:hideMark/>
          </w:tcPr>
          <w:p w14:paraId="60DA81C9" w14:textId="77777777" w:rsidR="00000000" w:rsidRDefault="00195E73">
            <w:pPr>
              <w:rPr>
                <w:rFonts w:eastAsia="Times New Roman"/>
                <w:sz w:val="20"/>
                <w:szCs w:val="20"/>
              </w:rPr>
            </w:pPr>
          </w:p>
        </w:tc>
      </w:tr>
      <w:tr w:rsidR="00000000" w14:paraId="6520020A" w14:textId="77777777">
        <w:trPr>
          <w:divId w:val="2029913421"/>
          <w:jc w:val="center"/>
        </w:trPr>
        <w:tc>
          <w:tcPr>
            <w:tcW w:w="0" w:type="auto"/>
            <w:gridSpan w:val="3"/>
            <w:tcMar>
              <w:top w:w="30" w:type="dxa"/>
              <w:left w:w="20" w:type="dxa"/>
              <w:bottom w:w="30" w:type="dxa"/>
              <w:right w:w="20" w:type="dxa"/>
            </w:tcMar>
            <w:vAlign w:val="bottom"/>
            <w:hideMark/>
          </w:tcPr>
          <w:p w14:paraId="77C7BAAF" w14:textId="77777777" w:rsidR="00000000" w:rsidRDefault="00195E73">
            <w:pPr>
              <w:rPr>
                <w:rFonts w:eastAsia="Times New Roman"/>
              </w:rPr>
            </w:pPr>
            <w:r>
              <w:rPr>
                <w:rFonts w:eastAsia="Times New Roman"/>
                <w:b/>
                <w:bCs/>
                <w:color w:val="000000"/>
                <w:sz w:val="20"/>
                <w:szCs w:val="20"/>
              </w:rPr>
              <w:t> </w:t>
            </w: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4451C32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0FB8D1D7"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56E5B2"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60B6A72B" w14:textId="77777777" w:rsidR="00000000" w:rsidRDefault="00195E73">
            <w:pPr>
              <w:rPr>
                <w:rFonts w:eastAsia="Times New Roman"/>
                <w:sz w:val="20"/>
                <w:szCs w:val="20"/>
              </w:rPr>
            </w:pPr>
          </w:p>
        </w:tc>
        <w:tc>
          <w:tcPr>
            <w:tcW w:w="0" w:type="auto"/>
            <w:vAlign w:val="center"/>
            <w:hideMark/>
          </w:tcPr>
          <w:p w14:paraId="5A37FDBA" w14:textId="77777777" w:rsidR="00000000" w:rsidRDefault="00195E73">
            <w:pPr>
              <w:rPr>
                <w:rFonts w:eastAsia="Times New Roman"/>
                <w:sz w:val="20"/>
                <w:szCs w:val="20"/>
              </w:rPr>
            </w:pPr>
          </w:p>
        </w:tc>
        <w:tc>
          <w:tcPr>
            <w:tcW w:w="0" w:type="auto"/>
            <w:vAlign w:val="center"/>
            <w:hideMark/>
          </w:tcPr>
          <w:p w14:paraId="310DB1FF" w14:textId="77777777" w:rsidR="00000000" w:rsidRDefault="00195E73">
            <w:pPr>
              <w:rPr>
                <w:rFonts w:eastAsia="Times New Roman"/>
                <w:sz w:val="20"/>
                <w:szCs w:val="20"/>
              </w:rPr>
            </w:pPr>
          </w:p>
        </w:tc>
        <w:tc>
          <w:tcPr>
            <w:tcW w:w="0" w:type="auto"/>
            <w:vAlign w:val="center"/>
            <w:hideMark/>
          </w:tcPr>
          <w:p w14:paraId="75724CEA" w14:textId="77777777" w:rsidR="00000000" w:rsidRDefault="00195E73">
            <w:pPr>
              <w:rPr>
                <w:rFonts w:eastAsia="Times New Roman"/>
                <w:sz w:val="20"/>
                <w:szCs w:val="20"/>
              </w:rPr>
            </w:pPr>
          </w:p>
        </w:tc>
        <w:tc>
          <w:tcPr>
            <w:tcW w:w="0" w:type="auto"/>
            <w:vAlign w:val="center"/>
            <w:hideMark/>
          </w:tcPr>
          <w:p w14:paraId="3CFD9F93" w14:textId="77777777" w:rsidR="00000000" w:rsidRDefault="00195E73">
            <w:pPr>
              <w:rPr>
                <w:rFonts w:eastAsia="Times New Roman"/>
                <w:sz w:val="20"/>
                <w:szCs w:val="20"/>
              </w:rPr>
            </w:pPr>
          </w:p>
        </w:tc>
        <w:tc>
          <w:tcPr>
            <w:tcW w:w="0" w:type="auto"/>
            <w:vAlign w:val="center"/>
            <w:hideMark/>
          </w:tcPr>
          <w:p w14:paraId="68DF99E6" w14:textId="77777777" w:rsidR="00000000" w:rsidRDefault="00195E73">
            <w:pPr>
              <w:rPr>
                <w:rFonts w:eastAsia="Times New Roman"/>
                <w:sz w:val="20"/>
                <w:szCs w:val="20"/>
              </w:rPr>
            </w:pPr>
          </w:p>
        </w:tc>
      </w:tr>
      <w:tr w:rsidR="00000000" w14:paraId="0222DCFD" w14:textId="77777777">
        <w:trPr>
          <w:divId w:val="2029913421"/>
          <w:jc w:val="center"/>
        </w:trPr>
        <w:tc>
          <w:tcPr>
            <w:tcW w:w="0" w:type="auto"/>
            <w:gridSpan w:val="3"/>
            <w:tcMar>
              <w:top w:w="15" w:type="dxa"/>
              <w:left w:w="20" w:type="dxa"/>
              <w:bottom w:w="15" w:type="dxa"/>
              <w:right w:w="20" w:type="dxa"/>
            </w:tcMar>
            <w:vAlign w:val="bottom"/>
            <w:hideMark/>
          </w:tcPr>
          <w:p w14:paraId="17FB32A5"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AD2A4D5"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1E0A3E65" w14:textId="77777777" w:rsidR="00000000" w:rsidRDefault="00195E73">
            <w:pPr>
              <w:jc w:val="center"/>
              <w:rPr>
                <w:rFonts w:eastAsia="Times New Roman"/>
              </w:rPr>
            </w:pPr>
          </w:p>
        </w:tc>
        <w:tc>
          <w:tcPr>
            <w:tcW w:w="0" w:type="auto"/>
            <w:gridSpan w:val="3"/>
            <w:vAlign w:val="center"/>
            <w:hideMark/>
          </w:tcPr>
          <w:p w14:paraId="0A087951" w14:textId="77777777" w:rsidR="00000000" w:rsidRDefault="00195E73">
            <w:pPr>
              <w:rPr>
                <w:rFonts w:eastAsia="Times New Roman"/>
                <w:sz w:val="20"/>
                <w:szCs w:val="20"/>
              </w:rPr>
            </w:pPr>
          </w:p>
        </w:tc>
      </w:tr>
      <w:tr w:rsidR="00000000" w14:paraId="2F664809" w14:textId="77777777">
        <w:trPr>
          <w:divId w:val="2029913421"/>
          <w:jc w:val="center"/>
        </w:trPr>
        <w:tc>
          <w:tcPr>
            <w:tcW w:w="0" w:type="auto"/>
            <w:gridSpan w:val="3"/>
            <w:shd w:val="clear" w:color="auto" w:fill="CCEEFF"/>
            <w:tcMar>
              <w:top w:w="30" w:type="dxa"/>
              <w:left w:w="20" w:type="dxa"/>
              <w:bottom w:w="30" w:type="dxa"/>
              <w:right w:w="20" w:type="dxa"/>
            </w:tcMar>
            <w:vAlign w:val="bottom"/>
            <w:hideMark/>
          </w:tcPr>
          <w:p w14:paraId="0E84911B" w14:textId="77777777" w:rsidR="00000000" w:rsidRDefault="00195E73">
            <w:pPr>
              <w:rPr>
                <w:rFonts w:eastAsia="Times New Roman"/>
              </w:rPr>
            </w:pPr>
            <w:r>
              <w:rPr>
                <w:rFonts w:eastAsia="Times New Roman"/>
                <w:color w:val="000000"/>
                <w:sz w:val="20"/>
                <w:szCs w:val="20"/>
              </w:rPr>
              <w:t>Raw material</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0EBF7F5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3843458" w14:textId="77777777" w:rsidR="00000000" w:rsidRDefault="00195E73">
            <w:pPr>
              <w:jc w:val="right"/>
              <w:rPr>
                <w:rFonts w:eastAsia="Times New Roman"/>
              </w:rPr>
            </w:pPr>
            <w:r>
              <w:rPr>
                <w:rFonts w:eastAsia="Times New Roman"/>
                <w:color w:val="000000"/>
                <w:sz w:val="20"/>
                <w:szCs w:val="20"/>
              </w:rPr>
              <w:t>223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1D8FFB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CD6F0F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CE6F34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30F791C" w14:textId="77777777" w:rsidR="00000000" w:rsidRDefault="00195E73">
            <w:pPr>
              <w:jc w:val="right"/>
              <w:rPr>
                <w:rFonts w:eastAsia="Times New Roman"/>
              </w:rPr>
            </w:pPr>
            <w:r>
              <w:rPr>
                <w:rFonts w:eastAsia="Times New Roman"/>
                <w:color w:val="000000"/>
                <w:sz w:val="20"/>
                <w:szCs w:val="20"/>
              </w:rPr>
              <w:t>217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3A5CEE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AFE9849" w14:textId="77777777" w:rsidR="00000000" w:rsidRDefault="00195E73">
            <w:pPr>
              <w:rPr>
                <w:rFonts w:eastAsia="Times New Roman"/>
                <w:sz w:val="20"/>
                <w:szCs w:val="20"/>
              </w:rPr>
            </w:pPr>
          </w:p>
        </w:tc>
        <w:tc>
          <w:tcPr>
            <w:tcW w:w="0" w:type="auto"/>
            <w:vAlign w:val="center"/>
            <w:hideMark/>
          </w:tcPr>
          <w:p w14:paraId="6424ED5E" w14:textId="77777777" w:rsidR="00000000" w:rsidRDefault="00195E73">
            <w:pPr>
              <w:rPr>
                <w:rFonts w:eastAsia="Times New Roman"/>
                <w:sz w:val="20"/>
                <w:szCs w:val="20"/>
              </w:rPr>
            </w:pPr>
          </w:p>
        </w:tc>
        <w:tc>
          <w:tcPr>
            <w:tcW w:w="0" w:type="auto"/>
            <w:vAlign w:val="center"/>
            <w:hideMark/>
          </w:tcPr>
          <w:p w14:paraId="77B31D51" w14:textId="77777777" w:rsidR="00000000" w:rsidRDefault="00195E73">
            <w:pPr>
              <w:rPr>
                <w:rFonts w:eastAsia="Times New Roman"/>
                <w:sz w:val="20"/>
                <w:szCs w:val="20"/>
              </w:rPr>
            </w:pPr>
          </w:p>
        </w:tc>
        <w:tc>
          <w:tcPr>
            <w:tcW w:w="0" w:type="auto"/>
            <w:vAlign w:val="center"/>
            <w:hideMark/>
          </w:tcPr>
          <w:p w14:paraId="2D78B47F" w14:textId="77777777" w:rsidR="00000000" w:rsidRDefault="00195E73">
            <w:pPr>
              <w:rPr>
                <w:rFonts w:eastAsia="Times New Roman"/>
                <w:sz w:val="20"/>
                <w:szCs w:val="20"/>
              </w:rPr>
            </w:pPr>
          </w:p>
        </w:tc>
        <w:tc>
          <w:tcPr>
            <w:tcW w:w="0" w:type="auto"/>
            <w:vAlign w:val="center"/>
            <w:hideMark/>
          </w:tcPr>
          <w:p w14:paraId="0AB14096" w14:textId="77777777" w:rsidR="00000000" w:rsidRDefault="00195E73">
            <w:pPr>
              <w:rPr>
                <w:rFonts w:eastAsia="Times New Roman"/>
                <w:sz w:val="20"/>
                <w:szCs w:val="20"/>
              </w:rPr>
            </w:pPr>
          </w:p>
        </w:tc>
        <w:tc>
          <w:tcPr>
            <w:tcW w:w="0" w:type="auto"/>
            <w:vAlign w:val="center"/>
            <w:hideMark/>
          </w:tcPr>
          <w:p w14:paraId="4D0762CE" w14:textId="77777777" w:rsidR="00000000" w:rsidRDefault="00195E73">
            <w:pPr>
              <w:rPr>
                <w:rFonts w:eastAsia="Times New Roman"/>
                <w:sz w:val="20"/>
                <w:szCs w:val="20"/>
              </w:rPr>
            </w:pPr>
          </w:p>
        </w:tc>
      </w:tr>
      <w:tr w:rsidR="00000000" w14:paraId="145B5BF4" w14:textId="77777777">
        <w:trPr>
          <w:divId w:val="2029913421"/>
          <w:jc w:val="center"/>
        </w:trPr>
        <w:tc>
          <w:tcPr>
            <w:tcW w:w="0" w:type="auto"/>
            <w:gridSpan w:val="3"/>
            <w:shd w:val="clear" w:color="auto" w:fill="FFFFFF"/>
            <w:tcMar>
              <w:top w:w="30" w:type="dxa"/>
              <w:left w:w="20" w:type="dxa"/>
              <w:bottom w:w="30" w:type="dxa"/>
              <w:right w:w="20" w:type="dxa"/>
            </w:tcMar>
            <w:vAlign w:val="bottom"/>
            <w:hideMark/>
          </w:tcPr>
          <w:p w14:paraId="01E65AE3" w14:textId="77777777" w:rsidR="00000000" w:rsidRDefault="00195E73">
            <w:pPr>
              <w:rPr>
                <w:rFonts w:eastAsia="Times New Roman"/>
              </w:rPr>
            </w:pPr>
            <w:r>
              <w:rPr>
                <w:rFonts w:eastAsia="Times New Roman"/>
                <w:color w:val="000000"/>
                <w:sz w:val="20"/>
                <w:szCs w:val="20"/>
              </w:rPr>
              <w:t>Work in proces</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D39733A" w14:textId="77777777" w:rsidR="00000000" w:rsidRDefault="00195E73">
            <w:pPr>
              <w:jc w:val="right"/>
              <w:rPr>
                <w:rFonts w:eastAsia="Times New Roman"/>
              </w:rPr>
            </w:pPr>
            <w:r>
              <w:rPr>
                <w:rFonts w:eastAsia="Times New Roman"/>
                <w:color w:val="000000"/>
                <w:sz w:val="20"/>
                <w:szCs w:val="20"/>
              </w:rPr>
              <w:t>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006843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50A099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1FC69E" w14:textId="77777777" w:rsidR="00000000" w:rsidRDefault="00195E73">
            <w:pPr>
              <w:jc w:val="right"/>
              <w:rPr>
                <w:rFonts w:eastAsia="Times New Roman"/>
              </w:rPr>
            </w:pPr>
            <w:r>
              <w:rPr>
                <w:rFonts w:eastAsia="Times New Roman"/>
                <w:color w:val="000000"/>
                <w:sz w:val="20"/>
                <w:szCs w:val="20"/>
              </w:rPr>
              <w:t>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7137B8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176EBF8" w14:textId="77777777" w:rsidR="00000000" w:rsidRDefault="00195E73">
            <w:pPr>
              <w:rPr>
                <w:rFonts w:eastAsia="Times New Roman"/>
                <w:sz w:val="20"/>
                <w:szCs w:val="20"/>
              </w:rPr>
            </w:pPr>
          </w:p>
        </w:tc>
        <w:tc>
          <w:tcPr>
            <w:tcW w:w="0" w:type="auto"/>
            <w:vAlign w:val="center"/>
            <w:hideMark/>
          </w:tcPr>
          <w:p w14:paraId="3A476196" w14:textId="77777777" w:rsidR="00000000" w:rsidRDefault="00195E73">
            <w:pPr>
              <w:rPr>
                <w:rFonts w:eastAsia="Times New Roman"/>
                <w:sz w:val="20"/>
                <w:szCs w:val="20"/>
              </w:rPr>
            </w:pPr>
          </w:p>
        </w:tc>
        <w:tc>
          <w:tcPr>
            <w:tcW w:w="0" w:type="auto"/>
            <w:vAlign w:val="center"/>
            <w:hideMark/>
          </w:tcPr>
          <w:p w14:paraId="5F777ED3" w14:textId="77777777" w:rsidR="00000000" w:rsidRDefault="00195E73">
            <w:pPr>
              <w:rPr>
                <w:rFonts w:eastAsia="Times New Roman"/>
                <w:sz w:val="20"/>
                <w:szCs w:val="20"/>
              </w:rPr>
            </w:pPr>
          </w:p>
        </w:tc>
        <w:tc>
          <w:tcPr>
            <w:tcW w:w="0" w:type="auto"/>
            <w:vAlign w:val="center"/>
            <w:hideMark/>
          </w:tcPr>
          <w:p w14:paraId="06493B80" w14:textId="77777777" w:rsidR="00000000" w:rsidRDefault="00195E73">
            <w:pPr>
              <w:rPr>
                <w:rFonts w:eastAsia="Times New Roman"/>
                <w:sz w:val="20"/>
                <w:szCs w:val="20"/>
              </w:rPr>
            </w:pPr>
          </w:p>
        </w:tc>
        <w:tc>
          <w:tcPr>
            <w:tcW w:w="0" w:type="auto"/>
            <w:vAlign w:val="center"/>
            <w:hideMark/>
          </w:tcPr>
          <w:p w14:paraId="427C3E9E" w14:textId="77777777" w:rsidR="00000000" w:rsidRDefault="00195E73">
            <w:pPr>
              <w:rPr>
                <w:rFonts w:eastAsia="Times New Roman"/>
                <w:sz w:val="20"/>
                <w:szCs w:val="20"/>
              </w:rPr>
            </w:pPr>
          </w:p>
        </w:tc>
        <w:tc>
          <w:tcPr>
            <w:tcW w:w="0" w:type="auto"/>
            <w:vAlign w:val="center"/>
            <w:hideMark/>
          </w:tcPr>
          <w:p w14:paraId="337B182E" w14:textId="77777777" w:rsidR="00000000" w:rsidRDefault="00195E73">
            <w:pPr>
              <w:rPr>
                <w:rFonts w:eastAsia="Times New Roman"/>
                <w:sz w:val="20"/>
                <w:szCs w:val="20"/>
              </w:rPr>
            </w:pPr>
          </w:p>
        </w:tc>
      </w:tr>
      <w:tr w:rsidR="00000000" w14:paraId="019FCC59" w14:textId="77777777">
        <w:trPr>
          <w:divId w:val="2029913421"/>
          <w:jc w:val="center"/>
        </w:trPr>
        <w:tc>
          <w:tcPr>
            <w:tcW w:w="0" w:type="auto"/>
            <w:gridSpan w:val="3"/>
            <w:shd w:val="clear" w:color="auto" w:fill="CCEEFF"/>
            <w:tcMar>
              <w:top w:w="30" w:type="dxa"/>
              <w:left w:w="20" w:type="dxa"/>
              <w:bottom w:w="30" w:type="dxa"/>
              <w:right w:w="20" w:type="dxa"/>
            </w:tcMar>
            <w:vAlign w:val="bottom"/>
            <w:hideMark/>
          </w:tcPr>
          <w:p w14:paraId="0FE35ECF" w14:textId="77777777" w:rsidR="00000000" w:rsidRDefault="00195E73">
            <w:pPr>
              <w:rPr>
                <w:rFonts w:eastAsia="Times New Roman"/>
              </w:rPr>
            </w:pPr>
            <w:r>
              <w:rPr>
                <w:rFonts w:eastAsia="Times New Roman"/>
                <w:color w:val="000000"/>
                <w:sz w:val="20"/>
                <w:szCs w:val="20"/>
              </w:rPr>
              <w:t>Finished good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0B8E366" w14:textId="77777777" w:rsidR="00000000" w:rsidRDefault="00195E73">
            <w:pPr>
              <w:jc w:val="right"/>
              <w:rPr>
                <w:rFonts w:eastAsia="Times New Roman"/>
              </w:rPr>
            </w:pPr>
            <w:r>
              <w:rPr>
                <w:rFonts w:eastAsia="Times New Roman"/>
                <w:color w:val="000000"/>
                <w:sz w:val="20"/>
                <w:szCs w:val="20"/>
              </w:rPr>
              <w:t>1,495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FF87C5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AC82AD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1F79C0" w14:textId="77777777" w:rsidR="00000000" w:rsidRDefault="00195E73">
            <w:pPr>
              <w:jc w:val="right"/>
              <w:rPr>
                <w:rFonts w:eastAsia="Times New Roman"/>
              </w:rPr>
            </w:pPr>
            <w:r>
              <w:rPr>
                <w:rFonts w:eastAsia="Times New Roman"/>
                <w:color w:val="000000"/>
                <w:sz w:val="20"/>
                <w:szCs w:val="20"/>
              </w:rPr>
              <w:t>1,492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E8EB52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3C99E46" w14:textId="77777777" w:rsidR="00000000" w:rsidRDefault="00195E73">
            <w:pPr>
              <w:rPr>
                <w:rFonts w:eastAsia="Times New Roman"/>
                <w:sz w:val="20"/>
                <w:szCs w:val="20"/>
              </w:rPr>
            </w:pPr>
          </w:p>
        </w:tc>
        <w:tc>
          <w:tcPr>
            <w:tcW w:w="0" w:type="auto"/>
            <w:vAlign w:val="center"/>
            <w:hideMark/>
          </w:tcPr>
          <w:p w14:paraId="68C9A0DE" w14:textId="77777777" w:rsidR="00000000" w:rsidRDefault="00195E73">
            <w:pPr>
              <w:rPr>
                <w:rFonts w:eastAsia="Times New Roman"/>
                <w:sz w:val="20"/>
                <w:szCs w:val="20"/>
              </w:rPr>
            </w:pPr>
          </w:p>
        </w:tc>
        <w:tc>
          <w:tcPr>
            <w:tcW w:w="0" w:type="auto"/>
            <w:vAlign w:val="center"/>
            <w:hideMark/>
          </w:tcPr>
          <w:p w14:paraId="1A2D62C1" w14:textId="77777777" w:rsidR="00000000" w:rsidRDefault="00195E73">
            <w:pPr>
              <w:rPr>
                <w:rFonts w:eastAsia="Times New Roman"/>
                <w:sz w:val="20"/>
                <w:szCs w:val="20"/>
              </w:rPr>
            </w:pPr>
          </w:p>
        </w:tc>
        <w:tc>
          <w:tcPr>
            <w:tcW w:w="0" w:type="auto"/>
            <w:vAlign w:val="center"/>
            <w:hideMark/>
          </w:tcPr>
          <w:p w14:paraId="5A32547D" w14:textId="77777777" w:rsidR="00000000" w:rsidRDefault="00195E73">
            <w:pPr>
              <w:rPr>
                <w:rFonts w:eastAsia="Times New Roman"/>
                <w:sz w:val="20"/>
                <w:szCs w:val="20"/>
              </w:rPr>
            </w:pPr>
          </w:p>
        </w:tc>
        <w:tc>
          <w:tcPr>
            <w:tcW w:w="0" w:type="auto"/>
            <w:vAlign w:val="center"/>
            <w:hideMark/>
          </w:tcPr>
          <w:p w14:paraId="57E01919" w14:textId="77777777" w:rsidR="00000000" w:rsidRDefault="00195E73">
            <w:pPr>
              <w:rPr>
                <w:rFonts w:eastAsia="Times New Roman"/>
                <w:sz w:val="20"/>
                <w:szCs w:val="20"/>
              </w:rPr>
            </w:pPr>
          </w:p>
        </w:tc>
        <w:tc>
          <w:tcPr>
            <w:tcW w:w="0" w:type="auto"/>
            <w:vAlign w:val="center"/>
            <w:hideMark/>
          </w:tcPr>
          <w:p w14:paraId="4B2FBE2E" w14:textId="77777777" w:rsidR="00000000" w:rsidRDefault="00195E73">
            <w:pPr>
              <w:rPr>
                <w:rFonts w:eastAsia="Times New Roman"/>
                <w:sz w:val="20"/>
                <w:szCs w:val="20"/>
              </w:rPr>
            </w:pPr>
          </w:p>
        </w:tc>
      </w:tr>
      <w:tr w:rsidR="00000000" w14:paraId="5287FA30" w14:textId="77777777">
        <w:trPr>
          <w:divId w:val="2029913421"/>
          <w:jc w:val="center"/>
        </w:trPr>
        <w:tc>
          <w:tcPr>
            <w:tcW w:w="0" w:type="auto"/>
            <w:gridSpan w:val="3"/>
            <w:shd w:val="clear" w:color="auto" w:fill="FFFFFF"/>
            <w:tcMar>
              <w:top w:w="15" w:type="dxa"/>
              <w:left w:w="20" w:type="dxa"/>
              <w:bottom w:w="15" w:type="dxa"/>
              <w:right w:w="20" w:type="dxa"/>
            </w:tcMar>
            <w:vAlign w:val="bottom"/>
            <w:hideMark/>
          </w:tcPr>
          <w:p w14:paraId="6A6F1971"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32FFD3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311DAE8" w14:textId="77777777" w:rsidR="00000000" w:rsidRDefault="00195E73">
            <w:pPr>
              <w:jc w:val="right"/>
              <w:rPr>
                <w:rFonts w:eastAsia="Times New Roman"/>
              </w:rPr>
            </w:pPr>
            <w:r>
              <w:rPr>
                <w:rFonts w:eastAsia="Times New Roman"/>
                <w:color w:val="000000"/>
                <w:sz w:val="20"/>
                <w:szCs w:val="20"/>
              </w:rPr>
              <w:t>1,812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F07CB6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912EF14"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66AC92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9B4A74E" w14:textId="77777777" w:rsidR="00000000" w:rsidRDefault="00195E73">
            <w:pPr>
              <w:jc w:val="right"/>
              <w:rPr>
                <w:rFonts w:eastAsia="Times New Roman"/>
              </w:rPr>
            </w:pPr>
            <w:r>
              <w:rPr>
                <w:rFonts w:eastAsia="Times New Roman"/>
                <w:color w:val="000000"/>
                <w:sz w:val="20"/>
                <w:szCs w:val="20"/>
              </w:rPr>
              <w:t>1,779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2831AA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AA23ECD" w14:textId="77777777" w:rsidR="00000000" w:rsidRDefault="00195E73">
            <w:pPr>
              <w:rPr>
                <w:rFonts w:eastAsia="Times New Roman"/>
                <w:sz w:val="20"/>
                <w:szCs w:val="20"/>
              </w:rPr>
            </w:pPr>
          </w:p>
        </w:tc>
        <w:tc>
          <w:tcPr>
            <w:tcW w:w="0" w:type="auto"/>
            <w:vAlign w:val="center"/>
            <w:hideMark/>
          </w:tcPr>
          <w:p w14:paraId="7D5018E8" w14:textId="77777777" w:rsidR="00000000" w:rsidRDefault="00195E73">
            <w:pPr>
              <w:rPr>
                <w:rFonts w:eastAsia="Times New Roman"/>
                <w:sz w:val="20"/>
                <w:szCs w:val="20"/>
              </w:rPr>
            </w:pPr>
          </w:p>
        </w:tc>
        <w:tc>
          <w:tcPr>
            <w:tcW w:w="0" w:type="auto"/>
            <w:vAlign w:val="center"/>
            <w:hideMark/>
          </w:tcPr>
          <w:p w14:paraId="04D885B4" w14:textId="77777777" w:rsidR="00000000" w:rsidRDefault="00195E73">
            <w:pPr>
              <w:rPr>
                <w:rFonts w:eastAsia="Times New Roman"/>
                <w:sz w:val="20"/>
                <w:szCs w:val="20"/>
              </w:rPr>
            </w:pPr>
          </w:p>
        </w:tc>
        <w:tc>
          <w:tcPr>
            <w:tcW w:w="0" w:type="auto"/>
            <w:vAlign w:val="center"/>
            <w:hideMark/>
          </w:tcPr>
          <w:p w14:paraId="018E02F7" w14:textId="77777777" w:rsidR="00000000" w:rsidRDefault="00195E73">
            <w:pPr>
              <w:rPr>
                <w:rFonts w:eastAsia="Times New Roman"/>
                <w:sz w:val="20"/>
                <w:szCs w:val="20"/>
              </w:rPr>
            </w:pPr>
          </w:p>
        </w:tc>
        <w:tc>
          <w:tcPr>
            <w:tcW w:w="0" w:type="auto"/>
            <w:vAlign w:val="center"/>
            <w:hideMark/>
          </w:tcPr>
          <w:p w14:paraId="40147687" w14:textId="77777777" w:rsidR="00000000" w:rsidRDefault="00195E73">
            <w:pPr>
              <w:rPr>
                <w:rFonts w:eastAsia="Times New Roman"/>
                <w:sz w:val="20"/>
                <w:szCs w:val="20"/>
              </w:rPr>
            </w:pPr>
          </w:p>
        </w:tc>
        <w:tc>
          <w:tcPr>
            <w:tcW w:w="0" w:type="auto"/>
            <w:vAlign w:val="center"/>
            <w:hideMark/>
          </w:tcPr>
          <w:p w14:paraId="6C13E6BE" w14:textId="77777777" w:rsidR="00000000" w:rsidRDefault="00195E73">
            <w:pPr>
              <w:rPr>
                <w:rFonts w:eastAsia="Times New Roman"/>
                <w:sz w:val="20"/>
                <w:szCs w:val="20"/>
              </w:rPr>
            </w:pPr>
          </w:p>
        </w:tc>
      </w:tr>
    </w:tbl>
    <w:p w14:paraId="4595E452" w14:textId="77777777" w:rsidR="00000000" w:rsidRDefault="00195E73">
      <w:pPr>
        <w:ind w:firstLine="450"/>
        <w:divId w:val="1444037821"/>
        <w:rPr>
          <w:rFonts w:eastAsia="Times New Roman"/>
        </w:rPr>
      </w:pPr>
    </w:p>
    <w:p w14:paraId="2264F24F" w14:textId="77777777" w:rsidR="00000000" w:rsidRDefault="00195E73">
      <w:pPr>
        <w:ind w:firstLine="450"/>
        <w:divId w:val="361826525"/>
        <w:rPr>
          <w:rFonts w:eastAsia="Times New Roman"/>
        </w:rPr>
      </w:pPr>
      <w:r>
        <w:rPr>
          <w:rFonts w:eastAsia="Times New Roman"/>
          <w:color w:val="000000"/>
          <w:sz w:val="20"/>
          <w:szCs w:val="20"/>
        </w:rPr>
        <w:t>Inventories in the table above is presented net of reserves of $27 million and $39 million as of December 31, 2019 and 2018, respectively.</w:t>
      </w:r>
      <w:r>
        <w:rPr>
          <w:rFonts w:eastAsia="Times New Roman"/>
          <w:color w:val="000000"/>
          <w:sz w:val="20"/>
          <w:szCs w:val="20"/>
        </w:rPr>
        <w:t xml:space="preserve"> </w:t>
      </w:r>
    </w:p>
    <w:p w14:paraId="15B09658" w14:textId="77777777" w:rsidR="00000000" w:rsidRDefault="00195E73">
      <w:pPr>
        <w:divId w:val="344523843"/>
        <w:rPr>
          <w:rFonts w:eastAsia="Times New Roman"/>
        </w:rPr>
      </w:pPr>
    </w:p>
    <w:p w14:paraId="3284790C" w14:textId="77777777" w:rsidR="00000000" w:rsidRDefault="00195E73">
      <w:pPr>
        <w:divId w:val="345451300"/>
        <w:rPr>
          <w:rFonts w:eastAsia="Times New Roman"/>
        </w:rPr>
      </w:pPr>
    </w:p>
    <w:p w14:paraId="1F249B5A" w14:textId="77777777" w:rsidR="00000000" w:rsidRDefault="00195E73">
      <w:pPr>
        <w:ind w:hanging="360"/>
        <w:divId w:val="629018570"/>
        <w:rPr>
          <w:rFonts w:eastAsia="Times New Roman"/>
        </w:rPr>
      </w:pPr>
    </w:p>
    <w:p w14:paraId="5A6884F0" w14:textId="77777777" w:rsidR="00000000" w:rsidRDefault="00195E73">
      <w:pPr>
        <w:ind w:hanging="360"/>
        <w:divId w:val="1038354657"/>
        <w:rPr>
          <w:rFonts w:eastAsia="Times New Roman"/>
        </w:rPr>
      </w:pPr>
      <w:r>
        <w:rPr>
          <w:rFonts w:eastAsia="Times New Roman"/>
          <w:b/>
          <w:bCs/>
          <w:color w:val="000000"/>
          <w:sz w:val="20"/>
          <w:szCs w:val="20"/>
        </w:rPr>
        <w:t>8</w:t>
      </w:r>
      <w:r>
        <w:rPr>
          <w:rFonts w:eastAsia="Times New Roman"/>
          <w:color w:val="000000"/>
          <w:sz w:val="20"/>
          <w:szCs w:val="20"/>
        </w:rPr>
        <w:t>.</w:t>
      </w:r>
      <w:r>
        <w:rPr>
          <w:rFonts w:eastAsia="Times New Roman"/>
          <w:color w:val="000000"/>
          <w:sz w:val="20"/>
          <w:szCs w:val="20"/>
        </w:rPr>
        <w:t xml:space="preserve"> </w:t>
      </w:r>
      <w:r>
        <w:rPr>
          <w:rFonts w:eastAsia="Times New Roman"/>
          <w:b/>
          <w:bCs/>
          <w:color w:val="000000"/>
          <w:sz w:val="20"/>
          <w:szCs w:val="20"/>
        </w:rPr>
        <w:t>Property, Plant and Equipment, Net</w:t>
      </w:r>
      <w:r>
        <w:rPr>
          <w:rFonts w:eastAsia="Times New Roman"/>
          <w:b/>
          <w:bCs/>
          <w:color w:val="000000"/>
          <w:sz w:val="20"/>
          <w:szCs w:val="20"/>
        </w:rPr>
        <w:t>.</w:t>
      </w:r>
    </w:p>
    <w:p w14:paraId="76C0E2B2" w14:textId="77777777" w:rsidR="00000000" w:rsidRDefault="00195E73">
      <w:pPr>
        <w:ind w:firstLine="405"/>
        <w:divId w:val="1023165460"/>
        <w:rPr>
          <w:rFonts w:eastAsia="Times New Roman"/>
        </w:rPr>
      </w:pPr>
      <w:r>
        <w:rPr>
          <w:rFonts w:eastAsia="Times New Roman"/>
          <w:color w:val="000000"/>
          <w:sz w:val="20"/>
          <w:szCs w:val="20"/>
        </w:rPr>
        <w:t>Property, plant and equipment, net consists of the following</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7"/>
        <w:gridCol w:w="4216"/>
        <w:gridCol w:w="57"/>
        <w:gridCol w:w="57"/>
        <w:gridCol w:w="998"/>
        <w:gridCol w:w="57"/>
        <w:gridCol w:w="36"/>
        <w:gridCol w:w="36"/>
        <w:gridCol w:w="36"/>
        <w:gridCol w:w="135"/>
        <w:gridCol w:w="981"/>
        <w:gridCol w:w="85"/>
        <w:gridCol w:w="36"/>
        <w:gridCol w:w="36"/>
        <w:gridCol w:w="41"/>
        <w:gridCol w:w="135"/>
        <w:gridCol w:w="981"/>
        <w:gridCol w:w="85"/>
        <w:gridCol w:w="36"/>
        <w:gridCol w:w="36"/>
        <w:gridCol w:w="36"/>
        <w:gridCol w:w="36"/>
        <w:gridCol w:w="36"/>
        <w:gridCol w:w="36"/>
      </w:tblGrid>
      <w:tr w:rsidR="00000000" w14:paraId="29BBCAF4" w14:textId="77777777">
        <w:trPr>
          <w:gridAfter w:val="6"/>
          <w:divId w:val="1922525376"/>
          <w:jc w:val="center"/>
        </w:trPr>
        <w:tc>
          <w:tcPr>
            <w:tcW w:w="50" w:type="pct"/>
            <w:vAlign w:val="center"/>
            <w:hideMark/>
          </w:tcPr>
          <w:p w14:paraId="60C5BC00" w14:textId="77777777" w:rsidR="00000000" w:rsidRDefault="00195E73">
            <w:pPr>
              <w:ind w:firstLine="405"/>
              <w:rPr>
                <w:rFonts w:eastAsia="Times New Roman"/>
              </w:rPr>
            </w:pPr>
          </w:p>
        </w:tc>
        <w:tc>
          <w:tcPr>
            <w:tcW w:w="2627" w:type="pct"/>
            <w:vAlign w:val="center"/>
            <w:hideMark/>
          </w:tcPr>
          <w:p w14:paraId="1CCA373A" w14:textId="77777777" w:rsidR="00000000" w:rsidRDefault="00195E73">
            <w:pPr>
              <w:rPr>
                <w:rFonts w:eastAsia="Times New Roman"/>
                <w:sz w:val="20"/>
                <w:szCs w:val="20"/>
              </w:rPr>
            </w:pPr>
          </w:p>
        </w:tc>
        <w:tc>
          <w:tcPr>
            <w:tcW w:w="50" w:type="pct"/>
            <w:vAlign w:val="center"/>
            <w:hideMark/>
          </w:tcPr>
          <w:p w14:paraId="14B55CC7" w14:textId="77777777" w:rsidR="00000000" w:rsidRDefault="00195E73">
            <w:pPr>
              <w:rPr>
                <w:rFonts w:eastAsia="Times New Roman"/>
                <w:sz w:val="20"/>
                <w:szCs w:val="20"/>
              </w:rPr>
            </w:pPr>
          </w:p>
        </w:tc>
        <w:tc>
          <w:tcPr>
            <w:tcW w:w="50" w:type="pct"/>
            <w:vAlign w:val="center"/>
            <w:hideMark/>
          </w:tcPr>
          <w:p w14:paraId="0CB4F452" w14:textId="77777777" w:rsidR="00000000" w:rsidRDefault="00195E73">
            <w:pPr>
              <w:rPr>
                <w:rFonts w:eastAsia="Times New Roman"/>
                <w:sz w:val="20"/>
                <w:szCs w:val="20"/>
              </w:rPr>
            </w:pPr>
          </w:p>
        </w:tc>
        <w:tc>
          <w:tcPr>
            <w:tcW w:w="633" w:type="pct"/>
            <w:vAlign w:val="center"/>
            <w:hideMark/>
          </w:tcPr>
          <w:p w14:paraId="150D9FD8" w14:textId="77777777" w:rsidR="00000000" w:rsidRDefault="00195E73">
            <w:pPr>
              <w:rPr>
                <w:rFonts w:eastAsia="Times New Roman"/>
                <w:sz w:val="20"/>
                <w:szCs w:val="20"/>
              </w:rPr>
            </w:pPr>
          </w:p>
        </w:tc>
        <w:tc>
          <w:tcPr>
            <w:tcW w:w="50" w:type="pct"/>
            <w:vAlign w:val="center"/>
            <w:hideMark/>
          </w:tcPr>
          <w:p w14:paraId="46B9E1D5" w14:textId="77777777" w:rsidR="00000000" w:rsidRDefault="00195E73">
            <w:pPr>
              <w:rPr>
                <w:rFonts w:eastAsia="Times New Roman"/>
                <w:sz w:val="20"/>
                <w:szCs w:val="20"/>
              </w:rPr>
            </w:pPr>
          </w:p>
        </w:tc>
        <w:tc>
          <w:tcPr>
            <w:tcW w:w="5" w:type="pct"/>
            <w:vAlign w:val="center"/>
            <w:hideMark/>
          </w:tcPr>
          <w:p w14:paraId="64198357" w14:textId="77777777" w:rsidR="00000000" w:rsidRDefault="00195E73">
            <w:pPr>
              <w:rPr>
                <w:rFonts w:eastAsia="Times New Roman"/>
                <w:sz w:val="20"/>
                <w:szCs w:val="20"/>
              </w:rPr>
            </w:pPr>
          </w:p>
        </w:tc>
        <w:tc>
          <w:tcPr>
            <w:tcW w:w="26" w:type="pct"/>
            <w:vAlign w:val="center"/>
            <w:hideMark/>
          </w:tcPr>
          <w:p w14:paraId="41D08E13" w14:textId="77777777" w:rsidR="00000000" w:rsidRDefault="00195E73">
            <w:pPr>
              <w:rPr>
                <w:rFonts w:eastAsia="Times New Roman"/>
                <w:sz w:val="20"/>
                <w:szCs w:val="20"/>
              </w:rPr>
            </w:pPr>
          </w:p>
        </w:tc>
        <w:tc>
          <w:tcPr>
            <w:tcW w:w="5" w:type="pct"/>
            <w:vAlign w:val="center"/>
            <w:hideMark/>
          </w:tcPr>
          <w:p w14:paraId="78E75733" w14:textId="77777777" w:rsidR="00000000" w:rsidRDefault="00195E73">
            <w:pPr>
              <w:rPr>
                <w:rFonts w:eastAsia="Times New Roman"/>
                <w:sz w:val="20"/>
                <w:szCs w:val="20"/>
              </w:rPr>
            </w:pPr>
          </w:p>
        </w:tc>
        <w:tc>
          <w:tcPr>
            <w:tcW w:w="50" w:type="pct"/>
            <w:vAlign w:val="center"/>
            <w:hideMark/>
          </w:tcPr>
          <w:p w14:paraId="5E0939BC" w14:textId="77777777" w:rsidR="00000000" w:rsidRDefault="00195E73">
            <w:pPr>
              <w:rPr>
                <w:rFonts w:eastAsia="Times New Roman"/>
                <w:sz w:val="20"/>
                <w:szCs w:val="20"/>
              </w:rPr>
            </w:pPr>
          </w:p>
        </w:tc>
        <w:tc>
          <w:tcPr>
            <w:tcW w:w="633" w:type="pct"/>
            <w:vAlign w:val="center"/>
            <w:hideMark/>
          </w:tcPr>
          <w:p w14:paraId="22F8C507" w14:textId="77777777" w:rsidR="00000000" w:rsidRDefault="00195E73">
            <w:pPr>
              <w:rPr>
                <w:rFonts w:eastAsia="Times New Roman"/>
                <w:sz w:val="20"/>
                <w:szCs w:val="20"/>
              </w:rPr>
            </w:pPr>
          </w:p>
        </w:tc>
        <w:tc>
          <w:tcPr>
            <w:tcW w:w="50" w:type="pct"/>
            <w:vAlign w:val="center"/>
            <w:hideMark/>
          </w:tcPr>
          <w:p w14:paraId="3CAB6E51" w14:textId="77777777" w:rsidR="00000000" w:rsidRDefault="00195E73">
            <w:pPr>
              <w:rPr>
                <w:rFonts w:eastAsia="Times New Roman"/>
                <w:sz w:val="20"/>
                <w:szCs w:val="20"/>
              </w:rPr>
            </w:pPr>
          </w:p>
        </w:tc>
        <w:tc>
          <w:tcPr>
            <w:tcW w:w="5" w:type="pct"/>
            <w:vAlign w:val="center"/>
            <w:hideMark/>
          </w:tcPr>
          <w:p w14:paraId="17B3EBED" w14:textId="77777777" w:rsidR="00000000" w:rsidRDefault="00195E73">
            <w:pPr>
              <w:rPr>
                <w:rFonts w:eastAsia="Times New Roman"/>
                <w:sz w:val="20"/>
                <w:szCs w:val="20"/>
              </w:rPr>
            </w:pPr>
          </w:p>
        </w:tc>
        <w:tc>
          <w:tcPr>
            <w:tcW w:w="26" w:type="pct"/>
            <w:vAlign w:val="center"/>
            <w:hideMark/>
          </w:tcPr>
          <w:p w14:paraId="6C6E960C" w14:textId="77777777" w:rsidR="00000000" w:rsidRDefault="00195E73">
            <w:pPr>
              <w:rPr>
                <w:rFonts w:eastAsia="Times New Roman"/>
                <w:sz w:val="20"/>
                <w:szCs w:val="20"/>
              </w:rPr>
            </w:pPr>
          </w:p>
        </w:tc>
        <w:tc>
          <w:tcPr>
            <w:tcW w:w="5" w:type="pct"/>
            <w:vAlign w:val="center"/>
            <w:hideMark/>
          </w:tcPr>
          <w:p w14:paraId="697F37FA" w14:textId="77777777" w:rsidR="00000000" w:rsidRDefault="00195E73">
            <w:pPr>
              <w:rPr>
                <w:rFonts w:eastAsia="Times New Roman"/>
                <w:sz w:val="20"/>
                <w:szCs w:val="20"/>
              </w:rPr>
            </w:pPr>
          </w:p>
        </w:tc>
        <w:tc>
          <w:tcPr>
            <w:tcW w:w="50" w:type="pct"/>
            <w:vAlign w:val="center"/>
            <w:hideMark/>
          </w:tcPr>
          <w:p w14:paraId="50936822" w14:textId="77777777" w:rsidR="00000000" w:rsidRDefault="00195E73">
            <w:pPr>
              <w:rPr>
                <w:rFonts w:eastAsia="Times New Roman"/>
                <w:sz w:val="20"/>
                <w:szCs w:val="20"/>
              </w:rPr>
            </w:pPr>
          </w:p>
        </w:tc>
        <w:tc>
          <w:tcPr>
            <w:tcW w:w="633" w:type="pct"/>
            <w:vAlign w:val="center"/>
            <w:hideMark/>
          </w:tcPr>
          <w:p w14:paraId="420EB2EC" w14:textId="77777777" w:rsidR="00000000" w:rsidRDefault="00195E73">
            <w:pPr>
              <w:rPr>
                <w:rFonts w:eastAsia="Times New Roman"/>
                <w:sz w:val="20"/>
                <w:szCs w:val="20"/>
              </w:rPr>
            </w:pPr>
          </w:p>
        </w:tc>
        <w:tc>
          <w:tcPr>
            <w:tcW w:w="50" w:type="pct"/>
            <w:vAlign w:val="center"/>
            <w:hideMark/>
          </w:tcPr>
          <w:p w14:paraId="48F2E804" w14:textId="77777777" w:rsidR="00000000" w:rsidRDefault="00195E73">
            <w:pPr>
              <w:rPr>
                <w:rFonts w:eastAsia="Times New Roman"/>
                <w:sz w:val="20"/>
                <w:szCs w:val="20"/>
              </w:rPr>
            </w:pPr>
          </w:p>
        </w:tc>
      </w:tr>
      <w:tr w:rsidR="00000000" w14:paraId="28BB2CB1" w14:textId="77777777">
        <w:trPr>
          <w:divId w:val="1922525376"/>
          <w:jc w:val="center"/>
        </w:trPr>
        <w:tc>
          <w:tcPr>
            <w:tcW w:w="0" w:type="auto"/>
            <w:gridSpan w:val="3"/>
            <w:tcMar>
              <w:top w:w="15" w:type="dxa"/>
              <w:left w:w="20" w:type="dxa"/>
              <w:bottom w:w="15" w:type="dxa"/>
              <w:right w:w="20" w:type="dxa"/>
            </w:tcMar>
            <w:vAlign w:val="bottom"/>
            <w:hideMark/>
          </w:tcPr>
          <w:p w14:paraId="2465C2E4"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EF26CE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548F671"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3B233820"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512CECC1" w14:textId="77777777" w:rsidR="00000000" w:rsidRDefault="00195E73">
            <w:pPr>
              <w:jc w:val="center"/>
              <w:rPr>
                <w:rFonts w:eastAsia="Times New Roman"/>
              </w:rPr>
            </w:pPr>
          </w:p>
        </w:tc>
        <w:tc>
          <w:tcPr>
            <w:tcW w:w="0" w:type="auto"/>
            <w:gridSpan w:val="3"/>
            <w:vAlign w:val="center"/>
            <w:hideMark/>
          </w:tcPr>
          <w:p w14:paraId="43838CBE" w14:textId="77777777" w:rsidR="00000000" w:rsidRDefault="00195E73">
            <w:pPr>
              <w:rPr>
                <w:rFonts w:eastAsia="Times New Roman"/>
                <w:sz w:val="20"/>
                <w:szCs w:val="20"/>
              </w:rPr>
            </w:pPr>
          </w:p>
        </w:tc>
      </w:tr>
      <w:tr w:rsidR="00000000" w14:paraId="3DA775BB" w14:textId="77777777">
        <w:trPr>
          <w:divId w:val="1922525376"/>
          <w:jc w:val="center"/>
        </w:trPr>
        <w:tc>
          <w:tcPr>
            <w:tcW w:w="0" w:type="auto"/>
            <w:gridSpan w:val="3"/>
            <w:tcMar>
              <w:top w:w="15" w:type="dxa"/>
              <w:left w:w="20" w:type="dxa"/>
              <w:bottom w:w="15" w:type="dxa"/>
              <w:right w:w="20" w:type="dxa"/>
            </w:tcMar>
            <w:vAlign w:val="bottom"/>
            <w:hideMark/>
          </w:tcPr>
          <w:p w14:paraId="2FAE49B5"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4C4E8290" w14:textId="77777777" w:rsidR="00000000" w:rsidRDefault="00195E73">
            <w:pPr>
              <w:jc w:val="center"/>
              <w:rPr>
                <w:rFonts w:eastAsia="Times New Roman"/>
              </w:rPr>
            </w:pPr>
            <w:r>
              <w:rPr>
                <w:rFonts w:eastAsia="Times New Roman"/>
                <w:b/>
                <w:bCs/>
                <w:color w:val="000000"/>
                <w:sz w:val="20"/>
                <w:szCs w:val="20"/>
              </w:rPr>
              <w:t>Useful Lif</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14:paraId="7AF3B808"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E8166C"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4CB10F77"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FAB272A"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240A556B" w14:textId="77777777" w:rsidR="00000000" w:rsidRDefault="00195E73">
            <w:pPr>
              <w:rPr>
                <w:rFonts w:eastAsia="Times New Roman"/>
                <w:sz w:val="20"/>
                <w:szCs w:val="20"/>
              </w:rPr>
            </w:pPr>
          </w:p>
        </w:tc>
        <w:tc>
          <w:tcPr>
            <w:tcW w:w="0" w:type="auto"/>
            <w:vAlign w:val="center"/>
            <w:hideMark/>
          </w:tcPr>
          <w:p w14:paraId="3B7BB793" w14:textId="77777777" w:rsidR="00000000" w:rsidRDefault="00195E73">
            <w:pPr>
              <w:rPr>
                <w:rFonts w:eastAsia="Times New Roman"/>
                <w:sz w:val="20"/>
                <w:szCs w:val="20"/>
              </w:rPr>
            </w:pPr>
          </w:p>
        </w:tc>
        <w:tc>
          <w:tcPr>
            <w:tcW w:w="0" w:type="auto"/>
            <w:vAlign w:val="center"/>
            <w:hideMark/>
          </w:tcPr>
          <w:p w14:paraId="143E43BE" w14:textId="77777777" w:rsidR="00000000" w:rsidRDefault="00195E73">
            <w:pPr>
              <w:rPr>
                <w:rFonts w:eastAsia="Times New Roman"/>
                <w:sz w:val="20"/>
                <w:szCs w:val="20"/>
              </w:rPr>
            </w:pPr>
          </w:p>
        </w:tc>
        <w:tc>
          <w:tcPr>
            <w:tcW w:w="0" w:type="auto"/>
            <w:vAlign w:val="center"/>
            <w:hideMark/>
          </w:tcPr>
          <w:p w14:paraId="33B9927C" w14:textId="77777777" w:rsidR="00000000" w:rsidRDefault="00195E73">
            <w:pPr>
              <w:rPr>
                <w:rFonts w:eastAsia="Times New Roman"/>
                <w:sz w:val="20"/>
                <w:szCs w:val="20"/>
              </w:rPr>
            </w:pPr>
          </w:p>
        </w:tc>
        <w:tc>
          <w:tcPr>
            <w:tcW w:w="0" w:type="auto"/>
            <w:vAlign w:val="center"/>
            <w:hideMark/>
          </w:tcPr>
          <w:p w14:paraId="71357D4E" w14:textId="77777777" w:rsidR="00000000" w:rsidRDefault="00195E73">
            <w:pPr>
              <w:rPr>
                <w:rFonts w:eastAsia="Times New Roman"/>
                <w:sz w:val="20"/>
                <w:szCs w:val="20"/>
              </w:rPr>
            </w:pPr>
          </w:p>
        </w:tc>
        <w:tc>
          <w:tcPr>
            <w:tcW w:w="0" w:type="auto"/>
            <w:vAlign w:val="center"/>
            <w:hideMark/>
          </w:tcPr>
          <w:p w14:paraId="2C150682" w14:textId="77777777" w:rsidR="00000000" w:rsidRDefault="00195E73">
            <w:pPr>
              <w:rPr>
                <w:rFonts w:eastAsia="Times New Roman"/>
                <w:sz w:val="20"/>
                <w:szCs w:val="20"/>
              </w:rPr>
            </w:pPr>
          </w:p>
        </w:tc>
      </w:tr>
      <w:tr w:rsidR="00000000" w14:paraId="19005A62" w14:textId="77777777">
        <w:trPr>
          <w:divId w:val="1922525376"/>
          <w:jc w:val="center"/>
        </w:trPr>
        <w:tc>
          <w:tcPr>
            <w:tcW w:w="0" w:type="auto"/>
            <w:gridSpan w:val="3"/>
            <w:tcMar>
              <w:top w:w="15" w:type="dxa"/>
              <w:left w:w="20" w:type="dxa"/>
              <w:bottom w:w="15" w:type="dxa"/>
              <w:right w:w="20" w:type="dxa"/>
            </w:tcMar>
            <w:vAlign w:val="bottom"/>
            <w:hideMark/>
          </w:tcPr>
          <w:p w14:paraId="5C5C4BDE"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D761AF" w14:textId="77777777" w:rsidR="00000000" w:rsidRDefault="00195E73">
            <w:pPr>
              <w:jc w:val="center"/>
              <w:rPr>
                <w:rFonts w:eastAsia="Times New Roman"/>
              </w:rPr>
            </w:pPr>
            <w:r>
              <w:rPr>
                <w:rFonts w:eastAsia="Times New Roman"/>
                <w:color w:val="000000"/>
                <w:sz w:val="16"/>
                <w:szCs w:val="16"/>
              </w:rPr>
              <w:t>(in years</w:t>
            </w: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14:paraId="70CB4ED6"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29C66E5"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0524427A" w14:textId="77777777" w:rsidR="00000000" w:rsidRDefault="00195E73">
            <w:pPr>
              <w:jc w:val="center"/>
              <w:rPr>
                <w:rFonts w:eastAsia="Times New Roman"/>
              </w:rPr>
            </w:pPr>
          </w:p>
        </w:tc>
        <w:tc>
          <w:tcPr>
            <w:tcW w:w="0" w:type="auto"/>
            <w:gridSpan w:val="3"/>
            <w:vAlign w:val="center"/>
            <w:hideMark/>
          </w:tcPr>
          <w:p w14:paraId="5B16E948" w14:textId="77777777" w:rsidR="00000000" w:rsidRDefault="00195E73">
            <w:pPr>
              <w:rPr>
                <w:rFonts w:eastAsia="Times New Roman"/>
                <w:sz w:val="20"/>
                <w:szCs w:val="20"/>
              </w:rPr>
            </w:pPr>
          </w:p>
        </w:tc>
      </w:tr>
      <w:tr w:rsidR="00000000" w14:paraId="7D96D47B" w14:textId="77777777">
        <w:trPr>
          <w:divId w:val="1922525376"/>
          <w:jc w:val="center"/>
        </w:trPr>
        <w:tc>
          <w:tcPr>
            <w:tcW w:w="0" w:type="auto"/>
            <w:gridSpan w:val="3"/>
            <w:shd w:val="clear" w:color="auto" w:fill="CCEEFF"/>
            <w:tcMar>
              <w:top w:w="30" w:type="dxa"/>
              <w:left w:w="20" w:type="dxa"/>
              <w:bottom w:w="30" w:type="dxa"/>
              <w:right w:w="20" w:type="dxa"/>
            </w:tcMar>
            <w:vAlign w:val="bottom"/>
            <w:hideMark/>
          </w:tcPr>
          <w:p w14:paraId="3D98124E" w14:textId="77777777" w:rsidR="00000000" w:rsidRDefault="00195E73">
            <w:pPr>
              <w:rPr>
                <w:rFonts w:eastAsia="Times New Roman"/>
              </w:rPr>
            </w:pPr>
            <w:r>
              <w:rPr>
                <w:rFonts w:eastAsia="Times New Roman"/>
                <w:color w:val="000000"/>
                <w:sz w:val="20"/>
                <w:szCs w:val="20"/>
              </w:rPr>
              <w:t>Lan</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14:paraId="0E0316BA"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78B8FA0" w14:textId="77777777" w:rsidR="00000000" w:rsidRDefault="00195E73">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3011AD7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1396F60" w14:textId="77777777" w:rsidR="00000000" w:rsidRDefault="00195E73">
            <w:pPr>
              <w:jc w:val="right"/>
              <w:rPr>
                <w:rFonts w:eastAsia="Times New Roman"/>
              </w:rPr>
            </w:pPr>
            <w:r>
              <w:rPr>
                <w:rFonts w:eastAsia="Times New Roman"/>
                <w:color w:val="000000"/>
                <w:sz w:val="20"/>
                <w:szCs w:val="20"/>
              </w:rPr>
              <w:t>412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3727CF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A31917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AA715E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6FFAF7C" w14:textId="77777777" w:rsidR="00000000" w:rsidRDefault="00195E73">
            <w:pPr>
              <w:jc w:val="right"/>
              <w:rPr>
                <w:rFonts w:eastAsia="Times New Roman"/>
              </w:rPr>
            </w:pPr>
            <w:r>
              <w:rPr>
                <w:rFonts w:eastAsia="Times New Roman"/>
                <w:color w:val="000000"/>
                <w:sz w:val="20"/>
                <w:szCs w:val="20"/>
              </w:rPr>
              <w:t>416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9FBF1D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17A0ED1" w14:textId="77777777" w:rsidR="00000000" w:rsidRDefault="00195E73">
            <w:pPr>
              <w:rPr>
                <w:rFonts w:eastAsia="Times New Roman"/>
                <w:sz w:val="20"/>
                <w:szCs w:val="20"/>
              </w:rPr>
            </w:pPr>
          </w:p>
        </w:tc>
        <w:tc>
          <w:tcPr>
            <w:tcW w:w="0" w:type="auto"/>
            <w:vAlign w:val="center"/>
            <w:hideMark/>
          </w:tcPr>
          <w:p w14:paraId="62971A80" w14:textId="77777777" w:rsidR="00000000" w:rsidRDefault="00195E73">
            <w:pPr>
              <w:rPr>
                <w:rFonts w:eastAsia="Times New Roman"/>
                <w:sz w:val="20"/>
                <w:szCs w:val="20"/>
              </w:rPr>
            </w:pPr>
          </w:p>
        </w:tc>
        <w:tc>
          <w:tcPr>
            <w:tcW w:w="0" w:type="auto"/>
            <w:vAlign w:val="center"/>
            <w:hideMark/>
          </w:tcPr>
          <w:p w14:paraId="59E091A4" w14:textId="77777777" w:rsidR="00000000" w:rsidRDefault="00195E73">
            <w:pPr>
              <w:rPr>
                <w:rFonts w:eastAsia="Times New Roman"/>
                <w:sz w:val="20"/>
                <w:szCs w:val="20"/>
              </w:rPr>
            </w:pPr>
          </w:p>
        </w:tc>
        <w:tc>
          <w:tcPr>
            <w:tcW w:w="0" w:type="auto"/>
            <w:vAlign w:val="center"/>
            <w:hideMark/>
          </w:tcPr>
          <w:p w14:paraId="1740250F" w14:textId="77777777" w:rsidR="00000000" w:rsidRDefault="00195E73">
            <w:pPr>
              <w:rPr>
                <w:rFonts w:eastAsia="Times New Roman"/>
                <w:sz w:val="20"/>
                <w:szCs w:val="20"/>
              </w:rPr>
            </w:pPr>
          </w:p>
        </w:tc>
        <w:tc>
          <w:tcPr>
            <w:tcW w:w="0" w:type="auto"/>
            <w:vAlign w:val="center"/>
            <w:hideMark/>
          </w:tcPr>
          <w:p w14:paraId="12DA7A2F" w14:textId="77777777" w:rsidR="00000000" w:rsidRDefault="00195E73">
            <w:pPr>
              <w:rPr>
                <w:rFonts w:eastAsia="Times New Roman"/>
                <w:sz w:val="20"/>
                <w:szCs w:val="20"/>
              </w:rPr>
            </w:pPr>
          </w:p>
        </w:tc>
        <w:tc>
          <w:tcPr>
            <w:tcW w:w="0" w:type="auto"/>
            <w:vAlign w:val="center"/>
            <w:hideMark/>
          </w:tcPr>
          <w:p w14:paraId="628E065C" w14:textId="77777777" w:rsidR="00000000" w:rsidRDefault="00195E73">
            <w:pPr>
              <w:rPr>
                <w:rFonts w:eastAsia="Times New Roman"/>
                <w:sz w:val="20"/>
                <w:szCs w:val="20"/>
              </w:rPr>
            </w:pPr>
          </w:p>
        </w:tc>
      </w:tr>
      <w:tr w:rsidR="00000000" w14:paraId="2CD0EE68" w14:textId="77777777">
        <w:trPr>
          <w:divId w:val="1922525376"/>
          <w:jc w:val="center"/>
        </w:trPr>
        <w:tc>
          <w:tcPr>
            <w:tcW w:w="0" w:type="auto"/>
            <w:gridSpan w:val="3"/>
            <w:shd w:val="clear" w:color="auto" w:fill="FFFFFF"/>
            <w:tcMar>
              <w:top w:w="30" w:type="dxa"/>
              <w:left w:w="20" w:type="dxa"/>
              <w:bottom w:w="30" w:type="dxa"/>
              <w:right w:w="20" w:type="dxa"/>
            </w:tcMar>
            <w:vAlign w:val="bottom"/>
            <w:hideMark/>
          </w:tcPr>
          <w:p w14:paraId="1E626374" w14:textId="77777777" w:rsidR="00000000" w:rsidRDefault="00195E73">
            <w:pPr>
              <w:rPr>
                <w:rFonts w:eastAsia="Times New Roman"/>
              </w:rPr>
            </w:pPr>
            <w:r>
              <w:rPr>
                <w:rFonts w:eastAsia="Times New Roman"/>
                <w:color w:val="000000"/>
                <w:sz w:val="20"/>
                <w:szCs w:val="20"/>
              </w:rPr>
              <w:t>Buildings and improvement</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14:paraId="3F8E1ADA" w14:textId="77777777" w:rsidR="00000000" w:rsidRDefault="00195E73">
            <w:pPr>
              <w:jc w:val="center"/>
              <w:rPr>
                <w:rFonts w:eastAsia="Times New Roman"/>
              </w:rPr>
            </w:pPr>
            <w:r>
              <w:rPr>
                <w:rFonts w:eastAsia="Times New Roman"/>
                <w:color w:val="000000"/>
                <w:sz w:val="20"/>
                <w:szCs w:val="20"/>
              </w:rPr>
              <w:t>3 - 4</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14:paraId="49A90280" w14:textId="77777777" w:rsidR="00000000" w:rsidRDefault="00195E7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D1B227" w14:textId="77777777" w:rsidR="00000000" w:rsidRDefault="00195E73">
            <w:pPr>
              <w:jc w:val="right"/>
              <w:rPr>
                <w:rFonts w:eastAsia="Times New Roman"/>
              </w:rPr>
            </w:pPr>
            <w:r>
              <w:rPr>
                <w:rFonts w:eastAsia="Times New Roman"/>
                <w:color w:val="000000"/>
                <w:sz w:val="20"/>
                <w:szCs w:val="20"/>
              </w:rPr>
              <w:t>915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EAC713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88005F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71133E" w14:textId="77777777" w:rsidR="00000000" w:rsidRDefault="00195E73">
            <w:pPr>
              <w:jc w:val="right"/>
              <w:rPr>
                <w:rFonts w:eastAsia="Times New Roman"/>
              </w:rPr>
            </w:pPr>
            <w:r>
              <w:rPr>
                <w:rFonts w:eastAsia="Times New Roman"/>
                <w:color w:val="000000"/>
                <w:sz w:val="20"/>
                <w:szCs w:val="20"/>
              </w:rPr>
              <w:t>865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6FC14C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FB6F03D" w14:textId="77777777" w:rsidR="00000000" w:rsidRDefault="00195E73">
            <w:pPr>
              <w:rPr>
                <w:rFonts w:eastAsia="Times New Roman"/>
                <w:sz w:val="20"/>
                <w:szCs w:val="20"/>
              </w:rPr>
            </w:pPr>
          </w:p>
        </w:tc>
        <w:tc>
          <w:tcPr>
            <w:tcW w:w="0" w:type="auto"/>
            <w:vAlign w:val="center"/>
            <w:hideMark/>
          </w:tcPr>
          <w:p w14:paraId="682B200F" w14:textId="77777777" w:rsidR="00000000" w:rsidRDefault="00195E73">
            <w:pPr>
              <w:rPr>
                <w:rFonts w:eastAsia="Times New Roman"/>
                <w:sz w:val="20"/>
                <w:szCs w:val="20"/>
              </w:rPr>
            </w:pPr>
          </w:p>
        </w:tc>
        <w:tc>
          <w:tcPr>
            <w:tcW w:w="0" w:type="auto"/>
            <w:vAlign w:val="center"/>
            <w:hideMark/>
          </w:tcPr>
          <w:p w14:paraId="5979DFBA" w14:textId="77777777" w:rsidR="00000000" w:rsidRDefault="00195E73">
            <w:pPr>
              <w:rPr>
                <w:rFonts w:eastAsia="Times New Roman"/>
                <w:sz w:val="20"/>
                <w:szCs w:val="20"/>
              </w:rPr>
            </w:pPr>
          </w:p>
        </w:tc>
        <w:tc>
          <w:tcPr>
            <w:tcW w:w="0" w:type="auto"/>
            <w:vAlign w:val="center"/>
            <w:hideMark/>
          </w:tcPr>
          <w:p w14:paraId="3388BB36" w14:textId="77777777" w:rsidR="00000000" w:rsidRDefault="00195E73">
            <w:pPr>
              <w:rPr>
                <w:rFonts w:eastAsia="Times New Roman"/>
                <w:sz w:val="20"/>
                <w:szCs w:val="20"/>
              </w:rPr>
            </w:pPr>
          </w:p>
        </w:tc>
        <w:tc>
          <w:tcPr>
            <w:tcW w:w="0" w:type="auto"/>
            <w:vAlign w:val="center"/>
            <w:hideMark/>
          </w:tcPr>
          <w:p w14:paraId="1F82DBE3" w14:textId="77777777" w:rsidR="00000000" w:rsidRDefault="00195E73">
            <w:pPr>
              <w:rPr>
                <w:rFonts w:eastAsia="Times New Roman"/>
                <w:sz w:val="20"/>
                <w:szCs w:val="20"/>
              </w:rPr>
            </w:pPr>
          </w:p>
        </w:tc>
        <w:tc>
          <w:tcPr>
            <w:tcW w:w="0" w:type="auto"/>
            <w:vAlign w:val="center"/>
            <w:hideMark/>
          </w:tcPr>
          <w:p w14:paraId="7A3A6210" w14:textId="77777777" w:rsidR="00000000" w:rsidRDefault="00195E73">
            <w:pPr>
              <w:rPr>
                <w:rFonts w:eastAsia="Times New Roman"/>
                <w:sz w:val="20"/>
                <w:szCs w:val="20"/>
              </w:rPr>
            </w:pPr>
          </w:p>
        </w:tc>
      </w:tr>
      <w:tr w:rsidR="00000000" w14:paraId="7E52DBF9" w14:textId="77777777">
        <w:trPr>
          <w:divId w:val="1922525376"/>
          <w:jc w:val="center"/>
        </w:trPr>
        <w:tc>
          <w:tcPr>
            <w:tcW w:w="0" w:type="auto"/>
            <w:gridSpan w:val="3"/>
            <w:shd w:val="clear" w:color="auto" w:fill="CCEEFF"/>
            <w:tcMar>
              <w:top w:w="30" w:type="dxa"/>
              <w:left w:w="20" w:type="dxa"/>
              <w:bottom w:w="30" w:type="dxa"/>
              <w:right w:w="20" w:type="dxa"/>
            </w:tcMar>
            <w:vAlign w:val="bottom"/>
            <w:hideMark/>
          </w:tcPr>
          <w:p w14:paraId="6656E984" w14:textId="77777777" w:rsidR="00000000" w:rsidRDefault="00195E73">
            <w:pPr>
              <w:rPr>
                <w:rFonts w:eastAsia="Times New Roman"/>
              </w:rPr>
            </w:pPr>
            <w:r>
              <w:rPr>
                <w:rFonts w:eastAsia="Times New Roman"/>
                <w:color w:val="000000"/>
                <w:sz w:val="20"/>
                <w:szCs w:val="20"/>
              </w:rPr>
              <w:t>Machinery, equipment and furnitur</w:t>
            </w:r>
            <w:r>
              <w:rPr>
                <w:rFonts w:eastAsia="Times New Roman"/>
                <w:color w:val="000000"/>
                <w:sz w:val="20"/>
                <w:szCs w:val="20"/>
              </w:rPr>
              <w:t>e</w:t>
            </w:r>
          </w:p>
        </w:tc>
        <w:tc>
          <w:tcPr>
            <w:tcW w:w="0" w:type="auto"/>
            <w:gridSpan w:val="3"/>
            <w:shd w:val="clear" w:color="auto" w:fill="CCEEFF"/>
            <w:tcMar>
              <w:top w:w="30" w:type="dxa"/>
              <w:left w:w="20" w:type="dxa"/>
              <w:bottom w:w="30" w:type="dxa"/>
              <w:right w:w="20" w:type="dxa"/>
            </w:tcMar>
            <w:vAlign w:val="bottom"/>
            <w:hideMark/>
          </w:tcPr>
          <w:p w14:paraId="2F494FB6" w14:textId="77777777" w:rsidR="00000000" w:rsidRDefault="00195E73">
            <w:pPr>
              <w:jc w:val="center"/>
              <w:rPr>
                <w:rFonts w:eastAsia="Times New Roman"/>
              </w:rPr>
            </w:pPr>
            <w:r>
              <w:rPr>
                <w:rFonts w:eastAsia="Times New Roman"/>
                <w:color w:val="000000"/>
                <w:sz w:val="20"/>
                <w:szCs w:val="20"/>
              </w:rPr>
              <w:t>2 - 3</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14:paraId="2A83BC08" w14:textId="77777777" w:rsidR="00000000" w:rsidRDefault="00195E7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D13A41" w14:textId="77777777" w:rsidR="00000000" w:rsidRDefault="00195E73">
            <w:pPr>
              <w:jc w:val="right"/>
              <w:rPr>
                <w:rFonts w:eastAsia="Times New Roman"/>
              </w:rPr>
            </w:pPr>
            <w:r>
              <w:rPr>
                <w:rFonts w:eastAsia="Times New Roman"/>
                <w:color w:val="000000"/>
                <w:sz w:val="20"/>
                <w:szCs w:val="20"/>
              </w:rPr>
              <w:t>5,348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7B47DB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246E45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B2ACCE" w14:textId="77777777" w:rsidR="00000000" w:rsidRDefault="00195E73">
            <w:pPr>
              <w:jc w:val="right"/>
              <w:rPr>
                <w:rFonts w:eastAsia="Times New Roman"/>
              </w:rPr>
            </w:pPr>
            <w:r>
              <w:rPr>
                <w:rFonts w:eastAsia="Times New Roman"/>
                <w:color w:val="000000"/>
                <w:sz w:val="20"/>
                <w:szCs w:val="20"/>
              </w:rPr>
              <w:t>5,208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59C347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49502E9" w14:textId="77777777" w:rsidR="00000000" w:rsidRDefault="00195E73">
            <w:pPr>
              <w:rPr>
                <w:rFonts w:eastAsia="Times New Roman"/>
                <w:sz w:val="20"/>
                <w:szCs w:val="20"/>
              </w:rPr>
            </w:pPr>
          </w:p>
        </w:tc>
        <w:tc>
          <w:tcPr>
            <w:tcW w:w="0" w:type="auto"/>
            <w:vAlign w:val="center"/>
            <w:hideMark/>
          </w:tcPr>
          <w:p w14:paraId="039D640A" w14:textId="77777777" w:rsidR="00000000" w:rsidRDefault="00195E73">
            <w:pPr>
              <w:rPr>
                <w:rFonts w:eastAsia="Times New Roman"/>
                <w:sz w:val="20"/>
                <w:szCs w:val="20"/>
              </w:rPr>
            </w:pPr>
          </w:p>
        </w:tc>
        <w:tc>
          <w:tcPr>
            <w:tcW w:w="0" w:type="auto"/>
            <w:vAlign w:val="center"/>
            <w:hideMark/>
          </w:tcPr>
          <w:p w14:paraId="48137A5F" w14:textId="77777777" w:rsidR="00000000" w:rsidRDefault="00195E73">
            <w:pPr>
              <w:rPr>
                <w:rFonts w:eastAsia="Times New Roman"/>
                <w:sz w:val="20"/>
                <w:szCs w:val="20"/>
              </w:rPr>
            </w:pPr>
          </w:p>
        </w:tc>
        <w:tc>
          <w:tcPr>
            <w:tcW w:w="0" w:type="auto"/>
            <w:vAlign w:val="center"/>
            <w:hideMark/>
          </w:tcPr>
          <w:p w14:paraId="2E4A64D5" w14:textId="77777777" w:rsidR="00000000" w:rsidRDefault="00195E73">
            <w:pPr>
              <w:rPr>
                <w:rFonts w:eastAsia="Times New Roman"/>
                <w:sz w:val="20"/>
                <w:szCs w:val="20"/>
              </w:rPr>
            </w:pPr>
          </w:p>
        </w:tc>
        <w:tc>
          <w:tcPr>
            <w:tcW w:w="0" w:type="auto"/>
            <w:vAlign w:val="center"/>
            <w:hideMark/>
          </w:tcPr>
          <w:p w14:paraId="770AFC71" w14:textId="77777777" w:rsidR="00000000" w:rsidRDefault="00195E73">
            <w:pPr>
              <w:rPr>
                <w:rFonts w:eastAsia="Times New Roman"/>
                <w:sz w:val="20"/>
                <w:szCs w:val="20"/>
              </w:rPr>
            </w:pPr>
          </w:p>
        </w:tc>
        <w:tc>
          <w:tcPr>
            <w:tcW w:w="0" w:type="auto"/>
            <w:vAlign w:val="center"/>
            <w:hideMark/>
          </w:tcPr>
          <w:p w14:paraId="7B837CAC" w14:textId="77777777" w:rsidR="00000000" w:rsidRDefault="00195E73">
            <w:pPr>
              <w:rPr>
                <w:rFonts w:eastAsia="Times New Roman"/>
                <w:sz w:val="20"/>
                <w:szCs w:val="20"/>
              </w:rPr>
            </w:pPr>
          </w:p>
        </w:tc>
      </w:tr>
      <w:tr w:rsidR="00000000" w14:paraId="367AD87B" w14:textId="77777777">
        <w:trPr>
          <w:divId w:val="1922525376"/>
          <w:jc w:val="center"/>
        </w:trPr>
        <w:tc>
          <w:tcPr>
            <w:tcW w:w="0" w:type="auto"/>
            <w:gridSpan w:val="3"/>
            <w:shd w:val="clear" w:color="auto" w:fill="FFFFFF"/>
            <w:tcMar>
              <w:top w:w="30" w:type="dxa"/>
              <w:left w:w="20" w:type="dxa"/>
              <w:bottom w:w="30" w:type="dxa"/>
              <w:right w:w="20" w:type="dxa"/>
            </w:tcMar>
            <w:vAlign w:val="bottom"/>
            <w:hideMark/>
          </w:tcPr>
          <w:p w14:paraId="4BCDEBA6" w14:textId="77777777" w:rsidR="00000000" w:rsidRDefault="00195E73">
            <w:pPr>
              <w:rPr>
                <w:rFonts w:eastAsia="Times New Roman"/>
              </w:rPr>
            </w:pPr>
            <w:r>
              <w:rPr>
                <w:rFonts w:eastAsia="Times New Roman"/>
                <w:color w:val="000000"/>
                <w:sz w:val="20"/>
                <w:szCs w:val="20"/>
              </w:rPr>
              <w:t>Assets leased to other</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14:paraId="35D61373" w14:textId="77777777" w:rsidR="00000000" w:rsidRDefault="00195E73">
            <w:pPr>
              <w:jc w:val="center"/>
              <w:rPr>
                <w:rFonts w:eastAsia="Times New Roman"/>
              </w:rPr>
            </w:pPr>
            <w:r>
              <w:rPr>
                <w:rFonts w:eastAsia="Times New Roman"/>
                <w:color w:val="000000"/>
                <w:sz w:val="20"/>
                <w:szCs w:val="20"/>
              </w:rPr>
              <w:t>5 - 3</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14:paraId="70B4FBF0" w14:textId="77777777" w:rsidR="00000000" w:rsidRDefault="00195E7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322C3B" w14:textId="77777777" w:rsidR="00000000" w:rsidRDefault="00195E73">
            <w:pPr>
              <w:jc w:val="right"/>
              <w:rPr>
                <w:rFonts w:eastAsia="Times New Roman"/>
              </w:rPr>
            </w:pPr>
            <w:r>
              <w:rPr>
                <w:rFonts w:eastAsia="Times New Roman"/>
                <w:color w:val="000000"/>
                <w:sz w:val="20"/>
                <w:szCs w:val="20"/>
              </w:rPr>
              <w:t>289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1D7D1F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F9FA8B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18F542" w14:textId="77777777" w:rsidR="00000000" w:rsidRDefault="00195E73">
            <w:pPr>
              <w:jc w:val="right"/>
              <w:rPr>
                <w:rFonts w:eastAsia="Times New Roman"/>
              </w:rPr>
            </w:pPr>
            <w:r>
              <w:rPr>
                <w:rFonts w:eastAsia="Times New Roman"/>
                <w:color w:val="000000"/>
                <w:sz w:val="20"/>
                <w:szCs w:val="20"/>
              </w:rPr>
              <w:t>279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785D16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3BF0987" w14:textId="77777777" w:rsidR="00000000" w:rsidRDefault="00195E73">
            <w:pPr>
              <w:rPr>
                <w:rFonts w:eastAsia="Times New Roman"/>
                <w:sz w:val="20"/>
                <w:szCs w:val="20"/>
              </w:rPr>
            </w:pPr>
          </w:p>
        </w:tc>
        <w:tc>
          <w:tcPr>
            <w:tcW w:w="0" w:type="auto"/>
            <w:vAlign w:val="center"/>
            <w:hideMark/>
          </w:tcPr>
          <w:p w14:paraId="22DD40DC" w14:textId="77777777" w:rsidR="00000000" w:rsidRDefault="00195E73">
            <w:pPr>
              <w:rPr>
                <w:rFonts w:eastAsia="Times New Roman"/>
                <w:sz w:val="20"/>
                <w:szCs w:val="20"/>
              </w:rPr>
            </w:pPr>
          </w:p>
        </w:tc>
        <w:tc>
          <w:tcPr>
            <w:tcW w:w="0" w:type="auto"/>
            <w:vAlign w:val="center"/>
            <w:hideMark/>
          </w:tcPr>
          <w:p w14:paraId="1D0DEFF8" w14:textId="77777777" w:rsidR="00000000" w:rsidRDefault="00195E73">
            <w:pPr>
              <w:rPr>
                <w:rFonts w:eastAsia="Times New Roman"/>
                <w:sz w:val="20"/>
                <w:szCs w:val="20"/>
              </w:rPr>
            </w:pPr>
          </w:p>
        </w:tc>
        <w:tc>
          <w:tcPr>
            <w:tcW w:w="0" w:type="auto"/>
            <w:vAlign w:val="center"/>
            <w:hideMark/>
          </w:tcPr>
          <w:p w14:paraId="3ABBD1D7" w14:textId="77777777" w:rsidR="00000000" w:rsidRDefault="00195E73">
            <w:pPr>
              <w:rPr>
                <w:rFonts w:eastAsia="Times New Roman"/>
                <w:sz w:val="20"/>
                <w:szCs w:val="20"/>
              </w:rPr>
            </w:pPr>
          </w:p>
        </w:tc>
        <w:tc>
          <w:tcPr>
            <w:tcW w:w="0" w:type="auto"/>
            <w:vAlign w:val="center"/>
            <w:hideMark/>
          </w:tcPr>
          <w:p w14:paraId="526DE94A" w14:textId="77777777" w:rsidR="00000000" w:rsidRDefault="00195E73">
            <w:pPr>
              <w:rPr>
                <w:rFonts w:eastAsia="Times New Roman"/>
                <w:sz w:val="20"/>
                <w:szCs w:val="20"/>
              </w:rPr>
            </w:pPr>
          </w:p>
        </w:tc>
        <w:tc>
          <w:tcPr>
            <w:tcW w:w="0" w:type="auto"/>
            <w:vAlign w:val="center"/>
            <w:hideMark/>
          </w:tcPr>
          <w:p w14:paraId="5D9BA0F6" w14:textId="77777777" w:rsidR="00000000" w:rsidRDefault="00195E73">
            <w:pPr>
              <w:rPr>
                <w:rFonts w:eastAsia="Times New Roman"/>
                <w:sz w:val="20"/>
                <w:szCs w:val="20"/>
              </w:rPr>
            </w:pPr>
          </w:p>
        </w:tc>
      </w:tr>
      <w:tr w:rsidR="00000000" w14:paraId="2DE889D9" w14:textId="77777777">
        <w:trPr>
          <w:divId w:val="1922525376"/>
          <w:jc w:val="center"/>
        </w:trPr>
        <w:tc>
          <w:tcPr>
            <w:tcW w:w="0" w:type="auto"/>
            <w:gridSpan w:val="3"/>
            <w:shd w:val="clear" w:color="auto" w:fill="CCEEFF"/>
            <w:tcMar>
              <w:top w:w="30" w:type="dxa"/>
              <w:left w:w="20" w:type="dxa"/>
              <w:bottom w:w="30" w:type="dxa"/>
              <w:right w:w="20" w:type="dxa"/>
            </w:tcMar>
            <w:vAlign w:val="bottom"/>
            <w:hideMark/>
          </w:tcPr>
          <w:p w14:paraId="21CFBBBB" w14:textId="77777777" w:rsidR="00000000" w:rsidRDefault="00195E73">
            <w:pPr>
              <w:rPr>
                <w:rFonts w:eastAsia="Times New Roman"/>
              </w:rPr>
            </w:pPr>
            <w:r>
              <w:rPr>
                <w:rFonts w:eastAsia="Times New Roman"/>
                <w:color w:val="000000"/>
                <w:sz w:val="20"/>
                <w:szCs w:val="20"/>
              </w:rPr>
              <w:t>Other finance lease</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14:paraId="3961AEA1" w14:textId="77777777" w:rsidR="00000000" w:rsidRDefault="00195E73">
            <w:pPr>
              <w:jc w:val="center"/>
              <w:rPr>
                <w:rFonts w:eastAsia="Times New Roman"/>
              </w:rPr>
            </w:pPr>
            <w:r>
              <w:rPr>
                <w:rFonts w:eastAsia="Times New Roman"/>
                <w:color w:val="000000"/>
                <w:sz w:val="20"/>
                <w:szCs w:val="20"/>
              </w:rPr>
              <w:t>1 - 2</w:t>
            </w:r>
            <w:r>
              <w:rPr>
                <w:rFonts w:eastAsia="Times New Roman"/>
                <w:color w:val="000000"/>
                <w:sz w:val="20"/>
                <w:szCs w:val="20"/>
              </w:rPr>
              <w:t>5</w:t>
            </w:r>
          </w:p>
        </w:tc>
        <w:tc>
          <w:tcPr>
            <w:tcW w:w="0" w:type="auto"/>
            <w:gridSpan w:val="3"/>
            <w:shd w:val="clear" w:color="auto" w:fill="CCEEFF"/>
            <w:tcMar>
              <w:top w:w="15" w:type="dxa"/>
              <w:left w:w="20" w:type="dxa"/>
              <w:bottom w:w="15" w:type="dxa"/>
              <w:right w:w="20" w:type="dxa"/>
            </w:tcMar>
            <w:vAlign w:val="bottom"/>
            <w:hideMark/>
          </w:tcPr>
          <w:p w14:paraId="73752B14" w14:textId="77777777" w:rsidR="00000000" w:rsidRDefault="00195E7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02A13D" w14:textId="77777777" w:rsidR="00000000" w:rsidRDefault="00195E73">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CF08E7C"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0396DF20"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4DFA8B51"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BF8136"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0CCC5D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ACE9F0D" w14:textId="77777777" w:rsidR="00000000" w:rsidRDefault="00195E73">
            <w:pPr>
              <w:rPr>
                <w:rFonts w:eastAsia="Times New Roman"/>
                <w:sz w:val="20"/>
                <w:szCs w:val="20"/>
              </w:rPr>
            </w:pPr>
          </w:p>
        </w:tc>
        <w:tc>
          <w:tcPr>
            <w:tcW w:w="0" w:type="auto"/>
            <w:vAlign w:val="center"/>
            <w:hideMark/>
          </w:tcPr>
          <w:p w14:paraId="03B87651" w14:textId="77777777" w:rsidR="00000000" w:rsidRDefault="00195E73">
            <w:pPr>
              <w:rPr>
                <w:rFonts w:eastAsia="Times New Roman"/>
                <w:sz w:val="20"/>
                <w:szCs w:val="20"/>
              </w:rPr>
            </w:pPr>
          </w:p>
        </w:tc>
        <w:tc>
          <w:tcPr>
            <w:tcW w:w="0" w:type="auto"/>
            <w:vAlign w:val="center"/>
            <w:hideMark/>
          </w:tcPr>
          <w:p w14:paraId="569FA491" w14:textId="77777777" w:rsidR="00000000" w:rsidRDefault="00195E73">
            <w:pPr>
              <w:rPr>
                <w:rFonts w:eastAsia="Times New Roman"/>
                <w:sz w:val="20"/>
                <w:szCs w:val="20"/>
              </w:rPr>
            </w:pPr>
          </w:p>
        </w:tc>
        <w:tc>
          <w:tcPr>
            <w:tcW w:w="0" w:type="auto"/>
            <w:vAlign w:val="center"/>
            <w:hideMark/>
          </w:tcPr>
          <w:p w14:paraId="45792FC8" w14:textId="77777777" w:rsidR="00000000" w:rsidRDefault="00195E73">
            <w:pPr>
              <w:rPr>
                <w:rFonts w:eastAsia="Times New Roman"/>
                <w:sz w:val="20"/>
                <w:szCs w:val="20"/>
              </w:rPr>
            </w:pPr>
          </w:p>
        </w:tc>
        <w:tc>
          <w:tcPr>
            <w:tcW w:w="0" w:type="auto"/>
            <w:vAlign w:val="center"/>
            <w:hideMark/>
          </w:tcPr>
          <w:p w14:paraId="552AF514" w14:textId="77777777" w:rsidR="00000000" w:rsidRDefault="00195E73">
            <w:pPr>
              <w:rPr>
                <w:rFonts w:eastAsia="Times New Roman"/>
                <w:sz w:val="20"/>
                <w:szCs w:val="20"/>
              </w:rPr>
            </w:pPr>
          </w:p>
        </w:tc>
        <w:tc>
          <w:tcPr>
            <w:tcW w:w="0" w:type="auto"/>
            <w:vAlign w:val="center"/>
            <w:hideMark/>
          </w:tcPr>
          <w:p w14:paraId="6C08EFE8" w14:textId="77777777" w:rsidR="00000000" w:rsidRDefault="00195E73">
            <w:pPr>
              <w:rPr>
                <w:rFonts w:eastAsia="Times New Roman"/>
                <w:sz w:val="20"/>
                <w:szCs w:val="20"/>
              </w:rPr>
            </w:pPr>
          </w:p>
        </w:tc>
      </w:tr>
      <w:tr w:rsidR="00000000" w14:paraId="4F2D7805" w14:textId="77777777">
        <w:trPr>
          <w:divId w:val="1922525376"/>
          <w:jc w:val="center"/>
        </w:trPr>
        <w:tc>
          <w:tcPr>
            <w:tcW w:w="0" w:type="auto"/>
            <w:gridSpan w:val="3"/>
            <w:shd w:val="clear" w:color="auto" w:fill="FFFFFF"/>
            <w:tcMar>
              <w:top w:w="30" w:type="dxa"/>
              <w:left w:w="20" w:type="dxa"/>
              <w:bottom w:w="30" w:type="dxa"/>
              <w:right w:w="20" w:type="dxa"/>
            </w:tcMar>
            <w:vAlign w:val="bottom"/>
            <w:hideMark/>
          </w:tcPr>
          <w:p w14:paraId="4CFD1955" w14:textId="77777777" w:rsidR="00000000" w:rsidRDefault="00195E73">
            <w:pPr>
              <w:rPr>
                <w:rFonts w:eastAsia="Times New Roman"/>
              </w:rPr>
            </w:pPr>
            <w:r>
              <w:rPr>
                <w:rFonts w:eastAsia="Times New Roman"/>
                <w:color w:val="000000"/>
                <w:sz w:val="20"/>
                <w:szCs w:val="20"/>
              </w:rPr>
              <w:t>Construction in progres</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14:paraId="24C1A101"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34A7603"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9E11FA" w14:textId="77777777" w:rsidR="00000000" w:rsidRDefault="00195E73">
            <w:pPr>
              <w:jc w:val="right"/>
              <w:rPr>
                <w:rFonts w:eastAsia="Times New Roman"/>
              </w:rPr>
            </w:pPr>
            <w:r>
              <w:rPr>
                <w:rFonts w:eastAsia="Times New Roman"/>
                <w:color w:val="000000"/>
                <w:sz w:val="20"/>
                <w:szCs w:val="20"/>
              </w:rPr>
              <w:t>218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D24893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DB03A2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B3AEBB" w14:textId="77777777" w:rsidR="00000000" w:rsidRDefault="00195E73">
            <w:pPr>
              <w:jc w:val="right"/>
              <w:rPr>
                <w:rFonts w:eastAsia="Times New Roman"/>
              </w:rPr>
            </w:pPr>
            <w:r>
              <w:rPr>
                <w:rFonts w:eastAsia="Times New Roman"/>
                <w:color w:val="000000"/>
                <w:sz w:val="20"/>
                <w:szCs w:val="20"/>
              </w:rPr>
              <w:t>221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442F73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812535F" w14:textId="77777777" w:rsidR="00000000" w:rsidRDefault="00195E73">
            <w:pPr>
              <w:rPr>
                <w:rFonts w:eastAsia="Times New Roman"/>
                <w:sz w:val="20"/>
                <w:szCs w:val="20"/>
              </w:rPr>
            </w:pPr>
          </w:p>
        </w:tc>
        <w:tc>
          <w:tcPr>
            <w:tcW w:w="0" w:type="auto"/>
            <w:vAlign w:val="center"/>
            <w:hideMark/>
          </w:tcPr>
          <w:p w14:paraId="42150FF2" w14:textId="77777777" w:rsidR="00000000" w:rsidRDefault="00195E73">
            <w:pPr>
              <w:rPr>
                <w:rFonts w:eastAsia="Times New Roman"/>
                <w:sz w:val="20"/>
                <w:szCs w:val="20"/>
              </w:rPr>
            </w:pPr>
          </w:p>
        </w:tc>
        <w:tc>
          <w:tcPr>
            <w:tcW w:w="0" w:type="auto"/>
            <w:vAlign w:val="center"/>
            <w:hideMark/>
          </w:tcPr>
          <w:p w14:paraId="3D1185BD" w14:textId="77777777" w:rsidR="00000000" w:rsidRDefault="00195E73">
            <w:pPr>
              <w:rPr>
                <w:rFonts w:eastAsia="Times New Roman"/>
                <w:sz w:val="20"/>
                <w:szCs w:val="20"/>
              </w:rPr>
            </w:pPr>
          </w:p>
        </w:tc>
        <w:tc>
          <w:tcPr>
            <w:tcW w:w="0" w:type="auto"/>
            <w:vAlign w:val="center"/>
            <w:hideMark/>
          </w:tcPr>
          <w:p w14:paraId="644480CB" w14:textId="77777777" w:rsidR="00000000" w:rsidRDefault="00195E73">
            <w:pPr>
              <w:rPr>
                <w:rFonts w:eastAsia="Times New Roman"/>
                <w:sz w:val="20"/>
                <w:szCs w:val="20"/>
              </w:rPr>
            </w:pPr>
          </w:p>
        </w:tc>
        <w:tc>
          <w:tcPr>
            <w:tcW w:w="0" w:type="auto"/>
            <w:vAlign w:val="center"/>
            <w:hideMark/>
          </w:tcPr>
          <w:p w14:paraId="330DE37C" w14:textId="77777777" w:rsidR="00000000" w:rsidRDefault="00195E73">
            <w:pPr>
              <w:rPr>
                <w:rFonts w:eastAsia="Times New Roman"/>
                <w:sz w:val="20"/>
                <w:szCs w:val="20"/>
              </w:rPr>
            </w:pPr>
          </w:p>
        </w:tc>
        <w:tc>
          <w:tcPr>
            <w:tcW w:w="0" w:type="auto"/>
            <w:vAlign w:val="center"/>
            <w:hideMark/>
          </w:tcPr>
          <w:p w14:paraId="36DCC990" w14:textId="77777777" w:rsidR="00000000" w:rsidRDefault="00195E73">
            <w:pPr>
              <w:rPr>
                <w:rFonts w:eastAsia="Times New Roman"/>
                <w:sz w:val="20"/>
                <w:szCs w:val="20"/>
              </w:rPr>
            </w:pPr>
          </w:p>
        </w:tc>
      </w:tr>
      <w:tr w:rsidR="00000000" w14:paraId="456FCAD2" w14:textId="77777777">
        <w:trPr>
          <w:divId w:val="1922525376"/>
          <w:jc w:val="center"/>
        </w:trPr>
        <w:tc>
          <w:tcPr>
            <w:tcW w:w="0" w:type="auto"/>
            <w:gridSpan w:val="3"/>
            <w:shd w:val="clear" w:color="auto" w:fill="CCEEFF"/>
            <w:tcMar>
              <w:top w:w="15" w:type="dxa"/>
              <w:left w:w="20" w:type="dxa"/>
              <w:bottom w:w="15" w:type="dxa"/>
              <w:right w:w="20" w:type="dxa"/>
            </w:tcMar>
            <w:vAlign w:val="bottom"/>
            <w:hideMark/>
          </w:tcPr>
          <w:p w14:paraId="1E624870"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B81A463"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78C508A" w14:textId="77777777" w:rsidR="00000000" w:rsidRDefault="00195E73">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FAB185" w14:textId="77777777" w:rsidR="00000000" w:rsidRDefault="00195E73">
            <w:pPr>
              <w:jc w:val="right"/>
              <w:rPr>
                <w:rFonts w:eastAsia="Times New Roman"/>
              </w:rPr>
            </w:pPr>
            <w:r>
              <w:rPr>
                <w:rFonts w:eastAsia="Times New Roman"/>
                <w:color w:val="000000"/>
                <w:sz w:val="20"/>
                <w:szCs w:val="20"/>
              </w:rPr>
              <w:t>7,209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879310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C5AC11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AE909B" w14:textId="77777777" w:rsidR="00000000" w:rsidRDefault="00195E73">
            <w:pPr>
              <w:jc w:val="right"/>
              <w:rPr>
                <w:rFonts w:eastAsia="Times New Roman"/>
              </w:rPr>
            </w:pPr>
            <w:r>
              <w:rPr>
                <w:rFonts w:eastAsia="Times New Roman"/>
                <w:color w:val="000000"/>
                <w:sz w:val="20"/>
                <w:szCs w:val="20"/>
              </w:rPr>
              <w:t>6,989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3EE70E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D6D817D" w14:textId="77777777" w:rsidR="00000000" w:rsidRDefault="00195E73">
            <w:pPr>
              <w:rPr>
                <w:rFonts w:eastAsia="Times New Roman"/>
                <w:sz w:val="20"/>
                <w:szCs w:val="20"/>
              </w:rPr>
            </w:pPr>
          </w:p>
        </w:tc>
        <w:tc>
          <w:tcPr>
            <w:tcW w:w="0" w:type="auto"/>
            <w:vAlign w:val="center"/>
            <w:hideMark/>
          </w:tcPr>
          <w:p w14:paraId="1D0D8E20" w14:textId="77777777" w:rsidR="00000000" w:rsidRDefault="00195E73">
            <w:pPr>
              <w:rPr>
                <w:rFonts w:eastAsia="Times New Roman"/>
                <w:sz w:val="20"/>
                <w:szCs w:val="20"/>
              </w:rPr>
            </w:pPr>
          </w:p>
        </w:tc>
        <w:tc>
          <w:tcPr>
            <w:tcW w:w="0" w:type="auto"/>
            <w:vAlign w:val="center"/>
            <w:hideMark/>
          </w:tcPr>
          <w:p w14:paraId="2C1222E4" w14:textId="77777777" w:rsidR="00000000" w:rsidRDefault="00195E73">
            <w:pPr>
              <w:rPr>
                <w:rFonts w:eastAsia="Times New Roman"/>
                <w:sz w:val="20"/>
                <w:szCs w:val="20"/>
              </w:rPr>
            </w:pPr>
          </w:p>
        </w:tc>
        <w:tc>
          <w:tcPr>
            <w:tcW w:w="0" w:type="auto"/>
            <w:vAlign w:val="center"/>
            <w:hideMark/>
          </w:tcPr>
          <w:p w14:paraId="4ED14052" w14:textId="77777777" w:rsidR="00000000" w:rsidRDefault="00195E73">
            <w:pPr>
              <w:rPr>
                <w:rFonts w:eastAsia="Times New Roman"/>
                <w:sz w:val="20"/>
                <w:szCs w:val="20"/>
              </w:rPr>
            </w:pPr>
          </w:p>
        </w:tc>
        <w:tc>
          <w:tcPr>
            <w:tcW w:w="0" w:type="auto"/>
            <w:vAlign w:val="center"/>
            <w:hideMark/>
          </w:tcPr>
          <w:p w14:paraId="4C9D6C2B" w14:textId="77777777" w:rsidR="00000000" w:rsidRDefault="00195E73">
            <w:pPr>
              <w:rPr>
                <w:rFonts w:eastAsia="Times New Roman"/>
                <w:sz w:val="20"/>
                <w:szCs w:val="20"/>
              </w:rPr>
            </w:pPr>
          </w:p>
        </w:tc>
        <w:tc>
          <w:tcPr>
            <w:tcW w:w="0" w:type="auto"/>
            <w:vAlign w:val="center"/>
            <w:hideMark/>
          </w:tcPr>
          <w:p w14:paraId="4E4B9A6B" w14:textId="77777777" w:rsidR="00000000" w:rsidRDefault="00195E73">
            <w:pPr>
              <w:rPr>
                <w:rFonts w:eastAsia="Times New Roman"/>
                <w:sz w:val="20"/>
                <w:szCs w:val="20"/>
              </w:rPr>
            </w:pPr>
          </w:p>
        </w:tc>
      </w:tr>
      <w:tr w:rsidR="00000000" w14:paraId="32CEEAF1" w14:textId="77777777">
        <w:trPr>
          <w:divId w:val="1922525376"/>
          <w:jc w:val="center"/>
        </w:trPr>
        <w:tc>
          <w:tcPr>
            <w:tcW w:w="0" w:type="auto"/>
            <w:gridSpan w:val="3"/>
            <w:shd w:val="clear" w:color="auto" w:fill="FFFFFF"/>
            <w:tcMar>
              <w:top w:w="30" w:type="dxa"/>
              <w:left w:w="20" w:type="dxa"/>
              <w:bottom w:w="30" w:type="dxa"/>
              <w:right w:w="20" w:type="dxa"/>
            </w:tcMar>
            <w:vAlign w:val="bottom"/>
            <w:hideMark/>
          </w:tcPr>
          <w:p w14:paraId="6CC4ACDC" w14:textId="77777777" w:rsidR="00000000" w:rsidRDefault="00195E73">
            <w:pPr>
              <w:rPr>
                <w:rFonts w:eastAsia="Times New Roman"/>
              </w:rPr>
            </w:pPr>
            <w:r>
              <w:rPr>
                <w:rFonts w:eastAsia="Times New Roman"/>
                <w:color w:val="000000"/>
                <w:sz w:val="20"/>
                <w:szCs w:val="20"/>
              </w:rPr>
              <w:t>Less: Accumulated depreciation and amortizatio</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14:paraId="50285434"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6333877"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0A0472" w14:textId="77777777" w:rsidR="00000000" w:rsidRDefault="00195E73">
            <w:pPr>
              <w:jc w:val="right"/>
              <w:rPr>
                <w:rFonts w:eastAsia="Times New Roman"/>
              </w:rPr>
            </w:pPr>
            <w:r>
              <w:rPr>
                <w:rFonts w:eastAsia="Times New Roman"/>
                <w:color w:val="000000"/>
                <w:sz w:val="20"/>
                <w:szCs w:val="20"/>
              </w:rPr>
              <w:t>(2,668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95973B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B9E9D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4C77DA" w14:textId="77777777" w:rsidR="00000000" w:rsidRDefault="00195E73">
            <w:pPr>
              <w:jc w:val="right"/>
              <w:rPr>
                <w:rFonts w:eastAsia="Times New Roman"/>
              </w:rPr>
            </w:pPr>
            <w:r>
              <w:rPr>
                <w:rFonts w:eastAsia="Times New Roman"/>
                <w:color w:val="000000"/>
                <w:sz w:val="20"/>
                <w:szCs w:val="20"/>
              </w:rPr>
              <w:t>(2,301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A9EE07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C1692F2" w14:textId="77777777" w:rsidR="00000000" w:rsidRDefault="00195E73">
            <w:pPr>
              <w:rPr>
                <w:rFonts w:eastAsia="Times New Roman"/>
                <w:sz w:val="20"/>
                <w:szCs w:val="20"/>
              </w:rPr>
            </w:pPr>
          </w:p>
        </w:tc>
        <w:tc>
          <w:tcPr>
            <w:tcW w:w="0" w:type="auto"/>
            <w:vAlign w:val="center"/>
            <w:hideMark/>
          </w:tcPr>
          <w:p w14:paraId="79101398" w14:textId="77777777" w:rsidR="00000000" w:rsidRDefault="00195E73">
            <w:pPr>
              <w:rPr>
                <w:rFonts w:eastAsia="Times New Roman"/>
                <w:sz w:val="20"/>
                <w:szCs w:val="20"/>
              </w:rPr>
            </w:pPr>
          </w:p>
        </w:tc>
        <w:tc>
          <w:tcPr>
            <w:tcW w:w="0" w:type="auto"/>
            <w:vAlign w:val="center"/>
            <w:hideMark/>
          </w:tcPr>
          <w:p w14:paraId="78CCAB92" w14:textId="77777777" w:rsidR="00000000" w:rsidRDefault="00195E73">
            <w:pPr>
              <w:rPr>
                <w:rFonts w:eastAsia="Times New Roman"/>
                <w:sz w:val="20"/>
                <w:szCs w:val="20"/>
              </w:rPr>
            </w:pPr>
          </w:p>
        </w:tc>
        <w:tc>
          <w:tcPr>
            <w:tcW w:w="0" w:type="auto"/>
            <w:vAlign w:val="center"/>
            <w:hideMark/>
          </w:tcPr>
          <w:p w14:paraId="5EDEFBE5" w14:textId="77777777" w:rsidR="00000000" w:rsidRDefault="00195E73">
            <w:pPr>
              <w:rPr>
                <w:rFonts w:eastAsia="Times New Roman"/>
                <w:sz w:val="20"/>
                <w:szCs w:val="20"/>
              </w:rPr>
            </w:pPr>
          </w:p>
        </w:tc>
        <w:tc>
          <w:tcPr>
            <w:tcW w:w="0" w:type="auto"/>
            <w:vAlign w:val="center"/>
            <w:hideMark/>
          </w:tcPr>
          <w:p w14:paraId="2B7263C6" w14:textId="77777777" w:rsidR="00000000" w:rsidRDefault="00195E73">
            <w:pPr>
              <w:rPr>
                <w:rFonts w:eastAsia="Times New Roman"/>
                <w:sz w:val="20"/>
                <w:szCs w:val="20"/>
              </w:rPr>
            </w:pPr>
          </w:p>
        </w:tc>
        <w:tc>
          <w:tcPr>
            <w:tcW w:w="0" w:type="auto"/>
            <w:vAlign w:val="center"/>
            <w:hideMark/>
          </w:tcPr>
          <w:p w14:paraId="5E6A65C4" w14:textId="77777777" w:rsidR="00000000" w:rsidRDefault="00195E73">
            <w:pPr>
              <w:rPr>
                <w:rFonts w:eastAsia="Times New Roman"/>
                <w:sz w:val="20"/>
                <w:szCs w:val="20"/>
              </w:rPr>
            </w:pPr>
          </w:p>
        </w:tc>
      </w:tr>
      <w:tr w:rsidR="00000000" w14:paraId="04F71D21" w14:textId="77777777">
        <w:trPr>
          <w:divId w:val="1922525376"/>
          <w:jc w:val="center"/>
        </w:trPr>
        <w:tc>
          <w:tcPr>
            <w:tcW w:w="0" w:type="auto"/>
            <w:gridSpan w:val="3"/>
            <w:shd w:val="clear" w:color="auto" w:fill="CCEEFF"/>
            <w:tcMar>
              <w:top w:w="30" w:type="dxa"/>
              <w:left w:w="20" w:type="dxa"/>
              <w:bottom w:w="30" w:type="dxa"/>
              <w:right w:w="20" w:type="dxa"/>
            </w:tcMar>
            <w:vAlign w:val="bottom"/>
            <w:hideMark/>
          </w:tcPr>
          <w:p w14:paraId="4717F81E" w14:textId="77777777" w:rsidR="00000000" w:rsidRDefault="00195E73">
            <w:pPr>
              <w:rPr>
                <w:rFonts w:eastAsia="Times New Roman"/>
              </w:rPr>
            </w:pPr>
            <w:r>
              <w:rPr>
                <w:rFonts w:eastAsia="Times New Roman"/>
                <w:color w:val="000000"/>
                <w:sz w:val="20"/>
                <w:szCs w:val="20"/>
              </w:rPr>
              <w:t>Property, plant and equipment, ne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14:paraId="7D966532"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0DB52840"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9D5E71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E0FD811" w14:textId="77777777" w:rsidR="00000000" w:rsidRDefault="00195E73">
            <w:pPr>
              <w:jc w:val="right"/>
              <w:rPr>
                <w:rFonts w:eastAsia="Times New Roman"/>
              </w:rPr>
            </w:pPr>
            <w:r>
              <w:rPr>
                <w:rFonts w:eastAsia="Times New Roman"/>
                <w:color w:val="000000"/>
                <w:sz w:val="20"/>
                <w:szCs w:val="20"/>
              </w:rPr>
              <w:t>4,541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0E0D55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C64A021"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B5FD6B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6BC5A29" w14:textId="77777777" w:rsidR="00000000" w:rsidRDefault="00195E73">
            <w:pPr>
              <w:jc w:val="right"/>
              <w:rPr>
                <w:rFonts w:eastAsia="Times New Roman"/>
              </w:rPr>
            </w:pPr>
            <w:r>
              <w:rPr>
                <w:rFonts w:eastAsia="Times New Roman"/>
                <w:color w:val="000000"/>
                <w:sz w:val="20"/>
                <w:szCs w:val="20"/>
              </w:rPr>
              <w:t>4,688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2DB952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CF61D8F" w14:textId="77777777" w:rsidR="00000000" w:rsidRDefault="00195E73">
            <w:pPr>
              <w:rPr>
                <w:rFonts w:eastAsia="Times New Roman"/>
                <w:sz w:val="20"/>
                <w:szCs w:val="20"/>
              </w:rPr>
            </w:pPr>
          </w:p>
        </w:tc>
        <w:tc>
          <w:tcPr>
            <w:tcW w:w="0" w:type="auto"/>
            <w:vAlign w:val="center"/>
            <w:hideMark/>
          </w:tcPr>
          <w:p w14:paraId="18D8E4B9" w14:textId="77777777" w:rsidR="00000000" w:rsidRDefault="00195E73">
            <w:pPr>
              <w:rPr>
                <w:rFonts w:eastAsia="Times New Roman"/>
                <w:sz w:val="20"/>
                <w:szCs w:val="20"/>
              </w:rPr>
            </w:pPr>
          </w:p>
        </w:tc>
        <w:tc>
          <w:tcPr>
            <w:tcW w:w="0" w:type="auto"/>
            <w:vAlign w:val="center"/>
            <w:hideMark/>
          </w:tcPr>
          <w:p w14:paraId="53CB44A7" w14:textId="77777777" w:rsidR="00000000" w:rsidRDefault="00195E73">
            <w:pPr>
              <w:rPr>
                <w:rFonts w:eastAsia="Times New Roman"/>
                <w:sz w:val="20"/>
                <w:szCs w:val="20"/>
              </w:rPr>
            </w:pPr>
          </w:p>
        </w:tc>
        <w:tc>
          <w:tcPr>
            <w:tcW w:w="0" w:type="auto"/>
            <w:vAlign w:val="center"/>
            <w:hideMark/>
          </w:tcPr>
          <w:p w14:paraId="3815A465" w14:textId="77777777" w:rsidR="00000000" w:rsidRDefault="00195E73">
            <w:pPr>
              <w:rPr>
                <w:rFonts w:eastAsia="Times New Roman"/>
                <w:sz w:val="20"/>
                <w:szCs w:val="20"/>
              </w:rPr>
            </w:pPr>
          </w:p>
        </w:tc>
        <w:tc>
          <w:tcPr>
            <w:tcW w:w="0" w:type="auto"/>
            <w:vAlign w:val="center"/>
            <w:hideMark/>
          </w:tcPr>
          <w:p w14:paraId="3150757C" w14:textId="77777777" w:rsidR="00000000" w:rsidRDefault="00195E73">
            <w:pPr>
              <w:rPr>
                <w:rFonts w:eastAsia="Times New Roman"/>
                <w:sz w:val="20"/>
                <w:szCs w:val="20"/>
              </w:rPr>
            </w:pPr>
          </w:p>
        </w:tc>
        <w:tc>
          <w:tcPr>
            <w:tcW w:w="0" w:type="auto"/>
            <w:vAlign w:val="center"/>
            <w:hideMark/>
          </w:tcPr>
          <w:p w14:paraId="76B7D1C3" w14:textId="77777777" w:rsidR="00000000" w:rsidRDefault="00195E73">
            <w:pPr>
              <w:rPr>
                <w:rFonts w:eastAsia="Times New Roman"/>
                <w:sz w:val="20"/>
                <w:szCs w:val="20"/>
              </w:rPr>
            </w:pPr>
          </w:p>
        </w:tc>
      </w:tr>
    </w:tbl>
    <w:p w14:paraId="1725350F" w14:textId="77777777" w:rsidR="00000000" w:rsidRDefault="00195E73">
      <w:pPr>
        <w:ind w:firstLine="405"/>
        <w:divId w:val="619992309"/>
        <w:rPr>
          <w:rFonts w:eastAsia="Times New Roman"/>
        </w:rPr>
      </w:pPr>
    </w:p>
    <w:p w14:paraId="09715186" w14:textId="77777777" w:rsidR="00000000" w:rsidRDefault="00195E73">
      <w:pPr>
        <w:ind w:firstLine="405"/>
        <w:divId w:val="1612006866"/>
        <w:rPr>
          <w:rFonts w:eastAsia="Times New Roman"/>
        </w:rPr>
      </w:pPr>
      <w:r>
        <w:rPr>
          <w:rFonts w:eastAsia="Times New Roman"/>
          <w:color w:val="000000"/>
          <w:sz w:val="20"/>
          <w:szCs w:val="20"/>
        </w:rPr>
        <w:t>Depreciation and amortization expense related to property, plant and equipment for the years ended December 31, 2019, 2018 and 2017 was $410 million, $398 million and $430 million, respectively</w:t>
      </w:r>
      <w:r>
        <w:rPr>
          <w:rFonts w:eastAsia="Times New Roman"/>
          <w:color w:val="000000"/>
          <w:sz w:val="20"/>
          <w:szCs w:val="20"/>
        </w:rPr>
        <w:t>.</w:t>
      </w:r>
    </w:p>
    <w:p w14:paraId="5B5149AF" w14:textId="77777777" w:rsidR="00000000" w:rsidRDefault="00195E73">
      <w:pPr>
        <w:ind w:firstLine="405"/>
        <w:divId w:val="327752768"/>
        <w:rPr>
          <w:rFonts w:eastAsia="Times New Roman"/>
        </w:rPr>
      </w:pPr>
      <w:r>
        <w:rPr>
          <w:rFonts w:eastAsia="Times New Roman"/>
          <w:color w:val="000000"/>
          <w:sz w:val="20"/>
          <w:szCs w:val="20"/>
        </w:rPr>
        <w:t>See Note 5, “Fair Value Measurements,” for discus</w:t>
      </w:r>
      <w:r>
        <w:rPr>
          <w:rFonts w:eastAsia="Times New Roman"/>
          <w:color w:val="000000"/>
          <w:sz w:val="20"/>
          <w:szCs w:val="20"/>
        </w:rPr>
        <w:t>sion regarding certain impairments to our property, plant and equipment.</w:t>
      </w:r>
      <w:r>
        <w:rPr>
          <w:rFonts w:eastAsia="Times New Roman"/>
          <w:color w:val="000000"/>
          <w:sz w:val="20"/>
          <w:szCs w:val="20"/>
        </w:rPr>
        <w:t xml:space="preserve"> </w:t>
      </w:r>
    </w:p>
    <w:p w14:paraId="5884ADC4" w14:textId="77777777" w:rsidR="00000000" w:rsidRDefault="00195E73">
      <w:pPr>
        <w:divId w:val="1592080196"/>
        <w:rPr>
          <w:rFonts w:eastAsia="Times New Roman"/>
        </w:rPr>
      </w:pPr>
    </w:p>
    <w:p w14:paraId="750B2752" w14:textId="77777777" w:rsidR="00000000" w:rsidRDefault="00195E73">
      <w:pPr>
        <w:divId w:val="1409576575"/>
        <w:rPr>
          <w:rFonts w:eastAsia="Times New Roman"/>
        </w:rPr>
      </w:pPr>
    </w:p>
    <w:p w14:paraId="47F05CF0" w14:textId="77777777" w:rsidR="00000000" w:rsidRDefault="00195E73">
      <w:pPr>
        <w:ind w:hanging="360"/>
        <w:divId w:val="377248331"/>
        <w:rPr>
          <w:rFonts w:eastAsia="Times New Roman"/>
        </w:rPr>
      </w:pPr>
    </w:p>
    <w:p w14:paraId="6B2A4F9B" w14:textId="77777777" w:rsidR="00000000" w:rsidRDefault="00195E73">
      <w:pPr>
        <w:jc w:val="center"/>
        <w:divId w:val="342324408"/>
        <w:rPr>
          <w:rFonts w:eastAsia="Times New Roman"/>
        </w:rPr>
      </w:pPr>
      <w:r>
        <w:rPr>
          <w:rFonts w:eastAsia="Times New Roman"/>
          <w:color w:val="000000"/>
          <w:sz w:val="20"/>
          <w:szCs w:val="20"/>
        </w:rPr>
        <w:t>8</w:t>
      </w:r>
      <w:r>
        <w:rPr>
          <w:rFonts w:eastAsia="Times New Roman"/>
          <w:color w:val="000000"/>
          <w:sz w:val="20"/>
          <w:szCs w:val="20"/>
        </w:rPr>
        <w:t>9</w:t>
      </w:r>
    </w:p>
    <w:p w14:paraId="513CE724" w14:textId="77777777" w:rsidR="00000000" w:rsidRDefault="00195E73">
      <w:pPr>
        <w:rPr>
          <w:rFonts w:eastAsia="Times New Roman"/>
        </w:rPr>
      </w:pPr>
      <w:r>
        <w:rPr>
          <w:rFonts w:eastAsia="Times New Roman"/>
        </w:rPr>
        <w:pict w14:anchorId="4100E28C">
          <v:rect id="_x0000_i1115" style="width:0;height:1.5pt" o:hralign="center" o:hrstd="t" o:hr="t" fillcolor="#a0a0a0" stroked="f"/>
        </w:pict>
      </w:r>
    </w:p>
    <w:p w14:paraId="287C3768" w14:textId="77777777" w:rsidR="00000000" w:rsidRDefault="00195E73">
      <w:pPr>
        <w:jc w:val="center"/>
        <w:divId w:val="1137408141"/>
        <w:rPr>
          <w:rFonts w:eastAsia="Times New Roman"/>
        </w:rPr>
      </w:pPr>
    </w:p>
    <w:p w14:paraId="406656C4" w14:textId="77777777" w:rsidR="00000000" w:rsidRDefault="00195E73">
      <w:pPr>
        <w:jc w:val="center"/>
        <w:divId w:val="1137408141"/>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311B69B5" w14:textId="77777777" w:rsidR="00000000" w:rsidRDefault="00195E73">
      <w:pPr>
        <w:jc w:val="center"/>
        <w:divId w:val="1137408141"/>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03B309B1" w14:textId="77777777" w:rsidR="00000000" w:rsidRDefault="00195E73">
      <w:pPr>
        <w:jc w:val="center"/>
        <w:divId w:val="1137408141"/>
        <w:rPr>
          <w:rFonts w:eastAsia="Times New Roman"/>
        </w:rPr>
      </w:pPr>
    </w:p>
    <w:p w14:paraId="068782FA" w14:textId="77777777" w:rsidR="00000000" w:rsidRDefault="00195E73">
      <w:pPr>
        <w:jc w:val="center"/>
        <w:divId w:val="1137408141"/>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17B862BA" w14:textId="77777777" w:rsidR="00000000" w:rsidRDefault="00195E73">
      <w:pPr>
        <w:ind w:hanging="360"/>
        <w:divId w:val="1954245127"/>
        <w:rPr>
          <w:rFonts w:eastAsia="Times New Roman"/>
        </w:rPr>
      </w:pPr>
      <w:r>
        <w:rPr>
          <w:rFonts w:eastAsia="Times New Roman"/>
          <w:b/>
          <w:bCs/>
          <w:color w:val="000000"/>
          <w:sz w:val="20"/>
          <w:szCs w:val="20"/>
        </w:rPr>
        <w:t>9. Goodwill and Intangible Assets, Net</w:t>
      </w:r>
      <w:r>
        <w:rPr>
          <w:rFonts w:eastAsia="Times New Roman"/>
          <w:b/>
          <w:bCs/>
          <w:color w:val="000000"/>
          <w:sz w:val="20"/>
          <w:szCs w:val="20"/>
        </w:rPr>
        <w:t>.</w:t>
      </w:r>
    </w:p>
    <w:p w14:paraId="17B02C00" w14:textId="77777777" w:rsidR="00000000" w:rsidRDefault="00195E73">
      <w:pPr>
        <w:ind w:firstLine="405"/>
        <w:divId w:val="983462356"/>
        <w:rPr>
          <w:rFonts w:eastAsia="Times New Roman"/>
        </w:rPr>
      </w:pPr>
      <w:r>
        <w:rPr>
          <w:rFonts w:eastAsia="Times New Roman"/>
          <w:color w:val="000000"/>
          <w:sz w:val="20"/>
          <w:szCs w:val="20"/>
        </w:rPr>
        <w:t>Goodwill consists of the following:</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672"/>
        <w:gridCol w:w="44"/>
        <w:gridCol w:w="126"/>
        <w:gridCol w:w="822"/>
        <w:gridCol w:w="80"/>
        <w:gridCol w:w="36"/>
        <w:gridCol w:w="36"/>
        <w:gridCol w:w="41"/>
        <w:gridCol w:w="126"/>
        <w:gridCol w:w="793"/>
        <w:gridCol w:w="80"/>
        <w:gridCol w:w="36"/>
        <w:gridCol w:w="36"/>
        <w:gridCol w:w="36"/>
        <w:gridCol w:w="126"/>
        <w:gridCol w:w="845"/>
        <w:gridCol w:w="80"/>
        <w:gridCol w:w="36"/>
        <w:gridCol w:w="36"/>
        <w:gridCol w:w="41"/>
        <w:gridCol w:w="126"/>
        <w:gridCol w:w="846"/>
        <w:gridCol w:w="80"/>
        <w:gridCol w:w="36"/>
        <w:gridCol w:w="36"/>
        <w:gridCol w:w="36"/>
        <w:gridCol w:w="126"/>
        <w:gridCol w:w="904"/>
        <w:gridCol w:w="8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7F1335C1" w14:textId="77777777">
        <w:trPr>
          <w:gridAfter w:val="24"/>
          <w:divId w:val="1839031348"/>
          <w:jc w:val="center"/>
        </w:trPr>
        <w:tc>
          <w:tcPr>
            <w:tcW w:w="50" w:type="pct"/>
            <w:vAlign w:val="center"/>
            <w:hideMark/>
          </w:tcPr>
          <w:p w14:paraId="5C94B8D7" w14:textId="77777777" w:rsidR="00000000" w:rsidRDefault="00195E73">
            <w:pPr>
              <w:ind w:firstLine="405"/>
              <w:rPr>
                <w:rFonts w:eastAsia="Times New Roman"/>
              </w:rPr>
            </w:pPr>
          </w:p>
        </w:tc>
        <w:tc>
          <w:tcPr>
            <w:tcW w:w="1186" w:type="pct"/>
            <w:vAlign w:val="center"/>
            <w:hideMark/>
          </w:tcPr>
          <w:p w14:paraId="5083FCD3" w14:textId="77777777" w:rsidR="00000000" w:rsidRDefault="00195E73">
            <w:pPr>
              <w:rPr>
                <w:rFonts w:eastAsia="Times New Roman"/>
                <w:sz w:val="20"/>
                <w:szCs w:val="20"/>
              </w:rPr>
            </w:pPr>
          </w:p>
        </w:tc>
        <w:tc>
          <w:tcPr>
            <w:tcW w:w="50" w:type="pct"/>
            <w:vAlign w:val="center"/>
            <w:hideMark/>
          </w:tcPr>
          <w:p w14:paraId="728719FE" w14:textId="77777777" w:rsidR="00000000" w:rsidRDefault="00195E73">
            <w:pPr>
              <w:rPr>
                <w:rFonts w:eastAsia="Times New Roman"/>
                <w:sz w:val="20"/>
                <w:szCs w:val="20"/>
              </w:rPr>
            </w:pPr>
          </w:p>
        </w:tc>
        <w:tc>
          <w:tcPr>
            <w:tcW w:w="50" w:type="pct"/>
            <w:vAlign w:val="center"/>
            <w:hideMark/>
          </w:tcPr>
          <w:p w14:paraId="43FD2254" w14:textId="77777777" w:rsidR="00000000" w:rsidRDefault="00195E73">
            <w:pPr>
              <w:rPr>
                <w:rFonts w:eastAsia="Times New Roman"/>
                <w:sz w:val="20"/>
                <w:szCs w:val="20"/>
              </w:rPr>
            </w:pPr>
          </w:p>
        </w:tc>
        <w:tc>
          <w:tcPr>
            <w:tcW w:w="616" w:type="pct"/>
            <w:vAlign w:val="center"/>
            <w:hideMark/>
          </w:tcPr>
          <w:p w14:paraId="611AD07F" w14:textId="77777777" w:rsidR="00000000" w:rsidRDefault="00195E73">
            <w:pPr>
              <w:rPr>
                <w:rFonts w:eastAsia="Times New Roman"/>
                <w:sz w:val="20"/>
                <w:szCs w:val="20"/>
              </w:rPr>
            </w:pPr>
          </w:p>
        </w:tc>
        <w:tc>
          <w:tcPr>
            <w:tcW w:w="50" w:type="pct"/>
            <w:vAlign w:val="center"/>
            <w:hideMark/>
          </w:tcPr>
          <w:p w14:paraId="5CBD8C20" w14:textId="77777777" w:rsidR="00000000" w:rsidRDefault="00195E73">
            <w:pPr>
              <w:rPr>
                <w:rFonts w:eastAsia="Times New Roman"/>
                <w:sz w:val="20"/>
                <w:szCs w:val="20"/>
              </w:rPr>
            </w:pPr>
          </w:p>
        </w:tc>
        <w:tc>
          <w:tcPr>
            <w:tcW w:w="5" w:type="pct"/>
            <w:vAlign w:val="center"/>
            <w:hideMark/>
          </w:tcPr>
          <w:p w14:paraId="6EB5885B" w14:textId="77777777" w:rsidR="00000000" w:rsidRDefault="00195E73">
            <w:pPr>
              <w:rPr>
                <w:rFonts w:eastAsia="Times New Roman"/>
                <w:sz w:val="20"/>
                <w:szCs w:val="20"/>
              </w:rPr>
            </w:pPr>
          </w:p>
        </w:tc>
        <w:tc>
          <w:tcPr>
            <w:tcW w:w="26" w:type="pct"/>
            <w:vAlign w:val="center"/>
            <w:hideMark/>
          </w:tcPr>
          <w:p w14:paraId="453CF801" w14:textId="77777777" w:rsidR="00000000" w:rsidRDefault="00195E73">
            <w:pPr>
              <w:rPr>
                <w:rFonts w:eastAsia="Times New Roman"/>
                <w:sz w:val="20"/>
                <w:szCs w:val="20"/>
              </w:rPr>
            </w:pPr>
          </w:p>
        </w:tc>
        <w:tc>
          <w:tcPr>
            <w:tcW w:w="5" w:type="pct"/>
            <w:vAlign w:val="center"/>
            <w:hideMark/>
          </w:tcPr>
          <w:p w14:paraId="4F031C66" w14:textId="77777777" w:rsidR="00000000" w:rsidRDefault="00195E73">
            <w:pPr>
              <w:rPr>
                <w:rFonts w:eastAsia="Times New Roman"/>
                <w:sz w:val="20"/>
                <w:szCs w:val="20"/>
              </w:rPr>
            </w:pPr>
          </w:p>
        </w:tc>
        <w:tc>
          <w:tcPr>
            <w:tcW w:w="50" w:type="pct"/>
            <w:vAlign w:val="center"/>
            <w:hideMark/>
          </w:tcPr>
          <w:p w14:paraId="45654D52" w14:textId="77777777" w:rsidR="00000000" w:rsidRDefault="00195E73">
            <w:pPr>
              <w:rPr>
                <w:rFonts w:eastAsia="Times New Roman"/>
                <w:sz w:val="20"/>
                <w:szCs w:val="20"/>
              </w:rPr>
            </w:pPr>
          </w:p>
        </w:tc>
        <w:tc>
          <w:tcPr>
            <w:tcW w:w="616" w:type="pct"/>
            <w:vAlign w:val="center"/>
            <w:hideMark/>
          </w:tcPr>
          <w:p w14:paraId="5A541B94" w14:textId="77777777" w:rsidR="00000000" w:rsidRDefault="00195E73">
            <w:pPr>
              <w:rPr>
                <w:rFonts w:eastAsia="Times New Roman"/>
                <w:sz w:val="20"/>
                <w:szCs w:val="20"/>
              </w:rPr>
            </w:pPr>
          </w:p>
        </w:tc>
        <w:tc>
          <w:tcPr>
            <w:tcW w:w="50" w:type="pct"/>
            <w:vAlign w:val="center"/>
            <w:hideMark/>
          </w:tcPr>
          <w:p w14:paraId="67B2DFF8" w14:textId="77777777" w:rsidR="00000000" w:rsidRDefault="00195E73">
            <w:pPr>
              <w:rPr>
                <w:rFonts w:eastAsia="Times New Roman"/>
                <w:sz w:val="20"/>
                <w:szCs w:val="20"/>
              </w:rPr>
            </w:pPr>
          </w:p>
        </w:tc>
        <w:tc>
          <w:tcPr>
            <w:tcW w:w="5" w:type="pct"/>
            <w:vAlign w:val="center"/>
            <w:hideMark/>
          </w:tcPr>
          <w:p w14:paraId="544719D0" w14:textId="77777777" w:rsidR="00000000" w:rsidRDefault="00195E73">
            <w:pPr>
              <w:rPr>
                <w:rFonts w:eastAsia="Times New Roman"/>
                <w:sz w:val="20"/>
                <w:szCs w:val="20"/>
              </w:rPr>
            </w:pPr>
          </w:p>
        </w:tc>
        <w:tc>
          <w:tcPr>
            <w:tcW w:w="19" w:type="pct"/>
            <w:vAlign w:val="center"/>
            <w:hideMark/>
          </w:tcPr>
          <w:p w14:paraId="46B62FE8" w14:textId="77777777" w:rsidR="00000000" w:rsidRDefault="00195E73">
            <w:pPr>
              <w:rPr>
                <w:rFonts w:eastAsia="Times New Roman"/>
                <w:sz w:val="20"/>
                <w:szCs w:val="20"/>
              </w:rPr>
            </w:pPr>
          </w:p>
        </w:tc>
        <w:tc>
          <w:tcPr>
            <w:tcW w:w="5" w:type="pct"/>
            <w:vAlign w:val="center"/>
            <w:hideMark/>
          </w:tcPr>
          <w:p w14:paraId="5658ADF9" w14:textId="77777777" w:rsidR="00000000" w:rsidRDefault="00195E73">
            <w:pPr>
              <w:rPr>
                <w:rFonts w:eastAsia="Times New Roman"/>
                <w:sz w:val="20"/>
                <w:szCs w:val="20"/>
              </w:rPr>
            </w:pPr>
          </w:p>
        </w:tc>
        <w:tc>
          <w:tcPr>
            <w:tcW w:w="50" w:type="pct"/>
            <w:vAlign w:val="center"/>
            <w:hideMark/>
          </w:tcPr>
          <w:p w14:paraId="2317095E" w14:textId="77777777" w:rsidR="00000000" w:rsidRDefault="00195E73">
            <w:pPr>
              <w:rPr>
                <w:rFonts w:eastAsia="Times New Roman"/>
                <w:sz w:val="20"/>
                <w:szCs w:val="20"/>
              </w:rPr>
            </w:pPr>
          </w:p>
        </w:tc>
        <w:tc>
          <w:tcPr>
            <w:tcW w:w="616" w:type="pct"/>
            <w:vAlign w:val="center"/>
            <w:hideMark/>
          </w:tcPr>
          <w:p w14:paraId="45CF21CE" w14:textId="77777777" w:rsidR="00000000" w:rsidRDefault="00195E73">
            <w:pPr>
              <w:rPr>
                <w:rFonts w:eastAsia="Times New Roman"/>
                <w:sz w:val="20"/>
                <w:szCs w:val="20"/>
              </w:rPr>
            </w:pPr>
          </w:p>
        </w:tc>
        <w:tc>
          <w:tcPr>
            <w:tcW w:w="50" w:type="pct"/>
            <w:vAlign w:val="center"/>
            <w:hideMark/>
          </w:tcPr>
          <w:p w14:paraId="3650C0B1" w14:textId="77777777" w:rsidR="00000000" w:rsidRDefault="00195E73">
            <w:pPr>
              <w:rPr>
                <w:rFonts w:eastAsia="Times New Roman"/>
                <w:sz w:val="20"/>
                <w:szCs w:val="20"/>
              </w:rPr>
            </w:pPr>
          </w:p>
        </w:tc>
        <w:tc>
          <w:tcPr>
            <w:tcW w:w="5" w:type="pct"/>
            <w:vAlign w:val="center"/>
            <w:hideMark/>
          </w:tcPr>
          <w:p w14:paraId="52FD0C82" w14:textId="77777777" w:rsidR="00000000" w:rsidRDefault="00195E73">
            <w:pPr>
              <w:rPr>
                <w:rFonts w:eastAsia="Times New Roman"/>
                <w:sz w:val="20"/>
                <w:szCs w:val="20"/>
              </w:rPr>
            </w:pPr>
          </w:p>
        </w:tc>
        <w:tc>
          <w:tcPr>
            <w:tcW w:w="19" w:type="pct"/>
            <w:vAlign w:val="center"/>
            <w:hideMark/>
          </w:tcPr>
          <w:p w14:paraId="50D5B8A2" w14:textId="77777777" w:rsidR="00000000" w:rsidRDefault="00195E73">
            <w:pPr>
              <w:rPr>
                <w:rFonts w:eastAsia="Times New Roman"/>
                <w:sz w:val="20"/>
                <w:szCs w:val="20"/>
              </w:rPr>
            </w:pPr>
          </w:p>
        </w:tc>
        <w:tc>
          <w:tcPr>
            <w:tcW w:w="5" w:type="pct"/>
            <w:vAlign w:val="center"/>
            <w:hideMark/>
          </w:tcPr>
          <w:p w14:paraId="3218FDC9" w14:textId="77777777" w:rsidR="00000000" w:rsidRDefault="00195E73">
            <w:pPr>
              <w:rPr>
                <w:rFonts w:eastAsia="Times New Roman"/>
                <w:sz w:val="20"/>
                <w:szCs w:val="20"/>
              </w:rPr>
            </w:pPr>
          </w:p>
        </w:tc>
        <w:tc>
          <w:tcPr>
            <w:tcW w:w="50" w:type="pct"/>
            <w:vAlign w:val="center"/>
            <w:hideMark/>
          </w:tcPr>
          <w:p w14:paraId="03CCE72F" w14:textId="77777777" w:rsidR="00000000" w:rsidRDefault="00195E73">
            <w:pPr>
              <w:rPr>
                <w:rFonts w:eastAsia="Times New Roman"/>
                <w:sz w:val="20"/>
                <w:szCs w:val="20"/>
              </w:rPr>
            </w:pPr>
          </w:p>
        </w:tc>
        <w:tc>
          <w:tcPr>
            <w:tcW w:w="616" w:type="pct"/>
            <w:vAlign w:val="center"/>
            <w:hideMark/>
          </w:tcPr>
          <w:p w14:paraId="66CD9D69" w14:textId="77777777" w:rsidR="00000000" w:rsidRDefault="00195E73">
            <w:pPr>
              <w:rPr>
                <w:rFonts w:eastAsia="Times New Roman"/>
                <w:sz w:val="20"/>
                <w:szCs w:val="20"/>
              </w:rPr>
            </w:pPr>
          </w:p>
        </w:tc>
        <w:tc>
          <w:tcPr>
            <w:tcW w:w="50" w:type="pct"/>
            <w:vAlign w:val="center"/>
            <w:hideMark/>
          </w:tcPr>
          <w:p w14:paraId="791CACD8" w14:textId="77777777" w:rsidR="00000000" w:rsidRDefault="00195E73">
            <w:pPr>
              <w:rPr>
                <w:rFonts w:eastAsia="Times New Roman"/>
                <w:sz w:val="20"/>
                <w:szCs w:val="20"/>
              </w:rPr>
            </w:pPr>
          </w:p>
        </w:tc>
        <w:tc>
          <w:tcPr>
            <w:tcW w:w="5" w:type="pct"/>
            <w:vAlign w:val="center"/>
            <w:hideMark/>
          </w:tcPr>
          <w:p w14:paraId="5C1FC34B" w14:textId="77777777" w:rsidR="00000000" w:rsidRDefault="00195E73">
            <w:pPr>
              <w:rPr>
                <w:rFonts w:eastAsia="Times New Roman"/>
                <w:sz w:val="20"/>
                <w:szCs w:val="20"/>
              </w:rPr>
            </w:pPr>
          </w:p>
        </w:tc>
        <w:tc>
          <w:tcPr>
            <w:tcW w:w="26" w:type="pct"/>
            <w:vAlign w:val="center"/>
            <w:hideMark/>
          </w:tcPr>
          <w:p w14:paraId="4993F295" w14:textId="77777777" w:rsidR="00000000" w:rsidRDefault="00195E73">
            <w:pPr>
              <w:rPr>
                <w:rFonts w:eastAsia="Times New Roman"/>
                <w:sz w:val="20"/>
                <w:szCs w:val="20"/>
              </w:rPr>
            </w:pPr>
          </w:p>
        </w:tc>
        <w:tc>
          <w:tcPr>
            <w:tcW w:w="5" w:type="pct"/>
            <w:vAlign w:val="center"/>
            <w:hideMark/>
          </w:tcPr>
          <w:p w14:paraId="4BCE0BE7" w14:textId="77777777" w:rsidR="00000000" w:rsidRDefault="00195E73">
            <w:pPr>
              <w:rPr>
                <w:rFonts w:eastAsia="Times New Roman"/>
                <w:sz w:val="20"/>
                <w:szCs w:val="20"/>
              </w:rPr>
            </w:pPr>
          </w:p>
        </w:tc>
        <w:tc>
          <w:tcPr>
            <w:tcW w:w="50" w:type="pct"/>
            <w:vAlign w:val="center"/>
            <w:hideMark/>
          </w:tcPr>
          <w:p w14:paraId="3AAB8B96" w14:textId="77777777" w:rsidR="00000000" w:rsidRDefault="00195E73">
            <w:pPr>
              <w:rPr>
                <w:rFonts w:eastAsia="Times New Roman"/>
                <w:sz w:val="20"/>
                <w:szCs w:val="20"/>
              </w:rPr>
            </w:pPr>
          </w:p>
        </w:tc>
        <w:tc>
          <w:tcPr>
            <w:tcW w:w="616" w:type="pct"/>
            <w:vAlign w:val="center"/>
            <w:hideMark/>
          </w:tcPr>
          <w:p w14:paraId="6216DE32" w14:textId="77777777" w:rsidR="00000000" w:rsidRDefault="00195E73">
            <w:pPr>
              <w:rPr>
                <w:rFonts w:eastAsia="Times New Roman"/>
                <w:sz w:val="20"/>
                <w:szCs w:val="20"/>
              </w:rPr>
            </w:pPr>
          </w:p>
        </w:tc>
        <w:tc>
          <w:tcPr>
            <w:tcW w:w="50" w:type="pct"/>
            <w:vAlign w:val="center"/>
            <w:hideMark/>
          </w:tcPr>
          <w:p w14:paraId="225702CD" w14:textId="77777777" w:rsidR="00000000" w:rsidRDefault="00195E73">
            <w:pPr>
              <w:rPr>
                <w:rFonts w:eastAsia="Times New Roman"/>
                <w:sz w:val="20"/>
                <w:szCs w:val="20"/>
              </w:rPr>
            </w:pPr>
          </w:p>
        </w:tc>
      </w:tr>
      <w:tr w:rsidR="00000000" w14:paraId="1186E11D" w14:textId="77777777">
        <w:trPr>
          <w:divId w:val="1839031348"/>
          <w:jc w:val="center"/>
        </w:trPr>
        <w:tc>
          <w:tcPr>
            <w:tcW w:w="0" w:type="auto"/>
            <w:gridSpan w:val="3"/>
            <w:tcMar>
              <w:top w:w="15" w:type="dxa"/>
              <w:left w:w="20" w:type="dxa"/>
              <w:bottom w:w="15" w:type="dxa"/>
              <w:right w:w="20" w:type="dxa"/>
            </w:tcMar>
            <w:vAlign w:val="bottom"/>
            <w:hideMark/>
          </w:tcPr>
          <w:p w14:paraId="1F0231AA" w14:textId="77777777" w:rsidR="00000000" w:rsidRDefault="00195E73">
            <w:pPr>
              <w:rPr>
                <w:rFonts w:eastAsia="Times New Roman"/>
                <w:sz w:val="20"/>
                <w:szCs w:val="20"/>
              </w:rPr>
            </w:pPr>
          </w:p>
        </w:tc>
        <w:tc>
          <w:tcPr>
            <w:tcW w:w="0" w:type="auto"/>
            <w:gridSpan w:val="27"/>
            <w:tcMar>
              <w:top w:w="30" w:type="dxa"/>
              <w:left w:w="20" w:type="dxa"/>
              <w:bottom w:w="30" w:type="dxa"/>
              <w:right w:w="20" w:type="dxa"/>
            </w:tcMar>
            <w:vAlign w:val="bottom"/>
            <w:hideMark/>
          </w:tcPr>
          <w:p w14:paraId="323806AC" w14:textId="77777777" w:rsidR="00000000" w:rsidRDefault="00195E73">
            <w:pPr>
              <w:jc w:val="center"/>
              <w:rPr>
                <w:rFonts w:eastAsia="Times New Roman"/>
              </w:rPr>
            </w:pPr>
            <w:r>
              <w:rPr>
                <w:rFonts w:eastAsia="Times New Roman"/>
                <w:b/>
                <w:bCs/>
                <w:color w:val="000000"/>
                <w:sz w:val="18"/>
                <w:szCs w:val="18"/>
              </w:rPr>
              <w:t>December 31, 201</w:t>
            </w:r>
            <w:r>
              <w:rPr>
                <w:rFonts w:eastAsia="Times New Roman"/>
                <w:b/>
                <w:bCs/>
                <w:color w:val="000000"/>
                <w:sz w:val="18"/>
                <w:szCs w:val="18"/>
              </w:rPr>
              <w:t>9</w:t>
            </w:r>
          </w:p>
        </w:tc>
        <w:tc>
          <w:tcPr>
            <w:tcW w:w="0" w:type="auto"/>
            <w:gridSpan w:val="3"/>
            <w:vAlign w:val="center"/>
            <w:hideMark/>
          </w:tcPr>
          <w:p w14:paraId="2A64CC01" w14:textId="77777777" w:rsidR="00000000" w:rsidRDefault="00195E73">
            <w:pPr>
              <w:jc w:val="center"/>
              <w:rPr>
                <w:rFonts w:eastAsia="Times New Roman"/>
              </w:rPr>
            </w:pPr>
          </w:p>
        </w:tc>
        <w:tc>
          <w:tcPr>
            <w:tcW w:w="0" w:type="auto"/>
            <w:gridSpan w:val="3"/>
            <w:vAlign w:val="center"/>
            <w:hideMark/>
          </w:tcPr>
          <w:p w14:paraId="77F2FBD5" w14:textId="77777777" w:rsidR="00000000" w:rsidRDefault="00195E73">
            <w:pPr>
              <w:rPr>
                <w:rFonts w:eastAsia="Times New Roman"/>
                <w:sz w:val="20"/>
                <w:szCs w:val="20"/>
              </w:rPr>
            </w:pPr>
          </w:p>
        </w:tc>
        <w:tc>
          <w:tcPr>
            <w:tcW w:w="0" w:type="auto"/>
            <w:gridSpan w:val="3"/>
            <w:vAlign w:val="center"/>
            <w:hideMark/>
          </w:tcPr>
          <w:p w14:paraId="3FB4006E" w14:textId="77777777" w:rsidR="00000000" w:rsidRDefault="00195E73">
            <w:pPr>
              <w:rPr>
                <w:rFonts w:eastAsia="Times New Roman"/>
                <w:sz w:val="20"/>
                <w:szCs w:val="20"/>
              </w:rPr>
            </w:pPr>
          </w:p>
        </w:tc>
        <w:tc>
          <w:tcPr>
            <w:tcW w:w="0" w:type="auto"/>
            <w:gridSpan w:val="3"/>
            <w:vAlign w:val="center"/>
            <w:hideMark/>
          </w:tcPr>
          <w:p w14:paraId="77816515" w14:textId="77777777" w:rsidR="00000000" w:rsidRDefault="00195E73">
            <w:pPr>
              <w:rPr>
                <w:rFonts w:eastAsia="Times New Roman"/>
                <w:sz w:val="20"/>
                <w:szCs w:val="20"/>
              </w:rPr>
            </w:pPr>
          </w:p>
        </w:tc>
        <w:tc>
          <w:tcPr>
            <w:tcW w:w="0" w:type="auto"/>
            <w:gridSpan w:val="3"/>
            <w:vAlign w:val="center"/>
            <w:hideMark/>
          </w:tcPr>
          <w:p w14:paraId="3A0FD0C3" w14:textId="77777777" w:rsidR="00000000" w:rsidRDefault="00195E73">
            <w:pPr>
              <w:rPr>
                <w:rFonts w:eastAsia="Times New Roman"/>
                <w:sz w:val="20"/>
                <w:szCs w:val="20"/>
              </w:rPr>
            </w:pPr>
          </w:p>
        </w:tc>
        <w:tc>
          <w:tcPr>
            <w:tcW w:w="0" w:type="auto"/>
            <w:gridSpan w:val="3"/>
            <w:vAlign w:val="center"/>
            <w:hideMark/>
          </w:tcPr>
          <w:p w14:paraId="0BC8A5AE" w14:textId="77777777" w:rsidR="00000000" w:rsidRDefault="00195E73">
            <w:pPr>
              <w:rPr>
                <w:rFonts w:eastAsia="Times New Roman"/>
                <w:sz w:val="20"/>
                <w:szCs w:val="20"/>
              </w:rPr>
            </w:pPr>
          </w:p>
        </w:tc>
        <w:tc>
          <w:tcPr>
            <w:tcW w:w="0" w:type="auto"/>
            <w:gridSpan w:val="3"/>
            <w:vAlign w:val="center"/>
            <w:hideMark/>
          </w:tcPr>
          <w:p w14:paraId="2B88B9B6" w14:textId="77777777" w:rsidR="00000000" w:rsidRDefault="00195E73">
            <w:pPr>
              <w:rPr>
                <w:rFonts w:eastAsia="Times New Roman"/>
                <w:sz w:val="20"/>
                <w:szCs w:val="20"/>
              </w:rPr>
            </w:pPr>
          </w:p>
        </w:tc>
        <w:tc>
          <w:tcPr>
            <w:tcW w:w="0" w:type="auto"/>
            <w:gridSpan w:val="3"/>
            <w:vAlign w:val="center"/>
            <w:hideMark/>
          </w:tcPr>
          <w:p w14:paraId="3749491E" w14:textId="77777777" w:rsidR="00000000" w:rsidRDefault="00195E73">
            <w:pPr>
              <w:rPr>
                <w:rFonts w:eastAsia="Times New Roman"/>
                <w:sz w:val="20"/>
                <w:szCs w:val="20"/>
              </w:rPr>
            </w:pPr>
          </w:p>
        </w:tc>
      </w:tr>
      <w:tr w:rsidR="00000000" w14:paraId="6D329DA7" w14:textId="77777777">
        <w:trPr>
          <w:divId w:val="1839031348"/>
          <w:jc w:val="center"/>
        </w:trPr>
        <w:tc>
          <w:tcPr>
            <w:tcW w:w="0" w:type="auto"/>
            <w:gridSpan w:val="3"/>
            <w:tcMar>
              <w:top w:w="15" w:type="dxa"/>
              <w:left w:w="20" w:type="dxa"/>
              <w:bottom w:w="15" w:type="dxa"/>
              <w:right w:w="20" w:type="dxa"/>
            </w:tcMar>
            <w:vAlign w:val="bottom"/>
            <w:hideMark/>
          </w:tcPr>
          <w:p w14:paraId="7E76C782"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DD0CC5A" w14:textId="77777777" w:rsidR="00000000" w:rsidRDefault="00195E73">
            <w:pPr>
              <w:jc w:val="center"/>
              <w:rPr>
                <w:rFonts w:eastAsia="Times New Roman"/>
              </w:rPr>
            </w:pPr>
            <w:r>
              <w:rPr>
                <w:rFonts w:eastAsia="Times New Roman"/>
                <w:b/>
                <w:bCs/>
                <w:color w:val="000000"/>
                <w:sz w:val="18"/>
                <w:szCs w:val="18"/>
              </w:rPr>
              <w:t>Automotiv</w:t>
            </w:r>
            <w:r>
              <w:rPr>
                <w:rFonts w:eastAsia="Times New Roman"/>
                <w:b/>
                <w:bCs/>
                <w:color w:val="000000"/>
                <w:sz w:val="18"/>
                <w:szCs w:val="18"/>
              </w:rPr>
              <w:t>e</w:t>
            </w:r>
          </w:p>
        </w:tc>
        <w:tc>
          <w:tcPr>
            <w:tcW w:w="0" w:type="auto"/>
            <w:gridSpan w:val="3"/>
            <w:tcBorders>
              <w:top w:val="single" w:sz="8" w:space="0" w:color="000000"/>
            </w:tcBorders>
            <w:tcMar>
              <w:top w:w="15" w:type="dxa"/>
              <w:left w:w="20" w:type="dxa"/>
              <w:bottom w:w="15" w:type="dxa"/>
              <w:right w:w="20" w:type="dxa"/>
            </w:tcMar>
            <w:vAlign w:val="bottom"/>
            <w:hideMark/>
          </w:tcPr>
          <w:p w14:paraId="3E3C5191"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B11FC59" w14:textId="77777777" w:rsidR="00000000" w:rsidRDefault="00195E73">
            <w:pPr>
              <w:jc w:val="center"/>
              <w:rPr>
                <w:rFonts w:eastAsia="Times New Roman"/>
              </w:rPr>
            </w:pPr>
            <w:r>
              <w:rPr>
                <w:rFonts w:eastAsia="Times New Roman"/>
                <w:b/>
                <w:bCs/>
                <w:color w:val="000000"/>
                <w:sz w:val="18"/>
                <w:szCs w:val="18"/>
              </w:rPr>
              <w:t>Food Packagin</w:t>
            </w:r>
            <w:r>
              <w:rPr>
                <w:rFonts w:eastAsia="Times New Roman"/>
                <w:b/>
                <w:bCs/>
                <w:color w:val="000000"/>
                <w:sz w:val="18"/>
                <w:szCs w:val="18"/>
              </w:rPr>
              <w:t>g</w:t>
            </w:r>
          </w:p>
        </w:tc>
        <w:tc>
          <w:tcPr>
            <w:tcW w:w="0" w:type="auto"/>
            <w:gridSpan w:val="3"/>
            <w:tcBorders>
              <w:top w:val="single" w:sz="8" w:space="0" w:color="000000"/>
            </w:tcBorders>
            <w:tcMar>
              <w:top w:w="15" w:type="dxa"/>
              <w:left w:w="20" w:type="dxa"/>
              <w:bottom w:w="15" w:type="dxa"/>
              <w:right w:w="20" w:type="dxa"/>
            </w:tcMar>
            <w:vAlign w:val="bottom"/>
            <w:hideMark/>
          </w:tcPr>
          <w:p w14:paraId="6C0A9F8C"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E97A70E" w14:textId="77777777" w:rsidR="00000000" w:rsidRDefault="00195E73">
            <w:pPr>
              <w:jc w:val="center"/>
              <w:rPr>
                <w:rFonts w:eastAsia="Times New Roman"/>
              </w:rPr>
            </w:pPr>
            <w:r>
              <w:rPr>
                <w:rFonts w:eastAsia="Times New Roman"/>
                <w:b/>
                <w:bCs/>
                <w:color w:val="000000"/>
                <w:sz w:val="20"/>
                <w:szCs w:val="20"/>
              </w:rPr>
              <w:t>Metal</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14:paraId="4AF0C53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1C99B15" w14:textId="77777777" w:rsidR="00000000" w:rsidRDefault="00195E73">
            <w:pPr>
              <w:jc w:val="center"/>
              <w:rPr>
                <w:rFonts w:eastAsia="Times New Roman"/>
              </w:rPr>
            </w:pPr>
            <w:r>
              <w:rPr>
                <w:rFonts w:eastAsia="Times New Roman"/>
                <w:b/>
                <w:bCs/>
                <w:color w:val="000000"/>
                <w:sz w:val="20"/>
                <w:szCs w:val="20"/>
              </w:rPr>
              <w:t>Home Fashio</w:t>
            </w:r>
            <w:r>
              <w:rPr>
                <w:rFonts w:eastAsia="Times New Roman"/>
                <w:b/>
                <w:bCs/>
                <w:color w:val="000000"/>
                <w:sz w:val="20"/>
                <w:szCs w:val="20"/>
              </w:rPr>
              <w:t>n</w:t>
            </w:r>
          </w:p>
        </w:tc>
        <w:tc>
          <w:tcPr>
            <w:tcW w:w="0" w:type="auto"/>
            <w:gridSpan w:val="3"/>
            <w:tcBorders>
              <w:top w:val="single" w:sz="8" w:space="0" w:color="000000"/>
            </w:tcBorders>
            <w:tcMar>
              <w:top w:w="15" w:type="dxa"/>
              <w:left w:w="20" w:type="dxa"/>
              <w:bottom w:w="15" w:type="dxa"/>
              <w:right w:w="20" w:type="dxa"/>
            </w:tcMar>
            <w:vAlign w:val="bottom"/>
            <w:hideMark/>
          </w:tcPr>
          <w:p w14:paraId="7E4F2388"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D130D5F" w14:textId="77777777" w:rsidR="00000000" w:rsidRDefault="00195E73">
            <w:pPr>
              <w:jc w:val="center"/>
              <w:rPr>
                <w:rFonts w:eastAsia="Times New Roman"/>
              </w:rPr>
            </w:pPr>
            <w:r>
              <w:rPr>
                <w:rFonts w:eastAsia="Times New Roman"/>
                <w:b/>
                <w:bCs/>
                <w:color w:val="000000"/>
                <w:sz w:val="18"/>
                <w:szCs w:val="18"/>
              </w:rPr>
              <w:t>Consolidate</w:t>
            </w:r>
            <w:r>
              <w:rPr>
                <w:rFonts w:eastAsia="Times New Roman"/>
                <w:b/>
                <w:bCs/>
                <w:color w:val="000000"/>
                <w:sz w:val="18"/>
                <w:szCs w:val="18"/>
              </w:rPr>
              <w:t>d</w:t>
            </w:r>
          </w:p>
        </w:tc>
        <w:tc>
          <w:tcPr>
            <w:tcW w:w="0" w:type="auto"/>
            <w:vAlign w:val="center"/>
            <w:hideMark/>
          </w:tcPr>
          <w:p w14:paraId="1EF4BDD2" w14:textId="77777777" w:rsidR="00000000" w:rsidRDefault="00195E73">
            <w:pPr>
              <w:rPr>
                <w:rFonts w:eastAsia="Times New Roman"/>
                <w:sz w:val="20"/>
                <w:szCs w:val="20"/>
              </w:rPr>
            </w:pPr>
          </w:p>
        </w:tc>
        <w:tc>
          <w:tcPr>
            <w:tcW w:w="0" w:type="auto"/>
            <w:vAlign w:val="center"/>
            <w:hideMark/>
          </w:tcPr>
          <w:p w14:paraId="2E22DFA1" w14:textId="77777777" w:rsidR="00000000" w:rsidRDefault="00195E73">
            <w:pPr>
              <w:rPr>
                <w:rFonts w:eastAsia="Times New Roman"/>
                <w:sz w:val="20"/>
                <w:szCs w:val="20"/>
              </w:rPr>
            </w:pPr>
          </w:p>
        </w:tc>
        <w:tc>
          <w:tcPr>
            <w:tcW w:w="0" w:type="auto"/>
            <w:vAlign w:val="center"/>
            <w:hideMark/>
          </w:tcPr>
          <w:p w14:paraId="0AEA0220" w14:textId="77777777" w:rsidR="00000000" w:rsidRDefault="00195E73">
            <w:pPr>
              <w:rPr>
                <w:rFonts w:eastAsia="Times New Roman"/>
                <w:sz w:val="20"/>
                <w:szCs w:val="20"/>
              </w:rPr>
            </w:pPr>
          </w:p>
        </w:tc>
        <w:tc>
          <w:tcPr>
            <w:tcW w:w="0" w:type="auto"/>
            <w:vAlign w:val="center"/>
            <w:hideMark/>
          </w:tcPr>
          <w:p w14:paraId="4E6048E9" w14:textId="77777777" w:rsidR="00000000" w:rsidRDefault="00195E73">
            <w:pPr>
              <w:rPr>
                <w:rFonts w:eastAsia="Times New Roman"/>
                <w:sz w:val="20"/>
                <w:szCs w:val="20"/>
              </w:rPr>
            </w:pPr>
          </w:p>
        </w:tc>
        <w:tc>
          <w:tcPr>
            <w:tcW w:w="0" w:type="auto"/>
            <w:vAlign w:val="center"/>
            <w:hideMark/>
          </w:tcPr>
          <w:p w14:paraId="5ED9F0D4" w14:textId="77777777" w:rsidR="00000000" w:rsidRDefault="00195E73">
            <w:pPr>
              <w:rPr>
                <w:rFonts w:eastAsia="Times New Roman"/>
                <w:sz w:val="20"/>
                <w:szCs w:val="20"/>
              </w:rPr>
            </w:pPr>
          </w:p>
        </w:tc>
        <w:tc>
          <w:tcPr>
            <w:tcW w:w="0" w:type="auto"/>
            <w:vAlign w:val="center"/>
            <w:hideMark/>
          </w:tcPr>
          <w:p w14:paraId="69F8DB37" w14:textId="77777777" w:rsidR="00000000" w:rsidRDefault="00195E73">
            <w:pPr>
              <w:rPr>
                <w:rFonts w:eastAsia="Times New Roman"/>
                <w:sz w:val="20"/>
                <w:szCs w:val="20"/>
              </w:rPr>
            </w:pPr>
          </w:p>
        </w:tc>
        <w:tc>
          <w:tcPr>
            <w:tcW w:w="0" w:type="auto"/>
            <w:vAlign w:val="center"/>
            <w:hideMark/>
          </w:tcPr>
          <w:p w14:paraId="0AFEC3E5" w14:textId="77777777" w:rsidR="00000000" w:rsidRDefault="00195E73">
            <w:pPr>
              <w:rPr>
                <w:rFonts w:eastAsia="Times New Roman"/>
                <w:sz w:val="20"/>
                <w:szCs w:val="20"/>
              </w:rPr>
            </w:pPr>
          </w:p>
        </w:tc>
        <w:tc>
          <w:tcPr>
            <w:tcW w:w="0" w:type="auto"/>
            <w:vAlign w:val="center"/>
            <w:hideMark/>
          </w:tcPr>
          <w:p w14:paraId="6AADE5C8" w14:textId="77777777" w:rsidR="00000000" w:rsidRDefault="00195E73">
            <w:pPr>
              <w:rPr>
                <w:rFonts w:eastAsia="Times New Roman"/>
                <w:sz w:val="20"/>
                <w:szCs w:val="20"/>
              </w:rPr>
            </w:pPr>
          </w:p>
        </w:tc>
        <w:tc>
          <w:tcPr>
            <w:tcW w:w="0" w:type="auto"/>
            <w:vAlign w:val="center"/>
            <w:hideMark/>
          </w:tcPr>
          <w:p w14:paraId="2C550F56" w14:textId="77777777" w:rsidR="00000000" w:rsidRDefault="00195E73">
            <w:pPr>
              <w:rPr>
                <w:rFonts w:eastAsia="Times New Roman"/>
                <w:sz w:val="20"/>
                <w:szCs w:val="20"/>
              </w:rPr>
            </w:pPr>
          </w:p>
        </w:tc>
        <w:tc>
          <w:tcPr>
            <w:tcW w:w="0" w:type="auto"/>
            <w:vAlign w:val="center"/>
            <w:hideMark/>
          </w:tcPr>
          <w:p w14:paraId="563A1C60" w14:textId="77777777" w:rsidR="00000000" w:rsidRDefault="00195E73">
            <w:pPr>
              <w:rPr>
                <w:rFonts w:eastAsia="Times New Roman"/>
                <w:sz w:val="20"/>
                <w:szCs w:val="20"/>
              </w:rPr>
            </w:pPr>
          </w:p>
        </w:tc>
        <w:tc>
          <w:tcPr>
            <w:tcW w:w="0" w:type="auto"/>
            <w:vAlign w:val="center"/>
            <w:hideMark/>
          </w:tcPr>
          <w:p w14:paraId="0E5F6951" w14:textId="77777777" w:rsidR="00000000" w:rsidRDefault="00195E73">
            <w:pPr>
              <w:rPr>
                <w:rFonts w:eastAsia="Times New Roman"/>
                <w:sz w:val="20"/>
                <w:szCs w:val="20"/>
              </w:rPr>
            </w:pPr>
          </w:p>
        </w:tc>
        <w:tc>
          <w:tcPr>
            <w:tcW w:w="0" w:type="auto"/>
            <w:vAlign w:val="center"/>
            <w:hideMark/>
          </w:tcPr>
          <w:p w14:paraId="7D58051D" w14:textId="77777777" w:rsidR="00000000" w:rsidRDefault="00195E73">
            <w:pPr>
              <w:rPr>
                <w:rFonts w:eastAsia="Times New Roman"/>
                <w:sz w:val="20"/>
                <w:szCs w:val="20"/>
              </w:rPr>
            </w:pPr>
          </w:p>
        </w:tc>
        <w:tc>
          <w:tcPr>
            <w:tcW w:w="0" w:type="auto"/>
            <w:vAlign w:val="center"/>
            <w:hideMark/>
          </w:tcPr>
          <w:p w14:paraId="34C92EAF" w14:textId="77777777" w:rsidR="00000000" w:rsidRDefault="00195E73">
            <w:pPr>
              <w:rPr>
                <w:rFonts w:eastAsia="Times New Roman"/>
                <w:sz w:val="20"/>
                <w:szCs w:val="20"/>
              </w:rPr>
            </w:pPr>
          </w:p>
        </w:tc>
        <w:tc>
          <w:tcPr>
            <w:tcW w:w="0" w:type="auto"/>
            <w:vAlign w:val="center"/>
            <w:hideMark/>
          </w:tcPr>
          <w:p w14:paraId="2510C0E0" w14:textId="77777777" w:rsidR="00000000" w:rsidRDefault="00195E73">
            <w:pPr>
              <w:rPr>
                <w:rFonts w:eastAsia="Times New Roman"/>
                <w:sz w:val="20"/>
                <w:szCs w:val="20"/>
              </w:rPr>
            </w:pPr>
          </w:p>
        </w:tc>
        <w:tc>
          <w:tcPr>
            <w:tcW w:w="0" w:type="auto"/>
            <w:vAlign w:val="center"/>
            <w:hideMark/>
          </w:tcPr>
          <w:p w14:paraId="0EC407ED" w14:textId="77777777" w:rsidR="00000000" w:rsidRDefault="00195E73">
            <w:pPr>
              <w:rPr>
                <w:rFonts w:eastAsia="Times New Roman"/>
                <w:sz w:val="20"/>
                <w:szCs w:val="20"/>
              </w:rPr>
            </w:pPr>
          </w:p>
        </w:tc>
        <w:tc>
          <w:tcPr>
            <w:tcW w:w="0" w:type="auto"/>
            <w:vAlign w:val="center"/>
            <w:hideMark/>
          </w:tcPr>
          <w:p w14:paraId="1170CB91" w14:textId="77777777" w:rsidR="00000000" w:rsidRDefault="00195E73">
            <w:pPr>
              <w:rPr>
                <w:rFonts w:eastAsia="Times New Roman"/>
                <w:sz w:val="20"/>
                <w:szCs w:val="20"/>
              </w:rPr>
            </w:pPr>
          </w:p>
        </w:tc>
        <w:tc>
          <w:tcPr>
            <w:tcW w:w="0" w:type="auto"/>
            <w:vAlign w:val="center"/>
            <w:hideMark/>
          </w:tcPr>
          <w:p w14:paraId="2F3E438E" w14:textId="77777777" w:rsidR="00000000" w:rsidRDefault="00195E73">
            <w:pPr>
              <w:rPr>
                <w:rFonts w:eastAsia="Times New Roman"/>
                <w:sz w:val="20"/>
                <w:szCs w:val="20"/>
              </w:rPr>
            </w:pPr>
          </w:p>
        </w:tc>
        <w:tc>
          <w:tcPr>
            <w:tcW w:w="0" w:type="auto"/>
            <w:vAlign w:val="center"/>
            <w:hideMark/>
          </w:tcPr>
          <w:p w14:paraId="02B27C2D" w14:textId="77777777" w:rsidR="00000000" w:rsidRDefault="00195E73">
            <w:pPr>
              <w:rPr>
                <w:rFonts w:eastAsia="Times New Roman"/>
                <w:sz w:val="20"/>
                <w:szCs w:val="20"/>
              </w:rPr>
            </w:pPr>
          </w:p>
        </w:tc>
        <w:tc>
          <w:tcPr>
            <w:tcW w:w="0" w:type="auto"/>
            <w:vAlign w:val="center"/>
            <w:hideMark/>
          </w:tcPr>
          <w:p w14:paraId="145278CE" w14:textId="77777777" w:rsidR="00000000" w:rsidRDefault="00195E73">
            <w:pPr>
              <w:rPr>
                <w:rFonts w:eastAsia="Times New Roman"/>
                <w:sz w:val="20"/>
                <w:szCs w:val="20"/>
              </w:rPr>
            </w:pPr>
          </w:p>
        </w:tc>
        <w:tc>
          <w:tcPr>
            <w:tcW w:w="0" w:type="auto"/>
            <w:vAlign w:val="center"/>
            <w:hideMark/>
          </w:tcPr>
          <w:p w14:paraId="3AF141FE" w14:textId="77777777" w:rsidR="00000000" w:rsidRDefault="00195E73">
            <w:pPr>
              <w:rPr>
                <w:rFonts w:eastAsia="Times New Roman"/>
                <w:sz w:val="20"/>
                <w:szCs w:val="20"/>
              </w:rPr>
            </w:pPr>
          </w:p>
        </w:tc>
        <w:tc>
          <w:tcPr>
            <w:tcW w:w="0" w:type="auto"/>
            <w:vAlign w:val="center"/>
            <w:hideMark/>
          </w:tcPr>
          <w:p w14:paraId="547D7EDF" w14:textId="77777777" w:rsidR="00000000" w:rsidRDefault="00195E73">
            <w:pPr>
              <w:rPr>
                <w:rFonts w:eastAsia="Times New Roman"/>
                <w:sz w:val="20"/>
                <w:szCs w:val="20"/>
              </w:rPr>
            </w:pPr>
          </w:p>
        </w:tc>
        <w:tc>
          <w:tcPr>
            <w:tcW w:w="0" w:type="auto"/>
            <w:vAlign w:val="center"/>
            <w:hideMark/>
          </w:tcPr>
          <w:p w14:paraId="6D79036E" w14:textId="77777777" w:rsidR="00000000" w:rsidRDefault="00195E73">
            <w:pPr>
              <w:rPr>
                <w:rFonts w:eastAsia="Times New Roman"/>
                <w:sz w:val="20"/>
                <w:szCs w:val="20"/>
              </w:rPr>
            </w:pPr>
          </w:p>
        </w:tc>
        <w:tc>
          <w:tcPr>
            <w:tcW w:w="0" w:type="auto"/>
            <w:vAlign w:val="center"/>
            <w:hideMark/>
          </w:tcPr>
          <w:p w14:paraId="56858BAB" w14:textId="77777777" w:rsidR="00000000" w:rsidRDefault="00195E73">
            <w:pPr>
              <w:rPr>
                <w:rFonts w:eastAsia="Times New Roman"/>
                <w:sz w:val="20"/>
                <w:szCs w:val="20"/>
              </w:rPr>
            </w:pPr>
          </w:p>
        </w:tc>
        <w:tc>
          <w:tcPr>
            <w:tcW w:w="0" w:type="auto"/>
            <w:vAlign w:val="center"/>
            <w:hideMark/>
          </w:tcPr>
          <w:p w14:paraId="5C4C10F0" w14:textId="77777777" w:rsidR="00000000" w:rsidRDefault="00195E73">
            <w:pPr>
              <w:rPr>
                <w:rFonts w:eastAsia="Times New Roman"/>
                <w:sz w:val="20"/>
                <w:szCs w:val="20"/>
              </w:rPr>
            </w:pPr>
          </w:p>
        </w:tc>
      </w:tr>
      <w:tr w:rsidR="00000000" w14:paraId="6C8B2FB6" w14:textId="77777777">
        <w:trPr>
          <w:divId w:val="1839031348"/>
          <w:jc w:val="center"/>
        </w:trPr>
        <w:tc>
          <w:tcPr>
            <w:tcW w:w="0" w:type="auto"/>
            <w:gridSpan w:val="3"/>
            <w:tcMar>
              <w:top w:w="15" w:type="dxa"/>
              <w:left w:w="20" w:type="dxa"/>
              <w:bottom w:w="15" w:type="dxa"/>
              <w:right w:w="20" w:type="dxa"/>
            </w:tcMar>
            <w:vAlign w:val="bottom"/>
            <w:hideMark/>
          </w:tcPr>
          <w:p w14:paraId="49D70109" w14:textId="77777777" w:rsidR="00000000" w:rsidRDefault="00195E73">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14:paraId="584F895D"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7E559F7B" w14:textId="77777777" w:rsidR="00000000" w:rsidRDefault="00195E73">
            <w:pPr>
              <w:jc w:val="center"/>
              <w:rPr>
                <w:rFonts w:eastAsia="Times New Roman"/>
              </w:rPr>
            </w:pPr>
          </w:p>
        </w:tc>
        <w:tc>
          <w:tcPr>
            <w:tcW w:w="0" w:type="auto"/>
            <w:gridSpan w:val="3"/>
            <w:vAlign w:val="center"/>
            <w:hideMark/>
          </w:tcPr>
          <w:p w14:paraId="35D424B3" w14:textId="77777777" w:rsidR="00000000" w:rsidRDefault="00195E73">
            <w:pPr>
              <w:rPr>
                <w:rFonts w:eastAsia="Times New Roman"/>
                <w:sz w:val="20"/>
                <w:szCs w:val="20"/>
              </w:rPr>
            </w:pPr>
          </w:p>
        </w:tc>
        <w:tc>
          <w:tcPr>
            <w:tcW w:w="0" w:type="auto"/>
            <w:gridSpan w:val="3"/>
            <w:vAlign w:val="center"/>
            <w:hideMark/>
          </w:tcPr>
          <w:p w14:paraId="2690B9FA" w14:textId="77777777" w:rsidR="00000000" w:rsidRDefault="00195E73">
            <w:pPr>
              <w:rPr>
                <w:rFonts w:eastAsia="Times New Roman"/>
                <w:sz w:val="20"/>
                <w:szCs w:val="20"/>
              </w:rPr>
            </w:pPr>
          </w:p>
        </w:tc>
        <w:tc>
          <w:tcPr>
            <w:tcW w:w="0" w:type="auto"/>
            <w:gridSpan w:val="3"/>
            <w:vAlign w:val="center"/>
            <w:hideMark/>
          </w:tcPr>
          <w:p w14:paraId="193B6239" w14:textId="77777777" w:rsidR="00000000" w:rsidRDefault="00195E73">
            <w:pPr>
              <w:rPr>
                <w:rFonts w:eastAsia="Times New Roman"/>
                <w:sz w:val="20"/>
                <w:szCs w:val="20"/>
              </w:rPr>
            </w:pPr>
          </w:p>
        </w:tc>
        <w:tc>
          <w:tcPr>
            <w:tcW w:w="0" w:type="auto"/>
            <w:gridSpan w:val="3"/>
            <w:vAlign w:val="center"/>
            <w:hideMark/>
          </w:tcPr>
          <w:p w14:paraId="1633D33E" w14:textId="77777777" w:rsidR="00000000" w:rsidRDefault="00195E73">
            <w:pPr>
              <w:rPr>
                <w:rFonts w:eastAsia="Times New Roman"/>
                <w:sz w:val="20"/>
                <w:szCs w:val="20"/>
              </w:rPr>
            </w:pPr>
          </w:p>
        </w:tc>
        <w:tc>
          <w:tcPr>
            <w:tcW w:w="0" w:type="auto"/>
            <w:gridSpan w:val="3"/>
            <w:vAlign w:val="center"/>
            <w:hideMark/>
          </w:tcPr>
          <w:p w14:paraId="5D3B9D48" w14:textId="77777777" w:rsidR="00000000" w:rsidRDefault="00195E73">
            <w:pPr>
              <w:rPr>
                <w:rFonts w:eastAsia="Times New Roman"/>
                <w:sz w:val="20"/>
                <w:szCs w:val="20"/>
              </w:rPr>
            </w:pPr>
          </w:p>
        </w:tc>
        <w:tc>
          <w:tcPr>
            <w:tcW w:w="0" w:type="auto"/>
            <w:gridSpan w:val="3"/>
            <w:vAlign w:val="center"/>
            <w:hideMark/>
          </w:tcPr>
          <w:p w14:paraId="530DAFFE" w14:textId="77777777" w:rsidR="00000000" w:rsidRDefault="00195E73">
            <w:pPr>
              <w:rPr>
                <w:rFonts w:eastAsia="Times New Roman"/>
                <w:sz w:val="20"/>
                <w:szCs w:val="20"/>
              </w:rPr>
            </w:pPr>
          </w:p>
        </w:tc>
        <w:tc>
          <w:tcPr>
            <w:tcW w:w="0" w:type="auto"/>
            <w:gridSpan w:val="3"/>
            <w:vAlign w:val="center"/>
            <w:hideMark/>
          </w:tcPr>
          <w:p w14:paraId="4F257F23" w14:textId="77777777" w:rsidR="00000000" w:rsidRDefault="00195E73">
            <w:pPr>
              <w:rPr>
                <w:rFonts w:eastAsia="Times New Roman"/>
                <w:sz w:val="20"/>
                <w:szCs w:val="20"/>
              </w:rPr>
            </w:pPr>
          </w:p>
        </w:tc>
      </w:tr>
      <w:tr w:rsidR="00000000" w14:paraId="3BEE30F9" w14:textId="77777777">
        <w:trPr>
          <w:divId w:val="1839031348"/>
          <w:jc w:val="center"/>
        </w:trPr>
        <w:tc>
          <w:tcPr>
            <w:tcW w:w="0" w:type="auto"/>
            <w:gridSpan w:val="3"/>
            <w:shd w:val="clear" w:color="auto" w:fill="CCEEFF"/>
            <w:tcMar>
              <w:top w:w="30" w:type="dxa"/>
              <w:left w:w="20" w:type="dxa"/>
              <w:bottom w:w="30" w:type="dxa"/>
              <w:right w:w="20" w:type="dxa"/>
            </w:tcMar>
            <w:vAlign w:val="bottom"/>
            <w:hideMark/>
          </w:tcPr>
          <w:p w14:paraId="32B25CB1" w14:textId="77777777" w:rsidR="00000000" w:rsidRDefault="00195E73">
            <w:pPr>
              <w:ind w:hanging="90"/>
              <w:divId w:val="115687517"/>
              <w:rPr>
                <w:rFonts w:eastAsia="Times New Roman"/>
              </w:rPr>
            </w:pPr>
            <w:r>
              <w:rPr>
                <w:rFonts w:eastAsia="Times New Roman"/>
                <w:color w:val="000000"/>
                <w:sz w:val="18"/>
                <w:szCs w:val="18"/>
              </w:rPr>
              <w:t xml:space="preserve">Gross carrying amount, Jan </w:t>
            </w:r>
            <w:r>
              <w:rPr>
                <w:rFonts w:eastAsia="Times New Roman"/>
                <w:color w:val="000000"/>
                <w:sz w:val="18"/>
                <w:szCs w:val="18"/>
              </w:rPr>
              <w:t>1</w:t>
            </w:r>
          </w:p>
        </w:tc>
        <w:tc>
          <w:tcPr>
            <w:tcW w:w="0" w:type="auto"/>
            <w:shd w:val="clear" w:color="auto" w:fill="CCEEFF"/>
            <w:tcMar>
              <w:top w:w="30" w:type="dxa"/>
              <w:left w:w="20" w:type="dxa"/>
              <w:bottom w:w="30" w:type="dxa"/>
              <w:right w:w="15" w:type="dxa"/>
            </w:tcMar>
            <w:vAlign w:val="bottom"/>
            <w:hideMark/>
          </w:tcPr>
          <w:p w14:paraId="7F9ACAA3"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705CD555" w14:textId="77777777" w:rsidR="00000000" w:rsidRDefault="00195E73">
            <w:pPr>
              <w:jc w:val="right"/>
              <w:rPr>
                <w:rFonts w:eastAsia="Times New Roman"/>
              </w:rPr>
            </w:pPr>
            <w:r>
              <w:rPr>
                <w:rFonts w:eastAsia="Times New Roman"/>
                <w:color w:val="000000"/>
                <w:sz w:val="18"/>
                <w:szCs w:val="18"/>
              </w:rPr>
              <w:t>328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471237A"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CCEEFF"/>
            <w:tcMar>
              <w:top w:w="15" w:type="dxa"/>
              <w:left w:w="20" w:type="dxa"/>
              <w:bottom w:w="15" w:type="dxa"/>
              <w:right w:w="0" w:type="dxa"/>
            </w:tcMar>
            <w:vAlign w:val="bottom"/>
            <w:hideMark/>
          </w:tcPr>
          <w:p w14:paraId="736AD410"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6456545C" w14:textId="77777777" w:rsidR="00000000" w:rsidRDefault="00195E73">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5EEF32A6"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1976F35B" w14:textId="77777777" w:rsidR="00000000" w:rsidRDefault="00195E73">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362B6D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D0DF6B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BBF317D"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10DA3BE4"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1F384524"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CCEEFF"/>
            <w:tcMar>
              <w:top w:w="15" w:type="dxa"/>
              <w:left w:w="20" w:type="dxa"/>
              <w:bottom w:w="15" w:type="dxa"/>
              <w:right w:w="0" w:type="dxa"/>
            </w:tcMar>
            <w:vAlign w:val="bottom"/>
            <w:hideMark/>
          </w:tcPr>
          <w:p w14:paraId="4CC1291B"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2952BF09" w14:textId="77777777" w:rsidR="00000000" w:rsidRDefault="00195E73">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66778805"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12AA1A29"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2BA516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0D2240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8BCF62F"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043D5A85" w14:textId="77777777" w:rsidR="00000000" w:rsidRDefault="00195E73">
            <w:pPr>
              <w:jc w:val="right"/>
              <w:rPr>
                <w:rFonts w:eastAsia="Times New Roman"/>
              </w:rPr>
            </w:pPr>
            <w:r>
              <w:rPr>
                <w:rFonts w:eastAsia="Times New Roman"/>
                <w:color w:val="000000"/>
                <w:sz w:val="18"/>
                <w:szCs w:val="18"/>
              </w:rPr>
              <w:t>334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0C65418"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1394E3E7" w14:textId="77777777" w:rsidR="00000000" w:rsidRDefault="00195E73">
            <w:pPr>
              <w:rPr>
                <w:rFonts w:eastAsia="Times New Roman"/>
                <w:sz w:val="20"/>
                <w:szCs w:val="20"/>
              </w:rPr>
            </w:pPr>
          </w:p>
        </w:tc>
        <w:tc>
          <w:tcPr>
            <w:tcW w:w="0" w:type="auto"/>
            <w:vAlign w:val="center"/>
            <w:hideMark/>
          </w:tcPr>
          <w:p w14:paraId="51F7DDD3" w14:textId="77777777" w:rsidR="00000000" w:rsidRDefault="00195E73">
            <w:pPr>
              <w:rPr>
                <w:rFonts w:eastAsia="Times New Roman"/>
                <w:sz w:val="20"/>
                <w:szCs w:val="20"/>
              </w:rPr>
            </w:pPr>
          </w:p>
        </w:tc>
        <w:tc>
          <w:tcPr>
            <w:tcW w:w="0" w:type="auto"/>
            <w:vAlign w:val="center"/>
            <w:hideMark/>
          </w:tcPr>
          <w:p w14:paraId="2D05B761" w14:textId="77777777" w:rsidR="00000000" w:rsidRDefault="00195E73">
            <w:pPr>
              <w:rPr>
                <w:rFonts w:eastAsia="Times New Roman"/>
                <w:sz w:val="20"/>
                <w:szCs w:val="20"/>
              </w:rPr>
            </w:pPr>
          </w:p>
        </w:tc>
        <w:tc>
          <w:tcPr>
            <w:tcW w:w="0" w:type="auto"/>
            <w:vAlign w:val="center"/>
            <w:hideMark/>
          </w:tcPr>
          <w:p w14:paraId="4F58C1E7" w14:textId="77777777" w:rsidR="00000000" w:rsidRDefault="00195E73">
            <w:pPr>
              <w:rPr>
                <w:rFonts w:eastAsia="Times New Roman"/>
                <w:sz w:val="20"/>
                <w:szCs w:val="20"/>
              </w:rPr>
            </w:pPr>
          </w:p>
        </w:tc>
        <w:tc>
          <w:tcPr>
            <w:tcW w:w="0" w:type="auto"/>
            <w:vAlign w:val="center"/>
            <w:hideMark/>
          </w:tcPr>
          <w:p w14:paraId="1B13A791" w14:textId="77777777" w:rsidR="00000000" w:rsidRDefault="00195E73">
            <w:pPr>
              <w:rPr>
                <w:rFonts w:eastAsia="Times New Roman"/>
                <w:sz w:val="20"/>
                <w:szCs w:val="20"/>
              </w:rPr>
            </w:pPr>
          </w:p>
        </w:tc>
        <w:tc>
          <w:tcPr>
            <w:tcW w:w="0" w:type="auto"/>
            <w:vAlign w:val="center"/>
            <w:hideMark/>
          </w:tcPr>
          <w:p w14:paraId="5C1027B0" w14:textId="77777777" w:rsidR="00000000" w:rsidRDefault="00195E73">
            <w:pPr>
              <w:rPr>
                <w:rFonts w:eastAsia="Times New Roman"/>
                <w:sz w:val="20"/>
                <w:szCs w:val="20"/>
              </w:rPr>
            </w:pPr>
          </w:p>
        </w:tc>
        <w:tc>
          <w:tcPr>
            <w:tcW w:w="0" w:type="auto"/>
            <w:vAlign w:val="center"/>
            <w:hideMark/>
          </w:tcPr>
          <w:p w14:paraId="72CF65BF" w14:textId="77777777" w:rsidR="00000000" w:rsidRDefault="00195E73">
            <w:pPr>
              <w:rPr>
                <w:rFonts w:eastAsia="Times New Roman"/>
                <w:sz w:val="20"/>
                <w:szCs w:val="20"/>
              </w:rPr>
            </w:pPr>
          </w:p>
        </w:tc>
        <w:tc>
          <w:tcPr>
            <w:tcW w:w="0" w:type="auto"/>
            <w:vAlign w:val="center"/>
            <w:hideMark/>
          </w:tcPr>
          <w:p w14:paraId="197F5649" w14:textId="77777777" w:rsidR="00000000" w:rsidRDefault="00195E73">
            <w:pPr>
              <w:rPr>
                <w:rFonts w:eastAsia="Times New Roman"/>
                <w:sz w:val="20"/>
                <w:szCs w:val="20"/>
              </w:rPr>
            </w:pPr>
          </w:p>
        </w:tc>
        <w:tc>
          <w:tcPr>
            <w:tcW w:w="0" w:type="auto"/>
            <w:vAlign w:val="center"/>
            <w:hideMark/>
          </w:tcPr>
          <w:p w14:paraId="451DF8C6" w14:textId="77777777" w:rsidR="00000000" w:rsidRDefault="00195E73">
            <w:pPr>
              <w:rPr>
                <w:rFonts w:eastAsia="Times New Roman"/>
                <w:sz w:val="20"/>
                <w:szCs w:val="20"/>
              </w:rPr>
            </w:pPr>
          </w:p>
        </w:tc>
        <w:tc>
          <w:tcPr>
            <w:tcW w:w="0" w:type="auto"/>
            <w:vAlign w:val="center"/>
            <w:hideMark/>
          </w:tcPr>
          <w:p w14:paraId="29DD9DFF" w14:textId="77777777" w:rsidR="00000000" w:rsidRDefault="00195E73">
            <w:pPr>
              <w:rPr>
                <w:rFonts w:eastAsia="Times New Roman"/>
                <w:sz w:val="20"/>
                <w:szCs w:val="20"/>
              </w:rPr>
            </w:pPr>
          </w:p>
        </w:tc>
        <w:tc>
          <w:tcPr>
            <w:tcW w:w="0" w:type="auto"/>
            <w:vAlign w:val="center"/>
            <w:hideMark/>
          </w:tcPr>
          <w:p w14:paraId="3602FFDA" w14:textId="77777777" w:rsidR="00000000" w:rsidRDefault="00195E73">
            <w:pPr>
              <w:rPr>
                <w:rFonts w:eastAsia="Times New Roman"/>
                <w:sz w:val="20"/>
                <w:szCs w:val="20"/>
              </w:rPr>
            </w:pPr>
          </w:p>
        </w:tc>
        <w:tc>
          <w:tcPr>
            <w:tcW w:w="0" w:type="auto"/>
            <w:vAlign w:val="center"/>
            <w:hideMark/>
          </w:tcPr>
          <w:p w14:paraId="2C1E1B39" w14:textId="77777777" w:rsidR="00000000" w:rsidRDefault="00195E73">
            <w:pPr>
              <w:rPr>
                <w:rFonts w:eastAsia="Times New Roman"/>
                <w:sz w:val="20"/>
                <w:szCs w:val="20"/>
              </w:rPr>
            </w:pPr>
          </w:p>
        </w:tc>
        <w:tc>
          <w:tcPr>
            <w:tcW w:w="0" w:type="auto"/>
            <w:vAlign w:val="center"/>
            <w:hideMark/>
          </w:tcPr>
          <w:p w14:paraId="1A07290F" w14:textId="77777777" w:rsidR="00000000" w:rsidRDefault="00195E73">
            <w:pPr>
              <w:rPr>
                <w:rFonts w:eastAsia="Times New Roman"/>
                <w:sz w:val="20"/>
                <w:szCs w:val="20"/>
              </w:rPr>
            </w:pPr>
          </w:p>
        </w:tc>
        <w:tc>
          <w:tcPr>
            <w:tcW w:w="0" w:type="auto"/>
            <w:vAlign w:val="center"/>
            <w:hideMark/>
          </w:tcPr>
          <w:p w14:paraId="1FBEE5A4" w14:textId="77777777" w:rsidR="00000000" w:rsidRDefault="00195E73">
            <w:pPr>
              <w:rPr>
                <w:rFonts w:eastAsia="Times New Roman"/>
                <w:sz w:val="20"/>
                <w:szCs w:val="20"/>
              </w:rPr>
            </w:pPr>
          </w:p>
        </w:tc>
        <w:tc>
          <w:tcPr>
            <w:tcW w:w="0" w:type="auto"/>
            <w:vAlign w:val="center"/>
            <w:hideMark/>
          </w:tcPr>
          <w:p w14:paraId="797C791A" w14:textId="77777777" w:rsidR="00000000" w:rsidRDefault="00195E73">
            <w:pPr>
              <w:rPr>
                <w:rFonts w:eastAsia="Times New Roman"/>
                <w:sz w:val="20"/>
                <w:szCs w:val="20"/>
              </w:rPr>
            </w:pPr>
          </w:p>
        </w:tc>
        <w:tc>
          <w:tcPr>
            <w:tcW w:w="0" w:type="auto"/>
            <w:vAlign w:val="center"/>
            <w:hideMark/>
          </w:tcPr>
          <w:p w14:paraId="373EC0F3" w14:textId="77777777" w:rsidR="00000000" w:rsidRDefault="00195E73">
            <w:pPr>
              <w:rPr>
                <w:rFonts w:eastAsia="Times New Roman"/>
                <w:sz w:val="20"/>
                <w:szCs w:val="20"/>
              </w:rPr>
            </w:pPr>
          </w:p>
        </w:tc>
        <w:tc>
          <w:tcPr>
            <w:tcW w:w="0" w:type="auto"/>
            <w:vAlign w:val="center"/>
            <w:hideMark/>
          </w:tcPr>
          <w:p w14:paraId="7D7CF055" w14:textId="77777777" w:rsidR="00000000" w:rsidRDefault="00195E73">
            <w:pPr>
              <w:rPr>
                <w:rFonts w:eastAsia="Times New Roman"/>
                <w:sz w:val="20"/>
                <w:szCs w:val="20"/>
              </w:rPr>
            </w:pPr>
          </w:p>
        </w:tc>
        <w:tc>
          <w:tcPr>
            <w:tcW w:w="0" w:type="auto"/>
            <w:vAlign w:val="center"/>
            <w:hideMark/>
          </w:tcPr>
          <w:p w14:paraId="3D1CE6B6" w14:textId="77777777" w:rsidR="00000000" w:rsidRDefault="00195E73">
            <w:pPr>
              <w:rPr>
                <w:rFonts w:eastAsia="Times New Roman"/>
                <w:sz w:val="20"/>
                <w:szCs w:val="20"/>
              </w:rPr>
            </w:pPr>
          </w:p>
        </w:tc>
        <w:tc>
          <w:tcPr>
            <w:tcW w:w="0" w:type="auto"/>
            <w:vAlign w:val="center"/>
            <w:hideMark/>
          </w:tcPr>
          <w:p w14:paraId="18CBBB72" w14:textId="77777777" w:rsidR="00000000" w:rsidRDefault="00195E73">
            <w:pPr>
              <w:rPr>
                <w:rFonts w:eastAsia="Times New Roman"/>
                <w:sz w:val="20"/>
                <w:szCs w:val="20"/>
              </w:rPr>
            </w:pPr>
          </w:p>
        </w:tc>
        <w:tc>
          <w:tcPr>
            <w:tcW w:w="0" w:type="auto"/>
            <w:vAlign w:val="center"/>
            <w:hideMark/>
          </w:tcPr>
          <w:p w14:paraId="5AE2CA65" w14:textId="77777777" w:rsidR="00000000" w:rsidRDefault="00195E73">
            <w:pPr>
              <w:rPr>
                <w:rFonts w:eastAsia="Times New Roman"/>
                <w:sz w:val="20"/>
                <w:szCs w:val="20"/>
              </w:rPr>
            </w:pPr>
          </w:p>
        </w:tc>
        <w:tc>
          <w:tcPr>
            <w:tcW w:w="0" w:type="auto"/>
            <w:vAlign w:val="center"/>
            <w:hideMark/>
          </w:tcPr>
          <w:p w14:paraId="497B778E" w14:textId="77777777" w:rsidR="00000000" w:rsidRDefault="00195E73">
            <w:pPr>
              <w:rPr>
                <w:rFonts w:eastAsia="Times New Roman"/>
                <w:sz w:val="20"/>
                <w:szCs w:val="20"/>
              </w:rPr>
            </w:pPr>
          </w:p>
        </w:tc>
        <w:tc>
          <w:tcPr>
            <w:tcW w:w="0" w:type="auto"/>
            <w:vAlign w:val="center"/>
            <w:hideMark/>
          </w:tcPr>
          <w:p w14:paraId="20A66DE3" w14:textId="77777777" w:rsidR="00000000" w:rsidRDefault="00195E73">
            <w:pPr>
              <w:rPr>
                <w:rFonts w:eastAsia="Times New Roman"/>
                <w:sz w:val="20"/>
                <w:szCs w:val="20"/>
              </w:rPr>
            </w:pPr>
          </w:p>
        </w:tc>
        <w:tc>
          <w:tcPr>
            <w:tcW w:w="0" w:type="auto"/>
            <w:vAlign w:val="center"/>
            <w:hideMark/>
          </w:tcPr>
          <w:p w14:paraId="2BD25523" w14:textId="77777777" w:rsidR="00000000" w:rsidRDefault="00195E73">
            <w:pPr>
              <w:rPr>
                <w:rFonts w:eastAsia="Times New Roman"/>
                <w:sz w:val="20"/>
                <w:szCs w:val="20"/>
              </w:rPr>
            </w:pPr>
          </w:p>
        </w:tc>
        <w:tc>
          <w:tcPr>
            <w:tcW w:w="0" w:type="auto"/>
            <w:vAlign w:val="center"/>
            <w:hideMark/>
          </w:tcPr>
          <w:p w14:paraId="3F18F7FB" w14:textId="77777777" w:rsidR="00000000" w:rsidRDefault="00195E73">
            <w:pPr>
              <w:rPr>
                <w:rFonts w:eastAsia="Times New Roman"/>
                <w:sz w:val="20"/>
                <w:szCs w:val="20"/>
              </w:rPr>
            </w:pPr>
          </w:p>
        </w:tc>
      </w:tr>
      <w:tr w:rsidR="00000000" w14:paraId="542FC18A" w14:textId="77777777">
        <w:trPr>
          <w:divId w:val="1839031348"/>
          <w:jc w:val="center"/>
        </w:trPr>
        <w:tc>
          <w:tcPr>
            <w:tcW w:w="0" w:type="auto"/>
            <w:gridSpan w:val="3"/>
            <w:shd w:val="clear" w:color="auto" w:fill="FFFFFF"/>
            <w:tcMar>
              <w:top w:w="30" w:type="dxa"/>
              <w:left w:w="180" w:type="dxa"/>
              <w:bottom w:w="30" w:type="dxa"/>
              <w:right w:w="20" w:type="dxa"/>
            </w:tcMar>
            <w:vAlign w:val="bottom"/>
            <w:hideMark/>
          </w:tcPr>
          <w:p w14:paraId="3BD9A3AA" w14:textId="77777777" w:rsidR="00000000" w:rsidRDefault="00195E73">
            <w:pPr>
              <w:rPr>
                <w:rFonts w:eastAsia="Times New Roman"/>
              </w:rPr>
            </w:pPr>
            <w:r>
              <w:rPr>
                <w:rFonts w:eastAsia="Times New Roman"/>
                <w:color w:val="000000"/>
                <w:sz w:val="18"/>
                <w:szCs w:val="18"/>
              </w:rPr>
              <w:t>Acquisition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2768771E" w14:textId="77777777" w:rsidR="00000000" w:rsidRDefault="00195E73">
            <w:pPr>
              <w:jc w:val="right"/>
              <w:rPr>
                <w:rFonts w:eastAsia="Times New Roman"/>
              </w:rPr>
            </w:pPr>
            <w:r>
              <w:rPr>
                <w:rFonts w:eastAsia="Times New Roman"/>
                <w:color w:val="000000"/>
                <w:sz w:val="18"/>
                <w:szCs w:val="18"/>
              </w:rPr>
              <w:t>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DAE82E0"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FFFFFF"/>
            <w:tcMar>
              <w:top w:w="15" w:type="dxa"/>
              <w:left w:w="20" w:type="dxa"/>
              <w:bottom w:w="15" w:type="dxa"/>
              <w:right w:w="0" w:type="dxa"/>
            </w:tcMar>
            <w:vAlign w:val="bottom"/>
            <w:hideMark/>
          </w:tcPr>
          <w:p w14:paraId="5ADFC86E"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561903F1"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B9288B"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25516D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55B093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7DFA51" w14:textId="77777777" w:rsidR="00000000" w:rsidRDefault="00195E73">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BF8E61F"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FFFFFF"/>
            <w:tcMar>
              <w:top w:w="15" w:type="dxa"/>
              <w:left w:w="20" w:type="dxa"/>
              <w:bottom w:w="15" w:type="dxa"/>
              <w:right w:w="0" w:type="dxa"/>
            </w:tcMar>
            <w:vAlign w:val="bottom"/>
            <w:hideMark/>
          </w:tcPr>
          <w:p w14:paraId="06A0EDEF"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66D4A5EA"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EDF5C7" w14:textId="77777777" w:rsidR="00000000" w:rsidRDefault="00195E73">
            <w:pPr>
              <w:jc w:val="right"/>
              <w:rPr>
                <w:rFonts w:eastAsia="Times New Roman"/>
              </w:rPr>
            </w:pPr>
            <w:r>
              <w:rPr>
                <w:rFonts w:eastAsia="Times New Roman"/>
                <w:color w:val="000000"/>
                <w:sz w:val="18"/>
                <w:szCs w:val="18"/>
              </w:rPr>
              <w:t>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1FA78C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0F77D6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937513" w14:textId="77777777" w:rsidR="00000000" w:rsidRDefault="00195E73">
            <w:pPr>
              <w:jc w:val="right"/>
              <w:rPr>
                <w:rFonts w:eastAsia="Times New Roman"/>
              </w:rPr>
            </w:pPr>
            <w:r>
              <w:rPr>
                <w:rFonts w:eastAsia="Times New Roman"/>
                <w:color w:val="000000"/>
                <w:sz w:val="18"/>
                <w:szCs w:val="18"/>
              </w:rPr>
              <w:t>34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0FF0F67"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43FEB06B" w14:textId="77777777" w:rsidR="00000000" w:rsidRDefault="00195E73">
            <w:pPr>
              <w:rPr>
                <w:rFonts w:eastAsia="Times New Roman"/>
                <w:sz w:val="20"/>
                <w:szCs w:val="20"/>
              </w:rPr>
            </w:pPr>
          </w:p>
        </w:tc>
        <w:tc>
          <w:tcPr>
            <w:tcW w:w="0" w:type="auto"/>
            <w:vAlign w:val="center"/>
            <w:hideMark/>
          </w:tcPr>
          <w:p w14:paraId="1CC2D616" w14:textId="77777777" w:rsidR="00000000" w:rsidRDefault="00195E73">
            <w:pPr>
              <w:rPr>
                <w:rFonts w:eastAsia="Times New Roman"/>
                <w:sz w:val="20"/>
                <w:szCs w:val="20"/>
              </w:rPr>
            </w:pPr>
          </w:p>
        </w:tc>
        <w:tc>
          <w:tcPr>
            <w:tcW w:w="0" w:type="auto"/>
            <w:vAlign w:val="center"/>
            <w:hideMark/>
          </w:tcPr>
          <w:p w14:paraId="799BBBF7" w14:textId="77777777" w:rsidR="00000000" w:rsidRDefault="00195E73">
            <w:pPr>
              <w:rPr>
                <w:rFonts w:eastAsia="Times New Roman"/>
                <w:sz w:val="20"/>
                <w:szCs w:val="20"/>
              </w:rPr>
            </w:pPr>
          </w:p>
        </w:tc>
        <w:tc>
          <w:tcPr>
            <w:tcW w:w="0" w:type="auto"/>
            <w:vAlign w:val="center"/>
            <w:hideMark/>
          </w:tcPr>
          <w:p w14:paraId="6686F8DA" w14:textId="77777777" w:rsidR="00000000" w:rsidRDefault="00195E73">
            <w:pPr>
              <w:rPr>
                <w:rFonts w:eastAsia="Times New Roman"/>
                <w:sz w:val="20"/>
                <w:szCs w:val="20"/>
              </w:rPr>
            </w:pPr>
          </w:p>
        </w:tc>
        <w:tc>
          <w:tcPr>
            <w:tcW w:w="0" w:type="auto"/>
            <w:vAlign w:val="center"/>
            <w:hideMark/>
          </w:tcPr>
          <w:p w14:paraId="6305A26D" w14:textId="77777777" w:rsidR="00000000" w:rsidRDefault="00195E73">
            <w:pPr>
              <w:rPr>
                <w:rFonts w:eastAsia="Times New Roman"/>
                <w:sz w:val="20"/>
                <w:szCs w:val="20"/>
              </w:rPr>
            </w:pPr>
          </w:p>
        </w:tc>
        <w:tc>
          <w:tcPr>
            <w:tcW w:w="0" w:type="auto"/>
            <w:vAlign w:val="center"/>
            <w:hideMark/>
          </w:tcPr>
          <w:p w14:paraId="6A352AA1" w14:textId="77777777" w:rsidR="00000000" w:rsidRDefault="00195E73">
            <w:pPr>
              <w:rPr>
                <w:rFonts w:eastAsia="Times New Roman"/>
                <w:sz w:val="20"/>
                <w:szCs w:val="20"/>
              </w:rPr>
            </w:pPr>
          </w:p>
        </w:tc>
        <w:tc>
          <w:tcPr>
            <w:tcW w:w="0" w:type="auto"/>
            <w:vAlign w:val="center"/>
            <w:hideMark/>
          </w:tcPr>
          <w:p w14:paraId="14B14612" w14:textId="77777777" w:rsidR="00000000" w:rsidRDefault="00195E73">
            <w:pPr>
              <w:rPr>
                <w:rFonts w:eastAsia="Times New Roman"/>
                <w:sz w:val="20"/>
                <w:szCs w:val="20"/>
              </w:rPr>
            </w:pPr>
          </w:p>
        </w:tc>
        <w:tc>
          <w:tcPr>
            <w:tcW w:w="0" w:type="auto"/>
            <w:vAlign w:val="center"/>
            <w:hideMark/>
          </w:tcPr>
          <w:p w14:paraId="6FD9E35F" w14:textId="77777777" w:rsidR="00000000" w:rsidRDefault="00195E73">
            <w:pPr>
              <w:rPr>
                <w:rFonts w:eastAsia="Times New Roman"/>
                <w:sz w:val="20"/>
                <w:szCs w:val="20"/>
              </w:rPr>
            </w:pPr>
          </w:p>
        </w:tc>
        <w:tc>
          <w:tcPr>
            <w:tcW w:w="0" w:type="auto"/>
            <w:vAlign w:val="center"/>
            <w:hideMark/>
          </w:tcPr>
          <w:p w14:paraId="14F4B49E" w14:textId="77777777" w:rsidR="00000000" w:rsidRDefault="00195E73">
            <w:pPr>
              <w:rPr>
                <w:rFonts w:eastAsia="Times New Roman"/>
                <w:sz w:val="20"/>
                <w:szCs w:val="20"/>
              </w:rPr>
            </w:pPr>
          </w:p>
        </w:tc>
        <w:tc>
          <w:tcPr>
            <w:tcW w:w="0" w:type="auto"/>
            <w:vAlign w:val="center"/>
            <w:hideMark/>
          </w:tcPr>
          <w:p w14:paraId="0AC1C3AE" w14:textId="77777777" w:rsidR="00000000" w:rsidRDefault="00195E73">
            <w:pPr>
              <w:rPr>
                <w:rFonts w:eastAsia="Times New Roman"/>
                <w:sz w:val="20"/>
                <w:szCs w:val="20"/>
              </w:rPr>
            </w:pPr>
          </w:p>
        </w:tc>
        <w:tc>
          <w:tcPr>
            <w:tcW w:w="0" w:type="auto"/>
            <w:vAlign w:val="center"/>
            <w:hideMark/>
          </w:tcPr>
          <w:p w14:paraId="467C991E" w14:textId="77777777" w:rsidR="00000000" w:rsidRDefault="00195E73">
            <w:pPr>
              <w:rPr>
                <w:rFonts w:eastAsia="Times New Roman"/>
                <w:sz w:val="20"/>
                <w:szCs w:val="20"/>
              </w:rPr>
            </w:pPr>
          </w:p>
        </w:tc>
        <w:tc>
          <w:tcPr>
            <w:tcW w:w="0" w:type="auto"/>
            <w:vAlign w:val="center"/>
            <w:hideMark/>
          </w:tcPr>
          <w:p w14:paraId="350AE280" w14:textId="77777777" w:rsidR="00000000" w:rsidRDefault="00195E73">
            <w:pPr>
              <w:rPr>
                <w:rFonts w:eastAsia="Times New Roman"/>
                <w:sz w:val="20"/>
                <w:szCs w:val="20"/>
              </w:rPr>
            </w:pPr>
          </w:p>
        </w:tc>
        <w:tc>
          <w:tcPr>
            <w:tcW w:w="0" w:type="auto"/>
            <w:vAlign w:val="center"/>
            <w:hideMark/>
          </w:tcPr>
          <w:p w14:paraId="7DA010BA" w14:textId="77777777" w:rsidR="00000000" w:rsidRDefault="00195E73">
            <w:pPr>
              <w:rPr>
                <w:rFonts w:eastAsia="Times New Roman"/>
                <w:sz w:val="20"/>
                <w:szCs w:val="20"/>
              </w:rPr>
            </w:pPr>
          </w:p>
        </w:tc>
        <w:tc>
          <w:tcPr>
            <w:tcW w:w="0" w:type="auto"/>
            <w:vAlign w:val="center"/>
            <w:hideMark/>
          </w:tcPr>
          <w:p w14:paraId="00AEB3AC" w14:textId="77777777" w:rsidR="00000000" w:rsidRDefault="00195E73">
            <w:pPr>
              <w:rPr>
                <w:rFonts w:eastAsia="Times New Roman"/>
                <w:sz w:val="20"/>
                <w:szCs w:val="20"/>
              </w:rPr>
            </w:pPr>
          </w:p>
        </w:tc>
        <w:tc>
          <w:tcPr>
            <w:tcW w:w="0" w:type="auto"/>
            <w:vAlign w:val="center"/>
            <w:hideMark/>
          </w:tcPr>
          <w:p w14:paraId="492F89F4" w14:textId="77777777" w:rsidR="00000000" w:rsidRDefault="00195E73">
            <w:pPr>
              <w:rPr>
                <w:rFonts w:eastAsia="Times New Roman"/>
                <w:sz w:val="20"/>
                <w:szCs w:val="20"/>
              </w:rPr>
            </w:pPr>
          </w:p>
        </w:tc>
        <w:tc>
          <w:tcPr>
            <w:tcW w:w="0" w:type="auto"/>
            <w:vAlign w:val="center"/>
            <w:hideMark/>
          </w:tcPr>
          <w:p w14:paraId="3FCC1F85" w14:textId="77777777" w:rsidR="00000000" w:rsidRDefault="00195E73">
            <w:pPr>
              <w:rPr>
                <w:rFonts w:eastAsia="Times New Roman"/>
                <w:sz w:val="20"/>
                <w:szCs w:val="20"/>
              </w:rPr>
            </w:pPr>
          </w:p>
        </w:tc>
        <w:tc>
          <w:tcPr>
            <w:tcW w:w="0" w:type="auto"/>
            <w:vAlign w:val="center"/>
            <w:hideMark/>
          </w:tcPr>
          <w:p w14:paraId="14E21A5E" w14:textId="77777777" w:rsidR="00000000" w:rsidRDefault="00195E73">
            <w:pPr>
              <w:rPr>
                <w:rFonts w:eastAsia="Times New Roman"/>
                <w:sz w:val="20"/>
                <w:szCs w:val="20"/>
              </w:rPr>
            </w:pPr>
          </w:p>
        </w:tc>
        <w:tc>
          <w:tcPr>
            <w:tcW w:w="0" w:type="auto"/>
            <w:vAlign w:val="center"/>
            <w:hideMark/>
          </w:tcPr>
          <w:p w14:paraId="411A54F3" w14:textId="77777777" w:rsidR="00000000" w:rsidRDefault="00195E73">
            <w:pPr>
              <w:rPr>
                <w:rFonts w:eastAsia="Times New Roman"/>
                <w:sz w:val="20"/>
                <w:szCs w:val="20"/>
              </w:rPr>
            </w:pPr>
          </w:p>
        </w:tc>
        <w:tc>
          <w:tcPr>
            <w:tcW w:w="0" w:type="auto"/>
            <w:vAlign w:val="center"/>
            <w:hideMark/>
          </w:tcPr>
          <w:p w14:paraId="2A39CF16" w14:textId="77777777" w:rsidR="00000000" w:rsidRDefault="00195E73">
            <w:pPr>
              <w:rPr>
                <w:rFonts w:eastAsia="Times New Roman"/>
                <w:sz w:val="20"/>
                <w:szCs w:val="20"/>
              </w:rPr>
            </w:pPr>
          </w:p>
        </w:tc>
        <w:tc>
          <w:tcPr>
            <w:tcW w:w="0" w:type="auto"/>
            <w:vAlign w:val="center"/>
            <w:hideMark/>
          </w:tcPr>
          <w:p w14:paraId="06CA4C8C" w14:textId="77777777" w:rsidR="00000000" w:rsidRDefault="00195E73">
            <w:pPr>
              <w:rPr>
                <w:rFonts w:eastAsia="Times New Roman"/>
                <w:sz w:val="20"/>
                <w:szCs w:val="20"/>
              </w:rPr>
            </w:pPr>
          </w:p>
        </w:tc>
        <w:tc>
          <w:tcPr>
            <w:tcW w:w="0" w:type="auto"/>
            <w:vAlign w:val="center"/>
            <w:hideMark/>
          </w:tcPr>
          <w:p w14:paraId="19E74A43" w14:textId="77777777" w:rsidR="00000000" w:rsidRDefault="00195E73">
            <w:pPr>
              <w:rPr>
                <w:rFonts w:eastAsia="Times New Roman"/>
                <w:sz w:val="20"/>
                <w:szCs w:val="20"/>
              </w:rPr>
            </w:pPr>
          </w:p>
        </w:tc>
        <w:tc>
          <w:tcPr>
            <w:tcW w:w="0" w:type="auto"/>
            <w:vAlign w:val="center"/>
            <w:hideMark/>
          </w:tcPr>
          <w:p w14:paraId="5918B70B" w14:textId="77777777" w:rsidR="00000000" w:rsidRDefault="00195E73">
            <w:pPr>
              <w:rPr>
                <w:rFonts w:eastAsia="Times New Roman"/>
                <w:sz w:val="20"/>
                <w:szCs w:val="20"/>
              </w:rPr>
            </w:pPr>
          </w:p>
        </w:tc>
        <w:tc>
          <w:tcPr>
            <w:tcW w:w="0" w:type="auto"/>
            <w:vAlign w:val="center"/>
            <w:hideMark/>
          </w:tcPr>
          <w:p w14:paraId="2432FE82" w14:textId="77777777" w:rsidR="00000000" w:rsidRDefault="00195E73">
            <w:pPr>
              <w:rPr>
                <w:rFonts w:eastAsia="Times New Roman"/>
                <w:sz w:val="20"/>
                <w:szCs w:val="20"/>
              </w:rPr>
            </w:pPr>
          </w:p>
        </w:tc>
        <w:tc>
          <w:tcPr>
            <w:tcW w:w="0" w:type="auto"/>
            <w:vAlign w:val="center"/>
            <w:hideMark/>
          </w:tcPr>
          <w:p w14:paraId="535A8F14" w14:textId="77777777" w:rsidR="00000000" w:rsidRDefault="00195E73">
            <w:pPr>
              <w:rPr>
                <w:rFonts w:eastAsia="Times New Roman"/>
                <w:sz w:val="20"/>
                <w:szCs w:val="20"/>
              </w:rPr>
            </w:pPr>
          </w:p>
        </w:tc>
      </w:tr>
      <w:tr w:rsidR="00000000" w14:paraId="609003CD" w14:textId="77777777">
        <w:trPr>
          <w:divId w:val="1839031348"/>
          <w:jc w:val="center"/>
        </w:trPr>
        <w:tc>
          <w:tcPr>
            <w:tcW w:w="0" w:type="auto"/>
            <w:gridSpan w:val="3"/>
            <w:shd w:val="clear" w:color="auto" w:fill="CCEEFF"/>
            <w:tcMar>
              <w:top w:w="30" w:type="dxa"/>
              <w:left w:w="180" w:type="dxa"/>
              <w:bottom w:w="30" w:type="dxa"/>
              <w:right w:w="20" w:type="dxa"/>
            </w:tcMar>
            <w:vAlign w:val="bottom"/>
            <w:hideMark/>
          </w:tcPr>
          <w:p w14:paraId="4720ABB7" w14:textId="77777777" w:rsidR="00000000" w:rsidRDefault="00195E73">
            <w:pPr>
              <w:rPr>
                <w:rFonts w:eastAsia="Times New Roman"/>
              </w:rPr>
            </w:pPr>
            <w:r>
              <w:rPr>
                <w:rFonts w:eastAsia="Times New Roman"/>
                <w:color w:val="000000"/>
                <w:sz w:val="18"/>
                <w:szCs w:val="18"/>
              </w:rPr>
              <w:t>Foreign exchang</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14:paraId="4B686A7D"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FCA2389"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CCEEFF"/>
            <w:tcMar>
              <w:top w:w="15" w:type="dxa"/>
              <w:left w:w="20" w:type="dxa"/>
              <w:bottom w:w="15" w:type="dxa"/>
              <w:right w:w="0" w:type="dxa"/>
            </w:tcMar>
            <w:vAlign w:val="bottom"/>
            <w:hideMark/>
          </w:tcPr>
          <w:p w14:paraId="08C22EB7"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1C86E458"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F2D0D7"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742D63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A21F86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42F56F"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7CE8CC0"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CCEEFF"/>
            <w:tcMar>
              <w:top w:w="15" w:type="dxa"/>
              <w:left w:w="20" w:type="dxa"/>
              <w:bottom w:w="15" w:type="dxa"/>
              <w:right w:w="0" w:type="dxa"/>
            </w:tcMar>
            <w:vAlign w:val="bottom"/>
            <w:hideMark/>
          </w:tcPr>
          <w:p w14:paraId="39FA6B08"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56E8DE1B"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9DA799"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13360B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B13096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5D8179"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23CE7EF"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159A81A9" w14:textId="77777777" w:rsidR="00000000" w:rsidRDefault="00195E73">
            <w:pPr>
              <w:rPr>
                <w:rFonts w:eastAsia="Times New Roman"/>
                <w:sz w:val="20"/>
                <w:szCs w:val="20"/>
              </w:rPr>
            </w:pPr>
          </w:p>
        </w:tc>
        <w:tc>
          <w:tcPr>
            <w:tcW w:w="0" w:type="auto"/>
            <w:vAlign w:val="center"/>
            <w:hideMark/>
          </w:tcPr>
          <w:p w14:paraId="636CEEF5" w14:textId="77777777" w:rsidR="00000000" w:rsidRDefault="00195E73">
            <w:pPr>
              <w:rPr>
                <w:rFonts w:eastAsia="Times New Roman"/>
                <w:sz w:val="20"/>
                <w:szCs w:val="20"/>
              </w:rPr>
            </w:pPr>
          </w:p>
        </w:tc>
        <w:tc>
          <w:tcPr>
            <w:tcW w:w="0" w:type="auto"/>
            <w:vAlign w:val="center"/>
            <w:hideMark/>
          </w:tcPr>
          <w:p w14:paraId="6518208B" w14:textId="77777777" w:rsidR="00000000" w:rsidRDefault="00195E73">
            <w:pPr>
              <w:rPr>
                <w:rFonts w:eastAsia="Times New Roman"/>
                <w:sz w:val="20"/>
                <w:szCs w:val="20"/>
              </w:rPr>
            </w:pPr>
          </w:p>
        </w:tc>
        <w:tc>
          <w:tcPr>
            <w:tcW w:w="0" w:type="auto"/>
            <w:vAlign w:val="center"/>
            <w:hideMark/>
          </w:tcPr>
          <w:p w14:paraId="69A551C8" w14:textId="77777777" w:rsidR="00000000" w:rsidRDefault="00195E73">
            <w:pPr>
              <w:rPr>
                <w:rFonts w:eastAsia="Times New Roman"/>
                <w:sz w:val="20"/>
                <w:szCs w:val="20"/>
              </w:rPr>
            </w:pPr>
          </w:p>
        </w:tc>
        <w:tc>
          <w:tcPr>
            <w:tcW w:w="0" w:type="auto"/>
            <w:vAlign w:val="center"/>
            <w:hideMark/>
          </w:tcPr>
          <w:p w14:paraId="063F44F8" w14:textId="77777777" w:rsidR="00000000" w:rsidRDefault="00195E73">
            <w:pPr>
              <w:rPr>
                <w:rFonts w:eastAsia="Times New Roman"/>
                <w:sz w:val="20"/>
                <w:szCs w:val="20"/>
              </w:rPr>
            </w:pPr>
          </w:p>
        </w:tc>
        <w:tc>
          <w:tcPr>
            <w:tcW w:w="0" w:type="auto"/>
            <w:vAlign w:val="center"/>
            <w:hideMark/>
          </w:tcPr>
          <w:p w14:paraId="4445935E" w14:textId="77777777" w:rsidR="00000000" w:rsidRDefault="00195E73">
            <w:pPr>
              <w:rPr>
                <w:rFonts w:eastAsia="Times New Roman"/>
                <w:sz w:val="20"/>
                <w:szCs w:val="20"/>
              </w:rPr>
            </w:pPr>
          </w:p>
        </w:tc>
        <w:tc>
          <w:tcPr>
            <w:tcW w:w="0" w:type="auto"/>
            <w:vAlign w:val="center"/>
            <w:hideMark/>
          </w:tcPr>
          <w:p w14:paraId="3C335C9C" w14:textId="77777777" w:rsidR="00000000" w:rsidRDefault="00195E73">
            <w:pPr>
              <w:rPr>
                <w:rFonts w:eastAsia="Times New Roman"/>
                <w:sz w:val="20"/>
                <w:szCs w:val="20"/>
              </w:rPr>
            </w:pPr>
          </w:p>
        </w:tc>
        <w:tc>
          <w:tcPr>
            <w:tcW w:w="0" w:type="auto"/>
            <w:vAlign w:val="center"/>
            <w:hideMark/>
          </w:tcPr>
          <w:p w14:paraId="19748FE3" w14:textId="77777777" w:rsidR="00000000" w:rsidRDefault="00195E73">
            <w:pPr>
              <w:rPr>
                <w:rFonts w:eastAsia="Times New Roman"/>
                <w:sz w:val="20"/>
                <w:szCs w:val="20"/>
              </w:rPr>
            </w:pPr>
          </w:p>
        </w:tc>
        <w:tc>
          <w:tcPr>
            <w:tcW w:w="0" w:type="auto"/>
            <w:vAlign w:val="center"/>
            <w:hideMark/>
          </w:tcPr>
          <w:p w14:paraId="27C0A852" w14:textId="77777777" w:rsidR="00000000" w:rsidRDefault="00195E73">
            <w:pPr>
              <w:rPr>
                <w:rFonts w:eastAsia="Times New Roman"/>
                <w:sz w:val="20"/>
                <w:szCs w:val="20"/>
              </w:rPr>
            </w:pPr>
          </w:p>
        </w:tc>
        <w:tc>
          <w:tcPr>
            <w:tcW w:w="0" w:type="auto"/>
            <w:vAlign w:val="center"/>
            <w:hideMark/>
          </w:tcPr>
          <w:p w14:paraId="250615C0" w14:textId="77777777" w:rsidR="00000000" w:rsidRDefault="00195E73">
            <w:pPr>
              <w:rPr>
                <w:rFonts w:eastAsia="Times New Roman"/>
                <w:sz w:val="20"/>
                <w:szCs w:val="20"/>
              </w:rPr>
            </w:pPr>
          </w:p>
        </w:tc>
        <w:tc>
          <w:tcPr>
            <w:tcW w:w="0" w:type="auto"/>
            <w:vAlign w:val="center"/>
            <w:hideMark/>
          </w:tcPr>
          <w:p w14:paraId="757D36EC" w14:textId="77777777" w:rsidR="00000000" w:rsidRDefault="00195E73">
            <w:pPr>
              <w:rPr>
                <w:rFonts w:eastAsia="Times New Roman"/>
                <w:sz w:val="20"/>
                <w:szCs w:val="20"/>
              </w:rPr>
            </w:pPr>
          </w:p>
        </w:tc>
        <w:tc>
          <w:tcPr>
            <w:tcW w:w="0" w:type="auto"/>
            <w:vAlign w:val="center"/>
            <w:hideMark/>
          </w:tcPr>
          <w:p w14:paraId="5FB0E335" w14:textId="77777777" w:rsidR="00000000" w:rsidRDefault="00195E73">
            <w:pPr>
              <w:rPr>
                <w:rFonts w:eastAsia="Times New Roman"/>
                <w:sz w:val="20"/>
                <w:szCs w:val="20"/>
              </w:rPr>
            </w:pPr>
          </w:p>
        </w:tc>
        <w:tc>
          <w:tcPr>
            <w:tcW w:w="0" w:type="auto"/>
            <w:vAlign w:val="center"/>
            <w:hideMark/>
          </w:tcPr>
          <w:p w14:paraId="2009629D" w14:textId="77777777" w:rsidR="00000000" w:rsidRDefault="00195E73">
            <w:pPr>
              <w:rPr>
                <w:rFonts w:eastAsia="Times New Roman"/>
                <w:sz w:val="20"/>
                <w:szCs w:val="20"/>
              </w:rPr>
            </w:pPr>
          </w:p>
        </w:tc>
        <w:tc>
          <w:tcPr>
            <w:tcW w:w="0" w:type="auto"/>
            <w:vAlign w:val="center"/>
            <w:hideMark/>
          </w:tcPr>
          <w:p w14:paraId="2318EC44" w14:textId="77777777" w:rsidR="00000000" w:rsidRDefault="00195E73">
            <w:pPr>
              <w:rPr>
                <w:rFonts w:eastAsia="Times New Roman"/>
                <w:sz w:val="20"/>
                <w:szCs w:val="20"/>
              </w:rPr>
            </w:pPr>
          </w:p>
        </w:tc>
        <w:tc>
          <w:tcPr>
            <w:tcW w:w="0" w:type="auto"/>
            <w:vAlign w:val="center"/>
            <w:hideMark/>
          </w:tcPr>
          <w:p w14:paraId="0E2CAE45" w14:textId="77777777" w:rsidR="00000000" w:rsidRDefault="00195E73">
            <w:pPr>
              <w:rPr>
                <w:rFonts w:eastAsia="Times New Roman"/>
                <w:sz w:val="20"/>
                <w:szCs w:val="20"/>
              </w:rPr>
            </w:pPr>
          </w:p>
        </w:tc>
        <w:tc>
          <w:tcPr>
            <w:tcW w:w="0" w:type="auto"/>
            <w:vAlign w:val="center"/>
            <w:hideMark/>
          </w:tcPr>
          <w:p w14:paraId="63263E11" w14:textId="77777777" w:rsidR="00000000" w:rsidRDefault="00195E73">
            <w:pPr>
              <w:rPr>
                <w:rFonts w:eastAsia="Times New Roman"/>
                <w:sz w:val="20"/>
                <w:szCs w:val="20"/>
              </w:rPr>
            </w:pPr>
          </w:p>
        </w:tc>
        <w:tc>
          <w:tcPr>
            <w:tcW w:w="0" w:type="auto"/>
            <w:vAlign w:val="center"/>
            <w:hideMark/>
          </w:tcPr>
          <w:p w14:paraId="4D280A6F" w14:textId="77777777" w:rsidR="00000000" w:rsidRDefault="00195E73">
            <w:pPr>
              <w:rPr>
                <w:rFonts w:eastAsia="Times New Roman"/>
                <w:sz w:val="20"/>
                <w:szCs w:val="20"/>
              </w:rPr>
            </w:pPr>
          </w:p>
        </w:tc>
        <w:tc>
          <w:tcPr>
            <w:tcW w:w="0" w:type="auto"/>
            <w:vAlign w:val="center"/>
            <w:hideMark/>
          </w:tcPr>
          <w:p w14:paraId="1425329F" w14:textId="77777777" w:rsidR="00000000" w:rsidRDefault="00195E73">
            <w:pPr>
              <w:rPr>
                <w:rFonts w:eastAsia="Times New Roman"/>
                <w:sz w:val="20"/>
                <w:szCs w:val="20"/>
              </w:rPr>
            </w:pPr>
          </w:p>
        </w:tc>
        <w:tc>
          <w:tcPr>
            <w:tcW w:w="0" w:type="auto"/>
            <w:vAlign w:val="center"/>
            <w:hideMark/>
          </w:tcPr>
          <w:p w14:paraId="7213BF9F" w14:textId="77777777" w:rsidR="00000000" w:rsidRDefault="00195E73">
            <w:pPr>
              <w:rPr>
                <w:rFonts w:eastAsia="Times New Roman"/>
                <w:sz w:val="20"/>
                <w:szCs w:val="20"/>
              </w:rPr>
            </w:pPr>
          </w:p>
        </w:tc>
        <w:tc>
          <w:tcPr>
            <w:tcW w:w="0" w:type="auto"/>
            <w:vAlign w:val="center"/>
            <w:hideMark/>
          </w:tcPr>
          <w:p w14:paraId="7AAB2A00" w14:textId="77777777" w:rsidR="00000000" w:rsidRDefault="00195E73">
            <w:pPr>
              <w:rPr>
                <w:rFonts w:eastAsia="Times New Roman"/>
                <w:sz w:val="20"/>
                <w:szCs w:val="20"/>
              </w:rPr>
            </w:pPr>
          </w:p>
        </w:tc>
        <w:tc>
          <w:tcPr>
            <w:tcW w:w="0" w:type="auto"/>
            <w:vAlign w:val="center"/>
            <w:hideMark/>
          </w:tcPr>
          <w:p w14:paraId="137729EE" w14:textId="77777777" w:rsidR="00000000" w:rsidRDefault="00195E73">
            <w:pPr>
              <w:rPr>
                <w:rFonts w:eastAsia="Times New Roman"/>
                <w:sz w:val="20"/>
                <w:szCs w:val="20"/>
              </w:rPr>
            </w:pPr>
          </w:p>
        </w:tc>
        <w:tc>
          <w:tcPr>
            <w:tcW w:w="0" w:type="auto"/>
            <w:vAlign w:val="center"/>
            <w:hideMark/>
          </w:tcPr>
          <w:p w14:paraId="5D90408A" w14:textId="77777777" w:rsidR="00000000" w:rsidRDefault="00195E73">
            <w:pPr>
              <w:rPr>
                <w:rFonts w:eastAsia="Times New Roman"/>
                <w:sz w:val="20"/>
                <w:szCs w:val="20"/>
              </w:rPr>
            </w:pPr>
          </w:p>
        </w:tc>
        <w:tc>
          <w:tcPr>
            <w:tcW w:w="0" w:type="auto"/>
            <w:vAlign w:val="center"/>
            <w:hideMark/>
          </w:tcPr>
          <w:p w14:paraId="0208C700" w14:textId="77777777" w:rsidR="00000000" w:rsidRDefault="00195E73">
            <w:pPr>
              <w:rPr>
                <w:rFonts w:eastAsia="Times New Roman"/>
                <w:sz w:val="20"/>
                <w:szCs w:val="20"/>
              </w:rPr>
            </w:pPr>
          </w:p>
        </w:tc>
        <w:tc>
          <w:tcPr>
            <w:tcW w:w="0" w:type="auto"/>
            <w:vAlign w:val="center"/>
            <w:hideMark/>
          </w:tcPr>
          <w:p w14:paraId="25C70ED0" w14:textId="77777777" w:rsidR="00000000" w:rsidRDefault="00195E73">
            <w:pPr>
              <w:rPr>
                <w:rFonts w:eastAsia="Times New Roman"/>
                <w:sz w:val="20"/>
                <w:szCs w:val="20"/>
              </w:rPr>
            </w:pPr>
          </w:p>
        </w:tc>
      </w:tr>
      <w:tr w:rsidR="00000000" w14:paraId="3463ADA7" w14:textId="77777777">
        <w:trPr>
          <w:divId w:val="1839031348"/>
          <w:jc w:val="center"/>
        </w:trPr>
        <w:tc>
          <w:tcPr>
            <w:tcW w:w="0" w:type="auto"/>
            <w:gridSpan w:val="3"/>
            <w:shd w:val="clear" w:color="auto" w:fill="FFFFFF"/>
            <w:tcMar>
              <w:top w:w="30" w:type="dxa"/>
              <w:left w:w="20" w:type="dxa"/>
              <w:bottom w:w="30" w:type="dxa"/>
              <w:right w:w="20" w:type="dxa"/>
            </w:tcMar>
            <w:vAlign w:val="bottom"/>
            <w:hideMark/>
          </w:tcPr>
          <w:p w14:paraId="0FEEAFD5" w14:textId="77777777" w:rsidR="00000000" w:rsidRDefault="00195E73">
            <w:pPr>
              <w:ind w:hanging="90"/>
              <w:divId w:val="1491676496"/>
              <w:rPr>
                <w:rFonts w:eastAsia="Times New Roman"/>
              </w:rPr>
            </w:pPr>
            <w:r>
              <w:rPr>
                <w:rFonts w:eastAsia="Times New Roman"/>
                <w:color w:val="000000"/>
                <w:sz w:val="18"/>
                <w:szCs w:val="18"/>
              </w:rPr>
              <w:t>Gross carrying amount, Dec 3</w:t>
            </w:r>
            <w:r>
              <w:rPr>
                <w:rFonts w:eastAsia="Times New Roman"/>
                <w:color w:val="000000"/>
                <w:sz w:val="18"/>
                <w:szCs w:val="18"/>
              </w:rPr>
              <w:t>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DC487B" w14:textId="77777777" w:rsidR="00000000" w:rsidRDefault="00195E73">
            <w:pPr>
              <w:jc w:val="right"/>
              <w:rPr>
                <w:rFonts w:eastAsia="Times New Roman"/>
              </w:rPr>
            </w:pPr>
            <w:r>
              <w:rPr>
                <w:rFonts w:eastAsia="Times New Roman"/>
                <w:color w:val="000000"/>
                <w:sz w:val="18"/>
                <w:szCs w:val="18"/>
              </w:rPr>
              <w:t>336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7D5892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5FC4BC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F4EA1D" w14:textId="77777777" w:rsidR="00000000" w:rsidRDefault="00195E73">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C630E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E4FDE7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178547" w14:textId="77777777" w:rsidR="00000000" w:rsidRDefault="00195E73">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660D82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C50FE1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30EC2E" w14:textId="77777777" w:rsidR="00000000" w:rsidRDefault="00195E73">
            <w:pPr>
              <w:jc w:val="right"/>
              <w:rPr>
                <w:rFonts w:eastAsia="Times New Roman"/>
              </w:rPr>
            </w:pPr>
            <w:r>
              <w:rPr>
                <w:rFonts w:eastAsia="Times New Roman"/>
                <w:color w:val="000000"/>
                <w:sz w:val="18"/>
                <w:szCs w:val="18"/>
              </w:rPr>
              <w:t>23</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1E19E8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78B06E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9449F7" w14:textId="77777777" w:rsidR="00000000" w:rsidRDefault="00195E73">
            <w:pPr>
              <w:jc w:val="right"/>
              <w:rPr>
                <w:rFonts w:eastAsia="Times New Roman"/>
              </w:rPr>
            </w:pPr>
            <w:r>
              <w:rPr>
                <w:rFonts w:eastAsia="Times New Roman"/>
                <w:color w:val="000000"/>
                <w:sz w:val="18"/>
                <w:szCs w:val="18"/>
              </w:rPr>
              <w:t>369</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2E69394"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62B83834" w14:textId="77777777" w:rsidR="00000000" w:rsidRDefault="00195E73">
            <w:pPr>
              <w:rPr>
                <w:rFonts w:eastAsia="Times New Roman"/>
                <w:sz w:val="20"/>
                <w:szCs w:val="20"/>
              </w:rPr>
            </w:pPr>
          </w:p>
        </w:tc>
        <w:tc>
          <w:tcPr>
            <w:tcW w:w="0" w:type="auto"/>
            <w:vAlign w:val="center"/>
            <w:hideMark/>
          </w:tcPr>
          <w:p w14:paraId="50511FDF" w14:textId="77777777" w:rsidR="00000000" w:rsidRDefault="00195E73">
            <w:pPr>
              <w:rPr>
                <w:rFonts w:eastAsia="Times New Roman"/>
                <w:sz w:val="20"/>
                <w:szCs w:val="20"/>
              </w:rPr>
            </w:pPr>
          </w:p>
        </w:tc>
        <w:tc>
          <w:tcPr>
            <w:tcW w:w="0" w:type="auto"/>
            <w:vAlign w:val="center"/>
            <w:hideMark/>
          </w:tcPr>
          <w:p w14:paraId="53409DF4" w14:textId="77777777" w:rsidR="00000000" w:rsidRDefault="00195E73">
            <w:pPr>
              <w:rPr>
                <w:rFonts w:eastAsia="Times New Roman"/>
                <w:sz w:val="20"/>
                <w:szCs w:val="20"/>
              </w:rPr>
            </w:pPr>
          </w:p>
        </w:tc>
        <w:tc>
          <w:tcPr>
            <w:tcW w:w="0" w:type="auto"/>
            <w:vAlign w:val="center"/>
            <w:hideMark/>
          </w:tcPr>
          <w:p w14:paraId="70F881B7" w14:textId="77777777" w:rsidR="00000000" w:rsidRDefault="00195E73">
            <w:pPr>
              <w:rPr>
                <w:rFonts w:eastAsia="Times New Roman"/>
                <w:sz w:val="20"/>
                <w:szCs w:val="20"/>
              </w:rPr>
            </w:pPr>
          </w:p>
        </w:tc>
        <w:tc>
          <w:tcPr>
            <w:tcW w:w="0" w:type="auto"/>
            <w:vAlign w:val="center"/>
            <w:hideMark/>
          </w:tcPr>
          <w:p w14:paraId="08952ECA" w14:textId="77777777" w:rsidR="00000000" w:rsidRDefault="00195E73">
            <w:pPr>
              <w:rPr>
                <w:rFonts w:eastAsia="Times New Roman"/>
                <w:sz w:val="20"/>
                <w:szCs w:val="20"/>
              </w:rPr>
            </w:pPr>
          </w:p>
        </w:tc>
        <w:tc>
          <w:tcPr>
            <w:tcW w:w="0" w:type="auto"/>
            <w:vAlign w:val="center"/>
            <w:hideMark/>
          </w:tcPr>
          <w:p w14:paraId="5E309EAC" w14:textId="77777777" w:rsidR="00000000" w:rsidRDefault="00195E73">
            <w:pPr>
              <w:rPr>
                <w:rFonts w:eastAsia="Times New Roman"/>
                <w:sz w:val="20"/>
                <w:szCs w:val="20"/>
              </w:rPr>
            </w:pPr>
          </w:p>
        </w:tc>
        <w:tc>
          <w:tcPr>
            <w:tcW w:w="0" w:type="auto"/>
            <w:vAlign w:val="center"/>
            <w:hideMark/>
          </w:tcPr>
          <w:p w14:paraId="0A441B88" w14:textId="77777777" w:rsidR="00000000" w:rsidRDefault="00195E73">
            <w:pPr>
              <w:rPr>
                <w:rFonts w:eastAsia="Times New Roman"/>
                <w:sz w:val="20"/>
                <w:szCs w:val="20"/>
              </w:rPr>
            </w:pPr>
          </w:p>
        </w:tc>
        <w:tc>
          <w:tcPr>
            <w:tcW w:w="0" w:type="auto"/>
            <w:vAlign w:val="center"/>
            <w:hideMark/>
          </w:tcPr>
          <w:p w14:paraId="71E0EB39" w14:textId="77777777" w:rsidR="00000000" w:rsidRDefault="00195E73">
            <w:pPr>
              <w:rPr>
                <w:rFonts w:eastAsia="Times New Roman"/>
                <w:sz w:val="20"/>
                <w:szCs w:val="20"/>
              </w:rPr>
            </w:pPr>
          </w:p>
        </w:tc>
        <w:tc>
          <w:tcPr>
            <w:tcW w:w="0" w:type="auto"/>
            <w:vAlign w:val="center"/>
            <w:hideMark/>
          </w:tcPr>
          <w:p w14:paraId="5CACDA19" w14:textId="77777777" w:rsidR="00000000" w:rsidRDefault="00195E73">
            <w:pPr>
              <w:rPr>
                <w:rFonts w:eastAsia="Times New Roman"/>
                <w:sz w:val="20"/>
                <w:szCs w:val="20"/>
              </w:rPr>
            </w:pPr>
          </w:p>
        </w:tc>
        <w:tc>
          <w:tcPr>
            <w:tcW w:w="0" w:type="auto"/>
            <w:vAlign w:val="center"/>
            <w:hideMark/>
          </w:tcPr>
          <w:p w14:paraId="6E37DC9A" w14:textId="77777777" w:rsidR="00000000" w:rsidRDefault="00195E73">
            <w:pPr>
              <w:rPr>
                <w:rFonts w:eastAsia="Times New Roman"/>
                <w:sz w:val="20"/>
                <w:szCs w:val="20"/>
              </w:rPr>
            </w:pPr>
          </w:p>
        </w:tc>
        <w:tc>
          <w:tcPr>
            <w:tcW w:w="0" w:type="auto"/>
            <w:vAlign w:val="center"/>
            <w:hideMark/>
          </w:tcPr>
          <w:p w14:paraId="7016F2E2" w14:textId="77777777" w:rsidR="00000000" w:rsidRDefault="00195E73">
            <w:pPr>
              <w:rPr>
                <w:rFonts w:eastAsia="Times New Roman"/>
                <w:sz w:val="20"/>
                <w:szCs w:val="20"/>
              </w:rPr>
            </w:pPr>
          </w:p>
        </w:tc>
        <w:tc>
          <w:tcPr>
            <w:tcW w:w="0" w:type="auto"/>
            <w:vAlign w:val="center"/>
            <w:hideMark/>
          </w:tcPr>
          <w:p w14:paraId="3B70BA85" w14:textId="77777777" w:rsidR="00000000" w:rsidRDefault="00195E73">
            <w:pPr>
              <w:rPr>
                <w:rFonts w:eastAsia="Times New Roman"/>
                <w:sz w:val="20"/>
                <w:szCs w:val="20"/>
              </w:rPr>
            </w:pPr>
          </w:p>
        </w:tc>
        <w:tc>
          <w:tcPr>
            <w:tcW w:w="0" w:type="auto"/>
            <w:vAlign w:val="center"/>
            <w:hideMark/>
          </w:tcPr>
          <w:p w14:paraId="6EB041E0" w14:textId="77777777" w:rsidR="00000000" w:rsidRDefault="00195E73">
            <w:pPr>
              <w:rPr>
                <w:rFonts w:eastAsia="Times New Roman"/>
                <w:sz w:val="20"/>
                <w:szCs w:val="20"/>
              </w:rPr>
            </w:pPr>
          </w:p>
        </w:tc>
        <w:tc>
          <w:tcPr>
            <w:tcW w:w="0" w:type="auto"/>
            <w:vAlign w:val="center"/>
            <w:hideMark/>
          </w:tcPr>
          <w:p w14:paraId="7ADC2C1A" w14:textId="77777777" w:rsidR="00000000" w:rsidRDefault="00195E73">
            <w:pPr>
              <w:rPr>
                <w:rFonts w:eastAsia="Times New Roman"/>
                <w:sz w:val="20"/>
                <w:szCs w:val="20"/>
              </w:rPr>
            </w:pPr>
          </w:p>
        </w:tc>
        <w:tc>
          <w:tcPr>
            <w:tcW w:w="0" w:type="auto"/>
            <w:vAlign w:val="center"/>
            <w:hideMark/>
          </w:tcPr>
          <w:p w14:paraId="6B94D9DA" w14:textId="77777777" w:rsidR="00000000" w:rsidRDefault="00195E73">
            <w:pPr>
              <w:rPr>
                <w:rFonts w:eastAsia="Times New Roman"/>
                <w:sz w:val="20"/>
                <w:szCs w:val="20"/>
              </w:rPr>
            </w:pPr>
          </w:p>
        </w:tc>
        <w:tc>
          <w:tcPr>
            <w:tcW w:w="0" w:type="auto"/>
            <w:vAlign w:val="center"/>
            <w:hideMark/>
          </w:tcPr>
          <w:p w14:paraId="48767C80" w14:textId="77777777" w:rsidR="00000000" w:rsidRDefault="00195E73">
            <w:pPr>
              <w:rPr>
                <w:rFonts w:eastAsia="Times New Roman"/>
                <w:sz w:val="20"/>
                <w:szCs w:val="20"/>
              </w:rPr>
            </w:pPr>
          </w:p>
        </w:tc>
        <w:tc>
          <w:tcPr>
            <w:tcW w:w="0" w:type="auto"/>
            <w:vAlign w:val="center"/>
            <w:hideMark/>
          </w:tcPr>
          <w:p w14:paraId="04932188" w14:textId="77777777" w:rsidR="00000000" w:rsidRDefault="00195E73">
            <w:pPr>
              <w:rPr>
                <w:rFonts w:eastAsia="Times New Roman"/>
                <w:sz w:val="20"/>
                <w:szCs w:val="20"/>
              </w:rPr>
            </w:pPr>
          </w:p>
        </w:tc>
        <w:tc>
          <w:tcPr>
            <w:tcW w:w="0" w:type="auto"/>
            <w:vAlign w:val="center"/>
            <w:hideMark/>
          </w:tcPr>
          <w:p w14:paraId="1B7A0885" w14:textId="77777777" w:rsidR="00000000" w:rsidRDefault="00195E73">
            <w:pPr>
              <w:rPr>
                <w:rFonts w:eastAsia="Times New Roman"/>
                <w:sz w:val="20"/>
                <w:szCs w:val="20"/>
              </w:rPr>
            </w:pPr>
          </w:p>
        </w:tc>
        <w:tc>
          <w:tcPr>
            <w:tcW w:w="0" w:type="auto"/>
            <w:vAlign w:val="center"/>
            <w:hideMark/>
          </w:tcPr>
          <w:p w14:paraId="33A58CF1" w14:textId="77777777" w:rsidR="00000000" w:rsidRDefault="00195E73">
            <w:pPr>
              <w:rPr>
                <w:rFonts w:eastAsia="Times New Roman"/>
                <w:sz w:val="20"/>
                <w:szCs w:val="20"/>
              </w:rPr>
            </w:pPr>
          </w:p>
        </w:tc>
        <w:tc>
          <w:tcPr>
            <w:tcW w:w="0" w:type="auto"/>
            <w:vAlign w:val="center"/>
            <w:hideMark/>
          </w:tcPr>
          <w:p w14:paraId="711CBCFC" w14:textId="77777777" w:rsidR="00000000" w:rsidRDefault="00195E73">
            <w:pPr>
              <w:rPr>
                <w:rFonts w:eastAsia="Times New Roman"/>
                <w:sz w:val="20"/>
                <w:szCs w:val="20"/>
              </w:rPr>
            </w:pPr>
          </w:p>
        </w:tc>
        <w:tc>
          <w:tcPr>
            <w:tcW w:w="0" w:type="auto"/>
            <w:vAlign w:val="center"/>
            <w:hideMark/>
          </w:tcPr>
          <w:p w14:paraId="768AFBAA" w14:textId="77777777" w:rsidR="00000000" w:rsidRDefault="00195E73">
            <w:pPr>
              <w:rPr>
                <w:rFonts w:eastAsia="Times New Roman"/>
                <w:sz w:val="20"/>
                <w:szCs w:val="20"/>
              </w:rPr>
            </w:pPr>
          </w:p>
        </w:tc>
        <w:tc>
          <w:tcPr>
            <w:tcW w:w="0" w:type="auto"/>
            <w:vAlign w:val="center"/>
            <w:hideMark/>
          </w:tcPr>
          <w:p w14:paraId="4CE5AD28" w14:textId="77777777" w:rsidR="00000000" w:rsidRDefault="00195E73">
            <w:pPr>
              <w:rPr>
                <w:rFonts w:eastAsia="Times New Roman"/>
                <w:sz w:val="20"/>
                <w:szCs w:val="20"/>
              </w:rPr>
            </w:pPr>
          </w:p>
        </w:tc>
        <w:tc>
          <w:tcPr>
            <w:tcW w:w="0" w:type="auto"/>
            <w:vAlign w:val="center"/>
            <w:hideMark/>
          </w:tcPr>
          <w:p w14:paraId="2230AFE0" w14:textId="77777777" w:rsidR="00000000" w:rsidRDefault="00195E73">
            <w:pPr>
              <w:rPr>
                <w:rFonts w:eastAsia="Times New Roman"/>
                <w:sz w:val="20"/>
                <w:szCs w:val="20"/>
              </w:rPr>
            </w:pPr>
          </w:p>
        </w:tc>
        <w:tc>
          <w:tcPr>
            <w:tcW w:w="0" w:type="auto"/>
            <w:vAlign w:val="center"/>
            <w:hideMark/>
          </w:tcPr>
          <w:p w14:paraId="40D7DDC5" w14:textId="77777777" w:rsidR="00000000" w:rsidRDefault="00195E73">
            <w:pPr>
              <w:rPr>
                <w:rFonts w:eastAsia="Times New Roman"/>
                <w:sz w:val="20"/>
                <w:szCs w:val="20"/>
              </w:rPr>
            </w:pPr>
          </w:p>
        </w:tc>
      </w:tr>
      <w:tr w:rsidR="00000000" w14:paraId="30897963" w14:textId="77777777">
        <w:trPr>
          <w:divId w:val="1839031348"/>
          <w:trHeight w:val="240"/>
          <w:jc w:val="center"/>
        </w:trPr>
        <w:tc>
          <w:tcPr>
            <w:tcW w:w="0" w:type="auto"/>
            <w:gridSpan w:val="3"/>
            <w:shd w:val="clear" w:color="auto" w:fill="CCEEFF"/>
            <w:tcMar>
              <w:top w:w="15" w:type="dxa"/>
              <w:left w:w="20" w:type="dxa"/>
              <w:bottom w:w="15" w:type="dxa"/>
              <w:right w:w="20" w:type="dxa"/>
            </w:tcMar>
            <w:vAlign w:val="bottom"/>
            <w:hideMark/>
          </w:tcPr>
          <w:p w14:paraId="6F09A666" w14:textId="77777777" w:rsidR="00000000" w:rsidRDefault="00195E73">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04182E0"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C46B3E6"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F70674E"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637F2A1"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B63D56B"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FFF35EC"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0CC48697"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A6BF8E3"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B3818D8" w14:textId="77777777" w:rsidR="00000000" w:rsidRDefault="00195E73">
            <w:pPr>
              <w:rPr>
                <w:rFonts w:eastAsia="Times New Roman"/>
                <w:sz w:val="20"/>
                <w:szCs w:val="20"/>
              </w:rPr>
            </w:pPr>
          </w:p>
        </w:tc>
        <w:tc>
          <w:tcPr>
            <w:tcW w:w="0" w:type="auto"/>
            <w:vAlign w:val="center"/>
            <w:hideMark/>
          </w:tcPr>
          <w:p w14:paraId="421E0464" w14:textId="77777777" w:rsidR="00000000" w:rsidRDefault="00195E73">
            <w:pPr>
              <w:rPr>
                <w:rFonts w:eastAsia="Times New Roman"/>
                <w:sz w:val="20"/>
                <w:szCs w:val="20"/>
              </w:rPr>
            </w:pPr>
          </w:p>
        </w:tc>
        <w:tc>
          <w:tcPr>
            <w:tcW w:w="0" w:type="auto"/>
            <w:vAlign w:val="center"/>
            <w:hideMark/>
          </w:tcPr>
          <w:p w14:paraId="149B35B7" w14:textId="77777777" w:rsidR="00000000" w:rsidRDefault="00195E73">
            <w:pPr>
              <w:rPr>
                <w:rFonts w:eastAsia="Times New Roman"/>
                <w:sz w:val="20"/>
                <w:szCs w:val="20"/>
              </w:rPr>
            </w:pPr>
          </w:p>
        </w:tc>
        <w:tc>
          <w:tcPr>
            <w:tcW w:w="0" w:type="auto"/>
            <w:vAlign w:val="center"/>
            <w:hideMark/>
          </w:tcPr>
          <w:p w14:paraId="2168689A" w14:textId="77777777" w:rsidR="00000000" w:rsidRDefault="00195E73">
            <w:pPr>
              <w:rPr>
                <w:rFonts w:eastAsia="Times New Roman"/>
                <w:sz w:val="20"/>
                <w:szCs w:val="20"/>
              </w:rPr>
            </w:pPr>
          </w:p>
        </w:tc>
        <w:tc>
          <w:tcPr>
            <w:tcW w:w="0" w:type="auto"/>
            <w:vAlign w:val="center"/>
            <w:hideMark/>
          </w:tcPr>
          <w:p w14:paraId="3D819B7C" w14:textId="77777777" w:rsidR="00000000" w:rsidRDefault="00195E73">
            <w:pPr>
              <w:rPr>
                <w:rFonts w:eastAsia="Times New Roman"/>
                <w:sz w:val="20"/>
                <w:szCs w:val="20"/>
              </w:rPr>
            </w:pPr>
          </w:p>
        </w:tc>
        <w:tc>
          <w:tcPr>
            <w:tcW w:w="0" w:type="auto"/>
            <w:vAlign w:val="center"/>
            <w:hideMark/>
          </w:tcPr>
          <w:p w14:paraId="3036BF16" w14:textId="77777777" w:rsidR="00000000" w:rsidRDefault="00195E73">
            <w:pPr>
              <w:rPr>
                <w:rFonts w:eastAsia="Times New Roman"/>
                <w:sz w:val="20"/>
                <w:szCs w:val="20"/>
              </w:rPr>
            </w:pPr>
          </w:p>
        </w:tc>
        <w:tc>
          <w:tcPr>
            <w:tcW w:w="0" w:type="auto"/>
            <w:vAlign w:val="center"/>
            <w:hideMark/>
          </w:tcPr>
          <w:p w14:paraId="3F4D7D11" w14:textId="77777777" w:rsidR="00000000" w:rsidRDefault="00195E73">
            <w:pPr>
              <w:rPr>
                <w:rFonts w:eastAsia="Times New Roman"/>
                <w:sz w:val="20"/>
                <w:szCs w:val="20"/>
              </w:rPr>
            </w:pPr>
          </w:p>
        </w:tc>
        <w:tc>
          <w:tcPr>
            <w:tcW w:w="0" w:type="auto"/>
            <w:vAlign w:val="center"/>
            <w:hideMark/>
          </w:tcPr>
          <w:p w14:paraId="1AC3D95C" w14:textId="77777777" w:rsidR="00000000" w:rsidRDefault="00195E73">
            <w:pPr>
              <w:rPr>
                <w:rFonts w:eastAsia="Times New Roman"/>
                <w:sz w:val="20"/>
                <w:szCs w:val="20"/>
              </w:rPr>
            </w:pPr>
          </w:p>
        </w:tc>
        <w:tc>
          <w:tcPr>
            <w:tcW w:w="0" w:type="auto"/>
            <w:vAlign w:val="center"/>
            <w:hideMark/>
          </w:tcPr>
          <w:p w14:paraId="66764C47" w14:textId="77777777" w:rsidR="00000000" w:rsidRDefault="00195E73">
            <w:pPr>
              <w:rPr>
                <w:rFonts w:eastAsia="Times New Roman"/>
                <w:sz w:val="20"/>
                <w:szCs w:val="20"/>
              </w:rPr>
            </w:pPr>
          </w:p>
        </w:tc>
        <w:tc>
          <w:tcPr>
            <w:tcW w:w="0" w:type="auto"/>
            <w:vAlign w:val="center"/>
            <w:hideMark/>
          </w:tcPr>
          <w:p w14:paraId="63591FED" w14:textId="77777777" w:rsidR="00000000" w:rsidRDefault="00195E73">
            <w:pPr>
              <w:rPr>
                <w:rFonts w:eastAsia="Times New Roman"/>
                <w:sz w:val="20"/>
                <w:szCs w:val="20"/>
              </w:rPr>
            </w:pPr>
          </w:p>
        </w:tc>
        <w:tc>
          <w:tcPr>
            <w:tcW w:w="0" w:type="auto"/>
            <w:vAlign w:val="center"/>
            <w:hideMark/>
          </w:tcPr>
          <w:p w14:paraId="6D2AA2A8" w14:textId="77777777" w:rsidR="00000000" w:rsidRDefault="00195E73">
            <w:pPr>
              <w:rPr>
                <w:rFonts w:eastAsia="Times New Roman"/>
                <w:sz w:val="20"/>
                <w:szCs w:val="20"/>
              </w:rPr>
            </w:pPr>
          </w:p>
        </w:tc>
        <w:tc>
          <w:tcPr>
            <w:tcW w:w="0" w:type="auto"/>
            <w:vAlign w:val="center"/>
            <w:hideMark/>
          </w:tcPr>
          <w:p w14:paraId="17AF05E3" w14:textId="77777777" w:rsidR="00000000" w:rsidRDefault="00195E73">
            <w:pPr>
              <w:rPr>
                <w:rFonts w:eastAsia="Times New Roman"/>
                <w:sz w:val="20"/>
                <w:szCs w:val="20"/>
              </w:rPr>
            </w:pPr>
          </w:p>
        </w:tc>
        <w:tc>
          <w:tcPr>
            <w:tcW w:w="0" w:type="auto"/>
            <w:vAlign w:val="center"/>
            <w:hideMark/>
          </w:tcPr>
          <w:p w14:paraId="30819CDF" w14:textId="77777777" w:rsidR="00000000" w:rsidRDefault="00195E73">
            <w:pPr>
              <w:rPr>
                <w:rFonts w:eastAsia="Times New Roman"/>
                <w:sz w:val="20"/>
                <w:szCs w:val="20"/>
              </w:rPr>
            </w:pPr>
          </w:p>
        </w:tc>
        <w:tc>
          <w:tcPr>
            <w:tcW w:w="0" w:type="auto"/>
            <w:vAlign w:val="center"/>
            <w:hideMark/>
          </w:tcPr>
          <w:p w14:paraId="776BF4D2" w14:textId="77777777" w:rsidR="00000000" w:rsidRDefault="00195E73">
            <w:pPr>
              <w:rPr>
                <w:rFonts w:eastAsia="Times New Roman"/>
                <w:sz w:val="20"/>
                <w:szCs w:val="20"/>
              </w:rPr>
            </w:pPr>
          </w:p>
        </w:tc>
        <w:tc>
          <w:tcPr>
            <w:tcW w:w="0" w:type="auto"/>
            <w:vAlign w:val="center"/>
            <w:hideMark/>
          </w:tcPr>
          <w:p w14:paraId="039C0604" w14:textId="77777777" w:rsidR="00000000" w:rsidRDefault="00195E73">
            <w:pPr>
              <w:rPr>
                <w:rFonts w:eastAsia="Times New Roman"/>
                <w:sz w:val="20"/>
                <w:szCs w:val="20"/>
              </w:rPr>
            </w:pPr>
          </w:p>
        </w:tc>
        <w:tc>
          <w:tcPr>
            <w:tcW w:w="0" w:type="auto"/>
            <w:vAlign w:val="center"/>
            <w:hideMark/>
          </w:tcPr>
          <w:p w14:paraId="139F8652" w14:textId="77777777" w:rsidR="00000000" w:rsidRDefault="00195E73">
            <w:pPr>
              <w:rPr>
                <w:rFonts w:eastAsia="Times New Roman"/>
                <w:sz w:val="20"/>
                <w:szCs w:val="20"/>
              </w:rPr>
            </w:pPr>
          </w:p>
        </w:tc>
        <w:tc>
          <w:tcPr>
            <w:tcW w:w="0" w:type="auto"/>
            <w:vAlign w:val="center"/>
            <w:hideMark/>
          </w:tcPr>
          <w:p w14:paraId="69F0BA79" w14:textId="77777777" w:rsidR="00000000" w:rsidRDefault="00195E73">
            <w:pPr>
              <w:rPr>
                <w:rFonts w:eastAsia="Times New Roman"/>
                <w:sz w:val="20"/>
                <w:szCs w:val="20"/>
              </w:rPr>
            </w:pPr>
          </w:p>
        </w:tc>
        <w:tc>
          <w:tcPr>
            <w:tcW w:w="0" w:type="auto"/>
            <w:vAlign w:val="center"/>
            <w:hideMark/>
          </w:tcPr>
          <w:p w14:paraId="532EA71F" w14:textId="77777777" w:rsidR="00000000" w:rsidRDefault="00195E73">
            <w:pPr>
              <w:rPr>
                <w:rFonts w:eastAsia="Times New Roman"/>
                <w:sz w:val="20"/>
                <w:szCs w:val="20"/>
              </w:rPr>
            </w:pPr>
          </w:p>
        </w:tc>
        <w:tc>
          <w:tcPr>
            <w:tcW w:w="0" w:type="auto"/>
            <w:vAlign w:val="center"/>
            <w:hideMark/>
          </w:tcPr>
          <w:p w14:paraId="3FCE3112" w14:textId="77777777" w:rsidR="00000000" w:rsidRDefault="00195E73">
            <w:pPr>
              <w:rPr>
                <w:rFonts w:eastAsia="Times New Roman"/>
                <w:sz w:val="20"/>
                <w:szCs w:val="20"/>
              </w:rPr>
            </w:pPr>
          </w:p>
        </w:tc>
        <w:tc>
          <w:tcPr>
            <w:tcW w:w="0" w:type="auto"/>
            <w:vAlign w:val="center"/>
            <w:hideMark/>
          </w:tcPr>
          <w:p w14:paraId="643D4D17" w14:textId="77777777" w:rsidR="00000000" w:rsidRDefault="00195E73">
            <w:pPr>
              <w:rPr>
                <w:rFonts w:eastAsia="Times New Roman"/>
                <w:sz w:val="20"/>
                <w:szCs w:val="20"/>
              </w:rPr>
            </w:pPr>
          </w:p>
        </w:tc>
        <w:tc>
          <w:tcPr>
            <w:tcW w:w="0" w:type="auto"/>
            <w:vAlign w:val="center"/>
            <w:hideMark/>
          </w:tcPr>
          <w:p w14:paraId="1EC3451F" w14:textId="77777777" w:rsidR="00000000" w:rsidRDefault="00195E73">
            <w:pPr>
              <w:rPr>
                <w:rFonts w:eastAsia="Times New Roman"/>
                <w:sz w:val="20"/>
                <w:szCs w:val="20"/>
              </w:rPr>
            </w:pPr>
          </w:p>
        </w:tc>
        <w:tc>
          <w:tcPr>
            <w:tcW w:w="0" w:type="auto"/>
            <w:vAlign w:val="center"/>
            <w:hideMark/>
          </w:tcPr>
          <w:p w14:paraId="443F80F7" w14:textId="77777777" w:rsidR="00000000" w:rsidRDefault="00195E73">
            <w:pPr>
              <w:rPr>
                <w:rFonts w:eastAsia="Times New Roman"/>
                <w:sz w:val="20"/>
                <w:szCs w:val="20"/>
              </w:rPr>
            </w:pPr>
          </w:p>
        </w:tc>
        <w:tc>
          <w:tcPr>
            <w:tcW w:w="0" w:type="auto"/>
            <w:vAlign w:val="center"/>
            <w:hideMark/>
          </w:tcPr>
          <w:p w14:paraId="5343613D" w14:textId="77777777" w:rsidR="00000000" w:rsidRDefault="00195E73">
            <w:pPr>
              <w:rPr>
                <w:rFonts w:eastAsia="Times New Roman"/>
                <w:sz w:val="20"/>
                <w:szCs w:val="20"/>
              </w:rPr>
            </w:pPr>
          </w:p>
        </w:tc>
        <w:tc>
          <w:tcPr>
            <w:tcW w:w="0" w:type="auto"/>
            <w:vAlign w:val="center"/>
            <w:hideMark/>
          </w:tcPr>
          <w:p w14:paraId="5AF6555F" w14:textId="77777777" w:rsidR="00000000" w:rsidRDefault="00195E73">
            <w:pPr>
              <w:rPr>
                <w:rFonts w:eastAsia="Times New Roman"/>
                <w:sz w:val="20"/>
                <w:szCs w:val="20"/>
              </w:rPr>
            </w:pPr>
          </w:p>
        </w:tc>
        <w:tc>
          <w:tcPr>
            <w:tcW w:w="0" w:type="auto"/>
            <w:vAlign w:val="center"/>
            <w:hideMark/>
          </w:tcPr>
          <w:p w14:paraId="37361326" w14:textId="77777777" w:rsidR="00000000" w:rsidRDefault="00195E73">
            <w:pPr>
              <w:rPr>
                <w:rFonts w:eastAsia="Times New Roman"/>
                <w:sz w:val="20"/>
                <w:szCs w:val="20"/>
              </w:rPr>
            </w:pPr>
          </w:p>
        </w:tc>
      </w:tr>
      <w:tr w:rsidR="00000000" w14:paraId="2E287653" w14:textId="77777777">
        <w:trPr>
          <w:divId w:val="1839031348"/>
          <w:jc w:val="center"/>
        </w:trPr>
        <w:tc>
          <w:tcPr>
            <w:tcW w:w="0" w:type="auto"/>
            <w:gridSpan w:val="3"/>
            <w:shd w:val="clear" w:color="auto" w:fill="FFFFFF"/>
            <w:tcMar>
              <w:top w:w="30" w:type="dxa"/>
              <w:left w:w="20" w:type="dxa"/>
              <w:bottom w:w="30" w:type="dxa"/>
              <w:right w:w="20" w:type="dxa"/>
            </w:tcMar>
            <w:vAlign w:val="bottom"/>
            <w:hideMark/>
          </w:tcPr>
          <w:p w14:paraId="2502A9FA" w14:textId="77777777" w:rsidR="00000000" w:rsidRDefault="00195E73">
            <w:pPr>
              <w:ind w:hanging="90"/>
              <w:divId w:val="1630208305"/>
              <w:rPr>
                <w:rFonts w:eastAsia="Times New Roman"/>
              </w:rPr>
            </w:pPr>
            <w:r>
              <w:rPr>
                <w:rFonts w:eastAsia="Times New Roman"/>
                <w:color w:val="000000"/>
                <w:sz w:val="18"/>
                <w:szCs w:val="18"/>
              </w:rPr>
              <w:t xml:space="preserve">Accumulated impairment, Jan </w:t>
            </w:r>
            <w:r>
              <w:rPr>
                <w:rFonts w:eastAsia="Times New Roman"/>
                <w:color w:val="000000"/>
                <w:sz w:val="18"/>
                <w:szCs w:val="18"/>
              </w:rPr>
              <w:t>1</w:t>
            </w:r>
          </w:p>
        </w:tc>
        <w:tc>
          <w:tcPr>
            <w:tcW w:w="0" w:type="auto"/>
            <w:gridSpan w:val="2"/>
            <w:shd w:val="clear" w:color="auto" w:fill="FFFFFF"/>
            <w:tcMar>
              <w:top w:w="30" w:type="dxa"/>
              <w:left w:w="20" w:type="dxa"/>
              <w:bottom w:w="30" w:type="dxa"/>
              <w:right w:w="0" w:type="dxa"/>
            </w:tcMar>
            <w:vAlign w:val="bottom"/>
            <w:hideMark/>
          </w:tcPr>
          <w:p w14:paraId="723F9B95" w14:textId="77777777" w:rsidR="00000000" w:rsidRDefault="00195E73">
            <w:pPr>
              <w:jc w:val="right"/>
              <w:rPr>
                <w:rFonts w:eastAsia="Times New Roman"/>
              </w:rPr>
            </w:pPr>
            <w:r>
              <w:rPr>
                <w:rFonts w:eastAsia="Times New Roman"/>
                <w:color w:val="000000"/>
                <w:sz w:val="18"/>
                <w:szCs w:val="18"/>
              </w:rPr>
              <w:t>(87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0D409313"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FFFFFF"/>
            <w:tcMar>
              <w:top w:w="15" w:type="dxa"/>
              <w:left w:w="20" w:type="dxa"/>
              <w:bottom w:w="15" w:type="dxa"/>
              <w:right w:w="0" w:type="dxa"/>
            </w:tcMar>
            <w:vAlign w:val="bottom"/>
            <w:hideMark/>
          </w:tcPr>
          <w:p w14:paraId="015701C5"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01EB8915"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F6AC0B"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932F6E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337B3E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FE25B2"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2F90A03"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FFFFFF"/>
            <w:tcMar>
              <w:top w:w="15" w:type="dxa"/>
              <w:left w:w="20" w:type="dxa"/>
              <w:bottom w:w="15" w:type="dxa"/>
              <w:right w:w="0" w:type="dxa"/>
            </w:tcMar>
            <w:vAlign w:val="bottom"/>
            <w:hideMark/>
          </w:tcPr>
          <w:p w14:paraId="1701E1BF"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3E3E08E5"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E80EFB"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D93B29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636100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12EFCF" w14:textId="77777777" w:rsidR="00000000" w:rsidRDefault="00195E73">
            <w:pPr>
              <w:jc w:val="right"/>
              <w:rPr>
                <w:rFonts w:eastAsia="Times New Roman"/>
              </w:rPr>
            </w:pPr>
            <w:r>
              <w:rPr>
                <w:rFonts w:eastAsia="Times New Roman"/>
                <w:color w:val="000000"/>
                <w:sz w:val="18"/>
                <w:szCs w:val="18"/>
              </w:rPr>
              <w:t>(87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2886A24E"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500D5676" w14:textId="77777777" w:rsidR="00000000" w:rsidRDefault="00195E73">
            <w:pPr>
              <w:rPr>
                <w:rFonts w:eastAsia="Times New Roman"/>
                <w:sz w:val="20"/>
                <w:szCs w:val="20"/>
              </w:rPr>
            </w:pPr>
          </w:p>
        </w:tc>
        <w:tc>
          <w:tcPr>
            <w:tcW w:w="0" w:type="auto"/>
            <w:vAlign w:val="center"/>
            <w:hideMark/>
          </w:tcPr>
          <w:p w14:paraId="2ABADBB0" w14:textId="77777777" w:rsidR="00000000" w:rsidRDefault="00195E73">
            <w:pPr>
              <w:rPr>
                <w:rFonts w:eastAsia="Times New Roman"/>
                <w:sz w:val="20"/>
                <w:szCs w:val="20"/>
              </w:rPr>
            </w:pPr>
          </w:p>
        </w:tc>
        <w:tc>
          <w:tcPr>
            <w:tcW w:w="0" w:type="auto"/>
            <w:vAlign w:val="center"/>
            <w:hideMark/>
          </w:tcPr>
          <w:p w14:paraId="5D8ABB37" w14:textId="77777777" w:rsidR="00000000" w:rsidRDefault="00195E73">
            <w:pPr>
              <w:rPr>
                <w:rFonts w:eastAsia="Times New Roman"/>
                <w:sz w:val="20"/>
                <w:szCs w:val="20"/>
              </w:rPr>
            </w:pPr>
          </w:p>
        </w:tc>
        <w:tc>
          <w:tcPr>
            <w:tcW w:w="0" w:type="auto"/>
            <w:vAlign w:val="center"/>
            <w:hideMark/>
          </w:tcPr>
          <w:p w14:paraId="2E3D0360" w14:textId="77777777" w:rsidR="00000000" w:rsidRDefault="00195E73">
            <w:pPr>
              <w:rPr>
                <w:rFonts w:eastAsia="Times New Roman"/>
                <w:sz w:val="20"/>
                <w:szCs w:val="20"/>
              </w:rPr>
            </w:pPr>
          </w:p>
        </w:tc>
        <w:tc>
          <w:tcPr>
            <w:tcW w:w="0" w:type="auto"/>
            <w:vAlign w:val="center"/>
            <w:hideMark/>
          </w:tcPr>
          <w:p w14:paraId="75B73DE8" w14:textId="77777777" w:rsidR="00000000" w:rsidRDefault="00195E73">
            <w:pPr>
              <w:rPr>
                <w:rFonts w:eastAsia="Times New Roman"/>
                <w:sz w:val="20"/>
                <w:szCs w:val="20"/>
              </w:rPr>
            </w:pPr>
          </w:p>
        </w:tc>
        <w:tc>
          <w:tcPr>
            <w:tcW w:w="0" w:type="auto"/>
            <w:vAlign w:val="center"/>
            <w:hideMark/>
          </w:tcPr>
          <w:p w14:paraId="11CEEACA" w14:textId="77777777" w:rsidR="00000000" w:rsidRDefault="00195E73">
            <w:pPr>
              <w:rPr>
                <w:rFonts w:eastAsia="Times New Roman"/>
                <w:sz w:val="20"/>
                <w:szCs w:val="20"/>
              </w:rPr>
            </w:pPr>
          </w:p>
        </w:tc>
        <w:tc>
          <w:tcPr>
            <w:tcW w:w="0" w:type="auto"/>
            <w:vAlign w:val="center"/>
            <w:hideMark/>
          </w:tcPr>
          <w:p w14:paraId="4A120473" w14:textId="77777777" w:rsidR="00000000" w:rsidRDefault="00195E73">
            <w:pPr>
              <w:rPr>
                <w:rFonts w:eastAsia="Times New Roman"/>
                <w:sz w:val="20"/>
                <w:szCs w:val="20"/>
              </w:rPr>
            </w:pPr>
          </w:p>
        </w:tc>
        <w:tc>
          <w:tcPr>
            <w:tcW w:w="0" w:type="auto"/>
            <w:vAlign w:val="center"/>
            <w:hideMark/>
          </w:tcPr>
          <w:p w14:paraId="30418B0B" w14:textId="77777777" w:rsidR="00000000" w:rsidRDefault="00195E73">
            <w:pPr>
              <w:rPr>
                <w:rFonts w:eastAsia="Times New Roman"/>
                <w:sz w:val="20"/>
                <w:szCs w:val="20"/>
              </w:rPr>
            </w:pPr>
          </w:p>
        </w:tc>
        <w:tc>
          <w:tcPr>
            <w:tcW w:w="0" w:type="auto"/>
            <w:vAlign w:val="center"/>
            <w:hideMark/>
          </w:tcPr>
          <w:p w14:paraId="5D7FE19D" w14:textId="77777777" w:rsidR="00000000" w:rsidRDefault="00195E73">
            <w:pPr>
              <w:rPr>
                <w:rFonts w:eastAsia="Times New Roman"/>
                <w:sz w:val="20"/>
                <w:szCs w:val="20"/>
              </w:rPr>
            </w:pPr>
          </w:p>
        </w:tc>
        <w:tc>
          <w:tcPr>
            <w:tcW w:w="0" w:type="auto"/>
            <w:vAlign w:val="center"/>
            <w:hideMark/>
          </w:tcPr>
          <w:p w14:paraId="0DFF1BDB" w14:textId="77777777" w:rsidR="00000000" w:rsidRDefault="00195E73">
            <w:pPr>
              <w:rPr>
                <w:rFonts w:eastAsia="Times New Roman"/>
                <w:sz w:val="20"/>
                <w:szCs w:val="20"/>
              </w:rPr>
            </w:pPr>
          </w:p>
        </w:tc>
        <w:tc>
          <w:tcPr>
            <w:tcW w:w="0" w:type="auto"/>
            <w:vAlign w:val="center"/>
            <w:hideMark/>
          </w:tcPr>
          <w:p w14:paraId="0EDC4F8B" w14:textId="77777777" w:rsidR="00000000" w:rsidRDefault="00195E73">
            <w:pPr>
              <w:rPr>
                <w:rFonts w:eastAsia="Times New Roman"/>
                <w:sz w:val="20"/>
                <w:szCs w:val="20"/>
              </w:rPr>
            </w:pPr>
          </w:p>
        </w:tc>
        <w:tc>
          <w:tcPr>
            <w:tcW w:w="0" w:type="auto"/>
            <w:vAlign w:val="center"/>
            <w:hideMark/>
          </w:tcPr>
          <w:p w14:paraId="34E436B4" w14:textId="77777777" w:rsidR="00000000" w:rsidRDefault="00195E73">
            <w:pPr>
              <w:rPr>
                <w:rFonts w:eastAsia="Times New Roman"/>
                <w:sz w:val="20"/>
                <w:szCs w:val="20"/>
              </w:rPr>
            </w:pPr>
          </w:p>
        </w:tc>
        <w:tc>
          <w:tcPr>
            <w:tcW w:w="0" w:type="auto"/>
            <w:vAlign w:val="center"/>
            <w:hideMark/>
          </w:tcPr>
          <w:p w14:paraId="32135B80" w14:textId="77777777" w:rsidR="00000000" w:rsidRDefault="00195E73">
            <w:pPr>
              <w:rPr>
                <w:rFonts w:eastAsia="Times New Roman"/>
                <w:sz w:val="20"/>
                <w:szCs w:val="20"/>
              </w:rPr>
            </w:pPr>
          </w:p>
        </w:tc>
        <w:tc>
          <w:tcPr>
            <w:tcW w:w="0" w:type="auto"/>
            <w:vAlign w:val="center"/>
            <w:hideMark/>
          </w:tcPr>
          <w:p w14:paraId="2BAA1B9D" w14:textId="77777777" w:rsidR="00000000" w:rsidRDefault="00195E73">
            <w:pPr>
              <w:rPr>
                <w:rFonts w:eastAsia="Times New Roman"/>
                <w:sz w:val="20"/>
                <w:szCs w:val="20"/>
              </w:rPr>
            </w:pPr>
          </w:p>
        </w:tc>
        <w:tc>
          <w:tcPr>
            <w:tcW w:w="0" w:type="auto"/>
            <w:vAlign w:val="center"/>
            <w:hideMark/>
          </w:tcPr>
          <w:p w14:paraId="37F20EE8" w14:textId="77777777" w:rsidR="00000000" w:rsidRDefault="00195E73">
            <w:pPr>
              <w:rPr>
                <w:rFonts w:eastAsia="Times New Roman"/>
                <w:sz w:val="20"/>
                <w:szCs w:val="20"/>
              </w:rPr>
            </w:pPr>
          </w:p>
        </w:tc>
        <w:tc>
          <w:tcPr>
            <w:tcW w:w="0" w:type="auto"/>
            <w:vAlign w:val="center"/>
            <w:hideMark/>
          </w:tcPr>
          <w:p w14:paraId="5C32AEF3" w14:textId="77777777" w:rsidR="00000000" w:rsidRDefault="00195E73">
            <w:pPr>
              <w:rPr>
                <w:rFonts w:eastAsia="Times New Roman"/>
                <w:sz w:val="20"/>
                <w:szCs w:val="20"/>
              </w:rPr>
            </w:pPr>
          </w:p>
        </w:tc>
        <w:tc>
          <w:tcPr>
            <w:tcW w:w="0" w:type="auto"/>
            <w:vAlign w:val="center"/>
            <w:hideMark/>
          </w:tcPr>
          <w:p w14:paraId="1F6E83DC" w14:textId="77777777" w:rsidR="00000000" w:rsidRDefault="00195E73">
            <w:pPr>
              <w:rPr>
                <w:rFonts w:eastAsia="Times New Roman"/>
                <w:sz w:val="20"/>
                <w:szCs w:val="20"/>
              </w:rPr>
            </w:pPr>
          </w:p>
        </w:tc>
        <w:tc>
          <w:tcPr>
            <w:tcW w:w="0" w:type="auto"/>
            <w:vAlign w:val="center"/>
            <w:hideMark/>
          </w:tcPr>
          <w:p w14:paraId="6DC551C1" w14:textId="77777777" w:rsidR="00000000" w:rsidRDefault="00195E73">
            <w:pPr>
              <w:rPr>
                <w:rFonts w:eastAsia="Times New Roman"/>
                <w:sz w:val="20"/>
                <w:szCs w:val="20"/>
              </w:rPr>
            </w:pPr>
          </w:p>
        </w:tc>
        <w:tc>
          <w:tcPr>
            <w:tcW w:w="0" w:type="auto"/>
            <w:vAlign w:val="center"/>
            <w:hideMark/>
          </w:tcPr>
          <w:p w14:paraId="45DE5A37" w14:textId="77777777" w:rsidR="00000000" w:rsidRDefault="00195E73">
            <w:pPr>
              <w:rPr>
                <w:rFonts w:eastAsia="Times New Roman"/>
                <w:sz w:val="20"/>
                <w:szCs w:val="20"/>
              </w:rPr>
            </w:pPr>
          </w:p>
        </w:tc>
        <w:tc>
          <w:tcPr>
            <w:tcW w:w="0" w:type="auto"/>
            <w:vAlign w:val="center"/>
            <w:hideMark/>
          </w:tcPr>
          <w:p w14:paraId="7E37C89E" w14:textId="77777777" w:rsidR="00000000" w:rsidRDefault="00195E73">
            <w:pPr>
              <w:rPr>
                <w:rFonts w:eastAsia="Times New Roman"/>
                <w:sz w:val="20"/>
                <w:szCs w:val="20"/>
              </w:rPr>
            </w:pPr>
          </w:p>
        </w:tc>
        <w:tc>
          <w:tcPr>
            <w:tcW w:w="0" w:type="auto"/>
            <w:vAlign w:val="center"/>
            <w:hideMark/>
          </w:tcPr>
          <w:p w14:paraId="3D185108" w14:textId="77777777" w:rsidR="00000000" w:rsidRDefault="00195E73">
            <w:pPr>
              <w:rPr>
                <w:rFonts w:eastAsia="Times New Roman"/>
                <w:sz w:val="20"/>
                <w:szCs w:val="20"/>
              </w:rPr>
            </w:pPr>
          </w:p>
        </w:tc>
        <w:tc>
          <w:tcPr>
            <w:tcW w:w="0" w:type="auto"/>
            <w:vAlign w:val="center"/>
            <w:hideMark/>
          </w:tcPr>
          <w:p w14:paraId="68E96EA7" w14:textId="77777777" w:rsidR="00000000" w:rsidRDefault="00195E73">
            <w:pPr>
              <w:rPr>
                <w:rFonts w:eastAsia="Times New Roman"/>
                <w:sz w:val="20"/>
                <w:szCs w:val="20"/>
              </w:rPr>
            </w:pPr>
          </w:p>
        </w:tc>
        <w:tc>
          <w:tcPr>
            <w:tcW w:w="0" w:type="auto"/>
            <w:vAlign w:val="center"/>
            <w:hideMark/>
          </w:tcPr>
          <w:p w14:paraId="5E46F932" w14:textId="77777777" w:rsidR="00000000" w:rsidRDefault="00195E73">
            <w:pPr>
              <w:rPr>
                <w:rFonts w:eastAsia="Times New Roman"/>
                <w:sz w:val="20"/>
                <w:szCs w:val="20"/>
              </w:rPr>
            </w:pPr>
          </w:p>
        </w:tc>
        <w:tc>
          <w:tcPr>
            <w:tcW w:w="0" w:type="auto"/>
            <w:vAlign w:val="center"/>
            <w:hideMark/>
          </w:tcPr>
          <w:p w14:paraId="63D2EF05" w14:textId="77777777" w:rsidR="00000000" w:rsidRDefault="00195E73">
            <w:pPr>
              <w:rPr>
                <w:rFonts w:eastAsia="Times New Roman"/>
                <w:sz w:val="20"/>
                <w:szCs w:val="20"/>
              </w:rPr>
            </w:pPr>
          </w:p>
        </w:tc>
      </w:tr>
      <w:tr w:rsidR="00000000" w14:paraId="4CB86B17" w14:textId="77777777">
        <w:trPr>
          <w:divId w:val="1839031348"/>
          <w:jc w:val="center"/>
        </w:trPr>
        <w:tc>
          <w:tcPr>
            <w:tcW w:w="0" w:type="auto"/>
            <w:gridSpan w:val="3"/>
            <w:shd w:val="clear" w:color="auto" w:fill="CCEEFF"/>
            <w:tcMar>
              <w:top w:w="30" w:type="dxa"/>
              <w:left w:w="180" w:type="dxa"/>
              <w:bottom w:w="30" w:type="dxa"/>
              <w:right w:w="20" w:type="dxa"/>
            </w:tcMar>
            <w:vAlign w:val="bottom"/>
            <w:hideMark/>
          </w:tcPr>
          <w:p w14:paraId="61500A05" w14:textId="77777777" w:rsidR="00000000" w:rsidRDefault="00195E73">
            <w:pPr>
              <w:rPr>
                <w:rFonts w:eastAsia="Times New Roman"/>
              </w:rPr>
            </w:pPr>
            <w:r>
              <w:rPr>
                <w:rFonts w:eastAsia="Times New Roman"/>
                <w:color w:val="000000"/>
                <w:sz w:val="18"/>
                <w:szCs w:val="18"/>
              </w:rPr>
              <w:t>Impairmen</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14:paraId="569D40AD"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9C70509"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CCEEFF"/>
            <w:tcMar>
              <w:top w:w="15" w:type="dxa"/>
              <w:left w:w="20" w:type="dxa"/>
              <w:bottom w:w="15" w:type="dxa"/>
              <w:right w:w="0" w:type="dxa"/>
            </w:tcMar>
            <w:vAlign w:val="bottom"/>
            <w:hideMark/>
          </w:tcPr>
          <w:p w14:paraId="13192275"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464BA377"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CAF893"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BAF124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65CA5F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592C09"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6FB2D9D"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CCEEFF"/>
            <w:tcMar>
              <w:top w:w="15" w:type="dxa"/>
              <w:left w:w="20" w:type="dxa"/>
              <w:bottom w:w="15" w:type="dxa"/>
              <w:right w:w="0" w:type="dxa"/>
            </w:tcMar>
            <w:vAlign w:val="bottom"/>
            <w:hideMark/>
          </w:tcPr>
          <w:p w14:paraId="6D11996E"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5737F00B"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00C32B"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04C150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1D051B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DAAF2C"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37EE37B"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55E9BDE0" w14:textId="77777777" w:rsidR="00000000" w:rsidRDefault="00195E73">
            <w:pPr>
              <w:rPr>
                <w:rFonts w:eastAsia="Times New Roman"/>
                <w:sz w:val="20"/>
                <w:szCs w:val="20"/>
              </w:rPr>
            </w:pPr>
          </w:p>
        </w:tc>
        <w:tc>
          <w:tcPr>
            <w:tcW w:w="0" w:type="auto"/>
            <w:vAlign w:val="center"/>
            <w:hideMark/>
          </w:tcPr>
          <w:p w14:paraId="03260C33" w14:textId="77777777" w:rsidR="00000000" w:rsidRDefault="00195E73">
            <w:pPr>
              <w:rPr>
                <w:rFonts w:eastAsia="Times New Roman"/>
                <w:sz w:val="20"/>
                <w:szCs w:val="20"/>
              </w:rPr>
            </w:pPr>
          </w:p>
        </w:tc>
        <w:tc>
          <w:tcPr>
            <w:tcW w:w="0" w:type="auto"/>
            <w:vAlign w:val="center"/>
            <w:hideMark/>
          </w:tcPr>
          <w:p w14:paraId="65AEC17D" w14:textId="77777777" w:rsidR="00000000" w:rsidRDefault="00195E73">
            <w:pPr>
              <w:rPr>
                <w:rFonts w:eastAsia="Times New Roman"/>
                <w:sz w:val="20"/>
                <w:szCs w:val="20"/>
              </w:rPr>
            </w:pPr>
          </w:p>
        </w:tc>
        <w:tc>
          <w:tcPr>
            <w:tcW w:w="0" w:type="auto"/>
            <w:vAlign w:val="center"/>
            <w:hideMark/>
          </w:tcPr>
          <w:p w14:paraId="7C41C4C1" w14:textId="77777777" w:rsidR="00000000" w:rsidRDefault="00195E73">
            <w:pPr>
              <w:rPr>
                <w:rFonts w:eastAsia="Times New Roman"/>
                <w:sz w:val="20"/>
                <w:szCs w:val="20"/>
              </w:rPr>
            </w:pPr>
          </w:p>
        </w:tc>
        <w:tc>
          <w:tcPr>
            <w:tcW w:w="0" w:type="auto"/>
            <w:vAlign w:val="center"/>
            <w:hideMark/>
          </w:tcPr>
          <w:p w14:paraId="022629FC" w14:textId="77777777" w:rsidR="00000000" w:rsidRDefault="00195E73">
            <w:pPr>
              <w:rPr>
                <w:rFonts w:eastAsia="Times New Roman"/>
                <w:sz w:val="20"/>
                <w:szCs w:val="20"/>
              </w:rPr>
            </w:pPr>
          </w:p>
        </w:tc>
        <w:tc>
          <w:tcPr>
            <w:tcW w:w="0" w:type="auto"/>
            <w:vAlign w:val="center"/>
            <w:hideMark/>
          </w:tcPr>
          <w:p w14:paraId="0D25646B" w14:textId="77777777" w:rsidR="00000000" w:rsidRDefault="00195E73">
            <w:pPr>
              <w:rPr>
                <w:rFonts w:eastAsia="Times New Roman"/>
                <w:sz w:val="20"/>
                <w:szCs w:val="20"/>
              </w:rPr>
            </w:pPr>
          </w:p>
        </w:tc>
        <w:tc>
          <w:tcPr>
            <w:tcW w:w="0" w:type="auto"/>
            <w:vAlign w:val="center"/>
            <w:hideMark/>
          </w:tcPr>
          <w:p w14:paraId="6E8A155E" w14:textId="77777777" w:rsidR="00000000" w:rsidRDefault="00195E73">
            <w:pPr>
              <w:rPr>
                <w:rFonts w:eastAsia="Times New Roman"/>
                <w:sz w:val="20"/>
                <w:szCs w:val="20"/>
              </w:rPr>
            </w:pPr>
          </w:p>
        </w:tc>
        <w:tc>
          <w:tcPr>
            <w:tcW w:w="0" w:type="auto"/>
            <w:vAlign w:val="center"/>
            <w:hideMark/>
          </w:tcPr>
          <w:p w14:paraId="4262A655" w14:textId="77777777" w:rsidR="00000000" w:rsidRDefault="00195E73">
            <w:pPr>
              <w:rPr>
                <w:rFonts w:eastAsia="Times New Roman"/>
                <w:sz w:val="20"/>
                <w:szCs w:val="20"/>
              </w:rPr>
            </w:pPr>
          </w:p>
        </w:tc>
        <w:tc>
          <w:tcPr>
            <w:tcW w:w="0" w:type="auto"/>
            <w:vAlign w:val="center"/>
            <w:hideMark/>
          </w:tcPr>
          <w:p w14:paraId="5D93EADC" w14:textId="77777777" w:rsidR="00000000" w:rsidRDefault="00195E73">
            <w:pPr>
              <w:rPr>
                <w:rFonts w:eastAsia="Times New Roman"/>
                <w:sz w:val="20"/>
                <w:szCs w:val="20"/>
              </w:rPr>
            </w:pPr>
          </w:p>
        </w:tc>
        <w:tc>
          <w:tcPr>
            <w:tcW w:w="0" w:type="auto"/>
            <w:vAlign w:val="center"/>
            <w:hideMark/>
          </w:tcPr>
          <w:p w14:paraId="0EA5EDEA" w14:textId="77777777" w:rsidR="00000000" w:rsidRDefault="00195E73">
            <w:pPr>
              <w:rPr>
                <w:rFonts w:eastAsia="Times New Roman"/>
                <w:sz w:val="20"/>
                <w:szCs w:val="20"/>
              </w:rPr>
            </w:pPr>
          </w:p>
        </w:tc>
        <w:tc>
          <w:tcPr>
            <w:tcW w:w="0" w:type="auto"/>
            <w:vAlign w:val="center"/>
            <w:hideMark/>
          </w:tcPr>
          <w:p w14:paraId="0EA4E461" w14:textId="77777777" w:rsidR="00000000" w:rsidRDefault="00195E73">
            <w:pPr>
              <w:rPr>
                <w:rFonts w:eastAsia="Times New Roman"/>
                <w:sz w:val="20"/>
                <w:szCs w:val="20"/>
              </w:rPr>
            </w:pPr>
          </w:p>
        </w:tc>
        <w:tc>
          <w:tcPr>
            <w:tcW w:w="0" w:type="auto"/>
            <w:vAlign w:val="center"/>
            <w:hideMark/>
          </w:tcPr>
          <w:p w14:paraId="66DA23D2" w14:textId="77777777" w:rsidR="00000000" w:rsidRDefault="00195E73">
            <w:pPr>
              <w:rPr>
                <w:rFonts w:eastAsia="Times New Roman"/>
                <w:sz w:val="20"/>
                <w:szCs w:val="20"/>
              </w:rPr>
            </w:pPr>
          </w:p>
        </w:tc>
        <w:tc>
          <w:tcPr>
            <w:tcW w:w="0" w:type="auto"/>
            <w:vAlign w:val="center"/>
            <w:hideMark/>
          </w:tcPr>
          <w:p w14:paraId="599D0D2C" w14:textId="77777777" w:rsidR="00000000" w:rsidRDefault="00195E73">
            <w:pPr>
              <w:rPr>
                <w:rFonts w:eastAsia="Times New Roman"/>
                <w:sz w:val="20"/>
                <w:szCs w:val="20"/>
              </w:rPr>
            </w:pPr>
          </w:p>
        </w:tc>
        <w:tc>
          <w:tcPr>
            <w:tcW w:w="0" w:type="auto"/>
            <w:vAlign w:val="center"/>
            <w:hideMark/>
          </w:tcPr>
          <w:p w14:paraId="790F41AC" w14:textId="77777777" w:rsidR="00000000" w:rsidRDefault="00195E73">
            <w:pPr>
              <w:rPr>
                <w:rFonts w:eastAsia="Times New Roman"/>
                <w:sz w:val="20"/>
                <w:szCs w:val="20"/>
              </w:rPr>
            </w:pPr>
          </w:p>
        </w:tc>
        <w:tc>
          <w:tcPr>
            <w:tcW w:w="0" w:type="auto"/>
            <w:vAlign w:val="center"/>
            <w:hideMark/>
          </w:tcPr>
          <w:p w14:paraId="59576AE1" w14:textId="77777777" w:rsidR="00000000" w:rsidRDefault="00195E73">
            <w:pPr>
              <w:rPr>
                <w:rFonts w:eastAsia="Times New Roman"/>
                <w:sz w:val="20"/>
                <w:szCs w:val="20"/>
              </w:rPr>
            </w:pPr>
          </w:p>
        </w:tc>
        <w:tc>
          <w:tcPr>
            <w:tcW w:w="0" w:type="auto"/>
            <w:vAlign w:val="center"/>
            <w:hideMark/>
          </w:tcPr>
          <w:p w14:paraId="09AC1C46" w14:textId="77777777" w:rsidR="00000000" w:rsidRDefault="00195E73">
            <w:pPr>
              <w:rPr>
                <w:rFonts w:eastAsia="Times New Roman"/>
                <w:sz w:val="20"/>
                <w:szCs w:val="20"/>
              </w:rPr>
            </w:pPr>
          </w:p>
        </w:tc>
        <w:tc>
          <w:tcPr>
            <w:tcW w:w="0" w:type="auto"/>
            <w:vAlign w:val="center"/>
            <w:hideMark/>
          </w:tcPr>
          <w:p w14:paraId="2AC55770" w14:textId="77777777" w:rsidR="00000000" w:rsidRDefault="00195E73">
            <w:pPr>
              <w:rPr>
                <w:rFonts w:eastAsia="Times New Roman"/>
                <w:sz w:val="20"/>
                <w:szCs w:val="20"/>
              </w:rPr>
            </w:pPr>
          </w:p>
        </w:tc>
        <w:tc>
          <w:tcPr>
            <w:tcW w:w="0" w:type="auto"/>
            <w:vAlign w:val="center"/>
            <w:hideMark/>
          </w:tcPr>
          <w:p w14:paraId="6FB82B64" w14:textId="77777777" w:rsidR="00000000" w:rsidRDefault="00195E73">
            <w:pPr>
              <w:rPr>
                <w:rFonts w:eastAsia="Times New Roman"/>
                <w:sz w:val="20"/>
                <w:szCs w:val="20"/>
              </w:rPr>
            </w:pPr>
          </w:p>
        </w:tc>
        <w:tc>
          <w:tcPr>
            <w:tcW w:w="0" w:type="auto"/>
            <w:vAlign w:val="center"/>
            <w:hideMark/>
          </w:tcPr>
          <w:p w14:paraId="07659504" w14:textId="77777777" w:rsidR="00000000" w:rsidRDefault="00195E73">
            <w:pPr>
              <w:rPr>
                <w:rFonts w:eastAsia="Times New Roman"/>
                <w:sz w:val="20"/>
                <w:szCs w:val="20"/>
              </w:rPr>
            </w:pPr>
          </w:p>
        </w:tc>
        <w:tc>
          <w:tcPr>
            <w:tcW w:w="0" w:type="auto"/>
            <w:vAlign w:val="center"/>
            <w:hideMark/>
          </w:tcPr>
          <w:p w14:paraId="5F126D54" w14:textId="77777777" w:rsidR="00000000" w:rsidRDefault="00195E73">
            <w:pPr>
              <w:rPr>
                <w:rFonts w:eastAsia="Times New Roman"/>
                <w:sz w:val="20"/>
                <w:szCs w:val="20"/>
              </w:rPr>
            </w:pPr>
          </w:p>
        </w:tc>
        <w:tc>
          <w:tcPr>
            <w:tcW w:w="0" w:type="auto"/>
            <w:vAlign w:val="center"/>
            <w:hideMark/>
          </w:tcPr>
          <w:p w14:paraId="60F9162A" w14:textId="77777777" w:rsidR="00000000" w:rsidRDefault="00195E73">
            <w:pPr>
              <w:rPr>
                <w:rFonts w:eastAsia="Times New Roman"/>
                <w:sz w:val="20"/>
                <w:szCs w:val="20"/>
              </w:rPr>
            </w:pPr>
          </w:p>
        </w:tc>
        <w:tc>
          <w:tcPr>
            <w:tcW w:w="0" w:type="auto"/>
            <w:vAlign w:val="center"/>
            <w:hideMark/>
          </w:tcPr>
          <w:p w14:paraId="4ED4439D" w14:textId="77777777" w:rsidR="00000000" w:rsidRDefault="00195E73">
            <w:pPr>
              <w:rPr>
                <w:rFonts w:eastAsia="Times New Roman"/>
                <w:sz w:val="20"/>
                <w:szCs w:val="20"/>
              </w:rPr>
            </w:pPr>
          </w:p>
        </w:tc>
        <w:tc>
          <w:tcPr>
            <w:tcW w:w="0" w:type="auto"/>
            <w:vAlign w:val="center"/>
            <w:hideMark/>
          </w:tcPr>
          <w:p w14:paraId="4032CFA0" w14:textId="77777777" w:rsidR="00000000" w:rsidRDefault="00195E73">
            <w:pPr>
              <w:rPr>
                <w:rFonts w:eastAsia="Times New Roman"/>
                <w:sz w:val="20"/>
                <w:szCs w:val="20"/>
              </w:rPr>
            </w:pPr>
          </w:p>
        </w:tc>
        <w:tc>
          <w:tcPr>
            <w:tcW w:w="0" w:type="auto"/>
            <w:vAlign w:val="center"/>
            <w:hideMark/>
          </w:tcPr>
          <w:p w14:paraId="7854150C" w14:textId="77777777" w:rsidR="00000000" w:rsidRDefault="00195E73">
            <w:pPr>
              <w:rPr>
                <w:rFonts w:eastAsia="Times New Roman"/>
                <w:sz w:val="20"/>
                <w:szCs w:val="20"/>
              </w:rPr>
            </w:pPr>
          </w:p>
        </w:tc>
      </w:tr>
      <w:tr w:rsidR="00000000" w14:paraId="2A5D3D6F" w14:textId="77777777">
        <w:trPr>
          <w:divId w:val="1839031348"/>
          <w:jc w:val="center"/>
        </w:trPr>
        <w:tc>
          <w:tcPr>
            <w:tcW w:w="0" w:type="auto"/>
            <w:gridSpan w:val="3"/>
            <w:shd w:val="clear" w:color="auto" w:fill="FFFFFF"/>
            <w:tcMar>
              <w:top w:w="30" w:type="dxa"/>
              <w:left w:w="20" w:type="dxa"/>
              <w:bottom w:w="30" w:type="dxa"/>
              <w:right w:w="20" w:type="dxa"/>
            </w:tcMar>
            <w:vAlign w:val="bottom"/>
            <w:hideMark/>
          </w:tcPr>
          <w:p w14:paraId="59F12367" w14:textId="77777777" w:rsidR="00000000" w:rsidRDefault="00195E73">
            <w:pPr>
              <w:ind w:hanging="90"/>
              <w:divId w:val="858858320"/>
              <w:rPr>
                <w:rFonts w:eastAsia="Times New Roman"/>
              </w:rPr>
            </w:pPr>
            <w:r>
              <w:rPr>
                <w:rFonts w:eastAsia="Times New Roman"/>
                <w:color w:val="000000"/>
                <w:sz w:val="18"/>
                <w:szCs w:val="18"/>
              </w:rPr>
              <w:t>Accumulated impairment, Dec 3</w:t>
            </w:r>
            <w:r>
              <w:rPr>
                <w:rFonts w:eastAsia="Times New Roman"/>
                <w:color w:val="000000"/>
                <w:sz w:val="18"/>
                <w:szCs w:val="18"/>
              </w:rPr>
              <w:t>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E7FC4A" w14:textId="77777777" w:rsidR="00000000" w:rsidRDefault="00195E73">
            <w:pPr>
              <w:jc w:val="right"/>
              <w:rPr>
                <w:rFonts w:eastAsia="Times New Roman"/>
              </w:rPr>
            </w:pPr>
            <w:r>
              <w:rPr>
                <w:rFonts w:eastAsia="Times New Roman"/>
                <w:color w:val="000000"/>
                <w:sz w:val="18"/>
                <w:szCs w:val="18"/>
              </w:rPr>
              <w:t>(87</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8C65C8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CD78E7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823225"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1CA7C0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004D01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AEE681"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7CDC3E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BE10AA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624FB5"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D989E9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3088D13"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18EEA9"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87</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988C4A6"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6EED0CC9" w14:textId="77777777" w:rsidR="00000000" w:rsidRDefault="00195E73">
            <w:pPr>
              <w:rPr>
                <w:rFonts w:eastAsia="Times New Roman"/>
                <w:sz w:val="20"/>
                <w:szCs w:val="20"/>
              </w:rPr>
            </w:pPr>
          </w:p>
        </w:tc>
        <w:tc>
          <w:tcPr>
            <w:tcW w:w="0" w:type="auto"/>
            <w:vAlign w:val="center"/>
            <w:hideMark/>
          </w:tcPr>
          <w:p w14:paraId="17107E39" w14:textId="77777777" w:rsidR="00000000" w:rsidRDefault="00195E73">
            <w:pPr>
              <w:rPr>
                <w:rFonts w:eastAsia="Times New Roman"/>
                <w:sz w:val="20"/>
                <w:szCs w:val="20"/>
              </w:rPr>
            </w:pPr>
          </w:p>
        </w:tc>
        <w:tc>
          <w:tcPr>
            <w:tcW w:w="0" w:type="auto"/>
            <w:vAlign w:val="center"/>
            <w:hideMark/>
          </w:tcPr>
          <w:p w14:paraId="6EC70647" w14:textId="77777777" w:rsidR="00000000" w:rsidRDefault="00195E73">
            <w:pPr>
              <w:rPr>
                <w:rFonts w:eastAsia="Times New Roman"/>
                <w:sz w:val="20"/>
                <w:szCs w:val="20"/>
              </w:rPr>
            </w:pPr>
          </w:p>
        </w:tc>
        <w:tc>
          <w:tcPr>
            <w:tcW w:w="0" w:type="auto"/>
            <w:vAlign w:val="center"/>
            <w:hideMark/>
          </w:tcPr>
          <w:p w14:paraId="6448CD20" w14:textId="77777777" w:rsidR="00000000" w:rsidRDefault="00195E73">
            <w:pPr>
              <w:rPr>
                <w:rFonts w:eastAsia="Times New Roman"/>
                <w:sz w:val="20"/>
                <w:szCs w:val="20"/>
              </w:rPr>
            </w:pPr>
          </w:p>
        </w:tc>
        <w:tc>
          <w:tcPr>
            <w:tcW w:w="0" w:type="auto"/>
            <w:vAlign w:val="center"/>
            <w:hideMark/>
          </w:tcPr>
          <w:p w14:paraId="57F21DDD" w14:textId="77777777" w:rsidR="00000000" w:rsidRDefault="00195E73">
            <w:pPr>
              <w:rPr>
                <w:rFonts w:eastAsia="Times New Roman"/>
                <w:sz w:val="20"/>
                <w:szCs w:val="20"/>
              </w:rPr>
            </w:pPr>
          </w:p>
        </w:tc>
        <w:tc>
          <w:tcPr>
            <w:tcW w:w="0" w:type="auto"/>
            <w:vAlign w:val="center"/>
            <w:hideMark/>
          </w:tcPr>
          <w:p w14:paraId="7E708DEF" w14:textId="77777777" w:rsidR="00000000" w:rsidRDefault="00195E73">
            <w:pPr>
              <w:rPr>
                <w:rFonts w:eastAsia="Times New Roman"/>
                <w:sz w:val="20"/>
                <w:szCs w:val="20"/>
              </w:rPr>
            </w:pPr>
          </w:p>
        </w:tc>
        <w:tc>
          <w:tcPr>
            <w:tcW w:w="0" w:type="auto"/>
            <w:vAlign w:val="center"/>
            <w:hideMark/>
          </w:tcPr>
          <w:p w14:paraId="3F02042F" w14:textId="77777777" w:rsidR="00000000" w:rsidRDefault="00195E73">
            <w:pPr>
              <w:rPr>
                <w:rFonts w:eastAsia="Times New Roman"/>
                <w:sz w:val="20"/>
                <w:szCs w:val="20"/>
              </w:rPr>
            </w:pPr>
          </w:p>
        </w:tc>
        <w:tc>
          <w:tcPr>
            <w:tcW w:w="0" w:type="auto"/>
            <w:vAlign w:val="center"/>
            <w:hideMark/>
          </w:tcPr>
          <w:p w14:paraId="4B674A60" w14:textId="77777777" w:rsidR="00000000" w:rsidRDefault="00195E73">
            <w:pPr>
              <w:rPr>
                <w:rFonts w:eastAsia="Times New Roman"/>
                <w:sz w:val="20"/>
                <w:szCs w:val="20"/>
              </w:rPr>
            </w:pPr>
          </w:p>
        </w:tc>
        <w:tc>
          <w:tcPr>
            <w:tcW w:w="0" w:type="auto"/>
            <w:vAlign w:val="center"/>
            <w:hideMark/>
          </w:tcPr>
          <w:p w14:paraId="549D33C5" w14:textId="77777777" w:rsidR="00000000" w:rsidRDefault="00195E73">
            <w:pPr>
              <w:rPr>
                <w:rFonts w:eastAsia="Times New Roman"/>
                <w:sz w:val="20"/>
                <w:szCs w:val="20"/>
              </w:rPr>
            </w:pPr>
          </w:p>
        </w:tc>
        <w:tc>
          <w:tcPr>
            <w:tcW w:w="0" w:type="auto"/>
            <w:vAlign w:val="center"/>
            <w:hideMark/>
          </w:tcPr>
          <w:p w14:paraId="2DD7DFD0" w14:textId="77777777" w:rsidR="00000000" w:rsidRDefault="00195E73">
            <w:pPr>
              <w:rPr>
                <w:rFonts w:eastAsia="Times New Roman"/>
                <w:sz w:val="20"/>
                <w:szCs w:val="20"/>
              </w:rPr>
            </w:pPr>
          </w:p>
        </w:tc>
        <w:tc>
          <w:tcPr>
            <w:tcW w:w="0" w:type="auto"/>
            <w:vAlign w:val="center"/>
            <w:hideMark/>
          </w:tcPr>
          <w:p w14:paraId="4DB200D5" w14:textId="77777777" w:rsidR="00000000" w:rsidRDefault="00195E73">
            <w:pPr>
              <w:rPr>
                <w:rFonts w:eastAsia="Times New Roman"/>
                <w:sz w:val="20"/>
                <w:szCs w:val="20"/>
              </w:rPr>
            </w:pPr>
          </w:p>
        </w:tc>
        <w:tc>
          <w:tcPr>
            <w:tcW w:w="0" w:type="auto"/>
            <w:vAlign w:val="center"/>
            <w:hideMark/>
          </w:tcPr>
          <w:p w14:paraId="40D6D627" w14:textId="77777777" w:rsidR="00000000" w:rsidRDefault="00195E73">
            <w:pPr>
              <w:rPr>
                <w:rFonts w:eastAsia="Times New Roman"/>
                <w:sz w:val="20"/>
                <w:szCs w:val="20"/>
              </w:rPr>
            </w:pPr>
          </w:p>
        </w:tc>
        <w:tc>
          <w:tcPr>
            <w:tcW w:w="0" w:type="auto"/>
            <w:vAlign w:val="center"/>
            <w:hideMark/>
          </w:tcPr>
          <w:p w14:paraId="0CE269CB" w14:textId="77777777" w:rsidR="00000000" w:rsidRDefault="00195E73">
            <w:pPr>
              <w:rPr>
                <w:rFonts w:eastAsia="Times New Roman"/>
                <w:sz w:val="20"/>
                <w:szCs w:val="20"/>
              </w:rPr>
            </w:pPr>
          </w:p>
        </w:tc>
        <w:tc>
          <w:tcPr>
            <w:tcW w:w="0" w:type="auto"/>
            <w:vAlign w:val="center"/>
            <w:hideMark/>
          </w:tcPr>
          <w:p w14:paraId="65013921" w14:textId="77777777" w:rsidR="00000000" w:rsidRDefault="00195E73">
            <w:pPr>
              <w:rPr>
                <w:rFonts w:eastAsia="Times New Roman"/>
                <w:sz w:val="20"/>
                <w:szCs w:val="20"/>
              </w:rPr>
            </w:pPr>
          </w:p>
        </w:tc>
        <w:tc>
          <w:tcPr>
            <w:tcW w:w="0" w:type="auto"/>
            <w:vAlign w:val="center"/>
            <w:hideMark/>
          </w:tcPr>
          <w:p w14:paraId="7AF9A384" w14:textId="77777777" w:rsidR="00000000" w:rsidRDefault="00195E73">
            <w:pPr>
              <w:rPr>
                <w:rFonts w:eastAsia="Times New Roman"/>
                <w:sz w:val="20"/>
                <w:szCs w:val="20"/>
              </w:rPr>
            </w:pPr>
          </w:p>
        </w:tc>
        <w:tc>
          <w:tcPr>
            <w:tcW w:w="0" w:type="auto"/>
            <w:vAlign w:val="center"/>
            <w:hideMark/>
          </w:tcPr>
          <w:p w14:paraId="5602FACF" w14:textId="77777777" w:rsidR="00000000" w:rsidRDefault="00195E73">
            <w:pPr>
              <w:rPr>
                <w:rFonts w:eastAsia="Times New Roman"/>
                <w:sz w:val="20"/>
                <w:szCs w:val="20"/>
              </w:rPr>
            </w:pPr>
          </w:p>
        </w:tc>
        <w:tc>
          <w:tcPr>
            <w:tcW w:w="0" w:type="auto"/>
            <w:vAlign w:val="center"/>
            <w:hideMark/>
          </w:tcPr>
          <w:p w14:paraId="4B5CBAC7" w14:textId="77777777" w:rsidR="00000000" w:rsidRDefault="00195E73">
            <w:pPr>
              <w:rPr>
                <w:rFonts w:eastAsia="Times New Roman"/>
                <w:sz w:val="20"/>
                <w:szCs w:val="20"/>
              </w:rPr>
            </w:pPr>
          </w:p>
        </w:tc>
        <w:tc>
          <w:tcPr>
            <w:tcW w:w="0" w:type="auto"/>
            <w:vAlign w:val="center"/>
            <w:hideMark/>
          </w:tcPr>
          <w:p w14:paraId="3F764D7E" w14:textId="77777777" w:rsidR="00000000" w:rsidRDefault="00195E73">
            <w:pPr>
              <w:rPr>
                <w:rFonts w:eastAsia="Times New Roman"/>
                <w:sz w:val="20"/>
                <w:szCs w:val="20"/>
              </w:rPr>
            </w:pPr>
          </w:p>
        </w:tc>
        <w:tc>
          <w:tcPr>
            <w:tcW w:w="0" w:type="auto"/>
            <w:vAlign w:val="center"/>
            <w:hideMark/>
          </w:tcPr>
          <w:p w14:paraId="3887B583" w14:textId="77777777" w:rsidR="00000000" w:rsidRDefault="00195E73">
            <w:pPr>
              <w:rPr>
                <w:rFonts w:eastAsia="Times New Roman"/>
                <w:sz w:val="20"/>
                <w:szCs w:val="20"/>
              </w:rPr>
            </w:pPr>
          </w:p>
        </w:tc>
        <w:tc>
          <w:tcPr>
            <w:tcW w:w="0" w:type="auto"/>
            <w:vAlign w:val="center"/>
            <w:hideMark/>
          </w:tcPr>
          <w:p w14:paraId="494B3B28" w14:textId="77777777" w:rsidR="00000000" w:rsidRDefault="00195E73">
            <w:pPr>
              <w:rPr>
                <w:rFonts w:eastAsia="Times New Roman"/>
                <w:sz w:val="20"/>
                <w:szCs w:val="20"/>
              </w:rPr>
            </w:pPr>
          </w:p>
        </w:tc>
        <w:tc>
          <w:tcPr>
            <w:tcW w:w="0" w:type="auto"/>
            <w:vAlign w:val="center"/>
            <w:hideMark/>
          </w:tcPr>
          <w:p w14:paraId="66293BD4" w14:textId="77777777" w:rsidR="00000000" w:rsidRDefault="00195E73">
            <w:pPr>
              <w:rPr>
                <w:rFonts w:eastAsia="Times New Roman"/>
                <w:sz w:val="20"/>
                <w:szCs w:val="20"/>
              </w:rPr>
            </w:pPr>
          </w:p>
        </w:tc>
        <w:tc>
          <w:tcPr>
            <w:tcW w:w="0" w:type="auto"/>
            <w:vAlign w:val="center"/>
            <w:hideMark/>
          </w:tcPr>
          <w:p w14:paraId="56E92D19" w14:textId="77777777" w:rsidR="00000000" w:rsidRDefault="00195E73">
            <w:pPr>
              <w:rPr>
                <w:rFonts w:eastAsia="Times New Roman"/>
                <w:sz w:val="20"/>
                <w:szCs w:val="20"/>
              </w:rPr>
            </w:pPr>
          </w:p>
        </w:tc>
        <w:tc>
          <w:tcPr>
            <w:tcW w:w="0" w:type="auto"/>
            <w:vAlign w:val="center"/>
            <w:hideMark/>
          </w:tcPr>
          <w:p w14:paraId="4A74064D" w14:textId="77777777" w:rsidR="00000000" w:rsidRDefault="00195E73">
            <w:pPr>
              <w:rPr>
                <w:rFonts w:eastAsia="Times New Roman"/>
                <w:sz w:val="20"/>
                <w:szCs w:val="20"/>
              </w:rPr>
            </w:pPr>
          </w:p>
        </w:tc>
        <w:tc>
          <w:tcPr>
            <w:tcW w:w="0" w:type="auto"/>
            <w:vAlign w:val="center"/>
            <w:hideMark/>
          </w:tcPr>
          <w:p w14:paraId="6022993A" w14:textId="77777777" w:rsidR="00000000" w:rsidRDefault="00195E73">
            <w:pPr>
              <w:rPr>
                <w:rFonts w:eastAsia="Times New Roman"/>
                <w:sz w:val="20"/>
                <w:szCs w:val="20"/>
              </w:rPr>
            </w:pPr>
          </w:p>
        </w:tc>
      </w:tr>
      <w:tr w:rsidR="00000000" w14:paraId="16704A07" w14:textId="77777777">
        <w:trPr>
          <w:divId w:val="1839031348"/>
          <w:trHeight w:val="240"/>
          <w:jc w:val="center"/>
        </w:trPr>
        <w:tc>
          <w:tcPr>
            <w:tcW w:w="0" w:type="auto"/>
            <w:gridSpan w:val="3"/>
            <w:shd w:val="clear" w:color="auto" w:fill="CCEEFF"/>
            <w:tcMar>
              <w:top w:w="15" w:type="dxa"/>
              <w:left w:w="20" w:type="dxa"/>
              <w:bottom w:w="15" w:type="dxa"/>
              <w:right w:w="20" w:type="dxa"/>
            </w:tcMar>
            <w:vAlign w:val="bottom"/>
            <w:hideMark/>
          </w:tcPr>
          <w:p w14:paraId="560A8C5C" w14:textId="77777777" w:rsidR="00000000" w:rsidRDefault="00195E73">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DB798B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76B530B"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2B5D927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FC85497"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036206A4"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2A576A0"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00C4C90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8617A93"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EA80921" w14:textId="77777777" w:rsidR="00000000" w:rsidRDefault="00195E73">
            <w:pPr>
              <w:rPr>
                <w:rFonts w:eastAsia="Times New Roman"/>
                <w:sz w:val="20"/>
                <w:szCs w:val="20"/>
              </w:rPr>
            </w:pPr>
          </w:p>
        </w:tc>
        <w:tc>
          <w:tcPr>
            <w:tcW w:w="0" w:type="auto"/>
            <w:vAlign w:val="center"/>
            <w:hideMark/>
          </w:tcPr>
          <w:p w14:paraId="3F733761" w14:textId="77777777" w:rsidR="00000000" w:rsidRDefault="00195E73">
            <w:pPr>
              <w:rPr>
                <w:rFonts w:eastAsia="Times New Roman"/>
                <w:sz w:val="20"/>
                <w:szCs w:val="20"/>
              </w:rPr>
            </w:pPr>
          </w:p>
        </w:tc>
        <w:tc>
          <w:tcPr>
            <w:tcW w:w="0" w:type="auto"/>
            <w:vAlign w:val="center"/>
            <w:hideMark/>
          </w:tcPr>
          <w:p w14:paraId="42205430" w14:textId="77777777" w:rsidR="00000000" w:rsidRDefault="00195E73">
            <w:pPr>
              <w:rPr>
                <w:rFonts w:eastAsia="Times New Roman"/>
                <w:sz w:val="20"/>
                <w:szCs w:val="20"/>
              </w:rPr>
            </w:pPr>
          </w:p>
        </w:tc>
        <w:tc>
          <w:tcPr>
            <w:tcW w:w="0" w:type="auto"/>
            <w:vAlign w:val="center"/>
            <w:hideMark/>
          </w:tcPr>
          <w:p w14:paraId="6D4A8802" w14:textId="77777777" w:rsidR="00000000" w:rsidRDefault="00195E73">
            <w:pPr>
              <w:rPr>
                <w:rFonts w:eastAsia="Times New Roman"/>
                <w:sz w:val="20"/>
                <w:szCs w:val="20"/>
              </w:rPr>
            </w:pPr>
          </w:p>
        </w:tc>
        <w:tc>
          <w:tcPr>
            <w:tcW w:w="0" w:type="auto"/>
            <w:vAlign w:val="center"/>
            <w:hideMark/>
          </w:tcPr>
          <w:p w14:paraId="5F509502" w14:textId="77777777" w:rsidR="00000000" w:rsidRDefault="00195E73">
            <w:pPr>
              <w:rPr>
                <w:rFonts w:eastAsia="Times New Roman"/>
                <w:sz w:val="20"/>
                <w:szCs w:val="20"/>
              </w:rPr>
            </w:pPr>
          </w:p>
        </w:tc>
        <w:tc>
          <w:tcPr>
            <w:tcW w:w="0" w:type="auto"/>
            <w:vAlign w:val="center"/>
            <w:hideMark/>
          </w:tcPr>
          <w:p w14:paraId="3171574D" w14:textId="77777777" w:rsidR="00000000" w:rsidRDefault="00195E73">
            <w:pPr>
              <w:rPr>
                <w:rFonts w:eastAsia="Times New Roman"/>
                <w:sz w:val="20"/>
                <w:szCs w:val="20"/>
              </w:rPr>
            </w:pPr>
          </w:p>
        </w:tc>
        <w:tc>
          <w:tcPr>
            <w:tcW w:w="0" w:type="auto"/>
            <w:vAlign w:val="center"/>
            <w:hideMark/>
          </w:tcPr>
          <w:p w14:paraId="642EFC30" w14:textId="77777777" w:rsidR="00000000" w:rsidRDefault="00195E73">
            <w:pPr>
              <w:rPr>
                <w:rFonts w:eastAsia="Times New Roman"/>
                <w:sz w:val="20"/>
                <w:szCs w:val="20"/>
              </w:rPr>
            </w:pPr>
          </w:p>
        </w:tc>
        <w:tc>
          <w:tcPr>
            <w:tcW w:w="0" w:type="auto"/>
            <w:vAlign w:val="center"/>
            <w:hideMark/>
          </w:tcPr>
          <w:p w14:paraId="798DA7C2" w14:textId="77777777" w:rsidR="00000000" w:rsidRDefault="00195E73">
            <w:pPr>
              <w:rPr>
                <w:rFonts w:eastAsia="Times New Roman"/>
                <w:sz w:val="20"/>
                <w:szCs w:val="20"/>
              </w:rPr>
            </w:pPr>
          </w:p>
        </w:tc>
        <w:tc>
          <w:tcPr>
            <w:tcW w:w="0" w:type="auto"/>
            <w:vAlign w:val="center"/>
            <w:hideMark/>
          </w:tcPr>
          <w:p w14:paraId="4A69B403" w14:textId="77777777" w:rsidR="00000000" w:rsidRDefault="00195E73">
            <w:pPr>
              <w:rPr>
                <w:rFonts w:eastAsia="Times New Roman"/>
                <w:sz w:val="20"/>
                <w:szCs w:val="20"/>
              </w:rPr>
            </w:pPr>
          </w:p>
        </w:tc>
        <w:tc>
          <w:tcPr>
            <w:tcW w:w="0" w:type="auto"/>
            <w:vAlign w:val="center"/>
            <w:hideMark/>
          </w:tcPr>
          <w:p w14:paraId="542BBEB7" w14:textId="77777777" w:rsidR="00000000" w:rsidRDefault="00195E73">
            <w:pPr>
              <w:rPr>
                <w:rFonts w:eastAsia="Times New Roman"/>
                <w:sz w:val="20"/>
                <w:szCs w:val="20"/>
              </w:rPr>
            </w:pPr>
          </w:p>
        </w:tc>
        <w:tc>
          <w:tcPr>
            <w:tcW w:w="0" w:type="auto"/>
            <w:vAlign w:val="center"/>
            <w:hideMark/>
          </w:tcPr>
          <w:p w14:paraId="2D405457" w14:textId="77777777" w:rsidR="00000000" w:rsidRDefault="00195E73">
            <w:pPr>
              <w:rPr>
                <w:rFonts w:eastAsia="Times New Roman"/>
                <w:sz w:val="20"/>
                <w:szCs w:val="20"/>
              </w:rPr>
            </w:pPr>
          </w:p>
        </w:tc>
        <w:tc>
          <w:tcPr>
            <w:tcW w:w="0" w:type="auto"/>
            <w:vAlign w:val="center"/>
            <w:hideMark/>
          </w:tcPr>
          <w:p w14:paraId="17F049A0" w14:textId="77777777" w:rsidR="00000000" w:rsidRDefault="00195E73">
            <w:pPr>
              <w:rPr>
                <w:rFonts w:eastAsia="Times New Roman"/>
                <w:sz w:val="20"/>
                <w:szCs w:val="20"/>
              </w:rPr>
            </w:pPr>
          </w:p>
        </w:tc>
        <w:tc>
          <w:tcPr>
            <w:tcW w:w="0" w:type="auto"/>
            <w:vAlign w:val="center"/>
            <w:hideMark/>
          </w:tcPr>
          <w:p w14:paraId="7845458E" w14:textId="77777777" w:rsidR="00000000" w:rsidRDefault="00195E73">
            <w:pPr>
              <w:rPr>
                <w:rFonts w:eastAsia="Times New Roman"/>
                <w:sz w:val="20"/>
                <w:szCs w:val="20"/>
              </w:rPr>
            </w:pPr>
          </w:p>
        </w:tc>
        <w:tc>
          <w:tcPr>
            <w:tcW w:w="0" w:type="auto"/>
            <w:vAlign w:val="center"/>
            <w:hideMark/>
          </w:tcPr>
          <w:p w14:paraId="148A4EE7" w14:textId="77777777" w:rsidR="00000000" w:rsidRDefault="00195E73">
            <w:pPr>
              <w:rPr>
                <w:rFonts w:eastAsia="Times New Roman"/>
                <w:sz w:val="20"/>
                <w:szCs w:val="20"/>
              </w:rPr>
            </w:pPr>
          </w:p>
        </w:tc>
        <w:tc>
          <w:tcPr>
            <w:tcW w:w="0" w:type="auto"/>
            <w:vAlign w:val="center"/>
            <w:hideMark/>
          </w:tcPr>
          <w:p w14:paraId="1901A034" w14:textId="77777777" w:rsidR="00000000" w:rsidRDefault="00195E73">
            <w:pPr>
              <w:rPr>
                <w:rFonts w:eastAsia="Times New Roman"/>
                <w:sz w:val="20"/>
                <w:szCs w:val="20"/>
              </w:rPr>
            </w:pPr>
          </w:p>
        </w:tc>
        <w:tc>
          <w:tcPr>
            <w:tcW w:w="0" w:type="auto"/>
            <w:vAlign w:val="center"/>
            <w:hideMark/>
          </w:tcPr>
          <w:p w14:paraId="6E6BABC7" w14:textId="77777777" w:rsidR="00000000" w:rsidRDefault="00195E73">
            <w:pPr>
              <w:rPr>
                <w:rFonts w:eastAsia="Times New Roman"/>
                <w:sz w:val="20"/>
                <w:szCs w:val="20"/>
              </w:rPr>
            </w:pPr>
          </w:p>
        </w:tc>
        <w:tc>
          <w:tcPr>
            <w:tcW w:w="0" w:type="auto"/>
            <w:vAlign w:val="center"/>
            <w:hideMark/>
          </w:tcPr>
          <w:p w14:paraId="33A9D6AC" w14:textId="77777777" w:rsidR="00000000" w:rsidRDefault="00195E73">
            <w:pPr>
              <w:rPr>
                <w:rFonts w:eastAsia="Times New Roman"/>
                <w:sz w:val="20"/>
                <w:szCs w:val="20"/>
              </w:rPr>
            </w:pPr>
          </w:p>
        </w:tc>
        <w:tc>
          <w:tcPr>
            <w:tcW w:w="0" w:type="auto"/>
            <w:vAlign w:val="center"/>
            <w:hideMark/>
          </w:tcPr>
          <w:p w14:paraId="159D552F" w14:textId="77777777" w:rsidR="00000000" w:rsidRDefault="00195E73">
            <w:pPr>
              <w:rPr>
                <w:rFonts w:eastAsia="Times New Roman"/>
                <w:sz w:val="20"/>
                <w:szCs w:val="20"/>
              </w:rPr>
            </w:pPr>
          </w:p>
        </w:tc>
        <w:tc>
          <w:tcPr>
            <w:tcW w:w="0" w:type="auto"/>
            <w:vAlign w:val="center"/>
            <w:hideMark/>
          </w:tcPr>
          <w:p w14:paraId="4FD9B79A" w14:textId="77777777" w:rsidR="00000000" w:rsidRDefault="00195E73">
            <w:pPr>
              <w:rPr>
                <w:rFonts w:eastAsia="Times New Roman"/>
                <w:sz w:val="20"/>
                <w:szCs w:val="20"/>
              </w:rPr>
            </w:pPr>
          </w:p>
        </w:tc>
        <w:tc>
          <w:tcPr>
            <w:tcW w:w="0" w:type="auto"/>
            <w:vAlign w:val="center"/>
            <w:hideMark/>
          </w:tcPr>
          <w:p w14:paraId="6E656C61" w14:textId="77777777" w:rsidR="00000000" w:rsidRDefault="00195E73">
            <w:pPr>
              <w:rPr>
                <w:rFonts w:eastAsia="Times New Roman"/>
                <w:sz w:val="20"/>
                <w:szCs w:val="20"/>
              </w:rPr>
            </w:pPr>
          </w:p>
        </w:tc>
        <w:tc>
          <w:tcPr>
            <w:tcW w:w="0" w:type="auto"/>
            <w:vAlign w:val="center"/>
            <w:hideMark/>
          </w:tcPr>
          <w:p w14:paraId="43FBB27C" w14:textId="77777777" w:rsidR="00000000" w:rsidRDefault="00195E73">
            <w:pPr>
              <w:rPr>
                <w:rFonts w:eastAsia="Times New Roman"/>
                <w:sz w:val="20"/>
                <w:szCs w:val="20"/>
              </w:rPr>
            </w:pPr>
          </w:p>
        </w:tc>
        <w:tc>
          <w:tcPr>
            <w:tcW w:w="0" w:type="auto"/>
            <w:vAlign w:val="center"/>
            <w:hideMark/>
          </w:tcPr>
          <w:p w14:paraId="29FB1298" w14:textId="77777777" w:rsidR="00000000" w:rsidRDefault="00195E73">
            <w:pPr>
              <w:rPr>
                <w:rFonts w:eastAsia="Times New Roman"/>
                <w:sz w:val="20"/>
                <w:szCs w:val="20"/>
              </w:rPr>
            </w:pPr>
          </w:p>
        </w:tc>
        <w:tc>
          <w:tcPr>
            <w:tcW w:w="0" w:type="auto"/>
            <w:vAlign w:val="center"/>
            <w:hideMark/>
          </w:tcPr>
          <w:p w14:paraId="20051901" w14:textId="77777777" w:rsidR="00000000" w:rsidRDefault="00195E73">
            <w:pPr>
              <w:rPr>
                <w:rFonts w:eastAsia="Times New Roman"/>
                <w:sz w:val="20"/>
                <w:szCs w:val="20"/>
              </w:rPr>
            </w:pPr>
          </w:p>
        </w:tc>
        <w:tc>
          <w:tcPr>
            <w:tcW w:w="0" w:type="auto"/>
            <w:vAlign w:val="center"/>
            <w:hideMark/>
          </w:tcPr>
          <w:p w14:paraId="7E9CEF49" w14:textId="77777777" w:rsidR="00000000" w:rsidRDefault="00195E73">
            <w:pPr>
              <w:rPr>
                <w:rFonts w:eastAsia="Times New Roman"/>
                <w:sz w:val="20"/>
                <w:szCs w:val="20"/>
              </w:rPr>
            </w:pPr>
          </w:p>
        </w:tc>
        <w:tc>
          <w:tcPr>
            <w:tcW w:w="0" w:type="auto"/>
            <w:vAlign w:val="center"/>
            <w:hideMark/>
          </w:tcPr>
          <w:p w14:paraId="6594BF00" w14:textId="77777777" w:rsidR="00000000" w:rsidRDefault="00195E73">
            <w:pPr>
              <w:rPr>
                <w:rFonts w:eastAsia="Times New Roman"/>
                <w:sz w:val="20"/>
                <w:szCs w:val="20"/>
              </w:rPr>
            </w:pPr>
          </w:p>
        </w:tc>
      </w:tr>
      <w:tr w:rsidR="00000000" w14:paraId="49D81483" w14:textId="77777777">
        <w:trPr>
          <w:divId w:val="1839031348"/>
          <w:jc w:val="center"/>
        </w:trPr>
        <w:tc>
          <w:tcPr>
            <w:tcW w:w="0" w:type="auto"/>
            <w:gridSpan w:val="3"/>
            <w:shd w:val="clear" w:color="auto" w:fill="FFFFFF"/>
            <w:tcMar>
              <w:top w:w="30" w:type="dxa"/>
              <w:left w:w="20" w:type="dxa"/>
              <w:bottom w:w="30" w:type="dxa"/>
              <w:right w:w="20" w:type="dxa"/>
            </w:tcMar>
            <w:vAlign w:val="bottom"/>
            <w:hideMark/>
          </w:tcPr>
          <w:p w14:paraId="6CD4BF03" w14:textId="77777777" w:rsidR="00000000" w:rsidRDefault="00195E73">
            <w:pPr>
              <w:ind w:hanging="90"/>
              <w:divId w:val="1166477479"/>
              <w:rPr>
                <w:rFonts w:eastAsia="Times New Roman"/>
              </w:rPr>
            </w:pPr>
            <w:r>
              <w:rPr>
                <w:rFonts w:eastAsia="Times New Roman"/>
                <w:color w:val="000000"/>
                <w:sz w:val="18"/>
                <w:szCs w:val="18"/>
              </w:rPr>
              <w:t>Net carrying value, Dec 3</w:t>
            </w:r>
            <w:r>
              <w:rPr>
                <w:rFonts w:eastAsia="Times New Roman"/>
                <w:color w:val="000000"/>
                <w:sz w:val="18"/>
                <w:szCs w:val="18"/>
              </w:rPr>
              <w:t>1</w:t>
            </w: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38B0D971" w14:textId="77777777" w:rsidR="00000000" w:rsidRDefault="00195E7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7392878F" w14:textId="77777777" w:rsidR="00000000" w:rsidRDefault="00195E73">
            <w:pPr>
              <w:jc w:val="right"/>
              <w:rPr>
                <w:rFonts w:eastAsia="Times New Roman"/>
              </w:rPr>
            </w:pPr>
            <w:r>
              <w:rPr>
                <w:rFonts w:eastAsia="Times New Roman"/>
                <w:color w:val="000000"/>
                <w:sz w:val="18"/>
                <w:szCs w:val="18"/>
              </w:rPr>
              <w:t>249</w:t>
            </w:r>
            <w:r>
              <w:rPr>
                <w:rFonts w:eastAsia="Times New Roman"/>
                <w:color w:val="000000"/>
                <w:sz w:val="18"/>
                <w:szCs w:val="18"/>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57676C0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5A89579" w14:textId="77777777" w:rsidR="00000000" w:rsidRDefault="00195E73">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1F7B14A2" w14:textId="77777777" w:rsidR="00000000" w:rsidRDefault="00195E7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4FD33DE1" w14:textId="77777777" w:rsidR="00000000" w:rsidRDefault="00195E73">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75F9AEF6"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6BA057D" w14:textId="77777777" w:rsidR="00000000" w:rsidRDefault="00195E73">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2971321A" w14:textId="77777777" w:rsidR="00000000" w:rsidRDefault="00195E7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769BD0EE" w14:textId="77777777" w:rsidR="00000000" w:rsidRDefault="00195E73">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52AB313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C8C2DCE" w14:textId="77777777" w:rsidR="00000000" w:rsidRDefault="00195E73">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78C5DFFF" w14:textId="77777777" w:rsidR="00000000" w:rsidRDefault="00195E7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5A2F2143" w14:textId="77777777" w:rsidR="00000000" w:rsidRDefault="00195E73">
            <w:pPr>
              <w:jc w:val="right"/>
              <w:rPr>
                <w:rFonts w:eastAsia="Times New Roman"/>
              </w:rPr>
            </w:pPr>
            <w:r>
              <w:rPr>
                <w:rFonts w:eastAsia="Times New Roman"/>
                <w:color w:val="000000"/>
                <w:sz w:val="18"/>
                <w:szCs w:val="18"/>
              </w:rPr>
              <w:t>23</w:t>
            </w:r>
            <w:r>
              <w:rPr>
                <w:rFonts w:eastAsia="Times New Roman"/>
                <w:color w:val="000000"/>
                <w:sz w:val="18"/>
                <w:szCs w:val="18"/>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5D1BE94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2D0E56B" w14:textId="77777777" w:rsidR="00000000" w:rsidRDefault="00195E73">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72FDFC2E" w14:textId="77777777" w:rsidR="00000000" w:rsidRDefault="00195E7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14C06766" w14:textId="77777777" w:rsidR="00000000" w:rsidRDefault="00195E73">
            <w:pPr>
              <w:jc w:val="right"/>
              <w:rPr>
                <w:rFonts w:eastAsia="Times New Roman"/>
              </w:rPr>
            </w:pPr>
            <w:r>
              <w:rPr>
                <w:rFonts w:eastAsia="Times New Roman"/>
                <w:color w:val="000000"/>
                <w:sz w:val="18"/>
                <w:szCs w:val="18"/>
              </w:rPr>
              <w:t>282</w:t>
            </w:r>
            <w:r>
              <w:rPr>
                <w:rFonts w:eastAsia="Times New Roman"/>
                <w:color w:val="000000"/>
                <w:sz w:val="18"/>
                <w:szCs w:val="18"/>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344B831B"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4FF16E7C" w14:textId="77777777" w:rsidR="00000000" w:rsidRDefault="00195E73">
            <w:pPr>
              <w:rPr>
                <w:rFonts w:eastAsia="Times New Roman"/>
                <w:sz w:val="20"/>
                <w:szCs w:val="20"/>
              </w:rPr>
            </w:pPr>
          </w:p>
        </w:tc>
        <w:tc>
          <w:tcPr>
            <w:tcW w:w="0" w:type="auto"/>
            <w:vAlign w:val="center"/>
            <w:hideMark/>
          </w:tcPr>
          <w:p w14:paraId="7C28766A" w14:textId="77777777" w:rsidR="00000000" w:rsidRDefault="00195E73">
            <w:pPr>
              <w:rPr>
                <w:rFonts w:eastAsia="Times New Roman"/>
                <w:sz w:val="20"/>
                <w:szCs w:val="20"/>
              </w:rPr>
            </w:pPr>
          </w:p>
        </w:tc>
        <w:tc>
          <w:tcPr>
            <w:tcW w:w="0" w:type="auto"/>
            <w:vAlign w:val="center"/>
            <w:hideMark/>
          </w:tcPr>
          <w:p w14:paraId="3753CBE0" w14:textId="77777777" w:rsidR="00000000" w:rsidRDefault="00195E73">
            <w:pPr>
              <w:rPr>
                <w:rFonts w:eastAsia="Times New Roman"/>
                <w:sz w:val="20"/>
                <w:szCs w:val="20"/>
              </w:rPr>
            </w:pPr>
          </w:p>
        </w:tc>
        <w:tc>
          <w:tcPr>
            <w:tcW w:w="0" w:type="auto"/>
            <w:vAlign w:val="center"/>
            <w:hideMark/>
          </w:tcPr>
          <w:p w14:paraId="24C12485" w14:textId="77777777" w:rsidR="00000000" w:rsidRDefault="00195E73">
            <w:pPr>
              <w:rPr>
                <w:rFonts w:eastAsia="Times New Roman"/>
                <w:sz w:val="20"/>
                <w:szCs w:val="20"/>
              </w:rPr>
            </w:pPr>
          </w:p>
        </w:tc>
        <w:tc>
          <w:tcPr>
            <w:tcW w:w="0" w:type="auto"/>
            <w:vAlign w:val="center"/>
            <w:hideMark/>
          </w:tcPr>
          <w:p w14:paraId="20A2DB7C" w14:textId="77777777" w:rsidR="00000000" w:rsidRDefault="00195E73">
            <w:pPr>
              <w:rPr>
                <w:rFonts w:eastAsia="Times New Roman"/>
                <w:sz w:val="20"/>
                <w:szCs w:val="20"/>
              </w:rPr>
            </w:pPr>
          </w:p>
        </w:tc>
        <w:tc>
          <w:tcPr>
            <w:tcW w:w="0" w:type="auto"/>
            <w:vAlign w:val="center"/>
            <w:hideMark/>
          </w:tcPr>
          <w:p w14:paraId="22CADD5E" w14:textId="77777777" w:rsidR="00000000" w:rsidRDefault="00195E73">
            <w:pPr>
              <w:rPr>
                <w:rFonts w:eastAsia="Times New Roman"/>
                <w:sz w:val="20"/>
                <w:szCs w:val="20"/>
              </w:rPr>
            </w:pPr>
          </w:p>
        </w:tc>
        <w:tc>
          <w:tcPr>
            <w:tcW w:w="0" w:type="auto"/>
            <w:vAlign w:val="center"/>
            <w:hideMark/>
          </w:tcPr>
          <w:p w14:paraId="5B9B3743" w14:textId="77777777" w:rsidR="00000000" w:rsidRDefault="00195E73">
            <w:pPr>
              <w:rPr>
                <w:rFonts w:eastAsia="Times New Roman"/>
                <w:sz w:val="20"/>
                <w:szCs w:val="20"/>
              </w:rPr>
            </w:pPr>
          </w:p>
        </w:tc>
        <w:tc>
          <w:tcPr>
            <w:tcW w:w="0" w:type="auto"/>
            <w:vAlign w:val="center"/>
            <w:hideMark/>
          </w:tcPr>
          <w:p w14:paraId="6CA3F68E" w14:textId="77777777" w:rsidR="00000000" w:rsidRDefault="00195E73">
            <w:pPr>
              <w:rPr>
                <w:rFonts w:eastAsia="Times New Roman"/>
                <w:sz w:val="20"/>
                <w:szCs w:val="20"/>
              </w:rPr>
            </w:pPr>
          </w:p>
        </w:tc>
        <w:tc>
          <w:tcPr>
            <w:tcW w:w="0" w:type="auto"/>
            <w:vAlign w:val="center"/>
            <w:hideMark/>
          </w:tcPr>
          <w:p w14:paraId="69369108" w14:textId="77777777" w:rsidR="00000000" w:rsidRDefault="00195E73">
            <w:pPr>
              <w:rPr>
                <w:rFonts w:eastAsia="Times New Roman"/>
                <w:sz w:val="20"/>
                <w:szCs w:val="20"/>
              </w:rPr>
            </w:pPr>
          </w:p>
        </w:tc>
        <w:tc>
          <w:tcPr>
            <w:tcW w:w="0" w:type="auto"/>
            <w:vAlign w:val="center"/>
            <w:hideMark/>
          </w:tcPr>
          <w:p w14:paraId="6D66CC06" w14:textId="77777777" w:rsidR="00000000" w:rsidRDefault="00195E73">
            <w:pPr>
              <w:rPr>
                <w:rFonts w:eastAsia="Times New Roman"/>
                <w:sz w:val="20"/>
                <w:szCs w:val="20"/>
              </w:rPr>
            </w:pPr>
          </w:p>
        </w:tc>
        <w:tc>
          <w:tcPr>
            <w:tcW w:w="0" w:type="auto"/>
            <w:vAlign w:val="center"/>
            <w:hideMark/>
          </w:tcPr>
          <w:p w14:paraId="1BAE0681" w14:textId="77777777" w:rsidR="00000000" w:rsidRDefault="00195E73">
            <w:pPr>
              <w:rPr>
                <w:rFonts w:eastAsia="Times New Roman"/>
                <w:sz w:val="20"/>
                <w:szCs w:val="20"/>
              </w:rPr>
            </w:pPr>
          </w:p>
        </w:tc>
        <w:tc>
          <w:tcPr>
            <w:tcW w:w="0" w:type="auto"/>
            <w:vAlign w:val="center"/>
            <w:hideMark/>
          </w:tcPr>
          <w:p w14:paraId="7E3C544F" w14:textId="77777777" w:rsidR="00000000" w:rsidRDefault="00195E73">
            <w:pPr>
              <w:rPr>
                <w:rFonts w:eastAsia="Times New Roman"/>
                <w:sz w:val="20"/>
                <w:szCs w:val="20"/>
              </w:rPr>
            </w:pPr>
          </w:p>
        </w:tc>
        <w:tc>
          <w:tcPr>
            <w:tcW w:w="0" w:type="auto"/>
            <w:vAlign w:val="center"/>
            <w:hideMark/>
          </w:tcPr>
          <w:p w14:paraId="6B7B458B" w14:textId="77777777" w:rsidR="00000000" w:rsidRDefault="00195E73">
            <w:pPr>
              <w:rPr>
                <w:rFonts w:eastAsia="Times New Roman"/>
                <w:sz w:val="20"/>
                <w:szCs w:val="20"/>
              </w:rPr>
            </w:pPr>
          </w:p>
        </w:tc>
        <w:tc>
          <w:tcPr>
            <w:tcW w:w="0" w:type="auto"/>
            <w:vAlign w:val="center"/>
            <w:hideMark/>
          </w:tcPr>
          <w:p w14:paraId="7327E698" w14:textId="77777777" w:rsidR="00000000" w:rsidRDefault="00195E73">
            <w:pPr>
              <w:rPr>
                <w:rFonts w:eastAsia="Times New Roman"/>
                <w:sz w:val="20"/>
                <w:szCs w:val="20"/>
              </w:rPr>
            </w:pPr>
          </w:p>
        </w:tc>
        <w:tc>
          <w:tcPr>
            <w:tcW w:w="0" w:type="auto"/>
            <w:vAlign w:val="center"/>
            <w:hideMark/>
          </w:tcPr>
          <w:p w14:paraId="5CC65439" w14:textId="77777777" w:rsidR="00000000" w:rsidRDefault="00195E73">
            <w:pPr>
              <w:rPr>
                <w:rFonts w:eastAsia="Times New Roman"/>
                <w:sz w:val="20"/>
                <w:szCs w:val="20"/>
              </w:rPr>
            </w:pPr>
          </w:p>
        </w:tc>
        <w:tc>
          <w:tcPr>
            <w:tcW w:w="0" w:type="auto"/>
            <w:vAlign w:val="center"/>
            <w:hideMark/>
          </w:tcPr>
          <w:p w14:paraId="3F99E40D" w14:textId="77777777" w:rsidR="00000000" w:rsidRDefault="00195E73">
            <w:pPr>
              <w:rPr>
                <w:rFonts w:eastAsia="Times New Roman"/>
                <w:sz w:val="20"/>
                <w:szCs w:val="20"/>
              </w:rPr>
            </w:pPr>
          </w:p>
        </w:tc>
        <w:tc>
          <w:tcPr>
            <w:tcW w:w="0" w:type="auto"/>
            <w:vAlign w:val="center"/>
            <w:hideMark/>
          </w:tcPr>
          <w:p w14:paraId="0DCE9C4B" w14:textId="77777777" w:rsidR="00000000" w:rsidRDefault="00195E73">
            <w:pPr>
              <w:rPr>
                <w:rFonts w:eastAsia="Times New Roman"/>
                <w:sz w:val="20"/>
                <w:szCs w:val="20"/>
              </w:rPr>
            </w:pPr>
          </w:p>
        </w:tc>
        <w:tc>
          <w:tcPr>
            <w:tcW w:w="0" w:type="auto"/>
            <w:vAlign w:val="center"/>
            <w:hideMark/>
          </w:tcPr>
          <w:p w14:paraId="4A4EAD5B" w14:textId="77777777" w:rsidR="00000000" w:rsidRDefault="00195E73">
            <w:pPr>
              <w:rPr>
                <w:rFonts w:eastAsia="Times New Roman"/>
                <w:sz w:val="20"/>
                <w:szCs w:val="20"/>
              </w:rPr>
            </w:pPr>
          </w:p>
        </w:tc>
        <w:tc>
          <w:tcPr>
            <w:tcW w:w="0" w:type="auto"/>
            <w:vAlign w:val="center"/>
            <w:hideMark/>
          </w:tcPr>
          <w:p w14:paraId="475D5A2B" w14:textId="77777777" w:rsidR="00000000" w:rsidRDefault="00195E73">
            <w:pPr>
              <w:rPr>
                <w:rFonts w:eastAsia="Times New Roman"/>
                <w:sz w:val="20"/>
                <w:szCs w:val="20"/>
              </w:rPr>
            </w:pPr>
          </w:p>
        </w:tc>
        <w:tc>
          <w:tcPr>
            <w:tcW w:w="0" w:type="auto"/>
            <w:vAlign w:val="center"/>
            <w:hideMark/>
          </w:tcPr>
          <w:p w14:paraId="635902DA" w14:textId="77777777" w:rsidR="00000000" w:rsidRDefault="00195E73">
            <w:pPr>
              <w:rPr>
                <w:rFonts w:eastAsia="Times New Roman"/>
                <w:sz w:val="20"/>
                <w:szCs w:val="20"/>
              </w:rPr>
            </w:pPr>
          </w:p>
        </w:tc>
        <w:tc>
          <w:tcPr>
            <w:tcW w:w="0" w:type="auto"/>
            <w:vAlign w:val="center"/>
            <w:hideMark/>
          </w:tcPr>
          <w:p w14:paraId="68CF603A" w14:textId="77777777" w:rsidR="00000000" w:rsidRDefault="00195E73">
            <w:pPr>
              <w:rPr>
                <w:rFonts w:eastAsia="Times New Roman"/>
                <w:sz w:val="20"/>
                <w:szCs w:val="20"/>
              </w:rPr>
            </w:pPr>
          </w:p>
        </w:tc>
        <w:tc>
          <w:tcPr>
            <w:tcW w:w="0" w:type="auto"/>
            <w:vAlign w:val="center"/>
            <w:hideMark/>
          </w:tcPr>
          <w:p w14:paraId="76AB74A6" w14:textId="77777777" w:rsidR="00000000" w:rsidRDefault="00195E73">
            <w:pPr>
              <w:rPr>
                <w:rFonts w:eastAsia="Times New Roman"/>
                <w:sz w:val="20"/>
                <w:szCs w:val="20"/>
              </w:rPr>
            </w:pPr>
          </w:p>
        </w:tc>
        <w:tc>
          <w:tcPr>
            <w:tcW w:w="0" w:type="auto"/>
            <w:vAlign w:val="center"/>
            <w:hideMark/>
          </w:tcPr>
          <w:p w14:paraId="2AA6ED81" w14:textId="77777777" w:rsidR="00000000" w:rsidRDefault="00195E73">
            <w:pPr>
              <w:rPr>
                <w:rFonts w:eastAsia="Times New Roman"/>
                <w:sz w:val="20"/>
                <w:szCs w:val="20"/>
              </w:rPr>
            </w:pPr>
          </w:p>
        </w:tc>
        <w:tc>
          <w:tcPr>
            <w:tcW w:w="0" w:type="auto"/>
            <w:vAlign w:val="center"/>
            <w:hideMark/>
          </w:tcPr>
          <w:p w14:paraId="60F2489A" w14:textId="77777777" w:rsidR="00000000" w:rsidRDefault="00195E73">
            <w:pPr>
              <w:rPr>
                <w:rFonts w:eastAsia="Times New Roman"/>
                <w:sz w:val="20"/>
                <w:szCs w:val="20"/>
              </w:rPr>
            </w:pPr>
          </w:p>
        </w:tc>
      </w:tr>
    </w:tbl>
    <w:p w14:paraId="0197B3E5" w14:textId="77777777" w:rsidR="00000000" w:rsidRDefault="00195E73">
      <w:pPr>
        <w:ind w:firstLine="405"/>
        <w:divId w:val="123300789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4152"/>
        <w:gridCol w:w="45"/>
        <w:gridCol w:w="126"/>
        <w:gridCol w:w="949"/>
        <w:gridCol w:w="80"/>
        <w:gridCol w:w="36"/>
        <w:gridCol w:w="36"/>
        <w:gridCol w:w="41"/>
        <w:gridCol w:w="126"/>
        <w:gridCol w:w="922"/>
        <w:gridCol w:w="80"/>
        <w:gridCol w:w="36"/>
        <w:gridCol w:w="36"/>
        <w:gridCol w:w="36"/>
        <w:gridCol w:w="126"/>
        <w:gridCol w:w="922"/>
        <w:gridCol w:w="80"/>
        <w:gridCol w:w="36"/>
        <w:gridCol w:w="36"/>
        <w:gridCol w:w="36"/>
        <w:gridCol w:w="36"/>
        <w:gridCol w:w="36"/>
        <w:gridCol w:w="36"/>
        <w:gridCol w:w="36"/>
        <w:gridCol w:w="36"/>
        <w:gridCol w:w="36"/>
        <w:gridCol w:w="36"/>
        <w:gridCol w:w="36"/>
        <w:gridCol w:w="36"/>
      </w:tblGrid>
      <w:tr w:rsidR="00000000" w14:paraId="256A36F9" w14:textId="77777777">
        <w:trPr>
          <w:gridAfter w:val="12"/>
          <w:divId w:val="1195459813"/>
          <w:jc w:val="center"/>
        </w:trPr>
        <w:tc>
          <w:tcPr>
            <w:tcW w:w="50" w:type="pct"/>
            <w:vAlign w:val="center"/>
            <w:hideMark/>
          </w:tcPr>
          <w:p w14:paraId="33DD048D" w14:textId="77777777" w:rsidR="00000000" w:rsidRDefault="00195E73">
            <w:pPr>
              <w:ind w:firstLine="405"/>
              <w:rPr>
                <w:rFonts w:eastAsia="Times New Roman"/>
              </w:rPr>
            </w:pPr>
          </w:p>
        </w:tc>
        <w:tc>
          <w:tcPr>
            <w:tcW w:w="2655" w:type="pct"/>
            <w:vAlign w:val="center"/>
            <w:hideMark/>
          </w:tcPr>
          <w:p w14:paraId="41045D15" w14:textId="77777777" w:rsidR="00000000" w:rsidRDefault="00195E73">
            <w:pPr>
              <w:rPr>
                <w:rFonts w:eastAsia="Times New Roman"/>
                <w:sz w:val="20"/>
                <w:szCs w:val="20"/>
              </w:rPr>
            </w:pPr>
          </w:p>
        </w:tc>
        <w:tc>
          <w:tcPr>
            <w:tcW w:w="50" w:type="pct"/>
            <w:vAlign w:val="center"/>
            <w:hideMark/>
          </w:tcPr>
          <w:p w14:paraId="5F73B506" w14:textId="77777777" w:rsidR="00000000" w:rsidRDefault="00195E73">
            <w:pPr>
              <w:rPr>
                <w:rFonts w:eastAsia="Times New Roman"/>
                <w:sz w:val="20"/>
                <w:szCs w:val="20"/>
              </w:rPr>
            </w:pPr>
          </w:p>
        </w:tc>
        <w:tc>
          <w:tcPr>
            <w:tcW w:w="50" w:type="pct"/>
            <w:vAlign w:val="center"/>
            <w:hideMark/>
          </w:tcPr>
          <w:p w14:paraId="74F486C9" w14:textId="77777777" w:rsidR="00000000" w:rsidRDefault="00195E73">
            <w:pPr>
              <w:rPr>
                <w:rFonts w:eastAsia="Times New Roman"/>
                <w:sz w:val="20"/>
                <w:szCs w:val="20"/>
              </w:rPr>
            </w:pPr>
          </w:p>
        </w:tc>
        <w:tc>
          <w:tcPr>
            <w:tcW w:w="623" w:type="pct"/>
            <w:vAlign w:val="center"/>
            <w:hideMark/>
          </w:tcPr>
          <w:p w14:paraId="63E3C487" w14:textId="77777777" w:rsidR="00000000" w:rsidRDefault="00195E73">
            <w:pPr>
              <w:rPr>
                <w:rFonts w:eastAsia="Times New Roman"/>
                <w:sz w:val="20"/>
                <w:szCs w:val="20"/>
              </w:rPr>
            </w:pPr>
          </w:p>
        </w:tc>
        <w:tc>
          <w:tcPr>
            <w:tcW w:w="50" w:type="pct"/>
            <w:vAlign w:val="center"/>
            <w:hideMark/>
          </w:tcPr>
          <w:p w14:paraId="33F76475" w14:textId="77777777" w:rsidR="00000000" w:rsidRDefault="00195E73">
            <w:pPr>
              <w:rPr>
                <w:rFonts w:eastAsia="Times New Roman"/>
                <w:sz w:val="20"/>
                <w:szCs w:val="20"/>
              </w:rPr>
            </w:pPr>
          </w:p>
        </w:tc>
        <w:tc>
          <w:tcPr>
            <w:tcW w:w="5" w:type="pct"/>
            <w:vAlign w:val="center"/>
            <w:hideMark/>
          </w:tcPr>
          <w:p w14:paraId="34D5A82F" w14:textId="77777777" w:rsidR="00000000" w:rsidRDefault="00195E73">
            <w:pPr>
              <w:rPr>
                <w:rFonts w:eastAsia="Times New Roman"/>
                <w:sz w:val="20"/>
                <w:szCs w:val="20"/>
              </w:rPr>
            </w:pPr>
          </w:p>
        </w:tc>
        <w:tc>
          <w:tcPr>
            <w:tcW w:w="26" w:type="pct"/>
            <w:vAlign w:val="center"/>
            <w:hideMark/>
          </w:tcPr>
          <w:p w14:paraId="03A1D816" w14:textId="77777777" w:rsidR="00000000" w:rsidRDefault="00195E73">
            <w:pPr>
              <w:rPr>
                <w:rFonts w:eastAsia="Times New Roman"/>
                <w:sz w:val="20"/>
                <w:szCs w:val="20"/>
              </w:rPr>
            </w:pPr>
          </w:p>
        </w:tc>
        <w:tc>
          <w:tcPr>
            <w:tcW w:w="5" w:type="pct"/>
            <w:vAlign w:val="center"/>
            <w:hideMark/>
          </w:tcPr>
          <w:p w14:paraId="72EB82A1" w14:textId="77777777" w:rsidR="00000000" w:rsidRDefault="00195E73">
            <w:pPr>
              <w:rPr>
                <w:rFonts w:eastAsia="Times New Roman"/>
                <w:sz w:val="20"/>
                <w:szCs w:val="20"/>
              </w:rPr>
            </w:pPr>
          </w:p>
        </w:tc>
        <w:tc>
          <w:tcPr>
            <w:tcW w:w="50" w:type="pct"/>
            <w:vAlign w:val="center"/>
            <w:hideMark/>
          </w:tcPr>
          <w:p w14:paraId="4FFF54FF" w14:textId="77777777" w:rsidR="00000000" w:rsidRDefault="00195E73">
            <w:pPr>
              <w:rPr>
                <w:rFonts w:eastAsia="Times New Roman"/>
                <w:sz w:val="20"/>
                <w:szCs w:val="20"/>
              </w:rPr>
            </w:pPr>
          </w:p>
        </w:tc>
        <w:tc>
          <w:tcPr>
            <w:tcW w:w="623" w:type="pct"/>
            <w:vAlign w:val="center"/>
            <w:hideMark/>
          </w:tcPr>
          <w:p w14:paraId="116C93E1" w14:textId="77777777" w:rsidR="00000000" w:rsidRDefault="00195E73">
            <w:pPr>
              <w:rPr>
                <w:rFonts w:eastAsia="Times New Roman"/>
                <w:sz w:val="20"/>
                <w:szCs w:val="20"/>
              </w:rPr>
            </w:pPr>
          </w:p>
        </w:tc>
        <w:tc>
          <w:tcPr>
            <w:tcW w:w="50" w:type="pct"/>
            <w:vAlign w:val="center"/>
            <w:hideMark/>
          </w:tcPr>
          <w:p w14:paraId="0D71DF08" w14:textId="77777777" w:rsidR="00000000" w:rsidRDefault="00195E73">
            <w:pPr>
              <w:rPr>
                <w:rFonts w:eastAsia="Times New Roman"/>
                <w:sz w:val="20"/>
                <w:szCs w:val="20"/>
              </w:rPr>
            </w:pPr>
          </w:p>
        </w:tc>
        <w:tc>
          <w:tcPr>
            <w:tcW w:w="5" w:type="pct"/>
            <w:vAlign w:val="center"/>
            <w:hideMark/>
          </w:tcPr>
          <w:p w14:paraId="6485E389" w14:textId="77777777" w:rsidR="00000000" w:rsidRDefault="00195E73">
            <w:pPr>
              <w:rPr>
                <w:rFonts w:eastAsia="Times New Roman"/>
                <w:sz w:val="20"/>
                <w:szCs w:val="20"/>
              </w:rPr>
            </w:pPr>
          </w:p>
        </w:tc>
        <w:tc>
          <w:tcPr>
            <w:tcW w:w="26" w:type="pct"/>
            <w:vAlign w:val="center"/>
            <w:hideMark/>
          </w:tcPr>
          <w:p w14:paraId="7F76F05B" w14:textId="77777777" w:rsidR="00000000" w:rsidRDefault="00195E73">
            <w:pPr>
              <w:rPr>
                <w:rFonts w:eastAsia="Times New Roman"/>
                <w:sz w:val="20"/>
                <w:szCs w:val="20"/>
              </w:rPr>
            </w:pPr>
          </w:p>
        </w:tc>
        <w:tc>
          <w:tcPr>
            <w:tcW w:w="5" w:type="pct"/>
            <w:vAlign w:val="center"/>
            <w:hideMark/>
          </w:tcPr>
          <w:p w14:paraId="10EFE15A" w14:textId="77777777" w:rsidR="00000000" w:rsidRDefault="00195E73">
            <w:pPr>
              <w:rPr>
                <w:rFonts w:eastAsia="Times New Roman"/>
                <w:sz w:val="20"/>
                <w:szCs w:val="20"/>
              </w:rPr>
            </w:pPr>
          </w:p>
        </w:tc>
        <w:tc>
          <w:tcPr>
            <w:tcW w:w="50" w:type="pct"/>
            <w:vAlign w:val="center"/>
            <w:hideMark/>
          </w:tcPr>
          <w:p w14:paraId="5DA4EAC6" w14:textId="77777777" w:rsidR="00000000" w:rsidRDefault="00195E73">
            <w:pPr>
              <w:rPr>
                <w:rFonts w:eastAsia="Times New Roman"/>
                <w:sz w:val="20"/>
                <w:szCs w:val="20"/>
              </w:rPr>
            </w:pPr>
          </w:p>
        </w:tc>
        <w:tc>
          <w:tcPr>
            <w:tcW w:w="623" w:type="pct"/>
            <w:vAlign w:val="center"/>
            <w:hideMark/>
          </w:tcPr>
          <w:p w14:paraId="1ACF86CC" w14:textId="77777777" w:rsidR="00000000" w:rsidRDefault="00195E73">
            <w:pPr>
              <w:rPr>
                <w:rFonts w:eastAsia="Times New Roman"/>
                <w:sz w:val="20"/>
                <w:szCs w:val="20"/>
              </w:rPr>
            </w:pPr>
          </w:p>
        </w:tc>
        <w:tc>
          <w:tcPr>
            <w:tcW w:w="50" w:type="pct"/>
            <w:vAlign w:val="center"/>
            <w:hideMark/>
          </w:tcPr>
          <w:p w14:paraId="267303EC" w14:textId="77777777" w:rsidR="00000000" w:rsidRDefault="00195E73">
            <w:pPr>
              <w:rPr>
                <w:rFonts w:eastAsia="Times New Roman"/>
                <w:sz w:val="20"/>
                <w:szCs w:val="20"/>
              </w:rPr>
            </w:pPr>
          </w:p>
        </w:tc>
      </w:tr>
      <w:tr w:rsidR="00000000" w14:paraId="742F4F6E" w14:textId="77777777">
        <w:trPr>
          <w:divId w:val="1195459813"/>
          <w:jc w:val="center"/>
        </w:trPr>
        <w:tc>
          <w:tcPr>
            <w:tcW w:w="0" w:type="auto"/>
            <w:gridSpan w:val="3"/>
            <w:tcMar>
              <w:top w:w="15" w:type="dxa"/>
              <w:left w:w="20" w:type="dxa"/>
              <w:bottom w:w="15" w:type="dxa"/>
              <w:right w:w="20" w:type="dxa"/>
            </w:tcMar>
            <w:vAlign w:val="bottom"/>
            <w:hideMark/>
          </w:tcPr>
          <w:p w14:paraId="76CBB7CF"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005779BD" w14:textId="77777777" w:rsidR="00000000" w:rsidRDefault="00195E73">
            <w:pPr>
              <w:jc w:val="center"/>
              <w:rPr>
                <w:rFonts w:eastAsia="Times New Roman"/>
              </w:rPr>
            </w:pPr>
            <w:r>
              <w:rPr>
                <w:rFonts w:eastAsia="Times New Roman"/>
                <w:b/>
                <w:bCs/>
                <w:color w:val="000000"/>
                <w:sz w:val="18"/>
                <w:szCs w:val="18"/>
              </w:rPr>
              <w:t>December 31, 201</w:t>
            </w:r>
            <w:r>
              <w:rPr>
                <w:rFonts w:eastAsia="Times New Roman"/>
                <w:b/>
                <w:bCs/>
                <w:color w:val="000000"/>
                <w:sz w:val="18"/>
                <w:szCs w:val="18"/>
              </w:rPr>
              <w:t>8</w:t>
            </w:r>
          </w:p>
        </w:tc>
        <w:tc>
          <w:tcPr>
            <w:tcW w:w="0" w:type="auto"/>
            <w:gridSpan w:val="3"/>
            <w:vAlign w:val="center"/>
            <w:hideMark/>
          </w:tcPr>
          <w:p w14:paraId="36E5ECC0" w14:textId="77777777" w:rsidR="00000000" w:rsidRDefault="00195E73">
            <w:pPr>
              <w:jc w:val="center"/>
              <w:rPr>
                <w:rFonts w:eastAsia="Times New Roman"/>
              </w:rPr>
            </w:pPr>
          </w:p>
        </w:tc>
        <w:tc>
          <w:tcPr>
            <w:tcW w:w="0" w:type="auto"/>
            <w:gridSpan w:val="3"/>
            <w:vAlign w:val="center"/>
            <w:hideMark/>
          </w:tcPr>
          <w:p w14:paraId="2DB85838" w14:textId="77777777" w:rsidR="00000000" w:rsidRDefault="00195E73">
            <w:pPr>
              <w:rPr>
                <w:rFonts w:eastAsia="Times New Roman"/>
                <w:sz w:val="20"/>
                <w:szCs w:val="20"/>
              </w:rPr>
            </w:pPr>
          </w:p>
        </w:tc>
        <w:tc>
          <w:tcPr>
            <w:tcW w:w="0" w:type="auto"/>
            <w:gridSpan w:val="3"/>
            <w:vAlign w:val="center"/>
            <w:hideMark/>
          </w:tcPr>
          <w:p w14:paraId="141D35BC" w14:textId="77777777" w:rsidR="00000000" w:rsidRDefault="00195E73">
            <w:pPr>
              <w:rPr>
                <w:rFonts w:eastAsia="Times New Roman"/>
                <w:sz w:val="20"/>
                <w:szCs w:val="20"/>
              </w:rPr>
            </w:pPr>
          </w:p>
        </w:tc>
        <w:tc>
          <w:tcPr>
            <w:tcW w:w="0" w:type="auto"/>
            <w:gridSpan w:val="3"/>
            <w:vAlign w:val="center"/>
            <w:hideMark/>
          </w:tcPr>
          <w:p w14:paraId="3FA33B86" w14:textId="77777777" w:rsidR="00000000" w:rsidRDefault="00195E73">
            <w:pPr>
              <w:rPr>
                <w:rFonts w:eastAsia="Times New Roman"/>
                <w:sz w:val="20"/>
                <w:szCs w:val="20"/>
              </w:rPr>
            </w:pPr>
          </w:p>
        </w:tc>
      </w:tr>
      <w:tr w:rsidR="00000000" w14:paraId="5F23CCD1" w14:textId="77777777">
        <w:trPr>
          <w:divId w:val="1195459813"/>
          <w:jc w:val="center"/>
        </w:trPr>
        <w:tc>
          <w:tcPr>
            <w:tcW w:w="0" w:type="auto"/>
            <w:gridSpan w:val="3"/>
            <w:tcMar>
              <w:top w:w="15" w:type="dxa"/>
              <w:left w:w="20" w:type="dxa"/>
              <w:bottom w:w="15" w:type="dxa"/>
              <w:right w:w="20" w:type="dxa"/>
            </w:tcMar>
            <w:vAlign w:val="bottom"/>
            <w:hideMark/>
          </w:tcPr>
          <w:p w14:paraId="5607214D"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A956801" w14:textId="77777777" w:rsidR="00000000" w:rsidRDefault="00195E73">
            <w:pPr>
              <w:jc w:val="center"/>
              <w:rPr>
                <w:rFonts w:eastAsia="Times New Roman"/>
              </w:rPr>
            </w:pPr>
            <w:r>
              <w:rPr>
                <w:rFonts w:eastAsia="Times New Roman"/>
                <w:b/>
                <w:bCs/>
                <w:color w:val="000000"/>
                <w:sz w:val="18"/>
                <w:szCs w:val="18"/>
              </w:rPr>
              <w:t>Automotiv</w:t>
            </w:r>
            <w:r>
              <w:rPr>
                <w:rFonts w:eastAsia="Times New Roman"/>
                <w:b/>
                <w:bCs/>
                <w:color w:val="000000"/>
                <w:sz w:val="18"/>
                <w:szCs w:val="18"/>
              </w:rPr>
              <w:t>e</w:t>
            </w:r>
          </w:p>
        </w:tc>
        <w:tc>
          <w:tcPr>
            <w:tcW w:w="0" w:type="auto"/>
            <w:gridSpan w:val="3"/>
            <w:tcBorders>
              <w:top w:val="single" w:sz="8" w:space="0" w:color="000000"/>
            </w:tcBorders>
            <w:tcMar>
              <w:top w:w="15" w:type="dxa"/>
              <w:left w:w="20" w:type="dxa"/>
              <w:bottom w:w="15" w:type="dxa"/>
              <w:right w:w="20" w:type="dxa"/>
            </w:tcMar>
            <w:vAlign w:val="bottom"/>
            <w:hideMark/>
          </w:tcPr>
          <w:p w14:paraId="00C3D0D3"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2ED5B0" w14:textId="77777777" w:rsidR="00000000" w:rsidRDefault="00195E73">
            <w:pPr>
              <w:jc w:val="center"/>
              <w:rPr>
                <w:rFonts w:eastAsia="Times New Roman"/>
              </w:rPr>
            </w:pPr>
            <w:r>
              <w:rPr>
                <w:rFonts w:eastAsia="Times New Roman"/>
                <w:b/>
                <w:bCs/>
                <w:color w:val="000000"/>
                <w:sz w:val="18"/>
                <w:szCs w:val="18"/>
              </w:rPr>
              <w:t>Food Packagin</w:t>
            </w:r>
            <w:r>
              <w:rPr>
                <w:rFonts w:eastAsia="Times New Roman"/>
                <w:b/>
                <w:bCs/>
                <w:color w:val="000000"/>
                <w:sz w:val="18"/>
                <w:szCs w:val="18"/>
              </w:rPr>
              <w:t>g</w:t>
            </w:r>
          </w:p>
        </w:tc>
        <w:tc>
          <w:tcPr>
            <w:tcW w:w="0" w:type="auto"/>
            <w:gridSpan w:val="3"/>
            <w:tcBorders>
              <w:top w:val="single" w:sz="8" w:space="0" w:color="000000"/>
            </w:tcBorders>
            <w:tcMar>
              <w:top w:w="15" w:type="dxa"/>
              <w:left w:w="20" w:type="dxa"/>
              <w:bottom w:w="15" w:type="dxa"/>
              <w:right w:w="20" w:type="dxa"/>
            </w:tcMar>
            <w:vAlign w:val="bottom"/>
            <w:hideMark/>
          </w:tcPr>
          <w:p w14:paraId="66C8B321"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C8CD779" w14:textId="77777777" w:rsidR="00000000" w:rsidRDefault="00195E73">
            <w:pPr>
              <w:jc w:val="center"/>
              <w:rPr>
                <w:rFonts w:eastAsia="Times New Roman"/>
              </w:rPr>
            </w:pPr>
            <w:r>
              <w:rPr>
                <w:rFonts w:eastAsia="Times New Roman"/>
                <w:b/>
                <w:bCs/>
                <w:color w:val="000000"/>
                <w:sz w:val="18"/>
                <w:szCs w:val="18"/>
              </w:rPr>
              <w:t>Consolidate</w:t>
            </w:r>
            <w:r>
              <w:rPr>
                <w:rFonts w:eastAsia="Times New Roman"/>
                <w:b/>
                <w:bCs/>
                <w:color w:val="000000"/>
                <w:sz w:val="18"/>
                <w:szCs w:val="18"/>
              </w:rPr>
              <w:t>d</w:t>
            </w:r>
          </w:p>
        </w:tc>
        <w:tc>
          <w:tcPr>
            <w:tcW w:w="0" w:type="auto"/>
            <w:vAlign w:val="center"/>
            <w:hideMark/>
          </w:tcPr>
          <w:p w14:paraId="023318AC" w14:textId="77777777" w:rsidR="00000000" w:rsidRDefault="00195E73">
            <w:pPr>
              <w:rPr>
                <w:rFonts w:eastAsia="Times New Roman"/>
                <w:sz w:val="20"/>
                <w:szCs w:val="20"/>
              </w:rPr>
            </w:pPr>
          </w:p>
        </w:tc>
        <w:tc>
          <w:tcPr>
            <w:tcW w:w="0" w:type="auto"/>
            <w:vAlign w:val="center"/>
            <w:hideMark/>
          </w:tcPr>
          <w:p w14:paraId="7D463E8B" w14:textId="77777777" w:rsidR="00000000" w:rsidRDefault="00195E73">
            <w:pPr>
              <w:rPr>
                <w:rFonts w:eastAsia="Times New Roman"/>
                <w:sz w:val="20"/>
                <w:szCs w:val="20"/>
              </w:rPr>
            </w:pPr>
          </w:p>
        </w:tc>
        <w:tc>
          <w:tcPr>
            <w:tcW w:w="0" w:type="auto"/>
            <w:vAlign w:val="center"/>
            <w:hideMark/>
          </w:tcPr>
          <w:p w14:paraId="0ADA6651" w14:textId="77777777" w:rsidR="00000000" w:rsidRDefault="00195E73">
            <w:pPr>
              <w:rPr>
                <w:rFonts w:eastAsia="Times New Roman"/>
                <w:sz w:val="20"/>
                <w:szCs w:val="20"/>
              </w:rPr>
            </w:pPr>
          </w:p>
        </w:tc>
        <w:tc>
          <w:tcPr>
            <w:tcW w:w="0" w:type="auto"/>
            <w:vAlign w:val="center"/>
            <w:hideMark/>
          </w:tcPr>
          <w:p w14:paraId="7793F9BB" w14:textId="77777777" w:rsidR="00000000" w:rsidRDefault="00195E73">
            <w:pPr>
              <w:rPr>
                <w:rFonts w:eastAsia="Times New Roman"/>
                <w:sz w:val="20"/>
                <w:szCs w:val="20"/>
              </w:rPr>
            </w:pPr>
          </w:p>
        </w:tc>
        <w:tc>
          <w:tcPr>
            <w:tcW w:w="0" w:type="auto"/>
            <w:vAlign w:val="center"/>
            <w:hideMark/>
          </w:tcPr>
          <w:p w14:paraId="02E05FA4" w14:textId="77777777" w:rsidR="00000000" w:rsidRDefault="00195E73">
            <w:pPr>
              <w:rPr>
                <w:rFonts w:eastAsia="Times New Roman"/>
                <w:sz w:val="20"/>
                <w:szCs w:val="20"/>
              </w:rPr>
            </w:pPr>
          </w:p>
        </w:tc>
        <w:tc>
          <w:tcPr>
            <w:tcW w:w="0" w:type="auto"/>
            <w:vAlign w:val="center"/>
            <w:hideMark/>
          </w:tcPr>
          <w:p w14:paraId="74C1CED9" w14:textId="77777777" w:rsidR="00000000" w:rsidRDefault="00195E73">
            <w:pPr>
              <w:rPr>
                <w:rFonts w:eastAsia="Times New Roman"/>
                <w:sz w:val="20"/>
                <w:szCs w:val="20"/>
              </w:rPr>
            </w:pPr>
          </w:p>
        </w:tc>
        <w:tc>
          <w:tcPr>
            <w:tcW w:w="0" w:type="auto"/>
            <w:vAlign w:val="center"/>
            <w:hideMark/>
          </w:tcPr>
          <w:p w14:paraId="4A29447C" w14:textId="77777777" w:rsidR="00000000" w:rsidRDefault="00195E73">
            <w:pPr>
              <w:rPr>
                <w:rFonts w:eastAsia="Times New Roman"/>
                <w:sz w:val="20"/>
                <w:szCs w:val="20"/>
              </w:rPr>
            </w:pPr>
          </w:p>
        </w:tc>
        <w:tc>
          <w:tcPr>
            <w:tcW w:w="0" w:type="auto"/>
            <w:vAlign w:val="center"/>
            <w:hideMark/>
          </w:tcPr>
          <w:p w14:paraId="2C3517F3" w14:textId="77777777" w:rsidR="00000000" w:rsidRDefault="00195E73">
            <w:pPr>
              <w:rPr>
                <w:rFonts w:eastAsia="Times New Roman"/>
                <w:sz w:val="20"/>
                <w:szCs w:val="20"/>
              </w:rPr>
            </w:pPr>
          </w:p>
        </w:tc>
        <w:tc>
          <w:tcPr>
            <w:tcW w:w="0" w:type="auto"/>
            <w:vAlign w:val="center"/>
            <w:hideMark/>
          </w:tcPr>
          <w:p w14:paraId="0BE48306" w14:textId="77777777" w:rsidR="00000000" w:rsidRDefault="00195E73">
            <w:pPr>
              <w:rPr>
                <w:rFonts w:eastAsia="Times New Roman"/>
                <w:sz w:val="20"/>
                <w:szCs w:val="20"/>
              </w:rPr>
            </w:pPr>
          </w:p>
        </w:tc>
        <w:tc>
          <w:tcPr>
            <w:tcW w:w="0" w:type="auto"/>
            <w:vAlign w:val="center"/>
            <w:hideMark/>
          </w:tcPr>
          <w:p w14:paraId="58832411" w14:textId="77777777" w:rsidR="00000000" w:rsidRDefault="00195E73">
            <w:pPr>
              <w:rPr>
                <w:rFonts w:eastAsia="Times New Roman"/>
                <w:sz w:val="20"/>
                <w:szCs w:val="20"/>
              </w:rPr>
            </w:pPr>
          </w:p>
        </w:tc>
        <w:tc>
          <w:tcPr>
            <w:tcW w:w="0" w:type="auto"/>
            <w:vAlign w:val="center"/>
            <w:hideMark/>
          </w:tcPr>
          <w:p w14:paraId="3A0B846E" w14:textId="77777777" w:rsidR="00000000" w:rsidRDefault="00195E73">
            <w:pPr>
              <w:rPr>
                <w:rFonts w:eastAsia="Times New Roman"/>
                <w:sz w:val="20"/>
                <w:szCs w:val="20"/>
              </w:rPr>
            </w:pPr>
          </w:p>
        </w:tc>
        <w:tc>
          <w:tcPr>
            <w:tcW w:w="0" w:type="auto"/>
            <w:vAlign w:val="center"/>
            <w:hideMark/>
          </w:tcPr>
          <w:p w14:paraId="66E44B26" w14:textId="77777777" w:rsidR="00000000" w:rsidRDefault="00195E73">
            <w:pPr>
              <w:rPr>
                <w:rFonts w:eastAsia="Times New Roman"/>
                <w:sz w:val="20"/>
                <w:szCs w:val="20"/>
              </w:rPr>
            </w:pPr>
          </w:p>
        </w:tc>
      </w:tr>
      <w:tr w:rsidR="00000000" w14:paraId="00F0FD74" w14:textId="77777777">
        <w:trPr>
          <w:divId w:val="1195459813"/>
          <w:trHeight w:val="280"/>
          <w:jc w:val="center"/>
        </w:trPr>
        <w:tc>
          <w:tcPr>
            <w:tcW w:w="0" w:type="auto"/>
            <w:gridSpan w:val="3"/>
            <w:tcMar>
              <w:top w:w="15" w:type="dxa"/>
              <w:left w:w="20" w:type="dxa"/>
              <w:bottom w:w="15" w:type="dxa"/>
              <w:right w:w="20" w:type="dxa"/>
            </w:tcMar>
            <w:vAlign w:val="bottom"/>
            <w:hideMark/>
          </w:tcPr>
          <w:p w14:paraId="7B7549DC" w14:textId="77777777" w:rsidR="00000000" w:rsidRDefault="00195E73">
            <w:pPr>
              <w:jc w:val="center"/>
              <w:rPr>
                <w:rFonts w:eastAsia="Times New Roman"/>
              </w:rPr>
            </w:pPr>
          </w:p>
        </w:tc>
        <w:tc>
          <w:tcPr>
            <w:tcW w:w="0" w:type="auto"/>
            <w:gridSpan w:val="15"/>
            <w:tcBorders>
              <w:top w:val="single" w:sz="8" w:space="0" w:color="000000"/>
            </w:tcBorders>
            <w:tcMar>
              <w:top w:w="15" w:type="dxa"/>
              <w:left w:w="20" w:type="dxa"/>
              <w:bottom w:w="15" w:type="dxa"/>
              <w:right w:w="20" w:type="dxa"/>
            </w:tcMar>
            <w:vAlign w:val="bottom"/>
            <w:hideMark/>
          </w:tcPr>
          <w:p w14:paraId="5D9F7841" w14:textId="77777777" w:rsidR="00000000" w:rsidRDefault="00195E73">
            <w:pPr>
              <w:rPr>
                <w:rFonts w:eastAsia="Times New Roman"/>
                <w:sz w:val="20"/>
                <w:szCs w:val="20"/>
              </w:rPr>
            </w:pPr>
          </w:p>
        </w:tc>
        <w:tc>
          <w:tcPr>
            <w:tcW w:w="0" w:type="auto"/>
            <w:gridSpan w:val="3"/>
            <w:vAlign w:val="center"/>
            <w:hideMark/>
          </w:tcPr>
          <w:p w14:paraId="49D52EDA" w14:textId="77777777" w:rsidR="00000000" w:rsidRDefault="00195E73">
            <w:pPr>
              <w:rPr>
                <w:rFonts w:eastAsia="Times New Roman"/>
                <w:sz w:val="20"/>
                <w:szCs w:val="20"/>
              </w:rPr>
            </w:pPr>
          </w:p>
        </w:tc>
        <w:tc>
          <w:tcPr>
            <w:tcW w:w="0" w:type="auto"/>
            <w:gridSpan w:val="3"/>
            <w:vAlign w:val="center"/>
            <w:hideMark/>
          </w:tcPr>
          <w:p w14:paraId="127347DA" w14:textId="77777777" w:rsidR="00000000" w:rsidRDefault="00195E73">
            <w:pPr>
              <w:rPr>
                <w:rFonts w:eastAsia="Times New Roman"/>
                <w:sz w:val="20"/>
                <w:szCs w:val="20"/>
              </w:rPr>
            </w:pPr>
          </w:p>
        </w:tc>
        <w:tc>
          <w:tcPr>
            <w:tcW w:w="0" w:type="auto"/>
            <w:gridSpan w:val="3"/>
            <w:vAlign w:val="center"/>
            <w:hideMark/>
          </w:tcPr>
          <w:p w14:paraId="6B9823D3" w14:textId="77777777" w:rsidR="00000000" w:rsidRDefault="00195E73">
            <w:pPr>
              <w:rPr>
                <w:rFonts w:eastAsia="Times New Roman"/>
                <w:sz w:val="20"/>
                <w:szCs w:val="20"/>
              </w:rPr>
            </w:pPr>
          </w:p>
        </w:tc>
        <w:tc>
          <w:tcPr>
            <w:tcW w:w="0" w:type="auto"/>
            <w:gridSpan w:val="3"/>
            <w:vAlign w:val="center"/>
            <w:hideMark/>
          </w:tcPr>
          <w:p w14:paraId="46A3473E" w14:textId="77777777" w:rsidR="00000000" w:rsidRDefault="00195E73">
            <w:pPr>
              <w:rPr>
                <w:rFonts w:eastAsia="Times New Roman"/>
                <w:sz w:val="20"/>
                <w:szCs w:val="20"/>
              </w:rPr>
            </w:pPr>
          </w:p>
        </w:tc>
      </w:tr>
      <w:tr w:rsidR="00000000" w14:paraId="0840524F" w14:textId="77777777">
        <w:trPr>
          <w:divId w:val="1195459813"/>
          <w:jc w:val="center"/>
        </w:trPr>
        <w:tc>
          <w:tcPr>
            <w:tcW w:w="0" w:type="auto"/>
            <w:gridSpan w:val="3"/>
            <w:shd w:val="clear" w:color="auto" w:fill="CCEEFF"/>
            <w:tcMar>
              <w:top w:w="30" w:type="dxa"/>
              <w:left w:w="20" w:type="dxa"/>
              <w:bottom w:w="30" w:type="dxa"/>
              <w:right w:w="20" w:type="dxa"/>
            </w:tcMar>
            <w:vAlign w:val="bottom"/>
            <w:hideMark/>
          </w:tcPr>
          <w:p w14:paraId="3837FC25" w14:textId="77777777" w:rsidR="00000000" w:rsidRDefault="00195E73">
            <w:pPr>
              <w:ind w:hanging="90"/>
              <w:divId w:val="1014189066"/>
              <w:rPr>
                <w:rFonts w:eastAsia="Times New Roman"/>
              </w:rPr>
            </w:pPr>
            <w:r>
              <w:rPr>
                <w:rFonts w:eastAsia="Times New Roman"/>
                <w:color w:val="000000"/>
                <w:sz w:val="18"/>
                <w:szCs w:val="18"/>
              </w:rPr>
              <w:t xml:space="preserve">Gross carrying amount, Jan </w:t>
            </w:r>
            <w:r>
              <w:rPr>
                <w:rFonts w:eastAsia="Times New Roman"/>
                <w:color w:val="000000"/>
                <w:sz w:val="18"/>
                <w:szCs w:val="18"/>
              </w:rPr>
              <w:t>1</w:t>
            </w:r>
          </w:p>
        </w:tc>
        <w:tc>
          <w:tcPr>
            <w:tcW w:w="0" w:type="auto"/>
            <w:shd w:val="clear" w:color="auto" w:fill="CCEEFF"/>
            <w:tcMar>
              <w:top w:w="30" w:type="dxa"/>
              <w:left w:w="20" w:type="dxa"/>
              <w:bottom w:w="30" w:type="dxa"/>
              <w:right w:w="15" w:type="dxa"/>
            </w:tcMar>
            <w:vAlign w:val="bottom"/>
            <w:hideMark/>
          </w:tcPr>
          <w:p w14:paraId="56D0E957"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27948201" w14:textId="77777777" w:rsidR="00000000" w:rsidRDefault="00195E73">
            <w:pPr>
              <w:jc w:val="right"/>
              <w:rPr>
                <w:rFonts w:eastAsia="Times New Roman"/>
              </w:rPr>
            </w:pPr>
            <w:r>
              <w:rPr>
                <w:rFonts w:eastAsia="Times New Roman"/>
                <w:color w:val="000000"/>
                <w:sz w:val="18"/>
                <w:szCs w:val="18"/>
              </w:rPr>
              <w:t>320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74C1A36"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CCEEFF"/>
            <w:tcMar>
              <w:top w:w="15" w:type="dxa"/>
              <w:left w:w="20" w:type="dxa"/>
              <w:bottom w:w="15" w:type="dxa"/>
              <w:right w:w="0" w:type="dxa"/>
            </w:tcMar>
            <w:vAlign w:val="bottom"/>
            <w:hideMark/>
          </w:tcPr>
          <w:p w14:paraId="0D9645CA"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59000463" w14:textId="77777777" w:rsidR="00000000" w:rsidRDefault="00195E73">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70B53808"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73338496" w14:textId="77777777" w:rsidR="00000000" w:rsidRDefault="00195E73">
            <w:pPr>
              <w:jc w:val="right"/>
              <w:rPr>
                <w:rFonts w:eastAsia="Times New Roman"/>
              </w:rPr>
            </w:pPr>
            <w:r>
              <w:rPr>
                <w:rFonts w:eastAsia="Times New Roman"/>
                <w:color w:val="000000"/>
                <w:sz w:val="18"/>
                <w:szCs w:val="18"/>
              </w:rPr>
              <w:t>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1A726E1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2F6757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4047161"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297E5D59" w14:textId="77777777" w:rsidR="00000000" w:rsidRDefault="00195E73">
            <w:pPr>
              <w:jc w:val="right"/>
              <w:rPr>
                <w:rFonts w:eastAsia="Times New Roman"/>
              </w:rPr>
            </w:pPr>
            <w:r>
              <w:rPr>
                <w:rFonts w:eastAsia="Times New Roman"/>
                <w:color w:val="000000"/>
                <w:sz w:val="18"/>
                <w:szCs w:val="18"/>
              </w:rPr>
              <w:t>327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FCFE144"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1501E7EA" w14:textId="77777777" w:rsidR="00000000" w:rsidRDefault="00195E73">
            <w:pPr>
              <w:rPr>
                <w:rFonts w:eastAsia="Times New Roman"/>
                <w:sz w:val="20"/>
                <w:szCs w:val="20"/>
              </w:rPr>
            </w:pPr>
          </w:p>
        </w:tc>
        <w:tc>
          <w:tcPr>
            <w:tcW w:w="0" w:type="auto"/>
            <w:vAlign w:val="center"/>
            <w:hideMark/>
          </w:tcPr>
          <w:p w14:paraId="052AB961" w14:textId="77777777" w:rsidR="00000000" w:rsidRDefault="00195E73">
            <w:pPr>
              <w:rPr>
                <w:rFonts w:eastAsia="Times New Roman"/>
                <w:sz w:val="20"/>
                <w:szCs w:val="20"/>
              </w:rPr>
            </w:pPr>
          </w:p>
        </w:tc>
        <w:tc>
          <w:tcPr>
            <w:tcW w:w="0" w:type="auto"/>
            <w:vAlign w:val="center"/>
            <w:hideMark/>
          </w:tcPr>
          <w:p w14:paraId="531668A6" w14:textId="77777777" w:rsidR="00000000" w:rsidRDefault="00195E73">
            <w:pPr>
              <w:rPr>
                <w:rFonts w:eastAsia="Times New Roman"/>
                <w:sz w:val="20"/>
                <w:szCs w:val="20"/>
              </w:rPr>
            </w:pPr>
          </w:p>
        </w:tc>
        <w:tc>
          <w:tcPr>
            <w:tcW w:w="0" w:type="auto"/>
            <w:vAlign w:val="center"/>
            <w:hideMark/>
          </w:tcPr>
          <w:p w14:paraId="1DB97ACE" w14:textId="77777777" w:rsidR="00000000" w:rsidRDefault="00195E73">
            <w:pPr>
              <w:rPr>
                <w:rFonts w:eastAsia="Times New Roman"/>
                <w:sz w:val="20"/>
                <w:szCs w:val="20"/>
              </w:rPr>
            </w:pPr>
          </w:p>
        </w:tc>
        <w:tc>
          <w:tcPr>
            <w:tcW w:w="0" w:type="auto"/>
            <w:vAlign w:val="center"/>
            <w:hideMark/>
          </w:tcPr>
          <w:p w14:paraId="6FA8E3C9" w14:textId="77777777" w:rsidR="00000000" w:rsidRDefault="00195E73">
            <w:pPr>
              <w:rPr>
                <w:rFonts w:eastAsia="Times New Roman"/>
                <w:sz w:val="20"/>
                <w:szCs w:val="20"/>
              </w:rPr>
            </w:pPr>
          </w:p>
        </w:tc>
        <w:tc>
          <w:tcPr>
            <w:tcW w:w="0" w:type="auto"/>
            <w:vAlign w:val="center"/>
            <w:hideMark/>
          </w:tcPr>
          <w:p w14:paraId="3D3783A4" w14:textId="77777777" w:rsidR="00000000" w:rsidRDefault="00195E73">
            <w:pPr>
              <w:rPr>
                <w:rFonts w:eastAsia="Times New Roman"/>
                <w:sz w:val="20"/>
                <w:szCs w:val="20"/>
              </w:rPr>
            </w:pPr>
          </w:p>
        </w:tc>
        <w:tc>
          <w:tcPr>
            <w:tcW w:w="0" w:type="auto"/>
            <w:vAlign w:val="center"/>
            <w:hideMark/>
          </w:tcPr>
          <w:p w14:paraId="15C1FA88" w14:textId="77777777" w:rsidR="00000000" w:rsidRDefault="00195E73">
            <w:pPr>
              <w:rPr>
                <w:rFonts w:eastAsia="Times New Roman"/>
                <w:sz w:val="20"/>
                <w:szCs w:val="20"/>
              </w:rPr>
            </w:pPr>
          </w:p>
        </w:tc>
        <w:tc>
          <w:tcPr>
            <w:tcW w:w="0" w:type="auto"/>
            <w:vAlign w:val="center"/>
            <w:hideMark/>
          </w:tcPr>
          <w:p w14:paraId="4DB4DF9D" w14:textId="77777777" w:rsidR="00000000" w:rsidRDefault="00195E73">
            <w:pPr>
              <w:rPr>
                <w:rFonts w:eastAsia="Times New Roman"/>
                <w:sz w:val="20"/>
                <w:szCs w:val="20"/>
              </w:rPr>
            </w:pPr>
          </w:p>
        </w:tc>
        <w:tc>
          <w:tcPr>
            <w:tcW w:w="0" w:type="auto"/>
            <w:vAlign w:val="center"/>
            <w:hideMark/>
          </w:tcPr>
          <w:p w14:paraId="2EF36A52" w14:textId="77777777" w:rsidR="00000000" w:rsidRDefault="00195E73">
            <w:pPr>
              <w:rPr>
                <w:rFonts w:eastAsia="Times New Roman"/>
                <w:sz w:val="20"/>
                <w:szCs w:val="20"/>
              </w:rPr>
            </w:pPr>
          </w:p>
        </w:tc>
        <w:tc>
          <w:tcPr>
            <w:tcW w:w="0" w:type="auto"/>
            <w:vAlign w:val="center"/>
            <w:hideMark/>
          </w:tcPr>
          <w:p w14:paraId="4B428EED" w14:textId="77777777" w:rsidR="00000000" w:rsidRDefault="00195E73">
            <w:pPr>
              <w:rPr>
                <w:rFonts w:eastAsia="Times New Roman"/>
                <w:sz w:val="20"/>
                <w:szCs w:val="20"/>
              </w:rPr>
            </w:pPr>
          </w:p>
        </w:tc>
        <w:tc>
          <w:tcPr>
            <w:tcW w:w="0" w:type="auto"/>
            <w:vAlign w:val="center"/>
            <w:hideMark/>
          </w:tcPr>
          <w:p w14:paraId="5371EA58" w14:textId="77777777" w:rsidR="00000000" w:rsidRDefault="00195E73">
            <w:pPr>
              <w:rPr>
                <w:rFonts w:eastAsia="Times New Roman"/>
                <w:sz w:val="20"/>
                <w:szCs w:val="20"/>
              </w:rPr>
            </w:pPr>
          </w:p>
        </w:tc>
        <w:tc>
          <w:tcPr>
            <w:tcW w:w="0" w:type="auto"/>
            <w:vAlign w:val="center"/>
            <w:hideMark/>
          </w:tcPr>
          <w:p w14:paraId="5438206A" w14:textId="77777777" w:rsidR="00000000" w:rsidRDefault="00195E73">
            <w:pPr>
              <w:rPr>
                <w:rFonts w:eastAsia="Times New Roman"/>
                <w:sz w:val="20"/>
                <w:szCs w:val="20"/>
              </w:rPr>
            </w:pPr>
          </w:p>
        </w:tc>
      </w:tr>
      <w:tr w:rsidR="00000000" w14:paraId="74830DBF" w14:textId="77777777">
        <w:trPr>
          <w:divId w:val="1195459813"/>
          <w:jc w:val="center"/>
        </w:trPr>
        <w:tc>
          <w:tcPr>
            <w:tcW w:w="0" w:type="auto"/>
            <w:gridSpan w:val="3"/>
            <w:shd w:val="clear" w:color="auto" w:fill="FFFFFF"/>
            <w:tcMar>
              <w:top w:w="30" w:type="dxa"/>
              <w:left w:w="180" w:type="dxa"/>
              <w:bottom w:w="30" w:type="dxa"/>
              <w:right w:w="20" w:type="dxa"/>
            </w:tcMar>
            <w:vAlign w:val="bottom"/>
            <w:hideMark/>
          </w:tcPr>
          <w:p w14:paraId="26A26556" w14:textId="77777777" w:rsidR="00000000" w:rsidRDefault="00195E73">
            <w:pPr>
              <w:rPr>
                <w:rFonts w:eastAsia="Times New Roman"/>
              </w:rPr>
            </w:pPr>
            <w:r>
              <w:rPr>
                <w:rFonts w:eastAsia="Times New Roman"/>
                <w:color w:val="000000"/>
                <w:sz w:val="18"/>
                <w:szCs w:val="18"/>
              </w:rPr>
              <w:t>Acquisition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14:paraId="3F165667" w14:textId="77777777" w:rsidR="00000000" w:rsidRDefault="00195E73">
            <w:pPr>
              <w:jc w:val="right"/>
              <w:rPr>
                <w:rFonts w:eastAsia="Times New Roman"/>
              </w:rPr>
            </w:pPr>
            <w:r>
              <w:rPr>
                <w:rFonts w:eastAsia="Times New Roman"/>
                <w:color w:val="000000"/>
                <w:sz w:val="18"/>
                <w:szCs w:val="18"/>
              </w:rPr>
              <w:t>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6FD962B"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FFFFFF"/>
            <w:tcMar>
              <w:top w:w="15" w:type="dxa"/>
              <w:left w:w="20" w:type="dxa"/>
              <w:bottom w:w="15" w:type="dxa"/>
              <w:right w:w="0" w:type="dxa"/>
            </w:tcMar>
            <w:vAlign w:val="bottom"/>
            <w:hideMark/>
          </w:tcPr>
          <w:p w14:paraId="5976C6E9"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3CB9C9F0"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84C83D"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0702B40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DC0A77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E63C6E" w14:textId="77777777" w:rsidR="00000000" w:rsidRDefault="00195E73">
            <w:pPr>
              <w:jc w:val="right"/>
              <w:rPr>
                <w:rFonts w:eastAsia="Times New Roman"/>
              </w:rPr>
            </w:pPr>
            <w:r>
              <w:rPr>
                <w:rFonts w:eastAsia="Times New Roman"/>
                <w:color w:val="000000"/>
                <w:sz w:val="18"/>
                <w:szCs w:val="18"/>
              </w:rPr>
              <w:t>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5A90F84"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01C526B4" w14:textId="77777777" w:rsidR="00000000" w:rsidRDefault="00195E73">
            <w:pPr>
              <w:rPr>
                <w:rFonts w:eastAsia="Times New Roman"/>
                <w:sz w:val="20"/>
                <w:szCs w:val="20"/>
              </w:rPr>
            </w:pPr>
          </w:p>
        </w:tc>
        <w:tc>
          <w:tcPr>
            <w:tcW w:w="0" w:type="auto"/>
            <w:vAlign w:val="center"/>
            <w:hideMark/>
          </w:tcPr>
          <w:p w14:paraId="036A8283" w14:textId="77777777" w:rsidR="00000000" w:rsidRDefault="00195E73">
            <w:pPr>
              <w:rPr>
                <w:rFonts w:eastAsia="Times New Roman"/>
                <w:sz w:val="20"/>
                <w:szCs w:val="20"/>
              </w:rPr>
            </w:pPr>
          </w:p>
        </w:tc>
        <w:tc>
          <w:tcPr>
            <w:tcW w:w="0" w:type="auto"/>
            <w:vAlign w:val="center"/>
            <w:hideMark/>
          </w:tcPr>
          <w:p w14:paraId="281D9B22" w14:textId="77777777" w:rsidR="00000000" w:rsidRDefault="00195E73">
            <w:pPr>
              <w:rPr>
                <w:rFonts w:eastAsia="Times New Roman"/>
                <w:sz w:val="20"/>
                <w:szCs w:val="20"/>
              </w:rPr>
            </w:pPr>
          </w:p>
        </w:tc>
        <w:tc>
          <w:tcPr>
            <w:tcW w:w="0" w:type="auto"/>
            <w:vAlign w:val="center"/>
            <w:hideMark/>
          </w:tcPr>
          <w:p w14:paraId="12D53306" w14:textId="77777777" w:rsidR="00000000" w:rsidRDefault="00195E73">
            <w:pPr>
              <w:rPr>
                <w:rFonts w:eastAsia="Times New Roman"/>
                <w:sz w:val="20"/>
                <w:szCs w:val="20"/>
              </w:rPr>
            </w:pPr>
          </w:p>
        </w:tc>
        <w:tc>
          <w:tcPr>
            <w:tcW w:w="0" w:type="auto"/>
            <w:vAlign w:val="center"/>
            <w:hideMark/>
          </w:tcPr>
          <w:p w14:paraId="181322F2" w14:textId="77777777" w:rsidR="00000000" w:rsidRDefault="00195E73">
            <w:pPr>
              <w:rPr>
                <w:rFonts w:eastAsia="Times New Roman"/>
                <w:sz w:val="20"/>
                <w:szCs w:val="20"/>
              </w:rPr>
            </w:pPr>
          </w:p>
        </w:tc>
        <w:tc>
          <w:tcPr>
            <w:tcW w:w="0" w:type="auto"/>
            <w:vAlign w:val="center"/>
            <w:hideMark/>
          </w:tcPr>
          <w:p w14:paraId="31304AC3" w14:textId="77777777" w:rsidR="00000000" w:rsidRDefault="00195E73">
            <w:pPr>
              <w:rPr>
                <w:rFonts w:eastAsia="Times New Roman"/>
                <w:sz w:val="20"/>
                <w:szCs w:val="20"/>
              </w:rPr>
            </w:pPr>
          </w:p>
        </w:tc>
        <w:tc>
          <w:tcPr>
            <w:tcW w:w="0" w:type="auto"/>
            <w:vAlign w:val="center"/>
            <w:hideMark/>
          </w:tcPr>
          <w:p w14:paraId="24B0D673" w14:textId="77777777" w:rsidR="00000000" w:rsidRDefault="00195E73">
            <w:pPr>
              <w:rPr>
                <w:rFonts w:eastAsia="Times New Roman"/>
                <w:sz w:val="20"/>
                <w:szCs w:val="20"/>
              </w:rPr>
            </w:pPr>
          </w:p>
        </w:tc>
        <w:tc>
          <w:tcPr>
            <w:tcW w:w="0" w:type="auto"/>
            <w:vAlign w:val="center"/>
            <w:hideMark/>
          </w:tcPr>
          <w:p w14:paraId="2F1FAD11" w14:textId="77777777" w:rsidR="00000000" w:rsidRDefault="00195E73">
            <w:pPr>
              <w:rPr>
                <w:rFonts w:eastAsia="Times New Roman"/>
                <w:sz w:val="20"/>
                <w:szCs w:val="20"/>
              </w:rPr>
            </w:pPr>
          </w:p>
        </w:tc>
        <w:tc>
          <w:tcPr>
            <w:tcW w:w="0" w:type="auto"/>
            <w:vAlign w:val="center"/>
            <w:hideMark/>
          </w:tcPr>
          <w:p w14:paraId="6D3F389B" w14:textId="77777777" w:rsidR="00000000" w:rsidRDefault="00195E73">
            <w:pPr>
              <w:rPr>
                <w:rFonts w:eastAsia="Times New Roman"/>
                <w:sz w:val="20"/>
                <w:szCs w:val="20"/>
              </w:rPr>
            </w:pPr>
          </w:p>
        </w:tc>
        <w:tc>
          <w:tcPr>
            <w:tcW w:w="0" w:type="auto"/>
            <w:vAlign w:val="center"/>
            <w:hideMark/>
          </w:tcPr>
          <w:p w14:paraId="2D6B892F" w14:textId="77777777" w:rsidR="00000000" w:rsidRDefault="00195E73">
            <w:pPr>
              <w:rPr>
                <w:rFonts w:eastAsia="Times New Roman"/>
                <w:sz w:val="20"/>
                <w:szCs w:val="20"/>
              </w:rPr>
            </w:pPr>
          </w:p>
        </w:tc>
        <w:tc>
          <w:tcPr>
            <w:tcW w:w="0" w:type="auto"/>
            <w:vAlign w:val="center"/>
            <w:hideMark/>
          </w:tcPr>
          <w:p w14:paraId="117A9D7A" w14:textId="77777777" w:rsidR="00000000" w:rsidRDefault="00195E73">
            <w:pPr>
              <w:rPr>
                <w:rFonts w:eastAsia="Times New Roman"/>
                <w:sz w:val="20"/>
                <w:szCs w:val="20"/>
              </w:rPr>
            </w:pPr>
          </w:p>
        </w:tc>
        <w:tc>
          <w:tcPr>
            <w:tcW w:w="0" w:type="auto"/>
            <w:vAlign w:val="center"/>
            <w:hideMark/>
          </w:tcPr>
          <w:p w14:paraId="27F81D26" w14:textId="77777777" w:rsidR="00000000" w:rsidRDefault="00195E73">
            <w:pPr>
              <w:rPr>
                <w:rFonts w:eastAsia="Times New Roman"/>
                <w:sz w:val="20"/>
                <w:szCs w:val="20"/>
              </w:rPr>
            </w:pPr>
          </w:p>
        </w:tc>
      </w:tr>
      <w:tr w:rsidR="00000000" w14:paraId="45B82151" w14:textId="77777777">
        <w:trPr>
          <w:divId w:val="1195459813"/>
          <w:jc w:val="center"/>
        </w:trPr>
        <w:tc>
          <w:tcPr>
            <w:tcW w:w="0" w:type="auto"/>
            <w:gridSpan w:val="3"/>
            <w:shd w:val="clear" w:color="auto" w:fill="CCEEFF"/>
            <w:tcMar>
              <w:top w:w="30" w:type="dxa"/>
              <w:left w:w="180" w:type="dxa"/>
              <w:bottom w:w="30" w:type="dxa"/>
              <w:right w:w="20" w:type="dxa"/>
            </w:tcMar>
            <w:vAlign w:val="bottom"/>
            <w:hideMark/>
          </w:tcPr>
          <w:p w14:paraId="62B35B82" w14:textId="77777777" w:rsidR="00000000" w:rsidRDefault="00195E73">
            <w:pPr>
              <w:rPr>
                <w:rFonts w:eastAsia="Times New Roman"/>
              </w:rPr>
            </w:pPr>
            <w:r>
              <w:rPr>
                <w:rFonts w:eastAsia="Times New Roman"/>
                <w:color w:val="000000"/>
                <w:sz w:val="18"/>
                <w:szCs w:val="18"/>
              </w:rPr>
              <w:t>Foreign exchang</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14:paraId="15CA85A3"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157577EA"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CCEEFF"/>
            <w:tcMar>
              <w:top w:w="15" w:type="dxa"/>
              <w:left w:w="20" w:type="dxa"/>
              <w:bottom w:w="15" w:type="dxa"/>
              <w:right w:w="0" w:type="dxa"/>
            </w:tcMar>
            <w:vAlign w:val="bottom"/>
            <w:hideMark/>
          </w:tcPr>
          <w:p w14:paraId="5685FA3D"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6CDDD2C5"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EBBCE4"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2BA2AE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B0CC2F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A0A93E" w14:textId="77777777" w:rsidR="00000000" w:rsidRDefault="00195E73">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658980BE"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671CF554" w14:textId="77777777" w:rsidR="00000000" w:rsidRDefault="00195E73">
            <w:pPr>
              <w:rPr>
                <w:rFonts w:eastAsia="Times New Roman"/>
                <w:sz w:val="20"/>
                <w:szCs w:val="20"/>
              </w:rPr>
            </w:pPr>
          </w:p>
        </w:tc>
        <w:tc>
          <w:tcPr>
            <w:tcW w:w="0" w:type="auto"/>
            <w:vAlign w:val="center"/>
            <w:hideMark/>
          </w:tcPr>
          <w:p w14:paraId="5CFC7E77" w14:textId="77777777" w:rsidR="00000000" w:rsidRDefault="00195E73">
            <w:pPr>
              <w:rPr>
                <w:rFonts w:eastAsia="Times New Roman"/>
                <w:sz w:val="20"/>
                <w:szCs w:val="20"/>
              </w:rPr>
            </w:pPr>
          </w:p>
        </w:tc>
        <w:tc>
          <w:tcPr>
            <w:tcW w:w="0" w:type="auto"/>
            <w:vAlign w:val="center"/>
            <w:hideMark/>
          </w:tcPr>
          <w:p w14:paraId="5D8C8B19" w14:textId="77777777" w:rsidR="00000000" w:rsidRDefault="00195E73">
            <w:pPr>
              <w:rPr>
                <w:rFonts w:eastAsia="Times New Roman"/>
                <w:sz w:val="20"/>
                <w:szCs w:val="20"/>
              </w:rPr>
            </w:pPr>
          </w:p>
        </w:tc>
        <w:tc>
          <w:tcPr>
            <w:tcW w:w="0" w:type="auto"/>
            <w:vAlign w:val="center"/>
            <w:hideMark/>
          </w:tcPr>
          <w:p w14:paraId="73C11F30" w14:textId="77777777" w:rsidR="00000000" w:rsidRDefault="00195E73">
            <w:pPr>
              <w:rPr>
                <w:rFonts w:eastAsia="Times New Roman"/>
                <w:sz w:val="20"/>
                <w:szCs w:val="20"/>
              </w:rPr>
            </w:pPr>
          </w:p>
        </w:tc>
        <w:tc>
          <w:tcPr>
            <w:tcW w:w="0" w:type="auto"/>
            <w:vAlign w:val="center"/>
            <w:hideMark/>
          </w:tcPr>
          <w:p w14:paraId="52D65DDC" w14:textId="77777777" w:rsidR="00000000" w:rsidRDefault="00195E73">
            <w:pPr>
              <w:rPr>
                <w:rFonts w:eastAsia="Times New Roman"/>
                <w:sz w:val="20"/>
                <w:szCs w:val="20"/>
              </w:rPr>
            </w:pPr>
          </w:p>
        </w:tc>
        <w:tc>
          <w:tcPr>
            <w:tcW w:w="0" w:type="auto"/>
            <w:vAlign w:val="center"/>
            <w:hideMark/>
          </w:tcPr>
          <w:p w14:paraId="04DBB0A5" w14:textId="77777777" w:rsidR="00000000" w:rsidRDefault="00195E73">
            <w:pPr>
              <w:rPr>
                <w:rFonts w:eastAsia="Times New Roman"/>
                <w:sz w:val="20"/>
                <w:szCs w:val="20"/>
              </w:rPr>
            </w:pPr>
          </w:p>
        </w:tc>
        <w:tc>
          <w:tcPr>
            <w:tcW w:w="0" w:type="auto"/>
            <w:vAlign w:val="center"/>
            <w:hideMark/>
          </w:tcPr>
          <w:p w14:paraId="7B1456BF" w14:textId="77777777" w:rsidR="00000000" w:rsidRDefault="00195E73">
            <w:pPr>
              <w:rPr>
                <w:rFonts w:eastAsia="Times New Roman"/>
                <w:sz w:val="20"/>
                <w:szCs w:val="20"/>
              </w:rPr>
            </w:pPr>
          </w:p>
        </w:tc>
        <w:tc>
          <w:tcPr>
            <w:tcW w:w="0" w:type="auto"/>
            <w:vAlign w:val="center"/>
            <w:hideMark/>
          </w:tcPr>
          <w:p w14:paraId="5650CF0D" w14:textId="77777777" w:rsidR="00000000" w:rsidRDefault="00195E73">
            <w:pPr>
              <w:rPr>
                <w:rFonts w:eastAsia="Times New Roman"/>
                <w:sz w:val="20"/>
                <w:szCs w:val="20"/>
              </w:rPr>
            </w:pPr>
          </w:p>
        </w:tc>
        <w:tc>
          <w:tcPr>
            <w:tcW w:w="0" w:type="auto"/>
            <w:vAlign w:val="center"/>
            <w:hideMark/>
          </w:tcPr>
          <w:p w14:paraId="752414B0" w14:textId="77777777" w:rsidR="00000000" w:rsidRDefault="00195E73">
            <w:pPr>
              <w:rPr>
                <w:rFonts w:eastAsia="Times New Roman"/>
                <w:sz w:val="20"/>
                <w:szCs w:val="20"/>
              </w:rPr>
            </w:pPr>
          </w:p>
        </w:tc>
        <w:tc>
          <w:tcPr>
            <w:tcW w:w="0" w:type="auto"/>
            <w:vAlign w:val="center"/>
            <w:hideMark/>
          </w:tcPr>
          <w:p w14:paraId="043AA485" w14:textId="77777777" w:rsidR="00000000" w:rsidRDefault="00195E73">
            <w:pPr>
              <w:rPr>
                <w:rFonts w:eastAsia="Times New Roman"/>
                <w:sz w:val="20"/>
                <w:szCs w:val="20"/>
              </w:rPr>
            </w:pPr>
          </w:p>
        </w:tc>
        <w:tc>
          <w:tcPr>
            <w:tcW w:w="0" w:type="auto"/>
            <w:vAlign w:val="center"/>
            <w:hideMark/>
          </w:tcPr>
          <w:p w14:paraId="58C62A1A" w14:textId="77777777" w:rsidR="00000000" w:rsidRDefault="00195E73">
            <w:pPr>
              <w:rPr>
                <w:rFonts w:eastAsia="Times New Roman"/>
                <w:sz w:val="20"/>
                <w:szCs w:val="20"/>
              </w:rPr>
            </w:pPr>
          </w:p>
        </w:tc>
        <w:tc>
          <w:tcPr>
            <w:tcW w:w="0" w:type="auto"/>
            <w:vAlign w:val="center"/>
            <w:hideMark/>
          </w:tcPr>
          <w:p w14:paraId="454A1298" w14:textId="77777777" w:rsidR="00000000" w:rsidRDefault="00195E73">
            <w:pPr>
              <w:rPr>
                <w:rFonts w:eastAsia="Times New Roman"/>
                <w:sz w:val="20"/>
                <w:szCs w:val="20"/>
              </w:rPr>
            </w:pPr>
          </w:p>
        </w:tc>
      </w:tr>
      <w:tr w:rsidR="00000000" w14:paraId="24838EC8" w14:textId="77777777">
        <w:trPr>
          <w:divId w:val="1195459813"/>
          <w:jc w:val="center"/>
        </w:trPr>
        <w:tc>
          <w:tcPr>
            <w:tcW w:w="0" w:type="auto"/>
            <w:gridSpan w:val="3"/>
            <w:shd w:val="clear" w:color="auto" w:fill="FFFFFF"/>
            <w:tcMar>
              <w:top w:w="30" w:type="dxa"/>
              <w:left w:w="20" w:type="dxa"/>
              <w:bottom w:w="30" w:type="dxa"/>
              <w:right w:w="20" w:type="dxa"/>
            </w:tcMar>
            <w:vAlign w:val="bottom"/>
            <w:hideMark/>
          </w:tcPr>
          <w:p w14:paraId="43E300EF" w14:textId="77777777" w:rsidR="00000000" w:rsidRDefault="00195E73">
            <w:pPr>
              <w:ind w:hanging="90"/>
              <w:divId w:val="1074860054"/>
              <w:rPr>
                <w:rFonts w:eastAsia="Times New Roman"/>
              </w:rPr>
            </w:pPr>
            <w:r>
              <w:rPr>
                <w:rFonts w:eastAsia="Times New Roman"/>
                <w:color w:val="000000"/>
                <w:sz w:val="18"/>
                <w:szCs w:val="18"/>
              </w:rPr>
              <w:t>Gross carrying amount, Dec 3</w:t>
            </w:r>
            <w:r>
              <w:rPr>
                <w:rFonts w:eastAsia="Times New Roman"/>
                <w:color w:val="000000"/>
                <w:sz w:val="18"/>
                <w:szCs w:val="18"/>
              </w:rPr>
              <w:t>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A7A8DD" w14:textId="77777777" w:rsidR="00000000" w:rsidRDefault="00195E73">
            <w:pPr>
              <w:jc w:val="right"/>
              <w:rPr>
                <w:rFonts w:eastAsia="Times New Roman"/>
              </w:rPr>
            </w:pPr>
            <w:r>
              <w:rPr>
                <w:rFonts w:eastAsia="Times New Roman"/>
                <w:color w:val="000000"/>
                <w:sz w:val="18"/>
                <w:szCs w:val="18"/>
              </w:rPr>
              <w:t>328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906108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8B5212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C49BCB" w14:textId="77777777" w:rsidR="00000000" w:rsidRDefault="00195E73">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C99AC69" w14:textId="77777777" w:rsidR="00000000" w:rsidRDefault="00195E73">
            <w:pPr>
              <w:jc w:val="right"/>
              <w:rPr>
                <w:rFonts w:eastAsia="Times New Roman"/>
              </w:rPr>
            </w:pPr>
            <w:r>
              <w:rPr>
                <w:rFonts w:eastAsia="Times New Roman"/>
                <w:color w:val="000000"/>
                <w:sz w:val="18"/>
                <w:szCs w:val="18"/>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3E78271D"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815DC0" w14:textId="77777777" w:rsidR="00000000" w:rsidRDefault="00195E73">
            <w:pPr>
              <w:jc w:val="right"/>
              <w:rPr>
                <w:rFonts w:eastAsia="Times New Roman"/>
              </w:rPr>
            </w:pPr>
            <w:r>
              <w:rPr>
                <w:rFonts w:eastAsia="Times New Roman"/>
                <w:color w:val="000000"/>
                <w:sz w:val="18"/>
                <w:szCs w:val="18"/>
              </w:rPr>
              <w:t>334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7F65CE6"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156CEB4" w14:textId="77777777" w:rsidR="00000000" w:rsidRDefault="00195E73">
            <w:pPr>
              <w:rPr>
                <w:rFonts w:eastAsia="Times New Roman"/>
                <w:sz w:val="20"/>
                <w:szCs w:val="20"/>
              </w:rPr>
            </w:pPr>
          </w:p>
        </w:tc>
        <w:tc>
          <w:tcPr>
            <w:tcW w:w="0" w:type="auto"/>
            <w:vAlign w:val="center"/>
            <w:hideMark/>
          </w:tcPr>
          <w:p w14:paraId="1A449F7E" w14:textId="77777777" w:rsidR="00000000" w:rsidRDefault="00195E73">
            <w:pPr>
              <w:rPr>
                <w:rFonts w:eastAsia="Times New Roman"/>
                <w:sz w:val="20"/>
                <w:szCs w:val="20"/>
              </w:rPr>
            </w:pPr>
          </w:p>
        </w:tc>
        <w:tc>
          <w:tcPr>
            <w:tcW w:w="0" w:type="auto"/>
            <w:vAlign w:val="center"/>
            <w:hideMark/>
          </w:tcPr>
          <w:p w14:paraId="55A75EEB" w14:textId="77777777" w:rsidR="00000000" w:rsidRDefault="00195E73">
            <w:pPr>
              <w:rPr>
                <w:rFonts w:eastAsia="Times New Roman"/>
                <w:sz w:val="20"/>
                <w:szCs w:val="20"/>
              </w:rPr>
            </w:pPr>
          </w:p>
        </w:tc>
        <w:tc>
          <w:tcPr>
            <w:tcW w:w="0" w:type="auto"/>
            <w:vAlign w:val="center"/>
            <w:hideMark/>
          </w:tcPr>
          <w:p w14:paraId="10F1356A" w14:textId="77777777" w:rsidR="00000000" w:rsidRDefault="00195E73">
            <w:pPr>
              <w:rPr>
                <w:rFonts w:eastAsia="Times New Roman"/>
                <w:sz w:val="20"/>
                <w:szCs w:val="20"/>
              </w:rPr>
            </w:pPr>
          </w:p>
        </w:tc>
        <w:tc>
          <w:tcPr>
            <w:tcW w:w="0" w:type="auto"/>
            <w:vAlign w:val="center"/>
            <w:hideMark/>
          </w:tcPr>
          <w:p w14:paraId="109AE765" w14:textId="77777777" w:rsidR="00000000" w:rsidRDefault="00195E73">
            <w:pPr>
              <w:rPr>
                <w:rFonts w:eastAsia="Times New Roman"/>
                <w:sz w:val="20"/>
                <w:szCs w:val="20"/>
              </w:rPr>
            </w:pPr>
          </w:p>
        </w:tc>
        <w:tc>
          <w:tcPr>
            <w:tcW w:w="0" w:type="auto"/>
            <w:vAlign w:val="center"/>
            <w:hideMark/>
          </w:tcPr>
          <w:p w14:paraId="21ABD6E6" w14:textId="77777777" w:rsidR="00000000" w:rsidRDefault="00195E73">
            <w:pPr>
              <w:rPr>
                <w:rFonts w:eastAsia="Times New Roman"/>
                <w:sz w:val="20"/>
                <w:szCs w:val="20"/>
              </w:rPr>
            </w:pPr>
          </w:p>
        </w:tc>
        <w:tc>
          <w:tcPr>
            <w:tcW w:w="0" w:type="auto"/>
            <w:vAlign w:val="center"/>
            <w:hideMark/>
          </w:tcPr>
          <w:p w14:paraId="585FFACA" w14:textId="77777777" w:rsidR="00000000" w:rsidRDefault="00195E73">
            <w:pPr>
              <w:rPr>
                <w:rFonts w:eastAsia="Times New Roman"/>
                <w:sz w:val="20"/>
                <w:szCs w:val="20"/>
              </w:rPr>
            </w:pPr>
          </w:p>
        </w:tc>
        <w:tc>
          <w:tcPr>
            <w:tcW w:w="0" w:type="auto"/>
            <w:vAlign w:val="center"/>
            <w:hideMark/>
          </w:tcPr>
          <w:p w14:paraId="7524EAED" w14:textId="77777777" w:rsidR="00000000" w:rsidRDefault="00195E73">
            <w:pPr>
              <w:rPr>
                <w:rFonts w:eastAsia="Times New Roman"/>
                <w:sz w:val="20"/>
                <w:szCs w:val="20"/>
              </w:rPr>
            </w:pPr>
          </w:p>
        </w:tc>
        <w:tc>
          <w:tcPr>
            <w:tcW w:w="0" w:type="auto"/>
            <w:vAlign w:val="center"/>
            <w:hideMark/>
          </w:tcPr>
          <w:p w14:paraId="2455743F" w14:textId="77777777" w:rsidR="00000000" w:rsidRDefault="00195E73">
            <w:pPr>
              <w:rPr>
                <w:rFonts w:eastAsia="Times New Roman"/>
                <w:sz w:val="20"/>
                <w:szCs w:val="20"/>
              </w:rPr>
            </w:pPr>
          </w:p>
        </w:tc>
        <w:tc>
          <w:tcPr>
            <w:tcW w:w="0" w:type="auto"/>
            <w:vAlign w:val="center"/>
            <w:hideMark/>
          </w:tcPr>
          <w:p w14:paraId="7D5948F5" w14:textId="77777777" w:rsidR="00000000" w:rsidRDefault="00195E73">
            <w:pPr>
              <w:rPr>
                <w:rFonts w:eastAsia="Times New Roman"/>
                <w:sz w:val="20"/>
                <w:szCs w:val="20"/>
              </w:rPr>
            </w:pPr>
          </w:p>
        </w:tc>
        <w:tc>
          <w:tcPr>
            <w:tcW w:w="0" w:type="auto"/>
            <w:vAlign w:val="center"/>
            <w:hideMark/>
          </w:tcPr>
          <w:p w14:paraId="6550E86C" w14:textId="77777777" w:rsidR="00000000" w:rsidRDefault="00195E73">
            <w:pPr>
              <w:rPr>
                <w:rFonts w:eastAsia="Times New Roman"/>
                <w:sz w:val="20"/>
                <w:szCs w:val="20"/>
              </w:rPr>
            </w:pPr>
          </w:p>
        </w:tc>
        <w:tc>
          <w:tcPr>
            <w:tcW w:w="0" w:type="auto"/>
            <w:vAlign w:val="center"/>
            <w:hideMark/>
          </w:tcPr>
          <w:p w14:paraId="6BF1562B" w14:textId="77777777" w:rsidR="00000000" w:rsidRDefault="00195E73">
            <w:pPr>
              <w:rPr>
                <w:rFonts w:eastAsia="Times New Roman"/>
                <w:sz w:val="20"/>
                <w:szCs w:val="20"/>
              </w:rPr>
            </w:pPr>
          </w:p>
        </w:tc>
      </w:tr>
      <w:tr w:rsidR="00000000" w14:paraId="12F5F877" w14:textId="77777777">
        <w:trPr>
          <w:divId w:val="1195459813"/>
          <w:trHeight w:val="240"/>
          <w:jc w:val="center"/>
        </w:trPr>
        <w:tc>
          <w:tcPr>
            <w:tcW w:w="0" w:type="auto"/>
            <w:gridSpan w:val="3"/>
            <w:shd w:val="clear" w:color="auto" w:fill="CCEEFF"/>
            <w:tcMar>
              <w:top w:w="15" w:type="dxa"/>
              <w:left w:w="20" w:type="dxa"/>
              <w:bottom w:w="15" w:type="dxa"/>
              <w:right w:w="20" w:type="dxa"/>
            </w:tcMar>
            <w:vAlign w:val="bottom"/>
            <w:hideMark/>
          </w:tcPr>
          <w:p w14:paraId="66095C81" w14:textId="77777777" w:rsidR="00000000" w:rsidRDefault="00195E73">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02EB681"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B1C2D15"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32FA5DA4"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9E71C58"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237258C" w14:textId="77777777" w:rsidR="00000000" w:rsidRDefault="00195E73">
            <w:pPr>
              <w:rPr>
                <w:rFonts w:eastAsia="Times New Roman"/>
                <w:sz w:val="20"/>
                <w:szCs w:val="20"/>
              </w:rPr>
            </w:pPr>
          </w:p>
        </w:tc>
        <w:tc>
          <w:tcPr>
            <w:tcW w:w="0" w:type="auto"/>
            <w:vAlign w:val="center"/>
            <w:hideMark/>
          </w:tcPr>
          <w:p w14:paraId="58A853EF" w14:textId="77777777" w:rsidR="00000000" w:rsidRDefault="00195E73">
            <w:pPr>
              <w:rPr>
                <w:rFonts w:eastAsia="Times New Roman"/>
                <w:sz w:val="20"/>
                <w:szCs w:val="20"/>
              </w:rPr>
            </w:pPr>
          </w:p>
        </w:tc>
        <w:tc>
          <w:tcPr>
            <w:tcW w:w="0" w:type="auto"/>
            <w:vAlign w:val="center"/>
            <w:hideMark/>
          </w:tcPr>
          <w:p w14:paraId="4CA8DD20" w14:textId="77777777" w:rsidR="00000000" w:rsidRDefault="00195E73">
            <w:pPr>
              <w:rPr>
                <w:rFonts w:eastAsia="Times New Roman"/>
                <w:sz w:val="20"/>
                <w:szCs w:val="20"/>
              </w:rPr>
            </w:pPr>
          </w:p>
        </w:tc>
        <w:tc>
          <w:tcPr>
            <w:tcW w:w="0" w:type="auto"/>
            <w:vAlign w:val="center"/>
            <w:hideMark/>
          </w:tcPr>
          <w:p w14:paraId="053804A6" w14:textId="77777777" w:rsidR="00000000" w:rsidRDefault="00195E73">
            <w:pPr>
              <w:rPr>
                <w:rFonts w:eastAsia="Times New Roman"/>
                <w:sz w:val="20"/>
                <w:szCs w:val="20"/>
              </w:rPr>
            </w:pPr>
          </w:p>
        </w:tc>
        <w:tc>
          <w:tcPr>
            <w:tcW w:w="0" w:type="auto"/>
            <w:vAlign w:val="center"/>
            <w:hideMark/>
          </w:tcPr>
          <w:p w14:paraId="5116F69F" w14:textId="77777777" w:rsidR="00000000" w:rsidRDefault="00195E73">
            <w:pPr>
              <w:rPr>
                <w:rFonts w:eastAsia="Times New Roman"/>
                <w:sz w:val="20"/>
                <w:szCs w:val="20"/>
              </w:rPr>
            </w:pPr>
          </w:p>
        </w:tc>
        <w:tc>
          <w:tcPr>
            <w:tcW w:w="0" w:type="auto"/>
            <w:vAlign w:val="center"/>
            <w:hideMark/>
          </w:tcPr>
          <w:p w14:paraId="790012F1" w14:textId="77777777" w:rsidR="00000000" w:rsidRDefault="00195E73">
            <w:pPr>
              <w:rPr>
                <w:rFonts w:eastAsia="Times New Roman"/>
                <w:sz w:val="20"/>
                <w:szCs w:val="20"/>
              </w:rPr>
            </w:pPr>
          </w:p>
        </w:tc>
        <w:tc>
          <w:tcPr>
            <w:tcW w:w="0" w:type="auto"/>
            <w:vAlign w:val="center"/>
            <w:hideMark/>
          </w:tcPr>
          <w:p w14:paraId="12E397F2" w14:textId="77777777" w:rsidR="00000000" w:rsidRDefault="00195E73">
            <w:pPr>
              <w:rPr>
                <w:rFonts w:eastAsia="Times New Roman"/>
                <w:sz w:val="20"/>
                <w:szCs w:val="20"/>
              </w:rPr>
            </w:pPr>
          </w:p>
        </w:tc>
        <w:tc>
          <w:tcPr>
            <w:tcW w:w="0" w:type="auto"/>
            <w:vAlign w:val="center"/>
            <w:hideMark/>
          </w:tcPr>
          <w:p w14:paraId="4048E413" w14:textId="77777777" w:rsidR="00000000" w:rsidRDefault="00195E73">
            <w:pPr>
              <w:rPr>
                <w:rFonts w:eastAsia="Times New Roman"/>
                <w:sz w:val="20"/>
                <w:szCs w:val="20"/>
              </w:rPr>
            </w:pPr>
          </w:p>
        </w:tc>
        <w:tc>
          <w:tcPr>
            <w:tcW w:w="0" w:type="auto"/>
            <w:vAlign w:val="center"/>
            <w:hideMark/>
          </w:tcPr>
          <w:p w14:paraId="4762797B" w14:textId="77777777" w:rsidR="00000000" w:rsidRDefault="00195E73">
            <w:pPr>
              <w:rPr>
                <w:rFonts w:eastAsia="Times New Roman"/>
                <w:sz w:val="20"/>
                <w:szCs w:val="20"/>
              </w:rPr>
            </w:pPr>
          </w:p>
        </w:tc>
        <w:tc>
          <w:tcPr>
            <w:tcW w:w="0" w:type="auto"/>
            <w:vAlign w:val="center"/>
            <w:hideMark/>
          </w:tcPr>
          <w:p w14:paraId="27DB2F96" w14:textId="77777777" w:rsidR="00000000" w:rsidRDefault="00195E73">
            <w:pPr>
              <w:rPr>
                <w:rFonts w:eastAsia="Times New Roman"/>
                <w:sz w:val="20"/>
                <w:szCs w:val="20"/>
              </w:rPr>
            </w:pPr>
          </w:p>
        </w:tc>
        <w:tc>
          <w:tcPr>
            <w:tcW w:w="0" w:type="auto"/>
            <w:vAlign w:val="center"/>
            <w:hideMark/>
          </w:tcPr>
          <w:p w14:paraId="1EBD6769" w14:textId="77777777" w:rsidR="00000000" w:rsidRDefault="00195E73">
            <w:pPr>
              <w:rPr>
                <w:rFonts w:eastAsia="Times New Roman"/>
                <w:sz w:val="20"/>
                <w:szCs w:val="20"/>
              </w:rPr>
            </w:pPr>
          </w:p>
        </w:tc>
        <w:tc>
          <w:tcPr>
            <w:tcW w:w="0" w:type="auto"/>
            <w:vAlign w:val="center"/>
            <w:hideMark/>
          </w:tcPr>
          <w:p w14:paraId="6334D96B" w14:textId="77777777" w:rsidR="00000000" w:rsidRDefault="00195E73">
            <w:pPr>
              <w:rPr>
                <w:rFonts w:eastAsia="Times New Roman"/>
                <w:sz w:val="20"/>
                <w:szCs w:val="20"/>
              </w:rPr>
            </w:pPr>
          </w:p>
        </w:tc>
        <w:tc>
          <w:tcPr>
            <w:tcW w:w="0" w:type="auto"/>
            <w:vAlign w:val="center"/>
            <w:hideMark/>
          </w:tcPr>
          <w:p w14:paraId="7D85D980" w14:textId="77777777" w:rsidR="00000000" w:rsidRDefault="00195E73">
            <w:pPr>
              <w:rPr>
                <w:rFonts w:eastAsia="Times New Roman"/>
                <w:sz w:val="20"/>
                <w:szCs w:val="20"/>
              </w:rPr>
            </w:pPr>
          </w:p>
        </w:tc>
      </w:tr>
      <w:tr w:rsidR="00000000" w14:paraId="556D1AC3" w14:textId="77777777">
        <w:trPr>
          <w:divId w:val="1195459813"/>
          <w:jc w:val="center"/>
        </w:trPr>
        <w:tc>
          <w:tcPr>
            <w:tcW w:w="0" w:type="auto"/>
            <w:gridSpan w:val="3"/>
            <w:shd w:val="clear" w:color="auto" w:fill="FFFFFF"/>
            <w:tcMar>
              <w:top w:w="30" w:type="dxa"/>
              <w:left w:w="20" w:type="dxa"/>
              <w:bottom w:w="30" w:type="dxa"/>
              <w:right w:w="20" w:type="dxa"/>
            </w:tcMar>
            <w:vAlign w:val="bottom"/>
            <w:hideMark/>
          </w:tcPr>
          <w:p w14:paraId="0149B58A" w14:textId="77777777" w:rsidR="00000000" w:rsidRDefault="00195E73">
            <w:pPr>
              <w:ind w:hanging="90"/>
              <w:divId w:val="398215206"/>
              <w:rPr>
                <w:rFonts w:eastAsia="Times New Roman"/>
              </w:rPr>
            </w:pPr>
            <w:r>
              <w:rPr>
                <w:rFonts w:eastAsia="Times New Roman"/>
                <w:color w:val="000000"/>
                <w:sz w:val="18"/>
                <w:szCs w:val="18"/>
              </w:rPr>
              <w:t xml:space="preserve">Accumulated impairment, Jan </w:t>
            </w:r>
            <w:r>
              <w:rPr>
                <w:rFonts w:eastAsia="Times New Roman"/>
                <w:color w:val="000000"/>
                <w:sz w:val="18"/>
                <w:szCs w:val="18"/>
              </w:rPr>
              <w:t>1</w:t>
            </w:r>
          </w:p>
        </w:tc>
        <w:tc>
          <w:tcPr>
            <w:tcW w:w="0" w:type="auto"/>
            <w:gridSpan w:val="2"/>
            <w:shd w:val="clear" w:color="auto" w:fill="FFFFFF"/>
            <w:tcMar>
              <w:top w:w="30" w:type="dxa"/>
              <w:left w:w="20" w:type="dxa"/>
              <w:bottom w:w="30" w:type="dxa"/>
              <w:right w:w="0" w:type="dxa"/>
            </w:tcMar>
            <w:vAlign w:val="bottom"/>
            <w:hideMark/>
          </w:tcPr>
          <w:p w14:paraId="03C62D7A"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64CB5997"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FFFFFF"/>
            <w:tcMar>
              <w:top w:w="15" w:type="dxa"/>
              <w:left w:w="20" w:type="dxa"/>
              <w:bottom w:w="15" w:type="dxa"/>
              <w:right w:w="0" w:type="dxa"/>
            </w:tcMar>
            <w:vAlign w:val="bottom"/>
            <w:hideMark/>
          </w:tcPr>
          <w:p w14:paraId="6838EB00"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6A9C443A"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F24E20"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5ABC80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A26EE9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9D1751"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F9431D3"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73485CB7" w14:textId="77777777" w:rsidR="00000000" w:rsidRDefault="00195E73">
            <w:pPr>
              <w:rPr>
                <w:rFonts w:eastAsia="Times New Roman"/>
                <w:sz w:val="20"/>
                <w:szCs w:val="20"/>
              </w:rPr>
            </w:pPr>
          </w:p>
        </w:tc>
        <w:tc>
          <w:tcPr>
            <w:tcW w:w="0" w:type="auto"/>
            <w:vAlign w:val="center"/>
            <w:hideMark/>
          </w:tcPr>
          <w:p w14:paraId="3A19DC6E" w14:textId="77777777" w:rsidR="00000000" w:rsidRDefault="00195E73">
            <w:pPr>
              <w:rPr>
                <w:rFonts w:eastAsia="Times New Roman"/>
                <w:sz w:val="20"/>
                <w:szCs w:val="20"/>
              </w:rPr>
            </w:pPr>
          </w:p>
        </w:tc>
        <w:tc>
          <w:tcPr>
            <w:tcW w:w="0" w:type="auto"/>
            <w:vAlign w:val="center"/>
            <w:hideMark/>
          </w:tcPr>
          <w:p w14:paraId="0D2A3CDC" w14:textId="77777777" w:rsidR="00000000" w:rsidRDefault="00195E73">
            <w:pPr>
              <w:rPr>
                <w:rFonts w:eastAsia="Times New Roman"/>
                <w:sz w:val="20"/>
                <w:szCs w:val="20"/>
              </w:rPr>
            </w:pPr>
          </w:p>
        </w:tc>
        <w:tc>
          <w:tcPr>
            <w:tcW w:w="0" w:type="auto"/>
            <w:vAlign w:val="center"/>
            <w:hideMark/>
          </w:tcPr>
          <w:p w14:paraId="286D6FAF" w14:textId="77777777" w:rsidR="00000000" w:rsidRDefault="00195E73">
            <w:pPr>
              <w:rPr>
                <w:rFonts w:eastAsia="Times New Roman"/>
                <w:sz w:val="20"/>
                <w:szCs w:val="20"/>
              </w:rPr>
            </w:pPr>
          </w:p>
        </w:tc>
        <w:tc>
          <w:tcPr>
            <w:tcW w:w="0" w:type="auto"/>
            <w:vAlign w:val="center"/>
            <w:hideMark/>
          </w:tcPr>
          <w:p w14:paraId="0962430D" w14:textId="77777777" w:rsidR="00000000" w:rsidRDefault="00195E73">
            <w:pPr>
              <w:rPr>
                <w:rFonts w:eastAsia="Times New Roman"/>
                <w:sz w:val="20"/>
                <w:szCs w:val="20"/>
              </w:rPr>
            </w:pPr>
          </w:p>
        </w:tc>
        <w:tc>
          <w:tcPr>
            <w:tcW w:w="0" w:type="auto"/>
            <w:vAlign w:val="center"/>
            <w:hideMark/>
          </w:tcPr>
          <w:p w14:paraId="19B2FF39" w14:textId="77777777" w:rsidR="00000000" w:rsidRDefault="00195E73">
            <w:pPr>
              <w:rPr>
                <w:rFonts w:eastAsia="Times New Roman"/>
                <w:sz w:val="20"/>
                <w:szCs w:val="20"/>
              </w:rPr>
            </w:pPr>
          </w:p>
        </w:tc>
        <w:tc>
          <w:tcPr>
            <w:tcW w:w="0" w:type="auto"/>
            <w:vAlign w:val="center"/>
            <w:hideMark/>
          </w:tcPr>
          <w:p w14:paraId="02F5FBB6" w14:textId="77777777" w:rsidR="00000000" w:rsidRDefault="00195E73">
            <w:pPr>
              <w:rPr>
                <w:rFonts w:eastAsia="Times New Roman"/>
                <w:sz w:val="20"/>
                <w:szCs w:val="20"/>
              </w:rPr>
            </w:pPr>
          </w:p>
        </w:tc>
        <w:tc>
          <w:tcPr>
            <w:tcW w:w="0" w:type="auto"/>
            <w:vAlign w:val="center"/>
            <w:hideMark/>
          </w:tcPr>
          <w:p w14:paraId="31C62BF7" w14:textId="77777777" w:rsidR="00000000" w:rsidRDefault="00195E73">
            <w:pPr>
              <w:rPr>
                <w:rFonts w:eastAsia="Times New Roman"/>
                <w:sz w:val="20"/>
                <w:szCs w:val="20"/>
              </w:rPr>
            </w:pPr>
          </w:p>
        </w:tc>
        <w:tc>
          <w:tcPr>
            <w:tcW w:w="0" w:type="auto"/>
            <w:vAlign w:val="center"/>
            <w:hideMark/>
          </w:tcPr>
          <w:p w14:paraId="1A917B13" w14:textId="77777777" w:rsidR="00000000" w:rsidRDefault="00195E73">
            <w:pPr>
              <w:rPr>
                <w:rFonts w:eastAsia="Times New Roman"/>
                <w:sz w:val="20"/>
                <w:szCs w:val="20"/>
              </w:rPr>
            </w:pPr>
          </w:p>
        </w:tc>
        <w:tc>
          <w:tcPr>
            <w:tcW w:w="0" w:type="auto"/>
            <w:vAlign w:val="center"/>
            <w:hideMark/>
          </w:tcPr>
          <w:p w14:paraId="5A2B584D" w14:textId="77777777" w:rsidR="00000000" w:rsidRDefault="00195E73">
            <w:pPr>
              <w:rPr>
                <w:rFonts w:eastAsia="Times New Roman"/>
                <w:sz w:val="20"/>
                <w:szCs w:val="20"/>
              </w:rPr>
            </w:pPr>
          </w:p>
        </w:tc>
        <w:tc>
          <w:tcPr>
            <w:tcW w:w="0" w:type="auto"/>
            <w:vAlign w:val="center"/>
            <w:hideMark/>
          </w:tcPr>
          <w:p w14:paraId="4BE757FD" w14:textId="77777777" w:rsidR="00000000" w:rsidRDefault="00195E73">
            <w:pPr>
              <w:rPr>
                <w:rFonts w:eastAsia="Times New Roman"/>
                <w:sz w:val="20"/>
                <w:szCs w:val="20"/>
              </w:rPr>
            </w:pPr>
          </w:p>
        </w:tc>
        <w:tc>
          <w:tcPr>
            <w:tcW w:w="0" w:type="auto"/>
            <w:vAlign w:val="center"/>
            <w:hideMark/>
          </w:tcPr>
          <w:p w14:paraId="052772D5" w14:textId="77777777" w:rsidR="00000000" w:rsidRDefault="00195E73">
            <w:pPr>
              <w:rPr>
                <w:rFonts w:eastAsia="Times New Roman"/>
                <w:sz w:val="20"/>
                <w:szCs w:val="20"/>
              </w:rPr>
            </w:pPr>
          </w:p>
        </w:tc>
      </w:tr>
      <w:tr w:rsidR="00000000" w14:paraId="5F85D705" w14:textId="77777777">
        <w:trPr>
          <w:divId w:val="1195459813"/>
          <w:jc w:val="center"/>
        </w:trPr>
        <w:tc>
          <w:tcPr>
            <w:tcW w:w="0" w:type="auto"/>
            <w:gridSpan w:val="3"/>
            <w:shd w:val="clear" w:color="auto" w:fill="CCEEFF"/>
            <w:tcMar>
              <w:top w:w="30" w:type="dxa"/>
              <w:left w:w="180" w:type="dxa"/>
              <w:bottom w:w="30" w:type="dxa"/>
              <w:right w:w="20" w:type="dxa"/>
            </w:tcMar>
            <w:vAlign w:val="bottom"/>
            <w:hideMark/>
          </w:tcPr>
          <w:p w14:paraId="55A88C52" w14:textId="77777777" w:rsidR="00000000" w:rsidRDefault="00195E73">
            <w:pPr>
              <w:rPr>
                <w:rFonts w:eastAsia="Times New Roman"/>
              </w:rPr>
            </w:pPr>
            <w:r>
              <w:rPr>
                <w:rFonts w:eastAsia="Times New Roman"/>
                <w:color w:val="000000"/>
                <w:sz w:val="18"/>
                <w:szCs w:val="18"/>
              </w:rPr>
              <w:t>Impairmen</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14:paraId="3E1C0BB1" w14:textId="77777777" w:rsidR="00000000" w:rsidRDefault="00195E73">
            <w:pPr>
              <w:jc w:val="right"/>
              <w:rPr>
                <w:rFonts w:eastAsia="Times New Roman"/>
              </w:rPr>
            </w:pPr>
            <w:r>
              <w:rPr>
                <w:rFonts w:eastAsia="Times New Roman"/>
                <w:color w:val="000000"/>
                <w:sz w:val="18"/>
                <w:szCs w:val="18"/>
              </w:rPr>
              <w:t>(87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54F96056" w14:textId="77777777" w:rsidR="00000000" w:rsidRDefault="00195E73">
            <w:pPr>
              <w:jc w:val="right"/>
              <w:rPr>
                <w:rFonts w:eastAsia="Times New Roman"/>
              </w:rPr>
            </w:pPr>
            <w:r>
              <w:rPr>
                <w:rFonts w:eastAsia="Times New Roman"/>
                <w:color w:val="000000"/>
                <w:sz w:val="18"/>
                <w:szCs w:val="18"/>
              </w:rPr>
              <w:t> </w:t>
            </w:r>
          </w:p>
        </w:tc>
        <w:tc>
          <w:tcPr>
            <w:tcW w:w="0" w:type="auto"/>
            <w:gridSpan w:val="2"/>
            <w:shd w:val="clear" w:color="auto" w:fill="CCEEFF"/>
            <w:tcMar>
              <w:top w:w="15" w:type="dxa"/>
              <w:left w:w="20" w:type="dxa"/>
              <w:bottom w:w="15" w:type="dxa"/>
              <w:right w:w="0" w:type="dxa"/>
            </w:tcMar>
            <w:vAlign w:val="bottom"/>
            <w:hideMark/>
          </w:tcPr>
          <w:p w14:paraId="7DF1B7AD"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3D207264"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D13AA0"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15C2CCDE"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D3A11B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C6E56F" w14:textId="77777777" w:rsidR="00000000" w:rsidRDefault="00195E73">
            <w:pPr>
              <w:jc w:val="right"/>
              <w:rPr>
                <w:rFonts w:eastAsia="Times New Roman"/>
              </w:rPr>
            </w:pPr>
            <w:r>
              <w:rPr>
                <w:rFonts w:eastAsia="Times New Roman"/>
                <w:color w:val="000000"/>
                <w:sz w:val="18"/>
                <w:szCs w:val="18"/>
              </w:rPr>
              <w:t>(87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545CBDA6"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04E4597B" w14:textId="77777777" w:rsidR="00000000" w:rsidRDefault="00195E73">
            <w:pPr>
              <w:rPr>
                <w:rFonts w:eastAsia="Times New Roman"/>
                <w:sz w:val="20"/>
                <w:szCs w:val="20"/>
              </w:rPr>
            </w:pPr>
          </w:p>
        </w:tc>
        <w:tc>
          <w:tcPr>
            <w:tcW w:w="0" w:type="auto"/>
            <w:vAlign w:val="center"/>
            <w:hideMark/>
          </w:tcPr>
          <w:p w14:paraId="474984CC" w14:textId="77777777" w:rsidR="00000000" w:rsidRDefault="00195E73">
            <w:pPr>
              <w:rPr>
                <w:rFonts w:eastAsia="Times New Roman"/>
                <w:sz w:val="20"/>
                <w:szCs w:val="20"/>
              </w:rPr>
            </w:pPr>
          </w:p>
        </w:tc>
        <w:tc>
          <w:tcPr>
            <w:tcW w:w="0" w:type="auto"/>
            <w:vAlign w:val="center"/>
            <w:hideMark/>
          </w:tcPr>
          <w:p w14:paraId="6A785A07" w14:textId="77777777" w:rsidR="00000000" w:rsidRDefault="00195E73">
            <w:pPr>
              <w:rPr>
                <w:rFonts w:eastAsia="Times New Roman"/>
                <w:sz w:val="20"/>
                <w:szCs w:val="20"/>
              </w:rPr>
            </w:pPr>
          </w:p>
        </w:tc>
        <w:tc>
          <w:tcPr>
            <w:tcW w:w="0" w:type="auto"/>
            <w:vAlign w:val="center"/>
            <w:hideMark/>
          </w:tcPr>
          <w:p w14:paraId="2622A92B" w14:textId="77777777" w:rsidR="00000000" w:rsidRDefault="00195E73">
            <w:pPr>
              <w:rPr>
                <w:rFonts w:eastAsia="Times New Roman"/>
                <w:sz w:val="20"/>
                <w:szCs w:val="20"/>
              </w:rPr>
            </w:pPr>
          </w:p>
        </w:tc>
        <w:tc>
          <w:tcPr>
            <w:tcW w:w="0" w:type="auto"/>
            <w:vAlign w:val="center"/>
            <w:hideMark/>
          </w:tcPr>
          <w:p w14:paraId="1AC09C4F" w14:textId="77777777" w:rsidR="00000000" w:rsidRDefault="00195E73">
            <w:pPr>
              <w:rPr>
                <w:rFonts w:eastAsia="Times New Roman"/>
                <w:sz w:val="20"/>
                <w:szCs w:val="20"/>
              </w:rPr>
            </w:pPr>
          </w:p>
        </w:tc>
        <w:tc>
          <w:tcPr>
            <w:tcW w:w="0" w:type="auto"/>
            <w:vAlign w:val="center"/>
            <w:hideMark/>
          </w:tcPr>
          <w:p w14:paraId="6A393353" w14:textId="77777777" w:rsidR="00000000" w:rsidRDefault="00195E73">
            <w:pPr>
              <w:rPr>
                <w:rFonts w:eastAsia="Times New Roman"/>
                <w:sz w:val="20"/>
                <w:szCs w:val="20"/>
              </w:rPr>
            </w:pPr>
          </w:p>
        </w:tc>
        <w:tc>
          <w:tcPr>
            <w:tcW w:w="0" w:type="auto"/>
            <w:vAlign w:val="center"/>
            <w:hideMark/>
          </w:tcPr>
          <w:p w14:paraId="2F72F2EF" w14:textId="77777777" w:rsidR="00000000" w:rsidRDefault="00195E73">
            <w:pPr>
              <w:rPr>
                <w:rFonts w:eastAsia="Times New Roman"/>
                <w:sz w:val="20"/>
                <w:szCs w:val="20"/>
              </w:rPr>
            </w:pPr>
          </w:p>
        </w:tc>
        <w:tc>
          <w:tcPr>
            <w:tcW w:w="0" w:type="auto"/>
            <w:vAlign w:val="center"/>
            <w:hideMark/>
          </w:tcPr>
          <w:p w14:paraId="67DE975C" w14:textId="77777777" w:rsidR="00000000" w:rsidRDefault="00195E73">
            <w:pPr>
              <w:rPr>
                <w:rFonts w:eastAsia="Times New Roman"/>
                <w:sz w:val="20"/>
                <w:szCs w:val="20"/>
              </w:rPr>
            </w:pPr>
          </w:p>
        </w:tc>
        <w:tc>
          <w:tcPr>
            <w:tcW w:w="0" w:type="auto"/>
            <w:vAlign w:val="center"/>
            <w:hideMark/>
          </w:tcPr>
          <w:p w14:paraId="61618AC6" w14:textId="77777777" w:rsidR="00000000" w:rsidRDefault="00195E73">
            <w:pPr>
              <w:rPr>
                <w:rFonts w:eastAsia="Times New Roman"/>
                <w:sz w:val="20"/>
                <w:szCs w:val="20"/>
              </w:rPr>
            </w:pPr>
          </w:p>
        </w:tc>
        <w:tc>
          <w:tcPr>
            <w:tcW w:w="0" w:type="auto"/>
            <w:vAlign w:val="center"/>
            <w:hideMark/>
          </w:tcPr>
          <w:p w14:paraId="7615AC69" w14:textId="77777777" w:rsidR="00000000" w:rsidRDefault="00195E73">
            <w:pPr>
              <w:rPr>
                <w:rFonts w:eastAsia="Times New Roman"/>
                <w:sz w:val="20"/>
                <w:szCs w:val="20"/>
              </w:rPr>
            </w:pPr>
          </w:p>
        </w:tc>
        <w:tc>
          <w:tcPr>
            <w:tcW w:w="0" w:type="auto"/>
            <w:vAlign w:val="center"/>
            <w:hideMark/>
          </w:tcPr>
          <w:p w14:paraId="38843A39" w14:textId="77777777" w:rsidR="00000000" w:rsidRDefault="00195E73">
            <w:pPr>
              <w:rPr>
                <w:rFonts w:eastAsia="Times New Roman"/>
                <w:sz w:val="20"/>
                <w:szCs w:val="20"/>
              </w:rPr>
            </w:pPr>
          </w:p>
        </w:tc>
        <w:tc>
          <w:tcPr>
            <w:tcW w:w="0" w:type="auto"/>
            <w:vAlign w:val="center"/>
            <w:hideMark/>
          </w:tcPr>
          <w:p w14:paraId="43BA5CC5" w14:textId="77777777" w:rsidR="00000000" w:rsidRDefault="00195E73">
            <w:pPr>
              <w:rPr>
                <w:rFonts w:eastAsia="Times New Roman"/>
                <w:sz w:val="20"/>
                <w:szCs w:val="20"/>
              </w:rPr>
            </w:pPr>
          </w:p>
        </w:tc>
      </w:tr>
      <w:tr w:rsidR="00000000" w14:paraId="39E724DE" w14:textId="77777777">
        <w:trPr>
          <w:divId w:val="1195459813"/>
          <w:jc w:val="center"/>
        </w:trPr>
        <w:tc>
          <w:tcPr>
            <w:tcW w:w="0" w:type="auto"/>
            <w:gridSpan w:val="3"/>
            <w:shd w:val="clear" w:color="auto" w:fill="FFFFFF"/>
            <w:tcMar>
              <w:top w:w="30" w:type="dxa"/>
              <w:left w:w="20" w:type="dxa"/>
              <w:bottom w:w="30" w:type="dxa"/>
              <w:right w:w="20" w:type="dxa"/>
            </w:tcMar>
            <w:vAlign w:val="bottom"/>
            <w:hideMark/>
          </w:tcPr>
          <w:p w14:paraId="2C96B269" w14:textId="77777777" w:rsidR="00000000" w:rsidRDefault="00195E73">
            <w:pPr>
              <w:ind w:hanging="90"/>
              <w:divId w:val="1809008193"/>
              <w:rPr>
                <w:rFonts w:eastAsia="Times New Roman"/>
              </w:rPr>
            </w:pPr>
            <w:r>
              <w:rPr>
                <w:rFonts w:eastAsia="Times New Roman"/>
                <w:color w:val="000000"/>
                <w:sz w:val="18"/>
                <w:szCs w:val="18"/>
              </w:rPr>
              <w:t>Accumulated impairment, Dec 3</w:t>
            </w:r>
            <w:r>
              <w:rPr>
                <w:rFonts w:eastAsia="Times New Roman"/>
                <w:color w:val="000000"/>
                <w:sz w:val="18"/>
                <w:szCs w:val="18"/>
              </w:rPr>
              <w:t>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472696" w14:textId="77777777" w:rsidR="00000000" w:rsidRDefault="00195E73">
            <w:pPr>
              <w:jc w:val="right"/>
              <w:rPr>
                <w:rFonts w:eastAsia="Times New Roman"/>
              </w:rPr>
            </w:pPr>
            <w:r>
              <w:rPr>
                <w:rFonts w:eastAsia="Times New Roman"/>
                <w:color w:val="000000"/>
                <w:sz w:val="18"/>
                <w:szCs w:val="18"/>
              </w:rPr>
              <w:t>(87</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0A0040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5C89CC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3426CA" w14:textId="77777777" w:rsidR="00000000" w:rsidRDefault="00195E7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7C0BD58"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82CA805"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36937E" w14:textId="77777777" w:rsidR="00000000" w:rsidRDefault="00195E73">
            <w:pPr>
              <w:jc w:val="right"/>
              <w:rPr>
                <w:rFonts w:eastAsia="Times New Roman"/>
              </w:rPr>
            </w:pPr>
            <w:r>
              <w:rPr>
                <w:rFonts w:eastAsia="Times New Roman"/>
                <w:color w:val="000000"/>
                <w:sz w:val="18"/>
                <w:szCs w:val="18"/>
              </w:rPr>
              <w:t>(87</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CC53425"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646E5485" w14:textId="77777777" w:rsidR="00000000" w:rsidRDefault="00195E73">
            <w:pPr>
              <w:rPr>
                <w:rFonts w:eastAsia="Times New Roman"/>
                <w:sz w:val="20"/>
                <w:szCs w:val="20"/>
              </w:rPr>
            </w:pPr>
          </w:p>
        </w:tc>
        <w:tc>
          <w:tcPr>
            <w:tcW w:w="0" w:type="auto"/>
            <w:vAlign w:val="center"/>
            <w:hideMark/>
          </w:tcPr>
          <w:p w14:paraId="77AD4D80" w14:textId="77777777" w:rsidR="00000000" w:rsidRDefault="00195E73">
            <w:pPr>
              <w:rPr>
                <w:rFonts w:eastAsia="Times New Roman"/>
                <w:sz w:val="20"/>
                <w:szCs w:val="20"/>
              </w:rPr>
            </w:pPr>
          </w:p>
        </w:tc>
        <w:tc>
          <w:tcPr>
            <w:tcW w:w="0" w:type="auto"/>
            <w:vAlign w:val="center"/>
            <w:hideMark/>
          </w:tcPr>
          <w:p w14:paraId="4E8329E0" w14:textId="77777777" w:rsidR="00000000" w:rsidRDefault="00195E73">
            <w:pPr>
              <w:rPr>
                <w:rFonts w:eastAsia="Times New Roman"/>
                <w:sz w:val="20"/>
                <w:szCs w:val="20"/>
              </w:rPr>
            </w:pPr>
          </w:p>
        </w:tc>
        <w:tc>
          <w:tcPr>
            <w:tcW w:w="0" w:type="auto"/>
            <w:vAlign w:val="center"/>
            <w:hideMark/>
          </w:tcPr>
          <w:p w14:paraId="18EA5251" w14:textId="77777777" w:rsidR="00000000" w:rsidRDefault="00195E73">
            <w:pPr>
              <w:rPr>
                <w:rFonts w:eastAsia="Times New Roman"/>
                <w:sz w:val="20"/>
                <w:szCs w:val="20"/>
              </w:rPr>
            </w:pPr>
          </w:p>
        </w:tc>
        <w:tc>
          <w:tcPr>
            <w:tcW w:w="0" w:type="auto"/>
            <w:vAlign w:val="center"/>
            <w:hideMark/>
          </w:tcPr>
          <w:p w14:paraId="70649C07" w14:textId="77777777" w:rsidR="00000000" w:rsidRDefault="00195E73">
            <w:pPr>
              <w:rPr>
                <w:rFonts w:eastAsia="Times New Roman"/>
                <w:sz w:val="20"/>
                <w:szCs w:val="20"/>
              </w:rPr>
            </w:pPr>
          </w:p>
        </w:tc>
        <w:tc>
          <w:tcPr>
            <w:tcW w:w="0" w:type="auto"/>
            <w:vAlign w:val="center"/>
            <w:hideMark/>
          </w:tcPr>
          <w:p w14:paraId="5EC2B7FF" w14:textId="77777777" w:rsidR="00000000" w:rsidRDefault="00195E73">
            <w:pPr>
              <w:rPr>
                <w:rFonts w:eastAsia="Times New Roman"/>
                <w:sz w:val="20"/>
                <w:szCs w:val="20"/>
              </w:rPr>
            </w:pPr>
          </w:p>
        </w:tc>
        <w:tc>
          <w:tcPr>
            <w:tcW w:w="0" w:type="auto"/>
            <w:vAlign w:val="center"/>
            <w:hideMark/>
          </w:tcPr>
          <w:p w14:paraId="6F198A6D" w14:textId="77777777" w:rsidR="00000000" w:rsidRDefault="00195E73">
            <w:pPr>
              <w:rPr>
                <w:rFonts w:eastAsia="Times New Roman"/>
                <w:sz w:val="20"/>
                <w:szCs w:val="20"/>
              </w:rPr>
            </w:pPr>
          </w:p>
        </w:tc>
        <w:tc>
          <w:tcPr>
            <w:tcW w:w="0" w:type="auto"/>
            <w:vAlign w:val="center"/>
            <w:hideMark/>
          </w:tcPr>
          <w:p w14:paraId="41E05ACE" w14:textId="77777777" w:rsidR="00000000" w:rsidRDefault="00195E73">
            <w:pPr>
              <w:rPr>
                <w:rFonts w:eastAsia="Times New Roman"/>
                <w:sz w:val="20"/>
                <w:szCs w:val="20"/>
              </w:rPr>
            </w:pPr>
          </w:p>
        </w:tc>
        <w:tc>
          <w:tcPr>
            <w:tcW w:w="0" w:type="auto"/>
            <w:vAlign w:val="center"/>
            <w:hideMark/>
          </w:tcPr>
          <w:p w14:paraId="57085731" w14:textId="77777777" w:rsidR="00000000" w:rsidRDefault="00195E73">
            <w:pPr>
              <w:rPr>
                <w:rFonts w:eastAsia="Times New Roman"/>
                <w:sz w:val="20"/>
                <w:szCs w:val="20"/>
              </w:rPr>
            </w:pPr>
          </w:p>
        </w:tc>
        <w:tc>
          <w:tcPr>
            <w:tcW w:w="0" w:type="auto"/>
            <w:vAlign w:val="center"/>
            <w:hideMark/>
          </w:tcPr>
          <w:p w14:paraId="7605E224" w14:textId="77777777" w:rsidR="00000000" w:rsidRDefault="00195E73">
            <w:pPr>
              <w:rPr>
                <w:rFonts w:eastAsia="Times New Roman"/>
                <w:sz w:val="20"/>
                <w:szCs w:val="20"/>
              </w:rPr>
            </w:pPr>
          </w:p>
        </w:tc>
        <w:tc>
          <w:tcPr>
            <w:tcW w:w="0" w:type="auto"/>
            <w:vAlign w:val="center"/>
            <w:hideMark/>
          </w:tcPr>
          <w:p w14:paraId="5AC17C22" w14:textId="77777777" w:rsidR="00000000" w:rsidRDefault="00195E73">
            <w:pPr>
              <w:rPr>
                <w:rFonts w:eastAsia="Times New Roman"/>
                <w:sz w:val="20"/>
                <w:szCs w:val="20"/>
              </w:rPr>
            </w:pPr>
          </w:p>
        </w:tc>
        <w:tc>
          <w:tcPr>
            <w:tcW w:w="0" w:type="auto"/>
            <w:vAlign w:val="center"/>
            <w:hideMark/>
          </w:tcPr>
          <w:p w14:paraId="4BC40456" w14:textId="77777777" w:rsidR="00000000" w:rsidRDefault="00195E73">
            <w:pPr>
              <w:rPr>
                <w:rFonts w:eastAsia="Times New Roman"/>
                <w:sz w:val="20"/>
                <w:szCs w:val="20"/>
              </w:rPr>
            </w:pPr>
          </w:p>
        </w:tc>
      </w:tr>
      <w:tr w:rsidR="00000000" w14:paraId="58627431" w14:textId="77777777">
        <w:trPr>
          <w:divId w:val="1195459813"/>
          <w:trHeight w:val="240"/>
          <w:jc w:val="center"/>
        </w:trPr>
        <w:tc>
          <w:tcPr>
            <w:tcW w:w="0" w:type="auto"/>
            <w:gridSpan w:val="3"/>
            <w:shd w:val="clear" w:color="auto" w:fill="CCEEFF"/>
            <w:tcMar>
              <w:top w:w="15" w:type="dxa"/>
              <w:left w:w="20" w:type="dxa"/>
              <w:bottom w:w="15" w:type="dxa"/>
              <w:right w:w="20" w:type="dxa"/>
            </w:tcMar>
            <w:vAlign w:val="bottom"/>
            <w:hideMark/>
          </w:tcPr>
          <w:p w14:paraId="737E3961" w14:textId="77777777" w:rsidR="00000000" w:rsidRDefault="00195E73">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C6C2B2F"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CC1881B"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578F7270"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5260BA1"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0F98EA45" w14:textId="77777777" w:rsidR="00000000" w:rsidRDefault="00195E73">
            <w:pPr>
              <w:rPr>
                <w:rFonts w:eastAsia="Times New Roman"/>
                <w:sz w:val="20"/>
                <w:szCs w:val="20"/>
              </w:rPr>
            </w:pPr>
          </w:p>
        </w:tc>
        <w:tc>
          <w:tcPr>
            <w:tcW w:w="0" w:type="auto"/>
            <w:vAlign w:val="center"/>
            <w:hideMark/>
          </w:tcPr>
          <w:p w14:paraId="7860172E" w14:textId="77777777" w:rsidR="00000000" w:rsidRDefault="00195E73">
            <w:pPr>
              <w:rPr>
                <w:rFonts w:eastAsia="Times New Roman"/>
                <w:sz w:val="20"/>
                <w:szCs w:val="20"/>
              </w:rPr>
            </w:pPr>
          </w:p>
        </w:tc>
        <w:tc>
          <w:tcPr>
            <w:tcW w:w="0" w:type="auto"/>
            <w:vAlign w:val="center"/>
            <w:hideMark/>
          </w:tcPr>
          <w:p w14:paraId="19662FCE" w14:textId="77777777" w:rsidR="00000000" w:rsidRDefault="00195E73">
            <w:pPr>
              <w:rPr>
                <w:rFonts w:eastAsia="Times New Roman"/>
                <w:sz w:val="20"/>
                <w:szCs w:val="20"/>
              </w:rPr>
            </w:pPr>
          </w:p>
        </w:tc>
        <w:tc>
          <w:tcPr>
            <w:tcW w:w="0" w:type="auto"/>
            <w:vAlign w:val="center"/>
            <w:hideMark/>
          </w:tcPr>
          <w:p w14:paraId="0044C17D" w14:textId="77777777" w:rsidR="00000000" w:rsidRDefault="00195E73">
            <w:pPr>
              <w:rPr>
                <w:rFonts w:eastAsia="Times New Roman"/>
                <w:sz w:val="20"/>
                <w:szCs w:val="20"/>
              </w:rPr>
            </w:pPr>
          </w:p>
        </w:tc>
        <w:tc>
          <w:tcPr>
            <w:tcW w:w="0" w:type="auto"/>
            <w:vAlign w:val="center"/>
            <w:hideMark/>
          </w:tcPr>
          <w:p w14:paraId="68BF8F1B" w14:textId="77777777" w:rsidR="00000000" w:rsidRDefault="00195E73">
            <w:pPr>
              <w:rPr>
                <w:rFonts w:eastAsia="Times New Roman"/>
                <w:sz w:val="20"/>
                <w:szCs w:val="20"/>
              </w:rPr>
            </w:pPr>
          </w:p>
        </w:tc>
        <w:tc>
          <w:tcPr>
            <w:tcW w:w="0" w:type="auto"/>
            <w:vAlign w:val="center"/>
            <w:hideMark/>
          </w:tcPr>
          <w:p w14:paraId="17E1EF94" w14:textId="77777777" w:rsidR="00000000" w:rsidRDefault="00195E73">
            <w:pPr>
              <w:rPr>
                <w:rFonts w:eastAsia="Times New Roman"/>
                <w:sz w:val="20"/>
                <w:szCs w:val="20"/>
              </w:rPr>
            </w:pPr>
          </w:p>
        </w:tc>
        <w:tc>
          <w:tcPr>
            <w:tcW w:w="0" w:type="auto"/>
            <w:vAlign w:val="center"/>
            <w:hideMark/>
          </w:tcPr>
          <w:p w14:paraId="51B0D0CA" w14:textId="77777777" w:rsidR="00000000" w:rsidRDefault="00195E73">
            <w:pPr>
              <w:rPr>
                <w:rFonts w:eastAsia="Times New Roman"/>
                <w:sz w:val="20"/>
                <w:szCs w:val="20"/>
              </w:rPr>
            </w:pPr>
          </w:p>
        </w:tc>
        <w:tc>
          <w:tcPr>
            <w:tcW w:w="0" w:type="auto"/>
            <w:vAlign w:val="center"/>
            <w:hideMark/>
          </w:tcPr>
          <w:p w14:paraId="0746AEED" w14:textId="77777777" w:rsidR="00000000" w:rsidRDefault="00195E73">
            <w:pPr>
              <w:rPr>
                <w:rFonts w:eastAsia="Times New Roman"/>
                <w:sz w:val="20"/>
                <w:szCs w:val="20"/>
              </w:rPr>
            </w:pPr>
          </w:p>
        </w:tc>
        <w:tc>
          <w:tcPr>
            <w:tcW w:w="0" w:type="auto"/>
            <w:vAlign w:val="center"/>
            <w:hideMark/>
          </w:tcPr>
          <w:p w14:paraId="3DB16FE6" w14:textId="77777777" w:rsidR="00000000" w:rsidRDefault="00195E73">
            <w:pPr>
              <w:rPr>
                <w:rFonts w:eastAsia="Times New Roman"/>
                <w:sz w:val="20"/>
                <w:szCs w:val="20"/>
              </w:rPr>
            </w:pPr>
          </w:p>
        </w:tc>
        <w:tc>
          <w:tcPr>
            <w:tcW w:w="0" w:type="auto"/>
            <w:vAlign w:val="center"/>
            <w:hideMark/>
          </w:tcPr>
          <w:p w14:paraId="5B1E8E10" w14:textId="77777777" w:rsidR="00000000" w:rsidRDefault="00195E73">
            <w:pPr>
              <w:rPr>
                <w:rFonts w:eastAsia="Times New Roman"/>
                <w:sz w:val="20"/>
                <w:szCs w:val="20"/>
              </w:rPr>
            </w:pPr>
          </w:p>
        </w:tc>
        <w:tc>
          <w:tcPr>
            <w:tcW w:w="0" w:type="auto"/>
            <w:vAlign w:val="center"/>
            <w:hideMark/>
          </w:tcPr>
          <w:p w14:paraId="3E3CEEE7" w14:textId="77777777" w:rsidR="00000000" w:rsidRDefault="00195E73">
            <w:pPr>
              <w:rPr>
                <w:rFonts w:eastAsia="Times New Roman"/>
                <w:sz w:val="20"/>
                <w:szCs w:val="20"/>
              </w:rPr>
            </w:pPr>
          </w:p>
        </w:tc>
        <w:tc>
          <w:tcPr>
            <w:tcW w:w="0" w:type="auto"/>
            <w:vAlign w:val="center"/>
            <w:hideMark/>
          </w:tcPr>
          <w:p w14:paraId="42A5EDC2" w14:textId="77777777" w:rsidR="00000000" w:rsidRDefault="00195E73">
            <w:pPr>
              <w:rPr>
                <w:rFonts w:eastAsia="Times New Roman"/>
                <w:sz w:val="20"/>
                <w:szCs w:val="20"/>
              </w:rPr>
            </w:pPr>
          </w:p>
        </w:tc>
        <w:tc>
          <w:tcPr>
            <w:tcW w:w="0" w:type="auto"/>
            <w:vAlign w:val="center"/>
            <w:hideMark/>
          </w:tcPr>
          <w:p w14:paraId="729EFD25" w14:textId="77777777" w:rsidR="00000000" w:rsidRDefault="00195E73">
            <w:pPr>
              <w:rPr>
                <w:rFonts w:eastAsia="Times New Roman"/>
                <w:sz w:val="20"/>
                <w:szCs w:val="20"/>
              </w:rPr>
            </w:pPr>
          </w:p>
        </w:tc>
      </w:tr>
      <w:tr w:rsidR="00000000" w14:paraId="6EFD06EC" w14:textId="77777777">
        <w:trPr>
          <w:divId w:val="1195459813"/>
          <w:jc w:val="center"/>
        </w:trPr>
        <w:tc>
          <w:tcPr>
            <w:tcW w:w="0" w:type="auto"/>
            <w:gridSpan w:val="3"/>
            <w:shd w:val="clear" w:color="auto" w:fill="FFFFFF"/>
            <w:tcMar>
              <w:top w:w="30" w:type="dxa"/>
              <w:left w:w="20" w:type="dxa"/>
              <w:bottom w:w="30" w:type="dxa"/>
              <w:right w:w="20" w:type="dxa"/>
            </w:tcMar>
            <w:vAlign w:val="bottom"/>
            <w:hideMark/>
          </w:tcPr>
          <w:p w14:paraId="54107077" w14:textId="77777777" w:rsidR="00000000" w:rsidRDefault="00195E73">
            <w:pPr>
              <w:ind w:hanging="90"/>
              <w:divId w:val="1066227688"/>
              <w:rPr>
                <w:rFonts w:eastAsia="Times New Roman"/>
              </w:rPr>
            </w:pPr>
            <w:r>
              <w:rPr>
                <w:rFonts w:eastAsia="Times New Roman"/>
                <w:color w:val="000000"/>
                <w:sz w:val="18"/>
                <w:szCs w:val="18"/>
              </w:rPr>
              <w:t>Net carrying value, Dec 3</w:t>
            </w:r>
            <w:r>
              <w:rPr>
                <w:rFonts w:eastAsia="Times New Roman"/>
                <w:color w:val="000000"/>
                <w:sz w:val="18"/>
                <w:szCs w:val="18"/>
              </w:rPr>
              <w:t>1</w:t>
            </w: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15B757F4" w14:textId="77777777" w:rsidR="00000000" w:rsidRDefault="00195E7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35B5F37F" w14:textId="77777777" w:rsidR="00000000" w:rsidRDefault="00195E73">
            <w:pPr>
              <w:jc w:val="right"/>
              <w:rPr>
                <w:rFonts w:eastAsia="Times New Roman"/>
              </w:rPr>
            </w:pPr>
            <w:r>
              <w:rPr>
                <w:rFonts w:eastAsia="Times New Roman"/>
                <w:color w:val="000000"/>
                <w:sz w:val="18"/>
                <w:szCs w:val="18"/>
              </w:rPr>
              <w:t>241</w:t>
            </w:r>
            <w:r>
              <w:rPr>
                <w:rFonts w:eastAsia="Times New Roman"/>
                <w:color w:val="000000"/>
                <w:sz w:val="18"/>
                <w:szCs w:val="18"/>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204B306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F8C63AF" w14:textId="77777777" w:rsidR="00000000" w:rsidRDefault="00195E73">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47D93E57" w14:textId="77777777" w:rsidR="00000000" w:rsidRDefault="00195E7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74395C8E" w14:textId="77777777" w:rsidR="00000000" w:rsidRDefault="00195E73">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57A0A25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8805C56" w14:textId="77777777" w:rsidR="00000000" w:rsidRDefault="00195E73">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7F6337B0" w14:textId="77777777" w:rsidR="00000000" w:rsidRDefault="00195E7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1C5C6316" w14:textId="77777777" w:rsidR="00000000" w:rsidRDefault="00195E73">
            <w:pPr>
              <w:jc w:val="right"/>
              <w:rPr>
                <w:rFonts w:eastAsia="Times New Roman"/>
              </w:rPr>
            </w:pPr>
            <w:r>
              <w:rPr>
                <w:rFonts w:eastAsia="Times New Roman"/>
                <w:color w:val="000000"/>
                <w:sz w:val="18"/>
                <w:szCs w:val="18"/>
              </w:rPr>
              <w:t>247</w:t>
            </w:r>
            <w:r>
              <w:rPr>
                <w:rFonts w:eastAsia="Times New Roman"/>
                <w:color w:val="000000"/>
                <w:sz w:val="18"/>
                <w:szCs w:val="18"/>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1F51F81E"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26A8686C" w14:textId="77777777" w:rsidR="00000000" w:rsidRDefault="00195E73">
            <w:pPr>
              <w:rPr>
                <w:rFonts w:eastAsia="Times New Roman"/>
                <w:sz w:val="20"/>
                <w:szCs w:val="20"/>
              </w:rPr>
            </w:pPr>
          </w:p>
        </w:tc>
        <w:tc>
          <w:tcPr>
            <w:tcW w:w="0" w:type="auto"/>
            <w:vAlign w:val="center"/>
            <w:hideMark/>
          </w:tcPr>
          <w:p w14:paraId="25BAC2B0" w14:textId="77777777" w:rsidR="00000000" w:rsidRDefault="00195E73">
            <w:pPr>
              <w:rPr>
                <w:rFonts w:eastAsia="Times New Roman"/>
                <w:sz w:val="20"/>
                <w:szCs w:val="20"/>
              </w:rPr>
            </w:pPr>
          </w:p>
        </w:tc>
        <w:tc>
          <w:tcPr>
            <w:tcW w:w="0" w:type="auto"/>
            <w:vAlign w:val="center"/>
            <w:hideMark/>
          </w:tcPr>
          <w:p w14:paraId="08CBB069" w14:textId="77777777" w:rsidR="00000000" w:rsidRDefault="00195E73">
            <w:pPr>
              <w:rPr>
                <w:rFonts w:eastAsia="Times New Roman"/>
                <w:sz w:val="20"/>
                <w:szCs w:val="20"/>
              </w:rPr>
            </w:pPr>
          </w:p>
        </w:tc>
        <w:tc>
          <w:tcPr>
            <w:tcW w:w="0" w:type="auto"/>
            <w:vAlign w:val="center"/>
            <w:hideMark/>
          </w:tcPr>
          <w:p w14:paraId="093B50CA" w14:textId="77777777" w:rsidR="00000000" w:rsidRDefault="00195E73">
            <w:pPr>
              <w:rPr>
                <w:rFonts w:eastAsia="Times New Roman"/>
                <w:sz w:val="20"/>
                <w:szCs w:val="20"/>
              </w:rPr>
            </w:pPr>
          </w:p>
        </w:tc>
        <w:tc>
          <w:tcPr>
            <w:tcW w:w="0" w:type="auto"/>
            <w:vAlign w:val="center"/>
            <w:hideMark/>
          </w:tcPr>
          <w:p w14:paraId="4397020A" w14:textId="77777777" w:rsidR="00000000" w:rsidRDefault="00195E73">
            <w:pPr>
              <w:rPr>
                <w:rFonts w:eastAsia="Times New Roman"/>
                <w:sz w:val="20"/>
                <w:szCs w:val="20"/>
              </w:rPr>
            </w:pPr>
          </w:p>
        </w:tc>
        <w:tc>
          <w:tcPr>
            <w:tcW w:w="0" w:type="auto"/>
            <w:vAlign w:val="center"/>
            <w:hideMark/>
          </w:tcPr>
          <w:p w14:paraId="13361D5E" w14:textId="77777777" w:rsidR="00000000" w:rsidRDefault="00195E73">
            <w:pPr>
              <w:rPr>
                <w:rFonts w:eastAsia="Times New Roman"/>
                <w:sz w:val="20"/>
                <w:szCs w:val="20"/>
              </w:rPr>
            </w:pPr>
          </w:p>
        </w:tc>
        <w:tc>
          <w:tcPr>
            <w:tcW w:w="0" w:type="auto"/>
            <w:vAlign w:val="center"/>
            <w:hideMark/>
          </w:tcPr>
          <w:p w14:paraId="1E11498F" w14:textId="77777777" w:rsidR="00000000" w:rsidRDefault="00195E73">
            <w:pPr>
              <w:rPr>
                <w:rFonts w:eastAsia="Times New Roman"/>
                <w:sz w:val="20"/>
                <w:szCs w:val="20"/>
              </w:rPr>
            </w:pPr>
          </w:p>
        </w:tc>
        <w:tc>
          <w:tcPr>
            <w:tcW w:w="0" w:type="auto"/>
            <w:vAlign w:val="center"/>
            <w:hideMark/>
          </w:tcPr>
          <w:p w14:paraId="183FC573" w14:textId="77777777" w:rsidR="00000000" w:rsidRDefault="00195E73">
            <w:pPr>
              <w:rPr>
                <w:rFonts w:eastAsia="Times New Roman"/>
                <w:sz w:val="20"/>
                <w:szCs w:val="20"/>
              </w:rPr>
            </w:pPr>
          </w:p>
        </w:tc>
        <w:tc>
          <w:tcPr>
            <w:tcW w:w="0" w:type="auto"/>
            <w:vAlign w:val="center"/>
            <w:hideMark/>
          </w:tcPr>
          <w:p w14:paraId="61867FBA" w14:textId="77777777" w:rsidR="00000000" w:rsidRDefault="00195E73">
            <w:pPr>
              <w:rPr>
                <w:rFonts w:eastAsia="Times New Roman"/>
                <w:sz w:val="20"/>
                <w:szCs w:val="20"/>
              </w:rPr>
            </w:pPr>
          </w:p>
        </w:tc>
        <w:tc>
          <w:tcPr>
            <w:tcW w:w="0" w:type="auto"/>
            <w:vAlign w:val="center"/>
            <w:hideMark/>
          </w:tcPr>
          <w:p w14:paraId="7FDEF030" w14:textId="77777777" w:rsidR="00000000" w:rsidRDefault="00195E73">
            <w:pPr>
              <w:rPr>
                <w:rFonts w:eastAsia="Times New Roman"/>
                <w:sz w:val="20"/>
                <w:szCs w:val="20"/>
              </w:rPr>
            </w:pPr>
          </w:p>
        </w:tc>
        <w:tc>
          <w:tcPr>
            <w:tcW w:w="0" w:type="auto"/>
            <w:vAlign w:val="center"/>
            <w:hideMark/>
          </w:tcPr>
          <w:p w14:paraId="26B157AD" w14:textId="77777777" w:rsidR="00000000" w:rsidRDefault="00195E73">
            <w:pPr>
              <w:rPr>
                <w:rFonts w:eastAsia="Times New Roman"/>
                <w:sz w:val="20"/>
                <w:szCs w:val="20"/>
              </w:rPr>
            </w:pPr>
          </w:p>
        </w:tc>
        <w:tc>
          <w:tcPr>
            <w:tcW w:w="0" w:type="auto"/>
            <w:vAlign w:val="center"/>
            <w:hideMark/>
          </w:tcPr>
          <w:p w14:paraId="7C7D5399" w14:textId="77777777" w:rsidR="00000000" w:rsidRDefault="00195E73">
            <w:pPr>
              <w:rPr>
                <w:rFonts w:eastAsia="Times New Roman"/>
                <w:sz w:val="20"/>
                <w:szCs w:val="20"/>
              </w:rPr>
            </w:pPr>
          </w:p>
        </w:tc>
      </w:tr>
    </w:tbl>
    <w:p w14:paraId="7BFF6CC3" w14:textId="77777777" w:rsidR="00000000" w:rsidRDefault="00195E73">
      <w:pPr>
        <w:ind w:firstLine="405"/>
        <w:divId w:val="811487233"/>
        <w:rPr>
          <w:rFonts w:eastAsia="Times New Roman"/>
        </w:rPr>
      </w:pPr>
    </w:p>
    <w:p w14:paraId="10FC7DBD" w14:textId="77777777" w:rsidR="00000000" w:rsidRDefault="00195E73">
      <w:pPr>
        <w:ind w:firstLine="405"/>
        <w:divId w:val="1429227530"/>
        <w:rPr>
          <w:rFonts w:eastAsia="Times New Roman"/>
        </w:rPr>
      </w:pPr>
      <w:r>
        <w:rPr>
          <w:rFonts w:eastAsia="Times New Roman"/>
          <w:color w:val="000000"/>
          <w:sz w:val="20"/>
          <w:szCs w:val="20"/>
        </w:rPr>
        <w:t>Intangible assets, net consists of the following</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1157"/>
        <w:gridCol w:w="38"/>
        <w:gridCol w:w="126"/>
        <w:gridCol w:w="623"/>
        <w:gridCol w:w="80"/>
        <w:gridCol w:w="36"/>
        <w:gridCol w:w="36"/>
        <w:gridCol w:w="36"/>
        <w:gridCol w:w="126"/>
        <w:gridCol w:w="887"/>
        <w:gridCol w:w="91"/>
        <w:gridCol w:w="36"/>
        <w:gridCol w:w="36"/>
        <w:gridCol w:w="36"/>
        <w:gridCol w:w="126"/>
        <w:gridCol w:w="623"/>
        <w:gridCol w:w="80"/>
        <w:gridCol w:w="36"/>
        <w:gridCol w:w="36"/>
        <w:gridCol w:w="36"/>
        <w:gridCol w:w="126"/>
        <w:gridCol w:w="623"/>
        <w:gridCol w:w="80"/>
        <w:gridCol w:w="36"/>
        <w:gridCol w:w="36"/>
        <w:gridCol w:w="36"/>
        <w:gridCol w:w="126"/>
        <w:gridCol w:w="887"/>
        <w:gridCol w:w="91"/>
        <w:gridCol w:w="36"/>
        <w:gridCol w:w="36"/>
        <w:gridCol w:w="36"/>
        <w:gridCol w:w="126"/>
        <w:gridCol w:w="622"/>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5F31545A" w14:textId="77777777">
        <w:trPr>
          <w:gridAfter w:val="27"/>
          <w:divId w:val="1703509046"/>
          <w:jc w:val="center"/>
        </w:trPr>
        <w:tc>
          <w:tcPr>
            <w:tcW w:w="50" w:type="pct"/>
            <w:vAlign w:val="center"/>
            <w:hideMark/>
          </w:tcPr>
          <w:p w14:paraId="417069BE" w14:textId="77777777" w:rsidR="00000000" w:rsidRDefault="00195E73">
            <w:pPr>
              <w:ind w:firstLine="405"/>
              <w:rPr>
                <w:rFonts w:eastAsia="Times New Roman"/>
              </w:rPr>
            </w:pPr>
          </w:p>
        </w:tc>
        <w:tc>
          <w:tcPr>
            <w:tcW w:w="1192" w:type="pct"/>
            <w:vAlign w:val="center"/>
            <w:hideMark/>
          </w:tcPr>
          <w:p w14:paraId="10956CB4" w14:textId="77777777" w:rsidR="00000000" w:rsidRDefault="00195E73">
            <w:pPr>
              <w:rPr>
                <w:rFonts w:eastAsia="Times New Roman"/>
                <w:sz w:val="20"/>
                <w:szCs w:val="20"/>
              </w:rPr>
            </w:pPr>
          </w:p>
        </w:tc>
        <w:tc>
          <w:tcPr>
            <w:tcW w:w="50" w:type="pct"/>
            <w:vAlign w:val="center"/>
            <w:hideMark/>
          </w:tcPr>
          <w:p w14:paraId="4F77DE3A" w14:textId="77777777" w:rsidR="00000000" w:rsidRDefault="00195E73">
            <w:pPr>
              <w:rPr>
                <w:rFonts w:eastAsia="Times New Roman"/>
                <w:sz w:val="20"/>
                <w:szCs w:val="20"/>
              </w:rPr>
            </w:pPr>
          </w:p>
        </w:tc>
        <w:tc>
          <w:tcPr>
            <w:tcW w:w="50" w:type="pct"/>
            <w:vAlign w:val="center"/>
            <w:hideMark/>
          </w:tcPr>
          <w:p w14:paraId="449530AF" w14:textId="77777777" w:rsidR="00000000" w:rsidRDefault="00195E73">
            <w:pPr>
              <w:rPr>
                <w:rFonts w:eastAsia="Times New Roman"/>
                <w:sz w:val="20"/>
                <w:szCs w:val="20"/>
              </w:rPr>
            </w:pPr>
          </w:p>
        </w:tc>
        <w:tc>
          <w:tcPr>
            <w:tcW w:w="487" w:type="pct"/>
            <w:vAlign w:val="center"/>
            <w:hideMark/>
          </w:tcPr>
          <w:p w14:paraId="2A798CB5" w14:textId="77777777" w:rsidR="00000000" w:rsidRDefault="00195E73">
            <w:pPr>
              <w:rPr>
                <w:rFonts w:eastAsia="Times New Roman"/>
                <w:sz w:val="20"/>
                <w:szCs w:val="20"/>
              </w:rPr>
            </w:pPr>
          </w:p>
        </w:tc>
        <w:tc>
          <w:tcPr>
            <w:tcW w:w="50" w:type="pct"/>
            <w:vAlign w:val="center"/>
            <w:hideMark/>
          </w:tcPr>
          <w:p w14:paraId="1417BB25" w14:textId="77777777" w:rsidR="00000000" w:rsidRDefault="00195E73">
            <w:pPr>
              <w:rPr>
                <w:rFonts w:eastAsia="Times New Roman"/>
                <w:sz w:val="20"/>
                <w:szCs w:val="20"/>
              </w:rPr>
            </w:pPr>
          </w:p>
        </w:tc>
        <w:tc>
          <w:tcPr>
            <w:tcW w:w="5" w:type="pct"/>
            <w:vAlign w:val="center"/>
            <w:hideMark/>
          </w:tcPr>
          <w:p w14:paraId="6D73478A" w14:textId="77777777" w:rsidR="00000000" w:rsidRDefault="00195E73">
            <w:pPr>
              <w:rPr>
                <w:rFonts w:eastAsia="Times New Roman"/>
                <w:sz w:val="20"/>
                <w:szCs w:val="20"/>
              </w:rPr>
            </w:pPr>
          </w:p>
        </w:tc>
        <w:tc>
          <w:tcPr>
            <w:tcW w:w="26" w:type="pct"/>
            <w:vAlign w:val="center"/>
            <w:hideMark/>
          </w:tcPr>
          <w:p w14:paraId="7A8C75CF" w14:textId="77777777" w:rsidR="00000000" w:rsidRDefault="00195E73">
            <w:pPr>
              <w:rPr>
                <w:rFonts w:eastAsia="Times New Roman"/>
                <w:sz w:val="20"/>
                <w:szCs w:val="20"/>
              </w:rPr>
            </w:pPr>
          </w:p>
        </w:tc>
        <w:tc>
          <w:tcPr>
            <w:tcW w:w="5" w:type="pct"/>
            <w:vAlign w:val="center"/>
            <w:hideMark/>
          </w:tcPr>
          <w:p w14:paraId="79908FFD" w14:textId="77777777" w:rsidR="00000000" w:rsidRDefault="00195E73">
            <w:pPr>
              <w:rPr>
                <w:rFonts w:eastAsia="Times New Roman"/>
                <w:sz w:val="20"/>
                <w:szCs w:val="20"/>
              </w:rPr>
            </w:pPr>
          </w:p>
        </w:tc>
        <w:tc>
          <w:tcPr>
            <w:tcW w:w="50" w:type="pct"/>
            <w:vAlign w:val="center"/>
            <w:hideMark/>
          </w:tcPr>
          <w:p w14:paraId="39F0DE9D" w14:textId="77777777" w:rsidR="00000000" w:rsidRDefault="00195E73">
            <w:pPr>
              <w:rPr>
                <w:rFonts w:eastAsia="Times New Roman"/>
                <w:sz w:val="20"/>
                <w:szCs w:val="20"/>
              </w:rPr>
            </w:pPr>
          </w:p>
        </w:tc>
        <w:tc>
          <w:tcPr>
            <w:tcW w:w="487" w:type="pct"/>
            <w:vAlign w:val="center"/>
            <w:hideMark/>
          </w:tcPr>
          <w:p w14:paraId="6898F0B1" w14:textId="77777777" w:rsidR="00000000" w:rsidRDefault="00195E73">
            <w:pPr>
              <w:rPr>
                <w:rFonts w:eastAsia="Times New Roman"/>
                <w:sz w:val="20"/>
                <w:szCs w:val="20"/>
              </w:rPr>
            </w:pPr>
          </w:p>
        </w:tc>
        <w:tc>
          <w:tcPr>
            <w:tcW w:w="50" w:type="pct"/>
            <w:vAlign w:val="center"/>
            <w:hideMark/>
          </w:tcPr>
          <w:p w14:paraId="4E56B754" w14:textId="77777777" w:rsidR="00000000" w:rsidRDefault="00195E73">
            <w:pPr>
              <w:rPr>
                <w:rFonts w:eastAsia="Times New Roman"/>
                <w:sz w:val="20"/>
                <w:szCs w:val="20"/>
              </w:rPr>
            </w:pPr>
          </w:p>
        </w:tc>
        <w:tc>
          <w:tcPr>
            <w:tcW w:w="5" w:type="pct"/>
            <w:vAlign w:val="center"/>
            <w:hideMark/>
          </w:tcPr>
          <w:p w14:paraId="6FC3E31C" w14:textId="77777777" w:rsidR="00000000" w:rsidRDefault="00195E73">
            <w:pPr>
              <w:rPr>
                <w:rFonts w:eastAsia="Times New Roman"/>
                <w:sz w:val="20"/>
                <w:szCs w:val="20"/>
              </w:rPr>
            </w:pPr>
          </w:p>
        </w:tc>
        <w:tc>
          <w:tcPr>
            <w:tcW w:w="26" w:type="pct"/>
            <w:vAlign w:val="center"/>
            <w:hideMark/>
          </w:tcPr>
          <w:p w14:paraId="48ECA1F5" w14:textId="77777777" w:rsidR="00000000" w:rsidRDefault="00195E73">
            <w:pPr>
              <w:rPr>
                <w:rFonts w:eastAsia="Times New Roman"/>
                <w:sz w:val="20"/>
                <w:szCs w:val="20"/>
              </w:rPr>
            </w:pPr>
          </w:p>
        </w:tc>
        <w:tc>
          <w:tcPr>
            <w:tcW w:w="5" w:type="pct"/>
            <w:vAlign w:val="center"/>
            <w:hideMark/>
          </w:tcPr>
          <w:p w14:paraId="390E065A" w14:textId="77777777" w:rsidR="00000000" w:rsidRDefault="00195E73">
            <w:pPr>
              <w:rPr>
                <w:rFonts w:eastAsia="Times New Roman"/>
                <w:sz w:val="20"/>
                <w:szCs w:val="20"/>
              </w:rPr>
            </w:pPr>
          </w:p>
        </w:tc>
        <w:tc>
          <w:tcPr>
            <w:tcW w:w="50" w:type="pct"/>
            <w:vAlign w:val="center"/>
            <w:hideMark/>
          </w:tcPr>
          <w:p w14:paraId="6A167612" w14:textId="77777777" w:rsidR="00000000" w:rsidRDefault="00195E73">
            <w:pPr>
              <w:rPr>
                <w:rFonts w:eastAsia="Times New Roman"/>
                <w:sz w:val="20"/>
                <w:szCs w:val="20"/>
              </w:rPr>
            </w:pPr>
          </w:p>
        </w:tc>
        <w:tc>
          <w:tcPr>
            <w:tcW w:w="487" w:type="pct"/>
            <w:vAlign w:val="center"/>
            <w:hideMark/>
          </w:tcPr>
          <w:p w14:paraId="7ABC8666" w14:textId="77777777" w:rsidR="00000000" w:rsidRDefault="00195E73">
            <w:pPr>
              <w:rPr>
                <w:rFonts w:eastAsia="Times New Roman"/>
                <w:sz w:val="20"/>
                <w:szCs w:val="20"/>
              </w:rPr>
            </w:pPr>
          </w:p>
        </w:tc>
        <w:tc>
          <w:tcPr>
            <w:tcW w:w="50" w:type="pct"/>
            <w:vAlign w:val="center"/>
            <w:hideMark/>
          </w:tcPr>
          <w:p w14:paraId="2D7CEC8B" w14:textId="77777777" w:rsidR="00000000" w:rsidRDefault="00195E73">
            <w:pPr>
              <w:rPr>
                <w:rFonts w:eastAsia="Times New Roman"/>
                <w:sz w:val="20"/>
                <w:szCs w:val="20"/>
              </w:rPr>
            </w:pPr>
          </w:p>
        </w:tc>
        <w:tc>
          <w:tcPr>
            <w:tcW w:w="5" w:type="pct"/>
            <w:vAlign w:val="center"/>
            <w:hideMark/>
          </w:tcPr>
          <w:p w14:paraId="2C8B6325" w14:textId="77777777" w:rsidR="00000000" w:rsidRDefault="00195E73">
            <w:pPr>
              <w:rPr>
                <w:rFonts w:eastAsia="Times New Roman"/>
                <w:sz w:val="20"/>
                <w:szCs w:val="20"/>
              </w:rPr>
            </w:pPr>
          </w:p>
        </w:tc>
        <w:tc>
          <w:tcPr>
            <w:tcW w:w="26" w:type="pct"/>
            <w:vAlign w:val="center"/>
            <w:hideMark/>
          </w:tcPr>
          <w:p w14:paraId="7A674353" w14:textId="77777777" w:rsidR="00000000" w:rsidRDefault="00195E73">
            <w:pPr>
              <w:rPr>
                <w:rFonts w:eastAsia="Times New Roman"/>
                <w:sz w:val="20"/>
                <w:szCs w:val="20"/>
              </w:rPr>
            </w:pPr>
          </w:p>
        </w:tc>
        <w:tc>
          <w:tcPr>
            <w:tcW w:w="5" w:type="pct"/>
            <w:vAlign w:val="center"/>
            <w:hideMark/>
          </w:tcPr>
          <w:p w14:paraId="668ED2E4" w14:textId="77777777" w:rsidR="00000000" w:rsidRDefault="00195E73">
            <w:pPr>
              <w:rPr>
                <w:rFonts w:eastAsia="Times New Roman"/>
                <w:sz w:val="20"/>
                <w:szCs w:val="20"/>
              </w:rPr>
            </w:pPr>
          </w:p>
        </w:tc>
        <w:tc>
          <w:tcPr>
            <w:tcW w:w="50" w:type="pct"/>
            <w:vAlign w:val="center"/>
            <w:hideMark/>
          </w:tcPr>
          <w:p w14:paraId="103D6BE4" w14:textId="77777777" w:rsidR="00000000" w:rsidRDefault="00195E73">
            <w:pPr>
              <w:rPr>
                <w:rFonts w:eastAsia="Times New Roman"/>
                <w:sz w:val="20"/>
                <w:szCs w:val="20"/>
              </w:rPr>
            </w:pPr>
          </w:p>
        </w:tc>
        <w:tc>
          <w:tcPr>
            <w:tcW w:w="487" w:type="pct"/>
            <w:vAlign w:val="center"/>
            <w:hideMark/>
          </w:tcPr>
          <w:p w14:paraId="1F60D55C" w14:textId="77777777" w:rsidR="00000000" w:rsidRDefault="00195E73">
            <w:pPr>
              <w:rPr>
                <w:rFonts w:eastAsia="Times New Roman"/>
                <w:sz w:val="20"/>
                <w:szCs w:val="20"/>
              </w:rPr>
            </w:pPr>
          </w:p>
        </w:tc>
        <w:tc>
          <w:tcPr>
            <w:tcW w:w="50" w:type="pct"/>
            <w:vAlign w:val="center"/>
            <w:hideMark/>
          </w:tcPr>
          <w:p w14:paraId="60E5E17E" w14:textId="77777777" w:rsidR="00000000" w:rsidRDefault="00195E73">
            <w:pPr>
              <w:rPr>
                <w:rFonts w:eastAsia="Times New Roman"/>
                <w:sz w:val="20"/>
                <w:szCs w:val="20"/>
              </w:rPr>
            </w:pPr>
          </w:p>
        </w:tc>
        <w:tc>
          <w:tcPr>
            <w:tcW w:w="5" w:type="pct"/>
            <w:vAlign w:val="center"/>
            <w:hideMark/>
          </w:tcPr>
          <w:p w14:paraId="6E088C04" w14:textId="77777777" w:rsidR="00000000" w:rsidRDefault="00195E73">
            <w:pPr>
              <w:rPr>
                <w:rFonts w:eastAsia="Times New Roman"/>
                <w:sz w:val="20"/>
                <w:szCs w:val="20"/>
              </w:rPr>
            </w:pPr>
          </w:p>
        </w:tc>
        <w:tc>
          <w:tcPr>
            <w:tcW w:w="26" w:type="pct"/>
            <w:vAlign w:val="center"/>
            <w:hideMark/>
          </w:tcPr>
          <w:p w14:paraId="58F06F36" w14:textId="77777777" w:rsidR="00000000" w:rsidRDefault="00195E73">
            <w:pPr>
              <w:rPr>
                <w:rFonts w:eastAsia="Times New Roman"/>
                <w:sz w:val="20"/>
                <w:szCs w:val="20"/>
              </w:rPr>
            </w:pPr>
          </w:p>
        </w:tc>
        <w:tc>
          <w:tcPr>
            <w:tcW w:w="5" w:type="pct"/>
            <w:vAlign w:val="center"/>
            <w:hideMark/>
          </w:tcPr>
          <w:p w14:paraId="1AE74AE7" w14:textId="77777777" w:rsidR="00000000" w:rsidRDefault="00195E73">
            <w:pPr>
              <w:rPr>
                <w:rFonts w:eastAsia="Times New Roman"/>
                <w:sz w:val="20"/>
                <w:szCs w:val="20"/>
              </w:rPr>
            </w:pPr>
          </w:p>
        </w:tc>
        <w:tc>
          <w:tcPr>
            <w:tcW w:w="50" w:type="pct"/>
            <w:vAlign w:val="center"/>
            <w:hideMark/>
          </w:tcPr>
          <w:p w14:paraId="3631430E" w14:textId="77777777" w:rsidR="00000000" w:rsidRDefault="00195E73">
            <w:pPr>
              <w:rPr>
                <w:rFonts w:eastAsia="Times New Roman"/>
                <w:sz w:val="20"/>
                <w:szCs w:val="20"/>
              </w:rPr>
            </w:pPr>
          </w:p>
        </w:tc>
        <w:tc>
          <w:tcPr>
            <w:tcW w:w="487" w:type="pct"/>
            <w:vAlign w:val="center"/>
            <w:hideMark/>
          </w:tcPr>
          <w:p w14:paraId="1AE64056" w14:textId="77777777" w:rsidR="00000000" w:rsidRDefault="00195E73">
            <w:pPr>
              <w:rPr>
                <w:rFonts w:eastAsia="Times New Roman"/>
                <w:sz w:val="20"/>
                <w:szCs w:val="20"/>
              </w:rPr>
            </w:pPr>
          </w:p>
        </w:tc>
        <w:tc>
          <w:tcPr>
            <w:tcW w:w="50" w:type="pct"/>
            <w:vAlign w:val="center"/>
            <w:hideMark/>
          </w:tcPr>
          <w:p w14:paraId="0E3EEB54" w14:textId="77777777" w:rsidR="00000000" w:rsidRDefault="00195E73">
            <w:pPr>
              <w:rPr>
                <w:rFonts w:eastAsia="Times New Roman"/>
                <w:sz w:val="20"/>
                <w:szCs w:val="20"/>
              </w:rPr>
            </w:pPr>
          </w:p>
        </w:tc>
        <w:tc>
          <w:tcPr>
            <w:tcW w:w="5" w:type="pct"/>
            <w:vAlign w:val="center"/>
            <w:hideMark/>
          </w:tcPr>
          <w:p w14:paraId="1ED69EF4" w14:textId="77777777" w:rsidR="00000000" w:rsidRDefault="00195E73">
            <w:pPr>
              <w:rPr>
                <w:rFonts w:eastAsia="Times New Roman"/>
                <w:sz w:val="20"/>
                <w:szCs w:val="20"/>
              </w:rPr>
            </w:pPr>
          </w:p>
        </w:tc>
        <w:tc>
          <w:tcPr>
            <w:tcW w:w="26" w:type="pct"/>
            <w:vAlign w:val="center"/>
            <w:hideMark/>
          </w:tcPr>
          <w:p w14:paraId="2A9CBB47" w14:textId="77777777" w:rsidR="00000000" w:rsidRDefault="00195E73">
            <w:pPr>
              <w:rPr>
                <w:rFonts w:eastAsia="Times New Roman"/>
                <w:sz w:val="20"/>
                <w:szCs w:val="20"/>
              </w:rPr>
            </w:pPr>
          </w:p>
        </w:tc>
        <w:tc>
          <w:tcPr>
            <w:tcW w:w="5" w:type="pct"/>
            <w:vAlign w:val="center"/>
            <w:hideMark/>
          </w:tcPr>
          <w:p w14:paraId="59C954F4" w14:textId="77777777" w:rsidR="00000000" w:rsidRDefault="00195E73">
            <w:pPr>
              <w:rPr>
                <w:rFonts w:eastAsia="Times New Roman"/>
                <w:sz w:val="20"/>
                <w:szCs w:val="20"/>
              </w:rPr>
            </w:pPr>
          </w:p>
        </w:tc>
        <w:tc>
          <w:tcPr>
            <w:tcW w:w="50" w:type="pct"/>
            <w:vAlign w:val="center"/>
            <w:hideMark/>
          </w:tcPr>
          <w:p w14:paraId="1BCCFD65" w14:textId="77777777" w:rsidR="00000000" w:rsidRDefault="00195E73">
            <w:pPr>
              <w:rPr>
                <w:rFonts w:eastAsia="Times New Roman"/>
                <w:sz w:val="20"/>
                <w:szCs w:val="20"/>
              </w:rPr>
            </w:pPr>
          </w:p>
        </w:tc>
        <w:tc>
          <w:tcPr>
            <w:tcW w:w="487" w:type="pct"/>
            <w:vAlign w:val="center"/>
            <w:hideMark/>
          </w:tcPr>
          <w:p w14:paraId="2221BC9F" w14:textId="77777777" w:rsidR="00000000" w:rsidRDefault="00195E73">
            <w:pPr>
              <w:rPr>
                <w:rFonts w:eastAsia="Times New Roman"/>
                <w:sz w:val="20"/>
                <w:szCs w:val="20"/>
              </w:rPr>
            </w:pPr>
          </w:p>
        </w:tc>
        <w:tc>
          <w:tcPr>
            <w:tcW w:w="50" w:type="pct"/>
            <w:vAlign w:val="center"/>
            <w:hideMark/>
          </w:tcPr>
          <w:p w14:paraId="034DEAB2" w14:textId="77777777" w:rsidR="00000000" w:rsidRDefault="00195E73">
            <w:pPr>
              <w:rPr>
                <w:rFonts w:eastAsia="Times New Roman"/>
                <w:sz w:val="20"/>
                <w:szCs w:val="20"/>
              </w:rPr>
            </w:pPr>
          </w:p>
        </w:tc>
      </w:tr>
      <w:tr w:rsidR="00000000" w14:paraId="31A456E0" w14:textId="77777777">
        <w:trPr>
          <w:gridAfter w:val="3"/>
          <w:divId w:val="1703509046"/>
          <w:jc w:val="center"/>
        </w:trPr>
        <w:tc>
          <w:tcPr>
            <w:tcW w:w="0" w:type="auto"/>
            <w:gridSpan w:val="3"/>
            <w:tcMar>
              <w:top w:w="15" w:type="dxa"/>
              <w:left w:w="20" w:type="dxa"/>
              <w:bottom w:w="15" w:type="dxa"/>
              <w:right w:w="20" w:type="dxa"/>
            </w:tcMar>
            <w:vAlign w:val="bottom"/>
            <w:hideMark/>
          </w:tcPr>
          <w:p w14:paraId="027DE88D"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334F2A43" w14:textId="77777777" w:rsidR="00000000" w:rsidRDefault="00195E73">
            <w:pPr>
              <w:jc w:val="center"/>
              <w:rPr>
                <w:rFonts w:eastAsia="Times New Roman"/>
              </w:rPr>
            </w:pPr>
            <w:r>
              <w:rPr>
                <w:rFonts w:eastAsia="Times New Roman"/>
                <w:b/>
                <w:bCs/>
                <w:color w:val="000000"/>
                <w:sz w:val="18"/>
                <w:szCs w:val="18"/>
              </w:rPr>
              <w:t>December 31, 201</w:t>
            </w:r>
            <w:r>
              <w:rPr>
                <w:rFonts w:eastAsia="Times New Roman"/>
                <w:b/>
                <w:bCs/>
                <w:color w:val="000000"/>
                <w:sz w:val="18"/>
                <w:szCs w:val="18"/>
              </w:rPr>
              <w:t>9</w:t>
            </w:r>
          </w:p>
        </w:tc>
        <w:tc>
          <w:tcPr>
            <w:tcW w:w="0" w:type="auto"/>
            <w:gridSpan w:val="3"/>
            <w:vAlign w:val="center"/>
            <w:hideMark/>
          </w:tcPr>
          <w:p w14:paraId="7F15194A" w14:textId="77777777" w:rsidR="00000000" w:rsidRDefault="00195E73">
            <w:pPr>
              <w:jc w:val="center"/>
              <w:rPr>
                <w:rFonts w:eastAsia="Times New Roman"/>
              </w:rPr>
            </w:pPr>
          </w:p>
        </w:tc>
        <w:tc>
          <w:tcPr>
            <w:tcW w:w="0" w:type="auto"/>
            <w:gridSpan w:val="3"/>
            <w:vAlign w:val="center"/>
            <w:hideMark/>
          </w:tcPr>
          <w:p w14:paraId="677831A1" w14:textId="77777777" w:rsidR="00000000" w:rsidRDefault="00195E73">
            <w:pPr>
              <w:rPr>
                <w:rFonts w:eastAsia="Times New Roman"/>
                <w:sz w:val="20"/>
                <w:szCs w:val="20"/>
              </w:rPr>
            </w:pPr>
          </w:p>
        </w:tc>
        <w:tc>
          <w:tcPr>
            <w:tcW w:w="0" w:type="auto"/>
            <w:gridSpan w:val="3"/>
            <w:vAlign w:val="center"/>
            <w:hideMark/>
          </w:tcPr>
          <w:p w14:paraId="0914D02C" w14:textId="77777777" w:rsidR="00000000" w:rsidRDefault="00195E73">
            <w:pPr>
              <w:rPr>
                <w:rFonts w:eastAsia="Times New Roman"/>
                <w:sz w:val="20"/>
                <w:szCs w:val="20"/>
              </w:rPr>
            </w:pPr>
          </w:p>
        </w:tc>
        <w:tc>
          <w:tcPr>
            <w:tcW w:w="0" w:type="auto"/>
            <w:gridSpan w:val="3"/>
            <w:vAlign w:val="center"/>
            <w:hideMark/>
          </w:tcPr>
          <w:p w14:paraId="7E82E3EC"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E6EE0EC"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7EB7B83D" w14:textId="77777777" w:rsidR="00000000" w:rsidRDefault="00195E73">
            <w:pPr>
              <w:jc w:val="center"/>
              <w:rPr>
                <w:rFonts w:eastAsia="Times New Roman"/>
              </w:rPr>
            </w:pPr>
            <w:r>
              <w:rPr>
                <w:rFonts w:eastAsia="Times New Roman"/>
                <w:b/>
                <w:bCs/>
                <w:color w:val="000000"/>
                <w:sz w:val="18"/>
                <w:szCs w:val="18"/>
              </w:rPr>
              <w:t>December 31, 201</w:t>
            </w:r>
            <w:r>
              <w:rPr>
                <w:rFonts w:eastAsia="Times New Roman"/>
                <w:b/>
                <w:bCs/>
                <w:color w:val="000000"/>
                <w:sz w:val="18"/>
                <w:szCs w:val="18"/>
              </w:rPr>
              <w:t>8</w:t>
            </w:r>
          </w:p>
        </w:tc>
        <w:tc>
          <w:tcPr>
            <w:tcW w:w="0" w:type="auto"/>
            <w:gridSpan w:val="3"/>
            <w:vAlign w:val="center"/>
            <w:hideMark/>
          </w:tcPr>
          <w:p w14:paraId="6923FBC3" w14:textId="77777777" w:rsidR="00000000" w:rsidRDefault="00195E73">
            <w:pPr>
              <w:jc w:val="center"/>
              <w:rPr>
                <w:rFonts w:eastAsia="Times New Roman"/>
              </w:rPr>
            </w:pPr>
          </w:p>
        </w:tc>
        <w:tc>
          <w:tcPr>
            <w:tcW w:w="0" w:type="auto"/>
            <w:gridSpan w:val="3"/>
            <w:vAlign w:val="center"/>
            <w:hideMark/>
          </w:tcPr>
          <w:p w14:paraId="247E4E92" w14:textId="77777777" w:rsidR="00000000" w:rsidRDefault="00195E73">
            <w:pPr>
              <w:rPr>
                <w:rFonts w:eastAsia="Times New Roman"/>
                <w:sz w:val="20"/>
                <w:szCs w:val="20"/>
              </w:rPr>
            </w:pPr>
          </w:p>
        </w:tc>
        <w:tc>
          <w:tcPr>
            <w:tcW w:w="0" w:type="auto"/>
            <w:gridSpan w:val="3"/>
            <w:vAlign w:val="center"/>
            <w:hideMark/>
          </w:tcPr>
          <w:p w14:paraId="1C98EBA4" w14:textId="77777777" w:rsidR="00000000" w:rsidRDefault="00195E73">
            <w:pPr>
              <w:rPr>
                <w:rFonts w:eastAsia="Times New Roman"/>
                <w:sz w:val="20"/>
                <w:szCs w:val="20"/>
              </w:rPr>
            </w:pPr>
          </w:p>
        </w:tc>
        <w:tc>
          <w:tcPr>
            <w:tcW w:w="0" w:type="auto"/>
            <w:gridSpan w:val="3"/>
            <w:vAlign w:val="center"/>
            <w:hideMark/>
          </w:tcPr>
          <w:p w14:paraId="3194B9B0" w14:textId="77777777" w:rsidR="00000000" w:rsidRDefault="00195E73">
            <w:pPr>
              <w:rPr>
                <w:rFonts w:eastAsia="Times New Roman"/>
                <w:sz w:val="20"/>
                <w:szCs w:val="20"/>
              </w:rPr>
            </w:pPr>
          </w:p>
        </w:tc>
      </w:tr>
      <w:tr w:rsidR="00000000" w14:paraId="76BDF4DE" w14:textId="77777777">
        <w:trPr>
          <w:gridAfter w:val="3"/>
          <w:divId w:val="1703509046"/>
          <w:jc w:val="center"/>
        </w:trPr>
        <w:tc>
          <w:tcPr>
            <w:tcW w:w="0" w:type="auto"/>
            <w:gridSpan w:val="3"/>
            <w:tcMar>
              <w:top w:w="15" w:type="dxa"/>
              <w:left w:w="20" w:type="dxa"/>
              <w:bottom w:w="15" w:type="dxa"/>
              <w:right w:w="20" w:type="dxa"/>
            </w:tcMar>
            <w:vAlign w:val="bottom"/>
            <w:hideMark/>
          </w:tcPr>
          <w:p w14:paraId="08A5A339"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5737EFF" w14:textId="77777777" w:rsidR="00000000" w:rsidRDefault="00195E73">
            <w:pPr>
              <w:jc w:val="center"/>
              <w:rPr>
                <w:rFonts w:eastAsia="Times New Roman"/>
              </w:rPr>
            </w:pPr>
            <w:r>
              <w:rPr>
                <w:rFonts w:eastAsia="Times New Roman"/>
                <w:b/>
                <w:bCs/>
                <w:color w:val="000000"/>
                <w:sz w:val="18"/>
                <w:szCs w:val="18"/>
              </w:rPr>
              <w:t>Gross Carrying Amoun</w:t>
            </w:r>
            <w:r>
              <w:rPr>
                <w:rFonts w:eastAsia="Times New Roman"/>
                <w:b/>
                <w:bCs/>
                <w:color w:val="000000"/>
                <w:sz w:val="18"/>
                <w:szCs w:val="18"/>
              </w:rPr>
              <w:t>t</w:t>
            </w:r>
          </w:p>
        </w:tc>
        <w:tc>
          <w:tcPr>
            <w:tcW w:w="0" w:type="auto"/>
            <w:gridSpan w:val="3"/>
            <w:tcBorders>
              <w:top w:val="single" w:sz="8" w:space="0" w:color="000000"/>
            </w:tcBorders>
            <w:tcMar>
              <w:top w:w="15" w:type="dxa"/>
              <w:left w:w="20" w:type="dxa"/>
              <w:bottom w:w="15" w:type="dxa"/>
              <w:right w:w="20" w:type="dxa"/>
            </w:tcMar>
            <w:vAlign w:val="bottom"/>
            <w:hideMark/>
          </w:tcPr>
          <w:p w14:paraId="4ADBECC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187173" w14:textId="77777777" w:rsidR="00000000" w:rsidRDefault="00195E73">
            <w:pPr>
              <w:jc w:val="center"/>
              <w:rPr>
                <w:rFonts w:eastAsia="Times New Roman"/>
              </w:rPr>
            </w:pPr>
            <w:r>
              <w:rPr>
                <w:rFonts w:eastAsia="Times New Roman"/>
                <w:b/>
                <w:bCs/>
                <w:color w:val="000000"/>
                <w:sz w:val="18"/>
                <w:szCs w:val="18"/>
              </w:rPr>
              <w:t>Accumulate</w:t>
            </w:r>
            <w:r>
              <w:rPr>
                <w:rFonts w:eastAsia="Times New Roman"/>
                <w:b/>
                <w:bCs/>
                <w:color w:val="000000"/>
                <w:sz w:val="18"/>
                <w:szCs w:val="18"/>
              </w:rPr>
              <w:t>d</w:t>
            </w:r>
          </w:p>
          <w:p w14:paraId="2EC54815" w14:textId="77777777" w:rsidR="00000000" w:rsidRDefault="00195E73">
            <w:pPr>
              <w:jc w:val="center"/>
              <w:rPr>
                <w:rFonts w:eastAsia="Times New Roman"/>
              </w:rPr>
            </w:pPr>
            <w:r>
              <w:rPr>
                <w:rFonts w:eastAsia="Times New Roman"/>
                <w:b/>
                <w:bCs/>
                <w:color w:val="000000"/>
                <w:sz w:val="18"/>
                <w:szCs w:val="18"/>
              </w:rPr>
              <w:t>Amortizatio</w:t>
            </w:r>
            <w:r>
              <w:rPr>
                <w:rFonts w:eastAsia="Times New Roman"/>
                <w:b/>
                <w:bCs/>
                <w:color w:val="000000"/>
                <w:sz w:val="18"/>
                <w:szCs w:val="18"/>
              </w:rPr>
              <w:t>n</w:t>
            </w:r>
          </w:p>
        </w:tc>
        <w:tc>
          <w:tcPr>
            <w:tcW w:w="0" w:type="auto"/>
            <w:gridSpan w:val="3"/>
            <w:tcBorders>
              <w:top w:val="single" w:sz="8" w:space="0" w:color="000000"/>
            </w:tcBorders>
            <w:tcMar>
              <w:top w:w="15" w:type="dxa"/>
              <w:left w:w="20" w:type="dxa"/>
              <w:bottom w:w="15" w:type="dxa"/>
              <w:right w:w="20" w:type="dxa"/>
            </w:tcMar>
            <w:vAlign w:val="bottom"/>
            <w:hideMark/>
          </w:tcPr>
          <w:p w14:paraId="616B187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4971221" w14:textId="77777777" w:rsidR="00000000" w:rsidRDefault="00195E73">
            <w:pPr>
              <w:jc w:val="center"/>
              <w:rPr>
                <w:rFonts w:eastAsia="Times New Roman"/>
              </w:rPr>
            </w:pPr>
            <w:r>
              <w:rPr>
                <w:rFonts w:eastAsia="Times New Roman"/>
                <w:b/>
                <w:bCs/>
                <w:color w:val="000000"/>
                <w:sz w:val="18"/>
                <w:szCs w:val="18"/>
              </w:rPr>
              <w:t>Ne</w:t>
            </w:r>
            <w:r>
              <w:rPr>
                <w:rFonts w:eastAsia="Times New Roman"/>
                <w:b/>
                <w:bCs/>
                <w:color w:val="000000"/>
                <w:sz w:val="18"/>
                <w:szCs w:val="18"/>
              </w:rPr>
              <w:t>t</w:t>
            </w:r>
          </w:p>
          <w:p w14:paraId="129F67F7" w14:textId="77777777" w:rsidR="00000000" w:rsidRDefault="00195E73">
            <w:pPr>
              <w:jc w:val="center"/>
              <w:rPr>
                <w:rFonts w:eastAsia="Times New Roman"/>
              </w:rPr>
            </w:pPr>
            <w:r>
              <w:rPr>
                <w:rFonts w:eastAsia="Times New Roman"/>
                <w:b/>
                <w:bCs/>
                <w:color w:val="000000"/>
                <w:sz w:val="18"/>
                <w:szCs w:val="18"/>
              </w:rPr>
              <w:t>Carryin</w:t>
            </w:r>
            <w:r>
              <w:rPr>
                <w:rFonts w:eastAsia="Times New Roman"/>
                <w:b/>
                <w:bCs/>
                <w:color w:val="000000"/>
                <w:sz w:val="18"/>
                <w:szCs w:val="18"/>
              </w:rPr>
              <w:t>g</w:t>
            </w:r>
          </w:p>
          <w:p w14:paraId="08641865" w14:textId="77777777" w:rsidR="00000000" w:rsidRDefault="00195E73">
            <w:pPr>
              <w:jc w:val="center"/>
              <w:rPr>
                <w:rFonts w:eastAsia="Times New Roman"/>
              </w:rPr>
            </w:pPr>
            <w:r>
              <w:rPr>
                <w:rFonts w:eastAsia="Times New Roman"/>
                <w:b/>
                <w:bCs/>
                <w:color w:val="000000"/>
                <w:sz w:val="18"/>
                <w:szCs w:val="18"/>
              </w:rPr>
              <w:t>Valu</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14:paraId="03088DDF"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A3759CF" w14:textId="77777777" w:rsidR="00000000" w:rsidRDefault="00195E73">
            <w:pPr>
              <w:jc w:val="center"/>
              <w:rPr>
                <w:rFonts w:eastAsia="Times New Roman"/>
              </w:rPr>
            </w:pPr>
            <w:r>
              <w:rPr>
                <w:rFonts w:eastAsia="Times New Roman"/>
                <w:b/>
                <w:bCs/>
                <w:color w:val="000000"/>
                <w:sz w:val="18"/>
                <w:szCs w:val="18"/>
              </w:rPr>
              <w:t>Gros</w:t>
            </w:r>
            <w:r>
              <w:rPr>
                <w:rFonts w:eastAsia="Times New Roman"/>
                <w:b/>
                <w:bCs/>
                <w:color w:val="000000"/>
                <w:sz w:val="18"/>
                <w:szCs w:val="18"/>
              </w:rPr>
              <w:t>s</w:t>
            </w:r>
          </w:p>
          <w:p w14:paraId="387D4413" w14:textId="77777777" w:rsidR="00000000" w:rsidRDefault="00195E73">
            <w:pPr>
              <w:jc w:val="center"/>
              <w:rPr>
                <w:rFonts w:eastAsia="Times New Roman"/>
              </w:rPr>
            </w:pPr>
            <w:r>
              <w:rPr>
                <w:rFonts w:eastAsia="Times New Roman"/>
                <w:b/>
                <w:bCs/>
                <w:color w:val="000000"/>
                <w:sz w:val="18"/>
                <w:szCs w:val="18"/>
              </w:rPr>
              <w:t>Carryin</w:t>
            </w:r>
            <w:r>
              <w:rPr>
                <w:rFonts w:eastAsia="Times New Roman"/>
                <w:b/>
                <w:bCs/>
                <w:color w:val="000000"/>
                <w:sz w:val="18"/>
                <w:szCs w:val="18"/>
              </w:rPr>
              <w:t>g</w:t>
            </w:r>
          </w:p>
          <w:p w14:paraId="38A970A2" w14:textId="77777777" w:rsidR="00000000" w:rsidRDefault="00195E73">
            <w:pPr>
              <w:jc w:val="center"/>
              <w:rPr>
                <w:rFonts w:eastAsia="Times New Roman"/>
              </w:rPr>
            </w:pPr>
            <w:r>
              <w:rPr>
                <w:rFonts w:eastAsia="Times New Roman"/>
                <w:b/>
                <w:bCs/>
                <w:color w:val="000000"/>
                <w:sz w:val="18"/>
                <w:szCs w:val="18"/>
              </w:rPr>
              <w:t>Amoun</w:t>
            </w:r>
            <w:r>
              <w:rPr>
                <w:rFonts w:eastAsia="Times New Roman"/>
                <w:b/>
                <w:bCs/>
                <w:color w:val="000000"/>
                <w:sz w:val="18"/>
                <w:szCs w:val="18"/>
              </w:rPr>
              <w:t>t</w:t>
            </w:r>
          </w:p>
        </w:tc>
        <w:tc>
          <w:tcPr>
            <w:tcW w:w="0" w:type="auto"/>
            <w:gridSpan w:val="3"/>
            <w:tcBorders>
              <w:top w:val="single" w:sz="8" w:space="0" w:color="000000"/>
            </w:tcBorders>
            <w:tcMar>
              <w:top w:w="15" w:type="dxa"/>
              <w:left w:w="20" w:type="dxa"/>
              <w:bottom w:w="15" w:type="dxa"/>
              <w:right w:w="20" w:type="dxa"/>
            </w:tcMar>
            <w:vAlign w:val="bottom"/>
            <w:hideMark/>
          </w:tcPr>
          <w:p w14:paraId="5752C7A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DC117A0" w14:textId="77777777" w:rsidR="00000000" w:rsidRDefault="00195E73">
            <w:pPr>
              <w:jc w:val="center"/>
              <w:rPr>
                <w:rFonts w:eastAsia="Times New Roman"/>
              </w:rPr>
            </w:pPr>
            <w:r>
              <w:rPr>
                <w:rFonts w:eastAsia="Times New Roman"/>
                <w:b/>
                <w:bCs/>
                <w:color w:val="000000"/>
                <w:sz w:val="18"/>
                <w:szCs w:val="18"/>
              </w:rPr>
              <w:t>Accumulate</w:t>
            </w:r>
            <w:r>
              <w:rPr>
                <w:rFonts w:eastAsia="Times New Roman"/>
                <w:b/>
                <w:bCs/>
                <w:color w:val="000000"/>
                <w:sz w:val="18"/>
                <w:szCs w:val="18"/>
              </w:rPr>
              <w:t>d</w:t>
            </w:r>
          </w:p>
          <w:p w14:paraId="13B40814" w14:textId="77777777" w:rsidR="00000000" w:rsidRDefault="00195E73">
            <w:pPr>
              <w:jc w:val="center"/>
              <w:rPr>
                <w:rFonts w:eastAsia="Times New Roman"/>
              </w:rPr>
            </w:pPr>
            <w:r>
              <w:rPr>
                <w:rFonts w:eastAsia="Times New Roman"/>
                <w:b/>
                <w:bCs/>
                <w:color w:val="000000"/>
                <w:sz w:val="18"/>
                <w:szCs w:val="18"/>
              </w:rPr>
              <w:t>Amortizatio</w:t>
            </w:r>
            <w:r>
              <w:rPr>
                <w:rFonts w:eastAsia="Times New Roman"/>
                <w:b/>
                <w:bCs/>
                <w:color w:val="000000"/>
                <w:sz w:val="18"/>
                <w:szCs w:val="18"/>
              </w:rPr>
              <w:t>n</w:t>
            </w:r>
          </w:p>
        </w:tc>
        <w:tc>
          <w:tcPr>
            <w:tcW w:w="0" w:type="auto"/>
            <w:gridSpan w:val="3"/>
            <w:tcBorders>
              <w:top w:val="single" w:sz="8" w:space="0" w:color="000000"/>
            </w:tcBorders>
            <w:tcMar>
              <w:top w:w="15" w:type="dxa"/>
              <w:left w:w="20" w:type="dxa"/>
              <w:bottom w:w="15" w:type="dxa"/>
              <w:right w:w="20" w:type="dxa"/>
            </w:tcMar>
            <w:vAlign w:val="bottom"/>
            <w:hideMark/>
          </w:tcPr>
          <w:p w14:paraId="7CA6AE8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1821A8E" w14:textId="77777777" w:rsidR="00000000" w:rsidRDefault="00195E73">
            <w:pPr>
              <w:jc w:val="center"/>
              <w:rPr>
                <w:rFonts w:eastAsia="Times New Roman"/>
              </w:rPr>
            </w:pPr>
            <w:r>
              <w:rPr>
                <w:rFonts w:eastAsia="Times New Roman"/>
                <w:b/>
                <w:bCs/>
                <w:color w:val="000000"/>
                <w:sz w:val="18"/>
                <w:szCs w:val="18"/>
              </w:rPr>
              <w:t>Ne</w:t>
            </w:r>
            <w:r>
              <w:rPr>
                <w:rFonts w:eastAsia="Times New Roman"/>
                <w:b/>
                <w:bCs/>
                <w:color w:val="000000"/>
                <w:sz w:val="18"/>
                <w:szCs w:val="18"/>
              </w:rPr>
              <w:t>t</w:t>
            </w:r>
          </w:p>
          <w:p w14:paraId="17418557" w14:textId="77777777" w:rsidR="00000000" w:rsidRDefault="00195E73">
            <w:pPr>
              <w:jc w:val="center"/>
              <w:rPr>
                <w:rFonts w:eastAsia="Times New Roman"/>
              </w:rPr>
            </w:pPr>
            <w:r>
              <w:rPr>
                <w:rFonts w:eastAsia="Times New Roman"/>
                <w:b/>
                <w:bCs/>
                <w:color w:val="000000"/>
                <w:sz w:val="18"/>
                <w:szCs w:val="18"/>
              </w:rPr>
              <w:t>Carryin</w:t>
            </w:r>
            <w:r>
              <w:rPr>
                <w:rFonts w:eastAsia="Times New Roman"/>
                <w:b/>
                <w:bCs/>
                <w:color w:val="000000"/>
                <w:sz w:val="18"/>
                <w:szCs w:val="18"/>
              </w:rPr>
              <w:t>g</w:t>
            </w:r>
          </w:p>
          <w:p w14:paraId="47A52695" w14:textId="77777777" w:rsidR="00000000" w:rsidRDefault="00195E73">
            <w:pPr>
              <w:jc w:val="center"/>
              <w:rPr>
                <w:rFonts w:eastAsia="Times New Roman"/>
              </w:rPr>
            </w:pPr>
            <w:r>
              <w:rPr>
                <w:rFonts w:eastAsia="Times New Roman"/>
                <w:b/>
                <w:bCs/>
                <w:color w:val="000000"/>
                <w:sz w:val="18"/>
                <w:szCs w:val="18"/>
              </w:rPr>
              <w:t>Valu</w:t>
            </w:r>
            <w:r>
              <w:rPr>
                <w:rFonts w:eastAsia="Times New Roman"/>
                <w:b/>
                <w:bCs/>
                <w:color w:val="000000"/>
                <w:sz w:val="18"/>
                <w:szCs w:val="18"/>
              </w:rPr>
              <w:t>e</w:t>
            </w:r>
          </w:p>
        </w:tc>
        <w:tc>
          <w:tcPr>
            <w:tcW w:w="0" w:type="auto"/>
            <w:vAlign w:val="center"/>
            <w:hideMark/>
          </w:tcPr>
          <w:p w14:paraId="25C60303" w14:textId="77777777" w:rsidR="00000000" w:rsidRDefault="00195E73">
            <w:pPr>
              <w:rPr>
                <w:rFonts w:eastAsia="Times New Roman"/>
                <w:sz w:val="20"/>
                <w:szCs w:val="20"/>
              </w:rPr>
            </w:pPr>
          </w:p>
        </w:tc>
        <w:tc>
          <w:tcPr>
            <w:tcW w:w="0" w:type="auto"/>
            <w:vAlign w:val="center"/>
            <w:hideMark/>
          </w:tcPr>
          <w:p w14:paraId="386E5E9C" w14:textId="77777777" w:rsidR="00000000" w:rsidRDefault="00195E73">
            <w:pPr>
              <w:rPr>
                <w:rFonts w:eastAsia="Times New Roman"/>
                <w:sz w:val="20"/>
                <w:szCs w:val="20"/>
              </w:rPr>
            </w:pPr>
          </w:p>
        </w:tc>
        <w:tc>
          <w:tcPr>
            <w:tcW w:w="0" w:type="auto"/>
            <w:vAlign w:val="center"/>
            <w:hideMark/>
          </w:tcPr>
          <w:p w14:paraId="7D305C50" w14:textId="77777777" w:rsidR="00000000" w:rsidRDefault="00195E73">
            <w:pPr>
              <w:rPr>
                <w:rFonts w:eastAsia="Times New Roman"/>
                <w:sz w:val="20"/>
                <w:szCs w:val="20"/>
              </w:rPr>
            </w:pPr>
          </w:p>
        </w:tc>
        <w:tc>
          <w:tcPr>
            <w:tcW w:w="0" w:type="auto"/>
            <w:vAlign w:val="center"/>
            <w:hideMark/>
          </w:tcPr>
          <w:p w14:paraId="43525A81" w14:textId="77777777" w:rsidR="00000000" w:rsidRDefault="00195E73">
            <w:pPr>
              <w:rPr>
                <w:rFonts w:eastAsia="Times New Roman"/>
                <w:sz w:val="20"/>
                <w:szCs w:val="20"/>
              </w:rPr>
            </w:pPr>
          </w:p>
        </w:tc>
        <w:tc>
          <w:tcPr>
            <w:tcW w:w="0" w:type="auto"/>
            <w:vAlign w:val="center"/>
            <w:hideMark/>
          </w:tcPr>
          <w:p w14:paraId="4966E100" w14:textId="77777777" w:rsidR="00000000" w:rsidRDefault="00195E73">
            <w:pPr>
              <w:rPr>
                <w:rFonts w:eastAsia="Times New Roman"/>
                <w:sz w:val="20"/>
                <w:szCs w:val="20"/>
              </w:rPr>
            </w:pPr>
          </w:p>
        </w:tc>
        <w:tc>
          <w:tcPr>
            <w:tcW w:w="0" w:type="auto"/>
            <w:vAlign w:val="center"/>
            <w:hideMark/>
          </w:tcPr>
          <w:p w14:paraId="0AD2AA8C" w14:textId="77777777" w:rsidR="00000000" w:rsidRDefault="00195E73">
            <w:pPr>
              <w:rPr>
                <w:rFonts w:eastAsia="Times New Roman"/>
                <w:sz w:val="20"/>
                <w:szCs w:val="20"/>
              </w:rPr>
            </w:pPr>
          </w:p>
        </w:tc>
        <w:tc>
          <w:tcPr>
            <w:tcW w:w="0" w:type="auto"/>
            <w:vAlign w:val="center"/>
            <w:hideMark/>
          </w:tcPr>
          <w:p w14:paraId="4EE585C4" w14:textId="77777777" w:rsidR="00000000" w:rsidRDefault="00195E73">
            <w:pPr>
              <w:rPr>
                <w:rFonts w:eastAsia="Times New Roman"/>
                <w:sz w:val="20"/>
                <w:szCs w:val="20"/>
              </w:rPr>
            </w:pPr>
          </w:p>
        </w:tc>
        <w:tc>
          <w:tcPr>
            <w:tcW w:w="0" w:type="auto"/>
            <w:vAlign w:val="center"/>
            <w:hideMark/>
          </w:tcPr>
          <w:p w14:paraId="56497FED" w14:textId="77777777" w:rsidR="00000000" w:rsidRDefault="00195E73">
            <w:pPr>
              <w:rPr>
                <w:rFonts w:eastAsia="Times New Roman"/>
                <w:sz w:val="20"/>
                <w:szCs w:val="20"/>
              </w:rPr>
            </w:pPr>
          </w:p>
        </w:tc>
        <w:tc>
          <w:tcPr>
            <w:tcW w:w="0" w:type="auto"/>
            <w:vAlign w:val="center"/>
            <w:hideMark/>
          </w:tcPr>
          <w:p w14:paraId="5CBD8B20" w14:textId="77777777" w:rsidR="00000000" w:rsidRDefault="00195E73">
            <w:pPr>
              <w:rPr>
                <w:rFonts w:eastAsia="Times New Roman"/>
                <w:sz w:val="20"/>
                <w:szCs w:val="20"/>
              </w:rPr>
            </w:pPr>
          </w:p>
        </w:tc>
        <w:tc>
          <w:tcPr>
            <w:tcW w:w="0" w:type="auto"/>
            <w:vAlign w:val="center"/>
            <w:hideMark/>
          </w:tcPr>
          <w:p w14:paraId="6E8F3745" w14:textId="77777777" w:rsidR="00000000" w:rsidRDefault="00195E73">
            <w:pPr>
              <w:rPr>
                <w:rFonts w:eastAsia="Times New Roman"/>
                <w:sz w:val="20"/>
                <w:szCs w:val="20"/>
              </w:rPr>
            </w:pPr>
          </w:p>
        </w:tc>
        <w:tc>
          <w:tcPr>
            <w:tcW w:w="0" w:type="auto"/>
            <w:vAlign w:val="center"/>
            <w:hideMark/>
          </w:tcPr>
          <w:p w14:paraId="07483A72" w14:textId="77777777" w:rsidR="00000000" w:rsidRDefault="00195E73">
            <w:pPr>
              <w:rPr>
                <w:rFonts w:eastAsia="Times New Roman"/>
                <w:sz w:val="20"/>
                <w:szCs w:val="20"/>
              </w:rPr>
            </w:pPr>
          </w:p>
        </w:tc>
        <w:tc>
          <w:tcPr>
            <w:tcW w:w="0" w:type="auto"/>
            <w:vAlign w:val="center"/>
            <w:hideMark/>
          </w:tcPr>
          <w:p w14:paraId="78F6DBF0" w14:textId="77777777" w:rsidR="00000000" w:rsidRDefault="00195E73">
            <w:pPr>
              <w:rPr>
                <w:rFonts w:eastAsia="Times New Roman"/>
                <w:sz w:val="20"/>
                <w:szCs w:val="20"/>
              </w:rPr>
            </w:pPr>
          </w:p>
        </w:tc>
        <w:tc>
          <w:tcPr>
            <w:tcW w:w="0" w:type="auto"/>
            <w:vAlign w:val="center"/>
            <w:hideMark/>
          </w:tcPr>
          <w:p w14:paraId="31606CB1" w14:textId="77777777" w:rsidR="00000000" w:rsidRDefault="00195E73">
            <w:pPr>
              <w:rPr>
                <w:rFonts w:eastAsia="Times New Roman"/>
                <w:sz w:val="20"/>
                <w:szCs w:val="20"/>
              </w:rPr>
            </w:pPr>
          </w:p>
        </w:tc>
        <w:tc>
          <w:tcPr>
            <w:tcW w:w="0" w:type="auto"/>
            <w:vAlign w:val="center"/>
            <w:hideMark/>
          </w:tcPr>
          <w:p w14:paraId="5B36885B" w14:textId="77777777" w:rsidR="00000000" w:rsidRDefault="00195E73">
            <w:pPr>
              <w:rPr>
                <w:rFonts w:eastAsia="Times New Roman"/>
                <w:sz w:val="20"/>
                <w:szCs w:val="20"/>
              </w:rPr>
            </w:pPr>
          </w:p>
        </w:tc>
        <w:tc>
          <w:tcPr>
            <w:tcW w:w="0" w:type="auto"/>
            <w:vAlign w:val="center"/>
            <w:hideMark/>
          </w:tcPr>
          <w:p w14:paraId="561A04E4" w14:textId="77777777" w:rsidR="00000000" w:rsidRDefault="00195E73">
            <w:pPr>
              <w:rPr>
                <w:rFonts w:eastAsia="Times New Roman"/>
                <w:sz w:val="20"/>
                <w:szCs w:val="20"/>
              </w:rPr>
            </w:pPr>
          </w:p>
        </w:tc>
        <w:tc>
          <w:tcPr>
            <w:tcW w:w="0" w:type="auto"/>
            <w:vAlign w:val="center"/>
            <w:hideMark/>
          </w:tcPr>
          <w:p w14:paraId="3F3A8601" w14:textId="77777777" w:rsidR="00000000" w:rsidRDefault="00195E73">
            <w:pPr>
              <w:rPr>
                <w:rFonts w:eastAsia="Times New Roman"/>
                <w:sz w:val="20"/>
                <w:szCs w:val="20"/>
              </w:rPr>
            </w:pPr>
          </w:p>
        </w:tc>
        <w:tc>
          <w:tcPr>
            <w:tcW w:w="0" w:type="auto"/>
            <w:vAlign w:val="center"/>
            <w:hideMark/>
          </w:tcPr>
          <w:p w14:paraId="4333B2C6" w14:textId="77777777" w:rsidR="00000000" w:rsidRDefault="00195E73">
            <w:pPr>
              <w:rPr>
                <w:rFonts w:eastAsia="Times New Roman"/>
                <w:sz w:val="20"/>
                <w:szCs w:val="20"/>
              </w:rPr>
            </w:pPr>
          </w:p>
        </w:tc>
        <w:tc>
          <w:tcPr>
            <w:tcW w:w="0" w:type="auto"/>
            <w:vAlign w:val="center"/>
            <w:hideMark/>
          </w:tcPr>
          <w:p w14:paraId="315E2AAD" w14:textId="77777777" w:rsidR="00000000" w:rsidRDefault="00195E73">
            <w:pPr>
              <w:rPr>
                <w:rFonts w:eastAsia="Times New Roman"/>
                <w:sz w:val="20"/>
                <w:szCs w:val="20"/>
              </w:rPr>
            </w:pPr>
          </w:p>
        </w:tc>
        <w:tc>
          <w:tcPr>
            <w:tcW w:w="0" w:type="auto"/>
            <w:vAlign w:val="center"/>
            <w:hideMark/>
          </w:tcPr>
          <w:p w14:paraId="0497F309" w14:textId="77777777" w:rsidR="00000000" w:rsidRDefault="00195E73">
            <w:pPr>
              <w:rPr>
                <w:rFonts w:eastAsia="Times New Roman"/>
                <w:sz w:val="20"/>
                <w:szCs w:val="20"/>
              </w:rPr>
            </w:pPr>
          </w:p>
        </w:tc>
        <w:tc>
          <w:tcPr>
            <w:tcW w:w="0" w:type="auto"/>
            <w:vAlign w:val="center"/>
            <w:hideMark/>
          </w:tcPr>
          <w:p w14:paraId="54535EFC" w14:textId="77777777" w:rsidR="00000000" w:rsidRDefault="00195E73">
            <w:pPr>
              <w:rPr>
                <w:rFonts w:eastAsia="Times New Roman"/>
                <w:sz w:val="20"/>
                <w:szCs w:val="20"/>
              </w:rPr>
            </w:pPr>
          </w:p>
        </w:tc>
        <w:tc>
          <w:tcPr>
            <w:tcW w:w="0" w:type="auto"/>
            <w:vAlign w:val="center"/>
            <w:hideMark/>
          </w:tcPr>
          <w:p w14:paraId="1D6FC4AA" w14:textId="77777777" w:rsidR="00000000" w:rsidRDefault="00195E73">
            <w:pPr>
              <w:rPr>
                <w:rFonts w:eastAsia="Times New Roman"/>
                <w:sz w:val="20"/>
                <w:szCs w:val="20"/>
              </w:rPr>
            </w:pPr>
          </w:p>
        </w:tc>
        <w:tc>
          <w:tcPr>
            <w:tcW w:w="0" w:type="auto"/>
            <w:vAlign w:val="center"/>
            <w:hideMark/>
          </w:tcPr>
          <w:p w14:paraId="63D85C70" w14:textId="77777777" w:rsidR="00000000" w:rsidRDefault="00195E73">
            <w:pPr>
              <w:rPr>
                <w:rFonts w:eastAsia="Times New Roman"/>
                <w:sz w:val="20"/>
                <w:szCs w:val="20"/>
              </w:rPr>
            </w:pPr>
          </w:p>
        </w:tc>
        <w:tc>
          <w:tcPr>
            <w:tcW w:w="0" w:type="auto"/>
            <w:vAlign w:val="center"/>
            <w:hideMark/>
          </w:tcPr>
          <w:p w14:paraId="7E5F14BE" w14:textId="77777777" w:rsidR="00000000" w:rsidRDefault="00195E73">
            <w:pPr>
              <w:rPr>
                <w:rFonts w:eastAsia="Times New Roman"/>
                <w:sz w:val="20"/>
                <w:szCs w:val="20"/>
              </w:rPr>
            </w:pPr>
          </w:p>
        </w:tc>
        <w:tc>
          <w:tcPr>
            <w:tcW w:w="0" w:type="auto"/>
            <w:vAlign w:val="center"/>
            <w:hideMark/>
          </w:tcPr>
          <w:p w14:paraId="20ABB7FC" w14:textId="77777777" w:rsidR="00000000" w:rsidRDefault="00195E73">
            <w:pPr>
              <w:rPr>
                <w:rFonts w:eastAsia="Times New Roman"/>
                <w:sz w:val="20"/>
                <w:szCs w:val="20"/>
              </w:rPr>
            </w:pPr>
          </w:p>
        </w:tc>
      </w:tr>
      <w:tr w:rsidR="00000000" w14:paraId="6D953415" w14:textId="77777777">
        <w:trPr>
          <w:divId w:val="1703509046"/>
          <w:jc w:val="center"/>
        </w:trPr>
        <w:tc>
          <w:tcPr>
            <w:tcW w:w="0" w:type="auto"/>
            <w:gridSpan w:val="3"/>
            <w:tcMar>
              <w:top w:w="15" w:type="dxa"/>
              <w:left w:w="20" w:type="dxa"/>
              <w:bottom w:w="15" w:type="dxa"/>
              <w:right w:w="20" w:type="dxa"/>
            </w:tcMar>
            <w:vAlign w:val="bottom"/>
            <w:hideMark/>
          </w:tcPr>
          <w:p w14:paraId="7067DCEF" w14:textId="77777777" w:rsidR="00000000" w:rsidRDefault="00195E73">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14:paraId="5B93B96E"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4D3D8D7F" w14:textId="77777777" w:rsidR="00000000" w:rsidRDefault="00195E73">
            <w:pPr>
              <w:jc w:val="center"/>
              <w:rPr>
                <w:rFonts w:eastAsia="Times New Roman"/>
              </w:rPr>
            </w:pPr>
          </w:p>
        </w:tc>
        <w:tc>
          <w:tcPr>
            <w:tcW w:w="0" w:type="auto"/>
            <w:gridSpan w:val="3"/>
            <w:vAlign w:val="center"/>
            <w:hideMark/>
          </w:tcPr>
          <w:p w14:paraId="4D6A277D" w14:textId="77777777" w:rsidR="00000000" w:rsidRDefault="00195E73">
            <w:pPr>
              <w:rPr>
                <w:rFonts w:eastAsia="Times New Roman"/>
                <w:sz w:val="20"/>
                <w:szCs w:val="20"/>
              </w:rPr>
            </w:pPr>
          </w:p>
        </w:tc>
        <w:tc>
          <w:tcPr>
            <w:tcW w:w="0" w:type="auto"/>
            <w:gridSpan w:val="3"/>
            <w:vAlign w:val="center"/>
            <w:hideMark/>
          </w:tcPr>
          <w:p w14:paraId="7C79C4E4" w14:textId="77777777" w:rsidR="00000000" w:rsidRDefault="00195E73">
            <w:pPr>
              <w:rPr>
                <w:rFonts w:eastAsia="Times New Roman"/>
                <w:sz w:val="20"/>
                <w:szCs w:val="20"/>
              </w:rPr>
            </w:pPr>
          </w:p>
        </w:tc>
        <w:tc>
          <w:tcPr>
            <w:tcW w:w="0" w:type="auto"/>
            <w:gridSpan w:val="3"/>
            <w:vAlign w:val="center"/>
            <w:hideMark/>
          </w:tcPr>
          <w:p w14:paraId="668360E7" w14:textId="77777777" w:rsidR="00000000" w:rsidRDefault="00195E73">
            <w:pPr>
              <w:rPr>
                <w:rFonts w:eastAsia="Times New Roman"/>
                <w:sz w:val="20"/>
                <w:szCs w:val="20"/>
              </w:rPr>
            </w:pPr>
          </w:p>
        </w:tc>
        <w:tc>
          <w:tcPr>
            <w:tcW w:w="0" w:type="auto"/>
            <w:gridSpan w:val="3"/>
            <w:vAlign w:val="center"/>
            <w:hideMark/>
          </w:tcPr>
          <w:p w14:paraId="59296458" w14:textId="77777777" w:rsidR="00000000" w:rsidRDefault="00195E73">
            <w:pPr>
              <w:rPr>
                <w:rFonts w:eastAsia="Times New Roman"/>
                <w:sz w:val="20"/>
                <w:szCs w:val="20"/>
              </w:rPr>
            </w:pPr>
          </w:p>
        </w:tc>
        <w:tc>
          <w:tcPr>
            <w:tcW w:w="0" w:type="auto"/>
            <w:gridSpan w:val="3"/>
            <w:vAlign w:val="center"/>
            <w:hideMark/>
          </w:tcPr>
          <w:p w14:paraId="23FB696C" w14:textId="77777777" w:rsidR="00000000" w:rsidRDefault="00195E73">
            <w:pPr>
              <w:rPr>
                <w:rFonts w:eastAsia="Times New Roman"/>
                <w:sz w:val="20"/>
                <w:szCs w:val="20"/>
              </w:rPr>
            </w:pPr>
          </w:p>
        </w:tc>
        <w:tc>
          <w:tcPr>
            <w:tcW w:w="0" w:type="auto"/>
            <w:gridSpan w:val="3"/>
            <w:vAlign w:val="center"/>
            <w:hideMark/>
          </w:tcPr>
          <w:p w14:paraId="7F082BD2" w14:textId="77777777" w:rsidR="00000000" w:rsidRDefault="00195E73">
            <w:pPr>
              <w:rPr>
                <w:rFonts w:eastAsia="Times New Roman"/>
                <w:sz w:val="20"/>
                <w:szCs w:val="20"/>
              </w:rPr>
            </w:pPr>
          </w:p>
        </w:tc>
        <w:tc>
          <w:tcPr>
            <w:tcW w:w="0" w:type="auto"/>
            <w:gridSpan w:val="3"/>
            <w:vAlign w:val="center"/>
            <w:hideMark/>
          </w:tcPr>
          <w:p w14:paraId="77862473" w14:textId="77777777" w:rsidR="00000000" w:rsidRDefault="00195E73">
            <w:pPr>
              <w:rPr>
                <w:rFonts w:eastAsia="Times New Roman"/>
                <w:sz w:val="20"/>
                <w:szCs w:val="20"/>
              </w:rPr>
            </w:pPr>
          </w:p>
        </w:tc>
        <w:tc>
          <w:tcPr>
            <w:tcW w:w="0" w:type="auto"/>
            <w:gridSpan w:val="2"/>
            <w:vAlign w:val="center"/>
            <w:hideMark/>
          </w:tcPr>
          <w:p w14:paraId="70315812" w14:textId="77777777" w:rsidR="00000000" w:rsidRDefault="00195E73">
            <w:pPr>
              <w:rPr>
                <w:rFonts w:eastAsia="Times New Roman"/>
                <w:sz w:val="20"/>
                <w:szCs w:val="20"/>
              </w:rPr>
            </w:pPr>
          </w:p>
        </w:tc>
        <w:tc>
          <w:tcPr>
            <w:tcW w:w="0" w:type="auto"/>
            <w:vAlign w:val="center"/>
            <w:hideMark/>
          </w:tcPr>
          <w:p w14:paraId="300C93F7" w14:textId="77777777" w:rsidR="00000000" w:rsidRDefault="00195E73">
            <w:pPr>
              <w:rPr>
                <w:rFonts w:eastAsia="Times New Roman"/>
                <w:sz w:val="20"/>
                <w:szCs w:val="20"/>
              </w:rPr>
            </w:pPr>
          </w:p>
        </w:tc>
      </w:tr>
      <w:tr w:rsidR="00000000" w14:paraId="0DC39125" w14:textId="77777777">
        <w:trPr>
          <w:divId w:val="1703509046"/>
          <w:jc w:val="center"/>
        </w:trPr>
        <w:tc>
          <w:tcPr>
            <w:tcW w:w="0" w:type="auto"/>
            <w:gridSpan w:val="3"/>
            <w:tcMar>
              <w:top w:w="30" w:type="dxa"/>
              <w:left w:w="20" w:type="dxa"/>
              <w:bottom w:w="30" w:type="dxa"/>
              <w:right w:w="20" w:type="dxa"/>
            </w:tcMar>
            <w:vAlign w:val="bottom"/>
            <w:hideMark/>
          </w:tcPr>
          <w:p w14:paraId="0FFC032A" w14:textId="77777777" w:rsidR="00000000" w:rsidRDefault="00195E73">
            <w:pPr>
              <w:ind w:hanging="180"/>
              <w:divId w:val="1348366944"/>
              <w:rPr>
                <w:rFonts w:eastAsia="Times New Roman"/>
              </w:rPr>
            </w:pPr>
            <w:r>
              <w:rPr>
                <w:rFonts w:eastAsia="Times New Roman"/>
                <w:color w:val="000000"/>
                <w:sz w:val="18"/>
                <w:szCs w:val="18"/>
              </w:rPr>
              <w:t>Definite-lived intangible assets</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14:paraId="52122DB6" w14:textId="77777777" w:rsidR="00000000" w:rsidRDefault="00195E73">
            <w:pPr>
              <w:ind w:hanging="180"/>
              <w:rPr>
                <w:rFonts w:eastAsia="Times New Roman"/>
              </w:rPr>
            </w:pPr>
          </w:p>
        </w:tc>
        <w:tc>
          <w:tcPr>
            <w:tcW w:w="0" w:type="auto"/>
            <w:gridSpan w:val="3"/>
            <w:tcMar>
              <w:top w:w="15" w:type="dxa"/>
              <w:left w:w="20" w:type="dxa"/>
              <w:bottom w:w="15" w:type="dxa"/>
              <w:right w:w="20" w:type="dxa"/>
            </w:tcMar>
            <w:vAlign w:val="bottom"/>
            <w:hideMark/>
          </w:tcPr>
          <w:p w14:paraId="1E70759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B5BC67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ADAC92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663E742"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1ABC631"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5DEF8E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5FF8B1C"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7889F2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F4F00F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4E52DD1" w14:textId="77777777" w:rsidR="00000000" w:rsidRDefault="00195E73">
            <w:pPr>
              <w:rPr>
                <w:rFonts w:eastAsia="Times New Roman"/>
                <w:sz w:val="20"/>
                <w:szCs w:val="20"/>
              </w:rPr>
            </w:pPr>
          </w:p>
        </w:tc>
        <w:tc>
          <w:tcPr>
            <w:tcW w:w="0" w:type="auto"/>
            <w:vAlign w:val="center"/>
            <w:hideMark/>
          </w:tcPr>
          <w:p w14:paraId="271B915B" w14:textId="77777777" w:rsidR="00000000" w:rsidRDefault="00195E73">
            <w:pPr>
              <w:rPr>
                <w:rFonts w:eastAsia="Times New Roman"/>
                <w:sz w:val="20"/>
                <w:szCs w:val="20"/>
              </w:rPr>
            </w:pPr>
          </w:p>
        </w:tc>
        <w:tc>
          <w:tcPr>
            <w:tcW w:w="0" w:type="auto"/>
            <w:vAlign w:val="center"/>
            <w:hideMark/>
          </w:tcPr>
          <w:p w14:paraId="67A40F25" w14:textId="77777777" w:rsidR="00000000" w:rsidRDefault="00195E73">
            <w:pPr>
              <w:rPr>
                <w:rFonts w:eastAsia="Times New Roman"/>
                <w:sz w:val="20"/>
                <w:szCs w:val="20"/>
              </w:rPr>
            </w:pPr>
          </w:p>
        </w:tc>
        <w:tc>
          <w:tcPr>
            <w:tcW w:w="0" w:type="auto"/>
            <w:vAlign w:val="center"/>
            <w:hideMark/>
          </w:tcPr>
          <w:p w14:paraId="1BE5FC66" w14:textId="77777777" w:rsidR="00000000" w:rsidRDefault="00195E73">
            <w:pPr>
              <w:rPr>
                <w:rFonts w:eastAsia="Times New Roman"/>
                <w:sz w:val="20"/>
                <w:szCs w:val="20"/>
              </w:rPr>
            </w:pPr>
          </w:p>
        </w:tc>
        <w:tc>
          <w:tcPr>
            <w:tcW w:w="0" w:type="auto"/>
            <w:vAlign w:val="center"/>
            <w:hideMark/>
          </w:tcPr>
          <w:p w14:paraId="6110957E" w14:textId="77777777" w:rsidR="00000000" w:rsidRDefault="00195E73">
            <w:pPr>
              <w:rPr>
                <w:rFonts w:eastAsia="Times New Roman"/>
                <w:sz w:val="20"/>
                <w:szCs w:val="20"/>
              </w:rPr>
            </w:pPr>
          </w:p>
        </w:tc>
        <w:tc>
          <w:tcPr>
            <w:tcW w:w="0" w:type="auto"/>
            <w:vAlign w:val="center"/>
            <w:hideMark/>
          </w:tcPr>
          <w:p w14:paraId="5443E4B4" w14:textId="77777777" w:rsidR="00000000" w:rsidRDefault="00195E73">
            <w:pPr>
              <w:rPr>
                <w:rFonts w:eastAsia="Times New Roman"/>
                <w:sz w:val="20"/>
                <w:szCs w:val="20"/>
              </w:rPr>
            </w:pPr>
          </w:p>
        </w:tc>
        <w:tc>
          <w:tcPr>
            <w:tcW w:w="0" w:type="auto"/>
            <w:vAlign w:val="center"/>
            <w:hideMark/>
          </w:tcPr>
          <w:p w14:paraId="4BA9B6BD" w14:textId="77777777" w:rsidR="00000000" w:rsidRDefault="00195E73">
            <w:pPr>
              <w:rPr>
                <w:rFonts w:eastAsia="Times New Roman"/>
                <w:sz w:val="20"/>
                <w:szCs w:val="20"/>
              </w:rPr>
            </w:pPr>
          </w:p>
        </w:tc>
        <w:tc>
          <w:tcPr>
            <w:tcW w:w="0" w:type="auto"/>
            <w:vAlign w:val="center"/>
            <w:hideMark/>
          </w:tcPr>
          <w:p w14:paraId="48D45956" w14:textId="77777777" w:rsidR="00000000" w:rsidRDefault="00195E73">
            <w:pPr>
              <w:rPr>
                <w:rFonts w:eastAsia="Times New Roman"/>
                <w:sz w:val="20"/>
                <w:szCs w:val="20"/>
              </w:rPr>
            </w:pPr>
          </w:p>
        </w:tc>
        <w:tc>
          <w:tcPr>
            <w:tcW w:w="0" w:type="auto"/>
            <w:vAlign w:val="center"/>
            <w:hideMark/>
          </w:tcPr>
          <w:p w14:paraId="15740891" w14:textId="77777777" w:rsidR="00000000" w:rsidRDefault="00195E73">
            <w:pPr>
              <w:rPr>
                <w:rFonts w:eastAsia="Times New Roman"/>
                <w:sz w:val="20"/>
                <w:szCs w:val="20"/>
              </w:rPr>
            </w:pPr>
          </w:p>
        </w:tc>
        <w:tc>
          <w:tcPr>
            <w:tcW w:w="0" w:type="auto"/>
            <w:vAlign w:val="center"/>
            <w:hideMark/>
          </w:tcPr>
          <w:p w14:paraId="1F7971BA" w14:textId="77777777" w:rsidR="00000000" w:rsidRDefault="00195E73">
            <w:pPr>
              <w:rPr>
                <w:rFonts w:eastAsia="Times New Roman"/>
                <w:sz w:val="20"/>
                <w:szCs w:val="20"/>
              </w:rPr>
            </w:pPr>
          </w:p>
        </w:tc>
        <w:tc>
          <w:tcPr>
            <w:tcW w:w="0" w:type="auto"/>
            <w:vAlign w:val="center"/>
            <w:hideMark/>
          </w:tcPr>
          <w:p w14:paraId="110CB840" w14:textId="77777777" w:rsidR="00000000" w:rsidRDefault="00195E73">
            <w:pPr>
              <w:rPr>
                <w:rFonts w:eastAsia="Times New Roman"/>
                <w:sz w:val="20"/>
                <w:szCs w:val="20"/>
              </w:rPr>
            </w:pPr>
          </w:p>
        </w:tc>
        <w:tc>
          <w:tcPr>
            <w:tcW w:w="0" w:type="auto"/>
            <w:vAlign w:val="center"/>
            <w:hideMark/>
          </w:tcPr>
          <w:p w14:paraId="30053443" w14:textId="77777777" w:rsidR="00000000" w:rsidRDefault="00195E73">
            <w:pPr>
              <w:rPr>
                <w:rFonts w:eastAsia="Times New Roman"/>
                <w:sz w:val="20"/>
                <w:szCs w:val="20"/>
              </w:rPr>
            </w:pPr>
          </w:p>
        </w:tc>
        <w:tc>
          <w:tcPr>
            <w:tcW w:w="0" w:type="auto"/>
            <w:vAlign w:val="center"/>
            <w:hideMark/>
          </w:tcPr>
          <w:p w14:paraId="52B2ACFB" w14:textId="77777777" w:rsidR="00000000" w:rsidRDefault="00195E73">
            <w:pPr>
              <w:rPr>
                <w:rFonts w:eastAsia="Times New Roman"/>
                <w:sz w:val="20"/>
                <w:szCs w:val="20"/>
              </w:rPr>
            </w:pPr>
          </w:p>
        </w:tc>
        <w:tc>
          <w:tcPr>
            <w:tcW w:w="0" w:type="auto"/>
            <w:vAlign w:val="center"/>
            <w:hideMark/>
          </w:tcPr>
          <w:p w14:paraId="2BA2ED54" w14:textId="77777777" w:rsidR="00000000" w:rsidRDefault="00195E73">
            <w:pPr>
              <w:rPr>
                <w:rFonts w:eastAsia="Times New Roman"/>
                <w:sz w:val="20"/>
                <w:szCs w:val="20"/>
              </w:rPr>
            </w:pPr>
          </w:p>
        </w:tc>
        <w:tc>
          <w:tcPr>
            <w:tcW w:w="0" w:type="auto"/>
            <w:vAlign w:val="center"/>
            <w:hideMark/>
          </w:tcPr>
          <w:p w14:paraId="247788AF" w14:textId="77777777" w:rsidR="00000000" w:rsidRDefault="00195E73">
            <w:pPr>
              <w:rPr>
                <w:rFonts w:eastAsia="Times New Roman"/>
                <w:sz w:val="20"/>
                <w:szCs w:val="20"/>
              </w:rPr>
            </w:pPr>
          </w:p>
        </w:tc>
        <w:tc>
          <w:tcPr>
            <w:tcW w:w="0" w:type="auto"/>
            <w:vAlign w:val="center"/>
            <w:hideMark/>
          </w:tcPr>
          <w:p w14:paraId="18C35AE6" w14:textId="77777777" w:rsidR="00000000" w:rsidRDefault="00195E73">
            <w:pPr>
              <w:rPr>
                <w:rFonts w:eastAsia="Times New Roman"/>
                <w:sz w:val="20"/>
                <w:szCs w:val="20"/>
              </w:rPr>
            </w:pPr>
          </w:p>
        </w:tc>
        <w:tc>
          <w:tcPr>
            <w:tcW w:w="0" w:type="auto"/>
            <w:vAlign w:val="center"/>
            <w:hideMark/>
          </w:tcPr>
          <w:p w14:paraId="1982DB4F" w14:textId="77777777" w:rsidR="00000000" w:rsidRDefault="00195E73">
            <w:pPr>
              <w:rPr>
                <w:rFonts w:eastAsia="Times New Roman"/>
                <w:sz w:val="20"/>
                <w:szCs w:val="20"/>
              </w:rPr>
            </w:pPr>
          </w:p>
        </w:tc>
        <w:tc>
          <w:tcPr>
            <w:tcW w:w="0" w:type="auto"/>
            <w:vAlign w:val="center"/>
            <w:hideMark/>
          </w:tcPr>
          <w:p w14:paraId="4C24308D" w14:textId="77777777" w:rsidR="00000000" w:rsidRDefault="00195E73">
            <w:pPr>
              <w:rPr>
                <w:rFonts w:eastAsia="Times New Roman"/>
                <w:sz w:val="20"/>
                <w:szCs w:val="20"/>
              </w:rPr>
            </w:pPr>
          </w:p>
        </w:tc>
        <w:tc>
          <w:tcPr>
            <w:tcW w:w="0" w:type="auto"/>
            <w:vAlign w:val="center"/>
            <w:hideMark/>
          </w:tcPr>
          <w:p w14:paraId="23677CAC" w14:textId="77777777" w:rsidR="00000000" w:rsidRDefault="00195E73">
            <w:pPr>
              <w:rPr>
                <w:rFonts w:eastAsia="Times New Roman"/>
                <w:sz w:val="20"/>
                <w:szCs w:val="20"/>
              </w:rPr>
            </w:pPr>
          </w:p>
        </w:tc>
        <w:tc>
          <w:tcPr>
            <w:tcW w:w="0" w:type="auto"/>
            <w:vAlign w:val="center"/>
            <w:hideMark/>
          </w:tcPr>
          <w:p w14:paraId="54269818" w14:textId="77777777" w:rsidR="00000000" w:rsidRDefault="00195E73">
            <w:pPr>
              <w:rPr>
                <w:rFonts w:eastAsia="Times New Roman"/>
                <w:sz w:val="20"/>
                <w:szCs w:val="20"/>
              </w:rPr>
            </w:pPr>
          </w:p>
        </w:tc>
        <w:tc>
          <w:tcPr>
            <w:tcW w:w="0" w:type="auto"/>
            <w:vAlign w:val="center"/>
            <w:hideMark/>
          </w:tcPr>
          <w:p w14:paraId="67A5A0BD" w14:textId="77777777" w:rsidR="00000000" w:rsidRDefault="00195E73">
            <w:pPr>
              <w:rPr>
                <w:rFonts w:eastAsia="Times New Roman"/>
                <w:sz w:val="20"/>
                <w:szCs w:val="20"/>
              </w:rPr>
            </w:pPr>
          </w:p>
        </w:tc>
        <w:tc>
          <w:tcPr>
            <w:tcW w:w="0" w:type="auto"/>
            <w:vAlign w:val="center"/>
            <w:hideMark/>
          </w:tcPr>
          <w:p w14:paraId="58147290" w14:textId="77777777" w:rsidR="00000000" w:rsidRDefault="00195E73">
            <w:pPr>
              <w:rPr>
                <w:rFonts w:eastAsia="Times New Roman"/>
                <w:sz w:val="20"/>
                <w:szCs w:val="20"/>
              </w:rPr>
            </w:pPr>
          </w:p>
        </w:tc>
        <w:tc>
          <w:tcPr>
            <w:tcW w:w="0" w:type="auto"/>
            <w:vAlign w:val="center"/>
            <w:hideMark/>
          </w:tcPr>
          <w:p w14:paraId="237BDA7A" w14:textId="77777777" w:rsidR="00000000" w:rsidRDefault="00195E73">
            <w:pPr>
              <w:rPr>
                <w:rFonts w:eastAsia="Times New Roman"/>
                <w:sz w:val="20"/>
                <w:szCs w:val="20"/>
              </w:rPr>
            </w:pPr>
          </w:p>
        </w:tc>
        <w:tc>
          <w:tcPr>
            <w:tcW w:w="0" w:type="auto"/>
            <w:vAlign w:val="center"/>
            <w:hideMark/>
          </w:tcPr>
          <w:p w14:paraId="61793DD4" w14:textId="77777777" w:rsidR="00000000" w:rsidRDefault="00195E73">
            <w:pPr>
              <w:rPr>
                <w:rFonts w:eastAsia="Times New Roman"/>
                <w:sz w:val="20"/>
                <w:szCs w:val="20"/>
              </w:rPr>
            </w:pPr>
          </w:p>
        </w:tc>
        <w:tc>
          <w:tcPr>
            <w:tcW w:w="0" w:type="auto"/>
            <w:vAlign w:val="center"/>
            <w:hideMark/>
          </w:tcPr>
          <w:p w14:paraId="0345E11C" w14:textId="77777777" w:rsidR="00000000" w:rsidRDefault="00195E73">
            <w:pPr>
              <w:rPr>
                <w:rFonts w:eastAsia="Times New Roman"/>
                <w:sz w:val="20"/>
                <w:szCs w:val="20"/>
              </w:rPr>
            </w:pPr>
          </w:p>
        </w:tc>
        <w:tc>
          <w:tcPr>
            <w:tcW w:w="0" w:type="auto"/>
            <w:vAlign w:val="center"/>
            <w:hideMark/>
          </w:tcPr>
          <w:p w14:paraId="2AD9A2A6" w14:textId="77777777" w:rsidR="00000000" w:rsidRDefault="00195E73">
            <w:pPr>
              <w:rPr>
                <w:rFonts w:eastAsia="Times New Roman"/>
                <w:sz w:val="20"/>
                <w:szCs w:val="20"/>
              </w:rPr>
            </w:pPr>
          </w:p>
        </w:tc>
        <w:tc>
          <w:tcPr>
            <w:tcW w:w="0" w:type="auto"/>
            <w:vAlign w:val="center"/>
            <w:hideMark/>
          </w:tcPr>
          <w:p w14:paraId="7A418BFA" w14:textId="77777777" w:rsidR="00000000" w:rsidRDefault="00195E73">
            <w:pPr>
              <w:rPr>
                <w:rFonts w:eastAsia="Times New Roman"/>
                <w:sz w:val="20"/>
                <w:szCs w:val="20"/>
              </w:rPr>
            </w:pPr>
          </w:p>
        </w:tc>
        <w:tc>
          <w:tcPr>
            <w:tcW w:w="0" w:type="auto"/>
            <w:vAlign w:val="center"/>
            <w:hideMark/>
          </w:tcPr>
          <w:p w14:paraId="3FA3E637" w14:textId="77777777" w:rsidR="00000000" w:rsidRDefault="00195E73">
            <w:pPr>
              <w:rPr>
                <w:rFonts w:eastAsia="Times New Roman"/>
                <w:sz w:val="20"/>
                <w:szCs w:val="20"/>
              </w:rPr>
            </w:pPr>
          </w:p>
        </w:tc>
      </w:tr>
      <w:tr w:rsidR="00000000" w14:paraId="265A7D8F" w14:textId="77777777">
        <w:trPr>
          <w:divId w:val="1703509046"/>
          <w:jc w:val="center"/>
        </w:trPr>
        <w:tc>
          <w:tcPr>
            <w:tcW w:w="0" w:type="auto"/>
            <w:gridSpan w:val="3"/>
            <w:shd w:val="clear" w:color="auto" w:fill="CCEEFF"/>
            <w:tcMar>
              <w:top w:w="30" w:type="dxa"/>
              <w:left w:w="20" w:type="dxa"/>
              <w:bottom w:w="30" w:type="dxa"/>
              <w:right w:w="20" w:type="dxa"/>
            </w:tcMar>
            <w:vAlign w:val="bottom"/>
            <w:hideMark/>
          </w:tcPr>
          <w:p w14:paraId="22A3DEA8" w14:textId="77777777" w:rsidR="00000000" w:rsidRDefault="00195E73">
            <w:pPr>
              <w:ind w:hanging="180"/>
              <w:divId w:val="1897234029"/>
              <w:rPr>
                <w:rFonts w:eastAsia="Times New Roman"/>
              </w:rPr>
            </w:pPr>
            <w:r>
              <w:rPr>
                <w:rFonts w:eastAsia="Times New Roman"/>
                <w:color w:val="000000"/>
                <w:sz w:val="18"/>
                <w:szCs w:val="18"/>
              </w:rPr>
              <w:t>Customer relationship</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14:paraId="03A19EF0"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6A5B10BC" w14:textId="77777777" w:rsidR="00000000" w:rsidRDefault="00195E73">
            <w:pPr>
              <w:jc w:val="right"/>
              <w:rPr>
                <w:rFonts w:eastAsia="Times New Roman"/>
              </w:rPr>
            </w:pPr>
            <w:r>
              <w:rPr>
                <w:rFonts w:eastAsia="Times New Roman"/>
                <w:color w:val="000000"/>
                <w:sz w:val="18"/>
                <w:szCs w:val="18"/>
              </w:rPr>
              <w:t>397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29DFB4D"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1BE8E3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663AF20"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794226DA" w14:textId="77777777" w:rsidR="00000000" w:rsidRDefault="00195E73">
            <w:pPr>
              <w:jc w:val="right"/>
              <w:rPr>
                <w:rFonts w:eastAsia="Times New Roman"/>
              </w:rPr>
            </w:pPr>
            <w:r>
              <w:rPr>
                <w:rFonts w:eastAsia="Times New Roman"/>
                <w:color w:val="000000"/>
                <w:sz w:val="18"/>
                <w:szCs w:val="18"/>
              </w:rPr>
              <w:t>(155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79D97D4A"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7A8891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79F8E39"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0F1FDEE7" w14:textId="77777777" w:rsidR="00000000" w:rsidRDefault="00195E73">
            <w:pPr>
              <w:jc w:val="right"/>
              <w:rPr>
                <w:rFonts w:eastAsia="Times New Roman"/>
              </w:rPr>
            </w:pPr>
            <w:r>
              <w:rPr>
                <w:rFonts w:eastAsia="Times New Roman"/>
                <w:color w:val="000000"/>
                <w:sz w:val="18"/>
                <w:szCs w:val="18"/>
              </w:rPr>
              <w:t>242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4B6EE40"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8DEFF2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DEEE583"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00E7BFD7" w14:textId="77777777" w:rsidR="00000000" w:rsidRDefault="00195E73">
            <w:pPr>
              <w:jc w:val="right"/>
              <w:rPr>
                <w:rFonts w:eastAsia="Times New Roman"/>
              </w:rPr>
            </w:pPr>
            <w:r>
              <w:rPr>
                <w:rFonts w:eastAsia="Times New Roman"/>
                <w:color w:val="000000"/>
                <w:sz w:val="18"/>
                <w:szCs w:val="18"/>
              </w:rPr>
              <w:t>397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5B74849"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35D06A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2D58D82"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65A2A7D7" w14:textId="77777777" w:rsidR="00000000" w:rsidRDefault="00195E73">
            <w:pPr>
              <w:jc w:val="right"/>
              <w:rPr>
                <w:rFonts w:eastAsia="Times New Roman"/>
              </w:rPr>
            </w:pPr>
            <w:r>
              <w:rPr>
                <w:rFonts w:eastAsia="Times New Roman"/>
                <w:color w:val="000000"/>
                <w:sz w:val="18"/>
                <w:szCs w:val="18"/>
              </w:rPr>
              <w:t>(135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C0DC75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7A5EF9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3E60FB0"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4BF48883" w14:textId="77777777" w:rsidR="00000000" w:rsidRDefault="00195E73">
            <w:pPr>
              <w:jc w:val="right"/>
              <w:rPr>
                <w:rFonts w:eastAsia="Times New Roman"/>
              </w:rPr>
            </w:pPr>
            <w:r>
              <w:rPr>
                <w:rFonts w:eastAsia="Times New Roman"/>
                <w:color w:val="000000"/>
                <w:sz w:val="18"/>
                <w:szCs w:val="18"/>
              </w:rPr>
              <w:t>262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F25DE8E"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6AD7ED09" w14:textId="77777777" w:rsidR="00000000" w:rsidRDefault="00195E73">
            <w:pPr>
              <w:rPr>
                <w:rFonts w:eastAsia="Times New Roman"/>
                <w:sz w:val="20"/>
                <w:szCs w:val="20"/>
              </w:rPr>
            </w:pPr>
          </w:p>
        </w:tc>
        <w:tc>
          <w:tcPr>
            <w:tcW w:w="0" w:type="auto"/>
            <w:vAlign w:val="center"/>
            <w:hideMark/>
          </w:tcPr>
          <w:p w14:paraId="78AD716B" w14:textId="77777777" w:rsidR="00000000" w:rsidRDefault="00195E73">
            <w:pPr>
              <w:rPr>
                <w:rFonts w:eastAsia="Times New Roman"/>
                <w:sz w:val="20"/>
                <w:szCs w:val="20"/>
              </w:rPr>
            </w:pPr>
          </w:p>
        </w:tc>
        <w:tc>
          <w:tcPr>
            <w:tcW w:w="0" w:type="auto"/>
            <w:vAlign w:val="center"/>
            <w:hideMark/>
          </w:tcPr>
          <w:p w14:paraId="30E51F84" w14:textId="77777777" w:rsidR="00000000" w:rsidRDefault="00195E73">
            <w:pPr>
              <w:rPr>
                <w:rFonts w:eastAsia="Times New Roman"/>
                <w:sz w:val="20"/>
                <w:szCs w:val="20"/>
              </w:rPr>
            </w:pPr>
          </w:p>
        </w:tc>
        <w:tc>
          <w:tcPr>
            <w:tcW w:w="0" w:type="auto"/>
            <w:vAlign w:val="center"/>
            <w:hideMark/>
          </w:tcPr>
          <w:p w14:paraId="60F6D85A" w14:textId="77777777" w:rsidR="00000000" w:rsidRDefault="00195E73">
            <w:pPr>
              <w:rPr>
                <w:rFonts w:eastAsia="Times New Roman"/>
                <w:sz w:val="20"/>
                <w:szCs w:val="20"/>
              </w:rPr>
            </w:pPr>
          </w:p>
        </w:tc>
        <w:tc>
          <w:tcPr>
            <w:tcW w:w="0" w:type="auto"/>
            <w:vAlign w:val="center"/>
            <w:hideMark/>
          </w:tcPr>
          <w:p w14:paraId="78D6E6E2" w14:textId="77777777" w:rsidR="00000000" w:rsidRDefault="00195E73">
            <w:pPr>
              <w:rPr>
                <w:rFonts w:eastAsia="Times New Roman"/>
                <w:sz w:val="20"/>
                <w:szCs w:val="20"/>
              </w:rPr>
            </w:pPr>
          </w:p>
        </w:tc>
        <w:tc>
          <w:tcPr>
            <w:tcW w:w="0" w:type="auto"/>
            <w:vAlign w:val="center"/>
            <w:hideMark/>
          </w:tcPr>
          <w:p w14:paraId="67646569" w14:textId="77777777" w:rsidR="00000000" w:rsidRDefault="00195E73">
            <w:pPr>
              <w:rPr>
                <w:rFonts w:eastAsia="Times New Roman"/>
                <w:sz w:val="20"/>
                <w:szCs w:val="20"/>
              </w:rPr>
            </w:pPr>
          </w:p>
        </w:tc>
        <w:tc>
          <w:tcPr>
            <w:tcW w:w="0" w:type="auto"/>
            <w:vAlign w:val="center"/>
            <w:hideMark/>
          </w:tcPr>
          <w:p w14:paraId="119349FC" w14:textId="77777777" w:rsidR="00000000" w:rsidRDefault="00195E73">
            <w:pPr>
              <w:rPr>
                <w:rFonts w:eastAsia="Times New Roman"/>
                <w:sz w:val="20"/>
                <w:szCs w:val="20"/>
              </w:rPr>
            </w:pPr>
          </w:p>
        </w:tc>
        <w:tc>
          <w:tcPr>
            <w:tcW w:w="0" w:type="auto"/>
            <w:vAlign w:val="center"/>
            <w:hideMark/>
          </w:tcPr>
          <w:p w14:paraId="5A89FE0B" w14:textId="77777777" w:rsidR="00000000" w:rsidRDefault="00195E73">
            <w:pPr>
              <w:rPr>
                <w:rFonts w:eastAsia="Times New Roman"/>
                <w:sz w:val="20"/>
                <w:szCs w:val="20"/>
              </w:rPr>
            </w:pPr>
          </w:p>
        </w:tc>
        <w:tc>
          <w:tcPr>
            <w:tcW w:w="0" w:type="auto"/>
            <w:vAlign w:val="center"/>
            <w:hideMark/>
          </w:tcPr>
          <w:p w14:paraId="7AE3E05B" w14:textId="77777777" w:rsidR="00000000" w:rsidRDefault="00195E73">
            <w:pPr>
              <w:rPr>
                <w:rFonts w:eastAsia="Times New Roman"/>
                <w:sz w:val="20"/>
                <w:szCs w:val="20"/>
              </w:rPr>
            </w:pPr>
          </w:p>
        </w:tc>
        <w:tc>
          <w:tcPr>
            <w:tcW w:w="0" w:type="auto"/>
            <w:vAlign w:val="center"/>
            <w:hideMark/>
          </w:tcPr>
          <w:p w14:paraId="132306A3" w14:textId="77777777" w:rsidR="00000000" w:rsidRDefault="00195E73">
            <w:pPr>
              <w:rPr>
                <w:rFonts w:eastAsia="Times New Roman"/>
                <w:sz w:val="20"/>
                <w:szCs w:val="20"/>
              </w:rPr>
            </w:pPr>
          </w:p>
        </w:tc>
        <w:tc>
          <w:tcPr>
            <w:tcW w:w="0" w:type="auto"/>
            <w:vAlign w:val="center"/>
            <w:hideMark/>
          </w:tcPr>
          <w:p w14:paraId="41C24D31" w14:textId="77777777" w:rsidR="00000000" w:rsidRDefault="00195E73">
            <w:pPr>
              <w:rPr>
                <w:rFonts w:eastAsia="Times New Roman"/>
                <w:sz w:val="20"/>
                <w:szCs w:val="20"/>
              </w:rPr>
            </w:pPr>
          </w:p>
        </w:tc>
        <w:tc>
          <w:tcPr>
            <w:tcW w:w="0" w:type="auto"/>
            <w:vAlign w:val="center"/>
            <w:hideMark/>
          </w:tcPr>
          <w:p w14:paraId="5618308F" w14:textId="77777777" w:rsidR="00000000" w:rsidRDefault="00195E73">
            <w:pPr>
              <w:rPr>
                <w:rFonts w:eastAsia="Times New Roman"/>
                <w:sz w:val="20"/>
                <w:szCs w:val="20"/>
              </w:rPr>
            </w:pPr>
          </w:p>
        </w:tc>
        <w:tc>
          <w:tcPr>
            <w:tcW w:w="0" w:type="auto"/>
            <w:vAlign w:val="center"/>
            <w:hideMark/>
          </w:tcPr>
          <w:p w14:paraId="790BBD08" w14:textId="77777777" w:rsidR="00000000" w:rsidRDefault="00195E73">
            <w:pPr>
              <w:rPr>
                <w:rFonts w:eastAsia="Times New Roman"/>
                <w:sz w:val="20"/>
                <w:szCs w:val="20"/>
              </w:rPr>
            </w:pPr>
          </w:p>
        </w:tc>
        <w:tc>
          <w:tcPr>
            <w:tcW w:w="0" w:type="auto"/>
            <w:vAlign w:val="center"/>
            <w:hideMark/>
          </w:tcPr>
          <w:p w14:paraId="525FC900" w14:textId="77777777" w:rsidR="00000000" w:rsidRDefault="00195E73">
            <w:pPr>
              <w:rPr>
                <w:rFonts w:eastAsia="Times New Roman"/>
                <w:sz w:val="20"/>
                <w:szCs w:val="20"/>
              </w:rPr>
            </w:pPr>
          </w:p>
        </w:tc>
        <w:tc>
          <w:tcPr>
            <w:tcW w:w="0" w:type="auto"/>
            <w:vAlign w:val="center"/>
            <w:hideMark/>
          </w:tcPr>
          <w:p w14:paraId="3FAEF0D2" w14:textId="77777777" w:rsidR="00000000" w:rsidRDefault="00195E73">
            <w:pPr>
              <w:rPr>
                <w:rFonts w:eastAsia="Times New Roman"/>
                <w:sz w:val="20"/>
                <w:szCs w:val="20"/>
              </w:rPr>
            </w:pPr>
          </w:p>
        </w:tc>
        <w:tc>
          <w:tcPr>
            <w:tcW w:w="0" w:type="auto"/>
            <w:vAlign w:val="center"/>
            <w:hideMark/>
          </w:tcPr>
          <w:p w14:paraId="355990BD" w14:textId="77777777" w:rsidR="00000000" w:rsidRDefault="00195E73">
            <w:pPr>
              <w:rPr>
                <w:rFonts w:eastAsia="Times New Roman"/>
                <w:sz w:val="20"/>
                <w:szCs w:val="20"/>
              </w:rPr>
            </w:pPr>
          </w:p>
        </w:tc>
        <w:tc>
          <w:tcPr>
            <w:tcW w:w="0" w:type="auto"/>
            <w:vAlign w:val="center"/>
            <w:hideMark/>
          </w:tcPr>
          <w:p w14:paraId="48128471" w14:textId="77777777" w:rsidR="00000000" w:rsidRDefault="00195E73">
            <w:pPr>
              <w:rPr>
                <w:rFonts w:eastAsia="Times New Roman"/>
                <w:sz w:val="20"/>
                <w:szCs w:val="20"/>
              </w:rPr>
            </w:pPr>
          </w:p>
        </w:tc>
        <w:tc>
          <w:tcPr>
            <w:tcW w:w="0" w:type="auto"/>
            <w:vAlign w:val="center"/>
            <w:hideMark/>
          </w:tcPr>
          <w:p w14:paraId="096FBE78" w14:textId="77777777" w:rsidR="00000000" w:rsidRDefault="00195E73">
            <w:pPr>
              <w:rPr>
                <w:rFonts w:eastAsia="Times New Roman"/>
                <w:sz w:val="20"/>
                <w:szCs w:val="20"/>
              </w:rPr>
            </w:pPr>
          </w:p>
        </w:tc>
        <w:tc>
          <w:tcPr>
            <w:tcW w:w="0" w:type="auto"/>
            <w:vAlign w:val="center"/>
            <w:hideMark/>
          </w:tcPr>
          <w:p w14:paraId="1EEAA5C9" w14:textId="77777777" w:rsidR="00000000" w:rsidRDefault="00195E73">
            <w:pPr>
              <w:rPr>
                <w:rFonts w:eastAsia="Times New Roman"/>
                <w:sz w:val="20"/>
                <w:szCs w:val="20"/>
              </w:rPr>
            </w:pPr>
          </w:p>
        </w:tc>
        <w:tc>
          <w:tcPr>
            <w:tcW w:w="0" w:type="auto"/>
            <w:vAlign w:val="center"/>
            <w:hideMark/>
          </w:tcPr>
          <w:p w14:paraId="2AE6DF98" w14:textId="77777777" w:rsidR="00000000" w:rsidRDefault="00195E73">
            <w:pPr>
              <w:rPr>
                <w:rFonts w:eastAsia="Times New Roman"/>
                <w:sz w:val="20"/>
                <w:szCs w:val="20"/>
              </w:rPr>
            </w:pPr>
          </w:p>
        </w:tc>
        <w:tc>
          <w:tcPr>
            <w:tcW w:w="0" w:type="auto"/>
            <w:vAlign w:val="center"/>
            <w:hideMark/>
          </w:tcPr>
          <w:p w14:paraId="761CA04F" w14:textId="77777777" w:rsidR="00000000" w:rsidRDefault="00195E73">
            <w:pPr>
              <w:rPr>
                <w:rFonts w:eastAsia="Times New Roman"/>
                <w:sz w:val="20"/>
                <w:szCs w:val="20"/>
              </w:rPr>
            </w:pPr>
          </w:p>
        </w:tc>
        <w:tc>
          <w:tcPr>
            <w:tcW w:w="0" w:type="auto"/>
            <w:vAlign w:val="center"/>
            <w:hideMark/>
          </w:tcPr>
          <w:p w14:paraId="433EEB96" w14:textId="77777777" w:rsidR="00000000" w:rsidRDefault="00195E73">
            <w:pPr>
              <w:rPr>
                <w:rFonts w:eastAsia="Times New Roman"/>
                <w:sz w:val="20"/>
                <w:szCs w:val="20"/>
              </w:rPr>
            </w:pPr>
          </w:p>
        </w:tc>
        <w:tc>
          <w:tcPr>
            <w:tcW w:w="0" w:type="auto"/>
            <w:vAlign w:val="center"/>
            <w:hideMark/>
          </w:tcPr>
          <w:p w14:paraId="5FE0C11E" w14:textId="77777777" w:rsidR="00000000" w:rsidRDefault="00195E73">
            <w:pPr>
              <w:rPr>
                <w:rFonts w:eastAsia="Times New Roman"/>
                <w:sz w:val="20"/>
                <w:szCs w:val="20"/>
              </w:rPr>
            </w:pPr>
          </w:p>
        </w:tc>
        <w:tc>
          <w:tcPr>
            <w:tcW w:w="0" w:type="auto"/>
            <w:vAlign w:val="center"/>
            <w:hideMark/>
          </w:tcPr>
          <w:p w14:paraId="4C5D7DC1" w14:textId="77777777" w:rsidR="00000000" w:rsidRDefault="00195E73">
            <w:pPr>
              <w:rPr>
                <w:rFonts w:eastAsia="Times New Roman"/>
                <w:sz w:val="20"/>
                <w:szCs w:val="20"/>
              </w:rPr>
            </w:pPr>
          </w:p>
        </w:tc>
        <w:tc>
          <w:tcPr>
            <w:tcW w:w="0" w:type="auto"/>
            <w:vAlign w:val="center"/>
            <w:hideMark/>
          </w:tcPr>
          <w:p w14:paraId="39AE377F" w14:textId="77777777" w:rsidR="00000000" w:rsidRDefault="00195E73">
            <w:pPr>
              <w:rPr>
                <w:rFonts w:eastAsia="Times New Roman"/>
                <w:sz w:val="20"/>
                <w:szCs w:val="20"/>
              </w:rPr>
            </w:pPr>
          </w:p>
        </w:tc>
        <w:tc>
          <w:tcPr>
            <w:tcW w:w="0" w:type="auto"/>
            <w:vAlign w:val="center"/>
            <w:hideMark/>
          </w:tcPr>
          <w:p w14:paraId="6B93C991" w14:textId="77777777" w:rsidR="00000000" w:rsidRDefault="00195E73">
            <w:pPr>
              <w:rPr>
                <w:rFonts w:eastAsia="Times New Roman"/>
                <w:sz w:val="20"/>
                <w:szCs w:val="20"/>
              </w:rPr>
            </w:pPr>
          </w:p>
        </w:tc>
        <w:tc>
          <w:tcPr>
            <w:tcW w:w="0" w:type="auto"/>
            <w:vAlign w:val="center"/>
            <w:hideMark/>
          </w:tcPr>
          <w:p w14:paraId="1FA8B5FD" w14:textId="77777777" w:rsidR="00000000" w:rsidRDefault="00195E73">
            <w:pPr>
              <w:rPr>
                <w:rFonts w:eastAsia="Times New Roman"/>
                <w:sz w:val="20"/>
                <w:szCs w:val="20"/>
              </w:rPr>
            </w:pPr>
          </w:p>
        </w:tc>
      </w:tr>
      <w:tr w:rsidR="00000000" w14:paraId="628D900D" w14:textId="77777777">
        <w:trPr>
          <w:divId w:val="1703509046"/>
          <w:jc w:val="center"/>
        </w:trPr>
        <w:tc>
          <w:tcPr>
            <w:tcW w:w="0" w:type="auto"/>
            <w:gridSpan w:val="3"/>
            <w:shd w:val="clear" w:color="auto" w:fill="FFFFFF"/>
            <w:tcMar>
              <w:top w:w="30" w:type="dxa"/>
              <w:left w:w="20" w:type="dxa"/>
              <w:bottom w:w="30" w:type="dxa"/>
              <w:right w:w="20" w:type="dxa"/>
            </w:tcMar>
            <w:vAlign w:val="bottom"/>
            <w:hideMark/>
          </w:tcPr>
          <w:p w14:paraId="788F97D6" w14:textId="77777777" w:rsidR="00000000" w:rsidRDefault="00195E73">
            <w:pPr>
              <w:ind w:hanging="180"/>
              <w:divId w:val="1198010895"/>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FFFFFF"/>
            <w:tcMar>
              <w:top w:w="30" w:type="dxa"/>
              <w:left w:w="20" w:type="dxa"/>
              <w:bottom w:w="30" w:type="dxa"/>
              <w:right w:w="0" w:type="dxa"/>
            </w:tcMar>
            <w:vAlign w:val="bottom"/>
            <w:hideMark/>
          </w:tcPr>
          <w:p w14:paraId="37C0D21F" w14:textId="77777777" w:rsidR="00000000" w:rsidRDefault="00195E73">
            <w:pPr>
              <w:jc w:val="right"/>
              <w:rPr>
                <w:rFonts w:eastAsia="Times New Roman"/>
              </w:rPr>
            </w:pPr>
            <w:r>
              <w:rPr>
                <w:rFonts w:eastAsia="Times New Roman"/>
                <w:color w:val="000000"/>
                <w:sz w:val="18"/>
                <w:szCs w:val="18"/>
              </w:rPr>
              <w:t>274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B49BFF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7560BE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132DA1" w14:textId="77777777" w:rsidR="00000000" w:rsidRDefault="00195E73">
            <w:pPr>
              <w:jc w:val="right"/>
              <w:rPr>
                <w:rFonts w:eastAsia="Times New Roman"/>
              </w:rPr>
            </w:pPr>
            <w:r>
              <w:rPr>
                <w:rFonts w:eastAsia="Times New Roman"/>
                <w:color w:val="000000"/>
                <w:sz w:val="18"/>
                <w:szCs w:val="18"/>
              </w:rPr>
              <w:t>(147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49CA405F"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F144FE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4A577C" w14:textId="77777777" w:rsidR="00000000" w:rsidRDefault="00195E73">
            <w:pPr>
              <w:jc w:val="right"/>
              <w:rPr>
                <w:rFonts w:eastAsia="Times New Roman"/>
              </w:rPr>
            </w:pPr>
            <w:r>
              <w:rPr>
                <w:rFonts w:eastAsia="Times New Roman"/>
                <w:color w:val="000000"/>
                <w:sz w:val="18"/>
                <w:szCs w:val="18"/>
              </w:rPr>
              <w:t>127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40B38F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D9449F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E78A50" w14:textId="77777777" w:rsidR="00000000" w:rsidRDefault="00195E73">
            <w:pPr>
              <w:jc w:val="right"/>
              <w:rPr>
                <w:rFonts w:eastAsia="Times New Roman"/>
              </w:rPr>
            </w:pPr>
            <w:r>
              <w:rPr>
                <w:rFonts w:eastAsia="Times New Roman"/>
                <w:color w:val="000000"/>
                <w:sz w:val="18"/>
                <w:szCs w:val="18"/>
              </w:rPr>
              <w:t>316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9B1EE43"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A0E59F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9DC8C6" w14:textId="77777777" w:rsidR="00000000" w:rsidRDefault="00195E73">
            <w:pPr>
              <w:jc w:val="right"/>
              <w:rPr>
                <w:rFonts w:eastAsia="Times New Roman"/>
              </w:rPr>
            </w:pPr>
            <w:r>
              <w:rPr>
                <w:rFonts w:eastAsia="Times New Roman"/>
                <w:color w:val="000000"/>
                <w:sz w:val="18"/>
                <w:szCs w:val="18"/>
              </w:rPr>
              <w:t>(139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772C1351"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0EDFDE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31EA38" w14:textId="77777777" w:rsidR="00000000" w:rsidRDefault="00195E73">
            <w:pPr>
              <w:jc w:val="right"/>
              <w:rPr>
                <w:rFonts w:eastAsia="Times New Roman"/>
              </w:rPr>
            </w:pPr>
            <w:r>
              <w:rPr>
                <w:rFonts w:eastAsia="Times New Roman"/>
                <w:color w:val="000000"/>
                <w:sz w:val="18"/>
                <w:szCs w:val="18"/>
              </w:rPr>
              <w:t>177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6F350D2"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0F70401D" w14:textId="77777777" w:rsidR="00000000" w:rsidRDefault="00195E73">
            <w:pPr>
              <w:rPr>
                <w:rFonts w:eastAsia="Times New Roman"/>
                <w:sz w:val="20"/>
                <w:szCs w:val="20"/>
              </w:rPr>
            </w:pPr>
          </w:p>
        </w:tc>
        <w:tc>
          <w:tcPr>
            <w:tcW w:w="0" w:type="auto"/>
            <w:vAlign w:val="center"/>
            <w:hideMark/>
          </w:tcPr>
          <w:p w14:paraId="6058585F" w14:textId="77777777" w:rsidR="00000000" w:rsidRDefault="00195E73">
            <w:pPr>
              <w:rPr>
                <w:rFonts w:eastAsia="Times New Roman"/>
                <w:sz w:val="20"/>
                <w:szCs w:val="20"/>
              </w:rPr>
            </w:pPr>
          </w:p>
        </w:tc>
        <w:tc>
          <w:tcPr>
            <w:tcW w:w="0" w:type="auto"/>
            <w:vAlign w:val="center"/>
            <w:hideMark/>
          </w:tcPr>
          <w:p w14:paraId="38432B6C" w14:textId="77777777" w:rsidR="00000000" w:rsidRDefault="00195E73">
            <w:pPr>
              <w:rPr>
                <w:rFonts w:eastAsia="Times New Roman"/>
                <w:sz w:val="20"/>
                <w:szCs w:val="20"/>
              </w:rPr>
            </w:pPr>
          </w:p>
        </w:tc>
        <w:tc>
          <w:tcPr>
            <w:tcW w:w="0" w:type="auto"/>
            <w:vAlign w:val="center"/>
            <w:hideMark/>
          </w:tcPr>
          <w:p w14:paraId="03E5B231" w14:textId="77777777" w:rsidR="00000000" w:rsidRDefault="00195E73">
            <w:pPr>
              <w:rPr>
                <w:rFonts w:eastAsia="Times New Roman"/>
                <w:sz w:val="20"/>
                <w:szCs w:val="20"/>
              </w:rPr>
            </w:pPr>
          </w:p>
        </w:tc>
        <w:tc>
          <w:tcPr>
            <w:tcW w:w="0" w:type="auto"/>
            <w:vAlign w:val="center"/>
            <w:hideMark/>
          </w:tcPr>
          <w:p w14:paraId="1DF1C11E" w14:textId="77777777" w:rsidR="00000000" w:rsidRDefault="00195E73">
            <w:pPr>
              <w:rPr>
                <w:rFonts w:eastAsia="Times New Roman"/>
                <w:sz w:val="20"/>
                <w:szCs w:val="20"/>
              </w:rPr>
            </w:pPr>
          </w:p>
        </w:tc>
        <w:tc>
          <w:tcPr>
            <w:tcW w:w="0" w:type="auto"/>
            <w:vAlign w:val="center"/>
            <w:hideMark/>
          </w:tcPr>
          <w:p w14:paraId="5E8A6208" w14:textId="77777777" w:rsidR="00000000" w:rsidRDefault="00195E73">
            <w:pPr>
              <w:rPr>
                <w:rFonts w:eastAsia="Times New Roman"/>
                <w:sz w:val="20"/>
                <w:szCs w:val="20"/>
              </w:rPr>
            </w:pPr>
          </w:p>
        </w:tc>
        <w:tc>
          <w:tcPr>
            <w:tcW w:w="0" w:type="auto"/>
            <w:vAlign w:val="center"/>
            <w:hideMark/>
          </w:tcPr>
          <w:p w14:paraId="7DDFA757" w14:textId="77777777" w:rsidR="00000000" w:rsidRDefault="00195E73">
            <w:pPr>
              <w:rPr>
                <w:rFonts w:eastAsia="Times New Roman"/>
                <w:sz w:val="20"/>
                <w:szCs w:val="20"/>
              </w:rPr>
            </w:pPr>
          </w:p>
        </w:tc>
        <w:tc>
          <w:tcPr>
            <w:tcW w:w="0" w:type="auto"/>
            <w:vAlign w:val="center"/>
            <w:hideMark/>
          </w:tcPr>
          <w:p w14:paraId="0823BE07" w14:textId="77777777" w:rsidR="00000000" w:rsidRDefault="00195E73">
            <w:pPr>
              <w:rPr>
                <w:rFonts w:eastAsia="Times New Roman"/>
                <w:sz w:val="20"/>
                <w:szCs w:val="20"/>
              </w:rPr>
            </w:pPr>
          </w:p>
        </w:tc>
        <w:tc>
          <w:tcPr>
            <w:tcW w:w="0" w:type="auto"/>
            <w:vAlign w:val="center"/>
            <w:hideMark/>
          </w:tcPr>
          <w:p w14:paraId="5E3DCB1D" w14:textId="77777777" w:rsidR="00000000" w:rsidRDefault="00195E73">
            <w:pPr>
              <w:rPr>
                <w:rFonts w:eastAsia="Times New Roman"/>
                <w:sz w:val="20"/>
                <w:szCs w:val="20"/>
              </w:rPr>
            </w:pPr>
          </w:p>
        </w:tc>
        <w:tc>
          <w:tcPr>
            <w:tcW w:w="0" w:type="auto"/>
            <w:vAlign w:val="center"/>
            <w:hideMark/>
          </w:tcPr>
          <w:p w14:paraId="03A5F6B3" w14:textId="77777777" w:rsidR="00000000" w:rsidRDefault="00195E73">
            <w:pPr>
              <w:rPr>
                <w:rFonts w:eastAsia="Times New Roman"/>
                <w:sz w:val="20"/>
                <w:szCs w:val="20"/>
              </w:rPr>
            </w:pPr>
          </w:p>
        </w:tc>
        <w:tc>
          <w:tcPr>
            <w:tcW w:w="0" w:type="auto"/>
            <w:vAlign w:val="center"/>
            <w:hideMark/>
          </w:tcPr>
          <w:p w14:paraId="10F5D85E" w14:textId="77777777" w:rsidR="00000000" w:rsidRDefault="00195E73">
            <w:pPr>
              <w:rPr>
                <w:rFonts w:eastAsia="Times New Roman"/>
                <w:sz w:val="20"/>
                <w:szCs w:val="20"/>
              </w:rPr>
            </w:pPr>
          </w:p>
        </w:tc>
        <w:tc>
          <w:tcPr>
            <w:tcW w:w="0" w:type="auto"/>
            <w:vAlign w:val="center"/>
            <w:hideMark/>
          </w:tcPr>
          <w:p w14:paraId="427A4F7C" w14:textId="77777777" w:rsidR="00000000" w:rsidRDefault="00195E73">
            <w:pPr>
              <w:rPr>
                <w:rFonts w:eastAsia="Times New Roman"/>
                <w:sz w:val="20"/>
                <w:szCs w:val="20"/>
              </w:rPr>
            </w:pPr>
          </w:p>
        </w:tc>
        <w:tc>
          <w:tcPr>
            <w:tcW w:w="0" w:type="auto"/>
            <w:vAlign w:val="center"/>
            <w:hideMark/>
          </w:tcPr>
          <w:p w14:paraId="694830DF" w14:textId="77777777" w:rsidR="00000000" w:rsidRDefault="00195E73">
            <w:pPr>
              <w:rPr>
                <w:rFonts w:eastAsia="Times New Roman"/>
                <w:sz w:val="20"/>
                <w:szCs w:val="20"/>
              </w:rPr>
            </w:pPr>
          </w:p>
        </w:tc>
        <w:tc>
          <w:tcPr>
            <w:tcW w:w="0" w:type="auto"/>
            <w:vAlign w:val="center"/>
            <w:hideMark/>
          </w:tcPr>
          <w:p w14:paraId="1187B946" w14:textId="77777777" w:rsidR="00000000" w:rsidRDefault="00195E73">
            <w:pPr>
              <w:rPr>
                <w:rFonts w:eastAsia="Times New Roman"/>
                <w:sz w:val="20"/>
                <w:szCs w:val="20"/>
              </w:rPr>
            </w:pPr>
          </w:p>
        </w:tc>
        <w:tc>
          <w:tcPr>
            <w:tcW w:w="0" w:type="auto"/>
            <w:vAlign w:val="center"/>
            <w:hideMark/>
          </w:tcPr>
          <w:p w14:paraId="1EDB793D" w14:textId="77777777" w:rsidR="00000000" w:rsidRDefault="00195E73">
            <w:pPr>
              <w:rPr>
                <w:rFonts w:eastAsia="Times New Roman"/>
                <w:sz w:val="20"/>
                <w:szCs w:val="20"/>
              </w:rPr>
            </w:pPr>
          </w:p>
        </w:tc>
        <w:tc>
          <w:tcPr>
            <w:tcW w:w="0" w:type="auto"/>
            <w:vAlign w:val="center"/>
            <w:hideMark/>
          </w:tcPr>
          <w:p w14:paraId="64C6E596" w14:textId="77777777" w:rsidR="00000000" w:rsidRDefault="00195E73">
            <w:pPr>
              <w:rPr>
                <w:rFonts w:eastAsia="Times New Roman"/>
                <w:sz w:val="20"/>
                <w:szCs w:val="20"/>
              </w:rPr>
            </w:pPr>
          </w:p>
        </w:tc>
        <w:tc>
          <w:tcPr>
            <w:tcW w:w="0" w:type="auto"/>
            <w:vAlign w:val="center"/>
            <w:hideMark/>
          </w:tcPr>
          <w:p w14:paraId="3D628FD2" w14:textId="77777777" w:rsidR="00000000" w:rsidRDefault="00195E73">
            <w:pPr>
              <w:rPr>
                <w:rFonts w:eastAsia="Times New Roman"/>
                <w:sz w:val="20"/>
                <w:szCs w:val="20"/>
              </w:rPr>
            </w:pPr>
          </w:p>
        </w:tc>
        <w:tc>
          <w:tcPr>
            <w:tcW w:w="0" w:type="auto"/>
            <w:vAlign w:val="center"/>
            <w:hideMark/>
          </w:tcPr>
          <w:p w14:paraId="09344D73" w14:textId="77777777" w:rsidR="00000000" w:rsidRDefault="00195E73">
            <w:pPr>
              <w:rPr>
                <w:rFonts w:eastAsia="Times New Roman"/>
                <w:sz w:val="20"/>
                <w:szCs w:val="20"/>
              </w:rPr>
            </w:pPr>
          </w:p>
        </w:tc>
        <w:tc>
          <w:tcPr>
            <w:tcW w:w="0" w:type="auto"/>
            <w:vAlign w:val="center"/>
            <w:hideMark/>
          </w:tcPr>
          <w:p w14:paraId="368BE64E" w14:textId="77777777" w:rsidR="00000000" w:rsidRDefault="00195E73">
            <w:pPr>
              <w:rPr>
                <w:rFonts w:eastAsia="Times New Roman"/>
                <w:sz w:val="20"/>
                <w:szCs w:val="20"/>
              </w:rPr>
            </w:pPr>
          </w:p>
        </w:tc>
        <w:tc>
          <w:tcPr>
            <w:tcW w:w="0" w:type="auto"/>
            <w:vAlign w:val="center"/>
            <w:hideMark/>
          </w:tcPr>
          <w:p w14:paraId="300F1AA6" w14:textId="77777777" w:rsidR="00000000" w:rsidRDefault="00195E73">
            <w:pPr>
              <w:rPr>
                <w:rFonts w:eastAsia="Times New Roman"/>
                <w:sz w:val="20"/>
                <w:szCs w:val="20"/>
              </w:rPr>
            </w:pPr>
          </w:p>
        </w:tc>
        <w:tc>
          <w:tcPr>
            <w:tcW w:w="0" w:type="auto"/>
            <w:vAlign w:val="center"/>
            <w:hideMark/>
          </w:tcPr>
          <w:p w14:paraId="4E7E23C0" w14:textId="77777777" w:rsidR="00000000" w:rsidRDefault="00195E73">
            <w:pPr>
              <w:rPr>
                <w:rFonts w:eastAsia="Times New Roman"/>
                <w:sz w:val="20"/>
                <w:szCs w:val="20"/>
              </w:rPr>
            </w:pPr>
          </w:p>
        </w:tc>
        <w:tc>
          <w:tcPr>
            <w:tcW w:w="0" w:type="auto"/>
            <w:vAlign w:val="center"/>
            <w:hideMark/>
          </w:tcPr>
          <w:p w14:paraId="582E6799" w14:textId="77777777" w:rsidR="00000000" w:rsidRDefault="00195E73">
            <w:pPr>
              <w:rPr>
                <w:rFonts w:eastAsia="Times New Roman"/>
                <w:sz w:val="20"/>
                <w:szCs w:val="20"/>
              </w:rPr>
            </w:pPr>
          </w:p>
        </w:tc>
        <w:tc>
          <w:tcPr>
            <w:tcW w:w="0" w:type="auto"/>
            <w:vAlign w:val="center"/>
            <w:hideMark/>
          </w:tcPr>
          <w:p w14:paraId="0749332D" w14:textId="77777777" w:rsidR="00000000" w:rsidRDefault="00195E73">
            <w:pPr>
              <w:rPr>
                <w:rFonts w:eastAsia="Times New Roman"/>
                <w:sz w:val="20"/>
                <w:szCs w:val="20"/>
              </w:rPr>
            </w:pPr>
          </w:p>
        </w:tc>
        <w:tc>
          <w:tcPr>
            <w:tcW w:w="0" w:type="auto"/>
            <w:vAlign w:val="center"/>
            <w:hideMark/>
          </w:tcPr>
          <w:p w14:paraId="1E3CE99E" w14:textId="77777777" w:rsidR="00000000" w:rsidRDefault="00195E73">
            <w:pPr>
              <w:rPr>
                <w:rFonts w:eastAsia="Times New Roman"/>
                <w:sz w:val="20"/>
                <w:szCs w:val="20"/>
              </w:rPr>
            </w:pPr>
          </w:p>
        </w:tc>
        <w:tc>
          <w:tcPr>
            <w:tcW w:w="0" w:type="auto"/>
            <w:vAlign w:val="center"/>
            <w:hideMark/>
          </w:tcPr>
          <w:p w14:paraId="21DB0294" w14:textId="77777777" w:rsidR="00000000" w:rsidRDefault="00195E73">
            <w:pPr>
              <w:rPr>
                <w:rFonts w:eastAsia="Times New Roman"/>
                <w:sz w:val="20"/>
                <w:szCs w:val="20"/>
              </w:rPr>
            </w:pPr>
          </w:p>
        </w:tc>
        <w:tc>
          <w:tcPr>
            <w:tcW w:w="0" w:type="auto"/>
            <w:vAlign w:val="center"/>
            <w:hideMark/>
          </w:tcPr>
          <w:p w14:paraId="69FEB9BC" w14:textId="77777777" w:rsidR="00000000" w:rsidRDefault="00195E73">
            <w:pPr>
              <w:rPr>
                <w:rFonts w:eastAsia="Times New Roman"/>
                <w:sz w:val="20"/>
                <w:szCs w:val="20"/>
              </w:rPr>
            </w:pPr>
          </w:p>
        </w:tc>
        <w:tc>
          <w:tcPr>
            <w:tcW w:w="0" w:type="auto"/>
            <w:vAlign w:val="center"/>
            <w:hideMark/>
          </w:tcPr>
          <w:p w14:paraId="6C28568F" w14:textId="77777777" w:rsidR="00000000" w:rsidRDefault="00195E73">
            <w:pPr>
              <w:rPr>
                <w:rFonts w:eastAsia="Times New Roman"/>
                <w:sz w:val="20"/>
                <w:szCs w:val="20"/>
              </w:rPr>
            </w:pPr>
          </w:p>
        </w:tc>
      </w:tr>
      <w:tr w:rsidR="00000000" w14:paraId="3754219C" w14:textId="77777777">
        <w:trPr>
          <w:divId w:val="1703509046"/>
          <w:jc w:val="center"/>
        </w:trPr>
        <w:tc>
          <w:tcPr>
            <w:tcW w:w="0" w:type="auto"/>
            <w:gridSpan w:val="3"/>
            <w:shd w:val="clear" w:color="auto" w:fill="CCEEFF"/>
            <w:tcMar>
              <w:top w:w="15" w:type="dxa"/>
              <w:left w:w="20" w:type="dxa"/>
              <w:bottom w:w="15" w:type="dxa"/>
              <w:right w:w="20" w:type="dxa"/>
            </w:tcMar>
            <w:vAlign w:val="bottom"/>
            <w:hideMark/>
          </w:tcPr>
          <w:p w14:paraId="6BDC3656"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A1D657E"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4CB9479" w14:textId="77777777" w:rsidR="00000000" w:rsidRDefault="00195E73">
            <w:pPr>
              <w:jc w:val="right"/>
              <w:rPr>
                <w:rFonts w:eastAsia="Times New Roman"/>
              </w:rPr>
            </w:pPr>
            <w:r>
              <w:rPr>
                <w:rFonts w:eastAsia="Times New Roman"/>
                <w:color w:val="000000"/>
                <w:sz w:val="18"/>
                <w:szCs w:val="18"/>
              </w:rPr>
              <w:t>671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10BCFF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D36AAD8"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545186F"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6C70663" w14:textId="77777777" w:rsidR="00000000" w:rsidRDefault="00195E73">
            <w:pPr>
              <w:jc w:val="right"/>
              <w:rPr>
                <w:rFonts w:eastAsia="Times New Roman"/>
              </w:rPr>
            </w:pPr>
            <w:r>
              <w:rPr>
                <w:rFonts w:eastAsia="Times New Roman"/>
                <w:color w:val="000000"/>
                <w:sz w:val="18"/>
                <w:szCs w:val="18"/>
              </w:rPr>
              <w:t>(302</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C4CAFF2"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506C8A7"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04CA4AF"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7568446" w14:textId="77777777" w:rsidR="00000000" w:rsidRDefault="00195E73">
            <w:pPr>
              <w:jc w:val="right"/>
              <w:rPr>
                <w:rFonts w:eastAsia="Times New Roman"/>
              </w:rPr>
            </w:pPr>
            <w:r>
              <w:rPr>
                <w:rFonts w:eastAsia="Times New Roman"/>
                <w:color w:val="000000"/>
                <w:sz w:val="18"/>
                <w:szCs w:val="18"/>
              </w:rPr>
              <w:t>369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D1D3BD5"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58D50C0"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95F90DE"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2457A8E" w14:textId="77777777" w:rsidR="00000000" w:rsidRDefault="00195E73">
            <w:pPr>
              <w:jc w:val="right"/>
              <w:rPr>
                <w:rFonts w:eastAsia="Times New Roman"/>
              </w:rPr>
            </w:pPr>
            <w:r>
              <w:rPr>
                <w:rFonts w:eastAsia="Times New Roman"/>
                <w:color w:val="000000"/>
                <w:sz w:val="18"/>
                <w:szCs w:val="18"/>
              </w:rPr>
              <w:t>713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E7B4E4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B762E6B"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FDF7CAF"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BBF4028" w14:textId="77777777" w:rsidR="00000000" w:rsidRDefault="00195E73">
            <w:pPr>
              <w:jc w:val="right"/>
              <w:rPr>
                <w:rFonts w:eastAsia="Times New Roman"/>
              </w:rPr>
            </w:pPr>
            <w:r>
              <w:rPr>
                <w:rFonts w:eastAsia="Times New Roman"/>
                <w:color w:val="000000"/>
                <w:sz w:val="18"/>
                <w:szCs w:val="18"/>
              </w:rPr>
              <w:t>(274</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30D1EAB"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95E3B65"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F197127"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E16A861" w14:textId="77777777" w:rsidR="00000000" w:rsidRDefault="00195E73">
            <w:pPr>
              <w:jc w:val="right"/>
              <w:rPr>
                <w:rFonts w:eastAsia="Times New Roman"/>
              </w:rPr>
            </w:pPr>
            <w:r>
              <w:rPr>
                <w:rFonts w:eastAsia="Times New Roman"/>
                <w:color w:val="000000"/>
                <w:sz w:val="18"/>
                <w:szCs w:val="18"/>
              </w:rPr>
              <w:t>439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6466874"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66221476" w14:textId="77777777" w:rsidR="00000000" w:rsidRDefault="00195E73">
            <w:pPr>
              <w:rPr>
                <w:rFonts w:eastAsia="Times New Roman"/>
                <w:sz w:val="20"/>
                <w:szCs w:val="20"/>
              </w:rPr>
            </w:pPr>
          </w:p>
        </w:tc>
        <w:tc>
          <w:tcPr>
            <w:tcW w:w="0" w:type="auto"/>
            <w:vAlign w:val="center"/>
            <w:hideMark/>
          </w:tcPr>
          <w:p w14:paraId="4477E967" w14:textId="77777777" w:rsidR="00000000" w:rsidRDefault="00195E73">
            <w:pPr>
              <w:rPr>
                <w:rFonts w:eastAsia="Times New Roman"/>
                <w:sz w:val="20"/>
                <w:szCs w:val="20"/>
              </w:rPr>
            </w:pPr>
          </w:p>
        </w:tc>
        <w:tc>
          <w:tcPr>
            <w:tcW w:w="0" w:type="auto"/>
            <w:vAlign w:val="center"/>
            <w:hideMark/>
          </w:tcPr>
          <w:p w14:paraId="4741FBE5" w14:textId="77777777" w:rsidR="00000000" w:rsidRDefault="00195E73">
            <w:pPr>
              <w:rPr>
                <w:rFonts w:eastAsia="Times New Roman"/>
                <w:sz w:val="20"/>
                <w:szCs w:val="20"/>
              </w:rPr>
            </w:pPr>
          </w:p>
        </w:tc>
        <w:tc>
          <w:tcPr>
            <w:tcW w:w="0" w:type="auto"/>
            <w:vAlign w:val="center"/>
            <w:hideMark/>
          </w:tcPr>
          <w:p w14:paraId="4969541C" w14:textId="77777777" w:rsidR="00000000" w:rsidRDefault="00195E73">
            <w:pPr>
              <w:rPr>
                <w:rFonts w:eastAsia="Times New Roman"/>
                <w:sz w:val="20"/>
                <w:szCs w:val="20"/>
              </w:rPr>
            </w:pPr>
          </w:p>
        </w:tc>
        <w:tc>
          <w:tcPr>
            <w:tcW w:w="0" w:type="auto"/>
            <w:vAlign w:val="center"/>
            <w:hideMark/>
          </w:tcPr>
          <w:p w14:paraId="68CCA0CB" w14:textId="77777777" w:rsidR="00000000" w:rsidRDefault="00195E73">
            <w:pPr>
              <w:rPr>
                <w:rFonts w:eastAsia="Times New Roman"/>
                <w:sz w:val="20"/>
                <w:szCs w:val="20"/>
              </w:rPr>
            </w:pPr>
          </w:p>
        </w:tc>
        <w:tc>
          <w:tcPr>
            <w:tcW w:w="0" w:type="auto"/>
            <w:vAlign w:val="center"/>
            <w:hideMark/>
          </w:tcPr>
          <w:p w14:paraId="0D4177CC" w14:textId="77777777" w:rsidR="00000000" w:rsidRDefault="00195E73">
            <w:pPr>
              <w:rPr>
                <w:rFonts w:eastAsia="Times New Roman"/>
                <w:sz w:val="20"/>
                <w:szCs w:val="20"/>
              </w:rPr>
            </w:pPr>
          </w:p>
        </w:tc>
        <w:tc>
          <w:tcPr>
            <w:tcW w:w="0" w:type="auto"/>
            <w:vAlign w:val="center"/>
            <w:hideMark/>
          </w:tcPr>
          <w:p w14:paraId="239D7DBD" w14:textId="77777777" w:rsidR="00000000" w:rsidRDefault="00195E73">
            <w:pPr>
              <w:rPr>
                <w:rFonts w:eastAsia="Times New Roman"/>
                <w:sz w:val="20"/>
                <w:szCs w:val="20"/>
              </w:rPr>
            </w:pPr>
          </w:p>
        </w:tc>
        <w:tc>
          <w:tcPr>
            <w:tcW w:w="0" w:type="auto"/>
            <w:vAlign w:val="center"/>
            <w:hideMark/>
          </w:tcPr>
          <w:p w14:paraId="6BED9113" w14:textId="77777777" w:rsidR="00000000" w:rsidRDefault="00195E73">
            <w:pPr>
              <w:rPr>
                <w:rFonts w:eastAsia="Times New Roman"/>
                <w:sz w:val="20"/>
                <w:szCs w:val="20"/>
              </w:rPr>
            </w:pPr>
          </w:p>
        </w:tc>
        <w:tc>
          <w:tcPr>
            <w:tcW w:w="0" w:type="auto"/>
            <w:vAlign w:val="center"/>
            <w:hideMark/>
          </w:tcPr>
          <w:p w14:paraId="13E388CE" w14:textId="77777777" w:rsidR="00000000" w:rsidRDefault="00195E73">
            <w:pPr>
              <w:rPr>
                <w:rFonts w:eastAsia="Times New Roman"/>
                <w:sz w:val="20"/>
                <w:szCs w:val="20"/>
              </w:rPr>
            </w:pPr>
          </w:p>
        </w:tc>
        <w:tc>
          <w:tcPr>
            <w:tcW w:w="0" w:type="auto"/>
            <w:vAlign w:val="center"/>
            <w:hideMark/>
          </w:tcPr>
          <w:p w14:paraId="1B0406E7" w14:textId="77777777" w:rsidR="00000000" w:rsidRDefault="00195E73">
            <w:pPr>
              <w:rPr>
                <w:rFonts w:eastAsia="Times New Roman"/>
                <w:sz w:val="20"/>
                <w:szCs w:val="20"/>
              </w:rPr>
            </w:pPr>
          </w:p>
        </w:tc>
        <w:tc>
          <w:tcPr>
            <w:tcW w:w="0" w:type="auto"/>
            <w:vAlign w:val="center"/>
            <w:hideMark/>
          </w:tcPr>
          <w:p w14:paraId="04898B03" w14:textId="77777777" w:rsidR="00000000" w:rsidRDefault="00195E73">
            <w:pPr>
              <w:rPr>
                <w:rFonts w:eastAsia="Times New Roman"/>
                <w:sz w:val="20"/>
                <w:szCs w:val="20"/>
              </w:rPr>
            </w:pPr>
          </w:p>
        </w:tc>
        <w:tc>
          <w:tcPr>
            <w:tcW w:w="0" w:type="auto"/>
            <w:vAlign w:val="center"/>
            <w:hideMark/>
          </w:tcPr>
          <w:p w14:paraId="2BA6A352" w14:textId="77777777" w:rsidR="00000000" w:rsidRDefault="00195E73">
            <w:pPr>
              <w:rPr>
                <w:rFonts w:eastAsia="Times New Roman"/>
                <w:sz w:val="20"/>
                <w:szCs w:val="20"/>
              </w:rPr>
            </w:pPr>
          </w:p>
        </w:tc>
        <w:tc>
          <w:tcPr>
            <w:tcW w:w="0" w:type="auto"/>
            <w:vAlign w:val="center"/>
            <w:hideMark/>
          </w:tcPr>
          <w:p w14:paraId="32D4413B" w14:textId="77777777" w:rsidR="00000000" w:rsidRDefault="00195E73">
            <w:pPr>
              <w:rPr>
                <w:rFonts w:eastAsia="Times New Roman"/>
                <w:sz w:val="20"/>
                <w:szCs w:val="20"/>
              </w:rPr>
            </w:pPr>
          </w:p>
        </w:tc>
        <w:tc>
          <w:tcPr>
            <w:tcW w:w="0" w:type="auto"/>
            <w:vAlign w:val="center"/>
            <w:hideMark/>
          </w:tcPr>
          <w:p w14:paraId="13D73001" w14:textId="77777777" w:rsidR="00000000" w:rsidRDefault="00195E73">
            <w:pPr>
              <w:rPr>
                <w:rFonts w:eastAsia="Times New Roman"/>
                <w:sz w:val="20"/>
                <w:szCs w:val="20"/>
              </w:rPr>
            </w:pPr>
          </w:p>
        </w:tc>
        <w:tc>
          <w:tcPr>
            <w:tcW w:w="0" w:type="auto"/>
            <w:vAlign w:val="center"/>
            <w:hideMark/>
          </w:tcPr>
          <w:p w14:paraId="41595959" w14:textId="77777777" w:rsidR="00000000" w:rsidRDefault="00195E73">
            <w:pPr>
              <w:rPr>
                <w:rFonts w:eastAsia="Times New Roman"/>
                <w:sz w:val="20"/>
                <w:szCs w:val="20"/>
              </w:rPr>
            </w:pPr>
          </w:p>
        </w:tc>
        <w:tc>
          <w:tcPr>
            <w:tcW w:w="0" w:type="auto"/>
            <w:vAlign w:val="center"/>
            <w:hideMark/>
          </w:tcPr>
          <w:p w14:paraId="1BC59402" w14:textId="77777777" w:rsidR="00000000" w:rsidRDefault="00195E73">
            <w:pPr>
              <w:rPr>
                <w:rFonts w:eastAsia="Times New Roman"/>
                <w:sz w:val="20"/>
                <w:szCs w:val="20"/>
              </w:rPr>
            </w:pPr>
          </w:p>
        </w:tc>
        <w:tc>
          <w:tcPr>
            <w:tcW w:w="0" w:type="auto"/>
            <w:vAlign w:val="center"/>
            <w:hideMark/>
          </w:tcPr>
          <w:p w14:paraId="05CBE10E" w14:textId="77777777" w:rsidR="00000000" w:rsidRDefault="00195E73">
            <w:pPr>
              <w:rPr>
                <w:rFonts w:eastAsia="Times New Roman"/>
                <w:sz w:val="20"/>
                <w:szCs w:val="20"/>
              </w:rPr>
            </w:pPr>
          </w:p>
        </w:tc>
        <w:tc>
          <w:tcPr>
            <w:tcW w:w="0" w:type="auto"/>
            <w:vAlign w:val="center"/>
            <w:hideMark/>
          </w:tcPr>
          <w:p w14:paraId="79857EC5" w14:textId="77777777" w:rsidR="00000000" w:rsidRDefault="00195E73">
            <w:pPr>
              <w:rPr>
                <w:rFonts w:eastAsia="Times New Roman"/>
                <w:sz w:val="20"/>
                <w:szCs w:val="20"/>
              </w:rPr>
            </w:pPr>
          </w:p>
        </w:tc>
        <w:tc>
          <w:tcPr>
            <w:tcW w:w="0" w:type="auto"/>
            <w:vAlign w:val="center"/>
            <w:hideMark/>
          </w:tcPr>
          <w:p w14:paraId="115D3D9C" w14:textId="77777777" w:rsidR="00000000" w:rsidRDefault="00195E73">
            <w:pPr>
              <w:rPr>
                <w:rFonts w:eastAsia="Times New Roman"/>
                <w:sz w:val="20"/>
                <w:szCs w:val="20"/>
              </w:rPr>
            </w:pPr>
          </w:p>
        </w:tc>
        <w:tc>
          <w:tcPr>
            <w:tcW w:w="0" w:type="auto"/>
            <w:vAlign w:val="center"/>
            <w:hideMark/>
          </w:tcPr>
          <w:p w14:paraId="41114ED5" w14:textId="77777777" w:rsidR="00000000" w:rsidRDefault="00195E73">
            <w:pPr>
              <w:rPr>
                <w:rFonts w:eastAsia="Times New Roman"/>
                <w:sz w:val="20"/>
                <w:szCs w:val="20"/>
              </w:rPr>
            </w:pPr>
          </w:p>
        </w:tc>
        <w:tc>
          <w:tcPr>
            <w:tcW w:w="0" w:type="auto"/>
            <w:vAlign w:val="center"/>
            <w:hideMark/>
          </w:tcPr>
          <w:p w14:paraId="500A0DF4" w14:textId="77777777" w:rsidR="00000000" w:rsidRDefault="00195E73">
            <w:pPr>
              <w:rPr>
                <w:rFonts w:eastAsia="Times New Roman"/>
                <w:sz w:val="20"/>
                <w:szCs w:val="20"/>
              </w:rPr>
            </w:pPr>
          </w:p>
        </w:tc>
        <w:tc>
          <w:tcPr>
            <w:tcW w:w="0" w:type="auto"/>
            <w:vAlign w:val="center"/>
            <w:hideMark/>
          </w:tcPr>
          <w:p w14:paraId="2CC63BE8" w14:textId="77777777" w:rsidR="00000000" w:rsidRDefault="00195E73">
            <w:pPr>
              <w:rPr>
                <w:rFonts w:eastAsia="Times New Roman"/>
                <w:sz w:val="20"/>
                <w:szCs w:val="20"/>
              </w:rPr>
            </w:pPr>
          </w:p>
        </w:tc>
        <w:tc>
          <w:tcPr>
            <w:tcW w:w="0" w:type="auto"/>
            <w:vAlign w:val="center"/>
            <w:hideMark/>
          </w:tcPr>
          <w:p w14:paraId="4BF50D32" w14:textId="77777777" w:rsidR="00000000" w:rsidRDefault="00195E73">
            <w:pPr>
              <w:rPr>
                <w:rFonts w:eastAsia="Times New Roman"/>
                <w:sz w:val="20"/>
                <w:szCs w:val="20"/>
              </w:rPr>
            </w:pPr>
          </w:p>
        </w:tc>
        <w:tc>
          <w:tcPr>
            <w:tcW w:w="0" w:type="auto"/>
            <w:vAlign w:val="center"/>
            <w:hideMark/>
          </w:tcPr>
          <w:p w14:paraId="13080FCF" w14:textId="77777777" w:rsidR="00000000" w:rsidRDefault="00195E73">
            <w:pPr>
              <w:rPr>
                <w:rFonts w:eastAsia="Times New Roman"/>
                <w:sz w:val="20"/>
                <w:szCs w:val="20"/>
              </w:rPr>
            </w:pPr>
          </w:p>
        </w:tc>
        <w:tc>
          <w:tcPr>
            <w:tcW w:w="0" w:type="auto"/>
            <w:vAlign w:val="center"/>
            <w:hideMark/>
          </w:tcPr>
          <w:p w14:paraId="3753271B" w14:textId="77777777" w:rsidR="00000000" w:rsidRDefault="00195E73">
            <w:pPr>
              <w:rPr>
                <w:rFonts w:eastAsia="Times New Roman"/>
                <w:sz w:val="20"/>
                <w:szCs w:val="20"/>
              </w:rPr>
            </w:pPr>
          </w:p>
        </w:tc>
        <w:tc>
          <w:tcPr>
            <w:tcW w:w="0" w:type="auto"/>
            <w:vAlign w:val="center"/>
            <w:hideMark/>
          </w:tcPr>
          <w:p w14:paraId="0C100569" w14:textId="77777777" w:rsidR="00000000" w:rsidRDefault="00195E73">
            <w:pPr>
              <w:rPr>
                <w:rFonts w:eastAsia="Times New Roman"/>
                <w:sz w:val="20"/>
                <w:szCs w:val="20"/>
              </w:rPr>
            </w:pPr>
          </w:p>
        </w:tc>
        <w:tc>
          <w:tcPr>
            <w:tcW w:w="0" w:type="auto"/>
            <w:vAlign w:val="center"/>
            <w:hideMark/>
          </w:tcPr>
          <w:p w14:paraId="5DAC5560" w14:textId="77777777" w:rsidR="00000000" w:rsidRDefault="00195E73">
            <w:pPr>
              <w:rPr>
                <w:rFonts w:eastAsia="Times New Roman"/>
                <w:sz w:val="20"/>
                <w:szCs w:val="20"/>
              </w:rPr>
            </w:pPr>
          </w:p>
        </w:tc>
      </w:tr>
      <w:tr w:rsidR="00000000" w14:paraId="464E78AB" w14:textId="77777777">
        <w:trPr>
          <w:divId w:val="1703509046"/>
          <w:jc w:val="center"/>
        </w:trPr>
        <w:tc>
          <w:tcPr>
            <w:tcW w:w="0" w:type="auto"/>
            <w:gridSpan w:val="3"/>
            <w:shd w:val="clear" w:color="auto" w:fill="FFFFFF"/>
            <w:tcMar>
              <w:top w:w="15" w:type="dxa"/>
              <w:left w:w="20" w:type="dxa"/>
              <w:bottom w:w="15" w:type="dxa"/>
              <w:right w:w="20" w:type="dxa"/>
            </w:tcMar>
            <w:vAlign w:val="bottom"/>
            <w:hideMark/>
          </w:tcPr>
          <w:p w14:paraId="319A406E" w14:textId="77777777" w:rsidR="00000000" w:rsidRDefault="00195E73">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5A67EE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F5E12B7"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3700F14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A35728F"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F78A726" w14:textId="77777777" w:rsidR="00000000" w:rsidRDefault="00195E73">
            <w:pPr>
              <w:jc w:val="right"/>
              <w:rPr>
                <w:rFonts w:eastAsia="Times New Roman"/>
              </w:rPr>
            </w:pPr>
            <w:r>
              <w:rPr>
                <w:rFonts w:eastAsia="Times New Roman"/>
                <w:color w:val="000000"/>
                <w:sz w:val="18"/>
                <w:szCs w:val="18"/>
              </w:rPr>
              <w:t> </w:t>
            </w: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2B1366B" w14:textId="77777777" w:rsidR="00000000" w:rsidRDefault="00195E73">
            <w:pPr>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3818A01" w14:textId="77777777" w:rsidR="00000000" w:rsidRDefault="00195E73">
            <w:pPr>
              <w:jc w:val="right"/>
              <w:rPr>
                <w:rFonts w:eastAsia="Times New Roman"/>
              </w:rPr>
            </w:pPr>
            <w:r>
              <w:rPr>
                <w:rFonts w:eastAsia="Times New Roman"/>
                <w:color w:val="000000"/>
                <w:sz w:val="18"/>
                <w:szCs w:val="18"/>
              </w:rPr>
              <w:t> </w:t>
            </w: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3B9807C1" w14:textId="77777777" w:rsidR="00000000" w:rsidRDefault="00195E73">
            <w:pPr>
              <w:rPr>
                <w:rFonts w:eastAsia="Times New Roman"/>
              </w:rPr>
            </w:pPr>
            <w:r>
              <w:rPr>
                <w:rFonts w:eastAsia="Times New Roman"/>
                <w:color w:val="000000"/>
                <w:sz w:val="18"/>
                <w:szCs w:val="18"/>
              </w:rPr>
              <w:t> </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26E4437" w14:textId="77777777" w:rsidR="00000000" w:rsidRDefault="00195E73">
            <w:pPr>
              <w:jc w:val="right"/>
              <w:rPr>
                <w:rFonts w:eastAsia="Times New Roman"/>
              </w:rPr>
            </w:pPr>
            <w:r>
              <w:rPr>
                <w:rFonts w:eastAsia="Times New Roman"/>
                <w:color w:val="000000"/>
                <w:sz w:val="18"/>
                <w:szCs w:val="18"/>
              </w:rPr>
              <w:t> </w:t>
            </w: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B3BC84C" w14:textId="77777777" w:rsidR="00000000" w:rsidRDefault="00195E73">
            <w:pPr>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6F7FEF09" w14:textId="77777777" w:rsidR="00000000" w:rsidRDefault="00195E73">
            <w:pPr>
              <w:jc w:val="right"/>
              <w:rPr>
                <w:rFonts w:eastAsia="Times New Roman"/>
              </w:rPr>
            </w:pPr>
            <w:r>
              <w:rPr>
                <w:rFonts w:eastAsia="Times New Roman"/>
                <w:color w:val="000000"/>
                <w:sz w:val="18"/>
                <w:szCs w:val="18"/>
              </w:rPr>
              <w:t> </w:t>
            </w:r>
            <w:r>
              <w:rPr>
                <w:rFonts w:eastAsia="Times New Roman"/>
                <w:color w:val="000000"/>
                <w:sz w:val="18"/>
                <w:szCs w:val="18"/>
              </w:rPr>
              <w:t> </w:t>
            </w:r>
          </w:p>
        </w:tc>
        <w:tc>
          <w:tcPr>
            <w:tcW w:w="0" w:type="auto"/>
            <w:vAlign w:val="center"/>
            <w:hideMark/>
          </w:tcPr>
          <w:p w14:paraId="1A022DF9" w14:textId="77777777" w:rsidR="00000000" w:rsidRDefault="00195E73">
            <w:pPr>
              <w:rPr>
                <w:rFonts w:eastAsia="Times New Roman"/>
                <w:sz w:val="20"/>
                <w:szCs w:val="20"/>
              </w:rPr>
            </w:pPr>
          </w:p>
        </w:tc>
        <w:tc>
          <w:tcPr>
            <w:tcW w:w="0" w:type="auto"/>
            <w:vAlign w:val="center"/>
            <w:hideMark/>
          </w:tcPr>
          <w:p w14:paraId="60AA6D1E" w14:textId="77777777" w:rsidR="00000000" w:rsidRDefault="00195E73">
            <w:pPr>
              <w:rPr>
                <w:rFonts w:eastAsia="Times New Roman"/>
                <w:sz w:val="20"/>
                <w:szCs w:val="20"/>
              </w:rPr>
            </w:pPr>
          </w:p>
        </w:tc>
        <w:tc>
          <w:tcPr>
            <w:tcW w:w="0" w:type="auto"/>
            <w:vAlign w:val="center"/>
            <w:hideMark/>
          </w:tcPr>
          <w:p w14:paraId="0528F291" w14:textId="77777777" w:rsidR="00000000" w:rsidRDefault="00195E73">
            <w:pPr>
              <w:rPr>
                <w:rFonts w:eastAsia="Times New Roman"/>
                <w:sz w:val="20"/>
                <w:szCs w:val="20"/>
              </w:rPr>
            </w:pPr>
          </w:p>
        </w:tc>
        <w:tc>
          <w:tcPr>
            <w:tcW w:w="0" w:type="auto"/>
            <w:vAlign w:val="center"/>
            <w:hideMark/>
          </w:tcPr>
          <w:p w14:paraId="0EEE4FEA" w14:textId="77777777" w:rsidR="00000000" w:rsidRDefault="00195E73">
            <w:pPr>
              <w:rPr>
                <w:rFonts w:eastAsia="Times New Roman"/>
                <w:sz w:val="20"/>
                <w:szCs w:val="20"/>
              </w:rPr>
            </w:pPr>
          </w:p>
        </w:tc>
        <w:tc>
          <w:tcPr>
            <w:tcW w:w="0" w:type="auto"/>
            <w:vAlign w:val="center"/>
            <w:hideMark/>
          </w:tcPr>
          <w:p w14:paraId="677C7010" w14:textId="77777777" w:rsidR="00000000" w:rsidRDefault="00195E73">
            <w:pPr>
              <w:rPr>
                <w:rFonts w:eastAsia="Times New Roman"/>
                <w:sz w:val="20"/>
                <w:szCs w:val="20"/>
              </w:rPr>
            </w:pPr>
          </w:p>
        </w:tc>
        <w:tc>
          <w:tcPr>
            <w:tcW w:w="0" w:type="auto"/>
            <w:vAlign w:val="center"/>
            <w:hideMark/>
          </w:tcPr>
          <w:p w14:paraId="2BE40E86" w14:textId="77777777" w:rsidR="00000000" w:rsidRDefault="00195E73">
            <w:pPr>
              <w:rPr>
                <w:rFonts w:eastAsia="Times New Roman"/>
                <w:sz w:val="20"/>
                <w:szCs w:val="20"/>
              </w:rPr>
            </w:pPr>
          </w:p>
        </w:tc>
        <w:tc>
          <w:tcPr>
            <w:tcW w:w="0" w:type="auto"/>
            <w:vAlign w:val="center"/>
            <w:hideMark/>
          </w:tcPr>
          <w:p w14:paraId="670DF60E" w14:textId="77777777" w:rsidR="00000000" w:rsidRDefault="00195E73">
            <w:pPr>
              <w:rPr>
                <w:rFonts w:eastAsia="Times New Roman"/>
                <w:sz w:val="20"/>
                <w:szCs w:val="20"/>
              </w:rPr>
            </w:pPr>
          </w:p>
        </w:tc>
        <w:tc>
          <w:tcPr>
            <w:tcW w:w="0" w:type="auto"/>
            <w:vAlign w:val="center"/>
            <w:hideMark/>
          </w:tcPr>
          <w:p w14:paraId="1DA56CF3" w14:textId="77777777" w:rsidR="00000000" w:rsidRDefault="00195E73">
            <w:pPr>
              <w:rPr>
                <w:rFonts w:eastAsia="Times New Roman"/>
                <w:sz w:val="20"/>
                <w:szCs w:val="20"/>
              </w:rPr>
            </w:pPr>
          </w:p>
        </w:tc>
        <w:tc>
          <w:tcPr>
            <w:tcW w:w="0" w:type="auto"/>
            <w:vAlign w:val="center"/>
            <w:hideMark/>
          </w:tcPr>
          <w:p w14:paraId="6E517566" w14:textId="77777777" w:rsidR="00000000" w:rsidRDefault="00195E73">
            <w:pPr>
              <w:rPr>
                <w:rFonts w:eastAsia="Times New Roman"/>
                <w:sz w:val="20"/>
                <w:szCs w:val="20"/>
              </w:rPr>
            </w:pPr>
          </w:p>
        </w:tc>
        <w:tc>
          <w:tcPr>
            <w:tcW w:w="0" w:type="auto"/>
            <w:vAlign w:val="center"/>
            <w:hideMark/>
          </w:tcPr>
          <w:p w14:paraId="4611C310" w14:textId="77777777" w:rsidR="00000000" w:rsidRDefault="00195E73">
            <w:pPr>
              <w:rPr>
                <w:rFonts w:eastAsia="Times New Roman"/>
                <w:sz w:val="20"/>
                <w:szCs w:val="20"/>
              </w:rPr>
            </w:pPr>
          </w:p>
        </w:tc>
        <w:tc>
          <w:tcPr>
            <w:tcW w:w="0" w:type="auto"/>
            <w:vAlign w:val="center"/>
            <w:hideMark/>
          </w:tcPr>
          <w:p w14:paraId="32752424" w14:textId="77777777" w:rsidR="00000000" w:rsidRDefault="00195E73">
            <w:pPr>
              <w:rPr>
                <w:rFonts w:eastAsia="Times New Roman"/>
                <w:sz w:val="20"/>
                <w:szCs w:val="20"/>
              </w:rPr>
            </w:pPr>
          </w:p>
        </w:tc>
        <w:tc>
          <w:tcPr>
            <w:tcW w:w="0" w:type="auto"/>
            <w:vAlign w:val="center"/>
            <w:hideMark/>
          </w:tcPr>
          <w:p w14:paraId="52F83F0F" w14:textId="77777777" w:rsidR="00000000" w:rsidRDefault="00195E73">
            <w:pPr>
              <w:rPr>
                <w:rFonts w:eastAsia="Times New Roman"/>
                <w:sz w:val="20"/>
                <w:szCs w:val="20"/>
              </w:rPr>
            </w:pPr>
          </w:p>
        </w:tc>
        <w:tc>
          <w:tcPr>
            <w:tcW w:w="0" w:type="auto"/>
            <w:vAlign w:val="center"/>
            <w:hideMark/>
          </w:tcPr>
          <w:p w14:paraId="18981551" w14:textId="77777777" w:rsidR="00000000" w:rsidRDefault="00195E73">
            <w:pPr>
              <w:rPr>
                <w:rFonts w:eastAsia="Times New Roman"/>
                <w:sz w:val="20"/>
                <w:szCs w:val="20"/>
              </w:rPr>
            </w:pPr>
          </w:p>
        </w:tc>
        <w:tc>
          <w:tcPr>
            <w:tcW w:w="0" w:type="auto"/>
            <w:vAlign w:val="center"/>
            <w:hideMark/>
          </w:tcPr>
          <w:p w14:paraId="1D76895D" w14:textId="77777777" w:rsidR="00000000" w:rsidRDefault="00195E73">
            <w:pPr>
              <w:rPr>
                <w:rFonts w:eastAsia="Times New Roman"/>
                <w:sz w:val="20"/>
                <w:szCs w:val="20"/>
              </w:rPr>
            </w:pPr>
          </w:p>
        </w:tc>
        <w:tc>
          <w:tcPr>
            <w:tcW w:w="0" w:type="auto"/>
            <w:vAlign w:val="center"/>
            <w:hideMark/>
          </w:tcPr>
          <w:p w14:paraId="67806C74" w14:textId="77777777" w:rsidR="00000000" w:rsidRDefault="00195E73">
            <w:pPr>
              <w:rPr>
                <w:rFonts w:eastAsia="Times New Roman"/>
                <w:sz w:val="20"/>
                <w:szCs w:val="20"/>
              </w:rPr>
            </w:pPr>
          </w:p>
        </w:tc>
        <w:tc>
          <w:tcPr>
            <w:tcW w:w="0" w:type="auto"/>
            <w:vAlign w:val="center"/>
            <w:hideMark/>
          </w:tcPr>
          <w:p w14:paraId="44CD9CC5" w14:textId="77777777" w:rsidR="00000000" w:rsidRDefault="00195E73">
            <w:pPr>
              <w:rPr>
                <w:rFonts w:eastAsia="Times New Roman"/>
                <w:sz w:val="20"/>
                <w:szCs w:val="20"/>
              </w:rPr>
            </w:pPr>
          </w:p>
        </w:tc>
        <w:tc>
          <w:tcPr>
            <w:tcW w:w="0" w:type="auto"/>
            <w:vAlign w:val="center"/>
            <w:hideMark/>
          </w:tcPr>
          <w:p w14:paraId="1F040A5C" w14:textId="77777777" w:rsidR="00000000" w:rsidRDefault="00195E73">
            <w:pPr>
              <w:rPr>
                <w:rFonts w:eastAsia="Times New Roman"/>
                <w:sz w:val="20"/>
                <w:szCs w:val="20"/>
              </w:rPr>
            </w:pPr>
          </w:p>
        </w:tc>
        <w:tc>
          <w:tcPr>
            <w:tcW w:w="0" w:type="auto"/>
            <w:vAlign w:val="center"/>
            <w:hideMark/>
          </w:tcPr>
          <w:p w14:paraId="790E2843" w14:textId="77777777" w:rsidR="00000000" w:rsidRDefault="00195E73">
            <w:pPr>
              <w:rPr>
                <w:rFonts w:eastAsia="Times New Roman"/>
                <w:sz w:val="20"/>
                <w:szCs w:val="20"/>
              </w:rPr>
            </w:pPr>
          </w:p>
        </w:tc>
        <w:tc>
          <w:tcPr>
            <w:tcW w:w="0" w:type="auto"/>
            <w:vAlign w:val="center"/>
            <w:hideMark/>
          </w:tcPr>
          <w:p w14:paraId="2F2B7F10" w14:textId="77777777" w:rsidR="00000000" w:rsidRDefault="00195E73">
            <w:pPr>
              <w:rPr>
                <w:rFonts w:eastAsia="Times New Roman"/>
                <w:sz w:val="20"/>
                <w:szCs w:val="20"/>
              </w:rPr>
            </w:pPr>
          </w:p>
        </w:tc>
        <w:tc>
          <w:tcPr>
            <w:tcW w:w="0" w:type="auto"/>
            <w:vAlign w:val="center"/>
            <w:hideMark/>
          </w:tcPr>
          <w:p w14:paraId="32B651DE" w14:textId="77777777" w:rsidR="00000000" w:rsidRDefault="00195E73">
            <w:pPr>
              <w:rPr>
                <w:rFonts w:eastAsia="Times New Roman"/>
                <w:sz w:val="20"/>
                <w:szCs w:val="20"/>
              </w:rPr>
            </w:pPr>
          </w:p>
        </w:tc>
        <w:tc>
          <w:tcPr>
            <w:tcW w:w="0" w:type="auto"/>
            <w:vAlign w:val="center"/>
            <w:hideMark/>
          </w:tcPr>
          <w:p w14:paraId="176F8F50" w14:textId="77777777" w:rsidR="00000000" w:rsidRDefault="00195E73">
            <w:pPr>
              <w:rPr>
                <w:rFonts w:eastAsia="Times New Roman"/>
                <w:sz w:val="20"/>
                <w:szCs w:val="20"/>
              </w:rPr>
            </w:pPr>
          </w:p>
        </w:tc>
        <w:tc>
          <w:tcPr>
            <w:tcW w:w="0" w:type="auto"/>
            <w:vAlign w:val="center"/>
            <w:hideMark/>
          </w:tcPr>
          <w:p w14:paraId="2DD9A57D" w14:textId="77777777" w:rsidR="00000000" w:rsidRDefault="00195E73">
            <w:pPr>
              <w:rPr>
                <w:rFonts w:eastAsia="Times New Roman"/>
                <w:sz w:val="20"/>
                <w:szCs w:val="20"/>
              </w:rPr>
            </w:pPr>
          </w:p>
        </w:tc>
        <w:tc>
          <w:tcPr>
            <w:tcW w:w="0" w:type="auto"/>
            <w:vAlign w:val="center"/>
            <w:hideMark/>
          </w:tcPr>
          <w:p w14:paraId="11AE7372" w14:textId="77777777" w:rsidR="00000000" w:rsidRDefault="00195E73">
            <w:pPr>
              <w:rPr>
                <w:rFonts w:eastAsia="Times New Roman"/>
                <w:sz w:val="20"/>
                <w:szCs w:val="20"/>
              </w:rPr>
            </w:pPr>
          </w:p>
        </w:tc>
        <w:tc>
          <w:tcPr>
            <w:tcW w:w="0" w:type="auto"/>
            <w:vAlign w:val="center"/>
            <w:hideMark/>
          </w:tcPr>
          <w:p w14:paraId="6C8F9761" w14:textId="77777777" w:rsidR="00000000" w:rsidRDefault="00195E73">
            <w:pPr>
              <w:rPr>
                <w:rFonts w:eastAsia="Times New Roman"/>
                <w:sz w:val="20"/>
                <w:szCs w:val="20"/>
              </w:rPr>
            </w:pPr>
          </w:p>
        </w:tc>
        <w:tc>
          <w:tcPr>
            <w:tcW w:w="0" w:type="auto"/>
            <w:vAlign w:val="center"/>
            <w:hideMark/>
          </w:tcPr>
          <w:p w14:paraId="5BAF6291" w14:textId="77777777" w:rsidR="00000000" w:rsidRDefault="00195E73">
            <w:pPr>
              <w:rPr>
                <w:rFonts w:eastAsia="Times New Roman"/>
                <w:sz w:val="20"/>
                <w:szCs w:val="20"/>
              </w:rPr>
            </w:pPr>
          </w:p>
        </w:tc>
        <w:tc>
          <w:tcPr>
            <w:tcW w:w="0" w:type="auto"/>
            <w:vAlign w:val="center"/>
            <w:hideMark/>
          </w:tcPr>
          <w:p w14:paraId="7265381A" w14:textId="77777777" w:rsidR="00000000" w:rsidRDefault="00195E73">
            <w:pPr>
              <w:rPr>
                <w:rFonts w:eastAsia="Times New Roman"/>
                <w:sz w:val="20"/>
                <w:szCs w:val="20"/>
              </w:rPr>
            </w:pPr>
          </w:p>
        </w:tc>
        <w:tc>
          <w:tcPr>
            <w:tcW w:w="0" w:type="auto"/>
            <w:vAlign w:val="center"/>
            <w:hideMark/>
          </w:tcPr>
          <w:p w14:paraId="30263F13" w14:textId="77777777" w:rsidR="00000000" w:rsidRDefault="00195E73">
            <w:pPr>
              <w:rPr>
                <w:rFonts w:eastAsia="Times New Roman"/>
                <w:sz w:val="20"/>
                <w:szCs w:val="20"/>
              </w:rPr>
            </w:pPr>
          </w:p>
        </w:tc>
      </w:tr>
      <w:tr w:rsidR="00000000" w14:paraId="575DE510" w14:textId="77777777">
        <w:trPr>
          <w:divId w:val="1703509046"/>
          <w:jc w:val="center"/>
        </w:trPr>
        <w:tc>
          <w:tcPr>
            <w:tcW w:w="0" w:type="auto"/>
            <w:gridSpan w:val="3"/>
            <w:shd w:val="clear" w:color="auto" w:fill="CCEEFF"/>
            <w:tcMar>
              <w:top w:w="30" w:type="dxa"/>
              <w:left w:w="20" w:type="dxa"/>
              <w:bottom w:w="30" w:type="dxa"/>
              <w:right w:w="20" w:type="dxa"/>
            </w:tcMar>
            <w:vAlign w:val="bottom"/>
            <w:hideMark/>
          </w:tcPr>
          <w:p w14:paraId="4B781DE0" w14:textId="77777777" w:rsidR="00000000" w:rsidRDefault="00195E73">
            <w:pPr>
              <w:rPr>
                <w:rFonts w:eastAsia="Times New Roman"/>
              </w:rPr>
            </w:pPr>
            <w:r>
              <w:rPr>
                <w:rFonts w:eastAsia="Times New Roman"/>
                <w:color w:val="000000"/>
                <w:sz w:val="18"/>
                <w:szCs w:val="18"/>
              </w:rPr>
              <w:t>Indefinite-lived intangible asset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14:paraId="5A1EE77A"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EA309A3"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FB595A4"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43AB647" w14:textId="77777777" w:rsidR="00000000" w:rsidRDefault="00195E73">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0B6FABD2"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561F4BAA" w14:textId="77777777" w:rsidR="00000000" w:rsidRDefault="00195E73">
            <w:pPr>
              <w:jc w:val="right"/>
              <w:rPr>
                <w:rFonts w:eastAsia="Times New Roman"/>
              </w:rPr>
            </w:pPr>
            <w:r>
              <w:rPr>
                <w:rFonts w:eastAsia="Times New Roman"/>
                <w:color w:val="000000"/>
                <w:sz w:val="18"/>
                <w:szCs w:val="18"/>
              </w:rPr>
              <w:t>62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9A69154"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621EB74"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E5293D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0FF4D24"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D3F3F6A"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E70772F" w14:textId="77777777" w:rsidR="00000000" w:rsidRDefault="00195E73">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4B993052" w14:textId="77777777" w:rsidR="00000000" w:rsidRDefault="00195E73">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4EDFA95B" w14:textId="77777777" w:rsidR="00000000" w:rsidRDefault="00195E73">
            <w:pPr>
              <w:jc w:val="right"/>
              <w:rPr>
                <w:rFonts w:eastAsia="Times New Roman"/>
              </w:rPr>
            </w:pPr>
            <w:r>
              <w:rPr>
                <w:rFonts w:eastAsia="Times New Roman"/>
                <w:color w:val="000000"/>
                <w:sz w:val="18"/>
                <w:szCs w:val="18"/>
              </w:rPr>
              <w:t>62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570F3A7"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09404794" w14:textId="77777777" w:rsidR="00000000" w:rsidRDefault="00195E73">
            <w:pPr>
              <w:rPr>
                <w:rFonts w:eastAsia="Times New Roman"/>
                <w:sz w:val="20"/>
                <w:szCs w:val="20"/>
              </w:rPr>
            </w:pPr>
          </w:p>
        </w:tc>
        <w:tc>
          <w:tcPr>
            <w:tcW w:w="0" w:type="auto"/>
            <w:vAlign w:val="center"/>
            <w:hideMark/>
          </w:tcPr>
          <w:p w14:paraId="0206C0A0" w14:textId="77777777" w:rsidR="00000000" w:rsidRDefault="00195E73">
            <w:pPr>
              <w:rPr>
                <w:rFonts w:eastAsia="Times New Roman"/>
                <w:sz w:val="20"/>
                <w:szCs w:val="20"/>
              </w:rPr>
            </w:pPr>
          </w:p>
        </w:tc>
        <w:tc>
          <w:tcPr>
            <w:tcW w:w="0" w:type="auto"/>
            <w:vAlign w:val="center"/>
            <w:hideMark/>
          </w:tcPr>
          <w:p w14:paraId="58187504" w14:textId="77777777" w:rsidR="00000000" w:rsidRDefault="00195E73">
            <w:pPr>
              <w:rPr>
                <w:rFonts w:eastAsia="Times New Roman"/>
                <w:sz w:val="20"/>
                <w:szCs w:val="20"/>
              </w:rPr>
            </w:pPr>
          </w:p>
        </w:tc>
        <w:tc>
          <w:tcPr>
            <w:tcW w:w="0" w:type="auto"/>
            <w:vAlign w:val="center"/>
            <w:hideMark/>
          </w:tcPr>
          <w:p w14:paraId="3D4E11D1" w14:textId="77777777" w:rsidR="00000000" w:rsidRDefault="00195E73">
            <w:pPr>
              <w:rPr>
                <w:rFonts w:eastAsia="Times New Roman"/>
                <w:sz w:val="20"/>
                <w:szCs w:val="20"/>
              </w:rPr>
            </w:pPr>
          </w:p>
        </w:tc>
        <w:tc>
          <w:tcPr>
            <w:tcW w:w="0" w:type="auto"/>
            <w:vAlign w:val="center"/>
            <w:hideMark/>
          </w:tcPr>
          <w:p w14:paraId="770E56F7" w14:textId="77777777" w:rsidR="00000000" w:rsidRDefault="00195E73">
            <w:pPr>
              <w:rPr>
                <w:rFonts w:eastAsia="Times New Roman"/>
                <w:sz w:val="20"/>
                <w:szCs w:val="20"/>
              </w:rPr>
            </w:pPr>
          </w:p>
        </w:tc>
        <w:tc>
          <w:tcPr>
            <w:tcW w:w="0" w:type="auto"/>
            <w:vAlign w:val="center"/>
            <w:hideMark/>
          </w:tcPr>
          <w:p w14:paraId="7C2B2BFA" w14:textId="77777777" w:rsidR="00000000" w:rsidRDefault="00195E73">
            <w:pPr>
              <w:rPr>
                <w:rFonts w:eastAsia="Times New Roman"/>
                <w:sz w:val="20"/>
                <w:szCs w:val="20"/>
              </w:rPr>
            </w:pPr>
          </w:p>
        </w:tc>
        <w:tc>
          <w:tcPr>
            <w:tcW w:w="0" w:type="auto"/>
            <w:vAlign w:val="center"/>
            <w:hideMark/>
          </w:tcPr>
          <w:p w14:paraId="1F43058A" w14:textId="77777777" w:rsidR="00000000" w:rsidRDefault="00195E73">
            <w:pPr>
              <w:rPr>
                <w:rFonts w:eastAsia="Times New Roman"/>
                <w:sz w:val="20"/>
                <w:szCs w:val="20"/>
              </w:rPr>
            </w:pPr>
          </w:p>
        </w:tc>
        <w:tc>
          <w:tcPr>
            <w:tcW w:w="0" w:type="auto"/>
            <w:vAlign w:val="center"/>
            <w:hideMark/>
          </w:tcPr>
          <w:p w14:paraId="69385260" w14:textId="77777777" w:rsidR="00000000" w:rsidRDefault="00195E73">
            <w:pPr>
              <w:rPr>
                <w:rFonts w:eastAsia="Times New Roman"/>
                <w:sz w:val="20"/>
                <w:szCs w:val="20"/>
              </w:rPr>
            </w:pPr>
          </w:p>
        </w:tc>
        <w:tc>
          <w:tcPr>
            <w:tcW w:w="0" w:type="auto"/>
            <w:vAlign w:val="center"/>
            <w:hideMark/>
          </w:tcPr>
          <w:p w14:paraId="30BD2583" w14:textId="77777777" w:rsidR="00000000" w:rsidRDefault="00195E73">
            <w:pPr>
              <w:rPr>
                <w:rFonts w:eastAsia="Times New Roman"/>
                <w:sz w:val="20"/>
                <w:szCs w:val="20"/>
              </w:rPr>
            </w:pPr>
          </w:p>
        </w:tc>
        <w:tc>
          <w:tcPr>
            <w:tcW w:w="0" w:type="auto"/>
            <w:vAlign w:val="center"/>
            <w:hideMark/>
          </w:tcPr>
          <w:p w14:paraId="6354D6FF" w14:textId="77777777" w:rsidR="00000000" w:rsidRDefault="00195E73">
            <w:pPr>
              <w:rPr>
                <w:rFonts w:eastAsia="Times New Roman"/>
                <w:sz w:val="20"/>
                <w:szCs w:val="20"/>
              </w:rPr>
            </w:pPr>
          </w:p>
        </w:tc>
        <w:tc>
          <w:tcPr>
            <w:tcW w:w="0" w:type="auto"/>
            <w:vAlign w:val="center"/>
            <w:hideMark/>
          </w:tcPr>
          <w:p w14:paraId="48C8EE9F" w14:textId="77777777" w:rsidR="00000000" w:rsidRDefault="00195E73">
            <w:pPr>
              <w:rPr>
                <w:rFonts w:eastAsia="Times New Roman"/>
                <w:sz w:val="20"/>
                <w:szCs w:val="20"/>
              </w:rPr>
            </w:pPr>
          </w:p>
        </w:tc>
        <w:tc>
          <w:tcPr>
            <w:tcW w:w="0" w:type="auto"/>
            <w:vAlign w:val="center"/>
            <w:hideMark/>
          </w:tcPr>
          <w:p w14:paraId="5F771882" w14:textId="77777777" w:rsidR="00000000" w:rsidRDefault="00195E73">
            <w:pPr>
              <w:rPr>
                <w:rFonts w:eastAsia="Times New Roman"/>
                <w:sz w:val="20"/>
                <w:szCs w:val="20"/>
              </w:rPr>
            </w:pPr>
          </w:p>
        </w:tc>
        <w:tc>
          <w:tcPr>
            <w:tcW w:w="0" w:type="auto"/>
            <w:vAlign w:val="center"/>
            <w:hideMark/>
          </w:tcPr>
          <w:p w14:paraId="76F42FC1" w14:textId="77777777" w:rsidR="00000000" w:rsidRDefault="00195E73">
            <w:pPr>
              <w:rPr>
                <w:rFonts w:eastAsia="Times New Roman"/>
                <w:sz w:val="20"/>
                <w:szCs w:val="20"/>
              </w:rPr>
            </w:pPr>
          </w:p>
        </w:tc>
        <w:tc>
          <w:tcPr>
            <w:tcW w:w="0" w:type="auto"/>
            <w:vAlign w:val="center"/>
            <w:hideMark/>
          </w:tcPr>
          <w:p w14:paraId="10D8FAF9" w14:textId="77777777" w:rsidR="00000000" w:rsidRDefault="00195E73">
            <w:pPr>
              <w:rPr>
                <w:rFonts w:eastAsia="Times New Roman"/>
                <w:sz w:val="20"/>
                <w:szCs w:val="20"/>
              </w:rPr>
            </w:pPr>
          </w:p>
        </w:tc>
        <w:tc>
          <w:tcPr>
            <w:tcW w:w="0" w:type="auto"/>
            <w:vAlign w:val="center"/>
            <w:hideMark/>
          </w:tcPr>
          <w:p w14:paraId="6F20DFAC" w14:textId="77777777" w:rsidR="00000000" w:rsidRDefault="00195E73">
            <w:pPr>
              <w:rPr>
                <w:rFonts w:eastAsia="Times New Roman"/>
                <w:sz w:val="20"/>
                <w:szCs w:val="20"/>
              </w:rPr>
            </w:pPr>
          </w:p>
        </w:tc>
        <w:tc>
          <w:tcPr>
            <w:tcW w:w="0" w:type="auto"/>
            <w:vAlign w:val="center"/>
            <w:hideMark/>
          </w:tcPr>
          <w:p w14:paraId="5B31B2AF" w14:textId="77777777" w:rsidR="00000000" w:rsidRDefault="00195E73">
            <w:pPr>
              <w:rPr>
                <w:rFonts w:eastAsia="Times New Roman"/>
                <w:sz w:val="20"/>
                <w:szCs w:val="20"/>
              </w:rPr>
            </w:pPr>
          </w:p>
        </w:tc>
        <w:tc>
          <w:tcPr>
            <w:tcW w:w="0" w:type="auto"/>
            <w:vAlign w:val="center"/>
            <w:hideMark/>
          </w:tcPr>
          <w:p w14:paraId="1CA0BE51" w14:textId="77777777" w:rsidR="00000000" w:rsidRDefault="00195E73">
            <w:pPr>
              <w:rPr>
                <w:rFonts w:eastAsia="Times New Roman"/>
                <w:sz w:val="20"/>
                <w:szCs w:val="20"/>
              </w:rPr>
            </w:pPr>
          </w:p>
        </w:tc>
        <w:tc>
          <w:tcPr>
            <w:tcW w:w="0" w:type="auto"/>
            <w:vAlign w:val="center"/>
            <w:hideMark/>
          </w:tcPr>
          <w:p w14:paraId="5DB1DBA0" w14:textId="77777777" w:rsidR="00000000" w:rsidRDefault="00195E73">
            <w:pPr>
              <w:rPr>
                <w:rFonts w:eastAsia="Times New Roman"/>
                <w:sz w:val="20"/>
                <w:szCs w:val="20"/>
              </w:rPr>
            </w:pPr>
          </w:p>
        </w:tc>
        <w:tc>
          <w:tcPr>
            <w:tcW w:w="0" w:type="auto"/>
            <w:vAlign w:val="center"/>
            <w:hideMark/>
          </w:tcPr>
          <w:p w14:paraId="0B437DCB" w14:textId="77777777" w:rsidR="00000000" w:rsidRDefault="00195E73">
            <w:pPr>
              <w:rPr>
                <w:rFonts w:eastAsia="Times New Roman"/>
                <w:sz w:val="20"/>
                <w:szCs w:val="20"/>
              </w:rPr>
            </w:pPr>
          </w:p>
        </w:tc>
        <w:tc>
          <w:tcPr>
            <w:tcW w:w="0" w:type="auto"/>
            <w:vAlign w:val="center"/>
            <w:hideMark/>
          </w:tcPr>
          <w:p w14:paraId="373D811B" w14:textId="77777777" w:rsidR="00000000" w:rsidRDefault="00195E73">
            <w:pPr>
              <w:rPr>
                <w:rFonts w:eastAsia="Times New Roman"/>
                <w:sz w:val="20"/>
                <w:szCs w:val="20"/>
              </w:rPr>
            </w:pPr>
          </w:p>
        </w:tc>
        <w:tc>
          <w:tcPr>
            <w:tcW w:w="0" w:type="auto"/>
            <w:vAlign w:val="center"/>
            <w:hideMark/>
          </w:tcPr>
          <w:p w14:paraId="4D8EB0AA" w14:textId="77777777" w:rsidR="00000000" w:rsidRDefault="00195E73">
            <w:pPr>
              <w:rPr>
                <w:rFonts w:eastAsia="Times New Roman"/>
                <w:sz w:val="20"/>
                <w:szCs w:val="20"/>
              </w:rPr>
            </w:pPr>
          </w:p>
        </w:tc>
        <w:tc>
          <w:tcPr>
            <w:tcW w:w="0" w:type="auto"/>
            <w:vAlign w:val="center"/>
            <w:hideMark/>
          </w:tcPr>
          <w:p w14:paraId="761C4B03" w14:textId="77777777" w:rsidR="00000000" w:rsidRDefault="00195E73">
            <w:pPr>
              <w:rPr>
                <w:rFonts w:eastAsia="Times New Roman"/>
                <w:sz w:val="20"/>
                <w:szCs w:val="20"/>
              </w:rPr>
            </w:pPr>
          </w:p>
        </w:tc>
        <w:tc>
          <w:tcPr>
            <w:tcW w:w="0" w:type="auto"/>
            <w:vAlign w:val="center"/>
            <w:hideMark/>
          </w:tcPr>
          <w:p w14:paraId="3676A974" w14:textId="77777777" w:rsidR="00000000" w:rsidRDefault="00195E73">
            <w:pPr>
              <w:rPr>
                <w:rFonts w:eastAsia="Times New Roman"/>
                <w:sz w:val="20"/>
                <w:szCs w:val="20"/>
              </w:rPr>
            </w:pPr>
          </w:p>
        </w:tc>
        <w:tc>
          <w:tcPr>
            <w:tcW w:w="0" w:type="auto"/>
            <w:vAlign w:val="center"/>
            <w:hideMark/>
          </w:tcPr>
          <w:p w14:paraId="014F8842" w14:textId="77777777" w:rsidR="00000000" w:rsidRDefault="00195E73">
            <w:pPr>
              <w:rPr>
                <w:rFonts w:eastAsia="Times New Roman"/>
                <w:sz w:val="20"/>
                <w:szCs w:val="20"/>
              </w:rPr>
            </w:pPr>
          </w:p>
        </w:tc>
        <w:tc>
          <w:tcPr>
            <w:tcW w:w="0" w:type="auto"/>
            <w:vAlign w:val="center"/>
            <w:hideMark/>
          </w:tcPr>
          <w:p w14:paraId="632AF988" w14:textId="77777777" w:rsidR="00000000" w:rsidRDefault="00195E73">
            <w:pPr>
              <w:rPr>
                <w:rFonts w:eastAsia="Times New Roman"/>
                <w:sz w:val="20"/>
                <w:szCs w:val="20"/>
              </w:rPr>
            </w:pPr>
          </w:p>
        </w:tc>
        <w:tc>
          <w:tcPr>
            <w:tcW w:w="0" w:type="auto"/>
            <w:vAlign w:val="center"/>
            <w:hideMark/>
          </w:tcPr>
          <w:p w14:paraId="02B3C109" w14:textId="77777777" w:rsidR="00000000" w:rsidRDefault="00195E73">
            <w:pPr>
              <w:rPr>
                <w:rFonts w:eastAsia="Times New Roman"/>
                <w:sz w:val="20"/>
                <w:szCs w:val="20"/>
              </w:rPr>
            </w:pPr>
          </w:p>
        </w:tc>
        <w:tc>
          <w:tcPr>
            <w:tcW w:w="0" w:type="auto"/>
            <w:vAlign w:val="center"/>
            <w:hideMark/>
          </w:tcPr>
          <w:p w14:paraId="4501210E" w14:textId="77777777" w:rsidR="00000000" w:rsidRDefault="00195E73">
            <w:pPr>
              <w:rPr>
                <w:rFonts w:eastAsia="Times New Roman"/>
                <w:sz w:val="20"/>
                <w:szCs w:val="20"/>
              </w:rPr>
            </w:pPr>
          </w:p>
        </w:tc>
      </w:tr>
      <w:tr w:rsidR="00000000" w14:paraId="42FD5D3F" w14:textId="77777777">
        <w:trPr>
          <w:divId w:val="1703509046"/>
          <w:jc w:val="center"/>
        </w:trPr>
        <w:tc>
          <w:tcPr>
            <w:tcW w:w="0" w:type="auto"/>
            <w:gridSpan w:val="3"/>
            <w:shd w:val="clear" w:color="auto" w:fill="FFFFFF"/>
            <w:tcMar>
              <w:top w:w="30" w:type="dxa"/>
              <w:left w:w="20" w:type="dxa"/>
              <w:bottom w:w="30" w:type="dxa"/>
              <w:right w:w="20" w:type="dxa"/>
            </w:tcMar>
            <w:vAlign w:val="bottom"/>
            <w:hideMark/>
          </w:tcPr>
          <w:p w14:paraId="48297286" w14:textId="77777777" w:rsidR="00000000" w:rsidRDefault="00195E73">
            <w:pPr>
              <w:rPr>
                <w:rFonts w:eastAsia="Times New Roman"/>
              </w:rPr>
            </w:pPr>
            <w:r>
              <w:rPr>
                <w:rFonts w:eastAsia="Times New Roman"/>
                <w:color w:val="000000"/>
                <w:sz w:val="18"/>
                <w:szCs w:val="18"/>
              </w:rPr>
              <w:t>Intangible assets, ne</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14:paraId="791B651A"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B02A24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F17BC15"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C974000"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17F400E"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9C91CE6" w14:textId="77777777" w:rsidR="00000000" w:rsidRDefault="00195E73">
            <w:pPr>
              <w:jc w:val="right"/>
              <w:rPr>
                <w:rFonts w:eastAsia="Times New Roman"/>
              </w:rPr>
            </w:pPr>
            <w:r>
              <w:rPr>
                <w:rFonts w:eastAsia="Times New Roman"/>
                <w:color w:val="000000"/>
                <w:sz w:val="18"/>
                <w:szCs w:val="18"/>
              </w:rPr>
              <w:t>431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36665CC" w14:textId="77777777" w:rsidR="00000000" w:rsidRDefault="00195E73">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A5BF19B"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45082C5" w14:textId="77777777" w:rsidR="00000000" w:rsidRDefault="00195E7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FB564EC" w14:textId="77777777" w:rsidR="00000000" w:rsidRDefault="00195E73">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CED670D"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A970720"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EF90498" w14:textId="77777777" w:rsidR="00000000" w:rsidRDefault="00195E7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23212A0" w14:textId="77777777" w:rsidR="00000000" w:rsidRDefault="00195E73">
            <w:pPr>
              <w:jc w:val="right"/>
              <w:rPr>
                <w:rFonts w:eastAsia="Times New Roman"/>
              </w:rPr>
            </w:pPr>
            <w:r>
              <w:rPr>
                <w:rFonts w:eastAsia="Times New Roman"/>
                <w:color w:val="000000"/>
                <w:sz w:val="18"/>
                <w:szCs w:val="18"/>
              </w:rPr>
              <w:t>501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601465D" w14:textId="77777777" w:rsidR="00000000" w:rsidRDefault="00195E73">
            <w:pPr>
              <w:jc w:val="right"/>
              <w:rPr>
                <w:rFonts w:eastAsia="Times New Roman"/>
              </w:rPr>
            </w:pPr>
            <w:r>
              <w:rPr>
                <w:rFonts w:eastAsia="Times New Roman"/>
                <w:color w:val="000000"/>
                <w:sz w:val="18"/>
                <w:szCs w:val="18"/>
              </w:rPr>
              <w:t> </w:t>
            </w:r>
          </w:p>
        </w:tc>
        <w:tc>
          <w:tcPr>
            <w:tcW w:w="0" w:type="auto"/>
            <w:vAlign w:val="center"/>
            <w:hideMark/>
          </w:tcPr>
          <w:p w14:paraId="19F52725" w14:textId="77777777" w:rsidR="00000000" w:rsidRDefault="00195E73">
            <w:pPr>
              <w:rPr>
                <w:rFonts w:eastAsia="Times New Roman"/>
                <w:sz w:val="20"/>
                <w:szCs w:val="20"/>
              </w:rPr>
            </w:pPr>
          </w:p>
        </w:tc>
        <w:tc>
          <w:tcPr>
            <w:tcW w:w="0" w:type="auto"/>
            <w:vAlign w:val="center"/>
            <w:hideMark/>
          </w:tcPr>
          <w:p w14:paraId="6CEB633F" w14:textId="77777777" w:rsidR="00000000" w:rsidRDefault="00195E73">
            <w:pPr>
              <w:rPr>
                <w:rFonts w:eastAsia="Times New Roman"/>
                <w:sz w:val="20"/>
                <w:szCs w:val="20"/>
              </w:rPr>
            </w:pPr>
          </w:p>
        </w:tc>
        <w:tc>
          <w:tcPr>
            <w:tcW w:w="0" w:type="auto"/>
            <w:vAlign w:val="center"/>
            <w:hideMark/>
          </w:tcPr>
          <w:p w14:paraId="1D4B598E" w14:textId="77777777" w:rsidR="00000000" w:rsidRDefault="00195E73">
            <w:pPr>
              <w:rPr>
                <w:rFonts w:eastAsia="Times New Roman"/>
                <w:sz w:val="20"/>
                <w:szCs w:val="20"/>
              </w:rPr>
            </w:pPr>
          </w:p>
        </w:tc>
        <w:tc>
          <w:tcPr>
            <w:tcW w:w="0" w:type="auto"/>
            <w:vAlign w:val="center"/>
            <w:hideMark/>
          </w:tcPr>
          <w:p w14:paraId="6EB76530" w14:textId="77777777" w:rsidR="00000000" w:rsidRDefault="00195E73">
            <w:pPr>
              <w:rPr>
                <w:rFonts w:eastAsia="Times New Roman"/>
                <w:sz w:val="20"/>
                <w:szCs w:val="20"/>
              </w:rPr>
            </w:pPr>
          </w:p>
        </w:tc>
        <w:tc>
          <w:tcPr>
            <w:tcW w:w="0" w:type="auto"/>
            <w:vAlign w:val="center"/>
            <w:hideMark/>
          </w:tcPr>
          <w:p w14:paraId="0CB1E305" w14:textId="77777777" w:rsidR="00000000" w:rsidRDefault="00195E73">
            <w:pPr>
              <w:rPr>
                <w:rFonts w:eastAsia="Times New Roman"/>
                <w:sz w:val="20"/>
                <w:szCs w:val="20"/>
              </w:rPr>
            </w:pPr>
          </w:p>
        </w:tc>
        <w:tc>
          <w:tcPr>
            <w:tcW w:w="0" w:type="auto"/>
            <w:vAlign w:val="center"/>
            <w:hideMark/>
          </w:tcPr>
          <w:p w14:paraId="1F5EDE9B" w14:textId="77777777" w:rsidR="00000000" w:rsidRDefault="00195E73">
            <w:pPr>
              <w:rPr>
                <w:rFonts w:eastAsia="Times New Roman"/>
                <w:sz w:val="20"/>
                <w:szCs w:val="20"/>
              </w:rPr>
            </w:pPr>
          </w:p>
        </w:tc>
        <w:tc>
          <w:tcPr>
            <w:tcW w:w="0" w:type="auto"/>
            <w:vAlign w:val="center"/>
            <w:hideMark/>
          </w:tcPr>
          <w:p w14:paraId="158EA518" w14:textId="77777777" w:rsidR="00000000" w:rsidRDefault="00195E73">
            <w:pPr>
              <w:rPr>
                <w:rFonts w:eastAsia="Times New Roman"/>
                <w:sz w:val="20"/>
                <w:szCs w:val="20"/>
              </w:rPr>
            </w:pPr>
          </w:p>
        </w:tc>
        <w:tc>
          <w:tcPr>
            <w:tcW w:w="0" w:type="auto"/>
            <w:vAlign w:val="center"/>
            <w:hideMark/>
          </w:tcPr>
          <w:p w14:paraId="1C6059D2" w14:textId="77777777" w:rsidR="00000000" w:rsidRDefault="00195E73">
            <w:pPr>
              <w:rPr>
                <w:rFonts w:eastAsia="Times New Roman"/>
                <w:sz w:val="20"/>
                <w:szCs w:val="20"/>
              </w:rPr>
            </w:pPr>
          </w:p>
        </w:tc>
        <w:tc>
          <w:tcPr>
            <w:tcW w:w="0" w:type="auto"/>
            <w:vAlign w:val="center"/>
            <w:hideMark/>
          </w:tcPr>
          <w:p w14:paraId="3762876F" w14:textId="77777777" w:rsidR="00000000" w:rsidRDefault="00195E73">
            <w:pPr>
              <w:rPr>
                <w:rFonts w:eastAsia="Times New Roman"/>
                <w:sz w:val="20"/>
                <w:szCs w:val="20"/>
              </w:rPr>
            </w:pPr>
          </w:p>
        </w:tc>
        <w:tc>
          <w:tcPr>
            <w:tcW w:w="0" w:type="auto"/>
            <w:vAlign w:val="center"/>
            <w:hideMark/>
          </w:tcPr>
          <w:p w14:paraId="59F2855D" w14:textId="77777777" w:rsidR="00000000" w:rsidRDefault="00195E73">
            <w:pPr>
              <w:rPr>
                <w:rFonts w:eastAsia="Times New Roman"/>
                <w:sz w:val="20"/>
                <w:szCs w:val="20"/>
              </w:rPr>
            </w:pPr>
          </w:p>
        </w:tc>
        <w:tc>
          <w:tcPr>
            <w:tcW w:w="0" w:type="auto"/>
            <w:vAlign w:val="center"/>
            <w:hideMark/>
          </w:tcPr>
          <w:p w14:paraId="47F32B09" w14:textId="77777777" w:rsidR="00000000" w:rsidRDefault="00195E73">
            <w:pPr>
              <w:rPr>
                <w:rFonts w:eastAsia="Times New Roman"/>
                <w:sz w:val="20"/>
                <w:szCs w:val="20"/>
              </w:rPr>
            </w:pPr>
          </w:p>
        </w:tc>
        <w:tc>
          <w:tcPr>
            <w:tcW w:w="0" w:type="auto"/>
            <w:vAlign w:val="center"/>
            <w:hideMark/>
          </w:tcPr>
          <w:p w14:paraId="56C6C179" w14:textId="77777777" w:rsidR="00000000" w:rsidRDefault="00195E73">
            <w:pPr>
              <w:rPr>
                <w:rFonts w:eastAsia="Times New Roman"/>
                <w:sz w:val="20"/>
                <w:szCs w:val="20"/>
              </w:rPr>
            </w:pPr>
          </w:p>
        </w:tc>
        <w:tc>
          <w:tcPr>
            <w:tcW w:w="0" w:type="auto"/>
            <w:vAlign w:val="center"/>
            <w:hideMark/>
          </w:tcPr>
          <w:p w14:paraId="21F92A8E" w14:textId="77777777" w:rsidR="00000000" w:rsidRDefault="00195E73">
            <w:pPr>
              <w:rPr>
                <w:rFonts w:eastAsia="Times New Roman"/>
                <w:sz w:val="20"/>
                <w:szCs w:val="20"/>
              </w:rPr>
            </w:pPr>
          </w:p>
        </w:tc>
        <w:tc>
          <w:tcPr>
            <w:tcW w:w="0" w:type="auto"/>
            <w:vAlign w:val="center"/>
            <w:hideMark/>
          </w:tcPr>
          <w:p w14:paraId="6EE25D21" w14:textId="77777777" w:rsidR="00000000" w:rsidRDefault="00195E73">
            <w:pPr>
              <w:rPr>
                <w:rFonts w:eastAsia="Times New Roman"/>
                <w:sz w:val="20"/>
                <w:szCs w:val="20"/>
              </w:rPr>
            </w:pPr>
          </w:p>
        </w:tc>
        <w:tc>
          <w:tcPr>
            <w:tcW w:w="0" w:type="auto"/>
            <w:vAlign w:val="center"/>
            <w:hideMark/>
          </w:tcPr>
          <w:p w14:paraId="7D1BA921" w14:textId="77777777" w:rsidR="00000000" w:rsidRDefault="00195E73">
            <w:pPr>
              <w:rPr>
                <w:rFonts w:eastAsia="Times New Roman"/>
                <w:sz w:val="20"/>
                <w:szCs w:val="20"/>
              </w:rPr>
            </w:pPr>
          </w:p>
        </w:tc>
        <w:tc>
          <w:tcPr>
            <w:tcW w:w="0" w:type="auto"/>
            <w:vAlign w:val="center"/>
            <w:hideMark/>
          </w:tcPr>
          <w:p w14:paraId="293457CB" w14:textId="77777777" w:rsidR="00000000" w:rsidRDefault="00195E73">
            <w:pPr>
              <w:rPr>
                <w:rFonts w:eastAsia="Times New Roman"/>
                <w:sz w:val="20"/>
                <w:szCs w:val="20"/>
              </w:rPr>
            </w:pPr>
          </w:p>
        </w:tc>
        <w:tc>
          <w:tcPr>
            <w:tcW w:w="0" w:type="auto"/>
            <w:vAlign w:val="center"/>
            <w:hideMark/>
          </w:tcPr>
          <w:p w14:paraId="5818C383" w14:textId="77777777" w:rsidR="00000000" w:rsidRDefault="00195E73">
            <w:pPr>
              <w:rPr>
                <w:rFonts w:eastAsia="Times New Roman"/>
                <w:sz w:val="20"/>
                <w:szCs w:val="20"/>
              </w:rPr>
            </w:pPr>
          </w:p>
        </w:tc>
        <w:tc>
          <w:tcPr>
            <w:tcW w:w="0" w:type="auto"/>
            <w:vAlign w:val="center"/>
            <w:hideMark/>
          </w:tcPr>
          <w:p w14:paraId="49115E58" w14:textId="77777777" w:rsidR="00000000" w:rsidRDefault="00195E73">
            <w:pPr>
              <w:rPr>
                <w:rFonts w:eastAsia="Times New Roman"/>
                <w:sz w:val="20"/>
                <w:szCs w:val="20"/>
              </w:rPr>
            </w:pPr>
          </w:p>
        </w:tc>
        <w:tc>
          <w:tcPr>
            <w:tcW w:w="0" w:type="auto"/>
            <w:vAlign w:val="center"/>
            <w:hideMark/>
          </w:tcPr>
          <w:p w14:paraId="3A5D2312" w14:textId="77777777" w:rsidR="00000000" w:rsidRDefault="00195E73">
            <w:pPr>
              <w:rPr>
                <w:rFonts w:eastAsia="Times New Roman"/>
                <w:sz w:val="20"/>
                <w:szCs w:val="20"/>
              </w:rPr>
            </w:pPr>
          </w:p>
        </w:tc>
        <w:tc>
          <w:tcPr>
            <w:tcW w:w="0" w:type="auto"/>
            <w:vAlign w:val="center"/>
            <w:hideMark/>
          </w:tcPr>
          <w:p w14:paraId="22173FDC" w14:textId="77777777" w:rsidR="00000000" w:rsidRDefault="00195E73">
            <w:pPr>
              <w:rPr>
                <w:rFonts w:eastAsia="Times New Roman"/>
                <w:sz w:val="20"/>
                <w:szCs w:val="20"/>
              </w:rPr>
            </w:pPr>
          </w:p>
        </w:tc>
        <w:tc>
          <w:tcPr>
            <w:tcW w:w="0" w:type="auto"/>
            <w:vAlign w:val="center"/>
            <w:hideMark/>
          </w:tcPr>
          <w:p w14:paraId="70F997FC" w14:textId="77777777" w:rsidR="00000000" w:rsidRDefault="00195E73">
            <w:pPr>
              <w:rPr>
                <w:rFonts w:eastAsia="Times New Roman"/>
                <w:sz w:val="20"/>
                <w:szCs w:val="20"/>
              </w:rPr>
            </w:pPr>
          </w:p>
        </w:tc>
        <w:tc>
          <w:tcPr>
            <w:tcW w:w="0" w:type="auto"/>
            <w:vAlign w:val="center"/>
            <w:hideMark/>
          </w:tcPr>
          <w:p w14:paraId="3248A02D" w14:textId="77777777" w:rsidR="00000000" w:rsidRDefault="00195E73">
            <w:pPr>
              <w:rPr>
                <w:rFonts w:eastAsia="Times New Roman"/>
                <w:sz w:val="20"/>
                <w:szCs w:val="20"/>
              </w:rPr>
            </w:pPr>
          </w:p>
        </w:tc>
        <w:tc>
          <w:tcPr>
            <w:tcW w:w="0" w:type="auto"/>
            <w:vAlign w:val="center"/>
            <w:hideMark/>
          </w:tcPr>
          <w:p w14:paraId="27359B1E" w14:textId="77777777" w:rsidR="00000000" w:rsidRDefault="00195E73">
            <w:pPr>
              <w:rPr>
                <w:rFonts w:eastAsia="Times New Roman"/>
                <w:sz w:val="20"/>
                <w:szCs w:val="20"/>
              </w:rPr>
            </w:pPr>
          </w:p>
        </w:tc>
        <w:tc>
          <w:tcPr>
            <w:tcW w:w="0" w:type="auto"/>
            <w:vAlign w:val="center"/>
            <w:hideMark/>
          </w:tcPr>
          <w:p w14:paraId="4E8C8D4A" w14:textId="77777777" w:rsidR="00000000" w:rsidRDefault="00195E73">
            <w:pPr>
              <w:rPr>
                <w:rFonts w:eastAsia="Times New Roman"/>
                <w:sz w:val="20"/>
                <w:szCs w:val="20"/>
              </w:rPr>
            </w:pPr>
          </w:p>
        </w:tc>
        <w:tc>
          <w:tcPr>
            <w:tcW w:w="0" w:type="auto"/>
            <w:vAlign w:val="center"/>
            <w:hideMark/>
          </w:tcPr>
          <w:p w14:paraId="01151CFD" w14:textId="77777777" w:rsidR="00000000" w:rsidRDefault="00195E73">
            <w:pPr>
              <w:rPr>
                <w:rFonts w:eastAsia="Times New Roman"/>
                <w:sz w:val="20"/>
                <w:szCs w:val="20"/>
              </w:rPr>
            </w:pPr>
          </w:p>
        </w:tc>
        <w:tc>
          <w:tcPr>
            <w:tcW w:w="0" w:type="auto"/>
            <w:vAlign w:val="center"/>
            <w:hideMark/>
          </w:tcPr>
          <w:p w14:paraId="2205C5DE" w14:textId="77777777" w:rsidR="00000000" w:rsidRDefault="00195E73">
            <w:pPr>
              <w:rPr>
                <w:rFonts w:eastAsia="Times New Roman"/>
                <w:sz w:val="20"/>
                <w:szCs w:val="20"/>
              </w:rPr>
            </w:pPr>
          </w:p>
        </w:tc>
        <w:tc>
          <w:tcPr>
            <w:tcW w:w="0" w:type="auto"/>
            <w:vAlign w:val="center"/>
            <w:hideMark/>
          </w:tcPr>
          <w:p w14:paraId="528492B7" w14:textId="77777777" w:rsidR="00000000" w:rsidRDefault="00195E73">
            <w:pPr>
              <w:rPr>
                <w:rFonts w:eastAsia="Times New Roman"/>
                <w:sz w:val="20"/>
                <w:szCs w:val="20"/>
              </w:rPr>
            </w:pPr>
          </w:p>
        </w:tc>
      </w:tr>
    </w:tbl>
    <w:p w14:paraId="0CEF051E" w14:textId="77777777" w:rsidR="00000000" w:rsidRDefault="00195E73">
      <w:pPr>
        <w:ind w:firstLine="405"/>
        <w:divId w:val="1626690743"/>
        <w:rPr>
          <w:rFonts w:eastAsia="Times New Roman"/>
        </w:rPr>
      </w:pPr>
    </w:p>
    <w:p w14:paraId="48A41176" w14:textId="77777777" w:rsidR="00000000" w:rsidRDefault="00195E73">
      <w:pPr>
        <w:ind w:firstLine="405"/>
        <w:divId w:val="204299962"/>
        <w:rPr>
          <w:rFonts w:eastAsia="Times New Roman"/>
        </w:rPr>
      </w:pPr>
      <w:r>
        <w:rPr>
          <w:rFonts w:eastAsia="Times New Roman"/>
          <w:color w:val="000000"/>
          <w:sz w:val="20"/>
          <w:szCs w:val="20"/>
        </w:rPr>
        <w:t>We recorded amortization expense associated with definite-lived intangible assets for the years ended December 31, 2019, 201</w:t>
      </w:r>
      <w:r>
        <w:rPr>
          <w:rFonts w:eastAsia="Times New Roman"/>
          <w:color w:val="000000"/>
          <w:sz w:val="20"/>
          <w:szCs w:val="20"/>
        </w:rPr>
        <w:t>8 and 2017 of $40 million, $47 million and $41 million, respectively. We utilize the straight-line method of amortization,</w:t>
      </w:r>
      <w:r>
        <w:rPr>
          <w:rFonts w:eastAsia="Times New Roman"/>
          <w:color w:val="000000"/>
          <w:sz w:val="20"/>
          <w:szCs w:val="20"/>
        </w:rPr>
        <w:t xml:space="preserve"> </w:t>
      </w:r>
    </w:p>
    <w:p w14:paraId="593EB33B" w14:textId="77777777" w:rsidR="00000000" w:rsidRDefault="00195E73">
      <w:pPr>
        <w:jc w:val="center"/>
        <w:divId w:val="443813933"/>
        <w:rPr>
          <w:rFonts w:eastAsia="Times New Roman"/>
        </w:rPr>
      </w:pPr>
      <w:r>
        <w:rPr>
          <w:rFonts w:eastAsia="Times New Roman"/>
          <w:color w:val="000000"/>
          <w:sz w:val="20"/>
          <w:szCs w:val="20"/>
        </w:rPr>
        <w:t>9</w:t>
      </w:r>
      <w:r>
        <w:rPr>
          <w:rFonts w:eastAsia="Times New Roman"/>
          <w:color w:val="000000"/>
          <w:sz w:val="20"/>
          <w:szCs w:val="20"/>
        </w:rPr>
        <w:t>0</w:t>
      </w:r>
    </w:p>
    <w:p w14:paraId="556ED6B1" w14:textId="77777777" w:rsidR="00000000" w:rsidRDefault="00195E73">
      <w:pPr>
        <w:rPr>
          <w:rFonts w:eastAsia="Times New Roman"/>
        </w:rPr>
      </w:pPr>
      <w:r>
        <w:rPr>
          <w:rFonts w:eastAsia="Times New Roman"/>
        </w:rPr>
        <w:pict w14:anchorId="59FFF657">
          <v:rect id="_x0000_i1116" style="width:0;height:1.5pt" o:hralign="center" o:hrstd="t" o:hr="t" fillcolor="#a0a0a0" stroked="f"/>
        </w:pict>
      </w:r>
    </w:p>
    <w:p w14:paraId="182F3299" w14:textId="77777777" w:rsidR="00000000" w:rsidRDefault="00195E73">
      <w:pPr>
        <w:jc w:val="center"/>
        <w:divId w:val="594435438"/>
        <w:rPr>
          <w:rFonts w:eastAsia="Times New Roman"/>
        </w:rPr>
      </w:pPr>
    </w:p>
    <w:p w14:paraId="65B4D971" w14:textId="77777777" w:rsidR="00000000" w:rsidRDefault="00195E73">
      <w:pPr>
        <w:jc w:val="center"/>
        <w:divId w:val="594435438"/>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6606B74A" w14:textId="77777777" w:rsidR="00000000" w:rsidRDefault="00195E73">
      <w:pPr>
        <w:jc w:val="center"/>
        <w:divId w:val="594435438"/>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2AB279A9" w14:textId="77777777" w:rsidR="00000000" w:rsidRDefault="00195E73">
      <w:pPr>
        <w:jc w:val="center"/>
        <w:divId w:val="594435438"/>
        <w:rPr>
          <w:rFonts w:eastAsia="Times New Roman"/>
        </w:rPr>
      </w:pPr>
    </w:p>
    <w:p w14:paraId="1BF211D4" w14:textId="77777777" w:rsidR="00000000" w:rsidRDefault="00195E73">
      <w:pPr>
        <w:jc w:val="center"/>
        <w:divId w:val="594435438"/>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30A2A5CB" w14:textId="77777777" w:rsidR="00000000" w:rsidRDefault="00195E73">
      <w:pPr>
        <w:divId w:val="1978294722"/>
        <w:rPr>
          <w:rFonts w:eastAsia="Times New Roman"/>
        </w:rPr>
      </w:pPr>
      <w:r>
        <w:rPr>
          <w:rFonts w:eastAsia="Times New Roman"/>
          <w:color w:val="000000"/>
          <w:sz w:val="20"/>
          <w:szCs w:val="20"/>
        </w:rPr>
        <w:t>recognized over the estimated useful lives of the assets. Additionally, during the year ended December 31, 2017, we impaired intangible assets by $1 million</w:t>
      </w:r>
      <w:r>
        <w:rPr>
          <w:rFonts w:eastAsia="Times New Roman"/>
          <w:color w:val="000000"/>
          <w:sz w:val="20"/>
          <w:szCs w:val="20"/>
        </w:rPr>
        <w:t>.</w:t>
      </w:r>
    </w:p>
    <w:p w14:paraId="6ABF23ED" w14:textId="77777777" w:rsidR="00000000" w:rsidRDefault="00195E73">
      <w:pPr>
        <w:ind w:firstLine="405"/>
        <w:divId w:val="2083943663"/>
        <w:rPr>
          <w:rFonts w:eastAsia="Times New Roman"/>
        </w:rPr>
      </w:pPr>
      <w:r>
        <w:rPr>
          <w:rFonts w:eastAsia="Times New Roman"/>
          <w:color w:val="000000"/>
          <w:sz w:val="20"/>
          <w:szCs w:val="20"/>
        </w:rPr>
        <w:t>The estimated future amortization expense for our defi</w:t>
      </w:r>
      <w:r>
        <w:rPr>
          <w:rFonts w:eastAsia="Times New Roman"/>
          <w:color w:val="000000"/>
          <w:sz w:val="20"/>
          <w:szCs w:val="20"/>
        </w:rPr>
        <w:t>nite-lived intangible assets is as follows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60"/>
        <w:gridCol w:w="6820"/>
        <w:gridCol w:w="61"/>
        <w:gridCol w:w="36"/>
        <w:gridCol w:w="36"/>
        <w:gridCol w:w="36"/>
        <w:gridCol w:w="136"/>
        <w:gridCol w:w="1011"/>
        <w:gridCol w:w="85"/>
      </w:tblGrid>
      <w:tr w:rsidR="00000000" w14:paraId="2EA33512" w14:textId="77777777">
        <w:trPr>
          <w:divId w:val="542640841"/>
          <w:jc w:val="center"/>
        </w:trPr>
        <w:tc>
          <w:tcPr>
            <w:tcW w:w="50" w:type="pct"/>
            <w:vAlign w:val="center"/>
            <w:hideMark/>
          </w:tcPr>
          <w:p w14:paraId="41D22A5E" w14:textId="77777777" w:rsidR="00000000" w:rsidRDefault="00195E73">
            <w:pPr>
              <w:ind w:firstLine="405"/>
              <w:rPr>
                <w:rFonts w:eastAsia="Times New Roman"/>
              </w:rPr>
            </w:pPr>
          </w:p>
        </w:tc>
        <w:tc>
          <w:tcPr>
            <w:tcW w:w="4130" w:type="pct"/>
            <w:vAlign w:val="center"/>
            <w:hideMark/>
          </w:tcPr>
          <w:p w14:paraId="36B027DF" w14:textId="77777777" w:rsidR="00000000" w:rsidRDefault="00195E73">
            <w:pPr>
              <w:rPr>
                <w:rFonts w:eastAsia="Times New Roman"/>
                <w:sz w:val="20"/>
                <w:szCs w:val="20"/>
              </w:rPr>
            </w:pPr>
          </w:p>
        </w:tc>
        <w:tc>
          <w:tcPr>
            <w:tcW w:w="50" w:type="pct"/>
            <w:vAlign w:val="center"/>
            <w:hideMark/>
          </w:tcPr>
          <w:p w14:paraId="1EF67A0B" w14:textId="77777777" w:rsidR="00000000" w:rsidRDefault="00195E73">
            <w:pPr>
              <w:rPr>
                <w:rFonts w:eastAsia="Times New Roman"/>
                <w:sz w:val="20"/>
                <w:szCs w:val="20"/>
              </w:rPr>
            </w:pPr>
          </w:p>
        </w:tc>
        <w:tc>
          <w:tcPr>
            <w:tcW w:w="5" w:type="pct"/>
            <w:vAlign w:val="center"/>
            <w:hideMark/>
          </w:tcPr>
          <w:p w14:paraId="70B4BE47" w14:textId="77777777" w:rsidR="00000000" w:rsidRDefault="00195E73">
            <w:pPr>
              <w:rPr>
                <w:rFonts w:eastAsia="Times New Roman"/>
                <w:sz w:val="20"/>
                <w:szCs w:val="20"/>
              </w:rPr>
            </w:pPr>
          </w:p>
        </w:tc>
        <w:tc>
          <w:tcPr>
            <w:tcW w:w="26" w:type="pct"/>
            <w:vAlign w:val="center"/>
            <w:hideMark/>
          </w:tcPr>
          <w:p w14:paraId="60F4922B" w14:textId="77777777" w:rsidR="00000000" w:rsidRDefault="00195E73">
            <w:pPr>
              <w:rPr>
                <w:rFonts w:eastAsia="Times New Roman"/>
                <w:sz w:val="20"/>
                <w:szCs w:val="20"/>
              </w:rPr>
            </w:pPr>
          </w:p>
        </w:tc>
        <w:tc>
          <w:tcPr>
            <w:tcW w:w="5" w:type="pct"/>
            <w:vAlign w:val="center"/>
            <w:hideMark/>
          </w:tcPr>
          <w:p w14:paraId="21985683" w14:textId="77777777" w:rsidR="00000000" w:rsidRDefault="00195E73">
            <w:pPr>
              <w:rPr>
                <w:rFonts w:eastAsia="Times New Roman"/>
                <w:sz w:val="20"/>
                <w:szCs w:val="20"/>
              </w:rPr>
            </w:pPr>
          </w:p>
        </w:tc>
        <w:tc>
          <w:tcPr>
            <w:tcW w:w="50" w:type="pct"/>
            <w:vAlign w:val="center"/>
            <w:hideMark/>
          </w:tcPr>
          <w:p w14:paraId="6C3B9FBA" w14:textId="77777777" w:rsidR="00000000" w:rsidRDefault="00195E73">
            <w:pPr>
              <w:rPr>
                <w:rFonts w:eastAsia="Times New Roman"/>
                <w:sz w:val="20"/>
                <w:szCs w:val="20"/>
              </w:rPr>
            </w:pPr>
          </w:p>
        </w:tc>
        <w:tc>
          <w:tcPr>
            <w:tcW w:w="633" w:type="pct"/>
            <w:vAlign w:val="center"/>
            <w:hideMark/>
          </w:tcPr>
          <w:p w14:paraId="466B8EFE" w14:textId="77777777" w:rsidR="00000000" w:rsidRDefault="00195E73">
            <w:pPr>
              <w:rPr>
                <w:rFonts w:eastAsia="Times New Roman"/>
                <w:sz w:val="20"/>
                <w:szCs w:val="20"/>
              </w:rPr>
            </w:pPr>
          </w:p>
        </w:tc>
        <w:tc>
          <w:tcPr>
            <w:tcW w:w="50" w:type="pct"/>
            <w:vAlign w:val="center"/>
            <w:hideMark/>
          </w:tcPr>
          <w:p w14:paraId="275979D2" w14:textId="77777777" w:rsidR="00000000" w:rsidRDefault="00195E73">
            <w:pPr>
              <w:rPr>
                <w:rFonts w:eastAsia="Times New Roman"/>
                <w:sz w:val="20"/>
                <w:szCs w:val="20"/>
              </w:rPr>
            </w:pPr>
          </w:p>
        </w:tc>
      </w:tr>
      <w:tr w:rsidR="00000000" w14:paraId="3474E7B6" w14:textId="77777777">
        <w:trPr>
          <w:divId w:val="542640841"/>
          <w:jc w:val="center"/>
        </w:trPr>
        <w:tc>
          <w:tcPr>
            <w:tcW w:w="0" w:type="auto"/>
            <w:gridSpan w:val="3"/>
            <w:tcMar>
              <w:top w:w="30" w:type="dxa"/>
              <w:left w:w="20" w:type="dxa"/>
              <w:bottom w:w="30" w:type="dxa"/>
              <w:right w:w="20" w:type="dxa"/>
            </w:tcMar>
            <w:vAlign w:val="bottom"/>
            <w:hideMark/>
          </w:tcPr>
          <w:p w14:paraId="4637CDD4" w14:textId="77777777" w:rsidR="00000000" w:rsidRDefault="00195E73">
            <w:pPr>
              <w:rPr>
                <w:rFonts w:eastAsia="Times New Roman"/>
              </w:rPr>
            </w:pPr>
            <w:r>
              <w:rPr>
                <w:rFonts w:eastAsia="Times New Roman"/>
                <w:b/>
                <w:bCs/>
                <w:color w:val="000000"/>
                <w:sz w:val="20"/>
                <w:szCs w:val="20"/>
              </w:rPr>
              <w:t>Yea</w:t>
            </w:r>
            <w:r>
              <w:rPr>
                <w:rFonts w:eastAsia="Times New Roman"/>
                <w:b/>
                <w:bCs/>
                <w:color w:val="000000"/>
                <w:sz w:val="20"/>
                <w:szCs w:val="20"/>
              </w:rPr>
              <w:t>r</w:t>
            </w:r>
          </w:p>
        </w:tc>
        <w:tc>
          <w:tcPr>
            <w:tcW w:w="0" w:type="auto"/>
            <w:gridSpan w:val="3"/>
            <w:tcMar>
              <w:top w:w="15" w:type="dxa"/>
              <w:left w:w="20" w:type="dxa"/>
              <w:bottom w:w="15" w:type="dxa"/>
              <w:right w:w="20" w:type="dxa"/>
            </w:tcMar>
            <w:vAlign w:val="bottom"/>
            <w:hideMark/>
          </w:tcPr>
          <w:p w14:paraId="65E01322"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604AE660" w14:textId="77777777" w:rsidR="00000000" w:rsidRDefault="00195E73">
            <w:pPr>
              <w:jc w:val="center"/>
              <w:rPr>
                <w:rFonts w:eastAsia="Times New Roman"/>
              </w:rPr>
            </w:pPr>
            <w:r>
              <w:rPr>
                <w:rFonts w:eastAsia="Times New Roman"/>
                <w:b/>
                <w:bCs/>
                <w:color w:val="000000"/>
                <w:sz w:val="20"/>
                <w:szCs w:val="20"/>
              </w:rPr>
              <w:t>Amoun</w:t>
            </w:r>
            <w:r>
              <w:rPr>
                <w:rFonts w:eastAsia="Times New Roman"/>
                <w:b/>
                <w:bCs/>
                <w:color w:val="000000"/>
                <w:sz w:val="20"/>
                <w:szCs w:val="20"/>
              </w:rPr>
              <w:t>t</w:t>
            </w:r>
          </w:p>
        </w:tc>
      </w:tr>
      <w:tr w:rsidR="00000000" w14:paraId="64532937" w14:textId="77777777">
        <w:trPr>
          <w:divId w:val="542640841"/>
          <w:jc w:val="center"/>
        </w:trPr>
        <w:tc>
          <w:tcPr>
            <w:tcW w:w="0" w:type="auto"/>
            <w:gridSpan w:val="3"/>
            <w:tcBorders>
              <w:top w:val="single" w:sz="8" w:space="0" w:color="000000"/>
            </w:tcBorders>
            <w:tcMar>
              <w:top w:w="15" w:type="dxa"/>
              <w:left w:w="20" w:type="dxa"/>
              <w:bottom w:w="15" w:type="dxa"/>
              <w:right w:w="20" w:type="dxa"/>
            </w:tcMar>
            <w:vAlign w:val="bottom"/>
            <w:hideMark/>
          </w:tcPr>
          <w:p w14:paraId="03EA0E1B" w14:textId="77777777" w:rsidR="00000000" w:rsidRDefault="00195E73">
            <w:pPr>
              <w:jc w:val="center"/>
              <w:rPr>
                <w:rFonts w:eastAsia="Times New Roman"/>
              </w:rPr>
            </w:pPr>
          </w:p>
        </w:tc>
        <w:tc>
          <w:tcPr>
            <w:tcW w:w="0" w:type="auto"/>
            <w:gridSpan w:val="3"/>
            <w:tcMar>
              <w:top w:w="15" w:type="dxa"/>
              <w:left w:w="20" w:type="dxa"/>
              <w:bottom w:w="15" w:type="dxa"/>
              <w:right w:w="20" w:type="dxa"/>
            </w:tcMar>
            <w:vAlign w:val="bottom"/>
            <w:hideMark/>
          </w:tcPr>
          <w:p w14:paraId="452BE53E" w14:textId="77777777" w:rsidR="00000000" w:rsidRDefault="00195E73">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400667A5"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50C302E7" w14:textId="77777777" w:rsidR="00000000" w:rsidRDefault="00195E73">
            <w:pPr>
              <w:jc w:val="right"/>
              <w:rPr>
                <w:rFonts w:eastAsia="Times New Roman"/>
              </w:rPr>
            </w:pPr>
            <w:r>
              <w:rPr>
                <w:rFonts w:eastAsia="Times New Roman"/>
                <w:color w:val="000000"/>
                <w:sz w:val="16"/>
                <w:szCs w:val="16"/>
              </w:rPr>
              <w:t> </w:t>
            </w:r>
          </w:p>
        </w:tc>
      </w:tr>
      <w:tr w:rsidR="00000000" w14:paraId="32EFD274" w14:textId="77777777">
        <w:trPr>
          <w:divId w:val="542640841"/>
          <w:jc w:val="center"/>
        </w:trPr>
        <w:tc>
          <w:tcPr>
            <w:tcW w:w="0" w:type="auto"/>
            <w:gridSpan w:val="3"/>
            <w:shd w:val="clear" w:color="auto" w:fill="CCEEFF"/>
            <w:tcMar>
              <w:top w:w="30" w:type="dxa"/>
              <w:left w:w="20" w:type="dxa"/>
              <w:bottom w:w="30" w:type="dxa"/>
              <w:right w:w="20" w:type="dxa"/>
            </w:tcMar>
            <w:vAlign w:val="bottom"/>
            <w:hideMark/>
          </w:tcPr>
          <w:p w14:paraId="6560FFE4"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14:paraId="5545B0A8" w14:textId="77777777" w:rsidR="00000000" w:rsidRDefault="00195E73">
            <w:pPr>
              <w:rPr>
                <w:rFonts w:eastAsia="Times New Roman"/>
              </w:rPr>
            </w:pPr>
          </w:p>
        </w:tc>
        <w:tc>
          <w:tcPr>
            <w:tcW w:w="0" w:type="auto"/>
            <w:shd w:val="clear" w:color="auto" w:fill="CCEEFF"/>
            <w:tcMar>
              <w:top w:w="30" w:type="dxa"/>
              <w:left w:w="20" w:type="dxa"/>
              <w:bottom w:w="30" w:type="dxa"/>
              <w:right w:w="15" w:type="dxa"/>
            </w:tcMar>
            <w:vAlign w:val="bottom"/>
            <w:hideMark/>
          </w:tcPr>
          <w:p w14:paraId="6D970D4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6E51404" w14:textId="77777777" w:rsidR="00000000" w:rsidRDefault="00195E73">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D3DB259" w14:textId="77777777" w:rsidR="00000000" w:rsidRDefault="00195E73">
            <w:pPr>
              <w:jc w:val="right"/>
              <w:rPr>
                <w:rFonts w:eastAsia="Times New Roman"/>
              </w:rPr>
            </w:pPr>
            <w:r>
              <w:rPr>
                <w:rFonts w:eastAsia="Times New Roman"/>
                <w:color w:val="000000"/>
                <w:sz w:val="20"/>
                <w:szCs w:val="20"/>
              </w:rPr>
              <w:t> </w:t>
            </w:r>
          </w:p>
        </w:tc>
      </w:tr>
      <w:tr w:rsidR="00000000" w14:paraId="7E64545F" w14:textId="77777777">
        <w:trPr>
          <w:divId w:val="542640841"/>
          <w:jc w:val="center"/>
        </w:trPr>
        <w:tc>
          <w:tcPr>
            <w:tcW w:w="0" w:type="auto"/>
            <w:gridSpan w:val="3"/>
            <w:shd w:val="clear" w:color="auto" w:fill="FFFFFF"/>
            <w:tcMar>
              <w:top w:w="30" w:type="dxa"/>
              <w:left w:w="20" w:type="dxa"/>
              <w:bottom w:w="30" w:type="dxa"/>
              <w:right w:w="20" w:type="dxa"/>
            </w:tcMar>
            <w:vAlign w:val="bottom"/>
            <w:hideMark/>
          </w:tcPr>
          <w:p w14:paraId="356988FA"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14:paraId="2CB8BAAF"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DE9993" w14:textId="77777777" w:rsidR="00000000" w:rsidRDefault="00195E73">
            <w:pPr>
              <w:jc w:val="right"/>
              <w:rPr>
                <w:rFonts w:eastAsia="Times New Roman"/>
              </w:rPr>
            </w:pPr>
            <w:r>
              <w:rPr>
                <w:rFonts w:eastAsia="Times New Roman"/>
                <w:color w:val="000000"/>
                <w:sz w:val="20"/>
                <w:szCs w:val="20"/>
              </w:rPr>
              <w:t>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7B6799E" w14:textId="77777777" w:rsidR="00000000" w:rsidRDefault="00195E73">
            <w:pPr>
              <w:jc w:val="right"/>
              <w:rPr>
                <w:rFonts w:eastAsia="Times New Roman"/>
              </w:rPr>
            </w:pPr>
            <w:r>
              <w:rPr>
                <w:rFonts w:eastAsia="Times New Roman"/>
                <w:color w:val="000000"/>
                <w:sz w:val="20"/>
                <w:szCs w:val="20"/>
              </w:rPr>
              <w:t> </w:t>
            </w:r>
          </w:p>
        </w:tc>
      </w:tr>
      <w:tr w:rsidR="00000000" w14:paraId="2C311B66" w14:textId="77777777">
        <w:trPr>
          <w:divId w:val="542640841"/>
          <w:jc w:val="center"/>
        </w:trPr>
        <w:tc>
          <w:tcPr>
            <w:tcW w:w="0" w:type="auto"/>
            <w:gridSpan w:val="3"/>
            <w:shd w:val="clear" w:color="auto" w:fill="CCEEFF"/>
            <w:tcMar>
              <w:top w:w="30" w:type="dxa"/>
              <w:left w:w="20" w:type="dxa"/>
              <w:bottom w:w="30" w:type="dxa"/>
              <w:right w:w="20" w:type="dxa"/>
            </w:tcMar>
            <w:vAlign w:val="bottom"/>
            <w:hideMark/>
          </w:tcPr>
          <w:p w14:paraId="6A05C6A2"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14:paraId="7AA21415"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E964A9" w14:textId="77777777" w:rsidR="00000000" w:rsidRDefault="00195E73">
            <w:pPr>
              <w:jc w:val="right"/>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2C78B20" w14:textId="77777777" w:rsidR="00000000" w:rsidRDefault="00195E73">
            <w:pPr>
              <w:jc w:val="right"/>
              <w:rPr>
                <w:rFonts w:eastAsia="Times New Roman"/>
              </w:rPr>
            </w:pPr>
            <w:r>
              <w:rPr>
                <w:rFonts w:eastAsia="Times New Roman"/>
                <w:color w:val="000000"/>
                <w:sz w:val="20"/>
                <w:szCs w:val="20"/>
              </w:rPr>
              <w:t> </w:t>
            </w:r>
          </w:p>
        </w:tc>
      </w:tr>
      <w:tr w:rsidR="00000000" w14:paraId="252E7B7F" w14:textId="77777777">
        <w:trPr>
          <w:divId w:val="542640841"/>
          <w:jc w:val="center"/>
        </w:trPr>
        <w:tc>
          <w:tcPr>
            <w:tcW w:w="0" w:type="auto"/>
            <w:gridSpan w:val="3"/>
            <w:shd w:val="clear" w:color="auto" w:fill="FFFFFF"/>
            <w:tcMar>
              <w:top w:w="30" w:type="dxa"/>
              <w:left w:w="20" w:type="dxa"/>
              <w:bottom w:w="30" w:type="dxa"/>
              <w:right w:w="20" w:type="dxa"/>
            </w:tcMar>
            <w:vAlign w:val="bottom"/>
            <w:hideMark/>
          </w:tcPr>
          <w:p w14:paraId="72F4EA8C"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14:paraId="38D6FC8A"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A30164" w14:textId="77777777" w:rsidR="00000000" w:rsidRDefault="00195E73">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A792934" w14:textId="77777777" w:rsidR="00000000" w:rsidRDefault="00195E73">
            <w:pPr>
              <w:jc w:val="right"/>
              <w:rPr>
                <w:rFonts w:eastAsia="Times New Roman"/>
              </w:rPr>
            </w:pPr>
            <w:r>
              <w:rPr>
                <w:rFonts w:eastAsia="Times New Roman"/>
                <w:color w:val="000000"/>
                <w:sz w:val="20"/>
                <w:szCs w:val="20"/>
              </w:rPr>
              <w:t> </w:t>
            </w:r>
          </w:p>
        </w:tc>
      </w:tr>
      <w:tr w:rsidR="00000000" w14:paraId="56407B12" w14:textId="77777777">
        <w:trPr>
          <w:divId w:val="542640841"/>
          <w:jc w:val="center"/>
        </w:trPr>
        <w:tc>
          <w:tcPr>
            <w:tcW w:w="0" w:type="auto"/>
            <w:gridSpan w:val="3"/>
            <w:shd w:val="clear" w:color="auto" w:fill="CCEEFF"/>
            <w:tcMar>
              <w:top w:w="30" w:type="dxa"/>
              <w:left w:w="20" w:type="dxa"/>
              <w:bottom w:w="30" w:type="dxa"/>
              <w:right w:w="20" w:type="dxa"/>
            </w:tcMar>
            <w:vAlign w:val="bottom"/>
            <w:hideMark/>
          </w:tcPr>
          <w:p w14:paraId="0344752E"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14:paraId="74502878"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2D7DBB" w14:textId="77777777" w:rsidR="00000000" w:rsidRDefault="00195E73">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63D3C55" w14:textId="77777777" w:rsidR="00000000" w:rsidRDefault="00195E73">
            <w:pPr>
              <w:jc w:val="right"/>
              <w:rPr>
                <w:rFonts w:eastAsia="Times New Roman"/>
              </w:rPr>
            </w:pPr>
            <w:r>
              <w:rPr>
                <w:rFonts w:eastAsia="Times New Roman"/>
                <w:color w:val="000000"/>
                <w:sz w:val="20"/>
                <w:szCs w:val="20"/>
              </w:rPr>
              <w:t> </w:t>
            </w:r>
          </w:p>
        </w:tc>
      </w:tr>
      <w:tr w:rsidR="00000000" w14:paraId="3DCBE23E" w14:textId="77777777">
        <w:trPr>
          <w:divId w:val="542640841"/>
          <w:jc w:val="center"/>
        </w:trPr>
        <w:tc>
          <w:tcPr>
            <w:tcW w:w="0" w:type="auto"/>
            <w:gridSpan w:val="3"/>
            <w:shd w:val="clear" w:color="auto" w:fill="FFFFFF"/>
            <w:tcMar>
              <w:top w:w="30" w:type="dxa"/>
              <w:left w:w="20" w:type="dxa"/>
              <w:bottom w:w="30" w:type="dxa"/>
              <w:right w:w="20" w:type="dxa"/>
            </w:tcMar>
            <w:vAlign w:val="bottom"/>
            <w:hideMark/>
          </w:tcPr>
          <w:p w14:paraId="02BE347D" w14:textId="77777777" w:rsidR="00000000" w:rsidRDefault="00195E73">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14:paraId="55F055CF"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18BB19" w14:textId="77777777" w:rsidR="00000000" w:rsidRDefault="00195E73">
            <w:pPr>
              <w:jc w:val="right"/>
              <w:rPr>
                <w:rFonts w:eastAsia="Times New Roman"/>
              </w:rPr>
            </w:pPr>
            <w:r>
              <w:rPr>
                <w:rFonts w:eastAsia="Times New Roman"/>
                <w:color w:val="000000"/>
                <w:sz w:val="20"/>
                <w:szCs w:val="20"/>
              </w:rPr>
              <w:t>198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FCE70D8" w14:textId="77777777" w:rsidR="00000000" w:rsidRDefault="00195E73">
            <w:pPr>
              <w:jc w:val="right"/>
              <w:rPr>
                <w:rFonts w:eastAsia="Times New Roman"/>
              </w:rPr>
            </w:pPr>
            <w:r>
              <w:rPr>
                <w:rFonts w:eastAsia="Times New Roman"/>
                <w:color w:val="000000"/>
                <w:sz w:val="20"/>
                <w:szCs w:val="20"/>
              </w:rPr>
              <w:t> </w:t>
            </w:r>
          </w:p>
        </w:tc>
      </w:tr>
      <w:tr w:rsidR="00000000" w14:paraId="0DAAAC80" w14:textId="77777777">
        <w:trPr>
          <w:divId w:val="542640841"/>
          <w:jc w:val="center"/>
        </w:trPr>
        <w:tc>
          <w:tcPr>
            <w:tcW w:w="0" w:type="auto"/>
            <w:gridSpan w:val="3"/>
            <w:shd w:val="clear" w:color="auto" w:fill="CCEEFF"/>
            <w:tcMar>
              <w:top w:w="15" w:type="dxa"/>
              <w:left w:w="20" w:type="dxa"/>
              <w:bottom w:w="15" w:type="dxa"/>
              <w:right w:w="20" w:type="dxa"/>
            </w:tcMar>
            <w:vAlign w:val="bottom"/>
            <w:hideMark/>
          </w:tcPr>
          <w:p w14:paraId="51B3287C"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124ED38"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0AD64D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701A035" w14:textId="77777777" w:rsidR="00000000" w:rsidRDefault="00195E73">
            <w:pPr>
              <w:jc w:val="right"/>
              <w:rPr>
                <w:rFonts w:eastAsia="Times New Roman"/>
              </w:rPr>
            </w:pPr>
            <w:r>
              <w:rPr>
                <w:rFonts w:eastAsia="Times New Roman"/>
                <w:color w:val="000000"/>
                <w:sz w:val="20"/>
                <w:szCs w:val="20"/>
              </w:rPr>
              <w:t>369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46BFBE1" w14:textId="77777777" w:rsidR="00000000" w:rsidRDefault="00195E73">
            <w:pPr>
              <w:jc w:val="right"/>
              <w:rPr>
                <w:rFonts w:eastAsia="Times New Roman"/>
              </w:rPr>
            </w:pPr>
            <w:r>
              <w:rPr>
                <w:rFonts w:eastAsia="Times New Roman"/>
                <w:color w:val="000000"/>
                <w:sz w:val="20"/>
                <w:szCs w:val="20"/>
              </w:rPr>
              <w:t> </w:t>
            </w:r>
          </w:p>
        </w:tc>
      </w:tr>
    </w:tbl>
    <w:p w14:paraId="67A86218" w14:textId="77777777" w:rsidR="00000000" w:rsidRDefault="00195E73">
      <w:pPr>
        <w:divId w:val="1508400198"/>
        <w:rPr>
          <w:rFonts w:eastAsia="Times New Roman"/>
        </w:rPr>
      </w:pPr>
    </w:p>
    <w:p w14:paraId="41C82A61" w14:textId="77777777" w:rsidR="00000000" w:rsidRDefault="00195E73">
      <w:pPr>
        <w:divId w:val="247157447"/>
        <w:rPr>
          <w:rFonts w:eastAsia="Times New Roman"/>
        </w:rPr>
      </w:pPr>
    </w:p>
    <w:p w14:paraId="370EA826" w14:textId="77777777" w:rsidR="00000000" w:rsidRDefault="00195E73">
      <w:pPr>
        <w:divId w:val="1154181096"/>
        <w:rPr>
          <w:rFonts w:eastAsia="Times New Roman"/>
        </w:rPr>
      </w:pPr>
      <w:r>
        <w:rPr>
          <w:rFonts w:eastAsia="Times New Roman"/>
          <w:b/>
          <w:bCs/>
          <w:i/>
          <w:iCs/>
          <w:color w:val="000000"/>
          <w:sz w:val="20"/>
          <w:szCs w:val="20"/>
        </w:rPr>
        <w:t>Acquisition</w:t>
      </w:r>
      <w:r>
        <w:rPr>
          <w:rFonts w:eastAsia="Times New Roman"/>
          <w:b/>
          <w:bCs/>
          <w:i/>
          <w:iCs/>
          <w:color w:val="000000"/>
          <w:sz w:val="20"/>
          <w:szCs w:val="20"/>
        </w:rPr>
        <w:t>s</w:t>
      </w:r>
    </w:p>
    <w:p w14:paraId="48559CA3" w14:textId="77777777" w:rsidR="00000000" w:rsidRDefault="00195E73">
      <w:pPr>
        <w:ind w:firstLine="450"/>
        <w:divId w:val="1717772994"/>
        <w:rPr>
          <w:rFonts w:eastAsia="Times New Roman"/>
        </w:rPr>
      </w:pPr>
      <w:r>
        <w:rPr>
          <w:rFonts w:eastAsia="Times New Roman"/>
          <w:color w:val="000000"/>
          <w:sz w:val="20"/>
          <w:szCs w:val="20"/>
        </w:rPr>
        <w:t>Acquisitions during the year ended December 31, 2019 were not material individually or in the aggregate. As a result of certain acquisitions, our Automotive segment allocated $8 million to goodwill and $1 million to definite-lived intangible a</w:t>
      </w:r>
      <w:r>
        <w:rPr>
          <w:rFonts w:eastAsia="Times New Roman"/>
          <w:color w:val="000000"/>
          <w:sz w:val="20"/>
          <w:szCs w:val="20"/>
        </w:rPr>
        <w:t>ssets during 2019. In addition, as a result of certain acquisitions, our Home Fashion segment allocated $22 million to goodwill and $1 million to definite-lived intangible assets during 2019 and our Metals segment allocated $4 million and $6 million to goo</w:t>
      </w:r>
      <w:r>
        <w:rPr>
          <w:rFonts w:eastAsia="Times New Roman"/>
          <w:color w:val="000000"/>
          <w:sz w:val="20"/>
          <w:szCs w:val="20"/>
        </w:rPr>
        <w:t>dwill and definite-lived intangible assets, respectively, also during 2019</w:t>
      </w:r>
      <w:r>
        <w:rPr>
          <w:rFonts w:eastAsia="Times New Roman"/>
          <w:color w:val="000000"/>
          <w:sz w:val="20"/>
          <w:szCs w:val="20"/>
        </w:rPr>
        <w:t>.</w:t>
      </w:r>
    </w:p>
    <w:p w14:paraId="1766E319" w14:textId="77777777" w:rsidR="00000000" w:rsidRDefault="00195E73">
      <w:pPr>
        <w:divId w:val="1891762240"/>
        <w:rPr>
          <w:rFonts w:eastAsia="Times New Roman"/>
        </w:rPr>
      </w:pPr>
      <w:r>
        <w:rPr>
          <w:rFonts w:eastAsia="Times New Roman"/>
          <w:b/>
          <w:bCs/>
          <w:i/>
          <w:iCs/>
          <w:color w:val="000000"/>
          <w:sz w:val="20"/>
          <w:szCs w:val="20"/>
        </w:rPr>
        <w:t>Impairment of Goodwil</w:t>
      </w:r>
      <w:r>
        <w:rPr>
          <w:rFonts w:eastAsia="Times New Roman"/>
          <w:b/>
          <w:bCs/>
          <w:i/>
          <w:iCs/>
          <w:color w:val="000000"/>
          <w:sz w:val="20"/>
          <w:szCs w:val="20"/>
        </w:rPr>
        <w:t>l</w:t>
      </w:r>
    </w:p>
    <w:p w14:paraId="6122ED4D" w14:textId="77777777" w:rsidR="00000000" w:rsidRDefault="00195E73">
      <w:pPr>
        <w:ind w:firstLine="405"/>
        <w:divId w:val="282347496"/>
        <w:rPr>
          <w:rFonts w:eastAsia="Times New Roman"/>
        </w:rPr>
      </w:pPr>
      <w:r>
        <w:rPr>
          <w:rFonts w:eastAsia="Times New Roman"/>
          <w:color w:val="000000"/>
          <w:sz w:val="20"/>
          <w:szCs w:val="20"/>
        </w:rPr>
        <w:t>When performing the quantitative analysis for goodwill impairment testing, we base the fair value of our reporting units on consideration of various valuatio</w:t>
      </w:r>
      <w:r>
        <w:rPr>
          <w:rFonts w:eastAsia="Times New Roman"/>
          <w:color w:val="000000"/>
          <w:sz w:val="20"/>
          <w:szCs w:val="20"/>
        </w:rPr>
        <w:t>n methodologies, including projecting future cash flows discounted at rates commensurate with the risks involved (“DCF”). Assumptions used in a DCF require the exercise of significant judgment, including judgment about appropriate discount rates and termin</w:t>
      </w:r>
      <w:r>
        <w:rPr>
          <w:rFonts w:eastAsia="Times New Roman"/>
          <w:color w:val="000000"/>
          <w:sz w:val="20"/>
          <w:szCs w:val="20"/>
        </w:rPr>
        <w:t>al values, growth rates, and the amount and timing of expected future cash flows. The forecasted cash flows are based on current plans and for years beyond that plan, the estimates are based on assumed growth rates. We believe that our assumptions are cons</w:t>
      </w:r>
      <w:r>
        <w:rPr>
          <w:rFonts w:eastAsia="Times New Roman"/>
          <w:color w:val="000000"/>
          <w:sz w:val="20"/>
          <w:szCs w:val="20"/>
        </w:rPr>
        <w:t>istent with the plans and estimates used to manage the underlying businesses. The discount rates, which are intended to reflect the risks inherent in future cash flow projections, used in a DCF are based on estimates of the weighted-average cost of capital</w:t>
      </w:r>
      <w:r>
        <w:rPr>
          <w:rFonts w:eastAsia="Times New Roman"/>
          <w:color w:val="000000"/>
          <w:sz w:val="20"/>
          <w:szCs w:val="20"/>
        </w:rPr>
        <w:t xml:space="preserve"> of a market participant. Such estimates are derived from our analysis of peer companies and consider the industry weighted average return on debt and equity from a market participant perspective</w:t>
      </w:r>
      <w:r>
        <w:rPr>
          <w:rFonts w:eastAsia="Times New Roman"/>
          <w:color w:val="000000"/>
          <w:sz w:val="20"/>
          <w:szCs w:val="20"/>
        </w:rPr>
        <w:t>.</w:t>
      </w:r>
    </w:p>
    <w:p w14:paraId="13F69E28" w14:textId="77777777" w:rsidR="00000000" w:rsidRDefault="00195E73">
      <w:pPr>
        <w:divId w:val="449082790"/>
        <w:rPr>
          <w:rFonts w:eastAsia="Times New Roman"/>
        </w:rPr>
      </w:pPr>
      <w:r>
        <w:rPr>
          <w:rFonts w:eastAsia="Times New Roman"/>
          <w:i/>
          <w:iCs/>
          <w:color w:val="000000"/>
          <w:sz w:val="20"/>
          <w:szCs w:val="20"/>
        </w:rPr>
        <w:t>Automotiv</w:t>
      </w:r>
      <w:r>
        <w:rPr>
          <w:rFonts w:eastAsia="Times New Roman"/>
          <w:i/>
          <w:iCs/>
          <w:color w:val="000000"/>
          <w:sz w:val="20"/>
          <w:szCs w:val="20"/>
        </w:rPr>
        <w:t>e</w:t>
      </w:r>
    </w:p>
    <w:p w14:paraId="771E2FAE" w14:textId="77777777" w:rsidR="00000000" w:rsidRDefault="00195E73">
      <w:pPr>
        <w:ind w:firstLine="405"/>
        <w:divId w:val="140194248"/>
        <w:rPr>
          <w:rFonts w:eastAsia="Times New Roman"/>
        </w:rPr>
      </w:pPr>
      <w:r>
        <w:rPr>
          <w:rFonts w:eastAsia="Times New Roman"/>
          <w:color w:val="000000"/>
          <w:sz w:val="20"/>
          <w:szCs w:val="20"/>
        </w:rPr>
        <w:t>We perform the annual goodwill impairment test f</w:t>
      </w:r>
      <w:r>
        <w:rPr>
          <w:rFonts w:eastAsia="Times New Roman"/>
          <w:color w:val="000000"/>
          <w:sz w:val="20"/>
          <w:szCs w:val="20"/>
        </w:rPr>
        <w:t>or our Automotive segment as of October 1 of each year, or more frequently if impairment indicators exist.</w:t>
      </w:r>
      <w:r>
        <w:rPr>
          <w:rFonts w:eastAsia="Times New Roman"/>
          <w:color w:val="000000"/>
          <w:sz w:val="20"/>
          <w:szCs w:val="20"/>
        </w:rPr>
        <w:t xml:space="preserve"> </w:t>
      </w:r>
    </w:p>
    <w:p w14:paraId="5C182D88" w14:textId="77777777" w:rsidR="00000000" w:rsidRDefault="00195E73">
      <w:pPr>
        <w:ind w:firstLine="405"/>
        <w:divId w:val="1432698691"/>
        <w:rPr>
          <w:rFonts w:eastAsia="Times New Roman"/>
        </w:rPr>
      </w:pPr>
      <w:r>
        <w:rPr>
          <w:rFonts w:eastAsia="Times New Roman"/>
          <w:color w:val="000000"/>
          <w:sz w:val="20"/>
          <w:szCs w:val="20"/>
        </w:rPr>
        <w:t>In the fourth quarter of 2018, coinciding with our annual goodwill impairment analysis, we reorganized our Automotive segment's reporting units. Pri</w:t>
      </w:r>
      <w:r>
        <w:rPr>
          <w:rFonts w:eastAsia="Times New Roman"/>
          <w:color w:val="000000"/>
          <w:sz w:val="20"/>
          <w:szCs w:val="20"/>
        </w:rPr>
        <w:t>or to the reorganization, our Automotive segment had two reporting units, Pep-Boys and AutoPlus, with all of its goodwill allocated to the Pep-Boys reporting unit. A goodwill impairment analysis just prior to the reorganization did not have an impact on th</w:t>
      </w:r>
      <w:r>
        <w:rPr>
          <w:rFonts w:eastAsia="Times New Roman"/>
          <w:color w:val="000000"/>
          <w:sz w:val="20"/>
          <w:szCs w:val="20"/>
        </w:rPr>
        <w:t>e Pep-Boys reporting unit goodwill. Upon reorganization of the reporting units, a portion of the Pep-Boys reporting unit was reallocated to the AutoPlus reporting unit, which resulted in our Automotive segment continuing to have two redefined reporting uni</w:t>
      </w:r>
      <w:r>
        <w:rPr>
          <w:rFonts w:eastAsia="Times New Roman"/>
          <w:color w:val="000000"/>
          <w:sz w:val="20"/>
          <w:szCs w:val="20"/>
        </w:rPr>
        <w:t>ts, Service and Parts. As a result, a portion of the goodwill was reallocated using a relative fair value allocation approach, which resulted in approximately 27% of the goodwill being reallocated to the Parts reporting unit. Based on our annual goodwill i</w:t>
      </w:r>
      <w:r>
        <w:rPr>
          <w:rFonts w:eastAsia="Times New Roman"/>
          <w:color w:val="000000"/>
          <w:sz w:val="20"/>
          <w:szCs w:val="20"/>
        </w:rPr>
        <w:t>mpairment analysis for our Automotive segment, which reflected our reorganized reporting units, we determined that the carrying value of its Parts reporting unit exceeded its fair value and as a result, we recognized a goodwill impairment charge of $87 mil</w:t>
      </w:r>
      <w:r>
        <w:rPr>
          <w:rFonts w:eastAsia="Times New Roman"/>
          <w:color w:val="000000"/>
          <w:sz w:val="20"/>
          <w:szCs w:val="20"/>
        </w:rPr>
        <w:t>lion in the fourth quarter of 2018, which represented the full amount of the goodwill allocated to the Parts reporting unit. This impairment was the result of our reporting unit reorganization, which resulted in a significant amount of carrying value of ne</w:t>
      </w:r>
      <w:r>
        <w:rPr>
          <w:rFonts w:eastAsia="Times New Roman"/>
          <w:color w:val="000000"/>
          <w:sz w:val="20"/>
          <w:szCs w:val="20"/>
        </w:rPr>
        <w:t>t assets being reallocated to the Parts reporting unit, primarily for inventory, with a significantly lesser fair value due to the future projected cash flows of the Parts reporting unit, which resulted in the Parts reporting unit having a carrying value i</w:t>
      </w:r>
      <w:r>
        <w:rPr>
          <w:rFonts w:eastAsia="Times New Roman"/>
          <w:color w:val="000000"/>
          <w:sz w:val="20"/>
          <w:szCs w:val="20"/>
        </w:rPr>
        <w:t>n excess of its fair value. Therefore, the goodwill reallocated to the Parts reporting unit was immediately impaired. We also determined that the fair value of our Automotive</w:t>
      </w:r>
      <w:r>
        <w:rPr>
          <w:rFonts w:eastAsia="Times New Roman"/>
          <w:color w:val="000000"/>
          <w:sz w:val="20"/>
          <w:szCs w:val="20"/>
        </w:rPr>
        <w:t xml:space="preserve"> </w:t>
      </w:r>
    </w:p>
    <w:p w14:paraId="2697960C" w14:textId="77777777" w:rsidR="00000000" w:rsidRDefault="00195E73">
      <w:pPr>
        <w:jc w:val="center"/>
        <w:divId w:val="306252118"/>
        <w:rPr>
          <w:rFonts w:eastAsia="Times New Roman"/>
        </w:rPr>
      </w:pPr>
      <w:r>
        <w:rPr>
          <w:rFonts w:eastAsia="Times New Roman"/>
          <w:color w:val="000000"/>
          <w:sz w:val="20"/>
          <w:szCs w:val="20"/>
        </w:rPr>
        <w:t>9</w:t>
      </w:r>
      <w:r>
        <w:rPr>
          <w:rFonts w:eastAsia="Times New Roman"/>
          <w:color w:val="000000"/>
          <w:sz w:val="20"/>
          <w:szCs w:val="20"/>
        </w:rPr>
        <w:t>1</w:t>
      </w:r>
    </w:p>
    <w:p w14:paraId="20640375" w14:textId="77777777" w:rsidR="00000000" w:rsidRDefault="00195E73">
      <w:pPr>
        <w:rPr>
          <w:rFonts w:eastAsia="Times New Roman"/>
        </w:rPr>
      </w:pPr>
      <w:r>
        <w:rPr>
          <w:rFonts w:eastAsia="Times New Roman"/>
        </w:rPr>
        <w:pict w14:anchorId="4B9A4D82">
          <v:rect id="_x0000_i1117" style="width:0;height:1.5pt" o:hralign="center" o:hrstd="t" o:hr="t" fillcolor="#a0a0a0" stroked="f"/>
        </w:pict>
      </w:r>
    </w:p>
    <w:p w14:paraId="37E562B7" w14:textId="77777777" w:rsidR="00000000" w:rsidRDefault="00195E73">
      <w:pPr>
        <w:jc w:val="center"/>
        <w:divId w:val="861699616"/>
        <w:rPr>
          <w:rFonts w:eastAsia="Times New Roman"/>
        </w:rPr>
      </w:pPr>
    </w:p>
    <w:p w14:paraId="7608DDB2" w14:textId="77777777" w:rsidR="00000000" w:rsidRDefault="00195E73">
      <w:pPr>
        <w:jc w:val="center"/>
        <w:divId w:val="861699616"/>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4D2DDFFD" w14:textId="77777777" w:rsidR="00000000" w:rsidRDefault="00195E73">
      <w:pPr>
        <w:jc w:val="center"/>
        <w:divId w:val="861699616"/>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73F6BD28" w14:textId="77777777" w:rsidR="00000000" w:rsidRDefault="00195E73">
      <w:pPr>
        <w:jc w:val="center"/>
        <w:divId w:val="861699616"/>
        <w:rPr>
          <w:rFonts w:eastAsia="Times New Roman"/>
        </w:rPr>
      </w:pPr>
    </w:p>
    <w:p w14:paraId="5BC395F9" w14:textId="77777777" w:rsidR="00000000" w:rsidRDefault="00195E73">
      <w:pPr>
        <w:jc w:val="center"/>
        <w:divId w:val="861699616"/>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795D67C4" w14:textId="77777777" w:rsidR="00000000" w:rsidRDefault="00195E73">
      <w:pPr>
        <w:divId w:val="1056900153"/>
        <w:rPr>
          <w:rFonts w:eastAsia="Times New Roman"/>
        </w:rPr>
      </w:pPr>
      <w:r>
        <w:rPr>
          <w:rFonts w:eastAsia="Times New Roman"/>
          <w:color w:val="000000"/>
          <w:sz w:val="20"/>
          <w:szCs w:val="20"/>
        </w:rPr>
        <w:t>segment's Service reporting unit was significantly in excess of its carrying value a</w:t>
      </w:r>
      <w:r>
        <w:rPr>
          <w:rFonts w:eastAsia="Times New Roman"/>
          <w:color w:val="000000"/>
          <w:sz w:val="20"/>
          <w:szCs w:val="20"/>
        </w:rPr>
        <w:t>nd therefore, no additional impairment is required.</w:t>
      </w:r>
      <w:r>
        <w:rPr>
          <w:rFonts w:eastAsia="Times New Roman"/>
          <w:color w:val="000000"/>
          <w:sz w:val="20"/>
          <w:szCs w:val="20"/>
        </w:rPr>
        <w:t xml:space="preserve"> </w:t>
      </w:r>
    </w:p>
    <w:p w14:paraId="0F62C324" w14:textId="77777777" w:rsidR="00000000" w:rsidRDefault="00195E73">
      <w:pPr>
        <w:ind w:firstLine="405"/>
        <w:divId w:val="2139908016"/>
        <w:rPr>
          <w:rFonts w:eastAsia="Times New Roman"/>
        </w:rPr>
      </w:pPr>
      <w:r>
        <w:rPr>
          <w:rFonts w:eastAsia="Times New Roman"/>
          <w:color w:val="000000"/>
          <w:sz w:val="20"/>
          <w:szCs w:val="20"/>
        </w:rPr>
        <w:t>During 2019, our Automotive segment considered qualitative factors to determine that goodwill at its Service reporting unit does not require further testing for impairment.</w:t>
      </w:r>
      <w:r>
        <w:rPr>
          <w:rFonts w:eastAsia="Times New Roman"/>
          <w:color w:val="000000"/>
          <w:sz w:val="20"/>
          <w:szCs w:val="20"/>
        </w:rPr>
        <w:t xml:space="preserve"> </w:t>
      </w:r>
    </w:p>
    <w:p w14:paraId="5AE4F625" w14:textId="77777777" w:rsidR="00000000" w:rsidRDefault="00195E73">
      <w:pPr>
        <w:divId w:val="1750880613"/>
        <w:rPr>
          <w:rFonts w:eastAsia="Times New Roman"/>
        </w:rPr>
      </w:pPr>
    </w:p>
    <w:p w14:paraId="1CC3E0E1" w14:textId="77777777" w:rsidR="00000000" w:rsidRDefault="00195E73">
      <w:pPr>
        <w:divId w:val="731583650"/>
        <w:rPr>
          <w:rFonts w:eastAsia="Times New Roman"/>
        </w:rPr>
      </w:pPr>
    </w:p>
    <w:p w14:paraId="2196DFBF" w14:textId="77777777" w:rsidR="00000000" w:rsidRDefault="00195E73">
      <w:pPr>
        <w:divId w:val="131295208"/>
        <w:rPr>
          <w:rFonts w:eastAsia="Times New Roman"/>
        </w:rPr>
      </w:pPr>
      <w:r>
        <w:rPr>
          <w:rFonts w:eastAsia="Times New Roman"/>
          <w:b/>
          <w:bCs/>
          <w:color w:val="000000"/>
          <w:sz w:val="20"/>
          <w:szCs w:val="20"/>
        </w:rPr>
        <w:t>10. Leases</w:t>
      </w:r>
      <w:r>
        <w:rPr>
          <w:rFonts w:eastAsia="Times New Roman"/>
          <w:b/>
          <w:bCs/>
          <w:color w:val="000000"/>
          <w:sz w:val="20"/>
          <w:szCs w:val="20"/>
        </w:rPr>
        <w:t>.</w:t>
      </w:r>
    </w:p>
    <w:p w14:paraId="34126B38" w14:textId="77777777" w:rsidR="00000000" w:rsidRDefault="00195E73">
      <w:pPr>
        <w:divId w:val="1532107843"/>
        <w:rPr>
          <w:rFonts w:eastAsia="Times New Roman"/>
        </w:rPr>
      </w:pPr>
      <w:r>
        <w:rPr>
          <w:rFonts w:eastAsia="Times New Roman"/>
          <w:i/>
          <w:iCs/>
          <w:color w:val="000000"/>
          <w:sz w:val="20"/>
          <w:szCs w:val="20"/>
        </w:rPr>
        <w:t>All Segments and Holding Compan</w:t>
      </w:r>
      <w:r>
        <w:rPr>
          <w:rFonts w:eastAsia="Times New Roman"/>
          <w:i/>
          <w:iCs/>
          <w:color w:val="000000"/>
          <w:sz w:val="20"/>
          <w:szCs w:val="20"/>
        </w:rPr>
        <w:t>y</w:t>
      </w:r>
    </w:p>
    <w:p w14:paraId="41A80C19" w14:textId="77777777" w:rsidR="00000000" w:rsidRDefault="00195E73">
      <w:pPr>
        <w:ind w:firstLine="450"/>
        <w:divId w:val="1005548040"/>
        <w:rPr>
          <w:rFonts w:eastAsia="Times New Roman"/>
        </w:rPr>
      </w:pPr>
      <w:r>
        <w:rPr>
          <w:rFonts w:eastAsia="Times New Roman"/>
          <w:color w:val="000000"/>
          <w:sz w:val="20"/>
          <w:szCs w:val="20"/>
        </w:rPr>
        <w:t xml:space="preserve">We have operating and finance leases primarily within our Automotive, Energy and Food Packaging segments. Our Automotive segment leases assets, primarily real estate (operating) and vehicles (financing) and which primarily </w:t>
      </w:r>
      <w:r>
        <w:rPr>
          <w:rFonts w:eastAsia="Times New Roman"/>
          <w:color w:val="000000"/>
          <w:sz w:val="20"/>
          <w:szCs w:val="20"/>
        </w:rPr>
        <w:t xml:space="preserve">consist of leases that expire within 14 years. Our Energy segment leases certain pipelines, storage tanks, railcars, office space, land and equipment (operating and financing). Our Food Packaging segment leases assets, primarily real estate, equipment and </w:t>
      </w:r>
      <w:r>
        <w:rPr>
          <w:rFonts w:eastAsia="Times New Roman"/>
          <w:color w:val="000000"/>
          <w:sz w:val="20"/>
          <w:szCs w:val="20"/>
        </w:rPr>
        <w:t>vehicles (primarily operating). Our lease agreements do not contain any material residual value guarantees or material restrictive covenants. Right-of-use assets and related liabilities are recorded on the balance sheet for leases with an initial lease ter</w:t>
      </w:r>
      <w:r>
        <w:rPr>
          <w:rFonts w:eastAsia="Times New Roman"/>
          <w:color w:val="000000"/>
          <w:sz w:val="20"/>
          <w:szCs w:val="20"/>
        </w:rPr>
        <w:t>m in excess of twelve months and therefore, do not include any lease arrangements with initial lease terms of twelve months or less.</w:t>
      </w:r>
      <w:r>
        <w:rPr>
          <w:rFonts w:eastAsia="Times New Roman"/>
          <w:color w:val="000000"/>
          <w:sz w:val="20"/>
          <w:szCs w:val="20"/>
        </w:rPr>
        <w:t xml:space="preserve"> </w:t>
      </w:r>
    </w:p>
    <w:p w14:paraId="66E5033B" w14:textId="77777777" w:rsidR="00000000" w:rsidRDefault="00195E73">
      <w:pPr>
        <w:ind w:firstLine="450"/>
        <w:divId w:val="1076051210"/>
        <w:rPr>
          <w:rFonts w:eastAsia="Times New Roman"/>
        </w:rPr>
      </w:pPr>
    </w:p>
    <w:p w14:paraId="7AB9DAB4" w14:textId="77777777" w:rsidR="00000000" w:rsidRDefault="00195E73">
      <w:pPr>
        <w:ind w:firstLine="450"/>
        <w:divId w:val="1323392357"/>
        <w:rPr>
          <w:rFonts w:eastAsia="Times New Roman"/>
        </w:rPr>
      </w:pPr>
      <w:r>
        <w:rPr>
          <w:rFonts w:eastAsia="Times New Roman"/>
          <w:color w:val="000000"/>
          <w:sz w:val="20"/>
          <w:szCs w:val="20"/>
        </w:rPr>
        <w:t>Right-of-use assets and lease liabilities are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5310"/>
        <w:gridCol w:w="52"/>
        <w:gridCol w:w="136"/>
        <w:gridCol w:w="1074"/>
        <w:gridCol w:w="85"/>
        <w:gridCol w:w="36"/>
        <w:gridCol w:w="36"/>
        <w:gridCol w:w="36"/>
        <w:gridCol w:w="136"/>
        <w:gridCol w:w="1052"/>
        <w:gridCol w:w="85"/>
        <w:gridCol w:w="36"/>
        <w:gridCol w:w="36"/>
        <w:gridCol w:w="36"/>
        <w:gridCol w:w="36"/>
        <w:gridCol w:w="36"/>
        <w:gridCol w:w="36"/>
      </w:tblGrid>
      <w:tr w:rsidR="00000000" w14:paraId="0DA5C906" w14:textId="77777777">
        <w:trPr>
          <w:gridAfter w:val="6"/>
          <w:divId w:val="2006548188"/>
          <w:jc w:val="center"/>
        </w:trPr>
        <w:tc>
          <w:tcPr>
            <w:tcW w:w="50" w:type="pct"/>
            <w:vAlign w:val="center"/>
            <w:hideMark/>
          </w:tcPr>
          <w:p w14:paraId="4708174A" w14:textId="77777777" w:rsidR="00000000" w:rsidRDefault="00195E73">
            <w:pPr>
              <w:ind w:firstLine="450"/>
              <w:rPr>
                <w:rFonts w:eastAsia="Times New Roman"/>
              </w:rPr>
            </w:pPr>
          </w:p>
        </w:tc>
        <w:tc>
          <w:tcPr>
            <w:tcW w:w="3299" w:type="pct"/>
            <w:vAlign w:val="center"/>
            <w:hideMark/>
          </w:tcPr>
          <w:p w14:paraId="1C723AF1" w14:textId="77777777" w:rsidR="00000000" w:rsidRDefault="00195E73">
            <w:pPr>
              <w:rPr>
                <w:rFonts w:eastAsia="Times New Roman"/>
                <w:sz w:val="20"/>
                <w:szCs w:val="20"/>
              </w:rPr>
            </w:pPr>
          </w:p>
        </w:tc>
        <w:tc>
          <w:tcPr>
            <w:tcW w:w="50" w:type="pct"/>
            <w:vAlign w:val="center"/>
            <w:hideMark/>
          </w:tcPr>
          <w:p w14:paraId="654BE6D9" w14:textId="77777777" w:rsidR="00000000" w:rsidRDefault="00195E73">
            <w:pPr>
              <w:rPr>
                <w:rFonts w:eastAsia="Times New Roman"/>
                <w:sz w:val="20"/>
                <w:szCs w:val="20"/>
              </w:rPr>
            </w:pPr>
          </w:p>
        </w:tc>
        <w:tc>
          <w:tcPr>
            <w:tcW w:w="50" w:type="pct"/>
            <w:vAlign w:val="center"/>
            <w:hideMark/>
          </w:tcPr>
          <w:p w14:paraId="2BE3EE9F" w14:textId="77777777" w:rsidR="00000000" w:rsidRDefault="00195E73">
            <w:pPr>
              <w:rPr>
                <w:rFonts w:eastAsia="Times New Roman"/>
                <w:sz w:val="20"/>
                <w:szCs w:val="20"/>
              </w:rPr>
            </w:pPr>
          </w:p>
        </w:tc>
        <w:tc>
          <w:tcPr>
            <w:tcW w:w="682" w:type="pct"/>
            <w:vAlign w:val="center"/>
            <w:hideMark/>
          </w:tcPr>
          <w:p w14:paraId="624610CB" w14:textId="77777777" w:rsidR="00000000" w:rsidRDefault="00195E73">
            <w:pPr>
              <w:rPr>
                <w:rFonts w:eastAsia="Times New Roman"/>
                <w:sz w:val="20"/>
                <w:szCs w:val="20"/>
              </w:rPr>
            </w:pPr>
          </w:p>
        </w:tc>
        <w:tc>
          <w:tcPr>
            <w:tcW w:w="50" w:type="pct"/>
            <w:vAlign w:val="center"/>
            <w:hideMark/>
          </w:tcPr>
          <w:p w14:paraId="34FF1D14" w14:textId="77777777" w:rsidR="00000000" w:rsidRDefault="00195E73">
            <w:pPr>
              <w:rPr>
                <w:rFonts w:eastAsia="Times New Roman"/>
                <w:sz w:val="20"/>
                <w:szCs w:val="20"/>
              </w:rPr>
            </w:pPr>
          </w:p>
        </w:tc>
        <w:tc>
          <w:tcPr>
            <w:tcW w:w="5" w:type="pct"/>
            <w:vAlign w:val="center"/>
            <w:hideMark/>
          </w:tcPr>
          <w:p w14:paraId="3A0B603B" w14:textId="77777777" w:rsidR="00000000" w:rsidRDefault="00195E73">
            <w:pPr>
              <w:rPr>
                <w:rFonts w:eastAsia="Times New Roman"/>
                <w:sz w:val="20"/>
                <w:szCs w:val="20"/>
              </w:rPr>
            </w:pPr>
          </w:p>
        </w:tc>
        <w:tc>
          <w:tcPr>
            <w:tcW w:w="26" w:type="pct"/>
            <w:vAlign w:val="center"/>
            <w:hideMark/>
          </w:tcPr>
          <w:p w14:paraId="61779AB6" w14:textId="77777777" w:rsidR="00000000" w:rsidRDefault="00195E73">
            <w:pPr>
              <w:rPr>
                <w:rFonts w:eastAsia="Times New Roman"/>
                <w:sz w:val="20"/>
                <w:szCs w:val="20"/>
              </w:rPr>
            </w:pPr>
          </w:p>
        </w:tc>
        <w:tc>
          <w:tcPr>
            <w:tcW w:w="5" w:type="pct"/>
            <w:vAlign w:val="center"/>
            <w:hideMark/>
          </w:tcPr>
          <w:p w14:paraId="44772BCE" w14:textId="77777777" w:rsidR="00000000" w:rsidRDefault="00195E73">
            <w:pPr>
              <w:rPr>
                <w:rFonts w:eastAsia="Times New Roman"/>
                <w:sz w:val="20"/>
                <w:szCs w:val="20"/>
              </w:rPr>
            </w:pPr>
          </w:p>
        </w:tc>
        <w:tc>
          <w:tcPr>
            <w:tcW w:w="50" w:type="pct"/>
            <w:vAlign w:val="center"/>
            <w:hideMark/>
          </w:tcPr>
          <w:p w14:paraId="2AD8690F" w14:textId="77777777" w:rsidR="00000000" w:rsidRDefault="00195E73">
            <w:pPr>
              <w:rPr>
                <w:rFonts w:eastAsia="Times New Roman"/>
                <w:sz w:val="20"/>
                <w:szCs w:val="20"/>
              </w:rPr>
            </w:pPr>
          </w:p>
        </w:tc>
        <w:tc>
          <w:tcPr>
            <w:tcW w:w="682" w:type="pct"/>
            <w:vAlign w:val="center"/>
            <w:hideMark/>
          </w:tcPr>
          <w:p w14:paraId="4B433B84" w14:textId="77777777" w:rsidR="00000000" w:rsidRDefault="00195E73">
            <w:pPr>
              <w:rPr>
                <w:rFonts w:eastAsia="Times New Roman"/>
                <w:sz w:val="20"/>
                <w:szCs w:val="20"/>
              </w:rPr>
            </w:pPr>
          </w:p>
        </w:tc>
        <w:tc>
          <w:tcPr>
            <w:tcW w:w="50" w:type="pct"/>
            <w:vAlign w:val="center"/>
            <w:hideMark/>
          </w:tcPr>
          <w:p w14:paraId="6D4F1356" w14:textId="77777777" w:rsidR="00000000" w:rsidRDefault="00195E73">
            <w:pPr>
              <w:rPr>
                <w:rFonts w:eastAsia="Times New Roman"/>
                <w:sz w:val="20"/>
                <w:szCs w:val="20"/>
              </w:rPr>
            </w:pPr>
          </w:p>
        </w:tc>
      </w:tr>
      <w:tr w:rsidR="00000000" w14:paraId="6C692152" w14:textId="77777777">
        <w:trPr>
          <w:gridAfter w:val="6"/>
          <w:divId w:val="2006548188"/>
          <w:jc w:val="center"/>
        </w:trPr>
        <w:tc>
          <w:tcPr>
            <w:tcW w:w="0" w:type="auto"/>
            <w:gridSpan w:val="3"/>
            <w:tcMar>
              <w:top w:w="15" w:type="dxa"/>
              <w:left w:w="20" w:type="dxa"/>
              <w:bottom w:w="15" w:type="dxa"/>
              <w:right w:w="20" w:type="dxa"/>
            </w:tcMar>
            <w:vAlign w:val="bottom"/>
            <w:hideMark/>
          </w:tcPr>
          <w:p w14:paraId="2C1DAB8B"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094ACE76" w14:textId="77777777" w:rsidR="00000000" w:rsidRDefault="00195E73">
            <w:pPr>
              <w:jc w:val="center"/>
              <w:rPr>
                <w:rFonts w:eastAsia="Times New Roman"/>
              </w:rPr>
            </w:pPr>
            <w:r>
              <w:rPr>
                <w:rFonts w:eastAsia="Times New Roman"/>
                <w:b/>
                <w:bCs/>
                <w:color w:val="000000"/>
                <w:sz w:val="20"/>
                <w:szCs w:val="20"/>
              </w:rPr>
              <w:t>December 31, 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14:paraId="15DF4BFA"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27277C2" w14:textId="77777777" w:rsidR="00000000" w:rsidRDefault="00195E73">
            <w:pPr>
              <w:jc w:val="center"/>
              <w:rPr>
                <w:rFonts w:eastAsia="Times New Roman"/>
              </w:rPr>
            </w:pPr>
            <w:r>
              <w:rPr>
                <w:rFonts w:eastAsia="Times New Roman"/>
                <w:b/>
                <w:bCs/>
                <w:color w:val="000000"/>
                <w:sz w:val="20"/>
                <w:szCs w:val="20"/>
              </w:rPr>
              <w:t>December 31, 201</w:t>
            </w:r>
            <w:r>
              <w:rPr>
                <w:rFonts w:eastAsia="Times New Roman"/>
                <w:b/>
                <w:bCs/>
                <w:color w:val="000000"/>
                <w:sz w:val="20"/>
                <w:szCs w:val="20"/>
              </w:rPr>
              <w:t>8</w:t>
            </w:r>
          </w:p>
        </w:tc>
      </w:tr>
      <w:tr w:rsidR="00000000" w14:paraId="24468EE3" w14:textId="77777777">
        <w:trPr>
          <w:divId w:val="2006548188"/>
          <w:jc w:val="center"/>
        </w:trPr>
        <w:tc>
          <w:tcPr>
            <w:tcW w:w="0" w:type="auto"/>
            <w:gridSpan w:val="3"/>
            <w:tcMar>
              <w:top w:w="15" w:type="dxa"/>
              <w:left w:w="20" w:type="dxa"/>
              <w:bottom w:w="15" w:type="dxa"/>
              <w:right w:w="20" w:type="dxa"/>
            </w:tcMar>
            <w:vAlign w:val="bottom"/>
            <w:hideMark/>
          </w:tcPr>
          <w:p w14:paraId="18302A72"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AD9215F"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46E1F7B4" w14:textId="77777777" w:rsidR="00000000" w:rsidRDefault="00195E73">
            <w:pPr>
              <w:jc w:val="center"/>
              <w:rPr>
                <w:rFonts w:eastAsia="Times New Roman"/>
              </w:rPr>
            </w:pPr>
          </w:p>
        </w:tc>
        <w:tc>
          <w:tcPr>
            <w:tcW w:w="0" w:type="auto"/>
            <w:gridSpan w:val="3"/>
            <w:vAlign w:val="center"/>
            <w:hideMark/>
          </w:tcPr>
          <w:p w14:paraId="65E88516" w14:textId="77777777" w:rsidR="00000000" w:rsidRDefault="00195E73">
            <w:pPr>
              <w:rPr>
                <w:rFonts w:eastAsia="Times New Roman"/>
                <w:sz w:val="20"/>
                <w:szCs w:val="20"/>
              </w:rPr>
            </w:pPr>
          </w:p>
        </w:tc>
      </w:tr>
      <w:tr w:rsidR="00000000" w14:paraId="4C0B62E7" w14:textId="77777777">
        <w:trPr>
          <w:divId w:val="2006548188"/>
          <w:jc w:val="center"/>
        </w:trPr>
        <w:tc>
          <w:tcPr>
            <w:tcW w:w="0" w:type="auto"/>
            <w:gridSpan w:val="3"/>
            <w:tcMar>
              <w:top w:w="30" w:type="dxa"/>
              <w:left w:w="20" w:type="dxa"/>
              <w:bottom w:w="30" w:type="dxa"/>
              <w:right w:w="20" w:type="dxa"/>
            </w:tcMar>
            <w:vAlign w:val="bottom"/>
            <w:hideMark/>
          </w:tcPr>
          <w:p w14:paraId="41E4518A" w14:textId="77777777" w:rsidR="00000000" w:rsidRDefault="00195E73">
            <w:pPr>
              <w:rPr>
                <w:rFonts w:eastAsia="Times New Roman"/>
              </w:rPr>
            </w:pPr>
            <w:r>
              <w:rPr>
                <w:rFonts w:eastAsia="Times New Roman"/>
                <w:color w:val="000000"/>
                <w:sz w:val="20"/>
                <w:szCs w:val="20"/>
              </w:rPr>
              <w:t>Operating Leases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6F18E203"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28A386DA"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479131E" w14:textId="77777777" w:rsidR="00000000" w:rsidRDefault="00195E73">
            <w:pPr>
              <w:rPr>
                <w:rFonts w:eastAsia="Times New Roman"/>
                <w:sz w:val="20"/>
                <w:szCs w:val="20"/>
              </w:rPr>
            </w:pPr>
          </w:p>
        </w:tc>
        <w:tc>
          <w:tcPr>
            <w:tcW w:w="0" w:type="auto"/>
            <w:vAlign w:val="center"/>
            <w:hideMark/>
          </w:tcPr>
          <w:p w14:paraId="53DF2909" w14:textId="77777777" w:rsidR="00000000" w:rsidRDefault="00195E73">
            <w:pPr>
              <w:rPr>
                <w:rFonts w:eastAsia="Times New Roman"/>
                <w:sz w:val="20"/>
                <w:szCs w:val="20"/>
              </w:rPr>
            </w:pPr>
          </w:p>
        </w:tc>
        <w:tc>
          <w:tcPr>
            <w:tcW w:w="0" w:type="auto"/>
            <w:vAlign w:val="center"/>
            <w:hideMark/>
          </w:tcPr>
          <w:p w14:paraId="33360E85" w14:textId="77777777" w:rsidR="00000000" w:rsidRDefault="00195E73">
            <w:pPr>
              <w:rPr>
                <w:rFonts w:eastAsia="Times New Roman"/>
                <w:sz w:val="20"/>
                <w:szCs w:val="20"/>
              </w:rPr>
            </w:pPr>
          </w:p>
        </w:tc>
        <w:tc>
          <w:tcPr>
            <w:tcW w:w="0" w:type="auto"/>
            <w:vAlign w:val="center"/>
            <w:hideMark/>
          </w:tcPr>
          <w:p w14:paraId="3BD7CC66" w14:textId="77777777" w:rsidR="00000000" w:rsidRDefault="00195E73">
            <w:pPr>
              <w:rPr>
                <w:rFonts w:eastAsia="Times New Roman"/>
                <w:sz w:val="20"/>
                <w:szCs w:val="20"/>
              </w:rPr>
            </w:pPr>
          </w:p>
        </w:tc>
        <w:tc>
          <w:tcPr>
            <w:tcW w:w="0" w:type="auto"/>
            <w:vAlign w:val="center"/>
            <w:hideMark/>
          </w:tcPr>
          <w:p w14:paraId="60C934DA" w14:textId="77777777" w:rsidR="00000000" w:rsidRDefault="00195E73">
            <w:pPr>
              <w:rPr>
                <w:rFonts w:eastAsia="Times New Roman"/>
                <w:sz w:val="20"/>
                <w:szCs w:val="20"/>
              </w:rPr>
            </w:pPr>
          </w:p>
        </w:tc>
        <w:tc>
          <w:tcPr>
            <w:tcW w:w="0" w:type="auto"/>
            <w:vAlign w:val="center"/>
            <w:hideMark/>
          </w:tcPr>
          <w:p w14:paraId="21FD7A32" w14:textId="77777777" w:rsidR="00000000" w:rsidRDefault="00195E73">
            <w:pPr>
              <w:rPr>
                <w:rFonts w:eastAsia="Times New Roman"/>
                <w:sz w:val="20"/>
                <w:szCs w:val="20"/>
              </w:rPr>
            </w:pPr>
          </w:p>
        </w:tc>
        <w:tc>
          <w:tcPr>
            <w:tcW w:w="0" w:type="auto"/>
            <w:vAlign w:val="center"/>
            <w:hideMark/>
          </w:tcPr>
          <w:p w14:paraId="14459254" w14:textId="77777777" w:rsidR="00000000" w:rsidRDefault="00195E73">
            <w:pPr>
              <w:rPr>
                <w:rFonts w:eastAsia="Times New Roman"/>
                <w:sz w:val="20"/>
                <w:szCs w:val="20"/>
              </w:rPr>
            </w:pPr>
          </w:p>
        </w:tc>
      </w:tr>
      <w:tr w:rsidR="00000000" w14:paraId="1C6898F9" w14:textId="77777777">
        <w:trPr>
          <w:divId w:val="2006548188"/>
          <w:jc w:val="center"/>
        </w:trPr>
        <w:tc>
          <w:tcPr>
            <w:tcW w:w="0" w:type="auto"/>
            <w:gridSpan w:val="3"/>
            <w:shd w:val="clear" w:color="auto" w:fill="CCEEFF"/>
            <w:tcMar>
              <w:top w:w="30" w:type="dxa"/>
              <w:left w:w="20" w:type="dxa"/>
              <w:bottom w:w="30" w:type="dxa"/>
              <w:right w:w="20" w:type="dxa"/>
            </w:tcMar>
            <w:vAlign w:val="bottom"/>
            <w:hideMark/>
          </w:tcPr>
          <w:p w14:paraId="6BDE0F35" w14:textId="77777777" w:rsidR="00000000" w:rsidRDefault="00195E73">
            <w:pPr>
              <w:rPr>
                <w:rFonts w:eastAsia="Times New Roman"/>
              </w:rPr>
            </w:pPr>
            <w:r>
              <w:rPr>
                <w:rFonts w:eastAsia="Times New Roman"/>
                <w:color w:val="000000"/>
                <w:sz w:val="20"/>
                <w:szCs w:val="20"/>
              </w:rPr>
              <w:t>   Right-of-use assets (other assets</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14:paraId="40FA558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EB0A7E9" w14:textId="77777777" w:rsidR="00000000" w:rsidRDefault="00195E73">
            <w:pPr>
              <w:jc w:val="right"/>
              <w:rPr>
                <w:rFonts w:eastAsia="Times New Roman"/>
              </w:rPr>
            </w:pPr>
            <w:r>
              <w:rPr>
                <w:rFonts w:eastAsia="Times New Roman"/>
                <w:color w:val="000000"/>
                <w:sz w:val="20"/>
                <w:szCs w:val="20"/>
              </w:rPr>
              <w:t>622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A267D7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1A9418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543FACB"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BF8DEF1"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8D88E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1CB1A4F" w14:textId="77777777" w:rsidR="00000000" w:rsidRDefault="00195E73">
            <w:pPr>
              <w:rPr>
                <w:rFonts w:eastAsia="Times New Roman"/>
                <w:sz w:val="20"/>
                <w:szCs w:val="20"/>
              </w:rPr>
            </w:pPr>
          </w:p>
        </w:tc>
        <w:tc>
          <w:tcPr>
            <w:tcW w:w="0" w:type="auto"/>
            <w:vAlign w:val="center"/>
            <w:hideMark/>
          </w:tcPr>
          <w:p w14:paraId="37BD083D" w14:textId="77777777" w:rsidR="00000000" w:rsidRDefault="00195E73">
            <w:pPr>
              <w:rPr>
                <w:rFonts w:eastAsia="Times New Roman"/>
                <w:sz w:val="20"/>
                <w:szCs w:val="20"/>
              </w:rPr>
            </w:pPr>
          </w:p>
        </w:tc>
        <w:tc>
          <w:tcPr>
            <w:tcW w:w="0" w:type="auto"/>
            <w:vAlign w:val="center"/>
            <w:hideMark/>
          </w:tcPr>
          <w:p w14:paraId="69F1E732" w14:textId="77777777" w:rsidR="00000000" w:rsidRDefault="00195E73">
            <w:pPr>
              <w:rPr>
                <w:rFonts w:eastAsia="Times New Roman"/>
                <w:sz w:val="20"/>
                <w:szCs w:val="20"/>
              </w:rPr>
            </w:pPr>
          </w:p>
        </w:tc>
        <w:tc>
          <w:tcPr>
            <w:tcW w:w="0" w:type="auto"/>
            <w:vAlign w:val="center"/>
            <w:hideMark/>
          </w:tcPr>
          <w:p w14:paraId="003F5D9B" w14:textId="77777777" w:rsidR="00000000" w:rsidRDefault="00195E73">
            <w:pPr>
              <w:rPr>
                <w:rFonts w:eastAsia="Times New Roman"/>
                <w:sz w:val="20"/>
                <w:szCs w:val="20"/>
              </w:rPr>
            </w:pPr>
          </w:p>
        </w:tc>
        <w:tc>
          <w:tcPr>
            <w:tcW w:w="0" w:type="auto"/>
            <w:vAlign w:val="center"/>
            <w:hideMark/>
          </w:tcPr>
          <w:p w14:paraId="19F6C121" w14:textId="77777777" w:rsidR="00000000" w:rsidRDefault="00195E73">
            <w:pPr>
              <w:rPr>
                <w:rFonts w:eastAsia="Times New Roman"/>
                <w:sz w:val="20"/>
                <w:szCs w:val="20"/>
              </w:rPr>
            </w:pPr>
          </w:p>
        </w:tc>
        <w:tc>
          <w:tcPr>
            <w:tcW w:w="0" w:type="auto"/>
            <w:vAlign w:val="center"/>
            <w:hideMark/>
          </w:tcPr>
          <w:p w14:paraId="2A5BBCD9" w14:textId="77777777" w:rsidR="00000000" w:rsidRDefault="00195E73">
            <w:pPr>
              <w:rPr>
                <w:rFonts w:eastAsia="Times New Roman"/>
                <w:sz w:val="20"/>
                <w:szCs w:val="20"/>
              </w:rPr>
            </w:pPr>
          </w:p>
        </w:tc>
      </w:tr>
      <w:tr w:rsidR="00000000" w14:paraId="3506DFE3" w14:textId="77777777">
        <w:trPr>
          <w:divId w:val="2006548188"/>
          <w:jc w:val="center"/>
        </w:trPr>
        <w:tc>
          <w:tcPr>
            <w:tcW w:w="0" w:type="auto"/>
            <w:gridSpan w:val="3"/>
            <w:shd w:val="clear" w:color="auto" w:fill="FFFFFF"/>
            <w:tcMar>
              <w:top w:w="30" w:type="dxa"/>
              <w:left w:w="20" w:type="dxa"/>
              <w:bottom w:w="30" w:type="dxa"/>
              <w:right w:w="20" w:type="dxa"/>
            </w:tcMar>
            <w:vAlign w:val="bottom"/>
            <w:hideMark/>
          </w:tcPr>
          <w:p w14:paraId="73C140BA"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Lease liabilities (accrued expenses and other liabilities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14:paraId="57DD0938" w14:textId="77777777" w:rsidR="00000000" w:rsidRDefault="00195E73">
            <w:pPr>
              <w:jc w:val="right"/>
              <w:rPr>
                <w:rFonts w:eastAsia="Times New Roman"/>
              </w:rPr>
            </w:pPr>
            <w:r>
              <w:rPr>
                <w:rFonts w:eastAsia="Times New Roman"/>
                <w:color w:val="000000"/>
                <w:sz w:val="20"/>
                <w:szCs w:val="20"/>
              </w:rPr>
              <w:t>647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5B787A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CDCEBF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561137"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ADF4FC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403AB14" w14:textId="77777777" w:rsidR="00000000" w:rsidRDefault="00195E73">
            <w:pPr>
              <w:rPr>
                <w:rFonts w:eastAsia="Times New Roman"/>
                <w:sz w:val="20"/>
                <w:szCs w:val="20"/>
              </w:rPr>
            </w:pPr>
          </w:p>
        </w:tc>
        <w:tc>
          <w:tcPr>
            <w:tcW w:w="0" w:type="auto"/>
            <w:vAlign w:val="center"/>
            <w:hideMark/>
          </w:tcPr>
          <w:p w14:paraId="7BC703CA" w14:textId="77777777" w:rsidR="00000000" w:rsidRDefault="00195E73">
            <w:pPr>
              <w:rPr>
                <w:rFonts w:eastAsia="Times New Roman"/>
                <w:sz w:val="20"/>
                <w:szCs w:val="20"/>
              </w:rPr>
            </w:pPr>
          </w:p>
        </w:tc>
        <w:tc>
          <w:tcPr>
            <w:tcW w:w="0" w:type="auto"/>
            <w:vAlign w:val="center"/>
            <w:hideMark/>
          </w:tcPr>
          <w:p w14:paraId="1CE9614F" w14:textId="77777777" w:rsidR="00000000" w:rsidRDefault="00195E73">
            <w:pPr>
              <w:rPr>
                <w:rFonts w:eastAsia="Times New Roman"/>
                <w:sz w:val="20"/>
                <w:szCs w:val="20"/>
              </w:rPr>
            </w:pPr>
          </w:p>
        </w:tc>
        <w:tc>
          <w:tcPr>
            <w:tcW w:w="0" w:type="auto"/>
            <w:vAlign w:val="center"/>
            <w:hideMark/>
          </w:tcPr>
          <w:p w14:paraId="4046D02B" w14:textId="77777777" w:rsidR="00000000" w:rsidRDefault="00195E73">
            <w:pPr>
              <w:rPr>
                <w:rFonts w:eastAsia="Times New Roman"/>
                <w:sz w:val="20"/>
                <w:szCs w:val="20"/>
              </w:rPr>
            </w:pPr>
          </w:p>
        </w:tc>
        <w:tc>
          <w:tcPr>
            <w:tcW w:w="0" w:type="auto"/>
            <w:vAlign w:val="center"/>
            <w:hideMark/>
          </w:tcPr>
          <w:p w14:paraId="77ACCB7F" w14:textId="77777777" w:rsidR="00000000" w:rsidRDefault="00195E73">
            <w:pPr>
              <w:rPr>
                <w:rFonts w:eastAsia="Times New Roman"/>
                <w:sz w:val="20"/>
                <w:szCs w:val="20"/>
              </w:rPr>
            </w:pPr>
          </w:p>
        </w:tc>
        <w:tc>
          <w:tcPr>
            <w:tcW w:w="0" w:type="auto"/>
            <w:vAlign w:val="center"/>
            <w:hideMark/>
          </w:tcPr>
          <w:p w14:paraId="3B07CB16" w14:textId="77777777" w:rsidR="00000000" w:rsidRDefault="00195E73">
            <w:pPr>
              <w:rPr>
                <w:rFonts w:eastAsia="Times New Roman"/>
                <w:sz w:val="20"/>
                <w:szCs w:val="20"/>
              </w:rPr>
            </w:pPr>
          </w:p>
        </w:tc>
      </w:tr>
      <w:tr w:rsidR="00000000" w14:paraId="113EC8A1" w14:textId="77777777">
        <w:trPr>
          <w:divId w:val="2006548188"/>
          <w:trHeight w:val="300"/>
          <w:jc w:val="center"/>
        </w:trPr>
        <w:tc>
          <w:tcPr>
            <w:tcW w:w="0" w:type="auto"/>
            <w:gridSpan w:val="3"/>
            <w:shd w:val="clear" w:color="auto" w:fill="CCEEFF"/>
            <w:tcMar>
              <w:top w:w="15" w:type="dxa"/>
              <w:left w:w="20" w:type="dxa"/>
              <w:bottom w:w="15" w:type="dxa"/>
              <w:right w:w="20" w:type="dxa"/>
            </w:tcMar>
            <w:vAlign w:val="bottom"/>
            <w:hideMark/>
          </w:tcPr>
          <w:p w14:paraId="63C7D996"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04F32C5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FF86E60"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8AF4D3C" w14:textId="77777777" w:rsidR="00000000" w:rsidRDefault="00195E73">
            <w:pPr>
              <w:rPr>
                <w:rFonts w:eastAsia="Times New Roman"/>
                <w:sz w:val="20"/>
                <w:szCs w:val="20"/>
              </w:rPr>
            </w:pPr>
          </w:p>
        </w:tc>
        <w:tc>
          <w:tcPr>
            <w:tcW w:w="0" w:type="auto"/>
            <w:vAlign w:val="center"/>
            <w:hideMark/>
          </w:tcPr>
          <w:p w14:paraId="7832FA71" w14:textId="77777777" w:rsidR="00000000" w:rsidRDefault="00195E73">
            <w:pPr>
              <w:rPr>
                <w:rFonts w:eastAsia="Times New Roman"/>
                <w:sz w:val="20"/>
                <w:szCs w:val="20"/>
              </w:rPr>
            </w:pPr>
          </w:p>
        </w:tc>
        <w:tc>
          <w:tcPr>
            <w:tcW w:w="0" w:type="auto"/>
            <w:vAlign w:val="center"/>
            <w:hideMark/>
          </w:tcPr>
          <w:p w14:paraId="56BEC6CC" w14:textId="77777777" w:rsidR="00000000" w:rsidRDefault="00195E73">
            <w:pPr>
              <w:rPr>
                <w:rFonts w:eastAsia="Times New Roman"/>
                <w:sz w:val="20"/>
                <w:szCs w:val="20"/>
              </w:rPr>
            </w:pPr>
          </w:p>
        </w:tc>
        <w:tc>
          <w:tcPr>
            <w:tcW w:w="0" w:type="auto"/>
            <w:vAlign w:val="center"/>
            <w:hideMark/>
          </w:tcPr>
          <w:p w14:paraId="6FDD62CA" w14:textId="77777777" w:rsidR="00000000" w:rsidRDefault="00195E73">
            <w:pPr>
              <w:rPr>
                <w:rFonts w:eastAsia="Times New Roman"/>
                <w:sz w:val="20"/>
                <w:szCs w:val="20"/>
              </w:rPr>
            </w:pPr>
          </w:p>
        </w:tc>
        <w:tc>
          <w:tcPr>
            <w:tcW w:w="0" w:type="auto"/>
            <w:vAlign w:val="center"/>
            <w:hideMark/>
          </w:tcPr>
          <w:p w14:paraId="1B23C1B1" w14:textId="77777777" w:rsidR="00000000" w:rsidRDefault="00195E73">
            <w:pPr>
              <w:rPr>
                <w:rFonts w:eastAsia="Times New Roman"/>
                <w:sz w:val="20"/>
                <w:szCs w:val="20"/>
              </w:rPr>
            </w:pPr>
          </w:p>
        </w:tc>
        <w:tc>
          <w:tcPr>
            <w:tcW w:w="0" w:type="auto"/>
            <w:vAlign w:val="center"/>
            <w:hideMark/>
          </w:tcPr>
          <w:p w14:paraId="45CA62C4" w14:textId="77777777" w:rsidR="00000000" w:rsidRDefault="00195E73">
            <w:pPr>
              <w:rPr>
                <w:rFonts w:eastAsia="Times New Roman"/>
                <w:sz w:val="20"/>
                <w:szCs w:val="20"/>
              </w:rPr>
            </w:pPr>
          </w:p>
        </w:tc>
        <w:tc>
          <w:tcPr>
            <w:tcW w:w="0" w:type="auto"/>
            <w:vAlign w:val="center"/>
            <w:hideMark/>
          </w:tcPr>
          <w:p w14:paraId="003BCD47" w14:textId="77777777" w:rsidR="00000000" w:rsidRDefault="00195E73">
            <w:pPr>
              <w:rPr>
                <w:rFonts w:eastAsia="Times New Roman"/>
                <w:sz w:val="20"/>
                <w:szCs w:val="20"/>
              </w:rPr>
            </w:pPr>
          </w:p>
        </w:tc>
      </w:tr>
      <w:tr w:rsidR="00000000" w14:paraId="49AB7792" w14:textId="77777777">
        <w:trPr>
          <w:divId w:val="2006548188"/>
          <w:jc w:val="center"/>
        </w:trPr>
        <w:tc>
          <w:tcPr>
            <w:tcW w:w="0" w:type="auto"/>
            <w:gridSpan w:val="3"/>
            <w:shd w:val="clear" w:color="auto" w:fill="FFFFFF"/>
            <w:tcMar>
              <w:top w:w="30" w:type="dxa"/>
              <w:left w:w="20" w:type="dxa"/>
              <w:bottom w:w="30" w:type="dxa"/>
              <w:right w:w="20" w:type="dxa"/>
            </w:tcMar>
            <w:vAlign w:val="bottom"/>
            <w:hideMark/>
          </w:tcPr>
          <w:p w14:paraId="30A385EF" w14:textId="77777777" w:rsidR="00000000" w:rsidRDefault="00195E73">
            <w:pPr>
              <w:rPr>
                <w:rFonts w:eastAsia="Times New Roman"/>
              </w:rPr>
            </w:pPr>
            <w:r>
              <w:rPr>
                <w:rFonts w:eastAsia="Times New Roman"/>
                <w:color w:val="000000"/>
                <w:sz w:val="20"/>
                <w:szCs w:val="20"/>
              </w:rPr>
              <w:t>Financing Leases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0C55E193"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55BB6F7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2B0D2E6" w14:textId="77777777" w:rsidR="00000000" w:rsidRDefault="00195E73">
            <w:pPr>
              <w:rPr>
                <w:rFonts w:eastAsia="Times New Roman"/>
                <w:sz w:val="20"/>
                <w:szCs w:val="20"/>
              </w:rPr>
            </w:pPr>
          </w:p>
        </w:tc>
        <w:tc>
          <w:tcPr>
            <w:tcW w:w="0" w:type="auto"/>
            <w:vAlign w:val="center"/>
            <w:hideMark/>
          </w:tcPr>
          <w:p w14:paraId="249775C8" w14:textId="77777777" w:rsidR="00000000" w:rsidRDefault="00195E73">
            <w:pPr>
              <w:rPr>
                <w:rFonts w:eastAsia="Times New Roman"/>
                <w:sz w:val="20"/>
                <w:szCs w:val="20"/>
              </w:rPr>
            </w:pPr>
          </w:p>
        </w:tc>
        <w:tc>
          <w:tcPr>
            <w:tcW w:w="0" w:type="auto"/>
            <w:vAlign w:val="center"/>
            <w:hideMark/>
          </w:tcPr>
          <w:p w14:paraId="618E4448" w14:textId="77777777" w:rsidR="00000000" w:rsidRDefault="00195E73">
            <w:pPr>
              <w:rPr>
                <w:rFonts w:eastAsia="Times New Roman"/>
                <w:sz w:val="20"/>
                <w:szCs w:val="20"/>
              </w:rPr>
            </w:pPr>
          </w:p>
        </w:tc>
        <w:tc>
          <w:tcPr>
            <w:tcW w:w="0" w:type="auto"/>
            <w:vAlign w:val="center"/>
            <w:hideMark/>
          </w:tcPr>
          <w:p w14:paraId="29DE7B10" w14:textId="77777777" w:rsidR="00000000" w:rsidRDefault="00195E73">
            <w:pPr>
              <w:rPr>
                <w:rFonts w:eastAsia="Times New Roman"/>
                <w:sz w:val="20"/>
                <w:szCs w:val="20"/>
              </w:rPr>
            </w:pPr>
          </w:p>
        </w:tc>
        <w:tc>
          <w:tcPr>
            <w:tcW w:w="0" w:type="auto"/>
            <w:vAlign w:val="center"/>
            <w:hideMark/>
          </w:tcPr>
          <w:p w14:paraId="5723E6C8" w14:textId="77777777" w:rsidR="00000000" w:rsidRDefault="00195E73">
            <w:pPr>
              <w:rPr>
                <w:rFonts w:eastAsia="Times New Roman"/>
                <w:sz w:val="20"/>
                <w:szCs w:val="20"/>
              </w:rPr>
            </w:pPr>
          </w:p>
        </w:tc>
        <w:tc>
          <w:tcPr>
            <w:tcW w:w="0" w:type="auto"/>
            <w:vAlign w:val="center"/>
            <w:hideMark/>
          </w:tcPr>
          <w:p w14:paraId="17597BEC" w14:textId="77777777" w:rsidR="00000000" w:rsidRDefault="00195E73">
            <w:pPr>
              <w:rPr>
                <w:rFonts w:eastAsia="Times New Roman"/>
                <w:sz w:val="20"/>
                <w:szCs w:val="20"/>
              </w:rPr>
            </w:pPr>
          </w:p>
        </w:tc>
        <w:tc>
          <w:tcPr>
            <w:tcW w:w="0" w:type="auto"/>
            <w:vAlign w:val="center"/>
            <w:hideMark/>
          </w:tcPr>
          <w:p w14:paraId="5EF3CA79" w14:textId="77777777" w:rsidR="00000000" w:rsidRDefault="00195E73">
            <w:pPr>
              <w:rPr>
                <w:rFonts w:eastAsia="Times New Roman"/>
                <w:sz w:val="20"/>
                <w:szCs w:val="20"/>
              </w:rPr>
            </w:pPr>
          </w:p>
        </w:tc>
      </w:tr>
      <w:tr w:rsidR="00000000" w14:paraId="6D9F8909" w14:textId="77777777">
        <w:trPr>
          <w:divId w:val="2006548188"/>
          <w:jc w:val="center"/>
        </w:trPr>
        <w:tc>
          <w:tcPr>
            <w:tcW w:w="0" w:type="auto"/>
            <w:gridSpan w:val="3"/>
            <w:shd w:val="clear" w:color="auto" w:fill="CCEEFF"/>
            <w:tcMar>
              <w:top w:w="30" w:type="dxa"/>
              <w:left w:w="20" w:type="dxa"/>
              <w:bottom w:w="30" w:type="dxa"/>
              <w:right w:w="20" w:type="dxa"/>
            </w:tcMar>
            <w:vAlign w:val="bottom"/>
            <w:hideMark/>
          </w:tcPr>
          <w:p w14:paraId="5217004B" w14:textId="77777777" w:rsidR="00000000" w:rsidRDefault="00195E73">
            <w:pPr>
              <w:rPr>
                <w:rFonts w:eastAsia="Times New Roman"/>
              </w:rPr>
            </w:pPr>
            <w:r>
              <w:rPr>
                <w:rFonts w:eastAsia="Times New Roman"/>
                <w:color w:val="000000"/>
                <w:sz w:val="20"/>
                <w:szCs w:val="20"/>
              </w:rPr>
              <w:t>   Right-of-use assets (property, plant and equipment, net</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5773186F" w14:textId="77777777" w:rsidR="00000000" w:rsidRDefault="00195E73">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57D365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F9A5D2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F582C1" w14:textId="77777777" w:rsidR="00000000" w:rsidRDefault="00195E73">
            <w:pPr>
              <w:jc w:val="right"/>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8A6062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4479A95" w14:textId="77777777" w:rsidR="00000000" w:rsidRDefault="00195E73">
            <w:pPr>
              <w:rPr>
                <w:rFonts w:eastAsia="Times New Roman"/>
                <w:sz w:val="20"/>
                <w:szCs w:val="20"/>
              </w:rPr>
            </w:pPr>
          </w:p>
        </w:tc>
        <w:tc>
          <w:tcPr>
            <w:tcW w:w="0" w:type="auto"/>
            <w:vAlign w:val="center"/>
            <w:hideMark/>
          </w:tcPr>
          <w:p w14:paraId="6A01FC60" w14:textId="77777777" w:rsidR="00000000" w:rsidRDefault="00195E73">
            <w:pPr>
              <w:rPr>
                <w:rFonts w:eastAsia="Times New Roman"/>
                <w:sz w:val="20"/>
                <w:szCs w:val="20"/>
              </w:rPr>
            </w:pPr>
          </w:p>
        </w:tc>
        <w:tc>
          <w:tcPr>
            <w:tcW w:w="0" w:type="auto"/>
            <w:vAlign w:val="center"/>
            <w:hideMark/>
          </w:tcPr>
          <w:p w14:paraId="693BDC31" w14:textId="77777777" w:rsidR="00000000" w:rsidRDefault="00195E73">
            <w:pPr>
              <w:rPr>
                <w:rFonts w:eastAsia="Times New Roman"/>
                <w:sz w:val="20"/>
                <w:szCs w:val="20"/>
              </w:rPr>
            </w:pPr>
          </w:p>
        </w:tc>
        <w:tc>
          <w:tcPr>
            <w:tcW w:w="0" w:type="auto"/>
            <w:vAlign w:val="center"/>
            <w:hideMark/>
          </w:tcPr>
          <w:p w14:paraId="387B4487" w14:textId="77777777" w:rsidR="00000000" w:rsidRDefault="00195E73">
            <w:pPr>
              <w:rPr>
                <w:rFonts w:eastAsia="Times New Roman"/>
                <w:sz w:val="20"/>
                <w:szCs w:val="20"/>
              </w:rPr>
            </w:pPr>
          </w:p>
        </w:tc>
        <w:tc>
          <w:tcPr>
            <w:tcW w:w="0" w:type="auto"/>
            <w:vAlign w:val="center"/>
            <w:hideMark/>
          </w:tcPr>
          <w:p w14:paraId="6C00CB21" w14:textId="77777777" w:rsidR="00000000" w:rsidRDefault="00195E73">
            <w:pPr>
              <w:rPr>
                <w:rFonts w:eastAsia="Times New Roman"/>
                <w:sz w:val="20"/>
                <w:szCs w:val="20"/>
              </w:rPr>
            </w:pPr>
          </w:p>
        </w:tc>
        <w:tc>
          <w:tcPr>
            <w:tcW w:w="0" w:type="auto"/>
            <w:vAlign w:val="center"/>
            <w:hideMark/>
          </w:tcPr>
          <w:p w14:paraId="757D93E4" w14:textId="77777777" w:rsidR="00000000" w:rsidRDefault="00195E73">
            <w:pPr>
              <w:rPr>
                <w:rFonts w:eastAsia="Times New Roman"/>
                <w:sz w:val="20"/>
                <w:szCs w:val="20"/>
              </w:rPr>
            </w:pPr>
          </w:p>
        </w:tc>
      </w:tr>
      <w:tr w:rsidR="00000000" w14:paraId="62B096E4" w14:textId="77777777">
        <w:trPr>
          <w:divId w:val="2006548188"/>
          <w:jc w:val="center"/>
        </w:trPr>
        <w:tc>
          <w:tcPr>
            <w:tcW w:w="0" w:type="auto"/>
            <w:gridSpan w:val="3"/>
            <w:shd w:val="clear" w:color="auto" w:fill="FFFFFF"/>
            <w:tcMar>
              <w:top w:w="30" w:type="dxa"/>
              <w:left w:w="20" w:type="dxa"/>
              <w:bottom w:w="30" w:type="dxa"/>
              <w:right w:w="20" w:type="dxa"/>
            </w:tcMar>
            <w:vAlign w:val="bottom"/>
            <w:hideMark/>
          </w:tcPr>
          <w:p w14:paraId="1C591E2D"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Lease liabilities (debt</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14:paraId="21E75A39" w14:textId="77777777" w:rsidR="00000000" w:rsidRDefault="00195E73">
            <w:pPr>
              <w:jc w:val="right"/>
              <w:rPr>
                <w:rFonts w:eastAsia="Times New Roman"/>
              </w:rPr>
            </w:pPr>
            <w:r>
              <w:rPr>
                <w:rFonts w:eastAsia="Times New Roman"/>
                <w:color w:val="000000"/>
                <w:sz w:val="20"/>
                <w:szCs w:val="20"/>
              </w:rPr>
              <w:t>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37D073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E89850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C1D135" w14:textId="77777777" w:rsidR="00000000" w:rsidRDefault="00195E73">
            <w:pPr>
              <w:jc w:val="right"/>
              <w:rPr>
                <w:rFonts w:eastAsia="Times New Roman"/>
              </w:rPr>
            </w:pPr>
            <w:r>
              <w:rPr>
                <w:rFonts w:eastAsia="Times New Roman"/>
                <w:color w:val="000000"/>
                <w:sz w:val="20"/>
                <w:szCs w:val="20"/>
              </w:rPr>
              <w:t>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283D2C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639946C" w14:textId="77777777" w:rsidR="00000000" w:rsidRDefault="00195E73">
            <w:pPr>
              <w:rPr>
                <w:rFonts w:eastAsia="Times New Roman"/>
                <w:sz w:val="20"/>
                <w:szCs w:val="20"/>
              </w:rPr>
            </w:pPr>
          </w:p>
        </w:tc>
        <w:tc>
          <w:tcPr>
            <w:tcW w:w="0" w:type="auto"/>
            <w:vAlign w:val="center"/>
            <w:hideMark/>
          </w:tcPr>
          <w:p w14:paraId="19FFF0AB" w14:textId="77777777" w:rsidR="00000000" w:rsidRDefault="00195E73">
            <w:pPr>
              <w:rPr>
                <w:rFonts w:eastAsia="Times New Roman"/>
                <w:sz w:val="20"/>
                <w:szCs w:val="20"/>
              </w:rPr>
            </w:pPr>
          </w:p>
        </w:tc>
        <w:tc>
          <w:tcPr>
            <w:tcW w:w="0" w:type="auto"/>
            <w:vAlign w:val="center"/>
            <w:hideMark/>
          </w:tcPr>
          <w:p w14:paraId="0AC0864C" w14:textId="77777777" w:rsidR="00000000" w:rsidRDefault="00195E73">
            <w:pPr>
              <w:rPr>
                <w:rFonts w:eastAsia="Times New Roman"/>
                <w:sz w:val="20"/>
                <w:szCs w:val="20"/>
              </w:rPr>
            </w:pPr>
          </w:p>
        </w:tc>
        <w:tc>
          <w:tcPr>
            <w:tcW w:w="0" w:type="auto"/>
            <w:vAlign w:val="center"/>
            <w:hideMark/>
          </w:tcPr>
          <w:p w14:paraId="16ECD19A" w14:textId="77777777" w:rsidR="00000000" w:rsidRDefault="00195E73">
            <w:pPr>
              <w:rPr>
                <w:rFonts w:eastAsia="Times New Roman"/>
                <w:sz w:val="20"/>
                <w:szCs w:val="20"/>
              </w:rPr>
            </w:pPr>
          </w:p>
        </w:tc>
        <w:tc>
          <w:tcPr>
            <w:tcW w:w="0" w:type="auto"/>
            <w:vAlign w:val="center"/>
            <w:hideMark/>
          </w:tcPr>
          <w:p w14:paraId="1631B912" w14:textId="77777777" w:rsidR="00000000" w:rsidRDefault="00195E73">
            <w:pPr>
              <w:rPr>
                <w:rFonts w:eastAsia="Times New Roman"/>
                <w:sz w:val="20"/>
                <w:szCs w:val="20"/>
              </w:rPr>
            </w:pPr>
          </w:p>
        </w:tc>
        <w:tc>
          <w:tcPr>
            <w:tcW w:w="0" w:type="auto"/>
            <w:vAlign w:val="center"/>
            <w:hideMark/>
          </w:tcPr>
          <w:p w14:paraId="0C959CE4" w14:textId="77777777" w:rsidR="00000000" w:rsidRDefault="00195E73">
            <w:pPr>
              <w:rPr>
                <w:rFonts w:eastAsia="Times New Roman"/>
                <w:sz w:val="20"/>
                <w:szCs w:val="20"/>
              </w:rPr>
            </w:pPr>
          </w:p>
        </w:tc>
      </w:tr>
    </w:tbl>
    <w:p w14:paraId="2B998E48" w14:textId="77777777" w:rsidR="00000000" w:rsidRDefault="00195E73">
      <w:pPr>
        <w:jc w:val="center"/>
        <w:rPr>
          <w:rFonts w:eastAsia="Times New Roman"/>
        </w:rPr>
      </w:pPr>
    </w:p>
    <w:p w14:paraId="3CF437BF" w14:textId="77777777" w:rsidR="00000000" w:rsidRDefault="00195E73">
      <w:pPr>
        <w:ind w:firstLine="450"/>
        <w:divId w:val="1586911995"/>
        <w:rPr>
          <w:rFonts w:eastAsia="Times New Roman"/>
        </w:rPr>
      </w:pPr>
      <w:r>
        <w:rPr>
          <w:rFonts w:eastAsia="Times New Roman"/>
          <w:color w:val="000000"/>
          <w:sz w:val="20"/>
          <w:szCs w:val="20"/>
        </w:rPr>
        <w:t>Additional information with respect to our operating leases as of December </w:t>
      </w:r>
      <w:r>
        <w:rPr>
          <w:rFonts w:eastAsia="Times New Roman"/>
          <w:color w:val="000000"/>
          <w:sz w:val="20"/>
          <w:szCs w:val="20"/>
        </w:rPr>
        <w:t>31, 2019 is presented below. The lease terms and discount rates for our Energy, Automotive and Food Packaging segments represent weighted averages based on their respective lease liability balances.</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2606"/>
        <w:gridCol w:w="56"/>
        <w:gridCol w:w="36"/>
        <w:gridCol w:w="36"/>
        <w:gridCol w:w="36"/>
        <w:gridCol w:w="135"/>
        <w:gridCol w:w="1061"/>
        <w:gridCol w:w="85"/>
        <w:gridCol w:w="36"/>
        <w:gridCol w:w="36"/>
        <w:gridCol w:w="36"/>
        <w:gridCol w:w="136"/>
        <w:gridCol w:w="1061"/>
        <w:gridCol w:w="85"/>
        <w:gridCol w:w="36"/>
        <w:gridCol w:w="36"/>
        <w:gridCol w:w="36"/>
        <w:gridCol w:w="37"/>
        <w:gridCol w:w="1080"/>
        <w:gridCol w:w="56"/>
        <w:gridCol w:w="36"/>
        <w:gridCol w:w="36"/>
        <w:gridCol w:w="36"/>
        <w:gridCol w:w="51"/>
        <w:gridCol w:w="1068"/>
        <w:gridCol w:w="85"/>
        <w:gridCol w:w="36"/>
        <w:gridCol w:w="36"/>
        <w:gridCol w:w="36"/>
        <w:gridCol w:w="36"/>
        <w:gridCol w:w="36"/>
        <w:gridCol w:w="36"/>
      </w:tblGrid>
      <w:tr w:rsidR="00000000" w14:paraId="2E74EC55" w14:textId="77777777">
        <w:trPr>
          <w:gridAfter w:val="6"/>
          <w:divId w:val="1912501317"/>
          <w:jc w:val="center"/>
        </w:trPr>
        <w:tc>
          <w:tcPr>
            <w:tcW w:w="50" w:type="pct"/>
            <w:vAlign w:val="center"/>
            <w:hideMark/>
          </w:tcPr>
          <w:p w14:paraId="000B8131" w14:textId="77777777" w:rsidR="00000000" w:rsidRDefault="00195E73">
            <w:pPr>
              <w:ind w:firstLine="450"/>
              <w:rPr>
                <w:rFonts w:eastAsia="Times New Roman"/>
              </w:rPr>
            </w:pPr>
          </w:p>
        </w:tc>
        <w:tc>
          <w:tcPr>
            <w:tcW w:w="1625" w:type="pct"/>
            <w:vAlign w:val="center"/>
            <w:hideMark/>
          </w:tcPr>
          <w:p w14:paraId="5467F05E" w14:textId="77777777" w:rsidR="00000000" w:rsidRDefault="00195E73">
            <w:pPr>
              <w:rPr>
                <w:rFonts w:eastAsia="Times New Roman"/>
                <w:sz w:val="20"/>
                <w:szCs w:val="20"/>
              </w:rPr>
            </w:pPr>
          </w:p>
        </w:tc>
        <w:tc>
          <w:tcPr>
            <w:tcW w:w="50" w:type="pct"/>
            <w:vAlign w:val="center"/>
            <w:hideMark/>
          </w:tcPr>
          <w:p w14:paraId="327D2F80" w14:textId="77777777" w:rsidR="00000000" w:rsidRDefault="00195E73">
            <w:pPr>
              <w:rPr>
                <w:rFonts w:eastAsia="Times New Roman"/>
                <w:sz w:val="20"/>
                <w:szCs w:val="20"/>
              </w:rPr>
            </w:pPr>
          </w:p>
        </w:tc>
        <w:tc>
          <w:tcPr>
            <w:tcW w:w="5" w:type="pct"/>
            <w:vAlign w:val="center"/>
            <w:hideMark/>
          </w:tcPr>
          <w:p w14:paraId="07941174" w14:textId="77777777" w:rsidR="00000000" w:rsidRDefault="00195E73">
            <w:pPr>
              <w:rPr>
                <w:rFonts w:eastAsia="Times New Roman"/>
                <w:sz w:val="20"/>
                <w:szCs w:val="20"/>
              </w:rPr>
            </w:pPr>
          </w:p>
        </w:tc>
        <w:tc>
          <w:tcPr>
            <w:tcW w:w="26" w:type="pct"/>
            <w:vAlign w:val="center"/>
            <w:hideMark/>
          </w:tcPr>
          <w:p w14:paraId="566E3B59" w14:textId="77777777" w:rsidR="00000000" w:rsidRDefault="00195E73">
            <w:pPr>
              <w:rPr>
                <w:rFonts w:eastAsia="Times New Roman"/>
                <w:sz w:val="20"/>
                <w:szCs w:val="20"/>
              </w:rPr>
            </w:pPr>
          </w:p>
        </w:tc>
        <w:tc>
          <w:tcPr>
            <w:tcW w:w="5" w:type="pct"/>
            <w:vAlign w:val="center"/>
            <w:hideMark/>
          </w:tcPr>
          <w:p w14:paraId="5DE7A59D" w14:textId="77777777" w:rsidR="00000000" w:rsidRDefault="00195E73">
            <w:pPr>
              <w:rPr>
                <w:rFonts w:eastAsia="Times New Roman"/>
                <w:sz w:val="20"/>
                <w:szCs w:val="20"/>
              </w:rPr>
            </w:pPr>
          </w:p>
        </w:tc>
        <w:tc>
          <w:tcPr>
            <w:tcW w:w="50" w:type="pct"/>
            <w:vAlign w:val="center"/>
            <w:hideMark/>
          </w:tcPr>
          <w:p w14:paraId="1AC96189" w14:textId="77777777" w:rsidR="00000000" w:rsidRDefault="00195E73">
            <w:pPr>
              <w:rPr>
                <w:rFonts w:eastAsia="Times New Roman"/>
                <w:sz w:val="20"/>
                <w:szCs w:val="20"/>
              </w:rPr>
            </w:pPr>
          </w:p>
        </w:tc>
        <w:tc>
          <w:tcPr>
            <w:tcW w:w="682" w:type="pct"/>
            <w:vAlign w:val="center"/>
            <w:hideMark/>
          </w:tcPr>
          <w:p w14:paraId="3AAF9505" w14:textId="77777777" w:rsidR="00000000" w:rsidRDefault="00195E73">
            <w:pPr>
              <w:rPr>
                <w:rFonts w:eastAsia="Times New Roman"/>
                <w:sz w:val="20"/>
                <w:szCs w:val="20"/>
              </w:rPr>
            </w:pPr>
          </w:p>
        </w:tc>
        <w:tc>
          <w:tcPr>
            <w:tcW w:w="50" w:type="pct"/>
            <w:vAlign w:val="center"/>
            <w:hideMark/>
          </w:tcPr>
          <w:p w14:paraId="7CF4A8E5" w14:textId="77777777" w:rsidR="00000000" w:rsidRDefault="00195E73">
            <w:pPr>
              <w:rPr>
                <w:rFonts w:eastAsia="Times New Roman"/>
                <w:sz w:val="20"/>
                <w:szCs w:val="20"/>
              </w:rPr>
            </w:pPr>
          </w:p>
        </w:tc>
        <w:tc>
          <w:tcPr>
            <w:tcW w:w="5" w:type="pct"/>
            <w:vAlign w:val="center"/>
            <w:hideMark/>
          </w:tcPr>
          <w:p w14:paraId="51004F5A" w14:textId="77777777" w:rsidR="00000000" w:rsidRDefault="00195E73">
            <w:pPr>
              <w:rPr>
                <w:rFonts w:eastAsia="Times New Roman"/>
                <w:sz w:val="20"/>
                <w:szCs w:val="20"/>
              </w:rPr>
            </w:pPr>
          </w:p>
        </w:tc>
        <w:tc>
          <w:tcPr>
            <w:tcW w:w="26" w:type="pct"/>
            <w:vAlign w:val="center"/>
            <w:hideMark/>
          </w:tcPr>
          <w:p w14:paraId="13F11AC5" w14:textId="77777777" w:rsidR="00000000" w:rsidRDefault="00195E73">
            <w:pPr>
              <w:rPr>
                <w:rFonts w:eastAsia="Times New Roman"/>
                <w:sz w:val="20"/>
                <w:szCs w:val="20"/>
              </w:rPr>
            </w:pPr>
          </w:p>
        </w:tc>
        <w:tc>
          <w:tcPr>
            <w:tcW w:w="5" w:type="pct"/>
            <w:vAlign w:val="center"/>
            <w:hideMark/>
          </w:tcPr>
          <w:p w14:paraId="239CC0B3" w14:textId="77777777" w:rsidR="00000000" w:rsidRDefault="00195E73">
            <w:pPr>
              <w:rPr>
                <w:rFonts w:eastAsia="Times New Roman"/>
                <w:sz w:val="20"/>
                <w:szCs w:val="20"/>
              </w:rPr>
            </w:pPr>
          </w:p>
        </w:tc>
        <w:tc>
          <w:tcPr>
            <w:tcW w:w="50" w:type="pct"/>
            <w:vAlign w:val="center"/>
            <w:hideMark/>
          </w:tcPr>
          <w:p w14:paraId="4F99514B" w14:textId="77777777" w:rsidR="00000000" w:rsidRDefault="00195E73">
            <w:pPr>
              <w:rPr>
                <w:rFonts w:eastAsia="Times New Roman"/>
                <w:sz w:val="20"/>
                <w:szCs w:val="20"/>
              </w:rPr>
            </w:pPr>
          </w:p>
        </w:tc>
        <w:tc>
          <w:tcPr>
            <w:tcW w:w="682" w:type="pct"/>
            <w:vAlign w:val="center"/>
            <w:hideMark/>
          </w:tcPr>
          <w:p w14:paraId="47D081E9" w14:textId="77777777" w:rsidR="00000000" w:rsidRDefault="00195E73">
            <w:pPr>
              <w:rPr>
                <w:rFonts w:eastAsia="Times New Roman"/>
                <w:sz w:val="20"/>
                <w:szCs w:val="20"/>
              </w:rPr>
            </w:pPr>
          </w:p>
        </w:tc>
        <w:tc>
          <w:tcPr>
            <w:tcW w:w="50" w:type="pct"/>
            <w:vAlign w:val="center"/>
            <w:hideMark/>
          </w:tcPr>
          <w:p w14:paraId="2514B56B" w14:textId="77777777" w:rsidR="00000000" w:rsidRDefault="00195E73">
            <w:pPr>
              <w:rPr>
                <w:rFonts w:eastAsia="Times New Roman"/>
                <w:sz w:val="20"/>
                <w:szCs w:val="20"/>
              </w:rPr>
            </w:pPr>
          </w:p>
        </w:tc>
        <w:tc>
          <w:tcPr>
            <w:tcW w:w="5" w:type="pct"/>
            <w:vAlign w:val="center"/>
            <w:hideMark/>
          </w:tcPr>
          <w:p w14:paraId="26808152" w14:textId="77777777" w:rsidR="00000000" w:rsidRDefault="00195E73">
            <w:pPr>
              <w:rPr>
                <w:rFonts w:eastAsia="Times New Roman"/>
                <w:sz w:val="20"/>
                <w:szCs w:val="20"/>
              </w:rPr>
            </w:pPr>
          </w:p>
        </w:tc>
        <w:tc>
          <w:tcPr>
            <w:tcW w:w="26" w:type="pct"/>
            <w:vAlign w:val="center"/>
            <w:hideMark/>
          </w:tcPr>
          <w:p w14:paraId="2AEDEA27" w14:textId="77777777" w:rsidR="00000000" w:rsidRDefault="00195E73">
            <w:pPr>
              <w:rPr>
                <w:rFonts w:eastAsia="Times New Roman"/>
                <w:sz w:val="20"/>
                <w:szCs w:val="20"/>
              </w:rPr>
            </w:pPr>
          </w:p>
        </w:tc>
        <w:tc>
          <w:tcPr>
            <w:tcW w:w="5" w:type="pct"/>
            <w:vAlign w:val="center"/>
            <w:hideMark/>
          </w:tcPr>
          <w:p w14:paraId="043C98F6" w14:textId="77777777" w:rsidR="00000000" w:rsidRDefault="00195E73">
            <w:pPr>
              <w:rPr>
                <w:rFonts w:eastAsia="Times New Roman"/>
                <w:sz w:val="20"/>
                <w:szCs w:val="20"/>
              </w:rPr>
            </w:pPr>
          </w:p>
        </w:tc>
        <w:tc>
          <w:tcPr>
            <w:tcW w:w="50" w:type="pct"/>
            <w:vAlign w:val="center"/>
            <w:hideMark/>
          </w:tcPr>
          <w:p w14:paraId="23C4D116" w14:textId="77777777" w:rsidR="00000000" w:rsidRDefault="00195E73">
            <w:pPr>
              <w:rPr>
                <w:rFonts w:eastAsia="Times New Roman"/>
                <w:sz w:val="20"/>
                <w:szCs w:val="20"/>
              </w:rPr>
            </w:pPr>
          </w:p>
        </w:tc>
        <w:tc>
          <w:tcPr>
            <w:tcW w:w="682" w:type="pct"/>
            <w:vAlign w:val="center"/>
            <w:hideMark/>
          </w:tcPr>
          <w:p w14:paraId="509609EA" w14:textId="77777777" w:rsidR="00000000" w:rsidRDefault="00195E73">
            <w:pPr>
              <w:rPr>
                <w:rFonts w:eastAsia="Times New Roman"/>
                <w:sz w:val="20"/>
                <w:szCs w:val="20"/>
              </w:rPr>
            </w:pPr>
          </w:p>
        </w:tc>
        <w:tc>
          <w:tcPr>
            <w:tcW w:w="50" w:type="pct"/>
            <w:vAlign w:val="center"/>
            <w:hideMark/>
          </w:tcPr>
          <w:p w14:paraId="27073671" w14:textId="77777777" w:rsidR="00000000" w:rsidRDefault="00195E73">
            <w:pPr>
              <w:rPr>
                <w:rFonts w:eastAsia="Times New Roman"/>
                <w:sz w:val="20"/>
                <w:szCs w:val="20"/>
              </w:rPr>
            </w:pPr>
          </w:p>
        </w:tc>
        <w:tc>
          <w:tcPr>
            <w:tcW w:w="5" w:type="pct"/>
            <w:vAlign w:val="center"/>
            <w:hideMark/>
          </w:tcPr>
          <w:p w14:paraId="5AC05E1F" w14:textId="77777777" w:rsidR="00000000" w:rsidRDefault="00195E73">
            <w:pPr>
              <w:rPr>
                <w:rFonts w:eastAsia="Times New Roman"/>
                <w:sz w:val="20"/>
                <w:szCs w:val="20"/>
              </w:rPr>
            </w:pPr>
          </w:p>
        </w:tc>
        <w:tc>
          <w:tcPr>
            <w:tcW w:w="26" w:type="pct"/>
            <w:vAlign w:val="center"/>
            <w:hideMark/>
          </w:tcPr>
          <w:p w14:paraId="20E7B9A2" w14:textId="77777777" w:rsidR="00000000" w:rsidRDefault="00195E73">
            <w:pPr>
              <w:rPr>
                <w:rFonts w:eastAsia="Times New Roman"/>
                <w:sz w:val="20"/>
                <w:szCs w:val="20"/>
              </w:rPr>
            </w:pPr>
          </w:p>
        </w:tc>
        <w:tc>
          <w:tcPr>
            <w:tcW w:w="5" w:type="pct"/>
            <w:vAlign w:val="center"/>
            <w:hideMark/>
          </w:tcPr>
          <w:p w14:paraId="74C944AE" w14:textId="77777777" w:rsidR="00000000" w:rsidRDefault="00195E73">
            <w:pPr>
              <w:rPr>
                <w:rFonts w:eastAsia="Times New Roman"/>
                <w:sz w:val="20"/>
                <w:szCs w:val="20"/>
              </w:rPr>
            </w:pPr>
          </w:p>
        </w:tc>
        <w:tc>
          <w:tcPr>
            <w:tcW w:w="50" w:type="pct"/>
            <w:vAlign w:val="center"/>
            <w:hideMark/>
          </w:tcPr>
          <w:p w14:paraId="685CB654" w14:textId="77777777" w:rsidR="00000000" w:rsidRDefault="00195E73">
            <w:pPr>
              <w:rPr>
                <w:rFonts w:eastAsia="Times New Roman"/>
                <w:sz w:val="20"/>
                <w:szCs w:val="20"/>
              </w:rPr>
            </w:pPr>
          </w:p>
        </w:tc>
        <w:tc>
          <w:tcPr>
            <w:tcW w:w="682" w:type="pct"/>
            <w:vAlign w:val="center"/>
            <w:hideMark/>
          </w:tcPr>
          <w:p w14:paraId="47CB9CBE" w14:textId="77777777" w:rsidR="00000000" w:rsidRDefault="00195E73">
            <w:pPr>
              <w:rPr>
                <w:rFonts w:eastAsia="Times New Roman"/>
                <w:sz w:val="20"/>
                <w:szCs w:val="20"/>
              </w:rPr>
            </w:pPr>
          </w:p>
        </w:tc>
        <w:tc>
          <w:tcPr>
            <w:tcW w:w="50" w:type="pct"/>
            <w:vAlign w:val="center"/>
            <w:hideMark/>
          </w:tcPr>
          <w:p w14:paraId="6948F1E6" w14:textId="77777777" w:rsidR="00000000" w:rsidRDefault="00195E73">
            <w:pPr>
              <w:rPr>
                <w:rFonts w:eastAsia="Times New Roman"/>
                <w:sz w:val="20"/>
                <w:szCs w:val="20"/>
              </w:rPr>
            </w:pPr>
          </w:p>
        </w:tc>
      </w:tr>
      <w:tr w:rsidR="00000000" w14:paraId="5C594F4F" w14:textId="77777777">
        <w:trPr>
          <w:gridAfter w:val="6"/>
          <w:divId w:val="1912501317"/>
          <w:jc w:val="center"/>
        </w:trPr>
        <w:tc>
          <w:tcPr>
            <w:tcW w:w="0" w:type="auto"/>
            <w:gridSpan w:val="3"/>
            <w:tcMar>
              <w:top w:w="30" w:type="dxa"/>
              <w:left w:w="20" w:type="dxa"/>
              <w:bottom w:w="30" w:type="dxa"/>
              <w:right w:w="20" w:type="dxa"/>
            </w:tcMar>
            <w:vAlign w:val="bottom"/>
            <w:hideMark/>
          </w:tcPr>
          <w:p w14:paraId="569B424F" w14:textId="77777777" w:rsidR="00000000" w:rsidRDefault="00195E73">
            <w:pPr>
              <w:rPr>
                <w:rFonts w:eastAsia="Times New Roman"/>
              </w:rPr>
            </w:pPr>
            <w:r>
              <w:rPr>
                <w:rFonts w:eastAsia="Times New Roman"/>
                <w:b/>
                <w:bCs/>
                <w:color w:val="000000"/>
                <w:sz w:val="20"/>
                <w:szCs w:val="20"/>
              </w:rPr>
              <w:t>Operating Lease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14:paraId="1D4BAAD7"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7AE5C149" w14:textId="77777777" w:rsidR="00000000" w:rsidRDefault="00195E73">
            <w:pPr>
              <w:jc w:val="center"/>
              <w:rPr>
                <w:rFonts w:eastAsia="Times New Roman"/>
              </w:rPr>
            </w:pPr>
            <w:r>
              <w:rPr>
                <w:rFonts w:eastAsia="Times New Roman"/>
                <w:b/>
                <w:bCs/>
                <w:color w:val="000000"/>
                <w:sz w:val="20"/>
                <w:szCs w:val="20"/>
              </w:rPr>
              <w:t>Right-Of-Use Asset</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14:paraId="5B34FCC9"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AD2A12F" w14:textId="77777777" w:rsidR="00000000" w:rsidRDefault="00195E73">
            <w:pPr>
              <w:jc w:val="center"/>
              <w:rPr>
                <w:rFonts w:eastAsia="Times New Roman"/>
              </w:rPr>
            </w:pPr>
            <w:r>
              <w:rPr>
                <w:rFonts w:eastAsia="Times New Roman"/>
                <w:b/>
                <w:bCs/>
                <w:color w:val="000000"/>
                <w:sz w:val="20"/>
                <w:szCs w:val="20"/>
              </w:rPr>
              <w:t>Lease Liabilitie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14:paraId="1D7E4CB6" w14:textId="77777777" w:rsidR="00000000" w:rsidRDefault="00195E73">
            <w:pPr>
              <w:jc w:val="center"/>
              <w:rPr>
                <w:rFonts w:eastAsia="Times New Roman"/>
              </w:rPr>
            </w:pPr>
          </w:p>
        </w:tc>
        <w:tc>
          <w:tcPr>
            <w:tcW w:w="0" w:type="auto"/>
            <w:gridSpan w:val="3"/>
            <w:tcMar>
              <w:top w:w="30" w:type="dxa"/>
              <w:left w:w="20" w:type="dxa"/>
              <w:bottom w:w="30" w:type="dxa"/>
              <w:right w:w="20" w:type="dxa"/>
            </w:tcMar>
            <w:vAlign w:val="bottom"/>
            <w:hideMark/>
          </w:tcPr>
          <w:p w14:paraId="1151A448" w14:textId="77777777" w:rsidR="00000000" w:rsidRDefault="00195E73">
            <w:pPr>
              <w:jc w:val="center"/>
              <w:rPr>
                <w:rFonts w:eastAsia="Times New Roman"/>
              </w:rPr>
            </w:pPr>
            <w:r>
              <w:rPr>
                <w:rFonts w:eastAsia="Times New Roman"/>
                <w:b/>
                <w:bCs/>
                <w:color w:val="000000"/>
                <w:sz w:val="20"/>
                <w:szCs w:val="20"/>
              </w:rPr>
              <w:t>Lease Ter</w:t>
            </w:r>
            <w:r>
              <w:rPr>
                <w:rFonts w:eastAsia="Times New Roman"/>
                <w:b/>
                <w:bCs/>
                <w:color w:val="000000"/>
                <w:sz w:val="20"/>
                <w:szCs w:val="20"/>
              </w:rPr>
              <w:t>m</w:t>
            </w:r>
          </w:p>
        </w:tc>
        <w:tc>
          <w:tcPr>
            <w:tcW w:w="0" w:type="auto"/>
            <w:gridSpan w:val="3"/>
            <w:tcMar>
              <w:top w:w="15" w:type="dxa"/>
              <w:left w:w="20" w:type="dxa"/>
              <w:bottom w:w="15" w:type="dxa"/>
              <w:right w:w="20" w:type="dxa"/>
            </w:tcMar>
            <w:vAlign w:val="bottom"/>
            <w:hideMark/>
          </w:tcPr>
          <w:p w14:paraId="0418208C" w14:textId="77777777" w:rsidR="00000000" w:rsidRDefault="00195E73">
            <w:pPr>
              <w:jc w:val="center"/>
              <w:rPr>
                <w:rFonts w:eastAsia="Times New Roman"/>
              </w:rPr>
            </w:pPr>
          </w:p>
        </w:tc>
        <w:tc>
          <w:tcPr>
            <w:tcW w:w="0" w:type="auto"/>
            <w:gridSpan w:val="3"/>
            <w:tcMar>
              <w:top w:w="30" w:type="dxa"/>
              <w:left w:w="20" w:type="dxa"/>
              <w:bottom w:w="30" w:type="dxa"/>
              <w:right w:w="20" w:type="dxa"/>
            </w:tcMar>
            <w:vAlign w:val="bottom"/>
            <w:hideMark/>
          </w:tcPr>
          <w:p w14:paraId="2CA54BCA" w14:textId="77777777" w:rsidR="00000000" w:rsidRDefault="00195E73">
            <w:pPr>
              <w:jc w:val="center"/>
              <w:rPr>
                <w:rFonts w:eastAsia="Times New Roman"/>
              </w:rPr>
            </w:pPr>
            <w:r>
              <w:rPr>
                <w:rFonts w:eastAsia="Times New Roman"/>
                <w:b/>
                <w:bCs/>
                <w:color w:val="000000"/>
                <w:sz w:val="20"/>
                <w:szCs w:val="20"/>
              </w:rPr>
              <w:t>Discount Rat</w:t>
            </w:r>
            <w:r>
              <w:rPr>
                <w:rFonts w:eastAsia="Times New Roman"/>
                <w:b/>
                <w:bCs/>
                <w:color w:val="000000"/>
                <w:sz w:val="20"/>
                <w:szCs w:val="20"/>
              </w:rPr>
              <w:t>e</w:t>
            </w:r>
          </w:p>
        </w:tc>
      </w:tr>
      <w:tr w:rsidR="00000000" w14:paraId="37EF44E2" w14:textId="77777777">
        <w:trPr>
          <w:divId w:val="1912501317"/>
          <w:jc w:val="center"/>
        </w:trPr>
        <w:tc>
          <w:tcPr>
            <w:tcW w:w="0" w:type="auto"/>
            <w:gridSpan w:val="3"/>
            <w:tcBorders>
              <w:top w:val="single" w:sz="8" w:space="0" w:color="000000"/>
            </w:tcBorders>
            <w:tcMar>
              <w:top w:w="15" w:type="dxa"/>
              <w:left w:w="20" w:type="dxa"/>
              <w:bottom w:w="15" w:type="dxa"/>
              <w:right w:w="20" w:type="dxa"/>
            </w:tcMar>
            <w:vAlign w:val="bottom"/>
            <w:hideMark/>
          </w:tcPr>
          <w:p w14:paraId="69447C1D" w14:textId="77777777" w:rsidR="00000000" w:rsidRDefault="00195E73">
            <w:pPr>
              <w:jc w:val="center"/>
              <w:rPr>
                <w:rFonts w:eastAsia="Times New Roman"/>
              </w:rPr>
            </w:pPr>
          </w:p>
        </w:tc>
        <w:tc>
          <w:tcPr>
            <w:tcW w:w="0" w:type="auto"/>
            <w:gridSpan w:val="3"/>
            <w:tcMar>
              <w:top w:w="15" w:type="dxa"/>
              <w:left w:w="20" w:type="dxa"/>
              <w:bottom w:w="15" w:type="dxa"/>
              <w:right w:w="20" w:type="dxa"/>
            </w:tcMar>
            <w:vAlign w:val="bottom"/>
            <w:hideMark/>
          </w:tcPr>
          <w:p w14:paraId="035A4C64" w14:textId="77777777" w:rsidR="00000000" w:rsidRDefault="00195E7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A31425D"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0ECBBFCE" w14:textId="77777777" w:rsidR="00000000" w:rsidRDefault="00195E73">
            <w:pPr>
              <w:jc w:val="center"/>
              <w:rPr>
                <w:rFonts w:eastAsia="Times New Roman"/>
              </w:rPr>
            </w:pPr>
          </w:p>
        </w:tc>
        <w:tc>
          <w:tcPr>
            <w:tcW w:w="0" w:type="auto"/>
            <w:gridSpan w:val="3"/>
            <w:vAlign w:val="center"/>
            <w:hideMark/>
          </w:tcPr>
          <w:p w14:paraId="398A0965"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F972D12" w14:textId="77777777" w:rsidR="00000000" w:rsidRDefault="00195E73">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65A91362"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2597C95" w14:textId="77777777" w:rsidR="00000000" w:rsidRDefault="00195E73">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5E0D1BC5" w14:textId="77777777" w:rsidR="00000000" w:rsidRDefault="00195E73">
            <w:pPr>
              <w:rPr>
                <w:rFonts w:eastAsia="Times New Roman"/>
                <w:sz w:val="20"/>
                <w:szCs w:val="20"/>
              </w:rPr>
            </w:pPr>
          </w:p>
        </w:tc>
      </w:tr>
      <w:tr w:rsidR="00000000" w14:paraId="36702A69" w14:textId="77777777">
        <w:trPr>
          <w:divId w:val="1912501317"/>
          <w:jc w:val="center"/>
        </w:trPr>
        <w:tc>
          <w:tcPr>
            <w:tcW w:w="0" w:type="auto"/>
            <w:gridSpan w:val="3"/>
            <w:shd w:val="clear" w:color="auto" w:fill="CCEEFF"/>
            <w:tcMar>
              <w:top w:w="30" w:type="dxa"/>
              <w:left w:w="20" w:type="dxa"/>
              <w:bottom w:w="30" w:type="dxa"/>
              <w:right w:w="20" w:type="dxa"/>
            </w:tcMar>
            <w:vAlign w:val="bottom"/>
            <w:hideMark/>
          </w:tcPr>
          <w:p w14:paraId="713276A7" w14:textId="77777777" w:rsidR="00000000" w:rsidRDefault="00195E73">
            <w:pPr>
              <w:rPr>
                <w:rFonts w:eastAsia="Times New Roman"/>
              </w:rPr>
            </w:pPr>
            <w:r>
              <w:rPr>
                <w:rFonts w:eastAsia="Times New Roman"/>
                <w:color w:val="000000"/>
                <w:sz w:val="20"/>
                <w:szCs w:val="20"/>
              </w:rPr>
              <w:t>Energ</w:t>
            </w:r>
            <w:r>
              <w:rPr>
                <w:rFonts w:eastAsia="Times New Roman"/>
                <w:color w:val="000000"/>
                <w:sz w:val="20"/>
                <w:szCs w:val="20"/>
              </w:rPr>
              <w:t>y</w:t>
            </w:r>
          </w:p>
        </w:tc>
        <w:tc>
          <w:tcPr>
            <w:tcW w:w="0" w:type="auto"/>
            <w:gridSpan w:val="3"/>
            <w:shd w:val="clear" w:color="auto" w:fill="CCEEFF"/>
            <w:tcMar>
              <w:top w:w="15" w:type="dxa"/>
              <w:left w:w="20" w:type="dxa"/>
              <w:bottom w:w="15" w:type="dxa"/>
              <w:right w:w="20" w:type="dxa"/>
            </w:tcMar>
            <w:vAlign w:val="bottom"/>
            <w:hideMark/>
          </w:tcPr>
          <w:p w14:paraId="37FEDBBB" w14:textId="77777777" w:rsidR="00000000" w:rsidRDefault="00195E73">
            <w:pPr>
              <w:rPr>
                <w:rFonts w:eastAsia="Times New Roman"/>
              </w:rPr>
            </w:pPr>
          </w:p>
        </w:tc>
        <w:tc>
          <w:tcPr>
            <w:tcW w:w="0" w:type="auto"/>
            <w:shd w:val="clear" w:color="auto" w:fill="CCEEFF"/>
            <w:tcMar>
              <w:top w:w="30" w:type="dxa"/>
              <w:left w:w="20" w:type="dxa"/>
              <w:bottom w:w="30" w:type="dxa"/>
              <w:right w:w="15" w:type="dxa"/>
            </w:tcMar>
            <w:vAlign w:val="bottom"/>
            <w:hideMark/>
          </w:tcPr>
          <w:p w14:paraId="4740608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BC44C2D" w14:textId="77777777" w:rsidR="00000000" w:rsidRDefault="00195E73">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4AB1D1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3888EF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8E0903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A0A4215" w14:textId="77777777" w:rsidR="00000000" w:rsidRDefault="00195E73">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6961C3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7C60655" w14:textId="77777777" w:rsidR="00000000" w:rsidRDefault="00195E7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2EDD14F" w14:textId="77777777" w:rsidR="00000000" w:rsidRDefault="00195E73">
            <w:pPr>
              <w:jc w:val="center"/>
              <w:rPr>
                <w:rFonts w:eastAsia="Times New Roman"/>
              </w:rPr>
            </w:pPr>
            <w:r>
              <w:rPr>
                <w:rFonts w:eastAsia="Times New Roman"/>
                <w:color w:val="000000"/>
                <w:sz w:val="20"/>
                <w:szCs w:val="20"/>
              </w:rPr>
              <w:t>3.7 year</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788382DC" w14:textId="77777777" w:rsidR="00000000" w:rsidRDefault="00195E7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4036D8" w14:textId="77777777" w:rsidR="00000000" w:rsidRDefault="00195E73">
            <w:pPr>
              <w:jc w:val="center"/>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284F63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1E6EF47" w14:textId="77777777" w:rsidR="00000000" w:rsidRDefault="00195E73">
            <w:pPr>
              <w:rPr>
                <w:rFonts w:eastAsia="Times New Roman"/>
                <w:sz w:val="20"/>
                <w:szCs w:val="20"/>
              </w:rPr>
            </w:pPr>
          </w:p>
        </w:tc>
        <w:tc>
          <w:tcPr>
            <w:tcW w:w="0" w:type="auto"/>
            <w:vAlign w:val="center"/>
            <w:hideMark/>
          </w:tcPr>
          <w:p w14:paraId="53765953" w14:textId="77777777" w:rsidR="00000000" w:rsidRDefault="00195E73">
            <w:pPr>
              <w:rPr>
                <w:rFonts w:eastAsia="Times New Roman"/>
                <w:sz w:val="20"/>
                <w:szCs w:val="20"/>
              </w:rPr>
            </w:pPr>
          </w:p>
        </w:tc>
        <w:tc>
          <w:tcPr>
            <w:tcW w:w="0" w:type="auto"/>
            <w:vAlign w:val="center"/>
            <w:hideMark/>
          </w:tcPr>
          <w:p w14:paraId="7E4DB085" w14:textId="77777777" w:rsidR="00000000" w:rsidRDefault="00195E73">
            <w:pPr>
              <w:rPr>
                <w:rFonts w:eastAsia="Times New Roman"/>
                <w:sz w:val="20"/>
                <w:szCs w:val="20"/>
              </w:rPr>
            </w:pPr>
          </w:p>
        </w:tc>
        <w:tc>
          <w:tcPr>
            <w:tcW w:w="0" w:type="auto"/>
            <w:vAlign w:val="center"/>
            <w:hideMark/>
          </w:tcPr>
          <w:p w14:paraId="0579E9B0" w14:textId="77777777" w:rsidR="00000000" w:rsidRDefault="00195E73">
            <w:pPr>
              <w:rPr>
                <w:rFonts w:eastAsia="Times New Roman"/>
                <w:sz w:val="20"/>
                <w:szCs w:val="20"/>
              </w:rPr>
            </w:pPr>
          </w:p>
        </w:tc>
        <w:tc>
          <w:tcPr>
            <w:tcW w:w="0" w:type="auto"/>
            <w:vAlign w:val="center"/>
            <w:hideMark/>
          </w:tcPr>
          <w:p w14:paraId="3106B2B8" w14:textId="77777777" w:rsidR="00000000" w:rsidRDefault="00195E73">
            <w:pPr>
              <w:rPr>
                <w:rFonts w:eastAsia="Times New Roman"/>
                <w:sz w:val="20"/>
                <w:szCs w:val="20"/>
              </w:rPr>
            </w:pPr>
          </w:p>
        </w:tc>
        <w:tc>
          <w:tcPr>
            <w:tcW w:w="0" w:type="auto"/>
            <w:vAlign w:val="center"/>
            <w:hideMark/>
          </w:tcPr>
          <w:p w14:paraId="69031602" w14:textId="77777777" w:rsidR="00000000" w:rsidRDefault="00195E73">
            <w:pPr>
              <w:rPr>
                <w:rFonts w:eastAsia="Times New Roman"/>
                <w:sz w:val="20"/>
                <w:szCs w:val="20"/>
              </w:rPr>
            </w:pPr>
          </w:p>
        </w:tc>
      </w:tr>
      <w:tr w:rsidR="00000000" w14:paraId="0121AF04" w14:textId="77777777">
        <w:trPr>
          <w:divId w:val="1912501317"/>
          <w:jc w:val="center"/>
        </w:trPr>
        <w:tc>
          <w:tcPr>
            <w:tcW w:w="0" w:type="auto"/>
            <w:gridSpan w:val="3"/>
            <w:shd w:val="clear" w:color="auto" w:fill="FFFFFF"/>
            <w:tcMar>
              <w:top w:w="30" w:type="dxa"/>
              <w:left w:w="20" w:type="dxa"/>
              <w:bottom w:w="30" w:type="dxa"/>
              <w:right w:w="20" w:type="dxa"/>
            </w:tcMar>
            <w:vAlign w:val="bottom"/>
            <w:hideMark/>
          </w:tcPr>
          <w:p w14:paraId="0817D644" w14:textId="77777777" w:rsidR="00000000" w:rsidRDefault="00195E73">
            <w:pPr>
              <w:rPr>
                <w:rFonts w:eastAsia="Times New Roman"/>
              </w:rPr>
            </w:pPr>
            <w:r>
              <w:rPr>
                <w:rFonts w:eastAsia="Times New Roman"/>
                <w:color w:val="000000"/>
                <w:sz w:val="20"/>
                <w:szCs w:val="20"/>
              </w:rPr>
              <w:t>Automotiv</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14:paraId="15839332"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B2AA3F" w14:textId="77777777" w:rsidR="00000000" w:rsidRDefault="00195E73">
            <w:pPr>
              <w:jc w:val="right"/>
              <w:rPr>
                <w:rFonts w:eastAsia="Times New Roman"/>
              </w:rPr>
            </w:pPr>
            <w:r>
              <w:rPr>
                <w:rFonts w:eastAsia="Times New Roman"/>
                <w:color w:val="000000"/>
                <w:sz w:val="20"/>
                <w:szCs w:val="20"/>
              </w:rPr>
              <w:t>501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83A1ED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8BEAE0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26D653" w14:textId="77777777" w:rsidR="00000000" w:rsidRDefault="00195E73">
            <w:pPr>
              <w:jc w:val="right"/>
              <w:rPr>
                <w:rFonts w:eastAsia="Times New Roman"/>
              </w:rPr>
            </w:pPr>
            <w:r>
              <w:rPr>
                <w:rFonts w:eastAsia="Times New Roman"/>
                <w:color w:val="000000"/>
                <w:sz w:val="20"/>
                <w:szCs w:val="20"/>
              </w:rPr>
              <w:t>527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AF9063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E6F700C" w14:textId="77777777" w:rsidR="00000000" w:rsidRDefault="00195E7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42A6BEE" w14:textId="77777777" w:rsidR="00000000" w:rsidRDefault="00195E73">
            <w:pPr>
              <w:jc w:val="center"/>
              <w:rPr>
                <w:rFonts w:eastAsia="Times New Roman"/>
              </w:rPr>
            </w:pPr>
            <w:r>
              <w:rPr>
                <w:rFonts w:eastAsia="Times New Roman"/>
                <w:color w:val="000000"/>
                <w:sz w:val="20"/>
                <w:szCs w:val="20"/>
              </w:rPr>
              <w:t>5.2 year</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14:paraId="3A7B4EC5" w14:textId="77777777" w:rsidR="00000000" w:rsidRDefault="00195E7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89B615" w14:textId="77777777" w:rsidR="00000000" w:rsidRDefault="00195E73">
            <w:pPr>
              <w:jc w:val="center"/>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91B074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CF37C8C" w14:textId="77777777" w:rsidR="00000000" w:rsidRDefault="00195E73">
            <w:pPr>
              <w:rPr>
                <w:rFonts w:eastAsia="Times New Roman"/>
                <w:sz w:val="20"/>
                <w:szCs w:val="20"/>
              </w:rPr>
            </w:pPr>
          </w:p>
        </w:tc>
        <w:tc>
          <w:tcPr>
            <w:tcW w:w="0" w:type="auto"/>
            <w:vAlign w:val="center"/>
            <w:hideMark/>
          </w:tcPr>
          <w:p w14:paraId="33FDD875" w14:textId="77777777" w:rsidR="00000000" w:rsidRDefault="00195E73">
            <w:pPr>
              <w:rPr>
                <w:rFonts w:eastAsia="Times New Roman"/>
                <w:sz w:val="20"/>
                <w:szCs w:val="20"/>
              </w:rPr>
            </w:pPr>
          </w:p>
        </w:tc>
        <w:tc>
          <w:tcPr>
            <w:tcW w:w="0" w:type="auto"/>
            <w:vAlign w:val="center"/>
            <w:hideMark/>
          </w:tcPr>
          <w:p w14:paraId="2C65D2ED" w14:textId="77777777" w:rsidR="00000000" w:rsidRDefault="00195E73">
            <w:pPr>
              <w:rPr>
                <w:rFonts w:eastAsia="Times New Roman"/>
                <w:sz w:val="20"/>
                <w:szCs w:val="20"/>
              </w:rPr>
            </w:pPr>
          </w:p>
        </w:tc>
        <w:tc>
          <w:tcPr>
            <w:tcW w:w="0" w:type="auto"/>
            <w:vAlign w:val="center"/>
            <w:hideMark/>
          </w:tcPr>
          <w:p w14:paraId="5959A071" w14:textId="77777777" w:rsidR="00000000" w:rsidRDefault="00195E73">
            <w:pPr>
              <w:rPr>
                <w:rFonts w:eastAsia="Times New Roman"/>
                <w:sz w:val="20"/>
                <w:szCs w:val="20"/>
              </w:rPr>
            </w:pPr>
          </w:p>
        </w:tc>
        <w:tc>
          <w:tcPr>
            <w:tcW w:w="0" w:type="auto"/>
            <w:vAlign w:val="center"/>
            <w:hideMark/>
          </w:tcPr>
          <w:p w14:paraId="5E6D00CA" w14:textId="77777777" w:rsidR="00000000" w:rsidRDefault="00195E73">
            <w:pPr>
              <w:rPr>
                <w:rFonts w:eastAsia="Times New Roman"/>
                <w:sz w:val="20"/>
                <w:szCs w:val="20"/>
              </w:rPr>
            </w:pPr>
          </w:p>
        </w:tc>
        <w:tc>
          <w:tcPr>
            <w:tcW w:w="0" w:type="auto"/>
            <w:vAlign w:val="center"/>
            <w:hideMark/>
          </w:tcPr>
          <w:p w14:paraId="16C43B3F" w14:textId="77777777" w:rsidR="00000000" w:rsidRDefault="00195E73">
            <w:pPr>
              <w:rPr>
                <w:rFonts w:eastAsia="Times New Roman"/>
                <w:sz w:val="20"/>
                <w:szCs w:val="20"/>
              </w:rPr>
            </w:pPr>
          </w:p>
        </w:tc>
      </w:tr>
      <w:tr w:rsidR="00000000" w14:paraId="1410E999" w14:textId="77777777">
        <w:trPr>
          <w:divId w:val="1912501317"/>
          <w:jc w:val="center"/>
        </w:trPr>
        <w:tc>
          <w:tcPr>
            <w:tcW w:w="0" w:type="auto"/>
            <w:gridSpan w:val="3"/>
            <w:shd w:val="clear" w:color="auto" w:fill="CCEEFF"/>
            <w:tcMar>
              <w:top w:w="30" w:type="dxa"/>
              <w:left w:w="20" w:type="dxa"/>
              <w:bottom w:w="30" w:type="dxa"/>
              <w:right w:w="20" w:type="dxa"/>
            </w:tcMar>
            <w:vAlign w:val="bottom"/>
            <w:hideMark/>
          </w:tcPr>
          <w:p w14:paraId="0443D8BD" w14:textId="77777777" w:rsidR="00000000" w:rsidRDefault="00195E73">
            <w:pPr>
              <w:rPr>
                <w:rFonts w:eastAsia="Times New Roman"/>
              </w:rPr>
            </w:pPr>
            <w:r>
              <w:rPr>
                <w:rFonts w:eastAsia="Times New Roman"/>
                <w:color w:val="000000"/>
                <w:sz w:val="20"/>
                <w:szCs w:val="20"/>
              </w:rPr>
              <w:t>Food Packagin</w:t>
            </w:r>
            <w:r>
              <w:rPr>
                <w:rFonts w:eastAsia="Times New Roman"/>
                <w:color w:val="000000"/>
                <w:sz w:val="20"/>
                <w:szCs w:val="20"/>
              </w:rPr>
              <w:t>g</w:t>
            </w:r>
          </w:p>
        </w:tc>
        <w:tc>
          <w:tcPr>
            <w:tcW w:w="0" w:type="auto"/>
            <w:gridSpan w:val="3"/>
            <w:shd w:val="clear" w:color="auto" w:fill="CCEEFF"/>
            <w:tcMar>
              <w:top w:w="15" w:type="dxa"/>
              <w:left w:w="20" w:type="dxa"/>
              <w:bottom w:w="15" w:type="dxa"/>
              <w:right w:w="20" w:type="dxa"/>
            </w:tcMar>
            <w:vAlign w:val="bottom"/>
            <w:hideMark/>
          </w:tcPr>
          <w:p w14:paraId="39DE8B8D"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9C6ABC" w14:textId="77777777" w:rsidR="00000000" w:rsidRDefault="00195E73">
            <w:pPr>
              <w:jc w:val="right"/>
              <w:rPr>
                <w:rFonts w:eastAsia="Times New Roman"/>
              </w:rPr>
            </w:pPr>
            <w:r>
              <w:rPr>
                <w:rFonts w:eastAsia="Times New Roman"/>
                <w:color w:val="000000"/>
                <w:sz w:val="20"/>
                <w:szCs w:val="20"/>
              </w:rPr>
              <w:t>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0B785F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B9B1C2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93489A" w14:textId="77777777" w:rsidR="00000000" w:rsidRDefault="00195E73">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555064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9DE8C77" w14:textId="77777777" w:rsidR="00000000" w:rsidRDefault="00195E7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9BF6D53" w14:textId="77777777" w:rsidR="00000000" w:rsidRDefault="00195E73">
            <w:pPr>
              <w:jc w:val="center"/>
              <w:rPr>
                <w:rFonts w:eastAsia="Times New Roman"/>
              </w:rPr>
            </w:pPr>
            <w:r>
              <w:rPr>
                <w:rFonts w:eastAsia="Times New Roman"/>
                <w:color w:val="000000"/>
                <w:sz w:val="20"/>
                <w:szCs w:val="20"/>
              </w:rPr>
              <w:t>11.7 year</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7FD1D68D" w14:textId="77777777" w:rsidR="00000000" w:rsidRDefault="00195E7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20D16A" w14:textId="77777777" w:rsidR="00000000" w:rsidRDefault="00195E73">
            <w:pPr>
              <w:jc w:val="center"/>
              <w:rPr>
                <w:rFonts w:eastAsia="Times New Roman"/>
              </w:rPr>
            </w:pPr>
            <w:r>
              <w:rPr>
                <w:rFonts w:eastAsia="Times New Roman"/>
                <w:color w:val="000000"/>
                <w:sz w:val="20"/>
                <w:szCs w:val="20"/>
              </w:rPr>
              <w:t>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60EA27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A7B18E7" w14:textId="77777777" w:rsidR="00000000" w:rsidRDefault="00195E73">
            <w:pPr>
              <w:rPr>
                <w:rFonts w:eastAsia="Times New Roman"/>
                <w:sz w:val="20"/>
                <w:szCs w:val="20"/>
              </w:rPr>
            </w:pPr>
          </w:p>
        </w:tc>
        <w:tc>
          <w:tcPr>
            <w:tcW w:w="0" w:type="auto"/>
            <w:vAlign w:val="center"/>
            <w:hideMark/>
          </w:tcPr>
          <w:p w14:paraId="4F772AF6" w14:textId="77777777" w:rsidR="00000000" w:rsidRDefault="00195E73">
            <w:pPr>
              <w:rPr>
                <w:rFonts w:eastAsia="Times New Roman"/>
                <w:sz w:val="20"/>
                <w:szCs w:val="20"/>
              </w:rPr>
            </w:pPr>
          </w:p>
        </w:tc>
        <w:tc>
          <w:tcPr>
            <w:tcW w:w="0" w:type="auto"/>
            <w:vAlign w:val="center"/>
            <w:hideMark/>
          </w:tcPr>
          <w:p w14:paraId="29B7FF6D" w14:textId="77777777" w:rsidR="00000000" w:rsidRDefault="00195E73">
            <w:pPr>
              <w:rPr>
                <w:rFonts w:eastAsia="Times New Roman"/>
                <w:sz w:val="20"/>
                <w:szCs w:val="20"/>
              </w:rPr>
            </w:pPr>
          </w:p>
        </w:tc>
        <w:tc>
          <w:tcPr>
            <w:tcW w:w="0" w:type="auto"/>
            <w:vAlign w:val="center"/>
            <w:hideMark/>
          </w:tcPr>
          <w:p w14:paraId="12CECD32" w14:textId="77777777" w:rsidR="00000000" w:rsidRDefault="00195E73">
            <w:pPr>
              <w:rPr>
                <w:rFonts w:eastAsia="Times New Roman"/>
                <w:sz w:val="20"/>
                <w:szCs w:val="20"/>
              </w:rPr>
            </w:pPr>
          </w:p>
        </w:tc>
        <w:tc>
          <w:tcPr>
            <w:tcW w:w="0" w:type="auto"/>
            <w:vAlign w:val="center"/>
            <w:hideMark/>
          </w:tcPr>
          <w:p w14:paraId="22A2AD6A" w14:textId="77777777" w:rsidR="00000000" w:rsidRDefault="00195E73">
            <w:pPr>
              <w:rPr>
                <w:rFonts w:eastAsia="Times New Roman"/>
                <w:sz w:val="20"/>
                <w:szCs w:val="20"/>
              </w:rPr>
            </w:pPr>
          </w:p>
        </w:tc>
        <w:tc>
          <w:tcPr>
            <w:tcW w:w="0" w:type="auto"/>
            <w:vAlign w:val="center"/>
            <w:hideMark/>
          </w:tcPr>
          <w:p w14:paraId="55E38277" w14:textId="77777777" w:rsidR="00000000" w:rsidRDefault="00195E73">
            <w:pPr>
              <w:rPr>
                <w:rFonts w:eastAsia="Times New Roman"/>
                <w:sz w:val="20"/>
                <w:szCs w:val="20"/>
              </w:rPr>
            </w:pPr>
          </w:p>
        </w:tc>
      </w:tr>
      <w:tr w:rsidR="00000000" w14:paraId="04AFF700" w14:textId="77777777">
        <w:trPr>
          <w:divId w:val="1912501317"/>
          <w:jc w:val="center"/>
        </w:trPr>
        <w:tc>
          <w:tcPr>
            <w:tcW w:w="0" w:type="auto"/>
            <w:gridSpan w:val="3"/>
            <w:shd w:val="clear" w:color="auto" w:fill="FFFFFF"/>
            <w:tcMar>
              <w:top w:w="30" w:type="dxa"/>
              <w:left w:w="20" w:type="dxa"/>
              <w:bottom w:w="30" w:type="dxa"/>
              <w:right w:w="20" w:type="dxa"/>
            </w:tcMar>
            <w:vAlign w:val="bottom"/>
            <w:hideMark/>
          </w:tcPr>
          <w:p w14:paraId="67DE484E" w14:textId="77777777" w:rsidR="00000000" w:rsidRDefault="00195E73">
            <w:pPr>
              <w:rPr>
                <w:rFonts w:eastAsia="Times New Roman"/>
              </w:rPr>
            </w:pPr>
            <w:r>
              <w:rPr>
                <w:rFonts w:eastAsia="Times New Roman"/>
                <w:color w:val="000000"/>
                <w:sz w:val="20"/>
                <w:szCs w:val="20"/>
              </w:rPr>
              <w:t>Other segments and Holding Compan</w:t>
            </w:r>
            <w:r>
              <w:rPr>
                <w:rFonts w:eastAsia="Times New Roman"/>
                <w:color w:val="000000"/>
                <w:sz w:val="20"/>
                <w:szCs w:val="20"/>
              </w:rPr>
              <w:t>y</w:t>
            </w:r>
          </w:p>
        </w:tc>
        <w:tc>
          <w:tcPr>
            <w:tcW w:w="0" w:type="auto"/>
            <w:gridSpan w:val="3"/>
            <w:shd w:val="clear" w:color="auto" w:fill="FFFFFF"/>
            <w:tcMar>
              <w:top w:w="15" w:type="dxa"/>
              <w:left w:w="20" w:type="dxa"/>
              <w:bottom w:w="15" w:type="dxa"/>
              <w:right w:w="20" w:type="dxa"/>
            </w:tcMar>
            <w:vAlign w:val="bottom"/>
            <w:hideMark/>
          </w:tcPr>
          <w:p w14:paraId="5588BB3E"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840A5E" w14:textId="77777777" w:rsidR="00000000" w:rsidRDefault="00195E73">
            <w:pPr>
              <w:jc w:val="right"/>
              <w:rPr>
                <w:rFonts w:eastAsia="Times New Roman"/>
              </w:rPr>
            </w:pPr>
            <w:r>
              <w:rPr>
                <w:rFonts w:eastAsia="Times New Roman"/>
                <w:color w:val="000000"/>
                <w:sz w:val="20"/>
                <w:szCs w:val="20"/>
              </w:rPr>
              <w:t>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98EB7F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334C72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C96BD4" w14:textId="77777777" w:rsidR="00000000" w:rsidRDefault="00195E73">
            <w:pPr>
              <w:jc w:val="right"/>
              <w:rPr>
                <w:rFonts w:eastAsia="Times New Roman"/>
              </w:rPr>
            </w:pPr>
            <w:r>
              <w:rPr>
                <w:rFonts w:eastAsia="Times New Roman"/>
                <w:color w:val="000000"/>
                <w:sz w:val="20"/>
                <w:szCs w:val="20"/>
              </w:rPr>
              <w:t>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C3A682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7B971BC"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04D188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8B2EE1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364327B" w14:textId="77777777" w:rsidR="00000000" w:rsidRDefault="00195E73">
            <w:pPr>
              <w:rPr>
                <w:rFonts w:eastAsia="Times New Roman"/>
                <w:sz w:val="20"/>
                <w:szCs w:val="20"/>
              </w:rPr>
            </w:pPr>
          </w:p>
        </w:tc>
        <w:tc>
          <w:tcPr>
            <w:tcW w:w="0" w:type="auto"/>
            <w:vAlign w:val="center"/>
            <w:hideMark/>
          </w:tcPr>
          <w:p w14:paraId="45F181E2" w14:textId="77777777" w:rsidR="00000000" w:rsidRDefault="00195E73">
            <w:pPr>
              <w:rPr>
                <w:rFonts w:eastAsia="Times New Roman"/>
                <w:sz w:val="20"/>
                <w:szCs w:val="20"/>
              </w:rPr>
            </w:pPr>
          </w:p>
        </w:tc>
        <w:tc>
          <w:tcPr>
            <w:tcW w:w="0" w:type="auto"/>
            <w:vAlign w:val="center"/>
            <w:hideMark/>
          </w:tcPr>
          <w:p w14:paraId="5D1095D7" w14:textId="77777777" w:rsidR="00000000" w:rsidRDefault="00195E73">
            <w:pPr>
              <w:rPr>
                <w:rFonts w:eastAsia="Times New Roman"/>
                <w:sz w:val="20"/>
                <w:szCs w:val="20"/>
              </w:rPr>
            </w:pPr>
          </w:p>
        </w:tc>
        <w:tc>
          <w:tcPr>
            <w:tcW w:w="0" w:type="auto"/>
            <w:vAlign w:val="center"/>
            <w:hideMark/>
          </w:tcPr>
          <w:p w14:paraId="605131AB" w14:textId="77777777" w:rsidR="00000000" w:rsidRDefault="00195E73">
            <w:pPr>
              <w:rPr>
                <w:rFonts w:eastAsia="Times New Roman"/>
                <w:sz w:val="20"/>
                <w:szCs w:val="20"/>
              </w:rPr>
            </w:pPr>
          </w:p>
        </w:tc>
        <w:tc>
          <w:tcPr>
            <w:tcW w:w="0" w:type="auto"/>
            <w:vAlign w:val="center"/>
            <w:hideMark/>
          </w:tcPr>
          <w:p w14:paraId="25EB61C9" w14:textId="77777777" w:rsidR="00000000" w:rsidRDefault="00195E73">
            <w:pPr>
              <w:rPr>
                <w:rFonts w:eastAsia="Times New Roman"/>
                <w:sz w:val="20"/>
                <w:szCs w:val="20"/>
              </w:rPr>
            </w:pPr>
          </w:p>
        </w:tc>
        <w:tc>
          <w:tcPr>
            <w:tcW w:w="0" w:type="auto"/>
            <w:vAlign w:val="center"/>
            <w:hideMark/>
          </w:tcPr>
          <w:p w14:paraId="52132EBD" w14:textId="77777777" w:rsidR="00000000" w:rsidRDefault="00195E73">
            <w:pPr>
              <w:rPr>
                <w:rFonts w:eastAsia="Times New Roman"/>
                <w:sz w:val="20"/>
                <w:szCs w:val="20"/>
              </w:rPr>
            </w:pPr>
          </w:p>
        </w:tc>
        <w:tc>
          <w:tcPr>
            <w:tcW w:w="0" w:type="auto"/>
            <w:vAlign w:val="center"/>
            <w:hideMark/>
          </w:tcPr>
          <w:p w14:paraId="44F4F6E1" w14:textId="77777777" w:rsidR="00000000" w:rsidRDefault="00195E73">
            <w:pPr>
              <w:rPr>
                <w:rFonts w:eastAsia="Times New Roman"/>
                <w:sz w:val="20"/>
                <w:szCs w:val="20"/>
              </w:rPr>
            </w:pPr>
          </w:p>
        </w:tc>
      </w:tr>
      <w:tr w:rsidR="00000000" w14:paraId="3AB69E9D" w14:textId="77777777">
        <w:trPr>
          <w:divId w:val="1912501317"/>
          <w:jc w:val="center"/>
        </w:trPr>
        <w:tc>
          <w:tcPr>
            <w:tcW w:w="0" w:type="auto"/>
            <w:gridSpan w:val="3"/>
            <w:shd w:val="clear" w:color="auto" w:fill="CCEEFF"/>
            <w:tcMar>
              <w:top w:w="15" w:type="dxa"/>
              <w:left w:w="20" w:type="dxa"/>
              <w:bottom w:w="15" w:type="dxa"/>
              <w:right w:w="20" w:type="dxa"/>
            </w:tcMar>
            <w:vAlign w:val="bottom"/>
            <w:hideMark/>
          </w:tcPr>
          <w:p w14:paraId="6DA365A2"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07EDF41"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E478D9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A0EBC0E" w14:textId="77777777" w:rsidR="00000000" w:rsidRDefault="00195E73">
            <w:pPr>
              <w:jc w:val="right"/>
              <w:rPr>
                <w:rFonts w:eastAsia="Times New Roman"/>
              </w:rPr>
            </w:pPr>
            <w:r>
              <w:rPr>
                <w:rFonts w:eastAsia="Times New Roman"/>
                <w:color w:val="000000"/>
                <w:sz w:val="20"/>
                <w:szCs w:val="20"/>
              </w:rPr>
              <w:t>622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25150C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93FCFE"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C5D5FF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5362E7C" w14:textId="77777777" w:rsidR="00000000" w:rsidRDefault="00195E73">
            <w:pPr>
              <w:jc w:val="right"/>
              <w:rPr>
                <w:rFonts w:eastAsia="Times New Roman"/>
              </w:rPr>
            </w:pPr>
            <w:r>
              <w:rPr>
                <w:rFonts w:eastAsia="Times New Roman"/>
                <w:color w:val="000000"/>
                <w:sz w:val="20"/>
                <w:szCs w:val="20"/>
              </w:rPr>
              <w:t>647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AA2430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DF17638"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3514206"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F5EA770"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D4A438F" w14:textId="77777777" w:rsidR="00000000" w:rsidRDefault="00195E73">
            <w:pPr>
              <w:rPr>
                <w:rFonts w:eastAsia="Times New Roman"/>
                <w:sz w:val="20"/>
                <w:szCs w:val="20"/>
              </w:rPr>
            </w:pPr>
          </w:p>
        </w:tc>
        <w:tc>
          <w:tcPr>
            <w:tcW w:w="0" w:type="auto"/>
            <w:vAlign w:val="center"/>
            <w:hideMark/>
          </w:tcPr>
          <w:p w14:paraId="250EB6EB" w14:textId="77777777" w:rsidR="00000000" w:rsidRDefault="00195E73">
            <w:pPr>
              <w:rPr>
                <w:rFonts w:eastAsia="Times New Roman"/>
                <w:sz w:val="20"/>
                <w:szCs w:val="20"/>
              </w:rPr>
            </w:pPr>
          </w:p>
        </w:tc>
        <w:tc>
          <w:tcPr>
            <w:tcW w:w="0" w:type="auto"/>
            <w:vAlign w:val="center"/>
            <w:hideMark/>
          </w:tcPr>
          <w:p w14:paraId="408C137D" w14:textId="77777777" w:rsidR="00000000" w:rsidRDefault="00195E73">
            <w:pPr>
              <w:rPr>
                <w:rFonts w:eastAsia="Times New Roman"/>
                <w:sz w:val="20"/>
                <w:szCs w:val="20"/>
              </w:rPr>
            </w:pPr>
          </w:p>
        </w:tc>
        <w:tc>
          <w:tcPr>
            <w:tcW w:w="0" w:type="auto"/>
            <w:vAlign w:val="center"/>
            <w:hideMark/>
          </w:tcPr>
          <w:p w14:paraId="58D46C23" w14:textId="77777777" w:rsidR="00000000" w:rsidRDefault="00195E73">
            <w:pPr>
              <w:rPr>
                <w:rFonts w:eastAsia="Times New Roman"/>
                <w:sz w:val="20"/>
                <w:szCs w:val="20"/>
              </w:rPr>
            </w:pPr>
          </w:p>
        </w:tc>
        <w:tc>
          <w:tcPr>
            <w:tcW w:w="0" w:type="auto"/>
            <w:vAlign w:val="center"/>
            <w:hideMark/>
          </w:tcPr>
          <w:p w14:paraId="684570BA" w14:textId="77777777" w:rsidR="00000000" w:rsidRDefault="00195E73">
            <w:pPr>
              <w:rPr>
                <w:rFonts w:eastAsia="Times New Roman"/>
                <w:sz w:val="20"/>
                <w:szCs w:val="20"/>
              </w:rPr>
            </w:pPr>
          </w:p>
        </w:tc>
        <w:tc>
          <w:tcPr>
            <w:tcW w:w="0" w:type="auto"/>
            <w:vAlign w:val="center"/>
            <w:hideMark/>
          </w:tcPr>
          <w:p w14:paraId="4B026CA2" w14:textId="77777777" w:rsidR="00000000" w:rsidRDefault="00195E73">
            <w:pPr>
              <w:rPr>
                <w:rFonts w:eastAsia="Times New Roman"/>
                <w:sz w:val="20"/>
                <w:szCs w:val="20"/>
              </w:rPr>
            </w:pPr>
          </w:p>
        </w:tc>
        <w:tc>
          <w:tcPr>
            <w:tcW w:w="0" w:type="auto"/>
            <w:vAlign w:val="center"/>
            <w:hideMark/>
          </w:tcPr>
          <w:p w14:paraId="370E4D42" w14:textId="77777777" w:rsidR="00000000" w:rsidRDefault="00195E73">
            <w:pPr>
              <w:rPr>
                <w:rFonts w:eastAsia="Times New Roman"/>
                <w:sz w:val="20"/>
                <w:szCs w:val="20"/>
              </w:rPr>
            </w:pPr>
          </w:p>
        </w:tc>
      </w:tr>
    </w:tbl>
    <w:p w14:paraId="0AEFCB60" w14:textId="77777777" w:rsidR="00000000" w:rsidRDefault="00195E73">
      <w:pPr>
        <w:ind w:firstLine="450"/>
        <w:divId w:val="737558020"/>
        <w:rPr>
          <w:rFonts w:eastAsia="Times New Roman"/>
        </w:rPr>
      </w:pPr>
    </w:p>
    <w:p w14:paraId="2C59C94A" w14:textId="77777777" w:rsidR="00000000" w:rsidRDefault="00195E73">
      <w:pPr>
        <w:ind w:firstLine="450"/>
        <w:divId w:val="1052777229"/>
        <w:rPr>
          <w:rFonts w:eastAsia="Times New Roman"/>
        </w:rPr>
      </w:pPr>
    </w:p>
    <w:p w14:paraId="0B8BE431" w14:textId="77777777" w:rsidR="00000000" w:rsidRDefault="00195E73">
      <w:pPr>
        <w:jc w:val="center"/>
        <w:divId w:val="1061058969"/>
        <w:rPr>
          <w:rFonts w:eastAsia="Times New Roman"/>
        </w:rPr>
      </w:pPr>
      <w:r>
        <w:rPr>
          <w:rFonts w:eastAsia="Times New Roman"/>
          <w:color w:val="000000"/>
          <w:sz w:val="20"/>
          <w:szCs w:val="20"/>
        </w:rPr>
        <w:t>9</w:t>
      </w:r>
      <w:r>
        <w:rPr>
          <w:rFonts w:eastAsia="Times New Roman"/>
          <w:color w:val="000000"/>
          <w:sz w:val="20"/>
          <w:szCs w:val="20"/>
        </w:rPr>
        <w:t>2</w:t>
      </w:r>
    </w:p>
    <w:p w14:paraId="10BDEA25" w14:textId="77777777" w:rsidR="00000000" w:rsidRDefault="00195E73">
      <w:pPr>
        <w:rPr>
          <w:rFonts w:eastAsia="Times New Roman"/>
        </w:rPr>
      </w:pPr>
      <w:r>
        <w:rPr>
          <w:rFonts w:eastAsia="Times New Roman"/>
        </w:rPr>
        <w:pict w14:anchorId="799C4F43">
          <v:rect id="_x0000_i1118" style="width:0;height:1.5pt" o:hralign="center" o:hrstd="t" o:hr="t" fillcolor="#a0a0a0" stroked="f"/>
        </w:pict>
      </w:r>
    </w:p>
    <w:p w14:paraId="60CC45B6" w14:textId="77777777" w:rsidR="00000000" w:rsidRDefault="00195E73">
      <w:pPr>
        <w:jc w:val="center"/>
        <w:divId w:val="1154875728"/>
        <w:rPr>
          <w:rFonts w:eastAsia="Times New Roman"/>
        </w:rPr>
      </w:pPr>
    </w:p>
    <w:p w14:paraId="179B40C5" w14:textId="77777777" w:rsidR="00000000" w:rsidRDefault="00195E73">
      <w:pPr>
        <w:jc w:val="center"/>
        <w:divId w:val="1154875728"/>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3A107D64" w14:textId="77777777" w:rsidR="00000000" w:rsidRDefault="00195E73">
      <w:pPr>
        <w:jc w:val="center"/>
        <w:divId w:val="1154875728"/>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25A7252B" w14:textId="77777777" w:rsidR="00000000" w:rsidRDefault="00195E73">
      <w:pPr>
        <w:jc w:val="center"/>
        <w:divId w:val="1154875728"/>
        <w:rPr>
          <w:rFonts w:eastAsia="Times New Roman"/>
        </w:rPr>
      </w:pPr>
    </w:p>
    <w:p w14:paraId="1849B32C" w14:textId="77777777" w:rsidR="00000000" w:rsidRDefault="00195E73">
      <w:pPr>
        <w:jc w:val="center"/>
        <w:divId w:val="1154875728"/>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5E6B5C93" w14:textId="77777777" w:rsidR="00000000" w:rsidRDefault="00195E73">
      <w:pPr>
        <w:ind w:firstLine="450"/>
        <w:divId w:val="1523740894"/>
        <w:rPr>
          <w:rFonts w:eastAsia="Times New Roman"/>
        </w:rPr>
      </w:pPr>
      <w:r>
        <w:rPr>
          <w:rFonts w:eastAsia="Times New Roman"/>
          <w:color w:val="000000"/>
          <w:sz w:val="20"/>
          <w:szCs w:val="20"/>
        </w:rPr>
        <w:t>Maturities of lease liabilities as of</w:t>
      </w:r>
      <w:r>
        <w:rPr>
          <w:rFonts w:eastAsia="Times New Roman"/>
          <w:color w:val="000000"/>
          <w:sz w:val="20"/>
          <w:szCs w:val="20"/>
        </w:rPr>
        <w:t xml:space="preserve"> </w:t>
      </w:r>
      <w:r>
        <w:rPr>
          <w:rFonts w:eastAsia="Times New Roman"/>
          <w:color w:val="000000"/>
          <w:sz w:val="20"/>
          <w:szCs w:val="20"/>
          <w:shd w:val="clear" w:color="auto" w:fill="FFFFFF"/>
        </w:rPr>
        <w:t>December 31, 201</w:t>
      </w:r>
      <w:r>
        <w:rPr>
          <w:rFonts w:eastAsia="Times New Roman"/>
          <w:color w:val="000000"/>
          <w:sz w:val="20"/>
          <w:szCs w:val="20"/>
          <w:shd w:val="clear" w:color="auto" w:fill="FFFFFF"/>
        </w:rPr>
        <w:t>9</w:t>
      </w:r>
      <w:r>
        <w:rPr>
          <w:rFonts w:eastAsia="Times New Roman"/>
          <w:color w:val="000000"/>
          <w:sz w:val="20"/>
          <w:szCs w:val="20"/>
        </w:rPr>
        <w:t xml:space="preserve"> are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5246"/>
        <w:gridCol w:w="48"/>
        <w:gridCol w:w="36"/>
        <w:gridCol w:w="36"/>
        <w:gridCol w:w="36"/>
        <w:gridCol w:w="136"/>
        <w:gridCol w:w="1045"/>
        <w:gridCol w:w="85"/>
        <w:gridCol w:w="36"/>
        <w:gridCol w:w="36"/>
        <w:gridCol w:w="36"/>
        <w:gridCol w:w="136"/>
        <w:gridCol w:w="1045"/>
        <w:gridCol w:w="85"/>
        <w:gridCol w:w="36"/>
        <w:gridCol w:w="36"/>
        <w:gridCol w:w="36"/>
        <w:gridCol w:w="36"/>
        <w:gridCol w:w="36"/>
        <w:gridCol w:w="36"/>
      </w:tblGrid>
      <w:tr w:rsidR="00000000" w14:paraId="31F487A7" w14:textId="77777777">
        <w:trPr>
          <w:gridAfter w:val="6"/>
          <w:divId w:val="1084835200"/>
          <w:jc w:val="center"/>
        </w:trPr>
        <w:tc>
          <w:tcPr>
            <w:tcW w:w="50" w:type="pct"/>
            <w:vAlign w:val="center"/>
            <w:hideMark/>
          </w:tcPr>
          <w:p w14:paraId="57CB5914" w14:textId="77777777" w:rsidR="00000000" w:rsidRDefault="00195E73">
            <w:pPr>
              <w:ind w:firstLine="450"/>
              <w:rPr>
                <w:rFonts w:eastAsia="Times New Roman"/>
              </w:rPr>
            </w:pPr>
          </w:p>
        </w:tc>
        <w:tc>
          <w:tcPr>
            <w:tcW w:w="3262" w:type="pct"/>
            <w:vAlign w:val="center"/>
            <w:hideMark/>
          </w:tcPr>
          <w:p w14:paraId="2F2540C3" w14:textId="77777777" w:rsidR="00000000" w:rsidRDefault="00195E73">
            <w:pPr>
              <w:rPr>
                <w:rFonts w:eastAsia="Times New Roman"/>
                <w:sz w:val="20"/>
                <w:szCs w:val="20"/>
              </w:rPr>
            </w:pPr>
          </w:p>
        </w:tc>
        <w:tc>
          <w:tcPr>
            <w:tcW w:w="50" w:type="pct"/>
            <w:vAlign w:val="center"/>
            <w:hideMark/>
          </w:tcPr>
          <w:p w14:paraId="43325347" w14:textId="77777777" w:rsidR="00000000" w:rsidRDefault="00195E73">
            <w:pPr>
              <w:rPr>
                <w:rFonts w:eastAsia="Times New Roman"/>
                <w:sz w:val="20"/>
                <w:szCs w:val="20"/>
              </w:rPr>
            </w:pPr>
          </w:p>
        </w:tc>
        <w:tc>
          <w:tcPr>
            <w:tcW w:w="5" w:type="pct"/>
            <w:vAlign w:val="center"/>
            <w:hideMark/>
          </w:tcPr>
          <w:p w14:paraId="7CB1ADD8" w14:textId="77777777" w:rsidR="00000000" w:rsidRDefault="00195E73">
            <w:pPr>
              <w:rPr>
                <w:rFonts w:eastAsia="Times New Roman"/>
                <w:sz w:val="20"/>
                <w:szCs w:val="20"/>
              </w:rPr>
            </w:pPr>
          </w:p>
        </w:tc>
        <w:tc>
          <w:tcPr>
            <w:tcW w:w="26" w:type="pct"/>
            <w:vAlign w:val="center"/>
            <w:hideMark/>
          </w:tcPr>
          <w:p w14:paraId="47673C9E" w14:textId="77777777" w:rsidR="00000000" w:rsidRDefault="00195E73">
            <w:pPr>
              <w:rPr>
                <w:rFonts w:eastAsia="Times New Roman"/>
                <w:sz w:val="20"/>
                <w:szCs w:val="20"/>
              </w:rPr>
            </w:pPr>
          </w:p>
        </w:tc>
        <w:tc>
          <w:tcPr>
            <w:tcW w:w="5" w:type="pct"/>
            <w:vAlign w:val="center"/>
            <w:hideMark/>
          </w:tcPr>
          <w:p w14:paraId="5E8D4AB2" w14:textId="77777777" w:rsidR="00000000" w:rsidRDefault="00195E73">
            <w:pPr>
              <w:rPr>
                <w:rFonts w:eastAsia="Times New Roman"/>
                <w:sz w:val="20"/>
                <w:szCs w:val="20"/>
              </w:rPr>
            </w:pPr>
          </w:p>
        </w:tc>
        <w:tc>
          <w:tcPr>
            <w:tcW w:w="50" w:type="pct"/>
            <w:vAlign w:val="center"/>
            <w:hideMark/>
          </w:tcPr>
          <w:p w14:paraId="6D776B93" w14:textId="77777777" w:rsidR="00000000" w:rsidRDefault="00195E73">
            <w:pPr>
              <w:rPr>
                <w:rFonts w:eastAsia="Times New Roman"/>
                <w:sz w:val="20"/>
                <w:szCs w:val="20"/>
              </w:rPr>
            </w:pPr>
          </w:p>
        </w:tc>
        <w:tc>
          <w:tcPr>
            <w:tcW w:w="682" w:type="pct"/>
            <w:vAlign w:val="center"/>
            <w:hideMark/>
          </w:tcPr>
          <w:p w14:paraId="1966C93C" w14:textId="77777777" w:rsidR="00000000" w:rsidRDefault="00195E73">
            <w:pPr>
              <w:rPr>
                <w:rFonts w:eastAsia="Times New Roman"/>
                <w:sz w:val="20"/>
                <w:szCs w:val="20"/>
              </w:rPr>
            </w:pPr>
          </w:p>
        </w:tc>
        <w:tc>
          <w:tcPr>
            <w:tcW w:w="50" w:type="pct"/>
            <w:vAlign w:val="center"/>
            <w:hideMark/>
          </w:tcPr>
          <w:p w14:paraId="1742CCC1" w14:textId="77777777" w:rsidR="00000000" w:rsidRDefault="00195E73">
            <w:pPr>
              <w:rPr>
                <w:rFonts w:eastAsia="Times New Roman"/>
                <w:sz w:val="20"/>
                <w:szCs w:val="20"/>
              </w:rPr>
            </w:pPr>
          </w:p>
        </w:tc>
        <w:tc>
          <w:tcPr>
            <w:tcW w:w="5" w:type="pct"/>
            <w:vAlign w:val="center"/>
            <w:hideMark/>
          </w:tcPr>
          <w:p w14:paraId="78B5C64D" w14:textId="77777777" w:rsidR="00000000" w:rsidRDefault="00195E73">
            <w:pPr>
              <w:rPr>
                <w:rFonts w:eastAsia="Times New Roman"/>
                <w:sz w:val="20"/>
                <w:szCs w:val="20"/>
              </w:rPr>
            </w:pPr>
          </w:p>
        </w:tc>
        <w:tc>
          <w:tcPr>
            <w:tcW w:w="26" w:type="pct"/>
            <w:vAlign w:val="center"/>
            <w:hideMark/>
          </w:tcPr>
          <w:p w14:paraId="70856F08" w14:textId="77777777" w:rsidR="00000000" w:rsidRDefault="00195E73">
            <w:pPr>
              <w:rPr>
                <w:rFonts w:eastAsia="Times New Roman"/>
                <w:sz w:val="20"/>
                <w:szCs w:val="20"/>
              </w:rPr>
            </w:pPr>
          </w:p>
        </w:tc>
        <w:tc>
          <w:tcPr>
            <w:tcW w:w="5" w:type="pct"/>
            <w:vAlign w:val="center"/>
            <w:hideMark/>
          </w:tcPr>
          <w:p w14:paraId="4A0177DF" w14:textId="77777777" w:rsidR="00000000" w:rsidRDefault="00195E73">
            <w:pPr>
              <w:rPr>
                <w:rFonts w:eastAsia="Times New Roman"/>
                <w:sz w:val="20"/>
                <w:szCs w:val="20"/>
              </w:rPr>
            </w:pPr>
          </w:p>
        </w:tc>
        <w:tc>
          <w:tcPr>
            <w:tcW w:w="50" w:type="pct"/>
            <w:vAlign w:val="center"/>
            <w:hideMark/>
          </w:tcPr>
          <w:p w14:paraId="35608A7E" w14:textId="77777777" w:rsidR="00000000" w:rsidRDefault="00195E73">
            <w:pPr>
              <w:rPr>
                <w:rFonts w:eastAsia="Times New Roman"/>
                <w:sz w:val="20"/>
                <w:szCs w:val="20"/>
              </w:rPr>
            </w:pPr>
          </w:p>
        </w:tc>
        <w:tc>
          <w:tcPr>
            <w:tcW w:w="682" w:type="pct"/>
            <w:vAlign w:val="center"/>
            <w:hideMark/>
          </w:tcPr>
          <w:p w14:paraId="53ADCD81" w14:textId="77777777" w:rsidR="00000000" w:rsidRDefault="00195E73">
            <w:pPr>
              <w:rPr>
                <w:rFonts w:eastAsia="Times New Roman"/>
                <w:sz w:val="20"/>
                <w:szCs w:val="20"/>
              </w:rPr>
            </w:pPr>
          </w:p>
        </w:tc>
        <w:tc>
          <w:tcPr>
            <w:tcW w:w="50" w:type="pct"/>
            <w:vAlign w:val="center"/>
            <w:hideMark/>
          </w:tcPr>
          <w:p w14:paraId="4DB19D83" w14:textId="77777777" w:rsidR="00000000" w:rsidRDefault="00195E73">
            <w:pPr>
              <w:rPr>
                <w:rFonts w:eastAsia="Times New Roman"/>
                <w:sz w:val="20"/>
                <w:szCs w:val="20"/>
              </w:rPr>
            </w:pPr>
          </w:p>
        </w:tc>
      </w:tr>
      <w:tr w:rsidR="00000000" w14:paraId="59EF9DB4" w14:textId="77777777">
        <w:trPr>
          <w:gridAfter w:val="6"/>
          <w:divId w:val="1084835200"/>
          <w:jc w:val="center"/>
        </w:trPr>
        <w:tc>
          <w:tcPr>
            <w:tcW w:w="0" w:type="auto"/>
            <w:gridSpan w:val="3"/>
            <w:tcMar>
              <w:top w:w="30" w:type="dxa"/>
              <w:left w:w="20" w:type="dxa"/>
              <w:bottom w:w="30" w:type="dxa"/>
              <w:right w:w="20" w:type="dxa"/>
            </w:tcMar>
            <w:vAlign w:val="bottom"/>
            <w:hideMark/>
          </w:tcPr>
          <w:p w14:paraId="0D04DC13" w14:textId="77777777" w:rsidR="00000000" w:rsidRDefault="00195E73">
            <w:pPr>
              <w:rPr>
                <w:rFonts w:eastAsia="Times New Roman"/>
              </w:rPr>
            </w:pPr>
            <w:r>
              <w:rPr>
                <w:rFonts w:eastAsia="Times New Roman"/>
                <w:b/>
                <w:bCs/>
                <w:color w:val="000000"/>
                <w:sz w:val="20"/>
                <w:szCs w:val="20"/>
              </w:rPr>
              <w:t>Yea</w:t>
            </w:r>
            <w:r>
              <w:rPr>
                <w:rFonts w:eastAsia="Times New Roman"/>
                <w:b/>
                <w:bCs/>
                <w:color w:val="000000"/>
                <w:sz w:val="20"/>
                <w:szCs w:val="20"/>
              </w:rPr>
              <w:t>r</w:t>
            </w:r>
          </w:p>
        </w:tc>
        <w:tc>
          <w:tcPr>
            <w:tcW w:w="0" w:type="auto"/>
            <w:gridSpan w:val="3"/>
            <w:tcMar>
              <w:top w:w="15" w:type="dxa"/>
              <w:left w:w="20" w:type="dxa"/>
              <w:bottom w:w="15" w:type="dxa"/>
              <w:right w:w="20" w:type="dxa"/>
            </w:tcMar>
            <w:vAlign w:val="bottom"/>
            <w:hideMark/>
          </w:tcPr>
          <w:p w14:paraId="0E7B868B"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33E53A78" w14:textId="77777777" w:rsidR="00000000" w:rsidRDefault="00195E73">
            <w:pPr>
              <w:jc w:val="center"/>
              <w:rPr>
                <w:rFonts w:eastAsia="Times New Roman"/>
              </w:rPr>
            </w:pPr>
            <w:r>
              <w:rPr>
                <w:rFonts w:eastAsia="Times New Roman"/>
                <w:b/>
                <w:bCs/>
                <w:color w:val="000000"/>
                <w:sz w:val="20"/>
                <w:szCs w:val="20"/>
              </w:rPr>
              <w:t>Operating Lease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14:paraId="7C00DB5E"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7EC93D1" w14:textId="77777777" w:rsidR="00000000" w:rsidRDefault="00195E73">
            <w:pPr>
              <w:jc w:val="center"/>
              <w:rPr>
                <w:rFonts w:eastAsia="Times New Roman"/>
              </w:rPr>
            </w:pPr>
            <w:r>
              <w:rPr>
                <w:rFonts w:eastAsia="Times New Roman"/>
                <w:b/>
                <w:bCs/>
                <w:color w:val="000000"/>
                <w:sz w:val="20"/>
                <w:szCs w:val="20"/>
              </w:rPr>
              <w:t xml:space="preserve">Financing </w:t>
            </w:r>
            <w:r>
              <w:rPr>
                <w:rFonts w:eastAsia="Times New Roman"/>
                <w:b/>
                <w:bCs/>
                <w:color w:val="000000"/>
                <w:sz w:val="20"/>
                <w:szCs w:val="20"/>
              </w:rPr>
              <w:br/>
              <w:t>Lease</w:t>
            </w:r>
            <w:r>
              <w:rPr>
                <w:rFonts w:eastAsia="Times New Roman"/>
                <w:b/>
                <w:bCs/>
                <w:color w:val="000000"/>
                <w:sz w:val="20"/>
                <w:szCs w:val="20"/>
              </w:rPr>
              <w:t>s</w:t>
            </w:r>
          </w:p>
        </w:tc>
      </w:tr>
      <w:tr w:rsidR="00000000" w14:paraId="3D2133F0" w14:textId="77777777">
        <w:trPr>
          <w:divId w:val="1084835200"/>
          <w:jc w:val="center"/>
        </w:trPr>
        <w:tc>
          <w:tcPr>
            <w:tcW w:w="0" w:type="auto"/>
            <w:gridSpan w:val="3"/>
            <w:tcBorders>
              <w:top w:val="single" w:sz="8" w:space="0" w:color="000000"/>
            </w:tcBorders>
            <w:tcMar>
              <w:top w:w="15" w:type="dxa"/>
              <w:left w:w="20" w:type="dxa"/>
              <w:bottom w:w="15" w:type="dxa"/>
              <w:right w:w="20" w:type="dxa"/>
            </w:tcMar>
            <w:vAlign w:val="bottom"/>
            <w:hideMark/>
          </w:tcPr>
          <w:p w14:paraId="5881E7FE" w14:textId="77777777" w:rsidR="00000000" w:rsidRDefault="00195E73">
            <w:pPr>
              <w:jc w:val="center"/>
              <w:rPr>
                <w:rFonts w:eastAsia="Times New Roman"/>
              </w:rPr>
            </w:pPr>
          </w:p>
        </w:tc>
        <w:tc>
          <w:tcPr>
            <w:tcW w:w="0" w:type="auto"/>
            <w:gridSpan w:val="3"/>
            <w:tcMar>
              <w:top w:w="15" w:type="dxa"/>
              <w:left w:w="20" w:type="dxa"/>
              <w:bottom w:w="15" w:type="dxa"/>
              <w:right w:w="20" w:type="dxa"/>
            </w:tcMar>
            <w:vAlign w:val="bottom"/>
            <w:hideMark/>
          </w:tcPr>
          <w:p w14:paraId="0AADE0CE" w14:textId="77777777" w:rsidR="00000000" w:rsidRDefault="00195E7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B95F708"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5332D096" w14:textId="77777777" w:rsidR="00000000" w:rsidRDefault="00195E73">
            <w:pPr>
              <w:jc w:val="center"/>
              <w:rPr>
                <w:rFonts w:eastAsia="Times New Roman"/>
              </w:rPr>
            </w:pPr>
          </w:p>
        </w:tc>
        <w:tc>
          <w:tcPr>
            <w:tcW w:w="0" w:type="auto"/>
            <w:gridSpan w:val="3"/>
            <w:vAlign w:val="center"/>
            <w:hideMark/>
          </w:tcPr>
          <w:p w14:paraId="5F78ECCC" w14:textId="77777777" w:rsidR="00000000" w:rsidRDefault="00195E73">
            <w:pPr>
              <w:rPr>
                <w:rFonts w:eastAsia="Times New Roman"/>
                <w:sz w:val="20"/>
                <w:szCs w:val="20"/>
              </w:rPr>
            </w:pPr>
          </w:p>
        </w:tc>
      </w:tr>
      <w:tr w:rsidR="00000000" w14:paraId="4C7FA8CA" w14:textId="77777777">
        <w:trPr>
          <w:divId w:val="1084835200"/>
          <w:jc w:val="center"/>
        </w:trPr>
        <w:tc>
          <w:tcPr>
            <w:tcW w:w="0" w:type="auto"/>
            <w:gridSpan w:val="3"/>
            <w:shd w:val="clear" w:color="auto" w:fill="CCEEFF"/>
            <w:tcMar>
              <w:top w:w="30" w:type="dxa"/>
              <w:left w:w="20" w:type="dxa"/>
              <w:bottom w:w="30" w:type="dxa"/>
              <w:right w:w="20" w:type="dxa"/>
            </w:tcMar>
            <w:vAlign w:val="bottom"/>
            <w:hideMark/>
          </w:tcPr>
          <w:p w14:paraId="3DD25242"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14:paraId="48AA802C" w14:textId="77777777" w:rsidR="00000000" w:rsidRDefault="00195E73">
            <w:pPr>
              <w:rPr>
                <w:rFonts w:eastAsia="Times New Roman"/>
              </w:rPr>
            </w:pPr>
          </w:p>
        </w:tc>
        <w:tc>
          <w:tcPr>
            <w:tcW w:w="0" w:type="auto"/>
            <w:shd w:val="clear" w:color="auto" w:fill="CCEEFF"/>
            <w:tcMar>
              <w:top w:w="30" w:type="dxa"/>
              <w:left w:w="20" w:type="dxa"/>
              <w:bottom w:w="30" w:type="dxa"/>
              <w:right w:w="15" w:type="dxa"/>
            </w:tcMar>
            <w:vAlign w:val="bottom"/>
            <w:hideMark/>
          </w:tcPr>
          <w:p w14:paraId="5003FBC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3DF4C20" w14:textId="77777777" w:rsidR="00000000" w:rsidRDefault="00195E73">
            <w:pPr>
              <w:jc w:val="right"/>
              <w:rPr>
                <w:rFonts w:eastAsia="Times New Roman"/>
              </w:rPr>
            </w:pPr>
            <w:r>
              <w:rPr>
                <w:rFonts w:eastAsia="Times New Roman"/>
                <w:color w:val="000000"/>
                <w:sz w:val="20"/>
                <w:szCs w:val="20"/>
              </w:rPr>
              <w:t>181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87835F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6BC77B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748850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4248BE6" w14:textId="77777777" w:rsidR="00000000" w:rsidRDefault="00195E73">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917EA6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587F77C" w14:textId="77777777" w:rsidR="00000000" w:rsidRDefault="00195E73">
            <w:pPr>
              <w:rPr>
                <w:rFonts w:eastAsia="Times New Roman"/>
                <w:sz w:val="20"/>
                <w:szCs w:val="20"/>
              </w:rPr>
            </w:pPr>
          </w:p>
        </w:tc>
        <w:tc>
          <w:tcPr>
            <w:tcW w:w="0" w:type="auto"/>
            <w:vAlign w:val="center"/>
            <w:hideMark/>
          </w:tcPr>
          <w:p w14:paraId="5C2E453C" w14:textId="77777777" w:rsidR="00000000" w:rsidRDefault="00195E73">
            <w:pPr>
              <w:rPr>
                <w:rFonts w:eastAsia="Times New Roman"/>
                <w:sz w:val="20"/>
                <w:szCs w:val="20"/>
              </w:rPr>
            </w:pPr>
          </w:p>
        </w:tc>
        <w:tc>
          <w:tcPr>
            <w:tcW w:w="0" w:type="auto"/>
            <w:vAlign w:val="center"/>
            <w:hideMark/>
          </w:tcPr>
          <w:p w14:paraId="7622EBEE" w14:textId="77777777" w:rsidR="00000000" w:rsidRDefault="00195E73">
            <w:pPr>
              <w:rPr>
                <w:rFonts w:eastAsia="Times New Roman"/>
                <w:sz w:val="20"/>
                <w:szCs w:val="20"/>
              </w:rPr>
            </w:pPr>
          </w:p>
        </w:tc>
        <w:tc>
          <w:tcPr>
            <w:tcW w:w="0" w:type="auto"/>
            <w:vAlign w:val="center"/>
            <w:hideMark/>
          </w:tcPr>
          <w:p w14:paraId="34C20133" w14:textId="77777777" w:rsidR="00000000" w:rsidRDefault="00195E73">
            <w:pPr>
              <w:rPr>
                <w:rFonts w:eastAsia="Times New Roman"/>
                <w:sz w:val="20"/>
                <w:szCs w:val="20"/>
              </w:rPr>
            </w:pPr>
          </w:p>
        </w:tc>
        <w:tc>
          <w:tcPr>
            <w:tcW w:w="0" w:type="auto"/>
            <w:vAlign w:val="center"/>
            <w:hideMark/>
          </w:tcPr>
          <w:p w14:paraId="11B4BF32" w14:textId="77777777" w:rsidR="00000000" w:rsidRDefault="00195E73">
            <w:pPr>
              <w:rPr>
                <w:rFonts w:eastAsia="Times New Roman"/>
                <w:sz w:val="20"/>
                <w:szCs w:val="20"/>
              </w:rPr>
            </w:pPr>
          </w:p>
        </w:tc>
        <w:tc>
          <w:tcPr>
            <w:tcW w:w="0" w:type="auto"/>
            <w:vAlign w:val="center"/>
            <w:hideMark/>
          </w:tcPr>
          <w:p w14:paraId="5E17A772" w14:textId="77777777" w:rsidR="00000000" w:rsidRDefault="00195E73">
            <w:pPr>
              <w:rPr>
                <w:rFonts w:eastAsia="Times New Roman"/>
                <w:sz w:val="20"/>
                <w:szCs w:val="20"/>
              </w:rPr>
            </w:pPr>
          </w:p>
        </w:tc>
      </w:tr>
      <w:tr w:rsidR="00000000" w14:paraId="0A9C350A" w14:textId="77777777">
        <w:trPr>
          <w:divId w:val="1084835200"/>
          <w:jc w:val="center"/>
        </w:trPr>
        <w:tc>
          <w:tcPr>
            <w:tcW w:w="0" w:type="auto"/>
            <w:gridSpan w:val="3"/>
            <w:shd w:val="clear" w:color="auto" w:fill="FFFFFF"/>
            <w:tcMar>
              <w:top w:w="30" w:type="dxa"/>
              <w:left w:w="20" w:type="dxa"/>
              <w:bottom w:w="30" w:type="dxa"/>
              <w:right w:w="20" w:type="dxa"/>
            </w:tcMar>
            <w:vAlign w:val="bottom"/>
            <w:hideMark/>
          </w:tcPr>
          <w:p w14:paraId="587B2832"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14:paraId="07C1E5B4"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95CE35" w14:textId="77777777" w:rsidR="00000000" w:rsidRDefault="00195E73">
            <w:pPr>
              <w:jc w:val="right"/>
              <w:rPr>
                <w:rFonts w:eastAsia="Times New Roman"/>
              </w:rPr>
            </w:pPr>
            <w:r>
              <w:rPr>
                <w:rFonts w:eastAsia="Times New Roman"/>
                <w:color w:val="000000"/>
                <w:sz w:val="20"/>
                <w:szCs w:val="20"/>
              </w:rPr>
              <w:t>159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149A5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B72330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1C8690" w14:textId="77777777" w:rsidR="00000000" w:rsidRDefault="00195E73">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C62EED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A70C415" w14:textId="77777777" w:rsidR="00000000" w:rsidRDefault="00195E73">
            <w:pPr>
              <w:rPr>
                <w:rFonts w:eastAsia="Times New Roman"/>
                <w:sz w:val="20"/>
                <w:szCs w:val="20"/>
              </w:rPr>
            </w:pPr>
          </w:p>
        </w:tc>
        <w:tc>
          <w:tcPr>
            <w:tcW w:w="0" w:type="auto"/>
            <w:vAlign w:val="center"/>
            <w:hideMark/>
          </w:tcPr>
          <w:p w14:paraId="431F32B8" w14:textId="77777777" w:rsidR="00000000" w:rsidRDefault="00195E73">
            <w:pPr>
              <w:rPr>
                <w:rFonts w:eastAsia="Times New Roman"/>
                <w:sz w:val="20"/>
                <w:szCs w:val="20"/>
              </w:rPr>
            </w:pPr>
          </w:p>
        </w:tc>
        <w:tc>
          <w:tcPr>
            <w:tcW w:w="0" w:type="auto"/>
            <w:vAlign w:val="center"/>
            <w:hideMark/>
          </w:tcPr>
          <w:p w14:paraId="1EE99590" w14:textId="77777777" w:rsidR="00000000" w:rsidRDefault="00195E73">
            <w:pPr>
              <w:rPr>
                <w:rFonts w:eastAsia="Times New Roman"/>
                <w:sz w:val="20"/>
                <w:szCs w:val="20"/>
              </w:rPr>
            </w:pPr>
          </w:p>
        </w:tc>
        <w:tc>
          <w:tcPr>
            <w:tcW w:w="0" w:type="auto"/>
            <w:vAlign w:val="center"/>
            <w:hideMark/>
          </w:tcPr>
          <w:p w14:paraId="021B6B31" w14:textId="77777777" w:rsidR="00000000" w:rsidRDefault="00195E73">
            <w:pPr>
              <w:rPr>
                <w:rFonts w:eastAsia="Times New Roman"/>
                <w:sz w:val="20"/>
                <w:szCs w:val="20"/>
              </w:rPr>
            </w:pPr>
          </w:p>
        </w:tc>
        <w:tc>
          <w:tcPr>
            <w:tcW w:w="0" w:type="auto"/>
            <w:vAlign w:val="center"/>
            <w:hideMark/>
          </w:tcPr>
          <w:p w14:paraId="70EBDAEA" w14:textId="77777777" w:rsidR="00000000" w:rsidRDefault="00195E73">
            <w:pPr>
              <w:rPr>
                <w:rFonts w:eastAsia="Times New Roman"/>
                <w:sz w:val="20"/>
                <w:szCs w:val="20"/>
              </w:rPr>
            </w:pPr>
          </w:p>
        </w:tc>
        <w:tc>
          <w:tcPr>
            <w:tcW w:w="0" w:type="auto"/>
            <w:vAlign w:val="center"/>
            <w:hideMark/>
          </w:tcPr>
          <w:p w14:paraId="233A31FB" w14:textId="77777777" w:rsidR="00000000" w:rsidRDefault="00195E73">
            <w:pPr>
              <w:rPr>
                <w:rFonts w:eastAsia="Times New Roman"/>
                <w:sz w:val="20"/>
                <w:szCs w:val="20"/>
              </w:rPr>
            </w:pPr>
          </w:p>
        </w:tc>
      </w:tr>
      <w:tr w:rsidR="00000000" w14:paraId="35568BF0" w14:textId="77777777">
        <w:trPr>
          <w:divId w:val="1084835200"/>
          <w:jc w:val="center"/>
        </w:trPr>
        <w:tc>
          <w:tcPr>
            <w:tcW w:w="0" w:type="auto"/>
            <w:gridSpan w:val="3"/>
            <w:shd w:val="clear" w:color="auto" w:fill="CCEEFF"/>
            <w:tcMar>
              <w:top w:w="30" w:type="dxa"/>
              <w:left w:w="20" w:type="dxa"/>
              <w:bottom w:w="30" w:type="dxa"/>
              <w:right w:w="20" w:type="dxa"/>
            </w:tcMar>
            <w:vAlign w:val="bottom"/>
            <w:hideMark/>
          </w:tcPr>
          <w:p w14:paraId="25AB85B8"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14:paraId="4035A974"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B29729" w14:textId="77777777" w:rsidR="00000000" w:rsidRDefault="00195E73">
            <w:pPr>
              <w:jc w:val="right"/>
              <w:rPr>
                <w:rFonts w:eastAsia="Times New Roman"/>
              </w:rPr>
            </w:pPr>
            <w:r>
              <w:rPr>
                <w:rFonts w:eastAsia="Times New Roman"/>
                <w:color w:val="000000"/>
                <w:sz w:val="20"/>
                <w:szCs w:val="20"/>
              </w:rPr>
              <w:t>135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F5DFFC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42B114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426DF1" w14:textId="77777777" w:rsidR="00000000" w:rsidRDefault="00195E73">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80834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B3914A2" w14:textId="77777777" w:rsidR="00000000" w:rsidRDefault="00195E73">
            <w:pPr>
              <w:rPr>
                <w:rFonts w:eastAsia="Times New Roman"/>
                <w:sz w:val="20"/>
                <w:szCs w:val="20"/>
              </w:rPr>
            </w:pPr>
          </w:p>
        </w:tc>
        <w:tc>
          <w:tcPr>
            <w:tcW w:w="0" w:type="auto"/>
            <w:vAlign w:val="center"/>
            <w:hideMark/>
          </w:tcPr>
          <w:p w14:paraId="67D95C85" w14:textId="77777777" w:rsidR="00000000" w:rsidRDefault="00195E73">
            <w:pPr>
              <w:rPr>
                <w:rFonts w:eastAsia="Times New Roman"/>
                <w:sz w:val="20"/>
                <w:szCs w:val="20"/>
              </w:rPr>
            </w:pPr>
          </w:p>
        </w:tc>
        <w:tc>
          <w:tcPr>
            <w:tcW w:w="0" w:type="auto"/>
            <w:vAlign w:val="center"/>
            <w:hideMark/>
          </w:tcPr>
          <w:p w14:paraId="18BF5A12" w14:textId="77777777" w:rsidR="00000000" w:rsidRDefault="00195E73">
            <w:pPr>
              <w:rPr>
                <w:rFonts w:eastAsia="Times New Roman"/>
                <w:sz w:val="20"/>
                <w:szCs w:val="20"/>
              </w:rPr>
            </w:pPr>
          </w:p>
        </w:tc>
        <w:tc>
          <w:tcPr>
            <w:tcW w:w="0" w:type="auto"/>
            <w:vAlign w:val="center"/>
            <w:hideMark/>
          </w:tcPr>
          <w:p w14:paraId="7FEF32C3" w14:textId="77777777" w:rsidR="00000000" w:rsidRDefault="00195E73">
            <w:pPr>
              <w:rPr>
                <w:rFonts w:eastAsia="Times New Roman"/>
                <w:sz w:val="20"/>
                <w:szCs w:val="20"/>
              </w:rPr>
            </w:pPr>
          </w:p>
        </w:tc>
        <w:tc>
          <w:tcPr>
            <w:tcW w:w="0" w:type="auto"/>
            <w:vAlign w:val="center"/>
            <w:hideMark/>
          </w:tcPr>
          <w:p w14:paraId="167B54F5" w14:textId="77777777" w:rsidR="00000000" w:rsidRDefault="00195E73">
            <w:pPr>
              <w:rPr>
                <w:rFonts w:eastAsia="Times New Roman"/>
                <w:sz w:val="20"/>
                <w:szCs w:val="20"/>
              </w:rPr>
            </w:pPr>
          </w:p>
        </w:tc>
        <w:tc>
          <w:tcPr>
            <w:tcW w:w="0" w:type="auto"/>
            <w:vAlign w:val="center"/>
            <w:hideMark/>
          </w:tcPr>
          <w:p w14:paraId="1477070F" w14:textId="77777777" w:rsidR="00000000" w:rsidRDefault="00195E73">
            <w:pPr>
              <w:rPr>
                <w:rFonts w:eastAsia="Times New Roman"/>
                <w:sz w:val="20"/>
                <w:szCs w:val="20"/>
              </w:rPr>
            </w:pPr>
          </w:p>
        </w:tc>
      </w:tr>
      <w:tr w:rsidR="00000000" w14:paraId="628350D5" w14:textId="77777777">
        <w:trPr>
          <w:divId w:val="1084835200"/>
          <w:jc w:val="center"/>
        </w:trPr>
        <w:tc>
          <w:tcPr>
            <w:tcW w:w="0" w:type="auto"/>
            <w:gridSpan w:val="3"/>
            <w:shd w:val="clear" w:color="auto" w:fill="FFFFFF"/>
            <w:tcMar>
              <w:top w:w="30" w:type="dxa"/>
              <w:left w:w="20" w:type="dxa"/>
              <w:bottom w:w="30" w:type="dxa"/>
              <w:right w:w="20" w:type="dxa"/>
            </w:tcMar>
            <w:vAlign w:val="bottom"/>
            <w:hideMark/>
          </w:tcPr>
          <w:p w14:paraId="54434696"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14:paraId="33F7BE83"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546F26" w14:textId="77777777" w:rsidR="00000000" w:rsidRDefault="00195E73">
            <w:pPr>
              <w:jc w:val="right"/>
              <w:rPr>
                <w:rFonts w:eastAsia="Times New Roman"/>
              </w:rPr>
            </w:pPr>
            <w:r>
              <w:rPr>
                <w:rFonts w:eastAsia="Times New Roman"/>
                <w:color w:val="000000"/>
                <w:sz w:val="20"/>
                <w:szCs w:val="20"/>
              </w:rPr>
              <w:t>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C38CA3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9B174E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DF4146" w14:textId="77777777" w:rsidR="00000000" w:rsidRDefault="00195E73">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AD7F57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9F0CAAB" w14:textId="77777777" w:rsidR="00000000" w:rsidRDefault="00195E73">
            <w:pPr>
              <w:rPr>
                <w:rFonts w:eastAsia="Times New Roman"/>
                <w:sz w:val="20"/>
                <w:szCs w:val="20"/>
              </w:rPr>
            </w:pPr>
          </w:p>
        </w:tc>
        <w:tc>
          <w:tcPr>
            <w:tcW w:w="0" w:type="auto"/>
            <w:vAlign w:val="center"/>
            <w:hideMark/>
          </w:tcPr>
          <w:p w14:paraId="659BE64C" w14:textId="77777777" w:rsidR="00000000" w:rsidRDefault="00195E73">
            <w:pPr>
              <w:rPr>
                <w:rFonts w:eastAsia="Times New Roman"/>
                <w:sz w:val="20"/>
                <w:szCs w:val="20"/>
              </w:rPr>
            </w:pPr>
          </w:p>
        </w:tc>
        <w:tc>
          <w:tcPr>
            <w:tcW w:w="0" w:type="auto"/>
            <w:vAlign w:val="center"/>
            <w:hideMark/>
          </w:tcPr>
          <w:p w14:paraId="28DEEC32" w14:textId="77777777" w:rsidR="00000000" w:rsidRDefault="00195E73">
            <w:pPr>
              <w:rPr>
                <w:rFonts w:eastAsia="Times New Roman"/>
                <w:sz w:val="20"/>
                <w:szCs w:val="20"/>
              </w:rPr>
            </w:pPr>
          </w:p>
        </w:tc>
        <w:tc>
          <w:tcPr>
            <w:tcW w:w="0" w:type="auto"/>
            <w:vAlign w:val="center"/>
            <w:hideMark/>
          </w:tcPr>
          <w:p w14:paraId="0B17F3F0" w14:textId="77777777" w:rsidR="00000000" w:rsidRDefault="00195E73">
            <w:pPr>
              <w:rPr>
                <w:rFonts w:eastAsia="Times New Roman"/>
                <w:sz w:val="20"/>
                <w:szCs w:val="20"/>
              </w:rPr>
            </w:pPr>
          </w:p>
        </w:tc>
        <w:tc>
          <w:tcPr>
            <w:tcW w:w="0" w:type="auto"/>
            <w:vAlign w:val="center"/>
            <w:hideMark/>
          </w:tcPr>
          <w:p w14:paraId="30F5F363" w14:textId="77777777" w:rsidR="00000000" w:rsidRDefault="00195E73">
            <w:pPr>
              <w:rPr>
                <w:rFonts w:eastAsia="Times New Roman"/>
                <w:sz w:val="20"/>
                <w:szCs w:val="20"/>
              </w:rPr>
            </w:pPr>
          </w:p>
        </w:tc>
        <w:tc>
          <w:tcPr>
            <w:tcW w:w="0" w:type="auto"/>
            <w:vAlign w:val="center"/>
            <w:hideMark/>
          </w:tcPr>
          <w:p w14:paraId="6686F574" w14:textId="77777777" w:rsidR="00000000" w:rsidRDefault="00195E73">
            <w:pPr>
              <w:rPr>
                <w:rFonts w:eastAsia="Times New Roman"/>
                <w:sz w:val="20"/>
                <w:szCs w:val="20"/>
              </w:rPr>
            </w:pPr>
          </w:p>
        </w:tc>
      </w:tr>
      <w:tr w:rsidR="00000000" w14:paraId="1C45D507" w14:textId="77777777">
        <w:trPr>
          <w:divId w:val="1084835200"/>
          <w:jc w:val="center"/>
        </w:trPr>
        <w:tc>
          <w:tcPr>
            <w:tcW w:w="0" w:type="auto"/>
            <w:gridSpan w:val="3"/>
            <w:shd w:val="clear" w:color="auto" w:fill="CCEEFF"/>
            <w:tcMar>
              <w:top w:w="30" w:type="dxa"/>
              <w:left w:w="20" w:type="dxa"/>
              <w:bottom w:w="30" w:type="dxa"/>
              <w:right w:w="20" w:type="dxa"/>
            </w:tcMar>
            <w:vAlign w:val="bottom"/>
            <w:hideMark/>
          </w:tcPr>
          <w:p w14:paraId="62C0F895"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14:paraId="200D59FA"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418A3C" w14:textId="77777777" w:rsidR="00000000" w:rsidRDefault="00195E73">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C61056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18FF9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11D5B1" w14:textId="77777777" w:rsidR="00000000" w:rsidRDefault="00195E73">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23FA39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E74C6B4" w14:textId="77777777" w:rsidR="00000000" w:rsidRDefault="00195E73">
            <w:pPr>
              <w:rPr>
                <w:rFonts w:eastAsia="Times New Roman"/>
                <w:sz w:val="20"/>
                <w:szCs w:val="20"/>
              </w:rPr>
            </w:pPr>
          </w:p>
        </w:tc>
        <w:tc>
          <w:tcPr>
            <w:tcW w:w="0" w:type="auto"/>
            <w:vAlign w:val="center"/>
            <w:hideMark/>
          </w:tcPr>
          <w:p w14:paraId="10F7CD39" w14:textId="77777777" w:rsidR="00000000" w:rsidRDefault="00195E73">
            <w:pPr>
              <w:rPr>
                <w:rFonts w:eastAsia="Times New Roman"/>
                <w:sz w:val="20"/>
                <w:szCs w:val="20"/>
              </w:rPr>
            </w:pPr>
          </w:p>
        </w:tc>
        <w:tc>
          <w:tcPr>
            <w:tcW w:w="0" w:type="auto"/>
            <w:vAlign w:val="center"/>
            <w:hideMark/>
          </w:tcPr>
          <w:p w14:paraId="0D88B17E" w14:textId="77777777" w:rsidR="00000000" w:rsidRDefault="00195E73">
            <w:pPr>
              <w:rPr>
                <w:rFonts w:eastAsia="Times New Roman"/>
                <w:sz w:val="20"/>
                <w:szCs w:val="20"/>
              </w:rPr>
            </w:pPr>
          </w:p>
        </w:tc>
        <w:tc>
          <w:tcPr>
            <w:tcW w:w="0" w:type="auto"/>
            <w:vAlign w:val="center"/>
            <w:hideMark/>
          </w:tcPr>
          <w:p w14:paraId="500DE193" w14:textId="77777777" w:rsidR="00000000" w:rsidRDefault="00195E73">
            <w:pPr>
              <w:rPr>
                <w:rFonts w:eastAsia="Times New Roman"/>
                <w:sz w:val="20"/>
                <w:szCs w:val="20"/>
              </w:rPr>
            </w:pPr>
          </w:p>
        </w:tc>
        <w:tc>
          <w:tcPr>
            <w:tcW w:w="0" w:type="auto"/>
            <w:vAlign w:val="center"/>
            <w:hideMark/>
          </w:tcPr>
          <w:p w14:paraId="3F93A416" w14:textId="77777777" w:rsidR="00000000" w:rsidRDefault="00195E73">
            <w:pPr>
              <w:rPr>
                <w:rFonts w:eastAsia="Times New Roman"/>
                <w:sz w:val="20"/>
                <w:szCs w:val="20"/>
              </w:rPr>
            </w:pPr>
          </w:p>
        </w:tc>
        <w:tc>
          <w:tcPr>
            <w:tcW w:w="0" w:type="auto"/>
            <w:vAlign w:val="center"/>
            <w:hideMark/>
          </w:tcPr>
          <w:p w14:paraId="1E0AB81C" w14:textId="77777777" w:rsidR="00000000" w:rsidRDefault="00195E73">
            <w:pPr>
              <w:rPr>
                <w:rFonts w:eastAsia="Times New Roman"/>
                <w:sz w:val="20"/>
                <w:szCs w:val="20"/>
              </w:rPr>
            </w:pPr>
          </w:p>
        </w:tc>
      </w:tr>
      <w:tr w:rsidR="00000000" w14:paraId="4EF5DFAC" w14:textId="77777777">
        <w:trPr>
          <w:divId w:val="1084835200"/>
          <w:jc w:val="center"/>
        </w:trPr>
        <w:tc>
          <w:tcPr>
            <w:tcW w:w="0" w:type="auto"/>
            <w:gridSpan w:val="3"/>
            <w:shd w:val="clear" w:color="auto" w:fill="FFFFFF"/>
            <w:tcMar>
              <w:top w:w="30" w:type="dxa"/>
              <w:left w:w="20" w:type="dxa"/>
              <w:bottom w:w="30" w:type="dxa"/>
              <w:right w:w="20" w:type="dxa"/>
            </w:tcMar>
            <w:vAlign w:val="bottom"/>
            <w:hideMark/>
          </w:tcPr>
          <w:p w14:paraId="3E0A32A1" w14:textId="77777777" w:rsidR="00000000" w:rsidRDefault="00195E73">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14:paraId="28451019"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875F1A" w14:textId="77777777" w:rsidR="00000000" w:rsidRDefault="00195E73">
            <w:pPr>
              <w:jc w:val="right"/>
              <w:rPr>
                <w:rFonts w:eastAsia="Times New Roman"/>
              </w:rPr>
            </w:pPr>
            <w:r>
              <w:rPr>
                <w:rFonts w:eastAsia="Times New Roman"/>
                <w:color w:val="000000"/>
                <w:sz w:val="20"/>
                <w:szCs w:val="20"/>
              </w:rPr>
              <w:t>142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058685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A7FA9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447D97" w14:textId="77777777" w:rsidR="00000000" w:rsidRDefault="00195E73">
            <w:pPr>
              <w:jc w:val="right"/>
              <w:rPr>
                <w:rFonts w:eastAsia="Times New Roman"/>
              </w:rPr>
            </w:pPr>
            <w:r>
              <w:rPr>
                <w:rFonts w:eastAsia="Times New Roman"/>
                <w:color w:val="000000"/>
                <w:sz w:val="20"/>
                <w:szCs w:val="20"/>
              </w:rPr>
              <w:t>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92FFC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96BE4D7" w14:textId="77777777" w:rsidR="00000000" w:rsidRDefault="00195E73">
            <w:pPr>
              <w:rPr>
                <w:rFonts w:eastAsia="Times New Roman"/>
                <w:sz w:val="20"/>
                <w:szCs w:val="20"/>
              </w:rPr>
            </w:pPr>
          </w:p>
        </w:tc>
        <w:tc>
          <w:tcPr>
            <w:tcW w:w="0" w:type="auto"/>
            <w:vAlign w:val="center"/>
            <w:hideMark/>
          </w:tcPr>
          <w:p w14:paraId="7B36DAA1" w14:textId="77777777" w:rsidR="00000000" w:rsidRDefault="00195E73">
            <w:pPr>
              <w:rPr>
                <w:rFonts w:eastAsia="Times New Roman"/>
                <w:sz w:val="20"/>
                <w:szCs w:val="20"/>
              </w:rPr>
            </w:pPr>
          </w:p>
        </w:tc>
        <w:tc>
          <w:tcPr>
            <w:tcW w:w="0" w:type="auto"/>
            <w:vAlign w:val="center"/>
            <w:hideMark/>
          </w:tcPr>
          <w:p w14:paraId="026E3A1E" w14:textId="77777777" w:rsidR="00000000" w:rsidRDefault="00195E73">
            <w:pPr>
              <w:rPr>
                <w:rFonts w:eastAsia="Times New Roman"/>
                <w:sz w:val="20"/>
                <w:szCs w:val="20"/>
              </w:rPr>
            </w:pPr>
          </w:p>
        </w:tc>
        <w:tc>
          <w:tcPr>
            <w:tcW w:w="0" w:type="auto"/>
            <w:vAlign w:val="center"/>
            <w:hideMark/>
          </w:tcPr>
          <w:p w14:paraId="59B84C77" w14:textId="77777777" w:rsidR="00000000" w:rsidRDefault="00195E73">
            <w:pPr>
              <w:rPr>
                <w:rFonts w:eastAsia="Times New Roman"/>
                <w:sz w:val="20"/>
                <w:szCs w:val="20"/>
              </w:rPr>
            </w:pPr>
          </w:p>
        </w:tc>
        <w:tc>
          <w:tcPr>
            <w:tcW w:w="0" w:type="auto"/>
            <w:vAlign w:val="center"/>
            <w:hideMark/>
          </w:tcPr>
          <w:p w14:paraId="0E5A5A96" w14:textId="77777777" w:rsidR="00000000" w:rsidRDefault="00195E73">
            <w:pPr>
              <w:rPr>
                <w:rFonts w:eastAsia="Times New Roman"/>
                <w:sz w:val="20"/>
                <w:szCs w:val="20"/>
              </w:rPr>
            </w:pPr>
          </w:p>
        </w:tc>
        <w:tc>
          <w:tcPr>
            <w:tcW w:w="0" w:type="auto"/>
            <w:vAlign w:val="center"/>
            <w:hideMark/>
          </w:tcPr>
          <w:p w14:paraId="3B51DF72" w14:textId="77777777" w:rsidR="00000000" w:rsidRDefault="00195E73">
            <w:pPr>
              <w:rPr>
                <w:rFonts w:eastAsia="Times New Roman"/>
                <w:sz w:val="20"/>
                <w:szCs w:val="20"/>
              </w:rPr>
            </w:pPr>
          </w:p>
        </w:tc>
      </w:tr>
      <w:tr w:rsidR="00000000" w14:paraId="6BD336CE" w14:textId="77777777">
        <w:trPr>
          <w:divId w:val="1084835200"/>
          <w:jc w:val="center"/>
        </w:trPr>
        <w:tc>
          <w:tcPr>
            <w:tcW w:w="0" w:type="auto"/>
            <w:gridSpan w:val="3"/>
            <w:shd w:val="clear" w:color="auto" w:fill="CCEEFF"/>
            <w:tcMar>
              <w:top w:w="30" w:type="dxa"/>
              <w:left w:w="20" w:type="dxa"/>
              <w:bottom w:w="30" w:type="dxa"/>
              <w:right w:w="20" w:type="dxa"/>
            </w:tcMar>
            <w:vAlign w:val="bottom"/>
            <w:hideMark/>
          </w:tcPr>
          <w:p w14:paraId="4992995C" w14:textId="77777777" w:rsidR="00000000" w:rsidRDefault="00195E73">
            <w:pPr>
              <w:rPr>
                <w:rFonts w:eastAsia="Times New Roman"/>
              </w:rPr>
            </w:pPr>
            <w:r>
              <w:rPr>
                <w:rFonts w:eastAsia="Times New Roman"/>
                <w:color w:val="000000"/>
                <w:sz w:val="20"/>
                <w:szCs w:val="20"/>
              </w:rPr>
              <w:t>   Total lease payment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18122A07" w14:textId="77777777" w:rsidR="00000000" w:rsidRDefault="00195E7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E30C96" w14:textId="77777777" w:rsidR="00000000" w:rsidRDefault="00195E73">
            <w:pPr>
              <w:jc w:val="right"/>
              <w:rPr>
                <w:rFonts w:eastAsia="Times New Roman"/>
              </w:rPr>
            </w:pPr>
            <w:r>
              <w:rPr>
                <w:rFonts w:eastAsia="Times New Roman"/>
                <w:color w:val="000000"/>
                <w:sz w:val="20"/>
                <w:szCs w:val="20"/>
              </w:rPr>
              <w:t>759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066994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B12266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575A4A" w14:textId="77777777" w:rsidR="00000000" w:rsidRDefault="00195E73">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C2F96D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8B95972" w14:textId="77777777" w:rsidR="00000000" w:rsidRDefault="00195E73">
            <w:pPr>
              <w:rPr>
                <w:rFonts w:eastAsia="Times New Roman"/>
                <w:sz w:val="20"/>
                <w:szCs w:val="20"/>
              </w:rPr>
            </w:pPr>
          </w:p>
        </w:tc>
        <w:tc>
          <w:tcPr>
            <w:tcW w:w="0" w:type="auto"/>
            <w:vAlign w:val="center"/>
            <w:hideMark/>
          </w:tcPr>
          <w:p w14:paraId="19A92084" w14:textId="77777777" w:rsidR="00000000" w:rsidRDefault="00195E73">
            <w:pPr>
              <w:rPr>
                <w:rFonts w:eastAsia="Times New Roman"/>
                <w:sz w:val="20"/>
                <w:szCs w:val="20"/>
              </w:rPr>
            </w:pPr>
          </w:p>
        </w:tc>
        <w:tc>
          <w:tcPr>
            <w:tcW w:w="0" w:type="auto"/>
            <w:vAlign w:val="center"/>
            <w:hideMark/>
          </w:tcPr>
          <w:p w14:paraId="085120FA" w14:textId="77777777" w:rsidR="00000000" w:rsidRDefault="00195E73">
            <w:pPr>
              <w:rPr>
                <w:rFonts w:eastAsia="Times New Roman"/>
                <w:sz w:val="20"/>
                <w:szCs w:val="20"/>
              </w:rPr>
            </w:pPr>
          </w:p>
        </w:tc>
        <w:tc>
          <w:tcPr>
            <w:tcW w:w="0" w:type="auto"/>
            <w:vAlign w:val="center"/>
            <w:hideMark/>
          </w:tcPr>
          <w:p w14:paraId="2B6AD310" w14:textId="77777777" w:rsidR="00000000" w:rsidRDefault="00195E73">
            <w:pPr>
              <w:rPr>
                <w:rFonts w:eastAsia="Times New Roman"/>
                <w:sz w:val="20"/>
                <w:szCs w:val="20"/>
              </w:rPr>
            </w:pPr>
          </w:p>
        </w:tc>
        <w:tc>
          <w:tcPr>
            <w:tcW w:w="0" w:type="auto"/>
            <w:vAlign w:val="center"/>
            <w:hideMark/>
          </w:tcPr>
          <w:p w14:paraId="3C2FE827" w14:textId="77777777" w:rsidR="00000000" w:rsidRDefault="00195E73">
            <w:pPr>
              <w:rPr>
                <w:rFonts w:eastAsia="Times New Roman"/>
                <w:sz w:val="20"/>
                <w:szCs w:val="20"/>
              </w:rPr>
            </w:pPr>
          </w:p>
        </w:tc>
        <w:tc>
          <w:tcPr>
            <w:tcW w:w="0" w:type="auto"/>
            <w:vAlign w:val="center"/>
            <w:hideMark/>
          </w:tcPr>
          <w:p w14:paraId="14E9E3C2" w14:textId="77777777" w:rsidR="00000000" w:rsidRDefault="00195E73">
            <w:pPr>
              <w:rPr>
                <w:rFonts w:eastAsia="Times New Roman"/>
                <w:sz w:val="20"/>
                <w:szCs w:val="20"/>
              </w:rPr>
            </w:pPr>
          </w:p>
        </w:tc>
      </w:tr>
      <w:tr w:rsidR="00000000" w14:paraId="76A0ABB3" w14:textId="77777777">
        <w:trPr>
          <w:divId w:val="1084835200"/>
          <w:jc w:val="center"/>
        </w:trPr>
        <w:tc>
          <w:tcPr>
            <w:tcW w:w="0" w:type="auto"/>
            <w:gridSpan w:val="3"/>
            <w:shd w:val="clear" w:color="auto" w:fill="FFFFFF"/>
            <w:tcMar>
              <w:top w:w="30" w:type="dxa"/>
              <w:left w:w="20" w:type="dxa"/>
              <w:bottom w:w="30" w:type="dxa"/>
              <w:right w:w="20" w:type="dxa"/>
            </w:tcMar>
            <w:vAlign w:val="bottom"/>
            <w:hideMark/>
          </w:tcPr>
          <w:p w14:paraId="20EA78EB" w14:textId="77777777" w:rsidR="00000000" w:rsidRDefault="00195E73">
            <w:pPr>
              <w:rPr>
                <w:rFonts w:eastAsia="Times New Roman"/>
              </w:rPr>
            </w:pPr>
            <w:r>
              <w:rPr>
                <w:rFonts w:eastAsia="Times New Roman"/>
                <w:color w:val="000000"/>
                <w:sz w:val="20"/>
                <w:szCs w:val="20"/>
              </w:rPr>
              <w:t>   Less: imputed interes</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14:paraId="5E2DA16B"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965BBE" w14:textId="77777777" w:rsidR="00000000" w:rsidRDefault="00195E73">
            <w:pPr>
              <w:jc w:val="right"/>
              <w:rPr>
                <w:rFonts w:eastAsia="Times New Roman"/>
              </w:rPr>
            </w:pPr>
            <w:r>
              <w:rPr>
                <w:rFonts w:eastAsia="Times New Roman"/>
                <w:color w:val="000000"/>
                <w:sz w:val="20"/>
                <w:szCs w:val="20"/>
              </w:rPr>
              <w:t>(112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E4A41A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C5249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18AF6A" w14:textId="77777777" w:rsidR="00000000" w:rsidRDefault="00195E73">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50E15B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8647574" w14:textId="77777777" w:rsidR="00000000" w:rsidRDefault="00195E73">
            <w:pPr>
              <w:rPr>
                <w:rFonts w:eastAsia="Times New Roman"/>
                <w:sz w:val="20"/>
                <w:szCs w:val="20"/>
              </w:rPr>
            </w:pPr>
          </w:p>
        </w:tc>
        <w:tc>
          <w:tcPr>
            <w:tcW w:w="0" w:type="auto"/>
            <w:vAlign w:val="center"/>
            <w:hideMark/>
          </w:tcPr>
          <w:p w14:paraId="70FAC31F" w14:textId="77777777" w:rsidR="00000000" w:rsidRDefault="00195E73">
            <w:pPr>
              <w:rPr>
                <w:rFonts w:eastAsia="Times New Roman"/>
                <w:sz w:val="20"/>
                <w:szCs w:val="20"/>
              </w:rPr>
            </w:pPr>
          </w:p>
        </w:tc>
        <w:tc>
          <w:tcPr>
            <w:tcW w:w="0" w:type="auto"/>
            <w:vAlign w:val="center"/>
            <w:hideMark/>
          </w:tcPr>
          <w:p w14:paraId="5F1C7040" w14:textId="77777777" w:rsidR="00000000" w:rsidRDefault="00195E73">
            <w:pPr>
              <w:rPr>
                <w:rFonts w:eastAsia="Times New Roman"/>
                <w:sz w:val="20"/>
                <w:szCs w:val="20"/>
              </w:rPr>
            </w:pPr>
          </w:p>
        </w:tc>
        <w:tc>
          <w:tcPr>
            <w:tcW w:w="0" w:type="auto"/>
            <w:vAlign w:val="center"/>
            <w:hideMark/>
          </w:tcPr>
          <w:p w14:paraId="610B27FB" w14:textId="77777777" w:rsidR="00000000" w:rsidRDefault="00195E73">
            <w:pPr>
              <w:rPr>
                <w:rFonts w:eastAsia="Times New Roman"/>
                <w:sz w:val="20"/>
                <w:szCs w:val="20"/>
              </w:rPr>
            </w:pPr>
          </w:p>
        </w:tc>
        <w:tc>
          <w:tcPr>
            <w:tcW w:w="0" w:type="auto"/>
            <w:vAlign w:val="center"/>
            <w:hideMark/>
          </w:tcPr>
          <w:p w14:paraId="0409B522" w14:textId="77777777" w:rsidR="00000000" w:rsidRDefault="00195E73">
            <w:pPr>
              <w:rPr>
                <w:rFonts w:eastAsia="Times New Roman"/>
                <w:sz w:val="20"/>
                <w:szCs w:val="20"/>
              </w:rPr>
            </w:pPr>
          </w:p>
        </w:tc>
        <w:tc>
          <w:tcPr>
            <w:tcW w:w="0" w:type="auto"/>
            <w:vAlign w:val="center"/>
            <w:hideMark/>
          </w:tcPr>
          <w:p w14:paraId="037690E1" w14:textId="77777777" w:rsidR="00000000" w:rsidRDefault="00195E73">
            <w:pPr>
              <w:rPr>
                <w:rFonts w:eastAsia="Times New Roman"/>
                <w:sz w:val="20"/>
                <w:szCs w:val="20"/>
              </w:rPr>
            </w:pPr>
          </w:p>
        </w:tc>
      </w:tr>
      <w:tr w:rsidR="00000000" w14:paraId="74E7794B" w14:textId="77777777">
        <w:trPr>
          <w:divId w:val="1084835200"/>
          <w:jc w:val="center"/>
        </w:trPr>
        <w:tc>
          <w:tcPr>
            <w:tcW w:w="0" w:type="auto"/>
            <w:gridSpan w:val="3"/>
            <w:shd w:val="clear" w:color="auto" w:fill="CCEEFF"/>
            <w:tcMar>
              <w:top w:w="15" w:type="dxa"/>
              <w:left w:w="20" w:type="dxa"/>
              <w:bottom w:w="15" w:type="dxa"/>
              <w:right w:w="20" w:type="dxa"/>
            </w:tcMar>
            <w:vAlign w:val="bottom"/>
            <w:hideMark/>
          </w:tcPr>
          <w:p w14:paraId="0CE7F96D"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A5886C4"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136E19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1788C1B" w14:textId="77777777" w:rsidR="00000000" w:rsidRDefault="00195E73">
            <w:pPr>
              <w:jc w:val="right"/>
              <w:rPr>
                <w:rFonts w:eastAsia="Times New Roman"/>
              </w:rPr>
            </w:pPr>
            <w:r>
              <w:rPr>
                <w:rFonts w:eastAsia="Times New Roman"/>
                <w:color w:val="000000"/>
                <w:sz w:val="20"/>
                <w:szCs w:val="20"/>
              </w:rPr>
              <w:t>647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8A3E19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21157E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E655BA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1792A4C" w14:textId="77777777" w:rsidR="00000000" w:rsidRDefault="00195E73">
            <w:pPr>
              <w:jc w:val="right"/>
              <w:rPr>
                <w:rFonts w:eastAsia="Times New Roman"/>
              </w:rPr>
            </w:pPr>
            <w:r>
              <w:rPr>
                <w:rFonts w:eastAsia="Times New Roman"/>
                <w:color w:val="000000"/>
                <w:sz w:val="20"/>
                <w:szCs w:val="20"/>
              </w:rPr>
              <w:t>93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058744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C71E3B8" w14:textId="77777777" w:rsidR="00000000" w:rsidRDefault="00195E73">
            <w:pPr>
              <w:rPr>
                <w:rFonts w:eastAsia="Times New Roman"/>
                <w:sz w:val="20"/>
                <w:szCs w:val="20"/>
              </w:rPr>
            </w:pPr>
          </w:p>
        </w:tc>
        <w:tc>
          <w:tcPr>
            <w:tcW w:w="0" w:type="auto"/>
            <w:vAlign w:val="center"/>
            <w:hideMark/>
          </w:tcPr>
          <w:p w14:paraId="2839E376" w14:textId="77777777" w:rsidR="00000000" w:rsidRDefault="00195E73">
            <w:pPr>
              <w:rPr>
                <w:rFonts w:eastAsia="Times New Roman"/>
                <w:sz w:val="20"/>
                <w:szCs w:val="20"/>
              </w:rPr>
            </w:pPr>
          </w:p>
        </w:tc>
        <w:tc>
          <w:tcPr>
            <w:tcW w:w="0" w:type="auto"/>
            <w:vAlign w:val="center"/>
            <w:hideMark/>
          </w:tcPr>
          <w:p w14:paraId="4FD7E2A2" w14:textId="77777777" w:rsidR="00000000" w:rsidRDefault="00195E73">
            <w:pPr>
              <w:rPr>
                <w:rFonts w:eastAsia="Times New Roman"/>
                <w:sz w:val="20"/>
                <w:szCs w:val="20"/>
              </w:rPr>
            </w:pPr>
          </w:p>
        </w:tc>
        <w:tc>
          <w:tcPr>
            <w:tcW w:w="0" w:type="auto"/>
            <w:vAlign w:val="center"/>
            <w:hideMark/>
          </w:tcPr>
          <w:p w14:paraId="281E469B" w14:textId="77777777" w:rsidR="00000000" w:rsidRDefault="00195E73">
            <w:pPr>
              <w:rPr>
                <w:rFonts w:eastAsia="Times New Roman"/>
                <w:sz w:val="20"/>
                <w:szCs w:val="20"/>
              </w:rPr>
            </w:pPr>
          </w:p>
        </w:tc>
        <w:tc>
          <w:tcPr>
            <w:tcW w:w="0" w:type="auto"/>
            <w:vAlign w:val="center"/>
            <w:hideMark/>
          </w:tcPr>
          <w:p w14:paraId="2C877569" w14:textId="77777777" w:rsidR="00000000" w:rsidRDefault="00195E73">
            <w:pPr>
              <w:rPr>
                <w:rFonts w:eastAsia="Times New Roman"/>
                <w:sz w:val="20"/>
                <w:szCs w:val="20"/>
              </w:rPr>
            </w:pPr>
          </w:p>
        </w:tc>
        <w:tc>
          <w:tcPr>
            <w:tcW w:w="0" w:type="auto"/>
            <w:vAlign w:val="center"/>
            <w:hideMark/>
          </w:tcPr>
          <w:p w14:paraId="63B01376" w14:textId="77777777" w:rsidR="00000000" w:rsidRDefault="00195E73">
            <w:pPr>
              <w:rPr>
                <w:rFonts w:eastAsia="Times New Roman"/>
                <w:sz w:val="20"/>
                <w:szCs w:val="20"/>
              </w:rPr>
            </w:pPr>
          </w:p>
        </w:tc>
      </w:tr>
    </w:tbl>
    <w:p w14:paraId="6F2533DF" w14:textId="77777777" w:rsidR="00000000" w:rsidRDefault="00195E73">
      <w:pPr>
        <w:ind w:firstLine="450"/>
        <w:divId w:val="1401638725"/>
        <w:rPr>
          <w:rFonts w:eastAsia="Times New Roman"/>
        </w:rPr>
      </w:pPr>
    </w:p>
    <w:p w14:paraId="0143D525" w14:textId="77777777" w:rsidR="00000000" w:rsidRDefault="00195E73">
      <w:pPr>
        <w:ind w:firstLine="450"/>
        <w:divId w:val="620454386"/>
        <w:rPr>
          <w:rFonts w:eastAsia="Times New Roman"/>
        </w:rPr>
      </w:pPr>
      <w:r>
        <w:rPr>
          <w:rFonts w:eastAsia="Times New Roman"/>
          <w:color w:val="000000"/>
          <w:sz w:val="20"/>
          <w:szCs w:val="20"/>
        </w:rPr>
        <w:t>For t</w:t>
      </w:r>
      <w:r>
        <w:rPr>
          <w:rFonts w:eastAsia="Times New Roman"/>
          <w:color w:val="000000"/>
          <w:sz w:val="20"/>
          <w:szCs w:val="20"/>
        </w:rPr>
        <w:t>he year ended December 31, 2019, lease cost was comprised of operating lease cost of $202 million, amortization of financing lease right-of use assets of $13 million and interest expense on financing lease liabilities of $7 million</w:t>
      </w:r>
      <w:r>
        <w:rPr>
          <w:rFonts w:eastAsia="Times New Roman"/>
          <w:color w:val="000000"/>
          <w:sz w:val="20"/>
          <w:szCs w:val="20"/>
        </w:rPr>
        <w:t>.</w:t>
      </w:r>
    </w:p>
    <w:p w14:paraId="2254ABE8" w14:textId="77777777" w:rsidR="00000000" w:rsidRDefault="00195E73">
      <w:pPr>
        <w:ind w:firstLine="450"/>
        <w:divId w:val="659580277"/>
        <w:rPr>
          <w:rFonts w:eastAsia="Times New Roman"/>
        </w:rPr>
      </w:pPr>
      <w:r>
        <w:rPr>
          <w:rFonts w:eastAsia="Times New Roman"/>
          <w:color w:val="000000"/>
          <w:sz w:val="20"/>
          <w:szCs w:val="20"/>
        </w:rPr>
        <w:t>Rent expense under oper</w:t>
      </w:r>
      <w:r>
        <w:rPr>
          <w:rFonts w:eastAsia="Times New Roman"/>
          <w:color w:val="000000"/>
          <w:sz w:val="20"/>
          <w:szCs w:val="20"/>
        </w:rPr>
        <w:t>ating leases for the years ended December 31, 2018 and 2017, prior to the adoption of ASC 842, was $168 million and $155 million, respectively.</w:t>
      </w:r>
      <w:r>
        <w:rPr>
          <w:rFonts w:eastAsia="Times New Roman"/>
          <w:color w:val="000000"/>
          <w:sz w:val="20"/>
          <w:szCs w:val="20"/>
        </w:rPr>
        <w:t xml:space="preserve"> </w:t>
      </w:r>
    </w:p>
    <w:p w14:paraId="2553B75B" w14:textId="77777777" w:rsidR="00000000" w:rsidRDefault="00195E73">
      <w:pPr>
        <w:jc w:val="both"/>
        <w:divId w:val="1451586904"/>
        <w:rPr>
          <w:rFonts w:eastAsia="Times New Roman"/>
        </w:rPr>
      </w:pPr>
      <w:r>
        <w:rPr>
          <w:rFonts w:eastAsia="Times New Roman"/>
          <w:i/>
          <w:iCs/>
          <w:color w:val="000000"/>
          <w:sz w:val="20"/>
          <w:szCs w:val="20"/>
        </w:rPr>
        <w:t>Real Estat</w:t>
      </w:r>
      <w:r>
        <w:rPr>
          <w:rFonts w:eastAsia="Times New Roman"/>
          <w:i/>
          <w:iCs/>
          <w:color w:val="000000"/>
          <w:sz w:val="20"/>
          <w:szCs w:val="20"/>
        </w:rPr>
        <w:t>e</w:t>
      </w:r>
    </w:p>
    <w:p w14:paraId="17ADD565" w14:textId="77777777" w:rsidR="00000000" w:rsidRDefault="00195E73">
      <w:pPr>
        <w:ind w:firstLine="450"/>
        <w:divId w:val="1351756666"/>
        <w:rPr>
          <w:rFonts w:eastAsia="Times New Roman"/>
        </w:rPr>
      </w:pPr>
      <w:r>
        <w:rPr>
          <w:rFonts w:eastAsia="Times New Roman"/>
          <w:color w:val="000000"/>
          <w:sz w:val="20"/>
          <w:szCs w:val="20"/>
        </w:rPr>
        <w:t>Our Real Estate segment leases real estate, primarily commercial properties under long-term operating leases. As of December 31, 2019 and 2018, our Real Estate segment has assets leased to others included in property, plant and equipment of $220 million an</w:t>
      </w:r>
      <w:r>
        <w:rPr>
          <w:rFonts w:eastAsia="Times New Roman"/>
          <w:color w:val="000000"/>
          <w:sz w:val="20"/>
          <w:szCs w:val="20"/>
        </w:rPr>
        <w:t>d $217 million, respectively, net of accumulated depreciation. Our Real Estate segment’s revenue from operating leases were $33 million, $39 million and $44 million for the years ended December 31, 2019, 2018 and 2017, respectively, and are included in oth</w:t>
      </w:r>
      <w:r>
        <w:rPr>
          <w:rFonts w:eastAsia="Times New Roman"/>
          <w:color w:val="000000"/>
          <w:sz w:val="20"/>
          <w:szCs w:val="20"/>
        </w:rPr>
        <w:t>er revenue from operations in the consolidated statements of operations. Our Real Estate segment’s anticipated future receipts of minimum operating lease payments receivable are $33 million for 2020, $6 million in 2021 and $3 million in 2022 and thereafter</w:t>
      </w:r>
      <w:r>
        <w:rPr>
          <w:rFonts w:eastAsia="Times New Roman"/>
          <w:color w:val="000000"/>
          <w:sz w:val="20"/>
          <w:szCs w:val="20"/>
        </w:rPr>
        <w:t>.</w:t>
      </w:r>
    </w:p>
    <w:p w14:paraId="02E04FC9" w14:textId="77777777" w:rsidR="00000000" w:rsidRDefault="00195E73">
      <w:pPr>
        <w:divId w:val="2133474925"/>
        <w:rPr>
          <w:rFonts w:eastAsia="Times New Roman"/>
        </w:rPr>
      </w:pPr>
    </w:p>
    <w:p w14:paraId="726183CE" w14:textId="77777777" w:rsidR="00000000" w:rsidRDefault="00195E73">
      <w:pPr>
        <w:divId w:val="1919901619"/>
        <w:rPr>
          <w:rFonts w:eastAsia="Times New Roman"/>
        </w:rPr>
      </w:pPr>
    </w:p>
    <w:p w14:paraId="220A7DB9" w14:textId="77777777" w:rsidR="00000000" w:rsidRDefault="00195E73">
      <w:pPr>
        <w:ind w:hanging="360"/>
        <w:divId w:val="185825871"/>
        <w:rPr>
          <w:rFonts w:eastAsia="Times New Roman"/>
        </w:rPr>
      </w:pPr>
    </w:p>
    <w:p w14:paraId="0785E92B" w14:textId="77777777" w:rsidR="00000000" w:rsidRDefault="00195E73">
      <w:pPr>
        <w:jc w:val="center"/>
        <w:divId w:val="1640568625"/>
        <w:rPr>
          <w:rFonts w:eastAsia="Times New Roman"/>
        </w:rPr>
      </w:pPr>
      <w:r>
        <w:rPr>
          <w:rFonts w:eastAsia="Times New Roman"/>
          <w:color w:val="000000"/>
          <w:sz w:val="20"/>
          <w:szCs w:val="20"/>
        </w:rPr>
        <w:t>9</w:t>
      </w:r>
      <w:r>
        <w:rPr>
          <w:rFonts w:eastAsia="Times New Roman"/>
          <w:color w:val="000000"/>
          <w:sz w:val="20"/>
          <w:szCs w:val="20"/>
        </w:rPr>
        <w:t>3</w:t>
      </w:r>
    </w:p>
    <w:p w14:paraId="374ECA9F" w14:textId="77777777" w:rsidR="00000000" w:rsidRDefault="00195E73">
      <w:pPr>
        <w:rPr>
          <w:rFonts w:eastAsia="Times New Roman"/>
        </w:rPr>
      </w:pPr>
      <w:r>
        <w:rPr>
          <w:rFonts w:eastAsia="Times New Roman"/>
        </w:rPr>
        <w:pict w14:anchorId="7C99B1C6">
          <v:rect id="_x0000_i1119" style="width:0;height:1.5pt" o:hralign="center" o:hrstd="t" o:hr="t" fillcolor="#a0a0a0" stroked="f"/>
        </w:pict>
      </w:r>
    </w:p>
    <w:p w14:paraId="64C011D9" w14:textId="77777777" w:rsidR="00000000" w:rsidRDefault="00195E73">
      <w:pPr>
        <w:jc w:val="center"/>
        <w:divId w:val="45377079"/>
        <w:rPr>
          <w:rFonts w:eastAsia="Times New Roman"/>
        </w:rPr>
      </w:pPr>
    </w:p>
    <w:p w14:paraId="377994BD" w14:textId="77777777" w:rsidR="00000000" w:rsidRDefault="00195E73">
      <w:pPr>
        <w:jc w:val="center"/>
        <w:divId w:val="45377079"/>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4E4BE782" w14:textId="77777777" w:rsidR="00000000" w:rsidRDefault="00195E73">
      <w:pPr>
        <w:jc w:val="center"/>
        <w:divId w:val="45377079"/>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50FD3FB1" w14:textId="77777777" w:rsidR="00000000" w:rsidRDefault="00195E73">
      <w:pPr>
        <w:jc w:val="center"/>
        <w:divId w:val="45377079"/>
        <w:rPr>
          <w:rFonts w:eastAsia="Times New Roman"/>
        </w:rPr>
      </w:pPr>
    </w:p>
    <w:p w14:paraId="1E813E7F" w14:textId="77777777" w:rsidR="00000000" w:rsidRDefault="00195E73">
      <w:pPr>
        <w:jc w:val="center"/>
        <w:divId w:val="45377079"/>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5F4755C4" w14:textId="77777777" w:rsidR="00000000" w:rsidRDefault="00195E73">
      <w:pPr>
        <w:ind w:hanging="360"/>
        <w:divId w:val="2127657802"/>
        <w:rPr>
          <w:rFonts w:eastAsia="Times New Roman"/>
        </w:rPr>
      </w:pPr>
      <w:r>
        <w:rPr>
          <w:rFonts w:eastAsia="Times New Roman"/>
          <w:b/>
          <w:bCs/>
          <w:color w:val="000000"/>
          <w:sz w:val="20"/>
          <w:szCs w:val="20"/>
        </w:rPr>
        <w:t>11. Debt</w:t>
      </w:r>
      <w:r>
        <w:rPr>
          <w:rFonts w:eastAsia="Times New Roman"/>
          <w:b/>
          <w:bCs/>
          <w:color w:val="000000"/>
          <w:sz w:val="20"/>
          <w:szCs w:val="20"/>
        </w:rPr>
        <w:t>.</w:t>
      </w:r>
    </w:p>
    <w:p w14:paraId="4EB232EB" w14:textId="77777777" w:rsidR="00000000" w:rsidRDefault="00195E73">
      <w:pPr>
        <w:ind w:firstLine="405"/>
        <w:divId w:val="1779912873"/>
        <w:rPr>
          <w:rFonts w:eastAsia="Times New Roman"/>
        </w:rPr>
      </w:pPr>
      <w:r>
        <w:rPr>
          <w:rFonts w:eastAsia="Times New Roman"/>
          <w:color w:val="000000"/>
          <w:sz w:val="20"/>
          <w:szCs w:val="20"/>
        </w:rPr>
        <w:t>Debt consists of the following</w:t>
      </w:r>
      <w:r>
        <w:rPr>
          <w:rFonts w:eastAsia="Times New Roman"/>
          <w:color w:val="000000"/>
          <w:sz w:val="20"/>
          <w:szCs w:val="20"/>
        </w:rPr>
        <w:t>:</w:t>
      </w:r>
    </w:p>
    <w:tbl>
      <w:tblPr>
        <w:tblW w:w="4956" w:type="pct"/>
        <w:jc w:val="center"/>
        <w:tblCellMar>
          <w:top w:w="15" w:type="dxa"/>
          <w:left w:w="15" w:type="dxa"/>
          <w:bottom w:w="15" w:type="dxa"/>
          <w:right w:w="15" w:type="dxa"/>
        </w:tblCellMar>
        <w:tblLook w:val="04A0" w:firstRow="1" w:lastRow="0" w:firstColumn="1" w:lastColumn="0" w:noHBand="0" w:noVBand="1"/>
      </w:tblPr>
      <w:tblGrid>
        <w:gridCol w:w="51"/>
        <w:gridCol w:w="5405"/>
        <w:gridCol w:w="51"/>
        <w:gridCol w:w="135"/>
        <w:gridCol w:w="993"/>
        <w:gridCol w:w="85"/>
        <w:gridCol w:w="36"/>
        <w:gridCol w:w="36"/>
        <w:gridCol w:w="36"/>
        <w:gridCol w:w="135"/>
        <w:gridCol w:w="969"/>
        <w:gridCol w:w="85"/>
        <w:gridCol w:w="36"/>
        <w:gridCol w:w="36"/>
        <w:gridCol w:w="36"/>
        <w:gridCol w:w="36"/>
        <w:gridCol w:w="36"/>
        <w:gridCol w:w="36"/>
      </w:tblGrid>
      <w:tr w:rsidR="00000000" w14:paraId="3EBC5F2F" w14:textId="77777777">
        <w:trPr>
          <w:gridAfter w:val="6"/>
          <w:divId w:val="2059157907"/>
          <w:jc w:val="center"/>
        </w:trPr>
        <w:tc>
          <w:tcPr>
            <w:tcW w:w="50" w:type="pct"/>
            <w:vAlign w:val="center"/>
            <w:hideMark/>
          </w:tcPr>
          <w:p w14:paraId="25583EBC" w14:textId="77777777" w:rsidR="00000000" w:rsidRDefault="00195E73">
            <w:pPr>
              <w:ind w:firstLine="405"/>
              <w:rPr>
                <w:rFonts w:eastAsia="Times New Roman"/>
              </w:rPr>
            </w:pPr>
          </w:p>
        </w:tc>
        <w:tc>
          <w:tcPr>
            <w:tcW w:w="3388" w:type="pct"/>
            <w:vAlign w:val="center"/>
            <w:hideMark/>
          </w:tcPr>
          <w:p w14:paraId="456B7236" w14:textId="77777777" w:rsidR="00000000" w:rsidRDefault="00195E73">
            <w:pPr>
              <w:rPr>
                <w:rFonts w:eastAsia="Times New Roman"/>
                <w:sz w:val="20"/>
                <w:szCs w:val="20"/>
              </w:rPr>
            </w:pPr>
          </w:p>
        </w:tc>
        <w:tc>
          <w:tcPr>
            <w:tcW w:w="50" w:type="pct"/>
            <w:vAlign w:val="center"/>
            <w:hideMark/>
          </w:tcPr>
          <w:p w14:paraId="46095922" w14:textId="77777777" w:rsidR="00000000" w:rsidRDefault="00195E73">
            <w:pPr>
              <w:rPr>
                <w:rFonts w:eastAsia="Times New Roman"/>
                <w:sz w:val="20"/>
                <w:szCs w:val="20"/>
              </w:rPr>
            </w:pPr>
          </w:p>
        </w:tc>
        <w:tc>
          <w:tcPr>
            <w:tcW w:w="50" w:type="pct"/>
            <w:vAlign w:val="center"/>
            <w:hideMark/>
          </w:tcPr>
          <w:p w14:paraId="6FAD4D2F" w14:textId="77777777" w:rsidR="00000000" w:rsidRDefault="00195E73">
            <w:pPr>
              <w:rPr>
                <w:rFonts w:eastAsia="Times New Roman"/>
                <w:sz w:val="20"/>
                <w:szCs w:val="20"/>
              </w:rPr>
            </w:pPr>
          </w:p>
        </w:tc>
        <w:tc>
          <w:tcPr>
            <w:tcW w:w="637" w:type="pct"/>
            <w:vAlign w:val="center"/>
            <w:hideMark/>
          </w:tcPr>
          <w:p w14:paraId="6676EA20" w14:textId="77777777" w:rsidR="00000000" w:rsidRDefault="00195E73">
            <w:pPr>
              <w:rPr>
                <w:rFonts w:eastAsia="Times New Roman"/>
                <w:sz w:val="20"/>
                <w:szCs w:val="20"/>
              </w:rPr>
            </w:pPr>
          </w:p>
        </w:tc>
        <w:tc>
          <w:tcPr>
            <w:tcW w:w="50" w:type="pct"/>
            <w:vAlign w:val="center"/>
            <w:hideMark/>
          </w:tcPr>
          <w:p w14:paraId="7B00B6BF" w14:textId="77777777" w:rsidR="00000000" w:rsidRDefault="00195E73">
            <w:pPr>
              <w:rPr>
                <w:rFonts w:eastAsia="Times New Roman"/>
                <w:sz w:val="20"/>
                <w:szCs w:val="20"/>
              </w:rPr>
            </w:pPr>
          </w:p>
        </w:tc>
        <w:tc>
          <w:tcPr>
            <w:tcW w:w="5" w:type="pct"/>
            <w:vAlign w:val="center"/>
            <w:hideMark/>
          </w:tcPr>
          <w:p w14:paraId="656FB785" w14:textId="77777777" w:rsidR="00000000" w:rsidRDefault="00195E73">
            <w:pPr>
              <w:rPr>
                <w:rFonts w:eastAsia="Times New Roman"/>
                <w:sz w:val="20"/>
                <w:szCs w:val="20"/>
              </w:rPr>
            </w:pPr>
          </w:p>
        </w:tc>
        <w:tc>
          <w:tcPr>
            <w:tcW w:w="26" w:type="pct"/>
            <w:vAlign w:val="center"/>
            <w:hideMark/>
          </w:tcPr>
          <w:p w14:paraId="09E04628" w14:textId="77777777" w:rsidR="00000000" w:rsidRDefault="00195E73">
            <w:pPr>
              <w:rPr>
                <w:rFonts w:eastAsia="Times New Roman"/>
                <w:sz w:val="20"/>
                <w:szCs w:val="20"/>
              </w:rPr>
            </w:pPr>
          </w:p>
        </w:tc>
        <w:tc>
          <w:tcPr>
            <w:tcW w:w="5" w:type="pct"/>
            <w:vAlign w:val="center"/>
            <w:hideMark/>
          </w:tcPr>
          <w:p w14:paraId="7BF02207" w14:textId="77777777" w:rsidR="00000000" w:rsidRDefault="00195E73">
            <w:pPr>
              <w:rPr>
                <w:rFonts w:eastAsia="Times New Roman"/>
                <w:sz w:val="20"/>
                <w:szCs w:val="20"/>
              </w:rPr>
            </w:pPr>
          </w:p>
        </w:tc>
        <w:tc>
          <w:tcPr>
            <w:tcW w:w="50" w:type="pct"/>
            <w:vAlign w:val="center"/>
            <w:hideMark/>
          </w:tcPr>
          <w:p w14:paraId="46565AE8" w14:textId="77777777" w:rsidR="00000000" w:rsidRDefault="00195E73">
            <w:pPr>
              <w:rPr>
                <w:rFonts w:eastAsia="Times New Roman"/>
                <w:sz w:val="20"/>
                <w:szCs w:val="20"/>
              </w:rPr>
            </w:pPr>
          </w:p>
        </w:tc>
        <w:tc>
          <w:tcPr>
            <w:tcW w:w="637" w:type="pct"/>
            <w:vAlign w:val="center"/>
            <w:hideMark/>
          </w:tcPr>
          <w:p w14:paraId="79EA5390" w14:textId="77777777" w:rsidR="00000000" w:rsidRDefault="00195E73">
            <w:pPr>
              <w:rPr>
                <w:rFonts w:eastAsia="Times New Roman"/>
                <w:sz w:val="20"/>
                <w:szCs w:val="20"/>
              </w:rPr>
            </w:pPr>
          </w:p>
        </w:tc>
        <w:tc>
          <w:tcPr>
            <w:tcW w:w="50" w:type="pct"/>
            <w:vAlign w:val="center"/>
            <w:hideMark/>
          </w:tcPr>
          <w:p w14:paraId="2D94C0FC" w14:textId="77777777" w:rsidR="00000000" w:rsidRDefault="00195E73">
            <w:pPr>
              <w:rPr>
                <w:rFonts w:eastAsia="Times New Roman"/>
                <w:sz w:val="20"/>
                <w:szCs w:val="20"/>
              </w:rPr>
            </w:pPr>
          </w:p>
        </w:tc>
      </w:tr>
      <w:tr w:rsidR="00000000" w14:paraId="2C33636A" w14:textId="77777777">
        <w:trPr>
          <w:divId w:val="2059157907"/>
          <w:jc w:val="center"/>
        </w:trPr>
        <w:tc>
          <w:tcPr>
            <w:tcW w:w="0" w:type="auto"/>
            <w:gridSpan w:val="3"/>
            <w:tcMar>
              <w:top w:w="15" w:type="dxa"/>
              <w:left w:w="20" w:type="dxa"/>
              <w:bottom w:w="15" w:type="dxa"/>
              <w:right w:w="20" w:type="dxa"/>
            </w:tcMar>
            <w:vAlign w:val="bottom"/>
            <w:hideMark/>
          </w:tcPr>
          <w:p w14:paraId="5B9C6D88"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1B22E3FC"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2490EB67" w14:textId="77777777" w:rsidR="00000000" w:rsidRDefault="00195E73">
            <w:pPr>
              <w:jc w:val="center"/>
              <w:rPr>
                <w:rFonts w:eastAsia="Times New Roman"/>
              </w:rPr>
            </w:pPr>
          </w:p>
        </w:tc>
        <w:tc>
          <w:tcPr>
            <w:tcW w:w="0" w:type="auto"/>
            <w:gridSpan w:val="3"/>
            <w:vAlign w:val="center"/>
            <w:hideMark/>
          </w:tcPr>
          <w:p w14:paraId="66A39260" w14:textId="77777777" w:rsidR="00000000" w:rsidRDefault="00195E73">
            <w:pPr>
              <w:rPr>
                <w:rFonts w:eastAsia="Times New Roman"/>
                <w:sz w:val="20"/>
                <w:szCs w:val="20"/>
              </w:rPr>
            </w:pPr>
          </w:p>
        </w:tc>
      </w:tr>
      <w:tr w:rsidR="00000000" w14:paraId="01729951" w14:textId="77777777">
        <w:trPr>
          <w:divId w:val="2059157907"/>
          <w:jc w:val="center"/>
        </w:trPr>
        <w:tc>
          <w:tcPr>
            <w:tcW w:w="0" w:type="auto"/>
            <w:gridSpan w:val="3"/>
            <w:tcMar>
              <w:top w:w="15" w:type="dxa"/>
              <w:left w:w="20" w:type="dxa"/>
              <w:bottom w:w="15" w:type="dxa"/>
              <w:right w:w="20" w:type="dxa"/>
            </w:tcMar>
            <w:vAlign w:val="bottom"/>
            <w:hideMark/>
          </w:tcPr>
          <w:p w14:paraId="4A799A9F"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62D99AF"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0E6D92D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CA6E16E"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4922E997" w14:textId="77777777" w:rsidR="00000000" w:rsidRDefault="00195E73">
            <w:pPr>
              <w:rPr>
                <w:rFonts w:eastAsia="Times New Roman"/>
                <w:sz w:val="20"/>
                <w:szCs w:val="20"/>
              </w:rPr>
            </w:pPr>
          </w:p>
        </w:tc>
        <w:tc>
          <w:tcPr>
            <w:tcW w:w="0" w:type="auto"/>
            <w:vAlign w:val="center"/>
            <w:hideMark/>
          </w:tcPr>
          <w:p w14:paraId="5B681B46" w14:textId="77777777" w:rsidR="00000000" w:rsidRDefault="00195E73">
            <w:pPr>
              <w:rPr>
                <w:rFonts w:eastAsia="Times New Roman"/>
                <w:sz w:val="20"/>
                <w:szCs w:val="20"/>
              </w:rPr>
            </w:pPr>
          </w:p>
        </w:tc>
        <w:tc>
          <w:tcPr>
            <w:tcW w:w="0" w:type="auto"/>
            <w:vAlign w:val="center"/>
            <w:hideMark/>
          </w:tcPr>
          <w:p w14:paraId="43EB28F7" w14:textId="77777777" w:rsidR="00000000" w:rsidRDefault="00195E73">
            <w:pPr>
              <w:rPr>
                <w:rFonts w:eastAsia="Times New Roman"/>
                <w:sz w:val="20"/>
                <w:szCs w:val="20"/>
              </w:rPr>
            </w:pPr>
          </w:p>
        </w:tc>
        <w:tc>
          <w:tcPr>
            <w:tcW w:w="0" w:type="auto"/>
            <w:vAlign w:val="center"/>
            <w:hideMark/>
          </w:tcPr>
          <w:p w14:paraId="2F8F7215" w14:textId="77777777" w:rsidR="00000000" w:rsidRDefault="00195E73">
            <w:pPr>
              <w:rPr>
                <w:rFonts w:eastAsia="Times New Roman"/>
                <w:sz w:val="20"/>
                <w:szCs w:val="20"/>
              </w:rPr>
            </w:pPr>
          </w:p>
        </w:tc>
        <w:tc>
          <w:tcPr>
            <w:tcW w:w="0" w:type="auto"/>
            <w:vAlign w:val="center"/>
            <w:hideMark/>
          </w:tcPr>
          <w:p w14:paraId="2D186E1D" w14:textId="77777777" w:rsidR="00000000" w:rsidRDefault="00195E73">
            <w:pPr>
              <w:rPr>
                <w:rFonts w:eastAsia="Times New Roman"/>
                <w:sz w:val="20"/>
                <w:szCs w:val="20"/>
              </w:rPr>
            </w:pPr>
          </w:p>
        </w:tc>
        <w:tc>
          <w:tcPr>
            <w:tcW w:w="0" w:type="auto"/>
            <w:vAlign w:val="center"/>
            <w:hideMark/>
          </w:tcPr>
          <w:p w14:paraId="1D452A40" w14:textId="77777777" w:rsidR="00000000" w:rsidRDefault="00195E73">
            <w:pPr>
              <w:rPr>
                <w:rFonts w:eastAsia="Times New Roman"/>
                <w:sz w:val="20"/>
                <w:szCs w:val="20"/>
              </w:rPr>
            </w:pPr>
          </w:p>
        </w:tc>
      </w:tr>
      <w:tr w:rsidR="00000000" w14:paraId="56813BBC" w14:textId="77777777">
        <w:trPr>
          <w:divId w:val="2059157907"/>
          <w:jc w:val="center"/>
        </w:trPr>
        <w:tc>
          <w:tcPr>
            <w:tcW w:w="0" w:type="auto"/>
            <w:gridSpan w:val="3"/>
            <w:tcMar>
              <w:top w:w="15" w:type="dxa"/>
              <w:left w:w="20" w:type="dxa"/>
              <w:bottom w:w="15" w:type="dxa"/>
              <w:right w:w="20" w:type="dxa"/>
            </w:tcMar>
            <w:vAlign w:val="bottom"/>
            <w:hideMark/>
          </w:tcPr>
          <w:p w14:paraId="24707784"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9A5DA8D" w14:textId="77777777" w:rsidR="00000000" w:rsidRDefault="00195E73">
            <w:pPr>
              <w:jc w:val="center"/>
              <w:rPr>
                <w:rFonts w:eastAsia="Times New Roman"/>
              </w:rPr>
            </w:pPr>
            <w:r>
              <w:rPr>
                <w:rFonts w:eastAsia="Times New Roman"/>
                <w:color w:val="000000"/>
                <w:sz w:val="16"/>
                <w:szCs w:val="16"/>
              </w:rPr>
              <w:t> (in millions</w:t>
            </w:r>
            <w:r>
              <w:rPr>
                <w:rFonts w:eastAsia="Times New Roman"/>
                <w:color w:val="000000"/>
                <w:sz w:val="16"/>
                <w:szCs w:val="16"/>
              </w:rPr>
              <w:t>)</w:t>
            </w:r>
          </w:p>
        </w:tc>
        <w:tc>
          <w:tcPr>
            <w:tcW w:w="0" w:type="auto"/>
            <w:gridSpan w:val="3"/>
            <w:vAlign w:val="center"/>
            <w:hideMark/>
          </w:tcPr>
          <w:p w14:paraId="3ABDF8CD" w14:textId="77777777" w:rsidR="00000000" w:rsidRDefault="00195E73">
            <w:pPr>
              <w:jc w:val="center"/>
              <w:rPr>
                <w:rFonts w:eastAsia="Times New Roman"/>
              </w:rPr>
            </w:pPr>
          </w:p>
        </w:tc>
        <w:tc>
          <w:tcPr>
            <w:tcW w:w="0" w:type="auto"/>
            <w:gridSpan w:val="3"/>
            <w:vAlign w:val="center"/>
            <w:hideMark/>
          </w:tcPr>
          <w:p w14:paraId="24FE9AB1" w14:textId="77777777" w:rsidR="00000000" w:rsidRDefault="00195E73">
            <w:pPr>
              <w:rPr>
                <w:rFonts w:eastAsia="Times New Roman"/>
                <w:sz w:val="20"/>
                <w:szCs w:val="20"/>
              </w:rPr>
            </w:pPr>
          </w:p>
        </w:tc>
      </w:tr>
      <w:tr w:rsidR="00000000" w14:paraId="4D71119D" w14:textId="77777777">
        <w:trPr>
          <w:divId w:val="2059157907"/>
          <w:jc w:val="center"/>
        </w:trPr>
        <w:tc>
          <w:tcPr>
            <w:tcW w:w="0" w:type="auto"/>
            <w:gridSpan w:val="3"/>
            <w:tcMar>
              <w:top w:w="30" w:type="dxa"/>
              <w:left w:w="20" w:type="dxa"/>
              <w:bottom w:w="30" w:type="dxa"/>
              <w:right w:w="20" w:type="dxa"/>
            </w:tcMar>
            <w:vAlign w:val="bottom"/>
            <w:hideMark/>
          </w:tcPr>
          <w:p w14:paraId="36DD876B" w14:textId="77777777" w:rsidR="00000000" w:rsidRDefault="00195E73">
            <w:pPr>
              <w:ind w:hanging="180"/>
              <w:divId w:val="2085490506"/>
              <w:rPr>
                <w:rFonts w:eastAsia="Times New Roman"/>
              </w:rPr>
            </w:pPr>
            <w:r>
              <w:rPr>
                <w:rFonts w:eastAsia="Times New Roman"/>
                <w:b/>
                <w:bCs/>
                <w:color w:val="000000"/>
                <w:sz w:val="20"/>
                <w:szCs w:val="20"/>
              </w:rPr>
              <w:t>Holding Company</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14:paraId="6BA0F1D4" w14:textId="77777777" w:rsidR="00000000" w:rsidRDefault="00195E73">
            <w:pPr>
              <w:ind w:hanging="180"/>
              <w:rPr>
                <w:rFonts w:eastAsia="Times New Roman"/>
              </w:rPr>
            </w:pPr>
          </w:p>
        </w:tc>
        <w:tc>
          <w:tcPr>
            <w:tcW w:w="0" w:type="auto"/>
            <w:gridSpan w:val="3"/>
            <w:tcMar>
              <w:top w:w="15" w:type="dxa"/>
              <w:left w:w="20" w:type="dxa"/>
              <w:bottom w:w="15" w:type="dxa"/>
              <w:right w:w="20" w:type="dxa"/>
            </w:tcMar>
            <w:vAlign w:val="bottom"/>
            <w:hideMark/>
          </w:tcPr>
          <w:p w14:paraId="186A49A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0994ED5" w14:textId="77777777" w:rsidR="00000000" w:rsidRDefault="00195E73">
            <w:pPr>
              <w:rPr>
                <w:rFonts w:eastAsia="Times New Roman"/>
                <w:sz w:val="20"/>
                <w:szCs w:val="20"/>
              </w:rPr>
            </w:pPr>
          </w:p>
        </w:tc>
        <w:tc>
          <w:tcPr>
            <w:tcW w:w="0" w:type="auto"/>
            <w:vAlign w:val="center"/>
            <w:hideMark/>
          </w:tcPr>
          <w:p w14:paraId="54722B2D" w14:textId="77777777" w:rsidR="00000000" w:rsidRDefault="00195E73">
            <w:pPr>
              <w:rPr>
                <w:rFonts w:eastAsia="Times New Roman"/>
                <w:sz w:val="20"/>
                <w:szCs w:val="20"/>
              </w:rPr>
            </w:pPr>
          </w:p>
        </w:tc>
        <w:tc>
          <w:tcPr>
            <w:tcW w:w="0" w:type="auto"/>
            <w:vAlign w:val="center"/>
            <w:hideMark/>
          </w:tcPr>
          <w:p w14:paraId="3AEF4978" w14:textId="77777777" w:rsidR="00000000" w:rsidRDefault="00195E73">
            <w:pPr>
              <w:rPr>
                <w:rFonts w:eastAsia="Times New Roman"/>
                <w:sz w:val="20"/>
                <w:szCs w:val="20"/>
              </w:rPr>
            </w:pPr>
          </w:p>
        </w:tc>
        <w:tc>
          <w:tcPr>
            <w:tcW w:w="0" w:type="auto"/>
            <w:vAlign w:val="center"/>
            <w:hideMark/>
          </w:tcPr>
          <w:p w14:paraId="08E25E8F" w14:textId="77777777" w:rsidR="00000000" w:rsidRDefault="00195E73">
            <w:pPr>
              <w:rPr>
                <w:rFonts w:eastAsia="Times New Roman"/>
                <w:sz w:val="20"/>
                <w:szCs w:val="20"/>
              </w:rPr>
            </w:pPr>
          </w:p>
        </w:tc>
        <w:tc>
          <w:tcPr>
            <w:tcW w:w="0" w:type="auto"/>
            <w:vAlign w:val="center"/>
            <w:hideMark/>
          </w:tcPr>
          <w:p w14:paraId="6F523EE1" w14:textId="77777777" w:rsidR="00000000" w:rsidRDefault="00195E73">
            <w:pPr>
              <w:rPr>
                <w:rFonts w:eastAsia="Times New Roman"/>
                <w:sz w:val="20"/>
                <w:szCs w:val="20"/>
              </w:rPr>
            </w:pPr>
          </w:p>
        </w:tc>
        <w:tc>
          <w:tcPr>
            <w:tcW w:w="0" w:type="auto"/>
            <w:vAlign w:val="center"/>
            <w:hideMark/>
          </w:tcPr>
          <w:p w14:paraId="41434103" w14:textId="77777777" w:rsidR="00000000" w:rsidRDefault="00195E73">
            <w:pPr>
              <w:rPr>
                <w:rFonts w:eastAsia="Times New Roman"/>
                <w:sz w:val="20"/>
                <w:szCs w:val="20"/>
              </w:rPr>
            </w:pPr>
          </w:p>
        </w:tc>
        <w:tc>
          <w:tcPr>
            <w:tcW w:w="0" w:type="auto"/>
            <w:vAlign w:val="center"/>
            <w:hideMark/>
          </w:tcPr>
          <w:p w14:paraId="4C21F2EB" w14:textId="77777777" w:rsidR="00000000" w:rsidRDefault="00195E73">
            <w:pPr>
              <w:rPr>
                <w:rFonts w:eastAsia="Times New Roman"/>
                <w:sz w:val="20"/>
                <w:szCs w:val="20"/>
              </w:rPr>
            </w:pPr>
          </w:p>
        </w:tc>
      </w:tr>
      <w:tr w:rsidR="00000000" w14:paraId="2B49F1A8" w14:textId="77777777">
        <w:trPr>
          <w:divId w:val="2059157907"/>
          <w:jc w:val="center"/>
        </w:trPr>
        <w:tc>
          <w:tcPr>
            <w:tcW w:w="0" w:type="auto"/>
            <w:gridSpan w:val="3"/>
            <w:shd w:val="clear" w:color="auto" w:fill="CCEEFF"/>
            <w:tcMar>
              <w:top w:w="30" w:type="dxa"/>
              <w:left w:w="20" w:type="dxa"/>
              <w:bottom w:w="30" w:type="dxa"/>
              <w:right w:w="20" w:type="dxa"/>
            </w:tcMar>
            <w:vAlign w:val="bottom"/>
            <w:hideMark/>
          </w:tcPr>
          <w:p w14:paraId="05BD91A0" w14:textId="77777777" w:rsidR="00000000" w:rsidRDefault="00195E73">
            <w:pPr>
              <w:rPr>
                <w:rFonts w:eastAsia="Times New Roman"/>
              </w:rPr>
            </w:pPr>
            <w:r>
              <w:rPr>
                <w:rFonts w:eastAsia="Times New Roman"/>
                <w:color w:val="000000"/>
                <w:sz w:val="20"/>
                <w:szCs w:val="20"/>
              </w:rPr>
              <w:t>6.000% senior unsecured notes due 202</w:t>
            </w:r>
            <w:r>
              <w:rPr>
                <w:rFonts w:eastAsia="Times New Roman"/>
                <w:color w:val="000000"/>
                <w:sz w:val="20"/>
                <w:szCs w:val="20"/>
              </w:rPr>
              <w:t>0</w:t>
            </w:r>
          </w:p>
        </w:tc>
        <w:tc>
          <w:tcPr>
            <w:tcW w:w="0" w:type="auto"/>
            <w:shd w:val="clear" w:color="auto" w:fill="CCEEFF"/>
            <w:tcMar>
              <w:top w:w="30" w:type="dxa"/>
              <w:left w:w="20" w:type="dxa"/>
              <w:bottom w:w="30" w:type="dxa"/>
              <w:right w:w="15" w:type="dxa"/>
            </w:tcMar>
            <w:vAlign w:val="bottom"/>
            <w:hideMark/>
          </w:tcPr>
          <w:p w14:paraId="5488559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D480049"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E3FAB1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B945307"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441DEB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E096AD7" w14:textId="77777777" w:rsidR="00000000" w:rsidRDefault="00195E73">
            <w:pPr>
              <w:jc w:val="right"/>
              <w:rPr>
                <w:rFonts w:eastAsia="Times New Roman"/>
              </w:rPr>
            </w:pPr>
            <w:r>
              <w:rPr>
                <w:rFonts w:eastAsia="Times New Roman"/>
                <w:color w:val="000000"/>
                <w:sz w:val="20"/>
                <w:szCs w:val="20"/>
              </w:rPr>
              <w:t>1,702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A54B6F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EFAE058" w14:textId="77777777" w:rsidR="00000000" w:rsidRDefault="00195E73">
            <w:pPr>
              <w:rPr>
                <w:rFonts w:eastAsia="Times New Roman"/>
                <w:sz w:val="20"/>
                <w:szCs w:val="20"/>
              </w:rPr>
            </w:pPr>
          </w:p>
        </w:tc>
        <w:tc>
          <w:tcPr>
            <w:tcW w:w="0" w:type="auto"/>
            <w:vAlign w:val="center"/>
            <w:hideMark/>
          </w:tcPr>
          <w:p w14:paraId="697D4A8F" w14:textId="77777777" w:rsidR="00000000" w:rsidRDefault="00195E73">
            <w:pPr>
              <w:rPr>
                <w:rFonts w:eastAsia="Times New Roman"/>
                <w:sz w:val="20"/>
                <w:szCs w:val="20"/>
              </w:rPr>
            </w:pPr>
          </w:p>
        </w:tc>
        <w:tc>
          <w:tcPr>
            <w:tcW w:w="0" w:type="auto"/>
            <w:vAlign w:val="center"/>
            <w:hideMark/>
          </w:tcPr>
          <w:p w14:paraId="06A251CE" w14:textId="77777777" w:rsidR="00000000" w:rsidRDefault="00195E73">
            <w:pPr>
              <w:rPr>
                <w:rFonts w:eastAsia="Times New Roman"/>
                <w:sz w:val="20"/>
                <w:szCs w:val="20"/>
              </w:rPr>
            </w:pPr>
          </w:p>
        </w:tc>
        <w:tc>
          <w:tcPr>
            <w:tcW w:w="0" w:type="auto"/>
            <w:vAlign w:val="center"/>
            <w:hideMark/>
          </w:tcPr>
          <w:p w14:paraId="1C28F6FF" w14:textId="77777777" w:rsidR="00000000" w:rsidRDefault="00195E73">
            <w:pPr>
              <w:rPr>
                <w:rFonts w:eastAsia="Times New Roman"/>
                <w:sz w:val="20"/>
                <w:szCs w:val="20"/>
              </w:rPr>
            </w:pPr>
          </w:p>
        </w:tc>
        <w:tc>
          <w:tcPr>
            <w:tcW w:w="0" w:type="auto"/>
            <w:vAlign w:val="center"/>
            <w:hideMark/>
          </w:tcPr>
          <w:p w14:paraId="6A986016" w14:textId="77777777" w:rsidR="00000000" w:rsidRDefault="00195E73">
            <w:pPr>
              <w:rPr>
                <w:rFonts w:eastAsia="Times New Roman"/>
                <w:sz w:val="20"/>
                <w:szCs w:val="20"/>
              </w:rPr>
            </w:pPr>
          </w:p>
        </w:tc>
        <w:tc>
          <w:tcPr>
            <w:tcW w:w="0" w:type="auto"/>
            <w:vAlign w:val="center"/>
            <w:hideMark/>
          </w:tcPr>
          <w:p w14:paraId="72AB28D2" w14:textId="77777777" w:rsidR="00000000" w:rsidRDefault="00195E73">
            <w:pPr>
              <w:rPr>
                <w:rFonts w:eastAsia="Times New Roman"/>
                <w:sz w:val="20"/>
                <w:szCs w:val="20"/>
              </w:rPr>
            </w:pPr>
          </w:p>
        </w:tc>
      </w:tr>
      <w:tr w:rsidR="00000000" w14:paraId="47A784D1" w14:textId="77777777">
        <w:trPr>
          <w:divId w:val="2059157907"/>
          <w:jc w:val="center"/>
        </w:trPr>
        <w:tc>
          <w:tcPr>
            <w:tcW w:w="0" w:type="auto"/>
            <w:gridSpan w:val="3"/>
            <w:shd w:val="clear" w:color="auto" w:fill="FFFFFF"/>
            <w:tcMar>
              <w:top w:w="30" w:type="dxa"/>
              <w:left w:w="20" w:type="dxa"/>
              <w:bottom w:w="30" w:type="dxa"/>
              <w:right w:w="20" w:type="dxa"/>
            </w:tcMar>
            <w:vAlign w:val="bottom"/>
            <w:hideMark/>
          </w:tcPr>
          <w:p w14:paraId="4EC88D20" w14:textId="77777777" w:rsidR="00000000" w:rsidRDefault="00195E73">
            <w:pPr>
              <w:rPr>
                <w:rFonts w:eastAsia="Times New Roman"/>
              </w:rPr>
            </w:pPr>
            <w:r>
              <w:rPr>
                <w:rFonts w:eastAsia="Times New Roman"/>
                <w:color w:val="000000"/>
                <w:sz w:val="20"/>
                <w:szCs w:val="20"/>
              </w:rPr>
              <w:t>5.875% senior unsecured notes due 202</w:t>
            </w:r>
            <w:r>
              <w:rPr>
                <w:rFonts w:eastAsia="Times New Roman"/>
                <w:color w:val="000000"/>
                <w:sz w:val="20"/>
                <w:szCs w:val="20"/>
              </w:rPr>
              <w:t>2</w:t>
            </w:r>
          </w:p>
        </w:tc>
        <w:tc>
          <w:tcPr>
            <w:tcW w:w="0" w:type="auto"/>
            <w:gridSpan w:val="2"/>
            <w:shd w:val="clear" w:color="auto" w:fill="FFFFFF"/>
            <w:tcMar>
              <w:top w:w="30" w:type="dxa"/>
              <w:left w:w="20" w:type="dxa"/>
              <w:bottom w:w="30" w:type="dxa"/>
              <w:right w:w="0" w:type="dxa"/>
            </w:tcMar>
            <w:vAlign w:val="bottom"/>
            <w:hideMark/>
          </w:tcPr>
          <w:p w14:paraId="7EDAEF52" w14:textId="77777777" w:rsidR="00000000" w:rsidRDefault="00195E73">
            <w:pPr>
              <w:jc w:val="right"/>
              <w:rPr>
                <w:rFonts w:eastAsia="Times New Roman"/>
              </w:rPr>
            </w:pPr>
            <w:r>
              <w:rPr>
                <w:rFonts w:eastAsia="Times New Roman"/>
                <w:color w:val="000000"/>
                <w:sz w:val="20"/>
                <w:szCs w:val="20"/>
              </w:rPr>
              <w:t>1,345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01C0FC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9724C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6AE96B" w14:textId="77777777" w:rsidR="00000000" w:rsidRDefault="00195E73">
            <w:pPr>
              <w:jc w:val="right"/>
              <w:rPr>
                <w:rFonts w:eastAsia="Times New Roman"/>
              </w:rPr>
            </w:pPr>
            <w:r>
              <w:rPr>
                <w:rFonts w:eastAsia="Times New Roman"/>
                <w:color w:val="000000"/>
                <w:sz w:val="20"/>
                <w:szCs w:val="20"/>
              </w:rPr>
              <w:t>1,344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48982C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A6A6B54" w14:textId="77777777" w:rsidR="00000000" w:rsidRDefault="00195E73">
            <w:pPr>
              <w:rPr>
                <w:rFonts w:eastAsia="Times New Roman"/>
                <w:sz w:val="20"/>
                <w:szCs w:val="20"/>
              </w:rPr>
            </w:pPr>
          </w:p>
        </w:tc>
        <w:tc>
          <w:tcPr>
            <w:tcW w:w="0" w:type="auto"/>
            <w:vAlign w:val="center"/>
            <w:hideMark/>
          </w:tcPr>
          <w:p w14:paraId="7FA42BFC" w14:textId="77777777" w:rsidR="00000000" w:rsidRDefault="00195E73">
            <w:pPr>
              <w:rPr>
                <w:rFonts w:eastAsia="Times New Roman"/>
                <w:sz w:val="20"/>
                <w:szCs w:val="20"/>
              </w:rPr>
            </w:pPr>
          </w:p>
        </w:tc>
        <w:tc>
          <w:tcPr>
            <w:tcW w:w="0" w:type="auto"/>
            <w:vAlign w:val="center"/>
            <w:hideMark/>
          </w:tcPr>
          <w:p w14:paraId="583864C5" w14:textId="77777777" w:rsidR="00000000" w:rsidRDefault="00195E73">
            <w:pPr>
              <w:rPr>
                <w:rFonts w:eastAsia="Times New Roman"/>
                <w:sz w:val="20"/>
                <w:szCs w:val="20"/>
              </w:rPr>
            </w:pPr>
          </w:p>
        </w:tc>
        <w:tc>
          <w:tcPr>
            <w:tcW w:w="0" w:type="auto"/>
            <w:vAlign w:val="center"/>
            <w:hideMark/>
          </w:tcPr>
          <w:p w14:paraId="067ECE15" w14:textId="77777777" w:rsidR="00000000" w:rsidRDefault="00195E73">
            <w:pPr>
              <w:rPr>
                <w:rFonts w:eastAsia="Times New Roman"/>
                <w:sz w:val="20"/>
                <w:szCs w:val="20"/>
              </w:rPr>
            </w:pPr>
          </w:p>
        </w:tc>
        <w:tc>
          <w:tcPr>
            <w:tcW w:w="0" w:type="auto"/>
            <w:vAlign w:val="center"/>
            <w:hideMark/>
          </w:tcPr>
          <w:p w14:paraId="49B4C06A" w14:textId="77777777" w:rsidR="00000000" w:rsidRDefault="00195E73">
            <w:pPr>
              <w:rPr>
                <w:rFonts w:eastAsia="Times New Roman"/>
                <w:sz w:val="20"/>
                <w:szCs w:val="20"/>
              </w:rPr>
            </w:pPr>
          </w:p>
        </w:tc>
        <w:tc>
          <w:tcPr>
            <w:tcW w:w="0" w:type="auto"/>
            <w:vAlign w:val="center"/>
            <w:hideMark/>
          </w:tcPr>
          <w:p w14:paraId="3646729B" w14:textId="77777777" w:rsidR="00000000" w:rsidRDefault="00195E73">
            <w:pPr>
              <w:rPr>
                <w:rFonts w:eastAsia="Times New Roman"/>
                <w:sz w:val="20"/>
                <w:szCs w:val="20"/>
              </w:rPr>
            </w:pPr>
          </w:p>
        </w:tc>
      </w:tr>
      <w:tr w:rsidR="00000000" w14:paraId="2BEC3434" w14:textId="77777777">
        <w:trPr>
          <w:divId w:val="2059157907"/>
          <w:jc w:val="center"/>
        </w:trPr>
        <w:tc>
          <w:tcPr>
            <w:tcW w:w="0" w:type="auto"/>
            <w:gridSpan w:val="3"/>
            <w:shd w:val="clear" w:color="auto" w:fill="CCEEFF"/>
            <w:tcMar>
              <w:top w:w="30" w:type="dxa"/>
              <w:left w:w="20" w:type="dxa"/>
              <w:bottom w:w="30" w:type="dxa"/>
              <w:right w:w="20" w:type="dxa"/>
            </w:tcMar>
            <w:vAlign w:val="bottom"/>
            <w:hideMark/>
          </w:tcPr>
          <w:p w14:paraId="009F1DF9" w14:textId="77777777" w:rsidR="00000000" w:rsidRDefault="00195E73">
            <w:pPr>
              <w:rPr>
                <w:rFonts w:eastAsia="Times New Roman"/>
              </w:rPr>
            </w:pPr>
            <w:r>
              <w:rPr>
                <w:rFonts w:eastAsia="Times New Roman"/>
                <w:color w:val="000000"/>
                <w:sz w:val="20"/>
                <w:szCs w:val="20"/>
              </w:rPr>
              <w:t>6.250% senior unsecured notes due 202</w:t>
            </w:r>
            <w:r>
              <w:rPr>
                <w:rFonts w:eastAsia="Times New Roman"/>
                <w:color w:val="000000"/>
                <w:sz w:val="20"/>
                <w:szCs w:val="20"/>
              </w:rPr>
              <w:t>2</w:t>
            </w:r>
          </w:p>
        </w:tc>
        <w:tc>
          <w:tcPr>
            <w:tcW w:w="0" w:type="auto"/>
            <w:gridSpan w:val="2"/>
            <w:shd w:val="clear" w:color="auto" w:fill="CCEEFF"/>
            <w:tcMar>
              <w:top w:w="30" w:type="dxa"/>
              <w:left w:w="20" w:type="dxa"/>
              <w:bottom w:w="30" w:type="dxa"/>
              <w:right w:w="0" w:type="dxa"/>
            </w:tcMar>
            <w:vAlign w:val="bottom"/>
            <w:hideMark/>
          </w:tcPr>
          <w:p w14:paraId="734D76FA" w14:textId="77777777" w:rsidR="00000000" w:rsidRDefault="00195E73">
            <w:pPr>
              <w:jc w:val="right"/>
              <w:rPr>
                <w:rFonts w:eastAsia="Times New Roman"/>
              </w:rPr>
            </w:pPr>
            <w:r>
              <w:rPr>
                <w:rFonts w:eastAsia="Times New Roman"/>
                <w:color w:val="000000"/>
                <w:sz w:val="20"/>
                <w:szCs w:val="20"/>
              </w:rPr>
              <w:t>1,211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DDA446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97E812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2E74E3" w14:textId="77777777" w:rsidR="00000000" w:rsidRDefault="00195E73">
            <w:pPr>
              <w:jc w:val="right"/>
              <w:rPr>
                <w:rFonts w:eastAsia="Times New Roman"/>
              </w:rPr>
            </w:pPr>
            <w:r>
              <w:rPr>
                <w:rFonts w:eastAsia="Times New Roman"/>
                <w:color w:val="000000"/>
                <w:sz w:val="20"/>
                <w:szCs w:val="20"/>
              </w:rPr>
              <w:t>1,213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24704A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9895800" w14:textId="77777777" w:rsidR="00000000" w:rsidRDefault="00195E73">
            <w:pPr>
              <w:rPr>
                <w:rFonts w:eastAsia="Times New Roman"/>
                <w:sz w:val="20"/>
                <w:szCs w:val="20"/>
              </w:rPr>
            </w:pPr>
          </w:p>
        </w:tc>
        <w:tc>
          <w:tcPr>
            <w:tcW w:w="0" w:type="auto"/>
            <w:vAlign w:val="center"/>
            <w:hideMark/>
          </w:tcPr>
          <w:p w14:paraId="4501C4BA" w14:textId="77777777" w:rsidR="00000000" w:rsidRDefault="00195E73">
            <w:pPr>
              <w:rPr>
                <w:rFonts w:eastAsia="Times New Roman"/>
                <w:sz w:val="20"/>
                <w:szCs w:val="20"/>
              </w:rPr>
            </w:pPr>
          </w:p>
        </w:tc>
        <w:tc>
          <w:tcPr>
            <w:tcW w:w="0" w:type="auto"/>
            <w:vAlign w:val="center"/>
            <w:hideMark/>
          </w:tcPr>
          <w:p w14:paraId="6FE4ED68" w14:textId="77777777" w:rsidR="00000000" w:rsidRDefault="00195E73">
            <w:pPr>
              <w:rPr>
                <w:rFonts w:eastAsia="Times New Roman"/>
                <w:sz w:val="20"/>
                <w:szCs w:val="20"/>
              </w:rPr>
            </w:pPr>
          </w:p>
        </w:tc>
        <w:tc>
          <w:tcPr>
            <w:tcW w:w="0" w:type="auto"/>
            <w:vAlign w:val="center"/>
            <w:hideMark/>
          </w:tcPr>
          <w:p w14:paraId="3C74A6D1" w14:textId="77777777" w:rsidR="00000000" w:rsidRDefault="00195E73">
            <w:pPr>
              <w:rPr>
                <w:rFonts w:eastAsia="Times New Roman"/>
                <w:sz w:val="20"/>
                <w:szCs w:val="20"/>
              </w:rPr>
            </w:pPr>
          </w:p>
        </w:tc>
        <w:tc>
          <w:tcPr>
            <w:tcW w:w="0" w:type="auto"/>
            <w:vAlign w:val="center"/>
            <w:hideMark/>
          </w:tcPr>
          <w:p w14:paraId="62307977" w14:textId="77777777" w:rsidR="00000000" w:rsidRDefault="00195E73">
            <w:pPr>
              <w:rPr>
                <w:rFonts w:eastAsia="Times New Roman"/>
                <w:sz w:val="20"/>
                <w:szCs w:val="20"/>
              </w:rPr>
            </w:pPr>
          </w:p>
        </w:tc>
        <w:tc>
          <w:tcPr>
            <w:tcW w:w="0" w:type="auto"/>
            <w:vAlign w:val="center"/>
            <w:hideMark/>
          </w:tcPr>
          <w:p w14:paraId="78B0A664" w14:textId="77777777" w:rsidR="00000000" w:rsidRDefault="00195E73">
            <w:pPr>
              <w:rPr>
                <w:rFonts w:eastAsia="Times New Roman"/>
                <w:sz w:val="20"/>
                <w:szCs w:val="20"/>
              </w:rPr>
            </w:pPr>
          </w:p>
        </w:tc>
      </w:tr>
      <w:tr w:rsidR="00000000" w14:paraId="7D493A0E" w14:textId="77777777">
        <w:trPr>
          <w:divId w:val="2059157907"/>
          <w:jc w:val="center"/>
        </w:trPr>
        <w:tc>
          <w:tcPr>
            <w:tcW w:w="0" w:type="auto"/>
            <w:gridSpan w:val="3"/>
            <w:shd w:val="clear" w:color="auto" w:fill="FFFFFF"/>
            <w:tcMar>
              <w:top w:w="30" w:type="dxa"/>
              <w:left w:w="20" w:type="dxa"/>
              <w:bottom w:w="30" w:type="dxa"/>
              <w:right w:w="20" w:type="dxa"/>
            </w:tcMar>
            <w:vAlign w:val="bottom"/>
            <w:hideMark/>
          </w:tcPr>
          <w:p w14:paraId="1F9B7BB2" w14:textId="77777777" w:rsidR="00000000" w:rsidRDefault="00195E73">
            <w:pPr>
              <w:rPr>
                <w:rFonts w:eastAsia="Times New Roman"/>
              </w:rPr>
            </w:pPr>
            <w:r>
              <w:rPr>
                <w:rFonts w:eastAsia="Times New Roman"/>
                <w:color w:val="000000"/>
                <w:sz w:val="20"/>
                <w:szCs w:val="20"/>
              </w:rPr>
              <w:t>6.750% senior unsecured notes due 202</w:t>
            </w:r>
            <w:r>
              <w:rPr>
                <w:rFonts w:eastAsia="Times New Roman"/>
                <w:color w:val="000000"/>
                <w:sz w:val="20"/>
                <w:szCs w:val="20"/>
              </w:rPr>
              <w:t>4</w:t>
            </w:r>
          </w:p>
        </w:tc>
        <w:tc>
          <w:tcPr>
            <w:tcW w:w="0" w:type="auto"/>
            <w:gridSpan w:val="2"/>
            <w:shd w:val="clear" w:color="auto" w:fill="FFFFFF"/>
            <w:tcMar>
              <w:top w:w="30" w:type="dxa"/>
              <w:left w:w="20" w:type="dxa"/>
              <w:bottom w:w="30" w:type="dxa"/>
              <w:right w:w="0" w:type="dxa"/>
            </w:tcMar>
            <w:vAlign w:val="bottom"/>
            <w:hideMark/>
          </w:tcPr>
          <w:p w14:paraId="2AE5161C" w14:textId="77777777" w:rsidR="00000000" w:rsidRDefault="00195E73">
            <w:pPr>
              <w:jc w:val="right"/>
              <w:rPr>
                <w:rFonts w:eastAsia="Times New Roman"/>
              </w:rPr>
            </w:pPr>
            <w:r>
              <w:rPr>
                <w:rFonts w:eastAsia="Times New Roman"/>
                <w:color w:val="000000"/>
                <w:sz w:val="20"/>
                <w:szCs w:val="20"/>
              </w:rPr>
              <w:t>498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18DFDB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F4B7BF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DFCA28" w14:textId="77777777" w:rsidR="00000000" w:rsidRDefault="00195E73">
            <w:pPr>
              <w:jc w:val="right"/>
              <w:rPr>
                <w:rFonts w:eastAsia="Times New Roman"/>
              </w:rPr>
            </w:pPr>
            <w:r>
              <w:rPr>
                <w:rFonts w:eastAsia="Times New Roman"/>
                <w:color w:val="000000"/>
                <w:sz w:val="20"/>
                <w:szCs w:val="20"/>
              </w:rPr>
              <w:t>498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D5B646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627B7A3" w14:textId="77777777" w:rsidR="00000000" w:rsidRDefault="00195E73">
            <w:pPr>
              <w:rPr>
                <w:rFonts w:eastAsia="Times New Roman"/>
                <w:sz w:val="20"/>
                <w:szCs w:val="20"/>
              </w:rPr>
            </w:pPr>
          </w:p>
        </w:tc>
        <w:tc>
          <w:tcPr>
            <w:tcW w:w="0" w:type="auto"/>
            <w:vAlign w:val="center"/>
            <w:hideMark/>
          </w:tcPr>
          <w:p w14:paraId="3CBC9120" w14:textId="77777777" w:rsidR="00000000" w:rsidRDefault="00195E73">
            <w:pPr>
              <w:rPr>
                <w:rFonts w:eastAsia="Times New Roman"/>
                <w:sz w:val="20"/>
                <w:szCs w:val="20"/>
              </w:rPr>
            </w:pPr>
          </w:p>
        </w:tc>
        <w:tc>
          <w:tcPr>
            <w:tcW w:w="0" w:type="auto"/>
            <w:vAlign w:val="center"/>
            <w:hideMark/>
          </w:tcPr>
          <w:p w14:paraId="29185936" w14:textId="77777777" w:rsidR="00000000" w:rsidRDefault="00195E73">
            <w:pPr>
              <w:rPr>
                <w:rFonts w:eastAsia="Times New Roman"/>
                <w:sz w:val="20"/>
                <w:szCs w:val="20"/>
              </w:rPr>
            </w:pPr>
          </w:p>
        </w:tc>
        <w:tc>
          <w:tcPr>
            <w:tcW w:w="0" w:type="auto"/>
            <w:vAlign w:val="center"/>
            <w:hideMark/>
          </w:tcPr>
          <w:p w14:paraId="26232544" w14:textId="77777777" w:rsidR="00000000" w:rsidRDefault="00195E73">
            <w:pPr>
              <w:rPr>
                <w:rFonts w:eastAsia="Times New Roman"/>
                <w:sz w:val="20"/>
                <w:szCs w:val="20"/>
              </w:rPr>
            </w:pPr>
          </w:p>
        </w:tc>
        <w:tc>
          <w:tcPr>
            <w:tcW w:w="0" w:type="auto"/>
            <w:vAlign w:val="center"/>
            <w:hideMark/>
          </w:tcPr>
          <w:p w14:paraId="2D596178" w14:textId="77777777" w:rsidR="00000000" w:rsidRDefault="00195E73">
            <w:pPr>
              <w:rPr>
                <w:rFonts w:eastAsia="Times New Roman"/>
                <w:sz w:val="20"/>
                <w:szCs w:val="20"/>
              </w:rPr>
            </w:pPr>
          </w:p>
        </w:tc>
        <w:tc>
          <w:tcPr>
            <w:tcW w:w="0" w:type="auto"/>
            <w:vAlign w:val="center"/>
            <w:hideMark/>
          </w:tcPr>
          <w:p w14:paraId="58FD022C" w14:textId="77777777" w:rsidR="00000000" w:rsidRDefault="00195E73">
            <w:pPr>
              <w:rPr>
                <w:rFonts w:eastAsia="Times New Roman"/>
                <w:sz w:val="20"/>
                <w:szCs w:val="20"/>
              </w:rPr>
            </w:pPr>
          </w:p>
        </w:tc>
      </w:tr>
      <w:tr w:rsidR="00000000" w14:paraId="20878B05" w14:textId="77777777">
        <w:trPr>
          <w:divId w:val="2059157907"/>
          <w:jc w:val="center"/>
        </w:trPr>
        <w:tc>
          <w:tcPr>
            <w:tcW w:w="0" w:type="auto"/>
            <w:gridSpan w:val="3"/>
            <w:shd w:val="clear" w:color="auto" w:fill="CCEEFF"/>
            <w:tcMar>
              <w:top w:w="30" w:type="dxa"/>
              <w:left w:w="20" w:type="dxa"/>
              <w:bottom w:w="30" w:type="dxa"/>
              <w:right w:w="20" w:type="dxa"/>
            </w:tcMar>
            <w:vAlign w:val="bottom"/>
            <w:hideMark/>
          </w:tcPr>
          <w:p w14:paraId="7D4536C0" w14:textId="77777777" w:rsidR="00000000" w:rsidRDefault="00195E73">
            <w:pPr>
              <w:rPr>
                <w:rFonts w:eastAsia="Times New Roman"/>
              </w:rPr>
            </w:pPr>
            <w:r>
              <w:rPr>
                <w:rFonts w:eastAsia="Times New Roman"/>
                <w:color w:val="000000"/>
                <w:sz w:val="20"/>
                <w:szCs w:val="20"/>
              </w:rPr>
              <w:t>4.750% senior unsecured notes due 202</w:t>
            </w:r>
            <w:r>
              <w:rPr>
                <w:rFonts w:eastAsia="Times New Roman"/>
                <w:color w:val="000000"/>
                <w:sz w:val="20"/>
                <w:szCs w:val="20"/>
              </w:rPr>
              <w:t>4</w:t>
            </w:r>
          </w:p>
        </w:tc>
        <w:tc>
          <w:tcPr>
            <w:tcW w:w="0" w:type="auto"/>
            <w:gridSpan w:val="2"/>
            <w:shd w:val="clear" w:color="auto" w:fill="CCEEFF"/>
            <w:tcMar>
              <w:top w:w="30" w:type="dxa"/>
              <w:left w:w="20" w:type="dxa"/>
              <w:bottom w:w="30" w:type="dxa"/>
              <w:right w:w="0" w:type="dxa"/>
            </w:tcMar>
            <w:vAlign w:val="bottom"/>
            <w:hideMark/>
          </w:tcPr>
          <w:p w14:paraId="635253C4" w14:textId="77777777" w:rsidR="00000000" w:rsidRDefault="00195E73">
            <w:pPr>
              <w:jc w:val="right"/>
              <w:rPr>
                <w:rFonts w:eastAsia="Times New Roman"/>
              </w:rPr>
            </w:pPr>
            <w:r>
              <w:rPr>
                <w:rFonts w:eastAsia="Times New Roman"/>
                <w:color w:val="000000"/>
                <w:sz w:val="20"/>
                <w:szCs w:val="20"/>
              </w:rPr>
              <w:t>498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864755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0F5B2F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DE8D76"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E5AD7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63CF158" w14:textId="77777777" w:rsidR="00000000" w:rsidRDefault="00195E73">
            <w:pPr>
              <w:rPr>
                <w:rFonts w:eastAsia="Times New Roman"/>
                <w:sz w:val="20"/>
                <w:szCs w:val="20"/>
              </w:rPr>
            </w:pPr>
          </w:p>
        </w:tc>
        <w:tc>
          <w:tcPr>
            <w:tcW w:w="0" w:type="auto"/>
            <w:vAlign w:val="center"/>
            <w:hideMark/>
          </w:tcPr>
          <w:p w14:paraId="0B039683" w14:textId="77777777" w:rsidR="00000000" w:rsidRDefault="00195E73">
            <w:pPr>
              <w:rPr>
                <w:rFonts w:eastAsia="Times New Roman"/>
                <w:sz w:val="20"/>
                <w:szCs w:val="20"/>
              </w:rPr>
            </w:pPr>
          </w:p>
        </w:tc>
        <w:tc>
          <w:tcPr>
            <w:tcW w:w="0" w:type="auto"/>
            <w:vAlign w:val="center"/>
            <w:hideMark/>
          </w:tcPr>
          <w:p w14:paraId="23B1D564" w14:textId="77777777" w:rsidR="00000000" w:rsidRDefault="00195E73">
            <w:pPr>
              <w:rPr>
                <w:rFonts w:eastAsia="Times New Roman"/>
                <w:sz w:val="20"/>
                <w:szCs w:val="20"/>
              </w:rPr>
            </w:pPr>
          </w:p>
        </w:tc>
        <w:tc>
          <w:tcPr>
            <w:tcW w:w="0" w:type="auto"/>
            <w:vAlign w:val="center"/>
            <w:hideMark/>
          </w:tcPr>
          <w:p w14:paraId="785420D6" w14:textId="77777777" w:rsidR="00000000" w:rsidRDefault="00195E73">
            <w:pPr>
              <w:rPr>
                <w:rFonts w:eastAsia="Times New Roman"/>
                <w:sz w:val="20"/>
                <w:szCs w:val="20"/>
              </w:rPr>
            </w:pPr>
          </w:p>
        </w:tc>
        <w:tc>
          <w:tcPr>
            <w:tcW w:w="0" w:type="auto"/>
            <w:vAlign w:val="center"/>
            <w:hideMark/>
          </w:tcPr>
          <w:p w14:paraId="4E7CA4D5" w14:textId="77777777" w:rsidR="00000000" w:rsidRDefault="00195E73">
            <w:pPr>
              <w:rPr>
                <w:rFonts w:eastAsia="Times New Roman"/>
                <w:sz w:val="20"/>
                <w:szCs w:val="20"/>
              </w:rPr>
            </w:pPr>
          </w:p>
        </w:tc>
        <w:tc>
          <w:tcPr>
            <w:tcW w:w="0" w:type="auto"/>
            <w:vAlign w:val="center"/>
            <w:hideMark/>
          </w:tcPr>
          <w:p w14:paraId="1ECC5938" w14:textId="77777777" w:rsidR="00000000" w:rsidRDefault="00195E73">
            <w:pPr>
              <w:rPr>
                <w:rFonts w:eastAsia="Times New Roman"/>
                <w:sz w:val="20"/>
                <w:szCs w:val="20"/>
              </w:rPr>
            </w:pPr>
          </w:p>
        </w:tc>
      </w:tr>
      <w:tr w:rsidR="00000000" w14:paraId="7DB13898" w14:textId="77777777">
        <w:trPr>
          <w:divId w:val="2059157907"/>
          <w:jc w:val="center"/>
        </w:trPr>
        <w:tc>
          <w:tcPr>
            <w:tcW w:w="0" w:type="auto"/>
            <w:gridSpan w:val="3"/>
            <w:shd w:val="clear" w:color="auto" w:fill="FFFFFF"/>
            <w:tcMar>
              <w:top w:w="30" w:type="dxa"/>
              <w:left w:w="20" w:type="dxa"/>
              <w:bottom w:w="30" w:type="dxa"/>
              <w:right w:w="20" w:type="dxa"/>
            </w:tcMar>
            <w:vAlign w:val="bottom"/>
            <w:hideMark/>
          </w:tcPr>
          <w:p w14:paraId="0AECF1D9" w14:textId="77777777" w:rsidR="00000000" w:rsidRDefault="00195E73">
            <w:pPr>
              <w:rPr>
                <w:rFonts w:eastAsia="Times New Roman"/>
              </w:rPr>
            </w:pPr>
            <w:r>
              <w:rPr>
                <w:rFonts w:eastAsia="Times New Roman"/>
                <w:color w:val="000000"/>
                <w:sz w:val="20"/>
                <w:szCs w:val="20"/>
              </w:rPr>
              <w:t>6.375% senior unsecured notes due 202</w:t>
            </w:r>
            <w:r>
              <w:rPr>
                <w:rFonts w:eastAsia="Times New Roman"/>
                <w:color w:val="000000"/>
                <w:sz w:val="20"/>
                <w:szCs w:val="20"/>
              </w:rPr>
              <w:t>5</w:t>
            </w:r>
          </w:p>
        </w:tc>
        <w:tc>
          <w:tcPr>
            <w:tcW w:w="0" w:type="auto"/>
            <w:gridSpan w:val="2"/>
            <w:shd w:val="clear" w:color="auto" w:fill="FFFFFF"/>
            <w:tcMar>
              <w:top w:w="30" w:type="dxa"/>
              <w:left w:w="20" w:type="dxa"/>
              <w:bottom w:w="30" w:type="dxa"/>
              <w:right w:w="0" w:type="dxa"/>
            </w:tcMar>
            <w:vAlign w:val="bottom"/>
            <w:hideMark/>
          </w:tcPr>
          <w:p w14:paraId="3F06B9B2" w14:textId="77777777" w:rsidR="00000000" w:rsidRDefault="00195E73">
            <w:pPr>
              <w:jc w:val="right"/>
              <w:rPr>
                <w:rFonts w:eastAsia="Times New Roman"/>
              </w:rPr>
            </w:pPr>
            <w:r>
              <w:rPr>
                <w:rFonts w:eastAsia="Times New Roman"/>
                <w:color w:val="000000"/>
                <w:sz w:val="20"/>
                <w:szCs w:val="20"/>
              </w:rPr>
              <w:t>748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00EAD6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E1FADD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5D3EB8" w14:textId="77777777" w:rsidR="00000000" w:rsidRDefault="00195E73">
            <w:pPr>
              <w:jc w:val="right"/>
              <w:rPr>
                <w:rFonts w:eastAsia="Times New Roman"/>
              </w:rPr>
            </w:pPr>
            <w:r>
              <w:rPr>
                <w:rFonts w:eastAsia="Times New Roman"/>
                <w:color w:val="000000"/>
                <w:sz w:val="20"/>
                <w:szCs w:val="20"/>
              </w:rPr>
              <w:t>748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43BD4A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659491C" w14:textId="77777777" w:rsidR="00000000" w:rsidRDefault="00195E73">
            <w:pPr>
              <w:rPr>
                <w:rFonts w:eastAsia="Times New Roman"/>
                <w:sz w:val="20"/>
                <w:szCs w:val="20"/>
              </w:rPr>
            </w:pPr>
          </w:p>
        </w:tc>
        <w:tc>
          <w:tcPr>
            <w:tcW w:w="0" w:type="auto"/>
            <w:vAlign w:val="center"/>
            <w:hideMark/>
          </w:tcPr>
          <w:p w14:paraId="2A566D1F" w14:textId="77777777" w:rsidR="00000000" w:rsidRDefault="00195E73">
            <w:pPr>
              <w:rPr>
                <w:rFonts w:eastAsia="Times New Roman"/>
                <w:sz w:val="20"/>
                <w:szCs w:val="20"/>
              </w:rPr>
            </w:pPr>
          </w:p>
        </w:tc>
        <w:tc>
          <w:tcPr>
            <w:tcW w:w="0" w:type="auto"/>
            <w:vAlign w:val="center"/>
            <w:hideMark/>
          </w:tcPr>
          <w:p w14:paraId="50A50FB5" w14:textId="77777777" w:rsidR="00000000" w:rsidRDefault="00195E73">
            <w:pPr>
              <w:rPr>
                <w:rFonts w:eastAsia="Times New Roman"/>
                <w:sz w:val="20"/>
                <w:szCs w:val="20"/>
              </w:rPr>
            </w:pPr>
          </w:p>
        </w:tc>
        <w:tc>
          <w:tcPr>
            <w:tcW w:w="0" w:type="auto"/>
            <w:vAlign w:val="center"/>
            <w:hideMark/>
          </w:tcPr>
          <w:p w14:paraId="67587D99" w14:textId="77777777" w:rsidR="00000000" w:rsidRDefault="00195E73">
            <w:pPr>
              <w:rPr>
                <w:rFonts w:eastAsia="Times New Roman"/>
                <w:sz w:val="20"/>
                <w:szCs w:val="20"/>
              </w:rPr>
            </w:pPr>
          </w:p>
        </w:tc>
        <w:tc>
          <w:tcPr>
            <w:tcW w:w="0" w:type="auto"/>
            <w:vAlign w:val="center"/>
            <w:hideMark/>
          </w:tcPr>
          <w:p w14:paraId="48D75789" w14:textId="77777777" w:rsidR="00000000" w:rsidRDefault="00195E73">
            <w:pPr>
              <w:rPr>
                <w:rFonts w:eastAsia="Times New Roman"/>
                <w:sz w:val="20"/>
                <w:szCs w:val="20"/>
              </w:rPr>
            </w:pPr>
          </w:p>
        </w:tc>
        <w:tc>
          <w:tcPr>
            <w:tcW w:w="0" w:type="auto"/>
            <w:vAlign w:val="center"/>
            <w:hideMark/>
          </w:tcPr>
          <w:p w14:paraId="0845ED67" w14:textId="77777777" w:rsidR="00000000" w:rsidRDefault="00195E73">
            <w:pPr>
              <w:rPr>
                <w:rFonts w:eastAsia="Times New Roman"/>
                <w:sz w:val="20"/>
                <w:szCs w:val="20"/>
              </w:rPr>
            </w:pPr>
          </w:p>
        </w:tc>
      </w:tr>
      <w:tr w:rsidR="00000000" w14:paraId="085FDE4F" w14:textId="77777777">
        <w:trPr>
          <w:divId w:val="2059157907"/>
          <w:jc w:val="center"/>
        </w:trPr>
        <w:tc>
          <w:tcPr>
            <w:tcW w:w="0" w:type="auto"/>
            <w:gridSpan w:val="3"/>
            <w:shd w:val="clear" w:color="auto" w:fill="CCEEFF"/>
            <w:tcMar>
              <w:top w:w="30" w:type="dxa"/>
              <w:left w:w="20" w:type="dxa"/>
              <w:bottom w:w="30" w:type="dxa"/>
              <w:right w:w="20" w:type="dxa"/>
            </w:tcMar>
            <w:vAlign w:val="bottom"/>
            <w:hideMark/>
          </w:tcPr>
          <w:p w14:paraId="12D5178F" w14:textId="77777777" w:rsidR="00000000" w:rsidRDefault="00195E73">
            <w:pPr>
              <w:rPr>
                <w:rFonts w:eastAsia="Times New Roman"/>
              </w:rPr>
            </w:pPr>
            <w:r>
              <w:rPr>
                <w:rFonts w:eastAsia="Times New Roman"/>
                <w:color w:val="000000"/>
                <w:sz w:val="20"/>
                <w:szCs w:val="20"/>
              </w:rPr>
              <w:t>6.250% senior unsecured notes due 202</w:t>
            </w:r>
            <w:r>
              <w:rPr>
                <w:rFonts w:eastAsia="Times New Roman"/>
                <w:color w:val="000000"/>
                <w:sz w:val="20"/>
                <w:szCs w:val="20"/>
              </w:rPr>
              <w:t>6</w:t>
            </w:r>
          </w:p>
        </w:tc>
        <w:tc>
          <w:tcPr>
            <w:tcW w:w="0" w:type="auto"/>
            <w:gridSpan w:val="2"/>
            <w:shd w:val="clear" w:color="auto" w:fill="CCEEFF"/>
            <w:tcMar>
              <w:top w:w="30" w:type="dxa"/>
              <w:left w:w="20" w:type="dxa"/>
              <w:bottom w:w="30" w:type="dxa"/>
              <w:right w:w="0" w:type="dxa"/>
            </w:tcMar>
            <w:vAlign w:val="bottom"/>
            <w:hideMark/>
          </w:tcPr>
          <w:p w14:paraId="13F571A3" w14:textId="77777777" w:rsidR="00000000" w:rsidRDefault="00195E73">
            <w:pPr>
              <w:jc w:val="right"/>
              <w:rPr>
                <w:rFonts w:eastAsia="Times New Roman"/>
              </w:rPr>
            </w:pPr>
            <w:r>
              <w:rPr>
                <w:rFonts w:eastAsia="Times New Roman"/>
                <w:color w:val="000000"/>
                <w:sz w:val="20"/>
                <w:szCs w:val="20"/>
              </w:rPr>
              <w:t>1,250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A1545E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D27273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17B488"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275998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4908F64" w14:textId="77777777" w:rsidR="00000000" w:rsidRDefault="00195E73">
            <w:pPr>
              <w:rPr>
                <w:rFonts w:eastAsia="Times New Roman"/>
                <w:sz w:val="20"/>
                <w:szCs w:val="20"/>
              </w:rPr>
            </w:pPr>
          </w:p>
        </w:tc>
        <w:tc>
          <w:tcPr>
            <w:tcW w:w="0" w:type="auto"/>
            <w:vAlign w:val="center"/>
            <w:hideMark/>
          </w:tcPr>
          <w:p w14:paraId="58D9A8CC" w14:textId="77777777" w:rsidR="00000000" w:rsidRDefault="00195E73">
            <w:pPr>
              <w:rPr>
                <w:rFonts w:eastAsia="Times New Roman"/>
                <w:sz w:val="20"/>
                <w:szCs w:val="20"/>
              </w:rPr>
            </w:pPr>
          </w:p>
        </w:tc>
        <w:tc>
          <w:tcPr>
            <w:tcW w:w="0" w:type="auto"/>
            <w:vAlign w:val="center"/>
            <w:hideMark/>
          </w:tcPr>
          <w:p w14:paraId="312D802A" w14:textId="77777777" w:rsidR="00000000" w:rsidRDefault="00195E73">
            <w:pPr>
              <w:rPr>
                <w:rFonts w:eastAsia="Times New Roman"/>
                <w:sz w:val="20"/>
                <w:szCs w:val="20"/>
              </w:rPr>
            </w:pPr>
          </w:p>
        </w:tc>
        <w:tc>
          <w:tcPr>
            <w:tcW w:w="0" w:type="auto"/>
            <w:vAlign w:val="center"/>
            <w:hideMark/>
          </w:tcPr>
          <w:p w14:paraId="399A8DDF" w14:textId="77777777" w:rsidR="00000000" w:rsidRDefault="00195E73">
            <w:pPr>
              <w:rPr>
                <w:rFonts w:eastAsia="Times New Roman"/>
                <w:sz w:val="20"/>
                <w:szCs w:val="20"/>
              </w:rPr>
            </w:pPr>
          </w:p>
        </w:tc>
        <w:tc>
          <w:tcPr>
            <w:tcW w:w="0" w:type="auto"/>
            <w:vAlign w:val="center"/>
            <w:hideMark/>
          </w:tcPr>
          <w:p w14:paraId="794169D7" w14:textId="77777777" w:rsidR="00000000" w:rsidRDefault="00195E73">
            <w:pPr>
              <w:rPr>
                <w:rFonts w:eastAsia="Times New Roman"/>
                <w:sz w:val="20"/>
                <w:szCs w:val="20"/>
              </w:rPr>
            </w:pPr>
          </w:p>
        </w:tc>
        <w:tc>
          <w:tcPr>
            <w:tcW w:w="0" w:type="auto"/>
            <w:vAlign w:val="center"/>
            <w:hideMark/>
          </w:tcPr>
          <w:p w14:paraId="5D866865" w14:textId="77777777" w:rsidR="00000000" w:rsidRDefault="00195E73">
            <w:pPr>
              <w:rPr>
                <w:rFonts w:eastAsia="Times New Roman"/>
                <w:sz w:val="20"/>
                <w:szCs w:val="20"/>
              </w:rPr>
            </w:pPr>
          </w:p>
        </w:tc>
      </w:tr>
      <w:tr w:rsidR="00000000" w14:paraId="03CCBFA9" w14:textId="77777777">
        <w:trPr>
          <w:divId w:val="2059157907"/>
          <w:jc w:val="center"/>
        </w:trPr>
        <w:tc>
          <w:tcPr>
            <w:tcW w:w="0" w:type="auto"/>
            <w:gridSpan w:val="3"/>
            <w:shd w:val="clear" w:color="auto" w:fill="FFFFFF"/>
            <w:tcMar>
              <w:top w:w="30" w:type="dxa"/>
              <w:left w:w="20" w:type="dxa"/>
              <w:bottom w:w="30" w:type="dxa"/>
              <w:right w:w="20" w:type="dxa"/>
            </w:tcMar>
            <w:vAlign w:val="bottom"/>
            <w:hideMark/>
          </w:tcPr>
          <w:p w14:paraId="60E03A97" w14:textId="77777777" w:rsidR="00000000" w:rsidRDefault="00195E73">
            <w:pPr>
              <w:rPr>
                <w:rFonts w:eastAsia="Times New Roman"/>
              </w:rPr>
            </w:pPr>
            <w:r>
              <w:rPr>
                <w:rFonts w:eastAsia="Times New Roman"/>
                <w:color w:val="000000"/>
                <w:sz w:val="20"/>
                <w:szCs w:val="20"/>
              </w:rPr>
              <w:t>5.250% senior unsecured notes due 202</w:t>
            </w:r>
            <w:r>
              <w:rPr>
                <w:rFonts w:eastAsia="Times New Roman"/>
                <w:color w:val="000000"/>
                <w:sz w:val="20"/>
                <w:szCs w:val="20"/>
              </w:rPr>
              <w:t>7</w:t>
            </w:r>
          </w:p>
        </w:tc>
        <w:tc>
          <w:tcPr>
            <w:tcW w:w="0" w:type="auto"/>
            <w:gridSpan w:val="2"/>
            <w:shd w:val="clear" w:color="auto" w:fill="FFFFFF"/>
            <w:tcMar>
              <w:top w:w="30" w:type="dxa"/>
              <w:left w:w="20" w:type="dxa"/>
              <w:bottom w:w="30" w:type="dxa"/>
              <w:right w:w="0" w:type="dxa"/>
            </w:tcMar>
            <w:vAlign w:val="bottom"/>
            <w:hideMark/>
          </w:tcPr>
          <w:p w14:paraId="15348E0C" w14:textId="77777777" w:rsidR="00000000" w:rsidRDefault="00195E73">
            <w:pPr>
              <w:jc w:val="right"/>
              <w:rPr>
                <w:rFonts w:eastAsia="Times New Roman"/>
              </w:rPr>
            </w:pPr>
            <w:r>
              <w:rPr>
                <w:rFonts w:eastAsia="Times New Roman"/>
                <w:color w:val="000000"/>
                <w:sz w:val="20"/>
                <w:szCs w:val="20"/>
              </w:rPr>
              <w:t>747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C3A180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BB7E0A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32AEBA"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65EED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08761DB" w14:textId="77777777" w:rsidR="00000000" w:rsidRDefault="00195E73">
            <w:pPr>
              <w:rPr>
                <w:rFonts w:eastAsia="Times New Roman"/>
                <w:sz w:val="20"/>
                <w:szCs w:val="20"/>
              </w:rPr>
            </w:pPr>
          </w:p>
        </w:tc>
        <w:tc>
          <w:tcPr>
            <w:tcW w:w="0" w:type="auto"/>
            <w:vAlign w:val="center"/>
            <w:hideMark/>
          </w:tcPr>
          <w:p w14:paraId="64C1BC30" w14:textId="77777777" w:rsidR="00000000" w:rsidRDefault="00195E73">
            <w:pPr>
              <w:rPr>
                <w:rFonts w:eastAsia="Times New Roman"/>
                <w:sz w:val="20"/>
                <w:szCs w:val="20"/>
              </w:rPr>
            </w:pPr>
          </w:p>
        </w:tc>
        <w:tc>
          <w:tcPr>
            <w:tcW w:w="0" w:type="auto"/>
            <w:vAlign w:val="center"/>
            <w:hideMark/>
          </w:tcPr>
          <w:p w14:paraId="775D6F07" w14:textId="77777777" w:rsidR="00000000" w:rsidRDefault="00195E73">
            <w:pPr>
              <w:rPr>
                <w:rFonts w:eastAsia="Times New Roman"/>
                <w:sz w:val="20"/>
                <w:szCs w:val="20"/>
              </w:rPr>
            </w:pPr>
          </w:p>
        </w:tc>
        <w:tc>
          <w:tcPr>
            <w:tcW w:w="0" w:type="auto"/>
            <w:vAlign w:val="center"/>
            <w:hideMark/>
          </w:tcPr>
          <w:p w14:paraId="567952EE" w14:textId="77777777" w:rsidR="00000000" w:rsidRDefault="00195E73">
            <w:pPr>
              <w:rPr>
                <w:rFonts w:eastAsia="Times New Roman"/>
                <w:sz w:val="20"/>
                <w:szCs w:val="20"/>
              </w:rPr>
            </w:pPr>
          </w:p>
        </w:tc>
        <w:tc>
          <w:tcPr>
            <w:tcW w:w="0" w:type="auto"/>
            <w:vAlign w:val="center"/>
            <w:hideMark/>
          </w:tcPr>
          <w:p w14:paraId="076F6A2D" w14:textId="77777777" w:rsidR="00000000" w:rsidRDefault="00195E73">
            <w:pPr>
              <w:rPr>
                <w:rFonts w:eastAsia="Times New Roman"/>
                <w:sz w:val="20"/>
                <w:szCs w:val="20"/>
              </w:rPr>
            </w:pPr>
          </w:p>
        </w:tc>
        <w:tc>
          <w:tcPr>
            <w:tcW w:w="0" w:type="auto"/>
            <w:vAlign w:val="center"/>
            <w:hideMark/>
          </w:tcPr>
          <w:p w14:paraId="58490189" w14:textId="77777777" w:rsidR="00000000" w:rsidRDefault="00195E73">
            <w:pPr>
              <w:rPr>
                <w:rFonts w:eastAsia="Times New Roman"/>
                <w:sz w:val="20"/>
                <w:szCs w:val="20"/>
              </w:rPr>
            </w:pPr>
          </w:p>
        </w:tc>
      </w:tr>
      <w:tr w:rsidR="00000000" w14:paraId="7CA78FBB" w14:textId="77777777">
        <w:trPr>
          <w:divId w:val="2059157907"/>
          <w:jc w:val="center"/>
        </w:trPr>
        <w:tc>
          <w:tcPr>
            <w:tcW w:w="0" w:type="auto"/>
            <w:gridSpan w:val="3"/>
            <w:shd w:val="clear" w:color="auto" w:fill="CCEEFF"/>
            <w:tcMar>
              <w:top w:w="15" w:type="dxa"/>
              <w:left w:w="20" w:type="dxa"/>
              <w:bottom w:w="15" w:type="dxa"/>
              <w:right w:w="20" w:type="dxa"/>
            </w:tcMar>
            <w:vAlign w:val="bottom"/>
            <w:hideMark/>
          </w:tcPr>
          <w:p w14:paraId="60E17688"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8D2BD4" w14:textId="77777777" w:rsidR="00000000" w:rsidRDefault="00195E73">
            <w:pPr>
              <w:jc w:val="right"/>
              <w:rPr>
                <w:rFonts w:eastAsia="Times New Roman"/>
              </w:rPr>
            </w:pPr>
            <w:r>
              <w:rPr>
                <w:rFonts w:eastAsia="Times New Roman"/>
                <w:color w:val="000000"/>
                <w:sz w:val="20"/>
                <w:szCs w:val="20"/>
              </w:rPr>
              <w:t>6,297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6D7377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9787739"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82A431" w14:textId="77777777" w:rsidR="00000000" w:rsidRDefault="00195E73">
            <w:pPr>
              <w:jc w:val="right"/>
              <w:rPr>
                <w:rFonts w:eastAsia="Times New Roman"/>
              </w:rPr>
            </w:pPr>
            <w:r>
              <w:rPr>
                <w:rFonts w:eastAsia="Times New Roman"/>
                <w:color w:val="000000"/>
                <w:sz w:val="20"/>
                <w:szCs w:val="20"/>
              </w:rPr>
              <w:t>5,505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7E1C78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BAFD305" w14:textId="77777777" w:rsidR="00000000" w:rsidRDefault="00195E73">
            <w:pPr>
              <w:rPr>
                <w:rFonts w:eastAsia="Times New Roman"/>
                <w:sz w:val="20"/>
                <w:szCs w:val="20"/>
              </w:rPr>
            </w:pPr>
          </w:p>
        </w:tc>
        <w:tc>
          <w:tcPr>
            <w:tcW w:w="0" w:type="auto"/>
            <w:vAlign w:val="center"/>
            <w:hideMark/>
          </w:tcPr>
          <w:p w14:paraId="133F25FC" w14:textId="77777777" w:rsidR="00000000" w:rsidRDefault="00195E73">
            <w:pPr>
              <w:rPr>
                <w:rFonts w:eastAsia="Times New Roman"/>
                <w:sz w:val="20"/>
                <w:szCs w:val="20"/>
              </w:rPr>
            </w:pPr>
          </w:p>
        </w:tc>
        <w:tc>
          <w:tcPr>
            <w:tcW w:w="0" w:type="auto"/>
            <w:vAlign w:val="center"/>
            <w:hideMark/>
          </w:tcPr>
          <w:p w14:paraId="78A0ECBD" w14:textId="77777777" w:rsidR="00000000" w:rsidRDefault="00195E73">
            <w:pPr>
              <w:rPr>
                <w:rFonts w:eastAsia="Times New Roman"/>
                <w:sz w:val="20"/>
                <w:szCs w:val="20"/>
              </w:rPr>
            </w:pPr>
          </w:p>
        </w:tc>
        <w:tc>
          <w:tcPr>
            <w:tcW w:w="0" w:type="auto"/>
            <w:vAlign w:val="center"/>
            <w:hideMark/>
          </w:tcPr>
          <w:p w14:paraId="50A717B4" w14:textId="77777777" w:rsidR="00000000" w:rsidRDefault="00195E73">
            <w:pPr>
              <w:rPr>
                <w:rFonts w:eastAsia="Times New Roman"/>
                <w:sz w:val="20"/>
                <w:szCs w:val="20"/>
              </w:rPr>
            </w:pPr>
          </w:p>
        </w:tc>
        <w:tc>
          <w:tcPr>
            <w:tcW w:w="0" w:type="auto"/>
            <w:vAlign w:val="center"/>
            <w:hideMark/>
          </w:tcPr>
          <w:p w14:paraId="354536C6" w14:textId="77777777" w:rsidR="00000000" w:rsidRDefault="00195E73">
            <w:pPr>
              <w:rPr>
                <w:rFonts w:eastAsia="Times New Roman"/>
                <w:sz w:val="20"/>
                <w:szCs w:val="20"/>
              </w:rPr>
            </w:pPr>
          </w:p>
        </w:tc>
        <w:tc>
          <w:tcPr>
            <w:tcW w:w="0" w:type="auto"/>
            <w:vAlign w:val="center"/>
            <w:hideMark/>
          </w:tcPr>
          <w:p w14:paraId="3B53105D" w14:textId="77777777" w:rsidR="00000000" w:rsidRDefault="00195E73">
            <w:pPr>
              <w:rPr>
                <w:rFonts w:eastAsia="Times New Roman"/>
                <w:sz w:val="20"/>
                <w:szCs w:val="20"/>
              </w:rPr>
            </w:pPr>
          </w:p>
        </w:tc>
      </w:tr>
      <w:tr w:rsidR="00000000" w14:paraId="77D7F2B1" w14:textId="77777777">
        <w:trPr>
          <w:divId w:val="2059157907"/>
          <w:jc w:val="center"/>
        </w:trPr>
        <w:tc>
          <w:tcPr>
            <w:tcW w:w="0" w:type="auto"/>
            <w:gridSpan w:val="3"/>
            <w:shd w:val="clear" w:color="auto" w:fill="FFFFFF"/>
            <w:tcMar>
              <w:top w:w="30" w:type="dxa"/>
              <w:left w:w="20" w:type="dxa"/>
              <w:bottom w:w="30" w:type="dxa"/>
              <w:right w:w="20" w:type="dxa"/>
            </w:tcMar>
            <w:vAlign w:val="bottom"/>
            <w:hideMark/>
          </w:tcPr>
          <w:p w14:paraId="4341F1DE" w14:textId="77777777" w:rsidR="00000000" w:rsidRDefault="00195E73">
            <w:pPr>
              <w:ind w:hanging="180"/>
              <w:divId w:val="663513162"/>
              <w:rPr>
                <w:rFonts w:eastAsia="Times New Roman"/>
              </w:rPr>
            </w:pPr>
            <w:r>
              <w:rPr>
                <w:rFonts w:eastAsia="Times New Roman"/>
                <w:b/>
                <w:bCs/>
                <w:color w:val="000000"/>
                <w:sz w:val="20"/>
                <w:szCs w:val="20"/>
              </w:rPr>
              <w:t>Reporting Segments</w:t>
            </w:r>
            <w:r>
              <w:rPr>
                <w:rFonts w:eastAsia="Times New Roman"/>
                <w:b/>
                <w:bCs/>
                <w:color w:val="000000"/>
                <w:sz w:val="20"/>
                <w:szCs w:val="20"/>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53E8B215" w14:textId="77777777" w:rsidR="00000000" w:rsidRDefault="00195E73">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104A0B4"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4995E165" w14:textId="77777777" w:rsidR="00000000" w:rsidRDefault="00195E73">
            <w:pPr>
              <w:rPr>
                <w:rFonts w:eastAsia="Times New Roman"/>
                <w:sz w:val="20"/>
                <w:szCs w:val="20"/>
              </w:rPr>
            </w:pPr>
          </w:p>
        </w:tc>
        <w:tc>
          <w:tcPr>
            <w:tcW w:w="0" w:type="auto"/>
            <w:vAlign w:val="center"/>
            <w:hideMark/>
          </w:tcPr>
          <w:p w14:paraId="15F4CEE3" w14:textId="77777777" w:rsidR="00000000" w:rsidRDefault="00195E73">
            <w:pPr>
              <w:rPr>
                <w:rFonts w:eastAsia="Times New Roman"/>
                <w:sz w:val="20"/>
                <w:szCs w:val="20"/>
              </w:rPr>
            </w:pPr>
          </w:p>
        </w:tc>
        <w:tc>
          <w:tcPr>
            <w:tcW w:w="0" w:type="auto"/>
            <w:vAlign w:val="center"/>
            <w:hideMark/>
          </w:tcPr>
          <w:p w14:paraId="6BB1A338" w14:textId="77777777" w:rsidR="00000000" w:rsidRDefault="00195E73">
            <w:pPr>
              <w:rPr>
                <w:rFonts w:eastAsia="Times New Roman"/>
                <w:sz w:val="20"/>
                <w:szCs w:val="20"/>
              </w:rPr>
            </w:pPr>
          </w:p>
        </w:tc>
        <w:tc>
          <w:tcPr>
            <w:tcW w:w="0" w:type="auto"/>
            <w:vAlign w:val="center"/>
            <w:hideMark/>
          </w:tcPr>
          <w:p w14:paraId="18CF837F" w14:textId="77777777" w:rsidR="00000000" w:rsidRDefault="00195E73">
            <w:pPr>
              <w:rPr>
                <w:rFonts w:eastAsia="Times New Roman"/>
                <w:sz w:val="20"/>
                <w:szCs w:val="20"/>
              </w:rPr>
            </w:pPr>
          </w:p>
        </w:tc>
        <w:tc>
          <w:tcPr>
            <w:tcW w:w="0" w:type="auto"/>
            <w:vAlign w:val="center"/>
            <w:hideMark/>
          </w:tcPr>
          <w:p w14:paraId="6BF46531" w14:textId="77777777" w:rsidR="00000000" w:rsidRDefault="00195E73">
            <w:pPr>
              <w:rPr>
                <w:rFonts w:eastAsia="Times New Roman"/>
                <w:sz w:val="20"/>
                <w:szCs w:val="20"/>
              </w:rPr>
            </w:pPr>
          </w:p>
        </w:tc>
        <w:tc>
          <w:tcPr>
            <w:tcW w:w="0" w:type="auto"/>
            <w:vAlign w:val="center"/>
            <w:hideMark/>
          </w:tcPr>
          <w:p w14:paraId="19DB02A3" w14:textId="77777777" w:rsidR="00000000" w:rsidRDefault="00195E73">
            <w:pPr>
              <w:rPr>
                <w:rFonts w:eastAsia="Times New Roman"/>
                <w:sz w:val="20"/>
                <w:szCs w:val="20"/>
              </w:rPr>
            </w:pPr>
          </w:p>
        </w:tc>
        <w:tc>
          <w:tcPr>
            <w:tcW w:w="0" w:type="auto"/>
            <w:vAlign w:val="center"/>
            <w:hideMark/>
          </w:tcPr>
          <w:p w14:paraId="0200E82F" w14:textId="77777777" w:rsidR="00000000" w:rsidRDefault="00195E73">
            <w:pPr>
              <w:rPr>
                <w:rFonts w:eastAsia="Times New Roman"/>
                <w:sz w:val="20"/>
                <w:szCs w:val="20"/>
              </w:rPr>
            </w:pPr>
          </w:p>
        </w:tc>
      </w:tr>
      <w:tr w:rsidR="00000000" w14:paraId="33AD1F55" w14:textId="77777777">
        <w:trPr>
          <w:divId w:val="2059157907"/>
          <w:jc w:val="center"/>
        </w:trPr>
        <w:tc>
          <w:tcPr>
            <w:tcW w:w="0" w:type="auto"/>
            <w:gridSpan w:val="3"/>
            <w:shd w:val="clear" w:color="auto" w:fill="CCEEFF"/>
            <w:tcMar>
              <w:top w:w="30" w:type="dxa"/>
              <w:left w:w="20" w:type="dxa"/>
              <w:bottom w:w="30" w:type="dxa"/>
              <w:right w:w="20" w:type="dxa"/>
            </w:tcMar>
            <w:vAlign w:val="bottom"/>
            <w:hideMark/>
          </w:tcPr>
          <w:p w14:paraId="3286632B" w14:textId="77777777" w:rsidR="00000000" w:rsidRDefault="00195E73">
            <w:pPr>
              <w:ind w:hanging="180"/>
              <w:divId w:val="1981495964"/>
              <w:rPr>
                <w:rFonts w:eastAsia="Times New Roman"/>
              </w:rPr>
            </w:pPr>
            <w:r>
              <w:rPr>
                <w:rFonts w:eastAsia="Times New Roman"/>
                <w:color w:val="000000"/>
                <w:sz w:val="20"/>
                <w:szCs w:val="20"/>
              </w:rPr>
              <w:t>Energ</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6897448E" w14:textId="77777777" w:rsidR="00000000" w:rsidRDefault="00195E73">
            <w:pPr>
              <w:jc w:val="right"/>
              <w:rPr>
                <w:rFonts w:eastAsia="Times New Roman"/>
              </w:rPr>
            </w:pPr>
            <w:r>
              <w:rPr>
                <w:rFonts w:eastAsia="Times New Roman"/>
                <w:color w:val="000000"/>
                <w:sz w:val="20"/>
                <w:szCs w:val="20"/>
              </w:rPr>
              <w:t>1,195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E2DF6E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666E7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A87D95" w14:textId="77777777" w:rsidR="00000000" w:rsidRDefault="00195E73">
            <w:pPr>
              <w:jc w:val="right"/>
              <w:rPr>
                <w:rFonts w:eastAsia="Times New Roman"/>
              </w:rPr>
            </w:pPr>
            <w:r>
              <w:rPr>
                <w:rFonts w:eastAsia="Times New Roman"/>
                <w:color w:val="000000"/>
                <w:sz w:val="20"/>
                <w:szCs w:val="20"/>
              </w:rPr>
              <w:t>1,170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2E6995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39675A0" w14:textId="77777777" w:rsidR="00000000" w:rsidRDefault="00195E73">
            <w:pPr>
              <w:rPr>
                <w:rFonts w:eastAsia="Times New Roman"/>
                <w:sz w:val="20"/>
                <w:szCs w:val="20"/>
              </w:rPr>
            </w:pPr>
          </w:p>
        </w:tc>
        <w:tc>
          <w:tcPr>
            <w:tcW w:w="0" w:type="auto"/>
            <w:vAlign w:val="center"/>
            <w:hideMark/>
          </w:tcPr>
          <w:p w14:paraId="4E2B6A18" w14:textId="77777777" w:rsidR="00000000" w:rsidRDefault="00195E73">
            <w:pPr>
              <w:rPr>
                <w:rFonts w:eastAsia="Times New Roman"/>
                <w:sz w:val="20"/>
                <w:szCs w:val="20"/>
              </w:rPr>
            </w:pPr>
          </w:p>
        </w:tc>
        <w:tc>
          <w:tcPr>
            <w:tcW w:w="0" w:type="auto"/>
            <w:vAlign w:val="center"/>
            <w:hideMark/>
          </w:tcPr>
          <w:p w14:paraId="7291F4EE" w14:textId="77777777" w:rsidR="00000000" w:rsidRDefault="00195E73">
            <w:pPr>
              <w:rPr>
                <w:rFonts w:eastAsia="Times New Roman"/>
                <w:sz w:val="20"/>
                <w:szCs w:val="20"/>
              </w:rPr>
            </w:pPr>
          </w:p>
        </w:tc>
        <w:tc>
          <w:tcPr>
            <w:tcW w:w="0" w:type="auto"/>
            <w:vAlign w:val="center"/>
            <w:hideMark/>
          </w:tcPr>
          <w:p w14:paraId="646E42F9" w14:textId="77777777" w:rsidR="00000000" w:rsidRDefault="00195E73">
            <w:pPr>
              <w:rPr>
                <w:rFonts w:eastAsia="Times New Roman"/>
                <w:sz w:val="20"/>
                <w:szCs w:val="20"/>
              </w:rPr>
            </w:pPr>
          </w:p>
        </w:tc>
        <w:tc>
          <w:tcPr>
            <w:tcW w:w="0" w:type="auto"/>
            <w:vAlign w:val="center"/>
            <w:hideMark/>
          </w:tcPr>
          <w:p w14:paraId="750C35AD" w14:textId="77777777" w:rsidR="00000000" w:rsidRDefault="00195E73">
            <w:pPr>
              <w:rPr>
                <w:rFonts w:eastAsia="Times New Roman"/>
                <w:sz w:val="20"/>
                <w:szCs w:val="20"/>
              </w:rPr>
            </w:pPr>
          </w:p>
        </w:tc>
        <w:tc>
          <w:tcPr>
            <w:tcW w:w="0" w:type="auto"/>
            <w:vAlign w:val="center"/>
            <w:hideMark/>
          </w:tcPr>
          <w:p w14:paraId="70742B46" w14:textId="77777777" w:rsidR="00000000" w:rsidRDefault="00195E73">
            <w:pPr>
              <w:rPr>
                <w:rFonts w:eastAsia="Times New Roman"/>
                <w:sz w:val="20"/>
                <w:szCs w:val="20"/>
              </w:rPr>
            </w:pPr>
          </w:p>
        </w:tc>
      </w:tr>
      <w:tr w:rsidR="00000000" w14:paraId="7CD93ECA" w14:textId="77777777">
        <w:trPr>
          <w:divId w:val="2059157907"/>
          <w:jc w:val="center"/>
        </w:trPr>
        <w:tc>
          <w:tcPr>
            <w:tcW w:w="0" w:type="auto"/>
            <w:gridSpan w:val="3"/>
            <w:shd w:val="clear" w:color="auto" w:fill="FFFFFF"/>
            <w:tcMar>
              <w:top w:w="30" w:type="dxa"/>
              <w:left w:w="20" w:type="dxa"/>
              <w:bottom w:w="30" w:type="dxa"/>
              <w:right w:w="20" w:type="dxa"/>
            </w:tcMar>
            <w:vAlign w:val="bottom"/>
            <w:hideMark/>
          </w:tcPr>
          <w:p w14:paraId="1397BFF2" w14:textId="77777777" w:rsidR="00000000" w:rsidRDefault="00195E73">
            <w:pPr>
              <w:ind w:hanging="180"/>
              <w:divId w:val="339625556"/>
              <w:rPr>
                <w:rFonts w:eastAsia="Times New Roman"/>
              </w:rPr>
            </w:pPr>
            <w:r>
              <w:rPr>
                <w:rFonts w:eastAsia="Times New Roman"/>
                <w:color w:val="000000"/>
                <w:sz w:val="20"/>
                <w:szCs w:val="20"/>
              </w:rPr>
              <w:t>Automotiv</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3FAB6601" w14:textId="77777777" w:rsidR="00000000" w:rsidRDefault="00195E73">
            <w:pPr>
              <w:jc w:val="right"/>
              <w:rPr>
                <w:rFonts w:eastAsia="Times New Roman"/>
              </w:rPr>
            </w:pPr>
            <w:r>
              <w:rPr>
                <w:rFonts w:eastAsia="Times New Roman"/>
                <w:color w:val="000000"/>
                <w:sz w:val="20"/>
                <w:szCs w:val="20"/>
              </w:rPr>
              <w:t>405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D750BF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E58767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C4AEFC" w14:textId="77777777" w:rsidR="00000000" w:rsidRDefault="00195E73">
            <w:pPr>
              <w:jc w:val="right"/>
              <w:rPr>
                <w:rFonts w:eastAsia="Times New Roman"/>
              </w:rPr>
            </w:pPr>
            <w:r>
              <w:rPr>
                <w:rFonts w:eastAsia="Times New Roman"/>
                <w:color w:val="000000"/>
                <w:sz w:val="20"/>
                <w:szCs w:val="20"/>
              </w:rPr>
              <w:t>372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E79BC9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F4575F3" w14:textId="77777777" w:rsidR="00000000" w:rsidRDefault="00195E73">
            <w:pPr>
              <w:rPr>
                <w:rFonts w:eastAsia="Times New Roman"/>
                <w:sz w:val="20"/>
                <w:szCs w:val="20"/>
              </w:rPr>
            </w:pPr>
          </w:p>
        </w:tc>
        <w:tc>
          <w:tcPr>
            <w:tcW w:w="0" w:type="auto"/>
            <w:vAlign w:val="center"/>
            <w:hideMark/>
          </w:tcPr>
          <w:p w14:paraId="36CADDFE" w14:textId="77777777" w:rsidR="00000000" w:rsidRDefault="00195E73">
            <w:pPr>
              <w:rPr>
                <w:rFonts w:eastAsia="Times New Roman"/>
                <w:sz w:val="20"/>
                <w:szCs w:val="20"/>
              </w:rPr>
            </w:pPr>
          </w:p>
        </w:tc>
        <w:tc>
          <w:tcPr>
            <w:tcW w:w="0" w:type="auto"/>
            <w:vAlign w:val="center"/>
            <w:hideMark/>
          </w:tcPr>
          <w:p w14:paraId="1FB336A3" w14:textId="77777777" w:rsidR="00000000" w:rsidRDefault="00195E73">
            <w:pPr>
              <w:rPr>
                <w:rFonts w:eastAsia="Times New Roman"/>
                <w:sz w:val="20"/>
                <w:szCs w:val="20"/>
              </w:rPr>
            </w:pPr>
          </w:p>
        </w:tc>
        <w:tc>
          <w:tcPr>
            <w:tcW w:w="0" w:type="auto"/>
            <w:vAlign w:val="center"/>
            <w:hideMark/>
          </w:tcPr>
          <w:p w14:paraId="3943CB21" w14:textId="77777777" w:rsidR="00000000" w:rsidRDefault="00195E73">
            <w:pPr>
              <w:rPr>
                <w:rFonts w:eastAsia="Times New Roman"/>
                <w:sz w:val="20"/>
                <w:szCs w:val="20"/>
              </w:rPr>
            </w:pPr>
          </w:p>
        </w:tc>
        <w:tc>
          <w:tcPr>
            <w:tcW w:w="0" w:type="auto"/>
            <w:vAlign w:val="center"/>
            <w:hideMark/>
          </w:tcPr>
          <w:p w14:paraId="78D48880" w14:textId="77777777" w:rsidR="00000000" w:rsidRDefault="00195E73">
            <w:pPr>
              <w:rPr>
                <w:rFonts w:eastAsia="Times New Roman"/>
                <w:sz w:val="20"/>
                <w:szCs w:val="20"/>
              </w:rPr>
            </w:pPr>
          </w:p>
        </w:tc>
        <w:tc>
          <w:tcPr>
            <w:tcW w:w="0" w:type="auto"/>
            <w:vAlign w:val="center"/>
            <w:hideMark/>
          </w:tcPr>
          <w:p w14:paraId="0C859CB3" w14:textId="77777777" w:rsidR="00000000" w:rsidRDefault="00195E73">
            <w:pPr>
              <w:rPr>
                <w:rFonts w:eastAsia="Times New Roman"/>
                <w:sz w:val="20"/>
                <w:szCs w:val="20"/>
              </w:rPr>
            </w:pPr>
          </w:p>
        </w:tc>
      </w:tr>
      <w:tr w:rsidR="00000000" w14:paraId="277D1756" w14:textId="77777777">
        <w:trPr>
          <w:divId w:val="2059157907"/>
          <w:jc w:val="center"/>
        </w:trPr>
        <w:tc>
          <w:tcPr>
            <w:tcW w:w="0" w:type="auto"/>
            <w:gridSpan w:val="3"/>
            <w:shd w:val="clear" w:color="auto" w:fill="CCEEFF"/>
            <w:tcMar>
              <w:top w:w="30" w:type="dxa"/>
              <w:left w:w="20" w:type="dxa"/>
              <w:bottom w:w="30" w:type="dxa"/>
              <w:right w:w="20" w:type="dxa"/>
            </w:tcMar>
            <w:vAlign w:val="bottom"/>
            <w:hideMark/>
          </w:tcPr>
          <w:p w14:paraId="354ABB54" w14:textId="77777777" w:rsidR="00000000" w:rsidRDefault="00195E73">
            <w:pPr>
              <w:ind w:hanging="180"/>
              <w:divId w:val="293413608"/>
              <w:rPr>
                <w:rFonts w:eastAsia="Times New Roman"/>
              </w:rPr>
            </w:pPr>
            <w:r>
              <w:rPr>
                <w:rFonts w:eastAsia="Times New Roman"/>
                <w:color w:val="000000"/>
                <w:sz w:val="20"/>
                <w:szCs w:val="20"/>
              </w:rPr>
              <w:t>Food Packagin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14:paraId="0F014762" w14:textId="77777777" w:rsidR="00000000" w:rsidRDefault="00195E73">
            <w:pPr>
              <w:jc w:val="right"/>
              <w:rPr>
                <w:rFonts w:eastAsia="Times New Roman"/>
              </w:rPr>
            </w:pPr>
            <w:r>
              <w:rPr>
                <w:rFonts w:eastAsia="Times New Roman"/>
                <w:color w:val="000000"/>
                <w:sz w:val="20"/>
                <w:szCs w:val="20"/>
              </w:rPr>
              <w:t>268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F1C211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2F3D5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4FEF7D" w14:textId="77777777" w:rsidR="00000000" w:rsidRDefault="00195E73">
            <w:pPr>
              <w:jc w:val="right"/>
              <w:rPr>
                <w:rFonts w:eastAsia="Times New Roman"/>
              </w:rPr>
            </w:pPr>
            <w:r>
              <w:rPr>
                <w:rFonts w:eastAsia="Times New Roman"/>
                <w:color w:val="000000"/>
                <w:sz w:val="20"/>
                <w:szCs w:val="20"/>
              </w:rPr>
              <w:t>273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A38EE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EAE6E44" w14:textId="77777777" w:rsidR="00000000" w:rsidRDefault="00195E73">
            <w:pPr>
              <w:rPr>
                <w:rFonts w:eastAsia="Times New Roman"/>
                <w:sz w:val="20"/>
                <w:szCs w:val="20"/>
              </w:rPr>
            </w:pPr>
          </w:p>
        </w:tc>
        <w:tc>
          <w:tcPr>
            <w:tcW w:w="0" w:type="auto"/>
            <w:vAlign w:val="center"/>
            <w:hideMark/>
          </w:tcPr>
          <w:p w14:paraId="74C8F693" w14:textId="77777777" w:rsidR="00000000" w:rsidRDefault="00195E73">
            <w:pPr>
              <w:rPr>
                <w:rFonts w:eastAsia="Times New Roman"/>
                <w:sz w:val="20"/>
                <w:szCs w:val="20"/>
              </w:rPr>
            </w:pPr>
          </w:p>
        </w:tc>
        <w:tc>
          <w:tcPr>
            <w:tcW w:w="0" w:type="auto"/>
            <w:vAlign w:val="center"/>
            <w:hideMark/>
          </w:tcPr>
          <w:p w14:paraId="5CA8575E" w14:textId="77777777" w:rsidR="00000000" w:rsidRDefault="00195E73">
            <w:pPr>
              <w:rPr>
                <w:rFonts w:eastAsia="Times New Roman"/>
                <w:sz w:val="20"/>
                <w:szCs w:val="20"/>
              </w:rPr>
            </w:pPr>
          </w:p>
        </w:tc>
        <w:tc>
          <w:tcPr>
            <w:tcW w:w="0" w:type="auto"/>
            <w:vAlign w:val="center"/>
            <w:hideMark/>
          </w:tcPr>
          <w:p w14:paraId="412C95A1" w14:textId="77777777" w:rsidR="00000000" w:rsidRDefault="00195E73">
            <w:pPr>
              <w:rPr>
                <w:rFonts w:eastAsia="Times New Roman"/>
                <w:sz w:val="20"/>
                <w:szCs w:val="20"/>
              </w:rPr>
            </w:pPr>
          </w:p>
        </w:tc>
        <w:tc>
          <w:tcPr>
            <w:tcW w:w="0" w:type="auto"/>
            <w:vAlign w:val="center"/>
            <w:hideMark/>
          </w:tcPr>
          <w:p w14:paraId="66750B37" w14:textId="77777777" w:rsidR="00000000" w:rsidRDefault="00195E73">
            <w:pPr>
              <w:rPr>
                <w:rFonts w:eastAsia="Times New Roman"/>
                <w:sz w:val="20"/>
                <w:szCs w:val="20"/>
              </w:rPr>
            </w:pPr>
          </w:p>
        </w:tc>
        <w:tc>
          <w:tcPr>
            <w:tcW w:w="0" w:type="auto"/>
            <w:vAlign w:val="center"/>
            <w:hideMark/>
          </w:tcPr>
          <w:p w14:paraId="333C32FE" w14:textId="77777777" w:rsidR="00000000" w:rsidRDefault="00195E73">
            <w:pPr>
              <w:rPr>
                <w:rFonts w:eastAsia="Times New Roman"/>
                <w:sz w:val="20"/>
                <w:szCs w:val="20"/>
              </w:rPr>
            </w:pPr>
          </w:p>
        </w:tc>
      </w:tr>
      <w:tr w:rsidR="00000000" w14:paraId="39C306F6" w14:textId="77777777">
        <w:trPr>
          <w:divId w:val="2059157907"/>
          <w:jc w:val="center"/>
        </w:trPr>
        <w:tc>
          <w:tcPr>
            <w:tcW w:w="0" w:type="auto"/>
            <w:gridSpan w:val="3"/>
            <w:shd w:val="clear" w:color="auto" w:fill="FFFFFF"/>
            <w:tcMar>
              <w:top w:w="30" w:type="dxa"/>
              <w:left w:w="20" w:type="dxa"/>
              <w:bottom w:w="30" w:type="dxa"/>
              <w:right w:w="20" w:type="dxa"/>
            </w:tcMar>
            <w:vAlign w:val="bottom"/>
            <w:hideMark/>
          </w:tcPr>
          <w:p w14:paraId="04F508A6" w14:textId="77777777" w:rsidR="00000000" w:rsidRDefault="00195E73">
            <w:pPr>
              <w:ind w:hanging="180"/>
              <w:divId w:val="598412553"/>
              <w:rPr>
                <w:rFonts w:eastAsia="Times New Roman"/>
              </w:rPr>
            </w:pPr>
            <w:r>
              <w:rPr>
                <w:rFonts w:eastAsia="Times New Roman"/>
                <w:color w:val="000000"/>
                <w:sz w:val="20"/>
                <w:szCs w:val="20"/>
              </w:rPr>
              <w:t>Metal</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75989F1"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10DC0E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7AD923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D01CD3"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2EED5B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F89D27A" w14:textId="77777777" w:rsidR="00000000" w:rsidRDefault="00195E73">
            <w:pPr>
              <w:rPr>
                <w:rFonts w:eastAsia="Times New Roman"/>
                <w:sz w:val="20"/>
                <w:szCs w:val="20"/>
              </w:rPr>
            </w:pPr>
          </w:p>
        </w:tc>
        <w:tc>
          <w:tcPr>
            <w:tcW w:w="0" w:type="auto"/>
            <w:vAlign w:val="center"/>
            <w:hideMark/>
          </w:tcPr>
          <w:p w14:paraId="655C7BF8" w14:textId="77777777" w:rsidR="00000000" w:rsidRDefault="00195E73">
            <w:pPr>
              <w:rPr>
                <w:rFonts w:eastAsia="Times New Roman"/>
                <w:sz w:val="20"/>
                <w:szCs w:val="20"/>
              </w:rPr>
            </w:pPr>
          </w:p>
        </w:tc>
        <w:tc>
          <w:tcPr>
            <w:tcW w:w="0" w:type="auto"/>
            <w:vAlign w:val="center"/>
            <w:hideMark/>
          </w:tcPr>
          <w:p w14:paraId="280CB76E" w14:textId="77777777" w:rsidR="00000000" w:rsidRDefault="00195E73">
            <w:pPr>
              <w:rPr>
                <w:rFonts w:eastAsia="Times New Roman"/>
                <w:sz w:val="20"/>
                <w:szCs w:val="20"/>
              </w:rPr>
            </w:pPr>
          </w:p>
        </w:tc>
        <w:tc>
          <w:tcPr>
            <w:tcW w:w="0" w:type="auto"/>
            <w:vAlign w:val="center"/>
            <w:hideMark/>
          </w:tcPr>
          <w:p w14:paraId="0AE5C4BD" w14:textId="77777777" w:rsidR="00000000" w:rsidRDefault="00195E73">
            <w:pPr>
              <w:rPr>
                <w:rFonts w:eastAsia="Times New Roman"/>
                <w:sz w:val="20"/>
                <w:szCs w:val="20"/>
              </w:rPr>
            </w:pPr>
          </w:p>
        </w:tc>
        <w:tc>
          <w:tcPr>
            <w:tcW w:w="0" w:type="auto"/>
            <w:vAlign w:val="center"/>
            <w:hideMark/>
          </w:tcPr>
          <w:p w14:paraId="2BB94EF8" w14:textId="77777777" w:rsidR="00000000" w:rsidRDefault="00195E73">
            <w:pPr>
              <w:rPr>
                <w:rFonts w:eastAsia="Times New Roman"/>
                <w:sz w:val="20"/>
                <w:szCs w:val="20"/>
              </w:rPr>
            </w:pPr>
          </w:p>
        </w:tc>
        <w:tc>
          <w:tcPr>
            <w:tcW w:w="0" w:type="auto"/>
            <w:vAlign w:val="center"/>
            <w:hideMark/>
          </w:tcPr>
          <w:p w14:paraId="7F173E6E" w14:textId="77777777" w:rsidR="00000000" w:rsidRDefault="00195E73">
            <w:pPr>
              <w:rPr>
                <w:rFonts w:eastAsia="Times New Roman"/>
                <w:sz w:val="20"/>
                <w:szCs w:val="20"/>
              </w:rPr>
            </w:pPr>
          </w:p>
        </w:tc>
      </w:tr>
      <w:tr w:rsidR="00000000" w14:paraId="4B017F6F" w14:textId="77777777">
        <w:trPr>
          <w:divId w:val="2059157907"/>
          <w:jc w:val="center"/>
        </w:trPr>
        <w:tc>
          <w:tcPr>
            <w:tcW w:w="0" w:type="auto"/>
            <w:gridSpan w:val="3"/>
            <w:shd w:val="clear" w:color="auto" w:fill="CCEEFF"/>
            <w:tcMar>
              <w:top w:w="30" w:type="dxa"/>
              <w:left w:w="20" w:type="dxa"/>
              <w:bottom w:w="30" w:type="dxa"/>
              <w:right w:w="20" w:type="dxa"/>
            </w:tcMar>
            <w:vAlign w:val="bottom"/>
            <w:hideMark/>
          </w:tcPr>
          <w:p w14:paraId="09EECEBB" w14:textId="77777777" w:rsidR="00000000" w:rsidRDefault="00195E73">
            <w:pPr>
              <w:ind w:hanging="180"/>
              <w:divId w:val="293366115"/>
              <w:rPr>
                <w:rFonts w:eastAsia="Times New Roman"/>
              </w:rPr>
            </w:pPr>
            <w:r>
              <w:rPr>
                <w:rFonts w:eastAsia="Times New Roman"/>
                <w:color w:val="000000"/>
                <w:sz w:val="20"/>
                <w:szCs w:val="20"/>
              </w:rPr>
              <w:t>Real Estat</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297D9ABA"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2A58D4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42A20C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395F45"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708AB2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29A4C15" w14:textId="77777777" w:rsidR="00000000" w:rsidRDefault="00195E73">
            <w:pPr>
              <w:rPr>
                <w:rFonts w:eastAsia="Times New Roman"/>
                <w:sz w:val="20"/>
                <w:szCs w:val="20"/>
              </w:rPr>
            </w:pPr>
          </w:p>
        </w:tc>
        <w:tc>
          <w:tcPr>
            <w:tcW w:w="0" w:type="auto"/>
            <w:vAlign w:val="center"/>
            <w:hideMark/>
          </w:tcPr>
          <w:p w14:paraId="0465B0D4" w14:textId="77777777" w:rsidR="00000000" w:rsidRDefault="00195E73">
            <w:pPr>
              <w:rPr>
                <w:rFonts w:eastAsia="Times New Roman"/>
                <w:sz w:val="20"/>
                <w:szCs w:val="20"/>
              </w:rPr>
            </w:pPr>
          </w:p>
        </w:tc>
        <w:tc>
          <w:tcPr>
            <w:tcW w:w="0" w:type="auto"/>
            <w:vAlign w:val="center"/>
            <w:hideMark/>
          </w:tcPr>
          <w:p w14:paraId="4C3D5768" w14:textId="77777777" w:rsidR="00000000" w:rsidRDefault="00195E73">
            <w:pPr>
              <w:rPr>
                <w:rFonts w:eastAsia="Times New Roman"/>
                <w:sz w:val="20"/>
                <w:szCs w:val="20"/>
              </w:rPr>
            </w:pPr>
          </w:p>
        </w:tc>
        <w:tc>
          <w:tcPr>
            <w:tcW w:w="0" w:type="auto"/>
            <w:vAlign w:val="center"/>
            <w:hideMark/>
          </w:tcPr>
          <w:p w14:paraId="684F18EE" w14:textId="77777777" w:rsidR="00000000" w:rsidRDefault="00195E73">
            <w:pPr>
              <w:rPr>
                <w:rFonts w:eastAsia="Times New Roman"/>
                <w:sz w:val="20"/>
                <w:szCs w:val="20"/>
              </w:rPr>
            </w:pPr>
          </w:p>
        </w:tc>
        <w:tc>
          <w:tcPr>
            <w:tcW w:w="0" w:type="auto"/>
            <w:vAlign w:val="center"/>
            <w:hideMark/>
          </w:tcPr>
          <w:p w14:paraId="3D7C4EBC" w14:textId="77777777" w:rsidR="00000000" w:rsidRDefault="00195E73">
            <w:pPr>
              <w:rPr>
                <w:rFonts w:eastAsia="Times New Roman"/>
                <w:sz w:val="20"/>
                <w:szCs w:val="20"/>
              </w:rPr>
            </w:pPr>
          </w:p>
        </w:tc>
        <w:tc>
          <w:tcPr>
            <w:tcW w:w="0" w:type="auto"/>
            <w:vAlign w:val="center"/>
            <w:hideMark/>
          </w:tcPr>
          <w:p w14:paraId="64E547D4" w14:textId="77777777" w:rsidR="00000000" w:rsidRDefault="00195E73">
            <w:pPr>
              <w:rPr>
                <w:rFonts w:eastAsia="Times New Roman"/>
                <w:sz w:val="20"/>
                <w:szCs w:val="20"/>
              </w:rPr>
            </w:pPr>
          </w:p>
        </w:tc>
      </w:tr>
      <w:tr w:rsidR="00000000" w14:paraId="2027FFE9" w14:textId="77777777">
        <w:trPr>
          <w:divId w:val="2059157907"/>
          <w:jc w:val="center"/>
        </w:trPr>
        <w:tc>
          <w:tcPr>
            <w:tcW w:w="0" w:type="auto"/>
            <w:gridSpan w:val="3"/>
            <w:shd w:val="clear" w:color="auto" w:fill="FFFFFF"/>
            <w:tcMar>
              <w:top w:w="30" w:type="dxa"/>
              <w:left w:w="20" w:type="dxa"/>
              <w:bottom w:w="30" w:type="dxa"/>
              <w:right w:w="20" w:type="dxa"/>
            </w:tcMar>
            <w:vAlign w:val="bottom"/>
            <w:hideMark/>
          </w:tcPr>
          <w:p w14:paraId="1382A2FD" w14:textId="77777777" w:rsidR="00000000" w:rsidRDefault="00195E73">
            <w:pPr>
              <w:ind w:hanging="180"/>
              <w:divId w:val="853617440"/>
              <w:rPr>
                <w:rFonts w:eastAsia="Times New Roman"/>
              </w:rPr>
            </w:pPr>
            <w:r>
              <w:rPr>
                <w:rFonts w:eastAsia="Times New Roman"/>
                <w:color w:val="000000"/>
                <w:sz w:val="20"/>
                <w:szCs w:val="20"/>
              </w:rPr>
              <w:t>Home Fashio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15B37956" w14:textId="77777777" w:rsidR="00000000" w:rsidRDefault="00195E73">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1429F4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3E521C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4D0DCE"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F177B1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2DAFB39" w14:textId="77777777" w:rsidR="00000000" w:rsidRDefault="00195E73">
            <w:pPr>
              <w:rPr>
                <w:rFonts w:eastAsia="Times New Roman"/>
                <w:sz w:val="20"/>
                <w:szCs w:val="20"/>
              </w:rPr>
            </w:pPr>
          </w:p>
        </w:tc>
        <w:tc>
          <w:tcPr>
            <w:tcW w:w="0" w:type="auto"/>
            <w:vAlign w:val="center"/>
            <w:hideMark/>
          </w:tcPr>
          <w:p w14:paraId="05E4A4EF" w14:textId="77777777" w:rsidR="00000000" w:rsidRDefault="00195E73">
            <w:pPr>
              <w:rPr>
                <w:rFonts w:eastAsia="Times New Roman"/>
                <w:sz w:val="20"/>
                <w:szCs w:val="20"/>
              </w:rPr>
            </w:pPr>
          </w:p>
        </w:tc>
        <w:tc>
          <w:tcPr>
            <w:tcW w:w="0" w:type="auto"/>
            <w:vAlign w:val="center"/>
            <w:hideMark/>
          </w:tcPr>
          <w:p w14:paraId="2F981587" w14:textId="77777777" w:rsidR="00000000" w:rsidRDefault="00195E73">
            <w:pPr>
              <w:rPr>
                <w:rFonts w:eastAsia="Times New Roman"/>
                <w:sz w:val="20"/>
                <w:szCs w:val="20"/>
              </w:rPr>
            </w:pPr>
          </w:p>
        </w:tc>
        <w:tc>
          <w:tcPr>
            <w:tcW w:w="0" w:type="auto"/>
            <w:vAlign w:val="center"/>
            <w:hideMark/>
          </w:tcPr>
          <w:p w14:paraId="787EB86D" w14:textId="77777777" w:rsidR="00000000" w:rsidRDefault="00195E73">
            <w:pPr>
              <w:rPr>
                <w:rFonts w:eastAsia="Times New Roman"/>
                <w:sz w:val="20"/>
                <w:szCs w:val="20"/>
              </w:rPr>
            </w:pPr>
          </w:p>
        </w:tc>
        <w:tc>
          <w:tcPr>
            <w:tcW w:w="0" w:type="auto"/>
            <w:vAlign w:val="center"/>
            <w:hideMark/>
          </w:tcPr>
          <w:p w14:paraId="30762C61" w14:textId="77777777" w:rsidR="00000000" w:rsidRDefault="00195E73">
            <w:pPr>
              <w:rPr>
                <w:rFonts w:eastAsia="Times New Roman"/>
                <w:sz w:val="20"/>
                <w:szCs w:val="20"/>
              </w:rPr>
            </w:pPr>
          </w:p>
        </w:tc>
        <w:tc>
          <w:tcPr>
            <w:tcW w:w="0" w:type="auto"/>
            <w:vAlign w:val="center"/>
            <w:hideMark/>
          </w:tcPr>
          <w:p w14:paraId="4091459A" w14:textId="77777777" w:rsidR="00000000" w:rsidRDefault="00195E73">
            <w:pPr>
              <w:rPr>
                <w:rFonts w:eastAsia="Times New Roman"/>
                <w:sz w:val="20"/>
                <w:szCs w:val="20"/>
              </w:rPr>
            </w:pPr>
          </w:p>
        </w:tc>
      </w:tr>
      <w:tr w:rsidR="00000000" w14:paraId="38658C44" w14:textId="77777777">
        <w:trPr>
          <w:divId w:val="2059157907"/>
          <w:jc w:val="center"/>
        </w:trPr>
        <w:tc>
          <w:tcPr>
            <w:tcW w:w="0" w:type="auto"/>
            <w:gridSpan w:val="3"/>
            <w:shd w:val="clear" w:color="auto" w:fill="CCEEFF"/>
            <w:tcMar>
              <w:top w:w="15" w:type="dxa"/>
              <w:left w:w="20" w:type="dxa"/>
              <w:bottom w:w="15" w:type="dxa"/>
              <w:right w:w="20" w:type="dxa"/>
            </w:tcMar>
            <w:vAlign w:val="bottom"/>
            <w:hideMark/>
          </w:tcPr>
          <w:p w14:paraId="399154C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6D320E" w14:textId="77777777" w:rsidR="00000000" w:rsidRDefault="00195E73">
            <w:pPr>
              <w:jc w:val="right"/>
              <w:rPr>
                <w:rFonts w:eastAsia="Times New Roman"/>
              </w:rPr>
            </w:pPr>
            <w:r>
              <w:rPr>
                <w:rFonts w:eastAsia="Times New Roman"/>
                <w:color w:val="000000"/>
                <w:sz w:val="20"/>
                <w:szCs w:val="20"/>
              </w:rPr>
              <w:t>1,895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325F09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18ACE54"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1A5CAE" w14:textId="77777777" w:rsidR="00000000" w:rsidRDefault="00195E73">
            <w:pPr>
              <w:jc w:val="right"/>
              <w:rPr>
                <w:rFonts w:eastAsia="Times New Roman"/>
              </w:rPr>
            </w:pPr>
            <w:r>
              <w:rPr>
                <w:rFonts w:eastAsia="Times New Roman"/>
                <w:color w:val="000000"/>
                <w:sz w:val="20"/>
                <w:szCs w:val="20"/>
              </w:rPr>
              <w:t>1,821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F627C4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0461CB0" w14:textId="77777777" w:rsidR="00000000" w:rsidRDefault="00195E73">
            <w:pPr>
              <w:rPr>
                <w:rFonts w:eastAsia="Times New Roman"/>
                <w:sz w:val="20"/>
                <w:szCs w:val="20"/>
              </w:rPr>
            </w:pPr>
          </w:p>
        </w:tc>
        <w:tc>
          <w:tcPr>
            <w:tcW w:w="0" w:type="auto"/>
            <w:vAlign w:val="center"/>
            <w:hideMark/>
          </w:tcPr>
          <w:p w14:paraId="2CC75991" w14:textId="77777777" w:rsidR="00000000" w:rsidRDefault="00195E73">
            <w:pPr>
              <w:rPr>
                <w:rFonts w:eastAsia="Times New Roman"/>
                <w:sz w:val="20"/>
                <w:szCs w:val="20"/>
              </w:rPr>
            </w:pPr>
          </w:p>
        </w:tc>
        <w:tc>
          <w:tcPr>
            <w:tcW w:w="0" w:type="auto"/>
            <w:vAlign w:val="center"/>
            <w:hideMark/>
          </w:tcPr>
          <w:p w14:paraId="76C3CA0B" w14:textId="77777777" w:rsidR="00000000" w:rsidRDefault="00195E73">
            <w:pPr>
              <w:rPr>
                <w:rFonts w:eastAsia="Times New Roman"/>
                <w:sz w:val="20"/>
                <w:szCs w:val="20"/>
              </w:rPr>
            </w:pPr>
          </w:p>
        </w:tc>
        <w:tc>
          <w:tcPr>
            <w:tcW w:w="0" w:type="auto"/>
            <w:vAlign w:val="center"/>
            <w:hideMark/>
          </w:tcPr>
          <w:p w14:paraId="502AF4F1" w14:textId="77777777" w:rsidR="00000000" w:rsidRDefault="00195E73">
            <w:pPr>
              <w:rPr>
                <w:rFonts w:eastAsia="Times New Roman"/>
                <w:sz w:val="20"/>
                <w:szCs w:val="20"/>
              </w:rPr>
            </w:pPr>
          </w:p>
        </w:tc>
        <w:tc>
          <w:tcPr>
            <w:tcW w:w="0" w:type="auto"/>
            <w:vAlign w:val="center"/>
            <w:hideMark/>
          </w:tcPr>
          <w:p w14:paraId="1B039F97" w14:textId="77777777" w:rsidR="00000000" w:rsidRDefault="00195E73">
            <w:pPr>
              <w:rPr>
                <w:rFonts w:eastAsia="Times New Roman"/>
                <w:sz w:val="20"/>
                <w:szCs w:val="20"/>
              </w:rPr>
            </w:pPr>
          </w:p>
        </w:tc>
        <w:tc>
          <w:tcPr>
            <w:tcW w:w="0" w:type="auto"/>
            <w:vAlign w:val="center"/>
            <w:hideMark/>
          </w:tcPr>
          <w:p w14:paraId="750E15C1" w14:textId="77777777" w:rsidR="00000000" w:rsidRDefault="00195E73">
            <w:pPr>
              <w:rPr>
                <w:rFonts w:eastAsia="Times New Roman"/>
                <w:sz w:val="20"/>
                <w:szCs w:val="20"/>
              </w:rPr>
            </w:pPr>
          </w:p>
        </w:tc>
      </w:tr>
      <w:tr w:rsidR="00000000" w14:paraId="781F8FF7" w14:textId="77777777">
        <w:trPr>
          <w:divId w:val="2059157907"/>
          <w:jc w:val="center"/>
        </w:trPr>
        <w:tc>
          <w:tcPr>
            <w:tcW w:w="0" w:type="auto"/>
            <w:gridSpan w:val="3"/>
            <w:shd w:val="clear" w:color="auto" w:fill="FFFFFF"/>
            <w:tcMar>
              <w:top w:w="30" w:type="dxa"/>
              <w:left w:w="20" w:type="dxa"/>
              <w:bottom w:w="30" w:type="dxa"/>
              <w:right w:w="20" w:type="dxa"/>
            </w:tcMar>
            <w:vAlign w:val="bottom"/>
            <w:hideMark/>
          </w:tcPr>
          <w:p w14:paraId="2AC2EFFC" w14:textId="77777777" w:rsidR="00000000" w:rsidRDefault="00195E73">
            <w:pPr>
              <w:ind w:hanging="180"/>
              <w:divId w:val="190992965"/>
              <w:rPr>
                <w:rFonts w:eastAsia="Times New Roman"/>
              </w:rPr>
            </w:pPr>
            <w:r>
              <w:rPr>
                <w:rFonts w:eastAsia="Times New Roman"/>
                <w:color w:val="000000"/>
                <w:sz w:val="20"/>
                <w:szCs w:val="20"/>
              </w:rPr>
              <w:t>Total Deb</w:t>
            </w:r>
            <w:r>
              <w:rPr>
                <w:rFonts w:eastAsia="Times New Roman"/>
                <w:color w:val="000000"/>
                <w:sz w:val="20"/>
                <w:szCs w:val="20"/>
              </w:rPr>
              <w:t>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37D63E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4C6D4D3C" w14:textId="77777777" w:rsidR="00000000" w:rsidRDefault="00195E73">
            <w:pPr>
              <w:jc w:val="right"/>
              <w:rPr>
                <w:rFonts w:eastAsia="Times New Roman"/>
              </w:rPr>
            </w:pPr>
            <w:r>
              <w:rPr>
                <w:rFonts w:eastAsia="Times New Roman"/>
                <w:color w:val="000000"/>
                <w:sz w:val="20"/>
                <w:szCs w:val="20"/>
              </w:rPr>
              <w:t>8,192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838CDD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63E73A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4E865E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29A0F48" w14:textId="77777777" w:rsidR="00000000" w:rsidRDefault="00195E73">
            <w:pPr>
              <w:jc w:val="right"/>
              <w:rPr>
                <w:rFonts w:eastAsia="Times New Roman"/>
              </w:rPr>
            </w:pPr>
            <w:r>
              <w:rPr>
                <w:rFonts w:eastAsia="Times New Roman"/>
                <w:color w:val="000000"/>
                <w:sz w:val="20"/>
                <w:szCs w:val="20"/>
              </w:rPr>
              <w:t>7,326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B49181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E2F245E" w14:textId="77777777" w:rsidR="00000000" w:rsidRDefault="00195E73">
            <w:pPr>
              <w:rPr>
                <w:rFonts w:eastAsia="Times New Roman"/>
                <w:sz w:val="20"/>
                <w:szCs w:val="20"/>
              </w:rPr>
            </w:pPr>
          </w:p>
        </w:tc>
        <w:tc>
          <w:tcPr>
            <w:tcW w:w="0" w:type="auto"/>
            <w:vAlign w:val="center"/>
            <w:hideMark/>
          </w:tcPr>
          <w:p w14:paraId="31931286" w14:textId="77777777" w:rsidR="00000000" w:rsidRDefault="00195E73">
            <w:pPr>
              <w:rPr>
                <w:rFonts w:eastAsia="Times New Roman"/>
                <w:sz w:val="20"/>
                <w:szCs w:val="20"/>
              </w:rPr>
            </w:pPr>
          </w:p>
        </w:tc>
        <w:tc>
          <w:tcPr>
            <w:tcW w:w="0" w:type="auto"/>
            <w:vAlign w:val="center"/>
            <w:hideMark/>
          </w:tcPr>
          <w:p w14:paraId="723A797D" w14:textId="77777777" w:rsidR="00000000" w:rsidRDefault="00195E73">
            <w:pPr>
              <w:rPr>
                <w:rFonts w:eastAsia="Times New Roman"/>
                <w:sz w:val="20"/>
                <w:szCs w:val="20"/>
              </w:rPr>
            </w:pPr>
          </w:p>
        </w:tc>
        <w:tc>
          <w:tcPr>
            <w:tcW w:w="0" w:type="auto"/>
            <w:vAlign w:val="center"/>
            <w:hideMark/>
          </w:tcPr>
          <w:p w14:paraId="4853B64F" w14:textId="77777777" w:rsidR="00000000" w:rsidRDefault="00195E73">
            <w:pPr>
              <w:rPr>
                <w:rFonts w:eastAsia="Times New Roman"/>
                <w:sz w:val="20"/>
                <w:szCs w:val="20"/>
              </w:rPr>
            </w:pPr>
          </w:p>
        </w:tc>
        <w:tc>
          <w:tcPr>
            <w:tcW w:w="0" w:type="auto"/>
            <w:vAlign w:val="center"/>
            <w:hideMark/>
          </w:tcPr>
          <w:p w14:paraId="4E85BEF4" w14:textId="77777777" w:rsidR="00000000" w:rsidRDefault="00195E73">
            <w:pPr>
              <w:rPr>
                <w:rFonts w:eastAsia="Times New Roman"/>
                <w:sz w:val="20"/>
                <w:szCs w:val="20"/>
              </w:rPr>
            </w:pPr>
          </w:p>
        </w:tc>
        <w:tc>
          <w:tcPr>
            <w:tcW w:w="0" w:type="auto"/>
            <w:vAlign w:val="center"/>
            <w:hideMark/>
          </w:tcPr>
          <w:p w14:paraId="7BFB70B3" w14:textId="77777777" w:rsidR="00000000" w:rsidRDefault="00195E73">
            <w:pPr>
              <w:rPr>
                <w:rFonts w:eastAsia="Times New Roman"/>
                <w:sz w:val="20"/>
                <w:szCs w:val="20"/>
              </w:rPr>
            </w:pPr>
          </w:p>
        </w:tc>
      </w:tr>
    </w:tbl>
    <w:p w14:paraId="6DE2EA31" w14:textId="77777777" w:rsidR="00000000" w:rsidRDefault="00195E73">
      <w:pPr>
        <w:divId w:val="1249383221"/>
        <w:rPr>
          <w:rFonts w:eastAsia="Times New Roman"/>
        </w:rPr>
      </w:pPr>
    </w:p>
    <w:p w14:paraId="353F568F" w14:textId="77777777" w:rsidR="00000000" w:rsidRDefault="00195E73">
      <w:pPr>
        <w:divId w:val="2005890312"/>
        <w:rPr>
          <w:rFonts w:eastAsia="Times New Roman"/>
        </w:rPr>
      </w:pPr>
      <w:r>
        <w:rPr>
          <w:rFonts w:eastAsia="Times New Roman"/>
          <w:b/>
          <w:bCs/>
          <w:color w:val="000000"/>
          <w:sz w:val="20"/>
          <w:szCs w:val="20"/>
        </w:rPr>
        <w:t>Holding Compan</w:t>
      </w:r>
      <w:r>
        <w:rPr>
          <w:rFonts w:eastAsia="Times New Roman"/>
          <w:b/>
          <w:bCs/>
          <w:color w:val="000000"/>
          <w:sz w:val="20"/>
          <w:szCs w:val="20"/>
        </w:rPr>
        <w:t>y</w:t>
      </w:r>
    </w:p>
    <w:p w14:paraId="59E8700F" w14:textId="77777777" w:rsidR="00000000" w:rsidRDefault="00195E73">
      <w:pPr>
        <w:ind w:firstLine="450"/>
        <w:divId w:val="1677268546"/>
        <w:rPr>
          <w:rFonts w:eastAsia="Times New Roman"/>
        </w:rPr>
      </w:pPr>
      <w:r>
        <w:rPr>
          <w:rFonts w:eastAsia="Times New Roman"/>
          <w:color w:val="000000"/>
          <w:sz w:val="20"/>
          <w:szCs w:val="20"/>
        </w:rPr>
        <w:t>Our Holding Company debt consists of various issues of fixed-rate senior unsecured notes issued by Icahn Enterprises and Icahn Enterprises Finance Corp. (the “Issuers”) and guaranteed by Icahn Enterprises Holdings (the “Guarantor”). Interest on each of the</w:t>
      </w:r>
      <w:r>
        <w:rPr>
          <w:rFonts w:eastAsia="Times New Roman"/>
          <w:color w:val="000000"/>
          <w:sz w:val="20"/>
          <w:szCs w:val="20"/>
        </w:rPr>
        <w:t xml:space="preserve"> senior unsecured notes are payable semi-annually</w:t>
      </w:r>
      <w:r>
        <w:rPr>
          <w:rFonts w:eastAsia="Times New Roman"/>
          <w:color w:val="000000"/>
          <w:sz w:val="20"/>
          <w:szCs w:val="20"/>
        </w:rPr>
        <w:t>.</w:t>
      </w:r>
    </w:p>
    <w:p w14:paraId="451FCD8F" w14:textId="77777777" w:rsidR="00000000" w:rsidRDefault="00195E73">
      <w:pPr>
        <w:ind w:firstLine="450"/>
        <w:divId w:val="2052536755"/>
        <w:rPr>
          <w:rFonts w:eastAsia="Times New Roman"/>
        </w:rPr>
      </w:pPr>
      <w:r>
        <w:rPr>
          <w:rFonts w:eastAsia="Times New Roman"/>
          <w:color w:val="000000"/>
          <w:sz w:val="20"/>
          <w:szCs w:val="20"/>
        </w:rPr>
        <w:t>In May and June 2019, the Issuers issued $1.250 billion in aggregate principal amount of 6.250% senior unsecured notes due 2026. The proceeds from these notes, together with cash on hand, were used to rede</w:t>
      </w:r>
      <w:r>
        <w:rPr>
          <w:rFonts w:eastAsia="Times New Roman"/>
          <w:color w:val="000000"/>
          <w:sz w:val="20"/>
          <w:szCs w:val="20"/>
        </w:rPr>
        <w:t>em all of the prior outstanding 6.000% senior unsecured notes due 2020 and to pay accrued interest, related fees and expenses</w:t>
      </w:r>
      <w:r>
        <w:rPr>
          <w:rFonts w:eastAsia="Times New Roman"/>
          <w:color w:val="000000"/>
          <w:sz w:val="20"/>
          <w:szCs w:val="20"/>
        </w:rPr>
        <w:t>.</w:t>
      </w:r>
    </w:p>
    <w:p w14:paraId="701DC62E" w14:textId="77777777" w:rsidR="00000000" w:rsidRDefault="00195E73">
      <w:pPr>
        <w:ind w:firstLine="450"/>
        <w:divId w:val="399522075"/>
        <w:rPr>
          <w:rFonts w:eastAsia="Times New Roman"/>
        </w:rPr>
      </w:pPr>
      <w:r>
        <w:rPr>
          <w:rFonts w:eastAsia="Times New Roman"/>
          <w:color w:val="000000"/>
          <w:sz w:val="20"/>
          <w:szCs w:val="20"/>
        </w:rPr>
        <w:t>In September 2019, the Issuers issued $500 million in aggregate principal amount of 4.750% senior unsecured notes due 2024. The p</w:t>
      </w:r>
      <w:r>
        <w:rPr>
          <w:rFonts w:eastAsia="Times New Roman"/>
          <w:color w:val="000000"/>
          <w:sz w:val="20"/>
          <w:szCs w:val="20"/>
        </w:rPr>
        <w:t>roceeds from these notes were used for general limited partnership purposes</w:t>
      </w:r>
      <w:r>
        <w:rPr>
          <w:rFonts w:eastAsia="Times New Roman"/>
          <w:color w:val="000000"/>
          <w:sz w:val="20"/>
          <w:szCs w:val="20"/>
        </w:rPr>
        <w:t>.</w:t>
      </w:r>
    </w:p>
    <w:p w14:paraId="4148CDBE" w14:textId="77777777" w:rsidR="00000000" w:rsidRDefault="00195E73">
      <w:pPr>
        <w:ind w:firstLine="450"/>
        <w:divId w:val="1268540485"/>
        <w:rPr>
          <w:rFonts w:eastAsia="Times New Roman"/>
        </w:rPr>
      </w:pPr>
      <w:r>
        <w:rPr>
          <w:rFonts w:eastAsia="Times New Roman"/>
          <w:color w:val="000000"/>
          <w:sz w:val="20"/>
          <w:szCs w:val="20"/>
        </w:rPr>
        <w:t>In December 2019, the Issuers issued $750 million in aggregate principal amount of 5.250% senior unsecured notes due 2027. The proceeds from these notes were used for general limi</w:t>
      </w:r>
      <w:r>
        <w:rPr>
          <w:rFonts w:eastAsia="Times New Roman"/>
          <w:color w:val="000000"/>
          <w:sz w:val="20"/>
          <w:szCs w:val="20"/>
        </w:rPr>
        <w:t>ted partnership purposes</w:t>
      </w:r>
      <w:r>
        <w:rPr>
          <w:rFonts w:eastAsia="Times New Roman"/>
          <w:color w:val="000000"/>
          <w:sz w:val="20"/>
          <w:szCs w:val="20"/>
        </w:rPr>
        <w:t>.</w:t>
      </w:r>
    </w:p>
    <w:p w14:paraId="2109D5C1" w14:textId="77777777" w:rsidR="00000000" w:rsidRDefault="00195E73">
      <w:pPr>
        <w:ind w:firstLine="450"/>
        <w:divId w:val="1101798239"/>
        <w:rPr>
          <w:rFonts w:eastAsia="Times New Roman"/>
        </w:rPr>
      </w:pPr>
      <w:r>
        <w:rPr>
          <w:rFonts w:eastAsia="Times New Roman"/>
          <w:color w:val="000000"/>
          <w:sz w:val="20"/>
          <w:szCs w:val="20"/>
        </w:rPr>
        <w:t>In January 2017, the Issuers issued $500 million in aggregate principal amount of 6.750% senior unsecured notes due 2024 and $695 million in aggregate principal amount of 6.250% senior unsecured notes due 2022. The proceeds from t</w:t>
      </w:r>
      <w:r>
        <w:rPr>
          <w:rFonts w:eastAsia="Times New Roman"/>
          <w:color w:val="000000"/>
          <w:sz w:val="20"/>
          <w:szCs w:val="20"/>
        </w:rPr>
        <w:t>hese notes were used to redeem all of the prior outstanding senior unsecured notes due 2017 and to pay accrued interest, related fees and expenses</w:t>
      </w:r>
      <w:r>
        <w:rPr>
          <w:rFonts w:eastAsia="Times New Roman"/>
          <w:color w:val="000000"/>
          <w:sz w:val="20"/>
          <w:szCs w:val="20"/>
        </w:rPr>
        <w:t>.</w:t>
      </w:r>
    </w:p>
    <w:p w14:paraId="115A1DE4" w14:textId="77777777" w:rsidR="00000000" w:rsidRDefault="00195E73">
      <w:pPr>
        <w:ind w:firstLine="450"/>
        <w:divId w:val="163135271"/>
        <w:rPr>
          <w:rFonts w:eastAsia="Times New Roman"/>
        </w:rPr>
      </w:pPr>
      <w:r>
        <w:rPr>
          <w:rFonts w:eastAsia="Times New Roman"/>
          <w:color w:val="000000"/>
          <w:sz w:val="20"/>
          <w:szCs w:val="20"/>
        </w:rPr>
        <w:t>In December 2017, the Issuers issued $750 million in aggregate principal amount of 6.375% senior unsecured n</w:t>
      </w:r>
      <w:r>
        <w:rPr>
          <w:rFonts w:eastAsia="Times New Roman"/>
          <w:color w:val="000000"/>
          <w:sz w:val="20"/>
          <w:szCs w:val="20"/>
        </w:rPr>
        <w:t xml:space="preserve">otes due 2025 and an additional $510 million in aggregate principal amount of its existing 6.250% senior unsecured notes due 2022. The proceeds from these notes, together with cash on hand, were used to redeem all of the prior outstanding senior unsecured </w:t>
      </w:r>
      <w:r>
        <w:rPr>
          <w:rFonts w:eastAsia="Times New Roman"/>
          <w:color w:val="000000"/>
          <w:sz w:val="20"/>
          <w:szCs w:val="20"/>
        </w:rPr>
        <w:t>notes due 2019 and to pay accrued interest, related fees and expenses.</w:t>
      </w:r>
      <w:r>
        <w:rPr>
          <w:rFonts w:eastAsia="Times New Roman"/>
          <w:color w:val="000000"/>
          <w:sz w:val="20"/>
          <w:szCs w:val="20"/>
        </w:rPr>
        <w:t xml:space="preserve"> </w:t>
      </w:r>
    </w:p>
    <w:p w14:paraId="49395FF6" w14:textId="77777777" w:rsidR="00000000" w:rsidRDefault="00195E73">
      <w:pPr>
        <w:jc w:val="center"/>
        <w:divId w:val="1724058774"/>
        <w:rPr>
          <w:rFonts w:eastAsia="Times New Roman"/>
        </w:rPr>
      </w:pPr>
      <w:r>
        <w:rPr>
          <w:rFonts w:eastAsia="Times New Roman"/>
          <w:color w:val="000000"/>
          <w:sz w:val="20"/>
          <w:szCs w:val="20"/>
        </w:rPr>
        <w:t>9</w:t>
      </w:r>
      <w:r>
        <w:rPr>
          <w:rFonts w:eastAsia="Times New Roman"/>
          <w:color w:val="000000"/>
          <w:sz w:val="20"/>
          <w:szCs w:val="20"/>
        </w:rPr>
        <w:t>4</w:t>
      </w:r>
    </w:p>
    <w:p w14:paraId="392339AF" w14:textId="77777777" w:rsidR="00000000" w:rsidRDefault="00195E73">
      <w:pPr>
        <w:rPr>
          <w:rFonts w:eastAsia="Times New Roman"/>
        </w:rPr>
      </w:pPr>
      <w:r>
        <w:rPr>
          <w:rFonts w:eastAsia="Times New Roman"/>
        </w:rPr>
        <w:pict w14:anchorId="2F4603A0">
          <v:rect id="_x0000_i1120" style="width:0;height:1.5pt" o:hralign="center" o:hrstd="t" o:hr="t" fillcolor="#a0a0a0" stroked="f"/>
        </w:pict>
      </w:r>
    </w:p>
    <w:p w14:paraId="1768B5D5" w14:textId="77777777" w:rsidR="00000000" w:rsidRDefault="00195E73">
      <w:pPr>
        <w:jc w:val="center"/>
        <w:divId w:val="1676030215"/>
        <w:rPr>
          <w:rFonts w:eastAsia="Times New Roman"/>
        </w:rPr>
      </w:pPr>
    </w:p>
    <w:p w14:paraId="27147C41" w14:textId="77777777" w:rsidR="00000000" w:rsidRDefault="00195E73">
      <w:pPr>
        <w:jc w:val="center"/>
        <w:divId w:val="1676030215"/>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57EF9537" w14:textId="77777777" w:rsidR="00000000" w:rsidRDefault="00195E73">
      <w:pPr>
        <w:jc w:val="center"/>
        <w:divId w:val="1676030215"/>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1D3C4363" w14:textId="77777777" w:rsidR="00000000" w:rsidRDefault="00195E73">
      <w:pPr>
        <w:jc w:val="center"/>
        <w:divId w:val="1676030215"/>
        <w:rPr>
          <w:rFonts w:eastAsia="Times New Roman"/>
        </w:rPr>
      </w:pPr>
    </w:p>
    <w:p w14:paraId="2BF1EFBA" w14:textId="77777777" w:rsidR="00000000" w:rsidRDefault="00195E73">
      <w:pPr>
        <w:jc w:val="center"/>
        <w:divId w:val="1676030215"/>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7B868656" w14:textId="77777777" w:rsidR="00000000" w:rsidRDefault="00195E73">
      <w:pPr>
        <w:ind w:firstLine="450"/>
        <w:divId w:val="2002193050"/>
        <w:rPr>
          <w:rFonts w:eastAsia="Times New Roman"/>
        </w:rPr>
      </w:pPr>
      <w:r>
        <w:rPr>
          <w:rFonts w:eastAsia="Times New Roman"/>
          <w:color w:val="000000"/>
          <w:sz w:val="20"/>
          <w:szCs w:val="20"/>
        </w:rPr>
        <w:t>Icahn En</w:t>
      </w:r>
      <w:r>
        <w:rPr>
          <w:rFonts w:eastAsia="Times New Roman"/>
          <w:color w:val="000000"/>
          <w:sz w:val="20"/>
          <w:szCs w:val="20"/>
        </w:rPr>
        <w:t>terprises recorded a gain on extinguishment of debt of $2 million in 2019 and a loss on extinguishment of debt of $12 million in the fourth quarter of 2017 in connection with the debt transactions discussed above.</w:t>
      </w:r>
      <w:r>
        <w:rPr>
          <w:rFonts w:eastAsia="Times New Roman"/>
          <w:color w:val="000000"/>
          <w:sz w:val="20"/>
          <w:szCs w:val="20"/>
        </w:rPr>
        <w:t xml:space="preserve"> </w:t>
      </w:r>
    </w:p>
    <w:p w14:paraId="72DC944A" w14:textId="77777777" w:rsidR="00000000" w:rsidRDefault="00195E73">
      <w:pPr>
        <w:ind w:firstLine="450"/>
        <w:divId w:val="1234008595"/>
        <w:rPr>
          <w:rFonts w:eastAsia="Times New Roman"/>
        </w:rPr>
      </w:pPr>
      <w:r>
        <w:rPr>
          <w:rFonts w:eastAsia="Times New Roman"/>
          <w:color w:val="000000"/>
          <w:sz w:val="20"/>
          <w:szCs w:val="20"/>
        </w:rPr>
        <w:t>Each of our senior unsecured notes and th</w:t>
      </w:r>
      <w:r>
        <w:rPr>
          <w:rFonts w:eastAsia="Times New Roman"/>
          <w:color w:val="000000"/>
          <w:sz w:val="20"/>
          <w:szCs w:val="20"/>
        </w:rPr>
        <w:t>e related guarantees are the senior unsecured obligations of the Issuers and rank equally with all of the Issuers’ and the Guarantor’s existing and future senior unsecured indebtedness and senior to all of the Issuers’ and the Guarantor’s existing and futu</w:t>
      </w:r>
      <w:r>
        <w:rPr>
          <w:rFonts w:eastAsia="Times New Roman"/>
          <w:color w:val="000000"/>
          <w:sz w:val="20"/>
          <w:szCs w:val="20"/>
        </w:rPr>
        <w:t>re subordinated indebtedness. All of our senior unsecured notes and the related guarantees are effectively subordinated to the Issuers’ and the Guarantor’s existing and future secured indebtedness to the extent of the collateral securing such indebtedness.</w:t>
      </w:r>
      <w:r>
        <w:rPr>
          <w:rFonts w:eastAsia="Times New Roman"/>
          <w:color w:val="000000"/>
          <w:sz w:val="20"/>
          <w:szCs w:val="20"/>
        </w:rPr>
        <w:t> All of our senior unsecured notes and the related guarantees are also effectively subordinated to all indebtedness and other liabilities of the Issuers’ subsidiaries other than the Guarantor</w:t>
      </w:r>
      <w:r>
        <w:rPr>
          <w:rFonts w:eastAsia="Times New Roman"/>
          <w:color w:val="000000"/>
          <w:sz w:val="20"/>
          <w:szCs w:val="20"/>
        </w:rPr>
        <w:t>.</w:t>
      </w:r>
    </w:p>
    <w:p w14:paraId="1331CF40" w14:textId="77777777" w:rsidR="00000000" w:rsidRDefault="00195E73">
      <w:pPr>
        <w:ind w:firstLine="450"/>
        <w:divId w:val="1691253266"/>
        <w:rPr>
          <w:rFonts w:eastAsia="Times New Roman"/>
        </w:rPr>
      </w:pPr>
      <w:r>
        <w:rPr>
          <w:rFonts w:eastAsia="Times New Roman"/>
          <w:color w:val="000000"/>
          <w:sz w:val="20"/>
          <w:szCs w:val="20"/>
        </w:rPr>
        <w:t>The indentures governing each of our senior unsecured notes res</w:t>
      </w:r>
      <w:r>
        <w:rPr>
          <w:rFonts w:eastAsia="Times New Roman"/>
          <w:color w:val="000000"/>
          <w:sz w:val="20"/>
          <w:szCs w:val="20"/>
        </w:rPr>
        <w:t>trict the payment of cash distributions, the purchase of equity interests or the purchase, redemption, defeasance or acquisition of debt subordinated to the senior unsecured notes. The indentures also restrict the incurrence of debt or the issuance of disq</w:t>
      </w:r>
      <w:r>
        <w:rPr>
          <w:rFonts w:eastAsia="Times New Roman"/>
          <w:color w:val="000000"/>
          <w:sz w:val="20"/>
          <w:szCs w:val="20"/>
        </w:rPr>
        <w:t>ualified stock, as defined in the indentures, with certain exceptions. In addition, the indentures require that on each quarterly determination date, we and the guarantor of the notes (currently only Icahn Enterprises Holdings) maintain certain minimum fin</w:t>
      </w:r>
      <w:r>
        <w:rPr>
          <w:rFonts w:eastAsia="Times New Roman"/>
          <w:color w:val="000000"/>
          <w:sz w:val="20"/>
          <w:szCs w:val="20"/>
        </w:rPr>
        <w:t>ancial ratios, as defined therein. The indentures also restrict the creation of liens, mergers, consolidations and sales of substantially all of our assets, and transactions with affiliates. Additionally, each of the senior unsecured notes outstanding as o</w:t>
      </w:r>
      <w:r>
        <w:rPr>
          <w:rFonts w:eastAsia="Times New Roman"/>
          <w:color w:val="000000"/>
          <w:sz w:val="20"/>
          <w:szCs w:val="20"/>
        </w:rPr>
        <w:t>f December 31, 2019, except for the New 2024 Notes and the New 2027 Notes, are subject to optional redemption premiums in the event we redeem any of the notes prior to certain dates as described in the indentures.</w:t>
      </w:r>
      <w:r>
        <w:rPr>
          <w:rFonts w:eastAsia="Times New Roman"/>
          <w:color w:val="000000"/>
          <w:sz w:val="20"/>
          <w:szCs w:val="20"/>
        </w:rPr>
        <w:t xml:space="preserve"> </w:t>
      </w:r>
    </w:p>
    <w:p w14:paraId="78E8812B" w14:textId="77777777" w:rsidR="00000000" w:rsidRDefault="00195E73">
      <w:pPr>
        <w:ind w:firstLine="405"/>
        <w:divId w:val="828718518"/>
        <w:rPr>
          <w:rFonts w:eastAsia="Times New Roman"/>
        </w:rPr>
      </w:pPr>
      <w:r>
        <w:rPr>
          <w:rFonts w:eastAsia="Times New Roman"/>
          <w:color w:val="000000"/>
          <w:sz w:val="20"/>
          <w:szCs w:val="20"/>
        </w:rPr>
        <w:t>As of December 31, 2019 and 2018, we were</w:t>
      </w:r>
      <w:r>
        <w:rPr>
          <w:rFonts w:eastAsia="Times New Roman"/>
          <w:color w:val="000000"/>
          <w:sz w:val="20"/>
          <w:szCs w:val="20"/>
        </w:rPr>
        <w:t xml:space="preserve"> in compliance with all covenants, including maintaining certain minimum financial ratios, as defined in the indentures. Additionally, as of December 31, 2019, based on covenants in the indentures governing our senior unsecured notes, we are not permitted </w:t>
      </w:r>
      <w:r>
        <w:rPr>
          <w:rFonts w:eastAsia="Times New Roman"/>
          <w:color w:val="000000"/>
          <w:sz w:val="20"/>
          <w:szCs w:val="20"/>
        </w:rPr>
        <w:t>to incur additional indebtedness. However, as a result of our subsequent debt activity in January 2020, as described below, we are permitted to borrow an additional $469 million as of the date of this Report.</w:t>
      </w:r>
      <w:r>
        <w:rPr>
          <w:rFonts w:eastAsia="Times New Roman"/>
          <w:color w:val="000000"/>
          <w:sz w:val="20"/>
          <w:szCs w:val="20"/>
        </w:rPr>
        <w:t xml:space="preserve"> </w:t>
      </w:r>
    </w:p>
    <w:p w14:paraId="0AB0544C" w14:textId="77777777" w:rsidR="00000000" w:rsidRDefault="00195E73">
      <w:pPr>
        <w:divId w:val="240141989"/>
        <w:rPr>
          <w:rFonts w:eastAsia="Times New Roman"/>
        </w:rPr>
      </w:pPr>
      <w:r>
        <w:rPr>
          <w:rFonts w:eastAsia="Times New Roman"/>
          <w:i/>
          <w:iCs/>
          <w:color w:val="000000"/>
          <w:sz w:val="20"/>
          <w:szCs w:val="20"/>
        </w:rPr>
        <w:t>Subsequent Even</w:t>
      </w:r>
      <w:r>
        <w:rPr>
          <w:rFonts w:eastAsia="Times New Roman"/>
          <w:i/>
          <w:iCs/>
          <w:color w:val="000000"/>
          <w:sz w:val="20"/>
          <w:szCs w:val="20"/>
        </w:rPr>
        <w:t>t</w:t>
      </w:r>
    </w:p>
    <w:p w14:paraId="299E9CE3" w14:textId="77777777" w:rsidR="00000000" w:rsidRDefault="00195E73">
      <w:pPr>
        <w:ind w:firstLine="405"/>
        <w:divId w:val="1029380993"/>
        <w:rPr>
          <w:rFonts w:eastAsia="Times New Roman"/>
        </w:rPr>
      </w:pPr>
      <w:r>
        <w:rPr>
          <w:rFonts w:eastAsia="Times New Roman"/>
          <w:color w:val="000000"/>
          <w:sz w:val="20"/>
          <w:szCs w:val="20"/>
        </w:rPr>
        <w:t xml:space="preserve">In January 2020, the Issuers </w:t>
      </w:r>
      <w:r>
        <w:rPr>
          <w:rFonts w:eastAsia="Times New Roman"/>
          <w:color w:val="000000"/>
          <w:sz w:val="20"/>
          <w:szCs w:val="20"/>
        </w:rPr>
        <w:t>issued an additional $600 million in aggregate principal amount of 4.750% senior unsecured notes due 2024 and an additional $250 million of 5.250% senior unsecured notes due 2027. The additional proceeds from these notes issued in January 2020, together wi</w:t>
      </w:r>
      <w:r>
        <w:rPr>
          <w:rFonts w:eastAsia="Times New Roman"/>
          <w:color w:val="000000"/>
          <w:sz w:val="20"/>
          <w:szCs w:val="20"/>
        </w:rPr>
        <w:t>th cash on hand, were used to repay in full our 5.875% senior unsecured notes due 2022, and to pay accrued interest, related fees and expenses</w:t>
      </w:r>
      <w:r>
        <w:rPr>
          <w:rFonts w:eastAsia="Times New Roman"/>
          <w:color w:val="000000"/>
          <w:sz w:val="20"/>
          <w:szCs w:val="20"/>
        </w:rPr>
        <w:t>.</w:t>
      </w:r>
    </w:p>
    <w:p w14:paraId="44F5698F" w14:textId="77777777" w:rsidR="00000000" w:rsidRDefault="00195E73">
      <w:pPr>
        <w:divId w:val="567614519"/>
        <w:rPr>
          <w:rFonts w:eastAsia="Times New Roman"/>
        </w:rPr>
      </w:pPr>
      <w:r>
        <w:rPr>
          <w:rFonts w:eastAsia="Times New Roman"/>
          <w:b/>
          <w:bCs/>
          <w:color w:val="000000"/>
          <w:sz w:val="20"/>
          <w:szCs w:val="20"/>
        </w:rPr>
        <w:t>Reporting Segment</w:t>
      </w:r>
      <w:r>
        <w:rPr>
          <w:rFonts w:eastAsia="Times New Roman"/>
          <w:b/>
          <w:bCs/>
          <w:color w:val="000000"/>
          <w:sz w:val="20"/>
          <w:szCs w:val="20"/>
        </w:rPr>
        <w:t>s</w:t>
      </w:r>
    </w:p>
    <w:p w14:paraId="15DF7C87" w14:textId="77777777" w:rsidR="00000000" w:rsidRDefault="00195E73">
      <w:pPr>
        <w:divId w:val="2011709745"/>
        <w:rPr>
          <w:rFonts w:eastAsia="Times New Roman"/>
        </w:rPr>
      </w:pPr>
      <w:r>
        <w:rPr>
          <w:rFonts w:eastAsia="Times New Roman"/>
          <w:b/>
          <w:bCs/>
          <w:i/>
          <w:iCs/>
          <w:color w:val="000000"/>
          <w:sz w:val="20"/>
          <w:szCs w:val="20"/>
        </w:rPr>
        <w:t>Energ</w:t>
      </w:r>
      <w:r>
        <w:rPr>
          <w:rFonts w:eastAsia="Times New Roman"/>
          <w:b/>
          <w:bCs/>
          <w:i/>
          <w:iCs/>
          <w:color w:val="000000"/>
          <w:sz w:val="20"/>
          <w:szCs w:val="20"/>
        </w:rPr>
        <w:t>y</w:t>
      </w:r>
    </w:p>
    <w:p w14:paraId="39B8F7E6" w14:textId="77777777" w:rsidR="00000000" w:rsidRDefault="00195E73">
      <w:pPr>
        <w:ind w:firstLine="450"/>
        <w:divId w:val="319887481"/>
        <w:rPr>
          <w:rFonts w:eastAsia="Times New Roman"/>
        </w:rPr>
      </w:pPr>
      <w:r>
        <w:rPr>
          <w:rFonts w:eastAsia="Times New Roman"/>
          <w:color w:val="000000"/>
          <w:sz w:val="20"/>
          <w:szCs w:val="20"/>
        </w:rPr>
        <w:t>CVR Energy’s debt primarily consists of a $500 million second lien senior unsecured no</w:t>
      </w:r>
      <w:r>
        <w:rPr>
          <w:rFonts w:eastAsia="Times New Roman"/>
          <w:color w:val="000000"/>
          <w:sz w:val="20"/>
          <w:szCs w:val="20"/>
        </w:rPr>
        <w:t>te (issued by CVR Refining) and a $645 million senior secured note (issued by CVR Partners) maturing in 2022 and 2023, respectively, and with interest rates of 6.50% and 9.25%, respectively. Interest for each of these notes are accrued and paid based on co</w:t>
      </w:r>
      <w:r>
        <w:rPr>
          <w:rFonts w:eastAsia="Times New Roman"/>
          <w:color w:val="000000"/>
          <w:sz w:val="20"/>
          <w:szCs w:val="20"/>
        </w:rPr>
        <w:t>ntractual terms</w:t>
      </w:r>
      <w:r>
        <w:rPr>
          <w:rFonts w:eastAsia="Times New Roman"/>
          <w:color w:val="000000"/>
          <w:sz w:val="20"/>
          <w:szCs w:val="20"/>
        </w:rPr>
        <w:t>.</w:t>
      </w:r>
    </w:p>
    <w:p w14:paraId="080AF685" w14:textId="77777777" w:rsidR="00000000" w:rsidRDefault="00195E73">
      <w:pPr>
        <w:ind w:firstLine="450"/>
        <w:divId w:val="2064519271"/>
        <w:rPr>
          <w:rFonts w:eastAsia="Times New Roman"/>
        </w:rPr>
      </w:pPr>
      <w:r>
        <w:rPr>
          <w:rFonts w:eastAsia="Times New Roman"/>
          <w:color w:val="000000"/>
          <w:sz w:val="20"/>
          <w:szCs w:val="20"/>
        </w:rPr>
        <w:t>The second lien senior unsecured notes were fully and unconditionally guaranteed by CVR Refining and each of its’ finance subsidiaries’ existing domestic subsidiaries on a joint and several basis as of December 31, 2019. On January 29, 201</w:t>
      </w:r>
      <w:r>
        <w:rPr>
          <w:rFonts w:eastAsia="Times New Roman"/>
          <w:color w:val="000000"/>
          <w:sz w:val="20"/>
          <w:szCs w:val="20"/>
        </w:rPr>
        <w:t>9, the second lien senior unsecured notes were amended such that CVR Refining was replaced by CVR Energy as the primary guarantor, on a senior unsecured basis. The senior secured notes are guaranteed on a senior secured basis by all of CVR Partner’s existi</w:t>
      </w:r>
      <w:r>
        <w:rPr>
          <w:rFonts w:eastAsia="Times New Roman"/>
          <w:color w:val="000000"/>
          <w:sz w:val="20"/>
          <w:szCs w:val="20"/>
        </w:rPr>
        <w:t>ng subsidiaries. CVR Energy is not a guarantor of these notes. The indentures governing these notes contain certain covenants that restrict the ability of the issuers and subsidiary guarantors to issue debt, incur or otherwise cause liens to exist on any o</w:t>
      </w:r>
      <w:r>
        <w:rPr>
          <w:rFonts w:eastAsia="Times New Roman"/>
          <w:color w:val="000000"/>
          <w:sz w:val="20"/>
          <w:szCs w:val="20"/>
        </w:rPr>
        <w:t>f their property or assets, declare or pay dividends, repurchase equity, make payments on subordinated or unsecured debt, make certain investments, sell certain assets, merge, consolidate with or into another entity, or sell all or substantially all of the</w:t>
      </w:r>
      <w:r>
        <w:rPr>
          <w:rFonts w:eastAsia="Times New Roman"/>
          <w:color w:val="000000"/>
          <w:sz w:val="20"/>
          <w:szCs w:val="20"/>
        </w:rPr>
        <w:t>ir assets or enter into certain transactions with affiliates</w:t>
      </w:r>
      <w:r>
        <w:rPr>
          <w:rFonts w:eastAsia="Times New Roman"/>
          <w:color w:val="000000"/>
          <w:sz w:val="20"/>
          <w:szCs w:val="20"/>
        </w:rPr>
        <w:t>.</w:t>
      </w:r>
    </w:p>
    <w:p w14:paraId="279FF621" w14:textId="77777777" w:rsidR="00000000" w:rsidRDefault="00195E73">
      <w:pPr>
        <w:ind w:firstLine="450"/>
        <w:divId w:val="1508449052"/>
        <w:rPr>
          <w:rFonts w:eastAsia="Times New Roman"/>
        </w:rPr>
      </w:pPr>
      <w:r>
        <w:rPr>
          <w:rFonts w:eastAsia="Times New Roman"/>
          <w:color w:val="000000"/>
          <w:sz w:val="20"/>
          <w:szCs w:val="20"/>
        </w:rPr>
        <w:t>As of December 31, 2019 and 2018, total availability under CVR Refining and CVR Partners variable rate asset based revolving credit facilities aggregated $443 million and $444 million, respectiv</w:t>
      </w:r>
      <w:r>
        <w:rPr>
          <w:rFonts w:eastAsia="Times New Roman"/>
          <w:color w:val="000000"/>
          <w:sz w:val="20"/>
          <w:szCs w:val="20"/>
        </w:rPr>
        <w:t>ely. CVR Refining also had $7 million and $6 million of letters of credit outstanding as of December 31, 2019 and 2018.</w:t>
      </w:r>
      <w:r>
        <w:rPr>
          <w:rFonts w:eastAsia="Times New Roman"/>
          <w:color w:val="000000"/>
          <w:sz w:val="20"/>
          <w:szCs w:val="20"/>
        </w:rPr>
        <w:t xml:space="preserve"> </w:t>
      </w:r>
    </w:p>
    <w:p w14:paraId="3EB2111A" w14:textId="77777777" w:rsidR="00000000" w:rsidRDefault="00195E73">
      <w:pPr>
        <w:divId w:val="172453764"/>
        <w:rPr>
          <w:rFonts w:eastAsia="Times New Roman"/>
        </w:rPr>
      </w:pPr>
      <w:r>
        <w:rPr>
          <w:rFonts w:eastAsia="Times New Roman"/>
          <w:i/>
          <w:iCs/>
          <w:color w:val="000000"/>
          <w:sz w:val="20"/>
          <w:szCs w:val="20"/>
        </w:rPr>
        <w:t>Subsequent Even</w:t>
      </w:r>
      <w:r>
        <w:rPr>
          <w:rFonts w:eastAsia="Times New Roman"/>
          <w:i/>
          <w:iCs/>
          <w:color w:val="000000"/>
          <w:sz w:val="20"/>
          <w:szCs w:val="20"/>
        </w:rPr>
        <w:t>t</w:t>
      </w:r>
    </w:p>
    <w:p w14:paraId="5046E65D" w14:textId="77777777" w:rsidR="00000000" w:rsidRDefault="00195E73">
      <w:pPr>
        <w:ind w:firstLine="450"/>
        <w:divId w:val="857893746"/>
        <w:rPr>
          <w:rFonts w:eastAsia="Times New Roman"/>
        </w:rPr>
      </w:pPr>
      <w:r>
        <w:rPr>
          <w:rFonts w:eastAsia="Times New Roman"/>
          <w:color w:val="000000"/>
          <w:sz w:val="20"/>
          <w:szCs w:val="20"/>
        </w:rPr>
        <w:t xml:space="preserve">On January 27, 2020, CVR Energy issued $600 million in aggregate principal amount of 5.25% senior unsecured notes due </w:t>
      </w:r>
      <w:r>
        <w:rPr>
          <w:rFonts w:eastAsia="Times New Roman"/>
          <w:color w:val="000000"/>
          <w:sz w:val="20"/>
          <w:szCs w:val="20"/>
        </w:rPr>
        <w:t>2025 and $400 million in aggregate principal amount of 5.75% senior unsecured notes due 2028. A portion of the net proceeds from the issuance of these notes were used to fund the redemption of the CVR Energy’s existing senior unsecured</w:t>
      </w:r>
      <w:r>
        <w:rPr>
          <w:rFonts w:eastAsia="Times New Roman"/>
          <w:color w:val="000000"/>
          <w:sz w:val="20"/>
          <w:szCs w:val="20"/>
        </w:rPr>
        <w:t xml:space="preserve"> </w:t>
      </w:r>
    </w:p>
    <w:p w14:paraId="4B006868" w14:textId="77777777" w:rsidR="00000000" w:rsidRDefault="00195E73">
      <w:pPr>
        <w:jc w:val="center"/>
        <w:divId w:val="589702322"/>
        <w:rPr>
          <w:rFonts w:eastAsia="Times New Roman"/>
        </w:rPr>
      </w:pPr>
      <w:r>
        <w:rPr>
          <w:rFonts w:eastAsia="Times New Roman"/>
          <w:color w:val="000000"/>
          <w:sz w:val="20"/>
          <w:szCs w:val="20"/>
        </w:rPr>
        <w:t>9</w:t>
      </w:r>
      <w:r>
        <w:rPr>
          <w:rFonts w:eastAsia="Times New Roman"/>
          <w:color w:val="000000"/>
          <w:sz w:val="20"/>
          <w:szCs w:val="20"/>
        </w:rPr>
        <w:t>5</w:t>
      </w:r>
    </w:p>
    <w:p w14:paraId="69B249D3" w14:textId="77777777" w:rsidR="00000000" w:rsidRDefault="00195E73">
      <w:pPr>
        <w:rPr>
          <w:rFonts w:eastAsia="Times New Roman"/>
        </w:rPr>
      </w:pPr>
      <w:r>
        <w:rPr>
          <w:rFonts w:eastAsia="Times New Roman"/>
        </w:rPr>
        <w:pict w14:anchorId="2C05CCFF">
          <v:rect id="_x0000_i1121" style="width:0;height:1.5pt" o:hralign="center" o:hrstd="t" o:hr="t" fillcolor="#a0a0a0" stroked="f"/>
        </w:pict>
      </w:r>
    </w:p>
    <w:p w14:paraId="77C72101" w14:textId="77777777" w:rsidR="00000000" w:rsidRDefault="00195E73">
      <w:pPr>
        <w:jc w:val="center"/>
        <w:divId w:val="56710648"/>
        <w:rPr>
          <w:rFonts w:eastAsia="Times New Roman"/>
        </w:rPr>
      </w:pPr>
    </w:p>
    <w:p w14:paraId="2D4A1F25" w14:textId="77777777" w:rsidR="00000000" w:rsidRDefault="00195E73">
      <w:pPr>
        <w:jc w:val="center"/>
        <w:divId w:val="56710648"/>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0F99AAFB" w14:textId="77777777" w:rsidR="00000000" w:rsidRDefault="00195E73">
      <w:pPr>
        <w:jc w:val="center"/>
        <w:divId w:val="56710648"/>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15411F2D" w14:textId="77777777" w:rsidR="00000000" w:rsidRDefault="00195E73">
      <w:pPr>
        <w:jc w:val="center"/>
        <w:divId w:val="56710648"/>
        <w:rPr>
          <w:rFonts w:eastAsia="Times New Roman"/>
        </w:rPr>
      </w:pPr>
    </w:p>
    <w:p w14:paraId="7E55B977" w14:textId="77777777" w:rsidR="00000000" w:rsidRDefault="00195E73">
      <w:pPr>
        <w:jc w:val="center"/>
        <w:divId w:val="56710648"/>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39B90C4F" w14:textId="77777777" w:rsidR="00000000" w:rsidRDefault="00195E73">
      <w:pPr>
        <w:divId w:val="579297070"/>
        <w:rPr>
          <w:rFonts w:eastAsia="Times New Roman"/>
        </w:rPr>
      </w:pPr>
      <w:r>
        <w:rPr>
          <w:rFonts w:eastAsia="Times New Roman"/>
          <w:color w:val="000000"/>
          <w:sz w:val="20"/>
          <w:szCs w:val="20"/>
        </w:rPr>
        <w:t>notes due 2022. The remaining net proceeds will be used for CVR Energy’s general cor</w:t>
      </w:r>
      <w:r>
        <w:rPr>
          <w:rFonts w:eastAsia="Times New Roman"/>
          <w:color w:val="000000"/>
          <w:sz w:val="20"/>
          <w:szCs w:val="20"/>
        </w:rPr>
        <w:t>porate purposes, which may include funding (i) acquisitions, (ii) capital projects, and/or (iii) share repurchases or other distributions to CVR Energy’s stockholders.</w:t>
      </w:r>
      <w:r>
        <w:rPr>
          <w:rFonts w:eastAsia="Times New Roman"/>
          <w:color w:val="000000"/>
          <w:sz w:val="20"/>
          <w:szCs w:val="20"/>
        </w:rPr>
        <w:t xml:space="preserve"> </w:t>
      </w:r>
    </w:p>
    <w:p w14:paraId="0B19F2C4" w14:textId="77777777" w:rsidR="00000000" w:rsidRDefault="00195E73">
      <w:pPr>
        <w:divId w:val="297997728"/>
        <w:rPr>
          <w:rFonts w:eastAsia="Times New Roman"/>
        </w:rPr>
      </w:pPr>
      <w:r>
        <w:rPr>
          <w:rFonts w:eastAsia="Times New Roman"/>
          <w:b/>
          <w:bCs/>
          <w:i/>
          <w:iCs/>
          <w:color w:val="000000"/>
          <w:sz w:val="20"/>
          <w:szCs w:val="20"/>
        </w:rPr>
        <w:t>Automotiv</w:t>
      </w:r>
      <w:r>
        <w:rPr>
          <w:rFonts w:eastAsia="Times New Roman"/>
          <w:b/>
          <w:bCs/>
          <w:i/>
          <w:iCs/>
          <w:color w:val="000000"/>
          <w:sz w:val="20"/>
          <w:szCs w:val="20"/>
        </w:rPr>
        <w:t>e</w:t>
      </w:r>
    </w:p>
    <w:p w14:paraId="7D83084A" w14:textId="77777777" w:rsidR="00000000" w:rsidRDefault="00195E73">
      <w:pPr>
        <w:ind w:firstLine="450"/>
        <w:divId w:val="415326182"/>
        <w:rPr>
          <w:rFonts w:eastAsia="Times New Roman"/>
        </w:rPr>
      </w:pPr>
      <w:r>
        <w:rPr>
          <w:rFonts w:eastAsia="Times New Roman"/>
          <w:color w:val="000000"/>
          <w:sz w:val="20"/>
          <w:szCs w:val="20"/>
        </w:rPr>
        <w:t>Icahn Automotive’s debt primarily consists of an asset-based revolving credi</w:t>
      </w:r>
      <w:r>
        <w:rPr>
          <w:rFonts w:eastAsia="Times New Roman"/>
          <w:color w:val="000000"/>
          <w:sz w:val="20"/>
          <w:szCs w:val="20"/>
        </w:rPr>
        <w:t>t facility and a first in-last out revolving credit facility, each with variable interest rates. Icahn Automotive debt outstanding under these credit facilities was $382 million and $370 million as of December 31, 2019 and 2018, respectively, with maturity</w:t>
      </w:r>
      <w:r>
        <w:rPr>
          <w:rFonts w:eastAsia="Times New Roman"/>
          <w:color w:val="000000"/>
          <w:sz w:val="20"/>
          <w:szCs w:val="20"/>
        </w:rPr>
        <w:t xml:space="preserve"> dates ranging from 2019 and 2021. Interest for each of these notes are accrued and paid based on contractual terms. The weighted average interest rate on these notes was 4.15% and 4.37% as of December 31, 2019 and 2018, respectively. Substantially all of </w:t>
      </w:r>
      <w:r>
        <w:rPr>
          <w:rFonts w:eastAsia="Times New Roman"/>
          <w:color w:val="000000"/>
          <w:sz w:val="20"/>
          <w:szCs w:val="20"/>
        </w:rPr>
        <w:t>Icahn Automotive’s assets are pledged as collateral under the above credit facilities.</w:t>
      </w:r>
      <w:r>
        <w:rPr>
          <w:rFonts w:eastAsia="Times New Roman"/>
          <w:color w:val="000000"/>
          <w:sz w:val="20"/>
          <w:szCs w:val="20"/>
        </w:rPr>
        <w:t xml:space="preserve"> </w:t>
      </w:r>
    </w:p>
    <w:p w14:paraId="26E1FCD7" w14:textId="77777777" w:rsidR="00000000" w:rsidRDefault="00195E73">
      <w:pPr>
        <w:ind w:firstLine="450"/>
        <w:divId w:val="659626106"/>
        <w:rPr>
          <w:rFonts w:eastAsia="Times New Roman"/>
        </w:rPr>
      </w:pPr>
      <w:r>
        <w:rPr>
          <w:rFonts w:eastAsia="Times New Roman"/>
          <w:color w:val="000000"/>
          <w:sz w:val="20"/>
          <w:szCs w:val="20"/>
        </w:rPr>
        <w:t>As of December </w:t>
      </w:r>
      <w:r>
        <w:rPr>
          <w:rFonts w:eastAsia="Times New Roman"/>
          <w:color w:val="000000"/>
          <w:sz w:val="20"/>
          <w:szCs w:val="20"/>
        </w:rPr>
        <w:t>31, 2019 and 2018, there was availability under revolving credit facilities of $107 million and $90 million, respectively. Icahn Automotive also had $41 million and $40 million of letters of credit outstanding as of December 31, 2019 and 2018, respectively</w:t>
      </w:r>
      <w:r>
        <w:rPr>
          <w:rFonts w:eastAsia="Times New Roman"/>
          <w:color w:val="000000"/>
          <w:sz w:val="20"/>
          <w:szCs w:val="20"/>
        </w:rPr>
        <w:t>.</w:t>
      </w:r>
      <w:r>
        <w:rPr>
          <w:rFonts w:eastAsia="Times New Roman"/>
          <w:color w:val="000000"/>
          <w:sz w:val="20"/>
          <w:szCs w:val="20"/>
        </w:rPr>
        <w:t xml:space="preserve"> </w:t>
      </w:r>
    </w:p>
    <w:p w14:paraId="46AD849E" w14:textId="77777777" w:rsidR="00000000" w:rsidRDefault="00195E73">
      <w:pPr>
        <w:divId w:val="272908209"/>
        <w:rPr>
          <w:rFonts w:eastAsia="Times New Roman"/>
        </w:rPr>
      </w:pPr>
      <w:r>
        <w:rPr>
          <w:rFonts w:eastAsia="Times New Roman"/>
          <w:b/>
          <w:bCs/>
          <w:i/>
          <w:iCs/>
          <w:color w:val="000000"/>
          <w:sz w:val="20"/>
          <w:szCs w:val="20"/>
        </w:rPr>
        <w:t>Food Packaging</w:t>
      </w:r>
      <w:r>
        <w:rPr>
          <w:rFonts w:eastAsia="Times New Roman"/>
          <w:b/>
          <w:bCs/>
          <w:i/>
          <w:iCs/>
          <w:color w:val="000000"/>
          <w:sz w:val="20"/>
          <w:szCs w:val="20"/>
        </w:rPr>
        <w:t xml:space="preserve"> </w:t>
      </w:r>
    </w:p>
    <w:p w14:paraId="09C58A4D" w14:textId="77777777" w:rsidR="00000000" w:rsidRDefault="00195E73">
      <w:pPr>
        <w:ind w:firstLine="450"/>
        <w:divId w:val="1979534593"/>
        <w:rPr>
          <w:rFonts w:eastAsia="Times New Roman"/>
        </w:rPr>
      </w:pPr>
      <w:r>
        <w:rPr>
          <w:rFonts w:eastAsia="Times New Roman"/>
          <w:color w:val="000000"/>
          <w:sz w:val="20"/>
          <w:szCs w:val="20"/>
        </w:rPr>
        <w:t>Viskase’s debt primarily consists of a credit agreement providing for a senior secured term loan facility issued in 2014 and maturing in 2021. Interest for this note is accrued and paid based on contractual terms. The interest rate on th</w:t>
      </w:r>
      <w:r>
        <w:rPr>
          <w:rFonts w:eastAsia="Times New Roman"/>
          <w:color w:val="000000"/>
          <w:sz w:val="20"/>
          <w:szCs w:val="20"/>
        </w:rPr>
        <w:t>is note was 5.19% and 6.05% as of December 31, 2019 and 2018, respectively</w:t>
      </w:r>
      <w:r>
        <w:rPr>
          <w:rFonts w:eastAsia="Times New Roman"/>
          <w:color w:val="000000"/>
          <w:sz w:val="20"/>
          <w:szCs w:val="20"/>
        </w:rPr>
        <w:t>.</w:t>
      </w:r>
    </w:p>
    <w:p w14:paraId="7A576AD6" w14:textId="77777777" w:rsidR="00000000" w:rsidRDefault="00195E73">
      <w:pPr>
        <w:divId w:val="1157841906"/>
        <w:rPr>
          <w:rFonts w:eastAsia="Times New Roman"/>
        </w:rPr>
      </w:pPr>
      <w:r>
        <w:rPr>
          <w:rFonts w:eastAsia="Times New Roman"/>
          <w:b/>
          <w:bCs/>
          <w:color w:val="000000"/>
          <w:sz w:val="20"/>
          <w:szCs w:val="20"/>
        </w:rPr>
        <w:t>Covenant</w:t>
      </w:r>
      <w:r>
        <w:rPr>
          <w:rFonts w:eastAsia="Times New Roman"/>
          <w:b/>
          <w:bCs/>
          <w:color w:val="000000"/>
          <w:sz w:val="20"/>
          <w:szCs w:val="20"/>
        </w:rPr>
        <w:t>s</w:t>
      </w:r>
    </w:p>
    <w:p w14:paraId="06AA7CCC" w14:textId="77777777" w:rsidR="00000000" w:rsidRDefault="00195E73">
      <w:pPr>
        <w:ind w:firstLine="450"/>
        <w:divId w:val="1118765553"/>
        <w:rPr>
          <w:rFonts w:eastAsia="Times New Roman"/>
        </w:rPr>
      </w:pPr>
      <w:r>
        <w:rPr>
          <w:rFonts w:eastAsia="Times New Roman"/>
          <w:color w:val="000000"/>
          <w:sz w:val="20"/>
          <w:szCs w:val="20"/>
        </w:rPr>
        <w:t>All of our subsidiaries are currently in compliance with all covenants and restrictions as described in the various executed agreements and contracts with respect to each</w:t>
      </w:r>
      <w:r>
        <w:rPr>
          <w:rFonts w:eastAsia="Times New Roman"/>
          <w:color w:val="000000"/>
          <w:sz w:val="20"/>
          <w:szCs w:val="20"/>
        </w:rPr>
        <w:t xml:space="preserve"> debt instrument. These covenants include limitations on indebtedness, liens, investments, acquisitions, asset sales, dividends and other restricted payments and affiliate and extraordinary transactions.</w:t>
      </w:r>
      <w:r>
        <w:rPr>
          <w:rFonts w:eastAsia="Times New Roman"/>
          <w:color w:val="000000"/>
          <w:sz w:val="20"/>
          <w:szCs w:val="20"/>
        </w:rPr>
        <w:t xml:space="preserve"> </w:t>
      </w:r>
    </w:p>
    <w:p w14:paraId="558244B2" w14:textId="77777777" w:rsidR="00000000" w:rsidRDefault="00195E73">
      <w:pPr>
        <w:divId w:val="2003652582"/>
        <w:rPr>
          <w:rFonts w:eastAsia="Times New Roman"/>
        </w:rPr>
      </w:pPr>
      <w:r>
        <w:rPr>
          <w:rFonts w:eastAsia="Times New Roman"/>
          <w:b/>
          <w:bCs/>
          <w:color w:val="000000"/>
          <w:sz w:val="20"/>
          <w:szCs w:val="20"/>
        </w:rPr>
        <w:t>Non-Cash Charges to Interest Expens</w:t>
      </w:r>
      <w:r>
        <w:rPr>
          <w:rFonts w:eastAsia="Times New Roman"/>
          <w:b/>
          <w:bCs/>
          <w:color w:val="000000"/>
          <w:sz w:val="20"/>
          <w:szCs w:val="20"/>
        </w:rPr>
        <w:t>e</w:t>
      </w:r>
    </w:p>
    <w:p w14:paraId="01924F6A" w14:textId="77777777" w:rsidR="00000000" w:rsidRDefault="00195E73">
      <w:pPr>
        <w:ind w:firstLine="450"/>
        <w:divId w:val="1036348884"/>
        <w:rPr>
          <w:rFonts w:eastAsia="Times New Roman"/>
        </w:rPr>
      </w:pPr>
      <w:r>
        <w:rPr>
          <w:rFonts w:eastAsia="Times New Roman"/>
          <w:color w:val="000000"/>
          <w:sz w:val="20"/>
          <w:szCs w:val="20"/>
        </w:rPr>
        <w:t>The amortizati</w:t>
      </w:r>
      <w:r>
        <w:rPr>
          <w:rFonts w:eastAsia="Times New Roman"/>
          <w:color w:val="000000"/>
          <w:sz w:val="20"/>
          <w:szCs w:val="20"/>
        </w:rPr>
        <w:t>on of deferred financing costs and debt discounts and premiums included in interest expense in the consolidated statements of operations were $7 million, $5 million and $10 million for the years ended December 31, 2019, 2018 and 2017, respectively</w:t>
      </w:r>
      <w:r>
        <w:rPr>
          <w:rFonts w:eastAsia="Times New Roman"/>
          <w:color w:val="000000"/>
          <w:sz w:val="20"/>
          <w:szCs w:val="20"/>
        </w:rPr>
        <w:t>.</w:t>
      </w:r>
    </w:p>
    <w:p w14:paraId="64FD3474" w14:textId="77777777" w:rsidR="00000000" w:rsidRDefault="00195E73">
      <w:pPr>
        <w:divId w:val="2082755576"/>
        <w:rPr>
          <w:rFonts w:eastAsia="Times New Roman"/>
        </w:rPr>
      </w:pPr>
      <w:r>
        <w:rPr>
          <w:rFonts w:eastAsia="Times New Roman"/>
          <w:b/>
          <w:bCs/>
          <w:color w:val="000000"/>
          <w:sz w:val="20"/>
          <w:szCs w:val="20"/>
        </w:rPr>
        <w:t>Consoli</w:t>
      </w:r>
      <w:r>
        <w:rPr>
          <w:rFonts w:eastAsia="Times New Roman"/>
          <w:b/>
          <w:bCs/>
          <w:color w:val="000000"/>
          <w:sz w:val="20"/>
          <w:szCs w:val="20"/>
        </w:rPr>
        <w:t>dated Maturitie</w:t>
      </w:r>
      <w:r>
        <w:rPr>
          <w:rFonts w:eastAsia="Times New Roman"/>
          <w:b/>
          <w:bCs/>
          <w:color w:val="000000"/>
          <w:sz w:val="20"/>
          <w:szCs w:val="20"/>
        </w:rPr>
        <w:t>s</w:t>
      </w:r>
    </w:p>
    <w:p w14:paraId="60D220A7" w14:textId="77777777" w:rsidR="00000000" w:rsidRDefault="00195E73">
      <w:pPr>
        <w:ind w:firstLine="405"/>
        <w:divId w:val="3217044"/>
        <w:rPr>
          <w:rFonts w:eastAsia="Times New Roman"/>
        </w:rPr>
      </w:pPr>
      <w:r>
        <w:rPr>
          <w:rFonts w:eastAsia="Times New Roman"/>
          <w:color w:val="000000"/>
          <w:sz w:val="20"/>
          <w:szCs w:val="20"/>
        </w:rPr>
        <w:t>The following is a summary of the maturities of our debt</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60"/>
        <w:gridCol w:w="6820"/>
        <w:gridCol w:w="61"/>
        <w:gridCol w:w="36"/>
        <w:gridCol w:w="36"/>
        <w:gridCol w:w="36"/>
        <w:gridCol w:w="136"/>
        <w:gridCol w:w="1011"/>
        <w:gridCol w:w="85"/>
      </w:tblGrid>
      <w:tr w:rsidR="00000000" w14:paraId="121183E0" w14:textId="77777777">
        <w:trPr>
          <w:divId w:val="1951468174"/>
          <w:jc w:val="center"/>
        </w:trPr>
        <w:tc>
          <w:tcPr>
            <w:tcW w:w="50" w:type="pct"/>
            <w:vAlign w:val="center"/>
            <w:hideMark/>
          </w:tcPr>
          <w:p w14:paraId="783B9C27" w14:textId="77777777" w:rsidR="00000000" w:rsidRDefault="00195E73">
            <w:pPr>
              <w:ind w:firstLine="405"/>
              <w:rPr>
                <w:rFonts w:eastAsia="Times New Roman"/>
              </w:rPr>
            </w:pPr>
          </w:p>
        </w:tc>
        <w:tc>
          <w:tcPr>
            <w:tcW w:w="4130" w:type="pct"/>
            <w:vAlign w:val="center"/>
            <w:hideMark/>
          </w:tcPr>
          <w:p w14:paraId="21E27D2E" w14:textId="77777777" w:rsidR="00000000" w:rsidRDefault="00195E73">
            <w:pPr>
              <w:rPr>
                <w:rFonts w:eastAsia="Times New Roman"/>
                <w:sz w:val="20"/>
                <w:szCs w:val="20"/>
              </w:rPr>
            </w:pPr>
          </w:p>
        </w:tc>
        <w:tc>
          <w:tcPr>
            <w:tcW w:w="50" w:type="pct"/>
            <w:vAlign w:val="center"/>
            <w:hideMark/>
          </w:tcPr>
          <w:p w14:paraId="08E90EAD" w14:textId="77777777" w:rsidR="00000000" w:rsidRDefault="00195E73">
            <w:pPr>
              <w:rPr>
                <w:rFonts w:eastAsia="Times New Roman"/>
                <w:sz w:val="20"/>
                <w:szCs w:val="20"/>
              </w:rPr>
            </w:pPr>
          </w:p>
        </w:tc>
        <w:tc>
          <w:tcPr>
            <w:tcW w:w="5" w:type="pct"/>
            <w:vAlign w:val="center"/>
            <w:hideMark/>
          </w:tcPr>
          <w:p w14:paraId="6FE4C8D4" w14:textId="77777777" w:rsidR="00000000" w:rsidRDefault="00195E73">
            <w:pPr>
              <w:rPr>
                <w:rFonts w:eastAsia="Times New Roman"/>
                <w:sz w:val="20"/>
                <w:szCs w:val="20"/>
              </w:rPr>
            </w:pPr>
          </w:p>
        </w:tc>
        <w:tc>
          <w:tcPr>
            <w:tcW w:w="26" w:type="pct"/>
            <w:vAlign w:val="center"/>
            <w:hideMark/>
          </w:tcPr>
          <w:p w14:paraId="36F95FE2" w14:textId="77777777" w:rsidR="00000000" w:rsidRDefault="00195E73">
            <w:pPr>
              <w:rPr>
                <w:rFonts w:eastAsia="Times New Roman"/>
                <w:sz w:val="20"/>
                <w:szCs w:val="20"/>
              </w:rPr>
            </w:pPr>
          </w:p>
        </w:tc>
        <w:tc>
          <w:tcPr>
            <w:tcW w:w="5" w:type="pct"/>
            <w:vAlign w:val="center"/>
            <w:hideMark/>
          </w:tcPr>
          <w:p w14:paraId="17E0261D" w14:textId="77777777" w:rsidR="00000000" w:rsidRDefault="00195E73">
            <w:pPr>
              <w:rPr>
                <w:rFonts w:eastAsia="Times New Roman"/>
                <w:sz w:val="20"/>
                <w:szCs w:val="20"/>
              </w:rPr>
            </w:pPr>
          </w:p>
        </w:tc>
        <w:tc>
          <w:tcPr>
            <w:tcW w:w="50" w:type="pct"/>
            <w:vAlign w:val="center"/>
            <w:hideMark/>
          </w:tcPr>
          <w:p w14:paraId="0D22E52E" w14:textId="77777777" w:rsidR="00000000" w:rsidRDefault="00195E73">
            <w:pPr>
              <w:rPr>
                <w:rFonts w:eastAsia="Times New Roman"/>
                <w:sz w:val="20"/>
                <w:szCs w:val="20"/>
              </w:rPr>
            </w:pPr>
          </w:p>
        </w:tc>
        <w:tc>
          <w:tcPr>
            <w:tcW w:w="633" w:type="pct"/>
            <w:vAlign w:val="center"/>
            <w:hideMark/>
          </w:tcPr>
          <w:p w14:paraId="0EBEC37F" w14:textId="77777777" w:rsidR="00000000" w:rsidRDefault="00195E73">
            <w:pPr>
              <w:rPr>
                <w:rFonts w:eastAsia="Times New Roman"/>
                <w:sz w:val="20"/>
                <w:szCs w:val="20"/>
              </w:rPr>
            </w:pPr>
          </w:p>
        </w:tc>
        <w:tc>
          <w:tcPr>
            <w:tcW w:w="50" w:type="pct"/>
            <w:vAlign w:val="center"/>
            <w:hideMark/>
          </w:tcPr>
          <w:p w14:paraId="475E91F0" w14:textId="77777777" w:rsidR="00000000" w:rsidRDefault="00195E73">
            <w:pPr>
              <w:rPr>
                <w:rFonts w:eastAsia="Times New Roman"/>
                <w:sz w:val="20"/>
                <w:szCs w:val="20"/>
              </w:rPr>
            </w:pPr>
          </w:p>
        </w:tc>
      </w:tr>
      <w:tr w:rsidR="00000000" w14:paraId="5BB2A231" w14:textId="77777777">
        <w:trPr>
          <w:divId w:val="1951468174"/>
          <w:jc w:val="center"/>
        </w:trPr>
        <w:tc>
          <w:tcPr>
            <w:tcW w:w="0" w:type="auto"/>
            <w:gridSpan w:val="3"/>
            <w:tcMar>
              <w:top w:w="30" w:type="dxa"/>
              <w:left w:w="20" w:type="dxa"/>
              <w:bottom w:w="30" w:type="dxa"/>
              <w:right w:w="20" w:type="dxa"/>
            </w:tcMar>
            <w:vAlign w:val="bottom"/>
            <w:hideMark/>
          </w:tcPr>
          <w:p w14:paraId="44FCDA21" w14:textId="77777777" w:rsidR="00000000" w:rsidRDefault="00195E73">
            <w:pPr>
              <w:rPr>
                <w:rFonts w:eastAsia="Times New Roman"/>
              </w:rPr>
            </w:pPr>
            <w:r>
              <w:rPr>
                <w:rFonts w:eastAsia="Times New Roman"/>
                <w:b/>
                <w:bCs/>
                <w:color w:val="000000"/>
                <w:sz w:val="20"/>
                <w:szCs w:val="20"/>
              </w:rPr>
              <w:t>Yea</w:t>
            </w:r>
            <w:r>
              <w:rPr>
                <w:rFonts w:eastAsia="Times New Roman"/>
                <w:b/>
                <w:bCs/>
                <w:color w:val="000000"/>
                <w:sz w:val="20"/>
                <w:szCs w:val="20"/>
              </w:rPr>
              <w:t>r</w:t>
            </w:r>
          </w:p>
        </w:tc>
        <w:tc>
          <w:tcPr>
            <w:tcW w:w="0" w:type="auto"/>
            <w:gridSpan w:val="3"/>
            <w:tcMar>
              <w:top w:w="15" w:type="dxa"/>
              <w:left w:w="20" w:type="dxa"/>
              <w:bottom w:w="15" w:type="dxa"/>
              <w:right w:w="20" w:type="dxa"/>
            </w:tcMar>
            <w:vAlign w:val="bottom"/>
            <w:hideMark/>
          </w:tcPr>
          <w:p w14:paraId="3348EED8"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0FFF998E" w14:textId="77777777" w:rsidR="00000000" w:rsidRDefault="00195E73">
            <w:pPr>
              <w:jc w:val="center"/>
              <w:rPr>
                <w:rFonts w:eastAsia="Times New Roman"/>
              </w:rPr>
            </w:pPr>
            <w:r>
              <w:rPr>
                <w:rFonts w:eastAsia="Times New Roman"/>
                <w:b/>
                <w:bCs/>
                <w:color w:val="000000"/>
                <w:sz w:val="20"/>
                <w:szCs w:val="20"/>
              </w:rPr>
              <w:t>Amoun</w:t>
            </w:r>
            <w:r>
              <w:rPr>
                <w:rFonts w:eastAsia="Times New Roman"/>
                <w:b/>
                <w:bCs/>
                <w:color w:val="000000"/>
                <w:sz w:val="20"/>
                <w:szCs w:val="20"/>
              </w:rPr>
              <w:t>t</w:t>
            </w:r>
          </w:p>
        </w:tc>
      </w:tr>
      <w:tr w:rsidR="00000000" w14:paraId="3D48BD11" w14:textId="77777777">
        <w:trPr>
          <w:divId w:val="1951468174"/>
          <w:jc w:val="center"/>
        </w:trPr>
        <w:tc>
          <w:tcPr>
            <w:tcW w:w="0" w:type="auto"/>
            <w:gridSpan w:val="3"/>
            <w:tcBorders>
              <w:top w:val="single" w:sz="8" w:space="0" w:color="000000"/>
            </w:tcBorders>
            <w:tcMar>
              <w:top w:w="15" w:type="dxa"/>
              <w:left w:w="20" w:type="dxa"/>
              <w:bottom w:w="15" w:type="dxa"/>
              <w:right w:w="20" w:type="dxa"/>
            </w:tcMar>
            <w:vAlign w:val="bottom"/>
            <w:hideMark/>
          </w:tcPr>
          <w:p w14:paraId="6F05282F" w14:textId="77777777" w:rsidR="00000000" w:rsidRDefault="00195E73">
            <w:pPr>
              <w:jc w:val="center"/>
              <w:rPr>
                <w:rFonts w:eastAsia="Times New Roman"/>
              </w:rPr>
            </w:pPr>
          </w:p>
        </w:tc>
        <w:tc>
          <w:tcPr>
            <w:tcW w:w="0" w:type="auto"/>
            <w:gridSpan w:val="3"/>
            <w:tcMar>
              <w:top w:w="15" w:type="dxa"/>
              <w:left w:w="20" w:type="dxa"/>
              <w:bottom w:w="15" w:type="dxa"/>
              <w:right w:w="20" w:type="dxa"/>
            </w:tcMar>
            <w:vAlign w:val="bottom"/>
            <w:hideMark/>
          </w:tcPr>
          <w:p w14:paraId="33E392FA" w14:textId="77777777" w:rsidR="00000000" w:rsidRDefault="00195E73">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3C8A5D0F"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2320D2EE" w14:textId="77777777" w:rsidR="00000000" w:rsidRDefault="00195E73">
            <w:pPr>
              <w:jc w:val="right"/>
              <w:rPr>
                <w:rFonts w:eastAsia="Times New Roman"/>
              </w:rPr>
            </w:pPr>
            <w:r>
              <w:rPr>
                <w:rFonts w:eastAsia="Times New Roman"/>
                <w:color w:val="000000"/>
                <w:sz w:val="16"/>
                <w:szCs w:val="16"/>
              </w:rPr>
              <w:t> </w:t>
            </w:r>
          </w:p>
        </w:tc>
      </w:tr>
      <w:tr w:rsidR="00000000" w14:paraId="44EA1A3D" w14:textId="77777777">
        <w:trPr>
          <w:divId w:val="1951468174"/>
          <w:jc w:val="center"/>
        </w:trPr>
        <w:tc>
          <w:tcPr>
            <w:tcW w:w="0" w:type="auto"/>
            <w:gridSpan w:val="3"/>
            <w:shd w:val="clear" w:color="auto" w:fill="CCEEFF"/>
            <w:tcMar>
              <w:top w:w="30" w:type="dxa"/>
              <w:left w:w="20" w:type="dxa"/>
              <w:bottom w:w="30" w:type="dxa"/>
              <w:right w:w="20" w:type="dxa"/>
            </w:tcMar>
            <w:vAlign w:val="bottom"/>
            <w:hideMark/>
          </w:tcPr>
          <w:p w14:paraId="2A8A0F64"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14:paraId="0D7D3D7B" w14:textId="77777777" w:rsidR="00000000" w:rsidRDefault="00195E73">
            <w:pPr>
              <w:rPr>
                <w:rFonts w:eastAsia="Times New Roman"/>
              </w:rPr>
            </w:pPr>
          </w:p>
        </w:tc>
        <w:tc>
          <w:tcPr>
            <w:tcW w:w="0" w:type="auto"/>
            <w:shd w:val="clear" w:color="auto" w:fill="CCEEFF"/>
            <w:tcMar>
              <w:top w:w="30" w:type="dxa"/>
              <w:left w:w="20" w:type="dxa"/>
              <w:bottom w:w="30" w:type="dxa"/>
              <w:right w:w="15" w:type="dxa"/>
            </w:tcMar>
            <w:vAlign w:val="bottom"/>
            <w:hideMark/>
          </w:tcPr>
          <w:p w14:paraId="18AC5C7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76437B2" w14:textId="77777777" w:rsidR="00000000" w:rsidRDefault="00195E73">
            <w:pPr>
              <w:jc w:val="right"/>
              <w:rPr>
                <w:rFonts w:eastAsia="Times New Roman"/>
              </w:rPr>
            </w:pPr>
            <w:r>
              <w:rPr>
                <w:rFonts w:eastAsia="Times New Roman"/>
                <w:color w:val="000000"/>
                <w:sz w:val="20"/>
                <w:szCs w:val="20"/>
              </w:rPr>
              <w:t>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AB961CF" w14:textId="77777777" w:rsidR="00000000" w:rsidRDefault="00195E73">
            <w:pPr>
              <w:jc w:val="right"/>
              <w:rPr>
                <w:rFonts w:eastAsia="Times New Roman"/>
              </w:rPr>
            </w:pPr>
            <w:r>
              <w:rPr>
                <w:rFonts w:eastAsia="Times New Roman"/>
                <w:color w:val="000000"/>
                <w:sz w:val="20"/>
                <w:szCs w:val="20"/>
              </w:rPr>
              <w:t> </w:t>
            </w:r>
          </w:p>
        </w:tc>
      </w:tr>
      <w:tr w:rsidR="00000000" w14:paraId="65E4FC82" w14:textId="77777777">
        <w:trPr>
          <w:divId w:val="1951468174"/>
          <w:jc w:val="center"/>
        </w:trPr>
        <w:tc>
          <w:tcPr>
            <w:tcW w:w="0" w:type="auto"/>
            <w:gridSpan w:val="3"/>
            <w:shd w:val="clear" w:color="auto" w:fill="FFFFFF"/>
            <w:tcMar>
              <w:top w:w="30" w:type="dxa"/>
              <w:left w:w="20" w:type="dxa"/>
              <w:bottom w:w="30" w:type="dxa"/>
              <w:right w:w="20" w:type="dxa"/>
            </w:tcMar>
            <w:vAlign w:val="bottom"/>
            <w:hideMark/>
          </w:tcPr>
          <w:p w14:paraId="63FD8068"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14:paraId="0F34055A"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BE12EE" w14:textId="77777777" w:rsidR="00000000" w:rsidRDefault="00195E73">
            <w:pPr>
              <w:jc w:val="right"/>
              <w:rPr>
                <w:rFonts w:eastAsia="Times New Roman"/>
              </w:rPr>
            </w:pPr>
            <w:r>
              <w:rPr>
                <w:rFonts w:eastAsia="Times New Roman"/>
                <w:color w:val="000000"/>
                <w:sz w:val="20"/>
                <w:szCs w:val="20"/>
              </w:rPr>
              <w:t>640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BE90801" w14:textId="77777777" w:rsidR="00000000" w:rsidRDefault="00195E73">
            <w:pPr>
              <w:jc w:val="right"/>
              <w:rPr>
                <w:rFonts w:eastAsia="Times New Roman"/>
              </w:rPr>
            </w:pPr>
            <w:r>
              <w:rPr>
                <w:rFonts w:eastAsia="Times New Roman"/>
                <w:color w:val="000000"/>
                <w:sz w:val="20"/>
                <w:szCs w:val="20"/>
              </w:rPr>
              <w:t> </w:t>
            </w:r>
          </w:p>
        </w:tc>
      </w:tr>
      <w:tr w:rsidR="00000000" w14:paraId="05A79F88" w14:textId="77777777">
        <w:trPr>
          <w:divId w:val="1951468174"/>
          <w:jc w:val="center"/>
        </w:trPr>
        <w:tc>
          <w:tcPr>
            <w:tcW w:w="0" w:type="auto"/>
            <w:gridSpan w:val="3"/>
            <w:shd w:val="clear" w:color="auto" w:fill="CCEEFF"/>
            <w:tcMar>
              <w:top w:w="30" w:type="dxa"/>
              <w:left w:w="20" w:type="dxa"/>
              <w:bottom w:w="30" w:type="dxa"/>
              <w:right w:w="20" w:type="dxa"/>
            </w:tcMar>
            <w:vAlign w:val="bottom"/>
            <w:hideMark/>
          </w:tcPr>
          <w:p w14:paraId="1CB7E1AB"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14:paraId="555919D0"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401F59" w14:textId="77777777" w:rsidR="00000000" w:rsidRDefault="00195E73">
            <w:pPr>
              <w:jc w:val="right"/>
              <w:rPr>
                <w:rFonts w:eastAsia="Times New Roman"/>
              </w:rPr>
            </w:pPr>
            <w:r>
              <w:rPr>
                <w:rFonts w:eastAsia="Times New Roman"/>
                <w:color w:val="000000"/>
                <w:sz w:val="20"/>
                <w:szCs w:val="20"/>
              </w:rPr>
              <w:t>3,055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4FF6A8D" w14:textId="77777777" w:rsidR="00000000" w:rsidRDefault="00195E73">
            <w:pPr>
              <w:jc w:val="right"/>
              <w:rPr>
                <w:rFonts w:eastAsia="Times New Roman"/>
              </w:rPr>
            </w:pPr>
            <w:r>
              <w:rPr>
                <w:rFonts w:eastAsia="Times New Roman"/>
                <w:color w:val="000000"/>
                <w:sz w:val="20"/>
                <w:szCs w:val="20"/>
              </w:rPr>
              <w:t> </w:t>
            </w:r>
          </w:p>
        </w:tc>
      </w:tr>
      <w:tr w:rsidR="00000000" w14:paraId="48838D26" w14:textId="77777777">
        <w:trPr>
          <w:divId w:val="1951468174"/>
          <w:jc w:val="center"/>
        </w:trPr>
        <w:tc>
          <w:tcPr>
            <w:tcW w:w="0" w:type="auto"/>
            <w:gridSpan w:val="3"/>
            <w:shd w:val="clear" w:color="auto" w:fill="FFFFFF"/>
            <w:tcMar>
              <w:top w:w="30" w:type="dxa"/>
              <w:left w:w="20" w:type="dxa"/>
              <w:bottom w:w="30" w:type="dxa"/>
              <w:right w:w="20" w:type="dxa"/>
            </w:tcMar>
            <w:vAlign w:val="bottom"/>
            <w:hideMark/>
          </w:tcPr>
          <w:p w14:paraId="0A9FE513"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14:paraId="3323B403"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BDB413" w14:textId="77777777" w:rsidR="00000000" w:rsidRDefault="00195E73">
            <w:pPr>
              <w:jc w:val="right"/>
              <w:rPr>
                <w:rFonts w:eastAsia="Times New Roman"/>
              </w:rPr>
            </w:pPr>
            <w:r>
              <w:rPr>
                <w:rFonts w:eastAsia="Times New Roman"/>
                <w:color w:val="000000"/>
                <w:sz w:val="20"/>
                <w:szCs w:val="20"/>
              </w:rPr>
              <w:t>645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7B226B4" w14:textId="77777777" w:rsidR="00000000" w:rsidRDefault="00195E73">
            <w:pPr>
              <w:jc w:val="right"/>
              <w:rPr>
                <w:rFonts w:eastAsia="Times New Roman"/>
              </w:rPr>
            </w:pPr>
            <w:r>
              <w:rPr>
                <w:rFonts w:eastAsia="Times New Roman"/>
                <w:color w:val="000000"/>
                <w:sz w:val="20"/>
                <w:szCs w:val="20"/>
              </w:rPr>
              <w:t> </w:t>
            </w:r>
          </w:p>
        </w:tc>
      </w:tr>
      <w:tr w:rsidR="00000000" w14:paraId="5DF4CB76" w14:textId="77777777">
        <w:trPr>
          <w:divId w:val="1951468174"/>
          <w:jc w:val="center"/>
        </w:trPr>
        <w:tc>
          <w:tcPr>
            <w:tcW w:w="0" w:type="auto"/>
            <w:gridSpan w:val="3"/>
            <w:shd w:val="clear" w:color="auto" w:fill="CCEEFF"/>
            <w:tcMar>
              <w:top w:w="30" w:type="dxa"/>
              <w:left w:w="20" w:type="dxa"/>
              <w:bottom w:w="30" w:type="dxa"/>
              <w:right w:w="20" w:type="dxa"/>
            </w:tcMar>
            <w:vAlign w:val="bottom"/>
            <w:hideMark/>
          </w:tcPr>
          <w:p w14:paraId="79CAC8C3"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14:paraId="7384D87F"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72837C" w14:textId="77777777" w:rsidR="00000000" w:rsidRDefault="00195E73">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62B15EC" w14:textId="77777777" w:rsidR="00000000" w:rsidRDefault="00195E73">
            <w:pPr>
              <w:jc w:val="right"/>
              <w:rPr>
                <w:rFonts w:eastAsia="Times New Roman"/>
              </w:rPr>
            </w:pPr>
            <w:r>
              <w:rPr>
                <w:rFonts w:eastAsia="Times New Roman"/>
                <w:color w:val="000000"/>
                <w:sz w:val="20"/>
                <w:szCs w:val="20"/>
              </w:rPr>
              <w:t> </w:t>
            </w:r>
          </w:p>
        </w:tc>
      </w:tr>
      <w:tr w:rsidR="00000000" w14:paraId="31198C57" w14:textId="77777777">
        <w:trPr>
          <w:divId w:val="1951468174"/>
          <w:jc w:val="center"/>
        </w:trPr>
        <w:tc>
          <w:tcPr>
            <w:tcW w:w="0" w:type="auto"/>
            <w:gridSpan w:val="3"/>
            <w:shd w:val="clear" w:color="auto" w:fill="FFFFFF"/>
            <w:tcMar>
              <w:top w:w="30" w:type="dxa"/>
              <w:left w:w="20" w:type="dxa"/>
              <w:bottom w:w="30" w:type="dxa"/>
              <w:right w:w="20" w:type="dxa"/>
            </w:tcMar>
            <w:vAlign w:val="bottom"/>
            <w:hideMark/>
          </w:tcPr>
          <w:p w14:paraId="132E47B6" w14:textId="77777777" w:rsidR="00000000" w:rsidRDefault="00195E73">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14:paraId="7181BC6C"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267AFD" w14:textId="77777777" w:rsidR="00000000" w:rsidRDefault="00195E73">
            <w:pPr>
              <w:jc w:val="right"/>
              <w:rPr>
                <w:rFonts w:eastAsia="Times New Roman"/>
              </w:rPr>
            </w:pPr>
            <w:r>
              <w:rPr>
                <w:rFonts w:eastAsia="Times New Roman"/>
                <w:color w:val="000000"/>
                <w:sz w:val="20"/>
                <w:szCs w:val="20"/>
              </w:rPr>
              <w:t>2,751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4490A35" w14:textId="77777777" w:rsidR="00000000" w:rsidRDefault="00195E73">
            <w:pPr>
              <w:jc w:val="right"/>
              <w:rPr>
                <w:rFonts w:eastAsia="Times New Roman"/>
              </w:rPr>
            </w:pPr>
            <w:r>
              <w:rPr>
                <w:rFonts w:eastAsia="Times New Roman"/>
                <w:color w:val="000000"/>
                <w:sz w:val="20"/>
                <w:szCs w:val="20"/>
              </w:rPr>
              <w:t> </w:t>
            </w:r>
          </w:p>
        </w:tc>
      </w:tr>
      <w:tr w:rsidR="00000000" w14:paraId="2AE69036" w14:textId="77777777">
        <w:trPr>
          <w:divId w:val="1951468174"/>
          <w:jc w:val="center"/>
        </w:trPr>
        <w:tc>
          <w:tcPr>
            <w:tcW w:w="0" w:type="auto"/>
            <w:gridSpan w:val="3"/>
            <w:shd w:val="clear" w:color="auto" w:fill="CCEEFF"/>
            <w:tcMar>
              <w:top w:w="30" w:type="dxa"/>
              <w:left w:w="20" w:type="dxa"/>
              <w:bottom w:w="30" w:type="dxa"/>
              <w:right w:w="20" w:type="dxa"/>
            </w:tcMar>
            <w:vAlign w:val="bottom"/>
            <w:hideMark/>
          </w:tcPr>
          <w:p w14:paraId="3C29AD76" w14:textId="77777777" w:rsidR="00000000" w:rsidRDefault="00195E73">
            <w:pPr>
              <w:rPr>
                <w:rFonts w:eastAsia="Times New Roman"/>
              </w:rPr>
            </w:pPr>
            <w:r>
              <w:rPr>
                <w:rFonts w:eastAsia="Times New Roman"/>
                <w:color w:val="000000"/>
                <w:sz w:val="20"/>
                <w:szCs w:val="20"/>
              </w:rPr>
              <w:t>   Total debt payments (excluding financing lease payments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25F06920" w14:textId="77777777" w:rsidR="00000000" w:rsidRDefault="00195E7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FDC1A0" w14:textId="77777777" w:rsidR="00000000" w:rsidRDefault="00195E73">
            <w:pPr>
              <w:jc w:val="right"/>
              <w:rPr>
                <w:rFonts w:eastAsia="Times New Roman"/>
              </w:rPr>
            </w:pPr>
            <w:r>
              <w:rPr>
                <w:rFonts w:eastAsia="Times New Roman"/>
                <w:color w:val="000000"/>
                <w:sz w:val="20"/>
                <w:szCs w:val="20"/>
              </w:rPr>
              <w:t>8,126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BF9D82A" w14:textId="77777777" w:rsidR="00000000" w:rsidRDefault="00195E73">
            <w:pPr>
              <w:jc w:val="right"/>
              <w:rPr>
                <w:rFonts w:eastAsia="Times New Roman"/>
              </w:rPr>
            </w:pPr>
            <w:r>
              <w:rPr>
                <w:rFonts w:eastAsia="Times New Roman"/>
                <w:color w:val="000000"/>
                <w:sz w:val="20"/>
                <w:szCs w:val="20"/>
              </w:rPr>
              <w:t> </w:t>
            </w:r>
          </w:p>
        </w:tc>
      </w:tr>
      <w:tr w:rsidR="00000000" w14:paraId="6B82CD3D" w14:textId="77777777">
        <w:trPr>
          <w:divId w:val="1951468174"/>
          <w:jc w:val="center"/>
        </w:trPr>
        <w:tc>
          <w:tcPr>
            <w:tcW w:w="0" w:type="auto"/>
            <w:gridSpan w:val="3"/>
            <w:shd w:val="clear" w:color="auto" w:fill="FFFFFF"/>
            <w:tcMar>
              <w:top w:w="30" w:type="dxa"/>
              <w:left w:w="20" w:type="dxa"/>
              <w:bottom w:w="30" w:type="dxa"/>
              <w:right w:w="20" w:type="dxa"/>
            </w:tcMar>
            <w:vAlign w:val="bottom"/>
            <w:hideMark/>
          </w:tcPr>
          <w:p w14:paraId="6A372FFF" w14:textId="77777777" w:rsidR="00000000" w:rsidRDefault="00195E73">
            <w:pPr>
              <w:rPr>
                <w:rFonts w:eastAsia="Times New Roman"/>
              </w:rPr>
            </w:pPr>
            <w:r>
              <w:rPr>
                <w:rFonts w:eastAsia="Times New Roman"/>
                <w:color w:val="000000"/>
                <w:sz w:val="20"/>
                <w:szCs w:val="20"/>
              </w:rPr>
              <w:t>   Less: unamortized discounts, premiums and deferred financing fee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14:paraId="6239354F" w14:textId="77777777" w:rsidR="00000000" w:rsidRDefault="00195E7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BEF236" w14:textId="77777777" w:rsidR="00000000" w:rsidRDefault="00195E73">
            <w:pPr>
              <w:jc w:val="right"/>
              <w:rPr>
                <w:rFonts w:eastAsia="Times New Roman"/>
              </w:rPr>
            </w:pPr>
            <w:r>
              <w:rPr>
                <w:rFonts w:eastAsia="Times New Roman"/>
                <w:color w:val="000000"/>
                <w:sz w:val="20"/>
                <w:szCs w:val="20"/>
              </w:rPr>
              <w:t>(27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35EEBA5" w14:textId="77777777" w:rsidR="00000000" w:rsidRDefault="00195E73">
            <w:pPr>
              <w:jc w:val="right"/>
              <w:rPr>
                <w:rFonts w:eastAsia="Times New Roman"/>
              </w:rPr>
            </w:pPr>
            <w:r>
              <w:rPr>
                <w:rFonts w:eastAsia="Times New Roman"/>
                <w:color w:val="000000"/>
                <w:sz w:val="20"/>
                <w:szCs w:val="20"/>
              </w:rPr>
              <w:t> </w:t>
            </w:r>
          </w:p>
        </w:tc>
      </w:tr>
      <w:tr w:rsidR="00000000" w14:paraId="2EFCF83D" w14:textId="77777777">
        <w:trPr>
          <w:divId w:val="1951468174"/>
          <w:jc w:val="center"/>
        </w:trPr>
        <w:tc>
          <w:tcPr>
            <w:tcW w:w="0" w:type="auto"/>
            <w:gridSpan w:val="3"/>
            <w:shd w:val="clear" w:color="auto" w:fill="CCEEFF"/>
            <w:tcMar>
              <w:top w:w="30" w:type="dxa"/>
              <w:left w:w="20" w:type="dxa"/>
              <w:bottom w:w="30" w:type="dxa"/>
              <w:right w:w="20" w:type="dxa"/>
            </w:tcMar>
            <w:vAlign w:val="bottom"/>
            <w:hideMark/>
          </w:tcPr>
          <w:p w14:paraId="14089520" w14:textId="77777777" w:rsidR="00000000" w:rsidRDefault="00195E73">
            <w:pPr>
              <w:rPr>
                <w:rFonts w:eastAsia="Times New Roman"/>
              </w:rPr>
            </w:pPr>
            <w:r>
              <w:rPr>
                <w:rFonts w:eastAsia="Times New Roman"/>
                <w:color w:val="000000"/>
                <w:sz w:val="20"/>
                <w:szCs w:val="20"/>
              </w:rPr>
              <w:t>   Financing leases (Note 10</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284D98C2"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EA23CB" w14:textId="77777777" w:rsidR="00000000" w:rsidRDefault="00195E73">
            <w:pPr>
              <w:jc w:val="right"/>
              <w:rPr>
                <w:rFonts w:eastAsia="Times New Roman"/>
              </w:rPr>
            </w:pPr>
            <w:r>
              <w:rPr>
                <w:rFonts w:eastAsia="Times New Roman"/>
                <w:color w:val="000000"/>
                <w:sz w:val="20"/>
                <w:szCs w:val="20"/>
              </w:rPr>
              <w:t>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86BEA02" w14:textId="77777777" w:rsidR="00000000" w:rsidRDefault="00195E73">
            <w:pPr>
              <w:jc w:val="right"/>
              <w:rPr>
                <w:rFonts w:eastAsia="Times New Roman"/>
              </w:rPr>
            </w:pPr>
            <w:r>
              <w:rPr>
                <w:rFonts w:eastAsia="Times New Roman"/>
                <w:color w:val="000000"/>
                <w:sz w:val="20"/>
                <w:szCs w:val="20"/>
              </w:rPr>
              <w:t> </w:t>
            </w:r>
          </w:p>
        </w:tc>
      </w:tr>
      <w:tr w:rsidR="00000000" w14:paraId="77946A85" w14:textId="77777777">
        <w:trPr>
          <w:divId w:val="1951468174"/>
          <w:jc w:val="center"/>
        </w:trPr>
        <w:tc>
          <w:tcPr>
            <w:tcW w:w="0" w:type="auto"/>
            <w:gridSpan w:val="3"/>
            <w:shd w:val="clear" w:color="auto" w:fill="FFFFFF"/>
            <w:tcMar>
              <w:top w:w="15" w:type="dxa"/>
              <w:left w:w="20" w:type="dxa"/>
              <w:bottom w:w="15" w:type="dxa"/>
              <w:right w:w="20" w:type="dxa"/>
            </w:tcMar>
            <w:vAlign w:val="bottom"/>
            <w:hideMark/>
          </w:tcPr>
          <w:p w14:paraId="39CC07C3"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352A83E"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50D3BA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7B62314" w14:textId="77777777" w:rsidR="00000000" w:rsidRDefault="00195E73">
            <w:pPr>
              <w:jc w:val="right"/>
              <w:rPr>
                <w:rFonts w:eastAsia="Times New Roman"/>
              </w:rPr>
            </w:pPr>
            <w:r>
              <w:rPr>
                <w:rFonts w:eastAsia="Times New Roman"/>
                <w:color w:val="000000"/>
                <w:sz w:val="20"/>
                <w:szCs w:val="20"/>
              </w:rPr>
              <w:t>8,192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16C6CBD" w14:textId="77777777" w:rsidR="00000000" w:rsidRDefault="00195E73">
            <w:pPr>
              <w:jc w:val="right"/>
              <w:rPr>
                <w:rFonts w:eastAsia="Times New Roman"/>
              </w:rPr>
            </w:pPr>
            <w:r>
              <w:rPr>
                <w:rFonts w:eastAsia="Times New Roman"/>
                <w:color w:val="000000"/>
                <w:sz w:val="20"/>
                <w:szCs w:val="20"/>
              </w:rPr>
              <w:t> </w:t>
            </w:r>
          </w:p>
        </w:tc>
      </w:tr>
    </w:tbl>
    <w:p w14:paraId="13C764AF" w14:textId="77777777" w:rsidR="00000000" w:rsidRDefault="00195E73">
      <w:pPr>
        <w:divId w:val="70466082"/>
        <w:rPr>
          <w:rFonts w:eastAsia="Times New Roman"/>
        </w:rPr>
      </w:pPr>
    </w:p>
    <w:p w14:paraId="636E447F" w14:textId="77777777" w:rsidR="00000000" w:rsidRDefault="00195E73">
      <w:pPr>
        <w:divId w:val="1408531810"/>
        <w:rPr>
          <w:rFonts w:eastAsia="Times New Roman"/>
        </w:rPr>
      </w:pPr>
    </w:p>
    <w:p w14:paraId="18469B73" w14:textId="77777777" w:rsidR="00000000" w:rsidRDefault="00195E73">
      <w:pPr>
        <w:ind w:hanging="360"/>
        <w:divId w:val="1419711356"/>
        <w:rPr>
          <w:rFonts w:eastAsia="Times New Roman"/>
        </w:rPr>
      </w:pPr>
    </w:p>
    <w:p w14:paraId="67C6400D" w14:textId="77777777" w:rsidR="00000000" w:rsidRDefault="00195E73">
      <w:pPr>
        <w:jc w:val="center"/>
        <w:divId w:val="382801694"/>
        <w:rPr>
          <w:rFonts w:eastAsia="Times New Roman"/>
        </w:rPr>
      </w:pPr>
      <w:r>
        <w:rPr>
          <w:rFonts w:eastAsia="Times New Roman"/>
          <w:color w:val="000000"/>
          <w:sz w:val="20"/>
          <w:szCs w:val="20"/>
        </w:rPr>
        <w:t>9</w:t>
      </w:r>
      <w:r>
        <w:rPr>
          <w:rFonts w:eastAsia="Times New Roman"/>
          <w:color w:val="000000"/>
          <w:sz w:val="20"/>
          <w:szCs w:val="20"/>
        </w:rPr>
        <w:t>6</w:t>
      </w:r>
    </w:p>
    <w:p w14:paraId="3B94122F" w14:textId="77777777" w:rsidR="00000000" w:rsidRDefault="00195E73">
      <w:pPr>
        <w:rPr>
          <w:rFonts w:eastAsia="Times New Roman"/>
        </w:rPr>
      </w:pPr>
      <w:r>
        <w:rPr>
          <w:rFonts w:eastAsia="Times New Roman"/>
        </w:rPr>
        <w:pict w14:anchorId="75960B21">
          <v:rect id="_x0000_i1122" style="width:0;height:1.5pt" o:hralign="center" o:hrstd="t" o:hr="t" fillcolor="#a0a0a0" stroked="f"/>
        </w:pict>
      </w:r>
    </w:p>
    <w:p w14:paraId="3A8A5849" w14:textId="77777777" w:rsidR="00000000" w:rsidRDefault="00195E73">
      <w:pPr>
        <w:jc w:val="center"/>
        <w:divId w:val="32727884"/>
        <w:rPr>
          <w:rFonts w:eastAsia="Times New Roman"/>
        </w:rPr>
      </w:pPr>
    </w:p>
    <w:p w14:paraId="6869BFBC" w14:textId="77777777" w:rsidR="00000000" w:rsidRDefault="00195E73">
      <w:pPr>
        <w:jc w:val="center"/>
        <w:divId w:val="32727884"/>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3BED799F" w14:textId="77777777" w:rsidR="00000000" w:rsidRDefault="00195E73">
      <w:pPr>
        <w:jc w:val="center"/>
        <w:divId w:val="32727884"/>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205F98F0" w14:textId="77777777" w:rsidR="00000000" w:rsidRDefault="00195E73">
      <w:pPr>
        <w:jc w:val="center"/>
        <w:divId w:val="32727884"/>
        <w:rPr>
          <w:rFonts w:eastAsia="Times New Roman"/>
        </w:rPr>
      </w:pPr>
    </w:p>
    <w:p w14:paraId="0E7AF04E" w14:textId="77777777" w:rsidR="00000000" w:rsidRDefault="00195E73">
      <w:pPr>
        <w:jc w:val="center"/>
        <w:divId w:val="32727884"/>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1D618DE5" w14:textId="77777777" w:rsidR="00000000" w:rsidRDefault="00195E73">
      <w:pPr>
        <w:ind w:hanging="360"/>
        <w:divId w:val="37055672"/>
        <w:rPr>
          <w:rFonts w:eastAsia="Times New Roman"/>
        </w:rPr>
      </w:pPr>
      <w:r>
        <w:rPr>
          <w:rFonts w:eastAsia="Times New Roman"/>
          <w:b/>
          <w:bCs/>
          <w:color w:val="000000"/>
          <w:sz w:val="20"/>
          <w:szCs w:val="20"/>
        </w:rPr>
        <w:t>12. Net Income Per LP Unit</w:t>
      </w:r>
      <w:r>
        <w:rPr>
          <w:rFonts w:eastAsia="Times New Roman"/>
          <w:b/>
          <w:bCs/>
          <w:color w:val="000000"/>
          <w:sz w:val="20"/>
          <w:szCs w:val="20"/>
        </w:rPr>
        <w:t>.</w:t>
      </w:r>
    </w:p>
    <w:p w14:paraId="428D4E74" w14:textId="77777777" w:rsidR="00000000" w:rsidRDefault="00195E73">
      <w:pPr>
        <w:ind w:firstLine="405"/>
        <w:divId w:val="81220636"/>
        <w:rPr>
          <w:rFonts w:eastAsia="Times New Roman"/>
        </w:rPr>
      </w:pPr>
      <w:r>
        <w:rPr>
          <w:rFonts w:eastAsia="Times New Roman"/>
          <w:color w:val="000000"/>
          <w:sz w:val="20"/>
          <w:szCs w:val="20"/>
        </w:rPr>
        <w:t>The components of the computation of basic and diluted income (loss) per LP unit from continuing and discontinued operations of Icahn Enterprises are as follows:</w:t>
      </w:r>
      <w:r>
        <w:rPr>
          <w:rFonts w:eastAsia="Times New Roman"/>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331"/>
        <w:gridCol w:w="40"/>
        <w:gridCol w:w="135"/>
        <w:gridCol w:w="875"/>
        <w:gridCol w:w="85"/>
        <w:gridCol w:w="36"/>
        <w:gridCol w:w="36"/>
        <w:gridCol w:w="36"/>
        <w:gridCol w:w="135"/>
        <w:gridCol w:w="843"/>
        <w:gridCol w:w="85"/>
        <w:gridCol w:w="36"/>
        <w:gridCol w:w="36"/>
        <w:gridCol w:w="36"/>
        <w:gridCol w:w="135"/>
        <w:gridCol w:w="844"/>
        <w:gridCol w:w="85"/>
        <w:gridCol w:w="36"/>
        <w:gridCol w:w="36"/>
        <w:gridCol w:w="36"/>
        <w:gridCol w:w="36"/>
        <w:gridCol w:w="36"/>
        <w:gridCol w:w="36"/>
        <w:gridCol w:w="36"/>
        <w:gridCol w:w="36"/>
        <w:gridCol w:w="36"/>
        <w:gridCol w:w="36"/>
        <w:gridCol w:w="36"/>
        <w:gridCol w:w="36"/>
      </w:tblGrid>
      <w:tr w:rsidR="00000000" w14:paraId="1664BC13" w14:textId="77777777">
        <w:trPr>
          <w:gridAfter w:val="12"/>
          <w:divId w:val="384380373"/>
          <w:jc w:val="center"/>
        </w:trPr>
        <w:tc>
          <w:tcPr>
            <w:tcW w:w="50" w:type="pct"/>
            <w:vAlign w:val="center"/>
            <w:hideMark/>
          </w:tcPr>
          <w:p w14:paraId="42077DD3" w14:textId="77777777" w:rsidR="00000000" w:rsidRDefault="00195E73">
            <w:pPr>
              <w:ind w:firstLine="405"/>
              <w:rPr>
                <w:rFonts w:eastAsia="Times New Roman"/>
              </w:rPr>
            </w:pPr>
          </w:p>
        </w:tc>
        <w:tc>
          <w:tcPr>
            <w:tcW w:w="2781" w:type="pct"/>
            <w:vAlign w:val="center"/>
            <w:hideMark/>
          </w:tcPr>
          <w:p w14:paraId="3472DEA5" w14:textId="77777777" w:rsidR="00000000" w:rsidRDefault="00195E73">
            <w:pPr>
              <w:rPr>
                <w:rFonts w:eastAsia="Times New Roman"/>
                <w:sz w:val="20"/>
                <w:szCs w:val="20"/>
              </w:rPr>
            </w:pPr>
          </w:p>
        </w:tc>
        <w:tc>
          <w:tcPr>
            <w:tcW w:w="50" w:type="pct"/>
            <w:vAlign w:val="center"/>
            <w:hideMark/>
          </w:tcPr>
          <w:p w14:paraId="35D4355C" w14:textId="77777777" w:rsidR="00000000" w:rsidRDefault="00195E73">
            <w:pPr>
              <w:rPr>
                <w:rFonts w:eastAsia="Times New Roman"/>
                <w:sz w:val="20"/>
                <w:szCs w:val="20"/>
              </w:rPr>
            </w:pPr>
          </w:p>
        </w:tc>
        <w:tc>
          <w:tcPr>
            <w:tcW w:w="50" w:type="pct"/>
            <w:vAlign w:val="center"/>
            <w:hideMark/>
          </w:tcPr>
          <w:p w14:paraId="290FE6F6" w14:textId="77777777" w:rsidR="00000000" w:rsidRDefault="00195E73">
            <w:pPr>
              <w:rPr>
                <w:rFonts w:eastAsia="Times New Roman"/>
                <w:sz w:val="20"/>
                <w:szCs w:val="20"/>
              </w:rPr>
            </w:pPr>
          </w:p>
        </w:tc>
        <w:tc>
          <w:tcPr>
            <w:tcW w:w="581" w:type="pct"/>
            <w:vAlign w:val="center"/>
            <w:hideMark/>
          </w:tcPr>
          <w:p w14:paraId="621C2B5B" w14:textId="77777777" w:rsidR="00000000" w:rsidRDefault="00195E73">
            <w:pPr>
              <w:rPr>
                <w:rFonts w:eastAsia="Times New Roman"/>
                <w:sz w:val="20"/>
                <w:szCs w:val="20"/>
              </w:rPr>
            </w:pPr>
          </w:p>
        </w:tc>
        <w:tc>
          <w:tcPr>
            <w:tcW w:w="50" w:type="pct"/>
            <w:vAlign w:val="center"/>
            <w:hideMark/>
          </w:tcPr>
          <w:p w14:paraId="6DB8208A" w14:textId="77777777" w:rsidR="00000000" w:rsidRDefault="00195E73">
            <w:pPr>
              <w:rPr>
                <w:rFonts w:eastAsia="Times New Roman"/>
                <w:sz w:val="20"/>
                <w:szCs w:val="20"/>
              </w:rPr>
            </w:pPr>
          </w:p>
        </w:tc>
        <w:tc>
          <w:tcPr>
            <w:tcW w:w="5" w:type="pct"/>
            <w:vAlign w:val="center"/>
            <w:hideMark/>
          </w:tcPr>
          <w:p w14:paraId="4BC55035" w14:textId="77777777" w:rsidR="00000000" w:rsidRDefault="00195E73">
            <w:pPr>
              <w:rPr>
                <w:rFonts w:eastAsia="Times New Roman"/>
                <w:sz w:val="20"/>
                <w:szCs w:val="20"/>
              </w:rPr>
            </w:pPr>
          </w:p>
        </w:tc>
        <w:tc>
          <w:tcPr>
            <w:tcW w:w="26" w:type="pct"/>
            <w:vAlign w:val="center"/>
            <w:hideMark/>
          </w:tcPr>
          <w:p w14:paraId="6BA2E7AE" w14:textId="77777777" w:rsidR="00000000" w:rsidRDefault="00195E73">
            <w:pPr>
              <w:rPr>
                <w:rFonts w:eastAsia="Times New Roman"/>
                <w:sz w:val="20"/>
                <w:szCs w:val="20"/>
              </w:rPr>
            </w:pPr>
          </w:p>
        </w:tc>
        <w:tc>
          <w:tcPr>
            <w:tcW w:w="5" w:type="pct"/>
            <w:vAlign w:val="center"/>
            <w:hideMark/>
          </w:tcPr>
          <w:p w14:paraId="639EE3A9" w14:textId="77777777" w:rsidR="00000000" w:rsidRDefault="00195E73">
            <w:pPr>
              <w:rPr>
                <w:rFonts w:eastAsia="Times New Roman"/>
                <w:sz w:val="20"/>
                <w:szCs w:val="20"/>
              </w:rPr>
            </w:pPr>
          </w:p>
        </w:tc>
        <w:tc>
          <w:tcPr>
            <w:tcW w:w="50" w:type="pct"/>
            <w:vAlign w:val="center"/>
            <w:hideMark/>
          </w:tcPr>
          <w:p w14:paraId="6190C87F" w14:textId="77777777" w:rsidR="00000000" w:rsidRDefault="00195E73">
            <w:pPr>
              <w:rPr>
                <w:rFonts w:eastAsia="Times New Roman"/>
                <w:sz w:val="20"/>
                <w:szCs w:val="20"/>
              </w:rPr>
            </w:pPr>
          </w:p>
        </w:tc>
        <w:tc>
          <w:tcPr>
            <w:tcW w:w="581" w:type="pct"/>
            <w:vAlign w:val="center"/>
            <w:hideMark/>
          </w:tcPr>
          <w:p w14:paraId="0A68A4E1" w14:textId="77777777" w:rsidR="00000000" w:rsidRDefault="00195E73">
            <w:pPr>
              <w:rPr>
                <w:rFonts w:eastAsia="Times New Roman"/>
                <w:sz w:val="20"/>
                <w:szCs w:val="20"/>
              </w:rPr>
            </w:pPr>
          </w:p>
        </w:tc>
        <w:tc>
          <w:tcPr>
            <w:tcW w:w="50" w:type="pct"/>
            <w:vAlign w:val="center"/>
            <w:hideMark/>
          </w:tcPr>
          <w:p w14:paraId="6B89FF10" w14:textId="77777777" w:rsidR="00000000" w:rsidRDefault="00195E73">
            <w:pPr>
              <w:rPr>
                <w:rFonts w:eastAsia="Times New Roman"/>
                <w:sz w:val="20"/>
                <w:szCs w:val="20"/>
              </w:rPr>
            </w:pPr>
          </w:p>
        </w:tc>
        <w:tc>
          <w:tcPr>
            <w:tcW w:w="5" w:type="pct"/>
            <w:vAlign w:val="center"/>
            <w:hideMark/>
          </w:tcPr>
          <w:p w14:paraId="280AF2EA" w14:textId="77777777" w:rsidR="00000000" w:rsidRDefault="00195E73">
            <w:pPr>
              <w:rPr>
                <w:rFonts w:eastAsia="Times New Roman"/>
                <w:sz w:val="20"/>
                <w:szCs w:val="20"/>
              </w:rPr>
            </w:pPr>
          </w:p>
        </w:tc>
        <w:tc>
          <w:tcPr>
            <w:tcW w:w="26" w:type="pct"/>
            <w:vAlign w:val="center"/>
            <w:hideMark/>
          </w:tcPr>
          <w:p w14:paraId="4715B647" w14:textId="77777777" w:rsidR="00000000" w:rsidRDefault="00195E73">
            <w:pPr>
              <w:rPr>
                <w:rFonts w:eastAsia="Times New Roman"/>
                <w:sz w:val="20"/>
                <w:szCs w:val="20"/>
              </w:rPr>
            </w:pPr>
          </w:p>
        </w:tc>
        <w:tc>
          <w:tcPr>
            <w:tcW w:w="5" w:type="pct"/>
            <w:vAlign w:val="center"/>
            <w:hideMark/>
          </w:tcPr>
          <w:p w14:paraId="26FE8F45" w14:textId="77777777" w:rsidR="00000000" w:rsidRDefault="00195E73">
            <w:pPr>
              <w:rPr>
                <w:rFonts w:eastAsia="Times New Roman"/>
                <w:sz w:val="20"/>
                <w:szCs w:val="20"/>
              </w:rPr>
            </w:pPr>
          </w:p>
        </w:tc>
        <w:tc>
          <w:tcPr>
            <w:tcW w:w="50" w:type="pct"/>
            <w:vAlign w:val="center"/>
            <w:hideMark/>
          </w:tcPr>
          <w:p w14:paraId="0ECB1CDE" w14:textId="77777777" w:rsidR="00000000" w:rsidRDefault="00195E73">
            <w:pPr>
              <w:rPr>
                <w:rFonts w:eastAsia="Times New Roman"/>
                <w:sz w:val="20"/>
                <w:szCs w:val="20"/>
              </w:rPr>
            </w:pPr>
          </w:p>
        </w:tc>
        <w:tc>
          <w:tcPr>
            <w:tcW w:w="581" w:type="pct"/>
            <w:vAlign w:val="center"/>
            <w:hideMark/>
          </w:tcPr>
          <w:p w14:paraId="211F191D" w14:textId="77777777" w:rsidR="00000000" w:rsidRDefault="00195E73">
            <w:pPr>
              <w:rPr>
                <w:rFonts w:eastAsia="Times New Roman"/>
                <w:sz w:val="20"/>
                <w:szCs w:val="20"/>
              </w:rPr>
            </w:pPr>
          </w:p>
        </w:tc>
        <w:tc>
          <w:tcPr>
            <w:tcW w:w="50" w:type="pct"/>
            <w:vAlign w:val="center"/>
            <w:hideMark/>
          </w:tcPr>
          <w:p w14:paraId="4113244F" w14:textId="77777777" w:rsidR="00000000" w:rsidRDefault="00195E73">
            <w:pPr>
              <w:rPr>
                <w:rFonts w:eastAsia="Times New Roman"/>
                <w:sz w:val="20"/>
                <w:szCs w:val="20"/>
              </w:rPr>
            </w:pPr>
          </w:p>
        </w:tc>
      </w:tr>
      <w:tr w:rsidR="00000000" w14:paraId="0AF3AAD6" w14:textId="77777777">
        <w:trPr>
          <w:divId w:val="384380373"/>
          <w:jc w:val="center"/>
        </w:trPr>
        <w:tc>
          <w:tcPr>
            <w:tcW w:w="0" w:type="auto"/>
            <w:gridSpan w:val="3"/>
            <w:tcMar>
              <w:top w:w="15" w:type="dxa"/>
              <w:left w:w="20" w:type="dxa"/>
              <w:bottom w:w="15" w:type="dxa"/>
              <w:right w:w="20" w:type="dxa"/>
            </w:tcMar>
            <w:vAlign w:val="bottom"/>
            <w:hideMark/>
          </w:tcPr>
          <w:p w14:paraId="318FE26B"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77EE0194"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00BF7B63" w14:textId="77777777" w:rsidR="00000000" w:rsidRDefault="00195E73">
            <w:pPr>
              <w:jc w:val="center"/>
              <w:rPr>
                <w:rFonts w:eastAsia="Times New Roman"/>
              </w:rPr>
            </w:pPr>
          </w:p>
        </w:tc>
        <w:tc>
          <w:tcPr>
            <w:tcW w:w="0" w:type="auto"/>
            <w:gridSpan w:val="3"/>
            <w:vAlign w:val="center"/>
            <w:hideMark/>
          </w:tcPr>
          <w:p w14:paraId="4CED38BD" w14:textId="77777777" w:rsidR="00000000" w:rsidRDefault="00195E73">
            <w:pPr>
              <w:rPr>
                <w:rFonts w:eastAsia="Times New Roman"/>
                <w:sz w:val="20"/>
                <w:szCs w:val="20"/>
              </w:rPr>
            </w:pPr>
          </w:p>
        </w:tc>
        <w:tc>
          <w:tcPr>
            <w:tcW w:w="0" w:type="auto"/>
            <w:gridSpan w:val="3"/>
            <w:vAlign w:val="center"/>
            <w:hideMark/>
          </w:tcPr>
          <w:p w14:paraId="43A69835" w14:textId="77777777" w:rsidR="00000000" w:rsidRDefault="00195E73">
            <w:pPr>
              <w:rPr>
                <w:rFonts w:eastAsia="Times New Roman"/>
                <w:sz w:val="20"/>
                <w:szCs w:val="20"/>
              </w:rPr>
            </w:pPr>
          </w:p>
        </w:tc>
        <w:tc>
          <w:tcPr>
            <w:tcW w:w="0" w:type="auto"/>
            <w:gridSpan w:val="3"/>
            <w:vAlign w:val="center"/>
            <w:hideMark/>
          </w:tcPr>
          <w:p w14:paraId="6929FD9F" w14:textId="77777777" w:rsidR="00000000" w:rsidRDefault="00195E73">
            <w:pPr>
              <w:rPr>
                <w:rFonts w:eastAsia="Times New Roman"/>
                <w:sz w:val="20"/>
                <w:szCs w:val="20"/>
              </w:rPr>
            </w:pPr>
          </w:p>
        </w:tc>
      </w:tr>
      <w:tr w:rsidR="00000000" w14:paraId="019FF739" w14:textId="77777777">
        <w:trPr>
          <w:divId w:val="384380373"/>
          <w:jc w:val="center"/>
        </w:trPr>
        <w:tc>
          <w:tcPr>
            <w:tcW w:w="0" w:type="auto"/>
            <w:gridSpan w:val="3"/>
            <w:tcMar>
              <w:top w:w="15" w:type="dxa"/>
              <w:left w:w="20" w:type="dxa"/>
              <w:bottom w:w="15" w:type="dxa"/>
              <w:right w:w="20" w:type="dxa"/>
            </w:tcMar>
            <w:vAlign w:val="bottom"/>
            <w:hideMark/>
          </w:tcPr>
          <w:p w14:paraId="40ED80B3"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26F2C44"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2E02135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0AD5E35"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3603CA0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A6B5AC5"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13860FAF" w14:textId="77777777" w:rsidR="00000000" w:rsidRDefault="00195E73">
            <w:pPr>
              <w:rPr>
                <w:rFonts w:eastAsia="Times New Roman"/>
                <w:sz w:val="20"/>
                <w:szCs w:val="20"/>
              </w:rPr>
            </w:pPr>
          </w:p>
        </w:tc>
        <w:tc>
          <w:tcPr>
            <w:tcW w:w="0" w:type="auto"/>
            <w:vAlign w:val="center"/>
            <w:hideMark/>
          </w:tcPr>
          <w:p w14:paraId="1914776E" w14:textId="77777777" w:rsidR="00000000" w:rsidRDefault="00195E73">
            <w:pPr>
              <w:rPr>
                <w:rFonts w:eastAsia="Times New Roman"/>
                <w:sz w:val="20"/>
                <w:szCs w:val="20"/>
              </w:rPr>
            </w:pPr>
          </w:p>
        </w:tc>
        <w:tc>
          <w:tcPr>
            <w:tcW w:w="0" w:type="auto"/>
            <w:vAlign w:val="center"/>
            <w:hideMark/>
          </w:tcPr>
          <w:p w14:paraId="41367C0C" w14:textId="77777777" w:rsidR="00000000" w:rsidRDefault="00195E73">
            <w:pPr>
              <w:rPr>
                <w:rFonts w:eastAsia="Times New Roman"/>
                <w:sz w:val="20"/>
                <w:szCs w:val="20"/>
              </w:rPr>
            </w:pPr>
          </w:p>
        </w:tc>
        <w:tc>
          <w:tcPr>
            <w:tcW w:w="0" w:type="auto"/>
            <w:vAlign w:val="center"/>
            <w:hideMark/>
          </w:tcPr>
          <w:p w14:paraId="62419DF7" w14:textId="77777777" w:rsidR="00000000" w:rsidRDefault="00195E73">
            <w:pPr>
              <w:rPr>
                <w:rFonts w:eastAsia="Times New Roman"/>
                <w:sz w:val="20"/>
                <w:szCs w:val="20"/>
              </w:rPr>
            </w:pPr>
          </w:p>
        </w:tc>
        <w:tc>
          <w:tcPr>
            <w:tcW w:w="0" w:type="auto"/>
            <w:vAlign w:val="center"/>
            <w:hideMark/>
          </w:tcPr>
          <w:p w14:paraId="0A56031F" w14:textId="77777777" w:rsidR="00000000" w:rsidRDefault="00195E73">
            <w:pPr>
              <w:rPr>
                <w:rFonts w:eastAsia="Times New Roman"/>
                <w:sz w:val="20"/>
                <w:szCs w:val="20"/>
              </w:rPr>
            </w:pPr>
          </w:p>
        </w:tc>
        <w:tc>
          <w:tcPr>
            <w:tcW w:w="0" w:type="auto"/>
            <w:vAlign w:val="center"/>
            <w:hideMark/>
          </w:tcPr>
          <w:p w14:paraId="20C26F71" w14:textId="77777777" w:rsidR="00000000" w:rsidRDefault="00195E73">
            <w:pPr>
              <w:rPr>
                <w:rFonts w:eastAsia="Times New Roman"/>
                <w:sz w:val="20"/>
                <w:szCs w:val="20"/>
              </w:rPr>
            </w:pPr>
          </w:p>
        </w:tc>
        <w:tc>
          <w:tcPr>
            <w:tcW w:w="0" w:type="auto"/>
            <w:vAlign w:val="center"/>
            <w:hideMark/>
          </w:tcPr>
          <w:p w14:paraId="5E39F7D9" w14:textId="77777777" w:rsidR="00000000" w:rsidRDefault="00195E73">
            <w:pPr>
              <w:rPr>
                <w:rFonts w:eastAsia="Times New Roman"/>
                <w:sz w:val="20"/>
                <w:szCs w:val="20"/>
              </w:rPr>
            </w:pPr>
          </w:p>
        </w:tc>
        <w:tc>
          <w:tcPr>
            <w:tcW w:w="0" w:type="auto"/>
            <w:vAlign w:val="center"/>
            <w:hideMark/>
          </w:tcPr>
          <w:p w14:paraId="70E629B4" w14:textId="77777777" w:rsidR="00000000" w:rsidRDefault="00195E73">
            <w:pPr>
              <w:rPr>
                <w:rFonts w:eastAsia="Times New Roman"/>
                <w:sz w:val="20"/>
                <w:szCs w:val="20"/>
              </w:rPr>
            </w:pPr>
          </w:p>
        </w:tc>
        <w:tc>
          <w:tcPr>
            <w:tcW w:w="0" w:type="auto"/>
            <w:vAlign w:val="center"/>
            <w:hideMark/>
          </w:tcPr>
          <w:p w14:paraId="48DAD17B" w14:textId="77777777" w:rsidR="00000000" w:rsidRDefault="00195E73">
            <w:pPr>
              <w:rPr>
                <w:rFonts w:eastAsia="Times New Roman"/>
                <w:sz w:val="20"/>
                <w:szCs w:val="20"/>
              </w:rPr>
            </w:pPr>
          </w:p>
        </w:tc>
        <w:tc>
          <w:tcPr>
            <w:tcW w:w="0" w:type="auto"/>
            <w:vAlign w:val="center"/>
            <w:hideMark/>
          </w:tcPr>
          <w:p w14:paraId="0DA33587" w14:textId="77777777" w:rsidR="00000000" w:rsidRDefault="00195E73">
            <w:pPr>
              <w:rPr>
                <w:rFonts w:eastAsia="Times New Roman"/>
                <w:sz w:val="20"/>
                <w:szCs w:val="20"/>
              </w:rPr>
            </w:pPr>
          </w:p>
        </w:tc>
        <w:tc>
          <w:tcPr>
            <w:tcW w:w="0" w:type="auto"/>
            <w:vAlign w:val="center"/>
            <w:hideMark/>
          </w:tcPr>
          <w:p w14:paraId="4949275A" w14:textId="77777777" w:rsidR="00000000" w:rsidRDefault="00195E73">
            <w:pPr>
              <w:rPr>
                <w:rFonts w:eastAsia="Times New Roman"/>
                <w:sz w:val="20"/>
                <w:szCs w:val="20"/>
              </w:rPr>
            </w:pPr>
          </w:p>
        </w:tc>
        <w:tc>
          <w:tcPr>
            <w:tcW w:w="0" w:type="auto"/>
            <w:vAlign w:val="center"/>
            <w:hideMark/>
          </w:tcPr>
          <w:p w14:paraId="16778116" w14:textId="77777777" w:rsidR="00000000" w:rsidRDefault="00195E73">
            <w:pPr>
              <w:rPr>
                <w:rFonts w:eastAsia="Times New Roman"/>
                <w:sz w:val="20"/>
                <w:szCs w:val="20"/>
              </w:rPr>
            </w:pPr>
          </w:p>
        </w:tc>
      </w:tr>
      <w:tr w:rsidR="00000000" w14:paraId="6EB3FF9F" w14:textId="77777777">
        <w:trPr>
          <w:divId w:val="384380373"/>
          <w:jc w:val="center"/>
        </w:trPr>
        <w:tc>
          <w:tcPr>
            <w:tcW w:w="0" w:type="auto"/>
            <w:gridSpan w:val="3"/>
            <w:tcMar>
              <w:top w:w="15" w:type="dxa"/>
              <w:left w:w="20" w:type="dxa"/>
              <w:bottom w:w="15" w:type="dxa"/>
              <w:right w:w="20" w:type="dxa"/>
            </w:tcMar>
            <w:vAlign w:val="bottom"/>
            <w:hideMark/>
          </w:tcPr>
          <w:p w14:paraId="70DBEB18"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3FD6EA10" w14:textId="77777777" w:rsidR="00000000" w:rsidRDefault="00195E73">
            <w:pPr>
              <w:jc w:val="center"/>
              <w:rPr>
                <w:rFonts w:eastAsia="Times New Roman"/>
              </w:rPr>
            </w:pPr>
            <w:r>
              <w:rPr>
                <w:rFonts w:eastAsia="Times New Roman"/>
                <w:color w:val="000000"/>
                <w:sz w:val="16"/>
                <w:szCs w:val="16"/>
              </w:rPr>
              <w:t>(in millions, except per unit data</w:t>
            </w:r>
            <w:r>
              <w:rPr>
                <w:rFonts w:eastAsia="Times New Roman"/>
                <w:color w:val="000000"/>
                <w:sz w:val="16"/>
                <w:szCs w:val="16"/>
              </w:rPr>
              <w:t>)</w:t>
            </w:r>
          </w:p>
        </w:tc>
        <w:tc>
          <w:tcPr>
            <w:tcW w:w="0" w:type="auto"/>
            <w:gridSpan w:val="3"/>
            <w:vAlign w:val="center"/>
            <w:hideMark/>
          </w:tcPr>
          <w:p w14:paraId="32DE2DDF" w14:textId="77777777" w:rsidR="00000000" w:rsidRDefault="00195E73">
            <w:pPr>
              <w:jc w:val="center"/>
              <w:rPr>
                <w:rFonts w:eastAsia="Times New Roman"/>
              </w:rPr>
            </w:pPr>
          </w:p>
        </w:tc>
        <w:tc>
          <w:tcPr>
            <w:tcW w:w="0" w:type="auto"/>
            <w:gridSpan w:val="3"/>
            <w:vAlign w:val="center"/>
            <w:hideMark/>
          </w:tcPr>
          <w:p w14:paraId="1092977C" w14:textId="77777777" w:rsidR="00000000" w:rsidRDefault="00195E73">
            <w:pPr>
              <w:rPr>
                <w:rFonts w:eastAsia="Times New Roman"/>
                <w:sz w:val="20"/>
                <w:szCs w:val="20"/>
              </w:rPr>
            </w:pPr>
          </w:p>
        </w:tc>
        <w:tc>
          <w:tcPr>
            <w:tcW w:w="0" w:type="auto"/>
            <w:gridSpan w:val="3"/>
            <w:vAlign w:val="center"/>
            <w:hideMark/>
          </w:tcPr>
          <w:p w14:paraId="62CA30DC" w14:textId="77777777" w:rsidR="00000000" w:rsidRDefault="00195E73">
            <w:pPr>
              <w:rPr>
                <w:rFonts w:eastAsia="Times New Roman"/>
                <w:sz w:val="20"/>
                <w:szCs w:val="20"/>
              </w:rPr>
            </w:pPr>
          </w:p>
        </w:tc>
        <w:tc>
          <w:tcPr>
            <w:tcW w:w="0" w:type="auto"/>
            <w:gridSpan w:val="3"/>
            <w:vAlign w:val="center"/>
            <w:hideMark/>
          </w:tcPr>
          <w:p w14:paraId="01C14656" w14:textId="77777777" w:rsidR="00000000" w:rsidRDefault="00195E73">
            <w:pPr>
              <w:rPr>
                <w:rFonts w:eastAsia="Times New Roman"/>
                <w:sz w:val="20"/>
                <w:szCs w:val="20"/>
              </w:rPr>
            </w:pPr>
          </w:p>
        </w:tc>
      </w:tr>
      <w:tr w:rsidR="00000000" w14:paraId="534E92D7" w14:textId="77777777">
        <w:trPr>
          <w:divId w:val="384380373"/>
          <w:jc w:val="center"/>
        </w:trPr>
        <w:tc>
          <w:tcPr>
            <w:tcW w:w="0" w:type="auto"/>
            <w:gridSpan w:val="3"/>
            <w:shd w:val="clear" w:color="auto" w:fill="CCEEFF"/>
            <w:tcMar>
              <w:top w:w="30" w:type="dxa"/>
              <w:left w:w="20" w:type="dxa"/>
              <w:bottom w:w="30" w:type="dxa"/>
              <w:right w:w="20" w:type="dxa"/>
            </w:tcMar>
            <w:vAlign w:val="bottom"/>
            <w:hideMark/>
          </w:tcPr>
          <w:p w14:paraId="0A626151" w14:textId="77777777" w:rsidR="00000000" w:rsidRDefault="00195E73">
            <w:pPr>
              <w:ind w:hanging="180"/>
              <w:divId w:val="1172338156"/>
              <w:rPr>
                <w:rFonts w:eastAsia="Times New Roman"/>
              </w:rPr>
            </w:pPr>
            <w:r>
              <w:rPr>
                <w:rFonts w:eastAsia="Times New Roman"/>
                <w:color w:val="000000"/>
                <w:sz w:val="20"/>
                <w:szCs w:val="20"/>
              </w:rPr>
              <w:t>Net (loss) income attributable to Icahn Enterprises from continuing operation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7B3C0FD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A391D93" w14:textId="77777777" w:rsidR="00000000" w:rsidRDefault="00195E73">
            <w:pPr>
              <w:jc w:val="right"/>
              <w:rPr>
                <w:rFonts w:eastAsia="Times New Roman"/>
              </w:rPr>
            </w:pPr>
            <w:r>
              <w:rPr>
                <w:rFonts w:eastAsia="Times New Roman"/>
                <w:color w:val="000000"/>
                <w:sz w:val="20"/>
                <w:szCs w:val="20"/>
              </w:rPr>
              <w:t>(1,066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C30622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7322C2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AD5115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B07E8E9" w14:textId="77777777" w:rsidR="00000000" w:rsidRDefault="00195E73">
            <w:pPr>
              <w:jc w:val="right"/>
              <w:rPr>
                <w:rFonts w:eastAsia="Times New Roman"/>
              </w:rPr>
            </w:pPr>
            <w:r>
              <w:rPr>
                <w:rFonts w:eastAsia="Times New Roman"/>
                <w:color w:val="000000"/>
                <w:sz w:val="20"/>
                <w:szCs w:val="20"/>
              </w:rPr>
              <w:t>(238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97F217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339E9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057979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B5E5C8F" w14:textId="77777777" w:rsidR="00000000" w:rsidRDefault="00195E73">
            <w:pPr>
              <w:jc w:val="right"/>
              <w:rPr>
                <w:rFonts w:eastAsia="Times New Roman"/>
              </w:rPr>
            </w:pPr>
            <w:r>
              <w:rPr>
                <w:rFonts w:eastAsia="Times New Roman"/>
                <w:color w:val="000000"/>
                <w:sz w:val="20"/>
                <w:szCs w:val="20"/>
              </w:rPr>
              <w:t>2,297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E11AD5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733E92D" w14:textId="77777777" w:rsidR="00000000" w:rsidRDefault="00195E73">
            <w:pPr>
              <w:rPr>
                <w:rFonts w:eastAsia="Times New Roman"/>
                <w:sz w:val="20"/>
                <w:szCs w:val="20"/>
              </w:rPr>
            </w:pPr>
          </w:p>
        </w:tc>
        <w:tc>
          <w:tcPr>
            <w:tcW w:w="0" w:type="auto"/>
            <w:vAlign w:val="center"/>
            <w:hideMark/>
          </w:tcPr>
          <w:p w14:paraId="7D8545E0" w14:textId="77777777" w:rsidR="00000000" w:rsidRDefault="00195E73">
            <w:pPr>
              <w:rPr>
                <w:rFonts w:eastAsia="Times New Roman"/>
                <w:sz w:val="20"/>
                <w:szCs w:val="20"/>
              </w:rPr>
            </w:pPr>
          </w:p>
        </w:tc>
        <w:tc>
          <w:tcPr>
            <w:tcW w:w="0" w:type="auto"/>
            <w:vAlign w:val="center"/>
            <w:hideMark/>
          </w:tcPr>
          <w:p w14:paraId="7CD69D1B" w14:textId="77777777" w:rsidR="00000000" w:rsidRDefault="00195E73">
            <w:pPr>
              <w:rPr>
                <w:rFonts w:eastAsia="Times New Roman"/>
                <w:sz w:val="20"/>
                <w:szCs w:val="20"/>
              </w:rPr>
            </w:pPr>
          </w:p>
        </w:tc>
        <w:tc>
          <w:tcPr>
            <w:tcW w:w="0" w:type="auto"/>
            <w:vAlign w:val="center"/>
            <w:hideMark/>
          </w:tcPr>
          <w:p w14:paraId="50560307" w14:textId="77777777" w:rsidR="00000000" w:rsidRDefault="00195E73">
            <w:pPr>
              <w:rPr>
                <w:rFonts w:eastAsia="Times New Roman"/>
                <w:sz w:val="20"/>
                <w:szCs w:val="20"/>
              </w:rPr>
            </w:pPr>
          </w:p>
        </w:tc>
        <w:tc>
          <w:tcPr>
            <w:tcW w:w="0" w:type="auto"/>
            <w:vAlign w:val="center"/>
            <w:hideMark/>
          </w:tcPr>
          <w:p w14:paraId="0EBF04E1" w14:textId="77777777" w:rsidR="00000000" w:rsidRDefault="00195E73">
            <w:pPr>
              <w:rPr>
                <w:rFonts w:eastAsia="Times New Roman"/>
                <w:sz w:val="20"/>
                <w:szCs w:val="20"/>
              </w:rPr>
            </w:pPr>
          </w:p>
        </w:tc>
        <w:tc>
          <w:tcPr>
            <w:tcW w:w="0" w:type="auto"/>
            <w:vAlign w:val="center"/>
            <w:hideMark/>
          </w:tcPr>
          <w:p w14:paraId="512ADD57" w14:textId="77777777" w:rsidR="00000000" w:rsidRDefault="00195E73">
            <w:pPr>
              <w:rPr>
                <w:rFonts w:eastAsia="Times New Roman"/>
                <w:sz w:val="20"/>
                <w:szCs w:val="20"/>
              </w:rPr>
            </w:pPr>
          </w:p>
        </w:tc>
        <w:tc>
          <w:tcPr>
            <w:tcW w:w="0" w:type="auto"/>
            <w:vAlign w:val="center"/>
            <w:hideMark/>
          </w:tcPr>
          <w:p w14:paraId="747A35E2" w14:textId="77777777" w:rsidR="00000000" w:rsidRDefault="00195E73">
            <w:pPr>
              <w:rPr>
                <w:rFonts w:eastAsia="Times New Roman"/>
                <w:sz w:val="20"/>
                <w:szCs w:val="20"/>
              </w:rPr>
            </w:pPr>
          </w:p>
        </w:tc>
        <w:tc>
          <w:tcPr>
            <w:tcW w:w="0" w:type="auto"/>
            <w:vAlign w:val="center"/>
            <w:hideMark/>
          </w:tcPr>
          <w:p w14:paraId="0F7212CB" w14:textId="77777777" w:rsidR="00000000" w:rsidRDefault="00195E73">
            <w:pPr>
              <w:rPr>
                <w:rFonts w:eastAsia="Times New Roman"/>
                <w:sz w:val="20"/>
                <w:szCs w:val="20"/>
              </w:rPr>
            </w:pPr>
          </w:p>
        </w:tc>
        <w:tc>
          <w:tcPr>
            <w:tcW w:w="0" w:type="auto"/>
            <w:vAlign w:val="center"/>
            <w:hideMark/>
          </w:tcPr>
          <w:p w14:paraId="2647BA9B" w14:textId="77777777" w:rsidR="00000000" w:rsidRDefault="00195E73">
            <w:pPr>
              <w:rPr>
                <w:rFonts w:eastAsia="Times New Roman"/>
                <w:sz w:val="20"/>
                <w:szCs w:val="20"/>
              </w:rPr>
            </w:pPr>
          </w:p>
        </w:tc>
        <w:tc>
          <w:tcPr>
            <w:tcW w:w="0" w:type="auto"/>
            <w:vAlign w:val="center"/>
            <w:hideMark/>
          </w:tcPr>
          <w:p w14:paraId="28CEA361" w14:textId="77777777" w:rsidR="00000000" w:rsidRDefault="00195E73">
            <w:pPr>
              <w:rPr>
                <w:rFonts w:eastAsia="Times New Roman"/>
                <w:sz w:val="20"/>
                <w:szCs w:val="20"/>
              </w:rPr>
            </w:pPr>
          </w:p>
        </w:tc>
        <w:tc>
          <w:tcPr>
            <w:tcW w:w="0" w:type="auto"/>
            <w:vAlign w:val="center"/>
            <w:hideMark/>
          </w:tcPr>
          <w:p w14:paraId="1A5E7644" w14:textId="77777777" w:rsidR="00000000" w:rsidRDefault="00195E73">
            <w:pPr>
              <w:rPr>
                <w:rFonts w:eastAsia="Times New Roman"/>
                <w:sz w:val="20"/>
                <w:szCs w:val="20"/>
              </w:rPr>
            </w:pPr>
          </w:p>
        </w:tc>
        <w:tc>
          <w:tcPr>
            <w:tcW w:w="0" w:type="auto"/>
            <w:vAlign w:val="center"/>
            <w:hideMark/>
          </w:tcPr>
          <w:p w14:paraId="34EBC0C2" w14:textId="77777777" w:rsidR="00000000" w:rsidRDefault="00195E73">
            <w:pPr>
              <w:rPr>
                <w:rFonts w:eastAsia="Times New Roman"/>
                <w:sz w:val="20"/>
                <w:szCs w:val="20"/>
              </w:rPr>
            </w:pPr>
          </w:p>
        </w:tc>
      </w:tr>
      <w:tr w:rsidR="00000000" w14:paraId="206F70FE" w14:textId="77777777">
        <w:trPr>
          <w:divId w:val="384380373"/>
          <w:jc w:val="center"/>
        </w:trPr>
        <w:tc>
          <w:tcPr>
            <w:tcW w:w="0" w:type="auto"/>
            <w:gridSpan w:val="3"/>
            <w:shd w:val="clear" w:color="auto" w:fill="FFFFFF"/>
            <w:tcMar>
              <w:top w:w="30" w:type="dxa"/>
              <w:left w:w="20" w:type="dxa"/>
              <w:bottom w:w="30" w:type="dxa"/>
              <w:right w:w="20" w:type="dxa"/>
            </w:tcMar>
            <w:vAlign w:val="bottom"/>
            <w:hideMark/>
          </w:tcPr>
          <w:p w14:paraId="08641D12" w14:textId="77777777" w:rsidR="00000000" w:rsidRDefault="00195E73">
            <w:pPr>
              <w:ind w:hanging="180"/>
              <w:divId w:val="193345565"/>
              <w:rPr>
                <w:rFonts w:eastAsia="Times New Roman"/>
              </w:rPr>
            </w:pPr>
            <w:r>
              <w:rPr>
                <w:rFonts w:eastAsia="Times New Roman"/>
                <w:color w:val="000000"/>
                <w:sz w:val="20"/>
                <w:szCs w:val="20"/>
              </w:rPr>
              <w:t>Net (loss) income attributable to Icahn Enterprises from continuing operations allocated to limited partners (98.01% allocation</w:t>
            </w:r>
            <w:r>
              <w:rPr>
                <w:rFonts w:eastAsia="Times New Roman"/>
                <w:color w:val="000000"/>
                <w:sz w:val="20"/>
                <w:szCs w:val="20"/>
              </w:rPr>
              <w:t>)</w:t>
            </w: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03BC02A6"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5EBE5C3D" w14:textId="77777777" w:rsidR="00000000" w:rsidRDefault="00195E73">
            <w:pPr>
              <w:jc w:val="right"/>
              <w:rPr>
                <w:rFonts w:eastAsia="Times New Roman"/>
              </w:rPr>
            </w:pPr>
            <w:r>
              <w:rPr>
                <w:rFonts w:eastAsia="Times New Roman"/>
                <w:color w:val="000000"/>
                <w:sz w:val="20"/>
                <w:szCs w:val="20"/>
              </w:rPr>
              <w:t>(1,045</w:t>
            </w: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47E58A5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BFA1BCD" w14:textId="77777777" w:rsidR="00000000" w:rsidRDefault="00195E73">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550977A4"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673FA531" w14:textId="77777777" w:rsidR="00000000" w:rsidRDefault="00195E73">
            <w:pPr>
              <w:jc w:val="right"/>
              <w:rPr>
                <w:rFonts w:eastAsia="Times New Roman"/>
              </w:rPr>
            </w:pPr>
            <w:r>
              <w:rPr>
                <w:rFonts w:eastAsia="Times New Roman"/>
                <w:color w:val="000000"/>
                <w:sz w:val="20"/>
                <w:szCs w:val="20"/>
              </w:rPr>
              <w:t>(233</w:t>
            </w: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0FB1481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F27FE97" w14:textId="77777777" w:rsidR="00000000" w:rsidRDefault="00195E73">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14:paraId="5C5EA4F8"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14:paraId="35EBAE30" w14:textId="77777777" w:rsidR="00000000" w:rsidRDefault="00195E73">
            <w:pPr>
              <w:jc w:val="right"/>
              <w:rPr>
                <w:rFonts w:eastAsia="Times New Roman"/>
              </w:rPr>
            </w:pPr>
            <w:r>
              <w:rPr>
                <w:rFonts w:eastAsia="Times New Roman"/>
                <w:color w:val="000000"/>
                <w:sz w:val="20"/>
                <w:szCs w:val="20"/>
              </w:rPr>
              <w:t>2,251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14:paraId="2D86371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0FC240E" w14:textId="77777777" w:rsidR="00000000" w:rsidRDefault="00195E73">
            <w:pPr>
              <w:rPr>
                <w:rFonts w:eastAsia="Times New Roman"/>
                <w:sz w:val="20"/>
                <w:szCs w:val="20"/>
              </w:rPr>
            </w:pPr>
          </w:p>
        </w:tc>
        <w:tc>
          <w:tcPr>
            <w:tcW w:w="0" w:type="auto"/>
            <w:vAlign w:val="center"/>
            <w:hideMark/>
          </w:tcPr>
          <w:p w14:paraId="33FFF77E" w14:textId="77777777" w:rsidR="00000000" w:rsidRDefault="00195E73">
            <w:pPr>
              <w:rPr>
                <w:rFonts w:eastAsia="Times New Roman"/>
                <w:sz w:val="20"/>
                <w:szCs w:val="20"/>
              </w:rPr>
            </w:pPr>
          </w:p>
        </w:tc>
        <w:tc>
          <w:tcPr>
            <w:tcW w:w="0" w:type="auto"/>
            <w:vAlign w:val="center"/>
            <w:hideMark/>
          </w:tcPr>
          <w:p w14:paraId="7DC65E68" w14:textId="77777777" w:rsidR="00000000" w:rsidRDefault="00195E73">
            <w:pPr>
              <w:rPr>
                <w:rFonts w:eastAsia="Times New Roman"/>
                <w:sz w:val="20"/>
                <w:szCs w:val="20"/>
              </w:rPr>
            </w:pPr>
          </w:p>
        </w:tc>
        <w:tc>
          <w:tcPr>
            <w:tcW w:w="0" w:type="auto"/>
            <w:vAlign w:val="center"/>
            <w:hideMark/>
          </w:tcPr>
          <w:p w14:paraId="3E20C07B" w14:textId="77777777" w:rsidR="00000000" w:rsidRDefault="00195E73">
            <w:pPr>
              <w:rPr>
                <w:rFonts w:eastAsia="Times New Roman"/>
                <w:sz w:val="20"/>
                <w:szCs w:val="20"/>
              </w:rPr>
            </w:pPr>
          </w:p>
        </w:tc>
        <w:tc>
          <w:tcPr>
            <w:tcW w:w="0" w:type="auto"/>
            <w:vAlign w:val="center"/>
            <w:hideMark/>
          </w:tcPr>
          <w:p w14:paraId="0984FC8A" w14:textId="77777777" w:rsidR="00000000" w:rsidRDefault="00195E73">
            <w:pPr>
              <w:rPr>
                <w:rFonts w:eastAsia="Times New Roman"/>
                <w:sz w:val="20"/>
                <w:szCs w:val="20"/>
              </w:rPr>
            </w:pPr>
          </w:p>
        </w:tc>
        <w:tc>
          <w:tcPr>
            <w:tcW w:w="0" w:type="auto"/>
            <w:vAlign w:val="center"/>
            <w:hideMark/>
          </w:tcPr>
          <w:p w14:paraId="4DD8E30B" w14:textId="77777777" w:rsidR="00000000" w:rsidRDefault="00195E73">
            <w:pPr>
              <w:rPr>
                <w:rFonts w:eastAsia="Times New Roman"/>
                <w:sz w:val="20"/>
                <w:szCs w:val="20"/>
              </w:rPr>
            </w:pPr>
          </w:p>
        </w:tc>
        <w:tc>
          <w:tcPr>
            <w:tcW w:w="0" w:type="auto"/>
            <w:vAlign w:val="center"/>
            <w:hideMark/>
          </w:tcPr>
          <w:p w14:paraId="148AFD95" w14:textId="77777777" w:rsidR="00000000" w:rsidRDefault="00195E73">
            <w:pPr>
              <w:rPr>
                <w:rFonts w:eastAsia="Times New Roman"/>
                <w:sz w:val="20"/>
                <w:szCs w:val="20"/>
              </w:rPr>
            </w:pPr>
          </w:p>
        </w:tc>
        <w:tc>
          <w:tcPr>
            <w:tcW w:w="0" w:type="auto"/>
            <w:vAlign w:val="center"/>
            <w:hideMark/>
          </w:tcPr>
          <w:p w14:paraId="332EF5C7" w14:textId="77777777" w:rsidR="00000000" w:rsidRDefault="00195E73">
            <w:pPr>
              <w:rPr>
                <w:rFonts w:eastAsia="Times New Roman"/>
                <w:sz w:val="20"/>
                <w:szCs w:val="20"/>
              </w:rPr>
            </w:pPr>
          </w:p>
        </w:tc>
        <w:tc>
          <w:tcPr>
            <w:tcW w:w="0" w:type="auto"/>
            <w:vAlign w:val="center"/>
            <w:hideMark/>
          </w:tcPr>
          <w:p w14:paraId="2B97930F" w14:textId="77777777" w:rsidR="00000000" w:rsidRDefault="00195E73">
            <w:pPr>
              <w:rPr>
                <w:rFonts w:eastAsia="Times New Roman"/>
                <w:sz w:val="20"/>
                <w:szCs w:val="20"/>
              </w:rPr>
            </w:pPr>
          </w:p>
        </w:tc>
        <w:tc>
          <w:tcPr>
            <w:tcW w:w="0" w:type="auto"/>
            <w:vAlign w:val="center"/>
            <w:hideMark/>
          </w:tcPr>
          <w:p w14:paraId="70F17007" w14:textId="77777777" w:rsidR="00000000" w:rsidRDefault="00195E73">
            <w:pPr>
              <w:rPr>
                <w:rFonts w:eastAsia="Times New Roman"/>
                <w:sz w:val="20"/>
                <w:szCs w:val="20"/>
              </w:rPr>
            </w:pPr>
          </w:p>
        </w:tc>
        <w:tc>
          <w:tcPr>
            <w:tcW w:w="0" w:type="auto"/>
            <w:vAlign w:val="center"/>
            <w:hideMark/>
          </w:tcPr>
          <w:p w14:paraId="7963A49D" w14:textId="77777777" w:rsidR="00000000" w:rsidRDefault="00195E73">
            <w:pPr>
              <w:rPr>
                <w:rFonts w:eastAsia="Times New Roman"/>
                <w:sz w:val="20"/>
                <w:szCs w:val="20"/>
              </w:rPr>
            </w:pPr>
          </w:p>
        </w:tc>
        <w:tc>
          <w:tcPr>
            <w:tcW w:w="0" w:type="auto"/>
            <w:vAlign w:val="center"/>
            <w:hideMark/>
          </w:tcPr>
          <w:p w14:paraId="7EAF26C6" w14:textId="77777777" w:rsidR="00000000" w:rsidRDefault="00195E73">
            <w:pPr>
              <w:rPr>
                <w:rFonts w:eastAsia="Times New Roman"/>
                <w:sz w:val="20"/>
                <w:szCs w:val="20"/>
              </w:rPr>
            </w:pPr>
          </w:p>
        </w:tc>
      </w:tr>
      <w:tr w:rsidR="00000000" w14:paraId="3BF8C25A" w14:textId="77777777">
        <w:trPr>
          <w:divId w:val="384380373"/>
          <w:trHeight w:val="300"/>
          <w:jc w:val="center"/>
        </w:trPr>
        <w:tc>
          <w:tcPr>
            <w:tcW w:w="0" w:type="auto"/>
            <w:gridSpan w:val="3"/>
            <w:shd w:val="clear" w:color="auto" w:fill="CCEEFF"/>
            <w:tcMar>
              <w:top w:w="15" w:type="dxa"/>
              <w:left w:w="20" w:type="dxa"/>
              <w:bottom w:w="15" w:type="dxa"/>
              <w:right w:w="20" w:type="dxa"/>
            </w:tcMar>
            <w:vAlign w:val="bottom"/>
            <w:hideMark/>
          </w:tcPr>
          <w:p w14:paraId="6E4E8BE0" w14:textId="77777777" w:rsidR="00000000" w:rsidRDefault="00195E73">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5658F4C7"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DB35F6B"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55605FA4"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D41F343"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61E45A2" w14:textId="77777777" w:rsidR="00000000" w:rsidRDefault="00195E73">
            <w:pPr>
              <w:rPr>
                <w:rFonts w:eastAsia="Times New Roman"/>
                <w:sz w:val="20"/>
                <w:szCs w:val="20"/>
              </w:rPr>
            </w:pPr>
          </w:p>
        </w:tc>
        <w:tc>
          <w:tcPr>
            <w:tcW w:w="0" w:type="auto"/>
            <w:vAlign w:val="center"/>
            <w:hideMark/>
          </w:tcPr>
          <w:p w14:paraId="226207BC" w14:textId="77777777" w:rsidR="00000000" w:rsidRDefault="00195E73">
            <w:pPr>
              <w:rPr>
                <w:rFonts w:eastAsia="Times New Roman"/>
                <w:sz w:val="20"/>
                <w:szCs w:val="20"/>
              </w:rPr>
            </w:pPr>
          </w:p>
        </w:tc>
        <w:tc>
          <w:tcPr>
            <w:tcW w:w="0" w:type="auto"/>
            <w:vAlign w:val="center"/>
            <w:hideMark/>
          </w:tcPr>
          <w:p w14:paraId="25CF6D66" w14:textId="77777777" w:rsidR="00000000" w:rsidRDefault="00195E73">
            <w:pPr>
              <w:rPr>
                <w:rFonts w:eastAsia="Times New Roman"/>
                <w:sz w:val="20"/>
                <w:szCs w:val="20"/>
              </w:rPr>
            </w:pPr>
          </w:p>
        </w:tc>
        <w:tc>
          <w:tcPr>
            <w:tcW w:w="0" w:type="auto"/>
            <w:vAlign w:val="center"/>
            <w:hideMark/>
          </w:tcPr>
          <w:p w14:paraId="21A49B14" w14:textId="77777777" w:rsidR="00000000" w:rsidRDefault="00195E73">
            <w:pPr>
              <w:rPr>
                <w:rFonts w:eastAsia="Times New Roman"/>
                <w:sz w:val="20"/>
                <w:szCs w:val="20"/>
              </w:rPr>
            </w:pPr>
          </w:p>
        </w:tc>
        <w:tc>
          <w:tcPr>
            <w:tcW w:w="0" w:type="auto"/>
            <w:vAlign w:val="center"/>
            <w:hideMark/>
          </w:tcPr>
          <w:p w14:paraId="42DE0A82" w14:textId="77777777" w:rsidR="00000000" w:rsidRDefault="00195E73">
            <w:pPr>
              <w:rPr>
                <w:rFonts w:eastAsia="Times New Roman"/>
                <w:sz w:val="20"/>
                <w:szCs w:val="20"/>
              </w:rPr>
            </w:pPr>
          </w:p>
        </w:tc>
        <w:tc>
          <w:tcPr>
            <w:tcW w:w="0" w:type="auto"/>
            <w:vAlign w:val="center"/>
            <w:hideMark/>
          </w:tcPr>
          <w:p w14:paraId="5B45F890" w14:textId="77777777" w:rsidR="00000000" w:rsidRDefault="00195E73">
            <w:pPr>
              <w:rPr>
                <w:rFonts w:eastAsia="Times New Roman"/>
                <w:sz w:val="20"/>
                <w:szCs w:val="20"/>
              </w:rPr>
            </w:pPr>
          </w:p>
        </w:tc>
        <w:tc>
          <w:tcPr>
            <w:tcW w:w="0" w:type="auto"/>
            <w:vAlign w:val="center"/>
            <w:hideMark/>
          </w:tcPr>
          <w:p w14:paraId="265D9643" w14:textId="77777777" w:rsidR="00000000" w:rsidRDefault="00195E73">
            <w:pPr>
              <w:rPr>
                <w:rFonts w:eastAsia="Times New Roman"/>
                <w:sz w:val="20"/>
                <w:szCs w:val="20"/>
              </w:rPr>
            </w:pPr>
          </w:p>
        </w:tc>
        <w:tc>
          <w:tcPr>
            <w:tcW w:w="0" w:type="auto"/>
            <w:vAlign w:val="center"/>
            <w:hideMark/>
          </w:tcPr>
          <w:p w14:paraId="6F5A5C08" w14:textId="77777777" w:rsidR="00000000" w:rsidRDefault="00195E73">
            <w:pPr>
              <w:rPr>
                <w:rFonts w:eastAsia="Times New Roman"/>
                <w:sz w:val="20"/>
                <w:szCs w:val="20"/>
              </w:rPr>
            </w:pPr>
          </w:p>
        </w:tc>
        <w:tc>
          <w:tcPr>
            <w:tcW w:w="0" w:type="auto"/>
            <w:vAlign w:val="center"/>
            <w:hideMark/>
          </w:tcPr>
          <w:p w14:paraId="78899AFC" w14:textId="77777777" w:rsidR="00000000" w:rsidRDefault="00195E73">
            <w:pPr>
              <w:rPr>
                <w:rFonts w:eastAsia="Times New Roman"/>
                <w:sz w:val="20"/>
                <w:szCs w:val="20"/>
              </w:rPr>
            </w:pPr>
          </w:p>
        </w:tc>
        <w:tc>
          <w:tcPr>
            <w:tcW w:w="0" w:type="auto"/>
            <w:vAlign w:val="center"/>
            <w:hideMark/>
          </w:tcPr>
          <w:p w14:paraId="520BADF5" w14:textId="77777777" w:rsidR="00000000" w:rsidRDefault="00195E73">
            <w:pPr>
              <w:rPr>
                <w:rFonts w:eastAsia="Times New Roman"/>
                <w:sz w:val="20"/>
                <w:szCs w:val="20"/>
              </w:rPr>
            </w:pPr>
          </w:p>
        </w:tc>
        <w:tc>
          <w:tcPr>
            <w:tcW w:w="0" w:type="auto"/>
            <w:vAlign w:val="center"/>
            <w:hideMark/>
          </w:tcPr>
          <w:p w14:paraId="251D65F3" w14:textId="77777777" w:rsidR="00000000" w:rsidRDefault="00195E73">
            <w:pPr>
              <w:rPr>
                <w:rFonts w:eastAsia="Times New Roman"/>
                <w:sz w:val="20"/>
                <w:szCs w:val="20"/>
              </w:rPr>
            </w:pPr>
          </w:p>
        </w:tc>
        <w:tc>
          <w:tcPr>
            <w:tcW w:w="0" w:type="auto"/>
            <w:vAlign w:val="center"/>
            <w:hideMark/>
          </w:tcPr>
          <w:p w14:paraId="73DCDBDD" w14:textId="77777777" w:rsidR="00000000" w:rsidRDefault="00195E73">
            <w:pPr>
              <w:rPr>
                <w:rFonts w:eastAsia="Times New Roman"/>
                <w:sz w:val="20"/>
                <w:szCs w:val="20"/>
              </w:rPr>
            </w:pPr>
          </w:p>
        </w:tc>
        <w:tc>
          <w:tcPr>
            <w:tcW w:w="0" w:type="auto"/>
            <w:vAlign w:val="center"/>
            <w:hideMark/>
          </w:tcPr>
          <w:p w14:paraId="7AEB9D26" w14:textId="77777777" w:rsidR="00000000" w:rsidRDefault="00195E73">
            <w:pPr>
              <w:rPr>
                <w:rFonts w:eastAsia="Times New Roman"/>
                <w:sz w:val="20"/>
                <w:szCs w:val="20"/>
              </w:rPr>
            </w:pPr>
          </w:p>
        </w:tc>
      </w:tr>
      <w:tr w:rsidR="00000000" w14:paraId="0B676479" w14:textId="77777777">
        <w:trPr>
          <w:divId w:val="384380373"/>
          <w:jc w:val="center"/>
        </w:trPr>
        <w:tc>
          <w:tcPr>
            <w:tcW w:w="0" w:type="auto"/>
            <w:gridSpan w:val="3"/>
            <w:shd w:val="clear" w:color="auto" w:fill="FFFFFF"/>
            <w:tcMar>
              <w:top w:w="30" w:type="dxa"/>
              <w:left w:w="20" w:type="dxa"/>
              <w:bottom w:w="30" w:type="dxa"/>
              <w:right w:w="20" w:type="dxa"/>
            </w:tcMar>
            <w:vAlign w:val="bottom"/>
            <w:hideMark/>
          </w:tcPr>
          <w:p w14:paraId="5144C0CC" w14:textId="77777777" w:rsidR="00000000" w:rsidRDefault="00195E73">
            <w:pPr>
              <w:ind w:hanging="180"/>
              <w:divId w:val="992441814"/>
              <w:rPr>
                <w:rFonts w:eastAsia="Times New Roman"/>
              </w:rPr>
            </w:pPr>
            <w:r>
              <w:rPr>
                <w:rFonts w:eastAsia="Times New Roman"/>
                <w:color w:val="000000"/>
                <w:sz w:val="20"/>
                <w:szCs w:val="20"/>
              </w:rPr>
              <w:t>Net (loss) income attributable to Icahn Enterprises from discontinued operation</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14:paraId="55A54499"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40459067" w14:textId="77777777" w:rsidR="00000000" w:rsidRDefault="00195E73">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7C18BB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19020E"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570BD7C"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1221531" w14:textId="77777777" w:rsidR="00000000" w:rsidRDefault="00195E73">
            <w:pPr>
              <w:jc w:val="right"/>
              <w:rPr>
                <w:rFonts w:eastAsia="Times New Roman"/>
              </w:rPr>
            </w:pPr>
            <w:r>
              <w:rPr>
                <w:rFonts w:eastAsia="Times New Roman"/>
                <w:color w:val="000000"/>
                <w:sz w:val="20"/>
                <w:szCs w:val="20"/>
              </w:rPr>
              <w:t>1,720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393B5C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B2010B"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BDEC3BC"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C07DABE" w14:textId="77777777" w:rsidR="00000000" w:rsidRDefault="00195E73">
            <w:pPr>
              <w:jc w:val="right"/>
              <w:rPr>
                <w:rFonts w:eastAsia="Times New Roman"/>
              </w:rPr>
            </w:pPr>
            <w:r>
              <w:rPr>
                <w:rFonts w:eastAsia="Times New Roman"/>
                <w:color w:val="000000"/>
                <w:sz w:val="20"/>
                <w:szCs w:val="20"/>
              </w:rPr>
              <w:t>157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45F5D8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993C7DB" w14:textId="77777777" w:rsidR="00000000" w:rsidRDefault="00195E73">
            <w:pPr>
              <w:rPr>
                <w:rFonts w:eastAsia="Times New Roman"/>
                <w:sz w:val="20"/>
                <w:szCs w:val="20"/>
              </w:rPr>
            </w:pPr>
          </w:p>
        </w:tc>
        <w:tc>
          <w:tcPr>
            <w:tcW w:w="0" w:type="auto"/>
            <w:vAlign w:val="center"/>
            <w:hideMark/>
          </w:tcPr>
          <w:p w14:paraId="0566DEE0" w14:textId="77777777" w:rsidR="00000000" w:rsidRDefault="00195E73">
            <w:pPr>
              <w:rPr>
                <w:rFonts w:eastAsia="Times New Roman"/>
                <w:sz w:val="20"/>
                <w:szCs w:val="20"/>
              </w:rPr>
            </w:pPr>
          </w:p>
        </w:tc>
        <w:tc>
          <w:tcPr>
            <w:tcW w:w="0" w:type="auto"/>
            <w:vAlign w:val="center"/>
            <w:hideMark/>
          </w:tcPr>
          <w:p w14:paraId="5680E155" w14:textId="77777777" w:rsidR="00000000" w:rsidRDefault="00195E73">
            <w:pPr>
              <w:rPr>
                <w:rFonts w:eastAsia="Times New Roman"/>
                <w:sz w:val="20"/>
                <w:szCs w:val="20"/>
              </w:rPr>
            </w:pPr>
          </w:p>
        </w:tc>
        <w:tc>
          <w:tcPr>
            <w:tcW w:w="0" w:type="auto"/>
            <w:vAlign w:val="center"/>
            <w:hideMark/>
          </w:tcPr>
          <w:p w14:paraId="29516F4B" w14:textId="77777777" w:rsidR="00000000" w:rsidRDefault="00195E73">
            <w:pPr>
              <w:rPr>
                <w:rFonts w:eastAsia="Times New Roman"/>
                <w:sz w:val="20"/>
                <w:szCs w:val="20"/>
              </w:rPr>
            </w:pPr>
          </w:p>
        </w:tc>
        <w:tc>
          <w:tcPr>
            <w:tcW w:w="0" w:type="auto"/>
            <w:vAlign w:val="center"/>
            <w:hideMark/>
          </w:tcPr>
          <w:p w14:paraId="34275BED" w14:textId="77777777" w:rsidR="00000000" w:rsidRDefault="00195E73">
            <w:pPr>
              <w:rPr>
                <w:rFonts w:eastAsia="Times New Roman"/>
                <w:sz w:val="20"/>
                <w:szCs w:val="20"/>
              </w:rPr>
            </w:pPr>
          </w:p>
        </w:tc>
        <w:tc>
          <w:tcPr>
            <w:tcW w:w="0" w:type="auto"/>
            <w:vAlign w:val="center"/>
            <w:hideMark/>
          </w:tcPr>
          <w:p w14:paraId="64FE581B" w14:textId="77777777" w:rsidR="00000000" w:rsidRDefault="00195E73">
            <w:pPr>
              <w:rPr>
                <w:rFonts w:eastAsia="Times New Roman"/>
                <w:sz w:val="20"/>
                <w:szCs w:val="20"/>
              </w:rPr>
            </w:pPr>
          </w:p>
        </w:tc>
        <w:tc>
          <w:tcPr>
            <w:tcW w:w="0" w:type="auto"/>
            <w:vAlign w:val="center"/>
            <w:hideMark/>
          </w:tcPr>
          <w:p w14:paraId="0C86E8D1" w14:textId="77777777" w:rsidR="00000000" w:rsidRDefault="00195E73">
            <w:pPr>
              <w:rPr>
                <w:rFonts w:eastAsia="Times New Roman"/>
                <w:sz w:val="20"/>
                <w:szCs w:val="20"/>
              </w:rPr>
            </w:pPr>
          </w:p>
        </w:tc>
        <w:tc>
          <w:tcPr>
            <w:tcW w:w="0" w:type="auto"/>
            <w:vAlign w:val="center"/>
            <w:hideMark/>
          </w:tcPr>
          <w:p w14:paraId="2E9E47B5" w14:textId="77777777" w:rsidR="00000000" w:rsidRDefault="00195E73">
            <w:pPr>
              <w:rPr>
                <w:rFonts w:eastAsia="Times New Roman"/>
                <w:sz w:val="20"/>
                <w:szCs w:val="20"/>
              </w:rPr>
            </w:pPr>
          </w:p>
        </w:tc>
        <w:tc>
          <w:tcPr>
            <w:tcW w:w="0" w:type="auto"/>
            <w:vAlign w:val="center"/>
            <w:hideMark/>
          </w:tcPr>
          <w:p w14:paraId="0931C3EC" w14:textId="77777777" w:rsidR="00000000" w:rsidRDefault="00195E73">
            <w:pPr>
              <w:rPr>
                <w:rFonts w:eastAsia="Times New Roman"/>
                <w:sz w:val="20"/>
                <w:szCs w:val="20"/>
              </w:rPr>
            </w:pPr>
          </w:p>
        </w:tc>
        <w:tc>
          <w:tcPr>
            <w:tcW w:w="0" w:type="auto"/>
            <w:vAlign w:val="center"/>
            <w:hideMark/>
          </w:tcPr>
          <w:p w14:paraId="5535EE0E" w14:textId="77777777" w:rsidR="00000000" w:rsidRDefault="00195E73">
            <w:pPr>
              <w:rPr>
                <w:rFonts w:eastAsia="Times New Roman"/>
                <w:sz w:val="20"/>
                <w:szCs w:val="20"/>
              </w:rPr>
            </w:pPr>
          </w:p>
        </w:tc>
        <w:tc>
          <w:tcPr>
            <w:tcW w:w="0" w:type="auto"/>
            <w:vAlign w:val="center"/>
            <w:hideMark/>
          </w:tcPr>
          <w:p w14:paraId="10FA6734" w14:textId="77777777" w:rsidR="00000000" w:rsidRDefault="00195E73">
            <w:pPr>
              <w:rPr>
                <w:rFonts w:eastAsia="Times New Roman"/>
                <w:sz w:val="20"/>
                <w:szCs w:val="20"/>
              </w:rPr>
            </w:pPr>
          </w:p>
        </w:tc>
        <w:tc>
          <w:tcPr>
            <w:tcW w:w="0" w:type="auto"/>
            <w:vAlign w:val="center"/>
            <w:hideMark/>
          </w:tcPr>
          <w:p w14:paraId="715600BE" w14:textId="77777777" w:rsidR="00000000" w:rsidRDefault="00195E73">
            <w:pPr>
              <w:rPr>
                <w:rFonts w:eastAsia="Times New Roman"/>
                <w:sz w:val="20"/>
                <w:szCs w:val="20"/>
              </w:rPr>
            </w:pPr>
          </w:p>
        </w:tc>
      </w:tr>
      <w:tr w:rsidR="00000000" w14:paraId="5C073B52" w14:textId="77777777">
        <w:trPr>
          <w:divId w:val="384380373"/>
          <w:jc w:val="center"/>
        </w:trPr>
        <w:tc>
          <w:tcPr>
            <w:tcW w:w="0" w:type="auto"/>
            <w:gridSpan w:val="3"/>
            <w:shd w:val="clear" w:color="auto" w:fill="CCEEFF"/>
            <w:tcMar>
              <w:top w:w="30" w:type="dxa"/>
              <w:left w:w="20" w:type="dxa"/>
              <w:bottom w:w="30" w:type="dxa"/>
              <w:right w:w="20" w:type="dxa"/>
            </w:tcMar>
            <w:vAlign w:val="bottom"/>
            <w:hideMark/>
          </w:tcPr>
          <w:p w14:paraId="18863BB8" w14:textId="77777777" w:rsidR="00000000" w:rsidRDefault="00195E73">
            <w:pPr>
              <w:ind w:hanging="180"/>
              <w:divId w:val="1165633564"/>
              <w:rPr>
                <w:rFonts w:eastAsia="Times New Roman"/>
              </w:rPr>
            </w:pPr>
            <w:r>
              <w:rPr>
                <w:rFonts w:eastAsia="Times New Roman"/>
                <w:color w:val="000000"/>
                <w:sz w:val="20"/>
                <w:szCs w:val="20"/>
              </w:rPr>
              <w:t>Less: net loss attributable to Icahn Enterprises from discontinued operations allocated 100% to general partne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70ADB970"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3AFF55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064345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37F13A" w14:textId="77777777" w:rsidR="00000000" w:rsidRDefault="00195E73">
            <w:pPr>
              <w:jc w:val="right"/>
              <w:rPr>
                <w:rFonts w:eastAsia="Times New Roman"/>
              </w:rPr>
            </w:pPr>
            <w:r>
              <w:rPr>
                <w:rFonts w:eastAsia="Times New Roman"/>
                <w:color w:val="000000"/>
                <w:sz w:val="20"/>
                <w:szCs w:val="20"/>
              </w:rPr>
              <w:t>598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02E03D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055B9F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CC7D1E"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6E8C4C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AD31C09" w14:textId="77777777" w:rsidR="00000000" w:rsidRDefault="00195E73">
            <w:pPr>
              <w:rPr>
                <w:rFonts w:eastAsia="Times New Roman"/>
                <w:sz w:val="20"/>
                <w:szCs w:val="20"/>
              </w:rPr>
            </w:pPr>
          </w:p>
        </w:tc>
        <w:tc>
          <w:tcPr>
            <w:tcW w:w="0" w:type="auto"/>
            <w:vAlign w:val="center"/>
            <w:hideMark/>
          </w:tcPr>
          <w:p w14:paraId="5FE728C9" w14:textId="77777777" w:rsidR="00000000" w:rsidRDefault="00195E73">
            <w:pPr>
              <w:rPr>
                <w:rFonts w:eastAsia="Times New Roman"/>
                <w:sz w:val="20"/>
                <w:szCs w:val="20"/>
              </w:rPr>
            </w:pPr>
          </w:p>
        </w:tc>
        <w:tc>
          <w:tcPr>
            <w:tcW w:w="0" w:type="auto"/>
            <w:vAlign w:val="center"/>
            <w:hideMark/>
          </w:tcPr>
          <w:p w14:paraId="4214849B" w14:textId="77777777" w:rsidR="00000000" w:rsidRDefault="00195E73">
            <w:pPr>
              <w:rPr>
                <w:rFonts w:eastAsia="Times New Roman"/>
                <w:sz w:val="20"/>
                <w:szCs w:val="20"/>
              </w:rPr>
            </w:pPr>
          </w:p>
        </w:tc>
        <w:tc>
          <w:tcPr>
            <w:tcW w:w="0" w:type="auto"/>
            <w:vAlign w:val="center"/>
            <w:hideMark/>
          </w:tcPr>
          <w:p w14:paraId="28300321" w14:textId="77777777" w:rsidR="00000000" w:rsidRDefault="00195E73">
            <w:pPr>
              <w:rPr>
                <w:rFonts w:eastAsia="Times New Roman"/>
                <w:sz w:val="20"/>
                <w:szCs w:val="20"/>
              </w:rPr>
            </w:pPr>
          </w:p>
        </w:tc>
        <w:tc>
          <w:tcPr>
            <w:tcW w:w="0" w:type="auto"/>
            <w:vAlign w:val="center"/>
            <w:hideMark/>
          </w:tcPr>
          <w:p w14:paraId="54F4D424" w14:textId="77777777" w:rsidR="00000000" w:rsidRDefault="00195E73">
            <w:pPr>
              <w:rPr>
                <w:rFonts w:eastAsia="Times New Roman"/>
                <w:sz w:val="20"/>
                <w:szCs w:val="20"/>
              </w:rPr>
            </w:pPr>
          </w:p>
        </w:tc>
        <w:tc>
          <w:tcPr>
            <w:tcW w:w="0" w:type="auto"/>
            <w:vAlign w:val="center"/>
            <w:hideMark/>
          </w:tcPr>
          <w:p w14:paraId="4F7B4A09" w14:textId="77777777" w:rsidR="00000000" w:rsidRDefault="00195E73">
            <w:pPr>
              <w:rPr>
                <w:rFonts w:eastAsia="Times New Roman"/>
                <w:sz w:val="20"/>
                <w:szCs w:val="20"/>
              </w:rPr>
            </w:pPr>
          </w:p>
        </w:tc>
        <w:tc>
          <w:tcPr>
            <w:tcW w:w="0" w:type="auto"/>
            <w:vAlign w:val="center"/>
            <w:hideMark/>
          </w:tcPr>
          <w:p w14:paraId="47D416C2" w14:textId="77777777" w:rsidR="00000000" w:rsidRDefault="00195E73">
            <w:pPr>
              <w:rPr>
                <w:rFonts w:eastAsia="Times New Roman"/>
                <w:sz w:val="20"/>
                <w:szCs w:val="20"/>
              </w:rPr>
            </w:pPr>
          </w:p>
        </w:tc>
        <w:tc>
          <w:tcPr>
            <w:tcW w:w="0" w:type="auto"/>
            <w:vAlign w:val="center"/>
            <w:hideMark/>
          </w:tcPr>
          <w:p w14:paraId="2E79E200" w14:textId="77777777" w:rsidR="00000000" w:rsidRDefault="00195E73">
            <w:pPr>
              <w:rPr>
                <w:rFonts w:eastAsia="Times New Roman"/>
                <w:sz w:val="20"/>
                <w:szCs w:val="20"/>
              </w:rPr>
            </w:pPr>
          </w:p>
        </w:tc>
        <w:tc>
          <w:tcPr>
            <w:tcW w:w="0" w:type="auto"/>
            <w:vAlign w:val="center"/>
            <w:hideMark/>
          </w:tcPr>
          <w:p w14:paraId="14DFE575" w14:textId="77777777" w:rsidR="00000000" w:rsidRDefault="00195E73">
            <w:pPr>
              <w:rPr>
                <w:rFonts w:eastAsia="Times New Roman"/>
                <w:sz w:val="20"/>
                <w:szCs w:val="20"/>
              </w:rPr>
            </w:pPr>
          </w:p>
        </w:tc>
        <w:tc>
          <w:tcPr>
            <w:tcW w:w="0" w:type="auto"/>
            <w:vAlign w:val="center"/>
            <w:hideMark/>
          </w:tcPr>
          <w:p w14:paraId="6C72699B" w14:textId="77777777" w:rsidR="00000000" w:rsidRDefault="00195E73">
            <w:pPr>
              <w:rPr>
                <w:rFonts w:eastAsia="Times New Roman"/>
                <w:sz w:val="20"/>
                <w:szCs w:val="20"/>
              </w:rPr>
            </w:pPr>
          </w:p>
        </w:tc>
        <w:tc>
          <w:tcPr>
            <w:tcW w:w="0" w:type="auto"/>
            <w:vAlign w:val="center"/>
            <w:hideMark/>
          </w:tcPr>
          <w:p w14:paraId="7C4A50AC" w14:textId="77777777" w:rsidR="00000000" w:rsidRDefault="00195E73">
            <w:pPr>
              <w:rPr>
                <w:rFonts w:eastAsia="Times New Roman"/>
                <w:sz w:val="20"/>
                <w:szCs w:val="20"/>
              </w:rPr>
            </w:pPr>
          </w:p>
        </w:tc>
        <w:tc>
          <w:tcPr>
            <w:tcW w:w="0" w:type="auto"/>
            <w:vAlign w:val="center"/>
            <w:hideMark/>
          </w:tcPr>
          <w:p w14:paraId="4A05CFF1" w14:textId="77777777" w:rsidR="00000000" w:rsidRDefault="00195E73">
            <w:pPr>
              <w:rPr>
                <w:rFonts w:eastAsia="Times New Roman"/>
                <w:sz w:val="20"/>
                <w:szCs w:val="20"/>
              </w:rPr>
            </w:pPr>
          </w:p>
        </w:tc>
      </w:tr>
      <w:tr w:rsidR="00000000" w14:paraId="171C8546" w14:textId="77777777">
        <w:trPr>
          <w:divId w:val="384380373"/>
          <w:jc w:val="center"/>
        </w:trPr>
        <w:tc>
          <w:tcPr>
            <w:tcW w:w="0" w:type="auto"/>
            <w:gridSpan w:val="3"/>
            <w:shd w:val="clear" w:color="auto" w:fill="FFFFFF"/>
            <w:tcMar>
              <w:top w:w="30" w:type="dxa"/>
              <w:left w:w="20" w:type="dxa"/>
              <w:bottom w:w="30" w:type="dxa"/>
              <w:right w:w="20" w:type="dxa"/>
            </w:tcMar>
            <w:vAlign w:val="bottom"/>
            <w:hideMark/>
          </w:tcPr>
          <w:p w14:paraId="1C7BB2C6" w14:textId="77777777" w:rsidR="00000000" w:rsidRDefault="00195E73">
            <w:pPr>
              <w:ind w:hanging="180"/>
              <w:divId w:val="1397899565"/>
              <w:rPr>
                <w:rFonts w:eastAsia="Times New Roman"/>
              </w:rPr>
            </w:pPr>
            <w:r>
              <w:rPr>
                <w:rFonts w:eastAsia="Times New Roman"/>
                <w:color w:val="000000"/>
                <w:sz w:val="20"/>
                <w:szCs w:val="20"/>
              </w:rPr>
              <w:t>Net (loss) income attributable to Icahn Enterprises from discontinued operations allocable to limited partner</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08624A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539FD61" w14:textId="77777777" w:rsidR="00000000" w:rsidRDefault="00195E73">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CBA47B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15EB470"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93D0EE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6722C4F" w14:textId="77777777" w:rsidR="00000000" w:rsidRDefault="00195E73">
            <w:pPr>
              <w:jc w:val="right"/>
              <w:rPr>
                <w:rFonts w:eastAsia="Times New Roman"/>
              </w:rPr>
            </w:pPr>
            <w:r>
              <w:rPr>
                <w:rFonts w:eastAsia="Times New Roman"/>
                <w:color w:val="000000"/>
                <w:sz w:val="20"/>
                <w:szCs w:val="20"/>
              </w:rPr>
              <w:t>2,318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51A8B7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66654D6"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ED17D7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5C640E0" w14:textId="77777777" w:rsidR="00000000" w:rsidRDefault="00195E73">
            <w:pPr>
              <w:jc w:val="right"/>
              <w:rPr>
                <w:rFonts w:eastAsia="Times New Roman"/>
              </w:rPr>
            </w:pPr>
            <w:r>
              <w:rPr>
                <w:rFonts w:eastAsia="Times New Roman"/>
                <w:color w:val="000000"/>
                <w:sz w:val="20"/>
                <w:szCs w:val="20"/>
              </w:rPr>
              <w:t>157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1B3AFA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565C706" w14:textId="77777777" w:rsidR="00000000" w:rsidRDefault="00195E73">
            <w:pPr>
              <w:rPr>
                <w:rFonts w:eastAsia="Times New Roman"/>
                <w:sz w:val="20"/>
                <w:szCs w:val="20"/>
              </w:rPr>
            </w:pPr>
          </w:p>
        </w:tc>
        <w:tc>
          <w:tcPr>
            <w:tcW w:w="0" w:type="auto"/>
            <w:vAlign w:val="center"/>
            <w:hideMark/>
          </w:tcPr>
          <w:p w14:paraId="1C90FD9C" w14:textId="77777777" w:rsidR="00000000" w:rsidRDefault="00195E73">
            <w:pPr>
              <w:rPr>
                <w:rFonts w:eastAsia="Times New Roman"/>
                <w:sz w:val="20"/>
                <w:szCs w:val="20"/>
              </w:rPr>
            </w:pPr>
          </w:p>
        </w:tc>
        <w:tc>
          <w:tcPr>
            <w:tcW w:w="0" w:type="auto"/>
            <w:vAlign w:val="center"/>
            <w:hideMark/>
          </w:tcPr>
          <w:p w14:paraId="015E07A4" w14:textId="77777777" w:rsidR="00000000" w:rsidRDefault="00195E73">
            <w:pPr>
              <w:rPr>
                <w:rFonts w:eastAsia="Times New Roman"/>
                <w:sz w:val="20"/>
                <w:szCs w:val="20"/>
              </w:rPr>
            </w:pPr>
          </w:p>
        </w:tc>
        <w:tc>
          <w:tcPr>
            <w:tcW w:w="0" w:type="auto"/>
            <w:vAlign w:val="center"/>
            <w:hideMark/>
          </w:tcPr>
          <w:p w14:paraId="0F57DA60" w14:textId="77777777" w:rsidR="00000000" w:rsidRDefault="00195E73">
            <w:pPr>
              <w:rPr>
                <w:rFonts w:eastAsia="Times New Roman"/>
                <w:sz w:val="20"/>
                <w:szCs w:val="20"/>
              </w:rPr>
            </w:pPr>
          </w:p>
        </w:tc>
        <w:tc>
          <w:tcPr>
            <w:tcW w:w="0" w:type="auto"/>
            <w:vAlign w:val="center"/>
            <w:hideMark/>
          </w:tcPr>
          <w:p w14:paraId="38614668" w14:textId="77777777" w:rsidR="00000000" w:rsidRDefault="00195E73">
            <w:pPr>
              <w:rPr>
                <w:rFonts w:eastAsia="Times New Roman"/>
                <w:sz w:val="20"/>
                <w:szCs w:val="20"/>
              </w:rPr>
            </w:pPr>
          </w:p>
        </w:tc>
        <w:tc>
          <w:tcPr>
            <w:tcW w:w="0" w:type="auto"/>
            <w:vAlign w:val="center"/>
            <w:hideMark/>
          </w:tcPr>
          <w:p w14:paraId="06D6C53C" w14:textId="77777777" w:rsidR="00000000" w:rsidRDefault="00195E73">
            <w:pPr>
              <w:rPr>
                <w:rFonts w:eastAsia="Times New Roman"/>
                <w:sz w:val="20"/>
                <w:szCs w:val="20"/>
              </w:rPr>
            </w:pPr>
          </w:p>
        </w:tc>
        <w:tc>
          <w:tcPr>
            <w:tcW w:w="0" w:type="auto"/>
            <w:vAlign w:val="center"/>
            <w:hideMark/>
          </w:tcPr>
          <w:p w14:paraId="7859487D" w14:textId="77777777" w:rsidR="00000000" w:rsidRDefault="00195E73">
            <w:pPr>
              <w:rPr>
                <w:rFonts w:eastAsia="Times New Roman"/>
                <w:sz w:val="20"/>
                <w:szCs w:val="20"/>
              </w:rPr>
            </w:pPr>
          </w:p>
        </w:tc>
        <w:tc>
          <w:tcPr>
            <w:tcW w:w="0" w:type="auto"/>
            <w:vAlign w:val="center"/>
            <w:hideMark/>
          </w:tcPr>
          <w:p w14:paraId="143EDE5F" w14:textId="77777777" w:rsidR="00000000" w:rsidRDefault="00195E73">
            <w:pPr>
              <w:rPr>
                <w:rFonts w:eastAsia="Times New Roman"/>
                <w:sz w:val="20"/>
                <w:szCs w:val="20"/>
              </w:rPr>
            </w:pPr>
          </w:p>
        </w:tc>
        <w:tc>
          <w:tcPr>
            <w:tcW w:w="0" w:type="auto"/>
            <w:vAlign w:val="center"/>
            <w:hideMark/>
          </w:tcPr>
          <w:p w14:paraId="4AE598D6" w14:textId="77777777" w:rsidR="00000000" w:rsidRDefault="00195E73">
            <w:pPr>
              <w:rPr>
                <w:rFonts w:eastAsia="Times New Roman"/>
                <w:sz w:val="20"/>
                <w:szCs w:val="20"/>
              </w:rPr>
            </w:pPr>
          </w:p>
        </w:tc>
        <w:tc>
          <w:tcPr>
            <w:tcW w:w="0" w:type="auto"/>
            <w:vAlign w:val="center"/>
            <w:hideMark/>
          </w:tcPr>
          <w:p w14:paraId="652517AA" w14:textId="77777777" w:rsidR="00000000" w:rsidRDefault="00195E73">
            <w:pPr>
              <w:rPr>
                <w:rFonts w:eastAsia="Times New Roman"/>
                <w:sz w:val="20"/>
                <w:szCs w:val="20"/>
              </w:rPr>
            </w:pPr>
          </w:p>
        </w:tc>
        <w:tc>
          <w:tcPr>
            <w:tcW w:w="0" w:type="auto"/>
            <w:vAlign w:val="center"/>
            <w:hideMark/>
          </w:tcPr>
          <w:p w14:paraId="5B09D15D" w14:textId="77777777" w:rsidR="00000000" w:rsidRDefault="00195E73">
            <w:pPr>
              <w:rPr>
                <w:rFonts w:eastAsia="Times New Roman"/>
                <w:sz w:val="20"/>
                <w:szCs w:val="20"/>
              </w:rPr>
            </w:pPr>
          </w:p>
        </w:tc>
        <w:tc>
          <w:tcPr>
            <w:tcW w:w="0" w:type="auto"/>
            <w:vAlign w:val="center"/>
            <w:hideMark/>
          </w:tcPr>
          <w:p w14:paraId="22B1B940" w14:textId="77777777" w:rsidR="00000000" w:rsidRDefault="00195E73">
            <w:pPr>
              <w:rPr>
                <w:rFonts w:eastAsia="Times New Roman"/>
                <w:sz w:val="20"/>
                <w:szCs w:val="20"/>
              </w:rPr>
            </w:pPr>
          </w:p>
        </w:tc>
      </w:tr>
      <w:tr w:rsidR="00000000" w14:paraId="7631B80D" w14:textId="77777777">
        <w:trPr>
          <w:divId w:val="384380373"/>
          <w:jc w:val="center"/>
        </w:trPr>
        <w:tc>
          <w:tcPr>
            <w:tcW w:w="0" w:type="auto"/>
            <w:gridSpan w:val="3"/>
            <w:shd w:val="clear" w:color="auto" w:fill="CCEEFF"/>
            <w:tcMar>
              <w:top w:w="30" w:type="dxa"/>
              <w:left w:w="20" w:type="dxa"/>
              <w:bottom w:w="30" w:type="dxa"/>
              <w:right w:w="20" w:type="dxa"/>
            </w:tcMar>
            <w:vAlign w:val="bottom"/>
            <w:hideMark/>
          </w:tcPr>
          <w:p w14:paraId="3C318AAC" w14:textId="77777777" w:rsidR="00000000" w:rsidRDefault="00195E73">
            <w:pPr>
              <w:ind w:hanging="180"/>
              <w:divId w:val="1920673169"/>
              <w:rPr>
                <w:rFonts w:eastAsia="Times New Roman"/>
              </w:rPr>
            </w:pPr>
            <w:r>
              <w:rPr>
                <w:rFonts w:eastAsia="Times New Roman"/>
                <w:color w:val="000000"/>
                <w:sz w:val="20"/>
                <w:szCs w:val="20"/>
              </w:rPr>
              <w:t>Net (loss) income attributable to Icahn Enterprises from discontinued operations allocated to limited partners (98.01% allocation</w:t>
            </w:r>
            <w:r>
              <w:rPr>
                <w:rFonts w:eastAsia="Times New Roman"/>
                <w:color w:val="000000"/>
                <w:sz w:val="20"/>
                <w:szCs w:val="20"/>
              </w:rPr>
              <w:t>)</w:t>
            </w: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53A1C3D2"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7FE2393C" w14:textId="77777777" w:rsidR="00000000" w:rsidRDefault="00195E73">
            <w:pPr>
              <w:jc w:val="right"/>
              <w:rPr>
                <w:rFonts w:eastAsia="Times New Roman"/>
              </w:rPr>
            </w:pPr>
            <w:r>
              <w:rPr>
                <w:rFonts w:eastAsia="Times New Roman"/>
                <w:color w:val="000000"/>
                <w:sz w:val="20"/>
                <w:szCs w:val="20"/>
              </w:rPr>
              <w:t>(31</w:t>
            </w: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24BAACD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886235A" w14:textId="77777777" w:rsidR="00000000" w:rsidRDefault="00195E73">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3D070CB6"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527F73DD" w14:textId="77777777" w:rsidR="00000000" w:rsidRDefault="00195E73">
            <w:pPr>
              <w:jc w:val="right"/>
              <w:rPr>
                <w:rFonts w:eastAsia="Times New Roman"/>
              </w:rPr>
            </w:pPr>
            <w:r>
              <w:rPr>
                <w:rFonts w:eastAsia="Times New Roman"/>
                <w:color w:val="000000"/>
                <w:sz w:val="20"/>
                <w:szCs w:val="20"/>
              </w:rPr>
              <w:t>2,272</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7E8CC5A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987150B" w14:textId="77777777" w:rsidR="00000000" w:rsidRDefault="00195E73">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4E3F3990"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6A9018CF" w14:textId="77777777" w:rsidR="00000000" w:rsidRDefault="00195E73">
            <w:pPr>
              <w:jc w:val="right"/>
              <w:rPr>
                <w:rFonts w:eastAsia="Times New Roman"/>
              </w:rPr>
            </w:pPr>
            <w:r>
              <w:rPr>
                <w:rFonts w:eastAsia="Times New Roman"/>
                <w:color w:val="000000"/>
                <w:sz w:val="20"/>
                <w:szCs w:val="20"/>
              </w:rPr>
              <w:t>154</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3514B2B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617DC95" w14:textId="77777777" w:rsidR="00000000" w:rsidRDefault="00195E73">
            <w:pPr>
              <w:rPr>
                <w:rFonts w:eastAsia="Times New Roman"/>
                <w:sz w:val="20"/>
                <w:szCs w:val="20"/>
              </w:rPr>
            </w:pPr>
          </w:p>
        </w:tc>
        <w:tc>
          <w:tcPr>
            <w:tcW w:w="0" w:type="auto"/>
            <w:vAlign w:val="center"/>
            <w:hideMark/>
          </w:tcPr>
          <w:p w14:paraId="0C762762" w14:textId="77777777" w:rsidR="00000000" w:rsidRDefault="00195E73">
            <w:pPr>
              <w:rPr>
                <w:rFonts w:eastAsia="Times New Roman"/>
                <w:sz w:val="20"/>
                <w:szCs w:val="20"/>
              </w:rPr>
            </w:pPr>
          </w:p>
        </w:tc>
        <w:tc>
          <w:tcPr>
            <w:tcW w:w="0" w:type="auto"/>
            <w:vAlign w:val="center"/>
            <w:hideMark/>
          </w:tcPr>
          <w:p w14:paraId="2BD199C5" w14:textId="77777777" w:rsidR="00000000" w:rsidRDefault="00195E73">
            <w:pPr>
              <w:rPr>
                <w:rFonts w:eastAsia="Times New Roman"/>
                <w:sz w:val="20"/>
                <w:szCs w:val="20"/>
              </w:rPr>
            </w:pPr>
          </w:p>
        </w:tc>
        <w:tc>
          <w:tcPr>
            <w:tcW w:w="0" w:type="auto"/>
            <w:vAlign w:val="center"/>
            <w:hideMark/>
          </w:tcPr>
          <w:p w14:paraId="2304D2C4" w14:textId="77777777" w:rsidR="00000000" w:rsidRDefault="00195E73">
            <w:pPr>
              <w:rPr>
                <w:rFonts w:eastAsia="Times New Roman"/>
                <w:sz w:val="20"/>
                <w:szCs w:val="20"/>
              </w:rPr>
            </w:pPr>
          </w:p>
        </w:tc>
        <w:tc>
          <w:tcPr>
            <w:tcW w:w="0" w:type="auto"/>
            <w:vAlign w:val="center"/>
            <w:hideMark/>
          </w:tcPr>
          <w:p w14:paraId="0B166586" w14:textId="77777777" w:rsidR="00000000" w:rsidRDefault="00195E73">
            <w:pPr>
              <w:rPr>
                <w:rFonts w:eastAsia="Times New Roman"/>
                <w:sz w:val="20"/>
                <w:szCs w:val="20"/>
              </w:rPr>
            </w:pPr>
          </w:p>
        </w:tc>
        <w:tc>
          <w:tcPr>
            <w:tcW w:w="0" w:type="auto"/>
            <w:vAlign w:val="center"/>
            <w:hideMark/>
          </w:tcPr>
          <w:p w14:paraId="7541819F" w14:textId="77777777" w:rsidR="00000000" w:rsidRDefault="00195E73">
            <w:pPr>
              <w:rPr>
                <w:rFonts w:eastAsia="Times New Roman"/>
                <w:sz w:val="20"/>
                <w:szCs w:val="20"/>
              </w:rPr>
            </w:pPr>
          </w:p>
        </w:tc>
        <w:tc>
          <w:tcPr>
            <w:tcW w:w="0" w:type="auto"/>
            <w:vAlign w:val="center"/>
            <w:hideMark/>
          </w:tcPr>
          <w:p w14:paraId="6D169696" w14:textId="77777777" w:rsidR="00000000" w:rsidRDefault="00195E73">
            <w:pPr>
              <w:rPr>
                <w:rFonts w:eastAsia="Times New Roman"/>
                <w:sz w:val="20"/>
                <w:szCs w:val="20"/>
              </w:rPr>
            </w:pPr>
          </w:p>
        </w:tc>
        <w:tc>
          <w:tcPr>
            <w:tcW w:w="0" w:type="auto"/>
            <w:vAlign w:val="center"/>
            <w:hideMark/>
          </w:tcPr>
          <w:p w14:paraId="169BF301" w14:textId="77777777" w:rsidR="00000000" w:rsidRDefault="00195E73">
            <w:pPr>
              <w:rPr>
                <w:rFonts w:eastAsia="Times New Roman"/>
                <w:sz w:val="20"/>
                <w:szCs w:val="20"/>
              </w:rPr>
            </w:pPr>
          </w:p>
        </w:tc>
        <w:tc>
          <w:tcPr>
            <w:tcW w:w="0" w:type="auto"/>
            <w:vAlign w:val="center"/>
            <w:hideMark/>
          </w:tcPr>
          <w:p w14:paraId="77C6203D" w14:textId="77777777" w:rsidR="00000000" w:rsidRDefault="00195E73">
            <w:pPr>
              <w:rPr>
                <w:rFonts w:eastAsia="Times New Roman"/>
                <w:sz w:val="20"/>
                <w:szCs w:val="20"/>
              </w:rPr>
            </w:pPr>
          </w:p>
        </w:tc>
        <w:tc>
          <w:tcPr>
            <w:tcW w:w="0" w:type="auto"/>
            <w:vAlign w:val="center"/>
            <w:hideMark/>
          </w:tcPr>
          <w:p w14:paraId="06CFAAD1" w14:textId="77777777" w:rsidR="00000000" w:rsidRDefault="00195E73">
            <w:pPr>
              <w:rPr>
                <w:rFonts w:eastAsia="Times New Roman"/>
                <w:sz w:val="20"/>
                <w:szCs w:val="20"/>
              </w:rPr>
            </w:pPr>
          </w:p>
        </w:tc>
        <w:tc>
          <w:tcPr>
            <w:tcW w:w="0" w:type="auto"/>
            <w:vAlign w:val="center"/>
            <w:hideMark/>
          </w:tcPr>
          <w:p w14:paraId="67D8C1B4" w14:textId="77777777" w:rsidR="00000000" w:rsidRDefault="00195E73">
            <w:pPr>
              <w:rPr>
                <w:rFonts w:eastAsia="Times New Roman"/>
                <w:sz w:val="20"/>
                <w:szCs w:val="20"/>
              </w:rPr>
            </w:pPr>
          </w:p>
        </w:tc>
        <w:tc>
          <w:tcPr>
            <w:tcW w:w="0" w:type="auto"/>
            <w:vAlign w:val="center"/>
            <w:hideMark/>
          </w:tcPr>
          <w:p w14:paraId="018C15EC" w14:textId="77777777" w:rsidR="00000000" w:rsidRDefault="00195E73">
            <w:pPr>
              <w:rPr>
                <w:rFonts w:eastAsia="Times New Roman"/>
                <w:sz w:val="20"/>
                <w:szCs w:val="20"/>
              </w:rPr>
            </w:pPr>
          </w:p>
        </w:tc>
      </w:tr>
      <w:tr w:rsidR="00000000" w14:paraId="739224E0" w14:textId="77777777">
        <w:trPr>
          <w:divId w:val="384380373"/>
          <w:trHeight w:val="280"/>
          <w:jc w:val="center"/>
        </w:trPr>
        <w:tc>
          <w:tcPr>
            <w:tcW w:w="0" w:type="auto"/>
            <w:gridSpan w:val="3"/>
            <w:shd w:val="clear" w:color="auto" w:fill="FFFFFF"/>
            <w:tcMar>
              <w:top w:w="15" w:type="dxa"/>
              <w:left w:w="20" w:type="dxa"/>
              <w:bottom w:w="15" w:type="dxa"/>
              <w:right w:w="20" w:type="dxa"/>
            </w:tcMar>
            <w:vAlign w:val="bottom"/>
            <w:hideMark/>
          </w:tcPr>
          <w:p w14:paraId="6C6EC933" w14:textId="77777777" w:rsidR="00000000" w:rsidRDefault="00195E73">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7129A64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5DD02A1"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ABAB8A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84B84B0"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42E247D" w14:textId="77777777" w:rsidR="00000000" w:rsidRDefault="00195E73">
            <w:pPr>
              <w:rPr>
                <w:rFonts w:eastAsia="Times New Roman"/>
                <w:sz w:val="20"/>
                <w:szCs w:val="20"/>
              </w:rPr>
            </w:pPr>
          </w:p>
        </w:tc>
        <w:tc>
          <w:tcPr>
            <w:tcW w:w="0" w:type="auto"/>
            <w:vAlign w:val="center"/>
            <w:hideMark/>
          </w:tcPr>
          <w:p w14:paraId="193A8D01" w14:textId="77777777" w:rsidR="00000000" w:rsidRDefault="00195E73">
            <w:pPr>
              <w:rPr>
                <w:rFonts w:eastAsia="Times New Roman"/>
                <w:sz w:val="20"/>
                <w:szCs w:val="20"/>
              </w:rPr>
            </w:pPr>
          </w:p>
        </w:tc>
        <w:tc>
          <w:tcPr>
            <w:tcW w:w="0" w:type="auto"/>
            <w:vAlign w:val="center"/>
            <w:hideMark/>
          </w:tcPr>
          <w:p w14:paraId="76401EAD" w14:textId="77777777" w:rsidR="00000000" w:rsidRDefault="00195E73">
            <w:pPr>
              <w:rPr>
                <w:rFonts w:eastAsia="Times New Roman"/>
                <w:sz w:val="20"/>
                <w:szCs w:val="20"/>
              </w:rPr>
            </w:pPr>
          </w:p>
        </w:tc>
        <w:tc>
          <w:tcPr>
            <w:tcW w:w="0" w:type="auto"/>
            <w:vAlign w:val="center"/>
            <w:hideMark/>
          </w:tcPr>
          <w:p w14:paraId="14E5BF59" w14:textId="77777777" w:rsidR="00000000" w:rsidRDefault="00195E73">
            <w:pPr>
              <w:rPr>
                <w:rFonts w:eastAsia="Times New Roman"/>
                <w:sz w:val="20"/>
                <w:szCs w:val="20"/>
              </w:rPr>
            </w:pPr>
          </w:p>
        </w:tc>
        <w:tc>
          <w:tcPr>
            <w:tcW w:w="0" w:type="auto"/>
            <w:vAlign w:val="center"/>
            <w:hideMark/>
          </w:tcPr>
          <w:p w14:paraId="4CEA6D68" w14:textId="77777777" w:rsidR="00000000" w:rsidRDefault="00195E73">
            <w:pPr>
              <w:rPr>
                <w:rFonts w:eastAsia="Times New Roman"/>
                <w:sz w:val="20"/>
                <w:szCs w:val="20"/>
              </w:rPr>
            </w:pPr>
          </w:p>
        </w:tc>
        <w:tc>
          <w:tcPr>
            <w:tcW w:w="0" w:type="auto"/>
            <w:vAlign w:val="center"/>
            <w:hideMark/>
          </w:tcPr>
          <w:p w14:paraId="587411D6" w14:textId="77777777" w:rsidR="00000000" w:rsidRDefault="00195E73">
            <w:pPr>
              <w:rPr>
                <w:rFonts w:eastAsia="Times New Roman"/>
                <w:sz w:val="20"/>
                <w:szCs w:val="20"/>
              </w:rPr>
            </w:pPr>
          </w:p>
        </w:tc>
        <w:tc>
          <w:tcPr>
            <w:tcW w:w="0" w:type="auto"/>
            <w:vAlign w:val="center"/>
            <w:hideMark/>
          </w:tcPr>
          <w:p w14:paraId="77DD1D86" w14:textId="77777777" w:rsidR="00000000" w:rsidRDefault="00195E73">
            <w:pPr>
              <w:rPr>
                <w:rFonts w:eastAsia="Times New Roman"/>
                <w:sz w:val="20"/>
                <w:szCs w:val="20"/>
              </w:rPr>
            </w:pPr>
          </w:p>
        </w:tc>
        <w:tc>
          <w:tcPr>
            <w:tcW w:w="0" w:type="auto"/>
            <w:vAlign w:val="center"/>
            <w:hideMark/>
          </w:tcPr>
          <w:p w14:paraId="78C29543" w14:textId="77777777" w:rsidR="00000000" w:rsidRDefault="00195E73">
            <w:pPr>
              <w:rPr>
                <w:rFonts w:eastAsia="Times New Roman"/>
                <w:sz w:val="20"/>
                <w:szCs w:val="20"/>
              </w:rPr>
            </w:pPr>
          </w:p>
        </w:tc>
        <w:tc>
          <w:tcPr>
            <w:tcW w:w="0" w:type="auto"/>
            <w:vAlign w:val="center"/>
            <w:hideMark/>
          </w:tcPr>
          <w:p w14:paraId="5BE527A5" w14:textId="77777777" w:rsidR="00000000" w:rsidRDefault="00195E73">
            <w:pPr>
              <w:rPr>
                <w:rFonts w:eastAsia="Times New Roman"/>
                <w:sz w:val="20"/>
                <w:szCs w:val="20"/>
              </w:rPr>
            </w:pPr>
          </w:p>
        </w:tc>
        <w:tc>
          <w:tcPr>
            <w:tcW w:w="0" w:type="auto"/>
            <w:vAlign w:val="center"/>
            <w:hideMark/>
          </w:tcPr>
          <w:p w14:paraId="012ECBF9" w14:textId="77777777" w:rsidR="00000000" w:rsidRDefault="00195E73">
            <w:pPr>
              <w:rPr>
                <w:rFonts w:eastAsia="Times New Roman"/>
                <w:sz w:val="20"/>
                <w:szCs w:val="20"/>
              </w:rPr>
            </w:pPr>
          </w:p>
        </w:tc>
        <w:tc>
          <w:tcPr>
            <w:tcW w:w="0" w:type="auto"/>
            <w:vAlign w:val="center"/>
            <w:hideMark/>
          </w:tcPr>
          <w:p w14:paraId="7B53B990" w14:textId="77777777" w:rsidR="00000000" w:rsidRDefault="00195E73">
            <w:pPr>
              <w:rPr>
                <w:rFonts w:eastAsia="Times New Roman"/>
                <w:sz w:val="20"/>
                <w:szCs w:val="20"/>
              </w:rPr>
            </w:pPr>
          </w:p>
        </w:tc>
        <w:tc>
          <w:tcPr>
            <w:tcW w:w="0" w:type="auto"/>
            <w:vAlign w:val="center"/>
            <w:hideMark/>
          </w:tcPr>
          <w:p w14:paraId="5602CCA9" w14:textId="77777777" w:rsidR="00000000" w:rsidRDefault="00195E73">
            <w:pPr>
              <w:rPr>
                <w:rFonts w:eastAsia="Times New Roman"/>
                <w:sz w:val="20"/>
                <w:szCs w:val="20"/>
              </w:rPr>
            </w:pPr>
          </w:p>
        </w:tc>
        <w:tc>
          <w:tcPr>
            <w:tcW w:w="0" w:type="auto"/>
            <w:vAlign w:val="center"/>
            <w:hideMark/>
          </w:tcPr>
          <w:p w14:paraId="447264CF" w14:textId="77777777" w:rsidR="00000000" w:rsidRDefault="00195E73">
            <w:pPr>
              <w:rPr>
                <w:rFonts w:eastAsia="Times New Roman"/>
                <w:sz w:val="20"/>
                <w:szCs w:val="20"/>
              </w:rPr>
            </w:pPr>
          </w:p>
        </w:tc>
      </w:tr>
      <w:tr w:rsidR="00000000" w14:paraId="267E8070" w14:textId="77777777">
        <w:trPr>
          <w:divId w:val="384380373"/>
          <w:jc w:val="center"/>
        </w:trPr>
        <w:tc>
          <w:tcPr>
            <w:tcW w:w="0" w:type="auto"/>
            <w:gridSpan w:val="3"/>
            <w:shd w:val="clear" w:color="auto" w:fill="CCEEFF"/>
            <w:tcMar>
              <w:top w:w="30" w:type="dxa"/>
              <w:left w:w="20" w:type="dxa"/>
              <w:bottom w:w="30" w:type="dxa"/>
              <w:right w:w="20" w:type="dxa"/>
            </w:tcMar>
            <w:vAlign w:val="bottom"/>
            <w:hideMark/>
          </w:tcPr>
          <w:p w14:paraId="489D90BF" w14:textId="77777777" w:rsidR="00000000" w:rsidRDefault="00195E73">
            <w:pPr>
              <w:rPr>
                <w:rFonts w:eastAsia="Times New Roman"/>
              </w:rPr>
            </w:pPr>
            <w:r>
              <w:rPr>
                <w:rFonts w:eastAsia="Times New Roman"/>
                <w:color w:val="000000"/>
                <w:sz w:val="20"/>
                <w:szCs w:val="20"/>
              </w:rPr>
              <w:t>Basic and diluted (loss) income per LP unit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5FC6D477"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9D1B457"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D006904"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3C97827"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3131E66" w14:textId="77777777" w:rsidR="00000000" w:rsidRDefault="00195E73">
            <w:pPr>
              <w:rPr>
                <w:rFonts w:eastAsia="Times New Roman"/>
                <w:sz w:val="20"/>
                <w:szCs w:val="20"/>
              </w:rPr>
            </w:pPr>
          </w:p>
        </w:tc>
        <w:tc>
          <w:tcPr>
            <w:tcW w:w="0" w:type="auto"/>
            <w:vAlign w:val="center"/>
            <w:hideMark/>
          </w:tcPr>
          <w:p w14:paraId="6F820BAA" w14:textId="77777777" w:rsidR="00000000" w:rsidRDefault="00195E73">
            <w:pPr>
              <w:rPr>
                <w:rFonts w:eastAsia="Times New Roman"/>
                <w:sz w:val="20"/>
                <w:szCs w:val="20"/>
              </w:rPr>
            </w:pPr>
          </w:p>
        </w:tc>
        <w:tc>
          <w:tcPr>
            <w:tcW w:w="0" w:type="auto"/>
            <w:vAlign w:val="center"/>
            <w:hideMark/>
          </w:tcPr>
          <w:p w14:paraId="6B066613" w14:textId="77777777" w:rsidR="00000000" w:rsidRDefault="00195E73">
            <w:pPr>
              <w:rPr>
                <w:rFonts w:eastAsia="Times New Roman"/>
                <w:sz w:val="20"/>
                <w:szCs w:val="20"/>
              </w:rPr>
            </w:pPr>
          </w:p>
        </w:tc>
        <w:tc>
          <w:tcPr>
            <w:tcW w:w="0" w:type="auto"/>
            <w:vAlign w:val="center"/>
            <w:hideMark/>
          </w:tcPr>
          <w:p w14:paraId="6F86E7B4" w14:textId="77777777" w:rsidR="00000000" w:rsidRDefault="00195E73">
            <w:pPr>
              <w:rPr>
                <w:rFonts w:eastAsia="Times New Roman"/>
                <w:sz w:val="20"/>
                <w:szCs w:val="20"/>
              </w:rPr>
            </w:pPr>
          </w:p>
        </w:tc>
        <w:tc>
          <w:tcPr>
            <w:tcW w:w="0" w:type="auto"/>
            <w:vAlign w:val="center"/>
            <w:hideMark/>
          </w:tcPr>
          <w:p w14:paraId="2573C786" w14:textId="77777777" w:rsidR="00000000" w:rsidRDefault="00195E73">
            <w:pPr>
              <w:rPr>
                <w:rFonts w:eastAsia="Times New Roman"/>
                <w:sz w:val="20"/>
                <w:szCs w:val="20"/>
              </w:rPr>
            </w:pPr>
          </w:p>
        </w:tc>
        <w:tc>
          <w:tcPr>
            <w:tcW w:w="0" w:type="auto"/>
            <w:vAlign w:val="center"/>
            <w:hideMark/>
          </w:tcPr>
          <w:p w14:paraId="65BA1F24" w14:textId="77777777" w:rsidR="00000000" w:rsidRDefault="00195E73">
            <w:pPr>
              <w:rPr>
                <w:rFonts w:eastAsia="Times New Roman"/>
                <w:sz w:val="20"/>
                <w:szCs w:val="20"/>
              </w:rPr>
            </w:pPr>
          </w:p>
        </w:tc>
        <w:tc>
          <w:tcPr>
            <w:tcW w:w="0" w:type="auto"/>
            <w:vAlign w:val="center"/>
            <w:hideMark/>
          </w:tcPr>
          <w:p w14:paraId="3049A283" w14:textId="77777777" w:rsidR="00000000" w:rsidRDefault="00195E73">
            <w:pPr>
              <w:rPr>
                <w:rFonts w:eastAsia="Times New Roman"/>
                <w:sz w:val="20"/>
                <w:szCs w:val="20"/>
              </w:rPr>
            </w:pPr>
          </w:p>
        </w:tc>
        <w:tc>
          <w:tcPr>
            <w:tcW w:w="0" w:type="auto"/>
            <w:vAlign w:val="center"/>
            <w:hideMark/>
          </w:tcPr>
          <w:p w14:paraId="13EC4DCA" w14:textId="77777777" w:rsidR="00000000" w:rsidRDefault="00195E73">
            <w:pPr>
              <w:rPr>
                <w:rFonts w:eastAsia="Times New Roman"/>
                <w:sz w:val="20"/>
                <w:szCs w:val="20"/>
              </w:rPr>
            </w:pPr>
          </w:p>
        </w:tc>
        <w:tc>
          <w:tcPr>
            <w:tcW w:w="0" w:type="auto"/>
            <w:vAlign w:val="center"/>
            <w:hideMark/>
          </w:tcPr>
          <w:p w14:paraId="6B70FBD2" w14:textId="77777777" w:rsidR="00000000" w:rsidRDefault="00195E73">
            <w:pPr>
              <w:rPr>
                <w:rFonts w:eastAsia="Times New Roman"/>
                <w:sz w:val="20"/>
                <w:szCs w:val="20"/>
              </w:rPr>
            </w:pPr>
          </w:p>
        </w:tc>
        <w:tc>
          <w:tcPr>
            <w:tcW w:w="0" w:type="auto"/>
            <w:vAlign w:val="center"/>
            <w:hideMark/>
          </w:tcPr>
          <w:p w14:paraId="6879A564" w14:textId="77777777" w:rsidR="00000000" w:rsidRDefault="00195E73">
            <w:pPr>
              <w:rPr>
                <w:rFonts w:eastAsia="Times New Roman"/>
                <w:sz w:val="20"/>
                <w:szCs w:val="20"/>
              </w:rPr>
            </w:pPr>
          </w:p>
        </w:tc>
        <w:tc>
          <w:tcPr>
            <w:tcW w:w="0" w:type="auto"/>
            <w:vAlign w:val="center"/>
            <w:hideMark/>
          </w:tcPr>
          <w:p w14:paraId="1DCAE225" w14:textId="77777777" w:rsidR="00000000" w:rsidRDefault="00195E73">
            <w:pPr>
              <w:rPr>
                <w:rFonts w:eastAsia="Times New Roman"/>
                <w:sz w:val="20"/>
                <w:szCs w:val="20"/>
              </w:rPr>
            </w:pPr>
          </w:p>
        </w:tc>
        <w:tc>
          <w:tcPr>
            <w:tcW w:w="0" w:type="auto"/>
            <w:vAlign w:val="center"/>
            <w:hideMark/>
          </w:tcPr>
          <w:p w14:paraId="0B525FBD" w14:textId="77777777" w:rsidR="00000000" w:rsidRDefault="00195E73">
            <w:pPr>
              <w:rPr>
                <w:rFonts w:eastAsia="Times New Roman"/>
                <w:sz w:val="20"/>
                <w:szCs w:val="20"/>
              </w:rPr>
            </w:pPr>
          </w:p>
        </w:tc>
        <w:tc>
          <w:tcPr>
            <w:tcW w:w="0" w:type="auto"/>
            <w:vAlign w:val="center"/>
            <w:hideMark/>
          </w:tcPr>
          <w:p w14:paraId="722F9546" w14:textId="77777777" w:rsidR="00000000" w:rsidRDefault="00195E73">
            <w:pPr>
              <w:rPr>
                <w:rFonts w:eastAsia="Times New Roman"/>
                <w:sz w:val="20"/>
                <w:szCs w:val="20"/>
              </w:rPr>
            </w:pPr>
          </w:p>
        </w:tc>
      </w:tr>
      <w:tr w:rsidR="00000000" w14:paraId="4E8F3760" w14:textId="77777777">
        <w:trPr>
          <w:divId w:val="384380373"/>
          <w:jc w:val="center"/>
        </w:trPr>
        <w:tc>
          <w:tcPr>
            <w:tcW w:w="0" w:type="auto"/>
            <w:gridSpan w:val="3"/>
            <w:shd w:val="clear" w:color="auto" w:fill="FFFFFF"/>
            <w:tcMar>
              <w:top w:w="30" w:type="dxa"/>
              <w:left w:w="20" w:type="dxa"/>
              <w:bottom w:w="30" w:type="dxa"/>
              <w:right w:w="20" w:type="dxa"/>
            </w:tcMar>
            <w:vAlign w:val="bottom"/>
            <w:hideMark/>
          </w:tcPr>
          <w:p w14:paraId="5E1212A4" w14:textId="77777777" w:rsidR="00000000" w:rsidRDefault="00195E73">
            <w:pPr>
              <w:ind w:hanging="180"/>
              <w:divId w:val="812796519"/>
              <w:rPr>
                <w:rFonts w:eastAsia="Times New Roman"/>
              </w:rPr>
            </w:pPr>
            <w:r>
              <w:rPr>
                <w:rFonts w:eastAsia="Times New Roman"/>
                <w:color w:val="000000"/>
                <w:sz w:val="20"/>
                <w:szCs w:val="20"/>
              </w:rPr>
              <w:t>Continuing operation</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14:paraId="76620221"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8F8A30D" w14:textId="77777777" w:rsidR="00000000" w:rsidRDefault="00195E73">
            <w:pPr>
              <w:jc w:val="right"/>
              <w:rPr>
                <w:rFonts w:eastAsia="Times New Roman"/>
              </w:rPr>
            </w:pPr>
            <w:r>
              <w:rPr>
                <w:rFonts w:eastAsia="Times New Roman"/>
                <w:color w:val="000000"/>
                <w:sz w:val="20"/>
                <w:szCs w:val="20"/>
              </w:rPr>
              <w:t>(5.23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593F55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837558E"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7DDA11B5"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1E646F7" w14:textId="77777777" w:rsidR="00000000" w:rsidRDefault="00195E73">
            <w:pPr>
              <w:jc w:val="right"/>
              <w:rPr>
                <w:rFonts w:eastAsia="Times New Roman"/>
              </w:rPr>
            </w:pPr>
            <w:r>
              <w:rPr>
                <w:rFonts w:eastAsia="Times New Roman"/>
                <w:color w:val="000000"/>
                <w:sz w:val="20"/>
                <w:szCs w:val="20"/>
              </w:rPr>
              <w:t>(1.29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A3D2F1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844A2DB"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C287E0F"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878B867" w14:textId="77777777" w:rsidR="00000000" w:rsidRDefault="00195E73">
            <w:pPr>
              <w:jc w:val="right"/>
              <w:rPr>
                <w:rFonts w:eastAsia="Times New Roman"/>
              </w:rPr>
            </w:pPr>
            <w:r>
              <w:rPr>
                <w:rFonts w:eastAsia="Times New Roman"/>
                <w:color w:val="000000"/>
                <w:sz w:val="20"/>
                <w:szCs w:val="20"/>
              </w:rPr>
              <w:t>13.98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A470EA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30AD2B9" w14:textId="77777777" w:rsidR="00000000" w:rsidRDefault="00195E73">
            <w:pPr>
              <w:rPr>
                <w:rFonts w:eastAsia="Times New Roman"/>
                <w:sz w:val="20"/>
                <w:szCs w:val="20"/>
              </w:rPr>
            </w:pPr>
          </w:p>
        </w:tc>
        <w:tc>
          <w:tcPr>
            <w:tcW w:w="0" w:type="auto"/>
            <w:vAlign w:val="center"/>
            <w:hideMark/>
          </w:tcPr>
          <w:p w14:paraId="4142CECF" w14:textId="77777777" w:rsidR="00000000" w:rsidRDefault="00195E73">
            <w:pPr>
              <w:rPr>
                <w:rFonts w:eastAsia="Times New Roman"/>
                <w:sz w:val="20"/>
                <w:szCs w:val="20"/>
              </w:rPr>
            </w:pPr>
          </w:p>
        </w:tc>
        <w:tc>
          <w:tcPr>
            <w:tcW w:w="0" w:type="auto"/>
            <w:vAlign w:val="center"/>
            <w:hideMark/>
          </w:tcPr>
          <w:p w14:paraId="3B04BF9B" w14:textId="77777777" w:rsidR="00000000" w:rsidRDefault="00195E73">
            <w:pPr>
              <w:rPr>
                <w:rFonts w:eastAsia="Times New Roman"/>
                <w:sz w:val="20"/>
                <w:szCs w:val="20"/>
              </w:rPr>
            </w:pPr>
          </w:p>
        </w:tc>
        <w:tc>
          <w:tcPr>
            <w:tcW w:w="0" w:type="auto"/>
            <w:vAlign w:val="center"/>
            <w:hideMark/>
          </w:tcPr>
          <w:p w14:paraId="40376012" w14:textId="77777777" w:rsidR="00000000" w:rsidRDefault="00195E73">
            <w:pPr>
              <w:rPr>
                <w:rFonts w:eastAsia="Times New Roman"/>
                <w:sz w:val="20"/>
                <w:szCs w:val="20"/>
              </w:rPr>
            </w:pPr>
          </w:p>
        </w:tc>
        <w:tc>
          <w:tcPr>
            <w:tcW w:w="0" w:type="auto"/>
            <w:vAlign w:val="center"/>
            <w:hideMark/>
          </w:tcPr>
          <w:p w14:paraId="276D6650" w14:textId="77777777" w:rsidR="00000000" w:rsidRDefault="00195E73">
            <w:pPr>
              <w:rPr>
                <w:rFonts w:eastAsia="Times New Roman"/>
                <w:sz w:val="20"/>
                <w:szCs w:val="20"/>
              </w:rPr>
            </w:pPr>
          </w:p>
        </w:tc>
        <w:tc>
          <w:tcPr>
            <w:tcW w:w="0" w:type="auto"/>
            <w:vAlign w:val="center"/>
            <w:hideMark/>
          </w:tcPr>
          <w:p w14:paraId="2AFAC163" w14:textId="77777777" w:rsidR="00000000" w:rsidRDefault="00195E73">
            <w:pPr>
              <w:rPr>
                <w:rFonts w:eastAsia="Times New Roman"/>
                <w:sz w:val="20"/>
                <w:szCs w:val="20"/>
              </w:rPr>
            </w:pPr>
          </w:p>
        </w:tc>
        <w:tc>
          <w:tcPr>
            <w:tcW w:w="0" w:type="auto"/>
            <w:vAlign w:val="center"/>
            <w:hideMark/>
          </w:tcPr>
          <w:p w14:paraId="70D9C0E3" w14:textId="77777777" w:rsidR="00000000" w:rsidRDefault="00195E73">
            <w:pPr>
              <w:rPr>
                <w:rFonts w:eastAsia="Times New Roman"/>
                <w:sz w:val="20"/>
                <w:szCs w:val="20"/>
              </w:rPr>
            </w:pPr>
          </w:p>
        </w:tc>
        <w:tc>
          <w:tcPr>
            <w:tcW w:w="0" w:type="auto"/>
            <w:vAlign w:val="center"/>
            <w:hideMark/>
          </w:tcPr>
          <w:p w14:paraId="6CC9C111" w14:textId="77777777" w:rsidR="00000000" w:rsidRDefault="00195E73">
            <w:pPr>
              <w:rPr>
                <w:rFonts w:eastAsia="Times New Roman"/>
                <w:sz w:val="20"/>
                <w:szCs w:val="20"/>
              </w:rPr>
            </w:pPr>
          </w:p>
        </w:tc>
        <w:tc>
          <w:tcPr>
            <w:tcW w:w="0" w:type="auto"/>
            <w:vAlign w:val="center"/>
            <w:hideMark/>
          </w:tcPr>
          <w:p w14:paraId="1300AC14" w14:textId="77777777" w:rsidR="00000000" w:rsidRDefault="00195E73">
            <w:pPr>
              <w:rPr>
                <w:rFonts w:eastAsia="Times New Roman"/>
                <w:sz w:val="20"/>
                <w:szCs w:val="20"/>
              </w:rPr>
            </w:pPr>
          </w:p>
        </w:tc>
        <w:tc>
          <w:tcPr>
            <w:tcW w:w="0" w:type="auto"/>
            <w:vAlign w:val="center"/>
            <w:hideMark/>
          </w:tcPr>
          <w:p w14:paraId="1BD63B55" w14:textId="77777777" w:rsidR="00000000" w:rsidRDefault="00195E73">
            <w:pPr>
              <w:rPr>
                <w:rFonts w:eastAsia="Times New Roman"/>
                <w:sz w:val="20"/>
                <w:szCs w:val="20"/>
              </w:rPr>
            </w:pPr>
          </w:p>
        </w:tc>
        <w:tc>
          <w:tcPr>
            <w:tcW w:w="0" w:type="auto"/>
            <w:vAlign w:val="center"/>
            <w:hideMark/>
          </w:tcPr>
          <w:p w14:paraId="04AEEAF9" w14:textId="77777777" w:rsidR="00000000" w:rsidRDefault="00195E73">
            <w:pPr>
              <w:rPr>
                <w:rFonts w:eastAsia="Times New Roman"/>
                <w:sz w:val="20"/>
                <w:szCs w:val="20"/>
              </w:rPr>
            </w:pPr>
          </w:p>
        </w:tc>
        <w:tc>
          <w:tcPr>
            <w:tcW w:w="0" w:type="auto"/>
            <w:vAlign w:val="center"/>
            <w:hideMark/>
          </w:tcPr>
          <w:p w14:paraId="457903AF" w14:textId="77777777" w:rsidR="00000000" w:rsidRDefault="00195E73">
            <w:pPr>
              <w:rPr>
                <w:rFonts w:eastAsia="Times New Roman"/>
                <w:sz w:val="20"/>
                <w:szCs w:val="20"/>
              </w:rPr>
            </w:pPr>
          </w:p>
        </w:tc>
      </w:tr>
      <w:tr w:rsidR="00000000" w14:paraId="309274E5" w14:textId="77777777">
        <w:trPr>
          <w:divId w:val="384380373"/>
          <w:jc w:val="center"/>
        </w:trPr>
        <w:tc>
          <w:tcPr>
            <w:tcW w:w="0" w:type="auto"/>
            <w:gridSpan w:val="3"/>
            <w:shd w:val="clear" w:color="auto" w:fill="CCEEFF"/>
            <w:tcMar>
              <w:top w:w="30" w:type="dxa"/>
              <w:left w:w="20" w:type="dxa"/>
              <w:bottom w:w="30" w:type="dxa"/>
              <w:right w:w="20" w:type="dxa"/>
            </w:tcMar>
            <w:vAlign w:val="bottom"/>
            <w:hideMark/>
          </w:tcPr>
          <w:p w14:paraId="674C3FCE" w14:textId="77777777" w:rsidR="00000000" w:rsidRDefault="00195E73">
            <w:pPr>
              <w:ind w:hanging="180"/>
              <w:divId w:val="2014919711"/>
              <w:rPr>
                <w:rFonts w:eastAsia="Times New Roman"/>
              </w:rPr>
            </w:pPr>
            <w:r>
              <w:rPr>
                <w:rFonts w:eastAsia="Times New Roman"/>
                <w:color w:val="000000"/>
                <w:sz w:val="20"/>
                <w:szCs w:val="20"/>
              </w:rPr>
              <w:t>Discontinued operation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338AB2F" w14:textId="77777777" w:rsidR="00000000" w:rsidRDefault="00195E73">
            <w:pPr>
              <w:jc w:val="right"/>
              <w:rPr>
                <w:rFonts w:eastAsia="Times New Roman"/>
              </w:rPr>
            </w:pPr>
            <w:r>
              <w:rPr>
                <w:rFonts w:eastAsia="Times New Roman"/>
                <w:color w:val="000000"/>
                <w:sz w:val="20"/>
                <w:szCs w:val="20"/>
              </w:rPr>
              <w:t>(0.15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00C12B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A38202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3627D2" w14:textId="77777777" w:rsidR="00000000" w:rsidRDefault="00195E73">
            <w:pPr>
              <w:jc w:val="right"/>
              <w:rPr>
                <w:rFonts w:eastAsia="Times New Roman"/>
              </w:rPr>
            </w:pPr>
            <w:r>
              <w:rPr>
                <w:rFonts w:eastAsia="Times New Roman"/>
                <w:color w:val="000000"/>
                <w:sz w:val="20"/>
                <w:szCs w:val="20"/>
              </w:rPr>
              <w:t>12.62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A2913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A98A0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20037C" w14:textId="77777777" w:rsidR="00000000" w:rsidRDefault="00195E73">
            <w:pPr>
              <w:jc w:val="right"/>
              <w:rPr>
                <w:rFonts w:eastAsia="Times New Roman"/>
              </w:rPr>
            </w:pPr>
            <w:r>
              <w:rPr>
                <w:rFonts w:eastAsia="Times New Roman"/>
                <w:color w:val="000000"/>
                <w:sz w:val="20"/>
                <w:szCs w:val="20"/>
              </w:rPr>
              <w:t>0.96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B326B9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8563487" w14:textId="77777777" w:rsidR="00000000" w:rsidRDefault="00195E73">
            <w:pPr>
              <w:rPr>
                <w:rFonts w:eastAsia="Times New Roman"/>
                <w:sz w:val="20"/>
                <w:szCs w:val="20"/>
              </w:rPr>
            </w:pPr>
          </w:p>
        </w:tc>
        <w:tc>
          <w:tcPr>
            <w:tcW w:w="0" w:type="auto"/>
            <w:vAlign w:val="center"/>
            <w:hideMark/>
          </w:tcPr>
          <w:p w14:paraId="4E2A137B" w14:textId="77777777" w:rsidR="00000000" w:rsidRDefault="00195E73">
            <w:pPr>
              <w:rPr>
                <w:rFonts w:eastAsia="Times New Roman"/>
                <w:sz w:val="20"/>
                <w:szCs w:val="20"/>
              </w:rPr>
            </w:pPr>
          </w:p>
        </w:tc>
        <w:tc>
          <w:tcPr>
            <w:tcW w:w="0" w:type="auto"/>
            <w:vAlign w:val="center"/>
            <w:hideMark/>
          </w:tcPr>
          <w:p w14:paraId="3F3A39DD" w14:textId="77777777" w:rsidR="00000000" w:rsidRDefault="00195E73">
            <w:pPr>
              <w:rPr>
                <w:rFonts w:eastAsia="Times New Roman"/>
                <w:sz w:val="20"/>
                <w:szCs w:val="20"/>
              </w:rPr>
            </w:pPr>
          </w:p>
        </w:tc>
        <w:tc>
          <w:tcPr>
            <w:tcW w:w="0" w:type="auto"/>
            <w:vAlign w:val="center"/>
            <w:hideMark/>
          </w:tcPr>
          <w:p w14:paraId="37CAA781" w14:textId="77777777" w:rsidR="00000000" w:rsidRDefault="00195E73">
            <w:pPr>
              <w:rPr>
                <w:rFonts w:eastAsia="Times New Roman"/>
                <w:sz w:val="20"/>
                <w:szCs w:val="20"/>
              </w:rPr>
            </w:pPr>
          </w:p>
        </w:tc>
        <w:tc>
          <w:tcPr>
            <w:tcW w:w="0" w:type="auto"/>
            <w:vAlign w:val="center"/>
            <w:hideMark/>
          </w:tcPr>
          <w:p w14:paraId="7488DFFE" w14:textId="77777777" w:rsidR="00000000" w:rsidRDefault="00195E73">
            <w:pPr>
              <w:rPr>
                <w:rFonts w:eastAsia="Times New Roman"/>
                <w:sz w:val="20"/>
                <w:szCs w:val="20"/>
              </w:rPr>
            </w:pPr>
          </w:p>
        </w:tc>
        <w:tc>
          <w:tcPr>
            <w:tcW w:w="0" w:type="auto"/>
            <w:vAlign w:val="center"/>
            <w:hideMark/>
          </w:tcPr>
          <w:p w14:paraId="42061533" w14:textId="77777777" w:rsidR="00000000" w:rsidRDefault="00195E73">
            <w:pPr>
              <w:rPr>
                <w:rFonts w:eastAsia="Times New Roman"/>
                <w:sz w:val="20"/>
                <w:szCs w:val="20"/>
              </w:rPr>
            </w:pPr>
          </w:p>
        </w:tc>
        <w:tc>
          <w:tcPr>
            <w:tcW w:w="0" w:type="auto"/>
            <w:vAlign w:val="center"/>
            <w:hideMark/>
          </w:tcPr>
          <w:p w14:paraId="7E681E2A" w14:textId="77777777" w:rsidR="00000000" w:rsidRDefault="00195E73">
            <w:pPr>
              <w:rPr>
                <w:rFonts w:eastAsia="Times New Roman"/>
                <w:sz w:val="20"/>
                <w:szCs w:val="20"/>
              </w:rPr>
            </w:pPr>
          </w:p>
        </w:tc>
        <w:tc>
          <w:tcPr>
            <w:tcW w:w="0" w:type="auto"/>
            <w:vAlign w:val="center"/>
            <w:hideMark/>
          </w:tcPr>
          <w:p w14:paraId="7B5A2CE3" w14:textId="77777777" w:rsidR="00000000" w:rsidRDefault="00195E73">
            <w:pPr>
              <w:rPr>
                <w:rFonts w:eastAsia="Times New Roman"/>
                <w:sz w:val="20"/>
                <w:szCs w:val="20"/>
              </w:rPr>
            </w:pPr>
          </w:p>
        </w:tc>
        <w:tc>
          <w:tcPr>
            <w:tcW w:w="0" w:type="auto"/>
            <w:vAlign w:val="center"/>
            <w:hideMark/>
          </w:tcPr>
          <w:p w14:paraId="4D78F594" w14:textId="77777777" w:rsidR="00000000" w:rsidRDefault="00195E73">
            <w:pPr>
              <w:rPr>
                <w:rFonts w:eastAsia="Times New Roman"/>
                <w:sz w:val="20"/>
                <w:szCs w:val="20"/>
              </w:rPr>
            </w:pPr>
          </w:p>
        </w:tc>
        <w:tc>
          <w:tcPr>
            <w:tcW w:w="0" w:type="auto"/>
            <w:vAlign w:val="center"/>
            <w:hideMark/>
          </w:tcPr>
          <w:p w14:paraId="34720502" w14:textId="77777777" w:rsidR="00000000" w:rsidRDefault="00195E73">
            <w:pPr>
              <w:rPr>
                <w:rFonts w:eastAsia="Times New Roman"/>
                <w:sz w:val="20"/>
                <w:szCs w:val="20"/>
              </w:rPr>
            </w:pPr>
          </w:p>
        </w:tc>
        <w:tc>
          <w:tcPr>
            <w:tcW w:w="0" w:type="auto"/>
            <w:vAlign w:val="center"/>
            <w:hideMark/>
          </w:tcPr>
          <w:p w14:paraId="1536FA31" w14:textId="77777777" w:rsidR="00000000" w:rsidRDefault="00195E73">
            <w:pPr>
              <w:rPr>
                <w:rFonts w:eastAsia="Times New Roman"/>
                <w:sz w:val="20"/>
                <w:szCs w:val="20"/>
              </w:rPr>
            </w:pPr>
          </w:p>
        </w:tc>
        <w:tc>
          <w:tcPr>
            <w:tcW w:w="0" w:type="auto"/>
            <w:vAlign w:val="center"/>
            <w:hideMark/>
          </w:tcPr>
          <w:p w14:paraId="7928E2D1" w14:textId="77777777" w:rsidR="00000000" w:rsidRDefault="00195E73">
            <w:pPr>
              <w:rPr>
                <w:rFonts w:eastAsia="Times New Roman"/>
                <w:sz w:val="20"/>
                <w:szCs w:val="20"/>
              </w:rPr>
            </w:pPr>
          </w:p>
        </w:tc>
      </w:tr>
      <w:tr w:rsidR="00000000" w14:paraId="34AF704C" w14:textId="77777777">
        <w:trPr>
          <w:divId w:val="384380373"/>
          <w:jc w:val="center"/>
        </w:trPr>
        <w:tc>
          <w:tcPr>
            <w:tcW w:w="0" w:type="auto"/>
            <w:gridSpan w:val="3"/>
            <w:shd w:val="clear" w:color="auto" w:fill="FFFFFF"/>
            <w:tcMar>
              <w:top w:w="15" w:type="dxa"/>
              <w:left w:w="20" w:type="dxa"/>
              <w:bottom w:w="15" w:type="dxa"/>
              <w:right w:w="20" w:type="dxa"/>
            </w:tcMar>
            <w:vAlign w:val="bottom"/>
            <w:hideMark/>
          </w:tcPr>
          <w:p w14:paraId="7D9B5087"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A6D34F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A96C81E" w14:textId="77777777" w:rsidR="00000000" w:rsidRDefault="00195E73">
            <w:pPr>
              <w:jc w:val="right"/>
              <w:rPr>
                <w:rFonts w:eastAsia="Times New Roman"/>
              </w:rPr>
            </w:pPr>
            <w:r>
              <w:rPr>
                <w:rFonts w:eastAsia="Times New Roman"/>
                <w:color w:val="000000"/>
                <w:sz w:val="20"/>
                <w:szCs w:val="20"/>
              </w:rPr>
              <w:t>(5.38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5880A8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F09B364"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233D9F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A3CF1DB" w14:textId="77777777" w:rsidR="00000000" w:rsidRDefault="00195E73">
            <w:pPr>
              <w:jc w:val="right"/>
              <w:rPr>
                <w:rFonts w:eastAsia="Times New Roman"/>
              </w:rPr>
            </w:pPr>
            <w:r>
              <w:rPr>
                <w:rFonts w:eastAsia="Times New Roman"/>
                <w:color w:val="000000"/>
                <w:sz w:val="20"/>
                <w:szCs w:val="20"/>
              </w:rPr>
              <w:t>11.33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F17295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99ACB9"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083FEF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2D80CD6" w14:textId="77777777" w:rsidR="00000000" w:rsidRDefault="00195E73">
            <w:pPr>
              <w:jc w:val="right"/>
              <w:rPr>
                <w:rFonts w:eastAsia="Times New Roman"/>
              </w:rPr>
            </w:pPr>
            <w:r>
              <w:rPr>
                <w:rFonts w:eastAsia="Times New Roman"/>
                <w:color w:val="000000"/>
                <w:sz w:val="20"/>
                <w:szCs w:val="20"/>
              </w:rPr>
              <w:t>14.94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5714AC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64F8B3E" w14:textId="77777777" w:rsidR="00000000" w:rsidRDefault="00195E73">
            <w:pPr>
              <w:rPr>
                <w:rFonts w:eastAsia="Times New Roman"/>
                <w:sz w:val="20"/>
                <w:szCs w:val="20"/>
              </w:rPr>
            </w:pPr>
          </w:p>
        </w:tc>
        <w:tc>
          <w:tcPr>
            <w:tcW w:w="0" w:type="auto"/>
            <w:vAlign w:val="center"/>
            <w:hideMark/>
          </w:tcPr>
          <w:p w14:paraId="349D8B29" w14:textId="77777777" w:rsidR="00000000" w:rsidRDefault="00195E73">
            <w:pPr>
              <w:rPr>
                <w:rFonts w:eastAsia="Times New Roman"/>
                <w:sz w:val="20"/>
                <w:szCs w:val="20"/>
              </w:rPr>
            </w:pPr>
          </w:p>
        </w:tc>
        <w:tc>
          <w:tcPr>
            <w:tcW w:w="0" w:type="auto"/>
            <w:vAlign w:val="center"/>
            <w:hideMark/>
          </w:tcPr>
          <w:p w14:paraId="1AF0823B" w14:textId="77777777" w:rsidR="00000000" w:rsidRDefault="00195E73">
            <w:pPr>
              <w:rPr>
                <w:rFonts w:eastAsia="Times New Roman"/>
                <w:sz w:val="20"/>
                <w:szCs w:val="20"/>
              </w:rPr>
            </w:pPr>
          </w:p>
        </w:tc>
        <w:tc>
          <w:tcPr>
            <w:tcW w:w="0" w:type="auto"/>
            <w:vAlign w:val="center"/>
            <w:hideMark/>
          </w:tcPr>
          <w:p w14:paraId="17C0DF36" w14:textId="77777777" w:rsidR="00000000" w:rsidRDefault="00195E73">
            <w:pPr>
              <w:rPr>
                <w:rFonts w:eastAsia="Times New Roman"/>
                <w:sz w:val="20"/>
                <w:szCs w:val="20"/>
              </w:rPr>
            </w:pPr>
          </w:p>
        </w:tc>
        <w:tc>
          <w:tcPr>
            <w:tcW w:w="0" w:type="auto"/>
            <w:vAlign w:val="center"/>
            <w:hideMark/>
          </w:tcPr>
          <w:p w14:paraId="5D3FE2EC" w14:textId="77777777" w:rsidR="00000000" w:rsidRDefault="00195E73">
            <w:pPr>
              <w:rPr>
                <w:rFonts w:eastAsia="Times New Roman"/>
                <w:sz w:val="20"/>
                <w:szCs w:val="20"/>
              </w:rPr>
            </w:pPr>
          </w:p>
        </w:tc>
        <w:tc>
          <w:tcPr>
            <w:tcW w:w="0" w:type="auto"/>
            <w:vAlign w:val="center"/>
            <w:hideMark/>
          </w:tcPr>
          <w:p w14:paraId="76F15C6F" w14:textId="77777777" w:rsidR="00000000" w:rsidRDefault="00195E73">
            <w:pPr>
              <w:rPr>
                <w:rFonts w:eastAsia="Times New Roman"/>
                <w:sz w:val="20"/>
                <w:szCs w:val="20"/>
              </w:rPr>
            </w:pPr>
          </w:p>
        </w:tc>
        <w:tc>
          <w:tcPr>
            <w:tcW w:w="0" w:type="auto"/>
            <w:vAlign w:val="center"/>
            <w:hideMark/>
          </w:tcPr>
          <w:p w14:paraId="24741353" w14:textId="77777777" w:rsidR="00000000" w:rsidRDefault="00195E73">
            <w:pPr>
              <w:rPr>
                <w:rFonts w:eastAsia="Times New Roman"/>
                <w:sz w:val="20"/>
                <w:szCs w:val="20"/>
              </w:rPr>
            </w:pPr>
          </w:p>
        </w:tc>
        <w:tc>
          <w:tcPr>
            <w:tcW w:w="0" w:type="auto"/>
            <w:vAlign w:val="center"/>
            <w:hideMark/>
          </w:tcPr>
          <w:p w14:paraId="14161A84" w14:textId="77777777" w:rsidR="00000000" w:rsidRDefault="00195E73">
            <w:pPr>
              <w:rPr>
                <w:rFonts w:eastAsia="Times New Roman"/>
                <w:sz w:val="20"/>
                <w:szCs w:val="20"/>
              </w:rPr>
            </w:pPr>
          </w:p>
        </w:tc>
        <w:tc>
          <w:tcPr>
            <w:tcW w:w="0" w:type="auto"/>
            <w:vAlign w:val="center"/>
            <w:hideMark/>
          </w:tcPr>
          <w:p w14:paraId="2F03F8BF" w14:textId="77777777" w:rsidR="00000000" w:rsidRDefault="00195E73">
            <w:pPr>
              <w:rPr>
                <w:rFonts w:eastAsia="Times New Roman"/>
                <w:sz w:val="20"/>
                <w:szCs w:val="20"/>
              </w:rPr>
            </w:pPr>
          </w:p>
        </w:tc>
        <w:tc>
          <w:tcPr>
            <w:tcW w:w="0" w:type="auto"/>
            <w:vAlign w:val="center"/>
            <w:hideMark/>
          </w:tcPr>
          <w:p w14:paraId="466A731B" w14:textId="77777777" w:rsidR="00000000" w:rsidRDefault="00195E73">
            <w:pPr>
              <w:rPr>
                <w:rFonts w:eastAsia="Times New Roman"/>
                <w:sz w:val="20"/>
                <w:szCs w:val="20"/>
              </w:rPr>
            </w:pPr>
          </w:p>
        </w:tc>
        <w:tc>
          <w:tcPr>
            <w:tcW w:w="0" w:type="auto"/>
            <w:vAlign w:val="center"/>
            <w:hideMark/>
          </w:tcPr>
          <w:p w14:paraId="7CCEA3BA" w14:textId="77777777" w:rsidR="00000000" w:rsidRDefault="00195E73">
            <w:pPr>
              <w:rPr>
                <w:rFonts w:eastAsia="Times New Roman"/>
                <w:sz w:val="20"/>
                <w:szCs w:val="20"/>
              </w:rPr>
            </w:pPr>
          </w:p>
        </w:tc>
        <w:tc>
          <w:tcPr>
            <w:tcW w:w="0" w:type="auto"/>
            <w:vAlign w:val="center"/>
            <w:hideMark/>
          </w:tcPr>
          <w:p w14:paraId="1E6C1D5E" w14:textId="77777777" w:rsidR="00000000" w:rsidRDefault="00195E73">
            <w:pPr>
              <w:rPr>
                <w:rFonts w:eastAsia="Times New Roman"/>
                <w:sz w:val="20"/>
                <w:szCs w:val="20"/>
              </w:rPr>
            </w:pPr>
          </w:p>
        </w:tc>
      </w:tr>
      <w:tr w:rsidR="00000000" w14:paraId="1486D5A9" w14:textId="77777777">
        <w:trPr>
          <w:divId w:val="384380373"/>
          <w:jc w:val="center"/>
        </w:trPr>
        <w:tc>
          <w:tcPr>
            <w:tcW w:w="0" w:type="auto"/>
            <w:gridSpan w:val="3"/>
            <w:shd w:val="clear" w:color="auto" w:fill="CCEEFF"/>
            <w:tcMar>
              <w:top w:w="30" w:type="dxa"/>
              <w:left w:w="20" w:type="dxa"/>
              <w:bottom w:w="30" w:type="dxa"/>
              <w:right w:w="20" w:type="dxa"/>
            </w:tcMar>
            <w:vAlign w:val="bottom"/>
            <w:hideMark/>
          </w:tcPr>
          <w:p w14:paraId="4973E295" w14:textId="77777777" w:rsidR="00000000" w:rsidRDefault="00195E73">
            <w:pPr>
              <w:ind w:hanging="180"/>
              <w:divId w:val="364839236"/>
              <w:rPr>
                <w:rFonts w:eastAsia="Times New Roman"/>
              </w:rPr>
            </w:pPr>
            <w:r>
              <w:rPr>
                <w:rFonts w:eastAsia="Times New Roman"/>
                <w:color w:val="000000"/>
                <w:sz w:val="20"/>
                <w:szCs w:val="20"/>
              </w:rPr>
              <w:t>Basic and diluted weighted average LP units outstandin</w:t>
            </w:r>
            <w:r>
              <w:rPr>
                <w:rFonts w:eastAsia="Times New Roman"/>
                <w:color w:val="000000"/>
                <w:sz w:val="20"/>
                <w:szCs w:val="20"/>
              </w:rPr>
              <w:t>g</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DC85933" w14:textId="77777777" w:rsidR="00000000" w:rsidRDefault="00195E73">
            <w:pPr>
              <w:jc w:val="right"/>
              <w:rPr>
                <w:rFonts w:eastAsia="Times New Roman"/>
              </w:rPr>
            </w:pPr>
            <w:r>
              <w:rPr>
                <w:rFonts w:eastAsia="Times New Roman"/>
                <w:color w:val="000000"/>
                <w:sz w:val="20"/>
                <w:szCs w:val="20"/>
              </w:rPr>
              <w:t>200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0A12E90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2824973" w14:textId="77777777" w:rsidR="00000000" w:rsidRDefault="00195E73">
            <w:pPr>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B487215" w14:textId="77777777" w:rsidR="00000000" w:rsidRDefault="00195E73">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154D570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310D214" w14:textId="77777777" w:rsidR="00000000" w:rsidRDefault="00195E73">
            <w:pPr>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475832FD" w14:textId="77777777" w:rsidR="00000000" w:rsidRDefault="00195E73">
            <w:pPr>
              <w:jc w:val="right"/>
              <w:rPr>
                <w:rFonts w:eastAsia="Times New Roman"/>
              </w:rPr>
            </w:pPr>
            <w:r>
              <w:rPr>
                <w:rFonts w:eastAsia="Times New Roman"/>
                <w:color w:val="000000"/>
                <w:sz w:val="20"/>
                <w:szCs w:val="20"/>
              </w:rPr>
              <w:t>161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1DA8F91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667BCE4" w14:textId="77777777" w:rsidR="00000000" w:rsidRDefault="00195E73">
            <w:pPr>
              <w:rPr>
                <w:rFonts w:eastAsia="Times New Roman"/>
                <w:sz w:val="20"/>
                <w:szCs w:val="20"/>
              </w:rPr>
            </w:pPr>
          </w:p>
        </w:tc>
        <w:tc>
          <w:tcPr>
            <w:tcW w:w="0" w:type="auto"/>
            <w:vAlign w:val="center"/>
            <w:hideMark/>
          </w:tcPr>
          <w:p w14:paraId="04C66E1E" w14:textId="77777777" w:rsidR="00000000" w:rsidRDefault="00195E73">
            <w:pPr>
              <w:rPr>
                <w:rFonts w:eastAsia="Times New Roman"/>
                <w:sz w:val="20"/>
                <w:szCs w:val="20"/>
              </w:rPr>
            </w:pPr>
          </w:p>
        </w:tc>
        <w:tc>
          <w:tcPr>
            <w:tcW w:w="0" w:type="auto"/>
            <w:vAlign w:val="center"/>
            <w:hideMark/>
          </w:tcPr>
          <w:p w14:paraId="4B7B2EF8" w14:textId="77777777" w:rsidR="00000000" w:rsidRDefault="00195E73">
            <w:pPr>
              <w:rPr>
                <w:rFonts w:eastAsia="Times New Roman"/>
                <w:sz w:val="20"/>
                <w:szCs w:val="20"/>
              </w:rPr>
            </w:pPr>
          </w:p>
        </w:tc>
        <w:tc>
          <w:tcPr>
            <w:tcW w:w="0" w:type="auto"/>
            <w:vAlign w:val="center"/>
            <w:hideMark/>
          </w:tcPr>
          <w:p w14:paraId="4FC5B12A" w14:textId="77777777" w:rsidR="00000000" w:rsidRDefault="00195E73">
            <w:pPr>
              <w:rPr>
                <w:rFonts w:eastAsia="Times New Roman"/>
                <w:sz w:val="20"/>
                <w:szCs w:val="20"/>
              </w:rPr>
            </w:pPr>
          </w:p>
        </w:tc>
        <w:tc>
          <w:tcPr>
            <w:tcW w:w="0" w:type="auto"/>
            <w:vAlign w:val="center"/>
            <w:hideMark/>
          </w:tcPr>
          <w:p w14:paraId="6E2A86A0" w14:textId="77777777" w:rsidR="00000000" w:rsidRDefault="00195E73">
            <w:pPr>
              <w:rPr>
                <w:rFonts w:eastAsia="Times New Roman"/>
                <w:sz w:val="20"/>
                <w:szCs w:val="20"/>
              </w:rPr>
            </w:pPr>
          </w:p>
        </w:tc>
        <w:tc>
          <w:tcPr>
            <w:tcW w:w="0" w:type="auto"/>
            <w:vAlign w:val="center"/>
            <w:hideMark/>
          </w:tcPr>
          <w:p w14:paraId="707B9751" w14:textId="77777777" w:rsidR="00000000" w:rsidRDefault="00195E73">
            <w:pPr>
              <w:rPr>
                <w:rFonts w:eastAsia="Times New Roman"/>
                <w:sz w:val="20"/>
                <w:szCs w:val="20"/>
              </w:rPr>
            </w:pPr>
          </w:p>
        </w:tc>
        <w:tc>
          <w:tcPr>
            <w:tcW w:w="0" w:type="auto"/>
            <w:vAlign w:val="center"/>
            <w:hideMark/>
          </w:tcPr>
          <w:p w14:paraId="5068ED8B" w14:textId="77777777" w:rsidR="00000000" w:rsidRDefault="00195E73">
            <w:pPr>
              <w:rPr>
                <w:rFonts w:eastAsia="Times New Roman"/>
                <w:sz w:val="20"/>
                <w:szCs w:val="20"/>
              </w:rPr>
            </w:pPr>
          </w:p>
        </w:tc>
        <w:tc>
          <w:tcPr>
            <w:tcW w:w="0" w:type="auto"/>
            <w:vAlign w:val="center"/>
            <w:hideMark/>
          </w:tcPr>
          <w:p w14:paraId="646DD5B8" w14:textId="77777777" w:rsidR="00000000" w:rsidRDefault="00195E73">
            <w:pPr>
              <w:rPr>
                <w:rFonts w:eastAsia="Times New Roman"/>
                <w:sz w:val="20"/>
                <w:szCs w:val="20"/>
              </w:rPr>
            </w:pPr>
          </w:p>
        </w:tc>
        <w:tc>
          <w:tcPr>
            <w:tcW w:w="0" w:type="auto"/>
            <w:vAlign w:val="center"/>
            <w:hideMark/>
          </w:tcPr>
          <w:p w14:paraId="64ACE715" w14:textId="77777777" w:rsidR="00000000" w:rsidRDefault="00195E73">
            <w:pPr>
              <w:rPr>
                <w:rFonts w:eastAsia="Times New Roman"/>
                <w:sz w:val="20"/>
                <w:szCs w:val="20"/>
              </w:rPr>
            </w:pPr>
          </w:p>
        </w:tc>
        <w:tc>
          <w:tcPr>
            <w:tcW w:w="0" w:type="auto"/>
            <w:vAlign w:val="center"/>
            <w:hideMark/>
          </w:tcPr>
          <w:p w14:paraId="5829F867" w14:textId="77777777" w:rsidR="00000000" w:rsidRDefault="00195E73">
            <w:pPr>
              <w:rPr>
                <w:rFonts w:eastAsia="Times New Roman"/>
                <w:sz w:val="20"/>
                <w:szCs w:val="20"/>
              </w:rPr>
            </w:pPr>
          </w:p>
        </w:tc>
        <w:tc>
          <w:tcPr>
            <w:tcW w:w="0" w:type="auto"/>
            <w:vAlign w:val="center"/>
            <w:hideMark/>
          </w:tcPr>
          <w:p w14:paraId="5D2B7736" w14:textId="77777777" w:rsidR="00000000" w:rsidRDefault="00195E73">
            <w:pPr>
              <w:rPr>
                <w:rFonts w:eastAsia="Times New Roman"/>
                <w:sz w:val="20"/>
                <w:szCs w:val="20"/>
              </w:rPr>
            </w:pPr>
          </w:p>
        </w:tc>
        <w:tc>
          <w:tcPr>
            <w:tcW w:w="0" w:type="auto"/>
            <w:vAlign w:val="center"/>
            <w:hideMark/>
          </w:tcPr>
          <w:p w14:paraId="67892CC1" w14:textId="77777777" w:rsidR="00000000" w:rsidRDefault="00195E73">
            <w:pPr>
              <w:rPr>
                <w:rFonts w:eastAsia="Times New Roman"/>
                <w:sz w:val="20"/>
                <w:szCs w:val="20"/>
              </w:rPr>
            </w:pPr>
          </w:p>
        </w:tc>
      </w:tr>
    </w:tbl>
    <w:p w14:paraId="13BF7D4E" w14:textId="77777777" w:rsidR="00000000" w:rsidRDefault="00195E73">
      <w:pPr>
        <w:divId w:val="1307784816"/>
        <w:rPr>
          <w:rFonts w:eastAsia="Times New Roman"/>
        </w:rPr>
      </w:pPr>
    </w:p>
    <w:p w14:paraId="3436C2B3" w14:textId="77777777" w:rsidR="00000000" w:rsidRDefault="00195E73">
      <w:pPr>
        <w:divId w:val="297807177"/>
        <w:rPr>
          <w:rFonts w:eastAsia="Times New Roman"/>
        </w:rPr>
      </w:pPr>
      <w:r>
        <w:rPr>
          <w:rFonts w:eastAsia="Times New Roman"/>
          <w:b/>
          <w:bCs/>
          <w:i/>
          <w:iCs/>
          <w:color w:val="000000"/>
          <w:sz w:val="20"/>
          <w:szCs w:val="20"/>
        </w:rPr>
        <w:t>GP Allocatio</w:t>
      </w:r>
      <w:r>
        <w:rPr>
          <w:rFonts w:eastAsia="Times New Roman"/>
          <w:b/>
          <w:bCs/>
          <w:i/>
          <w:iCs/>
          <w:color w:val="000000"/>
          <w:sz w:val="20"/>
          <w:szCs w:val="20"/>
        </w:rPr>
        <w:t>n</w:t>
      </w:r>
    </w:p>
    <w:p w14:paraId="33D80AB2" w14:textId="77777777" w:rsidR="00000000" w:rsidRDefault="00195E73">
      <w:pPr>
        <w:ind w:firstLine="450"/>
        <w:divId w:val="1424447152"/>
        <w:rPr>
          <w:rFonts w:eastAsia="Times New Roman"/>
        </w:rPr>
      </w:pPr>
      <w:r>
        <w:rPr>
          <w:rFonts w:eastAsia="Times New Roman"/>
          <w:color w:val="000000"/>
          <w:sz w:val="20"/>
          <w:szCs w:val="20"/>
        </w:rPr>
        <w:t>As disclosed in Note 2, “</w:t>
      </w:r>
      <w:r>
        <w:rPr>
          <w:rFonts w:eastAsia="Times New Roman"/>
          <w:color w:val="000000"/>
          <w:sz w:val="20"/>
          <w:szCs w:val="20"/>
        </w:rPr>
        <w:t>Basis of Presentation and Summary of Significant Accounting Policies - Acquisition, Investments and Disposition of Entities under Common Control,” upon the sale of common control entities, such as Federal-Mogul and ARI, a portion of the gain or loss on the</w:t>
      </w:r>
      <w:r>
        <w:rPr>
          <w:rFonts w:eastAsia="Times New Roman"/>
          <w:color w:val="000000"/>
          <w:sz w:val="20"/>
          <w:szCs w:val="20"/>
        </w:rPr>
        <w:t xml:space="preserve"> sale is first allocated to the general partner in order to restore the general partners’ capital account for cumulative charges or credits relating to periods prior to our obtaining a controlling interest in such entities from Mr. Icahn and his affiliates</w:t>
      </w:r>
      <w:r>
        <w:rPr>
          <w:rFonts w:eastAsia="Times New Roman"/>
          <w:color w:val="000000"/>
          <w:sz w:val="20"/>
          <w:szCs w:val="20"/>
        </w:rPr>
        <w:t>. After such general partner allocation, the remaining gain is allocated among our general partner and limited partners, in accordance with their respective ownership percentages.</w:t>
      </w:r>
      <w:r>
        <w:rPr>
          <w:rFonts w:eastAsia="Times New Roman"/>
          <w:color w:val="000000"/>
          <w:sz w:val="20"/>
          <w:szCs w:val="20"/>
        </w:rPr>
        <w:t xml:space="preserve"> </w:t>
      </w:r>
    </w:p>
    <w:p w14:paraId="021F14F3" w14:textId="77777777" w:rsidR="00000000" w:rsidRDefault="00195E73">
      <w:pPr>
        <w:divId w:val="1228229875"/>
        <w:rPr>
          <w:rFonts w:eastAsia="Times New Roman"/>
        </w:rPr>
      </w:pPr>
    </w:p>
    <w:p w14:paraId="7D737049" w14:textId="77777777" w:rsidR="00000000" w:rsidRDefault="00195E73">
      <w:pPr>
        <w:divId w:val="782310989"/>
        <w:rPr>
          <w:rFonts w:eastAsia="Times New Roman"/>
        </w:rPr>
      </w:pPr>
    </w:p>
    <w:p w14:paraId="50A7A1B3" w14:textId="77777777" w:rsidR="00000000" w:rsidRDefault="00195E73">
      <w:pPr>
        <w:jc w:val="center"/>
        <w:divId w:val="239602425"/>
        <w:rPr>
          <w:rFonts w:eastAsia="Times New Roman"/>
        </w:rPr>
      </w:pPr>
      <w:r>
        <w:rPr>
          <w:rFonts w:eastAsia="Times New Roman"/>
          <w:color w:val="000000"/>
          <w:sz w:val="20"/>
          <w:szCs w:val="20"/>
        </w:rPr>
        <w:t>9</w:t>
      </w:r>
      <w:r>
        <w:rPr>
          <w:rFonts w:eastAsia="Times New Roman"/>
          <w:color w:val="000000"/>
          <w:sz w:val="20"/>
          <w:szCs w:val="20"/>
        </w:rPr>
        <w:t>7</w:t>
      </w:r>
    </w:p>
    <w:p w14:paraId="49F32046" w14:textId="77777777" w:rsidR="00000000" w:rsidRDefault="00195E73">
      <w:pPr>
        <w:rPr>
          <w:rFonts w:eastAsia="Times New Roman"/>
        </w:rPr>
      </w:pPr>
      <w:r>
        <w:rPr>
          <w:rFonts w:eastAsia="Times New Roman"/>
        </w:rPr>
        <w:pict w14:anchorId="1835EF8C">
          <v:rect id="_x0000_i1123" style="width:0;height:1.5pt" o:hralign="center" o:hrstd="t" o:hr="t" fillcolor="#a0a0a0" stroked="f"/>
        </w:pict>
      </w:r>
    </w:p>
    <w:p w14:paraId="0F2A0BE1" w14:textId="77777777" w:rsidR="00000000" w:rsidRDefault="00195E73">
      <w:pPr>
        <w:jc w:val="center"/>
        <w:divId w:val="1781803986"/>
        <w:rPr>
          <w:rFonts w:eastAsia="Times New Roman"/>
        </w:rPr>
      </w:pPr>
    </w:p>
    <w:p w14:paraId="5B16602C" w14:textId="77777777" w:rsidR="00000000" w:rsidRDefault="00195E73">
      <w:pPr>
        <w:jc w:val="center"/>
        <w:divId w:val="1781803986"/>
        <w:rPr>
          <w:rFonts w:eastAsia="Times New Roman"/>
        </w:rPr>
      </w:pPr>
      <w:r>
        <w:rPr>
          <w:rFonts w:eastAsia="Times New Roman"/>
          <w:b/>
          <w:bCs/>
          <w:color w:val="000000"/>
          <w:sz w:val="20"/>
          <w:szCs w:val="20"/>
        </w:rPr>
        <w:t>ICAHN ENTERPRISES L.P. AND SUB</w:t>
      </w:r>
      <w:r>
        <w:rPr>
          <w:rFonts w:eastAsia="Times New Roman"/>
          <w:b/>
          <w:bCs/>
          <w:color w:val="000000"/>
          <w:sz w:val="20"/>
          <w:szCs w:val="20"/>
        </w:rPr>
        <w:t>SIDIARIE</w:t>
      </w:r>
      <w:r>
        <w:rPr>
          <w:rFonts w:eastAsia="Times New Roman"/>
          <w:b/>
          <w:bCs/>
          <w:color w:val="000000"/>
          <w:sz w:val="20"/>
          <w:szCs w:val="20"/>
        </w:rPr>
        <w:t>S</w:t>
      </w:r>
    </w:p>
    <w:p w14:paraId="047462FC" w14:textId="77777777" w:rsidR="00000000" w:rsidRDefault="00195E73">
      <w:pPr>
        <w:jc w:val="center"/>
        <w:divId w:val="1781803986"/>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00061FB6" w14:textId="77777777" w:rsidR="00000000" w:rsidRDefault="00195E73">
      <w:pPr>
        <w:jc w:val="center"/>
        <w:divId w:val="1781803986"/>
        <w:rPr>
          <w:rFonts w:eastAsia="Times New Roman"/>
        </w:rPr>
      </w:pPr>
    </w:p>
    <w:p w14:paraId="05FB4B82" w14:textId="77777777" w:rsidR="00000000" w:rsidRDefault="00195E73">
      <w:pPr>
        <w:jc w:val="center"/>
        <w:divId w:val="1781803986"/>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148C6B29" w14:textId="77777777" w:rsidR="00000000" w:rsidRDefault="00195E73">
      <w:pPr>
        <w:divId w:val="1064640402"/>
        <w:rPr>
          <w:rFonts w:eastAsia="Times New Roman"/>
        </w:rPr>
      </w:pPr>
      <w:r>
        <w:rPr>
          <w:rFonts w:eastAsia="Times New Roman"/>
          <w:b/>
          <w:bCs/>
          <w:i/>
          <w:iCs/>
          <w:color w:val="000000"/>
          <w:sz w:val="20"/>
          <w:szCs w:val="20"/>
        </w:rPr>
        <w:t>LP Unit Transaction</w:t>
      </w:r>
      <w:r>
        <w:rPr>
          <w:rFonts w:eastAsia="Times New Roman"/>
          <w:b/>
          <w:bCs/>
          <w:i/>
          <w:iCs/>
          <w:color w:val="000000"/>
          <w:sz w:val="20"/>
          <w:szCs w:val="20"/>
        </w:rPr>
        <w:t>s</w:t>
      </w:r>
    </w:p>
    <w:p w14:paraId="69F7B61D" w14:textId="77777777" w:rsidR="00000000" w:rsidRDefault="00195E73">
      <w:pPr>
        <w:ind w:firstLine="450"/>
        <w:divId w:val="717440504"/>
        <w:rPr>
          <w:rFonts w:eastAsia="Times New Roman"/>
        </w:rPr>
      </w:pPr>
      <w:r>
        <w:rPr>
          <w:rFonts w:eastAsia="Times New Roman"/>
          <w:color w:val="000000"/>
          <w:sz w:val="20"/>
          <w:szCs w:val="20"/>
        </w:rPr>
        <w:t>The following table summarizes the changes in Icahn Enterprises outstanding depositary units during each of the years ended Decembe</w:t>
      </w:r>
      <w:r>
        <w:rPr>
          <w:rFonts w:eastAsia="Times New Roman"/>
          <w:color w:val="000000"/>
          <w:sz w:val="20"/>
          <w:szCs w:val="20"/>
        </w:rPr>
        <w:t>r 31, 2019, 2018 and 2017</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7"/>
        <w:gridCol w:w="2745"/>
        <w:gridCol w:w="68"/>
        <w:gridCol w:w="68"/>
        <w:gridCol w:w="1580"/>
        <w:gridCol w:w="85"/>
        <w:gridCol w:w="36"/>
        <w:gridCol w:w="36"/>
        <w:gridCol w:w="41"/>
        <w:gridCol w:w="68"/>
        <w:gridCol w:w="1580"/>
        <w:gridCol w:w="85"/>
        <w:gridCol w:w="36"/>
        <w:gridCol w:w="36"/>
        <w:gridCol w:w="41"/>
        <w:gridCol w:w="68"/>
        <w:gridCol w:w="1581"/>
        <w:gridCol w:w="85"/>
      </w:tblGrid>
      <w:tr w:rsidR="00000000" w14:paraId="0327A8D3" w14:textId="77777777">
        <w:trPr>
          <w:divId w:val="1913421606"/>
        </w:trPr>
        <w:tc>
          <w:tcPr>
            <w:tcW w:w="50" w:type="pct"/>
            <w:vAlign w:val="center"/>
            <w:hideMark/>
          </w:tcPr>
          <w:p w14:paraId="5F126359" w14:textId="77777777" w:rsidR="00000000" w:rsidRDefault="00195E73">
            <w:pPr>
              <w:ind w:firstLine="450"/>
              <w:rPr>
                <w:rFonts w:eastAsia="Times New Roman"/>
              </w:rPr>
            </w:pPr>
          </w:p>
        </w:tc>
        <w:tc>
          <w:tcPr>
            <w:tcW w:w="1661" w:type="pct"/>
            <w:vAlign w:val="center"/>
            <w:hideMark/>
          </w:tcPr>
          <w:p w14:paraId="5F7A3BC6" w14:textId="77777777" w:rsidR="00000000" w:rsidRDefault="00195E73">
            <w:pPr>
              <w:rPr>
                <w:rFonts w:eastAsia="Times New Roman"/>
                <w:sz w:val="20"/>
                <w:szCs w:val="20"/>
              </w:rPr>
            </w:pPr>
          </w:p>
        </w:tc>
        <w:tc>
          <w:tcPr>
            <w:tcW w:w="50" w:type="pct"/>
            <w:vAlign w:val="center"/>
            <w:hideMark/>
          </w:tcPr>
          <w:p w14:paraId="6F541117" w14:textId="77777777" w:rsidR="00000000" w:rsidRDefault="00195E73">
            <w:pPr>
              <w:rPr>
                <w:rFonts w:eastAsia="Times New Roman"/>
                <w:sz w:val="20"/>
                <w:szCs w:val="20"/>
              </w:rPr>
            </w:pPr>
          </w:p>
        </w:tc>
        <w:tc>
          <w:tcPr>
            <w:tcW w:w="50" w:type="pct"/>
            <w:vAlign w:val="center"/>
            <w:hideMark/>
          </w:tcPr>
          <w:p w14:paraId="07208A5B" w14:textId="77777777" w:rsidR="00000000" w:rsidRDefault="00195E73">
            <w:pPr>
              <w:rPr>
                <w:rFonts w:eastAsia="Times New Roman"/>
                <w:sz w:val="20"/>
                <w:szCs w:val="20"/>
              </w:rPr>
            </w:pPr>
          </w:p>
        </w:tc>
        <w:tc>
          <w:tcPr>
            <w:tcW w:w="959" w:type="pct"/>
            <w:vAlign w:val="center"/>
            <w:hideMark/>
          </w:tcPr>
          <w:p w14:paraId="06688739" w14:textId="77777777" w:rsidR="00000000" w:rsidRDefault="00195E73">
            <w:pPr>
              <w:rPr>
                <w:rFonts w:eastAsia="Times New Roman"/>
                <w:sz w:val="20"/>
                <w:szCs w:val="20"/>
              </w:rPr>
            </w:pPr>
          </w:p>
        </w:tc>
        <w:tc>
          <w:tcPr>
            <w:tcW w:w="50" w:type="pct"/>
            <w:vAlign w:val="center"/>
            <w:hideMark/>
          </w:tcPr>
          <w:p w14:paraId="73185817" w14:textId="77777777" w:rsidR="00000000" w:rsidRDefault="00195E73">
            <w:pPr>
              <w:rPr>
                <w:rFonts w:eastAsia="Times New Roman"/>
                <w:sz w:val="20"/>
                <w:szCs w:val="20"/>
              </w:rPr>
            </w:pPr>
          </w:p>
        </w:tc>
        <w:tc>
          <w:tcPr>
            <w:tcW w:w="5" w:type="pct"/>
            <w:vAlign w:val="center"/>
            <w:hideMark/>
          </w:tcPr>
          <w:p w14:paraId="07F86804" w14:textId="77777777" w:rsidR="00000000" w:rsidRDefault="00195E73">
            <w:pPr>
              <w:rPr>
                <w:rFonts w:eastAsia="Times New Roman"/>
                <w:sz w:val="20"/>
                <w:szCs w:val="20"/>
              </w:rPr>
            </w:pPr>
          </w:p>
        </w:tc>
        <w:tc>
          <w:tcPr>
            <w:tcW w:w="19" w:type="pct"/>
            <w:vAlign w:val="center"/>
            <w:hideMark/>
          </w:tcPr>
          <w:p w14:paraId="5FBB0617" w14:textId="77777777" w:rsidR="00000000" w:rsidRDefault="00195E73">
            <w:pPr>
              <w:rPr>
                <w:rFonts w:eastAsia="Times New Roman"/>
                <w:sz w:val="20"/>
                <w:szCs w:val="20"/>
              </w:rPr>
            </w:pPr>
          </w:p>
        </w:tc>
        <w:tc>
          <w:tcPr>
            <w:tcW w:w="5" w:type="pct"/>
            <w:vAlign w:val="center"/>
            <w:hideMark/>
          </w:tcPr>
          <w:p w14:paraId="24E599BE" w14:textId="77777777" w:rsidR="00000000" w:rsidRDefault="00195E73">
            <w:pPr>
              <w:rPr>
                <w:rFonts w:eastAsia="Times New Roman"/>
                <w:sz w:val="20"/>
                <w:szCs w:val="20"/>
              </w:rPr>
            </w:pPr>
          </w:p>
        </w:tc>
        <w:tc>
          <w:tcPr>
            <w:tcW w:w="50" w:type="pct"/>
            <w:vAlign w:val="center"/>
            <w:hideMark/>
          </w:tcPr>
          <w:p w14:paraId="1747CB64" w14:textId="77777777" w:rsidR="00000000" w:rsidRDefault="00195E73">
            <w:pPr>
              <w:rPr>
                <w:rFonts w:eastAsia="Times New Roman"/>
                <w:sz w:val="20"/>
                <w:szCs w:val="20"/>
              </w:rPr>
            </w:pPr>
          </w:p>
        </w:tc>
        <w:tc>
          <w:tcPr>
            <w:tcW w:w="959" w:type="pct"/>
            <w:vAlign w:val="center"/>
            <w:hideMark/>
          </w:tcPr>
          <w:p w14:paraId="38528C1A" w14:textId="77777777" w:rsidR="00000000" w:rsidRDefault="00195E73">
            <w:pPr>
              <w:rPr>
                <w:rFonts w:eastAsia="Times New Roman"/>
                <w:sz w:val="20"/>
                <w:szCs w:val="20"/>
              </w:rPr>
            </w:pPr>
          </w:p>
        </w:tc>
        <w:tc>
          <w:tcPr>
            <w:tcW w:w="50" w:type="pct"/>
            <w:vAlign w:val="center"/>
            <w:hideMark/>
          </w:tcPr>
          <w:p w14:paraId="51D593F1" w14:textId="77777777" w:rsidR="00000000" w:rsidRDefault="00195E73">
            <w:pPr>
              <w:rPr>
                <w:rFonts w:eastAsia="Times New Roman"/>
                <w:sz w:val="20"/>
                <w:szCs w:val="20"/>
              </w:rPr>
            </w:pPr>
          </w:p>
        </w:tc>
        <w:tc>
          <w:tcPr>
            <w:tcW w:w="5" w:type="pct"/>
            <w:vAlign w:val="center"/>
            <w:hideMark/>
          </w:tcPr>
          <w:p w14:paraId="09995DDE" w14:textId="77777777" w:rsidR="00000000" w:rsidRDefault="00195E73">
            <w:pPr>
              <w:rPr>
                <w:rFonts w:eastAsia="Times New Roman"/>
                <w:sz w:val="20"/>
                <w:szCs w:val="20"/>
              </w:rPr>
            </w:pPr>
          </w:p>
        </w:tc>
        <w:tc>
          <w:tcPr>
            <w:tcW w:w="19" w:type="pct"/>
            <w:vAlign w:val="center"/>
            <w:hideMark/>
          </w:tcPr>
          <w:p w14:paraId="5BB2D4E7" w14:textId="77777777" w:rsidR="00000000" w:rsidRDefault="00195E73">
            <w:pPr>
              <w:rPr>
                <w:rFonts w:eastAsia="Times New Roman"/>
                <w:sz w:val="20"/>
                <w:szCs w:val="20"/>
              </w:rPr>
            </w:pPr>
          </w:p>
        </w:tc>
        <w:tc>
          <w:tcPr>
            <w:tcW w:w="5" w:type="pct"/>
            <w:vAlign w:val="center"/>
            <w:hideMark/>
          </w:tcPr>
          <w:p w14:paraId="769E9827" w14:textId="77777777" w:rsidR="00000000" w:rsidRDefault="00195E73">
            <w:pPr>
              <w:rPr>
                <w:rFonts w:eastAsia="Times New Roman"/>
                <w:sz w:val="20"/>
                <w:szCs w:val="20"/>
              </w:rPr>
            </w:pPr>
          </w:p>
        </w:tc>
        <w:tc>
          <w:tcPr>
            <w:tcW w:w="50" w:type="pct"/>
            <w:vAlign w:val="center"/>
            <w:hideMark/>
          </w:tcPr>
          <w:p w14:paraId="3D400222" w14:textId="77777777" w:rsidR="00000000" w:rsidRDefault="00195E73">
            <w:pPr>
              <w:rPr>
                <w:rFonts w:eastAsia="Times New Roman"/>
                <w:sz w:val="20"/>
                <w:szCs w:val="20"/>
              </w:rPr>
            </w:pPr>
          </w:p>
        </w:tc>
        <w:tc>
          <w:tcPr>
            <w:tcW w:w="960" w:type="pct"/>
            <w:vAlign w:val="center"/>
            <w:hideMark/>
          </w:tcPr>
          <w:p w14:paraId="5B9EB6D4" w14:textId="77777777" w:rsidR="00000000" w:rsidRDefault="00195E73">
            <w:pPr>
              <w:rPr>
                <w:rFonts w:eastAsia="Times New Roman"/>
                <w:sz w:val="20"/>
                <w:szCs w:val="20"/>
              </w:rPr>
            </w:pPr>
          </w:p>
        </w:tc>
        <w:tc>
          <w:tcPr>
            <w:tcW w:w="50" w:type="pct"/>
            <w:vAlign w:val="center"/>
            <w:hideMark/>
          </w:tcPr>
          <w:p w14:paraId="72D8D31B" w14:textId="77777777" w:rsidR="00000000" w:rsidRDefault="00195E73">
            <w:pPr>
              <w:rPr>
                <w:rFonts w:eastAsia="Times New Roman"/>
                <w:sz w:val="20"/>
                <w:szCs w:val="20"/>
              </w:rPr>
            </w:pPr>
          </w:p>
        </w:tc>
      </w:tr>
      <w:tr w:rsidR="00000000" w14:paraId="6692F28B" w14:textId="77777777">
        <w:trPr>
          <w:divId w:val="1913421606"/>
        </w:trPr>
        <w:tc>
          <w:tcPr>
            <w:tcW w:w="0" w:type="auto"/>
            <w:gridSpan w:val="3"/>
            <w:tcMar>
              <w:top w:w="15" w:type="dxa"/>
              <w:left w:w="20" w:type="dxa"/>
              <w:bottom w:w="15" w:type="dxa"/>
              <w:right w:w="20" w:type="dxa"/>
            </w:tcMar>
            <w:vAlign w:val="bottom"/>
            <w:hideMark/>
          </w:tcPr>
          <w:p w14:paraId="23845D6D"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2800EFF9" w14:textId="77777777" w:rsidR="00000000" w:rsidRDefault="00195E73">
            <w:pPr>
              <w:jc w:val="center"/>
              <w:rPr>
                <w:rFonts w:eastAsia="Times New Roman"/>
              </w:rPr>
            </w:pPr>
            <w:r>
              <w:rPr>
                <w:rFonts w:eastAsia="Times New Roman"/>
                <w:b/>
                <w:bCs/>
                <w:color w:val="000000"/>
                <w:sz w:val="20"/>
                <w:szCs w:val="20"/>
              </w:rPr>
              <w:t>Mr. Icahn and Affiliate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14:paraId="4702F7FA" w14:textId="77777777" w:rsidR="00000000" w:rsidRDefault="00195E73">
            <w:pPr>
              <w:jc w:val="center"/>
              <w:rPr>
                <w:rFonts w:eastAsia="Times New Roman"/>
              </w:rPr>
            </w:pPr>
          </w:p>
        </w:tc>
        <w:tc>
          <w:tcPr>
            <w:tcW w:w="0" w:type="auto"/>
            <w:gridSpan w:val="3"/>
            <w:tcMar>
              <w:top w:w="30" w:type="dxa"/>
              <w:left w:w="20" w:type="dxa"/>
              <w:bottom w:w="30" w:type="dxa"/>
              <w:right w:w="20" w:type="dxa"/>
            </w:tcMar>
            <w:vAlign w:val="bottom"/>
            <w:hideMark/>
          </w:tcPr>
          <w:p w14:paraId="57F00776" w14:textId="77777777" w:rsidR="00000000" w:rsidRDefault="00195E73">
            <w:pPr>
              <w:jc w:val="center"/>
              <w:rPr>
                <w:rFonts w:eastAsia="Times New Roman"/>
              </w:rPr>
            </w:pPr>
            <w:r>
              <w:rPr>
                <w:rFonts w:eastAsia="Times New Roman"/>
                <w:b/>
                <w:bCs/>
                <w:color w:val="000000"/>
                <w:sz w:val="20"/>
                <w:szCs w:val="20"/>
              </w:rPr>
              <w:t>Public Unitholder</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14:paraId="2E5B2B4F" w14:textId="77777777" w:rsidR="00000000" w:rsidRDefault="00195E73">
            <w:pPr>
              <w:jc w:val="center"/>
              <w:rPr>
                <w:rFonts w:eastAsia="Times New Roman"/>
              </w:rPr>
            </w:pPr>
          </w:p>
        </w:tc>
        <w:tc>
          <w:tcPr>
            <w:tcW w:w="0" w:type="auto"/>
            <w:gridSpan w:val="3"/>
            <w:tcMar>
              <w:top w:w="30" w:type="dxa"/>
              <w:left w:w="20" w:type="dxa"/>
              <w:bottom w:w="30" w:type="dxa"/>
              <w:right w:w="20" w:type="dxa"/>
            </w:tcMar>
            <w:vAlign w:val="bottom"/>
            <w:hideMark/>
          </w:tcPr>
          <w:p w14:paraId="7A994FAF" w14:textId="77777777" w:rsidR="00000000" w:rsidRDefault="00195E73">
            <w:pPr>
              <w:jc w:val="center"/>
              <w:rPr>
                <w:rFonts w:eastAsia="Times New Roman"/>
              </w:rPr>
            </w:pPr>
            <w:r>
              <w:rPr>
                <w:rFonts w:eastAsia="Times New Roman"/>
                <w:b/>
                <w:bCs/>
                <w:color w:val="000000"/>
                <w:sz w:val="20"/>
                <w:szCs w:val="20"/>
              </w:rPr>
              <w:t>Tota</w:t>
            </w:r>
            <w:r>
              <w:rPr>
                <w:rFonts w:eastAsia="Times New Roman"/>
                <w:b/>
                <w:bCs/>
                <w:color w:val="000000"/>
                <w:sz w:val="20"/>
                <w:szCs w:val="20"/>
              </w:rPr>
              <w:t>l</w:t>
            </w:r>
          </w:p>
        </w:tc>
      </w:tr>
      <w:tr w:rsidR="00000000" w14:paraId="504E9910" w14:textId="77777777">
        <w:trPr>
          <w:divId w:val="1913421606"/>
        </w:trPr>
        <w:tc>
          <w:tcPr>
            <w:tcW w:w="0" w:type="auto"/>
            <w:gridSpan w:val="3"/>
            <w:shd w:val="clear" w:color="auto" w:fill="CCEEFF"/>
            <w:tcMar>
              <w:top w:w="30" w:type="dxa"/>
              <w:left w:w="20" w:type="dxa"/>
              <w:bottom w:w="30" w:type="dxa"/>
              <w:right w:w="20" w:type="dxa"/>
            </w:tcMar>
            <w:vAlign w:val="bottom"/>
            <w:hideMark/>
          </w:tcPr>
          <w:p w14:paraId="2E6FB602" w14:textId="77777777" w:rsidR="00000000" w:rsidRDefault="00195E73">
            <w:pPr>
              <w:rPr>
                <w:rFonts w:eastAsia="Times New Roman"/>
              </w:rPr>
            </w:pPr>
            <w:r>
              <w:rPr>
                <w:rFonts w:eastAsia="Times New Roman"/>
                <w:color w:val="000000"/>
                <w:sz w:val="20"/>
                <w:szCs w:val="20"/>
              </w:rPr>
              <w:t>December 31, 201</w:t>
            </w:r>
            <w:r>
              <w:rPr>
                <w:rFonts w:eastAsia="Times New Roman"/>
                <w:color w:val="000000"/>
                <w:sz w:val="20"/>
                <w:szCs w:val="20"/>
              </w:rPr>
              <w:t>6</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A639B4" w14:textId="77777777" w:rsidR="00000000" w:rsidRDefault="00195E73">
            <w:pPr>
              <w:jc w:val="right"/>
              <w:rPr>
                <w:rFonts w:eastAsia="Times New Roman"/>
              </w:rPr>
            </w:pPr>
            <w:r>
              <w:rPr>
                <w:rFonts w:eastAsia="Times New Roman"/>
                <w:color w:val="000000"/>
                <w:sz w:val="20"/>
                <w:szCs w:val="20"/>
              </w:rPr>
              <w:t>129,999,050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A00731A"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1E4C7594"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76476D07" w14:textId="77777777" w:rsidR="00000000" w:rsidRDefault="00195E7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2EA393" w14:textId="77777777" w:rsidR="00000000" w:rsidRDefault="00195E73">
            <w:pPr>
              <w:jc w:val="right"/>
              <w:rPr>
                <w:rFonts w:eastAsia="Times New Roman"/>
              </w:rPr>
            </w:pPr>
            <w:r>
              <w:rPr>
                <w:rFonts w:eastAsia="Times New Roman"/>
                <w:color w:val="000000"/>
                <w:sz w:val="20"/>
                <w:szCs w:val="20"/>
              </w:rPr>
              <w:t>14,742,099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14605F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5F73C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E86E62" w14:textId="77777777" w:rsidR="00000000" w:rsidRDefault="00195E73">
            <w:pPr>
              <w:jc w:val="right"/>
              <w:rPr>
                <w:rFonts w:eastAsia="Times New Roman"/>
              </w:rPr>
            </w:pPr>
            <w:r>
              <w:rPr>
                <w:rFonts w:eastAsia="Times New Roman"/>
                <w:color w:val="000000"/>
                <w:sz w:val="20"/>
                <w:szCs w:val="20"/>
              </w:rPr>
              <w:t>144,741,149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DDF7315" w14:textId="77777777" w:rsidR="00000000" w:rsidRDefault="00195E73">
            <w:pPr>
              <w:jc w:val="right"/>
              <w:rPr>
                <w:rFonts w:eastAsia="Times New Roman"/>
              </w:rPr>
            </w:pPr>
            <w:r>
              <w:rPr>
                <w:rFonts w:eastAsia="Times New Roman"/>
                <w:color w:val="000000"/>
                <w:sz w:val="20"/>
                <w:szCs w:val="20"/>
              </w:rPr>
              <w:t> </w:t>
            </w:r>
          </w:p>
        </w:tc>
      </w:tr>
      <w:tr w:rsidR="00000000" w14:paraId="7CFFBC33" w14:textId="77777777">
        <w:trPr>
          <w:divId w:val="1913421606"/>
        </w:trPr>
        <w:tc>
          <w:tcPr>
            <w:tcW w:w="0" w:type="auto"/>
            <w:gridSpan w:val="3"/>
            <w:shd w:val="clear" w:color="auto" w:fill="FFFFFF"/>
            <w:tcMar>
              <w:top w:w="30" w:type="dxa"/>
              <w:left w:w="20" w:type="dxa"/>
              <w:bottom w:w="30" w:type="dxa"/>
              <w:right w:w="20" w:type="dxa"/>
            </w:tcMar>
            <w:vAlign w:val="bottom"/>
            <w:hideMark/>
          </w:tcPr>
          <w:p w14:paraId="7252C9A2" w14:textId="77777777" w:rsidR="00000000" w:rsidRDefault="00195E73">
            <w:pPr>
              <w:ind w:firstLine="180"/>
              <w:divId w:val="1544562733"/>
              <w:rPr>
                <w:rFonts w:eastAsia="Times New Roman"/>
              </w:rPr>
            </w:pPr>
            <w:r>
              <w:rPr>
                <w:rFonts w:eastAsia="Times New Roman"/>
                <w:color w:val="000000"/>
                <w:sz w:val="20"/>
                <w:szCs w:val="20"/>
              </w:rPr>
              <w:t>Unit distribution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D0E4F59" w14:textId="77777777" w:rsidR="00000000" w:rsidRDefault="00195E73">
            <w:pPr>
              <w:jc w:val="right"/>
              <w:rPr>
                <w:rFonts w:eastAsia="Times New Roman"/>
              </w:rPr>
            </w:pPr>
            <w:r>
              <w:rPr>
                <w:rFonts w:eastAsia="Times New Roman"/>
                <w:color w:val="000000"/>
                <w:sz w:val="20"/>
                <w:szCs w:val="20"/>
              </w:rPr>
              <w:t>17,374,427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9070124"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7CC3ACFF"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79D0BA8E"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91C69B" w14:textId="77777777" w:rsidR="00000000" w:rsidRDefault="00195E73">
            <w:pPr>
              <w:jc w:val="right"/>
              <w:rPr>
                <w:rFonts w:eastAsia="Times New Roman"/>
              </w:rPr>
            </w:pPr>
            <w:r>
              <w:rPr>
                <w:rFonts w:eastAsia="Times New Roman"/>
                <w:color w:val="000000"/>
                <w:sz w:val="20"/>
                <w:szCs w:val="20"/>
              </w:rPr>
              <w:t>269,725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E7D0D3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E71AA5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A08288" w14:textId="77777777" w:rsidR="00000000" w:rsidRDefault="00195E73">
            <w:pPr>
              <w:jc w:val="right"/>
              <w:rPr>
                <w:rFonts w:eastAsia="Times New Roman"/>
              </w:rPr>
            </w:pPr>
            <w:r>
              <w:rPr>
                <w:rFonts w:eastAsia="Times New Roman"/>
                <w:color w:val="000000"/>
                <w:sz w:val="20"/>
                <w:szCs w:val="20"/>
              </w:rPr>
              <w:t>17,644,152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DBC546D" w14:textId="77777777" w:rsidR="00000000" w:rsidRDefault="00195E73">
            <w:pPr>
              <w:jc w:val="right"/>
              <w:rPr>
                <w:rFonts w:eastAsia="Times New Roman"/>
              </w:rPr>
            </w:pPr>
            <w:r>
              <w:rPr>
                <w:rFonts w:eastAsia="Times New Roman"/>
                <w:color w:val="000000"/>
                <w:sz w:val="20"/>
                <w:szCs w:val="20"/>
              </w:rPr>
              <w:t> </w:t>
            </w:r>
          </w:p>
        </w:tc>
      </w:tr>
      <w:tr w:rsidR="00000000" w14:paraId="20E62EEF" w14:textId="77777777">
        <w:trPr>
          <w:divId w:val="1913421606"/>
        </w:trPr>
        <w:tc>
          <w:tcPr>
            <w:tcW w:w="0" w:type="auto"/>
            <w:gridSpan w:val="3"/>
            <w:shd w:val="clear" w:color="auto" w:fill="CCEEFF"/>
            <w:tcMar>
              <w:top w:w="30" w:type="dxa"/>
              <w:left w:w="20" w:type="dxa"/>
              <w:bottom w:w="30" w:type="dxa"/>
              <w:right w:w="20" w:type="dxa"/>
            </w:tcMar>
            <w:vAlign w:val="bottom"/>
            <w:hideMark/>
          </w:tcPr>
          <w:p w14:paraId="79E3F23A" w14:textId="77777777" w:rsidR="00000000" w:rsidRDefault="00195E73">
            <w:pPr>
              <w:ind w:firstLine="180"/>
              <w:divId w:val="1271359659"/>
              <w:rPr>
                <w:rFonts w:eastAsia="Times New Roman"/>
              </w:rPr>
            </w:pPr>
            <w:r>
              <w:rPr>
                <w:rFonts w:eastAsia="Times New Roman"/>
                <w:color w:val="000000"/>
                <w:sz w:val="20"/>
                <w:szCs w:val="20"/>
              </w:rPr>
              <w:t>2017 Incentive Pla</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38D08518"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28EC475"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2A139512"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4C4AA1D7"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2F87D3" w14:textId="77777777" w:rsidR="00000000" w:rsidRDefault="00195E73">
            <w:pPr>
              <w:jc w:val="right"/>
              <w:rPr>
                <w:rFonts w:eastAsia="Times New Roman"/>
              </w:rPr>
            </w:pPr>
            <w:r>
              <w:rPr>
                <w:rFonts w:eastAsia="Times New Roman"/>
                <w:color w:val="000000"/>
                <w:sz w:val="20"/>
                <w:szCs w:val="20"/>
              </w:rPr>
              <w:t>7,902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87A97D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21274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EC5310" w14:textId="77777777" w:rsidR="00000000" w:rsidRDefault="00195E73">
            <w:pPr>
              <w:jc w:val="right"/>
              <w:rPr>
                <w:rFonts w:eastAsia="Times New Roman"/>
              </w:rPr>
            </w:pPr>
            <w:r>
              <w:rPr>
                <w:rFonts w:eastAsia="Times New Roman"/>
                <w:color w:val="000000"/>
                <w:sz w:val="20"/>
                <w:szCs w:val="20"/>
              </w:rPr>
              <w:t>7,902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13B7437" w14:textId="77777777" w:rsidR="00000000" w:rsidRDefault="00195E73">
            <w:pPr>
              <w:jc w:val="right"/>
              <w:rPr>
                <w:rFonts w:eastAsia="Times New Roman"/>
              </w:rPr>
            </w:pPr>
            <w:r>
              <w:rPr>
                <w:rFonts w:eastAsia="Times New Roman"/>
                <w:color w:val="000000"/>
                <w:sz w:val="20"/>
                <w:szCs w:val="20"/>
              </w:rPr>
              <w:t> </w:t>
            </w:r>
          </w:p>
        </w:tc>
      </w:tr>
      <w:tr w:rsidR="00000000" w14:paraId="529B4C22" w14:textId="77777777">
        <w:trPr>
          <w:divId w:val="1913421606"/>
        </w:trPr>
        <w:tc>
          <w:tcPr>
            <w:tcW w:w="0" w:type="auto"/>
            <w:gridSpan w:val="3"/>
            <w:shd w:val="clear" w:color="auto" w:fill="FFFFFF"/>
            <w:tcMar>
              <w:top w:w="30" w:type="dxa"/>
              <w:left w:w="20" w:type="dxa"/>
              <w:bottom w:w="30" w:type="dxa"/>
              <w:right w:w="20" w:type="dxa"/>
            </w:tcMar>
            <w:vAlign w:val="bottom"/>
            <w:hideMark/>
          </w:tcPr>
          <w:p w14:paraId="39A34F35" w14:textId="77777777" w:rsidR="00000000" w:rsidRDefault="00195E73">
            <w:pPr>
              <w:ind w:firstLine="180"/>
              <w:divId w:val="315690625"/>
              <w:rPr>
                <w:rFonts w:eastAsia="Times New Roman"/>
              </w:rPr>
            </w:pPr>
            <w:r>
              <w:rPr>
                <w:rFonts w:eastAsia="Times New Roman"/>
                <w:color w:val="000000"/>
                <w:sz w:val="20"/>
                <w:szCs w:val="20"/>
              </w:rPr>
              <w:t>Rights offerin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14:paraId="49226990" w14:textId="77777777" w:rsidR="00000000" w:rsidRDefault="00195E73">
            <w:pPr>
              <w:jc w:val="right"/>
              <w:rPr>
                <w:rFonts w:eastAsia="Times New Roman"/>
              </w:rPr>
            </w:pPr>
            <w:r>
              <w:rPr>
                <w:rFonts w:eastAsia="Times New Roman"/>
                <w:color w:val="000000"/>
                <w:sz w:val="20"/>
                <w:szCs w:val="20"/>
              </w:rPr>
              <w:t>10,525,105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83893D3"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3D8BEFAD"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3C769A83"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126530" w14:textId="77777777" w:rsidR="00000000" w:rsidRDefault="00195E73">
            <w:pPr>
              <w:jc w:val="right"/>
              <w:rPr>
                <w:rFonts w:eastAsia="Times New Roman"/>
              </w:rPr>
            </w:pPr>
            <w:r>
              <w:rPr>
                <w:rFonts w:eastAsia="Times New Roman"/>
                <w:color w:val="000000"/>
                <w:sz w:val="20"/>
                <w:szCs w:val="20"/>
              </w:rPr>
              <w:t>645,999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C0B4D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CE72E4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E6D873" w14:textId="77777777" w:rsidR="00000000" w:rsidRDefault="00195E73">
            <w:pPr>
              <w:jc w:val="right"/>
              <w:rPr>
                <w:rFonts w:eastAsia="Times New Roman"/>
              </w:rPr>
            </w:pPr>
            <w:r>
              <w:rPr>
                <w:rFonts w:eastAsia="Times New Roman"/>
                <w:color w:val="000000"/>
                <w:sz w:val="20"/>
                <w:szCs w:val="20"/>
              </w:rPr>
              <w:t>11,171,104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20A5CEA" w14:textId="77777777" w:rsidR="00000000" w:rsidRDefault="00195E73">
            <w:pPr>
              <w:jc w:val="right"/>
              <w:rPr>
                <w:rFonts w:eastAsia="Times New Roman"/>
              </w:rPr>
            </w:pPr>
            <w:r>
              <w:rPr>
                <w:rFonts w:eastAsia="Times New Roman"/>
                <w:color w:val="000000"/>
                <w:sz w:val="20"/>
                <w:szCs w:val="20"/>
              </w:rPr>
              <w:t> </w:t>
            </w:r>
          </w:p>
        </w:tc>
      </w:tr>
      <w:tr w:rsidR="00000000" w14:paraId="02940456" w14:textId="77777777">
        <w:trPr>
          <w:divId w:val="1913421606"/>
        </w:trPr>
        <w:tc>
          <w:tcPr>
            <w:tcW w:w="0" w:type="auto"/>
            <w:gridSpan w:val="3"/>
            <w:shd w:val="clear" w:color="auto" w:fill="CCEEFF"/>
            <w:tcMar>
              <w:top w:w="30" w:type="dxa"/>
              <w:left w:w="20" w:type="dxa"/>
              <w:bottom w:w="30" w:type="dxa"/>
              <w:right w:w="20" w:type="dxa"/>
            </w:tcMar>
            <w:vAlign w:val="bottom"/>
            <w:hideMark/>
          </w:tcPr>
          <w:p w14:paraId="2AC48700" w14:textId="77777777" w:rsidR="00000000" w:rsidRDefault="00195E73">
            <w:pPr>
              <w:rPr>
                <w:rFonts w:eastAsia="Times New Roman"/>
              </w:rPr>
            </w:pPr>
            <w:r>
              <w:rPr>
                <w:rFonts w:eastAsia="Times New Roman"/>
                <w:color w:val="000000"/>
                <w:sz w:val="20"/>
                <w:szCs w:val="20"/>
              </w:rPr>
              <w:t>December 31, 201</w:t>
            </w:r>
            <w:r>
              <w:rPr>
                <w:rFonts w:eastAsia="Times New Roman"/>
                <w:color w:val="000000"/>
                <w:sz w:val="20"/>
                <w:szCs w:val="20"/>
              </w:rPr>
              <w:t>7</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7BCBE3" w14:textId="77777777" w:rsidR="00000000" w:rsidRDefault="00195E73">
            <w:pPr>
              <w:jc w:val="right"/>
              <w:rPr>
                <w:rFonts w:eastAsia="Times New Roman"/>
              </w:rPr>
            </w:pPr>
            <w:r>
              <w:rPr>
                <w:rFonts w:eastAsia="Times New Roman"/>
                <w:color w:val="000000"/>
                <w:sz w:val="20"/>
                <w:szCs w:val="20"/>
              </w:rPr>
              <w:t>157,898,582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849A8D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CDF371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515848" w14:textId="77777777" w:rsidR="00000000" w:rsidRDefault="00195E73">
            <w:pPr>
              <w:jc w:val="right"/>
              <w:rPr>
                <w:rFonts w:eastAsia="Times New Roman"/>
              </w:rPr>
            </w:pPr>
            <w:r>
              <w:rPr>
                <w:rFonts w:eastAsia="Times New Roman"/>
                <w:color w:val="000000"/>
                <w:sz w:val="20"/>
                <w:szCs w:val="20"/>
              </w:rPr>
              <w:t>15,665,725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DB47D6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03C8C1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D687B3" w14:textId="77777777" w:rsidR="00000000" w:rsidRDefault="00195E73">
            <w:pPr>
              <w:jc w:val="right"/>
              <w:rPr>
                <w:rFonts w:eastAsia="Times New Roman"/>
              </w:rPr>
            </w:pPr>
            <w:r>
              <w:rPr>
                <w:rFonts w:eastAsia="Times New Roman"/>
                <w:color w:val="000000"/>
                <w:sz w:val="20"/>
                <w:szCs w:val="20"/>
              </w:rPr>
              <w:t>173,564,307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A20ACDA" w14:textId="77777777" w:rsidR="00000000" w:rsidRDefault="00195E73">
            <w:pPr>
              <w:jc w:val="right"/>
              <w:rPr>
                <w:rFonts w:eastAsia="Times New Roman"/>
              </w:rPr>
            </w:pPr>
            <w:r>
              <w:rPr>
                <w:rFonts w:eastAsia="Times New Roman"/>
                <w:color w:val="000000"/>
                <w:sz w:val="20"/>
                <w:szCs w:val="20"/>
              </w:rPr>
              <w:t> </w:t>
            </w:r>
          </w:p>
        </w:tc>
      </w:tr>
      <w:tr w:rsidR="00000000" w14:paraId="3071F4F9" w14:textId="77777777">
        <w:trPr>
          <w:divId w:val="1913421606"/>
        </w:trPr>
        <w:tc>
          <w:tcPr>
            <w:tcW w:w="0" w:type="auto"/>
            <w:gridSpan w:val="3"/>
            <w:shd w:val="clear" w:color="auto" w:fill="FFFFFF"/>
            <w:tcMar>
              <w:top w:w="30" w:type="dxa"/>
              <w:left w:w="20" w:type="dxa"/>
              <w:bottom w:w="30" w:type="dxa"/>
              <w:right w:w="20" w:type="dxa"/>
            </w:tcMar>
            <w:vAlign w:val="bottom"/>
            <w:hideMark/>
          </w:tcPr>
          <w:p w14:paraId="03770241" w14:textId="77777777" w:rsidR="00000000" w:rsidRDefault="00195E73">
            <w:pPr>
              <w:ind w:firstLine="180"/>
              <w:divId w:val="2129617432"/>
              <w:rPr>
                <w:rFonts w:eastAsia="Times New Roman"/>
              </w:rPr>
            </w:pPr>
            <w:r>
              <w:rPr>
                <w:rFonts w:eastAsia="Times New Roman"/>
                <w:color w:val="000000"/>
                <w:sz w:val="20"/>
                <w:szCs w:val="20"/>
              </w:rPr>
              <w:t>Unit distribution</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9E3523" w14:textId="77777777" w:rsidR="00000000" w:rsidRDefault="00195E73">
            <w:pPr>
              <w:jc w:val="right"/>
              <w:rPr>
                <w:rFonts w:eastAsia="Times New Roman"/>
              </w:rPr>
            </w:pPr>
            <w:r>
              <w:rPr>
                <w:rFonts w:eastAsia="Times New Roman"/>
                <w:color w:val="000000"/>
                <w:sz w:val="20"/>
                <w:szCs w:val="20"/>
              </w:rPr>
              <w:t>17,543,006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B6928B1"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6C4AE698"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107D356E" w14:textId="77777777" w:rsidR="00000000" w:rsidRDefault="00195E7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777921" w14:textId="77777777" w:rsidR="00000000" w:rsidRDefault="00195E73">
            <w:pPr>
              <w:jc w:val="right"/>
              <w:rPr>
                <w:rFonts w:eastAsia="Times New Roman"/>
              </w:rPr>
            </w:pPr>
            <w:r>
              <w:rPr>
                <w:rFonts w:eastAsia="Times New Roman"/>
                <w:color w:val="000000"/>
                <w:sz w:val="20"/>
                <w:szCs w:val="20"/>
              </w:rPr>
              <w:t>235,944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86EBB5C"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0B168022"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793E454E" w14:textId="77777777" w:rsidR="00000000" w:rsidRDefault="00195E7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F5C0F0" w14:textId="77777777" w:rsidR="00000000" w:rsidRDefault="00195E73">
            <w:pPr>
              <w:jc w:val="right"/>
              <w:rPr>
                <w:rFonts w:eastAsia="Times New Roman"/>
              </w:rPr>
            </w:pPr>
            <w:r>
              <w:rPr>
                <w:rFonts w:eastAsia="Times New Roman"/>
                <w:color w:val="000000"/>
                <w:sz w:val="20"/>
                <w:szCs w:val="20"/>
              </w:rPr>
              <w:t>17,778,950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2F79DEA" w14:textId="77777777" w:rsidR="00000000" w:rsidRDefault="00195E73">
            <w:pPr>
              <w:jc w:val="right"/>
              <w:rPr>
                <w:rFonts w:eastAsia="Times New Roman"/>
              </w:rPr>
            </w:pPr>
            <w:r>
              <w:rPr>
                <w:rFonts w:eastAsia="Times New Roman"/>
                <w:color w:val="000000"/>
                <w:sz w:val="20"/>
                <w:szCs w:val="20"/>
              </w:rPr>
              <w:t> </w:t>
            </w:r>
          </w:p>
        </w:tc>
      </w:tr>
      <w:tr w:rsidR="00000000" w14:paraId="6B669F04" w14:textId="77777777">
        <w:trPr>
          <w:divId w:val="1913421606"/>
        </w:trPr>
        <w:tc>
          <w:tcPr>
            <w:tcW w:w="0" w:type="auto"/>
            <w:gridSpan w:val="3"/>
            <w:shd w:val="clear" w:color="auto" w:fill="CCEEFF"/>
            <w:tcMar>
              <w:top w:w="30" w:type="dxa"/>
              <w:left w:w="20" w:type="dxa"/>
              <w:bottom w:w="30" w:type="dxa"/>
              <w:right w:w="20" w:type="dxa"/>
            </w:tcMar>
            <w:vAlign w:val="bottom"/>
            <w:hideMark/>
          </w:tcPr>
          <w:p w14:paraId="1ECFBB91" w14:textId="77777777" w:rsidR="00000000" w:rsidRDefault="00195E73">
            <w:pPr>
              <w:ind w:firstLine="180"/>
              <w:divId w:val="1576353650"/>
              <w:rPr>
                <w:rFonts w:eastAsia="Times New Roman"/>
              </w:rPr>
            </w:pPr>
            <w:r>
              <w:rPr>
                <w:rFonts w:eastAsia="Times New Roman"/>
                <w:color w:val="000000"/>
                <w:sz w:val="20"/>
                <w:szCs w:val="20"/>
              </w:rPr>
              <w:t>2017 Incentive Pla</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225B6B9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83C39E2"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29855065"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7A69FC7E"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086AC1" w14:textId="77777777" w:rsidR="00000000" w:rsidRDefault="00195E73">
            <w:pPr>
              <w:jc w:val="right"/>
              <w:rPr>
                <w:rFonts w:eastAsia="Times New Roman"/>
              </w:rPr>
            </w:pPr>
            <w:r>
              <w:rPr>
                <w:rFonts w:eastAsia="Times New Roman"/>
                <w:color w:val="000000"/>
                <w:sz w:val="20"/>
                <w:szCs w:val="20"/>
              </w:rPr>
              <w:t>22,840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0F4470E"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0656AEDE"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467F38C4"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B180EF" w14:textId="77777777" w:rsidR="00000000" w:rsidRDefault="00195E73">
            <w:pPr>
              <w:jc w:val="right"/>
              <w:rPr>
                <w:rFonts w:eastAsia="Times New Roman"/>
              </w:rPr>
            </w:pPr>
            <w:r>
              <w:rPr>
                <w:rFonts w:eastAsia="Times New Roman"/>
                <w:color w:val="000000"/>
                <w:sz w:val="20"/>
                <w:szCs w:val="20"/>
              </w:rPr>
              <w:t>22,840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9AC2079" w14:textId="77777777" w:rsidR="00000000" w:rsidRDefault="00195E73">
            <w:pPr>
              <w:jc w:val="right"/>
              <w:rPr>
                <w:rFonts w:eastAsia="Times New Roman"/>
              </w:rPr>
            </w:pPr>
            <w:r>
              <w:rPr>
                <w:rFonts w:eastAsia="Times New Roman"/>
                <w:color w:val="000000"/>
                <w:sz w:val="20"/>
                <w:szCs w:val="20"/>
              </w:rPr>
              <w:t> </w:t>
            </w:r>
          </w:p>
        </w:tc>
      </w:tr>
      <w:tr w:rsidR="00000000" w14:paraId="1D0A4975" w14:textId="77777777">
        <w:trPr>
          <w:divId w:val="1913421606"/>
        </w:trPr>
        <w:tc>
          <w:tcPr>
            <w:tcW w:w="0" w:type="auto"/>
            <w:gridSpan w:val="3"/>
            <w:shd w:val="clear" w:color="auto" w:fill="FFFFFF"/>
            <w:tcMar>
              <w:top w:w="30" w:type="dxa"/>
              <w:left w:w="20" w:type="dxa"/>
              <w:bottom w:w="30" w:type="dxa"/>
              <w:right w:w="20" w:type="dxa"/>
            </w:tcMar>
            <w:vAlign w:val="bottom"/>
            <w:hideMark/>
          </w:tcPr>
          <w:p w14:paraId="5AEF4D38" w14:textId="77777777" w:rsidR="00000000" w:rsidRDefault="00195E73">
            <w:pPr>
              <w:rPr>
                <w:rFonts w:eastAsia="Times New Roman"/>
              </w:rPr>
            </w:pPr>
            <w:r>
              <w:rPr>
                <w:rFonts w:eastAsia="Times New Roman"/>
                <w:color w:val="000000"/>
                <w:sz w:val="20"/>
                <w:szCs w:val="20"/>
              </w:rPr>
              <w:t>December 31, 201</w:t>
            </w:r>
            <w:r>
              <w:rPr>
                <w:rFonts w:eastAsia="Times New Roman"/>
                <w:color w:val="000000"/>
                <w:sz w:val="20"/>
                <w:szCs w:val="20"/>
              </w:rPr>
              <w:t>8</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72456C" w14:textId="77777777" w:rsidR="00000000" w:rsidRDefault="00195E73">
            <w:pPr>
              <w:jc w:val="right"/>
              <w:rPr>
                <w:rFonts w:eastAsia="Times New Roman"/>
              </w:rPr>
            </w:pPr>
            <w:r>
              <w:rPr>
                <w:rFonts w:eastAsia="Times New Roman"/>
                <w:color w:val="000000"/>
                <w:sz w:val="20"/>
                <w:szCs w:val="20"/>
              </w:rPr>
              <w:t>175,441,588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FDDFF2D"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22932B01"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02E58E0C" w14:textId="77777777" w:rsidR="00000000" w:rsidRDefault="00195E7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871D2E" w14:textId="77777777" w:rsidR="00000000" w:rsidRDefault="00195E73">
            <w:pPr>
              <w:jc w:val="right"/>
              <w:rPr>
                <w:rFonts w:eastAsia="Times New Roman"/>
              </w:rPr>
            </w:pPr>
            <w:r>
              <w:rPr>
                <w:rFonts w:eastAsia="Times New Roman"/>
                <w:color w:val="000000"/>
                <w:sz w:val="20"/>
                <w:szCs w:val="20"/>
              </w:rPr>
              <w:t>15,924,509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97737BE"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7DA2502F"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56EB04F2" w14:textId="77777777" w:rsidR="00000000" w:rsidRDefault="00195E7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29AB15" w14:textId="77777777" w:rsidR="00000000" w:rsidRDefault="00195E73">
            <w:pPr>
              <w:jc w:val="right"/>
              <w:rPr>
                <w:rFonts w:eastAsia="Times New Roman"/>
              </w:rPr>
            </w:pPr>
            <w:r>
              <w:rPr>
                <w:rFonts w:eastAsia="Times New Roman"/>
                <w:color w:val="000000"/>
                <w:sz w:val="20"/>
                <w:szCs w:val="20"/>
              </w:rPr>
              <w:t>191,366,097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694FF14" w14:textId="77777777" w:rsidR="00000000" w:rsidRDefault="00195E73">
            <w:pPr>
              <w:jc w:val="right"/>
              <w:rPr>
                <w:rFonts w:eastAsia="Times New Roman"/>
              </w:rPr>
            </w:pPr>
            <w:r>
              <w:rPr>
                <w:rFonts w:eastAsia="Times New Roman"/>
                <w:color w:val="000000"/>
                <w:sz w:val="20"/>
                <w:szCs w:val="20"/>
              </w:rPr>
              <w:t> </w:t>
            </w:r>
          </w:p>
        </w:tc>
      </w:tr>
      <w:tr w:rsidR="00000000" w14:paraId="7552784B" w14:textId="77777777">
        <w:trPr>
          <w:divId w:val="1913421606"/>
        </w:trPr>
        <w:tc>
          <w:tcPr>
            <w:tcW w:w="0" w:type="auto"/>
            <w:gridSpan w:val="3"/>
            <w:shd w:val="clear" w:color="auto" w:fill="CCEEFF"/>
            <w:tcMar>
              <w:top w:w="30" w:type="dxa"/>
              <w:left w:w="20" w:type="dxa"/>
              <w:bottom w:w="30" w:type="dxa"/>
              <w:right w:w="20" w:type="dxa"/>
            </w:tcMar>
            <w:vAlign w:val="bottom"/>
            <w:hideMark/>
          </w:tcPr>
          <w:p w14:paraId="2EB0C0E8" w14:textId="77777777" w:rsidR="00000000" w:rsidRDefault="00195E73">
            <w:pPr>
              <w:ind w:firstLine="180"/>
              <w:divId w:val="134182121"/>
              <w:rPr>
                <w:rFonts w:eastAsia="Times New Roman"/>
              </w:rPr>
            </w:pPr>
            <w:r>
              <w:rPr>
                <w:rFonts w:eastAsia="Times New Roman"/>
                <w:color w:val="000000"/>
                <w:sz w:val="20"/>
                <w:szCs w:val="20"/>
              </w:rPr>
              <w:t>Unit distribution</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E54EFC" w14:textId="77777777" w:rsidR="00000000" w:rsidRDefault="00195E73">
            <w:pPr>
              <w:jc w:val="right"/>
              <w:rPr>
                <w:rFonts w:eastAsia="Times New Roman"/>
              </w:rPr>
            </w:pPr>
            <w:r>
              <w:rPr>
                <w:rFonts w:eastAsia="Times New Roman"/>
                <w:color w:val="000000"/>
                <w:sz w:val="20"/>
                <w:szCs w:val="20"/>
              </w:rPr>
              <w:t>21,608,064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113F70E"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25F9C84D"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7A860152" w14:textId="77777777" w:rsidR="00000000" w:rsidRDefault="00195E7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ED8E58" w14:textId="77777777" w:rsidR="00000000" w:rsidRDefault="00195E73">
            <w:pPr>
              <w:jc w:val="right"/>
              <w:rPr>
                <w:rFonts w:eastAsia="Times New Roman"/>
              </w:rPr>
            </w:pPr>
            <w:r>
              <w:rPr>
                <w:rFonts w:eastAsia="Times New Roman"/>
                <w:color w:val="000000"/>
                <w:sz w:val="20"/>
                <w:szCs w:val="20"/>
              </w:rPr>
              <w:t>290,789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17A7AA6"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22BFDA05"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351BC6A3" w14:textId="77777777" w:rsidR="00000000" w:rsidRDefault="00195E7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A0265F" w14:textId="77777777" w:rsidR="00000000" w:rsidRDefault="00195E73">
            <w:pPr>
              <w:jc w:val="right"/>
              <w:rPr>
                <w:rFonts w:eastAsia="Times New Roman"/>
              </w:rPr>
            </w:pPr>
            <w:r>
              <w:rPr>
                <w:rFonts w:eastAsia="Times New Roman"/>
                <w:color w:val="000000"/>
                <w:sz w:val="20"/>
                <w:szCs w:val="20"/>
              </w:rPr>
              <w:t>21,898,853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BECC51A" w14:textId="77777777" w:rsidR="00000000" w:rsidRDefault="00195E73">
            <w:pPr>
              <w:jc w:val="right"/>
              <w:rPr>
                <w:rFonts w:eastAsia="Times New Roman"/>
              </w:rPr>
            </w:pPr>
            <w:r>
              <w:rPr>
                <w:rFonts w:eastAsia="Times New Roman"/>
                <w:color w:val="000000"/>
                <w:sz w:val="20"/>
                <w:szCs w:val="20"/>
              </w:rPr>
              <w:t> </w:t>
            </w:r>
          </w:p>
        </w:tc>
      </w:tr>
      <w:tr w:rsidR="00000000" w14:paraId="127F71CC" w14:textId="77777777">
        <w:trPr>
          <w:divId w:val="1913421606"/>
        </w:trPr>
        <w:tc>
          <w:tcPr>
            <w:tcW w:w="0" w:type="auto"/>
            <w:gridSpan w:val="3"/>
            <w:shd w:val="clear" w:color="auto" w:fill="FFFFFF"/>
            <w:tcMar>
              <w:top w:w="30" w:type="dxa"/>
              <w:left w:w="20" w:type="dxa"/>
              <w:bottom w:w="30" w:type="dxa"/>
              <w:right w:w="20" w:type="dxa"/>
            </w:tcMar>
            <w:vAlign w:val="bottom"/>
            <w:hideMark/>
          </w:tcPr>
          <w:p w14:paraId="77DDCD34" w14:textId="77777777" w:rsidR="00000000" w:rsidRDefault="00195E73">
            <w:pPr>
              <w:ind w:firstLine="180"/>
              <w:divId w:val="728655476"/>
              <w:rPr>
                <w:rFonts w:eastAsia="Times New Roman"/>
              </w:rPr>
            </w:pPr>
            <w:r>
              <w:rPr>
                <w:rFonts w:eastAsia="Times New Roman"/>
                <w:color w:val="000000"/>
                <w:sz w:val="20"/>
                <w:szCs w:val="20"/>
              </w:rPr>
              <w:t>2017 Incentive Pla</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13163CC1"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7256B23"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518C124D"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05A70618"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A16C54" w14:textId="77777777" w:rsidR="00000000" w:rsidRDefault="00195E73">
            <w:pPr>
              <w:jc w:val="right"/>
              <w:rPr>
                <w:rFonts w:eastAsia="Times New Roman"/>
              </w:rPr>
            </w:pPr>
            <w:r>
              <w:rPr>
                <w:rFonts w:eastAsia="Times New Roman"/>
                <w:color w:val="000000"/>
                <w:sz w:val="20"/>
                <w:szCs w:val="20"/>
              </w:rPr>
              <w:t>19,259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2C5D9C4"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4B3FE26F"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6CDE98EF"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9DF625" w14:textId="77777777" w:rsidR="00000000" w:rsidRDefault="00195E73">
            <w:pPr>
              <w:jc w:val="right"/>
              <w:rPr>
                <w:rFonts w:eastAsia="Times New Roman"/>
              </w:rPr>
            </w:pPr>
            <w:r>
              <w:rPr>
                <w:rFonts w:eastAsia="Times New Roman"/>
                <w:color w:val="000000"/>
                <w:sz w:val="20"/>
                <w:szCs w:val="20"/>
              </w:rPr>
              <w:t>19,259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0F8C3E1" w14:textId="77777777" w:rsidR="00000000" w:rsidRDefault="00195E73">
            <w:pPr>
              <w:jc w:val="right"/>
              <w:rPr>
                <w:rFonts w:eastAsia="Times New Roman"/>
              </w:rPr>
            </w:pPr>
            <w:r>
              <w:rPr>
                <w:rFonts w:eastAsia="Times New Roman"/>
                <w:color w:val="000000"/>
                <w:sz w:val="20"/>
                <w:szCs w:val="20"/>
              </w:rPr>
              <w:t> </w:t>
            </w:r>
          </w:p>
        </w:tc>
      </w:tr>
      <w:tr w:rsidR="00000000" w14:paraId="19CC8D80" w14:textId="77777777">
        <w:trPr>
          <w:divId w:val="1913421606"/>
        </w:trPr>
        <w:tc>
          <w:tcPr>
            <w:tcW w:w="0" w:type="auto"/>
            <w:gridSpan w:val="3"/>
            <w:shd w:val="clear" w:color="auto" w:fill="CCEEFF"/>
            <w:tcMar>
              <w:top w:w="30" w:type="dxa"/>
              <w:left w:w="20" w:type="dxa"/>
              <w:bottom w:w="30" w:type="dxa"/>
              <w:right w:w="20" w:type="dxa"/>
            </w:tcMar>
            <w:vAlign w:val="bottom"/>
            <w:hideMark/>
          </w:tcPr>
          <w:p w14:paraId="3E3D57AE" w14:textId="77777777" w:rsidR="00000000" w:rsidRDefault="00195E73">
            <w:pPr>
              <w:ind w:firstLine="180"/>
              <w:divId w:val="85998152"/>
              <w:rPr>
                <w:rFonts w:eastAsia="Times New Roman"/>
              </w:rPr>
            </w:pPr>
            <w:r>
              <w:rPr>
                <w:rFonts w:eastAsia="Times New Roman"/>
                <w:color w:val="000000"/>
                <w:sz w:val="20"/>
                <w:szCs w:val="20"/>
              </w:rPr>
              <w:t>2019 at-the-market offerin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14:paraId="52598D5E"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0914336"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6FCC5651"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0D184A41"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E55795" w14:textId="77777777" w:rsidR="00000000" w:rsidRDefault="00195E73">
            <w:pPr>
              <w:jc w:val="right"/>
              <w:rPr>
                <w:rFonts w:eastAsia="Times New Roman"/>
              </w:rPr>
            </w:pPr>
            <w:r>
              <w:rPr>
                <w:rFonts w:eastAsia="Times New Roman"/>
                <w:color w:val="000000"/>
                <w:sz w:val="20"/>
                <w:szCs w:val="20"/>
              </w:rPr>
              <w:t>794,349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45DE345"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10E49686"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2C6F5EF5"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9AB365" w14:textId="77777777" w:rsidR="00000000" w:rsidRDefault="00195E73">
            <w:pPr>
              <w:jc w:val="right"/>
              <w:rPr>
                <w:rFonts w:eastAsia="Times New Roman"/>
              </w:rPr>
            </w:pPr>
            <w:r>
              <w:rPr>
                <w:rFonts w:eastAsia="Times New Roman"/>
                <w:color w:val="000000"/>
                <w:sz w:val="20"/>
                <w:szCs w:val="20"/>
              </w:rPr>
              <w:t>794,349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4E11418" w14:textId="77777777" w:rsidR="00000000" w:rsidRDefault="00195E73">
            <w:pPr>
              <w:jc w:val="right"/>
              <w:rPr>
                <w:rFonts w:eastAsia="Times New Roman"/>
              </w:rPr>
            </w:pPr>
            <w:r>
              <w:rPr>
                <w:rFonts w:eastAsia="Times New Roman"/>
                <w:color w:val="000000"/>
                <w:sz w:val="20"/>
                <w:szCs w:val="20"/>
              </w:rPr>
              <w:t> </w:t>
            </w:r>
          </w:p>
        </w:tc>
      </w:tr>
      <w:tr w:rsidR="00000000" w14:paraId="6F6601C1" w14:textId="77777777">
        <w:trPr>
          <w:divId w:val="1913421606"/>
        </w:trPr>
        <w:tc>
          <w:tcPr>
            <w:tcW w:w="0" w:type="auto"/>
            <w:gridSpan w:val="3"/>
            <w:shd w:val="clear" w:color="auto" w:fill="FFFFFF"/>
            <w:tcMar>
              <w:top w:w="30" w:type="dxa"/>
              <w:left w:w="20" w:type="dxa"/>
              <w:bottom w:w="30" w:type="dxa"/>
              <w:right w:w="20" w:type="dxa"/>
            </w:tcMar>
            <w:vAlign w:val="bottom"/>
            <w:hideMark/>
          </w:tcPr>
          <w:p w14:paraId="575D247E" w14:textId="77777777" w:rsidR="00000000" w:rsidRDefault="00195E73">
            <w:pPr>
              <w:rPr>
                <w:rFonts w:eastAsia="Times New Roman"/>
              </w:rPr>
            </w:pPr>
            <w:r>
              <w:rPr>
                <w:rFonts w:eastAsia="Times New Roman"/>
                <w:color w:val="000000"/>
                <w:sz w:val="20"/>
                <w:szCs w:val="20"/>
              </w:rPr>
              <w:t>December 31, 201</w:t>
            </w:r>
            <w:r>
              <w:rPr>
                <w:rFonts w:eastAsia="Times New Roman"/>
                <w:color w:val="000000"/>
                <w:sz w:val="20"/>
                <w:szCs w:val="20"/>
              </w:rPr>
              <w:t>9</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2B4DCA12" w14:textId="77777777" w:rsidR="00000000" w:rsidRDefault="00195E73">
            <w:pPr>
              <w:jc w:val="right"/>
              <w:rPr>
                <w:rFonts w:eastAsia="Times New Roman"/>
              </w:rPr>
            </w:pPr>
            <w:r>
              <w:rPr>
                <w:rFonts w:eastAsia="Times New Roman"/>
                <w:color w:val="000000"/>
                <w:sz w:val="20"/>
                <w:szCs w:val="20"/>
              </w:rPr>
              <w:t>197,049,652</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15" w:type="dxa"/>
              <w:bottom w:w="30" w:type="dxa"/>
              <w:right w:w="20" w:type="dxa"/>
            </w:tcMar>
            <w:vAlign w:val="bottom"/>
            <w:hideMark/>
          </w:tcPr>
          <w:p w14:paraId="624DD546"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5EFBDC3C"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7F3CC2A9" w14:textId="77777777" w:rsidR="00000000" w:rsidRDefault="00195E73">
            <w:pPr>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5904B791" w14:textId="77777777" w:rsidR="00000000" w:rsidRDefault="00195E73">
            <w:pPr>
              <w:jc w:val="right"/>
              <w:rPr>
                <w:rFonts w:eastAsia="Times New Roman"/>
              </w:rPr>
            </w:pPr>
            <w:r>
              <w:rPr>
                <w:rFonts w:eastAsia="Times New Roman"/>
                <w:color w:val="000000"/>
                <w:sz w:val="20"/>
                <w:szCs w:val="20"/>
              </w:rPr>
              <w:t>17,028,906</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15" w:type="dxa"/>
              <w:bottom w:w="30" w:type="dxa"/>
              <w:right w:w="20" w:type="dxa"/>
            </w:tcMar>
            <w:vAlign w:val="bottom"/>
            <w:hideMark/>
          </w:tcPr>
          <w:p w14:paraId="25031E5A"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03B03306"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19A215DE" w14:textId="77777777" w:rsidR="00000000" w:rsidRDefault="00195E73">
            <w:pPr>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7A2DB153" w14:textId="77777777" w:rsidR="00000000" w:rsidRDefault="00195E73">
            <w:pPr>
              <w:jc w:val="right"/>
              <w:rPr>
                <w:rFonts w:eastAsia="Times New Roman"/>
              </w:rPr>
            </w:pPr>
            <w:r>
              <w:rPr>
                <w:rFonts w:eastAsia="Times New Roman"/>
                <w:color w:val="000000"/>
                <w:sz w:val="20"/>
                <w:szCs w:val="20"/>
              </w:rPr>
              <w:t>214,078,558</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15" w:type="dxa"/>
              <w:bottom w:w="30" w:type="dxa"/>
              <w:right w:w="20" w:type="dxa"/>
            </w:tcMar>
            <w:vAlign w:val="bottom"/>
            <w:hideMark/>
          </w:tcPr>
          <w:p w14:paraId="45F8A886" w14:textId="77777777" w:rsidR="00000000" w:rsidRDefault="00195E73">
            <w:pPr>
              <w:jc w:val="right"/>
              <w:rPr>
                <w:rFonts w:eastAsia="Times New Roman"/>
              </w:rPr>
            </w:pPr>
            <w:r>
              <w:rPr>
                <w:rFonts w:eastAsia="Times New Roman"/>
                <w:color w:val="000000"/>
                <w:sz w:val="20"/>
                <w:szCs w:val="20"/>
              </w:rPr>
              <w:t> </w:t>
            </w:r>
          </w:p>
        </w:tc>
      </w:tr>
    </w:tbl>
    <w:p w14:paraId="375E4A97" w14:textId="77777777" w:rsidR="00000000" w:rsidRDefault="00195E73">
      <w:pPr>
        <w:divId w:val="1956861494"/>
        <w:rPr>
          <w:rFonts w:eastAsia="Times New Roman"/>
        </w:rPr>
      </w:pPr>
    </w:p>
    <w:p w14:paraId="376057E6" w14:textId="77777777" w:rsidR="00000000" w:rsidRDefault="00195E73">
      <w:pPr>
        <w:divId w:val="133840022"/>
        <w:rPr>
          <w:rFonts w:eastAsia="Times New Roman"/>
        </w:rPr>
      </w:pPr>
      <w:r>
        <w:rPr>
          <w:rFonts w:eastAsia="Times New Roman"/>
          <w:i/>
          <w:iCs/>
          <w:color w:val="000000"/>
          <w:sz w:val="20"/>
          <w:szCs w:val="20"/>
        </w:rPr>
        <w:t>Unit Distribution</w:t>
      </w:r>
      <w:r>
        <w:rPr>
          <w:rFonts w:eastAsia="Times New Roman"/>
          <w:i/>
          <w:iCs/>
          <w:color w:val="000000"/>
          <w:sz w:val="20"/>
          <w:szCs w:val="20"/>
        </w:rPr>
        <w:t>s</w:t>
      </w:r>
    </w:p>
    <w:p w14:paraId="0618F29E" w14:textId="77777777" w:rsidR="00000000" w:rsidRDefault="00195E73">
      <w:pPr>
        <w:ind w:firstLine="450"/>
        <w:divId w:val="1425373804"/>
        <w:rPr>
          <w:rFonts w:eastAsia="Times New Roman"/>
        </w:rPr>
      </w:pPr>
      <w:r>
        <w:rPr>
          <w:rFonts w:eastAsia="Times New Roman"/>
          <w:color w:val="000000"/>
          <w:sz w:val="20"/>
          <w:szCs w:val="20"/>
        </w:rPr>
        <w:t>During each of the years ended December 31, 2019, 2018 and 2017, we declared four quarterly distributions. Deposi</w:t>
      </w:r>
      <w:r>
        <w:rPr>
          <w:rFonts w:eastAsia="Times New Roman"/>
          <w:color w:val="000000"/>
          <w:sz w:val="20"/>
          <w:szCs w:val="20"/>
        </w:rPr>
        <w:t>tary unitholders were given the option to make an election to receive the distributions in either cash or additional depositary units. If a holder did not make an election, it was automatically deemed to have elected to receive the distributions in cash</w:t>
      </w:r>
      <w:r>
        <w:rPr>
          <w:rFonts w:eastAsia="Times New Roman"/>
          <w:color w:val="000000"/>
          <w:sz w:val="20"/>
          <w:szCs w:val="20"/>
        </w:rPr>
        <w:t>.</w:t>
      </w:r>
    </w:p>
    <w:p w14:paraId="062045A2" w14:textId="77777777" w:rsidR="00000000" w:rsidRDefault="00195E73">
      <w:pPr>
        <w:divId w:val="721367742"/>
        <w:rPr>
          <w:rFonts w:eastAsia="Times New Roman"/>
        </w:rPr>
      </w:pPr>
      <w:r>
        <w:rPr>
          <w:rFonts w:eastAsia="Times New Roman"/>
          <w:i/>
          <w:iCs/>
          <w:color w:val="000000"/>
          <w:sz w:val="20"/>
          <w:szCs w:val="20"/>
        </w:rPr>
        <w:t>2</w:t>
      </w:r>
      <w:r>
        <w:rPr>
          <w:rFonts w:eastAsia="Times New Roman"/>
          <w:i/>
          <w:iCs/>
          <w:color w:val="000000"/>
          <w:sz w:val="20"/>
          <w:szCs w:val="20"/>
        </w:rPr>
        <w:t>019 At-The-Market Offerin</w:t>
      </w:r>
      <w:r>
        <w:rPr>
          <w:rFonts w:eastAsia="Times New Roman"/>
          <w:i/>
          <w:iCs/>
          <w:color w:val="000000"/>
          <w:sz w:val="20"/>
          <w:szCs w:val="20"/>
        </w:rPr>
        <w:t>g</w:t>
      </w:r>
    </w:p>
    <w:p w14:paraId="1F1C0E1A" w14:textId="77777777" w:rsidR="00000000" w:rsidRDefault="00195E73">
      <w:pPr>
        <w:ind w:firstLine="450"/>
        <w:divId w:val="1117067526"/>
        <w:rPr>
          <w:rFonts w:eastAsia="Times New Roman"/>
        </w:rPr>
      </w:pPr>
      <w:r>
        <w:rPr>
          <w:rFonts w:eastAsia="Times New Roman"/>
          <w:color w:val="000000"/>
          <w:sz w:val="20"/>
          <w:szCs w:val="20"/>
        </w:rPr>
        <w:t>On May 2, 2019, Icahn Enterprises announced the commencement of its “at-the-market” offering pursuant to its Open Market Sale Agreement, pursuant to which Icahn Enterprises may sell its depositary units, from time to time, for up</w:t>
      </w:r>
      <w:r>
        <w:rPr>
          <w:rFonts w:eastAsia="Times New Roman"/>
          <w:color w:val="000000"/>
          <w:sz w:val="20"/>
          <w:szCs w:val="20"/>
        </w:rPr>
        <w:t xml:space="preserve"> to $400 million in aggregate sale proceeds. During the year ended December 31, 2019, we received gross proceeds of $54 million in connection with this offering</w:t>
      </w:r>
      <w:r>
        <w:rPr>
          <w:rFonts w:eastAsia="Times New Roman"/>
          <w:color w:val="000000"/>
          <w:sz w:val="20"/>
          <w:szCs w:val="20"/>
        </w:rPr>
        <w:t>.</w:t>
      </w:r>
    </w:p>
    <w:p w14:paraId="1255C268" w14:textId="77777777" w:rsidR="00000000" w:rsidRDefault="00195E73">
      <w:pPr>
        <w:divId w:val="235744509"/>
        <w:rPr>
          <w:rFonts w:eastAsia="Times New Roman"/>
        </w:rPr>
      </w:pPr>
      <w:r>
        <w:rPr>
          <w:rFonts w:eastAsia="Times New Roman"/>
          <w:i/>
          <w:iCs/>
          <w:color w:val="000000"/>
          <w:sz w:val="20"/>
          <w:szCs w:val="20"/>
        </w:rPr>
        <w:t>2017 Incentive Pla</w:t>
      </w:r>
      <w:r>
        <w:rPr>
          <w:rFonts w:eastAsia="Times New Roman"/>
          <w:i/>
          <w:iCs/>
          <w:color w:val="000000"/>
          <w:sz w:val="20"/>
          <w:szCs w:val="20"/>
        </w:rPr>
        <w:t>n</w:t>
      </w:r>
    </w:p>
    <w:p w14:paraId="7F0FC3C7" w14:textId="77777777" w:rsidR="00000000" w:rsidRDefault="00195E73">
      <w:pPr>
        <w:ind w:firstLine="450"/>
        <w:divId w:val="214004936"/>
        <w:rPr>
          <w:rFonts w:eastAsia="Times New Roman"/>
        </w:rPr>
      </w:pPr>
      <w:r>
        <w:rPr>
          <w:rFonts w:eastAsia="Times New Roman"/>
          <w:color w:val="000000"/>
          <w:sz w:val="20"/>
          <w:szCs w:val="20"/>
        </w:rPr>
        <w:t>During the years ended December 31, 2019, 2018 and 2017, Icahn Enterprises</w:t>
      </w:r>
      <w:r>
        <w:rPr>
          <w:rFonts w:eastAsia="Times New Roman"/>
          <w:color w:val="000000"/>
          <w:sz w:val="20"/>
          <w:szCs w:val="20"/>
        </w:rPr>
        <w:t xml:space="preserve"> distributed depositary units, net of payroll withholdings, with respect to certain restricted depositary units and deferred unit awards that vested during the respective periods in connection with the Icahn Enterprises L.P. 2017 Long Term Incentive Plan (</w:t>
      </w:r>
      <w:r>
        <w:rPr>
          <w:rFonts w:eastAsia="Times New Roman"/>
          <w:color w:val="000000"/>
          <w:sz w:val="20"/>
          <w:szCs w:val="20"/>
        </w:rPr>
        <w:t>the “2017 Incentive Plan”). The aggregate impact of the 2017 Incentive Plan is not material with respect to our consolidated financial statements, including the calculation of potentially dilutive units and diluted income per LP unit</w:t>
      </w:r>
      <w:r>
        <w:rPr>
          <w:rFonts w:eastAsia="Times New Roman"/>
          <w:color w:val="000000"/>
          <w:sz w:val="20"/>
          <w:szCs w:val="20"/>
        </w:rPr>
        <w:t>.</w:t>
      </w:r>
    </w:p>
    <w:p w14:paraId="1AD6ABBF" w14:textId="77777777" w:rsidR="00000000" w:rsidRDefault="00195E73">
      <w:pPr>
        <w:divId w:val="1362779789"/>
        <w:rPr>
          <w:rFonts w:eastAsia="Times New Roman"/>
        </w:rPr>
      </w:pPr>
      <w:r>
        <w:rPr>
          <w:rFonts w:eastAsia="Times New Roman"/>
          <w:i/>
          <w:iCs/>
          <w:color w:val="000000"/>
          <w:sz w:val="20"/>
          <w:szCs w:val="20"/>
        </w:rPr>
        <w:t>Rights Offerin</w:t>
      </w:r>
      <w:r>
        <w:rPr>
          <w:rFonts w:eastAsia="Times New Roman"/>
          <w:i/>
          <w:iCs/>
          <w:color w:val="000000"/>
          <w:sz w:val="20"/>
          <w:szCs w:val="20"/>
        </w:rPr>
        <w:t>g</w:t>
      </w:r>
    </w:p>
    <w:p w14:paraId="38877B01" w14:textId="77777777" w:rsidR="00000000" w:rsidRDefault="00195E73">
      <w:pPr>
        <w:ind w:firstLine="450"/>
        <w:divId w:val="1890989725"/>
        <w:rPr>
          <w:rFonts w:eastAsia="Times New Roman"/>
        </w:rPr>
      </w:pPr>
      <w:r>
        <w:rPr>
          <w:rFonts w:eastAsia="Times New Roman"/>
          <w:color w:val="000000"/>
          <w:sz w:val="20"/>
          <w:szCs w:val="20"/>
        </w:rPr>
        <w:t>In Ja</w:t>
      </w:r>
      <w:r>
        <w:rPr>
          <w:rFonts w:eastAsia="Times New Roman"/>
          <w:color w:val="000000"/>
          <w:sz w:val="20"/>
          <w:szCs w:val="20"/>
        </w:rPr>
        <w:t>nuary 2017, Icahn Enterprises commenced a rights offering entitling holders of the rights to acquire newly issued depositary units of Icahn Enterprises. In connection with this rights offering, we received aggregate proceeds of $600 million in 2017 from de</w:t>
      </w:r>
      <w:r>
        <w:rPr>
          <w:rFonts w:eastAsia="Times New Roman"/>
          <w:color w:val="000000"/>
          <w:sz w:val="20"/>
          <w:szCs w:val="20"/>
        </w:rPr>
        <w:t>positary unitholders and an additional $12 million from our general partner in order to maintain its aggregate 1.99% interest in us.</w:t>
      </w:r>
      <w:r>
        <w:rPr>
          <w:rFonts w:eastAsia="Times New Roman"/>
          <w:color w:val="000000"/>
          <w:sz w:val="20"/>
          <w:szCs w:val="20"/>
        </w:rPr>
        <w:t xml:space="preserve"> </w:t>
      </w:r>
    </w:p>
    <w:p w14:paraId="4086AD2E" w14:textId="77777777" w:rsidR="00000000" w:rsidRDefault="00195E73">
      <w:pPr>
        <w:divId w:val="930044266"/>
        <w:rPr>
          <w:rFonts w:eastAsia="Times New Roman"/>
        </w:rPr>
      </w:pPr>
    </w:p>
    <w:p w14:paraId="09AE930F" w14:textId="77777777" w:rsidR="00000000" w:rsidRDefault="00195E73">
      <w:pPr>
        <w:ind w:hanging="360"/>
        <w:divId w:val="1356737767"/>
        <w:rPr>
          <w:rFonts w:eastAsia="Times New Roman"/>
        </w:rPr>
      </w:pPr>
      <w:r>
        <w:rPr>
          <w:rFonts w:eastAsia="Times New Roman"/>
          <w:b/>
          <w:bCs/>
          <w:color w:val="000000"/>
          <w:sz w:val="20"/>
          <w:szCs w:val="20"/>
        </w:rPr>
        <w:t>13. Segment and Geographic Reporting</w:t>
      </w:r>
      <w:r>
        <w:rPr>
          <w:rFonts w:eastAsia="Times New Roman"/>
          <w:b/>
          <w:bCs/>
          <w:color w:val="000000"/>
          <w:sz w:val="20"/>
          <w:szCs w:val="20"/>
        </w:rPr>
        <w:t>.</w:t>
      </w:r>
    </w:p>
    <w:p w14:paraId="094C55A8" w14:textId="77777777" w:rsidR="00000000" w:rsidRDefault="00195E73">
      <w:pPr>
        <w:ind w:firstLine="405"/>
        <w:divId w:val="705443391"/>
        <w:rPr>
          <w:rFonts w:eastAsia="Times New Roman"/>
        </w:rPr>
      </w:pPr>
      <w:r>
        <w:rPr>
          <w:rFonts w:eastAsia="Times New Roman"/>
          <w:color w:val="000000"/>
          <w:sz w:val="20"/>
          <w:szCs w:val="20"/>
        </w:rPr>
        <w:t>We report segment information based on the various industries in which our busines</w:t>
      </w:r>
      <w:r>
        <w:rPr>
          <w:rFonts w:eastAsia="Times New Roman"/>
          <w:color w:val="000000"/>
          <w:sz w:val="20"/>
          <w:szCs w:val="20"/>
        </w:rPr>
        <w:t>ses operate and how we manage those businesses in accordance with our investment strategies, which may include: identifying and acquiring undervalued assets and businesses, often through the purchase of distressed securities; increasing value through manag</w:t>
      </w:r>
      <w:r>
        <w:rPr>
          <w:rFonts w:eastAsia="Times New Roman"/>
          <w:color w:val="000000"/>
          <w:sz w:val="20"/>
          <w:szCs w:val="20"/>
        </w:rPr>
        <w:t>ement, financial or other operational changes; and managing complex legal, regulatory or financial issues, which may include bankruptcy or insolvency, environmental, zoning, permitting and licensing issues. Therefore, although many of our businesses are op</w:t>
      </w:r>
      <w:r>
        <w:rPr>
          <w:rFonts w:eastAsia="Times New Roman"/>
          <w:color w:val="000000"/>
          <w:sz w:val="20"/>
          <w:szCs w:val="20"/>
        </w:rPr>
        <w:t>erated under separate local management, certain of our businesses are grouped together when they operate within a similar industry, comprising</w:t>
      </w:r>
      <w:r>
        <w:rPr>
          <w:rFonts w:eastAsia="Times New Roman"/>
          <w:color w:val="000000"/>
          <w:sz w:val="20"/>
          <w:szCs w:val="20"/>
        </w:rPr>
        <w:t xml:space="preserve"> </w:t>
      </w:r>
    </w:p>
    <w:p w14:paraId="507ED224" w14:textId="77777777" w:rsidR="00000000" w:rsidRDefault="00195E73">
      <w:pPr>
        <w:jc w:val="center"/>
        <w:divId w:val="811867523"/>
        <w:rPr>
          <w:rFonts w:eastAsia="Times New Roman"/>
        </w:rPr>
      </w:pPr>
      <w:r>
        <w:rPr>
          <w:rFonts w:eastAsia="Times New Roman"/>
          <w:color w:val="000000"/>
          <w:sz w:val="20"/>
          <w:szCs w:val="20"/>
        </w:rPr>
        <w:t>9</w:t>
      </w:r>
      <w:r>
        <w:rPr>
          <w:rFonts w:eastAsia="Times New Roman"/>
          <w:color w:val="000000"/>
          <w:sz w:val="20"/>
          <w:szCs w:val="20"/>
        </w:rPr>
        <w:t>8</w:t>
      </w:r>
    </w:p>
    <w:p w14:paraId="2C508D31" w14:textId="77777777" w:rsidR="00000000" w:rsidRDefault="00195E73">
      <w:pPr>
        <w:rPr>
          <w:rFonts w:eastAsia="Times New Roman"/>
        </w:rPr>
      </w:pPr>
      <w:r>
        <w:rPr>
          <w:rFonts w:eastAsia="Times New Roman"/>
        </w:rPr>
        <w:pict w14:anchorId="68337964">
          <v:rect id="_x0000_i1124" style="width:0;height:1.5pt" o:hralign="center" o:hrstd="t" o:hr="t" fillcolor="#a0a0a0" stroked="f"/>
        </w:pict>
      </w:r>
    </w:p>
    <w:p w14:paraId="294549AC" w14:textId="77777777" w:rsidR="00000000" w:rsidRDefault="00195E73">
      <w:pPr>
        <w:jc w:val="center"/>
        <w:divId w:val="784466670"/>
        <w:rPr>
          <w:rFonts w:eastAsia="Times New Roman"/>
        </w:rPr>
      </w:pPr>
    </w:p>
    <w:p w14:paraId="62282027" w14:textId="77777777" w:rsidR="00000000" w:rsidRDefault="00195E73">
      <w:pPr>
        <w:jc w:val="center"/>
        <w:divId w:val="784466670"/>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38665BC0" w14:textId="77777777" w:rsidR="00000000" w:rsidRDefault="00195E73">
      <w:pPr>
        <w:jc w:val="center"/>
        <w:divId w:val="784466670"/>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49DA9796" w14:textId="77777777" w:rsidR="00000000" w:rsidRDefault="00195E73">
      <w:pPr>
        <w:jc w:val="center"/>
        <w:divId w:val="784466670"/>
        <w:rPr>
          <w:rFonts w:eastAsia="Times New Roman"/>
        </w:rPr>
      </w:pPr>
    </w:p>
    <w:p w14:paraId="61F6303B" w14:textId="77777777" w:rsidR="00000000" w:rsidRDefault="00195E73">
      <w:pPr>
        <w:jc w:val="center"/>
        <w:divId w:val="784466670"/>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3CA52000" w14:textId="77777777" w:rsidR="00000000" w:rsidRDefault="00195E73">
      <w:pPr>
        <w:divId w:val="1595087431"/>
        <w:rPr>
          <w:rFonts w:eastAsia="Times New Roman"/>
        </w:rPr>
      </w:pPr>
      <w:r>
        <w:rPr>
          <w:rFonts w:eastAsia="Times New Roman"/>
          <w:color w:val="000000"/>
          <w:sz w:val="20"/>
          <w:szCs w:val="20"/>
        </w:rPr>
        <w:t>similarities in products, customers, production processes and regulatory environments, and when such businesses, when considered together, may be managed in accordance with one or more investment strategies specific to those businesses. Among other measure</w:t>
      </w:r>
      <w:r>
        <w:rPr>
          <w:rFonts w:eastAsia="Times New Roman"/>
          <w:color w:val="000000"/>
          <w:sz w:val="20"/>
          <w:szCs w:val="20"/>
        </w:rPr>
        <w:t>s, we assess and measure segment operating results based on net income from continuing operations attributable to Icahn Enterprises and Icahn Enterprises Holdings. Certain terms of financings for certain of our businesses impose restrictions on the busines</w:t>
      </w:r>
      <w:r>
        <w:rPr>
          <w:rFonts w:eastAsia="Times New Roman"/>
          <w:color w:val="000000"/>
          <w:sz w:val="20"/>
          <w:szCs w:val="20"/>
        </w:rPr>
        <w:t>s’ ability to transfer funds to us, including restrictions on dividends, distributions, loans and other transactions.</w:t>
      </w:r>
      <w:r>
        <w:rPr>
          <w:rFonts w:eastAsia="Times New Roman"/>
          <w:color w:val="000000"/>
          <w:sz w:val="20"/>
          <w:szCs w:val="20"/>
        </w:rPr>
        <w:t xml:space="preserve"> </w:t>
      </w:r>
    </w:p>
    <w:p w14:paraId="25C96E4D" w14:textId="77777777" w:rsidR="00000000" w:rsidRDefault="00195E73">
      <w:pPr>
        <w:divId w:val="780027470"/>
        <w:rPr>
          <w:rFonts w:eastAsia="Times New Roman"/>
        </w:rPr>
      </w:pPr>
      <w:r>
        <w:rPr>
          <w:rFonts w:eastAsia="Times New Roman"/>
          <w:b/>
          <w:bCs/>
          <w:color w:val="000000"/>
          <w:sz w:val="20"/>
          <w:szCs w:val="20"/>
        </w:rPr>
        <w:t>Condensed Statements of Operation</w:t>
      </w:r>
      <w:r>
        <w:rPr>
          <w:rFonts w:eastAsia="Times New Roman"/>
          <w:b/>
          <w:bCs/>
          <w:color w:val="000000"/>
          <w:sz w:val="20"/>
          <w:szCs w:val="20"/>
        </w:rPr>
        <w:t>s</w:t>
      </w:r>
    </w:p>
    <w:p w14:paraId="3B9952B2" w14:textId="77777777" w:rsidR="00000000" w:rsidRDefault="00195E73">
      <w:pPr>
        <w:ind w:firstLine="405"/>
        <w:divId w:val="1226990387"/>
        <w:rPr>
          <w:rFonts w:eastAsia="Times New Roman"/>
        </w:rPr>
      </w:pPr>
      <w:r>
        <w:rPr>
          <w:rFonts w:eastAsia="Times New Roman"/>
          <w:color w:val="000000"/>
          <w:sz w:val="20"/>
          <w:szCs w:val="20"/>
        </w:rPr>
        <w:t xml:space="preserve">Icahn Enterprises’ condensed statements of operations by reporting segment are presented below. Icahn </w:t>
      </w:r>
      <w:r>
        <w:rPr>
          <w:rFonts w:eastAsia="Times New Roman"/>
          <w:color w:val="000000"/>
          <w:sz w:val="20"/>
          <w:szCs w:val="20"/>
        </w:rPr>
        <w:t>Enterprises Holdings’ condensed statements of operations are substantially the same, with immaterial differences relating to our Holding Company’s interest expense</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476"/>
        <w:gridCol w:w="39"/>
        <w:gridCol w:w="96"/>
        <w:gridCol w:w="443"/>
        <w:gridCol w:w="85"/>
        <w:gridCol w:w="36"/>
        <w:gridCol w:w="36"/>
        <w:gridCol w:w="36"/>
        <w:gridCol w:w="95"/>
        <w:gridCol w:w="315"/>
        <w:gridCol w:w="65"/>
        <w:gridCol w:w="36"/>
        <w:gridCol w:w="36"/>
        <w:gridCol w:w="36"/>
        <w:gridCol w:w="96"/>
        <w:gridCol w:w="467"/>
        <w:gridCol w:w="86"/>
        <w:gridCol w:w="36"/>
        <w:gridCol w:w="36"/>
        <w:gridCol w:w="36"/>
        <w:gridCol w:w="96"/>
        <w:gridCol w:w="407"/>
        <w:gridCol w:w="83"/>
        <w:gridCol w:w="36"/>
        <w:gridCol w:w="36"/>
        <w:gridCol w:w="36"/>
        <w:gridCol w:w="95"/>
        <w:gridCol w:w="225"/>
        <w:gridCol w:w="65"/>
        <w:gridCol w:w="36"/>
        <w:gridCol w:w="36"/>
        <w:gridCol w:w="36"/>
        <w:gridCol w:w="96"/>
        <w:gridCol w:w="201"/>
        <w:gridCol w:w="79"/>
        <w:gridCol w:w="36"/>
        <w:gridCol w:w="36"/>
        <w:gridCol w:w="36"/>
        <w:gridCol w:w="96"/>
        <w:gridCol w:w="290"/>
        <w:gridCol w:w="78"/>
        <w:gridCol w:w="36"/>
        <w:gridCol w:w="36"/>
        <w:gridCol w:w="36"/>
        <w:gridCol w:w="96"/>
        <w:gridCol w:w="257"/>
        <w:gridCol w:w="78"/>
        <w:gridCol w:w="36"/>
        <w:gridCol w:w="36"/>
        <w:gridCol w:w="36"/>
        <w:gridCol w:w="96"/>
        <w:gridCol w:w="273"/>
        <w:gridCol w:w="73"/>
        <w:gridCol w:w="36"/>
        <w:gridCol w:w="36"/>
        <w:gridCol w:w="36"/>
        <w:gridCol w:w="96"/>
        <w:gridCol w:w="390"/>
        <w:gridCol w:w="75"/>
        <w:gridCol w:w="36"/>
        <w:gridCol w:w="36"/>
        <w:gridCol w:w="714"/>
      </w:tblGrid>
      <w:tr w:rsidR="00000000" w14:paraId="4DEE7940" w14:textId="77777777">
        <w:trPr>
          <w:divId w:val="1734279977"/>
          <w:jc w:val="center"/>
        </w:trPr>
        <w:tc>
          <w:tcPr>
            <w:tcW w:w="50" w:type="pct"/>
            <w:vAlign w:val="center"/>
            <w:hideMark/>
          </w:tcPr>
          <w:p w14:paraId="04063E86" w14:textId="77777777" w:rsidR="00000000" w:rsidRDefault="00195E73">
            <w:pPr>
              <w:ind w:firstLine="405"/>
              <w:rPr>
                <w:rFonts w:eastAsia="Times New Roman"/>
              </w:rPr>
            </w:pPr>
          </w:p>
        </w:tc>
        <w:tc>
          <w:tcPr>
            <w:tcW w:w="1076" w:type="pct"/>
            <w:vAlign w:val="center"/>
            <w:hideMark/>
          </w:tcPr>
          <w:p w14:paraId="7E995592" w14:textId="77777777" w:rsidR="00000000" w:rsidRDefault="00195E73">
            <w:pPr>
              <w:rPr>
                <w:rFonts w:eastAsia="Times New Roman"/>
                <w:sz w:val="20"/>
                <w:szCs w:val="20"/>
              </w:rPr>
            </w:pPr>
          </w:p>
        </w:tc>
        <w:tc>
          <w:tcPr>
            <w:tcW w:w="50" w:type="pct"/>
            <w:vAlign w:val="center"/>
            <w:hideMark/>
          </w:tcPr>
          <w:p w14:paraId="5B74B966" w14:textId="77777777" w:rsidR="00000000" w:rsidRDefault="00195E73">
            <w:pPr>
              <w:rPr>
                <w:rFonts w:eastAsia="Times New Roman"/>
                <w:sz w:val="20"/>
                <w:szCs w:val="20"/>
              </w:rPr>
            </w:pPr>
          </w:p>
        </w:tc>
        <w:tc>
          <w:tcPr>
            <w:tcW w:w="50" w:type="pct"/>
            <w:vAlign w:val="center"/>
            <w:hideMark/>
          </w:tcPr>
          <w:p w14:paraId="27F96588" w14:textId="77777777" w:rsidR="00000000" w:rsidRDefault="00195E73">
            <w:pPr>
              <w:rPr>
                <w:rFonts w:eastAsia="Times New Roman"/>
                <w:sz w:val="20"/>
                <w:szCs w:val="20"/>
              </w:rPr>
            </w:pPr>
          </w:p>
        </w:tc>
        <w:tc>
          <w:tcPr>
            <w:tcW w:w="258" w:type="pct"/>
            <w:vAlign w:val="center"/>
            <w:hideMark/>
          </w:tcPr>
          <w:p w14:paraId="25B8E654" w14:textId="77777777" w:rsidR="00000000" w:rsidRDefault="00195E73">
            <w:pPr>
              <w:rPr>
                <w:rFonts w:eastAsia="Times New Roman"/>
                <w:sz w:val="20"/>
                <w:szCs w:val="20"/>
              </w:rPr>
            </w:pPr>
          </w:p>
        </w:tc>
        <w:tc>
          <w:tcPr>
            <w:tcW w:w="50" w:type="pct"/>
            <w:vAlign w:val="center"/>
            <w:hideMark/>
          </w:tcPr>
          <w:p w14:paraId="4168E8C7" w14:textId="77777777" w:rsidR="00000000" w:rsidRDefault="00195E73">
            <w:pPr>
              <w:rPr>
                <w:rFonts w:eastAsia="Times New Roman"/>
                <w:sz w:val="20"/>
                <w:szCs w:val="20"/>
              </w:rPr>
            </w:pPr>
          </w:p>
        </w:tc>
        <w:tc>
          <w:tcPr>
            <w:tcW w:w="5" w:type="pct"/>
            <w:vAlign w:val="center"/>
            <w:hideMark/>
          </w:tcPr>
          <w:p w14:paraId="70B6DFF9" w14:textId="77777777" w:rsidR="00000000" w:rsidRDefault="00195E73">
            <w:pPr>
              <w:rPr>
                <w:rFonts w:eastAsia="Times New Roman"/>
                <w:sz w:val="20"/>
                <w:szCs w:val="20"/>
              </w:rPr>
            </w:pPr>
          </w:p>
        </w:tc>
        <w:tc>
          <w:tcPr>
            <w:tcW w:w="26" w:type="pct"/>
            <w:vAlign w:val="center"/>
            <w:hideMark/>
          </w:tcPr>
          <w:p w14:paraId="32BB50D0" w14:textId="77777777" w:rsidR="00000000" w:rsidRDefault="00195E73">
            <w:pPr>
              <w:rPr>
                <w:rFonts w:eastAsia="Times New Roman"/>
                <w:sz w:val="20"/>
                <w:szCs w:val="20"/>
              </w:rPr>
            </w:pPr>
          </w:p>
        </w:tc>
        <w:tc>
          <w:tcPr>
            <w:tcW w:w="5" w:type="pct"/>
            <w:vAlign w:val="center"/>
            <w:hideMark/>
          </w:tcPr>
          <w:p w14:paraId="5718110E" w14:textId="77777777" w:rsidR="00000000" w:rsidRDefault="00195E73">
            <w:pPr>
              <w:rPr>
                <w:rFonts w:eastAsia="Times New Roman"/>
                <w:sz w:val="20"/>
                <w:szCs w:val="20"/>
              </w:rPr>
            </w:pPr>
          </w:p>
        </w:tc>
        <w:tc>
          <w:tcPr>
            <w:tcW w:w="50" w:type="pct"/>
            <w:vAlign w:val="center"/>
            <w:hideMark/>
          </w:tcPr>
          <w:p w14:paraId="51532997" w14:textId="77777777" w:rsidR="00000000" w:rsidRDefault="00195E73">
            <w:pPr>
              <w:rPr>
                <w:rFonts w:eastAsia="Times New Roman"/>
                <w:sz w:val="20"/>
                <w:szCs w:val="20"/>
              </w:rPr>
            </w:pPr>
          </w:p>
        </w:tc>
        <w:tc>
          <w:tcPr>
            <w:tcW w:w="199" w:type="pct"/>
            <w:vAlign w:val="center"/>
            <w:hideMark/>
          </w:tcPr>
          <w:p w14:paraId="7E6F6815" w14:textId="77777777" w:rsidR="00000000" w:rsidRDefault="00195E73">
            <w:pPr>
              <w:rPr>
                <w:rFonts w:eastAsia="Times New Roman"/>
                <w:sz w:val="20"/>
                <w:szCs w:val="20"/>
              </w:rPr>
            </w:pPr>
          </w:p>
        </w:tc>
        <w:tc>
          <w:tcPr>
            <w:tcW w:w="50" w:type="pct"/>
            <w:vAlign w:val="center"/>
            <w:hideMark/>
          </w:tcPr>
          <w:p w14:paraId="12F8F2DB" w14:textId="77777777" w:rsidR="00000000" w:rsidRDefault="00195E73">
            <w:pPr>
              <w:rPr>
                <w:rFonts w:eastAsia="Times New Roman"/>
                <w:sz w:val="20"/>
                <w:szCs w:val="20"/>
              </w:rPr>
            </w:pPr>
          </w:p>
        </w:tc>
        <w:tc>
          <w:tcPr>
            <w:tcW w:w="5" w:type="pct"/>
            <w:vAlign w:val="center"/>
            <w:hideMark/>
          </w:tcPr>
          <w:p w14:paraId="73896D88" w14:textId="77777777" w:rsidR="00000000" w:rsidRDefault="00195E73">
            <w:pPr>
              <w:rPr>
                <w:rFonts w:eastAsia="Times New Roman"/>
                <w:sz w:val="20"/>
                <w:szCs w:val="20"/>
              </w:rPr>
            </w:pPr>
          </w:p>
        </w:tc>
        <w:tc>
          <w:tcPr>
            <w:tcW w:w="26" w:type="pct"/>
            <w:vAlign w:val="center"/>
            <w:hideMark/>
          </w:tcPr>
          <w:p w14:paraId="7A3C0086" w14:textId="77777777" w:rsidR="00000000" w:rsidRDefault="00195E73">
            <w:pPr>
              <w:rPr>
                <w:rFonts w:eastAsia="Times New Roman"/>
                <w:sz w:val="20"/>
                <w:szCs w:val="20"/>
              </w:rPr>
            </w:pPr>
          </w:p>
        </w:tc>
        <w:tc>
          <w:tcPr>
            <w:tcW w:w="5" w:type="pct"/>
            <w:vAlign w:val="center"/>
            <w:hideMark/>
          </w:tcPr>
          <w:p w14:paraId="6AED1A46" w14:textId="77777777" w:rsidR="00000000" w:rsidRDefault="00195E73">
            <w:pPr>
              <w:rPr>
                <w:rFonts w:eastAsia="Times New Roman"/>
                <w:sz w:val="20"/>
                <w:szCs w:val="20"/>
              </w:rPr>
            </w:pPr>
          </w:p>
        </w:tc>
        <w:tc>
          <w:tcPr>
            <w:tcW w:w="50" w:type="pct"/>
            <w:vAlign w:val="center"/>
            <w:hideMark/>
          </w:tcPr>
          <w:p w14:paraId="2515EA8A" w14:textId="77777777" w:rsidR="00000000" w:rsidRDefault="00195E73">
            <w:pPr>
              <w:rPr>
                <w:rFonts w:eastAsia="Times New Roman"/>
                <w:sz w:val="20"/>
                <w:szCs w:val="20"/>
              </w:rPr>
            </w:pPr>
          </w:p>
        </w:tc>
        <w:tc>
          <w:tcPr>
            <w:tcW w:w="272" w:type="pct"/>
            <w:vAlign w:val="center"/>
            <w:hideMark/>
          </w:tcPr>
          <w:p w14:paraId="54D37464" w14:textId="77777777" w:rsidR="00000000" w:rsidRDefault="00195E73">
            <w:pPr>
              <w:rPr>
                <w:rFonts w:eastAsia="Times New Roman"/>
                <w:sz w:val="20"/>
                <w:szCs w:val="20"/>
              </w:rPr>
            </w:pPr>
          </w:p>
        </w:tc>
        <w:tc>
          <w:tcPr>
            <w:tcW w:w="50" w:type="pct"/>
            <w:vAlign w:val="center"/>
            <w:hideMark/>
          </w:tcPr>
          <w:p w14:paraId="4F250C60" w14:textId="77777777" w:rsidR="00000000" w:rsidRDefault="00195E73">
            <w:pPr>
              <w:rPr>
                <w:rFonts w:eastAsia="Times New Roman"/>
                <w:sz w:val="20"/>
                <w:szCs w:val="20"/>
              </w:rPr>
            </w:pPr>
          </w:p>
        </w:tc>
        <w:tc>
          <w:tcPr>
            <w:tcW w:w="5" w:type="pct"/>
            <w:vAlign w:val="center"/>
            <w:hideMark/>
          </w:tcPr>
          <w:p w14:paraId="5B5895DE" w14:textId="77777777" w:rsidR="00000000" w:rsidRDefault="00195E73">
            <w:pPr>
              <w:rPr>
                <w:rFonts w:eastAsia="Times New Roman"/>
                <w:sz w:val="20"/>
                <w:szCs w:val="20"/>
              </w:rPr>
            </w:pPr>
          </w:p>
        </w:tc>
        <w:tc>
          <w:tcPr>
            <w:tcW w:w="26" w:type="pct"/>
            <w:vAlign w:val="center"/>
            <w:hideMark/>
          </w:tcPr>
          <w:p w14:paraId="707A3B10" w14:textId="77777777" w:rsidR="00000000" w:rsidRDefault="00195E73">
            <w:pPr>
              <w:rPr>
                <w:rFonts w:eastAsia="Times New Roman"/>
                <w:sz w:val="20"/>
                <w:szCs w:val="20"/>
              </w:rPr>
            </w:pPr>
          </w:p>
        </w:tc>
        <w:tc>
          <w:tcPr>
            <w:tcW w:w="5" w:type="pct"/>
            <w:vAlign w:val="center"/>
            <w:hideMark/>
          </w:tcPr>
          <w:p w14:paraId="1C38D7B7" w14:textId="77777777" w:rsidR="00000000" w:rsidRDefault="00195E73">
            <w:pPr>
              <w:rPr>
                <w:rFonts w:eastAsia="Times New Roman"/>
                <w:sz w:val="20"/>
                <w:szCs w:val="20"/>
              </w:rPr>
            </w:pPr>
          </w:p>
        </w:tc>
        <w:tc>
          <w:tcPr>
            <w:tcW w:w="50" w:type="pct"/>
            <w:vAlign w:val="center"/>
            <w:hideMark/>
          </w:tcPr>
          <w:p w14:paraId="4BB8478B" w14:textId="77777777" w:rsidR="00000000" w:rsidRDefault="00195E73">
            <w:pPr>
              <w:rPr>
                <w:rFonts w:eastAsia="Times New Roman"/>
                <w:sz w:val="20"/>
                <w:szCs w:val="20"/>
              </w:rPr>
            </w:pPr>
          </w:p>
        </w:tc>
        <w:tc>
          <w:tcPr>
            <w:tcW w:w="243" w:type="pct"/>
            <w:vAlign w:val="center"/>
            <w:hideMark/>
          </w:tcPr>
          <w:p w14:paraId="779D84F2" w14:textId="77777777" w:rsidR="00000000" w:rsidRDefault="00195E73">
            <w:pPr>
              <w:rPr>
                <w:rFonts w:eastAsia="Times New Roman"/>
                <w:sz w:val="20"/>
                <w:szCs w:val="20"/>
              </w:rPr>
            </w:pPr>
          </w:p>
        </w:tc>
        <w:tc>
          <w:tcPr>
            <w:tcW w:w="50" w:type="pct"/>
            <w:vAlign w:val="center"/>
            <w:hideMark/>
          </w:tcPr>
          <w:p w14:paraId="710235DE" w14:textId="77777777" w:rsidR="00000000" w:rsidRDefault="00195E73">
            <w:pPr>
              <w:rPr>
                <w:rFonts w:eastAsia="Times New Roman"/>
                <w:sz w:val="20"/>
                <w:szCs w:val="20"/>
              </w:rPr>
            </w:pPr>
          </w:p>
        </w:tc>
        <w:tc>
          <w:tcPr>
            <w:tcW w:w="5" w:type="pct"/>
            <w:vAlign w:val="center"/>
            <w:hideMark/>
          </w:tcPr>
          <w:p w14:paraId="7CD96C86" w14:textId="77777777" w:rsidR="00000000" w:rsidRDefault="00195E73">
            <w:pPr>
              <w:rPr>
                <w:rFonts w:eastAsia="Times New Roman"/>
                <w:sz w:val="20"/>
                <w:szCs w:val="20"/>
              </w:rPr>
            </w:pPr>
          </w:p>
        </w:tc>
        <w:tc>
          <w:tcPr>
            <w:tcW w:w="26" w:type="pct"/>
            <w:vAlign w:val="center"/>
            <w:hideMark/>
          </w:tcPr>
          <w:p w14:paraId="3C2539A8" w14:textId="77777777" w:rsidR="00000000" w:rsidRDefault="00195E73">
            <w:pPr>
              <w:rPr>
                <w:rFonts w:eastAsia="Times New Roman"/>
                <w:sz w:val="20"/>
                <w:szCs w:val="20"/>
              </w:rPr>
            </w:pPr>
          </w:p>
        </w:tc>
        <w:tc>
          <w:tcPr>
            <w:tcW w:w="5" w:type="pct"/>
            <w:vAlign w:val="center"/>
            <w:hideMark/>
          </w:tcPr>
          <w:p w14:paraId="7B21A7F0" w14:textId="77777777" w:rsidR="00000000" w:rsidRDefault="00195E73">
            <w:pPr>
              <w:rPr>
                <w:rFonts w:eastAsia="Times New Roman"/>
                <w:sz w:val="20"/>
                <w:szCs w:val="20"/>
              </w:rPr>
            </w:pPr>
          </w:p>
        </w:tc>
        <w:tc>
          <w:tcPr>
            <w:tcW w:w="50" w:type="pct"/>
            <w:vAlign w:val="center"/>
            <w:hideMark/>
          </w:tcPr>
          <w:p w14:paraId="55348E15" w14:textId="77777777" w:rsidR="00000000" w:rsidRDefault="00195E73">
            <w:pPr>
              <w:rPr>
                <w:rFonts w:eastAsia="Times New Roman"/>
                <w:sz w:val="20"/>
                <w:szCs w:val="20"/>
              </w:rPr>
            </w:pPr>
          </w:p>
        </w:tc>
        <w:tc>
          <w:tcPr>
            <w:tcW w:w="155" w:type="pct"/>
            <w:vAlign w:val="center"/>
            <w:hideMark/>
          </w:tcPr>
          <w:p w14:paraId="5C3BAB0C" w14:textId="77777777" w:rsidR="00000000" w:rsidRDefault="00195E73">
            <w:pPr>
              <w:rPr>
                <w:rFonts w:eastAsia="Times New Roman"/>
                <w:sz w:val="20"/>
                <w:szCs w:val="20"/>
              </w:rPr>
            </w:pPr>
          </w:p>
        </w:tc>
        <w:tc>
          <w:tcPr>
            <w:tcW w:w="50" w:type="pct"/>
            <w:vAlign w:val="center"/>
            <w:hideMark/>
          </w:tcPr>
          <w:p w14:paraId="781DC904" w14:textId="77777777" w:rsidR="00000000" w:rsidRDefault="00195E73">
            <w:pPr>
              <w:rPr>
                <w:rFonts w:eastAsia="Times New Roman"/>
                <w:sz w:val="20"/>
                <w:szCs w:val="20"/>
              </w:rPr>
            </w:pPr>
          </w:p>
        </w:tc>
        <w:tc>
          <w:tcPr>
            <w:tcW w:w="5" w:type="pct"/>
            <w:vAlign w:val="center"/>
            <w:hideMark/>
          </w:tcPr>
          <w:p w14:paraId="29B5A09B" w14:textId="77777777" w:rsidR="00000000" w:rsidRDefault="00195E73">
            <w:pPr>
              <w:rPr>
                <w:rFonts w:eastAsia="Times New Roman"/>
                <w:sz w:val="20"/>
                <w:szCs w:val="20"/>
              </w:rPr>
            </w:pPr>
          </w:p>
        </w:tc>
        <w:tc>
          <w:tcPr>
            <w:tcW w:w="26" w:type="pct"/>
            <w:vAlign w:val="center"/>
            <w:hideMark/>
          </w:tcPr>
          <w:p w14:paraId="37DF216B" w14:textId="77777777" w:rsidR="00000000" w:rsidRDefault="00195E73">
            <w:pPr>
              <w:rPr>
                <w:rFonts w:eastAsia="Times New Roman"/>
                <w:sz w:val="20"/>
                <w:szCs w:val="20"/>
              </w:rPr>
            </w:pPr>
          </w:p>
        </w:tc>
        <w:tc>
          <w:tcPr>
            <w:tcW w:w="5" w:type="pct"/>
            <w:vAlign w:val="center"/>
            <w:hideMark/>
          </w:tcPr>
          <w:p w14:paraId="0611C7D0" w14:textId="77777777" w:rsidR="00000000" w:rsidRDefault="00195E73">
            <w:pPr>
              <w:rPr>
                <w:rFonts w:eastAsia="Times New Roman"/>
                <w:sz w:val="20"/>
                <w:szCs w:val="20"/>
              </w:rPr>
            </w:pPr>
          </w:p>
        </w:tc>
        <w:tc>
          <w:tcPr>
            <w:tcW w:w="50" w:type="pct"/>
            <w:vAlign w:val="center"/>
            <w:hideMark/>
          </w:tcPr>
          <w:p w14:paraId="732B240B" w14:textId="77777777" w:rsidR="00000000" w:rsidRDefault="00195E73">
            <w:pPr>
              <w:rPr>
                <w:rFonts w:eastAsia="Times New Roman"/>
                <w:sz w:val="20"/>
                <w:szCs w:val="20"/>
              </w:rPr>
            </w:pPr>
          </w:p>
        </w:tc>
        <w:tc>
          <w:tcPr>
            <w:tcW w:w="126" w:type="pct"/>
            <w:vAlign w:val="center"/>
            <w:hideMark/>
          </w:tcPr>
          <w:p w14:paraId="59129DA6" w14:textId="77777777" w:rsidR="00000000" w:rsidRDefault="00195E73">
            <w:pPr>
              <w:rPr>
                <w:rFonts w:eastAsia="Times New Roman"/>
                <w:sz w:val="20"/>
                <w:szCs w:val="20"/>
              </w:rPr>
            </w:pPr>
          </w:p>
        </w:tc>
        <w:tc>
          <w:tcPr>
            <w:tcW w:w="50" w:type="pct"/>
            <w:vAlign w:val="center"/>
            <w:hideMark/>
          </w:tcPr>
          <w:p w14:paraId="3A36D99F" w14:textId="77777777" w:rsidR="00000000" w:rsidRDefault="00195E73">
            <w:pPr>
              <w:rPr>
                <w:rFonts w:eastAsia="Times New Roman"/>
                <w:sz w:val="20"/>
                <w:szCs w:val="20"/>
              </w:rPr>
            </w:pPr>
          </w:p>
        </w:tc>
        <w:tc>
          <w:tcPr>
            <w:tcW w:w="5" w:type="pct"/>
            <w:vAlign w:val="center"/>
            <w:hideMark/>
          </w:tcPr>
          <w:p w14:paraId="65478D50" w14:textId="77777777" w:rsidR="00000000" w:rsidRDefault="00195E73">
            <w:pPr>
              <w:rPr>
                <w:rFonts w:eastAsia="Times New Roman"/>
                <w:sz w:val="20"/>
                <w:szCs w:val="20"/>
              </w:rPr>
            </w:pPr>
          </w:p>
        </w:tc>
        <w:tc>
          <w:tcPr>
            <w:tcW w:w="26" w:type="pct"/>
            <w:vAlign w:val="center"/>
            <w:hideMark/>
          </w:tcPr>
          <w:p w14:paraId="05052D21" w14:textId="77777777" w:rsidR="00000000" w:rsidRDefault="00195E73">
            <w:pPr>
              <w:rPr>
                <w:rFonts w:eastAsia="Times New Roman"/>
                <w:sz w:val="20"/>
                <w:szCs w:val="20"/>
              </w:rPr>
            </w:pPr>
          </w:p>
        </w:tc>
        <w:tc>
          <w:tcPr>
            <w:tcW w:w="5" w:type="pct"/>
            <w:vAlign w:val="center"/>
            <w:hideMark/>
          </w:tcPr>
          <w:p w14:paraId="32A0F027" w14:textId="77777777" w:rsidR="00000000" w:rsidRDefault="00195E73">
            <w:pPr>
              <w:rPr>
                <w:rFonts w:eastAsia="Times New Roman"/>
                <w:sz w:val="20"/>
                <w:szCs w:val="20"/>
              </w:rPr>
            </w:pPr>
          </w:p>
        </w:tc>
        <w:tc>
          <w:tcPr>
            <w:tcW w:w="50" w:type="pct"/>
            <w:vAlign w:val="center"/>
            <w:hideMark/>
          </w:tcPr>
          <w:p w14:paraId="6329E59A" w14:textId="77777777" w:rsidR="00000000" w:rsidRDefault="00195E73">
            <w:pPr>
              <w:rPr>
                <w:rFonts w:eastAsia="Times New Roman"/>
                <w:sz w:val="20"/>
                <w:szCs w:val="20"/>
              </w:rPr>
            </w:pPr>
          </w:p>
        </w:tc>
        <w:tc>
          <w:tcPr>
            <w:tcW w:w="185" w:type="pct"/>
            <w:vAlign w:val="center"/>
            <w:hideMark/>
          </w:tcPr>
          <w:p w14:paraId="595A3231" w14:textId="77777777" w:rsidR="00000000" w:rsidRDefault="00195E73">
            <w:pPr>
              <w:rPr>
                <w:rFonts w:eastAsia="Times New Roman"/>
                <w:sz w:val="20"/>
                <w:szCs w:val="20"/>
              </w:rPr>
            </w:pPr>
          </w:p>
        </w:tc>
        <w:tc>
          <w:tcPr>
            <w:tcW w:w="50" w:type="pct"/>
            <w:vAlign w:val="center"/>
            <w:hideMark/>
          </w:tcPr>
          <w:p w14:paraId="74445531" w14:textId="77777777" w:rsidR="00000000" w:rsidRDefault="00195E73">
            <w:pPr>
              <w:rPr>
                <w:rFonts w:eastAsia="Times New Roman"/>
                <w:sz w:val="20"/>
                <w:szCs w:val="20"/>
              </w:rPr>
            </w:pPr>
          </w:p>
        </w:tc>
        <w:tc>
          <w:tcPr>
            <w:tcW w:w="5" w:type="pct"/>
            <w:vAlign w:val="center"/>
            <w:hideMark/>
          </w:tcPr>
          <w:p w14:paraId="7C853F5E" w14:textId="77777777" w:rsidR="00000000" w:rsidRDefault="00195E73">
            <w:pPr>
              <w:rPr>
                <w:rFonts w:eastAsia="Times New Roman"/>
                <w:sz w:val="20"/>
                <w:szCs w:val="20"/>
              </w:rPr>
            </w:pPr>
          </w:p>
        </w:tc>
        <w:tc>
          <w:tcPr>
            <w:tcW w:w="26" w:type="pct"/>
            <w:vAlign w:val="center"/>
            <w:hideMark/>
          </w:tcPr>
          <w:p w14:paraId="1EDD020B" w14:textId="77777777" w:rsidR="00000000" w:rsidRDefault="00195E73">
            <w:pPr>
              <w:rPr>
                <w:rFonts w:eastAsia="Times New Roman"/>
                <w:sz w:val="20"/>
                <w:szCs w:val="20"/>
              </w:rPr>
            </w:pPr>
          </w:p>
        </w:tc>
        <w:tc>
          <w:tcPr>
            <w:tcW w:w="5" w:type="pct"/>
            <w:vAlign w:val="center"/>
            <w:hideMark/>
          </w:tcPr>
          <w:p w14:paraId="1FA43471" w14:textId="77777777" w:rsidR="00000000" w:rsidRDefault="00195E73">
            <w:pPr>
              <w:rPr>
                <w:rFonts w:eastAsia="Times New Roman"/>
                <w:sz w:val="20"/>
                <w:szCs w:val="20"/>
              </w:rPr>
            </w:pPr>
          </w:p>
        </w:tc>
        <w:tc>
          <w:tcPr>
            <w:tcW w:w="50" w:type="pct"/>
            <w:vAlign w:val="center"/>
            <w:hideMark/>
          </w:tcPr>
          <w:p w14:paraId="797CA1B9" w14:textId="77777777" w:rsidR="00000000" w:rsidRDefault="00195E73">
            <w:pPr>
              <w:rPr>
                <w:rFonts w:eastAsia="Times New Roman"/>
                <w:sz w:val="20"/>
                <w:szCs w:val="20"/>
              </w:rPr>
            </w:pPr>
          </w:p>
        </w:tc>
        <w:tc>
          <w:tcPr>
            <w:tcW w:w="163" w:type="pct"/>
            <w:vAlign w:val="center"/>
            <w:hideMark/>
          </w:tcPr>
          <w:p w14:paraId="3D552BC5" w14:textId="77777777" w:rsidR="00000000" w:rsidRDefault="00195E73">
            <w:pPr>
              <w:rPr>
                <w:rFonts w:eastAsia="Times New Roman"/>
                <w:sz w:val="20"/>
                <w:szCs w:val="20"/>
              </w:rPr>
            </w:pPr>
          </w:p>
        </w:tc>
        <w:tc>
          <w:tcPr>
            <w:tcW w:w="50" w:type="pct"/>
            <w:vAlign w:val="center"/>
            <w:hideMark/>
          </w:tcPr>
          <w:p w14:paraId="077CFE42" w14:textId="77777777" w:rsidR="00000000" w:rsidRDefault="00195E73">
            <w:pPr>
              <w:rPr>
                <w:rFonts w:eastAsia="Times New Roman"/>
                <w:sz w:val="20"/>
                <w:szCs w:val="20"/>
              </w:rPr>
            </w:pPr>
          </w:p>
        </w:tc>
        <w:tc>
          <w:tcPr>
            <w:tcW w:w="5" w:type="pct"/>
            <w:vAlign w:val="center"/>
            <w:hideMark/>
          </w:tcPr>
          <w:p w14:paraId="6132EDB6" w14:textId="77777777" w:rsidR="00000000" w:rsidRDefault="00195E73">
            <w:pPr>
              <w:rPr>
                <w:rFonts w:eastAsia="Times New Roman"/>
                <w:sz w:val="20"/>
                <w:szCs w:val="20"/>
              </w:rPr>
            </w:pPr>
          </w:p>
        </w:tc>
        <w:tc>
          <w:tcPr>
            <w:tcW w:w="26" w:type="pct"/>
            <w:vAlign w:val="center"/>
            <w:hideMark/>
          </w:tcPr>
          <w:p w14:paraId="79D640BF" w14:textId="77777777" w:rsidR="00000000" w:rsidRDefault="00195E73">
            <w:pPr>
              <w:rPr>
                <w:rFonts w:eastAsia="Times New Roman"/>
                <w:sz w:val="20"/>
                <w:szCs w:val="20"/>
              </w:rPr>
            </w:pPr>
          </w:p>
        </w:tc>
        <w:tc>
          <w:tcPr>
            <w:tcW w:w="5" w:type="pct"/>
            <w:vAlign w:val="center"/>
            <w:hideMark/>
          </w:tcPr>
          <w:p w14:paraId="2B7ED33A" w14:textId="77777777" w:rsidR="00000000" w:rsidRDefault="00195E73">
            <w:pPr>
              <w:rPr>
                <w:rFonts w:eastAsia="Times New Roman"/>
                <w:sz w:val="20"/>
                <w:szCs w:val="20"/>
              </w:rPr>
            </w:pPr>
          </w:p>
        </w:tc>
        <w:tc>
          <w:tcPr>
            <w:tcW w:w="50" w:type="pct"/>
            <w:vAlign w:val="center"/>
            <w:hideMark/>
          </w:tcPr>
          <w:p w14:paraId="3B7A2B04" w14:textId="77777777" w:rsidR="00000000" w:rsidRDefault="00195E73">
            <w:pPr>
              <w:rPr>
                <w:rFonts w:eastAsia="Times New Roman"/>
                <w:sz w:val="20"/>
                <w:szCs w:val="20"/>
              </w:rPr>
            </w:pPr>
          </w:p>
        </w:tc>
        <w:tc>
          <w:tcPr>
            <w:tcW w:w="185" w:type="pct"/>
            <w:vAlign w:val="center"/>
            <w:hideMark/>
          </w:tcPr>
          <w:p w14:paraId="58D11537" w14:textId="77777777" w:rsidR="00000000" w:rsidRDefault="00195E73">
            <w:pPr>
              <w:rPr>
                <w:rFonts w:eastAsia="Times New Roman"/>
                <w:sz w:val="20"/>
                <w:szCs w:val="20"/>
              </w:rPr>
            </w:pPr>
          </w:p>
        </w:tc>
        <w:tc>
          <w:tcPr>
            <w:tcW w:w="50" w:type="pct"/>
            <w:vAlign w:val="center"/>
            <w:hideMark/>
          </w:tcPr>
          <w:p w14:paraId="6827B3DF" w14:textId="77777777" w:rsidR="00000000" w:rsidRDefault="00195E73">
            <w:pPr>
              <w:rPr>
                <w:rFonts w:eastAsia="Times New Roman"/>
                <w:sz w:val="20"/>
                <w:szCs w:val="20"/>
              </w:rPr>
            </w:pPr>
          </w:p>
        </w:tc>
        <w:tc>
          <w:tcPr>
            <w:tcW w:w="5" w:type="pct"/>
            <w:vAlign w:val="center"/>
            <w:hideMark/>
          </w:tcPr>
          <w:p w14:paraId="562C6A7F" w14:textId="77777777" w:rsidR="00000000" w:rsidRDefault="00195E73">
            <w:pPr>
              <w:rPr>
                <w:rFonts w:eastAsia="Times New Roman"/>
                <w:sz w:val="20"/>
                <w:szCs w:val="20"/>
              </w:rPr>
            </w:pPr>
          </w:p>
        </w:tc>
        <w:tc>
          <w:tcPr>
            <w:tcW w:w="26" w:type="pct"/>
            <w:vAlign w:val="center"/>
            <w:hideMark/>
          </w:tcPr>
          <w:p w14:paraId="00FE66FA" w14:textId="77777777" w:rsidR="00000000" w:rsidRDefault="00195E73">
            <w:pPr>
              <w:rPr>
                <w:rFonts w:eastAsia="Times New Roman"/>
                <w:sz w:val="20"/>
                <w:szCs w:val="20"/>
              </w:rPr>
            </w:pPr>
          </w:p>
        </w:tc>
        <w:tc>
          <w:tcPr>
            <w:tcW w:w="5" w:type="pct"/>
            <w:vAlign w:val="center"/>
            <w:hideMark/>
          </w:tcPr>
          <w:p w14:paraId="3AC13A52" w14:textId="77777777" w:rsidR="00000000" w:rsidRDefault="00195E73">
            <w:pPr>
              <w:rPr>
                <w:rFonts w:eastAsia="Times New Roman"/>
                <w:sz w:val="20"/>
                <w:szCs w:val="20"/>
              </w:rPr>
            </w:pPr>
          </w:p>
        </w:tc>
        <w:tc>
          <w:tcPr>
            <w:tcW w:w="50" w:type="pct"/>
            <w:vAlign w:val="center"/>
            <w:hideMark/>
          </w:tcPr>
          <w:p w14:paraId="21E729CB" w14:textId="77777777" w:rsidR="00000000" w:rsidRDefault="00195E73">
            <w:pPr>
              <w:rPr>
                <w:rFonts w:eastAsia="Times New Roman"/>
                <w:sz w:val="20"/>
                <w:szCs w:val="20"/>
              </w:rPr>
            </w:pPr>
          </w:p>
        </w:tc>
        <w:tc>
          <w:tcPr>
            <w:tcW w:w="258" w:type="pct"/>
            <w:vAlign w:val="center"/>
            <w:hideMark/>
          </w:tcPr>
          <w:p w14:paraId="3C3B130F" w14:textId="77777777" w:rsidR="00000000" w:rsidRDefault="00195E73">
            <w:pPr>
              <w:rPr>
                <w:rFonts w:eastAsia="Times New Roman"/>
                <w:sz w:val="20"/>
                <w:szCs w:val="20"/>
              </w:rPr>
            </w:pPr>
          </w:p>
        </w:tc>
        <w:tc>
          <w:tcPr>
            <w:tcW w:w="50" w:type="pct"/>
            <w:vAlign w:val="center"/>
            <w:hideMark/>
          </w:tcPr>
          <w:p w14:paraId="4156F6C6" w14:textId="77777777" w:rsidR="00000000" w:rsidRDefault="00195E73">
            <w:pPr>
              <w:rPr>
                <w:rFonts w:eastAsia="Times New Roman"/>
                <w:sz w:val="20"/>
                <w:szCs w:val="20"/>
              </w:rPr>
            </w:pPr>
          </w:p>
        </w:tc>
        <w:tc>
          <w:tcPr>
            <w:tcW w:w="5" w:type="pct"/>
            <w:vAlign w:val="center"/>
            <w:hideMark/>
          </w:tcPr>
          <w:p w14:paraId="4045D8FB" w14:textId="77777777" w:rsidR="00000000" w:rsidRDefault="00195E73">
            <w:pPr>
              <w:rPr>
                <w:rFonts w:eastAsia="Times New Roman"/>
                <w:sz w:val="20"/>
                <w:szCs w:val="20"/>
              </w:rPr>
            </w:pPr>
          </w:p>
        </w:tc>
        <w:tc>
          <w:tcPr>
            <w:tcW w:w="26" w:type="pct"/>
            <w:vAlign w:val="center"/>
            <w:hideMark/>
          </w:tcPr>
          <w:p w14:paraId="52A1E0DC" w14:textId="77777777" w:rsidR="00000000" w:rsidRDefault="00195E73">
            <w:pPr>
              <w:rPr>
                <w:rFonts w:eastAsia="Times New Roman"/>
                <w:sz w:val="20"/>
                <w:szCs w:val="20"/>
              </w:rPr>
            </w:pPr>
          </w:p>
        </w:tc>
        <w:tc>
          <w:tcPr>
            <w:tcW w:w="5" w:type="pct"/>
            <w:vAlign w:val="center"/>
            <w:hideMark/>
          </w:tcPr>
          <w:p w14:paraId="273C434C" w14:textId="77777777" w:rsidR="00000000" w:rsidRDefault="00195E73">
            <w:pPr>
              <w:rPr>
                <w:rFonts w:eastAsia="Times New Roman"/>
                <w:sz w:val="20"/>
                <w:szCs w:val="20"/>
              </w:rPr>
            </w:pPr>
          </w:p>
        </w:tc>
      </w:tr>
      <w:tr w:rsidR="00000000" w14:paraId="67A462A3" w14:textId="77777777">
        <w:trPr>
          <w:divId w:val="1734279977"/>
          <w:jc w:val="center"/>
        </w:trPr>
        <w:tc>
          <w:tcPr>
            <w:tcW w:w="0" w:type="auto"/>
            <w:gridSpan w:val="3"/>
            <w:tcMar>
              <w:top w:w="15" w:type="dxa"/>
              <w:left w:w="20" w:type="dxa"/>
              <w:bottom w:w="15" w:type="dxa"/>
              <w:right w:w="20" w:type="dxa"/>
            </w:tcMar>
            <w:vAlign w:val="bottom"/>
            <w:hideMark/>
          </w:tcPr>
          <w:p w14:paraId="50AE6065" w14:textId="77777777" w:rsidR="00000000" w:rsidRDefault="00195E73">
            <w:pPr>
              <w:rPr>
                <w:rFonts w:eastAsia="Times New Roman"/>
                <w:sz w:val="20"/>
                <w:szCs w:val="20"/>
              </w:rPr>
            </w:pPr>
          </w:p>
        </w:tc>
        <w:tc>
          <w:tcPr>
            <w:tcW w:w="0" w:type="auto"/>
            <w:gridSpan w:val="59"/>
            <w:tcMar>
              <w:top w:w="30" w:type="dxa"/>
              <w:left w:w="20" w:type="dxa"/>
              <w:bottom w:w="30" w:type="dxa"/>
              <w:right w:w="20" w:type="dxa"/>
            </w:tcMar>
            <w:vAlign w:val="bottom"/>
            <w:hideMark/>
          </w:tcPr>
          <w:p w14:paraId="4CB4DBDB" w14:textId="77777777" w:rsidR="00000000" w:rsidRDefault="00195E73">
            <w:pPr>
              <w:jc w:val="center"/>
              <w:rPr>
                <w:rFonts w:eastAsia="Times New Roman"/>
              </w:rPr>
            </w:pPr>
            <w:r>
              <w:rPr>
                <w:rFonts w:eastAsia="Times New Roman"/>
                <w:b/>
                <w:bCs/>
                <w:color w:val="000000"/>
                <w:sz w:val="12"/>
                <w:szCs w:val="12"/>
              </w:rPr>
              <w:t>Year Ended December 31, 201</w:t>
            </w:r>
            <w:r>
              <w:rPr>
                <w:rFonts w:eastAsia="Times New Roman"/>
                <w:b/>
                <w:bCs/>
                <w:color w:val="000000"/>
                <w:sz w:val="12"/>
                <w:szCs w:val="12"/>
              </w:rPr>
              <w:t>9</w:t>
            </w:r>
          </w:p>
        </w:tc>
        <w:tc>
          <w:tcPr>
            <w:tcW w:w="0" w:type="auto"/>
            <w:vAlign w:val="center"/>
            <w:hideMark/>
          </w:tcPr>
          <w:p w14:paraId="5163403E" w14:textId="77777777" w:rsidR="00000000" w:rsidRDefault="00195E73">
            <w:pPr>
              <w:jc w:val="center"/>
              <w:rPr>
                <w:rFonts w:eastAsia="Times New Roman"/>
              </w:rPr>
            </w:pPr>
          </w:p>
        </w:tc>
      </w:tr>
      <w:tr w:rsidR="00000000" w14:paraId="5E1C284C" w14:textId="77777777">
        <w:trPr>
          <w:divId w:val="1734279977"/>
          <w:jc w:val="center"/>
        </w:trPr>
        <w:tc>
          <w:tcPr>
            <w:tcW w:w="0" w:type="auto"/>
            <w:gridSpan w:val="3"/>
            <w:tcMar>
              <w:top w:w="15" w:type="dxa"/>
              <w:left w:w="20" w:type="dxa"/>
              <w:bottom w:w="15" w:type="dxa"/>
              <w:right w:w="20" w:type="dxa"/>
            </w:tcMar>
            <w:vAlign w:val="bottom"/>
            <w:hideMark/>
          </w:tcPr>
          <w:p w14:paraId="2868F86F"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E0F7F68" w14:textId="77777777" w:rsidR="00000000" w:rsidRDefault="00195E73">
            <w:pPr>
              <w:jc w:val="center"/>
              <w:rPr>
                <w:rFonts w:eastAsia="Times New Roman"/>
              </w:rPr>
            </w:pPr>
            <w:r>
              <w:rPr>
                <w:rFonts w:eastAsia="Times New Roman"/>
                <w:b/>
                <w:bCs/>
                <w:color w:val="000000"/>
                <w:sz w:val="12"/>
                <w:szCs w:val="12"/>
              </w:rPr>
              <w:t>Investmen</w:t>
            </w:r>
            <w:r>
              <w:rPr>
                <w:rFonts w:eastAsia="Times New Roman"/>
                <w:b/>
                <w:bCs/>
                <w:color w:val="000000"/>
                <w:sz w:val="12"/>
                <w:szCs w:val="12"/>
              </w:rPr>
              <w:t>t</w:t>
            </w:r>
          </w:p>
        </w:tc>
        <w:tc>
          <w:tcPr>
            <w:tcW w:w="0" w:type="auto"/>
            <w:gridSpan w:val="3"/>
            <w:tcBorders>
              <w:top w:val="single" w:sz="8" w:space="0" w:color="000000"/>
            </w:tcBorders>
            <w:tcMar>
              <w:top w:w="15" w:type="dxa"/>
              <w:left w:w="20" w:type="dxa"/>
              <w:bottom w:w="15" w:type="dxa"/>
              <w:right w:w="20" w:type="dxa"/>
            </w:tcMar>
            <w:vAlign w:val="bottom"/>
            <w:hideMark/>
          </w:tcPr>
          <w:p w14:paraId="1397A4C2"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B985023" w14:textId="77777777" w:rsidR="00000000" w:rsidRDefault="00195E73">
            <w:pPr>
              <w:jc w:val="center"/>
              <w:rPr>
                <w:rFonts w:eastAsia="Times New Roman"/>
              </w:rPr>
            </w:pPr>
            <w:r>
              <w:rPr>
                <w:rFonts w:eastAsia="Times New Roman"/>
                <w:b/>
                <w:bCs/>
                <w:color w:val="000000"/>
                <w:sz w:val="12"/>
                <w:szCs w:val="12"/>
              </w:rPr>
              <w:t>Energ</w:t>
            </w:r>
            <w:r>
              <w:rPr>
                <w:rFonts w:eastAsia="Times New Roman"/>
                <w:b/>
                <w:bCs/>
                <w:color w:val="000000"/>
                <w:sz w:val="12"/>
                <w:szCs w:val="12"/>
              </w:rPr>
              <w:t>y</w:t>
            </w:r>
          </w:p>
        </w:tc>
        <w:tc>
          <w:tcPr>
            <w:tcW w:w="0" w:type="auto"/>
            <w:gridSpan w:val="3"/>
            <w:tcBorders>
              <w:top w:val="single" w:sz="8" w:space="0" w:color="000000"/>
            </w:tcBorders>
            <w:tcMar>
              <w:top w:w="15" w:type="dxa"/>
              <w:left w:w="20" w:type="dxa"/>
              <w:bottom w:w="15" w:type="dxa"/>
              <w:right w:w="20" w:type="dxa"/>
            </w:tcMar>
            <w:vAlign w:val="bottom"/>
            <w:hideMark/>
          </w:tcPr>
          <w:p w14:paraId="5D472841"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DE021C7" w14:textId="77777777" w:rsidR="00000000" w:rsidRDefault="00195E73">
            <w:pPr>
              <w:jc w:val="center"/>
              <w:rPr>
                <w:rFonts w:eastAsia="Times New Roman"/>
              </w:rPr>
            </w:pPr>
            <w:r>
              <w:rPr>
                <w:rFonts w:eastAsia="Times New Roman"/>
                <w:b/>
                <w:bCs/>
                <w:color w:val="000000"/>
                <w:sz w:val="12"/>
                <w:szCs w:val="12"/>
              </w:rPr>
              <w:t>Automotiv</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6A7C92CD"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818B590" w14:textId="77777777" w:rsidR="00000000" w:rsidRDefault="00195E73">
            <w:pPr>
              <w:jc w:val="center"/>
              <w:rPr>
                <w:rFonts w:eastAsia="Times New Roman"/>
              </w:rPr>
            </w:pPr>
            <w:r>
              <w:rPr>
                <w:rFonts w:eastAsia="Times New Roman"/>
                <w:b/>
                <w:bCs/>
                <w:color w:val="000000"/>
                <w:sz w:val="12"/>
                <w:szCs w:val="12"/>
              </w:rPr>
              <w:t>Food Packagin</w:t>
            </w:r>
            <w:r>
              <w:rPr>
                <w:rFonts w:eastAsia="Times New Roman"/>
                <w:b/>
                <w:bCs/>
                <w:color w:val="000000"/>
                <w:sz w:val="12"/>
                <w:szCs w:val="12"/>
              </w:rPr>
              <w:t>g</w:t>
            </w:r>
          </w:p>
        </w:tc>
        <w:tc>
          <w:tcPr>
            <w:tcW w:w="0" w:type="auto"/>
            <w:gridSpan w:val="3"/>
            <w:tcBorders>
              <w:top w:val="single" w:sz="8" w:space="0" w:color="000000"/>
            </w:tcBorders>
            <w:tcMar>
              <w:top w:w="15" w:type="dxa"/>
              <w:left w:w="20" w:type="dxa"/>
              <w:bottom w:w="15" w:type="dxa"/>
              <w:right w:w="20" w:type="dxa"/>
            </w:tcMar>
            <w:vAlign w:val="bottom"/>
            <w:hideMark/>
          </w:tcPr>
          <w:p w14:paraId="76FA2F2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EFBCD6" w14:textId="77777777" w:rsidR="00000000" w:rsidRDefault="00195E73">
            <w:pPr>
              <w:jc w:val="center"/>
              <w:rPr>
                <w:rFonts w:eastAsia="Times New Roman"/>
              </w:rPr>
            </w:pPr>
            <w:r>
              <w:rPr>
                <w:rFonts w:eastAsia="Times New Roman"/>
                <w:b/>
                <w:bCs/>
                <w:color w:val="000000"/>
                <w:sz w:val="12"/>
                <w:szCs w:val="12"/>
              </w:rPr>
              <w:t>Metal</w:t>
            </w:r>
            <w:r>
              <w:rPr>
                <w:rFonts w:eastAsia="Times New Roman"/>
                <w:b/>
                <w:bCs/>
                <w:color w:val="000000"/>
                <w:sz w:val="12"/>
                <w:szCs w:val="12"/>
              </w:rPr>
              <w:t>s</w:t>
            </w:r>
          </w:p>
        </w:tc>
        <w:tc>
          <w:tcPr>
            <w:tcW w:w="0" w:type="auto"/>
            <w:gridSpan w:val="3"/>
            <w:tcBorders>
              <w:top w:val="single" w:sz="8" w:space="0" w:color="000000"/>
            </w:tcBorders>
            <w:tcMar>
              <w:top w:w="15" w:type="dxa"/>
              <w:left w:w="20" w:type="dxa"/>
              <w:bottom w:w="15" w:type="dxa"/>
              <w:right w:w="20" w:type="dxa"/>
            </w:tcMar>
            <w:vAlign w:val="bottom"/>
            <w:hideMark/>
          </w:tcPr>
          <w:p w14:paraId="662C5DA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F115F2D" w14:textId="77777777" w:rsidR="00000000" w:rsidRDefault="00195E73">
            <w:pPr>
              <w:jc w:val="center"/>
              <w:rPr>
                <w:rFonts w:eastAsia="Times New Roman"/>
              </w:rPr>
            </w:pPr>
            <w:r>
              <w:rPr>
                <w:rFonts w:eastAsia="Times New Roman"/>
                <w:b/>
                <w:bCs/>
                <w:color w:val="000000"/>
                <w:sz w:val="12"/>
                <w:szCs w:val="12"/>
              </w:rPr>
              <w:t>Real Estat</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687D323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5FB4A69" w14:textId="77777777" w:rsidR="00000000" w:rsidRDefault="00195E73">
            <w:pPr>
              <w:jc w:val="center"/>
              <w:rPr>
                <w:rFonts w:eastAsia="Times New Roman"/>
              </w:rPr>
            </w:pPr>
            <w:r>
              <w:rPr>
                <w:rFonts w:eastAsia="Times New Roman"/>
                <w:b/>
                <w:bCs/>
                <w:color w:val="000000"/>
                <w:sz w:val="12"/>
                <w:szCs w:val="12"/>
              </w:rPr>
              <w:t>Home Fashio</w:t>
            </w:r>
            <w:r>
              <w:rPr>
                <w:rFonts w:eastAsia="Times New Roman"/>
                <w:b/>
                <w:bCs/>
                <w:color w:val="000000"/>
                <w:sz w:val="12"/>
                <w:szCs w:val="12"/>
              </w:rPr>
              <w:t>n</w:t>
            </w:r>
          </w:p>
        </w:tc>
        <w:tc>
          <w:tcPr>
            <w:tcW w:w="0" w:type="auto"/>
            <w:gridSpan w:val="3"/>
            <w:tcBorders>
              <w:top w:val="single" w:sz="8" w:space="0" w:color="000000"/>
            </w:tcBorders>
            <w:tcMar>
              <w:top w:w="15" w:type="dxa"/>
              <w:left w:w="20" w:type="dxa"/>
              <w:bottom w:w="15" w:type="dxa"/>
              <w:right w:w="20" w:type="dxa"/>
            </w:tcMar>
            <w:vAlign w:val="bottom"/>
            <w:hideMark/>
          </w:tcPr>
          <w:p w14:paraId="346251FF"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AF071CA" w14:textId="77777777" w:rsidR="00000000" w:rsidRDefault="00195E73">
            <w:pPr>
              <w:jc w:val="center"/>
              <w:rPr>
                <w:rFonts w:eastAsia="Times New Roman"/>
              </w:rPr>
            </w:pPr>
            <w:r>
              <w:rPr>
                <w:rFonts w:eastAsia="Times New Roman"/>
                <w:b/>
                <w:bCs/>
                <w:color w:val="000000"/>
                <w:sz w:val="12"/>
                <w:szCs w:val="12"/>
              </w:rPr>
              <w:t>Minin</w:t>
            </w:r>
            <w:r>
              <w:rPr>
                <w:rFonts w:eastAsia="Times New Roman"/>
                <w:b/>
                <w:bCs/>
                <w:color w:val="000000"/>
                <w:sz w:val="12"/>
                <w:szCs w:val="12"/>
              </w:rPr>
              <w:t>g</w:t>
            </w:r>
          </w:p>
        </w:tc>
        <w:tc>
          <w:tcPr>
            <w:tcW w:w="0" w:type="auto"/>
            <w:gridSpan w:val="3"/>
            <w:tcBorders>
              <w:top w:val="single" w:sz="8" w:space="0" w:color="000000"/>
            </w:tcBorders>
            <w:tcMar>
              <w:top w:w="15" w:type="dxa"/>
              <w:left w:w="20" w:type="dxa"/>
              <w:bottom w:w="15" w:type="dxa"/>
              <w:right w:w="20" w:type="dxa"/>
            </w:tcMar>
            <w:vAlign w:val="bottom"/>
            <w:hideMark/>
          </w:tcPr>
          <w:p w14:paraId="354A172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679CB7" w14:textId="77777777" w:rsidR="00000000" w:rsidRDefault="00195E73">
            <w:pPr>
              <w:jc w:val="center"/>
              <w:rPr>
                <w:rFonts w:eastAsia="Times New Roman"/>
              </w:rPr>
            </w:pPr>
            <w:r>
              <w:rPr>
                <w:rFonts w:eastAsia="Times New Roman"/>
                <w:b/>
                <w:bCs/>
                <w:color w:val="000000"/>
                <w:sz w:val="12"/>
                <w:szCs w:val="12"/>
              </w:rPr>
              <w:t>Railca</w:t>
            </w:r>
            <w:r>
              <w:rPr>
                <w:rFonts w:eastAsia="Times New Roman"/>
                <w:b/>
                <w:bCs/>
                <w:color w:val="000000"/>
                <w:sz w:val="12"/>
                <w:szCs w:val="12"/>
              </w:rPr>
              <w:t>r</w:t>
            </w:r>
          </w:p>
        </w:tc>
        <w:tc>
          <w:tcPr>
            <w:tcW w:w="0" w:type="auto"/>
            <w:gridSpan w:val="3"/>
            <w:tcBorders>
              <w:top w:val="single" w:sz="8" w:space="0" w:color="000000"/>
            </w:tcBorders>
            <w:tcMar>
              <w:top w:w="15" w:type="dxa"/>
              <w:left w:w="20" w:type="dxa"/>
              <w:bottom w:w="15" w:type="dxa"/>
              <w:right w:w="20" w:type="dxa"/>
            </w:tcMar>
            <w:vAlign w:val="bottom"/>
            <w:hideMark/>
          </w:tcPr>
          <w:p w14:paraId="7FF41F59"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36397BC" w14:textId="77777777" w:rsidR="00000000" w:rsidRDefault="00195E73">
            <w:pPr>
              <w:jc w:val="center"/>
              <w:rPr>
                <w:rFonts w:eastAsia="Times New Roman"/>
              </w:rPr>
            </w:pPr>
            <w:r>
              <w:rPr>
                <w:rFonts w:eastAsia="Times New Roman"/>
                <w:b/>
                <w:bCs/>
                <w:color w:val="000000"/>
                <w:sz w:val="12"/>
                <w:szCs w:val="12"/>
              </w:rPr>
              <w:t>Holding Compan</w:t>
            </w:r>
            <w:r>
              <w:rPr>
                <w:rFonts w:eastAsia="Times New Roman"/>
                <w:b/>
                <w:bCs/>
                <w:color w:val="000000"/>
                <w:sz w:val="12"/>
                <w:szCs w:val="12"/>
              </w:rPr>
              <w:t>y</w:t>
            </w:r>
          </w:p>
        </w:tc>
        <w:tc>
          <w:tcPr>
            <w:tcW w:w="0" w:type="auto"/>
            <w:gridSpan w:val="2"/>
            <w:tcBorders>
              <w:top w:val="single" w:sz="8" w:space="0" w:color="000000"/>
            </w:tcBorders>
            <w:tcMar>
              <w:top w:w="15" w:type="dxa"/>
              <w:left w:w="20" w:type="dxa"/>
              <w:bottom w:w="15" w:type="dxa"/>
              <w:right w:w="20" w:type="dxa"/>
            </w:tcMar>
            <w:vAlign w:val="bottom"/>
            <w:hideMark/>
          </w:tcPr>
          <w:p w14:paraId="2EC0F19F" w14:textId="77777777" w:rsidR="00000000" w:rsidRDefault="00195E73">
            <w:pPr>
              <w:jc w:val="center"/>
              <w:rPr>
                <w:rFonts w:eastAsia="Times New Roman"/>
              </w:rPr>
            </w:pPr>
          </w:p>
        </w:tc>
        <w:tc>
          <w:tcPr>
            <w:tcW w:w="0" w:type="auto"/>
            <w:tcBorders>
              <w:top w:val="single" w:sz="8" w:space="0" w:color="000000"/>
              <w:bottom w:val="single" w:sz="8" w:space="0" w:color="000000"/>
            </w:tcBorders>
            <w:tcMar>
              <w:top w:w="30" w:type="dxa"/>
              <w:left w:w="20" w:type="dxa"/>
              <w:bottom w:w="30" w:type="dxa"/>
              <w:right w:w="20" w:type="dxa"/>
            </w:tcMar>
            <w:vAlign w:val="bottom"/>
            <w:hideMark/>
          </w:tcPr>
          <w:p w14:paraId="3B0230F0" w14:textId="77777777" w:rsidR="00000000" w:rsidRDefault="00195E73">
            <w:pPr>
              <w:jc w:val="center"/>
              <w:rPr>
                <w:rFonts w:eastAsia="Times New Roman"/>
              </w:rPr>
            </w:pPr>
            <w:r>
              <w:rPr>
                <w:rFonts w:eastAsia="Times New Roman"/>
                <w:b/>
                <w:bCs/>
                <w:color w:val="000000"/>
                <w:sz w:val="12"/>
                <w:szCs w:val="12"/>
              </w:rPr>
              <w:t>Consolidate</w:t>
            </w:r>
            <w:r>
              <w:rPr>
                <w:rFonts w:eastAsia="Times New Roman"/>
                <w:b/>
                <w:bCs/>
                <w:color w:val="000000"/>
                <w:sz w:val="12"/>
                <w:szCs w:val="12"/>
              </w:rPr>
              <w:t>d</w:t>
            </w:r>
          </w:p>
        </w:tc>
      </w:tr>
      <w:tr w:rsidR="00000000" w14:paraId="149C7685" w14:textId="77777777">
        <w:trPr>
          <w:divId w:val="1734279977"/>
          <w:jc w:val="center"/>
        </w:trPr>
        <w:tc>
          <w:tcPr>
            <w:tcW w:w="0" w:type="auto"/>
            <w:gridSpan w:val="3"/>
            <w:tcMar>
              <w:top w:w="15" w:type="dxa"/>
              <w:left w:w="20" w:type="dxa"/>
              <w:bottom w:w="15" w:type="dxa"/>
              <w:right w:w="20" w:type="dxa"/>
            </w:tcMar>
            <w:vAlign w:val="bottom"/>
            <w:hideMark/>
          </w:tcPr>
          <w:p w14:paraId="7942E5E4" w14:textId="77777777" w:rsidR="00000000" w:rsidRDefault="00195E73">
            <w:pPr>
              <w:jc w:val="center"/>
              <w:rPr>
                <w:rFonts w:eastAsia="Times New Roman"/>
              </w:rPr>
            </w:pPr>
          </w:p>
        </w:tc>
        <w:tc>
          <w:tcPr>
            <w:tcW w:w="0" w:type="auto"/>
            <w:gridSpan w:val="59"/>
            <w:tcBorders>
              <w:top w:val="single" w:sz="8" w:space="0" w:color="000000"/>
            </w:tcBorders>
            <w:tcMar>
              <w:top w:w="30" w:type="dxa"/>
              <w:left w:w="20" w:type="dxa"/>
              <w:bottom w:w="30" w:type="dxa"/>
              <w:right w:w="20" w:type="dxa"/>
            </w:tcMar>
            <w:hideMark/>
          </w:tcPr>
          <w:p w14:paraId="167A4674" w14:textId="77777777" w:rsidR="00000000" w:rsidRDefault="00195E73">
            <w:pPr>
              <w:jc w:val="center"/>
              <w:rPr>
                <w:rFonts w:eastAsia="Times New Roman"/>
              </w:rPr>
            </w:pPr>
            <w:r>
              <w:rPr>
                <w:rFonts w:eastAsia="Times New Roman"/>
                <w:color w:val="000000"/>
                <w:sz w:val="12"/>
                <w:szCs w:val="12"/>
              </w:rPr>
              <w:t>(in millions</w:t>
            </w:r>
            <w:r>
              <w:rPr>
                <w:rFonts w:eastAsia="Times New Roman"/>
                <w:color w:val="000000"/>
                <w:sz w:val="12"/>
                <w:szCs w:val="12"/>
              </w:rPr>
              <w:t>)</w:t>
            </w:r>
          </w:p>
        </w:tc>
        <w:tc>
          <w:tcPr>
            <w:tcW w:w="0" w:type="auto"/>
            <w:vAlign w:val="center"/>
            <w:hideMark/>
          </w:tcPr>
          <w:p w14:paraId="6BED95E6" w14:textId="77777777" w:rsidR="00000000" w:rsidRDefault="00195E73">
            <w:pPr>
              <w:jc w:val="center"/>
              <w:rPr>
                <w:rFonts w:eastAsia="Times New Roman"/>
              </w:rPr>
            </w:pPr>
          </w:p>
        </w:tc>
      </w:tr>
      <w:tr w:rsidR="00000000" w14:paraId="53E2A638" w14:textId="77777777">
        <w:trPr>
          <w:divId w:val="1734279977"/>
          <w:jc w:val="center"/>
        </w:trPr>
        <w:tc>
          <w:tcPr>
            <w:tcW w:w="0" w:type="auto"/>
            <w:gridSpan w:val="3"/>
            <w:shd w:val="clear" w:color="auto" w:fill="FFFFFF"/>
            <w:tcMar>
              <w:top w:w="30" w:type="dxa"/>
              <w:left w:w="20" w:type="dxa"/>
              <w:bottom w:w="30" w:type="dxa"/>
              <w:right w:w="20" w:type="dxa"/>
            </w:tcMar>
            <w:vAlign w:val="bottom"/>
            <w:hideMark/>
          </w:tcPr>
          <w:p w14:paraId="517B7766" w14:textId="77777777" w:rsidR="00000000" w:rsidRDefault="00195E73">
            <w:pPr>
              <w:rPr>
                <w:rFonts w:eastAsia="Times New Roman"/>
              </w:rPr>
            </w:pPr>
            <w:r>
              <w:rPr>
                <w:rFonts w:eastAsia="Times New Roman"/>
                <w:color w:val="000000"/>
                <w:sz w:val="12"/>
                <w:szCs w:val="12"/>
              </w:rPr>
              <w:t>Revenues</w:t>
            </w:r>
            <w:r>
              <w:rPr>
                <w:rFonts w:eastAsia="Times New Roman"/>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14:paraId="08A06EE8"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DCB6E82"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505B3BD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714171A" w14:textId="77777777" w:rsidR="00000000" w:rsidRDefault="00195E7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8C7126B"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81A61C5" w14:textId="77777777" w:rsidR="00000000" w:rsidRDefault="00195E7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725A6AC"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A77E1BC" w14:textId="77777777" w:rsidR="00000000" w:rsidRDefault="00195E7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41BCD8E"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9A97569" w14:textId="77777777" w:rsidR="00000000" w:rsidRDefault="00195E7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50A1928"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F73EF77"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1DB6A39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2ADA48E"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A8E9BE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BFEB460" w14:textId="77777777" w:rsidR="00000000" w:rsidRDefault="00195E7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55A82BE"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C5691E2"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027634C"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02190612" w14:textId="77777777" w:rsidR="00000000" w:rsidRDefault="00195E73">
            <w:pPr>
              <w:rPr>
                <w:rFonts w:eastAsia="Times New Roman"/>
                <w:sz w:val="20"/>
                <w:szCs w:val="20"/>
              </w:rPr>
            </w:pPr>
          </w:p>
        </w:tc>
        <w:tc>
          <w:tcPr>
            <w:tcW w:w="0" w:type="auto"/>
            <w:shd w:val="clear" w:color="auto" w:fill="FFFFFF"/>
            <w:tcMar>
              <w:top w:w="30" w:type="dxa"/>
              <w:left w:w="20" w:type="dxa"/>
              <w:bottom w:w="30" w:type="dxa"/>
              <w:right w:w="20" w:type="dxa"/>
            </w:tcMar>
            <w:vAlign w:val="bottom"/>
            <w:hideMark/>
          </w:tcPr>
          <w:p w14:paraId="150AA182"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r>
      <w:tr w:rsidR="00195E73" w14:paraId="082BA22A" w14:textId="77777777">
        <w:trPr>
          <w:divId w:val="1734279977"/>
          <w:jc w:val="center"/>
        </w:trPr>
        <w:tc>
          <w:tcPr>
            <w:tcW w:w="0" w:type="auto"/>
            <w:gridSpan w:val="3"/>
            <w:shd w:val="clear" w:color="auto" w:fill="CCEEFF"/>
            <w:tcMar>
              <w:top w:w="30" w:type="dxa"/>
              <w:left w:w="20" w:type="dxa"/>
              <w:bottom w:w="30" w:type="dxa"/>
              <w:right w:w="20" w:type="dxa"/>
            </w:tcMar>
            <w:vAlign w:val="bottom"/>
            <w:hideMark/>
          </w:tcPr>
          <w:p w14:paraId="390FA087" w14:textId="77777777" w:rsidR="00000000" w:rsidRDefault="00195E73">
            <w:pPr>
              <w:ind w:firstLine="180"/>
              <w:divId w:val="1285846379"/>
              <w:rPr>
                <w:rFonts w:eastAsia="Times New Roman"/>
              </w:rPr>
            </w:pPr>
            <w:r>
              <w:rPr>
                <w:rFonts w:eastAsia="Times New Roman"/>
                <w:color w:val="000000"/>
                <w:sz w:val="12"/>
                <w:szCs w:val="12"/>
              </w:rPr>
              <w:t>Net sale</w:t>
            </w:r>
            <w:r>
              <w:rPr>
                <w:rFonts w:eastAsia="Times New Roman"/>
                <w:color w:val="000000"/>
                <w:sz w:val="12"/>
                <w:szCs w:val="12"/>
              </w:rPr>
              <w:t>s</w:t>
            </w:r>
          </w:p>
        </w:tc>
        <w:tc>
          <w:tcPr>
            <w:tcW w:w="0" w:type="auto"/>
            <w:shd w:val="clear" w:color="auto" w:fill="CCEEFF"/>
            <w:tcMar>
              <w:top w:w="30" w:type="dxa"/>
              <w:left w:w="20" w:type="dxa"/>
              <w:bottom w:w="30" w:type="dxa"/>
              <w:right w:w="15" w:type="dxa"/>
            </w:tcMar>
            <w:vAlign w:val="bottom"/>
            <w:hideMark/>
          </w:tcPr>
          <w:p w14:paraId="278E25AC"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3480E0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E4EF48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6073AD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E69A14D"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555DD439" w14:textId="77777777" w:rsidR="00000000" w:rsidRDefault="00195E73">
            <w:pPr>
              <w:jc w:val="right"/>
              <w:rPr>
                <w:rFonts w:eastAsia="Times New Roman"/>
              </w:rPr>
            </w:pPr>
            <w:r>
              <w:rPr>
                <w:rFonts w:eastAsia="Times New Roman"/>
                <w:color w:val="000000"/>
                <w:sz w:val="12"/>
                <w:szCs w:val="12"/>
              </w:rPr>
              <w:t>6,364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BA372F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87E228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A007D99"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FDF3285" w14:textId="77777777" w:rsidR="00000000" w:rsidRDefault="00195E73">
            <w:pPr>
              <w:jc w:val="right"/>
              <w:rPr>
                <w:rFonts w:eastAsia="Times New Roman"/>
              </w:rPr>
            </w:pPr>
            <w:r>
              <w:rPr>
                <w:rFonts w:eastAsia="Times New Roman"/>
                <w:color w:val="000000"/>
                <w:sz w:val="12"/>
                <w:szCs w:val="12"/>
              </w:rPr>
              <w:t>2,293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0A1ED4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F18E29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8BA5376"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F20B913" w14:textId="77777777" w:rsidR="00000000" w:rsidRDefault="00195E73">
            <w:pPr>
              <w:jc w:val="right"/>
              <w:rPr>
                <w:rFonts w:eastAsia="Times New Roman"/>
              </w:rPr>
            </w:pPr>
            <w:r>
              <w:rPr>
                <w:rFonts w:eastAsia="Times New Roman"/>
                <w:color w:val="000000"/>
                <w:sz w:val="12"/>
                <w:szCs w:val="12"/>
              </w:rPr>
              <w:t>383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568D44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1A3D75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5883B7B"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65EBDAB" w14:textId="77777777" w:rsidR="00000000" w:rsidRDefault="00195E73">
            <w:pPr>
              <w:jc w:val="right"/>
              <w:rPr>
                <w:rFonts w:eastAsia="Times New Roman"/>
              </w:rPr>
            </w:pPr>
            <w:r>
              <w:rPr>
                <w:rFonts w:eastAsia="Times New Roman"/>
                <w:color w:val="000000"/>
                <w:sz w:val="12"/>
                <w:szCs w:val="12"/>
              </w:rPr>
              <w:t>340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B9F16B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1387E1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F4B31D8"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2C4095B" w14:textId="77777777" w:rsidR="00000000" w:rsidRDefault="00195E73">
            <w:pPr>
              <w:jc w:val="right"/>
              <w:rPr>
                <w:rFonts w:eastAsia="Times New Roman"/>
              </w:rPr>
            </w:pPr>
            <w:r>
              <w:rPr>
                <w:rFonts w:eastAsia="Times New Roman"/>
                <w:color w:val="000000"/>
                <w:sz w:val="12"/>
                <w:szCs w:val="12"/>
              </w:rPr>
              <w:t>23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5A7B26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D73610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E5CF918"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6FCCDB1E" w14:textId="77777777" w:rsidR="00000000" w:rsidRDefault="00195E73">
            <w:pPr>
              <w:jc w:val="right"/>
              <w:rPr>
                <w:rFonts w:eastAsia="Times New Roman"/>
              </w:rPr>
            </w:pPr>
            <w:r>
              <w:rPr>
                <w:rFonts w:eastAsia="Times New Roman"/>
                <w:color w:val="000000"/>
                <w:sz w:val="12"/>
                <w:szCs w:val="12"/>
              </w:rPr>
              <w:t>187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0FF001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1B3454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57677BD"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CDC3C58" w14:textId="77777777" w:rsidR="00000000" w:rsidRDefault="00195E73">
            <w:pPr>
              <w:jc w:val="right"/>
              <w:rPr>
                <w:rFonts w:eastAsia="Times New Roman"/>
              </w:rPr>
            </w:pPr>
            <w:r>
              <w:rPr>
                <w:rFonts w:eastAsia="Times New Roman"/>
                <w:color w:val="000000"/>
                <w:sz w:val="12"/>
                <w:szCs w:val="12"/>
              </w:rPr>
              <w:t>130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803B5A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15D0F5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A22CC4E"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404B9A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4533C6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840CAC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8B01732"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676D06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724CC57"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39BFFAC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505521B"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9,720</w:t>
            </w:r>
            <w:r>
              <w:rPr>
                <w:rFonts w:eastAsia="Times New Roman"/>
                <w:color w:val="000000"/>
                <w:sz w:val="12"/>
                <w:szCs w:val="12"/>
              </w:rPr>
              <w:t> </w:t>
            </w:r>
            <w:r>
              <w:rPr>
                <w:rFonts w:eastAsia="Times New Roman"/>
                <w:color w:val="000000"/>
                <w:sz w:val="12"/>
                <w:szCs w:val="12"/>
              </w:rPr>
              <w:t> </w:t>
            </w:r>
          </w:p>
        </w:tc>
      </w:tr>
      <w:tr w:rsidR="00195E73" w14:paraId="36B5E351" w14:textId="77777777">
        <w:trPr>
          <w:divId w:val="1734279977"/>
          <w:jc w:val="center"/>
        </w:trPr>
        <w:tc>
          <w:tcPr>
            <w:tcW w:w="0" w:type="auto"/>
            <w:gridSpan w:val="3"/>
            <w:shd w:val="clear" w:color="auto" w:fill="FFFFFF"/>
            <w:tcMar>
              <w:top w:w="30" w:type="dxa"/>
              <w:left w:w="20" w:type="dxa"/>
              <w:bottom w:w="30" w:type="dxa"/>
              <w:right w:w="20" w:type="dxa"/>
            </w:tcMar>
            <w:vAlign w:val="bottom"/>
            <w:hideMark/>
          </w:tcPr>
          <w:p w14:paraId="0CF8DC42" w14:textId="77777777" w:rsidR="00000000" w:rsidRDefault="00195E73">
            <w:pPr>
              <w:ind w:firstLine="180"/>
              <w:divId w:val="871186051"/>
              <w:rPr>
                <w:rFonts w:eastAsia="Times New Roman"/>
              </w:rPr>
            </w:pPr>
            <w:r>
              <w:rPr>
                <w:rFonts w:eastAsia="Times New Roman"/>
                <w:color w:val="000000"/>
                <w:sz w:val="12"/>
                <w:szCs w:val="12"/>
              </w:rPr>
              <w:t>Other revenues from operation</w:t>
            </w:r>
            <w:r>
              <w:rPr>
                <w:rFonts w:eastAsia="Times New Roman"/>
                <w:color w:val="000000"/>
                <w:sz w:val="12"/>
                <w:szCs w:val="12"/>
              </w:rPr>
              <w:t>s</w:t>
            </w:r>
          </w:p>
        </w:tc>
        <w:tc>
          <w:tcPr>
            <w:tcW w:w="0" w:type="auto"/>
            <w:gridSpan w:val="2"/>
            <w:shd w:val="clear" w:color="auto" w:fill="FFFFFF"/>
            <w:tcMar>
              <w:top w:w="30" w:type="dxa"/>
              <w:left w:w="20" w:type="dxa"/>
              <w:bottom w:w="30" w:type="dxa"/>
              <w:right w:w="0" w:type="dxa"/>
            </w:tcMar>
            <w:vAlign w:val="bottom"/>
            <w:hideMark/>
          </w:tcPr>
          <w:p w14:paraId="42268FE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C6AF55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E5310C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B86E8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574F3A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2B439D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1CB836" w14:textId="77777777" w:rsidR="00000000" w:rsidRDefault="00195E73">
            <w:pPr>
              <w:jc w:val="right"/>
              <w:rPr>
                <w:rFonts w:eastAsia="Times New Roman"/>
              </w:rPr>
            </w:pPr>
            <w:r>
              <w:rPr>
                <w:rFonts w:eastAsia="Times New Roman"/>
                <w:color w:val="000000"/>
                <w:sz w:val="12"/>
                <w:szCs w:val="12"/>
              </w:rPr>
              <w:t>591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3D3E32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2BE52F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81BAF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DEEDC3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F830A3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2AB5F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E93BF7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524FFF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7B6D83" w14:textId="77777777" w:rsidR="00000000" w:rsidRDefault="00195E73">
            <w:pPr>
              <w:jc w:val="right"/>
              <w:rPr>
                <w:rFonts w:eastAsia="Times New Roman"/>
              </w:rPr>
            </w:pPr>
            <w:r>
              <w:rPr>
                <w:rFonts w:eastAsia="Times New Roman"/>
                <w:color w:val="000000"/>
                <w:sz w:val="12"/>
                <w:szCs w:val="12"/>
              </w:rPr>
              <w:t>75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524ED7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4B6D4E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11B64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389680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9699A6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555FE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D4CC56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53E123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4E270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63CA10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EFA165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387D3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128B75F"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620F6BCF"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4A7DC2A" w14:textId="77777777" w:rsidR="00000000" w:rsidRDefault="00195E73">
            <w:pPr>
              <w:jc w:val="right"/>
              <w:rPr>
                <w:rFonts w:eastAsia="Times New Roman"/>
              </w:rPr>
            </w:pPr>
            <w:r>
              <w:rPr>
                <w:rFonts w:eastAsia="Times New Roman"/>
                <w:color w:val="000000"/>
                <w:sz w:val="12"/>
                <w:szCs w:val="12"/>
              </w:rPr>
              <w:t>666</w:t>
            </w:r>
            <w:r>
              <w:rPr>
                <w:rFonts w:eastAsia="Times New Roman"/>
                <w:color w:val="000000"/>
                <w:sz w:val="12"/>
                <w:szCs w:val="12"/>
              </w:rPr>
              <w:t> </w:t>
            </w:r>
            <w:r>
              <w:rPr>
                <w:rFonts w:eastAsia="Times New Roman"/>
                <w:color w:val="000000"/>
                <w:sz w:val="12"/>
                <w:szCs w:val="12"/>
              </w:rPr>
              <w:t> </w:t>
            </w:r>
          </w:p>
        </w:tc>
      </w:tr>
      <w:tr w:rsidR="00195E73" w14:paraId="4A97A08E" w14:textId="77777777">
        <w:trPr>
          <w:divId w:val="1734279977"/>
          <w:jc w:val="center"/>
        </w:trPr>
        <w:tc>
          <w:tcPr>
            <w:tcW w:w="0" w:type="auto"/>
            <w:gridSpan w:val="3"/>
            <w:shd w:val="clear" w:color="auto" w:fill="CCEEFF"/>
            <w:tcMar>
              <w:top w:w="30" w:type="dxa"/>
              <w:left w:w="20" w:type="dxa"/>
              <w:bottom w:w="30" w:type="dxa"/>
              <w:right w:w="20" w:type="dxa"/>
            </w:tcMar>
            <w:vAlign w:val="bottom"/>
            <w:hideMark/>
          </w:tcPr>
          <w:p w14:paraId="7ADE6CC5" w14:textId="77777777" w:rsidR="00000000" w:rsidRDefault="00195E73">
            <w:pPr>
              <w:ind w:firstLine="180"/>
              <w:divId w:val="1017463191"/>
              <w:rPr>
                <w:rFonts w:eastAsia="Times New Roman"/>
              </w:rPr>
            </w:pPr>
            <w:r>
              <w:rPr>
                <w:rFonts w:eastAsia="Times New Roman"/>
                <w:color w:val="000000"/>
                <w:sz w:val="12"/>
                <w:szCs w:val="12"/>
              </w:rPr>
              <w:t>Net (loss) gain from investment activitie</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41FFB34F" w14:textId="77777777" w:rsidR="00000000" w:rsidRDefault="00195E73">
            <w:pPr>
              <w:jc w:val="right"/>
              <w:rPr>
                <w:rFonts w:eastAsia="Times New Roman"/>
              </w:rPr>
            </w:pPr>
            <w:r>
              <w:rPr>
                <w:rFonts w:eastAsia="Times New Roman"/>
                <w:color w:val="000000"/>
                <w:sz w:val="12"/>
                <w:szCs w:val="12"/>
              </w:rPr>
              <w:t>(1,599</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098EAD5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19D0C6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F1491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38E05B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A7E422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BDAC7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F8EFFD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BFAB3E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D561A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40FA28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6DBCA1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E5EB5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783426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197274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CBDCE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DE5CC7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3E2404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C7F90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7A914E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C92A9F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8F6BB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623C5B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564B17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F997C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C40437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86949C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413D5F" w14:textId="77777777" w:rsidR="00000000" w:rsidRDefault="00195E73">
            <w:pPr>
              <w:jc w:val="right"/>
              <w:rPr>
                <w:rFonts w:eastAsia="Times New Roman"/>
              </w:rPr>
            </w:pPr>
            <w:r>
              <w:rPr>
                <w:rFonts w:eastAsia="Times New Roman"/>
                <w:color w:val="000000"/>
                <w:sz w:val="12"/>
                <w:szCs w:val="12"/>
              </w:rPr>
              <w:t>(332</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33DC681D"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2992EB17"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451A0EF" w14:textId="77777777" w:rsidR="00000000" w:rsidRDefault="00195E73">
            <w:pPr>
              <w:jc w:val="right"/>
              <w:rPr>
                <w:rFonts w:eastAsia="Times New Roman"/>
              </w:rPr>
            </w:pPr>
            <w:r>
              <w:rPr>
                <w:rFonts w:eastAsia="Times New Roman"/>
                <w:color w:val="000000"/>
                <w:sz w:val="12"/>
                <w:szCs w:val="12"/>
              </w:rPr>
              <w:t>(1,931</w:t>
            </w:r>
            <w:r>
              <w:rPr>
                <w:rFonts w:eastAsia="Times New Roman"/>
                <w:color w:val="000000"/>
                <w:sz w:val="12"/>
                <w:szCs w:val="12"/>
              </w:rPr>
              <w:t>)</w:t>
            </w:r>
            <w:r>
              <w:rPr>
                <w:rFonts w:eastAsia="Times New Roman"/>
                <w:color w:val="000000"/>
                <w:sz w:val="12"/>
                <w:szCs w:val="12"/>
              </w:rPr>
              <w:t> </w:t>
            </w:r>
          </w:p>
        </w:tc>
      </w:tr>
      <w:tr w:rsidR="00195E73" w14:paraId="7C6E27D8" w14:textId="77777777">
        <w:trPr>
          <w:divId w:val="1734279977"/>
          <w:jc w:val="center"/>
        </w:trPr>
        <w:tc>
          <w:tcPr>
            <w:tcW w:w="0" w:type="auto"/>
            <w:gridSpan w:val="3"/>
            <w:shd w:val="clear" w:color="auto" w:fill="FFFFFF"/>
            <w:tcMar>
              <w:top w:w="30" w:type="dxa"/>
              <w:left w:w="20" w:type="dxa"/>
              <w:bottom w:w="30" w:type="dxa"/>
              <w:right w:w="20" w:type="dxa"/>
            </w:tcMar>
            <w:vAlign w:val="bottom"/>
            <w:hideMark/>
          </w:tcPr>
          <w:p w14:paraId="35F7361D" w14:textId="77777777" w:rsidR="00000000" w:rsidRDefault="00195E73">
            <w:pPr>
              <w:ind w:firstLine="180"/>
              <w:divId w:val="1603537513"/>
              <w:rPr>
                <w:rFonts w:eastAsia="Times New Roman"/>
              </w:rPr>
            </w:pPr>
            <w:r>
              <w:rPr>
                <w:rFonts w:eastAsia="Times New Roman"/>
                <w:color w:val="000000"/>
                <w:sz w:val="12"/>
                <w:szCs w:val="12"/>
              </w:rPr>
              <w:t>Interest and dividend incom</w:t>
            </w:r>
            <w:r>
              <w:rPr>
                <w:rFonts w:eastAsia="Times New Roman"/>
                <w:color w:val="000000"/>
                <w:sz w:val="12"/>
                <w:szCs w:val="12"/>
              </w:rPr>
              <w:t>e</w:t>
            </w:r>
          </w:p>
        </w:tc>
        <w:tc>
          <w:tcPr>
            <w:tcW w:w="0" w:type="auto"/>
            <w:gridSpan w:val="2"/>
            <w:shd w:val="clear" w:color="auto" w:fill="FFFFFF"/>
            <w:tcMar>
              <w:top w:w="30" w:type="dxa"/>
              <w:left w:w="20" w:type="dxa"/>
              <w:bottom w:w="30" w:type="dxa"/>
              <w:right w:w="0" w:type="dxa"/>
            </w:tcMar>
            <w:vAlign w:val="bottom"/>
            <w:hideMark/>
          </w:tcPr>
          <w:p w14:paraId="67E3B7CC" w14:textId="77777777" w:rsidR="00000000" w:rsidRDefault="00195E73">
            <w:pPr>
              <w:jc w:val="right"/>
              <w:rPr>
                <w:rFonts w:eastAsia="Times New Roman"/>
              </w:rPr>
            </w:pPr>
            <w:r>
              <w:rPr>
                <w:rFonts w:eastAsia="Times New Roman"/>
                <w:color w:val="000000"/>
                <w:sz w:val="12"/>
                <w:szCs w:val="12"/>
              </w:rPr>
              <w:t>190</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60EEEF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5F25C1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C48AF7" w14:textId="77777777" w:rsidR="00000000" w:rsidRDefault="00195E73">
            <w:pPr>
              <w:jc w:val="right"/>
              <w:rPr>
                <w:rFonts w:eastAsia="Times New Roman"/>
              </w:rPr>
            </w:pPr>
            <w:r>
              <w:rPr>
                <w:rFonts w:eastAsia="Times New Roman"/>
                <w:color w:val="000000"/>
                <w:sz w:val="12"/>
                <w:szCs w:val="12"/>
              </w:rPr>
              <w:t>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8141C0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684A49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AA2EF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0D8568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67B631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96179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714D83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5B6E12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E8CA6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4AA539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556D20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C52E17"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D85FB6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809759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F18C1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697D44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9B768A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37C097"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1E4317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A4B003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552C2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08BC80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D84C78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E72E82" w14:textId="77777777" w:rsidR="00000000" w:rsidRDefault="00195E73">
            <w:pPr>
              <w:jc w:val="right"/>
              <w:rPr>
                <w:rFonts w:eastAsia="Times New Roman"/>
              </w:rPr>
            </w:pPr>
            <w:r>
              <w:rPr>
                <w:rFonts w:eastAsia="Times New Roman"/>
                <w:color w:val="000000"/>
                <w:sz w:val="12"/>
                <w:szCs w:val="12"/>
              </w:rPr>
              <w:t>69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4EFF37F"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345D558F"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BA823B1" w14:textId="77777777" w:rsidR="00000000" w:rsidRDefault="00195E73">
            <w:pPr>
              <w:jc w:val="right"/>
              <w:rPr>
                <w:rFonts w:eastAsia="Times New Roman"/>
              </w:rPr>
            </w:pPr>
            <w:r>
              <w:rPr>
                <w:rFonts w:eastAsia="Times New Roman"/>
                <w:color w:val="000000"/>
                <w:sz w:val="12"/>
                <w:szCs w:val="12"/>
              </w:rPr>
              <w:t>265</w:t>
            </w:r>
            <w:r>
              <w:rPr>
                <w:rFonts w:eastAsia="Times New Roman"/>
                <w:color w:val="000000"/>
                <w:sz w:val="12"/>
                <w:szCs w:val="12"/>
              </w:rPr>
              <w:t> </w:t>
            </w:r>
            <w:r>
              <w:rPr>
                <w:rFonts w:eastAsia="Times New Roman"/>
                <w:color w:val="000000"/>
                <w:sz w:val="12"/>
                <w:szCs w:val="12"/>
              </w:rPr>
              <w:t> </w:t>
            </w:r>
          </w:p>
        </w:tc>
      </w:tr>
      <w:tr w:rsidR="00195E73" w14:paraId="256CB6A3" w14:textId="77777777">
        <w:trPr>
          <w:divId w:val="1734279977"/>
          <w:jc w:val="center"/>
        </w:trPr>
        <w:tc>
          <w:tcPr>
            <w:tcW w:w="0" w:type="auto"/>
            <w:gridSpan w:val="3"/>
            <w:shd w:val="clear" w:color="auto" w:fill="CCEEFF"/>
            <w:tcMar>
              <w:top w:w="30" w:type="dxa"/>
              <w:left w:w="20" w:type="dxa"/>
              <w:bottom w:w="30" w:type="dxa"/>
              <w:right w:w="20" w:type="dxa"/>
            </w:tcMar>
            <w:vAlign w:val="bottom"/>
            <w:hideMark/>
          </w:tcPr>
          <w:p w14:paraId="28FB9510" w14:textId="77777777" w:rsidR="00000000" w:rsidRDefault="00195E73">
            <w:pPr>
              <w:ind w:firstLine="180"/>
              <w:divId w:val="1500269840"/>
              <w:rPr>
                <w:rFonts w:eastAsia="Times New Roman"/>
              </w:rPr>
            </w:pPr>
            <w:r>
              <w:rPr>
                <w:rFonts w:eastAsia="Times New Roman"/>
                <w:color w:val="000000"/>
                <w:sz w:val="12"/>
                <w:szCs w:val="12"/>
              </w:rPr>
              <w:t>Gain (loss) on disposition of assets, ne</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5692499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51D602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2FF54A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601868" w14:textId="77777777" w:rsidR="00000000" w:rsidRDefault="00195E73">
            <w:pPr>
              <w:jc w:val="right"/>
              <w:rPr>
                <w:rFonts w:eastAsia="Times New Roman"/>
              </w:rPr>
            </w:pPr>
            <w:r>
              <w:rPr>
                <w:rFonts w:eastAsia="Times New Roman"/>
                <w:color w:val="000000"/>
                <w:sz w:val="12"/>
                <w:szCs w:val="12"/>
              </w:rPr>
              <w:t>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9954A6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F53946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71F8FB" w14:textId="77777777" w:rsidR="00000000" w:rsidRDefault="00195E73">
            <w:pPr>
              <w:jc w:val="right"/>
              <w:rPr>
                <w:rFonts w:eastAsia="Times New Roman"/>
              </w:rPr>
            </w:pPr>
            <w:r>
              <w:rPr>
                <w:rFonts w:eastAsia="Times New Roman"/>
                <w:color w:val="000000"/>
                <w:sz w:val="12"/>
                <w:szCs w:val="12"/>
              </w:rPr>
              <w:t>(4</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636997D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4F3DB9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3C15A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E18AEA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3F0C24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5A5C57"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39525B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BD4821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90B24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41457E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B7C703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EAA6A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808545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298A19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7BEDCD" w14:textId="77777777" w:rsidR="00000000" w:rsidRDefault="00195E73">
            <w:pPr>
              <w:jc w:val="right"/>
              <w:rPr>
                <w:rFonts w:eastAsia="Times New Roman"/>
              </w:rPr>
            </w:pPr>
            <w:r>
              <w:rPr>
                <w:rFonts w:eastAsia="Times New Roman"/>
                <w:color w:val="000000"/>
                <w:sz w:val="12"/>
                <w:szCs w:val="12"/>
              </w:rPr>
              <w:t>252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15ECA7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C8AB7F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BF313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1CF740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EA290A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93156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EA9E57D"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56D5E605"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6E62029" w14:textId="77777777" w:rsidR="00000000" w:rsidRDefault="00195E73">
            <w:pPr>
              <w:jc w:val="right"/>
              <w:rPr>
                <w:rFonts w:eastAsia="Times New Roman"/>
              </w:rPr>
            </w:pPr>
            <w:r>
              <w:rPr>
                <w:rFonts w:eastAsia="Times New Roman"/>
                <w:color w:val="000000"/>
                <w:sz w:val="12"/>
                <w:szCs w:val="12"/>
              </w:rPr>
              <w:t>253</w:t>
            </w:r>
            <w:r>
              <w:rPr>
                <w:rFonts w:eastAsia="Times New Roman"/>
                <w:color w:val="000000"/>
                <w:sz w:val="12"/>
                <w:szCs w:val="12"/>
              </w:rPr>
              <w:t> </w:t>
            </w:r>
            <w:r>
              <w:rPr>
                <w:rFonts w:eastAsia="Times New Roman"/>
                <w:color w:val="000000"/>
                <w:sz w:val="12"/>
                <w:szCs w:val="12"/>
              </w:rPr>
              <w:t> </w:t>
            </w:r>
          </w:p>
        </w:tc>
      </w:tr>
      <w:tr w:rsidR="00195E73" w14:paraId="1CE87C60" w14:textId="77777777">
        <w:trPr>
          <w:divId w:val="1734279977"/>
          <w:jc w:val="center"/>
        </w:trPr>
        <w:tc>
          <w:tcPr>
            <w:tcW w:w="0" w:type="auto"/>
            <w:gridSpan w:val="3"/>
            <w:shd w:val="clear" w:color="auto" w:fill="FFFFFF"/>
            <w:tcMar>
              <w:top w:w="30" w:type="dxa"/>
              <w:left w:w="20" w:type="dxa"/>
              <w:bottom w:w="30" w:type="dxa"/>
              <w:right w:w="20" w:type="dxa"/>
            </w:tcMar>
            <w:vAlign w:val="bottom"/>
            <w:hideMark/>
          </w:tcPr>
          <w:p w14:paraId="56A75AB6" w14:textId="77777777" w:rsidR="00000000" w:rsidRDefault="00195E73">
            <w:pPr>
              <w:ind w:firstLine="180"/>
              <w:divId w:val="1995715110"/>
              <w:rPr>
                <w:rFonts w:eastAsia="Times New Roman"/>
              </w:rPr>
            </w:pPr>
            <w:r>
              <w:rPr>
                <w:rFonts w:eastAsia="Times New Roman"/>
                <w:color w:val="000000"/>
                <w:sz w:val="12"/>
                <w:szCs w:val="12"/>
              </w:rPr>
              <w:t>Other (loss) income, ne</w:t>
            </w:r>
            <w:r>
              <w:rPr>
                <w:rFonts w:eastAsia="Times New Roman"/>
                <w:color w:val="000000"/>
                <w:sz w:val="12"/>
                <w:szCs w:val="12"/>
              </w:rPr>
              <w:t>t</w:t>
            </w:r>
          </w:p>
        </w:tc>
        <w:tc>
          <w:tcPr>
            <w:tcW w:w="0" w:type="auto"/>
            <w:gridSpan w:val="2"/>
            <w:shd w:val="clear" w:color="auto" w:fill="FFFFFF"/>
            <w:tcMar>
              <w:top w:w="30" w:type="dxa"/>
              <w:left w:w="20" w:type="dxa"/>
              <w:bottom w:w="30" w:type="dxa"/>
              <w:right w:w="0" w:type="dxa"/>
            </w:tcMar>
            <w:vAlign w:val="bottom"/>
            <w:hideMark/>
          </w:tcPr>
          <w:p w14:paraId="6D4FED9A"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2E5B25F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9CBE8F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B53814" w14:textId="77777777" w:rsidR="00000000" w:rsidRDefault="00195E73">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93523E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6AFC13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953D51" w14:textId="77777777" w:rsidR="00000000" w:rsidRDefault="00195E73">
            <w:pPr>
              <w:jc w:val="right"/>
              <w:rPr>
                <w:rFonts w:eastAsia="Times New Roman"/>
              </w:rPr>
            </w:pPr>
            <w:r>
              <w:rPr>
                <w:rFonts w:eastAsia="Times New Roman"/>
                <w:color w:val="000000"/>
                <w:sz w:val="12"/>
                <w:szCs w:val="12"/>
              </w:rPr>
              <w:t>15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B5E258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5D211A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FCA95B" w14:textId="77777777" w:rsidR="00000000" w:rsidRDefault="00195E73">
            <w:pPr>
              <w:jc w:val="right"/>
              <w:rPr>
                <w:rFonts w:eastAsia="Times New Roman"/>
              </w:rPr>
            </w:pPr>
            <w:r>
              <w:rPr>
                <w:rFonts w:eastAsia="Times New Roman"/>
                <w:color w:val="000000"/>
                <w:sz w:val="12"/>
                <w:szCs w:val="12"/>
              </w:rPr>
              <w:t>(8</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55F9F8E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1CE7EA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DE74A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62D574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479EBE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5BBDBC" w14:textId="77777777" w:rsidR="00000000" w:rsidRDefault="00195E73">
            <w:pPr>
              <w:jc w:val="right"/>
              <w:rPr>
                <w:rFonts w:eastAsia="Times New Roman"/>
              </w:rPr>
            </w:pPr>
            <w:r>
              <w:rPr>
                <w:rFonts w:eastAsia="Times New Roman"/>
                <w:color w:val="000000"/>
                <w:sz w:val="12"/>
                <w:szCs w:val="12"/>
              </w:rPr>
              <w:t>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E8A8D5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45D3DB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1559BE"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062093B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ACF5DB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4C3DCD"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37EBE46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FA4F6F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A23AA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8B07D5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5C4812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9C01F3"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2038B04"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5CF8D3B8"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0DF2DAF" w14:textId="77777777" w:rsidR="00000000" w:rsidRDefault="00195E73">
            <w:pPr>
              <w:jc w:val="right"/>
              <w:rPr>
                <w:rFonts w:eastAsia="Times New Roman"/>
              </w:rPr>
            </w:pPr>
            <w:r>
              <w:rPr>
                <w:rFonts w:eastAsia="Times New Roman"/>
                <w:color w:val="000000"/>
                <w:sz w:val="12"/>
                <w:szCs w:val="12"/>
              </w:rPr>
              <w:t>19</w:t>
            </w:r>
            <w:r>
              <w:rPr>
                <w:rFonts w:eastAsia="Times New Roman"/>
                <w:color w:val="000000"/>
                <w:sz w:val="12"/>
                <w:szCs w:val="12"/>
              </w:rPr>
              <w:t> </w:t>
            </w:r>
            <w:r>
              <w:rPr>
                <w:rFonts w:eastAsia="Times New Roman"/>
                <w:color w:val="000000"/>
                <w:sz w:val="12"/>
                <w:szCs w:val="12"/>
              </w:rPr>
              <w:t> </w:t>
            </w:r>
          </w:p>
        </w:tc>
      </w:tr>
      <w:tr w:rsidR="00195E73" w14:paraId="1838302A" w14:textId="77777777">
        <w:trPr>
          <w:divId w:val="1734279977"/>
          <w:jc w:val="center"/>
        </w:trPr>
        <w:tc>
          <w:tcPr>
            <w:tcW w:w="0" w:type="auto"/>
            <w:gridSpan w:val="3"/>
            <w:shd w:val="clear" w:color="auto" w:fill="CCEEFF"/>
            <w:tcMar>
              <w:top w:w="15" w:type="dxa"/>
              <w:left w:w="20" w:type="dxa"/>
              <w:bottom w:w="15" w:type="dxa"/>
              <w:right w:w="20" w:type="dxa"/>
            </w:tcMar>
            <w:vAlign w:val="bottom"/>
            <w:hideMark/>
          </w:tcPr>
          <w:p w14:paraId="1DF834A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0808D0" w14:textId="77777777" w:rsidR="00000000" w:rsidRDefault="00195E73">
            <w:pPr>
              <w:jc w:val="right"/>
              <w:rPr>
                <w:rFonts w:eastAsia="Times New Roman"/>
              </w:rPr>
            </w:pPr>
            <w:r>
              <w:rPr>
                <w:rFonts w:eastAsia="Times New Roman"/>
                <w:color w:val="000000"/>
                <w:sz w:val="12"/>
                <w:szCs w:val="12"/>
              </w:rPr>
              <w:t>(1,414</w:t>
            </w: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D46E4D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3C6A8D5"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47D636" w14:textId="77777777" w:rsidR="00000000" w:rsidRDefault="00195E73">
            <w:pPr>
              <w:jc w:val="right"/>
              <w:rPr>
                <w:rFonts w:eastAsia="Times New Roman"/>
              </w:rPr>
            </w:pPr>
            <w:r>
              <w:rPr>
                <w:rFonts w:eastAsia="Times New Roman"/>
                <w:color w:val="000000"/>
                <w:sz w:val="12"/>
                <w:szCs w:val="12"/>
              </w:rPr>
              <w:t>6,385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9F19F9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5838899"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1BFFEA" w14:textId="77777777" w:rsidR="00000000" w:rsidRDefault="00195E73">
            <w:pPr>
              <w:jc w:val="right"/>
              <w:rPr>
                <w:rFonts w:eastAsia="Times New Roman"/>
              </w:rPr>
            </w:pPr>
            <w:r>
              <w:rPr>
                <w:rFonts w:eastAsia="Times New Roman"/>
                <w:color w:val="000000"/>
                <w:sz w:val="12"/>
                <w:szCs w:val="12"/>
              </w:rPr>
              <w:t>2,895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735A5E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02A45FE"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CBE829" w14:textId="77777777" w:rsidR="00000000" w:rsidRDefault="00195E73">
            <w:pPr>
              <w:jc w:val="right"/>
              <w:rPr>
                <w:rFonts w:eastAsia="Times New Roman"/>
              </w:rPr>
            </w:pPr>
            <w:r>
              <w:rPr>
                <w:rFonts w:eastAsia="Times New Roman"/>
                <w:color w:val="000000"/>
                <w:sz w:val="12"/>
                <w:szCs w:val="12"/>
              </w:rPr>
              <w:t>375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99619E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E6D794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D387DF" w14:textId="77777777" w:rsidR="00000000" w:rsidRDefault="00195E73">
            <w:pPr>
              <w:jc w:val="right"/>
              <w:rPr>
                <w:rFonts w:eastAsia="Times New Roman"/>
              </w:rPr>
            </w:pPr>
            <w:r>
              <w:rPr>
                <w:rFonts w:eastAsia="Times New Roman"/>
                <w:color w:val="000000"/>
                <w:sz w:val="12"/>
                <w:szCs w:val="12"/>
              </w:rPr>
              <w:t>341</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610240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4429B86"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5536FF" w14:textId="77777777" w:rsidR="00000000" w:rsidRDefault="00195E73">
            <w:pPr>
              <w:jc w:val="right"/>
              <w:rPr>
                <w:rFonts w:eastAsia="Times New Roman"/>
              </w:rPr>
            </w:pPr>
            <w:r>
              <w:rPr>
                <w:rFonts w:eastAsia="Times New Roman"/>
                <w:color w:val="000000"/>
                <w:sz w:val="12"/>
                <w:szCs w:val="12"/>
              </w:rPr>
              <w:t>103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22BD43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67A0EE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99F56E" w14:textId="77777777" w:rsidR="00000000" w:rsidRDefault="00195E73">
            <w:pPr>
              <w:jc w:val="right"/>
              <w:rPr>
                <w:rFonts w:eastAsia="Times New Roman"/>
              </w:rPr>
            </w:pPr>
            <w:r>
              <w:rPr>
                <w:rFonts w:eastAsia="Times New Roman"/>
                <w:color w:val="000000"/>
                <w:sz w:val="12"/>
                <w:szCs w:val="12"/>
              </w:rPr>
              <w:t>186</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469441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565287A"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CEA42B" w14:textId="77777777" w:rsidR="00000000" w:rsidRDefault="00195E73">
            <w:pPr>
              <w:jc w:val="right"/>
              <w:rPr>
                <w:rFonts w:eastAsia="Times New Roman"/>
              </w:rPr>
            </w:pPr>
            <w:r>
              <w:rPr>
                <w:rFonts w:eastAsia="Times New Roman"/>
                <w:color w:val="000000"/>
                <w:sz w:val="12"/>
                <w:szCs w:val="12"/>
              </w:rPr>
              <w:t>382</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67CC2E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B4E54C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18862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2E06BA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68EB07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13E9E5" w14:textId="77777777" w:rsidR="00000000" w:rsidRDefault="00195E73">
            <w:pPr>
              <w:jc w:val="right"/>
              <w:rPr>
                <w:rFonts w:eastAsia="Times New Roman"/>
              </w:rPr>
            </w:pPr>
            <w:r>
              <w:rPr>
                <w:rFonts w:eastAsia="Times New Roman"/>
                <w:color w:val="000000"/>
                <w:sz w:val="12"/>
                <w:szCs w:val="12"/>
              </w:rPr>
              <w:t>(261</w:t>
            </w: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600BFEC"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55CF9062"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E2DCAA" w14:textId="77777777" w:rsidR="00000000" w:rsidRDefault="00195E73">
            <w:pPr>
              <w:jc w:val="right"/>
              <w:rPr>
                <w:rFonts w:eastAsia="Times New Roman"/>
              </w:rPr>
            </w:pPr>
            <w:r>
              <w:rPr>
                <w:rFonts w:eastAsia="Times New Roman"/>
                <w:color w:val="000000"/>
                <w:sz w:val="12"/>
                <w:szCs w:val="12"/>
              </w:rPr>
              <w:t>8,992</w:t>
            </w:r>
            <w:r>
              <w:rPr>
                <w:rFonts w:eastAsia="Times New Roman"/>
                <w:color w:val="000000"/>
                <w:sz w:val="12"/>
                <w:szCs w:val="12"/>
              </w:rPr>
              <w:t> </w:t>
            </w:r>
            <w:r>
              <w:rPr>
                <w:rFonts w:eastAsia="Times New Roman"/>
                <w:color w:val="000000"/>
                <w:sz w:val="12"/>
                <w:szCs w:val="12"/>
              </w:rPr>
              <w:t> </w:t>
            </w:r>
          </w:p>
        </w:tc>
      </w:tr>
      <w:tr w:rsidR="00000000" w14:paraId="34296C45" w14:textId="77777777">
        <w:trPr>
          <w:divId w:val="1734279977"/>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3E9C7CE5" w14:textId="77777777" w:rsidR="00000000" w:rsidRDefault="00195E73">
            <w:pPr>
              <w:rPr>
                <w:rFonts w:eastAsia="Times New Roman"/>
              </w:rPr>
            </w:pPr>
            <w:r>
              <w:rPr>
                <w:rFonts w:eastAsia="Times New Roman"/>
                <w:color w:val="000000"/>
                <w:sz w:val="12"/>
                <w:szCs w:val="12"/>
              </w:rPr>
              <w:t>Expenses</w:t>
            </w:r>
            <w:r>
              <w:rPr>
                <w:rFonts w:eastAsia="Times New Roman"/>
                <w:color w:val="000000"/>
                <w:sz w:val="12"/>
                <w:szCs w:val="12"/>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14703B87"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0A877D2"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4A097B9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8D75AEC"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28C7EE5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91075CD"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2783F14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BCCB074"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4699FC5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C71E01C"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57AF517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BD5EE8A"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592D24E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3EEC7F5"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6A79C16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BFD0CCB"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15E09E1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51CAF3E"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187BB8CA"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5D6CDA00" w14:textId="77777777" w:rsidR="00000000" w:rsidRDefault="00195E73">
            <w:pPr>
              <w:rPr>
                <w:rFonts w:eastAsia="Times New Roman"/>
                <w:sz w:val="20"/>
                <w:szCs w:val="20"/>
              </w:rPr>
            </w:pPr>
          </w:p>
        </w:tc>
        <w:tc>
          <w:tcPr>
            <w:tcW w:w="0" w:type="auto"/>
            <w:tcBorders>
              <w:top w:val="single" w:sz="8" w:space="0" w:color="000000"/>
            </w:tcBorders>
            <w:shd w:val="clear" w:color="auto" w:fill="FFFFFF"/>
            <w:tcMar>
              <w:top w:w="15" w:type="dxa"/>
              <w:left w:w="20" w:type="dxa"/>
              <w:bottom w:w="15" w:type="dxa"/>
              <w:right w:w="20" w:type="dxa"/>
            </w:tcMar>
            <w:vAlign w:val="bottom"/>
            <w:hideMark/>
          </w:tcPr>
          <w:p w14:paraId="33F409D1" w14:textId="77777777" w:rsidR="00000000" w:rsidRDefault="00195E73">
            <w:pPr>
              <w:rPr>
                <w:rFonts w:eastAsia="Times New Roman"/>
                <w:sz w:val="20"/>
                <w:szCs w:val="20"/>
              </w:rPr>
            </w:pPr>
          </w:p>
        </w:tc>
      </w:tr>
      <w:tr w:rsidR="00195E73" w14:paraId="65C23EFF" w14:textId="77777777">
        <w:trPr>
          <w:divId w:val="1734279977"/>
          <w:jc w:val="center"/>
        </w:trPr>
        <w:tc>
          <w:tcPr>
            <w:tcW w:w="0" w:type="auto"/>
            <w:gridSpan w:val="3"/>
            <w:shd w:val="clear" w:color="auto" w:fill="CCEEFF"/>
            <w:tcMar>
              <w:top w:w="30" w:type="dxa"/>
              <w:left w:w="20" w:type="dxa"/>
              <w:bottom w:w="30" w:type="dxa"/>
              <w:right w:w="20" w:type="dxa"/>
            </w:tcMar>
            <w:vAlign w:val="bottom"/>
            <w:hideMark/>
          </w:tcPr>
          <w:p w14:paraId="342B68A3" w14:textId="77777777" w:rsidR="00000000" w:rsidRDefault="00195E73">
            <w:pPr>
              <w:ind w:firstLine="180"/>
              <w:divId w:val="1694262230"/>
              <w:rPr>
                <w:rFonts w:eastAsia="Times New Roman"/>
              </w:rPr>
            </w:pPr>
            <w:r>
              <w:rPr>
                <w:rFonts w:eastAsia="Times New Roman"/>
                <w:color w:val="000000"/>
                <w:sz w:val="12"/>
                <w:szCs w:val="12"/>
              </w:rPr>
              <w:t>Cost of goods sol</w:t>
            </w:r>
            <w:r>
              <w:rPr>
                <w:rFonts w:eastAsia="Times New Roman"/>
                <w:color w:val="000000"/>
                <w:sz w:val="12"/>
                <w:szCs w:val="12"/>
              </w:rPr>
              <w:t>d</w:t>
            </w:r>
          </w:p>
        </w:tc>
        <w:tc>
          <w:tcPr>
            <w:tcW w:w="0" w:type="auto"/>
            <w:gridSpan w:val="2"/>
            <w:shd w:val="clear" w:color="auto" w:fill="CCEEFF"/>
            <w:tcMar>
              <w:top w:w="30" w:type="dxa"/>
              <w:left w:w="20" w:type="dxa"/>
              <w:bottom w:w="30" w:type="dxa"/>
              <w:right w:w="0" w:type="dxa"/>
            </w:tcMar>
            <w:vAlign w:val="bottom"/>
            <w:hideMark/>
          </w:tcPr>
          <w:p w14:paraId="0059F95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6BEC34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F55C09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C9AA71" w14:textId="77777777" w:rsidR="00000000" w:rsidRDefault="00195E73">
            <w:pPr>
              <w:jc w:val="right"/>
              <w:rPr>
                <w:rFonts w:eastAsia="Times New Roman"/>
              </w:rPr>
            </w:pPr>
            <w:r>
              <w:rPr>
                <w:rFonts w:eastAsia="Times New Roman"/>
                <w:color w:val="000000"/>
                <w:sz w:val="12"/>
                <w:szCs w:val="12"/>
              </w:rPr>
              <w:t>5,707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E9C715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2B4EA9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98E12C" w14:textId="77777777" w:rsidR="00000000" w:rsidRDefault="00195E73">
            <w:pPr>
              <w:jc w:val="right"/>
              <w:rPr>
                <w:rFonts w:eastAsia="Times New Roman"/>
              </w:rPr>
            </w:pPr>
            <w:r>
              <w:rPr>
                <w:rFonts w:eastAsia="Times New Roman"/>
                <w:color w:val="000000"/>
                <w:sz w:val="12"/>
                <w:szCs w:val="12"/>
              </w:rPr>
              <w:t>1,625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1033CE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4448E0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08DAFD" w14:textId="77777777" w:rsidR="00000000" w:rsidRDefault="00195E73">
            <w:pPr>
              <w:jc w:val="right"/>
              <w:rPr>
                <w:rFonts w:eastAsia="Times New Roman"/>
              </w:rPr>
            </w:pPr>
            <w:r>
              <w:rPr>
                <w:rFonts w:eastAsia="Times New Roman"/>
                <w:color w:val="000000"/>
                <w:sz w:val="12"/>
                <w:szCs w:val="12"/>
              </w:rPr>
              <w:t>309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FC5E3D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5C2975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3464D4" w14:textId="77777777" w:rsidR="00000000" w:rsidRDefault="00195E73">
            <w:pPr>
              <w:jc w:val="right"/>
              <w:rPr>
                <w:rFonts w:eastAsia="Times New Roman"/>
              </w:rPr>
            </w:pPr>
            <w:r>
              <w:rPr>
                <w:rFonts w:eastAsia="Times New Roman"/>
                <w:color w:val="000000"/>
                <w:sz w:val="12"/>
                <w:szCs w:val="12"/>
              </w:rPr>
              <w:t>343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60D07C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CEF894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731123" w14:textId="77777777" w:rsidR="00000000" w:rsidRDefault="00195E73">
            <w:pPr>
              <w:jc w:val="right"/>
              <w:rPr>
                <w:rFonts w:eastAsia="Times New Roman"/>
              </w:rPr>
            </w:pPr>
            <w:r>
              <w:rPr>
                <w:rFonts w:eastAsia="Times New Roman"/>
                <w:color w:val="000000"/>
                <w:sz w:val="12"/>
                <w:szCs w:val="12"/>
              </w:rPr>
              <w:t>18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5652E2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5A9529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D2F17B" w14:textId="77777777" w:rsidR="00000000" w:rsidRDefault="00195E73">
            <w:pPr>
              <w:jc w:val="right"/>
              <w:rPr>
                <w:rFonts w:eastAsia="Times New Roman"/>
              </w:rPr>
            </w:pPr>
            <w:r>
              <w:rPr>
                <w:rFonts w:eastAsia="Times New Roman"/>
                <w:color w:val="000000"/>
                <w:sz w:val="12"/>
                <w:szCs w:val="12"/>
              </w:rPr>
              <w:t>159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686C81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BB7BE8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1416A7" w14:textId="77777777" w:rsidR="00000000" w:rsidRDefault="00195E73">
            <w:pPr>
              <w:jc w:val="right"/>
              <w:rPr>
                <w:rFonts w:eastAsia="Times New Roman"/>
              </w:rPr>
            </w:pPr>
            <w:r>
              <w:rPr>
                <w:rFonts w:eastAsia="Times New Roman"/>
                <w:color w:val="000000"/>
                <w:sz w:val="12"/>
                <w:szCs w:val="12"/>
              </w:rPr>
              <w:t>51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4B602E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59AF41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9421A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1DCD09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F3A725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42474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9B470E9"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4A5C94DA"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CC752D9" w14:textId="77777777" w:rsidR="00000000" w:rsidRDefault="00195E73">
            <w:pPr>
              <w:jc w:val="right"/>
              <w:rPr>
                <w:rFonts w:eastAsia="Times New Roman"/>
              </w:rPr>
            </w:pPr>
            <w:r>
              <w:rPr>
                <w:rFonts w:eastAsia="Times New Roman"/>
                <w:color w:val="000000"/>
                <w:sz w:val="12"/>
                <w:szCs w:val="12"/>
              </w:rPr>
              <w:t>8,212</w:t>
            </w:r>
            <w:r>
              <w:rPr>
                <w:rFonts w:eastAsia="Times New Roman"/>
                <w:color w:val="000000"/>
                <w:sz w:val="12"/>
                <w:szCs w:val="12"/>
              </w:rPr>
              <w:t> </w:t>
            </w:r>
            <w:r>
              <w:rPr>
                <w:rFonts w:eastAsia="Times New Roman"/>
                <w:color w:val="000000"/>
                <w:sz w:val="12"/>
                <w:szCs w:val="12"/>
              </w:rPr>
              <w:t> </w:t>
            </w:r>
          </w:p>
        </w:tc>
      </w:tr>
      <w:tr w:rsidR="00195E73" w14:paraId="28224886" w14:textId="77777777">
        <w:trPr>
          <w:divId w:val="1734279977"/>
          <w:jc w:val="center"/>
        </w:trPr>
        <w:tc>
          <w:tcPr>
            <w:tcW w:w="0" w:type="auto"/>
            <w:gridSpan w:val="3"/>
            <w:shd w:val="clear" w:color="auto" w:fill="FFFFFF"/>
            <w:tcMar>
              <w:top w:w="30" w:type="dxa"/>
              <w:left w:w="20" w:type="dxa"/>
              <w:bottom w:w="30" w:type="dxa"/>
              <w:right w:w="20" w:type="dxa"/>
            </w:tcMar>
            <w:vAlign w:val="bottom"/>
            <w:hideMark/>
          </w:tcPr>
          <w:p w14:paraId="67F7B99D" w14:textId="77777777" w:rsidR="00000000" w:rsidRDefault="00195E73">
            <w:pPr>
              <w:ind w:firstLine="180"/>
              <w:divId w:val="810367883"/>
              <w:rPr>
                <w:rFonts w:eastAsia="Times New Roman"/>
              </w:rPr>
            </w:pPr>
            <w:r>
              <w:rPr>
                <w:rFonts w:eastAsia="Times New Roman"/>
                <w:color w:val="000000"/>
                <w:sz w:val="12"/>
                <w:szCs w:val="12"/>
              </w:rPr>
              <w:t>Other expenses from operation</w:t>
            </w:r>
            <w:r>
              <w:rPr>
                <w:rFonts w:eastAsia="Times New Roman"/>
                <w:color w:val="000000"/>
                <w:sz w:val="12"/>
                <w:szCs w:val="12"/>
              </w:rPr>
              <w:t>s</w:t>
            </w:r>
          </w:p>
        </w:tc>
        <w:tc>
          <w:tcPr>
            <w:tcW w:w="0" w:type="auto"/>
            <w:gridSpan w:val="2"/>
            <w:shd w:val="clear" w:color="auto" w:fill="FFFFFF"/>
            <w:tcMar>
              <w:top w:w="30" w:type="dxa"/>
              <w:left w:w="20" w:type="dxa"/>
              <w:bottom w:w="30" w:type="dxa"/>
              <w:right w:w="0" w:type="dxa"/>
            </w:tcMar>
            <w:vAlign w:val="bottom"/>
            <w:hideMark/>
          </w:tcPr>
          <w:p w14:paraId="2598BB5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F57C36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4EF6B1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EBCE6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45B4EF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DF04C7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B3488E" w14:textId="77777777" w:rsidR="00000000" w:rsidRDefault="00195E73">
            <w:pPr>
              <w:jc w:val="right"/>
              <w:rPr>
                <w:rFonts w:eastAsia="Times New Roman"/>
              </w:rPr>
            </w:pPr>
            <w:r>
              <w:rPr>
                <w:rFonts w:eastAsia="Times New Roman"/>
                <w:color w:val="000000"/>
                <w:sz w:val="12"/>
                <w:szCs w:val="12"/>
              </w:rPr>
              <w:t>464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6F32DB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A2D1C1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9CA0E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6D5E7B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726D52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CC478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2E10AB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E65E8C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A0C8C8" w14:textId="77777777" w:rsidR="00000000" w:rsidRDefault="00195E73">
            <w:pPr>
              <w:jc w:val="right"/>
              <w:rPr>
                <w:rFonts w:eastAsia="Times New Roman"/>
              </w:rPr>
            </w:pPr>
            <w:r>
              <w:rPr>
                <w:rFonts w:eastAsia="Times New Roman"/>
                <w:color w:val="000000"/>
                <w:sz w:val="12"/>
                <w:szCs w:val="12"/>
              </w:rPr>
              <w:t>54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1435EF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0A03B4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0EAFB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477DDD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58568B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0E89B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AC5565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F8F32C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9C0C6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493CA6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4C8406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5BCD1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9D6E59C"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343362BF"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2600165" w14:textId="77777777" w:rsidR="00000000" w:rsidRDefault="00195E73">
            <w:pPr>
              <w:jc w:val="right"/>
              <w:rPr>
                <w:rFonts w:eastAsia="Times New Roman"/>
              </w:rPr>
            </w:pPr>
            <w:r>
              <w:rPr>
                <w:rFonts w:eastAsia="Times New Roman"/>
                <w:color w:val="000000"/>
                <w:sz w:val="12"/>
                <w:szCs w:val="12"/>
              </w:rPr>
              <w:t>518</w:t>
            </w:r>
            <w:r>
              <w:rPr>
                <w:rFonts w:eastAsia="Times New Roman"/>
                <w:color w:val="000000"/>
                <w:sz w:val="12"/>
                <w:szCs w:val="12"/>
              </w:rPr>
              <w:t> </w:t>
            </w:r>
            <w:r>
              <w:rPr>
                <w:rFonts w:eastAsia="Times New Roman"/>
                <w:color w:val="000000"/>
                <w:sz w:val="12"/>
                <w:szCs w:val="12"/>
              </w:rPr>
              <w:t> </w:t>
            </w:r>
          </w:p>
        </w:tc>
      </w:tr>
      <w:tr w:rsidR="00195E73" w14:paraId="0BDCB99F" w14:textId="77777777">
        <w:trPr>
          <w:divId w:val="1734279977"/>
          <w:jc w:val="center"/>
        </w:trPr>
        <w:tc>
          <w:tcPr>
            <w:tcW w:w="0" w:type="auto"/>
            <w:gridSpan w:val="3"/>
            <w:shd w:val="clear" w:color="auto" w:fill="CCEEFF"/>
            <w:tcMar>
              <w:top w:w="30" w:type="dxa"/>
              <w:left w:w="20" w:type="dxa"/>
              <w:bottom w:w="30" w:type="dxa"/>
              <w:right w:w="20" w:type="dxa"/>
            </w:tcMar>
            <w:vAlign w:val="bottom"/>
            <w:hideMark/>
          </w:tcPr>
          <w:p w14:paraId="4645056F" w14:textId="77777777" w:rsidR="00000000" w:rsidRDefault="00195E73">
            <w:pPr>
              <w:ind w:firstLine="180"/>
              <w:divId w:val="1259831083"/>
              <w:rPr>
                <w:rFonts w:eastAsia="Times New Roman"/>
              </w:rPr>
            </w:pPr>
            <w:r>
              <w:rPr>
                <w:rFonts w:eastAsia="Times New Roman"/>
                <w:color w:val="000000"/>
                <w:sz w:val="12"/>
                <w:szCs w:val="12"/>
              </w:rPr>
              <w:t>Selling, general and administrativ</w:t>
            </w:r>
            <w:r>
              <w:rPr>
                <w:rFonts w:eastAsia="Times New Roman"/>
                <w:color w:val="000000"/>
                <w:sz w:val="12"/>
                <w:szCs w:val="12"/>
              </w:rPr>
              <w:t>e</w:t>
            </w:r>
          </w:p>
        </w:tc>
        <w:tc>
          <w:tcPr>
            <w:tcW w:w="0" w:type="auto"/>
            <w:gridSpan w:val="2"/>
            <w:shd w:val="clear" w:color="auto" w:fill="CCEEFF"/>
            <w:tcMar>
              <w:top w:w="30" w:type="dxa"/>
              <w:left w:w="20" w:type="dxa"/>
              <w:bottom w:w="30" w:type="dxa"/>
              <w:right w:w="0" w:type="dxa"/>
            </w:tcMar>
            <w:vAlign w:val="bottom"/>
            <w:hideMark/>
          </w:tcPr>
          <w:p w14:paraId="60EE5B79" w14:textId="77777777" w:rsidR="00000000" w:rsidRDefault="00195E73">
            <w:pPr>
              <w:jc w:val="right"/>
              <w:rPr>
                <w:rFonts w:eastAsia="Times New Roman"/>
              </w:rPr>
            </w:pPr>
            <w:r>
              <w:rPr>
                <w:rFonts w:eastAsia="Times New Roman"/>
                <w:color w:val="000000"/>
                <w:sz w:val="12"/>
                <w:szCs w:val="12"/>
              </w:rPr>
              <w:t>23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3381D3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AC625F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AB6425" w14:textId="77777777" w:rsidR="00000000" w:rsidRDefault="00195E73">
            <w:pPr>
              <w:jc w:val="right"/>
              <w:rPr>
                <w:rFonts w:eastAsia="Times New Roman"/>
              </w:rPr>
            </w:pPr>
            <w:r>
              <w:rPr>
                <w:rFonts w:eastAsia="Times New Roman"/>
                <w:color w:val="000000"/>
                <w:sz w:val="12"/>
                <w:szCs w:val="12"/>
              </w:rPr>
              <w:t>146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02DE37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B7C282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1DCE97" w14:textId="77777777" w:rsidR="00000000" w:rsidRDefault="00195E73">
            <w:pPr>
              <w:jc w:val="right"/>
              <w:rPr>
                <w:rFonts w:eastAsia="Times New Roman"/>
              </w:rPr>
            </w:pPr>
            <w:r>
              <w:rPr>
                <w:rFonts w:eastAsia="Times New Roman"/>
                <w:color w:val="000000"/>
                <w:sz w:val="12"/>
                <w:szCs w:val="12"/>
              </w:rPr>
              <w:t>1,032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38B4FF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286CFA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D82FB9" w14:textId="77777777" w:rsidR="00000000" w:rsidRDefault="00195E73">
            <w:pPr>
              <w:jc w:val="right"/>
              <w:rPr>
                <w:rFonts w:eastAsia="Times New Roman"/>
              </w:rPr>
            </w:pPr>
            <w:r>
              <w:rPr>
                <w:rFonts w:eastAsia="Times New Roman"/>
                <w:color w:val="000000"/>
                <w:sz w:val="12"/>
                <w:szCs w:val="12"/>
              </w:rPr>
              <w:t>56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8ABBD0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F80645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95C4CE" w14:textId="77777777" w:rsidR="00000000" w:rsidRDefault="00195E73">
            <w:pPr>
              <w:jc w:val="right"/>
              <w:rPr>
                <w:rFonts w:eastAsia="Times New Roman"/>
              </w:rPr>
            </w:pPr>
            <w:r>
              <w:rPr>
                <w:rFonts w:eastAsia="Times New Roman"/>
                <w:color w:val="000000"/>
                <w:sz w:val="12"/>
                <w:szCs w:val="12"/>
              </w:rPr>
              <w:t>15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BABE80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CF1428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92747C" w14:textId="77777777" w:rsidR="00000000" w:rsidRDefault="00195E73">
            <w:pPr>
              <w:jc w:val="right"/>
              <w:rPr>
                <w:rFonts w:eastAsia="Times New Roman"/>
              </w:rPr>
            </w:pPr>
            <w:r>
              <w:rPr>
                <w:rFonts w:eastAsia="Times New Roman"/>
                <w:color w:val="000000"/>
                <w:sz w:val="12"/>
                <w:szCs w:val="12"/>
              </w:rPr>
              <w:t>21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38B967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D18D9E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6D52DB" w14:textId="77777777" w:rsidR="00000000" w:rsidRDefault="00195E73">
            <w:pPr>
              <w:jc w:val="right"/>
              <w:rPr>
                <w:rFonts w:eastAsia="Times New Roman"/>
              </w:rPr>
            </w:pPr>
            <w:r>
              <w:rPr>
                <w:rFonts w:eastAsia="Times New Roman"/>
                <w:color w:val="000000"/>
                <w:sz w:val="12"/>
                <w:szCs w:val="12"/>
              </w:rPr>
              <w:t>42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6107BD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16BD09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2E9A90" w14:textId="77777777" w:rsidR="00000000" w:rsidRDefault="00195E73">
            <w:pPr>
              <w:jc w:val="right"/>
              <w:rPr>
                <w:rFonts w:eastAsia="Times New Roman"/>
              </w:rPr>
            </w:pPr>
            <w:r>
              <w:rPr>
                <w:rFonts w:eastAsia="Times New Roman"/>
                <w:color w:val="000000"/>
                <w:sz w:val="12"/>
                <w:szCs w:val="12"/>
              </w:rPr>
              <w:t>15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6EC280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CC88AB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7E14C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3EF1BC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709C88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5EF36D" w14:textId="77777777" w:rsidR="00000000" w:rsidRDefault="00195E73">
            <w:pPr>
              <w:jc w:val="right"/>
              <w:rPr>
                <w:rFonts w:eastAsia="Times New Roman"/>
              </w:rPr>
            </w:pPr>
            <w:r>
              <w:rPr>
                <w:rFonts w:eastAsia="Times New Roman"/>
                <w:color w:val="000000"/>
                <w:sz w:val="12"/>
                <w:szCs w:val="12"/>
              </w:rPr>
              <w:t>26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EAD9DA0"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2584D4E0"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3E74F5E" w14:textId="77777777" w:rsidR="00000000" w:rsidRDefault="00195E73">
            <w:pPr>
              <w:jc w:val="right"/>
              <w:rPr>
                <w:rFonts w:eastAsia="Times New Roman"/>
              </w:rPr>
            </w:pPr>
            <w:r>
              <w:rPr>
                <w:rFonts w:eastAsia="Times New Roman"/>
                <w:color w:val="000000"/>
                <w:sz w:val="12"/>
                <w:szCs w:val="12"/>
              </w:rPr>
              <w:t>1,376</w:t>
            </w:r>
            <w:r>
              <w:rPr>
                <w:rFonts w:eastAsia="Times New Roman"/>
                <w:color w:val="000000"/>
                <w:sz w:val="12"/>
                <w:szCs w:val="12"/>
              </w:rPr>
              <w:t> </w:t>
            </w:r>
            <w:r>
              <w:rPr>
                <w:rFonts w:eastAsia="Times New Roman"/>
                <w:color w:val="000000"/>
                <w:sz w:val="12"/>
                <w:szCs w:val="12"/>
              </w:rPr>
              <w:t> </w:t>
            </w:r>
          </w:p>
        </w:tc>
      </w:tr>
      <w:tr w:rsidR="00195E73" w14:paraId="57308A20" w14:textId="77777777">
        <w:trPr>
          <w:divId w:val="1734279977"/>
          <w:jc w:val="center"/>
        </w:trPr>
        <w:tc>
          <w:tcPr>
            <w:tcW w:w="0" w:type="auto"/>
            <w:gridSpan w:val="3"/>
            <w:shd w:val="clear" w:color="auto" w:fill="FFFFFF"/>
            <w:tcMar>
              <w:top w:w="30" w:type="dxa"/>
              <w:left w:w="20" w:type="dxa"/>
              <w:bottom w:w="30" w:type="dxa"/>
              <w:right w:w="20" w:type="dxa"/>
            </w:tcMar>
            <w:vAlign w:val="bottom"/>
            <w:hideMark/>
          </w:tcPr>
          <w:p w14:paraId="2DC9AE9A" w14:textId="77777777" w:rsidR="00000000" w:rsidRDefault="00195E73">
            <w:pPr>
              <w:ind w:firstLine="180"/>
              <w:divId w:val="1129086406"/>
              <w:rPr>
                <w:rFonts w:eastAsia="Times New Roman"/>
              </w:rPr>
            </w:pPr>
            <w:r>
              <w:rPr>
                <w:rFonts w:eastAsia="Times New Roman"/>
                <w:color w:val="000000"/>
                <w:sz w:val="12"/>
                <w:szCs w:val="12"/>
              </w:rPr>
              <w:t>Restructuring, ne</w:t>
            </w:r>
            <w:r>
              <w:rPr>
                <w:rFonts w:eastAsia="Times New Roman"/>
                <w:color w:val="000000"/>
                <w:sz w:val="12"/>
                <w:szCs w:val="12"/>
              </w:rPr>
              <w:t>t</w:t>
            </w:r>
          </w:p>
        </w:tc>
        <w:tc>
          <w:tcPr>
            <w:tcW w:w="0" w:type="auto"/>
            <w:gridSpan w:val="2"/>
            <w:shd w:val="clear" w:color="auto" w:fill="FFFFFF"/>
            <w:tcMar>
              <w:top w:w="30" w:type="dxa"/>
              <w:left w:w="20" w:type="dxa"/>
              <w:bottom w:w="30" w:type="dxa"/>
              <w:right w:w="0" w:type="dxa"/>
            </w:tcMar>
            <w:vAlign w:val="bottom"/>
            <w:hideMark/>
          </w:tcPr>
          <w:p w14:paraId="2D3C195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5A619A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0338BE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8A6A7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D24343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0F5404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AF08FA" w14:textId="77777777" w:rsidR="00000000" w:rsidRDefault="00195E73">
            <w:pPr>
              <w:jc w:val="right"/>
              <w:rPr>
                <w:rFonts w:eastAsia="Times New Roman"/>
              </w:rPr>
            </w:pPr>
            <w:r>
              <w:rPr>
                <w:rFonts w:eastAsia="Times New Roman"/>
                <w:color w:val="000000"/>
                <w:sz w:val="12"/>
                <w:szCs w:val="12"/>
              </w:rPr>
              <w:t>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4F8595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687C4C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9406C5" w14:textId="77777777" w:rsidR="00000000" w:rsidRDefault="00195E73">
            <w:pPr>
              <w:jc w:val="right"/>
              <w:rPr>
                <w:rFonts w:eastAsia="Times New Roman"/>
              </w:rPr>
            </w:pPr>
            <w:r>
              <w:rPr>
                <w:rFonts w:eastAsia="Times New Roman"/>
                <w:color w:val="000000"/>
                <w:sz w:val="12"/>
                <w:szCs w:val="12"/>
              </w:rPr>
              <w:t>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6D4613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CA1ACC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6D5009"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9A4670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3103D0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02CB3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33B500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57B0DB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C9FD27"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C01793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F9407B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F92EC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E83873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6E63DE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E20F0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06845C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B49DE3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E019D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F4CFA3E"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0728F6E4"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9943E8D" w14:textId="77777777" w:rsidR="00000000" w:rsidRDefault="00195E73">
            <w:pPr>
              <w:jc w:val="right"/>
              <w:rPr>
                <w:rFonts w:eastAsia="Times New Roman"/>
              </w:rPr>
            </w:pPr>
            <w:r>
              <w:rPr>
                <w:rFonts w:eastAsia="Times New Roman"/>
                <w:color w:val="000000"/>
                <w:sz w:val="12"/>
                <w:szCs w:val="12"/>
              </w:rPr>
              <w:t>18</w:t>
            </w:r>
            <w:r>
              <w:rPr>
                <w:rFonts w:eastAsia="Times New Roman"/>
                <w:color w:val="000000"/>
                <w:sz w:val="12"/>
                <w:szCs w:val="12"/>
              </w:rPr>
              <w:t> </w:t>
            </w:r>
            <w:r>
              <w:rPr>
                <w:rFonts w:eastAsia="Times New Roman"/>
                <w:color w:val="000000"/>
                <w:sz w:val="12"/>
                <w:szCs w:val="12"/>
              </w:rPr>
              <w:t> </w:t>
            </w:r>
          </w:p>
        </w:tc>
      </w:tr>
      <w:tr w:rsidR="00195E73" w14:paraId="126397AB" w14:textId="77777777">
        <w:trPr>
          <w:divId w:val="1734279977"/>
          <w:jc w:val="center"/>
        </w:trPr>
        <w:tc>
          <w:tcPr>
            <w:tcW w:w="0" w:type="auto"/>
            <w:gridSpan w:val="3"/>
            <w:shd w:val="clear" w:color="auto" w:fill="CCEEFF"/>
            <w:tcMar>
              <w:top w:w="30" w:type="dxa"/>
              <w:left w:w="20" w:type="dxa"/>
              <w:bottom w:w="30" w:type="dxa"/>
              <w:right w:w="20" w:type="dxa"/>
            </w:tcMar>
            <w:vAlign w:val="bottom"/>
            <w:hideMark/>
          </w:tcPr>
          <w:p w14:paraId="7C2FE4D5" w14:textId="77777777" w:rsidR="00000000" w:rsidRDefault="00195E73">
            <w:pPr>
              <w:ind w:firstLine="180"/>
              <w:divId w:val="906577381"/>
              <w:rPr>
                <w:rFonts w:eastAsia="Times New Roman"/>
              </w:rPr>
            </w:pPr>
            <w:r>
              <w:rPr>
                <w:rFonts w:eastAsia="Times New Roman"/>
                <w:color w:val="000000"/>
                <w:sz w:val="12"/>
                <w:szCs w:val="12"/>
              </w:rPr>
              <w:t>Impairmen</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546ABF3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E36299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EE6A82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CDA44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92415E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8691E2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B692D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E2BFF5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8EED5F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9425A6"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77529D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4D41E5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9BB5C8"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899A7E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9CA1DA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DFA0D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32A8C3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252A6B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D3DC2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5B0C9C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A3AF2A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7BAC1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D85A36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ADA975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EC8DD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409610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6DBCB5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14B03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9B9A94A"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22A05E44"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D4D1D22"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r>
              <w:rPr>
                <w:rFonts w:eastAsia="Times New Roman"/>
                <w:color w:val="000000"/>
                <w:sz w:val="12"/>
                <w:szCs w:val="12"/>
              </w:rPr>
              <w:t> </w:t>
            </w:r>
          </w:p>
        </w:tc>
      </w:tr>
      <w:tr w:rsidR="00195E73" w14:paraId="1F276964" w14:textId="77777777">
        <w:trPr>
          <w:divId w:val="1734279977"/>
          <w:jc w:val="center"/>
        </w:trPr>
        <w:tc>
          <w:tcPr>
            <w:tcW w:w="0" w:type="auto"/>
            <w:gridSpan w:val="3"/>
            <w:shd w:val="clear" w:color="auto" w:fill="FFFFFF"/>
            <w:tcMar>
              <w:top w:w="30" w:type="dxa"/>
              <w:left w:w="20" w:type="dxa"/>
              <w:bottom w:w="30" w:type="dxa"/>
              <w:right w:w="20" w:type="dxa"/>
            </w:tcMar>
            <w:vAlign w:val="bottom"/>
            <w:hideMark/>
          </w:tcPr>
          <w:p w14:paraId="11BE2768" w14:textId="77777777" w:rsidR="00000000" w:rsidRDefault="00195E73">
            <w:pPr>
              <w:ind w:firstLine="180"/>
              <w:divId w:val="2020544362"/>
              <w:rPr>
                <w:rFonts w:eastAsia="Times New Roman"/>
              </w:rPr>
            </w:pPr>
            <w:r>
              <w:rPr>
                <w:rFonts w:eastAsia="Times New Roman"/>
                <w:color w:val="000000"/>
                <w:sz w:val="12"/>
                <w:szCs w:val="12"/>
              </w:rPr>
              <w:t>Interest expens</w:t>
            </w:r>
            <w:r>
              <w:rPr>
                <w:rFonts w:eastAsia="Times New Roman"/>
                <w:color w:val="000000"/>
                <w:sz w:val="12"/>
                <w:szCs w:val="12"/>
              </w:rPr>
              <w:t>e</w:t>
            </w:r>
          </w:p>
        </w:tc>
        <w:tc>
          <w:tcPr>
            <w:tcW w:w="0" w:type="auto"/>
            <w:gridSpan w:val="2"/>
            <w:shd w:val="clear" w:color="auto" w:fill="FFFFFF"/>
            <w:tcMar>
              <w:top w:w="30" w:type="dxa"/>
              <w:left w:w="20" w:type="dxa"/>
              <w:bottom w:w="30" w:type="dxa"/>
              <w:right w:w="0" w:type="dxa"/>
            </w:tcMar>
            <w:vAlign w:val="bottom"/>
            <w:hideMark/>
          </w:tcPr>
          <w:p w14:paraId="46FA81AB" w14:textId="77777777" w:rsidR="00000000" w:rsidRDefault="00195E73">
            <w:pPr>
              <w:jc w:val="right"/>
              <w:rPr>
                <w:rFonts w:eastAsia="Times New Roman"/>
              </w:rPr>
            </w:pPr>
            <w:r>
              <w:rPr>
                <w:rFonts w:eastAsia="Times New Roman"/>
                <w:color w:val="000000"/>
                <w:sz w:val="12"/>
                <w:szCs w:val="12"/>
              </w:rPr>
              <w:t>106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34D628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AC8992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A72530" w14:textId="77777777" w:rsidR="00000000" w:rsidRDefault="00195E73">
            <w:pPr>
              <w:jc w:val="right"/>
              <w:rPr>
                <w:rFonts w:eastAsia="Times New Roman"/>
              </w:rPr>
            </w:pPr>
            <w:r>
              <w:rPr>
                <w:rFonts w:eastAsia="Times New Roman"/>
                <w:color w:val="000000"/>
                <w:sz w:val="12"/>
                <w:szCs w:val="12"/>
              </w:rPr>
              <w:t>106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34A5DA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6F6D65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8A5E57" w14:textId="77777777" w:rsidR="00000000" w:rsidRDefault="00195E73">
            <w:pPr>
              <w:jc w:val="right"/>
              <w:rPr>
                <w:rFonts w:eastAsia="Times New Roman"/>
              </w:rPr>
            </w:pPr>
            <w:r>
              <w:rPr>
                <w:rFonts w:eastAsia="Times New Roman"/>
                <w:color w:val="000000"/>
                <w:sz w:val="12"/>
                <w:szCs w:val="12"/>
              </w:rPr>
              <w:t>20</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551FE0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58C3FB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764201" w14:textId="77777777" w:rsidR="00000000" w:rsidRDefault="00195E73">
            <w:pPr>
              <w:jc w:val="right"/>
              <w:rPr>
                <w:rFonts w:eastAsia="Times New Roman"/>
              </w:rPr>
            </w:pPr>
            <w:r>
              <w:rPr>
                <w:rFonts w:eastAsia="Times New Roman"/>
                <w:color w:val="000000"/>
                <w:sz w:val="12"/>
                <w:szCs w:val="12"/>
              </w:rPr>
              <w:t>17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3CEDC0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1DB02A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02BD3B"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622491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C5BBEB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B062E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7CDF08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291845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8F163C"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354D5B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8977FC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0D0ABE" w14:textId="77777777" w:rsidR="00000000" w:rsidRDefault="00195E73">
            <w:pPr>
              <w:jc w:val="right"/>
              <w:rPr>
                <w:rFonts w:eastAsia="Times New Roman"/>
              </w:rPr>
            </w:pPr>
            <w:r>
              <w:rPr>
                <w:rFonts w:eastAsia="Times New Roman"/>
                <w:color w:val="000000"/>
                <w:sz w:val="12"/>
                <w:szCs w:val="12"/>
              </w:rPr>
              <w:t>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A620FF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F0C253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FC93A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7BA7F3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8AEFDF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5244FA" w14:textId="77777777" w:rsidR="00000000" w:rsidRDefault="00195E73">
            <w:pPr>
              <w:jc w:val="right"/>
              <w:rPr>
                <w:rFonts w:eastAsia="Times New Roman"/>
              </w:rPr>
            </w:pPr>
            <w:r>
              <w:rPr>
                <w:rFonts w:eastAsia="Times New Roman"/>
                <w:color w:val="000000"/>
                <w:sz w:val="12"/>
                <w:szCs w:val="12"/>
              </w:rPr>
              <w:t>350</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B2CE68A"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24950D0F"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522B286" w14:textId="77777777" w:rsidR="00000000" w:rsidRDefault="00195E73">
            <w:pPr>
              <w:jc w:val="right"/>
              <w:rPr>
                <w:rFonts w:eastAsia="Times New Roman"/>
              </w:rPr>
            </w:pPr>
            <w:r>
              <w:rPr>
                <w:rFonts w:eastAsia="Times New Roman"/>
                <w:color w:val="000000"/>
                <w:sz w:val="12"/>
                <w:szCs w:val="12"/>
              </w:rPr>
              <w:t>605</w:t>
            </w:r>
            <w:r>
              <w:rPr>
                <w:rFonts w:eastAsia="Times New Roman"/>
                <w:color w:val="000000"/>
                <w:sz w:val="12"/>
                <w:szCs w:val="12"/>
              </w:rPr>
              <w:t> </w:t>
            </w:r>
            <w:r>
              <w:rPr>
                <w:rFonts w:eastAsia="Times New Roman"/>
                <w:color w:val="000000"/>
                <w:sz w:val="12"/>
                <w:szCs w:val="12"/>
              </w:rPr>
              <w:t> </w:t>
            </w:r>
          </w:p>
        </w:tc>
      </w:tr>
      <w:tr w:rsidR="00195E73" w14:paraId="089E2F2E" w14:textId="77777777">
        <w:trPr>
          <w:divId w:val="1734279977"/>
          <w:jc w:val="center"/>
        </w:trPr>
        <w:tc>
          <w:tcPr>
            <w:tcW w:w="0" w:type="auto"/>
            <w:gridSpan w:val="3"/>
            <w:shd w:val="clear" w:color="auto" w:fill="CCEEFF"/>
            <w:tcMar>
              <w:top w:w="15" w:type="dxa"/>
              <w:left w:w="20" w:type="dxa"/>
              <w:bottom w:w="15" w:type="dxa"/>
              <w:right w:w="20" w:type="dxa"/>
            </w:tcMar>
            <w:vAlign w:val="bottom"/>
            <w:hideMark/>
          </w:tcPr>
          <w:p w14:paraId="4602E956"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BE5112" w14:textId="77777777" w:rsidR="00000000" w:rsidRDefault="00195E73">
            <w:pPr>
              <w:jc w:val="right"/>
              <w:rPr>
                <w:rFonts w:eastAsia="Times New Roman"/>
              </w:rPr>
            </w:pPr>
            <w:r>
              <w:rPr>
                <w:rFonts w:eastAsia="Times New Roman"/>
                <w:color w:val="000000"/>
                <w:sz w:val="12"/>
                <w:szCs w:val="12"/>
              </w:rPr>
              <w:t>129</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8390EA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FF42B4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2C4FDA" w14:textId="77777777" w:rsidR="00000000" w:rsidRDefault="00195E73">
            <w:pPr>
              <w:jc w:val="right"/>
              <w:rPr>
                <w:rFonts w:eastAsia="Times New Roman"/>
              </w:rPr>
            </w:pPr>
            <w:r>
              <w:rPr>
                <w:rFonts w:eastAsia="Times New Roman"/>
                <w:color w:val="000000"/>
                <w:sz w:val="12"/>
                <w:szCs w:val="12"/>
              </w:rPr>
              <w:t>5,959</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000462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58EEAA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CBF463" w14:textId="77777777" w:rsidR="00000000" w:rsidRDefault="00195E73">
            <w:pPr>
              <w:jc w:val="right"/>
              <w:rPr>
                <w:rFonts w:eastAsia="Times New Roman"/>
              </w:rPr>
            </w:pPr>
            <w:r>
              <w:rPr>
                <w:rFonts w:eastAsia="Times New Roman"/>
                <w:color w:val="000000"/>
                <w:sz w:val="12"/>
                <w:szCs w:val="12"/>
              </w:rPr>
              <w:t>3,147</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96B41E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2CBD66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ED93C0" w14:textId="77777777" w:rsidR="00000000" w:rsidRDefault="00195E73">
            <w:pPr>
              <w:jc w:val="right"/>
              <w:rPr>
                <w:rFonts w:eastAsia="Times New Roman"/>
              </w:rPr>
            </w:pPr>
            <w:r>
              <w:rPr>
                <w:rFonts w:eastAsia="Times New Roman"/>
                <w:color w:val="000000"/>
                <w:sz w:val="12"/>
                <w:szCs w:val="12"/>
              </w:rPr>
              <w:t>391</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549EE2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0428AB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CF5C14" w14:textId="77777777" w:rsidR="00000000" w:rsidRDefault="00195E73">
            <w:pPr>
              <w:jc w:val="right"/>
              <w:rPr>
                <w:rFonts w:eastAsia="Times New Roman"/>
              </w:rPr>
            </w:pPr>
            <w:r>
              <w:rPr>
                <w:rFonts w:eastAsia="Times New Roman"/>
                <w:color w:val="000000"/>
                <w:sz w:val="12"/>
                <w:szCs w:val="12"/>
              </w:rPr>
              <w:t>363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50C327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FF82EA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23BF4C" w14:textId="77777777" w:rsidR="00000000" w:rsidRDefault="00195E73">
            <w:pPr>
              <w:jc w:val="right"/>
              <w:rPr>
                <w:rFonts w:eastAsia="Times New Roman"/>
              </w:rPr>
            </w:pPr>
            <w:r>
              <w:rPr>
                <w:rFonts w:eastAsia="Times New Roman"/>
                <w:color w:val="000000"/>
                <w:sz w:val="12"/>
                <w:szCs w:val="12"/>
              </w:rPr>
              <w:t>93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96EAAA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5951BDD"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5AAF72" w14:textId="77777777" w:rsidR="00000000" w:rsidRDefault="00195E73">
            <w:pPr>
              <w:jc w:val="right"/>
              <w:rPr>
                <w:rFonts w:eastAsia="Times New Roman"/>
              </w:rPr>
            </w:pPr>
            <w:r>
              <w:rPr>
                <w:rFonts w:eastAsia="Times New Roman"/>
                <w:color w:val="000000"/>
                <w:sz w:val="12"/>
                <w:szCs w:val="12"/>
              </w:rPr>
              <w:t>203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609912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812CF8D"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B11F27" w14:textId="77777777" w:rsidR="00000000" w:rsidRDefault="00195E73">
            <w:pPr>
              <w:jc w:val="right"/>
              <w:rPr>
                <w:rFonts w:eastAsia="Times New Roman"/>
              </w:rPr>
            </w:pPr>
            <w:r>
              <w:rPr>
                <w:rFonts w:eastAsia="Times New Roman"/>
                <w:color w:val="000000"/>
                <w:sz w:val="12"/>
                <w:szCs w:val="12"/>
              </w:rPr>
              <w:t>70</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A04E73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927373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7D499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17BEF5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A995770"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BC2912" w14:textId="77777777" w:rsidR="00000000" w:rsidRDefault="00195E73">
            <w:pPr>
              <w:jc w:val="right"/>
              <w:rPr>
                <w:rFonts w:eastAsia="Times New Roman"/>
              </w:rPr>
            </w:pPr>
            <w:r>
              <w:rPr>
                <w:rFonts w:eastAsia="Times New Roman"/>
                <w:color w:val="000000"/>
                <w:sz w:val="12"/>
                <w:szCs w:val="12"/>
              </w:rPr>
              <w:t>376</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8807905"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23AF9AB9"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CF5FE2" w14:textId="77777777" w:rsidR="00000000" w:rsidRDefault="00195E73">
            <w:pPr>
              <w:jc w:val="right"/>
              <w:rPr>
                <w:rFonts w:eastAsia="Times New Roman"/>
              </w:rPr>
            </w:pPr>
            <w:r>
              <w:rPr>
                <w:rFonts w:eastAsia="Times New Roman"/>
                <w:color w:val="000000"/>
                <w:sz w:val="12"/>
                <w:szCs w:val="12"/>
              </w:rPr>
              <w:t>10,731</w:t>
            </w:r>
            <w:r>
              <w:rPr>
                <w:rFonts w:eastAsia="Times New Roman"/>
                <w:color w:val="000000"/>
                <w:sz w:val="12"/>
                <w:szCs w:val="12"/>
              </w:rPr>
              <w:t> </w:t>
            </w:r>
            <w:r>
              <w:rPr>
                <w:rFonts w:eastAsia="Times New Roman"/>
                <w:color w:val="000000"/>
                <w:sz w:val="12"/>
                <w:szCs w:val="12"/>
              </w:rPr>
              <w:t> </w:t>
            </w:r>
          </w:p>
        </w:tc>
      </w:tr>
      <w:tr w:rsidR="00195E73" w14:paraId="381EFEE0" w14:textId="77777777">
        <w:trPr>
          <w:divId w:val="1734279977"/>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3784B587" w14:textId="77777777" w:rsidR="00000000" w:rsidRDefault="00195E73">
            <w:pPr>
              <w:ind w:hanging="180"/>
              <w:divId w:val="1455244810"/>
              <w:rPr>
                <w:rFonts w:eastAsia="Times New Roman"/>
              </w:rPr>
            </w:pPr>
            <w:r>
              <w:rPr>
                <w:rFonts w:eastAsia="Times New Roman"/>
                <w:color w:val="000000"/>
                <w:sz w:val="12"/>
                <w:szCs w:val="12"/>
              </w:rPr>
              <w:t>(Loss) income from continuing operations before income tax (expense) benefi</w:t>
            </w:r>
            <w:r>
              <w:rPr>
                <w:rFonts w:eastAsia="Times New Roman"/>
                <w:color w:val="000000"/>
                <w:sz w:val="12"/>
                <w:szCs w:val="12"/>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34D042" w14:textId="77777777" w:rsidR="00000000" w:rsidRDefault="00195E73">
            <w:pPr>
              <w:jc w:val="right"/>
              <w:rPr>
                <w:rFonts w:eastAsia="Times New Roman"/>
              </w:rPr>
            </w:pPr>
            <w:r>
              <w:rPr>
                <w:rFonts w:eastAsia="Times New Roman"/>
                <w:color w:val="000000"/>
                <w:sz w:val="12"/>
                <w:szCs w:val="12"/>
              </w:rPr>
              <w:t>(1,543</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A267A7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1354F9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3B59C0" w14:textId="77777777" w:rsidR="00000000" w:rsidRDefault="00195E73">
            <w:pPr>
              <w:jc w:val="right"/>
              <w:rPr>
                <w:rFonts w:eastAsia="Times New Roman"/>
              </w:rPr>
            </w:pPr>
            <w:r>
              <w:rPr>
                <w:rFonts w:eastAsia="Times New Roman"/>
                <w:color w:val="000000"/>
                <w:sz w:val="12"/>
                <w:szCs w:val="12"/>
              </w:rPr>
              <w:t>426</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0EF0B4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D910F5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06674E" w14:textId="77777777" w:rsidR="00000000" w:rsidRDefault="00195E73">
            <w:pPr>
              <w:jc w:val="right"/>
              <w:rPr>
                <w:rFonts w:eastAsia="Times New Roman"/>
              </w:rPr>
            </w:pPr>
            <w:r>
              <w:rPr>
                <w:rFonts w:eastAsia="Times New Roman"/>
                <w:color w:val="000000"/>
                <w:sz w:val="12"/>
                <w:szCs w:val="12"/>
              </w:rPr>
              <w:t>(252</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DB5E7F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691A7C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DE7972" w14:textId="77777777" w:rsidR="00000000" w:rsidRDefault="00195E73">
            <w:pPr>
              <w:jc w:val="right"/>
              <w:rPr>
                <w:rFonts w:eastAsia="Times New Roman"/>
              </w:rPr>
            </w:pPr>
            <w:r>
              <w:rPr>
                <w:rFonts w:eastAsia="Times New Roman"/>
                <w:color w:val="000000"/>
                <w:sz w:val="12"/>
                <w:szCs w:val="12"/>
              </w:rPr>
              <w:t>(16</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DE609C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D12827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24FC21" w14:textId="77777777" w:rsidR="00000000" w:rsidRDefault="00195E73">
            <w:pPr>
              <w:jc w:val="right"/>
              <w:rPr>
                <w:rFonts w:eastAsia="Times New Roman"/>
              </w:rPr>
            </w:pPr>
            <w:r>
              <w:rPr>
                <w:rFonts w:eastAsia="Times New Roman"/>
                <w:color w:val="000000"/>
                <w:sz w:val="12"/>
                <w:szCs w:val="12"/>
              </w:rPr>
              <w:t>(22</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7E96E9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1450A72"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AEA508" w14:textId="77777777" w:rsidR="00000000" w:rsidRDefault="00195E73">
            <w:pPr>
              <w:jc w:val="right"/>
              <w:rPr>
                <w:rFonts w:eastAsia="Times New Roman"/>
              </w:rPr>
            </w:pPr>
            <w:r>
              <w:rPr>
                <w:rFonts w:eastAsia="Times New Roman"/>
                <w:color w:val="000000"/>
                <w:sz w:val="12"/>
                <w:szCs w:val="12"/>
              </w:rPr>
              <w:t>10</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6FE1A2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D3DC90A"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568F66" w14:textId="77777777" w:rsidR="00000000" w:rsidRDefault="00195E73">
            <w:pPr>
              <w:jc w:val="right"/>
              <w:rPr>
                <w:rFonts w:eastAsia="Times New Roman"/>
              </w:rPr>
            </w:pPr>
            <w:r>
              <w:rPr>
                <w:rFonts w:eastAsia="Times New Roman"/>
                <w:color w:val="000000"/>
                <w:sz w:val="12"/>
                <w:szCs w:val="12"/>
              </w:rPr>
              <w:t>(17</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1C8252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647297A"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0F3060" w14:textId="77777777" w:rsidR="00000000" w:rsidRDefault="00195E73">
            <w:pPr>
              <w:jc w:val="right"/>
              <w:rPr>
                <w:rFonts w:eastAsia="Times New Roman"/>
              </w:rPr>
            </w:pPr>
            <w:r>
              <w:rPr>
                <w:rFonts w:eastAsia="Times New Roman"/>
                <w:color w:val="000000"/>
                <w:sz w:val="12"/>
                <w:szCs w:val="12"/>
              </w:rPr>
              <w:t>312</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8BF917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83B693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40B35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F2D895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0FBB6CA"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A01C7A" w14:textId="77777777" w:rsidR="00000000" w:rsidRDefault="00195E73">
            <w:pPr>
              <w:jc w:val="right"/>
              <w:rPr>
                <w:rFonts w:eastAsia="Times New Roman"/>
              </w:rPr>
            </w:pPr>
            <w:r>
              <w:rPr>
                <w:rFonts w:eastAsia="Times New Roman"/>
                <w:color w:val="000000"/>
                <w:sz w:val="12"/>
                <w:szCs w:val="12"/>
              </w:rPr>
              <w:t>(637</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715DE5"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782BF17B"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8DBECFA" w14:textId="77777777" w:rsidR="00000000" w:rsidRDefault="00195E73">
            <w:pPr>
              <w:jc w:val="right"/>
              <w:rPr>
                <w:rFonts w:eastAsia="Times New Roman"/>
              </w:rPr>
            </w:pPr>
            <w:r>
              <w:rPr>
                <w:rFonts w:eastAsia="Times New Roman"/>
                <w:color w:val="000000"/>
                <w:sz w:val="12"/>
                <w:szCs w:val="12"/>
              </w:rPr>
              <w:t>(1,739</w:t>
            </w:r>
            <w:r>
              <w:rPr>
                <w:rFonts w:eastAsia="Times New Roman"/>
                <w:color w:val="000000"/>
                <w:sz w:val="12"/>
                <w:szCs w:val="12"/>
              </w:rPr>
              <w:t>)</w:t>
            </w:r>
            <w:r>
              <w:rPr>
                <w:rFonts w:eastAsia="Times New Roman"/>
                <w:color w:val="000000"/>
                <w:sz w:val="12"/>
                <w:szCs w:val="12"/>
              </w:rPr>
              <w:t> </w:t>
            </w:r>
          </w:p>
        </w:tc>
      </w:tr>
      <w:tr w:rsidR="00195E73" w14:paraId="761A30CD" w14:textId="77777777">
        <w:trPr>
          <w:divId w:val="1734279977"/>
          <w:jc w:val="center"/>
        </w:trPr>
        <w:tc>
          <w:tcPr>
            <w:tcW w:w="0" w:type="auto"/>
            <w:gridSpan w:val="3"/>
            <w:shd w:val="clear" w:color="auto" w:fill="CCEEFF"/>
            <w:tcMar>
              <w:top w:w="30" w:type="dxa"/>
              <w:left w:w="20" w:type="dxa"/>
              <w:bottom w:w="30" w:type="dxa"/>
              <w:right w:w="20" w:type="dxa"/>
            </w:tcMar>
            <w:vAlign w:val="bottom"/>
            <w:hideMark/>
          </w:tcPr>
          <w:p w14:paraId="182498DD" w14:textId="77777777" w:rsidR="00000000" w:rsidRDefault="00195E73">
            <w:pPr>
              <w:rPr>
                <w:rFonts w:eastAsia="Times New Roman"/>
              </w:rPr>
            </w:pPr>
            <w:r>
              <w:rPr>
                <w:rFonts w:eastAsia="Times New Roman"/>
                <w:color w:val="000000"/>
                <w:sz w:val="12"/>
                <w:szCs w:val="12"/>
              </w:rPr>
              <w:t>Income tax (expense) benefi</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4F0926A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D1DDD9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DCAD7C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C4B2AE" w14:textId="77777777" w:rsidR="00000000" w:rsidRDefault="00195E73">
            <w:pPr>
              <w:jc w:val="right"/>
              <w:rPr>
                <w:rFonts w:eastAsia="Times New Roman"/>
              </w:rPr>
            </w:pPr>
            <w:r>
              <w:rPr>
                <w:rFonts w:eastAsia="Times New Roman"/>
                <w:color w:val="000000"/>
                <w:sz w:val="12"/>
                <w:szCs w:val="12"/>
              </w:rPr>
              <w:t>(112</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2A07787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BA5D42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C8FBB1" w14:textId="77777777" w:rsidR="00000000" w:rsidRDefault="00195E73">
            <w:pPr>
              <w:jc w:val="right"/>
              <w:rPr>
                <w:rFonts w:eastAsia="Times New Roman"/>
              </w:rPr>
            </w:pPr>
            <w:r>
              <w:rPr>
                <w:rFonts w:eastAsia="Times New Roman"/>
                <w:color w:val="000000"/>
                <w:sz w:val="12"/>
                <w:szCs w:val="12"/>
              </w:rPr>
              <w:t>55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06C843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E187CA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72201A" w14:textId="77777777" w:rsidR="00000000" w:rsidRDefault="00195E73">
            <w:pPr>
              <w:jc w:val="right"/>
              <w:rPr>
                <w:rFonts w:eastAsia="Times New Roman"/>
              </w:rPr>
            </w:pPr>
            <w:r>
              <w:rPr>
                <w:rFonts w:eastAsia="Times New Roman"/>
                <w:color w:val="000000"/>
                <w:sz w:val="12"/>
                <w:szCs w:val="12"/>
              </w:rPr>
              <w:t>(6</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214669B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551D33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20C0F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698AC3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A13689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A01B94" w14:textId="77777777" w:rsidR="00000000" w:rsidRDefault="00195E73">
            <w:pPr>
              <w:jc w:val="right"/>
              <w:rPr>
                <w:rFonts w:eastAsia="Times New Roman"/>
              </w:rPr>
            </w:pPr>
            <w:r>
              <w:rPr>
                <w:rFonts w:eastAsia="Times New Roman"/>
                <w:color w:val="000000"/>
                <w:sz w:val="12"/>
                <w:szCs w:val="12"/>
              </w:rPr>
              <w:t>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A4EFBD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32069B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840F3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E49396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A2BFEB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D73AF2"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2FFD43E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2230E0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DCCD0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2B138E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3E1408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753483" w14:textId="77777777" w:rsidR="00000000" w:rsidRDefault="00195E73">
            <w:pPr>
              <w:jc w:val="right"/>
              <w:rPr>
                <w:rFonts w:eastAsia="Times New Roman"/>
              </w:rPr>
            </w:pPr>
            <w:r>
              <w:rPr>
                <w:rFonts w:eastAsia="Times New Roman"/>
                <w:color w:val="000000"/>
                <w:sz w:val="12"/>
                <w:szCs w:val="12"/>
              </w:rPr>
              <w:t>38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26C6BA5"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146A5B8E"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F471C6C" w14:textId="77777777" w:rsidR="00000000" w:rsidRDefault="00195E73">
            <w:pPr>
              <w:jc w:val="right"/>
              <w:rPr>
                <w:rFonts w:eastAsia="Times New Roman"/>
              </w:rPr>
            </w:pPr>
            <w:r>
              <w:rPr>
                <w:rFonts w:eastAsia="Times New Roman"/>
                <w:color w:val="000000"/>
                <w:sz w:val="12"/>
                <w:szCs w:val="12"/>
              </w:rPr>
              <w:t>(20</w:t>
            </w:r>
            <w:r>
              <w:rPr>
                <w:rFonts w:eastAsia="Times New Roman"/>
                <w:color w:val="000000"/>
                <w:sz w:val="12"/>
                <w:szCs w:val="12"/>
              </w:rPr>
              <w:t>)</w:t>
            </w:r>
            <w:r>
              <w:rPr>
                <w:rFonts w:eastAsia="Times New Roman"/>
                <w:color w:val="000000"/>
                <w:sz w:val="12"/>
                <w:szCs w:val="12"/>
              </w:rPr>
              <w:t> </w:t>
            </w:r>
          </w:p>
        </w:tc>
      </w:tr>
      <w:tr w:rsidR="00195E73" w14:paraId="175A6FFE" w14:textId="77777777">
        <w:trPr>
          <w:divId w:val="1734279977"/>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65CF12F2" w14:textId="77777777" w:rsidR="00000000" w:rsidRDefault="00195E73">
            <w:pPr>
              <w:ind w:hanging="90"/>
              <w:divId w:val="472211964"/>
              <w:rPr>
                <w:rFonts w:eastAsia="Times New Roman"/>
              </w:rPr>
            </w:pPr>
            <w:r>
              <w:rPr>
                <w:rFonts w:eastAsia="Times New Roman"/>
                <w:color w:val="000000"/>
                <w:sz w:val="12"/>
                <w:szCs w:val="12"/>
              </w:rPr>
              <w:t>Net (loss) income from continuing operation</w:t>
            </w:r>
            <w:r>
              <w:rPr>
                <w:rFonts w:eastAsia="Times New Roman"/>
                <w:color w:val="000000"/>
                <w:sz w:val="12"/>
                <w:szCs w:val="12"/>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16AC19" w14:textId="77777777" w:rsidR="00000000" w:rsidRDefault="00195E73">
            <w:pPr>
              <w:jc w:val="right"/>
              <w:rPr>
                <w:rFonts w:eastAsia="Times New Roman"/>
              </w:rPr>
            </w:pPr>
            <w:r>
              <w:rPr>
                <w:rFonts w:eastAsia="Times New Roman"/>
                <w:color w:val="000000"/>
                <w:sz w:val="12"/>
                <w:szCs w:val="12"/>
              </w:rPr>
              <w:t>(1,543</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4D5214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F6ABE1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0A7621" w14:textId="77777777" w:rsidR="00000000" w:rsidRDefault="00195E73">
            <w:pPr>
              <w:jc w:val="right"/>
              <w:rPr>
                <w:rFonts w:eastAsia="Times New Roman"/>
              </w:rPr>
            </w:pPr>
            <w:r>
              <w:rPr>
                <w:rFonts w:eastAsia="Times New Roman"/>
                <w:color w:val="000000"/>
                <w:sz w:val="12"/>
                <w:szCs w:val="12"/>
              </w:rPr>
              <w:t>314</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562B5D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6E5E6F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DB96D4" w14:textId="77777777" w:rsidR="00000000" w:rsidRDefault="00195E73">
            <w:pPr>
              <w:jc w:val="right"/>
              <w:rPr>
                <w:rFonts w:eastAsia="Times New Roman"/>
              </w:rPr>
            </w:pPr>
            <w:r>
              <w:rPr>
                <w:rFonts w:eastAsia="Times New Roman"/>
                <w:color w:val="000000"/>
                <w:sz w:val="12"/>
                <w:szCs w:val="12"/>
              </w:rPr>
              <w:t>(197</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F364D3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13BDBD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6CAF4D" w14:textId="77777777" w:rsidR="00000000" w:rsidRDefault="00195E73">
            <w:pPr>
              <w:jc w:val="right"/>
              <w:rPr>
                <w:rFonts w:eastAsia="Times New Roman"/>
              </w:rPr>
            </w:pPr>
            <w:r>
              <w:rPr>
                <w:rFonts w:eastAsia="Times New Roman"/>
                <w:color w:val="000000"/>
                <w:sz w:val="12"/>
                <w:szCs w:val="12"/>
              </w:rPr>
              <w:t>(22</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48DF6A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53C9B7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261267" w14:textId="77777777" w:rsidR="00000000" w:rsidRDefault="00195E73">
            <w:pPr>
              <w:jc w:val="right"/>
              <w:rPr>
                <w:rFonts w:eastAsia="Times New Roman"/>
              </w:rPr>
            </w:pPr>
            <w:r>
              <w:rPr>
                <w:rFonts w:eastAsia="Times New Roman"/>
                <w:color w:val="000000"/>
                <w:sz w:val="12"/>
                <w:szCs w:val="12"/>
              </w:rPr>
              <w:t>(22</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C9CED4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B46CFC5"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9DADC2" w14:textId="77777777" w:rsidR="00000000" w:rsidRDefault="00195E73">
            <w:pPr>
              <w:jc w:val="right"/>
              <w:rPr>
                <w:rFonts w:eastAsia="Times New Roman"/>
              </w:rPr>
            </w:pPr>
            <w:r>
              <w:rPr>
                <w:rFonts w:eastAsia="Times New Roman"/>
                <w:color w:val="000000"/>
                <w:sz w:val="12"/>
                <w:szCs w:val="12"/>
              </w:rPr>
              <w:t>16</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A1FA24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AA0429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28B1A5" w14:textId="77777777" w:rsidR="00000000" w:rsidRDefault="00195E73">
            <w:pPr>
              <w:jc w:val="right"/>
              <w:rPr>
                <w:rFonts w:eastAsia="Times New Roman"/>
              </w:rPr>
            </w:pPr>
            <w:r>
              <w:rPr>
                <w:rFonts w:eastAsia="Times New Roman"/>
                <w:color w:val="000000"/>
                <w:sz w:val="12"/>
                <w:szCs w:val="12"/>
              </w:rPr>
              <w:t>(17</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133BF4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93E4423"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C8CCC7" w14:textId="77777777" w:rsidR="00000000" w:rsidRDefault="00195E73">
            <w:pPr>
              <w:jc w:val="right"/>
              <w:rPr>
                <w:rFonts w:eastAsia="Times New Roman"/>
              </w:rPr>
            </w:pPr>
            <w:r>
              <w:rPr>
                <w:rFonts w:eastAsia="Times New Roman"/>
                <w:color w:val="000000"/>
                <w:sz w:val="12"/>
                <w:szCs w:val="12"/>
              </w:rPr>
              <w:t>311</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664D4D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5473C0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D71AF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F32F6B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130652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A6A293" w14:textId="77777777" w:rsidR="00000000" w:rsidRDefault="00195E73">
            <w:pPr>
              <w:jc w:val="right"/>
              <w:rPr>
                <w:rFonts w:eastAsia="Times New Roman"/>
              </w:rPr>
            </w:pPr>
            <w:r>
              <w:rPr>
                <w:rFonts w:eastAsia="Times New Roman"/>
                <w:color w:val="000000"/>
                <w:sz w:val="12"/>
                <w:szCs w:val="12"/>
              </w:rPr>
              <w:t>(599</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BB7CDD3"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455FEB33"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BCECB50" w14:textId="77777777" w:rsidR="00000000" w:rsidRDefault="00195E73">
            <w:pPr>
              <w:jc w:val="right"/>
              <w:rPr>
                <w:rFonts w:eastAsia="Times New Roman"/>
              </w:rPr>
            </w:pPr>
            <w:r>
              <w:rPr>
                <w:rFonts w:eastAsia="Times New Roman"/>
                <w:color w:val="000000"/>
                <w:sz w:val="12"/>
                <w:szCs w:val="12"/>
              </w:rPr>
              <w:t>(1,759</w:t>
            </w:r>
            <w:r>
              <w:rPr>
                <w:rFonts w:eastAsia="Times New Roman"/>
                <w:color w:val="000000"/>
                <w:sz w:val="12"/>
                <w:szCs w:val="12"/>
              </w:rPr>
              <w:t>)</w:t>
            </w:r>
            <w:r>
              <w:rPr>
                <w:rFonts w:eastAsia="Times New Roman"/>
                <w:color w:val="000000"/>
                <w:sz w:val="12"/>
                <w:szCs w:val="12"/>
              </w:rPr>
              <w:t> </w:t>
            </w:r>
          </w:p>
        </w:tc>
      </w:tr>
      <w:tr w:rsidR="00195E73" w14:paraId="3C54CCA3" w14:textId="77777777">
        <w:trPr>
          <w:divId w:val="1734279977"/>
          <w:jc w:val="center"/>
        </w:trPr>
        <w:tc>
          <w:tcPr>
            <w:tcW w:w="0" w:type="auto"/>
            <w:gridSpan w:val="3"/>
            <w:shd w:val="clear" w:color="auto" w:fill="CCEEFF"/>
            <w:tcMar>
              <w:top w:w="30" w:type="dxa"/>
              <w:left w:w="20" w:type="dxa"/>
              <w:bottom w:w="30" w:type="dxa"/>
              <w:right w:w="20" w:type="dxa"/>
            </w:tcMar>
            <w:vAlign w:val="bottom"/>
            <w:hideMark/>
          </w:tcPr>
          <w:p w14:paraId="03871208" w14:textId="77777777" w:rsidR="00000000" w:rsidRDefault="00195E73">
            <w:pPr>
              <w:ind w:hanging="180"/>
              <w:divId w:val="467630249"/>
              <w:rPr>
                <w:rFonts w:eastAsia="Times New Roman"/>
              </w:rPr>
            </w:pPr>
            <w:r>
              <w:rPr>
                <w:rFonts w:eastAsia="Times New Roman"/>
                <w:color w:val="000000"/>
                <w:sz w:val="12"/>
                <w:szCs w:val="12"/>
              </w:rPr>
              <w:t>Less: net (loss) income from continuing operations attributable to non-controlling interest</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6FCB7D91" w14:textId="77777777" w:rsidR="00000000" w:rsidRDefault="00195E73">
            <w:pPr>
              <w:jc w:val="right"/>
              <w:rPr>
                <w:rFonts w:eastAsia="Times New Roman"/>
              </w:rPr>
            </w:pPr>
            <w:r>
              <w:rPr>
                <w:rFonts w:eastAsia="Times New Roman"/>
                <w:color w:val="000000"/>
                <w:sz w:val="12"/>
                <w:szCs w:val="12"/>
              </w:rPr>
              <w:t>(768</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6C9D1A8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20EF0B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35E104" w14:textId="77777777" w:rsidR="00000000" w:rsidRDefault="00195E73">
            <w:pPr>
              <w:jc w:val="right"/>
              <w:rPr>
                <w:rFonts w:eastAsia="Times New Roman"/>
              </w:rPr>
            </w:pPr>
            <w:r>
              <w:rPr>
                <w:rFonts w:eastAsia="Times New Roman"/>
                <w:color w:val="000000"/>
                <w:sz w:val="12"/>
                <w:szCs w:val="12"/>
              </w:rPr>
              <w:t>68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806414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30401B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C27BB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F0FB6E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8E7821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76C0F0"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1AD4987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8E91E6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40898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0E98CD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ACBCFF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F53C3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614314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FB3FB3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BA29B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EDEB05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020AEA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DA53C1" w14:textId="77777777" w:rsidR="00000000" w:rsidRDefault="00195E73">
            <w:pPr>
              <w:jc w:val="right"/>
              <w:rPr>
                <w:rFonts w:eastAsia="Times New Roman"/>
              </w:rPr>
            </w:pPr>
            <w:r>
              <w:rPr>
                <w:rFonts w:eastAsia="Times New Roman"/>
                <w:color w:val="000000"/>
                <w:sz w:val="12"/>
                <w:szCs w:val="12"/>
              </w:rPr>
              <w:t>12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2CBE76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37967E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93208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E544D5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328AC9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722BD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907E0A5"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1E41ED1D"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2323CD6" w14:textId="77777777" w:rsidR="00000000" w:rsidRDefault="00195E73">
            <w:pPr>
              <w:jc w:val="right"/>
              <w:rPr>
                <w:rFonts w:eastAsia="Times New Roman"/>
              </w:rPr>
            </w:pPr>
            <w:r>
              <w:rPr>
                <w:rFonts w:eastAsia="Times New Roman"/>
                <w:color w:val="000000"/>
                <w:sz w:val="12"/>
                <w:szCs w:val="12"/>
              </w:rPr>
              <w:t>(693</w:t>
            </w:r>
            <w:r>
              <w:rPr>
                <w:rFonts w:eastAsia="Times New Roman"/>
                <w:color w:val="000000"/>
                <w:sz w:val="12"/>
                <w:szCs w:val="12"/>
              </w:rPr>
              <w:t>)</w:t>
            </w:r>
            <w:r>
              <w:rPr>
                <w:rFonts w:eastAsia="Times New Roman"/>
                <w:color w:val="000000"/>
                <w:sz w:val="12"/>
                <w:szCs w:val="12"/>
              </w:rPr>
              <w:t> </w:t>
            </w:r>
          </w:p>
        </w:tc>
      </w:tr>
      <w:tr w:rsidR="00195E73" w14:paraId="02C23403" w14:textId="77777777">
        <w:trPr>
          <w:divId w:val="1734279977"/>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1C3B5C76" w14:textId="77777777" w:rsidR="00000000" w:rsidRDefault="00195E73">
            <w:pPr>
              <w:ind w:hanging="180"/>
              <w:divId w:val="714112886"/>
              <w:rPr>
                <w:rFonts w:eastAsia="Times New Roman"/>
              </w:rPr>
            </w:pPr>
            <w:r>
              <w:rPr>
                <w:rFonts w:eastAsia="Times New Roman"/>
                <w:color w:val="000000"/>
                <w:sz w:val="12"/>
                <w:szCs w:val="12"/>
              </w:rPr>
              <w:t>Net (loss) income from continuing operations attributable to Icahn Enterprise</w:t>
            </w:r>
            <w:r>
              <w:rPr>
                <w:rFonts w:eastAsia="Times New Roman"/>
                <w:color w:val="000000"/>
                <w:sz w:val="12"/>
                <w:szCs w:val="12"/>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C56ED24"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DD4427D" w14:textId="77777777" w:rsidR="00000000" w:rsidRDefault="00195E73">
            <w:pPr>
              <w:jc w:val="right"/>
              <w:rPr>
                <w:rFonts w:eastAsia="Times New Roman"/>
              </w:rPr>
            </w:pPr>
            <w:r>
              <w:rPr>
                <w:rFonts w:eastAsia="Times New Roman"/>
                <w:color w:val="000000"/>
                <w:sz w:val="12"/>
                <w:szCs w:val="12"/>
              </w:rPr>
              <w:t>(775</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307890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320C6A9"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B71F147"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D41E6E4" w14:textId="77777777" w:rsidR="00000000" w:rsidRDefault="00195E73">
            <w:pPr>
              <w:jc w:val="right"/>
              <w:rPr>
                <w:rFonts w:eastAsia="Times New Roman"/>
              </w:rPr>
            </w:pPr>
            <w:r>
              <w:rPr>
                <w:rFonts w:eastAsia="Times New Roman"/>
                <w:color w:val="000000"/>
                <w:sz w:val="12"/>
                <w:szCs w:val="12"/>
              </w:rPr>
              <w:t>246</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443AF3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3A5AA86"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58B8C7A"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5990E31" w14:textId="77777777" w:rsidR="00000000" w:rsidRDefault="00195E73">
            <w:pPr>
              <w:jc w:val="right"/>
              <w:rPr>
                <w:rFonts w:eastAsia="Times New Roman"/>
              </w:rPr>
            </w:pPr>
            <w:r>
              <w:rPr>
                <w:rFonts w:eastAsia="Times New Roman"/>
                <w:color w:val="000000"/>
                <w:sz w:val="12"/>
                <w:szCs w:val="12"/>
              </w:rPr>
              <w:t>(197</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BC260E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B0BE4AB"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25045CC"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C925622" w14:textId="77777777" w:rsidR="00000000" w:rsidRDefault="00195E73">
            <w:pPr>
              <w:jc w:val="right"/>
              <w:rPr>
                <w:rFonts w:eastAsia="Times New Roman"/>
              </w:rPr>
            </w:pPr>
            <w:r>
              <w:rPr>
                <w:rFonts w:eastAsia="Times New Roman"/>
                <w:color w:val="000000"/>
                <w:sz w:val="12"/>
                <w:szCs w:val="12"/>
              </w:rPr>
              <w:t>(17</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4FF4AF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0EAE24F"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DF8B3C2"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915091F" w14:textId="77777777" w:rsidR="00000000" w:rsidRDefault="00195E73">
            <w:pPr>
              <w:jc w:val="right"/>
              <w:rPr>
                <w:rFonts w:eastAsia="Times New Roman"/>
              </w:rPr>
            </w:pPr>
            <w:r>
              <w:rPr>
                <w:rFonts w:eastAsia="Times New Roman"/>
                <w:color w:val="000000"/>
                <w:sz w:val="12"/>
                <w:szCs w:val="12"/>
              </w:rPr>
              <w:t>(22</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70BC1E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91B8EDE"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144B875"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4654A3A" w14:textId="77777777" w:rsidR="00000000" w:rsidRDefault="00195E73">
            <w:pPr>
              <w:jc w:val="right"/>
              <w:rPr>
                <w:rFonts w:eastAsia="Times New Roman"/>
              </w:rPr>
            </w:pPr>
            <w:r>
              <w:rPr>
                <w:rFonts w:eastAsia="Times New Roman"/>
                <w:color w:val="000000"/>
                <w:sz w:val="12"/>
                <w:szCs w:val="12"/>
              </w:rPr>
              <w:t>16</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CDD784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75CE4BD"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1BFD425"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73A4CBD" w14:textId="77777777" w:rsidR="00000000" w:rsidRDefault="00195E73">
            <w:pPr>
              <w:jc w:val="right"/>
              <w:rPr>
                <w:rFonts w:eastAsia="Times New Roman"/>
              </w:rPr>
            </w:pPr>
            <w:r>
              <w:rPr>
                <w:rFonts w:eastAsia="Times New Roman"/>
                <w:color w:val="000000"/>
                <w:sz w:val="12"/>
                <w:szCs w:val="12"/>
              </w:rPr>
              <w:t>(17</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29E921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857C60F"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A562CC0"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6FFB2F8" w14:textId="77777777" w:rsidR="00000000" w:rsidRDefault="00195E73">
            <w:pPr>
              <w:jc w:val="right"/>
              <w:rPr>
                <w:rFonts w:eastAsia="Times New Roman"/>
              </w:rPr>
            </w:pPr>
            <w:r>
              <w:rPr>
                <w:rFonts w:eastAsia="Times New Roman"/>
                <w:color w:val="000000"/>
                <w:sz w:val="12"/>
                <w:szCs w:val="12"/>
              </w:rPr>
              <w:t>299</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A81992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8DE3F52"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12FFCCF"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902911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2856EA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3F3FA0D"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1CCB3B2"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5166784" w14:textId="77777777" w:rsidR="00000000" w:rsidRDefault="00195E73">
            <w:pPr>
              <w:jc w:val="right"/>
              <w:rPr>
                <w:rFonts w:eastAsia="Times New Roman"/>
              </w:rPr>
            </w:pPr>
            <w:r>
              <w:rPr>
                <w:rFonts w:eastAsia="Times New Roman"/>
                <w:color w:val="000000"/>
                <w:sz w:val="12"/>
                <w:szCs w:val="12"/>
              </w:rPr>
              <w:t>(599</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78E011B"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6DCD2D97"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35AF050"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(1,066</w:t>
            </w:r>
            <w:r>
              <w:rPr>
                <w:rFonts w:eastAsia="Times New Roman"/>
                <w:color w:val="000000"/>
                <w:sz w:val="12"/>
                <w:szCs w:val="12"/>
              </w:rPr>
              <w:t>)</w:t>
            </w:r>
            <w:r>
              <w:rPr>
                <w:rFonts w:eastAsia="Times New Roman"/>
                <w:color w:val="000000"/>
                <w:sz w:val="12"/>
                <w:szCs w:val="12"/>
              </w:rPr>
              <w:t> </w:t>
            </w:r>
          </w:p>
        </w:tc>
      </w:tr>
      <w:tr w:rsidR="00000000" w14:paraId="6A7AE614" w14:textId="77777777">
        <w:trPr>
          <w:divId w:val="1734279977"/>
          <w:trHeight w:val="60"/>
          <w:jc w:val="center"/>
        </w:trPr>
        <w:tc>
          <w:tcPr>
            <w:tcW w:w="0" w:type="auto"/>
            <w:gridSpan w:val="3"/>
            <w:tcBorders>
              <w:top w:val="double" w:sz="6" w:space="0" w:color="FFFFFF"/>
            </w:tcBorders>
            <w:shd w:val="clear" w:color="auto" w:fill="CCEEFF"/>
            <w:tcMar>
              <w:top w:w="15" w:type="dxa"/>
              <w:left w:w="20" w:type="dxa"/>
              <w:bottom w:w="15" w:type="dxa"/>
              <w:right w:w="20" w:type="dxa"/>
            </w:tcMar>
            <w:vAlign w:val="bottom"/>
            <w:hideMark/>
          </w:tcPr>
          <w:p w14:paraId="6F520FCF" w14:textId="77777777" w:rsidR="00000000" w:rsidRDefault="00195E73">
            <w:pPr>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3A35654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D7BF126"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6DEFEC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3E1903B"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F67032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DF088DE"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FBF922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357A6E9"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4AAF51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D8A236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77D773F"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3546847"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8315512"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7994EE2"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F74088D"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178B188"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3E3FA3F8"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A823AC9"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115F4C1" w14:textId="77777777" w:rsidR="00000000" w:rsidRDefault="00195E73">
            <w:pPr>
              <w:rPr>
                <w:rFonts w:eastAsia="Times New Roman"/>
                <w:sz w:val="20"/>
                <w:szCs w:val="20"/>
              </w:rPr>
            </w:pPr>
          </w:p>
        </w:tc>
        <w:tc>
          <w:tcPr>
            <w:tcW w:w="0" w:type="auto"/>
            <w:gridSpan w:val="2"/>
            <w:shd w:val="clear" w:color="auto" w:fill="CCEEFF"/>
            <w:tcMar>
              <w:top w:w="15" w:type="dxa"/>
              <w:left w:w="20" w:type="dxa"/>
              <w:bottom w:w="15" w:type="dxa"/>
              <w:right w:w="20" w:type="dxa"/>
            </w:tcMar>
            <w:vAlign w:val="bottom"/>
            <w:hideMark/>
          </w:tcPr>
          <w:p w14:paraId="225B71BF" w14:textId="77777777" w:rsidR="00000000" w:rsidRDefault="00195E73">
            <w:pPr>
              <w:rPr>
                <w:rFonts w:eastAsia="Times New Roman"/>
                <w:sz w:val="20"/>
                <w:szCs w:val="20"/>
              </w:rPr>
            </w:pPr>
          </w:p>
        </w:tc>
        <w:tc>
          <w:tcPr>
            <w:tcW w:w="0" w:type="auto"/>
            <w:tcBorders>
              <w:top w:val="double" w:sz="6" w:space="0" w:color="000000"/>
            </w:tcBorders>
            <w:shd w:val="clear" w:color="auto" w:fill="CCEEFF"/>
            <w:tcMar>
              <w:top w:w="15" w:type="dxa"/>
              <w:left w:w="20" w:type="dxa"/>
              <w:bottom w:w="15" w:type="dxa"/>
              <w:right w:w="20" w:type="dxa"/>
            </w:tcMar>
            <w:vAlign w:val="bottom"/>
            <w:hideMark/>
          </w:tcPr>
          <w:p w14:paraId="292779DD" w14:textId="77777777" w:rsidR="00000000" w:rsidRDefault="00195E73">
            <w:pPr>
              <w:rPr>
                <w:rFonts w:eastAsia="Times New Roman"/>
                <w:sz w:val="20"/>
                <w:szCs w:val="20"/>
              </w:rPr>
            </w:pPr>
          </w:p>
        </w:tc>
      </w:tr>
      <w:tr w:rsidR="00000000" w14:paraId="0D19996A" w14:textId="77777777">
        <w:trPr>
          <w:divId w:val="1734279977"/>
          <w:jc w:val="center"/>
        </w:trPr>
        <w:tc>
          <w:tcPr>
            <w:tcW w:w="0" w:type="auto"/>
            <w:gridSpan w:val="3"/>
            <w:shd w:val="clear" w:color="auto" w:fill="FFFFFF"/>
            <w:tcMar>
              <w:top w:w="30" w:type="dxa"/>
              <w:left w:w="20" w:type="dxa"/>
              <w:bottom w:w="30" w:type="dxa"/>
              <w:right w:w="20" w:type="dxa"/>
            </w:tcMar>
            <w:vAlign w:val="bottom"/>
            <w:hideMark/>
          </w:tcPr>
          <w:p w14:paraId="07D98275" w14:textId="77777777" w:rsidR="00000000" w:rsidRDefault="00195E73">
            <w:pPr>
              <w:rPr>
                <w:rFonts w:eastAsia="Times New Roman"/>
              </w:rPr>
            </w:pPr>
            <w:r>
              <w:rPr>
                <w:rFonts w:eastAsia="Times New Roman"/>
                <w:color w:val="000000"/>
                <w:sz w:val="12"/>
                <w:szCs w:val="12"/>
              </w:rPr>
              <w:t>Supplemental information</w:t>
            </w:r>
            <w:r>
              <w:rPr>
                <w:rFonts w:eastAsia="Times New Roman"/>
                <w:color w:val="000000"/>
                <w:sz w:val="12"/>
                <w:szCs w:val="12"/>
              </w:rPr>
              <w:t>:</w:t>
            </w:r>
          </w:p>
        </w:tc>
        <w:tc>
          <w:tcPr>
            <w:tcW w:w="0" w:type="auto"/>
            <w:gridSpan w:val="3"/>
            <w:shd w:val="clear" w:color="auto" w:fill="FFFFFF"/>
            <w:tcMar>
              <w:top w:w="15" w:type="dxa"/>
              <w:left w:w="20" w:type="dxa"/>
              <w:bottom w:w="15" w:type="dxa"/>
              <w:right w:w="20" w:type="dxa"/>
            </w:tcMar>
            <w:vAlign w:val="bottom"/>
            <w:hideMark/>
          </w:tcPr>
          <w:p w14:paraId="3E6E7947"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F2F6A2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908B12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D806A6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27FA1D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571025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B73647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4E3526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FDBF8A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4DE047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45E2A4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B882EC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278158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3DE0E6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8DBF1D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8D8BBB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DA523D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35C748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CEE2F56"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689AD21A" w14:textId="77777777" w:rsidR="00000000" w:rsidRDefault="00195E73">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14:paraId="167B23D0" w14:textId="77777777" w:rsidR="00000000" w:rsidRDefault="00195E73">
            <w:pPr>
              <w:rPr>
                <w:rFonts w:eastAsia="Times New Roman"/>
                <w:sz w:val="20"/>
                <w:szCs w:val="20"/>
              </w:rPr>
            </w:pPr>
          </w:p>
        </w:tc>
      </w:tr>
      <w:tr w:rsidR="00195E73" w14:paraId="6622DFC0" w14:textId="77777777">
        <w:trPr>
          <w:divId w:val="1734279977"/>
          <w:jc w:val="center"/>
        </w:trPr>
        <w:tc>
          <w:tcPr>
            <w:tcW w:w="0" w:type="auto"/>
            <w:gridSpan w:val="3"/>
            <w:shd w:val="clear" w:color="auto" w:fill="CCEEFF"/>
            <w:tcMar>
              <w:top w:w="30" w:type="dxa"/>
              <w:left w:w="20" w:type="dxa"/>
              <w:bottom w:w="30" w:type="dxa"/>
              <w:right w:w="20" w:type="dxa"/>
            </w:tcMar>
            <w:vAlign w:val="bottom"/>
            <w:hideMark/>
          </w:tcPr>
          <w:p w14:paraId="2A1F297D" w14:textId="77777777" w:rsidR="00000000" w:rsidRDefault="00195E73">
            <w:pPr>
              <w:ind w:firstLine="180"/>
              <w:divId w:val="275872903"/>
              <w:rPr>
                <w:rFonts w:eastAsia="Times New Roman"/>
              </w:rPr>
            </w:pPr>
            <w:r>
              <w:rPr>
                <w:rFonts w:eastAsia="Times New Roman"/>
                <w:color w:val="000000"/>
                <w:sz w:val="12"/>
                <w:szCs w:val="12"/>
              </w:rPr>
              <w:t>Capital expenditure</w:t>
            </w:r>
            <w:r>
              <w:rPr>
                <w:rFonts w:eastAsia="Times New Roman"/>
                <w:color w:val="000000"/>
                <w:sz w:val="12"/>
                <w:szCs w:val="12"/>
              </w:rPr>
              <w:t>s</w:t>
            </w:r>
          </w:p>
        </w:tc>
        <w:tc>
          <w:tcPr>
            <w:tcW w:w="0" w:type="auto"/>
            <w:shd w:val="clear" w:color="auto" w:fill="CCEEFF"/>
            <w:tcMar>
              <w:top w:w="30" w:type="dxa"/>
              <w:left w:w="20" w:type="dxa"/>
              <w:bottom w:w="30" w:type="dxa"/>
              <w:right w:w="15" w:type="dxa"/>
            </w:tcMar>
            <w:vAlign w:val="bottom"/>
            <w:hideMark/>
          </w:tcPr>
          <w:p w14:paraId="088759CF"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B8D12E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E1BAE7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700F70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B12963F"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31AD7A3" w14:textId="77777777" w:rsidR="00000000" w:rsidRDefault="00195E73">
            <w:pPr>
              <w:jc w:val="right"/>
              <w:rPr>
                <w:rFonts w:eastAsia="Times New Roman"/>
              </w:rPr>
            </w:pPr>
            <w:r>
              <w:rPr>
                <w:rFonts w:eastAsia="Times New Roman"/>
                <w:color w:val="000000"/>
                <w:sz w:val="12"/>
                <w:szCs w:val="12"/>
              </w:rPr>
              <w:t>121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7CF5F8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98FC92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C24CF96"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B3C6EFB" w14:textId="77777777" w:rsidR="00000000" w:rsidRDefault="00195E73">
            <w:pPr>
              <w:jc w:val="right"/>
              <w:rPr>
                <w:rFonts w:eastAsia="Times New Roman"/>
              </w:rPr>
            </w:pPr>
            <w:r>
              <w:rPr>
                <w:rFonts w:eastAsia="Times New Roman"/>
                <w:color w:val="000000"/>
                <w:sz w:val="12"/>
                <w:szCs w:val="12"/>
              </w:rPr>
              <w:t>47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87A639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A4B212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F43765C"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5A20932B" w14:textId="77777777" w:rsidR="00000000" w:rsidRDefault="00195E73">
            <w:pPr>
              <w:jc w:val="right"/>
              <w:rPr>
                <w:rFonts w:eastAsia="Times New Roman"/>
              </w:rPr>
            </w:pPr>
            <w:r>
              <w:rPr>
                <w:rFonts w:eastAsia="Times New Roman"/>
                <w:color w:val="000000"/>
                <w:sz w:val="12"/>
                <w:szCs w:val="12"/>
              </w:rPr>
              <w:t>17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EBABA4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C881D17"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CD0CE27"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1817CFF" w14:textId="77777777" w:rsidR="00000000" w:rsidRDefault="00195E73">
            <w:pPr>
              <w:jc w:val="right"/>
              <w:rPr>
                <w:rFonts w:eastAsia="Times New Roman"/>
              </w:rPr>
            </w:pPr>
            <w:r>
              <w:rPr>
                <w:rFonts w:eastAsia="Times New Roman"/>
                <w:color w:val="000000"/>
                <w:sz w:val="12"/>
                <w:szCs w:val="12"/>
              </w:rPr>
              <w:t>24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FA4F96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701028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CCA65D6"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6BB17B16" w14:textId="77777777" w:rsidR="00000000" w:rsidRDefault="00195E73">
            <w:pPr>
              <w:jc w:val="right"/>
              <w:rPr>
                <w:rFonts w:eastAsia="Times New Roman"/>
              </w:rPr>
            </w:pPr>
            <w:r>
              <w:rPr>
                <w:rFonts w:eastAsia="Times New Roman"/>
                <w:color w:val="000000"/>
                <w:sz w:val="12"/>
                <w:szCs w:val="12"/>
              </w:rPr>
              <w:t>22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2CBEB9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41A99D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B8B87BE"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2E3734B"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ACAD40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23594F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CA1BCCC"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73D4C6DB" w14:textId="77777777" w:rsidR="00000000" w:rsidRDefault="00195E73">
            <w:pPr>
              <w:jc w:val="right"/>
              <w:rPr>
                <w:rFonts w:eastAsia="Times New Roman"/>
              </w:rPr>
            </w:pPr>
            <w:r>
              <w:rPr>
                <w:rFonts w:eastAsia="Times New Roman"/>
                <w:color w:val="000000"/>
                <w:sz w:val="12"/>
                <w:szCs w:val="12"/>
              </w:rPr>
              <w:t>14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4DDBD3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9B0B1F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AA8E391"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C2F156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555078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A0FA51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53CEFF3"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0DCDDE2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DD10DDC"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480D7C8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86F0515"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250</w:t>
            </w:r>
            <w:r>
              <w:rPr>
                <w:rFonts w:eastAsia="Times New Roman"/>
                <w:color w:val="000000"/>
                <w:sz w:val="12"/>
                <w:szCs w:val="12"/>
              </w:rPr>
              <w:t> </w:t>
            </w:r>
            <w:r>
              <w:rPr>
                <w:rFonts w:eastAsia="Times New Roman"/>
                <w:color w:val="000000"/>
                <w:sz w:val="12"/>
                <w:szCs w:val="12"/>
              </w:rPr>
              <w:t> </w:t>
            </w:r>
          </w:p>
        </w:tc>
      </w:tr>
      <w:tr w:rsidR="00195E73" w14:paraId="593B8308" w14:textId="77777777">
        <w:trPr>
          <w:divId w:val="1734279977"/>
          <w:jc w:val="center"/>
        </w:trPr>
        <w:tc>
          <w:tcPr>
            <w:tcW w:w="0" w:type="auto"/>
            <w:gridSpan w:val="3"/>
            <w:shd w:val="clear" w:color="auto" w:fill="FFFFFF"/>
            <w:tcMar>
              <w:top w:w="30" w:type="dxa"/>
              <w:left w:w="20" w:type="dxa"/>
              <w:bottom w:w="30" w:type="dxa"/>
              <w:right w:w="20" w:type="dxa"/>
            </w:tcMar>
            <w:vAlign w:val="bottom"/>
            <w:hideMark/>
          </w:tcPr>
          <w:p w14:paraId="62EEC2E2" w14:textId="77777777" w:rsidR="00000000" w:rsidRDefault="00195E73">
            <w:pPr>
              <w:ind w:hanging="180"/>
              <w:divId w:val="1959868970"/>
              <w:rPr>
                <w:rFonts w:eastAsia="Times New Roman"/>
              </w:rPr>
            </w:pPr>
            <w:r>
              <w:rPr>
                <w:rFonts w:eastAsia="Times New Roman"/>
                <w:color w:val="000000"/>
                <w:sz w:val="12"/>
                <w:szCs w:val="12"/>
              </w:rPr>
              <w:t>Depreciation and amortizatio</w:t>
            </w:r>
            <w:r>
              <w:rPr>
                <w:rFonts w:eastAsia="Times New Roman"/>
                <w:color w:val="000000"/>
                <w:sz w:val="12"/>
                <w:szCs w:val="12"/>
              </w:rPr>
              <w:t>n</w:t>
            </w:r>
          </w:p>
        </w:tc>
        <w:tc>
          <w:tcPr>
            <w:tcW w:w="0" w:type="auto"/>
            <w:shd w:val="clear" w:color="auto" w:fill="FFFFFF"/>
            <w:tcMar>
              <w:top w:w="30" w:type="dxa"/>
              <w:left w:w="20" w:type="dxa"/>
              <w:bottom w:w="30" w:type="dxa"/>
              <w:right w:w="15" w:type="dxa"/>
            </w:tcMar>
            <w:vAlign w:val="bottom"/>
            <w:hideMark/>
          </w:tcPr>
          <w:p w14:paraId="7CB734C9"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1B70F75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7CC67F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7BC6503"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717C0379"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3D9E1B90" w14:textId="77777777" w:rsidR="00000000" w:rsidRDefault="00195E73">
            <w:pPr>
              <w:jc w:val="right"/>
              <w:rPr>
                <w:rFonts w:eastAsia="Times New Roman"/>
              </w:rPr>
            </w:pPr>
            <w:r>
              <w:rPr>
                <w:rFonts w:eastAsia="Times New Roman"/>
                <w:color w:val="000000"/>
                <w:sz w:val="12"/>
                <w:szCs w:val="12"/>
              </w:rPr>
              <w:t>352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5943EA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3345041"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8F7A176"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6EF9E928" w14:textId="77777777" w:rsidR="00000000" w:rsidRDefault="00195E73">
            <w:pPr>
              <w:jc w:val="right"/>
              <w:rPr>
                <w:rFonts w:eastAsia="Times New Roman"/>
              </w:rPr>
            </w:pPr>
            <w:r>
              <w:rPr>
                <w:rFonts w:eastAsia="Times New Roman"/>
                <w:color w:val="000000"/>
                <w:sz w:val="12"/>
                <w:szCs w:val="12"/>
              </w:rPr>
              <w:t>98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47293B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A9910B8"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D2342C1"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6CC4ACC5" w14:textId="77777777" w:rsidR="00000000" w:rsidRDefault="00195E73">
            <w:pPr>
              <w:jc w:val="right"/>
              <w:rPr>
                <w:rFonts w:eastAsia="Times New Roman"/>
              </w:rPr>
            </w:pPr>
            <w:r>
              <w:rPr>
                <w:rFonts w:eastAsia="Times New Roman"/>
                <w:color w:val="000000"/>
                <w:sz w:val="12"/>
                <w:szCs w:val="12"/>
              </w:rPr>
              <w:t>26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024E66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2A88398"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5CD2734"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2A65A639" w14:textId="77777777" w:rsidR="00000000" w:rsidRDefault="00195E73">
            <w:pPr>
              <w:jc w:val="right"/>
              <w:rPr>
                <w:rFonts w:eastAsia="Times New Roman"/>
              </w:rPr>
            </w:pPr>
            <w:r>
              <w:rPr>
                <w:rFonts w:eastAsia="Times New Roman"/>
                <w:color w:val="000000"/>
                <w:sz w:val="12"/>
                <w:szCs w:val="12"/>
              </w:rPr>
              <w:t>19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8A6924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9458E45"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C6FD1EC"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38D510F1" w14:textId="77777777" w:rsidR="00000000" w:rsidRDefault="00195E73">
            <w:pPr>
              <w:jc w:val="right"/>
              <w:rPr>
                <w:rFonts w:eastAsia="Times New Roman"/>
              </w:rPr>
            </w:pPr>
            <w:r>
              <w:rPr>
                <w:rFonts w:eastAsia="Times New Roman"/>
                <w:color w:val="000000"/>
                <w:sz w:val="12"/>
                <w:szCs w:val="12"/>
              </w:rPr>
              <w:t>17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0F7CEF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DCB6BF1"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FF8B559"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2351E509" w14:textId="77777777" w:rsidR="00000000" w:rsidRDefault="00195E73">
            <w:pPr>
              <w:jc w:val="right"/>
              <w:rPr>
                <w:rFonts w:eastAsia="Times New Roman"/>
              </w:rPr>
            </w:pPr>
            <w:r>
              <w:rPr>
                <w:rFonts w:eastAsia="Times New Roman"/>
                <w:color w:val="000000"/>
                <w:sz w:val="12"/>
                <w:szCs w:val="12"/>
              </w:rPr>
              <w:t>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7CC4B9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37D6223"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C2A909C"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17FA9DD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48633E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B81BC86"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B2A1C79"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099325D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D1FD22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8CDA6E3"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4883D64"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79A7E09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8601B0F"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59FAE165"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8A5BC75"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519</w:t>
            </w:r>
            <w:r>
              <w:rPr>
                <w:rFonts w:eastAsia="Times New Roman"/>
                <w:color w:val="000000"/>
                <w:sz w:val="12"/>
                <w:szCs w:val="12"/>
              </w:rPr>
              <w:t> </w:t>
            </w:r>
            <w:r>
              <w:rPr>
                <w:rFonts w:eastAsia="Times New Roman"/>
                <w:color w:val="000000"/>
                <w:sz w:val="12"/>
                <w:szCs w:val="12"/>
              </w:rPr>
              <w:t> </w:t>
            </w:r>
          </w:p>
        </w:tc>
      </w:tr>
    </w:tbl>
    <w:p w14:paraId="5B1EC264" w14:textId="77777777" w:rsidR="00000000" w:rsidRDefault="00195E73">
      <w:pPr>
        <w:jc w:val="center"/>
        <w:rPr>
          <w:rFonts w:eastAsia="Times New Roman"/>
        </w:rPr>
      </w:pPr>
    </w:p>
    <w:p w14:paraId="4614532A" w14:textId="77777777" w:rsidR="00000000" w:rsidRDefault="00195E73">
      <w:pPr>
        <w:jc w:val="center"/>
        <w:divId w:val="1013998920"/>
        <w:rPr>
          <w:rFonts w:eastAsia="Times New Roman"/>
        </w:rPr>
      </w:pPr>
      <w:r>
        <w:rPr>
          <w:rFonts w:eastAsia="Times New Roman"/>
          <w:color w:val="000000"/>
          <w:sz w:val="20"/>
          <w:szCs w:val="20"/>
        </w:rPr>
        <w:t>9</w:t>
      </w:r>
      <w:r>
        <w:rPr>
          <w:rFonts w:eastAsia="Times New Roman"/>
          <w:color w:val="000000"/>
          <w:sz w:val="20"/>
          <w:szCs w:val="20"/>
        </w:rPr>
        <w:t>9</w:t>
      </w:r>
    </w:p>
    <w:p w14:paraId="14C74E1F" w14:textId="77777777" w:rsidR="00000000" w:rsidRDefault="00195E73">
      <w:pPr>
        <w:rPr>
          <w:rFonts w:eastAsia="Times New Roman"/>
        </w:rPr>
      </w:pPr>
      <w:r>
        <w:rPr>
          <w:rFonts w:eastAsia="Times New Roman"/>
        </w:rPr>
        <w:pict w14:anchorId="19C4DFA0">
          <v:rect id="_x0000_i1125" style="width:0;height:1.5pt" o:hralign="center" o:hrstd="t" o:hr="t" fillcolor="#a0a0a0" stroked="f"/>
        </w:pict>
      </w:r>
    </w:p>
    <w:p w14:paraId="3D0CC943" w14:textId="77777777" w:rsidR="00000000" w:rsidRDefault="00195E73">
      <w:pPr>
        <w:jc w:val="center"/>
        <w:divId w:val="1119836157"/>
        <w:rPr>
          <w:rFonts w:eastAsia="Times New Roman"/>
        </w:rPr>
      </w:pPr>
    </w:p>
    <w:p w14:paraId="2E91EC8D" w14:textId="77777777" w:rsidR="00000000" w:rsidRDefault="00195E73">
      <w:pPr>
        <w:jc w:val="center"/>
        <w:divId w:val="1119836157"/>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2F2CB591" w14:textId="77777777" w:rsidR="00000000" w:rsidRDefault="00195E73">
      <w:pPr>
        <w:jc w:val="center"/>
        <w:divId w:val="1119836157"/>
        <w:rPr>
          <w:rFonts w:eastAsia="Times New Roman"/>
        </w:rPr>
      </w:pPr>
      <w:r>
        <w:rPr>
          <w:rFonts w:eastAsia="Times New Roman"/>
          <w:b/>
          <w:bCs/>
          <w:color w:val="000000"/>
          <w:sz w:val="20"/>
          <w:szCs w:val="20"/>
        </w:rPr>
        <w:t>ICAHN ENTERPRISES HOLDINGS L.P. AND SUBSID</w:t>
      </w:r>
      <w:r>
        <w:rPr>
          <w:rFonts w:eastAsia="Times New Roman"/>
          <w:b/>
          <w:bCs/>
          <w:color w:val="000000"/>
          <w:sz w:val="20"/>
          <w:szCs w:val="20"/>
        </w:rPr>
        <w:t>IARIE</w:t>
      </w:r>
      <w:r>
        <w:rPr>
          <w:rFonts w:eastAsia="Times New Roman"/>
          <w:b/>
          <w:bCs/>
          <w:color w:val="000000"/>
          <w:sz w:val="20"/>
          <w:szCs w:val="20"/>
        </w:rPr>
        <w:t>S</w:t>
      </w:r>
    </w:p>
    <w:p w14:paraId="613E3512" w14:textId="77777777" w:rsidR="00000000" w:rsidRDefault="00195E73">
      <w:pPr>
        <w:jc w:val="center"/>
        <w:divId w:val="1119836157"/>
        <w:rPr>
          <w:rFonts w:eastAsia="Times New Roman"/>
        </w:rPr>
      </w:pPr>
    </w:p>
    <w:p w14:paraId="2A86D2A0" w14:textId="77777777" w:rsidR="00000000" w:rsidRDefault="00195E73">
      <w:pPr>
        <w:jc w:val="center"/>
        <w:divId w:val="1119836157"/>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tbl>
      <w:tblPr>
        <w:tblW w:w="4970" w:type="pct"/>
        <w:jc w:val="center"/>
        <w:tblCellMar>
          <w:top w:w="15" w:type="dxa"/>
          <w:left w:w="15" w:type="dxa"/>
          <w:bottom w:w="15" w:type="dxa"/>
          <w:right w:w="15" w:type="dxa"/>
        </w:tblCellMar>
        <w:tblLook w:val="04A0" w:firstRow="1" w:lastRow="0" w:firstColumn="1" w:lastColumn="0" w:noHBand="0" w:noVBand="1"/>
      </w:tblPr>
      <w:tblGrid>
        <w:gridCol w:w="40"/>
        <w:gridCol w:w="1415"/>
        <w:gridCol w:w="40"/>
        <w:gridCol w:w="96"/>
        <w:gridCol w:w="443"/>
        <w:gridCol w:w="85"/>
        <w:gridCol w:w="36"/>
        <w:gridCol w:w="36"/>
        <w:gridCol w:w="36"/>
        <w:gridCol w:w="95"/>
        <w:gridCol w:w="315"/>
        <w:gridCol w:w="65"/>
        <w:gridCol w:w="36"/>
        <w:gridCol w:w="36"/>
        <w:gridCol w:w="36"/>
        <w:gridCol w:w="96"/>
        <w:gridCol w:w="469"/>
        <w:gridCol w:w="85"/>
        <w:gridCol w:w="36"/>
        <w:gridCol w:w="36"/>
        <w:gridCol w:w="36"/>
        <w:gridCol w:w="96"/>
        <w:gridCol w:w="407"/>
        <w:gridCol w:w="83"/>
        <w:gridCol w:w="36"/>
        <w:gridCol w:w="36"/>
        <w:gridCol w:w="36"/>
        <w:gridCol w:w="95"/>
        <w:gridCol w:w="225"/>
        <w:gridCol w:w="65"/>
        <w:gridCol w:w="36"/>
        <w:gridCol w:w="36"/>
        <w:gridCol w:w="36"/>
        <w:gridCol w:w="95"/>
        <w:gridCol w:w="225"/>
        <w:gridCol w:w="65"/>
        <w:gridCol w:w="36"/>
        <w:gridCol w:w="36"/>
        <w:gridCol w:w="36"/>
        <w:gridCol w:w="96"/>
        <w:gridCol w:w="290"/>
        <w:gridCol w:w="78"/>
        <w:gridCol w:w="36"/>
        <w:gridCol w:w="36"/>
        <w:gridCol w:w="36"/>
        <w:gridCol w:w="96"/>
        <w:gridCol w:w="257"/>
        <w:gridCol w:w="78"/>
        <w:gridCol w:w="36"/>
        <w:gridCol w:w="36"/>
        <w:gridCol w:w="36"/>
        <w:gridCol w:w="96"/>
        <w:gridCol w:w="273"/>
        <w:gridCol w:w="73"/>
        <w:gridCol w:w="36"/>
        <w:gridCol w:w="36"/>
        <w:gridCol w:w="36"/>
        <w:gridCol w:w="96"/>
        <w:gridCol w:w="390"/>
        <w:gridCol w:w="75"/>
        <w:gridCol w:w="36"/>
        <w:gridCol w:w="36"/>
        <w:gridCol w:w="714"/>
      </w:tblGrid>
      <w:tr w:rsidR="00000000" w14:paraId="67CA18F1" w14:textId="77777777">
        <w:trPr>
          <w:divId w:val="1255017860"/>
          <w:jc w:val="center"/>
        </w:trPr>
        <w:tc>
          <w:tcPr>
            <w:tcW w:w="50" w:type="pct"/>
            <w:vAlign w:val="center"/>
            <w:hideMark/>
          </w:tcPr>
          <w:p w14:paraId="114B0ADC" w14:textId="77777777" w:rsidR="00000000" w:rsidRDefault="00195E73">
            <w:pPr>
              <w:jc w:val="center"/>
              <w:rPr>
                <w:rFonts w:eastAsia="Times New Roman"/>
              </w:rPr>
            </w:pPr>
          </w:p>
        </w:tc>
        <w:tc>
          <w:tcPr>
            <w:tcW w:w="1054" w:type="pct"/>
            <w:vAlign w:val="center"/>
            <w:hideMark/>
          </w:tcPr>
          <w:p w14:paraId="06EC5F62" w14:textId="77777777" w:rsidR="00000000" w:rsidRDefault="00195E73">
            <w:pPr>
              <w:rPr>
                <w:rFonts w:eastAsia="Times New Roman"/>
                <w:sz w:val="20"/>
                <w:szCs w:val="20"/>
              </w:rPr>
            </w:pPr>
          </w:p>
        </w:tc>
        <w:tc>
          <w:tcPr>
            <w:tcW w:w="50" w:type="pct"/>
            <w:vAlign w:val="center"/>
            <w:hideMark/>
          </w:tcPr>
          <w:p w14:paraId="3513F4B0" w14:textId="77777777" w:rsidR="00000000" w:rsidRDefault="00195E73">
            <w:pPr>
              <w:rPr>
                <w:rFonts w:eastAsia="Times New Roman"/>
                <w:sz w:val="20"/>
                <w:szCs w:val="20"/>
              </w:rPr>
            </w:pPr>
          </w:p>
        </w:tc>
        <w:tc>
          <w:tcPr>
            <w:tcW w:w="50" w:type="pct"/>
            <w:vAlign w:val="center"/>
            <w:hideMark/>
          </w:tcPr>
          <w:p w14:paraId="599EE5B8" w14:textId="77777777" w:rsidR="00000000" w:rsidRDefault="00195E73">
            <w:pPr>
              <w:rPr>
                <w:rFonts w:eastAsia="Times New Roman"/>
                <w:sz w:val="20"/>
                <w:szCs w:val="20"/>
              </w:rPr>
            </w:pPr>
          </w:p>
        </w:tc>
        <w:tc>
          <w:tcPr>
            <w:tcW w:w="260" w:type="pct"/>
            <w:vAlign w:val="center"/>
            <w:hideMark/>
          </w:tcPr>
          <w:p w14:paraId="3FDF9F42" w14:textId="77777777" w:rsidR="00000000" w:rsidRDefault="00195E73">
            <w:pPr>
              <w:rPr>
                <w:rFonts w:eastAsia="Times New Roman"/>
                <w:sz w:val="20"/>
                <w:szCs w:val="20"/>
              </w:rPr>
            </w:pPr>
          </w:p>
        </w:tc>
        <w:tc>
          <w:tcPr>
            <w:tcW w:w="50" w:type="pct"/>
            <w:vAlign w:val="center"/>
            <w:hideMark/>
          </w:tcPr>
          <w:p w14:paraId="00ED7189" w14:textId="77777777" w:rsidR="00000000" w:rsidRDefault="00195E73">
            <w:pPr>
              <w:rPr>
                <w:rFonts w:eastAsia="Times New Roman"/>
                <w:sz w:val="20"/>
                <w:szCs w:val="20"/>
              </w:rPr>
            </w:pPr>
          </w:p>
        </w:tc>
        <w:tc>
          <w:tcPr>
            <w:tcW w:w="5" w:type="pct"/>
            <w:vAlign w:val="center"/>
            <w:hideMark/>
          </w:tcPr>
          <w:p w14:paraId="30293DFB" w14:textId="77777777" w:rsidR="00000000" w:rsidRDefault="00195E73">
            <w:pPr>
              <w:rPr>
                <w:rFonts w:eastAsia="Times New Roman"/>
                <w:sz w:val="20"/>
                <w:szCs w:val="20"/>
              </w:rPr>
            </w:pPr>
          </w:p>
        </w:tc>
        <w:tc>
          <w:tcPr>
            <w:tcW w:w="26" w:type="pct"/>
            <w:vAlign w:val="center"/>
            <w:hideMark/>
          </w:tcPr>
          <w:p w14:paraId="393B9C47" w14:textId="77777777" w:rsidR="00000000" w:rsidRDefault="00195E73">
            <w:pPr>
              <w:rPr>
                <w:rFonts w:eastAsia="Times New Roman"/>
                <w:sz w:val="20"/>
                <w:szCs w:val="20"/>
              </w:rPr>
            </w:pPr>
          </w:p>
        </w:tc>
        <w:tc>
          <w:tcPr>
            <w:tcW w:w="5" w:type="pct"/>
            <w:vAlign w:val="center"/>
            <w:hideMark/>
          </w:tcPr>
          <w:p w14:paraId="3EE729D2" w14:textId="77777777" w:rsidR="00000000" w:rsidRDefault="00195E73">
            <w:pPr>
              <w:rPr>
                <w:rFonts w:eastAsia="Times New Roman"/>
                <w:sz w:val="20"/>
                <w:szCs w:val="20"/>
              </w:rPr>
            </w:pPr>
          </w:p>
        </w:tc>
        <w:tc>
          <w:tcPr>
            <w:tcW w:w="50" w:type="pct"/>
            <w:vAlign w:val="center"/>
            <w:hideMark/>
          </w:tcPr>
          <w:p w14:paraId="453C2D2A" w14:textId="77777777" w:rsidR="00000000" w:rsidRDefault="00195E73">
            <w:pPr>
              <w:rPr>
                <w:rFonts w:eastAsia="Times New Roman"/>
                <w:sz w:val="20"/>
                <w:szCs w:val="20"/>
              </w:rPr>
            </w:pPr>
          </w:p>
        </w:tc>
        <w:tc>
          <w:tcPr>
            <w:tcW w:w="201" w:type="pct"/>
            <w:vAlign w:val="center"/>
            <w:hideMark/>
          </w:tcPr>
          <w:p w14:paraId="309D6FDD" w14:textId="77777777" w:rsidR="00000000" w:rsidRDefault="00195E73">
            <w:pPr>
              <w:rPr>
                <w:rFonts w:eastAsia="Times New Roman"/>
                <w:sz w:val="20"/>
                <w:szCs w:val="20"/>
              </w:rPr>
            </w:pPr>
          </w:p>
        </w:tc>
        <w:tc>
          <w:tcPr>
            <w:tcW w:w="50" w:type="pct"/>
            <w:vAlign w:val="center"/>
            <w:hideMark/>
          </w:tcPr>
          <w:p w14:paraId="22D92F54" w14:textId="77777777" w:rsidR="00000000" w:rsidRDefault="00195E73">
            <w:pPr>
              <w:rPr>
                <w:rFonts w:eastAsia="Times New Roman"/>
                <w:sz w:val="20"/>
                <w:szCs w:val="20"/>
              </w:rPr>
            </w:pPr>
          </w:p>
        </w:tc>
        <w:tc>
          <w:tcPr>
            <w:tcW w:w="5" w:type="pct"/>
            <w:vAlign w:val="center"/>
            <w:hideMark/>
          </w:tcPr>
          <w:p w14:paraId="00F96C48" w14:textId="77777777" w:rsidR="00000000" w:rsidRDefault="00195E73">
            <w:pPr>
              <w:rPr>
                <w:rFonts w:eastAsia="Times New Roman"/>
                <w:sz w:val="20"/>
                <w:szCs w:val="20"/>
              </w:rPr>
            </w:pPr>
          </w:p>
        </w:tc>
        <w:tc>
          <w:tcPr>
            <w:tcW w:w="26" w:type="pct"/>
            <w:vAlign w:val="center"/>
            <w:hideMark/>
          </w:tcPr>
          <w:p w14:paraId="7BBBB38F" w14:textId="77777777" w:rsidR="00000000" w:rsidRDefault="00195E73">
            <w:pPr>
              <w:rPr>
                <w:rFonts w:eastAsia="Times New Roman"/>
                <w:sz w:val="20"/>
                <w:szCs w:val="20"/>
              </w:rPr>
            </w:pPr>
          </w:p>
        </w:tc>
        <w:tc>
          <w:tcPr>
            <w:tcW w:w="5" w:type="pct"/>
            <w:vAlign w:val="center"/>
            <w:hideMark/>
          </w:tcPr>
          <w:p w14:paraId="6AE477FF" w14:textId="77777777" w:rsidR="00000000" w:rsidRDefault="00195E73">
            <w:pPr>
              <w:rPr>
                <w:rFonts w:eastAsia="Times New Roman"/>
                <w:sz w:val="20"/>
                <w:szCs w:val="20"/>
              </w:rPr>
            </w:pPr>
          </w:p>
        </w:tc>
        <w:tc>
          <w:tcPr>
            <w:tcW w:w="50" w:type="pct"/>
            <w:vAlign w:val="center"/>
            <w:hideMark/>
          </w:tcPr>
          <w:p w14:paraId="59DC718A" w14:textId="77777777" w:rsidR="00000000" w:rsidRDefault="00195E73">
            <w:pPr>
              <w:rPr>
                <w:rFonts w:eastAsia="Times New Roman"/>
                <w:sz w:val="20"/>
                <w:szCs w:val="20"/>
              </w:rPr>
            </w:pPr>
          </w:p>
        </w:tc>
        <w:tc>
          <w:tcPr>
            <w:tcW w:w="275" w:type="pct"/>
            <w:vAlign w:val="center"/>
            <w:hideMark/>
          </w:tcPr>
          <w:p w14:paraId="78FC975E" w14:textId="77777777" w:rsidR="00000000" w:rsidRDefault="00195E73">
            <w:pPr>
              <w:rPr>
                <w:rFonts w:eastAsia="Times New Roman"/>
                <w:sz w:val="20"/>
                <w:szCs w:val="20"/>
              </w:rPr>
            </w:pPr>
          </w:p>
        </w:tc>
        <w:tc>
          <w:tcPr>
            <w:tcW w:w="50" w:type="pct"/>
            <w:vAlign w:val="center"/>
            <w:hideMark/>
          </w:tcPr>
          <w:p w14:paraId="0D47E1FE" w14:textId="77777777" w:rsidR="00000000" w:rsidRDefault="00195E73">
            <w:pPr>
              <w:rPr>
                <w:rFonts w:eastAsia="Times New Roman"/>
                <w:sz w:val="20"/>
                <w:szCs w:val="20"/>
              </w:rPr>
            </w:pPr>
          </w:p>
        </w:tc>
        <w:tc>
          <w:tcPr>
            <w:tcW w:w="5" w:type="pct"/>
            <w:vAlign w:val="center"/>
            <w:hideMark/>
          </w:tcPr>
          <w:p w14:paraId="19B59608" w14:textId="77777777" w:rsidR="00000000" w:rsidRDefault="00195E73">
            <w:pPr>
              <w:rPr>
                <w:rFonts w:eastAsia="Times New Roman"/>
                <w:sz w:val="20"/>
                <w:szCs w:val="20"/>
              </w:rPr>
            </w:pPr>
          </w:p>
        </w:tc>
        <w:tc>
          <w:tcPr>
            <w:tcW w:w="26" w:type="pct"/>
            <w:vAlign w:val="center"/>
            <w:hideMark/>
          </w:tcPr>
          <w:p w14:paraId="664972B1" w14:textId="77777777" w:rsidR="00000000" w:rsidRDefault="00195E73">
            <w:pPr>
              <w:rPr>
                <w:rFonts w:eastAsia="Times New Roman"/>
                <w:sz w:val="20"/>
                <w:szCs w:val="20"/>
              </w:rPr>
            </w:pPr>
          </w:p>
        </w:tc>
        <w:tc>
          <w:tcPr>
            <w:tcW w:w="5" w:type="pct"/>
            <w:vAlign w:val="center"/>
            <w:hideMark/>
          </w:tcPr>
          <w:p w14:paraId="2AC1DC93" w14:textId="77777777" w:rsidR="00000000" w:rsidRDefault="00195E73">
            <w:pPr>
              <w:rPr>
                <w:rFonts w:eastAsia="Times New Roman"/>
                <w:sz w:val="20"/>
                <w:szCs w:val="20"/>
              </w:rPr>
            </w:pPr>
          </w:p>
        </w:tc>
        <w:tc>
          <w:tcPr>
            <w:tcW w:w="50" w:type="pct"/>
            <w:vAlign w:val="center"/>
            <w:hideMark/>
          </w:tcPr>
          <w:p w14:paraId="6A37B8EF" w14:textId="77777777" w:rsidR="00000000" w:rsidRDefault="00195E73">
            <w:pPr>
              <w:rPr>
                <w:rFonts w:eastAsia="Times New Roman"/>
                <w:sz w:val="20"/>
                <w:szCs w:val="20"/>
              </w:rPr>
            </w:pPr>
          </w:p>
        </w:tc>
        <w:tc>
          <w:tcPr>
            <w:tcW w:w="245" w:type="pct"/>
            <w:vAlign w:val="center"/>
            <w:hideMark/>
          </w:tcPr>
          <w:p w14:paraId="76BE983D" w14:textId="77777777" w:rsidR="00000000" w:rsidRDefault="00195E73">
            <w:pPr>
              <w:rPr>
                <w:rFonts w:eastAsia="Times New Roman"/>
                <w:sz w:val="20"/>
                <w:szCs w:val="20"/>
              </w:rPr>
            </w:pPr>
          </w:p>
        </w:tc>
        <w:tc>
          <w:tcPr>
            <w:tcW w:w="50" w:type="pct"/>
            <w:vAlign w:val="center"/>
            <w:hideMark/>
          </w:tcPr>
          <w:p w14:paraId="08E36030" w14:textId="77777777" w:rsidR="00000000" w:rsidRDefault="00195E73">
            <w:pPr>
              <w:rPr>
                <w:rFonts w:eastAsia="Times New Roman"/>
                <w:sz w:val="20"/>
                <w:szCs w:val="20"/>
              </w:rPr>
            </w:pPr>
          </w:p>
        </w:tc>
        <w:tc>
          <w:tcPr>
            <w:tcW w:w="5" w:type="pct"/>
            <w:vAlign w:val="center"/>
            <w:hideMark/>
          </w:tcPr>
          <w:p w14:paraId="15EDC704" w14:textId="77777777" w:rsidR="00000000" w:rsidRDefault="00195E73">
            <w:pPr>
              <w:rPr>
                <w:rFonts w:eastAsia="Times New Roman"/>
                <w:sz w:val="20"/>
                <w:szCs w:val="20"/>
              </w:rPr>
            </w:pPr>
          </w:p>
        </w:tc>
        <w:tc>
          <w:tcPr>
            <w:tcW w:w="26" w:type="pct"/>
            <w:vAlign w:val="center"/>
            <w:hideMark/>
          </w:tcPr>
          <w:p w14:paraId="5DF8930F" w14:textId="77777777" w:rsidR="00000000" w:rsidRDefault="00195E73">
            <w:pPr>
              <w:rPr>
                <w:rFonts w:eastAsia="Times New Roman"/>
                <w:sz w:val="20"/>
                <w:szCs w:val="20"/>
              </w:rPr>
            </w:pPr>
          </w:p>
        </w:tc>
        <w:tc>
          <w:tcPr>
            <w:tcW w:w="5" w:type="pct"/>
            <w:vAlign w:val="center"/>
            <w:hideMark/>
          </w:tcPr>
          <w:p w14:paraId="242E7F8A" w14:textId="77777777" w:rsidR="00000000" w:rsidRDefault="00195E73">
            <w:pPr>
              <w:rPr>
                <w:rFonts w:eastAsia="Times New Roman"/>
                <w:sz w:val="20"/>
                <w:szCs w:val="20"/>
              </w:rPr>
            </w:pPr>
          </w:p>
        </w:tc>
        <w:tc>
          <w:tcPr>
            <w:tcW w:w="50" w:type="pct"/>
            <w:vAlign w:val="center"/>
            <w:hideMark/>
          </w:tcPr>
          <w:p w14:paraId="26DFA9DA" w14:textId="77777777" w:rsidR="00000000" w:rsidRDefault="00195E73">
            <w:pPr>
              <w:rPr>
                <w:rFonts w:eastAsia="Times New Roman"/>
                <w:sz w:val="20"/>
                <w:szCs w:val="20"/>
              </w:rPr>
            </w:pPr>
          </w:p>
        </w:tc>
        <w:tc>
          <w:tcPr>
            <w:tcW w:w="157" w:type="pct"/>
            <w:vAlign w:val="center"/>
            <w:hideMark/>
          </w:tcPr>
          <w:p w14:paraId="6D83C611" w14:textId="77777777" w:rsidR="00000000" w:rsidRDefault="00195E73">
            <w:pPr>
              <w:rPr>
                <w:rFonts w:eastAsia="Times New Roman"/>
                <w:sz w:val="20"/>
                <w:szCs w:val="20"/>
              </w:rPr>
            </w:pPr>
          </w:p>
        </w:tc>
        <w:tc>
          <w:tcPr>
            <w:tcW w:w="50" w:type="pct"/>
            <w:vAlign w:val="center"/>
            <w:hideMark/>
          </w:tcPr>
          <w:p w14:paraId="73526B04" w14:textId="77777777" w:rsidR="00000000" w:rsidRDefault="00195E73">
            <w:pPr>
              <w:rPr>
                <w:rFonts w:eastAsia="Times New Roman"/>
                <w:sz w:val="20"/>
                <w:szCs w:val="20"/>
              </w:rPr>
            </w:pPr>
          </w:p>
        </w:tc>
        <w:tc>
          <w:tcPr>
            <w:tcW w:w="5" w:type="pct"/>
            <w:vAlign w:val="center"/>
            <w:hideMark/>
          </w:tcPr>
          <w:p w14:paraId="3BE06793" w14:textId="77777777" w:rsidR="00000000" w:rsidRDefault="00195E73">
            <w:pPr>
              <w:rPr>
                <w:rFonts w:eastAsia="Times New Roman"/>
                <w:sz w:val="20"/>
                <w:szCs w:val="20"/>
              </w:rPr>
            </w:pPr>
          </w:p>
        </w:tc>
        <w:tc>
          <w:tcPr>
            <w:tcW w:w="26" w:type="pct"/>
            <w:vAlign w:val="center"/>
            <w:hideMark/>
          </w:tcPr>
          <w:p w14:paraId="2AF23444" w14:textId="77777777" w:rsidR="00000000" w:rsidRDefault="00195E73">
            <w:pPr>
              <w:rPr>
                <w:rFonts w:eastAsia="Times New Roman"/>
                <w:sz w:val="20"/>
                <w:szCs w:val="20"/>
              </w:rPr>
            </w:pPr>
          </w:p>
        </w:tc>
        <w:tc>
          <w:tcPr>
            <w:tcW w:w="5" w:type="pct"/>
            <w:vAlign w:val="center"/>
            <w:hideMark/>
          </w:tcPr>
          <w:p w14:paraId="28CBE195" w14:textId="77777777" w:rsidR="00000000" w:rsidRDefault="00195E73">
            <w:pPr>
              <w:rPr>
                <w:rFonts w:eastAsia="Times New Roman"/>
                <w:sz w:val="20"/>
                <w:szCs w:val="20"/>
              </w:rPr>
            </w:pPr>
          </w:p>
        </w:tc>
        <w:tc>
          <w:tcPr>
            <w:tcW w:w="50" w:type="pct"/>
            <w:vAlign w:val="center"/>
            <w:hideMark/>
          </w:tcPr>
          <w:p w14:paraId="3099D28B" w14:textId="77777777" w:rsidR="00000000" w:rsidRDefault="00195E73">
            <w:pPr>
              <w:rPr>
                <w:rFonts w:eastAsia="Times New Roman"/>
                <w:sz w:val="20"/>
                <w:szCs w:val="20"/>
              </w:rPr>
            </w:pPr>
          </w:p>
        </w:tc>
        <w:tc>
          <w:tcPr>
            <w:tcW w:w="127" w:type="pct"/>
            <w:vAlign w:val="center"/>
            <w:hideMark/>
          </w:tcPr>
          <w:p w14:paraId="182EE7EE" w14:textId="77777777" w:rsidR="00000000" w:rsidRDefault="00195E73">
            <w:pPr>
              <w:rPr>
                <w:rFonts w:eastAsia="Times New Roman"/>
                <w:sz w:val="20"/>
                <w:szCs w:val="20"/>
              </w:rPr>
            </w:pPr>
          </w:p>
        </w:tc>
        <w:tc>
          <w:tcPr>
            <w:tcW w:w="50" w:type="pct"/>
            <w:vAlign w:val="center"/>
            <w:hideMark/>
          </w:tcPr>
          <w:p w14:paraId="5A84493C" w14:textId="77777777" w:rsidR="00000000" w:rsidRDefault="00195E73">
            <w:pPr>
              <w:rPr>
                <w:rFonts w:eastAsia="Times New Roman"/>
                <w:sz w:val="20"/>
                <w:szCs w:val="20"/>
              </w:rPr>
            </w:pPr>
          </w:p>
        </w:tc>
        <w:tc>
          <w:tcPr>
            <w:tcW w:w="5" w:type="pct"/>
            <w:vAlign w:val="center"/>
            <w:hideMark/>
          </w:tcPr>
          <w:p w14:paraId="1FFA7058" w14:textId="77777777" w:rsidR="00000000" w:rsidRDefault="00195E73">
            <w:pPr>
              <w:rPr>
                <w:rFonts w:eastAsia="Times New Roman"/>
                <w:sz w:val="20"/>
                <w:szCs w:val="20"/>
              </w:rPr>
            </w:pPr>
          </w:p>
        </w:tc>
        <w:tc>
          <w:tcPr>
            <w:tcW w:w="26" w:type="pct"/>
            <w:vAlign w:val="center"/>
            <w:hideMark/>
          </w:tcPr>
          <w:p w14:paraId="65B4A8DF" w14:textId="77777777" w:rsidR="00000000" w:rsidRDefault="00195E73">
            <w:pPr>
              <w:rPr>
                <w:rFonts w:eastAsia="Times New Roman"/>
                <w:sz w:val="20"/>
                <w:szCs w:val="20"/>
              </w:rPr>
            </w:pPr>
          </w:p>
        </w:tc>
        <w:tc>
          <w:tcPr>
            <w:tcW w:w="5" w:type="pct"/>
            <w:vAlign w:val="center"/>
            <w:hideMark/>
          </w:tcPr>
          <w:p w14:paraId="5EBF6919" w14:textId="77777777" w:rsidR="00000000" w:rsidRDefault="00195E73">
            <w:pPr>
              <w:rPr>
                <w:rFonts w:eastAsia="Times New Roman"/>
                <w:sz w:val="20"/>
                <w:szCs w:val="20"/>
              </w:rPr>
            </w:pPr>
          </w:p>
        </w:tc>
        <w:tc>
          <w:tcPr>
            <w:tcW w:w="50" w:type="pct"/>
            <w:vAlign w:val="center"/>
            <w:hideMark/>
          </w:tcPr>
          <w:p w14:paraId="702FC81C" w14:textId="77777777" w:rsidR="00000000" w:rsidRDefault="00195E73">
            <w:pPr>
              <w:rPr>
                <w:rFonts w:eastAsia="Times New Roman"/>
                <w:sz w:val="20"/>
                <w:szCs w:val="20"/>
              </w:rPr>
            </w:pPr>
          </w:p>
        </w:tc>
        <w:tc>
          <w:tcPr>
            <w:tcW w:w="186" w:type="pct"/>
            <w:vAlign w:val="center"/>
            <w:hideMark/>
          </w:tcPr>
          <w:p w14:paraId="741CC6D1" w14:textId="77777777" w:rsidR="00000000" w:rsidRDefault="00195E73">
            <w:pPr>
              <w:rPr>
                <w:rFonts w:eastAsia="Times New Roman"/>
                <w:sz w:val="20"/>
                <w:szCs w:val="20"/>
              </w:rPr>
            </w:pPr>
          </w:p>
        </w:tc>
        <w:tc>
          <w:tcPr>
            <w:tcW w:w="50" w:type="pct"/>
            <w:vAlign w:val="center"/>
            <w:hideMark/>
          </w:tcPr>
          <w:p w14:paraId="0F042874" w14:textId="77777777" w:rsidR="00000000" w:rsidRDefault="00195E73">
            <w:pPr>
              <w:rPr>
                <w:rFonts w:eastAsia="Times New Roman"/>
                <w:sz w:val="20"/>
                <w:szCs w:val="20"/>
              </w:rPr>
            </w:pPr>
          </w:p>
        </w:tc>
        <w:tc>
          <w:tcPr>
            <w:tcW w:w="5" w:type="pct"/>
            <w:vAlign w:val="center"/>
            <w:hideMark/>
          </w:tcPr>
          <w:p w14:paraId="2D90AC9A" w14:textId="77777777" w:rsidR="00000000" w:rsidRDefault="00195E73">
            <w:pPr>
              <w:rPr>
                <w:rFonts w:eastAsia="Times New Roman"/>
                <w:sz w:val="20"/>
                <w:szCs w:val="20"/>
              </w:rPr>
            </w:pPr>
          </w:p>
        </w:tc>
        <w:tc>
          <w:tcPr>
            <w:tcW w:w="26" w:type="pct"/>
            <w:vAlign w:val="center"/>
            <w:hideMark/>
          </w:tcPr>
          <w:p w14:paraId="223A6E35" w14:textId="77777777" w:rsidR="00000000" w:rsidRDefault="00195E73">
            <w:pPr>
              <w:rPr>
                <w:rFonts w:eastAsia="Times New Roman"/>
                <w:sz w:val="20"/>
                <w:szCs w:val="20"/>
              </w:rPr>
            </w:pPr>
          </w:p>
        </w:tc>
        <w:tc>
          <w:tcPr>
            <w:tcW w:w="5" w:type="pct"/>
            <w:vAlign w:val="center"/>
            <w:hideMark/>
          </w:tcPr>
          <w:p w14:paraId="36A2AE10" w14:textId="77777777" w:rsidR="00000000" w:rsidRDefault="00195E73">
            <w:pPr>
              <w:rPr>
                <w:rFonts w:eastAsia="Times New Roman"/>
                <w:sz w:val="20"/>
                <w:szCs w:val="20"/>
              </w:rPr>
            </w:pPr>
          </w:p>
        </w:tc>
        <w:tc>
          <w:tcPr>
            <w:tcW w:w="50" w:type="pct"/>
            <w:vAlign w:val="center"/>
            <w:hideMark/>
          </w:tcPr>
          <w:p w14:paraId="19FC683E" w14:textId="77777777" w:rsidR="00000000" w:rsidRDefault="00195E73">
            <w:pPr>
              <w:rPr>
                <w:rFonts w:eastAsia="Times New Roman"/>
                <w:sz w:val="20"/>
                <w:szCs w:val="20"/>
              </w:rPr>
            </w:pPr>
          </w:p>
        </w:tc>
        <w:tc>
          <w:tcPr>
            <w:tcW w:w="164" w:type="pct"/>
            <w:vAlign w:val="center"/>
            <w:hideMark/>
          </w:tcPr>
          <w:p w14:paraId="0337D07E" w14:textId="77777777" w:rsidR="00000000" w:rsidRDefault="00195E73">
            <w:pPr>
              <w:rPr>
                <w:rFonts w:eastAsia="Times New Roman"/>
                <w:sz w:val="20"/>
                <w:szCs w:val="20"/>
              </w:rPr>
            </w:pPr>
          </w:p>
        </w:tc>
        <w:tc>
          <w:tcPr>
            <w:tcW w:w="50" w:type="pct"/>
            <w:vAlign w:val="center"/>
            <w:hideMark/>
          </w:tcPr>
          <w:p w14:paraId="0F462D92" w14:textId="77777777" w:rsidR="00000000" w:rsidRDefault="00195E73">
            <w:pPr>
              <w:rPr>
                <w:rFonts w:eastAsia="Times New Roman"/>
                <w:sz w:val="20"/>
                <w:szCs w:val="20"/>
              </w:rPr>
            </w:pPr>
          </w:p>
        </w:tc>
        <w:tc>
          <w:tcPr>
            <w:tcW w:w="5" w:type="pct"/>
            <w:vAlign w:val="center"/>
            <w:hideMark/>
          </w:tcPr>
          <w:p w14:paraId="124EEB92" w14:textId="77777777" w:rsidR="00000000" w:rsidRDefault="00195E73">
            <w:pPr>
              <w:rPr>
                <w:rFonts w:eastAsia="Times New Roman"/>
                <w:sz w:val="20"/>
                <w:szCs w:val="20"/>
              </w:rPr>
            </w:pPr>
          </w:p>
        </w:tc>
        <w:tc>
          <w:tcPr>
            <w:tcW w:w="26" w:type="pct"/>
            <w:vAlign w:val="center"/>
            <w:hideMark/>
          </w:tcPr>
          <w:p w14:paraId="78B00CFD" w14:textId="77777777" w:rsidR="00000000" w:rsidRDefault="00195E73">
            <w:pPr>
              <w:rPr>
                <w:rFonts w:eastAsia="Times New Roman"/>
                <w:sz w:val="20"/>
                <w:szCs w:val="20"/>
              </w:rPr>
            </w:pPr>
          </w:p>
        </w:tc>
        <w:tc>
          <w:tcPr>
            <w:tcW w:w="5" w:type="pct"/>
            <w:vAlign w:val="center"/>
            <w:hideMark/>
          </w:tcPr>
          <w:p w14:paraId="14EF34A8" w14:textId="77777777" w:rsidR="00000000" w:rsidRDefault="00195E73">
            <w:pPr>
              <w:rPr>
                <w:rFonts w:eastAsia="Times New Roman"/>
                <w:sz w:val="20"/>
                <w:szCs w:val="20"/>
              </w:rPr>
            </w:pPr>
          </w:p>
        </w:tc>
        <w:tc>
          <w:tcPr>
            <w:tcW w:w="50" w:type="pct"/>
            <w:vAlign w:val="center"/>
            <w:hideMark/>
          </w:tcPr>
          <w:p w14:paraId="37C3D67E" w14:textId="77777777" w:rsidR="00000000" w:rsidRDefault="00195E73">
            <w:pPr>
              <w:rPr>
                <w:rFonts w:eastAsia="Times New Roman"/>
                <w:sz w:val="20"/>
                <w:szCs w:val="20"/>
              </w:rPr>
            </w:pPr>
          </w:p>
        </w:tc>
        <w:tc>
          <w:tcPr>
            <w:tcW w:w="186" w:type="pct"/>
            <w:vAlign w:val="center"/>
            <w:hideMark/>
          </w:tcPr>
          <w:p w14:paraId="6F0861DC" w14:textId="77777777" w:rsidR="00000000" w:rsidRDefault="00195E73">
            <w:pPr>
              <w:rPr>
                <w:rFonts w:eastAsia="Times New Roman"/>
                <w:sz w:val="20"/>
                <w:szCs w:val="20"/>
              </w:rPr>
            </w:pPr>
          </w:p>
        </w:tc>
        <w:tc>
          <w:tcPr>
            <w:tcW w:w="50" w:type="pct"/>
            <w:vAlign w:val="center"/>
            <w:hideMark/>
          </w:tcPr>
          <w:p w14:paraId="2F9F16B4" w14:textId="77777777" w:rsidR="00000000" w:rsidRDefault="00195E73">
            <w:pPr>
              <w:rPr>
                <w:rFonts w:eastAsia="Times New Roman"/>
                <w:sz w:val="20"/>
                <w:szCs w:val="20"/>
              </w:rPr>
            </w:pPr>
          </w:p>
        </w:tc>
        <w:tc>
          <w:tcPr>
            <w:tcW w:w="5" w:type="pct"/>
            <w:vAlign w:val="center"/>
            <w:hideMark/>
          </w:tcPr>
          <w:p w14:paraId="0536D2E2" w14:textId="77777777" w:rsidR="00000000" w:rsidRDefault="00195E73">
            <w:pPr>
              <w:rPr>
                <w:rFonts w:eastAsia="Times New Roman"/>
                <w:sz w:val="20"/>
                <w:szCs w:val="20"/>
              </w:rPr>
            </w:pPr>
          </w:p>
        </w:tc>
        <w:tc>
          <w:tcPr>
            <w:tcW w:w="26" w:type="pct"/>
            <w:vAlign w:val="center"/>
            <w:hideMark/>
          </w:tcPr>
          <w:p w14:paraId="2344D343" w14:textId="77777777" w:rsidR="00000000" w:rsidRDefault="00195E73">
            <w:pPr>
              <w:rPr>
                <w:rFonts w:eastAsia="Times New Roman"/>
                <w:sz w:val="20"/>
                <w:szCs w:val="20"/>
              </w:rPr>
            </w:pPr>
          </w:p>
        </w:tc>
        <w:tc>
          <w:tcPr>
            <w:tcW w:w="5" w:type="pct"/>
            <w:vAlign w:val="center"/>
            <w:hideMark/>
          </w:tcPr>
          <w:p w14:paraId="22697CCB" w14:textId="77777777" w:rsidR="00000000" w:rsidRDefault="00195E73">
            <w:pPr>
              <w:rPr>
                <w:rFonts w:eastAsia="Times New Roman"/>
                <w:sz w:val="20"/>
                <w:szCs w:val="20"/>
              </w:rPr>
            </w:pPr>
          </w:p>
        </w:tc>
        <w:tc>
          <w:tcPr>
            <w:tcW w:w="50" w:type="pct"/>
            <w:vAlign w:val="center"/>
            <w:hideMark/>
          </w:tcPr>
          <w:p w14:paraId="43E54E37" w14:textId="77777777" w:rsidR="00000000" w:rsidRDefault="00195E73">
            <w:pPr>
              <w:rPr>
                <w:rFonts w:eastAsia="Times New Roman"/>
                <w:sz w:val="20"/>
                <w:szCs w:val="20"/>
              </w:rPr>
            </w:pPr>
          </w:p>
        </w:tc>
        <w:tc>
          <w:tcPr>
            <w:tcW w:w="260" w:type="pct"/>
            <w:vAlign w:val="center"/>
            <w:hideMark/>
          </w:tcPr>
          <w:p w14:paraId="4EF65EFC" w14:textId="77777777" w:rsidR="00000000" w:rsidRDefault="00195E73">
            <w:pPr>
              <w:rPr>
                <w:rFonts w:eastAsia="Times New Roman"/>
                <w:sz w:val="20"/>
                <w:szCs w:val="20"/>
              </w:rPr>
            </w:pPr>
          </w:p>
        </w:tc>
        <w:tc>
          <w:tcPr>
            <w:tcW w:w="50" w:type="pct"/>
            <w:vAlign w:val="center"/>
            <w:hideMark/>
          </w:tcPr>
          <w:p w14:paraId="5CA6BC91" w14:textId="77777777" w:rsidR="00000000" w:rsidRDefault="00195E73">
            <w:pPr>
              <w:rPr>
                <w:rFonts w:eastAsia="Times New Roman"/>
                <w:sz w:val="20"/>
                <w:szCs w:val="20"/>
              </w:rPr>
            </w:pPr>
          </w:p>
        </w:tc>
        <w:tc>
          <w:tcPr>
            <w:tcW w:w="5" w:type="pct"/>
            <w:vAlign w:val="center"/>
            <w:hideMark/>
          </w:tcPr>
          <w:p w14:paraId="039CEA69" w14:textId="77777777" w:rsidR="00000000" w:rsidRDefault="00195E73">
            <w:pPr>
              <w:rPr>
                <w:rFonts w:eastAsia="Times New Roman"/>
                <w:sz w:val="20"/>
                <w:szCs w:val="20"/>
              </w:rPr>
            </w:pPr>
          </w:p>
        </w:tc>
        <w:tc>
          <w:tcPr>
            <w:tcW w:w="26" w:type="pct"/>
            <w:vAlign w:val="center"/>
            <w:hideMark/>
          </w:tcPr>
          <w:p w14:paraId="35D9688E" w14:textId="77777777" w:rsidR="00000000" w:rsidRDefault="00195E73">
            <w:pPr>
              <w:rPr>
                <w:rFonts w:eastAsia="Times New Roman"/>
                <w:sz w:val="20"/>
                <w:szCs w:val="20"/>
              </w:rPr>
            </w:pPr>
          </w:p>
        </w:tc>
        <w:tc>
          <w:tcPr>
            <w:tcW w:w="5" w:type="pct"/>
            <w:vAlign w:val="center"/>
            <w:hideMark/>
          </w:tcPr>
          <w:p w14:paraId="708CE214" w14:textId="77777777" w:rsidR="00000000" w:rsidRDefault="00195E73">
            <w:pPr>
              <w:rPr>
                <w:rFonts w:eastAsia="Times New Roman"/>
                <w:sz w:val="20"/>
                <w:szCs w:val="20"/>
              </w:rPr>
            </w:pPr>
          </w:p>
        </w:tc>
      </w:tr>
      <w:tr w:rsidR="00000000" w14:paraId="292C7E16" w14:textId="77777777">
        <w:trPr>
          <w:divId w:val="1255017860"/>
          <w:jc w:val="center"/>
        </w:trPr>
        <w:tc>
          <w:tcPr>
            <w:tcW w:w="0" w:type="auto"/>
            <w:gridSpan w:val="3"/>
            <w:tcMar>
              <w:top w:w="15" w:type="dxa"/>
              <w:left w:w="20" w:type="dxa"/>
              <w:bottom w:w="15" w:type="dxa"/>
              <w:right w:w="20" w:type="dxa"/>
            </w:tcMar>
            <w:vAlign w:val="bottom"/>
            <w:hideMark/>
          </w:tcPr>
          <w:p w14:paraId="4F2BC32C" w14:textId="77777777" w:rsidR="00000000" w:rsidRDefault="00195E73">
            <w:pPr>
              <w:rPr>
                <w:rFonts w:eastAsia="Times New Roman"/>
                <w:sz w:val="20"/>
                <w:szCs w:val="20"/>
              </w:rPr>
            </w:pPr>
          </w:p>
        </w:tc>
        <w:tc>
          <w:tcPr>
            <w:tcW w:w="0" w:type="auto"/>
            <w:gridSpan w:val="59"/>
            <w:tcMar>
              <w:top w:w="30" w:type="dxa"/>
              <w:left w:w="20" w:type="dxa"/>
              <w:bottom w:w="30" w:type="dxa"/>
              <w:right w:w="20" w:type="dxa"/>
            </w:tcMar>
            <w:vAlign w:val="bottom"/>
            <w:hideMark/>
          </w:tcPr>
          <w:p w14:paraId="5CEB3EDB" w14:textId="77777777" w:rsidR="00000000" w:rsidRDefault="00195E73">
            <w:pPr>
              <w:jc w:val="center"/>
              <w:rPr>
                <w:rFonts w:eastAsia="Times New Roman"/>
              </w:rPr>
            </w:pPr>
            <w:r>
              <w:rPr>
                <w:rFonts w:eastAsia="Times New Roman"/>
                <w:b/>
                <w:bCs/>
                <w:color w:val="000000"/>
                <w:sz w:val="12"/>
                <w:szCs w:val="12"/>
              </w:rPr>
              <w:t>Year Ended December 31, 201</w:t>
            </w:r>
            <w:r>
              <w:rPr>
                <w:rFonts w:eastAsia="Times New Roman"/>
                <w:b/>
                <w:bCs/>
                <w:color w:val="000000"/>
                <w:sz w:val="12"/>
                <w:szCs w:val="12"/>
              </w:rPr>
              <w:t>8</w:t>
            </w:r>
          </w:p>
        </w:tc>
        <w:tc>
          <w:tcPr>
            <w:tcW w:w="0" w:type="auto"/>
            <w:vAlign w:val="center"/>
            <w:hideMark/>
          </w:tcPr>
          <w:p w14:paraId="47D74986" w14:textId="77777777" w:rsidR="00000000" w:rsidRDefault="00195E73">
            <w:pPr>
              <w:jc w:val="center"/>
              <w:rPr>
                <w:rFonts w:eastAsia="Times New Roman"/>
              </w:rPr>
            </w:pPr>
          </w:p>
        </w:tc>
      </w:tr>
      <w:tr w:rsidR="00000000" w14:paraId="03B96E28" w14:textId="77777777">
        <w:trPr>
          <w:divId w:val="1255017860"/>
          <w:jc w:val="center"/>
        </w:trPr>
        <w:tc>
          <w:tcPr>
            <w:tcW w:w="0" w:type="auto"/>
            <w:gridSpan w:val="3"/>
            <w:tcMar>
              <w:top w:w="15" w:type="dxa"/>
              <w:left w:w="20" w:type="dxa"/>
              <w:bottom w:w="15" w:type="dxa"/>
              <w:right w:w="20" w:type="dxa"/>
            </w:tcMar>
            <w:vAlign w:val="bottom"/>
            <w:hideMark/>
          </w:tcPr>
          <w:p w14:paraId="2AEDD4C1"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107C3E3" w14:textId="77777777" w:rsidR="00000000" w:rsidRDefault="00195E73">
            <w:pPr>
              <w:jc w:val="center"/>
              <w:rPr>
                <w:rFonts w:eastAsia="Times New Roman"/>
              </w:rPr>
            </w:pPr>
            <w:r>
              <w:rPr>
                <w:rFonts w:eastAsia="Times New Roman"/>
                <w:b/>
                <w:bCs/>
                <w:color w:val="000000"/>
                <w:sz w:val="12"/>
                <w:szCs w:val="12"/>
              </w:rPr>
              <w:t>Investmen</w:t>
            </w:r>
            <w:r>
              <w:rPr>
                <w:rFonts w:eastAsia="Times New Roman"/>
                <w:b/>
                <w:bCs/>
                <w:color w:val="000000"/>
                <w:sz w:val="12"/>
                <w:szCs w:val="12"/>
              </w:rPr>
              <w:t>t</w:t>
            </w:r>
          </w:p>
        </w:tc>
        <w:tc>
          <w:tcPr>
            <w:tcW w:w="0" w:type="auto"/>
            <w:gridSpan w:val="3"/>
            <w:tcBorders>
              <w:top w:val="single" w:sz="8" w:space="0" w:color="000000"/>
            </w:tcBorders>
            <w:tcMar>
              <w:top w:w="15" w:type="dxa"/>
              <w:left w:w="20" w:type="dxa"/>
              <w:bottom w:w="15" w:type="dxa"/>
              <w:right w:w="20" w:type="dxa"/>
            </w:tcMar>
            <w:vAlign w:val="bottom"/>
            <w:hideMark/>
          </w:tcPr>
          <w:p w14:paraId="21F291CA"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1CFC04F" w14:textId="77777777" w:rsidR="00000000" w:rsidRDefault="00195E73">
            <w:pPr>
              <w:jc w:val="center"/>
              <w:rPr>
                <w:rFonts w:eastAsia="Times New Roman"/>
              </w:rPr>
            </w:pPr>
            <w:r>
              <w:rPr>
                <w:rFonts w:eastAsia="Times New Roman"/>
                <w:b/>
                <w:bCs/>
                <w:color w:val="000000"/>
                <w:sz w:val="12"/>
                <w:szCs w:val="12"/>
              </w:rPr>
              <w:t>Energ</w:t>
            </w:r>
            <w:r>
              <w:rPr>
                <w:rFonts w:eastAsia="Times New Roman"/>
                <w:b/>
                <w:bCs/>
                <w:color w:val="000000"/>
                <w:sz w:val="12"/>
                <w:szCs w:val="12"/>
              </w:rPr>
              <w:t>y</w:t>
            </w:r>
          </w:p>
        </w:tc>
        <w:tc>
          <w:tcPr>
            <w:tcW w:w="0" w:type="auto"/>
            <w:gridSpan w:val="3"/>
            <w:tcBorders>
              <w:top w:val="single" w:sz="8" w:space="0" w:color="000000"/>
            </w:tcBorders>
            <w:tcMar>
              <w:top w:w="15" w:type="dxa"/>
              <w:left w:w="20" w:type="dxa"/>
              <w:bottom w:w="15" w:type="dxa"/>
              <w:right w:w="20" w:type="dxa"/>
            </w:tcMar>
            <w:vAlign w:val="bottom"/>
            <w:hideMark/>
          </w:tcPr>
          <w:p w14:paraId="4A117871"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B467247" w14:textId="77777777" w:rsidR="00000000" w:rsidRDefault="00195E73">
            <w:pPr>
              <w:jc w:val="center"/>
              <w:rPr>
                <w:rFonts w:eastAsia="Times New Roman"/>
              </w:rPr>
            </w:pPr>
            <w:r>
              <w:rPr>
                <w:rFonts w:eastAsia="Times New Roman"/>
                <w:b/>
                <w:bCs/>
                <w:color w:val="000000"/>
                <w:sz w:val="12"/>
                <w:szCs w:val="12"/>
              </w:rPr>
              <w:t>Automotiv</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789ABE7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38AEA85" w14:textId="77777777" w:rsidR="00000000" w:rsidRDefault="00195E73">
            <w:pPr>
              <w:jc w:val="center"/>
              <w:rPr>
                <w:rFonts w:eastAsia="Times New Roman"/>
              </w:rPr>
            </w:pPr>
            <w:r>
              <w:rPr>
                <w:rFonts w:eastAsia="Times New Roman"/>
                <w:b/>
                <w:bCs/>
                <w:color w:val="000000"/>
                <w:sz w:val="12"/>
                <w:szCs w:val="12"/>
              </w:rPr>
              <w:t>Food Packagin</w:t>
            </w:r>
            <w:r>
              <w:rPr>
                <w:rFonts w:eastAsia="Times New Roman"/>
                <w:b/>
                <w:bCs/>
                <w:color w:val="000000"/>
                <w:sz w:val="12"/>
                <w:szCs w:val="12"/>
              </w:rPr>
              <w:t>g</w:t>
            </w:r>
          </w:p>
        </w:tc>
        <w:tc>
          <w:tcPr>
            <w:tcW w:w="0" w:type="auto"/>
            <w:gridSpan w:val="3"/>
            <w:tcBorders>
              <w:top w:val="single" w:sz="8" w:space="0" w:color="000000"/>
            </w:tcBorders>
            <w:tcMar>
              <w:top w:w="15" w:type="dxa"/>
              <w:left w:w="20" w:type="dxa"/>
              <w:bottom w:w="15" w:type="dxa"/>
              <w:right w:w="20" w:type="dxa"/>
            </w:tcMar>
            <w:vAlign w:val="bottom"/>
            <w:hideMark/>
          </w:tcPr>
          <w:p w14:paraId="6353EF2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60B3251" w14:textId="77777777" w:rsidR="00000000" w:rsidRDefault="00195E73">
            <w:pPr>
              <w:jc w:val="center"/>
              <w:rPr>
                <w:rFonts w:eastAsia="Times New Roman"/>
              </w:rPr>
            </w:pPr>
            <w:r>
              <w:rPr>
                <w:rFonts w:eastAsia="Times New Roman"/>
                <w:b/>
                <w:bCs/>
                <w:color w:val="000000"/>
                <w:sz w:val="12"/>
                <w:szCs w:val="12"/>
              </w:rPr>
              <w:t>Metal</w:t>
            </w:r>
            <w:r>
              <w:rPr>
                <w:rFonts w:eastAsia="Times New Roman"/>
                <w:b/>
                <w:bCs/>
                <w:color w:val="000000"/>
                <w:sz w:val="12"/>
                <w:szCs w:val="12"/>
              </w:rPr>
              <w:t>s</w:t>
            </w:r>
          </w:p>
        </w:tc>
        <w:tc>
          <w:tcPr>
            <w:tcW w:w="0" w:type="auto"/>
            <w:gridSpan w:val="3"/>
            <w:tcBorders>
              <w:top w:val="single" w:sz="8" w:space="0" w:color="000000"/>
            </w:tcBorders>
            <w:tcMar>
              <w:top w:w="15" w:type="dxa"/>
              <w:left w:w="20" w:type="dxa"/>
              <w:bottom w:w="15" w:type="dxa"/>
              <w:right w:w="20" w:type="dxa"/>
            </w:tcMar>
            <w:vAlign w:val="bottom"/>
            <w:hideMark/>
          </w:tcPr>
          <w:p w14:paraId="1696244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8FA328D" w14:textId="77777777" w:rsidR="00000000" w:rsidRDefault="00195E73">
            <w:pPr>
              <w:jc w:val="center"/>
              <w:rPr>
                <w:rFonts w:eastAsia="Times New Roman"/>
              </w:rPr>
            </w:pPr>
            <w:r>
              <w:rPr>
                <w:rFonts w:eastAsia="Times New Roman"/>
                <w:b/>
                <w:bCs/>
                <w:color w:val="000000"/>
                <w:sz w:val="12"/>
                <w:szCs w:val="12"/>
              </w:rPr>
              <w:t>Real Estat</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517209A3"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EE897D2" w14:textId="77777777" w:rsidR="00000000" w:rsidRDefault="00195E73">
            <w:pPr>
              <w:jc w:val="center"/>
              <w:rPr>
                <w:rFonts w:eastAsia="Times New Roman"/>
              </w:rPr>
            </w:pPr>
            <w:r>
              <w:rPr>
                <w:rFonts w:eastAsia="Times New Roman"/>
                <w:b/>
                <w:bCs/>
                <w:color w:val="000000"/>
                <w:sz w:val="12"/>
                <w:szCs w:val="12"/>
              </w:rPr>
              <w:t>Home Fashio</w:t>
            </w:r>
            <w:r>
              <w:rPr>
                <w:rFonts w:eastAsia="Times New Roman"/>
                <w:b/>
                <w:bCs/>
                <w:color w:val="000000"/>
                <w:sz w:val="12"/>
                <w:szCs w:val="12"/>
              </w:rPr>
              <w:t>n</w:t>
            </w:r>
          </w:p>
        </w:tc>
        <w:tc>
          <w:tcPr>
            <w:tcW w:w="0" w:type="auto"/>
            <w:gridSpan w:val="3"/>
            <w:tcBorders>
              <w:top w:val="single" w:sz="8" w:space="0" w:color="000000"/>
            </w:tcBorders>
            <w:tcMar>
              <w:top w:w="15" w:type="dxa"/>
              <w:left w:w="20" w:type="dxa"/>
              <w:bottom w:w="15" w:type="dxa"/>
              <w:right w:w="20" w:type="dxa"/>
            </w:tcMar>
            <w:vAlign w:val="bottom"/>
            <w:hideMark/>
          </w:tcPr>
          <w:p w14:paraId="5C151274"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F71CAB4" w14:textId="77777777" w:rsidR="00000000" w:rsidRDefault="00195E73">
            <w:pPr>
              <w:jc w:val="center"/>
              <w:rPr>
                <w:rFonts w:eastAsia="Times New Roman"/>
              </w:rPr>
            </w:pPr>
            <w:r>
              <w:rPr>
                <w:rFonts w:eastAsia="Times New Roman"/>
                <w:b/>
                <w:bCs/>
                <w:color w:val="000000"/>
                <w:sz w:val="12"/>
                <w:szCs w:val="12"/>
              </w:rPr>
              <w:t>Minin</w:t>
            </w:r>
            <w:r>
              <w:rPr>
                <w:rFonts w:eastAsia="Times New Roman"/>
                <w:b/>
                <w:bCs/>
                <w:color w:val="000000"/>
                <w:sz w:val="12"/>
                <w:szCs w:val="12"/>
              </w:rPr>
              <w:t>g</w:t>
            </w:r>
          </w:p>
        </w:tc>
        <w:tc>
          <w:tcPr>
            <w:tcW w:w="0" w:type="auto"/>
            <w:gridSpan w:val="3"/>
            <w:tcBorders>
              <w:top w:val="single" w:sz="8" w:space="0" w:color="000000"/>
            </w:tcBorders>
            <w:tcMar>
              <w:top w:w="15" w:type="dxa"/>
              <w:left w:w="20" w:type="dxa"/>
              <w:bottom w:w="15" w:type="dxa"/>
              <w:right w:w="20" w:type="dxa"/>
            </w:tcMar>
            <w:vAlign w:val="bottom"/>
            <w:hideMark/>
          </w:tcPr>
          <w:p w14:paraId="3B7A17B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5EC5D0F" w14:textId="77777777" w:rsidR="00000000" w:rsidRDefault="00195E73">
            <w:pPr>
              <w:jc w:val="center"/>
              <w:rPr>
                <w:rFonts w:eastAsia="Times New Roman"/>
              </w:rPr>
            </w:pPr>
            <w:r>
              <w:rPr>
                <w:rFonts w:eastAsia="Times New Roman"/>
                <w:b/>
                <w:bCs/>
                <w:color w:val="000000"/>
                <w:sz w:val="12"/>
                <w:szCs w:val="12"/>
              </w:rPr>
              <w:t>Railca</w:t>
            </w:r>
            <w:r>
              <w:rPr>
                <w:rFonts w:eastAsia="Times New Roman"/>
                <w:b/>
                <w:bCs/>
                <w:color w:val="000000"/>
                <w:sz w:val="12"/>
                <w:szCs w:val="12"/>
              </w:rPr>
              <w:t>r</w:t>
            </w:r>
          </w:p>
        </w:tc>
        <w:tc>
          <w:tcPr>
            <w:tcW w:w="0" w:type="auto"/>
            <w:gridSpan w:val="3"/>
            <w:tcBorders>
              <w:top w:val="single" w:sz="8" w:space="0" w:color="000000"/>
            </w:tcBorders>
            <w:tcMar>
              <w:top w:w="15" w:type="dxa"/>
              <w:left w:w="20" w:type="dxa"/>
              <w:bottom w:w="15" w:type="dxa"/>
              <w:right w:w="20" w:type="dxa"/>
            </w:tcMar>
            <w:vAlign w:val="bottom"/>
            <w:hideMark/>
          </w:tcPr>
          <w:p w14:paraId="67BAEE4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953EDDE" w14:textId="77777777" w:rsidR="00000000" w:rsidRDefault="00195E73">
            <w:pPr>
              <w:jc w:val="center"/>
              <w:rPr>
                <w:rFonts w:eastAsia="Times New Roman"/>
              </w:rPr>
            </w:pPr>
            <w:r>
              <w:rPr>
                <w:rFonts w:eastAsia="Times New Roman"/>
                <w:b/>
                <w:bCs/>
                <w:color w:val="000000"/>
                <w:sz w:val="12"/>
                <w:szCs w:val="12"/>
              </w:rPr>
              <w:t>Holding Compan</w:t>
            </w:r>
            <w:r>
              <w:rPr>
                <w:rFonts w:eastAsia="Times New Roman"/>
                <w:b/>
                <w:bCs/>
                <w:color w:val="000000"/>
                <w:sz w:val="12"/>
                <w:szCs w:val="12"/>
              </w:rPr>
              <w:t>y</w:t>
            </w:r>
          </w:p>
        </w:tc>
        <w:tc>
          <w:tcPr>
            <w:tcW w:w="0" w:type="auto"/>
            <w:gridSpan w:val="2"/>
            <w:tcBorders>
              <w:top w:val="single" w:sz="8" w:space="0" w:color="000000"/>
            </w:tcBorders>
            <w:tcMar>
              <w:top w:w="15" w:type="dxa"/>
              <w:left w:w="20" w:type="dxa"/>
              <w:bottom w:w="15" w:type="dxa"/>
              <w:right w:w="20" w:type="dxa"/>
            </w:tcMar>
            <w:vAlign w:val="bottom"/>
            <w:hideMark/>
          </w:tcPr>
          <w:p w14:paraId="73D9097B" w14:textId="77777777" w:rsidR="00000000" w:rsidRDefault="00195E73">
            <w:pPr>
              <w:jc w:val="center"/>
              <w:rPr>
                <w:rFonts w:eastAsia="Times New Roman"/>
              </w:rPr>
            </w:pPr>
          </w:p>
        </w:tc>
        <w:tc>
          <w:tcPr>
            <w:tcW w:w="0" w:type="auto"/>
            <w:tcBorders>
              <w:top w:val="single" w:sz="8" w:space="0" w:color="000000"/>
              <w:bottom w:val="single" w:sz="8" w:space="0" w:color="000000"/>
            </w:tcBorders>
            <w:tcMar>
              <w:top w:w="30" w:type="dxa"/>
              <w:left w:w="20" w:type="dxa"/>
              <w:bottom w:w="30" w:type="dxa"/>
              <w:right w:w="20" w:type="dxa"/>
            </w:tcMar>
            <w:vAlign w:val="bottom"/>
            <w:hideMark/>
          </w:tcPr>
          <w:p w14:paraId="684D977C" w14:textId="77777777" w:rsidR="00000000" w:rsidRDefault="00195E73">
            <w:pPr>
              <w:jc w:val="center"/>
              <w:rPr>
                <w:rFonts w:eastAsia="Times New Roman"/>
              </w:rPr>
            </w:pPr>
            <w:r>
              <w:rPr>
                <w:rFonts w:eastAsia="Times New Roman"/>
                <w:b/>
                <w:bCs/>
                <w:color w:val="000000"/>
                <w:sz w:val="12"/>
                <w:szCs w:val="12"/>
              </w:rPr>
              <w:t>Consolidate</w:t>
            </w:r>
            <w:r>
              <w:rPr>
                <w:rFonts w:eastAsia="Times New Roman"/>
                <w:b/>
                <w:bCs/>
                <w:color w:val="000000"/>
                <w:sz w:val="12"/>
                <w:szCs w:val="12"/>
              </w:rPr>
              <w:t>d</w:t>
            </w:r>
          </w:p>
        </w:tc>
      </w:tr>
      <w:tr w:rsidR="00000000" w14:paraId="354E047D" w14:textId="77777777">
        <w:trPr>
          <w:divId w:val="1255017860"/>
          <w:jc w:val="center"/>
        </w:trPr>
        <w:tc>
          <w:tcPr>
            <w:tcW w:w="0" w:type="auto"/>
            <w:gridSpan w:val="3"/>
            <w:tcMar>
              <w:top w:w="15" w:type="dxa"/>
              <w:left w:w="20" w:type="dxa"/>
              <w:bottom w:w="15" w:type="dxa"/>
              <w:right w:w="20" w:type="dxa"/>
            </w:tcMar>
            <w:vAlign w:val="bottom"/>
            <w:hideMark/>
          </w:tcPr>
          <w:p w14:paraId="7BC39C8A" w14:textId="77777777" w:rsidR="00000000" w:rsidRDefault="00195E73">
            <w:pPr>
              <w:jc w:val="center"/>
              <w:rPr>
                <w:rFonts w:eastAsia="Times New Roman"/>
              </w:rPr>
            </w:pPr>
          </w:p>
        </w:tc>
        <w:tc>
          <w:tcPr>
            <w:tcW w:w="0" w:type="auto"/>
            <w:gridSpan w:val="59"/>
            <w:tcBorders>
              <w:top w:val="single" w:sz="8" w:space="0" w:color="000000"/>
            </w:tcBorders>
            <w:tcMar>
              <w:top w:w="30" w:type="dxa"/>
              <w:left w:w="20" w:type="dxa"/>
              <w:bottom w:w="30" w:type="dxa"/>
              <w:right w:w="20" w:type="dxa"/>
            </w:tcMar>
            <w:hideMark/>
          </w:tcPr>
          <w:p w14:paraId="1A595A30" w14:textId="77777777" w:rsidR="00000000" w:rsidRDefault="00195E73">
            <w:pPr>
              <w:jc w:val="center"/>
              <w:rPr>
                <w:rFonts w:eastAsia="Times New Roman"/>
              </w:rPr>
            </w:pPr>
            <w:r>
              <w:rPr>
                <w:rFonts w:eastAsia="Times New Roman"/>
                <w:color w:val="000000"/>
                <w:sz w:val="12"/>
                <w:szCs w:val="12"/>
              </w:rPr>
              <w:t>(in millions</w:t>
            </w:r>
            <w:r>
              <w:rPr>
                <w:rFonts w:eastAsia="Times New Roman"/>
                <w:color w:val="000000"/>
                <w:sz w:val="12"/>
                <w:szCs w:val="12"/>
              </w:rPr>
              <w:t>)</w:t>
            </w:r>
          </w:p>
        </w:tc>
        <w:tc>
          <w:tcPr>
            <w:tcW w:w="0" w:type="auto"/>
            <w:vAlign w:val="center"/>
            <w:hideMark/>
          </w:tcPr>
          <w:p w14:paraId="70E5A73F" w14:textId="77777777" w:rsidR="00000000" w:rsidRDefault="00195E73">
            <w:pPr>
              <w:jc w:val="center"/>
              <w:rPr>
                <w:rFonts w:eastAsia="Times New Roman"/>
              </w:rPr>
            </w:pPr>
          </w:p>
        </w:tc>
      </w:tr>
      <w:tr w:rsidR="00000000" w14:paraId="5652C901" w14:textId="77777777">
        <w:trPr>
          <w:divId w:val="1255017860"/>
          <w:jc w:val="center"/>
        </w:trPr>
        <w:tc>
          <w:tcPr>
            <w:tcW w:w="0" w:type="auto"/>
            <w:gridSpan w:val="3"/>
            <w:shd w:val="clear" w:color="auto" w:fill="FFFFFF"/>
            <w:tcMar>
              <w:top w:w="30" w:type="dxa"/>
              <w:left w:w="20" w:type="dxa"/>
              <w:bottom w:w="30" w:type="dxa"/>
              <w:right w:w="20" w:type="dxa"/>
            </w:tcMar>
            <w:vAlign w:val="bottom"/>
            <w:hideMark/>
          </w:tcPr>
          <w:p w14:paraId="0D0EF8C5" w14:textId="77777777" w:rsidR="00000000" w:rsidRDefault="00195E73">
            <w:pPr>
              <w:rPr>
                <w:rFonts w:eastAsia="Times New Roman"/>
              </w:rPr>
            </w:pPr>
            <w:r>
              <w:rPr>
                <w:rFonts w:eastAsia="Times New Roman"/>
                <w:color w:val="000000"/>
                <w:sz w:val="12"/>
                <w:szCs w:val="12"/>
              </w:rPr>
              <w:t>Revenues</w:t>
            </w:r>
            <w:r>
              <w:rPr>
                <w:rFonts w:eastAsia="Times New Roman"/>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14:paraId="126A4A60"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B4102E"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0DD7D3E"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C1A86C4" w14:textId="77777777" w:rsidR="00000000" w:rsidRDefault="00195E7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0B105D6"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239CDAB" w14:textId="77777777" w:rsidR="00000000" w:rsidRDefault="00195E7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E93D450"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844EDEF"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768C0D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8B9E759" w14:textId="77777777" w:rsidR="00000000" w:rsidRDefault="00195E7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EECF782"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3DFF637"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51F57A7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16802F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E45BDF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4960545" w14:textId="77777777" w:rsidR="00000000" w:rsidRDefault="00195E7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A552606"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FA074B1"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79A99332"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7980F0C1" w14:textId="77777777" w:rsidR="00000000" w:rsidRDefault="00195E73">
            <w:pPr>
              <w:rPr>
                <w:rFonts w:eastAsia="Times New Roman"/>
                <w:sz w:val="20"/>
                <w:szCs w:val="20"/>
              </w:rPr>
            </w:pPr>
          </w:p>
        </w:tc>
        <w:tc>
          <w:tcPr>
            <w:tcW w:w="0" w:type="auto"/>
            <w:shd w:val="clear" w:color="auto" w:fill="FFFFFF"/>
            <w:tcMar>
              <w:top w:w="30" w:type="dxa"/>
              <w:left w:w="20" w:type="dxa"/>
              <w:bottom w:w="30" w:type="dxa"/>
              <w:right w:w="20" w:type="dxa"/>
            </w:tcMar>
            <w:vAlign w:val="bottom"/>
            <w:hideMark/>
          </w:tcPr>
          <w:p w14:paraId="62A1053C"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r>
      <w:tr w:rsidR="00195E73" w14:paraId="68D53213" w14:textId="77777777">
        <w:trPr>
          <w:divId w:val="1255017860"/>
          <w:jc w:val="center"/>
        </w:trPr>
        <w:tc>
          <w:tcPr>
            <w:tcW w:w="0" w:type="auto"/>
            <w:gridSpan w:val="3"/>
            <w:shd w:val="clear" w:color="auto" w:fill="CCEEFF"/>
            <w:tcMar>
              <w:top w:w="30" w:type="dxa"/>
              <w:left w:w="20" w:type="dxa"/>
              <w:bottom w:w="30" w:type="dxa"/>
              <w:right w:w="20" w:type="dxa"/>
            </w:tcMar>
            <w:vAlign w:val="bottom"/>
            <w:hideMark/>
          </w:tcPr>
          <w:p w14:paraId="40F60F05" w14:textId="77777777" w:rsidR="00000000" w:rsidRDefault="00195E73">
            <w:pPr>
              <w:ind w:firstLine="180"/>
              <w:divId w:val="641081162"/>
              <w:rPr>
                <w:rFonts w:eastAsia="Times New Roman"/>
              </w:rPr>
            </w:pPr>
            <w:r>
              <w:rPr>
                <w:rFonts w:eastAsia="Times New Roman"/>
                <w:color w:val="000000"/>
                <w:sz w:val="12"/>
                <w:szCs w:val="12"/>
              </w:rPr>
              <w:t>Net sale</w:t>
            </w:r>
            <w:r>
              <w:rPr>
                <w:rFonts w:eastAsia="Times New Roman"/>
                <w:color w:val="000000"/>
                <w:sz w:val="12"/>
                <w:szCs w:val="12"/>
              </w:rPr>
              <w:t>s</w:t>
            </w:r>
          </w:p>
        </w:tc>
        <w:tc>
          <w:tcPr>
            <w:tcW w:w="0" w:type="auto"/>
            <w:shd w:val="clear" w:color="auto" w:fill="CCEEFF"/>
            <w:tcMar>
              <w:top w:w="30" w:type="dxa"/>
              <w:left w:w="20" w:type="dxa"/>
              <w:bottom w:w="30" w:type="dxa"/>
              <w:right w:w="15" w:type="dxa"/>
            </w:tcMar>
            <w:vAlign w:val="bottom"/>
            <w:hideMark/>
          </w:tcPr>
          <w:p w14:paraId="3AAAFC9F"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CAA366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8F5002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A14AF7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69D32E3"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07B61E90" w14:textId="77777777" w:rsidR="00000000" w:rsidRDefault="00195E73">
            <w:pPr>
              <w:jc w:val="right"/>
              <w:rPr>
                <w:rFonts w:eastAsia="Times New Roman"/>
              </w:rPr>
            </w:pPr>
            <w:r>
              <w:rPr>
                <w:rFonts w:eastAsia="Times New Roman"/>
                <w:color w:val="000000"/>
                <w:sz w:val="12"/>
                <w:szCs w:val="12"/>
              </w:rPr>
              <w:t>7,124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0BF239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FC581A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70B6180"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5AA814C9" w14:textId="77777777" w:rsidR="00000000" w:rsidRDefault="00195E73">
            <w:pPr>
              <w:jc w:val="right"/>
              <w:rPr>
                <w:rFonts w:eastAsia="Times New Roman"/>
              </w:rPr>
            </w:pPr>
            <w:r>
              <w:rPr>
                <w:rFonts w:eastAsia="Times New Roman"/>
                <w:color w:val="000000"/>
                <w:sz w:val="12"/>
                <w:szCs w:val="12"/>
              </w:rPr>
              <w:t>2,295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D32401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BD1300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32C8AFB"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0EDCA47D" w14:textId="77777777" w:rsidR="00000000" w:rsidRDefault="00195E73">
            <w:pPr>
              <w:jc w:val="right"/>
              <w:rPr>
                <w:rFonts w:eastAsia="Times New Roman"/>
              </w:rPr>
            </w:pPr>
            <w:r>
              <w:rPr>
                <w:rFonts w:eastAsia="Times New Roman"/>
                <w:color w:val="000000"/>
                <w:sz w:val="12"/>
                <w:szCs w:val="12"/>
              </w:rPr>
              <w:t>395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19F191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F9169D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896D7BD"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DDF5E0E" w14:textId="77777777" w:rsidR="00000000" w:rsidRDefault="00195E73">
            <w:pPr>
              <w:jc w:val="right"/>
              <w:rPr>
                <w:rFonts w:eastAsia="Times New Roman"/>
              </w:rPr>
            </w:pPr>
            <w:r>
              <w:rPr>
                <w:rFonts w:eastAsia="Times New Roman"/>
                <w:color w:val="000000"/>
                <w:sz w:val="12"/>
                <w:szCs w:val="12"/>
              </w:rPr>
              <w:t>466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D28043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337B177"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A9FEE48"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64852801" w14:textId="77777777" w:rsidR="00000000" w:rsidRDefault="00195E73">
            <w:pPr>
              <w:jc w:val="right"/>
              <w:rPr>
                <w:rFonts w:eastAsia="Times New Roman"/>
              </w:rPr>
            </w:pPr>
            <w:r>
              <w:rPr>
                <w:rFonts w:eastAsia="Times New Roman"/>
                <w:color w:val="000000"/>
                <w:sz w:val="12"/>
                <w:szCs w:val="12"/>
              </w:rPr>
              <w:t>22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35CA54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43D526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F8E5F47"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3EA135D" w14:textId="77777777" w:rsidR="00000000" w:rsidRDefault="00195E73">
            <w:pPr>
              <w:jc w:val="right"/>
              <w:rPr>
                <w:rFonts w:eastAsia="Times New Roman"/>
              </w:rPr>
            </w:pPr>
            <w:r>
              <w:rPr>
                <w:rFonts w:eastAsia="Times New Roman"/>
                <w:color w:val="000000"/>
                <w:sz w:val="12"/>
                <w:szCs w:val="12"/>
              </w:rPr>
              <w:t>171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5F5B84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EAAEE9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E908B59"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A3EA368" w14:textId="77777777" w:rsidR="00000000" w:rsidRDefault="00195E73">
            <w:pPr>
              <w:jc w:val="right"/>
              <w:rPr>
                <w:rFonts w:eastAsia="Times New Roman"/>
              </w:rPr>
            </w:pPr>
            <w:r>
              <w:rPr>
                <w:rFonts w:eastAsia="Times New Roman"/>
                <w:color w:val="000000"/>
                <w:sz w:val="12"/>
                <w:szCs w:val="12"/>
              </w:rPr>
              <w:t>103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00FB0F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504A19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DB7D7A0"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00D7F0B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739686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0680B4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2861EA0"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E51CCF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332298E"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2670FB0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75B68ED"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10,576</w:t>
            </w:r>
            <w:r>
              <w:rPr>
                <w:rFonts w:eastAsia="Times New Roman"/>
                <w:color w:val="000000"/>
                <w:sz w:val="12"/>
                <w:szCs w:val="12"/>
              </w:rPr>
              <w:t> </w:t>
            </w:r>
            <w:r>
              <w:rPr>
                <w:rFonts w:eastAsia="Times New Roman"/>
                <w:color w:val="000000"/>
                <w:sz w:val="12"/>
                <w:szCs w:val="12"/>
              </w:rPr>
              <w:t> </w:t>
            </w:r>
          </w:p>
        </w:tc>
      </w:tr>
      <w:tr w:rsidR="00195E73" w14:paraId="6F0B5DEB" w14:textId="77777777">
        <w:trPr>
          <w:divId w:val="1255017860"/>
          <w:jc w:val="center"/>
        </w:trPr>
        <w:tc>
          <w:tcPr>
            <w:tcW w:w="0" w:type="auto"/>
            <w:gridSpan w:val="3"/>
            <w:shd w:val="clear" w:color="auto" w:fill="FFFFFF"/>
            <w:tcMar>
              <w:top w:w="30" w:type="dxa"/>
              <w:left w:w="20" w:type="dxa"/>
              <w:bottom w:w="30" w:type="dxa"/>
              <w:right w:w="20" w:type="dxa"/>
            </w:tcMar>
            <w:vAlign w:val="bottom"/>
            <w:hideMark/>
          </w:tcPr>
          <w:p w14:paraId="55EEE4E8" w14:textId="77777777" w:rsidR="00000000" w:rsidRDefault="00195E73">
            <w:pPr>
              <w:ind w:firstLine="180"/>
              <w:divId w:val="1973166920"/>
              <w:rPr>
                <w:rFonts w:eastAsia="Times New Roman"/>
              </w:rPr>
            </w:pPr>
            <w:r>
              <w:rPr>
                <w:rFonts w:eastAsia="Times New Roman"/>
                <w:color w:val="000000"/>
                <w:sz w:val="12"/>
                <w:szCs w:val="12"/>
              </w:rPr>
              <w:t>Other revenues from operation</w:t>
            </w:r>
            <w:r>
              <w:rPr>
                <w:rFonts w:eastAsia="Times New Roman"/>
                <w:color w:val="000000"/>
                <w:sz w:val="12"/>
                <w:szCs w:val="12"/>
              </w:rPr>
              <w:t>s</w:t>
            </w:r>
          </w:p>
        </w:tc>
        <w:tc>
          <w:tcPr>
            <w:tcW w:w="0" w:type="auto"/>
            <w:gridSpan w:val="2"/>
            <w:shd w:val="clear" w:color="auto" w:fill="FFFFFF"/>
            <w:tcMar>
              <w:top w:w="30" w:type="dxa"/>
              <w:left w:w="20" w:type="dxa"/>
              <w:bottom w:w="30" w:type="dxa"/>
              <w:right w:w="0" w:type="dxa"/>
            </w:tcMar>
            <w:vAlign w:val="bottom"/>
            <w:hideMark/>
          </w:tcPr>
          <w:p w14:paraId="48D0889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3153A2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064216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62AB0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0486CB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57F401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CA47DD" w14:textId="77777777" w:rsidR="00000000" w:rsidRDefault="00195E73">
            <w:pPr>
              <w:jc w:val="right"/>
              <w:rPr>
                <w:rFonts w:eastAsia="Times New Roman"/>
              </w:rPr>
            </w:pPr>
            <w:r>
              <w:rPr>
                <w:rFonts w:eastAsia="Times New Roman"/>
                <w:color w:val="000000"/>
                <w:sz w:val="12"/>
                <w:szCs w:val="12"/>
              </w:rPr>
              <w:t>563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433A1C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BD24DD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014FB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35C80F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ECB666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23865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9E6393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02D928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5B0A93" w14:textId="77777777" w:rsidR="00000000" w:rsidRDefault="00195E73">
            <w:pPr>
              <w:jc w:val="right"/>
              <w:rPr>
                <w:rFonts w:eastAsia="Times New Roman"/>
              </w:rPr>
            </w:pPr>
            <w:r>
              <w:rPr>
                <w:rFonts w:eastAsia="Times New Roman"/>
                <w:color w:val="000000"/>
                <w:sz w:val="12"/>
                <w:szCs w:val="12"/>
              </w:rPr>
              <w:t>84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2B198D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2408DF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927F3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C2735F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74D845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DBE2D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59B148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96F232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A4A48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2479CB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053E6A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C399A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3E9D277"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2C3BE750"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125B7DD" w14:textId="77777777" w:rsidR="00000000" w:rsidRDefault="00195E73">
            <w:pPr>
              <w:jc w:val="right"/>
              <w:rPr>
                <w:rFonts w:eastAsia="Times New Roman"/>
              </w:rPr>
            </w:pPr>
            <w:r>
              <w:rPr>
                <w:rFonts w:eastAsia="Times New Roman"/>
                <w:color w:val="000000"/>
                <w:sz w:val="12"/>
                <w:szCs w:val="12"/>
              </w:rPr>
              <w:t>647</w:t>
            </w:r>
            <w:r>
              <w:rPr>
                <w:rFonts w:eastAsia="Times New Roman"/>
                <w:color w:val="000000"/>
                <w:sz w:val="12"/>
                <w:szCs w:val="12"/>
              </w:rPr>
              <w:t> </w:t>
            </w:r>
            <w:r>
              <w:rPr>
                <w:rFonts w:eastAsia="Times New Roman"/>
                <w:color w:val="000000"/>
                <w:sz w:val="12"/>
                <w:szCs w:val="12"/>
              </w:rPr>
              <w:t> </w:t>
            </w:r>
          </w:p>
        </w:tc>
      </w:tr>
      <w:tr w:rsidR="00195E73" w14:paraId="0BDBDC57" w14:textId="77777777">
        <w:trPr>
          <w:divId w:val="1255017860"/>
          <w:jc w:val="center"/>
        </w:trPr>
        <w:tc>
          <w:tcPr>
            <w:tcW w:w="0" w:type="auto"/>
            <w:gridSpan w:val="3"/>
            <w:shd w:val="clear" w:color="auto" w:fill="CCEEFF"/>
            <w:tcMar>
              <w:top w:w="30" w:type="dxa"/>
              <w:left w:w="20" w:type="dxa"/>
              <w:bottom w:w="30" w:type="dxa"/>
              <w:right w:w="20" w:type="dxa"/>
            </w:tcMar>
            <w:vAlign w:val="bottom"/>
            <w:hideMark/>
          </w:tcPr>
          <w:p w14:paraId="221EE8E6" w14:textId="77777777" w:rsidR="00000000" w:rsidRDefault="00195E73">
            <w:pPr>
              <w:ind w:firstLine="180"/>
              <w:divId w:val="90901377"/>
              <w:rPr>
                <w:rFonts w:eastAsia="Times New Roman"/>
              </w:rPr>
            </w:pPr>
            <w:r>
              <w:rPr>
                <w:rFonts w:eastAsia="Times New Roman"/>
                <w:color w:val="000000"/>
                <w:sz w:val="12"/>
                <w:szCs w:val="12"/>
              </w:rPr>
              <w:t>Net gain (loss) from investment activitie</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16D98205" w14:textId="77777777" w:rsidR="00000000" w:rsidRDefault="00195E73">
            <w:pPr>
              <w:jc w:val="right"/>
              <w:rPr>
                <w:rFonts w:eastAsia="Times New Roman"/>
              </w:rPr>
            </w:pPr>
            <w:r>
              <w:rPr>
                <w:rFonts w:eastAsia="Times New Roman"/>
                <w:color w:val="000000"/>
                <w:sz w:val="12"/>
                <w:szCs w:val="12"/>
              </w:rPr>
              <w:t>635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15DB1B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277804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81634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7CBB20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C7998C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E6C2C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2CB97B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78873F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D5A9D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7E07DA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A4181D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1F70A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7314BB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932D39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ED455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289040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D6B4A3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0C08F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0C18AE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BFBAF1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77FA8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2D25D8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B5B4AD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527CB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F880A5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101A7D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909CE0" w14:textId="77777777" w:rsidR="00000000" w:rsidRDefault="00195E73">
            <w:pPr>
              <w:jc w:val="right"/>
              <w:rPr>
                <w:rFonts w:eastAsia="Times New Roman"/>
              </w:rPr>
            </w:pPr>
            <w:r>
              <w:rPr>
                <w:rFonts w:eastAsia="Times New Roman"/>
                <w:color w:val="000000"/>
                <w:sz w:val="12"/>
                <w:szCs w:val="12"/>
              </w:rPr>
              <w:t>(313</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61DF18F0"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46CC87AD"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F7DE58B" w14:textId="77777777" w:rsidR="00000000" w:rsidRDefault="00195E73">
            <w:pPr>
              <w:jc w:val="right"/>
              <w:rPr>
                <w:rFonts w:eastAsia="Times New Roman"/>
              </w:rPr>
            </w:pPr>
            <w:r>
              <w:rPr>
                <w:rFonts w:eastAsia="Times New Roman"/>
                <w:color w:val="000000"/>
                <w:sz w:val="12"/>
                <w:szCs w:val="12"/>
              </w:rPr>
              <w:t>322</w:t>
            </w:r>
            <w:r>
              <w:rPr>
                <w:rFonts w:eastAsia="Times New Roman"/>
                <w:color w:val="000000"/>
                <w:sz w:val="12"/>
                <w:szCs w:val="12"/>
              </w:rPr>
              <w:t> </w:t>
            </w:r>
            <w:r>
              <w:rPr>
                <w:rFonts w:eastAsia="Times New Roman"/>
                <w:color w:val="000000"/>
                <w:sz w:val="12"/>
                <w:szCs w:val="12"/>
              </w:rPr>
              <w:t> </w:t>
            </w:r>
          </w:p>
        </w:tc>
      </w:tr>
      <w:tr w:rsidR="00195E73" w14:paraId="62D1E476" w14:textId="77777777">
        <w:trPr>
          <w:divId w:val="1255017860"/>
          <w:jc w:val="center"/>
        </w:trPr>
        <w:tc>
          <w:tcPr>
            <w:tcW w:w="0" w:type="auto"/>
            <w:gridSpan w:val="3"/>
            <w:shd w:val="clear" w:color="auto" w:fill="FFFFFF"/>
            <w:tcMar>
              <w:top w:w="30" w:type="dxa"/>
              <w:left w:w="20" w:type="dxa"/>
              <w:bottom w:w="30" w:type="dxa"/>
              <w:right w:w="20" w:type="dxa"/>
            </w:tcMar>
            <w:vAlign w:val="bottom"/>
            <w:hideMark/>
          </w:tcPr>
          <w:p w14:paraId="0CA0BD17" w14:textId="77777777" w:rsidR="00000000" w:rsidRDefault="00195E73">
            <w:pPr>
              <w:ind w:firstLine="180"/>
              <w:divId w:val="1734352035"/>
              <w:rPr>
                <w:rFonts w:eastAsia="Times New Roman"/>
              </w:rPr>
            </w:pPr>
            <w:r>
              <w:rPr>
                <w:rFonts w:eastAsia="Times New Roman"/>
                <w:color w:val="000000"/>
                <w:sz w:val="12"/>
                <w:szCs w:val="12"/>
              </w:rPr>
              <w:t>Interest and dividend incom</w:t>
            </w:r>
            <w:r>
              <w:rPr>
                <w:rFonts w:eastAsia="Times New Roman"/>
                <w:color w:val="000000"/>
                <w:sz w:val="12"/>
                <w:szCs w:val="12"/>
              </w:rPr>
              <w:t>e</w:t>
            </w:r>
          </w:p>
        </w:tc>
        <w:tc>
          <w:tcPr>
            <w:tcW w:w="0" w:type="auto"/>
            <w:gridSpan w:val="2"/>
            <w:shd w:val="clear" w:color="auto" w:fill="FFFFFF"/>
            <w:tcMar>
              <w:top w:w="30" w:type="dxa"/>
              <w:left w:w="20" w:type="dxa"/>
              <w:bottom w:w="30" w:type="dxa"/>
              <w:right w:w="0" w:type="dxa"/>
            </w:tcMar>
            <w:vAlign w:val="bottom"/>
            <w:hideMark/>
          </w:tcPr>
          <w:p w14:paraId="0D82D9C6" w14:textId="77777777" w:rsidR="00000000" w:rsidRDefault="00195E73">
            <w:pPr>
              <w:jc w:val="right"/>
              <w:rPr>
                <w:rFonts w:eastAsia="Times New Roman"/>
              </w:rPr>
            </w:pPr>
            <w:r>
              <w:rPr>
                <w:rFonts w:eastAsia="Times New Roman"/>
                <w:color w:val="000000"/>
                <w:sz w:val="12"/>
                <w:szCs w:val="12"/>
              </w:rPr>
              <w:t>104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FE9402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24F972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666B71"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E34915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1B86E6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7131C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090560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C40E1C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22283E"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96EBF0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8A2FD4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DA89A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DE043E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F99EC8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12E6CE" w14:textId="77777777" w:rsidR="00000000" w:rsidRDefault="00195E73">
            <w:pPr>
              <w:jc w:val="right"/>
              <w:rPr>
                <w:rFonts w:eastAsia="Times New Roman"/>
              </w:rPr>
            </w:pPr>
            <w:r>
              <w:rPr>
                <w:rFonts w:eastAsia="Times New Roman"/>
                <w:color w:val="000000"/>
                <w:sz w:val="12"/>
                <w:szCs w:val="12"/>
              </w:rPr>
              <w:t>16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32D53D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CF715C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0A907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654E8A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26EADE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116EB2"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6D09A5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BBD561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9BA3F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2ED1F4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DD4DE2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5A3F79" w14:textId="77777777" w:rsidR="00000000" w:rsidRDefault="00195E73">
            <w:pPr>
              <w:jc w:val="right"/>
              <w:rPr>
                <w:rFonts w:eastAsia="Times New Roman"/>
              </w:rPr>
            </w:pPr>
            <w:r>
              <w:rPr>
                <w:rFonts w:eastAsia="Times New Roman"/>
                <w:color w:val="000000"/>
                <w:sz w:val="12"/>
                <w:szCs w:val="12"/>
              </w:rPr>
              <w:t>24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341FA97"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453779F4"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C4E4C4B" w14:textId="77777777" w:rsidR="00000000" w:rsidRDefault="00195E73">
            <w:pPr>
              <w:jc w:val="right"/>
              <w:rPr>
                <w:rFonts w:eastAsia="Times New Roman"/>
              </w:rPr>
            </w:pPr>
            <w:r>
              <w:rPr>
                <w:rFonts w:eastAsia="Times New Roman"/>
                <w:color w:val="000000"/>
                <w:sz w:val="12"/>
                <w:szCs w:val="12"/>
              </w:rPr>
              <w:t>148</w:t>
            </w:r>
            <w:r>
              <w:rPr>
                <w:rFonts w:eastAsia="Times New Roman"/>
                <w:color w:val="000000"/>
                <w:sz w:val="12"/>
                <w:szCs w:val="12"/>
              </w:rPr>
              <w:t> </w:t>
            </w:r>
            <w:r>
              <w:rPr>
                <w:rFonts w:eastAsia="Times New Roman"/>
                <w:color w:val="000000"/>
                <w:sz w:val="12"/>
                <w:szCs w:val="12"/>
              </w:rPr>
              <w:t> </w:t>
            </w:r>
          </w:p>
        </w:tc>
      </w:tr>
      <w:tr w:rsidR="00195E73" w14:paraId="21559A88" w14:textId="77777777">
        <w:trPr>
          <w:divId w:val="1255017860"/>
          <w:jc w:val="center"/>
        </w:trPr>
        <w:tc>
          <w:tcPr>
            <w:tcW w:w="0" w:type="auto"/>
            <w:gridSpan w:val="3"/>
            <w:shd w:val="clear" w:color="auto" w:fill="CCEEFF"/>
            <w:tcMar>
              <w:top w:w="30" w:type="dxa"/>
              <w:left w:w="20" w:type="dxa"/>
              <w:bottom w:w="30" w:type="dxa"/>
              <w:right w:w="20" w:type="dxa"/>
            </w:tcMar>
            <w:vAlign w:val="bottom"/>
            <w:hideMark/>
          </w:tcPr>
          <w:p w14:paraId="29366F97" w14:textId="77777777" w:rsidR="00000000" w:rsidRDefault="00195E73">
            <w:pPr>
              <w:ind w:firstLine="180"/>
              <w:divId w:val="849373394"/>
              <w:rPr>
                <w:rFonts w:eastAsia="Times New Roman"/>
              </w:rPr>
            </w:pPr>
            <w:r>
              <w:rPr>
                <w:rFonts w:eastAsia="Times New Roman"/>
                <w:color w:val="000000"/>
                <w:sz w:val="12"/>
                <w:szCs w:val="12"/>
              </w:rPr>
              <w:t>(Loss) gain on disposition of assets, ne</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2863BCD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550347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0F8663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76D275" w14:textId="77777777" w:rsidR="00000000" w:rsidRDefault="00195E73">
            <w:pPr>
              <w:jc w:val="right"/>
              <w:rPr>
                <w:rFonts w:eastAsia="Times New Roman"/>
              </w:rPr>
            </w:pPr>
            <w:r>
              <w:rPr>
                <w:rFonts w:eastAsia="Times New Roman"/>
                <w:color w:val="000000"/>
                <w:sz w:val="12"/>
                <w:szCs w:val="12"/>
              </w:rPr>
              <w:t>(6</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2D7490F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BEB4CD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EFDBE0"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58D2FF4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19958D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F2BD9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561647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457EBB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F9C38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7D0321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91F9BB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A49344" w14:textId="77777777" w:rsidR="00000000" w:rsidRDefault="00195E73">
            <w:pPr>
              <w:jc w:val="right"/>
              <w:rPr>
                <w:rFonts w:eastAsia="Times New Roman"/>
              </w:rPr>
            </w:pPr>
            <w:r>
              <w:rPr>
                <w:rFonts w:eastAsia="Times New Roman"/>
                <w:color w:val="000000"/>
                <w:sz w:val="12"/>
                <w:szCs w:val="12"/>
              </w:rPr>
              <w:t>89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0B279D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9F9C4F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05FB9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692B11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49FBCC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192150"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621FD4C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A33950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E96EEF"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151999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27F379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8452A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062BBF0"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36D0AAAC"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E306312" w14:textId="77777777" w:rsidR="00000000" w:rsidRDefault="00195E73">
            <w:pPr>
              <w:jc w:val="right"/>
              <w:rPr>
                <w:rFonts w:eastAsia="Times New Roman"/>
              </w:rPr>
            </w:pPr>
            <w:r>
              <w:rPr>
                <w:rFonts w:eastAsia="Times New Roman"/>
                <w:color w:val="000000"/>
                <w:sz w:val="12"/>
                <w:szCs w:val="12"/>
              </w:rPr>
              <w:t>84</w:t>
            </w:r>
            <w:r>
              <w:rPr>
                <w:rFonts w:eastAsia="Times New Roman"/>
                <w:color w:val="000000"/>
                <w:sz w:val="12"/>
                <w:szCs w:val="12"/>
              </w:rPr>
              <w:t> </w:t>
            </w:r>
            <w:r>
              <w:rPr>
                <w:rFonts w:eastAsia="Times New Roman"/>
                <w:color w:val="000000"/>
                <w:sz w:val="12"/>
                <w:szCs w:val="12"/>
              </w:rPr>
              <w:t> </w:t>
            </w:r>
          </w:p>
        </w:tc>
      </w:tr>
      <w:tr w:rsidR="00195E73" w14:paraId="204B1C14" w14:textId="77777777">
        <w:trPr>
          <w:divId w:val="1255017860"/>
          <w:jc w:val="center"/>
        </w:trPr>
        <w:tc>
          <w:tcPr>
            <w:tcW w:w="0" w:type="auto"/>
            <w:gridSpan w:val="3"/>
            <w:shd w:val="clear" w:color="auto" w:fill="FFFFFF"/>
            <w:tcMar>
              <w:top w:w="30" w:type="dxa"/>
              <w:left w:w="20" w:type="dxa"/>
              <w:bottom w:w="30" w:type="dxa"/>
              <w:right w:w="20" w:type="dxa"/>
            </w:tcMar>
            <w:vAlign w:val="bottom"/>
            <w:hideMark/>
          </w:tcPr>
          <w:p w14:paraId="6C1629F2" w14:textId="77777777" w:rsidR="00000000" w:rsidRDefault="00195E73">
            <w:pPr>
              <w:ind w:firstLine="180"/>
              <w:divId w:val="1472744921"/>
              <w:rPr>
                <w:rFonts w:eastAsia="Times New Roman"/>
              </w:rPr>
            </w:pPr>
            <w:r>
              <w:rPr>
                <w:rFonts w:eastAsia="Times New Roman"/>
                <w:color w:val="000000"/>
                <w:sz w:val="12"/>
                <w:szCs w:val="12"/>
              </w:rPr>
              <w:t>Other (loss) income, ne</w:t>
            </w:r>
            <w:r>
              <w:rPr>
                <w:rFonts w:eastAsia="Times New Roman"/>
                <w:color w:val="000000"/>
                <w:sz w:val="12"/>
                <w:szCs w:val="12"/>
              </w:rPr>
              <w:t>t</w:t>
            </w:r>
          </w:p>
        </w:tc>
        <w:tc>
          <w:tcPr>
            <w:tcW w:w="0" w:type="auto"/>
            <w:gridSpan w:val="2"/>
            <w:shd w:val="clear" w:color="auto" w:fill="FFFFFF"/>
            <w:tcMar>
              <w:top w:w="30" w:type="dxa"/>
              <w:left w:w="20" w:type="dxa"/>
              <w:bottom w:w="30" w:type="dxa"/>
              <w:right w:w="0" w:type="dxa"/>
            </w:tcMar>
            <w:vAlign w:val="bottom"/>
            <w:hideMark/>
          </w:tcPr>
          <w:p w14:paraId="29542140"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1B8C634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3CA4CA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EB67AE" w14:textId="77777777" w:rsidR="00000000" w:rsidRDefault="00195E73">
            <w:pPr>
              <w:jc w:val="right"/>
              <w:rPr>
                <w:rFonts w:eastAsia="Times New Roman"/>
              </w:rPr>
            </w:pPr>
            <w:r>
              <w:rPr>
                <w:rFonts w:eastAsia="Times New Roman"/>
                <w:color w:val="000000"/>
                <w:sz w:val="12"/>
                <w:szCs w:val="12"/>
              </w:rPr>
              <w:t>15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BF53CE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A2F2B3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998BA9"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438FB27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ABDE0B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6368E8" w14:textId="77777777" w:rsidR="00000000" w:rsidRDefault="00195E73">
            <w:pPr>
              <w:jc w:val="right"/>
              <w:rPr>
                <w:rFonts w:eastAsia="Times New Roman"/>
              </w:rPr>
            </w:pPr>
            <w:r>
              <w:rPr>
                <w:rFonts w:eastAsia="Times New Roman"/>
                <w:color w:val="000000"/>
                <w:sz w:val="12"/>
                <w:szCs w:val="12"/>
              </w:rPr>
              <w:t>(17</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3DBC799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291E35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CA29CA"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3B1E6E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AF4F9F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25AFAD"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7D155D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4D7ED3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B3CFA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F3181B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9496F9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49E8B7"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B71828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CAA65C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0EE46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65DE35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AE868B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05E69B"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6A6CB600"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678F1B34"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81387B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p>
        </w:tc>
      </w:tr>
      <w:tr w:rsidR="00195E73" w14:paraId="0359E3D2" w14:textId="77777777">
        <w:trPr>
          <w:divId w:val="1255017860"/>
          <w:jc w:val="center"/>
        </w:trPr>
        <w:tc>
          <w:tcPr>
            <w:tcW w:w="0" w:type="auto"/>
            <w:gridSpan w:val="3"/>
            <w:shd w:val="clear" w:color="auto" w:fill="CCEEFF"/>
            <w:tcMar>
              <w:top w:w="15" w:type="dxa"/>
              <w:left w:w="20" w:type="dxa"/>
              <w:bottom w:w="15" w:type="dxa"/>
              <w:right w:w="20" w:type="dxa"/>
            </w:tcMar>
            <w:vAlign w:val="bottom"/>
            <w:hideMark/>
          </w:tcPr>
          <w:p w14:paraId="7C80EA94"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B41C42" w14:textId="77777777" w:rsidR="00000000" w:rsidRDefault="00195E73">
            <w:pPr>
              <w:jc w:val="right"/>
              <w:rPr>
                <w:rFonts w:eastAsia="Times New Roman"/>
              </w:rPr>
            </w:pPr>
            <w:r>
              <w:rPr>
                <w:rFonts w:eastAsia="Times New Roman"/>
                <w:color w:val="000000"/>
                <w:sz w:val="12"/>
                <w:szCs w:val="12"/>
              </w:rPr>
              <w:t>737</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0AD10C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A69856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3065FD" w14:textId="77777777" w:rsidR="00000000" w:rsidRDefault="00195E73">
            <w:pPr>
              <w:jc w:val="right"/>
              <w:rPr>
                <w:rFonts w:eastAsia="Times New Roman"/>
              </w:rPr>
            </w:pPr>
            <w:r>
              <w:rPr>
                <w:rFonts w:eastAsia="Times New Roman"/>
                <w:color w:val="000000"/>
                <w:sz w:val="12"/>
                <w:szCs w:val="12"/>
              </w:rPr>
              <w:t>7,135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4C5682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439D12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1979FE" w14:textId="77777777" w:rsidR="00000000" w:rsidRDefault="00195E73">
            <w:pPr>
              <w:jc w:val="right"/>
              <w:rPr>
                <w:rFonts w:eastAsia="Times New Roman"/>
              </w:rPr>
            </w:pPr>
            <w:r>
              <w:rPr>
                <w:rFonts w:eastAsia="Times New Roman"/>
                <w:color w:val="000000"/>
                <w:sz w:val="12"/>
                <w:szCs w:val="12"/>
              </w:rPr>
              <w:t>2,856</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169E14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5F48976"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4A2279" w14:textId="77777777" w:rsidR="00000000" w:rsidRDefault="00195E73">
            <w:pPr>
              <w:jc w:val="right"/>
              <w:rPr>
                <w:rFonts w:eastAsia="Times New Roman"/>
              </w:rPr>
            </w:pPr>
            <w:r>
              <w:rPr>
                <w:rFonts w:eastAsia="Times New Roman"/>
                <w:color w:val="000000"/>
                <w:sz w:val="12"/>
                <w:szCs w:val="12"/>
              </w:rPr>
              <w:t>379</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419550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AE08614"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846323" w14:textId="77777777" w:rsidR="00000000" w:rsidRDefault="00195E73">
            <w:pPr>
              <w:jc w:val="right"/>
              <w:rPr>
                <w:rFonts w:eastAsia="Times New Roman"/>
              </w:rPr>
            </w:pPr>
            <w:r>
              <w:rPr>
                <w:rFonts w:eastAsia="Times New Roman"/>
                <w:color w:val="000000"/>
                <w:sz w:val="12"/>
                <w:szCs w:val="12"/>
              </w:rPr>
              <w:t>467</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BDC268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7C0048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7B95CD" w14:textId="77777777" w:rsidR="00000000" w:rsidRDefault="00195E73">
            <w:pPr>
              <w:jc w:val="right"/>
              <w:rPr>
                <w:rFonts w:eastAsia="Times New Roman"/>
              </w:rPr>
            </w:pPr>
            <w:r>
              <w:rPr>
                <w:rFonts w:eastAsia="Times New Roman"/>
                <w:color w:val="000000"/>
                <w:sz w:val="12"/>
                <w:szCs w:val="12"/>
              </w:rPr>
              <w:t>212</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C2EA79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4E169E9"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A8DFE4" w14:textId="77777777" w:rsidR="00000000" w:rsidRDefault="00195E73">
            <w:pPr>
              <w:jc w:val="right"/>
              <w:rPr>
                <w:rFonts w:eastAsia="Times New Roman"/>
              </w:rPr>
            </w:pPr>
            <w:r>
              <w:rPr>
                <w:rFonts w:eastAsia="Times New Roman"/>
                <w:color w:val="000000"/>
                <w:sz w:val="12"/>
                <w:szCs w:val="12"/>
              </w:rPr>
              <w:t>171</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7A21C4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123793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EE9124" w14:textId="77777777" w:rsidR="00000000" w:rsidRDefault="00195E73">
            <w:pPr>
              <w:jc w:val="right"/>
              <w:rPr>
                <w:rFonts w:eastAsia="Times New Roman"/>
              </w:rPr>
            </w:pPr>
            <w:r>
              <w:rPr>
                <w:rFonts w:eastAsia="Times New Roman"/>
                <w:color w:val="000000"/>
                <w:sz w:val="12"/>
                <w:szCs w:val="12"/>
              </w:rPr>
              <w:t>106</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343019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CA022A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5ED1CB"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EA2F9C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D55983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BC798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291</w:t>
            </w: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48EEED5"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3A6D4376"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C1D6CB" w14:textId="77777777" w:rsidR="00000000" w:rsidRDefault="00195E73">
            <w:pPr>
              <w:jc w:val="right"/>
              <w:rPr>
                <w:rFonts w:eastAsia="Times New Roman"/>
              </w:rPr>
            </w:pPr>
            <w:r>
              <w:rPr>
                <w:rFonts w:eastAsia="Times New Roman"/>
                <w:color w:val="000000"/>
                <w:sz w:val="12"/>
                <w:szCs w:val="12"/>
              </w:rPr>
              <w:t>11,777</w:t>
            </w:r>
            <w:r>
              <w:rPr>
                <w:rFonts w:eastAsia="Times New Roman"/>
                <w:color w:val="000000"/>
                <w:sz w:val="12"/>
                <w:szCs w:val="12"/>
              </w:rPr>
              <w:t> </w:t>
            </w:r>
            <w:r>
              <w:rPr>
                <w:rFonts w:eastAsia="Times New Roman"/>
                <w:color w:val="000000"/>
                <w:sz w:val="12"/>
                <w:szCs w:val="12"/>
              </w:rPr>
              <w:t> </w:t>
            </w:r>
          </w:p>
        </w:tc>
      </w:tr>
      <w:tr w:rsidR="00000000" w14:paraId="0B9EC05C" w14:textId="77777777">
        <w:trPr>
          <w:divId w:val="1255017860"/>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2A859A00" w14:textId="77777777" w:rsidR="00000000" w:rsidRDefault="00195E73">
            <w:pPr>
              <w:rPr>
                <w:rFonts w:eastAsia="Times New Roman"/>
              </w:rPr>
            </w:pPr>
            <w:r>
              <w:rPr>
                <w:rFonts w:eastAsia="Times New Roman"/>
                <w:color w:val="000000"/>
                <w:sz w:val="12"/>
                <w:szCs w:val="12"/>
              </w:rPr>
              <w:t>Expenses</w:t>
            </w:r>
            <w:r>
              <w:rPr>
                <w:rFonts w:eastAsia="Times New Roman"/>
                <w:color w:val="000000"/>
                <w:sz w:val="12"/>
                <w:szCs w:val="12"/>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6271BA01"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FF9A78F"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679DE1B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EE89E8B"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2D17006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6775B50"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0BF6FB7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D1A7B59"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1BFABAC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CDB6B81"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08B83B9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ED1B4FE"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6E19382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88C4619"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186A18C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9447EA1"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13BAAA2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B1E4E77"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54B52331"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4413E14C" w14:textId="77777777" w:rsidR="00000000" w:rsidRDefault="00195E73">
            <w:pPr>
              <w:rPr>
                <w:rFonts w:eastAsia="Times New Roman"/>
                <w:sz w:val="20"/>
                <w:szCs w:val="20"/>
              </w:rPr>
            </w:pPr>
          </w:p>
        </w:tc>
        <w:tc>
          <w:tcPr>
            <w:tcW w:w="0" w:type="auto"/>
            <w:tcBorders>
              <w:top w:val="single" w:sz="8" w:space="0" w:color="000000"/>
            </w:tcBorders>
            <w:shd w:val="clear" w:color="auto" w:fill="FFFFFF"/>
            <w:tcMar>
              <w:top w:w="15" w:type="dxa"/>
              <w:left w:w="20" w:type="dxa"/>
              <w:bottom w:w="15" w:type="dxa"/>
              <w:right w:w="20" w:type="dxa"/>
            </w:tcMar>
            <w:vAlign w:val="bottom"/>
            <w:hideMark/>
          </w:tcPr>
          <w:p w14:paraId="49B6F9EC" w14:textId="77777777" w:rsidR="00000000" w:rsidRDefault="00195E73">
            <w:pPr>
              <w:rPr>
                <w:rFonts w:eastAsia="Times New Roman"/>
                <w:sz w:val="20"/>
                <w:szCs w:val="20"/>
              </w:rPr>
            </w:pPr>
          </w:p>
        </w:tc>
      </w:tr>
      <w:tr w:rsidR="00195E73" w14:paraId="1E2BD9CC" w14:textId="77777777">
        <w:trPr>
          <w:divId w:val="1255017860"/>
          <w:jc w:val="center"/>
        </w:trPr>
        <w:tc>
          <w:tcPr>
            <w:tcW w:w="0" w:type="auto"/>
            <w:gridSpan w:val="3"/>
            <w:shd w:val="clear" w:color="auto" w:fill="CCEEFF"/>
            <w:tcMar>
              <w:top w:w="30" w:type="dxa"/>
              <w:left w:w="20" w:type="dxa"/>
              <w:bottom w:w="30" w:type="dxa"/>
              <w:right w:w="20" w:type="dxa"/>
            </w:tcMar>
            <w:vAlign w:val="bottom"/>
            <w:hideMark/>
          </w:tcPr>
          <w:p w14:paraId="644632EE" w14:textId="77777777" w:rsidR="00000000" w:rsidRDefault="00195E73">
            <w:pPr>
              <w:ind w:firstLine="180"/>
              <w:divId w:val="799417488"/>
              <w:rPr>
                <w:rFonts w:eastAsia="Times New Roman"/>
              </w:rPr>
            </w:pPr>
            <w:r>
              <w:rPr>
                <w:rFonts w:eastAsia="Times New Roman"/>
                <w:color w:val="000000"/>
                <w:sz w:val="12"/>
                <w:szCs w:val="12"/>
              </w:rPr>
              <w:t>Cost of goods sol</w:t>
            </w:r>
            <w:r>
              <w:rPr>
                <w:rFonts w:eastAsia="Times New Roman"/>
                <w:color w:val="000000"/>
                <w:sz w:val="12"/>
                <w:szCs w:val="12"/>
              </w:rPr>
              <w:t>d</w:t>
            </w:r>
          </w:p>
        </w:tc>
        <w:tc>
          <w:tcPr>
            <w:tcW w:w="0" w:type="auto"/>
            <w:gridSpan w:val="2"/>
            <w:shd w:val="clear" w:color="auto" w:fill="CCEEFF"/>
            <w:tcMar>
              <w:top w:w="30" w:type="dxa"/>
              <w:left w:w="20" w:type="dxa"/>
              <w:bottom w:w="30" w:type="dxa"/>
              <w:right w:w="0" w:type="dxa"/>
            </w:tcMar>
            <w:vAlign w:val="bottom"/>
            <w:hideMark/>
          </w:tcPr>
          <w:p w14:paraId="741CC66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EF5280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E0C711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5CAC64" w14:textId="77777777" w:rsidR="00000000" w:rsidRDefault="00195E73">
            <w:pPr>
              <w:jc w:val="right"/>
              <w:rPr>
                <w:rFonts w:eastAsia="Times New Roman"/>
              </w:rPr>
            </w:pPr>
            <w:r>
              <w:rPr>
                <w:rFonts w:eastAsia="Times New Roman"/>
                <w:color w:val="000000"/>
                <w:sz w:val="12"/>
                <w:szCs w:val="12"/>
              </w:rPr>
              <w:t>6,508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44E7B8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1E5C5F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E9033A" w14:textId="77777777" w:rsidR="00000000" w:rsidRDefault="00195E73">
            <w:pPr>
              <w:jc w:val="right"/>
              <w:rPr>
                <w:rFonts w:eastAsia="Times New Roman"/>
              </w:rPr>
            </w:pPr>
            <w:r>
              <w:rPr>
                <w:rFonts w:eastAsia="Times New Roman"/>
                <w:color w:val="000000"/>
                <w:sz w:val="12"/>
                <w:szCs w:val="12"/>
              </w:rPr>
              <w:t>1,502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42DA82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697E59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4F7F09" w14:textId="77777777" w:rsidR="00000000" w:rsidRDefault="00195E73">
            <w:pPr>
              <w:jc w:val="right"/>
              <w:rPr>
                <w:rFonts w:eastAsia="Times New Roman"/>
              </w:rPr>
            </w:pPr>
            <w:r>
              <w:rPr>
                <w:rFonts w:eastAsia="Times New Roman"/>
                <w:color w:val="000000"/>
                <w:sz w:val="12"/>
                <w:szCs w:val="12"/>
              </w:rPr>
              <w:t>316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0C96A6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A043EF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EFACF8" w14:textId="77777777" w:rsidR="00000000" w:rsidRDefault="00195E73">
            <w:pPr>
              <w:jc w:val="right"/>
              <w:rPr>
                <w:rFonts w:eastAsia="Times New Roman"/>
              </w:rPr>
            </w:pPr>
            <w:r>
              <w:rPr>
                <w:rFonts w:eastAsia="Times New Roman"/>
                <w:color w:val="000000"/>
                <w:sz w:val="12"/>
                <w:szCs w:val="12"/>
              </w:rPr>
              <w:t>441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8CB84E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2B57CF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87BF50" w14:textId="77777777" w:rsidR="00000000" w:rsidRDefault="00195E73">
            <w:pPr>
              <w:jc w:val="right"/>
              <w:rPr>
                <w:rFonts w:eastAsia="Times New Roman"/>
              </w:rPr>
            </w:pPr>
            <w:r>
              <w:rPr>
                <w:rFonts w:eastAsia="Times New Roman"/>
                <w:color w:val="000000"/>
                <w:sz w:val="12"/>
                <w:szCs w:val="12"/>
              </w:rPr>
              <w:t>18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DC320A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1C8702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842918" w14:textId="77777777" w:rsidR="00000000" w:rsidRDefault="00195E73">
            <w:pPr>
              <w:jc w:val="right"/>
              <w:rPr>
                <w:rFonts w:eastAsia="Times New Roman"/>
              </w:rPr>
            </w:pPr>
            <w:r>
              <w:rPr>
                <w:rFonts w:eastAsia="Times New Roman"/>
                <w:color w:val="000000"/>
                <w:sz w:val="12"/>
                <w:szCs w:val="12"/>
              </w:rPr>
              <w:t>144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62940C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7A701F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022063" w14:textId="77777777" w:rsidR="00000000" w:rsidRDefault="00195E73">
            <w:pPr>
              <w:jc w:val="right"/>
              <w:rPr>
                <w:rFonts w:eastAsia="Times New Roman"/>
              </w:rPr>
            </w:pPr>
            <w:r>
              <w:rPr>
                <w:rFonts w:eastAsia="Times New Roman"/>
                <w:color w:val="000000"/>
                <w:sz w:val="12"/>
                <w:szCs w:val="12"/>
              </w:rPr>
              <w:t>73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5A16BC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CAF934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B194D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5A7964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93C248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519AD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CAD2D0D"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5AA61F7E"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2130176" w14:textId="77777777" w:rsidR="00000000" w:rsidRDefault="00195E73">
            <w:pPr>
              <w:jc w:val="right"/>
              <w:rPr>
                <w:rFonts w:eastAsia="Times New Roman"/>
              </w:rPr>
            </w:pPr>
            <w:r>
              <w:rPr>
                <w:rFonts w:eastAsia="Times New Roman"/>
                <w:color w:val="000000"/>
                <w:sz w:val="12"/>
                <w:szCs w:val="12"/>
              </w:rPr>
              <w:t>9,002</w:t>
            </w:r>
            <w:r>
              <w:rPr>
                <w:rFonts w:eastAsia="Times New Roman"/>
                <w:color w:val="000000"/>
                <w:sz w:val="12"/>
                <w:szCs w:val="12"/>
              </w:rPr>
              <w:t> </w:t>
            </w:r>
            <w:r>
              <w:rPr>
                <w:rFonts w:eastAsia="Times New Roman"/>
                <w:color w:val="000000"/>
                <w:sz w:val="12"/>
                <w:szCs w:val="12"/>
              </w:rPr>
              <w:t> </w:t>
            </w:r>
          </w:p>
        </w:tc>
      </w:tr>
      <w:tr w:rsidR="00195E73" w14:paraId="680F9FE5" w14:textId="77777777">
        <w:trPr>
          <w:divId w:val="1255017860"/>
          <w:jc w:val="center"/>
        </w:trPr>
        <w:tc>
          <w:tcPr>
            <w:tcW w:w="0" w:type="auto"/>
            <w:gridSpan w:val="3"/>
            <w:shd w:val="clear" w:color="auto" w:fill="FFFFFF"/>
            <w:tcMar>
              <w:top w:w="30" w:type="dxa"/>
              <w:left w:w="20" w:type="dxa"/>
              <w:bottom w:w="30" w:type="dxa"/>
              <w:right w:w="20" w:type="dxa"/>
            </w:tcMar>
            <w:vAlign w:val="bottom"/>
            <w:hideMark/>
          </w:tcPr>
          <w:p w14:paraId="134F16FE" w14:textId="77777777" w:rsidR="00000000" w:rsidRDefault="00195E73">
            <w:pPr>
              <w:ind w:firstLine="180"/>
              <w:divId w:val="1299414989"/>
              <w:rPr>
                <w:rFonts w:eastAsia="Times New Roman"/>
              </w:rPr>
            </w:pPr>
            <w:r>
              <w:rPr>
                <w:rFonts w:eastAsia="Times New Roman"/>
                <w:color w:val="000000"/>
                <w:sz w:val="12"/>
                <w:szCs w:val="12"/>
              </w:rPr>
              <w:t>Other expenses from operation</w:t>
            </w:r>
            <w:r>
              <w:rPr>
                <w:rFonts w:eastAsia="Times New Roman"/>
                <w:color w:val="000000"/>
                <w:sz w:val="12"/>
                <w:szCs w:val="12"/>
              </w:rPr>
              <w:t>s</w:t>
            </w:r>
          </w:p>
        </w:tc>
        <w:tc>
          <w:tcPr>
            <w:tcW w:w="0" w:type="auto"/>
            <w:gridSpan w:val="2"/>
            <w:shd w:val="clear" w:color="auto" w:fill="FFFFFF"/>
            <w:tcMar>
              <w:top w:w="30" w:type="dxa"/>
              <w:left w:w="20" w:type="dxa"/>
              <w:bottom w:w="30" w:type="dxa"/>
              <w:right w:w="0" w:type="dxa"/>
            </w:tcMar>
            <w:vAlign w:val="bottom"/>
            <w:hideMark/>
          </w:tcPr>
          <w:p w14:paraId="5C31C45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C474FE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6D0E6C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32FB7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9E52E5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830797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B13968" w14:textId="77777777" w:rsidR="00000000" w:rsidRDefault="00195E73">
            <w:pPr>
              <w:jc w:val="right"/>
              <w:rPr>
                <w:rFonts w:eastAsia="Times New Roman"/>
              </w:rPr>
            </w:pPr>
            <w:r>
              <w:rPr>
                <w:rFonts w:eastAsia="Times New Roman"/>
                <w:color w:val="000000"/>
                <w:sz w:val="12"/>
                <w:szCs w:val="12"/>
              </w:rPr>
              <w:t>474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7F3F67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543091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C0E41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DFA2DC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1BBF23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47A1D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1186CA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10C26D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3A00F5" w14:textId="77777777" w:rsidR="00000000" w:rsidRDefault="00195E73">
            <w:pPr>
              <w:jc w:val="right"/>
              <w:rPr>
                <w:rFonts w:eastAsia="Times New Roman"/>
              </w:rPr>
            </w:pPr>
            <w:r>
              <w:rPr>
                <w:rFonts w:eastAsia="Times New Roman"/>
                <w:color w:val="000000"/>
                <w:sz w:val="12"/>
                <w:szCs w:val="12"/>
              </w:rPr>
              <w:t>54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E43A4F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41C4D6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D15E2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716B95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DD0318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086DA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964155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F9434E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BE4A86"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63DD0E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C83AF5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EA87C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A66C737"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43F54333"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31FDA8A" w14:textId="77777777" w:rsidR="00000000" w:rsidRDefault="00195E73">
            <w:pPr>
              <w:jc w:val="right"/>
              <w:rPr>
                <w:rFonts w:eastAsia="Times New Roman"/>
              </w:rPr>
            </w:pPr>
            <w:r>
              <w:rPr>
                <w:rFonts w:eastAsia="Times New Roman"/>
                <w:color w:val="000000"/>
                <w:sz w:val="12"/>
                <w:szCs w:val="12"/>
              </w:rPr>
              <w:t>529</w:t>
            </w:r>
            <w:r>
              <w:rPr>
                <w:rFonts w:eastAsia="Times New Roman"/>
                <w:color w:val="000000"/>
                <w:sz w:val="12"/>
                <w:szCs w:val="12"/>
              </w:rPr>
              <w:t> </w:t>
            </w:r>
            <w:r>
              <w:rPr>
                <w:rFonts w:eastAsia="Times New Roman"/>
                <w:color w:val="000000"/>
                <w:sz w:val="12"/>
                <w:szCs w:val="12"/>
              </w:rPr>
              <w:t> </w:t>
            </w:r>
          </w:p>
        </w:tc>
      </w:tr>
      <w:tr w:rsidR="00195E73" w14:paraId="239875E2" w14:textId="77777777">
        <w:trPr>
          <w:divId w:val="1255017860"/>
          <w:jc w:val="center"/>
        </w:trPr>
        <w:tc>
          <w:tcPr>
            <w:tcW w:w="0" w:type="auto"/>
            <w:gridSpan w:val="3"/>
            <w:shd w:val="clear" w:color="auto" w:fill="CCEEFF"/>
            <w:tcMar>
              <w:top w:w="30" w:type="dxa"/>
              <w:left w:w="20" w:type="dxa"/>
              <w:bottom w:w="30" w:type="dxa"/>
              <w:right w:w="20" w:type="dxa"/>
            </w:tcMar>
            <w:vAlign w:val="bottom"/>
            <w:hideMark/>
          </w:tcPr>
          <w:p w14:paraId="3A760423" w14:textId="77777777" w:rsidR="00000000" w:rsidRDefault="00195E73">
            <w:pPr>
              <w:ind w:firstLine="180"/>
              <w:divId w:val="120661433"/>
              <w:rPr>
                <w:rFonts w:eastAsia="Times New Roman"/>
              </w:rPr>
            </w:pPr>
            <w:r>
              <w:rPr>
                <w:rFonts w:eastAsia="Times New Roman"/>
                <w:color w:val="000000"/>
                <w:sz w:val="12"/>
                <w:szCs w:val="12"/>
              </w:rPr>
              <w:t>Selling, general and administrativ</w:t>
            </w:r>
            <w:r>
              <w:rPr>
                <w:rFonts w:eastAsia="Times New Roman"/>
                <w:color w:val="000000"/>
                <w:sz w:val="12"/>
                <w:szCs w:val="12"/>
              </w:rPr>
              <w:t>e</w:t>
            </w:r>
          </w:p>
        </w:tc>
        <w:tc>
          <w:tcPr>
            <w:tcW w:w="0" w:type="auto"/>
            <w:gridSpan w:val="2"/>
            <w:shd w:val="clear" w:color="auto" w:fill="CCEEFF"/>
            <w:tcMar>
              <w:top w:w="30" w:type="dxa"/>
              <w:left w:w="20" w:type="dxa"/>
              <w:bottom w:w="30" w:type="dxa"/>
              <w:right w:w="0" w:type="dxa"/>
            </w:tcMar>
            <w:vAlign w:val="bottom"/>
            <w:hideMark/>
          </w:tcPr>
          <w:p w14:paraId="5C89746D" w14:textId="77777777" w:rsidR="00000000" w:rsidRDefault="00195E73">
            <w:pPr>
              <w:jc w:val="right"/>
              <w:rPr>
                <w:rFonts w:eastAsia="Times New Roman"/>
              </w:rPr>
            </w:pPr>
            <w:r>
              <w:rPr>
                <w:rFonts w:eastAsia="Times New Roman"/>
                <w:color w:val="000000"/>
                <w:sz w:val="12"/>
                <w:szCs w:val="12"/>
              </w:rPr>
              <w:t>12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0445EE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9F98D9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B90914" w14:textId="77777777" w:rsidR="00000000" w:rsidRDefault="00195E73">
            <w:pPr>
              <w:jc w:val="right"/>
              <w:rPr>
                <w:rFonts w:eastAsia="Times New Roman"/>
              </w:rPr>
            </w:pPr>
            <w:r>
              <w:rPr>
                <w:rFonts w:eastAsia="Times New Roman"/>
                <w:color w:val="000000"/>
                <w:sz w:val="12"/>
                <w:szCs w:val="12"/>
              </w:rPr>
              <w:t>138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69E4BF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1D4F46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B12408" w14:textId="77777777" w:rsidR="00000000" w:rsidRDefault="00195E73">
            <w:pPr>
              <w:jc w:val="right"/>
              <w:rPr>
                <w:rFonts w:eastAsia="Times New Roman"/>
              </w:rPr>
            </w:pPr>
            <w:r>
              <w:rPr>
                <w:rFonts w:eastAsia="Times New Roman"/>
                <w:color w:val="000000"/>
                <w:sz w:val="12"/>
                <w:szCs w:val="12"/>
              </w:rPr>
              <w:t>1,051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3C0101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A36EDC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4C721D" w14:textId="77777777" w:rsidR="00000000" w:rsidRDefault="00195E73">
            <w:pPr>
              <w:jc w:val="right"/>
              <w:rPr>
                <w:rFonts w:eastAsia="Times New Roman"/>
              </w:rPr>
            </w:pPr>
            <w:r>
              <w:rPr>
                <w:rFonts w:eastAsia="Times New Roman"/>
                <w:color w:val="000000"/>
                <w:sz w:val="12"/>
                <w:szCs w:val="12"/>
              </w:rPr>
              <w:t>57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7C28A5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D411FB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6A849A" w14:textId="77777777" w:rsidR="00000000" w:rsidRDefault="00195E73">
            <w:pPr>
              <w:jc w:val="right"/>
              <w:rPr>
                <w:rFonts w:eastAsia="Times New Roman"/>
              </w:rPr>
            </w:pPr>
            <w:r>
              <w:rPr>
                <w:rFonts w:eastAsia="Times New Roman"/>
                <w:color w:val="000000"/>
                <w:sz w:val="12"/>
                <w:szCs w:val="12"/>
              </w:rPr>
              <w:t>19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F6DC89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1B5D92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583D6E" w14:textId="77777777" w:rsidR="00000000" w:rsidRDefault="00195E73">
            <w:pPr>
              <w:jc w:val="right"/>
              <w:rPr>
                <w:rFonts w:eastAsia="Times New Roman"/>
              </w:rPr>
            </w:pPr>
            <w:r>
              <w:rPr>
                <w:rFonts w:eastAsia="Times New Roman"/>
                <w:color w:val="000000"/>
                <w:sz w:val="12"/>
                <w:szCs w:val="12"/>
              </w:rPr>
              <w:t>22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C39686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166EDD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BE3FD2" w14:textId="77777777" w:rsidR="00000000" w:rsidRDefault="00195E73">
            <w:pPr>
              <w:jc w:val="right"/>
              <w:rPr>
                <w:rFonts w:eastAsia="Times New Roman"/>
              </w:rPr>
            </w:pPr>
            <w:r>
              <w:rPr>
                <w:rFonts w:eastAsia="Times New Roman"/>
                <w:color w:val="000000"/>
                <w:sz w:val="12"/>
                <w:szCs w:val="12"/>
              </w:rPr>
              <w:t>34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1A32D6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C11F1F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7D060C" w14:textId="77777777" w:rsidR="00000000" w:rsidRDefault="00195E73">
            <w:pPr>
              <w:jc w:val="right"/>
              <w:rPr>
                <w:rFonts w:eastAsia="Times New Roman"/>
              </w:rPr>
            </w:pPr>
            <w:r>
              <w:rPr>
                <w:rFonts w:eastAsia="Times New Roman"/>
                <w:color w:val="000000"/>
                <w:sz w:val="12"/>
                <w:szCs w:val="12"/>
              </w:rPr>
              <w:t>27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25DC85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2DC4EA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C17532"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0B9CF8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35C9D5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0C8D70" w14:textId="77777777" w:rsidR="00000000" w:rsidRDefault="00195E73">
            <w:pPr>
              <w:jc w:val="right"/>
              <w:rPr>
                <w:rFonts w:eastAsia="Times New Roman"/>
              </w:rPr>
            </w:pPr>
            <w:r>
              <w:rPr>
                <w:rFonts w:eastAsia="Times New Roman"/>
                <w:color w:val="000000"/>
                <w:sz w:val="12"/>
                <w:szCs w:val="12"/>
              </w:rPr>
              <w:t>25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39AC713"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63D3DF05"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21FA8B8" w14:textId="77777777" w:rsidR="00000000" w:rsidRDefault="00195E73">
            <w:pPr>
              <w:jc w:val="right"/>
              <w:rPr>
                <w:rFonts w:eastAsia="Times New Roman"/>
              </w:rPr>
            </w:pPr>
            <w:r>
              <w:rPr>
                <w:rFonts w:eastAsia="Times New Roman"/>
                <w:color w:val="000000"/>
                <w:sz w:val="12"/>
                <w:szCs w:val="12"/>
              </w:rPr>
              <w:t>1,386</w:t>
            </w:r>
            <w:r>
              <w:rPr>
                <w:rFonts w:eastAsia="Times New Roman"/>
                <w:color w:val="000000"/>
                <w:sz w:val="12"/>
                <w:szCs w:val="12"/>
              </w:rPr>
              <w:t> </w:t>
            </w:r>
            <w:r>
              <w:rPr>
                <w:rFonts w:eastAsia="Times New Roman"/>
                <w:color w:val="000000"/>
                <w:sz w:val="12"/>
                <w:szCs w:val="12"/>
              </w:rPr>
              <w:t> </w:t>
            </w:r>
          </w:p>
        </w:tc>
      </w:tr>
      <w:tr w:rsidR="00195E73" w14:paraId="6B9489A8" w14:textId="77777777">
        <w:trPr>
          <w:divId w:val="1255017860"/>
          <w:jc w:val="center"/>
        </w:trPr>
        <w:tc>
          <w:tcPr>
            <w:tcW w:w="0" w:type="auto"/>
            <w:gridSpan w:val="3"/>
            <w:shd w:val="clear" w:color="auto" w:fill="FFFFFF"/>
            <w:tcMar>
              <w:top w:w="30" w:type="dxa"/>
              <w:left w:w="20" w:type="dxa"/>
              <w:bottom w:w="30" w:type="dxa"/>
              <w:right w:w="20" w:type="dxa"/>
            </w:tcMar>
            <w:vAlign w:val="bottom"/>
            <w:hideMark/>
          </w:tcPr>
          <w:p w14:paraId="2AEF2D2E" w14:textId="77777777" w:rsidR="00000000" w:rsidRDefault="00195E73">
            <w:pPr>
              <w:ind w:firstLine="180"/>
              <w:divId w:val="1321075969"/>
              <w:rPr>
                <w:rFonts w:eastAsia="Times New Roman"/>
              </w:rPr>
            </w:pPr>
            <w:r>
              <w:rPr>
                <w:rFonts w:eastAsia="Times New Roman"/>
                <w:color w:val="000000"/>
                <w:sz w:val="12"/>
                <w:szCs w:val="12"/>
              </w:rPr>
              <w:t>Restructuring, ne</w:t>
            </w:r>
            <w:r>
              <w:rPr>
                <w:rFonts w:eastAsia="Times New Roman"/>
                <w:color w:val="000000"/>
                <w:sz w:val="12"/>
                <w:szCs w:val="12"/>
              </w:rPr>
              <w:t>t</w:t>
            </w:r>
          </w:p>
        </w:tc>
        <w:tc>
          <w:tcPr>
            <w:tcW w:w="0" w:type="auto"/>
            <w:gridSpan w:val="2"/>
            <w:shd w:val="clear" w:color="auto" w:fill="FFFFFF"/>
            <w:tcMar>
              <w:top w:w="30" w:type="dxa"/>
              <w:left w:w="20" w:type="dxa"/>
              <w:bottom w:w="30" w:type="dxa"/>
              <w:right w:w="0" w:type="dxa"/>
            </w:tcMar>
            <w:vAlign w:val="bottom"/>
            <w:hideMark/>
          </w:tcPr>
          <w:p w14:paraId="34A4FB8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8523E4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62B707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86AD86"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8BB9FC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0EE8F8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052B40"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058FDB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10AD3B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68D2B9" w14:textId="77777777" w:rsidR="00000000" w:rsidRDefault="00195E73">
            <w:pPr>
              <w:jc w:val="right"/>
              <w:rPr>
                <w:rFonts w:eastAsia="Times New Roman"/>
              </w:rPr>
            </w:pPr>
            <w:r>
              <w:rPr>
                <w:rFonts w:eastAsia="Times New Roman"/>
                <w:color w:val="000000"/>
                <w:sz w:val="12"/>
                <w:szCs w:val="12"/>
              </w:rPr>
              <w:t>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B68C26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CF5A09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1DF25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5E7E2F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BFB811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93206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94EBDE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CD7058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FBED00"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EBFF47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51330E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490C4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968D65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5F3734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9AB3C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4EEACB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36575E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69BF7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1E3252E"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22160D3C"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3068120" w14:textId="77777777" w:rsidR="00000000" w:rsidRDefault="00195E73">
            <w:pPr>
              <w:jc w:val="right"/>
              <w:rPr>
                <w:rFonts w:eastAsia="Times New Roman"/>
              </w:rPr>
            </w:pPr>
            <w:r>
              <w:rPr>
                <w:rFonts w:eastAsia="Times New Roman"/>
                <w:color w:val="000000"/>
                <w:sz w:val="12"/>
                <w:szCs w:val="12"/>
              </w:rPr>
              <w:t>21</w:t>
            </w:r>
            <w:r>
              <w:rPr>
                <w:rFonts w:eastAsia="Times New Roman"/>
                <w:color w:val="000000"/>
                <w:sz w:val="12"/>
                <w:szCs w:val="12"/>
              </w:rPr>
              <w:t> </w:t>
            </w:r>
            <w:r>
              <w:rPr>
                <w:rFonts w:eastAsia="Times New Roman"/>
                <w:color w:val="000000"/>
                <w:sz w:val="12"/>
                <w:szCs w:val="12"/>
              </w:rPr>
              <w:t> </w:t>
            </w:r>
          </w:p>
        </w:tc>
      </w:tr>
      <w:tr w:rsidR="00195E73" w14:paraId="74AD2281" w14:textId="77777777">
        <w:trPr>
          <w:divId w:val="1255017860"/>
          <w:jc w:val="center"/>
        </w:trPr>
        <w:tc>
          <w:tcPr>
            <w:tcW w:w="0" w:type="auto"/>
            <w:gridSpan w:val="3"/>
            <w:shd w:val="clear" w:color="auto" w:fill="CCEEFF"/>
            <w:tcMar>
              <w:top w:w="30" w:type="dxa"/>
              <w:left w:w="20" w:type="dxa"/>
              <w:bottom w:w="30" w:type="dxa"/>
              <w:right w:w="20" w:type="dxa"/>
            </w:tcMar>
            <w:vAlign w:val="bottom"/>
            <w:hideMark/>
          </w:tcPr>
          <w:p w14:paraId="3C71D47D" w14:textId="77777777" w:rsidR="00000000" w:rsidRDefault="00195E73">
            <w:pPr>
              <w:ind w:firstLine="180"/>
              <w:divId w:val="1851219146"/>
              <w:rPr>
                <w:rFonts w:eastAsia="Times New Roman"/>
              </w:rPr>
            </w:pPr>
            <w:r>
              <w:rPr>
                <w:rFonts w:eastAsia="Times New Roman"/>
                <w:color w:val="000000"/>
                <w:sz w:val="12"/>
                <w:szCs w:val="12"/>
              </w:rPr>
              <w:t>Impairmen</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75F18CF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EB9932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04E4A3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81985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4BE073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927990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2594E7" w14:textId="77777777" w:rsidR="00000000" w:rsidRDefault="00195E73">
            <w:pPr>
              <w:jc w:val="right"/>
              <w:rPr>
                <w:rFonts w:eastAsia="Times New Roman"/>
              </w:rPr>
            </w:pPr>
            <w:r>
              <w:rPr>
                <w:rFonts w:eastAsia="Times New Roman"/>
                <w:color w:val="000000"/>
                <w:sz w:val="12"/>
                <w:szCs w:val="12"/>
              </w:rPr>
              <w:t>90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FCE3E1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6306F2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2484E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30A8C8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6BEA46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B629E8"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9729A5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C9825E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F37D3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F168BF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F03F0A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34D8F0"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773631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0ADB63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34005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CFD274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6D982D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7CA80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645EF8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403CF1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2D4BA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1BCF1E7"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289924C1"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623C0EE" w14:textId="77777777" w:rsidR="00000000" w:rsidRDefault="00195E73">
            <w:pPr>
              <w:jc w:val="right"/>
              <w:rPr>
                <w:rFonts w:eastAsia="Times New Roman"/>
              </w:rPr>
            </w:pPr>
            <w:r>
              <w:rPr>
                <w:rFonts w:eastAsia="Times New Roman"/>
                <w:color w:val="000000"/>
                <w:sz w:val="12"/>
                <w:szCs w:val="12"/>
              </w:rPr>
              <w:t>92</w:t>
            </w:r>
            <w:r>
              <w:rPr>
                <w:rFonts w:eastAsia="Times New Roman"/>
                <w:color w:val="000000"/>
                <w:sz w:val="12"/>
                <w:szCs w:val="12"/>
              </w:rPr>
              <w:t> </w:t>
            </w:r>
            <w:r>
              <w:rPr>
                <w:rFonts w:eastAsia="Times New Roman"/>
                <w:color w:val="000000"/>
                <w:sz w:val="12"/>
                <w:szCs w:val="12"/>
              </w:rPr>
              <w:t> </w:t>
            </w:r>
          </w:p>
        </w:tc>
      </w:tr>
      <w:tr w:rsidR="00195E73" w14:paraId="4951589F" w14:textId="77777777">
        <w:trPr>
          <w:divId w:val="1255017860"/>
          <w:jc w:val="center"/>
        </w:trPr>
        <w:tc>
          <w:tcPr>
            <w:tcW w:w="0" w:type="auto"/>
            <w:gridSpan w:val="3"/>
            <w:shd w:val="clear" w:color="auto" w:fill="FFFFFF"/>
            <w:tcMar>
              <w:top w:w="30" w:type="dxa"/>
              <w:left w:w="20" w:type="dxa"/>
              <w:bottom w:w="30" w:type="dxa"/>
              <w:right w:w="20" w:type="dxa"/>
            </w:tcMar>
            <w:vAlign w:val="bottom"/>
            <w:hideMark/>
          </w:tcPr>
          <w:p w14:paraId="3111A9F9" w14:textId="77777777" w:rsidR="00000000" w:rsidRDefault="00195E73">
            <w:pPr>
              <w:ind w:firstLine="180"/>
              <w:divId w:val="1494179153"/>
              <w:rPr>
                <w:rFonts w:eastAsia="Times New Roman"/>
              </w:rPr>
            </w:pPr>
            <w:r>
              <w:rPr>
                <w:rFonts w:eastAsia="Times New Roman"/>
                <w:color w:val="000000"/>
                <w:sz w:val="12"/>
                <w:szCs w:val="12"/>
              </w:rPr>
              <w:t>Interest expens</w:t>
            </w:r>
            <w:r>
              <w:rPr>
                <w:rFonts w:eastAsia="Times New Roman"/>
                <w:color w:val="000000"/>
                <w:sz w:val="12"/>
                <w:szCs w:val="12"/>
              </w:rPr>
              <w:t>e</w:t>
            </w:r>
          </w:p>
        </w:tc>
        <w:tc>
          <w:tcPr>
            <w:tcW w:w="0" w:type="auto"/>
            <w:gridSpan w:val="2"/>
            <w:shd w:val="clear" w:color="auto" w:fill="FFFFFF"/>
            <w:tcMar>
              <w:top w:w="30" w:type="dxa"/>
              <w:left w:w="20" w:type="dxa"/>
              <w:bottom w:w="30" w:type="dxa"/>
              <w:right w:w="0" w:type="dxa"/>
            </w:tcMar>
            <w:vAlign w:val="bottom"/>
            <w:hideMark/>
          </w:tcPr>
          <w:p w14:paraId="0DB279B8" w14:textId="77777777" w:rsidR="00000000" w:rsidRDefault="00195E73">
            <w:pPr>
              <w:jc w:val="right"/>
              <w:rPr>
                <w:rFonts w:eastAsia="Times New Roman"/>
              </w:rPr>
            </w:pPr>
            <w:r>
              <w:rPr>
                <w:rFonts w:eastAsia="Times New Roman"/>
                <w:color w:val="000000"/>
                <w:sz w:val="12"/>
                <w:szCs w:val="12"/>
              </w:rPr>
              <w:t>46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2F44D8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14F0B0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672DB1" w14:textId="77777777" w:rsidR="00000000" w:rsidRDefault="00195E73">
            <w:pPr>
              <w:jc w:val="right"/>
              <w:rPr>
                <w:rFonts w:eastAsia="Times New Roman"/>
              </w:rPr>
            </w:pPr>
            <w:r>
              <w:rPr>
                <w:rFonts w:eastAsia="Times New Roman"/>
                <w:color w:val="000000"/>
                <w:sz w:val="12"/>
                <w:szCs w:val="12"/>
              </w:rPr>
              <w:t>104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150957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B83294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D49A30" w14:textId="77777777" w:rsidR="00000000" w:rsidRDefault="00195E73">
            <w:pPr>
              <w:jc w:val="right"/>
              <w:rPr>
                <w:rFonts w:eastAsia="Times New Roman"/>
              </w:rPr>
            </w:pPr>
            <w:r>
              <w:rPr>
                <w:rFonts w:eastAsia="Times New Roman"/>
                <w:color w:val="000000"/>
                <w:sz w:val="12"/>
                <w:szCs w:val="12"/>
              </w:rPr>
              <w:t>16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42BD8D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12B5D5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A7CDC3" w14:textId="77777777" w:rsidR="00000000" w:rsidRDefault="00195E73">
            <w:pPr>
              <w:jc w:val="right"/>
              <w:rPr>
                <w:rFonts w:eastAsia="Times New Roman"/>
              </w:rPr>
            </w:pPr>
            <w:r>
              <w:rPr>
                <w:rFonts w:eastAsia="Times New Roman"/>
                <w:color w:val="000000"/>
                <w:sz w:val="12"/>
                <w:szCs w:val="12"/>
              </w:rPr>
              <w:t>16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B8D637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A2CC95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348F3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266A91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77294A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BE9435"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748635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F17A8E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B82590"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885ED1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4E554C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F27D28"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DB8551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3A4A95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008C7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318F39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F44C8B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D4A915" w14:textId="77777777" w:rsidR="00000000" w:rsidRDefault="00195E73">
            <w:pPr>
              <w:jc w:val="right"/>
              <w:rPr>
                <w:rFonts w:eastAsia="Times New Roman"/>
              </w:rPr>
            </w:pPr>
            <w:r>
              <w:rPr>
                <w:rFonts w:eastAsia="Times New Roman"/>
                <w:color w:val="000000"/>
                <w:sz w:val="12"/>
                <w:szCs w:val="12"/>
              </w:rPr>
              <w:t>337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56788F6"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6FFE026E"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EB03795" w14:textId="77777777" w:rsidR="00000000" w:rsidRDefault="00195E73">
            <w:pPr>
              <w:jc w:val="right"/>
              <w:rPr>
                <w:rFonts w:eastAsia="Times New Roman"/>
              </w:rPr>
            </w:pPr>
            <w:r>
              <w:rPr>
                <w:rFonts w:eastAsia="Times New Roman"/>
                <w:color w:val="000000"/>
                <w:sz w:val="12"/>
                <w:szCs w:val="12"/>
              </w:rPr>
              <w:t>524</w:t>
            </w:r>
            <w:r>
              <w:rPr>
                <w:rFonts w:eastAsia="Times New Roman"/>
                <w:color w:val="000000"/>
                <w:sz w:val="12"/>
                <w:szCs w:val="12"/>
              </w:rPr>
              <w:t> </w:t>
            </w:r>
            <w:r>
              <w:rPr>
                <w:rFonts w:eastAsia="Times New Roman"/>
                <w:color w:val="000000"/>
                <w:sz w:val="12"/>
                <w:szCs w:val="12"/>
              </w:rPr>
              <w:t> </w:t>
            </w:r>
          </w:p>
        </w:tc>
      </w:tr>
      <w:tr w:rsidR="00195E73" w14:paraId="034E5D18" w14:textId="77777777">
        <w:trPr>
          <w:divId w:val="1255017860"/>
          <w:jc w:val="center"/>
        </w:trPr>
        <w:tc>
          <w:tcPr>
            <w:tcW w:w="0" w:type="auto"/>
            <w:gridSpan w:val="3"/>
            <w:shd w:val="clear" w:color="auto" w:fill="CCEEFF"/>
            <w:tcMar>
              <w:top w:w="15" w:type="dxa"/>
              <w:left w:w="20" w:type="dxa"/>
              <w:bottom w:w="15" w:type="dxa"/>
              <w:right w:w="20" w:type="dxa"/>
            </w:tcMar>
            <w:vAlign w:val="bottom"/>
            <w:hideMark/>
          </w:tcPr>
          <w:p w14:paraId="50C1B19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C6C1ED" w14:textId="77777777" w:rsidR="00000000" w:rsidRDefault="00195E73">
            <w:pPr>
              <w:jc w:val="right"/>
              <w:rPr>
                <w:rFonts w:eastAsia="Times New Roman"/>
              </w:rPr>
            </w:pPr>
            <w:r>
              <w:rPr>
                <w:rFonts w:eastAsia="Times New Roman"/>
                <w:color w:val="000000"/>
                <w:sz w:val="12"/>
                <w:szCs w:val="12"/>
              </w:rPr>
              <w:t>58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10A734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8F5E80C"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D41278" w14:textId="77777777" w:rsidR="00000000" w:rsidRDefault="00195E73">
            <w:pPr>
              <w:jc w:val="right"/>
              <w:rPr>
                <w:rFonts w:eastAsia="Times New Roman"/>
              </w:rPr>
            </w:pPr>
            <w:r>
              <w:rPr>
                <w:rFonts w:eastAsia="Times New Roman"/>
                <w:color w:val="000000"/>
                <w:sz w:val="12"/>
                <w:szCs w:val="12"/>
              </w:rPr>
              <w:t>6,755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ED52DA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3464CD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FFC6A1" w14:textId="77777777" w:rsidR="00000000" w:rsidRDefault="00195E73">
            <w:pPr>
              <w:jc w:val="right"/>
              <w:rPr>
                <w:rFonts w:eastAsia="Times New Roman"/>
              </w:rPr>
            </w:pPr>
            <w:r>
              <w:rPr>
                <w:rFonts w:eastAsia="Times New Roman"/>
                <w:color w:val="000000"/>
                <w:sz w:val="12"/>
                <w:szCs w:val="12"/>
              </w:rPr>
              <w:t>3,138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173CA2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21E444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2F48E3" w14:textId="77777777" w:rsidR="00000000" w:rsidRDefault="00195E73">
            <w:pPr>
              <w:jc w:val="right"/>
              <w:rPr>
                <w:rFonts w:eastAsia="Times New Roman"/>
              </w:rPr>
            </w:pPr>
            <w:r>
              <w:rPr>
                <w:rFonts w:eastAsia="Times New Roman"/>
                <w:color w:val="000000"/>
                <w:sz w:val="12"/>
                <w:szCs w:val="12"/>
              </w:rPr>
              <w:t>398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70C238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7BBBDA6"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67476B" w14:textId="77777777" w:rsidR="00000000" w:rsidRDefault="00195E73">
            <w:pPr>
              <w:jc w:val="right"/>
              <w:rPr>
                <w:rFonts w:eastAsia="Times New Roman"/>
              </w:rPr>
            </w:pPr>
            <w:r>
              <w:rPr>
                <w:rFonts w:eastAsia="Times New Roman"/>
                <w:color w:val="000000"/>
                <w:sz w:val="12"/>
                <w:szCs w:val="12"/>
              </w:rPr>
              <w:t>461</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D2BC3F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309AA60"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DA284C" w14:textId="77777777" w:rsidR="00000000" w:rsidRDefault="00195E73">
            <w:pPr>
              <w:jc w:val="right"/>
              <w:rPr>
                <w:rFonts w:eastAsia="Times New Roman"/>
              </w:rPr>
            </w:pPr>
            <w:r>
              <w:rPr>
                <w:rFonts w:eastAsia="Times New Roman"/>
                <w:color w:val="000000"/>
                <w:sz w:val="12"/>
                <w:szCs w:val="12"/>
              </w:rPr>
              <w:t>95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048DC8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640F69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41E17D" w14:textId="77777777" w:rsidR="00000000" w:rsidRDefault="00195E73">
            <w:pPr>
              <w:jc w:val="right"/>
              <w:rPr>
                <w:rFonts w:eastAsia="Times New Roman"/>
              </w:rPr>
            </w:pPr>
            <w:r>
              <w:rPr>
                <w:rFonts w:eastAsia="Times New Roman"/>
                <w:color w:val="000000"/>
                <w:sz w:val="12"/>
                <w:szCs w:val="12"/>
              </w:rPr>
              <w:t>182</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B746D4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C91E43D"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EDB3A8" w14:textId="77777777" w:rsidR="00000000" w:rsidRDefault="00195E73">
            <w:pPr>
              <w:jc w:val="right"/>
              <w:rPr>
                <w:rFonts w:eastAsia="Times New Roman"/>
              </w:rPr>
            </w:pPr>
            <w:r>
              <w:rPr>
                <w:rFonts w:eastAsia="Times New Roman"/>
                <w:color w:val="000000"/>
                <w:sz w:val="12"/>
                <w:szCs w:val="12"/>
              </w:rPr>
              <w:t>103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111F00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832E92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27737B"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886084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8F785E5"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D88BB1" w14:textId="77777777" w:rsidR="00000000" w:rsidRDefault="00195E73">
            <w:pPr>
              <w:jc w:val="right"/>
              <w:rPr>
                <w:rFonts w:eastAsia="Times New Roman"/>
              </w:rPr>
            </w:pPr>
            <w:r>
              <w:rPr>
                <w:rFonts w:eastAsia="Times New Roman"/>
                <w:color w:val="000000"/>
                <w:sz w:val="12"/>
                <w:szCs w:val="12"/>
              </w:rPr>
              <w:t>362</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073D58C"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26D44A4E"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336249" w14:textId="77777777" w:rsidR="00000000" w:rsidRDefault="00195E73">
            <w:pPr>
              <w:jc w:val="right"/>
              <w:rPr>
                <w:rFonts w:eastAsia="Times New Roman"/>
              </w:rPr>
            </w:pPr>
            <w:r>
              <w:rPr>
                <w:rFonts w:eastAsia="Times New Roman"/>
                <w:color w:val="000000"/>
                <w:sz w:val="12"/>
                <w:szCs w:val="12"/>
              </w:rPr>
              <w:t>11,554</w:t>
            </w:r>
            <w:r>
              <w:rPr>
                <w:rFonts w:eastAsia="Times New Roman"/>
                <w:color w:val="000000"/>
                <w:sz w:val="12"/>
                <w:szCs w:val="12"/>
              </w:rPr>
              <w:t> </w:t>
            </w:r>
            <w:r>
              <w:rPr>
                <w:rFonts w:eastAsia="Times New Roman"/>
                <w:color w:val="000000"/>
                <w:sz w:val="12"/>
                <w:szCs w:val="12"/>
              </w:rPr>
              <w:t> </w:t>
            </w:r>
          </w:p>
        </w:tc>
      </w:tr>
      <w:tr w:rsidR="00195E73" w14:paraId="133EB365" w14:textId="77777777">
        <w:trPr>
          <w:divId w:val="1255017860"/>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70561BA3" w14:textId="77777777" w:rsidR="00000000" w:rsidRDefault="00195E73">
            <w:pPr>
              <w:ind w:hanging="180"/>
              <w:divId w:val="51202731"/>
              <w:rPr>
                <w:rFonts w:eastAsia="Times New Roman"/>
              </w:rPr>
            </w:pPr>
            <w:r>
              <w:rPr>
                <w:rFonts w:eastAsia="Times New Roman"/>
                <w:color w:val="000000"/>
                <w:sz w:val="12"/>
                <w:szCs w:val="12"/>
              </w:rPr>
              <w:t>Income (loss) from continuing operations before income tax (expense) benefi</w:t>
            </w:r>
            <w:r>
              <w:rPr>
                <w:rFonts w:eastAsia="Times New Roman"/>
                <w:color w:val="000000"/>
                <w:sz w:val="12"/>
                <w:szCs w:val="12"/>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6F25B8" w14:textId="77777777" w:rsidR="00000000" w:rsidRDefault="00195E73">
            <w:pPr>
              <w:jc w:val="right"/>
              <w:rPr>
                <w:rFonts w:eastAsia="Times New Roman"/>
              </w:rPr>
            </w:pPr>
            <w:r>
              <w:rPr>
                <w:rFonts w:eastAsia="Times New Roman"/>
                <w:color w:val="000000"/>
                <w:sz w:val="12"/>
                <w:szCs w:val="12"/>
              </w:rPr>
              <w:t>679</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D06C4C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7B8FF2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227ABA" w14:textId="77777777" w:rsidR="00000000" w:rsidRDefault="00195E73">
            <w:pPr>
              <w:jc w:val="right"/>
              <w:rPr>
                <w:rFonts w:eastAsia="Times New Roman"/>
              </w:rPr>
            </w:pPr>
            <w:r>
              <w:rPr>
                <w:rFonts w:eastAsia="Times New Roman"/>
                <w:color w:val="000000"/>
                <w:sz w:val="12"/>
                <w:szCs w:val="12"/>
              </w:rPr>
              <w:t>380</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8CB047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F7638D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6F8F90" w14:textId="77777777" w:rsidR="00000000" w:rsidRDefault="00195E73">
            <w:pPr>
              <w:jc w:val="right"/>
              <w:rPr>
                <w:rFonts w:eastAsia="Times New Roman"/>
              </w:rPr>
            </w:pPr>
            <w:r>
              <w:rPr>
                <w:rFonts w:eastAsia="Times New Roman"/>
                <w:color w:val="000000"/>
                <w:sz w:val="12"/>
                <w:szCs w:val="12"/>
              </w:rPr>
              <w:t>(282</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3E339A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F280AF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3AA330" w14:textId="77777777" w:rsidR="00000000" w:rsidRDefault="00195E73">
            <w:pPr>
              <w:jc w:val="right"/>
              <w:rPr>
                <w:rFonts w:eastAsia="Times New Roman"/>
              </w:rPr>
            </w:pPr>
            <w:r>
              <w:rPr>
                <w:rFonts w:eastAsia="Times New Roman"/>
                <w:color w:val="000000"/>
                <w:sz w:val="12"/>
                <w:szCs w:val="12"/>
              </w:rPr>
              <w:t>(19</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A935E7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29B3EE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C96860" w14:textId="77777777" w:rsidR="00000000" w:rsidRDefault="00195E73">
            <w:pPr>
              <w:jc w:val="right"/>
              <w:rPr>
                <w:rFonts w:eastAsia="Times New Roman"/>
              </w:rPr>
            </w:pPr>
            <w:r>
              <w:rPr>
                <w:rFonts w:eastAsia="Times New Roman"/>
                <w:color w:val="000000"/>
                <w:sz w:val="12"/>
                <w:szCs w:val="12"/>
              </w:rPr>
              <w:t>6</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1B6351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6209EA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7470CC" w14:textId="77777777" w:rsidR="00000000" w:rsidRDefault="00195E73">
            <w:pPr>
              <w:jc w:val="right"/>
              <w:rPr>
                <w:rFonts w:eastAsia="Times New Roman"/>
              </w:rPr>
            </w:pPr>
            <w:r>
              <w:rPr>
                <w:rFonts w:eastAsia="Times New Roman"/>
                <w:color w:val="000000"/>
                <w:sz w:val="12"/>
                <w:szCs w:val="12"/>
              </w:rPr>
              <w:t>117</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A18180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95F91A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64635A" w14:textId="77777777" w:rsidR="00000000" w:rsidRDefault="00195E73">
            <w:pPr>
              <w:jc w:val="right"/>
              <w:rPr>
                <w:rFonts w:eastAsia="Times New Roman"/>
              </w:rPr>
            </w:pPr>
            <w:r>
              <w:rPr>
                <w:rFonts w:eastAsia="Times New Roman"/>
                <w:color w:val="000000"/>
                <w:sz w:val="12"/>
                <w:szCs w:val="12"/>
              </w:rPr>
              <w:t>(11</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04454E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87905C5"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DF1BB9"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B377B2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A7C2CD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D1B569"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294D8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B90A38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DDC682" w14:textId="77777777" w:rsidR="00000000" w:rsidRDefault="00195E73">
            <w:pPr>
              <w:jc w:val="right"/>
              <w:rPr>
                <w:rFonts w:eastAsia="Times New Roman"/>
              </w:rPr>
            </w:pPr>
            <w:r>
              <w:rPr>
                <w:rFonts w:eastAsia="Times New Roman"/>
                <w:color w:val="000000"/>
                <w:sz w:val="12"/>
                <w:szCs w:val="12"/>
              </w:rPr>
              <w:t>(653</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51554F9"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7E69B5EF"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759E17" w14:textId="77777777" w:rsidR="00000000" w:rsidRDefault="00195E73">
            <w:pPr>
              <w:jc w:val="right"/>
              <w:rPr>
                <w:rFonts w:eastAsia="Times New Roman"/>
              </w:rPr>
            </w:pPr>
            <w:r>
              <w:rPr>
                <w:rFonts w:eastAsia="Times New Roman"/>
                <w:color w:val="000000"/>
                <w:sz w:val="12"/>
                <w:szCs w:val="12"/>
              </w:rPr>
              <w:t>223</w:t>
            </w:r>
            <w:r>
              <w:rPr>
                <w:rFonts w:eastAsia="Times New Roman"/>
                <w:color w:val="000000"/>
                <w:sz w:val="12"/>
                <w:szCs w:val="12"/>
              </w:rPr>
              <w:t> </w:t>
            </w:r>
            <w:r>
              <w:rPr>
                <w:rFonts w:eastAsia="Times New Roman"/>
                <w:color w:val="000000"/>
                <w:sz w:val="12"/>
                <w:szCs w:val="12"/>
              </w:rPr>
              <w:t> </w:t>
            </w:r>
          </w:p>
        </w:tc>
      </w:tr>
      <w:tr w:rsidR="00195E73" w14:paraId="638E3D94" w14:textId="77777777">
        <w:trPr>
          <w:divId w:val="1255017860"/>
          <w:jc w:val="center"/>
        </w:trPr>
        <w:tc>
          <w:tcPr>
            <w:tcW w:w="0" w:type="auto"/>
            <w:gridSpan w:val="3"/>
            <w:shd w:val="clear" w:color="auto" w:fill="CCEEFF"/>
            <w:tcMar>
              <w:top w:w="30" w:type="dxa"/>
              <w:left w:w="20" w:type="dxa"/>
              <w:bottom w:w="30" w:type="dxa"/>
              <w:right w:w="20" w:type="dxa"/>
            </w:tcMar>
            <w:vAlign w:val="bottom"/>
            <w:hideMark/>
          </w:tcPr>
          <w:p w14:paraId="6774F7C4" w14:textId="77777777" w:rsidR="00000000" w:rsidRDefault="00195E73">
            <w:pPr>
              <w:rPr>
                <w:rFonts w:eastAsia="Times New Roman"/>
              </w:rPr>
            </w:pPr>
            <w:r>
              <w:rPr>
                <w:rFonts w:eastAsia="Times New Roman"/>
                <w:color w:val="000000"/>
                <w:sz w:val="12"/>
                <w:szCs w:val="12"/>
              </w:rPr>
              <w:t>Income tax (expense) benefit</w:t>
            </w:r>
            <w:r>
              <w:rPr>
                <w:rFonts w:eastAsia="Times New Roman"/>
                <w:color w:val="000000"/>
                <w:sz w:val="12"/>
                <w:szCs w:val="12"/>
              </w:rPr>
              <w:t xml:space="preserve"> </w:t>
            </w:r>
          </w:p>
        </w:tc>
        <w:tc>
          <w:tcPr>
            <w:tcW w:w="0" w:type="auto"/>
            <w:gridSpan w:val="2"/>
            <w:shd w:val="clear" w:color="auto" w:fill="CCEEFF"/>
            <w:tcMar>
              <w:top w:w="30" w:type="dxa"/>
              <w:left w:w="20" w:type="dxa"/>
              <w:bottom w:w="30" w:type="dxa"/>
              <w:right w:w="0" w:type="dxa"/>
            </w:tcMar>
            <w:vAlign w:val="bottom"/>
            <w:hideMark/>
          </w:tcPr>
          <w:p w14:paraId="0D51FE6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D98C9D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9835D6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A3D3CD" w14:textId="77777777" w:rsidR="00000000" w:rsidRDefault="00195E73">
            <w:pPr>
              <w:jc w:val="right"/>
              <w:rPr>
                <w:rFonts w:eastAsia="Times New Roman"/>
              </w:rPr>
            </w:pPr>
            <w:r>
              <w:rPr>
                <w:rFonts w:eastAsia="Times New Roman"/>
                <w:color w:val="000000"/>
                <w:sz w:val="12"/>
                <w:szCs w:val="12"/>
              </w:rPr>
              <w:t>(46</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1B01119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30D084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0362A2" w14:textId="77777777" w:rsidR="00000000" w:rsidRDefault="00195E73">
            <w:pPr>
              <w:jc w:val="right"/>
              <w:rPr>
                <w:rFonts w:eastAsia="Times New Roman"/>
              </w:rPr>
            </w:pPr>
            <w:r>
              <w:rPr>
                <w:rFonts w:eastAsia="Times New Roman"/>
                <w:color w:val="000000"/>
                <w:sz w:val="12"/>
                <w:szCs w:val="12"/>
              </w:rPr>
              <w:t>52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AEBCEB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365679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43FF79" w14:textId="77777777" w:rsidR="00000000" w:rsidRDefault="00195E73">
            <w:pPr>
              <w:jc w:val="right"/>
              <w:rPr>
                <w:rFonts w:eastAsia="Times New Roman"/>
              </w:rPr>
            </w:pPr>
            <w:r>
              <w:rPr>
                <w:rFonts w:eastAsia="Times New Roman"/>
                <w:color w:val="000000"/>
                <w:sz w:val="12"/>
                <w:szCs w:val="12"/>
              </w:rPr>
              <w:t>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FAC82D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8249A0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358DD4"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348ED9F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74C3A9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714BC2"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7F74508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C4333D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27F03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C36F0D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2C1CB1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99BFC6"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085ED72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9711DA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8A8C3E"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35330FC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2F1E6D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30B45F" w14:textId="77777777" w:rsidR="00000000" w:rsidRDefault="00195E73">
            <w:pPr>
              <w:jc w:val="right"/>
              <w:rPr>
                <w:rFonts w:eastAsia="Times New Roman"/>
              </w:rPr>
            </w:pPr>
            <w:r>
              <w:rPr>
                <w:rFonts w:eastAsia="Times New Roman"/>
                <w:color w:val="000000"/>
                <w:sz w:val="12"/>
                <w:szCs w:val="12"/>
              </w:rPr>
              <w:t>14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8846F31"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5BAA6AA3"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3C9E621" w14:textId="77777777" w:rsidR="00000000" w:rsidRDefault="00195E73">
            <w:pPr>
              <w:jc w:val="right"/>
              <w:rPr>
                <w:rFonts w:eastAsia="Times New Roman"/>
              </w:rPr>
            </w:pPr>
            <w:r>
              <w:rPr>
                <w:rFonts w:eastAsia="Times New Roman"/>
                <w:color w:val="000000"/>
                <w:sz w:val="12"/>
                <w:szCs w:val="12"/>
              </w:rPr>
              <w:t>14</w:t>
            </w:r>
            <w:r>
              <w:rPr>
                <w:rFonts w:eastAsia="Times New Roman"/>
                <w:color w:val="000000"/>
                <w:sz w:val="12"/>
                <w:szCs w:val="12"/>
              </w:rPr>
              <w:t> </w:t>
            </w:r>
            <w:r>
              <w:rPr>
                <w:rFonts w:eastAsia="Times New Roman"/>
                <w:color w:val="000000"/>
                <w:sz w:val="12"/>
                <w:szCs w:val="12"/>
              </w:rPr>
              <w:t> </w:t>
            </w:r>
          </w:p>
        </w:tc>
      </w:tr>
      <w:tr w:rsidR="00195E73" w14:paraId="30866772" w14:textId="77777777">
        <w:trPr>
          <w:divId w:val="1255017860"/>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62DD3C71" w14:textId="77777777" w:rsidR="00000000" w:rsidRDefault="00195E73">
            <w:pPr>
              <w:ind w:hanging="90"/>
              <w:divId w:val="464085232"/>
              <w:rPr>
                <w:rFonts w:eastAsia="Times New Roman"/>
              </w:rPr>
            </w:pPr>
            <w:r>
              <w:rPr>
                <w:rFonts w:eastAsia="Times New Roman"/>
                <w:color w:val="000000"/>
                <w:sz w:val="12"/>
                <w:szCs w:val="12"/>
              </w:rPr>
              <w:t>Net income (loss) from continuing operation</w:t>
            </w:r>
            <w:r>
              <w:rPr>
                <w:rFonts w:eastAsia="Times New Roman"/>
                <w:color w:val="000000"/>
                <w:sz w:val="12"/>
                <w:szCs w:val="12"/>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64A78C" w14:textId="77777777" w:rsidR="00000000" w:rsidRDefault="00195E73">
            <w:pPr>
              <w:jc w:val="right"/>
              <w:rPr>
                <w:rFonts w:eastAsia="Times New Roman"/>
              </w:rPr>
            </w:pPr>
            <w:r>
              <w:rPr>
                <w:rFonts w:eastAsia="Times New Roman"/>
                <w:color w:val="000000"/>
                <w:sz w:val="12"/>
                <w:szCs w:val="12"/>
              </w:rPr>
              <w:t>679</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C7C804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F52C6A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9C468B" w14:textId="77777777" w:rsidR="00000000" w:rsidRDefault="00195E73">
            <w:pPr>
              <w:jc w:val="right"/>
              <w:rPr>
                <w:rFonts w:eastAsia="Times New Roman"/>
              </w:rPr>
            </w:pPr>
            <w:r>
              <w:rPr>
                <w:rFonts w:eastAsia="Times New Roman"/>
                <w:color w:val="000000"/>
                <w:sz w:val="12"/>
                <w:szCs w:val="12"/>
              </w:rPr>
              <w:t>334</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74B13C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6432FA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8822DD" w14:textId="77777777" w:rsidR="00000000" w:rsidRDefault="00195E73">
            <w:pPr>
              <w:jc w:val="right"/>
              <w:rPr>
                <w:rFonts w:eastAsia="Times New Roman"/>
              </w:rPr>
            </w:pPr>
            <w:r>
              <w:rPr>
                <w:rFonts w:eastAsia="Times New Roman"/>
                <w:color w:val="000000"/>
                <w:sz w:val="12"/>
                <w:szCs w:val="12"/>
              </w:rPr>
              <w:t>(230</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3AE422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F2D22D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9E8D5E" w14:textId="77777777" w:rsidR="00000000" w:rsidRDefault="00195E73">
            <w:pPr>
              <w:jc w:val="right"/>
              <w:rPr>
                <w:rFonts w:eastAsia="Times New Roman"/>
              </w:rPr>
            </w:pPr>
            <w:r>
              <w:rPr>
                <w:rFonts w:eastAsia="Times New Roman"/>
                <w:color w:val="000000"/>
                <w:sz w:val="12"/>
                <w:szCs w:val="12"/>
              </w:rPr>
              <w:t>(15</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AA1FAF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32652FD"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4A971E"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894204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5A64CF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E329B3" w14:textId="77777777" w:rsidR="00000000" w:rsidRDefault="00195E73">
            <w:pPr>
              <w:jc w:val="right"/>
              <w:rPr>
                <w:rFonts w:eastAsia="Times New Roman"/>
              </w:rPr>
            </w:pPr>
            <w:r>
              <w:rPr>
                <w:rFonts w:eastAsia="Times New Roman"/>
                <w:color w:val="000000"/>
                <w:sz w:val="12"/>
                <w:szCs w:val="12"/>
              </w:rPr>
              <w:t>112</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0C3719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4E8DB0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28B34E" w14:textId="77777777" w:rsidR="00000000" w:rsidRDefault="00195E73">
            <w:pPr>
              <w:jc w:val="right"/>
              <w:rPr>
                <w:rFonts w:eastAsia="Times New Roman"/>
              </w:rPr>
            </w:pPr>
            <w:r>
              <w:rPr>
                <w:rFonts w:eastAsia="Times New Roman"/>
                <w:color w:val="000000"/>
                <w:sz w:val="12"/>
                <w:szCs w:val="12"/>
              </w:rPr>
              <w:t>(11</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8737DB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1A9DEA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CF36A2"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46FC4C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EDC337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B07410"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C617D6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315A2D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156089" w14:textId="77777777" w:rsidR="00000000" w:rsidRDefault="00195E73">
            <w:pPr>
              <w:jc w:val="right"/>
              <w:rPr>
                <w:rFonts w:eastAsia="Times New Roman"/>
              </w:rPr>
            </w:pPr>
            <w:r>
              <w:rPr>
                <w:rFonts w:eastAsia="Times New Roman"/>
                <w:color w:val="000000"/>
                <w:sz w:val="12"/>
                <w:szCs w:val="12"/>
              </w:rPr>
              <w:t>(639</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F252B6D"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7FFFF59F"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7ECCE0" w14:textId="77777777" w:rsidR="00000000" w:rsidRDefault="00195E73">
            <w:pPr>
              <w:jc w:val="right"/>
              <w:rPr>
                <w:rFonts w:eastAsia="Times New Roman"/>
              </w:rPr>
            </w:pPr>
            <w:r>
              <w:rPr>
                <w:rFonts w:eastAsia="Times New Roman"/>
                <w:color w:val="000000"/>
                <w:sz w:val="12"/>
                <w:szCs w:val="12"/>
              </w:rPr>
              <w:t>237</w:t>
            </w:r>
            <w:r>
              <w:rPr>
                <w:rFonts w:eastAsia="Times New Roman"/>
                <w:color w:val="000000"/>
                <w:sz w:val="12"/>
                <w:szCs w:val="12"/>
              </w:rPr>
              <w:t> </w:t>
            </w:r>
            <w:r>
              <w:rPr>
                <w:rFonts w:eastAsia="Times New Roman"/>
                <w:color w:val="000000"/>
                <w:sz w:val="12"/>
                <w:szCs w:val="12"/>
              </w:rPr>
              <w:t> </w:t>
            </w:r>
          </w:p>
        </w:tc>
      </w:tr>
      <w:tr w:rsidR="00195E73" w14:paraId="0599AAC4" w14:textId="77777777">
        <w:trPr>
          <w:divId w:val="1255017860"/>
          <w:jc w:val="center"/>
        </w:trPr>
        <w:tc>
          <w:tcPr>
            <w:tcW w:w="0" w:type="auto"/>
            <w:gridSpan w:val="3"/>
            <w:shd w:val="clear" w:color="auto" w:fill="CCEEFF"/>
            <w:tcMar>
              <w:top w:w="30" w:type="dxa"/>
              <w:left w:w="20" w:type="dxa"/>
              <w:bottom w:w="30" w:type="dxa"/>
              <w:right w:w="20" w:type="dxa"/>
            </w:tcMar>
            <w:vAlign w:val="bottom"/>
            <w:hideMark/>
          </w:tcPr>
          <w:p w14:paraId="2F3B517D" w14:textId="77777777" w:rsidR="00000000" w:rsidRDefault="00195E73">
            <w:pPr>
              <w:ind w:hanging="180"/>
              <w:divId w:val="2119980930"/>
              <w:rPr>
                <w:rFonts w:eastAsia="Times New Roman"/>
              </w:rPr>
            </w:pPr>
            <w:r>
              <w:rPr>
                <w:rFonts w:eastAsia="Times New Roman"/>
                <w:color w:val="000000"/>
                <w:sz w:val="12"/>
                <w:szCs w:val="12"/>
              </w:rPr>
              <w:t>Less: net income (loss) from continuing operations attributable to non-controlling interest</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11B1F06B" w14:textId="77777777" w:rsidR="00000000" w:rsidRDefault="00195E73">
            <w:pPr>
              <w:jc w:val="right"/>
              <w:rPr>
                <w:rFonts w:eastAsia="Times New Roman"/>
              </w:rPr>
            </w:pPr>
            <w:r>
              <w:rPr>
                <w:rFonts w:eastAsia="Times New Roman"/>
                <w:color w:val="000000"/>
                <w:sz w:val="12"/>
                <w:szCs w:val="12"/>
              </w:rPr>
              <w:t>360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26101B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E8B1F2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36B6AC" w14:textId="77777777" w:rsidR="00000000" w:rsidRDefault="00195E73">
            <w:pPr>
              <w:jc w:val="right"/>
              <w:rPr>
                <w:rFonts w:eastAsia="Times New Roman"/>
              </w:rPr>
            </w:pPr>
            <w:r>
              <w:rPr>
                <w:rFonts w:eastAsia="Times New Roman"/>
                <w:color w:val="000000"/>
                <w:sz w:val="12"/>
                <w:szCs w:val="12"/>
              </w:rPr>
              <w:t>121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00A8AF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F83406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4AEC0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A4D103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973379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286523"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0CBCBBE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F81F5C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BF5B4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31D167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DF3E0A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FD043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89865C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985B0C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DAA2B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6A0648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23E3FA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1BC534"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29691AD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0373E0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53C54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2C2E3E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9AD922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CC79FF"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59711354"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61FF570E"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BBB9040" w14:textId="77777777" w:rsidR="00000000" w:rsidRDefault="00195E73">
            <w:pPr>
              <w:jc w:val="right"/>
              <w:rPr>
                <w:rFonts w:eastAsia="Times New Roman"/>
              </w:rPr>
            </w:pPr>
            <w:r>
              <w:rPr>
                <w:rFonts w:eastAsia="Times New Roman"/>
                <w:color w:val="000000"/>
                <w:sz w:val="12"/>
                <w:szCs w:val="12"/>
              </w:rPr>
              <w:t>475</w:t>
            </w:r>
            <w:r>
              <w:rPr>
                <w:rFonts w:eastAsia="Times New Roman"/>
                <w:color w:val="000000"/>
                <w:sz w:val="12"/>
                <w:szCs w:val="12"/>
              </w:rPr>
              <w:t> </w:t>
            </w:r>
            <w:r>
              <w:rPr>
                <w:rFonts w:eastAsia="Times New Roman"/>
                <w:color w:val="000000"/>
                <w:sz w:val="12"/>
                <w:szCs w:val="12"/>
              </w:rPr>
              <w:t> </w:t>
            </w:r>
          </w:p>
        </w:tc>
      </w:tr>
      <w:tr w:rsidR="00195E73" w14:paraId="373B8CF0" w14:textId="77777777">
        <w:trPr>
          <w:divId w:val="1255017860"/>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7338C790" w14:textId="77777777" w:rsidR="00000000" w:rsidRDefault="00195E73">
            <w:pPr>
              <w:ind w:hanging="180"/>
              <w:divId w:val="793405817"/>
              <w:rPr>
                <w:rFonts w:eastAsia="Times New Roman"/>
              </w:rPr>
            </w:pPr>
            <w:r>
              <w:rPr>
                <w:rFonts w:eastAsia="Times New Roman"/>
                <w:color w:val="000000"/>
                <w:sz w:val="12"/>
                <w:szCs w:val="12"/>
              </w:rPr>
              <w:t>Net income (loss) from continuing operations attributable to Icahn Enterprise</w:t>
            </w:r>
            <w:r>
              <w:rPr>
                <w:rFonts w:eastAsia="Times New Roman"/>
                <w:color w:val="000000"/>
                <w:sz w:val="12"/>
                <w:szCs w:val="12"/>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44CDF83"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4279CB2" w14:textId="77777777" w:rsidR="00000000" w:rsidRDefault="00195E73">
            <w:pPr>
              <w:jc w:val="right"/>
              <w:rPr>
                <w:rFonts w:eastAsia="Times New Roman"/>
              </w:rPr>
            </w:pPr>
            <w:r>
              <w:rPr>
                <w:rFonts w:eastAsia="Times New Roman"/>
                <w:color w:val="000000"/>
                <w:sz w:val="12"/>
                <w:szCs w:val="12"/>
              </w:rPr>
              <w:t>319</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EB35F6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25F2338"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6D6F569"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F917D5B" w14:textId="77777777" w:rsidR="00000000" w:rsidRDefault="00195E73">
            <w:pPr>
              <w:jc w:val="right"/>
              <w:rPr>
                <w:rFonts w:eastAsia="Times New Roman"/>
              </w:rPr>
            </w:pPr>
            <w:r>
              <w:rPr>
                <w:rFonts w:eastAsia="Times New Roman"/>
                <w:color w:val="000000"/>
                <w:sz w:val="12"/>
                <w:szCs w:val="12"/>
              </w:rPr>
              <w:t>213</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B82FF7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B8EAE21"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BBAE92C"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C903E3B" w14:textId="77777777" w:rsidR="00000000" w:rsidRDefault="00195E73">
            <w:pPr>
              <w:jc w:val="right"/>
              <w:rPr>
                <w:rFonts w:eastAsia="Times New Roman"/>
              </w:rPr>
            </w:pPr>
            <w:r>
              <w:rPr>
                <w:rFonts w:eastAsia="Times New Roman"/>
                <w:color w:val="000000"/>
                <w:sz w:val="12"/>
                <w:szCs w:val="12"/>
              </w:rPr>
              <w:t>(230</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4B06A6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EEDB1FA"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3FD19A23"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7131425" w14:textId="77777777" w:rsidR="00000000" w:rsidRDefault="00195E73">
            <w:pPr>
              <w:jc w:val="right"/>
              <w:rPr>
                <w:rFonts w:eastAsia="Times New Roman"/>
              </w:rPr>
            </w:pPr>
            <w:r>
              <w:rPr>
                <w:rFonts w:eastAsia="Times New Roman"/>
                <w:color w:val="000000"/>
                <w:sz w:val="12"/>
                <w:szCs w:val="12"/>
              </w:rPr>
              <w:t>(12</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1F8AAB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BB99E60"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3AFD7A54"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94ABDDC"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362767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36883E2"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3B985336"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DBD1DD9" w14:textId="77777777" w:rsidR="00000000" w:rsidRDefault="00195E73">
            <w:pPr>
              <w:jc w:val="right"/>
              <w:rPr>
                <w:rFonts w:eastAsia="Times New Roman"/>
              </w:rPr>
            </w:pPr>
            <w:r>
              <w:rPr>
                <w:rFonts w:eastAsia="Times New Roman"/>
                <w:color w:val="000000"/>
                <w:sz w:val="12"/>
                <w:szCs w:val="12"/>
              </w:rPr>
              <w:t>112</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B2F08D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673E9DE"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7DFAC7B"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AE8EBC9" w14:textId="77777777" w:rsidR="00000000" w:rsidRDefault="00195E73">
            <w:pPr>
              <w:jc w:val="right"/>
              <w:rPr>
                <w:rFonts w:eastAsia="Times New Roman"/>
              </w:rPr>
            </w:pPr>
            <w:r>
              <w:rPr>
                <w:rFonts w:eastAsia="Times New Roman"/>
                <w:color w:val="000000"/>
                <w:sz w:val="12"/>
                <w:szCs w:val="12"/>
              </w:rPr>
              <w:t>(11</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4AA56A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5CB66AB"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72E565B"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7B3CFA6"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832176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4B8AD40"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BDB3A20"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451E193"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447994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9D0CABA"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9FE44C5"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AA11582" w14:textId="77777777" w:rsidR="00000000" w:rsidRDefault="00195E73">
            <w:pPr>
              <w:jc w:val="right"/>
              <w:rPr>
                <w:rFonts w:eastAsia="Times New Roman"/>
              </w:rPr>
            </w:pPr>
            <w:r>
              <w:rPr>
                <w:rFonts w:eastAsia="Times New Roman"/>
                <w:color w:val="000000"/>
                <w:sz w:val="12"/>
                <w:szCs w:val="12"/>
              </w:rPr>
              <w:t>(638</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C2CAD5"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2BEC2678"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D8CA250"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(238</w:t>
            </w:r>
            <w:r>
              <w:rPr>
                <w:rFonts w:eastAsia="Times New Roman"/>
                <w:color w:val="000000"/>
                <w:sz w:val="12"/>
                <w:szCs w:val="12"/>
              </w:rPr>
              <w:t>)</w:t>
            </w:r>
            <w:r>
              <w:rPr>
                <w:rFonts w:eastAsia="Times New Roman"/>
                <w:color w:val="000000"/>
                <w:sz w:val="12"/>
                <w:szCs w:val="12"/>
              </w:rPr>
              <w:t> </w:t>
            </w:r>
          </w:p>
        </w:tc>
      </w:tr>
      <w:tr w:rsidR="00000000" w14:paraId="02E2B9EC" w14:textId="77777777">
        <w:trPr>
          <w:divId w:val="1255017860"/>
          <w:trHeight w:val="60"/>
          <w:jc w:val="center"/>
        </w:trPr>
        <w:tc>
          <w:tcPr>
            <w:tcW w:w="0" w:type="auto"/>
            <w:gridSpan w:val="3"/>
            <w:tcBorders>
              <w:top w:val="double" w:sz="6" w:space="0" w:color="FFFFFF"/>
            </w:tcBorders>
            <w:shd w:val="clear" w:color="auto" w:fill="CCEEFF"/>
            <w:tcMar>
              <w:top w:w="15" w:type="dxa"/>
              <w:left w:w="20" w:type="dxa"/>
              <w:bottom w:w="15" w:type="dxa"/>
              <w:right w:w="20" w:type="dxa"/>
            </w:tcMar>
            <w:vAlign w:val="bottom"/>
            <w:hideMark/>
          </w:tcPr>
          <w:p w14:paraId="029A9DAC" w14:textId="77777777" w:rsidR="00000000" w:rsidRDefault="00195E73">
            <w:pPr>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09F71BB"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FDAC6C8"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708F22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D3F2AAB"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B54D429"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05C146C"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788198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B47FC8D"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43B09167"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7C6F0B6"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560D5D38"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9BE04C9"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9CA6BE2"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599A747"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42B31108"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AA12942"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43B8C283"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20AE6E5"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748A7BA" w14:textId="77777777" w:rsidR="00000000" w:rsidRDefault="00195E73">
            <w:pPr>
              <w:rPr>
                <w:rFonts w:eastAsia="Times New Roman"/>
                <w:sz w:val="20"/>
                <w:szCs w:val="20"/>
              </w:rPr>
            </w:pPr>
          </w:p>
        </w:tc>
        <w:tc>
          <w:tcPr>
            <w:tcW w:w="0" w:type="auto"/>
            <w:gridSpan w:val="2"/>
            <w:shd w:val="clear" w:color="auto" w:fill="CCEEFF"/>
            <w:tcMar>
              <w:top w:w="15" w:type="dxa"/>
              <w:left w:w="20" w:type="dxa"/>
              <w:bottom w:w="15" w:type="dxa"/>
              <w:right w:w="20" w:type="dxa"/>
            </w:tcMar>
            <w:vAlign w:val="bottom"/>
            <w:hideMark/>
          </w:tcPr>
          <w:p w14:paraId="59573773" w14:textId="77777777" w:rsidR="00000000" w:rsidRDefault="00195E73">
            <w:pPr>
              <w:rPr>
                <w:rFonts w:eastAsia="Times New Roman"/>
                <w:sz w:val="20"/>
                <w:szCs w:val="20"/>
              </w:rPr>
            </w:pPr>
          </w:p>
        </w:tc>
        <w:tc>
          <w:tcPr>
            <w:tcW w:w="0" w:type="auto"/>
            <w:tcBorders>
              <w:top w:val="double" w:sz="6" w:space="0" w:color="000000"/>
            </w:tcBorders>
            <w:shd w:val="clear" w:color="auto" w:fill="CCEEFF"/>
            <w:tcMar>
              <w:top w:w="15" w:type="dxa"/>
              <w:left w:w="20" w:type="dxa"/>
              <w:bottom w:w="15" w:type="dxa"/>
              <w:right w:w="20" w:type="dxa"/>
            </w:tcMar>
            <w:vAlign w:val="bottom"/>
            <w:hideMark/>
          </w:tcPr>
          <w:p w14:paraId="01F72F6A" w14:textId="77777777" w:rsidR="00000000" w:rsidRDefault="00195E73">
            <w:pPr>
              <w:rPr>
                <w:rFonts w:eastAsia="Times New Roman"/>
                <w:sz w:val="20"/>
                <w:szCs w:val="20"/>
              </w:rPr>
            </w:pPr>
          </w:p>
        </w:tc>
      </w:tr>
      <w:tr w:rsidR="00000000" w14:paraId="0C2CCA2A" w14:textId="77777777">
        <w:trPr>
          <w:divId w:val="1255017860"/>
          <w:jc w:val="center"/>
        </w:trPr>
        <w:tc>
          <w:tcPr>
            <w:tcW w:w="0" w:type="auto"/>
            <w:gridSpan w:val="3"/>
            <w:shd w:val="clear" w:color="auto" w:fill="FFFFFF"/>
            <w:tcMar>
              <w:top w:w="30" w:type="dxa"/>
              <w:left w:w="20" w:type="dxa"/>
              <w:bottom w:w="30" w:type="dxa"/>
              <w:right w:w="20" w:type="dxa"/>
            </w:tcMar>
            <w:vAlign w:val="bottom"/>
            <w:hideMark/>
          </w:tcPr>
          <w:p w14:paraId="4F033FFE" w14:textId="77777777" w:rsidR="00000000" w:rsidRDefault="00195E73">
            <w:pPr>
              <w:rPr>
                <w:rFonts w:eastAsia="Times New Roman"/>
              </w:rPr>
            </w:pPr>
            <w:r>
              <w:rPr>
                <w:rFonts w:eastAsia="Times New Roman"/>
                <w:color w:val="000000"/>
                <w:sz w:val="12"/>
                <w:szCs w:val="12"/>
              </w:rPr>
              <w:t>Supplemental information</w:t>
            </w:r>
            <w:r>
              <w:rPr>
                <w:rFonts w:eastAsia="Times New Roman"/>
                <w:color w:val="000000"/>
                <w:sz w:val="12"/>
                <w:szCs w:val="12"/>
              </w:rPr>
              <w:t>:</w:t>
            </w:r>
          </w:p>
        </w:tc>
        <w:tc>
          <w:tcPr>
            <w:tcW w:w="0" w:type="auto"/>
            <w:gridSpan w:val="3"/>
            <w:shd w:val="clear" w:color="auto" w:fill="FFFFFF"/>
            <w:tcMar>
              <w:top w:w="15" w:type="dxa"/>
              <w:left w:w="20" w:type="dxa"/>
              <w:bottom w:w="15" w:type="dxa"/>
              <w:right w:w="20" w:type="dxa"/>
            </w:tcMar>
            <w:vAlign w:val="bottom"/>
            <w:hideMark/>
          </w:tcPr>
          <w:p w14:paraId="4ABAD905"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7D2480A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C67D5A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67CBCB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A5F955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FF1DA1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C478A6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F947AB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E3573C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3A7B8A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464390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3EBE71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C0DC76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7A8B1E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DBD0CA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89B75E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F06F5E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914C11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C3F5F5A"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4639BFAF" w14:textId="77777777" w:rsidR="00000000" w:rsidRDefault="00195E73">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14:paraId="307B7B0F" w14:textId="77777777" w:rsidR="00000000" w:rsidRDefault="00195E73">
            <w:pPr>
              <w:rPr>
                <w:rFonts w:eastAsia="Times New Roman"/>
                <w:sz w:val="20"/>
                <w:szCs w:val="20"/>
              </w:rPr>
            </w:pPr>
          </w:p>
        </w:tc>
      </w:tr>
      <w:tr w:rsidR="00195E73" w14:paraId="2BADF758" w14:textId="77777777">
        <w:trPr>
          <w:divId w:val="1255017860"/>
          <w:jc w:val="center"/>
        </w:trPr>
        <w:tc>
          <w:tcPr>
            <w:tcW w:w="0" w:type="auto"/>
            <w:gridSpan w:val="3"/>
            <w:shd w:val="clear" w:color="auto" w:fill="CCEEFF"/>
            <w:tcMar>
              <w:top w:w="30" w:type="dxa"/>
              <w:left w:w="20" w:type="dxa"/>
              <w:bottom w:w="30" w:type="dxa"/>
              <w:right w:w="20" w:type="dxa"/>
            </w:tcMar>
            <w:vAlign w:val="bottom"/>
            <w:hideMark/>
          </w:tcPr>
          <w:p w14:paraId="2D546D53" w14:textId="77777777" w:rsidR="00000000" w:rsidRDefault="00195E73">
            <w:pPr>
              <w:ind w:firstLine="180"/>
              <w:divId w:val="1805467209"/>
              <w:rPr>
                <w:rFonts w:eastAsia="Times New Roman"/>
              </w:rPr>
            </w:pPr>
            <w:r>
              <w:rPr>
                <w:rFonts w:eastAsia="Times New Roman"/>
                <w:color w:val="000000"/>
                <w:sz w:val="12"/>
                <w:szCs w:val="12"/>
              </w:rPr>
              <w:t>Capital expenditure</w:t>
            </w:r>
            <w:r>
              <w:rPr>
                <w:rFonts w:eastAsia="Times New Roman"/>
                <w:color w:val="000000"/>
                <w:sz w:val="12"/>
                <w:szCs w:val="12"/>
              </w:rPr>
              <w:t>s</w:t>
            </w:r>
          </w:p>
        </w:tc>
        <w:tc>
          <w:tcPr>
            <w:tcW w:w="0" w:type="auto"/>
            <w:shd w:val="clear" w:color="auto" w:fill="CCEEFF"/>
            <w:tcMar>
              <w:top w:w="30" w:type="dxa"/>
              <w:left w:w="20" w:type="dxa"/>
              <w:bottom w:w="30" w:type="dxa"/>
              <w:right w:w="15" w:type="dxa"/>
            </w:tcMar>
            <w:vAlign w:val="bottom"/>
            <w:hideMark/>
          </w:tcPr>
          <w:p w14:paraId="1AF2C83F"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6EF8CA1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96EA15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430422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A677B55"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7EF3548D" w14:textId="77777777" w:rsidR="00000000" w:rsidRDefault="00195E73">
            <w:pPr>
              <w:jc w:val="right"/>
              <w:rPr>
                <w:rFonts w:eastAsia="Times New Roman"/>
              </w:rPr>
            </w:pPr>
            <w:r>
              <w:rPr>
                <w:rFonts w:eastAsia="Times New Roman"/>
                <w:color w:val="000000"/>
                <w:sz w:val="12"/>
                <w:szCs w:val="12"/>
              </w:rPr>
              <w:t>102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7FF9BE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40D08B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3136058"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963D4FB" w14:textId="77777777" w:rsidR="00000000" w:rsidRDefault="00195E73">
            <w:pPr>
              <w:jc w:val="right"/>
              <w:rPr>
                <w:rFonts w:eastAsia="Times New Roman"/>
              </w:rPr>
            </w:pPr>
            <w:r>
              <w:rPr>
                <w:rFonts w:eastAsia="Times New Roman"/>
                <w:color w:val="000000"/>
                <w:sz w:val="12"/>
                <w:szCs w:val="12"/>
              </w:rPr>
              <w:t>66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5EE5FD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4DF0CC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BFAE492"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31F958C" w14:textId="77777777" w:rsidR="00000000" w:rsidRDefault="00195E73">
            <w:pPr>
              <w:jc w:val="right"/>
              <w:rPr>
                <w:rFonts w:eastAsia="Times New Roman"/>
              </w:rPr>
            </w:pPr>
            <w:r>
              <w:rPr>
                <w:rFonts w:eastAsia="Times New Roman"/>
                <w:color w:val="000000"/>
                <w:sz w:val="12"/>
                <w:szCs w:val="12"/>
              </w:rPr>
              <w:t>25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DB8F3E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B71A8C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265B00B"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21F5B3B" w14:textId="77777777" w:rsidR="00000000" w:rsidRDefault="00195E73">
            <w:pPr>
              <w:jc w:val="right"/>
              <w:rPr>
                <w:rFonts w:eastAsia="Times New Roman"/>
              </w:rPr>
            </w:pPr>
            <w:r>
              <w:rPr>
                <w:rFonts w:eastAsia="Times New Roman"/>
                <w:color w:val="000000"/>
                <w:sz w:val="12"/>
                <w:szCs w:val="12"/>
              </w:rPr>
              <w:t>21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7FBB9F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F1A99F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A91732C"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08FC1BAE" w14:textId="77777777" w:rsidR="00000000" w:rsidRDefault="00195E73">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ABE9AA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D3F0A1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67250D8"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A94556C"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79DD9B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DB708C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1D830A1"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DCE59C5" w14:textId="77777777" w:rsidR="00000000" w:rsidRDefault="00195E73">
            <w:pPr>
              <w:jc w:val="right"/>
              <w:rPr>
                <w:rFonts w:eastAsia="Times New Roman"/>
              </w:rPr>
            </w:pPr>
            <w:r>
              <w:rPr>
                <w:rFonts w:eastAsia="Times New Roman"/>
                <w:color w:val="000000"/>
                <w:sz w:val="12"/>
                <w:szCs w:val="12"/>
              </w:rPr>
              <w:t>40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056A6C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748A2F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8A1B26E"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E46FCC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45D325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660323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372DA92"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0837D92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193476C"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6A27DD4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6613EAC"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272</w:t>
            </w:r>
            <w:r>
              <w:rPr>
                <w:rFonts w:eastAsia="Times New Roman"/>
                <w:color w:val="000000"/>
                <w:sz w:val="12"/>
                <w:szCs w:val="12"/>
              </w:rPr>
              <w:t> </w:t>
            </w:r>
            <w:r>
              <w:rPr>
                <w:rFonts w:eastAsia="Times New Roman"/>
                <w:color w:val="000000"/>
                <w:sz w:val="12"/>
                <w:szCs w:val="12"/>
              </w:rPr>
              <w:t> </w:t>
            </w:r>
          </w:p>
        </w:tc>
      </w:tr>
      <w:tr w:rsidR="00195E73" w14:paraId="24DABB4B" w14:textId="77777777">
        <w:trPr>
          <w:divId w:val="1255017860"/>
          <w:jc w:val="center"/>
        </w:trPr>
        <w:tc>
          <w:tcPr>
            <w:tcW w:w="0" w:type="auto"/>
            <w:gridSpan w:val="3"/>
            <w:shd w:val="clear" w:color="auto" w:fill="FFFFFF"/>
            <w:tcMar>
              <w:top w:w="30" w:type="dxa"/>
              <w:left w:w="20" w:type="dxa"/>
              <w:bottom w:w="30" w:type="dxa"/>
              <w:right w:w="20" w:type="dxa"/>
            </w:tcMar>
            <w:vAlign w:val="bottom"/>
            <w:hideMark/>
          </w:tcPr>
          <w:p w14:paraId="4BF6C0E9" w14:textId="77777777" w:rsidR="00000000" w:rsidRDefault="00195E73">
            <w:pPr>
              <w:ind w:hanging="180"/>
              <w:divId w:val="382944383"/>
              <w:rPr>
                <w:rFonts w:eastAsia="Times New Roman"/>
              </w:rPr>
            </w:pPr>
            <w:r>
              <w:rPr>
                <w:rFonts w:eastAsia="Times New Roman"/>
                <w:color w:val="000000"/>
                <w:sz w:val="12"/>
                <w:szCs w:val="12"/>
              </w:rPr>
              <w:t>Depreciation and amortizatio</w:t>
            </w:r>
            <w:r>
              <w:rPr>
                <w:rFonts w:eastAsia="Times New Roman"/>
                <w:color w:val="000000"/>
                <w:sz w:val="12"/>
                <w:szCs w:val="12"/>
              </w:rPr>
              <w:t>n</w:t>
            </w:r>
          </w:p>
        </w:tc>
        <w:tc>
          <w:tcPr>
            <w:tcW w:w="0" w:type="auto"/>
            <w:shd w:val="clear" w:color="auto" w:fill="FFFFFF"/>
            <w:tcMar>
              <w:top w:w="30" w:type="dxa"/>
              <w:left w:w="20" w:type="dxa"/>
              <w:bottom w:w="30" w:type="dxa"/>
              <w:right w:w="15" w:type="dxa"/>
            </w:tcMar>
            <w:vAlign w:val="bottom"/>
            <w:hideMark/>
          </w:tcPr>
          <w:p w14:paraId="54539198"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2505641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ADD811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EAE8581"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8449583"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4A286894" w14:textId="77777777" w:rsidR="00000000" w:rsidRDefault="00195E73">
            <w:pPr>
              <w:jc w:val="right"/>
              <w:rPr>
                <w:rFonts w:eastAsia="Times New Roman"/>
              </w:rPr>
            </w:pPr>
            <w:r>
              <w:rPr>
                <w:rFonts w:eastAsia="Times New Roman"/>
                <w:color w:val="000000"/>
                <w:sz w:val="12"/>
                <w:szCs w:val="12"/>
              </w:rPr>
              <w:t>339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B40D32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0F058E7"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F8F6D6F"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2C661B29" w14:textId="77777777" w:rsidR="00000000" w:rsidRDefault="00195E73">
            <w:pPr>
              <w:jc w:val="right"/>
              <w:rPr>
                <w:rFonts w:eastAsia="Times New Roman"/>
              </w:rPr>
            </w:pPr>
            <w:r>
              <w:rPr>
                <w:rFonts w:eastAsia="Times New Roman"/>
                <w:color w:val="000000"/>
                <w:sz w:val="12"/>
                <w:szCs w:val="12"/>
              </w:rPr>
              <w:t>92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42CB39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1F2441B"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662B85A4"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2EB2C982" w14:textId="77777777" w:rsidR="00000000" w:rsidRDefault="00195E73">
            <w:pPr>
              <w:jc w:val="right"/>
              <w:rPr>
                <w:rFonts w:eastAsia="Times New Roman"/>
              </w:rPr>
            </w:pPr>
            <w:r>
              <w:rPr>
                <w:rFonts w:eastAsia="Times New Roman"/>
                <w:color w:val="000000"/>
                <w:sz w:val="12"/>
                <w:szCs w:val="12"/>
              </w:rPr>
              <w:t>26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BE94D6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04B45B4"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2BDE9B3"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0ABB53AB" w14:textId="77777777" w:rsidR="00000000" w:rsidRDefault="00195E73">
            <w:pPr>
              <w:jc w:val="right"/>
              <w:rPr>
                <w:rFonts w:eastAsia="Times New Roman"/>
              </w:rPr>
            </w:pPr>
            <w:r>
              <w:rPr>
                <w:rFonts w:eastAsia="Times New Roman"/>
                <w:color w:val="000000"/>
                <w:sz w:val="12"/>
                <w:szCs w:val="12"/>
              </w:rPr>
              <w:t>18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F85803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F94A78E"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4ECC9CE"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5B06A7CB" w14:textId="77777777" w:rsidR="00000000" w:rsidRDefault="00195E73">
            <w:pPr>
              <w:jc w:val="right"/>
              <w:rPr>
                <w:rFonts w:eastAsia="Times New Roman"/>
              </w:rPr>
            </w:pPr>
            <w:r>
              <w:rPr>
                <w:rFonts w:eastAsia="Times New Roman"/>
                <w:color w:val="000000"/>
                <w:sz w:val="12"/>
                <w:szCs w:val="12"/>
              </w:rPr>
              <w:t>19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9600D4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4EA6AA1"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0099CC6"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5BD01C30" w14:textId="77777777" w:rsidR="00000000" w:rsidRDefault="00195E73">
            <w:pPr>
              <w:jc w:val="right"/>
              <w:rPr>
                <w:rFonts w:eastAsia="Times New Roman"/>
              </w:rPr>
            </w:pPr>
            <w:r>
              <w:rPr>
                <w:rFonts w:eastAsia="Times New Roman"/>
                <w:color w:val="000000"/>
                <w:sz w:val="12"/>
                <w:szCs w:val="12"/>
              </w:rPr>
              <w:t>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9D6497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CCDF10B"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3A4E20D"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7780E942" w14:textId="77777777" w:rsidR="00000000" w:rsidRDefault="00195E73">
            <w:pPr>
              <w:jc w:val="right"/>
              <w:rPr>
                <w:rFonts w:eastAsia="Times New Roman"/>
              </w:rPr>
            </w:pPr>
            <w:r>
              <w:rPr>
                <w:rFonts w:eastAsia="Times New Roman"/>
                <w:color w:val="000000"/>
                <w:sz w:val="12"/>
                <w:szCs w:val="12"/>
              </w:rPr>
              <w:t>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7816F5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B98C827"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F434375"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727F975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3DD315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7BB409A"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65AA5E43"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53EF162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63243B2"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215BAF80"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5687EF1"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508</w:t>
            </w:r>
            <w:r>
              <w:rPr>
                <w:rFonts w:eastAsia="Times New Roman"/>
                <w:color w:val="000000"/>
                <w:sz w:val="12"/>
                <w:szCs w:val="12"/>
              </w:rPr>
              <w:t> </w:t>
            </w:r>
            <w:r>
              <w:rPr>
                <w:rFonts w:eastAsia="Times New Roman"/>
                <w:color w:val="000000"/>
                <w:sz w:val="12"/>
                <w:szCs w:val="12"/>
              </w:rPr>
              <w:t> </w:t>
            </w:r>
          </w:p>
        </w:tc>
      </w:tr>
    </w:tbl>
    <w:p w14:paraId="764FFA9E" w14:textId="77777777" w:rsidR="00000000" w:rsidRDefault="00195E73">
      <w:pPr>
        <w:divId w:val="496068906"/>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40"/>
        <w:gridCol w:w="1408"/>
        <w:gridCol w:w="39"/>
        <w:gridCol w:w="96"/>
        <w:gridCol w:w="443"/>
        <w:gridCol w:w="85"/>
        <w:gridCol w:w="36"/>
        <w:gridCol w:w="36"/>
        <w:gridCol w:w="36"/>
        <w:gridCol w:w="95"/>
        <w:gridCol w:w="315"/>
        <w:gridCol w:w="65"/>
        <w:gridCol w:w="36"/>
        <w:gridCol w:w="36"/>
        <w:gridCol w:w="36"/>
        <w:gridCol w:w="96"/>
        <w:gridCol w:w="469"/>
        <w:gridCol w:w="85"/>
        <w:gridCol w:w="36"/>
        <w:gridCol w:w="36"/>
        <w:gridCol w:w="36"/>
        <w:gridCol w:w="96"/>
        <w:gridCol w:w="407"/>
        <w:gridCol w:w="83"/>
        <w:gridCol w:w="36"/>
        <w:gridCol w:w="36"/>
        <w:gridCol w:w="36"/>
        <w:gridCol w:w="95"/>
        <w:gridCol w:w="225"/>
        <w:gridCol w:w="65"/>
        <w:gridCol w:w="36"/>
        <w:gridCol w:w="36"/>
        <w:gridCol w:w="36"/>
        <w:gridCol w:w="95"/>
        <w:gridCol w:w="225"/>
        <w:gridCol w:w="65"/>
        <w:gridCol w:w="36"/>
        <w:gridCol w:w="36"/>
        <w:gridCol w:w="36"/>
        <w:gridCol w:w="96"/>
        <w:gridCol w:w="290"/>
        <w:gridCol w:w="78"/>
        <w:gridCol w:w="36"/>
        <w:gridCol w:w="36"/>
        <w:gridCol w:w="36"/>
        <w:gridCol w:w="96"/>
        <w:gridCol w:w="257"/>
        <w:gridCol w:w="78"/>
        <w:gridCol w:w="36"/>
        <w:gridCol w:w="36"/>
        <w:gridCol w:w="36"/>
        <w:gridCol w:w="95"/>
        <w:gridCol w:w="315"/>
        <w:gridCol w:w="65"/>
        <w:gridCol w:w="36"/>
        <w:gridCol w:w="36"/>
        <w:gridCol w:w="36"/>
        <w:gridCol w:w="96"/>
        <w:gridCol w:w="390"/>
        <w:gridCol w:w="75"/>
        <w:gridCol w:w="36"/>
        <w:gridCol w:w="36"/>
        <w:gridCol w:w="714"/>
      </w:tblGrid>
      <w:tr w:rsidR="00000000" w14:paraId="1F7D5B98" w14:textId="77777777">
        <w:trPr>
          <w:divId w:val="1512376030"/>
        </w:trPr>
        <w:tc>
          <w:tcPr>
            <w:tcW w:w="50" w:type="pct"/>
            <w:vAlign w:val="center"/>
            <w:hideMark/>
          </w:tcPr>
          <w:p w14:paraId="754E7F73" w14:textId="77777777" w:rsidR="00000000" w:rsidRDefault="00195E73">
            <w:pPr>
              <w:rPr>
                <w:rFonts w:eastAsia="Times New Roman"/>
              </w:rPr>
            </w:pPr>
          </w:p>
        </w:tc>
        <w:tc>
          <w:tcPr>
            <w:tcW w:w="1065" w:type="pct"/>
            <w:vAlign w:val="center"/>
            <w:hideMark/>
          </w:tcPr>
          <w:p w14:paraId="5F7C48F3" w14:textId="77777777" w:rsidR="00000000" w:rsidRDefault="00195E73">
            <w:pPr>
              <w:rPr>
                <w:rFonts w:eastAsia="Times New Roman"/>
                <w:sz w:val="20"/>
                <w:szCs w:val="20"/>
              </w:rPr>
            </w:pPr>
          </w:p>
        </w:tc>
        <w:tc>
          <w:tcPr>
            <w:tcW w:w="50" w:type="pct"/>
            <w:vAlign w:val="center"/>
            <w:hideMark/>
          </w:tcPr>
          <w:p w14:paraId="3E077AF4" w14:textId="77777777" w:rsidR="00000000" w:rsidRDefault="00195E73">
            <w:pPr>
              <w:rPr>
                <w:rFonts w:eastAsia="Times New Roman"/>
                <w:sz w:val="20"/>
                <w:szCs w:val="20"/>
              </w:rPr>
            </w:pPr>
          </w:p>
        </w:tc>
        <w:tc>
          <w:tcPr>
            <w:tcW w:w="50" w:type="pct"/>
            <w:vAlign w:val="center"/>
            <w:hideMark/>
          </w:tcPr>
          <w:p w14:paraId="4004B2F7" w14:textId="77777777" w:rsidR="00000000" w:rsidRDefault="00195E73">
            <w:pPr>
              <w:rPr>
                <w:rFonts w:eastAsia="Times New Roman"/>
                <w:sz w:val="20"/>
                <w:szCs w:val="20"/>
              </w:rPr>
            </w:pPr>
          </w:p>
        </w:tc>
        <w:tc>
          <w:tcPr>
            <w:tcW w:w="259" w:type="pct"/>
            <w:vAlign w:val="center"/>
            <w:hideMark/>
          </w:tcPr>
          <w:p w14:paraId="0F527CC8" w14:textId="77777777" w:rsidR="00000000" w:rsidRDefault="00195E73">
            <w:pPr>
              <w:rPr>
                <w:rFonts w:eastAsia="Times New Roman"/>
                <w:sz w:val="20"/>
                <w:szCs w:val="20"/>
              </w:rPr>
            </w:pPr>
          </w:p>
        </w:tc>
        <w:tc>
          <w:tcPr>
            <w:tcW w:w="50" w:type="pct"/>
            <w:vAlign w:val="center"/>
            <w:hideMark/>
          </w:tcPr>
          <w:p w14:paraId="6A89D055" w14:textId="77777777" w:rsidR="00000000" w:rsidRDefault="00195E73">
            <w:pPr>
              <w:rPr>
                <w:rFonts w:eastAsia="Times New Roman"/>
                <w:sz w:val="20"/>
                <w:szCs w:val="20"/>
              </w:rPr>
            </w:pPr>
          </w:p>
        </w:tc>
        <w:tc>
          <w:tcPr>
            <w:tcW w:w="5" w:type="pct"/>
            <w:vAlign w:val="center"/>
            <w:hideMark/>
          </w:tcPr>
          <w:p w14:paraId="440A3840" w14:textId="77777777" w:rsidR="00000000" w:rsidRDefault="00195E73">
            <w:pPr>
              <w:rPr>
                <w:rFonts w:eastAsia="Times New Roman"/>
                <w:sz w:val="20"/>
                <w:szCs w:val="20"/>
              </w:rPr>
            </w:pPr>
          </w:p>
        </w:tc>
        <w:tc>
          <w:tcPr>
            <w:tcW w:w="26" w:type="pct"/>
            <w:vAlign w:val="center"/>
            <w:hideMark/>
          </w:tcPr>
          <w:p w14:paraId="571CD441" w14:textId="77777777" w:rsidR="00000000" w:rsidRDefault="00195E73">
            <w:pPr>
              <w:rPr>
                <w:rFonts w:eastAsia="Times New Roman"/>
                <w:sz w:val="20"/>
                <w:szCs w:val="20"/>
              </w:rPr>
            </w:pPr>
          </w:p>
        </w:tc>
        <w:tc>
          <w:tcPr>
            <w:tcW w:w="5" w:type="pct"/>
            <w:vAlign w:val="center"/>
            <w:hideMark/>
          </w:tcPr>
          <w:p w14:paraId="080795C3" w14:textId="77777777" w:rsidR="00000000" w:rsidRDefault="00195E73">
            <w:pPr>
              <w:rPr>
                <w:rFonts w:eastAsia="Times New Roman"/>
                <w:sz w:val="20"/>
                <w:szCs w:val="20"/>
              </w:rPr>
            </w:pPr>
          </w:p>
        </w:tc>
        <w:tc>
          <w:tcPr>
            <w:tcW w:w="50" w:type="pct"/>
            <w:vAlign w:val="center"/>
            <w:hideMark/>
          </w:tcPr>
          <w:p w14:paraId="26090CA5" w14:textId="77777777" w:rsidR="00000000" w:rsidRDefault="00195E73">
            <w:pPr>
              <w:rPr>
                <w:rFonts w:eastAsia="Times New Roman"/>
                <w:sz w:val="20"/>
                <w:szCs w:val="20"/>
              </w:rPr>
            </w:pPr>
          </w:p>
        </w:tc>
        <w:tc>
          <w:tcPr>
            <w:tcW w:w="200" w:type="pct"/>
            <w:vAlign w:val="center"/>
            <w:hideMark/>
          </w:tcPr>
          <w:p w14:paraId="4436CF43" w14:textId="77777777" w:rsidR="00000000" w:rsidRDefault="00195E73">
            <w:pPr>
              <w:rPr>
                <w:rFonts w:eastAsia="Times New Roman"/>
                <w:sz w:val="20"/>
                <w:szCs w:val="20"/>
              </w:rPr>
            </w:pPr>
          </w:p>
        </w:tc>
        <w:tc>
          <w:tcPr>
            <w:tcW w:w="50" w:type="pct"/>
            <w:vAlign w:val="center"/>
            <w:hideMark/>
          </w:tcPr>
          <w:p w14:paraId="05BA1576" w14:textId="77777777" w:rsidR="00000000" w:rsidRDefault="00195E73">
            <w:pPr>
              <w:rPr>
                <w:rFonts w:eastAsia="Times New Roman"/>
                <w:sz w:val="20"/>
                <w:szCs w:val="20"/>
              </w:rPr>
            </w:pPr>
          </w:p>
        </w:tc>
        <w:tc>
          <w:tcPr>
            <w:tcW w:w="5" w:type="pct"/>
            <w:vAlign w:val="center"/>
            <w:hideMark/>
          </w:tcPr>
          <w:p w14:paraId="4ED5F45B" w14:textId="77777777" w:rsidR="00000000" w:rsidRDefault="00195E73">
            <w:pPr>
              <w:rPr>
                <w:rFonts w:eastAsia="Times New Roman"/>
                <w:sz w:val="20"/>
                <w:szCs w:val="20"/>
              </w:rPr>
            </w:pPr>
          </w:p>
        </w:tc>
        <w:tc>
          <w:tcPr>
            <w:tcW w:w="26" w:type="pct"/>
            <w:vAlign w:val="center"/>
            <w:hideMark/>
          </w:tcPr>
          <w:p w14:paraId="010C3283" w14:textId="77777777" w:rsidR="00000000" w:rsidRDefault="00195E73">
            <w:pPr>
              <w:rPr>
                <w:rFonts w:eastAsia="Times New Roman"/>
                <w:sz w:val="20"/>
                <w:szCs w:val="20"/>
              </w:rPr>
            </w:pPr>
          </w:p>
        </w:tc>
        <w:tc>
          <w:tcPr>
            <w:tcW w:w="5" w:type="pct"/>
            <w:vAlign w:val="center"/>
            <w:hideMark/>
          </w:tcPr>
          <w:p w14:paraId="4BFA6AD6" w14:textId="77777777" w:rsidR="00000000" w:rsidRDefault="00195E73">
            <w:pPr>
              <w:rPr>
                <w:rFonts w:eastAsia="Times New Roman"/>
                <w:sz w:val="20"/>
                <w:szCs w:val="20"/>
              </w:rPr>
            </w:pPr>
          </w:p>
        </w:tc>
        <w:tc>
          <w:tcPr>
            <w:tcW w:w="50" w:type="pct"/>
            <w:vAlign w:val="center"/>
            <w:hideMark/>
          </w:tcPr>
          <w:p w14:paraId="60E163C4" w14:textId="77777777" w:rsidR="00000000" w:rsidRDefault="00195E73">
            <w:pPr>
              <w:rPr>
                <w:rFonts w:eastAsia="Times New Roman"/>
                <w:sz w:val="20"/>
                <w:szCs w:val="20"/>
              </w:rPr>
            </w:pPr>
          </w:p>
        </w:tc>
        <w:tc>
          <w:tcPr>
            <w:tcW w:w="273" w:type="pct"/>
            <w:vAlign w:val="center"/>
            <w:hideMark/>
          </w:tcPr>
          <w:p w14:paraId="41BD3B35" w14:textId="77777777" w:rsidR="00000000" w:rsidRDefault="00195E73">
            <w:pPr>
              <w:rPr>
                <w:rFonts w:eastAsia="Times New Roman"/>
                <w:sz w:val="20"/>
                <w:szCs w:val="20"/>
              </w:rPr>
            </w:pPr>
          </w:p>
        </w:tc>
        <w:tc>
          <w:tcPr>
            <w:tcW w:w="50" w:type="pct"/>
            <w:vAlign w:val="center"/>
            <w:hideMark/>
          </w:tcPr>
          <w:p w14:paraId="13953467" w14:textId="77777777" w:rsidR="00000000" w:rsidRDefault="00195E73">
            <w:pPr>
              <w:rPr>
                <w:rFonts w:eastAsia="Times New Roman"/>
                <w:sz w:val="20"/>
                <w:szCs w:val="20"/>
              </w:rPr>
            </w:pPr>
          </w:p>
        </w:tc>
        <w:tc>
          <w:tcPr>
            <w:tcW w:w="5" w:type="pct"/>
            <w:vAlign w:val="center"/>
            <w:hideMark/>
          </w:tcPr>
          <w:p w14:paraId="5E080638" w14:textId="77777777" w:rsidR="00000000" w:rsidRDefault="00195E73">
            <w:pPr>
              <w:rPr>
                <w:rFonts w:eastAsia="Times New Roman"/>
                <w:sz w:val="20"/>
                <w:szCs w:val="20"/>
              </w:rPr>
            </w:pPr>
          </w:p>
        </w:tc>
        <w:tc>
          <w:tcPr>
            <w:tcW w:w="26" w:type="pct"/>
            <w:vAlign w:val="center"/>
            <w:hideMark/>
          </w:tcPr>
          <w:p w14:paraId="74E37206" w14:textId="77777777" w:rsidR="00000000" w:rsidRDefault="00195E73">
            <w:pPr>
              <w:rPr>
                <w:rFonts w:eastAsia="Times New Roman"/>
                <w:sz w:val="20"/>
                <w:szCs w:val="20"/>
              </w:rPr>
            </w:pPr>
          </w:p>
        </w:tc>
        <w:tc>
          <w:tcPr>
            <w:tcW w:w="5" w:type="pct"/>
            <w:vAlign w:val="center"/>
            <w:hideMark/>
          </w:tcPr>
          <w:p w14:paraId="549A4EA8" w14:textId="77777777" w:rsidR="00000000" w:rsidRDefault="00195E73">
            <w:pPr>
              <w:rPr>
                <w:rFonts w:eastAsia="Times New Roman"/>
                <w:sz w:val="20"/>
                <w:szCs w:val="20"/>
              </w:rPr>
            </w:pPr>
          </w:p>
        </w:tc>
        <w:tc>
          <w:tcPr>
            <w:tcW w:w="50" w:type="pct"/>
            <w:vAlign w:val="center"/>
            <w:hideMark/>
          </w:tcPr>
          <w:p w14:paraId="3EC87440" w14:textId="77777777" w:rsidR="00000000" w:rsidRDefault="00195E73">
            <w:pPr>
              <w:rPr>
                <w:rFonts w:eastAsia="Times New Roman"/>
                <w:sz w:val="20"/>
                <w:szCs w:val="20"/>
              </w:rPr>
            </w:pPr>
          </w:p>
        </w:tc>
        <w:tc>
          <w:tcPr>
            <w:tcW w:w="244" w:type="pct"/>
            <w:vAlign w:val="center"/>
            <w:hideMark/>
          </w:tcPr>
          <w:p w14:paraId="2B208056" w14:textId="77777777" w:rsidR="00000000" w:rsidRDefault="00195E73">
            <w:pPr>
              <w:rPr>
                <w:rFonts w:eastAsia="Times New Roman"/>
                <w:sz w:val="20"/>
                <w:szCs w:val="20"/>
              </w:rPr>
            </w:pPr>
          </w:p>
        </w:tc>
        <w:tc>
          <w:tcPr>
            <w:tcW w:w="50" w:type="pct"/>
            <w:vAlign w:val="center"/>
            <w:hideMark/>
          </w:tcPr>
          <w:p w14:paraId="18E828DA" w14:textId="77777777" w:rsidR="00000000" w:rsidRDefault="00195E73">
            <w:pPr>
              <w:rPr>
                <w:rFonts w:eastAsia="Times New Roman"/>
                <w:sz w:val="20"/>
                <w:szCs w:val="20"/>
              </w:rPr>
            </w:pPr>
          </w:p>
        </w:tc>
        <w:tc>
          <w:tcPr>
            <w:tcW w:w="5" w:type="pct"/>
            <w:vAlign w:val="center"/>
            <w:hideMark/>
          </w:tcPr>
          <w:p w14:paraId="1D740339" w14:textId="77777777" w:rsidR="00000000" w:rsidRDefault="00195E73">
            <w:pPr>
              <w:rPr>
                <w:rFonts w:eastAsia="Times New Roman"/>
                <w:sz w:val="20"/>
                <w:szCs w:val="20"/>
              </w:rPr>
            </w:pPr>
          </w:p>
        </w:tc>
        <w:tc>
          <w:tcPr>
            <w:tcW w:w="26" w:type="pct"/>
            <w:vAlign w:val="center"/>
            <w:hideMark/>
          </w:tcPr>
          <w:p w14:paraId="06AC54E3" w14:textId="77777777" w:rsidR="00000000" w:rsidRDefault="00195E73">
            <w:pPr>
              <w:rPr>
                <w:rFonts w:eastAsia="Times New Roman"/>
                <w:sz w:val="20"/>
                <w:szCs w:val="20"/>
              </w:rPr>
            </w:pPr>
          </w:p>
        </w:tc>
        <w:tc>
          <w:tcPr>
            <w:tcW w:w="5" w:type="pct"/>
            <w:vAlign w:val="center"/>
            <w:hideMark/>
          </w:tcPr>
          <w:p w14:paraId="1C413E44" w14:textId="77777777" w:rsidR="00000000" w:rsidRDefault="00195E73">
            <w:pPr>
              <w:rPr>
                <w:rFonts w:eastAsia="Times New Roman"/>
                <w:sz w:val="20"/>
                <w:szCs w:val="20"/>
              </w:rPr>
            </w:pPr>
          </w:p>
        </w:tc>
        <w:tc>
          <w:tcPr>
            <w:tcW w:w="50" w:type="pct"/>
            <w:vAlign w:val="center"/>
            <w:hideMark/>
          </w:tcPr>
          <w:p w14:paraId="0DFE7A38" w14:textId="77777777" w:rsidR="00000000" w:rsidRDefault="00195E73">
            <w:pPr>
              <w:rPr>
                <w:rFonts w:eastAsia="Times New Roman"/>
                <w:sz w:val="20"/>
                <w:szCs w:val="20"/>
              </w:rPr>
            </w:pPr>
          </w:p>
        </w:tc>
        <w:tc>
          <w:tcPr>
            <w:tcW w:w="156" w:type="pct"/>
            <w:vAlign w:val="center"/>
            <w:hideMark/>
          </w:tcPr>
          <w:p w14:paraId="76A35CB4" w14:textId="77777777" w:rsidR="00000000" w:rsidRDefault="00195E73">
            <w:pPr>
              <w:rPr>
                <w:rFonts w:eastAsia="Times New Roman"/>
                <w:sz w:val="20"/>
                <w:szCs w:val="20"/>
              </w:rPr>
            </w:pPr>
          </w:p>
        </w:tc>
        <w:tc>
          <w:tcPr>
            <w:tcW w:w="50" w:type="pct"/>
            <w:vAlign w:val="center"/>
            <w:hideMark/>
          </w:tcPr>
          <w:p w14:paraId="74286597" w14:textId="77777777" w:rsidR="00000000" w:rsidRDefault="00195E73">
            <w:pPr>
              <w:rPr>
                <w:rFonts w:eastAsia="Times New Roman"/>
                <w:sz w:val="20"/>
                <w:szCs w:val="20"/>
              </w:rPr>
            </w:pPr>
          </w:p>
        </w:tc>
        <w:tc>
          <w:tcPr>
            <w:tcW w:w="5" w:type="pct"/>
            <w:vAlign w:val="center"/>
            <w:hideMark/>
          </w:tcPr>
          <w:p w14:paraId="4CCE49F7" w14:textId="77777777" w:rsidR="00000000" w:rsidRDefault="00195E73">
            <w:pPr>
              <w:rPr>
                <w:rFonts w:eastAsia="Times New Roman"/>
                <w:sz w:val="20"/>
                <w:szCs w:val="20"/>
              </w:rPr>
            </w:pPr>
          </w:p>
        </w:tc>
        <w:tc>
          <w:tcPr>
            <w:tcW w:w="26" w:type="pct"/>
            <w:vAlign w:val="center"/>
            <w:hideMark/>
          </w:tcPr>
          <w:p w14:paraId="20F8692A" w14:textId="77777777" w:rsidR="00000000" w:rsidRDefault="00195E73">
            <w:pPr>
              <w:rPr>
                <w:rFonts w:eastAsia="Times New Roman"/>
                <w:sz w:val="20"/>
                <w:szCs w:val="20"/>
              </w:rPr>
            </w:pPr>
          </w:p>
        </w:tc>
        <w:tc>
          <w:tcPr>
            <w:tcW w:w="5" w:type="pct"/>
            <w:vAlign w:val="center"/>
            <w:hideMark/>
          </w:tcPr>
          <w:p w14:paraId="74E74154" w14:textId="77777777" w:rsidR="00000000" w:rsidRDefault="00195E73">
            <w:pPr>
              <w:rPr>
                <w:rFonts w:eastAsia="Times New Roman"/>
                <w:sz w:val="20"/>
                <w:szCs w:val="20"/>
              </w:rPr>
            </w:pPr>
          </w:p>
        </w:tc>
        <w:tc>
          <w:tcPr>
            <w:tcW w:w="50" w:type="pct"/>
            <w:vAlign w:val="center"/>
            <w:hideMark/>
          </w:tcPr>
          <w:p w14:paraId="66C221E2" w14:textId="77777777" w:rsidR="00000000" w:rsidRDefault="00195E73">
            <w:pPr>
              <w:rPr>
                <w:rFonts w:eastAsia="Times New Roman"/>
                <w:sz w:val="20"/>
                <w:szCs w:val="20"/>
              </w:rPr>
            </w:pPr>
          </w:p>
        </w:tc>
        <w:tc>
          <w:tcPr>
            <w:tcW w:w="127" w:type="pct"/>
            <w:vAlign w:val="center"/>
            <w:hideMark/>
          </w:tcPr>
          <w:p w14:paraId="409ACA5F" w14:textId="77777777" w:rsidR="00000000" w:rsidRDefault="00195E73">
            <w:pPr>
              <w:rPr>
                <w:rFonts w:eastAsia="Times New Roman"/>
                <w:sz w:val="20"/>
                <w:szCs w:val="20"/>
              </w:rPr>
            </w:pPr>
          </w:p>
        </w:tc>
        <w:tc>
          <w:tcPr>
            <w:tcW w:w="50" w:type="pct"/>
            <w:vAlign w:val="center"/>
            <w:hideMark/>
          </w:tcPr>
          <w:p w14:paraId="0D526E3D" w14:textId="77777777" w:rsidR="00000000" w:rsidRDefault="00195E73">
            <w:pPr>
              <w:rPr>
                <w:rFonts w:eastAsia="Times New Roman"/>
                <w:sz w:val="20"/>
                <w:szCs w:val="20"/>
              </w:rPr>
            </w:pPr>
          </w:p>
        </w:tc>
        <w:tc>
          <w:tcPr>
            <w:tcW w:w="5" w:type="pct"/>
            <w:vAlign w:val="center"/>
            <w:hideMark/>
          </w:tcPr>
          <w:p w14:paraId="2E5BD7D4" w14:textId="77777777" w:rsidR="00000000" w:rsidRDefault="00195E73">
            <w:pPr>
              <w:rPr>
                <w:rFonts w:eastAsia="Times New Roman"/>
                <w:sz w:val="20"/>
                <w:szCs w:val="20"/>
              </w:rPr>
            </w:pPr>
          </w:p>
        </w:tc>
        <w:tc>
          <w:tcPr>
            <w:tcW w:w="26" w:type="pct"/>
            <w:vAlign w:val="center"/>
            <w:hideMark/>
          </w:tcPr>
          <w:p w14:paraId="1473A64D" w14:textId="77777777" w:rsidR="00000000" w:rsidRDefault="00195E73">
            <w:pPr>
              <w:rPr>
                <w:rFonts w:eastAsia="Times New Roman"/>
                <w:sz w:val="20"/>
                <w:szCs w:val="20"/>
              </w:rPr>
            </w:pPr>
          </w:p>
        </w:tc>
        <w:tc>
          <w:tcPr>
            <w:tcW w:w="5" w:type="pct"/>
            <w:vAlign w:val="center"/>
            <w:hideMark/>
          </w:tcPr>
          <w:p w14:paraId="33BF99FC" w14:textId="77777777" w:rsidR="00000000" w:rsidRDefault="00195E73">
            <w:pPr>
              <w:rPr>
                <w:rFonts w:eastAsia="Times New Roman"/>
                <w:sz w:val="20"/>
                <w:szCs w:val="20"/>
              </w:rPr>
            </w:pPr>
          </w:p>
        </w:tc>
        <w:tc>
          <w:tcPr>
            <w:tcW w:w="50" w:type="pct"/>
            <w:vAlign w:val="center"/>
            <w:hideMark/>
          </w:tcPr>
          <w:p w14:paraId="5883335C" w14:textId="77777777" w:rsidR="00000000" w:rsidRDefault="00195E73">
            <w:pPr>
              <w:rPr>
                <w:rFonts w:eastAsia="Times New Roman"/>
                <w:sz w:val="20"/>
                <w:szCs w:val="20"/>
              </w:rPr>
            </w:pPr>
          </w:p>
        </w:tc>
        <w:tc>
          <w:tcPr>
            <w:tcW w:w="185" w:type="pct"/>
            <w:vAlign w:val="center"/>
            <w:hideMark/>
          </w:tcPr>
          <w:p w14:paraId="3C562FF5" w14:textId="77777777" w:rsidR="00000000" w:rsidRDefault="00195E73">
            <w:pPr>
              <w:rPr>
                <w:rFonts w:eastAsia="Times New Roman"/>
                <w:sz w:val="20"/>
                <w:szCs w:val="20"/>
              </w:rPr>
            </w:pPr>
          </w:p>
        </w:tc>
        <w:tc>
          <w:tcPr>
            <w:tcW w:w="50" w:type="pct"/>
            <w:vAlign w:val="center"/>
            <w:hideMark/>
          </w:tcPr>
          <w:p w14:paraId="517A942F" w14:textId="77777777" w:rsidR="00000000" w:rsidRDefault="00195E73">
            <w:pPr>
              <w:rPr>
                <w:rFonts w:eastAsia="Times New Roman"/>
                <w:sz w:val="20"/>
                <w:szCs w:val="20"/>
              </w:rPr>
            </w:pPr>
          </w:p>
        </w:tc>
        <w:tc>
          <w:tcPr>
            <w:tcW w:w="5" w:type="pct"/>
            <w:vAlign w:val="center"/>
            <w:hideMark/>
          </w:tcPr>
          <w:p w14:paraId="6693A22B" w14:textId="77777777" w:rsidR="00000000" w:rsidRDefault="00195E73">
            <w:pPr>
              <w:rPr>
                <w:rFonts w:eastAsia="Times New Roman"/>
                <w:sz w:val="20"/>
                <w:szCs w:val="20"/>
              </w:rPr>
            </w:pPr>
          </w:p>
        </w:tc>
        <w:tc>
          <w:tcPr>
            <w:tcW w:w="26" w:type="pct"/>
            <w:vAlign w:val="center"/>
            <w:hideMark/>
          </w:tcPr>
          <w:p w14:paraId="48C13652" w14:textId="77777777" w:rsidR="00000000" w:rsidRDefault="00195E73">
            <w:pPr>
              <w:rPr>
                <w:rFonts w:eastAsia="Times New Roman"/>
                <w:sz w:val="20"/>
                <w:szCs w:val="20"/>
              </w:rPr>
            </w:pPr>
          </w:p>
        </w:tc>
        <w:tc>
          <w:tcPr>
            <w:tcW w:w="5" w:type="pct"/>
            <w:vAlign w:val="center"/>
            <w:hideMark/>
          </w:tcPr>
          <w:p w14:paraId="374DB471" w14:textId="77777777" w:rsidR="00000000" w:rsidRDefault="00195E73">
            <w:pPr>
              <w:rPr>
                <w:rFonts w:eastAsia="Times New Roman"/>
                <w:sz w:val="20"/>
                <w:szCs w:val="20"/>
              </w:rPr>
            </w:pPr>
          </w:p>
        </w:tc>
        <w:tc>
          <w:tcPr>
            <w:tcW w:w="50" w:type="pct"/>
            <w:vAlign w:val="center"/>
            <w:hideMark/>
          </w:tcPr>
          <w:p w14:paraId="3B1025EC" w14:textId="77777777" w:rsidR="00000000" w:rsidRDefault="00195E73">
            <w:pPr>
              <w:rPr>
                <w:rFonts w:eastAsia="Times New Roman"/>
                <w:sz w:val="20"/>
                <w:szCs w:val="20"/>
              </w:rPr>
            </w:pPr>
          </w:p>
        </w:tc>
        <w:tc>
          <w:tcPr>
            <w:tcW w:w="163" w:type="pct"/>
            <w:vAlign w:val="center"/>
            <w:hideMark/>
          </w:tcPr>
          <w:p w14:paraId="758BA486" w14:textId="77777777" w:rsidR="00000000" w:rsidRDefault="00195E73">
            <w:pPr>
              <w:rPr>
                <w:rFonts w:eastAsia="Times New Roman"/>
                <w:sz w:val="20"/>
                <w:szCs w:val="20"/>
              </w:rPr>
            </w:pPr>
          </w:p>
        </w:tc>
        <w:tc>
          <w:tcPr>
            <w:tcW w:w="50" w:type="pct"/>
            <w:vAlign w:val="center"/>
            <w:hideMark/>
          </w:tcPr>
          <w:p w14:paraId="0933A810" w14:textId="77777777" w:rsidR="00000000" w:rsidRDefault="00195E73">
            <w:pPr>
              <w:rPr>
                <w:rFonts w:eastAsia="Times New Roman"/>
                <w:sz w:val="20"/>
                <w:szCs w:val="20"/>
              </w:rPr>
            </w:pPr>
          </w:p>
        </w:tc>
        <w:tc>
          <w:tcPr>
            <w:tcW w:w="5" w:type="pct"/>
            <w:vAlign w:val="center"/>
            <w:hideMark/>
          </w:tcPr>
          <w:p w14:paraId="1DC31933" w14:textId="77777777" w:rsidR="00000000" w:rsidRDefault="00195E73">
            <w:pPr>
              <w:rPr>
                <w:rFonts w:eastAsia="Times New Roman"/>
                <w:sz w:val="20"/>
                <w:szCs w:val="20"/>
              </w:rPr>
            </w:pPr>
          </w:p>
        </w:tc>
        <w:tc>
          <w:tcPr>
            <w:tcW w:w="26" w:type="pct"/>
            <w:vAlign w:val="center"/>
            <w:hideMark/>
          </w:tcPr>
          <w:p w14:paraId="60AA7385" w14:textId="77777777" w:rsidR="00000000" w:rsidRDefault="00195E73">
            <w:pPr>
              <w:rPr>
                <w:rFonts w:eastAsia="Times New Roman"/>
                <w:sz w:val="20"/>
                <w:szCs w:val="20"/>
              </w:rPr>
            </w:pPr>
          </w:p>
        </w:tc>
        <w:tc>
          <w:tcPr>
            <w:tcW w:w="5" w:type="pct"/>
            <w:vAlign w:val="center"/>
            <w:hideMark/>
          </w:tcPr>
          <w:p w14:paraId="061EA5CA" w14:textId="77777777" w:rsidR="00000000" w:rsidRDefault="00195E73">
            <w:pPr>
              <w:rPr>
                <w:rFonts w:eastAsia="Times New Roman"/>
                <w:sz w:val="20"/>
                <w:szCs w:val="20"/>
              </w:rPr>
            </w:pPr>
          </w:p>
        </w:tc>
        <w:tc>
          <w:tcPr>
            <w:tcW w:w="50" w:type="pct"/>
            <w:vAlign w:val="center"/>
            <w:hideMark/>
          </w:tcPr>
          <w:p w14:paraId="60CADC25" w14:textId="77777777" w:rsidR="00000000" w:rsidRDefault="00195E73">
            <w:pPr>
              <w:rPr>
                <w:rFonts w:eastAsia="Times New Roman"/>
                <w:sz w:val="20"/>
                <w:szCs w:val="20"/>
              </w:rPr>
            </w:pPr>
          </w:p>
        </w:tc>
        <w:tc>
          <w:tcPr>
            <w:tcW w:w="185" w:type="pct"/>
            <w:vAlign w:val="center"/>
            <w:hideMark/>
          </w:tcPr>
          <w:p w14:paraId="616C6642" w14:textId="77777777" w:rsidR="00000000" w:rsidRDefault="00195E73">
            <w:pPr>
              <w:rPr>
                <w:rFonts w:eastAsia="Times New Roman"/>
                <w:sz w:val="20"/>
                <w:szCs w:val="20"/>
              </w:rPr>
            </w:pPr>
          </w:p>
        </w:tc>
        <w:tc>
          <w:tcPr>
            <w:tcW w:w="50" w:type="pct"/>
            <w:vAlign w:val="center"/>
            <w:hideMark/>
          </w:tcPr>
          <w:p w14:paraId="169BE49F" w14:textId="77777777" w:rsidR="00000000" w:rsidRDefault="00195E73">
            <w:pPr>
              <w:rPr>
                <w:rFonts w:eastAsia="Times New Roman"/>
                <w:sz w:val="20"/>
                <w:szCs w:val="20"/>
              </w:rPr>
            </w:pPr>
          </w:p>
        </w:tc>
        <w:tc>
          <w:tcPr>
            <w:tcW w:w="5" w:type="pct"/>
            <w:vAlign w:val="center"/>
            <w:hideMark/>
          </w:tcPr>
          <w:p w14:paraId="759E57CA" w14:textId="77777777" w:rsidR="00000000" w:rsidRDefault="00195E73">
            <w:pPr>
              <w:rPr>
                <w:rFonts w:eastAsia="Times New Roman"/>
                <w:sz w:val="20"/>
                <w:szCs w:val="20"/>
              </w:rPr>
            </w:pPr>
          </w:p>
        </w:tc>
        <w:tc>
          <w:tcPr>
            <w:tcW w:w="26" w:type="pct"/>
            <w:vAlign w:val="center"/>
            <w:hideMark/>
          </w:tcPr>
          <w:p w14:paraId="569ACAC8" w14:textId="77777777" w:rsidR="00000000" w:rsidRDefault="00195E73">
            <w:pPr>
              <w:rPr>
                <w:rFonts w:eastAsia="Times New Roman"/>
                <w:sz w:val="20"/>
                <w:szCs w:val="20"/>
              </w:rPr>
            </w:pPr>
          </w:p>
        </w:tc>
        <w:tc>
          <w:tcPr>
            <w:tcW w:w="5" w:type="pct"/>
            <w:vAlign w:val="center"/>
            <w:hideMark/>
          </w:tcPr>
          <w:p w14:paraId="0B6231CD" w14:textId="77777777" w:rsidR="00000000" w:rsidRDefault="00195E73">
            <w:pPr>
              <w:rPr>
                <w:rFonts w:eastAsia="Times New Roman"/>
                <w:sz w:val="20"/>
                <w:szCs w:val="20"/>
              </w:rPr>
            </w:pPr>
          </w:p>
        </w:tc>
        <w:tc>
          <w:tcPr>
            <w:tcW w:w="50" w:type="pct"/>
            <w:vAlign w:val="center"/>
            <w:hideMark/>
          </w:tcPr>
          <w:p w14:paraId="511D4277" w14:textId="77777777" w:rsidR="00000000" w:rsidRDefault="00195E73">
            <w:pPr>
              <w:rPr>
                <w:rFonts w:eastAsia="Times New Roman"/>
                <w:sz w:val="20"/>
                <w:szCs w:val="20"/>
              </w:rPr>
            </w:pPr>
          </w:p>
        </w:tc>
        <w:tc>
          <w:tcPr>
            <w:tcW w:w="259" w:type="pct"/>
            <w:vAlign w:val="center"/>
            <w:hideMark/>
          </w:tcPr>
          <w:p w14:paraId="6A8BA386" w14:textId="77777777" w:rsidR="00000000" w:rsidRDefault="00195E73">
            <w:pPr>
              <w:rPr>
                <w:rFonts w:eastAsia="Times New Roman"/>
                <w:sz w:val="20"/>
                <w:szCs w:val="20"/>
              </w:rPr>
            </w:pPr>
          </w:p>
        </w:tc>
        <w:tc>
          <w:tcPr>
            <w:tcW w:w="50" w:type="pct"/>
            <w:vAlign w:val="center"/>
            <w:hideMark/>
          </w:tcPr>
          <w:p w14:paraId="0A0D32C9" w14:textId="77777777" w:rsidR="00000000" w:rsidRDefault="00195E73">
            <w:pPr>
              <w:rPr>
                <w:rFonts w:eastAsia="Times New Roman"/>
                <w:sz w:val="20"/>
                <w:szCs w:val="20"/>
              </w:rPr>
            </w:pPr>
          </w:p>
        </w:tc>
        <w:tc>
          <w:tcPr>
            <w:tcW w:w="5" w:type="pct"/>
            <w:vAlign w:val="center"/>
            <w:hideMark/>
          </w:tcPr>
          <w:p w14:paraId="3761FA19" w14:textId="77777777" w:rsidR="00000000" w:rsidRDefault="00195E73">
            <w:pPr>
              <w:rPr>
                <w:rFonts w:eastAsia="Times New Roman"/>
                <w:sz w:val="20"/>
                <w:szCs w:val="20"/>
              </w:rPr>
            </w:pPr>
          </w:p>
        </w:tc>
        <w:tc>
          <w:tcPr>
            <w:tcW w:w="26" w:type="pct"/>
            <w:vAlign w:val="center"/>
            <w:hideMark/>
          </w:tcPr>
          <w:p w14:paraId="44C469F2" w14:textId="77777777" w:rsidR="00000000" w:rsidRDefault="00195E73">
            <w:pPr>
              <w:rPr>
                <w:rFonts w:eastAsia="Times New Roman"/>
                <w:sz w:val="20"/>
                <w:szCs w:val="20"/>
              </w:rPr>
            </w:pPr>
          </w:p>
        </w:tc>
        <w:tc>
          <w:tcPr>
            <w:tcW w:w="5" w:type="pct"/>
            <w:vAlign w:val="center"/>
            <w:hideMark/>
          </w:tcPr>
          <w:p w14:paraId="3E215316" w14:textId="77777777" w:rsidR="00000000" w:rsidRDefault="00195E73">
            <w:pPr>
              <w:rPr>
                <w:rFonts w:eastAsia="Times New Roman"/>
                <w:sz w:val="20"/>
                <w:szCs w:val="20"/>
              </w:rPr>
            </w:pPr>
          </w:p>
        </w:tc>
      </w:tr>
      <w:tr w:rsidR="00000000" w14:paraId="566F7749" w14:textId="77777777">
        <w:trPr>
          <w:divId w:val="1512376030"/>
        </w:trPr>
        <w:tc>
          <w:tcPr>
            <w:tcW w:w="0" w:type="auto"/>
            <w:gridSpan w:val="3"/>
            <w:tcMar>
              <w:top w:w="15" w:type="dxa"/>
              <w:left w:w="20" w:type="dxa"/>
              <w:bottom w:w="15" w:type="dxa"/>
              <w:right w:w="20" w:type="dxa"/>
            </w:tcMar>
            <w:vAlign w:val="bottom"/>
            <w:hideMark/>
          </w:tcPr>
          <w:p w14:paraId="272F9F93" w14:textId="77777777" w:rsidR="00000000" w:rsidRDefault="00195E73">
            <w:pPr>
              <w:rPr>
                <w:rFonts w:eastAsia="Times New Roman"/>
                <w:sz w:val="20"/>
                <w:szCs w:val="20"/>
              </w:rPr>
            </w:pPr>
          </w:p>
        </w:tc>
        <w:tc>
          <w:tcPr>
            <w:tcW w:w="0" w:type="auto"/>
            <w:gridSpan w:val="59"/>
            <w:tcMar>
              <w:top w:w="30" w:type="dxa"/>
              <w:left w:w="20" w:type="dxa"/>
              <w:bottom w:w="30" w:type="dxa"/>
              <w:right w:w="20" w:type="dxa"/>
            </w:tcMar>
            <w:vAlign w:val="bottom"/>
            <w:hideMark/>
          </w:tcPr>
          <w:p w14:paraId="69099D92" w14:textId="77777777" w:rsidR="00000000" w:rsidRDefault="00195E73">
            <w:pPr>
              <w:jc w:val="center"/>
              <w:rPr>
                <w:rFonts w:eastAsia="Times New Roman"/>
              </w:rPr>
            </w:pPr>
            <w:r>
              <w:rPr>
                <w:rFonts w:eastAsia="Times New Roman"/>
                <w:b/>
                <w:bCs/>
                <w:color w:val="000000"/>
                <w:sz w:val="12"/>
                <w:szCs w:val="12"/>
              </w:rPr>
              <w:t>Year Ended December 31, 201</w:t>
            </w:r>
            <w:r>
              <w:rPr>
                <w:rFonts w:eastAsia="Times New Roman"/>
                <w:b/>
                <w:bCs/>
                <w:color w:val="000000"/>
                <w:sz w:val="12"/>
                <w:szCs w:val="12"/>
              </w:rPr>
              <w:t>7</w:t>
            </w:r>
          </w:p>
        </w:tc>
        <w:tc>
          <w:tcPr>
            <w:tcW w:w="0" w:type="auto"/>
            <w:vAlign w:val="center"/>
            <w:hideMark/>
          </w:tcPr>
          <w:p w14:paraId="30EEDBB5" w14:textId="77777777" w:rsidR="00000000" w:rsidRDefault="00195E73">
            <w:pPr>
              <w:jc w:val="center"/>
              <w:rPr>
                <w:rFonts w:eastAsia="Times New Roman"/>
              </w:rPr>
            </w:pPr>
          </w:p>
        </w:tc>
      </w:tr>
      <w:tr w:rsidR="00000000" w14:paraId="5558826A" w14:textId="77777777">
        <w:trPr>
          <w:divId w:val="1512376030"/>
        </w:trPr>
        <w:tc>
          <w:tcPr>
            <w:tcW w:w="0" w:type="auto"/>
            <w:gridSpan w:val="3"/>
            <w:tcMar>
              <w:top w:w="15" w:type="dxa"/>
              <w:left w:w="20" w:type="dxa"/>
              <w:bottom w:w="15" w:type="dxa"/>
              <w:right w:w="20" w:type="dxa"/>
            </w:tcMar>
            <w:vAlign w:val="bottom"/>
            <w:hideMark/>
          </w:tcPr>
          <w:p w14:paraId="0D3FFEC5"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B1D7779" w14:textId="77777777" w:rsidR="00000000" w:rsidRDefault="00195E73">
            <w:pPr>
              <w:jc w:val="center"/>
              <w:rPr>
                <w:rFonts w:eastAsia="Times New Roman"/>
              </w:rPr>
            </w:pPr>
            <w:r>
              <w:rPr>
                <w:rFonts w:eastAsia="Times New Roman"/>
                <w:b/>
                <w:bCs/>
                <w:color w:val="000000"/>
                <w:sz w:val="12"/>
                <w:szCs w:val="12"/>
              </w:rPr>
              <w:t>Investmen</w:t>
            </w:r>
            <w:r>
              <w:rPr>
                <w:rFonts w:eastAsia="Times New Roman"/>
                <w:b/>
                <w:bCs/>
                <w:color w:val="000000"/>
                <w:sz w:val="12"/>
                <w:szCs w:val="12"/>
              </w:rPr>
              <w:t>t</w:t>
            </w:r>
          </w:p>
        </w:tc>
        <w:tc>
          <w:tcPr>
            <w:tcW w:w="0" w:type="auto"/>
            <w:gridSpan w:val="3"/>
            <w:tcBorders>
              <w:top w:val="single" w:sz="8" w:space="0" w:color="000000"/>
            </w:tcBorders>
            <w:tcMar>
              <w:top w:w="15" w:type="dxa"/>
              <w:left w:w="20" w:type="dxa"/>
              <w:bottom w:w="15" w:type="dxa"/>
              <w:right w:w="20" w:type="dxa"/>
            </w:tcMar>
            <w:vAlign w:val="bottom"/>
            <w:hideMark/>
          </w:tcPr>
          <w:p w14:paraId="647D47BA"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535A4A1" w14:textId="77777777" w:rsidR="00000000" w:rsidRDefault="00195E73">
            <w:pPr>
              <w:jc w:val="center"/>
              <w:rPr>
                <w:rFonts w:eastAsia="Times New Roman"/>
              </w:rPr>
            </w:pPr>
            <w:r>
              <w:rPr>
                <w:rFonts w:eastAsia="Times New Roman"/>
                <w:b/>
                <w:bCs/>
                <w:color w:val="000000"/>
                <w:sz w:val="12"/>
                <w:szCs w:val="12"/>
              </w:rPr>
              <w:t>Energ</w:t>
            </w:r>
            <w:r>
              <w:rPr>
                <w:rFonts w:eastAsia="Times New Roman"/>
                <w:b/>
                <w:bCs/>
                <w:color w:val="000000"/>
                <w:sz w:val="12"/>
                <w:szCs w:val="12"/>
              </w:rPr>
              <w:t>y</w:t>
            </w:r>
          </w:p>
        </w:tc>
        <w:tc>
          <w:tcPr>
            <w:tcW w:w="0" w:type="auto"/>
            <w:gridSpan w:val="3"/>
            <w:tcBorders>
              <w:top w:val="single" w:sz="8" w:space="0" w:color="000000"/>
            </w:tcBorders>
            <w:tcMar>
              <w:top w:w="15" w:type="dxa"/>
              <w:left w:w="20" w:type="dxa"/>
              <w:bottom w:w="15" w:type="dxa"/>
              <w:right w:w="20" w:type="dxa"/>
            </w:tcMar>
            <w:vAlign w:val="bottom"/>
            <w:hideMark/>
          </w:tcPr>
          <w:p w14:paraId="65F98A34"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37E54D" w14:textId="77777777" w:rsidR="00000000" w:rsidRDefault="00195E73">
            <w:pPr>
              <w:jc w:val="center"/>
              <w:rPr>
                <w:rFonts w:eastAsia="Times New Roman"/>
              </w:rPr>
            </w:pPr>
            <w:r>
              <w:rPr>
                <w:rFonts w:eastAsia="Times New Roman"/>
                <w:b/>
                <w:bCs/>
                <w:color w:val="000000"/>
                <w:sz w:val="12"/>
                <w:szCs w:val="12"/>
              </w:rPr>
              <w:t>Automotiv</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486490D7"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5156816" w14:textId="77777777" w:rsidR="00000000" w:rsidRDefault="00195E73">
            <w:pPr>
              <w:jc w:val="center"/>
              <w:rPr>
                <w:rFonts w:eastAsia="Times New Roman"/>
              </w:rPr>
            </w:pPr>
            <w:r>
              <w:rPr>
                <w:rFonts w:eastAsia="Times New Roman"/>
                <w:b/>
                <w:bCs/>
                <w:color w:val="000000"/>
                <w:sz w:val="12"/>
                <w:szCs w:val="12"/>
              </w:rPr>
              <w:t>Food Packagin</w:t>
            </w:r>
            <w:r>
              <w:rPr>
                <w:rFonts w:eastAsia="Times New Roman"/>
                <w:b/>
                <w:bCs/>
                <w:color w:val="000000"/>
                <w:sz w:val="12"/>
                <w:szCs w:val="12"/>
              </w:rPr>
              <w:t>g</w:t>
            </w:r>
          </w:p>
        </w:tc>
        <w:tc>
          <w:tcPr>
            <w:tcW w:w="0" w:type="auto"/>
            <w:gridSpan w:val="3"/>
            <w:tcBorders>
              <w:top w:val="single" w:sz="8" w:space="0" w:color="000000"/>
            </w:tcBorders>
            <w:tcMar>
              <w:top w:w="15" w:type="dxa"/>
              <w:left w:w="20" w:type="dxa"/>
              <w:bottom w:w="15" w:type="dxa"/>
              <w:right w:w="20" w:type="dxa"/>
            </w:tcMar>
            <w:vAlign w:val="bottom"/>
            <w:hideMark/>
          </w:tcPr>
          <w:p w14:paraId="314707F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D0A08EB" w14:textId="77777777" w:rsidR="00000000" w:rsidRDefault="00195E73">
            <w:pPr>
              <w:jc w:val="center"/>
              <w:rPr>
                <w:rFonts w:eastAsia="Times New Roman"/>
              </w:rPr>
            </w:pPr>
            <w:r>
              <w:rPr>
                <w:rFonts w:eastAsia="Times New Roman"/>
                <w:b/>
                <w:bCs/>
                <w:color w:val="000000"/>
                <w:sz w:val="12"/>
                <w:szCs w:val="12"/>
              </w:rPr>
              <w:t>Metal</w:t>
            </w:r>
            <w:r>
              <w:rPr>
                <w:rFonts w:eastAsia="Times New Roman"/>
                <w:b/>
                <w:bCs/>
                <w:color w:val="000000"/>
                <w:sz w:val="12"/>
                <w:szCs w:val="12"/>
              </w:rPr>
              <w:t>s</w:t>
            </w:r>
          </w:p>
        </w:tc>
        <w:tc>
          <w:tcPr>
            <w:tcW w:w="0" w:type="auto"/>
            <w:gridSpan w:val="3"/>
            <w:tcBorders>
              <w:top w:val="single" w:sz="8" w:space="0" w:color="000000"/>
            </w:tcBorders>
            <w:tcMar>
              <w:top w:w="15" w:type="dxa"/>
              <w:left w:w="20" w:type="dxa"/>
              <w:bottom w:w="15" w:type="dxa"/>
              <w:right w:w="20" w:type="dxa"/>
            </w:tcMar>
            <w:vAlign w:val="bottom"/>
            <w:hideMark/>
          </w:tcPr>
          <w:p w14:paraId="5504E5F4"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7F69F87" w14:textId="77777777" w:rsidR="00000000" w:rsidRDefault="00195E73">
            <w:pPr>
              <w:jc w:val="center"/>
              <w:rPr>
                <w:rFonts w:eastAsia="Times New Roman"/>
              </w:rPr>
            </w:pPr>
            <w:r>
              <w:rPr>
                <w:rFonts w:eastAsia="Times New Roman"/>
                <w:b/>
                <w:bCs/>
                <w:color w:val="000000"/>
                <w:sz w:val="12"/>
                <w:szCs w:val="12"/>
              </w:rPr>
              <w:t>Real Estat</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0B52C86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1DDC58C" w14:textId="77777777" w:rsidR="00000000" w:rsidRDefault="00195E73">
            <w:pPr>
              <w:jc w:val="center"/>
              <w:rPr>
                <w:rFonts w:eastAsia="Times New Roman"/>
              </w:rPr>
            </w:pPr>
            <w:r>
              <w:rPr>
                <w:rFonts w:eastAsia="Times New Roman"/>
                <w:b/>
                <w:bCs/>
                <w:color w:val="000000"/>
                <w:sz w:val="12"/>
                <w:szCs w:val="12"/>
              </w:rPr>
              <w:t>Home Fashio</w:t>
            </w:r>
            <w:r>
              <w:rPr>
                <w:rFonts w:eastAsia="Times New Roman"/>
                <w:b/>
                <w:bCs/>
                <w:color w:val="000000"/>
                <w:sz w:val="12"/>
                <w:szCs w:val="12"/>
              </w:rPr>
              <w:t>n</w:t>
            </w:r>
          </w:p>
        </w:tc>
        <w:tc>
          <w:tcPr>
            <w:tcW w:w="0" w:type="auto"/>
            <w:gridSpan w:val="3"/>
            <w:tcBorders>
              <w:top w:val="single" w:sz="8" w:space="0" w:color="000000"/>
            </w:tcBorders>
            <w:tcMar>
              <w:top w:w="15" w:type="dxa"/>
              <w:left w:w="20" w:type="dxa"/>
              <w:bottom w:w="15" w:type="dxa"/>
              <w:right w:w="20" w:type="dxa"/>
            </w:tcMar>
            <w:vAlign w:val="bottom"/>
            <w:hideMark/>
          </w:tcPr>
          <w:p w14:paraId="33F047F4"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405290C" w14:textId="77777777" w:rsidR="00000000" w:rsidRDefault="00195E73">
            <w:pPr>
              <w:jc w:val="center"/>
              <w:rPr>
                <w:rFonts w:eastAsia="Times New Roman"/>
              </w:rPr>
            </w:pPr>
            <w:r>
              <w:rPr>
                <w:rFonts w:eastAsia="Times New Roman"/>
                <w:b/>
                <w:bCs/>
                <w:color w:val="000000"/>
                <w:sz w:val="12"/>
                <w:szCs w:val="12"/>
              </w:rPr>
              <w:t>Minin</w:t>
            </w:r>
            <w:r>
              <w:rPr>
                <w:rFonts w:eastAsia="Times New Roman"/>
                <w:b/>
                <w:bCs/>
                <w:color w:val="000000"/>
                <w:sz w:val="12"/>
                <w:szCs w:val="12"/>
              </w:rPr>
              <w:t>g</w:t>
            </w:r>
          </w:p>
        </w:tc>
        <w:tc>
          <w:tcPr>
            <w:tcW w:w="0" w:type="auto"/>
            <w:gridSpan w:val="3"/>
            <w:tcBorders>
              <w:top w:val="single" w:sz="8" w:space="0" w:color="000000"/>
            </w:tcBorders>
            <w:tcMar>
              <w:top w:w="15" w:type="dxa"/>
              <w:left w:w="20" w:type="dxa"/>
              <w:bottom w:w="15" w:type="dxa"/>
              <w:right w:w="20" w:type="dxa"/>
            </w:tcMar>
            <w:vAlign w:val="bottom"/>
            <w:hideMark/>
          </w:tcPr>
          <w:p w14:paraId="75046DD3"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5F627E5" w14:textId="77777777" w:rsidR="00000000" w:rsidRDefault="00195E73">
            <w:pPr>
              <w:jc w:val="center"/>
              <w:rPr>
                <w:rFonts w:eastAsia="Times New Roman"/>
              </w:rPr>
            </w:pPr>
            <w:r>
              <w:rPr>
                <w:rFonts w:eastAsia="Times New Roman"/>
                <w:b/>
                <w:bCs/>
                <w:color w:val="000000"/>
                <w:sz w:val="12"/>
                <w:szCs w:val="12"/>
              </w:rPr>
              <w:t>Railca</w:t>
            </w:r>
            <w:r>
              <w:rPr>
                <w:rFonts w:eastAsia="Times New Roman"/>
                <w:b/>
                <w:bCs/>
                <w:color w:val="000000"/>
                <w:sz w:val="12"/>
                <w:szCs w:val="12"/>
              </w:rPr>
              <w:t>r</w:t>
            </w:r>
          </w:p>
        </w:tc>
        <w:tc>
          <w:tcPr>
            <w:tcW w:w="0" w:type="auto"/>
            <w:gridSpan w:val="3"/>
            <w:tcBorders>
              <w:top w:val="single" w:sz="8" w:space="0" w:color="000000"/>
            </w:tcBorders>
            <w:tcMar>
              <w:top w:w="15" w:type="dxa"/>
              <w:left w:w="20" w:type="dxa"/>
              <w:bottom w:w="15" w:type="dxa"/>
              <w:right w:w="20" w:type="dxa"/>
            </w:tcMar>
            <w:vAlign w:val="bottom"/>
            <w:hideMark/>
          </w:tcPr>
          <w:p w14:paraId="0F6559E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E37BBDB" w14:textId="77777777" w:rsidR="00000000" w:rsidRDefault="00195E73">
            <w:pPr>
              <w:jc w:val="center"/>
              <w:rPr>
                <w:rFonts w:eastAsia="Times New Roman"/>
              </w:rPr>
            </w:pPr>
            <w:r>
              <w:rPr>
                <w:rFonts w:eastAsia="Times New Roman"/>
                <w:b/>
                <w:bCs/>
                <w:color w:val="000000"/>
                <w:sz w:val="12"/>
                <w:szCs w:val="12"/>
              </w:rPr>
              <w:t>Holding Compan</w:t>
            </w:r>
            <w:r>
              <w:rPr>
                <w:rFonts w:eastAsia="Times New Roman"/>
                <w:b/>
                <w:bCs/>
                <w:color w:val="000000"/>
                <w:sz w:val="12"/>
                <w:szCs w:val="12"/>
              </w:rPr>
              <w:t>y</w:t>
            </w:r>
          </w:p>
        </w:tc>
        <w:tc>
          <w:tcPr>
            <w:tcW w:w="0" w:type="auto"/>
            <w:gridSpan w:val="2"/>
            <w:tcBorders>
              <w:top w:val="single" w:sz="8" w:space="0" w:color="000000"/>
            </w:tcBorders>
            <w:tcMar>
              <w:top w:w="15" w:type="dxa"/>
              <w:left w:w="20" w:type="dxa"/>
              <w:bottom w:w="15" w:type="dxa"/>
              <w:right w:w="20" w:type="dxa"/>
            </w:tcMar>
            <w:vAlign w:val="bottom"/>
            <w:hideMark/>
          </w:tcPr>
          <w:p w14:paraId="7B2E8377" w14:textId="77777777" w:rsidR="00000000" w:rsidRDefault="00195E73">
            <w:pPr>
              <w:jc w:val="center"/>
              <w:rPr>
                <w:rFonts w:eastAsia="Times New Roman"/>
              </w:rPr>
            </w:pPr>
          </w:p>
        </w:tc>
        <w:tc>
          <w:tcPr>
            <w:tcW w:w="0" w:type="auto"/>
            <w:tcBorders>
              <w:top w:val="single" w:sz="8" w:space="0" w:color="000000"/>
              <w:bottom w:val="single" w:sz="8" w:space="0" w:color="000000"/>
            </w:tcBorders>
            <w:tcMar>
              <w:top w:w="30" w:type="dxa"/>
              <w:left w:w="20" w:type="dxa"/>
              <w:bottom w:w="30" w:type="dxa"/>
              <w:right w:w="20" w:type="dxa"/>
            </w:tcMar>
            <w:vAlign w:val="bottom"/>
            <w:hideMark/>
          </w:tcPr>
          <w:p w14:paraId="4276744D" w14:textId="77777777" w:rsidR="00000000" w:rsidRDefault="00195E73">
            <w:pPr>
              <w:jc w:val="center"/>
              <w:rPr>
                <w:rFonts w:eastAsia="Times New Roman"/>
              </w:rPr>
            </w:pPr>
            <w:r>
              <w:rPr>
                <w:rFonts w:eastAsia="Times New Roman"/>
                <w:b/>
                <w:bCs/>
                <w:color w:val="000000"/>
                <w:sz w:val="12"/>
                <w:szCs w:val="12"/>
              </w:rPr>
              <w:t>Consolidate</w:t>
            </w:r>
            <w:r>
              <w:rPr>
                <w:rFonts w:eastAsia="Times New Roman"/>
                <w:b/>
                <w:bCs/>
                <w:color w:val="000000"/>
                <w:sz w:val="12"/>
                <w:szCs w:val="12"/>
              </w:rPr>
              <w:t>d</w:t>
            </w:r>
          </w:p>
        </w:tc>
      </w:tr>
      <w:tr w:rsidR="00000000" w14:paraId="71034CF1" w14:textId="77777777">
        <w:trPr>
          <w:divId w:val="1512376030"/>
        </w:trPr>
        <w:tc>
          <w:tcPr>
            <w:tcW w:w="0" w:type="auto"/>
            <w:gridSpan w:val="3"/>
            <w:tcMar>
              <w:top w:w="15" w:type="dxa"/>
              <w:left w:w="20" w:type="dxa"/>
              <w:bottom w:w="15" w:type="dxa"/>
              <w:right w:w="20" w:type="dxa"/>
            </w:tcMar>
            <w:vAlign w:val="bottom"/>
            <w:hideMark/>
          </w:tcPr>
          <w:p w14:paraId="3F90118C" w14:textId="77777777" w:rsidR="00000000" w:rsidRDefault="00195E73">
            <w:pPr>
              <w:jc w:val="center"/>
              <w:rPr>
                <w:rFonts w:eastAsia="Times New Roman"/>
              </w:rPr>
            </w:pPr>
          </w:p>
        </w:tc>
        <w:tc>
          <w:tcPr>
            <w:tcW w:w="0" w:type="auto"/>
            <w:gridSpan w:val="59"/>
            <w:tcBorders>
              <w:top w:val="single" w:sz="8" w:space="0" w:color="000000"/>
            </w:tcBorders>
            <w:tcMar>
              <w:top w:w="30" w:type="dxa"/>
              <w:left w:w="20" w:type="dxa"/>
              <w:bottom w:w="30" w:type="dxa"/>
              <w:right w:w="20" w:type="dxa"/>
            </w:tcMar>
            <w:hideMark/>
          </w:tcPr>
          <w:p w14:paraId="14FDF710" w14:textId="77777777" w:rsidR="00000000" w:rsidRDefault="00195E73">
            <w:pPr>
              <w:jc w:val="center"/>
              <w:rPr>
                <w:rFonts w:eastAsia="Times New Roman"/>
              </w:rPr>
            </w:pPr>
            <w:r>
              <w:rPr>
                <w:rFonts w:eastAsia="Times New Roman"/>
                <w:color w:val="000000"/>
                <w:sz w:val="12"/>
                <w:szCs w:val="12"/>
              </w:rPr>
              <w:t>(in millions</w:t>
            </w:r>
            <w:r>
              <w:rPr>
                <w:rFonts w:eastAsia="Times New Roman"/>
                <w:color w:val="000000"/>
                <w:sz w:val="12"/>
                <w:szCs w:val="12"/>
              </w:rPr>
              <w:t>)</w:t>
            </w:r>
          </w:p>
        </w:tc>
        <w:tc>
          <w:tcPr>
            <w:tcW w:w="0" w:type="auto"/>
            <w:vAlign w:val="center"/>
            <w:hideMark/>
          </w:tcPr>
          <w:p w14:paraId="6DFBD410" w14:textId="77777777" w:rsidR="00000000" w:rsidRDefault="00195E73">
            <w:pPr>
              <w:jc w:val="center"/>
              <w:rPr>
                <w:rFonts w:eastAsia="Times New Roman"/>
              </w:rPr>
            </w:pPr>
          </w:p>
        </w:tc>
      </w:tr>
      <w:tr w:rsidR="00000000" w14:paraId="67C663C6" w14:textId="77777777">
        <w:trPr>
          <w:divId w:val="1512376030"/>
        </w:trPr>
        <w:tc>
          <w:tcPr>
            <w:tcW w:w="0" w:type="auto"/>
            <w:gridSpan w:val="3"/>
            <w:shd w:val="clear" w:color="auto" w:fill="FFFFFF"/>
            <w:tcMar>
              <w:top w:w="30" w:type="dxa"/>
              <w:left w:w="20" w:type="dxa"/>
              <w:bottom w:w="30" w:type="dxa"/>
              <w:right w:w="20" w:type="dxa"/>
            </w:tcMar>
            <w:vAlign w:val="bottom"/>
            <w:hideMark/>
          </w:tcPr>
          <w:p w14:paraId="26AB9F61" w14:textId="77777777" w:rsidR="00000000" w:rsidRDefault="00195E73">
            <w:pPr>
              <w:rPr>
                <w:rFonts w:eastAsia="Times New Roman"/>
              </w:rPr>
            </w:pPr>
            <w:r>
              <w:rPr>
                <w:rFonts w:eastAsia="Times New Roman"/>
                <w:color w:val="000000"/>
                <w:sz w:val="12"/>
                <w:szCs w:val="12"/>
              </w:rPr>
              <w:t>Revenues</w:t>
            </w:r>
            <w:r>
              <w:rPr>
                <w:rFonts w:eastAsia="Times New Roman"/>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14:paraId="210E2063"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5FD28C4"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C11C6E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107CA94" w14:textId="77777777" w:rsidR="00000000" w:rsidRDefault="00195E7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2F380FC"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A808A1" w14:textId="77777777" w:rsidR="00000000" w:rsidRDefault="00195E7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35FF477"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33239E4"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18E3D6A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7AF14BE" w14:textId="77777777" w:rsidR="00000000" w:rsidRDefault="00195E7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2BBA6D3"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3FBB269"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9F8441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459911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B2095B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C1C96AC" w14:textId="77777777" w:rsidR="00000000" w:rsidRDefault="00195E7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FCD34CD"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E6F8108"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6B5BA3D"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64B6A80D" w14:textId="77777777" w:rsidR="00000000" w:rsidRDefault="00195E73">
            <w:pPr>
              <w:rPr>
                <w:rFonts w:eastAsia="Times New Roman"/>
                <w:sz w:val="20"/>
                <w:szCs w:val="20"/>
              </w:rPr>
            </w:pPr>
          </w:p>
        </w:tc>
        <w:tc>
          <w:tcPr>
            <w:tcW w:w="0" w:type="auto"/>
            <w:shd w:val="clear" w:color="auto" w:fill="FFFFFF"/>
            <w:tcMar>
              <w:top w:w="30" w:type="dxa"/>
              <w:left w:w="20" w:type="dxa"/>
              <w:bottom w:w="30" w:type="dxa"/>
              <w:right w:w="20" w:type="dxa"/>
            </w:tcMar>
            <w:vAlign w:val="bottom"/>
            <w:hideMark/>
          </w:tcPr>
          <w:p w14:paraId="4E59D828"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r>
      <w:tr w:rsidR="00195E73" w14:paraId="5B826921" w14:textId="77777777">
        <w:trPr>
          <w:divId w:val="1512376030"/>
        </w:trPr>
        <w:tc>
          <w:tcPr>
            <w:tcW w:w="0" w:type="auto"/>
            <w:gridSpan w:val="3"/>
            <w:shd w:val="clear" w:color="auto" w:fill="CCEEFF"/>
            <w:tcMar>
              <w:top w:w="30" w:type="dxa"/>
              <w:left w:w="20" w:type="dxa"/>
              <w:bottom w:w="30" w:type="dxa"/>
              <w:right w:w="20" w:type="dxa"/>
            </w:tcMar>
            <w:vAlign w:val="bottom"/>
            <w:hideMark/>
          </w:tcPr>
          <w:p w14:paraId="40EE9CB0" w14:textId="77777777" w:rsidR="00000000" w:rsidRDefault="00195E73">
            <w:pPr>
              <w:ind w:firstLine="180"/>
              <w:divId w:val="106195018"/>
              <w:rPr>
                <w:rFonts w:eastAsia="Times New Roman"/>
              </w:rPr>
            </w:pPr>
            <w:r>
              <w:rPr>
                <w:rFonts w:eastAsia="Times New Roman"/>
                <w:color w:val="000000"/>
                <w:sz w:val="12"/>
                <w:szCs w:val="12"/>
              </w:rPr>
              <w:t>Net sale</w:t>
            </w:r>
            <w:r>
              <w:rPr>
                <w:rFonts w:eastAsia="Times New Roman"/>
                <w:color w:val="000000"/>
                <w:sz w:val="12"/>
                <w:szCs w:val="12"/>
              </w:rPr>
              <w:t>s</w:t>
            </w:r>
          </w:p>
        </w:tc>
        <w:tc>
          <w:tcPr>
            <w:tcW w:w="0" w:type="auto"/>
            <w:shd w:val="clear" w:color="auto" w:fill="CCEEFF"/>
            <w:tcMar>
              <w:top w:w="30" w:type="dxa"/>
              <w:left w:w="20" w:type="dxa"/>
              <w:bottom w:w="30" w:type="dxa"/>
              <w:right w:w="15" w:type="dxa"/>
            </w:tcMar>
            <w:vAlign w:val="bottom"/>
            <w:hideMark/>
          </w:tcPr>
          <w:p w14:paraId="1CFDEC26"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545929F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BAC09D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201D1B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AD7799A"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6760E927" w14:textId="77777777" w:rsidR="00000000" w:rsidRDefault="00195E73">
            <w:pPr>
              <w:jc w:val="right"/>
              <w:rPr>
                <w:rFonts w:eastAsia="Times New Roman"/>
              </w:rPr>
            </w:pPr>
            <w:r>
              <w:rPr>
                <w:rFonts w:eastAsia="Times New Roman"/>
                <w:color w:val="000000"/>
                <w:sz w:val="12"/>
                <w:szCs w:val="12"/>
              </w:rPr>
              <w:t>5,988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BDD5FB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6AD2A6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C4052C2"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AB3D629" w14:textId="77777777" w:rsidR="00000000" w:rsidRDefault="00195E73">
            <w:pPr>
              <w:jc w:val="right"/>
              <w:rPr>
                <w:rFonts w:eastAsia="Times New Roman"/>
              </w:rPr>
            </w:pPr>
            <w:r>
              <w:rPr>
                <w:rFonts w:eastAsia="Times New Roman"/>
                <w:color w:val="000000"/>
                <w:sz w:val="12"/>
                <w:szCs w:val="12"/>
              </w:rPr>
              <w:t>2,225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02BBC2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8DD4B0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C933982"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77120963" w14:textId="77777777" w:rsidR="00000000" w:rsidRDefault="00195E73">
            <w:pPr>
              <w:jc w:val="right"/>
              <w:rPr>
                <w:rFonts w:eastAsia="Times New Roman"/>
              </w:rPr>
            </w:pPr>
            <w:r>
              <w:rPr>
                <w:rFonts w:eastAsia="Times New Roman"/>
                <w:color w:val="000000"/>
                <w:sz w:val="12"/>
                <w:szCs w:val="12"/>
              </w:rPr>
              <w:t>392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9FF210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BA2484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BBBC3FB"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D5A3526" w14:textId="77777777" w:rsidR="00000000" w:rsidRDefault="00195E73">
            <w:pPr>
              <w:jc w:val="right"/>
              <w:rPr>
                <w:rFonts w:eastAsia="Times New Roman"/>
              </w:rPr>
            </w:pPr>
            <w:r>
              <w:rPr>
                <w:rFonts w:eastAsia="Times New Roman"/>
                <w:color w:val="000000"/>
                <w:sz w:val="12"/>
                <w:szCs w:val="12"/>
              </w:rPr>
              <w:t>409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8B5B8C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E7EE9E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5DF6E7A"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79DFD09" w14:textId="77777777" w:rsidR="00000000" w:rsidRDefault="00195E73">
            <w:pPr>
              <w:jc w:val="right"/>
              <w:rPr>
                <w:rFonts w:eastAsia="Times New Roman"/>
              </w:rPr>
            </w:pPr>
            <w:r>
              <w:rPr>
                <w:rFonts w:eastAsia="Times New Roman"/>
                <w:color w:val="000000"/>
                <w:sz w:val="12"/>
                <w:szCs w:val="12"/>
              </w:rPr>
              <w:t>15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3011D6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CD10DA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B055301"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64DFB98" w14:textId="77777777" w:rsidR="00000000" w:rsidRDefault="00195E73">
            <w:pPr>
              <w:jc w:val="right"/>
              <w:rPr>
                <w:rFonts w:eastAsia="Times New Roman"/>
              </w:rPr>
            </w:pPr>
            <w:r>
              <w:rPr>
                <w:rFonts w:eastAsia="Times New Roman"/>
                <w:color w:val="000000"/>
                <w:sz w:val="12"/>
                <w:szCs w:val="12"/>
              </w:rPr>
              <w:t>183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8B9D2D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BD9FC5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4B2499B"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6BE9B65" w14:textId="77777777" w:rsidR="00000000" w:rsidRDefault="00195E73">
            <w:pPr>
              <w:jc w:val="right"/>
              <w:rPr>
                <w:rFonts w:eastAsia="Times New Roman"/>
              </w:rPr>
            </w:pPr>
            <w:r>
              <w:rPr>
                <w:rFonts w:eastAsia="Times New Roman"/>
                <w:color w:val="000000"/>
                <w:sz w:val="12"/>
                <w:szCs w:val="12"/>
              </w:rPr>
              <w:t>94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95C549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626426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4CF4F6D"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026DDF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E1D3C1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298356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4445BA0"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6D7BC1F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FCE3F4F"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665F944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BC8A582"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9,306</w:t>
            </w:r>
            <w:r>
              <w:rPr>
                <w:rFonts w:eastAsia="Times New Roman"/>
                <w:color w:val="000000"/>
                <w:sz w:val="12"/>
                <w:szCs w:val="12"/>
              </w:rPr>
              <w:t> </w:t>
            </w:r>
            <w:r>
              <w:rPr>
                <w:rFonts w:eastAsia="Times New Roman"/>
                <w:color w:val="000000"/>
                <w:sz w:val="12"/>
                <w:szCs w:val="12"/>
              </w:rPr>
              <w:t> </w:t>
            </w:r>
          </w:p>
        </w:tc>
      </w:tr>
      <w:tr w:rsidR="00195E73" w14:paraId="3A2686B7" w14:textId="77777777">
        <w:trPr>
          <w:divId w:val="1512376030"/>
        </w:trPr>
        <w:tc>
          <w:tcPr>
            <w:tcW w:w="0" w:type="auto"/>
            <w:gridSpan w:val="3"/>
            <w:shd w:val="clear" w:color="auto" w:fill="FFFFFF"/>
            <w:tcMar>
              <w:top w:w="30" w:type="dxa"/>
              <w:left w:w="20" w:type="dxa"/>
              <w:bottom w:w="30" w:type="dxa"/>
              <w:right w:w="20" w:type="dxa"/>
            </w:tcMar>
            <w:vAlign w:val="bottom"/>
            <w:hideMark/>
          </w:tcPr>
          <w:p w14:paraId="35080F66" w14:textId="77777777" w:rsidR="00000000" w:rsidRDefault="00195E73">
            <w:pPr>
              <w:ind w:firstLine="180"/>
              <w:divId w:val="374080492"/>
              <w:rPr>
                <w:rFonts w:eastAsia="Times New Roman"/>
              </w:rPr>
            </w:pPr>
            <w:r>
              <w:rPr>
                <w:rFonts w:eastAsia="Times New Roman"/>
                <w:color w:val="000000"/>
                <w:sz w:val="12"/>
                <w:szCs w:val="12"/>
              </w:rPr>
              <w:t>Other revenues from operation</w:t>
            </w:r>
            <w:r>
              <w:rPr>
                <w:rFonts w:eastAsia="Times New Roman"/>
                <w:color w:val="000000"/>
                <w:sz w:val="12"/>
                <w:szCs w:val="12"/>
              </w:rPr>
              <w:t>s</w:t>
            </w:r>
          </w:p>
        </w:tc>
        <w:tc>
          <w:tcPr>
            <w:tcW w:w="0" w:type="auto"/>
            <w:gridSpan w:val="2"/>
            <w:shd w:val="clear" w:color="auto" w:fill="FFFFFF"/>
            <w:tcMar>
              <w:top w:w="30" w:type="dxa"/>
              <w:left w:w="20" w:type="dxa"/>
              <w:bottom w:w="30" w:type="dxa"/>
              <w:right w:w="0" w:type="dxa"/>
            </w:tcMar>
            <w:vAlign w:val="bottom"/>
            <w:hideMark/>
          </w:tcPr>
          <w:p w14:paraId="114391E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841EAB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3D6627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8C765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1A43B1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47C0BF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E3F36D" w14:textId="77777777" w:rsidR="00000000" w:rsidRDefault="00195E73">
            <w:pPr>
              <w:jc w:val="right"/>
              <w:rPr>
                <w:rFonts w:eastAsia="Times New Roman"/>
              </w:rPr>
            </w:pPr>
            <w:r>
              <w:rPr>
                <w:rFonts w:eastAsia="Times New Roman"/>
                <w:color w:val="000000"/>
                <w:sz w:val="12"/>
                <w:szCs w:val="12"/>
              </w:rPr>
              <w:t>498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4FE574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C66AE2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34284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DFAB77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65C16A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DD219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F5F58E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7E3749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FC54F8" w14:textId="77777777" w:rsidR="00000000" w:rsidRDefault="00195E73">
            <w:pPr>
              <w:jc w:val="right"/>
              <w:rPr>
                <w:rFonts w:eastAsia="Times New Roman"/>
              </w:rPr>
            </w:pPr>
            <w:r>
              <w:rPr>
                <w:rFonts w:eastAsia="Times New Roman"/>
                <w:color w:val="000000"/>
                <w:sz w:val="12"/>
                <w:szCs w:val="12"/>
              </w:rPr>
              <w:t>72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A54639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27D8C3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791D8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26FA8E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0B06BD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268FA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1618AA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611F19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6E8A5F" w14:textId="77777777" w:rsidR="00000000" w:rsidRDefault="00195E73">
            <w:pPr>
              <w:jc w:val="right"/>
              <w:rPr>
                <w:rFonts w:eastAsia="Times New Roman"/>
              </w:rPr>
            </w:pPr>
            <w:r>
              <w:rPr>
                <w:rFonts w:eastAsia="Times New Roman"/>
                <w:color w:val="000000"/>
                <w:sz w:val="12"/>
                <w:szCs w:val="12"/>
              </w:rPr>
              <w:t>173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0BF27C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06662F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EED3B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F3C688B"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7B83999F"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2A97628" w14:textId="77777777" w:rsidR="00000000" w:rsidRDefault="00195E73">
            <w:pPr>
              <w:jc w:val="right"/>
              <w:rPr>
                <w:rFonts w:eastAsia="Times New Roman"/>
              </w:rPr>
            </w:pPr>
            <w:r>
              <w:rPr>
                <w:rFonts w:eastAsia="Times New Roman"/>
                <w:color w:val="000000"/>
                <w:sz w:val="12"/>
                <w:szCs w:val="12"/>
              </w:rPr>
              <w:t>743</w:t>
            </w:r>
            <w:r>
              <w:rPr>
                <w:rFonts w:eastAsia="Times New Roman"/>
                <w:color w:val="000000"/>
                <w:sz w:val="12"/>
                <w:szCs w:val="12"/>
              </w:rPr>
              <w:t> </w:t>
            </w:r>
            <w:r>
              <w:rPr>
                <w:rFonts w:eastAsia="Times New Roman"/>
                <w:color w:val="000000"/>
                <w:sz w:val="12"/>
                <w:szCs w:val="12"/>
              </w:rPr>
              <w:t> </w:t>
            </w:r>
          </w:p>
        </w:tc>
      </w:tr>
      <w:tr w:rsidR="00195E73" w14:paraId="37DECFD1" w14:textId="77777777">
        <w:trPr>
          <w:divId w:val="1512376030"/>
        </w:trPr>
        <w:tc>
          <w:tcPr>
            <w:tcW w:w="0" w:type="auto"/>
            <w:gridSpan w:val="3"/>
            <w:shd w:val="clear" w:color="auto" w:fill="CCEEFF"/>
            <w:tcMar>
              <w:top w:w="30" w:type="dxa"/>
              <w:left w:w="20" w:type="dxa"/>
              <w:bottom w:w="30" w:type="dxa"/>
              <w:right w:w="20" w:type="dxa"/>
            </w:tcMar>
            <w:vAlign w:val="bottom"/>
            <w:hideMark/>
          </w:tcPr>
          <w:p w14:paraId="730AFE6F" w14:textId="77777777" w:rsidR="00000000" w:rsidRDefault="00195E73">
            <w:pPr>
              <w:ind w:firstLine="180"/>
              <w:divId w:val="2064212843"/>
              <w:rPr>
                <w:rFonts w:eastAsia="Times New Roman"/>
              </w:rPr>
            </w:pPr>
            <w:r>
              <w:rPr>
                <w:rFonts w:eastAsia="Times New Roman"/>
                <w:color w:val="000000"/>
                <w:sz w:val="12"/>
                <w:szCs w:val="12"/>
              </w:rPr>
              <w:t>Net gain from investment activitie</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07CFE502" w14:textId="77777777" w:rsidR="00000000" w:rsidRDefault="00195E73">
            <w:pPr>
              <w:jc w:val="right"/>
              <w:rPr>
                <w:rFonts w:eastAsia="Times New Roman"/>
              </w:rPr>
            </w:pPr>
            <w:r>
              <w:rPr>
                <w:rFonts w:eastAsia="Times New Roman"/>
                <w:color w:val="000000"/>
                <w:sz w:val="12"/>
                <w:szCs w:val="12"/>
              </w:rPr>
              <w:t>241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D913AC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789590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2884B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C77EB9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F95156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62263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16209F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92522B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B1CC7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FFD4F4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3D798D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0FF4A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C28B3F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08D88D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C66B3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70C7DD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5447EE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C5C0B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07FAB1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CD34D3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46629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4402CD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D06127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FF6CE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E025FB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C1EE27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E3F514" w14:textId="77777777" w:rsidR="00000000" w:rsidRDefault="00195E73">
            <w:pPr>
              <w:jc w:val="right"/>
              <w:rPr>
                <w:rFonts w:eastAsia="Times New Roman"/>
              </w:rPr>
            </w:pPr>
            <w:r>
              <w:rPr>
                <w:rFonts w:eastAsia="Times New Roman"/>
                <w:color w:val="000000"/>
                <w:sz w:val="12"/>
                <w:szCs w:val="12"/>
              </w:rPr>
              <w:t>61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F3E0376"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0917C82C"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066EEA9" w14:textId="77777777" w:rsidR="00000000" w:rsidRDefault="00195E73">
            <w:pPr>
              <w:jc w:val="right"/>
              <w:rPr>
                <w:rFonts w:eastAsia="Times New Roman"/>
              </w:rPr>
            </w:pPr>
            <w:r>
              <w:rPr>
                <w:rFonts w:eastAsia="Times New Roman"/>
                <w:color w:val="000000"/>
                <w:sz w:val="12"/>
                <w:szCs w:val="12"/>
              </w:rPr>
              <w:t>302</w:t>
            </w:r>
            <w:r>
              <w:rPr>
                <w:rFonts w:eastAsia="Times New Roman"/>
                <w:color w:val="000000"/>
                <w:sz w:val="12"/>
                <w:szCs w:val="12"/>
              </w:rPr>
              <w:t> </w:t>
            </w:r>
            <w:r>
              <w:rPr>
                <w:rFonts w:eastAsia="Times New Roman"/>
                <w:color w:val="000000"/>
                <w:sz w:val="12"/>
                <w:szCs w:val="12"/>
              </w:rPr>
              <w:t> </w:t>
            </w:r>
          </w:p>
        </w:tc>
      </w:tr>
      <w:tr w:rsidR="00195E73" w14:paraId="74CA26A8" w14:textId="77777777">
        <w:trPr>
          <w:divId w:val="1512376030"/>
        </w:trPr>
        <w:tc>
          <w:tcPr>
            <w:tcW w:w="0" w:type="auto"/>
            <w:gridSpan w:val="3"/>
            <w:shd w:val="clear" w:color="auto" w:fill="FFFFFF"/>
            <w:tcMar>
              <w:top w:w="30" w:type="dxa"/>
              <w:left w:w="20" w:type="dxa"/>
              <w:bottom w:w="30" w:type="dxa"/>
              <w:right w:w="20" w:type="dxa"/>
            </w:tcMar>
            <w:vAlign w:val="bottom"/>
            <w:hideMark/>
          </w:tcPr>
          <w:p w14:paraId="79D759AB" w14:textId="77777777" w:rsidR="00000000" w:rsidRDefault="00195E73">
            <w:pPr>
              <w:ind w:firstLine="180"/>
              <w:divId w:val="832069294"/>
              <w:rPr>
                <w:rFonts w:eastAsia="Times New Roman"/>
              </w:rPr>
            </w:pPr>
            <w:r>
              <w:rPr>
                <w:rFonts w:eastAsia="Times New Roman"/>
                <w:color w:val="000000"/>
                <w:sz w:val="12"/>
                <w:szCs w:val="12"/>
              </w:rPr>
              <w:t>Interest and dividend incom</w:t>
            </w:r>
            <w:r>
              <w:rPr>
                <w:rFonts w:eastAsia="Times New Roman"/>
                <w:color w:val="000000"/>
                <w:sz w:val="12"/>
                <w:szCs w:val="12"/>
              </w:rPr>
              <w:t>e</w:t>
            </w:r>
          </w:p>
        </w:tc>
        <w:tc>
          <w:tcPr>
            <w:tcW w:w="0" w:type="auto"/>
            <w:gridSpan w:val="2"/>
            <w:shd w:val="clear" w:color="auto" w:fill="FFFFFF"/>
            <w:tcMar>
              <w:top w:w="30" w:type="dxa"/>
              <w:left w:w="20" w:type="dxa"/>
              <w:bottom w:w="30" w:type="dxa"/>
              <w:right w:w="0" w:type="dxa"/>
            </w:tcMar>
            <w:vAlign w:val="bottom"/>
            <w:hideMark/>
          </w:tcPr>
          <w:p w14:paraId="5597DFAB" w14:textId="77777777" w:rsidR="00000000" w:rsidRDefault="00195E73">
            <w:pPr>
              <w:jc w:val="right"/>
              <w:rPr>
                <w:rFonts w:eastAsia="Times New Roman"/>
              </w:rPr>
            </w:pPr>
            <w:r>
              <w:rPr>
                <w:rFonts w:eastAsia="Times New Roman"/>
                <w:color w:val="000000"/>
                <w:sz w:val="12"/>
                <w:szCs w:val="12"/>
              </w:rPr>
              <w:t>106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E6C885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4B7A76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9D2766"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BFD7B3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66D2D9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7C068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21333B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5B503E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635C6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ADCD10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44CE6D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3FCCD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BA364E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66295E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1CE022" w14:textId="77777777" w:rsidR="00000000" w:rsidRDefault="00195E73">
            <w:pPr>
              <w:jc w:val="right"/>
              <w:rPr>
                <w:rFonts w:eastAsia="Times New Roman"/>
              </w:rPr>
            </w:pPr>
            <w:r>
              <w:rPr>
                <w:rFonts w:eastAsia="Times New Roman"/>
                <w:color w:val="000000"/>
                <w:sz w:val="12"/>
                <w:szCs w:val="12"/>
              </w:rPr>
              <w:t>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1CF5AC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ADB849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7AD3D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D1E05C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3CF490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3166D0"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C42082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C3FFB7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9FC82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5CE163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E36657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DE5B64" w14:textId="77777777" w:rsidR="00000000" w:rsidRDefault="00195E73">
            <w:pPr>
              <w:jc w:val="right"/>
              <w:rPr>
                <w:rFonts w:eastAsia="Times New Roman"/>
              </w:rPr>
            </w:pPr>
            <w:r>
              <w:rPr>
                <w:rFonts w:eastAsia="Times New Roman"/>
                <w:color w:val="000000"/>
                <w:sz w:val="12"/>
                <w:szCs w:val="12"/>
              </w:rPr>
              <w:t>12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8650622"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36A93B64"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5583A88" w14:textId="77777777" w:rsidR="00000000" w:rsidRDefault="00195E73">
            <w:pPr>
              <w:jc w:val="right"/>
              <w:rPr>
                <w:rFonts w:eastAsia="Times New Roman"/>
              </w:rPr>
            </w:pPr>
            <w:r>
              <w:rPr>
                <w:rFonts w:eastAsia="Times New Roman"/>
                <w:color w:val="000000"/>
                <w:sz w:val="12"/>
                <w:szCs w:val="12"/>
              </w:rPr>
              <w:t>127</w:t>
            </w:r>
            <w:r>
              <w:rPr>
                <w:rFonts w:eastAsia="Times New Roman"/>
                <w:color w:val="000000"/>
                <w:sz w:val="12"/>
                <w:szCs w:val="12"/>
              </w:rPr>
              <w:t> </w:t>
            </w:r>
            <w:r>
              <w:rPr>
                <w:rFonts w:eastAsia="Times New Roman"/>
                <w:color w:val="000000"/>
                <w:sz w:val="12"/>
                <w:szCs w:val="12"/>
              </w:rPr>
              <w:t> </w:t>
            </w:r>
          </w:p>
        </w:tc>
      </w:tr>
      <w:tr w:rsidR="00195E73" w14:paraId="59DC1994" w14:textId="77777777">
        <w:trPr>
          <w:divId w:val="1512376030"/>
        </w:trPr>
        <w:tc>
          <w:tcPr>
            <w:tcW w:w="0" w:type="auto"/>
            <w:gridSpan w:val="3"/>
            <w:shd w:val="clear" w:color="auto" w:fill="CCEEFF"/>
            <w:tcMar>
              <w:top w:w="30" w:type="dxa"/>
              <w:left w:w="20" w:type="dxa"/>
              <w:bottom w:w="30" w:type="dxa"/>
              <w:right w:w="20" w:type="dxa"/>
            </w:tcMar>
            <w:vAlign w:val="bottom"/>
            <w:hideMark/>
          </w:tcPr>
          <w:p w14:paraId="0A39DE2A" w14:textId="77777777" w:rsidR="00000000" w:rsidRDefault="00195E73">
            <w:pPr>
              <w:ind w:firstLine="180"/>
              <w:divId w:val="1286888813"/>
              <w:rPr>
                <w:rFonts w:eastAsia="Times New Roman"/>
              </w:rPr>
            </w:pPr>
            <w:r>
              <w:rPr>
                <w:rFonts w:eastAsia="Times New Roman"/>
                <w:color w:val="000000"/>
                <w:sz w:val="12"/>
                <w:szCs w:val="12"/>
              </w:rPr>
              <w:t>(Loss) gain on disposition of assets, ne</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690CB0B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6E47D4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6A6DEF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C573B6"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33F50B3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ABC582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8ED731"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0E2326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0B4EE8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2F07E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F4F33E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C87494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14499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E591E2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BE6531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0DCD61" w14:textId="77777777" w:rsidR="00000000" w:rsidRDefault="00195E73">
            <w:pPr>
              <w:jc w:val="right"/>
              <w:rPr>
                <w:rFonts w:eastAsia="Times New Roman"/>
              </w:rPr>
            </w:pPr>
            <w:r>
              <w:rPr>
                <w:rFonts w:eastAsia="Times New Roman"/>
                <w:color w:val="000000"/>
                <w:sz w:val="12"/>
                <w:szCs w:val="12"/>
              </w:rPr>
              <w:t>496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28CD50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FD5891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F93AD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D53B4E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F50F27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73920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FB70B9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C45486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F82E86" w14:textId="77777777" w:rsidR="00000000" w:rsidRDefault="00195E73">
            <w:pPr>
              <w:jc w:val="right"/>
              <w:rPr>
                <w:rFonts w:eastAsia="Times New Roman"/>
              </w:rPr>
            </w:pPr>
            <w:r>
              <w:rPr>
                <w:rFonts w:eastAsia="Times New Roman"/>
                <w:color w:val="000000"/>
                <w:sz w:val="12"/>
                <w:szCs w:val="12"/>
              </w:rPr>
              <w:t>1,664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41DBBF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3C10B8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E36213"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13669AA"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0F8074C7"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E0CBDD9" w14:textId="77777777" w:rsidR="00000000" w:rsidRDefault="00195E73">
            <w:pPr>
              <w:jc w:val="right"/>
              <w:rPr>
                <w:rFonts w:eastAsia="Times New Roman"/>
              </w:rPr>
            </w:pPr>
            <w:r>
              <w:rPr>
                <w:rFonts w:eastAsia="Times New Roman"/>
                <w:color w:val="000000"/>
                <w:sz w:val="12"/>
                <w:szCs w:val="12"/>
              </w:rPr>
              <w:t>2,163</w:t>
            </w:r>
            <w:r>
              <w:rPr>
                <w:rFonts w:eastAsia="Times New Roman"/>
                <w:color w:val="000000"/>
                <w:sz w:val="12"/>
                <w:szCs w:val="12"/>
              </w:rPr>
              <w:t> </w:t>
            </w:r>
            <w:r>
              <w:rPr>
                <w:rFonts w:eastAsia="Times New Roman"/>
                <w:color w:val="000000"/>
                <w:sz w:val="12"/>
                <w:szCs w:val="12"/>
              </w:rPr>
              <w:t> </w:t>
            </w:r>
          </w:p>
        </w:tc>
      </w:tr>
      <w:tr w:rsidR="00195E73" w14:paraId="75351080" w14:textId="77777777">
        <w:trPr>
          <w:divId w:val="1512376030"/>
        </w:trPr>
        <w:tc>
          <w:tcPr>
            <w:tcW w:w="0" w:type="auto"/>
            <w:gridSpan w:val="3"/>
            <w:shd w:val="clear" w:color="auto" w:fill="FFFFFF"/>
            <w:tcMar>
              <w:top w:w="30" w:type="dxa"/>
              <w:left w:w="20" w:type="dxa"/>
              <w:bottom w:w="30" w:type="dxa"/>
              <w:right w:w="20" w:type="dxa"/>
            </w:tcMar>
            <w:vAlign w:val="bottom"/>
            <w:hideMark/>
          </w:tcPr>
          <w:p w14:paraId="6BCE243F" w14:textId="77777777" w:rsidR="00000000" w:rsidRDefault="00195E73">
            <w:pPr>
              <w:ind w:firstLine="180"/>
              <w:divId w:val="1057169044"/>
              <w:rPr>
                <w:rFonts w:eastAsia="Times New Roman"/>
              </w:rPr>
            </w:pPr>
            <w:r>
              <w:rPr>
                <w:rFonts w:eastAsia="Times New Roman"/>
                <w:color w:val="000000"/>
                <w:sz w:val="12"/>
                <w:szCs w:val="12"/>
              </w:rPr>
              <w:t>Other (loss) income, ne</w:t>
            </w:r>
            <w:r>
              <w:rPr>
                <w:rFonts w:eastAsia="Times New Roman"/>
                <w:color w:val="000000"/>
                <w:sz w:val="12"/>
                <w:szCs w:val="12"/>
              </w:rPr>
              <w:t>t</w:t>
            </w:r>
          </w:p>
        </w:tc>
        <w:tc>
          <w:tcPr>
            <w:tcW w:w="0" w:type="auto"/>
            <w:gridSpan w:val="2"/>
            <w:shd w:val="clear" w:color="auto" w:fill="FFFFFF"/>
            <w:tcMar>
              <w:top w:w="30" w:type="dxa"/>
              <w:left w:w="20" w:type="dxa"/>
              <w:bottom w:w="30" w:type="dxa"/>
              <w:right w:w="0" w:type="dxa"/>
            </w:tcMar>
            <w:vAlign w:val="bottom"/>
            <w:hideMark/>
          </w:tcPr>
          <w:p w14:paraId="5E516ACA" w14:textId="77777777" w:rsidR="00000000" w:rsidRDefault="00195E73">
            <w:pPr>
              <w:jc w:val="right"/>
              <w:rPr>
                <w:rFonts w:eastAsia="Times New Roman"/>
              </w:rPr>
            </w:pPr>
            <w:r>
              <w:rPr>
                <w:rFonts w:eastAsia="Times New Roman"/>
                <w:color w:val="000000"/>
                <w:sz w:val="12"/>
                <w:szCs w:val="12"/>
              </w:rPr>
              <w:t>(50</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747AA26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FB5D75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11D608"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D4CACB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18A26E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03E1A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BF5C80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F0752A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FB1E59"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3AC806F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6BFE1E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4A799E"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0628714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88F54B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B1BDBC" w14:textId="77777777" w:rsidR="00000000" w:rsidRDefault="00195E73">
            <w:pPr>
              <w:jc w:val="right"/>
              <w:rPr>
                <w:rFonts w:eastAsia="Times New Roman"/>
              </w:rPr>
            </w:pPr>
            <w:r>
              <w:rPr>
                <w:rFonts w:eastAsia="Times New Roman"/>
                <w:color w:val="000000"/>
                <w:sz w:val="12"/>
                <w:szCs w:val="12"/>
              </w:rPr>
              <w:t>38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6C8932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7C373A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379D3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097038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C6EFC8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DAA082"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664C706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D81A6D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EB5F0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DA8605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F858FB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E69D8C" w14:textId="77777777" w:rsidR="00000000" w:rsidRDefault="00195E73">
            <w:pPr>
              <w:jc w:val="right"/>
              <w:rPr>
                <w:rFonts w:eastAsia="Times New Roman"/>
              </w:rPr>
            </w:pPr>
            <w:r>
              <w:rPr>
                <w:rFonts w:eastAsia="Times New Roman"/>
                <w:color w:val="000000"/>
                <w:sz w:val="12"/>
                <w:szCs w:val="12"/>
              </w:rPr>
              <w:t>(6</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5736BD54"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6A0A2591"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25014A7" w14:textId="77777777" w:rsidR="00000000" w:rsidRDefault="00195E73">
            <w:pPr>
              <w:jc w:val="right"/>
              <w:rPr>
                <w:rFonts w:eastAsia="Times New Roman"/>
              </w:rPr>
            </w:pPr>
            <w:r>
              <w:rPr>
                <w:rFonts w:eastAsia="Times New Roman"/>
                <w:color w:val="000000"/>
                <w:sz w:val="12"/>
                <w:szCs w:val="12"/>
              </w:rPr>
              <w:t>(22</w:t>
            </w:r>
            <w:r>
              <w:rPr>
                <w:rFonts w:eastAsia="Times New Roman"/>
                <w:color w:val="000000"/>
                <w:sz w:val="12"/>
                <w:szCs w:val="12"/>
              </w:rPr>
              <w:t>)</w:t>
            </w:r>
            <w:r>
              <w:rPr>
                <w:rFonts w:eastAsia="Times New Roman"/>
                <w:color w:val="000000"/>
                <w:sz w:val="12"/>
                <w:szCs w:val="12"/>
              </w:rPr>
              <w:t> </w:t>
            </w:r>
          </w:p>
        </w:tc>
      </w:tr>
      <w:tr w:rsidR="00195E73" w14:paraId="65D47FBD" w14:textId="77777777">
        <w:trPr>
          <w:divId w:val="1512376030"/>
        </w:trPr>
        <w:tc>
          <w:tcPr>
            <w:tcW w:w="0" w:type="auto"/>
            <w:gridSpan w:val="3"/>
            <w:shd w:val="clear" w:color="auto" w:fill="CCEEFF"/>
            <w:tcMar>
              <w:top w:w="15" w:type="dxa"/>
              <w:left w:w="20" w:type="dxa"/>
              <w:bottom w:w="15" w:type="dxa"/>
              <w:right w:w="20" w:type="dxa"/>
            </w:tcMar>
            <w:vAlign w:val="bottom"/>
            <w:hideMark/>
          </w:tcPr>
          <w:p w14:paraId="0FC6E36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0FC036" w14:textId="77777777" w:rsidR="00000000" w:rsidRDefault="00195E73">
            <w:pPr>
              <w:jc w:val="right"/>
              <w:rPr>
                <w:rFonts w:eastAsia="Times New Roman"/>
              </w:rPr>
            </w:pPr>
            <w:r>
              <w:rPr>
                <w:rFonts w:eastAsia="Times New Roman"/>
                <w:color w:val="000000"/>
                <w:sz w:val="12"/>
                <w:szCs w:val="12"/>
              </w:rPr>
              <w:t>297</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34DBBD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82D353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5EC18A" w14:textId="77777777" w:rsidR="00000000" w:rsidRDefault="00195E73">
            <w:pPr>
              <w:jc w:val="right"/>
              <w:rPr>
                <w:rFonts w:eastAsia="Times New Roman"/>
              </w:rPr>
            </w:pPr>
            <w:r>
              <w:rPr>
                <w:rFonts w:eastAsia="Times New Roman"/>
                <w:color w:val="000000"/>
                <w:sz w:val="12"/>
                <w:szCs w:val="12"/>
              </w:rPr>
              <w:t>5,988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333A71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F9D328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A77E51" w14:textId="77777777" w:rsidR="00000000" w:rsidRDefault="00195E73">
            <w:pPr>
              <w:jc w:val="right"/>
              <w:rPr>
                <w:rFonts w:eastAsia="Times New Roman"/>
              </w:rPr>
            </w:pPr>
            <w:r>
              <w:rPr>
                <w:rFonts w:eastAsia="Times New Roman"/>
                <w:color w:val="000000"/>
                <w:sz w:val="12"/>
                <w:szCs w:val="12"/>
              </w:rPr>
              <w:t>2,728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0A5D92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58833B0"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33B935" w14:textId="77777777" w:rsidR="00000000" w:rsidRDefault="00195E73">
            <w:pPr>
              <w:jc w:val="right"/>
              <w:rPr>
                <w:rFonts w:eastAsia="Times New Roman"/>
              </w:rPr>
            </w:pPr>
            <w:r>
              <w:rPr>
                <w:rFonts w:eastAsia="Times New Roman"/>
                <w:color w:val="000000"/>
                <w:sz w:val="12"/>
                <w:szCs w:val="12"/>
              </w:rPr>
              <w:t>389</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C55110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67B0D2A"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B4D303" w14:textId="77777777" w:rsidR="00000000" w:rsidRDefault="00195E73">
            <w:pPr>
              <w:jc w:val="right"/>
              <w:rPr>
                <w:rFonts w:eastAsia="Times New Roman"/>
              </w:rPr>
            </w:pPr>
            <w:r>
              <w:rPr>
                <w:rFonts w:eastAsia="Times New Roman"/>
                <w:color w:val="000000"/>
                <w:sz w:val="12"/>
                <w:szCs w:val="12"/>
              </w:rPr>
              <w:t>408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90FC9E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DC12BA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B5BC28" w14:textId="77777777" w:rsidR="00000000" w:rsidRDefault="00195E73">
            <w:pPr>
              <w:jc w:val="right"/>
              <w:rPr>
                <w:rFonts w:eastAsia="Times New Roman"/>
              </w:rPr>
            </w:pPr>
            <w:r>
              <w:rPr>
                <w:rFonts w:eastAsia="Times New Roman"/>
                <w:color w:val="000000"/>
                <w:sz w:val="12"/>
                <w:szCs w:val="12"/>
              </w:rPr>
              <w:t>628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5000D7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E1089C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81ABEC" w14:textId="77777777" w:rsidR="00000000" w:rsidRDefault="00195E73">
            <w:pPr>
              <w:jc w:val="right"/>
              <w:rPr>
                <w:rFonts w:eastAsia="Times New Roman"/>
              </w:rPr>
            </w:pPr>
            <w:r>
              <w:rPr>
                <w:rFonts w:eastAsia="Times New Roman"/>
                <w:color w:val="000000"/>
                <w:sz w:val="12"/>
                <w:szCs w:val="12"/>
              </w:rPr>
              <w:t>183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8AD4B6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B32CA59"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896B96" w14:textId="77777777" w:rsidR="00000000" w:rsidRDefault="00195E73">
            <w:pPr>
              <w:jc w:val="right"/>
              <w:rPr>
                <w:rFonts w:eastAsia="Times New Roman"/>
              </w:rPr>
            </w:pPr>
            <w:r>
              <w:rPr>
                <w:rFonts w:eastAsia="Times New Roman"/>
                <w:color w:val="000000"/>
                <w:sz w:val="12"/>
                <w:szCs w:val="12"/>
              </w:rPr>
              <w:t>93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0F1164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BEFC7B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CE1E09" w14:textId="77777777" w:rsidR="00000000" w:rsidRDefault="00195E73">
            <w:pPr>
              <w:jc w:val="right"/>
              <w:rPr>
                <w:rFonts w:eastAsia="Times New Roman"/>
              </w:rPr>
            </w:pPr>
            <w:r>
              <w:rPr>
                <w:rFonts w:eastAsia="Times New Roman"/>
                <w:color w:val="000000"/>
                <w:sz w:val="12"/>
                <w:szCs w:val="12"/>
              </w:rPr>
              <w:t>1,837</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663159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23FFEEC"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237F12" w14:textId="77777777" w:rsidR="00000000" w:rsidRDefault="00195E73">
            <w:pPr>
              <w:jc w:val="right"/>
              <w:rPr>
                <w:rFonts w:eastAsia="Times New Roman"/>
              </w:rPr>
            </w:pPr>
            <w:r>
              <w:rPr>
                <w:rFonts w:eastAsia="Times New Roman"/>
                <w:color w:val="000000"/>
                <w:sz w:val="12"/>
                <w:szCs w:val="12"/>
              </w:rPr>
              <w:t>68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8CEBF7C"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2E94F242"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1E8B58" w14:textId="77777777" w:rsidR="00000000" w:rsidRDefault="00195E73">
            <w:pPr>
              <w:jc w:val="right"/>
              <w:rPr>
                <w:rFonts w:eastAsia="Times New Roman"/>
              </w:rPr>
            </w:pPr>
            <w:r>
              <w:rPr>
                <w:rFonts w:eastAsia="Times New Roman"/>
                <w:color w:val="000000"/>
                <w:sz w:val="12"/>
                <w:szCs w:val="12"/>
              </w:rPr>
              <w:t>12,619</w:t>
            </w:r>
            <w:r>
              <w:rPr>
                <w:rFonts w:eastAsia="Times New Roman"/>
                <w:color w:val="000000"/>
                <w:sz w:val="12"/>
                <w:szCs w:val="12"/>
              </w:rPr>
              <w:t> </w:t>
            </w:r>
            <w:r>
              <w:rPr>
                <w:rFonts w:eastAsia="Times New Roman"/>
                <w:color w:val="000000"/>
                <w:sz w:val="12"/>
                <w:szCs w:val="12"/>
              </w:rPr>
              <w:t> </w:t>
            </w:r>
          </w:p>
        </w:tc>
      </w:tr>
      <w:tr w:rsidR="00000000" w14:paraId="614CCE06" w14:textId="77777777">
        <w:trPr>
          <w:divId w:val="1512376030"/>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24356E86" w14:textId="77777777" w:rsidR="00000000" w:rsidRDefault="00195E73">
            <w:pPr>
              <w:rPr>
                <w:rFonts w:eastAsia="Times New Roman"/>
              </w:rPr>
            </w:pPr>
            <w:r>
              <w:rPr>
                <w:rFonts w:eastAsia="Times New Roman"/>
                <w:color w:val="000000"/>
                <w:sz w:val="12"/>
                <w:szCs w:val="12"/>
              </w:rPr>
              <w:t>Expenses</w:t>
            </w:r>
            <w:r>
              <w:rPr>
                <w:rFonts w:eastAsia="Times New Roman"/>
                <w:color w:val="000000"/>
                <w:sz w:val="12"/>
                <w:szCs w:val="12"/>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30DDBDA2"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5C0B71C"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0D3D7D0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AF300F7"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2778C1C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EAE8BB0"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6931D91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861643A"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0B4ED30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A0156E0"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506ED23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682CDE9"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2322464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4EDE096"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64CDC47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4F5F6E5"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2B0D92D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2C758A3"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74A03BD4"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42243352" w14:textId="77777777" w:rsidR="00000000" w:rsidRDefault="00195E73">
            <w:pPr>
              <w:rPr>
                <w:rFonts w:eastAsia="Times New Roman"/>
                <w:sz w:val="20"/>
                <w:szCs w:val="20"/>
              </w:rPr>
            </w:pPr>
          </w:p>
        </w:tc>
        <w:tc>
          <w:tcPr>
            <w:tcW w:w="0" w:type="auto"/>
            <w:tcBorders>
              <w:top w:val="single" w:sz="8" w:space="0" w:color="000000"/>
            </w:tcBorders>
            <w:shd w:val="clear" w:color="auto" w:fill="FFFFFF"/>
            <w:tcMar>
              <w:top w:w="15" w:type="dxa"/>
              <w:left w:w="20" w:type="dxa"/>
              <w:bottom w:w="15" w:type="dxa"/>
              <w:right w:w="20" w:type="dxa"/>
            </w:tcMar>
            <w:vAlign w:val="bottom"/>
            <w:hideMark/>
          </w:tcPr>
          <w:p w14:paraId="01D19BA6" w14:textId="77777777" w:rsidR="00000000" w:rsidRDefault="00195E73">
            <w:pPr>
              <w:rPr>
                <w:rFonts w:eastAsia="Times New Roman"/>
                <w:sz w:val="20"/>
                <w:szCs w:val="20"/>
              </w:rPr>
            </w:pPr>
          </w:p>
        </w:tc>
      </w:tr>
      <w:tr w:rsidR="00195E73" w14:paraId="3A96204A" w14:textId="77777777">
        <w:trPr>
          <w:divId w:val="1512376030"/>
        </w:trPr>
        <w:tc>
          <w:tcPr>
            <w:tcW w:w="0" w:type="auto"/>
            <w:gridSpan w:val="3"/>
            <w:shd w:val="clear" w:color="auto" w:fill="CCEEFF"/>
            <w:tcMar>
              <w:top w:w="30" w:type="dxa"/>
              <w:left w:w="20" w:type="dxa"/>
              <w:bottom w:w="30" w:type="dxa"/>
              <w:right w:w="20" w:type="dxa"/>
            </w:tcMar>
            <w:vAlign w:val="bottom"/>
            <w:hideMark/>
          </w:tcPr>
          <w:p w14:paraId="5A88A827" w14:textId="77777777" w:rsidR="00000000" w:rsidRDefault="00195E73">
            <w:pPr>
              <w:ind w:firstLine="180"/>
              <w:divId w:val="320230917"/>
              <w:rPr>
                <w:rFonts w:eastAsia="Times New Roman"/>
              </w:rPr>
            </w:pPr>
            <w:r>
              <w:rPr>
                <w:rFonts w:eastAsia="Times New Roman"/>
                <w:color w:val="000000"/>
                <w:sz w:val="12"/>
                <w:szCs w:val="12"/>
              </w:rPr>
              <w:t>Cost of goods sol</w:t>
            </w:r>
            <w:r>
              <w:rPr>
                <w:rFonts w:eastAsia="Times New Roman"/>
                <w:color w:val="000000"/>
                <w:sz w:val="12"/>
                <w:szCs w:val="12"/>
              </w:rPr>
              <w:t>d</w:t>
            </w:r>
          </w:p>
        </w:tc>
        <w:tc>
          <w:tcPr>
            <w:tcW w:w="0" w:type="auto"/>
            <w:gridSpan w:val="2"/>
            <w:shd w:val="clear" w:color="auto" w:fill="CCEEFF"/>
            <w:tcMar>
              <w:top w:w="30" w:type="dxa"/>
              <w:left w:w="20" w:type="dxa"/>
              <w:bottom w:w="30" w:type="dxa"/>
              <w:right w:w="0" w:type="dxa"/>
            </w:tcMar>
            <w:vAlign w:val="bottom"/>
            <w:hideMark/>
          </w:tcPr>
          <w:p w14:paraId="47A7C73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A9199A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EBFDF3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E29153" w14:textId="77777777" w:rsidR="00000000" w:rsidRDefault="00195E73">
            <w:pPr>
              <w:jc w:val="right"/>
              <w:rPr>
                <w:rFonts w:eastAsia="Times New Roman"/>
              </w:rPr>
            </w:pPr>
            <w:r>
              <w:rPr>
                <w:rFonts w:eastAsia="Times New Roman"/>
                <w:color w:val="000000"/>
                <w:sz w:val="12"/>
                <w:szCs w:val="12"/>
              </w:rPr>
              <w:t>5,761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BEE094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5E6A07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A6CD7F" w14:textId="77777777" w:rsidR="00000000" w:rsidRDefault="00195E73">
            <w:pPr>
              <w:jc w:val="right"/>
              <w:rPr>
                <w:rFonts w:eastAsia="Times New Roman"/>
              </w:rPr>
            </w:pPr>
            <w:r>
              <w:rPr>
                <w:rFonts w:eastAsia="Times New Roman"/>
                <w:color w:val="000000"/>
                <w:sz w:val="12"/>
                <w:szCs w:val="12"/>
              </w:rPr>
              <w:t>1,540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92659E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F54BC4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C8C2B1" w14:textId="77777777" w:rsidR="00000000" w:rsidRDefault="00195E73">
            <w:pPr>
              <w:jc w:val="right"/>
              <w:rPr>
                <w:rFonts w:eastAsia="Times New Roman"/>
              </w:rPr>
            </w:pPr>
            <w:r>
              <w:rPr>
                <w:rFonts w:eastAsia="Times New Roman"/>
                <w:color w:val="000000"/>
                <w:sz w:val="12"/>
                <w:szCs w:val="12"/>
              </w:rPr>
              <w:t>297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0E1EFA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6B363A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021DC2" w14:textId="77777777" w:rsidR="00000000" w:rsidRDefault="00195E73">
            <w:pPr>
              <w:jc w:val="right"/>
              <w:rPr>
                <w:rFonts w:eastAsia="Times New Roman"/>
              </w:rPr>
            </w:pPr>
            <w:r>
              <w:rPr>
                <w:rFonts w:eastAsia="Times New Roman"/>
                <w:color w:val="000000"/>
                <w:sz w:val="12"/>
                <w:szCs w:val="12"/>
              </w:rPr>
              <w:t>389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B3C887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C4D551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C53A59" w14:textId="77777777" w:rsidR="00000000" w:rsidRDefault="00195E73">
            <w:pPr>
              <w:jc w:val="right"/>
              <w:rPr>
                <w:rFonts w:eastAsia="Times New Roman"/>
              </w:rPr>
            </w:pPr>
            <w:r>
              <w:rPr>
                <w:rFonts w:eastAsia="Times New Roman"/>
                <w:color w:val="000000"/>
                <w:sz w:val="12"/>
                <w:szCs w:val="12"/>
              </w:rPr>
              <w:t>11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25C6C2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EAD1B4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FD8011" w14:textId="77777777" w:rsidR="00000000" w:rsidRDefault="00195E73">
            <w:pPr>
              <w:jc w:val="right"/>
              <w:rPr>
                <w:rFonts w:eastAsia="Times New Roman"/>
              </w:rPr>
            </w:pPr>
            <w:r>
              <w:rPr>
                <w:rFonts w:eastAsia="Times New Roman"/>
                <w:color w:val="000000"/>
                <w:sz w:val="12"/>
                <w:szCs w:val="12"/>
              </w:rPr>
              <w:t>162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526C20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AEF373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25A592" w14:textId="77777777" w:rsidR="00000000" w:rsidRDefault="00195E73">
            <w:pPr>
              <w:jc w:val="right"/>
              <w:rPr>
                <w:rFonts w:eastAsia="Times New Roman"/>
              </w:rPr>
            </w:pPr>
            <w:r>
              <w:rPr>
                <w:rFonts w:eastAsia="Times New Roman"/>
                <w:color w:val="000000"/>
                <w:sz w:val="12"/>
                <w:szCs w:val="12"/>
              </w:rPr>
              <w:t>60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D4DD09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D48291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5E2BD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BC44C3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4ADB36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C837D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A12AFD0"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59EF7256"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2023AC9" w14:textId="77777777" w:rsidR="00000000" w:rsidRDefault="00195E73">
            <w:pPr>
              <w:jc w:val="right"/>
              <w:rPr>
                <w:rFonts w:eastAsia="Times New Roman"/>
              </w:rPr>
            </w:pPr>
            <w:r>
              <w:rPr>
                <w:rFonts w:eastAsia="Times New Roman"/>
                <w:color w:val="000000"/>
                <w:sz w:val="12"/>
                <w:szCs w:val="12"/>
              </w:rPr>
              <w:t>8,220</w:t>
            </w:r>
            <w:r>
              <w:rPr>
                <w:rFonts w:eastAsia="Times New Roman"/>
                <w:color w:val="000000"/>
                <w:sz w:val="12"/>
                <w:szCs w:val="12"/>
              </w:rPr>
              <w:t> </w:t>
            </w:r>
            <w:r>
              <w:rPr>
                <w:rFonts w:eastAsia="Times New Roman"/>
                <w:color w:val="000000"/>
                <w:sz w:val="12"/>
                <w:szCs w:val="12"/>
              </w:rPr>
              <w:t> </w:t>
            </w:r>
          </w:p>
        </w:tc>
      </w:tr>
      <w:tr w:rsidR="00195E73" w14:paraId="5859B4CB" w14:textId="77777777">
        <w:trPr>
          <w:divId w:val="1512376030"/>
        </w:trPr>
        <w:tc>
          <w:tcPr>
            <w:tcW w:w="0" w:type="auto"/>
            <w:gridSpan w:val="3"/>
            <w:shd w:val="clear" w:color="auto" w:fill="FFFFFF"/>
            <w:tcMar>
              <w:top w:w="30" w:type="dxa"/>
              <w:left w:w="20" w:type="dxa"/>
              <w:bottom w:w="30" w:type="dxa"/>
              <w:right w:w="20" w:type="dxa"/>
            </w:tcMar>
            <w:vAlign w:val="bottom"/>
            <w:hideMark/>
          </w:tcPr>
          <w:p w14:paraId="2C61869C" w14:textId="77777777" w:rsidR="00000000" w:rsidRDefault="00195E73">
            <w:pPr>
              <w:ind w:firstLine="180"/>
              <w:divId w:val="639068967"/>
              <w:rPr>
                <w:rFonts w:eastAsia="Times New Roman"/>
              </w:rPr>
            </w:pPr>
            <w:r>
              <w:rPr>
                <w:rFonts w:eastAsia="Times New Roman"/>
                <w:color w:val="000000"/>
                <w:sz w:val="12"/>
                <w:szCs w:val="12"/>
              </w:rPr>
              <w:t>Other expenses from operation</w:t>
            </w:r>
            <w:r>
              <w:rPr>
                <w:rFonts w:eastAsia="Times New Roman"/>
                <w:color w:val="000000"/>
                <w:sz w:val="12"/>
                <w:szCs w:val="12"/>
              </w:rPr>
              <w:t>s</w:t>
            </w:r>
          </w:p>
        </w:tc>
        <w:tc>
          <w:tcPr>
            <w:tcW w:w="0" w:type="auto"/>
            <w:gridSpan w:val="2"/>
            <w:shd w:val="clear" w:color="auto" w:fill="FFFFFF"/>
            <w:tcMar>
              <w:top w:w="30" w:type="dxa"/>
              <w:left w:w="20" w:type="dxa"/>
              <w:bottom w:w="30" w:type="dxa"/>
              <w:right w:w="0" w:type="dxa"/>
            </w:tcMar>
            <w:vAlign w:val="bottom"/>
            <w:hideMark/>
          </w:tcPr>
          <w:p w14:paraId="3475CC5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62CEBE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4624BD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0451E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2C783E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B1C257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D5F2F7" w14:textId="77777777" w:rsidR="00000000" w:rsidRDefault="00195E73">
            <w:pPr>
              <w:jc w:val="right"/>
              <w:rPr>
                <w:rFonts w:eastAsia="Times New Roman"/>
              </w:rPr>
            </w:pPr>
            <w:r>
              <w:rPr>
                <w:rFonts w:eastAsia="Times New Roman"/>
                <w:color w:val="000000"/>
                <w:sz w:val="12"/>
                <w:szCs w:val="12"/>
              </w:rPr>
              <w:t>438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7D6B22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27CE2B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11D2C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2CFB3B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52F7A9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7F6C7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870069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CBA8D8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D43B60" w14:textId="77777777" w:rsidR="00000000" w:rsidRDefault="00195E73">
            <w:pPr>
              <w:jc w:val="right"/>
              <w:rPr>
                <w:rFonts w:eastAsia="Times New Roman"/>
              </w:rPr>
            </w:pPr>
            <w:r>
              <w:rPr>
                <w:rFonts w:eastAsia="Times New Roman"/>
                <w:color w:val="000000"/>
                <w:sz w:val="12"/>
                <w:szCs w:val="12"/>
              </w:rPr>
              <w:t>46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7F6A8B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CB3625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CFEEE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C0E061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10B795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3ADD2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D4376E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036B77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2A4299" w14:textId="77777777" w:rsidR="00000000" w:rsidRDefault="00195E73">
            <w:pPr>
              <w:jc w:val="right"/>
              <w:rPr>
                <w:rFonts w:eastAsia="Times New Roman"/>
              </w:rPr>
            </w:pPr>
            <w:r>
              <w:rPr>
                <w:rFonts w:eastAsia="Times New Roman"/>
                <w:color w:val="000000"/>
                <w:sz w:val="12"/>
                <w:szCs w:val="12"/>
              </w:rPr>
              <w:t>34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649E20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B7085C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C9D4D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7F77EB1"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1CC441CA"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01CB508" w14:textId="77777777" w:rsidR="00000000" w:rsidRDefault="00195E73">
            <w:pPr>
              <w:jc w:val="right"/>
              <w:rPr>
                <w:rFonts w:eastAsia="Times New Roman"/>
              </w:rPr>
            </w:pPr>
            <w:r>
              <w:rPr>
                <w:rFonts w:eastAsia="Times New Roman"/>
                <w:color w:val="000000"/>
                <w:sz w:val="12"/>
                <w:szCs w:val="12"/>
              </w:rPr>
              <w:t>518</w:t>
            </w:r>
            <w:r>
              <w:rPr>
                <w:rFonts w:eastAsia="Times New Roman"/>
                <w:color w:val="000000"/>
                <w:sz w:val="12"/>
                <w:szCs w:val="12"/>
              </w:rPr>
              <w:t> </w:t>
            </w:r>
            <w:r>
              <w:rPr>
                <w:rFonts w:eastAsia="Times New Roman"/>
                <w:color w:val="000000"/>
                <w:sz w:val="12"/>
                <w:szCs w:val="12"/>
              </w:rPr>
              <w:t> </w:t>
            </w:r>
          </w:p>
        </w:tc>
      </w:tr>
      <w:tr w:rsidR="00195E73" w14:paraId="43E76DAD" w14:textId="77777777">
        <w:trPr>
          <w:divId w:val="1512376030"/>
        </w:trPr>
        <w:tc>
          <w:tcPr>
            <w:tcW w:w="0" w:type="auto"/>
            <w:gridSpan w:val="3"/>
            <w:shd w:val="clear" w:color="auto" w:fill="CCEEFF"/>
            <w:tcMar>
              <w:top w:w="30" w:type="dxa"/>
              <w:left w:w="20" w:type="dxa"/>
              <w:bottom w:w="30" w:type="dxa"/>
              <w:right w:w="20" w:type="dxa"/>
            </w:tcMar>
            <w:vAlign w:val="bottom"/>
            <w:hideMark/>
          </w:tcPr>
          <w:p w14:paraId="0479B521" w14:textId="77777777" w:rsidR="00000000" w:rsidRDefault="00195E73">
            <w:pPr>
              <w:ind w:firstLine="180"/>
              <w:divId w:val="1643385010"/>
              <w:rPr>
                <w:rFonts w:eastAsia="Times New Roman"/>
              </w:rPr>
            </w:pPr>
            <w:r>
              <w:rPr>
                <w:rFonts w:eastAsia="Times New Roman"/>
                <w:color w:val="000000"/>
                <w:sz w:val="12"/>
                <w:szCs w:val="12"/>
              </w:rPr>
              <w:t>Selling, general and administrativ</w:t>
            </w:r>
            <w:r>
              <w:rPr>
                <w:rFonts w:eastAsia="Times New Roman"/>
                <w:color w:val="000000"/>
                <w:sz w:val="12"/>
                <w:szCs w:val="12"/>
              </w:rPr>
              <w:t>e</w:t>
            </w:r>
          </w:p>
        </w:tc>
        <w:tc>
          <w:tcPr>
            <w:tcW w:w="0" w:type="auto"/>
            <w:gridSpan w:val="2"/>
            <w:shd w:val="clear" w:color="auto" w:fill="CCEEFF"/>
            <w:tcMar>
              <w:top w:w="30" w:type="dxa"/>
              <w:left w:w="20" w:type="dxa"/>
              <w:bottom w:w="30" w:type="dxa"/>
              <w:right w:w="0" w:type="dxa"/>
            </w:tcMar>
            <w:vAlign w:val="bottom"/>
            <w:hideMark/>
          </w:tcPr>
          <w:p w14:paraId="4C265D3F" w14:textId="77777777" w:rsidR="00000000" w:rsidRDefault="00195E73">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6D424C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394FAC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64AB22" w14:textId="77777777" w:rsidR="00000000" w:rsidRDefault="00195E73">
            <w:pPr>
              <w:jc w:val="right"/>
              <w:rPr>
                <w:rFonts w:eastAsia="Times New Roman"/>
              </w:rPr>
            </w:pPr>
            <w:r>
              <w:rPr>
                <w:rFonts w:eastAsia="Times New Roman"/>
                <w:color w:val="000000"/>
                <w:sz w:val="12"/>
                <w:szCs w:val="12"/>
              </w:rPr>
              <w:t>143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2061C3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F74E37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470746" w14:textId="77777777" w:rsidR="00000000" w:rsidRDefault="00195E73">
            <w:pPr>
              <w:jc w:val="right"/>
              <w:rPr>
                <w:rFonts w:eastAsia="Times New Roman"/>
              </w:rPr>
            </w:pPr>
            <w:r>
              <w:rPr>
                <w:rFonts w:eastAsia="Times New Roman"/>
                <w:color w:val="000000"/>
                <w:sz w:val="12"/>
                <w:szCs w:val="12"/>
              </w:rPr>
              <w:t>919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9EEE75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D2EB9F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A0469E" w14:textId="77777777" w:rsidR="00000000" w:rsidRDefault="00195E73">
            <w:pPr>
              <w:jc w:val="right"/>
              <w:rPr>
                <w:rFonts w:eastAsia="Times New Roman"/>
              </w:rPr>
            </w:pPr>
            <w:r>
              <w:rPr>
                <w:rFonts w:eastAsia="Times New Roman"/>
                <w:color w:val="000000"/>
                <w:sz w:val="12"/>
                <w:szCs w:val="12"/>
              </w:rPr>
              <w:t>61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3C1DCB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F3E011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BDE085" w14:textId="77777777" w:rsidR="00000000" w:rsidRDefault="00195E73">
            <w:pPr>
              <w:jc w:val="right"/>
              <w:rPr>
                <w:rFonts w:eastAsia="Times New Roman"/>
              </w:rPr>
            </w:pPr>
            <w:r>
              <w:rPr>
                <w:rFonts w:eastAsia="Times New Roman"/>
                <w:color w:val="000000"/>
                <w:sz w:val="12"/>
                <w:szCs w:val="12"/>
              </w:rPr>
              <w:t>19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75B3B7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205F6E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DE33F1" w14:textId="77777777" w:rsidR="00000000" w:rsidRDefault="00195E73">
            <w:pPr>
              <w:jc w:val="right"/>
              <w:rPr>
                <w:rFonts w:eastAsia="Times New Roman"/>
              </w:rPr>
            </w:pPr>
            <w:r>
              <w:rPr>
                <w:rFonts w:eastAsia="Times New Roman"/>
                <w:color w:val="000000"/>
                <w:sz w:val="12"/>
                <w:szCs w:val="12"/>
              </w:rPr>
              <w:t>18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C7B829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94D8CC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1DC745" w14:textId="77777777" w:rsidR="00000000" w:rsidRDefault="00195E73">
            <w:pPr>
              <w:jc w:val="right"/>
              <w:rPr>
                <w:rFonts w:eastAsia="Times New Roman"/>
              </w:rPr>
            </w:pPr>
            <w:r>
              <w:rPr>
                <w:rFonts w:eastAsia="Times New Roman"/>
                <w:color w:val="000000"/>
                <w:sz w:val="12"/>
                <w:szCs w:val="12"/>
              </w:rPr>
              <w:t>39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4725EF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2B2B6D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1E743C" w14:textId="77777777" w:rsidR="00000000" w:rsidRDefault="00195E73">
            <w:pPr>
              <w:jc w:val="right"/>
              <w:rPr>
                <w:rFonts w:eastAsia="Times New Roman"/>
              </w:rPr>
            </w:pPr>
            <w:r>
              <w:rPr>
                <w:rFonts w:eastAsia="Times New Roman"/>
                <w:color w:val="000000"/>
                <w:sz w:val="12"/>
                <w:szCs w:val="12"/>
              </w:rPr>
              <w:t>14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45DF8D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42112A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D628E7" w14:textId="77777777" w:rsidR="00000000" w:rsidRDefault="00195E73">
            <w:pPr>
              <w:jc w:val="right"/>
              <w:rPr>
                <w:rFonts w:eastAsia="Times New Roman"/>
              </w:rPr>
            </w:pPr>
            <w:r>
              <w:rPr>
                <w:rFonts w:eastAsia="Times New Roman"/>
                <w:color w:val="000000"/>
                <w:sz w:val="12"/>
                <w:szCs w:val="12"/>
              </w:rPr>
              <w:t>10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9EBE64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9EE331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2BF35E" w14:textId="77777777" w:rsidR="00000000" w:rsidRDefault="00195E73">
            <w:pPr>
              <w:jc w:val="right"/>
              <w:rPr>
                <w:rFonts w:eastAsia="Times New Roman"/>
              </w:rPr>
            </w:pPr>
            <w:r>
              <w:rPr>
                <w:rFonts w:eastAsia="Times New Roman"/>
                <w:color w:val="000000"/>
                <w:sz w:val="12"/>
                <w:szCs w:val="12"/>
              </w:rPr>
              <w:t>33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B244573"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4989209F"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CB5576B" w14:textId="77777777" w:rsidR="00000000" w:rsidRDefault="00195E73">
            <w:pPr>
              <w:jc w:val="right"/>
              <w:rPr>
                <w:rFonts w:eastAsia="Times New Roman"/>
              </w:rPr>
            </w:pPr>
            <w:r>
              <w:rPr>
                <w:rFonts w:eastAsia="Times New Roman"/>
                <w:color w:val="000000"/>
                <w:sz w:val="12"/>
                <w:szCs w:val="12"/>
              </w:rPr>
              <w:t>1,269</w:t>
            </w:r>
            <w:r>
              <w:rPr>
                <w:rFonts w:eastAsia="Times New Roman"/>
                <w:color w:val="000000"/>
                <w:sz w:val="12"/>
                <w:szCs w:val="12"/>
              </w:rPr>
              <w:t> </w:t>
            </w:r>
            <w:r>
              <w:rPr>
                <w:rFonts w:eastAsia="Times New Roman"/>
                <w:color w:val="000000"/>
                <w:sz w:val="12"/>
                <w:szCs w:val="12"/>
              </w:rPr>
              <w:t> </w:t>
            </w:r>
          </w:p>
        </w:tc>
      </w:tr>
      <w:tr w:rsidR="00195E73" w14:paraId="45AC5510" w14:textId="77777777">
        <w:trPr>
          <w:divId w:val="1512376030"/>
        </w:trPr>
        <w:tc>
          <w:tcPr>
            <w:tcW w:w="0" w:type="auto"/>
            <w:gridSpan w:val="3"/>
            <w:shd w:val="clear" w:color="auto" w:fill="FFFFFF"/>
            <w:tcMar>
              <w:top w:w="30" w:type="dxa"/>
              <w:left w:w="20" w:type="dxa"/>
              <w:bottom w:w="30" w:type="dxa"/>
              <w:right w:w="20" w:type="dxa"/>
            </w:tcMar>
            <w:vAlign w:val="bottom"/>
            <w:hideMark/>
          </w:tcPr>
          <w:p w14:paraId="20675C78" w14:textId="77777777" w:rsidR="00000000" w:rsidRDefault="00195E73">
            <w:pPr>
              <w:ind w:firstLine="180"/>
              <w:divId w:val="2065368350"/>
              <w:rPr>
                <w:rFonts w:eastAsia="Times New Roman"/>
              </w:rPr>
            </w:pPr>
            <w:r>
              <w:rPr>
                <w:rFonts w:eastAsia="Times New Roman"/>
                <w:color w:val="000000"/>
                <w:sz w:val="12"/>
                <w:szCs w:val="12"/>
              </w:rPr>
              <w:t>Restructurin</w:t>
            </w:r>
            <w:r>
              <w:rPr>
                <w:rFonts w:eastAsia="Times New Roman"/>
                <w:color w:val="000000"/>
                <w:sz w:val="12"/>
                <w:szCs w:val="12"/>
              </w:rPr>
              <w:t>g</w:t>
            </w:r>
          </w:p>
        </w:tc>
        <w:tc>
          <w:tcPr>
            <w:tcW w:w="0" w:type="auto"/>
            <w:gridSpan w:val="2"/>
            <w:shd w:val="clear" w:color="auto" w:fill="FFFFFF"/>
            <w:tcMar>
              <w:top w:w="30" w:type="dxa"/>
              <w:left w:w="20" w:type="dxa"/>
              <w:bottom w:w="30" w:type="dxa"/>
              <w:right w:w="0" w:type="dxa"/>
            </w:tcMar>
            <w:vAlign w:val="bottom"/>
            <w:hideMark/>
          </w:tcPr>
          <w:p w14:paraId="38531A2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71FD4C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B32215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35108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7C78DF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D9E19C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504B2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45FD8C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C0D352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BDA6C2"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3B34F4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0F5E2E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0DF502"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67D1FB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935E4E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9C3C3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BBE642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2149D5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E4A112"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D03E54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97F1E4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B827B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FD930C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A307E2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65A6B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3B9AC0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508369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2340B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E763147"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074D3C40"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90D135B" w14:textId="77777777" w:rsidR="00000000" w:rsidRDefault="00195E73">
            <w:pPr>
              <w:jc w:val="right"/>
              <w:rPr>
                <w:rFonts w:eastAsia="Times New Roman"/>
              </w:rPr>
            </w:pPr>
            <w:r>
              <w:rPr>
                <w:rFonts w:eastAsia="Times New Roman"/>
                <w:color w:val="000000"/>
                <w:sz w:val="12"/>
                <w:szCs w:val="12"/>
              </w:rPr>
              <w:t>4</w:t>
            </w:r>
            <w:r>
              <w:rPr>
                <w:rFonts w:eastAsia="Times New Roman"/>
                <w:color w:val="000000"/>
                <w:sz w:val="12"/>
                <w:szCs w:val="12"/>
              </w:rPr>
              <w:t> </w:t>
            </w:r>
            <w:r>
              <w:rPr>
                <w:rFonts w:eastAsia="Times New Roman"/>
                <w:color w:val="000000"/>
                <w:sz w:val="12"/>
                <w:szCs w:val="12"/>
              </w:rPr>
              <w:t> </w:t>
            </w:r>
          </w:p>
        </w:tc>
      </w:tr>
      <w:tr w:rsidR="00195E73" w14:paraId="2AD290AB" w14:textId="77777777">
        <w:trPr>
          <w:divId w:val="1512376030"/>
        </w:trPr>
        <w:tc>
          <w:tcPr>
            <w:tcW w:w="0" w:type="auto"/>
            <w:gridSpan w:val="3"/>
            <w:shd w:val="clear" w:color="auto" w:fill="CCEEFF"/>
            <w:tcMar>
              <w:top w:w="30" w:type="dxa"/>
              <w:left w:w="20" w:type="dxa"/>
              <w:bottom w:w="30" w:type="dxa"/>
              <w:right w:w="20" w:type="dxa"/>
            </w:tcMar>
            <w:vAlign w:val="bottom"/>
            <w:hideMark/>
          </w:tcPr>
          <w:p w14:paraId="7F4819D4" w14:textId="77777777" w:rsidR="00000000" w:rsidRDefault="00195E73">
            <w:pPr>
              <w:ind w:firstLine="180"/>
              <w:divId w:val="1505588333"/>
              <w:rPr>
                <w:rFonts w:eastAsia="Times New Roman"/>
              </w:rPr>
            </w:pPr>
            <w:r>
              <w:rPr>
                <w:rFonts w:eastAsia="Times New Roman"/>
                <w:color w:val="000000"/>
                <w:sz w:val="12"/>
                <w:szCs w:val="12"/>
              </w:rPr>
              <w:t>Impairmen</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0C13E41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222D70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D9FB44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D4038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A971B1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1F645A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DACF6A" w14:textId="77777777" w:rsidR="00000000" w:rsidRDefault="00195E73">
            <w:pPr>
              <w:jc w:val="right"/>
              <w:rPr>
                <w:rFonts w:eastAsia="Times New Roman"/>
              </w:rPr>
            </w:pPr>
            <w:r>
              <w:rPr>
                <w:rFonts w:eastAsia="Times New Roman"/>
                <w:color w:val="000000"/>
                <w:sz w:val="12"/>
                <w:szCs w:val="12"/>
              </w:rPr>
              <w:t>15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853F4B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7E0F1B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A4F6E1"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29FFEF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F0417E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16B7A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190C30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997E92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D904D8"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79B8D5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58AF9C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9D550E"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1D4ED6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0A450D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BF6DA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CDE8D1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0D6802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FEE367" w14:textId="77777777" w:rsidR="00000000" w:rsidRDefault="00195E73">
            <w:pPr>
              <w:jc w:val="right"/>
              <w:rPr>
                <w:rFonts w:eastAsia="Times New Roman"/>
              </w:rPr>
            </w:pPr>
            <w:r>
              <w:rPr>
                <w:rFonts w:eastAsia="Times New Roman"/>
                <w:color w:val="000000"/>
                <w:sz w:val="12"/>
                <w:szCs w:val="12"/>
              </w:rPr>
              <w:t>68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066F00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814633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2F00E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341B805"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0B3D4A19"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9505B7C" w14:textId="77777777" w:rsidR="00000000" w:rsidRDefault="00195E73">
            <w:pPr>
              <w:jc w:val="right"/>
              <w:rPr>
                <w:rFonts w:eastAsia="Times New Roman"/>
              </w:rPr>
            </w:pPr>
            <w:r>
              <w:rPr>
                <w:rFonts w:eastAsia="Times New Roman"/>
                <w:color w:val="000000"/>
                <w:sz w:val="12"/>
                <w:szCs w:val="12"/>
              </w:rPr>
              <w:t>87</w:t>
            </w:r>
            <w:r>
              <w:rPr>
                <w:rFonts w:eastAsia="Times New Roman"/>
                <w:color w:val="000000"/>
                <w:sz w:val="12"/>
                <w:szCs w:val="12"/>
              </w:rPr>
              <w:t> </w:t>
            </w:r>
            <w:r>
              <w:rPr>
                <w:rFonts w:eastAsia="Times New Roman"/>
                <w:color w:val="000000"/>
                <w:sz w:val="12"/>
                <w:szCs w:val="12"/>
              </w:rPr>
              <w:t> </w:t>
            </w:r>
          </w:p>
        </w:tc>
      </w:tr>
      <w:tr w:rsidR="00195E73" w14:paraId="2319313C" w14:textId="77777777">
        <w:trPr>
          <w:divId w:val="1512376030"/>
        </w:trPr>
        <w:tc>
          <w:tcPr>
            <w:tcW w:w="0" w:type="auto"/>
            <w:gridSpan w:val="3"/>
            <w:shd w:val="clear" w:color="auto" w:fill="FFFFFF"/>
            <w:tcMar>
              <w:top w:w="30" w:type="dxa"/>
              <w:left w:w="20" w:type="dxa"/>
              <w:bottom w:w="30" w:type="dxa"/>
              <w:right w:w="20" w:type="dxa"/>
            </w:tcMar>
            <w:vAlign w:val="bottom"/>
            <w:hideMark/>
          </w:tcPr>
          <w:p w14:paraId="6B04AAB6" w14:textId="77777777" w:rsidR="00000000" w:rsidRDefault="00195E73">
            <w:pPr>
              <w:ind w:firstLine="180"/>
              <w:divId w:val="739909777"/>
              <w:rPr>
                <w:rFonts w:eastAsia="Times New Roman"/>
              </w:rPr>
            </w:pPr>
            <w:r>
              <w:rPr>
                <w:rFonts w:eastAsia="Times New Roman"/>
                <w:color w:val="000000"/>
                <w:sz w:val="12"/>
                <w:szCs w:val="12"/>
              </w:rPr>
              <w:t>Interest expens</w:t>
            </w:r>
            <w:r>
              <w:rPr>
                <w:rFonts w:eastAsia="Times New Roman"/>
                <w:color w:val="000000"/>
                <w:sz w:val="12"/>
                <w:szCs w:val="12"/>
              </w:rPr>
              <w:t>e</w:t>
            </w:r>
          </w:p>
        </w:tc>
        <w:tc>
          <w:tcPr>
            <w:tcW w:w="0" w:type="auto"/>
            <w:gridSpan w:val="2"/>
            <w:shd w:val="clear" w:color="auto" w:fill="FFFFFF"/>
            <w:tcMar>
              <w:top w:w="30" w:type="dxa"/>
              <w:left w:w="20" w:type="dxa"/>
              <w:bottom w:w="30" w:type="dxa"/>
              <w:right w:w="0" w:type="dxa"/>
            </w:tcMar>
            <w:vAlign w:val="bottom"/>
            <w:hideMark/>
          </w:tcPr>
          <w:p w14:paraId="2D1609F8" w14:textId="77777777" w:rsidR="00000000" w:rsidRDefault="00195E73">
            <w:pPr>
              <w:jc w:val="right"/>
              <w:rPr>
                <w:rFonts w:eastAsia="Times New Roman"/>
              </w:rPr>
            </w:pPr>
            <w:r>
              <w:rPr>
                <w:rFonts w:eastAsia="Times New Roman"/>
                <w:color w:val="000000"/>
                <w:sz w:val="12"/>
                <w:szCs w:val="12"/>
              </w:rPr>
              <w:t>166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18940B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98398B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86C38D" w14:textId="77777777" w:rsidR="00000000" w:rsidRDefault="00195E73">
            <w:pPr>
              <w:jc w:val="right"/>
              <w:rPr>
                <w:rFonts w:eastAsia="Times New Roman"/>
              </w:rPr>
            </w:pPr>
            <w:r>
              <w:rPr>
                <w:rFonts w:eastAsia="Times New Roman"/>
                <w:color w:val="000000"/>
                <w:sz w:val="12"/>
                <w:szCs w:val="12"/>
              </w:rPr>
              <w:t>109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508E9F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204783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853E90" w14:textId="77777777" w:rsidR="00000000" w:rsidRDefault="00195E73">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2BDC69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578B37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89CBC7" w14:textId="77777777" w:rsidR="00000000" w:rsidRDefault="00195E73">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B5B84B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10024D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9258A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2608F0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D5C09D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F3229A"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083341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471BDB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87858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C1A252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20FD08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BF03C9" w14:textId="77777777" w:rsidR="00000000" w:rsidRDefault="00195E73">
            <w:pPr>
              <w:jc w:val="right"/>
              <w:rPr>
                <w:rFonts w:eastAsia="Times New Roman"/>
              </w:rPr>
            </w:pPr>
            <w:r>
              <w:rPr>
                <w:rFonts w:eastAsia="Times New Roman"/>
                <w:color w:val="000000"/>
                <w:sz w:val="12"/>
                <w:szCs w:val="12"/>
              </w:rPr>
              <w:t>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20119D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F488B6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187010" w14:textId="77777777" w:rsidR="00000000" w:rsidRDefault="00195E73">
            <w:pPr>
              <w:jc w:val="right"/>
              <w:rPr>
                <w:rFonts w:eastAsia="Times New Roman"/>
              </w:rPr>
            </w:pPr>
            <w:r>
              <w:rPr>
                <w:rFonts w:eastAsia="Times New Roman"/>
                <w:color w:val="000000"/>
                <w:sz w:val="12"/>
                <w:szCs w:val="12"/>
              </w:rPr>
              <w:t>23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D9015D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BA3A97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A8D61B" w14:textId="77777777" w:rsidR="00000000" w:rsidRDefault="00195E73">
            <w:pPr>
              <w:jc w:val="right"/>
              <w:rPr>
                <w:rFonts w:eastAsia="Times New Roman"/>
              </w:rPr>
            </w:pPr>
            <w:r>
              <w:rPr>
                <w:rFonts w:eastAsia="Times New Roman"/>
                <w:color w:val="000000"/>
                <w:sz w:val="12"/>
                <w:szCs w:val="12"/>
              </w:rPr>
              <w:t>323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82A932B"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645C856D"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C779843" w14:textId="77777777" w:rsidR="00000000" w:rsidRDefault="00195E73">
            <w:pPr>
              <w:jc w:val="right"/>
              <w:rPr>
                <w:rFonts w:eastAsia="Times New Roman"/>
              </w:rPr>
            </w:pPr>
            <w:r>
              <w:rPr>
                <w:rFonts w:eastAsia="Times New Roman"/>
                <w:color w:val="000000"/>
                <w:sz w:val="12"/>
                <w:szCs w:val="12"/>
              </w:rPr>
              <w:t>655</w:t>
            </w:r>
            <w:r>
              <w:rPr>
                <w:rFonts w:eastAsia="Times New Roman"/>
                <w:color w:val="000000"/>
                <w:sz w:val="12"/>
                <w:szCs w:val="12"/>
              </w:rPr>
              <w:t> </w:t>
            </w:r>
            <w:r>
              <w:rPr>
                <w:rFonts w:eastAsia="Times New Roman"/>
                <w:color w:val="000000"/>
                <w:sz w:val="12"/>
                <w:szCs w:val="12"/>
              </w:rPr>
              <w:t> </w:t>
            </w:r>
          </w:p>
        </w:tc>
      </w:tr>
      <w:tr w:rsidR="00195E73" w14:paraId="394CB3A6" w14:textId="77777777">
        <w:trPr>
          <w:divId w:val="1512376030"/>
        </w:trPr>
        <w:tc>
          <w:tcPr>
            <w:tcW w:w="0" w:type="auto"/>
            <w:gridSpan w:val="3"/>
            <w:shd w:val="clear" w:color="auto" w:fill="CCEEFF"/>
            <w:tcMar>
              <w:top w:w="15" w:type="dxa"/>
              <w:left w:w="20" w:type="dxa"/>
              <w:bottom w:w="15" w:type="dxa"/>
              <w:right w:w="20" w:type="dxa"/>
            </w:tcMar>
            <w:vAlign w:val="bottom"/>
            <w:hideMark/>
          </w:tcPr>
          <w:p w14:paraId="18829E0C"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F5DE44" w14:textId="77777777" w:rsidR="00000000" w:rsidRDefault="00195E73">
            <w:pPr>
              <w:jc w:val="right"/>
              <w:rPr>
                <w:rFonts w:eastAsia="Times New Roman"/>
              </w:rPr>
            </w:pPr>
            <w:r>
              <w:rPr>
                <w:rFonts w:eastAsia="Times New Roman"/>
                <w:color w:val="000000"/>
                <w:sz w:val="12"/>
                <w:szCs w:val="12"/>
              </w:rPr>
              <w:t>179</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45CC17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57738F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D0444E" w14:textId="77777777" w:rsidR="00000000" w:rsidRDefault="00195E73">
            <w:pPr>
              <w:jc w:val="right"/>
              <w:rPr>
                <w:rFonts w:eastAsia="Times New Roman"/>
              </w:rPr>
            </w:pPr>
            <w:r>
              <w:rPr>
                <w:rFonts w:eastAsia="Times New Roman"/>
                <w:color w:val="000000"/>
                <w:sz w:val="12"/>
                <w:szCs w:val="12"/>
              </w:rPr>
              <w:t>6,013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5D9142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3E67E92"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928A8B" w14:textId="77777777" w:rsidR="00000000" w:rsidRDefault="00195E73">
            <w:pPr>
              <w:jc w:val="right"/>
              <w:rPr>
                <w:rFonts w:eastAsia="Times New Roman"/>
              </w:rPr>
            </w:pPr>
            <w:r>
              <w:rPr>
                <w:rFonts w:eastAsia="Times New Roman"/>
                <w:color w:val="000000"/>
                <w:sz w:val="12"/>
                <w:szCs w:val="12"/>
              </w:rPr>
              <w:t>2,925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CD9D8B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C5C366E"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A0F227" w14:textId="77777777" w:rsidR="00000000" w:rsidRDefault="00195E73">
            <w:pPr>
              <w:jc w:val="right"/>
              <w:rPr>
                <w:rFonts w:eastAsia="Times New Roman"/>
              </w:rPr>
            </w:pPr>
            <w:r>
              <w:rPr>
                <w:rFonts w:eastAsia="Times New Roman"/>
                <w:color w:val="000000"/>
                <w:sz w:val="12"/>
                <w:szCs w:val="12"/>
              </w:rPr>
              <w:t>374</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17693F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D18383D"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324224" w14:textId="77777777" w:rsidR="00000000" w:rsidRDefault="00195E73">
            <w:pPr>
              <w:jc w:val="right"/>
              <w:rPr>
                <w:rFonts w:eastAsia="Times New Roman"/>
              </w:rPr>
            </w:pPr>
            <w:r>
              <w:rPr>
                <w:rFonts w:eastAsia="Times New Roman"/>
                <w:color w:val="000000"/>
                <w:sz w:val="12"/>
                <w:szCs w:val="12"/>
              </w:rPr>
              <w:t>409</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42051F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6F475ED"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5CC3BC" w14:textId="77777777" w:rsidR="00000000" w:rsidRDefault="00195E73">
            <w:pPr>
              <w:jc w:val="right"/>
              <w:rPr>
                <w:rFonts w:eastAsia="Times New Roman"/>
              </w:rPr>
            </w:pPr>
            <w:r>
              <w:rPr>
                <w:rFonts w:eastAsia="Times New Roman"/>
                <w:color w:val="000000"/>
                <w:sz w:val="12"/>
                <w:szCs w:val="12"/>
              </w:rPr>
              <w:t>79</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0CDFDC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98EA11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C63C8E" w14:textId="77777777" w:rsidR="00000000" w:rsidRDefault="00195E73">
            <w:pPr>
              <w:jc w:val="right"/>
              <w:rPr>
                <w:rFonts w:eastAsia="Times New Roman"/>
              </w:rPr>
            </w:pPr>
            <w:r>
              <w:rPr>
                <w:rFonts w:eastAsia="Times New Roman"/>
                <w:color w:val="000000"/>
                <w:sz w:val="12"/>
                <w:szCs w:val="12"/>
              </w:rPr>
              <w:t>203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30DE79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77A0A5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EC2CFD" w14:textId="77777777" w:rsidR="00000000" w:rsidRDefault="00195E73">
            <w:pPr>
              <w:jc w:val="right"/>
              <w:rPr>
                <w:rFonts w:eastAsia="Times New Roman"/>
              </w:rPr>
            </w:pPr>
            <w:r>
              <w:rPr>
                <w:rFonts w:eastAsia="Times New Roman"/>
                <w:color w:val="000000"/>
                <w:sz w:val="12"/>
                <w:szCs w:val="12"/>
              </w:rPr>
              <w:t>80</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286ADE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3CAD93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FB68A6" w14:textId="77777777" w:rsidR="00000000" w:rsidRDefault="00195E73">
            <w:pPr>
              <w:jc w:val="right"/>
              <w:rPr>
                <w:rFonts w:eastAsia="Times New Roman"/>
              </w:rPr>
            </w:pPr>
            <w:r>
              <w:rPr>
                <w:rFonts w:eastAsia="Times New Roman"/>
                <w:color w:val="000000"/>
                <w:sz w:val="12"/>
                <w:szCs w:val="12"/>
              </w:rPr>
              <w:t>135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2EA6A1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5F4E0A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5A4619" w14:textId="77777777" w:rsidR="00000000" w:rsidRDefault="00195E73">
            <w:pPr>
              <w:jc w:val="right"/>
              <w:rPr>
                <w:rFonts w:eastAsia="Times New Roman"/>
              </w:rPr>
            </w:pPr>
            <w:r>
              <w:rPr>
                <w:rFonts w:eastAsia="Times New Roman"/>
                <w:color w:val="000000"/>
                <w:sz w:val="12"/>
                <w:szCs w:val="12"/>
              </w:rPr>
              <w:t>356</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83FFD1B"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39DDCE59"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42087F" w14:textId="77777777" w:rsidR="00000000" w:rsidRDefault="00195E73">
            <w:pPr>
              <w:jc w:val="right"/>
              <w:rPr>
                <w:rFonts w:eastAsia="Times New Roman"/>
              </w:rPr>
            </w:pPr>
            <w:r>
              <w:rPr>
                <w:rFonts w:eastAsia="Times New Roman"/>
                <w:color w:val="000000"/>
                <w:sz w:val="12"/>
                <w:szCs w:val="12"/>
              </w:rPr>
              <w:t>10,753</w:t>
            </w:r>
            <w:r>
              <w:rPr>
                <w:rFonts w:eastAsia="Times New Roman"/>
                <w:color w:val="000000"/>
                <w:sz w:val="12"/>
                <w:szCs w:val="12"/>
              </w:rPr>
              <w:t> </w:t>
            </w:r>
            <w:r>
              <w:rPr>
                <w:rFonts w:eastAsia="Times New Roman"/>
                <w:color w:val="000000"/>
                <w:sz w:val="12"/>
                <w:szCs w:val="12"/>
              </w:rPr>
              <w:t> </w:t>
            </w:r>
          </w:p>
        </w:tc>
      </w:tr>
      <w:tr w:rsidR="00195E73" w14:paraId="7647E489" w14:textId="77777777">
        <w:trPr>
          <w:divId w:val="1512376030"/>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4E94B408" w14:textId="77777777" w:rsidR="00000000" w:rsidRDefault="00195E73">
            <w:pPr>
              <w:ind w:hanging="180"/>
              <w:divId w:val="1566069280"/>
              <w:rPr>
                <w:rFonts w:eastAsia="Times New Roman"/>
              </w:rPr>
            </w:pPr>
            <w:r>
              <w:rPr>
                <w:rFonts w:eastAsia="Times New Roman"/>
                <w:color w:val="000000"/>
                <w:sz w:val="12"/>
                <w:szCs w:val="12"/>
              </w:rPr>
              <w:t>Income (loss) from continuing operations before income tax benefit (expense</w:t>
            </w:r>
            <w:r>
              <w:rPr>
                <w:rFonts w:eastAsia="Times New Roman"/>
                <w:color w:val="000000"/>
                <w:sz w:val="12"/>
                <w:szCs w:val="12"/>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CB70BF" w14:textId="77777777" w:rsidR="00000000" w:rsidRDefault="00195E73">
            <w:pPr>
              <w:jc w:val="right"/>
              <w:rPr>
                <w:rFonts w:eastAsia="Times New Roman"/>
              </w:rPr>
            </w:pPr>
            <w:r>
              <w:rPr>
                <w:rFonts w:eastAsia="Times New Roman"/>
                <w:color w:val="000000"/>
                <w:sz w:val="12"/>
                <w:szCs w:val="12"/>
              </w:rPr>
              <w:t>118</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CB1210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24E15D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A8A755" w14:textId="77777777" w:rsidR="00000000" w:rsidRDefault="00195E73">
            <w:pPr>
              <w:jc w:val="right"/>
              <w:rPr>
                <w:rFonts w:eastAsia="Times New Roman"/>
              </w:rPr>
            </w:pPr>
            <w:r>
              <w:rPr>
                <w:rFonts w:eastAsia="Times New Roman"/>
                <w:color w:val="000000"/>
                <w:sz w:val="12"/>
                <w:szCs w:val="12"/>
              </w:rPr>
              <w:t>(25</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92833A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65199D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873AE5" w14:textId="77777777" w:rsidR="00000000" w:rsidRDefault="00195E73">
            <w:pPr>
              <w:jc w:val="right"/>
              <w:rPr>
                <w:rFonts w:eastAsia="Times New Roman"/>
              </w:rPr>
            </w:pPr>
            <w:r>
              <w:rPr>
                <w:rFonts w:eastAsia="Times New Roman"/>
                <w:color w:val="000000"/>
                <w:sz w:val="12"/>
                <w:szCs w:val="12"/>
              </w:rPr>
              <w:t>(197</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5EB5E1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184D48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DAC9F1" w14:textId="77777777" w:rsidR="00000000" w:rsidRDefault="00195E73">
            <w:pPr>
              <w:jc w:val="right"/>
              <w:rPr>
                <w:rFonts w:eastAsia="Times New Roman"/>
              </w:rPr>
            </w:pPr>
            <w:r>
              <w:rPr>
                <w:rFonts w:eastAsia="Times New Roman"/>
                <w:color w:val="000000"/>
                <w:sz w:val="12"/>
                <w:szCs w:val="12"/>
              </w:rPr>
              <w:t>15</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781D62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B025BF5"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8E9726"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D49822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8128A2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4AC34D" w14:textId="77777777" w:rsidR="00000000" w:rsidRDefault="00195E73">
            <w:pPr>
              <w:jc w:val="right"/>
              <w:rPr>
                <w:rFonts w:eastAsia="Times New Roman"/>
              </w:rPr>
            </w:pPr>
            <w:r>
              <w:rPr>
                <w:rFonts w:eastAsia="Times New Roman"/>
                <w:color w:val="000000"/>
                <w:sz w:val="12"/>
                <w:szCs w:val="12"/>
              </w:rPr>
              <w:t>549</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1331F3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1423ED3"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71126C" w14:textId="77777777" w:rsidR="00000000" w:rsidRDefault="00195E73">
            <w:pPr>
              <w:jc w:val="right"/>
              <w:rPr>
                <w:rFonts w:eastAsia="Times New Roman"/>
              </w:rPr>
            </w:pPr>
            <w:r>
              <w:rPr>
                <w:rFonts w:eastAsia="Times New Roman"/>
                <w:color w:val="000000"/>
                <w:sz w:val="12"/>
                <w:szCs w:val="12"/>
              </w:rPr>
              <w:t>(20</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DDC970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29B6AB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59FA00" w14:textId="77777777" w:rsidR="00000000" w:rsidRDefault="00195E73">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9D88DB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3C19CC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A7EBA3" w14:textId="77777777" w:rsidR="00000000" w:rsidRDefault="00195E73">
            <w:pPr>
              <w:jc w:val="right"/>
              <w:rPr>
                <w:rFonts w:eastAsia="Times New Roman"/>
              </w:rPr>
            </w:pPr>
            <w:r>
              <w:rPr>
                <w:rFonts w:eastAsia="Times New Roman"/>
                <w:color w:val="000000"/>
                <w:sz w:val="12"/>
                <w:szCs w:val="12"/>
              </w:rPr>
              <w:t>1,702</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6079D4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D29E7E3"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B1DEA8" w14:textId="77777777" w:rsidR="00000000" w:rsidRDefault="00195E73">
            <w:pPr>
              <w:jc w:val="right"/>
              <w:rPr>
                <w:rFonts w:eastAsia="Times New Roman"/>
              </w:rPr>
            </w:pPr>
            <w:r>
              <w:rPr>
                <w:rFonts w:eastAsia="Times New Roman"/>
                <w:color w:val="000000"/>
                <w:sz w:val="12"/>
                <w:szCs w:val="12"/>
              </w:rPr>
              <w:t>(288</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1B7C227"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01A013F6"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2A63E9" w14:textId="77777777" w:rsidR="00000000" w:rsidRDefault="00195E73">
            <w:pPr>
              <w:jc w:val="right"/>
              <w:rPr>
                <w:rFonts w:eastAsia="Times New Roman"/>
              </w:rPr>
            </w:pPr>
            <w:r>
              <w:rPr>
                <w:rFonts w:eastAsia="Times New Roman"/>
                <w:color w:val="000000"/>
                <w:sz w:val="12"/>
                <w:szCs w:val="12"/>
              </w:rPr>
              <w:t>1,866</w:t>
            </w:r>
            <w:r>
              <w:rPr>
                <w:rFonts w:eastAsia="Times New Roman"/>
                <w:color w:val="000000"/>
                <w:sz w:val="12"/>
                <w:szCs w:val="12"/>
              </w:rPr>
              <w:t> </w:t>
            </w:r>
            <w:r>
              <w:rPr>
                <w:rFonts w:eastAsia="Times New Roman"/>
                <w:color w:val="000000"/>
                <w:sz w:val="12"/>
                <w:szCs w:val="12"/>
              </w:rPr>
              <w:t> </w:t>
            </w:r>
          </w:p>
        </w:tc>
      </w:tr>
      <w:tr w:rsidR="00195E73" w14:paraId="68E62447" w14:textId="77777777">
        <w:trPr>
          <w:divId w:val="1512376030"/>
        </w:trPr>
        <w:tc>
          <w:tcPr>
            <w:tcW w:w="0" w:type="auto"/>
            <w:gridSpan w:val="3"/>
            <w:shd w:val="clear" w:color="auto" w:fill="CCEEFF"/>
            <w:tcMar>
              <w:top w:w="30" w:type="dxa"/>
              <w:left w:w="20" w:type="dxa"/>
              <w:bottom w:w="30" w:type="dxa"/>
              <w:right w:w="20" w:type="dxa"/>
            </w:tcMar>
            <w:vAlign w:val="bottom"/>
            <w:hideMark/>
          </w:tcPr>
          <w:p w14:paraId="3F175561" w14:textId="77777777" w:rsidR="00000000" w:rsidRDefault="00195E73">
            <w:pPr>
              <w:rPr>
                <w:rFonts w:eastAsia="Times New Roman"/>
              </w:rPr>
            </w:pPr>
            <w:r>
              <w:rPr>
                <w:rFonts w:eastAsia="Times New Roman"/>
                <w:color w:val="000000"/>
                <w:sz w:val="12"/>
                <w:szCs w:val="12"/>
              </w:rPr>
              <w:t>Income tax benefit (expense</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7D333C9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1A811D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7C267A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0F9B75" w14:textId="77777777" w:rsidR="00000000" w:rsidRDefault="00195E73">
            <w:pPr>
              <w:jc w:val="right"/>
              <w:rPr>
                <w:rFonts w:eastAsia="Times New Roman"/>
              </w:rPr>
            </w:pPr>
            <w:r>
              <w:rPr>
                <w:rFonts w:eastAsia="Times New Roman"/>
                <w:color w:val="000000"/>
                <w:sz w:val="12"/>
                <w:szCs w:val="12"/>
              </w:rPr>
              <w:t>341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9CBA1E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40F294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AF8D7D" w14:textId="77777777" w:rsidR="00000000" w:rsidRDefault="00195E73">
            <w:pPr>
              <w:jc w:val="right"/>
              <w:rPr>
                <w:rFonts w:eastAsia="Times New Roman"/>
              </w:rPr>
            </w:pPr>
            <w:r>
              <w:rPr>
                <w:rFonts w:eastAsia="Times New Roman"/>
                <w:color w:val="000000"/>
                <w:sz w:val="12"/>
                <w:szCs w:val="12"/>
              </w:rPr>
              <w:t>146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DD3E88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58D318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B1ECD2" w14:textId="77777777" w:rsidR="00000000" w:rsidRDefault="00195E73">
            <w:pPr>
              <w:jc w:val="right"/>
              <w:rPr>
                <w:rFonts w:eastAsia="Times New Roman"/>
              </w:rPr>
            </w:pPr>
            <w:r>
              <w:rPr>
                <w:rFonts w:eastAsia="Times New Roman"/>
                <w:color w:val="000000"/>
                <w:sz w:val="12"/>
                <w:szCs w:val="12"/>
              </w:rPr>
              <w:t>(21</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78D719F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F0C053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315C82" w14:textId="77777777" w:rsidR="00000000" w:rsidRDefault="00195E73">
            <w:pPr>
              <w:jc w:val="right"/>
              <w:rPr>
                <w:rFonts w:eastAsia="Times New Roman"/>
              </w:rPr>
            </w:pPr>
            <w:r>
              <w:rPr>
                <w:rFonts w:eastAsia="Times New Roman"/>
                <w:color w:val="000000"/>
                <w:sz w:val="12"/>
                <w:szCs w:val="12"/>
              </w:rPr>
              <w:t>(43</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6FB6CA5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27DEAC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A5FAD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193E1D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14AEA1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04368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6AD74C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7668B1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F2575B"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130E16C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E8C862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03EA1A" w14:textId="77777777" w:rsidR="00000000" w:rsidRDefault="00195E73">
            <w:pPr>
              <w:jc w:val="right"/>
              <w:rPr>
                <w:rFonts w:eastAsia="Times New Roman"/>
              </w:rPr>
            </w:pPr>
            <w:r>
              <w:rPr>
                <w:rFonts w:eastAsia="Times New Roman"/>
                <w:color w:val="000000"/>
                <w:sz w:val="12"/>
                <w:szCs w:val="12"/>
              </w:rPr>
              <w:t>(531</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0138B00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6C6BCE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4B1157" w14:textId="77777777" w:rsidR="00000000" w:rsidRDefault="00195E73">
            <w:pPr>
              <w:jc w:val="right"/>
              <w:rPr>
                <w:rFonts w:eastAsia="Times New Roman"/>
              </w:rPr>
            </w:pPr>
            <w:r>
              <w:rPr>
                <w:rFonts w:eastAsia="Times New Roman"/>
                <w:color w:val="000000"/>
                <w:sz w:val="12"/>
                <w:szCs w:val="12"/>
              </w:rPr>
              <w:t>643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7E50700"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284A8762"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E388228" w14:textId="77777777" w:rsidR="00000000" w:rsidRDefault="00195E73">
            <w:pPr>
              <w:jc w:val="right"/>
              <w:rPr>
                <w:rFonts w:eastAsia="Times New Roman"/>
              </w:rPr>
            </w:pPr>
            <w:r>
              <w:rPr>
                <w:rFonts w:eastAsia="Times New Roman"/>
                <w:color w:val="000000"/>
                <w:sz w:val="12"/>
                <w:szCs w:val="12"/>
              </w:rPr>
              <w:t>532</w:t>
            </w:r>
            <w:r>
              <w:rPr>
                <w:rFonts w:eastAsia="Times New Roman"/>
                <w:color w:val="000000"/>
                <w:sz w:val="12"/>
                <w:szCs w:val="12"/>
              </w:rPr>
              <w:t> </w:t>
            </w:r>
            <w:r>
              <w:rPr>
                <w:rFonts w:eastAsia="Times New Roman"/>
                <w:color w:val="000000"/>
                <w:sz w:val="12"/>
                <w:szCs w:val="12"/>
              </w:rPr>
              <w:t> </w:t>
            </w:r>
          </w:p>
        </w:tc>
      </w:tr>
      <w:tr w:rsidR="00195E73" w14:paraId="61CBE9FC" w14:textId="77777777">
        <w:trPr>
          <w:divId w:val="1512376030"/>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600A9946" w14:textId="77777777" w:rsidR="00000000" w:rsidRDefault="00195E73">
            <w:pPr>
              <w:ind w:hanging="90"/>
              <w:divId w:val="724256990"/>
              <w:rPr>
                <w:rFonts w:eastAsia="Times New Roman"/>
              </w:rPr>
            </w:pPr>
            <w:r>
              <w:rPr>
                <w:rFonts w:eastAsia="Times New Roman"/>
                <w:color w:val="000000"/>
                <w:sz w:val="12"/>
                <w:szCs w:val="12"/>
              </w:rPr>
              <w:t>Net income (loss) from continuing operation</w:t>
            </w:r>
            <w:r>
              <w:rPr>
                <w:rFonts w:eastAsia="Times New Roman"/>
                <w:color w:val="000000"/>
                <w:sz w:val="12"/>
                <w:szCs w:val="12"/>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A6F856" w14:textId="77777777" w:rsidR="00000000" w:rsidRDefault="00195E73">
            <w:pPr>
              <w:jc w:val="right"/>
              <w:rPr>
                <w:rFonts w:eastAsia="Times New Roman"/>
              </w:rPr>
            </w:pPr>
            <w:r>
              <w:rPr>
                <w:rFonts w:eastAsia="Times New Roman"/>
                <w:color w:val="000000"/>
                <w:sz w:val="12"/>
                <w:szCs w:val="12"/>
              </w:rPr>
              <w:t>118</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D91AFE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9169872"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E33198" w14:textId="77777777" w:rsidR="00000000" w:rsidRDefault="00195E73">
            <w:pPr>
              <w:jc w:val="right"/>
              <w:rPr>
                <w:rFonts w:eastAsia="Times New Roman"/>
              </w:rPr>
            </w:pPr>
            <w:r>
              <w:rPr>
                <w:rFonts w:eastAsia="Times New Roman"/>
                <w:color w:val="000000"/>
                <w:sz w:val="12"/>
                <w:szCs w:val="12"/>
              </w:rPr>
              <w:t>316</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0F2687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E9D70D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FE03DB" w14:textId="77777777" w:rsidR="00000000" w:rsidRDefault="00195E73">
            <w:pPr>
              <w:jc w:val="right"/>
              <w:rPr>
                <w:rFonts w:eastAsia="Times New Roman"/>
              </w:rPr>
            </w:pPr>
            <w:r>
              <w:rPr>
                <w:rFonts w:eastAsia="Times New Roman"/>
                <w:color w:val="000000"/>
                <w:sz w:val="12"/>
                <w:szCs w:val="12"/>
              </w:rPr>
              <w:t>(51</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3E6A63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283C55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36F613" w14:textId="77777777" w:rsidR="00000000" w:rsidRDefault="00195E73">
            <w:pPr>
              <w:jc w:val="right"/>
              <w:rPr>
                <w:rFonts w:eastAsia="Times New Roman"/>
              </w:rPr>
            </w:pPr>
            <w:r>
              <w:rPr>
                <w:rFonts w:eastAsia="Times New Roman"/>
                <w:color w:val="000000"/>
                <w:sz w:val="12"/>
                <w:szCs w:val="12"/>
              </w:rPr>
              <w:t>(6</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B8AEB5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B73BB3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E2909E" w14:textId="77777777" w:rsidR="00000000" w:rsidRDefault="00195E73">
            <w:pPr>
              <w:jc w:val="right"/>
              <w:rPr>
                <w:rFonts w:eastAsia="Times New Roman"/>
              </w:rPr>
            </w:pPr>
            <w:r>
              <w:rPr>
                <w:rFonts w:eastAsia="Times New Roman"/>
                <w:color w:val="000000"/>
                <w:sz w:val="12"/>
                <w:szCs w:val="12"/>
              </w:rPr>
              <w:t>(44</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BD2AA2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BD59EB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359296" w14:textId="77777777" w:rsidR="00000000" w:rsidRDefault="00195E73">
            <w:pPr>
              <w:jc w:val="right"/>
              <w:rPr>
                <w:rFonts w:eastAsia="Times New Roman"/>
              </w:rPr>
            </w:pPr>
            <w:r>
              <w:rPr>
                <w:rFonts w:eastAsia="Times New Roman"/>
                <w:color w:val="000000"/>
                <w:sz w:val="12"/>
                <w:szCs w:val="12"/>
              </w:rPr>
              <w:t>549</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B457DB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3F51E83"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A06E8B" w14:textId="77777777" w:rsidR="00000000" w:rsidRDefault="00195E73">
            <w:pPr>
              <w:jc w:val="right"/>
              <w:rPr>
                <w:rFonts w:eastAsia="Times New Roman"/>
              </w:rPr>
            </w:pPr>
            <w:r>
              <w:rPr>
                <w:rFonts w:eastAsia="Times New Roman"/>
                <w:color w:val="000000"/>
                <w:sz w:val="12"/>
                <w:szCs w:val="12"/>
              </w:rPr>
              <w:t>(20</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EBD942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9E964D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CEBA04" w14:textId="77777777" w:rsidR="00000000" w:rsidRDefault="00195E73">
            <w:pPr>
              <w:jc w:val="right"/>
              <w:rPr>
                <w:rFonts w:eastAsia="Times New Roman"/>
              </w:rPr>
            </w:pPr>
            <w:r>
              <w:rPr>
                <w:rFonts w:eastAsia="Times New Roman"/>
                <w:color w:val="000000"/>
                <w:sz w:val="12"/>
                <w:szCs w:val="12"/>
              </w:rPr>
              <w:t>10</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AC2F57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4505B35"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C7CCD4" w14:textId="77777777" w:rsidR="00000000" w:rsidRDefault="00195E73">
            <w:pPr>
              <w:jc w:val="right"/>
              <w:rPr>
                <w:rFonts w:eastAsia="Times New Roman"/>
              </w:rPr>
            </w:pPr>
            <w:r>
              <w:rPr>
                <w:rFonts w:eastAsia="Times New Roman"/>
                <w:color w:val="000000"/>
                <w:sz w:val="12"/>
                <w:szCs w:val="12"/>
              </w:rPr>
              <w:t>1,171</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109D34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0FB4B12"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7BCA2E" w14:textId="77777777" w:rsidR="00000000" w:rsidRDefault="00195E73">
            <w:pPr>
              <w:jc w:val="right"/>
              <w:rPr>
                <w:rFonts w:eastAsia="Times New Roman"/>
              </w:rPr>
            </w:pPr>
            <w:r>
              <w:rPr>
                <w:rFonts w:eastAsia="Times New Roman"/>
                <w:color w:val="000000"/>
                <w:sz w:val="12"/>
                <w:szCs w:val="12"/>
              </w:rPr>
              <w:t>355</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F081BFB"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05263ACA"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6A9F941" w14:textId="77777777" w:rsidR="00000000" w:rsidRDefault="00195E73">
            <w:pPr>
              <w:jc w:val="right"/>
              <w:rPr>
                <w:rFonts w:eastAsia="Times New Roman"/>
              </w:rPr>
            </w:pPr>
            <w:r>
              <w:rPr>
                <w:rFonts w:eastAsia="Times New Roman"/>
                <w:color w:val="000000"/>
                <w:sz w:val="12"/>
                <w:szCs w:val="12"/>
              </w:rPr>
              <w:t>2,398</w:t>
            </w:r>
            <w:r>
              <w:rPr>
                <w:rFonts w:eastAsia="Times New Roman"/>
                <w:color w:val="000000"/>
                <w:sz w:val="12"/>
                <w:szCs w:val="12"/>
              </w:rPr>
              <w:t> </w:t>
            </w:r>
            <w:r>
              <w:rPr>
                <w:rFonts w:eastAsia="Times New Roman"/>
                <w:color w:val="000000"/>
                <w:sz w:val="12"/>
                <w:szCs w:val="12"/>
              </w:rPr>
              <w:t> </w:t>
            </w:r>
          </w:p>
        </w:tc>
      </w:tr>
      <w:tr w:rsidR="00195E73" w14:paraId="78628F8D" w14:textId="77777777">
        <w:trPr>
          <w:divId w:val="1512376030"/>
        </w:trPr>
        <w:tc>
          <w:tcPr>
            <w:tcW w:w="0" w:type="auto"/>
            <w:gridSpan w:val="3"/>
            <w:shd w:val="clear" w:color="auto" w:fill="CCEEFF"/>
            <w:tcMar>
              <w:top w:w="30" w:type="dxa"/>
              <w:left w:w="20" w:type="dxa"/>
              <w:bottom w:w="30" w:type="dxa"/>
              <w:right w:w="20" w:type="dxa"/>
            </w:tcMar>
            <w:vAlign w:val="bottom"/>
            <w:hideMark/>
          </w:tcPr>
          <w:p w14:paraId="66DC4B4D" w14:textId="77777777" w:rsidR="00000000" w:rsidRDefault="00195E73">
            <w:pPr>
              <w:ind w:hanging="180"/>
              <w:divId w:val="179202253"/>
              <w:rPr>
                <w:rFonts w:eastAsia="Times New Roman"/>
              </w:rPr>
            </w:pPr>
            <w:r>
              <w:rPr>
                <w:rFonts w:eastAsia="Times New Roman"/>
                <w:color w:val="000000"/>
                <w:sz w:val="12"/>
                <w:szCs w:val="12"/>
              </w:rPr>
              <w:t>Less: net income (loss) from continuing operations attributable to non-controlling interest</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2C41B240" w14:textId="77777777" w:rsidR="00000000" w:rsidRDefault="00195E73">
            <w:pPr>
              <w:jc w:val="right"/>
              <w:rPr>
                <w:rFonts w:eastAsia="Times New Roman"/>
              </w:rPr>
            </w:pPr>
            <w:r>
              <w:rPr>
                <w:rFonts w:eastAsia="Times New Roman"/>
                <w:color w:val="000000"/>
                <w:sz w:val="12"/>
                <w:szCs w:val="12"/>
              </w:rPr>
              <w:t>38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F5FFC9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06A27A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807383" w14:textId="77777777" w:rsidR="00000000" w:rsidRDefault="00195E73">
            <w:pPr>
              <w:jc w:val="right"/>
              <w:rPr>
                <w:rFonts w:eastAsia="Times New Roman"/>
              </w:rPr>
            </w:pPr>
            <w:r>
              <w:rPr>
                <w:rFonts w:eastAsia="Times New Roman"/>
                <w:color w:val="000000"/>
                <w:sz w:val="12"/>
                <w:szCs w:val="12"/>
              </w:rPr>
              <w:t>63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1DC186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3A0B03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93DE9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1CEB5F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228D67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B99E55"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02FBCE5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127A09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47C70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4AB14A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2455FC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7940B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8B3C4D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393D76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BA8B9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488FFA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6C4C30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7B763C"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C738B3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7B1091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B662B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8F6CD0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F2402E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90E3F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8853D9D"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6A997830"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CA4C692" w14:textId="77777777" w:rsidR="00000000" w:rsidRDefault="00195E73">
            <w:pPr>
              <w:jc w:val="right"/>
              <w:rPr>
                <w:rFonts w:eastAsia="Times New Roman"/>
              </w:rPr>
            </w:pPr>
            <w:r>
              <w:rPr>
                <w:rFonts w:eastAsia="Times New Roman"/>
                <w:color w:val="000000"/>
                <w:sz w:val="12"/>
                <w:szCs w:val="12"/>
              </w:rPr>
              <w:t>101</w:t>
            </w:r>
            <w:r>
              <w:rPr>
                <w:rFonts w:eastAsia="Times New Roman"/>
                <w:color w:val="000000"/>
                <w:sz w:val="12"/>
                <w:szCs w:val="12"/>
              </w:rPr>
              <w:t> </w:t>
            </w:r>
            <w:r>
              <w:rPr>
                <w:rFonts w:eastAsia="Times New Roman"/>
                <w:color w:val="000000"/>
                <w:sz w:val="12"/>
                <w:szCs w:val="12"/>
              </w:rPr>
              <w:t> </w:t>
            </w:r>
          </w:p>
        </w:tc>
      </w:tr>
      <w:tr w:rsidR="00195E73" w14:paraId="41B52908" w14:textId="77777777">
        <w:trPr>
          <w:divId w:val="1512376030"/>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7829FD1F" w14:textId="77777777" w:rsidR="00000000" w:rsidRDefault="00195E73">
            <w:pPr>
              <w:ind w:hanging="180"/>
              <w:divId w:val="750933263"/>
              <w:rPr>
                <w:rFonts w:eastAsia="Times New Roman"/>
              </w:rPr>
            </w:pPr>
            <w:r>
              <w:rPr>
                <w:rFonts w:eastAsia="Times New Roman"/>
                <w:color w:val="000000"/>
                <w:sz w:val="12"/>
                <w:szCs w:val="12"/>
              </w:rPr>
              <w:t>Net income (loss) from continuing operations attributable to Icahn Enterprise</w:t>
            </w:r>
            <w:r>
              <w:rPr>
                <w:rFonts w:eastAsia="Times New Roman"/>
                <w:color w:val="000000"/>
                <w:sz w:val="12"/>
                <w:szCs w:val="12"/>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DE0737D"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6BB6B89" w14:textId="77777777" w:rsidR="00000000" w:rsidRDefault="00195E73">
            <w:pPr>
              <w:jc w:val="right"/>
              <w:rPr>
                <w:rFonts w:eastAsia="Times New Roman"/>
              </w:rPr>
            </w:pPr>
            <w:r>
              <w:rPr>
                <w:rFonts w:eastAsia="Times New Roman"/>
                <w:color w:val="000000"/>
                <w:sz w:val="12"/>
                <w:szCs w:val="12"/>
              </w:rPr>
              <w:t>80</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F193A9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5EA7CB2"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FBE5C42"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4E60E2C" w14:textId="77777777" w:rsidR="00000000" w:rsidRDefault="00195E73">
            <w:pPr>
              <w:jc w:val="right"/>
              <w:rPr>
                <w:rFonts w:eastAsia="Times New Roman"/>
              </w:rPr>
            </w:pPr>
            <w:r>
              <w:rPr>
                <w:rFonts w:eastAsia="Times New Roman"/>
                <w:color w:val="000000"/>
                <w:sz w:val="12"/>
                <w:szCs w:val="12"/>
              </w:rPr>
              <w:t>253</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8BA585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FDB0D50"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19AB9DD"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7D91A3D" w14:textId="77777777" w:rsidR="00000000" w:rsidRDefault="00195E73">
            <w:pPr>
              <w:jc w:val="right"/>
              <w:rPr>
                <w:rFonts w:eastAsia="Times New Roman"/>
              </w:rPr>
            </w:pPr>
            <w:r>
              <w:rPr>
                <w:rFonts w:eastAsia="Times New Roman"/>
                <w:color w:val="000000"/>
                <w:sz w:val="12"/>
                <w:szCs w:val="12"/>
              </w:rPr>
              <w:t>(51</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ED096E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3395EB5"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AF2E9DE"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402D89E"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C3D169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E99707C"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F7D0AA8"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B0E9F0F" w14:textId="77777777" w:rsidR="00000000" w:rsidRDefault="00195E73">
            <w:pPr>
              <w:jc w:val="right"/>
              <w:rPr>
                <w:rFonts w:eastAsia="Times New Roman"/>
              </w:rPr>
            </w:pPr>
            <w:r>
              <w:rPr>
                <w:rFonts w:eastAsia="Times New Roman"/>
                <w:color w:val="000000"/>
                <w:sz w:val="12"/>
                <w:szCs w:val="12"/>
              </w:rPr>
              <w:t>(44</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AF8B5A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25C9749"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524B564"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C4FB06C" w14:textId="77777777" w:rsidR="00000000" w:rsidRDefault="00195E73">
            <w:pPr>
              <w:jc w:val="right"/>
              <w:rPr>
                <w:rFonts w:eastAsia="Times New Roman"/>
              </w:rPr>
            </w:pPr>
            <w:r>
              <w:rPr>
                <w:rFonts w:eastAsia="Times New Roman"/>
                <w:color w:val="000000"/>
                <w:sz w:val="12"/>
                <w:szCs w:val="12"/>
              </w:rPr>
              <w:t>549</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82FD2B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DB361CB"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5BB5BC7"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FBC8927" w14:textId="77777777" w:rsidR="00000000" w:rsidRDefault="00195E73">
            <w:pPr>
              <w:jc w:val="right"/>
              <w:rPr>
                <w:rFonts w:eastAsia="Times New Roman"/>
              </w:rPr>
            </w:pPr>
            <w:r>
              <w:rPr>
                <w:rFonts w:eastAsia="Times New Roman"/>
                <w:color w:val="000000"/>
                <w:sz w:val="12"/>
                <w:szCs w:val="12"/>
              </w:rPr>
              <w:t>(20</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EE68F4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E13AF92"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4435BF8"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72BEA2C" w14:textId="77777777" w:rsidR="00000000" w:rsidRDefault="00195E73">
            <w:pPr>
              <w:jc w:val="right"/>
              <w:rPr>
                <w:rFonts w:eastAsia="Times New Roman"/>
              </w:rPr>
            </w:pPr>
            <w:r>
              <w:rPr>
                <w:rFonts w:eastAsia="Times New Roman"/>
                <w:color w:val="000000"/>
                <w:sz w:val="12"/>
                <w:szCs w:val="12"/>
              </w:rPr>
              <w:t>9</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AC372D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719D902"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5A6E3F6"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E844415" w14:textId="77777777" w:rsidR="00000000" w:rsidRDefault="00195E73">
            <w:pPr>
              <w:jc w:val="right"/>
              <w:rPr>
                <w:rFonts w:eastAsia="Times New Roman"/>
              </w:rPr>
            </w:pPr>
            <w:r>
              <w:rPr>
                <w:rFonts w:eastAsia="Times New Roman"/>
                <w:color w:val="000000"/>
                <w:sz w:val="12"/>
                <w:szCs w:val="12"/>
              </w:rPr>
              <w:t>1,171</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334D32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C95BDB7"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79BC595"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DF7D67E" w14:textId="77777777" w:rsidR="00000000" w:rsidRDefault="00195E73">
            <w:pPr>
              <w:jc w:val="right"/>
              <w:rPr>
                <w:rFonts w:eastAsia="Times New Roman"/>
              </w:rPr>
            </w:pPr>
            <w:r>
              <w:rPr>
                <w:rFonts w:eastAsia="Times New Roman"/>
                <w:color w:val="000000"/>
                <w:sz w:val="12"/>
                <w:szCs w:val="12"/>
              </w:rPr>
              <w:t>355</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7EC9929"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1ABC7743"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B38161D"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2,297</w:t>
            </w:r>
            <w:r>
              <w:rPr>
                <w:rFonts w:eastAsia="Times New Roman"/>
                <w:color w:val="000000"/>
                <w:sz w:val="12"/>
                <w:szCs w:val="12"/>
              </w:rPr>
              <w:t> </w:t>
            </w:r>
            <w:r>
              <w:rPr>
                <w:rFonts w:eastAsia="Times New Roman"/>
                <w:color w:val="000000"/>
                <w:sz w:val="12"/>
                <w:szCs w:val="12"/>
              </w:rPr>
              <w:t> </w:t>
            </w:r>
          </w:p>
        </w:tc>
      </w:tr>
      <w:tr w:rsidR="00000000" w14:paraId="1340E36B" w14:textId="77777777">
        <w:trPr>
          <w:divId w:val="1512376030"/>
          <w:trHeight w:val="60"/>
        </w:trPr>
        <w:tc>
          <w:tcPr>
            <w:tcW w:w="0" w:type="auto"/>
            <w:gridSpan w:val="3"/>
            <w:tcBorders>
              <w:top w:val="double" w:sz="6" w:space="0" w:color="FFFFFF"/>
            </w:tcBorders>
            <w:shd w:val="clear" w:color="auto" w:fill="CCEEFF"/>
            <w:tcMar>
              <w:top w:w="15" w:type="dxa"/>
              <w:left w:w="20" w:type="dxa"/>
              <w:bottom w:w="15" w:type="dxa"/>
              <w:right w:w="20" w:type="dxa"/>
            </w:tcMar>
            <w:vAlign w:val="bottom"/>
            <w:hideMark/>
          </w:tcPr>
          <w:p w14:paraId="5DF3F138" w14:textId="77777777" w:rsidR="00000000" w:rsidRDefault="00195E73">
            <w:pPr>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279DEF6"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86B799B"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5E24FB0F"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BC060C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E4E0644"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253333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4CE0E75A"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B1832C6"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A60C6ED"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DBC2248"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57BCFC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9DE6119"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340068C"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A481C7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B793236"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3881CCE"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7C5E6D8"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E35EEC4"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615D09B" w14:textId="77777777" w:rsidR="00000000" w:rsidRDefault="00195E73">
            <w:pPr>
              <w:rPr>
                <w:rFonts w:eastAsia="Times New Roman"/>
                <w:sz w:val="20"/>
                <w:szCs w:val="20"/>
              </w:rPr>
            </w:pPr>
          </w:p>
        </w:tc>
        <w:tc>
          <w:tcPr>
            <w:tcW w:w="0" w:type="auto"/>
            <w:gridSpan w:val="2"/>
            <w:shd w:val="clear" w:color="auto" w:fill="CCEEFF"/>
            <w:tcMar>
              <w:top w:w="15" w:type="dxa"/>
              <w:left w:w="20" w:type="dxa"/>
              <w:bottom w:w="15" w:type="dxa"/>
              <w:right w:w="20" w:type="dxa"/>
            </w:tcMar>
            <w:vAlign w:val="bottom"/>
            <w:hideMark/>
          </w:tcPr>
          <w:p w14:paraId="3DF0D0CE" w14:textId="77777777" w:rsidR="00000000" w:rsidRDefault="00195E73">
            <w:pPr>
              <w:rPr>
                <w:rFonts w:eastAsia="Times New Roman"/>
                <w:sz w:val="20"/>
                <w:szCs w:val="20"/>
              </w:rPr>
            </w:pPr>
          </w:p>
        </w:tc>
        <w:tc>
          <w:tcPr>
            <w:tcW w:w="0" w:type="auto"/>
            <w:tcBorders>
              <w:top w:val="double" w:sz="6" w:space="0" w:color="000000"/>
            </w:tcBorders>
            <w:shd w:val="clear" w:color="auto" w:fill="CCEEFF"/>
            <w:tcMar>
              <w:top w:w="15" w:type="dxa"/>
              <w:left w:w="20" w:type="dxa"/>
              <w:bottom w:w="15" w:type="dxa"/>
              <w:right w:w="20" w:type="dxa"/>
            </w:tcMar>
            <w:vAlign w:val="bottom"/>
            <w:hideMark/>
          </w:tcPr>
          <w:p w14:paraId="5A874A79" w14:textId="77777777" w:rsidR="00000000" w:rsidRDefault="00195E73">
            <w:pPr>
              <w:rPr>
                <w:rFonts w:eastAsia="Times New Roman"/>
                <w:sz w:val="20"/>
                <w:szCs w:val="20"/>
              </w:rPr>
            </w:pPr>
          </w:p>
        </w:tc>
      </w:tr>
      <w:tr w:rsidR="00000000" w14:paraId="28C97750" w14:textId="77777777">
        <w:trPr>
          <w:divId w:val="1512376030"/>
        </w:trPr>
        <w:tc>
          <w:tcPr>
            <w:tcW w:w="0" w:type="auto"/>
            <w:gridSpan w:val="3"/>
            <w:shd w:val="clear" w:color="auto" w:fill="FFFFFF"/>
            <w:tcMar>
              <w:top w:w="30" w:type="dxa"/>
              <w:left w:w="20" w:type="dxa"/>
              <w:bottom w:w="30" w:type="dxa"/>
              <w:right w:w="20" w:type="dxa"/>
            </w:tcMar>
            <w:vAlign w:val="bottom"/>
            <w:hideMark/>
          </w:tcPr>
          <w:p w14:paraId="3B614315" w14:textId="77777777" w:rsidR="00000000" w:rsidRDefault="00195E73">
            <w:pPr>
              <w:rPr>
                <w:rFonts w:eastAsia="Times New Roman"/>
              </w:rPr>
            </w:pPr>
            <w:r>
              <w:rPr>
                <w:rFonts w:eastAsia="Times New Roman"/>
                <w:color w:val="000000"/>
                <w:sz w:val="12"/>
                <w:szCs w:val="12"/>
              </w:rPr>
              <w:t>Supplemental information</w:t>
            </w:r>
            <w:r>
              <w:rPr>
                <w:rFonts w:eastAsia="Times New Roman"/>
                <w:color w:val="000000"/>
                <w:sz w:val="12"/>
                <w:szCs w:val="12"/>
              </w:rPr>
              <w:t>:</w:t>
            </w:r>
          </w:p>
        </w:tc>
        <w:tc>
          <w:tcPr>
            <w:tcW w:w="0" w:type="auto"/>
            <w:gridSpan w:val="3"/>
            <w:shd w:val="clear" w:color="auto" w:fill="FFFFFF"/>
            <w:tcMar>
              <w:top w:w="15" w:type="dxa"/>
              <w:left w:w="20" w:type="dxa"/>
              <w:bottom w:w="15" w:type="dxa"/>
              <w:right w:w="20" w:type="dxa"/>
            </w:tcMar>
            <w:vAlign w:val="bottom"/>
            <w:hideMark/>
          </w:tcPr>
          <w:p w14:paraId="1D5753D9"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A386FC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2258EE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5E8B4D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B6EBCC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24BFC6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81DB48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6A4A8F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5F211F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2A850E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E357B4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4C70AD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2F7AED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2FBA575"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B073F3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00FEB6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DC7B06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0C655C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3D57348"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1EB46FA5" w14:textId="77777777" w:rsidR="00000000" w:rsidRDefault="00195E73">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14:paraId="0B2BC24B" w14:textId="77777777" w:rsidR="00000000" w:rsidRDefault="00195E73">
            <w:pPr>
              <w:rPr>
                <w:rFonts w:eastAsia="Times New Roman"/>
                <w:sz w:val="20"/>
                <w:szCs w:val="20"/>
              </w:rPr>
            </w:pPr>
          </w:p>
        </w:tc>
      </w:tr>
      <w:tr w:rsidR="00195E73" w14:paraId="6104DC27" w14:textId="77777777">
        <w:trPr>
          <w:divId w:val="1512376030"/>
        </w:trPr>
        <w:tc>
          <w:tcPr>
            <w:tcW w:w="0" w:type="auto"/>
            <w:gridSpan w:val="3"/>
            <w:shd w:val="clear" w:color="auto" w:fill="CCEEFF"/>
            <w:tcMar>
              <w:top w:w="30" w:type="dxa"/>
              <w:left w:w="20" w:type="dxa"/>
              <w:bottom w:w="30" w:type="dxa"/>
              <w:right w:w="20" w:type="dxa"/>
            </w:tcMar>
            <w:vAlign w:val="bottom"/>
            <w:hideMark/>
          </w:tcPr>
          <w:p w14:paraId="53F2F727" w14:textId="77777777" w:rsidR="00000000" w:rsidRDefault="00195E73">
            <w:pPr>
              <w:ind w:firstLine="180"/>
              <w:divId w:val="1119252514"/>
              <w:rPr>
                <w:rFonts w:eastAsia="Times New Roman"/>
              </w:rPr>
            </w:pPr>
            <w:r>
              <w:rPr>
                <w:rFonts w:eastAsia="Times New Roman"/>
                <w:color w:val="000000"/>
                <w:sz w:val="12"/>
                <w:szCs w:val="12"/>
              </w:rPr>
              <w:t>Capital expenditure</w:t>
            </w:r>
            <w:r>
              <w:rPr>
                <w:rFonts w:eastAsia="Times New Roman"/>
                <w:color w:val="000000"/>
                <w:sz w:val="12"/>
                <w:szCs w:val="12"/>
              </w:rPr>
              <w:t>s</w:t>
            </w:r>
          </w:p>
        </w:tc>
        <w:tc>
          <w:tcPr>
            <w:tcW w:w="0" w:type="auto"/>
            <w:shd w:val="clear" w:color="auto" w:fill="CCEEFF"/>
            <w:tcMar>
              <w:top w:w="30" w:type="dxa"/>
              <w:left w:w="20" w:type="dxa"/>
              <w:bottom w:w="30" w:type="dxa"/>
              <w:right w:w="15" w:type="dxa"/>
            </w:tcMar>
            <w:vAlign w:val="bottom"/>
            <w:hideMark/>
          </w:tcPr>
          <w:p w14:paraId="2B006AC3"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A0C7B4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BE234B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00D868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1EFDE42"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A2E80AA" w14:textId="77777777" w:rsidR="00000000" w:rsidRDefault="00195E73">
            <w:pPr>
              <w:jc w:val="right"/>
              <w:rPr>
                <w:rFonts w:eastAsia="Times New Roman"/>
              </w:rPr>
            </w:pPr>
            <w:r>
              <w:rPr>
                <w:rFonts w:eastAsia="Times New Roman"/>
                <w:color w:val="000000"/>
                <w:sz w:val="12"/>
                <w:szCs w:val="12"/>
              </w:rPr>
              <w:t>120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50AC8D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9C678E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E1814C0"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CE0C864" w14:textId="77777777" w:rsidR="00000000" w:rsidRDefault="00195E73">
            <w:pPr>
              <w:jc w:val="right"/>
              <w:rPr>
                <w:rFonts w:eastAsia="Times New Roman"/>
              </w:rPr>
            </w:pPr>
            <w:r>
              <w:rPr>
                <w:rFonts w:eastAsia="Times New Roman"/>
                <w:color w:val="000000"/>
                <w:sz w:val="12"/>
                <w:szCs w:val="12"/>
              </w:rPr>
              <w:t>86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674787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D3E931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49EEC19"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FD43AD9" w14:textId="77777777" w:rsidR="00000000" w:rsidRDefault="00195E73">
            <w:pPr>
              <w:jc w:val="right"/>
              <w:rPr>
                <w:rFonts w:eastAsia="Times New Roman"/>
              </w:rPr>
            </w:pPr>
            <w:r>
              <w:rPr>
                <w:rFonts w:eastAsia="Times New Roman"/>
                <w:color w:val="000000"/>
                <w:sz w:val="12"/>
                <w:szCs w:val="12"/>
              </w:rPr>
              <w:t>26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BE2606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699843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A723DB9"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BB6B2D4" w14:textId="77777777" w:rsidR="00000000" w:rsidRDefault="00195E73">
            <w:pPr>
              <w:jc w:val="right"/>
              <w:rPr>
                <w:rFonts w:eastAsia="Times New Roman"/>
              </w:rPr>
            </w:pPr>
            <w:r>
              <w:rPr>
                <w:rFonts w:eastAsia="Times New Roman"/>
                <w:color w:val="000000"/>
                <w:sz w:val="12"/>
                <w:szCs w:val="12"/>
              </w:rPr>
              <w:t>30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AF759F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E422DB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BE1BEE6"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6E652E1B" w14:textId="77777777" w:rsidR="00000000" w:rsidRDefault="00195E73">
            <w:pPr>
              <w:jc w:val="right"/>
              <w:rPr>
                <w:rFonts w:eastAsia="Times New Roman"/>
              </w:rPr>
            </w:pPr>
            <w:r>
              <w:rPr>
                <w:rFonts w:eastAsia="Times New Roman"/>
                <w:color w:val="000000"/>
                <w:sz w:val="12"/>
                <w:szCs w:val="12"/>
              </w:rPr>
              <w:t>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AA6B69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8B8D27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57018B8"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87128BB"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834584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B2AE35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76195F8"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05C31880" w14:textId="77777777" w:rsidR="00000000" w:rsidRDefault="00195E73">
            <w:pPr>
              <w:jc w:val="right"/>
              <w:rPr>
                <w:rFonts w:eastAsia="Times New Roman"/>
              </w:rPr>
            </w:pPr>
            <w:r>
              <w:rPr>
                <w:rFonts w:eastAsia="Times New Roman"/>
                <w:color w:val="000000"/>
                <w:sz w:val="12"/>
                <w:szCs w:val="12"/>
              </w:rPr>
              <w:t>38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88F8BF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5F955A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958AA9B"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0995F792"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94747C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E9A39F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DADD4C7"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0C8A44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C53AE76"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515896D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E9FBC3A"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316</w:t>
            </w:r>
            <w:r>
              <w:rPr>
                <w:rFonts w:eastAsia="Times New Roman"/>
                <w:color w:val="000000"/>
                <w:sz w:val="12"/>
                <w:szCs w:val="12"/>
              </w:rPr>
              <w:t> </w:t>
            </w:r>
            <w:r>
              <w:rPr>
                <w:rFonts w:eastAsia="Times New Roman"/>
                <w:color w:val="000000"/>
                <w:sz w:val="12"/>
                <w:szCs w:val="12"/>
              </w:rPr>
              <w:t> </w:t>
            </w:r>
          </w:p>
        </w:tc>
      </w:tr>
      <w:tr w:rsidR="00195E73" w14:paraId="2E53970C" w14:textId="77777777">
        <w:trPr>
          <w:divId w:val="1512376030"/>
        </w:trPr>
        <w:tc>
          <w:tcPr>
            <w:tcW w:w="0" w:type="auto"/>
            <w:gridSpan w:val="3"/>
            <w:shd w:val="clear" w:color="auto" w:fill="FFFFFF"/>
            <w:tcMar>
              <w:top w:w="30" w:type="dxa"/>
              <w:left w:w="20" w:type="dxa"/>
              <w:bottom w:w="30" w:type="dxa"/>
              <w:right w:w="20" w:type="dxa"/>
            </w:tcMar>
            <w:vAlign w:val="bottom"/>
            <w:hideMark/>
          </w:tcPr>
          <w:p w14:paraId="127EB144" w14:textId="77777777" w:rsidR="00000000" w:rsidRDefault="00195E73">
            <w:pPr>
              <w:ind w:firstLine="180"/>
              <w:divId w:val="71895009"/>
              <w:rPr>
                <w:rFonts w:eastAsia="Times New Roman"/>
              </w:rPr>
            </w:pPr>
            <w:r>
              <w:rPr>
                <w:rFonts w:eastAsia="Times New Roman"/>
                <w:color w:val="000000"/>
                <w:sz w:val="12"/>
                <w:szCs w:val="12"/>
              </w:rPr>
              <w:t>Depreciation and amortizatio</w:t>
            </w:r>
            <w:r>
              <w:rPr>
                <w:rFonts w:eastAsia="Times New Roman"/>
                <w:color w:val="000000"/>
                <w:sz w:val="12"/>
                <w:szCs w:val="12"/>
              </w:rPr>
              <w:t>n</w:t>
            </w:r>
          </w:p>
        </w:tc>
        <w:tc>
          <w:tcPr>
            <w:tcW w:w="0" w:type="auto"/>
            <w:shd w:val="clear" w:color="auto" w:fill="FFFFFF"/>
            <w:tcMar>
              <w:top w:w="30" w:type="dxa"/>
              <w:left w:w="20" w:type="dxa"/>
              <w:bottom w:w="30" w:type="dxa"/>
              <w:right w:w="15" w:type="dxa"/>
            </w:tcMar>
            <w:vAlign w:val="bottom"/>
            <w:hideMark/>
          </w:tcPr>
          <w:p w14:paraId="2163432A"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7814645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15A65C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3FE523D"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EA5BFAF"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07B76808" w14:textId="77777777" w:rsidR="00000000" w:rsidRDefault="00195E73">
            <w:pPr>
              <w:jc w:val="right"/>
              <w:rPr>
                <w:rFonts w:eastAsia="Times New Roman"/>
              </w:rPr>
            </w:pPr>
            <w:r>
              <w:rPr>
                <w:rFonts w:eastAsia="Times New Roman"/>
                <w:color w:val="000000"/>
                <w:sz w:val="12"/>
                <w:szCs w:val="12"/>
              </w:rPr>
              <w:t>322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21EAB0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D935D19"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696734BD"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375F1A64" w14:textId="77777777" w:rsidR="00000000" w:rsidRDefault="00195E73">
            <w:pPr>
              <w:jc w:val="right"/>
              <w:rPr>
                <w:rFonts w:eastAsia="Times New Roman"/>
              </w:rPr>
            </w:pPr>
            <w:r>
              <w:rPr>
                <w:rFonts w:eastAsia="Times New Roman"/>
                <w:color w:val="000000"/>
                <w:sz w:val="12"/>
                <w:szCs w:val="12"/>
              </w:rPr>
              <w:t>111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6843F1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A759AF1"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7CC5E8DD"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4F8353E8" w14:textId="77777777" w:rsidR="00000000" w:rsidRDefault="00195E73">
            <w:pPr>
              <w:jc w:val="right"/>
              <w:rPr>
                <w:rFonts w:eastAsia="Times New Roman"/>
              </w:rPr>
            </w:pPr>
            <w:r>
              <w:rPr>
                <w:rFonts w:eastAsia="Times New Roman"/>
                <w:color w:val="000000"/>
                <w:sz w:val="12"/>
                <w:szCs w:val="12"/>
              </w:rPr>
              <w:t>25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C36BB3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AB99901"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D2F9BCC"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4678B22F" w14:textId="77777777" w:rsidR="00000000" w:rsidRDefault="00195E73">
            <w:pPr>
              <w:jc w:val="right"/>
              <w:rPr>
                <w:rFonts w:eastAsia="Times New Roman"/>
              </w:rPr>
            </w:pPr>
            <w:r>
              <w:rPr>
                <w:rFonts w:eastAsia="Times New Roman"/>
                <w:color w:val="000000"/>
                <w:sz w:val="12"/>
                <w:szCs w:val="12"/>
              </w:rPr>
              <w:t>20</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F587D1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0C35776"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0FF12A0"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547A45E9" w14:textId="77777777" w:rsidR="00000000" w:rsidRDefault="00195E73">
            <w:pPr>
              <w:jc w:val="right"/>
              <w:rPr>
                <w:rFonts w:eastAsia="Times New Roman"/>
              </w:rPr>
            </w:pPr>
            <w:r>
              <w:rPr>
                <w:rFonts w:eastAsia="Times New Roman"/>
                <w:color w:val="000000"/>
                <w:sz w:val="12"/>
                <w:szCs w:val="12"/>
              </w:rPr>
              <w:t>20</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1D8E7E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945F35F"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7B96449F"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4ED3820B" w14:textId="77777777" w:rsidR="00000000" w:rsidRDefault="00195E73">
            <w:pPr>
              <w:jc w:val="right"/>
              <w:rPr>
                <w:rFonts w:eastAsia="Times New Roman"/>
              </w:rPr>
            </w:pPr>
            <w:r>
              <w:rPr>
                <w:rFonts w:eastAsia="Times New Roman"/>
                <w:color w:val="000000"/>
                <w:sz w:val="12"/>
                <w:szCs w:val="12"/>
              </w:rPr>
              <w:t>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330CA9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1D9FB72"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2901B68"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2D783A33"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85D931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8DFB32A"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78E930E4"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2505847B" w14:textId="77777777" w:rsidR="00000000" w:rsidRDefault="00195E73">
            <w:pPr>
              <w:jc w:val="right"/>
              <w:rPr>
                <w:rFonts w:eastAsia="Times New Roman"/>
              </w:rPr>
            </w:pPr>
            <w:r>
              <w:rPr>
                <w:rFonts w:eastAsia="Times New Roman"/>
                <w:color w:val="000000"/>
                <w:sz w:val="12"/>
                <w:szCs w:val="12"/>
              </w:rPr>
              <w:t>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FB81AA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4E36CCF"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3D20982"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7BC37E9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5DB5F50"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1BE4436D"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EFB6B64"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518</w:t>
            </w:r>
            <w:r>
              <w:rPr>
                <w:rFonts w:eastAsia="Times New Roman"/>
                <w:color w:val="000000"/>
                <w:sz w:val="12"/>
                <w:szCs w:val="12"/>
              </w:rPr>
              <w:t> </w:t>
            </w:r>
            <w:r>
              <w:rPr>
                <w:rFonts w:eastAsia="Times New Roman"/>
                <w:color w:val="000000"/>
                <w:sz w:val="12"/>
                <w:szCs w:val="12"/>
              </w:rPr>
              <w:t> </w:t>
            </w:r>
          </w:p>
        </w:tc>
      </w:tr>
    </w:tbl>
    <w:p w14:paraId="57D67848" w14:textId="77777777" w:rsidR="00000000" w:rsidRDefault="00195E73">
      <w:pPr>
        <w:divId w:val="32848035"/>
        <w:rPr>
          <w:rFonts w:eastAsia="Times New Roman"/>
        </w:rPr>
      </w:pPr>
    </w:p>
    <w:p w14:paraId="59D14296" w14:textId="77777777" w:rsidR="00000000" w:rsidRDefault="00195E73">
      <w:pPr>
        <w:divId w:val="1469395200"/>
        <w:rPr>
          <w:rFonts w:eastAsia="Times New Roman"/>
        </w:rPr>
      </w:pPr>
    </w:p>
    <w:p w14:paraId="4BF46BED" w14:textId="77777777" w:rsidR="00000000" w:rsidRDefault="00195E73">
      <w:pPr>
        <w:jc w:val="center"/>
        <w:divId w:val="1645116371"/>
        <w:rPr>
          <w:rFonts w:eastAsia="Times New Roman"/>
        </w:rPr>
      </w:pPr>
      <w:r>
        <w:rPr>
          <w:rFonts w:eastAsia="Times New Roman"/>
          <w:color w:val="000000"/>
          <w:sz w:val="20"/>
          <w:szCs w:val="20"/>
        </w:rPr>
        <w:t>10</w:t>
      </w:r>
      <w:r>
        <w:rPr>
          <w:rFonts w:eastAsia="Times New Roman"/>
          <w:color w:val="000000"/>
          <w:sz w:val="20"/>
          <w:szCs w:val="20"/>
        </w:rPr>
        <w:t>0</w:t>
      </w:r>
    </w:p>
    <w:p w14:paraId="7ADD5177" w14:textId="77777777" w:rsidR="00000000" w:rsidRDefault="00195E73">
      <w:pPr>
        <w:rPr>
          <w:rFonts w:eastAsia="Times New Roman"/>
        </w:rPr>
      </w:pPr>
      <w:r>
        <w:rPr>
          <w:rFonts w:eastAsia="Times New Roman"/>
        </w:rPr>
        <w:pict w14:anchorId="30C3BEFD">
          <v:rect id="_x0000_i1126" style="width:0;height:1.5pt" o:hralign="center" o:hrstd="t" o:hr="t" fillcolor="#a0a0a0" stroked="f"/>
        </w:pict>
      </w:r>
    </w:p>
    <w:p w14:paraId="178B316D" w14:textId="77777777" w:rsidR="00000000" w:rsidRDefault="00195E73">
      <w:pPr>
        <w:jc w:val="center"/>
        <w:divId w:val="1405102487"/>
        <w:rPr>
          <w:rFonts w:eastAsia="Times New Roman"/>
        </w:rPr>
      </w:pPr>
    </w:p>
    <w:p w14:paraId="51F3EB5A" w14:textId="77777777" w:rsidR="00000000" w:rsidRDefault="00195E73">
      <w:pPr>
        <w:jc w:val="center"/>
        <w:divId w:val="1405102487"/>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1598C3D9" w14:textId="77777777" w:rsidR="00000000" w:rsidRDefault="00195E73">
      <w:pPr>
        <w:jc w:val="center"/>
        <w:divId w:val="1405102487"/>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209E21BE" w14:textId="77777777" w:rsidR="00000000" w:rsidRDefault="00195E73">
      <w:pPr>
        <w:jc w:val="center"/>
        <w:divId w:val="1405102487"/>
        <w:rPr>
          <w:rFonts w:eastAsia="Times New Roman"/>
        </w:rPr>
      </w:pPr>
    </w:p>
    <w:p w14:paraId="6D813B8E" w14:textId="77777777" w:rsidR="00000000" w:rsidRDefault="00195E73">
      <w:pPr>
        <w:jc w:val="center"/>
        <w:divId w:val="1405102487"/>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11D6A602" w14:textId="77777777" w:rsidR="00000000" w:rsidRDefault="00195E73">
      <w:pPr>
        <w:divId w:val="223418730"/>
        <w:rPr>
          <w:rFonts w:eastAsia="Times New Roman"/>
        </w:rPr>
      </w:pPr>
      <w:r>
        <w:rPr>
          <w:rFonts w:eastAsia="Times New Roman"/>
          <w:b/>
          <w:bCs/>
          <w:color w:val="000000"/>
          <w:sz w:val="20"/>
          <w:szCs w:val="20"/>
        </w:rPr>
        <w:t>Disaggregation of Revenu</w:t>
      </w:r>
      <w:r>
        <w:rPr>
          <w:rFonts w:eastAsia="Times New Roman"/>
          <w:b/>
          <w:bCs/>
          <w:color w:val="000000"/>
          <w:sz w:val="20"/>
          <w:szCs w:val="20"/>
        </w:rPr>
        <w:t>e</w:t>
      </w:r>
    </w:p>
    <w:p w14:paraId="72AB5219" w14:textId="77777777" w:rsidR="00000000" w:rsidRDefault="00195E73">
      <w:pPr>
        <w:ind w:firstLine="450"/>
        <w:divId w:val="200362335"/>
        <w:rPr>
          <w:rFonts w:eastAsia="Times New Roman"/>
        </w:rPr>
      </w:pPr>
      <w:r>
        <w:rPr>
          <w:rFonts w:eastAsia="Times New Roman"/>
          <w:color w:val="000000"/>
          <w:sz w:val="20"/>
          <w:szCs w:val="20"/>
        </w:rPr>
        <w:t>In addition to the condensed statements of operations by reporting segment above, we provide additional disaggregated revenue informatio</w:t>
      </w:r>
      <w:r>
        <w:rPr>
          <w:rFonts w:eastAsia="Times New Roman"/>
          <w:color w:val="000000"/>
          <w:sz w:val="20"/>
          <w:szCs w:val="20"/>
        </w:rPr>
        <w:t>n for certain reportable segments below</w:t>
      </w:r>
      <w:r>
        <w:rPr>
          <w:rFonts w:eastAsia="Times New Roman"/>
          <w:color w:val="000000"/>
          <w:sz w:val="20"/>
          <w:szCs w:val="20"/>
        </w:rPr>
        <w:t>.</w:t>
      </w:r>
    </w:p>
    <w:p w14:paraId="31796BD7" w14:textId="77777777" w:rsidR="00000000" w:rsidRDefault="00195E73">
      <w:pPr>
        <w:divId w:val="1729496401"/>
        <w:rPr>
          <w:rFonts w:eastAsia="Times New Roman"/>
        </w:rPr>
      </w:pPr>
      <w:r>
        <w:rPr>
          <w:rFonts w:eastAsia="Times New Roman"/>
          <w:b/>
          <w:bCs/>
          <w:i/>
          <w:iCs/>
          <w:color w:val="000000"/>
          <w:sz w:val="20"/>
          <w:szCs w:val="20"/>
        </w:rPr>
        <w:t>Energ</w:t>
      </w:r>
      <w:r>
        <w:rPr>
          <w:rFonts w:eastAsia="Times New Roman"/>
          <w:b/>
          <w:bCs/>
          <w:i/>
          <w:iCs/>
          <w:color w:val="000000"/>
          <w:sz w:val="20"/>
          <w:szCs w:val="20"/>
        </w:rPr>
        <w:t>y</w:t>
      </w:r>
    </w:p>
    <w:p w14:paraId="1A2ADA2B" w14:textId="77777777" w:rsidR="00000000" w:rsidRDefault="00195E73">
      <w:pPr>
        <w:ind w:firstLine="450"/>
        <w:divId w:val="162866317"/>
        <w:rPr>
          <w:rFonts w:eastAsia="Times New Roman"/>
        </w:rPr>
      </w:pPr>
      <w:r>
        <w:rPr>
          <w:rFonts w:eastAsia="Times New Roman"/>
          <w:color w:val="000000"/>
          <w:sz w:val="20"/>
          <w:szCs w:val="20"/>
        </w:rPr>
        <w:t>Disaggregated revenue for our Energy segment net sales is presented below</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869"/>
        <w:gridCol w:w="40"/>
        <w:gridCol w:w="135"/>
        <w:gridCol w:w="1037"/>
        <w:gridCol w:w="85"/>
        <w:gridCol w:w="36"/>
        <w:gridCol w:w="36"/>
        <w:gridCol w:w="36"/>
        <w:gridCol w:w="135"/>
        <w:gridCol w:w="1005"/>
        <w:gridCol w:w="85"/>
        <w:gridCol w:w="36"/>
        <w:gridCol w:w="36"/>
        <w:gridCol w:w="36"/>
        <w:gridCol w:w="135"/>
        <w:gridCol w:w="1007"/>
        <w:gridCol w:w="85"/>
        <w:gridCol w:w="36"/>
        <w:gridCol w:w="36"/>
        <w:gridCol w:w="36"/>
        <w:gridCol w:w="36"/>
        <w:gridCol w:w="36"/>
        <w:gridCol w:w="36"/>
        <w:gridCol w:w="36"/>
        <w:gridCol w:w="36"/>
        <w:gridCol w:w="36"/>
        <w:gridCol w:w="36"/>
        <w:gridCol w:w="36"/>
        <w:gridCol w:w="36"/>
      </w:tblGrid>
      <w:tr w:rsidR="00000000" w14:paraId="293A93A2" w14:textId="77777777">
        <w:trPr>
          <w:gridAfter w:val="12"/>
          <w:divId w:val="1612931036"/>
          <w:jc w:val="center"/>
        </w:trPr>
        <w:tc>
          <w:tcPr>
            <w:tcW w:w="50" w:type="pct"/>
            <w:vAlign w:val="center"/>
            <w:hideMark/>
          </w:tcPr>
          <w:p w14:paraId="79006CE6" w14:textId="77777777" w:rsidR="00000000" w:rsidRDefault="00195E73">
            <w:pPr>
              <w:ind w:firstLine="450"/>
              <w:rPr>
                <w:rFonts w:eastAsia="Times New Roman"/>
              </w:rPr>
            </w:pPr>
          </w:p>
        </w:tc>
        <w:tc>
          <w:tcPr>
            <w:tcW w:w="2480" w:type="pct"/>
            <w:vAlign w:val="center"/>
            <w:hideMark/>
          </w:tcPr>
          <w:p w14:paraId="205EA61F" w14:textId="77777777" w:rsidR="00000000" w:rsidRDefault="00195E73">
            <w:pPr>
              <w:rPr>
                <w:rFonts w:eastAsia="Times New Roman"/>
                <w:sz w:val="20"/>
                <w:szCs w:val="20"/>
              </w:rPr>
            </w:pPr>
          </w:p>
        </w:tc>
        <w:tc>
          <w:tcPr>
            <w:tcW w:w="50" w:type="pct"/>
            <w:vAlign w:val="center"/>
            <w:hideMark/>
          </w:tcPr>
          <w:p w14:paraId="6A17C2C2" w14:textId="77777777" w:rsidR="00000000" w:rsidRDefault="00195E73">
            <w:pPr>
              <w:rPr>
                <w:rFonts w:eastAsia="Times New Roman"/>
                <w:sz w:val="20"/>
                <w:szCs w:val="20"/>
              </w:rPr>
            </w:pPr>
          </w:p>
        </w:tc>
        <w:tc>
          <w:tcPr>
            <w:tcW w:w="50" w:type="pct"/>
            <w:vAlign w:val="center"/>
            <w:hideMark/>
          </w:tcPr>
          <w:p w14:paraId="2C9781F7" w14:textId="77777777" w:rsidR="00000000" w:rsidRDefault="00195E73">
            <w:pPr>
              <w:rPr>
                <w:rFonts w:eastAsia="Times New Roman"/>
                <w:sz w:val="20"/>
                <w:szCs w:val="20"/>
              </w:rPr>
            </w:pPr>
          </w:p>
        </w:tc>
        <w:tc>
          <w:tcPr>
            <w:tcW w:w="682" w:type="pct"/>
            <w:vAlign w:val="center"/>
            <w:hideMark/>
          </w:tcPr>
          <w:p w14:paraId="4B61B360" w14:textId="77777777" w:rsidR="00000000" w:rsidRDefault="00195E73">
            <w:pPr>
              <w:rPr>
                <w:rFonts w:eastAsia="Times New Roman"/>
                <w:sz w:val="20"/>
                <w:szCs w:val="20"/>
              </w:rPr>
            </w:pPr>
          </w:p>
        </w:tc>
        <w:tc>
          <w:tcPr>
            <w:tcW w:w="50" w:type="pct"/>
            <w:vAlign w:val="center"/>
            <w:hideMark/>
          </w:tcPr>
          <w:p w14:paraId="7E2B511F" w14:textId="77777777" w:rsidR="00000000" w:rsidRDefault="00195E73">
            <w:pPr>
              <w:rPr>
                <w:rFonts w:eastAsia="Times New Roman"/>
                <w:sz w:val="20"/>
                <w:szCs w:val="20"/>
              </w:rPr>
            </w:pPr>
          </w:p>
        </w:tc>
        <w:tc>
          <w:tcPr>
            <w:tcW w:w="5" w:type="pct"/>
            <w:vAlign w:val="center"/>
            <w:hideMark/>
          </w:tcPr>
          <w:p w14:paraId="5ED41E00" w14:textId="77777777" w:rsidR="00000000" w:rsidRDefault="00195E73">
            <w:pPr>
              <w:rPr>
                <w:rFonts w:eastAsia="Times New Roman"/>
                <w:sz w:val="20"/>
                <w:szCs w:val="20"/>
              </w:rPr>
            </w:pPr>
          </w:p>
        </w:tc>
        <w:tc>
          <w:tcPr>
            <w:tcW w:w="26" w:type="pct"/>
            <w:vAlign w:val="center"/>
            <w:hideMark/>
          </w:tcPr>
          <w:p w14:paraId="0A8FDD11" w14:textId="77777777" w:rsidR="00000000" w:rsidRDefault="00195E73">
            <w:pPr>
              <w:rPr>
                <w:rFonts w:eastAsia="Times New Roman"/>
                <w:sz w:val="20"/>
                <w:szCs w:val="20"/>
              </w:rPr>
            </w:pPr>
          </w:p>
        </w:tc>
        <w:tc>
          <w:tcPr>
            <w:tcW w:w="5" w:type="pct"/>
            <w:vAlign w:val="center"/>
            <w:hideMark/>
          </w:tcPr>
          <w:p w14:paraId="4C207A57" w14:textId="77777777" w:rsidR="00000000" w:rsidRDefault="00195E73">
            <w:pPr>
              <w:rPr>
                <w:rFonts w:eastAsia="Times New Roman"/>
                <w:sz w:val="20"/>
                <w:szCs w:val="20"/>
              </w:rPr>
            </w:pPr>
          </w:p>
        </w:tc>
        <w:tc>
          <w:tcPr>
            <w:tcW w:w="50" w:type="pct"/>
            <w:vAlign w:val="center"/>
            <w:hideMark/>
          </w:tcPr>
          <w:p w14:paraId="1502390B" w14:textId="77777777" w:rsidR="00000000" w:rsidRDefault="00195E73">
            <w:pPr>
              <w:rPr>
                <w:rFonts w:eastAsia="Times New Roman"/>
                <w:sz w:val="20"/>
                <w:szCs w:val="20"/>
              </w:rPr>
            </w:pPr>
          </w:p>
        </w:tc>
        <w:tc>
          <w:tcPr>
            <w:tcW w:w="682" w:type="pct"/>
            <w:vAlign w:val="center"/>
            <w:hideMark/>
          </w:tcPr>
          <w:p w14:paraId="115321E2" w14:textId="77777777" w:rsidR="00000000" w:rsidRDefault="00195E73">
            <w:pPr>
              <w:rPr>
                <w:rFonts w:eastAsia="Times New Roman"/>
                <w:sz w:val="20"/>
                <w:szCs w:val="20"/>
              </w:rPr>
            </w:pPr>
          </w:p>
        </w:tc>
        <w:tc>
          <w:tcPr>
            <w:tcW w:w="50" w:type="pct"/>
            <w:vAlign w:val="center"/>
            <w:hideMark/>
          </w:tcPr>
          <w:p w14:paraId="3D478822" w14:textId="77777777" w:rsidR="00000000" w:rsidRDefault="00195E73">
            <w:pPr>
              <w:rPr>
                <w:rFonts w:eastAsia="Times New Roman"/>
                <w:sz w:val="20"/>
                <w:szCs w:val="20"/>
              </w:rPr>
            </w:pPr>
          </w:p>
        </w:tc>
        <w:tc>
          <w:tcPr>
            <w:tcW w:w="5" w:type="pct"/>
            <w:vAlign w:val="center"/>
            <w:hideMark/>
          </w:tcPr>
          <w:p w14:paraId="7C3E608E" w14:textId="77777777" w:rsidR="00000000" w:rsidRDefault="00195E73">
            <w:pPr>
              <w:rPr>
                <w:rFonts w:eastAsia="Times New Roman"/>
                <w:sz w:val="20"/>
                <w:szCs w:val="20"/>
              </w:rPr>
            </w:pPr>
          </w:p>
        </w:tc>
        <w:tc>
          <w:tcPr>
            <w:tcW w:w="26" w:type="pct"/>
            <w:vAlign w:val="center"/>
            <w:hideMark/>
          </w:tcPr>
          <w:p w14:paraId="000B307C" w14:textId="77777777" w:rsidR="00000000" w:rsidRDefault="00195E73">
            <w:pPr>
              <w:rPr>
                <w:rFonts w:eastAsia="Times New Roman"/>
                <w:sz w:val="20"/>
                <w:szCs w:val="20"/>
              </w:rPr>
            </w:pPr>
          </w:p>
        </w:tc>
        <w:tc>
          <w:tcPr>
            <w:tcW w:w="5" w:type="pct"/>
            <w:vAlign w:val="center"/>
            <w:hideMark/>
          </w:tcPr>
          <w:p w14:paraId="484FB321" w14:textId="77777777" w:rsidR="00000000" w:rsidRDefault="00195E73">
            <w:pPr>
              <w:rPr>
                <w:rFonts w:eastAsia="Times New Roman"/>
                <w:sz w:val="20"/>
                <w:szCs w:val="20"/>
              </w:rPr>
            </w:pPr>
          </w:p>
        </w:tc>
        <w:tc>
          <w:tcPr>
            <w:tcW w:w="50" w:type="pct"/>
            <w:vAlign w:val="center"/>
            <w:hideMark/>
          </w:tcPr>
          <w:p w14:paraId="3497C7AA" w14:textId="77777777" w:rsidR="00000000" w:rsidRDefault="00195E73">
            <w:pPr>
              <w:rPr>
                <w:rFonts w:eastAsia="Times New Roman"/>
                <w:sz w:val="20"/>
                <w:szCs w:val="20"/>
              </w:rPr>
            </w:pPr>
          </w:p>
        </w:tc>
        <w:tc>
          <w:tcPr>
            <w:tcW w:w="682" w:type="pct"/>
            <w:vAlign w:val="center"/>
            <w:hideMark/>
          </w:tcPr>
          <w:p w14:paraId="3DD3A198" w14:textId="77777777" w:rsidR="00000000" w:rsidRDefault="00195E73">
            <w:pPr>
              <w:rPr>
                <w:rFonts w:eastAsia="Times New Roman"/>
                <w:sz w:val="20"/>
                <w:szCs w:val="20"/>
              </w:rPr>
            </w:pPr>
          </w:p>
        </w:tc>
        <w:tc>
          <w:tcPr>
            <w:tcW w:w="50" w:type="pct"/>
            <w:vAlign w:val="center"/>
            <w:hideMark/>
          </w:tcPr>
          <w:p w14:paraId="7AEB2014" w14:textId="77777777" w:rsidR="00000000" w:rsidRDefault="00195E73">
            <w:pPr>
              <w:rPr>
                <w:rFonts w:eastAsia="Times New Roman"/>
                <w:sz w:val="20"/>
                <w:szCs w:val="20"/>
              </w:rPr>
            </w:pPr>
          </w:p>
        </w:tc>
      </w:tr>
      <w:tr w:rsidR="00000000" w14:paraId="6E5D508D" w14:textId="77777777">
        <w:trPr>
          <w:divId w:val="1612931036"/>
          <w:jc w:val="center"/>
        </w:trPr>
        <w:tc>
          <w:tcPr>
            <w:tcW w:w="0" w:type="auto"/>
            <w:gridSpan w:val="3"/>
            <w:tcMar>
              <w:top w:w="15" w:type="dxa"/>
              <w:left w:w="20" w:type="dxa"/>
              <w:bottom w:w="15" w:type="dxa"/>
              <w:right w:w="20" w:type="dxa"/>
            </w:tcMar>
            <w:vAlign w:val="bottom"/>
            <w:hideMark/>
          </w:tcPr>
          <w:p w14:paraId="473E64C6"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3FACDF3D"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65FD02CC" w14:textId="77777777" w:rsidR="00000000" w:rsidRDefault="00195E73">
            <w:pPr>
              <w:jc w:val="center"/>
              <w:rPr>
                <w:rFonts w:eastAsia="Times New Roman"/>
              </w:rPr>
            </w:pPr>
          </w:p>
        </w:tc>
        <w:tc>
          <w:tcPr>
            <w:tcW w:w="0" w:type="auto"/>
            <w:gridSpan w:val="3"/>
            <w:vAlign w:val="center"/>
            <w:hideMark/>
          </w:tcPr>
          <w:p w14:paraId="36612B92" w14:textId="77777777" w:rsidR="00000000" w:rsidRDefault="00195E73">
            <w:pPr>
              <w:rPr>
                <w:rFonts w:eastAsia="Times New Roman"/>
                <w:sz w:val="20"/>
                <w:szCs w:val="20"/>
              </w:rPr>
            </w:pPr>
          </w:p>
        </w:tc>
        <w:tc>
          <w:tcPr>
            <w:tcW w:w="0" w:type="auto"/>
            <w:gridSpan w:val="3"/>
            <w:vAlign w:val="center"/>
            <w:hideMark/>
          </w:tcPr>
          <w:p w14:paraId="48D14340" w14:textId="77777777" w:rsidR="00000000" w:rsidRDefault="00195E73">
            <w:pPr>
              <w:rPr>
                <w:rFonts w:eastAsia="Times New Roman"/>
                <w:sz w:val="20"/>
                <w:szCs w:val="20"/>
              </w:rPr>
            </w:pPr>
          </w:p>
        </w:tc>
        <w:tc>
          <w:tcPr>
            <w:tcW w:w="0" w:type="auto"/>
            <w:gridSpan w:val="3"/>
            <w:vAlign w:val="center"/>
            <w:hideMark/>
          </w:tcPr>
          <w:p w14:paraId="1F0DC578" w14:textId="77777777" w:rsidR="00000000" w:rsidRDefault="00195E73">
            <w:pPr>
              <w:rPr>
                <w:rFonts w:eastAsia="Times New Roman"/>
                <w:sz w:val="20"/>
                <w:szCs w:val="20"/>
              </w:rPr>
            </w:pPr>
          </w:p>
        </w:tc>
      </w:tr>
      <w:tr w:rsidR="00000000" w14:paraId="6F9A7C49" w14:textId="77777777">
        <w:trPr>
          <w:divId w:val="1612931036"/>
          <w:jc w:val="center"/>
        </w:trPr>
        <w:tc>
          <w:tcPr>
            <w:tcW w:w="0" w:type="auto"/>
            <w:gridSpan w:val="3"/>
            <w:tcMar>
              <w:top w:w="15" w:type="dxa"/>
              <w:left w:w="20" w:type="dxa"/>
              <w:bottom w:w="15" w:type="dxa"/>
              <w:right w:w="20" w:type="dxa"/>
            </w:tcMar>
            <w:vAlign w:val="bottom"/>
            <w:hideMark/>
          </w:tcPr>
          <w:p w14:paraId="0CE827C3"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14A251A"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547E384D"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942C45B"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14:paraId="61739D7D"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B6DBAB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2BA11DC8" w14:textId="77777777" w:rsidR="00000000" w:rsidRDefault="00195E73">
            <w:pPr>
              <w:rPr>
                <w:rFonts w:eastAsia="Times New Roman"/>
                <w:sz w:val="20"/>
                <w:szCs w:val="20"/>
              </w:rPr>
            </w:pPr>
          </w:p>
        </w:tc>
        <w:tc>
          <w:tcPr>
            <w:tcW w:w="0" w:type="auto"/>
            <w:vAlign w:val="center"/>
            <w:hideMark/>
          </w:tcPr>
          <w:p w14:paraId="5F003B93" w14:textId="77777777" w:rsidR="00000000" w:rsidRDefault="00195E73">
            <w:pPr>
              <w:rPr>
                <w:rFonts w:eastAsia="Times New Roman"/>
                <w:sz w:val="20"/>
                <w:szCs w:val="20"/>
              </w:rPr>
            </w:pPr>
          </w:p>
        </w:tc>
        <w:tc>
          <w:tcPr>
            <w:tcW w:w="0" w:type="auto"/>
            <w:vAlign w:val="center"/>
            <w:hideMark/>
          </w:tcPr>
          <w:p w14:paraId="26FA5FE7" w14:textId="77777777" w:rsidR="00000000" w:rsidRDefault="00195E73">
            <w:pPr>
              <w:rPr>
                <w:rFonts w:eastAsia="Times New Roman"/>
                <w:sz w:val="20"/>
                <w:szCs w:val="20"/>
              </w:rPr>
            </w:pPr>
          </w:p>
        </w:tc>
        <w:tc>
          <w:tcPr>
            <w:tcW w:w="0" w:type="auto"/>
            <w:vAlign w:val="center"/>
            <w:hideMark/>
          </w:tcPr>
          <w:p w14:paraId="6E3DF12A" w14:textId="77777777" w:rsidR="00000000" w:rsidRDefault="00195E73">
            <w:pPr>
              <w:rPr>
                <w:rFonts w:eastAsia="Times New Roman"/>
                <w:sz w:val="20"/>
                <w:szCs w:val="20"/>
              </w:rPr>
            </w:pPr>
          </w:p>
        </w:tc>
        <w:tc>
          <w:tcPr>
            <w:tcW w:w="0" w:type="auto"/>
            <w:vAlign w:val="center"/>
            <w:hideMark/>
          </w:tcPr>
          <w:p w14:paraId="5959C6B3" w14:textId="77777777" w:rsidR="00000000" w:rsidRDefault="00195E73">
            <w:pPr>
              <w:rPr>
                <w:rFonts w:eastAsia="Times New Roman"/>
                <w:sz w:val="20"/>
                <w:szCs w:val="20"/>
              </w:rPr>
            </w:pPr>
          </w:p>
        </w:tc>
        <w:tc>
          <w:tcPr>
            <w:tcW w:w="0" w:type="auto"/>
            <w:vAlign w:val="center"/>
            <w:hideMark/>
          </w:tcPr>
          <w:p w14:paraId="6428B756" w14:textId="77777777" w:rsidR="00000000" w:rsidRDefault="00195E73">
            <w:pPr>
              <w:rPr>
                <w:rFonts w:eastAsia="Times New Roman"/>
                <w:sz w:val="20"/>
                <w:szCs w:val="20"/>
              </w:rPr>
            </w:pPr>
          </w:p>
        </w:tc>
        <w:tc>
          <w:tcPr>
            <w:tcW w:w="0" w:type="auto"/>
            <w:vAlign w:val="center"/>
            <w:hideMark/>
          </w:tcPr>
          <w:p w14:paraId="090E572E" w14:textId="77777777" w:rsidR="00000000" w:rsidRDefault="00195E73">
            <w:pPr>
              <w:rPr>
                <w:rFonts w:eastAsia="Times New Roman"/>
                <w:sz w:val="20"/>
                <w:szCs w:val="20"/>
              </w:rPr>
            </w:pPr>
          </w:p>
        </w:tc>
        <w:tc>
          <w:tcPr>
            <w:tcW w:w="0" w:type="auto"/>
            <w:vAlign w:val="center"/>
            <w:hideMark/>
          </w:tcPr>
          <w:p w14:paraId="063339A2" w14:textId="77777777" w:rsidR="00000000" w:rsidRDefault="00195E73">
            <w:pPr>
              <w:rPr>
                <w:rFonts w:eastAsia="Times New Roman"/>
                <w:sz w:val="20"/>
                <w:szCs w:val="20"/>
              </w:rPr>
            </w:pPr>
          </w:p>
        </w:tc>
        <w:tc>
          <w:tcPr>
            <w:tcW w:w="0" w:type="auto"/>
            <w:vAlign w:val="center"/>
            <w:hideMark/>
          </w:tcPr>
          <w:p w14:paraId="7636BEFC" w14:textId="77777777" w:rsidR="00000000" w:rsidRDefault="00195E73">
            <w:pPr>
              <w:rPr>
                <w:rFonts w:eastAsia="Times New Roman"/>
                <w:sz w:val="20"/>
                <w:szCs w:val="20"/>
              </w:rPr>
            </w:pPr>
          </w:p>
        </w:tc>
        <w:tc>
          <w:tcPr>
            <w:tcW w:w="0" w:type="auto"/>
            <w:vAlign w:val="center"/>
            <w:hideMark/>
          </w:tcPr>
          <w:p w14:paraId="2D49C029" w14:textId="77777777" w:rsidR="00000000" w:rsidRDefault="00195E73">
            <w:pPr>
              <w:rPr>
                <w:rFonts w:eastAsia="Times New Roman"/>
                <w:sz w:val="20"/>
                <w:szCs w:val="20"/>
              </w:rPr>
            </w:pPr>
          </w:p>
        </w:tc>
        <w:tc>
          <w:tcPr>
            <w:tcW w:w="0" w:type="auto"/>
            <w:vAlign w:val="center"/>
            <w:hideMark/>
          </w:tcPr>
          <w:p w14:paraId="015DAD0E" w14:textId="77777777" w:rsidR="00000000" w:rsidRDefault="00195E73">
            <w:pPr>
              <w:rPr>
                <w:rFonts w:eastAsia="Times New Roman"/>
                <w:sz w:val="20"/>
                <w:szCs w:val="20"/>
              </w:rPr>
            </w:pPr>
          </w:p>
        </w:tc>
        <w:tc>
          <w:tcPr>
            <w:tcW w:w="0" w:type="auto"/>
            <w:vAlign w:val="center"/>
            <w:hideMark/>
          </w:tcPr>
          <w:p w14:paraId="01C4A27E" w14:textId="77777777" w:rsidR="00000000" w:rsidRDefault="00195E73">
            <w:pPr>
              <w:rPr>
                <w:rFonts w:eastAsia="Times New Roman"/>
                <w:sz w:val="20"/>
                <w:szCs w:val="20"/>
              </w:rPr>
            </w:pPr>
          </w:p>
        </w:tc>
      </w:tr>
      <w:tr w:rsidR="00000000" w14:paraId="4912ACE1" w14:textId="77777777">
        <w:trPr>
          <w:divId w:val="1612931036"/>
          <w:jc w:val="center"/>
        </w:trPr>
        <w:tc>
          <w:tcPr>
            <w:tcW w:w="0" w:type="auto"/>
            <w:gridSpan w:val="3"/>
            <w:tcMar>
              <w:top w:w="15" w:type="dxa"/>
              <w:left w:w="20" w:type="dxa"/>
              <w:bottom w:w="15" w:type="dxa"/>
              <w:right w:w="20" w:type="dxa"/>
            </w:tcMar>
            <w:vAlign w:val="bottom"/>
            <w:hideMark/>
          </w:tcPr>
          <w:p w14:paraId="149EF0EC" w14:textId="77777777" w:rsidR="00000000" w:rsidRDefault="00195E73">
            <w:pPr>
              <w:jc w:val="center"/>
              <w:rPr>
                <w:rFonts w:eastAsia="Times New Roman"/>
              </w:rPr>
            </w:pPr>
          </w:p>
        </w:tc>
        <w:tc>
          <w:tcPr>
            <w:tcW w:w="0" w:type="auto"/>
            <w:gridSpan w:val="14"/>
            <w:tcBorders>
              <w:top w:val="single" w:sz="8" w:space="0" w:color="000000"/>
            </w:tcBorders>
            <w:tcMar>
              <w:top w:w="30" w:type="dxa"/>
              <w:left w:w="20" w:type="dxa"/>
              <w:bottom w:w="30" w:type="dxa"/>
              <w:right w:w="0" w:type="dxa"/>
            </w:tcMar>
            <w:vAlign w:val="bottom"/>
            <w:hideMark/>
          </w:tcPr>
          <w:p w14:paraId="308D445C"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368440DC"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0AB8FDAF" w14:textId="77777777" w:rsidR="00000000" w:rsidRDefault="00195E73">
            <w:pPr>
              <w:jc w:val="right"/>
              <w:rPr>
                <w:rFonts w:eastAsia="Times New Roman"/>
              </w:rPr>
            </w:pPr>
          </w:p>
        </w:tc>
        <w:tc>
          <w:tcPr>
            <w:tcW w:w="0" w:type="auto"/>
            <w:gridSpan w:val="3"/>
            <w:vAlign w:val="center"/>
            <w:hideMark/>
          </w:tcPr>
          <w:p w14:paraId="75E8DA2B" w14:textId="77777777" w:rsidR="00000000" w:rsidRDefault="00195E73">
            <w:pPr>
              <w:rPr>
                <w:rFonts w:eastAsia="Times New Roman"/>
                <w:sz w:val="20"/>
                <w:szCs w:val="20"/>
              </w:rPr>
            </w:pPr>
          </w:p>
        </w:tc>
        <w:tc>
          <w:tcPr>
            <w:tcW w:w="0" w:type="auto"/>
            <w:gridSpan w:val="3"/>
            <w:vAlign w:val="center"/>
            <w:hideMark/>
          </w:tcPr>
          <w:p w14:paraId="01069B49" w14:textId="77777777" w:rsidR="00000000" w:rsidRDefault="00195E73">
            <w:pPr>
              <w:rPr>
                <w:rFonts w:eastAsia="Times New Roman"/>
                <w:sz w:val="20"/>
                <w:szCs w:val="20"/>
              </w:rPr>
            </w:pPr>
          </w:p>
        </w:tc>
        <w:tc>
          <w:tcPr>
            <w:tcW w:w="0" w:type="auto"/>
            <w:gridSpan w:val="3"/>
            <w:vAlign w:val="center"/>
            <w:hideMark/>
          </w:tcPr>
          <w:p w14:paraId="757FF624" w14:textId="77777777" w:rsidR="00000000" w:rsidRDefault="00195E73">
            <w:pPr>
              <w:rPr>
                <w:rFonts w:eastAsia="Times New Roman"/>
                <w:sz w:val="20"/>
                <w:szCs w:val="20"/>
              </w:rPr>
            </w:pPr>
          </w:p>
        </w:tc>
      </w:tr>
      <w:tr w:rsidR="00000000" w14:paraId="2CEAAFAA" w14:textId="77777777">
        <w:trPr>
          <w:divId w:val="1612931036"/>
          <w:jc w:val="center"/>
        </w:trPr>
        <w:tc>
          <w:tcPr>
            <w:tcW w:w="0" w:type="auto"/>
            <w:gridSpan w:val="3"/>
            <w:shd w:val="clear" w:color="auto" w:fill="CCEEFF"/>
            <w:tcMar>
              <w:top w:w="30" w:type="dxa"/>
              <w:left w:w="20" w:type="dxa"/>
              <w:bottom w:w="30" w:type="dxa"/>
              <w:right w:w="20" w:type="dxa"/>
            </w:tcMar>
            <w:vAlign w:val="bottom"/>
            <w:hideMark/>
          </w:tcPr>
          <w:p w14:paraId="6C7F0508" w14:textId="77777777" w:rsidR="00000000" w:rsidRDefault="00195E73">
            <w:pPr>
              <w:rPr>
                <w:rFonts w:eastAsia="Times New Roman"/>
              </w:rPr>
            </w:pPr>
            <w:r>
              <w:rPr>
                <w:rFonts w:eastAsia="Times New Roman"/>
                <w:color w:val="000000"/>
                <w:sz w:val="20"/>
                <w:szCs w:val="20"/>
              </w:rPr>
              <w:t>Petroleum product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5FF1072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CAD528B" w14:textId="77777777" w:rsidR="00000000" w:rsidRDefault="00195E73">
            <w:pPr>
              <w:jc w:val="right"/>
              <w:rPr>
                <w:rFonts w:eastAsia="Times New Roman"/>
              </w:rPr>
            </w:pPr>
            <w:r>
              <w:rPr>
                <w:rFonts w:eastAsia="Times New Roman"/>
                <w:color w:val="000000"/>
                <w:sz w:val="20"/>
                <w:szCs w:val="20"/>
              </w:rPr>
              <w:t>5,960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044686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B65087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E026BB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DEA0A18" w14:textId="77777777" w:rsidR="00000000" w:rsidRDefault="00195E73">
            <w:pPr>
              <w:jc w:val="right"/>
              <w:rPr>
                <w:rFonts w:eastAsia="Times New Roman"/>
              </w:rPr>
            </w:pPr>
            <w:r>
              <w:rPr>
                <w:rFonts w:eastAsia="Times New Roman"/>
                <w:color w:val="000000"/>
                <w:sz w:val="20"/>
                <w:szCs w:val="20"/>
              </w:rPr>
              <w:t>6,773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691F55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87CD98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8B2C7B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DA5B5D7" w14:textId="77777777" w:rsidR="00000000" w:rsidRDefault="00195E73">
            <w:pPr>
              <w:jc w:val="right"/>
              <w:rPr>
                <w:rFonts w:eastAsia="Times New Roman"/>
              </w:rPr>
            </w:pPr>
            <w:r>
              <w:rPr>
                <w:rFonts w:eastAsia="Times New Roman"/>
                <w:color w:val="000000"/>
                <w:sz w:val="20"/>
                <w:szCs w:val="20"/>
              </w:rPr>
              <w:t>5,657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93DCF9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3510569" w14:textId="77777777" w:rsidR="00000000" w:rsidRDefault="00195E73">
            <w:pPr>
              <w:rPr>
                <w:rFonts w:eastAsia="Times New Roman"/>
                <w:sz w:val="20"/>
                <w:szCs w:val="20"/>
              </w:rPr>
            </w:pPr>
          </w:p>
        </w:tc>
        <w:tc>
          <w:tcPr>
            <w:tcW w:w="0" w:type="auto"/>
            <w:vAlign w:val="center"/>
            <w:hideMark/>
          </w:tcPr>
          <w:p w14:paraId="264939CE" w14:textId="77777777" w:rsidR="00000000" w:rsidRDefault="00195E73">
            <w:pPr>
              <w:rPr>
                <w:rFonts w:eastAsia="Times New Roman"/>
                <w:sz w:val="20"/>
                <w:szCs w:val="20"/>
              </w:rPr>
            </w:pPr>
          </w:p>
        </w:tc>
        <w:tc>
          <w:tcPr>
            <w:tcW w:w="0" w:type="auto"/>
            <w:vAlign w:val="center"/>
            <w:hideMark/>
          </w:tcPr>
          <w:p w14:paraId="623B5133" w14:textId="77777777" w:rsidR="00000000" w:rsidRDefault="00195E73">
            <w:pPr>
              <w:rPr>
                <w:rFonts w:eastAsia="Times New Roman"/>
                <w:sz w:val="20"/>
                <w:szCs w:val="20"/>
              </w:rPr>
            </w:pPr>
          </w:p>
        </w:tc>
        <w:tc>
          <w:tcPr>
            <w:tcW w:w="0" w:type="auto"/>
            <w:vAlign w:val="center"/>
            <w:hideMark/>
          </w:tcPr>
          <w:p w14:paraId="18A708AB" w14:textId="77777777" w:rsidR="00000000" w:rsidRDefault="00195E73">
            <w:pPr>
              <w:rPr>
                <w:rFonts w:eastAsia="Times New Roman"/>
                <w:sz w:val="20"/>
                <w:szCs w:val="20"/>
              </w:rPr>
            </w:pPr>
          </w:p>
        </w:tc>
        <w:tc>
          <w:tcPr>
            <w:tcW w:w="0" w:type="auto"/>
            <w:vAlign w:val="center"/>
            <w:hideMark/>
          </w:tcPr>
          <w:p w14:paraId="5B043441" w14:textId="77777777" w:rsidR="00000000" w:rsidRDefault="00195E73">
            <w:pPr>
              <w:rPr>
                <w:rFonts w:eastAsia="Times New Roman"/>
                <w:sz w:val="20"/>
                <w:szCs w:val="20"/>
              </w:rPr>
            </w:pPr>
          </w:p>
        </w:tc>
        <w:tc>
          <w:tcPr>
            <w:tcW w:w="0" w:type="auto"/>
            <w:vAlign w:val="center"/>
            <w:hideMark/>
          </w:tcPr>
          <w:p w14:paraId="4B557AED" w14:textId="77777777" w:rsidR="00000000" w:rsidRDefault="00195E73">
            <w:pPr>
              <w:rPr>
                <w:rFonts w:eastAsia="Times New Roman"/>
                <w:sz w:val="20"/>
                <w:szCs w:val="20"/>
              </w:rPr>
            </w:pPr>
          </w:p>
        </w:tc>
        <w:tc>
          <w:tcPr>
            <w:tcW w:w="0" w:type="auto"/>
            <w:vAlign w:val="center"/>
            <w:hideMark/>
          </w:tcPr>
          <w:p w14:paraId="2959C3B8" w14:textId="77777777" w:rsidR="00000000" w:rsidRDefault="00195E73">
            <w:pPr>
              <w:rPr>
                <w:rFonts w:eastAsia="Times New Roman"/>
                <w:sz w:val="20"/>
                <w:szCs w:val="20"/>
              </w:rPr>
            </w:pPr>
          </w:p>
        </w:tc>
        <w:tc>
          <w:tcPr>
            <w:tcW w:w="0" w:type="auto"/>
            <w:vAlign w:val="center"/>
            <w:hideMark/>
          </w:tcPr>
          <w:p w14:paraId="73B639B7" w14:textId="77777777" w:rsidR="00000000" w:rsidRDefault="00195E73">
            <w:pPr>
              <w:rPr>
                <w:rFonts w:eastAsia="Times New Roman"/>
                <w:sz w:val="20"/>
                <w:szCs w:val="20"/>
              </w:rPr>
            </w:pPr>
          </w:p>
        </w:tc>
        <w:tc>
          <w:tcPr>
            <w:tcW w:w="0" w:type="auto"/>
            <w:vAlign w:val="center"/>
            <w:hideMark/>
          </w:tcPr>
          <w:p w14:paraId="30D11373" w14:textId="77777777" w:rsidR="00000000" w:rsidRDefault="00195E73">
            <w:pPr>
              <w:rPr>
                <w:rFonts w:eastAsia="Times New Roman"/>
                <w:sz w:val="20"/>
                <w:szCs w:val="20"/>
              </w:rPr>
            </w:pPr>
          </w:p>
        </w:tc>
        <w:tc>
          <w:tcPr>
            <w:tcW w:w="0" w:type="auto"/>
            <w:vAlign w:val="center"/>
            <w:hideMark/>
          </w:tcPr>
          <w:p w14:paraId="5FE3E0E4" w14:textId="77777777" w:rsidR="00000000" w:rsidRDefault="00195E73">
            <w:pPr>
              <w:rPr>
                <w:rFonts w:eastAsia="Times New Roman"/>
                <w:sz w:val="20"/>
                <w:szCs w:val="20"/>
              </w:rPr>
            </w:pPr>
          </w:p>
        </w:tc>
        <w:tc>
          <w:tcPr>
            <w:tcW w:w="0" w:type="auto"/>
            <w:vAlign w:val="center"/>
            <w:hideMark/>
          </w:tcPr>
          <w:p w14:paraId="44377AEC" w14:textId="77777777" w:rsidR="00000000" w:rsidRDefault="00195E73">
            <w:pPr>
              <w:rPr>
                <w:rFonts w:eastAsia="Times New Roman"/>
                <w:sz w:val="20"/>
                <w:szCs w:val="20"/>
              </w:rPr>
            </w:pPr>
          </w:p>
        </w:tc>
        <w:tc>
          <w:tcPr>
            <w:tcW w:w="0" w:type="auto"/>
            <w:vAlign w:val="center"/>
            <w:hideMark/>
          </w:tcPr>
          <w:p w14:paraId="1F737F63" w14:textId="77777777" w:rsidR="00000000" w:rsidRDefault="00195E73">
            <w:pPr>
              <w:rPr>
                <w:rFonts w:eastAsia="Times New Roman"/>
                <w:sz w:val="20"/>
                <w:szCs w:val="20"/>
              </w:rPr>
            </w:pPr>
          </w:p>
        </w:tc>
      </w:tr>
      <w:tr w:rsidR="00000000" w14:paraId="022F3497" w14:textId="77777777">
        <w:trPr>
          <w:divId w:val="1612931036"/>
          <w:jc w:val="center"/>
        </w:trPr>
        <w:tc>
          <w:tcPr>
            <w:tcW w:w="0" w:type="auto"/>
            <w:gridSpan w:val="3"/>
            <w:shd w:val="clear" w:color="auto" w:fill="FFFFFF"/>
            <w:tcMar>
              <w:top w:w="30" w:type="dxa"/>
              <w:left w:w="20" w:type="dxa"/>
              <w:bottom w:w="30" w:type="dxa"/>
              <w:right w:w="20" w:type="dxa"/>
            </w:tcMar>
            <w:vAlign w:val="bottom"/>
            <w:hideMark/>
          </w:tcPr>
          <w:p w14:paraId="4261D729" w14:textId="77777777" w:rsidR="00000000" w:rsidRDefault="00195E73">
            <w:pPr>
              <w:rPr>
                <w:rFonts w:eastAsia="Times New Roman"/>
              </w:rPr>
            </w:pPr>
            <w:r>
              <w:rPr>
                <w:rFonts w:eastAsia="Times New Roman"/>
                <w:color w:val="000000"/>
                <w:sz w:val="20"/>
                <w:szCs w:val="20"/>
              </w:rPr>
              <w:t>Nitrogen fertilizer product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E8827E5" w14:textId="77777777" w:rsidR="00000000" w:rsidRDefault="00195E73">
            <w:pPr>
              <w:jc w:val="right"/>
              <w:rPr>
                <w:rFonts w:eastAsia="Times New Roman"/>
              </w:rPr>
            </w:pPr>
            <w:r>
              <w:rPr>
                <w:rFonts w:eastAsia="Times New Roman"/>
                <w:color w:val="000000"/>
                <w:sz w:val="20"/>
                <w:szCs w:val="20"/>
              </w:rPr>
              <w:t>404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86F5A8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2F0BAD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3BD298" w14:textId="77777777" w:rsidR="00000000" w:rsidRDefault="00195E73">
            <w:pPr>
              <w:jc w:val="right"/>
              <w:rPr>
                <w:rFonts w:eastAsia="Times New Roman"/>
              </w:rPr>
            </w:pPr>
            <w:r>
              <w:rPr>
                <w:rFonts w:eastAsia="Times New Roman"/>
                <w:color w:val="000000"/>
                <w:sz w:val="20"/>
                <w:szCs w:val="20"/>
              </w:rPr>
              <w:t>351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A0AF5E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1893D5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0428CC" w14:textId="77777777" w:rsidR="00000000" w:rsidRDefault="00195E73">
            <w:pPr>
              <w:jc w:val="right"/>
              <w:rPr>
                <w:rFonts w:eastAsia="Times New Roman"/>
              </w:rPr>
            </w:pPr>
            <w:r>
              <w:rPr>
                <w:rFonts w:eastAsia="Times New Roman"/>
                <w:color w:val="000000"/>
                <w:sz w:val="20"/>
                <w:szCs w:val="20"/>
              </w:rPr>
              <w:t>331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F9DF84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A4B3B73" w14:textId="77777777" w:rsidR="00000000" w:rsidRDefault="00195E73">
            <w:pPr>
              <w:rPr>
                <w:rFonts w:eastAsia="Times New Roman"/>
                <w:sz w:val="20"/>
                <w:szCs w:val="20"/>
              </w:rPr>
            </w:pPr>
          </w:p>
        </w:tc>
        <w:tc>
          <w:tcPr>
            <w:tcW w:w="0" w:type="auto"/>
            <w:vAlign w:val="center"/>
            <w:hideMark/>
          </w:tcPr>
          <w:p w14:paraId="43347B53" w14:textId="77777777" w:rsidR="00000000" w:rsidRDefault="00195E73">
            <w:pPr>
              <w:rPr>
                <w:rFonts w:eastAsia="Times New Roman"/>
                <w:sz w:val="20"/>
                <w:szCs w:val="20"/>
              </w:rPr>
            </w:pPr>
          </w:p>
        </w:tc>
        <w:tc>
          <w:tcPr>
            <w:tcW w:w="0" w:type="auto"/>
            <w:vAlign w:val="center"/>
            <w:hideMark/>
          </w:tcPr>
          <w:p w14:paraId="4F6C031B" w14:textId="77777777" w:rsidR="00000000" w:rsidRDefault="00195E73">
            <w:pPr>
              <w:rPr>
                <w:rFonts w:eastAsia="Times New Roman"/>
                <w:sz w:val="20"/>
                <w:szCs w:val="20"/>
              </w:rPr>
            </w:pPr>
          </w:p>
        </w:tc>
        <w:tc>
          <w:tcPr>
            <w:tcW w:w="0" w:type="auto"/>
            <w:vAlign w:val="center"/>
            <w:hideMark/>
          </w:tcPr>
          <w:p w14:paraId="7DC0087C" w14:textId="77777777" w:rsidR="00000000" w:rsidRDefault="00195E73">
            <w:pPr>
              <w:rPr>
                <w:rFonts w:eastAsia="Times New Roman"/>
                <w:sz w:val="20"/>
                <w:szCs w:val="20"/>
              </w:rPr>
            </w:pPr>
          </w:p>
        </w:tc>
        <w:tc>
          <w:tcPr>
            <w:tcW w:w="0" w:type="auto"/>
            <w:vAlign w:val="center"/>
            <w:hideMark/>
          </w:tcPr>
          <w:p w14:paraId="4B12698B" w14:textId="77777777" w:rsidR="00000000" w:rsidRDefault="00195E73">
            <w:pPr>
              <w:rPr>
                <w:rFonts w:eastAsia="Times New Roman"/>
                <w:sz w:val="20"/>
                <w:szCs w:val="20"/>
              </w:rPr>
            </w:pPr>
          </w:p>
        </w:tc>
        <w:tc>
          <w:tcPr>
            <w:tcW w:w="0" w:type="auto"/>
            <w:vAlign w:val="center"/>
            <w:hideMark/>
          </w:tcPr>
          <w:p w14:paraId="1C67D3F0" w14:textId="77777777" w:rsidR="00000000" w:rsidRDefault="00195E73">
            <w:pPr>
              <w:rPr>
                <w:rFonts w:eastAsia="Times New Roman"/>
                <w:sz w:val="20"/>
                <w:szCs w:val="20"/>
              </w:rPr>
            </w:pPr>
          </w:p>
        </w:tc>
        <w:tc>
          <w:tcPr>
            <w:tcW w:w="0" w:type="auto"/>
            <w:vAlign w:val="center"/>
            <w:hideMark/>
          </w:tcPr>
          <w:p w14:paraId="563A5AE1" w14:textId="77777777" w:rsidR="00000000" w:rsidRDefault="00195E73">
            <w:pPr>
              <w:rPr>
                <w:rFonts w:eastAsia="Times New Roman"/>
                <w:sz w:val="20"/>
                <w:szCs w:val="20"/>
              </w:rPr>
            </w:pPr>
          </w:p>
        </w:tc>
        <w:tc>
          <w:tcPr>
            <w:tcW w:w="0" w:type="auto"/>
            <w:vAlign w:val="center"/>
            <w:hideMark/>
          </w:tcPr>
          <w:p w14:paraId="17BD4886" w14:textId="77777777" w:rsidR="00000000" w:rsidRDefault="00195E73">
            <w:pPr>
              <w:rPr>
                <w:rFonts w:eastAsia="Times New Roman"/>
                <w:sz w:val="20"/>
                <w:szCs w:val="20"/>
              </w:rPr>
            </w:pPr>
          </w:p>
        </w:tc>
        <w:tc>
          <w:tcPr>
            <w:tcW w:w="0" w:type="auto"/>
            <w:vAlign w:val="center"/>
            <w:hideMark/>
          </w:tcPr>
          <w:p w14:paraId="53940DE7" w14:textId="77777777" w:rsidR="00000000" w:rsidRDefault="00195E73">
            <w:pPr>
              <w:rPr>
                <w:rFonts w:eastAsia="Times New Roman"/>
                <w:sz w:val="20"/>
                <w:szCs w:val="20"/>
              </w:rPr>
            </w:pPr>
          </w:p>
        </w:tc>
        <w:tc>
          <w:tcPr>
            <w:tcW w:w="0" w:type="auto"/>
            <w:vAlign w:val="center"/>
            <w:hideMark/>
          </w:tcPr>
          <w:p w14:paraId="71E62CDC" w14:textId="77777777" w:rsidR="00000000" w:rsidRDefault="00195E73">
            <w:pPr>
              <w:rPr>
                <w:rFonts w:eastAsia="Times New Roman"/>
                <w:sz w:val="20"/>
                <w:szCs w:val="20"/>
              </w:rPr>
            </w:pPr>
          </w:p>
        </w:tc>
        <w:tc>
          <w:tcPr>
            <w:tcW w:w="0" w:type="auto"/>
            <w:vAlign w:val="center"/>
            <w:hideMark/>
          </w:tcPr>
          <w:p w14:paraId="2653DAE0" w14:textId="77777777" w:rsidR="00000000" w:rsidRDefault="00195E73">
            <w:pPr>
              <w:rPr>
                <w:rFonts w:eastAsia="Times New Roman"/>
                <w:sz w:val="20"/>
                <w:szCs w:val="20"/>
              </w:rPr>
            </w:pPr>
          </w:p>
        </w:tc>
        <w:tc>
          <w:tcPr>
            <w:tcW w:w="0" w:type="auto"/>
            <w:vAlign w:val="center"/>
            <w:hideMark/>
          </w:tcPr>
          <w:p w14:paraId="7A008D07" w14:textId="77777777" w:rsidR="00000000" w:rsidRDefault="00195E73">
            <w:pPr>
              <w:rPr>
                <w:rFonts w:eastAsia="Times New Roman"/>
                <w:sz w:val="20"/>
                <w:szCs w:val="20"/>
              </w:rPr>
            </w:pPr>
          </w:p>
        </w:tc>
      </w:tr>
      <w:tr w:rsidR="00000000" w14:paraId="341EDA2E" w14:textId="77777777">
        <w:trPr>
          <w:divId w:val="1612931036"/>
          <w:jc w:val="center"/>
        </w:trPr>
        <w:tc>
          <w:tcPr>
            <w:tcW w:w="0" w:type="auto"/>
            <w:gridSpan w:val="3"/>
            <w:shd w:val="clear" w:color="auto" w:fill="CCEEFF"/>
            <w:tcMar>
              <w:top w:w="15" w:type="dxa"/>
              <w:left w:w="20" w:type="dxa"/>
              <w:bottom w:w="15" w:type="dxa"/>
              <w:right w:w="20" w:type="dxa"/>
            </w:tcMar>
            <w:vAlign w:val="bottom"/>
            <w:hideMark/>
          </w:tcPr>
          <w:p w14:paraId="68013FD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2FA59A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94CFCAF" w14:textId="77777777" w:rsidR="00000000" w:rsidRDefault="00195E73">
            <w:pPr>
              <w:jc w:val="right"/>
              <w:rPr>
                <w:rFonts w:eastAsia="Times New Roman"/>
              </w:rPr>
            </w:pPr>
            <w:r>
              <w:rPr>
                <w:rFonts w:eastAsia="Times New Roman"/>
                <w:color w:val="000000"/>
                <w:sz w:val="20"/>
                <w:szCs w:val="20"/>
              </w:rPr>
              <w:t>6,364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98689D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9629C6E"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717D89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8DCEE46" w14:textId="77777777" w:rsidR="00000000" w:rsidRDefault="00195E73">
            <w:pPr>
              <w:jc w:val="right"/>
              <w:rPr>
                <w:rFonts w:eastAsia="Times New Roman"/>
              </w:rPr>
            </w:pPr>
            <w:r>
              <w:rPr>
                <w:rFonts w:eastAsia="Times New Roman"/>
                <w:color w:val="000000"/>
                <w:sz w:val="20"/>
                <w:szCs w:val="20"/>
              </w:rPr>
              <w:t>7,124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EADCFF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D101D15"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E388D1D"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A8A6D3F" w14:textId="77777777" w:rsidR="00000000" w:rsidRDefault="00195E73">
            <w:pPr>
              <w:jc w:val="right"/>
              <w:rPr>
                <w:rFonts w:eastAsia="Times New Roman"/>
              </w:rPr>
            </w:pPr>
            <w:r>
              <w:rPr>
                <w:rFonts w:eastAsia="Times New Roman"/>
                <w:color w:val="000000"/>
                <w:sz w:val="20"/>
                <w:szCs w:val="20"/>
              </w:rPr>
              <w:t>5,988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B8DF05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F491283" w14:textId="77777777" w:rsidR="00000000" w:rsidRDefault="00195E73">
            <w:pPr>
              <w:rPr>
                <w:rFonts w:eastAsia="Times New Roman"/>
                <w:sz w:val="20"/>
                <w:szCs w:val="20"/>
              </w:rPr>
            </w:pPr>
          </w:p>
        </w:tc>
        <w:tc>
          <w:tcPr>
            <w:tcW w:w="0" w:type="auto"/>
            <w:vAlign w:val="center"/>
            <w:hideMark/>
          </w:tcPr>
          <w:p w14:paraId="6158298B" w14:textId="77777777" w:rsidR="00000000" w:rsidRDefault="00195E73">
            <w:pPr>
              <w:rPr>
                <w:rFonts w:eastAsia="Times New Roman"/>
                <w:sz w:val="20"/>
                <w:szCs w:val="20"/>
              </w:rPr>
            </w:pPr>
          </w:p>
        </w:tc>
        <w:tc>
          <w:tcPr>
            <w:tcW w:w="0" w:type="auto"/>
            <w:vAlign w:val="center"/>
            <w:hideMark/>
          </w:tcPr>
          <w:p w14:paraId="0E3EA060" w14:textId="77777777" w:rsidR="00000000" w:rsidRDefault="00195E73">
            <w:pPr>
              <w:rPr>
                <w:rFonts w:eastAsia="Times New Roman"/>
                <w:sz w:val="20"/>
                <w:szCs w:val="20"/>
              </w:rPr>
            </w:pPr>
          </w:p>
        </w:tc>
        <w:tc>
          <w:tcPr>
            <w:tcW w:w="0" w:type="auto"/>
            <w:vAlign w:val="center"/>
            <w:hideMark/>
          </w:tcPr>
          <w:p w14:paraId="139B456A" w14:textId="77777777" w:rsidR="00000000" w:rsidRDefault="00195E73">
            <w:pPr>
              <w:rPr>
                <w:rFonts w:eastAsia="Times New Roman"/>
                <w:sz w:val="20"/>
                <w:szCs w:val="20"/>
              </w:rPr>
            </w:pPr>
          </w:p>
        </w:tc>
        <w:tc>
          <w:tcPr>
            <w:tcW w:w="0" w:type="auto"/>
            <w:vAlign w:val="center"/>
            <w:hideMark/>
          </w:tcPr>
          <w:p w14:paraId="46C2B25F" w14:textId="77777777" w:rsidR="00000000" w:rsidRDefault="00195E73">
            <w:pPr>
              <w:rPr>
                <w:rFonts w:eastAsia="Times New Roman"/>
                <w:sz w:val="20"/>
                <w:szCs w:val="20"/>
              </w:rPr>
            </w:pPr>
          </w:p>
        </w:tc>
        <w:tc>
          <w:tcPr>
            <w:tcW w:w="0" w:type="auto"/>
            <w:vAlign w:val="center"/>
            <w:hideMark/>
          </w:tcPr>
          <w:p w14:paraId="3641CF90" w14:textId="77777777" w:rsidR="00000000" w:rsidRDefault="00195E73">
            <w:pPr>
              <w:rPr>
                <w:rFonts w:eastAsia="Times New Roman"/>
                <w:sz w:val="20"/>
                <w:szCs w:val="20"/>
              </w:rPr>
            </w:pPr>
          </w:p>
        </w:tc>
        <w:tc>
          <w:tcPr>
            <w:tcW w:w="0" w:type="auto"/>
            <w:vAlign w:val="center"/>
            <w:hideMark/>
          </w:tcPr>
          <w:p w14:paraId="15C4941E" w14:textId="77777777" w:rsidR="00000000" w:rsidRDefault="00195E73">
            <w:pPr>
              <w:rPr>
                <w:rFonts w:eastAsia="Times New Roman"/>
                <w:sz w:val="20"/>
                <w:szCs w:val="20"/>
              </w:rPr>
            </w:pPr>
          </w:p>
        </w:tc>
        <w:tc>
          <w:tcPr>
            <w:tcW w:w="0" w:type="auto"/>
            <w:vAlign w:val="center"/>
            <w:hideMark/>
          </w:tcPr>
          <w:p w14:paraId="3172FD58" w14:textId="77777777" w:rsidR="00000000" w:rsidRDefault="00195E73">
            <w:pPr>
              <w:rPr>
                <w:rFonts w:eastAsia="Times New Roman"/>
                <w:sz w:val="20"/>
                <w:szCs w:val="20"/>
              </w:rPr>
            </w:pPr>
          </w:p>
        </w:tc>
        <w:tc>
          <w:tcPr>
            <w:tcW w:w="0" w:type="auto"/>
            <w:vAlign w:val="center"/>
            <w:hideMark/>
          </w:tcPr>
          <w:p w14:paraId="236DE686" w14:textId="77777777" w:rsidR="00000000" w:rsidRDefault="00195E73">
            <w:pPr>
              <w:rPr>
                <w:rFonts w:eastAsia="Times New Roman"/>
                <w:sz w:val="20"/>
                <w:szCs w:val="20"/>
              </w:rPr>
            </w:pPr>
          </w:p>
        </w:tc>
        <w:tc>
          <w:tcPr>
            <w:tcW w:w="0" w:type="auto"/>
            <w:vAlign w:val="center"/>
            <w:hideMark/>
          </w:tcPr>
          <w:p w14:paraId="4A315615" w14:textId="77777777" w:rsidR="00000000" w:rsidRDefault="00195E73">
            <w:pPr>
              <w:rPr>
                <w:rFonts w:eastAsia="Times New Roman"/>
                <w:sz w:val="20"/>
                <w:szCs w:val="20"/>
              </w:rPr>
            </w:pPr>
          </w:p>
        </w:tc>
        <w:tc>
          <w:tcPr>
            <w:tcW w:w="0" w:type="auto"/>
            <w:vAlign w:val="center"/>
            <w:hideMark/>
          </w:tcPr>
          <w:p w14:paraId="61C02E55" w14:textId="77777777" w:rsidR="00000000" w:rsidRDefault="00195E73">
            <w:pPr>
              <w:rPr>
                <w:rFonts w:eastAsia="Times New Roman"/>
                <w:sz w:val="20"/>
                <w:szCs w:val="20"/>
              </w:rPr>
            </w:pPr>
          </w:p>
        </w:tc>
        <w:tc>
          <w:tcPr>
            <w:tcW w:w="0" w:type="auto"/>
            <w:vAlign w:val="center"/>
            <w:hideMark/>
          </w:tcPr>
          <w:p w14:paraId="24BE5064" w14:textId="77777777" w:rsidR="00000000" w:rsidRDefault="00195E73">
            <w:pPr>
              <w:rPr>
                <w:rFonts w:eastAsia="Times New Roman"/>
                <w:sz w:val="20"/>
                <w:szCs w:val="20"/>
              </w:rPr>
            </w:pPr>
          </w:p>
        </w:tc>
      </w:tr>
    </w:tbl>
    <w:p w14:paraId="1EA4E5FD" w14:textId="77777777" w:rsidR="00000000" w:rsidRDefault="00195E73">
      <w:pPr>
        <w:divId w:val="372580405"/>
        <w:rPr>
          <w:rFonts w:eastAsia="Times New Roman"/>
        </w:rPr>
      </w:pPr>
      <w:r>
        <w:rPr>
          <w:rFonts w:eastAsia="Times New Roman"/>
          <w:b/>
          <w:bCs/>
          <w:i/>
          <w:iCs/>
          <w:color w:val="000000"/>
          <w:sz w:val="20"/>
          <w:szCs w:val="20"/>
        </w:rPr>
        <w:t>Automotiv</w:t>
      </w:r>
      <w:r>
        <w:rPr>
          <w:rFonts w:eastAsia="Times New Roman"/>
          <w:b/>
          <w:bCs/>
          <w:i/>
          <w:iCs/>
          <w:color w:val="000000"/>
          <w:sz w:val="20"/>
          <w:szCs w:val="20"/>
        </w:rPr>
        <w:t>e</w:t>
      </w:r>
    </w:p>
    <w:p w14:paraId="3717D521" w14:textId="77777777" w:rsidR="00000000" w:rsidRDefault="00195E73">
      <w:pPr>
        <w:ind w:firstLine="450"/>
        <w:divId w:val="786890961"/>
        <w:rPr>
          <w:rFonts w:eastAsia="Times New Roman"/>
        </w:rPr>
      </w:pPr>
      <w:r>
        <w:rPr>
          <w:rFonts w:eastAsia="Times New Roman"/>
          <w:color w:val="000000"/>
          <w:sz w:val="20"/>
          <w:szCs w:val="20"/>
        </w:rPr>
        <w:t>Disaggregated revenue for our Automotive segment net sales and other revenues from operations is presented below:</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869"/>
        <w:gridCol w:w="40"/>
        <w:gridCol w:w="135"/>
        <w:gridCol w:w="1037"/>
        <w:gridCol w:w="85"/>
        <w:gridCol w:w="36"/>
        <w:gridCol w:w="36"/>
        <w:gridCol w:w="36"/>
        <w:gridCol w:w="135"/>
        <w:gridCol w:w="1005"/>
        <w:gridCol w:w="85"/>
        <w:gridCol w:w="36"/>
        <w:gridCol w:w="36"/>
        <w:gridCol w:w="36"/>
        <w:gridCol w:w="135"/>
        <w:gridCol w:w="1007"/>
        <w:gridCol w:w="85"/>
        <w:gridCol w:w="36"/>
        <w:gridCol w:w="36"/>
        <w:gridCol w:w="36"/>
        <w:gridCol w:w="36"/>
        <w:gridCol w:w="36"/>
        <w:gridCol w:w="36"/>
        <w:gridCol w:w="36"/>
        <w:gridCol w:w="36"/>
        <w:gridCol w:w="36"/>
        <w:gridCol w:w="36"/>
        <w:gridCol w:w="36"/>
        <w:gridCol w:w="36"/>
      </w:tblGrid>
      <w:tr w:rsidR="00000000" w14:paraId="6E5A3BA3" w14:textId="77777777">
        <w:trPr>
          <w:gridAfter w:val="12"/>
          <w:divId w:val="61175525"/>
          <w:jc w:val="center"/>
        </w:trPr>
        <w:tc>
          <w:tcPr>
            <w:tcW w:w="50" w:type="pct"/>
            <w:vAlign w:val="center"/>
            <w:hideMark/>
          </w:tcPr>
          <w:p w14:paraId="28583200" w14:textId="77777777" w:rsidR="00000000" w:rsidRDefault="00195E73">
            <w:pPr>
              <w:ind w:firstLine="450"/>
              <w:rPr>
                <w:rFonts w:eastAsia="Times New Roman"/>
              </w:rPr>
            </w:pPr>
          </w:p>
        </w:tc>
        <w:tc>
          <w:tcPr>
            <w:tcW w:w="2480" w:type="pct"/>
            <w:vAlign w:val="center"/>
            <w:hideMark/>
          </w:tcPr>
          <w:p w14:paraId="5A82E9C3" w14:textId="77777777" w:rsidR="00000000" w:rsidRDefault="00195E73">
            <w:pPr>
              <w:rPr>
                <w:rFonts w:eastAsia="Times New Roman"/>
                <w:sz w:val="20"/>
                <w:szCs w:val="20"/>
              </w:rPr>
            </w:pPr>
          </w:p>
        </w:tc>
        <w:tc>
          <w:tcPr>
            <w:tcW w:w="50" w:type="pct"/>
            <w:vAlign w:val="center"/>
            <w:hideMark/>
          </w:tcPr>
          <w:p w14:paraId="6B4ECDC8" w14:textId="77777777" w:rsidR="00000000" w:rsidRDefault="00195E73">
            <w:pPr>
              <w:rPr>
                <w:rFonts w:eastAsia="Times New Roman"/>
                <w:sz w:val="20"/>
                <w:szCs w:val="20"/>
              </w:rPr>
            </w:pPr>
          </w:p>
        </w:tc>
        <w:tc>
          <w:tcPr>
            <w:tcW w:w="50" w:type="pct"/>
            <w:vAlign w:val="center"/>
            <w:hideMark/>
          </w:tcPr>
          <w:p w14:paraId="493959BB" w14:textId="77777777" w:rsidR="00000000" w:rsidRDefault="00195E73">
            <w:pPr>
              <w:rPr>
                <w:rFonts w:eastAsia="Times New Roman"/>
                <w:sz w:val="20"/>
                <w:szCs w:val="20"/>
              </w:rPr>
            </w:pPr>
          </w:p>
        </w:tc>
        <w:tc>
          <w:tcPr>
            <w:tcW w:w="682" w:type="pct"/>
            <w:vAlign w:val="center"/>
            <w:hideMark/>
          </w:tcPr>
          <w:p w14:paraId="38344050" w14:textId="77777777" w:rsidR="00000000" w:rsidRDefault="00195E73">
            <w:pPr>
              <w:rPr>
                <w:rFonts w:eastAsia="Times New Roman"/>
                <w:sz w:val="20"/>
                <w:szCs w:val="20"/>
              </w:rPr>
            </w:pPr>
          </w:p>
        </w:tc>
        <w:tc>
          <w:tcPr>
            <w:tcW w:w="50" w:type="pct"/>
            <w:vAlign w:val="center"/>
            <w:hideMark/>
          </w:tcPr>
          <w:p w14:paraId="47940DAF" w14:textId="77777777" w:rsidR="00000000" w:rsidRDefault="00195E73">
            <w:pPr>
              <w:rPr>
                <w:rFonts w:eastAsia="Times New Roman"/>
                <w:sz w:val="20"/>
                <w:szCs w:val="20"/>
              </w:rPr>
            </w:pPr>
          </w:p>
        </w:tc>
        <w:tc>
          <w:tcPr>
            <w:tcW w:w="5" w:type="pct"/>
            <w:vAlign w:val="center"/>
            <w:hideMark/>
          </w:tcPr>
          <w:p w14:paraId="15DDDD80" w14:textId="77777777" w:rsidR="00000000" w:rsidRDefault="00195E73">
            <w:pPr>
              <w:rPr>
                <w:rFonts w:eastAsia="Times New Roman"/>
                <w:sz w:val="20"/>
                <w:szCs w:val="20"/>
              </w:rPr>
            </w:pPr>
          </w:p>
        </w:tc>
        <w:tc>
          <w:tcPr>
            <w:tcW w:w="26" w:type="pct"/>
            <w:vAlign w:val="center"/>
            <w:hideMark/>
          </w:tcPr>
          <w:p w14:paraId="7B8732B1" w14:textId="77777777" w:rsidR="00000000" w:rsidRDefault="00195E73">
            <w:pPr>
              <w:rPr>
                <w:rFonts w:eastAsia="Times New Roman"/>
                <w:sz w:val="20"/>
                <w:szCs w:val="20"/>
              </w:rPr>
            </w:pPr>
          </w:p>
        </w:tc>
        <w:tc>
          <w:tcPr>
            <w:tcW w:w="5" w:type="pct"/>
            <w:vAlign w:val="center"/>
            <w:hideMark/>
          </w:tcPr>
          <w:p w14:paraId="0CB09D2D" w14:textId="77777777" w:rsidR="00000000" w:rsidRDefault="00195E73">
            <w:pPr>
              <w:rPr>
                <w:rFonts w:eastAsia="Times New Roman"/>
                <w:sz w:val="20"/>
                <w:szCs w:val="20"/>
              </w:rPr>
            </w:pPr>
          </w:p>
        </w:tc>
        <w:tc>
          <w:tcPr>
            <w:tcW w:w="50" w:type="pct"/>
            <w:vAlign w:val="center"/>
            <w:hideMark/>
          </w:tcPr>
          <w:p w14:paraId="6E8A77F9" w14:textId="77777777" w:rsidR="00000000" w:rsidRDefault="00195E73">
            <w:pPr>
              <w:rPr>
                <w:rFonts w:eastAsia="Times New Roman"/>
                <w:sz w:val="20"/>
                <w:szCs w:val="20"/>
              </w:rPr>
            </w:pPr>
          </w:p>
        </w:tc>
        <w:tc>
          <w:tcPr>
            <w:tcW w:w="682" w:type="pct"/>
            <w:vAlign w:val="center"/>
            <w:hideMark/>
          </w:tcPr>
          <w:p w14:paraId="5129873D" w14:textId="77777777" w:rsidR="00000000" w:rsidRDefault="00195E73">
            <w:pPr>
              <w:rPr>
                <w:rFonts w:eastAsia="Times New Roman"/>
                <w:sz w:val="20"/>
                <w:szCs w:val="20"/>
              </w:rPr>
            </w:pPr>
          </w:p>
        </w:tc>
        <w:tc>
          <w:tcPr>
            <w:tcW w:w="50" w:type="pct"/>
            <w:vAlign w:val="center"/>
            <w:hideMark/>
          </w:tcPr>
          <w:p w14:paraId="41360BB2" w14:textId="77777777" w:rsidR="00000000" w:rsidRDefault="00195E73">
            <w:pPr>
              <w:rPr>
                <w:rFonts w:eastAsia="Times New Roman"/>
                <w:sz w:val="20"/>
                <w:szCs w:val="20"/>
              </w:rPr>
            </w:pPr>
          </w:p>
        </w:tc>
        <w:tc>
          <w:tcPr>
            <w:tcW w:w="5" w:type="pct"/>
            <w:vAlign w:val="center"/>
            <w:hideMark/>
          </w:tcPr>
          <w:p w14:paraId="516B9204" w14:textId="77777777" w:rsidR="00000000" w:rsidRDefault="00195E73">
            <w:pPr>
              <w:rPr>
                <w:rFonts w:eastAsia="Times New Roman"/>
                <w:sz w:val="20"/>
                <w:szCs w:val="20"/>
              </w:rPr>
            </w:pPr>
          </w:p>
        </w:tc>
        <w:tc>
          <w:tcPr>
            <w:tcW w:w="26" w:type="pct"/>
            <w:vAlign w:val="center"/>
            <w:hideMark/>
          </w:tcPr>
          <w:p w14:paraId="26CD81F1" w14:textId="77777777" w:rsidR="00000000" w:rsidRDefault="00195E73">
            <w:pPr>
              <w:rPr>
                <w:rFonts w:eastAsia="Times New Roman"/>
                <w:sz w:val="20"/>
                <w:szCs w:val="20"/>
              </w:rPr>
            </w:pPr>
          </w:p>
        </w:tc>
        <w:tc>
          <w:tcPr>
            <w:tcW w:w="5" w:type="pct"/>
            <w:vAlign w:val="center"/>
            <w:hideMark/>
          </w:tcPr>
          <w:p w14:paraId="34FEAFE7" w14:textId="77777777" w:rsidR="00000000" w:rsidRDefault="00195E73">
            <w:pPr>
              <w:rPr>
                <w:rFonts w:eastAsia="Times New Roman"/>
                <w:sz w:val="20"/>
                <w:szCs w:val="20"/>
              </w:rPr>
            </w:pPr>
          </w:p>
        </w:tc>
        <w:tc>
          <w:tcPr>
            <w:tcW w:w="50" w:type="pct"/>
            <w:vAlign w:val="center"/>
            <w:hideMark/>
          </w:tcPr>
          <w:p w14:paraId="29AEF0FC" w14:textId="77777777" w:rsidR="00000000" w:rsidRDefault="00195E73">
            <w:pPr>
              <w:rPr>
                <w:rFonts w:eastAsia="Times New Roman"/>
                <w:sz w:val="20"/>
                <w:szCs w:val="20"/>
              </w:rPr>
            </w:pPr>
          </w:p>
        </w:tc>
        <w:tc>
          <w:tcPr>
            <w:tcW w:w="682" w:type="pct"/>
            <w:vAlign w:val="center"/>
            <w:hideMark/>
          </w:tcPr>
          <w:p w14:paraId="375FB2A3" w14:textId="77777777" w:rsidR="00000000" w:rsidRDefault="00195E73">
            <w:pPr>
              <w:rPr>
                <w:rFonts w:eastAsia="Times New Roman"/>
                <w:sz w:val="20"/>
                <w:szCs w:val="20"/>
              </w:rPr>
            </w:pPr>
          </w:p>
        </w:tc>
        <w:tc>
          <w:tcPr>
            <w:tcW w:w="50" w:type="pct"/>
            <w:vAlign w:val="center"/>
            <w:hideMark/>
          </w:tcPr>
          <w:p w14:paraId="6D54EECE" w14:textId="77777777" w:rsidR="00000000" w:rsidRDefault="00195E73">
            <w:pPr>
              <w:rPr>
                <w:rFonts w:eastAsia="Times New Roman"/>
                <w:sz w:val="20"/>
                <w:szCs w:val="20"/>
              </w:rPr>
            </w:pPr>
          </w:p>
        </w:tc>
      </w:tr>
      <w:tr w:rsidR="00000000" w14:paraId="493B8333" w14:textId="77777777">
        <w:trPr>
          <w:divId w:val="61175525"/>
          <w:jc w:val="center"/>
        </w:trPr>
        <w:tc>
          <w:tcPr>
            <w:tcW w:w="0" w:type="auto"/>
            <w:gridSpan w:val="3"/>
            <w:tcMar>
              <w:top w:w="15" w:type="dxa"/>
              <w:left w:w="20" w:type="dxa"/>
              <w:bottom w:w="15" w:type="dxa"/>
              <w:right w:w="20" w:type="dxa"/>
            </w:tcMar>
            <w:vAlign w:val="bottom"/>
            <w:hideMark/>
          </w:tcPr>
          <w:p w14:paraId="16AEBE26"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48C17ADE"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41935FEE" w14:textId="77777777" w:rsidR="00000000" w:rsidRDefault="00195E73">
            <w:pPr>
              <w:jc w:val="center"/>
              <w:rPr>
                <w:rFonts w:eastAsia="Times New Roman"/>
              </w:rPr>
            </w:pPr>
          </w:p>
        </w:tc>
        <w:tc>
          <w:tcPr>
            <w:tcW w:w="0" w:type="auto"/>
            <w:gridSpan w:val="3"/>
            <w:vAlign w:val="center"/>
            <w:hideMark/>
          </w:tcPr>
          <w:p w14:paraId="4DD3F9AA" w14:textId="77777777" w:rsidR="00000000" w:rsidRDefault="00195E73">
            <w:pPr>
              <w:rPr>
                <w:rFonts w:eastAsia="Times New Roman"/>
                <w:sz w:val="20"/>
                <w:szCs w:val="20"/>
              </w:rPr>
            </w:pPr>
          </w:p>
        </w:tc>
        <w:tc>
          <w:tcPr>
            <w:tcW w:w="0" w:type="auto"/>
            <w:gridSpan w:val="3"/>
            <w:vAlign w:val="center"/>
            <w:hideMark/>
          </w:tcPr>
          <w:p w14:paraId="581DBE2E" w14:textId="77777777" w:rsidR="00000000" w:rsidRDefault="00195E73">
            <w:pPr>
              <w:rPr>
                <w:rFonts w:eastAsia="Times New Roman"/>
                <w:sz w:val="20"/>
                <w:szCs w:val="20"/>
              </w:rPr>
            </w:pPr>
          </w:p>
        </w:tc>
        <w:tc>
          <w:tcPr>
            <w:tcW w:w="0" w:type="auto"/>
            <w:gridSpan w:val="3"/>
            <w:vAlign w:val="center"/>
            <w:hideMark/>
          </w:tcPr>
          <w:p w14:paraId="0815D93C" w14:textId="77777777" w:rsidR="00000000" w:rsidRDefault="00195E73">
            <w:pPr>
              <w:rPr>
                <w:rFonts w:eastAsia="Times New Roman"/>
                <w:sz w:val="20"/>
                <w:szCs w:val="20"/>
              </w:rPr>
            </w:pPr>
          </w:p>
        </w:tc>
      </w:tr>
      <w:tr w:rsidR="00000000" w14:paraId="11F6F493" w14:textId="77777777">
        <w:trPr>
          <w:divId w:val="61175525"/>
          <w:jc w:val="center"/>
        </w:trPr>
        <w:tc>
          <w:tcPr>
            <w:tcW w:w="0" w:type="auto"/>
            <w:gridSpan w:val="3"/>
            <w:tcMar>
              <w:top w:w="15" w:type="dxa"/>
              <w:left w:w="20" w:type="dxa"/>
              <w:bottom w:w="15" w:type="dxa"/>
              <w:right w:w="20" w:type="dxa"/>
            </w:tcMar>
            <w:vAlign w:val="bottom"/>
            <w:hideMark/>
          </w:tcPr>
          <w:p w14:paraId="0B252268"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AA5B252"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31B6B2A8"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8F099B8"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14:paraId="5145F4A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3C73EC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0DBF194E" w14:textId="77777777" w:rsidR="00000000" w:rsidRDefault="00195E73">
            <w:pPr>
              <w:rPr>
                <w:rFonts w:eastAsia="Times New Roman"/>
                <w:sz w:val="20"/>
                <w:szCs w:val="20"/>
              </w:rPr>
            </w:pPr>
          </w:p>
        </w:tc>
        <w:tc>
          <w:tcPr>
            <w:tcW w:w="0" w:type="auto"/>
            <w:vAlign w:val="center"/>
            <w:hideMark/>
          </w:tcPr>
          <w:p w14:paraId="773A78BC" w14:textId="77777777" w:rsidR="00000000" w:rsidRDefault="00195E73">
            <w:pPr>
              <w:rPr>
                <w:rFonts w:eastAsia="Times New Roman"/>
                <w:sz w:val="20"/>
                <w:szCs w:val="20"/>
              </w:rPr>
            </w:pPr>
          </w:p>
        </w:tc>
        <w:tc>
          <w:tcPr>
            <w:tcW w:w="0" w:type="auto"/>
            <w:vAlign w:val="center"/>
            <w:hideMark/>
          </w:tcPr>
          <w:p w14:paraId="1936B55E" w14:textId="77777777" w:rsidR="00000000" w:rsidRDefault="00195E73">
            <w:pPr>
              <w:rPr>
                <w:rFonts w:eastAsia="Times New Roman"/>
                <w:sz w:val="20"/>
                <w:szCs w:val="20"/>
              </w:rPr>
            </w:pPr>
          </w:p>
        </w:tc>
        <w:tc>
          <w:tcPr>
            <w:tcW w:w="0" w:type="auto"/>
            <w:vAlign w:val="center"/>
            <w:hideMark/>
          </w:tcPr>
          <w:p w14:paraId="62D88E5E" w14:textId="77777777" w:rsidR="00000000" w:rsidRDefault="00195E73">
            <w:pPr>
              <w:rPr>
                <w:rFonts w:eastAsia="Times New Roman"/>
                <w:sz w:val="20"/>
                <w:szCs w:val="20"/>
              </w:rPr>
            </w:pPr>
          </w:p>
        </w:tc>
        <w:tc>
          <w:tcPr>
            <w:tcW w:w="0" w:type="auto"/>
            <w:vAlign w:val="center"/>
            <w:hideMark/>
          </w:tcPr>
          <w:p w14:paraId="28DAA755" w14:textId="77777777" w:rsidR="00000000" w:rsidRDefault="00195E73">
            <w:pPr>
              <w:rPr>
                <w:rFonts w:eastAsia="Times New Roman"/>
                <w:sz w:val="20"/>
                <w:szCs w:val="20"/>
              </w:rPr>
            </w:pPr>
          </w:p>
        </w:tc>
        <w:tc>
          <w:tcPr>
            <w:tcW w:w="0" w:type="auto"/>
            <w:vAlign w:val="center"/>
            <w:hideMark/>
          </w:tcPr>
          <w:p w14:paraId="67523308" w14:textId="77777777" w:rsidR="00000000" w:rsidRDefault="00195E73">
            <w:pPr>
              <w:rPr>
                <w:rFonts w:eastAsia="Times New Roman"/>
                <w:sz w:val="20"/>
                <w:szCs w:val="20"/>
              </w:rPr>
            </w:pPr>
          </w:p>
        </w:tc>
        <w:tc>
          <w:tcPr>
            <w:tcW w:w="0" w:type="auto"/>
            <w:vAlign w:val="center"/>
            <w:hideMark/>
          </w:tcPr>
          <w:p w14:paraId="577C9ADD" w14:textId="77777777" w:rsidR="00000000" w:rsidRDefault="00195E73">
            <w:pPr>
              <w:rPr>
                <w:rFonts w:eastAsia="Times New Roman"/>
                <w:sz w:val="20"/>
                <w:szCs w:val="20"/>
              </w:rPr>
            </w:pPr>
          </w:p>
        </w:tc>
        <w:tc>
          <w:tcPr>
            <w:tcW w:w="0" w:type="auto"/>
            <w:vAlign w:val="center"/>
            <w:hideMark/>
          </w:tcPr>
          <w:p w14:paraId="624DEBC5" w14:textId="77777777" w:rsidR="00000000" w:rsidRDefault="00195E73">
            <w:pPr>
              <w:rPr>
                <w:rFonts w:eastAsia="Times New Roman"/>
                <w:sz w:val="20"/>
                <w:szCs w:val="20"/>
              </w:rPr>
            </w:pPr>
          </w:p>
        </w:tc>
        <w:tc>
          <w:tcPr>
            <w:tcW w:w="0" w:type="auto"/>
            <w:vAlign w:val="center"/>
            <w:hideMark/>
          </w:tcPr>
          <w:p w14:paraId="625ADC73" w14:textId="77777777" w:rsidR="00000000" w:rsidRDefault="00195E73">
            <w:pPr>
              <w:rPr>
                <w:rFonts w:eastAsia="Times New Roman"/>
                <w:sz w:val="20"/>
                <w:szCs w:val="20"/>
              </w:rPr>
            </w:pPr>
          </w:p>
        </w:tc>
        <w:tc>
          <w:tcPr>
            <w:tcW w:w="0" w:type="auto"/>
            <w:vAlign w:val="center"/>
            <w:hideMark/>
          </w:tcPr>
          <w:p w14:paraId="52C81998" w14:textId="77777777" w:rsidR="00000000" w:rsidRDefault="00195E73">
            <w:pPr>
              <w:rPr>
                <w:rFonts w:eastAsia="Times New Roman"/>
                <w:sz w:val="20"/>
                <w:szCs w:val="20"/>
              </w:rPr>
            </w:pPr>
          </w:p>
        </w:tc>
        <w:tc>
          <w:tcPr>
            <w:tcW w:w="0" w:type="auto"/>
            <w:vAlign w:val="center"/>
            <w:hideMark/>
          </w:tcPr>
          <w:p w14:paraId="618AB2AF" w14:textId="77777777" w:rsidR="00000000" w:rsidRDefault="00195E73">
            <w:pPr>
              <w:rPr>
                <w:rFonts w:eastAsia="Times New Roman"/>
                <w:sz w:val="20"/>
                <w:szCs w:val="20"/>
              </w:rPr>
            </w:pPr>
          </w:p>
        </w:tc>
        <w:tc>
          <w:tcPr>
            <w:tcW w:w="0" w:type="auto"/>
            <w:vAlign w:val="center"/>
            <w:hideMark/>
          </w:tcPr>
          <w:p w14:paraId="20F5D4F1" w14:textId="77777777" w:rsidR="00000000" w:rsidRDefault="00195E73">
            <w:pPr>
              <w:rPr>
                <w:rFonts w:eastAsia="Times New Roman"/>
                <w:sz w:val="20"/>
                <w:szCs w:val="20"/>
              </w:rPr>
            </w:pPr>
          </w:p>
        </w:tc>
      </w:tr>
      <w:tr w:rsidR="00000000" w14:paraId="77398EB6" w14:textId="77777777">
        <w:trPr>
          <w:divId w:val="61175525"/>
          <w:jc w:val="center"/>
        </w:trPr>
        <w:tc>
          <w:tcPr>
            <w:tcW w:w="0" w:type="auto"/>
            <w:gridSpan w:val="3"/>
            <w:tcMar>
              <w:top w:w="15" w:type="dxa"/>
              <w:left w:w="20" w:type="dxa"/>
              <w:bottom w:w="15" w:type="dxa"/>
              <w:right w:w="20" w:type="dxa"/>
            </w:tcMar>
            <w:vAlign w:val="bottom"/>
            <w:hideMark/>
          </w:tcPr>
          <w:p w14:paraId="4A1168C5" w14:textId="77777777" w:rsidR="00000000" w:rsidRDefault="00195E73">
            <w:pPr>
              <w:jc w:val="center"/>
              <w:rPr>
                <w:rFonts w:eastAsia="Times New Roman"/>
              </w:rPr>
            </w:pPr>
          </w:p>
        </w:tc>
        <w:tc>
          <w:tcPr>
            <w:tcW w:w="0" w:type="auto"/>
            <w:gridSpan w:val="14"/>
            <w:tcBorders>
              <w:top w:val="single" w:sz="8" w:space="0" w:color="000000"/>
            </w:tcBorders>
            <w:tcMar>
              <w:top w:w="30" w:type="dxa"/>
              <w:left w:w="20" w:type="dxa"/>
              <w:bottom w:w="30" w:type="dxa"/>
              <w:right w:w="0" w:type="dxa"/>
            </w:tcMar>
            <w:vAlign w:val="bottom"/>
            <w:hideMark/>
          </w:tcPr>
          <w:p w14:paraId="18ED1E58"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5BB1C21A"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4D7038C2" w14:textId="77777777" w:rsidR="00000000" w:rsidRDefault="00195E73">
            <w:pPr>
              <w:jc w:val="right"/>
              <w:rPr>
                <w:rFonts w:eastAsia="Times New Roman"/>
              </w:rPr>
            </w:pPr>
          </w:p>
        </w:tc>
        <w:tc>
          <w:tcPr>
            <w:tcW w:w="0" w:type="auto"/>
            <w:gridSpan w:val="3"/>
            <w:vAlign w:val="center"/>
            <w:hideMark/>
          </w:tcPr>
          <w:p w14:paraId="653E5818" w14:textId="77777777" w:rsidR="00000000" w:rsidRDefault="00195E73">
            <w:pPr>
              <w:rPr>
                <w:rFonts w:eastAsia="Times New Roman"/>
                <w:sz w:val="20"/>
                <w:szCs w:val="20"/>
              </w:rPr>
            </w:pPr>
          </w:p>
        </w:tc>
        <w:tc>
          <w:tcPr>
            <w:tcW w:w="0" w:type="auto"/>
            <w:gridSpan w:val="3"/>
            <w:vAlign w:val="center"/>
            <w:hideMark/>
          </w:tcPr>
          <w:p w14:paraId="23C686F5" w14:textId="77777777" w:rsidR="00000000" w:rsidRDefault="00195E73">
            <w:pPr>
              <w:rPr>
                <w:rFonts w:eastAsia="Times New Roman"/>
                <w:sz w:val="20"/>
                <w:szCs w:val="20"/>
              </w:rPr>
            </w:pPr>
          </w:p>
        </w:tc>
        <w:tc>
          <w:tcPr>
            <w:tcW w:w="0" w:type="auto"/>
            <w:gridSpan w:val="3"/>
            <w:vAlign w:val="center"/>
            <w:hideMark/>
          </w:tcPr>
          <w:p w14:paraId="1234309C" w14:textId="77777777" w:rsidR="00000000" w:rsidRDefault="00195E73">
            <w:pPr>
              <w:rPr>
                <w:rFonts w:eastAsia="Times New Roman"/>
                <w:sz w:val="20"/>
                <w:szCs w:val="20"/>
              </w:rPr>
            </w:pPr>
          </w:p>
        </w:tc>
      </w:tr>
      <w:tr w:rsidR="00000000" w14:paraId="5FB66FEE" w14:textId="77777777">
        <w:trPr>
          <w:divId w:val="61175525"/>
          <w:jc w:val="center"/>
        </w:trPr>
        <w:tc>
          <w:tcPr>
            <w:tcW w:w="0" w:type="auto"/>
            <w:gridSpan w:val="3"/>
            <w:shd w:val="clear" w:color="auto" w:fill="CCEEFF"/>
            <w:tcMar>
              <w:top w:w="30" w:type="dxa"/>
              <w:left w:w="20" w:type="dxa"/>
              <w:bottom w:w="30" w:type="dxa"/>
              <w:right w:w="20" w:type="dxa"/>
            </w:tcMar>
            <w:vAlign w:val="bottom"/>
            <w:hideMark/>
          </w:tcPr>
          <w:p w14:paraId="7624C53D" w14:textId="77777777" w:rsidR="00000000" w:rsidRDefault="00195E73">
            <w:pPr>
              <w:rPr>
                <w:rFonts w:eastAsia="Times New Roman"/>
              </w:rPr>
            </w:pPr>
            <w:r>
              <w:rPr>
                <w:rFonts w:eastAsia="Times New Roman"/>
                <w:color w:val="000000"/>
                <w:sz w:val="20"/>
                <w:szCs w:val="20"/>
              </w:rPr>
              <w:t>Automotive service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7BAFAF5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DE78CE1" w14:textId="77777777" w:rsidR="00000000" w:rsidRDefault="00195E73">
            <w:pPr>
              <w:jc w:val="right"/>
              <w:rPr>
                <w:rFonts w:eastAsia="Times New Roman"/>
              </w:rPr>
            </w:pPr>
            <w:r>
              <w:rPr>
                <w:rFonts w:eastAsia="Times New Roman"/>
                <w:color w:val="000000"/>
                <w:sz w:val="20"/>
                <w:szCs w:val="20"/>
              </w:rPr>
              <w:t>1,373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714649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463A7F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E2F373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4656729" w14:textId="77777777" w:rsidR="00000000" w:rsidRDefault="00195E73">
            <w:pPr>
              <w:jc w:val="right"/>
              <w:rPr>
                <w:rFonts w:eastAsia="Times New Roman"/>
              </w:rPr>
            </w:pPr>
            <w:r>
              <w:rPr>
                <w:rFonts w:eastAsia="Times New Roman"/>
                <w:color w:val="000000"/>
                <w:sz w:val="20"/>
                <w:szCs w:val="20"/>
              </w:rPr>
              <w:t>1,321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1335C3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66BA4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203E92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B14C7C7" w14:textId="77777777" w:rsidR="00000000" w:rsidRDefault="00195E73">
            <w:pPr>
              <w:jc w:val="right"/>
              <w:rPr>
                <w:rFonts w:eastAsia="Times New Roman"/>
              </w:rPr>
            </w:pPr>
            <w:r>
              <w:rPr>
                <w:rFonts w:eastAsia="Times New Roman"/>
                <w:color w:val="000000"/>
                <w:sz w:val="20"/>
                <w:szCs w:val="20"/>
              </w:rPr>
              <w:t>1,186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740D6C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D7BDCE4" w14:textId="77777777" w:rsidR="00000000" w:rsidRDefault="00195E73">
            <w:pPr>
              <w:rPr>
                <w:rFonts w:eastAsia="Times New Roman"/>
                <w:sz w:val="20"/>
                <w:szCs w:val="20"/>
              </w:rPr>
            </w:pPr>
          </w:p>
        </w:tc>
        <w:tc>
          <w:tcPr>
            <w:tcW w:w="0" w:type="auto"/>
            <w:vAlign w:val="center"/>
            <w:hideMark/>
          </w:tcPr>
          <w:p w14:paraId="73D5FFCD" w14:textId="77777777" w:rsidR="00000000" w:rsidRDefault="00195E73">
            <w:pPr>
              <w:rPr>
                <w:rFonts w:eastAsia="Times New Roman"/>
                <w:sz w:val="20"/>
                <w:szCs w:val="20"/>
              </w:rPr>
            </w:pPr>
          </w:p>
        </w:tc>
        <w:tc>
          <w:tcPr>
            <w:tcW w:w="0" w:type="auto"/>
            <w:vAlign w:val="center"/>
            <w:hideMark/>
          </w:tcPr>
          <w:p w14:paraId="73C347AB" w14:textId="77777777" w:rsidR="00000000" w:rsidRDefault="00195E73">
            <w:pPr>
              <w:rPr>
                <w:rFonts w:eastAsia="Times New Roman"/>
                <w:sz w:val="20"/>
                <w:szCs w:val="20"/>
              </w:rPr>
            </w:pPr>
          </w:p>
        </w:tc>
        <w:tc>
          <w:tcPr>
            <w:tcW w:w="0" w:type="auto"/>
            <w:vAlign w:val="center"/>
            <w:hideMark/>
          </w:tcPr>
          <w:p w14:paraId="25A1500D" w14:textId="77777777" w:rsidR="00000000" w:rsidRDefault="00195E73">
            <w:pPr>
              <w:rPr>
                <w:rFonts w:eastAsia="Times New Roman"/>
                <w:sz w:val="20"/>
                <w:szCs w:val="20"/>
              </w:rPr>
            </w:pPr>
          </w:p>
        </w:tc>
        <w:tc>
          <w:tcPr>
            <w:tcW w:w="0" w:type="auto"/>
            <w:vAlign w:val="center"/>
            <w:hideMark/>
          </w:tcPr>
          <w:p w14:paraId="3888CFF9" w14:textId="77777777" w:rsidR="00000000" w:rsidRDefault="00195E73">
            <w:pPr>
              <w:rPr>
                <w:rFonts w:eastAsia="Times New Roman"/>
                <w:sz w:val="20"/>
                <w:szCs w:val="20"/>
              </w:rPr>
            </w:pPr>
          </w:p>
        </w:tc>
        <w:tc>
          <w:tcPr>
            <w:tcW w:w="0" w:type="auto"/>
            <w:vAlign w:val="center"/>
            <w:hideMark/>
          </w:tcPr>
          <w:p w14:paraId="739F67B5" w14:textId="77777777" w:rsidR="00000000" w:rsidRDefault="00195E73">
            <w:pPr>
              <w:rPr>
                <w:rFonts w:eastAsia="Times New Roman"/>
                <w:sz w:val="20"/>
                <w:szCs w:val="20"/>
              </w:rPr>
            </w:pPr>
          </w:p>
        </w:tc>
        <w:tc>
          <w:tcPr>
            <w:tcW w:w="0" w:type="auto"/>
            <w:vAlign w:val="center"/>
            <w:hideMark/>
          </w:tcPr>
          <w:p w14:paraId="455A8C4E" w14:textId="77777777" w:rsidR="00000000" w:rsidRDefault="00195E73">
            <w:pPr>
              <w:rPr>
                <w:rFonts w:eastAsia="Times New Roman"/>
                <w:sz w:val="20"/>
                <w:szCs w:val="20"/>
              </w:rPr>
            </w:pPr>
          </w:p>
        </w:tc>
        <w:tc>
          <w:tcPr>
            <w:tcW w:w="0" w:type="auto"/>
            <w:vAlign w:val="center"/>
            <w:hideMark/>
          </w:tcPr>
          <w:p w14:paraId="3DC5686C" w14:textId="77777777" w:rsidR="00000000" w:rsidRDefault="00195E73">
            <w:pPr>
              <w:rPr>
                <w:rFonts w:eastAsia="Times New Roman"/>
                <w:sz w:val="20"/>
                <w:szCs w:val="20"/>
              </w:rPr>
            </w:pPr>
          </w:p>
        </w:tc>
        <w:tc>
          <w:tcPr>
            <w:tcW w:w="0" w:type="auto"/>
            <w:vAlign w:val="center"/>
            <w:hideMark/>
          </w:tcPr>
          <w:p w14:paraId="5943DA23" w14:textId="77777777" w:rsidR="00000000" w:rsidRDefault="00195E73">
            <w:pPr>
              <w:rPr>
                <w:rFonts w:eastAsia="Times New Roman"/>
                <w:sz w:val="20"/>
                <w:szCs w:val="20"/>
              </w:rPr>
            </w:pPr>
          </w:p>
        </w:tc>
        <w:tc>
          <w:tcPr>
            <w:tcW w:w="0" w:type="auto"/>
            <w:vAlign w:val="center"/>
            <w:hideMark/>
          </w:tcPr>
          <w:p w14:paraId="1B1467EE" w14:textId="77777777" w:rsidR="00000000" w:rsidRDefault="00195E73">
            <w:pPr>
              <w:rPr>
                <w:rFonts w:eastAsia="Times New Roman"/>
                <w:sz w:val="20"/>
                <w:szCs w:val="20"/>
              </w:rPr>
            </w:pPr>
          </w:p>
        </w:tc>
        <w:tc>
          <w:tcPr>
            <w:tcW w:w="0" w:type="auto"/>
            <w:vAlign w:val="center"/>
            <w:hideMark/>
          </w:tcPr>
          <w:p w14:paraId="78E3C88F" w14:textId="77777777" w:rsidR="00000000" w:rsidRDefault="00195E73">
            <w:pPr>
              <w:rPr>
                <w:rFonts w:eastAsia="Times New Roman"/>
                <w:sz w:val="20"/>
                <w:szCs w:val="20"/>
              </w:rPr>
            </w:pPr>
          </w:p>
        </w:tc>
        <w:tc>
          <w:tcPr>
            <w:tcW w:w="0" w:type="auto"/>
            <w:vAlign w:val="center"/>
            <w:hideMark/>
          </w:tcPr>
          <w:p w14:paraId="55921181" w14:textId="77777777" w:rsidR="00000000" w:rsidRDefault="00195E73">
            <w:pPr>
              <w:rPr>
                <w:rFonts w:eastAsia="Times New Roman"/>
                <w:sz w:val="20"/>
                <w:szCs w:val="20"/>
              </w:rPr>
            </w:pPr>
          </w:p>
        </w:tc>
      </w:tr>
      <w:tr w:rsidR="00000000" w14:paraId="0C056349" w14:textId="77777777">
        <w:trPr>
          <w:divId w:val="61175525"/>
          <w:jc w:val="center"/>
        </w:trPr>
        <w:tc>
          <w:tcPr>
            <w:tcW w:w="0" w:type="auto"/>
            <w:gridSpan w:val="3"/>
            <w:shd w:val="clear" w:color="auto" w:fill="FFFFFF"/>
            <w:tcMar>
              <w:top w:w="30" w:type="dxa"/>
              <w:left w:w="20" w:type="dxa"/>
              <w:bottom w:w="30" w:type="dxa"/>
              <w:right w:w="20" w:type="dxa"/>
            </w:tcMar>
            <w:vAlign w:val="bottom"/>
            <w:hideMark/>
          </w:tcPr>
          <w:p w14:paraId="74F0F724" w14:textId="77777777" w:rsidR="00000000" w:rsidRDefault="00195E73">
            <w:pPr>
              <w:rPr>
                <w:rFonts w:eastAsia="Times New Roman"/>
              </w:rPr>
            </w:pPr>
            <w:r>
              <w:rPr>
                <w:rFonts w:eastAsia="Times New Roman"/>
                <w:color w:val="000000"/>
                <w:sz w:val="20"/>
                <w:szCs w:val="20"/>
              </w:rPr>
              <w:t>Aftermarket parts sale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B461FAE" w14:textId="77777777" w:rsidR="00000000" w:rsidRDefault="00195E73">
            <w:pPr>
              <w:jc w:val="right"/>
              <w:rPr>
                <w:rFonts w:eastAsia="Times New Roman"/>
              </w:rPr>
            </w:pPr>
            <w:r>
              <w:rPr>
                <w:rFonts w:eastAsia="Times New Roman"/>
                <w:color w:val="000000"/>
                <w:sz w:val="20"/>
                <w:szCs w:val="20"/>
              </w:rPr>
              <w:t>1,511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C3A3CF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1409E2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000547" w14:textId="77777777" w:rsidR="00000000" w:rsidRDefault="00195E73">
            <w:pPr>
              <w:jc w:val="right"/>
              <w:rPr>
                <w:rFonts w:eastAsia="Times New Roman"/>
              </w:rPr>
            </w:pPr>
            <w:r>
              <w:rPr>
                <w:rFonts w:eastAsia="Times New Roman"/>
                <w:color w:val="000000"/>
                <w:sz w:val="20"/>
                <w:szCs w:val="20"/>
              </w:rPr>
              <w:t>1,537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6D736B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95B77C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0EF0F3" w14:textId="77777777" w:rsidR="00000000" w:rsidRDefault="00195E73">
            <w:pPr>
              <w:jc w:val="right"/>
              <w:rPr>
                <w:rFonts w:eastAsia="Times New Roman"/>
              </w:rPr>
            </w:pPr>
            <w:r>
              <w:rPr>
                <w:rFonts w:eastAsia="Times New Roman"/>
                <w:color w:val="000000"/>
                <w:sz w:val="20"/>
                <w:szCs w:val="20"/>
              </w:rPr>
              <w:t>1,537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93E641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992503E" w14:textId="77777777" w:rsidR="00000000" w:rsidRDefault="00195E73">
            <w:pPr>
              <w:rPr>
                <w:rFonts w:eastAsia="Times New Roman"/>
                <w:sz w:val="20"/>
                <w:szCs w:val="20"/>
              </w:rPr>
            </w:pPr>
          </w:p>
        </w:tc>
        <w:tc>
          <w:tcPr>
            <w:tcW w:w="0" w:type="auto"/>
            <w:vAlign w:val="center"/>
            <w:hideMark/>
          </w:tcPr>
          <w:p w14:paraId="7D1D59D3" w14:textId="77777777" w:rsidR="00000000" w:rsidRDefault="00195E73">
            <w:pPr>
              <w:rPr>
                <w:rFonts w:eastAsia="Times New Roman"/>
                <w:sz w:val="20"/>
                <w:szCs w:val="20"/>
              </w:rPr>
            </w:pPr>
          </w:p>
        </w:tc>
        <w:tc>
          <w:tcPr>
            <w:tcW w:w="0" w:type="auto"/>
            <w:vAlign w:val="center"/>
            <w:hideMark/>
          </w:tcPr>
          <w:p w14:paraId="6A0BE4DE" w14:textId="77777777" w:rsidR="00000000" w:rsidRDefault="00195E73">
            <w:pPr>
              <w:rPr>
                <w:rFonts w:eastAsia="Times New Roman"/>
                <w:sz w:val="20"/>
                <w:szCs w:val="20"/>
              </w:rPr>
            </w:pPr>
          </w:p>
        </w:tc>
        <w:tc>
          <w:tcPr>
            <w:tcW w:w="0" w:type="auto"/>
            <w:vAlign w:val="center"/>
            <w:hideMark/>
          </w:tcPr>
          <w:p w14:paraId="6558042B" w14:textId="77777777" w:rsidR="00000000" w:rsidRDefault="00195E73">
            <w:pPr>
              <w:rPr>
                <w:rFonts w:eastAsia="Times New Roman"/>
                <w:sz w:val="20"/>
                <w:szCs w:val="20"/>
              </w:rPr>
            </w:pPr>
          </w:p>
        </w:tc>
        <w:tc>
          <w:tcPr>
            <w:tcW w:w="0" w:type="auto"/>
            <w:vAlign w:val="center"/>
            <w:hideMark/>
          </w:tcPr>
          <w:p w14:paraId="7CA4D88F" w14:textId="77777777" w:rsidR="00000000" w:rsidRDefault="00195E73">
            <w:pPr>
              <w:rPr>
                <w:rFonts w:eastAsia="Times New Roman"/>
                <w:sz w:val="20"/>
                <w:szCs w:val="20"/>
              </w:rPr>
            </w:pPr>
          </w:p>
        </w:tc>
        <w:tc>
          <w:tcPr>
            <w:tcW w:w="0" w:type="auto"/>
            <w:vAlign w:val="center"/>
            <w:hideMark/>
          </w:tcPr>
          <w:p w14:paraId="5B14D837" w14:textId="77777777" w:rsidR="00000000" w:rsidRDefault="00195E73">
            <w:pPr>
              <w:rPr>
                <w:rFonts w:eastAsia="Times New Roman"/>
                <w:sz w:val="20"/>
                <w:szCs w:val="20"/>
              </w:rPr>
            </w:pPr>
          </w:p>
        </w:tc>
        <w:tc>
          <w:tcPr>
            <w:tcW w:w="0" w:type="auto"/>
            <w:vAlign w:val="center"/>
            <w:hideMark/>
          </w:tcPr>
          <w:p w14:paraId="49B78FF8" w14:textId="77777777" w:rsidR="00000000" w:rsidRDefault="00195E73">
            <w:pPr>
              <w:rPr>
                <w:rFonts w:eastAsia="Times New Roman"/>
                <w:sz w:val="20"/>
                <w:szCs w:val="20"/>
              </w:rPr>
            </w:pPr>
          </w:p>
        </w:tc>
        <w:tc>
          <w:tcPr>
            <w:tcW w:w="0" w:type="auto"/>
            <w:vAlign w:val="center"/>
            <w:hideMark/>
          </w:tcPr>
          <w:p w14:paraId="221AFCB4" w14:textId="77777777" w:rsidR="00000000" w:rsidRDefault="00195E73">
            <w:pPr>
              <w:rPr>
                <w:rFonts w:eastAsia="Times New Roman"/>
                <w:sz w:val="20"/>
                <w:szCs w:val="20"/>
              </w:rPr>
            </w:pPr>
          </w:p>
        </w:tc>
        <w:tc>
          <w:tcPr>
            <w:tcW w:w="0" w:type="auto"/>
            <w:vAlign w:val="center"/>
            <w:hideMark/>
          </w:tcPr>
          <w:p w14:paraId="005D568B" w14:textId="77777777" w:rsidR="00000000" w:rsidRDefault="00195E73">
            <w:pPr>
              <w:rPr>
                <w:rFonts w:eastAsia="Times New Roman"/>
                <w:sz w:val="20"/>
                <w:szCs w:val="20"/>
              </w:rPr>
            </w:pPr>
          </w:p>
        </w:tc>
        <w:tc>
          <w:tcPr>
            <w:tcW w:w="0" w:type="auto"/>
            <w:vAlign w:val="center"/>
            <w:hideMark/>
          </w:tcPr>
          <w:p w14:paraId="17CDBB1C" w14:textId="77777777" w:rsidR="00000000" w:rsidRDefault="00195E73">
            <w:pPr>
              <w:rPr>
                <w:rFonts w:eastAsia="Times New Roman"/>
                <w:sz w:val="20"/>
                <w:szCs w:val="20"/>
              </w:rPr>
            </w:pPr>
          </w:p>
        </w:tc>
        <w:tc>
          <w:tcPr>
            <w:tcW w:w="0" w:type="auto"/>
            <w:vAlign w:val="center"/>
            <w:hideMark/>
          </w:tcPr>
          <w:p w14:paraId="4A8FE5E2" w14:textId="77777777" w:rsidR="00000000" w:rsidRDefault="00195E73">
            <w:pPr>
              <w:rPr>
                <w:rFonts w:eastAsia="Times New Roman"/>
                <w:sz w:val="20"/>
                <w:szCs w:val="20"/>
              </w:rPr>
            </w:pPr>
          </w:p>
        </w:tc>
        <w:tc>
          <w:tcPr>
            <w:tcW w:w="0" w:type="auto"/>
            <w:vAlign w:val="center"/>
            <w:hideMark/>
          </w:tcPr>
          <w:p w14:paraId="0D72E69A" w14:textId="77777777" w:rsidR="00000000" w:rsidRDefault="00195E73">
            <w:pPr>
              <w:rPr>
                <w:rFonts w:eastAsia="Times New Roman"/>
                <w:sz w:val="20"/>
                <w:szCs w:val="20"/>
              </w:rPr>
            </w:pPr>
          </w:p>
        </w:tc>
      </w:tr>
      <w:tr w:rsidR="00000000" w14:paraId="3493D860" w14:textId="77777777">
        <w:trPr>
          <w:divId w:val="61175525"/>
          <w:jc w:val="center"/>
        </w:trPr>
        <w:tc>
          <w:tcPr>
            <w:tcW w:w="0" w:type="auto"/>
            <w:gridSpan w:val="3"/>
            <w:shd w:val="clear" w:color="auto" w:fill="CCEEFF"/>
            <w:tcMar>
              <w:top w:w="15" w:type="dxa"/>
              <w:left w:w="20" w:type="dxa"/>
              <w:bottom w:w="15" w:type="dxa"/>
              <w:right w:w="20" w:type="dxa"/>
            </w:tcMar>
            <w:vAlign w:val="bottom"/>
            <w:hideMark/>
          </w:tcPr>
          <w:p w14:paraId="45BEA9FB"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E8BE07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72E3C39" w14:textId="77777777" w:rsidR="00000000" w:rsidRDefault="00195E73">
            <w:pPr>
              <w:jc w:val="right"/>
              <w:rPr>
                <w:rFonts w:eastAsia="Times New Roman"/>
              </w:rPr>
            </w:pPr>
            <w:r>
              <w:rPr>
                <w:rFonts w:eastAsia="Times New Roman"/>
                <w:color w:val="000000"/>
                <w:sz w:val="20"/>
                <w:szCs w:val="20"/>
              </w:rPr>
              <w:t>2,884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3C9232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655B3AE"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0DAFC5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C107A0A" w14:textId="77777777" w:rsidR="00000000" w:rsidRDefault="00195E73">
            <w:pPr>
              <w:jc w:val="right"/>
              <w:rPr>
                <w:rFonts w:eastAsia="Times New Roman"/>
              </w:rPr>
            </w:pPr>
            <w:r>
              <w:rPr>
                <w:rFonts w:eastAsia="Times New Roman"/>
                <w:color w:val="000000"/>
                <w:sz w:val="20"/>
                <w:szCs w:val="20"/>
              </w:rPr>
              <w:t>2,858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F26ADF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9EBEE5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B242A4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57673A7" w14:textId="77777777" w:rsidR="00000000" w:rsidRDefault="00195E73">
            <w:pPr>
              <w:jc w:val="right"/>
              <w:rPr>
                <w:rFonts w:eastAsia="Times New Roman"/>
              </w:rPr>
            </w:pPr>
            <w:r>
              <w:rPr>
                <w:rFonts w:eastAsia="Times New Roman"/>
                <w:color w:val="000000"/>
                <w:sz w:val="20"/>
                <w:szCs w:val="20"/>
              </w:rPr>
              <w:t>2,723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C3FBEA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4822FEF" w14:textId="77777777" w:rsidR="00000000" w:rsidRDefault="00195E73">
            <w:pPr>
              <w:rPr>
                <w:rFonts w:eastAsia="Times New Roman"/>
                <w:sz w:val="20"/>
                <w:szCs w:val="20"/>
              </w:rPr>
            </w:pPr>
          </w:p>
        </w:tc>
        <w:tc>
          <w:tcPr>
            <w:tcW w:w="0" w:type="auto"/>
            <w:vAlign w:val="center"/>
            <w:hideMark/>
          </w:tcPr>
          <w:p w14:paraId="4175DC29" w14:textId="77777777" w:rsidR="00000000" w:rsidRDefault="00195E73">
            <w:pPr>
              <w:rPr>
                <w:rFonts w:eastAsia="Times New Roman"/>
                <w:sz w:val="20"/>
                <w:szCs w:val="20"/>
              </w:rPr>
            </w:pPr>
          </w:p>
        </w:tc>
        <w:tc>
          <w:tcPr>
            <w:tcW w:w="0" w:type="auto"/>
            <w:vAlign w:val="center"/>
            <w:hideMark/>
          </w:tcPr>
          <w:p w14:paraId="618BDFF1" w14:textId="77777777" w:rsidR="00000000" w:rsidRDefault="00195E73">
            <w:pPr>
              <w:rPr>
                <w:rFonts w:eastAsia="Times New Roman"/>
                <w:sz w:val="20"/>
                <w:szCs w:val="20"/>
              </w:rPr>
            </w:pPr>
          </w:p>
        </w:tc>
        <w:tc>
          <w:tcPr>
            <w:tcW w:w="0" w:type="auto"/>
            <w:vAlign w:val="center"/>
            <w:hideMark/>
          </w:tcPr>
          <w:p w14:paraId="4E1B1297" w14:textId="77777777" w:rsidR="00000000" w:rsidRDefault="00195E73">
            <w:pPr>
              <w:rPr>
                <w:rFonts w:eastAsia="Times New Roman"/>
                <w:sz w:val="20"/>
                <w:szCs w:val="20"/>
              </w:rPr>
            </w:pPr>
          </w:p>
        </w:tc>
        <w:tc>
          <w:tcPr>
            <w:tcW w:w="0" w:type="auto"/>
            <w:vAlign w:val="center"/>
            <w:hideMark/>
          </w:tcPr>
          <w:p w14:paraId="7FA51639" w14:textId="77777777" w:rsidR="00000000" w:rsidRDefault="00195E73">
            <w:pPr>
              <w:rPr>
                <w:rFonts w:eastAsia="Times New Roman"/>
                <w:sz w:val="20"/>
                <w:szCs w:val="20"/>
              </w:rPr>
            </w:pPr>
          </w:p>
        </w:tc>
        <w:tc>
          <w:tcPr>
            <w:tcW w:w="0" w:type="auto"/>
            <w:vAlign w:val="center"/>
            <w:hideMark/>
          </w:tcPr>
          <w:p w14:paraId="7B529412" w14:textId="77777777" w:rsidR="00000000" w:rsidRDefault="00195E73">
            <w:pPr>
              <w:rPr>
                <w:rFonts w:eastAsia="Times New Roman"/>
                <w:sz w:val="20"/>
                <w:szCs w:val="20"/>
              </w:rPr>
            </w:pPr>
          </w:p>
        </w:tc>
        <w:tc>
          <w:tcPr>
            <w:tcW w:w="0" w:type="auto"/>
            <w:vAlign w:val="center"/>
            <w:hideMark/>
          </w:tcPr>
          <w:p w14:paraId="2A07710C" w14:textId="77777777" w:rsidR="00000000" w:rsidRDefault="00195E73">
            <w:pPr>
              <w:rPr>
                <w:rFonts w:eastAsia="Times New Roman"/>
                <w:sz w:val="20"/>
                <w:szCs w:val="20"/>
              </w:rPr>
            </w:pPr>
          </w:p>
        </w:tc>
        <w:tc>
          <w:tcPr>
            <w:tcW w:w="0" w:type="auto"/>
            <w:vAlign w:val="center"/>
            <w:hideMark/>
          </w:tcPr>
          <w:p w14:paraId="7A88B299" w14:textId="77777777" w:rsidR="00000000" w:rsidRDefault="00195E73">
            <w:pPr>
              <w:rPr>
                <w:rFonts w:eastAsia="Times New Roman"/>
                <w:sz w:val="20"/>
                <w:szCs w:val="20"/>
              </w:rPr>
            </w:pPr>
          </w:p>
        </w:tc>
        <w:tc>
          <w:tcPr>
            <w:tcW w:w="0" w:type="auto"/>
            <w:vAlign w:val="center"/>
            <w:hideMark/>
          </w:tcPr>
          <w:p w14:paraId="69387E3B" w14:textId="77777777" w:rsidR="00000000" w:rsidRDefault="00195E73">
            <w:pPr>
              <w:rPr>
                <w:rFonts w:eastAsia="Times New Roman"/>
                <w:sz w:val="20"/>
                <w:szCs w:val="20"/>
              </w:rPr>
            </w:pPr>
          </w:p>
        </w:tc>
        <w:tc>
          <w:tcPr>
            <w:tcW w:w="0" w:type="auto"/>
            <w:vAlign w:val="center"/>
            <w:hideMark/>
          </w:tcPr>
          <w:p w14:paraId="374F97F1" w14:textId="77777777" w:rsidR="00000000" w:rsidRDefault="00195E73">
            <w:pPr>
              <w:rPr>
                <w:rFonts w:eastAsia="Times New Roman"/>
                <w:sz w:val="20"/>
                <w:szCs w:val="20"/>
              </w:rPr>
            </w:pPr>
          </w:p>
        </w:tc>
        <w:tc>
          <w:tcPr>
            <w:tcW w:w="0" w:type="auto"/>
            <w:vAlign w:val="center"/>
            <w:hideMark/>
          </w:tcPr>
          <w:p w14:paraId="0384D1B8" w14:textId="77777777" w:rsidR="00000000" w:rsidRDefault="00195E73">
            <w:pPr>
              <w:rPr>
                <w:rFonts w:eastAsia="Times New Roman"/>
                <w:sz w:val="20"/>
                <w:szCs w:val="20"/>
              </w:rPr>
            </w:pPr>
          </w:p>
        </w:tc>
        <w:tc>
          <w:tcPr>
            <w:tcW w:w="0" w:type="auto"/>
            <w:vAlign w:val="center"/>
            <w:hideMark/>
          </w:tcPr>
          <w:p w14:paraId="196E392B" w14:textId="77777777" w:rsidR="00000000" w:rsidRDefault="00195E73">
            <w:pPr>
              <w:rPr>
                <w:rFonts w:eastAsia="Times New Roman"/>
                <w:sz w:val="20"/>
                <w:szCs w:val="20"/>
              </w:rPr>
            </w:pPr>
          </w:p>
        </w:tc>
      </w:tr>
    </w:tbl>
    <w:p w14:paraId="26E0A5BB" w14:textId="77777777" w:rsidR="00000000" w:rsidRDefault="00195E73">
      <w:pPr>
        <w:ind w:firstLine="450"/>
        <w:divId w:val="1534883601"/>
        <w:rPr>
          <w:rFonts w:eastAsia="Times New Roman"/>
        </w:rPr>
      </w:pPr>
    </w:p>
    <w:p w14:paraId="1342BC05" w14:textId="77777777" w:rsidR="00000000" w:rsidRDefault="00195E73">
      <w:pPr>
        <w:divId w:val="2002998837"/>
        <w:rPr>
          <w:rFonts w:eastAsia="Times New Roman"/>
        </w:rPr>
      </w:pPr>
      <w:r>
        <w:rPr>
          <w:rFonts w:eastAsia="Times New Roman"/>
          <w:b/>
          <w:bCs/>
          <w:color w:val="000000"/>
          <w:sz w:val="20"/>
          <w:szCs w:val="20"/>
        </w:rPr>
        <w:t>Condensed Balance Sheet</w:t>
      </w:r>
      <w:r>
        <w:rPr>
          <w:rFonts w:eastAsia="Times New Roman"/>
          <w:b/>
          <w:bCs/>
          <w:color w:val="000000"/>
          <w:sz w:val="20"/>
          <w:szCs w:val="20"/>
        </w:rPr>
        <w:t>s</w:t>
      </w:r>
    </w:p>
    <w:p w14:paraId="0233D16E" w14:textId="77777777" w:rsidR="00000000" w:rsidRDefault="00195E73">
      <w:pPr>
        <w:ind w:firstLine="405"/>
        <w:divId w:val="1326126979"/>
        <w:rPr>
          <w:rFonts w:eastAsia="Times New Roman"/>
        </w:rPr>
      </w:pPr>
      <w:r>
        <w:rPr>
          <w:rFonts w:eastAsia="Times New Roman"/>
          <w:color w:val="000000"/>
          <w:sz w:val="20"/>
          <w:szCs w:val="20"/>
        </w:rPr>
        <w:t xml:space="preserve">Icahn Enterprises’ </w:t>
      </w:r>
      <w:r>
        <w:rPr>
          <w:rFonts w:eastAsia="Times New Roman"/>
          <w:color w:val="000000"/>
          <w:sz w:val="20"/>
          <w:szCs w:val="20"/>
        </w:rPr>
        <w:t xml:space="preserve">condensed balance sheets by reporting segment are presented below. Icahn Enterprises Holdings’ condensed balance sheets are substantially the same, with immaterial differences relating to our Holding Company’s other assets, debt and equity attributable to </w:t>
      </w:r>
      <w:r>
        <w:rPr>
          <w:rFonts w:eastAsia="Times New Roman"/>
          <w:color w:val="000000"/>
          <w:sz w:val="20"/>
          <w:szCs w:val="20"/>
        </w:rPr>
        <w:t>Icahn Enterprises Holdings</w:t>
      </w:r>
      <w:r>
        <w:rPr>
          <w:rFonts w:eastAsia="Times New Roman"/>
          <w:color w:val="000000"/>
          <w:sz w:val="20"/>
          <w:szCs w:val="20"/>
        </w:rPr>
        <w:t>.</w:t>
      </w:r>
    </w:p>
    <w:tbl>
      <w:tblPr>
        <w:tblW w:w="4824" w:type="pct"/>
        <w:jc w:val="center"/>
        <w:tblCellMar>
          <w:top w:w="15" w:type="dxa"/>
          <w:left w:w="15" w:type="dxa"/>
          <w:bottom w:w="15" w:type="dxa"/>
          <w:right w:w="15" w:type="dxa"/>
        </w:tblCellMar>
        <w:tblLook w:val="04A0" w:firstRow="1" w:lastRow="0" w:firstColumn="1" w:lastColumn="0" w:noHBand="0" w:noVBand="1"/>
      </w:tblPr>
      <w:tblGrid>
        <w:gridCol w:w="40"/>
        <w:gridCol w:w="1669"/>
        <w:gridCol w:w="38"/>
        <w:gridCol w:w="96"/>
        <w:gridCol w:w="441"/>
        <w:gridCol w:w="86"/>
        <w:gridCol w:w="36"/>
        <w:gridCol w:w="36"/>
        <w:gridCol w:w="36"/>
        <w:gridCol w:w="95"/>
        <w:gridCol w:w="315"/>
        <w:gridCol w:w="65"/>
        <w:gridCol w:w="36"/>
        <w:gridCol w:w="36"/>
        <w:gridCol w:w="36"/>
        <w:gridCol w:w="96"/>
        <w:gridCol w:w="467"/>
        <w:gridCol w:w="86"/>
        <w:gridCol w:w="36"/>
        <w:gridCol w:w="36"/>
        <w:gridCol w:w="36"/>
        <w:gridCol w:w="96"/>
        <w:gridCol w:w="401"/>
        <w:gridCol w:w="86"/>
        <w:gridCol w:w="36"/>
        <w:gridCol w:w="36"/>
        <w:gridCol w:w="36"/>
        <w:gridCol w:w="95"/>
        <w:gridCol w:w="225"/>
        <w:gridCol w:w="65"/>
        <w:gridCol w:w="36"/>
        <w:gridCol w:w="36"/>
        <w:gridCol w:w="36"/>
        <w:gridCol w:w="95"/>
        <w:gridCol w:w="225"/>
        <w:gridCol w:w="65"/>
        <w:gridCol w:w="36"/>
        <w:gridCol w:w="36"/>
        <w:gridCol w:w="36"/>
        <w:gridCol w:w="96"/>
        <w:gridCol w:w="288"/>
        <w:gridCol w:w="79"/>
        <w:gridCol w:w="36"/>
        <w:gridCol w:w="36"/>
        <w:gridCol w:w="36"/>
        <w:gridCol w:w="96"/>
        <w:gridCol w:w="249"/>
        <w:gridCol w:w="82"/>
        <w:gridCol w:w="36"/>
        <w:gridCol w:w="36"/>
        <w:gridCol w:w="36"/>
        <w:gridCol w:w="36"/>
        <w:gridCol w:w="36"/>
        <w:gridCol w:w="96"/>
        <w:gridCol w:w="378"/>
        <w:gridCol w:w="81"/>
        <w:gridCol w:w="36"/>
        <w:gridCol w:w="36"/>
        <w:gridCol w:w="714"/>
      </w:tblGrid>
      <w:tr w:rsidR="00000000" w14:paraId="366D4AD5" w14:textId="77777777">
        <w:trPr>
          <w:divId w:val="945890840"/>
          <w:jc w:val="center"/>
        </w:trPr>
        <w:tc>
          <w:tcPr>
            <w:tcW w:w="50" w:type="pct"/>
            <w:vAlign w:val="center"/>
            <w:hideMark/>
          </w:tcPr>
          <w:p w14:paraId="18F612A0" w14:textId="77777777" w:rsidR="00000000" w:rsidRDefault="00195E73">
            <w:pPr>
              <w:ind w:firstLine="405"/>
              <w:rPr>
                <w:rFonts w:eastAsia="Times New Roman"/>
              </w:rPr>
            </w:pPr>
          </w:p>
        </w:tc>
        <w:tc>
          <w:tcPr>
            <w:tcW w:w="1437" w:type="pct"/>
            <w:vAlign w:val="center"/>
            <w:hideMark/>
          </w:tcPr>
          <w:p w14:paraId="3335374E" w14:textId="77777777" w:rsidR="00000000" w:rsidRDefault="00195E73">
            <w:pPr>
              <w:rPr>
                <w:rFonts w:eastAsia="Times New Roman"/>
                <w:sz w:val="20"/>
                <w:szCs w:val="20"/>
              </w:rPr>
            </w:pPr>
          </w:p>
        </w:tc>
        <w:tc>
          <w:tcPr>
            <w:tcW w:w="50" w:type="pct"/>
            <w:vAlign w:val="center"/>
            <w:hideMark/>
          </w:tcPr>
          <w:p w14:paraId="1B977824" w14:textId="77777777" w:rsidR="00000000" w:rsidRDefault="00195E73">
            <w:pPr>
              <w:rPr>
                <w:rFonts w:eastAsia="Times New Roman"/>
                <w:sz w:val="20"/>
                <w:szCs w:val="20"/>
              </w:rPr>
            </w:pPr>
          </w:p>
        </w:tc>
        <w:tc>
          <w:tcPr>
            <w:tcW w:w="50" w:type="pct"/>
            <w:vAlign w:val="center"/>
            <w:hideMark/>
          </w:tcPr>
          <w:p w14:paraId="1CE8B786" w14:textId="77777777" w:rsidR="00000000" w:rsidRDefault="00195E73">
            <w:pPr>
              <w:rPr>
                <w:rFonts w:eastAsia="Times New Roman"/>
                <w:sz w:val="20"/>
                <w:szCs w:val="20"/>
              </w:rPr>
            </w:pPr>
          </w:p>
        </w:tc>
        <w:tc>
          <w:tcPr>
            <w:tcW w:w="256" w:type="pct"/>
            <w:vAlign w:val="center"/>
            <w:hideMark/>
          </w:tcPr>
          <w:p w14:paraId="26D55D3B" w14:textId="77777777" w:rsidR="00000000" w:rsidRDefault="00195E73">
            <w:pPr>
              <w:rPr>
                <w:rFonts w:eastAsia="Times New Roman"/>
                <w:sz w:val="20"/>
                <w:szCs w:val="20"/>
              </w:rPr>
            </w:pPr>
          </w:p>
        </w:tc>
        <w:tc>
          <w:tcPr>
            <w:tcW w:w="50" w:type="pct"/>
            <w:vAlign w:val="center"/>
            <w:hideMark/>
          </w:tcPr>
          <w:p w14:paraId="62667A32" w14:textId="77777777" w:rsidR="00000000" w:rsidRDefault="00195E73">
            <w:pPr>
              <w:rPr>
                <w:rFonts w:eastAsia="Times New Roman"/>
                <w:sz w:val="20"/>
                <w:szCs w:val="20"/>
              </w:rPr>
            </w:pPr>
          </w:p>
        </w:tc>
        <w:tc>
          <w:tcPr>
            <w:tcW w:w="5" w:type="pct"/>
            <w:vAlign w:val="center"/>
            <w:hideMark/>
          </w:tcPr>
          <w:p w14:paraId="106AC13C" w14:textId="77777777" w:rsidR="00000000" w:rsidRDefault="00195E73">
            <w:pPr>
              <w:rPr>
                <w:rFonts w:eastAsia="Times New Roman"/>
                <w:sz w:val="20"/>
                <w:szCs w:val="20"/>
              </w:rPr>
            </w:pPr>
          </w:p>
        </w:tc>
        <w:tc>
          <w:tcPr>
            <w:tcW w:w="27" w:type="pct"/>
            <w:vAlign w:val="center"/>
            <w:hideMark/>
          </w:tcPr>
          <w:p w14:paraId="6A83D1F1" w14:textId="77777777" w:rsidR="00000000" w:rsidRDefault="00195E73">
            <w:pPr>
              <w:rPr>
                <w:rFonts w:eastAsia="Times New Roman"/>
                <w:sz w:val="20"/>
                <w:szCs w:val="20"/>
              </w:rPr>
            </w:pPr>
          </w:p>
        </w:tc>
        <w:tc>
          <w:tcPr>
            <w:tcW w:w="5" w:type="pct"/>
            <w:vAlign w:val="center"/>
            <w:hideMark/>
          </w:tcPr>
          <w:p w14:paraId="5E19FEC3" w14:textId="77777777" w:rsidR="00000000" w:rsidRDefault="00195E73">
            <w:pPr>
              <w:rPr>
                <w:rFonts w:eastAsia="Times New Roman"/>
                <w:sz w:val="20"/>
                <w:szCs w:val="20"/>
              </w:rPr>
            </w:pPr>
          </w:p>
        </w:tc>
        <w:tc>
          <w:tcPr>
            <w:tcW w:w="50" w:type="pct"/>
            <w:vAlign w:val="center"/>
            <w:hideMark/>
          </w:tcPr>
          <w:p w14:paraId="264F747B" w14:textId="77777777" w:rsidR="00000000" w:rsidRDefault="00195E73">
            <w:pPr>
              <w:rPr>
                <w:rFonts w:eastAsia="Times New Roman"/>
                <w:sz w:val="20"/>
                <w:szCs w:val="20"/>
              </w:rPr>
            </w:pPr>
          </w:p>
        </w:tc>
        <w:tc>
          <w:tcPr>
            <w:tcW w:w="150" w:type="pct"/>
            <w:vAlign w:val="center"/>
            <w:hideMark/>
          </w:tcPr>
          <w:p w14:paraId="51344CE7" w14:textId="77777777" w:rsidR="00000000" w:rsidRDefault="00195E73">
            <w:pPr>
              <w:rPr>
                <w:rFonts w:eastAsia="Times New Roman"/>
                <w:sz w:val="20"/>
                <w:szCs w:val="20"/>
              </w:rPr>
            </w:pPr>
          </w:p>
        </w:tc>
        <w:tc>
          <w:tcPr>
            <w:tcW w:w="50" w:type="pct"/>
            <w:vAlign w:val="center"/>
            <w:hideMark/>
          </w:tcPr>
          <w:p w14:paraId="5E7718ED" w14:textId="77777777" w:rsidR="00000000" w:rsidRDefault="00195E73">
            <w:pPr>
              <w:rPr>
                <w:rFonts w:eastAsia="Times New Roman"/>
                <w:sz w:val="20"/>
                <w:szCs w:val="20"/>
              </w:rPr>
            </w:pPr>
          </w:p>
        </w:tc>
        <w:tc>
          <w:tcPr>
            <w:tcW w:w="5" w:type="pct"/>
            <w:vAlign w:val="center"/>
            <w:hideMark/>
          </w:tcPr>
          <w:p w14:paraId="1A04223A" w14:textId="77777777" w:rsidR="00000000" w:rsidRDefault="00195E73">
            <w:pPr>
              <w:rPr>
                <w:rFonts w:eastAsia="Times New Roman"/>
                <w:sz w:val="20"/>
                <w:szCs w:val="20"/>
              </w:rPr>
            </w:pPr>
          </w:p>
        </w:tc>
        <w:tc>
          <w:tcPr>
            <w:tcW w:w="27" w:type="pct"/>
            <w:vAlign w:val="center"/>
            <w:hideMark/>
          </w:tcPr>
          <w:p w14:paraId="2BA1D4A7" w14:textId="77777777" w:rsidR="00000000" w:rsidRDefault="00195E73">
            <w:pPr>
              <w:rPr>
                <w:rFonts w:eastAsia="Times New Roman"/>
                <w:sz w:val="20"/>
                <w:szCs w:val="20"/>
              </w:rPr>
            </w:pPr>
          </w:p>
        </w:tc>
        <w:tc>
          <w:tcPr>
            <w:tcW w:w="5" w:type="pct"/>
            <w:vAlign w:val="center"/>
            <w:hideMark/>
          </w:tcPr>
          <w:p w14:paraId="7A67CC60" w14:textId="77777777" w:rsidR="00000000" w:rsidRDefault="00195E73">
            <w:pPr>
              <w:rPr>
                <w:rFonts w:eastAsia="Times New Roman"/>
                <w:sz w:val="20"/>
                <w:szCs w:val="20"/>
              </w:rPr>
            </w:pPr>
          </w:p>
        </w:tc>
        <w:tc>
          <w:tcPr>
            <w:tcW w:w="50" w:type="pct"/>
            <w:vAlign w:val="center"/>
            <w:hideMark/>
          </w:tcPr>
          <w:p w14:paraId="7B188A8A" w14:textId="77777777" w:rsidR="00000000" w:rsidRDefault="00195E73">
            <w:pPr>
              <w:rPr>
                <w:rFonts w:eastAsia="Times New Roman"/>
                <w:sz w:val="20"/>
                <w:szCs w:val="20"/>
              </w:rPr>
            </w:pPr>
          </w:p>
        </w:tc>
        <w:tc>
          <w:tcPr>
            <w:tcW w:w="271" w:type="pct"/>
            <w:vAlign w:val="center"/>
            <w:hideMark/>
          </w:tcPr>
          <w:p w14:paraId="7787C026" w14:textId="77777777" w:rsidR="00000000" w:rsidRDefault="00195E73">
            <w:pPr>
              <w:rPr>
                <w:rFonts w:eastAsia="Times New Roman"/>
                <w:sz w:val="20"/>
                <w:szCs w:val="20"/>
              </w:rPr>
            </w:pPr>
          </w:p>
        </w:tc>
        <w:tc>
          <w:tcPr>
            <w:tcW w:w="50" w:type="pct"/>
            <w:vAlign w:val="center"/>
            <w:hideMark/>
          </w:tcPr>
          <w:p w14:paraId="2DE360ED" w14:textId="77777777" w:rsidR="00000000" w:rsidRDefault="00195E73">
            <w:pPr>
              <w:rPr>
                <w:rFonts w:eastAsia="Times New Roman"/>
                <w:sz w:val="20"/>
                <w:szCs w:val="20"/>
              </w:rPr>
            </w:pPr>
          </w:p>
        </w:tc>
        <w:tc>
          <w:tcPr>
            <w:tcW w:w="5" w:type="pct"/>
            <w:vAlign w:val="center"/>
            <w:hideMark/>
          </w:tcPr>
          <w:p w14:paraId="070A25F7" w14:textId="77777777" w:rsidR="00000000" w:rsidRDefault="00195E73">
            <w:pPr>
              <w:rPr>
                <w:rFonts w:eastAsia="Times New Roman"/>
                <w:sz w:val="20"/>
                <w:szCs w:val="20"/>
              </w:rPr>
            </w:pPr>
          </w:p>
        </w:tc>
        <w:tc>
          <w:tcPr>
            <w:tcW w:w="43" w:type="pct"/>
            <w:vAlign w:val="center"/>
            <w:hideMark/>
          </w:tcPr>
          <w:p w14:paraId="2B5F1B3F" w14:textId="77777777" w:rsidR="00000000" w:rsidRDefault="00195E73">
            <w:pPr>
              <w:rPr>
                <w:rFonts w:eastAsia="Times New Roman"/>
                <w:sz w:val="20"/>
                <w:szCs w:val="20"/>
              </w:rPr>
            </w:pPr>
          </w:p>
        </w:tc>
        <w:tc>
          <w:tcPr>
            <w:tcW w:w="5" w:type="pct"/>
            <w:vAlign w:val="center"/>
            <w:hideMark/>
          </w:tcPr>
          <w:p w14:paraId="7AA5014C" w14:textId="77777777" w:rsidR="00000000" w:rsidRDefault="00195E73">
            <w:pPr>
              <w:rPr>
                <w:rFonts w:eastAsia="Times New Roman"/>
                <w:sz w:val="20"/>
                <w:szCs w:val="20"/>
              </w:rPr>
            </w:pPr>
          </w:p>
        </w:tc>
        <w:tc>
          <w:tcPr>
            <w:tcW w:w="50" w:type="pct"/>
            <w:vAlign w:val="center"/>
            <w:hideMark/>
          </w:tcPr>
          <w:p w14:paraId="272FB067" w14:textId="77777777" w:rsidR="00000000" w:rsidRDefault="00195E73">
            <w:pPr>
              <w:rPr>
                <w:rFonts w:eastAsia="Times New Roman"/>
                <w:sz w:val="20"/>
                <w:szCs w:val="20"/>
              </w:rPr>
            </w:pPr>
          </w:p>
        </w:tc>
        <w:tc>
          <w:tcPr>
            <w:tcW w:w="233" w:type="pct"/>
            <w:vAlign w:val="center"/>
            <w:hideMark/>
          </w:tcPr>
          <w:p w14:paraId="6B8F398E" w14:textId="77777777" w:rsidR="00000000" w:rsidRDefault="00195E73">
            <w:pPr>
              <w:rPr>
                <w:rFonts w:eastAsia="Times New Roman"/>
                <w:sz w:val="20"/>
                <w:szCs w:val="20"/>
              </w:rPr>
            </w:pPr>
          </w:p>
        </w:tc>
        <w:tc>
          <w:tcPr>
            <w:tcW w:w="50" w:type="pct"/>
            <w:vAlign w:val="center"/>
            <w:hideMark/>
          </w:tcPr>
          <w:p w14:paraId="709FEA21" w14:textId="77777777" w:rsidR="00000000" w:rsidRDefault="00195E73">
            <w:pPr>
              <w:rPr>
                <w:rFonts w:eastAsia="Times New Roman"/>
                <w:sz w:val="20"/>
                <w:szCs w:val="20"/>
              </w:rPr>
            </w:pPr>
          </w:p>
        </w:tc>
        <w:tc>
          <w:tcPr>
            <w:tcW w:w="5" w:type="pct"/>
            <w:vAlign w:val="center"/>
            <w:hideMark/>
          </w:tcPr>
          <w:p w14:paraId="41E5E368" w14:textId="77777777" w:rsidR="00000000" w:rsidRDefault="00195E73">
            <w:pPr>
              <w:rPr>
                <w:rFonts w:eastAsia="Times New Roman"/>
                <w:sz w:val="20"/>
                <w:szCs w:val="20"/>
              </w:rPr>
            </w:pPr>
          </w:p>
        </w:tc>
        <w:tc>
          <w:tcPr>
            <w:tcW w:w="27" w:type="pct"/>
            <w:vAlign w:val="center"/>
            <w:hideMark/>
          </w:tcPr>
          <w:p w14:paraId="2B51EA85" w14:textId="77777777" w:rsidR="00000000" w:rsidRDefault="00195E73">
            <w:pPr>
              <w:rPr>
                <w:rFonts w:eastAsia="Times New Roman"/>
                <w:sz w:val="20"/>
                <w:szCs w:val="20"/>
              </w:rPr>
            </w:pPr>
          </w:p>
        </w:tc>
        <w:tc>
          <w:tcPr>
            <w:tcW w:w="5" w:type="pct"/>
            <w:vAlign w:val="center"/>
            <w:hideMark/>
          </w:tcPr>
          <w:p w14:paraId="009EACB6" w14:textId="77777777" w:rsidR="00000000" w:rsidRDefault="00195E73">
            <w:pPr>
              <w:rPr>
                <w:rFonts w:eastAsia="Times New Roman"/>
                <w:sz w:val="20"/>
                <w:szCs w:val="20"/>
              </w:rPr>
            </w:pPr>
          </w:p>
        </w:tc>
        <w:tc>
          <w:tcPr>
            <w:tcW w:w="50" w:type="pct"/>
            <w:vAlign w:val="center"/>
            <w:hideMark/>
          </w:tcPr>
          <w:p w14:paraId="62548507" w14:textId="77777777" w:rsidR="00000000" w:rsidRDefault="00195E73">
            <w:pPr>
              <w:rPr>
                <w:rFonts w:eastAsia="Times New Roman"/>
                <w:sz w:val="20"/>
                <w:szCs w:val="20"/>
              </w:rPr>
            </w:pPr>
          </w:p>
        </w:tc>
        <w:tc>
          <w:tcPr>
            <w:tcW w:w="165" w:type="pct"/>
            <w:vAlign w:val="center"/>
            <w:hideMark/>
          </w:tcPr>
          <w:p w14:paraId="5F803F40" w14:textId="77777777" w:rsidR="00000000" w:rsidRDefault="00195E73">
            <w:pPr>
              <w:rPr>
                <w:rFonts w:eastAsia="Times New Roman"/>
                <w:sz w:val="20"/>
                <w:szCs w:val="20"/>
              </w:rPr>
            </w:pPr>
          </w:p>
        </w:tc>
        <w:tc>
          <w:tcPr>
            <w:tcW w:w="50" w:type="pct"/>
            <w:vAlign w:val="center"/>
            <w:hideMark/>
          </w:tcPr>
          <w:p w14:paraId="56075A28" w14:textId="77777777" w:rsidR="00000000" w:rsidRDefault="00195E73">
            <w:pPr>
              <w:rPr>
                <w:rFonts w:eastAsia="Times New Roman"/>
                <w:sz w:val="20"/>
                <w:szCs w:val="20"/>
              </w:rPr>
            </w:pPr>
          </w:p>
        </w:tc>
        <w:tc>
          <w:tcPr>
            <w:tcW w:w="5" w:type="pct"/>
            <w:vAlign w:val="center"/>
            <w:hideMark/>
          </w:tcPr>
          <w:p w14:paraId="731A9D8D" w14:textId="77777777" w:rsidR="00000000" w:rsidRDefault="00195E73">
            <w:pPr>
              <w:rPr>
                <w:rFonts w:eastAsia="Times New Roman"/>
                <w:sz w:val="20"/>
                <w:szCs w:val="20"/>
              </w:rPr>
            </w:pPr>
          </w:p>
        </w:tc>
        <w:tc>
          <w:tcPr>
            <w:tcW w:w="27" w:type="pct"/>
            <w:vAlign w:val="center"/>
            <w:hideMark/>
          </w:tcPr>
          <w:p w14:paraId="5F1B0F13" w14:textId="77777777" w:rsidR="00000000" w:rsidRDefault="00195E73">
            <w:pPr>
              <w:rPr>
                <w:rFonts w:eastAsia="Times New Roman"/>
                <w:sz w:val="20"/>
                <w:szCs w:val="20"/>
              </w:rPr>
            </w:pPr>
          </w:p>
        </w:tc>
        <w:tc>
          <w:tcPr>
            <w:tcW w:w="5" w:type="pct"/>
            <w:vAlign w:val="center"/>
            <w:hideMark/>
          </w:tcPr>
          <w:p w14:paraId="2C1E38A0" w14:textId="77777777" w:rsidR="00000000" w:rsidRDefault="00195E73">
            <w:pPr>
              <w:rPr>
                <w:rFonts w:eastAsia="Times New Roman"/>
                <w:sz w:val="20"/>
                <w:szCs w:val="20"/>
              </w:rPr>
            </w:pPr>
          </w:p>
        </w:tc>
        <w:tc>
          <w:tcPr>
            <w:tcW w:w="50" w:type="pct"/>
            <w:vAlign w:val="center"/>
            <w:hideMark/>
          </w:tcPr>
          <w:p w14:paraId="1E6F1B1C" w14:textId="77777777" w:rsidR="00000000" w:rsidRDefault="00195E73">
            <w:pPr>
              <w:rPr>
                <w:rFonts w:eastAsia="Times New Roman"/>
                <w:sz w:val="20"/>
                <w:szCs w:val="20"/>
              </w:rPr>
            </w:pPr>
          </w:p>
        </w:tc>
        <w:tc>
          <w:tcPr>
            <w:tcW w:w="165" w:type="pct"/>
            <w:vAlign w:val="center"/>
            <w:hideMark/>
          </w:tcPr>
          <w:p w14:paraId="276FB181" w14:textId="77777777" w:rsidR="00000000" w:rsidRDefault="00195E73">
            <w:pPr>
              <w:rPr>
                <w:rFonts w:eastAsia="Times New Roman"/>
                <w:sz w:val="20"/>
                <w:szCs w:val="20"/>
              </w:rPr>
            </w:pPr>
          </w:p>
        </w:tc>
        <w:tc>
          <w:tcPr>
            <w:tcW w:w="50" w:type="pct"/>
            <w:vAlign w:val="center"/>
            <w:hideMark/>
          </w:tcPr>
          <w:p w14:paraId="02F95B6A" w14:textId="77777777" w:rsidR="00000000" w:rsidRDefault="00195E73">
            <w:pPr>
              <w:rPr>
                <w:rFonts w:eastAsia="Times New Roman"/>
                <w:sz w:val="20"/>
                <w:szCs w:val="20"/>
              </w:rPr>
            </w:pPr>
          </w:p>
        </w:tc>
        <w:tc>
          <w:tcPr>
            <w:tcW w:w="5" w:type="pct"/>
            <w:vAlign w:val="center"/>
            <w:hideMark/>
          </w:tcPr>
          <w:p w14:paraId="333491CE" w14:textId="77777777" w:rsidR="00000000" w:rsidRDefault="00195E73">
            <w:pPr>
              <w:rPr>
                <w:rFonts w:eastAsia="Times New Roman"/>
                <w:sz w:val="20"/>
                <w:szCs w:val="20"/>
              </w:rPr>
            </w:pPr>
          </w:p>
        </w:tc>
        <w:tc>
          <w:tcPr>
            <w:tcW w:w="27" w:type="pct"/>
            <w:vAlign w:val="center"/>
            <w:hideMark/>
          </w:tcPr>
          <w:p w14:paraId="02CA4A55" w14:textId="77777777" w:rsidR="00000000" w:rsidRDefault="00195E73">
            <w:pPr>
              <w:rPr>
                <w:rFonts w:eastAsia="Times New Roman"/>
                <w:sz w:val="20"/>
                <w:szCs w:val="20"/>
              </w:rPr>
            </w:pPr>
          </w:p>
        </w:tc>
        <w:tc>
          <w:tcPr>
            <w:tcW w:w="5" w:type="pct"/>
            <w:vAlign w:val="center"/>
            <w:hideMark/>
          </w:tcPr>
          <w:p w14:paraId="259255BA" w14:textId="77777777" w:rsidR="00000000" w:rsidRDefault="00195E73">
            <w:pPr>
              <w:rPr>
                <w:rFonts w:eastAsia="Times New Roman"/>
                <w:sz w:val="20"/>
                <w:szCs w:val="20"/>
              </w:rPr>
            </w:pPr>
          </w:p>
        </w:tc>
        <w:tc>
          <w:tcPr>
            <w:tcW w:w="50" w:type="pct"/>
            <w:vAlign w:val="center"/>
            <w:hideMark/>
          </w:tcPr>
          <w:p w14:paraId="79EF98E9" w14:textId="77777777" w:rsidR="00000000" w:rsidRDefault="00195E73">
            <w:pPr>
              <w:rPr>
                <w:rFonts w:eastAsia="Times New Roman"/>
                <w:sz w:val="20"/>
                <w:szCs w:val="20"/>
              </w:rPr>
            </w:pPr>
          </w:p>
        </w:tc>
        <w:tc>
          <w:tcPr>
            <w:tcW w:w="180" w:type="pct"/>
            <w:vAlign w:val="center"/>
            <w:hideMark/>
          </w:tcPr>
          <w:p w14:paraId="77CA1967" w14:textId="77777777" w:rsidR="00000000" w:rsidRDefault="00195E73">
            <w:pPr>
              <w:rPr>
                <w:rFonts w:eastAsia="Times New Roman"/>
                <w:sz w:val="20"/>
                <w:szCs w:val="20"/>
              </w:rPr>
            </w:pPr>
          </w:p>
        </w:tc>
        <w:tc>
          <w:tcPr>
            <w:tcW w:w="50" w:type="pct"/>
            <w:vAlign w:val="center"/>
            <w:hideMark/>
          </w:tcPr>
          <w:p w14:paraId="1F3D80E0" w14:textId="77777777" w:rsidR="00000000" w:rsidRDefault="00195E73">
            <w:pPr>
              <w:rPr>
                <w:rFonts w:eastAsia="Times New Roman"/>
                <w:sz w:val="20"/>
                <w:szCs w:val="20"/>
              </w:rPr>
            </w:pPr>
          </w:p>
        </w:tc>
        <w:tc>
          <w:tcPr>
            <w:tcW w:w="5" w:type="pct"/>
            <w:vAlign w:val="center"/>
            <w:hideMark/>
          </w:tcPr>
          <w:p w14:paraId="1585DFFA" w14:textId="77777777" w:rsidR="00000000" w:rsidRDefault="00195E73">
            <w:pPr>
              <w:rPr>
                <w:rFonts w:eastAsia="Times New Roman"/>
                <w:sz w:val="20"/>
                <w:szCs w:val="20"/>
              </w:rPr>
            </w:pPr>
          </w:p>
        </w:tc>
        <w:tc>
          <w:tcPr>
            <w:tcW w:w="27" w:type="pct"/>
            <w:vAlign w:val="center"/>
            <w:hideMark/>
          </w:tcPr>
          <w:p w14:paraId="4BEE420D" w14:textId="77777777" w:rsidR="00000000" w:rsidRDefault="00195E73">
            <w:pPr>
              <w:rPr>
                <w:rFonts w:eastAsia="Times New Roman"/>
                <w:sz w:val="20"/>
                <w:szCs w:val="20"/>
              </w:rPr>
            </w:pPr>
          </w:p>
        </w:tc>
        <w:tc>
          <w:tcPr>
            <w:tcW w:w="5" w:type="pct"/>
            <w:vAlign w:val="center"/>
            <w:hideMark/>
          </w:tcPr>
          <w:p w14:paraId="0E68CA76" w14:textId="77777777" w:rsidR="00000000" w:rsidRDefault="00195E73">
            <w:pPr>
              <w:rPr>
                <w:rFonts w:eastAsia="Times New Roman"/>
                <w:sz w:val="20"/>
                <w:szCs w:val="20"/>
              </w:rPr>
            </w:pPr>
          </w:p>
        </w:tc>
        <w:tc>
          <w:tcPr>
            <w:tcW w:w="50" w:type="pct"/>
            <w:vAlign w:val="center"/>
            <w:hideMark/>
          </w:tcPr>
          <w:p w14:paraId="652BCD42" w14:textId="77777777" w:rsidR="00000000" w:rsidRDefault="00195E73">
            <w:pPr>
              <w:rPr>
                <w:rFonts w:eastAsia="Times New Roman"/>
                <w:sz w:val="20"/>
                <w:szCs w:val="20"/>
              </w:rPr>
            </w:pPr>
          </w:p>
        </w:tc>
        <w:tc>
          <w:tcPr>
            <w:tcW w:w="150" w:type="pct"/>
            <w:vAlign w:val="center"/>
            <w:hideMark/>
          </w:tcPr>
          <w:p w14:paraId="5C6E4640" w14:textId="77777777" w:rsidR="00000000" w:rsidRDefault="00195E73">
            <w:pPr>
              <w:rPr>
                <w:rFonts w:eastAsia="Times New Roman"/>
                <w:sz w:val="20"/>
                <w:szCs w:val="20"/>
              </w:rPr>
            </w:pPr>
          </w:p>
        </w:tc>
        <w:tc>
          <w:tcPr>
            <w:tcW w:w="50" w:type="pct"/>
            <w:vAlign w:val="center"/>
            <w:hideMark/>
          </w:tcPr>
          <w:p w14:paraId="0D89E6F6" w14:textId="77777777" w:rsidR="00000000" w:rsidRDefault="00195E73">
            <w:pPr>
              <w:rPr>
                <w:rFonts w:eastAsia="Times New Roman"/>
                <w:sz w:val="20"/>
                <w:szCs w:val="20"/>
              </w:rPr>
            </w:pPr>
          </w:p>
        </w:tc>
        <w:tc>
          <w:tcPr>
            <w:tcW w:w="5" w:type="pct"/>
            <w:vAlign w:val="center"/>
            <w:hideMark/>
          </w:tcPr>
          <w:p w14:paraId="7E6E1972" w14:textId="77777777" w:rsidR="00000000" w:rsidRDefault="00195E73">
            <w:pPr>
              <w:rPr>
                <w:rFonts w:eastAsia="Times New Roman"/>
                <w:sz w:val="20"/>
                <w:szCs w:val="20"/>
              </w:rPr>
            </w:pPr>
          </w:p>
        </w:tc>
        <w:tc>
          <w:tcPr>
            <w:tcW w:w="27" w:type="pct"/>
            <w:vAlign w:val="center"/>
            <w:hideMark/>
          </w:tcPr>
          <w:p w14:paraId="60D31F73" w14:textId="77777777" w:rsidR="00000000" w:rsidRDefault="00195E73">
            <w:pPr>
              <w:rPr>
                <w:rFonts w:eastAsia="Times New Roman"/>
                <w:sz w:val="20"/>
                <w:szCs w:val="20"/>
              </w:rPr>
            </w:pPr>
          </w:p>
        </w:tc>
        <w:tc>
          <w:tcPr>
            <w:tcW w:w="5" w:type="pct"/>
            <w:vAlign w:val="center"/>
            <w:hideMark/>
          </w:tcPr>
          <w:p w14:paraId="1E6A747E" w14:textId="77777777" w:rsidR="00000000" w:rsidRDefault="00195E73">
            <w:pPr>
              <w:rPr>
                <w:rFonts w:eastAsia="Times New Roman"/>
                <w:sz w:val="20"/>
                <w:szCs w:val="20"/>
              </w:rPr>
            </w:pPr>
          </w:p>
        </w:tc>
        <w:tc>
          <w:tcPr>
            <w:tcW w:w="0" w:type="auto"/>
            <w:vAlign w:val="center"/>
            <w:hideMark/>
          </w:tcPr>
          <w:p w14:paraId="7503C6F5" w14:textId="77777777" w:rsidR="00000000" w:rsidRDefault="00195E73">
            <w:pPr>
              <w:rPr>
                <w:rFonts w:eastAsia="Times New Roman"/>
                <w:sz w:val="20"/>
                <w:szCs w:val="20"/>
              </w:rPr>
            </w:pPr>
          </w:p>
        </w:tc>
        <w:tc>
          <w:tcPr>
            <w:tcW w:w="0" w:type="auto"/>
            <w:vAlign w:val="center"/>
            <w:hideMark/>
          </w:tcPr>
          <w:p w14:paraId="2CF4A642" w14:textId="77777777" w:rsidR="00000000" w:rsidRDefault="00195E73">
            <w:pPr>
              <w:rPr>
                <w:rFonts w:eastAsia="Times New Roman"/>
                <w:sz w:val="20"/>
                <w:szCs w:val="20"/>
              </w:rPr>
            </w:pPr>
          </w:p>
        </w:tc>
        <w:tc>
          <w:tcPr>
            <w:tcW w:w="50" w:type="pct"/>
            <w:vAlign w:val="center"/>
            <w:hideMark/>
          </w:tcPr>
          <w:p w14:paraId="409AF231" w14:textId="77777777" w:rsidR="00000000" w:rsidRDefault="00195E73">
            <w:pPr>
              <w:rPr>
                <w:rFonts w:eastAsia="Times New Roman"/>
                <w:sz w:val="20"/>
                <w:szCs w:val="20"/>
              </w:rPr>
            </w:pPr>
          </w:p>
        </w:tc>
        <w:tc>
          <w:tcPr>
            <w:tcW w:w="233" w:type="pct"/>
            <w:vAlign w:val="center"/>
            <w:hideMark/>
          </w:tcPr>
          <w:p w14:paraId="134A0ED5" w14:textId="77777777" w:rsidR="00000000" w:rsidRDefault="00195E73">
            <w:pPr>
              <w:rPr>
                <w:rFonts w:eastAsia="Times New Roman"/>
                <w:sz w:val="20"/>
                <w:szCs w:val="20"/>
              </w:rPr>
            </w:pPr>
          </w:p>
        </w:tc>
        <w:tc>
          <w:tcPr>
            <w:tcW w:w="50" w:type="pct"/>
            <w:vAlign w:val="center"/>
            <w:hideMark/>
          </w:tcPr>
          <w:p w14:paraId="1B27AA5E" w14:textId="77777777" w:rsidR="00000000" w:rsidRDefault="00195E73">
            <w:pPr>
              <w:rPr>
                <w:rFonts w:eastAsia="Times New Roman"/>
                <w:sz w:val="20"/>
                <w:szCs w:val="20"/>
              </w:rPr>
            </w:pPr>
          </w:p>
        </w:tc>
        <w:tc>
          <w:tcPr>
            <w:tcW w:w="5" w:type="pct"/>
            <w:vAlign w:val="center"/>
            <w:hideMark/>
          </w:tcPr>
          <w:p w14:paraId="5BBF9956" w14:textId="77777777" w:rsidR="00000000" w:rsidRDefault="00195E73">
            <w:pPr>
              <w:rPr>
                <w:rFonts w:eastAsia="Times New Roman"/>
                <w:sz w:val="20"/>
                <w:szCs w:val="20"/>
              </w:rPr>
            </w:pPr>
          </w:p>
        </w:tc>
        <w:tc>
          <w:tcPr>
            <w:tcW w:w="27" w:type="pct"/>
            <w:vAlign w:val="center"/>
            <w:hideMark/>
          </w:tcPr>
          <w:p w14:paraId="606A5321" w14:textId="77777777" w:rsidR="00000000" w:rsidRDefault="00195E73">
            <w:pPr>
              <w:rPr>
                <w:rFonts w:eastAsia="Times New Roman"/>
                <w:sz w:val="20"/>
                <w:szCs w:val="20"/>
              </w:rPr>
            </w:pPr>
          </w:p>
        </w:tc>
        <w:tc>
          <w:tcPr>
            <w:tcW w:w="5" w:type="pct"/>
            <w:vAlign w:val="center"/>
            <w:hideMark/>
          </w:tcPr>
          <w:p w14:paraId="6A03FF7D" w14:textId="77777777" w:rsidR="00000000" w:rsidRDefault="00195E73">
            <w:pPr>
              <w:rPr>
                <w:rFonts w:eastAsia="Times New Roman"/>
                <w:sz w:val="20"/>
                <w:szCs w:val="20"/>
              </w:rPr>
            </w:pPr>
          </w:p>
        </w:tc>
      </w:tr>
      <w:tr w:rsidR="00000000" w14:paraId="1458D90E" w14:textId="77777777">
        <w:trPr>
          <w:divId w:val="945890840"/>
          <w:jc w:val="center"/>
        </w:trPr>
        <w:tc>
          <w:tcPr>
            <w:tcW w:w="0" w:type="auto"/>
            <w:gridSpan w:val="3"/>
            <w:tcMar>
              <w:top w:w="15" w:type="dxa"/>
              <w:left w:w="20" w:type="dxa"/>
              <w:bottom w:w="15" w:type="dxa"/>
              <w:right w:w="20" w:type="dxa"/>
            </w:tcMar>
            <w:vAlign w:val="bottom"/>
            <w:hideMark/>
          </w:tcPr>
          <w:p w14:paraId="19DCA0DA" w14:textId="77777777" w:rsidR="00000000" w:rsidRDefault="00195E73">
            <w:pPr>
              <w:rPr>
                <w:rFonts w:eastAsia="Times New Roman"/>
                <w:sz w:val="20"/>
                <w:szCs w:val="20"/>
              </w:rPr>
            </w:pPr>
          </w:p>
        </w:tc>
        <w:tc>
          <w:tcPr>
            <w:tcW w:w="0" w:type="auto"/>
            <w:gridSpan w:val="53"/>
            <w:tcMar>
              <w:top w:w="30" w:type="dxa"/>
              <w:left w:w="20" w:type="dxa"/>
              <w:bottom w:w="30" w:type="dxa"/>
              <w:right w:w="20" w:type="dxa"/>
            </w:tcMar>
            <w:vAlign w:val="bottom"/>
            <w:hideMark/>
          </w:tcPr>
          <w:p w14:paraId="40138C02" w14:textId="77777777" w:rsidR="00000000" w:rsidRDefault="00195E73">
            <w:pPr>
              <w:jc w:val="center"/>
              <w:rPr>
                <w:rFonts w:eastAsia="Times New Roman"/>
              </w:rPr>
            </w:pPr>
            <w:r>
              <w:rPr>
                <w:rFonts w:eastAsia="Times New Roman"/>
                <w:b/>
                <w:bCs/>
                <w:color w:val="000000"/>
                <w:sz w:val="12"/>
                <w:szCs w:val="12"/>
              </w:rPr>
              <w:t>December 31, 201</w:t>
            </w:r>
            <w:r>
              <w:rPr>
                <w:rFonts w:eastAsia="Times New Roman"/>
                <w:b/>
                <w:bCs/>
                <w:color w:val="000000"/>
                <w:sz w:val="12"/>
                <w:szCs w:val="12"/>
              </w:rPr>
              <w:t>9</w:t>
            </w:r>
          </w:p>
        </w:tc>
        <w:tc>
          <w:tcPr>
            <w:tcW w:w="0" w:type="auto"/>
            <w:gridSpan w:val="2"/>
            <w:vAlign w:val="center"/>
            <w:hideMark/>
          </w:tcPr>
          <w:p w14:paraId="48EF0723" w14:textId="77777777" w:rsidR="00000000" w:rsidRDefault="00195E73">
            <w:pPr>
              <w:jc w:val="center"/>
              <w:rPr>
                <w:rFonts w:eastAsia="Times New Roman"/>
              </w:rPr>
            </w:pPr>
          </w:p>
        </w:tc>
        <w:tc>
          <w:tcPr>
            <w:tcW w:w="0" w:type="auto"/>
            <w:vAlign w:val="center"/>
            <w:hideMark/>
          </w:tcPr>
          <w:p w14:paraId="14F19E76" w14:textId="77777777" w:rsidR="00000000" w:rsidRDefault="00195E73">
            <w:pPr>
              <w:rPr>
                <w:rFonts w:eastAsia="Times New Roman"/>
                <w:sz w:val="20"/>
                <w:szCs w:val="20"/>
              </w:rPr>
            </w:pPr>
          </w:p>
        </w:tc>
      </w:tr>
      <w:tr w:rsidR="00000000" w14:paraId="5F43F963" w14:textId="77777777">
        <w:trPr>
          <w:divId w:val="945890840"/>
          <w:jc w:val="center"/>
        </w:trPr>
        <w:tc>
          <w:tcPr>
            <w:tcW w:w="0" w:type="auto"/>
            <w:gridSpan w:val="3"/>
            <w:tcMar>
              <w:top w:w="15" w:type="dxa"/>
              <w:left w:w="20" w:type="dxa"/>
              <w:bottom w:w="15" w:type="dxa"/>
              <w:right w:w="20" w:type="dxa"/>
            </w:tcMar>
            <w:vAlign w:val="bottom"/>
            <w:hideMark/>
          </w:tcPr>
          <w:p w14:paraId="2F8BACCD"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C710F97" w14:textId="77777777" w:rsidR="00000000" w:rsidRDefault="00195E73">
            <w:pPr>
              <w:jc w:val="center"/>
              <w:rPr>
                <w:rFonts w:eastAsia="Times New Roman"/>
              </w:rPr>
            </w:pPr>
            <w:r>
              <w:rPr>
                <w:rFonts w:eastAsia="Times New Roman"/>
                <w:b/>
                <w:bCs/>
                <w:color w:val="000000"/>
                <w:sz w:val="12"/>
                <w:szCs w:val="12"/>
              </w:rPr>
              <w:t>Investmen</w:t>
            </w:r>
            <w:r>
              <w:rPr>
                <w:rFonts w:eastAsia="Times New Roman"/>
                <w:b/>
                <w:bCs/>
                <w:color w:val="000000"/>
                <w:sz w:val="12"/>
                <w:szCs w:val="12"/>
              </w:rPr>
              <w:t>t</w:t>
            </w:r>
          </w:p>
        </w:tc>
        <w:tc>
          <w:tcPr>
            <w:tcW w:w="0" w:type="auto"/>
            <w:gridSpan w:val="3"/>
            <w:tcBorders>
              <w:top w:val="single" w:sz="8" w:space="0" w:color="000000"/>
            </w:tcBorders>
            <w:tcMar>
              <w:top w:w="15" w:type="dxa"/>
              <w:left w:w="20" w:type="dxa"/>
              <w:bottom w:w="15" w:type="dxa"/>
              <w:right w:w="20" w:type="dxa"/>
            </w:tcMar>
            <w:vAlign w:val="bottom"/>
            <w:hideMark/>
          </w:tcPr>
          <w:p w14:paraId="386FC289"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286E1D4" w14:textId="77777777" w:rsidR="00000000" w:rsidRDefault="00195E73">
            <w:pPr>
              <w:jc w:val="center"/>
              <w:rPr>
                <w:rFonts w:eastAsia="Times New Roman"/>
              </w:rPr>
            </w:pPr>
            <w:r>
              <w:rPr>
                <w:rFonts w:eastAsia="Times New Roman"/>
                <w:b/>
                <w:bCs/>
                <w:color w:val="000000"/>
                <w:sz w:val="12"/>
                <w:szCs w:val="12"/>
              </w:rPr>
              <w:t>Energ</w:t>
            </w:r>
            <w:r>
              <w:rPr>
                <w:rFonts w:eastAsia="Times New Roman"/>
                <w:b/>
                <w:bCs/>
                <w:color w:val="000000"/>
                <w:sz w:val="12"/>
                <w:szCs w:val="12"/>
              </w:rPr>
              <w:t>y</w:t>
            </w:r>
          </w:p>
        </w:tc>
        <w:tc>
          <w:tcPr>
            <w:tcW w:w="0" w:type="auto"/>
            <w:gridSpan w:val="3"/>
            <w:tcBorders>
              <w:top w:val="single" w:sz="8" w:space="0" w:color="000000"/>
            </w:tcBorders>
            <w:tcMar>
              <w:top w:w="15" w:type="dxa"/>
              <w:left w:w="20" w:type="dxa"/>
              <w:bottom w:w="15" w:type="dxa"/>
              <w:right w:w="20" w:type="dxa"/>
            </w:tcMar>
            <w:vAlign w:val="bottom"/>
            <w:hideMark/>
          </w:tcPr>
          <w:p w14:paraId="7B92569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117B49" w14:textId="77777777" w:rsidR="00000000" w:rsidRDefault="00195E73">
            <w:pPr>
              <w:jc w:val="center"/>
              <w:rPr>
                <w:rFonts w:eastAsia="Times New Roman"/>
              </w:rPr>
            </w:pPr>
            <w:r>
              <w:rPr>
                <w:rFonts w:eastAsia="Times New Roman"/>
                <w:b/>
                <w:bCs/>
                <w:color w:val="000000"/>
                <w:sz w:val="12"/>
                <w:szCs w:val="12"/>
              </w:rPr>
              <w:t>Automotiv</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11B3667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A6F30AF" w14:textId="77777777" w:rsidR="00000000" w:rsidRDefault="00195E73">
            <w:pPr>
              <w:jc w:val="center"/>
              <w:rPr>
                <w:rFonts w:eastAsia="Times New Roman"/>
              </w:rPr>
            </w:pPr>
            <w:r>
              <w:rPr>
                <w:rFonts w:eastAsia="Times New Roman"/>
                <w:b/>
                <w:bCs/>
                <w:color w:val="000000"/>
                <w:sz w:val="12"/>
                <w:szCs w:val="12"/>
              </w:rPr>
              <w:t>Food Packagin</w:t>
            </w:r>
            <w:r>
              <w:rPr>
                <w:rFonts w:eastAsia="Times New Roman"/>
                <w:b/>
                <w:bCs/>
                <w:color w:val="000000"/>
                <w:sz w:val="12"/>
                <w:szCs w:val="12"/>
              </w:rPr>
              <w:t>g</w:t>
            </w:r>
          </w:p>
        </w:tc>
        <w:tc>
          <w:tcPr>
            <w:tcW w:w="0" w:type="auto"/>
            <w:gridSpan w:val="3"/>
            <w:tcBorders>
              <w:top w:val="single" w:sz="8" w:space="0" w:color="000000"/>
            </w:tcBorders>
            <w:tcMar>
              <w:top w:w="15" w:type="dxa"/>
              <w:left w:w="20" w:type="dxa"/>
              <w:bottom w:w="15" w:type="dxa"/>
              <w:right w:w="20" w:type="dxa"/>
            </w:tcMar>
            <w:vAlign w:val="bottom"/>
            <w:hideMark/>
          </w:tcPr>
          <w:p w14:paraId="06AB85AA"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D33874C" w14:textId="77777777" w:rsidR="00000000" w:rsidRDefault="00195E73">
            <w:pPr>
              <w:jc w:val="center"/>
              <w:rPr>
                <w:rFonts w:eastAsia="Times New Roman"/>
              </w:rPr>
            </w:pPr>
            <w:r>
              <w:rPr>
                <w:rFonts w:eastAsia="Times New Roman"/>
                <w:b/>
                <w:bCs/>
                <w:color w:val="000000"/>
                <w:sz w:val="12"/>
                <w:szCs w:val="12"/>
              </w:rPr>
              <w:t>Metal</w:t>
            </w:r>
            <w:r>
              <w:rPr>
                <w:rFonts w:eastAsia="Times New Roman"/>
                <w:b/>
                <w:bCs/>
                <w:color w:val="000000"/>
                <w:sz w:val="12"/>
                <w:szCs w:val="12"/>
              </w:rPr>
              <w:t>s</w:t>
            </w:r>
          </w:p>
        </w:tc>
        <w:tc>
          <w:tcPr>
            <w:tcW w:w="0" w:type="auto"/>
            <w:gridSpan w:val="3"/>
            <w:tcBorders>
              <w:top w:val="single" w:sz="8" w:space="0" w:color="000000"/>
            </w:tcBorders>
            <w:tcMar>
              <w:top w:w="15" w:type="dxa"/>
              <w:left w:w="20" w:type="dxa"/>
              <w:bottom w:w="15" w:type="dxa"/>
              <w:right w:w="20" w:type="dxa"/>
            </w:tcMar>
            <w:vAlign w:val="bottom"/>
            <w:hideMark/>
          </w:tcPr>
          <w:p w14:paraId="3CDA65D2"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18102D5" w14:textId="77777777" w:rsidR="00000000" w:rsidRDefault="00195E73">
            <w:pPr>
              <w:jc w:val="center"/>
              <w:rPr>
                <w:rFonts w:eastAsia="Times New Roman"/>
              </w:rPr>
            </w:pPr>
            <w:r>
              <w:rPr>
                <w:rFonts w:eastAsia="Times New Roman"/>
                <w:b/>
                <w:bCs/>
                <w:color w:val="000000"/>
                <w:sz w:val="12"/>
                <w:szCs w:val="12"/>
              </w:rPr>
              <w:t>Real Estat</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6D565B2D"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4F4B739" w14:textId="77777777" w:rsidR="00000000" w:rsidRDefault="00195E73">
            <w:pPr>
              <w:jc w:val="center"/>
              <w:rPr>
                <w:rFonts w:eastAsia="Times New Roman"/>
              </w:rPr>
            </w:pPr>
            <w:r>
              <w:rPr>
                <w:rFonts w:eastAsia="Times New Roman"/>
                <w:b/>
                <w:bCs/>
                <w:color w:val="000000"/>
                <w:sz w:val="12"/>
                <w:szCs w:val="12"/>
              </w:rPr>
              <w:t>Home Fashio</w:t>
            </w:r>
            <w:r>
              <w:rPr>
                <w:rFonts w:eastAsia="Times New Roman"/>
                <w:b/>
                <w:bCs/>
                <w:color w:val="000000"/>
                <w:sz w:val="12"/>
                <w:szCs w:val="12"/>
              </w:rPr>
              <w:t>n</w:t>
            </w:r>
          </w:p>
        </w:tc>
        <w:tc>
          <w:tcPr>
            <w:tcW w:w="0" w:type="auto"/>
            <w:gridSpan w:val="3"/>
            <w:tcBorders>
              <w:top w:val="single" w:sz="8" w:space="0" w:color="000000"/>
            </w:tcBorders>
            <w:tcMar>
              <w:top w:w="15" w:type="dxa"/>
              <w:left w:w="20" w:type="dxa"/>
              <w:bottom w:w="15" w:type="dxa"/>
              <w:right w:w="20" w:type="dxa"/>
            </w:tcMar>
            <w:vAlign w:val="bottom"/>
            <w:hideMark/>
          </w:tcPr>
          <w:p w14:paraId="5B25D282"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509A608" w14:textId="77777777" w:rsidR="00000000" w:rsidRDefault="00195E73">
            <w:pPr>
              <w:jc w:val="center"/>
              <w:rPr>
                <w:rFonts w:eastAsia="Times New Roman"/>
              </w:rPr>
            </w:pPr>
            <w:r>
              <w:rPr>
                <w:rFonts w:eastAsia="Times New Roman"/>
                <w:b/>
                <w:bCs/>
                <w:color w:val="000000"/>
                <w:sz w:val="12"/>
                <w:szCs w:val="12"/>
              </w:rPr>
              <w:t>Minin</w:t>
            </w:r>
            <w:r>
              <w:rPr>
                <w:rFonts w:eastAsia="Times New Roman"/>
                <w:b/>
                <w:bCs/>
                <w:color w:val="000000"/>
                <w:sz w:val="12"/>
                <w:szCs w:val="12"/>
              </w:rPr>
              <w:t>g</w:t>
            </w:r>
          </w:p>
        </w:tc>
        <w:tc>
          <w:tcPr>
            <w:tcW w:w="0" w:type="auto"/>
            <w:gridSpan w:val="3"/>
            <w:tcBorders>
              <w:top w:val="single" w:sz="8" w:space="0" w:color="000000"/>
            </w:tcBorders>
            <w:tcMar>
              <w:top w:w="15" w:type="dxa"/>
              <w:left w:w="20" w:type="dxa"/>
              <w:bottom w:w="15" w:type="dxa"/>
              <w:right w:w="20" w:type="dxa"/>
            </w:tcMar>
            <w:vAlign w:val="bottom"/>
            <w:hideMark/>
          </w:tcPr>
          <w:p w14:paraId="6E3374D1" w14:textId="77777777" w:rsidR="00000000" w:rsidRDefault="00195E73">
            <w:pPr>
              <w:jc w:val="center"/>
              <w:rPr>
                <w:rFonts w:eastAsia="Times New Roman"/>
              </w:rPr>
            </w:pPr>
          </w:p>
        </w:tc>
        <w:tc>
          <w:tcPr>
            <w:tcW w:w="0" w:type="auto"/>
            <w:vAlign w:val="center"/>
            <w:hideMark/>
          </w:tcPr>
          <w:p w14:paraId="4715760E" w14:textId="77777777" w:rsidR="00000000" w:rsidRDefault="00195E73">
            <w:pPr>
              <w:rPr>
                <w:rFonts w:eastAsia="Times New Roman"/>
                <w:sz w:val="20"/>
                <w:szCs w:val="20"/>
              </w:rPr>
            </w:pPr>
          </w:p>
        </w:tc>
        <w:tc>
          <w:tcPr>
            <w:tcW w:w="0" w:type="auto"/>
            <w:vAlign w:val="center"/>
            <w:hideMark/>
          </w:tcPr>
          <w:p w14:paraId="1D5EC1F1" w14:textId="77777777" w:rsidR="00000000" w:rsidRDefault="00195E73">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742FFA2" w14:textId="77777777" w:rsidR="00000000" w:rsidRDefault="00195E73">
            <w:pPr>
              <w:jc w:val="center"/>
              <w:rPr>
                <w:rFonts w:eastAsia="Times New Roman"/>
              </w:rPr>
            </w:pPr>
            <w:r>
              <w:rPr>
                <w:rFonts w:eastAsia="Times New Roman"/>
                <w:b/>
                <w:bCs/>
                <w:color w:val="000000"/>
                <w:sz w:val="12"/>
                <w:szCs w:val="12"/>
              </w:rPr>
              <w:t>Holding Compan</w:t>
            </w:r>
            <w:r>
              <w:rPr>
                <w:rFonts w:eastAsia="Times New Roman"/>
                <w:b/>
                <w:bCs/>
                <w:color w:val="000000"/>
                <w:sz w:val="12"/>
                <w:szCs w:val="12"/>
              </w:rPr>
              <w:t>y</w:t>
            </w:r>
          </w:p>
        </w:tc>
        <w:tc>
          <w:tcPr>
            <w:tcW w:w="0" w:type="auto"/>
            <w:gridSpan w:val="2"/>
            <w:tcBorders>
              <w:top w:val="single" w:sz="8" w:space="0" w:color="000000"/>
            </w:tcBorders>
            <w:tcMar>
              <w:top w:w="15" w:type="dxa"/>
              <w:left w:w="20" w:type="dxa"/>
              <w:bottom w:w="15" w:type="dxa"/>
              <w:right w:w="20" w:type="dxa"/>
            </w:tcMar>
            <w:vAlign w:val="bottom"/>
            <w:hideMark/>
          </w:tcPr>
          <w:p w14:paraId="4055D5D3" w14:textId="77777777" w:rsidR="00000000" w:rsidRDefault="00195E73">
            <w:pPr>
              <w:jc w:val="center"/>
              <w:rPr>
                <w:rFonts w:eastAsia="Times New Roman"/>
              </w:rPr>
            </w:pPr>
          </w:p>
        </w:tc>
        <w:tc>
          <w:tcPr>
            <w:tcW w:w="0" w:type="auto"/>
            <w:tcBorders>
              <w:top w:val="single" w:sz="8" w:space="0" w:color="000000"/>
              <w:bottom w:val="single" w:sz="8" w:space="0" w:color="000000"/>
            </w:tcBorders>
            <w:tcMar>
              <w:top w:w="30" w:type="dxa"/>
              <w:left w:w="20" w:type="dxa"/>
              <w:bottom w:w="30" w:type="dxa"/>
              <w:right w:w="20" w:type="dxa"/>
            </w:tcMar>
            <w:vAlign w:val="bottom"/>
            <w:hideMark/>
          </w:tcPr>
          <w:p w14:paraId="37F8CFAD" w14:textId="77777777" w:rsidR="00000000" w:rsidRDefault="00195E73">
            <w:pPr>
              <w:jc w:val="center"/>
              <w:rPr>
                <w:rFonts w:eastAsia="Times New Roman"/>
              </w:rPr>
            </w:pPr>
            <w:r>
              <w:rPr>
                <w:rFonts w:eastAsia="Times New Roman"/>
                <w:b/>
                <w:bCs/>
                <w:color w:val="000000"/>
                <w:sz w:val="12"/>
                <w:szCs w:val="12"/>
              </w:rPr>
              <w:t>Consolidate</w:t>
            </w:r>
            <w:r>
              <w:rPr>
                <w:rFonts w:eastAsia="Times New Roman"/>
                <w:b/>
                <w:bCs/>
                <w:color w:val="000000"/>
                <w:sz w:val="12"/>
                <w:szCs w:val="12"/>
              </w:rPr>
              <w:t>d</w:t>
            </w:r>
          </w:p>
        </w:tc>
      </w:tr>
      <w:tr w:rsidR="00000000" w14:paraId="3EAE5151" w14:textId="77777777">
        <w:trPr>
          <w:divId w:val="945890840"/>
          <w:jc w:val="center"/>
        </w:trPr>
        <w:tc>
          <w:tcPr>
            <w:tcW w:w="0" w:type="auto"/>
            <w:gridSpan w:val="3"/>
            <w:tcMar>
              <w:top w:w="15" w:type="dxa"/>
              <w:left w:w="20" w:type="dxa"/>
              <w:bottom w:w="15" w:type="dxa"/>
              <w:right w:w="20" w:type="dxa"/>
            </w:tcMar>
            <w:vAlign w:val="bottom"/>
            <w:hideMark/>
          </w:tcPr>
          <w:p w14:paraId="4DC32720" w14:textId="77777777" w:rsidR="00000000" w:rsidRDefault="00195E73">
            <w:pPr>
              <w:jc w:val="center"/>
              <w:rPr>
                <w:rFonts w:eastAsia="Times New Roman"/>
              </w:rPr>
            </w:pPr>
          </w:p>
        </w:tc>
        <w:tc>
          <w:tcPr>
            <w:tcW w:w="0" w:type="auto"/>
            <w:gridSpan w:val="53"/>
            <w:tcBorders>
              <w:top w:val="single" w:sz="8" w:space="0" w:color="000000"/>
            </w:tcBorders>
            <w:tcMar>
              <w:top w:w="30" w:type="dxa"/>
              <w:left w:w="20" w:type="dxa"/>
              <w:bottom w:w="30" w:type="dxa"/>
              <w:right w:w="20" w:type="dxa"/>
            </w:tcMar>
            <w:vAlign w:val="bottom"/>
            <w:hideMark/>
          </w:tcPr>
          <w:p w14:paraId="52C0E07F" w14:textId="77777777" w:rsidR="00000000" w:rsidRDefault="00195E73">
            <w:pPr>
              <w:jc w:val="center"/>
              <w:rPr>
                <w:rFonts w:eastAsia="Times New Roman"/>
              </w:rPr>
            </w:pPr>
            <w:r>
              <w:rPr>
                <w:rFonts w:eastAsia="Times New Roman"/>
                <w:color w:val="000000"/>
                <w:sz w:val="12"/>
                <w:szCs w:val="12"/>
              </w:rPr>
              <w:t>(in millions</w:t>
            </w:r>
            <w:r>
              <w:rPr>
                <w:rFonts w:eastAsia="Times New Roman"/>
                <w:color w:val="000000"/>
                <w:sz w:val="12"/>
                <w:szCs w:val="12"/>
              </w:rPr>
              <w:t>)</w:t>
            </w:r>
          </w:p>
        </w:tc>
        <w:tc>
          <w:tcPr>
            <w:tcW w:w="0" w:type="auto"/>
            <w:gridSpan w:val="2"/>
            <w:vAlign w:val="center"/>
            <w:hideMark/>
          </w:tcPr>
          <w:p w14:paraId="4C715B3A" w14:textId="77777777" w:rsidR="00000000" w:rsidRDefault="00195E73">
            <w:pPr>
              <w:jc w:val="center"/>
              <w:rPr>
                <w:rFonts w:eastAsia="Times New Roman"/>
              </w:rPr>
            </w:pPr>
          </w:p>
        </w:tc>
        <w:tc>
          <w:tcPr>
            <w:tcW w:w="0" w:type="auto"/>
            <w:vAlign w:val="center"/>
            <w:hideMark/>
          </w:tcPr>
          <w:p w14:paraId="33C599E9" w14:textId="77777777" w:rsidR="00000000" w:rsidRDefault="00195E73">
            <w:pPr>
              <w:rPr>
                <w:rFonts w:eastAsia="Times New Roman"/>
                <w:sz w:val="20"/>
                <w:szCs w:val="20"/>
              </w:rPr>
            </w:pPr>
          </w:p>
        </w:tc>
      </w:tr>
      <w:tr w:rsidR="00000000" w14:paraId="7C2FC8B9" w14:textId="77777777">
        <w:trPr>
          <w:divId w:val="945890840"/>
          <w:jc w:val="center"/>
        </w:trPr>
        <w:tc>
          <w:tcPr>
            <w:tcW w:w="0" w:type="auto"/>
            <w:gridSpan w:val="3"/>
            <w:shd w:val="clear" w:color="auto" w:fill="FFFFFF"/>
            <w:tcMar>
              <w:top w:w="30" w:type="dxa"/>
              <w:left w:w="20" w:type="dxa"/>
              <w:bottom w:w="30" w:type="dxa"/>
              <w:right w:w="20" w:type="dxa"/>
            </w:tcMar>
            <w:vAlign w:val="bottom"/>
            <w:hideMark/>
          </w:tcPr>
          <w:p w14:paraId="407269D1" w14:textId="77777777" w:rsidR="00000000" w:rsidRDefault="00195E73">
            <w:pPr>
              <w:jc w:val="center"/>
              <w:rPr>
                <w:rFonts w:eastAsia="Times New Roman"/>
              </w:rPr>
            </w:pPr>
            <w:r>
              <w:rPr>
                <w:rFonts w:eastAsia="Times New Roman"/>
                <w:b/>
                <w:bCs/>
                <w:color w:val="000000"/>
                <w:sz w:val="12"/>
                <w:szCs w:val="12"/>
              </w:rPr>
              <w:t>ASSET</w:t>
            </w:r>
            <w:r>
              <w:rPr>
                <w:rFonts w:eastAsia="Times New Roman"/>
                <w:b/>
                <w:bCs/>
                <w:color w:val="000000"/>
                <w:sz w:val="12"/>
                <w:szCs w:val="12"/>
              </w:rPr>
              <w:t>S</w:t>
            </w:r>
          </w:p>
        </w:tc>
        <w:tc>
          <w:tcPr>
            <w:tcW w:w="0" w:type="auto"/>
            <w:gridSpan w:val="3"/>
            <w:shd w:val="clear" w:color="auto" w:fill="FFFFFF"/>
            <w:tcMar>
              <w:top w:w="15" w:type="dxa"/>
              <w:left w:w="20" w:type="dxa"/>
              <w:bottom w:w="15" w:type="dxa"/>
              <w:right w:w="20" w:type="dxa"/>
            </w:tcMar>
            <w:vAlign w:val="bottom"/>
            <w:hideMark/>
          </w:tcPr>
          <w:p w14:paraId="00524528" w14:textId="77777777" w:rsidR="00000000" w:rsidRDefault="00195E73">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F33B4E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DB08DB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9396E6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B4C9BB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4FD92F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EFBFA6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3C11D4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28BFB0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F2B745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11B449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E2308A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10EF60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601802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29F0E1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AEBAC91" w14:textId="77777777" w:rsidR="00000000" w:rsidRDefault="00195E73">
            <w:pPr>
              <w:rPr>
                <w:rFonts w:eastAsia="Times New Roman"/>
                <w:sz w:val="20"/>
                <w:szCs w:val="20"/>
              </w:rPr>
            </w:pPr>
          </w:p>
        </w:tc>
        <w:tc>
          <w:tcPr>
            <w:tcW w:w="0" w:type="auto"/>
            <w:vAlign w:val="center"/>
            <w:hideMark/>
          </w:tcPr>
          <w:p w14:paraId="4E482352" w14:textId="77777777" w:rsidR="00000000" w:rsidRDefault="00195E73">
            <w:pPr>
              <w:rPr>
                <w:rFonts w:eastAsia="Times New Roman"/>
                <w:sz w:val="20"/>
                <w:szCs w:val="20"/>
              </w:rPr>
            </w:pPr>
          </w:p>
        </w:tc>
        <w:tc>
          <w:tcPr>
            <w:tcW w:w="0" w:type="auto"/>
            <w:vAlign w:val="center"/>
            <w:hideMark/>
          </w:tcPr>
          <w:p w14:paraId="407FE92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620CB13"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331B5113" w14:textId="77777777" w:rsidR="00000000" w:rsidRDefault="00195E73">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14:paraId="3A021015" w14:textId="77777777" w:rsidR="00000000" w:rsidRDefault="00195E73">
            <w:pPr>
              <w:rPr>
                <w:rFonts w:eastAsia="Times New Roman"/>
                <w:sz w:val="20"/>
                <w:szCs w:val="20"/>
              </w:rPr>
            </w:pPr>
          </w:p>
        </w:tc>
      </w:tr>
      <w:tr w:rsidR="00195E73" w14:paraId="73071F76" w14:textId="77777777">
        <w:trPr>
          <w:divId w:val="945890840"/>
          <w:jc w:val="center"/>
        </w:trPr>
        <w:tc>
          <w:tcPr>
            <w:tcW w:w="0" w:type="auto"/>
            <w:gridSpan w:val="3"/>
            <w:shd w:val="clear" w:color="auto" w:fill="CCEEFF"/>
            <w:tcMar>
              <w:top w:w="30" w:type="dxa"/>
              <w:left w:w="20" w:type="dxa"/>
              <w:bottom w:w="30" w:type="dxa"/>
              <w:right w:w="20" w:type="dxa"/>
            </w:tcMar>
            <w:vAlign w:val="bottom"/>
            <w:hideMark/>
          </w:tcPr>
          <w:p w14:paraId="50344BE7" w14:textId="77777777" w:rsidR="00000000" w:rsidRDefault="00195E73">
            <w:pPr>
              <w:rPr>
                <w:rFonts w:eastAsia="Times New Roman"/>
              </w:rPr>
            </w:pPr>
            <w:r>
              <w:rPr>
                <w:rFonts w:eastAsia="Times New Roman"/>
                <w:color w:val="000000"/>
                <w:sz w:val="12"/>
                <w:szCs w:val="12"/>
              </w:rPr>
              <w:t>Cash and cash equivalent</w:t>
            </w:r>
            <w:r>
              <w:rPr>
                <w:rFonts w:eastAsia="Times New Roman"/>
                <w:color w:val="000000"/>
                <w:sz w:val="12"/>
                <w:szCs w:val="12"/>
              </w:rPr>
              <w:t>s</w:t>
            </w:r>
          </w:p>
        </w:tc>
        <w:tc>
          <w:tcPr>
            <w:tcW w:w="0" w:type="auto"/>
            <w:shd w:val="clear" w:color="auto" w:fill="CCEEFF"/>
            <w:tcMar>
              <w:top w:w="30" w:type="dxa"/>
              <w:left w:w="20" w:type="dxa"/>
              <w:bottom w:w="30" w:type="dxa"/>
              <w:right w:w="15" w:type="dxa"/>
            </w:tcMar>
            <w:vAlign w:val="bottom"/>
            <w:hideMark/>
          </w:tcPr>
          <w:p w14:paraId="0150CFF0"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445D6B3" w14:textId="77777777" w:rsidR="00000000" w:rsidRDefault="00195E73">
            <w:pPr>
              <w:jc w:val="right"/>
              <w:rPr>
                <w:rFonts w:eastAsia="Times New Roman"/>
              </w:rPr>
            </w:pPr>
            <w:r>
              <w:rPr>
                <w:rFonts w:eastAsia="Times New Roman"/>
                <w:color w:val="000000"/>
                <w:sz w:val="12"/>
                <w:szCs w:val="12"/>
              </w:rPr>
              <w:t>11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64A407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997AD0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AD5792D"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7A967D99" w14:textId="77777777" w:rsidR="00000000" w:rsidRDefault="00195E73">
            <w:pPr>
              <w:jc w:val="right"/>
              <w:rPr>
                <w:rFonts w:eastAsia="Times New Roman"/>
              </w:rPr>
            </w:pPr>
            <w:r>
              <w:rPr>
                <w:rFonts w:eastAsia="Times New Roman"/>
                <w:color w:val="000000"/>
                <w:sz w:val="12"/>
                <w:szCs w:val="12"/>
              </w:rPr>
              <w:t>652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A5D570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9DFCE7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A00132E"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7FEC99C8" w14:textId="77777777" w:rsidR="00000000" w:rsidRDefault="00195E73">
            <w:pPr>
              <w:jc w:val="right"/>
              <w:rPr>
                <w:rFonts w:eastAsia="Times New Roman"/>
              </w:rPr>
            </w:pPr>
            <w:r>
              <w:rPr>
                <w:rFonts w:eastAsia="Times New Roman"/>
                <w:color w:val="000000"/>
                <w:sz w:val="12"/>
                <w:szCs w:val="12"/>
              </w:rPr>
              <w:t>46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2D4983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0DFB0D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08F4F64"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54E586C5" w14:textId="77777777" w:rsidR="00000000" w:rsidRDefault="00195E73">
            <w:pPr>
              <w:jc w:val="right"/>
              <w:rPr>
                <w:rFonts w:eastAsia="Times New Roman"/>
              </w:rPr>
            </w:pPr>
            <w:r>
              <w:rPr>
                <w:rFonts w:eastAsia="Times New Roman"/>
                <w:color w:val="000000"/>
                <w:sz w:val="12"/>
                <w:szCs w:val="12"/>
              </w:rPr>
              <w:t>22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4700C6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999C22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AB97AF3"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8AEABFF"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00928E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A72386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AE97F49"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5AC4E723" w14:textId="77777777" w:rsidR="00000000" w:rsidRDefault="00195E73">
            <w:pPr>
              <w:jc w:val="right"/>
              <w:rPr>
                <w:rFonts w:eastAsia="Times New Roman"/>
              </w:rPr>
            </w:pPr>
            <w:r>
              <w:rPr>
                <w:rFonts w:eastAsia="Times New Roman"/>
                <w:color w:val="000000"/>
                <w:sz w:val="12"/>
                <w:szCs w:val="12"/>
              </w:rPr>
              <w:t>53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EE41ED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07F812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68BBD91"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9F4472E"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B5B91F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2FAA96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541F956"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6F072A1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0E58F2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1B11E24" w14:textId="77777777" w:rsidR="00000000" w:rsidRDefault="00195E73">
            <w:pPr>
              <w:jc w:val="right"/>
              <w:rPr>
                <w:rFonts w:eastAsia="Times New Roman"/>
              </w:rPr>
            </w:pPr>
          </w:p>
        </w:tc>
        <w:tc>
          <w:tcPr>
            <w:tcW w:w="0" w:type="auto"/>
            <w:vAlign w:val="center"/>
            <w:hideMark/>
          </w:tcPr>
          <w:p w14:paraId="02DDF831" w14:textId="77777777" w:rsidR="00000000" w:rsidRDefault="00195E73">
            <w:pPr>
              <w:rPr>
                <w:rFonts w:eastAsia="Times New Roman"/>
                <w:sz w:val="20"/>
                <w:szCs w:val="20"/>
              </w:rPr>
            </w:pPr>
          </w:p>
        </w:tc>
        <w:tc>
          <w:tcPr>
            <w:tcW w:w="0" w:type="auto"/>
            <w:vAlign w:val="center"/>
            <w:hideMark/>
          </w:tcPr>
          <w:p w14:paraId="188715C1" w14:textId="77777777" w:rsidR="00000000" w:rsidRDefault="00195E73">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115A3CD1"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DDBE508" w14:textId="77777777" w:rsidR="00000000" w:rsidRDefault="00195E73">
            <w:pPr>
              <w:jc w:val="right"/>
              <w:rPr>
                <w:rFonts w:eastAsia="Times New Roman"/>
              </w:rPr>
            </w:pPr>
            <w:r>
              <w:rPr>
                <w:rFonts w:eastAsia="Times New Roman"/>
                <w:color w:val="000000"/>
                <w:sz w:val="12"/>
                <w:szCs w:val="12"/>
              </w:rPr>
              <w:t>3,006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7EE4C36"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5BEE611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30FDFBC"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3,794</w:t>
            </w:r>
            <w:r>
              <w:rPr>
                <w:rFonts w:eastAsia="Times New Roman"/>
                <w:color w:val="000000"/>
                <w:sz w:val="12"/>
                <w:szCs w:val="12"/>
              </w:rPr>
              <w:t> </w:t>
            </w:r>
            <w:r>
              <w:rPr>
                <w:rFonts w:eastAsia="Times New Roman"/>
                <w:color w:val="000000"/>
                <w:sz w:val="12"/>
                <w:szCs w:val="12"/>
              </w:rPr>
              <w:t> </w:t>
            </w:r>
          </w:p>
        </w:tc>
      </w:tr>
      <w:tr w:rsidR="00195E73" w14:paraId="0CE26E26" w14:textId="77777777">
        <w:trPr>
          <w:divId w:val="945890840"/>
          <w:jc w:val="center"/>
        </w:trPr>
        <w:tc>
          <w:tcPr>
            <w:tcW w:w="0" w:type="auto"/>
            <w:gridSpan w:val="3"/>
            <w:shd w:val="clear" w:color="auto" w:fill="FFFFFF"/>
            <w:tcMar>
              <w:top w:w="30" w:type="dxa"/>
              <w:left w:w="20" w:type="dxa"/>
              <w:bottom w:w="30" w:type="dxa"/>
              <w:right w:w="20" w:type="dxa"/>
            </w:tcMar>
            <w:vAlign w:val="bottom"/>
            <w:hideMark/>
          </w:tcPr>
          <w:p w14:paraId="734EEED8" w14:textId="77777777" w:rsidR="00000000" w:rsidRDefault="00195E73">
            <w:pPr>
              <w:ind w:hanging="180"/>
              <w:divId w:val="322587416"/>
              <w:rPr>
                <w:rFonts w:eastAsia="Times New Roman"/>
              </w:rPr>
            </w:pPr>
            <w:r>
              <w:rPr>
                <w:rFonts w:eastAsia="Times New Roman"/>
                <w:color w:val="000000"/>
                <w:sz w:val="12"/>
                <w:szCs w:val="12"/>
              </w:rPr>
              <w:t>Cash held at consolidated affiliated partnerships and restricted cas</w:t>
            </w:r>
            <w:r>
              <w:rPr>
                <w:rFonts w:eastAsia="Times New Roman"/>
                <w:color w:val="000000"/>
                <w:sz w:val="12"/>
                <w:szCs w:val="12"/>
              </w:rPr>
              <w:t>h</w:t>
            </w:r>
          </w:p>
        </w:tc>
        <w:tc>
          <w:tcPr>
            <w:tcW w:w="0" w:type="auto"/>
            <w:gridSpan w:val="2"/>
            <w:shd w:val="clear" w:color="auto" w:fill="FFFFFF"/>
            <w:tcMar>
              <w:top w:w="30" w:type="dxa"/>
              <w:left w:w="20" w:type="dxa"/>
              <w:bottom w:w="30" w:type="dxa"/>
              <w:right w:w="0" w:type="dxa"/>
            </w:tcMar>
            <w:vAlign w:val="bottom"/>
            <w:hideMark/>
          </w:tcPr>
          <w:p w14:paraId="362DD3C6" w14:textId="77777777" w:rsidR="00000000" w:rsidRDefault="00195E73">
            <w:pPr>
              <w:jc w:val="right"/>
              <w:rPr>
                <w:rFonts w:eastAsia="Times New Roman"/>
              </w:rPr>
            </w:pPr>
            <w:r>
              <w:rPr>
                <w:rFonts w:eastAsia="Times New Roman"/>
                <w:color w:val="000000"/>
                <w:sz w:val="12"/>
                <w:szCs w:val="12"/>
              </w:rPr>
              <w:t>989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7221DC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2DD6D1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AF6A6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B925AE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8B5DCB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E1CE1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8AC589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6CF8BF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389CC1"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DE269C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2011D6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D2135E" w14:textId="77777777" w:rsidR="00000000" w:rsidRDefault="00195E73">
            <w:pPr>
              <w:jc w:val="right"/>
              <w:rPr>
                <w:rFonts w:eastAsia="Times New Roman"/>
              </w:rPr>
            </w:pPr>
            <w:r>
              <w:rPr>
                <w:rFonts w:eastAsia="Times New Roman"/>
                <w:color w:val="000000"/>
                <w:sz w:val="12"/>
                <w:szCs w:val="12"/>
              </w:rPr>
              <w:t>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93DEF4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810CFA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FC2717"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F74983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70131C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E076EB" w14:textId="77777777" w:rsidR="00000000" w:rsidRDefault="00195E73">
            <w:pPr>
              <w:jc w:val="right"/>
              <w:rPr>
                <w:rFonts w:eastAsia="Times New Roman"/>
              </w:rPr>
            </w:pPr>
            <w:r>
              <w:rPr>
                <w:rFonts w:eastAsia="Times New Roman"/>
                <w:color w:val="000000"/>
                <w:sz w:val="12"/>
                <w:szCs w:val="12"/>
              </w:rPr>
              <w:t>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53EC90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4B1BE3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DC480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AC4505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84A2578" w14:textId="77777777" w:rsidR="00000000" w:rsidRDefault="00195E73">
            <w:pPr>
              <w:jc w:val="right"/>
              <w:rPr>
                <w:rFonts w:eastAsia="Times New Roman"/>
              </w:rPr>
            </w:pPr>
          </w:p>
        </w:tc>
        <w:tc>
          <w:tcPr>
            <w:tcW w:w="0" w:type="auto"/>
            <w:vAlign w:val="center"/>
            <w:hideMark/>
          </w:tcPr>
          <w:p w14:paraId="0F8C319B" w14:textId="77777777" w:rsidR="00000000" w:rsidRDefault="00195E73">
            <w:pPr>
              <w:rPr>
                <w:rFonts w:eastAsia="Times New Roman"/>
                <w:sz w:val="20"/>
                <w:szCs w:val="20"/>
              </w:rPr>
            </w:pPr>
          </w:p>
        </w:tc>
        <w:tc>
          <w:tcPr>
            <w:tcW w:w="0" w:type="auto"/>
            <w:vAlign w:val="center"/>
            <w:hideMark/>
          </w:tcPr>
          <w:p w14:paraId="1057C5F4"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51CF6D" w14:textId="77777777" w:rsidR="00000000" w:rsidRDefault="00195E73">
            <w:pPr>
              <w:jc w:val="right"/>
              <w:rPr>
                <w:rFonts w:eastAsia="Times New Roman"/>
              </w:rPr>
            </w:pPr>
            <w:r>
              <w:rPr>
                <w:rFonts w:eastAsia="Times New Roman"/>
                <w:color w:val="000000"/>
                <w:sz w:val="12"/>
                <w:szCs w:val="12"/>
              </w:rPr>
              <w:t>146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78F3B66"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7CE697BC"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55805C7" w14:textId="77777777" w:rsidR="00000000" w:rsidRDefault="00195E73">
            <w:pPr>
              <w:jc w:val="right"/>
              <w:rPr>
                <w:rFonts w:eastAsia="Times New Roman"/>
              </w:rPr>
            </w:pPr>
            <w:r>
              <w:rPr>
                <w:rFonts w:eastAsia="Times New Roman"/>
                <w:color w:val="000000"/>
                <w:sz w:val="12"/>
                <w:szCs w:val="12"/>
              </w:rPr>
              <w:t>1,151</w:t>
            </w:r>
            <w:r>
              <w:rPr>
                <w:rFonts w:eastAsia="Times New Roman"/>
                <w:color w:val="000000"/>
                <w:sz w:val="12"/>
                <w:szCs w:val="12"/>
              </w:rPr>
              <w:t> </w:t>
            </w:r>
            <w:r>
              <w:rPr>
                <w:rFonts w:eastAsia="Times New Roman"/>
                <w:color w:val="000000"/>
                <w:sz w:val="12"/>
                <w:szCs w:val="12"/>
              </w:rPr>
              <w:t> </w:t>
            </w:r>
          </w:p>
        </w:tc>
      </w:tr>
      <w:tr w:rsidR="00195E73" w14:paraId="2712A6D6" w14:textId="77777777">
        <w:trPr>
          <w:divId w:val="945890840"/>
          <w:jc w:val="center"/>
        </w:trPr>
        <w:tc>
          <w:tcPr>
            <w:tcW w:w="0" w:type="auto"/>
            <w:gridSpan w:val="3"/>
            <w:shd w:val="clear" w:color="auto" w:fill="CCEEFF"/>
            <w:tcMar>
              <w:top w:w="30" w:type="dxa"/>
              <w:left w:w="20" w:type="dxa"/>
              <w:bottom w:w="30" w:type="dxa"/>
              <w:right w:w="20" w:type="dxa"/>
            </w:tcMar>
            <w:vAlign w:val="bottom"/>
            <w:hideMark/>
          </w:tcPr>
          <w:p w14:paraId="65A86CE3" w14:textId="77777777" w:rsidR="00000000" w:rsidRDefault="00195E73">
            <w:pPr>
              <w:rPr>
                <w:rFonts w:eastAsia="Times New Roman"/>
              </w:rPr>
            </w:pPr>
            <w:r>
              <w:rPr>
                <w:rFonts w:eastAsia="Times New Roman"/>
                <w:color w:val="000000"/>
                <w:sz w:val="12"/>
                <w:szCs w:val="12"/>
              </w:rPr>
              <w:t>Investment</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09662C71" w14:textId="77777777" w:rsidR="00000000" w:rsidRDefault="00195E73">
            <w:pPr>
              <w:jc w:val="right"/>
              <w:rPr>
                <w:rFonts w:eastAsia="Times New Roman"/>
              </w:rPr>
            </w:pPr>
            <w:r>
              <w:rPr>
                <w:rFonts w:eastAsia="Times New Roman"/>
                <w:color w:val="000000"/>
                <w:sz w:val="12"/>
                <w:szCs w:val="12"/>
              </w:rPr>
              <w:t>9,207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FC394B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D2CE3A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268032" w14:textId="77777777" w:rsidR="00000000" w:rsidRDefault="00195E73">
            <w:pPr>
              <w:jc w:val="right"/>
              <w:rPr>
                <w:rFonts w:eastAsia="Times New Roman"/>
              </w:rPr>
            </w:pPr>
            <w:r>
              <w:rPr>
                <w:rFonts w:eastAsia="Times New Roman"/>
                <w:color w:val="000000"/>
                <w:sz w:val="12"/>
                <w:szCs w:val="12"/>
              </w:rPr>
              <w:t>81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610C1D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BE8965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DB7307" w14:textId="77777777" w:rsidR="00000000" w:rsidRDefault="00195E73">
            <w:pPr>
              <w:jc w:val="right"/>
              <w:rPr>
                <w:rFonts w:eastAsia="Times New Roman"/>
              </w:rPr>
            </w:pPr>
            <w:r>
              <w:rPr>
                <w:rFonts w:eastAsia="Times New Roman"/>
                <w:color w:val="000000"/>
                <w:sz w:val="12"/>
                <w:szCs w:val="12"/>
              </w:rPr>
              <w:t>120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1D87F9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9A4094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054DA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77FC2A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B5A434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D2C0E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03EF87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ACDEC6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F40896" w14:textId="77777777" w:rsidR="00000000" w:rsidRDefault="00195E73">
            <w:pPr>
              <w:jc w:val="right"/>
              <w:rPr>
                <w:rFonts w:eastAsia="Times New Roman"/>
              </w:rPr>
            </w:pPr>
            <w:r>
              <w:rPr>
                <w:rFonts w:eastAsia="Times New Roman"/>
                <w:color w:val="000000"/>
                <w:sz w:val="12"/>
                <w:szCs w:val="12"/>
              </w:rPr>
              <w:t>15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4FA270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BB8FF4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2633A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B98D7B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199B62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EE833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92D790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089C2EA" w14:textId="77777777" w:rsidR="00000000" w:rsidRDefault="00195E73">
            <w:pPr>
              <w:jc w:val="right"/>
              <w:rPr>
                <w:rFonts w:eastAsia="Times New Roman"/>
              </w:rPr>
            </w:pPr>
          </w:p>
        </w:tc>
        <w:tc>
          <w:tcPr>
            <w:tcW w:w="0" w:type="auto"/>
            <w:vAlign w:val="center"/>
            <w:hideMark/>
          </w:tcPr>
          <w:p w14:paraId="600740A8" w14:textId="77777777" w:rsidR="00000000" w:rsidRDefault="00195E73">
            <w:pPr>
              <w:rPr>
                <w:rFonts w:eastAsia="Times New Roman"/>
                <w:sz w:val="20"/>
                <w:szCs w:val="20"/>
              </w:rPr>
            </w:pPr>
          </w:p>
        </w:tc>
        <w:tc>
          <w:tcPr>
            <w:tcW w:w="0" w:type="auto"/>
            <w:vAlign w:val="center"/>
            <w:hideMark/>
          </w:tcPr>
          <w:p w14:paraId="114848F9"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242711" w14:textId="77777777" w:rsidR="00000000" w:rsidRDefault="00195E73">
            <w:pPr>
              <w:jc w:val="right"/>
              <w:rPr>
                <w:rFonts w:eastAsia="Times New Roman"/>
              </w:rPr>
            </w:pPr>
            <w:r>
              <w:rPr>
                <w:rFonts w:eastAsia="Times New Roman"/>
                <w:color w:val="000000"/>
                <w:sz w:val="12"/>
                <w:szCs w:val="12"/>
              </w:rPr>
              <w:t>522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EFB69E8"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5E1A9BA2"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DD17217" w14:textId="77777777" w:rsidR="00000000" w:rsidRDefault="00195E73">
            <w:pPr>
              <w:jc w:val="right"/>
              <w:rPr>
                <w:rFonts w:eastAsia="Times New Roman"/>
              </w:rPr>
            </w:pPr>
            <w:r>
              <w:rPr>
                <w:rFonts w:eastAsia="Times New Roman"/>
                <w:color w:val="000000"/>
                <w:sz w:val="12"/>
                <w:szCs w:val="12"/>
              </w:rPr>
              <w:t>9,945</w:t>
            </w:r>
            <w:r>
              <w:rPr>
                <w:rFonts w:eastAsia="Times New Roman"/>
                <w:color w:val="000000"/>
                <w:sz w:val="12"/>
                <w:szCs w:val="12"/>
              </w:rPr>
              <w:t> </w:t>
            </w:r>
            <w:r>
              <w:rPr>
                <w:rFonts w:eastAsia="Times New Roman"/>
                <w:color w:val="000000"/>
                <w:sz w:val="12"/>
                <w:szCs w:val="12"/>
              </w:rPr>
              <w:t> </w:t>
            </w:r>
          </w:p>
        </w:tc>
      </w:tr>
      <w:tr w:rsidR="00195E73" w14:paraId="4488E7A1" w14:textId="77777777">
        <w:trPr>
          <w:divId w:val="945890840"/>
          <w:jc w:val="center"/>
        </w:trPr>
        <w:tc>
          <w:tcPr>
            <w:tcW w:w="0" w:type="auto"/>
            <w:gridSpan w:val="3"/>
            <w:shd w:val="clear" w:color="auto" w:fill="FFFFFF"/>
            <w:tcMar>
              <w:top w:w="30" w:type="dxa"/>
              <w:left w:w="20" w:type="dxa"/>
              <w:bottom w:w="30" w:type="dxa"/>
              <w:right w:w="20" w:type="dxa"/>
            </w:tcMar>
            <w:vAlign w:val="bottom"/>
            <w:hideMark/>
          </w:tcPr>
          <w:p w14:paraId="1197285A" w14:textId="77777777" w:rsidR="00000000" w:rsidRDefault="00195E73">
            <w:pPr>
              <w:rPr>
                <w:rFonts w:eastAsia="Times New Roman"/>
              </w:rPr>
            </w:pPr>
            <w:r>
              <w:rPr>
                <w:rFonts w:eastAsia="Times New Roman"/>
                <w:color w:val="000000"/>
                <w:sz w:val="12"/>
                <w:szCs w:val="12"/>
              </w:rPr>
              <w:t>Accounts receivable, ne</w:t>
            </w:r>
            <w:r>
              <w:rPr>
                <w:rFonts w:eastAsia="Times New Roman"/>
                <w:color w:val="000000"/>
                <w:sz w:val="12"/>
                <w:szCs w:val="12"/>
              </w:rPr>
              <w:t>t</w:t>
            </w:r>
          </w:p>
        </w:tc>
        <w:tc>
          <w:tcPr>
            <w:tcW w:w="0" w:type="auto"/>
            <w:gridSpan w:val="2"/>
            <w:shd w:val="clear" w:color="auto" w:fill="FFFFFF"/>
            <w:tcMar>
              <w:top w:w="30" w:type="dxa"/>
              <w:left w:w="20" w:type="dxa"/>
              <w:bottom w:w="30" w:type="dxa"/>
              <w:right w:w="0" w:type="dxa"/>
            </w:tcMar>
            <w:vAlign w:val="bottom"/>
            <w:hideMark/>
          </w:tcPr>
          <w:p w14:paraId="6EF3B88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6FBA10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E5CB4F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96A558" w14:textId="77777777" w:rsidR="00000000" w:rsidRDefault="00195E73">
            <w:pPr>
              <w:jc w:val="right"/>
              <w:rPr>
                <w:rFonts w:eastAsia="Times New Roman"/>
              </w:rPr>
            </w:pPr>
            <w:r>
              <w:rPr>
                <w:rFonts w:eastAsia="Times New Roman"/>
                <w:color w:val="000000"/>
                <w:sz w:val="12"/>
                <w:szCs w:val="12"/>
              </w:rPr>
              <w:t>182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F51FD5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771647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285CAF" w14:textId="77777777" w:rsidR="00000000" w:rsidRDefault="00195E73">
            <w:pPr>
              <w:jc w:val="right"/>
              <w:rPr>
                <w:rFonts w:eastAsia="Times New Roman"/>
              </w:rPr>
            </w:pPr>
            <w:r>
              <w:rPr>
                <w:rFonts w:eastAsia="Times New Roman"/>
                <w:color w:val="000000"/>
                <w:sz w:val="12"/>
                <w:szCs w:val="12"/>
              </w:rPr>
              <w:t>143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B78808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8E7F53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B80D75" w14:textId="77777777" w:rsidR="00000000" w:rsidRDefault="00195E73">
            <w:pPr>
              <w:jc w:val="right"/>
              <w:rPr>
                <w:rFonts w:eastAsia="Times New Roman"/>
              </w:rPr>
            </w:pPr>
            <w:r>
              <w:rPr>
                <w:rFonts w:eastAsia="Times New Roman"/>
                <w:color w:val="000000"/>
                <w:sz w:val="12"/>
                <w:szCs w:val="12"/>
              </w:rPr>
              <w:t>78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0E93BB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EA498C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85ADBC" w14:textId="77777777" w:rsidR="00000000" w:rsidRDefault="00195E73">
            <w:pPr>
              <w:jc w:val="right"/>
              <w:rPr>
                <w:rFonts w:eastAsia="Times New Roman"/>
              </w:rPr>
            </w:pPr>
            <w:r>
              <w:rPr>
                <w:rFonts w:eastAsia="Times New Roman"/>
                <w:color w:val="000000"/>
                <w:sz w:val="12"/>
                <w:szCs w:val="12"/>
              </w:rPr>
              <w:t>32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266DBF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F1258D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E636F2" w14:textId="77777777" w:rsidR="00000000" w:rsidRDefault="00195E73">
            <w:pPr>
              <w:jc w:val="right"/>
              <w:rPr>
                <w:rFonts w:eastAsia="Times New Roman"/>
              </w:rPr>
            </w:pPr>
            <w:r>
              <w:rPr>
                <w:rFonts w:eastAsia="Times New Roman"/>
                <w:color w:val="000000"/>
                <w:sz w:val="12"/>
                <w:szCs w:val="12"/>
              </w:rPr>
              <w:t>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3D6C6C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19439C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794257" w14:textId="77777777" w:rsidR="00000000" w:rsidRDefault="00195E73">
            <w:pPr>
              <w:jc w:val="right"/>
              <w:rPr>
                <w:rFonts w:eastAsia="Times New Roman"/>
              </w:rPr>
            </w:pPr>
            <w:r>
              <w:rPr>
                <w:rFonts w:eastAsia="Times New Roman"/>
                <w:color w:val="000000"/>
                <w:sz w:val="12"/>
                <w:szCs w:val="12"/>
              </w:rPr>
              <w:t>36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CF2BC2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729E98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EFEDE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88784E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2014ECF" w14:textId="77777777" w:rsidR="00000000" w:rsidRDefault="00195E73">
            <w:pPr>
              <w:jc w:val="right"/>
              <w:rPr>
                <w:rFonts w:eastAsia="Times New Roman"/>
              </w:rPr>
            </w:pPr>
          </w:p>
        </w:tc>
        <w:tc>
          <w:tcPr>
            <w:tcW w:w="0" w:type="auto"/>
            <w:vAlign w:val="center"/>
            <w:hideMark/>
          </w:tcPr>
          <w:p w14:paraId="27390EFA" w14:textId="77777777" w:rsidR="00000000" w:rsidRDefault="00195E73">
            <w:pPr>
              <w:rPr>
                <w:rFonts w:eastAsia="Times New Roman"/>
                <w:sz w:val="20"/>
                <w:szCs w:val="20"/>
              </w:rPr>
            </w:pPr>
          </w:p>
        </w:tc>
        <w:tc>
          <w:tcPr>
            <w:tcW w:w="0" w:type="auto"/>
            <w:vAlign w:val="center"/>
            <w:hideMark/>
          </w:tcPr>
          <w:p w14:paraId="53005400"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A3734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F89EDCA"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1974426A"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C24A2DE" w14:textId="77777777" w:rsidR="00000000" w:rsidRDefault="00195E73">
            <w:pPr>
              <w:jc w:val="right"/>
              <w:rPr>
                <w:rFonts w:eastAsia="Times New Roman"/>
              </w:rPr>
            </w:pPr>
            <w:r>
              <w:rPr>
                <w:rFonts w:eastAsia="Times New Roman"/>
                <w:color w:val="000000"/>
                <w:sz w:val="12"/>
                <w:szCs w:val="12"/>
              </w:rPr>
              <w:t>475</w:t>
            </w:r>
            <w:r>
              <w:rPr>
                <w:rFonts w:eastAsia="Times New Roman"/>
                <w:color w:val="000000"/>
                <w:sz w:val="12"/>
                <w:szCs w:val="12"/>
              </w:rPr>
              <w:t> </w:t>
            </w:r>
            <w:r>
              <w:rPr>
                <w:rFonts w:eastAsia="Times New Roman"/>
                <w:color w:val="000000"/>
                <w:sz w:val="12"/>
                <w:szCs w:val="12"/>
              </w:rPr>
              <w:t> </w:t>
            </w:r>
          </w:p>
        </w:tc>
      </w:tr>
      <w:tr w:rsidR="00195E73" w14:paraId="65EE6622" w14:textId="77777777">
        <w:trPr>
          <w:divId w:val="945890840"/>
          <w:jc w:val="center"/>
        </w:trPr>
        <w:tc>
          <w:tcPr>
            <w:tcW w:w="0" w:type="auto"/>
            <w:gridSpan w:val="3"/>
            <w:shd w:val="clear" w:color="auto" w:fill="CCEEFF"/>
            <w:tcMar>
              <w:top w:w="30" w:type="dxa"/>
              <w:left w:w="20" w:type="dxa"/>
              <w:bottom w:w="30" w:type="dxa"/>
              <w:right w:w="20" w:type="dxa"/>
            </w:tcMar>
            <w:vAlign w:val="bottom"/>
            <w:hideMark/>
          </w:tcPr>
          <w:p w14:paraId="532AE22E" w14:textId="77777777" w:rsidR="00000000" w:rsidRDefault="00195E73">
            <w:pPr>
              <w:rPr>
                <w:rFonts w:eastAsia="Times New Roman"/>
              </w:rPr>
            </w:pPr>
            <w:r>
              <w:rPr>
                <w:rFonts w:eastAsia="Times New Roman"/>
                <w:color w:val="000000"/>
                <w:sz w:val="12"/>
                <w:szCs w:val="12"/>
              </w:rPr>
              <w:t>Inventories, ne</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2F33DE9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3F0406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2E42DB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BAFEED" w14:textId="77777777" w:rsidR="00000000" w:rsidRDefault="00195E73">
            <w:pPr>
              <w:jc w:val="right"/>
              <w:rPr>
                <w:rFonts w:eastAsia="Times New Roman"/>
              </w:rPr>
            </w:pPr>
            <w:r>
              <w:rPr>
                <w:rFonts w:eastAsia="Times New Roman"/>
                <w:color w:val="000000"/>
                <w:sz w:val="12"/>
                <w:szCs w:val="12"/>
              </w:rPr>
              <w:t>390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ED2B97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520FAB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402AEF" w14:textId="77777777" w:rsidR="00000000" w:rsidRDefault="00195E73">
            <w:pPr>
              <w:jc w:val="right"/>
              <w:rPr>
                <w:rFonts w:eastAsia="Times New Roman"/>
              </w:rPr>
            </w:pPr>
            <w:r>
              <w:rPr>
                <w:rFonts w:eastAsia="Times New Roman"/>
                <w:color w:val="000000"/>
                <w:sz w:val="12"/>
                <w:szCs w:val="12"/>
              </w:rPr>
              <w:t>1,215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1BBD97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E93288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86FC57" w14:textId="77777777" w:rsidR="00000000" w:rsidRDefault="00195E73">
            <w:pPr>
              <w:jc w:val="right"/>
              <w:rPr>
                <w:rFonts w:eastAsia="Times New Roman"/>
              </w:rPr>
            </w:pPr>
            <w:r>
              <w:rPr>
                <w:rFonts w:eastAsia="Times New Roman"/>
                <w:color w:val="000000"/>
                <w:sz w:val="12"/>
                <w:szCs w:val="12"/>
              </w:rPr>
              <w:t>100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B8B771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0646CF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B54819" w14:textId="77777777" w:rsidR="00000000" w:rsidRDefault="00195E73">
            <w:pPr>
              <w:jc w:val="right"/>
              <w:rPr>
                <w:rFonts w:eastAsia="Times New Roman"/>
              </w:rPr>
            </w:pPr>
            <w:r>
              <w:rPr>
                <w:rFonts w:eastAsia="Times New Roman"/>
                <w:color w:val="000000"/>
                <w:sz w:val="12"/>
                <w:szCs w:val="12"/>
              </w:rPr>
              <w:t>32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09BD76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5A3489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25595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7E25D0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218261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79476C" w14:textId="77777777" w:rsidR="00000000" w:rsidRDefault="00195E73">
            <w:pPr>
              <w:jc w:val="right"/>
              <w:rPr>
                <w:rFonts w:eastAsia="Times New Roman"/>
              </w:rPr>
            </w:pPr>
            <w:r>
              <w:rPr>
                <w:rFonts w:eastAsia="Times New Roman"/>
                <w:color w:val="000000"/>
                <w:sz w:val="12"/>
                <w:szCs w:val="12"/>
              </w:rPr>
              <w:t>75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EB5CDC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FA4397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3C581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80DA6A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EC04025" w14:textId="77777777" w:rsidR="00000000" w:rsidRDefault="00195E73">
            <w:pPr>
              <w:jc w:val="right"/>
              <w:rPr>
                <w:rFonts w:eastAsia="Times New Roman"/>
              </w:rPr>
            </w:pPr>
          </w:p>
        </w:tc>
        <w:tc>
          <w:tcPr>
            <w:tcW w:w="0" w:type="auto"/>
            <w:vAlign w:val="center"/>
            <w:hideMark/>
          </w:tcPr>
          <w:p w14:paraId="7069AAAC" w14:textId="77777777" w:rsidR="00000000" w:rsidRDefault="00195E73">
            <w:pPr>
              <w:rPr>
                <w:rFonts w:eastAsia="Times New Roman"/>
                <w:sz w:val="20"/>
                <w:szCs w:val="20"/>
              </w:rPr>
            </w:pPr>
          </w:p>
        </w:tc>
        <w:tc>
          <w:tcPr>
            <w:tcW w:w="0" w:type="auto"/>
            <w:vAlign w:val="center"/>
            <w:hideMark/>
          </w:tcPr>
          <w:p w14:paraId="20C58385"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5342A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932045A"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2EDD9CD4"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6D64A55" w14:textId="77777777" w:rsidR="00000000" w:rsidRDefault="00195E73">
            <w:pPr>
              <w:jc w:val="right"/>
              <w:rPr>
                <w:rFonts w:eastAsia="Times New Roman"/>
              </w:rPr>
            </w:pPr>
            <w:r>
              <w:rPr>
                <w:rFonts w:eastAsia="Times New Roman"/>
                <w:color w:val="000000"/>
                <w:sz w:val="12"/>
                <w:szCs w:val="12"/>
              </w:rPr>
              <w:t>1,812</w:t>
            </w:r>
            <w:r>
              <w:rPr>
                <w:rFonts w:eastAsia="Times New Roman"/>
                <w:color w:val="000000"/>
                <w:sz w:val="12"/>
                <w:szCs w:val="12"/>
              </w:rPr>
              <w:t> </w:t>
            </w:r>
            <w:r>
              <w:rPr>
                <w:rFonts w:eastAsia="Times New Roman"/>
                <w:color w:val="000000"/>
                <w:sz w:val="12"/>
                <w:szCs w:val="12"/>
              </w:rPr>
              <w:t> </w:t>
            </w:r>
          </w:p>
        </w:tc>
      </w:tr>
      <w:tr w:rsidR="00195E73" w14:paraId="71243740" w14:textId="77777777">
        <w:trPr>
          <w:divId w:val="945890840"/>
          <w:jc w:val="center"/>
        </w:trPr>
        <w:tc>
          <w:tcPr>
            <w:tcW w:w="0" w:type="auto"/>
            <w:gridSpan w:val="3"/>
            <w:shd w:val="clear" w:color="auto" w:fill="FFFFFF"/>
            <w:tcMar>
              <w:top w:w="30" w:type="dxa"/>
              <w:left w:w="20" w:type="dxa"/>
              <w:bottom w:w="30" w:type="dxa"/>
              <w:right w:w="20" w:type="dxa"/>
            </w:tcMar>
            <w:vAlign w:val="bottom"/>
            <w:hideMark/>
          </w:tcPr>
          <w:p w14:paraId="05D11C98" w14:textId="77777777" w:rsidR="00000000" w:rsidRDefault="00195E73">
            <w:pPr>
              <w:rPr>
                <w:rFonts w:eastAsia="Times New Roman"/>
              </w:rPr>
            </w:pPr>
            <w:r>
              <w:rPr>
                <w:rFonts w:eastAsia="Times New Roman"/>
                <w:color w:val="000000"/>
                <w:sz w:val="12"/>
                <w:szCs w:val="12"/>
              </w:rPr>
              <w:t>Property, plant and equipment, ne</w:t>
            </w:r>
            <w:r>
              <w:rPr>
                <w:rFonts w:eastAsia="Times New Roman"/>
                <w:color w:val="000000"/>
                <w:sz w:val="12"/>
                <w:szCs w:val="12"/>
              </w:rPr>
              <w:t>t</w:t>
            </w:r>
          </w:p>
        </w:tc>
        <w:tc>
          <w:tcPr>
            <w:tcW w:w="0" w:type="auto"/>
            <w:gridSpan w:val="2"/>
            <w:shd w:val="clear" w:color="auto" w:fill="FFFFFF"/>
            <w:tcMar>
              <w:top w:w="30" w:type="dxa"/>
              <w:left w:w="20" w:type="dxa"/>
              <w:bottom w:w="30" w:type="dxa"/>
              <w:right w:w="0" w:type="dxa"/>
            </w:tcMar>
            <w:vAlign w:val="bottom"/>
            <w:hideMark/>
          </w:tcPr>
          <w:p w14:paraId="4242987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FDFA4E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1C6416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C8068C" w14:textId="77777777" w:rsidR="00000000" w:rsidRDefault="00195E73">
            <w:pPr>
              <w:jc w:val="right"/>
              <w:rPr>
                <w:rFonts w:eastAsia="Times New Roman"/>
              </w:rPr>
            </w:pPr>
            <w:r>
              <w:rPr>
                <w:rFonts w:eastAsia="Times New Roman"/>
                <w:color w:val="000000"/>
                <w:sz w:val="12"/>
                <w:szCs w:val="12"/>
              </w:rPr>
              <w:t>2,888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DB02BE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A9157A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DC323A" w14:textId="77777777" w:rsidR="00000000" w:rsidRDefault="00195E73">
            <w:pPr>
              <w:jc w:val="right"/>
              <w:rPr>
                <w:rFonts w:eastAsia="Times New Roman"/>
              </w:rPr>
            </w:pPr>
            <w:r>
              <w:rPr>
                <w:rFonts w:eastAsia="Times New Roman"/>
                <w:color w:val="000000"/>
                <w:sz w:val="12"/>
                <w:szCs w:val="12"/>
              </w:rPr>
              <w:t>916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E7FBA6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51DF6E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94CEE8" w14:textId="77777777" w:rsidR="00000000" w:rsidRDefault="00195E73">
            <w:pPr>
              <w:jc w:val="right"/>
              <w:rPr>
                <w:rFonts w:eastAsia="Times New Roman"/>
              </w:rPr>
            </w:pPr>
            <w:r>
              <w:rPr>
                <w:rFonts w:eastAsia="Times New Roman"/>
                <w:color w:val="000000"/>
                <w:sz w:val="12"/>
                <w:szCs w:val="12"/>
              </w:rPr>
              <w:t>161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CD28AD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42493B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44F116" w14:textId="77777777" w:rsidR="00000000" w:rsidRDefault="00195E73">
            <w:pPr>
              <w:jc w:val="right"/>
              <w:rPr>
                <w:rFonts w:eastAsia="Times New Roman"/>
              </w:rPr>
            </w:pPr>
            <w:r>
              <w:rPr>
                <w:rFonts w:eastAsia="Times New Roman"/>
                <w:color w:val="000000"/>
                <w:sz w:val="12"/>
                <w:szCs w:val="12"/>
              </w:rPr>
              <w:t>122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1E1A5A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89C7DD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936A5C" w14:textId="77777777" w:rsidR="00000000" w:rsidRDefault="00195E73">
            <w:pPr>
              <w:jc w:val="right"/>
              <w:rPr>
                <w:rFonts w:eastAsia="Times New Roman"/>
              </w:rPr>
            </w:pPr>
            <w:r>
              <w:rPr>
                <w:rFonts w:eastAsia="Times New Roman"/>
                <w:color w:val="000000"/>
                <w:sz w:val="12"/>
                <w:szCs w:val="12"/>
              </w:rPr>
              <w:t>386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064151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A8968F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8BED18" w14:textId="77777777" w:rsidR="00000000" w:rsidRDefault="00195E73">
            <w:pPr>
              <w:jc w:val="right"/>
              <w:rPr>
                <w:rFonts w:eastAsia="Times New Roman"/>
              </w:rPr>
            </w:pPr>
            <w:r>
              <w:rPr>
                <w:rFonts w:eastAsia="Times New Roman"/>
                <w:color w:val="000000"/>
                <w:sz w:val="12"/>
                <w:szCs w:val="12"/>
              </w:rPr>
              <w:t>68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713A21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73EF7B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B1343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A2DFA6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0ED0183" w14:textId="77777777" w:rsidR="00000000" w:rsidRDefault="00195E73">
            <w:pPr>
              <w:jc w:val="right"/>
              <w:rPr>
                <w:rFonts w:eastAsia="Times New Roman"/>
              </w:rPr>
            </w:pPr>
          </w:p>
        </w:tc>
        <w:tc>
          <w:tcPr>
            <w:tcW w:w="0" w:type="auto"/>
            <w:vAlign w:val="center"/>
            <w:hideMark/>
          </w:tcPr>
          <w:p w14:paraId="7F5FD73A" w14:textId="77777777" w:rsidR="00000000" w:rsidRDefault="00195E73">
            <w:pPr>
              <w:rPr>
                <w:rFonts w:eastAsia="Times New Roman"/>
                <w:sz w:val="20"/>
                <w:szCs w:val="20"/>
              </w:rPr>
            </w:pPr>
          </w:p>
        </w:tc>
        <w:tc>
          <w:tcPr>
            <w:tcW w:w="0" w:type="auto"/>
            <w:vAlign w:val="center"/>
            <w:hideMark/>
          </w:tcPr>
          <w:p w14:paraId="1AD0C7B4"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8A132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A0D2240"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34E7A062"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5008CBE" w14:textId="77777777" w:rsidR="00000000" w:rsidRDefault="00195E73">
            <w:pPr>
              <w:jc w:val="right"/>
              <w:rPr>
                <w:rFonts w:eastAsia="Times New Roman"/>
              </w:rPr>
            </w:pPr>
            <w:r>
              <w:rPr>
                <w:rFonts w:eastAsia="Times New Roman"/>
                <w:color w:val="000000"/>
                <w:sz w:val="12"/>
                <w:szCs w:val="12"/>
              </w:rPr>
              <w:t>4,541</w:t>
            </w:r>
            <w:r>
              <w:rPr>
                <w:rFonts w:eastAsia="Times New Roman"/>
                <w:color w:val="000000"/>
                <w:sz w:val="12"/>
                <w:szCs w:val="12"/>
              </w:rPr>
              <w:t> </w:t>
            </w:r>
            <w:r>
              <w:rPr>
                <w:rFonts w:eastAsia="Times New Roman"/>
                <w:color w:val="000000"/>
                <w:sz w:val="12"/>
                <w:szCs w:val="12"/>
              </w:rPr>
              <w:t> </w:t>
            </w:r>
          </w:p>
        </w:tc>
      </w:tr>
      <w:tr w:rsidR="00195E73" w14:paraId="6979304D" w14:textId="77777777">
        <w:trPr>
          <w:divId w:val="945890840"/>
          <w:jc w:val="center"/>
        </w:trPr>
        <w:tc>
          <w:tcPr>
            <w:tcW w:w="0" w:type="auto"/>
            <w:gridSpan w:val="3"/>
            <w:shd w:val="clear" w:color="auto" w:fill="CCEEFF"/>
            <w:tcMar>
              <w:top w:w="30" w:type="dxa"/>
              <w:left w:w="20" w:type="dxa"/>
              <w:bottom w:w="30" w:type="dxa"/>
              <w:right w:w="20" w:type="dxa"/>
            </w:tcMar>
            <w:vAlign w:val="bottom"/>
            <w:hideMark/>
          </w:tcPr>
          <w:p w14:paraId="1568977A" w14:textId="77777777" w:rsidR="00000000" w:rsidRDefault="00195E73">
            <w:pPr>
              <w:ind w:hanging="90"/>
              <w:divId w:val="2027754913"/>
              <w:rPr>
                <w:rFonts w:eastAsia="Times New Roman"/>
              </w:rPr>
            </w:pPr>
            <w:r>
              <w:rPr>
                <w:rFonts w:eastAsia="Times New Roman"/>
                <w:color w:val="000000"/>
                <w:sz w:val="12"/>
                <w:szCs w:val="12"/>
              </w:rPr>
              <w:t>Goodwill and intangible assets, ne</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6887D54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E0EA45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2C4893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D18987" w14:textId="77777777" w:rsidR="00000000" w:rsidRDefault="00195E73">
            <w:pPr>
              <w:jc w:val="right"/>
              <w:rPr>
                <w:rFonts w:eastAsia="Times New Roman"/>
              </w:rPr>
            </w:pPr>
            <w:r>
              <w:rPr>
                <w:rFonts w:eastAsia="Times New Roman"/>
                <w:color w:val="000000"/>
                <w:sz w:val="12"/>
                <w:szCs w:val="12"/>
              </w:rPr>
              <w:t>258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995EBD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78665B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F9BF3A" w14:textId="77777777" w:rsidR="00000000" w:rsidRDefault="00195E73">
            <w:pPr>
              <w:jc w:val="right"/>
              <w:rPr>
                <w:rFonts w:eastAsia="Times New Roman"/>
              </w:rPr>
            </w:pPr>
            <w:r>
              <w:rPr>
                <w:rFonts w:eastAsia="Times New Roman"/>
                <w:color w:val="000000"/>
                <w:sz w:val="12"/>
                <w:szCs w:val="12"/>
              </w:rPr>
              <w:t>382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D29FD6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EEBDA8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2BFD2E" w14:textId="77777777" w:rsidR="00000000" w:rsidRDefault="00195E73">
            <w:pPr>
              <w:jc w:val="right"/>
              <w:rPr>
                <w:rFonts w:eastAsia="Times New Roman"/>
              </w:rPr>
            </w:pPr>
            <w:r>
              <w:rPr>
                <w:rFonts w:eastAsia="Times New Roman"/>
                <w:color w:val="000000"/>
                <w:sz w:val="12"/>
                <w:szCs w:val="12"/>
              </w:rPr>
              <w:t>30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79CC32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3F66E4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F26B58" w14:textId="77777777" w:rsidR="00000000" w:rsidRDefault="00195E73">
            <w:pPr>
              <w:jc w:val="right"/>
              <w:rPr>
                <w:rFonts w:eastAsia="Times New Roman"/>
              </w:rPr>
            </w:pPr>
            <w:r>
              <w:rPr>
                <w:rFonts w:eastAsia="Times New Roman"/>
                <w:color w:val="000000"/>
                <w:sz w:val="12"/>
                <w:szCs w:val="12"/>
              </w:rPr>
              <w:t>11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20CF3F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5F86B9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44CC1C" w14:textId="77777777" w:rsidR="00000000" w:rsidRDefault="00195E73">
            <w:pPr>
              <w:jc w:val="right"/>
              <w:rPr>
                <w:rFonts w:eastAsia="Times New Roman"/>
              </w:rPr>
            </w:pPr>
            <w:r>
              <w:rPr>
                <w:rFonts w:eastAsia="Times New Roman"/>
                <w:color w:val="000000"/>
                <w:sz w:val="12"/>
                <w:szCs w:val="12"/>
              </w:rPr>
              <w:t>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8572DD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38702A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7E71B4" w14:textId="77777777" w:rsidR="00000000" w:rsidRDefault="00195E73">
            <w:pPr>
              <w:jc w:val="right"/>
              <w:rPr>
                <w:rFonts w:eastAsia="Times New Roman"/>
              </w:rPr>
            </w:pPr>
            <w:r>
              <w:rPr>
                <w:rFonts w:eastAsia="Times New Roman"/>
                <w:color w:val="000000"/>
                <w:sz w:val="12"/>
                <w:szCs w:val="12"/>
              </w:rPr>
              <w:t>24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6DCCB7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F76CCE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A0967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AB9EC9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9B612A7" w14:textId="77777777" w:rsidR="00000000" w:rsidRDefault="00195E73">
            <w:pPr>
              <w:jc w:val="right"/>
              <w:rPr>
                <w:rFonts w:eastAsia="Times New Roman"/>
              </w:rPr>
            </w:pPr>
          </w:p>
        </w:tc>
        <w:tc>
          <w:tcPr>
            <w:tcW w:w="0" w:type="auto"/>
            <w:vAlign w:val="center"/>
            <w:hideMark/>
          </w:tcPr>
          <w:p w14:paraId="68F67AB0" w14:textId="77777777" w:rsidR="00000000" w:rsidRDefault="00195E73">
            <w:pPr>
              <w:rPr>
                <w:rFonts w:eastAsia="Times New Roman"/>
                <w:sz w:val="20"/>
                <w:szCs w:val="20"/>
              </w:rPr>
            </w:pPr>
          </w:p>
        </w:tc>
        <w:tc>
          <w:tcPr>
            <w:tcW w:w="0" w:type="auto"/>
            <w:vAlign w:val="center"/>
            <w:hideMark/>
          </w:tcPr>
          <w:p w14:paraId="52CDB2F7"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77F5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FBC8BF1"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4F514888"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C587B25" w14:textId="77777777" w:rsidR="00000000" w:rsidRDefault="00195E73">
            <w:pPr>
              <w:jc w:val="right"/>
              <w:rPr>
                <w:rFonts w:eastAsia="Times New Roman"/>
              </w:rPr>
            </w:pPr>
            <w:r>
              <w:rPr>
                <w:rFonts w:eastAsia="Times New Roman"/>
                <w:color w:val="000000"/>
                <w:sz w:val="12"/>
                <w:szCs w:val="12"/>
              </w:rPr>
              <w:t>713</w:t>
            </w:r>
            <w:r>
              <w:rPr>
                <w:rFonts w:eastAsia="Times New Roman"/>
                <w:color w:val="000000"/>
                <w:sz w:val="12"/>
                <w:szCs w:val="12"/>
              </w:rPr>
              <w:t> </w:t>
            </w:r>
            <w:r>
              <w:rPr>
                <w:rFonts w:eastAsia="Times New Roman"/>
                <w:color w:val="000000"/>
                <w:sz w:val="12"/>
                <w:szCs w:val="12"/>
              </w:rPr>
              <w:t> </w:t>
            </w:r>
          </w:p>
        </w:tc>
      </w:tr>
      <w:tr w:rsidR="00195E73" w14:paraId="59B863D8" w14:textId="77777777">
        <w:trPr>
          <w:divId w:val="945890840"/>
          <w:jc w:val="center"/>
        </w:trPr>
        <w:tc>
          <w:tcPr>
            <w:tcW w:w="0" w:type="auto"/>
            <w:gridSpan w:val="3"/>
            <w:shd w:val="clear" w:color="auto" w:fill="FFFFFF"/>
            <w:tcMar>
              <w:top w:w="30" w:type="dxa"/>
              <w:left w:w="20" w:type="dxa"/>
              <w:bottom w:w="30" w:type="dxa"/>
              <w:right w:w="20" w:type="dxa"/>
            </w:tcMar>
            <w:vAlign w:val="bottom"/>
            <w:hideMark/>
          </w:tcPr>
          <w:p w14:paraId="693EEF88" w14:textId="77777777" w:rsidR="00000000" w:rsidRDefault="00195E73">
            <w:pPr>
              <w:rPr>
                <w:rFonts w:eastAsia="Times New Roman"/>
              </w:rPr>
            </w:pPr>
            <w:r>
              <w:rPr>
                <w:rFonts w:eastAsia="Times New Roman"/>
                <w:color w:val="000000"/>
                <w:sz w:val="12"/>
                <w:szCs w:val="12"/>
              </w:rPr>
              <w:t>Other asset</w:t>
            </w:r>
            <w:r>
              <w:rPr>
                <w:rFonts w:eastAsia="Times New Roman"/>
                <w:color w:val="000000"/>
                <w:sz w:val="12"/>
                <w:szCs w:val="12"/>
              </w:rPr>
              <w:t>s</w:t>
            </w:r>
          </w:p>
        </w:tc>
        <w:tc>
          <w:tcPr>
            <w:tcW w:w="0" w:type="auto"/>
            <w:gridSpan w:val="2"/>
            <w:shd w:val="clear" w:color="auto" w:fill="FFFFFF"/>
            <w:tcMar>
              <w:top w:w="30" w:type="dxa"/>
              <w:left w:w="20" w:type="dxa"/>
              <w:bottom w:w="30" w:type="dxa"/>
              <w:right w:w="0" w:type="dxa"/>
            </w:tcMar>
            <w:vAlign w:val="bottom"/>
            <w:hideMark/>
          </w:tcPr>
          <w:p w14:paraId="2E783463" w14:textId="77777777" w:rsidR="00000000" w:rsidRDefault="00195E73">
            <w:pPr>
              <w:jc w:val="right"/>
              <w:rPr>
                <w:rFonts w:eastAsia="Times New Roman"/>
              </w:rPr>
            </w:pPr>
            <w:r>
              <w:rPr>
                <w:rFonts w:eastAsia="Times New Roman"/>
                <w:color w:val="000000"/>
                <w:sz w:val="12"/>
                <w:szCs w:val="12"/>
              </w:rPr>
              <w:t>1,076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47E76B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29DC9B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4F320A" w14:textId="77777777" w:rsidR="00000000" w:rsidRDefault="00195E73">
            <w:pPr>
              <w:jc w:val="right"/>
              <w:rPr>
                <w:rFonts w:eastAsia="Times New Roman"/>
              </w:rPr>
            </w:pPr>
            <w:r>
              <w:rPr>
                <w:rFonts w:eastAsia="Times New Roman"/>
                <w:color w:val="000000"/>
                <w:sz w:val="12"/>
                <w:szCs w:val="12"/>
              </w:rPr>
              <w:t>222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B3F7FF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E1C70B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1CAB05" w14:textId="77777777" w:rsidR="00000000" w:rsidRDefault="00195E73">
            <w:pPr>
              <w:jc w:val="right"/>
              <w:rPr>
                <w:rFonts w:eastAsia="Times New Roman"/>
              </w:rPr>
            </w:pPr>
            <w:r>
              <w:rPr>
                <w:rFonts w:eastAsia="Times New Roman"/>
                <w:color w:val="000000"/>
                <w:sz w:val="12"/>
                <w:szCs w:val="12"/>
              </w:rPr>
              <w:t>673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AD99B6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92CC92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2D3F6C" w14:textId="77777777" w:rsidR="00000000" w:rsidRDefault="00195E73">
            <w:pPr>
              <w:jc w:val="right"/>
              <w:rPr>
                <w:rFonts w:eastAsia="Times New Roman"/>
              </w:rPr>
            </w:pPr>
            <w:r>
              <w:rPr>
                <w:rFonts w:eastAsia="Times New Roman"/>
                <w:color w:val="000000"/>
                <w:sz w:val="12"/>
                <w:szCs w:val="12"/>
              </w:rPr>
              <w:t>125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0E6E7E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55A6DD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33C4EA" w14:textId="77777777" w:rsidR="00000000" w:rsidRDefault="00195E73">
            <w:pPr>
              <w:jc w:val="right"/>
              <w:rPr>
                <w:rFonts w:eastAsia="Times New Roman"/>
              </w:rPr>
            </w:pPr>
            <w:r>
              <w:rPr>
                <w:rFonts w:eastAsia="Times New Roman"/>
                <w:color w:val="000000"/>
                <w:sz w:val="12"/>
                <w:szCs w:val="12"/>
              </w:rPr>
              <w:t>27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216249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687928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0DD3D5" w14:textId="77777777" w:rsidR="00000000" w:rsidRDefault="00195E73">
            <w:pPr>
              <w:jc w:val="right"/>
              <w:rPr>
                <w:rFonts w:eastAsia="Times New Roman"/>
              </w:rPr>
            </w:pPr>
            <w:r>
              <w:rPr>
                <w:rFonts w:eastAsia="Times New Roman"/>
                <w:color w:val="000000"/>
                <w:sz w:val="12"/>
                <w:szCs w:val="12"/>
              </w:rPr>
              <w:t>46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F847D9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8D3540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4AD37B" w14:textId="77777777" w:rsidR="00000000" w:rsidRDefault="00195E73">
            <w:pPr>
              <w:jc w:val="right"/>
              <w:rPr>
                <w:rFonts w:eastAsia="Times New Roman"/>
              </w:rPr>
            </w:pPr>
            <w:r>
              <w:rPr>
                <w:rFonts w:eastAsia="Times New Roman"/>
                <w:color w:val="000000"/>
                <w:sz w:val="12"/>
                <w:szCs w:val="12"/>
              </w:rPr>
              <w:t>20</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79FC7B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7BE5E0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29E72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B953DB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76CCBE7" w14:textId="77777777" w:rsidR="00000000" w:rsidRDefault="00195E73">
            <w:pPr>
              <w:jc w:val="right"/>
              <w:rPr>
                <w:rFonts w:eastAsia="Times New Roman"/>
              </w:rPr>
            </w:pPr>
          </w:p>
        </w:tc>
        <w:tc>
          <w:tcPr>
            <w:tcW w:w="0" w:type="auto"/>
            <w:vAlign w:val="center"/>
            <w:hideMark/>
          </w:tcPr>
          <w:p w14:paraId="43D72885" w14:textId="77777777" w:rsidR="00000000" w:rsidRDefault="00195E73">
            <w:pPr>
              <w:rPr>
                <w:rFonts w:eastAsia="Times New Roman"/>
                <w:sz w:val="20"/>
                <w:szCs w:val="20"/>
              </w:rPr>
            </w:pPr>
          </w:p>
        </w:tc>
        <w:tc>
          <w:tcPr>
            <w:tcW w:w="0" w:type="auto"/>
            <w:vAlign w:val="center"/>
            <w:hideMark/>
          </w:tcPr>
          <w:p w14:paraId="303A5AB9"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72DF8" w14:textId="77777777" w:rsidR="00000000" w:rsidRDefault="00195E73">
            <w:pPr>
              <w:jc w:val="right"/>
              <w:rPr>
                <w:rFonts w:eastAsia="Times New Roman"/>
              </w:rPr>
            </w:pPr>
            <w:r>
              <w:rPr>
                <w:rFonts w:eastAsia="Times New Roman"/>
                <w:color w:val="000000"/>
                <w:sz w:val="12"/>
                <w:szCs w:val="12"/>
              </w:rPr>
              <w:t>19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36B56DE"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17F038F9"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5C67661" w14:textId="77777777" w:rsidR="00000000" w:rsidRDefault="00195E73">
            <w:pPr>
              <w:jc w:val="right"/>
              <w:rPr>
                <w:rFonts w:eastAsia="Times New Roman"/>
              </w:rPr>
            </w:pPr>
            <w:r>
              <w:rPr>
                <w:rFonts w:eastAsia="Times New Roman"/>
                <w:color w:val="000000"/>
                <w:sz w:val="12"/>
                <w:szCs w:val="12"/>
              </w:rPr>
              <w:t>2,208</w:t>
            </w:r>
            <w:r>
              <w:rPr>
                <w:rFonts w:eastAsia="Times New Roman"/>
                <w:color w:val="000000"/>
                <w:sz w:val="12"/>
                <w:szCs w:val="12"/>
              </w:rPr>
              <w:t> </w:t>
            </w:r>
            <w:r>
              <w:rPr>
                <w:rFonts w:eastAsia="Times New Roman"/>
                <w:color w:val="000000"/>
                <w:sz w:val="12"/>
                <w:szCs w:val="12"/>
              </w:rPr>
              <w:t> </w:t>
            </w:r>
          </w:p>
        </w:tc>
      </w:tr>
      <w:tr w:rsidR="00195E73" w14:paraId="6BC7F55F" w14:textId="77777777">
        <w:trPr>
          <w:divId w:val="945890840"/>
          <w:jc w:val="center"/>
        </w:trPr>
        <w:tc>
          <w:tcPr>
            <w:tcW w:w="0" w:type="auto"/>
            <w:gridSpan w:val="3"/>
            <w:shd w:val="clear" w:color="auto" w:fill="CCEEFF"/>
            <w:tcMar>
              <w:top w:w="30" w:type="dxa"/>
              <w:left w:w="20" w:type="dxa"/>
              <w:bottom w:w="30" w:type="dxa"/>
              <w:right w:w="20" w:type="dxa"/>
            </w:tcMar>
            <w:vAlign w:val="bottom"/>
            <w:hideMark/>
          </w:tcPr>
          <w:p w14:paraId="11DB3202" w14:textId="77777777" w:rsidR="00000000" w:rsidRDefault="00195E73">
            <w:pPr>
              <w:rPr>
                <w:rFonts w:eastAsia="Times New Roman"/>
              </w:rPr>
            </w:pPr>
            <w:r>
              <w:rPr>
                <w:rFonts w:eastAsia="Times New Roman"/>
                <w:color w:val="000000"/>
                <w:sz w:val="12"/>
                <w:szCs w:val="12"/>
              </w:rPr>
              <w:t>   Total asset</w:t>
            </w:r>
            <w:r>
              <w:rPr>
                <w:rFonts w:eastAsia="Times New Roman"/>
                <w:color w:val="000000"/>
                <w:sz w:val="12"/>
                <w:szCs w:val="12"/>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11A36B8"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5B1E8F8" w14:textId="77777777" w:rsidR="00000000" w:rsidRDefault="00195E73">
            <w:pPr>
              <w:jc w:val="right"/>
              <w:rPr>
                <w:rFonts w:eastAsia="Times New Roman"/>
              </w:rPr>
            </w:pPr>
            <w:r>
              <w:rPr>
                <w:rFonts w:eastAsia="Times New Roman"/>
                <w:color w:val="000000"/>
                <w:sz w:val="12"/>
                <w:szCs w:val="12"/>
              </w:rPr>
              <w:t>11,283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543277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C4D007A"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1182DC6"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7A0DC85" w14:textId="77777777" w:rsidR="00000000" w:rsidRDefault="00195E73">
            <w:pPr>
              <w:jc w:val="right"/>
              <w:rPr>
                <w:rFonts w:eastAsia="Times New Roman"/>
              </w:rPr>
            </w:pPr>
            <w:r>
              <w:rPr>
                <w:rFonts w:eastAsia="Times New Roman"/>
                <w:color w:val="000000"/>
                <w:sz w:val="12"/>
                <w:szCs w:val="12"/>
              </w:rPr>
              <w:t>4,673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138C11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9557DD5"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FC9175E"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0923376" w14:textId="77777777" w:rsidR="00000000" w:rsidRDefault="00195E73">
            <w:pPr>
              <w:jc w:val="right"/>
              <w:rPr>
                <w:rFonts w:eastAsia="Times New Roman"/>
              </w:rPr>
            </w:pPr>
            <w:r>
              <w:rPr>
                <w:rFonts w:eastAsia="Times New Roman"/>
                <w:color w:val="000000"/>
                <w:sz w:val="12"/>
                <w:szCs w:val="12"/>
              </w:rPr>
              <w:t>3,495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3CD063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B7354DA"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28AFADF"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8C72862" w14:textId="77777777" w:rsidR="00000000" w:rsidRDefault="00195E73">
            <w:pPr>
              <w:jc w:val="right"/>
              <w:rPr>
                <w:rFonts w:eastAsia="Times New Roman"/>
              </w:rPr>
            </w:pPr>
            <w:r>
              <w:rPr>
                <w:rFonts w:eastAsia="Times New Roman"/>
                <w:color w:val="000000"/>
                <w:sz w:val="12"/>
                <w:szCs w:val="12"/>
              </w:rPr>
              <w:t>517</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B651C9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1073A75"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D5A4D4F"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C548905" w14:textId="77777777" w:rsidR="00000000" w:rsidRDefault="00195E73">
            <w:pPr>
              <w:jc w:val="right"/>
              <w:rPr>
                <w:rFonts w:eastAsia="Times New Roman"/>
              </w:rPr>
            </w:pPr>
            <w:r>
              <w:rPr>
                <w:rFonts w:eastAsia="Times New Roman"/>
                <w:color w:val="000000"/>
                <w:sz w:val="12"/>
                <w:szCs w:val="12"/>
              </w:rPr>
              <w:t>233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219686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3C843CB"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4DD7195"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E5B0266" w14:textId="77777777" w:rsidR="00000000" w:rsidRDefault="00195E73">
            <w:pPr>
              <w:jc w:val="right"/>
              <w:rPr>
                <w:rFonts w:eastAsia="Times New Roman"/>
              </w:rPr>
            </w:pPr>
            <w:r>
              <w:rPr>
                <w:rFonts w:eastAsia="Times New Roman"/>
                <w:color w:val="000000"/>
                <w:sz w:val="12"/>
                <w:szCs w:val="12"/>
              </w:rPr>
              <w:t>514</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477CF6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35CA624"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45E995B"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C2E0F93" w14:textId="77777777" w:rsidR="00000000" w:rsidRDefault="00195E73">
            <w:pPr>
              <w:jc w:val="right"/>
              <w:rPr>
                <w:rFonts w:eastAsia="Times New Roman"/>
              </w:rPr>
            </w:pPr>
            <w:r>
              <w:rPr>
                <w:rFonts w:eastAsia="Times New Roman"/>
                <w:color w:val="000000"/>
                <w:sz w:val="12"/>
                <w:szCs w:val="12"/>
              </w:rPr>
              <w:t>231</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E185A3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74A95DA"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3638ECE"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D6A610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51954D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7D862EB" w14:textId="77777777" w:rsidR="00000000" w:rsidRDefault="00195E73">
            <w:pPr>
              <w:jc w:val="right"/>
              <w:rPr>
                <w:rFonts w:eastAsia="Times New Roman"/>
              </w:rPr>
            </w:pPr>
          </w:p>
        </w:tc>
        <w:tc>
          <w:tcPr>
            <w:tcW w:w="0" w:type="auto"/>
            <w:vAlign w:val="center"/>
            <w:hideMark/>
          </w:tcPr>
          <w:p w14:paraId="0357AEA9" w14:textId="77777777" w:rsidR="00000000" w:rsidRDefault="00195E73">
            <w:pPr>
              <w:rPr>
                <w:rFonts w:eastAsia="Times New Roman"/>
                <w:sz w:val="20"/>
                <w:szCs w:val="20"/>
              </w:rPr>
            </w:pPr>
          </w:p>
        </w:tc>
        <w:tc>
          <w:tcPr>
            <w:tcW w:w="0" w:type="auto"/>
            <w:vAlign w:val="center"/>
            <w:hideMark/>
          </w:tcPr>
          <w:p w14:paraId="55D44257" w14:textId="77777777" w:rsidR="00000000" w:rsidRDefault="00195E73">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B01DF3E"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1DE2CFC" w14:textId="77777777" w:rsidR="00000000" w:rsidRDefault="00195E73">
            <w:pPr>
              <w:jc w:val="right"/>
              <w:rPr>
                <w:rFonts w:eastAsia="Times New Roman"/>
              </w:rPr>
            </w:pPr>
            <w:r>
              <w:rPr>
                <w:rFonts w:eastAsia="Times New Roman"/>
                <w:color w:val="000000"/>
                <w:sz w:val="12"/>
                <w:szCs w:val="12"/>
              </w:rPr>
              <w:t>3,693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37082C1"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6E5523B1"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34727A0"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24,639</w:t>
            </w:r>
            <w:r>
              <w:rPr>
                <w:rFonts w:eastAsia="Times New Roman"/>
                <w:color w:val="000000"/>
                <w:sz w:val="12"/>
                <w:szCs w:val="12"/>
              </w:rPr>
              <w:t> </w:t>
            </w:r>
            <w:r>
              <w:rPr>
                <w:rFonts w:eastAsia="Times New Roman"/>
                <w:color w:val="000000"/>
                <w:sz w:val="12"/>
                <w:szCs w:val="12"/>
              </w:rPr>
              <w:t> </w:t>
            </w:r>
          </w:p>
        </w:tc>
      </w:tr>
      <w:tr w:rsidR="00000000" w14:paraId="0DE80A9D" w14:textId="77777777">
        <w:trPr>
          <w:divId w:val="945890840"/>
          <w:jc w:val="center"/>
        </w:trPr>
        <w:tc>
          <w:tcPr>
            <w:tcW w:w="0" w:type="auto"/>
            <w:gridSpan w:val="3"/>
            <w:shd w:val="clear" w:color="auto" w:fill="FFFFFF"/>
            <w:tcMar>
              <w:top w:w="30" w:type="dxa"/>
              <w:left w:w="20" w:type="dxa"/>
              <w:bottom w:w="30" w:type="dxa"/>
              <w:right w:w="20" w:type="dxa"/>
            </w:tcMar>
            <w:vAlign w:val="bottom"/>
            <w:hideMark/>
          </w:tcPr>
          <w:p w14:paraId="711D2BF4" w14:textId="77777777" w:rsidR="00000000" w:rsidRDefault="00195E73">
            <w:pPr>
              <w:jc w:val="center"/>
              <w:rPr>
                <w:rFonts w:eastAsia="Times New Roman"/>
              </w:rPr>
            </w:pPr>
            <w:r>
              <w:rPr>
                <w:rFonts w:eastAsia="Times New Roman"/>
                <w:b/>
                <w:bCs/>
                <w:color w:val="000000"/>
                <w:sz w:val="12"/>
                <w:szCs w:val="12"/>
              </w:rPr>
              <w:t>LIABILITIES AND EQUIT</w:t>
            </w:r>
            <w:r>
              <w:rPr>
                <w:rFonts w:eastAsia="Times New Roman"/>
                <w:b/>
                <w:bCs/>
                <w:color w:val="000000"/>
                <w:sz w:val="12"/>
                <w:szCs w:val="12"/>
              </w:rPr>
              <w:t>Y</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72C25F5" w14:textId="77777777" w:rsidR="00000000" w:rsidRDefault="00195E73">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3B8D449"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4B4DBC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95FF9F2"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204898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31D37B2"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2EE62D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E536F6D"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41E6953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5F62BF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001F1F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5AD140F"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4BE7502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3FBA831"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8700B1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D670A90" w14:textId="77777777" w:rsidR="00000000" w:rsidRDefault="00195E73">
            <w:pPr>
              <w:rPr>
                <w:rFonts w:eastAsia="Times New Roman"/>
                <w:sz w:val="20"/>
                <w:szCs w:val="20"/>
              </w:rPr>
            </w:pPr>
          </w:p>
        </w:tc>
        <w:tc>
          <w:tcPr>
            <w:tcW w:w="0" w:type="auto"/>
            <w:vAlign w:val="center"/>
            <w:hideMark/>
          </w:tcPr>
          <w:p w14:paraId="650D0489" w14:textId="77777777" w:rsidR="00000000" w:rsidRDefault="00195E73">
            <w:pPr>
              <w:rPr>
                <w:rFonts w:eastAsia="Times New Roman"/>
                <w:sz w:val="20"/>
                <w:szCs w:val="20"/>
              </w:rPr>
            </w:pPr>
          </w:p>
        </w:tc>
        <w:tc>
          <w:tcPr>
            <w:tcW w:w="0" w:type="auto"/>
            <w:vAlign w:val="center"/>
            <w:hideMark/>
          </w:tcPr>
          <w:p w14:paraId="3F73EDE3"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5D79E971"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28FD74EF" w14:textId="77777777" w:rsidR="00000000" w:rsidRDefault="00195E73">
            <w:pPr>
              <w:rPr>
                <w:rFonts w:eastAsia="Times New Roman"/>
                <w:sz w:val="20"/>
                <w:szCs w:val="20"/>
              </w:rPr>
            </w:pPr>
          </w:p>
        </w:tc>
        <w:tc>
          <w:tcPr>
            <w:tcW w:w="0" w:type="auto"/>
            <w:tcBorders>
              <w:top w:val="double" w:sz="6" w:space="0" w:color="000000"/>
            </w:tcBorders>
            <w:shd w:val="clear" w:color="auto" w:fill="FFFFFF"/>
            <w:tcMar>
              <w:top w:w="15" w:type="dxa"/>
              <w:left w:w="20" w:type="dxa"/>
              <w:bottom w:w="15" w:type="dxa"/>
              <w:right w:w="20" w:type="dxa"/>
            </w:tcMar>
            <w:vAlign w:val="bottom"/>
            <w:hideMark/>
          </w:tcPr>
          <w:p w14:paraId="1E7BC959" w14:textId="77777777" w:rsidR="00000000" w:rsidRDefault="00195E73">
            <w:pPr>
              <w:rPr>
                <w:rFonts w:eastAsia="Times New Roman"/>
                <w:sz w:val="20"/>
                <w:szCs w:val="20"/>
              </w:rPr>
            </w:pPr>
          </w:p>
        </w:tc>
      </w:tr>
      <w:tr w:rsidR="00195E73" w14:paraId="7C2DA5A2" w14:textId="77777777">
        <w:trPr>
          <w:divId w:val="945890840"/>
          <w:jc w:val="center"/>
        </w:trPr>
        <w:tc>
          <w:tcPr>
            <w:tcW w:w="0" w:type="auto"/>
            <w:gridSpan w:val="3"/>
            <w:shd w:val="clear" w:color="auto" w:fill="CCEEFF"/>
            <w:tcMar>
              <w:top w:w="30" w:type="dxa"/>
              <w:left w:w="20" w:type="dxa"/>
              <w:bottom w:w="30" w:type="dxa"/>
              <w:right w:w="20" w:type="dxa"/>
            </w:tcMar>
            <w:vAlign w:val="bottom"/>
            <w:hideMark/>
          </w:tcPr>
          <w:p w14:paraId="19EBF41E" w14:textId="77777777" w:rsidR="00000000" w:rsidRDefault="00195E73">
            <w:pPr>
              <w:ind w:hanging="180"/>
              <w:divId w:val="1544488728"/>
              <w:rPr>
                <w:rFonts w:eastAsia="Times New Roman"/>
              </w:rPr>
            </w:pPr>
            <w:r>
              <w:rPr>
                <w:rFonts w:eastAsia="Times New Roman"/>
                <w:color w:val="000000"/>
                <w:sz w:val="12"/>
                <w:szCs w:val="12"/>
              </w:rPr>
              <w:t>Accounts payable, accrued expenses and other liabilitie</w:t>
            </w:r>
            <w:r>
              <w:rPr>
                <w:rFonts w:eastAsia="Times New Roman"/>
                <w:color w:val="000000"/>
                <w:sz w:val="12"/>
                <w:szCs w:val="12"/>
              </w:rPr>
              <w:t>s</w:t>
            </w:r>
          </w:p>
        </w:tc>
        <w:tc>
          <w:tcPr>
            <w:tcW w:w="0" w:type="auto"/>
            <w:shd w:val="clear" w:color="auto" w:fill="CCEEFF"/>
            <w:tcMar>
              <w:top w:w="30" w:type="dxa"/>
              <w:left w:w="20" w:type="dxa"/>
              <w:bottom w:w="30" w:type="dxa"/>
              <w:right w:w="15" w:type="dxa"/>
            </w:tcMar>
            <w:vAlign w:val="bottom"/>
            <w:hideMark/>
          </w:tcPr>
          <w:p w14:paraId="0C00D687"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732B24A" w14:textId="77777777" w:rsidR="00000000" w:rsidRDefault="00195E73">
            <w:pPr>
              <w:jc w:val="right"/>
              <w:rPr>
                <w:rFonts w:eastAsia="Times New Roman"/>
              </w:rPr>
            </w:pPr>
            <w:r>
              <w:rPr>
                <w:rFonts w:eastAsia="Times New Roman"/>
                <w:color w:val="000000"/>
                <w:sz w:val="12"/>
                <w:szCs w:val="12"/>
              </w:rPr>
              <w:t>1,310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EEE920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1650BE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C85A1CF"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D9D71C5" w14:textId="77777777" w:rsidR="00000000" w:rsidRDefault="00195E73">
            <w:pPr>
              <w:jc w:val="right"/>
              <w:rPr>
                <w:rFonts w:eastAsia="Times New Roman"/>
              </w:rPr>
            </w:pPr>
            <w:r>
              <w:rPr>
                <w:rFonts w:eastAsia="Times New Roman"/>
                <w:color w:val="000000"/>
                <w:sz w:val="12"/>
                <w:szCs w:val="12"/>
              </w:rPr>
              <w:t>1,180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C2257C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C8F270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AD8B29A"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64871DF" w14:textId="77777777" w:rsidR="00000000" w:rsidRDefault="00195E73">
            <w:pPr>
              <w:jc w:val="right"/>
              <w:rPr>
                <w:rFonts w:eastAsia="Times New Roman"/>
              </w:rPr>
            </w:pPr>
            <w:r>
              <w:rPr>
                <w:rFonts w:eastAsia="Times New Roman"/>
                <w:color w:val="000000"/>
                <w:sz w:val="12"/>
                <w:szCs w:val="12"/>
              </w:rPr>
              <w:t>1,340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4454D2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1ACD20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E01B3EE"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2606815" w14:textId="77777777" w:rsidR="00000000" w:rsidRDefault="00195E73">
            <w:pPr>
              <w:jc w:val="right"/>
              <w:rPr>
                <w:rFonts w:eastAsia="Times New Roman"/>
              </w:rPr>
            </w:pPr>
            <w:r>
              <w:rPr>
                <w:rFonts w:eastAsia="Times New Roman"/>
                <w:color w:val="000000"/>
                <w:sz w:val="12"/>
                <w:szCs w:val="12"/>
              </w:rPr>
              <w:t>196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785D76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4A65CB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D3FDCCD"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6069C22" w14:textId="77777777" w:rsidR="00000000" w:rsidRDefault="00195E73">
            <w:pPr>
              <w:jc w:val="right"/>
              <w:rPr>
                <w:rFonts w:eastAsia="Times New Roman"/>
              </w:rPr>
            </w:pPr>
            <w:r>
              <w:rPr>
                <w:rFonts w:eastAsia="Times New Roman"/>
                <w:color w:val="000000"/>
                <w:sz w:val="12"/>
                <w:szCs w:val="12"/>
              </w:rPr>
              <w:t>70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6A0A15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B5A4A0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1D74DC1"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BCEC313" w14:textId="77777777" w:rsidR="00000000" w:rsidRDefault="00195E73">
            <w:pPr>
              <w:jc w:val="right"/>
              <w:rPr>
                <w:rFonts w:eastAsia="Times New Roman"/>
              </w:rPr>
            </w:pPr>
            <w:r>
              <w:rPr>
                <w:rFonts w:eastAsia="Times New Roman"/>
                <w:color w:val="000000"/>
                <w:sz w:val="12"/>
                <w:szCs w:val="12"/>
              </w:rPr>
              <w:t>38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61E813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B4F5E7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EE6D185"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800A532" w14:textId="77777777" w:rsidR="00000000" w:rsidRDefault="00195E73">
            <w:pPr>
              <w:jc w:val="right"/>
              <w:rPr>
                <w:rFonts w:eastAsia="Times New Roman"/>
              </w:rPr>
            </w:pPr>
            <w:r>
              <w:rPr>
                <w:rFonts w:eastAsia="Times New Roman"/>
                <w:color w:val="000000"/>
                <w:sz w:val="12"/>
                <w:szCs w:val="12"/>
              </w:rPr>
              <w:t>66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BCE4CC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463369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D314A31"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6F81AC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727601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C9F17FE" w14:textId="77777777" w:rsidR="00000000" w:rsidRDefault="00195E73">
            <w:pPr>
              <w:jc w:val="right"/>
              <w:rPr>
                <w:rFonts w:eastAsia="Times New Roman"/>
              </w:rPr>
            </w:pPr>
          </w:p>
        </w:tc>
        <w:tc>
          <w:tcPr>
            <w:tcW w:w="0" w:type="auto"/>
            <w:vAlign w:val="center"/>
            <w:hideMark/>
          </w:tcPr>
          <w:p w14:paraId="0E6854DA" w14:textId="77777777" w:rsidR="00000000" w:rsidRDefault="00195E73">
            <w:pPr>
              <w:rPr>
                <w:rFonts w:eastAsia="Times New Roman"/>
                <w:sz w:val="20"/>
                <w:szCs w:val="20"/>
              </w:rPr>
            </w:pPr>
          </w:p>
        </w:tc>
        <w:tc>
          <w:tcPr>
            <w:tcW w:w="0" w:type="auto"/>
            <w:vAlign w:val="center"/>
            <w:hideMark/>
          </w:tcPr>
          <w:p w14:paraId="538BE00C" w14:textId="77777777" w:rsidR="00000000" w:rsidRDefault="00195E73">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381F16AF"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BB607C0" w14:textId="77777777" w:rsidR="00000000" w:rsidRDefault="00195E73">
            <w:pPr>
              <w:jc w:val="right"/>
              <w:rPr>
                <w:rFonts w:eastAsia="Times New Roman"/>
              </w:rPr>
            </w:pPr>
            <w:r>
              <w:rPr>
                <w:rFonts w:eastAsia="Times New Roman"/>
                <w:color w:val="000000"/>
                <w:sz w:val="12"/>
                <w:szCs w:val="12"/>
              </w:rPr>
              <w:t>115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15411DD"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013E1F3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73FF883"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4,315</w:t>
            </w:r>
            <w:r>
              <w:rPr>
                <w:rFonts w:eastAsia="Times New Roman"/>
                <w:color w:val="000000"/>
                <w:sz w:val="12"/>
                <w:szCs w:val="12"/>
              </w:rPr>
              <w:t> </w:t>
            </w:r>
            <w:r>
              <w:rPr>
                <w:rFonts w:eastAsia="Times New Roman"/>
                <w:color w:val="000000"/>
                <w:sz w:val="12"/>
                <w:szCs w:val="12"/>
              </w:rPr>
              <w:t> </w:t>
            </w:r>
          </w:p>
        </w:tc>
      </w:tr>
      <w:tr w:rsidR="00195E73" w14:paraId="4F7C6D42" w14:textId="77777777">
        <w:trPr>
          <w:divId w:val="945890840"/>
          <w:jc w:val="center"/>
        </w:trPr>
        <w:tc>
          <w:tcPr>
            <w:tcW w:w="0" w:type="auto"/>
            <w:gridSpan w:val="3"/>
            <w:shd w:val="clear" w:color="auto" w:fill="FFFFFF"/>
            <w:tcMar>
              <w:top w:w="30" w:type="dxa"/>
              <w:left w:w="20" w:type="dxa"/>
              <w:bottom w:w="30" w:type="dxa"/>
              <w:right w:w="20" w:type="dxa"/>
            </w:tcMar>
            <w:vAlign w:val="bottom"/>
            <w:hideMark/>
          </w:tcPr>
          <w:p w14:paraId="7E3840AB" w14:textId="77777777" w:rsidR="00000000" w:rsidRDefault="00195E73">
            <w:pPr>
              <w:ind w:hanging="180"/>
              <w:divId w:val="734008403"/>
              <w:rPr>
                <w:rFonts w:eastAsia="Times New Roman"/>
              </w:rPr>
            </w:pPr>
            <w:r>
              <w:rPr>
                <w:rFonts w:eastAsia="Times New Roman"/>
                <w:color w:val="000000"/>
                <w:sz w:val="12"/>
                <w:szCs w:val="12"/>
              </w:rPr>
              <w:t>Securities sold, not yet purchased, at fair valu</w:t>
            </w:r>
            <w:r>
              <w:rPr>
                <w:rFonts w:eastAsia="Times New Roman"/>
                <w:color w:val="000000"/>
                <w:sz w:val="12"/>
                <w:szCs w:val="12"/>
              </w:rPr>
              <w:t>e</w:t>
            </w:r>
          </w:p>
        </w:tc>
        <w:tc>
          <w:tcPr>
            <w:tcW w:w="0" w:type="auto"/>
            <w:gridSpan w:val="2"/>
            <w:shd w:val="clear" w:color="auto" w:fill="FFFFFF"/>
            <w:tcMar>
              <w:top w:w="30" w:type="dxa"/>
              <w:left w:w="20" w:type="dxa"/>
              <w:bottom w:w="30" w:type="dxa"/>
              <w:right w:w="0" w:type="dxa"/>
            </w:tcMar>
            <w:vAlign w:val="bottom"/>
            <w:hideMark/>
          </w:tcPr>
          <w:p w14:paraId="4F15D409" w14:textId="77777777" w:rsidR="00000000" w:rsidRDefault="00195E73">
            <w:pPr>
              <w:jc w:val="right"/>
              <w:rPr>
                <w:rFonts w:eastAsia="Times New Roman"/>
              </w:rPr>
            </w:pPr>
            <w:r>
              <w:rPr>
                <w:rFonts w:eastAsia="Times New Roman"/>
                <w:color w:val="000000"/>
                <w:sz w:val="12"/>
                <w:szCs w:val="12"/>
              </w:rPr>
              <w:t>1,190</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374371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C72FED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A77DD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E942F3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5E4706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B9F3D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3CB7A2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01B2E1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C3500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8E17D6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D93902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0D546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76BA40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78135C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F8EFD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3157E5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A9DBAC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13744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561B2A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0103E4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3158A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22296A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3FA1693" w14:textId="77777777" w:rsidR="00000000" w:rsidRDefault="00195E73">
            <w:pPr>
              <w:jc w:val="right"/>
              <w:rPr>
                <w:rFonts w:eastAsia="Times New Roman"/>
              </w:rPr>
            </w:pPr>
          </w:p>
        </w:tc>
        <w:tc>
          <w:tcPr>
            <w:tcW w:w="0" w:type="auto"/>
            <w:vAlign w:val="center"/>
            <w:hideMark/>
          </w:tcPr>
          <w:p w14:paraId="6C40EF0D" w14:textId="77777777" w:rsidR="00000000" w:rsidRDefault="00195E73">
            <w:pPr>
              <w:rPr>
                <w:rFonts w:eastAsia="Times New Roman"/>
                <w:sz w:val="20"/>
                <w:szCs w:val="20"/>
              </w:rPr>
            </w:pPr>
          </w:p>
        </w:tc>
        <w:tc>
          <w:tcPr>
            <w:tcW w:w="0" w:type="auto"/>
            <w:vAlign w:val="center"/>
            <w:hideMark/>
          </w:tcPr>
          <w:p w14:paraId="121FA3E9"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DFE18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1DD0277"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56B46F10"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3159EDD" w14:textId="77777777" w:rsidR="00000000" w:rsidRDefault="00195E73">
            <w:pPr>
              <w:jc w:val="right"/>
              <w:rPr>
                <w:rFonts w:eastAsia="Times New Roman"/>
              </w:rPr>
            </w:pPr>
            <w:r>
              <w:rPr>
                <w:rFonts w:eastAsia="Times New Roman"/>
                <w:color w:val="000000"/>
                <w:sz w:val="12"/>
                <w:szCs w:val="12"/>
              </w:rPr>
              <w:t>1,190</w:t>
            </w:r>
            <w:r>
              <w:rPr>
                <w:rFonts w:eastAsia="Times New Roman"/>
                <w:color w:val="000000"/>
                <w:sz w:val="12"/>
                <w:szCs w:val="12"/>
              </w:rPr>
              <w:t> </w:t>
            </w:r>
            <w:r>
              <w:rPr>
                <w:rFonts w:eastAsia="Times New Roman"/>
                <w:color w:val="000000"/>
                <w:sz w:val="12"/>
                <w:szCs w:val="12"/>
              </w:rPr>
              <w:t> </w:t>
            </w:r>
          </w:p>
        </w:tc>
      </w:tr>
      <w:tr w:rsidR="00195E73" w14:paraId="14362EB7" w14:textId="77777777">
        <w:trPr>
          <w:divId w:val="945890840"/>
          <w:jc w:val="center"/>
        </w:trPr>
        <w:tc>
          <w:tcPr>
            <w:tcW w:w="0" w:type="auto"/>
            <w:gridSpan w:val="3"/>
            <w:shd w:val="clear" w:color="auto" w:fill="CCEEFF"/>
            <w:tcMar>
              <w:top w:w="30" w:type="dxa"/>
              <w:left w:w="20" w:type="dxa"/>
              <w:bottom w:w="30" w:type="dxa"/>
              <w:right w:w="20" w:type="dxa"/>
            </w:tcMar>
            <w:vAlign w:val="bottom"/>
            <w:hideMark/>
          </w:tcPr>
          <w:p w14:paraId="7378692C" w14:textId="77777777" w:rsidR="00000000" w:rsidRDefault="00195E73">
            <w:pPr>
              <w:rPr>
                <w:rFonts w:eastAsia="Times New Roman"/>
              </w:rPr>
            </w:pPr>
            <w:r>
              <w:rPr>
                <w:rFonts w:eastAsia="Times New Roman"/>
                <w:color w:val="000000"/>
                <w:sz w:val="12"/>
                <w:szCs w:val="12"/>
              </w:rPr>
              <w:t>Deb</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6D67A1E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BBB5B4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DA8D74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58AD7D" w14:textId="77777777" w:rsidR="00000000" w:rsidRDefault="00195E73">
            <w:pPr>
              <w:jc w:val="right"/>
              <w:rPr>
                <w:rFonts w:eastAsia="Times New Roman"/>
              </w:rPr>
            </w:pPr>
            <w:r>
              <w:rPr>
                <w:rFonts w:eastAsia="Times New Roman"/>
                <w:color w:val="000000"/>
                <w:sz w:val="12"/>
                <w:szCs w:val="12"/>
              </w:rPr>
              <w:t>1,195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20492A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47B602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2443EE" w14:textId="77777777" w:rsidR="00000000" w:rsidRDefault="00195E73">
            <w:pPr>
              <w:jc w:val="right"/>
              <w:rPr>
                <w:rFonts w:eastAsia="Times New Roman"/>
              </w:rPr>
            </w:pPr>
            <w:r>
              <w:rPr>
                <w:rFonts w:eastAsia="Times New Roman"/>
                <w:color w:val="000000"/>
                <w:sz w:val="12"/>
                <w:szCs w:val="12"/>
              </w:rPr>
              <w:t>405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64EEF2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D39A85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FD325B" w14:textId="77777777" w:rsidR="00000000" w:rsidRDefault="00195E73">
            <w:pPr>
              <w:jc w:val="right"/>
              <w:rPr>
                <w:rFonts w:eastAsia="Times New Roman"/>
              </w:rPr>
            </w:pPr>
            <w:r>
              <w:rPr>
                <w:rFonts w:eastAsia="Times New Roman"/>
                <w:color w:val="000000"/>
                <w:sz w:val="12"/>
                <w:szCs w:val="12"/>
              </w:rPr>
              <w:t>268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781B1F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596041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279D47" w14:textId="77777777" w:rsidR="00000000" w:rsidRDefault="00195E73">
            <w:pPr>
              <w:jc w:val="right"/>
              <w:rPr>
                <w:rFonts w:eastAsia="Times New Roman"/>
              </w:rPr>
            </w:pPr>
            <w:r>
              <w:rPr>
                <w:rFonts w:eastAsia="Times New Roman"/>
                <w:color w:val="000000"/>
                <w:sz w:val="12"/>
                <w:szCs w:val="12"/>
              </w:rPr>
              <w:t>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5C98C1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0109D1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670E16"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4944B9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823D0E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11A527" w14:textId="77777777" w:rsidR="00000000" w:rsidRDefault="00195E73">
            <w:pPr>
              <w:jc w:val="right"/>
              <w:rPr>
                <w:rFonts w:eastAsia="Times New Roman"/>
              </w:rPr>
            </w:pPr>
            <w:r>
              <w:rPr>
                <w:rFonts w:eastAsia="Times New Roman"/>
                <w:color w:val="000000"/>
                <w:sz w:val="12"/>
                <w:szCs w:val="12"/>
              </w:rPr>
              <w:t>18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CF9995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E7C861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30A78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798907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2EBAABC" w14:textId="77777777" w:rsidR="00000000" w:rsidRDefault="00195E73">
            <w:pPr>
              <w:jc w:val="right"/>
              <w:rPr>
                <w:rFonts w:eastAsia="Times New Roman"/>
              </w:rPr>
            </w:pPr>
          </w:p>
        </w:tc>
        <w:tc>
          <w:tcPr>
            <w:tcW w:w="0" w:type="auto"/>
            <w:vAlign w:val="center"/>
            <w:hideMark/>
          </w:tcPr>
          <w:p w14:paraId="76019EEC" w14:textId="77777777" w:rsidR="00000000" w:rsidRDefault="00195E73">
            <w:pPr>
              <w:rPr>
                <w:rFonts w:eastAsia="Times New Roman"/>
                <w:sz w:val="20"/>
                <w:szCs w:val="20"/>
              </w:rPr>
            </w:pPr>
          </w:p>
        </w:tc>
        <w:tc>
          <w:tcPr>
            <w:tcW w:w="0" w:type="auto"/>
            <w:vAlign w:val="center"/>
            <w:hideMark/>
          </w:tcPr>
          <w:p w14:paraId="373ABF84"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D2077D" w14:textId="77777777" w:rsidR="00000000" w:rsidRDefault="00195E73">
            <w:pPr>
              <w:jc w:val="right"/>
              <w:rPr>
                <w:rFonts w:eastAsia="Times New Roman"/>
              </w:rPr>
            </w:pPr>
            <w:r>
              <w:rPr>
                <w:rFonts w:eastAsia="Times New Roman"/>
                <w:color w:val="000000"/>
                <w:sz w:val="12"/>
                <w:szCs w:val="12"/>
              </w:rPr>
              <w:t>6,297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B762CC4"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4FA01353"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B1232DD" w14:textId="77777777" w:rsidR="00000000" w:rsidRDefault="00195E73">
            <w:pPr>
              <w:jc w:val="right"/>
              <w:rPr>
                <w:rFonts w:eastAsia="Times New Roman"/>
              </w:rPr>
            </w:pPr>
            <w:r>
              <w:rPr>
                <w:rFonts w:eastAsia="Times New Roman"/>
                <w:color w:val="000000"/>
                <w:sz w:val="12"/>
                <w:szCs w:val="12"/>
              </w:rPr>
              <w:t>8,192</w:t>
            </w:r>
            <w:r>
              <w:rPr>
                <w:rFonts w:eastAsia="Times New Roman"/>
                <w:color w:val="000000"/>
                <w:sz w:val="12"/>
                <w:szCs w:val="12"/>
              </w:rPr>
              <w:t> </w:t>
            </w:r>
            <w:r>
              <w:rPr>
                <w:rFonts w:eastAsia="Times New Roman"/>
                <w:color w:val="000000"/>
                <w:sz w:val="12"/>
                <w:szCs w:val="12"/>
              </w:rPr>
              <w:t> </w:t>
            </w:r>
          </w:p>
        </w:tc>
      </w:tr>
      <w:tr w:rsidR="00195E73" w14:paraId="4C683CCC" w14:textId="77777777">
        <w:trPr>
          <w:divId w:val="945890840"/>
          <w:jc w:val="center"/>
        </w:trPr>
        <w:tc>
          <w:tcPr>
            <w:tcW w:w="0" w:type="auto"/>
            <w:gridSpan w:val="3"/>
            <w:shd w:val="clear" w:color="auto" w:fill="FFFFFF"/>
            <w:tcMar>
              <w:top w:w="30" w:type="dxa"/>
              <w:left w:w="20" w:type="dxa"/>
              <w:bottom w:w="30" w:type="dxa"/>
              <w:right w:w="20" w:type="dxa"/>
            </w:tcMar>
            <w:vAlign w:val="bottom"/>
            <w:hideMark/>
          </w:tcPr>
          <w:p w14:paraId="7DAAE191" w14:textId="77777777" w:rsidR="00000000" w:rsidRDefault="00195E73">
            <w:pPr>
              <w:rPr>
                <w:rFonts w:eastAsia="Times New Roman"/>
              </w:rPr>
            </w:pPr>
            <w:r>
              <w:rPr>
                <w:rFonts w:eastAsia="Times New Roman"/>
                <w:color w:val="000000"/>
                <w:sz w:val="12"/>
                <w:szCs w:val="12"/>
              </w:rPr>
              <w:t>   Total liabilitie</w:t>
            </w:r>
            <w:r>
              <w:rPr>
                <w:rFonts w:eastAsia="Times New Roman"/>
                <w:color w:val="000000"/>
                <w:sz w:val="12"/>
                <w:szCs w:val="12"/>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9C75A2" w14:textId="77777777" w:rsidR="00000000" w:rsidRDefault="00195E73">
            <w:pPr>
              <w:jc w:val="right"/>
              <w:rPr>
                <w:rFonts w:eastAsia="Times New Roman"/>
              </w:rPr>
            </w:pPr>
            <w:r>
              <w:rPr>
                <w:rFonts w:eastAsia="Times New Roman"/>
                <w:color w:val="000000"/>
                <w:sz w:val="12"/>
                <w:szCs w:val="12"/>
              </w:rPr>
              <w:t>2,500</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059885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5D140B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AB5ECE" w14:textId="77777777" w:rsidR="00000000" w:rsidRDefault="00195E73">
            <w:pPr>
              <w:jc w:val="right"/>
              <w:rPr>
                <w:rFonts w:eastAsia="Times New Roman"/>
              </w:rPr>
            </w:pPr>
            <w:r>
              <w:rPr>
                <w:rFonts w:eastAsia="Times New Roman"/>
                <w:color w:val="000000"/>
                <w:sz w:val="12"/>
                <w:szCs w:val="12"/>
              </w:rPr>
              <w:t>2,375</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460C78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FD32C7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5E4B7D" w14:textId="77777777" w:rsidR="00000000" w:rsidRDefault="00195E73">
            <w:pPr>
              <w:jc w:val="right"/>
              <w:rPr>
                <w:rFonts w:eastAsia="Times New Roman"/>
              </w:rPr>
            </w:pPr>
            <w:r>
              <w:rPr>
                <w:rFonts w:eastAsia="Times New Roman"/>
                <w:color w:val="000000"/>
                <w:sz w:val="12"/>
                <w:szCs w:val="12"/>
              </w:rPr>
              <w:t>1,745</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382EE5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0FDBFE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B86514" w14:textId="77777777" w:rsidR="00000000" w:rsidRDefault="00195E73">
            <w:pPr>
              <w:jc w:val="right"/>
              <w:rPr>
                <w:rFonts w:eastAsia="Times New Roman"/>
              </w:rPr>
            </w:pPr>
            <w:r>
              <w:rPr>
                <w:rFonts w:eastAsia="Times New Roman"/>
                <w:color w:val="000000"/>
                <w:sz w:val="12"/>
                <w:szCs w:val="12"/>
              </w:rPr>
              <w:t>464</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A0A676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C2E1B5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DC67B1" w14:textId="77777777" w:rsidR="00000000" w:rsidRDefault="00195E73">
            <w:pPr>
              <w:jc w:val="right"/>
              <w:rPr>
                <w:rFonts w:eastAsia="Times New Roman"/>
              </w:rPr>
            </w:pPr>
            <w:r>
              <w:rPr>
                <w:rFonts w:eastAsia="Times New Roman"/>
                <w:color w:val="000000"/>
                <w:sz w:val="12"/>
                <w:szCs w:val="12"/>
              </w:rPr>
              <w:t>77</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582F83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C7A67F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F38231" w14:textId="77777777" w:rsidR="00000000" w:rsidRDefault="00195E73">
            <w:pPr>
              <w:jc w:val="right"/>
              <w:rPr>
                <w:rFonts w:eastAsia="Times New Roman"/>
              </w:rPr>
            </w:pPr>
            <w:r>
              <w:rPr>
                <w:rFonts w:eastAsia="Times New Roman"/>
                <w:color w:val="000000"/>
                <w:sz w:val="12"/>
                <w:szCs w:val="12"/>
              </w:rPr>
              <w:t>40</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ED6574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FDE676D"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32A261" w14:textId="77777777" w:rsidR="00000000" w:rsidRDefault="00195E73">
            <w:pPr>
              <w:jc w:val="right"/>
              <w:rPr>
                <w:rFonts w:eastAsia="Times New Roman"/>
              </w:rPr>
            </w:pPr>
            <w:r>
              <w:rPr>
                <w:rFonts w:eastAsia="Times New Roman"/>
                <w:color w:val="000000"/>
                <w:sz w:val="12"/>
                <w:szCs w:val="12"/>
              </w:rPr>
              <w:t>84</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B8C3EB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E4F371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015F2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FACF17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8B7BA25" w14:textId="77777777" w:rsidR="00000000" w:rsidRDefault="00195E73">
            <w:pPr>
              <w:jc w:val="right"/>
              <w:rPr>
                <w:rFonts w:eastAsia="Times New Roman"/>
              </w:rPr>
            </w:pPr>
          </w:p>
        </w:tc>
        <w:tc>
          <w:tcPr>
            <w:tcW w:w="0" w:type="auto"/>
            <w:vAlign w:val="center"/>
            <w:hideMark/>
          </w:tcPr>
          <w:p w14:paraId="7B6CFE52" w14:textId="77777777" w:rsidR="00000000" w:rsidRDefault="00195E73">
            <w:pPr>
              <w:rPr>
                <w:rFonts w:eastAsia="Times New Roman"/>
                <w:sz w:val="20"/>
                <w:szCs w:val="20"/>
              </w:rPr>
            </w:pPr>
          </w:p>
        </w:tc>
        <w:tc>
          <w:tcPr>
            <w:tcW w:w="0" w:type="auto"/>
            <w:vAlign w:val="center"/>
            <w:hideMark/>
          </w:tcPr>
          <w:p w14:paraId="1F658AAC" w14:textId="77777777" w:rsidR="00000000" w:rsidRDefault="00195E7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85BE21" w14:textId="77777777" w:rsidR="00000000" w:rsidRDefault="00195E73">
            <w:pPr>
              <w:jc w:val="right"/>
              <w:rPr>
                <w:rFonts w:eastAsia="Times New Roman"/>
              </w:rPr>
            </w:pPr>
            <w:r>
              <w:rPr>
                <w:rFonts w:eastAsia="Times New Roman"/>
                <w:color w:val="000000"/>
                <w:sz w:val="12"/>
                <w:szCs w:val="12"/>
              </w:rPr>
              <w:t>6,412</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6DBC311"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77D73D29"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5253DE" w14:textId="77777777" w:rsidR="00000000" w:rsidRDefault="00195E73">
            <w:pPr>
              <w:jc w:val="right"/>
              <w:rPr>
                <w:rFonts w:eastAsia="Times New Roman"/>
              </w:rPr>
            </w:pPr>
            <w:r>
              <w:rPr>
                <w:rFonts w:eastAsia="Times New Roman"/>
                <w:color w:val="000000"/>
                <w:sz w:val="12"/>
                <w:szCs w:val="12"/>
              </w:rPr>
              <w:t>13,697</w:t>
            </w:r>
            <w:r>
              <w:rPr>
                <w:rFonts w:eastAsia="Times New Roman"/>
                <w:color w:val="000000"/>
                <w:sz w:val="12"/>
                <w:szCs w:val="12"/>
              </w:rPr>
              <w:t> </w:t>
            </w:r>
            <w:r>
              <w:rPr>
                <w:rFonts w:eastAsia="Times New Roman"/>
                <w:color w:val="000000"/>
                <w:sz w:val="12"/>
                <w:szCs w:val="12"/>
              </w:rPr>
              <w:t> </w:t>
            </w:r>
          </w:p>
        </w:tc>
      </w:tr>
      <w:tr w:rsidR="00000000" w14:paraId="4F0C79B5" w14:textId="77777777">
        <w:trPr>
          <w:divId w:val="945890840"/>
          <w:trHeight w:val="180"/>
          <w:jc w:val="center"/>
        </w:trPr>
        <w:tc>
          <w:tcPr>
            <w:tcW w:w="0" w:type="auto"/>
            <w:gridSpan w:val="3"/>
            <w:shd w:val="clear" w:color="auto" w:fill="CCEEFF"/>
            <w:tcMar>
              <w:top w:w="15" w:type="dxa"/>
              <w:left w:w="20" w:type="dxa"/>
              <w:bottom w:w="15" w:type="dxa"/>
              <w:right w:w="20" w:type="dxa"/>
            </w:tcMar>
            <w:vAlign w:val="bottom"/>
            <w:hideMark/>
          </w:tcPr>
          <w:p w14:paraId="55F12D15" w14:textId="77777777" w:rsidR="00000000" w:rsidRDefault="00195E73">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205B69B4"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DF2E785"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AA8BDF3"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68BC4A7"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B042F68"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A9B8278"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3AE91FB1"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C71AAEF"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FB7604D"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8F63CC5"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2986206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9957977"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6619B9B"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99B46D3"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4F8EB5D"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C6A190A" w14:textId="77777777" w:rsidR="00000000" w:rsidRDefault="00195E73">
            <w:pPr>
              <w:rPr>
                <w:rFonts w:eastAsia="Times New Roman"/>
                <w:sz w:val="20"/>
                <w:szCs w:val="20"/>
              </w:rPr>
            </w:pPr>
          </w:p>
        </w:tc>
        <w:tc>
          <w:tcPr>
            <w:tcW w:w="0" w:type="auto"/>
            <w:vAlign w:val="center"/>
            <w:hideMark/>
          </w:tcPr>
          <w:p w14:paraId="7D4F6EB1" w14:textId="77777777" w:rsidR="00000000" w:rsidRDefault="00195E73">
            <w:pPr>
              <w:rPr>
                <w:rFonts w:eastAsia="Times New Roman"/>
                <w:sz w:val="20"/>
                <w:szCs w:val="20"/>
              </w:rPr>
            </w:pPr>
          </w:p>
        </w:tc>
        <w:tc>
          <w:tcPr>
            <w:tcW w:w="0" w:type="auto"/>
            <w:vAlign w:val="center"/>
            <w:hideMark/>
          </w:tcPr>
          <w:p w14:paraId="6B56893D"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1DBDC9F" w14:textId="77777777" w:rsidR="00000000" w:rsidRDefault="00195E73">
            <w:pPr>
              <w:rPr>
                <w:rFonts w:eastAsia="Times New Roman"/>
                <w:sz w:val="20"/>
                <w:szCs w:val="20"/>
              </w:rPr>
            </w:pPr>
          </w:p>
        </w:tc>
        <w:tc>
          <w:tcPr>
            <w:tcW w:w="0" w:type="auto"/>
            <w:gridSpan w:val="2"/>
            <w:shd w:val="clear" w:color="auto" w:fill="CCEEFF"/>
            <w:tcMar>
              <w:top w:w="15" w:type="dxa"/>
              <w:left w:w="20" w:type="dxa"/>
              <w:bottom w:w="15" w:type="dxa"/>
              <w:right w:w="20" w:type="dxa"/>
            </w:tcMar>
            <w:vAlign w:val="bottom"/>
            <w:hideMark/>
          </w:tcPr>
          <w:p w14:paraId="1AABBC85" w14:textId="77777777" w:rsidR="00000000" w:rsidRDefault="00195E73">
            <w:pPr>
              <w:rPr>
                <w:rFonts w:eastAsia="Times New Roman"/>
                <w:sz w:val="20"/>
                <w:szCs w:val="20"/>
              </w:rPr>
            </w:pPr>
          </w:p>
        </w:tc>
        <w:tc>
          <w:tcPr>
            <w:tcW w:w="0" w:type="auto"/>
            <w:tcBorders>
              <w:top w:val="single" w:sz="8" w:space="0" w:color="000000"/>
            </w:tcBorders>
            <w:shd w:val="clear" w:color="auto" w:fill="CCEEFF"/>
            <w:tcMar>
              <w:top w:w="15" w:type="dxa"/>
              <w:left w:w="20" w:type="dxa"/>
              <w:bottom w:w="15" w:type="dxa"/>
              <w:right w:w="20" w:type="dxa"/>
            </w:tcMar>
            <w:vAlign w:val="bottom"/>
            <w:hideMark/>
          </w:tcPr>
          <w:p w14:paraId="496BFE6D" w14:textId="77777777" w:rsidR="00000000" w:rsidRDefault="00195E73">
            <w:pPr>
              <w:rPr>
                <w:rFonts w:eastAsia="Times New Roman"/>
                <w:sz w:val="20"/>
                <w:szCs w:val="20"/>
              </w:rPr>
            </w:pPr>
          </w:p>
        </w:tc>
      </w:tr>
      <w:tr w:rsidR="00195E73" w14:paraId="758BE50E" w14:textId="77777777">
        <w:trPr>
          <w:divId w:val="945890840"/>
          <w:jc w:val="center"/>
        </w:trPr>
        <w:tc>
          <w:tcPr>
            <w:tcW w:w="0" w:type="auto"/>
            <w:gridSpan w:val="3"/>
            <w:shd w:val="clear" w:color="auto" w:fill="FFFFFF"/>
            <w:tcMar>
              <w:top w:w="30" w:type="dxa"/>
              <w:left w:w="20" w:type="dxa"/>
              <w:bottom w:w="30" w:type="dxa"/>
              <w:right w:w="20" w:type="dxa"/>
            </w:tcMar>
            <w:vAlign w:val="bottom"/>
            <w:hideMark/>
          </w:tcPr>
          <w:p w14:paraId="2CA5F3FD" w14:textId="77777777" w:rsidR="00000000" w:rsidRDefault="00195E73">
            <w:pPr>
              <w:ind w:hanging="180"/>
              <w:divId w:val="1206916172"/>
              <w:rPr>
                <w:rFonts w:eastAsia="Times New Roman"/>
              </w:rPr>
            </w:pPr>
            <w:r>
              <w:rPr>
                <w:rFonts w:eastAsia="Times New Roman"/>
                <w:color w:val="000000"/>
                <w:sz w:val="12"/>
                <w:szCs w:val="12"/>
              </w:rPr>
              <w:t>Equity attributable to Icahn Enterprise</w:t>
            </w:r>
            <w:r>
              <w:rPr>
                <w:rFonts w:eastAsia="Times New Roman"/>
                <w:color w:val="000000"/>
                <w:sz w:val="12"/>
                <w:szCs w:val="12"/>
              </w:rPr>
              <w:t>s</w:t>
            </w:r>
          </w:p>
        </w:tc>
        <w:tc>
          <w:tcPr>
            <w:tcW w:w="0" w:type="auto"/>
            <w:gridSpan w:val="2"/>
            <w:shd w:val="clear" w:color="auto" w:fill="FFFFFF"/>
            <w:tcMar>
              <w:top w:w="30" w:type="dxa"/>
              <w:left w:w="20" w:type="dxa"/>
              <w:bottom w:w="30" w:type="dxa"/>
              <w:right w:w="0" w:type="dxa"/>
            </w:tcMar>
            <w:vAlign w:val="bottom"/>
            <w:hideMark/>
          </w:tcPr>
          <w:p w14:paraId="758E0594" w14:textId="77777777" w:rsidR="00000000" w:rsidRDefault="00195E73">
            <w:pPr>
              <w:jc w:val="right"/>
              <w:rPr>
                <w:rFonts w:eastAsia="Times New Roman"/>
              </w:rPr>
            </w:pPr>
            <w:r>
              <w:rPr>
                <w:rFonts w:eastAsia="Times New Roman"/>
                <w:color w:val="000000"/>
                <w:sz w:val="12"/>
                <w:szCs w:val="12"/>
              </w:rPr>
              <w:t>4,296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478E25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C90333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0AB33C" w14:textId="77777777" w:rsidR="00000000" w:rsidRDefault="00195E73">
            <w:pPr>
              <w:jc w:val="right"/>
              <w:rPr>
                <w:rFonts w:eastAsia="Times New Roman"/>
              </w:rPr>
            </w:pPr>
            <w:r>
              <w:rPr>
                <w:rFonts w:eastAsia="Times New Roman"/>
                <w:color w:val="000000"/>
                <w:sz w:val="12"/>
                <w:szCs w:val="12"/>
              </w:rPr>
              <w:t>1,312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C8AB2E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FFD306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3721B4" w14:textId="77777777" w:rsidR="00000000" w:rsidRDefault="00195E73">
            <w:pPr>
              <w:jc w:val="right"/>
              <w:rPr>
                <w:rFonts w:eastAsia="Times New Roman"/>
              </w:rPr>
            </w:pPr>
            <w:r>
              <w:rPr>
                <w:rFonts w:eastAsia="Times New Roman"/>
                <w:color w:val="000000"/>
                <w:sz w:val="12"/>
                <w:szCs w:val="12"/>
              </w:rPr>
              <w:t>1,750</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114F65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C3C574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ED248C" w14:textId="77777777" w:rsidR="00000000" w:rsidRDefault="00195E73">
            <w:pPr>
              <w:jc w:val="right"/>
              <w:rPr>
                <w:rFonts w:eastAsia="Times New Roman"/>
              </w:rPr>
            </w:pPr>
            <w:r>
              <w:rPr>
                <w:rFonts w:eastAsia="Times New Roman"/>
                <w:color w:val="000000"/>
                <w:sz w:val="12"/>
                <w:szCs w:val="12"/>
              </w:rPr>
              <w:t>40</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19FE77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E7F7ED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330528" w14:textId="77777777" w:rsidR="00000000" w:rsidRDefault="00195E73">
            <w:pPr>
              <w:jc w:val="right"/>
              <w:rPr>
                <w:rFonts w:eastAsia="Times New Roman"/>
              </w:rPr>
            </w:pPr>
            <w:r>
              <w:rPr>
                <w:rFonts w:eastAsia="Times New Roman"/>
                <w:color w:val="000000"/>
                <w:sz w:val="12"/>
                <w:szCs w:val="12"/>
              </w:rPr>
              <w:t>156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C59A8B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6A9945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ACF273" w14:textId="77777777" w:rsidR="00000000" w:rsidRDefault="00195E73">
            <w:pPr>
              <w:jc w:val="right"/>
              <w:rPr>
                <w:rFonts w:eastAsia="Times New Roman"/>
              </w:rPr>
            </w:pPr>
            <w:r>
              <w:rPr>
                <w:rFonts w:eastAsia="Times New Roman"/>
                <w:color w:val="000000"/>
                <w:sz w:val="12"/>
                <w:szCs w:val="12"/>
              </w:rPr>
              <w:t>474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FDDF0A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0653BE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B92BCB" w14:textId="77777777" w:rsidR="00000000" w:rsidRDefault="00195E73">
            <w:pPr>
              <w:jc w:val="right"/>
              <w:rPr>
                <w:rFonts w:eastAsia="Times New Roman"/>
              </w:rPr>
            </w:pPr>
            <w:r>
              <w:rPr>
                <w:rFonts w:eastAsia="Times New Roman"/>
                <w:color w:val="000000"/>
                <w:sz w:val="12"/>
                <w:szCs w:val="12"/>
              </w:rPr>
              <w:t>147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8D2012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B824EE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195CF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5113FC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1C8CEC0" w14:textId="77777777" w:rsidR="00000000" w:rsidRDefault="00195E73">
            <w:pPr>
              <w:jc w:val="right"/>
              <w:rPr>
                <w:rFonts w:eastAsia="Times New Roman"/>
              </w:rPr>
            </w:pPr>
          </w:p>
        </w:tc>
        <w:tc>
          <w:tcPr>
            <w:tcW w:w="0" w:type="auto"/>
            <w:vAlign w:val="center"/>
            <w:hideMark/>
          </w:tcPr>
          <w:p w14:paraId="2FB04F3A" w14:textId="77777777" w:rsidR="00000000" w:rsidRDefault="00195E73">
            <w:pPr>
              <w:rPr>
                <w:rFonts w:eastAsia="Times New Roman"/>
                <w:sz w:val="20"/>
                <w:szCs w:val="20"/>
              </w:rPr>
            </w:pPr>
          </w:p>
        </w:tc>
        <w:tc>
          <w:tcPr>
            <w:tcW w:w="0" w:type="auto"/>
            <w:vAlign w:val="center"/>
            <w:hideMark/>
          </w:tcPr>
          <w:p w14:paraId="19DC35BF"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06936A" w14:textId="77777777" w:rsidR="00000000" w:rsidRDefault="00195E73">
            <w:pPr>
              <w:jc w:val="right"/>
              <w:rPr>
                <w:rFonts w:eastAsia="Times New Roman"/>
              </w:rPr>
            </w:pPr>
            <w:r>
              <w:rPr>
                <w:rFonts w:eastAsia="Times New Roman"/>
                <w:color w:val="000000"/>
                <w:sz w:val="12"/>
                <w:szCs w:val="12"/>
              </w:rPr>
              <w:t>(2,719</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075217BD"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7365530C"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12FE5B4" w14:textId="77777777" w:rsidR="00000000" w:rsidRDefault="00195E73">
            <w:pPr>
              <w:jc w:val="right"/>
              <w:rPr>
                <w:rFonts w:eastAsia="Times New Roman"/>
              </w:rPr>
            </w:pPr>
            <w:r>
              <w:rPr>
                <w:rFonts w:eastAsia="Times New Roman"/>
                <w:color w:val="000000"/>
                <w:sz w:val="12"/>
                <w:szCs w:val="12"/>
              </w:rPr>
              <w:t>5,456</w:t>
            </w:r>
            <w:r>
              <w:rPr>
                <w:rFonts w:eastAsia="Times New Roman"/>
                <w:color w:val="000000"/>
                <w:sz w:val="12"/>
                <w:szCs w:val="12"/>
              </w:rPr>
              <w:t> </w:t>
            </w:r>
            <w:r>
              <w:rPr>
                <w:rFonts w:eastAsia="Times New Roman"/>
                <w:color w:val="000000"/>
                <w:sz w:val="12"/>
                <w:szCs w:val="12"/>
              </w:rPr>
              <w:t> </w:t>
            </w:r>
          </w:p>
        </w:tc>
      </w:tr>
      <w:tr w:rsidR="00195E73" w14:paraId="5DF9EFA0" w14:textId="77777777">
        <w:trPr>
          <w:divId w:val="945890840"/>
          <w:jc w:val="center"/>
        </w:trPr>
        <w:tc>
          <w:tcPr>
            <w:tcW w:w="0" w:type="auto"/>
            <w:gridSpan w:val="3"/>
            <w:shd w:val="clear" w:color="auto" w:fill="CCEEFF"/>
            <w:tcMar>
              <w:top w:w="30" w:type="dxa"/>
              <w:left w:w="20" w:type="dxa"/>
              <w:bottom w:w="30" w:type="dxa"/>
              <w:right w:w="20" w:type="dxa"/>
            </w:tcMar>
            <w:vAlign w:val="bottom"/>
            <w:hideMark/>
          </w:tcPr>
          <w:p w14:paraId="12DF52E8" w14:textId="77777777" w:rsidR="00000000" w:rsidRDefault="00195E73">
            <w:pPr>
              <w:ind w:hanging="180"/>
              <w:divId w:val="788208897"/>
              <w:rPr>
                <w:rFonts w:eastAsia="Times New Roman"/>
              </w:rPr>
            </w:pPr>
            <w:r>
              <w:rPr>
                <w:rFonts w:eastAsia="Times New Roman"/>
                <w:color w:val="000000"/>
                <w:sz w:val="12"/>
                <w:szCs w:val="12"/>
              </w:rPr>
              <w:t>Equity attributable to non-controlling interest</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1C7C5BD6" w14:textId="77777777" w:rsidR="00000000" w:rsidRDefault="00195E73">
            <w:pPr>
              <w:jc w:val="right"/>
              <w:rPr>
                <w:rFonts w:eastAsia="Times New Roman"/>
              </w:rPr>
            </w:pPr>
            <w:r>
              <w:rPr>
                <w:rFonts w:eastAsia="Times New Roman"/>
                <w:color w:val="000000"/>
                <w:sz w:val="12"/>
                <w:szCs w:val="12"/>
              </w:rPr>
              <w:t>4,487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9DBD42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1665A2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9D1AF4" w14:textId="77777777" w:rsidR="00000000" w:rsidRDefault="00195E73">
            <w:pPr>
              <w:jc w:val="right"/>
              <w:rPr>
                <w:rFonts w:eastAsia="Times New Roman"/>
              </w:rPr>
            </w:pPr>
            <w:r>
              <w:rPr>
                <w:rFonts w:eastAsia="Times New Roman"/>
                <w:color w:val="000000"/>
                <w:sz w:val="12"/>
                <w:szCs w:val="12"/>
              </w:rPr>
              <w:t>986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C1FD07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B8E410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6249F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4BB819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866311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7595D8" w14:textId="77777777" w:rsidR="00000000" w:rsidRDefault="00195E73">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102678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44B24E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D275F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205AE0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EF1F5B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6C700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211C03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E08B0F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79AE2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D1BC1E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CEA6E5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970A7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57A614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2F2FB5F" w14:textId="77777777" w:rsidR="00000000" w:rsidRDefault="00195E73">
            <w:pPr>
              <w:jc w:val="right"/>
              <w:rPr>
                <w:rFonts w:eastAsia="Times New Roman"/>
              </w:rPr>
            </w:pPr>
          </w:p>
        </w:tc>
        <w:tc>
          <w:tcPr>
            <w:tcW w:w="0" w:type="auto"/>
            <w:vAlign w:val="center"/>
            <w:hideMark/>
          </w:tcPr>
          <w:p w14:paraId="7EA23AC8" w14:textId="77777777" w:rsidR="00000000" w:rsidRDefault="00195E73">
            <w:pPr>
              <w:rPr>
                <w:rFonts w:eastAsia="Times New Roman"/>
                <w:sz w:val="20"/>
                <w:szCs w:val="20"/>
              </w:rPr>
            </w:pPr>
          </w:p>
        </w:tc>
        <w:tc>
          <w:tcPr>
            <w:tcW w:w="0" w:type="auto"/>
            <w:vAlign w:val="center"/>
            <w:hideMark/>
          </w:tcPr>
          <w:p w14:paraId="30B6119A"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CE200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5AF99A4"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5CA5EE09"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4A9B7B8" w14:textId="77777777" w:rsidR="00000000" w:rsidRDefault="00195E73">
            <w:pPr>
              <w:jc w:val="right"/>
              <w:rPr>
                <w:rFonts w:eastAsia="Times New Roman"/>
              </w:rPr>
            </w:pPr>
            <w:r>
              <w:rPr>
                <w:rFonts w:eastAsia="Times New Roman"/>
                <w:color w:val="000000"/>
                <w:sz w:val="12"/>
                <w:szCs w:val="12"/>
              </w:rPr>
              <w:t>5,486</w:t>
            </w:r>
            <w:r>
              <w:rPr>
                <w:rFonts w:eastAsia="Times New Roman"/>
                <w:color w:val="000000"/>
                <w:sz w:val="12"/>
                <w:szCs w:val="12"/>
              </w:rPr>
              <w:t> </w:t>
            </w:r>
            <w:r>
              <w:rPr>
                <w:rFonts w:eastAsia="Times New Roman"/>
                <w:color w:val="000000"/>
                <w:sz w:val="12"/>
                <w:szCs w:val="12"/>
              </w:rPr>
              <w:t> </w:t>
            </w:r>
          </w:p>
        </w:tc>
      </w:tr>
      <w:tr w:rsidR="00195E73" w14:paraId="3894A8FD" w14:textId="77777777">
        <w:trPr>
          <w:divId w:val="945890840"/>
          <w:jc w:val="center"/>
        </w:trPr>
        <w:tc>
          <w:tcPr>
            <w:tcW w:w="0" w:type="auto"/>
            <w:gridSpan w:val="3"/>
            <w:shd w:val="clear" w:color="auto" w:fill="FFFFFF"/>
            <w:tcMar>
              <w:top w:w="30" w:type="dxa"/>
              <w:left w:w="20" w:type="dxa"/>
              <w:bottom w:w="30" w:type="dxa"/>
              <w:right w:w="20" w:type="dxa"/>
            </w:tcMar>
            <w:vAlign w:val="bottom"/>
            <w:hideMark/>
          </w:tcPr>
          <w:p w14:paraId="586AA889" w14:textId="77777777" w:rsidR="00000000" w:rsidRDefault="00195E73">
            <w:pPr>
              <w:rPr>
                <w:rFonts w:eastAsia="Times New Roman"/>
              </w:rPr>
            </w:pPr>
            <w:r>
              <w:rPr>
                <w:rFonts w:eastAsia="Times New Roman"/>
                <w:color w:val="000000"/>
                <w:sz w:val="12"/>
                <w:szCs w:val="12"/>
              </w:rPr>
              <w:t>   Total equit</w:t>
            </w:r>
            <w:r>
              <w:rPr>
                <w:rFonts w:eastAsia="Times New Roman"/>
                <w:color w:val="000000"/>
                <w:sz w:val="12"/>
                <w:szCs w:val="12"/>
              </w:rPr>
              <w: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D080B1" w14:textId="77777777" w:rsidR="00000000" w:rsidRDefault="00195E73">
            <w:pPr>
              <w:jc w:val="right"/>
              <w:rPr>
                <w:rFonts w:eastAsia="Times New Roman"/>
              </w:rPr>
            </w:pPr>
            <w:r>
              <w:rPr>
                <w:rFonts w:eastAsia="Times New Roman"/>
                <w:color w:val="000000"/>
                <w:sz w:val="12"/>
                <w:szCs w:val="12"/>
              </w:rPr>
              <w:t>8,783</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FE5AF8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98B0AA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25AA2D" w14:textId="77777777" w:rsidR="00000000" w:rsidRDefault="00195E73">
            <w:pPr>
              <w:jc w:val="right"/>
              <w:rPr>
                <w:rFonts w:eastAsia="Times New Roman"/>
              </w:rPr>
            </w:pPr>
            <w:r>
              <w:rPr>
                <w:rFonts w:eastAsia="Times New Roman"/>
                <w:color w:val="000000"/>
                <w:sz w:val="12"/>
                <w:szCs w:val="12"/>
              </w:rPr>
              <w:t>2,298</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DFE489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F33338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4B9842" w14:textId="77777777" w:rsidR="00000000" w:rsidRDefault="00195E73">
            <w:pPr>
              <w:jc w:val="right"/>
              <w:rPr>
                <w:rFonts w:eastAsia="Times New Roman"/>
              </w:rPr>
            </w:pPr>
            <w:r>
              <w:rPr>
                <w:rFonts w:eastAsia="Times New Roman"/>
                <w:color w:val="000000"/>
                <w:sz w:val="12"/>
                <w:szCs w:val="12"/>
              </w:rPr>
              <w:t>1,750</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11CDEE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B9F8C2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D1486E" w14:textId="77777777" w:rsidR="00000000" w:rsidRDefault="00195E73">
            <w:pPr>
              <w:jc w:val="right"/>
              <w:rPr>
                <w:rFonts w:eastAsia="Times New Roman"/>
              </w:rPr>
            </w:pPr>
            <w:r>
              <w:rPr>
                <w:rFonts w:eastAsia="Times New Roman"/>
                <w:color w:val="000000"/>
                <w:sz w:val="12"/>
                <w:szCs w:val="12"/>
              </w:rPr>
              <w:t>53</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1D47E1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FF672A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98538B" w14:textId="77777777" w:rsidR="00000000" w:rsidRDefault="00195E73">
            <w:pPr>
              <w:jc w:val="right"/>
              <w:rPr>
                <w:rFonts w:eastAsia="Times New Roman"/>
              </w:rPr>
            </w:pPr>
            <w:r>
              <w:rPr>
                <w:rFonts w:eastAsia="Times New Roman"/>
                <w:color w:val="000000"/>
                <w:sz w:val="12"/>
                <w:szCs w:val="12"/>
              </w:rPr>
              <w:t>156</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AC9D93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C9F8F3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450DDC" w14:textId="77777777" w:rsidR="00000000" w:rsidRDefault="00195E73">
            <w:pPr>
              <w:jc w:val="right"/>
              <w:rPr>
                <w:rFonts w:eastAsia="Times New Roman"/>
              </w:rPr>
            </w:pPr>
            <w:r>
              <w:rPr>
                <w:rFonts w:eastAsia="Times New Roman"/>
                <w:color w:val="000000"/>
                <w:sz w:val="12"/>
                <w:szCs w:val="12"/>
              </w:rPr>
              <w:t>474</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431A09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EE9A70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B994E8" w14:textId="77777777" w:rsidR="00000000" w:rsidRDefault="00195E73">
            <w:pPr>
              <w:jc w:val="right"/>
              <w:rPr>
                <w:rFonts w:eastAsia="Times New Roman"/>
              </w:rPr>
            </w:pPr>
            <w:r>
              <w:rPr>
                <w:rFonts w:eastAsia="Times New Roman"/>
                <w:color w:val="000000"/>
                <w:sz w:val="12"/>
                <w:szCs w:val="12"/>
              </w:rPr>
              <w:t>147</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E92483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CE87DA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2A5C0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A19F80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14DCD7D" w14:textId="77777777" w:rsidR="00000000" w:rsidRDefault="00195E73">
            <w:pPr>
              <w:jc w:val="right"/>
              <w:rPr>
                <w:rFonts w:eastAsia="Times New Roman"/>
              </w:rPr>
            </w:pPr>
          </w:p>
        </w:tc>
        <w:tc>
          <w:tcPr>
            <w:tcW w:w="0" w:type="auto"/>
            <w:vAlign w:val="center"/>
            <w:hideMark/>
          </w:tcPr>
          <w:p w14:paraId="20D0E1D2" w14:textId="77777777" w:rsidR="00000000" w:rsidRDefault="00195E73">
            <w:pPr>
              <w:rPr>
                <w:rFonts w:eastAsia="Times New Roman"/>
                <w:sz w:val="20"/>
                <w:szCs w:val="20"/>
              </w:rPr>
            </w:pPr>
          </w:p>
        </w:tc>
        <w:tc>
          <w:tcPr>
            <w:tcW w:w="0" w:type="auto"/>
            <w:vAlign w:val="center"/>
            <w:hideMark/>
          </w:tcPr>
          <w:p w14:paraId="0873EB9E" w14:textId="77777777" w:rsidR="00000000" w:rsidRDefault="00195E7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22BF76" w14:textId="77777777" w:rsidR="00000000" w:rsidRDefault="00195E73">
            <w:pPr>
              <w:jc w:val="right"/>
              <w:rPr>
                <w:rFonts w:eastAsia="Times New Roman"/>
              </w:rPr>
            </w:pPr>
            <w:r>
              <w:rPr>
                <w:rFonts w:eastAsia="Times New Roman"/>
                <w:color w:val="000000"/>
                <w:sz w:val="12"/>
                <w:szCs w:val="12"/>
              </w:rPr>
              <w:t>(2,719</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A17F6C2"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34624D64"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A3FB1CC" w14:textId="77777777" w:rsidR="00000000" w:rsidRDefault="00195E73">
            <w:pPr>
              <w:jc w:val="right"/>
              <w:rPr>
                <w:rFonts w:eastAsia="Times New Roman"/>
              </w:rPr>
            </w:pPr>
            <w:r>
              <w:rPr>
                <w:rFonts w:eastAsia="Times New Roman"/>
                <w:color w:val="000000"/>
                <w:sz w:val="12"/>
                <w:szCs w:val="12"/>
              </w:rPr>
              <w:t>10,942</w:t>
            </w:r>
            <w:r>
              <w:rPr>
                <w:rFonts w:eastAsia="Times New Roman"/>
                <w:color w:val="000000"/>
                <w:sz w:val="12"/>
                <w:szCs w:val="12"/>
              </w:rPr>
              <w:t> </w:t>
            </w:r>
            <w:r>
              <w:rPr>
                <w:rFonts w:eastAsia="Times New Roman"/>
                <w:color w:val="000000"/>
                <w:sz w:val="12"/>
                <w:szCs w:val="12"/>
              </w:rPr>
              <w:t> </w:t>
            </w:r>
          </w:p>
        </w:tc>
      </w:tr>
      <w:tr w:rsidR="00195E73" w14:paraId="4799A708" w14:textId="77777777">
        <w:trPr>
          <w:divId w:val="945890840"/>
          <w:jc w:val="center"/>
        </w:trPr>
        <w:tc>
          <w:tcPr>
            <w:tcW w:w="0" w:type="auto"/>
            <w:gridSpan w:val="3"/>
            <w:shd w:val="clear" w:color="auto" w:fill="CCEEFF"/>
            <w:tcMar>
              <w:top w:w="30" w:type="dxa"/>
              <w:left w:w="20" w:type="dxa"/>
              <w:bottom w:w="30" w:type="dxa"/>
              <w:right w:w="20" w:type="dxa"/>
            </w:tcMar>
            <w:vAlign w:val="bottom"/>
            <w:hideMark/>
          </w:tcPr>
          <w:p w14:paraId="3A23CF7F" w14:textId="77777777" w:rsidR="00000000" w:rsidRDefault="00195E73">
            <w:pPr>
              <w:rPr>
                <w:rFonts w:eastAsia="Times New Roman"/>
              </w:rPr>
            </w:pPr>
            <w:r>
              <w:rPr>
                <w:rFonts w:eastAsia="Times New Roman"/>
                <w:color w:val="000000"/>
                <w:sz w:val="12"/>
                <w:szCs w:val="12"/>
              </w:rPr>
              <w:t>   Total liabilities and equit</w:t>
            </w:r>
            <w:r>
              <w:rPr>
                <w:rFonts w:eastAsia="Times New Roman"/>
                <w:color w:val="000000"/>
                <w:sz w:val="12"/>
                <w:szCs w:val="12"/>
              </w:rPr>
              <w:t>y</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ADC0FF6"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75CF528" w14:textId="77777777" w:rsidR="00000000" w:rsidRDefault="00195E73">
            <w:pPr>
              <w:jc w:val="right"/>
              <w:rPr>
                <w:rFonts w:eastAsia="Times New Roman"/>
              </w:rPr>
            </w:pPr>
            <w:r>
              <w:rPr>
                <w:rFonts w:eastAsia="Times New Roman"/>
                <w:color w:val="000000"/>
                <w:sz w:val="12"/>
                <w:szCs w:val="12"/>
              </w:rPr>
              <w:t>11,283</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435E07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1F1F6E6"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A99A713"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3AB75B8" w14:textId="77777777" w:rsidR="00000000" w:rsidRDefault="00195E73">
            <w:pPr>
              <w:jc w:val="right"/>
              <w:rPr>
                <w:rFonts w:eastAsia="Times New Roman"/>
              </w:rPr>
            </w:pPr>
            <w:r>
              <w:rPr>
                <w:rFonts w:eastAsia="Times New Roman"/>
                <w:color w:val="000000"/>
                <w:sz w:val="12"/>
                <w:szCs w:val="12"/>
              </w:rPr>
              <w:t>4,673</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3CFEA4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A5CCA1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4C0C146"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1C35EC4" w14:textId="77777777" w:rsidR="00000000" w:rsidRDefault="00195E73">
            <w:pPr>
              <w:jc w:val="right"/>
              <w:rPr>
                <w:rFonts w:eastAsia="Times New Roman"/>
              </w:rPr>
            </w:pPr>
            <w:r>
              <w:rPr>
                <w:rFonts w:eastAsia="Times New Roman"/>
                <w:color w:val="000000"/>
                <w:sz w:val="12"/>
                <w:szCs w:val="12"/>
              </w:rPr>
              <w:t>3,495</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F1751D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CAC116F"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0257EC1"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97C8B20" w14:textId="77777777" w:rsidR="00000000" w:rsidRDefault="00195E73">
            <w:pPr>
              <w:jc w:val="right"/>
              <w:rPr>
                <w:rFonts w:eastAsia="Times New Roman"/>
              </w:rPr>
            </w:pPr>
            <w:r>
              <w:rPr>
                <w:rFonts w:eastAsia="Times New Roman"/>
                <w:color w:val="000000"/>
                <w:sz w:val="12"/>
                <w:szCs w:val="12"/>
              </w:rPr>
              <w:t>517</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9F242B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DF706BB"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8CA0502"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92EE5BB" w14:textId="77777777" w:rsidR="00000000" w:rsidRDefault="00195E73">
            <w:pPr>
              <w:jc w:val="right"/>
              <w:rPr>
                <w:rFonts w:eastAsia="Times New Roman"/>
              </w:rPr>
            </w:pPr>
            <w:r>
              <w:rPr>
                <w:rFonts w:eastAsia="Times New Roman"/>
                <w:color w:val="000000"/>
                <w:sz w:val="12"/>
                <w:szCs w:val="12"/>
              </w:rPr>
              <w:t>233</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730262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D3388BF"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D11C92C"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E5F8942" w14:textId="77777777" w:rsidR="00000000" w:rsidRDefault="00195E73">
            <w:pPr>
              <w:jc w:val="right"/>
              <w:rPr>
                <w:rFonts w:eastAsia="Times New Roman"/>
              </w:rPr>
            </w:pPr>
            <w:r>
              <w:rPr>
                <w:rFonts w:eastAsia="Times New Roman"/>
                <w:color w:val="000000"/>
                <w:sz w:val="12"/>
                <w:szCs w:val="12"/>
              </w:rPr>
              <w:t>514</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2216E8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79960A5"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21D779B"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F8241BD" w14:textId="77777777" w:rsidR="00000000" w:rsidRDefault="00195E73">
            <w:pPr>
              <w:jc w:val="right"/>
              <w:rPr>
                <w:rFonts w:eastAsia="Times New Roman"/>
              </w:rPr>
            </w:pPr>
            <w:r>
              <w:rPr>
                <w:rFonts w:eastAsia="Times New Roman"/>
                <w:color w:val="000000"/>
                <w:sz w:val="12"/>
                <w:szCs w:val="12"/>
              </w:rPr>
              <w:t>231</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320ADA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7B1B549"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784630C"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CD89FA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D725AE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7174750" w14:textId="77777777" w:rsidR="00000000" w:rsidRDefault="00195E73">
            <w:pPr>
              <w:jc w:val="right"/>
              <w:rPr>
                <w:rFonts w:eastAsia="Times New Roman"/>
              </w:rPr>
            </w:pPr>
          </w:p>
        </w:tc>
        <w:tc>
          <w:tcPr>
            <w:tcW w:w="0" w:type="auto"/>
            <w:vAlign w:val="center"/>
            <w:hideMark/>
          </w:tcPr>
          <w:p w14:paraId="23177C4A" w14:textId="77777777" w:rsidR="00000000" w:rsidRDefault="00195E73">
            <w:pPr>
              <w:rPr>
                <w:rFonts w:eastAsia="Times New Roman"/>
                <w:sz w:val="20"/>
                <w:szCs w:val="20"/>
              </w:rPr>
            </w:pPr>
          </w:p>
        </w:tc>
        <w:tc>
          <w:tcPr>
            <w:tcW w:w="0" w:type="auto"/>
            <w:vAlign w:val="center"/>
            <w:hideMark/>
          </w:tcPr>
          <w:p w14:paraId="5707ED83"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62F9121"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9DF9753" w14:textId="77777777" w:rsidR="00000000" w:rsidRDefault="00195E73">
            <w:pPr>
              <w:jc w:val="right"/>
              <w:rPr>
                <w:rFonts w:eastAsia="Times New Roman"/>
              </w:rPr>
            </w:pPr>
            <w:r>
              <w:rPr>
                <w:rFonts w:eastAsia="Times New Roman"/>
                <w:color w:val="000000"/>
                <w:sz w:val="12"/>
                <w:szCs w:val="12"/>
              </w:rPr>
              <w:t>3,693</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1BD1A0E"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6E9D48D3"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2FFBA45"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24,639</w:t>
            </w:r>
            <w:r>
              <w:rPr>
                <w:rFonts w:eastAsia="Times New Roman"/>
                <w:color w:val="000000"/>
                <w:sz w:val="12"/>
                <w:szCs w:val="12"/>
              </w:rPr>
              <w:t> </w:t>
            </w:r>
            <w:r>
              <w:rPr>
                <w:rFonts w:eastAsia="Times New Roman"/>
                <w:color w:val="000000"/>
                <w:sz w:val="12"/>
                <w:szCs w:val="12"/>
              </w:rPr>
              <w:t> </w:t>
            </w:r>
          </w:p>
        </w:tc>
      </w:tr>
    </w:tbl>
    <w:p w14:paraId="6CA9C00F" w14:textId="77777777" w:rsidR="00000000" w:rsidRDefault="00195E73">
      <w:pPr>
        <w:jc w:val="center"/>
        <w:rPr>
          <w:rFonts w:eastAsia="Times New Roman"/>
        </w:rPr>
      </w:pPr>
    </w:p>
    <w:p w14:paraId="4739FDB4" w14:textId="77777777" w:rsidR="00000000" w:rsidRDefault="00195E73">
      <w:pPr>
        <w:jc w:val="center"/>
        <w:divId w:val="1916351641"/>
        <w:rPr>
          <w:rFonts w:eastAsia="Times New Roman"/>
        </w:rPr>
      </w:pPr>
      <w:r>
        <w:rPr>
          <w:rFonts w:eastAsia="Times New Roman"/>
          <w:color w:val="000000"/>
          <w:sz w:val="20"/>
          <w:szCs w:val="20"/>
        </w:rPr>
        <w:t>10</w:t>
      </w:r>
      <w:r>
        <w:rPr>
          <w:rFonts w:eastAsia="Times New Roman"/>
          <w:color w:val="000000"/>
          <w:sz w:val="20"/>
          <w:szCs w:val="20"/>
        </w:rPr>
        <w:t>1</w:t>
      </w:r>
    </w:p>
    <w:p w14:paraId="16C6BEC8" w14:textId="77777777" w:rsidR="00000000" w:rsidRDefault="00195E73">
      <w:pPr>
        <w:rPr>
          <w:rFonts w:eastAsia="Times New Roman"/>
        </w:rPr>
      </w:pPr>
      <w:r>
        <w:rPr>
          <w:rFonts w:eastAsia="Times New Roman"/>
        </w:rPr>
        <w:pict w14:anchorId="6082BCC9">
          <v:rect id="_x0000_i1127" style="width:0;height:1.5pt" o:hralign="center" o:hrstd="t" o:hr="t" fillcolor="#a0a0a0" stroked="f"/>
        </w:pict>
      </w:r>
    </w:p>
    <w:p w14:paraId="6191B0B5" w14:textId="77777777" w:rsidR="00000000" w:rsidRDefault="00195E73">
      <w:pPr>
        <w:jc w:val="center"/>
        <w:divId w:val="1836873200"/>
        <w:rPr>
          <w:rFonts w:eastAsia="Times New Roman"/>
        </w:rPr>
      </w:pPr>
    </w:p>
    <w:p w14:paraId="2D34F67B" w14:textId="77777777" w:rsidR="00000000" w:rsidRDefault="00195E73">
      <w:pPr>
        <w:jc w:val="center"/>
        <w:divId w:val="1836873200"/>
        <w:rPr>
          <w:rFonts w:eastAsia="Times New Roman"/>
        </w:rPr>
      </w:pPr>
      <w:r>
        <w:rPr>
          <w:rFonts w:eastAsia="Times New Roman"/>
          <w:b/>
          <w:bCs/>
          <w:color w:val="000000"/>
          <w:sz w:val="20"/>
          <w:szCs w:val="20"/>
        </w:rPr>
        <w:t>ICAHN ENTERPRISES L.P. AND SUBSI</w:t>
      </w:r>
      <w:r>
        <w:rPr>
          <w:rFonts w:eastAsia="Times New Roman"/>
          <w:b/>
          <w:bCs/>
          <w:color w:val="000000"/>
          <w:sz w:val="20"/>
          <w:szCs w:val="20"/>
        </w:rPr>
        <w:t>DIARIE</w:t>
      </w:r>
      <w:r>
        <w:rPr>
          <w:rFonts w:eastAsia="Times New Roman"/>
          <w:b/>
          <w:bCs/>
          <w:color w:val="000000"/>
          <w:sz w:val="20"/>
          <w:szCs w:val="20"/>
        </w:rPr>
        <w:t>S</w:t>
      </w:r>
    </w:p>
    <w:p w14:paraId="63E0A7A5" w14:textId="77777777" w:rsidR="00000000" w:rsidRDefault="00195E73">
      <w:pPr>
        <w:jc w:val="center"/>
        <w:divId w:val="1836873200"/>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3C8C526A" w14:textId="77777777" w:rsidR="00000000" w:rsidRDefault="00195E73">
      <w:pPr>
        <w:jc w:val="center"/>
        <w:divId w:val="1836873200"/>
        <w:rPr>
          <w:rFonts w:eastAsia="Times New Roman"/>
        </w:rPr>
      </w:pPr>
    </w:p>
    <w:p w14:paraId="6E426E71" w14:textId="77777777" w:rsidR="00000000" w:rsidRDefault="00195E73">
      <w:pPr>
        <w:jc w:val="center"/>
        <w:divId w:val="1836873200"/>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979"/>
        <w:gridCol w:w="38"/>
        <w:gridCol w:w="96"/>
        <w:gridCol w:w="435"/>
        <w:gridCol w:w="89"/>
        <w:gridCol w:w="36"/>
        <w:gridCol w:w="36"/>
        <w:gridCol w:w="36"/>
        <w:gridCol w:w="95"/>
        <w:gridCol w:w="315"/>
        <w:gridCol w:w="65"/>
        <w:gridCol w:w="36"/>
        <w:gridCol w:w="36"/>
        <w:gridCol w:w="36"/>
        <w:gridCol w:w="96"/>
        <w:gridCol w:w="461"/>
        <w:gridCol w:w="89"/>
        <w:gridCol w:w="36"/>
        <w:gridCol w:w="36"/>
        <w:gridCol w:w="36"/>
        <w:gridCol w:w="96"/>
        <w:gridCol w:w="395"/>
        <w:gridCol w:w="89"/>
        <w:gridCol w:w="36"/>
        <w:gridCol w:w="36"/>
        <w:gridCol w:w="36"/>
        <w:gridCol w:w="95"/>
        <w:gridCol w:w="225"/>
        <w:gridCol w:w="65"/>
        <w:gridCol w:w="36"/>
        <w:gridCol w:w="36"/>
        <w:gridCol w:w="36"/>
        <w:gridCol w:w="95"/>
        <w:gridCol w:w="225"/>
        <w:gridCol w:w="65"/>
        <w:gridCol w:w="36"/>
        <w:gridCol w:w="36"/>
        <w:gridCol w:w="36"/>
        <w:gridCol w:w="96"/>
        <w:gridCol w:w="282"/>
        <w:gridCol w:w="82"/>
        <w:gridCol w:w="36"/>
        <w:gridCol w:w="36"/>
        <w:gridCol w:w="36"/>
        <w:gridCol w:w="96"/>
        <w:gridCol w:w="243"/>
        <w:gridCol w:w="85"/>
        <w:gridCol w:w="36"/>
        <w:gridCol w:w="36"/>
        <w:gridCol w:w="36"/>
        <w:gridCol w:w="36"/>
        <w:gridCol w:w="36"/>
        <w:gridCol w:w="96"/>
        <w:gridCol w:w="372"/>
        <w:gridCol w:w="84"/>
        <w:gridCol w:w="36"/>
        <w:gridCol w:w="36"/>
        <w:gridCol w:w="714"/>
      </w:tblGrid>
      <w:tr w:rsidR="00000000" w14:paraId="75A1EDD0" w14:textId="77777777">
        <w:trPr>
          <w:divId w:val="1004405925"/>
          <w:jc w:val="center"/>
        </w:trPr>
        <w:tc>
          <w:tcPr>
            <w:tcW w:w="50" w:type="pct"/>
            <w:vAlign w:val="center"/>
            <w:hideMark/>
          </w:tcPr>
          <w:p w14:paraId="0593DF43" w14:textId="77777777" w:rsidR="00000000" w:rsidRDefault="00195E73">
            <w:pPr>
              <w:jc w:val="center"/>
              <w:rPr>
                <w:rFonts w:eastAsia="Times New Roman"/>
              </w:rPr>
            </w:pPr>
          </w:p>
        </w:tc>
        <w:tc>
          <w:tcPr>
            <w:tcW w:w="1573" w:type="pct"/>
            <w:vAlign w:val="center"/>
            <w:hideMark/>
          </w:tcPr>
          <w:p w14:paraId="14E8CAB6" w14:textId="77777777" w:rsidR="00000000" w:rsidRDefault="00195E73">
            <w:pPr>
              <w:rPr>
                <w:rFonts w:eastAsia="Times New Roman"/>
                <w:sz w:val="20"/>
                <w:szCs w:val="20"/>
              </w:rPr>
            </w:pPr>
          </w:p>
        </w:tc>
        <w:tc>
          <w:tcPr>
            <w:tcW w:w="50" w:type="pct"/>
            <w:vAlign w:val="center"/>
            <w:hideMark/>
          </w:tcPr>
          <w:p w14:paraId="41B55287" w14:textId="77777777" w:rsidR="00000000" w:rsidRDefault="00195E73">
            <w:pPr>
              <w:rPr>
                <w:rFonts w:eastAsia="Times New Roman"/>
                <w:sz w:val="20"/>
                <w:szCs w:val="20"/>
              </w:rPr>
            </w:pPr>
          </w:p>
        </w:tc>
        <w:tc>
          <w:tcPr>
            <w:tcW w:w="50" w:type="pct"/>
            <w:vAlign w:val="center"/>
            <w:hideMark/>
          </w:tcPr>
          <w:p w14:paraId="642BD78A" w14:textId="77777777" w:rsidR="00000000" w:rsidRDefault="00195E73">
            <w:pPr>
              <w:rPr>
                <w:rFonts w:eastAsia="Times New Roman"/>
                <w:sz w:val="20"/>
                <w:szCs w:val="20"/>
              </w:rPr>
            </w:pPr>
          </w:p>
        </w:tc>
        <w:tc>
          <w:tcPr>
            <w:tcW w:w="243" w:type="pct"/>
            <w:vAlign w:val="center"/>
            <w:hideMark/>
          </w:tcPr>
          <w:p w14:paraId="00F8A274" w14:textId="77777777" w:rsidR="00000000" w:rsidRDefault="00195E73">
            <w:pPr>
              <w:rPr>
                <w:rFonts w:eastAsia="Times New Roman"/>
                <w:sz w:val="20"/>
                <w:szCs w:val="20"/>
              </w:rPr>
            </w:pPr>
          </w:p>
        </w:tc>
        <w:tc>
          <w:tcPr>
            <w:tcW w:w="50" w:type="pct"/>
            <w:vAlign w:val="center"/>
            <w:hideMark/>
          </w:tcPr>
          <w:p w14:paraId="5D7CDD08" w14:textId="77777777" w:rsidR="00000000" w:rsidRDefault="00195E73">
            <w:pPr>
              <w:rPr>
                <w:rFonts w:eastAsia="Times New Roman"/>
                <w:sz w:val="20"/>
                <w:szCs w:val="20"/>
              </w:rPr>
            </w:pPr>
          </w:p>
        </w:tc>
        <w:tc>
          <w:tcPr>
            <w:tcW w:w="5" w:type="pct"/>
            <w:vAlign w:val="center"/>
            <w:hideMark/>
          </w:tcPr>
          <w:p w14:paraId="1A387226" w14:textId="77777777" w:rsidR="00000000" w:rsidRDefault="00195E73">
            <w:pPr>
              <w:rPr>
                <w:rFonts w:eastAsia="Times New Roman"/>
                <w:sz w:val="20"/>
                <w:szCs w:val="20"/>
              </w:rPr>
            </w:pPr>
          </w:p>
        </w:tc>
        <w:tc>
          <w:tcPr>
            <w:tcW w:w="26" w:type="pct"/>
            <w:vAlign w:val="center"/>
            <w:hideMark/>
          </w:tcPr>
          <w:p w14:paraId="027FCC83" w14:textId="77777777" w:rsidR="00000000" w:rsidRDefault="00195E73">
            <w:pPr>
              <w:rPr>
                <w:rFonts w:eastAsia="Times New Roman"/>
                <w:sz w:val="20"/>
                <w:szCs w:val="20"/>
              </w:rPr>
            </w:pPr>
          </w:p>
        </w:tc>
        <w:tc>
          <w:tcPr>
            <w:tcW w:w="5" w:type="pct"/>
            <w:vAlign w:val="center"/>
            <w:hideMark/>
          </w:tcPr>
          <w:p w14:paraId="7BD5739C" w14:textId="77777777" w:rsidR="00000000" w:rsidRDefault="00195E73">
            <w:pPr>
              <w:rPr>
                <w:rFonts w:eastAsia="Times New Roman"/>
                <w:sz w:val="20"/>
                <w:szCs w:val="20"/>
              </w:rPr>
            </w:pPr>
          </w:p>
        </w:tc>
        <w:tc>
          <w:tcPr>
            <w:tcW w:w="50" w:type="pct"/>
            <w:vAlign w:val="center"/>
            <w:hideMark/>
          </w:tcPr>
          <w:p w14:paraId="46C12674" w14:textId="77777777" w:rsidR="00000000" w:rsidRDefault="00195E73">
            <w:pPr>
              <w:rPr>
                <w:rFonts w:eastAsia="Times New Roman"/>
                <w:sz w:val="20"/>
                <w:szCs w:val="20"/>
              </w:rPr>
            </w:pPr>
          </w:p>
        </w:tc>
        <w:tc>
          <w:tcPr>
            <w:tcW w:w="141" w:type="pct"/>
            <w:vAlign w:val="center"/>
            <w:hideMark/>
          </w:tcPr>
          <w:p w14:paraId="7AED0794" w14:textId="77777777" w:rsidR="00000000" w:rsidRDefault="00195E73">
            <w:pPr>
              <w:rPr>
                <w:rFonts w:eastAsia="Times New Roman"/>
                <w:sz w:val="20"/>
                <w:szCs w:val="20"/>
              </w:rPr>
            </w:pPr>
          </w:p>
        </w:tc>
        <w:tc>
          <w:tcPr>
            <w:tcW w:w="50" w:type="pct"/>
            <w:vAlign w:val="center"/>
            <w:hideMark/>
          </w:tcPr>
          <w:p w14:paraId="7248B7FE" w14:textId="77777777" w:rsidR="00000000" w:rsidRDefault="00195E73">
            <w:pPr>
              <w:rPr>
                <w:rFonts w:eastAsia="Times New Roman"/>
                <w:sz w:val="20"/>
                <w:szCs w:val="20"/>
              </w:rPr>
            </w:pPr>
          </w:p>
        </w:tc>
        <w:tc>
          <w:tcPr>
            <w:tcW w:w="5" w:type="pct"/>
            <w:vAlign w:val="center"/>
            <w:hideMark/>
          </w:tcPr>
          <w:p w14:paraId="6AC77598" w14:textId="77777777" w:rsidR="00000000" w:rsidRDefault="00195E73">
            <w:pPr>
              <w:rPr>
                <w:rFonts w:eastAsia="Times New Roman"/>
                <w:sz w:val="20"/>
                <w:szCs w:val="20"/>
              </w:rPr>
            </w:pPr>
          </w:p>
        </w:tc>
        <w:tc>
          <w:tcPr>
            <w:tcW w:w="26" w:type="pct"/>
            <w:vAlign w:val="center"/>
            <w:hideMark/>
          </w:tcPr>
          <w:p w14:paraId="00F73ED6" w14:textId="77777777" w:rsidR="00000000" w:rsidRDefault="00195E73">
            <w:pPr>
              <w:rPr>
                <w:rFonts w:eastAsia="Times New Roman"/>
                <w:sz w:val="20"/>
                <w:szCs w:val="20"/>
              </w:rPr>
            </w:pPr>
          </w:p>
        </w:tc>
        <w:tc>
          <w:tcPr>
            <w:tcW w:w="5" w:type="pct"/>
            <w:vAlign w:val="center"/>
            <w:hideMark/>
          </w:tcPr>
          <w:p w14:paraId="28323989" w14:textId="77777777" w:rsidR="00000000" w:rsidRDefault="00195E73">
            <w:pPr>
              <w:rPr>
                <w:rFonts w:eastAsia="Times New Roman"/>
                <w:sz w:val="20"/>
                <w:szCs w:val="20"/>
              </w:rPr>
            </w:pPr>
          </w:p>
        </w:tc>
        <w:tc>
          <w:tcPr>
            <w:tcW w:w="50" w:type="pct"/>
            <w:vAlign w:val="center"/>
            <w:hideMark/>
          </w:tcPr>
          <w:p w14:paraId="29D6138A" w14:textId="77777777" w:rsidR="00000000" w:rsidRDefault="00195E73">
            <w:pPr>
              <w:rPr>
                <w:rFonts w:eastAsia="Times New Roman"/>
                <w:sz w:val="20"/>
                <w:szCs w:val="20"/>
              </w:rPr>
            </w:pPr>
          </w:p>
        </w:tc>
        <w:tc>
          <w:tcPr>
            <w:tcW w:w="258" w:type="pct"/>
            <w:vAlign w:val="center"/>
            <w:hideMark/>
          </w:tcPr>
          <w:p w14:paraId="14B86127" w14:textId="77777777" w:rsidR="00000000" w:rsidRDefault="00195E73">
            <w:pPr>
              <w:rPr>
                <w:rFonts w:eastAsia="Times New Roman"/>
                <w:sz w:val="20"/>
                <w:szCs w:val="20"/>
              </w:rPr>
            </w:pPr>
          </w:p>
        </w:tc>
        <w:tc>
          <w:tcPr>
            <w:tcW w:w="50" w:type="pct"/>
            <w:vAlign w:val="center"/>
            <w:hideMark/>
          </w:tcPr>
          <w:p w14:paraId="0073BFFE" w14:textId="77777777" w:rsidR="00000000" w:rsidRDefault="00195E73">
            <w:pPr>
              <w:rPr>
                <w:rFonts w:eastAsia="Times New Roman"/>
                <w:sz w:val="20"/>
                <w:szCs w:val="20"/>
              </w:rPr>
            </w:pPr>
          </w:p>
        </w:tc>
        <w:tc>
          <w:tcPr>
            <w:tcW w:w="5" w:type="pct"/>
            <w:vAlign w:val="center"/>
            <w:hideMark/>
          </w:tcPr>
          <w:p w14:paraId="7399328C" w14:textId="77777777" w:rsidR="00000000" w:rsidRDefault="00195E73">
            <w:pPr>
              <w:rPr>
                <w:rFonts w:eastAsia="Times New Roman"/>
                <w:sz w:val="20"/>
                <w:szCs w:val="20"/>
              </w:rPr>
            </w:pPr>
          </w:p>
        </w:tc>
        <w:tc>
          <w:tcPr>
            <w:tcW w:w="26" w:type="pct"/>
            <w:vAlign w:val="center"/>
            <w:hideMark/>
          </w:tcPr>
          <w:p w14:paraId="5735210E" w14:textId="77777777" w:rsidR="00000000" w:rsidRDefault="00195E73">
            <w:pPr>
              <w:rPr>
                <w:rFonts w:eastAsia="Times New Roman"/>
                <w:sz w:val="20"/>
                <w:szCs w:val="20"/>
              </w:rPr>
            </w:pPr>
          </w:p>
        </w:tc>
        <w:tc>
          <w:tcPr>
            <w:tcW w:w="5" w:type="pct"/>
            <w:vAlign w:val="center"/>
            <w:hideMark/>
          </w:tcPr>
          <w:p w14:paraId="2C41EAFB" w14:textId="77777777" w:rsidR="00000000" w:rsidRDefault="00195E73">
            <w:pPr>
              <w:rPr>
                <w:rFonts w:eastAsia="Times New Roman"/>
                <w:sz w:val="20"/>
                <w:szCs w:val="20"/>
              </w:rPr>
            </w:pPr>
          </w:p>
        </w:tc>
        <w:tc>
          <w:tcPr>
            <w:tcW w:w="50" w:type="pct"/>
            <w:vAlign w:val="center"/>
            <w:hideMark/>
          </w:tcPr>
          <w:p w14:paraId="77E0714D" w14:textId="77777777" w:rsidR="00000000" w:rsidRDefault="00195E73">
            <w:pPr>
              <w:rPr>
                <w:rFonts w:eastAsia="Times New Roman"/>
                <w:sz w:val="20"/>
                <w:szCs w:val="20"/>
              </w:rPr>
            </w:pPr>
          </w:p>
        </w:tc>
        <w:tc>
          <w:tcPr>
            <w:tcW w:w="221" w:type="pct"/>
            <w:vAlign w:val="center"/>
            <w:hideMark/>
          </w:tcPr>
          <w:p w14:paraId="78679A2B" w14:textId="77777777" w:rsidR="00000000" w:rsidRDefault="00195E73">
            <w:pPr>
              <w:rPr>
                <w:rFonts w:eastAsia="Times New Roman"/>
                <w:sz w:val="20"/>
                <w:szCs w:val="20"/>
              </w:rPr>
            </w:pPr>
          </w:p>
        </w:tc>
        <w:tc>
          <w:tcPr>
            <w:tcW w:w="50" w:type="pct"/>
            <w:vAlign w:val="center"/>
            <w:hideMark/>
          </w:tcPr>
          <w:p w14:paraId="399265EC" w14:textId="77777777" w:rsidR="00000000" w:rsidRDefault="00195E73">
            <w:pPr>
              <w:rPr>
                <w:rFonts w:eastAsia="Times New Roman"/>
                <w:sz w:val="20"/>
                <w:szCs w:val="20"/>
              </w:rPr>
            </w:pPr>
          </w:p>
        </w:tc>
        <w:tc>
          <w:tcPr>
            <w:tcW w:w="5" w:type="pct"/>
            <w:vAlign w:val="center"/>
            <w:hideMark/>
          </w:tcPr>
          <w:p w14:paraId="405CE3C7" w14:textId="77777777" w:rsidR="00000000" w:rsidRDefault="00195E73">
            <w:pPr>
              <w:rPr>
                <w:rFonts w:eastAsia="Times New Roman"/>
                <w:sz w:val="20"/>
                <w:szCs w:val="20"/>
              </w:rPr>
            </w:pPr>
          </w:p>
        </w:tc>
        <w:tc>
          <w:tcPr>
            <w:tcW w:w="26" w:type="pct"/>
            <w:vAlign w:val="center"/>
            <w:hideMark/>
          </w:tcPr>
          <w:p w14:paraId="469B295A" w14:textId="77777777" w:rsidR="00000000" w:rsidRDefault="00195E73">
            <w:pPr>
              <w:rPr>
                <w:rFonts w:eastAsia="Times New Roman"/>
                <w:sz w:val="20"/>
                <w:szCs w:val="20"/>
              </w:rPr>
            </w:pPr>
          </w:p>
        </w:tc>
        <w:tc>
          <w:tcPr>
            <w:tcW w:w="5" w:type="pct"/>
            <w:vAlign w:val="center"/>
            <w:hideMark/>
          </w:tcPr>
          <w:p w14:paraId="498E364A" w14:textId="77777777" w:rsidR="00000000" w:rsidRDefault="00195E73">
            <w:pPr>
              <w:rPr>
                <w:rFonts w:eastAsia="Times New Roman"/>
                <w:sz w:val="20"/>
                <w:szCs w:val="20"/>
              </w:rPr>
            </w:pPr>
          </w:p>
        </w:tc>
        <w:tc>
          <w:tcPr>
            <w:tcW w:w="50" w:type="pct"/>
            <w:vAlign w:val="center"/>
            <w:hideMark/>
          </w:tcPr>
          <w:p w14:paraId="6FC5917E" w14:textId="77777777" w:rsidR="00000000" w:rsidRDefault="00195E73">
            <w:pPr>
              <w:rPr>
                <w:rFonts w:eastAsia="Times New Roman"/>
                <w:sz w:val="20"/>
                <w:szCs w:val="20"/>
              </w:rPr>
            </w:pPr>
          </w:p>
        </w:tc>
        <w:tc>
          <w:tcPr>
            <w:tcW w:w="155" w:type="pct"/>
            <w:vAlign w:val="center"/>
            <w:hideMark/>
          </w:tcPr>
          <w:p w14:paraId="096B7C19" w14:textId="77777777" w:rsidR="00000000" w:rsidRDefault="00195E73">
            <w:pPr>
              <w:rPr>
                <w:rFonts w:eastAsia="Times New Roman"/>
                <w:sz w:val="20"/>
                <w:szCs w:val="20"/>
              </w:rPr>
            </w:pPr>
          </w:p>
        </w:tc>
        <w:tc>
          <w:tcPr>
            <w:tcW w:w="50" w:type="pct"/>
            <w:vAlign w:val="center"/>
            <w:hideMark/>
          </w:tcPr>
          <w:p w14:paraId="7B847F27" w14:textId="77777777" w:rsidR="00000000" w:rsidRDefault="00195E73">
            <w:pPr>
              <w:rPr>
                <w:rFonts w:eastAsia="Times New Roman"/>
                <w:sz w:val="20"/>
                <w:szCs w:val="20"/>
              </w:rPr>
            </w:pPr>
          </w:p>
        </w:tc>
        <w:tc>
          <w:tcPr>
            <w:tcW w:w="5" w:type="pct"/>
            <w:vAlign w:val="center"/>
            <w:hideMark/>
          </w:tcPr>
          <w:p w14:paraId="250F0497" w14:textId="77777777" w:rsidR="00000000" w:rsidRDefault="00195E73">
            <w:pPr>
              <w:rPr>
                <w:rFonts w:eastAsia="Times New Roman"/>
                <w:sz w:val="20"/>
                <w:szCs w:val="20"/>
              </w:rPr>
            </w:pPr>
          </w:p>
        </w:tc>
        <w:tc>
          <w:tcPr>
            <w:tcW w:w="26" w:type="pct"/>
            <w:vAlign w:val="center"/>
            <w:hideMark/>
          </w:tcPr>
          <w:p w14:paraId="4C2FCD6D" w14:textId="77777777" w:rsidR="00000000" w:rsidRDefault="00195E73">
            <w:pPr>
              <w:rPr>
                <w:rFonts w:eastAsia="Times New Roman"/>
                <w:sz w:val="20"/>
                <w:szCs w:val="20"/>
              </w:rPr>
            </w:pPr>
          </w:p>
        </w:tc>
        <w:tc>
          <w:tcPr>
            <w:tcW w:w="5" w:type="pct"/>
            <w:vAlign w:val="center"/>
            <w:hideMark/>
          </w:tcPr>
          <w:p w14:paraId="60E8ADC1" w14:textId="77777777" w:rsidR="00000000" w:rsidRDefault="00195E73">
            <w:pPr>
              <w:rPr>
                <w:rFonts w:eastAsia="Times New Roman"/>
                <w:sz w:val="20"/>
                <w:szCs w:val="20"/>
              </w:rPr>
            </w:pPr>
          </w:p>
        </w:tc>
        <w:tc>
          <w:tcPr>
            <w:tcW w:w="50" w:type="pct"/>
            <w:vAlign w:val="center"/>
            <w:hideMark/>
          </w:tcPr>
          <w:p w14:paraId="595EB92D" w14:textId="77777777" w:rsidR="00000000" w:rsidRDefault="00195E73">
            <w:pPr>
              <w:rPr>
                <w:rFonts w:eastAsia="Times New Roman"/>
                <w:sz w:val="20"/>
                <w:szCs w:val="20"/>
              </w:rPr>
            </w:pPr>
          </w:p>
        </w:tc>
        <w:tc>
          <w:tcPr>
            <w:tcW w:w="155" w:type="pct"/>
            <w:vAlign w:val="center"/>
            <w:hideMark/>
          </w:tcPr>
          <w:p w14:paraId="21F2DB0D" w14:textId="77777777" w:rsidR="00000000" w:rsidRDefault="00195E73">
            <w:pPr>
              <w:rPr>
                <w:rFonts w:eastAsia="Times New Roman"/>
                <w:sz w:val="20"/>
                <w:szCs w:val="20"/>
              </w:rPr>
            </w:pPr>
          </w:p>
        </w:tc>
        <w:tc>
          <w:tcPr>
            <w:tcW w:w="50" w:type="pct"/>
            <w:vAlign w:val="center"/>
            <w:hideMark/>
          </w:tcPr>
          <w:p w14:paraId="7CCA442E" w14:textId="77777777" w:rsidR="00000000" w:rsidRDefault="00195E73">
            <w:pPr>
              <w:rPr>
                <w:rFonts w:eastAsia="Times New Roman"/>
                <w:sz w:val="20"/>
                <w:szCs w:val="20"/>
              </w:rPr>
            </w:pPr>
          </w:p>
        </w:tc>
        <w:tc>
          <w:tcPr>
            <w:tcW w:w="5" w:type="pct"/>
            <w:vAlign w:val="center"/>
            <w:hideMark/>
          </w:tcPr>
          <w:p w14:paraId="76A69D55" w14:textId="77777777" w:rsidR="00000000" w:rsidRDefault="00195E73">
            <w:pPr>
              <w:rPr>
                <w:rFonts w:eastAsia="Times New Roman"/>
                <w:sz w:val="20"/>
                <w:szCs w:val="20"/>
              </w:rPr>
            </w:pPr>
          </w:p>
        </w:tc>
        <w:tc>
          <w:tcPr>
            <w:tcW w:w="26" w:type="pct"/>
            <w:vAlign w:val="center"/>
            <w:hideMark/>
          </w:tcPr>
          <w:p w14:paraId="70EEB332" w14:textId="77777777" w:rsidR="00000000" w:rsidRDefault="00195E73">
            <w:pPr>
              <w:rPr>
                <w:rFonts w:eastAsia="Times New Roman"/>
                <w:sz w:val="20"/>
                <w:szCs w:val="20"/>
              </w:rPr>
            </w:pPr>
          </w:p>
        </w:tc>
        <w:tc>
          <w:tcPr>
            <w:tcW w:w="5" w:type="pct"/>
            <w:vAlign w:val="center"/>
            <w:hideMark/>
          </w:tcPr>
          <w:p w14:paraId="105D85F8" w14:textId="77777777" w:rsidR="00000000" w:rsidRDefault="00195E73">
            <w:pPr>
              <w:rPr>
                <w:rFonts w:eastAsia="Times New Roman"/>
                <w:sz w:val="20"/>
                <w:szCs w:val="20"/>
              </w:rPr>
            </w:pPr>
          </w:p>
        </w:tc>
        <w:tc>
          <w:tcPr>
            <w:tcW w:w="50" w:type="pct"/>
            <w:vAlign w:val="center"/>
            <w:hideMark/>
          </w:tcPr>
          <w:p w14:paraId="6EE937DC" w14:textId="77777777" w:rsidR="00000000" w:rsidRDefault="00195E73">
            <w:pPr>
              <w:rPr>
                <w:rFonts w:eastAsia="Times New Roman"/>
                <w:sz w:val="20"/>
                <w:szCs w:val="20"/>
              </w:rPr>
            </w:pPr>
          </w:p>
        </w:tc>
        <w:tc>
          <w:tcPr>
            <w:tcW w:w="170" w:type="pct"/>
            <w:vAlign w:val="center"/>
            <w:hideMark/>
          </w:tcPr>
          <w:p w14:paraId="0410D8AE" w14:textId="77777777" w:rsidR="00000000" w:rsidRDefault="00195E73">
            <w:pPr>
              <w:rPr>
                <w:rFonts w:eastAsia="Times New Roman"/>
                <w:sz w:val="20"/>
                <w:szCs w:val="20"/>
              </w:rPr>
            </w:pPr>
          </w:p>
        </w:tc>
        <w:tc>
          <w:tcPr>
            <w:tcW w:w="50" w:type="pct"/>
            <w:vAlign w:val="center"/>
            <w:hideMark/>
          </w:tcPr>
          <w:p w14:paraId="1555321A" w14:textId="77777777" w:rsidR="00000000" w:rsidRDefault="00195E73">
            <w:pPr>
              <w:rPr>
                <w:rFonts w:eastAsia="Times New Roman"/>
                <w:sz w:val="20"/>
                <w:szCs w:val="20"/>
              </w:rPr>
            </w:pPr>
          </w:p>
        </w:tc>
        <w:tc>
          <w:tcPr>
            <w:tcW w:w="5" w:type="pct"/>
            <w:vAlign w:val="center"/>
            <w:hideMark/>
          </w:tcPr>
          <w:p w14:paraId="006FCD57" w14:textId="77777777" w:rsidR="00000000" w:rsidRDefault="00195E73">
            <w:pPr>
              <w:rPr>
                <w:rFonts w:eastAsia="Times New Roman"/>
                <w:sz w:val="20"/>
                <w:szCs w:val="20"/>
              </w:rPr>
            </w:pPr>
          </w:p>
        </w:tc>
        <w:tc>
          <w:tcPr>
            <w:tcW w:w="26" w:type="pct"/>
            <w:vAlign w:val="center"/>
            <w:hideMark/>
          </w:tcPr>
          <w:p w14:paraId="5C25376E" w14:textId="77777777" w:rsidR="00000000" w:rsidRDefault="00195E73">
            <w:pPr>
              <w:rPr>
                <w:rFonts w:eastAsia="Times New Roman"/>
                <w:sz w:val="20"/>
                <w:szCs w:val="20"/>
              </w:rPr>
            </w:pPr>
          </w:p>
        </w:tc>
        <w:tc>
          <w:tcPr>
            <w:tcW w:w="5" w:type="pct"/>
            <w:vAlign w:val="center"/>
            <w:hideMark/>
          </w:tcPr>
          <w:p w14:paraId="1ACC52FA" w14:textId="77777777" w:rsidR="00000000" w:rsidRDefault="00195E73">
            <w:pPr>
              <w:rPr>
                <w:rFonts w:eastAsia="Times New Roman"/>
                <w:sz w:val="20"/>
                <w:szCs w:val="20"/>
              </w:rPr>
            </w:pPr>
          </w:p>
        </w:tc>
        <w:tc>
          <w:tcPr>
            <w:tcW w:w="50" w:type="pct"/>
            <w:vAlign w:val="center"/>
            <w:hideMark/>
          </w:tcPr>
          <w:p w14:paraId="2B9801DC" w14:textId="77777777" w:rsidR="00000000" w:rsidRDefault="00195E73">
            <w:pPr>
              <w:rPr>
                <w:rFonts w:eastAsia="Times New Roman"/>
                <w:sz w:val="20"/>
                <w:szCs w:val="20"/>
              </w:rPr>
            </w:pPr>
          </w:p>
        </w:tc>
        <w:tc>
          <w:tcPr>
            <w:tcW w:w="141" w:type="pct"/>
            <w:vAlign w:val="center"/>
            <w:hideMark/>
          </w:tcPr>
          <w:p w14:paraId="018C21E1" w14:textId="77777777" w:rsidR="00000000" w:rsidRDefault="00195E73">
            <w:pPr>
              <w:rPr>
                <w:rFonts w:eastAsia="Times New Roman"/>
                <w:sz w:val="20"/>
                <w:szCs w:val="20"/>
              </w:rPr>
            </w:pPr>
          </w:p>
        </w:tc>
        <w:tc>
          <w:tcPr>
            <w:tcW w:w="50" w:type="pct"/>
            <w:vAlign w:val="center"/>
            <w:hideMark/>
          </w:tcPr>
          <w:p w14:paraId="77FC56C1" w14:textId="77777777" w:rsidR="00000000" w:rsidRDefault="00195E73">
            <w:pPr>
              <w:rPr>
                <w:rFonts w:eastAsia="Times New Roman"/>
                <w:sz w:val="20"/>
                <w:szCs w:val="20"/>
              </w:rPr>
            </w:pPr>
          </w:p>
        </w:tc>
        <w:tc>
          <w:tcPr>
            <w:tcW w:w="5" w:type="pct"/>
            <w:vAlign w:val="center"/>
            <w:hideMark/>
          </w:tcPr>
          <w:p w14:paraId="269915CA" w14:textId="77777777" w:rsidR="00000000" w:rsidRDefault="00195E73">
            <w:pPr>
              <w:rPr>
                <w:rFonts w:eastAsia="Times New Roman"/>
                <w:sz w:val="20"/>
                <w:szCs w:val="20"/>
              </w:rPr>
            </w:pPr>
          </w:p>
        </w:tc>
        <w:tc>
          <w:tcPr>
            <w:tcW w:w="26" w:type="pct"/>
            <w:vAlign w:val="center"/>
            <w:hideMark/>
          </w:tcPr>
          <w:p w14:paraId="59E5A625" w14:textId="77777777" w:rsidR="00000000" w:rsidRDefault="00195E73">
            <w:pPr>
              <w:rPr>
                <w:rFonts w:eastAsia="Times New Roman"/>
                <w:sz w:val="20"/>
                <w:szCs w:val="20"/>
              </w:rPr>
            </w:pPr>
          </w:p>
        </w:tc>
        <w:tc>
          <w:tcPr>
            <w:tcW w:w="5" w:type="pct"/>
            <w:vAlign w:val="center"/>
            <w:hideMark/>
          </w:tcPr>
          <w:p w14:paraId="5A23C962" w14:textId="77777777" w:rsidR="00000000" w:rsidRDefault="00195E73">
            <w:pPr>
              <w:rPr>
                <w:rFonts w:eastAsia="Times New Roman"/>
                <w:sz w:val="20"/>
                <w:szCs w:val="20"/>
              </w:rPr>
            </w:pPr>
          </w:p>
        </w:tc>
        <w:tc>
          <w:tcPr>
            <w:tcW w:w="0" w:type="auto"/>
            <w:vAlign w:val="center"/>
            <w:hideMark/>
          </w:tcPr>
          <w:p w14:paraId="29F19CAE" w14:textId="77777777" w:rsidR="00000000" w:rsidRDefault="00195E73">
            <w:pPr>
              <w:rPr>
                <w:rFonts w:eastAsia="Times New Roman"/>
                <w:sz w:val="20"/>
                <w:szCs w:val="20"/>
              </w:rPr>
            </w:pPr>
          </w:p>
        </w:tc>
        <w:tc>
          <w:tcPr>
            <w:tcW w:w="0" w:type="auto"/>
            <w:vAlign w:val="center"/>
            <w:hideMark/>
          </w:tcPr>
          <w:p w14:paraId="35147E27" w14:textId="77777777" w:rsidR="00000000" w:rsidRDefault="00195E73">
            <w:pPr>
              <w:rPr>
                <w:rFonts w:eastAsia="Times New Roman"/>
                <w:sz w:val="20"/>
                <w:szCs w:val="20"/>
              </w:rPr>
            </w:pPr>
          </w:p>
        </w:tc>
        <w:tc>
          <w:tcPr>
            <w:tcW w:w="50" w:type="pct"/>
            <w:vAlign w:val="center"/>
            <w:hideMark/>
          </w:tcPr>
          <w:p w14:paraId="6E3867D2" w14:textId="77777777" w:rsidR="00000000" w:rsidRDefault="00195E73">
            <w:pPr>
              <w:rPr>
                <w:rFonts w:eastAsia="Times New Roman"/>
                <w:sz w:val="20"/>
                <w:szCs w:val="20"/>
              </w:rPr>
            </w:pPr>
          </w:p>
        </w:tc>
        <w:tc>
          <w:tcPr>
            <w:tcW w:w="221" w:type="pct"/>
            <w:vAlign w:val="center"/>
            <w:hideMark/>
          </w:tcPr>
          <w:p w14:paraId="04F3D256" w14:textId="77777777" w:rsidR="00000000" w:rsidRDefault="00195E73">
            <w:pPr>
              <w:rPr>
                <w:rFonts w:eastAsia="Times New Roman"/>
                <w:sz w:val="20"/>
                <w:szCs w:val="20"/>
              </w:rPr>
            </w:pPr>
          </w:p>
        </w:tc>
        <w:tc>
          <w:tcPr>
            <w:tcW w:w="50" w:type="pct"/>
            <w:vAlign w:val="center"/>
            <w:hideMark/>
          </w:tcPr>
          <w:p w14:paraId="18D8E837" w14:textId="77777777" w:rsidR="00000000" w:rsidRDefault="00195E73">
            <w:pPr>
              <w:rPr>
                <w:rFonts w:eastAsia="Times New Roman"/>
                <w:sz w:val="20"/>
                <w:szCs w:val="20"/>
              </w:rPr>
            </w:pPr>
          </w:p>
        </w:tc>
        <w:tc>
          <w:tcPr>
            <w:tcW w:w="5" w:type="pct"/>
            <w:vAlign w:val="center"/>
            <w:hideMark/>
          </w:tcPr>
          <w:p w14:paraId="54513795" w14:textId="77777777" w:rsidR="00000000" w:rsidRDefault="00195E73">
            <w:pPr>
              <w:rPr>
                <w:rFonts w:eastAsia="Times New Roman"/>
                <w:sz w:val="20"/>
                <w:szCs w:val="20"/>
              </w:rPr>
            </w:pPr>
          </w:p>
        </w:tc>
        <w:tc>
          <w:tcPr>
            <w:tcW w:w="26" w:type="pct"/>
            <w:vAlign w:val="center"/>
            <w:hideMark/>
          </w:tcPr>
          <w:p w14:paraId="4ACE3269" w14:textId="77777777" w:rsidR="00000000" w:rsidRDefault="00195E73">
            <w:pPr>
              <w:rPr>
                <w:rFonts w:eastAsia="Times New Roman"/>
                <w:sz w:val="20"/>
                <w:szCs w:val="20"/>
              </w:rPr>
            </w:pPr>
          </w:p>
        </w:tc>
        <w:tc>
          <w:tcPr>
            <w:tcW w:w="5" w:type="pct"/>
            <w:vAlign w:val="center"/>
            <w:hideMark/>
          </w:tcPr>
          <w:p w14:paraId="6370B378" w14:textId="77777777" w:rsidR="00000000" w:rsidRDefault="00195E73">
            <w:pPr>
              <w:rPr>
                <w:rFonts w:eastAsia="Times New Roman"/>
                <w:sz w:val="20"/>
                <w:szCs w:val="20"/>
              </w:rPr>
            </w:pPr>
          </w:p>
        </w:tc>
      </w:tr>
      <w:tr w:rsidR="00000000" w14:paraId="47CDCE8A" w14:textId="77777777">
        <w:trPr>
          <w:divId w:val="1004405925"/>
          <w:jc w:val="center"/>
        </w:trPr>
        <w:tc>
          <w:tcPr>
            <w:tcW w:w="0" w:type="auto"/>
            <w:gridSpan w:val="3"/>
            <w:tcMar>
              <w:top w:w="15" w:type="dxa"/>
              <w:left w:w="20" w:type="dxa"/>
              <w:bottom w:w="15" w:type="dxa"/>
              <w:right w:w="20" w:type="dxa"/>
            </w:tcMar>
            <w:vAlign w:val="bottom"/>
            <w:hideMark/>
          </w:tcPr>
          <w:p w14:paraId="602D41FE" w14:textId="77777777" w:rsidR="00000000" w:rsidRDefault="00195E73">
            <w:pPr>
              <w:rPr>
                <w:rFonts w:eastAsia="Times New Roman"/>
                <w:sz w:val="20"/>
                <w:szCs w:val="20"/>
              </w:rPr>
            </w:pPr>
          </w:p>
        </w:tc>
        <w:tc>
          <w:tcPr>
            <w:tcW w:w="0" w:type="auto"/>
            <w:gridSpan w:val="53"/>
            <w:tcMar>
              <w:top w:w="30" w:type="dxa"/>
              <w:left w:w="20" w:type="dxa"/>
              <w:bottom w:w="30" w:type="dxa"/>
              <w:right w:w="20" w:type="dxa"/>
            </w:tcMar>
            <w:vAlign w:val="bottom"/>
            <w:hideMark/>
          </w:tcPr>
          <w:p w14:paraId="434989CF" w14:textId="77777777" w:rsidR="00000000" w:rsidRDefault="00195E73">
            <w:pPr>
              <w:jc w:val="center"/>
              <w:rPr>
                <w:rFonts w:eastAsia="Times New Roman"/>
              </w:rPr>
            </w:pPr>
            <w:r>
              <w:rPr>
                <w:rFonts w:eastAsia="Times New Roman"/>
                <w:b/>
                <w:bCs/>
                <w:color w:val="000000"/>
                <w:sz w:val="12"/>
                <w:szCs w:val="12"/>
              </w:rPr>
              <w:t>December 31, 201</w:t>
            </w:r>
            <w:r>
              <w:rPr>
                <w:rFonts w:eastAsia="Times New Roman"/>
                <w:b/>
                <w:bCs/>
                <w:color w:val="000000"/>
                <w:sz w:val="12"/>
                <w:szCs w:val="12"/>
              </w:rPr>
              <w:t>8</w:t>
            </w:r>
          </w:p>
        </w:tc>
        <w:tc>
          <w:tcPr>
            <w:tcW w:w="0" w:type="auto"/>
            <w:gridSpan w:val="2"/>
            <w:vAlign w:val="center"/>
            <w:hideMark/>
          </w:tcPr>
          <w:p w14:paraId="7738B08C" w14:textId="77777777" w:rsidR="00000000" w:rsidRDefault="00195E73">
            <w:pPr>
              <w:jc w:val="center"/>
              <w:rPr>
                <w:rFonts w:eastAsia="Times New Roman"/>
              </w:rPr>
            </w:pPr>
          </w:p>
        </w:tc>
        <w:tc>
          <w:tcPr>
            <w:tcW w:w="0" w:type="auto"/>
            <w:vAlign w:val="center"/>
            <w:hideMark/>
          </w:tcPr>
          <w:p w14:paraId="54D9EFB5" w14:textId="77777777" w:rsidR="00000000" w:rsidRDefault="00195E73">
            <w:pPr>
              <w:rPr>
                <w:rFonts w:eastAsia="Times New Roman"/>
                <w:sz w:val="20"/>
                <w:szCs w:val="20"/>
              </w:rPr>
            </w:pPr>
          </w:p>
        </w:tc>
      </w:tr>
      <w:tr w:rsidR="00000000" w14:paraId="2C26D7AD" w14:textId="77777777">
        <w:trPr>
          <w:divId w:val="1004405925"/>
          <w:jc w:val="center"/>
        </w:trPr>
        <w:tc>
          <w:tcPr>
            <w:tcW w:w="0" w:type="auto"/>
            <w:gridSpan w:val="3"/>
            <w:tcMar>
              <w:top w:w="15" w:type="dxa"/>
              <w:left w:w="20" w:type="dxa"/>
              <w:bottom w:w="15" w:type="dxa"/>
              <w:right w:w="20" w:type="dxa"/>
            </w:tcMar>
            <w:vAlign w:val="bottom"/>
            <w:hideMark/>
          </w:tcPr>
          <w:p w14:paraId="3D797187"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705295F" w14:textId="77777777" w:rsidR="00000000" w:rsidRDefault="00195E73">
            <w:pPr>
              <w:jc w:val="center"/>
              <w:rPr>
                <w:rFonts w:eastAsia="Times New Roman"/>
              </w:rPr>
            </w:pPr>
            <w:r>
              <w:rPr>
                <w:rFonts w:eastAsia="Times New Roman"/>
                <w:b/>
                <w:bCs/>
                <w:color w:val="000000"/>
                <w:sz w:val="12"/>
                <w:szCs w:val="12"/>
              </w:rPr>
              <w:t>Investmen</w:t>
            </w:r>
            <w:r>
              <w:rPr>
                <w:rFonts w:eastAsia="Times New Roman"/>
                <w:b/>
                <w:bCs/>
                <w:color w:val="000000"/>
                <w:sz w:val="12"/>
                <w:szCs w:val="12"/>
              </w:rPr>
              <w:t>t</w:t>
            </w:r>
          </w:p>
        </w:tc>
        <w:tc>
          <w:tcPr>
            <w:tcW w:w="0" w:type="auto"/>
            <w:gridSpan w:val="3"/>
            <w:tcBorders>
              <w:top w:val="single" w:sz="8" w:space="0" w:color="000000"/>
            </w:tcBorders>
            <w:tcMar>
              <w:top w:w="15" w:type="dxa"/>
              <w:left w:w="20" w:type="dxa"/>
              <w:bottom w:w="15" w:type="dxa"/>
              <w:right w:w="20" w:type="dxa"/>
            </w:tcMar>
            <w:vAlign w:val="bottom"/>
            <w:hideMark/>
          </w:tcPr>
          <w:p w14:paraId="1C111FD8"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7FF5E89" w14:textId="77777777" w:rsidR="00000000" w:rsidRDefault="00195E73">
            <w:pPr>
              <w:jc w:val="center"/>
              <w:rPr>
                <w:rFonts w:eastAsia="Times New Roman"/>
              </w:rPr>
            </w:pPr>
            <w:r>
              <w:rPr>
                <w:rFonts w:eastAsia="Times New Roman"/>
                <w:b/>
                <w:bCs/>
                <w:color w:val="000000"/>
                <w:sz w:val="12"/>
                <w:szCs w:val="12"/>
              </w:rPr>
              <w:t>Energ</w:t>
            </w:r>
            <w:r>
              <w:rPr>
                <w:rFonts w:eastAsia="Times New Roman"/>
                <w:b/>
                <w:bCs/>
                <w:color w:val="000000"/>
                <w:sz w:val="12"/>
                <w:szCs w:val="12"/>
              </w:rPr>
              <w:t>y</w:t>
            </w:r>
          </w:p>
        </w:tc>
        <w:tc>
          <w:tcPr>
            <w:tcW w:w="0" w:type="auto"/>
            <w:gridSpan w:val="3"/>
            <w:tcBorders>
              <w:top w:val="single" w:sz="8" w:space="0" w:color="000000"/>
            </w:tcBorders>
            <w:tcMar>
              <w:top w:w="15" w:type="dxa"/>
              <w:left w:w="20" w:type="dxa"/>
              <w:bottom w:w="15" w:type="dxa"/>
              <w:right w:w="20" w:type="dxa"/>
            </w:tcMar>
            <w:vAlign w:val="bottom"/>
            <w:hideMark/>
          </w:tcPr>
          <w:p w14:paraId="7ADA8907"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CC7DAE3" w14:textId="77777777" w:rsidR="00000000" w:rsidRDefault="00195E73">
            <w:pPr>
              <w:jc w:val="center"/>
              <w:rPr>
                <w:rFonts w:eastAsia="Times New Roman"/>
              </w:rPr>
            </w:pPr>
            <w:r>
              <w:rPr>
                <w:rFonts w:eastAsia="Times New Roman"/>
                <w:b/>
                <w:bCs/>
                <w:color w:val="000000"/>
                <w:sz w:val="12"/>
                <w:szCs w:val="12"/>
              </w:rPr>
              <w:t>Automotiv</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0A250E5C"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AA4955F" w14:textId="77777777" w:rsidR="00000000" w:rsidRDefault="00195E73">
            <w:pPr>
              <w:jc w:val="center"/>
              <w:rPr>
                <w:rFonts w:eastAsia="Times New Roman"/>
              </w:rPr>
            </w:pPr>
            <w:r>
              <w:rPr>
                <w:rFonts w:eastAsia="Times New Roman"/>
                <w:b/>
                <w:bCs/>
                <w:color w:val="000000"/>
                <w:sz w:val="12"/>
                <w:szCs w:val="12"/>
              </w:rPr>
              <w:t>Food Packagin</w:t>
            </w:r>
            <w:r>
              <w:rPr>
                <w:rFonts w:eastAsia="Times New Roman"/>
                <w:b/>
                <w:bCs/>
                <w:color w:val="000000"/>
                <w:sz w:val="12"/>
                <w:szCs w:val="12"/>
              </w:rPr>
              <w:t>g</w:t>
            </w:r>
          </w:p>
        </w:tc>
        <w:tc>
          <w:tcPr>
            <w:tcW w:w="0" w:type="auto"/>
            <w:gridSpan w:val="3"/>
            <w:tcBorders>
              <w:top w:val="single" w:sz="8" w:space="0" w:color="000000"/>
            </w:tcBorders>
            <w:tcMar>
              <w:top w:w="15" w:type="dxa"/>
              <w:left w:w="20" w:type="dxa"/>
              <w:bottom w:w="15" w:type="dxa"/>
              <w:right w:w="20" w:type="dxa"/>
            </w:tcMar>
            <w:vAlign w:val="bottom"/>
            <w:hideMark/>
          </w:tcPr>
          <w:p w14:paraId="27032EF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2D57DA" w14:textId="77777777" w:rsidR="00000000" w:rsidRDefault="00195E73">
            <w:pPr>
              <w:jc w:val="center"/>
              <w:rPr>
                <w:rFonts w:eastAsia="Times New Roman"/>
              </w:rPr>
            </w:pPr>
            <w:r>
              <w:rPr>
                <w:rFonts w:eastAsia="Times New Roman"/>
                <w:b/>
                <w:bCs/>
                <w:color w:val="000000"/>
                <w:sz w:val="12"/>
                <w:szCs w:val="12"/>
              </w:rPr>
              <w:t>Metal</w:t>
            </w:r>
            <w:r>
              <w:rPr>
                <w:rFonts w:eastAsia="Times New Roman"/>
                <w:b/>
                <w:bCs/>
                <w:color w:val="000000"/>
                <w:sz w:val="12"/>
                <w:szCs w:val="12"/>
              </w:rPr>
              <w:t>s</w:t>
            </w:r>
          </w:p>
        </w:tc>
        <w:tc>
          <w:tcPr>
            <w:tcW w:w="0" w:type="auto"/>
            <w:gridSpan w:val="3"/>
            <w:tcBorders>
              <w:top w:val="single" w:sz="8" w:space="0" w:color="000000"/>
            </w:tcBorders>
            <w:tcMar>
              <w:top w:w="15" w:type="dxa"/>
              <w:left w:w="20" w:type="dxa"/>
              <w:bottom w:w="15" w:type="dxa"/>
              <w:right w:w="20" w:type="dxa"/>
            </w:tcMar>
            <w:vAlign w:val="bottom"/>
            <w:hideMark/>
          </w:tcPr>
          <w:p w14:paraId="269020C9"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24689A7" w14:textId="77777777" w:rsidR="00000000" w:rsidRDefault="00195E73">
            <w:pPr>
              <w:jc w:val="center"/>
              <w:rPr>
                <w:rFonts w:eastAsia="Times New Roman"/>
              </w:rPr>
            </w:pPr>
            <w:r>
              <w:rPr>
                <w:rFonts w:eastAsia="Times New Roman"/>
                <w:b/>
                <w:bCs/>
                <w:color w:val="000000"/>
                <w:sz w:val="12"/>
                <w:szCs w:val="12"/>
              </w:rPr>
              <w:t>Real Estat</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671B7BD8"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46B05CF" w14:textId="77777777" w:rsidR="00000000" w:rsidRDefault="00195E73">
            <w:pPr>
              <w:jc w:val="center"/>
              <w:rPr>
                <w:rFonts w:eastAsia="Times New Roman"/>
              </w:rPr>
            </w:pPr>
            <w:r>
              <w:rPr>
                <w:rFonts w:eastAsia="Times New Roman"/>
                <w:b/>
                <w:bCs/>
                <w:color w:val="000000"/>
                <w:sz w:val="12"/>
                <w:szCs w:val="12"/>
              </w:rPr>
              <w:t>Home Fashio</w:t>
            </w:r>
            <w:r>
              <w:rPr>
                <w:rFonts w:eastAsia="Times New Roman"/>
                <w:b/>
                <w:bCs/>
                <w:color w:val="000000"/>
                <w:sz w:val="12"/>
                <w:szCs w:val="12"/>
              </w:rPr>
              <w:t>n</w:t>
            </w:r>
          </w:p>
        </w:tc>
        <w:tc>
          <w:tcPr>
            <w:tcW w:w="0" w:type="auto"/>
            <w:gridSpan w:val="3"/>
            <w:tcBorders>
              <w:top w:val="single" w:sz="8" w:space="0" w:color="000000"/>
            </w:tcBorders>
            <w:tcMar>
              <w:top w:w="15" w:type="dxa"/>
              <w:left w:w="20" w:type="dxa"/>
              <w:bottom w:w="15" w:type="dxa"/>
              <w:right w:w="20" w:type="dxa"/>
            </w:tcMar>
            <w:vAlign w:val="bottom"/>
            <w:hideMark/>
          </w:tcPr>
          <w:p w14:paraId="38CA95BD"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EDF4EB3" w14:textId="77777777" w:rsidR="00000000" w:rsidRDefault="00195E73">
            <w:pPr>
              <w:jc w:val="center"/>
              <w:rPr>
                <w:rFonts w:eastAsia="Times New Roman"/>
              </w:rPr>
            </w:pPr>
            <w:r>
              <w:rPr>
                <w:rFonts w:eastAsia="Times New Roman"/>
                <w:b/>
                <w:bCs/>
                <w:color w:val="000000"/>
                <w:sz w:val="12"/>
                <w:szCs w:val="12"/>
              </w:rPr>
              <w:t>Minin</w:t>
            </w:r>
            <w:r>
              <w:rPr>
                <w:rFonts w:eastAsia="Times New Roman"/>
                <w:b/>
                <w:bCs/>
                <w:color w:val="000000"/>
                <w:sz w:val="12"/>
                <w:szCs w:val="12"/>
              </w:rPr>
              <w:t>g</w:t>
            </w:r>
          </w:p>
        </w:tc>
        <w:tc>
          <w:tcPr>
            <w:tcW w:w="0" w:type="auto"/>
            <w:gridSpan w:val="3"/>
            <w:tcBorders>
              <w:top w:val="single" w:sz="8" w:space="0" w:color="000000"/>
            </w:tcBorders>
            <w:tcMar>
              <w:top w:w="15" w:type="dxa"/>
              <w:left w:w="20" w:type="dxa"/>
              <w:bottom w:w="15" w:type="dxa"/>
              <w:right w:w="20" w:type="dxa"/>
            </w:tcMar>
            <w:vAlign w:val="bottom"/>
            <w:hideMark/>
          </w:tcPr>
          <w:p w14:paraId="67DAF71A" w14:textId="77777777" w:rsidR="00000000" w:rsidRDefault="00195E73">
            <w:pPr>
              <w:jc w:val="center"/>
              <w:rPr>
                <w:rFonts w:eastAsia="Times New Roman"/>
              </w:rPr>
            </w:pPr>
          </w:p>
        </w:tc>
        <w:tc>
          <w:tcPr>
            <w:tcW w:w="0" w:type="auto"/>
            <w:vAlign w:val="center"/>
            <w:hideMark/>
          </w:tcPr>
          <w:p w14:paraId="564684A0" w14:textId="77777777" w:rsidR="00000000" w:rsidRDefault="00195E73">
            <w:pPr>
              <w:rPr>
                <w:rFonts w:eastAsia="Times New Roman"/>
                <w:sz w:val="20"/>
                <w:szCs w:val="20"/>
              </w:rPr>
            </w:pPr>
          </w:p>
        </w:tc>
        <w:tc>
          <w:tcPr>
            <w:tcW w:w="0" w:type="auto"/>
            <w:vAlign w:val="center"/>
            <w:hideMark/>
          </w:tcPr>
          <w:p w14:paraId="6A5AC258" w14:textId="77777777" w:rsidR="00000000" w:rsidRDefault="00195E73">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6DE8A1A" w14:textId="77777777" w:rsidR="00000000" w:rsidRDefault="00195E73">
            <w:pPr>
              <w:jc w:val="center"/>
              <w:rPr>
                <w:rFonts w:eastAsia="Times New Roman"/>
              </w:rPr>
            </w:pPr>
            <w:r>
              <w:rPr>
                <w:rFonts w:eastAsia="Times New Roman"/>
                <w:b/>
                <w:bCs/>
                <w:color w:val="000000"/>
                <w:sz w:val="12"/>
                <w:szCs w:val="12"/>
              </w:rPr>
              <w:t>Holding Compan</w:t>
            </w:r>
            <w:r>
              <w:rPr>
                <w:rFonts w:eastAsia="Times New Roman"/>
                <w:b/>
                <w:bCs/>
                <w:color w:val="000000"/>
                <w:sz w:val="12"/>
                <w:szCs w:val="12"/>
              </w:rPr>
              <w:t>y</w:t>
            </w:r>
          </w:p>
        </w:tc>
        <w:tc>
          <w:tcPr>
            <w:tcW w:w="0" w:type="auto"/>
            <w:gridSpan w:val="2"/>
            <w:tcBorders>
              <w:top w:val="single" w:sz="8" w:space="0" w:color="000000"/>
            </w:tcBorders>
            <w:tcMar>
              <w:top w:w="15" w:type="dxa"/>
              <w:left w:w="20" w:type="dxa"/>
              <w:bottom w:w="15" w:type="dxa"/>
              <w:right w:w="20" w:type="dxa"/>
            </w:tcMar>
            <w:vAlign w:val="bottom"/>
            <w:hideMark/>
          </w:tcPr>
          <w:p w14:paraId="1264E303" w14:textId="77777777" w:rsidR="00000000" w:rsidRDefault="00195E73">
            <w:pPr>
              <w:jc w:val="center"/>
              <w:rPr>
                <w:rFonts w:eastAsia="Times New Roman"/>
              </w:rPr>
            </w:pPr>
          </w:p>
        </w:tc>
        <w:tc>
          <w:tcPr>
            <w:tcW w:w="0" w:type="auto"/>
            <w:tcBorders>
              <w:top w:val="single" w:sz="8" w:space="0" w:color="000000"/>
              <w:bottom w:val="single" w:sz="8" w:space="0" w:color="000000"/>
            </w:tcBorders>
            <w:tcMar>
              <w:top w:w="30" w:type="dxa"/>
              <w:left w:w="20" w:type="dxa"/>
              <w:bottom w:w="30" w:type="dxa"/>
              <w:right w:w="20" w:type="dxa"/>
            </w:tcMar>
            <w:vAlign w:val="bottom"/>
            <w:hideMark/>
          </w:tcPr>
          <w:p w14:paraId="43659C38" w14:textId="77777777" w:rsidR="00000000" w:rsidRDefault="00195E73">
            <w:pPr>
              <w:jc w:val="center"/>
              <w:rPr>
                <w:rFonts w:eastAsia="Times New Roman"/>
              </w:rPr>
            </w:pPr>
            <w:r>
              <w:rPr>
                <w:rFonts w:eastAsia="Times New Roman"/>
                <w:b/>
                <w:bCs/>
                <w:color w:val="000000"/>
                <w:sz w:val="12"/>
                <w:szCs w:val="12"/>
              </w:rPr>
              <w:t>Consolidate</w:t>
            </w:r>
            <w:r>
              <w:rPr>
                <w:rFonts w:eastAsia="Times New Roman"/>
                <w:b/>
                <w:bCs/>
                <w:color w:val="000000"/>
                <w:sz w:val="12"/>
                <w:szCs w:val="12"/>
              </w:rPr>
              <w:t>d</w:t>
            </w:r>
          </w:p>
        </w:tc>
      </w:tr>
      <w:tr w:rsidR="00000000" w14:paraId="11A79880" w14:textId="77777777">
        <w:trPr>
          <w:divId w:val="1004405925"/>
          <w:jc w:val="center"/>
        </w:trPr>
        <w:tc>
          <w:tcPr>
            <w:tcW w:w="0" w:type="auto"/>
            <w:gridSpan w:val="3"/>
            <w:tcMar>
              <w:top w:w="15" w:type="dxa"/>
              <w:left w:w="20" w:type="dxa"/>
              <w:bottom w:w="15" w:type="dxa"/>
              <w:right w:w="20" w:type="dxa"/>
            </w:tcMar>
            <w:vAlign w:val="bottom"/>
            <w:hideMark/>
          </w:tcPr>
          <w:p w14:paraId="692CDEB0" w14:textId="77777777" w:rsidR="00000000" w:rsidRDefault="00195E73">
            <w:pPr>
              <w:jc w:val="center"/>
              <w:rPr>
                <w:rFonts w:eastAsia="Times New Roman"/>
              </w:rPr>
            </w:pPr>
          </w:p>
        </w:tc>
        <w:tc>
          <w:tcPr>
            <w:tcW w:w="0" w:type="auto"/>
            <w:gridSpan w:val="53"/>
            <w:tcBorders>
              <w:top w:val="single" w:sz="8" w:space="0" w:color="000000"/>
            </w:tcBorders>
            <w:tcMar>
              <w:top w:w="30" w:type="dxa"/>
              <w:left w:w="20" w:type="dxa"/>
              <w:bottom w:w="30" w:type="dxa"/>
              <w:right w:w="20" w:type="dxa"/>
            </w:tcMar>
            <w:vAlign w:val="bottom"/>
            <w:hideMark/>
          </w:tcPr>
          <w:p w14:paraId="7967F3C7" w14:textId="77777777" w:rsidR="00000000" w:rsidRDefault="00195E73">
            <w:pPr>
              <w:jc w:val="center"/>
              <w:rPr>
                <w:rFonts w:eastAsia="Times New Roman"/>
              </w:rPr>
            </w:pPr>
            <w:r>
              <w:rPr>
                <w:rFonts w:eastAsia="Times New Roman"/>
                <w:color w:val="000000"/>
                <w:sz w:val="12"/>
                <w:szCs w:val="12"/>
              </w:rPr>
              <w:t>(in millions</w:t>
            </w:r>
            <w:r>
              <w:rPr>
                <w:rFonts w:eastAsia="Times New Roman"/>
                <w:color w:val="000000"/>
                <w:sz w:val="12"/>
                <w:szCs w:val="12"/>
              </w:rPr>
              <w:t>)</w:t>
            </w:r>
          </w:p>
        </w:tc>
        <w:tc>
          <w:tcPr>
            <w:tcW w:w="0" w:type="auto"/>
            <w:gridSpan w:val="2"/>
            <w:vAlign w:val="center"/>
            <w:hideMark/>
          </w:tcPr>
          <w:p w14:paraId="24002470" w14:textId="77777777" w:rsidR="00000000" w:rsidRDefault="00195E73">
            <w:pPr>
              <w:jc w:val="center"/>
              <w:rPr>
                <w:rFonts w:eastAsia="Times New Roman"/>
              </w:rPr>
            </w:pPr>
          </w:p>
        </w:tc>
        <w:tc>
          <w:tcPr>
            <w:tcW w:w="0" w:type="auto"/>
            <w:vAlign w:val="center"/>
            <w:hideMark/>
          </w:tcPr>
          <w:p w14:paraId="34829C01" w14:textId="77777777" w:rsidR="00000000" w:rsidRDefault="00195E73">
            <w:pPr>
              <w:rPr>
                <w:rFonts w:eastAsia="Times New Roman"/>
                <w:sz w:val="20"/>
                <w:szCs w:val="20"/>
              </w:rPr>
            </w:pPr>
          </w:p>
        </w:tc>
      </w:tr>
      <w:tr w:rsidR="00000000" w14:paraId="3ABDBA55" w14:textId="77777777">
        <w:trPr>
          <w:divId w:val="1004405925"/>
          <w:jc w:val="center"/>
        </w:trPr>
        <w:tc>
          <w:tcPr>
            <w:tcW w:w="0" w:type="auto"/>
            <w:gridSpan w:val="3"/>
            <w:shd w:val="clear" w:color="auto" w:fill="FFFFFF"/>
            <w:tcMar>
              <w:top w:w="30" w:type="dxa"/>
              <w:left w:w="20" w:type="dxa"/>
              <w:bottom w:w="30" w:type="dxa"/>
              <w:right w:w="20" w:type="dxa"/>
            </w:tcMar>
            <w:vAlign w:val="bottom"/>
            <w:hideMark/>
          </w:tcPr>
          <w:p w14:paraId="65921A93" w14:textId="77777777" w:rsidR="00000000" w:rsidRDefault="00195E73">
            <w:pPr>
              <w:jc w:val="center"/>
              <w:rPr>
                <w:rFonts w:eastAsia="Times New Roman"/>
              </w:rPr>
            </w:pPr>
            <w:r>
              <w:rPr>
                <w:rFonts w:eastAsia="Times New Roman"/>
                <w:b/>
                <w:bCs/>
                <w:color w:val="000000"/>
                <w:sz w:val="12"/>
                <w:szCs w:val="12"/>
              </w:rPr>
              <w:t>ASSET</w:t>
            </w:r>
            <w:r>
              <w:rPr>
                <w:rFonts w:eastAsia="Times New Roman"/>
                <w:b/>
                <w:bCs/>
                <w:color w:val="000000"/>
                <w:sz w:val="12"/>
                <w:szCs w:val="12"/>
              </w:rPr>
              <w:t>S</w:t>
            </w:r>
          </w:p>
        </w:tc>
        <w:tc>
          <w:tcPr>
            <w:tcW w:w="0" w:type="auto"/>
            <w:gridSpan w:val="3"/>
            <w:shd w:val="clear" w:color="auto" w:fill="FFFFFF"/>
            <w:tcMar>
              <w:top w:w="15" w:type="dxa"/>
              <w:left w:w="20" w:type="dxa"/>
              <w:bottom w:w="15" w:type="dxa"/>
              <w:right w:w="20" w:type="dxa"/>
            </w:tcMar>
            <w:vAlign w:val="bottom"/>
            <w:hideMark/>
          </w:tcPr>
          <w:p w14:paraId="31125C75" w14:textId="77777777" w:rsidR="00000000" w:rsidRDefault="00195E73">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871D34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1C38F1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655D4C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5CFB0B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BBAB2E5"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46DDC4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5A9390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7FDD78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043086E"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6A70D05"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1AB675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7A8251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8A3847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41E11B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09B5C33" w14:textId="77777777" w:rsidR="00000000" w:rsidRDefault="00195E73">
            <w:pPr>
              <w:rPr>
                <w:rFonts w:eastAsia="Times New Roman"/>
                <w:sz w:val="20"/>
                <w:szCs w:val="20"/>
              </w:rPr>
            </w:pPr>
          </w:p>
        </w:tc>
        <w:tc>
          <w:tcPr>
            <w:tcW w:w="0" w:type="auto"/>
            <w:vAlign w:val="center"/>
            <w:hideMark/>
          </w:tcPr>
          <w:p w14:paraId="632CD084" w14:textId="77777777" w:rsidR="00000000" w:rsidRDefault="00195E73">
            <w:pPr>
              <w:rPr>
                <w:rFonts w:eastAsia="Times New Roman"/>
                <w:sz w:val="20"/>
                <w:szCs w:val="20"/>
              </w:rPr>
            </w:pPr>
          </w:p>
        </w:tc>
        <w:tc>
          <w:tcPr>
            <w:tcW w:w="0" w:type="auto"/>
            <w:vAlign w:val="center"/>
            <w:hideMark/>
          </w:tcPr>
          <w:p w14:paraId="4948367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25D4DDC"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0080F5B3" w14:textId="77777777" w:rsidR="00000000" w:rsidRDefault="00195E73">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14:paraId="6E5E8268" w14:textId="77777777" w:rsidR="00000000" w:rsidRDefault="00195E73">
            <w:pPr>
              <w:rPr>
                <w:rFonts w:eastAsia="Times New Roman"/>
                <w:sz w:val="20"/>
                <w:szCs w:val="20"/>
              </w:rPr>
            </w:pPr>
          </w:p>
        </w:tc>
      </w:tr>
      <w:tr w:rsidR="00195E73" w14:paraId="665BC0AD" w14:textId="77777777">
        <w:trPr>
          <w:divId w:val="1004405925"/>
          <w:jc w:val="center"/>
        </w:trPr>
        <w:tc>
          <w:tcPr>
            <w:tcW w:w="0" w:type="auto"/>
            <w:gridSpan w:val="3"/>
            <w:shd w:val="clear" w:color="auto" w:fill="CCEEFF"/>
            <w:tcMar>
              <w:top w:w="30" w:type="dxa"/>
              <w:left w:w="20" w:type="dxa"/>
              <w:bottom w:w="30" w:type="dxa"/>
              <w:right w:w="20" w:type="dxa"/>
            </w:tcMar>
            <w:vAlign w:val="bottom"/>
            <w:hideMark/>
          </w:tcPr>
          <w:p w14:paraId="1BA21923" w14:textId="77777777" w:rsidR="00000000" w:rsidRDefault="00195E73">
            <w:pPr>
              <w:rPr>
                <w:rFonts w:eastAsia="Times New Roman"/>
              </w:rPr>
            </w:pPr>
            <w:r>
              <w:rPr>
                <w:rFonts w:eastAsia="Times New Roman"/>
                <w:color w:val="000000"/>
                <w:sz w:val="12"/>
                <w:szCs w:val="12"/>
              </w:rPr>
              <w:t>Cash and cash equivalent</w:t>
            </w:r>
            <w:r>
              <w:rPr>
                <w:rFonts w:eastAsia="Times New Roman"/>
                <w:color w:val="000000"/>
                <w:sz w:val="12"/>
                <w:szCs w:val="12"/>
              </w:rPr>
              <w:t>s</w:t>
            </w:r>
          </w:p>
        </w:tc>
        <w:tc>
          <w:tcPr>
            <w:tcW w:w="0" w:type="auto"/>
            <w:shd w:val="clear" w:color="auto" w:fill="CCEEFF"/>
            <w:tcMar>
              <w:top w:w="30" w:type="dxa"/>
              <w:left w:w="20" w:type="dxa"/>
              <w:bottom w:w="30" w:type="dxa"/>
              <w:right w:w="15" w:type="dxa"/>
            </w:tcMar>
            <w:vAlign w:val="bottom"/>
            <w:hideMark/>
          </w:tcPr>
          <w:p w14:paraId="34AB076B"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0485416"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1CE9D0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E6A982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A5C6AD0"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667A6216" w14:textId="77777777" w:rsidR="00000000" w:rsidRDefault="00195E73">
            <w:pPr>
              <w:jc w:val="right"/>
              <w:rPr>
                <w:rFonts w:eastAsia="Times New Roman"/>
              </w:rPr>
            </w:pPr>
            <w:r>
              <w:rPr>
                <w:rFonts w:eastAsia="Times New Roman"/>
                <w:color w:val="000000"/>
                <w:sz w:val="12"/>
                <w:szCs w:val="12"/>
              </w:rPr>
              <w:t>668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011CC8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5DEEA3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3CB53A3"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7A5462A9" w14:textId="77777777" w:rsidR="00000000" w:rsidRDefault="00195E73">
            <w:pPr>
              <w:jc w:val="right"/>
              <w:rPr>
                <w:rFonts w:eastAsia="Times New Roman"/>
              </w:rPr>
            </w:pPr>
            <w:r>
              <w:rPr>
                <w:rFonts w:eastAsia="Times New Roman"/>
                <w:color w:val="000000"/>
                <w:sz w:val="12"/>
                <w:szCs w:val="12"/>
              </w:rPr>
              <w:t>43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259F46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0026CA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80E72CC"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7D56BDD1" w14:textId="77777777" w:rsidR="00000000" w:rsidRDefault="00195E73">
            <w:pPr>
              <w:jc w:val="right"/>
              <w:rPr>
                <w:rFonts w:eastAsia="Times New Roman"/>
              </w:rPr>
            </w:pPr>
            <w:r>
              <w:rPr>
                <w:rFonts w:eastAsia="Times New Roman"/>
                <w:color w:val="000000"/>
                <w:sz w:val="12"/>
                <w:szCs w:val="12"/>
              </w:rPr>
              <w:t>46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3BD069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5B2BEE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551600E"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0DDEDA45" w14:textId="77777777" w:rsidR="00000000" w:rsidRDefault="00195E73">
            <w:pPr>
              <w:jc w:val="right"/>
              <w:rPr>
                <w:rFonts w:eastAsia="Times New Roman"/>
              </w:rPr>
            </w:pPr>
            <w:r>
              <w:rPr>
                <w:rFonts w:eastAsia="Times New Roman"/>
                <w:color w:val="000000"/>
                <w:sz w:val="12"/>
                <w:szCs w:val="12"/>
              </w:rPr>
              <w:t>20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968531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248AB3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8DE3619"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FCE4F80" w14:textId="77777777" w:rsidR="00000000" w:rsidRDefault="00195E73">
            <w:pPr>
              <w:jc w:val="right"/>
              <w:rPr>
                <w:rFonts w:eastAsia="Times New Roman"/>
              </w:rPr>
            </w:pPr>
            <w:r>
              <w:rPr>
                <w:rFonts w:eastAsia="Times New Roman"/>
                <w:color w:val="000000"/>
                <w:sz w:val="12"/>
                <w:szCs w:val="12"/>
              </w:rPr>
              <w:t>39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8CCA2F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D95944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E6770B7"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15C0A67"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307D6E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ECB37D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5297B6F"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63712CB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7CE193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8AA228F" w14:textId="77777777" w:rsidR="00000000" w:rsidRDefault="00195E73">
            <w:pPr>
              <w:jc w:val="right"/>
              <w:rPr>
                <w:rFonts w:eastAsia="Times New Roman"/>
              </w:rPr>
            </w:pPr>
          </w:p>
        </w:tc>
        <w:tc>
          <w:tcPr>
            <w:tcW w:w="0" w:type="auto"/>
            <w:vAlign w:val="center"/>
            <w:hideMark/>
          </w:tcPr>
          <w:p w14:paraId="01FC77AF" w14:textId="77777777" w:rsidR="00000000" w:rsidRDefault="00195E73">
            <w:pPr>
              <w:rPr>
                <w:rFonts w:eastAsia="Times New Roman"/>
                <w:sz w:val="20"/>
                <w:szCs w:val="20"/>
              </w:rPr>
            </w:pPr>
          </w:p>
        </w:tc>
        <w:tc>
          <w:tcPr>
            <w:tcW w:w="0" w:type="auto"/>
            <w:vAlign w:val="center"/>
            <w:hideMark/>
          </w:tcPr>
          <w:p w14:paraId="4D881CBC" w14:textId="77777777" w:rsidR="00000000" w:rsidRDefault="00195E73">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79C33FEC"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52783998" w14:textId="77777777" w:rsidR="00000000" w:rsidRDefault="00195E73">
            <w:pPr>
              <w:jc w:val="right"/>
              <w:rPr>
                <w:rFonts w:eastAsia="Times New Roman"/>
              </w:rPr>
            </w:pPr>
            <w:r>
              <w:rPr>
                <w:rFonts w:eastAsia="Times New Roman"/>
                <w:color w:val="000000"/>
                <w:sz w:val="12"/>
                <w:szCs w:val="12"/>
              </w:rPr>
              <w:t>1,834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946559B"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4A4F0FE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621B64E"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2,656</w:t>
            </w:r>
            <w:r>
              <w:rPr>
                <w:rFonts w:eastAsia="Times New Roman"/>
                <w:color w:val="000000"/>
                <w:sz w:val="12"/>
                <w:szCs w:val="12"/>
              </w:rPr>
              <w:t> </w:t>
            </w:r>
            <w:r>
              <w:rPr>
                <w:rFonts w:eastAsia="Times New Roman"/>
                <w:color w:val="000000"/>
                <w:sz w:val="12"/>
                <w:szCs w:val="12"/>
              </w:rPr>
              <w:t> </w:t>
            </w:r>
          </w:p>
        </w:tc>
      </w:tr>
      <w:tr w:rsidR="00195E73" w14:paraId="6B91BF25" w14:textId="77777777">
        <w:trPr>
          <w:divId w:val="1004405925"/>
          <w:jc w:val="center"/>
        </w:trPr>
        <w:tc>
          <w:tcPr>
            <w:tcW w:w="0" w:type="auto"/>
            <w:gridSpan w:val="3"/>
            <w:shd w:val="clear" w:color="auto" w:fill="FFFFFF"/>
            <w:tcMar>
              <w:top w:w="30" w:type="dxa"/>
              <w:left w:w="20" w:type="dxa"/>
              <w:bottom w:w="30" w:type="dxa"/>
              <w:right w:w="20" w:type="dxa"/>
            </w:tcMar>
            <w:vAlign w:val="bottom"/>
            <w:hideMark/>
          </w:tcPr>
          <w:p w14:paraId="68FB8DBA" w14:textId="77777777" w:rsidR="00000000" w:rsidRDefault="00195E73">
            <w:pPr>
              <w:ind w:hanging="180"/>
              <w:divId w:val="400248699"/>
              <w:rPr>
                <w:rFonts w:eastAsia="Times New Roman"/>
              </w:rPr>
            </w:pPr>
            <w:r>
              <w:rPr>
                <w:rFonts w:eastAsia="Times New Roman"/>
                <w:color w:val="000000"/>
                <w:sz w:val="12"/>
                <w:szCs w:val="12"/>
              </w:rPr>
              <w:t>Cash held at consolidated affiliated partnerships and restricted cas</w:t>
            </w:r>
            <w:r>
              <w:rPr>
                <w:rFonts w:eastAsia="Times New Roman"/>
                <w:color w:val="000000"/>
                <w:sz w:val="12"/>
                <w:szCs w:val="12"/>
              </w:rPr>
              <w:t>h</w:t>
            </w:r>
          </w:p>
        </w:tc>
        <w:tc>
          <w:tcPr>
            <w:tcW w:w="0" w:type="auto"/>
            <w:gridSpan w:val="2"/>
            <w:shd w:val="clear" w:color="auto" w:fill="FFFFFF"/>
            <w:tcMar>
              <w:top w:w="30" w:type="dxa"/>
              <w:left w:w="20" w:type="dxa"/>
              <w:bottom w:w="30" w:type="dxa"/>
              <w:right w:w="0" w:type="dxa"/>
            </w:tcMar>
            <w:vAlign w:val="bottom"/>
            <w:hideMark/>
          </w:tcPr>
          <w:p w14:paraId="15791375" w14:textId="77777777" w:rsidR="00000000" w:rsidRDefault="00195E73">
            <w:pPr>
              <w:jc w:val="right"/>
              <w:rPr>
                <w:rFonts w:eastAsia="Times New Roman"/>
              </w:rPr>
            </w:pPr>
            <w:r>
              <w:rPr>
                <w:rFonts w:eastAsia="Times New Roman"/>
                <w:color w:val="000000"/>
                <w:sz w:val="12"/>
                <w:szCs w:val="12"/>
              </w:rPr>
              <w:t>2,648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0EC1EC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D65D01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ED291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64D772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4E0BDF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E4089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32B5A1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12CAD4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01479A"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E24B6A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1814C5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5972E7"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A99D99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B3D4F3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15F21C" w14:textId="77777777" w:rsidR="00000000" w:rsidRDefault="00195E73">
            <w:pPr>
              <w:jc w:val="right"/>
              <w:rPr>
                <w:rFonts w:eastAsia="Times New Roman"/>
              </w:rPr>
            </w:pPr>
            <w:r>
              <w:rPr>
                <w:rFonts w:eastAsia="Times New Roman"/>
                <w:color w:val="000000"/>
                <w:sz w:val="12"/>
                <w:szCs w:val="12"/>
              </w:rPr>
              <w:t>26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6F60E4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88EF8D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EDF0CE"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63BE36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290CF9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78015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ED900C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5FFFB1C" w14:textId="77777777" w:rsidR="00000000" w:rsidRDefault="00195E73">
            <w:pPr>
              <w:jc w:val="right"/>
              <w:rPr>
                <w:rFonts w:eastAsia="Times New Roman"/>
              </w:rPr>
            </w:pPr>
          </w:p>
        </w:tc>
        <w:tc>
          <w:tcPr>
            <w:tcW w:w="0" w:type="auto"/>
            <w:vAlign w:val="center"/>
            <w:hideMark/>
          </w:tcPr>
          <w:p w14:paraId="68511DB6" w14:textId="77777777" w:rsidR="00000000" w:rsidRDefault="00195E73">
            <w:pPr>
              <w:rPr>
                <w:rFonts w:eastAsia="Times New Roman"/>
                <w:sz w:val="20"/>
                <w:szCs w:val="20"/>
              </w:rPr>
            </w:pPr>
          </w:p>
        </w:tc>
        <w:tc>
          <w:tcPr>
            <w:tcW w:w="0" w:type="auto"/>
            <w:vAlign w:val="center"/>
            <w:hideMark/>
          </w:tcPr>
          <w:p w14:paraId="0AEDC655"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DE5DFA" w14:textId="77777777" w:rsidR="00000000" w:rsidRDefault="00195E73">
            <w:pPr>
              <w:jc w:val="right"/>
              <w:rPr>
                <w:rFonts w:eastAsia="Times New Roman"/>
              </w:rPr>
            </w:pPr>
            <w:r>
              <w:rPr>
                <w:rFonts w:eastAsia="Times New Roman"/>
                <w:color w:val="000000"/>
                <w:sz w:val="12"/>
                <w:szCs w:val="12"/>
              </w:rPr>
              <w:t>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3C83B61"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039ABFE0"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2BF9A5D" w14:textId="77777777" w:rsidR="00000000" w:rsidRDefault="00195E73">
            <w:pPr>
              <w:jc w:val="right"/>
              <w:rPr>
                <w:rFonts w:eastAsia="Times New Roman"/>
              </w:rPr>
            </w:pPr>
            <w:r>
              <w:rPr>
                <w:rFonts w:eastAsia="Times New Roman"/>
                <w:color w:val="000000"/>
                <w:sz w:val="12"/>
                <w:szCs w:val="12"/>
              </w:rPr>
              <w:t>2,682</w:t>
            </w:r>
            <w:r>
              <w:rPr>
                <w:rFonts w:eastAsia="Times New Roman"/>
                <w:color w:val="000000"/>
                <w:sz w:val="12"/>
                <w:szCs w:val="12"/>
              </w:rPr>
              <w:t> </w:t>
            </w:r>
            <w:r>
              <w:rPr>
                <w:rFonts w:eastAsia="Times New Roman"/>
                <w:color w:val="000000"/>
                <w:sz w:val="12"/>
                <w:szCs w:val="12"/>
              </w:rPr>
              <w:t> </w:t>
            </w:r>
          </w:p>
        </w:tc>
      </w:tr>
      <w:tr w:rsidR="00195E73" w14:paraId="043F3A8D" w14:textId="77777777">
        <w:trPr>
          <w:divId w:val="1004405925"/>
          <w:jc w:val="center"/>
        </w:trPr>
        <w:tc>
          <w:tcPr>
            <w:tcW w:w="0" w:type="auto"/>
            <w:gridSpan w:val="3"/>
            <w:shd w:val="clear" w:color="auto" w:fill="CCEEFF"/>
            <w:tcMar>
              <w:top w:w="30" w:type="dxa"/>
              <w:left w:w="20" w:type="dxa"/>
              <w:bottom w:w="30" w:type="dxa"/>
              <w:right w:w="20" w:type="dxa"/>
            </w:tcMar>
            <w:vAlign w:val="bottom"/>
            <w:hideMark/>
          </w:tcPr>
          <w:p w14:paraId="515ED4B8" w14:textId="77777777" w:rsidR="00000000" w:rsidRDefault="00195E73">
            <w:pPr>
              <w:rPr>
                <w:rFonts w:eastAsia="Times New Roman"/>
              </w:rPr>
            </w:pPr>
            <w:r>
              <w:rPr>
                <w:rFonts w:eastAsia="Times New Roman"/>
                <w:color w:val="000000"/>
                <w:sz w:val="12"/>
                <w:szCs w:val="12"/>
              </w:rPr>
              <w:t>Investment</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3E136E6F" w14:textId="77777777" w:rsidR="00000000" w:rsidRDefault="00195E73">
            <w:pPr>
              <w:jc w:val="right"/>
              <w:rPr>
                <w:rFonts w:eastAsia="Times New Roman"/>
              </w:rPr>
            </w:pPr>
            <w:r>
              <w:rPr>
                <w:rFonts w:eastAsia="Times New Roman"/>
                <w:color w:val="000000"/>
                <w:sz w:val="12"/>
                <w:szCs w:val="12"/>
              </w:rPr>
              <w:t>6,867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A807F2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E99D08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E2C0EF" w14:textId="77777777" w:rsidR="00000000" w:rsidRDefault="00195E73">
            <w:pPr>
              <w:jc w:val="right"/>
              <w:rPr>
                <w:rFonts w:eastAsia="Times New Roman"/>
              </w:rPr>
            </w:pPr>
            <w:r>
              <w:rPr>
                <w:rFonts w:eastAsia="Times New Roman"/>
                <w:color w:val="000000"/>
                <w:sz w:val="12"/>
                <w:szCs w:val="12"/>
              </w:rPr>
              <w:t>84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F1079A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617B3A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53685A" w14:textId="77777777" w:rsidR="00000000" w:rsidRDefault="00195E73">
            <w:pPr>
              <w:jc w:val="right"/>
              <w:rPr>
                <w:rFonts w:eastAsia="Times New Roman"/>
              </w:rPr>
            </w:pPr>
            <w:r>
              <w:rPr>
                <w:rFonts w:eastAsia="Times New Roman"/>
                <w:color w:val="000000"/>
                <w:sz w:val="12"/>
                <w:szCs w:val="12"/>
              </w:rPr>
              <w:t>59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8D7335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2DA5B9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F788F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C4F3E7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71CD61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4E0F4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5AD690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8A398B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25CC5E" w14:textId="77777777" w:rsidR="00000000" w:rsidRDefault="00195E73">
            <w:pPr>
              <w:jc w:val="right"/>
              <w:rPr>
                <w:rFonts w:eastAsia="Times New Roman"/>
              </w:rPr>
            </w:pPr>
            <w:r>
              <w:rPr>
                <w:rFonts w:eastAsia="Times New Roman"/>
                <w:color w:val="000000"/>
                <w:sz w:val="12"/>
                <w:szCs w:val="12"/>
              </w:rPr>
              <w:t>15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01DF49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83DE2E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37B1C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8AC200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E553BE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E7EFD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AE8427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B4C01F6" w14:textId="77777777" w:rsidR="00000000" w:rsidRDefault="00195E73">
            <w:pPr>
              <w:jc w:val="right"/>
              <w:rPr>
                <w:rFonts w:eastAsia="Times New Roman"/>
              </w:rPr>
            </w:pPr>
          </w:p>
        </w:tc>
        <w:tc>
          <w:tcPr>
            <w:tcW w:w="0" w:type="auto"/>
            <w:vAlign w:val="center"/>
            <w:hideMark/>
          </w:tcPr>
          <w:p w14:paraId="5DF43613" w14:textId="77777777" w:rsidR="00000000" w:rsidRDefault="00195E73">
            <w:pPr>
              <w:rPr>
                <w:rFonts w:eastAsia="Times New Roman"/>
                <w:sz w:val="20"/>
                <w:szCs w:val="20"/>
              </w:rPr>
            </w:pPr>
          </w:p>
        </w:tc>
        <w:tc>
          <w:tcPr>
            <w:tcW w:w="0" w:type="auto"/>
            <w:vAlign w:val="center"/>
            <w:hideMark/>
          </w:tcPr>
          <w:p w14:paraId="7CCB4C8B"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4461F1" w14:textId="77777777" w:rsidR="00000000" w:rsidRDefault="00195E73">
            <w:pPr>
              <w:jc w:val="right"/>
              <w:rPr>
                <w:rFonts w:eastAsia="Times New Roman"/>
              </w:rPr>
            </w:pPr>
            <w:r>
              <w:rPr>
                <w:rFonts w:eastAsia="Times New Roman"/>
                <w:color w:val="000000"/>
                <w:sz w:val="12"/>
                <w:szCs w:val="12"/>
              </w:rPr>
              <w:t>1,312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06E0E54"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592873B2"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FEB62EE" w14:textId="77777777" w:rsidR="00000000" w:rsidRDefault="00195E73">
            <w:pPr>
              <w:jc w:val="right"/>
              <w:rPr>
                <w:rFonts w:eastAsia="Times New Roman"/>
              </w:rPr>
            </w:pPr>
            <w:r>
              <w:rPr>
                <w:rFonts w:eastAsia="Times New Roman"/>
                <w:color w:val="000000"/>
                <w:sz w:val="12"/>
                <w:szCs w:val="12"/>
              </w:rPr>
              <w:t>8,337</w:t>
            </w:r>
            <w:r>
              <w:rPr>
                <w:rFonts w:eastAsia="Times New Roman"/>
                <w:color w:val="000000"/>
                <w:sz w:val="12"/>
                <w:szCs w:val="12"/>
              </w:rPr>
              <w:t> </w:t>
            </w:r>
            <w:r>
              <w:rPr>
                <w:rFonts w:eastAsia="Times New Roman"/>
                <w:color w:val="000000"/>
                <w:sz w:val="12"/>
                <w:szCs w:val="12"/>
              </w:rPr>
              <w:t> </w:t>
            </w:r>
          </w:p>
        </w:tc>
      </w:tr>
      <w:tr w:rsidR="00195E73" w14:paraId="67B9CD7D" w14:textId="77777777">
        <w:trPr>
          <w:divId w:val="1004405925"/>
          <w:jc w:val="center"/>
        </w:trPr>
        <w:tc>
          <w:tcPr>
            <w:tcW w:w="0" w:type="auto"/>
            <w:gridSpan w:val="3"/>
            <w:shd w:val="clear" w:color="auto" w:fill="FFFFFF"/>
            <w:tcMar>
              <w:top w:w="30" w:type="dxa"/>
              <w:left w:w="20" w:type="dxa"/>
              <w:bottom w:w="30" w:type="dxa"/>
              <w:right w:w="20" w:type="dxa"/>
            </w:tcMar>
            <w:vAlign w:val="bottom"/>
            <w:hideMark/>
          </w:tcPr>
          <w:p w14:paraId="08B5F0E4" w14:textId="77777777" w:rsidR="00000000" w:rsidRDefault="00195E73">
            <w:pPr>
              <w:rPr>
                <w:rFonts w:eastAsia="Times New Roman"/>
              </w:rPr>
            </w:pPr>
            <w:r>
              <w:rPr>
                <w:rFonts w:eastAsia="Times New Roman"/>
                <w:color w:val="000000"/>
                <w:sz w:val="12"/>
                <w:szCs w:val="12"/>
              </w:rPr>
              <w:t>Accounts receivable, ne</w:t>
            </w:r>
            <w:r>
              <w:rPr>
                <w:rFonts w:eastAsia="Times New Roman"/>
                <w:color w:val="000000"/>
                <w:sz w:val="12"/>
                <w:szCs w:val="12"/>
              </w:rPr>
              <w:t>t</w:t>
            </w:r>
          </w:p>
        </w:tc>
        <w:tc>
          <w:tcPr>
            <w:tcW w:w="0" w:type="auto"/>
            <w:gridSpan w:val="2"/>
            <w:shd w:val="clear" w:color="auto" w:fill="FFFFFF"/>
            <w:tcMar>
              <w:top w:w="30" w:type="dxa"/>
              <w:left w:w="20" w:type="dxa"/>
              <w:bottom w:w="30" w:type="dxa"/>
              <w:right w:w="0" w:type="dxa"/>
            </w:tcMar>
            <w:vAlign w:val="bottom"/>
            <w:hideMark/>
          </w:tcPr>
          <w:p w14:paraId="46E7211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BEE178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80A30A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FA1604" w14:textId="77777777" w:rsidR="00000000" w:rsidRDefault="00195E73">
            <w:pPr>
              <w:jc w:val="right"/>
              <w:rPr>
                <w:rFonts w:eastAsia="Times New Roman"/>
              </w:rPr>
            </w:pPr>
            <w:r>
              <w:rPr>
                <w:rFonts w:eastAsia="Times New Roman"/>
                <w:color w:val="000000"/>
                <w:sz w:val="12"/>
                <w:szCs w:val="12"/>
              </w:rPr>
              <w:t>169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A2B87F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30D14B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E134A2" w14:textId="77777777" w:rsidR="00000000" w:rsidRDefault="00195E73">
            <w:pPr>
              <w:jc w:val="right"/>
              <w:rPr>
                <w:rFonts w:eastAsia="Times New Roman"/>
              </w:rPr>
            </w:pPr>
            <w:r>
              <w:rPr>
                <w:rFonts w:eastAsia="Times New Roman"/>
                <w:color w:val="000000"/>
                <w:sz w:val="12"/>
                <w:szCs w:val="12"/>
              </w:rPr>
              <w:t>149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5ACF78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79FE2B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CA1C17" w14:textId="77777777" w:rsidR="00000000" w:rsidRDefault="00195E73">
            <w:pPr>
              <w:jc w:val="right"/>
              <w:rPr>
                <w:rFonts w:eastAsia="Times New Roman"/>
              </w:rPr>
            </w:pPr>
            <w:r>
              <w:rPr>
                <w:rFonts w:eastAsia="Times New Roman"/>
                <w:color w:val="000000"/>
                <w:sz w:val="12"/>
                <w:szCs w:val="12"/>
              </w:rPr>
              <w:t>74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3A4775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784494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FB4968" w14:textId="77777777" w:rsidR="00000000" w:rsidRDefault="00195E73">
            <w:pPr>
              <w:jc w:val="right"/>
              <w:rPr>
                <w:rFonts w:eastAsia="Times New Roman"/>
              </w:rPr>
            </w:pPr>
            <w:r>
              <w:rPr>
                <w:rFonts w:eastAsia="Times New Roman"/>
                <w:color w:val="000000"/>
                <w:sz w:val="12"/>
                <w:szCs w:val="12"/>
              </w:rPr>
              <w:t>48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B3C123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A93B68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CD2343"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BCECE9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7D7ECB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A1FAEF" w14:textId="77777777" w:rsidR="00000000" w:rsidRDefault="00195E73">
            <w:pPr>
              <w:jc w:val="right"/>
              <w:rPr>
                <w:rFonts w:eastAsia="Times New Roman"/>
              </w:rPr>
            </w:pPr>
            <w:r>
              <w:rPr>
                <w:rFonts w:eastAsia="Times New Roman"/>
                <w:color w:val="000000"/>
                <w:sz w:val="12"/>
                <w:szCs w:val="12"/>
              </w:rPr>
              <w:t>31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E24685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5C45A7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CFD80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8A073D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E88E862" w14:textId="77777777" w:rsidR="00000000" w:rsidRDefault="00195E73">
            <w:pPr>
              <w:jc w:val="right"/>
              <w:rPr>
                <w:rFonts w:eastAsia="Times New Roman"/>
              </w:rPr>
            </w:pPr>
          </w:p>
        </w:tc>
        <w:tc>
          <w:tcPr>
            <w:tcW w:w="0" w:type="auto"/>
            <w:vAlign w:val="center"/>
            <w:hideMark/>
          </w:tcPr>
          <w:p w14:paraId="3547B2F2" w14:textId="77777777" w:rsidR="00000000" w:rsidRDefault="00195E73">
            <w:pPr>
              <w:rPr>
                <w:rFonts w:eastAsia="Times New Roman"/>
                <w:sz w:val="20"/>
                <w:szCs w:val="20"/>
              </w:rPr>
            </w:pPr>
          </w:p>
        </w:tc>
        <w:tc>
          <w:tcPr>
            <w:tcW w:w="0" w:type="auto"/>
            <w:vAlign w:val="center"/>
            <w:hideMark/>
          </w:tcPr>
          <w:p w14:paraId="1AA8C25C"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35121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A041848"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7A245BC4"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FE177B2" w14:textId="77777777" w:rsidR="00000000" w:rsidRDefault="00195E73">
            <w:pPr>
              <w:jc w:val="right"/>
              <w:rPr>
                <w:rFonts w:eastAsia="Times New Roman"/>
              </w:rPr>
            </w:pPr>
            <w:r>
              <w:rPr>
                <w:rFonts w:eastAsia="Times New Roman"/>
                <w:color w:val="000000"/>
                <w:sz w:val="12"/>
                <w:szCs w:val="12"/>
              </w:rPr>
              <w:t>474</w:t>
            </w:r>
            <w:r>
              <w:rPr>
                <w:rFonts w:eastAsia="Times New Roman"/>
                <w:color w:val="000000"/>
                <w:sz w:val="12"/>
                <w:szCs w:val="12"/>
              </w:rPr>
              <w:t> </w:t>
            </w:r>
            <w:r>
              <w:rPr>
                <w:rFonts w:eastAsia="Times New Roman"/>
                <w:color w:val="000000"/>
                <w:sz w:val="12"/>
                <w:szCs w:val="12"/>
              </w:rPr>
              <w:t> </w:t>
            </w:r>
          </w:p>
        </w:tc>
      </w:tr>
      <w:tr w:rsidR="00195E73" w14:paraId="76E8064E" w14:textId="77777777">
        <w:trPr>
          <w:divId w:val="1004405925"/>
          <w:jc w:val="center"/>
        </w:trPr>
        <w:tc>
          <w:tcPr>
            <w:tcW w:w="0" w:type="auto"/>
            <w:gridSpan w:val="3"/>
            <w:shd w:val="clear" w:color="auto" w:fill="CCEEFF"/>
            <w:tcMar>
              <w:top w:w="30" w:type="dxa"/>
              <w:left w:w="20" w:type="dxa"/>
              <w:bottom w:w="30" w:type="dxa"/>
              <w:right w:w="20" w:type="dxa"/>
            </w:tcMar>
            <w:vAlign w:val="bottom"/>
            <w:hideMark/>
          </w:tcPr>
          <w:p w14:paraId="5E0D2ED7" w14:textId="77777777" w:rsidR="00000000" w:rsidRDefault="00195E73">
            <w:pPr>
              <w:rPr>
                <w:rFonts w:eastAsia="Times New Roman"/>
              </w:rPr>
            </w:pPr>
            <w:r>
              <w:rPr>
                <w:rFonts w:eastAsia="Times New Roman"/>
                <w:color w:val="000000"/>
                <w:sz w:val="12"/>
                <w:szCs w:val="12"/>
              </w:rPr>
              <w:t>Inventories, ne</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3ACAE6A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4FFEB9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8FCCB0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06A676" w14:textId="77777777" w:rsidR="00000000" w:rsidRDefault="00195E73">
            <w:pPr>
              <w:jc w:val="right"/>
              <w:rPr>
                <w:rFonts w:eastAsia="Times New Roman"/>
              </w:rPr>
            </w:pPr>
            <w:r>
              <w:rPr>
                <w:rFonts w:eastAsia="Times New Roman"/>
                <w:color w:val="000000"/>
                <w:sz w:val="12"/>
                <w:szCs w:val="12"/>
              </w:rPr>
              <w:t>380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B2CD68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22FEFB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0AEE36" w14:textId="77777777" w:rsidR="00000000" w:rsidRDefault="00195E73">
            <w:pPr>
              <w:jc w:val="right"/>
              <w:rPr>
                <w:rFonts w:eastAsia="Times New Roman"/>
              </w:rPr>
            </w:pPr>
            <w:r>
              <w:rPr>
                <w:rFonts w:eastAsia="Times New Roman"/>
                <w:color w:val="000000"/>
                <w:sz w:val="12"/>
                <w:szCs w:val="12"/>
              </w:rPr>
              <w:t>1,203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26134B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630D3B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373D15" w14:textId="77777777" w:rsidR="00000000" w:rsidRDefault="00195E73">
            <w:pPr>
              <w:jc w:val="right"/>
              <w:rPr>
                <w:rFonts w:eastAsia="Times New Roman"/>
              </w:rPr>
            </w:pPr>
            <w:r>
              <w:rPr>
                <w:rFonts w:eastAsia="Times New Roman"/>
                <w:color w:val="000000"/>
                <w:sz w:val="12"/>
                <w:szCs w:val="12"/>
              </w:rPr>
              <w:t>93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42F1AC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E224CE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EE391A" w14:textId="77777777" w:rsidR="00000000" w:rsidRDefault="00195E73">
            <w:pPr>
              <w:jc w:val="right"/>
              <w:rPr>
                <w:rFonts w:eastAsia="Times New Roman"/>
              </w:rPr>
            </w:pPr>
            <w:r>
              <w:rPr>
                <w:rFonts w:eastAsia="Times New Roman"/>
                <w:color w:val="000000"/>
                <w:sz w:val="12"/>
                <w:szCs w:val="12"/>
              </w:rPr>
              <w:t>39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21170D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222AC2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32B83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FD236B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E89629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992F52" w14:textId="77777777" w:rsidR="00000000" w:rsidRDefault="00195E73">
            <w:pPr>
              <w:jc w:val="right"/>
              <w:rPr>
                <w:rFonts w:eastAsia="Times New Roman"/>
              </w:rPr>
            </w:pPr>
            <w:r>
              <w:rPr>
                <w:rFonts w:eastAsia="Times New Roman"/>
                <w:color w:val="000000"/>
                <w:sz w:val="12"/>
                <w:szCs w:val="12"/>
              </w:rPr>
              <w:t>64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AB95A8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3D2723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746FF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CF905B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85E12C7" w14:textId="77777777" w:rsidR="00000000" w:rsidRDefault="00195E73">
            <w:pPr>
              <w:jc w:val="right"/>
              <w:rPr>
                <w:rFonts w:eastAsia="Times New Roman"/>
              </w:rPr>
            </w:pPr>
          </w:p>
        </w:tc>
        <w:tc>
          <w:tcPr>
            <w:tcW w:w="0" w:type="auto"/>
            <w:vAlign w:val="center"/>
            <w:hideMark/>
          </w:tcPr>
          <w:p w14:paraId="7C034471" w14:textId="77777777" w:rsidR="00000000" w:rsidRDefault="00195E73">
            <w:pPr>
              <w:rPr>
                <w:rFonts w:eastAsia="Times New Roman"/>
                <w:sz w:val="20"/>
                <w:szCs w:val="20"/>
              </w:rPr>
            </w:pPr>
          </w:p>
        </w:tc>
        <w:tc>
          <w:tcPr>
            <w:tcW w:w="0" w:type="auto"/>
            <w:vAlign w:val="center"/>
            <w:hideMark/>
          </w:tcPr>
          <w:p w14:paraId="24658F53"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3828C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08090DC"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0F4247D4"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CCA45E3" w14:textId="77777777" w:rsidR="00000000" w:rsidRDefault="00195E73">
            <w:pPr>
              <w:jc w:val="right"/>
              <w:rPr>
                <w:rFonts w:eastAsia="Times New Roman"/>
              </w:rPr>
            </w:pPr>
            <w:r>
              <w:rPr>
                <w:rFonts w:eastAsia="Times New Roman"/>
                <w:color w:val="000000"/>
                <w:sz w:val="12"/>
                <w:szCs w:val="12"/>
              </w:rPr>
              <w:t>1,779</w:t>
            </w:r>
            <w:r>
              <w:rPr>
                <w:rFonts w:eastAsia="Times New Roman"/>
                <w:color w:val="000000"/>
                <w:sz w:val="12"/>
                <w:szCs w:val="12"/>
              </w:rPr>
              <w:t> </w:t>
            </w:r>
            <w:r>
              <w:rPr>
                <w:rFonts w:eastAsia="Times New Roman"/>
                <w:color w:val="000000"/>
                <w:sz w:val="12"/>
                <w:szCs w:val="12"/>
              </w:rPr>
              <w:t> </w:t>
            </w:r>
          </w:p>
        </w:tc>
      </w:tr>
      <w:tr w:rsidR="00195E73" w14:paraId="1EAFCC11" w14:textId="77777777">
        <w:trPr>
          <w:divId w:val="1004405925"/>
          <w:jc w:val="center"/>
        </w:trPr>
        <w:tc>
          <w:tcPr>
            <w:tcW w:w="0" w:type="auto"/>
            <w:gridSpan w:val="3"/>
            <w:shd w:val="clear" w:color="auto" w:fill="FFFFFF"/>
            <w:tcMar>
              <w:top w:w="30" w:type="dxa"/>
              <w:left w:w="20" w:type="dxa"/>
              <w:bottom w:w="30" w:type="dxa"/>
              <w:right w:w="20" w:type="dxa"/>
            </w:tcMar>
            <w:vAlign w:val="bottom"/>
            <w:hideMark/>
          </w:tcPr>
          <w:p w14:paraId="3E46CD74" w14:textId="77777777" w:rsidR="00000000" w:rsidRDefault="00195E73">
            <w:pPr>
              <w:rPr>
                <w:rFonts w:eastAsia="Times New Roman"/>
              </w:rPr>
            </w:pPr>
            <w:r>
              <w:rPr>
                <w:rFonts w:eastAsia="Times New Roman"/>
                <w:color w:val="000000"/>
                <w:sz w:val="12"/>
                <w:szCs w:val="12"/>
              </w:rPr>
              <w:t>Property, plant and equipment, ne</w:t>
            </w:r>
            <w:r>
              <w:rPr>
                <w:rFonts w:eastAsia="Times New Roman"/>
                <w:color w:val="000000"/>
                <w:sz w:val="12"/>
                <w:szCs w:val="12"/>
              </w:rPr>
              <w:t>t</w:t>
            </w:r>
          </w:p>
        </w:tc>
        <w:tc>
          <w:tcPr>
            <w:tcW w:w="0" w:type="auto"/>
            <w:gridSpan w:val="2"/>
            <w:shd w:val="clear" w:color="auto" w:fill="FFFFFF"/>
            <w:tcMar>
              <w:top w:w="30" w:type="dxa"/>
              <w:left w:w="20" w:type="dxa"/>
              <w:bottom w:w="30" w:type="dxa"/>
              <w:right w:w="0" w:type="dxa"/>
            </w:tcMar>
            <w:vAlign w:val="bottom"/>
            <w:hideMark/>
          </w:tcPr>
          <w:p w14:paraId="3D44C35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207BA0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D785FF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060370" w14:textId="77777777" w:rsidR="00000000" w:rsidRDefault="00195E73">
            <w:pPr>
              <w:jc w:val="right"/>
              <w:rPr>
                <w:rFonts w:eastAsia="Times New Roman"/>
              </w:rPr>
            </w:pPr>
            <w:r>
              <w:rPr>
                <w:rFonts w:eastAsia="Times New Roman"/>
                <w:color w:val="000000"/>
                <w:sz w:val="12"/>
                <w:szCs w:val="12"/>
              </w:rPr>
              <w:t>3,027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7BE937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52C036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8BC26A" w14:textId="77777777" w:rsidR="00000000" w:rsidRDefault="00195E73">
            <w:pPr>
              <w:jc w:val="right"/>
              <w:rPr>
                <w:rFonts w:eastAsia="Times New Roman"/>
              </w:rPr>
            </w:pPr>
            <w:r>
              <w:rPr>
                <w:rFonts w:eastAsia="Times New Roman"/>
                <w:color w:val="000000"/>
                <w:sz w:val="12"/>
                <w:szCs w:val="12"/>
              </w:rPr>
              <w:t>941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0AE2C3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4E3B77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021684" w14:textId="77777777" w:rsidR="00000000" w:rsidRDefault="00195E73">
            <w:pPr>
              <w:jc w:val="right"/>
              <w:rPr>
                <w:rFonts w:eastAsia="Times New Roman"/>
              </w:rPr>
            </w:pPr>
            <w:r>
              <w:rPr>
                <w:rFonts w:eastAsia="Times New Roman"/>
                <w:color w:val="000000"/>
                <w:sz w:val="12"/>
                <w:szCs w:val="12"/>
              </w:rPr>
              <w:t>169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E2687F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73AE98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1E5908" w14:textId="77777777" w:rsidR="00000000" w:rsidRDefault="00195E73">
            <w:pPr>
              <w:jc w:val="right"/>
              <w:rPr>
                <w:rFonts w:eastAsia="Times New Roman"/>
              </w:rPr>
            </w:pPr>
            <w:r>
              <w:rPr>
                <w:rFonts w:eastAsia="Times New Roman"/>
                <w:color w:val="000000"/>
                <w:sz w:val="12"/>
                <w:szCs w:val="12"/>
              </w:rPr>
              <w:t>115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94A521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33BE91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69DBB1" w14:textId="77777777" w:rsidR="00000000" w:rsidRDefault="00195E73">
            <w:pPr>
              <w:jc w:val="right"/>
              <w:rPr>
                <w:rFonts w:eastAsia="Times New Roman"/>
              </w:rPr>
            </w:pPr>
            <w:r>
              <w:rPr>
                <w:rFonts w:eastAsia="Times New Roman"/>
                <w:color w:val="000000"/>
                <w:sz w:val="12"/>
                <w:szCs w:val="12"/>
              </w:rPr>
              <w:t>367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41DE1F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972208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561762" w14:textId="77777777" w:rsidR="00000000" w:rsidRDefault="00195E73">
            <w:pPr>
              <w:jc w:val="right"/>
              <w:rPr>
                <w:rFonts w:eastAsia="Times New Roman"/>
              </w:rPr>
            </w:pPr>
            <w:r>
              <w:rPr>
                <w:rFonts w:eastAsia="Times New Roman"/>
                <w:color w:val="000000"/>
                <w:sz w:val="12"/>
                <w:szCs w:val="12"/>
              </w:rPr>
              <w:t>69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3CBE39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FE7F62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DAC9C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47C879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86A04E4" w14:textId="77777777" w:rsidR="00000000" w:rsidRDefault="00195E73">
            <w:pPr>
              <w:jc w:val="right"/>
              <w:rPr>
                <w:rFonts w:eastAsia="Times New Roman"/>
              </w:rPr>
            </w:pPr>
          </w:p>
        </w:tc>
        <w:tc>
          <w:tcPr>
            <w:tcW w:w="0" w:type="auto"/>
            <w:vAlign w:val="center"/>
            <w:hideMark/>
          </w:tcPr>
          <w:p w14:paraId="464A8DA6" w14:textId="77777777" w:rsidR="00000000" w:rsidRDefault="00195E73">
            <w:pPr>
              <w:rPr>
                <w:rFonts w:eastAsia="Times New Roman"/>
                <w:sz w:val="20"/>
                <w:szCs w:val="20"/>
              </w:rPr>
            </w:pPr>
          </w:p>
        </w:tc>
        <w:tc>
          <w:tcPr>
            <w:tcW w:w="0" w:type="auto"/>
            <w:vAlign w:val="center"/>
            <w:hideMark/>
          </w:tcPr>
          <w:p w14:paraId="3528E595"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FC5B8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84FE7B6"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2C792EA0"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FFE6D31" w14:textId="77777777" w:rsidR="00000000" w:rsidRDefault="00195E73">
            <w:pPr>
              <w:jc w:val="right"/>
              <w:rPr>
                <w:rFonts w:eastAsia="Times New Roman"/>
              </w:rPr>
            </w:pPr>
            <w:r>
              <w:rPr>
                <w:rFonts w:eastAsia="Times New Roman"/>
                <w:color w:val="000000"/>
                <w:sz w:val="12"/>
                <w:szCs w:val="12"/>
              </w:rPr>
              <w:t>4,688</w:t>
            </w:r>
            <w:r>
              <w:rPr>
                <w:rFonts w:eastAsia="Times New Roman"/>
                <w:color w:val="000000"/>
                <w:sz w:val="12"/>
                <w:szCs w:val="12"/>
              </w:rPr>
              <w:t> </w:t>
            </w:r>
            <w:r>
              <w:rPr>
                <w:rFonts w:eastAsia="Times New Roman"/>
                <w:color w:val="000000"/>
                <w:sz w:val="12"/>
                <w:szCs w:val="12"/>
              </w:rPr>
              <w:t> </w:t>
            </w:r>
          </w:p>
        </w:tc>
      </w:tr>
      <w:tr w:rsidR="00195E73" w14:paraId="177B7F16" w14:textId="77777777">
        <w:trPr>
          <w:divId w:val="1004405925"/>
          <w:jc w:val="center"/>
        </w:trPr>
        <w:tc>
          <w:tcPr>
            <w:tcW w:w="0" w:type="auto"/>
            <w:gridSpan w:val="3"/>
            <w:shd w:val="clear" w:color="auto" w:fill="CCEEFF"/>
            <w:tcMar>
              <w:top w:w="30" w:type="dxa"/>
              <w:left w:w="20" w:type="dxa"/>
              <w:bottom w:w="30" w:type="dxa"/>
              <w:right w:w="20" w:type="dxa"/>
            </w:tcMar>
            <w:vAlign w:val="bottom"/>
            <w:hideMark/>
          </w:tcPr>
          <w:p w14:paraId="593464CB" w14:textId="77777777" w:rsidR="00000000" w:rsidRDefault="00195E73">
            <w:pPr>
              <w:ind w:hanging="90"/>
              <w:divId w:val="1104228474"/>
              <w:rPr>
                <w:rFonts w:eastAsia="Times New Roman"/>
              </w:rPr>
            </w:pPr>
            <w:r>
              <w:rPr>
                <w:rFonts w:eastAsia="Times New Roman"/>
                <w:color w:val="000000"/>
                <w:sz w:val="12"/>
                <w:szCs w:val="12"/>
              </w:rPr>
              <w:t>Goodwill and intangible assets, ne</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4A0B979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9C244A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CD0B69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F9F60F" w14:textId="77777777" w:rsidR="00000000" w:rsidRDefault="00195E73">
            <w:pPr>
              <w:jc w:val="right"/>
              <w:rPr>
                <w:rFonts w:eastAsia="Times New Roman"/>
              </w:rPr>
            </w:pPr>
            <w:r>
              <w:rPr>
                <w:rFonts w:eastAsia="Times New Roman"/>
                <w:color w:val="000000"/>
                <w:sz w:val="12"/>
                <w:szCs w:val="12"/>
              </w:rPr>
              <w:t>278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961554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6111E4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C30D9E" w14:textId="77777777" w:rsidR="00000000" w:rsidRDefault="00195E73">
            <w:pPr>
              <w:jc w:val="right"/>
              <w:rPr>
                <w:rFonts w:eastAsia="Times New Roman"/>
              </w:rPr>
            </w:pPr>
            <w:r>
              <w:rPr>
                <w:rFonts w:eastAsia="Times New Roman"/>
                <w:color w:val="000000"/>
                <w:sz w:val="12"/>
                <w:szCs w:val="12"/>
              </w:rPr>
              <w:t>412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AEE23F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CE7869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231510" w14:textId="77777777" w:rsidR="00000000" w:rsidRDefault="00195E73">
            <w:pPr>
              <w:jc w:val="right"/>
              <w:rPr>
                <w:rFonts w:eastAsia="Times New Roman"/>
              </w:rPr>
            </w:pPr>
            <w:r>
              <w:rPr>
                <w:rFonts w:eastAsia="Times New Roman"/>
                <w:color w:val="000000"/>
                <w:sz w:val="12"/>
                <w:szCs w:val="12"/>
              </w:rPr>
              <w:t>32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1EBE83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2388B4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4401F4"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20BD25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A91589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00F5AB" w14:textId="77777777" w:rsidR="00000000" w:rsidRDefault="00195E73">
            <w:pPr>
              <w:jc w:val="right"/>
              <w:rPr>
                <w:rFonts w:eastAsia="Times New Roman"/>
              </w:rPr>
            </w:pPr>
            <w:r>
              <w:rPr>
                <w:rFonts w:eastAsia="Times New Roman"/>
                <w:color w:val="000000"/>
                <w:sz w:val="12"/>
                <w:szCs w:val="12"/>
              </w:rPr>
              <w:t>24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0DD864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D750D8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942B8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556210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43DB45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3BC97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6ADAB7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F987D2C" w14:textId="77777777" w:rsidR="00000000" w:rsidRDefault="00195E73">
            <w:pPr>
              <w:jc w:val="right"/>
              <w:rPr>
                <w:rFonts w:eastAsia="Times New Roman"/>
              </w:rPr>
            </w:pPr>
          </w:p>
        </w:tc>
        <w:tc>
          <w:tcPr>
            <w:tcW w:w="0" w:type="auto"/>
            <w:vAlign w:val="center"/>
            <w:hideMark/>
          </w:tcPr>
          <w:p w14:paraId="18070BFB" w14:textId="77777777" w:rsidR="00000000" w:rsidRDefault="00195E73">
            <w:pPr>
              <w:rPr>
                <w:rFonts w:eastAsia="Times New Roman"/>
                <w:sz w:val="20"/>
                <w:szCs w:val="20"/>
              </w:rPr>
            </w:pPr>
          </w:p>
        </w:tc>
        <w:tc>
          <w:tcPr>
            <w:tcW w:w="0" w:type="auto"/>
            <w:vAlign w:val="center"/>
            <w:hideMark/>
          </w:tcPr>
          <w:p w14:paraId="61634D8F"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A35BB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B0148A0"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0B4C0C3A"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F7DC856" w14:textId="77777777" w:rsidR="00000000" w:rsidRDefault="00195E73">
            <w:pPr>
              <w:jc w:val="right"/>
              <w:rPr>
                <w:rFonts w:eastAsia="Times New Roman"/>
              </w:rPr>
            </w:pPr>
            <w:r>
              <w:rPr>
                <w:rFonts w:eastAsia="Times New Roman"/>
                <w:color w:val="000000"/>
                <w:sz w:val="12"/>
                <w:szCs w:val="12"/>
              </w:rPr>
              <w:t>748</w:t>
            </w:r>
            <w:r>
              <w:rPr>
                <w:rFonts w:eastAsia="Times New Roman"/>
                <w:color w:val="000000"/>
                <w:sz w:val="12"/>
                <w:szCs w:val="12"/>
              </w:rPr>
              <w:t> </w:t>
            </w:r>
            <w:r>
              <w:rPr>
                <w:rFonts w:eastAsia="Times New Roman"/>
                <w:color w:val="000000"/>
                <w:sz w:val="12"/>
                <w:szCs w:val="12"/>
              </w:rPr>
              <w:t> </w:t>
            </w:r>
          </w:p>
        </w:tc>
      </w:tr>
      <w:tr w:rsidR="00195E73" w14:paraId="7C33F67D" w14:textId="77777777">
        <w:trPr>
          <w:divId w:val="1004405925"/>
          <w:jc w:val="center"/>
        </w:trPr>
        <w:tc>
          <w:tcPr>
            <w:tcW w:w="0" w:type="auto"/>
            <w:gridSpan w:val="3"/>
            <w:shd w:val="clear" w:color="auto" w:fill="FFFFFF"/>
            <w:tcMar>
              <w:top w:w="30" w:type="dxa"/>
              <w:left w:w="20" w:type="dxa"/>
              <w:bottom w:w="30" w:type="dxa"/>
              <w:right w:w="20" w:type="dxa"/>
            </w:tcMar>
            <w:vAlign w:val="bottom"/>
            <w:hideMark/>
          </w:tcPr>
          <w:p w14:paraId="77C71B92" w14:textId="77777777" w:rsidR="00000000" w:rsidRDefault="00195E73">
            <w:pPr>
              <w:rPr>
                <w:rFonts w:eastAsia="Times New Roman"/>
              </w:rPr>
            </w:pPr>
            <w:r>
              <w:rPr>
                <w:rFonts w:eastAsia="Times New Roman"/>
                <w:color w:val="000000"/>
                <w:sz w:val="12"/>
                <w:szCs w:val="12"/>
              </w:rPr>
              <w:t>Other asset</w:t>
            </w:r>
            <w:r>
              <w:rPr>
                <w:rFonts w:eastAsia="Times New Roman"/>
                <w:color w:val="000000"/>
                <w:sz w:val="12"/>
                <w:szCs w:val="12"/>
              </w:rPr>
              <w:t>s</w:t>
            </w:r>
          </w:p>
        </w:tc>
        <w:tc>
          <w:tcPr>
            <w:tcW w:w="0" w:type="auto"/>
            <w:gridSpan w:val="2"/>
            <w:shd w:val="clear" w:color="auto" w:fill="FFFFFF"/>
            <w:tcMar>
              <w:top w:w="30" w:type="dxa"/>
              <w:left w:w="20" w:type="dxa"/>
              <w:bottom w:w="30" w:type="dxa"/>
              <w:right w:w="0" w:type="dxa"/>
            </w:tcMar>
            <w:vAlign w:val="bottom"/>
            <w:hideMark/>
          </w:tcPr>
          <w:p w14:paraId="2C79B32A" w14:textId="77777777" w:rsidR="00000000" w:rsidRDefault="00195E73">
            <w:pPr>
              <w:jc w:val="right"/>
              <w:rPr>
                <w:rFonts w:eastAsia="Times New Roman"/>
              </w:rPr>
            </w:pPr>
            <w:r>
              <w:rPr>
                <w:rFonts w:eastAsia="Times New Roman"/>
                <w:color w:val="000000"/>
                <w:sz w:val="12"/>
                <w:szCs w:val="12"/>
              </w:rPr>
              <w:t>1,230</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3DB274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97F950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852880" w14:textId="77777777" w:rsidR="00000000" w:rsidRDefault="00195E73">
            <w:pPr>
              <w:jc w:val="right"/>
              <w:rPr>
                <w:rFonts w:eastAsia="Times New Roman"/>
              </w:rPr>
            </w:pPr>
            <w:r>
              <w:rPr>
                <w:rFonts w:eastAsia="Times New Roman"/>
                <w:color w:val="000000"/>
                <w:sz w:val="12"/>
                <w:szCs w:val="12"/>
              </w:rPr>
              <w:t>225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56F931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46B867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136A23" w14:textId="77777777" w:rsidR="00000000" w:rsidRDefault="00195E73">
            <w:pPr>
              <w:jc w:val="right"/>
              <w:rPr>
                <w:rFonts w:eastAsia="Times New Roman"/>
              </w:rPr>
            </w:pPr>
            <w:r>
              <w:rPr>
                <w:rFonts w:eastAsia="Times New Roman"/>
                <w:color w:val="000000"/>
                <w:sz w:val="12"/>
                <w:szCs w:val="12"/>
              </w:rPr>
              <w:t>217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FDB9CC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71B476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8E2516" w14:textId="77777777" w:rsidR="00000000" w:rsidRDefault="00195E73">
            <w:pPr>
              <w:jc w:val="right"/>
              <w:rPr>
                <w:rFonts w:eastAsia="Times New Roman"/>
              </w:rPr>
            </w:pPr>
            <w:r>
              <w:rPr>
                <w:rFonts w:eastAsia="Times New Roman"/>
                <w:color w:val="000000"/>
                <w:sz w:val="12"/>
                <w:szCs w:val="12"/>
              </w:rPr>
              <w:t>96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431967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D65DBB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AA29A9" w14:textId="77777777" w:rsidR="00000000" w:rsidRDefault="00195E73">
            <w:pPr>
              <w:jc w:val="right"/>
              <w:rPr>
                <w:rFonts w:eastAsia="Times New Roman"/>
              </w:rPr>
            </w:pPr>
            <w:r>
              <w:rPr>
                <w:rFonts w:eastAsia="Times New Roman"/>
                <w:color w:val="000000"/>
                <w:sz w:val="12"/>
                <w:szCs w:val="12"/>
              </w:rPr>
              <w:t>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60D04B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C7BF0B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CFB5D0" w14:textId="77777777" w:rsidR="00000000" w:rsidRDefault="00195E73">
            <w:pPr>
              <w:jc w:val="right"/>
              <w:rPr>
                <w:rFonts w:eastAsia="Times New Roman"/>
              </w:rPr>
            </w:pPr>
            <w:r>
              <w:rPr>
                <w:rFonts w:eastAsia="Times New Roman"/>
                <w:color w:val="000000"/>
                <w:sz w:val="12"/>
                <w:szCs w:val="12"/>
              </w:rPr>
              <w:t>34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07ED21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C4E9AE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99E5B0"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10D735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C0DD74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095586" w14:textId="77777777" w:rsidR="00000000" w:rsidRDefault="00195E73">
            <w:pPr>
              <w:jc w:val="right"/>
              <w:rPr>
                <w:rFonts w:eastAsia="Times New Roman"/>
              </w:rPr>
            </w:pPr>
            <w:r>
              <w:rPr>
                <w:rFonts w:eastAsia="Times New Roman"/>
                <w:color w:val="000000"/>
                <w:sz w:val="12"/>
                <w:szCs w:val="12"/>
              </w:rPr>
              <w:t>299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322EA7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D8AC46E" w14:textId="77777777" w:rsidR="00000000" w:rsidRDefault="00195E73">
            <w:pPr>
              <w:jc w:val="right"/>
              <w:rPr>
                <w:rFonts w:eastAsia="Times New Roman"/>
              </w:rPr>
            </w:pPr>
          </w:p>
        </w:tc>
        <w:tc>
          <w:tcPr>
            <w:tcW w:w="0" w:type="auto"/>
            <w:vAlign w:val="center"/>
            <w:hideMark/>
          </w:tcPr>
          <w:p w14:paraId="2F9E95F1" w14:textId="77777777" w:rsidR="00000000" w:rsidRDefault="00195E73">
            <w:pPr>
              <w:rPr>
                <w:rFonts w:eastAsia="Times New Roman"/>
                <w:sz w:val="20"/>
                <w:szCs w:val="20"/>
              </w:rPr>
            </w:pPr>
          </w:p>
        </w:tc>
        <w:tc>
          <w:tcPr>
            <w:tcW w:w="0" w:type="auto"/>
            <w:vAlign w:val="center"/>
            <w:hideMark/>
          </w:tcPr>
          <w:p w14:paraId="71EAFA31"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8D1A1E" w14:textId="77777777" w:rsidR="00000000" w:rsidRDefault="00195E73">
            <w:pPr>
              <w:jc w:val="right"/>
              <w:rPr>
                <w:rFonts w:eastAsia="Times New Roman"/>
              </w:rPr>
            </w:pPr>
            <w:r>
              <w:rPr>
                <w:rFonts w:eastAsia="Times New Roman"/>
                <w:color w:val="000000"/>
                <w:sz w:val="12"/>
                <w:szCs w:val="12"/>
              </w:rPr>
              <w:t>11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62FD586"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541F73B5"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5A6D486" w14:textId="77777777" w:rsidR="00000000" w:rsidRDefault="00195E73">
            <w:pPr>
              <w:jc w:val="right"/>
              <w:rPr>
                <w:rFonts w:eastAsia="Times New Roman"/>
              </w:rPr>
            </w:pPr>
            <w:r>
              <w:rPr>
                <w:rFonts w:eastAsia="Times New Roman"/>
                <w:color w:val="000000"/>
                <w:sz w:val="12"/>
                <w:szCs w:val="12"/>
              </w:rPr>
              <w:t>2,125</w:t>
            </w:r>
            <w:r>
              <w:rPr>
                <w:rFonts w:eastAsia="Times New Roman"/>
                <w:color w:val="000000"/>
                <w:sz w:val="12"/>
                <w:szCs w:val="12"/>
              </w:rPr>
              <w:t> </w:t>
            </w:r>
            <w:r>
              <w:rPr>
                <w:rFonts w:eastAsia="Times New Roman"/>
                <w:color w:val="000000"/>
                <w:sz w:val="12"/>
                <w:szCs w:val="12"/>
              </w:rPr>
              <w:t> </w:t>
            </w:r>
          </w:p>
        </w:tc>
      </w:tr>
      <w:tr w:rsidR="00195E73" w14:paraId="6DA18AA6" w14:textId="77777777">
        <w:trPr>
          <w:divId w:val="1004405925"/>
          <w:jc w:val="center"/>
        </w:trPr>
        <w:tc>
          <w:tcPr>
            <w:tcW w:w="0" w:type="auto"/>
            <w:gridSpan w:val="3"/>
            <w:shd w:val="clear" w:color="auto" w:fill="CCEEFF"/>
            <w:tcMar>
              <w:top w:w="30" w:type="dxa"/>
              <w:left w:w="20" w:type="dxa"/>
              <w:bottom w:w="30" w:type="dxa"/>
              <w:right w:w="20" w:type="dxa"/>
            </w:tcMar>
            <w:vAlign w:val="bottom"/>
            <w:hideMark/>
          </w:tcPr>
          <w:p w14:paraId="70840322" w14:textId="77777777" w:rsidR="00000000" w:rsidRDefault="00195E73">
            <w:pPr>
              <w:rPr>
                <w:rFonts w:eastAsia="Times New Roman"/>
              </w:rPr>
            </w:pPr>
            <w:r>
              <w:rPr>
                <w:rFonts w:eastAsia="Times New Roman"/>
                <w:color w:val="000000"/>
                <w:sz w:val="12"/>
                <w:szCs w:val="12"/>
              </w:rPr>
              <w:t>   Total asset</w:t>
            </w:r>
            <w:r>
              <w:rPr>
                <w:rFonts w:eastAsia="Times New Roman"/>
                <w:color w:val="000000"/>
                <w:sz w:val="12"/>
                <w:szCs w:val="12"/>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3791495"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7175AE4" w14:textId="77777777" w:rsidR="00000000" w:rsidRDefault="00195E73">
            <w:pPr>
              <w:jc w:val="right"/>
              <w:rPr>
                <w:rFonts w:eastAsia="Times New Roman"/>
              </w:rPr>
            </w:pPr>
            <w:r>
              <w:rPr>
                <w:rFonts w:eastAsia="Times New Roman"/>
                <w:color w:val="000000"/>
                <w:sz w:val="12"/>
                <w:szCs w:val="12"/>
              </w:rPr>
              <w:t>10,750</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606B09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9B1BA46"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243B6FF"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AD00483" w14:textId="77777777" w:rsidR="00000000" w:rsidRDefault="00195E73">
            <w:pPr>
              <w:jc w:val="right"/>
              <w:rPr>
                <w:rFonts w:eastAsia="Times New Roman"/>
              </w:rPr>
            </w:pPr>
            <w:r>
              <w:rPr>
                <w:rFonts w:eastAsia="Times New Roman"/>
                <w:color w:val="000000"/>
                <w:sz w:val="12"/>
                <w:szCs w:val="12"/>
              </w:rPr>
              <w:t>4,831</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94A186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A9790F8"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3A15A9A"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01D9DFC" w14:textId="77777777" w:rsidR="00000000" w:rsidRDefault="00195E73">
            <w:pPr>
              <w:jc w:val="right"/>
              <w:rPr>
                <w:rFonts w:eastAsia="Times New Roman"/>
              </w:rPr>
            </w:pPr>
            <w:r>
              <w:rPr>
                <w:rFonts w:eastAsia="Times New Roman"/>
                <w:color w:val="000000"/>
                <w:sz w:val="12"/>
                <w:szCs w:val="12"/>
              </w:rPr>
              <w:t>3,024</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B42B6C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96B7950"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B19DDA8"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A596FF1" w14:textId="77777777" w:rsidR="00000000" w:rsidRDefault="00195E73">
            <w:pPr>
              <w:jc w:val="right"/>
              <w:rPr>
                <w:rFonts w:eastAsia="Times New Roman"/>
              </w:rPr>
            </w:pPr>
            <w:r>
              <w:rPr>
                <w:rFonts w:eastAsia="Times New Roman"/>
                <w:color w:val="000000"/>
                <w:sz w:val="12"/>
                <w:szCs w:val="12"/>
              </w:rPr>
              <w:t>511</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428385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605EF2B"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CB519BE"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AA94EAF" w14:textId="77777777" w:rsidR="00000000" w:rsidRDefault="00195E73">
            <w:pPr>
              <w:jc w:val="right"/>
              <w:rPr>
                <w:rFonts w:eastAsia="Times New Roman"/>
              </w:rPr>
            </w:pPr>
            <w:r>
              <w:rPr>
                <w:rFonts w:eastAsia="Times New Roman"/>
                <w:color w:val="000000"/>
                <w:sz w:val="12"/>
                <w:szCs w:val="12"/>
              </w:rPr>
              <w:t>233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C3C866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8FD4722"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79EA6DC"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C743903" w14:textId="77777777" w:rsidR="00000000" w:rsidRDefault="00195E73">
            <w:pPr>
              <w:jc w:val="right"/>
              <w:rPr>
                <w:rFonts w:eastAsia="Times New Roman"/>
              </w:rPr>
            </w:pPr>
            <w:r>
              <w:rPr>
                <w:rFonts w:eastAsia="Times New Roman"/>
                <w:color w:val="000000"/>
                <w:sz w:val="12"/>
                <w:szCs w:val="12"/>
              </w:rPr>
              <w:t>508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1BC01E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4A2D922"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670C6BE"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F853540" w14:textId="77777777" w:rsidR="00000000" w:rsidRDefault="00195E73">
            <w:pPr>
              <w:jc w:val="right"/>
              <w:rPr>
                <w:rFonts w:eastAsia="Times New Roman"/>
              </w:rPr>
            </w:pPr>
            <w:r>
              <w:rPr>
                <w:rFonts w:eastAsia="Times New Roman"/>
                <w:color w:val="000000"/>
                <w:sz w:val="12"/>
                <w:szCs w:val="12"/>
              </w:rPr>
              <w:t>172</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458A40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7988657"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166987C"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7F4C7EE" w14:textId="77777777" w:rsidR="00000000" w:rsidRDefault="00195E73">
            <w:pPr>
              <w:jc w:val="right"/>
              <w:rPr>
                <w:rFonts w:eastAsia="Times New Roman"/>
              </w:rPr>
            </w:pPr>
            <w:r>
              <w:rPr>
                <w:rFonts w:eastAsia="Times New Roman"/>
                <w:color w:val="000000"/>
                <w:sz w:val="12"/>
                <w:szCs w:val="12"/>
              </w:rPr>
              <w:t>299</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4A6CB1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DCA95E3" w14:textId="77777777" w:rsidR="00000000" w:rsidRDefault="00195E73">
            <w:pPr>
              <w:jc w:val="right"/>
              <w:rPr>
                <w:rFonts w:eastAsia="Times New Roman"/>
              </w:rPr>
            </w:pPr>
          </w:p>
        </w:tc>
        <w:tc>
          <w:tcPr>
            <w:tcW w:w="0" w:type="auto"/>
            <w:vAlign w:val="center"/>
            <w:hideMark/>
          </w:tcPr>
          <w:p w14:paraId="6FE4FF73" w14:textId="77777777" w:rsidR="00000000" w:rsidRDefault="00195E73">
            <w:pPr>
              <w:rPr>
                <w:rFonts w:eastAsia="Times New Roman"/>
                <w:sz w:val="20"/>
                <w:szCs w:val="20"/>
              </w:rPr>
            </w:pPr>
          </w:p>
        </w:tc>
        <w:tc>
          <w:tcPr>
            <w:tcW w:w="0" w:type="auto"/>
            <w:vAlign w:val="center"/>
            <w:hideMark/>
          </w:tcPr>
          <w:p w14:paraId="3F28E4C0" w14:textId="77777777" w:rsidR="00000000" w:rsidRDefault="00195E73">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EDC6AE6"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8FDC888" w14:textId="77777777" w:rsidR="00000000" w:rsidRDefault="00195E73">
            <w:pPr>
              <w:jc w:val="right"/>
              <w:rPr>
                <w:rFonts w:eastAsia="Times New Roman"/>
              </w:rPr>
            </w:pPr>
            <w:r>
              <w:rPr>
                <w:rFonts w:eastAsia="Times New Roman"/>
                <w:color w:val="000000"/>
                <w:sz w:val="12"/>
                <w:szCs w:val="12"/>
              </w:rPr>
              <w:t>3,161</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B02CE1E"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05AA1E08"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A4ED72B"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23,489</w:t>
            </w:r>
            <w:r>
              <w:rPr>
                <w:rFonts w:eastAsia="Times New Roman"/>
                <w:color w:val="000000"/>
                <w:sz w:val="12"/>
                <w:szCs w:val="12"/>
              </w:rPr>
              <w:t> </w:t>
            </w:r>
            <w:r>
              <w:rPr>
                <w:rFonts w:eastAsia="Times New Roman"/>
                <w:color w:val="000000"/>
                <w:sz w:val="12"/>
                <w:szCs w:val="12"/>
              </w:rPr>
              <w:t> </w:t>
            </w:r>
          </w:p>
        </w:tc>
      </w:tr>
      <w:tr w:rsidR="00000000" w14:paraId="32A9692F" w14:textId="77777777">
        <w:trPr>
          <w:divId w:val="1004405925"/>
          <w:jc w:val="center"/>
        </w:trPr>
        <w:tc>
          <w:tcPr>
            <w:tcW w:w="0" w:type="auto"/>
            <w:gridSpan w:val="3"/>
            <w:shd w:val="clear" w:color="auto" w:fill="FFFFFF"/>
            <w:tcMar>
              <w:top w:w="30" w:type="dxa"/>
              <w:left w:w="20" w:type="dxa"/>
              <w:bottom w:w="30" w:type="dxa"/>
              <w:right w:w="20" w:type="dxa"/>
            </w:tcMar>
            <w:vAlign w:val="bottom"/>
            <w:hideMark/>
          </w:tcPr>
          <w:p w14:paraId="6950F013" w14:textId="77777777" w:rsidR="00000000" w:rsidRDefault="00195E73">
            <w:pPr>
              <w:jc w:val="center"/>
              <w:rPr>
                <w:rFonts w:eastAsia="Times New Roman"/>
              </w:rPr>
            </w:pPr>
            <w:r>
              <w:rPr>
                <w:rFonts w:eastAsia="Times New Roman"/>
                <w:b/>
                <w:bCs/>
                <w:color w:val="000000"/>
                <w:sz w:val="12"/>
                <w:szCs w:val="12"/>
              </w:rPr>
              <w:t>LIABILITIES AND EQUIT</w:t>
            </w:r>
            <w:r>
              <w:rPr>
                <w:rFonts w:eastAsia="Times New Roman"/>
                <w:b/>
                <w:bCs/>
                <w:color w:val="000000"/>
                <w:sz w:val="12"/>
                <w:szCs w:val="12"/>
              </w:rPr>
              <w:t>Y</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116E6C9" w14:textId="77777777" w:rsidR="00000000" w:rsidRDefault="00195E73">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6A09DB6"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ACF302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9770443"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5EB4BB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EC583D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A60152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317E2D8"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4666270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7F2FD1F"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FE5821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2BCF23E"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5A6035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CDB4A78"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73C4AEF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B791D9C" w14:textId="77777777" w:rsidR="00000000" w:rsidRDefault="00195E73">
            <w:pPr>
              <w:rPr>
                <w:rFonts w:eastAsia="Times New Roman"/>
                <w:sz w:val="20"/>
                <w:szCs w:val="20"/>
              </w:rPr>
            </w:pPr>
          </w:p>
        </w:tc>
        <w:tc>
          <w:tcPr>
            <w:tcW w:w="0" w:type="auto"/>
            <w:vAlign w:val="center"/>
            <w:hideMark/>
          </w:tcPr>
          <w:p w14:paraId="5071C875" w14:textId="77777777" w:rsidR="00000000" w:rsidRDefault="00195E73">
            <w:pPr>
              <w:rPr>
                <w:rFonts w:eastAsia="Times New Roman"/>
                <w:sz w:val="20"/>
                <w:szCs w:val="20"/>
              </w:rPr>
            </w:pPr>
          </w:p>
        </w:tc>
        <w:tc>
          <w:tcPr>
            <w:tcW w:w="0" w:type="auto"/>
            <w:vAlign w:val="center"/>
            <w:hideMark/>
          </w:tcPr>
          <w:p w14:paraId="382401B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58631283"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6BCA128A" w14:textId="77777777" w:rsidR="00000000" w:rsidRDefault="00195E73">
            <w:pPr>
              <w:rPr>
                <w:rFonts w:eastAsia="Times New Roman"/>
                <w:sz w:val="20"/>
                <w:szCs w:val="20"/>
              </w:rPr>
            </w:pPr>
          </w:p>
        </w:tc>
        <w:tc>
          <w:tcPr>
            <w:tcW w:w="0" w:type="auto"/>
            <w:tcBorders>
              <w:top w:val="double" w:sz="6" w:space="0" w:color="000000"/>
            </w:tcBorders>
            <w:shd w:val="clear" w:color="auto" w:fill="FFFFFF"/>
            <w:tcMar>
              <w:top w:w="15" w:type="dxa"/>
              <w:left w:w="20" w:type="dxa"/>
              <w:bottom w:w="15" w:type="dxa"/>
              <w:right w:w="20" w:type="dxa"/>
            </w:tcMar>
            <w:vAlign w:val="bottom"/>
            <w:hideMark/>
          </w:tcPr>
          <w:p w14:paraId="42362800" w14:textId="77777777" w:rsidR="00000000" w:rsidRDefault="00195E73">
            <w:pPr>
              <w:rPr>
                <w:rFonts w:eastAsia="Times New Roman"/>
                <w:sz w:val="20"/>
                <w:szCs w:val="20"/>
              </w:rPr>
            </w:pPr>
          </w:p>
        </w:tc>
      </w:tr>
      <w:tr w:rsidR="00195E73" w14:paraId="1D3A994B" w14:textId="77777777">
        <w:trPr>
          <w:divId w:val="1004405925"/>
          <w:jc w:val="center"/>
        </w:trPr>
        <w:tc>
          <w:tcPr>
            <w:tcW w:w="0" w:type="auto"/>
            <w:gridSpan w:val="3"/>
            <w:shd w:val="clear" w:color="auto" w:fill="CCEEFF"/>
            <w:tcMar>
              <w:top w:w="30" w:type="dxa"/>
              <w:left w:w="20" w:type="dxa"/>
              <w:bottom w:w="30" w:type="dxa"/>
              <w:right w:w="20" w:type="dxa"/>
            </w:tcMar>
            <w:vAlign w:val="bottom"/>
            <w:hideMark/>
          </w:tcPr>
          <w:p w14:paraId="2834FA1B" w14:textId="77777777" w:rsidR="00000000" w:rsidRDefault="00195E73">
            <w:pPr>
              <w:ind w:hanging="180"/>
              <w:divId w:val="1067805545"/>
              <w:rPr>
                <w:rFonts w:eastAsia="Times New Roman"/>
              </w:rPr>
            </w:pPr>
            <w:r>
              <w:rPr>
                <w:rFonts w:eastAsia="Times New Roman"/>
                <w:color w:val="000000"/>
                <w:sz w:val="12"/>
                <w:szCs w:val="12"/>
              </w:rPr>
              <w:t>Accounts payable, accrued expenses and other liabilitie</w:t>
            </w:r>
            <w:r>
              <w:rPr>
                <w:rFonts w:eastAsia="Times New Roman"/>
                <w:color w:val="000000"/>
                <w:sz w:val="12"/>
                <w:szCs w:val="12"/>
              </w:rPr>
              <w:t>s</w:t>
            </w:r>
          </w:p>
        </w:tc>
        <w:tc>
          <w:tcPr>
            <w:tcW w:w="0" w:type="auto"/>
            <w:shd w:val="clear" w:color="auto" w:fill="CCEEFF"/>
            <w:tcMar>
              <w:top w:w="30" w:type="dxa"/>
              <w:left w:w="20" w:type="dxa"/>
              <w:bottom w:w="30" w:type="dxa"/>
              <w:right w:w="15" w:type="dxa"/>
            </w:tcMar>
            <w:vAlign w:val="bottom"/>
            <w:hideMark/>
          </w:tcPr>
          <w:p w14:paraId="136BA2F8"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357D0AC" w14:textId="77777777" w:rsidR="00000000" w:rsidRDefault="00195E73">
            <w:pPr>
              <w:jc w:val="right"/>
              <w:rPr>
                <w:rFonts w:eastAsia="Times New Roman"/>
              </w:rPr>
            </w:pPr>
            <w:r>
              <w:rPr>
                <w:rFonts w:eastAsia="Times New Roman"/>
                <w:color w:val="000000"/>
                <w:sz w:val="12"/>
                <w:szCs w:val="12"/>
              </w:rPr>
              <w:t>181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AED226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64D09E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480D562"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5D86BF95" w14:textId="77777777" w:rsidR="00000000" w:rsidRDefault="00195E73">
            <w:pPr>
              <w:jc w:val="right"/>
              <w:rPr>
                <w:rFonts w:eastAsia="Times New Roman"/>
              </w:rPr>
            </w:pPr>
            <w:r>
              <w:rPr>
                <w:rFonts w:eastAsia="Times New Roman"/>
                <w:color w:val="000000"/>
                <w:sz w:val="12"/>
                <w:szCs w:val="12"/>
              </w:rPr>
              <w:t>1,043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5708CB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9D2732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997E3D3"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30BF4E4" w14:textId="77777777" w:rsidR="00000000" w:rsidRDefault="00195E73">
            <w:pPr>
              <w:jc w:val="right"/>
              <w:rPr>
                <w:rFonts w:eastAsia="Times New Roman"/>
              </w:rPr>
            </w:pPr>
            <w:r>
              <w:rPr>
                <w:rFonts w:eastAsia="Times New Roman"/>
                <w:color w:val="000000"/>
                <w:sz w:val="12"/>
                <w:szCs w:val="12"/>
              </w:rPr>
              <w:t>905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CBE7D2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2D364E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2D3E7A9"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566B1922" w14:textId="77777777" w:rsidR="00000000" w:rsidRDefault="00195E73">
            <w:pPr>
              <w:jc w:val="right"/>
              <w:rPr>
                <w:rFonts w:eastAsia="Times New Roman"/>
              </w:rPr>
            </w:pPr>
            <w:r>
              <w:rPr>
                <w:rFonts w:eastAsia="Times New Roman"/>
                <w:color w:val="000000"/>
                <w:sz w:val="12"/>
                <w:szCs w:val="12"/>
              </w:rPr>
              <w:t>164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5B005E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CDFD6A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23B5735"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598D541C" w14:textId="77777777" w:rsidR="00000000" w:rsidRDefault="00195E73">
            <w:pPr>
              <w:jc w:val="right"/>
              <w:rPr>
                <w:rFonts w:eastAsia="Times New Roman"/>
              </w:rPr>
            </w:pPr>
            <w:r>
              <w:rPr>
                <w:rFonts w:eastAsia="Times New Roman"/>
                <w:color w:val="000000"/>
                <w:sz w:val="12"/>
                <w:szCs w:val="12"/>
              </w:rPr>
              <w:t>56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DE0976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C1E27F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BEFC968"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790E67BB" w14:textId="77777777" w:rsidR="00000000" w:rsidRDefault="00195E73">
            <w:pPr>
              <w:jc w:val="right"/>
              <w:rPr>
                <w:rFonts w:eastAsia="Times New Roman"/>
              </w:rPr>
            </w:pPr>
            <w:r>
              <w:rPr>
                <w:rFonts w:eastAsia="Times New Roman"/>
                <w:color w:val="000000"/>
                <w:sz w:val="12"/>
                <w:szCs w:val="12"/>
              </w:rPr>
              <w:t>41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8AE5FA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4995BA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A5E9792"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79E99DD1" w14:textId="77777777" w:rsidR="00000000" w:rsidRDefault="00195E73">
            <w:pPr>
              <w:jc w:val="right"/>
              <w:rPr>
                <w:rFonts w:eastAsia="Times New Roman"/>
              </w:rPr>
            </w:pPr>
            <w:r>
              <w:rPr>
                <w:rFonts w:eastAsia="Times New Roman"/>
                <w:color w:val="000000"/>
                <w:sz w:val="12"/>
                <w:szCs w:val="12"/>
              </w:rPr>
              <w:t>35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2585CB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2E92FF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6E1267D"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68E5F81" w14:textId="77777777" w:rsidR="00000000" w:rsidRDefault="00195E73">
            <w:pPr>
              <w:jc w:val="right"/>
              <w:rPr>
                <w:rFonts w:eastAsia="Times New Roman"/>
              </w:rPr>
            </w:pPr>
            <w:r>
              <w:rPr>
                <w:rFonts w:eastAsia="Times New Roman"/>
                <w:color w:val="000000"/>
                <w:sz w:val="12"/>
                <w:szCs w:val="12"/>
              </w:rPr>
              <w:t>112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EF2A66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DE60B96" w14:textId="77777777" w:rsidR="00000000" w:rsidRDefault="00195E73">
            <w:pPr>
              <w:jc w:val="right"/>
              <w:rPr>
                <w:rFonts w:eastAsia="Times New Roman"/>
              </w:rPr>
            </w:pPr>
          </w:p>
        </w:tc>
        <w:tc>
          <w:tcPr>
            <w:tcW w:w="0" w:type="auto"/>
            <w:vAlign w:val="center"/>
            <w:hideMark/>
          </w:tcPr>
          <w:p w14:paraId="7D5781B5" w14:textId="77777777" w:rsidR="00000000" w:rsidRDefault="00195E73">
            <w:pPr>
              <w:rPr>
                <w:rFonts w:eastAsia="Times New Roman"/>
                <w:sz w:val="20"/>
                <w:szCs w:val="20"/>
              </w:rPr>
            </w:pPr>
          </w:p>
        </w:tc>
        <w:tc>
          <w:tcPr>
            <w:tcW w:w="0" w:type="auto"/>
            <w:vAlign w:val="center"/>
            <w:hideMark/>
          </w:tcPr>
          <w:p w14:paraId="211805A6" w14:textId="77777777" w:rsidR="00000000" w:rsidRDefault="00195E73">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319D85C0"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0320E56E" w14:textId="77777777" w:rsidR="00000000" w:rsidRDefault="00195E73">
            <w:pPr>
              <w:jc w:val="right"/>
              <w:rPr>
                <w:rFonts w:eastAsia="Times New Roman"/>
              </w:rPr>
            </w:pPr>
            <w:r>
              <w:rPr>
                <w:rFonts w:eastAsia="Times New Roman"/>
                <w:color w:val="000000"/>
                <w:sz w:val="12"/>
                <w:szCs w:val="12"/>
              </w:rPr>
              <w:t>178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00E55CD"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60FE4CB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6D24F58"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2,715</w:t>
            </w:r>
            <w:r>
              <w:rPr>
                <w:rFonts w:eastAsia="Times New Roman"/>
                <w:color w:val="000000"/>
                <w:sz w:val="12"/>
                <w:szCs w:val="12"/>
              </w:rPr>
              <w:t> </w:t>
            </w:r>
            <w:r>
              <w:rPr>
                <w:rFonts w:eastAsia="Times New Roman"/>
                <w:color w:val="000000"/>
                <w:sz w:val="12"/>
                <w:szCs w:val="12"/>
              </w:rPr>
              <w:t> </w:t>
            </w:r>
          </w:p>
        </w:tc>
      </w:tr>
      <w:tr w:rsidR="00195E73" w14:paraId="30F6AB94" w14:textId="77777777">
        <w:trPr>
          <w:divId w:val="1004405925"/>
          <w:jc w:val="center"/>
        </w:trPr>
        <w:tc>
          <w:tcPr>
            <w:tcW w:w="0" w:type="auto"/>
            <w:gridSpan w:val="3"/>
            <w:shd w:val="clear" w:color="auto" w:fill="FFFFFF"/>
            <w:tcMar>
              <w:top w:w="30" w:type="dxa"/>
              <w:left w:w="20" w:type="dxa"/>
              <w:bottom w:w="30" w:type="dxa"/>
              <w:right w:w="20" w:type="dxa"/>
            </w:tcMar>
            <w:vAlign w:val="bottom"/>
            <w:hideMark/>
          </w:tcPr>
          <w:p w14:paraId="6C17A02B" w14:textId="77777777" w:rsidR="00000000" w:rsidRDefault="00195E73">
            <w:pPr>
              <w:ind w:hanging="180"/>
              <w:divId w:val="1199322850"/>
              <w:rPr>
                <w:rFonts w:eastAsia="Times New Roman"/>
              </w:rPr>
            </w:pPr>
            <w:r>
              <w:rPr>
                <w:rFonts w:eastAsia="Times New Roman"/>
                <w:color w:val="000000"/>
                <w:sz w:val="12"/>
                <w:szCs w:val="12"/>
              </w:rPr>
              <w:t>Securities sold, not yet purchased, at fair valu</w:t>
            </w:r>
            <w:r>
              <w:rPr>
                <w:rFonts w:eastAsia="Times New Roman"/>
                <w:color w:val="000000"/>
                <w:sz w:val="12"/>
                <w:szCs w:val="12"/>
              </w:rPr>
              <w:t>e</w:t>
            </w:r>
          </w:p>
        </w:tc>
        <w:tc>
          <w:tcPr>
            <w:tcW w:w="0" w:type="auto"/>
            <w:gridSpan w:val="2"/>
            <w:shd w:val="clear" w:color="auto" w:fill="FFFFFF"/>
            <w:tcMar>
              <w:top w:w="30" w:type="dxa"/>
              <w:left w:w="20" w:type="dxa"/>
              <w:bottom w:w="30" w:type="dxa"/>
              <w:right w:w="0" w:type="dxa"/>
            </w:tcMar>
            <w:vAlign w:val="bottom"/>
            <w:hideMark/>
          </w:tcPr>
          <w:p w14:paraId="61688E3A" w14:textId="77777777" w:rsidR="00000000" w:rsidRDefault="00195E73">
            <w:pPr>
              <w:jc w:val="right"/>
              <w:rPr>
                <w:rFonts w:eastAsia="Times New Roman"/>
              </w:rPr>
            </w:pPr>
            <w:r>
              <w:rPr>
                <w:rFonts w:eastAsia="Times New Roman"/>
                <w:color w:val="000000"/>
                <w:sz w:val="12"/>
                <w:szCs w:val="12"/>
              </w:rPr>
              <w:t>468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325239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2D3D7A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054CE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A63467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D92AD7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16EDC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DACC2E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7BD3EF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25E5B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2EAA91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F65009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D46DA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07FA6D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C3053A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062DC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917B5D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DA6CA1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A308C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393A37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1F2CD6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BF73C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DC8DD4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DDDB3AC" w14:textId="77777777" w:rsidR="00000000" w:rsidRDefault="00195E73">
            <w:pPr>
              <w:jc w:val="right"/>
              <w:rPr>
                <w:rFonts w:eastAsia="Times New Roman"/>
              </w:rPr>
            </w:pPr>
          </w:p>
        </w:tc>
        <w:tc>
          <w:tcPr>
            <w:tcW w:w="0" w:type="auto"/>
            <w:vAlign w:val="center"/>
            <w:hideMark/>
          </w:tcPr>
          <w:p w14:paraId="6D42C73E" w14:textId="77777777" w:rsidR="00000000" w:rsidRDefault="00195E73">
            <w:pPr>
              <w:rPr>
                <w:rFonts w:eastAsia="Times New Roman"/>
                <w:sz w:val="20"/>
                <w:szCs w:val="20"/>
              </w:rPr>
            </w:pPr>
          </w:p>
        </w:tc>
        <w:tc>
          <w:tcPr>
            <w:tcW w:w="0" w:type="auto"/>
            <w:vAlign w:val="center"/>
            <w:hideMark/>
          </w:tcPr>
          <w:p w14:paraId="35E275CF"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CE496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3E3185C"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7A2A6BBE"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8744E8F" w14:textId="77777777" w:rsidR="00000000" w:rsidRDefault="00195E73">
            <w:pPr>
              <w:jc w:val="right"/>
              <w:rPr>
                <w:rFonts w:eastAsia="Times New Roman"/>
              </w:rPr>
            </w:pPr>
            <w:r>
              <w:rPr>
                <w:rFonts w:eastAsia="Times New Roman"/>
                <w:color w:val="000000"/>
                <w:sz w:val="12"/>
                <w:szCs w:val="12"/>
              </w:rPr>
              <w:t>468</w:t>
            </w:r>
            <w:r>
              <w:rPr>
                <w:rFonts w:eastAsia="Times New Roman"/>
                <w:color w:val="000000"/>
                <w:sz w:val="12"/>
                <w:szCs w:val="12"/>
              </w:rPr>
              <w:t> </w:t>
            </w:r>
            <w:r>
              <w:rPr>
                <w:rFonts w:eastAsia="Times New Roman"/>
                <w:color w:val="000000"/>
                <w:sz w:val="12"/>
                <w:szCs w:val="12"/>
              </w:rPr>
              <w:t> </w:t>
            </w:r>
          </w:p>
        </w:tc>
      </w:tr>
      <w:tr w:rsidR="00195E73" w14:paraId="4DF101BC" w14:textId="77777777">
        <w:trPr>
          <w:divId w:val="1004405925"/>
          <w:jc w:val="center"/>
        </w:trPr>
        <w:tc>
          <w:tcPr>
            <w:tcW w:w="0" w:type="auto"/>
            <w:gridSpan w:val="3"/>
            <w:shd w:val="clear" w:color="auto" w:fill="CCEEFF"/>
            <w:tcMar>
              <w:top w:w="30" w:type="dxa"/>
              <w:left w:w="20" w:type="dxa"/>
              <w:bottom w:w="30" w:type="dxa"/>
              <w:right w:w="20" w:type="dxa"/>
            </w:tcMar>
            <w:vAlign w:val="bottom"/>
            <w:hideMark/>
          </w:tcPr>
          <w:p w14:paraId="02210843" w14:textId="77777777" w:rsidR="00000000" w:rsidRDefault="00195E73">
            <w:pPr>
              <w:rPr>
                <w:rFonts w:eastAsia="Times New Roman"/>
              </w:rPr>
            </w:pPr>
            <w:r>
              <w:rPr>
                <w:rFonts w:eastAsia="Times New Roman"/>
                <w:color w:val="000000"/>
                <w:sz w:val="12"/>
                <w:szCs w:val="12"/>
              </w:rPr>
              <w:t>Deb</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4846AE5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A9BC5D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502498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CAF018" w14:textId="77777777" w:rsidR="00000000" w:rsidRDefault="00195E73">
            <w:pPr>
              <w:jc w:val="right"/>
              <w:rPr>
                <w:rFonts w:eastAsia="Times New Roman"/>
              </w:rPr>
            </w:pPr>
            <w:r>
              <w:rPr>
                <w:rFonts w:eastAsia="Times New Roman"/>
                <w:color w:val="000000"/>
                <w:sz w:val="12"/>
                <w:szCs w:val="12"/>
              </w:rPr>
              <w:t>1,170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B69A9D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FA4ED1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27E1A0" w14:textId="77777777" w:rsidR="00000000" w:rsidRDefault="00195E73">
            <w:pPr>
              <w:jc w:val="right"/>
              <w:rPr>
                <w:rFonts w:eastAsia="Times New Roman"/>
              </w:rPr>
            </w:pPr>
            <w:r>
              <w:rPr>
                <w:rFonts w:eastAsia="Times New Roman"/>
                <w:color w:val="000000"/>
                <w:sz w:val="12"/>
                <w:szCs w:val="12"/>
              </w:rPr>
              <w:t>372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60763E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491932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C62184" w14:textId="77777777" w:rsidR="00000000" w:rsidRDefault="00195E73">
            <w:pPr>
              <w:jc w:val="right"/>
              <w:rPr>
                <w:rFonts w:eastAsia="Times New Roman"/>
              </w:rPr>
            </w:pPr>
            <w:r>
              <w:rPr>
                <w:rFonts w:eastAsia="Times New Roman"/>
                <w:color w:val="000000"/>
                <w:sz w:val="12"/>
                <w:szCs w:val="12"/>
              </w:rPr>
              <w:t>273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F00BE9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A9B6CA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A45AC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73B2D9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45063D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12866B"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0BB9EF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8CD8F3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FC20FF" w14:textId="77777777" w:rsidR="00000000" w:rsidRDefault="00195E73">
            <w:pPr>
              <w:jc w:val="right"/>
              <w:rPr>
                <w:rFonts w:eastAsia="Times New Roman"/>
              </w:rPr>
            </w:pPr>
            <w:r>
              <w:rPr>
                <w:rFonts w:eastAsia="Times New Roman"/>
                <w:color w:val="000000"/>
                <w:sz w:val="12"/>
                <w:szCs w:val="12"/>
              </w:rPr>
              <w:t>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38AC5A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DCE856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E03DB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3ACA75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19D8DBA" w14:textId="77777777" w:rsidR="00000000" w:rsidRDefault="00195E73">
            <w:pPr>
              <w:jc w:val="right"/>
              <w:rPr>
                <w:rFonts w:eastAsia="Times New Roman"/>
              </w:rPr>
            </w:pPr>
          </w:p>
        </w:tc>
        <w:tc>
          <w:tcPr>
            <w:tcW w:w="0" w:type="auto"/>
            <w:vAlign w:val="center"/>
            <w:hideMark/>
          </w:tcPr>
          <w:p w14:paraId="3452E479" w14:textId="77777777" w:rsidR="00000000" w:rsidRDefault="00195E73">
            <w:pPr>
              <w:rPr>
                <w:rFonts w:eastAsia="Times New Roman"/>
                <w:sz w:val="20"/>
                <w:szCs w:val="20"/>
              </w:rPr>
            </w:pPr>
          </w:p>
        </w:tc>
        <w:tc>
          <w:tcPr>
            <w:tcW w:w="0" w:type="auto"/>
            <w:vAlign w:val="center"/>
            <w:hideMark/>
          </w:tcPr>
          <w:p w14:paraId="6B13CFDE"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1A76A6" w14:textId="77777777" w:rsidR="00000000" w:rsidRDefault="00195E73">
            <w:pPr>
              <w:jc w:val="right"/>
              <w:rPr>
                <w:rFonts w:eastAsia="Times New Roman"/>
              </w:rPr>
            </w:pPr>
            <w:r>
              <w:rPr>
                <w:rFonts w:eastAsia="Times New Roman"/>
                <w:color w:val="000000"/>
                <w:sz w:val="12"/>
                <w:szCs w:val="12"/>
              </w:rPr>
              <w:t>5,505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C46BA02"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405ADABC"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8862972" w14:textId="77777777" w:rsidR="00000000" w:rsidRDefault="00195E73">
            <w:pPr>
              <w:jc w:val="right"/>
              <w:rPr>
                <w:rFonts w:eastAsia="Times New Roman"/>
              </w:rPr>
            </w:pPr>
            <w:r>
              <w:rPr>
                <w:rFonts w:eastAsia="Times New Roman"/>
                <w:color w:val="000000"/>
                <w:sz w:val="12"/>
                <w:szCs w:val="12"/>
              </w:rPr>
              <w:t>7,326</w:t>
            </w:r>
            <w:r>
              <w:rPr>
                <w:rFonts w:eastAsia="Times New Roman"/>
                <w:color w:val="000000"/>
                <w:sz w:val="12"/>
                <w:szCs w:val="12"/>
              </w:rPr>
              <w:t> </w:t>
            </w:r>
            <w:r>
              <w:rPr>
                <w:rFonts w:eastAsia="Times New Roman"/>
                <w:color w:val="000000"/>
                <w:sz w:val="12"/>
                <w:szCs w:val="12"/>
              </w:rPr>
              <w:t> </w:t>
            </w:r>
          </w:p>
        </w:tc>
      </w:tr>
      <w:tr w:rsidR="00195E73" w14:paraId="6CC1456B" w14:textId="77777777">
        <w:trPr>
          <w:divId w:val="1004405925"/>
          <w:jc w:val="center"/>
        </w:trPr>
        <w:tc>
          <w:tcPr>
            <w:tcW w:w="0" w:type="auto"/>
            <w:gridSpan w:val="3"/>
            <w:shd w:val="clear" w:color="auto" w:fill="FFFFFF"/>
            <w:tcMar>
              <w:top w:w="30" w:type="dxa"/>
              <w:left w:w="20" w:type="dxa"/>
              <w:bottom w:w="30" w:type="dxa"/>
              <w:right w:w="20" w:type="dxa"/>
            </w:tcMar>
            <w:vAlign w:val="bottom"/>
            <w:hideMark/>
          </w:tcPr>
          <w:p w14:paraId="31DC64EF" w14:textId="77777777" w:rsidR="00000000" w:rsidRDefault="00195E73">
            <w:pPr>
              <w:rPr>
                <w:rFonts w:eastAsia="Times New Roman"/>
              </w:rPr>
            </w:pPr>
            <w:r>
              <w:rPr>
                <w:rFonts w:eastAsia="Times New Roman"/>
                <w:color w:val="000000"/>
                <w:sz w:val="12"/>
                <w:szCs w:val="12"/>
              </w:rPr>
              <w:t>   Total liabilitie</w:t>
            </w:r>
            <w:r>
              <w:rPr>
                <w:rFonts w:eastAsia="Times New Roman"/>
                <w:color w:val="000000"/>
                <w:sz w:val="12"/>
                <w:szCs w:val="12"/>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190448" w14:textId="77777777" w:rsidR="00000000" w:rsidRDefault="00195E73">
            <w:pPr>
              <w:jc w:val="right"/>
              <w:rPr>
                <w:rFonts w:eastAsia="Times New Roman"/>
              </w:rPr>
            </w:pPr>
            <w:r>
              <w:rPr>
                <w:rFonts w:eastAsia="Times New Roman"/>
                <w:color w:val="000000"/>
                <w:sz w:val="12"/>
                <w:szCs w:val="12"/>
              </w:rPr>
              <w:t>649</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DC627B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5EF083A"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1B63FF" w14:textId="77777777" w:rsidR="00000000" w:rsidRDefault="00195E73">
            <w:pPr>
              <w:jc w:val="right"/>
              <w:rPr>
                <w:rFonts w:eastAsia="Times New Roman"/>
              </w:rPr>
            </w:pPr>
            <w:r>
              <w:rPr>
                <w:rFonts w:eastAsia="Times New Roman"/>
                <w:color w:val="000000"/>
                <w:sz w:val="12"/>
                <w:szCs w:val="12"/>
              </w:rPr>
              <w:t>2,213</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BD8200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D527A9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3529CD" w14:textId="77777777" w:rsidR="00000000" w:rsidRDefault="00195E73">
            <w:pPr>
              <w:jc w:val="right"/>
              <w:rPr>
                <w:rFonts w:eastAsia="Times New Roman"/>
              </w:rPr>
            </w:pPr>
            <w:r>
              <w:rPr>
                <w:rFonts w:eastAsia="Times New Roman"/>
                <w:color w:val="000000"/>
                <w:sz w:val="12"/>
                <w:szCs w:val="12"/>
              </w:rPr>
              <w:t>1,277</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291737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1087055"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CA3243" w14:textId="77777777" w:rsidR="00000000" w:rsidRDefault="00195E73">
            <w:pPr>
              <w:jc w:val="right"/>
              <w:rPr>
                <w:rFonts w:eastAsia="Times New Roman"/>
              </w:rPr>
            </w:pPr>
            <w:r>
              <w:rPr>
                <w:rFonts w:eastAsia="Times New Roman"/>
                <w:color w:val="000000"/>
                <w:sz w:val="12"/>
                <w:szCs w:val="12"/>
              </w:rPr>
              <w:t>437</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6F72CD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37F777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17D259" w14:textId="77777777" w:rsidR="00000000" w:rsidRDefault="00195E73">
            <w:pPr>
              <w:jc w:val="right"/>
              <w:rPr>
                <w:rFonts w:eastAsia="Times New Roman"/>
              </w:rPr>
            </w:pPr>
            <w:r>
              <w:rPr>
                <w:rFonts w:eastAsia="Times New Roman"/>
                <w:color w:val="000000"/>
                <w:sz w:val="12"/>
                <w:szCs w:val="12"/>
              </w:rPr>
              <w:t>56</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8ED754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8B9E41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6F1286" w14:textId="77777777" w:rsidR="00000000" w:rsidRDefault="00195E73">
            <w:pPr>
              <w:jc w:val="right"/>
              <w:rPr>
                <w:rFonts w:eastAsia="Times New Roman"/>
              </w:rPr>
            </w:pPr>
            <w:r>
              <w:rPr>
                <w:rFonts w:eastAsia="Times New Roman"/>
                <w:color w:val="000000"/>
                <w:sz w:val="12"/>
                <w:szCs w:val="12"/>
              </w:rPr>
              <w:t>43</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626A14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30611B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E242B2" w14:textId="77777777" w:rsidR="00000000" w:rsidRDefault="00195E73">
            <w:pPr>
              <w:jc w:val="right"/>
              <w:rPr>
                <w:rFonts w:eastAsia="Times New Roman"/>
              </w:rPr>
            </w:pPr>
            <w:r>
              <w:rPr>
                <w:rFonts w:eastAsia="Times New Roman"/>
                <w:color w:val="000000"/>
                <w:sz w:val="12"/>
                <w:szCs w:val="12"/>
              </w:rPr>
              <w:t>39</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525566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470463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42B0FA" w14:textId="77777777" w:rsidR="00000000" w:rsidRDefault="00195E73">
            <w:pPr>
              <w:jc w:val="right"/>
              <w:rPr>
                <w:rFonts w:eastAsia="Times New Roman"/>
              </w:rPr>
            </w:pPr>
            <w:r>
              <w:rPr>
                <w:rFonts w:eastAsia="Times New Roman"/>
                <w:color w:val="000000"/>
                <w:sz w:val="12"/>
                <w:szCs w:val="12"/>
              </w:rPr>
              <w:t>112</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38C507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8F7E9C8" w14:textId="77777777" w:rsidR="00000000" w:rsidRDefault="00195E73">
            <w:pPr>
              <w:jc w:val="right"/>
              <w:rPr>
                <w:rFonts w:eastAsia="Times New Roman"/>
              </w:rPr>
            </w:pPr>
          </w:p>
        </w:tc>
        <w:tc>
          <w:tcPr>
            <w:tcW w:w="0" w:type="auto"/>
            <w:vAlign w:val="center"/>
            <w:hideMark/>
          </w:tcPr>
          <w:p w14:paraId="79D05D7E" w14:textId="77777777" w:rsidR="00000000" w:rsidRDefault="00195E73">
            <w:pPr>
              <w:rPr>
                <w:rFonts w:eastAsia="Times New Roman"/>
                <w:sz w:val="20"/>
                <w:szCs w:val="20"/>
              </w:rPr>
            </w:pPr>
          </w:p>
        </w:tc>
        <w:tc>
          <w:tcPr>
            <w:tcW w:w="0" w:type="auto"/>
            <w:vAlign w:val="center"/>
            <w:hideMark/>
          </w:tcPr>
          <w:p w14:paraId="499FA1AF" w14:textId="77777777" w:rsidR="00000000" w:rsidRDefault="00195E7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0A9A9B" w14:textId="77777777" w:rsidR="00000000" w:rsidRDefault="00195E73">
            <w:pPr>
              <w:jc w:val="right"/>
              <w:rPr>
                <w:rFonts w:eastAsia="Times New Roman"/>
              </w:rPr>
            </w:pPr>
            <w:r>
              <w:rPr>
                <w:rFonts w:eastAsia="Times New Roman"/>
                <w:color w:val="000000"/>
                <w:sz w:val="12"/>
                <w:szCs w:val="12"/>
              </w:rPr>
              <w:t>5,683</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DD9F298"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7D3C733A"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1D7940" w14:textId="77777777" w:rsidR="00000000" w:rsidRDefault="00195E73">
            <w:pPr>
              <w:jc w:val="right"/>
              <w:rPr>
                <w:rFonts w:eastAsia="Times New Roman"/>
              </w:rPr>
            </w:pPr>
            <w:r>
              <w:rPr>
                <w:rFonts w:eastAsia="Times New Roman"/>
                <w:color w:val="000000"/>
                <w:sz w:val="12"/>
                <w:szCs w:val="12"/>
              </w:rPr>
              <w:t>10,509</w:t>
            </w:r>
            <w:r>
              <w:rPr>
                <w:rFonts w:eastAsia="Times New Roman"/>
                <w:color w:val="000000"/>
                <w:sz w:val="12"/>
                <w:szCs w:val="12"/>
              </w:rPr>
              <w:t> </w:t>
            </w:r>
            <w:r>
              <w:rPr>
                <w:rFonts w:eastAsia="Times New Roman"/>
                <w:color w:val="000000"/>
                <w:sz w:val="12"/>
                <w:szCs w:val="12"/>
              </w:rPr>
              <w:t> </w:t>
            </w:r>
          </w:p>
        </w:tc>
      </w:tr>
      <w:tr w:rsidR="00000000" w14:paraId="37CD44FE" w14:textId="77777777">
        <w:trPr>
          <w:divId w:val="1004405925"/>
          <w:trHeight w:val="180"/>
          <w:jc w:val="center"/>
        </w:trPr>
        <w:tc>
          <w:tcPr>
            <w:tcW w:w="0" w:type="auto"/>
            <w:gridSpan w:val="3"/>
            <w:shd w:val="clear" w:color="auto" w:fill="CCEEFF"/>
            <w:tcMar>
              <w:top w:w="15" w:type="dxa"/>
              <w:left w:w="20" w:type="dxa"/>
              <w:bottom w:w="15" w:type="dxa"/>
              <w:right w:w="20" w:type="dxa"/>
            </w:tcMar>
            <w:vAlign w:val="bottom"/>
            <w:hideMark/>
          </w:tcPr>
          <w:p w14:paraId="4D910A6A" w14:textId="77777777" w:rsidR="00000000" w:rsidRDefault="00195E73">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504957C1"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8B85963"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349EF60"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6710980"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39861BE3"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8E8A9A1"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0C08158"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42EF079"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07CC3431"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FFAF44C"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97ADFCD"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9E88D4C"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09815D93"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2EF9663"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C692077"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80F6087" w14:textId="77777777" w:rsidR="00000000" w:rsidRDefault="00195E73">
            <w:pPr>
              <w:rPr>
                <w:rFonts w:eastAsia="Times New Roman"/>
                <w:sz w:val="20"/>
                <w:szCs w:val="20"/>
              </w:rPr>
            </w:pPr>
          </w:p>
        </w:tc>
        <w:tc>
          <w:tcPr>
            <w:tcW w:w="0" w:type="auto"/>
            <w:vAlign w:val="center"/>
            <w:hideMark/>
          </w:tcPr>
          <w:p w14:paraId="30F6F914" w14:textId="77777777" w:rsidR="00000000" w:rsidRDefault="00195E73">
            <w:pPr>
              <w:rPr>
                <w:rFonts w:eastAsia="Times New Roman"/>
                <w:sz w:val="20"/>
                <w:szCs w:val="20"/>
              </w:rPr>
            </w:pPr>
          </w:p>
        </w:tc>
        <w:tc>
          <w:tcPr>
            <w:tcW w:w="0" w:type="auto"/>
            <w:vAlign w:val="center"/>
            <w:hideMark/>
          </w:tcPr>
          <w:p w14:paraId="0DBE4C89"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588AD632" w14:textId="77777777" w:rsidR="00000000" w:rsidRDefault="00195E73">
            <w:pPr>
              <w:rPr>
                <w:rFonts w:eastAsia="Times New Roman"/>
                <w:sz w:val="20"/>
                <w:szCs w:val="20"/>
              </w:rPr>
            </w:pPr>
          </w:p>
        </w:tc>
        <w:tc>
          <w:tcPr>
            <w:tcW w:w="0" w:type="auto"/>
            <w:gridSpan w:val="2"/>
            <w:shd w:val="clear" w:color="auto" w:fill="CCEEFF"/>
            <w:tcMar>
              <w:top w:w="15" w:type="dxa"/>
              <w:left w:w="20" w:type="dxa"/>
              <w:bottom w:w="15" w:type="dxa"/>
              <w:right w:w="20" w:type="dxa"/>
            </w:tcMar>
            <w:vAlign w:val="bottom"/>
            <w:hideMark/>
          </w:tcPr>
          <w:p w14:paraId="61481F5E" w14:textId="77777777" w:rsidR="00000000" w:rsidRDefault="00195E73">
            <w:pPr>
              <w:rPr>
                <w:rFonts w:eastAsia="Times New Roman"/>
                <w:sz w:val="20"/>
                <w:szCs w:val="20"/>
              </w:rPr>
            </w:pPr>
          </w:p>
        </w:tc>
        <w:tc>
          <w:tcPr>
            <w:tcW w:w="0" w:type="auto"/>
            <w:tcBorders>
              <w:top w:val="single" w:sz="8" w:space="0" w:color="000000"/>
            </w:tcBorders>
            <w:shd w:val="clear" w:color="auto" w:fill="CCEEFF"/>
            <w:tcMar>
              <w:top w:w="15" w:type="dxa"/>
              <w:left w:w="20" w:type="dxa"/>
              <w:bottom w:w="15" w:type="dxa"/>
              <w:right w:w="20" w:type="dxa"/>
            </w:tcMar>
            <w:vAlign w:val="bottom"/>
            <w:hideMark/>
          </w:tcPr>
          <w:p w14:paraId="26E845DF" w14:textId="77777777" w:rsidR="00000000" w:rsidRDefault="00195E73">
            <w:pPr>
              <w:rPr>
                <w:rFonts w:eastAsia="Times New Roman"/>
                <w:sz w:val="20"/>
                <w:szCs w:val="20"/>
              </w:rPr>
            </w:pPr>
          </w:p>
        </w:tc>
      </w:tr>
      <w:tr w:rsidR="00195E73" w14:paraId="4BCBE713" w14:textId="77777777">
        <w:trPr>
          <w:divId w:val="1004405925"/>
          <w:jc w:val="center"/>
        </w:trPr>
        <w:tc>
          <w:tcPr>
            <w:tcW w:w="0" w:type="auto"/>
            <w:gridSpan w:val="3"/>
            <w:shd w:val="clear" w:color="auto" w:fill="FFFFFF"/>
            <w:tcMar>
              <w:top w:w="30" w:type="dxa"/>
              <w:left w:w="20" w:type="dxa"/>
              <w:bottom w:w="30" w:type="dxa"/>
              <w:right w:w="20" w:type="dxa"/>
            </w:tcMar>
            <w:vAlign w:val="bottom"/>
            <w:hideMark/>
          </w:tcPr>
          <w:p w14:paraId="58DC9AF7" w14:textId="77777777" w:rsidR="00000000" w:rsidRDefault="00195E73">
            <w:pPr>
              <w:ind w:hanging="180"/>
              <w:divId w:val="577180763"/>
              <w:rPr>
                <w:rFonts w:eastAsia="Times New Roman"/>
              </w:rPr>
            </w:pPr>
            <w:r>
              <w:rPr>
                <w:rFonts w:eastAsia="Times New Roman"/>
                <w:color w:val="000000"/>
                <w:sz w:val="12"/>
                <w:szCs w:val="12"/>
              </w:rPr>
              <w:t>Equity attributable to Icahn Enterprise</w:t>
            </w:r>
            <w:r>
              <w:rPr>
                <w:rFonts w:eastAsia="Times New Roman"/>
                <w:color w:val="000000"/>
                <w:sz w:val="12"/>
                <w:szCs w:val="12"/>
              </w:rPr>
              <w:t>s</w:t>
            </w:r>
          </w:p>
        </w:tc>
        <w:tc>
          <w:tcPr>
            <w:tcW w:w="0" w:type="auto"/>
            <w:gridSpan w:val="2"/>
            <w:shd w:val="clear" w:color="auto" w:fill="FFFFFF"/>
            <w:tcMar>
              <w:top w:w="30" w:type="dxa"/>
              <w:left w:w="20" w:type="dxa"/>
              <w:bottom w:w="30" w:type="dxa"/>
              <w:right w:w="0" w:type="dxa"/>
            </w:tcMar>
            <w:vAlign w:val="bottom"/>
            <w:hideMark/>
          </w:tcPr>
          <w:p w14:paraId="2231D5A4" w14:textId="77777777" w:rsidR="00000000" w:rsidRDefault="00195E73">
            <w:pPr>
              <w:jc w:val="right"/>
              <w:rPr>
                <w:rFonts w:eastAsia="Times New Roman"/>
              </w:rPr>
            </w:pPr>
            <w:r>
              <w:rPr>
                <w:rFonts w:eastAsia="Times New Roman"/>
                <w:color w:val="000000"/>
                <w:sz w:val="12"/>
                <w:szCs w:val="12"/>
              </w:rPr>
              <w:t>5,066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CDDBB3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164D1A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CBBA06" w14:textId="77777777" w:rsidR="00000000" w:rsidRDefault="00195E73">
            <w:pPr>
              <w:jc w:val="right"/>
              <w:rPr>
                <w:rFonts w:eastAsia="Times New Roman"/>
              </w:rPr>
            </w:pPr>
            <w:r>
              <w:rPr>
                <w:rFonts w:eastAsia="Times New Roman"/>
                <w:color w:val="000000"/>
                <w:sz w:val="12"/>
                <w:szCs w:val="12"/>
              </w:rPr>
              <w:t>1,274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9AC678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60C566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5A5A6C" w14:textId="77777777" w:rsidR="00000000" w:rsidRDefault="00195E73">
            <w:pPr>
              <w:jc w:val="right"/>
              <w:rPr>
                <w:rFonts w:eastAsia="Times New Roman"/>
              </w:rPr>
            </w:pPr>
            <w:r>
              <w:rPr>
                <w:rFonts w:eastAsia="Times New Roman"/>
                <w:color w:val="000000"/>
                <w:sz w:val="12"/>
                <w:szCs w:val="12"/>
              </w:rPr>
              <w:t>1,747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F4BA7E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474BAA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2A91EE" w14:textId="77777777" w:rsidR="00000000" w:rsidRDefault="00195E73">
            <w:pPr>
              <w:jc w:val="right"/>
              <w:rPr>
                <w:rFonts w:eastAsia="Times New Roman"/>
              </w:rPr>
            </w:pPr>
            <w:r>
              <w:rPr>
                <w:rFonts w:eastAsia="Times New Roman"/>
                <w:color w:val="000000"/>
                <w:sz w:val="12"/>
                <w:szCs w:val="12"/>
              </w:rPr>
              <w:t>55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52D46C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502238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19D1F3" w14:textId="77777777" w:rsidR="00000000" w:rsidRDefault="00195E73">
            <w:pPr>
              <w:jc w:val="right"/>
              <w:rPr>
                <w:rFonts w:eastAsia="Times New Roman"/>
              </w:rPr>
            </w:pPr>
            <w:r>
              <w:rPr>
                <w:rFonts w:eastAsia="Times New Roman"/>
                <w:color w:val="000000"/>
                <w:sz w:val="12"/>
                <w:szCs w:val="12"/>
              </w:rPr>
              <w:t>177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F98444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F80FC8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650762" w14:textId="77777777" w:rsidR="00000000" w:rsidRDefault="00195E73">
            <w:pPr>
              <w:jc w:val="right"/>
              <w:rPr>
                <w:rFonts w:eastAsia="Times New Roman"/>
              </w:rPr>
            </w:pPr>
            <w:r>
              <w:rPr>
                <w:rFonts w:eastAsia="Times New Roman"/>
                <w:color w:val="000000"/>
                <w:sz w:val="12"/>
                <w:szCs w:val="12"/>
              </w:rPr>
              <w:t>465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8D91ED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C8192C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E78566" w14:textId="77777777" w:rsidR="00000000" w:rsidRDefault="00195E73">
            <w:pPr>
              <w:jc w:val="right"/>
              <w:rPr>
                <w:rFonts w:eastAsia="Times New Roman"/>
              </w:rPr>
            </w:pPr>
            <w:r>
              <w:rPr>
                <w:rFonts w:eastAsia="Times New Roman"/>
                <w:color w:val="000000"/>
                <w:sz w:val="12"/>
                <w:szCs w:val="12"/>
              </w:rPr>
              <w:t>133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9F575F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8BC663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AB319D" w14:textId="77777777" w:rsidR="00000000" w:rsidRDefault="00195E73">
            <w:pPr>
              <w:jc w:val="right"/>
              <w:rPr>
                <w:rFonts w:eastAsia="Times New Roman"/>
              </w:rPr>
            </w:pPr>
            <w:r>
              <w:rPr>
                <w:rFonts w:eastAsia="Times New Roman"/>
                <w:color w:val="000000"/>
                <w:sz w:val="12"/>
                <w:szCs w:val="12"/>
              </w:rPr>
              <w:t>165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89B2CC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4109DFD" w14:textId="77777777" w:rsidR="00000000" w:rsidRDefault="00195E73">
            <w:pPr>
              <w:jc w:val="right"/>
              <w:rPr>
                <w:rFonts w:eastAsia="Times New Roman"/>
              </w:rPr>
            </w:pPr>
          </w:p>
        </w:tc>
        <w:tc>
          <w:tcPr>
            <w:tcW w:w="0" w:type="auto"/>
            <w:vAlign w:val="center"/>
            <w:hideMark/>
          </w:tcPr>
          <w:p w14:paraId="2C89BD64" w14:textId="77777777" w:rsidR="00000000" w:rsidRDefault="00195E73">
            <w:pPr>
              <w:rPr>
                <w:rFonts w:eastAsia="Times New Roman"/>
                <w:sz w:val="20"/>
                <w:szCs w:val="20"/>
              </w:rPr>
            </w:pPr>
          </w:p>
        </w:tc>
        <w:tc>
          <w:tcPr>
            <w:tcW w:w="0" w:type="auto"/>
            <w:vAlign w:val="center"/>
            <w:hideMark/>
          </w:tcPr>
          <w:p w14:paraId="3B336DEF"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0D440A" w14:textId="77777777" w:rsidR="00000000" w:rsidRDefault="00195E73">
            <w:pPr>
              <w:jc w:val="right"/>
              <w:rPr>
                <w:rFonts w:eastAsia="Times New Roman"/>
              </w:rPr>
            </w:pPr>
            <w:r>
              <w:rPr>
                <w:rFonts w:eastAsia="Times New Roman"/>
                <w:color w:val="000000"/>
                <w:sz w:val="12"/>
                <w:szCs w:val="12"/>
              </w:rPr>
              <w:t>(2,522</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7AF801C8"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176940CE"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BE7EF16" w14:textId="77777777" w:rsidR="00000000" w:rsidRDefault="00195E73">
            <w:pPr>
              <w:jc w:val="right"/>
              <w:rPr>
                <w:rFonts w:eastAsia="Times New Roman"/>
              </w:rPr>
            </w:pPr>
            <w:r>
              <w:rPr>
                <w:rFonts w:eastAsia="Times New Roman"/>
                <w:color w:val="000000"/>
                <w:sz w:val="12"/>
                <w:szCs w:val="12"/>
              </w:rPr>
              <w:t>6,560</w:t>
            </w:r>
            <w:r>
              <w:rPr>
                <w:rFonts w:eastAsia="Times New Roman"/>
                <w:color w:val="000000"/>
                <w:sz w:val="12"/>
                <w:szCs w:val="12"/>
              </w:rPr>
              <w:t> </w:t>
            </w:r>
            <w:r>
              <w:rPr>
                <w:rFonts w:eastAsia="Times New Roman"/>
                <w:color w:val="000000"/>
                <w:sz w:val="12"/>
                <w:szCs w:val="12"/>
              </w:rPr>
              <w:t> </w:t>
            </w:r>
          </w:p>
        </w:tc>
      </w:tr>
      <w:tr w:rsidR="00195E73" w14:paraId="310C95F3" w14:textId="77777777">
        <w:trPr>
          <w:divId w:val="1004405925"/>
          <w:jc w:val="center"/>
        </w:trPr>
        <w:tc>
          <w:tcPr>
            <w:tcW w:w="0" w:type="auto"/>
            <w:gridSpan w:val="3"/>
            <w:shd w:val="clear" w:color="auto" w:fill="CCEEFF"/>
            <w:tcMar>
              <w:top w:w="30" w:type="dxa"/>
              <w:left w:w="20" w:type="dxa"/>
              <w:bottom w:w="30" w:type="dxa"/>
              <w:right w:w="20" w:type="dxa"/>
            </w:tcMar>
            <w:vAlign w:val="bottom"/>
            <w:hideMark/>
          </w:tcPr>
          <w:p w14:paraId="686C93B3" w14:textId="77777777" w:rsidR="00000000" w:rsidRDefault="00195E73">
            <w:pPr>
              <w:ind w:hanging="180"/>
              <w:divId w:val="2000649134"/>
              <w:rPr>
                <w:rFonts w:eastAsia="Times New Roman"/>
              </w:rPr>
            </w:pPr>
            <w:r>
              <w:rPr>
                <w:rFonts w:eastAsia="Times New Roman"/>
                <w:color w:val="000000"/>
                <w:sz w:val="12"/>
                <w:szCs w:val="12"/>
              </w:rPr>
              <w:t>Equity attributable to non-controlling interest</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286B2507" w14:textId="77777777" w:rsidR="00000000" w:rsidRDefault="00195E73">
            <w:pPr>
              <w:jc w:val="right"/>
              <w:rPr>
                <w:rFonts w:eastAsia="Times New Roman"/>
              </w:rPr>
            </w:pPr>
            <w:r>
              <w:rPr>
                <w:rFonts w:eastAsia="Times New Roman"/>
                <w:color w:val="000000"/>
                <w:sz w:val="12"/>
                <w:szCs w:val="12"/>
              </w:rPr>
              <w:t>5,035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1783FB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D30C52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07CD60" w14:textId="77777777" w:rsidR="00000000" w:rsidRDefault="00195E73">
            <w:pPr>
              <w:jc w:val="right"/>
              <w:rPr>
                <w:rFonts w:eastAsia="Times New Roman"/>
              </w:rPr>
            </w:pPr>
            <w:r>
              <w:rPr>
                <w:rFonts w:eastAsia="Times New Roman"/>
                <w:color w:val="000000"/>
                <w:sz w:val="12"/>
                <w:szCs w:val="12"/>
              </w:rPr>
              <w:t>1,344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D5E808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D751AF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98BD3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E9EC88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C7EF68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C53218" w14:textId="77777777" w:rsidR="00000000" w:rsidRDefault="00195E73">
            <w:pPr>
              <w:jc w:val="right"/>
              <w:rPr>
                <w:rFonts w:eastAsia="Times New Roman"/>
              </w:rPr>
            </w:pPr>
            <w:r>
              <w:rPr>
                <w:rFonts w:eastAsia="Times New Roman"/>
                <w:color w:val="000000"/>
                <w:sz w:val="12"/>
                <w:szCs w:val="12"/>
              </w:rPr>
              <w:t>19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11FCFB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C71337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CF4F3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51ED0A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A37E1F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E3F91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0D81B6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DA0512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552B7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07245C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AEBEEA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2F9D89" w14:textId="77777777" w:rsidR="00000000" w:rsidRDefault="00195E73">
            <w:pPr>
              <w:jc w:val="right"/>
              <w:rPr>
                <w:rFonts w:eastAsia="Times New Roman"/>
              </w:rPr>
            </w:pPr>
            <w:r>
              <w:rPr>
                <w:rFonts w:eastAsia="Times New Roman"/>
                <w:color w:val="000000"/>
                <w:sz w:val="12"/>
                <w:szCs w:val="12"/>
              </w:rPr>
              <w:t>22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5BB905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79E733E" w14:textId="77777777" w:rsidR="00000000" w:rsidRDefault="00195E73">
            <w:pPr>
              <w:jc w:val="right"/>
              <w:rPr>
                <w:rFonts w:eastAsia="Times New Roman"/>
              </w:rPr>
            </w:pPr>
          </w:p>
        </w:tc>
        <w:tc>
          <w:tcPr>
            <w:tcW w:w="0" w:type="auto"/>
            <w:vAlign w:val="center"/>
            <w:hideMark/>
          </w:tcPr>
          <w:p w14:paraId="34B7C620" w14:textId="77777777" w:rsidR="00000000" w:rsidRDefault="00195E73">
            <w:pPr>
              <w:rPr>
                <w:rFonts w:eastAsia="Times New Roman"/>
                <w:sz w:val="20"/>
                <w:szCs w:val="20"/>
              </w:rPr>
            </w:pPr>
          </w:p>
        </w:tc>
        <w:tc>
          <w:tcPr>
            <w:tcW w:w="0" w:type="auto"/>
            <w:vAlign w:val="center"/>
            <w:hideMark/>
          </w:tcPr>
          <w:p w14:paraId="093880BC"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AF6E3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024C7A5"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1E0BC23C"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427419A" w14:textId="77777777" w:rsidR="00000000" w:rsidRDefault="00195E73">
            <w:pPr>
              <w:jc w:val="right"/>
              <w:rPr>
                <w:rFonts w:eastAsia="Times New Roman"/>
              </w:rPr>
            </w:pPr>
            <w:r>
              <w:rPr>
                <w:rFonts w:eastAsia="Times New Roman"/>
                <w:color w:val="000000"/>
                <w:sz w:val="12"/>
                <w:szCs w:val="12"/>
              </w:rPr>
              <w:t>6,420</w:t>
            </w:r>
            <w:r>
              <w:rPr>
                <w:rFonts w:eastAsia="Times New Roman"/>
                <w:color w:val="000000"/>
                <w:sz w:val="12"/>
                <w:szCs w:val="12"/>
              </w:rPr>
              <w:t> </w:t>
            </w:r>
            <w:r>
              <w:rPr>
                <w:rFonts w:eastAsia="Times New Roman"/>
                <w:color w:val="000000"/>
                <w:sz w:val="12"/>
                <w:szCs w:val="12"/>
              </w:rPr>
              <w:t> </w:t>
            </w:r>
          </w:p>
        </w:tc>
      </w:tr>
      <w:tr w:rsidR="00195E73" w14:paraId="30ABB55C" w14:textId="77777777">
        <w:trPr>
          <w:divId w:val="1004405925"/>
          <w:jc w:val="center"/>
        </w:trPr>
        <w:tc>
          <w:tcPr>
            <w:tcW w:w="0" w:type="auto"/>
            <w:gridSpan w:val="3"/>
            <w:shd w:val="clear" w:color="auto" w:fill="FFFFFF"/>
            <w:tcMar>
              <w:top w:w="30" w:type="dxa"/>
              <w:left w:w="20" w:type="dxa"/>
              <w:bottom w:w="30" w:type="dxa"/>
              <w:right w:w="20" w:type="dxa"/>
            </w:tcMar>
            <w:vAlign w:val="bottom"/>
            <w:hideMark/>
          </w:tcPr>
          <w:p w14:paraId="4AE15F6C" w14:textId="77777777" w:rsidR="00000000" w:rsidRDefault="00195E73">
            <w:pPr>
              <w:rPr>
                <w:rFonts w:eastAsia="Times New Roman"/>
              </w:rPr>
            </w:pPr>
            <w:r>
              <w:rPr>
                <w:rFonts w:eastAsia="Times New Roman"/>
                <w:color w:val="000000"/>
                <w:sz w:val="12"/>
                <w:szCs w:val="12"/>
              </w:rPr>
              <w:t>   Total equit</w:t>
            </w:r>
            <w:r>
              <w:rPr>
                <w:rFonts w:eastAsia="Times New Roman"/>
                <w:color w:val="000000"/>
                <w:sz w:val="12"/>
                <w:szCs w:val="12"/>
              </w:rPr>
              <w: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168B66" w14:textId="77777777" w:rsidR="00000000" w:rsidRDefault="00195E73">
            <w:pPr>
              <w:jc w:val="right"/>
              <w:rPr>
                <w:rFonts w:eastAsia="Times New Roman"/>
              </w:rPr>
            </w:pPr>
            <w:r>
              <w:rPr>
                <w:rFonts w:eastAsia="Times New Roman"/>
                <w:color w:val="000000"/>
                <w:sz w:val="12"/>
                <w:szCs w:val="12"/>
              </w:rPr>
              <w:t>10,101</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2EEA7B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8A5D5C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06FE25" w14:textId="77777777" w:rsidR="00000000" w:rsidRDefault="00195E73">
            <w:pPr>
              <w:jc w:val="right"/>
              <w:rPr>
                <w:rFonts w:eastAsia="Times New Roman"/>
              </w:rPr>
            </w:pPr>
            <w:r>
              <w:rPr>
                <w:rFonts w:eastAsia="Times New Roman"/>
                <w:color w:val="000000"/>
                <w:sz w:val="12"/>
                <w:szCs w:val="12"/>
              </w:rPr>
              <w:t>2,618</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050BCE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46B3C9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002474" w14:textId="77777777" w:rsidR="00000000" w:rsidRDefault="00195E73">
            <w:pPr>
              <w:jc w:val="right"/>
              <w:rPr>
                <w:rFonts w:eastAsia="Times New Roman"/>
              </w:rPr>
            </w:pPr>
            <w:r>
              <w:rPr>
                <w:rFonts w:eastAsia="Times New Roman"/>
                <w:color w:val="000000"/>
                <w:sz w:val="12"/>
                <w:szCs w:val="12"/>
              </w:rPr>
              <w:t>1,747</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D83477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058709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E48069" w14:textId="77777777" w:rsidR="00000000" w:rsidRDefault="00195E73">
            <w:pPr>
              <w:jc w:val="right"/>
              <w:rPr>
                <w:rFonts w:eastAsia="Times New Roman"/>
              </w:rPr>
            </w:pPr>
            <w:r>
              <w:rPr>
                <w:rFonts w:eastAsia="Times New Roman"/>
                <w:color w:val="000000"/>
                <w:sz w:val="12"/>
                <w:szCs w:val="12"/>
              </w:rPr>
              <w:t>74</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81F2C6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EF6AFB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BF48C8" w14:textId="77777777" w:rsidR="00000000" w:rsidRDefault="00195E73">
            <w:pPr>
              <w:jc w:val="right"/>
              <w:rPr>
                <w:rFonts w:eastAsia="Times New Roman"/>
              </w:rPr>
            </w:pPr>
            <w:r>
              <w:rPr>
                <w:rFonts w:eastAsia="Times New Roman"/>
                <w:color w:val="000000"/>
                <w:sz w:val="12"/>
                <w:szCs w:val="12"/>
              </w:rPr>
              <w:t>177</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D5809E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581D13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4512F0" w14:textId="77777777" w:rsidR="00000000" w:rsidRDefault="00195E73">
            <w:pPr>
              <w:jc w:val="right"/>
              <w:rPr>
                <w:rFonts w:eastAsia="Times New Roman"/>
              </w:rPr>
            </w:pPr>
            <w:r>
              <w:rPr>
                <w:rFonts w:eastAsia="Times New Roman"/>
                <w:color w:val="000000"/>
                <w:sz w:val="12"/>
                <w:szCs w:val="12"/>
              </w:rPr>
              <w:t>465</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4F44BB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B0A879A"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00CEAD" w14:textId="77777777" w:rsidR="00000000" w:rsidRDefault="00195E73">
            <w:pPr>
              <w:jc w:val="right"/>
              <w:rPr>
                <w:rFonts w:eastAsia="Times New Roman"/>
              </w:rPr>
            </w:pPr>
            <w:r>
              <w:rPr>
                <w:rFonts w:eastAsia="Times New Roman"/>
                <w:color w:val="000000"/>
                <w:sz w:val="12"/>
                <w:szCs w:val="12"/>
              </w:rPr>
              <w:t>133</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005915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0A6D12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B20DA6" w14:textId="77777777" w:rsidR="00000000" w:rsidRDefault="00195E73">
            <w:pPr>
              <w:jc w:val="right"/>
              <w:rPr>
                <w:rFonts w:eastAsia="Times New Roman"/>
              </w:rPr>
            </w:pPr>
            <w:r>
              <w:rPr>
                <w:rFonts w:eastAsia="Times New Roman"/>
                <w:color w:val="000000"/>
                <w:sz w:val="12"/>
                <w:szCs w:val="12"/>
              </w:rPr>
              <w:t>187</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BC25C4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A5B6B8F" w14:textId="77777777" w:rsidR="00000000" w:rsidRDefault="00195E73">
            <w:pPr>
              <w:jc w:val="right"/>
              <w:rPr>
                <w:rFonts w:eastAsia="Times New Roman"/>
              </w:rPr>
            </w:pPr>
          </w:p>
        </w:tc>
        <w:tc>
          <w:tcPr>
            <w:tcW w:w="0" w:type="auto"/>
            <w:vAlign w:val="center"/>
            <w:hideMark/>
          </w:tcPr>
          <w:p w14:paraId="303A1D46" w14:textId="77777777" w:rsidR="00000000" w:rsidRDefault="00195E73">
            <w:pPr>
              <w:rPr>
                <w:rFonts w:eastAsia="Times New Roman"/>
                <w:sz w:val="20"/>
                <w:szCs w:val="20"/>
              </w:rPr>
            </w:pPr>
          </w:p>
        </w:tc>
        <w:tc>
          <w:tcPr>
            <w:tcW w:w="0" w:type="auto"/>
            <w:vAlign w:val="center"/>
            <w:hideMark/>
          </w:tcPr>
          <w:p w14:paraId="4081D57B" w14:textId="77777777" w:rsidR="00000000" w:rsidRDefault="00195E7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E79B5C" w14:textId="77777777" w:rsidR="00000000" w:rsidRDefault="00195E73">
            <w:pPr>
              <w:jc w:val="right"/>
              <w:rPr>
                <w:rFonts w:eastAsia="Times New Roman"/>
              </w:rPr>
            </w:pPr>
            <w:r>
              <w:rPr>
                <w:rFonts w:eastAsia="Times New Roman"/>
                <w:color w:val="000000"/>
                <w:sz w:val="12"/>
                <w:szCs w:val="12"/>
              </w:rPr>
              <w:t>(2,522</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34003CC"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49DE67C0"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3F04E5" w14:textId="77777777" w:rsidR="00000000" w:rsidRDefault="00195E73">
            <w:pPr>
              <w:jc w:val="right"/>
              <w:rPr>
                <w:rFonts w:eastAsia="Times New Roman"/>
              </w:rPr>
            </w:pPr>
            <w:r>
              <w:rPr>
                <w:rFonts w:eastAsia="Times New Roman"/>
                <w:color w:val="000000"/>
                <w:sz w:val="12"/>
                <w:szCs w:val="12"/>
              </w:rPr>
              <w:t>12,980</w:t>
            </w:r>
            <w:r>
              <w:rPr>
                <w:rFonts w:eastAsia="Times New Roman"/>
                <w:color w:val="000000"/>
                <w:sz w:val="12"/>
                <w:szCs w:val="12"/>
              </w:rPr>
              <w:t> </w:t>
            </w:r>
            <w:r>
              <w:rPr>
                <w:rFonts w:eastAsia="Times New Roman"/>
                <w:color w:val="000000"/>
                <w:sz w:val="12"/>
                <w:szCs w:val="12"/>
              </w:rPr>
              <w:t> </w:t>
            </w:r>
          </w:p>
        </w:tc>
      </w:tr>
      <w:tr w:rsidR="00195E73" w14:paraId="10F46846" w14:textId="77777777">
        <w:trPr>
          <w:divId w:val="1004405925"/>
          <w:jc w:val="center"/>
        </w:trPr>
        <w:tc>
          <w:tcPr>
            <w:tcW w:w="0" w:type="auto"/>
            <w:gridSpan w:val="3"/>
            <w:shd w:val="clear" w:color="auto" w:fill="CCEEFF"/>
            <w:tcMar>
              <w:top w:w="30" w:type="dxa"/>
              <w:left w:w="20" w:type="dxa"/>
              <w:bottom w:w="30" w:type="dxa"/>
              <w:right w:w="20" w:type="dxa"/>
            </w:tcMar>
            <w:vAlign w:val="bottom"/>
            <w:hideMark/>
          </w:tcPr>
          <w:p w14:paraId="4659611D" w14:textId="77777777" w:rsidR="00000000" w:rsidRDefault="00195E73">
            <w:pPr>
              <w:rPr>
                <w:rFonts w:eastAsia="Times New Roman"/>
              </w:rPr>
            </w:pPr>
            <w:r>
              <w:rPr>
                <w:rFonts w:eastAsia="Times New Roman"/>
                <w:color w:val="000000"/>
                <w:sz w:val="12"/>
                <w:szCs w:val="12"/>
              </w:rPr>
              <w:t>   Total liabilities and equit</w:t>
            </w:r>
            <w:r>
              <w:rPr>
                <w:rFonts w:eastAsia="Times New Roman"/>
                <w:color w:val="000000"/>
                <w:sz w:val="12"/>
                <w:szCs w:val="12"/>
              </w:rPr>
              <w:t>y</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DEF7571"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6795D13" w14:textId="77777777" w:rsidR="00000000" w:rsidRDefault="00195E73">
            <w:pPr>
              <w:jc w:val="right"/>
              <w:rPr>
                <w:rFonts w:eastAsia="Times New Roman"/>
              </w:rPr>
            </w:pPr>
            <w:r>
              <w:rPr>
                <w:rFonts w:eastAsia="Times New Roman"/>
                <w:color w:val="000000"/>
                <w:sz w:val="12"/>
                <w:szCs w:val="12"/>
              </w:rPr>
              <w:t>10,750</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8F4607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225A8C5"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9C86ADA"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8B80C80" w14:textId="77777777" w:rsidR="00000000" w:rsidRDefault="00195E73">
            <w:pPr>
              <w:jc w:val="right"/>
              <w:rPr>
                <w:rFonts w:eastAsia="Times New Roman"/>
              </w:rPr>
            </w:pPr>
            <w:r>
              <w:rPr>
                <w:rFonts w:eastAsia="Times New Roman"/>
                <w:color w:val="000000"/>
                <w:sz w:val="12"/>
                <w:szCs w:val="12"/>
              </w:rPr>
              <w:t>4,831</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7C48C8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A4EEA08"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0752573"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92A7FDF" w14:textId="77777777" w:rsidR="00000000" w:rsidRDefault="00195E73">
            <w:pPr>
              <w:jc w:val="right"/>
              <w:rPr>
                <w:rFonts w:eastAsia="Times New Roman"/>
              </w:rPr>
            </w:pPr>
            <w:r>
              <w:rPr>
                <w:rFonts w:eastAsia="Times New Roman"/>
                <w:color w:val="000000"/>
                <w:sz w:val="12"/>
                <w:szCs w:val="12"/>
              </w:rPr>
              <w:t>3,024</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E7878B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EBBAAC4"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0931A83"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66CF06E" w14:textId="77777777" w:rsidR="00000000" w:rsidRDefault="00195E73">
            <w:pPr>
              <w:jc w:val="right"/>
              <w:rPr>
                <w:rFonts w:eastAsia="Times New Roman"/>
              </w:rPr>
            </w:pPr>
            <w:r>
              <w:rPr>
                <w:rFonts w:eastAsia="Times New Roman"/>
                <w:color w:val="000000"/>
                <w:sz w:val="12"/>
                <w:szCs w:val="12"/>
              </w:rPr>
              <w:t>511</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C50617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2B7B9DE"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D6256EF"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0ADEE23" w14:textId="77777777" w:rsidR="00000000" w:rsidRDefault="00195E73">
            <w:pPr>
              <w:jc w:val="right"/>
              <w:rPr>
                <w:rFonts w:eastAsia="Times New Roman"/>
              </w:rPr>
            </w:pPr>
            <w:r>
              <w:rPr>
                <w:rFonts w:eastAsia="Times New Roman"/>
                <w:color w:val="000000"/>
                <w:sz w:val="12"/>
                <w:szCs w:val="12"/>
              </w:rPr>
              <w:t>233</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B9569F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E0FEE5F"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4388139"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6C24D92" w14:textId="77777777" w:rsidR="00000000" w:rsidRDefault="00195E73">
            <w:pPr>
              <w:jc w:val="right"/>
              <w:rPr>
                <w:rFonts w:eastAsia="Times New Roman"/>
              </w:rPr>
            </w:pPr>
            <w:r>
              <w:rPr>
                <w:rFonts w:eastAsia="Times New Roman"/>
                <w:color w:val="000000"/>
                <w:sz w:val="12"/>
                <w:szCs w:val="12"/>
              </w:rPr>
              <w:t>508</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726C4B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5565350"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BC6F6EF"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AFC049E" w14:textId="77777777" w:rsidR="00000000" w:rsidRDefault="00195E73">
            <w:pPr>
              <w:jc w:val="right"/>
              <w:rPr>
                <w:rFonts w:eastAsia="Times New Roman"/>
              </w:rPr>
            </w:pPr>
            <w:r>
              <w:rPr>
                <w:rFonts w:eastAsia="Times New Roman"/>
                <w:color w:val="000000"/>
                <w:sz w:val="12"/>
                <w:szCs w:val="12"/>
              </w:rPr>
              <w:t>172</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149FA6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E18864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DE34BF8"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3E65990" w14:textId="77777777" w:rsidR="00000000" w:rsidRDefault="00195E73">
            <w:pPr>
              <w:jc w:val="right"/>
              <w:rPr>
                <w:rFonts w:eastAsia="Times New Roman"/>
              </w:rPr>
            </w:pPr>
            <w:r>
              <w:rPr>
                <w:rFonts w:eastAsia="Times New Roman"/>
                <w:color w:val="000000"/>
                <w:sz w:val="12"/>
                <w:szCs w:val="12"/>
              </w:rPr>
              <w:t>299</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706B58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76E5861" w14:textId="77777777" w:rsidR="00000000" w:rsidRDefault="00195E73">
            <w:pPr>
              <w:jc w:val="right"/>
              <w:rPr>
                <w:rFonts w:eastAsia="Times New Roman"/>
              </w:rPr>
            </w:pPr>
          </w:p>
        </w:tc>
        <w:tc>
          <w:tcPr>
            <w:tcW w:w="0" w:type="auto"/>
            <w:vAlign w:val="center"/>
            <w:hideMark/>
          </w:tcPr>
          <w:p w14:paraId="4F414965" w14:textId="77777777" w:rsidR="00000000" w:rsidRDefault="00195E73">
            <w:pPr>
              <w:rPr>
                <w:rFonts w:eastAsia="Times New Roman"/>
                <w:sz w:val="20"/>
                <w:szCs w:val="20"/>
              </w:rPr>
            </w:pPr>
          </w:p>
        </w:tc>
        <w:tc>
          <w:tcPr>
            <w:tcW w:w="0" w:type="auto"/>
            <w:vAlign w:val="center"/>
            <w:hideMark/>
          </w:tcPr>
          <w:p w14:paraId="16A97E76"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F653560"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8BDB323" w14:textId="77777777" w:rsidR="00000000" w:rsidRDefault="00195E73">
            <w:pPr>
              <w:jc w:val="right"/>
              <w:rPr>
                <w:rFonts w:eastAsia="Times New Roman"/>
              </w:rPr>
            </w:pPr>
            <w:r>
              <w:rPr>
                <w:rFonts w:eastAsia="Times New Roman"/>
                <w:color w:val="000000"/>
                <w:sz w:val="12"/>
                <w:szCs w:val="12"/>
              </w:rPr>
              <w:t>3,161</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08E2AF1"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79124899"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D7808BF"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23,489</w:t>
            </w:r>
            <w:r>
              <w:rPr>
                <w:rFonts w:eastAsia="Times New Roman"/>
                <w:color w:val="000000"/>
                <w:sz w:val="12"/>
                <w:szCs w:val="12"/>
              </w:rPr>
              <w:t> </w:t>
            </w:r>
            <w:r>
              <w:rPr>
                <w:rFonts w:eastAsia="Times New Roman"/>
                <w:color w:val="000000"/>
                <w:sz w:val="12"/>
                <w:szCs w:val="12"/>
              </w:rPr>
              <w:t> </w:t>
            </w:r>
          </w:p>
        </w:tc>
      </w:tr>
    </w:tbl>
    <w:p w14:paraId="0B50F397" w14:textId="77777777" w:rsidR="00000000" w:rsidRDefault="00195E73">
      <w:pPr>
        <w:divId w:val="732630142"/>
        <w:rPr>
          <w:rFonts w:eastAsia="Times New Roman"/>
        </w:rPr>
      </w:pPr>
    </w:p>
    <w:p w14:paraId="3B9D9723" w14:textId="77777777" w:rsidR="00000000" w:rsidRDefault="00195E73">
      <w:pPr>
        <w:divId w:val="1423070845"/>
        <w:rPr>
          <w:rFonts w:eastAsia="Times New Roman"/>
        </w:rPr>
      </w:pPr>
      <w:r>
        <w:rPr>
          <w:rFonts w:eastAsia="Times New Roman"/>
          <w:b/>
          <w:bCs/>
          <w:color w:val="000000"/>
          <w:sz w:val="20"/>
          <w:szCs w:val="20"/>
        </w:rPr>
        <w:t>Geographic Informatio</w:t>
      </w:r>
      <w:r>
        <w:rPr>
          <w:rFonts w:eastAsia="Times New Roman"/>
          <w:b/>
          <w:bCs/>
          <w:color w:val="000000"/>
          <w:sz w:val="20"/>
          <w:szCs w:val="20"/>
        </w:rPr>
        <w:t>n</w:t>
      </w:r>
    </w:p>
    <w:p w14:paraId="27BBE4CB" w14:textId="77777777" w:rsidR="00000000" w:rsidRDefault="00195E73">
      <w:pPr>
        <w:ind w:firstLine="405"/>
        <w:divId w:val="450709624"/>
        <w:rPr>
          <w:rFonts w:eastAsia="Times New Roman"/>
        </w:rPr>
      </w:pPr>
      <w:r>
        <w:rPr>
          <w:rFonts w:eastAsia="Times New Roman"/>
          <w:color w:val="000000"/>
          <w:sz w:val="20"/>
          <w:szCs w:val="20"/>
        </w:rPr>
        <w:t xml:space="preserve">The following table presents our </w:t>
      </w:r>
      <w:r>
        <w:rPr>
          <w:rFonts w:eastAsia="Times New Roman"/>
          <w:color w:val="000000"/>
          <w:sz w:val="20"/>
          <w:szCs w:val="20"/>
        </w:rPr>
        <w:t>consolidated geographic net sales from external customers, other revenues from operations and property, plant and equipment, net for the periods indicated</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928"/>
        <w:gridCol w:w="68"/>
        <w:gridCol w:w="135"/>
        <w:gridCol w:w="515"/>
        <w:gridCol w:w="85"/>
        <w:gridCol w:w="36"/>
        <w:gridCol w:w="36"/>
        <w:gridCol w:w="36"/>
        <w:gridCol w:w="135"/>
        <w:gridCol w:w="615"/>
        <w:gridCol w:w="85"/>
        <w:gridCol w:w="36"/>
        <w:gridCol w:w="36"/>
        <w:gridCol w:w="36"/>
        <w:gridCol w:w="135"/>
        <w:gridCol w:w="515"/>
        <w:gridCol w:w="85"/>
        <w:gridCol w:w="36"/>
        <w:gridCol w:w="36"/>
        <w:gridCol w:w="36"/>
        <w:gridCol w:w="135"/>
        <w:gridCol w:w="365"/>
        <w:gridCol w:w="85"/>
        <w:gridCol w:w="36"/>
        <w:gridCol w:w="36"/>
        <w:gridCol w:w="36"/>
        <w:gridCol w:w="135"/>
        <w:gridCol w:w="365"/>
        <w:gridCol w:w="85"/>
        <w:gridCol w:w="36"/>
        <w:gridCol w:w="36"/>
        <w:gridCol w:w="36"/>
        <w:gridCol w:w="135"/>
        <w:gridCol w:w="365"/>
        <w:gridCol w:w="85"/>
        <w:gridCol w:w="36"/>
        <w:gridCol w:w="36"/>
        <w:gridCol w:w="36"/>
        <w:gridCol w:w="135"/>
        <w:gridCol w:w="515"/>
        <w:gridCol w:w="85"/>
        <w:gridCol w:w="36"/>
        <w:gridCol w:w="36"/>
        <w:gridCol w:w="36"/>
        <w:gridCol w:w="135"/>
        <w:gridCol w:w="515"/>
        <w:gridCol w:w="85"/>
        <w:gridCol w:w="36"/>
        <w:gridCol w:w="36"/>
        <w:gridCol w:w="36"/>
        <w:gridCol w:w="36"/>
        <w:gridCol w:w="36"/>
        <w:gridCol w:w="36"/>
        <w:gridCol w:w="36"/>
        <w:gridCol w:w="36"/>
        <w:gridCol w:w="36"/>
        <w:gridCol w:w="36"/>
        <w:gridCol w:w="36"/>
        <w:gridCol w:w="36"/>
        <w:gridCol w:w="36"/>
        <w:gridCol w:w="36"/>
        <w:gridCol w:w="1046"/>
      </w:tblGrid>
      <w:tr w:rsidR="00000000" w14:paraId="66FF7B47" w14:textId="77777777">
        <w:trPr>
          <w:gridAfter w:val="15"/>
          <w:divId w:val="232744323"/>
          <w:jc w:val="center"/>
        </w:trPr>
        <w:tc>
          <w:tcPr>
            <w:tcW w:w="50" w:type="pct"/>
            <w:vAlign w:val="center"/>
            <w:hideMark/>
          </w:tcPr>
          <w:p w14:paraId="6E4519BC" w14:textId="77777777" w:rsidR="00000000" w:rsidRDefault="00195E73">
            <w:pPr>
              <w:ind w:firstLine="405"/>
              <w:rPr>
                <w:rFonts w:eastAsia="Times New Roman"/>
              </w:rPr>
            </w:pPr>
          </w:p>
        </w:tc>
        <w:tc>
          <w:tcPr>
            <w:tcW w:w="688" w:type="pct"/>
            <w:vAlign w:val="center"/>
            <w:hideMark/>
          </w:tcPr>
          <w:p w14:paraId="6BF920E7" w14:textId="77777777" w:rsidR="00000000" w:rsidRDefault="00195E73">
            <w:pPr>
              <w:rPr>
                <w:rFonts w:eastAsia="Times New Roman"/>
                <w:sz w:val="20"/>
                <w:szCs w:val="20"/>
              </w:rPr>
            </w:pPr>
          </w:p>
        </w:tc>
        <w:tc>
          <w:tcPr>
            <w:tcW w:w="50" w:type="pct"/>
            <w:vAlign w:val="center"/>
            <w:hideMark/>
          </w:tcPr>
          <w:p w14:paraId="4F70356E" w14:textId="77777777" w:rsidR="00000000" w:rsidRDefault="00195E73">
            <w:pPr>
              <w:rPr>
                <w:rFonts w:eastAsia="Times New Roman"/>
                <w:sz w:val="20"/>
                <w:szCs w:val="20"/>
              </w:rPr>
            </w:pPr>
          </w:p>
        </w:tc>
        <w:tc>
          <w:tcPr>
            <w:tcW w:w="50" w:type="pct"/>
            <w:vAlign w:val="center"/>
            <w:hideMark/>
          </w:tcPr>
          <w:p w14:paraId="1EBE8C03" w14:textId="77777777" w:rsidR="00000000" w:rsidRDefault="00195E73">
            <w:pPr>
              <w:rPr>
                <w:rFonts w:eastAsia="Times New Roman"/>
                <w:sz w:val="20"/>
                <w:szCs w:val="20"/>
              </w:rPr>
            </w:pPr>
          </w:p>
        </w:tc>
        <w:tc>
          <w:tcPr>
            <w:tcW w:w="389" w:type="pct"/>
            <w:vAlign w:val="center"/>
            <w:hideMark/>
          </w:tcPr>
          <w:p w14:paraId="0F0E1AC5" w14:textId="77777777" w:rsidR="00000000" w:rsidRDefault="00195E73">
            <w:pPr>
              <w:rPr>
                <w:rFonts w:eastAsia="Times New Roman"/>
                <w:sz w:val="20"/>
                <w:szCs w:val="20"/>
              </w:rPr>
            </w:pPr>
          </w:p>
        </w:tc>
        <w:tc>
          <w:tcPr>
            <w:tcW w:w="50" w:type="pct"/>
            <w:vAlign w:val="center"/>
            <w:hideMark/>
          </w:tcPr>
          <w:p w14:paraId="2B25BC94" w14:textId="77777777" w:rsidR="00000000" w:rsidRDefault="00195E73">
            <w:pPr>
              <w:rPr>
                <w:rFonts w:eastAsia="Times New Roman"/>
                <w:sz w:val="20"/>
                <w:szCs w:val="20"/>
              </w:rPr>
            </w:pPr>
          </w:p>
        </w:tc>
        <w:tc>
          <w:tcPr>
            <w:tcW w:w="5" w:type="pct"/>
            <w:vAlign w:val="center"/>
            <w:hideMark/>
          </w:tcPr>
          <w:p w14:paraId="61C03867" w14:textId="77777777" w:rsidR="00000000" w:rsidRDefault="00195E73">
            <w:pPr>
              <w:rPr>
                <w:rFonts w:eastAsia="Times New Roman"/>
                <w:sz w:val="20"/>
                <w:szCs w:val="20"/>
              </w:rPr>
            </w:pPr>
          </w:p>
        </w:tc>
        <w:tc>
          <w:tcPr>
            <w:tcW w:w="26" w:type="pct"/>
            <w:vAlign w:val="center"/>
            <w:hideMark/>
          </w:tcPr>
          <w:p w14:paraId="2640C1ED" w14:textId="77777777" w:rsidR="00000000" w:rsidRDefault="00195E73">
            <w:pPr>
              <w:rPr>
                <w:rFonts w:eastAsia="Times New Roman"/>
                <w:sz w:val="20"/>
                <w:szCs w:val="20"/>
              </w:rPr>
            </w:pPr>
          </w:p>
        </w:tc>
        <w:tc>
          <w:tcPr>
            <w:tcW w:w="5" w:type="pct"/>
            <w:vAlign w:val="center"/>
            <w:hideMark/>
          </w:tcPr>
          <w:p w14:paraId="1D5C7A44" w14:textId="77777777" w:rsidR="00000000" w:rsidRDefault="00195E73">
            <w:pPr>
              <w:rPr>
                <w:rFonts w:eastAsia="Times New Roman"/>
                <w:sz w:val="20"/>
                <w:szCs w:val="20"/>
              </w:rPr>
            </w:pPr>
          </w:p>
        </w:tc>
        <w:tc>
          <w:tcPr>
            <w:tcW w:w="50" w:type="pct"/>
            <w:vAlign w:val="center"/>
            <w:hideMark/>
          </w:tcPr>
          <w:p w14:paraId="7FCB3C05" w14:textId="77777777" w:rsidR="00000000" w:rsidRDefault="00195E73">
            <w:pPr>
              <w:rPr>
                <w:rFonts w:eastAsia="Times New Roman"/>
                <w:sz w:val="20"/>
                <w:szCs w:val="20"/>
              </w:rPr>
            </w:pPr>
          </w:p>
        </w:tc>
        <w:tc>
          <w:tcPr>
            <w:tcW w:w="389" w:type="pct"/>
            <w:vAlign w:val="center"/>
            <w:hideMark/>
          </w:tcPr>
          <w:p w14:paraId="32CA8A4C" w14:textId="77777777" w:rsidR="00000000" w:rsidRDefault="00195E73">
            <w:pPr>
              <w:rPr>
                <w:rFonts w:eastAsia="Times New Roman"/>
                <w:sz w:val="20"/>
                <w:szCs w:val="20"/>
              </w:rPr>
            </w:pPr>
          </w:p>
        </w:tc>
        <w:tc>
          <w:tcPr>
            <w:tcW w:w="50" w:type="pct"/>
            <w:vAlign w:val="center"/>
            <w:hideMark/>
          </w:tcPr>
          <w:p w14:paraId="1F285077" w14:textId="77777777" w:rsidR="00000000" w:rsidRDefault="00195E73">
            <w:pPr>
              <w:rPr>
                <w:rFonts w:eastAsia="Times New Roman"/>
                <w:sz w:val="20"/>
                <w:szCs w:val="20"/>
              </w:rPr>
            </w:pPr>
          </w:p>
        </w:tc>
        <w:tc>
          <w:tcPr>
            <w:tcW w:w="5" w:type="pct"/>
            <w:vAlign w:val="center"/>
            <w:hideMark/>
          </w:tcPr>
          <w:p w14:paraId="68A3AA50" w14:textId="77777777" w:rsidR="00000000" w:rsidRDefault="00195E73">
            <w:pPr>
              <w:rPr>
                <w:rFonts w:eastAsia="Times New Roman"/>
                <w:sz w:val="20"/>
                <w:szCs w:val="20"/>
              </w:rPr>
            </w:pPr>
          </w:p>
        </w:tc>
        <w:tc>
          <w:tcPr>
            <w:tcW w:w="41" w:type="pct"/>
            <w:vAlign w:val="center"/>
            <w:hideMark/>
          </w:tcPr>
          <w:p w14:paraId="69C9AB08" w14:textId="77777777" w:rsidR="00000000" w:rsidRDefault="00195E73">
            <w:pPr>
              <w:rPr>
                <w:rFonts w:eastAsia="Times New Roman"/>
                <w:sz w:val="20"/>
                <w:szCs w:val="20"/>
              </w:rPr>
            </w:pPr>
          </w:p>
        </w:tc>
        <w:tc>
          <w:tcPr>
            <w:tcW w:w="5" w:type="pct"/>
            <w:vAlign w:val="center"/>
            <w:hideMark/>
          </w:tcPr>
          <w:p w14:paraId="78B3484A" w14:textId="77777777" w:rsidR="00000000" w:rsidRDefault="00195E73">
            <w:pPr>
              <w:rPr>
                <w:rFonts w:eastAsia="Times New Roman"/>
                <w:sz w:val="20"/>
                <w:szCs w:val="20"/>
              </w:rPr>
            </w:pPr>
          </w:p>
        </w:tc>
        <w:tc>
          <w:tcPr>
            <w:tcW w:w="50" w:type="pct"/>
            <w:vAlign w:val="center"/>
            <w:hideMark/>
          </w:tcPr>
          <w:p w14:paraId="10E93ECA" w14:textId="77777777" w:rsidR="00000000" w:rsidRDefault="00195E73">
            <w:pPr>
              <w:rPr>
                <w:rFonts w:eastAsia="Times New Roman"/>
                <w:sz w:val="20"/>
                <w:szCs w:val="20"/>
              </w:rPr>
            </w:pPr>
          </w:p>
        </w:tc>
        <w:tc>
          <w:tcPr>
            <w:tcW w:w="389" w:type="pct"/>
            <w:vAlign w:val="center"/>
            <w:hideMark/>
          </w:tcPr>
          <w:p w14:paraId="5F1A8141" w14:textId="77777777" w:rsidR="00000000" w:rsidRDefault="00195E73">
            <w:pPr>
              <w:rPr>
                <w:rFonts w:eastAsia="Times New Roman"/>
                <w:sz w:val="20"/>
                <w:szCs w:val="20"/>
              </w:rPr>
            </w:pPr>
          </w:p>
        </w:tc>
        <w:tc>
          <w:tcPr>
            <w:tcW w:w="50" w:type="pct"/>
            <w:vAlign w:val="center"/>
            <w:hideMark/>
          </w:tcPr>
          <w:p w14:paraId="16DD8B75" w14:textId="77777777" w:rsidR="00000000" w:rsidRDefault="00195E73">
            <w:pPr>
              <w:rPr>
                <w:rFonts w:eastAsia="Times New Roman"/>
                <w:sz w:val="20"/>
                <w:szCs w:val="20"/>
              </w:rPr>
            </w:pPr>
          </w:p>
        </w:tc>
        <w:tc>
          <w:tcPr>
            <w:tcW w:w="5" w:type="pct"/>
            <w:vAlign w:val="center"/>
            <w:hideMark/>
          </w:tcPr>
          <w:p w14:paraId="4C3BD01C" w14:textId="77777777" w:rsidR="00000000" w:rsidRDefault="00195E73">
            <w:pPr>
              <w:rPr>
                <w:rFonts w:eastAsia="Times New Roman"/>
                <w:sz w:val="20"/>
                <w:szCs w:val="20"/>
              </w:rPr>
            </w:pPr>
          </w:p>
        </w:tc>
        <w:tc>
          <w:tcPr>
            <w:tcW w:w="26" w:type="pct"/>
            <w:vAlign w:val="center"/>
            <w:hideMark/>
          </w:tcPr>
          <w:p w14:paraId="2DAB9C63" w14:textId="77777777" w:rsidR="00000000" w:rsidRDefault="00195E73">
            <w:pPr>
              <w:rPr>
                <w:rFonts w:eastAsia="Times New Roman"/>
                <w:sz w:val="20"/>
                <w:szCs w:val="20"/>
              </w:rPr>
            </w:pPr>
          </w:p>
        </w:tc>
        <w:tc>
          <w:tcPr>
            <w:tcW w:w="5" w:type="pct"/>
            <w:vAlign w:val="center"/>
            <w:hideMark/>
          </w:tcPr>
          <w:p w14:paraId="2B9B501E" w14:textId="77777777" w:rsidR="00000000" w:rsidRDefault="00195E73">
            <w:pPr>
              <w:rPr>
                <w:rFonts w:eastAsia="Times New Roman"/>
                <w:sz w:val="20"/>
                <w:szCs w:val="20"/>
              </w:rPr>
            </w:pPr>
          </w:p>
        </w:tc>
        <w:tc>
          <w:tcPr>
            <w:tcW w:w="50" w:type="pct"/>
            <w:vAlign w:val="center"/>
            <w:hideMark/>
          </w:tcPr>
          <w:p w14:paraId="005D53B0" w14:textId="77777777" w:rsidR="00000000" w:rsidRDefault="00195E73">
            <w:pPr>
              <w:rPr>
                <w:rFonts w:eastAsia="Times New Roman"/>
                <w:sz w:val="20"/>
                <w:szCs w:val="20"/>
              </w:rPr>
            </w:pPr>
          </w:p>
        </w:tc>
        <w:tc>
          <w:tcPr>
            <w:tcW w:w="389" w:type="pct"/>
            <w:vAlign w:val="center"/>
            <w:hideMark/>
          </w:tcPr>
          <w:p w14:paraId="176030AD" w14:textId="77777777" w:rsidR="00000000" w:rsidRDefault="00195E73">
            <w:pPr>
              <w:rPr>
                <w:rFonts w:eastAsia="Times New Roman"/>
                <w:sz w:val="20"/>
                <w:szCs w:val="20"/>
              </w:rPr>
            </w:pPr>
          </w:p>
        </w:tc>
        <w:tc>
          <w:tcPr>
            <w:tcW w:w="50" w:type="pct"/>
            <w:vAlign w:val="center"/>
            <w:hideMark/>
          </w:tcPr>
          <w:p w14:paraId="603816FE" w14:textId="77777777" w:rsidR="00000000" w:rsidRDefault="00195E73">
            <w:pPr>
              <w:rPr>
                <w:rFonts w:eastAsia="Times New Roman"/>
                <w:sz w:val="20"/>
                <w:szCs w:val="20"/>
              </w:rPr>
            </w:pPr>
          </w:p>
        </w:tc>
        <w:tc>
          <w:tcPr>
            <w:tcW w:w="5" w:type="pct"/>
            <w:vAlign w:val="center"/>
            <w:hideMark/>
          </w:tcPr>
          <w:p w14:paraId="62D6F4AE" w14:textId="77777777" w:rsidR="00000000" w:rsidRDefault="00195E73">
            <w:pPr>
              <w:rPr>
                <w:rFonts w:eastAsia="Times New Roman"/>
                <w:sz w:val="20"/>
                <w:szCs w:val="20"/>
              </w:rPr>
            </w:pPr>
          </w:p>
        </w:tc>
        <w:tc>
          <w:tcPr>
            <w:tcW w:w="41" w:type="pct"/>
            <w:vAlign w:val="center"/>
            <w:hideMark/>
          </w:tcPr>
          <w:p w14:paraId="6B75A487" w14:textId="77777777" w:rsidR="00000000" w:rsidRDefault="00195E73">
            <w:pPr>
              <w:rPr>
                <w:rFonts w:eastAsia="Times New Roman"/>
                <w:sz w:val="20"/>
                <w:szCs w:val="20"/>
              </w:rPr>
            </w:pPr>
          </w:p>
        </w:tc>
        <w:tc>
          <w:tcPr>
            <w:tcW w:w="5" w:type="pct"/>
            <w:vAlign w:val="center"/>
            <w:hideMark/>
          </w:tcPr>
          <w:p w14:paraId="1B35CFC6" w14:textId="77777777" w:rsidR="00000000" w:rsidRDefault="00195E73">
            <w:pPr>
              <w:rPr>
                <w:rFonts w:eastAsia="Times New Roman"/>
                <w:sz w:val="20"/>
                <w:szCs w:val="20"/>
              </w:rPr>
            </w:pPr>
          </w:p>
        </w:tc>
        <w:tc>
          <w:tcPr>
            <w:tcW w:w="50" w:type="pct"/>
            <w:vAlign w:val="center"/>
            <w:hideMark/>
          </w:tcPr>
          <w:p w14:paraId="7A7094CD" w14:textId="77777777" w:rsidR="00000000" w:rsidRDefault="00195E73">
            <w:pPr>
              <w:rPr>
                <w:rFonts w:eastAsia="Times New Roman"/>
                <w:sz w:val="20"/>
                <w:szCs w:val="20"/>
              </w:rPr>
            </w:pPr>
          </w:p>
        </w:tc>
        <w:tc>
          <w:tcPr>
            <w:tcW w:w="389" w:type="pct"/>
            <w:vAlign w:val="center"/>
            <w:hideMark/>
          </w:tcPr>
          <w:p w14:paraId="4C096D50" w14:textId="77777777" w:rsidR="00000000" w:rsidRDefault="00195E73">
            <w:pPr>
              <w:rPr>
                <w:rFonts w:eastAsia="Times New Roman"/>
                <w:sz w:val="20"/>
                <w:szCs w:val="20"/>
              </w:rPr>
            </w:pPr>
          </w:p>
        </w:tc>
        <w:tc>
          <w:tcPr>
            <w:tcW w:w="50" w:type="pct"/>
            <w:vAlign w:val="center"/>
            <w:hideMark/>
          </w:tcPr>
          <w:p w14:paraId="20B3852F" w14:textId="77777777" w:rsidR="00000000" w:rsidRDefault="00195E73">
            <w:pPr>
              <w:rPr>
                <w:rFonts w:eastAsia="Times New Roman"/>
                <w:sz w:val="20"/>
                <w:szCs w:val="20"/>
              </w:rPr>
            </w:pPr>
          </w:p>
        </w:tc>
        <w:tc>
          <w:tcPr>
            <w:tcW w:w="5" w:type="pct"/>
            <w:vAlign w:val="center"/>
            <w:hideMark/>
          </w:tcPr>
          <w:p w14:paraId="22091DDD" w14:textId="77777777" w:rsidR="00000000" w:rsidRDefault="00195E73">
            <w:pPr>
              <w:rPr>
                <w:rFonts w:eastAsia="Times New Roman"/>
                <w:sz w:val="20"/>
                <w:szCs w:val="20"/>
              </w:rPr>
            </w:pPr>
          </w:p>
        </w:tc>
        <w:tc>
          <w:tcPr>
            <w:tcW w:w="26" w:type="pct"/>
            <w:vAlign w:val="center"/>
            <w:hideMark/>
          </w:tcPr>
          <w:p w14:paraId="52CB6D31" w14:textId="77777777" w:rsidR="00000000" w:rsidRDefault="00195E73">
            <w:pPr>
              <w:rPr>
                <w:rFonts w:eastAsia="Times New Roman"/>
                <w:sz w:val="20"/>
                <w:szCs w:val="20"/>
              </w:rPr>
            </w:pPr>
          </w:p>
        </w:tc>
        <w:tc>
          <w:tcPr>
            <w:tcW w:w="5" w:type="pct"/>
            <w:vAlign w:val="center"/>
            <w:hideMark/>
          </w:tcPr>
          <w:p w14:paraId="6128DCB2" w14:textId="77777777" w:rsidR="00000000" w:rsidRDefault="00195E73">
            <w:pPr>
              <w:rPr>
                <w:rFonts w:eastAsia="Times New Roman"/>
                <w:sz w:val="20"/>
                <w:szCs w:val="20"/>
              </w:rPr>
            </w:pPr>
          </w:p>
        </w:tc>
        <w:tc>
          <w:tcPr>
            <w:tcW w:w="50" w:type="pct"/>
            <w:vAlign w:val="center"/>
            <w:hideMark/>
          </w:tcPr>
          <w:p w14:paraId="77A78814" w14:textId="77777777" w:rsidR="00000000" w:rsidRDefault="00195E73">
            <w:pPr>
              <w:rPr>
                <w:rFonts w:eastAsia="Times New Roman"/>
                <w:sz w:val="20"/>
                <w:szCs w:val="20"/>
              </w:rPr>
            </w:pPr>
          </w:p>
        </w:tc>
        <w:tc>
          <w:tcPr>
            <w:tcW w:w="389" w:type="pct"/>
            <w:vAlign w:val="center"/>
            <w:hideMark/>
          </w:tcPr>
          <w:p w14:paraId="711C6B49" w14:textId="77777777" w:rsidR="00000000" w:rsidRDefault="00195E73">
            <w:pPr>
              <w:rPr>
                <w:rFonts w:eastAsia="Times New Roman"/>
                <w:sz w:val="20"/>
                <w:szCs w:val="20"/>
              </w:rPr>
            </w:pPr>
          </w:p>
        </w:tc>
        <w:tc>
          <w:tcPr>
            <w:tcW w:w="50" w:type="pct"/>
            <w:vAlign w:val="center"/>
            <w:hideMark/>
          </w:tcPr>
          <w:p w14:paraId="6A4CD1D1" w14:textId="77777777" w:rsidR="00000000" w:rsidRDefault="00195E73">
            <w:pPr>
              <w:rPr>
                <w:rFonts w:eastAsia="Times New Roman"/>
                <w:sz w:val="20"/>
                <w:szCs w:val="20"/>
              </w:rPr>
            </w:pPr>
          </w:p>
        </w:tc>
        <w:tc>
          <w:tcPr>
            <w:tcW w:w="5" w:type="pct"/>
            <w:vAlign w:val="center"/>
            <w:hideMark/>
          </w:tcPr>
          <w:p w14:paraId="201A3A56" w14:textId="77777777" w:rsidR="00000000" w:rsidRDefault="00195E73">
            <w:pPr>
              <w:rPr>
                <w:rFonts w:eastAsia="Times New Roman"/>
                <w:sz w:val="20"/>
                <w:szCs w:val="20"/>
              </w:rPr>
            </w:pPr>
          </w:p>
        </w:tc>
        <w:tc>
          <w:tcPr>
            <w:tcW w:w="26" w:type="pct"/>
            <w:vAlign w:val="center"/>
            <w:hideMark/>
          </w:tcPr>
          <w:p w14:paraId="293CAEF0" w14:textId="77777777" w:rsidR="00000000" w:rsidRDefault="00195E73">
            <w:pPr>
              <w:rPr>
                <w:rFonts w:eastAsia="Times New Roman"/>
                <w:sz w:val="20"/>
                <w:szCs w:val="20"/>
              </w:rPr>
            </w:pPr>
          </w:p>
        </w:tc>
        <w:tc>
          <w:tcPr>
            <w:tcW w:w="5" w:type="pct"/>
            <w:vAlign w:val="center"/>
            <w:hideMark/>
          </w:tcPr>
          <w:p w14:paraId="181001C9" w14:textId="77777777" w:rsidR="00000000" w:rsidRDefault="00195E73">
            <w:pPr>
              <w:rPr>
                <w:rFonts w:eastAsia="Times New Roman"/>
                <w:sz w:val="20"/>
                <w:szCs w:val="20"/>
              </w:rPr>
            </w:pPr>
          </w:p>
        </w:tc>
        <w:tc>
          <w:tcPr>
            <w:tcW w:w="50" w:type="pct"/>
            <w:vAlign w:val="center"/>
            <w:hideMark/>
          </w:tcPr>
          <w:p w14:paraId="39213245" w14:textId="77777777" w:rsidR="00000000" w:rsidRDefault="00195E73">
            <w:pPr>
              <w:rPr>
                <w:rFonts w:eastAsia="Times New Roman"/>
                <w:sz w:val="20"/>
                <w:szCs w:val="20"/>
              </w:rPr>
            </w:pPr>
          </w:p>
        </w:tc>
        <w:tc>
          <w:tcPr>
            <w:tcW w:w="389" w:type="pct"/>
            <w:vAlign w:val="center"/>
            <w:hideMark/>
          </w:tcPr>
          <w:p w14:paraId="49924806" w14:textId="77777777" w:rsidR="00000000" w:rsidRDefault="00195E73">
            <w:pPr>
              <w:rPr>
                <w:rFonts w:eastAsia="Times New Roman"/>
                <w:sz w:val="20"/>
                <w:szCs w:val="20"/>
              </w:rPr>
            </w:pPr>
          </w:p>
        </w:tc>
        <w:tc>
          <w:tcPr>
            <w:tcW w:w="50" w:type="pct"/>
            <w:vAlign w:val="center"/>
            <w:hideMark/>
          </w:tcPr>
          <w:p w14:paraId="0BE1E88C" w14:textId="77777777" w:rsidR="00000000" w:rsidRDefault="00195E73">
            <w:pPr>
              <w:rPr>
                <w:rFonts w:eastAsia="Times New Roman"/>
                <w:sz w:val="20"/>
                <w:szCs w:val="20"/>
              </w:rPr>
            </w:pPr>
          </w:p>
        </w:tc>
        <w:tc>
          <w:tcPr>
            <w:tcW w:w="5" w:type="pct"/>
            <w:vAlign w:val="center"/>
            <w:hideMark/>
          </w:tcPr>
          <w:p w14:paraId="74A2F894" w14:textId="77777777" w:rsidR="00000000" w:rsidRDefault="00195E73">
            <w:pPr>
              <w:rPr>
                <w:rFonts w:eastAsia="Times New Roman"/>
                <w:sz w:val="20"/>
                <w:szCs w:val="20"/>
              </w:rPr>
            </w:pPr>
          </w:p>
        </w:tc>
        <w:tc>
          <w:tcPr>
            <w:tcW w:w="41" w:type="pct"/>
            <w:vAlign w:val="center"/>
            <w:hideMark/>
          </w:tcPr>
          <w:p w14:paraId="2B274F09" w14:textId="77777777" w:rsidR="00000000" w:rsidRDefault="00195E73">
            <w:pPr>
              <w:rPr>
                <w:rFonts w:eastAsia="Times New Roman"/>
                <w:sz w:val="20"/>
                <w:szCs w:val="20"/>
              </w:rPr>
            </w:pPr>
          </w:p>
        </w:tc>
        <w:tc>
          <w:tcPr>
            <w:tcW w:w="5" w:type="pct"/>
            <w:vAlign w:val="center"/>
            <w:hideMark/>
          </w:tcPr>
          <w:p w14:paraId="1E0FDD1F" w14:textId="77777777" w:rsidR="00000000" w:rsidRDefault="00195E73">
            <w:pPr>
              <w:rPr>
                <w:rFonts w:eastAsia="Times New Roman"/>
                <w:sz w:val="20"/>
                <w:szCs w:val="20"/>
              </w:rPr>
            </w:pPr>
          </w:p>
        </w:tc>
        <w:tc>
          <w:tcPr>
            <w:tcW w:w="50" w:type="pct"/>
            <w:vAlign w:val="center"/>
            <w:hideMark/>
          </w:tcPr>
          <w:p w14:paraId="61A2A15C" w14:textId="77777777" w:rsidR="00000000" w:rsidRDefault="00195E73">
            <w:pPr>
              <w:rPr>
                <w:rFonts w:eastAsia="Times New Roman"/>
                <w:sz w:val="20"/>
                <w:szCs w:val="20"/>
              </w:rPr>
            </w:pPr>
          </w:p>
        </w:tc>
        <w:tc>
          <w:tcPr>
            <w:tcW w:w="389" w:type="pct"/>
            <w:vAlign w:val="center"/>
            <w:hideMark/>
          </w:tcPr>
          <w:p w14:paraId="371541FB" w14:textId="77777777" w:rsidR="00000000" w:rsidRDefault="00195E73">
            <w:pPr>
              <w:rPr>
                <w:rFonts w:eastAsia="Times New Roman"/>
                <w:sz w:val="20"/>
                <w:szCs w:val="20"/>
              </w:rPr>
            </w:pPr>
          </w:p>
        </w:tc>
        <w:tc>
          <w:tcPr>
            <w:tcW w:w="50" w:type="pct"/>
            <w:vAlign w:val="center"/>
            <w:hideMark/>
          </w:tcPr>
          <w:p w14:paraId="459101D1" w14:textId="77777777" w:rsidR="00000000" w:rsidRDefault="00195E73">
            <w:pPr>
              <w:rPr>
                <w:rFonts w:eastAsia="Times New Roman"/>
                <w:sz w:val="20"/>
                <w:szCs w:val="20"/>
              </w:rPr>
            </w:pPr>
          </w:p>
        </w:tc>
      </w:tr>
      <w:tr w:rsidR="00000000" w14:paraId="31A49DC1" w14:textId="77777777">
        <w:trPr>
          <w:divId w:val="232744323"/>
          <w:jc w:val="center"/>
        </w:trPr>
        <w:tc>
          <w:tcPr>
            <w:tcW w:w="0" w:type="auto"/>
            <w:gridSpan w:val="3"/>
            <w:tcMar>
              <w:top w:w="15" w:type="dxa"/>
              <w:left w:w="20" w:type="dxa"/>
              <w:bottom w:w="15" w:type="dxa"/>
              <w:right w:w="20" w:type="dxa"/>
            </w:tcMar>
            <w:vAlign w:val="bottom"/>
            <w:hideMark/>
          </w:tcPr>
          <w:p w14:paraId="72293027" w14:textId="77777777" w:rsidR="00000000" w:rsidRDefault="00195E73">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31292E72" w14:textId="77777777" w:rsidR="00000000" w:rsidRDefault="00195E73">
            <w:pPr>
              <w:jc w:val="center"/>
              <w:rPr>
                <w:rFonts w:eastAsia="Times New Roman"/>
              </w:rPr>
            </w:pPr>
            <w:r>
              <w:rPr>
                <w:rFonts w:eastAsia="Times New Roman"/>
                <w:b/>
                <w:bCs/>
                <w:color w:val="000000"/>
                <w:sz w:val="20"/>
                <w:szCs w:val="20"/>
              </w:rPr>
              <w:t>Net Sale</w:t>
            </w:r>
            <w:r>
              <w:rPr>
                <w:rFonts w:eastAsia="Times New Roman"/>
                <w:b/>
                <w:bCs/>
                <w:color w:val="000000"/>
                <w:sz w:val="20"/>
                <w:szCs w:val="20"/>
              </w:rPr>
              <w:t>s</w:t>
            </w:r>
          </w:p>
        </w:tc>
        <w:tc>
          <w:tcPr>
            <w:tcW w:w="0" w:type="auto"/>
            <w:gridSpan w:val="3"/>
            <w:vAlign w:val="center"/>
            <w:hideMark/>
          </w:tcPr>
          <w:p w14:paraId="13E7A302" w14:textId="77777777" w:rsidR="00000000" w:rsidRDefault="00195E73">
            <w:pPr>
              <w:jc w:val="center"/>
              <w:rPr>
                <w:rFonts w:eastAsia="Times New Roman"/>
              </w:rPr>
            </w:pPr>
          </w:p>
        </w:tc>
        <w:tc>
          <w:tcPr>
            <w:tcW w:w="0" w:type="auto"/>
            <w:gridSpan w:val="3"/>
            <w:vAlign w:val="center"/>
            <w:hideMark/>
          </w:tcPr>
          <w:p w14:paraId="3865442A" w14:textId="77777777" w:rsidR="00000000" w:rsidRDefault="00195E73">
            <w:pPr>
              <w:rPr>
                <w:rFonts w:eastAsia="Times New Roman"/>
                <w:sz w:val="20"/>
                <w:szCs w:val="20"/>
              </w:rPr>
            </w:pPr>
          </w:p>
        </w:tc>
        <w:tc>
          <w:tcPr>
            <w:tcW w:w="0" w:type="auto"/>
            <w:gridSpan w:val="3"/>
            <w:vAlign w:val="center"/>
            <w:hideMark/>
          </w:tcPr>
          <w:p w14:paraId="1FF4E131" w14:textId="77777777" w:rsidR="00000000" w:rsidRDefault="00195E73">
            <w:pPr>
              <w:rPr>
                <w:rFonts w:eastAsia="Times New Roman"/>
                <w:sz w:val="20"/>
                <w:szCs w:val="20"/>
              </w:rPr>
            </w:pPr>
          </w:p>
        </w:tc>
        <w:tc>
          <w:tcPr>
            <w:tcW w:w="0" w:type="auto"/>
            <w:gridSpan w:val="3"/>
            <w:vAlign w:val="center"/>
            <w:hideMark/>
          </w:tcPr>
          <w:p w14:paraId="106FD7CA"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DB622B2" w14:textId="77777777" w:rsidR="00000000" w:rsidRDefault="00195E73">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3F5DD6FD" w14:textId="77777777" w:rsidR="00000000" w:rsidRDefault="00195E73">
            <w:pPr>
              <w:jc w:val="center"/>
              <w:rPr>
                <w:rFonts w:eastAsia="Times New Roman"/>
              </w:rPr>
            </w:pPr>
            <w:r>
              <w:rPr>
                <w:rFonts w:eastAsia="Times New Roman"/>
                <w:b/>
                <w:bCs/>
                <w:color w:val="000000"/>
                <w:sz w:val="20"/>
                <w:szCs w:val="20"/>
              </w:rPr>
              <w:t>Other Revenues From Operation</w:t>
            </w:r>
            <w:r>
              <w:rPr>
                <w:rFonts w:eastAsia="Times New Roman"/>
                <w:b/>
                <w:bCs/>
                <w:color w:val="000000"/>
                <w:sz w:val="20"/>
                <w:szCs w:val="20"/>
              </w:rPr>
              <w:t>s</w:t>
            </w:r>
          </w:p>
        </w:tc>
        <w:tc>
          <w:tcPr>
            <w:tcW w:w="0" w:type="auto"/>
            <w:gridSpan w:val="3"/>
            <w:vAlign w:val="center"/>
            <w:hideMark/>
          </w:tcPr>
          <w:p w14:paraId="0E0D76F6" w14:textId="77777777" w:rsidR="00000000" w:rsidRDefault="00195E73">
            <w:pPr>
              <w:jc w:val="center"/>
              <w:rPr>
                <w:rFonts w:eastAsia="Times New Roman"/>
              </w:rPr>
            </w:pPr>
          </w:p>
        </w:tc>
        <w:tc>
          <w:tcPr>
            <w:tcW w:w="0" w:type="auto"/>
            <w:gridSpan w:val="3"/>
            <w:vAlign w:val="center"/>
            <w:hideMark/>
          </w:tcPr>
          <w:p w14:paraId="3599870C" w14:textId="77777777" w:rsidR="00000000" w:rsidRDefault="00195E73">
            <w:pPr>
              <w:rPr>
                <w:rFonts w:eastAsia="Times New Roman"/>
                <w:sz w:val="20"/>
                <w:szCs w:val="20"/>
              </w:rPr>
            </w:pPr>
          </w:p>
        </w:tc>
        <w:tc>
          <w:tcPr>
            <w:tcW w:w="0" w:type="auto"/>
            <w:gridSpan w:val="3"/>
            <w:vAlign w:val="center"/>
            <w:hideMark/>
          </w:tcPr>
          <w:p w14:paraId="5DDE9C5E" w14:textId="77777777" w:rsidR="00000000" w:rsidRDefault="00195E73">
            <w:pPr>
              <w:rPr>
                <w:rFonts w:eastAsia="Times New Roman"/>
                <w:sz w:val="20"/>
                <w:szCs w:val="20"/>
              </w:rPr>
            </w:pPr>
          </w:p>
        </w:tc>
        <w:tc>
          <w:tcPr>
            <w:tcW w:w="0" w:type="auto"/>
            <w:gridSpan w:val="3"/>
            <w:vAlign w:val="center"/>
            <w:hideMark/>
          </w:tcPr>
          <w:p w14:paraId="4021A727" w14:textId="77777777" w:rsidR="00000000" w:rsidRDefault="00195E73">
            <w:pPr>
              <w:rPr>
                <w:rFonts w:eastAsia="Times New Roman"/>
                <w:sz w:val="20"/>
                <w:szCs w:val="20"/>
              </w:rPr>
            </w:pPr>
          </w:p>
        </w:tc>
        <w:tc>
          <w:tcPr>
            <w:tcW w:w="0" w:type="auto"/>
            <w:gridSpan w:val="2"/>
            <w:tcMar>
              <w:top w:w="15" w:type="dxa"/>
              <w:left w:w="20" w:type="dxa"/>
              <w:bottom w:w="15" w:type="dxa"/>
              <w:right w:w="20" w:type="dxa"/>
            </w:tcMar>
            <w:vAlign w:val="bottom"/>
            <w:hideMark/>
          </w:tcPr>
          <w:p w14:paraId="6616574F" w14:textId="77777777" w:rsidR="00000000" w:rsidRDefault="00195E73">
            <w:pPr>
              <w:rPr>
                <w:rFonts w:eastAsia="Times New Roman"/>
                <w:sz w:val="20"/>
                <w:szCs w:val="20"/>
              </w:rPr>
            </w:pPr>
          </w:p>
        </w:tc>
        <w:tc>
          <w:tcPr>
            <w:tcW w:w="0" w:type="auto"/>
            <w:tcBorders>
              <w:bottom w:val="single" w:sz="8" w:space="0" w:color="000000"/>
            </w:tcBorders>
            <w:tcMar>
              <w:top w:w="30" w:type="dxa"/>
              <w:left w:w="20" w:type="dxa"/>
              <w:bottom w:w="30" w:type="dxa"/>
              <w:right w:w="20" w:type="dxa"/>
            </w:tcMar>
            <w:vAlign w:val="bottom"/>
            <w:hideMark/>
          </w:tcPr>
          <w:p w14:paraId="0220713B" w14:textId="77777777" w:rsidR="00000000" w:rsidRDefault="00195E73">
            <w:pPr>
              <w:jc w:val="center"/>
              <w:rPr>
                <w:rFonts w:eastAsia="Times New Roman"/>
              </w:rPr>
            </w:pPr>
            <w:r>
              <w:rPr>
                <w:rFonts w:eastAsia="Times New Roman"/>
                <w:b/>
                <w:bCs/>
                <w:color w:val="000000"/>
                <w:sz w:val="20"/>
                <w:szCs w:val="20"/>
              </w:rPr>
              <w:t>Property, Plant and Equipment, Ne</w:t>
            </w:r>
            <w:r>
              <w:rPr>
                <w:rFonts w:eastAsia="Times New Roman"/>
                <w:b/>
                <w:bCs/>
                <w:color w:val="000000"/>
                <w:sz w:val="20"/>
                <w:szCs w:val="20"/>
              </w:rPr>
              <w:t>t</w:t>
            </w:r>
          </w:p>
        </w:tc>
      </w:tr>
      <w:tr w:rsidR="00000000" w14:paraId="2A2E7B2D" w14:textId="77777777">
        <w:trPr>
          <w:divId w:val="232744323"/>
          <w:jc w:val="center"/>
        </w:trPr>
        <w:tc>
          <w:tcPr>
            <w:tcW w:w="0" w:type="auto"/>
            <w:gridSpan w:val="3"/>
            <w:tcMar>
              <w:top w:w="15" w:type="dxa"/>
              <w:left w:w="20" w:type="dxa"/>
              <w:bottom w:w="15" w:type="dxa"/>
              <w:right w:w="20" w:type="dxa"/>
            </w:tcMar>
            <w:vAlign w:val="bottom"/>
            <w:hideMark/>
          </w:tcPr>
          <w:p w14:paraId="1344CD3C"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182324A"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0AD02344" w14:textId="77777777" w:rsidR="00000000" w:rsidRDefault="00195E73">
            <w:pPr>
              <w:jc w:val="center"/>
              <w:rPr>
                <w:rFonts w:eastAsia="Times New Roman"/>
              </w:rPr>
            </w:pPr>
          </w:p>
        </w:tc>
        <w:tc>
          <w:tcPr>
            <w:tcW w:w="0" w:type="auto"/>
            <w:gridSpan w:val="3"/>
            <w:vAlign w:val="center"/>
            <w:hideMark/>
          </w:tcPr>
          <w:p w14:paraId="6DE5AE22" w14:textId="77777777" w:rsidR="00000000" w:rsidRDefault="00195E73">
            <w:pPr>
              <w:rPr>
                <w:rFonts w:eastAsia="Times New Roman"/>
                <w:sz w:val="20"/>
                <w:szCs w:val="20"/>
              </w:rPr>
            </w:pPr>
          </w:p>
        </w:tc>
        <w:tc>
          <w:tcPr>
            <w:tcW w:w="0" w:type="auto"/>
            <w:gridSpan w:val="3"/>
            <w:vAlign w:val="center"/>
            <w:hideMark/>
          </w:tcPr>
          <w:p w14:paraId="1F5644AA" w14:textId="77777777" w:rsidR="00000000" w:rsidRDefault="00195E73">
            <w:pPr>
              <w:rPr>
                <w:rFonts w:eastAsia="Times New Roman"/>
                <w:sz w:val="20"/>
                <w:szCs w:val="20"/>
              </w:rPr>
            </w:pPr>
          </w:p>
        </w:tc>
        <w:tc>
          <w:tcPr>
            <w:tcW w:w="0" w:type="auto"/>
            <w:gridSpan w:val="3"/>
            <w:vAlign w:val="center"/>
            <w:hideMark/>
          </w:tcPr>
          <w:p w14:paraId="4B95006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E3D56AC" w14:textId="77777777" w:rsidR="00000000" w:rsidRDefault="00195E73">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0232C381"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7082D61F" w14:textId="77777777" w:rsidR="00000000" w:rsidRDefault="00195E73">
            <w:pPr>
              <w:jc w:val="center"/>
              <w:rPr>
                <w:rFonts w:eastAsia="Times New Roman"/>
              </w:rPr>
            </w:pPr>
          </w:p>
        </w:tc>
        <w:tc>
          <w:tcPr>
            <w:tcW w:w="0" w:type="auto"/>
            <w:gridSpan w:val="3"/>
            <w:vAlign w:val="center"/>
            <w:hideMark/>
          </w:tcPr>
          <w:p w14:paraId="665D4E2F" w14:textId="77777777" w:rsidR="00000000" w:rsidRDefault="00195E73">
            <w:pPr>
              <w:rPr>
                <w:rFonts w:eastAsia="Times New Roman"/>
                <w:sz w:val="20"/>
                <w:szCs w:val="20"/>
              </w:rPr>
            </w:pPr>
          </w:p>
        </w:tc>
        <w:tc>
          <w:tcPr>
            <w:tcW w:w="0" w:type="auto"/>
            <w:gridSpan w:val="3"/>
            <w:vAlign w:val="center"/>
            <w:hideMark/>
          </w:tcPr>
          <w:p w14:paraId="248D59A3" w14:textId="77777777" w:rsidR="00000000" w:rsidRDefault="00195E73">
            <w:pPr>
              <w:rPr>
                <w:rFonts w:eastAsia="Times New Roman"/>
                <w:sz w:val="20"/>
                <w:szCs w:val="20"/>
              </w:rPr>
            </w:pPr>
          </w:p>
        </w:tc>
        <w:tc>
          <w:tcPr>
            <w:tcW w:w="0" w:type="auto"/>
            <w:gridSpan w:val="3"/>
            <w:vAlign w:val="center"/>
            <w:hideMark/>
          </w:tcPr>
          <w:p w14:paraId="5DB47FA8" w14:textId="77777777" w:rsidR="00000000" w:rsidRDefault="00195E73">
            <w:pPr>
              <w:rPr>
                <w:rFonts w:eastAsia="Times New Roman"/>
                <w:sz w:val="20"/>
                <w:szCs w:val="20"/>
              </w:rPr>
            </w:pPr>
          </w:p>
        </w:tc>
        <w:tc>
          <w:tcPr>
            <w:tcW w:w="0" w:type="auto"/>
            <w:gridSpan w:val="2"/>
            <w:tcMar>
              <w:top w:w="15" w:type="dxa"/>
              <w:left w:w="20" w:type="dxa"/>
              <w:bottom w:w="15" w:type="dxa"/>
              <w:right w:w="20" w:type="dxa"/>
            </w:tcMar>
            <w:vAlign w:val="bottom"/>
            <w:hideMark/>
          </w:tcPr>
          <w:p w14:paraId="709227C5" w14:textId="77777777" w:rsidR="00000000" w:rsidRDefault="00195E73">
            <w:pPr>
              <w:rPr>
                <w:rFonts w:eastAsia="Times New Roman"/>
                <w:sz w:val="20"/>
                <w:szCs w:val="20"/>
              </w:rPr>
            </w:pPr>
          </w:p>
        </w:tc>
        <w:tc>
          <w:tcPr>
            <w:tcW w:w="0" w:type="auto"/>
            <w:tcBorders>
              <w:top w:val="single" w:sz="8" w:space="0" w:color="000000"/>
            </w:tcBorders>
            <w:tcMar>
              <w:top w:w="30" w:type="dxa"/>
              <w:left w:w="20" w:type="dxa"/>
              <w:bottom w:w="30" w:type="dxa"/>
              <w:right w:w="20" w:type="dxa"/>
            </w:tcMar>
            <w:vAlign w:val="bottom"/>
            <w:hideMark/>
          </w:tcPr>
          <w:p w14:paraId="320CA54E"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r>
      <w:tr w:rsidR="00000000" w14:paraId="0ABACE6C" w14:textId="77777777">
        <w:trPr>
          <w:divId w:val="232744323"/>
          <w:jc w:val="center"/>
        </w:trPr>
        <w:tc>
          <w:tcPr>
            <w:tcW w:w="0" w:type="auto"/>
            <w:gridSpan w:val="3"/>
            <w:tcMar>
              <w:top w:w="15" w:type="dxa"/>
              <w:left w:w="20" w:type="dxa"/>
              <w:bottom w:w="15" w:type="dxa"/>
              <w:right w:w="20" w:type="dxa"/>
            </w:tcMar>
            <w:vAlign w:val="bottom"/>
            <w:hideMark/>
          </w:tcPr>
          <w:p w14:paraId="54383F05"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D67C36"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1B67CB7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F5F96F"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326F09AA"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8D29FCA"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gridSpan w:val="3"/>
            <w:tcMar>
              <w:top w:w="15" w:type="dxa"/>
              <w:left w:w="20" w:type="dxa"/>
              <w:bottom w:w="15" w:type="dxa"/>
              <w:right w:w="20" w:type="dxa"/>
            </w:tcMar>
            <w:vAlign w:val="bottom"/>
            <w:hideMark/>
          </w:tcPr>
          <w:p w14:paraId="7348EAD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F66078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183AD222"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39C15E7"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3601178F"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2F19E37"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gridSpan w:val="3"/>
            <w:tcMar>
              <w:top w:w="15" w:type="dxa"/>
              <w:left w:w="20" w:type="dxa"/>
              <w:bottom w:w="15" w:type="dxa"/>
              <w:right w:w="20" w:type="dxa"/>
            </w:tcMar>
            <w:vAlign w:val="bottom"/>
            <w:hideMark/>
          </w:tcPr>
          <w:p w14:paraId="6A4F98F1"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AAB4426"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67621D2D"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A062A1B"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198A10B9" w14:textId="77777777" w:rsidR="00000000" w:rsidRDefault="00195E73">
            <w:pPr>
              <w:rPr>
                <w:rFonts w:eastAsia="Times New Roman"/>
                <w:sz w:val="20"/>
                <w:szCs w:val="20"/>
              </w:rPr>
            </w:pPr>
          </w:p>
        </w:tc>
        <w:tc>
          <w:tcPr>
            <w:tcW w:w="0" w:type="auto"/>
            <w:vAlign w:val="center"/>
            <w:hideMark/>
          </w:tcPr>
          <w:p w14:paraId="60B0448C" w14:textId="77777777" w:rsidR="00000000" w:rsidRDefault="00195E73">
            <w:pPr>
              <w:rPr>
                <w:rFonts w:eastAsia="Times New Roman"/>
                <w:sz w:val="20"/>
                <w:szCs w:val="20"/>
              </w:rPr>
            </w:pPr>
          </w:p>
        </w:tc>
        <w:tc>
          <w:tcPr>
            <w:tcW w:w="0" w:type="auto"/>
            <w:vAlign w:val="center"/>
            <w:hideMark/>
          </w:tcPr>
          <w:p w14:paraId="6542A9AA" w14:textId="77777777" w:rsidR="00000000" w:rsidRDefault="00195E73">
            <w:pPr>
              <w:rPr>
                <w:rFonts w:eastAsia="Times New Roman"/>
                <w:sz w:val="20"/>
                <w:szCs w:val="20"/>
              </w:rPr>
            </w:pPr>
          </w:p>
        </w:tc>
        <w:tc>
          <w:tcPr>
            <w:tcW w:w="0" w:type="auto"/>
            <w:vAlign w:val="center"/>
            <w:hideMark/>
          </w:tcPr>
          <w:p w14:paraId="4973D3CC" w14:textId="77777777" w:rsidR="00000000" w:rsidRDefault="00195E73">
            <w:pPr>
              <w:rPr>
                <w:rFonts w:eastAsia="Times New Roman"/>
                <w:sz w:val="20"/>
                <w:szCs w:val="20"/>
              </w:rPr>
            </w:pPr>
          </w:p>
        </w:tc>
        <w:tc>
          <w:tcPr>
            <w:tcW w:w="0" w:type="auto"/>
            <w:vAlign w:val="center"/>
            <w:hideMark/>
          </w:tcPr>
          <w:p w14:paraId="7B91084E" w14:textId="77777777" w:rsidR="00000000" w:rsidRDefault="00195E73">
            <w:pPr>
              <w:rPr>
                <w:rFonts w:eastAsia="Times New Roman"/>
                <w:sz w:val="20"/>
                <w:szCs w:val="20"/>
              </w:rPr>
            </w:pPr>
          </w:p>
        </w:tc>
        <w:tc>
          <w:tcPr>
            <w:tcW w:w="0" w:type="auto"/>
            <w:vAlign w:val="center"/>
            <w:hideMark/>
          </w:tcPr>
          <w:p w14:paraId="05F89851" w14:textId="77777777" w:rsidR="00000000" w:rsidRDefault="00195E73">
            <w:pPr>
              <w:rPr>
                <w:rFonts w:eastAsia="Times New Roman"/>
                <w:sz w:val="20"/>
                <w:szCs w:val="20"/>
              </w:rPr>
            </w:pPr>
          </w:p>
        </w:tc>
        <w:tc>
          <w:tcPr>
            <w:tcW w:w="0" w:type="auto"/>
            <w:vAlign w:val="center"/>
            <w:hideMark/>
          </w:tcPr>
          <w:p w14:paraId="2CF81832" w14:textId="77777777" w:rsidR="00000000" w:rsidRDefault="00195E73">
            <w:pPr>
              <w:rPr>
                <w:rFonts w:eastAsia="Times New Roman"/>
                <w:sz w:val="20"/>
                <w:szCs w:val="20"/>
              </w:rPr>
            </w:pPr>
          </w:p>
        </w:tc>
        <w:tc>
          <w:tcPr>
            <w:tcW w:w="0" w:type="auto"/>
            <w:vAlign w:val="center"/>
            <w:hideMark/>
          </w:tcPr>
          <w:p w14:paraId="44C4F58E" w14:textId="77777777" w:rsidR="00000000" w:rsidRDefault="00195E73">
            <w:pPr>
              <w:rPr>
                <w:rFonts w:eastAsia="Times New Roman"/>
                <w:sz w:val="20"/>
                <w:szCs w:val="20"/>
              </w:rPr>
            </w:pPr>
          </w:p>
        </w:tc>
        <w:tc>
          <w:tcPr>
            <w:tcW w:w="0" w:type="auto"/>
            <w:vAlign w:val="center"/>
            <w:hideMark/>
          </w:tcPr>
          <w:p w14:paraId="530D15B0" w14:textId="77777777" w:rsidR="00000000" w:rsidRDefault="00195E73">
            <w:pPr>
              <w:rPr>
                <w:rFonts w:eastAsia="Times New Roman"/>
                <w:sz w:val="20"/>
                <w:szCs w:val="20"/>
              </w:rPr>
            </w:pPr>
          </w:p>
        </w:tc>
        <w:tc>
          <w:tcPr>
            <w:tcW w:w="0" w:type="auto"/>
            <w:vAlign w:val="center"/>
            <w:hideMark/>
          </w:tcPr>
          <w:p w14:paraId="3805D741" w14:textId="77777777" w:rsidR="00000000" w:rsidRDefault="00195E73">
            <w:pPr>
              <w:rPr>
                <w:rFonts w:eastAsia="Times New Roman"/>
                <w:sz w:val="20"/>
                <w:szCs w:val="20"/>
              </w:rPr>
            </w:pPr>
          </w:p>
        </w:tc>
        <w:tc>
          <w:tcPr>
            <w:tcW w:w="0" w:type="auto"/>
            <w:vAlign w:val="center"/>
            <w:hideMark/>
          </w:tcPr>
          <w:p w14:paraId="531FBC0B" w14:textId="77777777" w:rsidR="00000000" w:rsidRDefault="00195E73">
            <w:pPr>
              <w:rPr>
                <w:rFonts w:eastAsia="Times New Roman"/>
                <w:sz w:val="20"/>
                <w:szCs w:val="20"/>
              </w:rPr>
            </w:pPr>
          </w:p>
        </w:tc>
        <w:tc>
          <w:tcPr>
            <w:tcW w:w="0" w:type="auto"/>
            <w:vAlign w:val="center"/>
            <w:hideMark/>
          </w:tcPr>
          <w:p w14:paraId="037DCD43" w14:textId="77777777" w:rsidR="00000000" w:rsidRDefault="00195E73">
            <w:pPr>
              <w:rPr>
                <w:rFonts w:eastAsia="Times New Roman"/>
                <w:sz w:val="20"/>
                <w:szCs w:val="20"/>
              </w:rPr>
            </w:pPr>
          </w:p>
        </w:tc>
        <w:tc>
          <w:tcPr>
            <w:tcW w:w="0" w:type="auto"/>
            <w:vAlign w:val="center"/>
            <w:hideMark/>
          </w:tcPr>
          <w:p w14:paraId="0C383FF6" w14:textId="77777777" w:rsidR="00000000" w:rsidRDefault="00195E73">
            <w:pPr>
              <w:rPr>
                <w:rFonts w:eastAsia="Times New Roman"/>
                <w:sz w:val="20"/>
                <w:szCs w:val="20"/>
              </w:rPr>
            </w:pPr>
          </w:p>
        </w:tc>
        <w:tc>
          <w:tcPr>
            <w:tcW w:w="0" w:type="auto"/>
            <w:vAlign w:val="center"/>
            <w:hideMark/>
          </w:tcPr>
          <w:p w14:paraId="64FA71D1" w14:textId="77777777" w:rsidR="00000000" w:rsidRDefault="00195E73">
            <w:pPr>
              <w:rPr>
                <w:rFonts w:eastAsia="Times New Roman"/>
                <w:sz w:val="20"/>
                <w:szCs w:val="20"/>
              </w:rPr>
            </w:pPr>
          </w:p>
        </w:tc>
        <w:tc>
          <w:tcPr>
            <w:tcW w:w="0" w:type="auto"/>
            <w:vAlign w:val="center"/>
            <w:hideMark/>
          </w:tcPr>
          <w:p w14:paraId="76ED5AA1" w14:textId="77777777" w:rsidR="00000000" w:rsidRDefault="00195E73">
            <w:pPr>
              <w:rPr>
                <w:rFonts w:eastAsia="Times New Roman"/>
                <w:sz w:val="20"/>
                <w:szCs w:val="20"/>
              </w:rPr>
            </w:pPr>
          </w:p>
        </w:tc>
      </w:tr>
      <w:tr w:rsidR="00000000" w14:paraId="0894919A" w14:textId="77777777">
        <w:trPr>
          <w:divId w:val="232744323"/>
          <w:jc w:val="center"/>
        </w:trPr>
        <w:tc>
          <w:tcPr>
            <w:tcW w:w="0" w:type="auto"/>
            <w:gridSpan w:val="3"/>
            <w:tcMar>
              <w:top w:w="15" w:type="dxa"/>
              <w:left w:w="20" w:type="dxa"/>
              <w:bottom w:w="15" w:type="dxa"/>
              <w:right w:w="20" w:type="dxa"/>
            </w:tcMar>
            <w:vAlign w:val="bottom"/>
            <w:hideMark/>
          </w:tcPr>
          <w:p w14:paraId="3B8DC97F" w14:textId="77777777" w:rsidR="00000000" w:rsidRDefault="00195E73">
            <w:pPr>
              <w:jc w:val="center"/>
              <w:rPr>
                <w:rFonts w:eastAsia="Times New Roman"/>
              </w:rPr>
            </w:pPr>
          </w:p>
        </w:tc>
        <w:tc>
          <w:tcPr>
            <w:tcW w:w="0" w:type="auto"/>
            <w:gridSpan w:val="45"/>
            <w:tcBorders>
              <w:top w:val="single" w:sz="8" w:space="0" w:color="000000"/>
            </w:tcBorders>
            <w:tcMar>
              <w:top w:w="30" w:type="dxa"/>
              <w:left w:w="20" w:type="dxa"/>
              <w:bottom w:w="30" w:type="dxa"/>
              <w:right w:w="20" w:type="dxa"/>
            </w:tcMar>
            <w:vAlign w:val="bottom"/>
            <w:hideMark/>
          </w:tcPr>
          <w:p w14:paraId="4977D2D2"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14DF9949" w14:textId="77777777" w:rsidR="00000000" w:rsidRDefault="00195E73">
            <w:pPr>
              <w:jc w:val="center"/>
              <w:rPr>
                <w:rFonts w:eastAsia="Times New Roman"/>
              </w:rPr>
            </w:pPr>
          </w:p>
        </w:tc>
        <w:tc>
          <w:tcPr>
            <w:tcW w:w="0" w:type="auto"/>
            <w:gridSpan w:val="3"/>
            <w:vAlign w:val="center"/>
            <w:hideMark/>
          </w:tcPr>
          <w:p w14:paraId="61083493" w14:textId="77777777" w:rsidR="00000000" w:rsidRDefault="00195E73">
            <w:pPr>
              <w:rPr>
                <w:rFonts w:eastAsia="Times New Roman"/>
                <w:sz w:val="20"/>
                <w:szCs w:val="20"/>
              </w:rPr>
            </w:pPr>
          </w:p>
        </w:tc>
        <w:tc>
          <w:tcPr>
            <w:tcW w:w="0" w:type="auto"/>
            <w:gridSpan w:val="3"/>
            <w:vAlign w:val="center"/>
            <w:hideMark/>
          </w:tcPr>
          <w:p w14:paraId="12D5C7F1" w14:textId="77777777" w:rsidR="00000000" w:rsidRDefault="00195E73">
            <w:pPr>
              <w:rPr>
                <w:rFonts w:eastAsia="Times New Roman"/>
                <w:sz w:val="20"/>
                <w:szCs w:val="20"/>
              </w:rPr>
            </w:pPr>
          </w:p>
        </w:tc>
        <w:tc>
          <w:tcPr>
            <w:tcW w:w="0" w:type="auto"/>
            <w:gridSpan w:val="3"/>
            <w:vAlign w:val="center"/>
            <w:hideMark/>
          </w:tcPr>
          <w:p w14:paraId="2E64288A" w14:textId="77777777" w:rsidR="00000000" w:rsidRDefault="00195E73">
            <w:pPr>
              <w:rPr>
                <w:rFonts w:eastAsia="Times New Roman"/>
                <w:sz w:val="20"/>
                <w:szCs w:val="20"/>
              </w:rPr>
            </w:pPr>
          </w:p>
        </w:tc>
        <w:tc>
          <w:tcPr>
            <w:tcW w:w="0" w:type="auto"/>
            <w:gridSpan w:val="2"/>
            <w:vAlign w:val="center"/>
            <w:hideMark/>
          </w:tcPr>
          <w:p w14:paraId="5374149E" w14:textId="77777777" w:rsidR="00000000" w:rsidRDefault="00195E73">
            <w:pPr>
              <w:rPr>
                <w:rFonts w:eastAsia="Times New Roman"/>
                <w:sz w:val="20"/>
                <w:szCs w:val="20"/>
              </w:rPr>
            </w:pPr>
          </w:p>
        </w:tc>
        <w:tc>
          <w:tcPr>
            <w:tcW w:w="0" w:type="auto"/>
            <w:vAlign w:val="center"/>
            <w:hideMark/>
          </w:tcPr>
          <w:p w14:paraId="2747CD1D" w14:textId="77777777" w:rsidR="00000000" w:rsidRDefault="00195E73">
            <w:pPr>
              <w:rPr>
                <w:rFonts w:eastAsia="Times New Roman"/>
                <w:sz w:val="20"/>
                <w:szCs w:val="20"/>
              </w:rPr>
            </w:pPr>
          </w:p>
        </w:tc>
      </w:tr>
      <w:tr w:rsidR="00195E73" w14:paraId="091CE9B3" w14:textId="77777777">
        <w:trPr>
          <w:divId w:val="232744323"/>
          <w:jc w:val="center"/>
        </w:trPr>
        <w:tc>
          <w:tcPr>
            <w:tcW w:w="0" w:type="auto"/>
            <w:gridSpan w:val="3"/>
            <w:shd w:val="clear" w:color="auto" w:fill="CCEEFF"/>
            <w:tcMar>
              <w:top w:w="30" w:type="dxa"/>
              <w:left w:w="20" w:type="dxa"/>
              <w:bottom w:w="30" w:type="dxa"/>
              <w:right w:w="20" w:type="dxa"/>
            </w:tcMar>
            <w:vAlign w:val="bottom"/>
            <w:hideMark/>
          </w:tcPr>
          <w:p w14:paraId="46A28009" w14:textId="77777777" w:rsidR="00000000" w:rsidRDefault="00195E73">
            <w:pPr>
              <w:rPr>
                <w:rFonts w:eastAsia="Times New Roman"/>
              </w:rPr>
            </w:pPr>
            <w:r>
              <w:rPr>
                <w:rFonts w:eastAsia="Times New Roman"/>
                <w:color w:val="000000"/>
                <w:sz w:val="20"/>
                <w:szCs w:val="20"/>
              </w:rPr>
              <w:t>United State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6316B0D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88BCEB8" w14:textId="77777777" w:rsidR="00000000" w:rsidRDefault="00195E73">
            <w:pPr>
              <w:jc w:val="right"/>
              <w:rPr>
                <w:rFonts w:eastAsia="Times New Roman"/>
              </w:rPr>
            </w:pPr>
            <w:r>
              <w:rPr>
                <w:rFonts w:eastAsia="Times New Roman"/>
                <w:color w:val="000000"/>
                <w:sz w:val="20"/>
                <w:szCs w:val="20"/>
              </w:rPr>
              <w:t>9,271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686712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EAF352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2966F5B"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03AE8A1" w14:textId="77777777" w:rsidR="00000000" w:rsidRDefault="00195E73">
            <w:pPr>
              <w:jc w:val="right"/>
              <w:rPr>
                <w:rFonts w:eastAsia="Times New Roman"/>
              </w:rPr>
            </w:pPr>
            <w:r>
              <w:rPr>
                <w:rFonts w:eastAsia="Times New Roman"/>
                <w:color w:val="000000"/>
                <w:sz w:val="20"/>
                <w:szCs w:val="20"/>
              </w:rPr>
              <w:t>10,170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EFB11A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DFF64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AF6C7E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85F8372" w14:textId="77777777" w:rsidR="00000000" w:rsidRDefault="00195E73">
            <w:pPr>
              <w:jc w:val="right"/>
              <w:rPr>
                <w:rFonts w:eastAsia="Times New Roman"/>
              </w:rPr>
            </w:pPr>
            <w:r>
              <w:rPr>
                <w:rFonts w:eastAsia="Times New Roman"/>
                <w:color w:val="000000"/>
                <w:sz w:val="20"/>
                <w:szCs w:val="20"/>
              </w:rPr>
              <w:t>8,897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3426B9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625EB5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7C1B1D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CD01AB0" w14:textId="77777777" w:rsidR="00000000" w:rsidRDefault="00195E73">
            <w:pPr>
              <w:jc w:val="right"/>
              <w:rPr>
                <w:rFonts w:eastAsia="Times New Roman"/>
              </w:rPr>
            </w:pPr>
            <w:r>
              <w:rPr>
                <w:rFonts w:eastAsia="Times New Roman"/>
                <w:color w:val="000000"/>
                <w:sz w:val="20"/>
                <w:szCs w:val="20"/>
              </w:rPr>
              <w:t>652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69C916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F82F07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D50BDC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D8C86ED" w14:textId="77777777" w:rsidR="00000000" w:rsidRDefault="00195E73">
            <w:pPr>
              <w:jc w:val="right"/>
              <w:rPr>
                <w:rFonts w:eastAsia="Times New Roman"/>
              </w:rPr>
            </w:pPr>
            <w:r>
              <w:rPr>
                <w:rFonts w:eastAsia="Times New Roman"/>
                <w:color w:val="000000"/>
                <w:sz w:val="20"/>
                <w:szCs w:val="20"/>
              </w:rPr>
              <w:t>629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3212EE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B122B9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32006F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EB919E9" w14:textId="77777777" w:rsidR="00000000" w:rsidRDefault="00195E73">
            <w:pPr>
              <w:jc w:val="right"/>
              <w:rPr>
                <w:rFonts w:eastAsia="Times New Roman"/>
              </w:rPr>
            </w:pPr>
            <w:r>
              <w:rPr>
                <w:rFonts w:eastAsia="Times New Roman"/>
                <w:color w:val="000000"/>
                <w:sz w:val="20"/>
                <w:szCs w:val="20"/>
              </w:rPr>
              <w:t>716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E23DF1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132D22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5B5A0C7"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3E5AE03" w14:textId="77777777" w:rsidR="00000000" w:rsidRDefault="00195E73">
            <w:pPr>
              <w:jc w:val="right"/>
              <w:rPr>
                <w:rFonts w:eastAsia="Times New Roman"/>
              </w:rPr>
            </w:pPr>
            <w:r>
              <w:rPr>
                <w:rFonts w:eastAsia="Times New Roman"/>
                <w:color w:val="000000"/>
                <w:sz w:val="20"/>
                <w:szCs w:val="20"/>
              </w:rPr>
              <w:t>4,386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D517A0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C2A58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B54D6C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0BF721E" w14:textId="77777777" w:rsidR="00000000" w:rsidRDefault="00195E73">
            <w:pPr>
              <w:jc w:val="right"/>
              <w:rPr>
                <w:rFonts w:eastAsia="Times New Roman"/>
              </w:rPr>
            </w:pPr>
            <w:r>
              <w:rPr>
                <w:rFonts w:eastAsia="Times New Roman"/>
                <w:color w:val="000000"/>
                <w:sz w:val="20"/>
                <w:szCs w:val="20"/>
              </w:rPr>
              <w:t>4,458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B89D81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233D979" w14:textId="77777777" w:rsidR="00000000" w:rsidRDefault="00195E73">
            <w:pPr>
              <w:rPr>
                <w:rFonts w:eastAsia="Times New Roman"/>
                <w:sz w:val="20"/>
                <w:szCs w:val="20"/>
              </w:rPr>
            </w:pPr>
          </w:p>
        </w:tc>
        <w:tc>
          <w:tcPr>
            <w:tcW w:w="0" w:type="auto"/>
            <w:vAlign w:val="center"/>
            <w:hideMark/>
          </w:tcPr>
          <w:p w14:paraId="7A2ADF1B" w14:textId="77777777" w:rsidR="00000000" w:rsidRDefault="00195E73">
            <w:pPr>
              <w:rPr>
                <w:rFonts w:eastAsia="Times New Roman"/>
                <w:sz w:val="20"/>
                <w:szCs w:val="20"/>
              </w:rPr>
            </w:pPr>
          </w:p>
        </w:tc>
        <w:tc>
          <w:tcPr>
            <w:tcW w:w="0" w:type="auto"/>
            <w:vAlign w:val="center"/>
            <w:hideMark/>
          </w:tcPr>
          <w:p w14:paraId="59BDFB14" w14:textId="77777777" w:rsidR="00000000" w:rsidRDefault="00195E73">
            <w:pPr>
              <w:rPr>
                <w:rFonts w:eastAsia="Times New Roman"/>
                <w:sz w:val="20"/>
                <w:szCs w:val="20"/>
              </w:rPr>
            </w:pPr>
          </w:p>
        </w:tc>
        <w:tc>
          <w:tcPr>
            <w:tcW w:w="0" w:type="auto"/>
            <w:vAlign w:val="center"/>
            <w:hideMark/>
          </w:tcPr>
          <w:p w14:paraId="68561A3C" w14:textId="77777777" w:rsidR="00000000" w:rsidRDefault="00195E73">
            <w:pPr>
              <w:rPr>
                <w:rFonts w:eastAsia="Times New Roman"/>
                <w:sz w:val="20"/>
                <w:szCs w:val="20"/>
              </w:rPr>
            </w:pPr>
          </w:p>
        </w:tc>
        <w:tc>
          <w:tcPr>
            <w:tcW w:w="0" w:type="auto"/>
            <w:vAlign w:val="center"/>
            <w:hideMark/>
          </w:tcPr>
          <w:p w14:paraId="4A39662F" w14:textId="77777777" w:rsidR="00000000" w:rsidRDefault="00195E73">
            <w:pPr>
              <w:rPr>
                <w:rFonts w:eastAsia="Times New Roman"/>
                <w:sz w:val="20"/>
                <w:szCs w:val="20"/>
              </w:rPr>
            </w:pPr>
          </w:p>
        </w:tc>
        <w:tc>
          <w:tcPr>
            <w:tcW w:w="0" w:type="auto"/>
            <w:vAlign w:val="center"/>
            <w:hideMark/>
          </w:tcPr>
          <w:p w14:paraId="1711F29E" w14:textId="77777777" w:rsidR="00000000" w:rsidRDefault="00195E73">
            <w:pPr>
              <w:rPr>
                <w:rFonts w:eastAsia="Times New Roman"/>
                <w:sz w:val="20"/>
                <w:szCs w:val="20"/>
              </w:rPr>
            </w:pPr>
          </w:p>
        </w:tc>
        <w:tc>
          <w:tcPr>
            <w:tcW w:w="0" w:type="auto"/>
            <w:vAlign w:val="center"/>
            <w:hideMark/>
          </w:tcPr>
          <w:p w14:paraId="26954D33" w14:textId="77777777" w:rsidR="00000000" w:rsidRDefault="00195E73">
            <w:pPr>
              <w:rPr>
                <w:rFonts w:eastAsia="Times New Roman"/>
                <w:sz w:val="20"/>
                <w:szCs w:val="20"/>
              </w:rPr>
            </w:pPr>
          </w:p>
        </w:tc>
        <w:tc>
          <w:tcPr>
            <w:tcW w:w="0" w:type="auto"/>
            <w:vAlign w:val="center"/>
            <w:hideMark/>
          </w:tcPr>
          <w:p w14:paraId="48BF610A" w14:textId="77777777" w:rsidR="00000000" w:rsidRDefault="00195E73">
            <w:pPr>
              <w:rPr>
                <w:rFonts w:eastAsia="Times New Roman"/>
                <w:sz w:val="20"/>
                <w:szCs w:val="20"/>
              </w:rPr>
            </w:pPr>
          </w:p>
        </w:tc>
        <w:tc>
          <w:tcPr>
            <w:tcW w:w="0" w:type="auto"/>
            <w:vAlign w:val="center"/>
            <w:hideMark/>
          </w:tcPr>
          <w:p w14:paraId="70FA895B" w14:textId="77777777" w:rsidR="00000000" w:rsidRDefault="00195E73">
            <w:pPr>
              <w:rPr>
                <w:rFonts w:eastAsia="Times New Roman"/>
                <w:sz w:val="20"/>
                <w:szCs w:val="20"/>
              </w:rPr>
            </w:pPr>
          </w:p>
        </w:tc>
        <w:tc>
          <w:tcPr>
            <w:tcW w:w="0" w:type="auto"/>
            <w:vAlign w:val="center"/>
            <w:hideMark/>
          </w:tcPr>
          <w:p w14:paraId="56746843" w14:textId="77777777" w:rsidR="00000000" w:rsidRDefault="00195E73">
            <w:pPr>
              <w:rPr>
                <w:rFonts w:eastAsia="Times New Roman"/>
                <w:sz w:val="20"/>
                <w:szCs w:val="20"/>
              </w:rPr>
            </w:pPr>
          </w:p>
        </w:tc>
        <w:tc>
          <w:tcPr>
            <w:tcW w:w="0" w:type="auto"/>
            <w:vAlign w:val="center"/>
            <w:hideMark/>
          </w:tcPr>
          <w:p w14:paraId="4AD0A416" w14:textId="77777777" w:rsidR="00000000" w:rsidRDefault="00195E73">
            <w:pPr>
              <w:rPr>
                <w:rFonts w:eastAsia="Times New Roman"/>
                <w:sz w:val="20"/>
                <w:szCs w:val="20"/>
              </w:rPr>
            </w:pPr>
          </w:p>
        </w:tc>
        <w:tc>
          <w:tcPr>
            <w:tcW w:w="0" w:type="auto"/>
            <w:vAlign w:val="center"/>
            <w:hideMark/>
          </w:tcPr>
          <w:p w14:paraId="4133C05A" w14:textId="77777777" w:rsidR="00000000" w:rsidRDefault="00195E73">
            <w:pPr>
              <w:rPr>
                <w:rFonts w:eastAsia="Times New Roman"/>
                <w:sz w:val="20"/>
                <w:szCs w:val="20"/>
              </w:rPr>
            </w:pPr>
          </w:p>
        </w:tc>
        <w:tc>
          <w:tcPr>
            <w:tcW w:w="0" w:type="auto"/>
            <w:vAlign w:val="center"/>
            <w:hideMark/>
          </w:tcPr>
          <w:p w14:paraId="796706CC" w14:textId="77777777" w:rsidR="00000000" w:rsidRDefault="00195E73">
            <w:pPr>
              <w:rPr>
                <w:rFonts w:eastAsia="Times New Roman"/>
                <w:sz w:val="20"/>
                <w:szCs w:val="20"/>
              </w:rPr>
            </w:pPr>
          </w:p>
        </w:tc>
        <w:tc>
          <w:tcPr>
            <w:tcW w:w="0" w:type="auto"/>
            <w:vAlign w:val="center"/>
            <w:hideMark/>
          </w:tcPr>
          <w:p w14:paraId="007CB29B" w14:textId="77777777" w:rsidR="00000000" w:rsidRDefault="00195E73">
            <w:pPr>
              <w:rPr>
                <w:rFonts w:eastAsia="Times New Roman"/>
                <w:sz w:val="20"/>
                <w:szCs w:val="20"/>
              </w:rPr>
            </w:pPr>
          </w:p>
        </w:tc>
        <w:tc>
          <w:tcPr>
            <w:tcW w:w="0" w:type="auto"/>
            <w:vAlign w:val="center"/>
            <w:hideMark/>
          </w:tcPr>
          <w:p w14:paraId="4ADC8667" w14:textId="77777777" w:rsidR="00000000" w:rsidRDefault="00195E73">
            <w:pPr>
              <w:rPr>
                <w:rFonts w:eastAsia="Times New Roman"/>
                <w:sz w:val="20"/>
                <w:szCs w:val="20"/>
              </w:rPr>
            </w:pPr>
          </w:p>
        </w:tc>
      </w:tr>
      <w:tr w:rsidR="00000000" w14:paraId="4350C625" w14:textId="77777777">
        <w:trPr>
          <w:divId w:val="232744323"/>
          <w:jc w:val="center"/>
        </w:trPr>
        <w:tc>
          <w:tcPr>
            <w:tcW w:w="0" w:type="auto"/>
            <w:gridSpan w:val="3"/>
            <w:shd w:val="clear" w:color="auto" w:fill="FFFFFF"/>
            <w:tcMar>
              <w:top w:w="30" w:type="dxa"/>
              <w:left w:w="20" w:type="dxa"/>
              <w:bottom w:w="30" w:type="dxa"/>
              <w:right w:w="20" w:type="dxa"/>
            </w:tcMar>
            <w:vAlign w:val="bottom"/>
            <w:hideMark/>
          </w:tcPr>
          <w:p w14:paraId="353E3385" w14:textId="77777777" w:rsidR="00000000" w:rsidRDefault="00195E73">
            <w:pPr>
              <w:rPr>
                <w:rFonts w:eastAsia="Times New Roman"/>
              </w:rPr>
            </w:pPr>
            <w:r>
              <w:rPr>
                <w:rFonts w:eastAsia="Times New Roman"/>
                <w:color w:val="000000"/>
                <w:sz w:val="20"/>
                <w:szCs w:val="20"/>
              </w:rPr>
              <w:t>Internationa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14:paraId="2E4B57B3" w14:textId="77777777" w:rsidR="00000000" w:rsidRDefault="00195E73">
            <w:pPr>
              <w:jc w:val="right"/>
              <w:rPr>
                <w:rFonts w:eastAsia="Times New Roman"/>
              </w:rPr>
            </w:pPr>
            <w:r>
              <w:rPr>
                <w:rFonts w:eastAsia="Times New Roman"/>
                <w:color w:val="000000"/>
                <w:sz w:val="20"/>
                <w:szCs w:val="20"/>
              </w:rPr>
              <w:t>449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70347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A9962D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70BE80" w14:textId="77777777" w:rsidR="00000000" w:rsidRDefault="00195E73">
            <w:pPr>
              <w:jc w:val="right"/>
              <w:rPr>
                <w:rFonts w:eastAsia="Times New Roman"/>
              </w:rPr>
            </w:pPr>
            <w:r>
              <w:rPr>
                <w:rFonts w:eastAsia="Times New Roman"/>
                <w:color w:val="000000"/>
                <w:sz w:val="20"/>
                <w:szCs w:val="20"/>
              </w:rPr>
              <w:t>406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548EE6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9EF685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83D4C3" w14:textId="77777777" w:rsidR="00000000" w:rsidRDefault="00195E73">
            <w:pPr>
              <w:jc w:val="right"/>
              <w:rPr>
                <w:rFonts w:eastAsia="Times New Roman"/>
              </w:rPr>
            </w:pPr>
            <w:r>
              <w:rPr>
                <w:rFonts w:eastAsia="Times New Roman"/>
                <w:color w:val="000000"/>
                <w:sz w:val="20"/>
                <w:szCs w:val="20"/>
              </w:rPr>
              <w:t>409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C8604E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C77A18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7CC968" w14:textId="77777777" w:rsidR="00000000" w:rsidRDefault="00195E73">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2475CF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6C5724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BECB44" w14:textId="77777777" w:rsidR="00000000" w:rsidRDefault="00195E73">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588BAA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96CA4E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FF19C5" w14:textId="77777777" w:rsidR="00000000" w:rsidRDefault="00195E73">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08C6AF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5F05BC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FC9C4F" w14:textId="77777777" w:rsidR="00000000" w:rsidRDefault="00195E73">
            <w:pPr>
              <w:jc w:val="right"/>
              <w:rPr>
                <w:rFonts w:eastAsia="Times New Roman"/>
              </w:rPr>
            </w:pPr>
            <w:r>
              <w:rPr>
                <w:rFonts w:eastAsia="Times New Roman"/>
                <w:color w:val="000000"/>
                <w:sz w:val="20"/>
                <w:szCs w:val="20"/>
              </w:rPr>
              <w:t>155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605481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3AB2F1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3B2B13" w14:textId="77777777" w:rsidR="00000000" w:rsidRDefault="00195E73">
            <w:pPr>
              <w:jc w:val="right"/>
              <w:rPr>
                <w:rFonts w:eastAsia="Times New Roman"/>
              </w:rPr>
            </w:pPr>
            <w:r>
              <w:rPr>
                <w:rFonts w:eastAsia="Times New Roman"/>
                <w:color w:val="000000"/>
                <w:sz w:val="20"/>
                <w:szCs w:val="20"/>
              </w:rPr>
              <w:t>230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DF052F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7AAB5A1" w14:textId="77777777" w:rsidR="00000000" w:rsidRDefault="00195E73">
            <w:pPr>
              <w:rPr>
                <w:rFonts w:eastAsia="Times New Roman"/>
                <w:sz w:val="20"/>
                <w:szCs w:val="20"/>
              </w:rPr>
            </w:pPr>
          </w:p>
        </w:tc>
        <w:tc>
          <w:tcPr>
            <w:tcW w:w="0" w:type="auto"/>
            <w:vAlign w:val="center"/>
            <w:hideMark/>
          </w:tcPr>
          <w:p w14:paraId="0B069F4F" w14:textId="77777777" w:rsidR="00000000" w:rsidRDefault="00195E73">
            <w:pPr>
              <w:rPr>
                <w:rFonts w:eastAsia="Times New Roman"/>
                <w:sz w:val="20"/>
                <w:szCs w:val="20"/>
              </w:rPr>
            </w:pPr>
          </w:p>
        </w:tc>
        <w:tc>
          <w:tcPr>
            <w:tcW w:w="0" w:type="auto"/>
            <w:vAlign w:val="center"/>
            <w:hideMark/>
          </w:tcPr>
          <w:p w14:paraId="181A478F" w14:textId="77777777" w:rsidR="00000000" w:rsidRDefault="00195E73">
            <w:pPr>
              <w:rPr>
                <w:rFonts w:eastAsia="Times New Roman"/>
                <w:sz w:val="20"/>
                <w:szCs w:val="20"/>
              </w:rPr>
            </w:pPr>
          </w:p>
        </w:tc>
        <w:tc>
          <w:tcPr>
            <w:tcW w:w="0" w:type="auto"/>
            <w:vAlign w:val="center"/>
            <w:hideMark/>
          </w:tcPr>
          <w:p w14:paraId="4337F2B8" w14:textId="77777777" w:rsidR="00000000" w:rsidRDefault="00195E73">
            <w:pPr>
              <w:rPr>
                <w:rFonts w:eastAsia="Times New Roman"/>
                <w:sz w:val="20"/>
                <w:szCs w:val="20"/>
              </w:rPr>
            </w:pPr>
          </w:p>
        </w:tc>
        <w:tc>
          <w:tcPr>
            <w:tcW w:w="0" w:type="auto"/>
            <w:vAlign w:val="center"/>
            <w:hideMark/>
          </w:tcPr>
          <w:p w14:paraId="54675868" w14:textId="77777777" w:rsidR="00000000" w:rsidRDefault="00195E73">
            <w:pPr>
              <w:rPr>
                <w:rFonts w:eastAsia="Times New Roman"/>
                <w:sz w:val="20"/>
                <w:szCs w:val="20"/>
              </w:rPr>
            </w:pPr>
          </w:p>
        </w:tc>
        <w:tc>
          <w:tcPr>
            <w:tcW w:w="0" w:type="auto"/>
            <w:vAlign w:val="center"/>
            <w:hideMark/>
          </w:tcPr>
          <w:p w14:paraId="1BB76646" w14:textId="77777777" w:rsidR="00000000" w:rsidRDefault="00195E73">
            <w:pPr>
              <w:rPr>
                <w:rFonts w:eastAsia="Times New Roman"/>
                <w:sz w:val="20"/>
                <w:szCs w:val="20"/>
              </w:rPr>
            </w:pPr>
          </w:p>
        </w:tc>
        <w:tc>
          <w:tcPr>
            <w:tcW w:w="0" w:type="auto"/>
            <w:vAlign w:val="center"/>
            <w:hideMark/>
          </w:tcPr>
          <w:p w14:paraId="65DB52C2" w14:textId="77777777" w:rsidR="00000000" w:rsidRDefault="00195E73">
            <w:pPr>
              <w:rPr>
                <w:rFonts w:eastAsia="Times New Roman"/>
                <w:sz w:val="20"/>
                <w:szCs w:val="20"/>
              </w:rPr>
            </w:pPr>
          </w:p>
        </w:tc>
        <w:tc>
          <w:tcPr>
            <w:tcW w:w="0" w:type="auto"/>
            <w:vAlign w:val="center"/>
            <w:hideMark/>
          </w:tcPr>
          <w:p w14:paraId="2A02D9AF" w14:textId="77777777" w:rsidR="00000000" w:rsidRDefault="00195E73">
            <w:pPr>
              <w:rPr>
                <w:rFonts w:eastAsia="Times New Roman"/>
                <w:sz w:val="20"/>
                <w:szCs w:val="20"/>
              </w:rPr>
            </w:pPr>
          </w:p>
        </w:tc>
        <w:tc>
          <w:tcPr>
            <w:tcW w:w="0" w:type="auto"/>
            <w:vAlign w:val="center"/>
            <w:hideMark/>
          </w:tcPr>
          <w:p w14:paraId="4A65D60E" w14:textId="77777777" w:rsidR="00000000" w:rsidRDefault="00195E73">
            <w:pPr>
              <w:rPr>
                <w:rFonts w:eastAsia="Times New Roman"/>
                <w:sz w:val="20"/>
                <w:szCs w:val="20"/>
              </w:rPr>
            </w:pPr>
          </w:p>
        </w:tc>
        <w:tc>
          <w:tcPr>
            <w:tcW w:w="0" w:type="auto"/>
            <w:vAlign w:val="center"/>
            <w:hideMark/>
          </w:tcPr>
          <w:p w14:paraId="3FD1BBDD" w14:textId="77777777" w:rsidR="00000000" w:rsidRDefault="00195E73">
            <w:pPr>
              <w:rPr>
                <w:rFonts w:eastAsia="Times New Roman"/>
                <w:sz w:val="20"/>
                <w:szCs w:val="20"/>
              </w:rPr>
            </w:pPr>
          </w:p>
        </w:tc>
        <w:tc>
          <w:tcPr>
            <w:tcW w:w="0" w:type="auto"/>
            <w:vAlign w:val="center"/>
            <w:hideMark/>
          </w:tcPr>
          <w:p w14:paraId="6C20F2E3" w14:textId="77777777" w:rsidR="00000000" w:rsidRDefault="00195E73">
            <w:pPr>
              <w:rPr>
                <w:rFonts w:eastAsia="Times New Roman"/>
                <w:sz w:val="20"/>
                <w:szCs w:val="20"/>
              </w:rPr>
            </w:pPr>
          </w:p>
        </w:tc>
        <w:tc>
          <w:tcPr>
            <w:tcW w:w="0" w:type="auto"/>
            <w:vAlign w:val="center"/>
            <w:hideMark/>
          </w:tcPr>
          <w:p w14:paraId="4712D3FE" w14:textId="77777777" w:rsidR="00000000" w:rsidRDefault="00195E73">
            <w:pPr>
              <w:rPr>
                <w:rFonts w:eastAsia="Times New Roman"/>
                <w:sz w:val="20"/>
                <w:szCs w:val="20"/>
              </w:rPr>
            </w:pPr>
          </w:p>
        </w:tc>
        <w:tc>
          <w:tcPr>
            <w:tcW w:w="0" w:type="auto"/>
            <w:vAlign w:val="center"/>
            <w:hideMark/>
          </w:tcPr>
          <w:p w14:paraId="385B95E9" w14:textId="77777777" w:rsidR="00000000" w:rsidRDefault="00195E73">
            <w:pPr>
              <w:rPr>
                <w:rFonts w:eastAsia="Times New Roman"/>
                <w:sz w:val="20"/>
                <w:szCs w:val="20"/>
              </w:rPr>
            </w:pPr>
          </w:p>
        </w:tc>
        <w:tc>
          <w:tcPr>
            <w:tcW w:w="0" w:type="auto"/>
            <w:vAlign w:val="center"/>
            <w:hideMark/>
          </w:tcPr>
          <w:p w14:paraId="2C92CEEF" w14:textId="77777777" w:rsidR="00000000" w:rsidRDefault="00195E73">
            <w:pPr>
              <w:rPr>
                <w:rFonts w:eastAsia="Times New Roman"/>
                <w:sz w:val="20"/>
                <w:szCs w:val="20"/>
              </w:rPr>
            </w:pPr>
          </w:p>
        </w:tc>
        <w:tc>
          <w:tcPr>
            <w:tcW w:w="0" w:type="auto"/>
            <w:vAlign w:val="center"/>
            <w:hideMark/>
          </w:tcPr>
          <w:p w14:paraId="17195EA6" w14:textId="77777777" w:rsidR="00000000" w:rsidRDefault="00195E73">
            <w:pPr>
              <w:rPr>
                <w:rFonts w:eastAsia="Times New Roman"/>
                <w:sz w:val="20"/>
                <w:szCs w:val="20"/>
              </w:rPr>
            </w:pPr>
          </w:p>
        </w:tc>
      </w:tr>
      <w:tr w:rsidR="00195E73" w14:paraId="76CC0CBC" w14:textId="77777777">
        <w:trPr>
          <w:divId w:val="232744323"/>
          <w:jc w:val="center"/>
        </w:trPr>
        <w:tc>
          <w:tcPr>
            <w:tcW w:w="0" w:type="auto"/>
            <w:gridSpan w:val="3"/>
            <w:shd w:val="clear" w:color="auto" w:fill="CCEEFF"/>
            <w:tcMar>
              <w:top w:w="15" w:type="dxa"/>
              <w:left w:w="20" w:type="dxa"/>
              <w:bottom w:w="15" w:type="dxa"/>
              <w:right w:w="20" w:type="dxa"/>
            </w:tcMar>
            <w:vAlign w:val="bottom"/>
            <w:hideMark/>
          </w:tcPr>
          <w:p w14:paraId="0CCE49FE"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0F952DD"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7ECCDF6" w14:textId="77777777" w:rsidR="00000000" w:rsidRDefault="00195E73">
            <w:pPr>
              <w:jc w:val="right"/>
              <w:rPr>
                <w:rFonts w:eastAsia="Times New Roman"/>
              </w:rPr>
            </w:pPr>
            <w:r>
              <w:rPr>
                <w:rFonts w:eastAsia="Times New Roman"/>
                <w:color w:val="000000"/>
                <w:sz w:val="20"/>
                <w:szCs w:val="20"/>
              </w:rPr>
              <w:t>9,720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2A642D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F5FF2BA"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EEF8644"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5FE9721" w14:textId="77777777" w:rsidR="00000000" w:rsidRDefault="00195E73">
            <w:pPr>
              <w:jc w:val="right"/>
              <w:rPr>
                <w:rFonts w:eastAsia="Times New Roman"/>
              </w:rPr>
            </w:pPr>
            <w:r>
              <w:rPr>
                <w:rFonts w:eastAsia="Times New Roman"/>
                <w:color w:val="000000"/>
                <w:sz w:val="20"/>
                <w:szCs w:val="20"/>
              </w:rPr>
              <w:t>10,576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2F877D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11A95C6"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3F0B3E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431AEC1" w14:textId="77777777" w:rsidR="00000000" w:rsidRDefault="00195E73">
            <w:pPr>
              <w:jc w:val="right"/>
              <w:rPr>
                <w:rFonts w:eastAsia="Times New Roman"/>
              </w:rPr>
            </w:pPr>
            <w:r>
              <w:rPr>
                <w:rFonts w:eastAsia="Times New Roman"/>
                <w:color w:val="000000"/>
                <w:sz w:val="20"/>
                <w:szCs w:val="20"/>
              </w:rPr>
              <w:t>9,306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10A112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A410CB6"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C91928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7AE70C0" w14:textId="77777777" w:rsidR="00000000" w:rsidRDefault="00195E73">
            <w:pPr>
              <w:jc w:val="right"/>
              <w:rPr>
                <w:rFonts w:eastAsia="Times New Roman"/>
              </w:rPr>
            </w:pPr>
            <w:r>
              <w:rPr>
                <w:rFonts w:eastAsia="Times New Roman"/>
                <w:color w:val="000000"/>
                <w:sz w:val="20"/>
                <w:szCs w:val="20"/>
              </w:rPr>
              <w:t>666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A28425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5855C6B"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8374EC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CD64DA8" w14:textId="77777777" w:rsidR="00000000" w:rsidRDefault="00195E73">
            <w:pPr>
              <w:jc w:val="right"/>
              <w:rPr>
                <w:rFonts w:eastAsia="Times New Roman"/>
              </w:rPr>
            </w:pPr>
            <w:r>
              <w:rPr>
                <w:rFonts w:eastAsia="Times New Roman"/>
                <w:color w:val="000000"/>
                <w:sz w:val="20"/>
                <w:szCs w:val="20"/>
              </w:rPr>
              <w:t>647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46E21A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0E458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E8D627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107720F" w14:textId="77777777" w:rsidR="00000000" w:rsidRDefault="00195E73">
            <w:pPr>
              <w:jc w:val="right"/>
              <w:rPr>
                <w:rFonts w:eastAsia="Times New Roman"/>
              </w:rPr>
            </w:pPr>
            <w:r>
              <w:rPr>
                <w:rFonts w:eastAsia="Times New Roman"/>
                <w:color w:val="000000"/>
                <w:sz w:val="20"/>
                <w:szCs w:val="20"/>
              </w:rPr>
              <w:t>743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5AF629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6737F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6D9EBA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13203A5" w14:textId="77777777" w:rsidR="00000000" w:rsidRDefault="00195E73">
            <w:pPr>
              <w:jc w:val="right"/>
              <w:rPr>
                <w:rFonts w:eastAsia="Times New Roman"/>
              </w:rPr>
            </w:pPr>
            <w:r>
              <w:rPr>
                <w:rFonts w:eastAsia="Times New Roman"/>
                <w:color w:val="000000"/>
                <w:sz w:val="20"/>
                <w:szCs w:val="20"/>
              </w:rPr>
              <w:t>4,541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6C2773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64E54F"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2BDC2A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4E1F217" w14:textId="77777777" w:rsidR="00000000" w:rsidRDefault="00195E73">
            <w:pPr>
              <w:jc w:val="right"/>
              <w:rPr>
                <w:rFonts w:eastAsia="Times New Roman"/>
              </w:rPr>
            </w:pPr>
            <w:r>
              <w:rPr>
                <w:rFonts w:eastAsia="Times New Roman"/>
                <w:color w:val="000000"/>
                <w:sz w:val="20"/>
                <w:szCs w:val="20"/>
              </w:rPr>
              <w:t>4,688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B11194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A035FC2" w14:textId="77777777" w:rsidR="00000000" w:rsidRDefault="00195E73">
            <w:pPr>
              <w:rPr>
                <w:rFonts w:eastAsia="Times New Roman"/>
                <w:sz w:val="20"/>
                <w:szCs w:val="20"/>
              </w:rPr>
            </w:pPr>
          </w:p>
        </w:tc>
        <w:tc>
          <w:tcPr>
            <w:tcW w:w="0" w:type="auto"/>
            <w:vAlign w:val="center"/>
            <w:hideMark/>
          </w:tcPr>
          <w:p w14:paraId="3E7D5A56" w14:textId="77777777" w:rsidR="00000000" w:rsidRDefault="00195E73">
            <w:pPr>
              <w:rPr>
                <w:rFonts w:eastAsia="Times New Roman"/>
                <w:sz w:val="20"/>
                <w:szCs w:val="20"/>
              </w:rPr>
            </w:pPr>
          </w:p>
        </w:tc>
        <w:tc>
          <w:tcPr>
            <w:tcW w:w="0" w:type="auto"/>
            <w:vAlign w:val="center"/>
            <w:hideMark/>
          </w:tcPr>
          <w:p w14:paraId="69FF6C4E" w14:textId="77777777" w:rsidR="00000000" w:rsidRDefault="00195E73">
            <w:pPr>
              <w:rPr>
                <w:rFonts w:eastAsia="Times New Roman"/>
                <w:sz w:val="20"/>
                <w:szCs w:val="20"/>
              </w:rPr>
            </w:pPr>
          </w:p>
        </w:tc>
        <w:tc>
          <w:tcPr>
            <w:tcW w:w="0" w:type="auto"/>
            <w:vAlign w:val="center"/>
            <w:hideMark/>
          </w:tcPr>
          <w:p w14:paraId="06EAEF17" w14:textId="77777777" w:rsidR="00000000" w:rsidRDefault="00195E73">
            <w:pPr>
              <w:rPr>
                <w:rFonts w:eastAsia="Times New Roman"/>
                <w:sz w:val="20"/>
                <w:szCs w:val="20"/>
              </w:rPr>
            </w:pPr>
          </w:p>
        </w:tc>
        <w:tc>
          <w:tcPr>
            <w:tcW w:w="0" w:type="auto"/>
            <w:vAlign w:val="center"/>
            <w:hideMark/>
          </w:tcPr>
          <w:p w14:paraId="7DE2F767" w14:textId="77777777" w:rsidR="00000000" w:rsidRDefault="00195E73">
            <w:pPr>
              <w:rPr>
                <w:rFonts w:eastAsia="Times New Roman"/>
                <w:sz w:val="20"/>
                <w:szCs w:val="20"/>
              </w:rPr>
            </w:pPr>
          </w:p>
        </w:tc>
        <w:tc>
          <w:tcPr>
            <w:tcW w:w="0" w:type="auto"/>
            <w:vAlign w:val="center"/>
            <w:hideMark/>
          </w:tcPr>
          <w:p w14:paraId="073A3783" w14:textId="77777777" w:rsidR="00000000" w:rsidRDefault="00195E73">
            <w:pPr>
              <w:rPr>
                <w:rFonts w:eastAsia="Times New Roman"/>
                <w:sz w:val="20"/>
                <w:szCs w:val="20"/>
              </w:rPr>
            </w:pPr>
          </w:p>
        </w:tc>
        <w:tc>
          <w:tcPr>
            <w:tcW w:w="0" w:type="auto"/>
            <w:vAlign w:val="center"/>
            <w:hideMark/>
          </w:tcPr>
          <w:p w14:paraId="5F705143" w14:textId="77777777" w:rsidR="00000000" w:rsidRDefault="00195E73">
            <w:pPr>
              <w:rPr>
                <w:rFonts w:eastAsia="Times New Roman"/>
                <w:sz w:val="20"/>
                <w:szCs w:val="20"/>
              </w:rPr>
            </w:pPr>
          </w:p>
        </w:tc>
        <w:tc>
          <w:tcPr>
            <w:tcW w:w="0" w:type="auto"/>
            <w:vAlign w:val="center"/>
            <w:hideMark/>
          </w:tcPr>
          <w:p w14:paraId="72EA6BC7" w14:textId="77777777" w:rsidR="00000000" w:rsidRDefault="00195E73">
            <w:pPr>
              <w:rPr>
                <w:rFonts w:eastAsia="Times New Roman"/>
                <w:sz w:val="20"/>
                <w:szCs w:val="20"/>
              </w:rPr>
            </w:pPr>
          </w:p>
        </w:tc>
        <w:tc>
          <w:tcPr>
            <w:tcW w:w="0" w:type="auto"/>
            <w:vAlign w:val="center"/>
            <w:hideMark/>
          </w:tcPr>
          <w:p w14:paraId="26359579" w14:textId="77777777" w:rsidR="00000000" w:rsidRDefault="00195E73">
            <w:pPr>
              <w:rPr>
                <w:rFonts w:eastAsia="Times New Roman"/>
                <w:sz w:val="20"/>
                <w:szCs w:val="20"/>
              </w:rPr>
            </w:pPr>
          </w:p>
        </w:tc>
        <w:tc>
          <w:tcPr>
            <w:tcW w:w="0" w:type="auto"/>
            <w:vAlign w:val="center"/>
            <w:hideMark/>
          </w:tcPr>
          <w:p w14:paraId="70B41740" w14:textId="77777777" w:rsidR="00000000" w:rsidRDefault="00195E73">
            <w:pPr>
              <w:rPr>
                <w:rFonts w:eastAsia="Times New Roman"/>
                <w:sz w:val="20"/>
                <w:szCs w:val="20"/>
              </w:rPr>
            </w:pPr>
          </w:p>
        </w:tc>
        <w:tc>
          <w:tcPr>
            <w:tcW w:w="0" w:type="auto"/>
            <w:vAlign w:val="center"/>
            <w:hideMark/>
          </w:tcPr>
          <w:p w14:paraId="47ECD95A" w14:textId="77777777" w:rsidR="00000000" w:rsidRDefault="00195E73">
            <w:pPr>
              <w:rPr>
                <w:rFonts w:eastAsia="Times New Roman"/>
                <w:sz w:val="20"/>
                <w:szCs w:val="20"/>
              </w:rPr>
            </w:pPr>
          </w:p>
        </w:tc>
        <w:tc>
          <w:tcPr>
            <w:tcW w:w="0" w:type="auto"/>
            <w:vAlign w:val="center"/>
            <w:hideMark/>
          </w:tcPr>
          <w:p w14:paraId="645B2922" w14:textId="77777777" w:rsidR="00000000" w:rsidRDefault="00195E73">
            <w:pPr>
              <w:rPr>
                <w:rFonts w:eastAsia="Times New Roman"/>
                <w:sz w:val="20"/>
                <w:szCs w:val="20"/>
              </w:rPr>
            </w:pPr>
          </w:p>
        </w:tc>
        <w:tc>
          <w:tcPr>
            <w:tcW w:w="0" w:type="auto"/>
            <w:vAlign w:val="center"/>
            <w:hideMark/>
          </w:tcPr>
          <w:p w14:paraId="1845FC95" w14:textId="77777777" w:rsidR="00000000" w:rsidRDefault="00195E73">
            <w:pPr>
              <w:rPr>
                <w:rFonts w:eastAsia="Times New Roman"/>
                <w:sz w:val="20"/>
                <w:szCs w:val="20"/>
              </w:rPr>
            </w:pPr>
          </w:p>
        </w:tc>
        <w:tc>
          <w:tcPr>
            <w:tcW w:w="0" w:type="auto"/>
            <w:vAlign w:val="center"/>
            <w:hideMark/>
          </w:tcPr>
          <w:p w14:paraId="4FF7A3F0" w14:textId="77777777" w:rsidR="00000000" w:rsidRDefault="00195E73">
            <w:pPr>
              <w:rPr>
                <w:rFonts w:eastAsia="Times New Roman"/>
                <w:sz w:val="20"/>
                <w:szCs w:val="20"/>
              </w:rPr>
            </w:pPr>
          </w:p>
        </w:tc>
        <w:tc>
          <w:tcPr>
            <w:tcW w:w="0" w:type="auto"/>
            <w:vAlign w:val="center"/>
            <w:hideMark/>
          </w:tcPr>
          <w:p w14:paraId="6A5916C9" w14:textId="77777777" w:rsidR="00000000" w:rsidRDefault="00195E73">
            <w:pPr>
              <w:rPr>
                <w:rFonts w:eastAsia="Times New Roman"/>
                <w:sz w:val="20"/>
                <w:szCs w:val="20"/>
              </w:rPr>
            </w:pPr>
          </w:p>
        </w:tc>
      </w:tr>
    </w:tbl>
    <w:p w14:paraId="0D1181D6" w14:textId="77777777" w:rsidR="00000000" w:rsidRDefault="00195E73">
      <w:pPr>
        <w:ind w:firstLine="405"/>
        <w:divId w:val="117800399"/>
        <w:rPr>
          <w:rFonts w:eastAsia="Times New Roman"/>
        </w:rPr>
      </w:pPr>
    </w:p>
    <w:p w14:paraId="73AE93D4" w14:textId="77777777" w:rsidR="00000000" w:rsidRDefault="00195E73">
      <w:pPr>
        <w:ind w:firstLine="405"/>
        <w:divId w:val="151414709"/>
        <w:rPr>
          <w:rFonts w:eastAsia="Times New Roman"/>
        </w:rPr>
      </w:pPr>
      <w:r>
        <w:rPr>
          <w:rFonts w:eastAsia="Times New Roman"/>
          <w:color w:val="000000"/>
          <w:sz w:val="20"/>
          <w:szCs w:val="20"/>
        </w:rPr>
        <w:t>Geographic locations for net sales and other revenues from operations are based on locations of the customers and geographic locations for property, plant, and equipment are based on the locations of the assets</w:t>
      </w:r>
      <w:r>
        <w:rPr>
          <w:rFonts w:eastAsia="Times New Roman"/>
          <w:color w:val="000000"/>
          <w:sz w:val="20"/>
          <w:szCs w:val="20"/>
        </w:rPr>
        <w:t>.</w:t>
      </w:r>
    </w:p>
    <w:p w14:paraId="0B6A28DA" w14:textId="77777777" w:rsidR="00000000" w:rsidRDefault="00195E73">
      <w:pPr>
        <w:divId w:val="772437402"/>
        <w:rPr>
          <w:rFonts w:eastAsia="Times New Roman"/>
        </w:rPr>
      </w:pPr>
    </w:p>
    <w:p w14:paraId="02ADD7FD" w14:textId="77777777" w:rsidR="00000000" w:rsidRDefault="00195E73">
      <w:pPr>
        <w:divId w:val="1241988055"/>
        <w:rPr>
          <w:rFonts w:eastAsia="Times New Roman"/>
        </w:rPr>
      </w:pPr>
    </w:p>
    <w:p w14:paraId="6243BF81" w14:textId="77777777" w:rsidR="00000000" w:rsidRDefault="00195E73">
      <w:pPr>
        <w:ind w:hanging="360"/>
        <w:divId w:val="1235043778"/>
        <w:rPr>
          <w:rFonts w:eastAsia="Times New Roman"/>
        </w:rPr>
      </w:pPr>
    </w:p>
    <w:p w14:paraId="5C16935A" w14:textId="77777777" w:rsidR="00000000" w:rsidRDefault="00195E73">
      <w:pPr>
        <w:jc w:val="center"/>
        <w:divId w:val="1005787467"/>
        <w:rPr>
          <w:rFonts w:eastAsia="Times New Roman"/>
        </w:rPr>
      </w:pPr>
      <w:r>
        <w:rPr>
          <w:rFonts w:eastAsia="Times New Roman"/>
          <w:color w:val="000000"/>
          <w:sz w:val="20"/>
          <w:szCs w:val="20"/>
        </w:rPr>
        <w:t>10</w:t>
      </w:r>
      <w:r>
        <w:rPr>
          <w:rFonts w:eastAsia="Times New Roman"/>
          <w:color w:val="000000"/>
          <w:sz w:val="20"/>
          <w:szCs w:val="20"/>
        </w:rPr>
        <w:t>2</w:t>
      </w:r>
    </w:p>
    <w:p w14:paraId="691FCC38" w14:textId="77777777" w:rsidR="00000000" w:rsidRDefault="00195E73">
      <w:pPr>
        <w:rPr>
          <w:rFonts w:eastAsia="Times New Roman"/>
        </w:rPr>
      </w:pPr>
      <w:r>
        <w:rPr>
          <w:rFonts w:eastAsia="Times New Roman"/>
        </w:rPr>
        <w:pict w14:anchorId="129152CC">
          <v:rect id="_x0000_i1128" style="width:0;height:1.5pt" o:hralign="center" o:hrstd="t" o:hr="t" fillcolor="#a0a0a0" stroked="f"/>
        </w:pict>
      </w:r>
    </w:p>
    <w:p w14:paraId="03EA6919" w14:textId="77777777" w:rsidR="00000000" w:rsidRDefault="00195E73">
      <w:pPr>
        <w:jc w:val="center"/>
        <w:divId w:val="1755933826"/>
        <w:rPr>
          <w:rFonts w:eastAsia="Times New Roman"/>
        </w:rPr>
      </w:pPr>
    </w:p>
    <w:p w14:paraId="52CE9502" w14:textId="77777777" w:rsidR="00000000" w:rsidRDefault="00195E73">
      <w:pPr>
        <w:jc w:val="center"/>
        <w:divId w:val="1755933826"/>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5A375F04" w14:textId="77777777" w:rsidR="00000000" w:rsidRDefault="00195E73">
      <w:pPr>
        <w:jc w:val="center"/>
        <w:divId w:val="1755933826"/>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19450EDF" w14:textId="77777777" w:rsidR="00000000" w:rsidRDefault="00195E73">
      <w:pPr>
        <w:jc w:val="center"/>
        <w:divId w:val="1755933826"/>
        <w:rPr>
          <w:rFonts w:eastAsia="Times New Roman"/>
        </w:rPr>
      </w:pPr>
    </w:p>
    <w:p w14:paraId="09584281" w14:textId="77777777" w:rsidR="00000000" w:rsidRDefault="00195E73">
      <w:pPr>
        <w:jc w:val="center"/>
        <w:divId w:val="1755933826"/>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19FBF8E7" w14:textId="77777777" w:rsidR="00000000" w:rsidRDefault="00195E73">
      <w:pPr>
        <w:ind w:hanging="360"/>
        <w:divId w:val="1874226744"/>
        <w:rPr>
          <w:rFonts w:eastAsia="Times New Roman"/>
        </w:rPr>
      </w:pPr>
      <w:r>
        <w:rPr>
          <w:rFonts w:eastAsia="Times New Roman"/>
          <w:b/>
          <w:bCs/>
          <w:color w:val="000000"/>
          <w:sz w:val="20"/>
          <w:szCs w:val="20"/>
        </w:rPr>
        <w:t>14. Discontinued Operations</w:t>
      </w:r>
      <w:r>
        <w:rPr>
          <w:rFonts w:eastAsia="Times New Roman"/>
          <w:b/>
          <w:bCs/>
          <w:color w:val="000000"/>
          <w:sz w:val="20"/>
          <w:szCs w:val="20"/>
        </w:rPr>
        <w:t>.</w:t>
      </w:r>
    </w:p>
    <w:p w14:paraId="72886592" w14:textId="77777777" w:rsidR="00000000" w:rsidRDefault="00195E73">
      <w:pPr>
        <w:ind w:firstLine="450"/>
        <w:divId w:val="2131629797"/>
        <w:rPr>
          <w:rFonts w:eastAsia="Times New Roman"/>
        </w:rPr>
      </w:pPr>
      <w:r>
        <w:rPr>
          <w:rFonts w:eastAsia="Times New Roman"/>
          <w:color w:val="000000"/>
          <w:sz w:val="20"/>
          <w:szCs w:val="20"/>
        </w:rPr>
        <w:t>Income from discontinued operations is summarized as follows:</w:t>
      </w:r>
      <w:r>
        <w:rPr>
          <w:rFonts w:eastAsia="Times New Roman"/>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1397"/>
        <w:gridCol w:w="38"/>
        <w:gridCol w:w="96"/>
        <w:gridCol w:w="457"/>
        <w:gridCol w:w="91"/>
        <w:gridCol w:w="36"/>
        <w:gridCol w:w="36"/>
        <w:gridCol w:w="36"/>
        <w:gridCol w:w="96"/>
        <w:gridCol w:w="281"/>
        <w:gridCol w:w="86"/>
        <w:gridCol w:w="36"/>
        <w:gridCol w:w="36"/>
        <w:gridCol w:w="36"/>
        <w:gridCol w:w="96"/>
        <w:gridCol w:w="255"/>
        <w:gridCol w:w="82"/>
        <w:gridCol w:w="36"/>
        <w:gridCol w:w="36"/>
        <w:gridCol w:w="36"/>
        <w:gridCol w:w="95"/>
        <w:gridCol w:w="215"/>
        <w:gridCol w:w="65"/>
        <w:gridCol w:w="36"/>
        <w:gridCol w:w="36"/>
        <w:gridCol w:w="36"/>
        <w:gridCol w:w="96"/>
        <w:gridCol w:w="457"/>
        <w:gridCol w:w="91"/>
        <w:gridCol w:w="36"/>
        <w:gridCol w:w="36"/>
        <w:gridCol w:w="36"/>
        <w:gridCol w:w="96"/>
        <w:gridCol w:w="281"/>
        <w:gridCol w:w="86"/>
        <w:gridCol w:w="36"/>
        <w:gridCol w:w="36"/>
        <w:gridCol w:w="36"/>
        <w:gridCol w:w="96"/>
        <w:gridCol w:w="255"/>
        <w:gridCol w:w="82"/>
        <w:gridCol w:w="36"/>
        <w:gridCol w:w="36"/>
        <w:gridCol w:w="36"/>
        <w:gridCol w:w="95"/>
        <w:gridCol w:w="315"/>
        <w:gridCol w:w="65"/>
        <w:gridCol w:w="36"/>
        <w:gridCol w:w="36"/>
        <w:gridCol w:w="36"/>
        <w:gridCol w:w="96"/>
        <w:gridCol w:w="457"/>
        <w:gridCol w:w="91"/>
        <w:gridCol w:w="36"/>
        <w:gridCol w:w="36"/>
        <w:gridCol w:w="36"/>
        <w:gridCol w:w="96"/>
        <w:gridCol w:w="281"/>
        <w:gridCol w:w="86"/>
        <w:gridCol w:w="36"/>
        <w:gridCol w:w="36"/>
        <w:gridCol w:w="725"/>
      </w:tblGrid>
      <w:tr w:rsidR="00000000" w14:paraId="4C40CDD7" w14:textId="77777777">
        <w:trPr>
          <w:divId w:val="746341111"/>
          <w:jc w:val="center"/>
        </w:trPr>
        <w:tc>
          <w:tcPr>
            <w:tcW w:w="50" w:type="pct"/>
            <w:vAlign w:val="center"/>
            <w:hideMark/>
          </w:tcPr>
          <w:p w14:paraId="75AD7FF5" w14:textId="77777777" w:rsidR="00000000" w:rsidRDefault="00195E73">
            <w:pPr>
              <w:ind w:firstLine="450"/>
              <w:rPr>
                <w:rFonts w:eastAsia="Times New Roman"/>
              </w:rPr>
            </w:pPr>
          </w:p>
        </w:tc>
        <w:tc>
          <w:tcPr>
            <w:tcW w:w="1109" w:type="pct"/>
            <w:vAlign w:val="center"/>
            <w:hideMark/>
          </w:tcPr>
          <w:p w14:paraId="1C12C5D4" w14:textId="77777777" w:rsidR="00000000" w:rsidRDefault="00195E73">
            <w:pPr>
              <w:rPr>
                <w:rFonts w:eastAsia="Times New Roman"/>
                <w:sz w:val="20"/>
                <w:szCs w:val="20"/>
              </w:rPr>
            </w:pPr>
          </w:p>
        </w:tc>
        <w:tc>
          <w:tcPr>
            <w:tcW w:w="50" w:type="pct"/>
            <w:vAlign w:val="center"/>
            <w:hideMark/>
          </w:tcPr>
          <w:p w14:paraId="173C182E" w14:textId="77777777" w:rsidR="00000000" w:rsidRDefault="00195E73">
            <w:pPr>
              <w:rPr>
                <w:rFonts w:eastAsia="Times New Roman"/>
                <w:sz w:val="20"/>
                <w:szCs w:val="20"/>
              </w:rPr>
            </w:pPr>
          </w:p>
        </w:tc>
        <w:tc>
          <w:tcPr>
            <w:tcW w:w="50" w:type="pct"/>
            <w:vAlign w:val="center"/>
            <w:hideMark/>
          </w:tcPr>
          <w:p w14:paraId="77785F18" w14:textId="77777777" w:rsidR="00000000" w:rsidRDefault="00195E73">
            <w:pPr>
              <w:rPr>
                <w:rFonts w:eastAsia="Times New Roman"/>
                <w:sz w:val="20"/>
                <w:szCs w:val="20"/>
              </w:rPr>
            </w:pPr>
          </w:p>
        </w:tc>
        <w:tc>
          <w:tcPr>
            <w:tcW w:w="251" w:type="pct"/>
            <w:vAlign w:val="center"/>
            <w:hideMark/>
          </w:tcPr>
          <w:p w14:paraId="5FE5195F" w14:textId="77777777" w:rsidR="00000000" w:rsidRDefault="00195E73">
            <w:pPr>
              <w:rPr>
                <w:rFonts w:eastAsia="Times New Roman"/>
                <w:sz w:val="20"/>
                <w:szCs w:val="20"/>
              </w:rPr>
            </w:pPr>
          </w:p>
        </w:tc>
        <w:tc>
          <w:tcPr>
            <w:tcW w:w="50" w:type="pct"/>
            <w:vAlign w:val="center"/>
            <w:hideMark/>
          </w:tcPr>
          <w:p w14:paraId="730B42E0" w14:textId="77777777" w:rsidR="00000000" w:rsidRDefault="00195E73">
            <w:pPr>
              <w:rPr>
                <w:rFonts w:eastAsia="Times New Roman"/>
                <w:sz w:val="20"/>
                <w:szCs w:val="20"/>
              </w:rPr>
            </w:pPr>
          </w:p>
        </w:tc>
        <w:tc>
          <w:tcPr>
            <w:tcW w:w="5" w:type="pct"/>
            <w:vAlign w:val="center"/>
            <w:hideMark/>
          </w:tcPr>
          <w:p w14:paraId="121184C3" w14:textId="77777777" w:rsidR="00000000" w:rsidRDefault="00195E73">
            <w:pPr>
              <w:rPr>
                <w:rFonts w:eastAsia="Times New Roman"/>
                <w:sz w:val="20"/>
                <w:szCs w:val="20"/>
              </w:rPr>
            </w:pPr>
          </w:p>
        </w:tc>
        <w:tc>
          <w:tcPr>
            <w:tcW w:w="26" w:type="pct"/>
            <w:vAlign w:val="center"/>
            <w:hideMark/>
          </w:tcPr>
          <w:p w14:paraId="451EEA35" w14:textId="77777777" w:rsidR="00000000" w:rsidRDefault="00195E73">
            <w:pPr>
              <w:rPr>
                <w:rFonts w:eastAsia="Times New Roman"/>
                <w:sz w:val="20"/>
                <w:szCs w:val="20"/>
              </w:rPr>
            </w:pPr>
          </w:p>
        </w:tc>
        <w:tc>
          <w:tcPr>
            <w:tcW w:w="5" w:type="pct"/>
            <w:vAlign w:val="center"/>
            <w:hideMark/>
          </w:tcPr>
          <w:p w14:paraId="4E0BC407" w14:textId="77777777" w:rsidR="00000000" w:rsidRDefault="00195E73">
            <w:pPr>
              <w:rPr>
                <w:rFonts w:eastAsia="Times New Roman"/>
                <w:sz w:val="20"/>
                <w:szCs w:val="20"/>
              </w:rPr>
            </w:pPr>
          </w:p>
        </w:tc>
        <w:tc>
          <w:tcPr>
            <w:tcW w:w="50" w:type="pct"/>
            <w:vAlign w:val="center"/>
            <w:hideMark/>
          </w:tcPr>
          <w:p w14:paraId="346C130A" w14:textId="77777777" w:rsidR="00000000" w:rsidRDefault="00195E73">
            <w:pPr>
              <w:rPr>
                <w:rFonts w:eastAsia="Times New Roman"/>
                <w:sz w:val="20"/>
                <w:szCs w:val="20"/>
              </w:rPr>
            </w:pPr>
          </w:p>
        </w:tc>
        <w:tc>
          <w:tcPr>
            <w:tcW w:w="163" w:type="pct"/>
            <w:vAlign w:val="center"/>
            <w:hideMark/>
          </w:tcPr>
          <w:p w14:paraId="31233FF3" w14:textId="77777777" w:rsidR="00000000" w:rsidRDefault="00195E73">
            <w:pPr>
              <w:rPr>
                <w:rFonts w:eastAsia="Times New Roman"/>
                <w:sz w:val="20"/>
                <w:szCs w:val="20"/>
              </w:rPr>
            </w:pPr>
          </w:p>
        </w:tc>
        <w:tc>
          <w:tcPr>
            <w:tcW w:w="50" w:type="pct"/>
            <w:vAlign w:val="center"/>
            <w:hideMark/>
          </w:tcPr>
          <w:p w14:paraId="30591489" w14:textId="77777777" w:rsidR="00000000" w:rsidRDefault="00195E73">
            <w:pPr>
              <w:rPr>
                <w:rFonts w:eastAsia="Times New Roman"/>
                <w:sz w:val="20"/>
                <w:szCs w:val="20"/>
              </w:rPr>
            </w:pPr>
          </w:p>
        </w:tc>
        <w:tc>
          <w:tcPr>
            <w:tcW w:w="5" w:type="pct"/>
            <w:vAlign w:val="center"/>
            <w:hideMark/>
          </w:tcPr>
          <w:p w14:paraId="64759BA4" w14:textId="77777777" w:rsidR="00000000" w:rsidRDefault="00195E73">
            <w:pPr>
              <w:rPr>
                <w:rFonts w:eastAsia="Times New Roman"/>
                <w:sz w:val="20"/>
                <w:szCs w:val="20"/>
              </w:rPr>
            </w:pPr>
          </w:p>
        </w:tc>
        <w:tc>
          <w:tcPr>
            <w:tcW w:w="26" w:type="pct"/>
            <w:vAlign w:val="center"/>
            <w:hideMark/>
          </w:tcPr>
          <w:p w14:paraId="0EE0D48C" w14:textId="77777777" w:rsidR="00000000" w:rsidRDefault="00195E73">
            <w:pPr>
              <w:rPr>
                <w:rFonts w:eastAsia="Times New Roman"/>
                <w:sz w:val="20"/>
                <w:szCs w:val="20"/>
              </w:rPr>
            </w:pPr>
          </w:p>
        </w:tc>
        <w:tc>
          <w:tcPr>
            <w:tcW w:w="5" w:type="pct"/>
            <w:vAlign w:val="center"/>
            <w:hideMark/>
          </w:tcPr>
          <w:p w14:paraId="6246BCE6" w14:textId="77777777" w:rsidR="00000000" w:rsidRDefault="00195E73">
            <w:pPr>
              <w:rPr>
                <w:rFonts w:eastAsia="Times New Roman"/>
                <w:sz w:val="20"/>
                <w:szCs w:val="20"/>
              </w:rPr>
            </w:pPr>
          </w:p>
        </w:tc>
        <w:tc>
          <w:tcPr>
            <w:tcW w:w="50" w:type="pct"/>
            <w:vAlign w:val="center"/>
            <w:hideMark/>
          </w:tcPr>
          <w:p w14:paraId="4EC9ACAE" w14:textId="77777777" w:rsidR="00000000" w:rsidRDefault="00195E73">
            <w:pPr>
              <w:rPr>
                <w:rFonts w:eastAsia="Times New Roman"/>
                <w:sz w:val="20"/>
                <w:szCs w:val="20"/>
              </w:rPr>
            </w:pPr>
          </w:p>
        </w:tc>
        <w:tc>
          <w:tcPr>
            <w:tcW w:w="156" w:type="pct"/>
            <w:vAlign w:val="center"/>
            <w:hideMark/>
          </w:tcPr>
          <w:p w14:paraId="29F262FC" w14:textId="77777777" w:rsidR="00000000" w:rsidRDefault="00195E73">
            <w:pPr>
              <w:rPr>
                <w:rFonts w:eastAsia="Times New Roman"/>
                <w:sz w:val="20"/>
                <w:szCs w:val="20"/>
              </w:rPr>
            </w:pPr>
          </w:p>
        </w:tc>
        <w:tc>
          <w:tcPr>
            <w:tcW w:w="50" w:type="pct"/>
            <w:vAlign w:val="center"/>
            <w:hideMark/>
          </w:tcPr>
          <w:p w14:paraId="52CC13DE" w14:textId="77777777" w:rsidR="00000000" w:rsidRDefault="00195E73">
            <w:pPr>
              <w:rPr>
                <w:rFonts w:eastAsia="Times New Roman"/>
                <w:sz w:val="20"/>
                <w:szCs w:val="20"/>
              </w:rPr>
            </w:pPr>
          </w:p>
        </w:tc>
        <w:tc>
          <w:tcPr>
            <w:tcW w:w="5" w:type="pct"/>
            <w:vAlign w:val="center"/>
            <w:hideMark/>
          </w:tcPr>
          <w:p w14:paraId="7A231FEF" w14:textId="77777777" w:rsidR="00000000" w:rsidRDefault="00195E73">
            <w:pPr>
              <w:rPr>
                <w:rFonts w:eastAsia="Times New Roman"/>
                <w:sz w:val="20"/>
                <w:szCs w:val="20"/>
              </w:rPr>
            </w:pPr>
          </w:p>
        </w:tc>
        <w:tc>
          <w:tcPr>
            <w:tcW w:w="26" w:type="pct"/>
            <w:vAlign w:val="center"/>
            <w:hideMark/>
          </w:tcPr>
          <w:p w14:paraId="308D106E" w14:textId="77777777" w:rsidR="00000000" w:rsidRDefault="00195E73">
            <w:pPr>
              <w:rPr>
                <w:rFonts w:eastAsia="Times New Roman"/>
                <w:sz w:val="20"/>
                <w:szCs w:val="20"/>
              </w:rPr>
            </w:pPr>
          </w:p>
        </w:tc>
        <w:tc>
          <w:tcPr>
            <w:tcW w:w="5" w:type="pct"/>
            <w:vAlign w:val="center"/>
            <w:hideMark/>
          </w:tcPr>
          <w:p w14:paraId="2EBC2880" w14:textId="77777777" w:rsidR="00000000" w:rsidRDefault="00195E73">
            <w:pPr>
              <w:rPr>
                <w:rFonts w:eastAsia="Times New Roman"/>
                <w:sz w:val="20"/>
                <w:szCs w:val="20"/>
              </w:rPr>
            </w:pPr>
          </w:p>
        </w:tc>
        <w:tc>
          <w:tcPr>
            <w:tcW w:w="50" w:type="pct"/>
            <w:vAlign w:val="center"/>
            <w:hideMark/>
          </w:tcPr>
          <w:p w14:paraId="036A767E" w14:textId="77777777" w:rsidR="00000000" w:rsidRDefault="00195E73">
            <w:pPr>
              <w:rPr>
                <w:rFonts w:eastAsia="Times New Roman"/>
                <w:sz w:val="20"/>
                <w:szCs w:val="20"/>
              </w:rPr>
            </w:pPr>
          </w:p>
        </w:tc>
        <w:tc>
          <w:tcPr>
            <w:tcW w:w="156" w:type="pct"/>
            <w:vAlign w:val="center"/>
            <w:hideMark/>
          </w:tcPr>
          <w:p w14:paraId="265077E6" w14:textId="77777777" w:rsidR="00000000" w:rsidRDefault="00195E73">
            <w:pPr>
              <w:rPr>
                <w:rFonts w:eastAsia="Times New Roman"/>
                <w:sz w:val="20"/>
                <w:szCs w:val="20"/>
              </w:rPr>
            </w:pPr>
          </w:p>
        </w:tc>
        <w:tc>
          <w:tcPr>
            <w:tcW w:w="50" w:type="pct"/>
            <w:vAlign w:val="center"/>
            <w:hideMark/>
          </w:tcPr>
          <w:p w14:paraId="781467E7" w14:textId="77777777" w:rsidR="00000000" w:rsidRDefault="00195E73">
            <w:pPr>
              <w:rPr>
                <w:rFonts w:eastAsia="Times New Roman"/>
                <w:sz w:val="20"/>
                <w:szCs w:val="20"/>
              </w:rPr>
            </w:pPr>
          </w:p>
        </w:tc>
        <w:tc>
          <w:tcPr>
            <w:tcW w:w="5" w:type="pct"/>
            <w:vAlign w:val="center"/>
            <w:hideMark/>
          </w:tcPr>
          <w:p w14:paraId="41E2EF58" w14:textId="77777777" w:rsidR="00000000" w:rsidRDefault="00195E73">
            <w:pPr>
              <w:rPr>
                <w:rFonts w:eastAsia="Times New Roman"/>
                <w:sz w:val="20"/>
                <w:szCs w:val="20"/>
              </w:rPr>
            </w:pPr>
          </w:p>
        </w:tc>
        <w:tc>
          <w:tcPr>
            <w:tcW w:w="26" w:type="pct"/>
            <w:vAlign w:val="center"/>
            <w:hideMark/>
          </w:tcPr>
          <w:p w14:paraId="3A04E87F" w14:textId="77777777" w:rsidR="00000000" w:rsidRDefault="00195E73">
            <w:pPr>
              <w:rPr>
                <w:rFonts w:eastAsia="Times New Roman"/>
                <w:sz w:val="20"/>
                <w:szCs w:val="20"/>
              </w:rPr>
            </w:pPr>
          </w:p>
        </w:tc>
        <w:tc>
          <w:tcPr>
            <w:tcW w:w="5" w:type="pct"/>
            <w:vAlign w:val="center"/>
            <w:hideMark/>
          </w:tcPr>
          <w:p w14:paraId="69582EB2" w14:textId="77777777" w:rsidR="00000000" w:rsidRDefault="00195E73">
            <w:pPr>
              <w:rPr>
                <w:rFonts w:eastAsia="Times New Roman"/>
                <w:sz w:val="20"/>
                <w:szCs w:val="20"/>
              </w:rPr>
            </w:pPr>
          </w:p>
        </w:tc>
        <w:tc>
          <w:tcPr>
            <w:tcW w:w="50" w:type="pct"/>
            <w:vAlign w:val="center"/>
            <w:hideMark/>
          </w:tcPr>
          <w:p w14:paraId="77044557" w14:textId="77777777" w:rsidR="00000000" w:rsidRDefault="00195E73">
            <w:pPr>
              <w:rPr>
                <w:rFonts w:eastAsia="Times New Roman"/>
                <w:sz w:val="20"/>
                <w:szCs w:val="20"/>
              </w:rPr>
            </w:pPr>
          </w:p>
        </w:tc>
        <w:tc>
          <w:tcPr>
            <w:tcW w:w="251" w:type="pct"/>
            <w:vAlign w:val="center"/>
            <w:hideMark/>
          </w:tcPr>
          <w:p w14:paraId="79E52345" w14:textId="77777777" w:rsidR="00000000" w:rsidRDefault="00195E73">
            <w:pPr>
              <w:rPr>
                <w:rFonts w:eastAsia="Times New Roman"/>
                <w:sz w:val="20"/>
                <w:szCs w:val="20"/>
              </w:rPr>
            </w:pPr>
          </w:p>
        </w:tc>
        <w:tc>
          <w:tcPr>
            <w:tcW w:w="50" w:type="pct"/>
            <w:vAlign w:val="center"/>
            <w:hideMark/>
          </w:tcPr>
          <w:p w14:paraId="66871A41" w14:textId="77777777" w:rsidR="00000000" w:rsidRDefault="00195E73">
            <w:pPr>
              <w:rPr>
                <w:rFonts w:eastAsia="Times New Roman"/>
                <w:sz w:val="20"/>
                <w:szCs w:val="20"/>
              </w:rPr>
            </w:pPr>
          </w:p>
        </w:tc>
        <w:tc>
          <w:tcPr>
            <w:tcW w:w="5" w:type="pct"/>
            <w:vAlign w:val="center"/>
            <w:hideMark/>
          </w:tcPr>
          <w:p w14:paraId="68072A1E" w14:textId="77777777" w:rsidR="00000000" w:rsidRDefault="00195E73">
            <w:pPr>
              <w:rPr>
                <w:rFonts w:eastAsia="Times New Roman"/>
                <w:sz w:val="20"/>
                <w:szCs w:val="20"/>
              </w:rPr>
            </w:pPr>
          </w:p>
        </w:tc>
        <w:tc>
          <w:tcPr>
            <w:tcW w:w="26" w:type="pct"/>
            <w:vAlign w:val="center"/>
            <w:hideMark/>
          </w:tcPr>
          <w:p w14:paraId="75E7C06C" w14:textId="77777777" w:rsidR="00000000" w:rsidRDefault="00195E73">
            <w:pPr>
              <w:rPr>
                <w:rFonts w:eastAsia="Times New Roman"/>
                <w:sz w:val="20"/>
                <w:szCs w:val="20"/>
              </w:rPr>
            </w:pPr>
          </w:p>
        </w:tc>
        <w:tc>
          <w:tcPr>
            <w:tcW w:w="5" w:type="pct"/>
            <w:vAlign w:val="center"/>
            <w:hideMark/>
          </w:tcPr>
          <w:p w14:paraId="56CDF548" w14:textId="77777777" w:rsidR="00000000" w:rsidRDefault="00195E73">
            <w:pPr>
              <w:rPr>
                <w:rFonts w:eastAsia="Times New Roman"/>
                <w:sz w:val="20"/>
                <w:szCs w:val="20"/>
              </w:rPr>
            </w:pPr>
          </w:p>
        </w:tc>
        <w:tc>
          <w:tcPr>
            <w:tcW w:w="50" w:type="pct"/>
            <w:vAlign w:val="center"/>
            <w:hideMark/>
          </w:tcPr>
          <w:p w14:paraId="3647A359" w14:textId="77777777" w:rsidR="00000000" w:rsidRDefault="00195E73">
            <w:pPr>
              <w:rPr>
                <w:rFonts w:eastAsia="Times New Roman"/>
                <w:sz w:val="20"/>
                <w:szCs w:val="20"/>
              </w:rPr>
            </w:pPr>
          </w:p>
        </w:tc>
        <w:tc>
          <w:tcPr>
            <w:tcW w:w="163" w:type="pct"/>
            <w:vAlign w:val="center"/>
            <w:hideMark/>
          </w:tcPr>
          <w:p w14:paraId="75525F27" w14:textId="77777777" w:rsidR="00000000" w:rsidRDefault="00195E73">
            <w:pPr>
              <w:rPr>
                <w:rFonts w:eastAsia="Times New Roman"/>
                <w:sz w:val="20"/>
                <w:szCs w:val="20"/>
              </w:rPr>
            </w:pPr>
          </w:p>
        </w:tc>
        <w:tc>
          <w:tcPr>
            <w:tcW w:w="50" w:type="pct"/>
            <w:vAlign w:val="center"/>
            <w:hideMark/>
          </w:tcPr>
          <w:p w14:paraId="7419427E" w14:textId="77777777" w:rsidR="00000000" w:rsidRDefault="00195E73">
            <w:pPr>
              <w:rPr>
                <w:rFonts w:eastAsia="Times New Roman"/>
                <w:sz w:val="20"/>
                <w:szCs w:val="20"/>
              </w:rPr>
            </w:pPr>
          </w:p>
        </w:tc>
        <w:tc>
          <w:tcPr>
            <w:tcW w:w="5" w:type="pct"/>
            <w:vAlign w:val="center"/>
            <w:hideMark/>
          </w:tcPr>
          <w:p w14:paraId="0818C833" w14:textId="77777777" w:rsidR="00000000" w:rsidRDefault="00195E73">
            <w:pPr>
              <w:rPr>
                <w:rFonts w:eastAsia="Times New Roman"/>
                <w:sz w:val="20"/>
                <w:szCs w:val="20"/>
              </w:rPr>
            </w:pPr>
          </w:p>
        </w:tc>
        <w:tc>
          <w:tcPr>
            <w:tcW w:w="26" w:type="pct"/>
            <w:vAlign w:val="center"/>
            <w:hideMark/>
          </w:tcPr>
          <w:p w14:paraId="39C4F9B6" w14:textId="77777777" w:rsidR="00000000" w:rsidRDefault="00195E73">
            <w:pPr>
              <w:rPr>
                <w:rFonts w:eastAsia="Times New Roman"/>
                <w:sz w:val="20"/>
                <w:szCs w:val="20"/>
              </w:rPr>
            </w:pPr>
          </w:p>
        </w:tc>
        <w:tc>
          <w:tcPr>
            <w:tcW w:w="5" w:type="pct"/>
            <w:vAlign w:val="center"/>
            <w:hideMark/>
          </w:tcPr>
          <w:p w14:paraId="54AC82E6" w14:textId="77777777" w:rsidR="00000000" w:rsidRDefault="00195E73">
            <w:pPr>
              <w:rPr>
                <w:rFonts w:eastAsia="Times New Roman"/>
                <w:sz w:val="20"/>
                <w:szCs w:val="20"/>
              </w:rPr>
            </w:pPr>
          </w:p>
        </w:tc>
        <w:tc>
          <w:tcPr>
            <w:tcW w:w="50" w:type="pct"/>
            <w:vAlign w:val="center"/>
            <w:hideMark/>
          </w:tcPr>
          <w:p w14:paraId="79268BD7" w14:textId="77777777" w:rsidR="00000000" w:rsidRDefault="00195E73">
            <w:pPr>
              <w:rPr>
                <w:rFonts w:eastAsia="Times New Roman"/>
                <w:sz w:val="20"/>
                <w:szCs w:val="20"/>
              </w:rPr>
            </w:pPr>
          </w:p>
        </w:tc>
        <w:tc>
          <w:tcPr>
            <w:tcW w:w="156" w:type="pct"/>
            <w:vAlign w:val="center"/>
            <w:hideMark/>
          </w:tcPr>
          <w:p w14:paraId="56CFB296" w14:textId="77777777" w:rsidR="00000000" w:rsidRDefault="00195E73">
            <w:pPr>
              <w:rPr>
                <w:rFonts w:eastAsia="Times New Roman"/>
                <w:sz w:val="20"/>
                <w:szCs w:val="20"/>
              </w:rPr>
            </w:pPr>
          </w:p>
        </w:tc>
        <w:tc>
          <w:tcPr>
            <w:tcW w:w="50" w:type="pct"/>
            <w:vAlign w:val="center"/>
            <w:hideMark/>
          </w:tcPr>
          <w:p w14:paraId="79030B84" w14:textId="77777777" w:rsidR="00000000" w:rsidRDefault="00195E73">
            <w:pPr>
              <w:rPr>
                <w:rFonts w:eastAsia="Times New Roman"/>
                <w:sz w:val="20"/>
                <w:szCs w:val="20"/>
              </w:rPr>
            </w:pPr>
          </w:p>
        </w:tc>
        <w:tc>
          <w:tcPr>
            <w:tcW w:w="5" w:type="pct"/>
            <w:vAlign w:val="center"/>
            <w:hideMark/>
          </w:tcPr>
          <w:p w14:paraId="04DDBDCB" w14:textId="77777777" w:rsidR="00000000" w:rsidRDefault="00195E73">
            <w:pPr>
              <w:rPr>
                <w:rFonts w:eastAsia="Times New Roman"/>
                <w:sz w:val="20"/>
                <w:szCs w:val="20"/>
              </w:rPr>
            </w:pPr>
          </w:p>
        </w:tc>
        <w:tc>
          <w:tcPr>
            <w:tcW w:w="26" w:type="pct"/>
            <w:vAlign w:val="center"/>
            <w:hideMark/>
          </w:tcPr>
          <w:p w14:paraId="49C6CB85" w14:textId="77777777" w:rsidR="00000000" w:rsidRDefault="00195E73">
            <w:pPr>
              <w:rPr>
                <w:rFonts w:eastAsia="Times New Roman"/>
                <w:sz w:val="20"/>
                <w:szCs w:val="20"/>
              </w:rPr>
            </w:pPr>
          </w:p>
        </w:tc>
        <w:tc>
          <w:tcPr>
            <w:tcW w:w="5" w:type="pct"/>
            <w:vAlign w:val="center"/>
            <w:hideMark/>
          </w:tcPr>
          <w:p w14:paraId="6A7A7EB0" w14:textId="77777777" w:rsidR="00000000" w:rsidRDefault="00195E73">
            <w:pPr>
              <w:rPr>
                <w:rFonts w:eastAsia="Times New Roman"/>
                <w:sz w:val="20"/>
                <w:szCs w:val="20"/>
              </w:rPr>
            </w:pPr>
          </w:p>
        </w:tc>
        <w:tc>
          <w:tcPr>
            <w:tcW w:w="50" w:type="pct"/>
            <w:vAlign w:val="center"/>
            <w:hideMark/>
          </w:tcPr>
          <w:p w14:paraId="785B09D0" w14:textId="77777777" w:rsidR="00000000" w:rsidRDefault="00195E73">
            <w:pPr>
              <w:rPr>
                <w:rFonts w:eastAsia="Times New Roman"/>
                <w:sz w:val="20"/>
                <w:szCs w:val="20"/>
              </w:rPr>
            </w:pPr>
          </w:p>
        </w:tc>
        <w:tc>
          <w:tcPr>
            <w:tcW w:w="156" w:type="pct"/>
            <w:vAlign w:val="center"/>
            <w:hideMark/>
          </w:tcPr>
          <w:p w14:paraId="579475A2" w14:textId="77777777" w:rsidR="00000000" w:rsidRDefault="00195E73">
            <w:pPr>
              <w:rPr>
                <w:rFonts w:eastAsia="Times New Roman"/>
                <w:sz w:val="20"/>
                <w:szCs w:val="20"/>
              </w:rPr>
            </w:pPr>
          </w:p>
        </w:tc>
        <w:tc>
          <w:tcPr>
            <w:tcW w:w="50" w:type="pct"/>
            <w:vAlign w:val="center"/>
            <w:hideMark/>
          </w:tcPr>
          <w:p w14:paraId="7571B877" w14:textId="77777777" w:rsidR="00000000" w:rsidRDefault="00195E73">
            <w:pPr>
              <w:rPr>
                <w:rFonts w:eastAsia="Times New Roman"/>
                <w:sz w:val="20"/>
                <w:szCs w:val="20"/>
              </w:rPr>
            </w:pPr>
          </w:p>
        </w:tc>
        <w:tc>
          <w:tcPr>
            <w:tcW w:w="5" w:type="pct"/>
            <w:vAlign w:val="center"/>
            <w:hideMark/>
          </w:tcPr>
          <w:p w14:paraId="26BEADA9" w14:textId="77777777" w:rsidR="00000000" w:rsidRDefault="00195E73">
            <w:pPr>
              <w:rPr>
                <w:rFonts w:eastAsia="Times New Roman"/>
                <w:sz w:val="20"/>
                <w:szCs w:val="20"/>
              </w:rPr>
            </w:pPr>
          </w:p>
        </w:tc>
        <w:tc>
          <w:tcPr>
            <w:tcW w:w="26" w:type="pct"/>
            <w:vAlign w:val="center"/>
            <w:hideMark/>
          </w:tcPr>
          <w:p w14:paraId="7C18ECC1" w14:textId="77777777" w:rsidR="00000000" w:rsidRDefault="00195E73">
            <w:pPr>
              <w:rPr>
                <w:rFonts w:eastAsia="Times New Roman"/>
                <w:sz w:val="20"/>
                <w:szCs w:val="20"/>
              </w:rPr>
            </w:pPr>
          </w:p>
        </w:tc>
        <w:tc>
          <w:tcPr>
            <w:tcW w:w="5" w:type="pct"/>
            <w:vAlign w:val="center"/>
            <w:hideMark/>
          </w:tcPr>
          <w:p w14:paraId="633FA970" w14:textId="77777777" w:rsidR="00000000" w:rsidRDefault="00195E73">
            <w:pPr>
              <w:rPr>
                <w:rFonts w:eastAsia="Times New Roman"/>
                <w:sz w:val="20"/>
                <w:szCs w:val="20"/>
              </w:rPr>
            </w:pPr>
          </w:p>
        </w:tc>
        <w:tc>
          <w:tcPr>
            <w:tcW w:w="50" w:type="pct"/>
            <w:vAlign w:val="center"/>
            <w:hideMark/>
          </w:tcPr>
          <w:p w14:paraId="1C541B4F" w14:textId="77777777" w:rsidR="00000000" w:rsidRDefault="00195E73">
            <w:pPr>
              <w:rPr>
                <w:rFonts w:eastAsia="Times New Roman"/>
                <w:sz w:val="20"/>
                <w:szCs w:val="20"/>
              </w:rPr>
            </w:pPr>
          </w:p>
        </w:tc>
        <w:tc>
          <w:tcPr>
            <w:tcW w:w="251" w:type="pct"/>
            <w:vAlign w:val="center"/>
            <w:hideMark/>
          </w:tcPr>
          <w:p w14:paraId="61A87592" w14:textId="77777777" w:rsidR="00000000" w:rsidRDefault="00195E73">
            <w:pPr>
              <w:rPr>
                <w:rFonts w:eastAsia="Times New Roman"/>
                <w:sz w:val="20"/>
                <w:szCs w:val="20"/>
              </w:rPr>
            </w:pPr>
          </w:p>
        </w:tc>
        <w:tc>
          <w:tcPr>
            <w:tcW w:w="50" w:type="pct"/>
            <w:vAlign w:val="center"/>
            <w:hideMark/>
          </w:tcPr>
          <w:p w14:paraId="16B35402" w14:textId="77777777" w:rsidR="00000000" w:rsidRDefault="00195E73">
            <w:pPr>
              <w:rPr>
                <w:rFonts w:eastAsia="Times New Roman"/>
                <w:sz w:val="20"/>
                <w:szCs w:val="20"/>
              </w:rPr>
            </w:pPr>
          </w:p>
        </w:tc>
        <w:tc>
          <w:tcPr>
            <w:tcW w:w="5" w:type="pct"/>
            <w:vAlign w:val="center"/>
            <w:hideMark/>
          </w:tcPr>
          <w:p w14:paraId="78AA8EC4" w14:textId="77777777" w:rsidR="00000000" w:rsidRDefault="00195E73">
            <w:pPr>
              <w:rPr>
                <w:rFonts w:eastAsia="Times New Roman"/>
                <w:sz w:val="20"/>
                <w:szCs w:val="20"/>
              </w:rPr>
            </w:pPr>
          </w:p>
        </w:tc>
        <w:tc>
          <w:tcPr>
            <w:tcW w:w="26" w:type="pct"/>
            <w:vAlign w:val="center"/>
            <w:hideMark/>
          </w:tcPr>
          <w:p w14:paraId="4233DE54" w14:textId="77777777" w:rsidR="00000000" w:rsidRDefault="00195E73">
            <w:pPr>
              <w:rPr>
                <w:rFonts w:eastAsia="Times New Roman"/>
                <w:sz w:val="20"/>
                <w:szCs w:val="20"/>
              </w:rPr>
            </w:pPr>
          </w:p>
        </w:tc>
        <w:tc>
          <w:tcPr>
            <w:tcW w:w="5" w:type="pct"/>
            <w:vAlign w:val="center"/>
            <w:hideMark/>
          </w:tcPr>
          <w:p w14:paraId="5AE5105C" w14:textId="77777777" w:rsidR="00000000" w:rsidRDefault="00195E73">
            <w:pPr>
              <w:rPr>
                <w:rFonts w:eastAsia="Times New Roman"/>
                <w:sz w:val="20"/>
                <w:szCs w:val="20"/>
              </w:rPr>
            </w:pPr>
          </w:p>
        </w:tc>
        <w:tc>
          <w:tcPr>
            <w:tcW w:w="50" w:type="pct"/>
            <w:vAlign w:val="center"/>
            <w:hideMark/>
          </w:tcPr>
          <w:p w14:paraId="20B17D14" w14:textId="77777777" w:rsidR="00000000" w:rsidRDefault="00195E73">
            <w:pPr>
              <w:rPr>
                <w:rFonts w:eastAsia="Times New Roman"/>
                <w:sz w:val="20"/>
                <w:szCs w:val="20"/>
              </w:rPr>
            </w:pPr>
          </w:p>
        </w:tc>
        <w:tc>
          <w:tcPr>
            <w:tcW w:w="163" w:type="pct"/>
            <w:vAlign w:val="center"/>
            <w:hideMark/>
          </w:tcPr>
          <w:p w14:paraId="54183212" w14:textId="77777777" w:rsidR="00000000" w:rsidRDefault="00195E73">
            <w:pPr>
              <w:rPr>
                <w:rFonts w:eastAsia="Times New Roman"/>
                <w:sz w:val="20"/>
                <w:szCs w:val="20"/>
              </w:rPr>
            </w:pPr>
          </w:p>
        </w:tc>
        <w:tc>
          <w:tcPr>
            <w:tcW w:w="50" w:type="pct"/>
            <w:vAlign w:val="center"/>
            <w:hideMark/>
          </w:tcPr>
          <w:p w14:paraId="3F45B328" w14:textId="77777777" w:rsidR="00000000" w:rsidRDefault="00195E73">
            <w:pPr>
              <w:rPr>
                <w:rFonts w:eastAsia="Times New Roman"/>
                <w:sz w:val="20"/>
                <w:szCs w:val="20"/>
              </w:rPr>
            </w:pPr>
          </w:p>
        </w:tc>
        <w:tc>
          <w:tcPr>
            <w:tcW w:w="5" w:type="pct"/>
            <w:vAlign w:val="center"/>
            <w:hideMark/>
          </w:tcPr>
          <w:p w14:paraId="6FF6DE78" w14:textId="77777777" w:rsidR="00000000" w:rsidRDefault="00195E73">
            <w:pPr>
              <w:rPr>
                <w:rFonts w:eastAsia="Times New Roman"/>
                <w:sz w:val="20"/>
                <w:szCs w:val="20"/>
              </w:rPr>
            </w:pPr>
          </w:p>
        </w:tc>
        <w:tc>
          <w:tcPr>
            <w:tcW w:w="26" w:type="pct"/>
            <w:vAlign w:val="center"/>
            <w:hideMark/>
          </w:tcPr>
          <w:p w14:paraId="6CC192BC" w14:textId="77777777" w:rsidR="00000000" w:rsidRDefault="00195E73">
            <w:pPr>
              <w:rPr>
                <w:rFonts w:eastAsia="Times New Roman"/>
                <w:sz w:val="20"/>
                <w:szCs w:val="20"/>
              </w:rPr>
            </w:pPr>
          </w:p>
        </w:tc>
        <w:tc>
          <w:tcPr>
            <w:tcW w:w="5" w:type="pct"/>
            <w:vAlign w:val="center"/>
            <w:hideMark/>
          </w:tcPr>
          <w:p w14:paraId="59271AED" w14:textId="77777777" w:rsidR="00000000" w:rsidRDefault="00195E73">
            <w:pPr>
              <w:rPr>
                <w:rFonts w:eastAsia="Times New Roman"/>
                <w:sz w:val="20"/>
                <w:szCs w:val="20"/>
              </w:rPr>
            </w:pPr>
          </w:p>
        </w:tc>
      </w:tr>
      <w:tr w:rsidR="00000000" w14:paraId="623CB142" w14:textId="77777777">
        <w:trPr>
          <w:divId w:val="746341111"/>
          <w:jc w:val="center"/>
        </w:trPr>
        <w:tc>
          <w:tcPr>
            <w:tcW w:w="0" w:type="auto"/>
            <w:gridSpan w:val="3"/>
            <w:tcMar>
              <w:top w:w="15" w:type="dxa"/>
              <w:left w:w="20" w:type="dxa"/>
              <w:bottom w:w="15" w:type="dxa"/>
              <w:right w:w="20" w:type="dxa"/>
            </w:tcMar>
            <w:vAlign w:val="bottom"/>
            <w:hideMark/>
          </w:tcPr>
          <w:p w14:paraId="6D257F7A" w14:textId="77777777" w:rsidR="00000000" w:rsidRDefault="00195E73">
            <w:pPr>
              <w:rPr>
                <w:rFonts w:eastAsia="Times New Roman"/>
                <w:sz w:val="20"/>
                <w:szCs w:val="20"/>
              </w:rPr>
            </w:pPr>
          </w:p>
        </w:tc>
        <w:tc>
          <w:tcPr>
            <w:tcW w:w="0" w:type="auto"/>
            <w:gridSpan w:val="21"/>
            <w:tcMar>
              <w:top w:w="30" w:type="dxa"/>
              <w:left w:w="20" w:type="dxa"/>
              <w:bottom w:w="30" w:type="dxa"/>
              <w:right w:w="20" w:type="dxa"/>
            </w:tcMar>
            <w:vAlign w:val="bottom"/>
            <w:hideMark/>
          </w:tcPr>
          <w:p w14:paraId="52986B5F" w14:textId="77777777" w:rsidR="00000000" w:rsidRDefault="00195E73">
            <w:pPr>
              <w:jc w:val="center"/>
              <w:rPr>
                <w:rFonts w:eastAsia="Times New Roman"/>
              </w:rPr>
            </w:pPr>
            <w:r>
              <w:rPr>
                <w:rFonts w:eastAsia="Times New Roman"/>
                <w:b/>
                <w:bCs/>
                <w:color w:val="000000"/>
                <w:sz w:val="12"/>
                <w:szCs w:val="12"/>
              </w:rPr>
              <w:t>Year Ended December 31, 201</w:t>
            </w:r>
            <w:r>
              <w:rPr>
                <w:rFonts w:eastAsia="Times New Roman"/>
                <w:b/>
                <w:bCs/>
                <w:color w:val="000000"/>
                <w:sz w:val="12"/>
                <w:szCs w:val="12"/>
              </w:rPr>
              <w:t>9</w:t>
            </w:r>
          </w:p>
        </w:tc>
        <w:tc>
          <w:tcPr>
            <w:tcW w:w="0" w:type="auto"/>
            <w:gridSpan w:val="3"/>
            <w:vAlign w:val="center"/>
            <w:hideMark/>
          </w:tcPr>
          <w:p w14:paraId="3C5C05B0" w14:textId="77777777" w:rsidR="00000000" w:rsidRDefault="00195E73">
            <w:pPr>
              <w:jc w:val="center"/>
              <w:rPr>
                <w:rFonts w:eastAsia="Times New Roman"/>
              </w:rPr>
            </w:pPr>
          </w:p>
        </w:tc>
        <w:tc>
          <w:tcPr>
            <w:tcW w:w="0" w:type="auto"/>
            <w:gridSpan w:val="3"/>
            <w:vAlign w:val="center"/>
            <w:hideMark/>
          </w:tcPr>
          <w:p w14:paraId="3152F32D" w14:textId="77777777" w:rsidR="00000000" w:rsidRDefault="00195E73">
            <w:pPr>
              <w:rPr>
                <w:rFonts w:eastAsia="Times New Roman"/>
                <w:sz w:val="20"/>
                <w:szCs w:val="20"/>
              </w:rPr>
            </w:pPr>
          </w:p>
        </w:tc>
        <w:tc>
          <w:tcPr>
            <w:tcW w:w="0" w:type="auto"/>
            <w:gridSpan w:val="3"/>
            <w:vAlign w:val="center"/>
            <w:hideMark/>
          </w:tcPr>
          <w:p w14:paraId="5647CEB4" w14:textId="77777777" w:rsidR="00000000" w:rsidRDefault="00195E73">
            <w:pPr>
              <w:rPr>
                <w:rFonts w:eastAsia="Times New Roman"/>
                <w:sz w:val="20"/>
                <w:szCs w:val="20"/>
              </w:rPr>
            </w:pPr>
          </w:p>
        </w:tc>
        <w:tc>
          <w:tcPr>
            <w:tcW w:w="0" w:type="auto"/>
            <w:gridSpan w:val="3"/>
            <w:vAlign w:val="center"/>
            <w:hideMark/>
          </w:tcPr>
          <w:p w14:paraId="1BD1A290" w14:textId="77777777" w:rsidR="00000000" w:rsidRDefault="00195E73">
            <w:pPr>
              <w:rPr>
                <w:rFonts w:eastAsia="Times New Roman"/>
                <w:sz w:val="20"/>
                <w:szCs w:val="20"/>
              </w:rPr>
            </w:pPr>
          </w:p>
        </w:tc>
        <w:tc>
          <w:tcPr>
            <w:tcW w:w="0" w:type="auto"/>
            <w:gridSpan w:val="3"/>
            <w:vAlign w:val="center"/>
            <w:hideMark/>
          </w:tcPr>
          <w:p w14:paraId="5456399D" w14:textId="77777777" w:rsidR="00000000" w:rsidRDefault="00195E73">
            <w:pPr>
              <w:rPr>
                <w:rFonts w:eastAsia="Times New Roman"/>
                <w:sz w:val="20"/>
                <w:szCs w:val="20"/>
              </w:rPr>
            </w:pPr>
          </w:p>
        </w:tc>
        <w:tc>
          <w:tcPr>
            <w:tcW w:w="0" w:type="auto"/>
            <w:gridSpan w:val="3"/>
            <w:vAlign w:val="center"/>
            <w:hideMark/>
          </w:tcPr>
          <w:p w14:paraId="0AED2AEF"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794BFB5" w14:textId="77777777" w:rsidR="00000000" w:rsidRDefault="00195E73">
            <w:pPr>
              <w:rPr>
                <w:rFonts w:eastAsia="Times New Roman"/>
                <w:sz w:val="20"/>
                <w:szCs w:val="20"/>
              </w:rPr>
            </w:pPr>
          </w:p>
        </w:tc>
        <w:tc>
          <w:tcPr>
            <w:tcW w:w="0" w:type="auto"/>
            <w:gridSpan w:val="17"/>
            <w:tcMar>
              <w:top w:w="30" w:type="dxa"/>
              <w:left w:w="20" w:type="dxa"/>
              <w:bottom w:w="30" w:type="dxa"/>
              <w:right w:w="20" w:type="dxa"/>
            </w:tcMar>
            <w:vAlign w:val="bottom"/>
            <w:hideMark/>
          </w:tcPr>
          <w:p w14:paraId="308B5507" w14:textId="77777777" w:rsidR="00000000" w:rsidRDefault="00195E73">
            <w:pPr>
              <w:jc w:val="center"/>
              <w:rPr>
                <w:rFonts w:eastAsia="Times New Roman"/>
              </w:rPr>
            </w:pPr>
            <w:r>
              <w:rPr>
                <w:rFonts w:eastAsia="Times New Roman"/>
                <w:b/>
                <w:bCs/>
                <w:color w:val="000000"/>
                <w:sz w:val="12"/>
                <w:szCs w:val="12"/>
              </w:rPr>
              <w:t>Year Ended December 31, 201</w:t>
            </w:r>
            <w:r>
              <w:rPr>
                <w:rFonts w:eastAsia="Times New Roman"/>
                <w:b/>
                <w:bCs/>
                <w:color w:val="000000"/>
                <w:sz w:val="12"/>
                <w:szCs w:val="12"/>
              </w:rPr>
              <w:t>8</w:t>
            </w:r>
          </w:p>
        </w:tc>
        <w:tc>
          <w:tcPr>
            <w:tcW w:w="0" w:type="auto"/>
            <w:vAlign w:val="center"/>
            <w:hideMark/>
          </w:tcPr>
          <w:p w14:paraId="6C49B1F3" w14:textId="77777777" w:rsidR="00000000" w:rsidRDefault="00195E73">
            <w:pPr>
              <w:jc w:val="center"/>
              <w:rPr>
                <w:rFonts w:eastAsia="Times New Roman"/>
              </w:rPr>
            </w:pPr>
            <w:r>
              <w:rPr>
                <w:rFonts w:eastAsia="Times New Roman"/>
                <w:b/>
                <w:bCs/>
                <w:color w:val="000000"/>
                <w:sz w:val="12"/>
                <w:szCs w:val="12"/>
              </w:rPr>
              <w:t>Year Ended December 31, 201</w:t>
            </w:r>
            <w:r>
              <w:rPr>
                <w:rFonts w:eastAsia="Times New Roman"/>
                <w:b/>
                <w:bCs/>
                <w:color w:val="000000"/>
                <w:sz w:val="12"/>
                <w:szCs w:val="12"/>
              </w:rPr>
              <w:t>7</w:t>
            </w:r>
          </w:p>
        </w:tc>
      </w:tr>
      <w:tr w:rsidR="00000000" w14:paraId="3ACB5C5F" w14:textId="77777777">
        <w:trPr>
          <w:divId w:val="746341111"/>
          <w:jc w:val="center"/>
        </w:trPr>
        <w:tc>
          <w:tcPr>
            <w:tcW w:w="0" w:type="auto"/>
            <w:gridSpan w:val="3"/>
            <w:tcMar>
              <w:top w:w="15" w:type="dxa"/>
              <w:left w:w="20" w:type="dxa"/>
              <w:bottom w:w="15" w:type="dxa"/>
              <w:right w:w="20" w:type="dxa"/>
            </w:tcMar>
            <w:vAlign w:val="bottom"/>
            <w:hideMark/>
          </w:tcPr>
          <w:p w14:paraId="4D692617"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5E71686" w14:textId="77777777" w:rsidR="00000000" w:rsidRDefault="00195E73">
            <w:pPr>
              <w:jc w:val="center"/>
              <w:rPr>
                <w:rFonts w:eastAsia="Times New Roman"/>
              </w:rPr>
            </w:pPr>
            <w:r>
              <w:rPr>
                <w:rFonts w:eastAsia="Times New Roman"/>
                <w:b/>
                <w:bCs/>
                <w:color w:val="000000"/>
                <w:sz w:val="12"/>
                <w:szCs w:val="12"/>
              </w:rPr>
              <w:t>Automotiv</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1D57E82D"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072C37D" w14:textId="77777777" w:rsidR="00000000" w:rsidRDefault="00195E73">
            <w:pPr>
              <w:jc w:val="center"/>
              <w:rPr>
                <w:rFonts w:eastAsia="Times New Roman"/>
              </w:rPr>
            </w:pPr>
            <w:r>
              <w:rPr>
                <w:rFonts w:eastAsia="Times New Roman"/>
                <w:b/>
                <w:bCs/>
                <w:color w:val="000000"/>
                <w:sz w:val="12"/>
                <w:szCs w:val="12"/>
              </w:rPr>
              <w:t>Gamin</w:t>
            </w:r>
            <w:r>
              <w:rPr>
                <w:rFonts w:eastAsia="Times New Roman"/>
                <w:b/>
                <w:bCs/>
                <w:color w:val="000000"/>
                <w:sz w:val="12"/>
                <w:szCs w:val="12"/>
              </w:rPr>
              <w:t>g</w:t>
            </w:r>
          </w:p>
        </w:tc>
        <w:tc>
          <w:tcPr>
            <w:tcW w:w="0" w:type="auto"/>
            <w:gridSpan w:val="3"/>
            <w:tcBorders>
              <w:top w:val="single" w:sz="8" w:space="0" w:color="000000"/>
            </w:tcBorders>
            <w:tcMar>
              <w:top w:w="15" w:type="dxa"/>
              <w:left w:w="20" w:type="dxa"/>
              <w:bottom w:w="15" w:type="dxa"/>
              <w:right w:w="20" w:type="dxa"/>
            </w:tcMar>
            <w:vAlign w:val="bottom"/>
            <w:hideMark/>
          </w:tcPr>
          <w:p w14:paraId="5DC274A4"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8019671" w14:textId="77777777" w:rsidR="00000000" w:rsidRDefault="00195E73">
            <w:pPr>
              <w:jc w:val="center"/>
              <w:rPr>
                <w:rFonts w:eastAsia="Times New Roman"/>
              </w:rPr>
            </w:pPr>
            <w:r>
              <w:rPr>
                <w:rFonts w:eastAsia="Times New Roman"/>
                <w:b/>
                <w:bCs/>
                <w:color w:val="000000"/>
                <w:sz w:val="12"/>
                <w:szCs w:val="12"/>
              </w:rPr>
              <w:t>Railca</w:t>
            </w:r>
            <w:r>
              <w:rPr>
                <w:rFonts w:eastAsia="Times New Roman"/>
                <w:b/>
                <w:bCs/>
                <w:color w:val="000000"/>
                <w:sz w:val="12"/>
                <w:szCs w:val="12"/>
              </w:rPr>
              <w:t>r</w:t>
            </w:r>
          </w:p>
        </w:tc>
        <w:tc>
          <w:tcPr>
            <w:tcW w:w="0" w:type="auto"/>
            <w:gridSpan w:val="3"/>
            <w:tcBorders>
              <w:top w:val="single" w:sz="8" w:space="0" w:color="000000"/>
            </w:tcBorders>
            <w:tcMar>
              <w:top w:w="15" w:type="dxa"/>
              <w:left w:w="20" w:type="dxa"/>
              <w:bottom w:w="15" w:type="dxa"/>
              <w:right w:w="20" w:type="dxa"/>
            </w:tcMar>
            <w:vAlign w:val="bottom"/>
            <w:hideMark/>
          </w:tcPr>
          <w:p w14:paraId="3FF51EE1"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9AE6F90" w14:textId="77777777" w:rsidR="00000000" w:rsidRDefault="00195E73">
            <w:pPr>
              <w:jc w:val="center"/>
              <w:rPr>
                <w:rFonts w:eastAsia="Times New Roman"/>
              </w:rPr>
            </w:pPr>
            <w:r>
              <w:rPr>
                <w:rFonts w:eastAsia="Times New Roman"/>
                <w:b/>
                <w:bCs/>
                <w:color w:val="000000"/>
                <w:sz w:val="12"/>
                <w:szCs w:val="12"/>
              </w:rPr>
              <w:t>Tota</w:t>
            </w:r>
            <w:r>
              <w:rPr>
                <w:rFonts w:eastAsia="Times New Roman"/>
                <w:b/>
                <w:bCs/>
                <w:color w:val="000000"/>
                <w:sz w:val="12"/>
                <w:szCs w:val="12"/>
              </w:rPr>
              <w:t>l</w:t>
            </w:r>
          </w:p>
        </w:tc>
        <w:tc>
          <w:tcPr>
            <w:tcW w:w="0" w:type="auto"/>
            <w:gridSpan w:val="3"/>
            <w:tcMar>
              <w:top w:w="15" w:type="dxa"/>
              <w:left w:w="20" w:type="dxa"/>
              <w:bottom w:w="15" w:type="dxa"/>
              <w:right w:w="20" w:type="dxa"/>
            </w:tcMar>
            <w:vAlign w:val="bottom"/>
            <w:hideMark/>
          </w:tcPr>
          <w:p w14:paraId="73FAA84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1671C6" w14:textId="77777777" w:rsidR="00000000" w:rsidRDefault="00195E73">
            <w:pPr>
              <w:jc w:val="center"/>
              <w:rPr>
                <w:rFonts w:eastAsia="Times New Roman"/>
              </w:rPr>
            </w:pPr>
            <w:r>
              <w:rPr>
                <w:rFonts w:eastAsia="Times New Roman"/>
                <w:b/>
                <w:bCs/>
                <w:color w:val="000000"/>
                <w:sz w:val="12"/>
                <w:szCs w:val="12"/>
              </w:rPr>
              <w:t>Automotiv</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6217ABF1"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12C35DC" w14:textId="77777777" w:rsidR="00000000" w:rsidRDefault="00195E73">
            <w:pPr>
              <w:jc w:val="center"/>
              <w:rPr>
                <w:rFonts w:eastAsia="Times New Roman"/>
              </w:rPr>
            </w:pPr>
            <w:r>
              <w:rPr>
                <w:rFonts w:eastAsia="Times New Roman"/>
                <w:b/>
                <w:bCs/>
                <w:color w:val="000000"/>
                <w:sz w:val="12"/>
                <w:szCs w:val="12"/>
              </w:rPr>
              <w:t>Gamin</w:t>
            </w:r>
            <w:r>
              <w:rPr>
                <w:rFonts w:eastAsia="Times New Roman"/>
                <w:b/>
                <w:bCs/>
                <w:color w:val="000000"/>
                <w:sz w:val="12"/>
                <w:szCs w:val="12"/>
              </w:rPr>
              <w:t>g</w:t>
            </w:r>
          </w:p>
        </w:tc>
        <w:tc>
          <w:tcPr>
            <w:tcW w:w="0" w:type="auto"/>
            <w:gridSpan w:val="3"/>
            <w:tcBorders>
              <w:top w:val="single" w:sz="8" w:space="0" w:color="000000"/>
            </w:tcBorders>
            <w:tcMar>
              <w:top w:w="15" w:type="dxa"/>
              <w:left w:w="20" w:type="dxa"/>
              <w:bottom w:w="15" w:type="dxa"/>
              <w:right w:w="20" w:type="dxa"/>
            </w:tcMar>
            <w:vAlign w:val="bottom"/>
            <w:hideMark/>
          </w:tcPr>
          <w:p w14:paraId="581B15AF"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21BAF78" w14:textId="77777777" w:rsidR="00000000" w:rsidRDefault="00195E73">
            <w:pPr>
              <w:jc w:val="center"/>
              <w:rPr>
                <w:rFonts w:eastAsia="Times New Roman"/>
              </w:rPr>
            </w:pPr>
            <w:r>
              <w:rPr>
                <w:rFonts w:eastAsia="Times New Roman"/>
                <w:b/>
                <w:bCs/>
                <w:color w:val="000000"/>
                <w:sz w:val="12"/>
                <w:szCs w:val="12"/>
              </w:rPr>
              <w:t>Railca</w:t>
            </w:r>
            <w:r>
              <w:rPr>
                <w:rFonts w:eastAsia="Times New Roman"/>
                <w:b/>
                <w:bCs/>
                <w:color w:val="000000"/>
                <w:sz w:val="12"/>
                <w:szCs w:val="12"/>
              </w:rPr>
              <w:t>r</w:t>
            </w:r>
          </w:p>
        </w:tc>
        <w:tc>
          <w:tcPr>
            <w:tcW w:w="0" w:type="auto"/>
            <w:gridSpan w:val="3"/>
            <w:tcBorders>
              <w:top w:val="single" w:sz="8" w:space="0" w:color="000000"/>
            </w:tcBorders>
            <w:tcMar>
              <w:top w:w="15" w:type="dxa"/>
              <w:left w:w="20" w:type="dxa"/>
              <w:bottom w:w="15" w:type="dxa"/>
              <w:right w:w="20" w:type="dxa"/>
            </w:tcMar>
            <w:vAlign w:val="bottom"/>
            <w:hideMark/>
          </w:tcPr>
          <w:p w14:paraId="1B2760B8"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0B62951" w14:textId="77777777" w:rsidR="00000000" w:rsidRDefault="00195E73">
            <w:pPr>
              <w:jc w:val="center"/>
              <w:rPr>
                <w:rFonts w:eastAsia="Times New Roman"/>
              </w:rPr>
            </w:pPr>
            <w:r>
              <w:rPr>
                <w:rFonts w:eastAsia="Times New Roman"/>
                <w:b/>
                <w:bCs/>
                <w:color w:val="000000"/>
                <w:sz w:val="12"/>
                <w:szCs w:val="12"/>
              </w:rPr>
              <w:t>Tota</w:t>
            </w:r>
            <w:r>
              <w:rPr>
                <w:rFonts w:eastAsia="Times New Roman"/>
                <w:b/>
                <w:bCs/>
                <w:color w:val="000000"/>
                <w:sz w:val="12"/>
                <w:szCs w:val="12"/>
              </w:rPr>
              <w:t>l</w:t>
            </w:r>
          </w:p>
        </w:tc>
        <w:tc>
          <w:tcPr>
            <w:tcW w:w="0" w:type="auto"/>
            <w:gridSpan w:val="3"/>
            <w:tcBorders>
              <w:bottom w:val="single" w:sz="8" w:space="0" w:color="000000"/>
            </w:tcBorders>
            <w:tcMar>
              <w:top w:w="15" w:type="dxa"/>
              <w:left w:w="20" w:type="dxa"/>
              <w:bottom w:w="15" w:type="dxa"/>
              <w:right w:w="20" w:type="dxa"/>
            </w:tcMar>
            <w:vAlign w:val="bottom"/>
            <w:hideMark/>
          </w:tcPr>
          <w:p w14:paraId="775BE449"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B51B8E3" w14:textId="77777777" w:rsidR="00000000" w:rsidRDefault="00195E73">
            <w:pPr>
              <w:jc w:val="center"/>
              <w:rPr>
                <w:rFonts w:eastAsia="Times New Roman"/>
              </w:rPr>
            </w:pPr>
            <w:r>
              <w:rPr>
                <w:rFonts w:eastAsia="Times New Roman"/>
                <w:b/>
                <w:bCs/>
                <w:color w:val="000000"/>
                <w:sz w:val="12"/>
                <w:szCs w:val="12"/>
              </w:rPr>
              <w:t>Automotiv</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292E9364"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AD91C45" w14:textId="77777777" w:rsidR="00000000" w:rsidRDefault="00195E73">
            <w:pPr>
              <w:jc w:val="center"/>
              <w:rPr>
                <w:rFonts w:eastAsia="Times New Roman"/>
              </w:rPr>
            </w:pPr>
            <w:r>
              <w:rPr>
                <w:rFonts w:eastAsia="Times New Roman"/>
                <w:b/>
                <w:bCs/>
                <w:color w:val="000000"/>
                <w:sz w:val="12"/>
                <w:szCs w:val="12"/>
              </w:rPr>
              <w:t>Gamin</w:t>
            </w:r>
            <w:r>
              <w:rPr>
                <w:rFonts w:eastAsia="Times New Roman"/>
                <w:b/>
                <w:bCs/>
                <w:color w:val="000000"/>
                <w:sz w:val="12"/>
                <w:szCs w:val="12"/>
              </w:rPr>
              <w:t>g</w:t>
            </w:r>
          </w:p>
        </w:tc>
        <w:tc>
          <w:tcPr>
            <w:tcW w:w="0" w:type="auto"/>
            <w:gridSpan w:val="2"/>
            <w:tcBorders>
              <w:top w:val="single" w:sz="8" w:space="0" w:color="000000"/>
            </w:tcBorders>
            <w:tcMar>
              <w:top w:w="15" w:type="dxa"/>
              <w:left w:w="20" w:type="dxa"/>
              <w:bottom w:w="15" w:type="dxa"/>
              <w:right w:w="20" w:type="dxa"/>
            </w:tcMar>
            <w:vAlign w:val="bottom"/>
            <w:hideMark/>
          </w:tcPr>
          <w:p w14:paraId="761E8510" w14:textId="77777777" w:rsidR="00000000" w:rsidRDefault="00195E73">
            <w:pPr>
              <w:jc w:val="center"/>
              <w:rPr>
                <w:rFonts w:eastAsia="Times New Roman"/>
              </w:rPr>
            </w:pPr>
          </w:p>
        </w:tc>
        <w:tc>
          <w:tcPr>
            <w:tcW w:w="0" w:type="auto"/>
            <w:tcBorders>
              <w:top w:val="single" w:sz="8" w:space="0" w:color="000000"/>
              <w:bottom w:val="single" w:sz="8" w:space="0" w:color="000000"/>
            </w:tcBorders>
            <w:tcMar>
              <w:top w:w="30" w:type="dxa"/>
              <w:left w:w="20" w:type="dxa"/>
              <w:bottom w:w="30" w:type="dxa"/>
              <w:right w:w="20" w:type="dxa"/>
            </w:tcMar>
            <w:vAlign w:val="bottom"/>
            <w:hideMark/>
          </w:tcPr>
          <w:p w14:paraId="0BE3BCB6" w14:textId="77777777" w:rsidR="00000000" w:rsidRDefault="00195E73">
            <w:pPr>
              <w:jc w:val="center"/>
              <w:rPr>
                <w:rFonts w:eastAsia="Times New Roman"/>
              </w:rPr>
            </w:pPr>
            <w:r>
              <w:rPr>
                <w:rFonts w:eastAsia="Times New Roman"/>
                <w:b/>
                <w:bCs/>
                <w:color w:val="000000"/>
                <w:sz w:val="12"/>
                <w:szCs w:val="12"/>
              </w:rPr>
              <w:t>Railca</w:t>
            </w:r>
            <w:r>
              <w:rPr>
                <w:rFonts w:eastAsia="Times New Roman"/>
                <w:b/>
                <w:bCs/>
                <w:color w:val="000000"/>
                <w:sz w:val="12"/>
                <w:szCs w:val="12"/>
              </w:rPr>
              <w:t>r</w:t>
            </w:r>
            <w:r>
              <w:rPr>
                <w:rFonts w:eastAsia="Times New Roman"/>
                <w:b/>
                <w:bCs/>
                <w:color w:val="000000"/>
                <w:sz w:val="12"/>
                <w:szCs w:val="12"/>
              </w:rPr>
              <w:t>Tota</w:t>
            </w:r>
            <w:r>
              <w:rPr>
                <w:rFonts w:eastAsia="Times New Roman"/>
                <w:b/>
                <w:bCs/>
                <w:color w:val="000000"/>
                <w:sz w:val="12"/>
                <w:szCs w:val="12"/>
              </w:rPr>
              <w:t>l</w:t>
            </w:r>
          </w:p>
        </w:tc>
      </w:tr>
      <w:tr w:rsidR="00000000" w14:paraId="074807F8" w14:textId="77777777">
        <w:trPr>
          <w:divId w:val="746341111"/>
          <w:jc w:val="center"/>
        </w:trPr>
        <w:tc>
          <w:tcPr>
            <w:tcW w:w="0" w:type="auto"/>
            <w:gridSpan w:val="3"/>
            <w:tcMar>
              <w:top w:w="30" w:type="dxa"/>
              <w:left w:w="20" w:type="dxa"/>
              <w:bottom w:w="30" w:type="dxa"/>
              <w:right w:w="20" w:type="dxa"/>
            </w:tcMar>
            <w:vAlign w:val="bottom"/>
            <w:hideMark/>
          </w:tcPr>
          <w:p w14:paraId="26A38294" w14:textId="77777777" w:rsidR="00000000" w:rsidRDefault="00195E73">
            <w:pPr>
              <w:rPr>
                <w:rFonts w:eastAsia="Times New Roman"/>
              </w:rPr>
            </w:pPr>
            <w:r>
              <w:rPr>
                <w:rFonts w:eastAsia="Times New Roman"/>
                <w:color w:val="000000"/>
                <w:sz w:val="12"/>
                <w:szCs w:val="12"/>
              </w:rPr>
              <w:t>Revenues</w:t>
            </w:r>
            <w:r>
              <w:rPr>
                <w:rFonts w:eastAsia="Times New Roman"/>
                <w:color w:val="000000"/>
                <w:sz w:val="12"/>
                <w:szCs w:val="12"/>
              </w:rPr>
              <w:t>:</w:t>
            </w:r>
          </w:p>
        </w:tc>
        <w:tc>
          <w:tcPr>
            <w:tcW w:w="0" w:type="auto"/>
            <w:gridSpan w:val="59"/>
            <w:tcBorders>
              <w:top w:val="single" w:sz="8" w:space="0" w:color="000000"/>
            </w:tcBorders>
            <w:tcMar>
              <w:top w:w="30" w:type="dxa"/>
              <w:left w:w="20" w:type="dxa"/>
              <w:bottom w:w="30" w:type="dxa"/>
              <w:right w:w="0" w:type="dxa"/>
            </w:tcMar>
            <w:vAlign w:val="bottom"/>
            <w:hideMark/>
          </w:tcPr>
          <w:p w14:paraId="69D527FA" w14:textId="77777777" w:rsidR="00000000" w:rsidRDefault="00195E73">
            <w:pPr>
              <w:jc w:val="center"/>
              <w:rPr>
                <w:rFonts w:eastAsia="Times New Roman"/>
              </w:rPr>
            </w:pPr>
            <w:r>
              <w:rPr>
                <w:rFonts w:eastAsia="Times New Roman"/>
                <w:color w:val="000000"/>
                <w:sz w:val="12"/>
                <w:szCs w:val="12"/>
              </w:rPr>
              <w:t>(in millions</w:t>
            </w:r>
            <w:r>
              <w:rPr>
                <w:rFonts w:eastAsia="Times New Roman"/>
                <w:color w:val="000000"/>
                <w:sz w:val="12"/>
                <w:szCs w:val="12"/>
              </w:rPr>
              <w:t>)</w:t>
            </w:r>
          </w:p>
        </w:tc>
        <w:tc>
          <w:tcPr>
            <w:tcW w:w="0" w:type="auto"/>
            <w:tcBorders>
              <w:top w:val="single" w:sz="8" w:space="0" w:color="000000"/>
            </w:tcBorders>
            <w:tcMar>
              <w:top w:w="30" w:type="dxa"/>
              <w:left w:w="15" w:type="dxa"/>
              <w:bottom w:w="30" w:type="dxa"/>
              <w:right w:w="20" w:type="dxa"/>
            </w:tcMar>
            <w:vAlign w:val="bottom"/>
            <w:hideMark/>
          </w:tcPr>
          <w:p w14:paraId="316B9536" w14:textId="77777777" w:rsidR="00000000" w:rsidRDefault="00195E73">
            <w:pPr>
              <w:jc w:val="right"/>
              <w:rPr>
                <w:rFonts w:eastAsia="Times New Roman"/>
              </w:rPr>
            </w:pPr>
            <w:r>
              <w:rPr>
                <w:rFonts w:eastAsia="Times New Roman"/>
                <w:color w:val="000000"/>
                <w:sz w:val="12"/>
                <w:szCs w:val="12"/>
              </w:rPr>
              <w:t> </w:t>
            </w:r>
          </w:p>
        </w:tc>
      </w:tr>
      <w:tr w:rsidR="00195E73" w14:paraId="0856C1DB" w14:textId="77777777">
        <w:trPr>
          <w:divId w:val="746341111"/>
          <w:jc w:val="center"/>
        </w:trPr>
        <w:tc>
          <w:tcPr>
            <w:tcW w:w="0" w:type="auto"/>
            <w:gridSpan w:val="3"/>
            <w:shd w:val="clear" w:color="auto" w:fill="CCEEFF"/>
            <w:tcMar>
              <w:top w:w="30" w:type="dxa"/>
              <w:left w:w="180" w:type="dxa"/>
              <w:bottom w:w="30" w:type="dxa"/>
              <w:right w:w="20" w:type="dxa"/>
            </w:tcMar>
            <w:vAlign w:val="bottom"/>
            <w:hideMark/>
          </w:tcPr>
          <w:p w14:paraId="71667647" w14:textId="77777777" w:rsidR="00000000" w:rsidRDefault="00195E73">
            <w:pPr>
              <w:rPr>
                <w:rFonts w:eastAsia="Times New Roman"/>
              </w:rPr>
            </w:pPr>
            <w:r>
              <w:rPr>
                <w:rFonts w:eastAsia="Times New Roman"/>
                <w:color w:val="000000"/>
                <w:sz w:val="12"/>
                <w:szCs w:val="12"/>
              </w:rPr>
              <w:t>Net sale</w:t>
            </w:r>
            <w:r>
              <w:rPr>
                <w:rFonts w:eastAsia="Times New Roman"/>
                <w:color w:val="000000"/>
                <w:sz w:val="12"/>
                <w:szCs w:val="12"/>
              </w:rPr>
              <w:t>s</w:t>
            </w:r>
          </w:p>
        </w:tc>
        <w:tc>
          <w:tcPr>
            <w:tcW w:w="0" w:type="auto"/>
            <w:shd w:val="clear" w:color="auto" w:fill="CCEEFF"/>
            <w:tcMar>
              <w:top w:w="30" w:type="dxa"/>
              <w:left w:w="20" w:type="dxa"/>
              <w:bottom w:w="30" w:type="dxa"/>
              <w:right w:w="15" w:type="dxa"/>
            </w:tcMar>
            <w:vAlign w:val="bottom"/>
            <w:hideMark/>
          </w:tcPr>
          <w:p w14:paraId="02D4830C"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DB4239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2C58B6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F82E15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B0A98B2"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6090CE5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E47B16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F6D63D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29BAAAF"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58EFE04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57BE26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CAA593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E2EA413"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E592CD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E19257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5BE3FE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EA5A727"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40A6C25" w14:textId="77777777" w:rsidR="00000000" w:rsidRDefault="00195E73">
            <w:pPr>
              <w:jc w:val="right"/>
              <w:rPr>
                <w:rFonts w:eastAsia="Times New Roman"/>
              </w:rPr>
            </w:pPr>
            <w:r>
              <w:rPr>
                <w:rFonts w:eastAsia="Times New Roman"/>
                <w:color w:val="000000"/>
                <w:sz w:val="12"/>
                <w:szCs w:val="12"/>
              </w:rPr>
              <w:t>5,993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EE38D4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AAF9B5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DE7E5AD"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462DBB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F94BCD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81DACD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57CB668"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5C6E88C0" w14:textId="77777777" w:rsidR="00000000" w:rsidRDefault="00195E73">
            <w:pPr>
              <w:jc w:val="right"/>
              <w:rPr>
                <w:rFonts w:eastAsia="Times New Roman"/>
              </w:rPr>
            </w:pPr>
            <w:r>
              <w:rPr>
                <w:rFonts w:eastAsia="Times New Roman"/>
                <w:color w:val="000000"/>
                <w:sz w:val="12"/>
                <w:szCs w:val="12"/>
              </w:rPr>
              <w:t>228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78106D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BF03ED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AA6DA86"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4E1A3785" w14:textId="77777777" w:rsidR="00000000" w:rsidRDefault="00195E73">
            <w:pPr>
              <w:jc w:val="right"/>
              <w:rPr>
                <w:rFonts w:eastAsia="Times New Roman"/>
              </w:rPr>
            </w:pPr>
            <w:r>
              <w:rPr>
                <w:rFonts w:eastAsia="Times New Roman"/>
                <w:color w:val="000000"/>
                <w:sz w:val="12"/>
                <w:szCs w:val="12"/>
              </w:rPr>
              <w:t>6,221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ED0D84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D0642B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43AF472"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4C0A490" w14:textId="77777777" w:rsidR="00000000" w:rsidRDefault="00195E73">
            <w:pPr>
              <w:jc w:val="right"/>
              <w:rPr>
                <w:rFonts w:eastAsia="Times New Roman"/>
              </w:rPr>
            </w:pPr>
            <w:r>
              <w:rPr>
                <w:rFonts w:eastAsia="Times New Roman"/>
                <w:color w:val="000000"/>
                <w:sz w:val="12"/>
                <w:szCs w:val="12"/>
              </w:rPr>
              <w:t>7,720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D75F86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1C7B4A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56A42B5"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88E040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B3C7A92"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1A37159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E435668"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265</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7,985</w:t>
            </w:r>
            <w:r>
              <w:rPr>
                <w:rFonts w:eastAsia="Times New Roman"/>
                <w:color w:val="000000"/>
                <w:sz w:val="12"/>
                <w:szCs w:val="12"/>
              </w:rPr>
              <w:t> </w:t>
            </w:r>
            <w:r>
              <w:rPr>
                <w:rFonts w:eastAsia="Times New Roman"/>
                <w:color w:val="000000"/>
                <w:sz w:val="12"/>
                <w:szCs w:val="12"/>
              </w:rPr>
              <w:t> </w:t>
            </w:r>
          </w:p>
        </w:tc>
      </w:tr>
      <w:tr w:rsidR="00195E73" w14:paraId="771B84F5" w14:textId="77777777">
        <w:trPr>
          <w:divId w:val="746341111"/>
          <w:jc w:val="center"/>
        </w:trPr>
        <w:tc>
          <w:tcPr>
            <w:tcW w:w="0" w:type="auto"/>
            <w:gridSpan w:val="3"/>
            <w:shd w:val="clear" w:color="auto" w:fill="FFFFFF"/>
            <w:tcMar>
              <w:top w:w="30" w:type="dxa"/>
              <w:left w:w="180" w:type="dxa"/>
              <w:bottom w:w="30" w:type="dxa"/>
              <w:right w:w="20" w:type="dxa"/>
            </w:tcMar>
            <w:vAlign w:val="bottom"/>
            <w:hideMark/>
          </w:tcPr>
          <w:p w14:paraId="03579B85" w14:textId="77777777" w:rsidR="00000000" w:rsidRDefault="00195E73">
            <w:pPr>
              <w:rPr>
                <w:rFonts w:eastAsia="Times New Roman"/>
              </w:rPr>
            </w:pPr>
            <w:r>
              <w:rPr>
                <w:rFonts w:eastAsia="Times New Roman"/>
                <w:color w:val="000000"/>
                <w:sz w:val="12"/>
                <w:szCs w:val="12"/>
              </w:rPr>
              <w:t>Other revenues from operation</w:t>
            </w:r>
            <w:r>
              <w:rPr>
                <w:rFonts w:eastAsia="Times New Roman"/>
                <w:color w:val="000000"/>
                <w:sz w:val="12"/>
                <w:szCs w:val="12"/>
              </w:rPr>
              <w:t>s</w:t>
            </w:r>
          </w:p>
        </w:tc>
        <w:tc>
          <w:tcPr>
            <w:tcW w:w="0" w:type="auto"/>
            <w:gridSpan w:val="2"/>
            <w:shd w:val="clear" w:color="auto" w:fill="FFFFFF"/>
            <w:tcMar>
              <w:top w:w="30" w:type="dxa"/>
              <w:left w:w="20" w:type="dxa"/>
              <w:bottom w:w="30" w:type="dxa"/>
              <w:right w:w="0" w:type="dxa"/>
            </w:tcMar>
            <w:vAlign w:val="bottom"/>
            <w:hideMark/>
          </w:tcPr>
          <w:p w14:paraId="52F5F03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00C6E7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7F62C2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0805F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0D8D67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9A8DDC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505AB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BB4959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9DA9DE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E8E35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B6739F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227374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819A4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8097C8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EFBFB5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E756A9" w14:textId="77777777" w:rsidR="00000000" w:rsidRDefault="00195E73">
            <w:pPr>
              <w:jc w:val="right"/>
              <w:rPr>
                <w:rFonts w:eastAsia="Times New Roman"/>
              </w:rPr>
            </w:pPr>
            <w:r>
              <w:rPr>
                <w:rFonts w:eastAsia="Times New Roman"/>
                <w:color w:val="000000"/>
                <w:sz w:val="12"/>
                <w:szCs w:val="12"/>
              </w:rPr>
              <w:t>679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CF461A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652BF0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771920" w14:textId="77777777" w:rsidR="00000000" w:rsidRDefault="00195E73">
            <w:pPr>
              <w:jc w:val="right"/>
              <w:rPr>
                <w:rFonts w:eastAsia="Times New Roman"/>
              </w:rPr>
            </w:pPr>
            <w:r>
              <w:rPr>
                <w:rFonts w:eastAsia="Times New Roman"/>
                <w:color w:val="000000"/>
                <w:sz w:val="12"/>
                <w:szCs w:val="12"/>
              </w:rPr>
              <w:t>213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70BD9A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CA9031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E8E1FA" w14:textId="77777777" w:rsidR="00000000" w:rsidRDefault="00195E73">
            <w:pPr>
              <w:jc w:val="right"/>
              <w:rPr>
                <w:rFonts w:eastAsia="Times New Roman"/>
              </w:rPr>
            </w:pPr>
            <w:r>
              <w:rPr>
                <w:rFonts w:eastAsia="Times New Roman"/>
                <w:color w:val="000000"/>
                <w:sz w:val="12"/>
                <w:szCs w:val="12"/>
              </w:rPr>
              <w:t>892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331EC0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D38382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CE52B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648BCB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F7D21E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89ADAB" w14:textId="77777777" w:rsidR="00000000" w:rsidRDefault="00195E73">
            <w:pPr>
              <w:jc w:val="right"/>
              <w:rPr>
                <w:rFonts w:eastAsia="Times New Roman"/>
              </w:rPr>
            </w:pPr>
            <w:r>
              <w:rPr>
                <w:rFonts w:eastAsia="Times New Roman"/>
                <w:color w:val="000000"/>
                <w:sz w:val="12"/>
                <w:szCs w:val="12"/>
              </w:rPr>
              <w:t>898</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2D87FEC"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46B02B85"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F825C4A" w14:textId="77777777" w:rsidR="00000000" w:rsidRDefault="00195E73">
            <w:pPr>
              <w:jc w:val="right"/>
              <w:rPr>
                <w:rFonts w:eastAsia="Times New Roman"/>
              </w:rPr>
            </w:pPr>
            <w:r>
              <w:rPr>
                <w:rFonts w:eastAsia="Times New Roman"/>
                <w:color w:val="000000"/>
                <w:sz w:val="12"/>
                <w:szCs w:val="12"/>
              </w:rPr>
              <w:t>197</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1,095</w:t>
            </w:r>
            <w:r>
              <w:rPr>
                <w:rFonts w:eastAsia="Times New Roman"/>
                <w:color w:val="000000"/>
                <w:sz w:val="12"/>
                <w:szCs w:val="12"/>
              </w:rPr>
              <w:t> </w:t>
            </w:r>
            <w:r>
              <w:rPr>
                <w:rFonts w:eastAsia="Times New Roman"/>
                <w:color w:val="000000"/>
                <w:sz w:val="12"/>
                <w:szCs w:val="12"/>
              </w:rPr>
              <w:t> </w:t>
            </w:r>
          </w:p>
        </w:tc>
      </w:tr>
      <w:tr w:rsidR="00195E73" w14:paraId="10B15520" w14:textId="77777777">
        <w:trPr>
          <w:divId w:val="746341111"/>
          <w:jc w:val="center"/>
        </w:trPr>
        <w:tc>
          <w:tcPr>
            <w:tcW w:w="0" w:type="auto"/>
            <w:gridSpan w:val="3"/>
            <w:shd w:val="clear" w:color="auto" w:fill="CCEEFF"/>
            <w:tcMar>
              <w:top w:w="30" w:type="dxa"/>
              <w:left w:w="180" w:type="dxa"/>
              <w:bottom w:w="30" w:type="dxa"/>
              <w:right w:w="20" w:type="dxa"/>
            </w:tcMar>
            <w:vAlign w:val="bottom"/>
            <w:hideMark/>
          </w:tcPr>
          <w:p w14:paraId="75C8916E" w14:textId="77777777" w:rsidR="00000000" w:rsidRDefault="00195E73">
            <w:pPr>
              <w:rPr>
                <w:rFonts w:eastAsia="Times New Roman"/>
              </w:rPr>
            </w:pPr>
            <w:r>
              <w:rPr>
                <w:rFonts w:eastAsia="Times New Roman"/>
                <w:color w:val="000000"/>
                <w:sz w:val="12"/>
                <w:szCs w:val="12"/>
              </w:rPr>
              <w:t>Net gain on investment activitie</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2A800E7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DB8B00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1467FA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9BBB2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966A0D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134C11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DF757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AA9B98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C3F80E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4015D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493051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73631E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25EEE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B4B929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D43E0B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10538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D61185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0F09C1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A05B2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7D576E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33F66C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57B7B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A30365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6A0BE8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BB347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BD87BD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B13D34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9E15E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5BB0C19"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13CBD202"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D444FAD"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2</w:t>
            </w:r>
            <w:r>
              <w:rPr>
                <w:rFonts w:eastAsia="Times New Roman"/>
                <w:color w:val="000000"/>
                <w:sz w:val="12"/>
                <w:szCs w:val="12"/>
              </w:rPr>
              <w:t> </w:t>
            </w:r>
            <w:r>
              <w:rPr>
                <w:rFonts w:eastAsia="Times New Roman"/>
                <w:color w:val="000000"/>
                <w:sz w:val="12"/>
                <w:szCs w:val="12"/>
              </w:rPr>
              <w:t> </w:t>
            </w:r>
          </w:p>
        </w:tc>
      </w:tr>
      <w:tr w:rsidR="00195E73" w14:paraId="7EA65C11" w14:textId="77777777">
        <w:trPr>
          <w:divId w:val="746341111"/>
          <w:jc w:val="center"/>
        </w:trPr>
        <w:tc>
          <w:tcPr>
            <w:tcW w:w="0" w:type="auto"/>
            <w:gridSpan w:val="3"/>
            <w:shd w:val="clear" w:color="auto" w:fill="FFFFFF"/>
            <w:tcMar>
              <w:top w:w="30" w:type="dxa"/>
              <w:left w:w="180" w:type="dxa"/>
              <w:bottom w:w="30" w:type="dxa"/>
              <w:right w:w="20" w:type="dxa"/>
            </w:tcMar>
            <w:vAlign w:val="bottom"/>
            <w:hideMark/>
          </w:tcPr>
          <w:p w14:paraId="7E1B65B8" w14:textId="77777777" w:rsidR="00000000" w:rsidRDefault="00195E73">
            <w:pPr>
              <w:rPr>
                <w:rFonts w:eastAsia="Times New Roman"/>
              </w:rPr>
            </w:pPr>
            <w:r>
              <w:rPr>
                <w:rFonts w:eastAsia="Times New Roman"/>
                <w:color w:val="000000"/>
                <w:sz w:val="12"/>
                <w:szCs w:val="12"/>
              </w:rPr>
              <w:t>Interest and dividend incom</w:t>
            </w:r>
            <w:r>
              <w:rPr>
                <w:rFonts w:eastAsia="Times New Roman"/>
                <w:color w:val="000000"/>
                <w:sz w:val="12"/>
                <w:szCs w:val="12"/>
              </w:rPr>
              <w:t>e</w:t>
            </w:r>
          </w:p>
        </w:tc>
        <w:tc>
          <w:tcPr>
            <w:tcW w:w="0" w:type="auto"/>
            <w:gridSpan w:val="2"/>
            <w:shd w:val="clear" w:color="auto" w:fill="FFFFFF"/>
            <w:tcMar>
              <w:top w:w="30" w:type="dxa"/>
              <w:left w:w="20" w:type="dxa"/>
              <w:bottom w:w="30" w:type="dxa"/>
              <w:right w:w="0" w:type="dxa"/>
            </w:tcMar>
            <w:vAlign w:val="bottom"/>
            <w:hideMark/>
          </w:tcPr>
          <w:p w14:paraId="7C1A2D6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34D392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496CB4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009C5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A7B592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917FE0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78B8E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A5AE4B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C05160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2BB4D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9C52D7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C6EF3A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85D5AF"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463852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8F6DB5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4973B8"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9E92EE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1B89A8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0CDB46"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244E90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8AD11F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969801"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6523A7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B9930A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ED7A6C" w14:textId="77777777" w:rsidR="00000000" w:rsidRDefault="00195E73">
            <w:pPr>
              <w:jc w:val="right"/>
              <w:rPr>
                <w:rFonts w:eastAsia="Times New Roman"/>
              </w:rPr>
            </w:pPr>
            <w:r>
              <w:rPr>
                <w:rFonts w:eastAsia="Times New Roman"/>
                <w:color w:val="000000"/>
                <w:sz w:val="12"/>
                <w:szCs w:val="12"/>
              </w:rPr>
              <w:t>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77E5AB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56A5A3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140458"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6F749F4"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07DD195E"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822EB36"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9</w:t>
            </w:r>
            <w:r>
              <w:rPr>
                <w:rFonts w:eastAsia="Times New Roman"/>
                <w:color w:val="000000"/>
                <w:sz w:val="12"/>
                <w:szCs w:val="12"/>
              </w:rPr>
              <w:t> </w:t>
            </w:r>
            <w:r>
              <w:rPr>
                <w:rFonts w:eastAsia="Times New Roman"/>
                <w:color w:val="000000"/>
                <w:sz w:val="12"/>
                <w:szCs w:val="12"/>
              </w:rPr>
              <w:t> </w:t>
            </w:r>
          </w:p>
        </w:tc>
      </w:tr>
      <w:tr w:rsidR="00195E73" w14:paraId="6E86BFFE" w14:textId="77777777">
        <w:trPr>
          <w:divId w:val="746341111"/>
          <w:jc w:val="center"/>
        </w:trPr>
        <w:tc>
          <w:tcPr>
            <w:tcW w:w="0" w:type="auto"/>
            <w:gridSpan w:val="3"/>
            <w:shd w:val="clear" w:color="auto" w:fill="CCEEFF"/>
            <w:tcMar>
              <w:top w:w="30" w:type="dxa"/>
              <w:left w:w="180" w:type="dxa"/>
              <w:bottom w:w="30" w:type="dxa"/>
              <w:right w:w="20" w:type="dxa"/>
            </w:tcMar>
            <w:vAlign w:val="bottom"/>
            <w:hideMark/>
          </w:tcPr>
          <w:p w14:paraId="4F26F621" w14:textId="77777777" w:rsidR="00000000" w:rsidRDefault="00195E73">
            <w:pPr>
              <w:rPr>
                <w:rFonts w:eastAsia="Times New Roman"/>
              </w:rPr>
            </w:pPr>
            <w:r>
              <w:rPr>
                <w:rFonts w:eastAsia="Times New Roman"/>
                <w:color w:val="000000"/>
                <w:sz w:val="12"/>
                <w:szCs w:val="12"/>
              </w:rPr>
              <w:t>Gain (loss) on disposition of assets, ne</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24BD36D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9EEA53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343E14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27300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06A22F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2CCD81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89D8B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E4AFA4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D7173C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73734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C1A70D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D67C03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461591" w14:textId="77777777" w:rsidR="00000000" w:rsidRDefault="00195E73">
            <w:pPr>
              <w:jc w:val="right"/>
              <w:rPr>
                <w:rFonts w:eastAsia="Times New Roman"/>
              </w:rPr>
            </w:pPr>
            <w:r>
              <w:rPr>
                <w:rFonts w:eastAsia="Times New Roman"/>
                <w:color w:val="000000"/>
                <w:sz w:val="12"/>
                <w:szCs w:val="12"/>
              </w:rPr>
              <w:t>65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BB5FA6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F53E0A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DEB82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E4C1E5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935C05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2061F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B5ACF1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5C886F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EDAB9B" w14:textId="77777777" w:rsidR="00000000" w:rsidRDefault="00195E73">
            <w:pPr>
              <w:jc w:val="right"/>
              <w:rPr>
                <w:rFonts w:eastAsia="Times New Roman"/>
              </w:rPr>
            </w:pPr>
            <w:r>
              <w:rPr>
                <w:rFonts w:eastAsia="Times New Roman"/>
                <w:color w:val="000000"/>
                <w:sz w:val="12"/>
                <w:szCs w:val="12"/>
              </w:rPr>
              <w:t>65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0DD544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5F6915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319763" w14:textId="77777777" w:rsidR="00000000" w:rsidRDefault="00195E73">
            <w:pPr>
              <w:jc w:val="right"/>
              <w:rPr>
                <w:rFonts w:eastAsia="Times New Roman"/>
              </w:rPr>
            </w:pPr>
            <w:r>
              <w:rPr>
                <w:rFonts w:eastAsia="Times New Roman"/>
                <w:color w:val="000000"/>
                <w:sz w:val="12"/>
                <w:szCs w:val="12"/>
              </w:rPr>
              <w:t>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C89706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FAB000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2D051A"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50299A40"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670F60FD"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408BEA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6</w:t>
            </w:r>
            <w:r>
              <w:rPr>
                <w:rFonts w:eastAsia="Times New Roman"/>
                <w:color w:val="000000"/>
                <w:sz w:val="12"/>
                <w:szCs w:val="12"/>
              </w:rPr>
              <w:t> </w:t>
            </w:r>
            <w:r>
              <w:rPr>
                <w:rFonts w:eastAsia="Times New Roman"/>
                <w:color w:val="000000"/>
                <w:sz w:val="12"/>
                <w:szCs w:val="12"/>
              </w:rPr>
              <w:t> </w:t>
            </w:r>
          </w:p>
        </w:tc>
      </w:tr>
      <w:tr w:rsidR="00195E73" w14:paraId="79E762DC" w14:textId="77777777">
        <w:trPr>
          <w:divId w:val="746341111"/>
          <w:jc w:val="center"/>
        </w:trPr>
        <w:tc>
          <w:tcPr>
            <w:tcW w:w="0" w:type="auto"/>
            <w:gridSpan w:val="3"/>
            <w:shd w:val="clear" w:color="auto" w:fill="FFFFFF"/>
            <w:tcMar>
              <w:top w:w="30" w:type="dxa"/>
              <w:left w:w="180" w:type="dxa"/>
              <w:bottom w:w="30" w:type="dxa"/>
              <w:right w:w="20" w:type="dxa"/>
            </w:tcMar>
            <w:vAlign w:val="bottom"/>
            <w:hideMark/>
          </w:tcPr>
          <w:p w14:paraId="42805D5F" w14:textId="77777777" w:rsidR="00000000" w:rsidRDefault="00195E73">
            <w:pPr>
              <w:rPr>
                <w:rFonts w:eastAsia="Times New Roman"/>
              </w:rPr>
            </w:pPr>
            <w:r>
              <w:rPr>
                <w:rFonts w:eastAsia="Times New Roman"/>
                <w:color w:val="000000"/>
                <w:sz w:val="12"/>
                <w:szCs w:val="12"/>
              </w:rPr>
              <w:t>Other income, ne</w:t>
            </w:r>
            <w:r>
              <w:rPr>
                <w:rFonts w:eastAsia="Times New Roman"/>
                <w:color w:val="000000"/>
                <w:sz w:val="12"/>
                <w:szCs w:val="12"/>
              </w:rPr>
              <w:t>t</w:t>
            </w:r>
          </w:p>
        </w:tc>
        <w:tc>
          <w:tcPr>
            <w:tcW w:w="0" w:type="auto"/>
            <w:gridSpan w:val="2"/>
            <w:shd w:val="clear" w:color="auto" w:fill="FFFFFF"/>
            <w:tcMar>
              <w:top w:w="30" w:type="dxa"/>
              <w:left w:w="20" w:type="dxa"/>
              <w:bottom w:w="30" w:type="dxa"/>
              <w:right w:w="0" w:type="dxa"/>
            </w:tcMar>
            <w:vAlign w:val="bottom"/>
            <w:hideMark/>
          </w:tcPr>
          <w:p w14:paraId="518AE72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8D243E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584612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907D7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C295B8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9AA019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0C081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A9F85C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4DC870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33E52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0EA5D4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A089C3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5EEC9C" w14:textId="77777777" w:rsidR="00000000" w:rsidRDefault="00195E73">
            <w:pPr>
              <w:jc w:val="right"/>
              <w:rPr>
                <w:rFonts w:eastAsia="Times New Roman"/>
              </w:rPr>
            </w:pPr>
            <w:r>
              <w:rPr>
                <w:rFonts w:eastAsia="Times New Roman"/>
                <w:color w:val="000000"/>
                <w:sz w:val="12"/>
                <w:szCs w:val="12"/>
              </w:rPr>
              <w:t>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FA80C2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CE78BE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EE5B22" w14:textId="77777777" w:rsidR="00000000" w:rsidRDefault="00195E73">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82AEEC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216664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5EE83E" w14:textId="77777777" w:rsidR="00000000" w:rsidRDefault="00195E73">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40077A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0FC09E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15C063" w14:textId="77777777" w:rsidR="00000000" w:rsidRDefault="00195E73">
            <w:pPr>
              <w:jc w:val="right"/>
              <w:rPr>
                <w:rFonts w:eastAsia="Times New Roman"/>
              </w:rPr>
            </w:pPr>
            <w:r>
              <w:rPr>
                <w:rFonts w:eastAsia="Times New Roman"/>
                <w:color w:val="000000"/>
                <w:sz w:val="12"/>
                <w:szCs w:val="12"/>
              </w:rPr>
              <w:t>19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D82500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B453A5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DC09FA" w14:textId="77777777" w:rsidR="00000000" w:rsidRDefault="00195E73">
            <w:pPr>
              <w:jc w:val="right"/>
              <w:rPr>
                <w:rFonts w:eastAsia="Times New Roman"/>
              </w:rPr>
            </w:pPr>
            <w:r>
              <w:rPr>
                <w:rFonts w:eastAsia="Times New Roman"/>
                <w:color w:val="000000"/>
                <w:sz w:val="12"/>
                <w:szCs w:val="12"/>
              </w:rPr>
              <w:t>31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97784B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92BA34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245847" w14:textId="77777777" w:rsidR="00000000" w:rsidRDefault="00195E73">
            <w:pPr>
              <w:jc w:val="right"/>
              <w:rPr>
                <w:rFonts w:eastAsia="Times New Roman"/>
              </w:rPr>
            </w:pPr>
            <w:r>
              <w:rPr>
                <w:rFonts w:eastAsia="Times New Roman"/>
                <w:color w:val="000000"/>
                <w:sz w:val="12"/>
                <w:szCs w:val="12"/>
              </w:rPr>
              <w:t>27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F5B6226"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6FD13B25"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8D6F7A5"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61</w:t>
            </w:r>
            <w:r>
              <w:rPr>
                <w:rFonts w:eastAsia="Times New Roman"/>
                <w:color w:val="000000"/>
                <w:sz w:val="12"/>
                <w:szCs w:val="12"/>
              </w:rPr>
              <w:t> </w:t>
            </w:r>
            <w:r>
              <w:rPr>
                <w:rFonts w:eastAsia="Times New Roman"/>
                <w:color w:val="000000"/>
                <w:sz w:val="12"/>
                <w:szCs w:val="12"/>
              </w:rPr>
              <w:t> </w:t>
            </w:r>
          </w:p>
        </w:tc>
      </w:tr>
      <w:tr w:rsidR="00195E73" w14:paraId="5FB595A8" w14:textId="77777777">
        <w:trPr>
          <w:divId w:val="746341111"/>
          <w:jc w:val="center"/>
        </w:trPr>
        <w:tc>
          <w:tcPr>
            <w:tcW w:w="0" w:type="auto"/>
            <w:gridSpan w:val="3"/>
            <w:shd w:val="clear" w:color="auto" w:fill="CCEEFF"/>
            <w:tcMar>
              <w:top w:w="15" w:type="dxa"/>
              <w:left w:w="20" w:type="dxa"/>
              <w:bottom w:w="15" w:type="dxa"/>
              <w:right w:w="20" w:type="dxa"/>
            </w:tcMar>
            <w:vAlign w:val="bottom"/>
            <w:hideMark/>
          </w:tcPr>
          <w:p w14:paraId="3CC87DA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89EAC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FFFBB9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0CC62CE"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F72F3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4DBE5B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30794E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E79D4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489C4A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44ADB7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D1598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864D4A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F3EFC7D"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68F783" w14:textId="77777777" w:rsidR="00000000" w:rsidRDefault="00195E73">
            <w:pPr>
              <w:jc w:val="right"/>
              <w:rPr>
                <w:rFonts w:eastAsia="Times New Roman"/>
              </w:rPr>
            </w:pPr>
            <w:r>
              <w:rPr>
                <w:rFonts w:eastAsia="Times New Roman"/>
                <w:color w:val="000000"/>
                <w:sz w:val="12"/>
                <w:szCs w:val="12"/>
              </w:rPr>
              <w:t>6,065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BEC4DF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3778319"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ED40C8" w14:textId="77777777" w:rsidR="00000000" w:rsidRDefault="00195E73">
            <w:pPr>
              <w:jc w:val="right"/>
              <w:rPr>
                <w:rFonts w:eastAsia="Times New Roman"/>
              </w:rPr>
            </w:pPr>
            <w:r>
              <w:rPr>
                <w:rFonts w:eastAsia="Times New Roman"/>
                <w:color w:val="000000"/>
                <w:sz w:val="12"/>
                <w:szCs w:val="12"/>
              </w:rPr>
              <w:t>681</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ADB054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F677A9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D608FB" w14:textId="77777777" w:rsidR="00000000" w:rsidRDefault="00195E73">
            <w:pPr>
              <w:jc w:val="right"/>
              <w:rPr>
                <w:rFonts w:eastAsia="Times New Roman"/>
              </w:rPr>
            </w:pPr>
            <w:r>
              <w:rPr>
                <w:rFonts w:eastAsia="Times New Roman"/>
                <w:color w:val="000000"/>
                <w:sz w:val="12"/>
                <w:szCs w:val="12"/>
              </w:rPr>
              <w:t>456</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1236C3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6FB242A"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A74337" w14:textId="77777777" w:rsidR="00000000" w:rsidRDefault="00195E73">
            <w:pPr>
              <w:jc w:val="right"/>
              <w:rPr>
                <w:rFonts w:eastAsia="Times New Roman"/>
              </w:rPr>
            </w:pPr>
            <w:r>
              <w:rPr>
                <w:rFonts w:eastAsia="Times New Roman"/>
                <w:color w:val="000000"/>
                <w:sz w:val="12"/>
                <w:szCs w:val="12"/>
              </w:rPr>
              <w:t>7,202</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ACA5FC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0C879F4"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FB75BC" w14:textId="77777777" w:rsidR="00000000" w:rsidRDefault="00195E73">
            <w:pPr>
              <w:jc w:val="right"/>
              <w:rPr>
                <w:rFonts w:eastAsia="Times New Roman"/>
              </w:rPr>
            </w:pPr>
            <w:r>
              <w:rPr>
                <w:rFonts w:eastAsia="Times New Roman"/>
                <w:color w:val="000000"/>
                <w:sz w:val="12"/>
                <w:szCs w:val="12"/>
              </w:rPr>
              <w:t>7,764</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AE07CF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1262CF9"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983D3A" w14:textId="77777777" w:rsidR="00000000" w:rsidRDefault="00195E73">
            <w:pPr>
              <w:jc w:val="right"/>
              <w:rPr>
                <w:rFonts w:eastAsia="Times New Roman"/>
              </w:rPr>
            </w:pPr>
            <w:r>
              <w:rPr>
                <w:rFonts w:eastAsia="Times New Roman"/>
                <w:color w:val="000000"/>
                <w:sz w:val="12"/>
                <w:szCs w:val="12"/>
              </w:rPr>
              <w:t>925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B719BB5"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106F4D18"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ED3922" w14:textId="77777777" w:rsidR="00000000" w:rsidRDefault="00195E73">
            <w:pPr>
              <w:jc w:val="right"/>
              <w:rPr>
                <w:rFonts w:eastAsia="Times New Roman"/>
              </w:rPr>
            </w:pPr>
            <w:r>
              <w:rPr>
                <w:rFonts w:eastAsia="Times New Roman"/>
                <w:color w:val="000000"/>
                <w:sz w:val="12"/>
                <w:szCs w:val="12"/>
              </w:rPr>
              <w:t>469</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9,158</w:t>
            </w:r>
            <w:r>
              <w:rPr>
                <w:rFonts w:eastAsia="Times New Roman"/>
                <w:color w:val="000000"/>
                <w:sz w:val="12"/>
                <w:szCs w:val="12"/>
              </w:rPr>
              <w:t> </w:t>
            </w:r>
            <w:r>
              <w:rPr>
                <w:rFonts w:eastAsia="Times New Roman"/>
                <w:color w:val="000000"/>
                <w:sz w:val="12"/>
                <w:szCs w:val="12"/>
              </w:rPr>
              <w:t> </w:t>
            </w:r>
          </w:p>
        </w:tc>
      </w:tr>
      <w:tr w:rsidR="00000000" w14:paraId="052ED882" w14:textId="77777777">
        <w:trPr>
          <w:divId w:val="746341111"/>
          <w:jc w:val="center"/>
        </w:trPr>
        <w:tc>
          <w:tcPr>
            <w:tcW w:w="0" w:type="auto"/>
            <w:gridSpan w:val="3"/>
            <w:shd w:val="clear" w:color="auto" w:fill="FFFFFF"/>
            <w:tcMar>
              <w:top w:w="30" w:type="dxa"/>
              <w:left w:w="20" w:type="dxa"/>
              <w:bottom w:w="30" w:type="dxa"/>
              <w:right w:w="20" w:type="dxa"/>
            </w:tcMar>
            <w:vAlign w:val="bottom"/>
            <w:hideMark/>
          </w:tcPr>
          <w:p w14:paraId="543B32BC" w14:textId="77777777" w:rsidR="00000000" w:rsidRDefault="00195E73">
            <w:pPr>
              <w:rPr>
                <w:rFonts w:eastAsia="Times New Roman"/>
              </w:rPr>
            </w:pPr>
            <w:r>
              <w:rPr>
                <w:rFonts w:eastAsia="Times New Roman"/>
                <w:color w:val="000000"/>
                <w:sz w:val="12"/>
                <w:szCs w:val="12"/>
              </w:rPr>
              <w:t>Expenses</w:t>
            </w:r>
            <w:r>
              <w:rPr>
                <w:rFonts w:eastAsia="Times New Roman"/>
                <w:color w:val="000000"/>
                <w:sz w:val="12"/>
                <w:szCs w:val="12"/>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7E1634EE"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4F9781C"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6181A88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62A5101"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60725BA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E3393D4"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3BBAE44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BD4AE2C"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792A85CE"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F5C1609"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3AC64E2E"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4B21EBD"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2052254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A6E09B7"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3A7765EE"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18E3AFF"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187A12D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E30AF06"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4CB73D84"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2CBFBD9B" w14:textId="77777777" w:rsidR="00000000" w:rsidRDefault="00195E73">
            <w:pPr>
              <w:rPr>
                <w:rFonts w:eastAsia="Times New Roman"/>
                <w:sz w:val="20"/>
                <w:szCs w:val="20"/>
              </w:rPr>
            </w:pPr>
          </w:p>
        </w:tc>
        <w:tc>
          <w:tcPr>
            <w:tcW w:w="0" w:type="auto"/>
            <w:tcBorders>
              <w:top w:val="single" w:sz="8" w:space="0" w:color="000000"/>
            </w:tcBorders>
            <w:shd w:val="clear" w:color="auto" w:fill="FFFFFF"/>
            <w:tcMar>
              <w:top w:w="15" w:type="dxa"/>
              <w:left w:w="20" w:type="dxa"/>
              <w:bottom w:w="15" w:type="dxa"/>
              <w:right w:w="20" w:type="dxa"/>
            </w:tcMar>
            <w:vAlign w:val="bottom"/>
            <w:hideMark/>
          </w:tcPr>
          <w:p w14:paraId="52D9B62E" w14:textId="77777777" w:rsidR="00000000" w:rsidRDefault="00195E73">
            <w:pPr>
              <w:rPr>
                <w:rFonts w:eastAsia="Times New Roman"/>
                <w:sz w:val="20"/>
                <w:szCs w:val="20"/>
              </w:rPr>
            </w:pPr>
          </w:p>
        </w:tc>
      </w:tr>
      <w:tr w:rsidR="00195E73" w14:paraId="266EF9FA" w14:textId="77777777">
        <w:trPr>
          <w:divId w:val="746341111"/>
          <w:jc w:val="center"/>
        </w:trPr>
        <w:tc>
          <w:tcPr>
            <w:tcW w:w="0" w:type="auto"/>
            <w:gridSpan w:val="3"/>
            <w:shd w:val="clear" w:color="auto" w:fill="CCEEFF"/>
            <w:tcMar>
              <w:top w:w="30" w:type="dxa"/>
              <w:left w:w="180" w:type="dxa"/>
              <w:bottom w:w="30" w:type="dxa"/>
              <w:right w:w="20" w:type="dxa"/>
            </w:tcMar>
            <w:vAlign w:val="bottom"/>
            <w:hideMark/>
          </w:tcPr>
          <w:p w14:paraId="7134A5E0" w14:textId="77777777" w:rsidR="00000000" w:rsidRDefault="00195E73">
            <w:pPr>
              <w:rPr>
                <w:rFonts w:eastAsia="Times New Roman"/>
              </w:rPr>
            </w:pPr>
            <w:r>
              <w:rPr>
                <w:rFonts w:eastAsia="Times New Roman"/>
                <w:color w:val="000000"/>
                <w:sz w:val="12"/>
                <w:szCs w:val="12"/>
              </w:rPr>
              <w:t>Cost of goods sol</w:t>
            </w:r>
            <w:r>
              <w:rPr>
                <w:rFonts w:eastAsia="Times New Roman"/>
                <w:color w:val="000000"/>
                <w:sz w:val="12"/>
                <w:szCs w:val="12"/>
              </w:rPr>
              <w:t>d</w:t>
            </w:r>
          </w:p>
        </w:tc>
        <w:tc>
          <w:tcPr>
            <w:tcW w:w="0" w:type="auto"/>
            <w:gridSpan w:val="2"/>
            <w:shd w:val="clear" w:color="auto" w:fill="CCEEFF"/>
            <w:tcMar>
              <w:top w:w="30" w:type="dxa"/>
              <w:left w:w="20" w:type="dxa"/>
              <w:bottom w:w="30" w:type="dxa"/>
              <w:right w:w="0" w:type="dxa"/>
            </w:tcMar>
            <w:vAlign w:val="bottom"/>
            <w:hideMark/>
          </w:tcPr>
          <w:p w14:paraId="0BCC7A7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E83C77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0888AC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3FFC7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EC5E9E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9AA257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6D3AE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C7A5C0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D287E4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80996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189955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633797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C85115" w14:textId="77777777" w:rsidR="00000000" w:rsidRDefault="00195E73">
            <w:pPr>
              <w:jc w:val="right"/>
              <w:rPr>
                <w:rFonts w:eastAsia="Times New Roman"/>
              </w:rPr>
            </w:pPr>
            <w:r>
              <w:rPr>
                <w:rFonts w:eastAsia="Times New Roman"/>
                <w:color w:val="000000"/>
                <w:sz w:val="12"/>
                <w:szCs w:val="12"/>
              </w:rPr>
              <w:t>4,999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2DB4D9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23CBE8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66E42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94B066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E419FB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992AD0" w14:textId="77777777" w:rsidR="00000000" w:rsidRDefault="00195E73">
            <w:pPr>
              <w:jc w:val="right"/>
              <w:rPr>
                <w:rFonts w:eastAsia="Times New Roman"/>
              </w:rPr>
            </w:pPr>
            <w:r>
              <w:rPr>
                <w:rFonts w:eastAsia="Times New Roman"/>
                <w:color w:val="000000"/>
                <w:sz w:val="12"/>
                <w:szCs w:val="12"/>
              </w:rPr>
              <w:t>215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D0C46A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AFF4D6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4884D6" w14:textId="77777777" w:rsidR="00000000" w:rsidRDefault="00195E73">
            <w:pPr>
              <w:jc w:val="right"/>
              <w:rPr>
                <w:rFonts w:eastAsia="Times New Roman"/>
              </w:rPr>
            </w:pPr>
            <w:r>
              <w:rPr>
                <w:rFonts w:eastAsia="Times New Roman"/>
                <w:color w:val="000000"/>
                <w:sz w:val="12"/>
                <w:szCs w:val="12"/>
              </w:rPr>
              <w:t>5,214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C1CF69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E2CA14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32D609" w14:textId="77777777" w:rsidR="00000000" w:rsidRDefault="00195E73">
            <w:pPr>
              <w:jc w:val="right"/>
              <w:rPr>
                <w:rFonts w:eastAsia="Times New Roman"/>
              </w:rPr>
            </w:pPr>
            <w:r>
              <w:rPr>
                <w:rFonts w:eastAsia="Times New Roman"/>
                <w:color w:val="000000"/>
                <w:sz w:val="12"/>
                <w:szCs w:val="12"/>
              </w:rPr>
              <w:t>6,553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64A038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076B10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7248F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F65E308"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22C35F55"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C2D06E9" w14:textId="77777777" w:rsidR="00000000" w:rsidRDefault="00195E73">
            <w:pPr>
              <w:jc w:val="right"/>
              <w:rPr>
                <w:rFonts w:eastAsia="Times New Roman"/>
              </w:rPr>
            </w:pPr>
            <w:r>
              <w:rPr>
                <w:rFonts w:eastAsia="Times New Roman"/>
                <w:color w:val="000000"/>
                <w:sz w:val="12"/>
                <w:szCs w:val="12"/>
              </w:rPr>
              <w:t>249</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6,802</w:t>
            </w:r>
            <w:r>
              <w:rPr>
                <w:rFonts w:eastAsia="Times New Roman"/>
                <w:color w:val="000000"/>
                <w:sz w:val="12"/>
                <w:szCs w:val="12"/>
              </w:rPr>
              <w:t> </w:t>
            </w:r>
            <w:r>
              <w:rPr>
                <w:rFonts w:eastAsia="Times New Roman"/>
                <w:color w:val="000000"/>
                <w:sz w:val="12"/>
                <w:szCs w:val="12"/>
              </w:rPr>
              <w:t> </w:t>
            </w:r>
          </w:p>
        </w:tc>
      </w:tr>
      <w:tr w:rsidR="00195E73" w14:paraId="1052F338" w14:textId="77777777">
        <w:trPr>
          <w:divId w:val="746341111"/>
          <w:jc w:val="center"/>
        </w:trPr>
        <w:tc>
          <w:tcPr>
            <w:tcW w:w="0" w:type="auto"/>
            <w:gridSpan w:val="3"/>
            <w:shd w:val="clear" w:color="auto" w:fill="FFFFFF"/>
            <w:tcMar>
              <w:top w:w="30" w:type="dxa"/>
              <w:left w:w="180" w:type="dxa"/>
              <w:bottom w:w="30" w:type="dxa"/>
              <w:right w:w="20" w:type="dxa"/>
            </w:tcMar>
            <w:vAlign w:val="bottom"/>
            <w:hideMark/>
          </w:tcPr>
          <w:p w14:paraId="0A78C3CA" w14:textId="77777777" w:rsidR="00000000" w:rsidRDefault="00195E73">
            <w:pPr>
              <w:rPr>
                <w:rFonts w:eastAsia="Times New Roman"/>
              </w:rPr>
            </w:pPr>
            <w:r>
              <w:rPr>
                <w:rFonts w:eastAsia="Times New Roman"/>
                <w:color w:val="000000"/>
                <w:sz w:val="12"/>
                <w:szCs w:val="12"/>
              </w:rPr>
              <w:t>Other expenses from operation</w:t>
            </w:r>
            <w:r>
              <w:rPr>
                <w:rFonts w:eastAsia="Times New Roman"/>
                <w:color w:val="000000"/>
                <w:sz w:val="12"/>
                <w:szCs w:val="12"/>
              </w:rPr>
              <w:t>s</w:t>
            </w:r>
          </w:p>
        </w:tc>
        <w:tc>
          <w:tcPr>
            <w:tcW w:w="0" w:type="auto"/>
            <w:gridSpan w:val="2"/>
            <w:shd w:val="clear" w:color="auto" w:fill="FFFFFF"/>
            <w:tcMar>
              <w:top w:w="30" w:type="dxa"/>
              <w:left w:w="20" w:type="dxa"/>
              <w:bottom w:w="30" w:type="dxa"/>
              <w:right w:w="0" w:type="dxa"/>
            </w:tcMar>
            <w:vAlign w:val="bottom"/>
            <w:hideMark/>
          </w:tcPr>
          <w:p w14:paraId="55FBD94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9CC2C4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8CC4AD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5FA47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03485C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9FDE1E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CFB69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A9C21E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2CEA35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5C3DE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9C0B5B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107262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4FCB1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22EDCD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AD9FEE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1436D0" w14:textId="77777777" w:rsidR="00000000" w:rsidRDefault="00195E73">
            <w:pPr>
              <w:jc w:val="right"/>
              <w:rPr>
                <w:rFonts w:eastAsia="Times New Roman"/>
              </w:rPr>
            </w:pPr>
            <w:r>
              <w:rPr>
                <w:rFonts w:eastAsia="Times New Roman"/>
                <w:color w:val="000000"/>
                <w:sz w:val="12"/>
                <w:szCs w:val="12"/>
              </w:rPr>
              <w:t>311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A87961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E94CF1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DA4334" w14:textId="77777777" w:rsidR="00000000" w:rsidRDefault="00195E73">
            <w:pPr>
              <w:jc w:val="right"/>
              <w:rPr>
                <w:rFonts w:eastAsia="Times New Roman"/>
              </w:rPr>
            </w:pPr>
            <w:r>
              <w:rPr>
                <w:rFonts w:eastAsia="Times New Roman"/>
                <w:color w:val="000000"/>
                <w:sz w:val="12"/>
                <w:szCs w:val="12"/>
              </w:rPr>
              <w:t>114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951208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859674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DB19C1" w14:textId="77777777" w:rsidR="00000000" w:rsidRDefault="00195E73">
            <w:pPr>
              <w:jc w:val="right"/>
              <w:rPr>
                <w:rFonts w:eastAsia="Times New Roman"/>
              </w:rPr>
            </w:pPr>
            <w:r>
              <w:rPr>
                <w:rFonts w:eastAsia="Times New Roman"/>
                <w:color w:val="000000"/>
                <w:sz w:val="12"/>
                <w:szCs w:val="12"/>
              </w:rPr>
              <w:t>425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877E59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AAFC1F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B056E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F039F2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8FDB24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ADF59B" w14:textId="77777777" w:rsidR="00000000" w:rsidRDefault="00195E73">
            <w:pPr>
              <w:jc w:val="right"/>
              <w:rPr>
                <w:rFonts w:eastAsia="Times New Roman"/>
              </w:rPr>
            </w:pPr>
            <w:r>
              <w:rPr>
                <w:rFonts w:eastAsia="Times New Roman"/>
                <w:color w:val="000000"/>
                <w:sz w:val="12"/>
                <w:szCs w:val="12"/>
              </w:rPr>
              <w:t>425</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7B44001"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09085A95"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087AF0B" w14:textId="77777777" w:rsidR="00000000" w:rsidRDefault="00195E73">
            <w:pPr>
              <w:jc w:val="right"/>
              <w:rPr>
                <w:rFonts w:eastAsia="Times New Roman"/>
              </w:rPr>
            </w:pPr>
            <w:r>
              <w:rPr>
                <w:rFonts w:eastAsia="Times New Roman"/>
                <w:color w:val="000000"/>
                <w:sz w:val="12"/>
                <w:szCs w:val="12"/>
              </w:rPr>
              <w:t>100</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525</w:t>
            </w:r>
            <w:r>
              <w:rPr>
                <w:rFonts w:eastAsia="Times New Roman"/>
                <w:color w:val="000000"/>
                <w:sz w:val="12"/>
                <w:szCs w:val="12"/>
              </w:rPr>
              <w:t> </w:t>
            </w:r>
            <w:r>
              <w:rPr>
                <w:rFonts w:eastAsia="Times New Roman"/>
                <w:color w:val="000000"/>
                <w:sz w:val="12"/>
                <w:szCs w:val="12"/>
              </w:rPr>
              <w:t> </w:t>
            </w:r>
          </w:p>
        </w:tc>
      </w:tr>
      <w:tr w:rsidR="00195E73" w14:paraId="56DB63D0" w14:textId="77777777">
        <w:trPr>
          <w:divId w:val="746341111"/>
          <w:jc w:val="center"/>
        </w:trPr>
        <w:tc>
          <w:tcPr>
            <w:tcW w:w="0" w:type="auto"/>
            <w:gridSpan w:val="3"/>
            <w:shd w:val="clear" w:color="auto" w:fill="CCEEFF"/>
            <w:tcMar>
              <w:top w:w="30" w:type="dxa"/>
              <w:left w:w="180" w:type="dxa"/>
              <w:bottom w:w="30" w:type="dxa"/>
              <w:right w:w="20" w:type="dxa"/>
            </w:tcMar>
            <w:vAlign w:val="bottom"/>
            <w:hideMark/>
          </w:tcPr>
          <w:p w14:paraId="594963FD" w14:textId="77777777" w:rsidR="00000000" w:rsidRDefault="00195E73">
            <w:pPr>
              <w:rPr>
                <w:rFonts w:eastAsia="Times New Roman"/>
              </w:rPr>
            </w:pPr>
            <w:r>
              <w:rPr>
                <w:rFonts w:eastAsia="Times New Roman"/>
                <w:color w:val="000000"/>
                <w:sz w:val="12"/>
                <w:szCs w:val="12"/>
              </w:rPr>
              <w:t>Selling, general and administrativ</w:t>
            </w:r>
            <w:r>
              <w:rPr>
                <w:rFonts w:eastAsia="Times New Roman"/>
                <w:color w:val="000000"/>
                <w:sz w:val="12"/>
                <w:szCs w:val="12"/>
              </w:rPr>
              <w:t>e</w:t>
            </w:r>
          </w:p>
        </w:tc>
        <w:tc>
          <w:tcPr>
            <w:tcW w:w="0" w:type="auto"/>
            <w:gridSpan w:val="2"/>
            <w:shd w:val="clear" w:color="auto" w:fill="CCEEFF"/>
            <w:tcMar>
              <w:top w:w="30" w:type="dxa"/>
              <w:left w:w="20" w:type="dxa"/>
              <w:bottom w:w="30" w:type="dxa"/>
              <w:right w:w="0" w:type="dxa"/>
            </w:tcMar>
            <w:vAlign w:val="bottom"/>
            <w:hideMark/>
          </w:tcPr>
          <w:p w14:paraId="6F8DC70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D19943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957C3D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01025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CC3D1B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F5255D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B30D1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4090C5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A2BEE5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62DC3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5A7F43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74FC21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D58800" w14:textId="77777777" w:rsidR="00000000" w:rsidRDefault="00195E73">
            <w:pPr>
              <w:jc w:val="right"/>
              <w:rPr>
                <w:rFonts w:eastAsia="Times New Roman"/>
              </w:rPr>
            </w:pPr>
            <w:r>
              <w:rPr>
                <w:rFonts w:eastAsia="Times New Roman"/>
                <w:color w:val="000000"/>
                <w:sz w:val="12"/>
                <w:szCs w:val="12"/>
              </w:rPr>
              <w:t>601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FCF692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302C2E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FB2248" w14:textId="77777777" w:rsidR="00000000" w:rsidRDefault="00195E73">
            <w:pPr>
              <w:jc w:val="right"/>
              <w:rPr>
                <w:rFonts w:eastAsia="Times New Roman"/>
              </w:rPr>
            </w:pPr>
            <w:r>
              <w:rPr>
                <w:rFonts w:eastAsia="Times New Roman"/>
                <w:color w:val="000000"/>
                <w:sz w:val="12"/>
                <w:szCs w:val="12"/>
              </w:rPr>
              <w:t>238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C5EF74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2403CF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6F02EF" w14:textId="77777777" w:rsidR="00000000" w:rsidRDefault="00195E73">
            <w:pPr>
              <w:jc w:val="right"/>
              <w:rPr>
                <w:rFonts w:eastAsia="Times New Roman"/>
              </w:rPr>
            </w:pPr>
            <w:r>
              <w:rPr>
                <w:rFonts w:eastAsia="Times New Roman"/>
                <w:color w:val="000000"/>
                <w:sz w:val="12"/>
                <w:szCs w:val="12"/>
              </w:rPr>
              <w:t>40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ED0375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4E78DA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32D880" w14:textId="77777777" w:rsidR="00000000" w:rsidRDefault="00195E73">
            <w:pPr>
              <w:jc w:val="right"/>
              <w:rPr>
                <w:rFonts w:eastAsia="Times New Roman"/>
              </w:rPr>
            </w:pPr>
            <w:r>
              <w:rPr>
                <w:rFonts w:eastAsia="Times New Roman"/>
                <w:color w:val="000000"/>
                <w:sz w:val="12"/>
                <w:szCs w:val="12"/>
              </w:rPr>
              <w:t>879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3A8784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119E93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15DFFE" w14:textId="77777777" w:rsidR="00000000" w:rsidRDefault="00195E73">
            <w:pPr>
              <w:jc w:val="right"/>
              <w:rPr>
                <w:rFonts w:eastAsia="Times New Roman"/>
              </w:rPr>
            </w:pPr>
            <w:r>
              <w:rPr>
                <w:rFonts w:eastAsia="Times New Roman"/>
                <w:color w:val="000000"/>
                <w:sz w:val="12"/>
                <w:szCs w:val="12"/>
              </w:rPr>
              <w:t>862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43EDF6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B0D3AE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986FA8" w14:textId="77777777" w:rsidR="00000000" w:rsidRDefault="00195E73">
            <w:pPr>
              <w:jc w:val="right"/>
              <w:rPr>
                <w:rFonts w:eastAsia="Times New Roman"/>
              </w:rPr>
            </w:pPr>
            <w:r>
              <w:rPr>
                <w:rFonts w:eastAsia="Times New Roman"/>
                <w:color w:val="000000"/>
                <w:sz w:val="12"/>
                <w:szCs w:val="12"/>
              </w:rPr>
              <w:t>371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4003010"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664099D8"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75AF0F9" w14:textId="77777777" w:rsidR="00000000" w:rsidRDefault="00195E73">
            <w:pPr>
              <w:jc w:val="right"/>
              <w:rPr>
                <w:rFonts w:eastAsia="Times New Roman"/>
              </w:rPr>
            </w:pPr>
            <w:r>
              <w:rPr>
                <w:rFonts w:eastAsia="Times New Roman"/>
                <w:color w:val="000000"/>
                <w:sz w:val="12"/>
                <w:szCs w:val="12"/>
              </w:rPr>
              <w:t>37</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1,270</w:t>
            </w:r>
            <w:r>
              <w:rPr>
                <w:rFonts w:eastAsia="Times New Roman"/>
                <w:color w:val="000000"/>
                <w:sz w:val="12"/>
                <w:szCs w:val="12"/>
              </w:rPr>
              <w:t> </w:t>
            </w:r>
            <w:r>
              <w:rPr>
                <w:rFonts w:eastAsia="Times New Roman"/>
                <w:color w:val="000000"/>
                <w:sz w:val="12"/>
                <w:szCs w:val="12"/>
              </w:rPr>
              <w:t> </w:t>
            </w:r>
          </w:p>
        </w:tc>
      </w:tr>
      <w:tr w:rsidR="00195E73" w14:paraId="1E5007D6" w14:textId="77777777">
        <w:trPr>
          <w:divId w:val="746341111"/>
          <w:jc w:val="center"/>
        </w:trPr>
        <w:tc>
          <w:tcPr>
            <w:tcW w:w="0" w:type="auto"/>
            <w:gridSpan w:val="3"/>
            <w:shd w:val="clear" w:color="auto" w:fill="FFFFFF"/>
            <w:tcMar>
              <w:top w:w="30" w:type="dxa"/>
              <w:left w:w="180" w:type="dxa"/>
              <w:bottom w:w="30" w:type="dxa"/>
              <w:right w:w="20" w:type="dxa"/>
            </w:tcMar>
            <w:vAlign w:val="bottom"/>
            <w:hideMark/>
          </w:tcPr>
          <w:p w14:paraId="3990F6DC" w14:textId="77777777" w:rsidR="00000000" w:rsidRDefault="00195E73">
            <w:pPr>
              <w:rPr>
                <w:rFonts w:eastAsia="Times New Roman"/>
              </w:rPr>
            </w:pPr>
            <w:r>
              <w:rPr>
                <w:rFonts w:eastAsia="Times New Roman"/>
                <w:color w:val="000000"/>
                <w:sz w:val="12"/>
                <w:szCs w:val="12"/>
              </w:rPr>
              <w:t>Restructuring, ne</w:t>
            </w:r>
            <w:r>
              <w:rPr>
                <w:rFonts w:eastAsia="Times New Roman"/>
                <w:color w:val="000000"/>
                <w:sz w:val="12"/>
                <w:szCs w:val="12"/>
              </w:rPr>
              <w:t>t</w:t>
            </w:r>
          </w:p>
        </w:tc>
        <w:tc>
          <w:tcPr>
            <w:tcW w:w="0" w:type="auto"/>
            <w:gridSpan w:val="2"/>
            <w:shd w:val="clear" w:color="auto" w:fill="FFFFFF"/>
            <w:tcMar>
              <w:top w:w="30" w:type="dxa"/>
              <w:left w:w="20" w:type="dxa"/>
              <w:bottom w:w="30" w:type="dxa"/>
              <w:right w:w="0" w:type="dxa"/>
            </w:tcMar>
            <w:vAlign w:val="bottom"/>
            <w:hideMark/>
          </w:tcPr>
          <w:p w14:paraId="095B16A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68128D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408729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218E7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963ED4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992D2E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B0AE8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524FC2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6EA9FC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00DBA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5F681C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CDCDA4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AD9CDF" w14:textId="77777777" w:rsidR="00000000" w:rsidRDefault="00195E73">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267E5C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6E6400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32623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9EEE1E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C5E040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CCA28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E8330A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9EDCE2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09BDED" w14:textId="77777777" w:rsidR="00000000" w:rsidRDefault="00195E73">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7C8033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F2F3D5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5080C8" w14:textId="77777777" w:rsidR="00000000" w:rsidRDefault="00195E73">
            <w:pPr>
              <w:jc w:val="right"/>
              <w:rPr>
                <w:rFonts w:eastAsia="Times New Roman"/>
              </w:rPr>
            </w:pPr>
            <w:r>
              <w:rPr>
                <w:rFonts w:eastAsia="Times New Roman"/>
                <w:color w:val="000000"/>
                <w:sz w:val="12"/>
                <w:szCs w:val="12"/>
              </w:rPr>
              <w:t>21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569342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002783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C98FD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4A12DF5"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666D08F0"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FFCBF9E"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21</w:t>
            </w:r>
            <w:r>
              <w:rPr>
                <w:rFonts w:eastAsia="Times New Roman"/>
                <w:color w:val="000000"/>
                <w:sz w:val="12"/>
                <w:szCs w:val="12"/>
              </w:rPr>
              <w:t> </w:t>
            </w:r>
            <w:r>
              <w:rPr>
                <w:rFonts w:eastAsia="Times New Roman"/>
                <w:color w:val="000000"/>
                <w:sz w:val="12"/>
                <w:szCs w:val="12"/>
              </w:rPr>
              <w:t> </w:t>
            </w:r>
          </w:p>
        </w:tc>
      </w:tr>
      <w:tr w:rsidR="00195E73" w14:paraId="04F38664" w14:textId="77777777">
        <w:trPr>
          <w:divId w:val="746341111"/>
          <w:jc w:val="center"/>
        </w:trPr>
        <w:tc>
          <w:tcPr>
            <w:tcW w:w="0" w:type="auto"/>
            <w:gridSpan w:val="3"/>
            <w:shd w:val="clear" w:color="auto" w:fill="CCEEFF"/>
            <w:tcMar>
              <w:top w:w="30" w:type="dxa"/>
              <w:left w:w="180" w:type="dxa"/>
              <w:bottom w:w="30" w:type="dxa"/>
              <w:right w:w="20" w:type="dxa"/>
            </w:tcMar>
            <w:vAlign w:val="bottom"/>
            <w:hideMark/>
          </w:tcPr>
          <w:p w14:paraId="7F4964E5" w14:textId="77777777" w:rsidR="00000000" w:rsidRDefault="00195E73">
            <w:pPr>
              <w:rPr>
                <w:rFonts w:eastAsia="Times New Roman"/>
              </w:rPr>
            </w:pPr>
            <w:r>
              <w:rPr>
                <w:rFonts w:eastAsia="Times New Roman"/>
                <w:color w:val="000000"/>
                <w:sz w:val="12"/>
                <w:szCs w:val="12"/>
              </w:rPr>
              <w:t>Impairmen</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3DB0A25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C500AD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5BBC46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6A5A0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E0D1B6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7E2371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67FE9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C9EB82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00B8D2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32FAF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CD2C1D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C63A62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EA1DD5" w14:textId="77777777" w:rsidR="00000000" w:rsidRDefault="00195E73">
            <w:pPr>
              <w:jc w:val="right"/>
              <w:rPr>
                <w:rFonts w:eastAsia="Times New Roman"/>
              </w:rPr>
            </w:pPr>
            <w:r>
              <w:rPr>
                <w:rFonts w:eastAsia="Times New Roman"/>
                <w:color w:val="000000"/>
                <w:sz w:val="12"/>
                <w:szCs w:val="12"/>
              </w:rPr>
              <w:t>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1872AE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986A8E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0B7C5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9ADFEA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30F3FF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166EEE" w14:textId="77777777" w:rsidR="00000000" w:rsidRDefault="00195E73">
            <w:pPr>
              <w:jc w:val="right"/>
              <w:rPr>
                <w:rFonts w:eastAsia="Times New Roman"/>
              </w:rPr>
            </w:pPr>
            <w:r>
              <w:rPr>
                <w:rFonts w:eastAsia="Times New Roman"/>
                <w:color w:val="000000"/>
                <w:sz w:val="12"/>
                <w:szCs w:val="12"/>
              </w:rPr>
              <w:t>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6AA65C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20F111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0F164B" w14:textId="77777777" w:rsidR="00000000" w:rsidRDefault="00195E73">
            <w:pPr>
              <w:jc w:val="right"/>
              <w:rPr>
                <w:rFonts w:eastAsia="Times New Roman"/>
              </w:rPr>
            </w:pPr>
            <w:r>
              <w:rPr>
                <w:rFonts w:eastAsia="Times New Roman"/>
                <w:color w:val="000000"/>
                <w:sz w:val="12"/>
                <w:szCs w:val="12"/>
              </w:rPr>
              <w:t>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8D6EF8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8B09F7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E21DED" w14:textId="77777777" w:rsidR="00000000" w:rsidRDefault="00195E73">
            <w:pPr>
              <w:jc w:val="right"/>
              <w:rPr>
                <w:rFonts w:eastAsia="Times New Roman"/>
              </w:rPr>
            </w:pPr>
            <w:r>
              <w:rPr>
                <w:rFonts w:eastAsia="Times New Roman"/>
                <w:color w:val="000000"/>
                <w:sz w:val="12"/>
                <w:szCs w:val="12"/>
              </w:rPr>
              <w:t>25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FA2DF7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662E3C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C9B23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6C7EA03"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7E6947BB"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7F1DE8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25</w:t>
            </w:r>
            <w:r>
              <w:rPr>
                <w:rFonts w:eastAsia="Times New Roman"/>
                <w:color w:val="000000"/>
                <w:sz w:val="12"/>
                <w:szCs w:val="12"/>
              </w:rPr>
              <w:t> </w:t>
            </w:r>
            <w:r>
              <w:rPr>
                <w:rFonts w:eastAsia="Times New Roman"/>
                <w:color w:val="000000"/>
                <w:sz w:val="12"/>
                <w:szCs w:val="12"/>
              </w:rPr>
              <w:t> </w:t>
            </w:r>
          </w:p>
        </w:tc>
      </w:tr>
      <w:tr w:rsidR="00195E73" w14:paraId="4EB56BFF" w14:textId="77777777">
        <w:trPr>
          <w:divId w:val="746341111"/>
          <w:jc w:val="center"/>
        </w:trPr>
        <w:tc>
          <w:tcPr>
            <w:tcW w:w="0" w:type="auto"/>
            <w:gridSpan w:val="3"/>
            <w:shd w:val="clear" w:color="auto" w:fill="FFFFFF"/>
            <w:tcMar>
              <w:top w:w="30" w:type="dxa"/>
              <w:left w:w="180" w:type="dxa"/>
              <w:bottom w:w="30" w:type="dxa"/>
              <w:right w:w="20" w:type="dxa"/>
            </w:tcMar>
            <w:vAlign w:val="bottom"/>
            <w:hideMark/>
          </w:tcPr>
          <w:p w14:paraId="0D776287" w14:textId="77777777" w:rsidR="00000000" w:rsidRDefault="00195E73">
            <w:pPr>
              <w:rPr>
                <w:rFonts w:eastAsia="Times New Roman"/>
              </w:rPr>
            </w:pPr>
            <w:r>
              <w:rPr>
                <w:rFonts w:eastAsia="Times New Roman"/>
                <w:color w:val="000000"/>
                <w:sz w:val="12"/>
                <w:szCs w:val="12"/>
              </w:rPr>
              <w:t>Interest expens</w:t>
            </w:r>
            <w:r>
              <w:rPr>
                <w:rFonts w:eastAsia="Times New Roman"/>
                <w:color w:val="000000"/>
                <w:sz w:val="12"/>
                <w:szCs w:val="12"/>
              </w:rPr>
              <w:t>e</w:t>
            </w:r>
          </w:p>
        </w:tc>
        <w:tc>
          <w:tcPr>
            <w:tcW w:w="0" w:type="auto"/>
            <w:gridSpan w:val="2"/>
            <w:shd w:val="clear" w:color="auto" w:fill="FFFFFF"/>
            <w:tcMar>
              <w:top w:w="30" w:type="dxa"/>
              <w:left w:w="20" w:type="dxa"/>
              <w:bottom w:w="30" w:type="dxa"/>
              <w:right w:w="0" w:type="dxa"/>
            </w:tcMar>
            <w:vAlign w:val="bottom"/>
            <w:hideMark/>
          </w:tcPr>
          <w:p w14:paraId="380B915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ED458B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35CBD6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DAC62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EEF8BD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6D3DB1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88FF7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2ABD203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48AC43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9635B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F978F1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45A190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7E5B09" w14:textId="77777777" w:rsidR="00000000" w:rsidRDefault="00195E73">
            <w:pPr>
              <w:jc w:val="right"/>
              <w:rPr>
                <w:rFonts w:eastAsia="Times New Roman"/>
              </w:rPr>
            </w:pPr>
            <w:r>
              <w:rPr>
                <w:rFonts w:eastAsia="Times New Roman"/>
                <w:color w:val="000000"/>
                <w:sz w:val="12"/>
                <w:szCs w:val="12"/>
              </w:rPr>
              <w:t>137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D77451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3A2F8A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2AACA2" w14:textId="77777777" w:rsidR="00000000" w:rsidRDefault="00195E73">
            <w:pPr>
              <w:jc w:val="right"/>
              <w:rPr>
                <w:rFonts w:eastAsia="Times New Roman"/>
              </w:rPr>
            </w:pPr>
            <w:r>
              <w:rPr>
                <w:rFonts w:eastAsia="Times New Roman"/>
                <w:color w:val="000000"/>
                <w:sz w:val="12"/>
                <w:szCs w:val="12"/>
              </w:rPr>
              <w:t>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62DADF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179063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F18D68" w14:textId="77777777" w:rsidR="00000000" w:rsidRDefault="00195E73">
            <w:pPr>
              <w:jc w:val="right"/>
              <w:rPr>
                <w:rFonts w:eastAsia="Times New Roman"/>
              </w:rPr>
            </w:pPr>
            <w:r>
              <w:rPr>
                <w:rFonts w:eastAsia="Times New Roman"/>
                <w:color w:val="000000"/>
                <w:sz w:val="12"/>
                <w:szCs w:val="12"/>
              </w:rPr>
              <w:t>19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FCAA58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C3DD2B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CA5F33" w14:textId="77777777" w:rsidR="00000000" w:rsidRDefault="00195E73">
            <w:pPr>
              <w:jc w:val="right"/>
              <w:rPr>
                <w:rFonts w:eastAsia="Times New Roman"/>
              </w:rPr>
            </w:pPr>
            <w:r>
              <w:rPr>
                <w:rFonts w:eastAsia="Times New Roman"/>
                <w:color w:val="000000"/>
                <w:sz w:val="12"/>
                <w:szCs w:val="12"/>
              </w:rPr>
              <w:t>160</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0B2E66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A3D736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801D0A" w14:textId="77777777" w:rsidR="00000000" w:rsidRDefault="00195E73">
            <w:pPr>
              <w:jc w:val="right"/>
              <w:rPr>
                <w:rFonts w:eastAsia="Times New Roman"/>
              </w:rPr>
            </w:pPr>
            <w:r>
              <w:rPr>
                <w:rFonts w:eastAsia="Times New Roman"/>
                <w:color w:val="000000"/>
                <w:sz w:val="12"/>
                <w:szCs w:val="12"/>
              </w:rPr>
              <w:t>154</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77E6E97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096619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2B2AC9" w14:textId="77777777" w:rsidR="00000000" w:rsidRDefault="00195E73">
            <w:pPr>
              <w:jc w:val="right"/>
              <w:rPr>
                <w:rFonts w:eastAsia="Times New Roman"/>
              </w:rPr>
            </w:pPr>
            <w:r>
              <w:rPr>
                <w:rFonts w:eastAsia="Times New Roman"/>
                <w:color w:val="000000"/>
                <w:sz w:val="12"/>
                <w:szCs w:val="12"/>
              </w:rPr>
              <w:t>11</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71532C5"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23496990" w14:textId="77777777" w:rsidR="00000000" w:rsidRDefault="00195E73">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263836A" w14:textId="77777777" w:rsidR="00000000" w:rsidRDefault="00195E73">
            <w:pPr>
              <w:jc w:val="right"/>
              <w:rPr>
                <w:rFonts w:eastAsia="Times New Roman"/>
              </w:rPr>
            </w:pPr>
            <w:r>
              <w:rPr>
                <w:rFonts w:eastAsia="Times New Roman"/>
                <w:color w:val="000000"/>
                <w:sz w:val="12"/>
                <w:szCs w:val="12"/>
              </w:rPr>
              <w:t>22</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187</w:t>
            </w:r>
            <w:r>
              <w:rPr>
                <w:rFonts w:eastAsia="Times New Roman"/>
                <w:color w:val="000000"/>
                <w:sz w:val="12"/>
                <w:szCs w:val="12"/>
              </w:rPr>
              <w:t> </w:t>
            </w:r>
            <w:r>
              <w:rPr>
                <w:rFonts w:eastAsia="Times New Roman"/>
                <w:color w:val="000000"/>
                <w:sz w:val="12"/>
                <w:szCs w:val="12"/>
              </w:rPr>
              <w:t> </w:t>
            </w:r>
          </w:p>
        </w:tc>
      </w:tr>
      <w:tr w:rsidR="00195E73" w14:paraId="0AF7A49D" w14:textId="77777777">
        <w:trPr>
          <w:divId w:val="746341111"/>
          <w:jc w:val="center"/>
        </w:trPr>
        <w:tc>
          <w:tcPr>
            <w:tcW w:w="0" w:type="auto"/>
            <w:gridSpan w:val="3"/>
            <w:shd w:val="clear" w:color="auto" w:fill="CCEEFF"/>
            <w:tcMar>
              <w:top w:w="15" w:type="dxa"/>
              <w:left w:w="20" w:type="dxa"/>
              <w:bottom w:w="15" w:type="dxa"/>
              <w:right w:w="20" w:type="dxa"/>
            </w:tcMar>
            <w:vAlign w:val="bottom"/>
            <w:hideMark/>
          </w:tcPr>
          <w:p w14:paraId="20FD0475"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A0C8C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443770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B3AF1C2"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59769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6286EC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82DB669"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BB9AE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431A78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FF55870"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4E8B7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A4938B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61167D9"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C9BF7C" w14:textId="77777777" w:rsidR="00000000" w:rsidRDefault="00195E73">
            <w:pPr>
              <w:jc w:val="right"/>
              <w:rPr>
                <w:rFonts w:eastAsia="Times New Roman"/>
              </w:rPr>
            </w:pPr>
            <w:r>
              <w:rPr>
                <w:rFonts w:eastAsia="Times New Roman"/>
                <w:color w:val="000000"/>
                <w:sz w:val="12"/>
                <w:szCs w:val="12"/>
              </w:rPr>
              <w:t>5,752</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AC3AEB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0139FCA"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E5F062" w14:textId="77777777" w:rsidR="00000000" w:rsidRDefault="00195E73">
            <w:pPr>
              <w:jc w:val="right"/>
              <w:rPr>
                <w:rFonts w:eastAsia="Times New Roman"/>
              </w:rPr>
            </w:pPr>
            <w:r>
              <w:rPr>
                <w:rFonts w:eastAsia="Times New Roman"/>
                <w:color w:val="000000"/>
                <w:sz w:val="12"/>
                <w:szCs w:val="12"/>
              </w:rPr>
              <w:t>553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F43BDE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4DA6DF6"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B96530" w14:textId="77777777" w:rsidR="00000000" w:rsidRDefault="00195E73">
            <w:pPr>
              <w:jc w:val="right"/>
              <w:rPr>
                <w:rFonts w:eastAsia="Times New Roman"/>
              </w:rPr>
            </w:pPr>
            <w:r>
              <w:rPr>
                <w:rFonts w:eastAsia="Times New Roman"/>
                <w:color w:val="000000"/>
                <w:sz w:val="12"/>
                <w:szCs w:val="12"/>
              </w:rPr>
              <w:t>392</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56BAEB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F1A78E0"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9BED69" w14:textId="77777777" w:rsidR="00000000" w:rsidRDefault="00195E73">
            <w:pPr>
              <w:jc w:val="right"/>
              <w:rPr>
                <w:rFonts w:eastAsia="Times New Roman"/>
              </w:rPr>
            </w:pPr>
            <w:r>
              <w:rPr>
                <w:rFonts w:eastAsia="Times New Roman"/>
                <w:color w:val="000000"/>
                <w:sz w:val="12"/>
                <w:szCs w:val="12"/>
              </w:rPr>
              <w:t>6,697</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9EFAC4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AB14FE0"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5218AB" w14:textId="77777777" w:rsidR="00000000" w:rsidRDefault="00195E73">
            <w:pPr>
              <w:jc w:val="right"/>
              <w:rPr>
                <w:rFonts w:eastAsia="Times New Roman"/>
              </w:rPr>
            </w:pPr>
            <w:r>
              <w:rPr>
                <w:rFonts w:eastAsia="Times New Roman"/>
                <w:color w:val="000000"/>
                <w:sz w:val="12"/>
                <w:szCs w:val="12"/>
              </w:rPr>
              <w:t>7,615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B893F3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B4B452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A89BAC" w14:textId="77777777" w:rsidR="00000000" w:rsidRDefault="00195E73">
            <w:pPr>
              <w:jc w:val="right"/>
              <w:rPr>
                <w:rFonts w:eastAsia="Times New Roman"/>
              </w:rPr>
            </w:pPr>
            <w:r>
              <w:rPr>
                <w:rFonts w:eastAsia="Times New Roman"/>
                <w:color w:val="000000"/>
                <w:sz w:val="12"/>
                <w:szCs w:val="12"/>
              </w:rPr>
              <w:t>807</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C68D94C"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4D64FAD8"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F82030" w14:textId="77777777" w:rsidR="00000000" w:rsidRDefault="00195E73">
            <w:pPr>
              <w:jc w:val="right"/>
              <w:rPr>
                <w:rFonts w:eastAsia="Times New Roman"/>
              </w:rPr>
            </w:pPr>
            <w:r>
              <w:rPr>
                <w:rFonts w:eastAsia="Times New Roman"/>
                <w:color w:val="000000"/>
                <w:sz w:val="12"/>
                <w:szCs w:val="12"/>
              </w:rPr>
              <w:t>408</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8,830</w:t>
            </w:r>
            <w:r>
              <w:rPr>
                <w:rFonts w:eastAsia="Times New Roman"/>
                <w:color w:val="000000"/>
                <w:sz w:val="12"/>
                <w:szCs w:val="12"/>
              </w:rPr>
              <w:t> </w:t>
            </w:r>
            <w:r>
              <w:rPr>
                <w:rFonts w:eastAsia="Times New Roman"/>
                <w:color w:val="000000"/>
                <w:sz w:val="12"/>
                <w:szCs w:val="12"/>
              </w:rPr>
              <w:t> </w:t>
            </w:r>
          </w:p>
        </w:tc>
      </w:tr>
      <w:tr w:rsidR="00195E73" w14:paraId="19101F05" w14:textId="77777777">
        <w:trPr>
          <w:divId w:val="746341111"/>
          <w:jc w:val="center"/>
        </w:trPr>
        <w:tc>
          <w:tcPr>
            <w:tcW w:w="0" w:type="auto"/>
            <w:gridSpan w:val="3"/>
            <w:shd w:val="clear" w:color="auto" w:fill="FFFFFF"/>
            <w:tcMar>
              <w:top w:w="30" w:type="dxa"/>
              <w:left w:w="20" w:type="dxa"/>
              <w:bottom w:w="30" w:type="dxa"/>
              <w:right w:w="20" w:type="dxa"/>
            </w:tcMar>
            <w:vAlign w:val="bottom"/>
            <w:hideMark/>
          </w:tcPr>
          <w:p w14:paraId="5972BFF9" w14:textId="77777777" w:rsidR="00000000" w:rsidRDefault="00195E73">
            <w:pPr>
              <w:ind w:hanging="180"/>
              <w:divId w:val="1369380434"/>
              <w:rPr>
                <w:rFonts w:eastAsia="Times New Roman"/>
              </w:rPr>
            </w:pPr>
            <w:r>
              <w:rPr>
                <w:rFonts w:eastAsia="Times New Roman"/>
                <w:color w:val="000000"/>
                <w:sz w:val="12"/>
                <w:szCs w:val="12"/>
              </w:rPr>
              <w:t>Income (loss) from discontinued operations before gain (loss) on sale and income tax (expense) benefi</w:t>
            </w:r>
            <w:r>
              <w:rPr>
                <w:rFonts w:eastAsia="Times New Roman"/>
                <w:color w:val="000000"/>
                <w:sz w:val="12"/>
                <w:szCs w:val="12"/>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3BA25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4D029F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0E5D4D3"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22671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ED8A46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829051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B4801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FA2080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61AFE7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A1C44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CF27FA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E16F5B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DC5599" w14:textId="77777777" w:rsidR="00000000" w:rsidRDefault="00195E73">
            <w:pPr>
              <w:jc w:val="right"/>
              <w:rPr>
                <w:rFonts w:eastAsia="Times New Roman"/>
              </w:rPr>
            </w:pPr>
            <w:r>
              <w:rPr>
                <w:rFonts w:eastAsia="Times New Roman"/>
                <w:color w:val="000000"/>
                <w:sz w:val="12"/>
                <w:szCs w:val="12"/>
              </w:rPr>
              <w:t>313</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CCCC7A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714B2FA"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230215" w14:textId="77777777" w:rsidR="00000000" w:rsidRDefault="00195E73">
            <w:pPr>
              <w:jc w:val="right"/>
              <w:rPr>
                <w:rFonts w:eastAsia="Times New Roman"/>
              </w:rPr>
            </w:pPr>
            <w:r>
              <w:rPr>
                <w:rFonts w:eastAsia="Times New Roman"/>
                <w:color w:val="000000"/>
                <w:sz w:val="12"/>
                <w:szCs w:val="12"/>
              </w:rPr>
              <w:t>128</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A138A4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AAC13B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7E3B5C" w14:textId="77777777" w:rsidR="00000000" w:rsidRDefault="00195E73">
            <w:pPr>
              <w:jc w:val="right"/>
              <w:rPr>
                <w:rFonts w:eastAsia="Times New Roman"/>
              </w:rPr>
            </w:pPr>
            <w:r>
              <w:rPr>
                <w:rFonts w:eastAsia="Times New Roman"/>
                <w:color w:val="000000"/>
                <w:sz w:val="12"/>
                <w:szCs w:val="12"/>
              </w:rPr>
              <w:t>64</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3B8225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A0B6A5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FC08B7" w14:textId="77777777" w:rsidR="00000000" w:rsidRDefault="00195E73">
            <w:pPr>
              <w:jc w:val="right"/>
              <w:rPr>
                <w:rFonts w:eastAsia="Times New Roman"/>
              </w:rPr>
            </w:pPr>
            <w:r>
              <w:rPr>
                <w:rFonts w:eastAsia="Times New Roman"/>
                <w:color w:val="000000"/>
                <w:sz w:val="12"/>
                <w:szCs w:val="12"/>
              </w:rPr>
              <w:t>505</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9E71E4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281AD23"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DBF0A8" w14:textId="77777777" w:rsidR="00000000" w:rsidRDefault="00195E73">
            <w:pPr>
              <w:jc w:val="right"/>
              <w:rPr>
                <w:rFonts w:eastAsia="Times New Roman"/>
              </w:rPr>
            </w:pPr>
            <w:r>
              <w:rPr>
                <w:rFonts w:eastAsia="Times New Roman"/>
                <w:color w:val="000000"/>
                <w:sz w:val="12"/>
                <w:szCs w:val="12"/>
              </w:rPr>
              <w:t>149</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7AC27C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28014A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A620F0" w14:textId="77777777" w:rsidR="00000000" w:rsidRDefault="00195E73">
            <w:pPr>
              <w:jc w:val="right"/>
              <w:rPr>
                <w:rFonts w:eastAsia="Times New Roman"/>
              </w:rPr>
            </w:pPr>
            <w:r>
              <w:rPr>
                <w:rFonts w:eastAsia="Times New Roman"/>
                <w:color w:val="000000"/>
                <w:sz w:val="12"/>
                <w:szCs w:val="12"/>
              </w:rPr>
              <w:t>118</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E4A8D33"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6D17BAA9"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60DD21" w14:textId="77777777" w:rsidR="00000000" w:rsidRDefault="00195E73">
            <w:pPr>
              <w:jc w:val="right"/>
              <w:rPr>
                <w:rFonts w:eastAsia="Times New Roman"/>
              </w:rPr>
            </w:pPr>
            <w:r>
              <w:rPr>
                <w:rFonts w:eastAsia="Times New Roman"/>
                <w:color w:val="000000"/>
                <w:sz w:val="12"/>
                <w:szCs w:val="12"/>
              </w:rPr>
              <w:t>61</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328</w:t>
            </w:r>
            <w:r>
              <w:rPr>
                <w:rFonts w:eastAsia="Times New Roman"/>
                <w:color w:val="000000"/>
                <w:sz w:val="12"/>
                <w:szCs w:val="12"/>
              </w:rPr>
              <w:t> </w:t>
            </w:r>
            <w:r>
              <w:rPr>
                <w:rFonts w:eastAsia="Times New Roman"/>
                <w:color w:val="000000"/>
                <w:sz w:val="12"/>
                <w:szCs w:val="12"/>
              </w:rPr>
              <w:t> </w:t>
            </w:r>
          </w:p>
        </w:tc>
      </w:tr>
      <w:tr w:rsidR="00195E73" w14:paraId="4490EFB4" w14:textId="77777777">
        <w:trPr>
          <w:divId w:val="746341111"/>
          <w:jc w:val="center"/>
        </w:trPr>
        <w:tc>
          <w:tcPr>
            <w:tcW w:w="0" w:type="auto"/>
            <w:gridSpan w:val="3"/>
            <w:shd w:val="clear" w:color="auto" w:fill="CCEEFF"/>
            <w:tcMar>
              <w:top w:w="30" w:type="dxa"/>
              <w:left w:w="20" w:type="dxa"/>
              <w:bottom w:w="30" w:type="dxa"/>
              <w:right w:w="20" w:type="dxa"/>
            </w:tcMar>
            <w:vAlign w:val="bottom"/>
            <w:hideMark/>
          </w:tcPr>
          <w:p w14:paraId="1A82C91A" w14:textId="77777777" w:rsidR="00000000" w:rsidRDefault="00195E73">
            <w:pPr>
              <w:ind w:hanging="180"/>
              <w:divId w:val="1612515684"/>
              <w:rPr>
                <w:rFonts w:eastAsia="Times New Roman"/>
              </w:rPr>
            </w:pPr>
            <w:r>
              <w:rPr>
                <w:rFonts w:eastAsia="Times New Roman"/>
                <w:color w:val="000000"/>
                <w:sz w:val="12"/>
                <w:szCs w:val="12"/>
              </w:rPr>
              <w:t>Gain (loss) on sale of discontinued operation</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2669AC7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F09DF5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8C905F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F6788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47B661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D08EC1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55A60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2CFA14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26A095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F60AF4"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20F082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5B7E3D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AD2ACB" w14:textId="77777777" w:rsidR="00000000" w:rsidRDefault="00195E73">
            <w:pPr>
              <w:jc w:val="right"/>
              <w:rPr>
                <w:rFonts w:eastAsia="Times New Roman"/>
              </w:rPr>
            </w:pPr>
            <w:r>
              <w:rPr>
                <w:rFonts w:eastAsia="Times New Roman"/>
                <w:color w:val="000000"/>
                <w:sz w:val="12"/>
                <w:szCs w:val="12"/>
              </w:rPr>
              <w:t>251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04F7D3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484A90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54AABC" w14:textId="77777777" w:rsidR="00000000" w:rsidRDefault="00195E73">
            <w:pPr>
              <w:jc w:val="right"/>
              <w:rPr>
                <w:rFonts w:eastAsia="Times New Roman"/>
              </w:rPr>
            </w:pPr>
            <w:r>
              <w:rPr>
                <w:rFonts w:eastAsia="Times New Roman"/>
                <w:color w:val="000000"/>
                <w:sz w:val="12"/>
                <w:szCs w:val="12"/>
              </w:rPr>
              <w:t>779</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B26D58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BDB413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6291C8" w14:textId="77777777" w:rsidR="00000000" w:rsidRDefault="00195E73">
            <w:pPr>
              <w:jc w:val="right"/>
              <w:rPr>
                <w:rFonts w:eastAsia="Times New Roman"/>
              </w:rPr>
            </w:pPr>
            <w:r>
              <w:rPr>
                <w:rFonts w:eastAsia="Times New Roman"/>
                <w:color w:val="000000"/>
                <w:sz w:val="12"/>
                <w:szCs w:val="12"/>
              </w:rPr>
              <w:t>400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17F909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5DA5F6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8A9988" w14:textId="77777777" w:rsidR="00000000" w:rsidRDefault="00195E73">
            <w:pPr>
              <w:jc w:val="right"/>
              <w:rPr>
                <w:rFonts w:eastAsia="Times New Roman"/>
              </w:rPr>
            </w:pPr>
            <w:r>
              <w:rPr>
                <w:rFonts w:eastAsia="Times New Roman"/>
                <w:color w:val="000000"/>
                <w:sz w:val="12"/>
                <w:szCs w:val="12"/>
              </w:rPr>
              <w:t>1,430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130C95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7A95E7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99836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752B22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A8A452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8CF7F0" w14:textId="77777777" w:rsidR="00000000" w:rsidRDefault="00195E73">
            <w:pPr>
              <w:jc w:val="right"/>
              <w:rPr>
                <w:rFonts w:eastAsia="Times New Roman"/>
              </w:rPr>
            </w:pPr>
            <w:r>
              <w:rPr>
                <w:rFonts w:eastAsia="Times New Roman"/>
                <w:color w:val="000000"/>
                <w:sz w:val="12"/>
                <w:szCs w:val="12"/>
              </w:rPr>
              <w:t>(3</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5C108030"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00128EA7"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2F74EA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(3</w:t>
            </w:r>
            <w:r>
              <w:rPr>
                <w:rFonts w:eastAsia="Times New Roman"/>
                <w:color w:val="000000"/>
                <w:sz w:val="12"/>
                <w:szCs w:val="12"/>
              </w:rPr>
              <w:t>)</w:t>
            </w:r>
            <w:r>
              <w:rPr>
                <w:rFonts w:eastAsia="Times New Roman"/>
                <w:color w:val="000000"/>
                <w:sz w:val="12"/>
                <w:szCs w:val="12"/>
              </w:rPr>
              <w:t> </w:t>
            </w:r>
          </w:p>
        </w:tc>
      </w:tr>
      <w:tr w:rsidR="00195E73" w14:paraId="694C7313" w14:textId="77777777">
        <w:trPr>
          <w:divId w:val="746341111"/>
          <w:jc w:val="center"/>
        </w:trPr>
        <w:tc>
          <w:tcPr>
            <w:tcW w:w="0" w:type="auto"/>
            <w:gridSpan w:val="3"/>
            <w:shd w:val="clear" w:color="auto" w:fill="FFFFFF"/>
            <w:tcMar>
              <w:top w:w="30" w:type="dxa"/>
              <w:left w:w="20" w:type="dxa"/>
              <w:bottom w:w="30" w:type="dxa"/>
              <w:right w:w="20" w:type="dxa"/>
            </w:tcMar>
            <w:vAlign w:val="bottom"/>
            <w:hideMark/>
          </w:tcPr>
          <w:p w14:paraId="074892C1" w14:textId="77777777" w:rsidR="00000000" w:rsidRDefault="00195E73">
            <w:pPr>
              <w:ind w:hanging="180"/>
              <w:divId w:val="1348360922"/>
              <w:rPr>
                <w:rFonts w:eastAsia="Times New Roman"/>
              </w:rPr>
            </w:pPr>
            <w:r>
              <w:rPr>
                <w:rFonts w:eastAsia="Times New Roman"/>
                <w:color w:val="000000"/>
                <w:sz w:val="12"/>
                <w:szCs w:val="12"/>
              </w:rPr>
              <w:t>Income (loss) from discontinued operations before income tax (expense) benefi</w:t>
            </w:r>
            <w:r>
              <w:rPr>
                <w:rFonts w:eastAsia="Times New Roman"/>
                <w:color w:val="000000"/>
                <w:sz w:val="12"/>
                <w:szCs w:val="12"/>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3298B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E1A14A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9961E0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0B05E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4EF39F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88F0C0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CC24FB"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CB387E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E707C4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5CC32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DB87A4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937C30B"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426141" w14:textId="77777777" w:rsidR="00000000" w:rsidRDefault="00195E73">
            <w:pPr>
              <w:jc w:val="right"/>
              <w:rPr>
                <w:rFonts w:eastAsia="Times New Roman"/>
              </w:rPr>
            </w:pPr>
            <w:r>
              <w:rPr>
                <w:rFonts w:eastAsia="Times New Roman"/>
                <w:color w:val="000000"/>
                <w:sz w:val="12"/>
                <w:szCs w:val="12"/>
              </w:rPr>
              <w:t>564</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C99AF7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EEC37B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21A9F8" w14:textId="77777777" w:rsidR="00000000" w:rsidRDefault="00195E73">
            <w:pPr>
              <w:jc w:val="right"/>
              <w:rPr>
                <w:rFonts w:eastAsia="Times New Roman"/>
              </w:rPr>
            </w:pPr>
            <w:r>
              <w:rPr>
                <w:rFonts w:eastAsia="Times New Roman"/>
                <w:color w:val="000000"/>
                <w:sz w:val="12"/>
                <w:szCs w:val="12"/>
              </w:rPr>
              <w:t>907</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1823DB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C85D51D"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4DB89E" w14:textId="77777777" w:rsidR="00000000" w:rsidRDefault="00195E73">
            <w:pPr>
              <w:jc w:val="right"/>
              <w:rPr>
                <w:rFonts w:eastAsia="Times New Roman"/>
              </w:rPr>
            </w:pPr>
            <w:r>
              <w:rPr>
                <w:rFonts w:eastAsia="Times New Roman"/>
                <w:color w:val="000000"/>
                <w:sz w:val="12"/>
                <w:szCs w:val="12"/>
              </w:rPr>
              <w:t>464</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1B046D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29962F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77846A" w14:textId="77777777" w:rsidR="00000000" w:rsidRDefault="00195E73">
            <w:pPr>
              <w:jc w:val="right"/>
              <w:rPr>
                <w:rFonts w:eastAsia="Times New Roman"/>
              </w:rPr>
            </w:pPr>
            <w:r>
              <w:rPr>
                <w:rFonts w:eastAsia="Times New Roman"/>
                <w:color w:val="000000"/>
                <w:sz w:val="12"/>
                <w:szCs w:val="12"/>
              </w:rPr>
              <w:t>1,935</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11FB4B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863D08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42B569" w14:textId="77777777" w:rsidR="00000000" w:rsidRDefault="00195E73">
            <w:pPr>
              <w:jc w:val="right"/>
              <w:rPr>
                <w:rFonts w:eastAsia="Times New Roman"/>
              </w:rPr>
            </w:pPr>
            <w:r>
              <w:rPr>
                <w:rFonts w:eastAsia="Times New Roman"/>
                <w:color w:val="000000"/>
                <w:sz w:val="12"/>
                <w:szCs w:val="12"/>
              </w:rPr>
              <w:t>149</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236611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B37E1C3"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DCBC0D" w14:textId="77777777" w:rsidR="00000000" w:rsidRDefault="00195E73">
            <w:pPr>
              <w:jc w:val="right"/>
              <w:rPr>
                <w:rFonts w:eastAsia="Times New Roman"/>
              </w:rPr>
            </w:pPr>
            <w:r>
              <w:rPr>
                <w:rFonts w:eastAsia="Times New Roman"/>
                <w:color w:val="000000"/>
                <w:sz w:val="12"/>
                <w:szCs w:val="12"/>
              </w:rPr>
              <w:t>115</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426F9C4"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2648B324"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0D24E0" w14:textId="77777777" w:rsidR="00000000" w:rsidRDefault="00195E73">
            <w:pPr>
              <w:jc w:val="right"/>
              <w:rPr>
                <w:rFonts w:eastAsia="Times New Roman"/>
              </w:rPr>
            </w:pPr>
            <w:r>
              <w:rPr>
                <w:rFonts w:eastAsia="Times New Roman"/>
                <w:color w:val="000000"/>
                <w:sz w:val="12"/>
                <w:szCs w:val="12"/>
              </w:rPr>
              <w:t>61</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325</w:t>
            </w:r>
            <w:r>
              <w:rPr>
                <w:rFonts w:eastAsia="Times New Roman"/>
                <w:color w:val="000000"/>
                <w:sz w:val="12"/>
                <w:szCs w:val="12"/>
              </w:rPr>
              <w:t> </w:t>
            </w:r>
            <w:r>
              <w:rPr>
                <w:rFonts w:eastAsia="Times New Roman"/>
                <w:color w:val="000000"/>
                <w:sz w:val="12"/>
                <w:szCs w:val="12"/>
              </w:rPr>
              <w:t> </w:t>
            </w:r>
          </w:p>
        </w:tc>
      </w:tr>
      <w:tr w:rsidR="00195E73" w14:paraId="685C5887" w14:textId="77777777">
        <w:trPr>
          <w:divId w:val="746341111"/>
          <w:jc w:val="center"/>
        </w:trPr>
        <w:tc>
          <w:tcPr>
            <w:tcW w:w="0" w:type="auto"/>
            <w:gridSpan w:val="3"/>
            <w:shd w:val="clear" w:color="auto" w:fill="CCEEFF"/>
            <w:tcMar>
              <w:top w:w="30" w:type="dxa"/>
              <w:left w:w="20" w:type="dxa"/>
              <w:bottom w:w="30" w:type="dxa"/>
              <w:right w:w="20" w:type="dxa"/>
            </w:tcMar>
            <w:vAlign w:val="bottom"/>
            <w:hideMark/>
          </w:tcPr>
          <w:p w14:paraId="34E7879B" w14:textId="77777777" w:rsidR="00000000" w:rsidRDefault="00195E73">
            <w:pPr>
              <w:ind w:hanging="180"/>
              <w:divId w:val="123696045"/>
              <w:rPr>
                <w:rFonts w:eastAsia="Times New Roman"/>
              </w:rPr>
            </w:pPr>
            <w:r>
              <w:rPr>
                <w:rFonts w:eastAsia="Times New Roman"/>
                <w:color w:val="000000"/>
                <w:sz w:val="12"/>
                <w:szCs w:val="12"/>
              </w:rPr>
              <w:t>Income tax (expense) benefi</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314A07C5" w14:textId="77777777" w:rsidR="00000000" w:rsidRDefault="00195E73">
            <w:pPr>
              <w:jc w:val="right"/>
              <w:rPr>
                <w:rFonts w:eastAsia="Times New Roman"/>
              </w:rPr>
            </w:pPr>
            <w:r>
              <w:rPr>
                <w:rFonts w:eastAsia="Times New Roman"/>
                <w:color w:val="000000"/>
                <w:sz w:val="12"/>
                <w:szCs w:val="12"/>
              </w:rPr>
              <w:t>(32</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0018EED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78F01D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45C81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419993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51850D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E20ADF"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AC7BA6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B47778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C276E0" w14:textId="77777777" w:rsidR="00000000" w:rsidRDefault="00195E73">
            <w:pPr>
              <w:jc w:val="right"/>
              <w:rPr>
                <w:rFonts w:eastAsia="Times New Roman"/>
              </w:rPr>
            </w:pPr>
            <w:r>
              <w:rPr>
                <w:rFonts w:eastAsia="Times New Roman"/>
                <w:color w:val="000000"/>
                <w:sz w:val="12"/>
                <w:szCs w:val="12"/>
              </w:rPr>
              <w:t>(32</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5257459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9169AD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3FC94E" w14:textId="77777777" w:rsidR="00000000" w:rsidRDefault="00195E73">
            <w:pPr>
              <w:jc w:val="right"/>
              <w:rPr>
                <w:rFonts w:eastAsia="Times New Roman"/>
              </w:rPr>
            </w:pPr>
            <w:r>
              <w:rPr>
                <w:rFonts w:eastAsia="Times New Roman"/>
                <w:color w:val="000000"/>
                <w:sz w:val="12"/>
                <w:szCs w:val="12"/>
              </w:rPr>
              <w:t>(69</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711A980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446B3D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6DDF40" w14:textId="77777777" w:rsidR="00000000" w:rsidRDefault="00195E73">
            <w:pPr>
              <w:jc w:val="right"/>
              <w:rPr>
                <w:rFonts w:eastAsia="Times New Roman"/>
              </w:rPr>
            </w:pPr>
            <w:r>
              <w:rPr>
                <w:rFonts w:eastAsia="Times New Roman"/>
                <w:color w:val="000000"/>
                <w:sz w:val="12"/>
                <w:szCs w:val="12"/>
              </w:rPr>
              <w:t>(89</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5D1A712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A744D1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BD8C32" w14:textId="77777777" w:rsidR="00000000" w:rsidRDefault="00195E73">
            <w:pPr>
              <w:jc w:val="right"/>
              <w:rPr>
                <w:rFonts w:eastAsia="Times New Roman"/>
              </w:rPr>
            </w:pPr>
            <w:r>
              <w:rPr>
                <w:rFonts w:eastAsia="Times New Roman"/>
                <w:color w:val="000000"/>
                <w:sz w:val="12"/>
                <w:szCs w:val="12"/>
              </w:rPr>
              <w:t>(13</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14B8402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B81871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2820F3" w14:textId="77777777" w:rsidR="00000000" w:rsidRDefault="00195E73">
            <w:pPr>
              <w:jc w:val="right"/>
              <w:rPr>
                <w:rFonts w:eastAsia="Times New Roman"/>
              </w:rPr>
            </w:pPr>
            <w:r>
              <w:rPr>
                <w:rFonts w:eastAsia="Times New Roman"/>
                <w:color w:val="000000"/>
                <w:sz w:val="12"/>
                <w:szCs w:val="12"/>
              </w:rPr>
              <w:t>(171</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2584C88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20E542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BF96AB" w14:textId="77777777" w:rsidR="00000000" w:rsidRDefault="00195E73">
            <w:pPr>
              <w:jc w:val="right"/>
              <w:rPr>
                <w:rFonts w:eastAsia="Times New Roman"/>
              </w:rPr>
            </w:pPr>
            <w:r>
              <w:rPr>
                <w:rFonts w:eastAsia="Times New Roman"/>
                <w:color w:val="000000"/>
                <w:sz w:val="12"/>
                <w:szCs w:val="12"/>
              </w:rPr>
              <w:t>(33</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1303D5A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527E54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936919" w14:textId="77777777" w:rsidR="00000000" w:rsidRDefault="00195E73">
            <w:pPr>
              <w:jc w:val="right"/>
              <w:rPr>
                <w:rFonts w:eastAsia="Times New Roman"/>
              </w:rPr>
            </w:pPr>
            <w:r>
              <w:rPr>
                <w:rFonts w:eastAsia="Times New Roman"/>
                <w:color w:val="000000"/>
                <w:sz w:val="12"/>
                <w:szCs w:val="12"/>
              </w:rPr>
              <w:t>(93</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5033C68A"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6D546988"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A617898" w14:textId="77777777" w:rsidR="00000000" w:rsidRDefault="00195E73">
            <w:pPr>
              <w:jc w:val="right"/>
              <w:rPr>
                <w:rFonts w:eastAsia="Times New Roman"/>
              </w:rPr>
            </w:pPr>
            <w:r>
              <w:rPr>
                <w:rFonts w:eastAsia="Times New Roman"/>
                <w:color w:val="000000"/>
                <w:sz w:val="12"/>
                <w:szCs w:val="12"/>
              </w:rPr>
              <w:t>35</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(91</w:t>
            </w:r>
            <w:r>
              <w:rPr>
                <w:rFonts w:eastAsia="Times New Roman"/>
                <w:color w:val="000000"/>
                <w:sz w:val="12"/>
                <w:szCs w:val="12"/>
              </w:rPr>
              <w:t>)</w:t>
            </w:r>
            <w:r>
              <w:rPr>
                <w:rFonts w:eastAsia="Times New Roman"/>
                <w:color w:val="000000"/>
                <w:sz w:val="12"/>
                <w:szCs w:val="12"/>
              </w:rPr>
              <w:t> </w:t>
            </w:r>
          </w:p>
        </w:tc>
      </w:tr>
      <w:tr w:rsidR="00195E73" w14:paraId="64A5F933" w14:textId="77777777">
        <w:trPr>
          <w:divId w:val="746341111"/>
          <w:jc w:val="center"/>
        </w:trPr>
        <w:tc>
          <w:tcPr>
            <w:tcW w:w="0" w:type="auto"/>
            <w:gridSpan w:val="3"/>
            <w:shd w:val="clear" w:color="auto" w:fill="FFFFFF"/>
            <w:tcMar>
              <w:top w:w="30" w:type="dxa"/>
              <w:left w:w="20" w:type="dxa"/>
              <w:bottom w:w="30" w:type="dxa"/>
              <w:right w:w="20" w:type="dxa"/>
            </w:tcMar>
            <w:vAlign w:val="bottom"/>
            <w:hideMark/>
          </w:tcPr>
          <w:p w14:paraId="39BD0FCE" w14:textId="77777777" w:rsidR="00000000" w:rsidRDefault="00195E73">
            <w:pPr>
              <w:divId w:val="1348824518"/>
              <w:rPr>
                <w:rFonts w:eastAsia="Times New Roman"/>
              </w:rPr>
            </w:pPr>
            <w:r>
              <w:rPr>
                <w:rFonts w:eastAsia="Times New Roman"/>
                <w:color w:val="000000"/>
                <w:sz w:val="12"/>
                <w:szCs w:val="12"/>
              </w:rPr>
              <w:t>(Loss) income from discontinued operation</w:t>
            </w:r>
            <w:r>
              <w:rPr>
                <w:rFonts w:eastAsia="Times New Roman"/>
                <w:color w:val="000000"/>
                <w:sz w:val="12"/>
                <w:szCs w:val="12"/>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1426BB" w14:textId="77777777" w:rsidR="00000000" w:rsidRDefault="00195E73">
            <w:pPr>
              <w:jc w:val="right"/>
              <w:rPr>
                <w:rFonts w:eastAsia="Times New Roman"/>
              </w:rPr>
            </w:pPr>
            <w:r>
              <w:rPr>
                <w:rFonts w:eastAsia="Times New Roman"/>
                <w:color w:val="000000"/>
                <w:sz w:val="12"/>
                <w:szCs w:val="12"/>
              </w:rPr>
              <w:t>(32</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11EA60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FD543E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9B909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2070B9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354305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CF51F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F8790B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EC8D58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B3F289" w14:textId="77777777" w:rsidR="00000000" w:rsidRDefault="00195E73">
            <w:pPr>
              <w:jc w:val="right"/>
              <w:rPr>
                <w:rFonts w:eastAsia="Times New Roman"/>
              </w:rPr>
            </w:pPr>
            <w:r>
              <w:rPr>
                <w:rFonts w:eastAsia="Times New Roman"/>
                <w:color w:val="000000"/>
                <w:sz w:val="12"/>
                <w:szCs w:val="12"/>
              </w:rPr>
              <w:t>(32</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76C337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CFFDAF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80E590" w14:textId="77777777" w:rsidR="00000000" w:rsidRDefault="00195E73">
            <w:pPr>
              <w:jc w:val="right"/>
              <w:rPr>
                <w:rFonts w:eastAsia="Times New Roman"/>
              </w:rPr>
            </w:pPr>
            <w:r>
              <w:rPr>
                <w:rFonts w:eastAsia="Times New Roman"/>
                <w:color w:val="000000"/>
                <w:sz w:val="12"/>
                <w:szCs w:val="12"/>
              </w:rPr>
              <w:t>495</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1F3B46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D5DC82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D5A650" w14:textId="77777777" w:rsidR="00000000" w:rsidRDefault="00195E73">
            <w:pPr>
              <w:jc w:val="right"/>
              <w:rPr>
                <w:rFonts w:eastAsia="Times New Roman"/>
              </w:rPr>
            </w:pPr>
            <w:r>
              <w:rPr>
                <w:rFonts w:eastAsia="Times New Roman"/>
                <w:color w:val="000000"/>
                <w:sz w:val="12"/>
                <w:szCs w:val="12"/>
              </w:rPr>
              <w:t>818</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C5A32F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B62EB4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E8D4B0" w14:textId="77777777" w:rsidR="00000000" w:rsidRDefault="00195E73">
            <w:pPr>
              <w:jc w:val="right"/>
              <w:rPr>
                <w:rFonts w:eastAsia="Times New Roman"/>
              </w:rPr>
            </w:pPr>
            <w:r>
              <w:rPr>
                <w:rFonts w:eastAsia="Times New Roman"/>
                <w:color w:val="000000"/>
                <w:sz w:val="12"/>
                <w:szCs w:val="12"/>
              </w:rPr>
              <w:t>451</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B34524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146698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4B4F29" w14:textId="77777777" w:rsidR="00000000" w:rsidRDefault="00195E73">
            <w:pPr>
              <w:jc w:val="right"/>
              <w:rPr>
                <w:rFonts w:eastAsia="Times New Roman"/>
              </w:rPr>
            </w:pPr>
            <w:r>
              <w:rPr>
                <w:rFonts w:eastAsia="Times New Roman"/>
                <w:color w:val="000000"/>
                <w:sz w:val="12"/>
                <w:szCs w:val="12"/>
              </w:rPr>
              <w:t>1,764</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528C00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75C5245"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CCE6AC" w14:textId="77777777" w:rsidR="00000000" w:rsidRDefault="00195E73">
            <w:pPr>
              <w:jc w:val="right"/>
              <w:rPr>
                <w:rFonts w:eastAsia="Times New Roman"/>
              </w:rPr>
            </w:pPr>
            <w:r>
              <w:rPr>
                <w:rFonts w:eastAsia="Times New Roman"/>
                <w:color w:val="000000"/>
                <w:sz w:val="12"/>
                <w:szCs w:val="12"/>
              </w:rPr>
              <w:t>116</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EBA4ADF"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BD7268D"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EECB62" w14:textId="77777777" w:rsidR="00000000" w:rsidRDefault="00195E73">
            <w:pPr>
              <w:jc w:val="right"/>
              <w:rPr>
                <w:rFonts w:eastAsia="Times New Roman"/>
              </w:rPr>
            </w:pPr>
            <w:r>
              <w:rPr>
                <w:rFonts w:eastAsia="Times New Roman"/>
                <w:color w:val="000000"/>
                <w:sz w:val="12"/>
                <w:szCs w:val="12"/>
              </w:rPr>
              <w:t>22</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EFD587A"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48380D0C"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595F33" w14:textId="77777777" w:rsidR="00000000" w:rsidRDefault="00195E73">
            <w:pPr>
              <w:jc w:val="right"/>
              <w:rPr>
                <w:rFonts w:eastAsia="Times New Roman"/>
              </w:rPr>
            </w:pPr>
            <w:r>
              <w:rPr>
                <w:rFonts w:eastAsia="Times New Roman"/>
                <w:color w:val="000000"/>
                <w:sz w:val="12"/>
                <w:szCs w:val="12"/>
              </w:rPr>
              <w:t>96</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234</w:t>
            </w:r>
            <w:r>
              <w:rPr>
                <w:rFonts w:eastAsia="Times New Roman"/>
                <w:color w:val="000000"/>
                <w:sz w:val="12"/>
                <w:szCs w:val="12"/>
              </w:rPr>
              <w:t> </w:t>
            </w:r>
            <w:r>
              <w:rPr>
                <w:rFonts w:eastAsia="Times New Roman"/>
                <w:color w:val="000000"/>
                <w:sz w:val="12"/>
                <w:szCs w:val="12"/>
              </w:rPr>
              <w:t> </w:t>
            </w:r>
          </w:p>
        </w:tc>
      </w:tr>
      <w:tr w:rsidR="00195E73" w14:paraId="02A17146" w14:textId="77777777">
        <w:trPr>
          <w:divId w:val="746341111"/>
          <w:jc w:val="center"/>
        </w:trPr>
        <w:tc>
          <w:tcPr>
            <w:tcW w:w="0" w:type="auto"/>
            <w:gridSpan w:val="3"/>
            <w:shd w:val="clear" w:color="auto" w:fill="CCEEFF"/>
            <w:tcMar>
              <w:top w:w="30" w:type="dxa"/>
              <w:left w:w="20" w:type="dxa"/>
              <w:bottom w:w="30" w:type="dxa"/>
              <w:right w:w="20" w:type="dxa"/>
            </w:tcMar>
            <w:vAlign w:val="bottom"/>
            <w:hideMark/>
          </w:tcPr>
          <w:p w14:paraId="4E55F2EB" w14:textId="77777777" w:rsidR="00000000" w:rsidRDefault="00195E73">
            <w:pPr>
              <w:ind w:hanging="180"/>
              <w:divId w:val="1684749084"/>
              <w:rPr>
                <w:rFonts w:eastAsia="Times New Roman"/>
              </w:rPr>
            </w:pPr>
            <w:r>
              <w:rPr>
                <w:rFonts w:eastAsia="Times New Roman"/>
                <w:color w:val="000000"/>
                <w:sz w:val="12"/>
                <w:szCs w:val="12"/>
              </w:rPr>
              <w:t>Less: income from discontinued operations attributable to non-controlling interest</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5254EF9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F788C5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EAC8B3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65C439"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725B9AB"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D508B7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026257"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48379D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2E6564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895AA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566B51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03E350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86440A" w14:textId="77777777" w:rsidR="00000000" w:rsidRDefault="00195E73">
            <w:pPr>
              <w:jc w:val="right"/>
              <w:rPr>
                <w:rFonts w:eastAsia="Times New Roman"/>
              </w:rPr>
            </w:pPr>
            <w:r>
              <w:rPr>
                <w:rFonts w:eastAsia="Times New Roman"/>
                <w:color w:val="000000"/>
                <w:sz w:val="12"/>
                <w:szCs w:val="12"/>
              </w:rPr>
              <w:t>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2ECE0F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47F397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CBC2D3" w14:textId="77777777" w:rsidR="00000000" w:rsidRDefault="00195E73">
            <w:pPr>
              <w:jc w:val="right"/>
              <w:rPr>
                <w:rFonts w:eastAsia="Times New Roman"/>
              </w:rPr>
            </w:pPr>
            <w:r>
              <w:rPr>
                <w:rFonts w:eastAsia="Times New Roman"/>
                <w:color w:val="000000"/>
                <w:sz w:val="12"/>
                <w:szCs w:val="12"/>
              </w:rPr>
              <w:t>17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6FDEE8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6B4444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AD0B99" w14:textId="77777777" w:rsidR="00000000" w:rsidRDefault="00195E73">
            <w:pPr>
              <w:jc w:val="right"/>
              <w:rPr>
                <w:rFonts w:eastAsia="Times New Roman"/>
              </w:rPr>
            </w:pPr>
            <w:r>
              <w:rPr>
                <w:rFonts w:eastAsia="Times New Roman"/>
                <w:color w:val="000000"/>
                <w:sz w:val="12"/>
                <w:szCs w:val="12"/>
              </w:rPr>
              <w:t>20</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5A2CD5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1AB630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02219E" w14:textId="77777777" w:rsidR="00000000" w:rsidRDefault="00195E73">
            <w:pPr>
              <w:jc w:val="right"/>
              <w:rPr>
                <w:rFonts w:eastAsia="Times New Roman"/>
              </w:rPr>
            </w:pPr>
            <w:r>
              <w:rPr>
                <w:rFonts w:eastAsia="Times New Roman"/>
                <w:color w:val="000000"/>
                <w:sz w:val="12"/>
                <w:szCs w:val="12"/>
              </w:rPr>
              <w:t>44</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7D04E5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D5B26D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ED0274" w14:textId="77777777" w:rsidR="00000000" w:rsidRDefault="00195E73">
            <w:pPr>
              <w:jc w:val="right"/>
              <w:rPr>
                <w:rFonts w:eastAsia="Times New Roman"/>
              </w:rPr>
            </w:pPr>
            <w:r>
              <w:rPr>
                <w:rFonts w:eastAsia="Times New Roman"/>
                <w:color w:val="000000"/>
                <w:sz w:val="12"/>
                <w:szCs w:val="12"/>
              </w:rPr>
              <w:t>11</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B8416E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56E573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1553B0" w14:textId="77777777" w:rsidR="00000000" w:rsidRDefault="00195E73">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E387E4C"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68521115" w14:textId="77777777" w:rsidR="00000000" w:rsidRDefault="00195E73">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F664CEA" w14:textId="77777777" w:rsidR="00000000" w:rsidRDefault="00195E73">
            <w:pPr>
              <w:jc w:val="right"/>
              <w:rPr>
                <w:rFonts w:eastAsia="Times New Roman"/>
              </w:rPr>
            </w:pPr>
            <w:r>
              <w:rPr>
                <w:rFonts w:eastAsia="Times New Roman"/>
                <w:color w:val="000000"/>
                <w:sz w:val="12"/>
                <w:szCs w:val="12"/>
              </w:rPr>
              <w:t>53</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77</w:t>
            </w:r>
            <w:r>
              <w:rPr>
                <w:rFonts w:eastAsia="Times New Roman"/>
                <w:color w:val="000000"/>
                <w:sz w:val="12"/>
                <w:szCs w:val="12"/>
              </w:rPr>
              <w:t> </w:t>
            </w:r>
            <w:r>
              <w:rPr>
                <w:rFonts w:eastAsia="Times New Roman"/>
                <w:color w:val="000000"/>
                <w:sz w:val="12"/>
                <w:szCs w:val="12"/>
              </w:rPr>
              <w:t> </w:t>
            </w:r>
          </w:p>
        </w:tc>
      </w:tr>
      <w:tr w:rsidR="00195E73" w14:paraId="490B7AE5" w14:textId="77777777">
        <w:trPr>
          <w:divId w:val="746341111"/>
          <w:jc w:val="center"/>
        </w:trPr>
        <w:tc>
          <w:tcPr>
            <w:tcW w:w="0" w:type="auto"/>
            <w:gridSpan w:val="3"/>
            <w:shd w:val="clear" w:color="auto" w:fill="FFFFFF"/>
            <w:tcMar>
              <w:top w:w="30" w:type="dxa"/>
              <w:left w:w="20" w:type="dxa"/>
              <w:bottom w:w="30" w:type="dxa"/>
              <w:right w:w="20" w:type="dxa"/>
            </w:tcMar>
            <w:vAlign w:val="bottom"/>
            <w:hideMark/>
          </w:tcPr>
          <w:p w14:paraId="068329C1" w14:textId="77777777" w:rsidR="00000000" w:rsidRDefault="00195E73">
            <w:pPr>
              <w:ind w:hanging="180"/>
              <w:divId w:val="1000691691"/>
              <w:rPr>
                <w:rFonts w:eastAsia="Times New Roman"/>
              </w:rPr>
            </w:pPr>
            <w:r>
              <w:rPr>
                <w:rFonts w:eastAsia="Times New Roman"/>
                <w:color w:val="000000"/>
                <w:sz w:val="12"/>
                <w:szCs w:val="12"/>
              </w:rPr>
              <w:t>(Loss) income from discontinued operations attributable to Icahn Enterprise</w:t>
            </w:r>
            <w:r>
              <w:rPr>
                <w:rFonts w:eastAsia="Times New Roman"/>
                <w:color w:val="000000"/>
                <w:sz w:val="12"/>
                <w:szCs w:val="12"/>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0E581BE"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FAF4270" w14:textId="77777777" w:rsidR="00000000" w:rsidRDefault="00195E73">
            <w:pPr>
              <w:jc w:val="right"/>
              <w:rPr>
                <w:rFonts w:eastAsia="Times New Roman"/>
              </w:rPr>
            </w:pPr>
            <w:r>
              <w:rPr>
                <w:rFonts w:eastAsia="Times New Roman"/>
                <w:color w:val="000000"/>
                <w:sz w:val="12"/>
                <w:szCs w:val="12"/>
              </w:rPr>
              <w:t>(32</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19486F2"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A09DDF5"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794FD83"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9CE4795"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99CF36D"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5335D55"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E9083AE"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918A971"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2291804"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D8AFB43"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7D620D0"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CB5C5D9" w14:textId="77777777" w:rsidR="00000000" w:rsidRDefault="00195E73">
            <w:pPr>
              <w:jc w:val="right"/>
              <w:rPr>
                <w:rFonts w:eastAsia="Times New Roman"/>
              </w:rPr>
            </w:pPr>
            <w:r>
              <w:rPr>
                <w:rFonts w:eastAsia="Times New Roman"/>
                <w:color w:val="000000"/>
                <w:sz w:val="12"/>
                <w:szCs w:val="12"/>
              </w:rPr>
              <w:t>(32</w:t>
            </w: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473DA1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B829066"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AEA966A"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4990FA3" w14:textId="77777777" w:rsidR="00000000" w:rsidRDefault="00195E73">
            <w:pPr>
              <w:jc w:val="right"/>
              <w:rPr>
                <w:rFonts w:eastAsia="Times New Roman"/>
              </w:rPr>
            </w:pPr>
            <w:r>
              <w:rPr>
                <w:rFonts w:eastAsia="Times New Roman"/>
                <w:color w:val="000000"/>
                <w:sz w:val="12"/>
                <w:szCs w:val="12"/>
              </w:rPr>
              <w:t>488</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EF9C3B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ED64C13"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E3153C2"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5673807" w14:textId="77777777" w:rsidR="00000000" w:rsidRDefault="00195E73">
            <w:pPr>
              <w:jc w:val="right"/>
              <w:rPr>
                <w:rFonts w:eastAsia="Times New Roman"/>
              </w:rPr>
            </w:pPr>
            <w:r>
              <w:rPr>
                <w:rFonts w:eastAsia="Times New Roman"/>
                <w:color w:val="000000"/>
                <w:sz w:val="12"/>
                <w:szCs w:val="12"/>
              </w:rPr>
              <w:t>801</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3DD5CC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E3E12D8"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E65B14D"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E4F9FBA" w14:textId="77777777" w:rsidR="00000000" w:rsidRDefault="00195E73">
            <w:pPr>
              <w:jc w:val="right"/>
              <w:rPr>
                <w:rFonts w:eastAsia="Times New Roman"/>
              </w:rPr>
            </w:pPr>
            <w:r>
              <w:rPr>
                <w:rFonts w:eastAsia="Times New Roman"/>
                <w:color w:val="000000"/>
                <w:sz w:val="12"/>
                <w:szCs w:val="12"/>
              </w:rPr>
              <w:t>431</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FAF8AB9"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C69A11D"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B56C16E"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A478862" w14:textId="77777777" w:rsidR="00000000" w:rsidRDefault="00195E73">
            <w:pPr>
              <w:jc w:val="right"/>
              <w:rPr>
                <w:rFonts w:eastAsia="Times New Roman"/>
              </w:rPr>
            </w:pPr>
            <w:r>
              <w:rPr>
                <w:rFonts w:eastAsia="Times New Roman"/>
                <w:color w:val="000000"/>
                <w:sz w:val="12"/>
                <w:szCs w:val="12"/>
              </w:rPr>
              <w:t>1,720</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547CEE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ED92957"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C13DC00"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0EBCD55" w14:textId="77777777" w:rsidR="00000000" w:rsidRDefault="00195E73">
            <w:pPr>
              <w:jc w:val="right"/>
              <w:rPr>
                <w:rFonts w:eastAsia="Times New Roman"/>
              </w:rPr>
            </w:pPr>
            <w:r>
              <w:rPr>
                <w:rFonts w:eastAsia="Times New Roman"/>
                <w:color w:val="000000"/>
                <w:sz w:val="12"/>
                <w:szCs w:val="12"/>
              </w:rPr>
              <w:t>105</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1310DE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1EFDA9E"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9A2CEF7" w14:textId="77777777" w:rsidR="00000000" w:rsidRDefault="00195E73">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5EAD0CA" w14:textId="77777777" w:rsidR="00000000" w:rsidRDefault="00195E73">
            <w:pPr>
              <w:jc w:val="right"/>
              <w:rPr>
                <w:rFonts w:eastAsia="Times New Roman"/>
              </w:rPr>
            </w:pPr>
            <w:r>
              <w:rPr>
                <w:rFonts w:eastAsia="Times New Roman"/>
                <w:color w:val="000000"/>
                <w:sz w:val="12"/>
                <w:szCs w:val="12"/>
              </w:rPr>
              <w:t>9</w:t>
            </w:r>
            <w:r>
              <w:rPr>
                <w:rFonts w:eastAsia="Times New Roman"/>
                <w:color w:val="000000"/>
                <w:sz w:val="12"/>
                <w:szCs w:val="12"/>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C58C759"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04E485D1"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DEE464B"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43</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157</w:t>
            </w:r>
            <w:r>
              <w:rPr>
                <w:rFonts w:eastAsia="Times New Roman"/>
                <w:color w:val="000000"/>
                <w:sz w:val="12"/>
                <w:szCs w:val="12"/>
              </w:rPr>
              <w:t> </w:t>
            </w:r>
            <w:r>
              <w:rPr>
                <w:rFonts w:eastAsia="Times New Roman"/>
                <w:color w:val="000000"/>
                <w:sz w:val="12"/>
                <w:szCs w:val="12"/>
              </w:rPr>
              <w:t> </w:t>
            </w:r>
          </w:p>
        </w:tc>
      </w:tr>
      <w:tr w:rsidR="00000000" w14:paraId="061E7079" w14:textId="77777777">
        <w:trPr>
          <w:divId w:val="746341111"/>
          <w:trHeight w:val="220"/>
          <w:jc w:val="center"/>
        </w:trPr>
        <w:tc>
          <w:tcPr>
            <w:tcW w:w="0" w:type="auto"/>
            <w:gridSpan w:val="3"/>
            <w:shd w:val="clear" w:color="auto" w:fill="CCEEFF"/>
            <w:tcMar>
              <w:top w:w="15" w:type="dxa"/>
              <w:left w:w="20" w:type="dxa"/>
              <w:bottom w:w="15" w:type="dxa"/>
              <w:right w:w="20" w:type="dxa"/>
            </w:tcMar>
            <w:vAlign w:val="bottom"/>
            <w:hideMark/>
          </w:tcPr>
          <w:p w14:paraId="58768040" w14:textId="77777777" w:rsidR="00000000" w:rsidRDefault="00195E73">
            <w:pPr>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55230804"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BF76974"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D95657A"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762C71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37CD263"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6A004AC"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3DFF2C2"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170BFC4"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D797A07"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84B1E62"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4D96626"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330A3C3"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C072F27"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AA8D7AB"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A66864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A3A0C63"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FFA0D9A"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6E8AC68"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472AD4FE" w14:textId="77777777" w:rsidR="00000000" w:rsidRDefault="00195E73">
            <w:pPr>
              <w:rPr>
                <w:rFonts w:eastAsia="Times New Roman"/>
                <w:sz w:val="20"/>
                <w:szCs w:val="20"/>
              </w:rPr>
            </w:pPr>
          </w:p>
        </w:tc>
        <w:tc>
          <w:tcPr>
            <w:tcW w:w="0" w:type="auto"/>
            <w:gridSpan w:val="2"/>
            <w:shd w:val="clear" w:color="auto" w:fill="CCEEFF"/>
            <w:tcMar>
              <w:top w:w="15" w:type="dxa"/>
              <w:left w:w="20" w:type="dxa"/>
              <w:bottom w:w="15" w:type="dxa"/>
              <w:right w:w="20" w:type="dxa"/>
            </w:tcMar>
            <w:vAlign w:val="bottom"/>
            <w:hideMark/>
          </w:tcPr>
          <w:p w14:paraId="5139EB7D" w14:textId="77777777" w:rsidR="00000000" w:rsidRDefault="00195E73">
            <w:pPr>
              <w:rPr>
                <w:rFonts w:eastAsia="Times New Roman"/>
                <w:sz w:val="20"/>
                <w:szCs w:val="20"/>
              </w:rPr>
            </w:pPr>
          </w:p>
        </w:tc>
        <w:tc>
          <w:tcPr>
            <w:tcW w:w="0" w:type="auto"/>
            <w:tcBorders>
              <w:top w:val="double" w:sz="6" w:space="0" w:color="000000"/>
            </w:tcBorders>
            <w:shd w:val="clear" w:color="auto" w:fill="CCEEFF"/>
            <w:tcMar>
              <w:top w:w="15" w:type="dxa"/>
              <w:left w:w="20" w:type="dxa"/>
              <w:bottom w:w="15" w:type="dxa"/>
              <w:right w:w="20" w:type="dxa"/>
            </w:tcMar>
            <w:vAlign w:val="bottom"/>
            <w:hideMark/>
          </w:tcPr>
          <w:p w14:paraId="360C04BC" w14:textId="77777777" w:rsidR="00000000" w:rsidRDefault="00195E73">
            <w:pPr>
              <w:rPr>
                <w:rFonts w:eastAsia="Times New Roman"/>
                <w:sz w:val="20"/>
                <w:szCs w:val="20"/>
              </w:rPr>
            </w:pPr>
          </w:p>
        </w:tc>
      </w:tr>
      <w:tr w:rsidR="00000000" w14:paraId="2C80CCC7" w14:textId="77777777">
        <w:trPr>
          <w:divId w:val="746341111"/>
          <w:jc w:val="center"/>
        </w:trPr>
        <w:tc>
          <w:tcPr>
            <w:tcW w:w="0" w:type="auto"/>
            <w:gridSpan w:val="3"/>
            <w:shd w:val="clear" w:color="auto" w:fill="FFFFFF"/>
            <w:tcMar>
              <w:top w:w="30" w:type="dxa"/>
              <w:left w:w="20" w:type="dxa"/>
              <w:bottom w:w="30" w:type="dxa"/>
              <w:right w:w="20" w:type="dxa"/>
            </w:tcMar>
            <w:vAlign w:val="bottom"/>
            <w:hideMark/>
          </w:tcPr>
          <w:p w14:paraId="58CD9312" w14:textId="77777777" w:rsidR="00000000" w:rsidRDefault="00195E73">
            <w:pPr>
              <w:rPr>
                <w:rFonts w:eastAsia="Times New Roman"/>
              </w:rPr>
            </w:pPr>
            <w:r>
              <w:rPr>
                <w:rFonts w:eastAsia="Times New Roman"/>
                <w:color w:val="000000"/>
                <w:sz w:val="12"/>
                <w:szCs w:val="12"/>
              </w:rPr>
              <w:t>Supplemental information</w:t>
            </w:r>
            <w:r>
              <w:rPr>
                <w:rFonts w:eastAsia="Times New Roman"/>
                <w:color w:val="000000"/>
                <w:sz w:val="12"/>
                <w:szCs w:val="12"/>
              </w:rPr>
              <w:t>:</w:t>
            </w:r>
          </w:p>
        </w:tc>
        <w:tc>
          <w:tcPr>
            <w:tcW w:w="0" w:type="auto"/>
            <w:gridSpan w:val="3"/>
            <w:shd w:val="clear" w:color="auto" w:fill="FFFFFF"/>
            <w:tcMar>
              <w:top w:w="15" w:type="dxa"/>
              <w:left w:w="20" w:type="dxa"/>
              <w:bottom w:w="15" w:type="dxa"/>
              <w:right w:w="20" w:type="dxa"/>
            </w:tcMar>
            <w:vAlign w:val="bottom"/>
            <w:hideMark/>
          </w:tcPr>
          <w:p w14:paraId="618FED75"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9958C2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92D93A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487047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AC391B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BBADC3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A9E508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683B67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5FAC26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000A97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472B92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0354B4F"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796D62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0A1DEA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CE757A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21AB3C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56F02D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ECC415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CF303D6"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14:paraId="71E71E27" w14:textId="77777777" w:rsidR="00000000" w:rsidRDefault="00195E73">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14:paraId="4A7CB035" w14:textId="77777777" w:rsidR="00000000" w:rsidRDefault="00195E73">
            <w:pPr>
              <w:rPr>
                <w:rFonts w:eastAsia="Times New Roman"/>
                <w:sz w:val="20"/>
                <w:szCs w:val="20"/>
              </w:rPr>
            </w:pPr>
          </w:p>
        </w:tc>
      </w:tr>
      <w:tr w:rsidR="00195E73" w14:paraId="07267B2B" w14:textId="77777777">
        <w:trPr>
          <w:divId w:val="746341111"/>
          <w:jc w:val="center"/>
        </w:trPr>
        <w:tc>
          <w:tcPr>
            <w:tcW w:w="0" w:type="auto"/>
            <w:gridSpan w:val="3"/>
            <w:shd w:val="clear" w:color="auto" w:fill="CCEEFF"/>
            <w:tcMar>
              <w:top w:w="30" w:type="dxa"/>
              <w:left w:w="20" w:type="dxa"/>
              <w:bottom w:w="30" w:type="dxa"/>
              <w:right w:w="20" w:type="dxa"/>
            </w:tcMar>
            <w:vAlign w:val="bottom"/>
            <w:hideMark/>
          </w:tcPr>
          <w:p w14:paraId="643CBADE" w14:textId="77777777" w:rsidR="00000000" w:rsidRDefault="00195E73">
            <w:pPr>
              <w:ind w:firstLine="180"/>
              <w:divId w:val="1699774411"/>
              <w:rPr>
                <w:rFonts w:eastAsia="Times New Roman"/>
              </w:rPr>
            </w:pPr>
            <w:r>
              <w:rPr>
                <w:rFonts w:eastAsia="Times New Roman"/>
                <w:color w:val="000000"/>
                <w:sz w:val="12"/>
                <w:szCs w:val="12"/>
              </w:rPr>
              <w:t>Capital expenditure</w:t>
            </w:r>
            <w:r>
              <w:rPr>
                <w:rFonts w:eastAsia="Times New Roman"/>
                <w:color w:val="000000"/>
                <w:sz w:val="12"/>
                <w:szCs w:val="12"/>
              </w:rPr>
              <w:t>s</w:t>
            </w:r>
          </w:p>
        </w:tc>
        <w:tc>
          <w:tcPr>
            <w:tcW w:w="0" w:type="auto"/>
            <w:shd w:val="clear" w:color="auto" w:fill="CCEEFF"/>
            <w:tcMar>
              <w:top w:w="30" w:type="dxa"/>
              <w:left w:w="20" w:type="dxa"/>
              <w:bottom w:w="30" w:type="dxa"/>
              <w:right w:w="15" w:type="dxa"/>
            </w:tcMar>
            <w:vAlign w:val="bottom"/>
            <w:hideMark/>
          </w:tcPr>
          <w:p w14:paraId="08D9C8EB"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5FD92EC"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BFA406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A84782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701F20A"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50AF583A"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1D886C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AB86F9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09DDD48"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33EDC70"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D9B80E5"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1AC7A4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0DAD7C4"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16947756"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8B2DEE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11E3AC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FC0DB19"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04A237E2" w14:textId="77777777" w:rsidR="00000000" w:rsidRDefault="00195E73">
            <w:pPr>
              <w:jc w:val="right"/>
              <w:rPr>
                <w:rFonts w:eastAsia="Times New Roman"/>
              </w:rPr>
            </w:pPr>
            <w:r>
              <w:rPr>
                <w:rFonts w:eastAsia="Times New Roman"/>
                <w:color w:val="000000"/>
                <w:sz w:val="12"/>
                <w:szCs w:val="12"/>
              </w:rPr>
              <w:t>303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E469ED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6493BE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28B1E66"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3E1A0BF7" w14:textId="77777777" w:rsidR="00000000" w:rsidRDefault="00195E73">
            <w:pPr>
              <w:jc w:val="right"/>
              <w:rPr>
                <w:rFonts w:eastAsia="Times New Roman"/>
              </w:rPr>
            </w:pPr>
            <w:r>
              <w:rPr>
                <w:rFonts w:eastAsia="Times New Roman"/>
                <w:color w:val="000000"/>
                <w:sz w:val="12"/>
                <w:szCs w:val="12"/>
              </w:rPr>
              <w:t>58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849E591"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5F88F3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B9A2862"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640C32C8" w14:textId="77777777" w:rsidR="00000000" w:rsidRDefault="00195E73">
            <w:pPr>
              <w:jc w:val="right"/>
              <w:rPr>
                <w:rFonts w:eastAsia="Times New Roman"/>
              </w:rPr>
            </w:pPr>
            <w:r>
              <w:rPr>
                <w:rFonts w:eastAsia="Times New Roman"/>
                <w:color w:val="000000"/>
                <w:sz w:val="12"/>
                <w:szCs w:val="12"/>
              </w:rPr>
              <w:t>125</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305142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4E3BCF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FD4450A"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D696228" w14:textId="77777777" w:rsidR="00000000" w:rsidRDefault="00195E73">
            <w:pPr>
              <w:jc w:val="right"/>
              <w:rPr>
                <w:rFonts w:eastAsia="Times New Roman"/>
              </w:rPr>
            </w:pPr>
            <w:r>
              <w:rPr>
                <w:rFonts w:eastAsia="Times New Roman"/>
                <w:color w:val="000000"/>
                <w:sz w:val="12"/>
                <w:szCs w:val="12"/>
              </w:rPr>
              <w:t>486</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EE763FC"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DF3910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40F1176"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211D8887" w14:textId="77777777" w:rsidR="00000000" w:rsidRDefault="00195E73">
            <w:pPr>
              <w:jc w:val="right"/>
              <w:rPr>
                <w:rFonts w:eastAsia="Times New Roman"/>
              </w:rPr>
            </w:pPr>
            <w:r>
              <w:rPr>
                <w:rFonts w:eastAsia="Times New Roman"/>
                <w:color w:val="000000"/>
                <w:sz w:val="12"/>
                <w:szCs w:val="12"/>
              </w:rPr>
              <w:t>393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50B606A"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07E6CE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D2545DE" w14:textId="77777777" w:rsidR="00000000" w:rsidRDefault="00195E73">
            <w:pPr>
              <w:rPr>
                <w:rFonts w:eastAsia="Times New Roman"/>
              </w:rPr>
            </w:pPr>
            <w:r>
              <w:rPr>
                <w:rFonts w:eastAsia="Times New Roman"/>
                <w:color w:val="000000"/>
                <w:sz w:val="12"/>
                <w:szCs w:val="12"/>
              </w:rPr>
              <w:t>$</w:t>
            </w:r>
          </w:p>
        </w:tc>
        <w:tc>
          <w:tcPr>
            <w:tcW w:w="0" w:type="auto"/>
            <w:shd w:val="clear" w:color="auto" w:fill="CCEEFF"/>
            <w:tcMar>
              <w:top w:w="30" w:type="dxa"/>
              <w:left w:w="15" w:type="dxa"/>
              <w:bottom w:w="30" w:type="dxa"/>
              <w:right w:w="0" w:type="dxa"/>
            </w:tcMar>
            <w:vAlign w:val="bottom"/>
            <w:hideMark/>
          </w:tcPr>
          <w:p w14:paraId="09F62EF7" w14:textId="77777777" w:rsidR="00000000" w:rsidRDefault="00195E73">
            <w:pPr>
              <w:jc w:val="right"/>
              <w:rPr>
                <w:rFonts w:eastAsia="Times New Roman"/>
              </w:rPr>
            </w:pPr>
            <w:r>
              <w:rPr>
                <w:rFonts w:eastAsia="Times New Roman"/>
                <w:color w:val="000000"/>
                <w:sz w:val="12"/>
                <w:szCs w:val="12"/>
              </w:rPr>
              <w:t>112</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47480FD"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CCEEFF"/>
            <w:tcMar>
              <w:top w:w="15" w:type="dxa"/>
              <w:left w:w="20" w:type="dxa"/>
              <w:bottom w:w="15" w:type="dxa"/>
              <w:right w:w="20" w:type="dxa"/>
            </w:tcMar>
            <w:vAlign w:val="bottom"/>
            <w:hideMark/>
          </w:tcPr>
          <w:p w14:paraId="448539C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6069F9F"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171</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676</w:t>
            </w:r>
            <w:r>
              <w:rPr>
                <w:rFonts w:eastAsia="Times New Roman"/>
                <w:color w:val="000000"/>
                <w:sz w:val="12"/>
                <w:szCs w:val="12"/>
              </w:rPr>
              <w:t> </w:t>
            </w:r>
            <w:r>
              <w:rPr>
                <w:rFonts w:eastAsia="Times New Roman"/>
                <w:color w:val="000000"/>
                <w:sz w:val="12"/>
                <w:szCs w:val="12"/>
              </w:rPr>
              <w:t> </w:t>
            </w:r>
          </w:p>
        </w:tc>
      </w:tr>
      <w:tr w:rsidR="00195E73" w14:paraId="43CD8C9A" w14:textId="77777777">
        <w:trPr>
          <w:divId w:val="746341111"/>
          <w:jc w:val="center"/>
        </w:trPr>
        <w:tc>
          <w:tcPr>
            <w:tcW w:w="0" w:type="auto"/>
            <w:gridSpan w:val="3"/>
            <w:shd w:val="clear" w:color="auto" w:fill="FFFFFF"/>
            <w:tcMar>
              <w:top w:w="30" w:type="dxa"/>
              <w:left w:w="20" w:type="dxa"/>
              <w:bottom w:w="30" w:type="dxa"/>
              <w:right w:w="20" w:type="dxa"/>
            </w:tcMar>
            <w:vAlign w:val="bottom"/>
            <w:hideMark/>
          </w:tcPr>
          <w:p w14:paraId="6A4FE361" w14:textId="77777777" w:rsidR="00000000" w:rsidRDefault="00195E73">
            <w:pPr>
              <w:ind w:hanging="180"/>
              <w:divId w:val="1147824261"/>
              <w:rPr>
                <w:rFonts w:eastAsia="Times New Roman"/>
              </w:rPr>
            </w:pPr>
            <w:r>
              <w:rPr>
                <w:rFonts w:eastAsia="Times New Roman"/>
                <w:color w:val="000000"/>
                <w:sz w:val="12"/>
                <w:szCs w:val="12"/>
              </w:rPr>
              <w:t>Depreciation and amortizatio</w:t>
            </w:r>
            <w:r>
              <w:rPr>
                <w:rFonts w:eastAsia="Times New Roman"/>
                <w:color w:val="000000"/>
                <w:sz w:val="12"/>
                <w:szCs w:val="12"/>
              </w:rPr>
              <w:t>n</w:t>
            </w:r>
          </w:p>
        </w:tc>
        <w:tc>
          <w:tcPr>
            <w:tcW w:w="0" w:type="auto"/>
            <w:shd w:val="clear" w:color="auto" w:fill="FFFFFF"/>
            <w:tcMar>
              <w:top w:w="30" w:type="dxa"/>
              <w:left w:w="20" w:type="dxa"/>
              <w:bottom w:w="30" w:type="dxa"/>
              <w:right w:w="15" w:type="dxa"/>
            </w:tcMar>
            <w:vAlign w:val="bottom"/>
            <w:hideMark/>
          </w:tcPr>
          <w:p w14:paraId="15D2FA60"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59DBEB32"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4DAD17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9A22562"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C80FD11"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1B792E33"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2EE16C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2EC5EE7"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101ADDE"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4877F158"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C7292B0"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2723BFD"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374086A"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5573AA7D" w14:textId="77777777" w:rsidR="00000000" w:rsidRDefault="00195E73">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160716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7BEB36C9"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9A1A9F8"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1A0246C5" w14:textId="77777777" w:rsidR="00000000" w:rsidRDefault="00195E73">
            <w:pPr>
              <w:jc w:val="right"/>
              <w:rPr>
                <w:rFonts w:eastAsia="Times New Roman"/>
              </w:rPr>
            </w:pPr>
            <w:r>
              <w:rPr>
                <w:rFonts w:eastAsia="Times New Roman"/>
                <w:color w:val="000000"/>
                <w:sz w:val="12"/>
                <w:szCs w:val="12"/>
              </w:rPr>
              <w:t>100</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461A577"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115C563"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B4223CF"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03648290" w14:textId="77777777" w:rsidR="00000000" w:rsidRDefault="00195E73">
            <w:pPr>
              <w:jc w:val="right"/>
              <w:rPr>
                <w:rFonts w:eastAsia="Times New Roman"/>
              </w:rPr>
            </w:pPr>
            <w:r>
              <w:rPr>
                <w:rFonts w:eastAsia="Times New Roman"/>
                <w:color w:val="000000"/>
                <w:sz w:val="12"/>
                <w:szCs w:val="12"/>
              </w:rPr>
              <w:t>19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1F170EE"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6863127"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5188514"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58B616EC" w14:textId="77777777" w:rsidR="00000000" w:rsidRDefault="00195E73">
            <w:pPr>
              <w:jc w:val="right"/>
              <w:rPr>
                <w:rFonts w:eastAsia="Times New Roman"/>
              </w:rPr>
            </w:pPr>
            <w:r>
              <w:rPr>
                <w:rFonts w:eastAsia="Times New Roman"/>
                <w:color w:val="000000"/>
                <w:sz w:val="12"/>
                <w:szCs w:val="12"/>
              </w:rPr>
              <w:t>47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C9A4096"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4ACA711"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E91F239"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10062D48" w14:textId="77777777" w:rsidR="00000000" w:rsidRDefault="00195E73">
            <w:pPr>
              <w:jc w:val="right"/>
              <w:rPr>
                <w:rFonts w:eastAsia="Times New Roman"/>
              </w:rPr>
            </w:pPr>
            <w:r>
              <w:rPr>
                <w:rFonts w:eastAsia="Times New Roman"/>
                <w:color w:val="000000"/>
                <w:sz w:val="12"/>
                <w:szCs w:val="12"/>
              </w:rPr>
              <w:t>166</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803DBF3"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719ED58"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8B30A4F"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779F3B28" w14:textId="77777777" w:rsidR="00000000" w:rsidRDefault="00195E73">
            <w:pPr>
              <w:jc w:val="right"/>
              <w:rPr>
                <w:rFonts w:eastAsia="Times New Roman"/>
              </w:rPr>
            </w:pPr>
            <w:r>
              <w:rPr>
                <w:rFonts w:eastAsia="Times New Roman"/>
                <w:color w:val="000000"/>
                <w:sz w:val="12"/>
                <w:szCs w:val="12"/>
              </w:rPr>
              <w:t>397</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32AD7228" w14:textId="77777777" w:rsidR="00000000" w:rsidRDefault="00195E73">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3012F7D"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F87A8C7" w14:textId="77777777" w:rsidR="00000000" w:rsidRDefault="00195E73">
            <w:pPr>
              <w:rPr>
                <w:rFonts w:eastAsia="Times New Roman"/>
              </w:rPr>
            </w:pPr>
            <w:r>
              <w:rPr>
                <w:rFonts w:eastAsia="Times New Roman"/>
                <w:color w:val="000000"/>
                <w:sz w:val="12"/>
                <w:szCs w:val="12"/>
              </w:rPr>
              <w:t>$</w:t>
            </w:r>
          </w:p>
        </w:tc>
        <w:tc>
          <w:tcPr>
            <w:tcW w:w="0" w:type="auto"/>
            <w:shd w:val="clear" w:color="auto" w:fill="FFFFFF"/>
            <w:tcMar>
              <w:top w:w="30" w:type="dxa"/>
              <w:left w:w="15" w:type="dxa"/>
              <w:bottom w:w="30" w:type="dxa"/>
              <w:right w:w="0" w:type="dxa"/>
            </w:tcMar>
            <w:vAlign w:val="bottom"/>
            <w:hideMark/>
          </w:tcPr>
          <w:p w14:paraId="32629005" w14:textId="77777777" w:rsidR="00000000" w:rsidRDefault="00195E73">
            <w:pPr>
              <w:jc w:val="right"/>
              <w:rPr>
                <w:rFonts w:eastAsia="Times New Roman"/>
              </w:rPr>
            </w:pPr>
            <w:r>
              <w:rPr>
                <w:rFonts w:eastAsia="Times New Roman"/>
                <w:color w:val="000000"/>
                <w:sz w:val="12"/>
                <w:szCs w:val="12"/>
              </w:rPr>
              <w:t>73</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A3BCC5D" w14:textId="77777777" w:rsidR="00000000" w:rsidRDefault="00195E73">
            <w:pPr>
              <w:jc w:val="right"/>
              <w:rPr>
                <w:rFonts w:eastAsia="Times New Roman"/>
              </w:rPr>
            </w:pPr>
            <w:r>
              <w:rPr>
                <w:rFonts w:eastAsia="Times New Roman"/>
                <w:color w:val="000000"/>
                <w:sz w:val="12"/>
                <w:szCs w:val="12"/>
              </w:rPr>
              <w:t> </w:t>
            </w:r>
          </w:p>
        </w:tc>
        <w:tc>
          <w:tcPr>
            <w:tcW w:w="0" w:type="auto"/>
            <w:gridSpan w:val="2"/>
            <w:shd w:val="clear" w:color="auto" w:fill="FFFFFF"/>
            <w:tcMar>
              <w:top w:w="15" w:type="dxa"/>
              <w:left w:w="20" w:type="dxa"/>
              <w:bottom w:w="15" w:type="dxa"/>
              <w:right w:w="20" w:type="dxa"/>
            </w:tcMar>
            <w:vAlign w:val="bottom"/>
            <w:hideMark/>
          </w:tcPr>
          <w:p w14:paraId="331BB645"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92C4E88" w14:textId="77777777" w:rsidR="00000000" w:rsidRDefault="00195E73">
            <w:pPr>
              <w:rPr>
                <w:rFonts w:eastAsia="Times New Roman"/>
              </w:rPr>
            </w:pPr>
            <w:r>
              <w:rPr>
                <w:rFonts w:eastAsia="Times New Roman"/>
                <w:color w:val="000000"/>
                <w:sz w:val="12"/>
                <w:szCs w:val="12"/>
              </w:rPr>
              <w:t>$</w:t>
            </w:r>
            <w:r>
              <w:rPr>
                <w:rFonts w:eastAsia="Times New Roman"/>
                <w:color w:val="000000"/>
                <w:sz w:val="12"/>
                <w:szCs w:val="12"/>
              </w:rPr>
              <w:t>58</w:t>
            </w:r>
            <w:r>
              <w:rPr>
                <w:rFonts w:eastAsia="Times New Roman"/>
                <w:color w:val="000000"/>
                <w:sz w:val="12"/>
                <w:szCs w:val="12"/>
              </w:rPr>
              <w:t> </w:t>
            </w:r>
            <w:r>
              <w:rPr>
                <w:rFonts w:eastAsia="Times New Roman"/>
                <w:color w:val="000000"/>
                <w:sz w:val="12"/>
                <w:szCs w:val="12"/>
              </w:rPr>
              <w:t> </w:t>
            </w:r>
            <w:r>
              <w:rPr>
                <w:rFonts w:eastAsia="Times New Roman"/>
                <w:color w:val="000000"/>
                <w:sz w:val="12"/>
                <w:szCs w:val="12"/>
              </w:rPr>
              <w:t>$</w:t>
            </w:r>
            <w:r>
              <w:rPr>
                <w:rFonts w:eastAsia="Times New Roman"/>
                <w:color w:val="000000"/>
                <w:sz w:val="12"/>
                <w:szCs w:val="12"/>
              </w:rPr>
              <w:t>528</w:t>
            </w:r>
            <w:r>
              <w:rPr>
                <w:rFonts w:eastAsia="Times New Roman"/>
                <w:color w:val="000000"/>
                <w:sz w:val="12"/>
                <w:szCs w:val="12"/>
              </w:rPr>
              <w:t> </w:t>
            </w:r>
            <w:r>
              <w:rPr>
                <w:rFonts w:eastAsia="Times New Roman"/>
                <w:color w:val="000000"/>
                <w:sz w:val="12"/>
                <w:szCs w:val="12"/>
              </w:rPr>
              <w:t> </w:t>
            </w:r>
          </w:p>
        </w:tc>
      </w:tr>
    </w:tbl>
    <w:p w14:paraId="3F97B794" w14:textId="77777777" w:rsidR="00000000" w:rsidRDefault="00195E73">
      <w:pPr>
        <w:divId w:val="422921290"/>
        <w:rPr>
          <w:rFonts w:eastAsia="Times New Roman"/>
        </w:rPr>
      </w:pPr>
    </w:p>
    <w:p w14:paraId="3A6A751E" w14:textId="77777777" w:rsidR="00000000" w:rsidRDefault="00195E73">
      <w:pPr>
        <w:divId w:val="1769808965"/>
        <w:rPr>
          <w:rFonts w:eastAsia="Times New Roman"/>
        </w:rPr>
      </w:pPr>
    </w:p>
    <w:p w14:paraId="211BDD43" w14:textId="77777777" w:rsidR="00000000" w:rsidRDefault="00195E73">
      <w:pPr>
        <w:ind w:hanging="360"/>
        <w:divId w:val="19672145"/>
        <w:rPr>
          <w:rFonts w:eastAsia="Times New Roman"/>
        </w:rPr>
      </w:pPr>
      <w:r>
        <w:rPr>
          <w:rFonts w:eastAsia="Times New Roman"/>
          <w:b/>
          <w:bCs/>
          <w:color w:val="000000"/>
          <w:sz w:val="20"/>
          <w:szCs w:val="20"/>
        </w:rPr>
        <w:t>15. Income Taxes</w:t>
      </w:r>
      <w:r>
        <w:rPr>
          <w:rFonts w:eastAsia="Times New Roman"/>
          <w:b/>
          <w:bCs/>
          <w:color w:val="000000"/>
          <w:sz w:val="20"/>
          <w:szCs w:val="20"/>
        </w:rPr>
        <w:t>.</w:t>
      </w:r>
    </w:p>
    <w:p w14:paraId="45041341" w14:textId="77777777" w:rsidR="00000000" w:rsidRDefault="00195E73">
      <w:pPr>
        <w:ind w:firstLine="405"/>
        <w:divId w:val="949237886"/>
        <w:rPr>
          <w:rFonts w:eastAsia="Times New Roman"/>
        </w:rPr>
      </w:pPr>
      <w:r>
        <w:rPr>
          <w:rFonts w:eastAsia="Times New Roman"/>
          <w:color w:val="000000"/>
          <w:sz w:val="20"/>
          <w:szCs w:val="20"/>
        </w:rPr>
        <w:t>The difference between the book basis and the tax basis of our net assets, not directly subject to inco</w:t>
      </w:r>
      <w:r>
        <w:rPr>
          <w:rFonts w:eastAsia="Times New Roman"/>
          <w:color w:val="000000"/>
          <w:sz w:val="20"/>
          <w:szCs w:val="20"/>
        </w:rPr>
        <w:t>me taxes, is as follows:</w:t>
      </w:r>
      <w:r>
        <w:rPr>
          <w:rFonts w:eastAsia="Times New Roman"/>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2606"/>
        <w:gridCol w:w="37"/>
        <w:gridCol w:w="135"/>
        <w:gridCol w:w="849"/>
        <w:gridCol w:w="85"/>
        <w:gridCol w:w="36"/>
        <w:gridCol w:w="36"/>
        <w:gridCol w:w="36"/>
        <w:gridCol w:w="135"/>
        <w:gridCol w:w="817"/>
        <w:gridCol w:w="85"/>
        <w:gridCol w:w="36"/>
        <w:gridCol w:w="36"/>
        <w:gridCol w:w="36"/>
        <w:gridCol w:w="135"/>
        <w:gridCol w:w="817"/>
        <w:gridCol w:w="85"/>
        <w:gridCol w:w="36"/>
        <w:gridCol w:w="36"/>
        <w:gridCol w:w="36"/>
        <w:gridCol w:w="135"/>
        <w:gridCol w:w="817"/>
        <w:gridCol w:w="85"/>
        <w:gridCol w:w="124"/>
        <w:gridCol w:w="124"/>
        <w:gridCol w:w="124"/>
        <w:gridCol w:w="124"/>
        <w:gridCol w:w="124"/>
        <w:gridCol w:w="259"/>
        <w:gridCol w:w="36"/>
        <w:gridCol w:w="36"/>
        <w:gridCol w:w="36"/>
        <w:gridCol w:w="36"/>
        <w:gridCol w:w="36"/>
        <w:gridCol w:w="36"/>
      </w:tblGrid>
      <w:tr w:rsidR="00000000" w14:paraId="39E82353" w14:textId="77777777">
        <w:trPr>
          <w:gridAfter w:val="12"/>
          <w:divId w:val="841507974"/>
          <w:jc w:val="center"/>
        </w:trPr>
        <w:tc>
          <w:tcPr>
            <w:tcW w:w="50" w:type="pct"/>
            <w:vAlign w:val="center"/>
            <w:hideMark/>
          </w:tcPr>
          <w:p w14:paraId="48637C21" w14:textId="77777777" w:rsidR="00000000" w:rsidRDefault="00195E73">
            <w:pPr>
              <w:ind w:firstLine="405"/>
              <w:rPr>
                <w:rFonts w:eastAsia="Times New Roman"/>
              </w:rPr>
            </w:pPr>
          </w:p>
        </w:tc>
        <w:tc>
          <w:tcPr>
            <w:tcW w:w="1857" w:type="pct"/>
            <w:vAlign w:val="center"/>
            <w:hideMark/>
          </w:tcPr>
          <w:p w14:paraId="2B9DDDD3" w14:textId="77777777" w:rsidR="00000000" w:rsidRDefault="00195E73">
            <w:pPr>
              <w:rPr>
                <w:rFonts w:eastAsia="Times New Roman"/>
                <w:sz w:val="20"/>
                <w:szCs w:val="20"/>
              </w:rPr>
            </w:pPr>
          </w:p>
        </w:tc>
        <w:tc>
          <w:tcPr>
            <w:tcW w:w="50" w:type="pct"/>
            <w:vAlign w:val="center"/>
            <w:hideMark/>
          </w:tcPr>
          <w:p w14:paraId="6253A757" w14:textId="77777777" w:rsidR="00000000" w:rsidRDefault="00195E73">
            <w:pPr>
              <w:rPr>
                <w:rFonts w:eastAsia="Times New Roman"/>
                <w:sz w:val="20"/>
                <w:szCs w:val="20"/>
              </w:rPr>
            </w:pPr>
          </w:p>
        </w:tc>
        <w:tc>
          <w:tcPr>
            <w:tcW w:w="50" w:type="pct"/>
            <w:vAlign w:val="center"/>
            <w:hideMark/>
          </w:tcPr>
          <w:p w14:paraId="3E479D95" w14:textId="77777777" w:rsidR="00000000" w:rsidRDefault="00195E73">
            <w:pPr>
              <w:rPr>
                <w:rFonts w:eastAsia="Times New Roman"/>
                <w:sz w:val="20"/>
                <w:szCs w:val="20"/>
              </w:rPr>
            </w:pPr>
          </w:p>
        </w:tc>
        <w:tc>
          <w:tcPr>
            <w:tcW w:w="633" w:type="pct"/>
            <w:vAlign w:val="center"/>
            <w:hideMark/>
          </w:tcPr>
          <w:p w14:paraId="5C7522F6" w14:textId="77777777" w:rsidR="00000000" w:rsidRDefault="00195E73">
            <w:pPr>
              <w:rPr>
                <w:rFonts w:eastAsia="Times New Roman"/>
                <w:sz w:val="20"/>
                <w:szCs w:val="20"/>
              </w:rPr>
            </w:pPr>
          </w:p>
        </w:tc>
        <w:tc>
          <w:tcPr>
            <w:tcW w:w="50" w:type="pct"/>
            <w:vAlign w:val="center"/>
            <w:hideMark/>
          </w:tcPr>
          <w:p w14:paraId="14CB1C4C" w14:textId="77777777" w:rsidR="00000000" w:rsidRDefault="00195E73">
            <w:pPr>
              <w:rPr>
                <w:rFonts w:eastAsia="Times New Roman"/>
                <w:sz w:val="20"/>
                <w:szCs w:val="20"/>
              </w:rPr>
            </w:pPr>
          </w:p>
        </w:tc>
        <w:tc>
          <w:tcPr>
            <w:tcW w:w="5" w:type="pct"/>
            <w:vAlign w:val="center"/>
            <w:hideMark/>
          </w:tcPr>
          <w:p w14:paraId="4F095CC9" w14:textId="77777777" w:rsidR="00000000" w:rsidRDefault="00195E73">
            <w:pPr>
              <w:rPr>
                <w:rFonts w:eastAsia="Times New Roman"/>
                <w:sz w:val="20"/>
                <w:szCs w:val="20"/>
              </w:rPr>
            </w:pPr>
          </w:p>
        </w:tc>
        <w:tc>
          <w:tcPr>
            <w:tcW w:w="26" w:type="pct"/>
            <w:vAlign w:val="center"/>
            <w:hideMark/>
          </w:tcPr>
          <w:p w14:paraId="3539684E" w14:textId="77777777" w:rsidR="00000000" w:rsidRDefault="00195E73">
            <w:pPr>
              <w:rPr>
                <w:rFonts w:eastAsia="Times New Roman"/>
                <w:sz w:val="20"/>
                <w:szCs w:val="20"/>
              </w:rPr>
            </w:pPr>
          </w:p>
        </w:tc>
        <w:tc>
          <w:tcPr>
            <w:tcW w:w="5" w:type="pct"/>
            <w:vAlign w:val="center"/>
            <w:hideMark/>
          </w:tcPr>
          <w:p w14:paraId="766357A4" w14:textId="77777777" w:rsidR="00000000" w:rsidRDefault="00195E73">
            <w:pPr>
              <w:rPr>
                <w:rFonts w:eastAsia="Times New Roman"/>
                <w:sz w:val="20"/>
                <w:szCs w:val="20"/>
              </w:rPr>
            </w:pPr>
          </w:p>
        </w:tc>
        <w:tc>
          <w:tcPr>
            <w:tcW w:w="50" w:type="pct"/>
            <w:vAlign w:val="center"/>
            <w:hideMark/>
          </w:tcPr>
          <w:p w14:paraId="5C263094" w14:textId="77777777" w:rsidR="00000000" w:rsidRDefault="00195E73">
            <w:pPr>
              <w:rPr>
                <w:rFonts w:eastAsia="Times New Roman"/>
                <w:sz w:val="20"/>
                <w:szCs w:val="20"/>
              </w:rPr>
            </w:pPr>
          </w:p>
        </w:tc>
        <w:tc>
          <w:tcPr>
            <w:tcW w:w="633" w:type="pct"/>
            <w:vAlign w:val="center"/>
            <w:hideMark/>
          </w:tcPr>
          <w:p w14:paraId="40227D4D" w14:textId="77777777" w:rsidR="00000000" w:rsidRDefault="00195E73">
            <w:pPr>
              <w:rPr>
                <w:rFonts w:eastAsia="Times New Roman"/>
                <w:sz w:val="20"/>
                <w:szCs w:val="20"/>
              </w:rPr>
            </w:pPr>
          </w:p>
        </w:tc>
        <w:tc>
          <w:tcPr>
            <w:tcW w:w="50" w:type="pct"/>
            <w:vAlign w:val="center"/>
            <w:hideMark/>
          </w:tcPr>
          <w:p w14:paraId="062DBD28" w14:textId="77777777" w:rsidR="00000000" w:rsidRDefault="00195E73">
            <w:pPr>
              <w:rPr>
                <w:rFonts w:eastAsia="Times New Roman"/>
                <w:sz w:val="20"/>
                <w:szCs w:val="20"/>
              </w:rPr>
            </w:pPr>
          </w:p>
        </w:tc>
        <w:tc>
          <w:tcPr>
            <w:tcW w:w="5" w:type="pct"/>
            <w:vAlign w:val="center"/>
            <w:hideMark/>
          </w:tcPr>
          <w:p w14:paraId="23BE5444" w14:textId="77777777" w:rsidR="00000000" w:rsidRDefault="00195E73">
            <w:pPr>
              <w:rPr>
                <w:rFonts w:eastAsia="Times New Roman"/>
                <w:sz w:val="20"/>
                <w:szCs w:val="20"/>
              </w:rPr>
            </w:pPr>
          </w:p>
        </w:tc>
        <w:tc>
          <w:tcPr>
            <w:tcW w:w="26" w:type="pct"/>
            <w:vAlign w:val="center"/>
            <w:hideMark/>
          </w:tcPr>
          <w:p w14:paraId="57B37909" w14:textId="77777777" w:rsidR="00000000" w:rsidRDefault="00195E73">
            <w:pPr>
              <w:rPr>
                <w:rFonts w:eastAsia="Times New Roman"/>
                <w:sz w:val="20"/>
                <w:szCs w:val="20"/>
              </w:rPr>
            </w:pPr>
          </w:p>
        </w:tc>
        <w:tc>
          <w:tcPr>
            <w:tcW w:w="5" w:type="pct"/>
            <w:vAlign w:val="center"/>
            <w:hideMark/>
          </w:tcPr>
          <w:p w14:paraId="1B374149" w14:textId="77777777" w:rsidR="00000000" w:rsidRDefault="00195E73">
            <w:pPr>
              <w:rPr>
                <w:rFonts w:eastAsia="Times New Roman"/>
                <w:sz w:val="20"/>
                <w:szCs w:val="20"/>
              </w:rPr>
            </w:pPr>
          </w:p>
        </w:tc>
        <w:tc>
          <w:tcPr>
            <w:tcW w:w="50" w:type="pct"/>
            <w:vAlign w:val="center"/>
            <w:hideMark/>
          </w:tcPr>
          <w:p w14:paraId="31D06064" w14:textId="77777777" w:rsidR="00000000" w:rsidRDefault="00195E73">
            <w:pPr>
              <w:rPr>
                <w:rFonts w:eastAsia="Times New Roman"/>
                <w:sz w:val="20"/>
                <w:szCs w:val="20"/>
              </w:rPr>
            </w:pPr>
          </w:p>
        </w:tc>
        <w:tc>
          <w:tcPr>
            <w:tcW w:w="633" w:type="pct"/>
            <w:vAlign w:val="center"/>
            <w:hideMark/>
          </w:tcPr>
          <w:p w14:paraId="220EB220" w14:textId="77777777" w:rsidR="00000000" w:rsidRDefault="00195E73">
            <w:pPr>
              <w:rPr>
                <w:rFonts w:eastAsia="Times New Roman"/>
                <w:sz w:val="20"/>
                <w:szCs w:val="20"/>
              </w:rPr>
            </w:pPr>
          </w:p>
        </w:tc>
        <w:tc>
          <w:tcPr>
            <w:tcW w:w="50" w:type="pct"/>
            <w:vAlign w:val="center"/>
            <w:hideMark/>
          </w:tcPr>
          <w:p w14:paraId="28D42847" w14:textId="77777777" w:rsidR="00000000" w:rsidRDefault="00195E73">
            <w:pPr>
              <w:rPr>
                <w:rFonts w:eastAsia="Times New Roman"/>
                <w:sz w:val="20"/>
                <w:szCs w:val="20"/>
              </w:rPr>
            </w:pPr>
          </w:p>
        </w:tc>
        <w:tc>
          <w:tcPr>
            <w:tcW w:w="5" w:type="pct"/>
            <w:vAlign w:val="center"/>
            <w:hideMark/>
          </w:tcPr>
          <w:p w14:paraId="6E19FD8A" w14:textId="77777777" w:rsidR="00000000" w:rsidRDefault="00195E73">
            <w:pPr>
              <w:rPr>
                <w:rFonts w:eastAsia="Times New Roman"/>
                <w:sz w:val="20"/>
                <w:szCs w:val="20"/>
              </w:rPr>
            </w:pPr>
          </w:p>
        </w:tc>
        <w:tc>
          <w:tcPr>
            <w:tcW w:w="26" w:type="pct"/>
            <w:vAlign w:val="center"/>
            <w:hideMark/>
          </w:tcPr>
          <w:p w14:paraId="7620777D" w14:textId="77777777" w:rsidR="00000000" w:rsidRDefault="00195E73">
            <w:pPr>
              <w:rPr>
                <w:rFonts w:eastAsia="Times New Roman"/>
                <w:sz w:val="20"/>
                <w:szCs w:val="20"/>
              </w:rPr>
            </w:pPr>
          </w:p>
        </w:tc>
        <w:tc>
          <w:tcPr>
            <w:tcW w:w="5" w:type="pct"/>
            <w:vAlign w:val="center"/>
            <w:hideMark/>
          </w:tcPr>
          <w:p w14:paraId="5694E707" w14:textId="77777777" w:rsidR="00000000" w:rsidRDefault="00195E73">
            <w:pPr>
              <w:rPr>
                <w:rFonts w:eastAsia="Times New Roman"/>
                <w:sz w:val="20"/>
                <w:szCs w:val="20"/>
              </w:rPr>
            </w:pPr>
          </w:p>
        </w:tc>
        <w:tc>
          <w:tcPr>
            <w:tcW w:w="50" w:type="pct"/>
            <w:vAlign w:val="center"/>
            <w:hideMark/>
          </w:tcPr>
          <w:p w14:paraId="296FD1AF" w14:textId="77777777" w:rsidR="00000000" w:rsidRDefault="00195E73">
            <w:pPr>
              <w:rPr>
                <w:rFonts w:eastAsia="Times New Roman"/>
                <w:sz w:val="20"/>
                <w:szCs w:val="20"/>
              </w:rPr>
            </w:pPr>
          </w:p>
        </w:tc>
        <w:tc>
          <w:tcPr>
            <w:tcW w:w="633" w:type="pct"/>
            <w:vAlign w:val="center"/>
            <w:hideMark/>
          </w:tcPr>
          <w:p w14:paraId="41CBEDC2" w14:textId="77777777" w:rsidR="00000000" w:rsidRDefault="00195E73">
            <w:pPr>
              <w:rPr>
                <w:rFonts w:eastAsia="Times New Roman"/>
                <w:sz w:val="20"/>
                <w:szCs w:val="20"/>
              </w:rPr>
            </w:pPr>
          </w:p>
        </w:tc>
        <w:tc>
          <w:tcPr>
            <w:tcW w:w="50" w:type="pct"/>
            <w:vAlign w:val="center"/>
            <w:hideMark/>
          </w:tcPr>
          <w:p w14:paraId="476CF462" w14:textId="77777777" w:rsidR="00000000" w:rsidRDefault="00195E73">
            <w:pPr>
              <w:rPr>
                <w:rFonts w:eastAsia="Times New Roman"/>
                <w:sz w:val="20"/>
                <w:szCs w:val="20"/>
              </w:rPr>
            </w:pPr>
          </w:p>
        </w:tc>
      </w:tr>
      <w:tr w:rsidR="00000000" w14:paraId="1829C8AD" w14:textId="77777777">
        <w:trPr>
          <w:divId w:val="841507974"/>
          <w:jc w:val="center"/>
        </w:trPr>
        <w:tc>
          <w:tcPr>
            <w:tcW w:w="0" w:type="auto"/>
            <w:gridSpan w:val="3"/>
            <w:tcMar>
              <w:top w:w="15" w:type="dxa"/>
              <w:left w:w="20" w:type="dxa"/>
              <w:bottom w:w="15" w:type="dxa"/>
              <w:right w:w="20" w:type="dxa"/>
            </w:tcMar>
            <w:vAlign w:val="bottom"/>
            <w:hideMark/>
          </w:tcPr>
          <w:p w14:paraId="19A00B2F" w14:textId="77777777" w:rsidR="00000000" w:rsidRDefault="00195E73">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14:paraId="2BD9D05C" w14:textId="77777777" w:rsidR="00000000" w:rsidRDefault="00195E73">
            <w:pPr>
              <w:jc w:val="center"/>
              <w:rPr>
                <w:rFonts w:eastAsia="Times New Roman"/>
              </w:rPr>
            </w:pPr>
            <w:r>
              <w:rPr>
                <w:rFonts w:eastAsia="Times New Roman"/>
                <w:b/>
                <w:bCs/>
                <w:color w:val="000000"/>
                <w:sz w:val="20"/>
                <w:szCs w:val="20"/>
              </w:rPr>
              <w:t>Icahn Enterprise</w:t>
            </w:r>
            <w:r>
              <w:rPr>
                <w:rFonts w:eastAsia="Times New Roman"/>
                <w:b/>
                <w:bCs/>
                <w:color w:val="000000"/>
                <w:sz w:val="20"/>
                <w:szCs w:val="20"/>
              </w:rPr>
              <w:t>s</w:t>
            </w:r>
          </w:p>
        </w:tc>
        <w:tc>
          <w:tcPr>
            <w:tcW w:w="0" w:type="auto"/>
            <w:gridSpan w:val="3"/>
            <w:vAlign w:val="center"/>
            <w:hideMark/>
          </w:tcPr>
          <w:p w14:paraId="5E1B1B6F" w14:textId="77777777" w:rsidR="00000000" w:rsidRDefault="00195E73">
            <w:pPr>
              <w:jc w:val="center"/>
              <w:rPr>
                <w:rFonts w:eastAsia="Times New Roman"/>
              </w:rPr>
            </w:pPr>
          </w:p>
        </w:tc>
        <w:tc>
          <w:tcPr>
            <w:tcW w:w="0" w:type="auto"/>
            <w:gridSpan w:val="3"/>
            <w:vAlign w:val="center"/>
            <w:hideMark/>
          </w:tcPr>
          <w:p w14:paraId="50F84C2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08DBA3F" w14:textId="77777777" w:rsidR="00000000" w:rsidRDefault="00195E73">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14:paraId="382EF36E" w14:textId="77777777" w:rsidR="00000000" w:rsidRDefault="00195E73">
            <w:pPr>
              <w:jc w:val="center"/>
              <w:rPr>
                <w:rFonts w:eastAsia="Times New Roman"/>
              </w:rPr>
            </w:pPr>
            <w:r>
              <w:rPr>
                <w:rFonts w:eastAsia="Times New Roman"/>
                <w:b/>
                <w:bCs/>
                <w:color w:val="000000"/>
                <w:sz w:val="20"/>
                <w:szCs w:val="20"/>
              </w:rPr>
              <w:t>Icahn Enterprises Holding</w:t>
            </w:r>
            <w:r>
              <w:rPr>
                <w:rFonts w:eastAsia="Times New Roman"/>
                <w:b/>
                <w:bCs/>
                <w:color w:val="000000"/>
                <w:sz w:val="20"/>
                <w:szCs w:val="20"/>
              </w:rPr>
              <w:t>s</w:t>
            </w:r>
          </w:p>
        </w:tc>
        <w:tc>
          <w:tcPr>
            <w:tcW w:w="0" w:type="auto"/>
            <w:gridSpan w:val="3"/>
            <w:vAlign w:val="center"/>
            <w:hideMark/>
          </w:tcPr>
          <w:p w14:paraId="7C3D960E" w14:textId="77777777" w:rsidR="00000000" w:rsidRDefault="00195E73">
            <w:pPr>
              <w:jc w:val="center"/>
              <w:rPr>
                <w:rFonts w:eastAsia="Times New Roman"/>
              </w:rPr>
            </w:pPr>
          </w:p>
        </w:tc>
        <w:tc>
          <w:tcPr>
            <w:tcW w:w="0" w:type="auto"/>
            <w:gridSpan w:val="3"/>
            <w:vAlign w:val="center"/>
            <w:hideMark/>
          </w:tcPr>
          <w:p w14:paraId="61B281C8" w14:textId="77777777" w:rsidR="00000000" w:rsidRDefault="00195E73">
            <w:pPr>
              <w:rPr>
                <w:rFonts w:eastAsia="Times New Roman"/>
                <w:sz w:val="20"/>
                <w:szCs w:val="20"/>
              </w:rPr>
            </w:pPr>
          </w:p>
        </w:tc>
      </w:tr>
      <w:tr w:rsidR="00000000" w14:paraId="3BDDCD6D" w14:textId="77777777">
        <w:trPr>
          <w:divId w:val="841507974"/>
          <w:jc w:val="center"/>
        </w:trPr>
        <w:tc>
          <w:tcPr>
            <w:tcW w:w="0" w:type="auto"/>
            <w:gridSpan w:val="3"/>
            <w:tcMar>
              <w:top w:w="15" w:type="dxa"/>
              <w:left w:w="20" w:type="dxa"/>
              <w:bottom w:w="15" w:type="dxa"/>
              <w:right w:w="20" w:type="dxa"/>
            </w:tcMar>
            <w:vAlign w:val="bottom"/>
            <w:hideMark/>
          </w:tcPr>
          <w:p w14:paraId="1604415C" w14:textId="77777777" w:rsidR="00000000" w:rsidRDefault="00195E7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C4C15DA"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4DEF2536" w14:textId="77777777" w:rsidR="00000000" w:rsidRDefault="00195E73">
            <w:pPr>
              <w:jc w:val="center"/>
              <w:rPr>
                <w:rFonts w:eastAsia="Times New Roman"/>
              </w:rPr>
            </w:pPr>
          </w:p>
        </w:tc>
        <w:tc>
          <w:tcPr>
            <w:tcW w:w="0" w:type="auto"/>
            <w:gridSpan w:val="3"/>
            <w:vAlign w:val="center"/>
            <w:hideMark/>
          </w:tcPr>
          <w:p w14:paraId="6A735A5D"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65E8224" w14:textId="77777777" w:rsidR="00000000" w:rsidRDefault="00195E7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2B38F8B"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4D96B9FC" w14:textId="77777777" w:rsidR="00000000" w:rsidRDefault="00195E73">
            <w:pPr>
              <w:jc w:val="center"/>
              <w:rPr>
                <w:rFonts w:eastAsia="Times New Roman"/>
              </w:rPr>
            </w:pPr>
          </w:p>
        </w:tc>
        <w:tc>
          <w:tcPr>
            <w:tcW w:w="0" w:type="auto"/>
            <w:gridSpan w:val="3"/>
            <w:vAlign w:val="center"/>
            <w:hideMark/>
          </w:tcPr>
          <w:p w14:paraId="2A69E75E" w14:textId="77777777" w:rsidR="00000000" w:rsidRDefault="00195E73">
            <w:pPr>
              <w:rPr>
                <w:rFonts w:eastAsia="Times New Roman"/>
                <w:sz w:val="20"/>
                <w:szCs w:val="20"/>
              </w:rPr>
            </w:pPr>
          </w:p>
        </w:tc>
      </w:tr>
      <w:tr w:rsidR="00000000" w14:paraId="7B46B0CE" w14:textId="77777777">
        <w:trPr>
          <w:divId w:val="841507974"/>
          <w:jc w:val="center"/>
        </w:trPr>
        <w:tc>
          <w:tcPr>
            <w:tcW w:w="0" w:type="auto"/>
            <w:gridSpan w:val="3"/>
            <w:tcMar>
              <w:top w:w="30" w:type="dxa"/>
              <w:left w:w="20" w:type="dxa"/>
              <w:bottom w:w="30" w:type="dxa"/>
              <w:right w:w="20" w:type="dxa"/>
            </w:tcMar>
            <w:vAlign w:val="bottom"/>
            <w:hideMark/>
          </w:tcPr>
          <w:p w14:paraId="471EA4FD" w14:textId="77777777" w:rsidR="00000000" w:rsidRDefault="00195E73">
            <w:pPr>
              <w:rPr>
                <w:rFonts w:eastAsia="Times New Roman"/>
              </w:rPr>
            </w:pPr>
            <w:r>
              <w:rPr>
                <w:rFonts w:eastAsia="Times New Roman"/>
                <w:b/>
                <w:bCs/>
                <w:color w:val="000000"/>
                <w:sz w:val="16"/>
                <w:szCs w:val="16"/>
              </w:rPr>
              <w:t> </w:t>
            </w: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7DAC684E"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5A2A75D7"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9F79C8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14:paraId="1B3D0F09"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7688E4"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2E6E4448"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73E5380"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0D162B12" w14:textId="77777777" w:rsidR="00000000" w:rsidRDefault="00195E73">
            <w:pPr>
              <w:rPr>
                <w:rFonts w:eastAsia="Times New Roman"/>
                <w:sz w:val="20"/>
                <w:szCs w:val="20"/>
              </w:rPr>
            </w:pPr>
          </w:p>
        </w:tc>
        <w:tc>
          <w:tcPr>
            <w:tcW w:w="0" w:type="auto"/>
            <w:vAlign w:val="center"/>
            <w:hideMark/>
          </w:tcPr>
          <w:p w14:paraId="267F15A7" w14:textId="77777777" w:rsidR="00000000" w:rsidRDefault="00195E73">
            <w:pPr>
              <w:rPr>
                <w:rFonts w:eastAsia="Times New Roman"/>
                <w:sz w:val="20"/>
                <w:szCs w:val="20"/>
              </w:rPr>
            </w:pPr>
          </w:p>
        </w:tc>
        <w:tc>
          <w:tcPr>
            <w:tcW w:w="0" w:type="auto"/>
            <w:vAlign w:val="center"/>
            <w:hideMark/>
          </w:tcPr>
          <w:p w14:paraId="746E5F69" w14:textId="77777777" w:rsidR="00000000" w:rsidRDefault="00195E73">
            <w:pPr>
              <w:rPr>
                <w:rFonts w:eastAsia="Times New Roman"/>
                <w:sz w:val="20"/>
                <w:szCs w:val="20"/>
              </w:rPr>
            </w:pPr>
          </w:p>
        </w:tc>
        <w:tc>
          <w:tcPr>
            <w:tcW w:w="0" w:type="auto"/>
            <w:vAlign w:val="center"/>
            <w:hideMark/>
          </w:tcPr>
          <w:p w14:paraId="494F44BE" w14:textId="77777777" w:rsidR="00000000" w:rsidRDefault="00195E73">
            <w:pPr>
              <w:rPr>
                <w:rFonts w:eastAsia="Times New Roman"/>
                <w:sz w:val="20"/>
                <w:szCs w:val="20"/>
              </w:rPr>
            </w:pPr>
          </w:p>
        </w:tc>
        <w:tc>
          <w:tcPr>
            <w:tcW w:w="0" w:type="auto"/>
            <w:vAlign w:val="center"/>
            <w:hideMark/>
          </w:tcPr>
          <w:p w14:paraId="010D01C6" w14:textId="77777777" w:rsidR="00000000" w:rsidRDefault="00195E73">
            <w:pPr>
              <w:rPr>
                <w:rFonts w:eastAsia="Times New Roman"/>
                <w:sz w:val="20"/>
                <w:szCs w:val="20"/>
              </w:rPr>
            </w:pPr>
          </w:p>
        </w:tc>
        <w:tc>
          <w:tcPr>
            <w:tcW w:w="0" w:type="auto"/>
            <w:vAlign w:val="center"/>
            <w:hideMark/>
          </w:tcPr>
          <w:p w14:paraId="6B09A6C0" w14:textId="77777777" w:rsidR="00000000" w:rsidRDefault="00195E73">
            <w:pPr>
              <w:rPr>
                <w:rFonts w:eastAsia="Times New Roman"/>
                <w:sz w:val="20"/>
                <w:szCs w:val="20"/>
              </w:rPr>
            </w:pPr>
          </w:p>
        </w:tc>
        <w:tc>
          <w:tcPr>
            <w:tcW w:w="0" w:type="auto"/>
            <w:vAlign w:val="center"/>
            <w:hideMark/>
          </w:tcPr>
          <w:p w14:paraId="6C4EF8D4" w14:textId="77777777" w:rsidR="00000000" w:rsidRDefault="00195E73">
            <w:pPr>
              <w:rPr>
                <w:rFonts w:eastAsia="Times New Roman"/>
                <w:sz w:val="20"/>
                <w:szCs w:val="20"/>
              </w:rPr>
            </w:pPr>
          </w:p>
        </w:tc>
        <w:tc>
          <w:tcPr>
            <w:tcW w:w="0" w:type="auto"/>
            <w:vAlign w:val="center"/>
            <w:hideMark/>
          </w:tcPr>
          <w:p w14:paraId="2CACC3BE" w14:textId="77777777" w:rsidR="00000000" w:rsidRDefault="00195E73">
            <w:pPr>
              <w:rPr>
                <w:rFonts w:eastAsia="Times New Roman"/>
                <w:sz w:val="20"/>
                <w:szCs w:val="20"/>
              </w:rPr>
            </w:pPr>
          </w:p>
        </w:tc>
        <w:tc>
          <w:tcPr>
            <w:tcW w:w="0" w:type="auto"/>
            <w:vAlign w:val="center"/>
            <w:hideMark/>
          </w:tcPr>
          <w:p w14:paraId="7ADE2B0F" w14:textId="77777777" w:rsidR="00000000" w:rsidRDefault="00195E73">
            <w:pPr>
              <w:rPr>
                <w:rFonts w:eastAsia="Times New Roman"/>
                <w:sz w:val="20"/>
                <w:szCs w:val="20"/>
              </w:rPr>
            </w:pPr>
          </w:p>
        </w:tc>
        <w:tc>
          <w:tcPr>
            <w:tcW w:w="0" w:type="auto"/>
            <w:vAlign w:val="center"/>
            <w:hideMark/>
          </w:tcPr>
          <w:p w14:paraId="3826D2E3" w14:textId="77777777" w:rsidR="00000000" w:rsidRDefault="00195E73">
            <w:pPr>
              <w:rPr>
                <w:rFonts w:eastAsia="Times New Roman"/>
                <w:sz w:val="20"/>
                <w:szCs w:val="20"/>
              </w:rPr>
            </w:pPr>
          </w:p>
        </w:tc>
        <w:tc>
          <w:tcPr>
            <w:tcW w:w="0" w:type="auto"/>
            <w:vAlign w:val="center"/>
            <w:hideMark/>
          </w:tcPr>
          <w:p w14:paraId="447532CB" w14:textId="77777777" w:rsidR="00000000" w:rsidRDefault="00195E73">
            <w:pPr>
              <w:rPr>
                <w:rFonts w:eastAsia="Times New Roman"/>
                <w:sz w:val="20"/>
                <w:szCs w:val="20"/>
              </w:rPr>
            </w:pPr>
          </w:p>
        </w:tc>
        <w:tc>
          <w:tcPr>
            <w:tcW w:w="0" w:type="auto"/>
            <w:vAlign w:val="center"/>
            <w:hideMark/>
          </w:tcPr>
          <w:p w14:paraId="5F2A77E7" w14:textId="77777777" w:rsidR="00000000" w:rsidRDefault="00195E73">
            <w:pPr>
              <w:rPr>
                <w:rFonts w:eastAsia="Times New Roman"/>
                <w:sz w:val="20"/>
                <w:szCs w:val="20"/>
              </w:rPr>
            </w:pPr>
          </w:p>
        </w:tc>
      </w:tr>
      <w:tr w:rsidR="00000000" w14:paraId="4D2E2D24" w14:textId="77777777">
        <w:trPr>
          <w:divId w:val="841507974"/>
          <w:jc w:val="center"/>
        </w:trPr>
        <w:tc>
          <w:tcPr>
            <w:tcW w:w="0" w:type="auto"/>
            <w:gridSpan w:val="3"/>
            <w:tcMar>
              <w:top w:w="15" w:type="dxa"/>
              <w:left w:w="20" w:type="dxa"/>
              <w:bottom w:w="15" w:type="dxa"/>
              <w:right w:w="20" w:type="dxa"/>
            </w:tcMar>
            <w:vAlign w:val="bottom"/>
            <w:hideMark/>
          </w:tcPr>
          <w:p w14:paraId="61F9D182" w14:textId="77777777" w:rsidR="00000000" w:rsidRDefault="00195E73">
            <w:pPr>
              <w:jc w:val="center"/>
              <w:rPr>
                <w:rFonts w:eastAsia="Times New Roman"/>
              </w:rPr>
            </w:pPr>
          </w:p>
        </w:tc>
        <w:tc>
          <w:tcPr>
            <w:tcW w:w="0" w:type="auto"/>
            <w:gridSpan w:val="8"/>
            <w:tcBorders>
              <w:top w:val="single" w:sz="8" w:space="0" w:color="000000"/>
            </w:tcBorders>
            <w:tcMar>
              <w:top w:w="30" w:type="dxa"/>
              <w:left w:w="20" w:type="dxa"/>
              <w:bottom w:w="30" w:type="dxa"/>
              <w:right w:w="0" w:type="dxa"/>
            </w:tcMar>
            <w:vAlign w:val="bottom"/>
            <w:hideMark/>
          </w:tcPr>
          <w:p w14:paraId="47E76009"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125C241F"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73E26D7C" w14:textId="77777777" w:rsidR="00000000" w:rsidRDefault="00195E73">
            <w:pPr>
              <w:jc w:val="right"/>
              <w:rPr>
                <w:rFonts w:eastAsia="Times New Roman"/>
              </w:rPr>
            </w:pPr>
          </w:p>
        </w:tc>
        <w:tc>
          <w:tcPr>
            <w:tcW w:w="0" w:type="auto"/>
            <w:gridSpan w:val="3"/>
            <w:vAlign w:val="center"/>
            <w:hideMark/>
          </w:tcPr>
          <w:p w14:paraId="508F1F0A"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DA6992D" w14:textId="77777777" w:rsidR="00000000" w:rsidRDefault="00195E73">
            <w:pPr>
              <w:rPr>
                <w:rFonts w:eastAsia="Times New Roman"/>
                <w:sz w:val="20"/>
                <w:szCs w:val="20"/>
              </w:rPr>
            </w:pPr>
          </w:p>
        </w:tc>
        <w:tc>
          <w:tcPr>
            <w:tcW w:w="0" w:type="auto"/>
            <w:gridSpan w:val="8"/>
            <w:tcBorders>
              <w:top w:val="single" w:sz="8" w:space="0" w:color="000000"/>
            </w:tcBorders>
            <w:tcMar>
              <w:top w:w="30" w:type="dxa"/>
              <w:left w:w="20" w:type="dxa"/>
              <w:bottom w:w="30" w:type="dxa"/>
              <w:right w:w="0" w:type="dxa"/>
            </w:tcMar>
            <w:vAlign w:val="bottom"/>
            <w:hideMark/>
          </w:tcPr>
          <w:p w14:paraId="1B4F2552"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465789B0"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274A090B" w14:textId="77777777" w:rsidR="00000000" w:rsidRDefault="00195E73">
            <w:pPr>
              <w:jc w:val="right"/>
              <w:rPr>
                <w:rFonts w:eastAsia="Times New Roman"/>
              </w:rPr>
            </w:pPr>
          </w:p>
        </w:tc>
        <w:tc>
          <w:tcPr>
            <w:tcW w:w="0" w:type="auto"/>
            <w:gridSpan w:val="3"/>
            <w:vAlign w:val="center"/>
            <w:hideMark/>
          </w:tcPr>
          <w:p w14:paraId="5E49B83F" w14:textId="77777777" w:rsidR="00000000" w:rsidRDefault="00195E73">
            <w:pPr>
              <w:rPr>
                <w:rFonts w:eastAsia="Times New Roman"/>
                <w:sz w:val="20"/>
                <w:szCs w:val="20"/>
              </w:rPr>
            </w:pPr>
          </w:p>
        </w:tc>
      </w:tr>
      <w:tr w:rsidR="00000000" w14:paraId="1F17E6CB" w14:textId="77777777">
        <w:trPr>
          <w:divId w:val="841507974"/>
          <w:jc w:val="center"/>
        </w:trPr>
        <w:tc>
          <w:tcPr>
            <w:tcW w:w="0" w:type="auto"/>
            <w:gridSpan w:val="3"/>
            <w:shd w:val="clear" w:color="auto" w:fill="CCEEFF"/>
            <w:tcMar>
              <w:top w:w="30" w:type="dxa"/>
              <w:left w:w="20" w:type="dxa"/>
              <w:bottom w:w="30" w:type="dxa"/>
              <w:right w:w="20" w:type="dxa"/>
            </w:tcMar>
            <w:vAlign w:val="bottom"/>
            <w:hideMark/>
          </w:tcPr>
          <w:p w14:paraId="7F869943" w14:textId="77777777" w:rsidR="00000000" w:rsidRDefault="00195E73">
            <w:pPr>
              <w:rPr>
                <w:rFonts w:eastAsia="Times New Roman"/>
              </w:rPr>
            </w:pPr>
            <w:r>
              <w:rPr>
                <w:rFonts w:eastAsia="Times New Roman"/>
                <w:color w:val="000000"/>
                <w:sz w:val="20"/>
                <w:szCs w:val="20"/>
              </w:rPr>
              <w:t>Book basis of net asset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69B2A1B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4F2C56C" w14:textId="77777777" w:rsidR="00000000" w:rsidRDefault="00195E73">
            <w:pPr>
              <w:jc w:val="right"/>
              <w:rPr>
                <w:rFonts w:eastAsia="Times New Roman"/>
              </w:rPr>
            </w:pPr>
            <w:r>
              <w:rPr>
                <w:rFonts w:eastAsia="Times New Roman"/>
                <w:color w:val="000000"/>
                <w:sz w:val="20"/>
                <w:szCs w:val="20"/>
              </w:rPr>
              <w:t>5,456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08C6ED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685073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871E1F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3F630D8" w14:textId="77777777" w:rsidR="00000000" w:rsidRDefault="00195E73">
            <w:pPr>
              <w:jc w:val="right"/>
              <w:rPr>
                <w:rFonts w:eastAsia="Times New Roman"/>
              </w:rPr>
            </w:pPr>
            <w:r>
              <w:rPr>
                <w:rFonts w:eastAsia="Times New Roman"/>
                <w:color w:val="000000"/>
                <w:sz w:val="20"/>
                <w:szCs w:val="20"/>
              </w:rPr>
              <w:t>6,560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6BCBB3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660FC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378425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796303E" w14:textId="77777777" w:rsidR="00000000" w:rsidRDefault="00195E73">
            <w:pPr>
              <w:jc w:val="right"/>
              <w:rPr>
                <w:rFonts w:eastAsia="Times New Roman"/>
              </w:rPr>
            </w:pPr>
            <w:r>
              <w:rPr>
                <w:rFonts w:eastAsia="Times New Roman"/>
                <w:color w:val="000000"/>
                <w:sz w:val="20"/>
                <w:szCs w:val="20"/>
              </w:rPr>
              <w:t>5,453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7C5812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F9A69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A77CEE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1489595" w14:textId="77777777" w:rsidR="00000000" w:rsidRDefault="00195E73">
            <w:pPr>
              <w:jc w:val="right"/>
              <w:rPr>
                <w:rFonts w:eastAsia="Times New Roman"/>
              </w:rPr>
            </w:pPr>
            <w:r>
              <w:rPr>
                <w:rFonts w:eastAsia="Times New Roman"/>
                <w:color w:val="000000"/>
                <w:sz w:val="20"/>
                <w:szCs w:val="20"/>
              </w:rPr>
              <w:t>6,588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89F5B0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4741CF1" w14:textId="77777777" w:rsidR="00000000" w:rsidRDefault="00195E73">
            <w:pPr>
              <w:rPr>
                <w:rFonts w:eastAsia="Times New Roman"/>
                <w:sz w:val="20"/>
                <w:szCs w:val="20"/>
              </w:rPr>
            </w:pPr>
          </w:p>
        </w:tc>
        <w:tc>
          <w:tcPr>
            <w:tcW w:w="0" w:type="auto"/>
            <w:vAlign w:val="center"/>
            <w:hideMark/>
          </w:tcPr>
          <w:p w14:paraId="55873DFD" w14:textId="77777777" w:rsidR="00000000" w:rsidRDefault="00195E73">
            <w:pPr>
              <w:rPr>
                <w:rFonts w:eastAsia="Times New Roman"/>
                <w:sz w:val="20"/>
                <w:szCs w:val="20"/>
              </w:rPr>
            </w:pPr>
          </w:p>
        </w:tc>
        <w:tc>
          <w:tcPr>
            <w:tcW w:w="0" w:type="auto"/>
            <w:vAlign w:val="center"/>
            <w:hideMark/>
          </w:tcPr>
          <w:p w14:paraId="4061F717" w14:textId="77777777" w:rsidR="00000000" w:rsidRDefault="00195E73">
            <w:pPr>
              <w:rPr>
                <w:rFonts w:eastAsia="Times New Roman"/>
                <w:sz w:val="20"/>
                <w:szCs w:val="20"/>
              </w:rPr>
            </w:pPr>
          </w:p>
        </w:tc>
        <w:tc>
          <w:tcPr>
            <w:tcW w:w="0" w:type="auto"/>
            <w:vAlign w:val="center"/>
            <w:hideMark/>
          </w:tcPr>
          <w:p w14:paraId="09510194" w14:textId="77777777" w:rsidR="00000000" w:rsidRDefault="00195E73">
            <w:pPr>
              <w:rPr>
                <w:rFonts w:eastAsia="Times New Roman"/>
                <w:sz w:val="20"/>
                <w:szCs w:val="20"/>
              </w:rPr>
            </w:pPr>
          </w:p>
        </w:tc>
        <w:tc>
          <w:tcPr>
            <w:tcW w:w="0" w:type="auto"/>
            <w:vAlign w:val="center"/>
            <w:hideMark/>
          </w:tcPr>
          <w:p w14:paraId="03B6448A" w14:textId="77777777" w:rsidR="00000000" w:rsidRDefault="00195E73">
            <w:pPr>
              <w:rPr>
                <w:rFonts w:eastAsia="Times New Roman"/>
                <w:sz w:val="20"/>
                <w:szCs w:val="20"/>
              </w:rPr>
            </w:pPr>
          </w:p>
        </w:tc>
        <w:tc>
          <w:tcPr>
            <w:tcW w:w="0" w:type="auto"/>
            <w:vAlign w:val="center"/>
            <w:hideMark/>
          </w:tcPr>
          <w:p w14:paraId="02701756" w14:textId="77777777" w:rsidR="00000000" w:rsidRDefault="00195E73">
            <w:pPr>
              <w:rPr>
                <w:rFonts w:eastAsia="Times New Roman"/>
                <w:sz w:val="20"/>
                <w:szCs w:val="20"/>
              </w:rPr>
            </w:pPr>
          </w:p>
        </w:tc>
        <w:tc>
          <w:tcPr>
            <w:tcW w:w="0" w:type="auto"/>
            <w:vAlign w:val="center"/>
            <w:hideMark/>
          </w:tcPr>
          <w:p w14:paraId="213BF05F" w14:textId="77777777" w:rsidR="00000000" w:rsidRDefault="00195E73">
            <w:pPr>
              <w:rPr>
                <w:rFonts w:eastAsia="Times New Roman"/>
                <w:sz w:val="20"/>
                <w:szCs w:val="20"/>
              </w:rPr>
            </w:pPr>
          </w:p>
        </w:tc>
        <w:tc>
          <w:tcPr>
            <w:tcW w:w="0" w:type="auto"/>
            <w:vAlign w:val="center"/>
            <w:hideMark/>
          </w:tcPr>
          <w:p w14:paraId="138133D9" w14:textId="77777777" w:rsidR="00000000" w:rsidRDefault="00195E73">
            <w:pPr>
              <w:rPr>
                <w:rFonts w:eastAsia="Times New Roman"/>
                <w:sz w:val="20"/>
                <w:szCs w:val="20"/>
              </w:rPr>
            </w:pPr>
          </w:p>
        </w:tc>
        <w:tc>
          <w:tcPr>
            <w:tcW w:w="0" w:type="auto"/>
            <w:vAlign w:val="center"/>
            <w:hideMark/>
          </w:tcPr>
          <w:p w14:paraId="5EAED350" w14:textId="77777777" w:rsidR="00000000" w:rsidRDefault="00195E73">
            <w:pPr>
              <w:rPr>
                <w:rFonts w:eastAsia="Times New Roman"/>
                <w:sz w:val="20"/>
                <w:szCs w:val="20"/>
              </w:rPr>
            </w:pPr>
          </w:p>
        </w:tc>
        <w:tc>
          <w:tcPr>
            <w:tcW w:w="0" w:type="auto"/>
            <w:vAlign w:val="center"/>
            <w:hideMark/>
          </w:tcPr>
          <w:p w14:paraId="73ED88D7" w14:textId="77777777" w:rsidR="00000000" w:rsidRDefault="00195E73">
            <w:pPr>
              <w:rPr>
                <w:rFonts w:eastAsia="Times New Roman"/>
                <w:sz w:val="20"/>
                <w:szCs w:val="20"/>
              </w:rPr>
            </w:pPr>
          </w:p>
        </w:tc>
        <w:tc>
          <w:tcPr>
            <w:tcW w:w="0" w:type="auto"/>
            <w:vAlign w:val="center"/>
            <w:hideMark/>
          </w:tcPr>
          <w:p w14:paraId="7AA785B4" w14:textId="77777777" w:rsidR="00000000" w:rsidRDefault="00195E73">
            <w:pPr>
              <w:rPr>
                <w:rFonts w:eastAsia="Times New Roman"/>
                <w:sz w:val="20"/>
                <w:szCs w:val="20"/>
              </w:rPr>
            </w:pPr>
          </w:p>
        </w:tc>
        <w:tc>
          <w:tcPr>
            <w:tcW w:w="0" w:type="auto"/>
            <w:vAlign w:val="center"/>
            <w:hideMark/>
          </w:tcPr>
          <w:p w14:paraId="07C15649" w14:textId="77777777" w:rsidR="00000000" w:rsidRDefault="00195E73">
            <w:pPr>
              <w:rPr>
                <w:rFonts w:eastAsia="Times New Roman"/>
                <w:sz w:val="20"/>
                <w:szCs w:val="20"/>
              </w:rPr>
            </w:pPr>
          </w:p>
        </w:tc>
      </w:tr>
      <w:tr w:rsidR="00000000" w14:paraId="2EDD3C78" w14:textId="77777777">
        <w:trPr>
          <w:divId w:val="841507974"/>
          <w:jc w:val="center"/>
        </w:trPr>
        <w:tc>
          <w:tcPr>
            <w:tcW w:w="0" w:type="auto"/>
            <w:gridSpan w:val="3"/>
            <w:shd w:val="clear" w:color="auto" w:fill="FFFFFF"/>
            <w:tcMar>
              <w:top w:w="30" w:type="dxa"/>
              <w:left w:w="20" w:type="dxa"/>
              <w:bottom w:w="30" w:type="dxa"/>
              <w:right w:w="20" w:type="dxa"/>
            </w:tcMar>
            <w:vAlign w:val="bottom"/>
            <w:hideMark/>
          </w:tcPr>
          <w:p w14:paraId="72FDBD07" w14:textId="77777777" w:rsidR="00000000" w:rsidRDefault="00195E73">
            <w:pPr>
              <w:rPr>
                <w:rFonts w:eastAsia="Times New Roman"/>
              </w:rPr>
            </w:pPr>
            <w:r>
              <w:rPr>
                <w:rFonts w:eastAsia="Times New Roman"/>
                <w:color w:val="000000"/>
                <w:sz w:val="20"/>
                <w:szCs w:val="20"/>
              </w:rPr>
              <w:t>Book/tax basis differenc</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0B49BA18" w14:textId="77777777" w:rsidR="00000000" w:rsidRDefault="00195E73">
            <w:pPr>
              <w:jc w:val="right"/>
              <w:rPr>
                <w:rFonts w:eastAsia="Times New Roman"/>
              </w:rPr>
            </w:pPr>
            <w:r>
              <w:rPr>
                <w:rFonts w:eastAsia="Times New Roman"/>
                <w:color w:val="000000"/>
                <w:sz w:val="20"/>
                <w:szCs w:val="20"/>
              </w:rPr>
              <w:t>(1,397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674EAA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E5A205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9895FC" w14:textId="77777777" w:rsidR="00000000" w:rsidRDefault="00195E73">
            <w:pPr>
              <w:jc w:val="right"/>
              <w:rPr>
                <w:rFonts w:eastAsia="Times New Roman"/>
              </w:rPr>
            </w:pPr>
            <w:r>
              <w:rPr>
                <w:rFonts w:eastAsia="Times New Roman"/>
                <w:color w:val="000000"/>
                <w:sz w:val="20"/>
                <w:szCs w:val="20"/>
              </w:rPr>
              <w:t>(1,940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2BEA45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6B25AA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4C2DA7" w14:textId="77777777" w:rsidR="00000000" w:rsidRDefault="00195E73">
            <w:pPr>
              <w:jc w:val="right"/>
              <w:rPr>
                <w:rFonts w:eastAsia="Times New Roman"/>
              </w:rPr>
            </w:pPr>
            <w:r>
              <w:rPr>
                <w:rFonts w:eastAsia="Times New Roman"/>
                <w:color w:val="000000"/>
                <w:sz w:val="20"/>
                <w:szCs w:val="20"/>
              </w:rPr>
              <w:t>(1,397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C805BF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355466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7AF3CC" w14:textId="77777777" w:rsidR="00000000" w:rsidRDefault="00195E73">
            <w:pPr>
              <w:jc w:val="right"/>
              <w:rPr>
                <w:rFonts w:eastAsia="Times New Roman"/>
              </w:rPr>
            </w:pPr>
            <w:r>
              <w:rPr>
                <w:rFonts w:eastAsia="Times New Roman"/>
                <w:color w:val="000000"/>
                <w:sz w:val="20"/>
                <w:szCs w:val="20"/>
              </w:rPr>
              <w:t>(1,940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CE7C82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2F6615A" w14:textId="77777777" w:rsidR="00000000" w:rsidRDefault="00195E73">
            <w:pPr>
              <w:rPr>
                <w:rFonts w:eastAsia="Times New Roman"/>
                <w:sz w:val="20"/>
                <w:szCs w:val="20"/>
              </w:rPr>
            </w:pPr>
          </w:p>
        </w:tc>
        <w:tc>
          <w:tcPr>
            <w:tcW w:w="0" w:type="auto"/>
            <w:vAlign w:val="center"/>
            <w:hideMark/>
          </w:tcPr>
          <w:p w14:paraId="010183BB" w14:textId="77777777" w:rsidR="00000000" w:rsidRDefault="00195E73">
            <w:pPr>
              <w:rPr>
                <w:rFonts w:eastAsia="Times New Roman"/>
                <w:sz w:val="20"/>
                <w:szCs w:val="20"/>
              </w:rPr>
            </w:pPr>
          </w:p>
        </w:tc>
        <w:tc>
          <w:tcPr>
            <w:tcW w:w="0" w:type="auto"/>
            <w:vAlign w:val="center"/>
            <w:hideMark/>
          </w:tcPr>
          <w:p w14:paraId="32273BBB" w14:textId="77777777" w:rsidR="00000000" w:rsidRDefault="00195E73">
            <w:pPr>
              <w:rPr>
                <w:rFonts w:eastAsia="Times New Roman"/>
                <w:sz w:val="20"/>
                <w:szCs w:val="20"/>
              </w:rPr>
            </w:pPr>
          </w:p>
        </w:tc>
        <w:tc>
          <w:tcPr>
            <w:tcW w:w="0" w:type="auto"/>
            <w:vAlign w:val="center"/>
            <w:hideMark/>
          </w:tcPr>
          <w:p w14:paraId="262B4183" w14:textId="77777777" w:rsidR="00000000" w:rsidRDefault="00195E73">
            <w:pPr>
              <w:rPr>
                <w:rFonts w:eastAsia="Times New Roman"/>
                <w:sz w:val="20"/>
                <w:szCs w:val="20"/>
              </w:rPr>
            </w:pPr>
          </w:p>
        </w:tc>
        <w:tc>
          <w:tcPr>
            <w:tcW w:w="0" w:type="auto"/>
            <w:vAlign w:val="center"/>
            <w:hideMark/>
          </w:tcPr>
          <w:p w14:paraId="647D15FE" w14:textId="77777777" w:rsidR="00000000" w:rsidRDefault="00195E73">
            <w:pPr>
              <w:rPr>
                <w:rFonts w:eastAsia="Times New Roman"/>
                <w:sz w:val="20"/>
                <w:szCs w:val="20"/>
              </w:rPr>
            </w:pPr>
          </w:p>
        </w:tc>
        <w:tc>
          <w:tcPr>
            <w:tcW w:w="0" w:type="auto"/>
            <w:vAlign w:val="center"/>
            <w:hideMark/>
          </w:tcPr>
          <w:p w14:paraId="2DC199D6" w14:textId="77777777" w:rsidR="00000000" w:rsidRDefault="00195E73">
            <w:pPr>
              <w:rPr>
                <w:rFonts w:eastAsia="Times New Roman"/>
                <w:sz w:val="20"/>
                <w:szCs w:val="20"/>
              </w:rPr>
            </w:pPr>
          </w:p>
        </w:tc>
        <w:tc>
          <w:tcPr>
            <w:tcW w:w="0" w:type="auto"/>
            <w:vAlign w:val="center"/>
            <w:hideMark/>
          </w:tcPr>
          <w:p w14:paraId="77377FC1" w14:textId="77777777" w:rsidR="00000000" w:rsidRDefault="00195E73">
            <w:pPr>
              <w:rPr>
                <w:rFonts w:eastAsia="Times New Roman"/>
                <w:sz w:val="20"/>
                <w:szCs w:val="20"/>
              </w:rPr>
            </w:pPr>
          </w:p>
        </w:tc>
        <w:tc>
          <w:tcPr>
            <w:tcW w:w="0" w:type="auto"/>
            <w:vAlign w:val="center"/>
            <w:hideMark/>
          </w:tcPr>
          <w:p w14:paraId="272D073A" w14:textId="77777777" w:rsidR="00000000" w:rsidRDefault="00195E73">
            <w:pPr>
              <w:rPr>
                <w:rFonts w:eastAsia="Times New Roman"/>
                <w:sz w:val="20"/>
                <w:szCs w:val="20"/>
              </w:rPr>
            </w:pPr>
          </w:p>
        </w:tc>
        <w:tc>
          <w:tcPr>
            <w:tcW w:w="0" w:type="auto"/>
            <w:vAlign w:val="center"/>
            <w:hideMark/>
          </w:tcPr>
          <w:p w14:paraId="057AF625" w14:textId="77777777" w:rsidR="00000000" w:rsidRDefault="00195E73">
            <w:pPr>
              <w:rPr>
                <w:rFonts w:eastAsia="Times New Roman"/>
                <w:sz w:val="20"/>
                <w:szCs w:val="20"/>
              </w:rPr>
            </w:pPr>
          </w:p>
        </w:tc>
        <w:tc>
          <w:tcPr>
            <w:tcW w:w="0" w:type="auto"/>
            <w:vAlign w:val="center"/>
            <w:hideMark/>
          </w:tcPr>
          <w:p w14:paraId="59419426" w14:textId="77777777" w:rsidR="00000000" w:rsidRDefault="00195E73">
            <w:pPr>
              <w:rPr>
                <w:rFonts w:eastAsia="Times New Roman"/>
                <w:sz w:val="20"/>
                <w:szCs w:val="20"/>
              </w:rPr>
            </w:pPr>
          </w:p>
        </w:tc>
        <w:tc>
          <w:tcPr>
            <w:tcW w:w="0" w:type="auto"/>
            <w:vAlign w:val="center"/>
            <w:hideMark/>
          </w:tcPr>
          <w:p w14:paraId="43DD642D" w14:textId="77777777" w:rsidR="00000000" w:rsidRDefault="00195E73">
            <w:pPr>
              <w:rPr>
                <w:rFonts w:eastAsia="Times New Roman"/>
                <w:sz w:val="20"/>
                <w:szCs w:val="20"/>
              </w:rPr>
            </w:pPr>
          </w:p>
        </w:tc>
        <w:tc>
          <w:tcPr>
            <w:tcW w:w="0" w:type="auto"/>
            <w:vAlign w:val="center"/>
            <w:hideMark/>
          </w:tcPr>
          <w:p w14:paraId="1F58DB2E" w14:textId="77777777" w:rsidR="00000000" w:rsidRDefault="00195E73">
            <w:pPr>
              <w:rPr>
                <w:rFonts w:eastAsia="Times New Roman"/>
                <w:sz w:val="20"/>
                <w:szCs w:val="20"/>
              </w:rPr>
            </w:pPr>
          </w:p>
        </w:tc>
      </w:tr>
      <w:tr w:rsidR="00000000" w14:paraId="61EA3AD1" w14:textId="77777777">
        <w:trPr>
          <w:divId w:val="841507974"/>
          <w:jc w:val="center"/>
        </w:trPr>
        <w:tc>
          <w:tcPr>
            <w:tcW w:w="0" w:type="auto"/>
            <w:gridSpan w:val="3"/>
            <w:tcBorders>
              <w:top w:val="single" w:sz="8" w:space="0" w:color="FFFFFF"/>
              <w:bottom w:val="double" w:sz="6" w:space="0" w:color="FFFFFF"/>
            </w:tcBorders>
            <w:shd w:val="clear" w:color="auto" w:fill="CCEEFF"/>
            <w:tcMar>
              <w:top w:w="30" w:type="dxa"/>
              <w:left w:w="20" w:type="dxa"/>
              <w:bottom w:w="30" w:type="dxa"/>
              <w:right w:w="20" w:type="dxa"/>
            </w:tcMar>
            <w:vAlign w:val="bottom"/>
            <w:hideMark/>
          </w:tcPr>
          <w:p w14:paraId="78658961" w14:textId="77777777" w:rsidR="00000000" w:rsidRDefault="00195E73">
            <w:pPr>
              <w:rPr>
                <w:rFonts w:eastAsia="Times New Roman"/>
              </w:rPr>
            </w:pPr>
            <w:r>
              <w:rPr>
                <w:rFonts w:eastAsia="Times New Roman"/>
                <w:color w:val="000000"/>
                <w:sz w:val="20"/>
                <w:szCs w:val="20"/>
              </w:rPr>
              <w:t>Tax basis of net asset</w:t>
            </w:r>
            <w:r>
              <w:rPr>
                <w:rFonts w:eastAsia="Times New Roman"/>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A543A8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C557933" w14:textId="77777777" w:rsidR="00000000" w:rsidRDefault="00195E73">
            <w:pPr>
              <w:jc w:val="right"/>
              <w:rPr>
                <w:rFonts w:eastAsia="Times New Roman"/>
              </w:rPr>
            </w:pPr>
            <w:r>
              <w:rPr>
                <w:rFonts w:eastAsia="Times New Roman"/>
                <w:color w:val="000000"/>
                <w:sz w:val="20"/>
                <w:szCs w:val="20"/>
              </w:rPr>
              <w:t>4,059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617698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B391FC3"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984580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530E1E1" w14:textId="77777777" w:rsidR="00000000" w:rsidRDefault="00195E73">
            <w:pPr>
              <w:jc w:val="right"/>
              <w:rPr>
                <w:rFonts w:eastAsia="Times New Roman"/>
              </w:rPr>
            </w:pPr>
            <w:r>
              <w:rPr>
                <w:rFonts w:eastAsia="Times New Roman"/>
                <w:color w:val="000000"/>
                <w:sz w:val="20"/>
                <w:szCs w:val="20"/>
              </w:rPr>
              <w:t>4,620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F561B1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5A8E48"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E11583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A712930" w14:textId="77777777" w:rsidR="00000000" w:rsidRDefault="00195E73">
            <w:pPr>
              <w:jc w:val="right"/>
              <w:rPr>
                <w:rFonts w:eastAsia="Times New Roman"/>
              </w:rPr>
            </w:pPr>
            <w:r>
              <w:rPr>
                <w:rFonts w:eastAsia="Times New Roman"/>
                <w:color w:val="000000"/>
                <w:sz w:val="20"/>
                <w:szCs w:val="20"/>
              </w:rPr>
              <w:t>4,056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2460B0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21D74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14D4A9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D333D60" w14:textId="77777777" w:rsidR="00000000" w:rsidRDefault="00195E73">
            <w:pPr>
              <w:jc w:val="right"/>
              <w:rPr>
                <w:rFonts w:eastAsia="Times New Roman"/>
              </w:rPr>
            </w:pPr>
            <w:r>
              <w:rPr>
                <w:rFonts w:eastAsia="Times New Roman"/>
                <w:color w:val="000000"/>
                <w:sz w:val="20"/>
                <w:szCs w:val="20"/>
              </w:rPr>
              <w:t>4,648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1C6607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26FB834" w14:textId="77777777" w:rsidR="00000000" w:rsidRDefault="00195E73">
            <w:pPr>
              <w:rPr>
                <w:rFonts w:eastAsia="Times New Roman"/>
                <w:sz w:val="20"/>
                <w:szCs w:val="20"/>
              </w:rPr>
            </w:pPr>
          </w:p>
        </w:tc>
        <w:tc>
          <w:tcPr>
            <w:tcW w:w="0" w:type="auto"/>
            <w:vAlign w:val="center"/>
            <w:hideMark/>
          </w:tcPr>
          <w:p w14:paraId="72FA9035" w14:textId="77777777" w:rsidR="00000000" w:rsidRDefault="00195E73">
            <w:pPr>
              <w:rPr>
                <w:rFonts w:eastAsia="Times New Roman"/>
                <w:sz w:val="20"/>
                <w:szCs w:val="20"/>
              </w:rPr>
            </w:pPr>
          </w:p>
        </w:tc>
        <w:tc>
          <w:tcPr>
            <w:tcW w:w="0" w:type="auto"/>
            <w:vAlign w:val="center"/>
            <w:hideMark/>
          </w:tcPr>
          <w:p w14:paraId="117B41FC" w14:textId="77777777" w:rsidR="00000000" w:rsidRDefault="00195E73">
            <w:pPr>
              <w:rPr>
                <w:rFonts w:eastAsia="Times New Roman"/>
                <w:sz w:val="20"/>
                <w:szCs w:val="20"/>
              </w:rPr>
            </w:pPr>
          </w:p>
        </w:tc>
        <w:tc>
          <w:tcPr>
            <w:tcW w:w="0" w:type="auto"/>
            <w:vAlign w:val="center"/>
            <w:hideMark/>
          </w:tcPr>
          <w:p w14:paraId="409F166C" w14:textId="77777777" w:rsidR="00000000" w:rsidRDefault="00195E73">
            <w:pPr>
              <w:rPr>
                <w:rFonts w:eastAsia="Times New Roman"/>
                <w:sz w:val="20"/>
                <w:szCs w:val="20"/>
              </w:rPr>
            </w:pPr>
          </w:p>
        </w:tc>
        <w:tc>
          <w:tcPr>
            <w:tcW w:w="0" w:type="auto"/>
            <w:vAlign w:val="center"/>
            <w:hideMark/>
          </w:tcPr>
          <w:p w14:paraId="322BF7B7" w14:textId="77777777" w:rsidR="00000000" w:rsidRDefault="00195E73">
            <w:pPr>
              <w:rPr>
                <w:rFonts w:eastAsia="Times New Roman"/>
                <w:sz w:val="20"/>
                <w:szCs w:val="20"/>
              </w:rPr>
            </w:pPr>
          </w:p>
        </w:tc>
        <w:tc>
          <w:tcPr>
            <w:tcW w:w="0" w:type="auto"/>
            <w:vAlign w:val="center"/>
            <w:hideMark/>
          </w:tcPr>
          <w:p w14:paraId="5BCAF016" w14:textId="77777777" w:rsidR="00000000" w:rsidRDefault="00195E73">
            <w:pPr>
              <w:rPr>
                <w:rFonts w:eastAsia="Times New Roman"/>
                <w:sz w:val="20"/>
                <w:szCs w:val="20"/>
              </w:rPr>
            </w:pPr>
          </w:p>
        </w:tc>
        <w:tc>
          <w:tcPr>
            <w:tcW w:w="0" w:type="auto"/>
            <w:vAlign w:val="center"/>
            <w:hideMark/>
          </w:tcPr>
          <w:p w14:paraId="13695635" w14:textId="77777777" w:rsidR="00000000" w:rsidRDefault="00195E73">
            <w:pPr>
              <w:rPr>
                <w:rFonts w:eastAsia="Times New Roman"/>
                <w:sz w:val="20"/>
                <w:szCs w:val="20"/>
              </w:rPr>
            </w:pPr>
          </w:p>
        </w:tc>
        <w:tc>
          <w:tcPr>
            <w:tcW w:w="0" w:type="auto"/>
            <w:vAlign w:val="center"/>
            <w:hideMark/>
          </w:tcPr>
          <w:p w14:paraId="4B1CFD67" w14:textId="77777777" w:rsidR="00000000" w:rsidRDefault="00195E73">
            <w:pPr>
              <w:rPr>
                <w:rFonts w:eastAsia="Times New Roman"/>
                <w:sz w:val="20"/>
                <w:szCs w:val="20"/>
              </w:rPr>
            </w:pPr>
          </w:p>
        </w:tc>
        <w:tc>
          <w:tcPr>
            <w:tcW w:w="0" w:type="auto"/>
            <w:vAlign w:val="center"/>
            <w:hideMark/>
          </w:tcPr>
          <w:p w14:paraId="32324391" w14:textId="77777777" w:rsidR="00000000" w:rsidRDefault="00195E73">
            <w:pPr>
              <w:rPr>
                <w:rFonts w:eastAsia="Times New Roman"/>
                <w:sz w:val="20"/>
                <w:szCs w:val="20"/>
              </w:rPr>
            </w:pPr>
          </w:p>
        </w:tc>
        <w:tc>
          <w:tcPr>
            <w:tcW w:w="0" w:type="auto"/>
            <w:vAlign w:val="center"/>
            <w:hideMark/>
          </w:tcPr>
          <w:p w14:paraId="4D56E1C6" w14:textId="77777777" w:rsidR="00000000" w:rsidRDefault="00195E73">
            <w:pPr>
              <w:rPr>
                <w:rFonts w:eastAsia="Times New Roman"/>
                <w:sz w:val="20"/>
                <w:szCs w:val="20"/>
              </w:rPr>
            </w:pPr>
          </w:p>
        </w:tc>
        <w:tc>
          <w:tcPr>
            <w:tcW w:w="0" w:type="auto"/>
            <w:vAlign w:val="center"/>
            <w:hideMark/>
          </w:tcPr>
          <w:p w14:paraId="19204971" w14:textId="77777777" w:rsidR="00000000" w:rsidRDefault="00195E73">
            <w:pPr>
              <w:rPr>
                <w:rFonts w:eastAsia="Times New Roman"/>
                <w:sz w:val="20"/>
                <w:szCs w:val="20"/>
              </w:rPr>
            </w:pPr>
          </w:p>
        </w:tc>
        <w:tc>
          <w:tcPr>
            <w:tcW w:w="0" w:type="auto"/>
            <w:vAlign w:val="center"/>
            <w:hideMark/>
          </w:tcPr>
          <w:p w14:paraId="06AE25BB" w14:textId="77777777" w:rsidR="00000000" w:rsidRDefault="00195E73">
            <w:pPr>
              <w:rPr>
                <w:rFonts w:eastAsia="Times New Roman"/>
                <w:sz w:val="20"/>
                <w:szCs w:val="20"/>
              </w:rPr>
            </w:pPr>
          </w:p>
        </w:tc>
      </w:tr>
    </w:tbl>
    <w:p w14:paraId="71DF537E" w14:textId="77777777" w:rsidR="00000000" w:rsidRDefault="00195E73">
      <w:pPr>
        <w:jc w:val="center"/>
        <w:rPr>
          <w:rFonts w:eastAsia="Times New Roman"/>
        </w:rPr>
      </w:pPr>
    </w:p>
    <w:p w14:paraId="1F92F45F" w14:textId="77777777" w:rsidR="00000000" w:rsidRDefault="00195E73">
      <w:pPr>
        <w:ind w:firstLine="405"/>
        <w:divId w:val="463620016"/>
        <w:rPr>
          <w:rFonts w:eastAsia="Times New Roman"/>
        </w:rPr>
      </w:pPr>
    </w:p>
    <w:p w14:paraId="63B5B40E" w14:textId="77777777" w:rsidR="00000000" w:rsidRDefault="00195E73">
      <w:pPr>
        <w:jc w:val="center"/>
        <w:divId w:val="995567183"/>
        <w:rPr>
          <w:rFonts w:eastAsia="Times New Roman"/>
        </w:rPr>
      </w:pPr>
      <w:r>
        <w:rPr>
          <w:rFonts w:eastAsia="Times New Roman"/>
          <w:color w:val="000000"/>
          <w:sz w:val="20"/>
          <w:szCs w:val="20"/>
        </w:rPr>
        <w:t>10</w:t>
      </w:r>
      <w:r>
        <w:rPr>
          <w:rFonts w:eastAsia="Times New Roman"/>
          <w:color w:val="000000"/>
          <w:sz w:val="20"/>
          <w:szCs w:val="20"/>
        </w:rPr>
        <w:t>3</w:t>
      </w:r>
    </w:p>
    <w:p w14:paraId="4CC96B3B" w14:textId="77777777" w:rsidR="00000000" w:rsidRDefault="00195E73">
      <w:pPr>
        <w:rPr>
          <w:rFonts w:eastAsia="Times New Roman"/>
        </w:rPr>
      </w:pPr>
      <w:r>
        <w:rPr>
          <w:rFonts w:eastAsia="Times New Roman"/>
        </w:rPr>
        <w:pict w14:anchorId="6C222589">
          <v:rect id="_x0000_i1129" style="width:0;height:1.5pt" o:hralign="center" o:hrstd="t" o:hr="t" fillcolor="#a0a0a0" stroked="f"/>
        </w:pict>
      </w:r>
    </w:p>
    <w:p w14:paraId="662390B8" w14:textId="77777777" w:rsidR="00000000" w:rsidRDefault="00195E73">
      <w:pPr>
        <w:jc w:val="center"/>
        <w:divId w:val="1299919295"/>
        <w:rPr>
          <w:rFonts w:eastAsia="Times New Roman"/>
        </w:rPr>
      </w:pPr>
    </w:p>
    <w:p w14:paraId="7D73DE52" w14:textId="77777777" w:rsidR="00000000" w:rsidRDefault="00195E73">
      <w:pPr>
        <w:jc w:val="center"/>
        <w:divId w:val="1299919295"/>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6124FD2D" w14:textId="77777777" w:rsidR="00000000" w:rsidRDefault="00195E73">
      <w:pPr>
        <w:jc w:val="center"/>
        <w:divId w:val="1299919295"/>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63119E42" w14:textId="77777777" w:rsidR="00000000" w:rsidRDefault="00195E73">
      <w:pPr>
        <w:jc w:val="center"/>
        <w:divId w:val="1299919295"/>
        <w:rPr>
          <w:rFonts w:eastAsia="Times New Roman"/>
        </w:rPr>
      </w:pPr>
    </w:p>
    <w:p w14:paraId="35F12DEF" w14:textId="77777777" w:rsidR="00000000" w:rsidRDefault="00195E73">
      <w:pPr>
        <w:jc w:val="center"/>
        <w:divId w:val="1299919295"/>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007BE925" w14:textId="77777777" w:rsidR="00000000" w:rsidRDefault="00195E73">
      <w:pPr>
        <w:ind w:firstLine="405"/>
        <w:divId w:val="201328514"/>
        <w:rPr>
          <w:rFonts w:eastAsia="Times New Roman"/>
        </w:rPr>
      </w:pPr>
      <w:r>
        <w:rPr>
          <w:rFonts w:eastAsia="Times New Roman"/>
          <w:color w:val="000000"/>
          <w:sz w:val="20"/>
          <w:szCs w:val="20"/>
        </w:rPr>
        <w:t>Income (loss) from continuing operations before income tax expense (benefit) is as follows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088"/>
        <w:gridCol w:w="40"/>
        <w:gridCol w:w="135"/>
        <w:gridCol w:w="956"/>
        <w:gridCol w:w="85"/>
        <w:gridCol w:w="36"/>
        <w:gridCol w:w="36"/>
        <w:gridCol w:w="36"/>
        <w:gridCol w:w="135"/>
        <w:gridCol w:w="924"/>
        <w:gridCol w:w="85"/>
        <w:gridCol w:w="36"/>
        <w:gridCol w:w="36"/>
        <w:gridCol w:w="36"/>
        <w:gridCol w:w="135"/>
        <w:gridCol w:w="925"/>
        <w:gridCol w:w="85"/>
        <w:gridCol w:w="36"/>
        <w:gridCol w:w="36"/>
        <w:gridCol w:w="36"/>
        <w:gridCol w:w="36"/>
        <w:gridCol w:w="36"/>
        <w:gridCol w:w="36"/>
        <w:gridCol w:w="36"/>
        <w:gridCol w:w="36"/>
        <w:gridCol w:w="36"/>
        <w:gridCol w:w="36"/>
        <w:gridCol w:w="36"/>
        <w:gridCol w:w="36"/>
      </w:tblGrid>
      <w:tr w:rsidR="00000000" w14:paraId="1BA66ABA" w14:textId="77777777">
        <w:trPr>
          <w:gridAfter w:val="12"/>
          <w:divId w:val="3555913"/>
          <w:jc w:val="center"/>
        </w:trPr>
        <w:tc>
          <w:tcPr>
            <w:tcW w:w="50" w:type="pct"/>
            <w:vAlign w:val="center"/>
            <w:hideMark/>
          </w:tcPr>
          <w:p w14:paraId="2CABD036" w14:textId="77777777" w:rsidR="00000000" w:rsidRDefault="00195E73">
            <w:pPr>
              <w:ind w:firstLine="405"/>
              <w:rPr>
                <w:rFonts w:eastAsia="Times New Roman"/>
              </w:rPr>
            </w:pPr>
          </w:p>
        </w:tc>
        <w:tc>
          <w:tcPr>
            <w:tcW w:w="2627" w:type="pct"/>
            <w:vAlign w:val="center"/>
            <w:hideMark/>
          </w:tcPr>
          <w:p w14:paraId="565F820E" w14:textId="77777777" w:rsidR="00000000" w:rsidRDefault="00195E73">
            <w:pPr>
              <w:rPr>
                <w:rFonts w:eastAsia="Times New Roman"/>
                <w:sz w:val="20"/>
                <w:szCs w:val="20"/>
              </w:rPr>
            </w:pPr>
          </w:p>
        </w:tc>
        <w:tc>
          <w:tcPr>
            <w:tcW w:w="50" w:type="pct"/>
            <w:vAlign w:val="center"/>
            <w:hideMark/>
          </w:tcPr>
          <w:p w14:paraId="290D41A5" w14:textId="77777777" w:rsidR="00000000" w:rsidRDefault="00195E73">
            <w:pPr>
              <w:rPr>
                <w:rFonts w:eastAsia="Times New Roman"/>
                <w:sz w:val="20"/>
                <w:szCs w:val="20"/>
              </w:rPr>
            </w:pPr>
          </w:p>
        </w:tc>
        <w:tc>
          <w:tcPr>
            <w:tcW w:w="50" w:type="pct"/>
            <w:vAlign w:val="center"/>
            <w:hideMark/>
          </w:tcPr>
          <w:p w14:paraId="7C9C1DF8" w14:textId="77777777" w:rsidR="00000000" w:rsidRDefault="00195E73">
            <w:pPr>
              <w:rPr>
                <w:rFonts w:eastAsia="Times New Roman"/>
                <w:sz w:val="20"/>
                <w:szCs w:val="20"/>
              </w:rPr>
            </w:pPr>
          </w:p>
        </w:tc>
        <w:tc>
          <w:tcPr>
            <w:tcW w:w="633" w:type="pct"/>
            <w:vAlign w:val="center"/>
            <w:hideMark/>
          </w:tcPr>
          <w:p w14:paraId="0C36BACB" w14:textId="77777777" w:rsidR="00000000" w:rsidRDefault="00195E73">
            <w:pPr>
              <w:rPr>
                <w:rFonts w:eastAsia="Times New Roman"/>
                <w:sz w:val="20"/>
                <w:szCs w:val="20"/>
              </w:rPr>
            </w:pPr>
          </w:p>
        </w:tc>
        <w:tc>
          <w:tcPr>
            <w:tcW w:w="50" w:type="pct"/>
            <w:vAlign w:val="center"/>
            <w:hideMark/>
          </w:tcPr>
          <w:p w14:paraId="2AA8AF6D" w14:textId="77777777" w:rsidR="00000000" w:rsidRDefault="00195E73">
            <w:pPr>
              <w:rPr>
                <w:rFonts w:eastAsia="Times New Roman"/>
                <w:sz w:val="20"/>
                <w:szCs w:val="20"/>
              </w:rPr>
            </w:pPr>
          </w:p>
        </w:tc>
        <w:tc>
          <w:tcPr>
            <w:tcW w:w="5" w:type="pct"/>
            <w:vAlign w:val="center"/>
            <w:hideMark/>
          </w:tcPr>
          <w:p w14:paraId="245EAC7C" w14:textId="77777777" w:rsidR="00000000" w:rsidRDefault="00195E73">
            <w:pPr>
              <w:rPr>
                <w:rFonts w:eastAsia="Times New Roman"/>
                <w:sz w:val="20"/>
                <w:szCs w:val="20"/>
              </w:rPr>
            </w:pPr>
          </w:p>
        </w:tc>
        <w:tc>
          <w:tcPr>
            <w:tcW w:w="26" w:type="pct"/>
            <w:vAlign w:val="center"/>
            <w:hideMark/>
          </w:tcPr>
          <w:p w14:paraId="5F0BDA40" w14:textId="77777777" w:rsidR="00000000" w:rsidRDefault="00195E73">
            <w:pPr>
              <w:rPr>
                <w:rFonts w:eastAsia="Times New Roman"/>
                <w:sz w:val="20"/>
                <w:szCs w:val="20"/>
              </w:rPr>
            </w:pPr>
          </w:p>
        </w:tc>
        <w:tc>
          <w:tcPr>
            <w:tcW w:w="5" w:type="pct"/>
            <w:vAlign w:val="center"/>
            <w:hideMark/>
          </w:tcPr>
          <w:p w14:paraId="64C0B4D8" w14:textId="77777777" w:rsidR="00000000" w:rsidRDefault="00195E73">
            <w:pPr>
              <w:rPr>
                <w:rFonts w:eastAsia="Times New Roman"/>
                <w:sz w:val="20"/>
                <w:szCs w:val="20"/>
              </w:rPr>
            </w:pPr>
          </w:p>
        </w:tc>
        <w:tc>
          <w:tcPr>
            <w:tcW w:w="50" w:type="pct"/>
            <w:vAlign w:val="center"/>
            <w:hideMark/>
          </w:tcPr>
          <w:p w14:paraId="4FE6BC60" w14:textId="77777777" w:rsidR="00000000" w:rsidRDefault="00195E73">
            <w:pPr>
              <w:rPr>
                <w:rFonts w:eastAsia="Times New Roman"/>
                <w:sz w:val="20"/>
                <w:szCs w:val="20"/>
              </w:rPr>
            </w:pPr>
          </w:p>
        </w:tc>
        <w:tc>
          <w:tcPr>
            <w:tcW w:w="633" w:type="pct"/>
            <w:vAlign w:val="center"/>
            <w:hideMark/>
          </w:tcPr>
          <w:p w14:paraId="61D59D05" w14:textId="77777777" w:rsidR="00000000" w:rsidRDefault="00195E73">
            <w:pPr>
              <w:rPr>
                <w:rFonts w:eastAsia="Times New Roman"/>
                <w:sz w:val="20"/>
                <w:szCs w:val="20"/>
              </w:rPr>
            </w:pPr>
          </w:p>
        </w:tc>
        <w:tc>
          <w:tcPr>
            <w:tcW w:w="50" w:type="pct"/>
            <w:vAlign w:val="center"/>
            <w:hideMark/>
          </w:tcPr>
          <w:p w14:paraId="5AF5A31B" w14:textId="77777777" w:rsidR="00000000" w:rsidRDefault="00195E73">
            <w:pPr>
              <w:rPr>
                <w:rFonts w:eastAsia="Times New Roman"/>
                <w:sz w:val="20"/>
                <w:szCs w:val="20"/>
              </w:rPr>
            </w:pPr>
          </w:p>
        </w:tc>
        <w:tc>
          <w:tcPr>
            <w:tcW w:w="5" w:type="pct"/>
            <w:vAlign w:val="center"/>
            <w:hideMark/>
          </w:tcPr>
          <w:p w14:paraId="1C7F17EE" w14:textId="77777777" w:rsidR="00000000" w:rsidRDefault="00195E73">
            <w:pPr>
              <w:rPr>
                <w:rFonts w:eastAsia="Times New Roman"/>
                <w:sz w:val="20"/>
                <w:szCs w:val="20"/>
              </w:rPr>
            </w:pPr>
          </w:p>
        </w:tc>
        <w:tc>
          <w:tcPr>
            <w:tcW w:w="26" w:type="pct"/>
            <w:vAlign w:val="center"/>
            <w:hideMark/>
          </w:tcPr>
          <w:p w14:paraId="52C5C620" w14:textId="77777777" w:rsidR="00000000" w:rsidRDefault="00195E73">
            <w:pPr>
              <w:rPr>
                <w:rFonts w:eastAsia="Times New Roman"/>
                <w:sz w:val="20"/>
                <w:szCs w:val="20"/>
              </w:rPr>
            </w:pPr>
          </w:p>
        </w:tc>
        <w:tc>
          <w:tcPr>
            <w:tcW w:w="5" w:type="pct"/>
            <w:vAlign w:val="center"/>
            <w:hideMark/>
          </w:tcPr>
          <w:p w14:paraId="084E8A1A" w14:textId="77777777" w:rsidR="00000000" w:rsidRDefault="00195E73">
            <w:pPr>
              <w:rPr>
                <w:rFonts w:eastAsia="Times New Roman"/>
                <w:sz w:val="20"/>
                <w:szCs w:val="20"/>
              </w:rPr>
            </w:pPr>
          </w:p>
        </w:tc>
        <w:tc>
          <w:tcPr>
            <w:tcW w:w="50" w:type="pct"/>
            <w:vAlign w:val="center"/>
            <w:hideMark/>
          </w:tcPr>
          <w:p w14:paraId="4814BE11" w14:textId="77777777" w:rsidR="00000000" w:rsidRDefault="00195E73">
            <w:pPr>
              <w:rPr>
                <w:rFonts w:eastAsia="Times New Roman"/>
                <w:sz w:val="20"/>
                <w:szCs w:val="20"/>
              </w:rPr>
            </w:pPr>
          </w:p>
        </w:tc>
        <w:tc>
          <w:tcPr>
            <w:tcW w:w="633" w:type="pct"/>
            <w:vAlign w:val="center"/>
            <w:hideMark/>
          </w:tcPr>
          <w:p w14:paraId="5ECC7BF9" w14:textId="77777777" w:rsidR="00000000" w:rsidRDefault="00195E73">
            <w:pPr>
              <w:rPr>
                <w:rFonts w:eastAsia="Times New Roman"/>
                <w:sz w:val="20"/>
                <w:szCs w:val="20"/>
              </w:rPr>
            </w:pPr>
          </w:p>
        </w:tc>
        <w:tc>
          <w:tcPr>
            <w:tcW w:w="50" w:type="pct"/>
            <w:vAlign w:val="center"/>
            <w:hideMark/>
          </w:tcPr>
          <w:p w14:paraId="65BCEB94" w14:textId="77777777" w:rsidR="00000000" w:rsidRDefault="00195E73">
            <w:pPr>
              <w:rPr>
                <w:rFonts w:eastAsia="Times New Roman"/>
                <w:sz w:val="20"/>
                <w:szCs w:val="20"/>
              </w:rPr>
            </w:pPr>
          </w:p>
        </w:tc>
      </w:tr>
      <w:tr w:rsidR="00000000" w14:paraId="15AB67AD" w14:textId="77777777">
        <w:trPr>
          <w:divId w:val="3555913"/>
          <w:jc w:val="center"/>
        </w:trPr>
        <w:tc>
          <w:tcPr>
            <w:tcW w:w="0" w:type="auto"/>
            <w:gridSpan w:val="3"/>
            <w:tcMar>
              <w:top w:w="15" w:type="dxa"/>
              <w:left w:w="20" w:type="dxa"/>
              <w:bottom w:w="15" w:type="dxa"/>
              <w:right w:w="20" w:type="dxa"/>
            </w:tcMar>
            <w:vAlign w:val="bottom"/>
            <w:hideMark/>
          </w:tcPr>
          <w:p w14:paraId="5A5932DE"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2B014B90"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6BBC8FC7" w14:textId="77777777" w:rsidR="00000000" w:rsidRDefault="00195E73">
            <w:pPr>
              <w:jc w:val="center"/>
              <w:rPr>
                <w:rFonts w:eastAsia="Times New Roman"/>
              </w:rPr>
            </w:pPr>
          </w:p>
        </w:tc>
        <w:tc>
          <w:tcPr>
            <w:tcW w:w="0" w:type="auto"/>
            <w:gridSpan w:val="3"/>
            <w:vAlign w:val="center"/>
            <w:hideMark/>
          </w:tcPr>
          <w:p w14:paraId="3BE4B589" w14:textId="77777777" w:rsidR="00000000" w:rsidRDefault="00195E73">
            <w:pPr>
              <w:rPr>
                <w:rFonts w:eastAsia="Times New Roman"/>
                <w:sz w:val="20"/>
                <w:szCs w:val="20"/>
              </w:rPr>
            </w:pPr>
          </w:p>
        </w:tc>
        <w:tc>
          <w:tcPr>
            <w:tcW w:w="0" w:type="auto"/>
            <w:gridSpan w:val="3"/>
            <w:vAlign w:val="center"/>
            <w:hideMark/>
          </w:tcPr>
          <w:p w14:paraId="50152681" w14:textId="77777777" w:rsidR="00000000" w:rsidRDefault="00195E73">
            <w:pPr>
              <w:rPr>
                <w:rFonts w:eastAsia="Times New Roman"/>
                <w:sz w:val="20"/>
                <w:szCs w:val="20"/>
              </w:rPr>
            </w:pPr>
          </w:p>
        </w:tc>
        <w:tc>
          <w:tcPr>
            <w:tcW w:w="0" w:type="auto"/>
            <w:gridSpan w:val="3"/>
            <w:vAlign w:val="center"/>
            <w:hideMark/>
          </w:tcPr>
          <w:p w14:paraId="5673059E" w14:textId="77777777" w:rsidR="00000000" w:rsidRDefault="00195E73">
            <w:pPr>
              <w:rPr>
                <w:rFonts w:eastAsia="Times New Roman"/>
                <w:sz w:val="20"/>
                <w:szCs w:val="20"/>
              </w:rPr>
            </w:pPr>
          </w:p>
        </w:tc>
      </w:tr>
      <w:tr w:rsidR="00000000" w14:paraId="6BE1324F" w14:textId="77777777">
        <w:trPr>
          <w:divId w:val="3555913"/>
          <w:jc w:val="center"/>
        </w:trPr>
        <w:tc>
          <w:tcPr>
            <w:tcW w:w="0" w:type="auto"/>
            <w:gridSpan w:val="3"/>
            <w:tcMar>
              <w:top w:w="30" w:type="dxa"/>
              <w:left w:w="20" w:type="dxa"/>
              <w:bottom w:w="30" w:type="dxa"/>
              <w:right w:w="20" w:type="dxa"/>
            </w:tcMar>
            <w:vAlign w:val="bottom"/>
            <w:hideMark/>
          </w:tcPr>
          <w:p w14:paraId="6BB51330" w14:textId="77777777" w:rsidR="00000000" w:rsidRDefault="00195E73">
            <w:pPr>
              <w:rPr>
                <w:rFonts w:eastAsia="Times New Roman"/>
              </w:rPr>
            </w:pPr>
            <w:r>
              <w:rPr>
                <w:rFonts w:eastAsia="Times New Roman"/>
                <w:b/>
                <w:bCs/>
                <w:color w:val="000000"/>
                <w:sz w:val="16"/>
                <w:szCs w:val="16"/>
              </w:rPr>
              <w:t> </w:t>
            </w: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CAE133F"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5D2526A3"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548116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68CFB218"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2F0264D"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51FA1ACF" w14:textId="77777777" w:rsidR="00000000" w:rsidRDefault="00195E73">
            <w:pPr>
              <w:rPr>
                <w:rFonts w:eastAsia="Times New Roman"/>
                <w:sz w:val="20"/>
                <w:szCs w:val="20"/>
              </w:rPr>
            </w:pPr>
          </w:p>
        </w:tc>
        <w:tc>
          <w:tcPr>
            <w:tcW w:w="0" w:type="auto"/>
            <w:vAlign w:val="center"/>
            <w:hideMark/>
          </w:tcPr>
          <w:p w14:paraId="02E351F2" w14:textId="77777777" w:rsidR="00000000" w:rsidRDefault="00195E73">
            <w:pPr>
              <w:rPr>
                <w:rFonts w:eastAsia="Times New Roman"/>
                <w:sz w:val="20"/>
                <w:szCs w:val="20"/>
              </w:rPr>
            </w:pPr>
          </w:p>
        </w:tc>
        <w:tc>
          <w:tcPr>
            <w:tcW w:w="0" w:type="auto"/>
            <w:vAlign w:val="center"/>
            <w:hideMark/>
          </w:tcPr>
          <w:p w14:paraId="65CB53C1" w14:textId="77777777" w:rsidR="00000000" w:rsidRDefault="00195E73">
            <w:pPr>
              <w:rPr>
                <w:rFonts w:eastAsia="Times New Roman"/>
                <w:sz w:val="20"/>
                <w:szCs w:val="20"/>
              </w:rPr>
            </w:pPr>
          </w:p>
        </w:tc>
        <w:tc>
          <w:tcPr>
            <w:tcW w:w="0" w:type="auto"/>
            <w:vAlign w:val="center"/>
            <w:hideMark/>
          </w:tcPr>
          <w:p w14:paraId="4458FEB6" w14:textId="77777777" w:rsidR="00000000" w:rsidRDefault="00195E73">
            <w:pPr>
              <w:rPr>
                <w:rFonts w:eastAsia="Times New Roman"/>
                <w:sz w:val="20"/>
                <w:szCs w:val="20"/>
              </w:rPr>
            </w:pPr>
          </w:p>
        </w:tc>
        <w:tc>
          <w:tcPr>
            <w:tcW w:w="0" w:type="auto"/>
            <w:vAlign w:val="center"/>
            <w:hideMark/>
          </w:tcPr>
          <w:p w14:paraId="253076AB" w14:textId="77777777" w:rsidR="00000000" w:rsidRDefault="00195E73">
            <w:pPr>
              <w:rPr>
                <w:rFonts w:eastAsia="Times New Roman"/>
                <w:sz w:val="20"/>
                <w:szCs w:val="20"/>
              </w:rPr>
            </w:pPr>
          </w:p>
        </w:tc>
        <w:tc>
          <w:tcPr>
            <w:tcW w:w="0" w:type="auto"/>
            <w:vAlign w:val="center"/>
            <w:hideMark/>
          </w:tcPr>
          <w:p w14:paraId="4F453CD6" w14:textId="77777777" w:rsidR="00000000" w:rsidRDefault="00195E73">
            <w:pPr>
              <w:rPr>
                <w:rFonts w:eastAsia="Times New Roman"/>
                <w:sz w:val="20"/>
                <w:szCs w:val="20"/>
              </w:rPr>
            </w:pPr>
          </w:p>
        </w:tc>
        <w:tc>
          <w:tcPr>
            <w:tcW w:w="0" w:type="auto"/>
            <w:vAlign w:val="center"/>
            <w:hideMark/>
          </w:tcPr>
          <w:p w14:paraId="2E3BB8DB" w14:textId="77777777" w:rsidR="00000000" w:rsidRDefault="00195E73">
            <w:pPr>
              <w:rPr>
                <w:rFonts w:eastAsia="Times New Roman"/>
                <w:sz w:val="20"/>
                <w:szCs w:val="20"/>
              </w:rPr>
            </w:pPr>
          </w:p>
        </w:tc>
        <w:tc>
          <w:tcPr>
            <w:tcW w:w="0" w:type="auto"/>
            <w:vAlign w:val="center"/>
            <w:hideMark/>
          </w:tcPr>
          <w:p w14:paraId="442F7E9A" w14:textId="77777777" w:rsidR="00000000" w:rsidRDefault="00195E73">
            <w:pPr>
              <w:rPr>
                <w:rFonts w:eastAsia="Times New Roman"/>
                <w:sz w:val="20"/>
                <w:szCs w:val="20"/>
              </w:rPr>
            </w:pPr>
          </w:p>
        </w:tc>
        <w:tc>
          <w:tcPr>
            <w:tcW w:w="0" w:type="auto"/>
            <w:vAlign w:val="center"/>
            <w:hideMark/>
          </w:tcPr>
          <w:p w14:paraId="6D18BA00" w14:textId="77777777" w:rsidR="00000000" w:rsidRDefault="00195E73">
            <w:pPr>
              <w:rPr>
                <w:rFonts w:eastAsia="Times New Roman"/>
                <w:sz w:val="20"/>
                <w:szCs w:val="20"/>
              </w:rPr>
            </w:pPr>
          </w:p>
        </w:tc>
        <w:tc>
          <w:tcPr>
            <w:tcW w:w="0" w:type="auto"/>
            <w:vAlign w:val="center"/>
            <w:hideMark/>
          </w:tcPr>
          <w:p w14:paraId="68A48CF5" w14:textId="77777777" w:rsidR="00000000" w:rsidRDefault="00195E73">
            <w:pPr>
              <w:rPr>
                <w:rFonts w:eastAsia="Times New Roman"/>
                <w:sz w:val="20"/>
                <w:szCs w:val="20"/>
              </w:rPr>
            </w:pPr>
          </w:p>
        </w:tc>
        <w:tc>
          <w:tcPr>
            <w:tcW w:w="0" w:type="auto"/>
            <w:vAlign w:val="center"/>
            <w:hideMark/>
          </w:tcPr>
          <w:p w14:paraId="0BC06FB2" w14:textId="77777777" w:rsidR="00000000" w:rsidRDefault="00195E73">
            <w:pPr>
              <w:rPr>
                <w:rFonts w:eastAsia="Times New Roman"/>
                <w:sz w:val="20"/>
                <w:szCs w:val="20"/>
              </w:rPr>
            </w:pPr>
          </w:p>
        </w:tc>
        <w:tc>
          <w:tcPr>
            <w:tcW w:w="0" w:type="auto"/>
            <w:vAlign w:val="center"/>
            <w:hideMark/>
          </w:tcPr>
          <w:p w14:paraId="7089A739" w14:textId="77777777" w:rsidR="00000000" w:rsidRDefault="00195E73">
            <w:pPr>
              <w:rPr>
                <w:rFonts w:eastAsia="Times New Roman"/>
                <w:sz w:val="20"/>
                <w:szCs w:val="20"/>
              </w:rPr>
            </w:pPr>
          </w:p>
        </w:tc>
      </w:tr>
      <w:tr w:rsidR="00000000" w14:paraId="29171746" w14:textId="77777777">
        <w:trPr>
          <w:divId w:val="3555913"/>
          <w:jc w:val="center"/>
        </w:trPr>
        <w:tc>
          <w:tcPr>
            <w:tcW w:w="0" w:type="auto"/>
            <w:gridSpan w:val="3"/>
            <w:tcMar>
              <w:top w:w="15" w:type="dxa"/>
              <w:left w:w="20" w:type="dxa"/>
              <w:bottom w:w="15" w:type="dxa"/>
              <w:right w:w="20" w:type="dxa"/>
            </w:tcMar>
            <w:vAlign w:val="bottom"/>
            <w:hideMark/>
          </w:tcPr>
          <w:p w14:paraId="3954039A"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71AEB02"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0EB6912F" w14:textId="77777777" w:rsidR="00000000" w:rsidRDefault="00195E73">
            <w:pPr>
              <w:jc w:val="center"/>
              <w:rPr>
                <w:rFonts w:eastAsia="Times New Roman"/>
              </w:rPr>
            </w:pPr>
          </w:p>
        </w:tc>
        <w:tc>
          <w:tcPr>
            <w:tcW w:w="0" w:type="auto"/>
            <w:gridSpan w:val="3"/>
            <w:vAlign w:val="center"/>
            <w:hideMark/>
          </w:tcPr>
          <w:p w14:paraId="0CEC694E" w14:textId="77777777" w:rsidR="00000000" w:rsidRDefault="00195E73">
            <w:pPr>
              <w:rPr>
                <w:rFonts w:eastAsia="Times New Roman"/>
                <w:sz w:val="20"/>
                <w:szCs w:val="20"/>
              </w:rPr>
            </w:pPr>
          </w:p>
        </w:tc>
        <w:tc>
          <w:tcPr>
            <w:tcW w:w="0" w:type="auto"/>
            <w:gridSpan w:val="3"/>
            <w:vAlign w:val="center"/>
            <w:hideMark/>
          </w:tcPr>
          <w:p w14:paraId="649095C6" w14:textId="77777777" w:rsidR="00000000" w:rsidRDefault="00195E73">
            <w:pPr>
              <w:rPr>
                <w:rFonts w:eastAsia="Times New Roman"/>
                <w:sz w:val="20"/>
                <w:szCs w:val="20"/>
              </w:rPr>
            </w:pPr>
          </w:p>
        </w:tc>
        <w:tc>
          <w:tcPr>
            <w:tcW w:w="0" w:type="auto"/>
            <w:gridSpan w:val="3"/>
            <w:vAlign w:val="center"/>
            <w:hideMark/>
          </w:tcPr>
          <w:p w14:paraId="19CEAEDD" w14:textId="77777777" w:rsidR="00000000" w:rsidRDefault="00195E73">
            <w:pPr>
              <w:rPr>
                <w:rFonts w:eastAsia="Times New Roman"/>
                <w:sz w:val="20"/>
                <w:szCs w:val="20"/>
              </w:rPr>
            </w:pPr>
          </w:p>
        </w:tc>
      </w:tr>
      <w:tr w:rsidR="00000000" w14:paraId="0160BB59" w14:textId="77777777">
        <w:trPr>
          <w:divId w:val="3555913"/>
          <w:jc w:val="center"/>
        </w:trPr>
        <w:tc>
          <w:tcPr>
            <w:tcW w:w="0" w:type="auto"/>
            <w:gridSpan w:val="3"/>
            <w:shd w:val="clear" w:color="auto" w:fill="CCEEFF"/>
            <w:tcMar>
              <w:top w:w="30" w:type="dxa"/>
              <w:left w:w="20" w:type="dxa"/>
              <w:bottom w:w="30" w:type="dxa"/>
              <w:right w:w="20" w:type="dxa"/>
            </w:tcMar>
            <w:vAlign w:val="bottom"/>
            <w:hideMark/>
          </w:tcPr>
          <w:p w14:paraId="75E49ABD" w14:textId="77777777" w:rsidR="00000000" w:rsidRDefault="00195E73">
            <w:pPr>
              <w:rPr>
                <w:rFonts w:eastAsia="Times New Roman"/>
              </w:rPr>
            </w:pPr>
            <w:r>
              <w:rPr>
                <w:rFonts w:eastAsia="Times New Roman"/>
                <w:color w:val="000000"/>
                <w:sz w:val="20"/>
                <w:szCs w:val="20"/>
              </w:rPr>
              <w:t>Domesti</w:t>
            </w:r>
            <w:r>
              <w:rPr>
                <w:rFonts w:eastAsia="Times New Roman"/>
                <w:color w:val="000000"/>
                <w:sz w:val="20"/>
                <w:szCs w:val="20"/>
              </w:rPr>
              <w:t>c</w:t>
            </w:r>
          </w:p>
        </w:tc>
        <w:tc>
          <w:tcPr>
            <w:tcW w:w="0" w:type="auto"/>
            <w:shd w:val="clear" w:color="auto" w:fill="CCEEFF"/>
            <w:tcMar>
              <w:top w:w="30" w:type="dxa"/>
              <w:left w:w="20" w:type="dxa"/>
              <w:bottom w:w="30" w:type="dxa"/>
              <w:right w:w="15" w:type="dxa"/>
            </w:tcMar>
            <w:vAlign w:val="bottom"/>
            <w:hideMark/>
          </w:tcPr>
          <w:p w14:paraId="5E113B5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61E9461" w14:textId="77777777" w:rsidR="00000000" w:rsidRDefault="00195E73">
            <w:pPr>
              <w:jc w:val="right"/>
              <w:rPr>
                <w:rFonts w:eastAsia="Times New Roman"/>
              </w:rPr>
            </w:pPr>
            <w:r>
              <w:rPr>
                <w:rFonts w:eastAsia="Times New Roman"/>
                <w:color w:val="000000"/>
                <w:sz w:val="20"/>
                <w:szCs w:val="20"/>
              </w:rPr>
              <w:t>(1,765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E2F3F4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9B722B"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7779A5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268B05B" w14:textId="77777777" w:rsidR="00000000" w:rsidRDefault="00195E73">
            <w:pPr>
              <w:jc w:val="right"/>
              <w:rPr>
                <w:rFonts w:eastAsia="Times New Roman"/>
              </w:rPr>
            </w:pPr>
            <w:r>
              <w:rPr>
                <w:rFonts w:eastAsia="Times New Roman"/>
                <w:color w:val="000000"/>
                <w:sz w:val="20"/>
                <w:szCs w:val="20"/>
              </w:rPr>
              <w:t>235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542681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FA08D8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D61627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C0AFF31" w14:textId="77777777" w:rsidR="00000000" w:rsidRDefault="00195E73">
            <w:pPr>
              <w:jc w:val="right"/>
              <w:rPr>
                <w:rFonts w:eastAsia="Times New Roman"/>
              </w:rPr>
            </w:pPr>
            <w:r>
              <w:rPr>
                <w:rFonts w:eastAsia="Times New Roman"/>
                <w:color w:val="000000"/>
                <w:sz w:val="20"/>
                <w:szCs w:val="20"/>
              </w:rPr>
              <w:t>1,836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CECC8B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2DD5DD0" w14:textId="77777777" w:rsidR="00000000" w:rsidRDefault="00195E73">
            <w:pPr>
              <w:rPr>
                <w:rFonts w:eastAsia="Times New Roman"/>
                <w:sz w:val="20"/>
                <w:szCs w:val="20"/>
              </w:rPr>
            </w:pPr>
          </w:p>
        </w:tc>
        <w:tc>
          <w:tcPr>
            <w:tcW w:w="0" w:type="auto"/>
            <w:vAlign w:val="center"/>
            <w:hideMark/>
          </w:tcPr>
          <w:p w14:paraId="6164D106" w14:textId="77777777" w:rsidR="00000000" w:rsidRDefault="00195E73">
            <w:pPr>
              <w:rPr>
                <w:rFonts w:eastAsia="Times New Roman"/>
                <w:sz w:val="20"/>
                <w:szCs w:val="20"/>
              </w:rPr>
            </w:pPr>
          </w:p>
        </w:tc>
        <w:tc>
          <w:tcPr>
            <w:tcW w:w="0" w:type="auto"/>
            <w:vAlign w:val="center"/>
            <w:hideMark/>
          </w:tcPr>
          <w:p w14:paraId="73B3B290" w14:textId="77777777" w:rsidR="00000000" w:rsidRDefault="00195E73">
            <w:pPr>
              <w:rPr>
                <w:rFonts w:eastAsia="Times New Roman"/>
                <w:sz w:val="20"/>
                <w:szCs w:val="20"/>
              </w:rPr>
            </w:pPr>
          </w:p>
        </w:tc>
        <w:tc>
          <w:tcPr>
            <w:tcW w:w="0" w:type="auto"/>
            <w:vAlign w:val="center"/>
            <w:hideMark/>
          </w:tcPr>
          <w:p w14:paraId="4FD620EB" w14:textId="77777777" w:rsidR="00000000" w:rsidRDefault="00195E73">
            <w:pPr>
              <w:rPr>
                <w:rFonts w:eastAsia="Times New Roman"/>
                <w:sz w:val="20"/>
                <w:szCs w:val="20"/>
              </w:rPr>
            </w:pPr>
          </w:p>
        </w:tc>
        <w:tc>
          <w:tcPr>
            <w:tcW w:w="0" w:type="auto"/>
            <w:vAlign w:val="center"/>
            <w:hideMark/>
          </w:tcPr>
          <w:p w14:paraId="64B9B2B5" w14:textId="77777777" w:rsidR="00000000" w:rsidRDefault="00195E73">
            <w:pPr>
              <w:rPr>
                <w:rFonts w:eastAsia="Times New Roman"/>
                <w:sz w:val="20"/>
                <w:szCs w:val="20"/>
              </w:rPr>
            </w:pPr>
          </w:p>
        </w:tc>
        <w:tc>
          <w:tcPr>
            <w:tcW w:w="0" w:type="auto"/>
            <w:vAlign w:val="center"/>
            <w:hideMark/>
          </w:tcPr>
          <w:p w14:paraId="4309B3B4" w14:textId="77777777" w:rsidR="00000000" w:rsidRDefault="00195E73">
            <w:pPr>
              <w:rPr>
                <w:rFonts w:eastAsia="Times New Roman"/>
                <w:sz w:val="20"/>
                <w:szCs w:val="20"/>
              </w:rPr>
            </w:pPr>
          </w:p>
        </w:tc>
        <w:tc>
          <w:tcPr>
            <w:tcW w:w="0" w:type="auto"/>
            <w:vAlign w:val="center"/>
            <w:hideMark/>
          </w:tcPr>
          <w:p w14:paraId="663FD415" w14:textId="77777777" w:rsidR="00000000" w:rsidRDefault="00195E73">
            <w:pPr>
              <w:rPr>
                <w:rFonts w:eastAsia="Times New Roman"/>
                <w:sz w:val="20"/>
                <w:szCs w:val="20"/>
              </w:rPr>
            </w:pPr>
          </w:p>
        </w:tc>
        <w:tc>
          <w:tcPr>
            <w:tcW w:w="0" w:type="auto"/>
            <w:vAlign w:val="center"/>
            <w:hideMark/>
          </w:tcPr>
          <w:p w14:paraId="39B825B6" w14:textId="77777777" w:rsidR="00000000" w:rsidRDefault="00195E73">
            <w:pPr>
              <w:rPr>
                <w:rFonts w:eastAsia="Times New Roman"/>
                <w:sz w:val="20"/>
                <w:szCs w:val="20"/>
              </w:rPr>
            </w:pPr>
          </w:p>
        </w:tc>
        <w:tc>
          <w:tcPr>
            <w:tcW w:w="0" w:type="auto"/>
            <w:vAlign w:val="center"/>
            <w:hideMark/>
          </w:tcPr>
          <w:p w14:paraId="688B8929" w14:textId="77777777" w:rsidR="00000000" w:rsidRDefault="00195E73">
            <w:pPr>
              <w:rPr>
                <w:rFonts w:eastAsia="Times New Roman"/>
                <w:sz w:val="20"/>
                <w:szCs w:val="20"/>
              </w:rPr>
            </w:pPr>
          </w:p>
        </w:tc>
        <w:tc>
          <w:tcPr>
            <w:tcW w:w="0" w:type="auto"/>
            <w:vAlign w:val="center"/>
            <w:hideMark/>
          </w:tcPr>
          <w:p w14:paraId="4C19E620" w14:textId="77777777" w:rsidR="00000000" w:rsidRDefault="00195E73">
            <w:pPr>
              <w:rPr>
                <w:rFonts w:eastAsia="Times New Roman"/>
                <w:sz w:val="20"/>
                <w:szCs w:val="20"/>
              </w:rPr>
            </w:pPr>
          </w:p>
        </w:tc>
        <w:tc>
          <w:tcPr>
            <w:tcW w:w="0" w:type="auto"/>
            <w:vAlign w:val="center"/>
            <w:hideMark/>
          </w:tcPr>
          <w:p w14:paraId="189E399C" w14:textId="77777777" w:rsidR="00000000" w:rsidRDefault="00195E73">
            <w:pPr>
              <w:rPr>
                <w:rFonts w:eastAsia="Times New Roman"/>
                <w:sz w:val="20"/>
                <w:szCs w:val="20"/>
              </w:rPr>
            </w:pPr>
          </w:p>
        </w:tc>
        <w:tc>
          <w:tcPr>
            <w:tcW w:w="0" w:type="auto"/>
            <w:vAlign w:val="center"/>
            <w:hideMark/>
          </w:tcPr>
          <w:p w14:paraId="0914E34D" w14:textId="77777777" w:rsidR="00000000" w:rsidRDefault="00195E73">
            <w:pPr>
              <w:rPr>
                <w:rFonts w:eastAsia="Times New Roman"/>
                <w:sz w:val="20"/>
                <w:szCs w:val="20"/>
              </w:rPr>
            </w:pPr>
          </w:p>
        </w:tc>
      </w:tr>
      <w:tr w:rsidR="00000000" w14:paraId="6A4B2E8C" w14:textId="77777777">
        <w:trPr>
          <w:divId w:val="3555913"/>
          <w:jc w:val="center"/>
        </w:trPr>
        <w:tc>
          <w:tcPr>
            <w:tcW w:w="0" w:type="auto"/>
            <w:gridSpan w:val="3"/>
            <w:shd w:val="clear" w:color="auto" w:fill="FFFFFF"/>
            <w:tcMar>
              <w:top w:w="30" w:type="dxa"/>
              <w:left w:w="20" w:type="dxa"/>
              <w:bottom w:w="30" w:type="dxa"/>
              <w:right w:w="20" w:type="dxa"/>
            </w:tcMar>
            <w:vAlign w:val="bottom"/>
            <w:hideMark/>
          </w:tcPr>
          <w:p w14:paraId="76FFE58C" w14:textId="77777777" w:rsidR="00000000" w:rsidRDefault="00195E73">
            <w:pPr>
              <w:rPr>
                <w:rFonts w:eastAsia="Times New Roman"/>
              </w:rPr>
            </w:pPr>
            <w:r>
              <w:rPr>
                <w:rFonts w:eastAsia="Times New Roman"/>
                <w:color w:val="000000"/>
                <w:sz w:val="20"/>
                <w:szCs w:val="20"/>
              </w:rPr>
              <w:t>Internationa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14:paraId="5216301C" w14:textId="77777777" w:rsidR="00000000" w:rsidRDefault="00195E73">
            <w:pPr>
              <w:jc w:val="right"/>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840781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C4CD77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F39FEA" w14:textId="77777777" w:rsidR="00000000" w:rsidRDefault="00195E73">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F4AB51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01302F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6560B9" w14:textId="77777777" w:rsidR="00000000" w:rsidRDefault="00195E73">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03C6C7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919706A" w14:textId="77777777" w:rsidR="00000000" w:rsidRDefault="00195E73">
            <w:pPr>
              <w:rPr>
                <w:rFonts w:eastAsia="Times New Roman"/>
                <w:sz w:val="20"/>
                <w:szCs w:val="20"/>
              </w:rPr>
            </w:pPr>
          </w:p>
        </w:tc>
        <w:tc>
          <w:tcPr>
            <w:tcW w:w="0" w:type="auto"/>
            <w:vAlign w:val="center"/>
            <w:hideMark/>
          </w:tcPr>
          <w:p w14:paraId="2FFA56EB" w14:textId="77777777" w:rsidR="00000000" w:rsidRDefault="00195E73">
            <w:pPr>
              <w:rPr>
                <w:rFonts w:eastAsia="Times New Roman"/>
                <w:sz w:val="20"/>
                <w:szCs w:val="20"/>
              </w:rPr>
            </w:pPr>
          </w:p>
        </w:tc>
        <w:tc>
          <w:tcPr>
            <w:tcW w:w="0" w:type="auto"/>
            <w:vAlign w:val="center"/>
            <w:hideMark/>
          </w:tcPr>
          <w:p w14:paraId="31E548FE" w14:textId="77777777" w:rsidR="00000000" w:rsidRDefault="00195E73">
            <w:pPr>
              <w:rPr>
                <w:rFonts w:eastAsia="Times New Roman"/>
                <w:sz w:val="20"/>
                <w:szCs w:val="20"/>
              </w:rPr>
            </w:pPr>
          </w:p>
        </w:tc>
        <w:tc>
          <w:tcPr>
            <w:tcW w:w="0" w:type="auto"/>
            <w:vAlign w:val="center"/>
            <w:hideMark/>
          </w:tcPr>
          <w:p w14:paraId="442E0706" w14:textId="77777777" w:rsidR="00000000" w:rsidRDefault="00195E73">
            <w:pPr>
              <w:rPr>
                <w:rFonts w:eastAsia="Times New Roman"/>
                <w:sz w:val="20"/>
                <w:szCs w:val="20"/>
              </w:rPr>
            </w:pPr>
          </w:p>
        </w:tc>
        <w:tc>
          <w:tcPr>
            <w:tcW w:w="0" w:type="auto"/>
            <w:vAlign w:val="center"/>
            <w:hideMark/>
          </w:tcPr>
          <w:p w14:paraId="34D04759" w14:textId="77777777" w:rsidR="00000000" w:rsidRDefault="00195E73">
            <w:pPr>
              <w:rPr>
                <w:rFonts w:eastAsia="Times New Roman"/>
                <w:sz w:val="20"/>
                <w:szCs w:val="20"/>
              </w:rPr>
            </w:pPr>
          </w:p>
        </w:tc>
        <w:tc>
          <w:tcPr>
            <w:tcW w:w="0" w:type="auto"/>
            <w:vAlign w:val="center"/>
            <w:hideMark/>
          </w:tcPr>
          <w:p w14:paraId="354DF6D4" w14:textId="77777777" w:rsidR="00000000" w:rsidRDefault="00195E73">
            <w:pPr>
              <w:rPr>
                <w:rFonts w:eastAsia="Times New Roman"/>
                <w:sz w:val="20"/>
                <w:szCs w:val="20"/>
              </w:rPr>
            </w:pPr>
          </w:p>
        </w:tc>
        <w:tc>
          <w:tcPr>
            <w:tcW w:w="0" w:type="auto"/>
            <w:vAlign w:val="center"/>
            <w:hideMark/>
          </w:tcPr>
          <w:p w14:paraId="0B02E029" w14:textId="77777777" w:rsidR="00000000" w:rsidRDefault="00195E73">
            <w:pPr>
              <w:rPr>
                <w:rFonts w:eastAsia="Times New Roman"/>
                <w:sz w:val="20"/>
                <w:szCs w:val="20"/>
              </w:rPr>
            </w:pPr>
          </w:p>
        </w:tc>
        <w:tc>
          <w:tcPr>
            <w:tcW w:w="0" w:type="auto"/>
            <w:vAlign w:val="center"/>
            <w:hideMark/>
          </w:tcPr>
          <w:p w14:paraId="085E40C4" w14:textId="77777777" w:rsidR="00000000" w:rsidRDefault="00195E73">
            <w:pPr>
              <w:rPr>
                <w:rFonts w:eastAsia="Times New Roman"/>
                <w:sz w:val="20"/>
                <w:szCs w:val="20"/>
              </w:rPr>
            </w:pPr>
          </w:p>
        </w:tc>
        <w:tc>
          <w:tcPr>
            <w:tcW w:w="0" w:type="auto"/>
            <w:vAlign w:val="center"/>
            <w:hideMark/>
          </w:tcPr>
          <w:p w14:paraId="22E757B3" w14:textId="77777777" w:rsidR="00000000" w:rsidRDefault="00195E73">
            <w:pPr>
              <w:rPr>
                <w:rFonts w:eastAsia="Times New Roman"/>
                <w:sz w:val="20"/>
                <w:szCs w:val="20"/>
              </w:rPr>
            </w:pPr>
          </w:p>
        </w:tc>
        <w:tc>
          <w:tcPr>
            <w:tcW w:w="0" w:type="auto"/>
            <w:vAlign w:val="center"/>
            <w:hideMark/>
          </w:tcPr>
          <w:p w14:paraId="201C4638" w14:textId="77777777" w:rsidR="00000000" w:rsidRDefault="00195E73">
            <w:pPr>
              <w:rPr>
                <w:rFonts w:eastAsia="Times New Roman"/>
                <w:sz w:val="20"/>
                <w:szCs w:val="20"/>
              </w:rPr>
            </w:pPr>
          </w:p>
        </w:tc>
        <w:tc>
          <w:tcPr>
            <w:tcW w:w="0" w:type="auto"/>
            <w:vAlign w:val="center"/>
            <w:hideMark/>
          </w:tcPr>
          <w:p w14:paraId="77BEA42A" w14:textId="77777777" w:rsidR="00000000" w:rsidRDefault="00195E73">
            <w:pPr>
              <w:rPr>
                <w:rFonts w:eastAsia="Times New Roman"/>
                <w:sz w:val="20"/>
                <w:szCs w:val="20"/>
              </w:rPr>
            </w:pPr>
          </w:p>
        </w:tc>
        <w:tc>
          <w:tcPr>
            <w:tcW w:w="0" w:type="auto"/>
            <w:vAlign w:val="center"/>
            <w:hideMark/>
          </w:tcPr>
          <w:p w14:paraId="67ACC695" w14:textId="77777777" w:rsidR="00000000" w:rsidRDefault="00195E73">
            <w:pPr>
              <w:rPr>
                <w:rFonts w:eastAsia="Times New Roman"/>
                <w:sz w:val="20"/>
                <w:szCs w:val="20"/>
              </w:rPr>
            </w:pPr>
          </w:p>
        </w:tc>
      </w:tr>
      <w:tr w:rsidR="00000000" w14:paraId="06F233D8" w14:textId="77777777">
        <w:trPr>
          <w:divId w:val="3555913"/>
          <w:jc w:val="center"/>
        </w:trPr>
        <w:tc>
          <w:tcPr>
            <w:tcW w:w="0" w:type="auto"/>
            <w:gridSpan w:val="3"/>
            <w:shd w:val="clear" w:color="auto" w:fill="CCEEFF"/>
            <w:tcMar>
              <w:top w:w="15" w:type="dxa"/>
              <w:left w:w="20" w:type="dxa"/>
              <w:bottom w:w="15" w:type="dxa"/>
              <w:right w:w="20" w:type="dxa"/>
            </w:tcMar>
            <w:vAlign w:val="bottom"/>
            <w:hideMark/>
          </w:tcPr>
          <w:p w14:paraId="6145AAB1"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8B22F7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6D439BA" w14:textId="77777777" w:rsidR="00000000" w:rsidRDefault="00195E73">
            <w:pPr>
              <w:jc w:val="right"/>
              <w:rPr>
                <w:rFonts w:eastAsia="Times New Roman"/>
              </w:rPr>
            </w:pPr>
            <w:r>
              <w:rPr>
                <w:rFonts w:eastAsia="Times New Roman"/>
                <w:color w:val="000000"/>
                <w:sz w:val="20"/>
                <w:szCs w:val="20"/>
              </w:rPr>
              <w:t>(1,739</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6B78FA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B0FCA79"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7D749A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930EF93" w14:textId="77777777" w:rsidR="00000000" w:rsidRDefault="00195E73">
            <w:pPr>
              <w:jc w:val="right"/>
              <w:rPr>
                <w:rFonts w:eastAsia="Times New Roman"/>
              </w:rPr>
            </w:pPr>
            <w:r>
              <w:rPr>
                <w:rFonts w:eastAsia="Times New Roman"/>
                <w:color w:val="000000"/>
                <w:sz w:val="20"/>
                <w:szCs w:val="20"/>
              </w:rPr>
              <w:t>223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563898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6A009E9"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4A911E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51F9D3B" w14:textId="77777777" w:rsidR="00000000" w:rsidRDefault="00195E73">
            <w:pPr>
              <w:jc w:val="right"/>
              <w:rPr>
                <w:rFonts w:eastAsia="Times New Roman"/>
              </w:rPr>
            </w:pPr>
            <w:r>
              <w:rPr>
                <w:rFonts w:eastAsia="Times New Roman"/>
                <w:color w:val="000000"/>
                <w:sz w:val="20"/>
                <w:szCs w:val="20"/>
              </w:rPr>
              <w:t>1,866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8DFDEF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F7A61CF" w14:textId="77777777" w:rsidR="00000000" w:rsidRDefault="00195E73">
            <w:pPr>
              <w:rPr>
                <w:rFonts w:eastAsia="Times New Roman"/>
                <w:sz w:val="20"/>
                <w:szCs w:val="20"/>
              </w:rPr>
            </w:pPr>
          </w:p>
        </w:tc>
        <w:tc>
          <w:tcPr>
            <w:tcW w:w="0" w:type="auto"/>
            <w:vAlign w:val="center"/>
            <w:hideMark/>
          </w:tcPr>
          <w:p w14:paraId="35070A22" w14:textId="77777777" w:rsidR="00000000" w:rsidRDefault="00195E73">
            <w:pPr>
              <w:rPr>
                <w:rFonts w:eastAsia="Times New Roman"/>
                <w:sz w:val="20"/>
                <w:szCs w:val="20"/>
              </w:rPr>
            </w:pPr>
          </w:p>
        </w:tc>
        <w:tc>
          <w:tcPr>
            <w:tcW w:w="0" w:type="auto"/>
            <w:vAlign w:val="center"/>
            <w:hideMark/>
          </w:tcPr>
          <w:p w14:paraId="6A1C7C36" w14:textId="77777777" w:rsidR="00000000" w:rsidRDefault="00195E73">
            <w:pPr>
              <w:rPr>
                <w:rFonts w:eastAsia="Times New Roman"/>
                <w:sz w:val="20"/>
                <w:szCs w:val="20"/>
              </w:rPr>
            </w:pPr>
          </w:p>
        </w:tc>
        <w:tc>
          <w:tcPr>
            <w:tcW w:w="0" w:type="auto"/>
            <w:vAlign w:val="center"/>
            <w:hideMark/>
          </w:tcPr>
          <w:p w14:paraId="61D616DB" w14:textId="77777777" w:rsidR="00000000" w:rsidRDefault="00195E73">
            <w:pPr>
              <w:rPr>
                <w:rFonts w:eastAsia="Times New Roman"/>
                <w:sz w:val="20"/>
                <w:szCs w:val="20"/>
              </w:rPr>
            </w:pPr>
          </w:p>
        </w:tc>
        <w:tc>
          <w:tcPr>
            <w:tcW w:w="0" w:type="auto"/>
            <w:vAlign w:val="center"/>
            <w:hideMark/>
          </w:tcPr>
          <w:p w14:paraId="6D37B755" w14:textId="77777777" w:rsidR="00000000" w:rsidRDefault="00195E73">
            <w:pPr>
              <w:rPr>
                <w:rFonts w:eastAsia="Times New Roman"/>
                <w:sz w:val="20"/>
                <w:szCs w:val="20"/>
              </w:rPr>
            </w:pPr>
          </w:p>
        </w:tc>
        <w:tc>
          <w:tcPr>
            <w:tcW w:w="0" w:type="auto"/>
            <w:vAlign w:val="center"/>
            <w:hideMark/>
          </w:tcPr>
          <w:p w14:paraId="0D8127AD" w14:textId="77777777" w:rsidR="00000000" w:rsidRDefault="00195E73">
            <w:pPr>
              <w:rPr>
                <w:rFonts w:eastAsia="Times New Roman"/>
                <w:sz w:val="20"/>
                <w:szCs w:val="20"/>
              </w:rPr>
            </w:pPr>
          </w:p>
        </w:tc>
        <w:tc>
          <w:tcPr>
            <w:tcW w:w="0" w:type="auto"/>
            <w:vAlign w:val="center"/>
            <w:hideMark/>
          </w:tcPr>
          <w:p w14:paraId="2EDBCBA0" w14:textId="77777777" w:rsidR="00000000" w:rsidRDefault="00195E73">
            <w:pPr>
              <w:rPr>
                <w:rFonts w:eastAsia="Times New Roman"/>
                <w:sz w:val="20"/>
                <w:szCs w:val="20"/>
              </w:rPr>
            </w:pPr>
          </w:p>
        </w:tc>
        <w:tc>
          <w:tcPr>
            <w:tcW w:w="0" w:type="auto"/>
            <w:vAlign w:val="center"/>
            <w:hideMark/>
          </w:tcPr>
          <w:p w14:paraId="411F804F" w14:textId="77777777" w:rsidR="00000000" w:rsidRDefault="00195E73">
            <w:pPr>
              <w:rPr>
                <w:rFonts w:eastAsia="Times New Roman"/>
                <w:sz w:val="20"/>
                <w:szCs w:val="20"/>
              </w:rPr>
            </w:pPr>
          </w:p>
        </w:tc>
        <w:tc>
          <w:tcPr>
            <w:tcW w:w="0" w:type="auto"/>
            <w:vAlign w:val="center"/>
            <w:hideMark/>
          </w:tcPr>
          <w:p w14:paraId="708A1F9A" w14:textId="77777777" w:rsidR="00000000" w:rsidRDefault="00195E73">
            <w:pPr>
              <w:rPr>
                <w:rFonts w:eastAsia="Times New Roman"/>
                <w:sz w:val="20"/>
                <w:szCs w:val="20"/>
              </w:rPr>
            </w:pPr>
          </w:p>
        </w:tc>
        <w:tc>
          <w:tcPr>
            <w:tcW w:w="0" w:type="auto"/>
            <w:vAlign w:val="center"/>
            <w:hideMark/>
          </w:tcPr>
          <w:p w14:paraId="7DEB4D07" w14:textId="77777777" w:rsidR="00000000" w:rsidRDefault="00195E73">
            <w:pPr>
              <w:rPr>
                <w:rFonts w:eastAsia="Times New Roman"/>
                <w:sz w:val="20"/>
                <w:szCs w:val="20"/>
              </w:rPr>
            </w:pPr>
          </w:p>
        </w:tc>
        <w:tc>
          <w:tcPr>
            <w:tcW w:w="0" w:type="auto"/>
            <w:vAlign w:val="center"/>
            <w:hideMark/>
          </w:tcPr>
          <w:p w14:paraId="46F70FEF" w14:textId="77777777" w:rsidR="00000000" w:rsidRDefault="00195E73">
            <w:pPr>
              <w:rPr>
                <w:rFonts w:eastAsia="Times New Roman"/>
                <w:sz w:val="20"/>
                <w:szCs w:val="20"/>
              </w:rPr>
            </w:pPr>
          </w:p>
        </w:tc>
        <w:tc>
          <w:tcPr>
            <w:tcW w:w="0" w:type="auto"/>
            <w:vAlign w:val="center"/>
            <w:hideMark/>
          </w:tcPr>
          <w:p w14:paraId="0F2B308C" w14:textId="77777777" w:rsidR="00000000" w:rsidRDefault="00195E73">
            <w:pPr>
              <w:rPr>
                <w:rFonts w:eastAsia="Times New Roman"/>
                <w:sz w:val="20"/>
                <w:szCs w:val="20"/>
              </w:rPr>
            </w:pPr>
          </w:p>
        </w:tc>
      </w:tr>
    </w:tbl>
    <w:p w14:paraId="14BB95CD" w14:textId="77777777" w:rsidR="00000000" w:rsidRDefault="00195E73">
      <w:pPr>
        <w:ind w:firstLine="405"/>
        <w:divId w:val="2066905624"/>
        <w:rPr>
          <w:rFonts w:eastAsia="Times New Roman"/>
        </w:rPr>
      </w:pPr>
    </w:p>
    <w:p w14:paraId="7B6E9304" w14:textId="77777777" w:rsidR="00000000" w:rsidRDefault="00195E73">
      <w:pPr>
        <w:ind w:firstLine="405"/>
        <w:divId w:val="124784020"/>
        <w:rPr>
          <w:rFonts w:eastAsia="Times New Roman"/>
        </w:rPr>
      </w:pPr>
      <w:r>
        <w:rPr>
          <w:rFonts w:eastAsia="Times New Roman"/>
          <w:color w:val="000000"/>
          <w:sz w:val="20"/>
          <w:szCs w:val="20"/>
        </w:rPr>
        <w:t>Income tax benefit (expense) attributable to continuing operations is as follows:</w:t>
      </w:r>
      <w:r>
        <w:rPr>
          <w:rFonts w:eastAsia="Times New Roman"/>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088"/>
        <w:gridCol w:w="40"/>
        <w:gridCol w:w="135"/>
        <w:gridCol w:w="956"/>
        <w:gridCol w:w="85"/>
        <w:gridCol w:w="36"/>
        <w:gridCol w:w="36"/>
        <w:gridCol w:w="36"/>
        <w:gridCol w:w="135"/>
        <w:gridCol w:w="924"/>
        <w:gridCol w:w="85"/>
        <w:gridCol w:w="36"/>
        <w:gridCol w:w="36"/>
        <w:gridCol w:w="36"/>
        <w:gridCol w:w="135"/>
        <w:gridCol w:w="925"/>
        <w:gridCol w:w="85"/>
        <w:gridCol w:w="36"/>
        <w:gridCol w:w="36"/>
        <w:gridCol w:w="36"/>
        <w:gridCol w:w="36"/>
        <w:gridCol w:w="36"/>
        <w:gridCol w:w="36"/>
        <w:gridCol w:w="36"/>
        <w:gridCol w:w="36"/>
        <w:gridCol w:w="36"/>
        <w:gridCol w:w="36"/>
        <w:gridCol w:w="36"/>
        <w:gridCol w:w="36"/>
      </w:tblGrid>
      <w:tr w:rsidR="00000000" w14:paraId="21229AC1" w14:textId="77777777">
        <w:trPr>
          <w:gridAfter w:val="12"/>
          <w:divId w:val="1948268054"/>
          <w:jc w:val="center"/>
        </w:trPr>
        <w:tc>
          <w:tcPr>
            <w:tcW w:w="50" w:type="pct"/>
            <w:vAlign w:val="center"/>
            <w:hideMark/>
          </w:tcPr>
          <w:p w14:paraId="5C0AED79" w14:textId="77777777" w:rsidR="00000000" w:rsidRDefault="00195E73">
            <w:pPr>
              <w:ind w:firstLine="405"/>
              <w:rPr>
                <w:rFonts w:eastAsia="Times New Roman"/>
              </w:rPr>
            </w:pPr>
          </w:p>
        </w:tc>
        <w:tc>
          <w:tcPr>
            <w:tcW w:w="2627" w:type="pct"/>
            <w:vAlign w:val="center"/>
            <w:hideMark/>
          </w:tcPr>
          <w:p w14:paraId="2A451FE3" w14:textId="77777777" w:rsidR="00000000" w:rsidRDefault="00195E73">
            <w:pPr>
              <w:rPr>
                <w:rFonts w:eastAsia="Times New Roman"/>
                <w:sz w:val="20"/>
                <w:szCs w:val="20"/>
              </w:rPr>
            </w:pPr>
          </w:p>
        </w:tc>
        <w:tc>
          <w:tcPr>
            <w:tcW w:w="50" w:type="pct"/>
            <w:vAlign w:val="center"/>
            <w:hideMark/>
          </w:tcPr>
          <w:p w14:paraId="38E514A4" w14:textId="77777777" w:rsidR="00000000" w:rsidRDefault="00195E73">
            <w:pPr>
              <w:rPr>
                <w:rFonts w:eastAsia="Times New Roman"/>
                <w:sz w:val="20"/>
                <w:szCs w:val="20"/>
              </w:rPr>
            </w:pPr>
          </w:p>
        </w:tc>
        <w:tc>
          <w:tcPr>
            <w:tcW w:w="50" w:type="pct"/>
            <w:vAlign w:val="center"/>
            <w:hideMark/>
          </w:tcPr>
          <w:p w14:paraId="4755B4DD" w14:textId="77777777" w:rsidR="00000000" w:rsidRDefault="00195E73">
            <w:pPr>
              <w:rPr>
                <w:rFonts w:eastAsia="Times New Roman"/>
                <w:sz w:val="20"/>
                <w:szCs w:val="20"/>
              </w:rPr>
            </w:pPr>
          </w:p>
        </w:tc>
        <w:tc>
          <w:tcPr>
            <w:tcW w:w="633" w:type="pct"/>
            <w:vAlign w:val="center"/>
            <w:hideMark/>
          </w:tcPr>
          <w:p w14:paraId="3E086198" w14:textId="77777777" w:rsidR="00000000" w:rsidRDefault="00195E73">
            <w:pPr>
              <w:rPr>
                <w:rFonts w:eastAsia="Times New Roman"/>
                <w:sz w:val="20"/>
                <w:szCs w:val="20"/>
              </w:rPr>
            </w:pPr>
          </w:p>
        </w:tc>
        <w:tc>
          <w:tcPr>
            <w:tcW w:w="50" w:type="pct"/>
            <w:vAlign w:val="center"/>
            <w:hideMark/>
          </w:tcPr>
          <w:p w14:paraId="6294DFDB" w14:textId="77777777" w:rsidR="00000000" w:rsidRDefault="00195E73">
            <w:pPr>
              <w:rPr>
                <w:rFonts w:eastAsia="Times New Roman"/>
                <w:sz w:val="20"/>
                <w:szCs w:val="20"/>
              </w:rPr>
            </w:pPr>
          </w:p>
        </w:tc>
        <w:tc>
          <w:tcPr>
            <w:tcW w:w="5" w:type="pct"/>
            <w:vAlign w:val="center"/>
            <w:hideMark/>
          </w:tcPr>
          <w:p w14:paraId="045CB405" w14:textId="77777777" w:rsidR="00000000" w:rsidRDefault="00195E73">
            <w:pPr>
              <w:rPr>
                <w:rFonts w:eastAsia="Times New Roman"/>
                <w:sz w:val="20"/>
                <w:szCs w:val="20"/>
              </w:rPr>
            </w:pPr>
          </w:p>
        </w:tc>
        <w:tc>
          <w:tcPr>
            <w:tcW w:w="26" w:type="pct"/>
            <w:vAlign w:val="center"/>
            <w:hideMark/>
          </w:tcPr>
          <w:p w14:paraId="7372E706" w14:textId="77777777" w:rsidR="00000000" w:rsidRDefault="00195E73">
            <w:pPr>
              <w:rPr>
                <w:rFonts w:eastAsia="Times New Roman"/>
                <w:sz w:val="20"/>
                <w:szCs w:val="20"/>
              </w:rPr>
            </w:pPr>
          </w:p>
        </w:tc>
        <w:tc>
          <w:tcPr>
            <w:tcW w:w="5" w:type="pct"/>
            <w:vAlign w:val="center"/>
            <w:hideMark/>
          </w:tcPr>
          <w:p w14:paraId="1A15CEC3" w14:textId="77777777" w:rsidR="00000000" w:rsidRDefault="00195E73">
            <w:pPr>
              <w:rPr>
                <w:rFonts w:eastAsia="Times New Roman"/>
                <w:sz w:val="20"/>
                <w:szCs w:val="20"/>
              </w:rPr>
            </w:pPr>
          </w:p>
        </w:tc>
        <w:tc>
          <w:tcPr>
            <w:tcW w:w="50" w:type="pct"/>
            <w:vAlign w:val="center"/>
            <w:hideMark/>
          </w:tcPr>
          <w:p w14:paraId="51A9D2CD" w14:textId="77777777" w:rsidR="00000000" w:rsidRDefault="00195E73">
            <w:pPr>
              <w:rPr>
                <w:rFonts w:eastAsia="Times New Roman"/>
                <w:sz w:val="20"/>
                <w:szCs w:val="20"/>
              </w:rPr>
            </w:pPr>
          </w:p>
        </w:tc>
        <w:tc>
          <w:tcPr>
            <w:tcW w:w="633" w:type="pct"/>
            <w:vAlign w:val="center"/>
            <w:hideMark/>
          </w:tcPr>
          <w:p w14:paraId="7B08D2A5" w14:textId="77777777" w:rsidR="00000000" w:rsidRDefault="00195E73">
            <w:pPr>
              <w:rPr>
                <w:rFonts w:eastAsia="Times New Roman"/>
                <w:sz w:val="20"/>
                <w:szCs w:val="20"/>
              </w:rPr>
            </w:pPr>
          </w:p>
        </w:tc>
        <w:tc>
          <w:tcPr>
            <w:tcW w:w="50" w:type="pct"/>
            <w:vAlign w:val="center"/>
            <w:hideMark/>
          </w:tcPr>
          <w:p w14:paraId="1C85EB6B" w14:textId="77777777" w:rsidR="00000000" w:rsidRDefault="00195E73">
            <w:pPr>
              <w:rPr>
                <w:rFonts w:eastAsia="Times New Roman"/>
                <w:sz w:val="20"/>
                <w:szCs w:val="20"/>
              </w:rPr>
            </w:pPr>
          </w:p>
        </w:tc>
        <w:tc>
          <w:tcPr>
            <w:tcW w:w="5" w:type="pct"/>
            <w:vAlign w:val="center"/>
            <w:hideMark/>
          </w:tcPr>
          <w:p w14:paraId="58A53BDD" w14:textId="77777777" w:rsidR="00000000" w:rsidRDefault="00195E73">
            <w:pPr>
              <w:rPr>
                <w:rFonts w:eastAsia="Times New Roman"/>
                <w:sz w:val="20"/>
                <w:szCs w:val="20"/>
              </w:rPr>
            </w:pPr>
          </w:p>
        </w:tc>
        <w:tc>
          <w:tcPr>
            <w:tcW w:w="26" w:type="pct"/>
            <w:vAlign w:val="center"/>
            <w:hideMark/>
          </w:tcPr>
          <w:p w14:paraId="55F67EE0" w14:textId="77777777" w:rsidR="00000000" w:rsidRDefault="00195E73">
            <w:pPr>
              <w:rPr>
                <w:rFonts w:eastAsia="Times New Roman"/>
                <w:sz w:val="20"/>
                <w:szCs w:val="20"/>
              </w:rPr>
            </w:pPr>
          </w:p>
        </w:tc>
        <w:tc>
          <w:tcPr>
            <w:tcW w:w="5" w:type="pct"/>
            <w:vAlign w:val="center"/>
            <w:hideMark/>
          </w:tcPr>
          <w:p w14:paraId="6C6E3F4C" w14:textId="77777777" w:rsidR="00000000" w:rsidRDefault="00195E73">
            <w:pPr>
              <w:rPr>
                <w:rFonts w:eastAsia="Times New Roman"/>
                <w:sz w:val="20"/>
                <w:szCs w:val="20"/>
              </w:rPr>
            </w:pPr>
          </w:p>
        </w:tc>
        <w:tc>
          <w:tcPr>
            <w:tcW w:w="50" w:type="pct"/>
            <w:vAlign w:val="center"/>
            <w:hideMark/>
          </w:tcPr>
          <w:p w14:paraId="5C7F4456" w14:textId="77777777" w:rsidR="00000000" w:rsidRDefault="00195E73">
            <w:pPr>
              <w:rPr>
                <w:rFonts w:eastAsia="Times New Roman"/>
                <w:sz w:val="20"/>
                <w:szCs w:val="20"/>
              </w:rPr>
            </w:pPr>
          </w:p>
        </w:tc>
        <w:tc>
          <w:tcPr>
            <w:tcW w:w="633" w:type="pct"/>
            <w:vAlign w:val="center"/>
            <w:hideMark/>
          </w:tcPr>
          <w:p w14:paraId="196D8FA8" w14:textId="77777777" w:rsidR="00000000" w:rsidRDefault="00195E73">
            <w:pPr>
              <w:rPr>
                <w:rFonts w:eastAsia="Times New Roman"/>
                <w:sz w:val="20"/>
                <w:szCs w:val="20"/>
              </w:rPr>
            </w:pPr>
          </w:p>
        </w:tc>
        <w:tc>
          <w:tcPr>
            <w:tcW w:w="50" w:type="pct"/>
            <w:vAlign w:val="center"/>
            <w:hideMark/>
          </w:tcPr>
          <w:p w14:paraId="1B2CCF8A" w14:textId="77777777" w:rsidR="00000000" w:rsidRDefault="00195E73">
            <w:pPr>
              <w:rPr>
                <w:rFonts w:eastAsia="Times New Roman"/>
                <w:sz w:val="20"/>
                <w:szCs w:val="20"/>
              </w:rPr>
            </w:pPr>
          </w:p>
        </w:tc>
      </w:tr>
      <w:tr w:rsidR="00000000" w14:paraId="12A7E5E6" w14:textId="77777777">
        <w:trPr>
          <w:divId w:val="1948268054"/>
          <w:jc w:val="center"/>
        </w:trPr>
        <w:tc>
          <w:tcPr>
            <w:tcW w:w="0" w:type="auto"/>
            <w:gridSpan w:val="3"/>
            <w:tcMar>
              <w:top w:w="15" w:type="dxa"/>
              <w:left w:w="20" w:type="dxa"/>
              <w:bottom w:w="15" w:type="dxa"/>
              <w:right w:w="20" w:type="dxa"/>
            </w:tcMar>
            <w:vAlign w:val="bottom"/>
            <w:hideMark/>
          </w:tcPr>
          <w:p w14:paraId="4797ABBD"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20A45265"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5AF9B346" w14:textId="77777777" w:rsidR="00000000" w:rsidRDefault="00195E73">
            <w:pPr>
              <w:jc w:val="center"/>
              <w:rPr>
                <w:rFonts w:eastAsia="Times New Roman"/>
              </w:rPr>
            </w:pPr>
          </w:p>
        </w:tc>
        <w:tc>
          <w:tcPr>
            <w:tcW w:w="0" w:type="auto"/>
            <w:gridSpan w:val="3"/>
            <w:vAlign w:val="center"/>
            <w:hideMark/>
          </w:tcPr>
          <w:p w14:paraId="385F6251" w14:textId="77777777" w:rsidR="00000000" w:rsidRDefault="00195E73">
            <w:pPr>
              <w:rPr>
                <w:rFonts w:eastAsia="Times New Roman"/>
                <w:sz w:val="20"/>
                <w:szCs w:val="20"/>
              </w:rPr>
            </w:pPr>
          </w:p>
        </w:tc>
        <w:tc>
          <w:tcPr>
            <w:tcW w:w="0" w:type="auto"/>
            <w:gridSpan w:val="3"/>
            <w:vAlign w:val="center"/>
            <w:hideMark/>
          </w:tcPr>
          <w:p w14:paraId="3E4B87C1" w14:textId="77777777" w:rsidR="00000000" w:rsidRDefault="00195E73">
            <w:pPr>
              <w:rPr>
                <w:rFonts w:eastAsia="Times New Roman"/>
                <w:sz w:val="20"/>
                <w:szCs w:val="20"/>
              </w:rPr>
            </w:pPr>
          </w:p>
        </w:tc>
        <w:tc>
          <w:tcPr>
            <w:tcW w:w="0" w:type="auto"/>
            <w:gridSpan w:val="3"/>
            <w:vAlign w:val="center"/>
            <w:hideMark/>
          </w:tcPr>
          <w:p w14:paraId="72A3D825" w14:textId="77777777" w:rsidR="00000000" w:rsidRDefault="00195E73">
            <w:pPr>
              <w:rPr>
                <w:rFonts w:eastAsia="Times New Roman"/>
                <w:sz w:val="20"/>
                <w:szCs w:val="20"/>
              </w:rPr>
            </w:pPr>
          </w:p>
        </w:tc>
      </w:tr>
      <w:tr w:rsidR="00000000" w14:paraId="42ABA295" w14:textId="77777777">
        <w:trPr>
          <w:divId w:val="1948268054"/>
          <w:jc w:val="center"/>
        </w:trPr>
        <w:tc>
          <w:tcPr>
            <w:tcW w:w="0" w:type="auto"/>
            <w:gridSpan w:val="3"/>
            <w:tcMar>
              <w:top w:w="30" w:type="dxa"/>
              <w:left w:w="20" w:type="dxa"/>
              <w:bottom w:w="30" w:type="dxa"/>
              <w:right w:w="20" w:type="dxa"/>
            </w:tcMar>
            <w:vAlign w:val="bottom"/>
            <w:hideMark/>
          </w:tcPr>
          <w:p w14:paraId="4E2B761B" w14:textId="77777777" w:rsidR="00000000" w:rsidRDefault="00195E73">
            <w:pPr>
              <w:rPr>
                <w:rFonts w:eastAsia="Times New Roman"/>
              </w:rPr>
            </w:pPr>
            <w:r>
              <w:rPr>
                <w:rFonts w:eastAsia="Times New Roman"/>
                <w:b/>
                <w:bCs/>
                <w:color w:val="000000"/>
                <w:sz w:val="16"/>
                <w:szCs w:val="16"/>
              </w:rPr>
              <w:t> </w:t>
            </w: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745EC392"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7281A91A"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414E64"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2B694D9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1D245B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7AC854BD" w14:textId="77777777" w:rsidR="00000000" w:rsidRDefault="00195E73">
            <w:pPr>
              <w:rPr>
                <w:rFonts w:eastAsia="Times New Roman"/>
                <w:sz w:val="20"/>
                <w:szCs w:val="20"/>
              </w:rPr>
            </w:pPr>
          </w:p>
        </w:tc>
        <w:tc>
          <w:tcPr>
            <w:tcW w:w="0" w:type="auto"/>
            <w:vAlign w:val="center"/>
            <w:hideMark/>
          </w:tcPr>
          <w:p w14:paraId="7267D4C4" w14:textId="77777777" w:rsidR="00000000" w:rsidRDefault="00195E73">
            <w:pPr>
              <w:rPr>
                <w:rFonts w:eastAsia="Times New Roman"/>
                <w:sz w:val="20"/>
                <w:szCs w:val="20"/>
              </w:rPr>
            </w:pPr>
          </w:p>
        </w:tc>
        <w:tc>
          <w:tcPr>
            <w:tcW w:w="0" w:type="auto"/>
            <w:vAlign w:val="center"/>
            <w:hideMark/>
          </w:tcPr>
          <w:p w14:paraId="145A4896" w14:textId="77777777" w:rsidR="00000000" w:rsidRDefault="00195E73">
            <w:pPr>
              <w:rPr>
                <w:rFonts w:eastAsia="Times New Roman"/>
                <w:sz w:val="20"/>
                <w:szCs w:val="20"/>
              </w:rPr>
            </w:pPr>
          </w:p>
        </w:tc>
        <w:tc>
          <w:tcPr>
            <w:tcW w:w="0" w:type="auto"/>
            <w:vAlign w:val="center"/>
            <w:hideMark/>
          </w:tcPr>
          <w:p w14:paraId="669F4CD3" w14:textId="77777777" w:rsidR="00000000" w:rsidRDefault="00195E73">
            <w:pPr>
              <w:rPr>
                <w:rFonts w:eastAsia="Times New Roman"/>
                <w:sz w:val="20"/>
                <w:szCs w:val="20"/>
              </w:rPr>
            </w:pPr>
          </w:p>
        </w:tc>
        <w:tc>
          <w:tcPr>
            <w:tcW w:w="0" w:type="auto"/>
            <w:vAlign w:val="center"/>
            <w:hideMark/>
          </w:tcPr>
          <w:p w14:paraId="08532C8C" w14:textId="77777777" w:rsidR="00000000" w:rsidRDefault="00195E73">
            <w:pPr>
              <w:rPr>
                <w:rFonts w:eastAsia="Times New Roman"/>
                <w:sz w:val="20"/>
                <w:szCs w:val="20"/>
              </w:rPr>
            </w:pPr>
          </w:p>
        </w:tc>
        <w:tc>
          <w:tcPr>
            <w:tcW w:w="0" w:type="auto"/>
            <w:vAlign w:val="center"/>
            <w:hideMark/>
          </w:tcPr>
          <w:p w14:paraId="79E0ADEE" w14:textId="77777777" w:rsidR="00000000" w:rsidRDefault="00195E73">
            <w:pPr>
              <w:rPr>
                <w:rFonts w:eastAsia="Times New Roman"/>
                <w:sz w:val="20"/>
                <w:szCs w:val="20"/>
              </w:rPr>
            </w:pPr>
          </w:p>
        </w:tc>
        <w:tc>
          <w:tcPr>
            <w:tcW w:w="0" w:type="auto"/>
            <w:vAlign w:val="center"/>
            <w:hideMark/>
          </w:tcPr>
          <w:p w14:paraId="3B7D70B5" w14:textId="77777777" w:rsidR="00000000" w:rsidRDefault="00195E73">
            <w:pPr>
              <w:rPr>
                <w:rFonts w:eastAsia="Times New Roman"/>
                <w:sz w:val="20"/>
                <w:szCs w:val="20"/>
              </w:rPr>
            </w:pPr>
          </w:p>
        </w:tc>
        <w:tc>
          <w:tcPr>
            <w:tcW w:w="0" w:type="auto"/>
            <w:vAlign w:val="center"/>
            <w:hideMark/>
          </w:tcPr>
          <w:p w14:paraId="5659A34C" w14:textId="77777777" w:rsidR="00000000" w:rsidRDefault="00195E73">
            <w:pPr>
              <w:rPr>
                <w:rFonts w:eastAsia="Times New Roman"/>
                <w:sz w:val="20"/>
                <w:szCs w:val="20"/>
              </w:rPr>
            </w:pPr>
          </w:p>
        </w:tc>
        <w:tc>
          <w:tcPr>
            <w:tcW w:w="0" w:type="auto"/>
            <w:vAlign w:val="center"/>
            <w:hideMark/>
          </w:tcPr>
          <w:p w14:paraId="47DA88C1" w14:textId="77777777" w:rsidR="00000000" w:rsidRDefault="00195E73">
            <w:pPr>
              <w:rPr>
                <w:rFonts w:eastAsia="Times New Roman"/>
                <w:sz w:val="20"/>
                <w:szCs w:val="20"/>
              </w:rPr>
            </w:pPr>
          </w:p>
        </w:tc>
        <w:tc>
          <w:tcPr>
            <w:tcW w:w="0" w:type="auto"/>
            <w:vAlign w:val="center"/>
            <w:hideMark/>
          </w:tcPr>
          <w:p w14:paraId="25BD2E67" w14:textId="77777777" w:rsidR="00000000" w:rsidRDefault="00195E73">
            <w:pPr>
              <w:rPr>
                <w:rFonts w:eastAsia="Times New Roman"/>
                <w:sz w:val="20"/>
                <w:szCs w:val="20"/>
              </w:rPr>
            </w:pPr>
          </w:p>
        </w:tc>
        <w:tc>
          <w:tcPr>
            <w:tcW w:w="0" w:type="auto"/>
            <w:vAlign w:val="center"/>
            <w:hideMark/>
          </w:tcPr>
          <w:p w14:paraId="65A9FA89" w14:textId="77777777" w:rsidR="00000000" w:rsidRDefault="00195E73">
            <w:pPr>
              <w:rPr>
                <w:rFonts w:eastAsia="Times New Roman"/>
                <w:sz w:val="20"/>
                <w:szCs w:val="20"/>
              </w:rPr>
            </w:pPr>
          </w:p>
        </w:tc>
        <w:tc>
          <w:tcPr>
            <w:tcW w:w="0" w:type="auto"/>
            <w:vAlign w:val="center"/>
            <w:hideMark/>
          </w:tcPr>
          <w:p w14:paraId="44FD40CC" w14:textId="77777777" w:rsidR="00000000" w:rsidRDefault="00195E73">
            <w:pPr>
              <w:rPr>
                <w:rFonts w:eastAsia="Times New Roman"/>
                <w:sz w:val="20"/>
                <w:szCs w:val="20"/>
              </w:rPr>
            </w:pPr>
          </w:p>
        </w:tc>
      </w:tr>
      <w:tr w:rsidR="00000000" w14:paraId="09EDD5F5" w14:textId="77777777">
        <w:trPr>
          <w:divId w:val="1948268054"/>
          <w:jc w:val="center"/>
        </w:trPr>
        <w:tc>
          <w:tcPr>
            <w:tcW w:w="0" w:type="auto"/>
            <w:gridSpan w:val="3"/>
            <w:tcMar>
              <w:top w:w="15" w:type="dxa"/>
              <w:left w:w="20" w:type="dxa"/>
              <w:bottom w:w="15" w:type="dxa"/>
              <w:right w:w="20" w:type="dxa"/>
            </w:tcMar>
            <w:vAlign w:val="bottom"/>
            <w:hideMark/>
          </w:tcPr>
          <w:p w14:paraId="4D890B1D"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D7C4156"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42E34600" w14:textId="77777777" w:rsidR="00000000" w:rsidRDefault="00195E73">
            <w:pPr>
              <w:jc w:val="center"/>
              <w:rPr>
                <w:rFonts w:eastAsia="Times New Roman"/>
              </w:rPr>
            </w:pPr>
          </w:p>
        </w:tc>
        <w:tc>
          <w:tcPr>
            <w:tcW w:w="0" w:type="auto"/>
            <w:gridSpan w:val="3"/>
            <w:vAlign w:val="center"/>
            <w:hideMark/>
          </w:tcPr>
          <w:p w14:paraId="24014BF6" w14:textId="77777777" w:rsidR="00000000" w:rsidRDefault="00195E73">
            <w:pPr>
              <w:rPr>
                <w:rFonts w:eastAsia="Times New Roman"/>
                <w:sz w:val="20"/>
                <w:szCs w:val="20"/>
              </w:rPr>
            </w:pPr>
          </w:p>
        </w:tc>
        <w:tc>
          <w:tcPr>
            <w:tcW w:w="0" w:type="auto"/>
            <w:gridSpan w:val="3"/>
            <w:vAlign w:val="center"/>
            <w:hideMark/>
          </w:tcPr>
          <w:p w14:paraId="60CBEDAA" w14:textId="77777777" w:rsidR="00000000" w:rsidRDefault="00195E73">
            <w:pPr>
              <w:rPr>
                <w:rFonts w:eastAsia="Times New Roman"/>
                <w:sz w:val="20"/>
                <w:szCs w:val="20"/>
              </w:rPr>
            </w:pPr>
          </w:p>
        </w:tc>
        <w:tc>
          <w:tcPr>
            <w:tcW w:w="0" w:type="auto"/>
            <w:gridSpan w:val="3"/>
            <w:vAlign w:val="center"/>
            <w:hideMark/>
          </w:tcPr>
          <w:p w14:paraId="0A696FAC" w14:textId="77777777" w:rsidR="00000000" w:rsidRDefault="00195E73">
            <w:pPr>
              <w:rPr>
                <w:rFonts w:eastAsia="Times New Roman"/>
                <w:sz w:val="20"/>
                <w:szCs w:val="20"/>
              </w:rPr>
            </w:pPr>
          </w:p>
        </w:tc>
      </w:tr>
      <w:tr w:rsidR="00000000" w14:paraId="2CFEBE55" w14:textId="77777777">
        <w:trPr>
          <w:divId w:val="1948268054"/>
          <w:jc w:val="center"/>
        </w:trPr>
        <w:tc>
          <w:tcPr>
            <w:tcW w:w="0" w:type="auto"/>
            <w:gridSpan w:val="3"/>
            <w:tcMar>
              <w:top w:w="30" w:type="dxa"/>
              <w:left w:w="20" w:type="dxa"/>
              <w:bottom w:w="30" w:type="dxa"/>
              <w:right w:w="20" w:type="dxa"/>
            </w:tcMar>
            <w:vAlign w:val="bottom"/>
            <w:hideMark/>
          </w:tcPr>
          <w:p w14:paraId="0435BB86" w14:textId="77777777" w:rsidR="00000000" w:rsidRDefault="00195E73">
            <w:pPr>
              <w:rPr>
                <w:rFonts w:eastAsia="Times New Roman"/>
              </w:rPr>
            </w:pPr>
            <w:r>
              <w:rPr>
                <w:rFonts w:eastAsia="Times New Roman"/>
                <w:color w:val="000000"/>
                <w:sz w:val="20"/>
                <w:szCs w:val="20"/>
              </w:rPr>
              <w:t>Current</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1C67BAE8"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527A04BC" w14:textId="77777777" w:rsidR="00000000" w:rsidRDefault="00195E73">
            <w:pPr>
              <w:jc w:val="right"/>
              <w:rPr>
                <w:rFonts w:eastAsia="Times New Roman"/>
              </w:rPr>
            </w:pPr>
          </w:p>
        </w:tc>
        <w:tc>
          <w:tcPr>
            <w:tcW w:w="0" w:type="auto"/>
            <w:gridSpan w:val="3"/>
            <w:tcMar>
              <w:top w:w="30" w:type="dxa"/>
              <w:left w:w="20" w:type="dxa"/>
              <w:bottom w:w="30" w:type="dxa"/>
              <w:right w:w="20" w:type="dxa"/>
            </w:tcMar>
            <w:vAlign w:val="bottom"/>
            <w:hideMark/>
          </w:tcPr>
          <w:p w14:paraId="2E1491D1"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662AB98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1BFECF"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D0AF65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899F2E0" w14:textId="77777777" w:rsidR="00000000" w:rsidRDefault="00195E73">
            <w:pPr>
              <w:rPr>
                <w:rFonts w:eastAsia="Times New Roman"/>
                <w:sz w:val="20"/>
                <w:szCs w:val="20"/>
              </w:rPr>
            </w:pPr>
          </w:p>
        </w:tc>
        <w:tc>
          <w:tcPr>
            <w:tcW w:w="0" w:type="auto"/>
            <w:vAlign w:val="center"/>
            <w:hideMark/>
          </w:tcPr>
          <w:p w14:paraId="550751D7" w14:textId="77777777" w:rsidR="00000000" w:rsidRDefault="00195E73">
            <w:pPr>
              <w:rPr>
                <w:rFonts w:eastAsia="Times New Roman"/>
                <w:sz w:val="20"/>
                <w:szCs w:val="20"/>
              </w:rPr>
            </w:pPr>
          </w:p>
        </w:tc>
        <w:tc>
          <w:tcPr>
            <w:tcW w:w="0" w:type="auto"/>
            <w:vAlign w:val="center"/>
            <w:hideMark/>
          </w:tcPr>
          <w:p w14:paraId="14DB967A" w14:textId="77777777" w:rsidR="00000000" w:rsidRDefault="00195E73">
            <w:pPr>
              <w:rPr>
                <w:rFonts w:eastAsia="Times New Roman"/>
                <w:sz w:val="20"/>
                <w:szCs w:val="20"/>
              </w:rPr>
            </w:pPr>
          </w:p>
        </w:tc>
        <w:tc>
          <w:tcPr>
            <w:tcW w:w="0" w:type="auto"/>
            <w:vAlign w:val="center"/>
            <w:hideMark/>
          </w:tcPr>
          <w:p w14:paraId="472872FA" w14:textId="77777777" w:rsidR="00000000" w:rsidRDefault="00195E73">
            <w:pPr>
              <w:rPr>
                <w:rFonts w:eastAsia="Times New Roman"/>
                <w:sz w:val="20"/>
                <w:szCs w:val="20"/>
              </w:rPr>
            </w:pPr>
          </w:p>
        </w:tc>
        <w:tc>
          <w:tcPr>
            <w:tcW w:w="0" w:type="auto"/>
            <w:vAlign w:val="center"/>
            <w:hideMark/>
          </w:tcPr>
          <w:p w14:paraId="75CFC48C" w14:textId="77777777" w:rsidR="00000000" w:rsidRDefault="00195E73">
            <w:pPr>
              <w:rPr>
                <w:rFonts w:eastAsia="Times New Roman"/>
                <w:sz w:val="20"/>
                <w:szCs w:val="20"/>
              </w:rPr>
            </w:pPr>
          </w:p>
        </w:tc>
        <w:tc>
          <w:tcPr>
            <w:tcW w:w="0" w:type="auto"/>
            <w:vAlign w:val="center"/>
            <w:hideMark/>
          </w:tcPr>
          <w:p w14:paraId="3EB425FF" w14:textId="77777777" w:rsidR="00000000" w:rsidRDefault="00195E73">
            <w:pPr>
              <w:rPr>
                <w:rFonts w:eastAsia="Times New Roman"/>
                <w:sz w:val="20"/>
                <w:szCs w:val="20"/>
              </w:rPr>
            </w:pPr>
          </w:p>
        </w:tc>
        <w:tc>
          <w:tcPr>
            <w:tcW w:w="0" w:type="auto"/>
            <w:vAlign w:val="center"/>
            <w:hideMark/>
          </w:tcPr>
          <w:p w14:paraId="20227A49" w14:textId="77777777" w:rsidR="00000000" w:rsidRDefault="00195E73">
            <w:pPr>
              <w:rPr>
                <w:rFonts w:eastAsia="Times New Roman"/>
                <w:sz w:val="20"/>
                <w:szCs w:val="20"/>
              </w:rPr>
            </w:pPr>
          </w:p>
        </w:tc>
        <w:tc>
          <w:tcPr>
            <w:tcW w:w="0" w:type="auto"/>
            <w:vAlign w:val="center"/>
            <w:hideMark/>
          </w:tcPr>
          <w:p w14:paraId="65BA0368" w14:textId="77777777" w:rsidR="00000000" w:rsidRDefault="00195E73">
            <w:pPr>
              <w:rPr>
                <w:rFonts w:eastAsia="Times New Roman"/>
                <w:sz w:val="20"/>
                <w:szCs w:val="20"/>
              </w:rPr>
            </w:pPr>
          </w:p>
        </w:tc>
        <w:tc>
          <w:tcPr>
            <w:tcW w:w="0" w:type="auto"/>
            <w:vAlign w:val="center"/>
            <w:hideMark/>
          </w:tcPr>
          <w:p w14:paraId="2C219229" w14:textId="77777777" w:rsidR="00000000" w:rsidRDefault="00195E73">
            <w:pPr>
              <w:rPr>
                <w:rFonts w:eastAsia="Times New Roman"/>
                <w:sz w:val="20"/>
                <w:szCs w:val="20"/>
              </w:rPr>
            </w:pPr>
          </w:p>
        </w:tc>
        <w:tc>
          <w:tcPr>
            <w:tcW w:w="0" w:type="auto"/>
            <w:vAlign w:val="center"/>
            <w:hideMark/>
          </w:tcPr>
          <w:p w14:paraId="1EF0FF85" w14:textId="77777777" w:rsidR="00000000" w:rsidRDefault="00195E73">
            <w:pPr>
              <w:rPr>
                <w:rFonts w:eastAsia="Times New Roman"/>
                <w:sz w:val="20"/>
                <w:szCs w:val="20"/>
              </w:rPr>
            </w:pPr>
          </w:p>
        </w:tc>
        <w:tc>
          <w:tcPr>
            <w:tcW w:w="0" w:type="auto"/>
            <w:vAlign w:val="center"/>
            <w:hideMark/>
          </w:tcPr>
          <w:p w14:paraId="1E8755E1" w14:textId="77777777" w:rsidR="00000000" w:rsidRDefault="00195E73">
            <w:pPr>
              <w:rPr>
                <w:rFonts w:eastAsia="Times New Roman"/>
                <w:sz w:val="20"/>
                <w:szCs w:val="20"/>
              </w:rPr>
            </w:pPr>
          </w:p>
        </w:tc>
        <w:tc>
          <w:tcPr>
            <w:tcW w:w="0" w:type="auto"/>
            <w:vAlign w:val="center"/>
            <w:hideMark/>
          </w:tcPr>
          <w:p w14:paraId="48F653EE" w14:textId="77777777" w:rsidR="00000000" w:rsidRDefault="00195E73">
            <w:pPr>
              <w:rPr>
                <w:rFonts w:eastAsia="Times New Roman"/>
                <w:sz w:val="20"/>
                <w:szCs w:val="20"/>
              </w:rPr>
            </w:pPr>
          </w:p>
        </w:tc>
      </w:tr>
      <w:tr w:rsidR="00000000" w14:paraId="7DFB2EDC" w14:textId="77777777">
        <w:trPr>
          <w:divId w:val="1948268054"/>
          <w:jc w:val="center"/>
        </w:trPr>
        <w:tc>
          <w:tcPr>
            <w:tcW w:w="0" w:type="auto"/>
            <w:gridSpan w:val="3"/>
            <w:shd w:val="clear" w:color="auto" w:fill="CCEEFF"/>
            <w:tcMar>
              <w:top w:w="30" w:type="dxa"/>
              <w:left w:w="180" w:type="dxa"/>
              <w:bottom w:w="30" w:type="dxa"/>
              <w:right w:w="20" w:type="dxa"/>
            </w:tcMar>
            <w:vAlign w:val="bottom"/>
            <w:hideMark/>
          </w:tcPr>
          <w:p w14:paraId="43D899CC" w14:textId="77777777" w:rsidR="00000000" w:rsidRDefault="00195E73">
            <w:pPr>
              <w:rPr>
                <w:rFonts w:eastAsia="Times New Roman"/>
              </w:rPr>
            </w:pPr>
            <w:r>
              <w:rPr>
                <w:rFonts w:eastAsia="Times New Roman"/>
                <w:color w:val="000000"/>
                <w:sz w:val="20"/>
                <w:szCs w:val="20"/>
              </w:rPr>
              <w:t>Domesti</w:t>
            </w:r>
            <w:r>
              <w:rPr>
                <w:rFonts w:eastAsia="Times New Roman"/>
                <w:color w:val="000000"/>
                <w:sz w:val="20"/>
                <w:szCs w:val="20"/>
              </w:rPr>
              <w:t>c</w:t>
            </w:r>
          </w:p>
        </w:tc>
        <w:tc>
          <w:tcPr>
            <w:tcW w:w="0" w:type="auto"/>
            <w:shd w:val="clear" w:color="auto" w:fill="CCEEFF"/>
            <w:tcMar>
              <w:top w:w="30" w:type="dxa"/>
              <w:left w:w="20" w:type="dxa"/>
              <w:bottom w:w="30" w:type="dxa"/>
              <w:right w:w="15" w:type="dxa"/>
            </w:tcMar>
            <w:vAlign w:val="bottom"/>
            <w:hideMark/>
          </w:tcPr>
          <w:p w14:paraId="6790F58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F294F9B" w14:textId="77777777" w:rsidR="00000000" w:rsidRDefault="00195E73">
            <w:pPr>
              <w:jc w:val="right"/>
              <w:rPr>
                <w:rFonts w:eastAsia="Times New Roman"/>
              </w:rPr>
            </w:pPr>
            <w:r>
              <w:rPr>
                <w:rFonts w:eastAsia="Times New Roman"/>
                <w:color w:val="000000"/>
                <w:sz w:val="20"/>
                <w:szCs w:val="20"/>
              </w:rPr>
              <w:t>(106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EDFD34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BB9798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577F9F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6BE9031" w14:textId="77777777" w:rsidR="00000000" w:rsidRDefault="00195E73">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7AE78A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B5751C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FE8C7C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0444B8B" w14:textId="77777777" w:rsidR="00000000" w:rsidRDefault="00195E73">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7130D2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0ED76F4" w14:textId="77777777" w:rsidR="00000000" w:rsidRDefault="00195E73">
            <w:pPr>
              <w:rPr>
                <w:rFonts w:eastAsia="Times New Roman"/>
                <w:sz w:val="20"/>
                <w:szCs w:val="20"/>
              </w:rPr>
            </w:pPr>
          </w:p>
        </w:tc>
        <w:tc>
          <w:tcPr>
            <w:tcW w:w="0" w:type="auto"/>
            <w:vAlign w:val="center"/>
            <w:hideMark/>
          </w:tcPr>
          <w:p w14:paraId="30F92EEE" w14:textId="77777777" w:rsidR="00000000" w:rsidRDefault="00195E73">
            <w:pPr>
              <w:rPr>
                <w:rFonts w:eastAsia="Times New Roman"/>
                <w:sz w:val="20"/>
                <w:szCs w:val="20"/>
              </w:rPr>
            </w:pPr>
          </w:p>
        </w:tc>
        <w:tc>
          <w:tcPr>
            <w:tcW w:w="0" w:type="auto"/>
            <w:vAlign w:val="center"/>
            <w:hideMark/>
          </w:tcPr>
          <w:p w14:paraId="628A3474" w14:textId="77777777" w:rsidR="00000000" w:rsidRDefault="00195E73">
            <w:pPr>
              <w:rPr>
                <w:rFonts w:eastAsia="Times New Roman"/>
                <w:sz w:val="20"/>
                <w:szCs w:val="20"/>
              </w:rPr>
            </w:pPr>
          </w:p>
        </w:tc>
        <w:tc>
          <w:tcPr>
            <w:tcW w:w="0" w:type="auto"/>
            <w:vAlign w:val="center"/>
            <w:hideMark/>
          </w:tcPr>
          <w:p w14:paraId="6B0B433B" w14:textId="77777777" w:rsidR="00000000" w:rsidRDefault="00195E73">
            <w:pPr>
              <w:rPr>
                <w:rFonts w:eastAsia="Times New Roman"/>
                <w:sz w:val="20"/>
                <w:szCs w:val="20"/>
              </w:rPr>
            </w:pPr>
          </w:p>
        </w:tc>
        <w:tc>
          <w:tcPr>
            <w:tcW w:w="0" w:type="auto"/>
            <w:vAlign w:val="center"/>
            <w:hideMark/>
          </w:tcPr>
          <w:p w14:paraId="2A1F24F9" w14:textId="77777777" w:rsidR="00000000" w:rsidRDefault="00195E73">
            <w:pPr>
              <w:rPr>
                <w:rFonts w:eastAsia="Times New Roman"/>
                <w:sz w:val="20"/>
                <w:szCs w:val="20"/>
              </w:rPr>
            </w:pPr>
          </w:p>
        </w:tc>
        <w:tc>
          <w:tcPr>
            <w:tcW w:w="0" w:type="auto"/>
            <w:vAlign w:val="center"/>
            <w:hideMark/>
          </w:tcPr>
          <w:p w14:paraId="07DA25B9" w14:textId="77777777" w:rsidR="00000000" w:rsidRDefault="00195E73">
            <w:pPr>
              <w:rPr>
                <w:rFonts w:eastAsia="Times New Roman"/>
                <w:sz w:val="20"/>
                <w:szCs w:val="20"/>
              </w:rPr>
            </w:pPr>
          </w:p>
        </w:tc>
        <w:tc>
          <w:tcPr>
            <w:tcW w:w="0" w:type="auto"/>
            <w:vAlign w:val="center"/>
            <w:hideMark/>
          </w:tcPr>
          <w:p w14:paraId="56E5E5B3" w14:textId="77777777" w:rsidR="00000000" w:rsidRDefault="00195E73">
            <w:pPr>
              <w:rPr>
                <w:rFonts w:eastAsia="Times New Roman"/>
                <w:sz w:val="20"/>
                <w:szCs w:val="20"/>
              </w:rPr>
            </w:pPr>
          </w:p>
        </w:tc>
        <w:tc>
          <w:tcPr>
            <w:tcW w:w="0" w:type="auto"/>
            <w:vAlign w:val="center"/>
            <w:hideMark/>
          </w:tcPr>
          <w:p w14:paraId="4CA9E668" w14:textId="77777777" w:rsidR="00000000" w:rsidRDefault="00195E73">
            <w:pPr>
              <w:rPr>
                <w:rFonts w:eastAsia="Times New Roman"/>
                <w:sz w:val="20"/>
                <w:szCs w:val="20"/>
              </w:rPr>
            </w:pPr>
          </w:p>
        </w:tc>
        <w:tc>
          <w:tcPr>
            <w:tcW w:w="0" w:type="auto"/>
            <w:vAlign w:val="center"/>
            <w:hideMark/>
          </w:tcPr>
          <w:p w14:paraId="2CF91094" w14:textId="77777777" w:rsidR="00000000" w:rsidRDefault="00195E73">
            <w:pPr>
              <w:rPr>
                <w:rFonts w:eastAsia="Times New Roman"/>
                <w:sz w:val="20"/>
                <w:szCs w:val="20"/>
              </w:rPr>
            </w:pPr>
          </w:p>
        </w:tc>
        <w:tc>
          <w:tcPr>
            <w:tcW w:w="0" w:type="auto"/>
            <w:vAlign w:val="center"/>
            <w:hideMark/>
          </w:tcPr>
          <w:p w14:paraId="69FDCDB6" w14:textId="77777777" w:rsidR="00000000" w:rsidRDefault="00195E73">
            <w:pPr>
              <w:rPr>
                <w:rFonts w:eastAsia="Times New Roman"/>
                <w:sz w:val="20"/>
                <w:szCs w:val="20"/>
              </w:rPr>
            </w:pPr>
          </w:p>
        </w:tc>
        <w:tc>
          <w:tcPr>
            <w:tcW w:w="0" w:type="auto"/>
            <w:vAlign w:val="center"/>
            <w:hideMark/>
          </w:tcPr>
          <w:p w14:paraId="48C9B80D" w14:textId="77777777" w:rsidR="00000000" w:rsidRDefault="00195E73">
            <w:pPr>
              <w:rPr>
                <w:rFonts w:eastAsia="Times New Roman"/>
                <w:sz w:val="20"/>
                <w:szCs w:val="20"/>
              </w:rPr>
            </w:pPr>
          </w:p>
        </w:tc>
        <w:tc>
          <w:tcPr>
            <w:tcW w:w="0" w:type="auto"/>
            <w:vAlign w:val="center"/>
            <w:hideMark/>
          </w:tcPr>
          <w:p w14:paraId="7DA6AB01" w14:textId="77777777" w:rsidR="00000000" w:rsidRDefault="00195E73">
            <w:pPr>
              <w:rPr>
                <w:rFonts w:eastAsia="Times New Roman"/>
                <w:sz w:val="20"/>
                <w:szCs w:val="20"/>
              </w:rPr>
            </w:pPr>
          </w:p>
        </w:tc>
      </w:tr>
      <w:tr w:rsidR="00000000" w14:paraId="4BC1A927" w14:textId="77777777">
        <w:trPr>
          <w:divId w:val="1948268054"/>
          <w:jc w:val="center"/>
        </w:trPr>
        <w:tc>
          <w:tcPr>
            <w:tcW w:w="0" w:type="auto"/>
            <w:gridSpan w:val="3"/>
            <w:shd w:val="clear" w:color="auto" w:fill="FFFFFF"/>
            <w:tcMar>
              <w:top w:w="30" w:type="dxa"/>
              <w:left w:w="180" w:type="dxa"/>
              <w:bottom w:w="30" w:type="dxa"/>
              <w:right w:w="20" w:type="dxa"/>
            </w:tcMar>
            <w:vAlign w:val="bottom"/>
            <w:hideMark/>
          </w:tcPr>
          <w:p w14:paraId="2841A489" w14:textId="77777777" w:rsidR="00000000" w:rsidRDefault="00195E73">
            <w:pPr>
              <w:rPr>
                <w:rFonts w:eastAsia="Times New Roman"/>
              </w:rPr>
            </w:pPr>
            <w:r>
              <w:rPr>
                <w:rFonts w:eastAsia="Times New Roman"/>
                <w:color w:val="000000"/>
                <w:sz w:val="20"/>
                <w:szCs w:val="20"/>
              </w:rPr>
              <w:t>Internationa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14:paraId="7951E3EC"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5A1D1D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BFCF25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E8B788"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7D5DFC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2F5D8F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922EA4" w14:textId="77777777" w:rsidR="00000000" w:rsidRDefault="00195E73">
            <w:pPr>
              <w:jc w:val="right"/>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F13FD0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CDFD3C2" w14:textId="77777777" w:rsidR="00000000" w:rsidRDefault="00195E73">
            <w:pPr>
              <w:rPr>
                <w:rFonts w:eastAsia="Times New Roman"/>
                <w:sz w:val="20"/>
                <w:szCs w:val="20"/>
              </w:rPr>
            </w:pPr>
          </w:p>
        </w:tc>
        <w:tc>
          <w:tcPr>
            <w:tcW w:w="0" w:type="auto"/>
            <w:vAlign w:val="center"/>
            <w:hideMark/>
          </w:tcPr>
          <w:p w14:paraId="21CB92DE" w14:textId="77777777" w:rsidR="00000000" w:rsidRDefault="00195E73">
            <w:pPr>
              <w:rPr>
                <w:rFonts w:eastAsia="Times New Roman"/>
                <w:sz w:val="20"/>
                <w:szCs w:val="20"/>
              </w:rPr>
            </w:pPr>
          </w:p>
        </w:tc>
        <w:tc>
          <w:tcPr>
            <w:tcW w:w="0" w:type="auto"/>
            <w:vAlign w:val="center"/>
            <w:hideMark/>
          </w:tcPr>
          <w:p w14:paraId="19CE1CE0" w14:textId="77777777" w:rsidR="00000000" w:rsidRDefault="00195E73">
            <w:pPr>
              <w:rPr>
                <w:rFonts w:eastAsia="Times New Roman"/>
                <w:sz w:val="20"/>
                <w:szCs w:val="20"/>
              </w:rPr>
            </w:pPr>
          </w:p>
        </w:tc>
        <w:tc>
          <w:tcPr>
            <w:tcW w:w="0" w:type="auto"/>
            <w:vAlign w:val="center"/>
            <w:hideMark/>
          </w:tcPr>
          <w:p w14:paraId="13368921" w14:textId="77777777" w:rsidR="00000000" w:rsidRDefault="00195E73">
            <w:pPr>
              <w:rPr>
                <w:rFonts w:eastAsia="Times New Roman"/>
                <w:sz w:val="20"/>
                <w:szCs w:val="20"/>
              </w:rPr>
            </w:pPr>
          </w:p>
        </w:tc>
        <w:tc>
          <w:tcPr>
            <w:tcW w:w="0" w:type="auto"/>
            <w:vAlign w:val="center"/>
            <w:hideMark/>
          </w:tcPr>
          <w:p w14:paraId="2E3782F8" w14:textId="77777777" w:rsidR="00000000" w:rsidRDefault="00195E73">
            <w:pPr>
              <w:rPr>
                <w:rFonts w:eastAsia="Times New Roman"/>
                <w:sz w:val="20"/>
                <w:szCs w:val="20"/>
              </w:rPr>
            </w:pPr>
          </w:p>
        </w:tc>
        <w:tc>
          <w:tcPr>
            <w:tcW w:w="0" w:type="auto"/>
            <w:vAlign w:val="center"/>
            <w:hideMark/>
          </w:tcPr>
          <w:p w14:paraId="22A81E9D" w14:textId="77777777" w:rsidR="00000000" w:rsidRDefault="00195E73">
            <w:pPr>
              <w:rPr>
                <w:rFonts w:eastAsia="Times New Roman"/>
                <w:sz w:val="20"/>
                <w:szCs w:val="20"/>
              </w:rPr>
            </w:pPr>
          </w:p>
        </w:tc>
        <w:tc>
          <w:tcPr>
            <w:tcW w:w="0" w:type="auto"/>
            <w:vAlign w:val="center"/>
            <w:hideMark/>
          </w:tcPr>
          <w:p w14:paraId="26AB418E" w14:textId="77777777" w:rsidR="00000000" w:rsidRDefault="00195E73">
            <w:pPr>
              <w:rPr>
                <w:rFonts w:eastAsia="Times New Roman"/>
                <w:sz w:val="20"/>
                <w:szCs w:val="20"/>
              </w:rPr>
            </w:pPr>
          </w:p>
        </w:tc>
        <w:tc>
          <w:tcPr>
            <w:tcW w:w="0" w:type="auto"/>
            <w:vAlign w:val="center"/>
            <w:hideMark/>
          </w:tcPr>
          <w:p w14:paraId="12FEBA3B" w14:textId="77777777" w:rsidR="00000000" w:rsidRDefault="00195E73">
            <w:pPr>
              <w:rPr>
                <w:rFonts w:eastAsia="Times New Roman"/>
                <w:sz w:val="20"/>
                <w:szCs w:val="20"/>
              </w:rPr>
            </w:pPr>
          </w:p>
        </w:tc>
        <w:tc>
          <w:tcPr>
            <w:tcW w:w="0" w:type="auto"/>
            <w:vAlign w:val="center"/>
            <w:hideMark/>
          </w:tcPr>
          <w:p w14:paraId="513B3483" w14:textId="77777777" w:rsidR="00000000" w:rsidRDefault="00195E73">
            <w:pPr>
              <w:rPr>
                <w:rFonts w:eastAsia="Times New Roman"/>
                <w:sz w:val="20"/>
                <w:szCs w:val="20"/>
              </w:rPr>
            </w:pPr>
          </w:p>
        </w:tc>
        <w:tc>
          <w:tcPr>
            <w:tcW w:w="0" w:type="auto"/>
            <w:vAlign w:val="center"/>
            <w:hideMark/>
          </w:tcPr>
          <w:p w14:paraId="675A5F94" w14:textId="77777777" w:rsidR="00000000" w:rsidRDefault="00195E73">
            <w:pPr>
              <w:rPr>
                <w:rFonts w:eastAsia="Times New Roman"/>
                <w:sz w:val="20"/>
                <w:szCs w:val="20"/>
              </w:rPr>
            </w:pPr>
          </w:p>
        </w:tc>
        <w:tc>
          <w:tcPr>
            <w:tcW w:w="0" w:type="auto"/>
            <w:vAlign w:val="center"/>
            <w:hideMark/>
          </w:tcPr>
          <w:p w14:paraId="11119061" w14:textId="77777777" w:rsidR="00000000" w:rsidRDefault="00195E73">
            <w:pPr>
              <w:rPr>
                <w:rFonts w:eastAsia="Times New Roman"/>
                <w:sz w:val="20"/>
                <w:szCs w:val="20"/>
              </w:rPr>
            </w:pPr>
          </w:p>
        </w:tc>
        <w:tc>
          <w:tcPr>
            <w:tcW w:w="0" w:type="auto"/>
            <w:vAlign w:val="center"/>
            <w:hideMark/>
          </w:tcPr>
          <w:p w14:paraId="69DC8405" w14:textId="77777777" w:rsidR="00000000" w:rsidRDefault="00195E73">
            <w:pPr>
              <w:rPr>
                <w:rFonts w:eastAsia="Times New Roman"/>
                <w:sz w:val="20"/>
                <w:szCs w:val="20"/>
              </w:rPr>
            </w:pPr>
          </w:p>
        </w:tc>
      </w:tr>
      <w:tr w:rsidR="00000000" w14:paraId="3326FC0F" w14:textId="77777777">
        <w:trPr>
          <w:divId w:val="1948268054"/>
          <w:jc w:val="center"/>
        </w:trPr>
        <w:tc>
          <w:tcPr>
            <w:tcW w:w="0" w:type="auto"/>
            <w:gridSpan w:val="3"/>
            <w:shd w:val="clear" w:color="auto" w:fill="CCEEFF"/>
            <w:tcMar>
              <w:top w:w="30" w:type="dxa"/>
              <w:left w:w="20" w:type="dxa"/>
              <w:bottom w:w="30" w:type="dxa"/>
              <w:right w:w="20" w:type="dxa"/>
            </w:tcMar>
            <w:vAlign w:val="bottom"/>
            <w:hideMark/>
          </w:tcPr>
          <w:p w14:paraId="5F83283D" w14:textId="77777777" w:rsidR="00000000" w:rsidRDefault="00195E73">
            <w:pPr>
              <w:rPr>
                <w:rFonts w:eastAsia="Times New Roman"/>
              </w:rPr>
            </w:pPr>
            <w:r>
              <w:rPr>
                <w:rFonts w:eastAsia="Times New Roman"/>
                <w:color w:val="000000"/>
                <w:sz w:val="20"/>
                <w:szCs w:val="20"/>
              </w:rPr>
              <w:t>Total curren</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AB9BA7" w14:textId="77777777" w:rsidR="00000000" w:rsidRDefault="00195E73">
            <w:pPr>
              <w:jc w:val="right"/>
              <w:rPr>
                <w:rFonts w:eastAsia="Times New Roman"/>
              </w:rPr>
            </w:pPr>
            <w:r>
              <w:rPr>
                <w:rFonts w:eastAsia="Times New Roman"/>
                <w:color w:val="000000"/>
                <w:sz w:val="20"/>
                <w:szCs w:val="20"/>
              </w:rPr>
              <w:t>(109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37F3A4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EC4D4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5D6433" w14:textId="77777777" w:rsidR="00000000" w:rsidRDefault="00195E73">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FD9D65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3008AF8"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E00AE2" w14:textId="77777777" w:rsidR="00000000" w:rsidRDefault="00195E73">
            <w:pPr>
              <w:jc w:val="right"/>
              <w:rPr>
                <w:rFonts w:eastAsia="Times New Roman"/>
              </w:rPr>
            </w:pPr>
            <w:r>
              <w:rPr>
                <w:rFonts w:eastAsia="Times New Roman"/>
                <w:color w:val="000000"/>
                <w:sz w:val="20"/>
                <w:szCs w:val="20"/>
              </w:rPr>
              <w:t>(28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C0E622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ED97600" w14:textId="77777777" w:rsidR="00000000" w:rsidRDefault="00195E73">
            <w:pPr>
              <w:rPr>
                <w:rFonts w:eastAsia="Times New Roman"/>
                <w:sz w:val="20"/>
                <w:szCs w:val="20"/>
              </w:rPr>
            </w:pPr>
          </w:p>
        </w:tc>
        <w:tc>
          <w:tcPr>
            <w:tcW w:w="0" w:type="auto"/>
            <w:vAlign w:val="center"/>
            <w:hideMark/>
          </w:tcPr>
          <w:p w14:paraId="47909812" w14:textId="77777777" w:rsidR="00000000" w:rsidRDefault="00195E73">
            <w:pPr>
              <w:rPr>
                <w:rFonts w:eastAsia="Times New Roman"/>
                <w:sz w:val="20"/>
                <w:szCs w:val="20"/>
              </w:rPr>
            </w:pPr>
          </w:p>
        </w:tc>
        <w:tc>
          <w:tcPr>
            <w:tcW w:w="0" w:type="auto"/>
            <w:vAlign w:val="center"/>
            <w:hideMark/>
          </w:tcPr>
          <w:p w14:paraId="1126BB9D" w14:textId="77777777" w:rsidR="00000000" w:rsidRDefault="00195E73">
            <w:pPr>
              <w:rPr>
                <w:rFonts w:eastAsia="Times New Roman"/>
                <w:sz w:val="20"/>
                <w:szCs w:val="20"/>
              </w:rPr>
            </w:pPr>
          </w:p>
        </w:tc>
        <w:tc>
          <w:tcPr>
            <w:tcW w:w="0" w:type="auto"/>
            <w:vAlign w:val="center"/>
            <w:hideMark/>
          </w:tcPr>
          <w:p w14:paraId="15F83E0B" w14:textId="77777777" w:rsidR="00000000" w:rsidRDefault="00195E73">
            <w:pPr>
              <w:rPr>
                <w:rFonts w:eastAsia="Times New Roman"/>
                <w:sz w:val="20"/>
                <w:szCs w:val="20"/>
              </w:rPr>
            </w:pPr>
          </w:p>
        </w:tc>
        <w:tc>
          <w:tcPr>
            <w:tcW w:w="0" w:type="auto"/>
            <w:vAlign w:val="center"/>
            <w:hideMark/>
          </w:tcPr>
          <w:p w14:paraId="6F70F4D3" w14:textId="77777777" w:rsidR="00000000" w:rsidRDefault="00195E73">
            <w:pPr>
              <w:rPr>
                <w:rFonts w:eastAsia="Times New Roman"/>
                <w:sz w:val="20"/>
                <w:szCs w:val="20"/>
              </w:rPr>
            </w:pPr>
          </w:p>
        </w:tc>
        <w:tc>
          <w:tcPr>
            <w:tcW w:w="0" w:type="auto"/>
            <w:vAlign w:val="center"/>
            <w:hideMark/>
          </w:tcPr>
          <w:p w14:paraId="5B6D31C5" w14:textId="77777777" w:rsidR="00000000" w:rsidRDefault="00195E73">
            <w:pPr>
              <w:rPr>
                <w:rFonts w:eastAsia="Times New Roman"/>
                <w:sz w:val="20"/>
                <w:szCs w:val="20"/>
              </w:rPr>
            </w:pPr>
          </w:p>
        </w:tc>
        <w:tc>
          <w:tcPr>
            <w:tcW w:w="0" w:type="auto"/>
            <w:vAlign w:val="center"/>
            <w:hideMark/>
          </w:tcPr>
          <w:p w14:paraId="071B3ACC" w14:textId="77777777" w:rsidR="00000000" w:rsidRDefault="00195E73">
            <w:pPr>
              <w:rPr>
                <w:rFonts w:eastAsia="Times New Roman"/>
                <w:sz w:val="20"/>
                <w:szCs w:val="20"/>
              </w:rPr>
            </w:pPr>
          </w:p>
        </w:tc>
        <w:tc>
          <w:tcPr>
            <w:tcW w:w="0" w:type="auto"/>
            <w:vAlign w:val="center"/>
            <w:hideMark/>
          </w:tcPr>
          <w:p w14:paraId="3AAB4AA0" w14:textId="77777777" w:rsidR="00000000" w:rsidRDefault="00195E73">
            <w:pPr>
              <w:rPr>
                <w:rFonts w:eastAsia="Times New Roman"/>
                <w:sz w:val="20"/>
                <w:szCs w:val="20"/>
              </w:rPr>
            </w:pPr>
          </w:p>
        </w:tc>
        <w:tc>
          <w:tcPr>
            <w:tcW w:w="0" w:type="auto"/>
            <w:vAlign w:val="center"/>
            <w:hideMark/>
          </w:tcPr>
          <w:p w14:paraId="585A9D89" w14:textId="77777777" w:rsidR="00000000" w:rsidRDefault="00195E73">
            <w:pPr>
              <w:rPr>
                <w:rFonts w:eastAsia="Times New Roman"/>
                <w:sz w:val="20"/>
                <w:szCs w:val="20"/>
              </w:rPr>
            </w:pPr>
          </w:p>
        </w:tc>
        <w:tc>
          <w:tcPr>
            <w:tcW w:w="0" w:type="auto"/>
            <w:vAlign w:val="center"/>
            <w:hideMark/>
          </w:tcPr>
          <w:p w14:paraId="275A8090" w14:textId="77777777" w:rsidR="00000000" w:rsidRDefault="00195E73">
            <w:pPr>
              <w:rPr>
                <w:rFonts w:eastAsia="Times New Roman"/>
                <w:sz w:val="20"/>
                <w:szCs w:val="20"/>
              </w:rPr>
            </w:pPr>
          </w:p>
        </w:tc>
        <w:tc>
          <w:tcPr>
            <w:tcW w:w="0" w:type="auto"/>
            <w:vAlign w:val="center"/>
            <w:hideMark/>
          </w:tcPr>
          <w:p w14:paraId="5602EE73" w14:textId="77777777" w:rsidR="00000000" w:rsidRDefault="00195E73">
            <w:pPr>
              <w:rPr>
                <w:rFonts w:eastAsia="Times New Roman"/>
                <w:sz w:val="20"/>
                <w:szCs w:val="20"/>
              </w:rPr>
            </w:pPr>
          </w:p>
        </w:tc>
        <w:tc>
          <w:tcPr>
            <w:tcW w:w="0" w:type="auto"/>
            <w:vAlign w:val="center"/>
            <w:hideMark/>
          </w:tcPr>
          <w:p w14:paraId="49829F52" w14:textId="77777777" w:rsidR="00000000" w:rsidRDefault="00195E73">
            <w:pPr>
              <w:rPr>
                <w:rFonts w:eastAsia="Times New Roman"/>
                <w:sz w:val="20"/>
                <w:szCs w:val="20"/>
              </w:rPr>
            </w:pPr>
          </w:p>
        </w:tc>
      </w:tr>
      <w:tr w:rsidR="00000000" w14:paraId="28CA0DF2" w14:textId="77777777">
        <w:trPr>
          <w:divId w:val="1948268054"/>
          <w:jc w:val="center"/>
        </w:trPr>
        <w:tc>
          <w:tcPr>
            <w:tcW w:w="0" w:type="auto"/>
            <w:gridSpan w:val="3"/>
            <w:shd w:val="clear" w:color="auto" w:fill="FFFFFF"/>
            <w:tcMar>
              <w:top w:w="30" w:type="dxa"/>
              <w:left w:w="20" w:type="dxa"/>
              <w:bottom w:w="30" w:type="dxa"/>
              <w:right w:w="20" w:type="dxa"/>
            </w:tcMar>
            <w:vAlign w:val="bottom"/>
            <w:hideMark/>
          </w:tcPr>
          <w:p w14:paraId="79A09B2B" w14:textId="77777777" w:rsidR="00000000" w:rsidRDefault="00195E73">
            <w:pPr>
              <w:rPr>
                <w:rFonts w:eastAsia="Times New Roman"/>
              </w:rPr>
            </w:pPr>
            <w:r>
              <w:rPr>
                <w:rFonts w:eastAsia="Times New Roman"/>
                <w:color w:val="000000"/>
                <w:sz w:val="20"/>
                <w:szCs w:val="20"/>
              </w:rPr>
              <w:t>Deferred</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216DCB04" w14:textId="77777777" w:rsidR="00000000" w:rsidRDefault="00195E73">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C121ED0"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E34DA8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CB0DD30" w14:textId="77777777" w:rsidR="00000000" w:rsidRDefault="00195E73">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8225A58" w14:textId="77777777" w:rsidR="00000000" w:rsidRDefault="00195E73">
            <w:pPr>
              <w:rPr>
                <w:rFonts w:eastAsia="Times New Roman"/>
                <w:sz w:val="20"/>
                <w:szCs w:val="20"/>
              </w:rPr>
            </w:pPr>
          </w:p>
        </w:tc>
        <w:tc>
          <w:tcPr>
            <w:tcW w:w="0" w:type="auto"/>
            <w:vAlign w:val="center"/>
            <w:hideMark/>
          </w:tcPr>
          <w:p w14:paraId="08F0CEFE" w14:textId="77777777" w:rsidR="00000000" w:rsidRDefault="00195E73">
            <w:pPr>
              <w:rPr>
                <w:rFonts w:eastAsia="Times New Roman"/>
                <w:sz w:val="20"/>
                <w:szCs w:val="20"/>
              </w:rPr>
            </w:pPr>
          </w:p>
        </w:tc>
        <w:tc>
          <w:tcPr>
            <w:tcW w:w="0" w:type="auto"/>
            <w:vAlign w:val="center"/>
            <w:hideMark/>
          </w:tcPr>
          <w:p w14:paraId="1941A4C4" w14:textId="77777777" w:rsidR="00000000" w:rsidRDefault="00195E73">
            <w:pPr>
              <w:rPr>
                <w:rFonts w:eastAsia="Times New Roman"/>
                <w:sz w:val="20"/>
                <w:szCs w:val="20"/>
              </w:rPr>
            </w:pPr>
          </w:p>
        </w:tc>
        <w:tc>
          <w:tcPr>
            <w:tcW w:w="0" w:type="auto"/>
            <w:vAlign w:val="center"/>
            <w:hideMark/>
          </w:tcPr>
          <w:p w14:paraId="065AB96A" w14:textId="77777777" w:rsidR="00000000" w:rsidRDefault="00195E73">
            <w:pPr>
              <w:rPr>
                <w:rFonts w:eastAsia="Times New Roman"/>
                <w:sz w:val="20"/>
                <w:szCs w:val="20"/>
              </w:rPr>
            </w:pPr>
          </w:p>
        </w:tc>
        <w:tc>
          <w:tcPr>
            <w:tcW w:w="0" w:type="auto"/>
            <w:vAlign w:val="center"/>
            <w:hideMark/>
          </w:tcPr>
          <w:p w14:paraId="6187D28D" w14:textId="77777777" w:rsidR="00000000" w:rsidRDefault="00195E73">
            <w:pPr>
              <w:rPr>
                <w:rFonts w:eastAsia="Times New Roman"/>
                <w:sz w:val="20"/>
                <w:szCs w:val="20"/>
              </w:rPr>
            </w:pPr>
          </w:p>
        </w:tc>
        <w:tc>
          <w:tcPr>
            <w:tcW w:w="0" w:type="auto"/>
            <w:vAlign w:val="center"/>
            <w:hideMark/>
          </w:tcPr>
          <w:p w14:paraId="32A54A28" w14:textId="77777777" w:rsidR="00000000" w:rsidRDefault="00195E73">
            <w:pPr>
              <w:rPr>
                <w:rFonts w:eastAsia="Times New Roman"/>
                <w:sz w:val="20"/>
                <w:szCs w:val="20"/>
              </w:rPr>
            </w:pPr>
          </w:p>
        </w:tc>
        <w:tc>
          <w:tcPr>
            <w:tcW w:w="0" w:type="auto"/>
            <w:vAlign w:val="center"/>
            <w:hideMark/>
          </w:tcPr>
          <w:p w14:paraId="0A1ABFB2" w14:textId="77777777" w:rsidR="00000000" w:rsidRDefault="00195E73">
            <w:pPr>
              <w:rPr>
                <w:rFonts w:eastAsia="Times New Roman"/>
                <w:sz w:val="20"/>
                <w:szCs w:val="20"/>
              </w:rPr>
            </w:pPr>
          </w:p>
        </w:tc>
        <w:tc>
          <w:tcPr>
            <w:tcW w:w="0" w:type="auto"/>
            <w:vAlign w:val="center"/>
            <w:hideMark/>
          </w:tcPr>
          <w:p w14:paraId="3F38B700" w14:textId="77777777" w:rsidR="00000000" w:rsidRDefault="00195E73">
            <w:pPr>
              <w:rPr>
                <w:rFonts w:eastAsia="Times New Roman"/>
                <w:sz w:val="20"/>
                <w:szCs w:val="20"/>
              </w:rPr>
            </w:pPr>
          </w:p>
        </w:tc>
        <w:tc>
          <w:tcPr>
            <w:tcW w:w="0" w:type="auto"/>
            <w:vAlign w:val="center"/>
            <w:hideMark/>
          </w:tcPr>
          <w:p w14:paraId="7DD162B3" w14:textId="77777777" w:rsidR="00000000" w:rsidRDefault="00195E73">
            <w:pPr>
              <w:rPr>
                <w:rFonts w:eastAsia="Times New Roman"/>
                <w:sz w:val="20"/>
                <w:szCs w:val="20"/>
              </w:rPr>
            </w:pPr>
          </w:p>
        </w:tc>
        <w:tc>
          <w:tcPr>
            <w:tcW w:w="0" w:type="auto"/>
            <w:vAlign w:val="center"/>
            <w:hideMark/>
          </w:tcPr>
          <w:p w14:paraId="64C455DA" w14:textId="77777777" w:rsidR="00000000" w:rsidRDefault="00195E73">
            <w:pPr>
              <w:rPr>
                <w:rFonts w:eastAsia="Times New Roman"/>
                <w:sz w:val="20"/>
                <w:szCs w:val="20"/>
              </w:rPr>
            </w:pPr>
          </w:p>
        </w:tc>
        <w:tc>
          <w:tcPr>
            <w:tcW w:w="0" w:type="auto"/>
            <w:vAlign w:val="center"/>
            <w:hideMark/>
          </w:tcPr>
          <w:p w14:paraId="5B1E6A87" w14:textId="77777777" w:rsidR="00000000" w:rsidRDefault="00195E73">
            <w:pPr>
              <w:rPr>
                <w:rFonts w:eastAsia="Times New Roman"/>
                <w:sz w:val="20"/>
                <w:szCs w:val="20"/>
              </w:rPr>
            </w:pPr>
          </w:p>
        </w:tc>
        <w:tc>
          <w:tcPr>
            <w:tcW w:w="0" w:type="auto"/>
            <w:vAlign w:val="center"/>
            <w:hideMark/>
          </w:tcPr>
          <w:p w14:paraId="38E9B12F" w14:textId="77777777" w:rsidR="00000000" w:rsidRDefault="00195E73">
            <w:pPr>
              <w:rPr>
                <w:rFonts w:eastAsia="Times New Roman"/>
                <w:sz w:val="20"/>
                <w:szCs w:val="20"/>
              </w:rPr>
            </w:pPr>
          </w:p>
        </w:tc>
        <w:tc>
          <w:tcPr>
            <w:tcW w:w="0" w:type="auto"/>
            <w:vAlign w:val="center"/>
            <w:hideMark/>
          </w:tcPr>
          <w:p w14:paraId="783F2060" w14:textId="77777777" w:rsidR="00000000" w:rsidRDefault="00195E73">
            <w:pPr>
              <w:rPr>
                <w:rFonts w:eastAsia="Times New Roman"/>
                <w:sz w:val="20"/>
                <w:szCs w:val="20"/>
              </w:rPr>
            </w:pPr>
          </w:p>
        </w:tc>
      </w:tr>
      <w:tr w:rsidR="00000000" w14:paraId="2AE95393" w14:textId="77777777">
        <w:trPr>
          <w:divId w:val="1948268054"/>
          <w:jc w:val="center"/>
        </w:trPr>
        <w:tc>
          <w:tcPr>
            <w:tcW w:w="0" w:type="auto"/>
            <w:gridSpan w:val="3"/>
            <w:shd w:val="clear" w:color="auto" w:fill="CCEEFF"/>
            <w:tcMar>
              <w:top w:w="30" w:type="dxa"/>
              <w:left w:w="180" w:type="dxa"/>
              <w:bottom w:w="30" w:type="dxa"/>
              <w:right w:w="20" w:type="dxa"/>
            </w:tcMar>
            <w:vAlign w:val="bottom"/>
            <w:hideMark/>
          </w:tcPr>
          <w:p w14:paraId="6A85B52F" w14:textId="77777777" w:rsidR="00000000" w:rsidRDefault="00195E73">
            <w:pPr>
              <w:rPr>
                <w:rFonts w:eastAsia="Times New Roman"/>
              </w:rPr>
            </w:pPr>
            <w:r>
              <w:rPr>
                <w:rFonts w:eastAsia="Times New Roman"/>
                <w:color w:val="000000"/>
                <w:sz w:val="20"/>
                <w:szCs w:val="20"/>
              </w:rPr>
              <w:t>Domesti</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14:paraId="2684B5BA" w14:textId="77777777" w:rsidR="00000000" w:rsidRDefault="00195E73">
            <w:pPr>
              <w:jc w:val="right"/>
              <w:rPr>
                <w:rFonts w:eastAsia="Times New Roman"/>
              </w:rPr>
            </w:pPr>
            <w:r>
              <w:rPr>
                <w:rFonts w:eastAsia="Times New Roman"/>
                <w:color w:val="000000"/>
                <w:sz w:val="20"/>
                <w:szCs w:val="20"/>
              </w:rPr>
              <w:t>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C3C586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217DA8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2763F5" w14:textId="77777777" w:rsidR="00000000" w:rsidRDefault="00195E73">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A326B9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B568BE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41BCB0" w14:textId="77777777" w:rsidR="00000000" w:rsidRDefault="00195E73">
            <w:pPr>
              <w:jc w:val="right"/>
              <w:rPr>
                <w:rFonts w:eastAsia="Times New Roman"/>
              </w:rPr>
            </w:pPr>
            <w:r>
              <w:rPr>
                <w:rFonts w:eastAsia="Times New Roman"/>
                <w:color w:val="000000"/>
                <w:sz w:val="20"/>
                <w:szCs w:val="20"/>
              </w:rPr>
              <w:t>547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EF0866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C5FF3EF" w14:textId="77777777" w:rsidR="00000000" w:rsidRDefault="00195E73">
            <w:pPr>
              <w:rPr>
                <w:rFonts w:eastAsia="Times New Roman"/>
                <w:sz w:val="20"/>
                <w:szCs w:val="20"/>
              </w:rPr>
            </w:pPr>
          </w:p>
        </w:tc>
        <w:tc>
          <w:tcPr>
            <w:tcW w:w="0" w:type="auto"/>
            <w:vAlign w:val="center"/>
            <w:hideMark/>
          </w:tcPr>
          <w:p w14:paraId="781DD03E" w14:textId="77777777" w:rsidR="00000000" w:rsidRDefault="00195E73">
            <w:pPr>
              <w:rPr>
                <w:rFonts w:eastAsia="Times New Roman"/>
                <w:sz w:val="20"/>
                <w:szCs w:val="20"/>
              </w:rPr>
            </w:pPr>
          </w:p>
        </w:tc>
        <w:tc>
          <w:tcPr>
            <w:tcW w:w="0" w:type="auto"/>
            <w:vAlign w:val="center"/>
            <w:hideMark/>
          </w:tcPr>
          <w:p w14:paraId="2ACAD21C" w14:textId="77777777" w:rsidR="00000000" w:rsidRDefault="00195E73">
            <w:pPr>
              <w:rPr>
                <w:rFonts w:eastAsia="Times New Roman"/>
                <w:sz w:val="20"/>
                <w:szCs w:val="20"/>
              </w:rPr>
            </w:pPr>
          </w:p>
        </w:tc>
        <w:tc>
          <w:tcPr>
            <w:tcW w:w="0" w:type="auto"/>
            <w:vAlign w:val="center"/>
            <w:hideMark/>
          </w:tcPr>
          <w:p w14:paraId="41EB521D" w14:textId="77777777" w:rsidR="00000000" w:rsidRDefault="00195E73">
            <w:pPr>
              <w:rPr>
                <w:rFonts w:eastAsia="Times New Roman"/>
                <w:sz w:val="20"/>
                <w:szCs w:val="20"/>
              </w:rPr>
            </w:pPr>
          </w:p>
        </w:tc>
        <w:tc>
          <w:tcPr>
            <w:tcW w:w="0" w:type="auto"/>
            <w:vAlign w:val="center"/>
            <w:hideMark/>
          </w:tcPr>
          <w:p w14:paraId="7BBA097C" w14:textId="77777777" w:rsidR="00000000" w:rsidRDefault="00195E73">
            <w:pPr>
              <w:rPr>
                <w:rFonts w:eastAsia="Times New Roman"/>
                <w:sz w:val="20"/>
                <w:szCs w:val="20"/>
              </w:rPr>
            </w:pPr>
          </w:p>
        </w:tc>
        <w:tc>
          <w:tcPr>
            <w:tcW w:w="0" w:type="auto"/>
            <w:vAlign w:val="center"/>
            <w:hideMark/>
          </w:tcPr>
          <w:p w14:paraId="2B0AC9EB" w14:textId="77777777" w:rsidR="00000000" w:rsidRDefault="00195E73">
            <w:pPr>
              <w:rPr>
                <w:rFonts w:eastAsia="Times New Roman"/>
                <w:sz w:val="20"/>
                <w:szCs w:val="20"/>
              </w:rPr>
            </w:pPr>
          </w:p>
        </w:tc>
        <w:tc>
          <w:tcPr>
            <w:tcW w:w="0" w:type="auto"/>
            <w:vAlign w:val="center"/>
            <w:hideMark/>
          </w:tcPr>
          <w:p w14:paraId="57F0F730" w14:textId="77777777" w:rsidR="00000000" w:rsidRDefault="00195E73">
            <w:pPr>
              <w:rPr>
                <w:rFonts w:eastAsia="Times New Roman"/>
                <w:sz w:val="20"/>
                <w:szCs w:val="20"/>
              </w:rPr>
            </w:pPr>
          </w:p>
        </w:tc>
        <w:tc>
          <w:tcPr>
            <w:tcW w:w="0" w:type="auto"/>
            <w:vAlign w:val="center"/>
            <w:hideMark/>
          </w:tcPr>
          <w:p w14:paraId="5247DCD4" w14:textId="77777777" w:rsidR="00000000" w:rsidRDefault="00195E73">
            <w:pPr>
              <w:rPr>
                <w:rFonts w:eastAsia="Times New Roman"/>
                <w:sz w:val="20"/>
                <w:szCs w:val="20"/>
              </w:rPr>
            </w:pPr>
          </w:p>
        </w:tc>
        <w:tc>
          <w:tcPr>
            <w:tcW w:w="0" w:type="auto"/>
            <w:vAlign w:val="center"/>
            <w:hideMark/>
          </w:tcPr>
          <w:p w14:paraId="29EF9C8A" w14:textId="77777777" w:rsidR="00000000" w:rsidRDefault="00195E73">
            <w:pPr>
              <w:rPr>
                <w:rFonts w:eastAsia="Times New Roman"/>
                <w:sz w:val="20"/>
                <w:szCs w:val="20"/>
              </w:rPr>
            </w:pPr>
          </w:p>
        </w:tc>
        <w:tc>
          <w:tcPr>
            <w:tcW w:w="0" w:type="auto"/>
            <w:vAlign w:val="center"/>
            <w:hideMark/>
          </w:tcPr>
          <w:p w14:paraId="685526B5" w14:textId="77777777" w:rsidR="00000000" w:rsidRDefault="00195E73">
            <w:pPr>
              <w:rPr>
                <w:rFonts w:eastAsia="Times New Roman"/>
                <w:sz w:val="20"/>
                <w:szCs w:val="20"/>
              </w:rPr>
            </w:pPr>
          </w:p>
        </w:tc>
        <w:tc>
          <w:tcPr>
            <w:tcW w:w="0" w:type="auto"/>
            <w:vAlign w:val="center"/>
            <w:hideMark/>
          </w:tcPr>
          <w:p w14:paraId="25BAE005" w14:textId="77777777" w:rsidR="00000000" w:rsidRDefault="00195E73">
            <w:pPr>
              <w:rPr>
                <w:rFonts w:eastAsia="Times New Roman"/>
                <w:sz w:val="20"/>
                <w:szCs w:val="20"/>
              </w:rPr>
            </w:pPr>
          </w:p>
        </w:tc>
        <w:tc>
          <w:tcPr>
            <w:tcW w:w="0" w:type="auto"/>
            <w:vAlign w:val="center"/>
            <w:hideMark/>
          </w:tcPr>
          <w:p w14:paraId="0D30F9BC" w14:textId="77777777" w:rsidR="00000000" w:rsidRDefault="00195E73">
            <w:pPr>
              <w:rPr>
                <w:rFonts w:eastAsia="Times New Roman"/>
                <w:sz w:val="20"/>
                <w:szCs w:val="20"/>
              </w:rPr>
            </w:pPr>
          </w:p>
        </w:tc>
      </w:tr>
      <w:tr w:rsidR="00000000" w14:paraId="2B51FF36" w14:textId="77777777">
        <w:trPr>
          <w:divId w:val="1948268054"/>
          <w:jc w:val="center"/>
        </w:trPr>
        <w:tc>
          <w:tcPr>
            <w:tcW w:w="0" w:type="auto"/>
            <w:gridSpan w:val="3"/>
            <w:shd w:val="clear" w:color="auto" w:fill="FFFFFF"/>
            <w:tcMar>
              <w:top w:w="30" w:type="dxa"/>
              <w:left w:w="180" w:type="dxa"/>
              <w:bottom w:w="30" w:type="dxa"/>
              <w:right w:w="20" w:type="dxa"/>
            </w:tcMar>
            <w:vAlign w:val="bottom"/>
            <w:hideMark/>
          </w:tcPr>
          <w:p w14:paraId="543803AB" w14:textId="77777777" w:rsidR="00000000" w:rsidRDefault="00195E73">
            <w:pPr>
              <w:rPr>
                <w:rFonts w:eastAsia="Times New Roman"/>
              </w:rPr>
            </w:pPr>
            <w:r>
              <w:rPr>
                <w:rFonts w:eastAsia="Times New Roman"/>
                <w:color w:val="000000"/>
                <w:sz w:val="20"/>
                <w:szCs w:val="20"/>
              </w:rPr>
              <w:t>Internationa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14:paraId="03F1AC17"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963903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BA0B87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D0A9CE"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30F2D1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8426CE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57C82F" w14:textId="77777777" w:rsidR="00000000" w:rsidRDefault="00195E73">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DA781C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E2971F3" w14:textId="77777777" w:rsidR="00000000" w:rsidRDefault="00195E73">
            <w:pPr>
              <w:rPr>
                <w:rFonts w:eastAsia="Times New Roman"/>
                <w:sz w:val="20"/>
                <w:szCs w:val="20"/>
              </w:rPr>
            </w:pPr>
          </w:p>
        </w:tc>
        <w:tc>
          <w:tcPr>
            <w:tcW w:w="0" w:type="auto"/>
            <w:vAlign w:val="center"/>
            <w:hideMark/>
          </w:tcPr>
          <w:p w14:paraId="770550E3" w14:textId="77777777" w:rsidR="00000000" w:rsidRDefault="00195E73">
            <w:pPr>
              <w:rPr>
                <w:rFonts w:eastAsia="Times New Roman"/>
                <w:sz w:val="20"/>
                <w:szCs w:val="20"/>
              </w:rPr>
            </w:pPr>
          </w:p>
        </w:tc>
        <w:tc>
          <w:tcPr>
            <w:tcW w:w="0" w:type="auto"/>
            <w:vAlign w:val="center"/>
            <w:hideMark/>
          </w:tcPr>
          <w:p w14:paraId="21FD1DF6" w14:textId="77777777" w:rsidR="00000000" w:rsidRDefault="00195E73">
            <w:pPr>
              <w:rPr>
                <w:rFonts w:eastAsia="Times New Roman"/>
                <w:sz w:val="20"/>
                <w:szCs w:val="20"/>
              </w:rPr>
            </w:pPr>
          </w:p>
        </w:tc>
        <w:tc>
          <w:tcPr>
            <w:tcW w:w="0" w:type="auto"/>
            <w:vAlign w:val="center"/>
            <w:hideMark/>
          </w:tcPr>
          <w:p w14:paraId="067325D6" w14:textId="77777777" w:rsidR="00000000" w:rsidRDefault="00195E73">
            <w:pPr>
              <w:rPr>
                <w:rFonts w:eastAsia="Times New Roman"/>
                <w:sz w:val="20"/>
                <w:szCs w:val="20"/>
              </w:rPr>
            </w:pPr>
          </w:p>
        </w:tc>
        <w:tc>
          <w:tcPr>
            <w:tcW w:w="0" w:type="auto"/>
            <w:vAlign w:val="center"/>
            <w:hideMark/>
          </w:tcPr>
          <w:p w14:paraId="0A7F3074" w14:textId="77777777" w:rsidR="00000000" w:rsidRDefault="00195E73">
            <w:pPr>
              <w:rPr>
                <w:rFonts w:eastAsia="Times New Roman"/>
                <w:sz w:val="20"/>
                <w:szCs w:val="20"/>
              </w:rPr>
            </w:pPr>
          </w:p>
        </w:tc>
        <w:tc>
          <w:tcPr>
            <w:tcW w:w="0" w:type="auto"/>
            <w:vAlign w:val="center"/>
            <w:hideMark/>
          </w:tcPr>
          <w:p w14:paraId="4C727DF9" w14:textId="77777777" w:rsidR="00000000" w:rsidRDefault="00195E73">
            <w:pPr>
              <w:rPr>
                <w:rFonts w:eastAsia="Times New Roman"/>
                <w:sz w:val="20"/>
                <w:szCs w:val="20"/>
              </w:rPr>
            </w:pPr>
          </w:p>
        </w:tc>
        <w:tc>
          <w:tcPr>
            <w:tcW w:w="0" w:type="auto"/>
            <w:vAlign w:val="center"/>
            <w:hideMark/>
          </w:tcPr>
          <w:p w14:paraId="5F579D43" w14:textId="77777777" w:rsidR="00000000" w:rsidRDefault="00195E73">
            <w:pPr>
              <w:rPr>
                <w:rFonts w:eastAsia="Times New Roman"/>
                <w:sz w:val="20"/>
                <w:szCs w:val="20"/>
              </w:rPr>
            </w:pPr>
          </w:p>
        </w:tc>
        <w:tc>
          <w:tcPr>
            <w:tcW w:w="0" w:type="auto"/>
            <w:vAlign w:val="center"/>
            <w:hideMark/>
          </w:tcPr>
          <w:p w14:paraId="3F38EB15" w14:textId="77777777" w:rsidR="00000000" w:rsidRDefault="00195E73">
            <w:pPr>
              <w:rPr>
                <w:rFonts w:eastAsia="Times New Roman"/>
                <w:sz w:val="20"/>
                <w:szCs w:val="20"/>
              </w:rPr>
            </w:pPr>
          </w:p>
        </w:tc>
        <w:tc>
          <w:tcPr>
            <w:tcW w:w="0" w:type="auto"/>
            <w:vAlign w:val="center"/>
            <w:hideMark/>
          </w:tcPr>
          <w:p w14:paraId="059F5302" w14:textId="77777777" w:rsidR="00000000" w:rsidRDefault="00195E73">
            <w:pPr>
              <w:rPr>
                <w:rFonts w:eastAsia="Times New Roman"/>
                <w:sz w:val="20"/>
                <w:szCs w:val="20"/>
              </w:rPr>
            </w:pPr>
          </w:p>
        </w:tc>
        <w:tc>
          <w:tcPr>
            <w:tcW w:w="0" w:type="auto"/>
            <w:vAlign w:val="center"/>
            <w:hideMark/>
          </w:tcPr>
          <w:p w14:paraId="4C40270D" w14:textId="77777777" w:rsidR="00000000" w:rsidRDefault="00195E73">
            <w:pPr>
              <w:rPr>
                <w:rFonts w:eastAsia="Times New Roman"/>
                <w:sz w:val="20"/>
                <w:szCs w:val="20"/>
              </w:rPr>
            </w:pPr>
          </w:p>
        </w:tc>
        <w:tc>
          <w:tcPr>
            <w:tcW w:w="0" w:type="auto"/>
            <w:vAlign w:val="center"/>
            <w:hideMark/>
          </w:tcPr>
          <w:p w14:paraId="542707D2" w14:textId="77777777" w:rsidR="00000000" w:rsidRDefault="00195E73">
            <w:pPr>
              <w:rPr>
                <w:rFonts w:eastAsia="Times New Roman"/>
                <w:sz w:val="20"/>
                <w:szCs w:val="20"/>
              </w:rPr>
            </w:pPr>
          </w:p>
        </w:tc>
        <w:tc>
          <w:tcPr>
            <w:tcW w:w="0" w:type="auto"/>
            <w:vAlign w:val="center"/>
            <w:hideMark/>
          </w:tcPr>
          <w:p w14:paraId="7863E4EB" w14:textId="77777777" w:rsidR="00000000" w:rsidRDefault="00195E73">
            <w:pPr>
              <w:rPr>
                <w:rFonts w:eastAsia="Times New Roman"/>
                <w:sz w:val="20"/>
                <w:szCs w:val="20"/>
              </w:rPr>
            </w:pPr>
          </w:p>
        </w:tc>
      </w:tr>
      <w:tr w:rsidR="00000000" w14:paraId="36B387FD" w14:textId="77777777">
        <w:trPr>
          <w:divId w:val="1948268054"/>
          <w:jc w:val="center"/>
        </w:trPr>
        <w:tc>
          <w:tcPr>
            <w:tcW w:w="0" w:type="auto"/>
            <w:gridSpan w:val="3"/>
            <w:shd w:val="clear" w:color="auto" w:fill="CCEEFF"/>
            <w:tcMar>
              <w:top w:w="30" w:type="dxa"/>
              <w:left w:w="20" w:type="dxa"/>
              <w:bottom w:w="30" w:type="dxa"/>
              <w:right w:w="20" w:type="dxa"/>
            </w:tcMar>
            <w:vAlign w:val="bottom"/>
            <w:hideMark/>
          </w:tcPr>
          <w:p w14:paraId="03B88D91" w14:textId="77777777" w:rsidR="00000000" w:rsidRDefault="00195E73">
            <w:pPr>
              <w:rPr>
                <w:rFonts w:eastAsia="Times New Roman"/>
              </w:rPr>
            </w:pPr>
            <w:r>
              <w:rPr>
                <w:rFonts w:eastAsia="Times New Roman"/>
                <w:color w:val="000000"/>
                <w:sz w:val="20"/>
                <w:szCs w:val="20"/>
              </w:rPr>
              <w:t>Total deferre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1BAA13" w14:textId="77777777" w:rsidR="00000000" w:rsidRDefault="00195E73">
            <w:pPr>
              <w:jc w:val="right"/>
              <w:rPr>
                <w:rFonts w:eastAsia="Times New Roman"/>
              </w:rPr>
            </w:pPr>
            <w:r>
              <w:rPr>
                <w:rFonts w:eastAsia="Times New Roman"/>
                <w:color w:val="000000"/>
                <w:sz w:val="20"/>
                <w:szCs w:val="20"/>
              </w:rPr>
              <w:t>89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2586FC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5C5B73B"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132F45" w14:textId="77777777" w:rsidR="00000000" w:rsidRDefault="00195E73">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40945E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CC897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C25128" w14:textId="77777777" w:rsidR="00000000" w:rsidRDefault="00195E73">
            <w:pPr>
              <w:jc w:val="right"/>
              <w:rPr>
                <w:rFonts w:eastAsia="Times New Roman"/>
              </w:rPr>
            </w:pPr>
            <w:r>
              <w:rPr>
                <w:rFonts w:eastAsia="Times New Roman"/>
                <w:color w:val="000000"/>
                <w:sz w:val="20"/>
                <w:szCs w:val="20"/>
              </w:rPr>
              <w:t>560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8B0247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87437F5" w14:textId="77777777" w:rsidR="00000000" w:rsidRDefault="00195E73">
            <w:pPr>
              <w:rPr>
                <w:rFonts w:eastAsia="Times New Roman"/>
                <w:sz w:val="20"/>
                <w:szCs w:val="20"/>
              </w:rPr>
            </w:pPr>
          </w:p>
        </w:tc>
        <w:tc>
          <w:tcPr>
            <w:tcW w:w="0" w:type="auto"/>
            <w:vAlign w:val="center"/>
            <w:hideMark/>
          </w:tcPr>
          <w:p w14:paraId="4D939176" w14:textId="77777777" w:rsidR="00000000" w:rsidRDefault="00195E73">
            <w:pPr>
              <w:rPr>
                <w:rFonts w:eastAsia="Times New Roman"/>
                <w:sz w:val="20"/>
                <w:szCs w:val="20"/>
              </w:rPr>
            </w:pPr>
          </w:p>
        </w:tc>
        <w:tc>
          <w:tcPr>
            <w:tcW w:w="0" w:type="auto"/>
            <w:vAlign w:val="center"/>
            <w:hideMark/>
          </w:tcPr>
          <w:p w14:paraId="31404571" w14:textId="77777777" w:rsidR="00000000" w:rsidRDefault="00195E73">
            <w:pPr>
              <w:rPr>
                <w:rFonts w:eastAsia="Times New Roman"/>
                <w:sz w:val="20"/>
                <w:szCs w:val="20"/>
              </w:rPr>
            </w:pPr>
          </w:p>
        </w:tc>
        <w:tc>
          <w:tcPr>
            <w:tcW w:w="0" w:type="auto"/>
            <w:vAlign w:val="center"/>
            <w:hideMark/>
          </w:tcPr>
          <w:p w14:paraId="09B4D745" w14:textId="77777777" w:rsidR="00000000" w:rsidRDefault="00195E73">
            <w:pPr>
              <w:rPr>
                <w:rFonts w:eastAsia="Times New Roman"/>
                <w:sz w:val="20"/>
                <w:szCs w:val="20"/>
              </w:rPr>
            </w:pPr>
          </w:p>
        </w:tc>
        <w:tc>
          <w:tcPr>
            <w:tcW w:w="0" w:type="auto"/>
            <w:vAlign w:val="center"/>
            <w:hideMark/>
          </w:tcPr>
          <w:p w14:paraId="79B33606" w14:textId="77777777" w:rsidR="00000000" w:rsidRDefault="00195E73">
            <w:pPr>
              <w:rPr>
                <w:rFonts w:eastAsia="Times New Roman"/>
                <w:sz w:val="20"/>
                <w:szCs w:val="20"/>
              </w:rPr>
            </w:pPr>
          </w:p>
        </w:tc>
        <w:tc>
          <w:tcPr>
            <w:tcW w:w="0" w:type="auto"/>
            <w:vAlign w:val="center"/>
            <w:hideMark/>
          </w:tcPr>
          <w:p w14:paraId="6B2C7AB7" w14:textId="77777777" w:rsidR="00000000" w:rsidRDefault="00195E73">
            <w:pPr>
              <w:rPr>
                <w:rFonts w:eastAsia="Times New Roman"/>
                <w:sz w:val="20"/>
                <w:szCs w:val="20"/>
              </w:rPr>
            </w:pPr>
          </w:p>
        </w:tc>
        <w:tc>
          <w:tcPr>
            <w:tcW w:w="0" w:type="auto"/>
            <w:vAlign w:val="center"/>
            <w:hideMark/>
          </w:tcPr>
          <w:p w14:paraId="246CA61C" w14:textId="77777777" w:rsidR="00000000" w:rsidRDefault="00195E73">
            <w:pPr>
              <w:rPr>
                <w:rFonts w:eastAsia="Times New Roman"/>
                <w:sz w:val="20"/>
                <w:szCs w:val="20"/>
              </w:rPr>
            </w:pPr>
          </w:p>
        </w:tc>
        <w:tc>
          <w:tcPr>
            <w:tcW w:w="0" w:type="auto"/>
            <w:vAlign w:val="center"/>
            <w:hideMark/>
          </w:tcPr>
          <w:p w14:paraId="772D3BBD" w14:textId="77777777" w:rsidR="00000000" w:rsidRDefault="00195E73">
            <w:pPr>
              <w:rPr>
                <w:rFonts w:eastAsia="Times New Roman"/>
                <w:sz w:val="20"/>
                <w:szCs w:val="20"/>
              </w:rPr>
            </w:pPr>
          </w:p>
        </w:tc>
        <w:tc>
          <w:tcPr>
            <w:tcW w:w="0" w:type="auto"/>
            <w:vAlign w:val="center"/>
            <w:hideMark/>
          </w:tcPr>
          <w:p w14:paraId="1D59AB03" w14:textId="77777777" w:rsidR="00000000" w:rsidRDefault="00195E73">
            <w:pPr>
              <w:rPr>
                <w:rFonts w:eastAsia="Times New Roman"/>
                <w:sz w:val="20"/>
                <w:szCs w:val="20"/>
              </w:rPr>
            </w:pPr>
          </w:p>
        </w:tc>
        <w:tc>
          <w:tcPr>
            <w:tcW w:w="0" w:type="auto"/>
            <w:vAlign w:val="center"/>
            <w:hideMark/>
          </w:tcPr>
          <w:p w14:paraId="1402548E" w14:textId="77777777" w:rsidR="00000000" w:rsidRDefault="00195E73">
            <w:pPr>
              <w:rPr>
                <w:rFonts w:eastAsia="Times New Roman"/>
                <w:sz w:val="20"/>
                <w:szCs w:val="20"/>
              </w:rPr>
            </w:pPr>
          </w:p>
        </w:tc>
        <w:tc>
          <w:tcPr>
            <w:tcW w:w="0" w:type="auto"/>
            <w:vAlign w:val="center"/>
            <w:hideMark/>
          </w:tcPr>
          <w:p w14:paraId="3872837C" w14:textId="77777777" w:rsidR="00000000" w:rsidRDefault="00195E73">
            <w:pPr>
              <w:rPr>
                <w:rFonts w:eastAsia="Times New Roman"/>
                <w:sz w:val="20"/>
                <w:szCs w:val="20"/>
              </w:rPr>
            </w:pPr>
          </w:p>
        </w:tc>
        <w:tc>
          <w:tcPr>
            <w:tcW w:w="0" w:type="auto"/>
            <w:vAlign w:val="center"/>
            <w:hideMark/>
          </w:tcPr>
          <w:p w14:paraId="1C2AF2DB" w14:textId="77777777" w:rsidR="00000000" w:rsidRDefault="00195E73">
            <w:pPr>
              <w:rPr>
                <w:rFonts w:eastAsia="Times New Roman"/>
                <w:sz w:val="20"/>
                <w:szCs w:val="20"/>
              </w:rPr>
            </w:pPr>
          </w:p>
        </w:tc>
      </w:tr>
      <w:tr w:rsidR="00000000" w14:paraId="01B0C5BB" w14:textId="77777777">
        <w:trPr>
          <w:divId w:val="1948268054"/>
          <w:jc w:val="center"/>
        </w:trPr>
        <w:tc>
          <w:tcPr>
            <w:tcW w:w="0" w:type="auto"/>
            <w:gridSpan w:val="3"/>
            <w:shd w:val="clear" w:color="auto" w:fill="FFFFFF"/>
            <w:tcMar>
              <w:top w:w="15" w:type="dxa"/>
              <w:left w:w="20" w:type="dxa"/>
              <w:bottom w:w="15" w:type="dxa"/>
              <w:right w:w="20" w:type="dxa"/>
            </w:tcMar>
            <w:vAlign w:val="bottom"/>
            <w:hideMark/>
          </w:tcPr>
          <w:p w14:paraId="2074B2E1"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7FF1D8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11CC24C" w14:textId="77777777" w:rsidR="00000000" w:rsidRDefault="00195E73">
            <w:pPr>
              <w:jc w:val="right"/>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756B9E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527642F"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33B238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4ECFFF89" w14:textId="77777777" w:rsidR="00000000" w:rsidRDefault="00195E73">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C8B1BC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FB4DE6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8C4279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82F014E" w14:textId="77777777" w:rsidR="00000000" w:rsidRDefault="00195E73">
            <w:pPr>
              <w:jc w:val="right"/>
              <w:rPr>
                <w:rFonts w:eastAsia="Times New Roman"/>
              </w:rPr>
            </w:pPr>
            <w:r>
              <w:rPr>
                <w:rFonts w:eastAsia="Times New Roman"/>
                <w:color w:val="000000"/>
                <w:sz w:val="20"/>
                <w:szCs w:val="20"/>
              </w:rPr>
              <w:t>532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E51CB2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2EB6B64" w14:textId="77777777" w:rsidR="00000000" w:rsidRDefault="00195E73">
            <w:pPr>
              <w:rPr>
                <w:rFonts w:eastAsia="Times New Roman"/>
                <w:sz w:val="20"/>
                <w:szCs w:val="20"/>
              </w:rPr>
            </w:pPr>
          </w:p>
        </w:tc>
        <w:tc>
          <w:tcPr>
            <w:tcW w:w="0" w:type="auto"/>
            <w:vAlign w:val="center"/>
            <w:hideMark/>
          </w:tcPr>
          <w:p w14:paraId="1C83951A" w14:textId="77777777" w:rsidR="00000000" w:rsidRDefault="00195E73">
            <w:pPr>
              <w:rPr>
                <w:rFonts w:eastAsia="Times New Roman"/>
                <w:sz w:val="20"/>
                <w:szCs w:val="20"/>
              </w:rPr>
            </w:pPr>
          </w:p>
        </w:tc>
        <w:tc>
          <w:tcPr>
            <w:tcW w:w="0" w:type="auto"/>
            <w:vAlign w:val="center"/>
            <w:hideMark/>
          </w:tcPr>
          <w:p w14:paraId="7EFBBBA5" w14:textId="77777777" w:rsidR="00000000" w:rsidRDefault="00195E73">
            <w:pPr>
              <w:rPr>
                <w:rFonts w:eastAsia="Times New Roman"/>
                <w:sz w:val="20"/>
                <w:szCs w:val="20"/>
              </w:rPr>
            </w:pPr>
          </w:p>
        </w:tc>
        <w:tc>
          <w:tcPr>
            <w:tcW w:w="0" w:type="auto"/>
            <w:vAlign w:val="center"/>
            <w:hideMark/>
          </w:tcPr>
          <w:p w14:paraId="1A5A9870" w14:textId="77777777" w:rsidR="00000000" w:rsidRDefault="00195E73">
            <w:pPr>
              <w:rPr>
                <w:rFonts w:eastAsia="Times New Roman"/>
                <w:sz w:val="20"/>
                <w:szCs w:val="20"/>
              </w:rPr>
            </w:pPr>
          </w:p>
        </w:tc>
        <w:tc>
          <w:tcPr>
            <w:tcW w:w="0" w:type="auto"/>
            <w:vAlign w:val="center"/>
            <w:hideMark/>
          </w:tcPr>
          <w:p w14:paraId="2096BEF5" w14:textId="77777777" w:rsidR="00000000" w:rsidRDefault="00195E73">
            <w:pPr>
              <w:rPr>
                <w:rFonts w:eastAsia="Times New Roman"/>
                <w:sz w:val="20"/>
                <w:szCs w:val="20"/>
              </w:rPr>
            </w:pPr>
          </w:p>
        </w:tc>
        <w:tc>
          <w:tcPr>
            <w:tcW w:w="0" w:type="auto"/>
            <w:vAlign w:val="center"/>
            <w:hideMark/>
          </w:tcPr>
          <w:p w14:paraId="52286E4E" w14:textId="77777777" w:rsidR="00000000" w:rsidRDefault="00195E73">
            <w:pPr>
              <w:rPr>
                <w:rFonts w:eastAsia="Times New Roman"/>
                <w:sz w:val="20"/>
                <w:szCs w:val="20"/>
              </w:rPr>
            </w:pPr>
          </w:p>
        </w:tc>
        <w:tc>
          <w:tcPr>
            <w:tcW w:w="0" w:type="auto"/>
            <w:vAlign w:val="center"/>
            <w:hideMark/>
          </w:tcPr>
          <w:p w14:paraId="741C941A" w14:textId="77777777" w:rsidR="00000000" w:rsidRDefault="00195E73">
            <w:pPr>
              <w:rPr>
                <w:rFonts w:eastAsia="Times New Roman"/>
                <w:sz w:val="20"/>
                <w:szCs w:val="20"/>
              </w:rPr>
            </w:pPr>
          </w:p>
        </w:tc>
        <w:tc>
          <w:tcPr>
            <w:tcW w:w="0" w:type="auto"/>
            <w:vAlign w:val="center"/>
            <w:hideMark/>
          </w:tcPr>
          <w:p w14:paraId="076AAD9F" w14:textId="77777777" w:rsidR="00000000" w:rsidRDefault="00195E73">
            <w:pPr>
              <w:rPr>
                <w:rFonts w:eastAsia="Times New Roman"/>
                <w:sz w:val="20"/>
                <w:szCs w:val="20"/>
              </w:rPr>
            </w:pPr>
          </w:p>
        </w:tc>
        <w:tc>
          <w:tcPr>
            <w:tcW w:w="0" w:type="auto"/>
            <w:vAlign w:val="center"/>
            <w:hideMark/>
          </w:tcPr>
          <w:p w14:paraId="22937020" w14:textId="77777777" w:rsidR="00000000" w:rsidRDefault="00195E73">
            <w:pPr>
              <w:rPr>
                <w:rFonts w:eastAsia="Times New Roman"/>
                <w:sz w:val="20"/>
                <w:szCs w:val="20"/>
              </w:rPr>
            </w:pPr>
          </w:p>
        </w:tc>
        <w:tc>
          <w:tcPr>
            <w:tcW w:w="0" w:type="auto"/>
            <w:vAlign w:val="center"/>
            <w:hideMark/>
          </w:tcPr>
          <w:p w14:paraId="0D413A6B" w14:textId="77777777" w:rsidR="00000000" w:rsidRDefault="00195E73">
            <w:pPr>
              <w:rPr>
                <w:rFonts w:eastAsia="Times New Roman"/>
                <w:sz w:val="20"/>
                <w:szCs w:val="20"/>
              </w:rPr>
            </w:pPr>
          </w:p>
        </w:tc>
        <w:tc>
          <w:tcPr>
            <w:tcW w:w="0" w:type="auto"/>
            <w:vAlign w:val="center"/>
            <w:hideMark/>
          </w:tcPr>
          <w:p w14:paraId="1A6AD697" w14:textId="77777777" w:rsidR="00000000" w:rsidRDefault="00195E73">
            <w:pPr>
              <w:rPr>
                <w:rFonts w:eastAsia="Times New Roman"/>
                <w:sz w:val="20"/>
                <w:szCs w:val="20"/>
              </w:rPr>
            </w:pPr>
          </w:p>
        </w:tc>
        <w:tc>
          <w:tcPr>
            <w:tcW w:w="0" w:type="auto"/>
            <w:vAlign w:val="center"/>
            <w:hideMark/>
          </w:tcPr>
          <w:p w14:paraId="0FB72FC8" w14:textId="77777777" w:rsidR="00000000" w:rsidRDefault="00195E73">
            <w:pPr>
              <w:rPr>
                <w:rFonts w:eastAsia="Times New Roman"/>
                <w:sz w:val="20"/>
                <w:szCs w:val="20"/>
              </w:rPr>
            </w:pPr>
          </w:p>
        </w:tc>
      </w:tr>
    </w:tbl>
    <w:p w14:paraId="759E41A4" w14:textId="77777777" w:rsidR="00000000" w:rsidRDefault="00195E73">
      <w:pPr>
        <w:ind w:firstLine="405"/>
        <w:divId w:val="77603317"/>
        <w:rPr>
          <w:rFonts w:eastAsia="Times New Roman"/>
        </w:rPr>
      </w:pPr>
    </w:p>
    <w:p w14:paraId="53491EF3" w14:textId="77777777" w:rsidR="00000000" w:rsidRDefault="00195E73">
      <w:pPr>
        <w:ind w:firstLine="405"/>
        <w:divId w:val="1120026023"/>
        <w:rPr>
          <w:rFonts w:eastAsia="Times New Roman"/>
        </w:rPr>
      </w:pPr>
      <w:r>
        <w:rPr>
          <w:rFonts w:eastAsia="Times New Roman"/>
          <w:color w:val="000000"/>
          <w:sz w:val="20"/>
          <w:szCs w:val="20"/>
        </w:rPr>
        <w:t>A reconciliation of the income tax benefit (expense) calculated at the federal statutory rate to income tax benefit (expense) on continuing operations as shown in the consoli</w:t>
      </w:r>
      <w:r>
        <w:rPr>
          <w:rFonts w:eastAsia="Times New Roman"/>
          <w:color w:val="000000"/>
          <w:sz w:val="20"/>
          <w:szCs w:val="20"/>
        </w:rPr>
        <w:t>dated statements of operations is as follows</w:t>
      </w:r>
      <w:r>
        <w:rPr>
          <w:rFonts w:eastAsia="Times New Roman"/>
          <w:color w:val="000000"/>
          <w:sz w:val="20"/>
          <w:szCs w:val="20"/>
        </w:rPr>
        <w:t>:</w:t>
      </w:r>
      <w:r>
        <w:rPr>
          <w:rFonts w:eastAsia="Times New Roman"/>
          <w:b/>
          <w:bCs/>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3989"/>
        <w:gridCol w:w="39"/>
        <w:gridCol w:w="135"/>
        <w:gridCol w:w="860"/>
        <w:gridCol w:w="85"/>
        <w:gridCol w:w="37"/>
        <w:gridCol w:w="100"/>
        <w:gridCol w:w="85"/>
        <w:gridCol w:w="135"/>
        <w:gridCol w:w="908"/>
        <w:gridCol w:w="85"/>
        <w:gridCol w:w="37"/>
        <w:gridCol w:w="100"/>
        <w:gridCol w:w="85"/>
        <w:gridCol w:w="135"/>
        <w:gridCol w:w="908"/>
        <w:gridCol w:w="85"/>
        <w:gridCol w:w="36"/>
        <w:gridCol w:w="36"/>
        <w:gridCol w:w="36"/>
        <w:gridCol w:w="36"/>
        <w:gridCol w:w="36"/>
        <w:gridCol w:w="36"/>
        <w:gridCol w:w="36"/>
        <w:gridCol w:w="36"/>
        <w:gridCol w:w="36"/>
        <w:gridCol w:w="36"/>
        <w:gridCol w:w="36"/>
        <w:gridCol w:w="36"/>
      </w:tblGrid>
      <w:tr w:rsidR="00000000" w14:paraId="03433176" w14:textId="77777777">
        <w:trPr>
          <w:gridAfter w:val="12"/>
          <w:divId w:val="416706876"/>
          <w:jc w:val="center"/>
        </w:trPr>
        <w:tc>
          <w:tcPr>
            <w:tcW w:w="50" w:type="pct"/>
            <w:vAlign w:val="center"/>
            <w:hideMark/>
          </w:tcPr>
          <w:p w14:paraId="3735301D" w14:textId="77777777" w:rsidR="00000000" w:rsidRDefault="00195E73">
            <w:pPr>
              <w:ind w:firstLine="405"/>
              <w:rPr>
                <w:rFonts w:eastAsia="Times New Roman"/>
              </w:rPr>
            </w:pPr>
          </w:p>
        </w:tc>
        <w:tc>
          <w:tcPr>
            <w:tcW w:w="2627" w:type="pct"/>
            <w:vAlign w:val="center"/>
            <w:hideMark/>
          </w:tcPr>
          <w:p w14:paraId="0E83883A" w14:textId="77777777" w:rsidR="00000000" w:rsidRDefault="00195E73">
            <w:pPr>
              <w:rPr>
                <w:rFonts w:eastAsia="Times New Roman"/>
                <w:sz w:val="20"/>
                <w:szCs w:val="20"/>
              </w:rPr>
            </w:pPr>
          </w:p>
        </w:tc>
        <w:tc>
          <w:tcPr>
            <w:tcW w:w="50" w:type="pct"/>
            <w:vAlign w:val="center"/>
            <w:hideMark/>
          </w:tcPr>
          <w:p w14:paraId="670DDBAE" w14:textId="77777777" w:rsidR="00000000" w:rsidRDefault="00195E73">
            <w:pPr>
              <w:rPr>
                <w:rFonts w:eastAsia="Times New Roman"/>
                <w:sz w:val="20"/>
                <w:szCs w:val="20"/>
              </w:rPr>
            </w:pPr>
          </w:p>
        </w:tc>
        <w:tc>
          <w:tcPr>
            <w:tcW w:w="50" w:type="pct"/>
            <w:vAlign w:val="center"/>
            <w:hideMark/>
          </w:tcPr>
          <w:p w14:paraId="19B18E69" w14:textId="77777777" w:rsidR="00000000" w:rsidRDefault="00195E73">
            <w:pPr>
              <w:rPr>
                <w:rFonts w:eastAsia="Times New Roman"/>
                <w:sz w:val="20"/>
                <w:szCs w:val="20"/>
              </w:rPr>
            </w:pPr>
          </w:p>
        </w:tc>
        <w:tc>
          <w:tcPr>
            <w:tcW w:w="633" w:type="pct"/>
            <w:vAlign w:val="center"/>
            <w:hideMark/>
          </w:tcPr>
          <w:p w14:paraId="4BB110B6" w14:textId="77777777" w:rsidR="00000000" w:rsidRDefault="00195E73">
            <w:pPr>
              <w:rPr>
                <w:rFonts w:eastAsia="Times New Roman"/>
                <w:sz w:val="20"/>
                <w:szCs w:val="20"/>
              </w:rPr>
            </w:pPr>
          </w:p>
        </w:tc>
        <w:tc>
          <w:tcPr>
            <w:tcW w:w="50" w:type="pct"/>
            <w:vAlign w:val="center"/>
            <w:hideMark/>
          </w:tcPr>
          <w:p w14:paraId="62DAE34B" w14:textId="77777777" w:rsidR="00000000" w:rsidRDefault="00195E73">
            <w:pPr>
              <w:rPr>
                <w:rFonts w:eastAsia="Times New Roman"/>
                <w:sz w:val="20"/>
                <w:szCs w:val="20"/>
              </w:rPr>
            </w:pPr>
          </w:p>
        </w:tc>
        <w:tc>
          <w:tcPr>
            <w:tcW w:w="5" w:type="pct"/>
            <w:vAlign w:val="center"/>
            <w:hideMark/>
          </w:tcPr>
          <w:p w14:paraId="024E9189" w14:textId="77777777" w:rsidR="00000000" w:rsidRDefault="00195E73">
            <w:pPr>
              <w:rPr>
                <w:rFonts w:eastAsia="Times New Roman"/>
                <w:sz w:val="20"/>
                <w:szCs w:val="20"/>
              </w:rPr>
            </w:pPr>
          </w:p>
        </w:tc>
        <w:tc>
          <w:tcPr>
            <w:tcW w:w="26" w:type="pct"/>
            <w:vAlign w:val="center"/>
            <w:hideMark/>
          </w:tcPr>
          <w:p w14:paraId="1B31EDB8" w14:textId="77777777" w:rsidR="00000000" w:rsidRDefault="00195E73">
            <w:pPr>
              <w:rPr>
                <w:rFonts w:eastAsia="Times New Roman"/>
                <w:sz w:val="20"/>
                <w:szCs w:val="20"/>
              </w:rPr>
            </w:pPr>
          </w:p>
        </w:tc>
        <w:tc>
          <w:tcPr>
            <w:tcW w:w="5" w:type="pct"/>
            <w:vAlign w:val="center"/>
            <w:hideMark/>
          </w:tcPr>
          <w:p w14:paraId="6579611E" w14:textId="77777777" w:rsidR="00000000" w:rsidRDefault="00195E73">
            <w:pPr>
              <w:rPr>
                <w:rFonts w:eastAsia="Times New Roman"/>
                <w:sz w:val="20"/>
                <w:szCs w:val="20"/>
              </w:rPr>
            </w:pPr>
          </w:p>
        </w:tc>
        <w:tc>
          <w:tcPr>
            <w:tcW w:w="50" w:type="pct"/>
            <w:vAlign w:val="center"/>
            <w:hideMark/>
          </w:tcPr>
          <w:p w14:paraId="7C8FB25B" w14:textId="77777777" w:rsidR="00000000" w:rsidRDefault="00195E73">
            <w:pPr>
              <w:rPr>
                <w:rFonts w:eastAsia="Times New Roman"/>
                <w:sz w:val="20"/>
                <w:szCs w:val="20"/>
              </w:rPr>
            </w:pPr>
          </w:p>
        </w:tc>
        <w:tc>
          <w:tcPr>
            <w:tcW w:w="633" w:type="pct"/>
            <w:vAlign w:val="center"/>
            <w:hideMark/>
          </w:tcPr>
          <w:p w14:paraId="2FBA53EE" w14:textId="77777777" w:rsidR="00000000" w:rsidRDefault="00195E73">
            <w:pPr>
              <w:rPr>
                <w:rFonts w:eastAsia="Times New Roman"/>
                <w:sz w:val="20"/>
                <w:szCs w:val="20"/>
              </w:rPr>
            </w:pPr>
          </w:p>
        </w:tc>
        <w:tc>
          <w:tcPr>
            <w:tcW w:w="50" w:type="pct"/>
            <w:vAlign w:val="center"/>
            <w:hideMark/>
          </w:tcPr>
          <w:p w14:paraId="1A32A981" w14:textId="77777777" w:rsidR="00000000" w:rsidRDefault="00195E73">
            <w:pPr>
              <w:rPr>
                <w:rFonts w:eastAsia="Times New Roman"/>
                <w:sz w:val="20"/>
                <w:szCs w:val="20"/>
              </w:rPr>
            </w:pPr>
          </w:p>
        </w:tc>
        <w:tc>
          <w:tcPr>
            <w:tcW w:w="5" w:type="pct"/>
            <w:vAlign w:val="center"/>
            <w:hideMark/>
          </w:tcPr>
          <w:p w14:paraId="249D7DC0" w14:textId="77777777" w:rsidR="00000000" w:rsidRDefault="00195E73">
            <w:pPr>
              <w:rPr>
                <w:rFonts w:eastAsia="Times New Roman"/>
                <w:sz w:val="20"/>
                <w:szCs w:val="20"/>
              </w:rPr>
            </w:pPr>
          </w:p>
        </w:tc>
        <w:tc>
          <w:tcPr>
            <w:tcW w:w="26" w:type="pct"/>
            <w:vAlign w:val="center"/>
            <w:hideMark/>
          </w:tcPr>
          <w:p w14:paraId="48EDF7F4" w14:textId="77777777" w:rsidR="00000000" w:rsidRDefault="00195E73">
            <w:pPr>
              <w:rPr>
                <w:rFonts w:eastAsia="Times New Roman"/>
                <w:sz w:val="20"/>
                <w:szCs w:val="20"/>
              </w:rPr>
            </w:pPr>
          </w:p>
        </w:tc>
        <w:tc>
          <w:tcPr>
            <w:tcW w:w="5" w:type="pct"/>
            <w:vAlign w:val="center"/>
            <w:hideMark/>
          </w:tcPr>
          <w:p w14:paraId="6C4E373C" w14:textId="77777777" w:rsidR="00000000" w:rsidRDefault="00195E73">
            <w:pPr>
              <w:rPr>
                <w:rFonts w:eastAsia="Times New Roman"/>
                <w:sz w:val="20"/>
                <w:szCs w:val="20"/>
              </w:rPr>
            </w:pPr>
          </w:p>
        </w:tc>
        <w:tc>
          <w:tcPr>
            <w:tcW w:w="50" w:type="pct"/>
            <w:vAlign w:val="center"/>
            <w:hideMark/>
          </w:tcPr>
          <w:p w14:paraId="0FA9F2B5" w14:textId="77777777" w:rsidR="00000000" w:rsidRDefault="00195E73">
            <w:pPr>
              <w:rPr>
                <w:rFonts w:eastAsia="Times New Roman"/>
                <w:sz w:val="20"/>
                <w:szCs w:val="20"/>
              </w:rPr>
            </w:pPr>
          </w:p>
        </w:tc>
        <w:tc>
          <w:tcPr>
            <w:tcW w:w="633" w:type="pct"/>
            <w:vAlign w:val="center"/>
            <w:hideMark/>
          </w:tcPr>
          <w:p w14:paraId="05D0D19D" w14:textId="77777777" w:rsidR="00000000" w:rsidRDefault="00195E73">
            <w:pPr>
              <w:rPr>
                <w:rFonts w:eastAsia="Times New Roman"/>
                <w:sz w:val="20"/>
                <w:szCs w:val="20"/>
              </w:rPr>
            </w:pPr>
          </w:p>
        </w:tc>
        <w:tc>
          <w:tcPr>
            <w:tcW w:w="50" w:type="pct"/>
            <w:vAlign w:val="center"/>
            <w:hideMark/>
          </w:tcPr>
          <w:p w14:paraId="37062EEE" w14:textId="77777777" w:rsidR="00000000" w:rsidRDefault="00195E73">
            <w:pPr>
              <w:rPr>
                <w:rFonts w:eastAsia="Times New Roman"/>
                <w:sz w:val="20"/>
                <w:szCs w:val="20"/>
              </w:rPr>
            </w:pPr>
          </w:p>
        </w:tc>
      </w:tr>
      <w:tr w:rsidR="00000000" w14:paraId="329D29F3" w14:textId="77777777">
        <w:trPr>
          <w:divId w:val="416706876"/>
          <w:jc w:val="center"/>
        </w:trPr>
        <w:tc>
          <w:tcPr>
            <w:tcW w:w="0" w:type="auto"/>
            <w:gridSpan w:val="3"/>
            <w:tcMar>
              <w:top w:w="15" w:type="dxa"/>
              <w:left w:w="20" w:type="dxa"/>
              <w:bottom w:w="15" w:type="dxa"/>
              <w:right w:w="20" w:type="dxa"/>
            </w:tcMar>
            <w:vAlign w:val="bottom"/>
            <w:hideMark/>
          </w:tcPr>
          <w:p w14:paraId="43CD3CE8"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33A65D3C"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1053A62F" w14:textId="77777777" w:rsidR="00000000" w:rsidRDefault="00195E73">
            <w:pPr>
              <w:jc w:val="center"/>
              <w:rPr>
                <w:rFonts w:eastAsia="Times New Roman"/>
              </w:rPr>
            </w:pPr>
          </w:p>
        </w:tc>
        <w:tc>
          <w:tcPr>
            <w:tcW w:w="0" w:type="auto"/>
            <w:gridSpan w:val="3"/>
            <w:vAlign w:val="center"/>
            <w:hideMark/>
          </w:tcPr>
          <w:p w14:paraId="741B1550" w14:textId="77777777" w:rsidR="00000000" w:rsidRDefault="00195E73">
            <w:pPr>
              <w:rPr>
                <w:rFonts w:eastAsia="Times New Roman"/>
                <w:sz w:val="20"/>
                <w:szCs w:val="20"/>
              </w:rPr>
            </w:pPr>
          </w:p>
        </w:tc>
        <w:tc>
          <w:tcPr>
            <w:tcW w:w="0" w:type="auto"/>
            <w:gridSpan w:val="3"/>
            <w:vAlign w:val="center"/>
            <w:hideMark/>
          </w:tcPr>
          <w:p w14:paraId="4E0D9FC3" w14:textId="77777777" w:rsidR="00000000" w:rsidRDefault="00195E73">
            <w:pPr>
              <w:rPr>
                <w:rFonts w:eastAsia="Times New Roman"/>
                <w:sz w:val="20"/>
                <w:szCs w:val="20"/>
              </w:rPr>
            </w:pPr>
          </w:p>
        </w:tc>
        <w:tc>
          <w:tcPr>
            <w:tcW w:w="0" w:type="auto"/>
            <w:gridSpan w:val="3"/>
            <w:vAlign w:val="center"/>
            <w:hideMark/>
          </w:tcPr>
          <w:p w14:paraId="7BB6E5DC" w14:textId="77777777" w:rsidR="00000000" w:rsidRDefault="00195E73">
            <w:pPr>
              <w:rPr>
                <w:rFonts w:eastAsia="Times New Roman"/>
                <w:sz w:val="20"/>
                <w:szCs w:val="20"/>
              </w:rPr>
            </w:pPr>
          </w:p>
        </w:tc>
      </w:tr>
      <w:tr w:rsidR="00000000" w14:paraId="4D37B1BB" w14:textId="77777777">
        <w:trPr>
          <w:divId w:val="416706876"/>
          <w:jc w:val="center"/>
        </w:trPr>
        <w:tc>
          <w:tcPr>
            <w:tcW w:w="0" w:type="auto"/>
            <w:gridSpan w:val="3"/>
            <w:tcMar>
              <w:top w:w="30" w:type="dxa"/>
              <w:left w:w="20" w:type="dxa"/>
              <w:bottom w:w="30" w:type="dxa"/>
              <w:right w:w="20" w:type="dxa"/>
            </w:tcMar>
            <w:vAlign w:val="bottom"/>
            <w:hideMark/>
          </w:tcPr>
          <w:p w14:paraId="525F2106" w14:textId="77777777" w:rsidR="00000000" w:rsidRDefault="00195E73">
            <w:pPr>
              <w:rPr>
                <w:rFonts w:eastAsia="Times New Roman"/>
              </w:rPr>
            </w:pPr>
            <w:r>
              <w:rPr>
                <w:rFonts w:eastAsia="Times New Roman"/>
                <w:b/>
                <w:bCs/>
                <w:color w:val="000000"/>
                <w:sz w:val="16"/>
                <w:szCs w:val="16"/>
              </w:rPr>
              <w:t> </w:t>
            </w: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2682C38A"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01944F3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B0A34A"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60751657"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6E6DF63"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6214979A" w14:textId="77777777" w:rsidR="00000000" w:rsidRDefault="00195E73">
            <w:pPr>
              <w:rPr>
                <w:rFonts w:eastAsia="Times New Roman"/>
                <w:sz w:val="20"/>
                <w:szCs w:val="20"/>
              </w:rPr>
            </w:pPr>
          </w:p>
        </w:tc>
        <w:tc>
          <w:tcPr>
            <w:tcW w:w="0" w:type="auto"/>
            <w:vAlign w:val="center"/>
            <w:hideMark/>
          </w:tcPr>
          <w:p w14:paraId="4B08E974" w14:textId="77777777" w:rsidR="00000000" w:rsidRDefault="00195E73">
            <w:pPr>
              <w:rPr>
                <w:rFonts w:eastAsia="Times New Roman"/>
                <w:sz w:val="20"/>
                <w:szCs w:val="20"/>
              </w:rPr>
            </w:pPr>
          </w:p>
        </w:tc>
        <w:tc>
          <w:tcPr>
            <w:tcW w:w="0" w:type="auto"/>
            <w:vAlign w:val="center"/>
            <w:hideMark/>
          </w:tcPr>
          <w:p w14:paraId="2FF0E04E" w14:textId="77777777" w:rsidR="00000000" w:rsidRDefault="00195E73">
            <w:pPr>
              <w:rPr>
                <w:rFonts w:eastAsia="Times New Roman"/>
                <w:sz w:val="20"/>
                <w:szCs w:val="20"/>
              </w:rPr>
            </w:pPr>
          </w:p>
        </w:tc>
        <w:tc>
          <w:tcPr>
            <w:tcW w:w="0" w:type="auto"/>
            <w:vAlign w:val="center"/>
            <w:hideMark/>
          </w:tcPr>
          <w:p w14:paraId="46D9F005" w14:textId="77777777" w:rsidR="00000000" w:rsidRDefault="00195E73">
            <w:pPr>
              <w:rPr>
                <w:rFonts w:eastAsia="Times New Roman"/>
                <w:sz w:val="20"/>
                <w:szCs w:val="20"/>
              </w:rPr>
            </w:pPr>
          </w:p>
        </w:tc>
        <w:tc>
          <w:tcPr>
            <w:tcW w:w="0" w:type="auto"/>
            <w:vAlign w:val="center"/>
            <w:hideMark/>
          </w:tcPr>
          <w:p w14:paraId="31D9C7EF" w14:textId="77777777" w:rsidR="00000000" w:rsidRDefault="00195E73">
            <w:pPr>
              <w:rPr>
                <w:rFonts w:eastAsia="Times New Roman"/>
                <w:sz w:val="20"/>
                <w:szCs w:val="20"/>
              </w:rPr>
            </w:pPr>
          </w:p>
        </w:tc>
        <w:tc>
          <w:tcPr>
            <w:tcW w:w="0" w:type="auto"/>
            <w:vAlign w:val="center"/>
            <w:hideMark/>
          </w:tcPr>
          <w:p w14:paraId="0AD7E6AE" w14:textId="77777777" w:rsidR="00000000" w:rsidRDefault="00195E73">
            <w:pPr>
              <w:rPr>
                <w:rFonts w:eastAsia="Times New Roman"/>
                <w:sz w:val="20"/>
                <w:szCs w:val="20"/>
              </w:rPr>
            </w:pPr>
          </w:p>
        </w:tc>
        <w:tc>
          <w:tcPr>
            <w:tcW w:w="0" w:type="auto"/>
            <w:vAlign w:val="center"/>
            <w:hideMark/>
          </w:tcPr>
          <w:p w14:paraId="17B9664C" w14:textId="77777777" w:rsidR="00000000" w:rsidRDefault="00195E73">
            <w:pPr>
              <w:rPr>
                <w:rFonts w:eastAsia="Times New Roman"/>
                <w:sz w:val="20"/>
                <w:szCs w:val="20"/>
              </w:rPr>
            </w:pPr>
          </w:p>
        </w:tc>
        <w:tc>
          <w:tcPr>
            <w:tcW w:w="0" w:type="auto"/>
            <w:vAlign w:val="center"/>
            <w:hideMark/>
          </w:tcPr>
          <w:p w14:paraId="3E963738" w14:textId="77777777" w:rsidR="00000000" w:rsidRDefault="00195E73">
            <w:pPr>
              <w:rPr>
                <w:rFonts w:eastAsia="Times New Roman"/>
                <w:sz w:val="20"/>
                <w:szCs w:val="20"/>
              </w:rPr>
            </w:pPr>
          </w:p>
        </w:tc>
        <w:tc>
          <w:tcPr>
            <w:tcW w:w="0" w:type="auto"/>
            <w:vAlign w:val="center"/>
            <w:hideMark/>
          </w:tcPr>
          <w:p w14:paraId="23D12F5F" w14:textId="77777777" w:rsidR="00000000" w:rsidRDefault="00195E73">
            <w:pPr>
              <w:rPr>
                <w:rFonts w:eastAsia="Times New Roman"/>
                <w:sz w:val="20"/>
                <w:szCs w:val="20"/>
              </w:rPr>
            </w:pPr>
          </w:p>
        </w:tc>
        <w:tc>
          <w:tcPr>
            <w:tcW w:w="0" w:type="auto"/>
            <w:vAlign w:val="center"/>
            <w:hideMark/>
          </w:tcPr>
          <w:p w14:paraId="2B1302B0" w14:textId="77777777" w:rsidR="00000000" w:rsidRDefault="00195E73">
            <w:pPr>
              <w:rPr>
                <w:rFonts w:eastAsia="Times New Roman"/>
                <w:sz w:val="20"/>
                <w:szCs w:val="20"/>
              </w:rPr>
            </w:pPr>
          </w:p>
        </w:tc>
        <w:tc>
          <w:tcPr>
            <w:tcW w:w="0" w:type="auto"/>
            <w:vAlign w:val="center"/>
            <w:hideMark/>
          </w:tcPr>
          <w:p w14:paraId="135AF61A" w14:textId="77777777" w:rsidR="00000000" w:rsidRDefault="00195E73">
            <w:pPr>
              <w:rPr>
                <w:rFonts w:eastAsia="Times New Roman"/>
                <w:sz w:val="20"/>
                <w:szCs w:val="20"/>
              </w:rPr>
            </w:pPr>
          </w:p>
        </w:tc>
        <w:tc>
          <w:tcPr>
            <w:tcW w:w="0" w:type="auto"/>
            <w:vAlign w:val="center"/>
            <w:hideMark/>
          </w:tcPr>
          <w:p w14:paraId="23A006F5" w14:textId="77777777" w:rsidR="00000000" w:rsidRDefault="00195E73">
            <w:pPr>
              <w:rPr>
                <w:rFonts w:eastAsia="Times New Roman"/>
                <w:sz w:val="20"/>
                <w:szCs w:val="20"/>
              </w:rPr>
            </w:pPr>
          </w:p>
        </w:tc>
      </w:tr>
      <w:tr w:rsidR="00000000" w14:paraId="71837975" w14:textId="77777777">
        <w:trPr>
          <w:divId w:val="416706876"/>
          <w:jc w:val="center"/>
        </w:trPr>
        <w:tc>
          <w:tcPr>
            <w:tcW w:w="0" w:type="auto"/>
            <w:gridSpan w:val="3"/>
            <w:tcMar>
              <w:top w:w="15" w:type="dxa"/>
              <w:left w:w="20" w:type="dxa"/>
              <w:bottom w:w="15" w:type="dxa"/>
              <w:right w:w="20" w:type="dxa"/>
            </w:tcMar>
            <w:vAlign w:val="bottom"/>
            <w:hideMark/>
          </w:tcPr>
          <w:p w14:paraId="6CAA2CC5" w14:textId="77777777" w:rsidR="00000000" w:rsidRDefault="00195E73">
            <w:pPr>
              <w:jc w:val="center"/>
              <w:rPr>
                <w:rFonts w:eastAsia="Times New Roman"/>
              </w:rPr>
            </w:pPr>
          </w:p>
        </w:tc>
        <w:tc>
          <w:tcPr>
            <w:tcW w:w="0" w:type="auto"/>
            <w:gridSpan w:val="14"/>
            <w:tcBorders>
              <w:top w:val="single" w:sz="8" w:space="0" w:color="000000"/>
            </w:tcBorders>
            <w:tcMar>
              <w:top w:w="30" w:type="dxa"/>
              <w:left w:w="20" w:type="dxa"/>
              <w:bottom w:w="30" w:type="dxa"/>
              <w:right w:w="0" w:type="dxa"/>
            </w:tcMar>
            <w:vAlign w:val="bottom"/>
            <w:hideMark/>
          </w:tcPr>
          <w:p w14:paraId="5784799A"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1039E27D"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17B28B36" w14:textId="77777777" w:rsidR="00000000" w:rsidRDefault="00195E73">
            <w:pPr>
              <w:jc w:val="right"/>
              <w:rPr>
                <w:rFonts w:eastAsia="Times New Roman"/>
              </w:rPr>
            </w:pPr>
          </w:p>
        </w:tc>
        <w:tc>
          <w:tcPr>
            <w:tcW w:w="0" w:type="auto"/>
            <w:gridSpan w:val="3"/>
            <w:vAlign w:val="center"/>
            <w:hideMark/>
          </w:tcPr>
          <w:p w14:paraId="37935A21" w14:textId="77777777" w:rsidR="00000000" w:rsidRDefault="00195E73">
            <w:pPr>
              <w:rPr>
                <w:rFonts w:eastAsia="Times New Roman"/>
                <w:sz w:val="20"/>
                <w:szCs w:val="20"/>
              </w:rPr>
            </w:pPr>
          </w:p>
        </w:tc>
        <w:tc>
          <w:tcPr>
            <w:tcW w:w="0" w:type="auto"/>
            <w:gridSpan w:val="3"/>
            <w:vAlign w:val="center"/>
            <w:hideMark/>
          </w:tcPr>
          <w:p w14:paraId="2AF570B7" w14:textId="77777777" w:rsidR="00000000" w:rsidRDefault="00195E73">
            <w:pPr>
              <w:rPr>
                <w:rFonts w:eastAsia="Times New Roman"/>
                <w:sz w:val="20"/>
                <w:szCs w:val="20"/>
              </w:rPr>
            </w:pPr>
          </w:p>
        </w:tc>
        <w:tc>
          <w:tcPr>
            <w:tcW w:w="0" w:type="auto"/>
            <w:gridSpan w:val="3"/>
            <w:vAlign w:val="center"/>
            <w:hideMark/>
          </w:tcPr>
          <w:p w14:paraId="24F1F652" w14:textId="77777777" w:rsidR="00000000" w:rsidRDefault="00195E73">
            <w:pPr>
              <w:rPr>
                <w:rFonts w:eastAsia="Times New Roman"/>
                <w:sz w:val="20"/>
                <w:szCs w:val="20"/>
              </w:rPr>
            </w:pPr>
          </w:p>
        </w:tc>
      </w:tr>
      <w:tr w:rsidR="00000000" w14:paraId="2FB3C362" w14:textId="77777777">
        <w:trPr>
          <w:divId w:val="416706876"/>
          <w:jc w:val="center"/>
        </w:trPr>
        <w:tc>
          <w:tcPr>
            <w:tcW w:w="0" w:type="auto"/>
            <w:gridSpan w:val="3"/>
            <w:shd w:val="clear" w:color="auto" w:fill="CCEEFF"/>
            <w:tcMar>
              <w:top w:w="30" w:type="dxa"/>
              <w:left w:w="20" w:type="dxa"/>
              <w:bottom w:w="30" w:type="dxa"/>
              <w:right w:w="20" w:type="dxa"/>
            </w:tcMar>
            <w:vAlign w:val="bottom"/>
            <w:hideMark/>
          </w:tcPr>
          <w:p w14:paraId="5BD77D41" w14:textId="77777777" w:rsidR="00000000" w:rsidRDefault="00195E73">
            <w:pPr>
              <w:rPr>
                <w:rFonts w:eastAsia="Times New Roman"/>
              </w:rPr>
            </w:pPr>
            <w:r>
              <w:rPr>
                <w:rFonts w:eastAsia="Times New Roman"/>
                <w:color w:val="000000"/>
                <w:sz w:val="20"/>
                <w:szCs w:val="20"/>
              </w:rPr>
              <w:t>Income tax benefit (expense) at U.S. statutory rat</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14:paraId="74ED1B4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73C4584" w14:textId="77777777" w:rsidR="00000000" w:rsidRDefault="00195E73">
            <w:pPr>
              <w:jc w:val="right"/>
              <w:rPr>
                <w:rFonts w:eastAsia="Times New Roman"/>
              </w:rPr>
            </w:pPr>
            <w:r>
              <w:rPr>
                <w:rFonts w:eastAsia="Times New Roman"/>
                <w:color w:val="000000"/>
                <w:sz w:val="20"/>
                <w:szCs w:val="20"/>
              </w:rPr>
              <w:t>365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E43A0CF"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337D0675"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E6D87A6" w14:textId="77777777" w:rsidR="00000000" w:rsidRDefault="00195E73">
            <w:pPr>
              <w:jc w:val="right"/>
              <w:rPr>
                <w:rFonts w:eastAsia="Times New Roman"/>
              </w:rPr>
            </w:pPr>
            <w:r>
              <w:rPr>
                <w:rFonts w:eastAsia="Times New Roman"/>
                <w:color w:val="000000"/>
                <w:sz w:val="20"/>
                <w:szCs w:val="20"/>
              </w:rPr>
              <w:t> </w:t>
            </w:r>
          </w:p>
        </w:tc>
        <w:tc>
          <w:tcPr>
            <w:tcW w:w="0" w:type="auto"/>
            <w:shd w:val="clear" w:color="auto" w:fill="CCEEFF"/>
            <w:tcMar>
              <w:top w:w="30" w:type="dxa"/>
              <w:left w:w="20" w:type="dxa"/>
              <w:bottom w:w="30" w:type="dxa"/>
              <w:right w:w="15" w:type="dxa"/>
            </w:tcMar>
            <w:vAlign w:val="bottom"/>
            <w:hideMark/>
          </w:tcPr>
          <w:p w14:paraId="2AF9E0A5"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F2BDEA6" w14:textId="77777777" w:rsidR="00000000" w:rsidRDefault="00195E73">
            <w:pPr>
              <w:jc w:val="right"/>
              <w:rPr>
                <w:rFonts w:eastAsia="Times New Roman"/>
              </w:rPr>
            </w:pPr>
            <w:r>
              <w:rPr>
                <w:rFonts w:eastAsia="Times New Roman"/>
                <w:color w:val="000000"/>
                <w:sz w:val="20"/>
                <w:szCs w:val="20"/>
              </w:rPr>
              <w:t>(47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10975CC"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42F8F7BD"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444E553" w14:textId="77777777" w:rsidR="00000000" w:rsidRDefault="00195E73">
            <w:pPr>
              <w:jc w:val="right"/>
              <w:rPr>
                <w:rFonts w:eastAsia="Times New Roman"/>
              </w:rPr>
            </w:pPr>
            <w:r>
              <w:rPr>
                <w:rFonts w:eastAsia="Times New Roman"/>
                <w:color w:val="000000"/>
                <w:sz w:val="20"/>
                <w:szCs w:val="20"/>
              </w:rPr>
              <w:t> </w:t>
            </w:r>
          </w:p>
        </w:tc>
        <w:tc>
          <w:tcPr>
            <w:tcW w:w="0" w:type="auto"/>
            <w:shd w:val="clear" w:color="auto" w:fill="CCEEFF"/>
            <w:tcMar>
              <w:top w:w="30" w:type="dxa"/>
              <w:left w:w="20" w:type="dxa"/>
              <w:bottom w:w="30" w:type="dxa"/>
              <w:right w:w="15" w:type="dxa"/>
            </w:tcMar>
            <w:vAlign w:val="bottom"/>
            <w:hideMark/>
          </w:tcPr>
          <w:p w14:paraId="421E8EE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95DD18C" w14:textId="77777777" w:rsidR="00000000" w:rsidRDefault="00195E73">
            <w:pPr>
              <w:jc w:val="right"/>
              <w:rPr>
                <w:rFonts w:eastAsia="Times New Roman"/>
              </w:rPr>
            </w:pPr>
            <w:r>
              <w:rPr>
                <w:rFonts w:eastAsia="Times New Roman"/>
                <w:color w:val="000000"/>
                <w:sz w:val="20"/>
                <w:szCs w:val="20"/>
              </w:rPr>
              <w:t>(653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F3CAB3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5816880" w14:textId="77777777" w:rsidR="00000000" w:rsidRDefault="00195E73">
            <w:pPr>
              <w:rPr>
                <w:rFonts w:eastAsia="Times New Roman"/>
                <w:sz w:val="20"/>
                <w:szCs w:val="20"/>
              </w:rPr>
            </w:pPr>
          </w:p>
        </w:tc>
        <w:tc>
          <w:tcPr>
            <w:tcW w:w="0" w:type="auto"/>
            <w:vAlign w:val="center"/>
            <w:hideMark/>
          </w:tcPr>
          <w:p w14:paraId="7092B237" w14:textId="77777777" w:rsidR="00000000" w:rsidRDefault="00195E73">
            <w:pPr>
              <w:rPr>
                <w:rFonts w:eastAsia="Times New Roman"/>
                <w:sz w:val="20"/>
                <w:szCs w:val="20"/>
              </w:rPr>
            </w:pPr>
          </w:p>
        </w:tc>
        <w:tc>
          <w:tcPr>
            <w:tcW w:w="0" w:type="auto"/>
            <w:vAlign w:val="center"/>
            <w:hideMark/>
          </w:tcPr>
          <w:p w14:paraId="46CBDF44" w14:textId="77777777" w:rsidR="00000000" w:rsidRDefault="00195E73">
            <w:pPr>
              <w:rPr>
                <w:rFonts w:eastAsia="Times New Roman"/>
                <w:sz w:val="20"/>
                <w:szCs w:val="20"/>
              </w:rPr>
            </w:pPr>
          </w:p>
        </w:tc>
        <w:tc>
          <w:tcPr>
            <w:tcW w:w="0" w:type="auto"/>
            <w:vAlign w:val="center"/>
            <w:hideMark/>
          </w:tcPr>
          <w:p w14:paraId="16411424" w14:textId="77777777" w:rsidR="00000000" w:rsidRDefault="00195E73">
            <w:pPr>
              <w:rPr>
                <w:rFonts w:eastAsia="Times New Roman"/>
                <w:sz w:val="20"/>
                <w:szCs w:val="20"/>
              </w:rPr>
            </w:pPr>
          </w:p>
        </w:tc>
        <w:tc>
          <w:tcPr>
            <w:tcW w:w="0" w:type="auto"/>
            <w:vAlign w:val="center"/>
            <w:hideMark/>
          </w:tcPr>
          <w:p w14:paraId="59AE53C9" w14:textId="77777777" w:rsidR="00000000" w:rsidRDefault="00195E73">
            <w:pPr>
              <w:rPr>
                <w:rFonts w:eastAsia="Times New Roman"/>
                <w:sz w:val="20"/>
                <w:szCs w:val="20"/>
              </w:rPr>
            </w:pPr>
          </w:p>
        </w:tc>
        <w:tc>
          <w:tcPr>
            <w:tcW w:w="0" w:type="auto"/>
            <w:vAlign w:val="center"/>
            <w:hideMark/>
          </w:tcPr>
          <w:p w14:paraId="0FD13464" w14:textId="77777777" w:rsidR="00000000" w:rsidRDefault="00195E73">
            <w:pPr>
              <w:rPr>
                <w:rFonts w:eastAsia="Times New Roman"/>
                <w:sz w:val="20"/>
                <w:szCs w:val="20"/>
              </w:rPr>
            </w:pPr>
          </w:p>
        </w:tc>
        <w:tc>
          <w:tcPr>
            <w:tcW w:w="0" w:type="auto"/>
            <w:vAlign w:val="center"/>
            <w:hideMark/>
          </w:tcPr>
          <w:p w14:paraId="67D3A928" w14:textId="77777777" w:rsidR="00000000" w:rsidRDefault="00195E73">
            <w:pPr>
              <w:rPr>
                <w:rFonts w:eastAsia="Times New Roman"/>
                <w:sz w:val="20"/>
                <w:szCs w:val="20"/>
              </w:rPr>
            </w:pPr>
          </w:p>
        </w:tc>
        <w:tc>
          <w:tcPr>
            <w:tcW w:w="0" w:type="auto"/>
            <w:vAlign w:val="center"/>
            <w:hideMark/>
          </w:tcPr>
          <w:p w14:paraId="3E0D52A6" w14:textId="77777777" w:rsidR="00000000" w:rsidRDefault="00195E73">
            <w:pPr>
              <w:rPr>
                <w:rFonts w:eastAsia="Times New Roman"/>
                <w:sz w:val="20"/>
                <w:szCs w:val="20"/>
              </w:rPr>
            </w:pPr>
          </w:p>
        </w:tc>
        <w:tc>
          <w:tcPr>
            <w:tcW w:w="0" w:type="auto"/>
            <w:vAlign w:val="center"/>
            <w:hideMark/>
          </w:tcPr>
          <w:p w14:paraId="20289275" w14:textId="77777777" w:rsidR="00000000" w:rsidRDefault="00195E73">
            <w:pPr>
              <w:rPr>
                <w:rFonts w:eastAsia="Times New Roman"/>
                <w:sz w:val="20"/>
                <w:szCs w:val="20"/>
              </w:rPr>
            </w:pPr>
          </w:p>
        </w:tc>
        <w:tc>
          <w:tcPr>
            <w:tcW w:w="0" w:type="auto"/>
            <w:vAlign w:val="center"/>
            <w:hideMark/>
          </w:tcPr>
          <w:p w14:paraId="4F875869" w14:textId="77777777" w:rsidR="00000000" w:rsidRDefault="00195E73">
            <w:pPr>
              <w:rPr>
                <w:rFonts w:eastAsia="Times New Roman"/>
                <w:sz w:val="20"/>
                <w:szCs w:val="20"/>
              </w:rPr>
            </w:pPr>
          </w:p>
        </w:tc>
        <w:tc>
          <w:tcPr>
            <w:tcW w:w="0" w:type="auto"/>
            <w:vAlign w:val="center"/>
            <w:hideMark/>
          </w:tcPr>
          <w:p w14:paraId="1657A00B" w14:textId="77777777" w:rsidR="00000000" w:rsidRDefault="00195E73">
            <w:pPr>
              <w:rPr>
                <w:rFonts w:eastAsia="Times New Roman"/>
                <w:sz w:val="20"/>
                <w:szCs w:val="20"/>
              </w:rPr>
            </w:pPr>
          </w:p>
        </w:tc>
        <w:tc>
          <w:tcPr>
            <w:tcW w:w="0" w:type="auto"/>
            <w:vAlign w:val="center"/>
            <w:hideMark/>
          </w:tcPr>
          <w:p w14:paraId="3AA38F0D" w14:textId="77777777" w:rsidR="00000000" w:rsidRDefault="00195E73">
            <w:pPr>
              <w:rPr>
                <w:rFonts w:eastAsia="Times New Roman"/>
                <w:sz w:val="20"/>
                <w:szCs w:val="20"/>
              </w:rPr>
            </w:pPr>
          </w:p>
        </w:tc>
      </w:tr>
      <w:tr w:rsidR="00000000" w14:paraId="4B9F2B0A" w14:textId="77777777">
        <w:trPr>
          <w:divId w:val="416706876"/>
          <w:jc w:val="center"/>
        </w:trPr>
        <w:tc>
          <w:tcPr>
            <w:tcW w:w="0" w:type="auto"/>
            <w:gridSpan w:val="3"/>
            <w:shd w:val="clear" w:color="auto" w:fill="FFFFFF"/>
            <w:tcMar>
              <w:top w:w="30" w:type="dxa"/>
              <w:left w:w="20" w:type="dxa"/>
              <w:bottom w:w="30" w:type="dxa"/>
              <w:right w:w="20" w:type="dxa"/>
            </w:tcMar>
            <w:vAlign w:val="bottom"/>
            <w:hideMark/>
          </w:tcPr>
          <w:p w14:paraId="1E5B6264" w14:textId="77777777" w:rsidR="00000000" w:rsidRDefault="00195E73">
            <w:pPr>
              <w:rPr>
                <w:rFonts w:eastAsia="Times New Roman"/>
              </w:rPr>
            </w:pPr>
            <w:r>
              <w:rPr>
                <w:rFonts w:eastAsia="Times New Roman"/>
                <w:color w:val="000000"/>
                <w:sz w:val="20"/>
                <w:szCs w:val="20"/>
              </w:rPr>
              <w:t>Tax effect from</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32DA5D5C"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7E3C73C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0318B1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7B161B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AFDC501" w14:textId="77777777" w:rsidR="00000000" w:rsidRDefault="00195E73">
            <w:pPr>
              <w:rPr>
                <w:rFonts w:eastAsia="Times New Roman"/>
                <w:sz w:val="20"/>
                <w:szCs w:val="20"/>
              </w:rPr>
            </w:pPr>
          </w:p>
        </w:tc>
        <w:tc>
          <w:tcPr>
            <w:tcW w:w="0" w:type="auto"/>
            <w:vAlign w:val="center"/>
            <w:hideMark/>
          </w:tcPr>
          <w:p w14:paraId="647B7AF2" w14:textId="77777777" w:rsidR="00000000" w:rsidRDefault="00195E73">
            <w:pPr>
              <w:rPr>
                <w:rFonts w:eastAsia="Times New Roman"/>
                <w:sz w:val="20"/>
                <w:szCs w:val="20"/>
              </w:rPr>
            </w:pPr>
          </w:p>
        </w:tc>
        <w:tc>
          <w:tcPr>
            <w:tcW w:w="0" w:type="auto"/>
            <w:vAlign w:val="center"/>
            <w:hideMark/>
          </w:tcPr>
          <w:p w14:paraId="70288FF8" w14:textId="77777777" w:rsidR="00000000" w:rsidRDefault="00195E73">
            <w:pPr>
              <w:rPr>
                <w:rFonts w:eastAsia="Times New Roman"/>
                <w:sz w:val="20"/>
                <w:szCs w:val="20"/>
              </w:rPr>
            </w:pPr>
          </w:p>
        </w:tc>
        <w:tc>
          <w:tcPr>
            <w:tcW w:w="0" w:type="auto"/>
            <w:vAlign w:val="center"/>
            <w:hideMark/>
          </w:tcPr>
          <w:p w14:paraId="5F28192C" w14:textId="77777777" w:rsidR="00000000" w:rsidRDefault="00195E73">
            <w:pPr>
              <w:rPr>
                <w:rFonts w:eastAsia="Times New Roman"/>
                <w:sz w:val="20"/>
                <w:szCs w:val="20"/>
              </w:rPr>
            </w:pPr>
          </w:p>
        </w:tc>
        <w:tc>
          <w:tcPr>
            <w:tcW w:w="0" w:type="auto"/>
            <w:vAlign w:val="center"/>
            <w:hideMark/>
          </w:tcPr>
          <w:p w14:paraId="205AA565" w14:textId="77777777" w:rsidR="00000000" w:rsidRDefault="00195E73">
            <w:pPr>
              <w:rPr>
                <w:rFonts w:eastAsia="Times New Roman"/>
                <w:sz w:val="20"/>
                <w:szCs w:val="20"/>
              </w:rPr>
            </w:pPr>
          </w:p>
        </w:tc>
        <w:tc>
          <w:tcPr>
            <w:tcW w:w="0" w:type="auto"/>
            <w:vAlign w:val="center"/>
            <w:hideMark/>
          </w:tcPr>
          <w:p w14:paraId="5087E98F" w14:textId="77777777" w:rsidR="00000000" w:rsidRDefault="00195E73">
            <w:pPr>
              <w:rPr>
                <w:rFonts w:eastAsia="Times New Roman"/>
                <w:sz w:val="20"/>
                <w:szCs w:val="20"/>
              </w:rPr>
            </w:pPr>
          </w:p>
        </w:tc>
        <w:tc>
          <w:tcPr>
            <w:tcW w:w="0" w:type="auto"/>
            <w:vAlign w:val="center"/>
            <w:hideMark/>
          </w:tcPr>
          <w:p w14:paraId="0917F2F0" w14:textId="77777777" w:rsidR="00000000" w:rsidRDefault="00195E73">
            <w:pPr>
              <w:rPr>
                <w:rFonts w:eastAsia="Times New Roman"/>
                <w:sz w:val="20"/>
                <w:szCs w:val="20"/>
              </w:rPr>
            </w:pPr>
          </w:p>
        </w:tc>
        <w:tc>
          <w:tcPr>
            <w:tcW w:w="0" w:type="auto"/>
            <w:vAlign w:val="center"/>
            <w:hideMark/>
          </w:tcPr>
          <w:p w14:paraId="76CF8872" w14:textId="77777777" w:rsidR="00000000" w:rsidRDefault="00195E73">
            <w:pPr>
              <w:rPr>
                <w:rFonts w:eastAsia="Times New Roman"/>
                <w:sz w:val="20"/>
                <w:szCs w:val="20"/>
              </w:rPr>
            </w:pPr>
          </w:p>
        </w:tc>
        <w:tc>
          <w:tcPr>
            <w:tcW w:w="0" w:type="auto"/>
            <w:vAlign w:val="center"/>
            <w:hideMark/>
          </w:tcPr>
          <w:p w14:paraId="12B28483" w14:textId="77777777" w:rsidR="00000000" w:rsidRDefault="00195E73">
            <w:pPr>
              <w:rPr>
                <w:rFonts w:eastAsia="Times New Roman"/>
                <w:sz w:val="20"/>
                <w:szCs w:val="20"/>
              </w:rPr>
            </w:pPr>
          </w:p>
        </w:tc>
        <w:tc>
          <w:tcPr>
            <w:tcW w:w="0" w:type="auto"/>
            <w:vAlign w:val="center"/>
            <w:hideMark/>
          </w:tcPr>
          <w:p w14:paraId="65925C3F" w14:textId="77777777" w:rsidR="00000000" w:rsidRDefault="00195E73">
            <w:pPr>
              <w:rPr>
                <w:rFonts w:eastAsia="Times New Roman"/>
                <w:sz w:val="20"/>
                <w:szCs w:val="20"/>
              </w:rPr>
            </w:pPr>
          </w:p>
        </w:tc>
        <w:tc>
          <w:tcPr>
            <w:tcW w:w="0" w:type="auto"/>
            <w:vAlign w:val="center"/>
            <w:hideMark/>
          </w:tcPr>
          <w:p w14:paraId="3AE9C1BE" w14:textId="77777777" w:rsidR="00000000" w:rsidRDefault="00195E73">
            <w:pPr>
              <w:rPr>
                <w:rFonts w:eastAsia="Times New Roman"/>
                <w:sz w:val="20"/>
                <w:szCs w:val="20"/>
              </w:rPr>
            </w:pPr>
          </w:p>
        </w:tc>
        <w:tc>
          <w:tcPr>
            <w:tcW w:w="0" w:type="auto"/>
            <w:vAlign w:val="center"/>
            <w:hideMark/>
          </w:tcPr>
          <w:p w14:paraId="34BA5C3B" w14:textId="77777777" w:rsidR="00000000" w:rsidRDefault="00195E73">
            <w:pPr>
              <w:rPr>
                <w:rFonts w:eastAsia="Times New Roman"/>
                <w:sz w:val="20"/>
                <w:szCs w:val="20"/>
              </w:rPr>
            </w:pPr>
          </w:p>
        </w:tc>
        <w:tc>
          <w:tcPr>
            <w:tcW w:w="0" w:type="auto"/>
            <w:vAlign w:val="center"/>
            <w:hideMark/>
          </w:tcPr>
          <w:p w14:paraId="6C7124D7" w14:textId="77777777" w:rsidR="00000000" w:rsidRDefault="00195E73">
            <w:pPr>
              <w:rPr>
                <w:rFonts w:eastAsia="Times New Roman"/>
                <w:sz w:val="20"/>
                <w:szCs w:val="20"/>
              </w:rPr>
            </w:pPr>
          </w:p>
        </w:tc>
      </w:tr>
      <w:tr w:rsidR="00000000" w14:paraId="3C3744C2" w14:textId="77777777">
        <w:trPr>
          <w:divId w:val="416706876"/>
          <w:jc w:val="center"/>
        </w:trPr>
        <w:tc>
          <w:tcPr>
            <w:tcW w:w="0" w:type="auto"/>
            <w:gridSpan w:val="3"/>
            <w:vAlign w:val="center"/>
            <w:hideMark/>
          </w:tcPr>
          <w:p w14:paraId="3442FDDE" w14:textId="77777777" w:rsidR="00000000" w:rsidRDefault="00195E73">
            <w:pPr>
              <w:rPr>
                <w:rFonts w:eastAsia="Times New Roman"/>
                <w:sz w:val="20"/>
                <w:szCs w:val="20"/>
              </w:rPr>
            </w:pPr>
          </w:p>
        </w:tc>
        <w:tc>
          <w:tcPr>
            <w:tcW w:w="0" w:type="auto"/>
            <w:gridSpan w:val="3"/>
            <w:vAlign w:val="center"/>
            <w:hideMark/>
          </w:tcPr>
          <w:p w14:paraId="09120252" w14:textId="77777777" w:rsidR="00000000" w:rsidRDefault="00195E73">
            <w:pPr>
              <w:rPr>
                <w:rFonts w:eastAsia="Times New Roman"/>
                <w:sz w:val="20"/>
                <w:szCs w:val="20"/>
              </w:rPr>
            </w:pPr>
          </w:p>
        </w:tc>
        <w:tc>
          <w:tcPr>
            <w:tcW w:w="0" w:type="auto"/>
            <w:gridSpan w:val="3"/>
            <w:vAlign w:val="center"/>
            <w:hideMark/>
          </w:tcPr>
          <w:p w14:paraId="12EFC102" w14:textId="77777777" w:rsidR="00000000" w:rsidRDefault="00195E73">
            <w:pPr>
              <w:rPr>
                <w:rFonts w:eastAsia="Times New Roman"/>
                <w:sz w:val="20"/>
                <w:szCs w:val="20"/>
              </w:rPr>
            </w:pPr>
          </w:p>
        </w:tc>
        <w:tc>
          <w:tcPr>
            <w:tcW w:w="0" w:type="auto"/>
            <w:gridSpan w:val="3"/>
            <w:vAlign w:val="center"/>
            <w:hideMark/>
          </w:tcPr>
          <w:p w14:paraId="12CC2C91" w14:textId="77777777" w:rsidR="00000000" w:rsidRDefault="00195E73">
            <w:pPr>
              <w:rPr>
                <w:rFonts w:eastAsia="Times New Roman"/>
                <w:sz w:val="20"/>
                <w:szCs w:val="20"/>
              </w:rPr>
            </w:pPr>
          </w:p>
        </w:tc>
        <w:tc>
          <w:tcPr>
            <w:tcW w:w="0" w:type="auto"/>
            <w:gridSpan w:val="3"/>
            <w:vAlign w:val="center"/>
            <w:hideMark/>
          </w:tcPr>
          <w:p w14:paraId="3DD66B0D" w14:textId="77777777" w:rsidR="00000000" w:rsidRDefault="00195E73">
            <w:pPr>
              <w:rPr>
                <w:rFonts w:eastAsia="Times New Roman"/>
                <w:sz w:val="20"/>
                <w:szCs w:val="20"/>
              </w:rPr>
            </w:pPr>
          </w:p>
        </w:tc>
        <w:tc>
          <w:tcPr>
            <w:tcW w:w="0" w:type="auto"/>
            <w:gridSpan w:val="3"/>
            <w:vAlign w:val="center"/>
            <w:hideMark/>
          </w:tcPr>
          <w:p w14:paraId="65D5AA49" w14:textId="77777777" w:rsidR="00000000" w:rsidRDefault="00195E73">
            <w:pPr>
              <w:rPr>
                <w:rFonts w:eastAsia="Times New Roman"/>
                <w:sz w:val="20"/>
                <w:szCs w:val="20"/>
              </w:rPr>
            </w:pPr>
          </w:p>
        </w:tc>
        <w:tc>
          <w:tcPr>
            <w:tcW w:w="0" w:type="auto"/>
            <w:vAlign w:val="center"/>
            <w:hideMark/>
          </w:tcPr>
          <w:p w14:paraId="50F2A72F" w14:textId="77777777" w:rsidR="00000000" w:rsidRDefault="00195E73">
            <w:pPr>
              <w:rPr>
                <w:rFonts w:eastAsia="Times New Roman"/>
                <w:sz w:val="20"/>
                <w:szCs w:val="20"/>
              </w:rPr>
            </w:pPr>
          </w:p>
        </w:tc>
        <w:tc>
          <w:tcPr>
            <w:tcW w:w="0" w:type="auto"/>
            <w:vAlign w:val="center"/>
            <w:hideMark/>
          </w:tcPr>
          <w:p w14:paraId="080488CC" w14:textId="77777777" w:rsidR="00000000" w:rsidRDefault="00195E73">
            <w:pPr>
              <w:rPr>
                <w:rFonts w:eastAsia="Times New Roman"/>
                <w:sz w:val="20"/>
                <w:szCs w:val="20"/>
              </w:rPr>
            </w:pPr>
          </w:p>
        </w:tc>
        <w:tc>
          <w:tcPr>
            <w:tcW w:w="0" w:type="auto"/>
            <w:vAlign w:val="center"/>
            <w:hideMark/>
          </w:tcPr>
          <w:p w14:paraId="3100C1F8" w14:textId="77777777" w:rsidR="00000000" w:rsidRDefault="00195E73">
            <w:pPr>
              <w:rPr>
                <w:rFonts w:eastAsia="Times New Roman"/>
                <w:sz w:val="20"/>
                <w:szCs w:val="20"/>
              </w:rPr>
            </w:pPr>
          </w:p>
        </w:tc>
        <w:tc>
          <w:tcPr>
            <w:tcW w:w="0" w:type="auto"/>
            <w:vAlign w:val="center"/>
            <w:hideMark/>
          </w:tcPr>
          <w:p w14:paraId="051E01FE" w14:textId="77777777" w:rsidR="00000000" w:rsidRDefault="00195E73">
            <w:pPr>
              <w:rPr>
                <w:rFonts w:eastAsia="Times New Roman"/>
                <w:sz w:val="20"/>
                <w:szCs w:val="20"/>
              </w:rPr>
            </w:pPr>
          </w:p>
        </w:tc>
        <w:tc>
          <w:tcPr>
            <w:tcW w:w="0" w:type="auto"/>
            <w:vAlign w:val="center"/>
            <w:hideMark/>
          </w:tcPr>
          <w:p w14:paraId="6B3F17E8" w14:textId="77777777" w:rsidR="00000000" w:rsidRDefault="00195E73">
            <w:pPr>
              <w:rPr>
                <w:rFonts w:eastAsia="Times New Roman"/>
                <w:sz w:val="20"/>
                <w:szCs w:val="20"/>
              </w:rPr>
            </w:pPr>
          </w:p>
        </w:tc>
        <w:tc>
          <w:tcPr>
            <w:tcW w:w="0" w:type="auto"/>
            <w:vAlign w:val="center"/>
            <w:hideMark/>
          </w:tcPr>
          <w:p w14:paraId="6E8506AE" w14:textId="77777777" w:rsidR="00000000" w:rsidRDefault="00195E73">
            <w:pPr>
              <w:rPr>
                <w:rFonts w:eastAsia="Times New Roman"/>
                <w:sz w:val="20"/>
                <w:szCs w:val="20"/>
              </w:rPr>
            </w:pPr>
          </w:p>
        </w:tc>
        <w:tc>
          <w:tcPr>
            <w:tcW w:w="0" w:type="auto"/>
            <w:vAlign w:val="center"/>
            <w:hideMark/>
          </w:tcPr>
          <w:p w14:paraId="005E3488" w14:textId="77777777" w:rsidR="00000000" w:rsidRDefault="00195E73">
            <w:pPr>
              <w:rPr>
                <w:rFonts w:eastAsia="Times New Roman"/>
                <w:sz w:val="20"/>
                <w:szCs w:val="20"/>
              </w:rPr>
            </w:pPr>
          </w:p>
        </w:tc>
        <w:tc>
          <w:tcPr>
            <w:tcW w:w="0" w:type="auto"/>
            <w:vAlign w:val="center"/>
            <w:hideMark/>
          </w:tcPr>
          <w:p w14:paraId="3911E780" w14:textId="77777777" w:rsidR="00000000" w:rsidRDefault="00195E73">
            <w:pPr>
              <w:rPr>
                <w:rFonts w:eastAsia="Times New Roman"/>
                <w:sz w:val="20"/>
                <w:szCs w:val="20"/>
              </w:rPr>
            </w:pPr>
          </w:p>
        </w:tc>
        <w:tc>
          <w:tcPr>
            <w:tcW w:w="0" w:type="auto"/>
            <w:vAlign w:val="center"/>
            <w:hideMark/>
          </w:tcPr>
          <w:p w14:paraId="7EEAE5C6" w14:textId="77777777" w:rsidR="00000000" w:rsidRDefault="00195E73">
            <w:pPr>
              <w:rPr>
                <w:rFonts w:eastAsia="Times New Roman"/>
                <w:sz w:val="20"/>
                <w:szCs w:val="20"/>
              </w:rPr>
            </w:pPr>
          </w:p>
        </w:tc>
        <w:tc>
          <w:tcPr>
            <w:tcW w:w="0" w:type="auto"/>
            <w:vAlign w:val="center"/>
            <w:hideMark/>
          </w:tcPr>
          <w:p w14:paraId="147DE813" w14:textId="77777777" w:rsidR="00000000" w:rsidRDefault="00195E73">
            <w:pPr>
              <w:rPr>
                <w:rFonts w:eastAsia="Times New Roman"/>
                <w:sz w:val="20"/>
                <w:szCs w:val="20"/>
              </w:rPr>
            </w:pPr>
          </w:p>
        </w:tc>
        <w:tc>
          <w:tcPr>
            <w:tcW w:w="0" w:type="auto"/>
            <w:vAlign w:val="center"/>
            <w:hideMark/>
          </w:tcPr>
          <w:p w14:paraId="3D3CE038" w14:textId="77777777" w:rsidR="00000000" w:rsidRDefault="00195E73">
            <w:pPr>
              <w:rPr>
                <w:rFonts w:eastAsia="Times New Roman"/>
                <w:sz w:val="20"/>
                <w:szCs w:val="20"/>
              </w:rPr>
            </w:pPr>
          </w:p>
        </w:tc>
        <w:tc>
          <w:tcPr>
            <w:tcW w:w="0" w:type="auto"/>
            <w:vAlign w:val="center"/>
            <w:hideMark/>
          </w:tcPr>
          <w:p w14:paraId="63728A7A" w14:textId="77777777" w:rsidR="00000000" w:rsidRDefault="00195E73">
            <w:pPr>
              <w:rPr>
                <w:rFonts w:eastAsia="Times New Roman"/>
                <w:sz w:val="20"/>
                <w:szCs w:val="20"/>
              </w:rPr>
            </w:pPr>
          </w:p>
        </w:tc>
      </w:tr>
      <w:tr w:rsidR="00000000" w14:paraId="7D5AF700" w14:textId="77777777">
        <w:trPr>
          <w:divId w:val="416706876"/>
          <w:jc w:val="center"/>
        </w:trPr>
        <w:tc>
          <w:tcPr>
            <w:tcW w:w="0" w:type="auto"/>
            <w:gridSpan w:val="3"/>
            <w:shd w:val="clear" w:color="auto" w:fill="CCEEFF"/>
            <w:tcMar>
              <w:top w:w="30" w:type="dxa"/>
              <w:left w:w="180" w:type="dxa"/>
              <w:bottom w:w="30" w:type="dxa"/>
              <w:right w:w="20" w:type="dxa"/>
            </w:tcMar>
            <w:vAlign w:val="bottom"/>
            <w:hideMark/>
          </w:tcPr>
          <w:p w14:paraId="2F55A988" w14:textId="77777777" w:rsidR="00000000" w:rsidRDefault="00195E73">
            <w:pPr>
              <w:rPr>
                <w:rFonts w:eastAsia="Times New Roman"/>
              </w:rPr>
            </w:pPr>
            <w:r>
              <w:rPr>
                <w:rFonts w:eastAsia="Times New Roman"/>
                <w:color w:val="000000"/>
                <w:sz w:val="20"/>
                <w:szCs w:val="20"/>
              </w:rPr>
              <w:t>Valuation allowanc</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0455A532" w14:textId="77777777" w:rsidR="00000000" w:rsidRDefault="00195E73">
            <w:pPr>
              <w:jc w:val="right"/>
              <w:rPr>
                <w:rFonts w:eastAsia="Times New Roman"/>
              </w:rPr>
            </w:pPr>
            <w:r>
              <w:rPr>
                <w:rFonts w:eastAsia="Times New Roman"/>
                <w:color w:val="000000"/>
                <w:sz w:val="20"/>
                <w:szCs w:val="20"/>
              </w:rPr>
              <w:t>(63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4AF1A05"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2C862E20"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2A44237"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628D017C"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67ED327"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5A776897"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1F45880"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05F3F2B5" w14:textId="77777777" w:rsidR="00000000" w:rsidRDefault="00195E73">
            <w:pPr>
              <w:jc w:val="right"/>
              <w:rPr>
                <w:rFonts w:eastAsia="Times New Roman"/>
              </w:rPr>
            </w:pPr>
            <w:r>
              <w:rPr>
                <w:rFonts w:eastAsia="Times New Roman"/>
                <w:color w:val="000000"/>
                <w:sz w:val="20"/>
                <w:szCs w:val="20"/>
              </w:rPr>
              <w:t>529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AB2B2D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482C415" w14:textId="77777777" w:rsidR="00000000" w:rsidRDefault="00195E73">
            <w:pPr>
              <w:rPr>
                <w:rFonts w:eastAsia="Times New Roman"/>
                <w:sz w:val="20"/>
                <w:szCs w:val="20"/>
              </w:rPr>
            </w:pPr>
          </w:p>
        </w:tc>
        <w:tc>
          <w:tcPr>
            <w:tcW w:w="0" w:type="auto"/>
            <w:vAlign w:val="center"/>
            <w:hideMark/>
          </w:tcPr>
          <w:p w14:paraId="17A93079" w14:textId="77777777" w:rsidR="00000000" w:rsidRDefault="00195E73">
            <w:pPr>
              <w:rPr>
                <w:rFonts w:eastAsia="Times New Roman"/>
                <w:sz w:val="20"/>
                <w:szCs w:val="20"/>
              </w:rPr>
            </w:pPr>
          </w:p>
        </w:tc>
        <w:tc>
          <w:tcPr>
            <w:tcW w:w="0" w:type="auto"/>
            <w:vAlign w:val="center"/>
            <w:hideMark/>
          </w:tcPr>
          <w:p w14:paraId="50B55970" w14:textId="77777777" w:rsidR="00000000" w:rsidRDefault="00195E73">
            <w:pPr>
              <w:rPr>
                <w:rFonts w:eastAsia="Times New Roman"/>
                <w:sz w:val="20"/>
                <w:szCs w:val="20"/>
              </w:rPr>
            </w:pPr>
          </w:p>
        </w:tc>
        <w:tc>
          <w:tcPr>
            <w:tcW w:w="0" w:type="auto"/>
            <w:vAlign w:val="center"/>
            <w:hideMark/>
          </w:tcPr>
          <w:p w14:paraId="58350277" w14:textId="77777777" w:rsidR="00000000" w:rsidRDefault="00195E73">
            <w:pPr>
              <w:rPr>
                <w:rFonts w:eastAsia="Times New Roman"/>
                <w:sz w:val="20"/>
                <w:szCs w:val="20"/>
              </w:rPr>
            </w:pPr>
          </w:p>
        </w:tc>
        <w:tc>
          <w:tcPr>
            <w:tcW w:w="0" w:type="auto"/>
            <w:vAlign w:val="center"/>
            <w:hideMark/>
          </w:tcPr>
          <w:p w14:paraId="04AC74D6" w14:textId="77777777" w:rsidR="00000000" w:rsidRDefault="00195E73">
            <w:pPr>
              <w:rPr>
                <w:rFonts w:eastAsia="Times New Roman"/>
                <w:sz w:val="20"/>
                <w:szCs w:val="20"/>
              </w:rPr>
            </w:pPr>
          </w:p>
        </w:tc>
        <w:tc>
          <w:tcPr>
            <w:tcW w:w="0" w:type="auto"/>
            <w:vAlign w:val="center"/>
            <w:hideMark/>
          </w:tcPr>
          <w:p w14:paraId="670AF4E8" w14:textId="77777777" w:rsidR="00000000" w:rsidRDefault="00195E73">
            <w:pPr>
              <w:rPr>
                <w:rFonts w:eastAsia="Times New Roman"/>
                <w:sz w:val="20"/>
                <w:szCs w:val="20"/>
              </w:rPr>
            </w:pPr>
          </w:p>
        </w:tc>
        <w:tc>
          <w:tcPr>
            <w:tcW w:w="0" w:type="auto"/>
            <w:vAlign w:val="center"/>
            <w:hideMark/>
          </w:tcPr>
          <w:p w14:paraId="2A6246D8" w14:textId="77777777" w:rsidR="00000000" w:rsidRDefault="00195E73">
            <w:pPr>
              <w:rPr>
                <w:rFonts w:eastAsia="Times New Roman"/>
                <w:sz w:val="20"/>
                <w:szCs w:val="20"/>
              </w:rPr>
            </w:pPr>
          </w:p>
        </w:tc>
        <w:tc>
          <w:tcPr>
            <w:tcW w:w="0" w:type="auto"/>
            <w:vAlign w:val="center"/>
            <w:hideMark/>
          </w:tcPr>
          <w:p w14:paraId="174488CA" w14:textId="77777777" w:rsidR="00000000" w:rsidRDefault="00195E73">
            <w:pPr>
              <w:rPr>
                <w:rFonts w:eastAsia="Times New Roman"/>
                <w:sz w:val="20"/>
                <w:szCs w:val="20"/>
              </w:rPr>
            </w:pPr>
          </w:p>
        </w:tc>
        <w:tc>
          <w:tcPr>
            <w:tcW w:w="0" w:type="auto"/>
            <w:vAlign w:val="center"/>
            <w:hideMark/>
          </w:tcPr>
          <w:p w14:paraId="3B406953" w14:textId="77777777" w:rsidR="00000000" w:rsidRDefault="00195E73">
            <w:pPr>
              <w:rPr>
                <w:rFonts w:eastAsia="Times New Roman"/>
                <w:sz w:val="20"/>
                <w:szCs w:val="20"/>
              </w:rPr>
            </w:pPr>
          </w:p>
        </w:tc>
        <w:tc>
          <w:tcPr>
            <w:tcW w:w="0" w:type="auto"/>
            <w:vAlign w:val="center"/>
            <w:hideMark/>
          </w:tcPr>
          <w:p w14:paraId="31157AFB" w14:textId="77777777" w:rsidR="00000000" w:rsidRDefault="00195E73">
            <w:pPr>
              <w:rPr>
                <w:rFonts w:eastAsia="Times New Roman"/>
                <w:sz w:val="20"/>
                <w:szCs w:val="20"/>
              </w:rPr>
            </w:pPr>
          </w:p>
        </w:tc>
        <w:tc>
          <w:tcPr>
            <w:tcW w:w="0" w:type="auto"/>
            <w:vAlign w:val="center"/>
            <w:hideMark/>
          </w:tcPr>
          <w:p w14:paraId="201BC341" w14:textId="77777777" w:rsidR="00000000" w:rsidRDefault="00195E73">
            <w:pPr>
              <w:rPr>
                <w:rFonts w:eastAsia="Times New Roman"/>
                <w:sz w:val="20"/>
                <w:szCs w:val="20"/>
              </w:rPr>
            </w:pPr>
          </w:p>
        </w:tc>
        <w:tc>
          <w:tcPr>
            <w:tcW w:w="0" w:type="auto"/>
            <w:vAlign w:val="center"/>
            <w:hideMark/>
          </w:tcPr>
          <w:p w14:paraId="641E66CF" w14:textId="77777777" w:rsidR="00000000" w:rsidRDefault="00195E73">
            <w:pPr>
              <w:rPr>
                <w:rFonts w:eastAsia="Times New Roman"/>
                <w:sz w:val="20"/>
                <w:szCs w:val="20"/>
              </w:rPr>
            </w:pPr>
          </w:p>
        </w:tc>
      </w:tr>
      <w:tr w:rsidR="00000000" w14:paraId="407B8029" w14:textId="77777777">
        <w:trPr>
          <w:divId w:val="416706876"/>
          <w:jc w:val="center"/>
        </w:trPr>
        <w:tc>
          <w:tcPr>
            <w:tcW w:w="0" w:type="auto"/>
            <w:gridSpan w:val="3"/>
            <w:shd w:val="clear" w:color="auto" w:fill="FFFFFF"/>
            <w:tcMar>
              <w:top w:w="30" w:type="dxa"/>
              <w:left w:w="180" w:type="dxa"/>
              <w:bottom w:w="30" w:type="dxa"/>
              <w:right w:w="20" w:type="dxa"/>
            </w:tcMar>
            <w:vAlign w:val="bottom"/>
            <w:hideMark/>
          </w:tcPr>
          <w:p w14:paraId="25C2B91B" w14:textId="77777777" w:rsidR="00000000" w:rsidRDefault="00195E73">
            <w:pPr>
              <w:rPr>
                <w:rFonts w:eastAsia="Times New Roman"/>
              </w:rPr>
            </w:pPr>
            <w:r>
              <w:rPr>
                <w:rFonts w:eastAsia="Times New Roman"/>
                <w:color w:val="000000"/>
                <w:sz w:val="20"/>
                <w:szCs w:val="20"/>
              </w:rPr>
              <w:t>Non-controlling interes</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3A440F42"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00A37A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30527D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D5D205" w14:textId="77777777" w:rsidR="00000000" w:rsidRDefault="00195E73">
            <w:pPr>
              <w:jc w:val="right"/>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0E6FA2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816E5E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7EE347" w14:textId="77777777" w:rsidR="00000000" w:rsidRDefault="00195E73">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BE1E72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46D53CD" w14:textId="77777777" w:rsidR="00000000" w:rsidRDefault="00195E73">
            <w:pPr>
              <w:rPr>
                <w:rFonts w:eastAsia="Times New Roman"/>
                <w:sz w:val="20"/>
                <w:szCs w:val="20"/>
              </w:rPr>
            </w:pPr>
          </w:p>
        </w:tc>
        <w:tc>
          <w:tcPr>
            <w:tcW w:w="0" w:type="auto"/>
            <w:vAlign w:val="center"/>
            <w:hideMark/>
          </w:tcPr>
          <w:p w14:paraId="5134C5C0" w14:textId="77777777" w:rsidR="00000000" w:rsidRDefault="00195E73">
            <w:pPr>
              <w:rPr>
                <w:rFonts w:eastAsia="Times New Roman"/>
                <w:sz w:val="20"/>
                <w:szCs w:val="20"/>
              </w:rPr>
            </w:pPr>
          </w:p>
        </w:tc>
        <w:tc>
          <w:tcPr>
            <w:tcW w:w="0" w:type="auto"/>
            <w:vAlign w:val="center"/>
            <w:hideMark/>
          </w:tcPr>
          <w:p w14:paraId="70932E43" w14:textId="77777777" w:rsidR="00000000" w:rsidRDefault="00195E73">
            <w:pPr>
              <w:rPr>
                <w:rFonts w:eastAsia="Times New Roman"/>
                <w:sz w:val="20"/>
                <w:szCs w:val="20"/>
              </w:rPr>
            </w:pPr>
          </w:p>
        </w:tc>
        <w:tc>
          <w:tcPr>
            <w:tcW w:w="0" w:type="auto"/>
            <w:vAlign w:val="center"/>
            <w:hideMark/>
          </w:tcPr>
          <w:p w14:paraId="5962C689" w14:textId="77777777" w:rsidR="00000000" w:rsidRDefault="00195E73">
            <w:pPr>
              <w:rPr>
                <w:rFonts w:eastAsia="Times New Roman"/>
                <w:sz w:val="20"/>
                <w:szCs w:val="20"/>
              </w:rPr>
            </w:pPr>
          </w:p>
        </w:tc>
        <w:tc>
          <w:tcPr>
            <w:tcW w:w="0" w:type="auto"/>
            <w:vAlign w:val="center"/>
            <w:hideMark/>
          </w:tcPr>
          <w:p w14:paraId="3D675BE6" w14:textId="77777777" w:rsidR="00000000" w:rsidRDefault="00195E73">
            <w:pPr>
              <w:rPr>
                <w:rFonts w:eastAsia="Times New Roman"/>
                <w:sz w:val="20"/>
                <w:szCs w:val="20"/>
              </w:rPr>
            </w:pPr>
          </w:p>
        </w:tc>
        <w:tc>
          <w:tcPr>
            <w:tcW w:w="0" w:type="auto"/>
            <w:vAlign w:val="center"/>
            <w:hideMark/>
          </w:tcPr>
          <w:p w14:paraId="413D5022" w14:textId="77777777" w:rsidR="00000000" w:rsidRDefault="00195E73">
            <w:pPr>
              <w:rPr>
                <w:rFonts w:eastAsia="Times New Roman"/>
                <w:sz w:val="20"/>
                <w:szCs w:val="20"/>
              </w:rPr>
            </w:pPr>
          </w:p>
        </w:tc>
        <w:tc>
          <w:tcPr>
            <w:tcW w:w="0" w:type="auto"/>
            <w:vAlign w:val="center"/>
            <w:hideMark/>
          </w:tcPr>
          <w:p w14:paraId="6838106D" w14:textId="77777777" w:rsidR="00000000" w:rsidRDefault="00195E73">
            <w:pPr>
              <w:rPr>
                <w:rFonts w:eastAsia="Times New Roman"/>
                <w:sz w:val="20"/>
                <w:szCs w:val="20"/>
              </w:rPr>
            </w:pPr>
          </w:p>
        </w:tc>
        <w:tc>
          <w:tcPr>
            <w:tcW w:w="0" w:type="auto"/>
            <w:vAlign w:val="center"/>
            <w:hideMark/>
          </w:tcPr>
          <w:p w14:paraId="49DB0AE7" w14:textId="77777777" w:rsidR="00000000" w:rsidRDefault="00195E73">
            <w:pPr>
              <w:rPr>
                <w:rFonts w:eastAsia="Times New Roman"/>
                <w:sz w:val="20"/>
                <w:szCs w:val="20"/>
              </w:rPr>
            </w:pPr>
          </w:p>
        </w:tc>
        <w:tc>
          <w:tcPr>
            <w:tcW w:w="0" w:type="auto"/>
            <w:vAlign w:val="center"/>
            <w:hideMark/>
          </w:tcPr>
          <w:p w14:paraId="733E0992" w14:textId="77777777" w:rsidR="00000000" w:rsidRDefault="00195E73">
            <w:pPr>
              <w:rPr>
                <w:rFonts w:eastAsia="Times New Roman"/>
                <w:sz w:val="20"/>
                <w:szCs w:val="20"/>
              </w:rPr>
            </w:pPr>
          </w:p>
        </w:tc>
        <w:tc>
          <w:tcPr>
            <w:tcW w:w="0" w:type="auto"/>
            <w:vAlign w:val="center"/>
            <w:hideMark/>
          </w:tcPr>
          <w:p w14:paraId="2E021516" w14:textId="77777777" w:rsidR="00000000" w:rsidRDefault="00195E73">
            <w:pPr>
              <w:rPr>
                <w:rFonts w:eastAsia="Times New Roman"/>
                <w:sz w:val="20"/>
                <w:szCs w:val="20"/>
              </w:rPr>
            </w:pPr>
          </w:p>
        </w:tc>
        <w:tc>
          <w:tcPr>
            <w:tcW w:w="0" w:type="auto"/>
            <w:vAlign w:val="center"/>
            <w:hideMark/>
          </w:tcPr>
          <w:p w14:paraId="20EFA7F7" w14:textId="77777777" w:rsidR="00000000" w:rsidRDefault="00195E73">
            <w:pPr>
              <w:rPr>
                <w:rFonts w:eastAsia="Times New Roman"/>
                <w:sz w:val="20"/>
                <w:szCs w:val="20"/>
              </w:rPr>
            </w:pPr>
          </w:p>
        </w:tc>
        <w:tc>
          <w:tcPr>
            <w:tcW w:w="0" w:type="auto"/>
            <w:vAlign w:val="center"/>
            <w:hideMark/>
          </w:tcPr>
          <w:p w14:paraId="250B6056" w14:textId="77777777" w:rsidR="00000000" w:rsidRDefault="00195E73">
            <w:pPr>
              <w:rPr>
                <w:rFonts w:eastAsia="Times New Roman"/>
                <w:sz w:val="20"/>
                <w:szCs w:val="20"/>
              </w:rPr>
            </w:pPr>
          </w:p>
        </w:tc>
      </w:tr>
      <w:tr w:rsidR="00000000" w14:paraId="3E09A777" w14:textId="77777777">
        <w:trPr>
          <w:divId w:val="416706876"/>
          <w:jc w:val="center"/>
        </w:trPr>
        <w:tc>
          <w:tcPr>
            <w:tcW w:w="0" w:type="auto"/>
            <w:gridSpan w:val="3"/>
            <w:shd w:val="clear" w:color="auto" w:fill="CCEEFF"/>
            <w:tcMar>
              <w:top w:w="30" w:type="dxa"/>
              <w:left w:w="180" w:type="dxa"/>
              <w:bottom w:w="30" w:type="dxa"/>
              <w:right w:w="20" w:type="dxa"/>
            </w:tcMar>
            <w:vAlign w:val="bottom"/>
            <w:hideMark/>
          </w:tcPr>
          <w:p w14:paraId="5CF07238" w14:textId="77777777" w:rsidR="00000000" w:rsidRDefault="00195E73">
            <w:pPr>
              <w:rPr>
                <w:rFonts w:eastAsia="Times New Roman"/>
              </w:rPr>
            </w:pPr>
            <w:r>
              <w:rPr>
                <w:rFonts w:eastAsia="Times New Roman"/>
                <w:color w:val="000000"/>
                <w:sz w:val="20"/>
                <w:szCs w:val="20"/>
              </w:rPr>
              <w:t>Goodwill impairmen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0F5AB992"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68DC6B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80E436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3CEB8F" w14:textId="77777777" w:rsidR="00000000" w:rsidRDefault="00195E73">
            <w:pPr>
              <w:jc w:val="right"/>
              <w:rPr>
                <w:rFonts w:eastAsia="Times New Roman"/>
              </w:rPr>
            </w:pPr>
            <w:r>
              <w:rPr>
                <w:rFonts w:eastAsia="Times New Roman"/>
                <w:color w:val="000000"/>
                <w:sz w:val="20"/>
                <w:szCs w:val="20"/>
              </w:rPr>
              <w:t>(18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A25B3A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36ACED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8CC8AC"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AFB306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17D7314" w14:textId="77777777" w:rsidR="00000000" w:rsidRDefault="00195E73">
            <w:pPr>
              <w:rPr>
                <w:rFonts w:eastAsia="Times New Roman"/>
                <w:sz w:val="20"/>
                <w:szCs w:val="20"/>
              </w:rPr>
            </w:pPr>
          </w:p>
        </w:tc>
        <w:tc>
          <w:tcPr>
            <w:tcW w:w="0" w:type="auto"/>
            <w:vAlign w:val="center"/>
            <w:hideMark/>
          </w:tcPr>
          <w:p w14:paraId="54B4A9EB" w14:textId="77777777" w:rsidR="00000000" w:rsidRDefault="00195E73">
            <w:pPr>
              <w:rPr>
                <w:rFonts w:eastAsia="Times New Roman"/>
                <w:sz w:val="20"/>
                <w:szCs w:val="20"/>
              </w:rPr>
            </w:pPr>
          </w:p>
        </w:tc>
        <w:tc>
          <w:tcPr>
            <w:tcW w:w="0" w:type="auto"/>
            <w:vAlign w:val="center"/>
            <w:hideMark/>
          </w:tcPr>
          <w:p w14:paraId="31E78C8A" w14:textId="77777777" w:rsidR="00000000" w:rsidRDefault="00195E73">
            <w:pPr>
              <w:rPr>
                <w:rFonts w:eastAsia="Times New Roman"/>
                <w:sz w:val="20"/>
                <w:szCs w:val="20"/>
              </w:rPr>
            </w:pPr>
          </w:p>
        </w:tc>
        <w:tc>
          <w:tcPr>
            <w:tcW w:w="0" w:type="auto"/>
            <w:vAlign w:val="center"/>
            <w:hideMark/>
          </w:tcPr>
          <w:p w14:paraId="1B0760C1" w14:textId="77777777" w:rsidR="00000000" w:rsidRDefault="00195E73">
            <w:pPr>
              <w:rPr>
                <w:rFonts w:eastAsia="Times New Roman"/>
                <w:sz w:val="20"/>
                <w:szCs w:val="20"/>
              </w:rPr>
            </w:pPr>
          </w:p>
        </w:tc>
        <w:tc>
          <w:tcPr>
            <w:tcW w:w="0" w:type="auto"/>
            <w:vAlign w:val="center"/>
            <w:hideMark/>
          </w:tcPr>
          <w:p w14:paraId="05177EB2" w14:textId="77777777" w:rsidR="00000000" w:rsidRDefault="00195E73">
            <w:pPr>
              <w:rPr>
                <w:rFonts w:eastAsia="Times New Roman"/>
                <w:sz w:val="20"/>
                <w:szCs w:val="20"/>
              </w:rPr>
            </w:pPr>
          </w:p>
        </w:tc>
        <w:tc>
          <w:tcPr>
            <w:tcW w:w="0" w:type="auto"/>
            <w:vAlign w:val="center"/>
            <w:hideMark/>
          </w:tcPr>
          <w:p w14:paraId="71641714" w14:textId="77777777" w:rsidR="00000000" w:rsidRDefault="00195E73">
            <w:pPr>
              <w:rPr>
                <w:rFonts w:eastAsia="Times New Roman"/>
                <w:sz w:val="20"/>
                <w:szCs w:val="20"/>
              </w:rPr>
            </w:pPr>
          </w:p>
        </w:tc>
        <w:tc>
          <w:tcPr>
            <w:tcW w:w="0" w:type="auto"/>
            <w:vAlign w:val="center"/>
            <w:hideMark/>
          </w:tcPr>
          <w:p w14:paraId="27D63EBF" w14:textId="77777777" w:rsidR="00000000" w:rsidRDefault="00195E73">
            <w:pPr>
              <w:rPr>
                <w:rFonts w:eastAsia="Times New Roman"/>
                <w:sz w:val="20"/>
                <w:szCs w:val="20"/>
              </w:rPr>
            </w:pPr>
          </w:p>
        </w:tc>
        <w:tc>
          <w:tcPr>
            <w:tcW w:w="0" w:type="auto"/>
            <w:vAlign w:val="center"/>
            <w:hideMark/>
          </w:tcPr>
          <w:p w14:paraId="6131EF30" w14:textId="77777777" w:rsidR="00000000" w:rsidRDefault="00195E73">
            <w:pPr>
              <w:rPr>
                <w:rFonts w:eastAsia="Times New Roman"/>
                <w:sz w:val="20"/>
                <w:szCs w:val="20"/>
              </w:rPr>
            </w:pPr>
          </w:p>
        </w:tc>
        <w:tc>
          <w:tcPr>
            <w:tcW w:w="0" w:type="auto"/>
            <w:vAlign w:val="center"/>
            <w:hideMark/>
          </w:tcPr>
          <w:p w14:paraId="53B2016B" w14:textId="77777777" w:rsidR="00000000" w:rsidRDefault="00195E73">
            <w:pPr>
              <w:rPr>
                <w:rFonts w:eastAsia="Times New Roman"/>
                <w:sz w:val="20"/>
                <w:szCs w:val="20"/>
              </w:rPr>
            </w:pPr>
          </w:p>
        </w:tc>
        <w:tc>
          <w:tcPr>
            <w:tcW w:w="0" w:type="auto"/>
            <w:vAlign w:val="center"/>
            <w:hideMark/>
          </w:tcPr>
          <w:p w14:paraId="6EED3ECF" w14:textId="77777777" w:rsidR="00000000" w:rsidRDefault="00195E73">
            <w:pPr>
              <w:rPr>
                <w:rFonts w:eastAsia="Times New Roman"/>
                <w:sz w:val="20"/>
                <w:szCs w:val="20"/>
              </w:rPr>
            </w:pPr>
          </w:p>
        </w:tc>
        <w:tc>
          <w:tcPr>
            <w:tcW w:w="0" w:type="auto"/>
            <w:vAlign w:val="center"/>
            <w:hideMark/>
          </w:tcPr>
          <w:p w14:paraId="1E8F7C58" w14:textId="77777777" w:rsidR="00000000" w:rsidRDefault="00195E73">
            <w:pPr>
              <w:rPr>
                <w:rFonts w:eastAsia="Times New Roman"/>
                <w:sz w:val="20"/>
                <w:szCs w:val="20"/>
              </w:rPr>
            </w:pPr>
          </w:p>
        </w:tc>
        <w:tc>
          <w:tcPr>
            <w:tcW w:w="0" w:type="auto"/>
            <w:vAlign w:val="center"/>
            <w:hideMark/>
          </w:tcPr>
          <w:p w14:paraId="01A1FA3D" w14:textId="77777777" w:rsidR="00000000" w:rsidRDefault="00195E73">
            <w:pPr>
              <w:rPr>
                <w:rFonts w:eastAsia="Times New Roman"/>
                <w:sz w:val="20"/>
                <w:szCs w:val="20"/>
              </w:rPr>
            </w:pPr>
          </w:p>
        </w:tc>
      </w:tr>
      <w:tr w:rsidR="00000000" w14:paraId="167917CD" w14:textId="77777777">
        <w:trPr>
          <w:divId w:val="416706876"/>
          <w:jc w:val="center"/>
        </w:trPr>
        <w:tc>
          <w:tcPr>
            <w:tcW w:w="0" w:type="auto"/>
            <w:gridSpan w:val="3"/>
            <w:shd w:val="clear" w:color="auto" w:fill="FFFFFF"/>
            <w:tcMar>
              <w:top w:w="30" w:type="dxa"/>
              <w:left w:w="180" w:type="dxa"/>
              <w:bottom w:w="30" w:type="dxa"/>
              <w:right w:w="20" w:type="dxa"/>
            </w:tcMar>
            <w:vAlign w:val="bottom"/>
            <w:hideMark/>
          </w:tcPr>
          <w:p w14:paraId="136A47A4" w14:textId="77777777" w:rsidR="00000000" w:rsidRDefault="00195E73">
            <w:pPr>
              <w:rPr>
                <w:rFonts w:eastAsia="Times New Roman"/>
              </w:rPr>
            </w:pPr>
            <w:r>
              <w:rPr>
                <w:rFonts w:eastAsia="Times New Roman"/>
                <w:color w:val="000000"/>
                <w:sz w:val="20"/>
                <w:szCs w:val="20"/>
              </w:rPr>
              <w:t>Stock disposition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F4B217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0509A1E"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1F354558"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9B20FA4"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1F0EFC25" w14:textId="77777777" w:rsidR="00000000" w:rsidRDefault="00195E73">
            <w:pPr>
              <w:jc w:val="right"/>
              <w:rPr>
                <w:rFonts w:eastAsia="Times New Roman"/>
              </w:rPr>
            </w:pPr>
            <w:r>
              <w:rPr>
                <w:rFonts w:eastAsia="Times New Roman"/>
                <w:color w:val="000000"/>
                <w:sz w:val="20"/>
                <w:szCs w:val="20"/>
              </w:rPr>
              <w:t>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CEBCAB2"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1CCBCB6F"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14820B6"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571BD995"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276FF7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A329BD9" w14:textId="77777777" w:rsidR="00000000" w:rsidRDefault="00195E73">
            <w:pPr>
              <w:rPr>
                <w:rFonts w:eastAsia="Times New Roman"/>
                <w:sz w:val="20"/>
                <w:szCs w:val="20"/>
              </w:rPr>
            </w:pPr>
          </w:p>
        </w:tc>
        <w:tc>
          <w:tcPr>
            <w:tcW w:w="0" w:type="auto"/>
            <w:vAlign w:val="center"/>
            <w:hideMark/>
          </w:tcPr>
          <w:p w14:paraId="529188BB" w14:textId="77777777" w:rsidR="00000000" w:rsidRDefault="00195E73">
            <w:pPr>
              <w:rPr>
                <w:rFonts w:eastAsia="Times New Roman"/>
                <w:sz w:val="20"/>
                <w:szCs w:val="20"/>
              </w:rPr>
            </w:pPr>
          </w:p>
        </w:tc>
        <w:tc>
          <w:tcPr>
            <w:tcW w:w="0" w:type="auto"/>
            <w:vAlign w:val="center"/>
            <w:hideMark/>
          </w:tcPr>
          <w:p w14:paraId="343750EA" w14:textId="77777777" w:rsidR="00000000" w:rsidRDefault="00195E73">
            <w:pPr>
              <w:rPr>
                <w:rFonts w:eastAsia="Times New Roman"/>
                <w:sz w:val="20"/>
                <w:szCs w:val="20"/>
              </w:rPr>
            </w:pPr>
          </w:p>
        </w:tc>
        <w:tc>
          <w:tcPr>
            <w:tcW w:w="0" w:type="auto"/>
            <w:vAlign w:val="center"/>
            <w:hideMark/>
          </w:tcPr>
          <w:p w14:paraId="4927F8D3" w14:textId="77777777" w:rsidR="00000000" w:rsidRDefault="00195E73">
            <w:pPr>
              <w:rPr>
                <w:rFonts w:eastAsia="Times New Roman"/>
                <w:sz w:val="20"/>
                <w:szCs w:val="20"/>
              </w:rPr>
            </w:pPr>
          </w:p>
        </w:tc>
        <w:tc>
          <w:tcPr>
            <w:tcW w:w="0" w:type="auto"/>
            <w:vAlign w:val="center"/>
            <w:hideMark/>
          </w:tcPr>
          <w:p w14:paraId="1D818C00" w14:textId="77777777" w:rsidR="00000000" w:rsidRDefault="00195E73">
            <w:pPr>
              <w:rPr>
                <w:rFonts w:eastAsia="Times New Roman"/>
                <w:sz w:val="20"/>
                <w:szCs w:val="20"/>
              </w:rPr>
            </w:pPr>
          </w:p>
        </w:tc>
        <w:tc>
          <w:tcPr>
            <w:tcW w:w="0" w:type="auto"/>
            <w:vAlign w:val="center"/>
            <w:hideMark/>
          </w:tcPr>
          <w:p w14:paraId="0DE48B35" w14:textId="77777777" w:rsidR="00000000" w:rsidRDefault="00195E73">
            <w:pPr>
              <w:rPr>
                <w:rFonts w:eastAsia="Times New Roman"/>
                <w:sz w:val="20"/>
                <w:szCs w:val="20"/>
              </w:rPr>
            </w:pPr>
          </w:p>
        </w:tc>
        <w:tc>
          <w:tcPr>
            <w:tcW w:w="0" w:type="auto"/>
            <w:vAlign w:val="center"/>
            <w:hideMark/>
          </w:tcPr>
          <w:p w14:paraId="13BD345E" w14:textId="77777777" w:rsidR="00000000" w:rsidRDefault="00195E73">
            <w:pPr>
              <w:rPr>
                <w:rFonts w:eastAsia="Times New Roman"/>
                <w:sz w:val="20"/>
                <w:szCs w:val="20"/>
              </w:rPr>
            </w:pPr>
          </w:p>
        </w:tc>
        <w:tc>
          <w:tcPr>
            <w:tcW w:w="0" w:type="auto"/>
            <w:vAlign w:val="center"/>
            <w:hideMark/>
          </w:tcPr>
          <w:p w14:paraId="5C8EB1E5" w14:textId="77777777" w:rsidR="00000000" w:rsidRDefault="00195E73">
            <w:pPr>
              <w:rPr>
                <w:rFonts w:eastAsia="Times New Roman"/>
                <w:sz w:val="20"/>
                <w:szCs w:val="20"/>
              </w:rPr>
            </w:pPr>
          </w:p>
        </w:tc>
        <w:tc>
          <w:tcPr>
            <w:tcW w:w="0" w:type="auto"/>
            <w:vAlign w:val="center"/>
            <w:hideMark/>
          </w:tcPr>
          <w:p w14:paraId="694B7D6C" w14:textId="77777777" w:rsidR="00000000" w:rsidRDefault="00195E73">
            <w:pPr>
              <w:rPr>
                <w:rFonts w:eastAsia="Times New Roman"/>
                <w:sz w:val="20"/>
                <w:szCs w:val="20"/>
              </w:rPr>
            </w:pPr>
          </w:p>
        </w:tc>
        <w:tc>
          <w:tcPr>
            <w:tcW w:w="0" w:type="auto"/>
            <w:vAlign w:val="center"/>
            <w:hideMark/>
          </w:tcPr>
          <w:p w14:paraId="10179345" w14:textId="77777777" w:rsidR="00000000" w:rsidRDefault="00195E73">
            <w:pPr>
              <w:rPr>
                <w:rFonts w:eastAsia="Times New Roman"/>
                <w:sz w:val="20"/>
                <w:szCs w:val="20"/>
              </w:rPr>
            </w:pPr>
          </w:p>
        </w:tc>
        <w:tc>
          <w:tcPr>
            <w:tcW w:w="0" w:type="auto"/>
            <w:vAlign w:val="center"/>
            <w:hideMark/>
          </w:tcPr>
          <w:p w14:paraId="73797B48" w14:textId="77777777" w:rsidR="00000000" w:rsidRDefault="00195E73">
            <w:pPr>
              <w:rPr>
                <w:rFonts w:eastAsia="Times New Roman"/>
                <w:sz w:val="20"/>
                <w:szCs w:val="20"/>
              </w:rPr>
            </w:pPr>
          </w:p>
        </w:tc>
        <w:tc>
          <w:tcPr>
            <w:tcW w:w="0" w:type="auto"/>
            <w:vAlign w:val="center"/>
            <w:hideMark/>
          </w:tcPr>
          <w:p w14:paraId="167B625C" w14:textId="77777777" w:rsidR="00000000" w:rsidRDefault="00195E73">
            <w:pPr>
              <w:rPr>
                <w:rFonts w:eastAsia="Times New Roman"/>
                <w:sz w:val="20"/>
                <w:szCs w:val="20"/>
              </w:rPr>
            </w:pPr>
          </w:p>
        </w:tc>
      </w:tr>
      <w:tr w:rsidR="00000000" w14:paraId="1E4226ED" w14:textId="77777777">
        <w:trPr>
          <w:divId w:val="416706876"/>
          <w:jc w:val="center"/>
        </w:trPr>
        <w:tc>
          <w:tcPr>
            <w:tcW w:w="0" w:type="auto"/>
            <w:gridSpan w:val="3"/>
            <w:shd w:val="clear" w:color="auto" w:fill="CCEEFF"/>
            <w:tcMar>
              <w:top w:w="30" w:type="dxa"/>
              <w:left w:w="180" w:type="dxa"/>
              <w:bottom w:w="30" w:type="dxa"/>
              <w:right w:w="20" w:type="dxa"/>
            </w:tcMar>
            <w:vAlign w:val="bottom"/>
            <w:hideMark/>
          </w:tcPr>
          <w:p w14:paraId="3E92C5AD" w14:textId="77777777" w:rsidR="00000000" w:rsidRDefault="00195E73">
            <w:pPr>
              <w:rPr>
                <w:rFonts w:eastAsia="Times New Roman"/>
              </w:rPr>
            </w:pPr>
            <w:r>
              <w:rPr>
                <w:rFonts w:eastAsia="Times New Roman"/>
                <w:color w:val="000000"/>
                <w:sz w:val="20"/>
                <w:szCs w:val="20"/>
              </w:rPr>
              <w:t>Income not subject to taxatio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1FB64C26" w14:textId="77777777" w:rsidR="00000000" w:rsidRDefault="00195E73">
            <w:pPr>
              <w:jc w:val="right"/>
              <w:rPr>
                <w:rFonts w:eastAsia="Times New Roman"/>
              </w:rPr>
            </w:pPr>
            <w:r>
              <w:rPr>
                <w:rFonts w:eastAsia="Times New Roman"/>
                <w:color w:val="000000"/>
                <w:sz w:val="20"/>
                <w:szCs w:val="20"/>
              </w:rPr>
              <w:t>(314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F942087"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60B0A2E6"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36632CF"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32B82690" w14:textId="77777777" w:rsidR="00000000" w:rsidRDefault="00195E73">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DAC236C"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2FD7E085"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7CD1294"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614E7D72" w14:textId="77777777" w:rsidR="00000000" w:rsidRDefault="00195E73">
            <w:pPr>
              <w:jc w:val="right"/>
              <w:rPr>
                <w:rFonts w:eastAsia="Times New Roman"/>
              </w:rPr>
            </w:pPr>
            <w:r>
              <w:rPr>
                <w:rFonts w:eastAsia="Times New Roman"/>
                <w:color w:val="000000"/>
                <w:sz w:val="20"/>
                <w:szCs w:val="20"/>
              </w:rPr>
              <w:t>220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B2F7BC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7AC09FD" w14:textId="77777777" w:rsidR="00000000" w:rsidRDefault="00195E73">
            <w:pPr>
              <w:rPr>
                <w:rFonts w:eastAsia="Times New Roman"/>
                <w:sz w:val="20"/>
                <w:szCs w:val="20"/>
              </w:rPr>
            </w:pPr>
          </w:p>
        </w:tc>
        <w:tc>
          <w:tcPr>
            <w:tcW w:w="0" w:type="auto"/>
            <w:vAlign w:val="center"/>
            <w:hideMark/>
          </w:tcPr>
          <w:p w14:paraId="6E07E515" w14:textId="77777777" w:rsidR="00000000" w:rsidRDefault="00195E73">
            <w:pPr>
              <w:rPr>
                <w:rFonts w:eastAsia="Times New Roman"/>
                <w:sz w:val="20"/>
                <w:szCs w:val="20"/>
              </w:rPr>
            </w:pPr>
          </w:p>
        </w:tc>
        <w:tc>
          <w:tcPr>
            <w:tcW w:w="0" w:type="auto"/>
            <w:vAlign w:val="center"/>
            <w:hideMark/>
          </w:tcPr>
          <w:p w14:paraId="3FEC3CFB" w14:textId="77777777" w:rsidR="00000000" w:rsidRDefault="00195E73">
            <w:pPr>
              <w:rPr>
                <w:rFonts w:eastAsia="Times New Roman"/>
                <w:sz w:val="20"/>
                <w:szCs w:val="20"/>
              </w:rPr>
            </w:pPr>
          </w:p>
        </w:tc>
        <w:tc>
          <w:tcPr>
            <w:tcW w:w="0" w:type="auto"/>
            <w:vAlign w:val="center"/>
            <w:hideMark/>
          </w:tcPr>
          <w:p w14:paraId="64EC47D1" w14:textId="77777777" w:rsidR="00000000" w:rsidRDefault="00195E73">
            <w:pPr>
              <w:rPr>
                <w:rFonts w:eastAsia="Times New Roman"/>
                <w:sz w:val="20"/>
                <w:szCs w:val="20"/>
              </w:rPr>
            </w:pPr>
          </w:p>
        </w:tc>
        <w:tc>
          <w:tcPr>
            <w:tcW w:w="0" w:type="auto"/>
            <w:vAlign w:val="center"/>
            <w:hideMark/>
          </w:tcPr>
          <w:p w14:paraId="578C0693" w14:textId="77777777" w:rsidR="00000000" w:rsidRDefault="00195E73">
            <w:pPr>
              <w:rPr>
                <w:rFonts w:eastAsia="Times New Roman"/>
                <w:sz w:val="20"/>
                <w:szCs w:val="20"/>
              </w:rPr>
            </w:pPr>
          </w:p>
        </w:tc>
        <w:tc>
          <w:tcPr>
            <w:tcW w:w="0" w:type="auto"/>
            <w:vAlign w:val="center"/>
            <w:hideMark/>
          </w:tcPr>
          <w:p w14:paraId="31E51397" w14:textId="77777777" w:rsidR="00000000" w:rsidRDefault="00195E73">
            <w:pPr>
              <w:rPr>
                <w:rFonts w:eastAsia="Times New Roman"/>
                <w:sz w:val="20"/>
                <w:szCs w:val="20"/>
              </w:rPr>
            </w:pPr>
          </w:p>
        </w:tc>
        <w:tc>
          <w:tcPr>
            <w:tcW w:w="0" w:type="auto"/>
            <w:vAlign w:val="center"/>
            <w:hideMark/>
          </w:tcPr>
          <w:p w14:paraId="3C2D47B2" w14:textId="77777777" w:rsidR="00000000" w:rsidRDefault="00195E73">
            <w:pPr>
              <w:rPr>
                <w:rFonts w:eastAsia="Times New Roman"/>
                <w:sz w:val="20"/>
                <w:szCs w:val="20"/>
              </w:rPr>
            </w:pPr>
          </w:p>
        </w:tc>
        <w:tc>
          <w:tcPr>
            <w:tcW w:w="0" w:type="auto"/>
            <w:vAlign w:val="center"/>
            <w:hideMark/>
          </w:tcPr>
          <w:p w14:paraId="30244837" w14:textId="77777777" w:rsidR="00000000" w:rsidRDefault="00195E73">
            <w:pPr>
              <w:rPr>
                <w:rFonts w:eastAsia="Times New Roman"/>
                <w:sz w:val="20"/>
                <w:szCs w:val="20"/>
              </w:rPr>
            </w:pPr>
          </w:p>
        </w:tc>
        <w:tc>
          <w:tcPr>
            <w:tcW w:w="0" w:type="auto"/>
            <w:vAlign w:val="center"/>
            <w:hideMark/>
          </w:tcPr>
          <w:p w14:paraId="7AF32391" w14:textId="77777777" w:rsidR="00000000" w:rsidRDefault="00195E73">
            <w:pPr>
              <w:rPr>
                <w:rFonts w:eastAsia="Times New Roman"/>
                <w:sz w:val="20"/>
                <w:szCs w:val="20"/>
              </w:rPr>
            </w:pPr>
          </w:p>
        </w:tc>
        <w:tc>
          <w:tcPr>
            <w:tcW w:w="0" w:type="auto"/>
            <w:vAlign w:val="center"/>
            <w:hideMark/>
          </w:tcPr>
          <w:p w14:paraId="5CA87DB7" w14:textId="77777777" w:rsidR="00000000" w:rsidRDefault="00195E73">
            <w:pPr>
              <w:rPr>
                <w:rFonts w:eastAsia="Times New Roman"/>
                <w:sz w:val="20"/>
                <w:szCs w:val="20"/>
              </w:rPr>
            </w:pPr>
          </w:p>
        </w:tc>
        <w:tc>
          <w:tcPr>
            <w:tcW w:w="0" w:type="auto"/>
            <w:vAlign w:val="center"/>
            <w:hideMark/>
          </w:tcPr>
          <w:p w14:paraId="46EBC20D" w14:textId="77777777" w:rsidR="00000000" w:rsidRDefault="00195E73">
            <w:pPr>
              <w:rPr>
                <w:rFonts w:eastAsia="Times New Roman"/>
                <w:sz w:val="20"/>
                <w:szCs w:val="20"/>
              </w:rPr>
            </w:pPr>
          </w:p>
        </w:tc>
        <w:tc>
          <w:tcPr>
            <w:tcW w:w="0" w:type="auto"/>
            <w:vAlign w:val="center"/>
            <w:hideMark/>
          </w:tcPr>
          <w:p w14:paraId="5D804E21" w14:textId="77777777" w:rsidR="00000000" w:rsidRDefault="00195E73">
            <w:pPr>
              <w:rPr>
                <w:rFonts w:eastAsia="Times New Roman"/>
                <w:sz w:val="20"/>
                <w:szCs w:val="20"/>
              </w:rPr>
            </w:pPr>
          </w:p>
        </w:tc>
      </w:tr>
      <w:tr w:rsidR="00000000" w14:paraId="2607EB4F" w14:textId="77777777">
        <w:trPr>
          <w:divId w:val="416706876"/>
          <w:jc w:val="center"/>
        </w:trPr>
        <w:tc>
          <w:tcPr>
            <w:tcW w:w="0" w:type="auto"/>
            <w:gridSpan w:val="3"/>
            <w:shd w:val="clear" w:color="auto" w:fill="FFFFFF"/>
            <w:tcMar>
              <w:top w:w="30" w:type="dxa"/>
              <w:left w:w="180" w:type="dxa"/>
              <w:bottom w:w="30" w:type="dxa"/>
              <w:right w:w="20" w:type="dxa"/>
            </w:tcMar>
            <w:vAlign w:val="bottom"/>
            <w:hideMark/>
          </w:tcPr>
          <w:p w14:paraId="6ADC0AE4" w14:textId="77777777" w:rsidR="00000000" w:rsidRDefault="00195E73">
            <w:pPr>
              <w:rPr>
                <w:rFonts w:eastAsia="Times New Roman"/>
              </w:rPr>
            </w:pPr>
            <w:r>
              <w:rPr>
                <w:rFonts w:eastAsia="Times New Roman"/>
                <w:color w:val="000000"/>
                <w:sz w:val="20"/>
                <w:szCs w:val="20"/>
              </w:rPr>
              <w:t>Enactment of U.S. tax legislation, net of valuation allowanc</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169AC0E5"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9E6D29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72A4DB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F525CC"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3B7F0A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98261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F9F7A6" w14:textId="77777777" w:rsidR="00000000" w:rsidRDefault="00195E73">
            <w:pPr>
              <w:jc w:val="right"/>
              <w:rPr>
                <w:rFonts w:eastAsia="Times New Roman"/>
              </w:rPr>
            </w:pPr>
            <w:r>
              <w:rPr>
                <w:rFonts w:eastAsia="Times New Roman"/>
                <w:color w:val="000000"/>
                <w:sz w:val="20"/>
                <w:szCs w:val="20"/>
              </w:rPr>
              <w:t>392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D9E9D7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90B589C" w14:textId="77777777" w:rsidR="00000000" w:rsidRDefault="00195E73">
            <w:pPr>
              <w:rPr>
                <w:rFonts w:eastAsia="Times New Roman"/>
                <w:sz w:val="20"/>
                <w:szCs w:val="20"/>
              </w:rPr>
            </w:pPr>
          </w:p>
        </w:tc>
        <w:tc>
          <w:tcPr>
            <w:tcW w:w="0" w:type="auto"/>
            <w:vAlign w:val="center"/>
            <w:hideMark/>
          </w:tcPr>
          <w:p w14:paraId="735340F8" w14:textId="77777777" w:rsidR="00000000" w:rsidRDefault="00195E73">
            <w:pPr>
              <w:rPr>
                <w:rFonts w:eastAsia="Times New Roman"/>
                <w:sz w:val="20"/>
                <w:szCs w:val="20"/>
              </w:rPr>
            </w:pPr>
          </w:p>
        </w:tc>
        <w:tc>
          <w:tcPr>
            <w:tcW w:w="0" w:type="auto"/>
            <w:vAlign w:val="center"/>
            <w:hideMark/>
          </w:tcPr>
          <w:p w14:paraId="5BF0644D" w14:textId="77777777" w:rsidR="00000000" w:rsidRDefault="00195E73">
            <w:pPr>
              <w:rPr>
                <w:rFonts w:eastAsia="Times New Roman"/>
                <w:sz w:val="20"/>
                <w:szCs w:val="20"/>
              </w:rPr>
            </w:pPr>
          </w:p>
        </w:tc>
        <w:tc>
          <w:tcPr>
            <w:tcW w:w="0" w:type="auto"/>
            <w:vAlign w:val="center"/>
            <w:hideMark/>
          </w:tcPr>
          <w:p w14:paraId="3044C1B4" w14:textId="77777777" w:rsidR="00000000" w:rsidRDefault="00195E73">
            <w:pPr>
              <w:rPr>
                <w:rFonts w:eastAsia="Times New Roman"/>
                <w:sz w:val="20"/>
                <w:szCs w:val="20"/>
              </w:rPr>
            </w:pPr>
          </w:p>
        </w:tc>
        <w:tc>
          <w:tcPr>
            <w:tcW w:w="0" w:type="auto"/>
            <w:vAlign w:val="center"/>
            <w:hideMark/>
          </w:tcPr>
          <w:p w14:paraId="58C7E72A" w14:textId="77777777" w:rsidR="00000000" w:rsidRDefault="00195E73">
            <w:pPr>
              <w:rPr>
                <w:rFonts w:eastAsia="Times New Roman"/>
                <w:sz w:val="20"/>
                <w:szCs w:val="20"/>
              </w:rPr>
            </w:pPr>
          </w:p>
        </w:tc>
        <w:tc>
          <w:tcPr>
            <w:tcW w:w="0" w:type="auto"/>
            <w:vAlign w:val="center"/>
            <w:hideMark/>
          </w:tcPr>
          <w:p w14:paraId="07FC08C2" w14:textId="77777777" w:rsidR="00000000" w:rsidRDefault="00195E73">
            <w:pPr>
              <w:rPr>
                <w:rFonts w:eastAsia="Times New Roman"/>
                <w:sz w:val="20"/>
                <w:szCs w:val="20"/>
              </w:rPr>
            </w:pPr>
          </w:p>
        </w:tc>
        <w:tc>
          <w:tcPr>
            <w:tcW w:w="0" w:type="auto"/>
            <w:vAlign w:val="center"/>
            <w:hideMark/>
          </w:tcPr>
          <w:p w14:paraId="6AE8AD6D" w14:textId="77777777" w:rsidR="00000000" w:rsidRDefault="00195E73">
            <w:pPr>
              <w:rPr>
                <w:rFonts w:eastAsia="Times New Roman"/>
                <w:sz w:val="20"/>
                <w:szCs w:val="20"/>
              </w:rPr>
            </w:pPr>
          </w:p>
        </w:tc>
        <w:tc>
          <w:tcPr>
            <w:tcW w:w="0" w:type="auto"/>
            <w:vAlign w:val="center"/>
            <w:hideMark/>
          </w:tcPr>
          <w:p w14:paraId="7B521C37" w14:textId="77777777" w:rsidR="00000000" w:rsidRDefault="00195E73">
            <w:pPr>
              <w:rPr>
                <w:rFonts w:eastAsia="Times New Roman"/>
                <w:sz w:val="20"/>
                <w:szCs w:val="20"/>
              </w:rPr>
            </w:pPr>
          </w:p>
        </w:tc>
        <w:tc>
          <w:tcPr>
            <w:tcW w:w="0" w:type="auto"/>
            <w:vAlign w:val="center"/>
            <w:hideMark/>
          </w:tcPr>
          <w:p w14:paraId="1811604C" w14:textId="77777777" w:rsidR="00000000" w:rsidRDefault="00195E73">
            <w:pPr>
              <w:rPr>
                <w:rFonts w:eastAsia="Times New Roman"/>
                <w:sz w:val="20"/>
                <w:szCs w:val="20"/>
              </w:rPr>
            </w:pPr>
          </w:p>
        </w:tc>
        <w:tc>
          <w:tcPr>
            <w:tcW w:w="0" w:type="auto"/>
            <w:vAlign w:val="center"/>
            <w:hideMark/>
          </w:tcPr>
          <w:p w14:paraId="6DA7EFE4" w14:textId="77777777" w:rsidR="00000000" w:rsidRDefault="00195E73">
            <w:pPr>
              <w:rPr>
                <w:rFonts w:eastAsia="Times New Roman"/>
                <w:sz w:val="20"/>
                <w:szCs w:val="20"/>
              </w:rPr>
            </w:pPr>
          </w:p>
        </w:tc>
        <w:tc>
          <w:tcPr>
            <w:tcW w:w="0" w:type="auto"/>
            <w:vAlign w:val="center"/>
            <w:hideMark/>
          </w:tcPr>
          <w:p w14:paraId="5EAAE514" w14:textId="77777777" w:rsidR="00000000" w:rsidRDefault="00195E73">
            <w:pPr>
              <w:rPr>
                <w:rFonts w:eastAsia="Times New Roman"/>
                <w:sz w:val="20"/>
                <w:szCs w:val="20"/>
              </w:rPr>
            </w:pPr>
          </w:p>
        </w:tc>
        <w:tc>
          <w:tcPr>
            <w:tcW w:w="0" w:type="auto"/>
            <w:vAlign w:val="center"/>
            <w:hideMark/>
          </w:tcPr>
          <w:p w14:paraId="5D2315CB" w14:textId="77777777" w:rsidR="00000000" w:rsidRDefault="00195E73">
            <w:pPr>
              <w:rPr>
                <w:rFonts w:eastAsia="Times New Roman"/>
                <w:sz w:val="20"/>
                <w:szCs w:val="20"/>
              </w:rPr>
            </w:pPr>
          </w:p>
        </w:tc>
      </w:tr>
      <w:tr w:rsidR="00000000" w14:paraId="66049AA5" w14:textId="77777777">
        <w:trPr>
          <w:divId w:val="416706876"/>
          <w:jc w:val="center"/>
        </w:trPr>
        <w:tc>
          <w:tcPr>
            <w:tcW w:w="0" w:type="auto"/>
            <w:gridSpan w:val="3"/>
            <w:shd w:val="clear" w:color="auto" w:fill="CCEEFF"/>
            <w:tcMar>
              <w:top w:w="30" w:type="dxa"/>
              <w:left w:w="180" w:type="dxa"/>
              <w:bottom w:w="30" w:type="dxa"/>
              <w:right w:w="20" w:type="dxa"/>
            </w:tcMar>
            <w:vAlign w:val="bottom"/>
            <w:hideMark/>
          </w:tcPr>
          <w:p w14:paraId="18DAF205" w14:textId="77777777" w:rsidR="00000000" w:rsidRDefault="00195E73">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228365C3"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5E3A94E"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29E2E968"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1210CFB"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6BFBB69F" w14:textId="77777777" w:rsidR="00000000" w:rsidRDefault="00195E73">
            <w:pPr>
              <w:jc w:val="right"/>
              <w:rPr>
                <w:rFonts w:eastAsia="Times New Roman"/>
              </w:rPr>
            </w:pPr>
            <w:r>
              <w:rPr>
                <w:rFonts w:eastAsia="Times New Roman"/>
                <w:color w:val="000000"/>
                <w:sz w:val="20"/>
                <w:szCs w:val="20"/>
              </w:rPr>
              <w:t>(26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299EFDE"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5693F1A3"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4A9D9D4"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031644CE" w14:textId="77777777" w:rsidR="00000000" w:rsidRDefault="00195E73">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85A3B7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8A76F7E" w14:textId="77777777" w:rsidR="00000000" w:rsidRDefault="00195E73">
            <w:pPr>
              <w:rPr>
                <w:rFonts w:eastAsia="Times New Roman"/>
                <w:sz w:val="20"/>
                <w:szCs w:val="20"/>
              </w:rPr>
            </w:pPr>
          </w:p>
        </w:tc>
        <w:tc>
          <w:tcPr>
            <w:tcW w:w="0" w:type="auto"/>
            <w:vAlign w:val="center"/>
            <w:hideMark/>
          </w:tcPr>
          <w:p w14:paraId="1A6CEE89" w14:textId="77777777" w:rsidR="00000000" w:rsidRDefault="00195E73">
            <w:pPr>
              <w:rPr>
                <w:rFonts w:eastAsia="Times New Roman"/>
                <w:sz w:val="20"/>
                <w:szCs w:val="20"/>
              </w:rPr>
            </w:pPr>
          </w:p>
        </w:tc>
        <w:tc>
          <w:tcPr>
            <w:tcW w:w="0" w:type="auto"/>
            <w:vAlign w:val="center"/>
            <w:hideMark/>
          </w:tcPr>
          <w:p w14:paraId="6007CA13" w14:textId="77777777" w:rsidR="00000000" w:rsidRDefault="00195E73">
            <w:pPr>
              <w:rPr>
                <w:rFonts w:eastAsia="Times New Roman"/>
                <w:sz w:val="20"/>
                <w:szCs w:val="20"/>
              </w:rPr>
            </w:pPr>
          </w:p>
        </w:tc>
        <w:tc>
          <w:tcPr>
            <w:tcW w:w="0" w:type="auto"/>
            <w:vAlign w:val="center"/>
            <w:hideMark/>
          </w:tcPr>
          <w:p w14:paraId="25E018B7" w14:textId="77777777" w:rsidR="00000000" w:rsidRDefault="00195E73">
            <w:pPr>
              <w:rPr>
                <w:rFonts w:eastAsia="Times New Roman"/>
                <w:sz w:val="20"/>
                <w:szCs w:val="20"/>
              </w:rPr>
            </w:pPr>
          </w:p>
        </w:tc>
        <w:tc>
          <w:tcPr>
            <w:tcW w:w="0" w:type="auto"/>
            <w:vAlign w:val="center"/>
            <w:hideMark/>
          </w:tcPr>
          <w:p w14:paraId="2120E7D8" w14:textId="77777777" w:rsidR="00000000" w:rsidRDefault="00195E73">
            <w:pPr>
              <w:rPr>
                <w:rFonts w:eastAsia="Times New Roman"/>
                <w:sz w:val="20"/>
                <w:szCs w:val="20"/>
              </w:rPr>
            </w:pPr>
          </w:p>
        </w:tc>
        <w:tc>
          <w:tcPr>
            <w:tcW w:w="0" w:type="auto"/>
            <w:vAlign w:val="center"/>
            <w:hideMark/>
          </w:tcPr>
          <w:p w14:paraId="066B0843" w14:textId="77777777" w:rsidR="00000000" w:rsidRDefault="00195E73">
            <w:pPr>
              <w:rPr>
                <w:rFonts w:eastAsia="Times New Roman"/>
                <w:sz w:val="20"/>
                <w:szCs w:val="20"/>
              </w:rPr>
            </w:pPr>
          </w:p>
        </w:tc>
        <w:tc>
          <w:tcPr>
            <w:tcW w:w="0" w:type="auto"/>
            <w:vAlign w:val="center"/>
            <w:hideMark/>
          </w:tcPr>
          <w:p w14:paraId="5328AE0F" w14:textId="77777777" w:rsidR="00000000" w:rsidRDefault="00195E73">
            <w:pPr>
              <w:rPr>
                <w:rFonts w:eastAsia="Times New Roman"/>
                <w:sz w:val="20"/>
                <w:szCs w:val="20"/>
              </w:rPr>
            </w:pPr>
          </w:p>
        </w:tc>
        <w:tc>
          <w:tcPr>
            <w:tcW w:w="0" w:type="auto"/>
            <w:vAlign w:val="center"/>
            <w:hideMark/>
          </w:tcPr>
          <w:p w14:paraId="5AAA465F" w14:textId="77777777" w:rsidR="00000000" w:rsidRDefault="00195E73">
            <w:pPr>
              <w:rPr>
                <w:rFonts w:eastAsia="Times New Roman"/>
                <w:sz w:val="20"/>
                <w:szCs w:val="20"/>
              </w:rPr>
            </w:pPr>
          </w:p>
        </w:tc>
        <w:tc>
          <w:tcPr>
            <w:tcW w:w="0" w:type="auto"/>
            <w:vAlign w:val="center"/>
            <w:hideMark/>
          </w:tcPr>
          <w:p w14:paraId="515A8AF2" w14:textId="77777777" w:rsidR="00000000" w:rsidRDefault="00195E73">
            <w:pPr>
              <w:rPr>
                <w:rFonts w:eastAsia="Times New Roman"/>
                <w:sz w:val="20"/>
                <w:szCs w:val="20"/>
              </w:rPr>
            </w:pPr>
          </w:p>
        </w:tc>
        <w:tc>
          <w:tcPr>
            <w:tcW w:w="0" w:type="auto"/>
            <w:vAlign w:val="center"/>
            <w:hideMark/>
          </w:tcPr>
          <w:p w14:paraId="199136FD" w14:textId="77777777" w:rsidR="00000000" w:rsidRDefault="00195E73">
            <w:pPr>
              <w:rPr>
                <w:rFonts w:eastAsia="Times New Roman"/>
                <w:sz w:val="20"/>
                <w:szCs w:val="20"/>
              </w:rPr>
            </w:pPr>
          </w:p>
        </w:tc>
        <w:tc>
          <w:tcPr>
            <w:tcW w:w="0" w:type="auto"/>
            <w:vAlign w:val="center"/>
            <w:hideMark/>
          </w:tcPr>
          <w:p w14:paraId="72F74FEA" w14:textId="77777777" w:rsidR="00000000" w:rsidRDefault="00195E73">
            <w:pPr>
              <w:rPr>
                <w:rFonts w:eastAsia="Times New Roman"/>
                <w:sz w:val="20"/>
                <w:szCs w:val="20"/>
              </w:rPr>
            </w:pPr>
          </w:p>
        </w:tc>
        <w:tc>
          <w:tcPr>
            <w:tcW w:w="0" w:type="auto"/>
            <w:vAlign w:val="center"/>
            <w:hideMark/>
          </w:tcPr>
          <w:p w14:paraId="14C1B334" w14:textId="77777777" w:rsidR="00000000" w:rsidRDefault="00195E73">
            <w:pPr>
              <w:rPr>
                <w:rFonts w:eastAsia="Times New Roman"/>
                <w:sz w:val="20"/>
                <w:szCs w:val="20"/>
              </w:rPr>
            </w:pPr>
          </w:p>
        </w:tc>
      </w:tr>
      <w:tr w:rsidR="00000000" w14:paraId="5353E158" w14:textId="77777777">
        <w:trPr>
          <w:divId w:val="416706876"/>
          <w:jc w:val="center"/>
        </w:trPr>
        <w:tc>
          <w:tcPr>
            <w:tcW w:w="0" w:type="auto"/>
            <w:gridSpan w:val="3"/>
            <w:tcBorders>
              <w:bottom w:val="double" w:sz="6" w:space="0" w:color="FFFFFF"/>
            </w:tcBorders>
            <w:shd w:val="clear" w:color="auto" w:fill="FFFFFF"/>
            <w:tcMar>
              <w:top w:w="30" w:type="dxa"/>
              <w:left w:w="20" w:type="dxa"/>
              <w:bottom w:w="30" w:type="dxa"/>
              <w:right w:w="20" w:type="dxa"/>
            </w:tcMar>
            <w:vAlign w:val="bottom"/>
            <w:hideMark/>
          </w:tcPr>
          <w:p w14:paraId="59AD9417" w14:textId="77777777" w:rsidR="00000000" w:rsidRDefault="00195E73">
            <w:pPr>
              <w:rPr>
                <w:rFonts w:eastAsia="Times New Roman"/>
              </w:rPr>
            </w:pPr>
            <w:r>
              <w:rPr>
                <w:rFonts w:eastAsia="Times New Roman"/>
                <w:color w:val="000000"/>
                <w:sz w:val="20"/>
                <w:szCs w:val="20"/>
              </w:rPr>
              <w:t>Income tax benefit (expense</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31722A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9984005" w14:textId="77777777" w:rsidR="00000000" w:rsidRDefault="00195E73">
            <w:pPr>
              <w:jc w:val="right"/>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0DCEF3C"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76D2AE74"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B7B9A4B" w14:textId="77777777" w:rsidR="00000000" w:rsidRDefault="00195E73">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FDAF65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E29C2FF" w14:textId="77777777" w:rsidR="00000000" w:rsidRDefault="00195E73">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32A847C"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61294656"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77C416A" w14:textId="77777777" w:rsidR="00000000" w:rsidRDefault="00195E73">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4E62FC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4DC324C7" w14:textId="77777777" w:rsidR="00000000" w:rsidRDefault="00195E73">
            <w:pPr>
              <w:jc w:val="right"/>
              <w:rPr>
                <w:rFonts w:eastAsia="Times New Roman"/>
              </w:rPr>
            </w:pPr>
            <w:r>
              <w:rPr>
                <w:rFonts w:eastAsia="Times New Roman"/>
                <w:color w:val="000000"/>
                <w:sz w:val="20"/>
                <w:szCs w:val="20"/>
              </w:rPr>
              <w:t>532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266D76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E63A1CD" w14:textId="77777777" w:rsidR="00000000" w:rsidRDefault="00195E73">
            <w:pPr>
              <w:rPr>
                <w:rFonts w:eastAsia="Times New Roman"/>
                <w:sz w:val="20"/>
                <w:szCs w:val="20"/>
              </w:rPr>
            </w:pPr>
          </w:p>
        </w:tc>
        <w:tc>
          <w:tcPr>
            <w:tcW w:w="0" w:type="auto"/>
            <w:vAlign w:val="center"/>
            <w:hideMark/>
          </w:tcPr>
          <w:p w14:paraId="5F432590" w14:textId="77777777" w:rsidR="00000000" w:rsidRDefault="00195E73">
            <w:pPr>
              <w:rPr>
                <w:rFonts w:eastAsia="Times New Roman"/>
                <w:sz w:val="20"/>
                <w:szCs w:val="20"/>
              </w:rPr>
            </w:pPr>
          </w:p>
        </w:tc>
        <w:tc>
          <w:tcPr>
            <w:tcW w:w="0" w:type="auto"/>
            <w:vAlign w:val="center"/>
            <w:hideMark/>
          </w:tcPr>
          <w:p w14:paraId="2E04FB53" w14:textId="77777777" w:rsidR="00000000" w:rsidRDefault="00195E73">
            <w:pPr>
              <w:rPr>
                <w:rFonts w:eastAsia="Times New Roman"/>
                <w:sz w:val="20"/>
                <w:szCs w:val="20"/>
              </w:rPr>
            </w:pPr>
          </w:p>
        </w:tc>
        <w:tc>
          <w:tcPr>
            <w:tcW w:w="0" w:type="auto"/>
            <w:vAlign w:val="center"/>
            <w:hideMark/>
          </w:tcPr>
          <w:p w14:paraId="102A7C37" w14:textId="77777777" w:rsidR="00000000" w:rsidRDefault="00195E73">
            <w:pPr>
              <w:rPr>
                <w:rFonts w:eastAsia="Times New Roman"/>
                <w:sz w:val="20"/>
                <w:szCs w:val="20"/>
              </w:rPr>
            </w:pPr>
          </w:p>
        </w:tc>
        <w:tc>
          <w:tcPr>
            <w:tcW w:w="0" w:type="auto"/>
            <w:vAlign w:val="center"/>
            <w:hideMark/>
          </w:tcPr>
          <w:p w14:paraId="48EC1462" w14:textId="77777777" w:rsidR="00000000" w:rsidRDefault="00195E73">
            <w:pPr>
              <w:rPr>
                <w:rFonts w:eastAsia="Times New Roman"/>
                <w:sz w:val="20"/>
                <w:szCs w:val="20"/>
              </w:rPr>
            </w:pPr>
          </w:p>
        </w:tc>
        <w:tc>
          <w:tcPr>
            <w:tcW w:w="0" w:type="auto"/>
            <w:vAlign w:val="center"/>
            <w:hideMark/>
          </w:tcPr>
          <w:p w14:paraId="23D6DB9B" w14:textId="77777777" w:rsidR="00000000" w:rsidRDefault="00195E73">
            <w:pPr>
              <w:rPr>
                <w:rFonts w:eastAsia="Times New Roman"/>
                <w:sz w:val="20"/>
                <w:szCs w:val="20"/>
              </w:rPr>
            </w:pPr>
          </w:p>
        </w:tc>
        <w:tc>
          <w:tcPr>
            <w:tcW w:w="0" w:type="auto"/>
            <w:vAlign w:val="center"/>
            <w:hideMark/>
          </w:tcPr>
          <w:p w14:paraId="04B38149" w14:textId="77777777" w:rsidR="00000000" w:rsidRDefault="00195E73">
            <w:pPr>
              <w:rPr>
                <w:rFonts w:eastAsia="Times New Roman"/>
                <w:sz w:val="20"/>
                <w:szCs w:val="20"/>
              </w:rPr>
            </w:pPr>
          </w:p>
        </w:tc>
        <w:tc>
          <w:tcPr>
            <w:tcW w:w="0" w:type="auto"/>
            <w:vAlign w:val="center"/>
            <w:hideMark/>
          </w:tcPr>
          <w:p w14:paraId="757374EE" w14:textId="77777777" w:rsidR="00000000" w:rsidRDefault="00195E73">
            <w:pPr>
              <w:rPr>
                <w:rFonts w:eastAsia="Times New Roman"/>
                <w:sz w:val="20"/>
                <w:szCs w:val="20"/>
              </w:rPr>
            </w:pPr>
          </w:p>
        </w:tc>
        <w:tc>
          <w:tcPr>
            <w:tcW w:w="0" w:type="auto"/>
            <w:vAlign w:val="center"/>
            <w:hideMark/>
          </w:tcPr>
          <w:p w14:paraId="6959BD21" w14:textId="77777777" w:rsidR="00000000" w:rsidRDefault="00195E73">
            <w:pPr>
              <w:rPr>
                <w:rFonts w:eastAsia="Times New Roman"/>
                <w:sz w:val="20"/>
                <w:szCs w:val="20"/>
              </w:rPr>
            </w:pPr>
          </w:p>
        </w:tc>
        <w:tc>
          <w:tcPr>
            <w:tcW w:w="0" w:type="auto"/>
            <w:vAlign w:val="center"/>
            <w:hideMark/>
          </w:tcPr>
          <w:p w14:paraId="32B97FC5" w14:textId="77777777" w:rsidR="00000000" w:rsidRDefault="00195E73">
            <w:pPr>
              <w:rPr>
                <w:rFonts w:eastAsia="Times New Roman"/>
                <w:sz w:val="20"/>
                <w:szCs w:val="20"/>
              </w:rPr>
            </w:pPr>
          </w:p>
        </w:tc>
        <w:tc>
          <w:tcPr>
            <w:tcW w:w="0" w:type="auto"/>
            <w:vAlign w:val="center"/>
            <w:hideMark/>
          </w:tcPr>
          <w:p w14:paraId="116767CF" w14:textId="77777777" w:rsidR="00000000" w:rsidRDefault="00195E73">
            <w:pPr>
              <w:rPr>
                <w:rFonts w:eastAsia="Times New Roman"/>
                <w:sz w:val="20"/>
                <w:szCs w:val="20"/>
              </w:rPr>
            </w:pPr>
          </w:p>
        </w:tc>
        <w:tc>
          <w:tcPr>
            <w:tcW w:w="0" w:type="auto"/>
            <w:vAlign w:val="center"/>
            <w:hideMark/>
          </w:tcPr>
          <w:p w14:paraId="47062F5D" w14:textId="77777777" w:rsidR="00000000" w:rsidRDefault="00195E73">
            <w:pPr>
              <w:rPr>
                <w:rFonts w:eastAsia="Times New Roman"/>
                <w:sz w:val="20"/>
                <w:szCs w:val="20"/>
              </w:rPr>
            </w:pPr>
          </w:p>
        </w:tc>
      </w:tr>
    </w:tbl>
    <w:p w14:paraId="53F8CFA6" w14:textId="77777777" w:rsidR="00000000" w:rsidRDefault="00195E73">
      <w:pPr>
        <w:jc w:val="center"/>
        <w:rPr>
          <w:rFonts w:eastAsia="Times New Roman"/>
        </w:rPr>
      </w:pPr>
    </w:p>
    <w:p w14:paraId="0B42F59D" w14:textId="77777777" w:rsidR="00000000" w:rsidRDefault="00195E73">
      <w:pPr>
        <w:ind w:firstLine="405"/>
        <w:divId w:val="892160631"/>
        <w:rPr>
          <w:rFonts w:eastAsia="Times New Roman"/>
        </w:rPr>
      </w:pPr>
    </w:p>
    <w:p w14:paraId="22D54780" w14:textId="77777777" w:rsidR="00000000" w:rsidRDefault="00195E73">
      <w:pPr>
        <w:jc w:val="center"/>
        <w:divId w:val="1634628362"/>
        <w:rPr>
          <w:rFonts w:eastAsia="Times New Roman"/>
        </w:rPr>
      </w:pPr>
      <w:r>
        <w:rPr>
          <w:rFonts w:eastAsia="Times New Roman"/>
          <w:color w:val="000000"/>
          <w:sz w:val="20"/>
          <w:szCs w:val="20"/>
        </w:rPr>
        <w:t>10</w:t>
      </w:r>
      <w:r>
        <w:rPr>
          <w:rFonts w:eastAsia="Times New Roman"/>
          <w:color w:val="000000"/>
          <w:sz w:val="20"/>
          <w:szCs w:val="20"/>
        </w:rPr>
        <w:t>4</w:t>
      </w:r>
    </w:p>
    <w:p w14:paraId="6B24CD91" w14:textId="77777777" w:rsidR="00000000" w:rsidRDefault="00195E73">
      <w:pPr>
        <w:rPr>
          <w:rFonts w:eastAsia="Times New Roman"/>
        </w:rPr>
      </w:pPr>
      <w:r>
        <w:rPr>
          <w:rFonts w:eastAsia="Times New Roman"/>
        </w:rPr>
        <w:pict w14:anchorId="7506F945">
          <v:rect id="_x0000_i1130" style="width:0;height:1.5pt" o:hralign="center" o:hrstd="t" o:hr="t" fillcolor="#a0a0a0" stroked="f"/>
        </w:pict>
      </w:r>
    </w:p>
    <w:p w14:paraId="7DEF2C3B" w14:textId="77777777" w:rsidR="00000000" w:rsidRDefault="00195E73">
      <w:pPr>
        <w:jc w:val="center"/>
        <w:divId w:val="1628971918"/>
        <w:rPr>
          <w:rFonts w:eastAsia="Times New Roman"/>
        </w:rPr>
      </w:pPr>
    </w:p>
    <w:p w14:paraId="5B80DDAD" w14:textId="77777777" w:rsidR="00000000" w:rsidRDefault="00195E73">
      <w:pPr>
        <w:jc w:val="center"/>
        <w:divId w:val="1628971918"/>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79C514A1" w14:textId="77777777" w:rsidR="00000000" w:rsidRDefault="00195E73">
      <w:pPr>
        <w:jc w:val="center"/>
        <w:divId w:val="1628971918"/>
        <w:rPr>
          <w:rFonts w:eastAsia="Times New Roman"/>
        </w:rPr>
      </w:pPr>
      <w:r>
        <w:rPr>
          <w:rFonts w:eastAsia="Times New Roman"/>
          <w:b/>
          <w:bCs/>
          <w:color w:val="000000"/>
          <w:sz w:val="20"/>
          <w:szCs w:val="20"/>
        </w:rPr>
        <w:t xml:space="preserve">ICAHN ENTERPRISES HOLDINGS L.P. AND </w:t>
      </w:r>
      <w:r>
        <w:rPr>
          <w:rFonts w:eastAsia="Times New Roman"/>
          <w:b/>
          <w:bCs/>
          <w:color w:val="000000"/>
          <w:sz w:val="20"/>
          <w:szCs w:val="20"/>
        </w:rPr>
        <w:t>SUBSIDIARIE</w:t>
      </w:r>
      <w:r>
        <w:rPr>
          <w:rFonts w:eastAsia="Times New Roman"/>
          <w:b/>
          <w:bCs/>
          <w:color w:val="000000"/>
          <w:sz w:val="20"/>
          <w:szCs w:val="20"/>
        </w:rPr>
        <w:t>S</w:t>
      </w:r>
    </w:p>
    <w:p w14:paraId="18B55C14" w14:textId="77777777" w:rsidR="00000000" w:rsidRDefault="00195E73">
      <w:pPr>
        <w:jc w:val="center"/>
        <w:divId w:val="1628971918"/>
        <w:rPr>
          <w:rFonts w:eastAsia="Times New Roman"/>
        </w:rPr>
      </w:pPr>
    </w:p>
    <w:p w14:paraId="009A1AD9" w14:textId="77777777" w:rsidR="00000000" w:rsidRDefault="00195E73">
      <w:pPr>
        <w:jc w:val="center"/>
        <w:divId w:val="1628971918"/>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3304B76C" w14:textId="77777777" w:rsidR="00000000" w:rsidRDefault="00195E73">
      <w:pPr>
        <w:ind w:firstLine="405"/>
        <w:divId w:val="321665833"/>
        <w:rPr>
          <w:rFonts w:eastAsia="Times New Roman"/>
        </w:rPr>
      </w:pPr>
      <w:r>
        <w:rPr>
          <w:rFonts w:eastAsia="Times New Roman"/>
          <w:color w:val="000000"/>
          <w:sz w:val="20"/>
          <w:szCs w:val="20"/>
        </w:rPr>
        <w:t>The tax effect of significant differences representing deferred tax assets (liabilities) (the difference between financial statement carrying value and the tax basis of assets and liabilities) is as</w:t>
      </w:r>
      <w:r>
        <w:rPr>
          <w:rFonts w:eastAsia="Times New Roman"/>
          <w:color w:val="000000"/>
          <w:sz w:val="20"/>
          <w:szCs w:val="20"/>
        </w:rPr>
        <w:t xml:space="preserve"> follows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5450"/>
        <w:gridCol w:w="52"/>
        <w:gridCol w:w="136"/>
        <w:gridCol w:w="993"/>
        <w:gridCol w:w="85"/>
        <w:gridCol w:w="36"/>
        <w:gridCol w:w="36"/>
        <w:gridCol w:w="36"/>
        <w:gridCol w:w="136"/>
        <w:gridCol w:w="969"/>
        <w:gridCol w:w="85"/>
        <w:gridCol w:w="36"/>
        <w:gridCol w:w="36"/>
        <w:gridCol w:w="36"/>
        <w:gridCol w:w="36"/>
        <w:gridCol w:w="36"/>
        <w:gridCol w:w="36"/>
      </w:tblGrid>
      <w:tr w:rsidR="00000000" w14:paraId="796F61D7" w14:textId="77777777">
        <w:trPr>
          <w:gridAfter w:val="6"/>
          <w:divId w:val="1142582442"/>
          <w:jc w:val="center"/>
        </w:trPr>
        <w:tc>
          <w:tcPr>
            <w:tcW w:w="50" w:type="pct"/>
            <w:vAlign w:val="center"/>
            <w:hideMark/>
          </w:tcPr>
          <w:p w14:paraId="56FD73BD" w14:textId="77777777" w:rsidR="00000000" w:rsidRDefault="00195E73">
            <w:pPr>
              <w:ind w:firstLine="405"/>
              <w:rPr>
                <w:rFonts w:eastAsia="Times New Roman"/>
              </w:rPr>
            </w:pPr>
          </w:p>
        </w:tc>
        <w:tc>
          <w:tcPr>
            <w:tcW w:w="3397" w:type="pct"/>
            <w:vAlign w:val="center"/>
            <w:hideMark/>
          </w:tcPr>
          <w:p w14:paraId="544E0645" w14:textId="77777777" w:rsidR="00000000" w:rsidRDefault="00195E73">
            <w:pPr>
              <w:rPr>
                <w:rFonts w:eastAsia="Times New Roman"/>
                <w:sz w:val="20"/>
                <w:szCs w:val="20"/>
              </w:rPr>
            </w:pPr>
          </w:p>
        </w:tc>
        <w:tc>
          <w:tcPr>
            <w:tcW w:w="50" w:type="pct"/>
            <w:vAlign w:val="center"/>
            <w:hideMark/>
          </w:tcPr>
          <w:p w14:paraId="505356BD" w14:textId="77777777" w:rsidR="00000000" w:rsidRDefault="00195E73">
            <w:pPr>
              <w:rPr>
                <w:rFonts w:eastAsia="Times New Roman"/>
                <w:sz w:val="20"/>
                <w:szCs w:val="20"/>
              </w:rPr>
            </w:pPr>
          </w:p>
        </w:tc>
        <w:tc>
          <w:tcPr>
            <w:tcW w:w="50" w:type="pct"/>
            <w:vAlign w:val="center"/>
            <w:hideMark/>
          </w:tcPr>
          <w:p w14:paraId="28336A0D" w14:textId="77777777" w:rsidR="00000000" w:rsidRDefault="00195E73">
            <w:pPr>
              <w:rPr>
                <w:rFonts w:eastAsia="Times New Roman"/>
                <w:sz w:val="20"/>
                <w:szCs w:val="20"/>
              </w:rPr>
            </w:pPr>
          </w:p>
        </w:tc>
        <w:tc>
          <w:tcPr>
            <w:tcW w:w="633" w:type="pct"/>
            <w:vAlign w:val="center"/>
            <w:hideMark/>
          </w:tcPr>
          <w:p w14:paraId="577842F2" w14:textId="77777777" w:rsidR="00000000" w:rsidRDefault="00195E73">
            <w:pPr>
              <w:rPr>
                <w:rFonts w:eastAsia="Times New Roman"/>
                <w:sz w:val="20"/>
                <w:szCs w:val="20"/>
              </w:rPr>
            </w:pPr>
          </w:p>
        </w:tc>
        <w:tc>
          <w:tcPr>
            <w:tcW w:w="50" w:type="pct"/>
            <w:vAlign w:val="center"/>
            <w:hideMark/>
          </w:tcPr>
          <w:p w14:paraId="3BAD3008" w14:textId="77777777" w:rsidR="00000000" w:rsidRDefault="00195E73">
            <w:pPr>
              <w:rPr>
                <w:rFonts w:eastAsia="Times New Roman"/>
                <w:sz w:val="20"/>
                <w:szCs w:val="20"/>
              </w:rPr>
            </w:pPr>
          </w:p>
        </w:tc>
        <w:tc>
          <w:tcPr>
            <w:tcW w:w="5" w:type="pct"/>
            <w:vAlign w:val="center"/>
            <w:hideMark/>
          </w:tcPr>
          <w:p w14:paraId="7E186EE1" w14:textId="77777777" w:rsidR="00000000" w:rsidRDefault="00195E73">
            <w:pPr>
              <w:rPr>
                <w:rFonts w:eastAsia="Times New Roman"/>
                <w:sz w:val="20"/>
                <w:szCs w:val="20"/>
              </w:rPr>
            </w:pPr>
          </w:p>
        </w:tc>
        <w:tc>
          <w:tcPr>
            <w:tcW w:w="26" w:type="pct"/>
            <w:vAlign w:val="center"/>
            <w:hideMark/>
          </w:tcPr>
          <w:p w14:paraId="0A62B4FD" w14:textId="77777777" w:rsidR="00000000" w:rsidRDefault="00195E73">
            <w:pPr>
              <w:rPr>
                <w:rFonts w:eastAsia="Times New Roman"/>
                <w:sz w:val="20"/>
                <w:szCs w:val="20"/>
              </w:rPr>
            </w:pPr>
          </w:p>
        </w:tc>
        <w:tc>
          <w:tcPr>
            <w:tcW w:w="5" w:type="pct"/>
            <w:vAlign w:val="center"/>
            <w:hideMark/>
          </w:tcPr>
          <w:p w14:paraId="07C5FC25" w14:textId="77777777" w:rsidR="00000000" w:rsidRDefault="00195E73">
            <w:pPr>
              <w:rPr>
                <w:rFonts w:eastAsia="Times New Roman"/>
                <w:sz w:val="20"/>
                <w:szCs w:val="20"/>
              </w:rPr>
            </w:pPr>
          </w:p>
        </w:tc>
        <w:tc>
          <w:tcPr>
            <w:tcW w:w="50" w:type="pct"/>
            <w:vAlign w:val="center"/>
            <w:hideMark/>
          </w:tcPr>
          <w:p w14:paraId="5166CDB0" w14:textId="77777777" w:rsidR="00000000" w:rsidRDefault="00195E73">
            <w:pPr>
              <w:rPr>
                <w:rFonts w:eastAsia="Times New Roman"/>
                <w:sz w:val="20"/>
                <w:szCs w:val="20"/>
              </w:rPr>
            </w:pPr>
          </w:p>
        </w:tc>
        <w:tc>
          <w:tcPr>
            <w:tcW w:w="633" w:type="pct"/>
            <w:vAlign w:val="center"/>
            <w:hideMark/>
          </w:tcPr>
          <w:p w14:paraId="6FEDC641" w14:textId="77777777" w:rsidR="00000000" w:rsidRDefault="00195E73">
            <w:pPr>
              <w:rPr>
                <w:rFonts w:eastAsia="Times New Roman"/>
                <w:sz w:val="20"/>
                <w:szCs w:val="20"/>
              </w:rPr>
            </w:pPr>
          </w:p>
        </w:tc>
        <w:tc>
          <w:tcPr>
            <w:tcW w:w="50" w:type="pct"/>
            <w:vAlign w:val="center"/>
            <w:hideMark/>
          </w:tcPr>
          <w:p w14:paraId="0FDBAC58" w14:textId="77777777" w:rsidR="00000000" w:rsidRDefault="00195E73">
            <w:pPr>
              <w:rPr>
                <w:rFonts w:eastAsia="Times New Roman"/>
                <w:sz w:val="20"/>
                <w:szCs w:val="20"/>
              </w:rPr>
            </w:pPr>
          </w:p>
        </w:tc>
      </w:tr>
      <w:tr w:rsidR="00000000" w14:paraId="786C06F4" w14:textId="77777777">
        <w:trPr>
          <w:divId w:val="1142582442"/>
          <w:jc w:val="center"/>
        </w:trPr>
        <w:tc>
          <w:tcPr>
            <w:tcW w:w="0" w:type="auto"/>
            <w:gridSpan w:val="3"/>
            <w:tcMar>
              <w:top w:w="15" w:type="dxa"/>
              <w:left w:w="20" w:type="dxa"/>
              <w:bottom w:w="15" w:type="dxa"/>
              <w:right w:w="20" w:type="dxa"/>
            </w:tcMar>
            <w:vAlign w:val="bottom"/>
            <w:hideMark/>
          </w:tcPr>
          <w:p w14:paraId="410965F3"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2098E409"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2470EF0F" w14:textId="77777777" w:rsidR="00000000" w:rsidRDefault="00195E73">
            <w:pPr>
              <w:jc w:val="center"/>
              <w:rPr>
                <w:rFonts w:eastAsia="Times New Roman"/>
              </w:rPr>
            </w:pPr>
          </w:p>
        </w:tc>
        <w:tc>
          <w:tcPr>
            <w:tcW w:w="0" w:type="auto"/>
            <w:gridSpan w:val="3"/>
            <w:vAlign w:val="center"/>
            <w:hideMark/>
          </w:tcPr>
          <w:p w14:paraId="1B8FD85C" w14:textId="77777777" w:rsidR="00000000" w:rsidRDefault="00195E73">
            <w:pPr>
              <w:rPr>
                <w:rFonts w:eastAsia="Times New Roman"/>
                <w:sz w:val="20"/>
                <w:szCs w:val="20"/>
              </w:rPr>
            </w:pPr>
          </w:p>
        </w:tc>
      </w:tr>
      <w:tr w:rsidR="00000000" w14:paraId="27518488" w14:textId="77777777">
        <w:trPr>
          <w:divId w:val="1142582442"/>
          <w:jc w:val="center"/>
        </w:trPr>
        <w:tc>
          <w:tcPr>
            <w:tcW w:w="0" w:type="auto"/>
            <w:gridSpan w:val="3"/>
            <w:tcMar>
              <w:top w:w="30" w:type="dxa"/>
              <w:left w:w="20" w:type="dxa"/>
              <w:bottom w:w="30" w:type="dxa"/>
              <w:right w:w="20" w:type="dxa"/>
            </w:tcMar>
            <w:vAlign w:val="bottom"/>
            <w:hideMark/>
          </w:tcPr>
          <w:p w14:paraId="6353AE0F" w14:textId="77777777" w:rsidR="00000000" w:rsidRDefault="00195E73">
            <w:pPr>
              <w:rPr>
                <w:rFonts w:eastAsia="Times New Roman"/>
              </w:rPr>
            </w:pPr>
            <w:r>
              <w:rPr>
                <w:rFonts w:eastAsia="Times New Roman"/>
                <w:b/>
                <w:bCs/>
                <w:color w:val="000000"/>
                <w:sz w:val="20"/>
                <w:szCs w:val="20"/>
              </w:rPr>
              <w:t> </w:t>
            </w: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C495330"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440914D4"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B70F24B"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270BE297" w14:textId="77777777" w:rsidR="00000000" w:rsidRDefault="00195E73">
            <w:pPr>
              <w:rPr>
                <w:rFonts w:eastAsia="Times New Roman"/>
                <w:sz w:val="20"/>
                <w:szCs w:val="20"/>
              </w:rPr>
            </w:pPr>
          </w:p>
        </w:tc>
        <w:tc>
          <w:tcPr>
            <w:tcW w:w="0" w:type="auto"/>
            <w:vAlign w:val="center"/>
            <w:hideMark/>
          </w:tcPr>
          <w:p w14:paraId="0E008F4E" w14:textId="77777777" w:rsidR="00000000" w:rsidRDefault="00195E73">
            <w:pPr>
              <w:rPr>
                <w:rFonts w:eastAsia="Times New Roman"/>
                <w:sz w:val="20"/>
                <w:szCs w:val="20"/>
              </w:rPr>
            </w:pPr>
          </w:p>
        </w:tc>
        <w:tc>
          <w:tcPr>
            <w:tcW w:w="0" w:type="auto"/>
            <w:vAlign w:val="center"/>
            <w:hideMark/>
          </w:tcPr>
          <w:p w14:paraId="46864BA6" w14:textId="77777777" w:rsidR="00000000" w:rsidRDefault="00195E73">
            <w:pPr>
              <w:rPr>
                <w:rFonts w:eastAsia="Times New Roman"/>
                <w:sz w:val="20"/>
                <w:szCs w:val="20"/>
              </w:rPr>
            </w:pPr>
          </w:p>
        </w:tc>
        <w:tc>
          <w:tcPr>
            <w:tcW w:w="0" w:type="auto"/>
            <w:vAlign w:val="center"/>
            <w:hideMark/>
          </w:tcPr>
          <w:p w14:paraId="2910EE81" w14:textId="77777777" w:rsidR="00000000" w:rsidRDefault="00195E73">
            <w:pPr>
              <w:rPr>
                <w:rFonts w:eastAsia="Times New Roman"/>
                <w:sz w:val="20"/>
                <w:szCs w:val="20"/>
              </w:rPr>
            </w:pPr>
          </w:p>
        </w:tc>
        <w:tc>
          <w:tcPr>
            <w:tcW w:w="0" w:type="auto"/>
            <w:vAlign w:val="center"/>
            <w:hideMark/>
          </w:tcPr>
          <w:p w14:paraId="099AA47B" w14:textId="77777777" w:rsidR="00000000" w:rsidRDefault="00195E73">
            <w:pPr>
              <w:rPr>
                <w:rFonts w:eastAsia="Times New Roman"/>
                <w:sz w:val="20"/>
                <w:szCs w:val="20"/>
              </w:rPr>
            </w:pPr>
          </w:p>
        </w:tc>
        <w:tc>
          <w:tcPr>
            <w:tcW w:w="0" w:type="auto"/>
            <w:vAlign w:val="center"/>
            <w:hideMark/>
          </w:tcPr>
          <w:p w14:paraId="0CA4BF74" w14:textId="77777777" w:rsidR="00000000" w:rsidRDefault="00195E73">
            <w:pPr>
              <w:rPr>
                <w:rFonts w:eastAsia="Times New Roman"/>
                <w:sz w:val="20"/>
                <w:szCs w:val="20"/>
              </w:rPr>
            </w:pPr>
          </w:p>
        </w:tc>
      </w:tr>
      <w:tr w:rsidR="00000000" w14:paraId="29471546" w14:textId="77777777">
        <w:trPr>
          <w:divId w:val="1142582442"/>
          <w:jc w:val="center"/>
        </w:trPr>
        <w:tc>
          <w:tcPr>
            <w:tcW w:w="0" w:type="auto"/>
            <w:gridSpan w:val="3"/>
            <w:tcMar>
              <w:top w:w="15" w:type="dxa"/>
              <w:left w:w="20" w:type="dxa"/>
              <w:bottom w:w="15" w:type="dxa"/>
              <w:right w:w="20" w:type="dxa"/>
            </w:tcMar>
            <w:vAlign w:val="bottom"/>
            <w:hideMark/>
          </w:tcPr>
          <w:p w14:paraId="7D562281"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C76AB8B"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1F9FD6EE" w14:textId="77777777" w:rsidR="00000000" w:rsidRDefault="00195E73">
            <w:pPr>
              <w:jc w:val="center"/>
              <w:rPr>
                <w:rFonts w:eastAsia="Times New Roman"/>
              </w:rPr>
            </w:pPr>
          </w:p>
        </w:tc>
        <w:tc>
          <w:tcPr>
            <w:tcW w:w="0" w:type="auto"/>
            <w:gridSpan w:val="3"/>
            <w:vAlign w:val="center"/>
            <w:hideMark/>
          </w:tcPr>
          <w:p w14:paraId="52051D6F" w14:textId="77777777" w:rsidR="00000000" w:rsidRDefault="00195E73">
            <w:pPr>
              <w:rPr>
                <w:rFonts w:eastAsia="Times New Roman"/>
                <w:sz w:val="20"/>
                <w:szCs w:val="20"/>
              </w:rPr>
            </w:pPr>
          </w:p>
        </w:tc>
      </w:tr>
      <w:tr w:rsidR="00000000" w14:paraId="6826C88E" w14:textId="77777777">
        <w:trPr>
          <w:divId w:val="1142582442"/>
          <w:jc w:val="center"/>
        </w:trPr>
        <w:tc>
          <w:tcPr>
            <w:tcW w:w="0" w:type="auto"/>
            <w:gridSpan w:val="3"/>
            <w:tcMar>
              <w:top w:w="30" w:type="dxa"/>
              <w:left w:w="20" w:type="dxa"/>
              <w:bottom w:w="30" w:type="dxa"/>
              <w:right w:w="20" w:type="dxa"/>
            </w:tcMar>
            <w:vAlign w:val="bottom"/>
            <w:hideMark/>
          </w:tcPr>
          <w:p w14:paraId="2707F220" w14:textId="77777777" w:rsidR="00000000" w:rsidRDefault="00195E73">
            <w:pPr>
              <w:rPr>
                <w:rFonts w:eastAsia="Times New Roman"/>
              </w:rPr>
            </w:pPr>
            <w:r>
              <w:rPr>
                <w:rFonts w:eastAsia="Times New Roman"/>
                <w:color w:val="000000"/>
                <w:sz w:val="20"/>
                <w:szCs w:val="20"/>
              </w:rPr>
              <w:t>Deferred tax assets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76E08B57"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1F4E8104"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1B84C66" w14:textId="77777777" w:rsidR="00000000" w:rsidRDefault="00195E73">
            <w:pPr>
              <w:rPr>
                <w:rFonts w:eastAsia="Times New Roman"/>
                <w:sz w:val="20"/>
                <w:szCs w:val="20"/>
              </w:rPr>
            </w:pPr>
          </w:p>
        </w:tc>
        <w:tc>
          <w:tcPr>
            <w:tcW w:w="0" w:type="auto"/>
            <w:vAlign w:val="center"/>
            <w:hideMark/>
          </w:tcPr>
          <w:p w14:paraId="3657A5A5" w14:textId="77777777" w:rsidR="00000000" w:rsidRDefault="00195E73">
            <w:pPr>
              <w:rPr>
                <w:rFonts w:eastAsia="Times New Roman"/>
                <w:sz w:val="20"/>
                <w:szCs w:val="20"/>
              </w:rPr>
            </w:pPr>
          </w:p>
        </w:tc>
        <w:tc>
          <w:tcPr>
            <w:tcW w:w="0" w:type="auto"/>
            <w:vAlign w:val="center"/>
            <w:hideMark/>
          </w:tcPr>
          <w:p w14:paraId="5B7A7472" w14:textId="77777777" w:rsidR="00000000" w:rsidRDefault="00195E73">
            <w:pPr>
              <w:rPr>
                <w:rFonts w:eastAsia="Times New Roman"/>
                <w:sz w:val="20"/>
                <w:szCs w:val="20"/>
              </w:rPr>
            </w:pPr>
          </w:p>
        </w:tc>
        <w:tc>
          <w:tcPr>
            <w:tcW w:w="0" w:type="auto"/>
            <w:vAlign w:val="center"/>
            <w:hideMark/>
          </w:tcPr>
          <w:p w14:paraId="03D21A86" w14:textId="77777777" w:rsidR="00000000" w:rsidRDefault="00195E73">
            <w:pPr>
              <w:rPr>
                <w:rFonts w:eastAsia="Times New Roman"/>
                <w:sz w:val="20"/>
                <w:szCs w:val="20"/>
              </w:rPr>
            </w:pPr>
          </w:p>
        </w:tc>
        <w:tc>
          <w:tcPr>
            <w:tcW w:w="0" w:type="auto"/>
            <w:vAlign w:val="center"/>
            <w:hideMark/>
          </w:tcPr>
          <w:p w14:paraId="2E5049BE" w14:textId="77777777" w:rsidR="00000000" w:rsidRDefault="00195E73">
            <w:pPr>
              <w:rPr>
                <w:rFonts w:eastAsia="Times New Roman"/>
                <w:sz w:val="20"/>
                <w:szCs w:val="20"/>
              </w:rPr>
            </w:pPr>
          </w:p>
        </w:tc>
        <w:tc>
          <w:tcPr>
            <w:tcW w:w="0" w:type="auto"/>
            <w:vAlign w:val="center"/>
            <w:hideMark/>
          </w:tcPr>
          <w:p w14:paraId="5929C74D" w14:textId="77777777" w:rsidR="00000000" w:rsidRDefault="00195E73">
            <w:pPr>
              <w:rPr>
                <w:rFonts w:eastAsia="Times New Roman"/>
                <w:sz w:val="20"/>
                <w:szCs w:val="20"/>
              </w:rPr>
            </w:pPr>
          </w:p>
        </w:tc>
        <w:tc>
          <w:tcPr>
            <w:tcW w:w="0" w:type="auto"/>
            <w:vAlign w:val="center"/>
            <w:hideMark/>
          </w:tcPr>
          <w:p w14:paraId="32CFC78A" w14:textId="77777777" w:rsidR="00000000" w:rsidRDefault="00195E73">
            <w:pPr>
              <w:rPr>
                <w:rFonts w:eastAsia="Times New Roman"/>
                <w:sz w:val="20"/>
                <w:szCs w:val="20"/>
              </w:rPr>
            </w:pPr>
          </w:p>
        </w:tc>
      </w:tr>
      <w:tr w:rsidR="00000000" w14:paraId="4A6F9D55" w14:textId="77777777">
        <w:trPr>
          <w:divId w:val="1142582442"/>
          <w:jc w:val="center"/>
        </w:trPr>
        <w:tc>
          <w:tcPr>
            <w:tcW w:w="0" w:type="auto"/>
            <w:gridSpan w:val="3"/>
            <w:shd w:val="clear" w:color="auto" w:fill="CCEEFF"/>
            <w:tcMar>
              <w:top w:w="30" w:type="dxa"/>
              <w:left w:w="180" w:type="dxa"/>
              <w:bottom w:w="30" w:type="dxa"/>
              <w:right w:w="20" w:type="dxa"/>
            </w:tcMar>
            <w:vAlign w:val="bottom"/>
            <w:hideMark/>
          </w:tcPr>
          <w:p w14:paraId="32E8DE1B" w14:textId="77777777" w:rsidR="00000000" w:rsidRDefault="00195E73">
            <w:pPr>
              <w:rPr>
                <w:rFonts w:eastAsia="Times New Roman"/>
              </w:rPr>
            </w:pPr>
            <w:r>
              <w:rPr>
                <w:rFonts w:eastAsia="Times New Roman"/>
                <w:color w:val="000000"/>
                <w:sz w:val="20"/>
                <w:szCs w:val="20"/>
              </w:rPr>
              <w:t>Property, plant and equipmen</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14:paraId="2A9D889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88D5647" w14:textId="77777777" w:rsidR="00000000" w:rsidRDefault="00195E73">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133CAB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1AF3CD88" w14:textId="77777777" w:rsidR="00000000" w:rsidRDefault="00195E73">
            <w:pPr>
              <w:jc w:val="center"/>
              <w:rPr>
                <w:rFonts w:eastAsia="Times New Roman"/>
              </w:rPr>
            </w:pPr>
            <w:r>
              <w:rPr>
                <w:rFonts w:eastAsia="Times New Roman"/>
                <w:color w:val="000000"/>
                <w:sz w:val="20"/>
                <w:szCs w:val="20"/>
              </w:rPr>
              <w:t> </w:t>
            </w:r>
          </w:p>
        </w:tc>
        <w:tc>
          <w:tcPr>
            <w:tcW w:w="0" w:type="auto"/>
            <w:shd w:val="clear" w:color="auto" w:fill="CCEEFF"/>
            <w:tcMar>
              <w:top w:w="30" w:type="dxa"/>
              <w:left w:w="20" w:type="dxa"/>
              <w:bottom w:w="30" w:type="dxa"/>
              <w:right w:w="15" w:type="dxa"/>
            </w:tcMar>
            <w:vAlign w:val="bottom"/>
            <w:hideMark/>
          </w:tcPr>
          <w:p w14:paraId="16209D1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C376E84" w14:textId="77777777" w:rsidR="00000000" w:rsidRDefault="00195E73">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597C51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A722A2D" w14:textId="77777777" w:rsidR="00000000" w:rsidRDefault="00195E73">
            <w:pPr>
              <w:rPr>
                <w:rFonts w:eastAsia="Times New Roman"/>
                <w:sz w:val="20"/>
                <w:szCs w:val="20"/>
              </w:rPr>
            </w:pPr>
          </w:p>
        </w:tc>
        <w:tc>
          <w:tcPr>
            <w:tcW w:w="0" w:type="auto"/>
            <w:vAlign w:val="center"/>
            <w:hideMark/>
          </w:tcPr>
          <w:p w14:paraId="68C8DA2F" w14:textId="77777777" w:rsidR="00000000" w:rsidRDefault="00195E73">
            <w:pPr>
              <w:rPr>
                <w:rFonts w:eastAsia="Times New Roman"/>
                <w:sz w:val="20"/>
                <w:szCs w:val="20"/>
              </w:rPr>
            </w:pPr>
          </w:p>
        </w:tc>
        <w:tc>
          <w:tcPr>
            <w:tcW w:w="0" w:type="auto"/>
            <w:vAlign w:val="center"/>
            <w:hideMark/>
          </w:tcPr>
          <w:p w14:paraId="7C67351B" w14:textId="77777777" w:rsidR="00000000" w:rsidRDefault="00195E73">
            <w:pPr>
              <w:rPr>
                <w:rFonts w:eastAsia="Times New Roman"/>
                <w:sz w:val="20"/>
                <w:szCs w:val="20"/>
              </w:rPr>
            </w:pPr>
          </w:p>
        </w:tc>
        <w:tc>
          <w:tcPr>
            <w:tcW w:w="0" w:type="auto"/>
            <w:vAlign w:val="center"/>
            <w:hideMark/>
          </w:tcPr>
          <w:p w14:paraId="1E6D4C90" w14:textId="77777777" w:rsidR="00000000" w:rsidRDefault="00195E73">
            <w:pPr>
              <w:rPr>
                <w:rFonts w:eastAsia="Times New Roman"/>
                <w:sz w:val="20"/>
                <w:szCs w:val="20"/>
              </w:rPr>
            </w:pPr>
          </w:p>
        </w:tc>
        <w:tc>
          <w:tcPr>
            <w:tcW w:w="0" w:type="auto"/>
            <w:vAlign w:val="center"/>
            <w:hideMark/>
          </w:tcPr>
          <w:p w14:paraId="621EFE9C" w14:textId="77777777" w:rsidR="00000000" w:rsidRDefault="00195E73">
            <w:pPr>
              <w:rPr>
                <w:rFonts w:eastAsia="Times New Roman"/>
                <w:sz w:val="20"/>
                <w:szCs w:val="20"/>
              </w:rPr>
            </w:pPr>
          </w:p>
        </w:tc>
        <w:tc>
          <w:tcPr>
            <w:tcW w:w="0" w:type="auto"/>
            <w:vAlign w:val="center"/>
            <w:hideMark/>
          </w:tcPr>
          <w:p w14:paraId="5A1A9FC1" w14:textId="77777777" w:rsidR="00000000" w:rsidRDefault="00195E73">
            <w:pPr>
              <w:rPr>
                <w:rFonts w:eastAsia="Times New Roman"/>
                <w:sz w:val="20"/>
                <w:szCs w:val="20"/>
              </w:rPr>
            </w:pPr>
          </w:p>
        </w:tc>
      </w:tr>
      <w:tr w:rsidR="00000000" w14:paraId="1737C570" w14:textId="77777777">
        <w:trPr>
          <w:divId w:val="1142582442"/>
          <w:jc w:val="center"/>
        </w:trPr>
        <w:tc>
          <w:tcPr>
            <w:tcW w:w="0" w:type="auto"/>
            <w:gridSpan w:val="3"/>
            <w:shd w:val="clear" w:color="auto" w:fill="FFFFFF"/>
            <w:tcMar>
              <w:top w:w="30" w:type="dxa"/>
              <w:left w:w="180" w:type="dxa"/>
              <w:bottom w:w="30" w:type="dxa"/>
              <w:right w:w="20" w:type="dxa"/>
            </w:tcMar>
            <w:vAlign w:val="bottom"/>
            <w:hideMark/>
          </w:tcPr>
          <w:p w14:paraId="36F3A723" w14:textId="77777777" w:rsidR="00000000" w:rsidRDefault="00195E73">
            <w:pPr>
              <w:rPr>
                <w:rFonts w:eastAsia="Times New Roman"/>
              </w:rPr>
            </w:pPr>
            <w:r>
              <w:rPr>
                <w:rFonts w:eastAsia="Times New Roman"/>
                <w:color w:val="000000"/>
                <w:sz w:val="20"/>
                <w:szCs w:val="20"/>
              </w:rPr>
              <w:t>Net operating los</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C5FBAB6" w14:textId="77777777" w:rsidR="00000000" w:rsidRDefault="00195E73">
            <w:pPr>
              <w:jc w:val="right"/>
              <w:rPr>
                <w:rFonts w:eastAsia="Times New Roman"/>
              </w:rPr>
            </w:pPr>
            <w:r>
              <w:rPr>
                <w:rFonts w:eastAsia="Times New Roman"/>
                <w:color w:val="000000"/>
                <w:sz w:val="20"/>
                <w:szCs w:val="20"/>
              </w:rPr>
              <w:t>791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8ABF8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48E21E44" w14:textId="77777777" w:rsidR="00000000" w:rsidRDefault="00195E73">
            <w:pPr>
              <w:jc w:val="center"/>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25B00573" w14:textId="77777777" w:rsidR="00000000" w:rsidRDefault="00195E73">
            <w:pPr>
              <w:jc w:val="right"/>
              <w:rPr>
                <w:rFonts w:eastAsia="Times New Roman"/>
              </w:rPr>
            </w:pPr>
            <w:r>
              <w:rPr>
                <w:rFonts w:eastAsia="Times New Roman"/>
                <w:color w:val="000000"/>
                <w:sz w:val="20"/>
                <w:szCs w:val="20"/>
              </w:rPr>
              <w:t>791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CCDD21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F017082" w14:textId="77777777" w:rsidR="00000000" w:rsidRDefault="00195E73">
            <w:pPr>
              <w:rPr>
                <w:rFonts w:eastAsia="Times New Roman"/>
                <w:sz w:val="20"/>
                <w:szCs w:val="20"/>
              </w:rPr>
            </w:pPr>
          </w:p>
        </w:tc>
        <w:tc>
          <w:tcPr>
            <w:tcW w:w="0" w:type="auto"/>
            <w:vAlign w:val="center"/>
            <w:hideMark/>
          </w:tcPr>
          <w:p w14:paraId="6545EEE3" w14:textId="77777777" w:rsidR="00000000" w:rsidRDefault="00195E73">
            <w:pPr>
              <w:rPr>
                <w:rFonts w:eastAsia="Times New Roman"/>
                <w:sz w:val="20"/>
                <w:szCs w:val="20"/>
              </w:rPr>
            </w:pPr>
          </w:p>
        </w:tc>
        <w:tc>
          <w:tcPr>
            <w:tcW w:w="0" w:type="auto"/>
            <w:vAlign w:val="center"/>
            <w:hideMark/>
          </w:tcPr>
          <w:p w14:paraId="46EA5521" w14:textId="77777777" w:rsidR="00000000" w:rsidRDefault="00195E73">
            <w:pPr>
              <w:rPr>
                <w:rFonts w:eastAsia="Times New Roman"/>
                <w:sz w:val="20"/>
                <w:szCs w:val="20"/>
              </w:rPr>
            </w:pPr>
          </w:p>
        </w:tc>
        <w:tc>
          <w:tcPr>
            <w:tcW w:w="0" w:type="auto"/>
            <w:vAlign w:val="center"/>
            <w:hideMark/>
          </w:tcPr>
          <w:p w14:paraId="26D0A496" w14:textId="77777777" w:rsidR="00000000" w:rsidRDefault="00195E73">
            <w:pPr>
              <w:rPr>
                <w:rFonts w:eastAsia="Times New Roman"/>
                <w:sz w:val="20"/>
                <w:szCs w:val="20"/>
              </w:rPr>
            </w:pPr>
          </w:p>
        </w:tc>
        <w:tc>
          <w:tcPr>
            <w:tcW w:w="0" w:type="auto"/>
            <w:vAlign w:val="center"/>
            <w:hideMark/>
          </w:tcPr>
          <w:p w14:paraId="2D46E0EA" w14:textId="77777777" w:rsidR="00000000" w:rsidRDefault="00195E73">
            <w:pPr>
              <w:rPr>
                <w:rFonts w:eastAsia="Times New Roman"/>
                <w:sz w:val="20"/>
                <w:szCs w:val="20"/>
              </w:rPr>
            </w:pPr>
          </w:p>
        </w:tc>
        <w:tc>
          <w:tcPr>
            <w:tcW w:w="0" w:type="auto"/>
            <w:vAlign w:val="center"/>
            <w:hideMark/>
          </w:tcPr>
          <w:p w14:paraId="132F435B" w14:textId="77777777" w:rsidR="00000000" w:rsidRDefault="00195E73">
            <w:pPr>
              <w:rPr>
                <w:rFonts w:eastAsia="Times New Roman"/>
                <w:sz w:val="20"/>
                <w:szCs w:val="20"/>
              </w:rPr>
            </w:pPr>
          </w:p>
        </w:tc>
      </w:tr>
      <w:tr w:rsidR="00000000" w14:paraId="75DE3664" w14:textId="77777777">
        <w:trPr>
          <w:divId w:val="1142582442"/>
          <w:jc w:val="center"/>
        </w:trPr>
        <w:tc>
          <w:tcPr>
            <w:tcW w:w="0" w:type="auto"/>
            <w:gridSpan w:val="3"/>
            <w:shd w:val="clear" w:color="auto" w:fill="CCEEFF"/>
            <w:tcMar>
              <w:top w:w="30" w:type="dxa"/>
              <w:left w:w="180" w:type="dxa"/>
              <w:bottom w:w="30" w:type="dxa"/>
              <w:right w:w="20" w:type="dxa"/>
            </w:tcMar>
            <w:vAlign w:val="bottom"/>
            <w:hideMark/>
          </w:tcPr>
          <w:p w14:paraId="519E2930" w14:textId="77777777" w:rsidR="00000000" w:rsidRDefault="00195E73">
            <w:pPr>
              <w:rPr>
                <w:rFonts w:eastAsia="Times New Roman"/>
              </w:rPr>
            </w:pPr>
            <w:r>
              <w:rPr>
                <w:rFonts w:eastAsia="Times New Roman"/>
                <w:color w:val="000000"/>
                <w:sz w:val="20"/>
                <w:szCs w:val="20"/>
              </w:rPr>
              <w:t>Tax credit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B9EE590" w14:textId="77777777" w:rsidR="00000000" w:rsidRDefault="00195E73">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9D997F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0BA77942" w14:textId="77777777" w:rsidR="00000000" w:rsidRDefault="00195E73">
            <w:pPr>
              <w:jc w:val="center"/>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32E397FE" w14:textId="77777777" w:rsidR="00000000" w:rsidRDefault="00195E73">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04ABBE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E172B1E" w14:textId="77777777" w:rsidR="00000000" w:rsidRDefault="00195E73">
            <w:pPr>
              <w:rPr>
                <w:rFonts w:eastAsia="Times New Roman"/>
                <w:sz w:val="20"/>
                <w:szCs w:val="20"/>
              </w:rPr>
            </w:pPr>
          </w:p>
        </w:tc>
        <w:tc>
          <w:tcPr>
            <w:tcW w:w="0" w:type="auto"/>
            <w:vAlign w:val="center"/>
            <w:hideMark/>
          </w:tcPr>
          <w:p w14:paraId="49DDD917" w14:textId="77777777" w:rsidR="00000000" w:rsidRDefault="00195E73">
            <w:pPr>
              <w:rPr>
                <w:rFonts w:eastAsia="Times New Roman"/>
                <w:sz w:val="20"/>
                <w:szCs w:val="20"/>
              </w:rPr>
            </w:pPr>
          </w:p>
        </w:tc>
        <w:tc>
          <w:tcPr>
            <w:tcW w:w="0" w:type="auto"/>
            <w:vAlign w:val="center"/>
            <w:hideMark/>
          </w:tcPr>
          <w:p w14:paraId="5EDE343A" w14:textId="77777777" w:rsidR="00000000" w:rsidRDefault="00195E73">
            <w:pPr>
              <w:rPr>
                <w:rFonts w:eastAsia="Times New Roman"/>
                <w:sz w:val="20"/>
                <w:szCs w:val="20"/>
              </w:rPr>
            </w:pPr>
          </w:p>
        </w:tc>
        <w:tc>
          <w:tcPr>
            <w:tcW w:w="0" w:type="auto"/>
            <w:vAlign w:val="center"/>
            <w:hideMark/>
          </w:tcPr>
          <w:p w14:paraId="0D866BFE" w14:textId="77777777" w:rsidR="00000000" w:rsidRDefault="00195E73">
            <w:pPr>
              <w:rPr>
                <w:rFonts w:eastAsia="Times New Roman"/>
                <w:sz w:val="20"/>
                <w:szCs w:val="20"/>
              </w:rPr>
            </w:pPr>
          </w:p>
        </w:tc>
        <w:tc>
          <w:tcPr>
            <w:tcW w:w="0" w:type="auto"/>
            <w:vAlign w:val="center"/>
            <w:hideMark/>
          </w:tcPr>
          <w:p w14:paraId="78E9975B" w14:textId="77777777" w:rsidR="00000000" w:rsidRDefault="00195E73">
            <w:pPr>
              <w:rPr>
                <w:rFonts w:eastAsia="Times New Roman"/>
                <w:sz w:val="20"/>
                <w:szCs w:val="20"/>
              </w:rPr>
            </w:pPr>
          </w:p>
        </w:tc>
        <w:tc>
          <w:tcPr>
            <w:tcW w:w="0" w:type="auto"/>
            <w:vAlign w:val="center"/>
            <w:hideMark/>
          </w:tcPr>
          <w:p w14:paraId="34608515" w14:textId="77777777" w:rsidR="00000000" w:rsidRDefault="00195E73">
            <w:pPr>
              <w:rPr>
                <w:rFonts w:eastAsia="Times New Roman"/>
                <w:sz w:val="20"/>
                <w:szCs w:val="20"/>
              </w:rPr>
            </w:pPr>
          </w:p>
        </w:tc>
      </w:tr>
      <w:tr w:rsidR="00000000" w14:paraId="53F61CBF" w14:textId="77777777">
        <w:trPr>
          <w:divId w:val="1142582442"/>
          <w:jc w:val="center"/>
        </w:trPr>
        <w:tc>
          <w:tcPr>
            <w:tcW w:w="0" w:type="auto"/>
            <w:gridSpan w:val="3"/>
            <w:shd w:val="clear" w:color="auto" w:fill="FFFFFF"/>
            <w:tcMar>
              <w:top w:w="30" w:type="dxa"/>
              <w:left w:w="180" w:type="dxa"/>
              <w:bottom w:w="30" w:type="dxa"/>
              <w:right w:w="20" w:type="dxa"/>
            </w:tcMar>
            <w:vAlign w:val="bottom"/>
            <w:hideMark/>
          </w:tcPr>
          <w:p w14:paraId="68D98A45" w14:textId="77777777" w:rsidR="00000000" w:rsidRDefault="00195E73">
            <w:pPr>
              <w:rPr>
                <w:rFonts w:eastAsia="Times New Roman"/>
              </w:rPr>
            </w:pPr>
            <w:r>
              <w:rPr>
                <w:rFonts w:eastAsia="Times New Roman"/>
                <w:color w:val="000000"/>
                <w:sz w:val="20"/>
                <w:szCs w:val="20"/>
              </w:rPr>
              <w:t>Capital los</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C9A614A" w14:textId="77777777" w:rsidR="00000000" w:rsidRDefault="00195E73">
            <w:pPr>
              <w:jc w:val="right"/>
              <w:rPr>
                <w:rFonts w:eastAsia="Times New Roman"/>
              </w:rPr>
            </w:pPr>
            <w:r>
              <w:rPr>
                <w:rFonts w:eastAsia="Times New Roman"/>
                <w:color w:val="000000"/>
                <w:sz w:val="20"/>
                <w:szCs w:val="20"/>
              </w:rPr>
              <w:t>155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993471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21C583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7000CF" w14:textId="77777777" w:rsidR="00000000" w:rsidRDefault="00195E73">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7DBB0B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217E43B" w14:textId="77777777" w:rsidR="00000000" w:rsidRDefault="00195E73">
            <w:pPr>
              <w:rPr>
                <w:rFonts w:eastAsia="Times New Roman"/>
                <w:sz w:val="20"/>
                <w:szCs w:val="20"/>
              </w:rPr>
            </w:pPr>
          </w:p>
        </w:tc>
        <w:tc>
          <w:tcPr>
            <w:tcW w:w="0" w:type="auto"/>
            <w:vAlign w:val="center"/>
            <w:hideMark/>
          </w:tcPr>
          <w:p w14:paraId="099B6D4D" w14:textId="77777777" w:rsidR="00000000" w:rsidRDefault="00195E73">
            <w:pPr>
              <w:rPr>
                <w:rFonts w:eastAsia="Times New Roman"/>
                <w:sz w:val="20"/>
                <w:szCs w:val="20"/>
              </w:rPr>
            </w:pPr>
          </w:p>
        </w:tc>
        <w:tc>
          <w:tcPr>
            <w:tcW w:w="0" w:type="auto"/>
            <w:vAlign w:val="center"/>
            <w:hideMark/>
          </w:tcPr>
          <w:p w14:paraId="2ABCC97D" w14:textId="77777777" w:rsidR="00000000" w:rsidRDefault="00195E73">
            <w:pPr>
              <w:rPr>
                <w:rFonts w:eastAsia="Times New Roman"/>
                <w:sz w:val="20"/>
                <w:szCs w:val="20"/>
              </w:rPr>
            </w:pPr>
          </w:p>
        </w:tc>
        <w:tc>
          <w:tcPr>
            <w:tcW w:w="0" w:type="auto"/>
            <w:vAlign w:val="center"/>
            <w:hideMark/>
          </w:tcPr>
          <w:p w14:paraId="278A81D3" w14:textId="77777777" w:rsidR="00000000" w:rsidRDefault="00195E73">
            <w:pPr>
              <w:rPr>
                <w:rFonts w:eastAsia="Times New Roman"/>
                <w:sz w:val="20"/>
                <w:szCs w:val="20"/>
              </w:rPr>
            </w:pPr>
          </w:p>
        </w:tc>
        <w:tc>
          <w:tcPr>
            <w:tcW w:w="0" w:type="auto"/>
            <w:vAlign w:val="center"/>
            <w:hideMark/>
          </w:tcPr>
          <w:p w14:paraId="07A34516" w14:textId="77777777" w:rsidR="00000000" w:rsidRDefault="00195E73">
            <w:pPr>
              <w:rPr>
                <w:rFonts w:eastAsia="Times New Roman"/>
                <w:sz w:val="20"/>
                <w:szCs w:val="20"/>
              </w:rPr>
            </w:pPr>
          </w:p>
        </w:tc>
        <w:tc>
          <w:tcPr>
            <w:tcW w:w="0" w:type="auto"/>
            <w:vAlign w:val="center"/>
            <w:hideMark/>
          </w:tcPr>
          <w:p w14:paraId="1D9E10C5" w14:textId="77777777" w:rsidR="00000000" w:rsidRDefault="00195E73">
            <w:pPr>
              <w:rPr>
                <w:rFonts w:eastAsia="Times New Roman"/>
                <w:sz w:val="20"/>
                <w:szCs w:val="20"/>
              </w:rPr>
            </w:pPr>
          </w:p>
        </w:tc>
      </w:tr>
      <w:tr w:rsidR="00000000" w14:paraId="06F3E6C1" w14:textId="77777777">
        <w:trPr>
          <w:divId w:val="1142582442"/>
          <w:jc w:val="center"/>
        </w:trPr>
        <w:tc>
          <w:tcPr>
            <w:tcW w:w="0" w:type="auto"/>
            <w:gridSpan w:val="3"/>
            <w:shd w:val="clear" w:color="auto" w:fill="CCEEFF"/>
            <w:tcMar>
              <w:top w:w="30" w:type="dxa"/>
              <w:left w:w="180" w:type="dxa"/>
              <w:bottom w:w="30" w:type="dxa"/>
              <w:right w:w="20" w:type="dxa"/>
            </w:tcMar>
            <w:vAlign w:val="bottom"/>
            <w:hideMark/>
          </w:tcPr>
          <w:p w14:paraId="23B9BAA8" w14:textId="77777777" w:rsidR="00000000" w:rsidRDefault="00195E73">
            <w:pPr>
              <w:rPr>
                <w:rFonts w:eastAsia="Times New Roman"/>
              </w:rPr>
            </w:pPr>
            <w:r>
              <w:rPr>
                <w:rFonts w:eastAsia="Times New Roman"/>
                <w:color w:val="000000"/>
                <w:sz w:val="20"/>
                <w:szCs w:val="20"/>
              </w:rPr>
              <w:t>Lease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73A8EC2" w14:textId="77777777" w:rsidR="00000000" w:rsidRDefault="00195E73">
            <w:pPr>
              <w:jc w:val="right"/>
              <w:rPr>
                <w:rFonts w:eastAsia="Times New Roman"/>
              </w:rPr>
            </w:pPr>
            <w:r>
              <w:rPr>
                <w:rFonts w:eastAsia="Times New Roman"/>
                <w:color w:val="000000"/>
                <w:sz w:val="20"/>
                <w:szCs w:val="20"/>
              </w:rPr>
              <w:t>133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C83662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7F25FB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4F2496"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F3B42F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F83F716" w14:textId="77777777" w:rsidR="00000000" w:rsidRDefault="00195E73">
            <w:pPr>
              <w:rPr>
                <w:rFonts w:eastAsia="Times New Roman"/>
                <w:sz w:val="20"/>
                <w:szCs w:val="20"/>
              </w:rPr>
            </w:pPr>
          </w:p>
        </w:tc>
        <w:tc>
          <w:tcPr>
            <w:tcW w:w="0" w:type="auto"/>
            <w:vAlign w:val="center"/>
            <w:hideMark/>
          </w:tcPr>
          <w:p w14:paraId="54AAD12C" w14:textId="77777777" w:rsidR="00000000" w:rsidRDefault="00195E73">
            <w:pPr>
              <w:rPr>
                <w:rFonts w:eastAsia="Times New Roman"/>
                <w:sz w:val="20"/>
                <w:szCs w:val="20"/>
              </w:rPr>
            </w:pPr>
          </w:p>
        </w:tc>
        <w:tc>
          <w:tcPr>
            <w:tcW w:w="0" w:type="auto"/>
            <w:vAlign w:val="center"/>
            <w:hideMark/>
          </w:tcPr>
          <w:p w14:paraId="38275815" w14:textId="77777777" w:rsidR="00000000" w:rsidRDefault="00195E73">
            <w:pPr>
              <w:rPr>
                <w:rFonts w:eastAsia="Times New Roman"/>
                <w:sz w:val="20"/>
                <w:szCs w:val="20"/>
              </w:rPr>
            </w:pPr>
          </w:p>
        </w:tc>
        <w:tc>
          <w:tcPr>
            <w:tcW w:w="0" w:type="auto"/>
            <w:vAlign w:val="center"/>
            <w:hideMark/>
          </w:tcPr>
          <w:p w14:paraId="586AE1F6" w14:textId="77777777" w:rsidR="00000000" w:rsidRDefault="00195E73">
            <w:pPr>
              <w:rPr>
                <w:rFonts w:eastAsia="Times New Roman"/>
                <w:sz w:val="20"/>
                <w:szCs w:val="20"/>
              </w:rPr>
            </w:pPr>
          </w:p>
        </w:tc>
        <w:tc>
          <w:tcPr>
            <w:tcW w:w="0" w:type="auto"/>
            <w:vAlign w:val="center"/>
            <w:hideMark/>
          </w:tcPr>
          <w:p w14:paraId="176B8D63" w14:textId="77777777" w:rsidR="00000000" w:rsidRDefault="00195E73">
            <w:pPr>
              <w:rPr>
                <w:rFonts w:eastAsia="Times New Roman"/>
                <w:sz w:val="20"/>
                <w:szCs w:val="20"/>
              </w:rPr>
            </w:pPr>
          </w:p>
        </w:tc>
        <w:tc>
          <w:tcPr>
            <w:tcW w:w="0" w:type="auto"/>
            <w:vAlign w:val="center"/>
            <w:hideMark/>
          </w:tcPr>
          <w:p w14:paraId="141BBB7A" w14:textId="77777777" w:rsidR="00000000" w:rsidRDefault="00195E73">
            <w:pPr>
              <w:rPr>
                <w:rFonts w:eastAsia="Times New Roman"/>
                <w:sz w:val="20"/>
                <w:szCs w:val="20"/>
              </w:rPr>
            </w:pPr>
          </w:p>
        </w:tc>
      </w:tr>
      <w:tr w:rsidR="00000000" w14:paraId="11201659" w14:textId="77777777">
        <w:trPr>
          <w:divId w:val="1142582442"/>
          <w:jc w:val="center"/>
        </w:trPr>
        <w:tc>
          <w:tcPr>
            <w:tcW w:w="0" w:type="auto"/>
            <w:gridSpan w:val="3"/>
            <w:shd w:val="clear" w:color="auto" w:fill="FFFFFF"/>
            <w:tcMar>
              <w:top w:w="30" w:type="dxa"/>
              <w:left w:w="180" w:type="dxa"/>
              <w:bottom w:w="30" w:type="dxa"/>
              <w:right w:w="20" w:type="dxa"/>
            </w:tcMar>
            <w:vAlign w:val="bottom"/>
            <w:hideMark/>
          </w:tcPr>
          <w:p w14:paraId="55E82CC4" w14:textId="77777777" w:rsidR="00000000" w:rsidRDefault="00195E73">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470A2CF3" w14:textId="77777777" w:rsidR="00000000" w:rsidRDefault="00195E73">
            <w:pPr>
              <w:jc w:val="right"/>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C6B46A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6A81A551" w14:textId="77777777" w:rsidR="00000000" w:rsidRDefault="00195E73">
            <w:pPr>
              <w:jc w:val="center"/>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0AB006FF" w14:textId="77777777" w:rsidR="00000000" w:rsidRDefault="00195E73">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E090DB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C5F542F" w14:textId="77777777" w:rsidR="00000000" w:rsidRDefault="00195E73">
            <w:pPr>
              <w:rPr>
                <w:rFonts w:eastAsia="Times New Roman"/>
                <w:sz w:val="20"/>
                <w:szCs w:val="20"/>
              </w:rPr>
            </w:pPr>
          </w:p>
        </w:tc>
        <w:tc>
          <w:tcPr>
            <w:tcW w:w="0" w:type="auto"/>
            <w:vAlign w:val="center"/>
            <w:hideMark/>
          </w:tcPr>
          <w:p w14:paraId="502D65D7" w14:textId="77777777" w:rsidR="00000000" w:rsidRDefault="00195E73">
            <w:pPr>
              <w:rPr>
                <w:rFonts w:eastAsia="Times New Roman"/>
                <w:sz w:val="20"/>
                <w:szCs w:val="20"/>
              </w:rPr>
            </w:pPr>
          </w:p>
        </w:tc>
        <w:tc>
          <w:tcPr>
            <w:tcW w:w="0" w:type="auto"/>
            <w:vAlign w:val="center"/>
            <w:hideMark/>
          </w:tcPr>
          <w:p w14:paraId="78A8CFFB" w14:textId="77777777" w:rsidR="00000000" w:rsidRDefault="00195E73">
            <w:pPr>
              <w:rPr>
                <w:rFonts w:eastAsia="Times New Roman"/>
                <w:sz w:val="20"/>
                <w:szCs w:val="20"/>
              </w:rPr>
            </w:pPr>
          </w:p>
        </w:tc>
        <w:tc>
          <w:tcPr>
            <w:tcW w:w="0" w:type="auto"/>
            <w:vAlign w:val="center"/>
            <w:hideMark/>
          </w:tcPr>
          <w:p w14:paraId="7F3FB914" w14:textId="77777777" w:rsidR="00000000" w:rsidRDefault="00195E73">
            <w:pPr>
              <w:rPr>
                <w:rFonts w:eastAsia="Times New Roman"/>
                <w:sz w:val="20"/>
                <w:szCs w:val="20"/>
              </w:rPr>
            </w:pPr>
          </w:p>
        </w:tc>
        <w:tc>
          <w:tcPr>
            <w:tcW w:w="0" w:type="auto"/>
            <w:vAlign w:val="center"/>
            <w:hideMark/>
          </w:tcPr>
          <w:p w14:paraId="4AAC3FDB" w14:textId="77777777" w:rsidR="00000000" w:rsidRDefault="00195E73">
            <w:pPr>
              <w:rPr>
                <w:rFonts w:eastAsia="Times New Roman"/>
                <w:sz w:val="20"/>
                <w:szCs w:val="20"/>
              </w:rPr>
            </w:pPr>
          </w:p>
        </w:tc>
        <w:tc>
          <w:tcPr>
            <w:tcW w:w="0" w:type="auto"/>
            <w:vAlign w:val="center"/>
            <w:hideMark/>
          </w:tcPr>
          <w:p w14:paraId="4D1A9DAF" w14:textId="77777777" w:rsidR="00000000" w:rsidRDefault="00195E73">
            <w:pPr>
              <w:rPr>
                <w:rFonts w:eastAsia="Times New Roman"/>
                <w:sz w:val="20"/>
                <w:szCs w:val="20"/>
              </w:rPr>
            </w:pPr>
          </w:p>
        </w:tc>
      </w:tr>
      <w:tr w:rsidR="00000000" w14:paraId="217D974A" w14:textId="77777777">
        <w:trPr>
          <w:divId w:val="1142582442"/>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17060AA8" w14:textId="77777777" w:rsidR="00000000" w:rsidRDefault="00195E73">
            <w:pPr>
              <w:rPr>
                <w:rFonts w:eastAsia="Times New Roman"/>
              </w:rPr>
            </w:pPr>
            <w:r>
              <w:rPr>
                <w:rFonts w:eastAsia="Times New Roman"/>
                <w:color w:val="000000"/>
                <w:sz w:val="20"/>
                <w:szCs w:val="20"/>
              </w:rPr>
              <w:t>Total deferred tax asset</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D39CF5" w14:textId="77777777" w:rsidR="00000000" w:rsidRDefault="00195E73">
            <w:pPr>
              <w:jc w:val="right"/>
              <w:rPr>
                <w:rFonts w:eastAsia="Times New Roman"/>
              </w:rPr>
            </w:pPr>
            <w:r>
              <w:rPr>
                <w:rFonts w:eastAsia="Times New Roman"/>
                <w:color w:val="000000"/>
                <w:sz w:val="20"/>
                <w:szCs w:val="20"/>
              </w:rPr>
              <w:t>1,196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A393940" w14:textId="77777777" w:rsidR="00000000" w:rsidRDefault="00195E73">
            <w:pPr>
              <w:jc w:val="right"/>
              <w:rPr>
                <w:rFonts w:eastAsia="Times New Roman"/>
              </w:rPr>
            </w:pPr>
            <w:r>
              <w:rPr>
                <w:rFonts w:eastAsia="Times New Roman"/>
                <w:color w:val="000000"/>
                <w:sz w:val="20"/>
                <w:szCs w:val="20"/>
              </w:rPr>
              <w:t> </w:t>
            </w:r>
          </w:p>
        </w:tc>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2056025A" w14:textId="77777777" w:rsidR="00000000" w:rsidRDefault="00195E73">
            <w:pPr>
              <w:jc w:val="cente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A4EFB8" w14:textId="77777777" w:rsidR="00000000" w:rsidRDefault="00195E73">
            <w:pPr>
              <w:jc w:val="right"/>
              <w:rPr>
                <w:rFonts w:eastAsia="Times New Roman"/>
              </w:rPr>
            </w:pPr>
            <w:r>
              <w:rPr>
                <w:rFonts w:eastAsia="Times New Roman"/>
                <w:color w:val="000000"/>
                <w:sz w:val="20"/>
                <w:szCs w:val="20"/>
              </w:rPr>
              <w:t>986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88D221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9618155" w14:textId="77777777" w:rsidR="00000000" w:rsidRDefault="00195E73">
            <w:pPr>
              <w:rPr>
                <w:rFonts w:eastAsia="Times New Roman"/>
                <w:sz w:val="20"/>
                <w:szCs w:val="20"/>
              </w:rPr>
            </w:pPr>
          </w:p>
        </w:tc>
        <w:tc>
          <w:tcPr>
            <w:tcW w:w="0" w:type="auto"/>
            <w:vAlign w:val="center"/>
            <w:hideMark/>
          </w:tcPr>
          <w:p w14:paraId="4CAB5D77" w14:textId="77777777" w:rsidR="00000000" w:rsidRDefault="00195E73">
            <w:pPr>
              <w:rPr>
                <w:rFonts w:eastAsia="Times New Roman"/>
                <w:sz w:val="20"/>
                <w:szCs w:val="20"/>
              </w:rPr>
            </w:pPr>
          </w:p>
        </w:tc>
        <w:tc>
          <w:tcPr>
            <w:tcW w:w="0" w:type="auto"/>
            <w:vAlign w:val="center"/>
            <w:hideMark/>
          </w:tcPr>
          <w:p w14:paraId="652D71EC" w14:textId="77777777" w:rsidR="00000000" w:rsidRDefault="00195E73">
            <w:pPr>
              <w:rPr>
                <w:rFonts w:eastAsia="Times New Roman"/>
                <w:sz w:val="20"/>
                <w:szCs w:val="20"/>
              </w:rPr>
            </w:pPr>
          </w:p>
        </w:tc>
        <w:tc>
          <w:tcPr>
            <w:tcW w:w="0" w:type="auto"/>
            <w:vAlign w:val="center"/>
            <w:hideMark/>
          </w:tcPr>
          <w:p w14:paraId="1B7866D1" w14:textId="77777777" w:rsidR="00000000" w:rsidRDefault="00195E73">
            <w:pPr>
              <w:rPr>
                <w:rFonts w:eastAsia="Times New Roman"/>
                <w:sz w:val="20"/>
                <w:szCs w:val="20"/>
              </w:rPr>
            </w:pPr>
          </w:p>
        </w:tc>
        <w:tc>
          <w:tcPr>
            <w:tcW w:w="0" w:type="auto"/>
            <w:vAlign w:val="center"/>
            <w:hideMark/>
          </w:tcPr>
          <w:p w14:paraId="750D31F8" w14:textId="77777777" w:rsidR="00000000" w:rsidRDefault="00195E73">
            <w:pPr>
              <w:rPr>
                <w:rFonts w:eastAsia="Times New Roman"/>
                <w:sz w:val="20"/>
                <w:szCs w:val="20"/>
              </w:rPr>
            </w:pPr>
          </w:p>
        </w:tc>
        <w:tc>
          <w:tcPr>
            <w:tcW w:w="0" w:type="auto"/>
            <w:vAlign w:val="center"/>
            <w:hideMark/>
          </w:tcPr>
          <w:p w14:paraId="1642F354" w14:textId="77777777" w:rsidR="00000000" w:rsidRDefault="00195E73">
            <w:pPr>
              <w:rPr>
                <w:rFonts w:eastAsia="Times New Roman"/>
                <w:sz w:val="20"/>
                <w:szCs w:val="20"/>
              </w:rPr>
            </w:pPr>
          </w:p>
        </w:tc>
      </w:tr>
      <w:tr w:rsidR="00000000" w14:paraId="552DA6FC" w14:textId="77777777">
        <w:trPr>
          <w:divId w:val="1142582442"/>
          <w:jc w:val="center"/>
        </w:trPr>
        <w:tc>
          <w:tcPr>
            <w:tcW w:w="0" w:type="auto"/>
            <w:gridSpan w:val="3"/>
            <w:shd w:val="clear" w:color="auto" w:fill="FFFFFF"/>
            <w:tcMar>
              <w:top w:w="30" w:type="dxa"/>
              <w:left w:w="20" w:type="dxa"/>
              <w:bottom w:w="30" w:type="dxa"/>
              <w:right w:w="20" w:type="dxa"/>
            </w:tcMar>
            <w:vAlign w:val="bottom"/>
            <w:hideMark/>
          </w:tcPr>
          <w:p w14:paraId="6A21A714" w14:textId="77777777" w:rsidR="00000000" w:rsidRDefault="00195E73">
            <w:pPr>
              <w:rPr>
                <w:rFonts w:eastAsia="Times New Roman"/>
              </w:rPr>
            </w:pPr>
            <w:r>
              <w:rPr>
                <w:rFonts w:eastAsia="Times New Roman"/>
                <w:color w:val="000000"/>
                <w:sz w:val="20"/>
                <w:szCs w:val="20"/>
              </w:rPr>
              <w:t>Less: Valuation allowanc</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2813A91F" w14:textId="77777777" w:rsidR="00000000" w:rsidRDefault="00195E73">
            <w:pPr>
              <w:jc w:val="right"/>
              <w:rPr>
                <w:rFonts w:eastAsia="Times New Roman"/>
              </w:rPr>
            </w:pPr>
            <w:r>
              <w:rPr>
                <w:rFonts w:eastAsia="Times New Roman"/>
                <w:color w:val="000000"/>
                <w:sz w:val="20"/>
                <w:szCs w:val="20"/>
              </w:rPr>
              <w:t>(619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54BD19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18B48B10" w14:textId="77777777" w:rsidR="00000000" w:rsidRDefault="00195E73">
            <w:pPr>
              <w:jc w:val="center"/>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6147AC4B" w14:textId="77777777" w:rsidR="00000000" w:rsidRDefault="00195E73">
            <w:pPr>
              <w:jc w:val="right"/>
              <w:rPr>
                <w:rFonts w:eastAsia="Times New Roman"/>
              </w:rPr>
            </w:pPr>
            <w:r>
              <w:rPr>
                <w:rFonts w:eastAsia="Times New Roman"/>
                <w:color w:val="000000"/>
                <w:sz w:val="20"/>
                <w:szCs w:val="20"/>
              </w:rPr>
              <w:t>(518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5A99E0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72031C9" w14:textId="77777777" w:rsidR="00000000" w:rsidRDefault="00195E73">
            <w:pPr>
              <w:rPr>
                <w:rFonts w:eastAsia="Times New Roman"/>
                <w:sz w:val="20"/>
                <w:szCs w:val="20"/>
              </w:rPr>
            </w:pPr>
          </w:p>
        </w:tc>
        <w:tc>
          <w:tcPr>
            <w:tcW w:w="0" w:type="auto"/>
            <w:vAlign w:val="center"/>
            <w:hideMark/>
          </w:tcPr>
          <w:p w14:paraId="1922AB30" w14:textId="77777777" w:rsidR="00000000" w:rsidRDefault="00195E73">
            <w:pPr>
              <w:rPr>
                <w:rFonts w:eastAsia="Times New Roman"/>
                <w:sz w:val="20"/>
                <w:szCs w:val="20"/>
              </w:rPr>
            </w:pPr>
          </w:p>
        </w:tc>
        <w:tc>
          <w:tcPr>
            <w:tcW w:w="0" w:type="auto"/>
            <w:vAlign w:val="center"/>
            <w:hideMark/>
          </w:tcPr>
          <w:p w14:paraId="620E08A2" w14:textId="77777777" w:rsidR="00000000" w:rsidRDefault="00195E73">
            <w:pPr>
              <w:rPr>
                <w:rFonts w:eastAsia="Times New Roman"/>
                <w:sz w:val="20"/>
                <w:szCs w:val="20"/>
              </w:rPr>
            </w:pPr>
          </w:p>
        </w:tc>
        <w:tc>
          <w:tcPr>
            <w:tcW w:w="0" w:type="auto"/>
            <w:vAlign w:val="center"/>
            <w:hideMark/>
          </w:tcPr>
          <w:p w14:paraId="4F6E1188" w14:textId="77777777" w:rsidR="00000000" w:rsidRDefault="00195E73">
            <w:pPr>
              <w:rPr>
                <w:rFonts w:eastAsia="Times New Roman"/>
                <w:sz w:val="20"/>
                <w:szCs w:val="20"/>
              </w:rPr>
            </w:pPr>
          </w:p>
        </w:tc>
        <w:tc>
          <w:tcPr>
            <w:tcW w:w="0" w:type="auto"/>
            <w:vAlign w:val="center"/>
            <w:hideMark/>
          </w:tcPr>
          <w:p w14:paraId="4CA370B6" w14:textId="77777777" w:rsidR="00000000" w:rsidRDefault="00195E73">
            <w:pPr>
              <w:rPr>
                <w:rFonts w:eastAsia="Times New Roman"/>
                <w:sz w:val="20"/>
                <w:szCs w:val="20"/>
              </w:rPr>
            </w:pPr>
          </w:p>
        </w:tc>
        <w:tc>
          <w:tcPr>
            <w:tcW w:w="0" w:type="auto"/>
            <w:vAlign w:val="center"/>
            <w:hideMark/>
          </w:tcPr>
          <w:p w14:paraId="3527DBF2" w14:textId="77777777" w:rsidR="00000000" w:rsidRDefault="00195E73">
            <w:pPr>
              <w:rPr>
                <w:rFonts w:eastAsia="Times New Roman"/>
                <w:sz w:val="20"/>
                <w:szCs w:val="20"/>
              </w:rPr>
            </w:pPr>
          </w:p>
        </w:tc>
      </w:tr>
      <w:tr w:rsidR="00000000" w14:paraId="4CCD38D5" w14:textId="77777777">
        <w:trPr>
          <w:divId w:val="1142582442"/>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536BE3BE" w14:textId="77777777" w:rsidR="00000000" w:rsidRDefault="00195E73">
            <w:pPr>
              <w:rPr>
                <w:rFonts w:eastAsia="Times New Roman"/>
              </w:rPr>
            </w:pPr>
            <w:r>
              <w:rPr>
                <w:rFonts w:eastAsia="Times New Roman"/>
                <w:color w:val="000000"/>
                <w:sz w:val="20"/>
                <w:szCs w:val="20"/>
              </w:rPr>
              <w:t>Net deferred tax asset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D0CD3D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02743C2" w14:textId="77777777" w:rsidR="00000000" w:rsidRDefault="00195E73">
            <w:pPr>
              <w:jc w:val="right"/>
              <w:rPr>
                <w:rFonts w:eastAsia="Times New Roman"/>
              </w:rPr>
            </w:pPr>
            <w:r>
              <w:rPr>
                <w:rFonts w:eastAsia="Times New Roman"/>
                <w:color w:val="000000"/>
                <w:sz w:val="20"/>
                <w:szCs w:val="20"/>
              </w:rPr>
              <w:t>577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D5F37EE" w14:textId="77777777" w:rsidR="00000000" w:rsidRDefault="00195E73">
            <w:pPr>
              <w:jc w:val="right"/>
              <w:rPr>
                <w:rFonts w:eastAsia="Times New Roman"/>
              </w:rPr>
            </w:pPr>
            <w:r>
              <w:rPr>
                <w:rFonts w:eastAsia="Times New Roman"/>
                <w:color w:val="000000"/>
                <w:sz w:val="20"/>
                <w:szCs w:val="20"/>
              </w:rPr>
              <w:t> </w:t>
            </w:r>
          </w:p>
        </w:tc>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68F15FC1" w14:textId="77777777" w:rsidR="00000000" w:rsidRDefault="00195E73">
            <w:pPr>
              <w:jc w:val="center"/>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EF3551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814355D" w14:textId="77777777" w:rsidR="00000000" w:rsidRDefault="00195E73">
            <w:pPr>
              <w:jc w:val="right"/>
              <w:rPr>
                <w:rFonts w:eastAsia="Times New Roman"/>
              </w:rPr>
            </w:pPr>
            <w:r>
              <w:rPr>
                <w:rFonts w:eastAsia="Times New Roman"/>
                <w:color w:val="000000"/>
                <w:sz w:val="20"/>
                <w:szCs w:val="20"/>
              </w:rPr>
              <w:t>468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A4FFAB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9530936" w14:textId="77777777" w:rsidR="00000000" w:rsidRDefault="00195E73">
            <w:pPr>
              <w:rPr>
                <w:rFonts w:eastAsia="Times New Roman"/>
                <w:sz w:val="20"/>
                <w:szCs w:val="20"/>
              </w:rPr>
            </w:pPr>
          </w:p>
        </w:tc>
        <w:tc>
          <w:tcPr>
            <w:tcW w:w="0" w:type="auto"/>
            <w:vAlign w:val="center"/>
            <w:hideMark/>
          </w:tcPr>
          <w:p w14:paraId="619553AD" w14:textId="77777777" w:rsidR="00000000" w:rsidRDefault="00195E73">
            <w:pPr>
              <w:rPr>
                <w:rFonts w:eastAsia="Times New Roman"/>
                <w:sz w:val="20"/>
                <w:szCs w:val="20"/>
              </w:rPr>
            </w:pPr>
          </w:p>
        </w:tc>
        <w:tc>
          <w:tcPr>
            <w:tcW w:w="0" w:type="auto"/>
            <w:vAlign w:val="center"/>
            <w:hideMark/>
          </w:tcPr>
          <w:p w14:paraId="38B805BD" w14:textId="77777777" w:rsidR="00000000" w:rsidRDefault="00195E73">
            <w:pPr>
              <w:rPr>
                <w:rFonts w:eastAsia="Times New Roman"/>
                <w:sz w:val="20"/>
                <w:szCs w:val="20"/>
              </w:rPr>
            </w:pPr>
          </w:p>
        </w:tc>
        <w:tc>
          <w:tcPr>
            <w:tcW w:w="0" w:type="auto"/>
            <w:vAlign w:val="center"/>
            <w:hideMark/>
          </w:tcPr>
          <w:p w14:paraId="06C10119" w14:textId="77777777" w:rsidR="00000000" w:rsidRDefault="00195E73">
            <w:pPr>
              <w:rPr>
                <w:rFonts w:eastAsia="Times New Roman"/>
                <w:sz w:val="20"/>
                <w:szCs w:val="20"/>
              </w:rPr>
            </w:pPr>
          </w:p>
        </w:tc>
        <w:tc>
          <w:tcPr>
            <w:tcW w:w="0" w:type="auto"/>
            <w:vAlign w:val="center"/>
            <w:hideMark/>
          </w:tcPr>
          <w:p w14:paraId="3553E2F7" w14:textId="77777777" w:rsidR="00000000" w:rsidRDefault="00195E73">
            <w:pPr>
              <w:rPr>
                <w:rFonts w:eastAsia="Times New Roman"/>
                <w:sz w:val="20"/>
                <w:szCs w:val="20"/>
              </w:rPr>
            </w:pPr>
          </w:p>
        </w:tc>
        <w:tc>
          <w:tcPr>
            <w:tcW w:w="0" w:type="auto"/>
            <w:vAlign w:val="center"/>
            <w:hideMark/>
          </w:tcPr>
          <w:p w14:paraId="6E36F120" w14:textId="77777777" w:rsidR="00000000" w:rsidRDefault="00195E73">
            <w:pPr>
              <w:rPr>
                <w:rFonts w:eastAsia="Times New Roman"/>
                <w:sz w:val="20"/>
                <w:szCs w:val="20"/>
              </w:rPr>
            </w:pPr>
          </w:p>
        </w:tc>
      </w:tr>
      <w:tr w:rsidR="00000000" w14:paraId="07C66EFD" w14:textId="77777777">
        <w:trPr>
          <w:divId w:val="1142582442"/>
          <w:trHeight w:val="280"/>
          <w:jc w:val="center"/>
        </w:trPr>
        <w:tc>
          <w:tcPr>
            <w:tcW w:w="0" w:type="auto"/>
            <w:gridSpan w:val="3"/>
            <w:tcBorders>
              <w:top w:val="double" w:sz="6" w:space="0" w:color="FFFFFF"/>
            </w:tcBorders>
            <w:shd w:val="clear" w:color="auto" w:fill="FFFFFF"/>
            <w:tcMar>
              <w:top w:w="15" w:type="dxa"/>
              <w:left w:w="20" w:type="dxa"/>
              <w:bottom w:w="15" w:type="dxa"/>
              <w:right w:w="20" w:type="dxa"/>
            </w:tcMar>
            <w:vAlign w:val="bottom"/>
            <w:hideMark/>
          </w:tcPr>
          <w:p w14:paraId="780A25E8" w14:textId="77777777" w:rsidR="00000000" w:rsidRDefault="00195E73">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385D3004" w14:textId="77777777" w:rsidR="00000000" w:rsidRDefault="00195E73">
            <w:pPr>
              <w:rPr>
                <w:rFonts w:eastAsia="Times New Roman"/>
                <w:sz w:val="20"/>
                <w:szCs w:val="20"/>
              </w:rPr>
            </w:pPr>
          </w:p>
        </w:tc>
        <w:tc>
          <w:tcPr>
            <w:tcW w:w="0" w:type="auto"/>
            <w:gridSpan w:val="3"/>
            <w:tcBorders>
              <w:top w:val="double" w:sz="6" w:space="0" w:color="FFFFFF"/>
            </w:tcBorders>
            <w:shd w:val="clear" w:color="auto" w:fill="FFFFFF"/>
            <w:tcMar>
              <w:top w:w="15" w:type="dxa"/>
              <w:left w:w="20" w:type="dxa"/>
              <w:bottom w:w="15" w:type="dxa"/>
              <w:right w:w="20" w:type="dxa"/>
            </w:tcMar>
            <w:vAlign w:val="bottom"/>
            <w:hideMark/>
          </w:tcPr>
          <w:p w14:paraId="6A07D14F"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48F5A4F5" w14:textId="77777777" w:rsidR="00000000" w:rsidRDefault="00195E73">
            <w:pPr>
              <w:rPr>
                <w:rFonts w:eastAsia="Times New Roman"/>
                <w:sz w:val="20"/>
                <w:szCs w:val="20"/>
              </w:rPr>
            </w:pPr>
          </w:p>
        </w:tc>
        <w:tc>
          <w:tcPr>
            <w:tcW w:w="0" w:type="auto"/>
            <w:vAlign w:val="center"/>
            <w:hideMark/>
          </w:tcPr>
          <w:p w14:paraId="12C61C01" w14:textId="77777777" w:rsidR="00000000" w:rsidRDefault="00195E73">
            <w:pPr>
              <w:rPr>
                <w:rFonts w:eastAsia="Times New Roman"/>
                <w:sz w:val="20"/>
                <w:szCs w:val="20"/>
              </w:rPr>
            </w:pPr>
          </w:p>
        </w:tc>
        <w:tc>
          <w:tcPr>
            <w:tcW w:w="0" w:type="auto"/>
            <w:vAlign w:val="center"/>
            <w:hideMark/>
          </w:tcPr>
          <w:p w14:paraId="552D1366" w14:textId="77777777" w:rsidR="00000000" w:rsidRDefault="00195E73">
            <w:pPr>
              <w:rPr>
                <w:rFonts w:eastAsia="Times New Roman"/>
                <w:sz w:val="20"/>
                <w:szCs w:val="20"/>
              </w:rPr>
            </w:pPr>
          </w:p>
        </w:tc>
        <w:tc>
          <w:tcPr>
            <w:tcW w:w="0" w:type="auto"/>
            <w:vAlign w:val="center"/>
            <w:hideMark/>
          </w:tcPr>
          <w:p w14:paraId="3D4E235F" w14:textId="77777777" w:rsidR="00000000" w:rsidRDefault="00195E73">
            <w:pPr>
              <w:rPr>
                <w:rFonts w:eastAsia="Times New Roman"/>
                <w:sz w:val="20"/>
                <w:szCs w:val="20"/>
              </w:rPr>
            </w:pPr>
          </w:p>
        </w:tc>
        <w:tc>
          <w:tcPr>
            <w:tcW w:w="0" w:type="auto"/>
            <w:vAlign w:val="center"/>
            <w:hideMark/>
          </w:tcPr>
          <w:p w14:paraId="79AFBBE4" w14:textId="77777777" w:rsidR="00000000" w:rsidRDefault="00195E73">
            <w:pPr>
              <w:rPr>
                <w:rFonts w:eastAsia="Times New Roman"/>
                <w:sz w:val="20"/>
                <w:szCs w:val="20"/>
              </w:rPr>
            </w:pPr>
          </w:p>
        </w:tc>
        <w:tc>
          <w:tcPr>
            <w:tcW w:w="0" w:type="auto"/>
            <w:vAlign w:val="center"/>
            <w:hideMark/>
          </w:tcPr>
          <w:p w14:paraId="65C80580" w14:textId="77777777" w:rsidR="00000000" w:rsidRDefault="00195E73">
            <w:pPr>
              <w:rPr>
                <w:rFonts w:eastAsia="Times New Roman"/>
                <w:sz w:val="20"/>
                <w:szCs w:val="20"/>
              </w:rPr>
            </w:pPr>
          </w:p>
        </w:tc>
        <w:tc>
          <w:tcPr>
            <w:tcW w:w="0" w:type="auto"/>
            <w:vAlign w:val="center"/>
            <w:hideMark/>
          </w:tcPr>
          <w:p w14:paraId="4587DA17" w14:textId="77777777" w:rsidR="00000000" w:rsidRDefault="00195E73">
            <w:pPr>
              <w:rPr>
                <w:rFonts w:eastAsia="Times New Roman"/>
                <w:sz w:val="20"/>
                <w:szCs w:val="20"/>
              </w:rPr>
            </w:pPr>
          </w:p>
        </w:tc>
      </w:tr>
      <w:tr w:rsidR="00000000" w14:paraId="3828679B" w14:textId="77777777">
        <w:trPr>
          <w:divId w:val="1142582442"/>
          <w:jc w:val="center"/>
        </w:trPr>
        <w:tc>
          <w:tcPr>
            <w:tcW w:w="0" w:type="auto"/>
            <w:gridSpan w:val="3"/>
            <w:shd w:val="clear" w:color="auto" w:fill="CCEEFF"/>
            <w:tcMar>
              <w:top w:w="30" w:type="dxa"/>
              <w:left w:w="20" w:type="dxa"/>
              <w:bottom w:w="30" w:type="dxa"/>
              <w:right w:w="20" w:type="dxa"/>
            </w:tcMar>
            <w:vAlign w:val="bottom"/>
            <w:hideMark/>
          </w:tcPr>
          <w:p w14:paraId="629C9016" w14:textId="77777777" w:rsidR="00000000" w:rsidRDefault="00195E73">
            <w:pPr>
              <w:rPr>
                <w:rFonts w:eastAsia="Times New Roman"/>
              </w:rPr>
            </w:pPr>
            <w:r>
              <w:rPr>
                <w:rFonts w:eastAsia="Times New Roman"/>
                <w:color w:val="000000"/>
                <w:sz w:val="20"/>
                <w:szCs w:val="20"/>
              </w:rPr>
              <w:t>Deferred tax liabilities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2B509454" w14:textId="77777777" w:rsidR="00000000" w:rsidRDefault="00195E7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D57296A" w14:textId="77777777" w:rsidR="00000000" w:rsidRDefault="00195E73">
            <w:pPr>
              <w:jc w:val="cente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3DCAB9D" w14:textId="77777777" w:rsidR="00000000" w:rsidRDefault="00195E73">
            <w:pPr>
              <w:jc w:val="center"/>
              <w:rPr>
                <w:rFonts w:eastAsia="Times New Roman"/>
              </w:rPr>
            </w:pPr>
          </w:p>
        </w:tc>
        <w:tc>
          <w:tcPr>
            <w:tcW w:w="0" w:type="auto"/>
            <w:vAlign w:val="center"/>
            <w:hideMark/>
          </w:tcPr>
          <w:p w14:paraId="63B07349" w14:textId="77777777" w:rsidR="00000000" w:rsidRDefault="00195E73">
            <w:pPr>
              <w:rPr>
                <w:rFonts w:eastAsia="Times New Roman"/>
                <w:sz w:val="20"/>
                <w:szCs w:val="20"/>
              </w:rPr>
            </w:pPr>
          </w:p>
        </w:tc>
        <w:tc>
          <w:tcPr>
            <w:tcW w:w="0" w:type="auto"/>
            <w:vAlign w:val="center"/>
            <w:hideMark/>
          </w:tcPr>
          <w:p w14:paraId="03439BC7" w14:textId="77777777" w:rsidR="00000000" w:rsidRDefault="00195E73">
            <w:pPr>
              <w:rPr>
                <w:rFonts w:eastAsia="Times New Roman"/>
                <w:sz w:val="20"/>
                <w:szCs w:val="20"/>
              </w:rPr>
            </w:pPr>
          </w:p>
        </w:tc>
        <w:tc>
          <w:tcPr>
            <w:tcW w:w="0" w:type="auto"/>
            <w:vAlign w:val="center"/>
            <w:hideMark/>
          </w:tcPr>
          <w:p w14:paraId="53BBD61E" w14:textId="77777777" w:rsidR="00000000" w:rsidRDefault="00195E73">
            <w:pPr>
              <w:rPr>
                <w:rFonts w:eastAsia="Times New Roman"/>
                <w:sz w:val="20"/>
                <w:szCs w:val="20"/>
              </w:rPr>
            </w:pPr>
          </w:p>
        </w:tc>
        <w:tc>
          <w:tcPr>
            <w:tcW w:w="0" w:type="auto"/>
            <w:vAlign w:val="center"/>
            <w:hideMark/>
          </w:tcPr>
          <w:p w14:paraId="681218E9" w14:textId="77777777" w:rsidR="00000000" w:rsidRDefault="00195E73">
            <w:pPr>
              <w:rPr>
                <w:rFonts w:eastAsia="Times New Roman"/>
                <w:sz w:val="20"/>
                <w:szCs w:val="20"/>
              </w:rPr>
            </w:pPr>
          </w:p>
        </w:tc>
        <w:tc>
          <w:tcPr>
            <w:tcW w:w="0" w:type="auto"/>
            <w:vAlign w:val="center"/>
            <w:hideMark/>
          </w:tcPr>
          <w:p w14:paraId="19529596" w14:textId="77777777" w:rsidR="00000000" w:rsidRDefault="00195E73">
            <w:pPr>
              <w:rPr>
                <w:rFonts w:eastAsia="Times New Roman"/>
                <w:sz w:val="20"/>
                <w:szCs w:val="20"/>
              </w:rPr>
            </w:pPr>
          </w:p>
        </w:tc>
        <w:tc>
          <w:tcPr>
            <w:tcW w:w="0" w:type="auto"/>
            <w:vAlign w:val="center"/>
            <w:hideMark/>
          </w:tcPr>
          <w:p w14:paraId="10416766" w14:textId="77777777" w:rsidR="00000000" w:rsidRDefault="00195E73">
            <w:pPr>
              <w:rPr>
                <w:rFonts w:eastAsia="Times New Roman"/>
                <w:sz w:val="20"/>
                <w:szCs w:val="20"/>
              </w:rPr>
            </w:pPr>
          </w:p>
        </w:tc>
      </w:tr>
      <w:tr w:rsidR="00000000" w14:paraId="364793C5" w14:textId="77777777">
        <w:trPr>
          <w:divId w:val="1142582442"/>
          <w:jc w:val="center"/>
        </w:trPr>
        <w:tc>
          <w:tcPr>
            <w:tcW w:w="0" w:type="auto"/>
            <w:gridSpan w:val="3"/>
            <w:shd w:val="clear" w:color="auto" w:fill="FFFFFF"/>
            <w:tcMar>
              <w:top w:w="30" w:type="dxa"/>
              <w:left w:w="180" w:type="dxa"/>
              <w:bottom w:w="30" w:type="dxa"/>
              <w:right w:w="20" w:type="dxa"/>
            </w:tcMar>
            <w:vAlign w:val="bottom"/>
            <w:hideMark/>
          </w:tcPr>
          <w:p w14:paraId="011B7DF4" w14:textId="77777777" w:rsidR="00000000" w:rsidRDefault="00195E73">
            <w:pPr>
              <w:rPr>
                <w:rFonts w:eastAsia="Times New Roman"/>
              </w:rPr>
            </w:pPr>
            <w:r>
              <w:rPr>
                <w:rFonts w:eastAsia="Times New Roman"/>
                <w:color w:val="000000"/>
                <w:sz w:val="20"/>
                <w:szCs w:val="20"/>
              </w:rPr>
              <w:t>Property, plant and equipmen</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14:paraId="16BBA88C"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83DD176" w14:textId="77777777" w:rsidR="00000000" w:rsidRDefault="00195E73">
            <w:pPr>
              <w:jc w:val="right"/>
              <w:rPr>
                <w:rFonts w:eastAsia="Times New Roman"/>
              </w:rPr>
            </w:pPr>
            <w:r>
              <w:rPr>
                <w:rFonts w:eastAsia="Times New Roman"/>
                <w:color w:val="000000"/>
                <w:sz w:val="20"/>
                <w:szCs w:val="20"/>
              </w:rPr>
              <w:t>(125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6996F9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375B2CEE" w14:textId="77777777" w:rsidR="00000000" w:rsidRDefault="00195E73">
            <w:pPr>
              <w:jc w:val="center"/>
              <w:rPr>
                <w:rFonts w:eastAsia="Times New Roman"/>
              </w:rPr>
            </w:pPr>
            <w:r>
              <w:rPr>
                <w:rFonts w:eastAsia="Times New Roman"/>
                <w:color w:val="000000"/>
                <w:sz w:val="20"/>
                <w:szCs w:val="20"/>
              </w:rPr>
              <w:t> </w:t>
            </w:r>
          </w:p>
        </w:tc>
        <w:tc>
          <w:tcPr>
            <w:tcW w:w="0" w:type="auto"/>
            <w:shd w:val="clear" w:color="auto" w:fill="FFFFFF"/>
            <w:tcMar>
              <w:top w:w="30" w:type="dxa"/>
              <w:left w:w="20" w:type="dxa"/>
              <w:bottom w:w="30" w:type="dxa"/>
              <w:right w:w="15" w:type="dxa"/>
            </w:tcMar>
            <w:vAlign w:val="bottom"/>
            <w:hideMark/>
          </w:tcPr>
          <w:p w14:paraId="3FD772F7"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476232AA" w14:textId="77777777" w:rsidR="00000000" w:rsidRDefault="00195E73">
            <w:pPr>
              <w:jc w:val="right"/>
              <w:rPr>
                <w:rFonts w:eastAsia="Times New Roman"/>
              </w:rPr>
            </w:pPr>
            <w:r>
              <w:rPr>
                <w:rFonts w:eastAsia="Times New Roman"/>
                <w:color w:val="000000"/>
                <w:sz w:val="20"/>
                <w:szCs w:val="20"/>
              </w:rPr>
              <w:t>(129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D3E81C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2062104" w14:textId="77777777" w:rsidR="00000000" w:rsidRDefault="00195E73">
            <w:pPr>
              <w:rPr>
                <w:rFonts w:eastAsia="Times New Roman"/>
                <w:sz w:val="20"/>
                <w:szCs w:val="20"/>
              </w:rPr>
            </w:pPr>
          </w:p>
        </w:tc>
        <w:tc>
          <w:tcPr>
            <w:tcW w:w="0" w:type="auto"/>
            <w:vAlign w:val="center"/>
            <w:hideMark/>
          </w:tcPr>
          <w:p w14:paraId="402D48E1" w14:textId="77777777" w:rsidR="00000000" w:rsidRDefault="00195E73">
            <w:pPr>
              <w:rPr>
                <w:rFonts w:eastAsia="Times New Roman"/>
                <w:sz w:val="20"/>
                <w:szCs w:val="20"/>
              </w:rPr>
            </w:pPr>
          </w:p>
        </w:tc>
        <w:tc>
          <w:tcPr>
            <w:tcW w:w="0" w:type="auto"/>
            <w:vAlign w:val="center"/>
            <w:hideMark/>
          </w:tcPr>
          <w:p w14:paraId="2451C2F3" w14:textId="77777777" w:rsidR="00000000" w:rsidRDefault="00195E73">
            <w:pPr>
              <w:rPr>
                <w:rFonts w:eastAsia="Times New Roman"/>
                <w:sz w:val="20"/>
                <w:szCs w:val="20"/>
              </w:rPr>
            </w:pPr>
          </w:p>
        </w:tc>
        <w:tc>
          <w:tcPr>
            <w:tcW w:w="0" w:type="auto"/>
            <w:vAlign w:val="center"/>
            <w:hideMark/>
          </w:tcPr>
          <w:p w14:paraId="6FB09B46" w14:textId="77777777" w:rsidR="00000000" w:rsidRDefault="00195E73">
            <w:pPr>
              <w:rPr>
                <w:rFonts w:eastAsia="Times New Roman"/>
                <w:sz w:val="20"/>
                <w:szCs w:val="20"/>
              </w:rPr>
            </w:pPr>
          </w:p>
        </w:tc>
        <w:tc>
          <w:tcPr>
            <w:tcW w:w="0" w:type="auto"/>
            <w:vAlign w:val="center"/>
            <w:hideMark/>
          </w:tcPr>
          <w:p w14:paraId="6541B2B4" w14:textId="77777777" w:rsidR="00000000" w:rsidRDefault="00195E73">
            <w:pPr>
              <w:rPr>
                <w:rFonts w:eastAsia="Times New Roman"/>
                <w:sz w:val="20"/>
                <w:szCs w:val="20"/>
              </w:rPr>
            </w:pPr>
          </w:p>
        </w:tc>
        <w:tc>
          <w:tcPr>
            <w:tcW w:w="0" w:type="auto"/>
            <w:vAlign w:val="center"/>
            <w:hideMark/>
          </w:tcPr>
          <w:p w14:paraId="2471A159" w14:textId="77777777" w:rsidR="00000000" w:rsidRDefault="00195E73">
            <w:pPr>
              <w:rPr>
                <w:rFonts w:eastAsia="Times New Roman"/>
                <w:sz w:val="20"/>
                <w:szCs w:val="20"/>
              </w:rPr>
            </w:pPr>
          </w:p>
        </w:tc>
      </w:tr>
      <w:tr w:rsidR="00000000" w14:paraId="04128B2D" w14:textId="77777777">
        <w:trPr>
          <w:divId w:val="1142582442"/>
          <w:jc w:val="center"/>
        </w:trPr>
        <w:tc>
          <w:tcPr>
            <w:tcW w:w="0" w:type="auto"/>
            <w:gridSpan w:val="3"/>
            <w:shd w:val="clear" w:color="auto" w:fill="CCEEFF"/>
            <w:tcMar>
              <w:top w:w="30" w:type="dxa"/>
              <w:left w:w="180" w:type="dxa"/>
              <w:bottom w:w="30" w:type="dxa"/>
              <w:right w:w="20" w:type="dxa"/>
            </w:tcMar>
            <w:vAlign w:val="bottom"/>
            <w:hideMark/>
          </w:tcPr>
          <w:p w14:paraId="72FCCE7F" w14:textId="77777777" w:rsidR="00000000" w:rsidRDefault="00195E73">
            <w:pPr>
              <w:rPr>
                <w:rFonts w:eastAsia="Times New Roman"/>
              </w:rPr>
            </w:pPr>
            <w:r>
              <w:rPr>
                <w:rFonts w:eastAsia="Times New Roman"/>
                <w:color w:val="000000"/>
                <w:sz w:val="20"/>
                <w:szCs w:val="20"/>
              </w:rPr>
              <w:t>Intangible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78AC77C" w14:textId="77777777" w:rsidR="00000000" w:rsidRDefault="00195E73">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213C8D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5C0DF145" w14:textId="77777777" w:rsidR="00000000" w:rsidRDefault="00195E73">
            <w:pPr>
              <w:jc w:val="center"/>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1DEDD13D" w14:textId="77777777" w:rsidR="00000000" w:rsidRDefault="00195E73">
            <w:pPr>
              <w:jc w:val="right"/>
              <w:rPr>
                <w:rFonts w:eastAsia="Times New Roman"/>
              </w:rPr>
            </w:pPr>
            <w:r>
              <w:rPr>
                <w:rFonts w:eastAsia="Times New Roman"/>
                <w:color w:val="000000"/>
                <w:sz w:val="20"/>
                <w:szCs w:val="20"/>
              </w:rPr>
              <w:t>(33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780DD9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5C1A7D2" w14:textId="77777777" w:rsidR="00000000" w:rsidRDefault="00195E73">
            <w:pPr>
              <w:rPr>
                <w:rFonts w:eastAsia="Times New Roman"/>
                <w:sz w:val="20"/>
                <w:szCs w:val="20"/>
              </w:rPr>
            </w:pPr>
          </w:p>
        </w:tc>
        <w:tc>
          <w:tcPr>
            <w:tcW w:w="0" w:type="auto"/>
            <w:vAlign w:val="center"/>
            <w:hideMark/>
          </w:tcPr>
          <w:p w14:paraId="61500572" w14:textId="77777777" w:rsidR="00000000" w:rsidRDefault="00195E73">
            <w:pPr>
              <w:rPr>
                <w:rFonts w:eastAsia="Times New Roman"/>
                <w:sz w:val="20"/>
                <w:szCs w:val="20"/>
              </w:rPr>
            </w:pPr>
          </w:p>
        </w:tc>
        <w:tc>
          <w:tcPr>
            <w:tcW w:w="0" w:type="auto"/>
            <w:vAlign w:val="center"/>
            <w:hideMark/>
          </w:tcPr>
          <w:p w14:paraId="55EDBE4E" w14:textId="77777777" w:rsidR="00000000" w:rsidRDefault="00195E73">
            <w:pPr>
              <w:rPr>
                <w:rFonts w:eastAsia="Times New Roman"/>
                <w:sz w:val="20"/>
                <w:szCs w:val="20"/>
              </w:rPr>
            </w:pPr>
          </w:p>
        </w:tc>
        <w:tc>
          <w:tcPr>
            <w:tcW w:w="0" w:type="auto"/>
            <w:vAlign w:val="center"/>
            <w:hideMark/>
          </w:tcPr>
          <w:p w14:paraId="1CAA92A6" w14:textId="77777777" w:rsidR="00000000" w:rsidRDefault="00195E73">
            <w:pPr>
              <w:rPr>
                <w:rFonts w:eastAsia="Times New Roman"/>
                <w:sz w:val="20"/>
                <w:szCs w:val="20"/>
              </w:rPr>
            </w:pPr>
          </w:p>
        </w:tc>
        <w:tc>
          <w:tcPr>
            <w:tcW w:w="0" w:type="auto"/>
            <w:vAlign w:val="center"/>
            <w:hideMark/>
          </w:tcPr>
          <w:p w14:paraId="56C8BBC0" w14:textId="77777777" w:rsidR="00000000" w:rsidRDefault="00195E73">
            <w:pPr>
              <w:rPr>
                <w:rFonts w:eastAsia="Times New Roman"/>
                <w:sz w:val="20"/>
                <w:szCs w:val="20"/>
              </w:rPr>
            </w:pPr>
          </w:p>
        </w:tc>
        <w:tc>
          <w:tcPr>
            <w:tcW w:w="0" w:type="auto"/>
            <w:vAlign w:val="center"/>
            <w:hideMark/>
          </w:tcPr>
          <w:p w14:paraId="6DD79F98" w14:textId="77777777" w:rsidR="00000000" w:rsidRDefault="00195E73">
            <w:pPr>
              <w:rPr>
                <w:rFonts w:eastAsia="Times New Roman"/>
                <w:sz w:val="20"/>
                <w:szCs w:val="20"/>
              </w:rPr>
            </w:pPr>
          </w:p>
        </w:tc>
      </w:tr>
      <w:tr w:rsidR="00000000" w14:paraId="3940A3A9" w14:textId="77777777">
        <w:trPr>
          <w:divId w:val="1142582442"/>
          <w:jc w:val="center"/>
        </w:trPr>
        <w:tc>
          <w:tcPr>
            <w:tcW w:w="0" w:type="auto"/>
            <w:gridSpan w:val="3"/>
            <w:shd w:val="clear" w:color="auto" w:fill="FFFFFF"/>
            <w:tcMar>
              <w:top w:w="30" w:type="dxa"/>
              <w:left w:w="180" w:type="dxa"/>
              <w:bottom w:w="30" w:type="dxa"/>
              <w:right w:w="20" w:type="dxa"/>
            </w:tcMar>
            <w:vAlign w:val="bottom"/>
            <w:hideMark/>
          </w:tcPr>
          <w:p w14:paraId="5671E1B0" w14:textId="77777777" w:rsidR="00000000" w:rsidRDefault="00195E73">
            <w:pPr>
              <w:rPr>
                <w:rFonts w:eastAsia="Times New Roman"/>
              </w:rPr>
            </w:pPr>
            <w:r>
              <w:rPr>
                <w:rFonts w:eastAsia="Times New Roman"/>
                <w:color w:val="000000"/>
                <w:sz w:val="20"/>
                <w:szCs w:val="20"/>
              </w:rPr>
              <w:t>Investment in partnership</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9EBFA72" w14:textId="77777777" w:rsidR="00000000" w:rsidRDefault="00195E73">
            <w:pPr>
              <w:jc w:val="right"/>
              <w:rPr>
                <w:rFonts w:eastAsia="Times New Roman"/>
              </w:rPr>
            </w:pPr>
            <w:r>
              <w:rPr>
                <w:rFonts w:eastAsia="Times New Roman"/>
                <w:color w:val="000000"/>
                <w:sz w:val="20"/>
                <w:szCs w:val="20"/>
              </w:rPr>
              <w:t>(652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CF3DBA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3D7EC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34DF6D" w14:textId="77777777" w:rsidR="00000000" w:rsidRDefault="00195E73">
            <w:pPr>
              <w:jc w:val="right"/>
              <w:rPr>
                <w:rFonts w:eastAsia="Times New Roman"/>
              </w:rPr>
            </w:pPr>
            <w:r>
              <w:rPr>
                <w:rFonts w:eastAsia="Times New Roman"/>
                <w:color w:val="000000"/>
                <w:sz w:val="20"/>
                <w:szCs w:val="20"/>
              </w:rPr>
              <w:t>(699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36C113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3DE5DA6" w14:textId="77777777" w:rsidR="00000000" w:rsidRDefault="00195E73">
            <w:pPr>
              <w:rPr>
                <w:rFonts w:eastAsia="Times New Roman"/>
                <w:sz w:val="20"/>
                <w:szCs w:val="20"/>
              </w:rPr>
            </w:pPr>
          </w:p>
        </w:tc>
        <w:tc>
          <w:tcPr>
            <w:tcW w:w="0" w:type="auto"/>
            <w:vAlign w:val="center"/>
            <w:hideMark/>
          </w:tcPr>
          <w:p w14:paraId="14BB9940" w14:textId="77777777" w:rsidR="00000000" w:rsidRDefault="00195E73">
            <w:pPr>
              <w:rPr>
                <w:rFonts w:eastAsia="Times New Roman"/>
                <w:sz w:val="20"/>
                <w:szCs w:val="20"/>
              </w:rPr>
            </w:pPr>
          </w:p>
        </w:tc>
        <w:tc>
          <w:tcPr>
            <w:tcW w:w="0" w:type="auto"/>
            <w:vAlign w:val="center"/>
            <w:hideMark/>
          </w:tcPr>
          <w:p w14:paraId="7BF2EDF5" w14:textId="77777777" w:rsidR="00000000" w:rsidRDefault="00195E73">
            <w:pPr>
              <w:rPr>
                <w:rFonts w:eastAsia="Times New Roman"/>
                <w:sz w:val="20"/>
                <w:szCs w:val="20"/>
              </w:rPr>
            </w:pPr>
          </w:p>
        </w:tc>
        <w:tc>
          <w:tcPr>
            <w:tcW w:w="0" w:type="auto"/>
            <w:vAlign w:val="center"/>
            <w:hideMark/>
          </w:tcPr>
          <w:p w14:paraId="319FDBAC" w14:textId="77777777" w:rsidR="00000000" w:rsidRDefault="00195E73">
            <w:pPr>
              <w:rPr>
                <w:rFonts w:eastAsia="Times New Roman"/>
                <w:sz w:val="20"/>
                <w:szCs w:val="20"/>
              </w:rPr>
            </w:pPr>
          </w:p>
        </w:tc>
        <w:tc>
          <w:tcPr>
            <w:tcW w:w="0" w:type="auto"/>
            <w:vAlign w:val="center"/>
            <w:hideMark/>
          </w:tcPr>
          <w:p w14:paraId="5CBB1F23" w14:textId="77777777" w:rsidR="00000000" w:rsidRDefault="00195E73">
            <w:pPr>
              <w:rPr>
                <w:rFonts w:eastAsia="Times New Roman"/>
                <w:sz w:val="20"/>
                <w:szCs w:val="20"/>
              </w:rPr>
            </w:pPr>
          </w:p>
        </w:tc>
        <w:tc>
          <w:tcPr>
            <w:tcW w:w="0" w:type="auto"/>
            <w:vAlign w:val="center"/>
            <w:hideMark/>
          </w:tcPr>
          <w:p w14:paraId="11A670C3" w14:textId="77777777" w:rsidR="00000000" w:rsidRDefault="00195E73">
            <w:pPr>
              <w:rPr>
                <w:rFonts w:eastAsia="Times New Roman"/>
                <w:sz w:val="20"/>
                <w:szCs w:val="20"/>
              </w:rPr>
            </w:pPr>
          </w:p>
        </w:tc>
      </w:tr>
      <w:tr w:rsidR="00000000" w14:paraId="35E3BFFB" w14:textId="77777777">
        <w:trPr>
          <w:divId w:val="1142582442"/>
          <w:jc w:val="center"/>
        </w:trPr>
        <w:tc>
          <w:tcPr>
            <w:tcW w:w="0" w:type="auto"/>
            <w:gridSpan w:val="3"/>
            <w:shd w:val="clear" w:color="auto" w:fill="CCEEFF"/>
            <w:tcMar>
              <w:top w:w="30" w:type="dxa"/>
              <w:left w:w="180" w:type="dxa"/>
              <w:bottom w:w="30" w:type="dxa"/>
              <w:right w:w="20" w:type="dxa"/>
            </w:tcMar>
            <w:vAlign w:val="bottom"/>
            <w:hideMark/>
          </w:tcPr>
          <w:p w14:paraId="7FD3546C" w14:textId="77777777" w:rsidR="00000000" w:rsidRDefault="00195E73">
            <w:pPr>
              <w:rPr>
                <w:rFonts w:eastAsia="Times New Roman"/>
              </w:rPr>
            </w:pPr>
            <w:r>
              <w:rPr>
                <w:rFonts w:eastAsia="Times New Roman"/>
                <w:color w:val="000000"/>
                <w:sz w:val="20"/>
                <w:szCs w:val="20"/>
              </w:rPr>
              <w:t>Investment in U.S. subsidiarie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95A9EC1" w14:textId="77777777" w:rsidR="00000000" w:rsidRDefault="00195E73">
            <w:pPr>
              <w:jc w:val="right"/>
              <w:rPr>
                <w:rFonts w:eastAsia="Times New Roman"/>
              </w:rPr>
            </w:pPr>
            <w:r>
              <w:rPr>
                <w:rFonts w:eastAsia="Times New Roman"/>
                <w:color w:val="000000"/>
                <w:sz w:val="20"/>
                <w:szCs w:val="20"/>
              </w:rPr>
              <w:t>(184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489452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312DD5DC" w14:textId="77777777" w:rsidR="00000000" w:rsidRDefault="00195E73">
            <w:pPr>
              <w:jc w:val="center"/>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46722EB7" w14:textId="77777777" w:rsidR="00000000" w:rsidRDefault="00195E73">
            <w:pPr>
              <w:jc w:val="right"/>
              <w:rPr>
                <w:rFonts w:eastAsia="Times New Roman"/>
              </w:rPr>
            </w:pPr>
            <w:r>
              <w:rPr>
                <w:rFonts w:eastAsia="Times New Roman"/>
                <w:color w:val="000000"/>
                <w:sz w:val="20"/>
                <w:szCs w:val="20"/>
              </w:rPr>
              <w:t>(184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576FB7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09B08E2" w14:textId="77777777" w:rsidR="00000000" w:rsidRDefault="00195E73">
            <w:pPr>
              <w:rPr>
                <w:rFonts w:eastAsia="Times New Roman"/>
                <w:sz w:val="20"/>
                <w:szCs w:val="20"/>
              </w:rPr>
            </w:pPr>
          </w:p>
        </w:tc>
        <w:tc>
          <w:tcPr>
            <w:tcW w:w="0" w:type="auto"/>
            <w:vAlign w:val="center"/>
            <w:hideMark/>
          </w:tcPr>
          <w:p w14:paraId="36B0A676" w14:textId="77777777" w:rsidR="00000000" w:rsidRDefault="00195E73">
            <w:pPr>
              <w:rPr>
                <w:rFonts w:eastAsia="Times New Roman"/>
                <w:sz w:val="20"/>
                <w:szCs w:val="20"/>
              </w:rPr>
            </w:pPr>
          </w:p>
        </w:tc>
        <w:tc>
          <w:tcPr>
            <w:tcW w:w="0" w:type="auto"/>
            <w:vAlign w:val="center"/>
            <w:hideMark/>
          </w:tcPr>
          <w:p w14:paraId="31EEC6F9" w14:textId="77777777" w:rsidR="00000000" w:rsidRDefault="00195E73">
            <w:pPr>
              <w:rPr>
                <w:rFonts w:eastAsia="Times New Roman"/>
                <w:sz w:val="20"/>
                <w:szCs w:val="20"/>
              </w:rPr>
            </w:pPr>
          </w:p>
        </w:tc>
        <w:tc>
          <w:tcPr>
            <w:tcW w:w="0" w:type="auto"/>
            <w:vAlign w:val="center"/>
            <w:hideMark/>
          </w:tcPr>
          <w:p w14:paraId="30540A96" w14:textId="77777777" w:rsidR="00000000" w:rsidRDefault="00195E73">
            <w:pPr>
              <w:rPr>
                <w:rFonts w:eastAsia="Times New Roman"/>
                <w:sz w:val="20"/>
                <w:szCs w:val="20"/>
              </w:rPr>
            </w:pPr>
          </w:p>
        </w:tc>
        <w:tc>
          <w:tcPr>
            <w:tcW w:w="0" w:type="auto"/>
            <w:vAlign w:val="center"/>
            <w:hideMark/>
          </w:tcPr>
          <w:p w14:paraId="2326E4F3" w14:textId="77777777" w:rsidR="00000000" w:rsidRDefault="00195E73">
            <w:pPr>
              <w:rPr>
                <w:rFonts w:eastAsia="Times New Roman"/>
                <w:sz w:val="20"/>
                <w:szCs w:val="20"/>
              </w:rPr>
            </w:pPr>
          </w:p>
        </w:tc>
        <w:tc>
          <w:tcPr>
            <w:tcW w:w="0" w:type="auto"/>
            <w:vAlign w:val="center"/>
            <w:hideMark/>
          </w:tcPr>
          <w:p w14:paraId="262A0A8E" w14:textId="77777777" w:rsidR="00000000" w:rsidRDefault="00195E73">
            <w:pPr>
              <w:rPr>
                <w:rFonts w:eastAsia="Times New Roman"/>
                <w:sz w:val="20"/>
                <w:szCs w:val="20"/>
              </w:rPr>
            </w:pPr>
          </w:p>
        </w:tc>
      </w:tr>
      <w:tr w:rsidR="00000000" w14:paraId="59F4E683" w14:textId="77777777">
        <w:trPr>
          <w:divId w:val="1142582442"/>
          <w:jc w:val="center"/>
        </w:trPr>
        <w:tc>
          <w:tcPr>
            <w:tcW w:w="0" w:type="auto"/>
            <w:gridSpan w:val="3"/>
            <w:shd w:val="clear" w:color="auto" w:fill="FFFFFF"/>
            <w:tcMar>
              <w:top w:w="30" w:type="dxa"/>
              <w:left w:w="180" w:type="dxa"/>
              <w:bottom w:w="30" w:type="dxa"/>
              <w:right w:w="20" w:type="dxa"/>
            </w:tcMar>
            <w:vAlign w:val="bottom"/>
            <w:hideMark/>
          </w:tcPr>
          <w:p w14:paraId="7D48C437" w14:textId="77777777" w:rsidR="00000000" w:rsidRDefault="00195E73">
            <w:pPr>
              <w:rPr>
                <w:rFonts w:eastAsia="Times New Roman"/>
              </w:rPr>
            </w:pPr>
            <w:r>
              <w:rPr>
                <w:rFonts w:eastAsia="Times New Roman"/>
                <w:color w:val="000000"/>
                <w:sz w:val="20"/>
                <w:szCs w:val="20"/>
              </w:rPr>
              <w:t>Lease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B9C6F7C" w14:textId="77777777" w:rsidR="00000000" w:rsidRDefault="00195E73">
            <w:pPr>
              <w:jc w:val="right"/>
              <w:rPr>
                <w:rFonts w:eastAsia="Times New Roman"/>
              </w:rPr>
            </w:pPr>
            <w:r>
              <w:rPr>
                <w:rFonts w:eastAsia="Times New Roman"/>
                <w:color w:val="000000"/>
                <w:sz w:val="20"/>
                <w:szCs w:val="20"/>
              </w:rPr>
              <w:t>(125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B6DCB7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E23E2A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BB310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55C0D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5D3374B" w14:textId="77777777" w:rsidR="00000000" w:rsidRDefault="00195E73">
            <w:pPr>
              <w:rPr>
                <w:rFonts w:eastAsia="Times New Roman"/>
                <w:sz w:val="20"/>
                <w:szCs w:val="20"/>
              </w:rPr>
            </w:pPr>
          </w:p>
        </w:tc>
        <w:tc>
          <w:tcPr>
            <w:tcW w:w="0" w:type="auto"/>
            <w:vAlign w:val="center"/>
            <w:hideMark/>
          </w:tcPr>
          <w:p w14:paraId="02FD0D85" w14:textId="77777777" w:rsidR="00000000" w:rsidRDefault="00195E73">
            <w:pPr>
              <w:rPr>
                <w:rFonts w:eastAsia="Times New Roman"/>
                <w:sz w:val="20"/>
                <w:szCs w:val="20"/>
              </w:rPr>
            </w:pPr>
          </w:p>
        </w:tc>
        <w:tc>
          <w:tcPr>
            <w:tcW w:w="0" w:type="auto"/>
            <w:vAlign w:val="center"/>
            <w:hideMark/>
          </w:tcPr>
          <w:p w14:paraId="40FC4F8E" w14:textId="77777777" w:rsidR="00000000" w:rsidRDefault="00195E73">
            <w:pPr>
              <w:rPr>
                <w:rFonts w:eastAsia="Times New Roman"/>
                <w:sz w:val="20"/>
                <w:szCs w:val="20"/>
              </w:rPr>
            </w:pPr>
          </w:p>
        </w:tc>
        <w:tc>
          <w:tcPr>
            <w:tcW w:w="0" w:type="auto"/>
            <w:vAlign w:val="center"/>
            <w:hideMark/>
          </w:tcPr>
          <w:p w14:paraId="2A84C2D2" w14:textId="77777777" w:rsidR="00000000" w:rsidRDefault="00195E73">
            <w:pPr>
              <w:rPr>
                <w:rFonts w:eastAsia="Times New Roman"/>
                <w:sz w:val="20"/>
                <w:szCs w:val="20"/>
              </w:rPr>
            </w:pPr>
          </w:p>
        </w:tc>
        <w:tc>
          <w:tcPr>
            <w:tcW w:w="0" w:type="auto"/>
            <w:vAlign w:val="center"/>
            <w:hideMark/>
          </w:tcPr>
          <w:p w14:paraId="4232C0AA" w14:textId="77777777" w:rsidR="00000000" w:rsidRDefault="00195E73">
            <w:pPr>
              <w:rPr>
                <w:rFonts w:eastAsia="Times New Roman"/>
                <w:sz w:val="20"/>
                <w:szCs w:val="20"/>
              </w:rPr>
            </w:pPr>
          </w:p>
        </w:tc>
        <w:tc>
          <w:tcPr>
            <w:tcW w:w="0" w:type="auto"/>
            <w:vAlign w:val="center"/>
            <w:hideMark/>
          </w:tcPr>
          <w:p w14:paraId="30161373" w14:textId="77777777" w:rsidR="00000000" w:rsidRDefault="00195E73">
            <w:pPr>
              <w:rPr>
                <w:rFonts w:eastAsia="Times New Roman"/>
                <w:sz w:val="20"/>
                <w:szCs w:val="20"/>
              </w:rPr>
            </w:pPr>
          </w:p>
        </w:tc>
      </w:tr>
      <w:tr w:rsidR="00000000" w14:paraId="55FA0648" w14:textId="77777777">
        <w:trPr>
          <w:divId w:val="1142582442"/>
          <w:jc w:val="center"/>
        </w:trPr>
        <w:tc>
          <w:tcPr>
            <w:tcW w:w="0" w:type="auto"/>
            <w:gridSpan w:val="3"/>
            <w:shd w:val="clear" w:color="auto" w:fill="CCEEFF"/>
            <w:tcMar>
              <w:top w:w="30" w:type="dxa"/>
              <w:left w:w="180" w:type="dxa"/>
              <w:bottom w:w="30" w:type="dxa"/>
              <w:right w:w="20" w:type="dxa"/>
            </w:tcMar>
            <w:vAlign w:val="bottom"/>
            <w:hideMark/>
          </w:tcPr>
          <w:p w14:paraId="233C1139" w14:textId="77777777" w:rsidR="00000000" w:rsidRDefault="00195E73">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526D852F" w14:textId="77777777" w:rsidR="00000000" w:rsidRDefault="00195E73">
            <w:pPr>
              <w:jc w:val="right"/>
              <w:rPr>
                <w:rFonts w:eastAsia="Times New Roman"/>
              </w:rPr>
            </w:pPr>
            <w:r>
              <w:rPr>
                <w:rFonts w:eastAsia="Times New Roman"/>
                <w:color w:val="000000"/>
                <w:sz w:val="20"/>
                <w:szCs w:val="20"/>
              </w:rPr>
              <w:t>(61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E9B2ED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3261EFD6" w14:textId="77777777" w:rsidR="00000000" w:rsidRDefault="00195E73">
            <w:pPr>
              <w:jc w:val="center"/>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723AC1E0" w14:textId="77777777" w:rsidR="00000000" w:rsidRDefault="00195E73">
            <w:pPr>
              <w:jc w:val="right"/>
              <w:rPr>
                <w:rFonts w:eastAsia="Times New Roman"/>
              </w:rPr>
            </w:pPr>
            <w:r>
              <w:rPr>
                <w:rFonts w:eastAsia="Times New Roman"/>
                <w:color w:val="000000"/>
                <w:sz w:val="20"/>
                <w:szCs w:val="20"/>
              </w:rPr>
              <w:t>(79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32CA61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2ED6433" w14:textId="77777777" w:rsidR="00000000" w:rsidRDefault="00195E73">
            <w:pPr>
              <w:rPr>
                <w:rFonts w:eastAsia="Times New Roman"/>
                <w:sz w:val="20"/>
                <w:szCs w:val="20"/>
              </w:rPr>
            </w:pPr>
          </w:p>
        </w:tc>
        <w:tc>
          <w:tcPr>
            <w:tcW w:w="0" w:type="auto"/>
            <w:vAlign w:val="center"/>
            <w:hideMark/>
          </w:tcPr>
          <w:p w14:paraId="1829E52D" w14:textId="77777777" w:rsidR="00000000" w:rsidRDefault="00195E73">
            <w:pPr>
              <w:rPr>
                <w:rFonts w:eastAsia="Times New Roman"/>
                <w:sz w:val="20"/>
                <w:szCs w:val="20"/>
              </w:rPr>
            </w:pPr>
          </w:p>
        </w:tc>
        <w:tc>
          <w:tcPr>
            <w:tcW w:w="0" w:type="auto"/>
            <w:vAlign w:val="center"/>
            <w:hideMark/>
          </w:tcPr>
          <w:p w14:paraId="1A49B183" w14:textId="77777777" w:rsidR="00000000" w:rsidRDefault="00195E73">
            <w:pPr>
              <w:rPr>
                <w:rFonts w:eastAsia="Times New Roman"/>
                <w:sz w:val="20"/>
                <w:szCs w:val="20"/>
              </w:rPr>
            </w:pPr>
          </w:p>
        </w:tc>
        <w:tc>
          <w:tcPr>
            <w:tcW w:w="0" w:type="auto"/>
            <w:vAlign w:val="center"/>
            <w:hideMark/>
          </w:tcPr>
          <w:p w14:paraId="182BB0FB" w14:textId="77777777" w:rsidR="00000000" w:rsidRDefault="00195E73">
            <w:pPr>
              <w:rPr>
                <w:rFonts w:eastAsia="Times New Roman"/>
                <w:sz w:val="20"/>
                <w:szCs w:val="20"/>
              </w:rPr>
            </w:pPr>
          </w:p>
        </w:tc>
        <w:tc>
          <w:tcPr>
            <w:tcW w:w="0" w:type="auto"/>
            <w:vAlign w:val="center"/>
            <w:hideMark/>
          </w:tcPr>
          <w:p w14:paraId="5F313E1C" w14:textId="77777777" w:rsidR="00000000" w:rsidRDefault="00195E73">
            <w:pPr>
              <w:rPr>
                <w:rFonts w:eastAsia="Times New Roman"/>
                <w:sz w:val="20"/>
                <w:szCs w:val="20"/>
              </w:rPr>
            </w:pPr>
          </w:p>
        </w:tc>
        <w:tc>
          <w:tcPr>
            <w:tcW w:w="0" w:type="auto"/>
            <w:vAlign w:val="center"/>
            <w:hideMark/>
          </w:tcPr>
          <w:p w14:paraId="7F28A976" w14:textId="77777777" w:rsidR="00000000" w:rsidRDefault="00195E73">
            <w:pPr>
              <w:rPr>
                <w:rFonts w:eastAsia="Times New Roman"/>
                <w:sz w:val="20"/>
                <w:szCs w:val="20"/>
              </w:rPr>
            </w:pPr>
          </w:p>
        </w:tc>
      </w:tr>
      <w:tr w:rsidR="00000000" w14:paraId="0902FAAD" w14:textId="77777777">
        <w:trPr>
          <w:divId w:val="1142582442"/>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73CFE014" w14:textId="77777777" w:rsidR="00000000" w:rsidRDefault="00195E73">
            <w:pPr>
              <w:rPr>
                <w:rFonts w:eastAsia="Times New Roman"/>
              </w:rPr>
            </w:pPr>
            <w:r>
              <w:rPr>
                <w:rFonts w:eastAsia="Times New Roman"/>
                <w:color w:val="000000"/>
                <w:sz w:val="20"/>
                <w:szCs w:val="20"/>
              </w:rPr>
              <w:t>Total deferred tax liabilitie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D45D00" w14:textId="77777777" w:rsidR="00000000" w:rsidRDefault="00195E73">
            <w:pPr>
              <w:jc w:val="right"/>
              <w:rPr>
                <w:rFonts w:eastAsia="Times New Roman"/>
              </w:rPr>
            </w:pPr>
            <w:r>
              <w:rPr>
                <w:rFonts w:eastAsia="Times New Roman"/>
                <w:color w:val="000000"/>
                <w:sz w:val="20"/>
                <w:szCs w:val="20"/>
              </w:rPr>
              <w:t>(1,184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60074A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A89337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875609" w14:textId="77777777" w:rsidR="00000000" w:rsidRDefault="00195E73">
            <w:pPr>
              <w:jc w:val="right"/>
              <w:rPr>
                <w:rFonts w:eastAsia="Times New Roman"/>
              </w:rPr>
            </w:pPr>
            <w:r>
              <w:rPr>
                <w:rFonts w:eastAsia="Times New Roman"/>
                <w:color w:val="000000"/>
                <w:sz w:val="20"/>
                <w:szCs w:val="20"/>
              </w:rPr>
              <w:t>(1,124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EFC64E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3B785ED" w14:textId="77777777" w:rsidR="00000000" w:rsidRDefault="00195E73">
            <w:pPr>
              <w:rPr>
                <w:rFonts w:eastAsia="Times New Roman"/>
                <w:sz w:val="20"/>
                <w:szCs w:val="20"/>
              </w:rPr>
            </w:pPr>
          </w:p>
        </w:tc>
        <w:tc>
          <w:tcPr>
            <w:tcW w:w="0" w:type="auto"/>
            <w:vAlign w:val="center"/>
            <w:hideMark/>
          </w:tcPr>
          <w:p w14:paraId="02999BAF" w14:textId="77777777" w:rsidR="00000000" w:rsidRDefault="00195E73">
            <w:pPr>
              <w:rPr>
                <w:rFonts w:eastAsia="Times New Roman"/>
                <w:sz w:val="20"/>
                <w:szCs w:val="20"/>
              </w:rPr>
            </w:pPr>
          </w:p>
        </w:tc>
        <w:tc>
          <w:tcPr>
            <w:tcW w:w="0" w:type="auto"/>
            <w:vAlign w:val="center"/>
            <w:hideMark/>
          </w:tcPr>
          <w:p w14:paraId="59F64018" w14:textId="77777777" w:rsidR="00000000" w:rsidRDefault="00195E73">
            <w:pPr>
              <w:rPr>
                <w:rFonts w:eastAsia="Times New Roman"/>
                <w:sz w:val="20"/>
                <w:szCs w:val="20"/>
              </w:rPr>
            </w:pPr>
          </w:p>
        </w:tc>
        <w:tc>
          <w:tcPr>
            <w:tcW w:w="0" w:type="auto"/>
            <w:vAlign w:val="center"/>
            <w:hideMark/>
          </w:tcPr>
          <w:p w14:paraId="5705C96A" w14:textId="77777777" w:rsidR="00000000" w:rsidRDefault="00195E73">
            <w:pPr>
              <w:rPr>
                <w:rFonts w:eastAsia="Times New Roman"/>
                <w:sz w:val="20"/>
                <w:szCs w:val="20"/>
              </w:rPr>
            </w:pPr>
          </w:p>
        </w:tc>
        <w:tc>
          <w:tcPr>
            <w:tcW w:w="0" w:type="auto"/>
            <w:vAlign w:val="center"/>
            <w:hideMark/>
          </w:tcPr>
          <w:p w14:paraId="140CB92F" w14:textId="77777777" w:rsidR="00000000" w:rsidRDefault="00195E73">
            <w:pPr>
              <w:rPr>
                <w:rFonts w:eastAsia="Times New Roman"/>
                <w:sz w:val="20"/>
                <w:szCs w:val="20"/>
              </w:rPr>
            </w:pPr>
          </w:p>
        </w:tc>
        <w:tc>
          <w:tcPr>
            <w:tcW w:w="0" w:type="auto"/>
            <w:vAlign w:val="center"/>
            <w:hideMark/>
          </w:tcPr>
          <w:p w14:paraId="4728F31A" w14:textId="77777777" w:rsidR="00000000" w:rsidRDefault="00195E73">
            <w:pPr>
              <w:rPr>
                <w:rFonts w:eastAsia="Times New Roman"/>
                <w:sz w:val="20"/>
                <w:szCs w:val="20"/>
              </w:rPr>
            </w:pPr>
          </w:p>
        </w:tc>
      </w:tr>
      <w:tr w:rsidR="00000000" w14:paraId="675C763B" w14:textId="77777777">
        <w:trPr>
          <w:divId w:val="1142582442"/>
          <w:jc w:val="center"/>
        </w:trPr>
        <w:tc>
          <w:tcPr>
            <w:tcW w:w="0" w:type="auto"/>
            <w:gridSpan w:val="3"/>
            <w:tcBorders>
              <w:top w:val="single" w:sz="8" w:space="0" w:color="FFFFFF"/>
              <w:bottom w:val="double" w:sz="6" w:space="0" w:color="FFFFFF"/>
            </w:tcBorders>
            <w:shd w:val="clear" w:color="auto" w:fill="CCEEFF"/>
            <w:tcMar>
              <w:top w:w="15" w:type="dxa"/>
              <w:left w:w="20" w:type="dxa"/>
              <w:bottom w:w="15" w:type="dxa"/>
              <w:right w:w="20" w:type="dxa"/>
            </w:tcMar>
            <w:vAlign w:val="bottom"/>
            <w:hideMark/>
          </w:tcPr>
          <w:p w14:paraId="5257643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DAD442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B1BD398" w14:textId="77777777" w:rsidR="00000000" w:rsidRDefault="00195E73">
            <w:pPr>
              <w:jc w:val="right"/>
              <w:rPr>
                <w:rFonts w:eastAsia="Times New Roman"/>
              </w:rPr>
            </w:pPr>
            <w:r>
              <w:rPr>
                <w:rFonts w:eastAsia="Times New Roman"/>
                <w:color w:val="000000"/>
                <w:sz w:val="20"/>
                <w:szCs w:val="20"/>
              </w:rPr>
              <w:t>(607</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591692C" w14:textId="77777777" w:rsidR="00000000" w:rsidRDefault="00195E73">
            <w:pPr>
              <w:jc w:val="right"/>
              <w:rPr>
                <w:rFonts w:eastAsia="Times New Roman"/>
              </w:rPr>
            </w:pPr>
            <w:r>
              <w:rPr>
                <w:rFonts w:eastAsia="Times New Roman"/>
                <w:color w:val="000000"/>
                <w:sz w:val="20"/>
                <w:szCs w:val="20"/>
              </w:rPr>
              <w:t> </w:t>
            </w:r>
          </w:p>
        </w:tc>
        <w:tc>
          <w:tcPr>
            <w:tcW w:w="0" w:type="auto"/>
            <w:gridSpan w:val="3"/>
            <w:tcBorders>
              <w:bottom w:val="double" w:sz="6" w:space="0" w:color="FFFFFF"/>
            </w:tcBorders>
            <w:shd w:val="clear" w:color="auto" w:fill="CCEEFF"/>
            <w:tcMar>
              <w:top w:w="30" w:type="dxa"/>
              <w:left w:w="20" w:type="dxa"/>
              <w:bottom w:w="30" w:type="dxa"/>
              <w:right w:w="20" w:type="dxa"/>
            </w:tcMar>
            <w:vAlign w:val="bottom"/>
            <w:hideMark/>
          </w:tcPr>
          <w:p w14:paraId="667CC008" w14:textId="77777777" w:rsidR="00000000" w:rsidRDefault="00195E73">
            <w:pPr>
              <w:jc w:val="center"/>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ADFE74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AB81F47" w14:textId="77777777" w:rsidR="00000000" w:rsidRDefault="00195E73">
            <w:pPr>
              <w:jc w:val="right"/>
              <w:rPr>
                <w:rFonts w:eastAsia="Times New Roman"/>
              </w:rPr>
            </w:pPr>
            <w:r>
              <w:rPr>
                <w:rFonts w:eastAsia="Times New Roman"/>
                <w:color w:val="000000"/>
                <w:sz w:val="20"/>
                <w:szCs w:val="20"/>
              </w:rPr>
              <w:t>(656</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494BF2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9755B1C" w14:textId="77777777" w:rsidR="00000000" w:rsidRDefault="00195E73">
            <w:pPr>
              <w:rPr>
                <w:rFonts w:eastAsia="Times New Roman"/>
                <w:sz w:val="20"/>
                <w:szCs w:val="20"/>
              </w:rPr>
            </w:pPr>
          </w:p>
        </w:tc>
        <w:tc>
          <w:tcPr>
            <w:tcW w:w="0" w:type="auto"/>
            <w:vAlign w:val="center"/>
            <w:hideMark/>
          </w:tcPr>
          <w:p w14:paraId="66352041" w14:textId="77777777" w:rsidR="00000000" w:rsidRDefault="00195E73">
            <w:pPr>
              <w:rPr>
                <w:rFonts w:eastAsia="Times New Roman"/>
                <w:sz w:val="20"/>
                <w:szCs w:val="20"/>
              </w:rPr>
            </w:pPr>
          </w:p>
        </w:tc>
        <w:tc>
          <w:tcPr>
            <w:tcW w:w="0" w:type="auto"/>
            <w:vAlign w:val="center"/>
            <w:hideMark/>
          </w:tcPr>
          <w:p w14:paraId="1F234AB6" w14:textId="77777777" w:rsidR="00000000" w:rsidRDefault="00195E73">
            <w:pPr>
              <w:rPr>
                <w:rFonts w:eastAsia="Times New Roman"/>
                <w:sz w:val="20"/>
                <w:szCs w:val="20"/>
              </w:rPr>
            </w:pPr>
          </w:p>
        </w:tc>
        <w:tc>
          <w:tcPr>
            <w:tcW w:w="0" w:type="auto"/>
            <w:vAlign w:val="center"/>
            <w:hideMark/>
          </w:tcPr>
          <w:p w14:paraId="27F5ED94" w14:textId="77777777" w:rsidR="00000000" w:rsidRDefault="00195E73">
            <w:pPr>
              <w:rPr>
                <w:rFonts w:eastAsia="Times New Roman"/>
                <w:sz w:val="20"/>
                <w:szCs w:val="20"/>
              </w:rPr>
            </w:pPr>
          </w:p>
        </w:tc>
        <w:tc>
          <w:tcPr>
            <w:tcW w:w="0" w:type="auto"/>
            <w:vAlign w:val="center"/>
            <w:hideMark/>
          </w:tcPr>
          <w:p w14:paraId="20A808DB" w14:textId="77777777" w:rsidR="00000000" w:rsidRDefault="00195E73">
            <w:pPr>
              <w:rPr>
                <w:rFonts w:eastAsia="Times New Roman"/>
                <w:sz w:val="20"/>
                <w:szCs w:val="20"/>
              </w:rPr>
            </w:pPr>
          </w:p>
        </w:tc>
        <w:tc>
          <w:tcPr>
            <w:tcW w:w="0" w:type="auto"/>
            <w:vAlign w:val="center"/>
            <w:hideMark/>
          </w:tcPr>
          <w:p w14:paraId="696874F9" w14:textId="77777777" w:rsidR="00000000" w:rsidRDefault="00195E73">
            <w:pPr>
              <w:rPr>
                <w:rFonts w:eastAsia="Times New Roman"/>
                <w:sz w:val="20"/>
                <w:szCs w:val="20"/>
              </w:rPr>
            </w:pPr>
          </w:p>
        </w:tc>
      </w:tr>
    </w:tbl>
    <w:p w14:paraId="6130A659" w14:textId="77777777" w:rsidR="00000000" w:rsidRDefault="00195E73">
      <w:pPr>
        <w:ind w:firstLine="405"/>
        <w:divId w:val="1667512125"/>
        <w:rPr>
          <w:rFonts w:eastAsia="Times New Roman"/>
        </w:rPr>
      </w:pPr>
      <w:r>
        <w:rPr>
          <w:rFonts w:eastAsia="Times New Roman"/>
          <w:color w:val="000000"/>
          <w:sz w:val="20"/>
          <w:szCs w:val="20"/>
        </w:rPr>
        <w:t>We recorded deferred tax assets and deferred tax liabilities of $32 million and $639 million, respectively, as of December 31, 2019 and $38 million and $694 million, respectively, as of December 31, 2018. Deferred tax assets are included in other ass</w:t>
      </w:r>
      <w:r>
        <w:rPr>
          <w:rFonts w:eastAsia="Times New Roman"/>
          <w:color w:val="000000"/>
          <w:sz w:val="20"/>
          <w:szCs w:val="20"/>
        </w:rPr>
        <w:t>ets in our consolidated balance sheets</w:t>
      </w:r>
      <w:r>
        <w:rPr>
          <w:rFonts w:eastAsia="Times New Roman"/>
          <w:color w:val="000000"/>
          <w:sz w:val="20"/>
          <w:szCs w:val="20"/>
        </w:rPr>
        <w:t>.</w:t>
      </w:r>
    </w:p>
    <w:p w14:paraId="226A9A45" w14:textId="77777777" w:rsidR="00000000" w:rsidRDefault="00195E73">
      <w:pPr>
        <w:ind w:firstLine="405"/>
        <w:divId w:val="793257470"/>
        <w:rPr>
          <w:rFonts w:eastAsia="Times New Roman"/>
        </w:rPr>
      </w:pPr>
      <w:r>
        <w:rPr>
          <w:rFonts w:eastAsia="Times New Roman"/>
          <w:color w:val="000000"/>
          <w:sz w:val="20"/>
          <w:szCs w:val="20"/>
        </w:rPr>
        <w:t>We analyze all positive and negative evidence to consider whether it is more likely than not that all of the deferred tax assets will be realized. Projected future income, tax planning strategies and the expected rev</w:t>
      </w:r>
      <w:r>
        <w:rPr>
          <w:rFonts w:eastAsia="Times New Roman"/>
          <w:color w:val="000000"/>
          <w:sz w:val="20"/>
          <w:szCs w:val="20"/>
        </w:rPr>
        <w:t>ersal of deferred tax liabilities are considered in making this assessment. As of December 31, 2019 we had a valuation allowance of approximately $619 million primarily related to tax loss and credit carryforwards and other deferred tax assets. The current</w:t>
      </w:r>
      <w:r>
        <w:rPr>
          <w:rFonts w:eastAsia="Times New Roman"/>
          <w:color w:val="000000"/>
          <w:sz w:val="20"/>
          <w:szCs w:val="20"/>
        </w:rPr>
        <w:t xml:space="preserve"> and future provisions for income taxes may be significantly impacted by changes to valuation allowances. These allowances will be maintained until it is more likely than not that the deferred tax assets will be realized. For the year ended December 31, 20</w:t>
      </w:r>
      <w:r>
        <w:rPr>
          <w:rFonts w:eastAsia="Times New Roman"/>
          <w:color w:val="000000"/>
          <w:sz w:val="20"/>
          <w:szCs w:val="20"/>
        </w:rPr>
        <w:t>19, the valuation allowance on deferred tax assets increased by $101 million. The increase was primarily attributable to capital loss and state net operating loss carryforwards</w:t>
      </w:r>
      <w:r>
        <w:rPr>
          <w:rFonts w:eastAsia="Times New Roman"/>
          <w:color w:val="000000"/>
          <w:sz w:val="20"/>
          <w:szCs w:val="20"/>
        </w:rPr>
        <w:t>.</w:t>
      </w:r>
    </w:p>
    <w:p w14:paraId="6EAD1F28" w14:textId="77777777" w:rsidR="00000000" w:rsidRDefault="00195E73">
      <w:pPr>
        <w:ind w:firstLine="405"/>
        <w:divId w:val="161705070"/>
        <w:rPr>
          <w:rFonts w:eastAsia="Times New Roman"/>
        </w:rPr>
      </w:pPr>
      <w:r>
        <w:rPr>
          <w:rFonts w:eastAsia="Times New Roman"/>
          <w:color w:val="000000"/>
          <w:sz w:val="20"/>
          <w:szCs w:val="20"/>
        </w:rPr>
        <w:t>At December 31, 2019, American Entertainment Properties Corp. (“AEPC”), a whol</w:t>
      </w:r>
      <w:r>
        <w:rPr>
          <w:rFonts w:eastAsia="Times New Roman"/>
          <w:color w:val="000000"/>
          <w:sz w:val="20"/>
          <w:szCs w:val="20"/>
        </w:rPr>
        <w:t>ly-owned corporate subsidiary of Icahn Enterprises and Icahn Enterprises Holdings, which includes all or parts of our Automotive, Metals, Home Fashion and Real Estate segments had U.S federal net operating loss carryforwards of approximately $2.0 billion w</w:t>
      </w:r>
      <w:r>
        <w:rPr>
          <w:rFonts w:eastAsia="Times New Roman"/>
          <w:color w:val="000000"/>
          <w:sz w:val="20"/>
          <w:szCs w:val="20"/>
        </w:rPr>
        <w:t>ith expiration dates from 2029 through 2037</w:t>
      </w:r>
      <w:r>
        <w:rPr>
          <w:rFonts w:eastAsia="Times New Roman"/>
          <w:color w:val="000000"/>
          <w:sz w:val="20"/>
          <w:szCs w:val="20"/>
        </w:rPr>
        <w:t>.</w:t>
      </w:r>
    </w:p>
    <w:p w14:paraId="0291366C" w14:textId="77777777" w:rsidR="00000000" w:rsidRDefault="00195E73">
      <w:pPr>
        <w:ind w:firstLine="405"/>
        <w:divId w:val="1873574613"/>
        <w:rPr>
          <w:rFonts w:eastAsia="Times New Roman"/>
        </w:rPr>
      </w:pPr>
      <w:r>
        <w:rPr>
          <w:rFonts w:eastAsia="Times New Roman"/>
          <w:color w:val="000000"/>
          <w:sz w:val="20"/>
          <w:szCs w:val="20"/>
        </w:rPr>
        <w:t>At December 31, 2019, CVR Energy had state income tax credits of $16 million, which are available to reduce future state income taxes. These credits can be carried forward indefinitely.</w:t>
      </w:r>
      <w:r>
        <w:rPr>
          <w:rFonts w:eastAsia="Times New Roman"/>
          <w:color w:val="000000"/>
          <w:sz w:val="20"/>
          <w:szCs w:val="20"/>
        </w:rPr>
        <w:t xml:space="preserve"> </w:t>
      </w:r>
    </w:p>
    <w:p w14:paraId="17E18E80" w14:textId="77777777" w:rsidR="00000000" w:rsidRDefault="00195E73">
      <w:pPr>
        <w:ind w:firstLine="405"/>
        <w:divId w:val="2093627348"/>
        <w:rPr>
          <w:rFonts w:eastAsia="Times New Roman"/>
        </w:rPr>
      </w:pPr>
      <w:r>
        <w:rPr>
          <w:rFonts w:eastAsia="Times New Roman"/>
          <w:color w:val="000000"/>
          <w:sz w:val="20"/>
          <w:szCs w:val="20"/>
        </w:rPr>
        <w:t>At December 31, 2019, Vi</w:t>
      </w:r>
      <w:r>
        <w:rPr>
          <w:rFonts w:eastAsia="Times New Roman"/>
          <w:color w:val="000000"/>
          <w:sz w:val="20"/>
          <w:szCs w:val="20"/>
        </w:rPr>
        <w:t>skase had U.S. federal net operating loss carryforwards of $58 million which will begin expiring in the year 2024 and forward, and foreign net operating loss carryforwards of $40 million with unlimited carryforward period and $5 million with a five-year ca</w:t>
      </w:r>
      <w:r>
        <w:rPr>
          <w:rFonts w:eastAsia="Times New Roman"/>
          <w:color w:val="000000"/>
          <w:sz w:val="20"/>
          <w:szCs w:val="20"/>
        </w:rPr>
        <w:t>rryforward period.</w:t>
      </w:r>
      <w:r>
        <w:rPr>
          <w:rFonts w:eastAsia="Times New Roman"/>
          <w:color w:val="000000"/>
          <w:sz w:val="20"/>
          <w:szCs w:val="20"/>
        </w:rPr>
        <w:t xml:space="preserve"> </w:t>
      </w:r>
    </w:p>
    <w:p w14:paraId="43247FFF" w14:textId="77777777" w:rsidR="00000000" w:rsidRDefault="00195E73">
      <w:pPr>
        <w:ind w:firstLine="405"/>
        <w:divId w:val="1628656577"/>
        <w:rPr>
          <w:rFonts w:eastAsia="Times New Roman"/>
        </w:rPr>
      </w:pPr>
      <w:r>
        <w:rPr>
          <w:rFonts w:eastAsia="Times New Roman"/>
          <w:color w:val="000000"/>
          <w:sz w:val="20"/>
          <w:szCs w:val="20"/>
        </w:rPr>
        <w:t xml:space="preserve">On August 1, 2018, CVR Energy completed an exchange offer whereby CVR Refining’s public unitholders tendered a total of 21,625,106 common units of CVR Refining in exchange for 13,699,549 </w:t>
      </w:r>
      <w:r>
        <w:rPr>
          <w:rFonts w:eastAsia="Times New Roman"/>
          <w:color w:val="000000"/>
          <w:sz w:val="20"/>
          <w:szCs w:val="20"/>
        </w:rPr>
        <w:t>shares of CVR Energy common stock. As a</w:t>
      </w:r>
      <w:r>
        <w:rPr>
          <w:rFonts w:eastAsia="Times New Roman"/>
          <w:color w:val="000000"/>
          <w:sz w:val="20"/>
          <w:szCs w:val="20"/>
        </w:rPr>
        <w:t xml:space="preserve"> </w:t>
      </w:r>
    </w:p>
    <w:p w14:paraId="6A4F2CA8" w14:textId="77777777" w:rsidR="00000000" w:rsidRDefault="00195E73">
      <w:pPr>
        <w:jc w:val="center"/>
        <w:divId w:val="752821435"/>
        <w:rPr>
          <w:rFonts w:eastAsia="Times New Roman"/>
        </w:rPr>
      </w:pPr>
      <w:r>
        <w:rPr>
          <w:rFonts w:eastAsia="Times New Roman"/>
          <w:color w:val="000000"/>
          <w:sz w:val="20"/>
          <w:szCs w:val="20"/>
        </w:rPr>
        <w:t>10</w:t>
      </w:r>
      <w:r>
        <w:rPr>
          <w:rFonts w:eastAsia="Times New Roman"/>
          <w:color w:val="000000"/>
          <w:sz w:val="20"/>
          <w:szCs w:val="20"/>
        </w:rPr>
        <w:t>5</w:t>
      </w:r>
    </w:p>
    <w:p w14:paraId="7A710CC2" w14:textId="77777777" w:rsidR="00000000" w:rsidRDefault="00195E73">
      <w:pPr>
        <w:rPr>
          <w:rFonts w:eastAsia="Times New Roman"/>
        </w:rPr>
      </w:pPr>
      <w:r>
        <w:rPr>
          <w:rFonts w:eastAsia="Times New Roman"/>
        </w:rPr>
        <w:pict w14:anchorId="2795B9B0">
          <v:rect id="_x0000_i1131" style="width:0;height:1.5pt" o:hralign="center" o:hrstd="t" o:hr="t" fillcolor="#a0a0a0" stroked="f"/>
        </w:pict>
      </w:r>
    </w:p>
    <w:p w14:paraId="5E03659C" w14:textId="77777777" w:rsidR="00000000" w:rsidRDefault="00195E73">
      <w:pPr>
        <w:jc w:val="center"/>
        <w:divId w:val="1068066955"/>
        <w:rPr>
          <w:rFonts w:eastAsia="Times New Roman"/>
        </w:rPr>
      </w:pPr>
    </w:p>
    <w:p w14:paraId="435E0AAE" w14:textId="77777777" w:rsidR="00000000" w:rsidRDefault="00195E73">
      <w:pPr>
        <w:jc w:val="center"/>
        <w:divId w:val="1068066955"/>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09CC9C77" w14:textId="77777777" w:rsidR="00000000" w:rsidRDefault="00195E73">
      <w:pPr>
        <w:jc w:val="center"/>
        <w:divId w:val="1068066955"/>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099B4040" w14:textId="77777777" w:rsidR="00000000" w:rsidRDefault="00195E73">
      <w:pPr>
        <w:jc w:val="center"/>
        <w:divId w:val="1068066955"/>
        <w:rPr>
          <w:rFonts w:eastAsia="Times New Roman"/>
        </w:rPr>
      </w:pPr>
    </w:p>
    <w:p w14:paraId="23FC8183" w14:textId="77777777" w:rsidR="00000000" w:rsidRDefault="00195E73">
      <w:pPr>
        <w:jc w:val="center"/>
        <w:divId w:val="1068066955"/>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29014327" w14:textId="77777777" w:rsidR="00000000" w:rsidRDefault="00195E73">
      <w:pPr>
        <w:divId w:val="1244147454"/>
        <w:rPr>
          <w:rFonts w:eastAsia="Times New Roman"/>
        </w:rPr>
      </w:pPr>
      <w:r>
        <w:rPr>
          <w:rFonts w:eastAsia="Times New Roman"/>
          <w:color w:val="000000"/>
          <w:sz w:val="20"/>
          <w:szCs w:val="20"/>
        </w:rPr>
        <w:t>result of the exchange offer, AEPC own</w:t>
      </w:r>
      <w:r>
        <w:rPr>
          <w:rFonts w:eastAsia="Times New Roman"/>
          <w:color w:val="000000"/>
          <w:sz w:val="20"/>
          <w:szCs w:val="20"/>
        </w:rPr>
        <w:t>ed less than 80% of the common stock of CVR Energy and CVR Energy deconsolidated from the AEPC consolidated federal income tax group. Beginning with the tax period after the exchange, CVR Energy became the parent of a new consolidated group for U.S. federa</w:t>
      </w:r>
      <w:r>
        <w:rPr>
          <w:rFonts w:eastAsia="Times New Roman"/>
          <w:color w:val="000000"/>
          <w:sz w:val="20"/>
          <w:szCs w:val="20"/>
        </w:rPr>
        <w:t>l income tax purposes and will file and pay its federal income tax obligations directly to the Internal Revenue Service.</w:t>
      </w:r>
      <w:r>
        <w:rPr>
          <w:rFonts w:eastAsia="Times New Roman"/>
          <w:color w:val="000000"/>
          <w:sz w:val="20"/>
          <w:szCs w:val="20"/>
        </w:rPr>
        <w:t xml:space="preserve"> </w:t>
      </w:r>
    </w:p>
    <w:p w14:paraId="3079EA5D" w14:textId="77777777" w:rsidR="00000000" w:rsidRDefault="00195E73">
      <w:pPr>
        <w:ind w:firstLine="405"/>
        <w:divId w:val="1734548212"/>
        <w:rPr>
          <w:rFonts w:eastAsia="Times New Roman"/>
        </w:rPr>
      </w:pPr>
      <w:r>
        <w:rPr>
          <w:rFonts w:eastAsia="Times New Roman"/>
          <w:color w:val="000000"/>
          <w:sz w:val="20"/>
          <w:szCs w:val="20"/>
        </w:rPr>
        <w:t>As of December 31, 2019, we have not provided taxes on approximately $61 million of undistributed earnings in foreign subsidiaries whi</w:t>
      </w:r>
      <w:r>
        <w:rPr>
          <w:rFonts w:eastAsia="Times New Roman"/>
          <w:color w:val="000000"/>
          <w:sz w:val="20"/>
          <w:szCs w:val="20"/>
        </w:rPr>
        <w:t xml:space="preserve">ch are deemed to be indefinitely reinvested. If at some future date these earnings cease to be permanently reinvested, we may be subject to foreign income and withholding taxes upon repatriation of such amounts. An estimate of the tax liability that would </w:t>
      </w:r>
      <w:r>
        <w:rPr>
          <w:rFonts w:eastAsia="Times New Roman"/>
          <w:color w:val="000000"/>
          <w:sz w:val="20"/>
          <w:szCs w:val="20"/>
        </w:rPr>
        <w:t>be incurred upon repatriation of foreign earnings is not practicable to determine.</w:t>
      </w:r>
      <w:r>
        <w:rPr>
          <w:rFonts w:eastAsia="Times New Roman"/>
          <w:color w:val="000000"/>
          <w:sz w:val="20"/>
          <w:szCs w:val="20"/>
        </w:rPr>
        <w:t xml:space="preserve"> </w:t>
      </w:r>
    </w:p>
    <w:p w14:paraId="5020B84B" w14:textId="77777777" w:rsidR="00000000" w:rsidRDefault="00195E73">
      <w:pPr>
        <w:divId w:val="39016375"/>
        <w:rPr>
          <w:rFonts w:eastAsia="Times New Roman"/>
        </w:rPr>
      </w:pPr>
      <w:r>
        <w:rPr>
          <w:rFonts w:eastAsia="Times New Roman"/>
          <w:b/>
          <w:bCs/>
          <w:i/>
          <w:iCs/>
          <w:color w:val="000000"/>
          <w:sz w:val="20"/>
          <w:szCs w:val="20"/>
        </w:rPr>
        <w:t>Enactment of U.S. Tax Legislatio</w:t>
      </w:r>
      <w:r>
        <w:rPr>
          <w:rFonts w:eastAsia="Times New Roman"/>
          <w:b/>
          <w:bCs/>
          <w:i/>
          <w:iCs/>
          <w:color w:val="000000"/>
          <w:sz w:val="20"/>
          <w:szCs w:val="20"/>
        </w:rPr>
        <w:t>n</w:t>
      </w:r>
    </w:p>
    <w:p w14:paraId="124AEC2B" w14:textId="77777777" w:rsidR="00000000" w:rsidRDefault="00195E73">
      <w:pPr>
        <w:ind w:firstLine="405"/>
        <w:divId w:val="645741120"/>
        <w:rPr>
          <w:rFonts w:eastAsia="Times New Roman"/>
        </w:rPr>
      </w:pPr>
      <w:r>
        <w:rPr>
          <w:rFonts w:eastAsia="Times New Roman"/>
          <w:color w:val="000000"/>
          <w:sz w:val="20"/>
          <w:szCs w:val="20"/>
        </w:rPr>
        <w:t>In January 2018, the FASB released guidance on the accounting for tax on the global intangible low-taxed income (“GILTI”) provisions of Th</w:t>
      </w:r>
      <w:r>
        <w:rPr>
          <w:rFonts w:eastAsia="Times New Roman"/>
          <w:color w:val="000000"/>
          <w:sz w:val="20"/>
          <w:szCs w:val="20"/>
        </w:rPr>
        <w:t>e Tax Legislation. The GILTI provisions impose a tax on foreign income in excess of a deemed return on tangible assets of foreign corporations. We report additional tax from the GILTI inclusion as incurred and currently estimate no additional tax due in 20</w:t>
      </w:r>
      <w:r>
        <w:rPr>
          <w:rFonts w:eastAsia="Times New Roman"/>
          <w:color w:val="000000"/>
          <w:sz w:val="20"/>
          <w:szCs w:val="20"/>
        </w:rPr>
        <w:t>19</w:t>
      </w:r>
      <w:r>
        <w:rPr>
          <w:rFonts w:eastAsia="Times New Roman"/>
          <w:color w:val="000000"/>
          <w:sz w:val="20"/>
          <w:szCs w:val="20"/>
        </w:rPr>
        <w:t>.</w:t>
      </w:r>
    </w:p>
    <w:p w14:paraId="5F52D5B5" w14:textId="77777777" w:rsidR="00000000" w:rsidRDefault="00195E73">
      <w:pPr>
        <w:ind w:firstLine="405"/>
        <w:divId w:val="1171065015"/>
        <w:rPr>
          <w:rFonts w:eastAsia="Times New Roman"/>
        </w:rPr>
      </w:pPr>
      <w:r>
        <w:rPr>
          <w:rFonts w:eastAsia="Times New Roman"/>
          <w:color w:val="000000"/>
          <w:sz w:val="20"/>
          <w:szCs w:val="20"/>
        </w:rPr>
        <w:t>Under the Tax Legislation, an entity must pay a Base Erosion Anti-Abuse Tax (“BEAT”) if the BEAT is greater than its regular tax liability. We currently estimate no additional tax due in 2018 pursuant to the BEAT provisions.</w:t>
      </w:r>
      <w:r>
        <w:rPr>
          <w:rFonts w:eastAsia="Times New Roman"/>
          <w:color w:val="000000"/>
          <w:sz w:val="20"/>
          <w:szCs w:val="20"/>
        </w:rPr>
        <w:t xml:space="preserve"> </w:t>
      </w:r>
    </w:p>
    <w:p w14:paraId="07DD616A" w14:textId="77777777" w:rsidR="00000000" w:rsidRDefault="00195E73">
      <w:pPr>
        <w:divId w:val="1760057791"/>
        <w:rPr>
          <w:rFonts w:eastAsia="Times New Roman"/>
        </w:rPr>
      </w:pPr>
      <w:r>
        <w:rPr>
          <w:rFonts w:eastAsia="Times New Roman"/>
          <w:b/>
          <w:bCs/>
          <w:i/>
          <w:iCs/>
          <w:color w:val="000000"/>
          <w:sz w:val="20"/>
          <w:szCs w:val="20"/>
        </w:rPr>
        <w:t>Accounting for Uncertainty</w:t>
      </w:r>
      <w:r>
        <w:rPr>
          <w:rFonts w:eastAsia="Times New Roman"/>
          <w:b/>
          <w:bCs/>
          <w:i/>
          <w:iCs/>
          <w:color w:val="000000"/>
          <w:sz w:val="20"/>
          <w:szCs w:val="20"/>
        </w:rPr>
        <w:t xml:space="preserve"> in Income Taxe</w:t>
      </w:r>
      <w:r>
        <w:rPr>
          <w:rFonts w:eastAsia="Times New Roman"/>
          <w:b/>
          <w:bCs/>
          <w:i/>
          <w:iCs/>
          <w:color w:val="000000"/>
          <w:sz w:val="20"/>
          <w:szCs w:val="20"/>
        </w:rPr>
        <w:t>s</w:t>
      </w:r>
      <w:r>
        <w:rPr>
          <w:rFonts w:eastAsia="Times New Roman"/>
          <w:color w:val="000000"/>
          <w:sz w:val="20"/>
          <w:szCs w:val="20"/>
        </w:rPr>
        <w:t> </w:t>
      </w:r>
      <w:r>
        <w:rPr>
          <w:rFonts w:eastAsia="Times New Roman"/>
          <w:color w:val="000000"/>
          <w:sz w:val="20"/>
          <w:szCs w:val="20"/>
        </w:rPr>
        <w:t> </w:t>
      </w:r>
    </w:p>
    <w:p w14:paraId="52EEDF1F" w14:textId="77777777" w:rsidR="00000000" w:rsidRDefault="00195E73">
      <w:pPr>
        <w:ind w:firstLine="405"/>
        <w:divId w:val="263997912"/>
        <w:rPr>
          <w:rFonts w:eastAsia="Times New Roman"/>
        </w:rPr>
      </w:pPr>
      <w:r>
        <w:rPr>
          <w:rFonts w:eastAsia="Times New Roman"/>
          <w:color w:val="000000"/>
          <w:sz w:val="20"/>
          <w:szCs w:val="20"/>
        </w:rPr>
        <w:t>A summary of the changes in the gross amounts of unrecognized tax benefits for the years ended December 31, 2019, 2018 and 2017 are as follows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088"/>
        <w:gridCol w:w="40"/>
        <w:gridCol w:w="135"/>
        <w:gridCol w:w="956"/>
        <w:gridCol w:w="85"/>
        <w:gridCol w:w="36"/>
        <w:gridCol w:w="36"/>
        <w:gridCol w:w="36"/>
        <w:gridCol w:w="135"/>
        <w:gridCol w:w="924"/>
        <w:gridCol w:w="85"/>
        <w:gridCol w:w="36"/>
        <w:gridCol w:w="36"/>
        <w:gridCol w:w="36"/>
        <w:gridCol w:w="135"/>
        <w:gridCol w:w="925"/>
        <w:gridCol w:w="85"/>
        <w:gridCol w:w="36"/>
        <w:gridCol w:w="36"/>
        <w:gridCol w:w="36"/>
        <w:gridCol w:w="36"/>
        <w:gridCol w:w="36"/>
        <w:gridCol w:w="36"/>
        <w:gridCol w:w="36"/>
        <w:gridCol w:w="36"/>
        <w:gridCol w:w="36"/>
        <w:gridCol w:w="36"/>
        <w:gridCol w:w="36"/>
        <w:gridCol w:w="36"/>
      </w:tblGrid>
      <w:tr w:rsidR="00000000" w14:paraId="2EEA4453" w14:textId="77777777">
        <w:trPr>
          <w:gridAfter w:val="12"/>
          <w:divId w:val="302468260"/>
          <w:jc w:val="center"/>
        </w:trPr>
        <w:tc>
          <w:tcPr>
            <w:tcW w:w="50" w:type="pct"/>
            <w:vAlign w:val="center"/>
            <w:hideMark/>
          </w:tcPr>
          <w:p w14:paraId="30F28A45" w14:textId="77777777" w:rsidR="00000000" w:rsidRDefault="00195E73">
            <w:pPr>
              <w:ind w:firstLine="405"/>
              <w:rPr>
                <w:rFonts w:eastAsia="Times New Roman"/>
              </w:rPr>
            </w:pPr>
          </w:p>
        </w:tc>
        <w:tc>
          <w:tcPr>
            <w:tcW w:w="2627" w:type="pct"/>
            <w:vAlign w:val="center"/>
            <w:hideMark/>
          </w:tcPr>
          <w:p w14:paraId="63AF4305" w14:textId="77777777" w:rsidR="00000000" w:rsidRDefault="00195E73">
            <w:pPr>
              <w:rPr>
                <w:rFonts w:eastAsia="Times New Roman"/>
                <w:sz w:val="20"/>
                <w:szCs w:val="20"/>
              </w:rPr>
            </w:pPr>
          </w:p>
        </w:tc>
        <w:tc>
          <w:tcPr>
            <w:tcW w:w="50" w:type="pct"/>
            <w:vAlign w:val="center"/>
            <w:hideMark/>
          </w:tcPr>
          <w:p w14:paraId="55AAFB5F" w14:textId="77777777" w:rsidR="00000000" w:rsidRDefault="00195E73">
            <w:pPr>
              <w:rPr>
                <w:rFonts w:eastAsia="Times New Roman"/>
                <w:sz w:val="20"/>
                <w:szCs w:val="20"/>
              </w:rPr>
            </w:pPr>
          </w:p>
        </w:tc>
        <w:tc>
          <w:tcPr>
            <w:tcW w:w="50" w:type="pct"/>
            <w:vAlign w:val="center"/>
            <w:hideMark/>
          </w:tcPr>
          <w:p w14:paraId="1B7A3C36" w14:textId="77777777" w:rsidR="00000000" w:rsidRDefault="00195E73">
            <w:pPr>
              <w:rPr>
                <w:rFonts w:eastAsia="Times New Roman"/>
                <w:sz w:val="20"/>
                <w:szCs w:val="20"/>
              </w:rPr>
            </w:pPr>
          </w:p>
        </w:tc>
        <w:tc>
          <w:tcPr>
            <w:tcW w:w="633" w:type="pct"/>
            <w:vAlign w:val="center"/>
            <w:hideMark/>
          </w:tcPr>
          <w:p w14:paraId="3B64AF25" w14:textId="77777777" w:rsidR="00000000" w:rsidRDefault="00195E73">
            <w:pPr>
              <w:rPr>
                <w:rFonts w:eastAsia="Times New Roman"/>
                <w:sz w:val="20"/>
                <w:szCs w:val="20"/>
              </w:rPr>
            </w:pPr>
          </w:p>
        </w:tc>
        <w:tc>
          <w:tcPr>
            <w:tcW w:w="50" w:type="pct"/>
            <w:vAlign w:val="center"/>
            <w:hideMark/>
          </w:tcPr>
          <w:p w14:paraId="209FFBE1" w14:textId="77777777" w:rsidR="00000000" w:rsidRDefault="00195E73">
            <w:pPr>
              <w:rPr>
                <w:rFonts w:eastAsia="Times New Roman"/>
                <w:sz w:val="20"/>
                <w:szCs w:val="20"/>
              </w:rPr>
            </w:pPr>
          </w:p>
        </w:tc>
        <w:tc>
          <w:tcPr>
            <w:tcW w:w="5" w:type="pct"/>
            <w:vAlign w:val="center"/>
            <w:hideMark/>
          </w:tcPr>
          <w:p w14:paraId="348EAD9F" w14:textId="77777777" w:rsidR="00000000" w:rsidRDefault="00195E73">
            <w:pPr>
              <w:rPr>
                <w:rFonts w:eastAsia="Times New Roman"/>
                <w:sz w:val="20"/>
                <w:szCs w:val="20"/>
              </w:rPr>
            </w:pPr>
          </w:p>
        </w:tc>
        <w:tc>
          <w:tcPr>
            <w:tcW w:w="26" w:type="pct"/>
            <w:vAlign w:val="center"/>
            <w:hideMark/>
          </w:tcPr>
          <w:p w14:paraId="60A78028" w14:textId="77777777" w:rsidR="00000000" w:rsidRDefault="00195E73">
            <w:pPr>
              <w:rPr>
                <w:rFonts w:eastAsia="Times New Roman"/>
                <w:sz w:val="20"/>
                <w:szCs w:val="20"/>
              </w:rPr>
            </w:pPr>
          </w:p>
        </w:tc>
        <w:tc>
          <w:tcPr>
            <w:tcW w:w="5" w:type="pct"/>
            <w:vAlign w:val="center"/>
            <w:hideMark/>
          </w:tcPr>
          <w:p w14:paraId="14EC5EBE" w14:textId="77777777" w:rsidR="00000000" w:rsidRDefault="00195E73">
            <w:pPr>
              <w:rPr>
                <w:rFonts w:eastAsia="Times New Roman"/>
                <w:sz w:val="20"/>
                <w:szCs w:val="20"/>
              </w:rPr>
            </w:pPr>
          </w:p>
        </w:tc>
        <w:tc>
          <w:tcPr>
            <w:tcW w:w="50" w:type="pct"/>
            <w:vAlign w:val="center"/>
            <w:hideMark/>
          </w:tcPr>
          <w:p w14:paraId="4AFB5B31" w14:textId="77777777" w:rsidR="00000000" w:rsidRDefault="00195E73">
            <w:pPr>
              <w:rPr>
                <w:rFonts w:eastAsia="Times New Roman"/>
                <w:sz w:val="20"/>
                <w:szCs w:val="20"/>
              </w:rPr>
            </w:pPr>
          </w:p>
        </w:tc>
        <w:tc>
          <w:tcPr>
            <w:tcW w:w="633" w:type="pct"/>
            <w:vAlign w:val="center"/>
            <w:hideMark/>
          </w:tcPr>
          <w:p w14:paraId="27E63B2C" w14:textId="77777777" w:rsidR="00000000" w:rsidRDefault="00195E73">
            <w:pPr>
              <w:rPr>
                <w:rFonts w:eastAsia="Times New Roman"/>
                <w:sz w:val="20"/>
                <w:szCs w:val="20"/>
              </w:rPr>
            </w:pPr>
          </w:p>
        </w:tc>
        <w:tc>
          <w:tcPr>
            <w:tcW w:w="50" w:type="pct"/>
            <w:vAlign w:val="center"/>
            <w:hideMark/>
          </w:tcPr>
          <w:p w14:paraId="4678CEB1" w14:textId="77777777" w:rsidR="00000000" w:rsidRDefault="00195E73">
            <w:pPr>
              <w:rPr>
                <w:rFonts w:eastAsia="Times New Roman"/>
                <w:sz w:val="20"/>
                <w:szCs w:val="20"/>
              </w:rPr>
            </w:pPr>
          </w:p>
        </w:tc>
        <w:tc>
          <w:tcPr>
            <w:tcW w:w="5" w:type="pct"/>
            <w:vAlign w:val="center"/>
            <w:hideMark/>
          </w:tcPr>
          <w:p w14:paraId="239E2FA0" w14:textId="77777777" w:rsidR="00000000" w:rsidRDefault="00195E73">
            <w:pPr>
              <w:rPr>
                <w:rFonts w:eastAsia="Times New Roman"/>
                <w:sz w:val="20"/>
                <w:szCs w:val="20"/>
              </w:rPr>
            </w:pPr>
          </w:p>
        </w:tc>
        <w:tc>
          <w:tcPr>
            <w:tcW w:w="26" w:type="pct"/>
            <w:vAlign w:val="center"/>
            <w:hideMark/>
          </w:tcPr>
          <w:p w14:paraId="0695C001" w14:textId="77777777" w:rsidR="00000000" w:rsidRDefault="00195E73">
            <w:pPr>
              <w:rPr>
                <w:rFonts w:eastAsia="Times New Roman"/>
                <w:sz w:val="20"/>
                <w:szCs w:val="20"/>
              </w:rPr>
            </w:pPr>
          </w:p>
        </w:tc>
        <w:tc>
          <w:tcPr>
            <w:tcW w:w="5" w:type="pct"/>
            <w:vAlign w:val="center"/>
            <w:hideMark/>
          </w:tcPr>
          <w:p w14:paraId="39F3A6A7" w14:textId="77777777" w:rsidR="00000000" w:rsidRDefault="00195E73">
            <w:pPr>
              <w:rPr>
                <w:rFonts w:eastAsia="Times New Roman"/>
                <w:sz w:val="20"/>
                <w:szCs w:val="20"/>
              </w:rPr>
            </w:pPr>
          </w:p>
        </w:tc>
        <w:tc>
          <w:tcPr>
            <w:tcW w:w="50" w:type="pct"/>
            <w:vAlign w:val="center"/>
            <w:hideMark/>
          </w:tcPr>
          <w:p w14:paraId="534D28A9" w14:textId="77777777" w:rsidR="00000000" w:rsidRDefault="00195E73">
            <w:pPr>
              <w:rPr>
                <w:rFonts w:eastAsia="Times New Roman"/>
                <w:sz w:val="20"/>
                <w:szCs w:val="20"/>
              </w:rPr>
            </w:pPr>
          </w:p>
        </w:tc>
        <w:tc>
          <w:tcPr>
            <w:tcW w:w="633" w:type="pct"/>
            <w:vAlign w:val="center"/>
            <w:hideMark/>
          </w:tcPr>
          <w:p w14:paraId="521DCCFC" w14:textId="77777777" w:rsidR="00000000" w:rsidRDefault="00195E73">
            <w:pPr>
              <w:rPr>
                <w:rFonts w:eastAsia="Times New Roman"/>
                <w:sz w:val="20"/>
                <w:szCs w:val="20"/>
              </w:rPr>
            </w:pPr>
          </w:p>
        </w:tc>
        <w:tc>
          <w:tcPr>
            <w:tcW w:w="50" w:type="pct"/>
            <w:vAlign w:val="center"/>
            <w:hideMark/>
          </w:tcPr>
          <w:p w14:paraId="5C4DC779" w14:textId="77777777" w:rsidR="00000000" w:rsidRDefault="00195E73">
            <w:pPr>
              <w:rPr>
                <w:rFonts w:eastAsia="Times New Roman"/>
                <w:sz w:val="20"/>
                <w:szCs w:val="20"/>
              </w:rPr>
            </w:pPr>
          </w:p>
        </w:tc>
      </w:tr>
      <w:tr w:rsidR="00000000" w14:paraId="63FBA5AD" w14:textId="77777777">
        <w:trPr>
          <w:divId w:val="302468260"/>
          <w:jc w:val="center"/>
        </w:trPr>
        <w:tc>
          <w:tcPr>
            <w:tcW w:w="0" w:type="auto"/>
            <w:gridSpan w:val="3"/>
            <w:tcMar>
              <w:top w:w="15" w:type="dxa"/>
              <w:left w:w="20" w:type="dxa"/>
              <w:bottom w:w="15" w:type="dxa"/>
              <w:right w:w="20" w:type="dxa"/>
            </w:tcMar>
            <w:vAlign w:val="bottom"/>
            <w:hideMark/>
          </w:tcPr>
          <w:p w14:paraId="6C4BF60C"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392B18A8"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455DA6E5" w14:textId="77777777" w:rsidR="00000000" w:rsidRDefault="00195E73">
            <w:pPr>
              <w:jc w:val="center"/>
              <w:rPr>
                <w:rFonts w:eastAsia="Times New Roman"/>
              </w:rPr>
            </w:pPr>
          </w:p>
        </w:tc>
        <w:tc>
          <w:tcPr>
            <w:tcW w:w="0" w:type="auto"/>
            <w:gridSpan w:val="3"/>
            <w:vAlign w:val="center"/>
            <w:hideMark/>
          </w:tcPr>
          <w:p w14:paraId="34D86C12" w14:textId="77777777" w:rsidR="00000000" w:rsidRDefault="00195E73">
            <w:pPr>
              <w:rPr>
                <w:rFonts w:eastAsia="Times New Roman"/>
                <w:sz w:val="20"/>
                <w:szCs w:val="20"/>
              </w:rPr>
            </w:pPr>
          </w:p>
        </w:tc>
        <w:tc>
          <w:tcPr>
            <w:tcW w:w="0" w:type="auto"/>
            <w:gridSpan w:val="3"/>
            <w:vAlign w:val="center"/>
            <w:hideMark/>
          </w:tcPr>
          <w:p w14:paraId="6DB6AFF3" w14:textId="77777777" w:rsidR="00000000" w:rsidRDefault="00195E73">
            <w:pPr>
              <w:rPr>
                <w:rFonts w:eastAsia="Times New Roman"/>
                <w:sz w:val="20"/>
                <w:szCs w:val="20"/>
              </w:rPr>
            </w:pPr>
          </w:p>
        </w:tc>
        <w:tc>
          <w:tcPr>
            <w:tcW w:w="0" w:type="auto"/>
            <w:gridSpan w:val="3"/>
            <w:vAlign w:val="center"/>
            <w:hideMark/>
          </w:tcPr>
          <w:p w14:paraId="1488ED13" w14:textId="77777777" w:rsidR="00000000" w:rsidRDefault="00195E73">
            <w:pPr>
              <w:rPr>
                <w:rFonts w:eastAsia="Times New Roman"/>
                <w:sz w:val="20"/>
                <w:szCs w:val="20"/>
              </w:rPr>
            </w:pPr>
          </w:p>
        </w:tc>
      </w:tr>
      <w:tr w:rsidR="00000000" w14:paraId="644B6BDF" w14:textId="77777777">
        <w:trPr>
          <w:divId w:val="302468260"/>
          <w:jc w:val="center"/>
        </w:trPr>
        <w:tc>
          <w:tcPr>
            <w:tcW w:w="0" w:type="auto"/>
            <w:gridSpan w:val="3"/>
            <w:tcMar>
              <w:top w:w="30" w:type="dxa"/>
              <w:left w:w="20" w:type="dxa"/>
              <w:bottom w:w="30" w:type="dxa"/>
              <w:right w:w="20" w:type="dxa"/>
            </w:tcMar>
            <w:vAlign w:val="bottom"/>
            <w:hideMark/>
          </w:tcPr>
          <w:p w14:paraId="480FCB65" w14:textId="77777777" w:rsidR="00000000" w:rsidRDefault="00195E73">
            <w:pPr>
              <w:rPr>
                <w:rFonts w:eastAsia="Times New Roman"/>
              </w:rPr>
            </w:pPr>
            <w:r>
              <w:rPr>
                <w:rFonts w:eastAsia="Times New Roman"/>
                <w:b/>
                <w:bCs/>
                <w:color w:val="000000"/>
                <w:sz w:val="16"/>
                <w:szCs w:val="16"/>
              </w:rPr>
              <w:t> </w:t>
            </w: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20FAAA9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4B6F7F4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73B75E"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654E576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97CFF57"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1B5C610F" w14:textId="77777777" w:rsidR="00000000" w:rsidRDefault="00195E73">
            <w:pPr>
              <w:rPr>
                <w:rFonts w:eastAsia="Times New Roman"/>
                <w:sz w:val="20"/>
                <w:szCs w:val="20"/>
              </w:rPr>
            </w:pPr>
          </w:p>
        </w:tc>
        <w:tc>
          <w:tcPr>
            <w:tcW w:w="0" w:type="auto"/>
            <w:vAlign w:val="center"/>
            <w:hideMark/>
          </w:tcPr>
          <w:p w14:paraId="4204359F" w14:textId="77777777" w:rsidR="00000000" w:rsidRDefault="00195E73">
            <w:pPr>
              <w:rPr>
                <w:rFonts w:eastAsia="Times New Roman"/>
                <w:sz w:val="20"/>
                <w:szCs w:val="20"/>
              </w:rPr>
            </w:pPr>
          </w:p>
        </w:tc>
        <w:tc>
          <w:tcPr>
            <w:tcW w:w="0" w:type="auto"/>
            <w:vAlign w:val="center"/>
            <w:hideMark/>
          </w:tcPr>
          <w:p w14:paraId="3689DEF1" w14:textId="77777777" w:rsidR="00000000" w:rsidRDefault="00195E73">
            <w:pPr>
              <w:rPr>
                <w:rFonts w:eastAsia="Times New Roman"/>
                <w:sz w:val="20"/>
                <w:szCs w:val="20"/>
              </w:rPr>
            </w:pPr>
          </w:p>
        </w:tc>
        <w:tc>
          <w:tcPr>
            <w:tcW w:w="0" w:type="auto"/>
            <w:vAlign w:val="center"/>
            <w:hideMark/>
          </w:tcPr>
          <w:p w14:paraId="623A96A5" w14:textId="77777777" w:rsidR="00000000" w:rsidRDefault="00195E73">
            <w:pPr>
              <w:rPr>
                <w:rFonts w:eastAsia="Times New Roman"/>
                <w:sz w:val="20"/>
                <w:szCs w:val="20"/>
              </w:rPr>
            </w:pPr>
          </w:p>
        </w:tc>
        <w:tc>
          <w:tcPr>
            <w:tcW w:w="0" w:type="auto"/>
            <w:vAlign w:val="center"/>
            <w:hideMark/>
          </w:tcPr>
          <w:p w14:paraId="7CB222A3" w14:textId="77777777" w:rsidR="00000000" w:rsidRDefault="00195E73">
            <w:pPr>
              <w:rPr>
                <w:rFonts w:eastAsia="Times New Roman"/>
                <w:sz w:val="20"/>
                <w:szCs w:val="20"/>
              </w:rPr>
            </w:pPr>
          </w:p>
        </w:tc>
        <w:tc>
          <w:tcPr>
            <w:tcW w:w="0" w:type="auto"/>
            <w:vAlign w:val="center"/>
            <w:hideMark/>
          </w:tcPr>
          <w:p w14:paraId="58E7BA3B" w14:textId="77777777" w:rsidR="00000000" w:rsidRDefault="00195E73">
            <w:pPr>
              <w:rPr>
                <w:rFonts w:eastAsia="Times New Roman"/>
                <w:sz w:val="20"/>
                <w:szCs w:val="20"/>
              </w:rPr>
            </w:pPr>
          </w:p>
        </w:tc>
        <w:tc>
          <w:tcPr>
            <w:tcW w:w="0" w:type="auto"/>
            <w:vAlign w:val="center"/>
            <w:hideMark/>
          </w:tcPr>
          <w:p w14:paraId="4CE03C61" w14:textId="77777777" w:rsidR="00000000" w:rsidRDefault="00195E73">
            <w:pPr>
              <w:rPr>
                <w:rFonts w:eastAsia="Times New Roman"/>
                <w:sz w:val="20"/>
                <w:szCs w:val="20"/>
              </w:rPr>
            </w:pPr>
          </w:p>
        </w:tc>
        <w:tc>
          <w:tcPr>
            <w:tcW w:w="0" w:type="auto"/>
            <w:vAlign w:val="center"/>
            <w:hideMark/>
          </w:tcPr>
          <w:p w14:paraId="51793200" w14:textId="77777777" w:rsidR="00000000" w:rsidRDefault="00195E73">
            <w:pPr>
              <w:rPr>
                <w:rFonts w:eastAsia="Times New Roman"/>
                <w:sz w:val="20"/>
                <w:szCs w:val="20"/>
              </w:rPr>
            </w:pPr>
          </w:p>
        </w:tc>
        <w:tc>
          <w:tcPr>
            <w:tcW w:w="0" w:type="auto"/>
            <w:vAlign w:val="center"/>
            <w:hideMark/>
          </w:tcPr>
          <w:p w14:paraId="317FFEE5" w14:textId="77777777" w:rsidR="00000000" w:rsidRDefault="00195E73">
            <w:pPr>
              <w:rPr>
                <w:rFonts w:eastAsia="Times New Roman"/>
                <w:sz w:val="20"/>
                <w:szCs w:val="20"/>
              </w:rPr>
            </w:pPr>
          </w:p>
        </w:tc>
        <w:tc>
          <w:tcPr>
            <w:tcW w:w="0" w:type="auto"/>
            <w:vAlign w:val="center"/>
            <w:hideMark/>
          </w:tcPr>
          <w:p w14:paraId="16626951" w14:textId="77777777" w:rsidR="00000000" w:rsidRDefault="00195E73">
            <w:pPr>
              <w:rPr>
                <w:rFonts w:eastAsia="Times New Roman"/>
                <w:sz w:val="20"/>
                <w:szCs w:val="20"/>
              </w:rPr>
            </w:pPr>
          </w:p>
        </w:tc>
        <w:tc>
          <w:tcPr>
            <w:tcW w:w="0" w:type="auto"/>
            <w:vAlign w:val="center"/>
            <w:hideMark/>
          </w:tcPr>
          <w:p w14:paraId="586EFEE6" w14:textId="77777777" w:rsidR="00000000" w:rsidRDefault="00195E73">
            <w:pPr>
              <w:rPr>
                <w:rFonts w:eastAsia="Times New Roman"/>
                <w:sz w:val="20"/>
                <w:szCs w:val="20"/>
              </w:rPr>
            </w:pPr>
          </w:p>
        </w:tc>
        <w:tc>
          <w:tcPr>
            <w:tcW w:w="0" w:type="auto"/>
            <w:vAlign w:val="center"/>
            <w:hideMark/>
          </w:tcPr>
          <w:p w14:paraId="3535996B" w14:textId="77777777" w:rsidR="00000000" w:rsidRDefault="00195E73">
            <w:pPr>
              <w:rPr>
                <w:rFonts w:eastAsia="Times New Roman"/>
                <w:sz w:val="20"/>
                <w:szCs w:val="20"/>
              </w:rPr>
            </w:pPr>
          </w:p>
        </w:tc>
      </w:tr>
      <w:tr w:rsidR="00000000" w14:paraId="50BF1A08" w14:textId="77777777">
        <w:trPr>
          <w:divId w:val="302468260"/>
          <w:jc w:val="center"/>
        </w:trPr>
        <w:tc>
          <w:tcPr>
            <w:tcW w:w="0" w:type="auto"/>
            <w:gridSpan w:val="3"/>
            <w:tcMar>
              <w:top w:w="15" w:type="dxa"/>
              <w:left w:w="20" w:type="dxa"/>
              <w:bottom w:w="15" w:type="dxa"/>
              <w:right w:w="20" w:type="dxa"/>
            </w:tcMar>
            <w:vAlign w:val="bottom"/>
            <w:hideMark/>
          </w:tcPr>
          <w:p w14:paraId="3C762739" w14:textId="77777777" w:rsidR="00000000" w:rsidRDefault="00195E73">
            <w:pPr>
              <w:jc w:val="center"/>
              <w:rPr>
                <w:rFonts w:eastAsia="Times New Roman"/>
              </w:rPr>
            </w:pPr>
          </w:p>
        </w:tc>
        <w:tc>
          <w:tcPr>
            <w:tcW w:w="0" w:type="auto"/>
            <w:gridSpan w:val="14"/>
            <w:tcBorders>
              <w:top w:val="single" w:sz="8" w:space="0" w:color="000000"/>
            </w:tcBorders>
            <w:tcMar>
              <w:top w:w="30" w:type="dxa"/>
              <w:left w:w="20" w:type="dxa"/>
              <w:bottom w:w="30" w:type="dxa"/>
              <w:right w:w="0" w:type="dxa"/>
            </w:tcMar>
            <w:vAlign w:val="bottom"/>
            <w:hideMark/>
          </w:tcPr>
          <w:p w14:paraId="1BCB8E0D"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6B15421E"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299657FC" w14:textId="77777777" w:rsidR="00000000" w:rsidRDefault="00195E73">
            <w:pPr>
              <w:jc w:val="right"/>
              <w:rPr>
                <w:rFonts w:eastAsia="Times New Roman"/>
              </w:rPr>
            </w:pPr>
          </w:p>
        </w:tc>
        <w:tc>
          <w:tcPr>
            <w:tcW w:w="0" w:type="auto"/>
            <w:gridSpan w:val="3"/>
            <w:vAlign w:val="center"/>
            <w:hideMark/>
          </w:tcPr>
          <w:p w14:paraId="07BA255C" w14:textId="77777777" w:rsidR="00000000" w:rsidRDefault="00195E73">
            <w:pPr>
              <w:rPr>
                <w:rFonts w:eastAsia="Times New Roman"/>
                <w:sz w:val="20"/>
                <w:szCs w:val="20"/>
              </w:rPr>
            </w:pPr>
          </w:p>
        </w:tc>
        <w:tc>
          <w:tcPr>
            <w:tcW w:w="0" w:type="auto"/>
            <w:gridSpan w:val="3"/>
            <w:vAlign w:val="center"/>
            <w:hideMark/>
          </w:tcPr>
          <w:p w14:paraId="0B37E07D" w14:textId="77777777" w:rsidR="00000000" w:rsidRDefault="00195E73">
            <w:pPr>
              <w:rPr>
                <w:rFonts w:eastAsia="Times New Roman"/>
                <w:sz w:val="20"/>
                <w:szCs w:val="20"/>
              </w:rPr>
            </w:pPr>
          </w:p>
        </w:tc>
        <w:tc>
          <w:tcPr>
            <w:tcW w:w="0" w:type="auto"/>
            <w:gridSpan w:val="3"/>
            <w:vAlign w:val="center"/>
            <w:hideMark/>
          </w:tcPr>
          <w:p w14:paraId="79ABD95F" w14:textId="77777777" w:rsidR="00000000" w:rsidRDefault="00195E73">
            <w:pPr>
              <w:rPr>
                <w:rFonts w:eastAsia="Times New Roman"/>
                <w:sz w:val="20"/>
                <w:szCs w:val="20"/>
              </w:rPr>
            </w:pPr>
          </w:p>
        </w:tc>
      </w:tr>
      <w:tr w:rsidR="00000000" w14:paraId="1DC8D965" w14:textId="77777777">
        <w:trPr>
          <w:divId w:val="302468260"/>
          <w:jc w:val="center"/>
        </w:trPr>
        <w:tc>
          <w:tcPr>
            <w:tcW w:w="0" w:type="auto"/>
            <w:gridSpan w:val="3"/>
            <w:shd w:val="clear" w:color="auto" w:fill="CCEEFF"/>
            <w:tcMar>
              <w:top w:w="30" w:type="dxa"/>
              <w:left w:w="20" w:type="dxa"/>
              <w:bottom w:w="30" w:type="dxa"/>
              <w:right w:w="20" w:type="dxa"/>
            </w:tcMar>
            <w:vAlign w:val="bottom"/>
            <w:hideMark/>
          </w:tcPr>
          <w:p w14:paraId="4E567CF2" w14:textId="77777777" w:rsidR="00000000" w:rsidRDefault="00195E73">
            <w:pPr>
              <w:rPr>
                <w:rFonts w:eastAsia="Times New Roman"/>
              </w:rPr>
            </w:pPr>
            <w:r>
              <w:rPr>
                <w:rFonts w:eastAsia="Times New Roman"/>
                <w:color w:val="000000"/>
                <w:sz w:val="20"/>
                <w:szCs w:val="20"/>
              </w:rPr>
              <w:t xml:space="preserve">Balance at January </w:t>
            </w:r>
            <w:r>
              <w:rPr>
                <w:rFonts w:eastAsia="Times New Roman"/>
                <w:color w:val="000000"/>
                <w:sz w:val="20"/>
                <w:szCs w:val="20"/>
              </w:rPr>
              <w:t>1</w:t>
            </w:r>
          </w:p>
        </w:tc>
        <w:tc>
          <w:tcPr>
            <w:tcW w:w="0" w:type="auto"/>
            <w:shd w:val="clear" w:color="auto" w:fill="CCEEFF"/>
            <w:tcMar>
              <w:top w:w="30" w:type="dxa"/>
              <w:left w:w="20" w:type="dxa"/>
              <w:bottom w:w="30" w:type="dxa"/>
              <w:right w:w="15" w:type="dxa"/>
            </w:tcMar>
            <w:vAlign w:val="bottom"/>
            <w:hideMark/>
          </w:tcPr>
          <w:p w14:paraId="67043A2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8382677" w14:textId="77777777" w:rsidR="00000000" w:rsidRDefault="00195E73">
            <w:pPr>
              <w:jc w:val="right"/>
              <w:rPr>
                <w:rFonts w:eastAsia="Times New Roman"/>
              </w:rPr>
            </w:pPr>
            <w:r>
              <w:rPr>
                <w:rFonts w:eastAsia="Times New Roman"/>
                <w:color w:val="000000"/>
                <w:sz w:val="20"/>
                <w:szCs w:val="20"/>
              </w:rPr>
              <w:t>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D28687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623C70C6" w14:textId="77777777" w:rsidR="00000000" w:rsidRDefault="00195E73">
            <w:pPr>
              <w:jc w:val="center"/>
              <w:rPr>
                <w:rFonts w:eastAsia="Times New Roman"/>
              </w:rPr>
            </w:pPr>
            <w:r>
              <w:rPr>
                <w:rFonts w:eastAsia="Times New Roman"/>
                <w:color w:val="000000"/>
                <w:sz w:val="20"/>
                <w:szCs w:val="20"/>
              </w:rPr>
              <w:t> </w:t>
            </w:r>
          </w:p>
        </w:tc>
        <w:tc>
          <w:tcPr>
            <w:tcW w:w="0" w:type="auto"/>
            <w:shd w:val="clear" w:color="auto" w:fill="CCEEFF"/>
            <w:tcMar>
              <w:top w:w="30" w:type="dxa"/>
              <w:left w:w="20" w:type="dxa"/>
              <w:bottom w:w="30" w:type="dxa"/>
              <w:right w:w="15" w:type="dxa"/>
            </w:tcMar>
            <w:vAlign w:val="bottom"/>
            <w:hideMark/>
          </w:tcPr>
          <w:p w14:paraId="43BF4A1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C899532" w14:textId="77777777" w:rsidR="00000000" w:rsidRDefault="00195E73">
            <w:pPr>
              <w:jc w:val="right"/>
              <w:rPr>
                <w:rFonts w:eastAsia="Times New Roman"/>
              </w:rPr>
            </w:pPr>
            <w:r>
              <w:rPr>
                <w:rFonts w:eastAsia="Times New Roman"/>
                <w:color w:val="000000"/>
                <w:sz w:val="20"/>
                <w:szCs w:val="20"/>
              </w:rPr>
              <w:t>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52D4DE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16131766" w14:textId="77777777" w:rsidR="00000000" w:rsidRDefault="00195E73">
            <w:pPr>
              <w:jc w:val="center"/>
              <w:rPr>
                <w:rFonts w:eastAsia="Times New Roman"/>
              </w:rPr>
            </w:pPr>
            <w:r>
              <w:rPr>
                <w:rFonts w:eastAsia="Times New Roman"/>
                <w:color w:val="000000"/>
                <w:sz w:val="20"/>
                <w:szCs w:val="20"/>
              </w:rPr>
              <w:t> </w:t>
            </w:r>
          </w:p>
        </w:tc>
        <w:tc>
          <w:tcPr>
            <w:tcW w:w="0" w:type="auto"/>
            <w:shd w:val="clear" w:color="auto" w:fill="CCEEFF"/>
            <w:tcMar>
              <w:top w:w="30" w:type="dxa"/>
              <w:left w:w="20" w:type="dxa"/>
              <w:bottom w:w="30" w:type="dxa"/>
              <w:right w:w="15" w:type="dxa"/>
            </w:tcMar>
            <w:vAlign w:val="bottom"/>
            <w:hideMark/>
          </w:tcPr>
          <w:p w14:paraId="7575748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6043C08" w14:textId="77777777" w:rsidR="00000000" w:rsidRDefault="00195E73">
            <w:pPr>
              <w:jc w:val="right"/>
              <w:rPr>
                <w:rFonts w:eastAsia="Times New Roman"/>
              </w:rPr>
            </w:pPr>
            <w:r>
              <w:rPr>
                <w:rFonts w:eastAsia="Times New Roman"/>
                <w:color w:val="000000"/>
                <w:sz w:val="20"/>
                <w:szCs w:val="20"/>
              </w:rPr>
              <w:t>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B7FC26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F524F99" w14:textId="77777777" w:rsidR="00000000" w:rsidRDefault="00195E73">
            <w:pPr>
              <w:rPr>
                <w:rFonts w:eastAsia="Times New Roman"/>
                <w:sz w:val="20"/>
                <w:szCs w:val="20"/>
              </w:rPr>
            </w:pPr>
          </w:p>
        </w:tc>
        <w:tc>
          <w:tcPr>
            <w:tcW w:w="0" w:type="auto"/>
            <w:vAlign w:val="center"/>
            <w:hideMark/>
          </w:tcPr>
          <w:p w14:paraId="23C47A6C" w14:textId="77777777" w:rsidR="00000000" w:rsidRDefault="00195E73">
            <w:pPr>
              <w:rPr>
                <w:rFonts w:eastAsia="Times New Roman"/>
                <w:sz w:val="20"/>
                <w:szCs w:val="20"/>
              </w:rPr>
            </w:pPr>
          </w:p>
        </w:tc>
        <w:tc>
          <w:tcPr>
            <w:tcW w:w="0" w:type="auto"/>
            <w:vAlign w:val="center"/>
            <w:hideMark/>
          </w:tcPr>
          <w:p w14:paraId="439952E8" w14:textId="77777777" w:rsidR="00000000" w:rsidRDefault="00195E73">
            <w:pPr>
              <w:rPr>
                <w:rFonts w:eastAsia="Times New Roman"/>
                <w:sz w:val="20"/>
                <w:szCs w:val="20"/>
              </w:rPr>
            </w:pPr>
          </w:p>
        </w:tc>
        <w:tc>
          <w:tcPr>
            <w:tcW w:w="0" w:type="auto"/>
            <w:vAlign w:val="center"/>
            <w:hideMark/>
          </w:tcPr>
          <w:p w14:paraId="6C0E67AB" w14:textId="77777777" w:rsidR="00000000" w:rsidRDefault="00195E73">
            <w:pPr>
              <w:rPr>
                <w:rFonts w:eastAsia="Times New Roman"/>
                <w:sz w:val="20"/>
                <w:szCs w:val="20"/>
              </w:rPr>
            </w:pPr>
          </w:p>
        </w:tc>
        <w:tc>
          <w:tcPr>
            <w:tcW w:w="0" w:type="auto"/>
            <w:vAlign w:val="center"/>
            <w:hideMark/>
          </w:tcPr>
          <w:p w14:paraId="7FABFFB5" w14:textId="77777777" w:rsidR="00000000" w:rsidRDefault="00195E73">
            <w:pPr>
              <w:rPr>
                <w:rFonts w:eastAsia="Times New Roman"/>
                <w:sz w:val="20"/>
                <w:szCs w:val="20"/>
              </w:rPr>
            </w:pPr>
          </w:p>
        </w:tc>
        <w:tc>
          <w:tcPr>
            <w:tcW w:w="0" w:type="auto"/>
            <w:vAlign w:val="center"/>
            <w:hideMark/>
          </w:tcPr>
          <w:p w14:paraId="047DB4E0" w14:textId="77777777" w:rsidR="00000000" w:rsidRDefault="00195E73">
            <w:pPr>
              <w:rPr>
                <w:rFonts w:eastAsia="Times New Roman"/>
                <w:sz w:val="20"/>
                <w:szCs w:val="20"/>
              </w:rPr>
            </w:pPr>
          </w:p>
        </w:tc>
        <w:tc>
          <w:tcPr>
            <w:tcW w:w="0" w:type="auto"/>
            <w:vAlign w:val="center"/>
            <w:hideMark/>
          </w:tcPr>
          <w:p w14:paraId="65909B10" w14:textId="77777777" w:rsidR="00000000" w:rsidRDefault="00195E73">
            <w:pPr>
              <w:rPr>
                <w:rFonts w:eastAsia="Times New Roman"/>
                <w:sz w:val="20"/>
                <w:szCs w:val="20"/>
              </w:rPr>
            </w:pPr>
          </w:p>
        </w:tc>
        <w:tc>
          <w:tcPr>
            <w:tcW w:w="0" w:type="auto"/>
            <w:vAlign w:val="center"/>
            <w:hideMark/>
          </w:tcPr>
          <w:p w14:paraId="77999CA9" w14:textId="77777777" w:rsidR="00000000" w:rsidRDefault="00195E73">
            <w:pPr>
              <w:rPr>
                <w:rFonts w:eastAsia="Times New Roman"/>
                <w:sz w:val="20"/>
                <w:szCs w:val="20"/>
              </w:rPr>
            </w:pPr>
          </w:p>
        </w:tc>
        <w:tc>
          <w:tcPr>
            <w:tcW w:w="0" w:type="auto"/>
            <w:vAlign w:val="center"/>
            <w:hideMark/>
          </w:tcPr>
          <w:p w14:paraId="5B1BF628" w14:textId="77777777" w:rsidR="00000000" w:rsidRDefault="00195E73">
            <w:pPr>
              <w:rPr>
                <w:rFonts w:eastAsia="Times New Roman"/>
                <w:sz w:val="20"/>
                <w:szCs w:val="20"/>
              </w:rPr>
            </w:pPr>
          </w:p>
        </w:tc>
        <w:tc>
          <w:tcPr>
            <w:tcW w:w="0" w:type="auto"/>
            <w:vAlign w:val="center"/>
            <w:hideMark/>
          </w:tcPr>
          <w:p w14:paraId="5ABF329F" w14:textId="77777777" w:rsidR="00000000" w:rsidRDefault="00195E73">
            <w:pPr>
              <w:rPr>
                <w:rFonts w:eastAsia="Times New Roman"/>
                <w:sz w:val="20"/>
                <w:szCs w:val="20"/>
              </w:rPr>
            </w:pPr>
          </w:p>
        </w:tc>
        <w:tc>
          <w:tcPr>
            <w:tcW w:w="0" w:type="auto"/>
            <w:vAlign w:val="center"/>
            <w:hideMark/>
          </w:tcPr>
          <w:p w14:paraId="7405F2A6" w14:textId="77777777" w:rsidR="00000000" w:rsidRDefault="00195E73">
            <w:pPr>
              <w:rPr>
                <w:rFonts w:eastAsia="Times New Roman"/>
                <w:sz w:val="20"/>
                <w:szCs w:val="20"/>
              </w:rPr>
            </w:pPr>
          </w:p>
        </w:tc>
        <w:tc>
          <w:tcPr>
            <w:tcW w:w="0" w:type="auto"/>
            <w:vAlign w:val="center"/>
            <w:hideMark/>
          </w:tcPr>
          <w:p w14:paraId="233AB1EF" w14:textId="77777777" w:rsidR="00000000" w:rsidRDefault="00195E73">
            <w:pPr>
              <w:rPr>
                <w:rFonts w:eastAsia="Times New Roman"/>
                <w:sz w:val="20"/>
                <w:szCs w:val="20"/>
              </w:rPr>
            </w:pPr>
          </w:p>
        </w:tc>
      </w:tr>
      <w:tr w:rsidR="00000000" w14:paraId="7DE4A22E" w14:textId="77777777">
        <w:trPr>
          <w:divId w:val="302468260"/>
          <w:jc w:val="center"/>
        </w:trPr>
        <w:tc>
          <w:tcPr>
            <w:tcW w:w="0" w:type="auto"/>
            <w:gridSpan w:val="3"/>
            <w:shd w:val="clear" w:color="auto" w:fill="FFFFFF"/>
            <w:tcMar>
              <w:top w:w="30" w:type="dxa"/>
              <w:left w:w="180" w:type="dxa"/>
              <w:bottom w:w="30" w:type="dxa"/>
              <w:right w:w="20" w:type="dxa"/>
            </w:tcMar>
            <w:vAlign w:val="bottom"/>
            <w:hideMark/>
          </w:tcPr>
          <w:p w14:paraId="3D48BAAE" w14:textId="77777777" w:rsidR="00000000" w:rsidRDefault="00195E73">
            <w:pPr>
              <w:rPr>
                <w:rFonts w:eastAsia="Times New Roman"/>
              </w:rPr>
            </w:pPr>
            <w:r>
              <w:rPr>
                <w:rFonts w:eastAsia="Times New Roman"/>
                <w:color w:val="000000"/>
                <w:sz w:val="20"/>
                <w:szCs w:val="20"/>
              </w:rPr>
              <w:t>Addition based on tax positions related to the current yea</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2A2E6786"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146500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1178056A" w14:textId="77777777" w:rsidR="00000000" w:rsidRDefault="00195E73">
            <w:pPr>
              <w:jc w:val="center"/>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44747F2F"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440197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A1D0F6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E55003"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33B829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D0EC73C" w14:textId="77777777" w:rsidR="00000000" w:rsidRDefault="00195E73">
            <w:pPr>
              <w:rPr>
                <w:rFonts w:eastAsia="Times New Roman"/>
                <w:sz w:val="20"/>
                <w:szCs w:val="20"/>
              </w:rPr>
            </w:pPr>
          </w:p>
        </w:tc>
        <w:tc>
          <w:tcPr>
            <w:tcW w:w="0" w:type="auto"/>
            <w:vAlign w:val="center"/>
            <w:hideMark/>
          </w:tcPr>
          <w:p w14:paraId="0AFE087D" w14:textId="77777777" w:rsidR="00000000" w:rsidRDefault="00195E73">
            <w:pPr>
              <w:rPr>
                <w:rFonts w:eastAsia="Times New Roman"/>
                <w:sz w:val="20"/>
                <w:szCs w:val="20"/>
              </w:rPr>
            </w:pPr>
          </w:p>
        </w:tc>
        <w:tc>
          <w:tcPr>
            <w:tcW w:w="0" w:type="auto"/>
            <w:vAlign w:val="center"/>
            <w:hideMark/>
          </w:tcPr>
          <w:p w14:paraId="4E986605" w14:textId="77777777" w:rsidR="00000000" w:rsidRDefault="00195E73">
            <w:pPr>
              <w:rPr>
                <w:rFonts w:eastAsia="Times New Roman"/>
                <w:sz w:val="20"/>
                <w:szCs w:val="20"/>
              </w:rPr>
            </w:pPr>
          </w:p>
        </w:tc>
        <w:tc>
          <w:tcPr>
            <w:tcW w:w="0" w:type="auto"/>
            <w:vAlign w:val="center"/>
            <w:hideMark/>
          </w:tcPr>
          <w:p w14:paraId="478EBA03" w14:textId="77777777" w:rsidR="00000000" w:rsidRDefault="00195E73">
            <w:pPr>
              <w:rPr>
                <w:rFonts w:eastAsia="Times New Roman"/>
                <w:sz w:val="20"/>
                <w:szCs w:val="20"/>
              </w:rPr>
            </w:pPr>
          </w:p>
        </w:tc>
        <w:tc>
          <w:tcPr>
            <w:tcW w:w="0" w:type="auto"/>
            <w:vAlign w:val="center"/>
            <w:hideMark/>
          </w:tcPr>
          <w:p w14:paraId="4982EA05" w14:textId="77777777" w:rsidR="00000000" w:rsidRDefault="00195E73">
            <w:pPr>
              <w:rPr>
                <w:rFonts w:eastAsia="Times New Roman"/>
                <w:sz w:val="20"/>
                <w:szCs w:val="20"/>
              </w:rPr>
            </w:pPr>
          </w:p>
        </w:tc>
        <w:tc>
          <w:tcPr>
            <w:tcW w:w="0" w:type="auto"/>
            <w:vAlign w:val="center"/>
            <w:hideMark/>
          </w:tcPr>
          <w:p w14:paraId="3E588EFE" w14:textId="77777777" w:rsidR="00000000" w:rsidRDefault="00195E73">
            <w:pPr>
              <w:rPr>
                <w:rFonts w:eastAsia="Times New Roman"/>
                <w:sz w:val="20"/>
                <w:szCs w:val="20"/>
              </w:rPr>
            </w:pPr>
          </w:p>
        </w:tc>
        <w:tc>
          <w:tcPr>
            <w:tcW w:w="0" w:type="auto"/>
            <w:vAlign w:val="center"/>
            <w:hideMark/>
          </w:tcPr>
          <w:p w14:paraId="6672838F" w14:textId="77777777" w:rsidR="00000000" w:rsidRDefault="00195E73">
            <w:pPr>
              <w:rPr>
                <w:rFonts w:eastAsia="Times New Roman"/>
                <w:sz w:val="20"/>
                <w:szCs w:val="20"/>
              </w:rPr>
            </w:pPr>
          </w:p>
        </w:tc>
        <w:tc>
          <w:tcPr>
            <w:tcW w:w="0" w:type="auto"/>
            <w:vAlign w:val="center"/>
            <w:hideMark/>
          </w:tcPr>
          <w:p w14:paraId="522DE442" w14:textId="77777777" w:rsidR="00000000" w:rsidRDefault="00195E73">
            <w:pPr>
              <w:rPr>
                <w:rFonts w:eastAsia="Times New Roman"/>
                <w:sz w:val="20"/>
                <w:szCs w:val="20"/>
              </w:rPr>
            </w:pPr>
          </w:p>
        </w:tc>
        <w:tc>
          <w:tcPr>
            <w:tcW w:w="0" w:type="auto"/>
            <w:vAlign w:val="center"/>
            <w:hideMark/>
          </w:tcPr>
          <w:p w14:paraId="459A939D" w14:textId="77777777" w:rsidR="00000000" w:rsidRDefault="00195E73">
            <w:pPr>
              <w:rPr>
                <w:rFonts w:eastAsia="Times New Roman"/>
                <w:sz w:val="20"/>
                <w:szCs w:val="20"/>
              </w:rPr>
            </w:pPr>
          </w:p>
        </w:tc>
        <w:tc>
          <w:tcPr>
            <w:tcW w:w="0" w:type="auto"/>
            <w:vAlign w:val="center"/>
            <w:hideMark/>
          </w:tcPr>
          <w:p w14:paraId="561DCD7E" w14:textId="77777777" w:rsidR="00000000" w:rsidRDefault="00195E73">
            <w:pPr>
              <w:rPr>
                <w:rFonts w:eastAsia="Times New Roman"/>
                <w:sz w:val="20"/>
                <w:szCs w:val="20"/>
              </w:rPr>
            </w:pPr>
          </w:p>
        </w:tc>
        <w:tc>
          <w:tcPr>
            <w:tcW w:w="0" w:type="auto"/>
            <w:vAlign w:val="center"/>
            <w:hideMark/>
          </w:tcPr>
          <w:p w14:paraId="50614459" w14:textId="77777777" w:rsidR="00000000" w:rsidRDefault="00195E73">
            <w:pPr>
              <w:rPr>
                <w:rFonts w:eastAsia="Times New Roman"/>
                <w:sz w:val="20"/>
                <w:szCs w:val="20"/>
              </w:rPr>
            </w:pPr>
          </w:p>
        </w:tc>
        <w:tc>
          <w:tcPr>
            <w:tcW w:w="0" w:type="auto"/>
            <w:vAlign w:val="center"/>
            <w:hideMark/>
          </w:tcPr>
          <w:p w14:paraId="3E87E18D" w14:textId="77777777" w:rsidR="00000000" w:rsidRDefault="00195E73">
            <w:pPr>
              <w:rPr>
                <w:rFonts w:eastAsia="Times New Roman"/>
                <w:sz w:val="20"/>
                <w:szCs w:val="20"/>
              </w:rPr>
            </w:pPr>
          </w:p>
        </w:tc>
      </w:tr>
      <w:tr w:rsidR="00000000" w14:paraId="53A1BB3A" w14:textId="77777777">
        <w:trPr>
          <w:divId w:val="302468260"/>
          <w:jc w:val="center"/>
        </w:trPr>
        <w:tc>
          <w:tcPr>
            <w:tcW w:w="0" w:type="auto"/>
            <w:gridSpan w:val="3"/>
            <w:shd w:val="clear" w:color="auto" w:fill="CCEEFF"/>
            <w:tcMar>
              <w:top w:w="30" w:type="dxa"/>
              <w:left w:w="180" w:type="dxa"/>
              <w:bottom w:w="30" w:type="dxa"/>
              <w:right w:w="20" w:type="dxa"/>
            </w:tcMar>
            <w:vAlign w:val="bottom"/>
            <w:hideMark/>
          </w:tcPr>
          <w:p w14:paraId="472EB53F" w14:textId="77777777" w:rsidR="00000000" w:rsidRDefault="00195E73">
            <w:pPr>
              <w:rPr>
                <w:rFonts w:eastAsia="Times New Roman"/>
              </w:rPr>
            </w:pPr>
            <w:r>
              <w:rPr>
                <w:rFonts w:eastAsia="Times New Roman"/>
                <w:color w:val="000000"/>
                <w:sz w:val="20"/>
                <w:szCs w:val="20"/>
              </w:rPr>
              <w:t>Increase for tax positions of prior year</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5EC1983"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D9B987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45342FCB" w14:textId="77777777" w:rsidR="00000000" w:rsidRDefault="00195E73">
            <w:pPr>
              <w:jc w:val="center"/>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7E1A6B8A" w14:textId="77777777" w:rsidR="00000000" w:rsidRDefault="00195E73">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69C837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D6B7F0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F649B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6763D6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11E8F67" w14:textId="77777777" w:rsidR="00000000" w:rsidRDefault="00195E73">
            <w:pPr>
              <w:rPr>
                <w:rFonts w:eastAsia="Times New Roman"/>
                <w:sz w:val="20"/>
                <w:szCs w:val="20"/>
              </w:rPr>
            </w:pPr>
          </w:p>
        </w:tc>
        <w:tc>
          <w:tcPr>
            <w:tcW w:w="0" w:type="auto"/>
            <w:vAlign w:val="center"/>
            <w:hideMark/>
          </w:tcPr>
          <w:p w14:paraId="1C704D58" w14:textId="77777777" w:rsidR="00000000" w:rsidRDefault="00195E73">
            <w:pPr>
              <w:rPr>
                <w:rFonts w:eastAsia="Times New Roman"/>
                <w:sz w:val="20"/>
                <w:szCs w:val="20"/>
              </w:rPr>
            </w:pPr>
          </w:p>
        </w:tc>
        <w:tc>
          <w:tcPr>
            <w:tcW w:w="0" w:type="auto"/>
            <w:vAlign w:val="center"/>
            <w:hideMark/>
          </w:tcPr>
          <w:p w14:paraId="1B53E42A" w14:textId="77777777" w:rsidR="00000000" w:rsidRDefault="00195E73">
            <w:pPr>
              <w:rPr>
                <w:rFonts w:eastAsia="Times New Roman"/>
                <w:sz w:val="20"/>
                <w:szCs w:val="20"/>
              </w:rPr>
            </w:pPr>
          </w:p>
        </w:tc>
        <w:tc>
          <w:tcPr>
            <w:tcW w:w="0" w:type="auto"/>
            <w:vAlign w:val="center"/>
            <w:hideMark/>
          </w:tcPr>
          <w:p w14:paraId="7C64E5C3" w14:textId="77777777" w:rsidR="00000000" w:rsidRDefault="00195E73">
            <w:pPr>
              <w:rPr>
                <w:rFonts w:eastAsia="Times New Roman"/>
                <w:sz w:val="20"/>
                <w:szCs w:val="20"/>
              </w:rPr>
            </w:pPr>
          </w:p>
        </w:tc>
        <w:tc>
          <w:tcPr>
            <w:tcW w:w="0" w:type="auto"/>
            <w:vAlign w:val="center"/>
            <w:hideMark/>
          </w:tcPr>
          <w:p w14:paraId="45CF671F" w14:textId="77777777" w:rsidR="00000000" w:rsidRDefault="00195E73">
            <w:pPr>
              <w:rPr>
                <w:rFonts w:eastAsia="Times New Roman"/>
                <w:sz w:val="20"/>
                <w:szCs w:val="20"/>
              </w:rPr>
            </w:pPr>
          </w:p>
        </w:tc>
        <w:tc>
          <w:tcPr>
            <w:tcW w:w="0" w:type="auto"/>
            <w:vAlign w:val="center"/>
            <w:hideMark/>
          </w:tcPr>
          <w:p w14:paraId="40B3DEB6" w14:textId="77777777" w:rsidR="00000000" w:rsidRDefault="00195E73">
            <w:pPr>
              <w:rPr>
                <w:rFonts w:eastAsia="Times New Roman"/>
                <w:sz w:val="20"/>
                <w:szCs w:val="20"/>
              </w:rPr>
            </w:pPr>
          </w:p>
        </w:tc>
        <w:tc>
          <w:tcPr>
            <w:tcW w:w="0" w:type="auto"/>
            <w:vAlign w:val="center"/>
            <w:hideMark/>
          </w:tcPr>
          <w:p w14:paraId="4F73CCC6" w14:textId="77777777" w:rsidR="00000000" w:rsidRDefault="00195E73">
            <w:pPr>
              <w:rPr>
                <w:rFonts w:eastAsia="Times New Roman"/>
                <w:sz w:val="20"/>
                <w:szCs w:val="20"/>
              </w:rPr>
            </w:pPr>
          </w:p>
        </w:tc>
        <w:tc>
          <w:tcPr>
            <w:tcW w:w="0" w:type="auto"/>
            <w:vAlign w:val="center"/>
            <w:hideMark/>
          </w:tcPr>
          <w:p w14:paraId="2883ADE9" w14:textId="77777777" w:rsidR="00000000" w:rsidRDefault="00195E73">
            <w:pPr>
              <w:rPr>
                <w:rFonts w:eastAsia="Times New Roman"/>
                <w:sz w:val="20"/>
                <w:szCs w:val="20"/>
              </w:rPr>
            </w:pPr>
          </w:p>
        </w:tc>
        <w:tc>
          <w:tcPr>
            <w:tcW w:w="0" w:type="auto"/>
            <w:vAlign w:val="center"/>
            <w:hideMark/>
          </w:tcPr>
          <w:p w14:paraId="5EB37F49" w14:textId="77777777" w:rsidR="00000000" w:rsidRDefault="00195E73">
            <w:pPr>
              <w:rPr>
                <w:rFonts w:eastAsia="Times New Roman"/>
                <w:sz w:val="20"/>
                <w:szCs w:val="20"/>
              </w:rPr>
            </w:pPr>
          </w:p>
        </w:tc>
        <w:tc>
          <w:tcPr>
            <w:tcW w:w="0" w:type="auto"/>
            <w:vAlign w:val="center"/>
            <w:hideMark/>
          </w:tcPr>
          <w:p w14:paraId="272703D7" w14:textId="77777777" w:rsidR="00000000" w:rsidRDefault="00195E73">
            <w:pPr>
              <w:rPr>
                <w:rFonts w:eastAsia="Times New Roman"/>
                <w:sz w:val="20"/>
                <w:szCs w:val="20"/>
              </w:rPr>
            </w:pPr>
          </w:p>
        </w:tc>
        <w:tc>
          <w:tcPr>
            <w:tcW w:w="0" w:type="auto"/>
            <w:vAlign w:val="center"/>
            <w:hideMark/>
          </w:tcPr>
          <w:p w14:paraId="1ECB0D4C" w14:textId="77777777" w:rsidR="00000000" w:rsidRDefault="00195E73">
            <w:pPr>
              <w:rPr>
                <w:rFonts w:eastAsia="Times New Roman"/>
                <w:sz w:val="20"/>
                <w:szCs w:val="20"/>
              </w:rPr>
            </w:pPr>
          </w:p>
        </w:tc>
        <w:tc>
          <w:tcPr>
            <w:tcW w:w="0" w:type="auto"/>
            <w:vAlign w:val="center"/>
            <w:hideMark/>
          </w:tcPr>
          <w:p w14:paraId="6EC9ED4E" w14:textId="77777777" w:rsidR="00000000" w:rsidRDefault="00195E73">
            <w:pPr>
              <w:rPr>
                <w:rFonts w:eastAsia="Times New Roman"/>
                <w:sz w:val="20"/>
                <w:szCs w:val="20"/>
              </w:rPr>
            </w:pPr>
          </w:p>
        </w:tc>
      </w:tr>
      <w:tr w:rsidR="00000000" w14:paraId="77295D84" w14:textId="77777777">
        <w:trPr>
          <w:divId w:val="302468260"/>
          <w:jc w:val="center"/>
        </w:trPr>
        <w:tc>
          <w:tcPr>
            <w:tcW w:w="0" w:type="auto"/>
            <w:gridSpan w:val="3"/>
            <w:shd w:val="clear" w:color="auto" w:fill="FFFFFF"/>
            <w:tcMar>
              <w:top w:w="30" w:type="dxa"/>
              <w:left w:w="180" w:type="dxa"/>
              <w:bottom w:w="30" w:type="dxa"/>
              <w:right w:w="20" w:type="dxa"/>
            </w:tcMar>
            <w:vAlign w:val="bottom"/>
            <w:hideMark/>
          </w:tcPr>
          <w:p w14:paraId="7E987D81" w14:textId="77777777" w:rsidR="00000000" w:rsidRDefault="00195E73">
            <w:pPr>
              <w:rPr>
                <w:rFonts w:eastAsia="Times New Roman"/>
              </w:rPr>
            </w:pPr>
            <w:r>
              <w:rPr>
                <w:rFonts w:eastAsia="Times New Roman"/>
                <w:color w:val="000000"/>
                <w:sz w:val="20"/>
                <w:szCs w:val="20"/>
              </w:rPr>
              <w:t>Decrease for tax positions of prior year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B13AB1C"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C9824B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73C56E9F" w14:textId="77777777" w:rsidR="00000000" w:rsidRDefault="00195E73">
            <w:pPr>
              <w:jc w:val="center"/>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7831CA8F"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934D97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B86A9E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2FF0CF"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236078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DCC513C" w14:textId="77777777" w:rsidR="00000000" w:rsidRDefault="00195E73">
            <w:pPr>
              <w:rPr>
                <w:rFonts w:eastAsia="Times New Roman"/>
                <w:sz w:val="20"/>
                <w:szCs w:val="20"/>
              </w:rPr>
            </w:pPr>
          </w:p>
        </w:tc>
        <w:tc>
          <w:tcPr>
            <w:tcW w:w="0" w:type="auto"/>
            <w:vAlign w:val="center"/>
            <w:hideMark/>
          </w:tcPr>
          <w:p w14:paraId="225560A9" w14:textId="77777777" w:rsidR="00000000" w:rsidRDefault="00195E73">
            <w:pPr>
              <w:rPr>
                <w:rFonts w:eastAsia="Times New Roman"/>
                <w:sz w:val="20"/>
                <w:szCs w:val="20"/>
              </w:rPr>
            </w:pPr>
          </w:p>
        </w:tc>
        <w:tc>
          <w:tcPr>
            <w:tcW w:w="0" w:type="auto"/>
            <w:vAlign w:val="center"/>
            <w:hideMark/>
          </w:tcPr>
          <w:p w14:paraId="406A0298" w14:textId="77777777" w:rsidR="00000000" w:rsidRDefault="00195E73">
            <w:pPr>
              <w:rPr>
                <w:rFonts w:eastAsia="Times New Roman"/>
                <w:sz w:val="20"/>
                <w:szCs w:val="20"/>
              </w:rPr>
            </w:pPr>
          </w:p>
        </w:tc>
        <w:tc>
          <w:tcPr>
            <w:tcW w:w="0" w:type="auto"/>
            <w:vAlign w:val="center"/>
            <w:hideMark/>
          </w:tcPr>
          <w:p w14:paraId="3DF25AD5" w14:textId="77777777" w:rsidR="00000000" w:rsidRDefault="00195E73">
            <w:pPr>
              <w:rPr>
                <w:rFonts w:eastAsia="Times New Roman"/>
                <w:sz w:val="20"/>
                <w:szCs w:val="20"/>
              </w:rPr>
            </w:pPr>
          </w:p>
        </w:tc>
        <w:tc>
          <w:tcPr>
            <w:tcW w:w="0" w:type="auto"/>
            <w:vAlign w:val="center"/>
            <w:hideMark/>
          </w:tcPr>
          <w:p w14:paraId="15938083" w14:textId="77777777" w:rsidR="00000000" w:rsidRDefault="00195E73">
            <w:pPr>
              <w:rPr>
                <w:rFonts w:eastAsia="Times New Roman"/>
                <w:sz w:val="20"/>
                <w:szCs w:val="20"/>
              </w:rPr>
            </w:pPr>
          </w:p>
        </w:tc>
        <w:tc>
          <w:tcPr>
            <w:tcW w:w="0" w:type="auto"/>
            <w:vAlign w:val="center"/>
            <w:hideMark/>
          </w:tcPr>
          <w:p w14:paraId="56B5E0FA" w14:textId="77777777" w:rsidR="00000000" w:rsidRDefault="00195E73">
            <w:pPr>
              <w:rPr>
                <w:rFonts w:eastAsia="Times New Roman"/>
                <w:sz w:val="20"/>
                <w:szCs w:val="20"/>
              </w:rPr>
            </w:pPr>
          </w:p>
        </w:tc>
        <w:tc>
          <w:tcPr>
            <w:tcW w:w="0" w:type="auto"/>
            <w:vAlign w:val="center"/>
            <w:hideMark/>
          </w:tcPr>
          <w:p w14:paraId="1A84CA4A" w14:textId="77777777" w:rsidR="00000000" w:rsidRDefault="00195E73">
            <w:pPr>
              <w:rPr>
                <w:rFonts w:eastAsia="Times New Roman"/>
                <w:sz w:val="20"/>
                <w:szCs w:val="20"/>
              </w:rPr>
            </w:pPr>
          </w:p>
        </w:tc>
        <w:tc>
          <w:tcPr>
            <w:tcW w:w="0" w:type="auto"/>
            <w:vAlign w:val="center"/>
            <w:hideMark/>
          </w:tcPr>
          <w:p w14:paraId="735128D6" w14:textId="77777777" w:rsidR="00000000" w:rsidRDefault="00195E73">
            <w:pPr>
              <w:rPr>
                <w:rFonts w:eastAsia="Times New Roman"/>
                <w:sz w:val="20"/>
                <w:szCs w:val="20"/>
              </w:rPr>
            </w:pPr>
          </w:p>
        </w:tc>
        <w:tc>
          <w:tcPr>
            <w:tcW w:w="0" w:type="auto"/>
            <w:vAlign w:val="center"/>
            <w:hideMark/>
          </w:tcPr>
          <w:p w14:paraId="0B987D2D" w14:textId="77777777" w:rsidR="00000000" w:rsidRDefault="00195E73">
            <w:pPr>
              <w:rPr>
                <w:rFonts w:eastAsia="Times New Roman"/>
                <w:sz w:val="20"/>
                <w:szCs w:val="20"/>
              </w:rPr>
            </w:pPr>
          </w:p>
        </w:tc>
        <w:tc>
          <w:tcPr>
            <w:tcW w:w="0" w:type="auto"/>
            <w:vAlign w:val="center"/>
            <w:hideMark/>
          </w:tcPr>
          <w:p w14:paraId="7406DC52" w14:textId="77777777" w:rsidR="00000000" w:rsidRDefault="00195E73">
            <w:pPr>
              <w:rPr>
                <w:rFonts w:eastAsia="Times New Roman"/>
                <w:sz w:val="20"/>
                <w:szCs w:val="20"/>
              </w:rPr>
            </w:pPr>
          </w:p>
        </w:tc>
        <w:tc>
          <w:tcPr>
            <w:tcW w:w="0" w:type="auto"/>
            <w:vAlign w:val="center"/>
            <w:hideMark/>
          </w:tcPr>
          <w:p w14:paraId="463F1FBD" w14:textId="77777777" w:rsidR="00000000" w:rsidRDefault="00195E73">
            <w:pPr>
              <w:rPr>
                <w:rFonts w:eastAsia="Times New Roman"/>
                <w:sz w:val="20"/>
                <w:szCs w:val="20"/>
              </w:rPr>
            </w:pPr>
          </w:p>
        </w:tc>
        <w:tc>
          <w:tcPr>
            <w:tcW w:w="0" w:type="auto"/>
            <w:vAlign w:val="center"/>
            <w:hideMark/>
          </w:tcPr>
          <w:p w14:paraId="7EB16980" w14:textId="77777777" w:rsidR="00000000" w:rsidRDefault="00195E73">
            <w:pPr>
              <w:rPr>
                <w:rFonts w:eastAsia="Times New Roman"/>
                <w:sz w:val="20"/>
                <w:szCs w:val="20"/>
              </w:rPr>
            </w:pPr>
          </w:p>
        </w:tc>
      </w:tr>
      <w:tr w:rsidR="00000000" w14:paraId="35E8282D" w14:textId="77777777">
        <w:trPr>
          <w:divId w:val="302468260"/>
          <w:jc w:val="center"/>
        </w:trPr>
        <w:tc>
          <w:tcPr>
            <w:tcW w:w="0" w:type="auto"/>
            <w:gridSpan w:val="3"/>
            <w:shd w:val="clear" w:color="auto" w:fill="CCEEFF"/>
            <w:tcMar>
              <w:top w:w="30" w:type="dxa"/>
              <w:left w:w="180" w:type="dxa"/>
              <w:bottom w:w="30" w:type="dxa"/>
              <w:right w:w="20" w:type="dxa"/>
            </w:tcMar>
            <w:vAlign w:val="bottom"/>
            <w:hideMark/>
          </w:tcPr>
          <w:p w14:paraId="08F58146" w14:textId="77777777" w:rsidR="00000000" w:rsidRDefault="00195E73">
            <w:pPr>
              <w:rPr>
                <w:rFonts w:eastAsia="Times New Roman"/>
              </w:rPr>
            </w:pPr>
            <w:r>
              <w:rPr>
                <w:rFonts w:eastAsia="Times New Roman"/>
                <w:color w:val="000000"/>
                <w:sz w:val="20"/>
                <w:szCs w:val="20"/>
              </w:rPr>
              <w:t>Decrease for statute of limitation expiratio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4D6D18B2"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D593C5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136C504A" w14:textId="77777777" w:rsidR="00000000" w:rsidRDefault="00195E73">
            <w:pPr>
              <w:jc w:val="center"/>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3D50DE68" w14:textId="77777777" w:rsidR="00000000" w:rsidRDefault="00195E73">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271061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04413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464A59" w14:textId="77777777" w:rsidR="00000000" w:rsidRDefault="00195E73">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69F05B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DABC921" w14:textId="77777777" w:rsidR="00000000" w:rsidRDefault="00195E73">
            <w:pPr>
              <w:rPr>
                <w:rFonts w:eastAsia="Times New Roman"/>
                <w:sz w:val="20"/>
                <w:szCs w:val="20"/>
              </w:rPr>
            </w:pPr>
          </w:p>
        </w:tc>
        <w:tc>
          <w:tcPr>
            <w:tcW w:w="0" w:type="auto"/>
            <w:vAlign w:val="center"/>
            <w:hideMark/>
          </w:tcPr>
          <w:p w14:paraId="124FA393" w14:textId="77777777" w:rsidR="00000000" w:rsidRDefault="00195E73">
            <w:pPr>
              <w:rPr>
                <w:rFonts w:eastAsia="Times New Roman"/>
                <w:sz w:val="20"/>
                <w:szCs w:val="20"/>
              </w:rPr>
            </w:pPr>
          </w:p>
        </w:tc>
        <w:tc>
          <w:tcPr>
            <w:tcW w:w="0" w:type="auto"/>
            <w:vAlign w:val="center"/>
            <w:hideMark/>
          </w:tcPr>
          <w:p w14:paraId="1442F4CE" w14:textId="77777777" w:rsidR="00000000" w:rsidRDefault="00195E73">
            <w:pPr>
              <w:rPr>
                <w:rFonts w:eastAsia="Times New Roman"/>
                <w:sz w:val="20"/>
                <w:szCs w:val="20"/>
              </w:rPr>
            </w:pPr>
          </w:p>
        </w:tc>
        <w:tc>
          <w:tcPr>
            <w:tcW w:w="0" w:type="auto"/>
            <w:vAlign w:val="center"/>
            <w:hideMark/>
          </w:tcPr>
          <w:p w14:paraId="67B6315D" w14:textId="77777777" w:rsidR="00000000" w:rsidRDefault="00195E73">
            <w:pPr>
              <w:rPr>
                <w:rFonts w:eastAsia="Times New Roman"/>
                <w:sz w:val="20"/>
                <w:szCs w:val="20"/>
              </w:rPr>
            </w:pPr>
          </w:p>
        </w:tc>
        <w:tc>
          <w:tcPr>
            <w:tcW w:w="0" w:type="auto"/>
            <w:vAlign w:val="center"/>
            <w:hideMark/>
          </w:tcPr>
          <w:p w14:paraId="5390B545" w14:textId="77777777" w:rsidR="00000000" w:rsidRDefault="00195E73">
            <w:pPr>
              <w:rPr>
                <w:rFonts w:eastAsia="Times New Roman"/>
                <w:sz w:val="20"/>
                <w:szCs w:val="20"/>
              </w:rPr>
            </w:pPr>
          </w:p>
        </w:tc>
        <w:tc>
          <w:tcPr>
            <w:tcW w:w="0" w:type="auto"/>
            <w:vAlign w:val="center"/>
            <w:hideMark/>
          </w:tcPr>
          <w:p w14:paraId="7186F4E6" w14:textId="77777777" w:rsidR="00000000" w:rsidRDefault="00195E73">
            <w:pPr>
              <w:rPr>
                <w:rFonts w:eastAsia="Times New Roman"/>
                <w:sz w:val="20"/>
                <w:szCs w:val="20"/>
              </w:rPr>
            </w:pPr>
          </w:p>
        </w:tc>
        <w:tc>
          <w:tcPr>
            <w:tcW w:w="0" w:type="auto"/>
            <w:vAlign w:val="center"/>
            <w:hideMark/>
          </w:tcPr>
          <w:p w14:paraId="616E1DC7" w14:textId="77777777" w:rsidR="00000000" w:rsidRDefault="00195E73">
            <w:pPr>
              <w:rPr>
                <w:rFonts w:eastAsia="Times New Roman"/>
                <w:sz w:val="20"/>
                <w:szCs w:val="20"/>
              </w:rPr>
            </w:pPr>
          </w:p>
        </w:tc>
        <w:tc>
          <w:tcPr>
            <w:tcW w:w="0" w:type="auto"/>
            <w:vAlign w:val="center"/>
            <w:hideMark/>
          </w:tcPr>
          <w:p w14:paraId="58794FCE" w14:textId="77777777" w:rsidR="00000000" w:rsidRDefault="00195E73">
            <w:pPr>
              <w:rPr>
                <w:rFonts w:eastAsia="Times New Roman"/>
                <w:sz w:val="20"/>
                <w:szCs w:val="20"/>
              </w:rPr>
            </w:pPr>
          </w:p>
        </w:tc>
        <w:tc>
          <w:tcPr>
            <w:tcW w:w="0" w:type="auto"/>
            <w:vAlign w:val="center"/>
            <w:hideMark/>
          </w:tcPr>
          <w:p w14:paraId="40F77CFC" w14:textId="77777777" w:rsidR="00000000" w:rsidRDefault="00195E73">
            <w:pPr>
              <w:rPr>
                <w:rFonts w:eastAsia="Times New Roman"/>
                <w:sz w:val="20"/>
                <w:szCs w:val="20"/>
              </w:rPr>
            </w:pPr>
          </w:p>
        </w:tc>
        <w:tc>
          <w:tcPr>
            <w:tcW w:w="0" w:type="auto"/>
            <w:vAlign w:val="center"/>
            <w:hideMark/>
          </w:tcPr>
          <w:p w14:paraId="71829FA4" w14:textId="77777777" w:rsidR="00000000" w:rsidRDefault="00195E73">
            <w:pPr>
              <w:rPr>
                <w:rFonts w:eastAsia="Times New Roman"/>
                <w:sz w:val="20"/>
                <w:szCs w:val="20"/>
              </w:rPr>
            </w:pPr>
          </w:p>
        </w:tc>
        <w:tc>
          <w:tcPr>
            <w:tcW w:w="0" w:type="auto"/>
            <w:vAlign w:val="center"/>
            <w:hideMark/>
          </w:tcPr>
          <w:p w14:paraId="3B335D73" w14:textId="77777777" w:rsidR="00000000" w:rsidRDefault="00195E73">
            <w:pPr>
              <w:rPr>
                <w:rFonts w:eastAsia="Times New Roman"/>
                <w:sz w:val="20"/>
                <w:szCs w:val="20"/>
              </w:rPr>
            </w:pPr>
          </w:p>
        </w:tc>
        <w:tc>
          <w:tcPr>
            <w:tcW w:w="0" w:type="auto"/>
            <w:vAlign w:val="center"/>
            <w:hideMark/>
          </w:tcPr>
          <w:p w14:paraId="3C94DCD2" w14:textId="77777777" w:rsidR="00000000" w:rsidRDefault="00195E73">
            <w:pPr>
              <w:rPr>
                <w:rFonts w:eastAsia="Times New Roman"/>
                <w:sz w:val="20"/>
                <w:szCs w:val="20"/>
              </w:rPr>
            </w:pPr>
          </w:p>
        </w:tc>
      </w:tr>
      <w:tr w:rsidR="00000000" w14:paraId="00A52F6C" w14:textId="77777777">
        <w:trPr>
          <w:divId w:val="302468260"/>
          <w:jc w:val="center"/>
        </w:trPr>
        <w:tc>
          <w:tcPr>
            <w:tcW w:w="0" w:type="auto"/>
            <w:gridSpan w:val="3"/>
            <w:tcBorders>
              <w:bottom w:val="double" w:sz="6" w:space="0" w:color="FFFFFF"/>
            </w:tcBorders>
            <w:shd w:val="clear" w:color="auto" w:fill="FFFFFF"/>
            <w:tcMar>
              <w:top w:w="30" w:type="dxa"/>
              <w:left w:w="20" w:type="dxa"/>
              <w:bottom w:w="30" w:type="dxa"/>
              <w:right w:w="20" w:type="dxa"/>
            </w:tcMar>
            <w:vAlign w:val="bottom"/>
            <w:hideMark/>
          </w:tcPr>
          <w:p w14:paraId="265A0F8E" w14:textId="77777777" w:rsidR="00000000" w:rsidRDefault="00195E73">
            <w:pPr>
              <w:rPr>
                <w:rFonts w:eastAsia="Times New Roman"/>
              </w:rPr>
            </w:pPr>
            <w:r>
              <w:rPr>
                <w:rFonts w:eastAsia="Times New Roman"/>
                <w:color w:val="000000"/>
                <w:sz w:val="20"/>
                <w:szCs w:val="20"/>
              </w:rPr>
              <w:t>Balance at December 3</w:t>
            </w:r>
            <w:r>
              <w:rPr>
                <w:rFonts w:eastAsia="Times New Roman"/>
                <w:color w:val="000000"/>
                <w:sz w:val="20"/>
                <w:szCs w:val="20"/>
              </w:rPr>
              <w:t>1</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8137FD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4F1B6ED5" w14:textId="77777777" w:rsidR="00000000" w:rsidRDefault="00195E73">
            <w:pPr>
              <w:jc w:val="right"/>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A77CF85" w14:textId="77777777" w:rsidR="00000000" w:rsidRDefault="00195E73">
            <w:pPr>
              <w:jc w:val="right"/>
              <w:rPr>
                <w:rFonts w:eastAsia="Times New Roman"/>
              </w:rPr>
            </w:pPr>
            <w:r>
              <w:rPr>
                <w:rFonts w:eastAsia="Times New Roman"/>
                <w:color w:val="000000"/>
                <w:sz w:val="20"/>
                <w:szCs w:val="20"/>
              </w:rPr>
              <w:t> </w:t>
            </w:r>
          </w:p>
        </w:tc>
        <w:tc>
          <w:tcPr>
            <w:tcW w:w="0" w:type="auto"/>
            <w:gridSpan w:val="3"/>
            <w:tcBorders>
              <w:bottom w:val="double" w:sz="6" w:space="0" w:color="FFFFFF"/>
            </w:tcBorders>
            <w:shd w:val="clear" w:color="auto" w:fill="FFFFFF"/>
            <w:tcMar>
              <w:top w:w="30" w:type="dxa"/>
              <w:left w:w="20" w:type="dxa"/>
              <w:bottom w:w="30" w:type="dxa"/>
              <w:right w:w="20" w:type="dxa"/>
            </w:tcMar>
            <w:vAlign w:val="bottom"/>
            <w:hideMark/>
          </w:tcPr>
          <w:p w14:paraId="116121F9" w14:textId="77777777" w:rsidR="00000000" w:rsidRDefault="00195E73">
            <w:pPr>
              <w:jc w:val="center"/>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660FC3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1B88AA4" w14:textId="77777777" w:rsidR="00000000" w:rsidRDefault="00195E73">
            <w:pPr>
              <w:jc w:val="right"/>
              <w:rPr>
                <w:rFonts w:eastAsia="Times New Roman"/>
              </w:rPr>
            </w:pPr>
            <w:r>
              <w:rPr>
                <w:rFonts w:eastAsia="Times New Roman"/>
                <w:color w:val="000000"/>
                <w:sz w:val="20"/>
                <w:szCs w:val="20"/>
              </w:rPr>
              <w:t>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FABAC69" w14:textId="77777777" w:rsidR="00000000" w:rsidRDefault="00195E73">
            <w:pPr>
              <w:jc w:val="right"/>
              <w:rPr>
                <w:rFonts w:eastAsia="Times New Roman"/>
              </w:rPr>
            </w:pPr>
            <w:r>
              <w:rPr>
                <w:rFonts w:eastAsia="Times New Roman"/>
                <w:color w:val="000000"/>
                <w:sz w:val="20"/>
                <w:szCs w:val="20"/>
              </w:rPr>
              <w:t> </w:t>
            </w:r>
          </w:p>
        </w:tc>
        <w:tc>
          <w:tcPr>
            <w:tcW w:w="0" w:type="auto"/>
            <w:gridSpan w:val="3"/>
            <w:tcBorders>
              <w:bottom w:val="double" w:sz="6" w:space="0" w:color="FFFFFF"/>
            </w:tcBorders>
            <w:shd w:val="clear" w:color="auto" w:fill="FFFFFF"/>
            <w:tcMar>
              <w:top w:w="30" w:type="dxa"/>
              <w:left w:w="20" w:type="dxa"/>
              <w:bottom w:w="30" w:type="dxa"/>
              <w:right w:w="20" w:type="dxa"/>
            </w:tcMar>
            <w:vAlign w:val="bottom"/>
            <w:hideMark/>
          </w:tcPr>
          <w:p w14:paraId="78023B7E" w14:textId="77777777" w:rsidR="00000000" w:rsidRDefault="00195E73">
            <w:pPr>
              <w:jc w:val="center"/>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8B13AA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223BF1C" w14:textId="77777777" w:rsidR="00000000" w:rsidRDefault="00195E73">
            <w:pPr>
              <w:jc w:val="right"/>
              <w:rPr>
                <w:rFonts w:eastAsia="Times New Roman"/>
              </w:rPr>
            </w:pPr>
            <w:r>
              <w:rPr>
                <w:rFonts w:eastAsia="Times New Roman"/>
                <w:color w:val="000000"/>
                <w:sz w:val="20"/>
                <w:szCs w:val="20"/>
              </w:rPr>
              <w:t>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0674F9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6662DF4" w14:textId="77777777" w:rsidR="00000000" w:rsidRDefault="00195E73">
            <w:pPr>
              <w:rPr>
                <w:rFonts w:eastAsia="Times New Roman"/>
                <w:sz w:val="20"/>
                <w:szCs w:val="20"/>
              </w:rPr>
            </w:pPr>
          </w:p>
        </w:tc>
        <w:tc>
          <w:tcPr>
            <w:tcW w:w="0" w:type="auto"/>
            <w:vAlign w:val="center"/>
            <w:hideMark/>
          </w:tcPr>
          <w:p w14:paraId="68FD9D0A" w14:textId="77777777" w:rsidR="00000000" w:rsidRDefault="00195E73">
            <w:pPr>
              <w:rPr>
                <w:rFonts w:eastAsia="Times New Roman"/>
                <w:sz w:val="20"/>
                <w:szCs w:val="20"/>
              </w:rPr>
            </w:pPr>
          </w:p>
        </w:tc>
        <w:tc>
          <w:tcPr>
            <w:tcW w:w="0" w:type="auto"/>
            <w:vAlign w:val="center"/>
            <w:hideMark/>
          </w:tcPr>
          <w:p w14:paraId="647E8811" w14:textId="77777777" w:rsidR="00000000" w:rsidRDefault="00195E73">
            <w:pPr>
              <w:rPr>
                <w:rFonts w:eastAsia="Times New Roman"/>
                <w:sz w:val="20"/>
                <w:szCs w:val="20"/>
              </w:rPr>
            </w:pPr>
          </w:p>
        </w:tc>
        <w:tc>
          <w:tcPr>
            <w:tcW w:w="0" w:type="auto"/>
            <w:vAlign w:val="center"/>
            <w:hideMark/>
          </w:tcPr>
          <w:p w14:paraId="6536D4C2" w14:textId="77777777" w:rsidR="00000000" w:rsidRDefault="00195E73">
            <w:pPr>
              <w:rPr>
                <w:rFonts w:eastAsia="Times New Roman"/>
                <w:sz w:val="20"/>
                <w:szCs w:val="20"/>
              </w:rPr>
            </w:pPr>
          </w:p>
        </w:tc>
        <w:tc>
          <w:tcPr>
            <w:tcW w:w="0" w:type="auto"/>
            <w:vAlign w:val="center"/>
            <w:hideMark/>
          </w:tcPr>
          <w:p w14:paraId="038CF57D" w14:textId="77777777" w:rsidR="00000000" w:rsidRDefault="00195E73">
            <w:pPr>
              <w:rPr>
                <w:rFonts w:eastAsia="Times New Roman"/>
                <w:sz w:val="20"/>
                <w:szCs w:val="20"/>
              </w:rPr>
            </w:pPr>
          </w:p>
        </w:tc>
        <w:tc>
          <w:tcPr>
            <w:tcW w:w="0" w:type="auto"/>
            <w:vAlign w:val="center"/>
            <w:hideMark/>
          </w:tcPr>
          <w:p w14:paraId="51B27C2C" w14:textId="77777777" w:rsidR="00000000" w:rsidRDefault="00195E73">
            <w:pPr>
              <w:rPr>
                <w:rFonts w:eastAsia="Times New Roman"/>
                <w:sz w:val="20"/>
                <w:szCs w:val="20"/>
              </w:rPr>
            </w:pPr>
          </w:p>
        </w:tc>
        <w:tc>
          <w:tcPr>
            <w:tcW w:w="0" w:type="auto"/>
            <w:vAlign w:val="center"/>
            <w:hideMark/>
          </w:tcPr>
          <w:p w14:paraId="475293ED" w14:textId="77777777" w:rsidR="00000000" w:rsidRDefault="00195E73">
            <w:pPr>
              <w:rPr>
                <w:rFonts w:eastAsia="Times New Roman"/>
                <w:sz w:val="20"/>
                <w:szCs w:val="20"/>
              </w:rPr>
            </w:pPr>
          </w:p>
        </w:tc>
        <w:tc>
          <w:tcPr>
            <w:tcW w:w="0" w:type="auto"/>
            <w:vAlign w:val="center"/>
            <w:hideMark/>
          </w:tcPr>
          <w:p w14:paraId="4601D32C" w14:textId="77777777" w:rsidR="00000000" w:rsidRDefault="00195E73">
            <w:pPr>
              <w:rPr>
                <w:rFonts w:eastAsia="Times New Roman"/>
                <w:sz w:val="20"/>
                <w:szCs w:val="20"/>
              </w:rPr>
            </w:pPr>
          </w:p>
        </w:tc>
        <w:tc>
          <w:tcPr>
            <w:tcW w:w="0" w:type="auto"/>
            <w:vAlign w:val="center"/>
            <w:hideMark/>
          </w:tcPr>
          <w:p w14:paraId="4F0F2449" w14:textId="77777777" w:rsidR="00000000" w:rsidRDefault="00195E73">
            <w:pPr>
              <w:rPr>
                <w:rFonts w:eastAsia="Times New Roman"/>
                <w:sz w:val="20"/>
                <w:szCs w:val="20"/>
              </w:rPr>
            </w:pPr>
          </w:p>
        </w:tc>
        <w:tc>
          <w:tcPr>
            <w:tcW w:w="0" w:type="auto"/>
            <w:vAlign w:val="center"/>
            <w:hideMark/>
          </w:tcPr>
          <w:p w14:paraId="12EFF48A" w14:textId="77777777" w:rsidR="00000000" w:rsidRDefault="00195E73">
            <w:pPr>
              <w:rPr>
                <w:rFonts w:eastAsia="Times New Roman"/>
                <w:sz w:val="20"/>
                <w:szCs w:val="20"/>
              </w:rPr>
            </w:pPr>
          </w:p>
        </w:tc>
        <w:tc>
          <w:tcPr>
            <w:tcW w:w="0" w:type="auto"/>
            <w:vAlign w:val="center"/>
            <w:hideMark/>
          </w:tcPr>
          <w:p w14:paraId="1A851AD1" w14:textId="77777777" w:rsidR="00000000" w:rsidRDefault="00195E73">
            <w:pPr>
              <w:rPr>
                <w:rFonts w:eastAsia="Times New Roman"/>
                <w:sz w:val="20"/>
                <w:szCs w:val="20"/>
              </w:rPr>
            </w:pPr>
          </w:p>
        </w:tc>
        <w:tc>
          <w:tcPr>
            <w:tcW w:w="0" w:type="auto"/>
            <w:vAlign w:val="center"/>
            <w:hideMark/>
          </w:tcPr>
          <w:p w14:paraId="7F627EBE" w14:textId="77777777" w:rsidR="00000000" w:rsidRDefault="00195E73">
            <w:pPr>
              <w:rPr>
                <w:rFonts w:eastAsia="Times New Roman"/>
                <w:sz w:val="20"/>
                <w:szCs w:val="20"/>
              </w:rPr>
            </w:pPr>
          </w:p>
        </w:tc>
      </w:tr>
    </w:tbl>
    <w:p w14:paraId="5C18E107" w14:textId="77777777" w:rsidR="00000000" w:rsidRDefault="00195E73">
      <w:pPr>
        <w:ind w:firstLine="405"/>
        <w:divId w:val="998264985"/>
        <w:rPr>
          <w:rFonts w:eastAsia="Times New Roman"/>
        </w:rPr>
      </w:pPr>
    </w:p>
    <w:p w14:paraId="417DBC7C" w14:textId="77777777" w:rsidR="00000000" w:rsidRDefault="00195E73">
      <w:pPr>
        <w:ind w:firstLine="405"/>
        <w:divId w:val="774137786"/>
        <w:rPr>
          <w:rFonts w:eastAsia="Times New Roman"/>
        </w:rPr>
      </w:pPr>
      <w:r>
        <w:rPr>
          <w:rFonts w:eastAsia="Times New Roman"/>
          <w:color w:val="000000"/>
          <w:sz w:val="20"/>
          <w:szCs w:val="20"/>
        </w:rPr>
        <w:t xml:space="preserve">At December 31, 2019, 2018 and 2017, we had unrecognized tax benefits of $33 million, $34 million and $34 </w:t>
      </w:r>
      <w:r>
        <w:rPr>
          <w:rFonts w:eastAsia="Times New Roman"/>
          <w:color w:val="000000"/>
          <w:sz w:val="20"/>
          <w:szCs w:val="20"/>
        </w:rPr>
        <w:t>million, respectively. Of these totals, $27 million, $30 million and $28 million represent the amount of unrecognized tax benefits that if recognized, would affect the annual effective tax rate in the respective periods. The total unrecognized tax benefits</w:t>
      </w:r>
      <w:r>
        <w:rPr>
          <w:rFonts w:eastAsia="Times New Roman"/>
          <w:color w:val="000000"/>
          <w:sz w:val="20"/>
          <w:szCs w:val="20"/>
        </w:rPr>
        <w:t xml:space="preserve"> differ from the amount which would affect the effective tax rate primarily due to the impact of valuation allowances</w:t>
      </w:r>
      <w:r>
        <w:rPr>
          <w:rFonts w:eastAsia="Times New Roman"/>
          <w:color w:val="000000"/>
          <w:sz w:val="20"/>
          <w:szCs w:val="20"/>
        </w:rPr>
        <w:t>.</w:t>
      </w:r>
    </w:p>
    <w:p w14:paraId="0FB4B86B" w14:textId="77777777" w:rsidR="00000000" w:rsidRDefault="00195E73">
      <w:pPr>
        <w:ind w:firstLine="405"/>
        <w:divId w:val="1737820087"/>
        <w:rPr>
          <w:rFonts w:eastAsia="Times New Roman"/>
        </w:rPr>
      </w:pPr>
      <w:r>
        <w:rPr>
          <w:rFonts w:eastAsia="Times New Roman"/>
          <w:color w:val="000000"/>
          <w:sz w:val="20"/>
          <w:szCs w:val="20"/>
        </w:rPr>
        <w:t>During the next 12 months, CVR Energy believes that it is reasonably possible that unrecognized tax benefits of CVR Energy may decrease b</w:t>
      </w:r>
      <w:r>
        <w:rPr>
          <w:rFonts w:eastAsia="Times New Roman"/>
          <w:color w:val="000000"/>
          <w:sz w:val="20"/>
          <w:szCs w:val="20"/>
        </w:rPr>
        <w:t>y approximately $3 million due to statute expirations. We do not anticipate any significant changes to the amount of our unrecognized tax benefits in our other business segments during the next 12 months.</w:t>
      </w:r>
      <w:r>
        <w:rPr>
          <w:rFonts w:eastAsia="Times New Roman"/>
          <w:color w:val="000000"/>
          <w:sz w:val="20"/>
          <w:szCs w:val="20"/>
        </w:rPr>
        <w:t xml:space="preserve"> </w:t>
      </w:r>
    </w:p>
    <w:p w14:paraId="23138C68" w14:textId="77777777" w:rsidR="00000000" w:rsidRDefault="00195E73">
      <w:pPr>
        <w:ind w:firstLine="405"/>
        <w:divId w:val="223756948"/>
        <w:rPr>
          <w:rFonts w:eastAsia="Times New Roman"/>
        </w:rPr>
      </w:pPr>
      <w:r>
        <w:rPr>
          <w:rFonts w:eastAsia="Times New Roman"/>
          <w:color w:val="000000"/>
          <w:sz w:val="20"/>
          <w:szCs w:val="20"/>
        </w:rPr>
        <w:t>We recognize interest and penalties accrued relate</w:t>
      </w:r>
      <w:r>
        <w:rPr>
          <w:rFonts w:eastAsia="Times New Roman"/>
          <w:color w:val="000000"/>
          <w:sz w:val="20"/>
          <w:szCs w:val="20"/>
        </w:rPr>
        <w:t>d to unrecognized tax benefits as a component of income tax expense. We recorded $1 million, $1 million and $2 million as of December 31, 2019, 2018 and 2017, respectively, in liabilities for tax related net interest and penalties in our consolidated balan</w:t>
      </w:r>
      <w:r>
        <w:rPr>
          <w:rFonts w:eastAsia="Times New Roman"/>
          <w:color w:val="000000"/>
          <w:sz w:val="20"/>
          <w:szCs w:val="20"/>
        </w:rPr>
        <w:t>ce sheets. Income tax (benefit) expense related to interest and penalties were $0 million, $(1) million and $(7) million for the years December 31, 2019, 2018 and 2017, respectively. We or certain of our subsidiaries file income tax returns in the U.S. fed</w:t>
      </w:r>
      <w:r>
        <w:rPr>
          <w:rFonts w:eastAsia="Times New Roman"/>
          <w:color w:val="000000"/>
          <w:sz w:val="20"/>
          <w:szCs w:val="20"/>
        </w:rPr>
        <w:t>eral jurisdiction, various state jurisdictions and various non-U.S. jurisdictions. We and our subsidiaries are no longer subject to U.S. federal tax examinations for years before 2015 or state and local examinations for years before 2013, with limited exce</w:t>
      </w:r>
      <w:r>
        <w:rPr>
          <w:rFonts w:eastAsia="Times New Roman"/>
          <w:color w:val="000000"/>
          <w:sz w:val="20"/>
          <w:szCs w:val="20"/>
        </w:rPr>
        <w:t>ptions. AEPC has been notified by the IRS that the group’s income tax return for the period ended December 31, 2017 will be examined</w:t>
      </w:r>
      <w:r>
        <w:rPr>
          <w:rFonts w:eastAsia="Times New Roman"/>
          <w:color w:val="000000"/>
          <w:sz w:val="20"/>
          <w:szCs w:val="20"/>
        </w:rPr>
        <w:t>.</w:t>
      </w:r>
    </w:p>
    <w:p w14:paraId="3FFE39B6" w14:textId="77777777" w:rsidR="00000000" w:rsidRDefault="00195E73">
      <w:pPr>
        <w:divId w:val="1236087900"/>
        <w:rPr>
          <w:rFonts w:eastAsia="Times New Roman"/>
        </w:rPr>
      </w:pPr>
    </w:p>
    <w:p w14:paraId="16F8E358" w14:textId="77777777" w:rsidR="00000000" w:rsidRDefault="00195E73">
      <w:pPr>
        <w:divId w:val="1370106583"/>
        <w:rPr>
          <w:rFonts w:eastAsia="Times New Roman"/>
        </w:rPr>
      </w:pPr>
    </w:p>
    <w:p w14:paraId="653673D8" w14:textId="77777777" w:rsidR="00000000" w:rsidRDefault="00195E73">
      <w:pPr>
        <w:ind w:hanging="360"/>
        <w:divId w:val="33116659"/>
        <w:rPr>
          <w:rFonts w:eastAsia="Times New Roman"/>
        </w:rPr>
      </w:pPr>
    </w:p>
    <w:p w14:paraId="75070D3E" w14:textId="77777777" w:rsidR="00000000" w:rsidRDefault="00195E73">
      <w:pPr>
        <w:jc w:val="center"/>
        <w:divId w:val="2111779257"/>
        <w:rPr>
          <w:rFonts w:eastAsia="Times New Roman"/>
        </w:rPr>
      </w:pPr>
      <w:r>
        <w:rPr>
          <w:rFonts w:eastAsia="Times New Roman"/>
          <w:color w:val="000000"/>
          <w:sz w:val="20"/>
          <w:szCs w:val="20"/>
        </w:rPr>
        <w:t>10</w:t>
      </w:r>
      <w:r>
        <w:rPr>
          <w:rFonts w:eastAsia="Times New Roman"/>
          <w:color w:val="000000"/>
          <w:sz w:val="20"/>
          <w:szCs w:val="20"/>
        </w:rPr>
        <w:t>6</w:t>
      </w:r>
    </w:p>
    <w:p w14:paraId="2A93F351" w14:textId="77777777" w:rsidR="00000000" w:rsidRDefault="00195E73">
      <w:pPr>
        <w:rPr>
          <w:rFonts w:eastAsia="Times New Roman"/>
        </w:rPr>
      </w:pPr>
      <w:r>
        <w:rPr>
          <w:rFonts w:eastAsia="Times New Roman"/>
        </w:rPr>
        <w:pict w14:anchorId="360164E3">
          <v:rect id="_x0000_i1132" style="width:0;height:1.5pt" o:hralign="center" o:hrstd="t" o:hr="t" fillcolor="#a0a0a0" stroked="f"/>
        </w:pict>
      </w:r>
    </w:p>
    <w:p w14:paraId="08EA4491" w14:textId="77777777" w:rsidR="00000000" w:rsidRDefault="00195E73">
      <w:pPr>
        <w:jc w:val="center"/>
        <w:divId w:val="983781089"/>
        <w:rPr>
          <w:rFonts w:eastAsia="Times New Roman"/>
        </w:rPr>
      </w:pPr>
    </w:p>
    <w:p w14:paraId="1E5535DC" w14:textId="77777777" w:rsidR="00000000" w:rsidRDefault="00195E73">
      <w:pPr>
        <w:jc w:val="center"/>
        <w:divId w:val="983781089"/>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460001D4" w14:textId="77777777" w:rsidR="00000000" w:rsidRDefault="00195E73">
      <w:pPr>
        <w:jc w:val="center"/>
        <w:divId w:val="983781089"/>
        <w:rPr>
          <w:rFonts w:eastAsia="Times New Roman"/>
        </w:rPr>
      </w:pPr>
      <w:r>
        <w:rPr>
          <w:rFonts w:eastAsia="Times New Roman"/>
          <w:b/>
          <w:bCs/>
          <w:color w:val="000000"/>
          <w:sz w:val="20"/>
          <w:szCs w:val="20"/>
        </w:rPr>
        <w:t>ICAHN ENTERPRISES HOLDINGS L.P. AN</w:t>
      </w:r>
      <w:r>
        <w:rPr>
          <w:rFonts w:eastAsia="Times New Roman"/>
          <w:b/>
          <w:bCs/>
          <w:color w:val="000000"/>
          <w:sz w:val="20"/>
          <w:szCs w:val="20"/>
        </w:rPr>
        <w:t>D SUBSIDIARIE</w:t>
      </w:r>
      <w:r>
        <w:rPr>
          <w:rFonts w:eastAsia="Times New Roman"/>
          <w:b/>
          <w:bCs/>
          <w:color w:val="000000"/>
          <w:sz w:val="20"/>
          <w:szCs w:val="20"/>
        </w:rPr>
        <w:t>S</w:t>
      </w:r>
    </w:p>
    <w:p w14:paraId="0952F1BE" w14:textId="77777777" w:rsidR="00000000" w:rsidRDefault="00195E73">
      <w:pPr>
        <w:jc w:val="center"/>
        <w:divId w:val="983781089"/>
        <w:rPr>
          <w:rFonts w:eastAsia="Times New Roman"/>
        </w:rPr>
      </w:pPr>
    </w:p>
    <w:p w14:paraId="4E10C3B0" w14:textId="77777777" w:rsidR="00000000" w:rsidRDefault="00195E73">
      <w:pPr>
        <w:jc w:val="center"/>
        <w:divId w:val="983781089"/>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74302395" w14:textId="77777777" w:rsidR="00000000" w:rsidRDefault="00195E73">
      <w:pPr>
        <w:ind w:hanging="360"/>
        <w:divId w:val="465926627"/>
        <w:rPr>
          <w:rFonts w:eastAsia="Times New Roman"/>
        </w:rPr>
      </w:pPr>
      <w:r>
        <w:rPr>
          <w:rFonts w:eastAsia="Times New Roman"/>
          <w:b/>
          <w:bCs/>
          <w:color w:val="000000"/>
          <w:sz w:val="20"/>
          <w:szCs w:val="20"/>
        </w:rPr>
        <w:t>16. Changes in Accumulated Other Comprehensive Loss</w:t>
      </w:r>
      <w:r>
        <w:rPr>
          <w:rFonts w:eastAsia="Times New Roman"/>
          <w:b/>
          <w:bCs/>
          <w:color w:val="000000"/>
          <w:sz w:val="20"/>
          <w:szCs w:val="20"/>
        </w:rPr>
        <w:t>.</w:t>
      </w:r>
    </w:p>
    <w:p w14:paraId="75D1F380" w14:textId="77777777" w:rsidR="00000000" w:rsidRDefault="00195E73">
      <w:pPr>
        <w:ind w:firstLine="405"/>
        <w:divId w:val="355926352"/>
        <w:rPr>
          <w:rFonts w:eastAsia="Times New Roman"/>
        </w:rPr>
      </w:pPr>
      <w:r>
        <w:rPr>
          <w:rFonts w:eastAsia="Times New Roman"/>
          <w:color w:val="000000"/>
          <w:sz w:val="20"/>
          <w:szCs w:val="20"/>
        </w:rPr>
        <w:t>Changes in accumulated other comprehensive loss consists of the following</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3869"/>
        <w:gridCol w:w="40"/>
        <w:gridCol w:w="136"/>
        <w:gridCol w:w="1037"/>
        <w:gridCol w:w="85"/>
        <w:gridCol w:w="36"/>
        <w:gridCol w:w="36"/>
        <w:gridCol w:w="36"/>
        <w:gridCol w:w="136"/>
        <w:gridCol w:w="1005"/>
        <w:gridCol w:w="85"/>
        <w:gridCol w:w="36"/>
        <w:gridCol w:w="36"/>
        <w:gridCol w:w="36"/>
        <w:gridCol w:w="135"/>
        <w:gridCol w:w="1005"/>
        <w:gridCol w:w="85"/>
        <w:gridCol w:w="36"/>
        <w:gridCol w:w="36"/>
        <w:gridCol w:w="36"/>
        <w:gridCol w:w="36"/>
        <w:gridCol w:w="36"/>
        <w:gridCol w:w="36"/>
        <w:gridCol w:w="36"/>
        <w:gridCol w:w="36"/>
        <w:gridCol w:w="36"/>
        <w:gridCol w:w="36"/>
        <w:gridCol w:w="36"/>
        <w:gridCol w:w="36"/>
      </w:tblGrid>
      <w:tr w:rsidR="00000000" w14:paraId="46363BB3" w14:textId="77777777">
        <w:trPr>
          <w:gridAfter w:val="12"/>
          <w:divId w:val="1718158558"/>
        </w:trPr>
        <w:tc>
          <w:tcPr>
            <w:tcW w:w="50" w:type="pct"/>
            <w:vAlign w:val="center"/>
            <w:hideMark/>
          </w:tcPr>
          <w:p w14:paraId="127776C1" w14:textId="77777777" w:rsidR="00000000" w:rsidRDefault="00195E73">
            <w:pPr>
              <w:ind w:firstLine="405"/>
              <w:rPr>
                <w:rFonts w:eastAsia="Times New Roman"/>
              </w:rPr>
            </w:pPr>
          </w:p>
        </w:tc>
        <w:tc>
          <w:tcPr>
            <w:tcW w:w="2480" w:type="pct"/>
            <w:vAlign w:val="center"/>
            <w:hideMark/>
          </w:tcPr>
          <w:p w14:paraId="0C138A55" w14:textId="77777777" w:rsidR="00000000" w:rsidRDefault="00195E73">
            <w:pPr>
              <w:rPr>
                <w:rFonts w:eastAsia="Times New Roman"/>
                <w:sz w:val="20"/>
                <w:szCs w:val="20"/>
              </w:rPr>
            </w:pPr>
          </w:p>
        </w:tc>
        <w:tc>
          <w:tcPr>
            <w:tcW w:w="50" w:type="pct"/>
            <w:vAlign w:val="center"/>
            <w:hideMark/>
          </w:tcPr>
          <w:p w14:paraId="64AE858A" w14:textId="77777777" w:rsidR="00000000" w:rsidRDefault="00195E73">
            <w:pPr>
              <w:rPr>
                <w:rFonts w:eastAsia="Times New Roman"/>
                <w:sz w:val="20"/>
                <w:szCs w:val="20"/>
              </w:rPr>
            </w:pPr>
          </w:p>
        </w:tc>
        <w:tc>
          <w:tcPr>
            <w:tcW w:w="50" w:type="pct"/>
            <w:vAlign w:val="center"/>
            <w:hideMark/>
          </w:tcPr>
          <w:p w14:paraId="1645F4D9" w14:textId="77777777" w:rsidR="00000000" w:rsidRDefault="00195E73">
            <w:pPr>
              <w:rPr>
                <w:rFonts w:eastAsia="Times New Roman"/>
                <w:sz w:val="20"/>
                <w:szCs w:val="20"/>
              </w:rPr>
            </w:pPr>
          </w:p>
        </w:tc>
        <w:tc>
          <w:tcPr>
            <w:tcW w:w="682" w:type="pct"/>
            <w:vAlign w:val="center"/>
            <w:hideMark/>
          </w:tcPr>
          <w:p w14:paraId="14CEEA06" w14:textId="77777777" w:rsidR="00000000" w:rsidRDefault="00195E73">
            <w:pPr>
              <w:rPr>
                <w:rFonts w:eastAsia="Times New Roman"/>
                <w:sz w:val="20"/>
                <w:szCs w:val="20"/>
              </w:rPr>
            </w:pPr>
          </w:p>
        </w:tc>
        <w:tc>
          <w:tcPr>
            <w:tcW w:w="50" w:type="pct"/>
            <w:vAlign w:val="center"/>
            <w:hideMark/>
          </w:tcPr>
          <w:p w14:paraId="60F49CB4" w14:textId="77777777" w:rsidR="00000000" w:rsidRDefault="00195E73">
            <w:pPr>
              <w:rPr>
                <w:rFonts w:eastAsia="Times New Roman"/>
                <w:sz w:val="20"/>
                <w:szCs w:val="20"/>
              </w:rPr>
            </w:pPr>
          </w:p>
        </w:tc>
        <w:tc>
          <w:tcPr>
            <w:tcW w:w="5" w:type="pct"/>
            <w:vAlign w:val="center"/>
            <w:hideMark/>
          </w:tcPr>
          <w:p w14:paraId="232C8BE5" w14:textId="77777777" w:rsidR="00000000" w:rsidRDefault="00195E73">
            <w:pPr>
              <w:rPr>
                <w:rFonts w:eastAsia="Times New Roman"/>
                <w:sz w:val="20"/>
                <w:szCs w:val="20"/>
              </w:rPr>
            </w:pPr>
          </w:p>
        </w:tc>
        <w:tc>
          <w:tcPr>
            <w:tcW w:w="26" w:type="pct"/>
            <w:vAlign w:val="center"/>
            <w:hideMark/>
          </w:tcPr>
          <w:p w14:paraId="7EFF963F" w14:textId="77777777" w:rsidR="00000000" w:rsidRDefault="00195E73">
            <w:pPr>
              <w:rPr>
                <w:rFonts w:eastAsia="Times New Roman"/>
                <w:sz w:val="20"/>
                <w:szCs w:val="20"/>
              </w:rPr>
            </w:pPr>
          </w:p>
        </w:tc>
        <w:tc>
          <w:tcPr>
            <w:tcW w:w="5" w:type="pct"/>
            <w:vAlign w:val="center"/>
            <w:hideMark/>
          </w:tcPr>
          <w:p w14:paraId="2E33E8B9" w14:textId="77777777" w:rsidR="00000000" w:rsidRDefault="00195E73">
            <w:pPr>
              <w:rPr>
                <w:rFonts w:eastAsia="Times New Roman"/>
                <w:sz w:val="20"/>
                <w:szCs w:val="20"/>
              </w:rPr>
            </w:pPr>
          </w:p>
        </w:tc>
        <w:tc>
          <w:tcPr>
            <w:tcW w:w="50" w:type="pct"/>
            <w:vAlign w:val="center"/>
            <w:hideMark/>
          </w:tcPr>
          <w:p w14:paraId="1873C22C" w14:textId="77777777" w:rsidR="00000000" w:rsidRDefault="00195E73">
            <w:pPr>
              <w:rPr>
                <w:rFonts w:eastAsia="Times New Roman"/>
                <w:sz w:val="20"/>
                <w:szCs w:val="20"/>
              </w:rPr>
            </w:pPr>
          </w:p>
        </w:tc>
        <w:tc>
          <w:tcPr>
            <w:tcW w:w="682" w:type="pct"/>
            <w:vAlign w:val="center"/>
            <w:hideMark/>
          </w:tcPr>
          <w:p w14:paraId="2BECD7F8" w14:textId="77777777" w:rsidR="00000000" w:rsidRDefault="00195E73">
            <w:pPr>
              <w:rPr>
                <w:rFonts w:eastAsia="Times New Roman"/>
                <w:sz w:val="20"/>
                <w:szCs w:val="20"/>
              </w:rPr>
            </w:pPr>
          </w:p>
        </w:tc>
        <w:tc>
          <w:tcPr>
            <w:tcW w:w="50" w:type="pct"/>
            <w:vAlign w:val="center"/>
            <w:hideMark/>
          </w:tcPr>
          <w:p w14:paraId="38261199" w14:textId="77777777" w:rsidR="00000000" w:rsidRDefault="00195E73">
            <w:pPr>
              <w:rPr>
                <w:rFonts w:eastAsia="Times New Roman"/>
                <w:sz w:val="20"/>
                <w:szCs w:val="20"/>
              </w:rPr>
            </w:pPr>
          </w:p>
        </w:tc>
        <w:tc>
          <w:tcPr>
            <w:tcW w:w="5" w:type="pct"/>
            <w:vAlign w:val="center"/>
            <w:hideMark/>
          </w:tcPr>
          <w:p w14:paraId="277DDF85" w14:textId="77777777" w:rsidR="00000000" w:rsidRDefault="00195E73">
            <w:pPr>
              <w:rPr>
                <w:rFonts w:eastAsia="Times New Roman"/>
                <w:sz w:val="20"/>
                <w:szCs w:val="20"/>
              </w:rPr>
            </w:pPr>
          </w:p>
        </w:tc>
        <w:tc>
          <w:tcPr>
            <w:tcW w:w="26" w:type="pct"/>
            <w:vAlign w:val="center"/>
            <w:hideMark/>
          </w:tcPr>
          <w:p w14:paraId="22F4A8FD" w14:textId="77777777" w:rsidR="00000000" w:rsidRDefault="00195E73">
            <w:pPr>
              <w:rPr>
                <w:rFonts w:eastAsia="Times New Roman"/>
                <w:sz w:val="20"/>
                <w:szCs w:val="20"/>
              </w:rPr>
            </w:pPr>
          </w:p>
        </w:tc>
        <w:tc>
          <w:tcPr>
            <w:tcW w:w="5" w:type="pct"/>
            <w:vAlign w:val="center"/>
            <w:hideMark/>
          </w:tcPr>
          <w:p w14:paraId="1F03CA2E" w14:textId="77777777" w:rsidR="00000000" w:rsidRDefault="00195E73">
            <w:pPr>
              <w:rPr>
                <w:rFonts w:eastAsia="Times New Roman"/>
                <w:sz w:val="20"/>
                <w:szCs w:val="20"/>
              </w:rPr>
            </w:pPr>
          </w:p>
        </w:tc>
        <w:tc>
          <w:tcPr>
            <w:tcW w:w="50" w:type="pct"/>
            <w:vAlign w:val="center"/>
            <w:hideMark/>
          </w:tcPr>
          <w:p w14:paraId="6F6FF923" w14:textId="77777777" w:rsidR="00000000" w:rsidRDefault="00195E73">
            <w:pPr>
              <w:rPr>
                <w:rFonts w:eastAsia="Times New Roman"/>
                <w:sz w:val="20"/>
                <w:szCs w:val="20"/>
              </w:rPr>
            </w:pPr>
          </w:p>
        </w:tc>
        <w:tc>
          <w:tcPr>
            <w:tcW w:w="682" w:type="pct"/>
            <w:vAlign w:val="center"/>
            <w:hideMark/>
          </w:tcPr>
          <w:p w14:paraId="35B596EC" w14:textId="77777777" w:rsidR="00000000" w:rsidRDefault="00195E73">
            <w:pPr>
              <w:rPr>
                <w:rFonts w:eastAsia="Times New Roman"/>
                <w:sz w:val="20"/>
                <w:szCs w:val="20"/>
              </w:rPr>
            </w:pPr>
          </w:p>
        </w:tc>
        <w:tc>
          <w:tcPr>
            <w:tcW w:w="50" w:type="pct"/>
            <w:vAlign w:val="center"/>
            <w:hideMark/>
          </w:tcPr>
          <w:p w14:paraId="126BA218" w14:textId="77777777" w:rsidR="00000000" w:rsidRDefault="00195E73">
            <w:pPr>
              <w:rPr>
                <w:rFonts w:eastAsia="Times New Roman"/>
                <w:sz w:val="20"/>
                <w:szCs w:val="20"/>
              </w:rPr>
            </w:pPr>
          </w:p>
        </w:tc>
      </w:tr>
      <w:tr w:rsidR="00000000" w14:paraId="13BD9A71" w14:textId="77777777">
        <w:trPr>
          <w:gridAfter w:val="12"/>
          <w:divId w:val="1718158558"/>
        </w:trPr>
        <w:tc>
          <w:tcPr>
            <w:tcW w:w="0" w:type="auto"/>
            <w:gridSpan w:val="3"/>
            <w:tcMar>
              <w:top w:w="15" w:type="dxa"/>
              <w:left w:w="20" w:type="dxa"/>
              <w:bottom w:w="15" w:type="dxa"/>
              <w:right w:w="20" w:type="dxa"/>
            </w:tcMar>
            <w:vAlign w:val="bottom"/>
            <w:hideMark/>
          </w:tcPr>
          <w:p w14:paraId="299D18B9"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0ACA2AC1" w14:textId="77777777" w:rsidR="00000000" w:rsidRDefault="00195E73">
            <w:pPr>
              <w:jc w:val="center"/>
              <w:rPr>
                <w:rFonts w:eastAsia="Times New Roman"/>
              </w:rPr>
            </w:pPr>
            <w:r>
              <w:rPr>
                <w:rFonts w:eastAsia="Times New Roman"/>
                <w:b/>
                <w:bCs/>
                <w:color w:val="000000"/>
                <w:sz w:val="20"/>
                <w:szCs w:val="20"/>
              </w:rPr>
              <w:t>Translation Adjustments, Net of Ta</w:t>
            </w:r>
            <w:r>
              <w:rPr>
                <w:rFonts w:eastAsia="Times New Roman"/>
                <w:b/>
                <w:bCs/>
                <w:color w:val="000000"/>
                <w:sz w:val="20"/>
                <w:szCs w:val="20"/>
              </w:rPr>
              <w:t>x</w:t>
            </w:r>
          </w:p>
        </w:tc>
        <w:tc>
          <w:tcPr>
            <w:tcW w:w="0" w:type="auto"/>
            <w:gridSpan w:val="3"/>
            <w:tcMar>
              <w:top w:w="15" w:type="dxa"/>
              <w:left w:w="20" w:type="dxa"/>
              <w:bottom w:w="15" w:type="dxa"/>
              <w:right w:w="20" w:type="dxa"/>
            </w:tcMar>
            <w:vAlign w:val="bottom"/>
            <w:hideMark/>
          </w:tcPr>
          <w:p w14:paraId="08D6F4C6"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9790E6C" w14:textId="77777777" w:rsidR="00000000" w:rsidRDefault="00195E73">
            <w:pPr>
              <w:jc w:val="center"/>
              <w:rPr>
                <w:rFonts w:eastAsia="Times New Roman"/>
              </w:rPr>
            </w:pPr>
            <w:r>
              <w:rPr>
                <w:rFonts w:eastAsia="Times New Roman"/>
                <w:b/>
                <w:bCs/>
                <w:color w:val="000000"/>
                <w:sz w:val="20"/>
                <w:szCs w:val="20"/>
              </w:rPr>
              <w:t>Post-Retirement Benefits and Other, Net of Ta</w:t>
            </w:r>
            <w:r>
              <w:rPr>
                <w:rFonts w:eastAsia="Times New Roman"/>
                <w:b/>
                <w:bCs/>
                <w:color w:val="000000"/>
                <w:sz w:val="20"/>
                <w:szCs w:val="20"/>
              </w:rPr>
              <w:t>x</w:t>
            </w:r>
          </w:p>
        </w:tc>
        <w:tc>
          <w:tcPr>
            <w:tcW w:w="0" w:type="auto"/>
            <w:gridSpan w:val="3"/>
            <w:tcMar>
              <w:top w:w="15" w:type="dxa"/>
              <w:left w:w="20" w:type="dxa"/>
              <w:bottom w:w="15" w:type="dxa"/>
              <w:right w:w="20" w:type="dxa"/>
            </w:tcMar>
            <w:vAlign w:val="bottom"/>
            <w:hideMark/>
          </w:tcPr>
          <w:p w14:paraId="742B0B70" w14:textId="77777777" w:rsidR="00000000" w:rsidRDefault="00195E73">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262CF75" w14:textId="77777777" w:rsidR="00000000" w:rsidRDefault="00195E73">
            <w:pPr>
              <w:jc w:val="center"/>
              <w:rPr>
                <w:rFonts w:eastAsia="Times New Roman"/>
              </w:rPr>
            </w:pPr>
            <w:r>
              <w:rPr>
                <w:rFonts w:eastAsia="Times New Roman"/>
                <w:b/>
                <w:bCs/>
                <w:color w:val="000000"/>
                <w:sz w:val="20"/>
                <w:szCs w:val="20"/>
              </w:rPr>
              <w:t>Tota</w:t>
            </w:r>
            <w:r>
              <w:rPr>
                <w:rFonts w:eastAsia="Times New Roman"/>
                <w:b/>
                <w:bCs/>
                <w:color w:val="000000"/>
                <w:sz w:val="20"/>
                <w:szCs w:val="20"/>
              </w:rPr>
              <w:t>l</w:t>
            </w:r>
          </w:p>
        </w:tc>
      </w:tr>
      <w:tr w:rsidR="00000000" w14:paraId="345E5BC4" w14:textId="77777777">
        <w:trPr>
          <w:divId w:val="1718158558"/>
        </w:trPr>
        <w:tc>
          <w:tcPr>
            <w:tcW w:w="0" w:type="auto"/>
            <w:gridSpan w:val="3"/>
            <w:tcMar>
              <w:top w:w="15" w:type="dxa"/>
              <w:left w:w="20" w:type="dxa"/>
              <w:bottom w:w="15" w:type="dxa"/>
              <w:right w:w="20" w:type="dxa"/>
            </w:tcMar>
            <w:vAlign w:val="bottom"/>
            <w:hideMark/>
          </w:tcPr>
          <w:p w14:paraId="6BDA99D8"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3C4CE789"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6D5B342E" w14:textId="77777777" w:rsidR="00000000" w:rsidRDefault="00195E73">
            <w:pPr>
              <w:jc w:val="center"/>
              <w:rPr>
                <w:rFonts w:eastAsia="Times New Roman"/>
              </w:rPr>
            </w:pPr>
          </w:p>
        </w:tc>
        <w:tc>
          <w:tcPr>
            <w:tcW w:w="0" w:type="auto"/>
            <w:gridSpan w:val="3"/>
            <w:vAlign w:val="center"/>
            <w:hideMark/>
          </w:tcPr>
          <w:p w14:paraId="5EEDB881" w14:textId="77777777" w:rsidR="00000000" w:rsidRDefault="00195E73">
            <w:pPr>
              <w:rPr>
                <w:rFonts w:eastAsia="Times New Roman"/>
                <w:sz w:val="20"/>
                <w:szCs w:val="20"/>
              </w:rPr>
            </w:pPr>
          </w:p>
        </w:tc>
        <w:tc>
          <w:tcPr>
            <w:tcW w:w="0" w:type="auto"/>
            <w:gridSpan w:val="3"/>
            <w:vAlign w:val="center"/>
            <w:hideMark/>
          </w:tcPr>
          <w:p w14:paraId="60CC0700" w14:textId="77777777" w:rsidR="00000000" w:rsidRDefault="00195E73">
            <w:pPr>
              <w:rPr>
                <w:rFonts w:eastAsia="Times New Roman"/>
                <w:sz w:val="20"/>
                <w:szCs w:val="20"/>
              </w:rPr>
            </w:pPr>
          </w:p>
        </w:tc>
        <w:tc>
          <w:tcPr>
            <w:tcW w:w="0" w:type="auto"/>
            <w:gridSpan w:val="3"/>
            <w:vAlign w:val="center"/>
            <w:hideMark/>
          </w:tcPr>
          <w:p w14:paraId="0E35788C" w14:textId="77777777" w:rsidR="00000000" w:rsidRDefault="00195E73">
            <w:pPr>
              <w:rPr>
                <w:rFonts w:eastAsia="Times New Roman"/>
                <w:sz w:val="20"/>
                <w:szCs w:val="20"/>
              </w:rPr>
            </w:pPr>
          </w:p>
        </w:tc>
      </w:tr>
      <w:tr w:rsidR="00000000" w14:paraId="10A8FF4C" w14:textId="77777777">
        <w:trPr>
          <w:divId w:val="1718158558"/>
        </w:trPr>
        <w:tc>
          <w:tcPr>
            <w:tcW w:w="0" w:type="auto"/>
            <w:gridSpan w:val="3"/>
            <w:shd w:val="clear" w:color="auto" w:fill="CCEEFF"/>
            <w:tcMar>
              <w:top w:w="30" w:type="dxa"/>
              <w:left w:w="20" w:type="dxa"/>
              <w:bottom w:w="30" w:type="dxa"/>
              <w:right w:w="20" w:type="dxa"/>
            </w:tcMar>
            <w:vAlign w:val="bottom"/>
            <w:hideMark/>
          </w:tcPr>
          <w:p w14:paraId="22F33DEE" w14:textId="77777777" w:rsidR="00000000" w:rsidRDefault="00195E73">
            <w:pPr>
              <w:rPr>
                <w:rFonts w:eastAsia="Times New Roman"/>
              </w:rPr>
            </w:pPr>
            <w:r>
              <w:rPr>
                <w:rFonts w:eastAsia="Times New Roman"/>
                <w:color w:val="000000"/>
                <w:sz w:val="20"/>
                <w:szCs w:val="20"/>
              </w:rPr>
              <w:t>Balance, December 31, 201</w:t>
            </w:r>
            <w:r>
              <w:rPr>
                <w:rFonts w:eastAsia="Times New Roman"/>
                <w:color w:val="000000"/>
                <w:sz w:val="20"/>
                <w:szCs w:val="20"/>
              </w:rPr>
              <w:t>8</w:t>
            </w:r>
          </w:p>
        </w:tc>
        <w:tc>
          <w:tcPr>
            <w:tcW w:w="0" w:type="auto"/>
            <w:shd w:val="clear" w:color="auto" w:fill="CCEEFF"/>
            <w:tcMar>
              <w:top w:w="30" w:type="dxa"/>
              <w:left w:w="20" w:type="dxa"/>
              <w:bottom w:w="30" w:type="dxa"/>
              <w:right w:w="15" w:type="dxa"/>
            </w:tcMar>
            <w:vAlign w:val="bottom"/>
            <w:hideMark/>
          </w:tcPr>
          <w:p w14:paraId="689B912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31B6546" w14:textId="77777777" w:rsidR="00000000" w:rsidRDefault="00195E73">
            <w:pPr>
              <w:jc w:val="right"/>
              <w:rPr>
                <w:rFonts w:eastAsia="Times New Roman"/>
              </w:rPr>
            </w:pPr>
            <w:r>
              <w:rPr>
                <w:rFonts w:eastAsia="Times New Roman"/>
                <w:color w:val="000000"/>
                <w:sz w:val="20"/>
                <w:szCs w:val="20"/>
              </w:rPr>
              <w:t>(38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D08F07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FCF9D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60A72D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9E3AC79" w14:textId="77777777" w:rsidR="00000000" w:rsidRDefault="00195E73">
            <w:pPr>
              <w:jc w:val="right"/>
              <w:rPr>
                <w:rFonts w:eastAsia="Times New Roman"/>
              </w:rPr>
            </w:pPr>
            <w:r>
              <w:rPr>
                <w:rFonts w:eastAsia="Times New Roman"/>
                <w:color w:val="000000"/>
                <w:sz w:val="20"/>
                <w:szCs w:val="20"/>
              </w:rPr>
              <w:t>(47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E5C4AD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AFEC6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90C09CC"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DE0B8AB" w14:textId="77777777" w:rsidR="00000000" w:rsidRDefault="00195E73">
            <w:pPr>
              <w:jc w:val="right"/>
              <w:rPr>
                <w:rFonts w:eastAsia="Times New Roman"/>
              </w:rPr>
            </w:pPr>
            <w:r>
              <w:rPr>
                <w:rFonts w:eastAsia="Times New Roman"/>
                <w:color w:val="000000"/>
                <w:sz w:val="20"/>
                <w:szCs w:val="20"/>
              </w:rPr>
              <w:t>(85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1193EA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0847D68" w14:textId="77777777" w:rsidR="00000000" w:rsidRDefault="00195E73">
            <w:pPr>
              <w:rPr>
                <w:rFonts w:eastAsia="Times New Roman"/>
                <w:sz w:val="20"/>
                <w:szCs w:val="20"/>
              </w:rPr>
            </w:pPr>
          </w:p>
        </w:tc>
        <w:tc>
          <w:tcPr>
            <w:tcW w:w="0" w:type="auto"/>
            <w:vAlign w:val="center"/>
            <w:hideMark/>
          </w:tcPr>
          <w:p w14:paraId="05CBCD3C" w14:textId="77777777" w:rsidR="00000000" w:rsidRDefault="00195E73">
            <w:pPr>
              <w:rPr>
                <w:rFonts w:eastAsia="Times New Roman"/>
                <w:sz w:val="20"/>
                <w:szCs w:val="20"/>
              </w:rPr>
            </w:pPr>
          </w:p>
        </w:tc>
        <w:tc>
          <w:tcPr>
            <w:tcW w:w="0" w:type="auto"/>
            <w:vAlign w:val="center"/>
            <w:hideMark/>
          </w:tcPr>
          <w:p w14:paraId="768D3117" w14:textId="77777777" w:rsidR="00000000" w:rsidRDefault="00195E73">
            <w:pPr>
              <w:rPr>
                <w:rFonts w:eastAsia="Times New Roman"/>
                <w:sz w:val="20"/>
                <w:szCs w:val="20"/>
              </w:rPr>
            </w:pPr>
          </w:p>
        </w:tc>
        <w:tc>
          <w:tcPr>
            <w:tcW w:w="0" w:type="auto"/>
            <w:vAlign w:val="center"/>
            <w:hideMark/>
          </w:tcPr>
          <w:p w14:paraId="21A12556" w14:textId="77777777" w:rsidR="00000000" w:rsidRDefault="00195E73">
            <w:pPr>
              <w:rPr>
                <w:rFonts w:eastAsia="Times New Roman"/>
                <w:sz w:val="20"/>
                <w:szCs w:val="20"/>
              </w:rPr>
            </w:pPr>
          </w:p>
        </w:tc>
        <w:tc>
          <w:tcPr>
            <w:tcW w:w="0" w:type="auto"/>
            <w:vAlign w:val="center"/>
            <w:hideMark/>
          </w:tcPr>
          <w:p w14:paraId="3E220FF6" w14:textId="77777777" w:rsidR="00000000" w:rsidRDefault="00195E73">
            <w:pPr>
              <w:rPr>
                <w:rFonts w:eastAsia="Times New Roman"/>
                <w:sz w:val="20"/>
                <w:szCs w:val="20"/>
              </w:rPr>
            </w:pPr>
          </w:p>
        </w:tc>
        <w:tc>
          <w:tcPr>
            <w:tcW w:w="0" w:type="auto"/>
            <w:vAlign w:val="center"/>
            <w:hideMark/>
          </w:tcPr>
          <w:p w14:paraId="3BCB214A" w14:textId="77777777" w:rsidR="00000000" w:rsidRDefault="00195E73">
            <w:pPr>
              <w:rPr>
                <w:rFonts w:eastAsia="Times New Roman"/>
                <w:sz w:val="20"/>
                <w:szCs w:val="20"/>
              </w:rPr>
            </w:pPr>
          </w:p>
        </w:tc>
        <w:tc>
          <w:tcPr>
            <w:tcW w:w="0" w:type="auto"/>
            <w:vAlign w:val="center"/>
            <w:hideMark/>
          </w:tcPr>
          <w:p w14:paraId="7AC8F450" w14:textId="77777777" w:rsidR="00000000" w:rsidRDefault="00195E73">
            <w:pPr>
              <w:rPr>
                <w:rFonts w:eastAsia="Times New Roman"/>
                <w:sz w:val="20"/>
                <w:szCs w:val="20"/>
              </w:rPr>
            </w:pPr>
          </w:p>
        </w:tc>
        <w:tc>
          <w:tcPr>
            <w:tcW w:w="0" w:type="auto"/>
            <w:vAlign w:val="center"/>
            <w:hideMark/>
          </w:tcPr>
          <w:p w14:paraId="0A519880" w14:textId="77777777" w:rsidR="00000000" w:rsidRDefault="00195E73">
            <w:pPr>
              <w:rPr>
                <w:rFonts w:eastAsia="Times New Roman"/>
                <w:sz w:val="20"/>
                <w:szCs w:val="20"/>
              </w:rPr>
            </w:pPr>
          </w:p>
        </w:tc>
        <w:tc>
          <w:tcPr>
            <w:tcW w:w="0" w:type="auto"/>
            <w:vAlign w:val="center"/>
            <w:hideMark/>
          </w:tcPr>
          <w:p w14:paraId="77542EA7" w14:textId="77777777" w:rsidR="00000000" w:rsidRDefault="00195E73">
            <w:pPr>
              <w:rPr>
                <w:rFonts w:eastAsia="Times New Roman"/>
                <w:sz w:val="20"/>
                <w:szCs w:val="20"/>
              </w:rPr>
            </w:pPr>
          </w:p>
        </w:tc>
        <w:tc>
          <w:tcPr>
            <w:tcW w:w="0" w:type="auto"/>
            <w:vAlign w:val="center"/>
            <w:hideMark/>
          </w:tcPr>
          <w:p w14:paraId="738EB9CC" w14:textId="77777777" w:rsidR="00000000" w:rsidRDefault="00195E73">
            <w:pPr>
              <w:rPr>
                <w:rFonts w:eastAsia="Times New Roman"/>
                <w:sz w:val="20"/>
                <w:szCs w:val="20"/>
              </w:rPr>
            </w:pPr>
          </w:p>
        </w:tc>
        <w:tc>
          <w:tcPr>
            <w:tcW w:w="0" w:type="auto"/>
            <w:vAlign w:val="center"/>
            <w:hideMark/>
          </w:tcPr>
          <w:p w14:paraId="457AAE23" w14:textId="77777777" w:rsidR="00000000" w:rsidRDefault="00195E73">
            <w:pPr>
              <w:rPr>
                <w:rFonts w:eastAsia="Times New Roman"/>
                <w:sz w:val="20"/>
                <w:szCs w:val="20"/>
              </w:rPr>
            </w:pPr>
          </w:p>
        </w:tc>
        <w:tc>
          <w:tcPr>
            <w:tcW w:w="0" w:type="auto"/>
            <w:vAlign w:val="center"/>
            <w:hideMark/>
          </w:tcPr>
          <w:p w14:paraId="0E774544" w14:textId="77777777" w:rsidR="00000000" w:rsidRDefault="00195E73">
            <w:pPr>
              <w:rPr>
                <w:rFonts w:eastAsia="Times New Roman"/>
                <w:sz w:val="20"/>
                <w:szCs w:val="20"/>
              </w:rPr>
            </w:pPr>
          </w:p>
        </w:tc>
      </w:tr>
      <w:tr w:rsidR="00000000" w14:paraId="3C35FAFC" w14:textId="77777777">
        <w:trPr>
          <w:divId w:val="1718158558"/>
        </w:trPr>
        <w:tc>
          <w:tcPr>
            <w:tcW w:w="0" w:type="auto"/>
            <w:gridSpan w:val="3"/>
            <w:shd w:val="clear" w:color="auto" w:fill="FFFFFF"/>
            <w:tcMar>
              <w:top w:w="30" w:type="dxa"/>
              <w:left w:w="20" w:type="dxa"/>
              <w:bottom w:w="30" w:type="dxa"/>
              <w:right w:w="20" w:type="dxa"/>
            </w:tcMar>
            <w:vAlign w:val="bottom"/>
            <w:hideMark/>
          </w:tcPr>
          <w:p w14:paraId="3E56C5ED" w14:textId="77777777" w:rsidR="00000000" w:rsidRDefault="00195E73">
            <w:pPr>
              <w:ind w:hanging="180"/>
              <w:divId w:val="1454589933"/>
              <w:rPr>
                <w:rFonts w:eastAsia="Times New Roman"/>
              </w:rPr>
            </w:pPr>
            <w:r>
              <w:rPr>
                <w:rFonts w:eastAsia="Times New Roman"/>
                <w:color w:val="000000"/>
                <w:sz w:val="20"/>
                <w:szCs w:val="20"/>
              </w:rPr>
              <w:t>Other comprehensive loss before reclassifications, net of ta</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bottom"/>
            <w:hideMark/>
          </w:tcPr>
          <w:p w14:paraId="21F3DB3C"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32E40E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07B8E1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0600F5"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45FAE9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B9ACC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26F510"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494305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40E7489" w14:textId="77777777" w:rsidR="00000000" w:rsidRDefault="00195E73">
            <w:pPr>
              <w:rPr>
                <w:rFonts w:eastAsia="Times New Roman"/>
                <w:sz w:val="20"/>
                <w:szCs w:val="20"/>
              </w:rPr>
            </w:pPr>
          </w:p>
        </w:tc>
        <w:tc>
          <w:tcPr>
            <w:tcW w:w="0" w:type="auto"/>
            <w:vAlign w:val="center"/>
            <w:hideMark/>
          </w:tcPr>
          <w:p w14:paraId="29996ED5" w14:textId="77777777" w:rsidR="00000000" w:rsidRDefault="00195E73">
            <w:pPr>
              <w:rPr>
                <w:rFonts w:eastAsia="Times New Roman"/>
                <w:sz w:val="20"/>
                <w:szCs w:val="20"/>
              </w:rPr>
            </w:pPr>
          </w:p>
        </w:tc>
        <w:tc>
          <w:tcPr>
            <w:tcW w:w="0" w:type="auto"/>
            <w:vAlign w:val="center"/>
            <w:hideMark/>
          </w:tcPr>
          <w:p w14:paraId="7E3DAAA8" w14:textId="77777777" w:rsidR="00000000" w:rsidRDefault="00195E73">
            <w:pPr>
              <w:rPr>
                <w:rFonts w:eastAsia="Times New Roman"/>
                <w:sz w:val="20"/>
                <w:szCs w:val="20"/>
              </w:rPr>
            </w:pPr>
          </w:p>
        </w:tc>
        <w:tc>
          <w:tcPr>
            <w:tcW w:w="0" w:type="auto"/>
            <w:vAlign w:val="center"/>
            <w:hideMark/>
          </w:tcPr>
          <w:p w14:paraId="1EC8E199" w14:textId="77777777" w:rsidR="00000000" w:rsidRDefault="00195E73">
            <w:pPr>
              <w:rPr>
                <w:rFonts w:eastAsia="Times New Roman"/>
                <w:sz w:val="20"/>
                <w:szCs w:val="20"/>
              </w:rPr>
            </w:pPr>
          </w:p>
        </w:tc>
        <w:tc>
          <w:tcPr>
            <w:tcW w:w="0" w:type="auto"/>
            <w:vAlign w:val="center"/>
            <w:hideMark/>
          </w:tcPr>
          <w:p w14:paraId="1B837A15" w14:textId="77777777" w:rsidR="00000000" w:rsidRDefault="00195E73">
            <w:pPr>
              <w:rPr>
                <w:rFonts w:eastAsia="Times New Roman"/>
                <w:sz w:val="20"/>
                <w:szCs w:val="20"/>
              </w:rPr>
            </w:pPr>
          </w:p>
        </w:tc>
        <w:tc>
          <w:tcPr>
            <w:tcW w:w="0" w:type="auto"/>
            <w:vAlign w:val="center"/>
            <w:hideMark/>
          </w:tcPr>
          <w:p w14:paraId="1DEF46C1" w14:textId="77777777" w:rsidR="00000000" w:rsidRDefault="00195E73">
            <w:pPr>
              <w:rPr>
                <w:rFonts w:eastAsia="Times New Roman"/>
                <w:sz w:val="20"/>
                <w:szCs w:val="20"/>
              </w:rPr>
            </w:pPr>
          </w:p>
        </w:tc>
        <w:tc>
          <w:tcPr>
            <w:tcW w:w="0" w:type="auto"/>
            <w:vAlign w:val="center"/>
            <w:hideMark/>
          </w:tcPr>
          <w:p w14:paraId="7F7A2CC1" w14:textId="77777777" w:rsidR="00000000" w:rsidRDefault="00195E73">
            <w:pPr>
              <w:rPr>
                <w:rFonts w:eastAsia="Times New Roman"/>
                <w:sz w:val="20"/>
                <w:szCs w:val="20"/>
              </w:rPr>
            </w:pPr>
          </w:p>
        </w:tc>
        <w:tc>
          <w:tcPr>
            <w:tcW w:w="0" w:type="auto"/>
            <w:vAlign w:val="center"/>
            <w:hideMark/>
          </w:tcPr>
          <w:p w14:paraId="0D13F5BB" w14:textId="77777777" w:rsidR="00000000" w:rsidRDefault="00195E73">
            <w:pPr>
              <w:rPr>
                <w:rFonts w:eastAsia="Times New Roman"/>
                <w:sz w:val="20"/>
                <w:szCs w:val="20"/>
              </w:rPr>
            </w:pPr>
          </w:p>
        </w:tc>
        <w:tc>
          <w:tcPr>
            <w:tcW w:w="0" w:type="auto"/>
            <w:vAlign w:val="center"/>
            <w:hideMark/>
          </w:tcPr>
          <w:p w14:paraId="51C6C619" w14:textId="77777777" w:rsidR="00000000" w:rsidRDefault="00195E73">
            <w:pPr>
              <w:rPr>
                <w:rFonts w:eastAsia="Times New Roman"/>
                <w:sz w:val="20"/>
                <w:szCs w:val="20"/>
              </w:rPr>
            </w:pPr>
          </w:p>
        </w:tc>
        <w:tc>
          <w:tcPr>
            <w:tcW w:w="0" w:type="auto"/>
            <w:vAlign w:val="center"/>
            <w:hideMark/>
          </w:tcPr>
          <w:p w14:paraId="51AA8BA4" w14:textId="77777777" w:rsidR="00000000" w:rsidRDefault="00195E73">
            <w:pPr>
              <w:rPr>
                <w:rFonts w:eastAsia="Times New Roman"/>
                <w:sz w:val="20"/>
                <w:szCs w:val="20"/>
              </w:rPr>
            </w:pPr>
          </w:p>
        </w:tc>
        <w:tc>
          <w:tcPr>
            <w:tcW w:w="0" w:type="auto"/>
            <w:vAlign w:val="center"/>
            <w:hideMark/>
          </w:tcPr>
          <w:p w14:paraId="16BBF543" w14:textId="77777777" w:rsidR="00000000" w:rsidRDefault="00195E73">
            <w:pPr>
              <w:rPr>
                <w:rFonts w:eastAsia="Times New Roman"/>
                <w:sz w:val="20"/>
                <w:szCs w:val="20"/>
              </w:rPr>
            </w:pPr>
          </w:p>
        </w:tc>
        <w:tc>
          <w:tcPr>
            <w:tcW w:w="0" w:type="auto"/>
            <w:vAlign w:val="center"/>
            <w:hideMark/>
          </w:tcPr>
          <w:p w14:paraId="43BCC748" w14:textId="77777777" w:rsidR="00000000" w:rsidRDefault="00195E73">
            <w:pPr>
              <w:rPr>
                <w:rFonts w:eastAsia="Times New Roman"/>
                <w:sz w:val="20"/>
                <w:szCs w:val="20"/>
              </w:rPr>
            </w:pPr>
          </w:p>
        </w:tc>
      </w:tr>
      <w:tr w:rsidR="00000000" w14:paraId="3600A263" w14:textId="77777777">
        <w:trPr>
          <w:divId w:val="1718158558"/>
        </w:trPr>
        <w:tc>
          <w:tcPr>
            <w:tcW w:w="0" w:type="auto"/>
            <w:gridSpan w:val="3"/>
            <w:shd w:val="clear" w:color="auto" w:fill="CCEEFF"/>
            <w:tcMar>
              <w:top w:w="30" w:type="dxa"/>
              <w:left w:w="20" w:type="dxa"/>
              <w:bottom w:w="30" w:type="dxa"/>
              <w:right w:w="20" w:type="dxa"/>
            </w:tcMar>
            <w:vAlign w:val="bottom"/>
            <w:hideMark/>
          </w:tcPr>
          <w:p w14:paraId="7DEA699D" w14:textId="77777777" w:rsidR="00000000" w:rsidRDefault="00195E73">
            <w:pPr>
              <w:ind w:hanging="180"/>
              <w:divId w:val="1513453569"/>
              <w:rPr>
                <w:rFonts w:eastAsia="Times New Roman"/>
              </w:rPr>
            </w:pPr>
            <w:r>
              <w:rPr>
                <w:rFonts w:eastAsia="Times New Roman"/>
                <w:color w:val="000000"/>
                <w:sz w:val="20"/>
                <w:szCs w:val="20"/>
              </w:rPr>
              <w:t>Reclassific</w:t>
            </w:r>
            <w:r>
              <w:rPr>
                <w:rFonts w:eastAsia="Times New Roman"/>
                <w:color w:val="000000"/>
                <w:sz w:val="20"/>
                <w:szCs w:val="20"/>
              </w:rPr>
              <w:t>ations from accumulated other comprehensive loss to earnings, net of ta</w:t>
            </w:r>
            <w:r>
              <w:rPr>
                <w:rFonts w:eastAsia="Times New Roman"/>
                <w:color w:val="000000"/>
                <w:sz w:val="20"/>
                <w:szCs w:val="20"/>
              </w:rPr>
              <w:t>x</w:t>
            </w:r>
          </w:p>
        </w:tc>
        <w:tc>
          <w:tcPr>
            <w:tcW w:w="0" w:type="auto"/>
            <w:gridSpan w:val="2"/>
            <w:shd w:val="clear" w:color="auto" w:fill="CCEEFF"/>
            <w:tcMar>
              <w:top w:w="30" w:type="dxa"/>
              <w:left w:w="20" w:type="dxa"/>
              <w:bottom w:w="30" w:type="dxa"/>
              <w:right w:w="0" w:type="dxa"/>
            </w:tcMar>
            <w:vAlign w:val="bottom"/>
            <w:hideMark/>
          </w:tcPr>
          <w:p w14:paraId="24E2A499"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5D13F1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76E80C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4FB601"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E05F81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60A646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BA1D5B"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A04FB6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C2DAC55" w14:textId="77777777" w:rsidR="00000000" w:rsidRDefault="00195E73">
            <w:pPr>
              <w:rPr>
                <w:rFonts w:eastAsia="Times New Roman"/>
                <w:sz w:val="20"/>
                <w:szCs w:val="20"/>
              </w:rPr>
            </w:pPr>
          </w:p>
        </w:tc>
        <w:tc>
          <w:tcPr>
            <w:tcW w:w="0" w:type="auto"/>
            <w:vAlign w:val="center"/>
            <w:hideMark/>
          </w:tcPr>
          <w:p w14:paraId="3F3913C4" w14:textId="77777777" w:rsidR="00000000" w:rsidRDefault="00195E73">
            <w:pPr>
              <w:rPr>
                <w:rFonts w:eastAsia="Times New Roman"/>
                <w:sz w:val="20"/>
                <w:szCs w:val="20"/>
              </w:rPr>
            </w:pPr>
          </w:p>
        </w:tc>
        <w:tc>
          <w:tcPr>
            <w:tcW w:w="0" w:type="auto"/>
            <w:vAlign w:val="center"/>
            <w:hideMark/>
          </w:tcPr>
          <w:p w14:paraId="0BB82CB5" w14:textId="77777777" w:rsidR="00000000" w:rsidRDefault="00195E73">
            <w:pPr>
              <w:rPr>
                <w:rFonts w:eastAsia="Times New Roman"/>
                <w:sz w:val="20"/>
                <w:szCs w:val="20"/>
              </w:rPr>
            </w:pPr>
          </w:p>
        </w:tc>
        <w:tc>
          <w:tcPr>
            <w:tcW w:w="0" w:type="auto"/>
            <w:vAlign w:val="center"/>
            <w:hideMark/>
          </w:tcPr>
          <w:p w14:paraId="3397E1D0" w14:textId="77777777" w:rsidR="00000000" w:rsidRDefault="00195E73">
            <w:pPr>
              <w:rPr>
                <w:rFonts w:eastAsia="Times New Roman"/>
                <w:sz w:val="20"/>
                <w:szCs w:val="20"/>
              </w:rPr>
            </w:pPr>
          </w:p>
        </w:tc>
        <w:tc>
          <w:tcPr>
            <w:tcW w:w="0" w:type="auto"/>
            <w:vAlign w:val="center"/>
            <w:hideMark/>
          </w:tcPr>
          <w:p w14:paraId="64BEBC08" w14:textId="77777777" w:rsidR="00000000" w:rsidRDefault="00195E73">
            <w:pPr>
              <w:rPr>
                <w:rFonts w:eastAsia="Times New Roman"/>
                <w:sz w:val="20"/>
                <w:szCs w:val="20"/>
              </w:rPr>
            </w:pPr>
          </w:p>
        </w:tc>
        <w:tc>
          <w:tcPr>
            <w:tcW w:w="0" w:type="auto"/>
            <w:vAlign w:val="center"/>
            <w:hideMark/>
          </w:tcPr>
          <w:p w14:paraId="04406616" w14:textId="77777777" w:rsidR="00000000" w:rsidRDefault="00195E73">
            <w:pPr>
              <w:rPr>
                <w:rFonts w:eastAsia="Times New Roman"/>
                <w:sz w:val="20"/>
                <w:szCs w:val="20"/>
              </w:rPr>
            </w:pPr>
          </w:p>
        </w:tc>
        <w:tc>
          <w:tcPr>
            <w:tcW w:w="0" w:type="auto"/>
            <w:vAlign w:val="center"/>
            <w:hideMark/>
          </w:tcPr>
          <w:p w14:paraId="3599120A" w14:textId="77777777" w:rsidR="00000000" w:rsidRDefault="00195E73">
            <w:pPr>
              <w:rPr>
                <w:rFonts w:eastAsia="Times New Roman"/>
                <w:sz w:val="20"/>
                <w:szCs w:val="20"/>
              </w:rPr>
            </w:pPr>
          </w:p>
        </w:tc>
        <w:tc>
          <w:tcPr>
            <w:tcW w:w="0" w:type="auto"/>
            <w:vAlign w:val="center"/>
            <w:hideMark/>
          </w:tcPr>
          <w:p w14:paraId="4C55DE60" w14:textId="77777777" w:rsidR="00000000" w:rsidRDefault="00195E73">
            <w:pPr>
              <w:rPr>
                <w:rFonts w:eastAsia="Times New Roman"/>
                <w:sz w:val="20"/>
                <w:szCs w:val="20"/>
              </w:rPr>
            </w:pPr>
          </w:p>
        </w:tc>
        <w:tc>
          <w:tcPr>
            <w:tcW w:w="0" w:type="auto"/>
            <w:vAlign w:val="center"/>
            <w:hideMark/>
          </w:tcPr>
          <w:p w14:paraId="1540F36D" w14:textId="77777777" w:rsidR="00000000" w:rsidRDefault="00195E73">
            <w:pPr>
              <w:rPr>
                <w:rFonts w:eastAsia="Times New Roman"/>
                <w:sz w:val="20"/>
                <w:szCs w:val="20"/>
              </w:rPr>
            </w:pPr>
          </w:p>
        </w:tc>
        <w:tc>
          <w:tcPr>
            <w:tcW w:w="0" w:type="auto"/>
            <w:vAlign w:val="center"/>
            <w:hideMark/>
          </w:tcPr>
          <w:p w14:paraId="77C75B4F" w14:textId="77777777" w:rsidR="00000000" w:rsidRDefault="00195E73">
            <w:pPr>
              <w:rPr>
                <w:rFonts w:eastAsia="Times New Roman"/>
                <w:sz w:val="20"/>
                <w:szCs w:val="20"/>
              </w:rPr>
            </w:pPr>
          </w:p>
        </w:tc>
        <w:tc>
          <w:tcPr>
            <w:tcW w:w="0" w:type="auto"/>
            <w:vAlign w:val="center"/>
            <w:hideMark/>
          </w:tcPr>
          <w:p w14:paraId="3606E72D" w14:textId="77777777" w:rsidR="00000000" w:rsidRDefault="00195E73">
            <w:pPr>
              <w:rPr>
                <w:rFonts w:eastAsia="Times New Roman"/>
                <w:sz w:val="20"/>
                <w:szCs w:val="20"/>
              </w:rPr>
            </w:pPr>
          </w:p>
        </w:tc>
        <w:tc>
          <w:tcPr>
            <w:tcW w:w="0" w:type="auto"/>
            <w:vAlign w:val="center"/>
            <w:hideMark/>
          </w:tcPr>
          <w:p w14:paraId="41DF7E64" w14:textId="77777777" w:rsidR="00000000" w:rsidRDefault="00195E73">
            <w:pPr>
              <w:rPr>
                <w:rFonts w:eastAsia="Times New Roman"/>
                <w:sz w:val="20"/>
                <w:szCs w:val="20"/>
              </w:rPr>
            </w:pPr>
          </w:p>
        </w:tc>
      </w:tr>
      <w:tr w:rsidR="00000000" w14:paraId="10377C9A" w14:textId="77777777">
        <w:trPr>
          <w:divId w:val="1718158558"/>
        </w:trPr>
        <w:tc>
          <w:tcPr>
            <w:tcW w:w="0" w:type="auto"/>
            <w:gridSpan w:val="3"/>
            <w:shd w:val="clear" w:color="auto" w:fill="FFFFFF"/>
            <w:tcMar>
              <w:top w:w="30" w:type="dxa"/>
              <w:left w:w="20" w:type="dxa"/>
              <w:bottom w:w="30" w:type="dxa"/>
              <w:right w:w="20" w:type="dxa"/>
            </w:tcMar>
            <w:vAlign w:val="bottom"/>
            <w:hideMark/>
          </w:tcPr>
          <w:p w14:paraId="5162848F" w14:textId="77777777" w:rsidR="00000000" w:rsidRDefault="00195E73">
            <w:pPr>
              <w:rPr>
                <w:rFonts w:eastAsia="Times New Roman"/>
              </w:rPr>
            </w:pPr>
            <w:r>
              <w:rPr>
                <w:rFonts w:eastAsia="Times New Roman"/>
                <w:color w:val="000000"/>
                <w:sz w:val="20"/>
                <w:szCs w:val="20"/>
              </w:rPr>
              <w:t>Other comprehensive (loss) income, net of ta</w:t>
            </w:r>
            <w:r>
              <w:rPr>
                <w:rFonts w:eastAsia="Times New Roman"/>
                <w:color w:val="000000"/>
                <w:sz w:val="20"/>
                <w:szCs w:val="20"/>
              </w:rPr>
              <w:t>x</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843E8F"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B60E14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EAEEE6E"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FDCE0C"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ED6854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C3528D"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42C4B0"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280692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34E04FC" w14:textId="77777777" w:rsidR="00000000" w:rsidRDefault="00195E73">
            <w:pPr>
              <w:rPr>
                <w:rFonts w:eastAsia="Times New Roman"/>
                <w:sz w:val="20"/>
                <w:szCs w:val="20"/>
              </w:rPr>
            </w:pPr>
          </w:p>
        </w:tc>
        <w:tc>
          <w:tcPr>
            <w:tcW w:w="0" w:type="auto"/>
            <w:vAlign w:val="center"/>
            <w:hideMark/>
          </w:tcPr>
          <w:p w14:paraId="232203E7" w14:textId="77777777" w:rsidR="00000000" w:rsidRDefault="00195E73">
            <w:pPr>
              <w:rPr>
                <w:rFonts w:eastAsia="Times New Roman"/>
                <w:sz w:val="20"/>
                <w:szCs w:val="20"/>
              </w:rPr>
            </w:pPr>
          </w:p>
        </w:tc>
        <w:tc>
          <w:tcPr>
            <w:tcW w:w="0" w:type="auto"/>
            <w:vAlign w:val="center"/>
            <w:hideMark/>
          </w:tcPr>
          <w:p w14:paraId="6AFC6BEA" w14:textId="77777777" w:rsidR="00000000" w:rsidRDefault="00195E73">
            <w:pPr>
              <w:rPr>
                <w:rFonts w:eastAsia="Times New Roman"/>
                <w:sz w:val="20"/>
                <w:szCs w:val="20"/>
              </w:rPr>
            </w:pPr>
          </w:p>
        </w:tc>
        <w:tc>
          <w:tcPr>
            <w:tcW w:w="0" w:type="auto"/>
            <w:vAlign w:val="center"/>
            <w:hideMark/>
          </w:tcPr>
          <w:p w14:paraId="70C4D648" w14:textId="77777777" w:rsidR="00000000" w:rsidRDefault="00195E73">
            <w:pPr>
              <w:rPr>
                <w:rFonts w:eastAsia="Times New Roman"/>
                <w:sz w:val="20"/>
                <w:szCs w:val="20"/>
              </w:rPr>
            </w:pPr>
          </w:p>
        </w:tc>
        <w:tc>
          <w:tcPr>
            <w:tcW w:w="0" w:type="auto"/>
            <w:vAlign w:val="center"/>
            <w:hideMark/>
          </w:tcPr>
          <w:p w14:paraId="4A5D861C" w14:textId="77777777" w:rsidR="00000000" w:rsidRDefault="00195E73">
            <w:pPr>
              <w:rPr>
                <w:rFonts w:eastAsia="Times New Roman"/>
                <w:sz w:val="20"/>
                <w:szCs w:val="20"/>
              </w:rPr>
            </w:pPr>
          </w:p>
        </w:tc>
        <w:tc>
          <w:tcPr>
            <w:tcW w:w="0" w:type="auto"/>
            <w:vAlign w:val="center"/>
            <w:hideMark/>
          </w:tcPr>
          <w:p w14:paraId="00EEC70D" w14:textId="77777777" w:rsidR="00000000" w:rsidRDefault="00195E73">
            <w:pPr>
              <w:rPr>
                <w:rFonts w:eastAsia="Times New Roman"/>
                <w:sz w:val="20"/>
                <w:szCs w:val="20"/>
              </w:rPr>
            </w:pPr>
          </w:p>
        </w:tc>
        <w:tc>
          <w:tcPr>
            <w:tcW w:w="0" w:type="auto"/>
            <w:vAlign w:val="center"/>
            <w:hideMark/>
          </w:tcPr>
          <w:p w14:paraId="63570042" w14:textId="77777777" w:rsidR="00000000" w:rsidRDefault="00195E73">
            <w:pPr>
              <w:rPr>
                <w:rFonts w:eastAsia="Times New Roman"/>
                <w:sz w:val="20"/>
                <w:szCs w:val="20"/>
              </w:rPr>
            </w:pPr>
          </w:p>
        </w:tc>
        <w:tc>
          <w:tcPr>
            <w:tcW w:w="0" w:type="auto"/>
            <w:vAlign w:val="center"/>
            <w:hideMark/>
          </w:tcPr>
          <w:p w14:paraId="1BB1C935" w14:textId="77777777" w:rsidR="00000000" w:rsidRDefault="00195E73">
            <w:pPr>
              <w:rPr>
                <w:rFonts w:eastAsia="Times New Roman"/>
                <w:sz w:val="20"/>
                <w:szCs w:val="20"/>
              </w:rPr>
            </w:pPr>
          </w:p>
        </w:tc>
        <w:tc>
          <w:tcPr>
            <w:tcW w:w="0" w:type="auto"/>
            <w:vAlign w:val="center"/>
            <w:hideMark/>
          </w:tcPr>
          <w:p w14:paraId="0E80C468" w14:textId="77777777" w:rsidR="00000000" w:rsidRDefault="00195E73">
            <w:pPr>
              <w:rPr>
                <w:rFonts w:eastAsia="Times New Roman"/>
                <w:sz w:val="20"/>
                <w:szCs w:val="20"/>
              </w:rPr>
            </w:pPr>
          </w:p>
        </w:tc>
        <w:tc>
          <w:tcPr>
            <w:tcW w:w="0" w:type="auto"/>
            <w:vAlign w:val="center"/>
            <w:hideMark/>
          </w:tcPr>
          <w:p w14:paraId="7CFB8E90" w14:textId="77777777" w:rsidR="00000000" w:rsidRDefault="00195E73">
            <w:pPr>
              <w:rPr>
                <w:rFonts w:eastAsia="Times New Roman"/>
                <w:sz w:val="20"/>
                <w:szCs w:val="20"/>
              </w:rPr>
            </w:pPr>
          </w:p>
        </w:tc>
        <w:tc>
          <w:tcPr>
            <w:tcW w:w="0" w:type="auto"/>
            <w:vAlign w:val="center"/>
            <w:hideMark/>
          </w:tcPr>
          <w:p w14:paraId="599920C6" w14:textId="77777777" w:rsidR="00000000" w:rsidRDefault="00195E73">
            <w:pPr>
              <w:rPr>
                <w:rFonts w:eastAsia="Times New Roman"/>
                <w:sz w:val="20"/>
                <w:szCs w:val="20"/>
              </w:rPr>
            </w:pPr>
          </w:p>
        </w:tc>
        <w:tc>
          <w:tcPr>
            <w:tcW w:w="0" w:type="auto"/>
            <w:vAlign w:val="center"/>
            <w:hideMark/>
          </w:tcPr>
          <w:p w14:paraId="628B2C83" w14:textId="77777777" w:rsidR="00000000" w:rsidRDefault="00195E73">
            <w:pPr>
              <w:rPr>
                <w:rFonts w:eastAsia="Times New Roman"/>
                <w:sz w:val="20"/>
                <w:szCs w:val="20"/>
              </w:rPr>
            </w:pPr>
          </w:p>
        </w:tc>
      </w:tr>
      <w:tr w:rsidR="00000000" w14:paraId="49C4EF13" w14:textId="77777777">
        <w:trPr>
          <w:divId w:val="1718158558"/>
        </w:trPr>
        <w:tc>
          <w:tcPr>
            <w:tcW w:w="0" w:type="auto"/>
            <w:gridSpan w:val="3"/>
            <w:shd w:val="clear" w:color="auto" w:fill="CCEEFF"/>
            <w:tcMar>
              <w:top w:w="30" w:type="dxa"/>
              <w:left w:w="20" w:type="dxa"/>
              <w:bottom w:w="30" w:type="dxa"/>
              <w:right w:w="20" w:type="dxa"/>
            </w:tcMar>
            <w:vAlign w:val="bottom"/>
            <w:hideMark/>
          </w:tcPr>
          <w:p w14:paraId="3BB3DFB6" w14:textId="77777777" w:rsidR="00000000" w:rsidRDefault="00195E73">
            <w:pPr>
              <w:rPr>
                <w:rFonts w:eastAsia="Times New Roman"/>
              </w:rPr>
            </w:pPr>
            <w:r>
              <w:rPr>
                <w:rFonts w:eastAsia="Times New Roman"/>
                <w:color w:val="000000"/>
                <w:sz w:val="20"/>
                <w:szCs w:val="20"/>
              </w:rPr>
              <w:t>Elimination of stranded tax effects resulting from tax legislatio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7E9A12B1"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7CC1EB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CC41E0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C13655"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14E267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27211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2D321E"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6E87CA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00388D0" w14:textId="77777777" w:rsidR="00000000" w:rsidRDefault="00195E73">
            <w:pPr>
              <w:rPr>
                <w:rFonts w:eastAsia="Times New Roman"/>
                <w:sz w:val="20"/>
                <w:szCs w:val="20"/>
              </w:rPr>
            </w:pPr>
          </w:p>
        </w:tc>
        <w:tc>
          <w:tcPr>
            <w:tcW w:w="0" w:type="auto"/>
            <w:vAlign w:val="center"/>
            <w:hideMark/>
          </w:tcPr>
          <w:p w14:paraId="72A43B1F" w14:textId="77777777" w:rsidR="00000000" w:rsidRDefault="00195E73">
            <w:pPr>
              <w:rPr>
                <w:rFonts w:eastAsia="Times New Roman"/>
                <w:sz w:val="20"/>
                <w:szCs w:val="20"/>
              </w:rPr>
            </w:pPr>
          </w:p>
        </w:tc>
        <w:tc>
          <w:tcPr>
            <w:tcW w:w="0" w:type="auto"/>
            <w:vAlign w:val="center"/>
            <w:hideMark/>
          </w:tcPr>
          <w:p w14:paraId="217D10DF" w14:textId="77777777" w:rsidR="00000000" w:rsidRDefault="00195E73">
            <w:pPr>
              <w:rPr>
                <w:rFonts w:eastAsia="Times New Roman"/>
                <w:sz w:val="20"/>
                <w:szCs w:val="20"/>
              </w:rPr>
            </w:pPr>
          </w:p>
        </w:tc>
        <w:tc>
          <w:tcPr>
            <w:tcW w:w="0" w:type="auto"/>
            <w:vAlign w:val="center"/>
            <w:hideMark/>
          </w:tcPr>
          <w:p w14:paraId="55FCF12F" w14:textId="77777777" w:rsidR="00000000" w:rsidRDefault="00195E73">
            <w:pPr>
              <w:rPr>
                <w:rFonts w:eastAsia="Times New Roman"/>
                <w:sz w:val="20"/>
                <w:szCs w:val="20"/>
              </w:rPr>
            </w:pPr>
          </w:p>
        </w:tc>
        <w:tc>
          <w:tcPr>
            <w:tcW w:w="0" w:type="auto"/>
            <w:vAlign w:val="center"/>
            <w:hideMark/>
          </w:tcPr>
          <w:p w14:paraId="63BD7E6D" w14:textId="77777777" w:rsidR="00000000" w:rsidRDefault="00195E73">
            <w:pPr>
              <w:rPr>
                <w:rFonts w:eastAsia="Times New Roman"/>
                <w:sz w:val="20"/>
                <w:szCs w:val="20"/>
              </w:rPr>
            </w:pPr>
          </w:p>
        </w:tc>
        <w:tc>
          <w:tcPr>
            <w:tcW w:w="0" w:type="auto"/>
            <w:vAlign w:val="center"/>
            <w:hideMark/>
          </w:tcPr>
          <w:p w14:paraId="77A7FA14" w14:textId="77777777" w:rsidR="00000000" w:rsidRDefault="00195E73">
            <w:pPr>
              <w:rPr>
                <w:rFonts w:eastAsia="Times New Roman"/>
                <w:sz w:val="20"/>
                <w:szCs w:val="20"/>
              </w:rPr>
            </w:pPr>
          </w:p>
        </w:tc>
        <w:tc>
          <w:tcPr>
            <w:tcW w:w="0" w:type="auto"/>
            <w:vAlign w:val="center"/>
            <w:hideMark/>
          </w:tcPr>
          <w:p w14:paraId="0231D358" w14:textId="77777777" w:rsidR="00000000" w:rsidRDefault="00195E73">
            <w:pPr>
              <w:rPr>
                <w:rFonts w:eastAsia="Times New Roman"/>
                <w:sz w:val="20"/>
                <w:szCs w:val="20"/>
              </w:rPr>
            </w:pPr>
          </w:p>
        </w:tc>
        <w:tc>
          <w:tcPr>
            <w:tcW w:w="0" w:type="auto"/>
            <w:vAlign w:val="center"/>
            <w:hideMark/>
          </w:tcPr>
          <w:p w14:paraId="4C859708" w14:textId="77777777" w:rsidR="00000000" w:rsidRDefault="00195E73">
            <w:pPr>
              <w:rPr>
                <w:rFonts w:eastAsia="Times New Roman"/>
                <w:sz w:val="20"/>
                <w:szCs w:val="20"/>
              </w:rPr>
            </w:pPr>
          </w:p>
        </w:tc>
        <w:tc>
          <w:tcPr>
            <w:tcW w:w="0" w:type="auto"/>
            <w:vAlign w:val="center"/>
            <w:hideMark/>
          </w:tcPr>
          <w:p w14:paraId="3BFFF35D" w14:textId="77777777" w:rsidR="00000000" w:rsidRDefault="00195E73">
            <w:pPr>
              <w:rPr>
                <w:rFonts w:eastAsia="Times New Roman"/>
                <w:sz w:val="20"/>
                <w:szCs w:val="20"/>
              </w:rPr>
            </w:pPr>
          </w:p>
        </w:tc>
        <w:tc>
          <w:tcPr>
            <w:tcW w:w="0" w:type="auto"/>
            <w:vAlign w:val="center"/>
            <w:hideMark/>
          </w:tcPr>
          <w:p w14:paraId="6527FF04" w14:textId="77777777" w:rsidR="00000000" w:rsidRDefault="00195E73">
            <w:pPr>
              <w:rPr>
                <w:rFonts w:eastAsia="Times New Roman"/>
                <w:sz w:val="20"/>
                <w:szCs w:val="20"/>
              </w:rPr>
            </w:pPr>
          </w:p>
        </w:tc>
        <w:tc>
          <w:tcPr>
            <w:tcW w:w="0" w:type="auto"/>
            <w:vAlign w:val="center"/>
            <w:hideMark/>
          </w:tcPr>
          <w:p w14:paraId="4A6F1A30" w14:textId="77777777" w:rsidR="00000000" w:rsidRDefault="00195E73">
            <w:pPr>
              <w:rPr>
                <w:rFonts w:eastAsia="Times New Roman"/>
                <w:sz w:val="20"/>
                <w:szCs w:val="20"/>
              </w:rPr>
            </w:pPr>
          </w:p>
        </w:tc>
        <w:tc>
          <w:tcPr>
            <w:tcW w:w="0" w:type="auto"/>
            <w:vAlign w:val="center"/>
            <w:hideMark/>
          </w:tcPr>
          <w:p w14:paraId="234C8632" w14:textId="77777777" w:rsidR="00000000" w:rsidRDefault="00195E73">
            <w:pPr>
              <w:rPr>
                <w:rFonts w:eastAsia="Times New Roman"/>
                <w:sz w:val="20"/>
                <w:szCs w:val="20"/>
              </w:rPr>
            </w:pPr>
          </w:p>
        </w:tc>
      </w:tr>
      <w:tr w:rsidR="00000000" w14:paraId="51E51E11" w14:textId="77777777">
        <w:trPr>
          <w:divId w:val="1718158558"/>
        </w:trPr>
        <w:tc>
          <w:tcPr>
            <w:tcW w:w="0" w:type="auto"/>
            <w:gridSpan w:val="3"/>
            <w:shd w:val="clear" w:color="auto" w:fill="FFFFFF"/>
            <w:tcMar>
              <w:top w:w="30" w:type="dxa"/>
              <w:left w:w="20" w:type="dxa"/>
              <w:bottom w:w="30" w:type="dxa"/>
              <w:right w:w="20" w:type="dxa"/>
            </w:tcMar>
            <w:vAlign w:val="bottom"/>
            <w:hideMark/>
          </w:tcPr>
          <w:p w14:paraId="23148D9C" w14:textId="77777777" w:rsidR="00000000" w:rsidRDefault="00195E73">
            <w:pPr>
              <w:rPr>
                <w:rFonts w:eastAsia="Times New Roman"/>
              </w:rPr>
            </w:pPr>
            <w:r>
              <w:rPr>
                <w:rFonts w:eastAsia="Times New Roman"/>
                <w:color w:val="000000"/>
                <w:sz w:val="20"/>
                <w:szCs w:val="20"/>
              </w:rPr>
              <w:t>Balance, December 31, 201</w:t>
            </w:r>
            <w:r>
              <w:rPr>
                <w:rFonts w:eastAsia="Times New Roman"/>
                <w:color w:val="000000"/>
                <w:sz w:val="20"/>
                <w:szCs w:val="20"/>
              </w:rPr>
              <w:t>9</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6896E1D"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41524393" w14:textId="77777777" w:rsidR="00000000" w:rsidRDefault="00195E73">
            <w:pPr>
              <w:jc w:val="right"/>
              <w:rPr>
                <w:rFonts w:eastAsia="Times New Roman"/>
              </w:rPr>
            </w:pPr>
            <w:r>
              <w:rPr>
                <w:rFonts w:eastAsia="Times New Roman"/>
                <w:color w:val="000000"/>
                <w:sz w:val="20"/>
                <w:szCs w:val="20"/>
              </w:rPr>
              <w:t>(40</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BF72D9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49D4690"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0A8BF14"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4B74805" w14:textId="77777777" w:rsidR="00000000" w:rsidRDefault="00195E73">
            <w:pPr>
              <w:jc w:val="right"/>
              <w:rPr>
                <w:rFonts w:eastAsia="Times New Roman"/>
              </w:rPr>
            </w:pPr>
            <w:r>
              <w:rPr>
                <w:rFonts w:eastAsia="Times New Roman"/>
                <w:color w:val="000000"/>
                <w:sz w:val="20"/>
                <w:szCs w:val="20"/>
              </w:rPr>
              <w:t>(49</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652B4E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DF371B0"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F5D505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9E1016A" w14:textId="77777777" w:rsidR="00000000" w:rsidRDefault="00195E73">
            <w:pPr>
              <w:jc w:val="right"/>
              <w:rPr>
                <w:rFonts w:eastAsia="Times New Roman"/>
              </w:rPr>
            </w:pPr>
            <w:r>
              <w:rPr>
                <w:rFonts w:eastAsia="Times New Roman"/>
                <w:color w:val="000000"/>
                <w:sz w:val="20"/>
                <w:szCs w:val="20"/>
              </w:rPr>
              <w:t>(89</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7FFFC2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2782F71" w14:textId="77777777" w:rsidR="00000000" w:rsidRDefault="00195E73">
            <w:pPr>
              <w:rPr>
                <w:rFonts w:eastAsia="Times New Roman"/>
                <w:sz w:val="20"/>
                <w:szCs w:val="20"/>
              </w:rPr>
            </w:pPr>
          </w:p>
        </w:tc>
        <w:tc>
          <w:tcPr>
            <w:tcW w:w="0" w:type="auto"/>
            <w:vAlign w:val="center"/>
            <w:hideMark/>
          </w:tcPr>
          <w:p w14:paraId="67C0D764" w14:textId="77777777" w:rsidR="00000000" w:rsidRDefault="00195E73">
            <w:pPr>
              <w:rPr>
                <w:rFonts w:eastAsia="Times New Roman"/>
                <w:sz w:val="20"/>
                <w:szCs w:val="20"/>
              </w:rPr>
            </w:pPr>
          </w:p>
        </w:tc>
        <w:tc>
          <w:tcPr>
            <w:tcW w:w="0" w:type="auto"/>
            <w:vAlign w:val="center"/>
            <w:hideMark/>
          </w:tcPr>
          <w:p w14:paraId="6C141342" w14:textId="77777777" w:rsidR="00000000" w:rsidRDefault="00195E73">
            <w:pPr>
              <w:rPr>
                <w:rFonts w:eastAsia="Times New Roman"/>
                <w:sz w:val="20"/>
                <w:szCs w:val="20"/>
              </w:rPr>
            </w:pPr>
          </w:p>
        </w:tc>
        <w:tc>
          <w:tcPr>
            <w:tcW w:w="0" w:type="auto"/>
            <w:vAlign w:val="center"/>
            <w:hideMark/>
          </w:tcPr>
          <w:p w14:paraId="5933B573" w14:textId="77777777" w:rsidR="00000000" w:rsidRDefault="00195E73">
            <w:pPr>
              <w:rPr>
                <w:rFonts w:eastAsia="Times New Roman"/>
                <w:sz w:val="20"/>
                <w:szCs w:val="20"/>
              </w:rPr>
            </w:pPr>
          </w:p>
        </w:tc>
        <w:tc>
          <w:tcPr>
            <w:tcW w:w="0" w:type="auto"/>
            <w:vAlign w:val="center"/>
            <w:hideMark/>
          </w:tcPr>
          <w:p w14:paraId="2FC4DAF7" w14:textId="77777777" w:rsidR="00000000" w:rsidRDefault="00195E73">
            <w:pPr>
              <w:rPr>
                <w:rFonts w:eastAsia="Times New Roman"/>
                <w:sz w:val="20"/>
                <w:szCs w:val="20"/>
              </w:rPr>
            </w:pPr>
          </w:p>
        </w:tc>
        <w:tc>
          <w:tcPr>
            <w:tcW w:w="0" w:type="auto"/>
            <w:vAlign w:val="center"/>
            <w:hideMark/>
          </w:tcPr>
          <w:p w14:paraId="2E10F592" w14:textId="77777777" w:rsidR="00000000" w:rsidRDefault="00195E73">
            <w:pPr>
              <w:rPr>
                <w:rFonts w:eastAsia="Times New Roman"/>
                <w:sz w:val="20"/>
                <w:szCs w:val="20"/>
              </w:rPr>
            </w:pPr>
          </w:p>
        </w:tc>
        <w:tc>
          <w:tcPr>
            <w:tcW w:w="0" w:type="auto"/>
            <w:vAlign w:val="center"/>
            <w:hideMark/>
          </w:tcPr>
          <w:p w14:paraId="5BA9B296" w14:textId="77777777" w:rsidR="00000000" w:rsidRDefault="00195E73">
            <w:pPr>
              <w:rPr>
                <w:rFonts w:eastAsia="Times New Roman"/>
                <w:sz w:val="20"/>
                <w:szCs w:val="20"/>
              </w:rPr>
            </w:pPr>
          </w:p>
        </w:tc>
        <w:tc>
          <w:tcPr>
            <w:tcW w:w="0" w:type="auto"/>
            <w:vAlign w:val="center"/>
            <w:hideMark/>
          </w:tcPr>
          <w:p w14:paraId="18350873" w14:textId="77777777" w:rsidR="00000000" w:rsidRDefault="00195E73">
            <w:pPr>
              <w:rPr>
                <w:rFonts w:eastAsia="Times New Roman"/>
                <w:sz w:val="20"/>
                <w:szCs w:val="20"/>
              </w:rPr>
            </w:pPr>
          </w:p>
        </w:tc>
        <w:tc>
          <w:tcPr>
            <w:tcW w:w="0" w:type="auto"/>
            <w:vAlign w:val="center"/>
            <w:hideMark/>
          </w:tcPr>
          <w:p w14:paraId="4591E317" w14:textId="77777777" w:rsidR="00000000" w:rsidRDefault="00195E73">
            <w:pPr>
              <w:rPr>
                <w:rFonts w:eastAsia="Times New Roman"/>
                <w:sz w:val="20"/>
                <w:szCs w:val="20"/>
              </w:rPr>
            </w:pPr>
          </w:p>
        </w:tc>
        <w:tc>
          <w:tcPr>
            <w:tcW w:w="0" w:type="auto"/>
            <w:vAlign w:val="center"/>
            <w:hideMark/>
          </w:tcPr>
          <w:p w14:paraId="08C1D5DB" w14:textId="77777777" w:rsidR="00000000" w:rsidRDefault="00195E73">
            <w:pPr>
              <w:rPr>
                <w:rFonts w:eastAsia="Times New Roman"/>
                <w:sz w:val="20"/>
                <w:szCs w:val="20"/>
              </w:rPr>
            </w:pPr>
          </w:p>
        </w:tc>
        <w:tc>
          <w:tcPr>
            <w:tcW w:w="0" w:type="auto"/>
            <w:vAlign w:val="center"/>
            <w:hideMark/>
          </w:tcPr>
          <w:p w14:paraId="0F35E6A3" w14:textId="77777777" w:rsidR="00000000" w:rsidRDefault="00195E73">
            <w:pPr>
              <w:rPr>
                <w:rFonts w:eastAsia="Times New Roman"/>
                <w:sz w:val="20"/>
                <w:szCs w:val="20"/>
              </w:rPr>
            </w:pPr>
          </w:p>
        </w:tc>
        <w:tc>
          <w:tcPr>
            <w:tcW w:w="0" w:type="auto"/>
            <w:vAlign w:val="center"/>
            <w:hideMark/>
          </w:tcPr>
          <w:p w14:paraId="21DDB7E9" w14:textId="77777777" w:rsidR="00000000" w:rsidRDefault="00195E73">
            <w:pPr>
              <w:rPr>
                <w:rFonts w:eastAsia="Times New Roman"/>
                <w:sz w:val="20"/>
                <w:szCs w:val="20"/>
              </w:rPr>
            </w:pPr>
          </w:p>
        </w:tc>
      </w:tr>
    </w:tbl>
    <w:p w14:paraId="5DBF4366" w14:textId="77777777" w:rsidR="00000000" w:rsidRDefault="00195E73">
      <w:pPr>
        <w:divId w:val="938173726"/>
        <w:rPr>
          <w:rFonts w:eastAsia="Times New Roman"/>
        </w:rPr>
      </w:pPr>
    </w:p>
    <w:p w14:paraId="0D897600" w14:textId="77777777" w:rsidR="00000000" w:rsidRDefault="00195E73">
      <w:pPr>
        <w:divId w:val="1305937037"/>
        <w:rPr>
          <w:rFonts w:eastAsia="Times New Roman"/>
        </w:rPr>
      </w:pPr>
    </w:p>
    <w:p w14:paraId="6D809E96" w14:textId="77777777" w:rsidR="00000000" w:rsidRDefault="00195E73">
      <w:pPr>
        <w:ind w:hanging="360"/>
        <w:divId w:val="706301649"/>
        <w:rPr>
          <w:rFonts w:eastAsia="Times New Roman"/>
        </w:rPr>
      </w:pPr>
      <w:r>
        <w:rPr>
          <w:rFonts w:eastAsia="Times New Roman"/>
          <w:b/>
          <w:bCs/>
          <w:color w:val="000000"/>
          <w:sz w:val="20"/>
          <w:szCs w:val="20"/>
        </w:rPr>
        <w:t>17. Other Income, Net</w:t>
      </w:r>
      <w:r>
        <w:rPr>
          <w:rFonts w:eastAsia="Times New Roman"/>
          <w:b/>
          <w:bCs/>
          <w:color w:val="000000"/>
          <w:sz w:val="20"/>
          <w:szCs w:val="20"/>
        </w:rPr>
        <w:t>.</w:t>
      </w:r>
    </w:p>
    <w:p w14:paraId="7A50D05B" w14:textId="77777777" w:rsidR="00000000" w:rsidRDefault="00195E73">
      <w:pPr>
        <w:ind w:firstLine="405"/>
        <w:divId w:val="1047148905"/>
        <w:rPr>
          <w:rFonts w:eastAsia="Times New Roman"/>
        </w:rPr>
      </w:pPr>
      <w:r>
        <w:rPr>
          <w:rFonts w:eastAsia="Times New Roman"/>
          <w:color w:val="000000"/>
          <w:sz w:val="20"/>
          <w:szCs w:val="20"/>
        </w:rPr>
        <w:t>Other income, net consists of the following</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086"/>
        <w:gridCol w:w="39"/>
        <w:gridCol w:w="135"/>
        <w:gridCol w:w="955"/>
        <w:gridCol w:w="85"/>
        <w:gridCol w:w="36"/>
        <w:gridCol w:w="36"/>
        <w:gridCol w:w="41"/>
        <w:gridCol w:w="135"/>
        <w:gridCol w:w="921"/>
        <w:gridCol w:w="85"/>
        <w:gridCol w:w="36"/>
        <w:gridCol w:w="36"/>
        <w:gridCol w:w="41"/>
        <w:gridCol w:w="135"/>
        <w:gridCol w:w="922"/>
        <w:gridCol w:w="85"/>
        <w:gridCol w:w="36"/>
        <w:gridCol w:w="36"/>
        <w:gridCol w:w="36"/>
        <w:gridCol w:w="36"/>
        <w:gridCol w:w="36"/>
        <w:gridCol w:w="36"/>
        <w:gridCol w:w="36"/>
        <w:gridCol w:w="36"/>
        <w:gridCol w:w="36"/>
        <w:gridCol w:w="36"/>
        <w:gridCol w:w="36"/>
        <w:gridCol w:w="36"/>
      </w:tblGrid>
      <w:tr w:rsidR="00000000" w14:paraId="506415FD" w14:textId="77777777">
        <w:trPr>
          <w:gridAfter w:val="12"/>
          <w:divId w:val="1538930149"/>
          <w:jc w:val="center"/>
        </w:trPr>
        <w:tc>
          <w:tcPr>
            <w:tcW w:w="50" w:type="pct"/>
            <w:vAlign w:val="center"/>
            <w:hideMark/>
          </w:tcPr>
          <w:p w14:paraId="09563A9C" w14:textId="77777777" w:rsidR="00000000" w:rsidRDefault="00195E73">
            <w:pPr>
              <w:ind w:firstLine="405"/>
              <w:rPr>
                <w:rFonts w:eastAsia="Times New Roman"/>
              </w:rPr>
            </w:pPr>
          </w:p>
        </w:tc>
        <w:tc>
          <w:tcPr>
            <w:tcW w:w="2627" w:type="pct"/>
            <w:vAlign w:val="center"/>
            <w:hideMark/>
          </w:tcPr>
          <w:p w14:paraId="4C13166A" w14:textId="77777777" w:rsidR="00000000" w:rsidRDefault="00195E73">
            <w:pPr>
              <w:rPr>
                <w:rFonts w:eastAsia="Times New Roman"/>
                <w:sz w:val="20"/>
                <w:szCs w:val="20"/>
              </w:rPr>
            </w:pPr>
          </w:p>
        </w:tc>
        <w:tc>
          <w:tcPr>
            <w:tcW w:w="50" w:type="pct"/>
            <w:vAlign w:val="center"/>
            <w:hideMark/>
          </w:tcPr>
          <w:p w14:paraId="134FACA3" w14:textId="77777777" w:rsidR="00000000" w:rsidRDefault="00195E73">
            <w:pPr>
              <w:rPr>
                <w:rFonts w:eastAsia="Times New Roman"/>
                <w:sz w:val="20"/>
                <w:szCs w:val="20"/>
              </w:rPr>
            </w:pPr>
          </w:p>
        </w:tc>
        <w:tc>
          <w:tcPr>
            <w:tcW w:w="50" w:type="pct"/>
            <w:vAlign w:val="center"/>
            <w:hideMark/>
          </w:tcPr>
          <w:p w14:paraId="729EB1AB" w14:textId="77777777" w:rsidR="00000000" w:rsidRDefault="00195E73">
            <w:pPr>
              <w:rPr>
                <w:rFonts w:eastAsia="Times New Roman"/>
                <w:sz w:val="20"/>
                <w:szCs w:val="20"/>
              </w:rPr>
            </w:pPr>
          </w:p>
        </w:tc>
        <w:tc>
          <w:tcPr>
            <w:tcW w:w="633" w:type="pct"/>
            <w:vAlign w:val="center"/>
            <w:hideMark/>
          </w:tcPr>
          <w:p w14:paraId="4D12DFC3" w14:textId="77777777" w:rsidR="00000000" w:rsidRDefault="00195E73">
            <w:pPr>
              <w:rPr>
                <w:rFonts w:eastAsia="Times New Roman"/>
                <w:sz w:val="20"/>
                <w:szCs w:val="20"/>
              </w:rPr>
            </w:pPr>
          </w:p>
        </w:tc>
        <w:tc>
          <w:tcPr>
            <w:tcW w:w="50" w:type="pct"/>
            <w:vAlign w:val="center"/>
            <w:hideMark/>
          </w:tcPr>
          <w:p w14:paraId="681F1261" w14:textId="77777777" w:rsidR="00000000" w:rsidRDefault="00195E73">
            <w:pPr>
              <w:rPr>
                <w:rFonts w:eastAsia="Times New Roman"/>
                <w:sz w:val="20"/>
                <w:szCs w:val="20"/>
              </w:rPr>
            </w:pPr>
          </w:p>
        </w:tc>
        <w:tc>
          <w:tcPr>
            <w:tcW w:w="5" w:type="pct"/>
            <w:vAlign w:val="center"/>
            <w:hideMark/>
          </w:tcPr>
          <w:p w14:paraId="0B110B94" w14:textId="77777777" w:rsidR="00000000" w:rsidRDefault="00195E73">
            <w:pPr>
              <w:rPr>
                <w:rFonts w:eastAsia="Times New Roman"/>
                <w:sz w:val="20"/>
                <w:szCs w:val="20"/>
              </w:rPr>
            </w:pPr>
          </w:p>
        </w:tc>
        <w:tc>
          <w:tcPr>
            <w:tcW w:w="26" w:type="pct"/>
            <w:vAlign w:val="center"/>
            <w:hideMark/>
          </w:tcPr>
          <w:p w14:paraId="27F5D54E" w14:textId="77777777" w:rsidR="00000000" w:rsidRDefault="00195E73">
            <w:pPr>
              <w:rPr>
                <w:rFonts w:eastAsia="Times New Roman"/>
                <w:sz w:val="20"/>
                <w:szCs w:val="20"/>
              </w:rPr>
            </w:pPr>
          </w:p>
        </w:tc>
        <w:tc>
          <w:tcPr>
            <w:tcW w:w="5" w:type="pct"/>
            <w:vAlign w:val="center"/>
            <w:hideMark/>
          </w:tcPr>
          <w:p w14:paraId="1D04CF14" w14:textId="77777777" w:rsidR="00000000" w:rsidRDefault="00195E73">
            <w:pPr>
              <w:rPr>
                <w:rFonts w:eastAsia="Times New Roman"/>
                <w:sz w:val="20"/>
                <w:szCs w:val="20"/>
              </w:rPr>
            </w:pPr>
          </w:p>
        </w:tc>
        <w:tc>
          <w:tcPr>
            <w:tcW w:w="50" w:type="pct"/>
            <w:vAlign w:val="center"/>
            <w:hideMark/>
          </w:tcPr>
          <w:p w14:paraId="5C88FF84" w14:textId="77777777" w:rsidR="00000000" w:rsidRDefault="00195E73">
            <w:pPr>
              <w:rPr>
                <w:rFonts w:eastAsia="Times New Roman"/>
                <w:sz w:val="20"/>
                <w:szCs w:val="20"/>
              </w:rPr>
            </w:pPr>
          </w:p>
        </w:tc>
        <w:tc>
          <w:tcPr>
            <w:tcW w:w="633" w:type="pct"/>
            <w:vAlign w:val="center"/>
            <w:hideMark/>
          </w:tcPr>
          <w:p w14:paraId="0EBF4F36" w14:textId="77777777" w:rsidR="00000000" w:rsidRDefault="00195E73">
            <w:pPr>
              <w:rPr>
                <w:rFonts w:eastAsia="Times New Roman"/>
                <w:sz w:val="20"/>
                <w:szCs w:val="20"/>
              </w:rPr>
            </w:pPr>
          </w:p>
        </w:tc>
        <w:tc>
          <w:tcPr>
            <w:tcW w:w="50" w:type="pct"/>
            <w:vAlign w:val="center"/>
            <w:hideMark/>
          </w:tcPr>
          <w:p w14:paraId="5C4E7F71" w14:textId="77777777" w:rsidR="00000000" w:rsidRDefault="00195E73">
            <w:pPr>
              <w:rPr>
                <w:rFonts w:eastAsia="Times New Roman"/>
                <w:sz w:val="20"/>
                <w:szCs w:val="20"/>
              </w:rPr>
            </w:pPr>
          </w:p>
        </w:tc>
        <w:tc>
          <w:tcPr>
            <w:tcW w:w="5" w:type="pct"/>
            <w:vAlign w:val="center"/>
            <w:hideMark/>
          </w:tcPr>
          <w:p w14:paraId="4A7BEE10" w14:textId="77777777" w:rsidR="00000000" w:rsidRDefault="00195E73">
            <w:pPr>
              <w:rPr>
                <w:rFonts w:eastAsia="Times New Roman"/>
                <w:sz w:val="20"/>
                <w:szCs w:val="20"/>
              </w:rPr>
            </w:pPr>
          </w:p>
        </w:tc>
        <w:tc>
          <w:tcPr>
            <w:tcW w:w="26" w:type="pct"/>
            <w:vAlign w:val="center"/>
            <w:hideMark/>
          </w:tcPr>
          <w:p w14:paraId="0F68B7C1" w14:textId="77777777" w:rsidR="00000000" w:rsidRDefault="00195E73">
            <w:pPr>
              <w:rPr>
                <w:rFonts w:eastAsia="Times New Roman"/>
                <w:sz w:val="20"/>
                <w:szCs w:val="20"/>
              </w:rPr>
            </w:pPr>
          </w:p>
        </w:tc>
        <w:tc>
          <w:tcPr>
            <w:tcW w:w="5" w:type="pct"/>
            <w:vAlign w:val="center"/>
            <w:hideMark/>
          </w:tcPr>
          <w:p w14:paraId="3F5E15B8" w14:textId="77777777" w:rsidR="00000000" w:rsidRDefault="00195E73">
            <w:pPr>
              <w:rPr>
                <w:rFonts w:eastAsia="Times New Roman"/>
                <w:sz w:val="20"/>
                <w:szCs w:val="20"/>
              </w:rPr>
            </w:pPr>
          </w:p>
        </w:tc>
        <w:tc>
          <w:tcPr>
            <w:tcW w:w="50" w:type="pct"/>
            <w:vAlign w:val="center"/>
            <w:hideMark/>
          </w:tcPr>
          <w:p w14:paraId="17740CF0" w14:textId="77777777" w:rsidR="00000000" w:rsidRDefault="00195E73">
            <w:pPr>
              <w:rPr>
                <w:rFonts w:eastAsia="Times New Roman"/>
                <w:sz w:val="20"/>
                <w:szCs w:val="20"/>
              </w:rPr>
            </w:pPr>
          </w:p>
        </w:tc>
        <w:tc>
          <w:tcPr>
            <w:tcW w:w="633" w:type="pct"/>
            <w:vAlign w:val="center"/>
            <w:hideMark/>
          </w:tcPr>
          <w:p w14:paraId="5A21058A" w14:textId="77777777" w:rsidR="00000000" w:rsidRDefault="00195E73">
            <w:pPr>
              <w:rPr>
                <w:rFonts w:eastAsia="Times New Roman"/>
                <w:sz w:val="20"/>
                <w:szCs w:val="20"/>
              </w:rPr>
            </w:pPr>
          </w:p>
        </w:tc>
        <w:tc>
          <w:tcPr>
            <w:tcW w:w="50" w:type="pct"/>
            <w:vAlign w:val="center"/>
            <w:hideMark/>
          </w:tcPr>
          <w:p w14:paraId="3FDE5B5F" w14:textId="77777777" w:rsidR="00000000" w:rsidRDefault="00195E73">
            <w:pPr>
              <w:rPr>
                <w:rFonts w:eastAsia="Times New Roman"/>
                <w:sz w:val="20"/>
                <w:szCs w:val="20"/>
              </w:rPr>
            </w:pPr>
          </w:p>
        </w:tc>
      </w:tr>
      <w:tr w:rsidR="00000000" w14:paraId="5892A6E0" w14:textId="77777777">
        <w:trPr>
          <w:divId w:val="1538930149"/>
          <w:jc w:val="center"/>
        </w:trPr>
        <w:tc>
          <w:tcPr>
            <w:tcW w:w="0" w:type="auto"/>
            <w:gridSpan w:val="3"/>
            <w:tcMar>
              <w:top w:w="15" w:type="dxa"/>
              <w:left w:w="20" w:type="dxa"/>
              <w:bottom w:w="15" w:type="dxa"/>
              <w:right w:w="20" w:type="dxa"/>
            </w:tcMar>
            <w:vAlign w:val="bottom"/>
            <w:hideMark/>
          </w:tcPr>
          <w:p w14:paraId="2AAC79E1"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35CC86F4"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02620CCB" w14:textId="77777777" w:rsidR="00000000" w:rsidRDefault="00195E73">
            <w:pPr>
              <w:jc w:val="center"/>
              <w:rPr>
                <w:rFonts w:eastAsia="Times New Roman"/>
              </w:rPr>
            </w:pPr>
          </w:p>
        </w:tc>
        <w:tc>
          <w:tcPr>
            <w:tcW w:w="0" w:type="auto"/>
            <w:gridSpan w:val="3"/>
            <w:vAlign w:val="center"/>
            <w:hideMark/>
          </w:tcPr>
          <w:p w14:paraId="06918C89" w14:textId="77777777" w:rsidR="00000000" w:rsidRDefault="00195E73">
            <w:pPr>
              <w:rPr>
                <w:rFonts w:eastAsia="Times New Roman"/>
                <w:sz w:val="20"/>
                <w:szCs w:val="20"/>
              </w:rPr>
            </w:pPr>
          </w:p>
        </w:tc>
        <w:tc>
          <w:tcPr>
            <w:tcW w:w="0" w:type="auto"/>
            <w:gridSpan w:val="3"/>
            <w:vAlign w:val="center"/>
            <w:hideMark/>
          </w:tcPr>
          <w:p w14:paraId="18C90D82" w14:textId="77777777" w:rsidR="00000000" w:rsidRDefault="00195E73">
            <w:pPr>
              <w:rPr>
                <w:rFonts w:eastAsia="Times New Roman"/>
                <w:sz w:val="20"/>
                <w:szCs w:val="20"/>
              </w:rPr>
            </w:pPr>
          </w:p>
        </w:tc>
        <w:tc>
          <w:tcPr>
            <w:tcW w:w="0" w:type="auto"/>
            <w:gridSpan w:val="3"/>
            <w:vAlign w:val="center"/>
            <w:hideMark/>
          </w:tcPr>
          <w:p w14:paraId="7418055D" w14:textId="77777777" w:rsidR="00000000" w:rsidRDefault="00195E73">
            <w:pPr>
              <w:rPr>
                <w:rFonts w:eastAsia="Times New Roman"/>
                <w:sz w:val="20"/>
                <w:szCs w:val="20"/>
              </w:rPr>
            </w:pPr>
          </w:p>
        </w:tc>
      </w:tr>
      <w:tr w:rsidR="00000000" w14:paraId="1A291AE8" w14:textId="77777777">
        <w:trPr>
          <w:divId w:val="1538930149"/>
          <w:jc w:val="center"/>
        </w:trPr>
        <w:tc>
          <w:tcPr>
            <w:tcW w:w="0" w:type="auto"/>
            <w:gridSpan w:val="3"/>
            <w:tcMar>
              <w:top w:w="30" w:type="dxa"/>
              <w:left w:w="20" w:type="dxa"/>
              <w:bottom w:w="30" w:type="dxa"/>
              <w:right w:w="20" w:type="dxa"/>
            </w:tcMar>
            <w:vAlign w:val="bottom"/>
            <w:hideMark/>
          </w:tcPr>
          <w:p w14:paraId="0D18B8C5" w14:textId="77777777" w:rsidR="00000000" w:rsidRDefault="00195E73">
            <w:pPr>
              <w:rPr>
                <w:rFonts w:eastAsia="Times New Roman"/>
              </w:rPr>
            </w:pPr>
            <w:r>
              <w:rPr>
                <w:rFonts w:eastAsia="Times New Roman"/>
                <w:b/>
                <w:bCs/>
                <w:color w:val="000000"/>
                <w:sz w:val="20"/>
                <w:szCs w:val="20"/>
              </w:rPr>
              <w:t> </w:t>
            </w: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875056F"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0C5E18B8"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0E6F076"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06A39964"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D403F7C"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34D04DB1" w14:textId="77777777" w:rsidR="00000000" w:rsidRDefault="00195E73">
            <w:pPr>
              <w:rPr>
                <w:rFonts w:eastAsia="Times New Roman"/>
                <w:sz w:val="20"/>
                <w:szCs w:val="20"/>
              </w:rPr>
            </w:pPr>
          </w:p>
        </w:tc>
        <w:tc>
          <w:tcPr>
            <w:tcW w:w="0" w:type="auto"/>
            <w:vAlign w:val="center"/>
            <w:hideMark/>
          </w:tcPr>
          <w:p w14:paraId="36414A61" w14:textId="77777777" w:rsidR="00000000" w:rsidRDefault="00195E73">
            <w:pPr>
              <w:rPr>
                <w:rFonts w:eastAsia="Times New Roman"/>
                <w:sz w:val="20"/>
                <w:szCs w:val="20"/>
              </w:rPr>
            </w:pPr>
          </w:p>
        </w:tc>
        <w:tc>
          <w:tcPr>
            <w:tcW w:w="0" w:type="auto"/>
            <w:vAlign w:val="center"/>
            <w:hideMark/>
          </w:tcPr>
          <w:p w14:paraId="01CF453B" w14:textId="77777777" w:rsidR="00000000" w:rsidRDefault="00195E73">
            <w:pPr>
              <w:rPr>
                <w:rFonts w:eastAsia="Times New Roman"/>
                <w:sz w:val="20"/>
                <w:szCs w:val="20"/>
              </w:rPr>
            </w:pPr>
          </w:p>
        </w:tc>
        <w:tc>
          <w:tcPr>
            <w:tcW w:w="0" w:type="auto"/>
            <w:vAlign w:val="center"/>
            <w:hideMark/>
          </w:tcPr>
          <w:p w14:paraId="079FA1AF" w14:textId="77777777" w:rsidR="00000000" w:rsidRDefault="00195E73">
            <w:pPr>
              <w:rPr>
                <w:rFonts w:eastAsia="Times New Roman"/>
                <w:sz w:val="20"/>
                <w:szCs w:val="20"/>
              </w:rPr>
            </w:pPr>
          </w:p>
        </w:tc>
        <w:tc>
          <w:tcPr>
            <w:tcW w:w="0" w:type="auto"/>
            <w:vAlign w:val="center"/>
            <w:hideMark/>
          </w:tcPr>
          <w:p w14:paraId="120A615D" w14:textId="77777777" w:rsidR="00000000" w:rsidRDefault="00195E73">
            <w:pPr>
              <w:rPr>
                <w:rFonts w:eastAsia="Times New Roman"/>
                <w:sz w:val="20"/>
                <w:szCs w:val="20"/>
              </w:rPr>
            </w:pPr>
          </w:p>
        </w:tc>
        <w:tc>
          <w:tcPr>
            <w:tcW w:w="0" w:type="auto"/>
            <w:vAlign w:val="center"/>
            <w:hideMark/>
          </w:tcPr>
          <w:p w14:paraId="3345EC64" w14:textId="77777777" w:rsidR="00000000" w:rsidRDefault="00195E73">
            <w:pPr>
              <w:rPr>
                <w:rFonts w:eastAsia="Times New Roman"/>
                <w:sz w:val="20"/>
                <w:szCs w:val="20"/>
              </w:rPr>
            </w:pPr>
          </w:p>
        </w:tc>
        <w:tc>
          <w:tcPr>
            <w:tcW w:w="0" w:type="auto"/>
            <w:vAlign w:val="center"/>
            <w:hideMark/>
          </w:tcPr>
          <w:p w14:paraId="1C8A8B17" w14:textId="77777777" w:rsidR="00000000" w:rsidRDefault="00195E73">
            <w:pPr>
              <w:rPr>
                <w:rFonts w:eastAsia="Times New Roman"/>
                <w:sz w:val="20"/>
                <w:szCs w:val="20"/>
              </w:rPr>
            </w:pPr>
          </w:p>
        </w:tc>
        <w:tc>
          <w:tcPr>
            <w:tcW w:w="0" w:type="auto"/>
            <w:vAlign w:val="center"/>
            <w:hideMark/>
          </w:tcPr>
          <w:p w14:paraId="0A06A985" w14:textId="77777777" w:rsidR="00000000" w:rsidRDefault="00195E73">
            <w:pPr>
              <w:rPr>
                <w:rFonts w:eastAsia="Times New Roman"/>
                <w:sz w:val="20"/>
                <w:szCs w:val="20"/>
              </w:rPr>
            </w:pPr>
          </w:p>
        </w:tc>
        <w:tc>
          <w:tcPr>
            <w:tcW w:w="0" w:type="auto"/>
            <w:vAlign w:val="center"/>
            <w:hideMark/>
          </w:tcPr>
          <w:p w14:paraId="3CA1F8F8" w14:textId="77777777" w:rsidR="00000000" w:rsidRDefault="00195E73">
            <w:pPr>
              <w:rPr>
                <w:rFonts w:eastAsia="Times New Roman"/>
                <w:sz w:val="20"/>
                <w:szCs w:val="20"/>
              </w:rPr>
            </w:pPr>
          </w:p>
        </w:tc>
        <w:tc>
          <w:tcPr>
            <w:tcW w:w="0" w:type="auto"/>
            <w:vAlign w:val="center"/>
            <w:hideMark/>
          </w:tcPr>
          <w:p w14:paraId="2CD91348" w14:textId="77777777" w:rsidR="00000000" w:rsidRDefault="00195E73">
            <w:pPr>
              <w:rPr>
                <w:rFonts w:eastAsia="Times New Roman"/>
                <w:sz w:val="20"/>
                <w:szCs w:val="20"/>
              </w:rPr>
            </w:pPr>
          </w:p>
        </w:tc>
        <w:tc>
          <w:tcPr>
            <w:tcW w:w="0" w:type="auto"/>
            <w:vAlign w:val="center"/>
            <w:hideMark/>
          </w:tcPr>
          <w:p w14:paraId="1EC57066" w14:textId="77777777" w:rsidR="00000000" w:rsidRDefault="00195E73">
            <w:pPr>
              <w:rPr>
                <w:rFonts w:eastAsia="Times New Roman"/>
                <w:sz w:val="20"/>
                <w:szCs w:val="20"/>
              </w:rPr>
            </w:pPr>
          </w:p>
        </w:tc>
        <w:tc>
          <w:tcPr>
            <w:tcW w:w="0" w:type="auto"/>
            <w:vAlign w:val="center"/>
            <w:hideMark/>
          </w:tcPr>
          <w:p w14:paraId="1775B839" w14:textId="77777777" w:rsidR="00000000" w:rsidRDefault="00195E73">
            <w:pPr>
              <w:rPr>
                <w:rFonts w:eastAsia="Times New Roman"/>
                <w:sz w:val="20"/>
                <w:szCs w:val="20"/>
              </w:rPr>
            </w:pPr>
          </w:p>
        </w:tc>
      </w:tr>
      <w:tr w:rsidR="00000000" w14:paraId="44830E6B" w14:textId="77777777">
        <w:trPr>
          <w:divId w:val="1538930149"/>
          <w:jc w:val="center"/>
        </w:trPr>
        <w:tc>
          <w:tcPr>
            <w:tcW w:w="0" w:type="auto"/>
            <w:gridSpan w:val="3"/>
            <w:tcMar>
              <w:top w:w="15" w:type="dxa"/>
              <w:left w:w="20" w:type="dxa"/>
              <w:bottom w:w="15" w:type="dxa"/>
              <w:right w:w="20" w:type="dxa"/>
            </w:tcMar>
            <w:vAlign w:val="bottom"/>
            <w:hideMark/>
          </w:tcPr>
          <w:p w14:paraId="35F9F299"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0DCB9E3"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3ED41F4B" w14:textId="77777777" w:rsidR="00000000" w:rsidRDefault="00195E73">
            <w:pPr>
              <w:jc w:val="center"/>
              <w:rPr>
                <w:rFonts w:eastAsia="Times New Roman"/>
              </w:rPr>
            </w:pPr>
          </w:p>
        </w:tc>
        <w:tc>
          <w:tcPr>
            <w:tcW w:w="0" w:type="auto"/>
            <w:gridSpan w:val="3"/>
            <w:vAlign w:val="center"/>
            <w:hideMark/>
          </w:tcPr>
          <w:p w14:paraId="6AC15450" w14:textId="77777777" w:rsidR="00000000" w:rsidRDefault="00195E73">
            <w:pPr>
              <w:rPr>
                <w:rFonts w:eastAsia="Times New Roman"/>
                <w:sz w:val="20"/>
                <w:szCs w:val="20"/>
              </w:rPr>
            </w:pPr>
          </w:p>
        </w:tc>
        <w:tc>
          <w:tcPr>
            <w:tcW w:w="0" w:type="auto"/>
            <w:gridSpan w:val="3"/>
            <w:vAlign w:val="center"/>
            <w:hideMark/>
          </w:tcPr>
          <w:p w14:paraId="15CC79A0" w14:textId="77777777" w:rsidR="00000000" w:rsidRDefault="00195E73">
            <w:pPr>
              <w:rPr>
                <w:rFonts w:eastAsia="Times New Roman"/>
                <w:sz w:val="20"/>
                <w:szCs w:val="20"/>
              </w:rPr>
            </w:pPr>
          </w:p>
        </w:tc>
        <w:tc>
          <w:tcPr>
            <w:tcW w:w="0" w:type="auto"/>
            <w:gridSpan w:val="3"/>
            <w:vAlign w:val="center"/>
            <w:hideMark/>
          </w:tcPr>
          <w:p w14:paraId="6062AC91" w14:textId="77777777" w:rsidR="00000000" w:rsidRDefault="00195E73">
            <w:pPr>
              <w:rPr>
                <w:rFonts w:eastAsia="Times New Roman"/>
                <w:sz w:val="20"/>
                <w:szCs w:val="20"/>
              </w:rPr>
            </w:pPr>
          </w:p>
        </w:tc>
      </w:tr>
      <w:tr w:rsidR="00000000" w14:paraId="021A3788" w14:textId="77777777">
        <w:trPr>
          <w:divId w:val="1538930149"/>
          <w:jc w:val="center"/>
        </w:trPr>
        <w:tc>
          <w:tcPr>
            <w:tcW w:w="0" w:type="auto"/>
            <w:gridSpan w:val="3"/>
            <w:shd w:val="clear" w:color="auto" w:fill="CCEEFF"/>
            <w:tcMar>
              <w:top w:w="30" w:type="dxa"/>
              <w:left w:w="20" w:type="dxa"/>
              <w:bottom w:w="30" w:type="dxa"/>
              <w:right w:w="20" w:type="dxa"/>
            </w:tcMar>
            <w:vAlign w:val="bottom"/>
            <w:hideMark/>
          </w:tcPr>
          <w:p w14:paraId="72CCED3E" w14:textId="77777777" w:rsidR="00000000" w:rsidRDefault="00195E73">
            <w:pPr>
              <w:ind w:hanging="180"/>
              <w:divId w:val="2128429846"/>
              <w:rPr>
                <w:rFonts w:eastAsia="Times New Roman"/>
              </w:rPr>
            </w:pPr>
            <w:r>
              <w:rPr>
                <w:rFonts w:eastAsia="Times New Roman"/>
                <w:color w:val="000000"/>
                <w:sz w:val="20"/>
                <w:szCs w:val="20"/>
              </w:rPr>
              <w:t>Other derivative los</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3AB6639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216E89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3E53801"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4BA247B8"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2BA64805" w14:textId="77777777" w:rsidR="00000000" w:rsidRDefault="00195E73">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2525AA0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0F9A471"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4265638"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7DC69402"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4628FFB2" w14:textId="77777777" w:rsidR="00000000" w:rsidRDefault="00195E73">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2DE629F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1E44AC2" w14:textId="77777777" w:rsidR="00000000" w:rsidRDefault="00195E73">
            <w:pPr>
              <w:jc w:val="right"/>
              <w:rPr>
                <w:rFonts w:eastAsia="Times New Roman"/>
              </w:rPr>
            </w:pPr>
            <w:r>
              <w:rPr>
                <w:rFonts w:eastAsia="Times New Roman"/>
                <w:color w:val="000000"/>
                <w:sz w:val="20"/>
                <w:szCs w:val="20"/>
              </w:rPr>
              <w:t>(41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E14DB8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135B469" w14:textId="77777777" w:rsidR="00000000" w:rsidRDefault="00195E73">
            <w:pPr>
              <w:rPr>
                <w:rFonts w:eastAsia="Times New Roman"/>
                <w:sz w:val="20"/>
                <w:szCs w:val="20"/>
              </w:rPr>
            </w:pPr>
          </w:p>
        </w:tc>
        <w:tc>
          <w:tcPr>
            <w:tcW w:w="0" w:type="auto"/>
            <w:vAlign w:val="center"/>
            <w:hideMark/>
          </w:tcPr>
          <w:p w14:paraId="64570419" w14:textId="77777777" w:rsidR="00000000" w:rsidRDefault="00195E73">
            <w:pPr>
              <w:rPr>
                <w:rFonts w:eastAsia="Times New Roman"/>
                <w:sz w:val="20"/>
                <w:szCs w:val="20"/>
              </w:rPr>
            </w:pPr>
          </w:p>
        </w:tc>
        <w:tc>
          <w:tcPr>
            <w:tcW w:w="0" w:type="auto"/>
            <w:vAlign w:val="center"/>
            <w:hideMark/>
          </w:tcPr>
          <w:p w14:paraId="794518C2" w14:textId="77777777" w:rsidR="00000000" w:rsidRDefault="00195E73">
            <w:pPr>
              <w:rPr>
                <w:rFonts w:eastAsia="Times New Roman"/>
                <w:sz w:val="20"/>
                <w:szCs w:val="20"/>
              </w:rPr>
            </w:pPr>
          </w:p>
        </w:tc>
        <w:tc>
          <w:tcPr>
            <w:tcW w:w="0" w:type="auto"/>
            <w:vAlign w:val="center"/>
            <w:hideMark/>
          </w:tcPr>
          <w:p w14:paraId="6AD3B6F8" w14:textId="77777777" w:rsidR="00000000" w:rsidRDefault="00195E73">
            <w:pPr>
              <w:rPr>
                <w:rFonts w:eastAsia="Times New Roman"/>
                <w:sz w:val="20"/>
                <w:szCs w:val="20"/>
              </w:rPr>
            </w:pPr>
          </w:p>
        </w:tc>
        <w:tc>
          <w:tcPr>
            <w:tcW w:w="0" w:type="auto"/>
            <w:vAlign w:val="center"/>
            <w:hideMark/>
          </w:tcPr>
          <w:p w14:paraId="571F48E5" w14:textId="77777777" w:rsidR="00000000" w:rsidRDefault="00195E73">
            <w:pPr>
              <w:rPr>
                <w:rFonts w:eastAsia="Times New Roman"/>
                <w:sz w:val="20"/>
                <w:szCs w:val="20"/>
              </w:rPr>
            </w:pPr>
          </w:p>
        </w:tc>
        <w:tc>
          <w:tcPr>
            <w:tcW w:w="0" w:type="auto"/>
            <w:vAlign w:val="center"/>
            <w:hideMark/>
          </w:tcPr>
          <w:p w14:paraId="663C5C52" w14:textId="77777777" w:rsidR="00000000" w:rsidRDefault="00195E73">
            <w:pPr>
              <w:rPr>
                <w:rFonts w:eastAsia="Times New Roman"/>
                <w:sz w:val="20"/>
                <w:szCs w:val="20"/>
              </w:rPr>
            </w:pPr>
          </w:p>
        </w:tc>
        <w:tc>
          <w:tcPr>
            <w:tcW w:w="0" w:type="auto"/>
            <w:vAlign w:val="center"/>
            <w:hideMark/>
          </w:tcPr>
          <w:p w14:paraId="34AE9B8B" w14:textId="77777777" w:rsidR="00000000" w:rsidRDefault="00195E73">
            <w:pPr>
              <w:rPr>
                <w:rFonts w:eastAsia="Times New Roman"/>
                <w:sz w:val="20"/>
                <w:szCs w:val="20"/>
              </w:rPr>
            </w:pPr>
          </w:p>
        </w:tc>
        <w:tc>
          <w:tcPr>
            <w:tcW w:w="0" w:type="auto"/>
            <w:vAlign w:val="center"/>
            <w:hideMark/>
          </w:tcPr>
          <w:p w14:paraId="2991F099" w14:textId="77777777" w:rsidR="00000000" w:rsidRDefault="00195E73">
            <w:pPr>
              <w:rPr>
                <w:rFonts w:eastAsia="Times New Roman"/>
                <w:sz w:val="20"/>
                <w:szCs w:val="20"/>
              </w:rPr>
            </w:pPr>
          </w:p>
        </w:tc>
        <w:tc>
          <w:tcPr>
            <w:tcW w:w="0" w:type="auto"/>
            <w:vAlign w:val="center"/>
            <w:hideMark/>
          </w:tcPr>
          <w:p w14:paraId="5EC7F3E6" w14:textId="77777777" w:rsidR="00000000" w:rsidRDefault="00195E73">
            <w:pPr>
              <w:rPr>
                <w:rFonts w:eastAsia="Times New Roman"/>
                <w:sz w:val="20"/>
                <w:szCs w:val="20"/>
              </w:rPr>
            </w:pPr>
          </w:p>
        </w:tc>
        <w:tc>
          <w:tcPr>
            <w:tcW w:w="0" w:type="auto"/>
            <w:vAlign w:val="center"/>
            <w:hideMark/>
          </w:tcPr>
          <w:p w14:paraId="37E4A1FC" w14:textId="77777777" w:rsidR="00000000" w:rsidRDefault="00195E73">
            <w:pPr>
              <w:rPr>
                <w:rFonts w:eastAsia="Times New Roman"/>
                <w:sz w:val="20"/>
                <w:szCs w:val="20"/>
              </w:rPr>
            </w:pPr>
          </w:p>
        </w:tc>
        <w:tc>
          <w:tcPr>
            <w:tcW w:w="0" w:type="auto"/>
            <w:vAlign w:val="center"/>
            <w:hideMark/>
          </w:tcPr>
          <w:p w14:paraId="59271BCF" w14:textId="77777777" w:rsidR="00000000" w:rsidRDefault="00195E73">
            <w:pPr>
              <w:rPr>
                <w:rFonts w:eastAsia="Times New Roman"/>
                <w:sz w:val="20"/>
                <w:szCs w:val="20"/>
              </w:rPr>
            </w:pPr>
          </w:p>
        </w:tc>
        <w:tc>
          <w:tcPr>
            <w:tcW w:w="0" w:type="auto"/>
            <w:vAlign w:val="center"/>
            <w:hideMark/>
          </w:tcPr>
          <w:p w14:paraId="4C62B72E" w14:textId="77777777" w:rsidR="00000000" w:rsidRDefault="00195E73">
            <w:pPr>
              <w:rPr>
                <w:rFonts w:eastAsia="Times New Roman"/>
                <w:sz w:val="20"/>
                <w:szCs w:val="20"/>
              </w:rPr>
            </w:pPr>
          </w:p>
        </w:tc>
      </w:tr>
      <w:tr w:rsidR="00000000" w14:paraId="79F2E43F" w14:textId="77777777">
        <w:trPr>
          <w:divId w:val="1538930149"/>
          <w:jc w:val="center"/>
        </w:trPr>
        <w:tc>
          <w:tcPr>
            <w:tcW w:w="0" w:type="auto"/>
            <w:gridSpan w:val="3"/>
            <w:shd w:val="clear" w:color="auto" w:fill="FFFFFF"/>
            <w:tcMar>
              <w:top w:w="30" w:type="dxa"/>
              <w:left w:w="20" w:type="dxa"/>
              <w:bottom w:w="30" w:type="dxa"/>
              <w:right w:w="20" w:type="dxa"/>
            </w:tcMar>
            <w:vAlign w:val="bottom"/>
            <w:hideMark/>
          </w:tcPr>
          <w:p w14:paraId="42D10B63" w14:textId="77777777" w:rsidR="00000000" w:rsidRDefault="00195E73">
            <w:pPr>
              <w:divId w:val="807161487"/>
              <w:rPr>
                <w:rFonts w:eastAsia="Times New Roman"/>
              </w:rPr>
            </w:pPr>
            <w:r>
              <w:rPr>
                <w:rFonts w:eastAsia="Times New Roman"/>
                <w:color w:val="000000"/>
                <w:sz w:val="20"/>
                <w:szCs w:val="20"/>
              </w:rPr>
              <w:t>Dividend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68AEAA88"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FD124E3"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6580C725"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1864B681"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BA2117"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1947256"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36F2EDD6"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209B051C"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1FC45B" w14:textId="77777777" w:rsidR="00000000" w:rsidRDefault="00195E73">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BBCD84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6C33546" w14:textId="77777777" w:rsidR="00000000" w:rsidRDefault="00195E73">
            <w:pPr>
              <w:rPr>
                <w:rFonts w:eastAsia="Times New Roman"/>
                <w:sz w:val="20"/>
                <w:szCs w:val="20"/>
              </w:rPr>
            </w:pPr>
          </w:p>
        </w:tc>
        <w:tc>
          <w:tcPr>
            <w:tcW w:w="0" w:type="auto"/>
            <w:vAlign w:val="center"/>
            <w:hideMark/>
          </w:tcPr>
          <w:p w14:paraId="19DFB1D2" w14:textId="77777777" w:rsidR="00000000" w:rsidRDefault="00195E73">
            <w:pPr>
              <w:rPr>
                <w:rFonts w:eastAsia="Times New Roman"/>
                <w:sz w:val="20"/>
                <w:szCs w:val="20"/>
              </w:rPr>
            </w:pPr>
          </w:p>
        </w:tc>
        <w:tc>
          <w:tcPr>
            <w:tcW w:w="0" w:type="auto"/>
            <w:vAlign w:val="center"/>
            <w:hideMark/>
          </w:tcPr>
          <w:p w14:paraId="35B594A4" w14:textId="77777777" w:rsidR="00000000" w:rsidRDefault="00195E73">
            <w:pPr>
              <w:rPr>
                <w:rFonts w:eastAsia="Times New Roman"/>
                <w:sz w:val="20"/>
                <w:szCs w:val="20"/>
              </w:rPr>
            </w:pPr>
          </w:p>
        </w:tc>
        <w:tc>
          <w:tcPr>
            <w:tcW w:w="0" w:type="auto"/>
            <w:vAlign w:val="center"/>
            <w:hideMark/>
          </w:tcPr>
          <w:p w14:paraId="121418C5" w14:textId="77777777" w:rsidR="00000000" w:rsidRDefault="00195E73">
            <w:pPr>
              <w:rPr>
                <w:rFonts w:eastAsia="Times New Roman"/>
                <w:sz w:val="20"/>
                <w:szCs w:val="20"/>
              </w:rPr>
            </w:pPr>
          </w:p>
        </w:tc>
        <w:tc>
          <w:tcPr>
            <w:tcW w:w="0" w:type="auto"/>
            <w:vAlign w:val="center"/>
            <w:hideMark/>
          </w:tcPr>
          <w:p w14:paraId="2806F218" w14:textId="77777777" w:rsidR="00000000" w:rsidRDefault="00195E73">
            <w:pPr>
              <w:rPr>
                <w:rFonts w:eastAsia="Times New Roman"/>
                <w:sz w:val="20"/>
                <w:szCs w:val="20"/>
              </w:rPr>
            </w:pPr>
          </w:p>
        </w:tc>
        <w:tc>
          <w:tcPr>
            <w:tcW w:w="0" w:type="auto"/>
            <w:vAlign w:val="center"/>
            <w:hideMark/>
          </w:tcPr>
          <w:p w14:paraId="2D8242DC" w14:textId="77777777" w:rsidR="00000000" w:rsidRDefault="00195E73">
            <w:pPr>
              <w:rPr>
                <w:rFonts w:eastAsia="Times New Roman"/>
                <w:sz w:val="20"/>
                <w:szCs w:val="20"/>
              </w:rPr>
            </w:pPr>
          </w:p>
        </w:tc>
        <w:tc>
          <w:tcPr>
            <w:tcW w:w="0" w:type="auto"/>
            <w:vAlign w:val="center"/>
            <w:hideMark/>
          </w:tcPr>
          <w:p w14:paraId="794BB7FA" w14:textId="77777777" w:rsidR="00000000" w:rsidRDefault="00195E73">
            <w:pPr>
              <w:rPr>
                <w:rFonts w:eastAsia="Times New Roman"/>
                <w:sz w:val="20"/>
                <w:szCs w:val="20"/>
              </w:rPr>
            </w:pPr>
          </w:p>
        </w:tc>
        <w:tc>
          <w:tcPr>
            <w:tcW w:w="0" w:type="auto"/>
            <w:vAlign w:val="center"/>
            <w:hideMark/>
          </w:tcPr>
          <w:p w14:paraId="68DDEBA7" w14:textId="77777777" w:rsidR="00000000" w:rsidRDefault="00195E73">
            <w:pPr>
              <w:rPr>
                <w:rFonts w:eastAsia="Times New Roman"/>
                <w:sz w:val="20"/>
                <w:szCs w:val="20"/>
              </w:rPr>
            </w:pPr>
          </w:p>
        </w:tc>
        <w:tc>
          <w:tcPr>
            <w:tcW w:w="0" w:type="auto"/>
            <w:vAlign w:val="center"/>
            <w:hideMark/>
          </w:tcPr>
          <w:p w14:paraId="24A64CFF" w14:textId="77777777" w:rsidR="00000000" w:rsidRDefault="00195E73">
            <w:pPr>
              <w:rPr>
                <w:rFonts w:eastAsia="Times New Roman"/>
                <w:sz w:val="20"/>
                <w:szCs w:val="20"/>
              </w:rPr>
            </w:pPr>
          </w:p>
        </w:tc>
        <w:tc>
          <w:tcPr>
            <w:tcW w:w="0" w:type="auto"/>
            <w:vAlign w:val="center"/>
            <w:hideMark/>
          </w:tcPr>
          <w:p w14:paraId="1AE4989F" w14:textId="77777777" w:rsidR="00000000" w:rsidRDefault="00195E73">
            <w:pPr>
              <w:rPr>
                <w:rFonts w:eastAsia="Times New Roman"/>
                <w:sz w:val="20"/>
                <w:szCs w:val="20"/>
              </w:rPr>
            </w:pPr>
          </w:p>
        </w:tc>
        <w:tc>
          <w:tcPr>
            <w:tcW w:w="0" w:type="auto"/>
            <w:vAlign w:val="center"/>
            <w:hideMark/>
          </w:tcPr>
          <w:p w14:paraId="4EBFD843" w14:textId="77777777" w:rsidR="00000000" w:rsidRDefault="00195E73">
            <w:pPr>
              <w:rPr>
                <w:rFonts w:eastAsia="Times New Roman"/>
                <w:sz w:val="20"/>
                <w:szCs w:val="20"/>
              </w:rPr>
            </w:pPr>
          </w:p>
        </w:tc>
        <w:tc>
          <w:tcPr>
            <w:tcW w:w="0" w:type="auto"/>
            <w:vAlign w:val="center"/>
            <w:hideMark/>
          </w:tcPr>
          <w:p w14:paraId="30D86DA3" w14:textId="77777777" w:rsidR="00000000" w:rsidRDefault="00195E73">
            <w:pPr>
              <w:rPr>
                <w:rFonts w:eastAsia="Times New Roman"/>
                <w:sz w:val="20"/>
                <w:szCs w:val="20"/>
              </w:rPr>
            </w:pPr>
          </w:p>
        </w:tc>
      </w:tr>
      <w:tr w:rsidR="00000000" w14:paraId="64D378D4" w14:textId="77777777">
        <w:trPr>
          <w:divId w:val="1538930149"/>
          <w:jc w:val="center"/>
        </w:trPr>
        <w:tc>
          <w:tcPr>
            <w:tcW w:w="0" w:type="auto"/>
            <w:gridSpan w:val="3"/>
            <w:shd w:val="clear" w:color="auto" w:fill="CCEEFF"/>
            <w:tcMar>
              <w:top w:w="30" w:type="dxa"/>
              <w:left w:w="20" w:type="dxa"/>
              <w:bottom w:w="30" w:type="dxa"/>
              <w:right w:w="20" w:type="dxa"/>
            </w:tcMar>
            <w:vAlign w:val="bottom"/>
            <w:hideMark/>
          </w:tcPr>
          <w:p w14:paraId="762B4383" w14:textId="77777777" w:rsidR="00000000" w:rsidRDefault="00195E73">
            <w:pPr>
              <w:rPr>
                <w:rFonts w:eastAsia="Times New Roman"/>
              </w:rPr>
            </w:pPr>
            <w:r>
              <w:rPr>
                <w:rFonts w:eastAsia="Times New Roman"/>
                <w:color w:val="000000"/>
                <w:sz w:val="20"/>
                <w:szCs w:val="20"/>
              </w:rPr>
              <w:t>Equity earnings from non-consolidated affiliate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4C9F7E4" w14:textId="77777777" w:rsidR="00000000" w:rsidRDefault="00195E73">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337D70C"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1041AC85"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428436E5"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3AD218"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C9AD9EF"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7BA758EC"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5E0B514A"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3A71F3"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43270F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E24669B" w14:textId="77777777" w:rsidR="00000000" w:rsidRDefault="00195E73">
            <w:pPr>
              <w:rPr>
                <w:rFonts w:eastAsia="Times New Roman"/>
                <w:sz w:val="20"/>
                <w:szCs w:val="20"/>
              </w:rPr>
            </w:pPr>
          </w:p>
        </w:tc>
        <w:tc>
          <w:tcPr>
            <w:tcW w:w="0" w:type="auto"/>
            <w:vAlign w:val="center"/>
            <w:hideMark/>
          </w:tcPr>
          <w:p w14:paraId="15812EF7" w14:textId="77777777" w:rsidR="00000000" w:rsidRDefault="00195E73">
            <w:pPr>
              <w:rPr>
                <w:rFonts w:eastAsia="Times New Roman"/>
                <w:sz w:val="20"/>
                <w:szCs w:val="20"/>
              </w:rPr>
            </w:pPr>
          </w:p>
        </w:tc>
        <w:tc>
          <w:tcPr>
            <w:tcW w:w="0" w:type="auto"/>
            <w:vAlign w:val="center"/>
            <w:hideMark/>
          </w:tcPr>
          <w:p w14:paraId="17F3675D" w14:textId="77777777" w:rsidR="00000000" w:rsidRDefault="00195E73">
            <w:pPr>
              <w:rPr>
                <w:rFonts w:eastAsia="Times New Roman"/>
                <w:sz w:val="20"/>
                <w:szCs w:val="20"/>
              </w:rPr>
            </w:pPr>
          </w:p>
        </w:tc>
        <w:tc>
          <w:tcPr>
            <w:tcW w:w="0" w:type="auto"/>
            <w:vAlign w:val="center"/>
            <w:hideMark/>
          </w:tcPr>
          <w:p w14:paraId="6FD12603" w14:textId="77777777" w:rsidR="00000000" w:rsidRDefault="00195E73">
            <w:pPr>
              <w:rPr>
                <w:rFonts w:eastAsia="Times New Roman"/>
                <w:sz w:val="20"/>
                <w:szCs w:val="20"/>
              </w:rPr>
            </w:pPr>
          </w:p>
        </w:tc>
        <w:tc>
          <w:tcPr>
            <w:tcW w:w="0" w:type="auto"/>
            <w:vAlign w:val="center"/>
            <w:hideMark/>
          </w:tcPr>
          <w:p w14:paraId="45AC2904" w14:textId="77777777" w:rsidR="00000000" w:rsidRDefault="00195E73">
            <w:pPr>
              <w:rPr>
                <w:rFonts w:eastAsia="Times New Roman"/>
                <w:sz w:val="20"/>
                <w:szCs w:val="20"/>
              </w:rPr>
            </w:pPr>
          </w:p>
        </w:tc>
        <w:tc>
          <w:tcPr>
            <w:tcW w:w="0" w:type="auto"/>
            <w:vAlign w:val="center"/>
            <w:hideMark/>
          </w:tcPr>
          <w:p w14:paraId="78AE55E4" w14:textId="77777777" w:rsidR="00000000" w:rsidRDefault="00195E73">
            <w:pPr>
              <w:rPr>
                <w:rFonts w:eastAsia="Times New Roman"/>
                <w:sz w:val="20"/>
                <w:szCs w:val="20"/>
              </w:rPr>
            </w:pPr>
          </w:p>
        </w:tc>
        <w:tc>
          <w:tcPr>
            <w:tcW w:w="0" w:type="auto"/>
            <w:vAlign w:val="center"/>
            <w:hideMark/>
          </w:tcPr>
          <w:p w14:paraId="53220B0E" w14:textId="77777777" w:rsidR="00000000" w:rsidRDefault="00195E73">
            <w:pPr>
              <w:rPr>
                <w:rFonts w:eastAsia="Times New Roman"/>
                <w:sz w:val="20"/>
                <w:szCs w:val="20"/>
              </w:rPr>
            </w:pPr>
          </w:p>
        </w:tc>
        <w:tc>
          <w:tcPr>
            <w:tcW w:w="0" w:type="auto"/>
            <w:vAlign w:val="center"/>
            <w:hideMark/>
          </w:tcPr>
          <w:p w14:paraId="5C0F0268" w14:textId="77777777" w:rsidR="00000000" w:rsidRDefault="00195E73">
            <w:pPr>
              <w:rPr>
                <w:rFonts w:eastAsia="Times New Roman"/>
                <w:sz w:val="20"/>
                <w:szCs w:val="20"/>
              </w:rPr>
            </w:pPr>
          </w:p>
        </w:tc>
        <w:tc>
          <w:tcPr>
            <w:tcW w:w="0" w:type="auto"/>
            <w:vAlign w:val="center"/>
            <w:hideMark/>
          </w:tcPr>
          <w:p w14:paraId="46DC4651" w14:textId="77777777" w:rsidR="00000000" w:rsidRDefault="00195E73">
            <w:pPr>
              <w:rPr>
                <w:rFonts w:eastAsia="Times New Roman"/>
                <w:sz w:val="20"/>
                <w:szCs w:val="20"/>
              </w:rPr>
            </w:pPr>
          </w:p>
        </w:tc>
        <w:tc>
          <w:tcPr>
            <w:tcW w:w="0" w:type="auto"/>
            <w:vAlign w:val="center"/>
            <w:hideMark/>
          </w:tcPr>
          <w:p w14:paraId="0B8278E8" w14:textId="77777777" w:rsidR="00000000" w:rsidRDefault="00195E73">
            <w:pPr>
              <w:rPr>
                <w:rFonts w:eastAsia="Times New Roman"/>
                <w:sz w:val="20"/>
                <w:szCs w:val="20"/>
              </w:rPr>
            </w:pPr>
          </w:p>
        </w:tc>
        <w:tc>
          <w:tcPr>
            <w:tcW w:w="0" w:type="auto"/>
            <w:vAlign w:val="center"/>
            <w:hideMark/>
          </w:tcPr>
          <w:p w14:paraId="276509D7" w14:textId="77777777" w:rsidR="00000000" w:rsidRDefault="00195E73">
            <w:pPr>
              <w:rPr>
                <w:rFonts w:eastAsia="Times New Roman"/>
                <w:sz w:val="20"/>
                <w:szCs w:val="20"/>
              </w:rPr>
            </w:pPr>
          </w:p>
        </w:tc>
        <w:tc>
          <w:tcPr>
            <w:tcW w:w="0" w:type="auto"/>
            <w:vAlign w:val="center"/>
            <w:hideMark/>
          </w:tcPr>
          <w:p w14:paraId="6A37415D" w14:textId="77777777" w:rsidR="00000000" w:rsidRDefault="00195E73">
            <w:pPr>
              <w:rPr>
                <w:rFonts w:eastAsia="Times New Roman"/>
                <w:sz w:val="20"/>
                <w:szCs w:val="20"/>
              </w:rPr>
            </w:pPr>
          </w:p>
        </w:tc>
      </w:tr>
      <w:tr w:rsidR="00000000" w14:paraId="0897C072" w14:textId="77777777">
        <w:trPr>
          <w:divId w:val="1538930149"/>
          <w:jc w:val="center"/>
        </w:trPr>
        <w:tc>
          <w:tcPr>
            <w:tcW w:w="0" w:type="auto"/>
            <w:gridSpan w:val="3"/>
            <w:shd w:val="clear" w:color="auto" w:fill="FFFFFF"/>
            <w:tcMar>
              <w:top w:w="30" w:type="dxa"/>
              <w:left w:w="20" w:type="dxa"/>
              <w:bottom w:w="30" w:type="dxa"/>
              <w:right w:w="20" w:type="dxa"/>
            </w:tcMar>
            <w:vAlign w:val="bottom"/>
            <w:hideMark/>
          </w:tcPr>
          <w:p w14:paraId="1FCF5A5F" w14:textId="77777777" w:rsidR="00000000" w:rsidRDefault="00195E73">
            <w:pPr>
              <w:rPr>
                <w:rFonts w:eastAsia="Times New Roman"/>
              </w:rPr>
            </w:pPr>
            <w:r>
              <w:rPr>
                <w:rFonts w:eastAsia="Times New Roman"/>
                <w:color w:val="000000"/>
                <w:sz w:val="20"/>
                <w:szCs w:val="20"/>
              </w:rPr>
              <w:t>Foreign currency transaction (loss)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70CAC3ED"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DCB5E00"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6DE1E610"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0E43D945"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F2DD71"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F262CCB"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46911B12"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47C86BA3"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D62DD8"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9A9AB4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D1DC8A4" w14:textId="77777777" w:rsidR="00000000" w:rsidRDefault="00195E73">
            <w:pPr>
              <w:rPr>
                <w:rFonts w:eastAsia="Times New Roman"/>
                <w:sz w:val="20"/>
                <w:szCs w:val="20"/>
              </w:rPr>
            </w:pPr>
          </w:p>
        </w:tc>
        <w:tc>
          <w:tcPr>
            <w:tcW w:w="0" w:type="auto"/>
            <w:vAlign w:val="center"/>
            <w:hideMark/>
          </w:tcPr>
          <w:p w14:paraId="2AA73EB4" w14:textId="77777777" w:rsidR="00000000" w:rsidRDefault="00195E73">
            <w:pPr>
              <w:rPr>
                <w:rFonts w:eastAsia="Times New Roman"/>
                <w:sz w:val="20"/>
                <w:szCs w:val="20"/>
              </w:rPr>
            </w:pPr>
          </w:p>
        </w:tc>
        <w:tc>
          <w:tcPr>
            <w:tcW w:w="0" w:type="auto"/>
            <w:vAlign w:val="center"/>
            <w:hideMark/>
          </w:tcPr>
          <w:p w14:paraId="6D1D546F" w14:textId="77777777" w:rsidR="00000000" w:rsidRDefault="00195E73">
            <w:pPr>
              <w:rPr>
                <w:rFonts w:eastAsia="Times New Roman"/>
                <w:sz w:val="20"/>
                <w:szCs w:val="20"/>
              </w:rPr>
            </w:pPr>
          </w:p>
        </w:tc>
        <w:tc>
          <w:tcPr>
            <w:tcW w:w="0" w:type="auto"/>
            <w:vAlign w:val="center"/>
            <w:hideMark/>
          </w:tcPr>
          <w:p w14:paraId="193D0663" w14:textId="77777777" w:rsidR="00000000" w:rsidRDefault="00195E73">
            <w:pPr>
              <w:rPr>
                <w:rFonts w:eastAsia="Times New Roman"/>
                <w:sz w:val="20"/>
                <w:szCs w:val="20"/>
              </w:rPr>
            </w:pPr>
          </w:p>
        </w:tc>
        <w:tc>
          <w:tcPr>
            <w:tcW w:w="0" w:type="auto"/>
            <w:vAlign w:val="center"/>
            <w:hideMark/>
          </w:tcPr>
          <w:p w14:paraId="552AB258" w14:textId="77777777" w:rsidR="00000000" w:rsidRDefault="00195E73">
            <w:pPr>
              <w:rPr>
                <w:rFonts w:eastAsia="Times New Roman"/>
                <w:sz w:val="20"/>
                <w:szCs w:val="20"/>
              </w:rPr>
            </w:pPr>
          </w:p>
        </w:tc>
        <w:tc>
          <w:tcPr>
            <w:tcW w:w="0" w:type="auto"/>
            <w:vAlign w:val="center"/>
            <w:hideMark/>
          </w:tcPr>
          <w:p w14:paraId="6208C484" w14:textId="77777777" w:rsidR="00000000" w:rsidRDefault="00195E73">
            <w:pPr>
              <w:rPr>
                <w:rFonts w:eastAsia="Times New Roman"/>
                <w:sz w:val="20"/>
                <w:szCs w:val="20"/>
              </w:rPr>
            </w:pPr>
          </w:p>
        </w:tc>
        <w:tc>
          <w:tcPr>
            <w:tcW w:w="0" w:type="auto"/>
            <w:vAlign w:val="center"/>
            <w:hideMark/>
          </w:tcPr>
          <w:p w14:paraId="0567E109" w14:textId="77777777" w:rsidR="00000000" w:rsidRDefault="00195E73">
            <w:pPr>
              <w:rPr>
                <w:rFonts w:eastAsia="Times New Roman"/>
                <w:sz w:val="20"/>
                <w:szCs w:val="20"/>
              </w:rPr>
            </w:pPr>
          </w:p>
        </w:tc>
        <w:tc>
          <w:tcPr>
            <w:tcW w:w="0" w:type="auto"/>
            <w:vAlign w:val="center"/>
            <w:hideMark/>
          </w:tcPr>
          <w:p w14:paraId="7D30CB04" w14:textId="77777777" w:rsidR="00000000" w:rsidRDefault="00195E73">
            <w:pPr>
              <w:rPr>
                <w:rFonts w:eastAsia="Times New Roman"/>
                <w:sz w:val="20"/>
                <w:szCs w:val="20"/>
              </w:rPr>
            </w:pPr>
          </w:p>
        </w:tc>
        <w:tc>
          <w:tcPr>
            <w:tcW w:w="0" w:type="auto"/>
            <w:vAlign w:val="center"/>
            <w:hideMark/>
          </w:tcPr>
          <w:p w14:paraId="53E953DC" w14:textId="77777777" w:rsidR="00000000" w:rsidRDefault="00195E73">
            <w:pPr>
              <w:rPr>
                <w:rFonts w:eastAsia="Times New Roman"/>
                <w:sz w:val="20"/>
                <w:szCs w:val="20"/>
              </w:rPr>
            </w:pPr>
          </w:p>
        </w:tc>
        <w:tc>
          <w:tcPr>
            <w:tcW w:w="0" w:type="auto"/>
            <w:vAlign w:val="center"/>
            <w:hideMark/>
          </w:tcPr>
          <w:p w14:paraId="3942FF0E" w14:textId="77777777" w:rsidR="00000000" w:rsidRDefault="00195E73">
            <w:pPr>
              <w:rPr>
                <w:rFonts w:eastAsia="Times New Roman"/>
                <w:sz w:val="20"/>
                <w:szCs w:val="20"/>
              </w:rPr>
            </w:pPr>
          </w:p>
        </w:tc>
        <w:tc>
          <w:tcPr>
            <w:tcW w:w="0" w:type="auto"/>
            <w:vAlign w:val="center"/>
            <w:hideMark/>
          </w:tcPr>
          <w:p w14:paraId="5A3F97A6" w14:textId="77777777" w:rsidR="00000000" w:rsidRDefault="00195E73">
            <w:pPr>
              <w:rPr>
                <w:rFonts w:eastAsia="Times New Roman"/>
                <w:sz w:val="20"/>
                <w:szCs w:val="20"/>
              </w:rPr>
            </w:pPr>
          </w:p>
        </w:tc>
        <w:tc>
          <w:tcPr>
            <w:tcW w:w="0" w:type="auto"/>
            <w:vAlign w:val="center"/>
            <w:hideMark/>
          </w:tcPr>
          <w:p w14:paraId="54A993CB" w14:textId="77777777" w:rsidR="00000000" w:rsidRDefault="00195E73">
            <w:pPr>
              <w:rPr>
                <w:rFonts w:eastAsia="Times New Roman"/>
                <w:sz w:val="20"/>
                <w:szCs w:val="20"/>
              </w:rPr>
            </w:pPr>
          </w:p>
        </w:tc>
      </w:tr>
      <w:tr w:rsidR="00000000" w14:paraId="69602DF0" w14:textId="77777777">
        <w:trPr>
          <w:divId w:val="1538930149"/>
          <w:jc w:val="center"/>
        </w:trPr>
        <w:tc>
          <w:tcPr>
            <w:tcW w:w="0" w:type="auto"/>
            <w:gridSpan w:val="3"/>
            <w:shd w:val="clear" w:color="auto" w:fill="CCEEFF"/>
            <w:tcMar>
              <w:top w:w="30" w:type="dxa"/>
              <w:left w:w="20" w:type="dxa"/>
              <w:bottom w:w="30" w:type="dxa"/>
              <w:right w:w="20" w:type="dxa"/>
            </w:tcMar>
            <w:vAlign w:val="bottom"/>
            <w:hideMark/>
          </w:tcPr>
          <w:p w14:paraId="40BE85E5" w14:textId="77777777" w:rsidR="00000000" w:rsidRDefault="00195E73">
            <w:pPr>
              <w:ind w:hanging="180"/>
              <w:divId w:val="1888642269"/>
              <w:rPr>
                <w:rFonts w:eastAsia="Times New Roman"/>
              </w:rPr>
            </w:pPr>
            <w:r>
              <w:rPr>
                <w:rFonts w:eastAsia="Times New Roman"/>
                <w:color w:val="000000"/>
                <w:sz w:val="20"/>
                <w:szCs w:val="20"/>
              </w:rPr>
              <w:t>Tax settlement gai</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682369AC"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199D044"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74D77FF1"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0A542615"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45ABE6"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0E08034"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1FA32914"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516BA41B"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83705C" w14:textId="77777777" w:rsidR="00000000" w:rsidRDefault="00195E73">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27A370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59D53C5" w14:textId="77777777" w:rsidR="00000000" w:rsidRDefault="00195E73">
            <w:pPr>
              <w:rPr>
                <w:rFonts w:eastAsia="Times New Roman"/>
                <w:sz w:val="20"/>
                <w:szCs w:val="20"/>
              </w:rPr>
            </w:pPr>
          </w:p>
        </w:tc>
        <w:tc>
          <w:tcPr>
            <w:tcW w:w="0" w:type="auto"/>
            <w:vAlign w:val="center"/>
            <w:hideMark/>
          </w:tcPr>
          <w:p w14:paraId="4FA372B3" w14:textId="77777777" w:rsidR="00000000" w:rsidRDefault="00195E73">
            <w:pPr>
              <w:rPr>
                <w:rFonts w:eastAsia="Times New Roman"/>
                <w:sz w:val="20"/>
                <w:szCs w:val="20"/>
              </w:rPr>
            </w:pPr>
          </w:p>
        </w:tc>
        <w:tc>
          <w:tcPr>
            <w:tcW w:w="0" w:type="auto"/>
            <w:vAlign w:val="center"/>
            <w:hideMark/>
          </w:tcPr>
          <w:p w14:paraId="4C741777" w14:textId="77777777" w:rsidR="00000000" w:rsidRDefault="00195E73">
            <w:pPr>
              <w:rPr>
                <w:rFonts w:eastAsia="Times New Roman"/>
                <w:sz w:val="20"/>
                <w:szCs w:val="20"/>
              </w:rPr>
            </w:pPr>
          </w:p>
        </w:tc>
        <w:tc>
          <w:tcPr>
            <w:tcW w:w="0" w:type="auto"/>
            <w:vAlign w:val="center"/>
            <w:hideMark/>
          </w:tcPr>
          <w:p w14:paraId="1CB5134A" w14:textId="77777777" w:rsidR="00000000" w:rsidRDefault="00195E73">
            <w:pPr>
              <w:rPr>
                <w:rFonts w:eastAsia="Times New Roman"/>
                <w:sz w:val="20"/>
                <w:szCs w:val="20"/>
              </w:rPr>
            </w:pPr>
          </w:p>
        </w:tc>
        <w:tc>
          <w:tcPr>
            <w:tcW w:w="0" w:type="auto"/>
            <w:vAlign w:val="center"/>
            <w:hideMark/>
          </w:tcPr>
          <w:p w14:paraId="69B1B64D" w14:textId="77777777" w:rsidR="00000000" w:rsidRDefault="00195E73">
            <w:pPr>
              <w:rPr>
                <w:rFonts w:eastAsia="Times New Roman"/>
                <w:sz w:val="20"/>
                <w:szCs w:val="20"/>
              </w:rPr>
            </w:pPr>
          </w:p>
        </w:tc>
        <w:tc>
          <w:tcPr>
            <w:tcW w:w="0" w:type="auto"/>
            <w:vAlign w:val="center"/>
            <w:hideMark/>
          </w:tcPr>
          <w:p w14:paraId="61AB9F8E" w14:textId="77777777" w:rsidR="00000000" w:rsidRDefault="00195E73">
            <w:pPr>
              <w:rPr>
                <w:rFonts w:eastAsia="Times New Roman"/>
                <w:sz w:val="20"/>
                <w:szCs w:val="20"/>
              </w:rPr>
            </w:pPr>
          </w:p>
        </w:tc>
        <w:tc>
          <w:tcPr>
            <w:tcW w:w="0" w:type="auto"/>
            <w:vAlign w:val="center"/>
            <w:hideMark/>
          </w:tcPr>
          <w:p w14:paraId="101506E5" w14:textId="77777777" w:rsidR="00000000" w:rsidRDefault="00195E73">
            <w:pPr>
              <w:rPr>
                <w:rFonts w:eastAsia="Times New Roman"/>
                <w:sz w:val="20"/>
                <w:szCs w:val="20"/>
              </w:rPr>
            </w:pPr>
          </w:p>
        </w:tc>
        <w:tc>
          <w:tcPr>
            <w:tcW w:w="0" w:type="auto"/>
            <w:vAlign w:val="center"/>
            <w:hideMark/>
          </w:tcPr>
          <w:p w14:paraId="11B63FC8" w14:textId="77777777" w:rsidR="00000000" w:rsidRDefault="00195E73">
            <w:pPr>
              <w:rPr>
                <w:rFonts w:eastAsia="Times New Roman"/>
                <w:sz w:val="20"/>
                <w:szCs w:val="20"/>
              </w:rPr>
            </w:pPr>
          </w:p>
        </w:tc>
        <w:tc>
          <w:tcPr>
            <w:tcW w:w="0" w:type="auto"/>
            <w:vAlign w:val="center"/>
            <w:hideMark/>
          </w:tcPr>
          <w:p w14:paraId="17B9A52A" w14:textId="77777777" w:rsidR="00000000" w:rsidRDefault="00195E73">
            <w:pPr>
              <w:rPr>
                <w:rFonts w:eastAsia="Times New Roman"/>
                <w:sz w:val="20"/>
                <w:szCs w:val="20"/>
              </w:rPr>
            </w:pPr>
          </w:p>
        </w:tc>
        <w:tc>
          <w:tcPr>
            <w:tcW w:w="0" w:type="auto"/>
            <w:vAlign w:val="center"/>
            <w:hideMark/>
          </w:tcPr>
          <w:p w14:paraId="4801F700" w14:textId="77777777" w:rsidR="00000000" w:rsidRDefault="00195E73">
            <w:pPr>
              <w:rPr>
                <w:rFonts w:eastAsia="Times New Roman"/>
                <w:sz w:val="20"/>
                <w:szCs w:val="20"/>
              </w:rPr>
            </w:pPr>
          </w:p>
        </w:tc>
        <w:tc>
          <w:tcPr>
            <w:tcW w:w="0" w:type="auto"/>
            <w:vAlign w:val="center"/>
            <w:hideMark/>
          </w:tcPr>
          <w:p w14:paraId="0E6DA46D" w14:textId="77777777" w:rsidR="00000000" w:rsidRDefault="00195E73">
            <w:pPr>
              <w:rPr>
                <w:rFonts w:eastAsia="Times New Roman"/>
                <w:sz w:val="20"/>
                <w:szCs w:val="20"/>
              </w:rPr>
            </w:pPr>
          </w:p>
        </w:tc>
        <w:tc>
          <w:tcPr>
            <w:tcW w:w="0" w:type="auto"/>
            <w:vAlign w:val="center"/>
            <w:hideMark/>
          </w:tcPr>
          <w:p w14:paraId="1F49B2E1" w14:textId="77777777" w:rsidR="00000000" w:rsidRDefault="00195E73">
            <w:pPr>
              <w:rPr>
                <w:rFonts w:eastAsia="Times New Roman"/>
                <w:sz w:val="20"/>
                <w:szCs w:val="20"/>
              </w:rPr>
            </w:pPr>
          </w:p>
        </w:tc>
      </w:tr>
      <w:tr w:rsidR="00000000" w14:paraId="670989E3" w14:textId="77777777">
        <w:trPr>
          <w:divId w:val="1538930149"/>
          <w:jc w:val="center"/>
        </w:trPr>
        <w:tc>
          <w:tcPr>
            <w:tcW w:w="0" w:type="auto"/>
            <w:gridSpan w:val="3"/>
            <w:shd w:val="clear" w:color="auto" w:fill="FFFFFF"/>
            <w:tcMar>
              <w:top w:w="30" w:type="dxa"/>
              <w:left w:w="20" w:type="dxa"/>
              <w:bottom w:w="30" w:type="dxa"/>
              <w:right w:w="20" w:type="dxa"/>
            </w:tcMar>
            <w:vAlign w:val="bottom"/>
            <w:hideMark/>
          </w:tcPr>
          <w:p w14:paraId="29CF45FA" w14:textId="77777777" w:rsidR="00000000" w:rsidRDefault="00195E73">
            <w:pPr>
              <w:rPr>
                <w:rFonts w:eastAsia="Times New Roman"/>
              </w:rPr>
            </w:pPr>
            <w:r>
              <w:rPr>
                <w:rFonts w:eastAsia="Times New Roman"/>
                <w:color w:val="000000"/>
                <w:sz w:val="20"/>
                <w:szCs w:val="20"/>
              </w:rPr>
              <w:t>Non-service pension and other post-retirement benefits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0FBC4FFB"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6550096"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4604615E"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31183C0D"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C47D97" w14:textId="77777777" w:rsidR="00000000" w:rsidRDefault="00195E73">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212CC8A"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363DBD4C"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7993ED6A"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07EF6C"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A78DC1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99F9693" w14:textId="77777777" w:rsidR="00000000" w:rsidRDefault="00195E73">
            <w:pPr>
              <w:rPr>
                <w:rFonts w:eastAsia="Times New Roman"/>
                <w:sz w:val="20"/>
                <w:szCs w:val="20"/>
              </w:rPr>
            </w:pPr>
          </w:p>
        </w:tc>
        <w:tc>
          <w:tcPr>
            <w:tcW w:w="0" w:type="auto"/>
            <w:vAlign w:val="center"/>
            <w:hideMark/>
          </w:tcPr>
          <w:p w14:paraId="0A605ECC" w14:textId="77777777" w:rsidR="00000000" w:rsidRDefault="00195E73">
            <w:pPr>
              <w:rPr>
                <w:rFonts w:eastAsia="Times New Roman"/>
                <w:sz w:val="20"/>
                <w:szCs w:val="20"/>
              </w:rPr>
            </w:pPr>
          </w:p>
        </w:tc>
        <w:tc>
          <w:tcPr>
            <w:tcW w:w="0" w:type="auto"/>
            <w:vAlign w:val="center"/>
            <w:hideMark/>
          </w:tcPr>
          <w:p w14:paraId="2E215FF9" w14:textId="77777777" w:rsidR="00000000" w:rsidRDefault="00195E73">
            <w:pPr>
              <w:rPr>
                <w:rFonts w:eastAsia="Times New Roman"/>
                <w:sz w:val="20"/>
                <w:szCs w:val="20"/>
              </w:rPr>
            </w:pPr>
          </w:p>
        </w:tc>
        <w:tc>
          <w:tcPr>
            <w:tcW w:w="0" w:type="auto"/>
            <w:vAlign w:val="center"/>
            <w:hideMark/>
          </w:tcPr>
          <w:p w14:paraId="516B9F35" w14:textId="77777777" w:rsidR="00000000" w:rsidRDefault="00195E73">
            <w:pPr>
              <w:rPr>
                <w:rFonts w:eastAsia="Times New Roman"/>
                <w:sz w:val="20"/>
                <w:szCs w:val="20"/>
              </w:rPr>
            </w:pPr>
          </w:p>
        </w:tc>
        <w:tc>
          <w:tcPr>
            <w:tcW w:w="0" w:type="auto"/>
            <w:vAlign w:val="center"/>
            <w:hideMark/>
          </w:tcPr>
          <w:p w14:paraId="28C7A699" w14:textId="77777777" w:rsidR="00000000" w:rsidRDefault="00195E73">
            <w:pPr>
              <w:rPr>
                <w:rFonts w:eastAsia="Times New Roman"/>
                <w:sz w:val="20"/>
                <w:szCs w:val="20"/>
              </w:rPr>
            </w:pPr>
          </w:p>
        </w:tc>
        <w:tc>
          <w:tcPr>
            <w:tcW w:w="0" w:type="auto"/>
            <w:vAlign w:val="center"/>
            <w:hideMark/>
          </w:tcPr>
          <w:p w14:paraId="0E4EF61B" w14:textId="77777777" w:rsidR="00000000" w:rsidRDefault="00195E73">
            <w:pPr>
              <w:rPr>
                <w:rFonts w:eastAsia="Times New Roman"/>
                <w:sz w:val="20"/>
                <w:szCs w:val="20"/>
              </w:rPr>
            </w:pPr>
          </w:p>
        </w:tc>
        <w:tc>
          <w:tcPr>
            <w:tcW w:w="0" w:type="auto"/>
            <w:vAlign w:val="center"/>
            <w:hideMark/>
          </w:tcPr>
          <w:p w14:paraId="064417F8" w14:textId="77777777" w:rsidR="00000000" w:rsidRDefault="00195E73">
            <w:pPr>
              <w:rPr>
                <w:rFonts w:eastAsia="Times New Roman"/>
                <w:sz w:val="20"/>
                <w:szCs w:val="20"/>
              </w:rPr>
            </w:pPr>
          </w:p>
        </w:tc>
        <w:tc>
          <w:tcPr>
            <w:tcW w:w="0" w:type="auto"/>
            <w:vAlign w:val="center"/>
            <w:hideMark/>
          </w:tcPr>
          <w:p w14:paraId="7D58345F" w14:textId="77777777" w:rsidR="00000000" w:rsidRDefault="00195E73">
            <w:pPr>
              <w:rPr>
                <w:rFonts w:eastAsia="Times New Roman"/>
                <w:sz w:val="20"/>
                <w:szCs w:val="20"/>
              </w:rPr>
            </w:pPr>
          </w:p>
        </w:tc>
        <w:tc>
          <w:tcPr>
            <w:tcW w:w="0" w:type="auto"/>
            <w:vAlign w:val="center"/>
            <w:hideMark/>
          </w:tcPr>
          <w:p w14:paraId="3BDE11F4" w14:textId="77777777" w:rsidR="00000000" w:rsidRDefault="00195E73">
            <w:pPr>
              <w:rPr>
                <w:rFonts w:eastAsia="Times New Roman"/>
                <w:sz w:val="20"/>
                <w:szCs w:val="20"/>
              </w:rPr>
            </w:pPr>
          </w:p>
        </w:tc>
        <w:tc>
          <w:tcPr>
            <w:tcW w:w="0" w:type="auto"/>
            <w:vAlign w:val="center"/>
            <w:hideMark/>
          </w:tcPr>
          <w:p w14:paraId="516397C7" w14:textId="77777777" w:rsidR="00000000" w:rsidRDefault="00195E73">
            <w:pPr>
              <w:rPr>
                <w:rFonts w:eastAsia="Times New Roman"/>
                <w:sz w:val="20"/>
                <w:szCs w:val="20"/>
              </w:rPr>
            </w:pPr>
          </w:p>
        </w:tc>
        <w:tc>
          <w:tcPr>
            <w:tcW w:w="0" w:type="auto"/>
            <w:vAlign w:val="center"/>
            <w:hideMark/>
          </w:tcPr>
          <w:p w14:paraId="74C29AD6" w14:textId="77777777" w:rsidR="00000000" w:rsidRDefault="00195E73">
            <w:pPr>
              <w:rPr>
                <w:rFonts w:eastAsia="Times New Roman"/>
                <w:sz w:val="20"/>
                <w:szCs w:val="20"/>
              </w:rPr>
            </w:pPr>
          </w:p>
        </w:tc>
        <w:tc>
          <w:tcPr>
            <w:tcW w:w="0" w:type="auto"/>
            <w:vAlign w:val="center"/>
            <w:hideMark/>
          </w:tcPr>
          <w:p w14:paraId="68BAF302" w14:textId="77777777" w:rsidR="00000000" w:rsidRDefault="00195E73">
            <w:pPr>
              <w:rPr>
                <w:rFonts w:eastAsia="Times New Roman"/>
                <w:sz w:val="20"/>
                <w:szCs w:val="20"/>
              </w:rPr>
            </w:pPr>
          </w:p>
        </w:tc>
      </w:tr>
      <w:tr w:rsidR="00000000" w14:paraId="2EA0B2E3" w14:textId="77777777">
        <w:trPr>
          <w:divId w:val="1538930149"/>
          <w:jc w:val="center"/>
        </w:trPr>
        <w:tc>
          <w:tcPr>
            <w:tcW w:w="0" w:type="auto"/>
            <w:gridSpan w:val="3"/>
            <w:shd w:val="clear" w:color="auto" w:fill="CCEEFF"/>
            <w:tcMar>
              <w:top w:w="30" w:type="dxa"/>
              <w:left w:w="20" w:type="dxa"/>
              <w:bottom w:w="30" w:type="dxa"/>
              <w:right w:w="20" w:type="dxa"/>
            </w:tcMar>
            <w:vAlign w:val="bottom"/>
            <w:hideMark/>
          </w:tcPr>
          <w:p w14:paraId="73FBB476" w14:textId="77777777" w:rsidR="00000000" w:rsidRDefault="00195E73">
            <w:pPr>
              <w:rPr>
                <w:rFonts w:eastAsia="Times New Roman"/>
              </w:rPr>
            </w:pPr>
            <w:r>
              <w:rPr>
                <w:rFonts w:eastAsia="Times New Roman"/>
                <w:color w:val="000000"/>
                <w:sz w:val="20"/>
                <w:szCs w:val="20"/>
              </w:rPr>
              <w:t>Gain (loss) on extinguishment of 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1A46FB65"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0271427"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663CFA6D"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4C6014C5"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0995FF"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3CC159B"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1765971B"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2F629856"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7AF78D" w14:textId="77777777" w:rsidR="00000000" w:rsidRDefault="00195E73">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C77D40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C0E21D5" w14:textId="77777777" w:rsidR="00000000" w:rsidRDefault="00195E73">
            <w:pPr>
              <w:rPr>
                <w:rFonts w:eastAsia="Times New Roman"/>
                <w:sz w:val="20"/>
                <w:szCs w:val="20"/>
              </w:rPr>
            </w:pPr>
          </w:p>
        </w:tc>
        <w:tc>
          <w:tcPr>
            <w:tcW w:w="0" w:type="auto"/>
            <w:vAlign w:val="center"/>
            <w:hideMark/>
          </w:tcPr>
          <w:p w14:paraId="1534A393" w14:textId="77777777" w:rsidR="00000000" w:rsidRDefault="00195E73">
            <w:pPr>
              <w:rPr>
                <w:rFonts w:eastAsia="Times New Roman"/>
                <w:sz w:val="20"/>
                <w:szCs w:val="20"/>
              </w:rPr>
            </w:pPr>
          </w:p>
        </w:tc>
        <w:tc>
          <w:tcPr>
            <w:tcW w:w="0" w:type="auto"/>
            <w:vAlign w:val="center"/>
            <w:hideMark/>
          </w:tcPr>
          <w:p w14:paraId="1F7404EA" w14:textId="77777777" w:rsidR="00000000" w:rsidRDefault="00195E73">
            <w:pPr>
              <w:rPr>
                <w:rFonts w:eastAsia="Times New Roman"/>
                <w:sz w:val="20"/>
                <w:szCs w:val="20"/>
              </w:rPr>
            </w:pPr>
          </w:p>
        </w:tc>
        <w:tc>
          <w:tcPr>
            <w:tcW w:w="0" w:type="auto"/>
            <w:vAlign w:val="center"/>
            <w:hideMark/>
          </w:tcPr>
          <w:p w14:paraId="40ED3590" w14:textId="77777777" w:rsidR="00000000" w:rsidRDefault="00195E73">
            <w:pPr>
              <w:rPr>
                <w:rFonts w:eastAsia="Times New Roman"/>
                <w:sz w:val="20"/>
                <w:szCs w:val="20"/>
              </w:rPr>
            </w:pPr>
          </w:p>
        </w:tc>
        <w:tc>
          <w:tcPr>
            <w:tcW w:w="0" w:type="auto"/>
            <w:vAlign w:val="center"/>
            <w:hideMark/>
          </w:tcPr>
          <w:p w14:paraId="672CA3C3" w14:textId="77777777" w:rsidR="00000000" w:rsidRDefault="00195E73">
            <w:pPr>
              <w:rPr>
                <w:rFonts w:eastAsia="Times New Roman"/>
                <w:sz w:val="20"/>
                <w:szCs w:val="20"/>
              </w:rPr>
            </w:pPr>
          </w:p>
        </w:tc>
        <w:tc>
          <w:tcPr>
            <w:tcW w:w="0" w:type="auto"/>
            <w:vAlign w:val="center"/>
            <w:hideMark/>
          </w:tcPr>
          <w:p w14:paraId="36935080" w14:textId="77777777" w:rsidR="00000000" w:rsidRDefault="00195E73">
            <w:pPr>
              <w:rPr>
                <w:rFonts w:eastAsia="Times New Roman"/>
                <w:sz w:val="20"/>
                <w:szCs w:val="20"/>
              </w:rPr>
            </w:pPr>
          </w:p>
        </w:tc>
        <w:tc>
          <w:tcPr>
            <w:tcW w:w="0" w:type="auto"/>
            <w:vAlign w:val="center"/>
            <w:hideMark/>
          </w:tcPr>
          <w:p w14:paraId="4C83FE1D" w14:textId="77777777" w:rsidR="00000000" w:rsidRDefault="00195E73">
            <w:pPr>
              <w:rPr>
                <w:rFonts w:eastAsia="Times New Roman"/>
                <w:sz w:val="20"/>
                <w:szCs w:val="20"/>
              </w:rPr>
            </w:pPr>
          </w:p>
        </w:tc>
        <w:tc>
          <w:tcPr>
            <w:tcW w:w="0" w:type="auto"/>
            <w:vAlign w:val="center"/>
            <w:hideMark/>
          </w:tcPr>
          <w:p w14:paraId="7EB8808A" w14:textId="77777777" w:rsidR="00000000" w:rsidRDefault="00195E73">
            <w:pPr>
              <w:rPr>
                <w:rFonts w:eastAsia="Times New Roman"/>
                <w:sz w:val="20"/>
                <w:szCs w:val="20"/>
              </w:rPr>
            </w:pPr>
          </w:p>
        </w:tc>
        <w:tc>
          <w:tcPr>
            <w:tcW w:w="0" w:type="auto"/>
            <w:vAlign w:val="center"/>
            <w:hideMark/>
          </w:tcPr>
          <w:p w14:paraId="07281E74" w14:textId="77777777" w:rsidR="00000000" w:rsidRDefault="00195E73">
            <w:pPr>
              <w:rPr>
                <w:rFonts w:eastAsia="Times New Roman"/>
                <w:sz w:val="20"/>
                <w:szCs w:val="20"/>
              </w:rPr>
            </w:pPr>
          </w:p>
        </w:tc>
        <w:tc>
          <w:tcPr>
            <w:tcW w:w="0" w:type="auto"/>
            <w:vAlign w:val="center"/>
            <w:hideMark/>
          </w:tcPr>
          <w:p w14:paraId="29250668" w14:textId="77777777" w:rsidR="00000000" w:rsidRDefault="00195E73">
            <w:pPr>
              <w:rPr>
                <w:rFonts w:eastAsia="Times New Roman"/>
                <w:sz w:val="20"/>
                <w:szCs w:val="20"/>
              </w:rPr>
            </w:pPr>
          </w:p>
        </w:tc>
        <w:tc>
          <w:tcPr>
            <w:tcW w:w="0" w:type="auto"/>
            <w:vAlign w:val="center"/>
            <w:hideMark/>
          </w:tcPr>
          <w:p w14:paraId="0C739B73" w14:textId="77777777" w:rsidR="00000000" w:rsidRDefault="00195E73">
            <w:pPr>
              <w:rPr>
                <w:rFonts w:eastAsia="Times New Roman"/>
                <w:sz w:val="20"/>
                <w:szCs w:val="20"/>
              </w:rPr>
            </w:pPr>
          </w:p>
        </w:tc>
        <w:tc>
          <w:tcPr>
            <w:tcW w:w="0" w:type="auto"/>
            <w:vAlign w:val="center"/>
            <w:hideMark/>
          </w:tcPr>
          <w:p w14:paraId="4A1F522F" w14:textId="77777777" w:rsidR="00000000" w:rsidRDefault="00195E73">
            <w:pPr>
              <w:rPr>
                <w:rFonts w:eastAsia="Times New Roman"/>
                <w:sz w:val="20"/>
                <w:szCs w:val="20"/>
              </w:rPr>
            </w:pPr>
          </w:p>
        </w:tc>
      </w:tr>
      <w:tr w:rsidR="00000000" w14:paraId="6DBF65B3" w14:textId="77777777">
        <w:trPr>
          <w:divId w:val="1538930149"/>
          <w:jc w:val="center"/>
        </w:trPr>
        <w:tc>
          <w:tcPr>
            <w:tcW w:w="0" w:type="auto"/>
            <w:gridSpan w:val="3"/>
            <w:shd w:val="clear" w:color="auto" w:fill="FFFFFF"/>
            <w:tcMar>
              <w:top w:w="30" w:type="dxa"/>
              <w:left w:w="20" w:type="dxa"/>
              <w:bottom w:w="30" w:type="dxa"/>
              <w:right w:w="20" w:type="dxa"/>
            </w:tcMar>
            <w:vAlign w:val="bottom"/>
            <w:hideMark/>
          </w:tcPr>
          <w:p w14:paraId="65FB71D3" w14:textId="77777777" w:rsidR="00000000" w:rsidRDefault="00195E73">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7A4A90CD" w14:textId="77777777" w:rsidR="00000000" w:rsidRDefault="00195E73">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9A210EB"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796FD85E"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52CC758C"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C66F2D"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A3D9BB"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0BE4A03F"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5CE44509"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39544B"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E639BE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E610B3E" w14:textId="77777777" w:rsidR="00000000" w:rsidRDefault="00195E73">
            <w:pPr>
              <w:rPr>
                <w:rFonts w:eastAsia="Times New Roman"/>
                <w:sz w:val="20"/>
                <w:szCs w:val="20"/>
              </w:rPr>
            </w:pPr>
          </w:p>
        </w:tc>
        <w:tc>
          <w:tcPr>
            <w:tcW w:w="0" w:type="auto"/>
            <w:vAlign w:val="center"/>
            <w:hideMark/>
          </w:tcPr>
          <w:p w14:paraId="7BF91C04" w14:textId="77777777" w:rsidR="00000000" w:rsidRDefault="00195E73">
            <w:pPr>
              <w:rPr>
                <w:rFonts w:eastAsia="Times New Roman"/>
                <w:sz w:val="20"/>
                <w:szCs w:val="20"/>
              </w:rPr>
            </w:pPr>
          </w:p>
        </w:tc>
        <w:tc>
          <w:tcPr>
            <w:tcW w:w="0" w:type="auto"/>
            <w:vAlign w:val="center"/>
            <w:hideMark/>
          </w:tcPr>
          <w:p w14:paraId="1EB4C522" w14:textId="77777777" w:rsidR="00000000" w:rsidRDefault="00195E73">
            <w:pPr>
              <w:rPr>
                <w:rFonts w:eastAsia="Times New Roman"/>
                <w:sz w:val="20"/>
                <w:szCs w:val="20"/>
              </w:rPr>
            </w:pPr>
          </w:p>
        </w:tc>
        <w:tc>
          <w:tcPr>
            <w:tcW w:w="0" w:type="auto"/>
            <w:vAlign w:val="center"/>
            <w:hideMark/>
          </w:tcPr>
          <w:p w14:paraId="17FB709C" w14:textId="77777777" w:rsidR="00000000" w:rsidRDefault="00195E73">
            <w:pPr>
              <w:rPr>
                <w:rFonts w:eastAsia="Times New Roman"/>
                <w:sz w:val="20"/>
                <w:szCs w:val="20"/>
              </w:rPr>
            </w:pPr>
          </w:p>
        </w:tc>
        <w:tc>
          <w:tcPr>
            <w:tcW w:w="0" w:type="auto"/>
            <w:vAlign w:val="center"/>
            <w:hideMark/>
          </w:tcPr>
          <w:p w14:paraId="241BE08C" w14:textId="77777777" w:rsidR="00000000" w:rsidRDefault="00195E73">
            <w:pPr>
              <w:rPr>
                <w:rFonts w:eastAsia="Times New Roman"/>
                <w:sz w:val="20"/>
                <w:szCs w:val="20"/>
              </w:rPr>
            </w:pPr>
          </w:p>
        </w:tc>
        <w:tc>
          <w:tcPr>
            <w:tcW w:w="0" w:type="auto"/>
            <w:vAlign w:val="center"/>
            <w:hideMark/>
          </w:tcPr>
          <w:p w14:paraId="5C822676" w14:textId="77777777" w:rsidR="00000000" w:rsidRDefault="00195E73">
            <w:pPr>
              <w:rPr>
                <w:rFonts w:eastAsia="Times New Roman"/>
                <w:sz w:val="20"/>
                <w:szCs w:val="20"/>
              </w:rPr>
            </w:pPr>
          </w:p>
        </w:tc>
        <w:tc>
          <w:tcPr>
            <w:tcW w:w="0" w:type="auto"/>
            <w:vAlign w:val="center"/>
            <w:hideMark/>
          </w:tcPr>
          <w:p w14:paraId="080A6146" w14:textId="77777777" w:rsidR="00000000" w:rsidRDefault="00195E73">
            <w:pPr>
              <w:rPr>
                <w:rFonts w:eastAsia="Times New Roman"/>
                <w:sz w:val="20"/>
                <w:szCs w:val="20"/>
              </w:rPr>
            </w:pPr>
          </w:p>
        </w:tc>
        <w:tc>
          <w:tcPr>
            <w:tcW w:w="0" w:type="auto"/>
            <w:vAlign w:val="center"/>
            <w:hideMark/>
          </w:tcPr>
          <w:p w14:paraId="11427D32" w14:textId="77777777" w:rsidR="00000000" w:rsidRDefault="00195E73">
            <w:pPr>
              <w:rPr>
                <w:rFonts w:eastAsia="Times New Roman"/>
                <w:sz w:val="20"/>
                <w:szCs w:val="20"/>
              </w:rPr>
            </w:pPr>
          </w:p>
        </w:tc>
        <w:tc>
          <w:tcPr>
            <w:tcW w:w="0" w:type="auto"/>
            <w:vAlign w:val="center"/>
            <w:hideMark/>
          </w:tcPr>
          <w:p w14:paraId="3EC99492" w14:textId="77777777" w:rsidR="00000000" w:rsidRDefault="00195E73">
            <w:pPr>
              <w:rPr>
                <w:rFonts w:eastAsia="Times New Roman"/>
                <w:sz w:val="20"/>
                <w:szCs w:val="20"/>
              </w:rPr>
            </w:pPr>
          </w:p>
        </w:tc>
        <w:tc>
          <w:tcPr>
            <w:tcW w:w="0" w:type="auto"/>
            <w:vAlign w:val="center"/>
            <w:hideMark/>
          </w:tcPr>
          <w:p w14:paraId="565581B9" w14:textId="77777777" w:rsidR="00000000" w:rsidRDefault="00195E73">
            <w:pPr>
              <w:rPr>
                <w:rFonts w:eastAsia="Times New Roman"/>
                <w:sz w:val="20"/>
                <w:szCs w:val="20"/>
              </w:rPr>
            </w:pPr>
          </w:p>
        </w:tc>
        <w:tc>
          <w:tcPr>
            <w:tcW w:w="0" w:type="auto"/>
            <w:vAlign w:val="center"/>
            <w:hideMark/>
          </w:tcPr>
          <w:p w14:paraId="295E8A7F" w14:textId="77777777" w:rsidR="00000000" w:rsidRDefault="00195E73">
            <w:pPr>
              <w:rPr>
                <w:rFonts w:eastAsia="Times New Roman"/>
                <w:sz w:val="20"/>
                <w:szCs w:val="20"/>
              </w:rPr>
            </w:pPr>
          </w:p>
        </w:tc>
        <w:tc>
          <w:tcPr>
            <w:tcW w:w="0" w:type="auto"/>
            <w:vAlign w:val="center"/>
            <w:hideMark/>
          </w:tcPr>
          <w:p w14:paraId="2AF40061" w14:textId="77777777" w:rsidR="00000000" w:rsidRDefault="00195E73">
            <w:pPr>
              <w:rPr>
                <w:rFonts w:eastAsia="Times New Roman"/>
                <w:sz w:val="20"/>
                <w:szCs w:val="20"/>
              </w:rPr>
            </w:pPr>
          </w:p>
        </w:tc>
      </w:tr>
      <w:tr w:rsidR="00000000" w14:paraId="750A2F3A" w14:textId="77777777">
        <w:trPr>
          <w:divId w:val="1538930149"/>
          <w:jc w:val="center"/>
        </w:trPr>
        <w:tc>
          <w:tcPr>
            <w:tcW w:w="0" w:type="auto"/>
            <w:gridSpan w:val="3"/>
            <w:shd w:val="clear" w:color="auto" w:fill="CCEEFF"/>
            <w:tcMar>
              <w:top w:w="15" w:type="dxa"/>
              <w:left w:w="20" w:type="dxa"/>
              <w:bottom w:w="15" w:type="dxa"/>
              <w:right w:w="20" w:type="dxa"/>
            </w:tcMar>
            <w:vAlign w:val="bottom"/>
            <w:hideMark/>
          </w:tcPr>
          <w:p w14:paraId="62AD6369"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0CB95D4"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D3FA1F6" w14:textId="77777777" w:rsidR="00000000" w:rsidRDefault="00195E73">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D3519D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2CD47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7DF11F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3C16143"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CBD1F1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E5E370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F70FB0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C5C0BD2" w14:textId="77777777" w:rsidR="00000000" w:rsidRDefault="00195E73">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23E58E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CE62336" w14:textId="77777777" w:rsidR="00000000" w:rsidRDefault="00195E73">
            <w:pPr>
              <w:rPr>
                <w:rFonts w:eastAsia="Times New Roman"/>
                <w:sz w:val="20"/>
                <w:szCs w:val="20"/>
              </w:rPr>
            </w:pPr>
          </w:p>
        </w:tc>
        <w:tc>
          <w:tcPr>
            <w:tcW w:w="0" w:type="auto"/>
            <w:vAlign w:val="center"/>
            <w:hideMark/>
          </w:tcPr>
          <w:p w14:paraId="13E1A16B" w14:textId="77777777" w:rsidR="00000000" w:rsidRDefault="00195E73">
            <w:pPr>
              <w:rPr>
                <w:rFonts w:eastAsia="Times New Roman"/>
                <w:sz w:val="20"/>
                <w:szCs w:val="20"/>
              </w:rPr>
            </w:pPr>
          </w:p>
        </w:tc>
        <w:tc>
          <w:tcPr>
            <w:tcW w:w="0" w:type="auto"/>
            <w:vAlign w:val="center"/>
            <w:hideMark/>
          </w:tcPr>
          <w:p w14:paraId="51FA4556" w14:textId="77777777" w:rsidR="00000000" w:rsidRDefault="00195E73">
            <w:pPr>
              <w:rPr>
                <w:rFonts w:eastAsia="Times New Roman"/>
                <w:sz w:val="20"/>
                <w:szCs w:val="20"/>
              </w:rPr>
            </w:pPr>
          </w:p>
        </w:tc>
        <w:tc>
          <w:tcPr>
            <w:tcW w:w="0" w:type="auto"/>
            <w:vAlign w:val="center"/>
            <w:hideMark/>
          </w:tcPr>
          <w:p w14:paraId="0942C851" w14:textId="77777777" w:rsidR="00000000" w:rsidRDefault="00195E73">
            <w:pPr>
              <w:rPr>
                <w:rFonts w:eastAsia="Times New Roman"/>
                <w:sz w:val="20"/>
                <w:szCs w:val="20"/>
              </w:rPr>
            </w:pPr>
          </w:p>
        </w:tc>
        <w:tc>
          <w:tcPr>
            <w:tcW w:w="0" w:type="auto"/>
            <w:vAlign w:val="center"/>
            <w:hideMark/>
          </w:tcPr>
          <w:p w14:paraId="620B7742" w14:textId="77777777" w:rsidR="00000000" w:rsidRDefault="00195E73">
            <w:pPr>
              <w:rPr>
                <w:rFonts w:eastAsia="Times New Roman"/>
                <w:sz w:val="20"/>
                <w:szCs w:val="20"/>
              </w:rPr>
            </w:pPr>
          </w:p>
        </w:tc>
        <w:tc>
          <w:tcPr>
            <w:tcW w:w="0" w:type="auto"/>
            <w:vAlign w:val="center"/>
            <w:hideMark/>
          </w:tcPr>
          <w:p w14:paraId="6CEB02C7" w14:textId="77777777" w:rsidR="00000000" w:rsidRDefault="00195E73">
            <w:pPr>
              <w:rPr>
                <w:rFonts w:eastAsia="Times New Roman"/>
                <w:sz w:val="20"/>
                <w:szCs w:val="20"/>
              </w:rPr>
            </w:pPr>
          </w:p>
        </w:tc>
        <w:tc>
          <w:tcPr>
            <w:tcW w:w="0" w:type="auto"/>
            <w:vAlign w:val="center"/>
            <w:hideMark/>
          </w:tcPr>
          <w:p w14:paraId="0ED68A67" w14:textId="77777777" w:rsidR="00000000" w:rsidRDefault="00195E73">
            <w:pPr>
              <w:rPr>
                <w:rFonts w:eastAsia="Times New Roman"/>
                <w:sz w:val="20"/>
                <w:szCs w:val="20"/>
              </w:rPr>
            </w:pPr>
          </w:p>
        </w:tc>
        <w:tc>
          <w:tcPr>
            <w:tcW w:w="0" w:type="auto"/>
            <w:vAlign w:val="center"/>
            <w:hideMark/>
          </w:tcPr>
          <w:p w14:paraId="57883981" w14:textId="77777777" w:rsidR="00000000" w:rsidRDefault="00195E73">
            <w:pPr>
              <w:rPr>
                <w:rFonts w:eastAsia="Times New Roman"/>
                <w:sz w:val="20"/>
                <w:szCs w:val="20"/>
              </w:rPr>
            </w:pPr>
          </w:p>
        </w:tc>
        <w:tc>
          <w:tcPr>
            <w:tcW w:w="0" w:type="auto"/>
            <w:vAlign w:val="center"/>
            <w:hideMark/>
          </w:tcPr>
          <w:p w14:paraId="2012EA86" w14:textId="77777777" w:rsidR="00000000" w:rsidRDefault="00195E73">
            <w:pPr>
              <w:rPr>
                <w:rFonts w:eastAsia="Times New Roman"/>
                <w:sz w:val="20"/>
                <w:szCs w:val="20"/>
              </w:rPr>
            </w:pPr>
          </w:p>
        </w:tc>
        <w:tc>
          <w:tcPr>
            <w:tcW w:w="0" w:type="auto"/>
            <w:vAlign w:val="center"/>
            <w:hideMark/>
          </w:tcPr>
          <w:p w14:paraId="10BBD64C" w14:textId="77777777" w:rsidR="00000000" w:rsidRDefault="00195E73">
            <w:pPr>
              <w:rPr>
                <w:rFonts w:eastAsia="Times New Roman"/>
                <w:sz w:val="20"/>
                <w:szCs w:val="20"/>
              </w:rPr>
            </w:pPr>
          </w:p>
        </w:tc>
        <w:tc>
          <w:tcPr>
            <w:tcW w:w="0" w:type="auto"/>
            <w:vAlign w:val="center"/>
            <w:hideMark/>
          </w:tcPr>
          <w:p w14:paraId="1118DD41" w14:textId="77777777" w:rsidR="00000000" w:rsidRDefault="00195E73">
            <w:pPr>
              <w:rPr>
                <w:rFonts w:eastAsia="Times New Roman"/>
                <w:sz w:val="20"/>
                <w:szCs w:val="20"/>
              </w:rPr>
            </w:pPr>
          </w:p>
        </w:tc>
        <w:tc>
          <w:tcPr>
            <w:tcW w:w="0" w:type="auto"/>
            <w:vAlign w:val="center"/>
            <w:hideMark/>
          </w:tcPr>
          <w:p w14:paraId="01ECD092" w14:textId="77777777" w:rsidR="00000000" w:rsidRDefault="00195E73">
            <w:pPr>
              <w:rPr>
                <w:rFonts w:eastAsia="Times New Roman"/>
                <w:sz w:val="20"/>
                <w:szCs w:val="20"/>
              </w:rPr>
            </w:pPr>
          </w:p>
        </w:tc>
      </w:tr>
    </w:tbl>
    <w:p w14:paraId="22C2BB23" w14:textId="77777777" w:rsidR="00000000" w:rsidRDefault="00195E73">
      <w:pPr>
        <w:divId w:val="388118206"/>
        <w:rPr>
          <w:rFonts w:eastAsia="Times New Roman"/>
        </w:rPr>
      </w:pPr>
    </w:p>
    <w:p w14:paraId="2391E9E2" w14:textId="77777777" w:rsidR="00000000" w:rsidRDefault="00195E73">
      <w:pPr>
        <w:divId w:val="795952016"/>
        <w:rPr>
          <w:rFonts w:eastAsia="Times New Roman"/>
        </w:rPr>
      </w:pPr>
    </w:p>
    <w:p w14:paraId="2FC65779" w14:textId="77777777" w:rsidR="00000000" w:rsidRDefault="00195E73">
      <w:pPr>
        <w:ind w:hanging="360"/>
        <w:divId w:val="76682068"/>
        <w:rPr>
          <w:rFonts w:eastAsia="Times New Roman"/>
        </w:rPr>
      </w:pPr>
      <w:r>
        <w:rPr>
          <w:rFonts w:eastAsia="Times New Roman"/>
          <w:b/>
          <w:bCs/>
          <w:color w:val="000000"/>
          <w:sz w:val="20"/>
          <w:szCs w:val="20"/>
        </w:rPr>
        <w:t>18. Commitments and Contingencies.</w:t>
      </w:r>
      <w:r>
        <w:rPr>
          <w:rFonts w:eastAsia="Times New Roman"/>
          <w:b/>
          <w:bCs/>
          <w:color w:val="000000"/>
          <w:sz w:val="20"/>
          <w:szCs w:val="20"/>
        </w:rPr>
        <w:t xml:space="preserve"> </w:t>
      </w:r>
    </w:p>
    <w:p w14:paraId="671684A9" w14:textId="77777777" w:rsidR="00000000" w:rsidRDefault="00195E73">
      <w:pPr>
        <w:divId w:val="257257306"/>
        <w:rPr>
          <w:rFonts w:eastAsia="Times New Roman"/>
        </w:rPr>
      </w:pPr>
      <w:r>
        <w:rPr>
          <w:rFonts w:eastAsia="Times New Roman"/>
          <w:b/>
          <w:bCs/>
          <w:i/>
          <w:iCs/>
          <w:color w:val="000000"/>
          <w:sz w:val="20"/>
          <w:szCs w:val="20"/>
        </w:rPr>
        <w:t>Environmental Matter</w:t>
      </w:r>
      <w:r>
        <w:rPr>
          <w:rFonts w:eastAsia="Times New Roman"/>
          <w:b/>
          <w:bCs/>
          <w:i/>
          <w:iCs/>
          <w:color w:val="000000"/>
          <w:sz w:val="20"/>
          <w:szCs w:val="20"/>
        </w:rPr>
        <w:t>s</w:t>
      </w:r>
    </w:p>
    <w:p w14:paraId="65EC4113" w14:textId="77777777" w:rsidR="00000000" w:rsidRDefault="00195E73">
      <w:pPr>
        <w:ind w:firstLine="450"/>
        <w:divId w:val="2097898235"/>
        <w:rPr>
          <w:rFonts w:eastAsia="Times New Roman"/>
        </w:rPr>
      </w:pPr>
      <w:r>
        <w:rPr>
          <w:rFonts w:eastAsia="Times New Roman"/>
          <w:color w:val="000000"/>
          <w:sz w:val="20"/>
          <w:szCs w:val="20"/>
        </w:rPr>
        <w:t>Due to the nature of our business, certain of our subsidiaries’ operations are subject to numerous existing and proposed laws and governmental regulations designed to p</w:t>
      </w:r>
      <w:r>
        <w:rPr>
          <w:rFonts w:eastAsia="Times New Roman"/>
          <w:color w:val="000000"/>
          <w:sz w:val="20"/>
          <w:szCs w:val="20"/>
        </w:rPr>
        <w:t>rotect the environment, particularly regarding plant wastes and emissions and solid waste disposal. Our consolidated environmental liabilities on an undiscounted basis were $34 million and $37 million as of December 31, 2019 and December 31, 2018, respecti</w:t>
      </w:r>
      <w:r>
        <w:rPr>
          <w:rFonts w:eastAsia="Times New Roman"/>
          <w:color w:val="000000"/>
          <w:sz w:val="20"/>
          <w:szCs w:val="20"/>
        </w:rPr>
        <w:t xml:space="preserve">vely, primarily within our Energy and Metals segments and which are included in accrued expenses and other liabilities in our consolidated balance sheets. We do not believe that environmental matters will have a material adverse impact on our consolidated </w:t>
      </w:r>
      <w:r>
        <w:rPr>
          <w:rFonts w:eastAsia="Times New Roman"/>
          <w:color w:val="000000"/>
          <w:sz w:val="20"/>
          <w:szCs w:val="20"/>
        </w:rPr>
        <w:t>results of operations and financial condition</w:t>
      </w:r>
      <w:r>
        <w:rPr>
          <w:rFonts w:eastAsia="Times New Roman"/>
          <w:color w:val="000000"/>
          <w:sz w:val="20"/>
          <w:szCs w:val="20"/>
        </w:rPr>
        <w:t>.</w:t>
      </w:r>
    </w:p>
    <w:p w14:paraId="33897582" w14:textId="77777777" w:rsidR="00000000" w:rsidRDefault="00195E73">
      <w:pPr>
        <w:divId w:val="1694720294"/>
        <w:rPr>
          <w:rFonts w:eastAsia="Times New Roman"/>
        </w:rPr>
      </w:pPr>
      <w:r>
        <w:rPr>
          <w:rFonts w:eastAsia="Times New Roman"/>
          <w:i/>
          <w:iCs/>
          <w:color w:val="000000"/>
          <w:sz w:val="20"/>
          <w:szCs w:val="20"/>
        </w:rPr>
        <w:t>Energ</w:t>
      </w:r>
      <w:r>
        <w:rPr>
          <w:rFonts w:eastAsia="Times New Roman"/>
          <w:i/>
          <w:iCs/>
          <w:color w:val="000000"/>
          <w:sz w:val="20"/>
          <w:szCs w:val="20"/>
        </w:rPr>
        <w:t>y</w:t>
      </w:r>
    </w:p>
    <w:p w14:paraId="3B6DBC84" w14:textId="77777777" w:rsidR="00000000" w:rsidRDefault="00195E73">
      <w:pPr>
        <w:ind w:firstLine="450"/>
        <w:divId w:val="309092664"/>
        <w:rPr>
          <w:rFonts w:eastAsia="Times New Roman"/>
        </w:rPr>
      </w:pPr>
      <w:r>
        <w:rPr>
          <w:rFonts w:eastAsia="Times New Roman"/>
          <w:color w:val="000000"/>
          <w:sz w:val="20"/>
          <w:szCs w:val="20"/>
        </w:rPr>
        <w:t>On August 21, 2018, CVR Refining received a letter from the United States Department of Justice (the “DOJ”</w:t>
      </w:r>
      <w:r>
        <w:rPr>
          <w:rFonts w:eastAsia="Times New Roman"/>
          <w:color w:val="000000"/>
          <w:sz w:val="20"/>
          <w:szCs w:val="20"/>
        </w:rPr>
        <w:t>) on behalf of the Environmental Protection Agency (the “EPA”) and Kansas Department of Health and Environment (“KDHE”) alleging violations of the Clean Air Act and a 2012 Consent Decree between CVR Refining, the United States (on behalf of the EPA) and KD</w:t>
      </w:r>
      <w:r>
        <w:rPr>
          <w:rFonts w:eastAsia="Times New Roman"/>
          <w:color w:val="000000"/>
          <w:sz w:val="20"/>
          <w:szCs w:val="20"/>
        </w:rPr>
        <w:t>HE at CVR Energy’s Coffeyville refinery. In September 2018, CVR Refining executed a tolling agreement with the DOJ and KDHE extending time for negotiation regarding the agencies’ allegations through March 2019, and this tolling agreement was extended throu</w:t>
      </w:r>
      <w:r>
        <w:rPr>
          <w:rFonts w:eastAsia="Times New Roman"/>
          <w:color w:val="000000"/>
          <w:sz w:val="20"/>
          <w:szCs w:val="20"/>
        </w:rPr>
        <w:t>gh April 30, 2020. At this time CVR Energy cannot reasonably estimate the potential penalties, costs, fines or other expenditures that may result from this matter or any subsequent enforcement or litigation relating thereto</w:t>
      </w:r>
      <w:r>
        <w:rPr>
          <w:rFonts w:eastAsia="Times New Roman"/>
          <w:color w:val="000000"/>
          <w:sz w:val="20"/>
          <w:szCs w:val="20"/>
        </w:rPr>
        <w:t xml:space="preserve"> </w:t>
      </w:r>
    </w:p>
    <w:p w14:paraId="7BE5E7F2" w14:textId="77777777" w:rsidR="00000000" w:rsidRDefault="00195E73">
      <w:pPr>
        <w:jc w:val="center"/>
        <w:divId w:val="1446461318"/>
        <w:rPr>
          <w:rFonts w:eastAsia="Times New Roman"/>
        </w:rPr>
      </w:pPr>
      <w:r>
        <w:rPr>
          <w:rFonts w:eastAsia="Times New Roman"/>
          <w:color w:val="000000"/>
          <w:sz w:val="20"/>
          <w:szCs w:val="20"/>
        </w:rPr>
        <w:t>10</w:t>
      </w:r>
      <w:r>
        <w:rPr>
          <w:rFonts w:eastAsia="Times New Roman"/>
          <w:color w:val="000000"/>
          <w:sz w:val="20"/>
          <w:szCs w:val="20"/>
        </w:rPr>
        <w:t>7</w:t>
      </w:r>
    </w:p>
    <w:p w14:paraId="3E002081" w14:textId="77777777" w:rsidR="00000000" w:rsidRDefault="00195E73">
      <w:pPr>
        <w:rPr>
          <w:rFonts w:eastAsia="Times New Roman"/>
        </w:rPr>
      </w:pPr>
      <w:r>
        <w:rPr>
          <w:rFonts w:eastAsia="Times New Roman"/>
        </w:rPr>
        <w:pict w14:anchorId="6E882B09">
          <v:rect id="_x0000_i1133" style="width:0;height:1.5pt" o:hralign="center" o:hrstd="t" o:hr="t" fillcolor="#a0a0a0" stroked="f"/>
        </w:pict>
      </w:r>
    </w:p>
    <w:p w14:paraId="25EBDCCA" w14:textId="77777777" w:rsidR="00000000" w:rsidRDefault="00195E73">
      <w:pPr>
        <w:jc w:val="center"/>
        <w:divId w:val="2029016605"/>
        <w:rPr>
          <w:rFonts w:eastAsia="Times New Roman"/>
        </w:rPr>
      </w:pPr>
    </w:p>
    <w:p w14:paraId="648208BF" w14:textId="77777777" w:rsidR="00000000" w:rsidRDefault="00195E73">
      <w:pPr>
        <w:jc w:val="center"/>
        <w:divId w:val="2029016605"/>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6B967FA5" w14:textId="77777777" w:rsidR="00000000" w:rsidRDefault="00195E73">
      <w:pPr>
        <w:jc w:val="center"/>
        <w:divId w:val="2029016605"/>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07ABCB3D" w14:textId="77777777" w:rsidR="00000000" w:rsidRDefault="00195E73">
      <w:pPr>
        <w:jc w:val="center"/>
        <w:divId w:val="2029016605"/>
        <w:rPr>
          <w:rFonts w:eastAsia="Times New Roman"/>
        </w:rPr>
      </w:pPr>
    </w:p>
    <w:p w14:paraId="64A0A505" w14:textId="77777777" w:rsidR="00000000" w:rsidRDefault="00195E73">
      <w:pPr>
        <w:jc w:val="center"/>
        <w:divId w:val="2029016605"/>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01E7A40F" w14:textId="77777777" w:rsidR="00000000" w:rsidRDefault="00195E73">
      <w:pPr>
        <w:divId w:val="658339497"/>
        <w:rPr>
          <w:rFonts w:eastAsia="Times New Roman"/>
        </w:rPr>
      </w:pPr>
      <w:r>
        <w:rPr>
          <w:rFonts w:eastAsia="Times New Roman"/>
          <w:color w:val="000000"/>
          <w:sz w:val="20"/>
          <w:szCs w:val="20"/>
        </w:rPr>
        <w:t>and, therefore, CVR Energy cannot determine if the ultimate outcome of this matter will have a material impact</w:t>
      </w:r>
      <w:r>
        <w:rPr>
          <w:rFonts w:eastAsia="Times New Roman"/>
          <w:color w:val="000000"/>
          <w:sz w:val="20"/>
          <w:szCs w:val="20"/>
        </w:rPr>
        <w:t xml:space="preserve"> on its financial position, results of operations or cash flows</w:t>
      </w:r>
      <w:r>
        <w:rPr>
          <w:rFonts w:eastAsia="Times New Roman"/>
          <w:color w:val="000000"/>
          <w:sz w:val="20"/>
          <w:szCs w:val="20"/>
        </w:rPr>
        <w:t>.</w:t>
      </w:r>
    </w:p>
    <w:p w14:paraId="2E8D94DD" w14:textId="77777777" w:rsidR="00000000" w:rsidRDefault="00195E73">
      <w:pPr>
        <w:ind w:firstLine="450"/>
        <w:divId w:val="1742143898"/>
        <w:rPr>
          <w:rFonts w:eastAsia="Times New Roman"/>
        </w:rPr>
      </w:pPr>
      <w:r>
        <w:rPr>
          <w:rFonts w:eastAsia="Times New Roman"/>
          <w:color w:val="000000"/>
          <w:sz w:val="20"/>
          <w:szCs w:val="20"/>
        </w:rPr>
        <w:t>As of December 31, 2019 and 2018, our Energy segment had environmental accruals of $6 million and $8 million, respectively, representing estimated costs for future remediation efforts at cert</w:t>
      </w:r>
      <w:r>
        <w:rPr>
          <w:rFonts w:eastAsia="Times New Roman"/>
          <w:color w:val="000000"/>
          <w:sz w:val="20"/>
          <w:szCs w:val="20"/>
        </w:rPr>
        <w:t>ain sites.</w:t>
      </w:r>
      <w:r>
        <w:rPr>
          <w:rFonts w:eastAsia="Times New Roman"/>
          <w:color w:val="000000"/>
          <w:sz w:val="20"/>
          <w:szCs w:val="20"/>
        </w:rPr>
        <w:t xml:space="preserve"> </w:t>
      </w:r>
    </w:p>
    <w:p w14:paraId="0894ABB9" w14:textId="77777777" w:rsidR="00000000" w:rsidRDefault="00195E73">
      <w:pPr>
        <w:divId w:val="1977756899"/>
        <w:rPr>
          <w:rFonts w:eastAsia="Times New Roman"/>
        </w:rPr>
      </w:pPr>
      <w:r>
        <w:rPr>
          <w:rFonts w:eastAsia="Times New Roman"/>
          <w:i/>
          <w:iCs/>
          <w:color w:val="000000"/>
          <w:sz w:val="20"/>
          <w:szCs w:val="20"/>
        </w:rPr>
        <w:t>Metal</w:t>
      </w:r>
      <w:r>
        <w:rPr>
          <w:rFonts w:eastAsia="Times New Roman"/>
          <w:i/>
          <w:iCs/>
          <w:color w:val="000000"/>
          <w:sz w:val="20"/>
          <w:szCs w:val="20"/>
        </w:rPr>
        <w:t>s</w:t>
      </w:r>
    </w:p>
    <w:p w14:paraId="4A8C7C9F" w14:textId="77777777" w:rsidR="00000000" w:rsidRDefault="00195E73">
      <w:pPr>
        <w:ind w:firstLine="450"/>
        <w:divId w:val="181555074"/>
        <w:rPr>
          <w:rFonts w:eastAsia="Times New Roman"/>
        </w:rPr>
      </w:pPr>
      <w:r>
        <w:rPr>
          <w:rFonts w:eastAsia="Times New Roman"/>
          <w:color w:val="000000"/>
          <w:sz w:val="20"/>
          <w:szCs w:val="20"/>
        </w:rPr>
        <w:t>PSC Metals has been designated as a potentially responsible party (“PRP”) under U.S. federal and state superfund laws with respect to certain sites with which PSC Metals may have had a direct or indirect involvement. It is alleged that P</w:t>
      </w:r>
      <w:r>
        <w:rPr>
          <w:rFonts w:eastAsia="Times New Roman"/>
          <w:color w:val="000000"/>
          <w:sz w:val="20"/>
          <w:szCs w:val="20"/>
        </w:rPr>
        <w:t>SC Metals and its subsidiaries or their predecessors transported waste to the sites, disposed of waste at the sites or operated the sites in question. In addition, one of PSC Metals’ Knoxville, Tennessee locations was the subject of investigations by the S</w:t>
      </w:r>
      <w:r>
        <w:rPr>
          <w:rFonts w:eastAsia="Times New Roman"/>
          <w:color w:val="000000"/>
          <w:sz w:val="20"/>
          <w:szCs w:val="20"/>
        </w:rPr>
        <w:t>tate of Tennessee under the federal Superfund law. These investigations were performed by the State of Tennessee pursuant to a contract with the EPA. PSC Metals has entered into Tennessee’s Voluntary Clean-Up Oversight and Assistance Program (“VOAP”) and e</w:t>
      </w:r>
      <w:r>
        <w:rPr>
          <w:rFonts w:eastAsia="Times New Roman"/>
          <w:color w:val="000000"/>
          <w:sz w:val="20"/>
          <w:szCs w:val="20"/>
        </w:rPr>
        <w:t>xpects to enter into a settlement with the Tennessee Department of Environment and Conservation (“TDEC”) in the future. Currently, PSC Metals believes that it has adequately reserved for the cost of any potential future remediation associated with its Knox</w:t>
      </w:r>
      <w:r>
        <w:rPr>
          <w:rFonts w:eastAsia="Times New Roman"/>
          <w:color w:val="000000"/>
          <w:sz w:val="20"/>
          <w:szCs w:val="20"/>
        </w:rPr>
        <w:t>ville location, but cannot fully assess the impact of all costs or liabilities associated with TDEC’s investigations. With respect to all other matters in which PSC Metals has been designated as a PRP under U.S. federal and state superfund laws, PSC Metals</w:t>
      </w:r>
      <w:r>
        <w:rPr>
          <w:rFonts w:eastAsia="Times New Roman"/>
          <w:color w:val="000000"/>
          <w:sz w:val="20"/>
          <w:szCs w:val="20"/>
        </w:rPr>
        <w:t xml:space="preserve"> has reviewed the nature and extent of the allegations, the number, connection and financial ability of other named and unnamed PRPs and the nature and estimated cost of the likely remedy. Based on reviewing the nature and extent of the allegations, PSC Me</w:t>
      </w:r>
      <w:r>
        <w:rPr>
          <w:rFonts w:eastAsia="Times New Roman"/>
          <w:color w:val="000000"/>
          <w:sz w:val="20"/>
          <w:szCs w:val="20"/>
        </w:rPr>
        <w:t>tals has estimated its liability to remediate these other sites to be immaterial as of both December 31, 2019 and 2018. If it is determined that PSC Metals has liability to remediate those sites and that more expensive remediation approaches are required i</w:t>
      </w:r>
      <w:r>
        <w:rPr>
          <w:rFonts w:eastAsia="Times New Roman"/>
          <w:color w:val="000000"/>
          <w:sz w:val="20"/>
          <w:szCs w:val="20"/>
        </w:rPr>
        <w:t>n the future, PSC Metals could incur additional obligations, which could be material to its operations.</w:t>
      </w:r>
      <w:r>
        <w:rPr>
          <w:rFonts w:eastAsia="Times New Roman"/>
          <w:color w:val="000000"/>
          <w:sz w:val="20"/>
          <w:szCs w:val="20"/>
        </w:rPr>
        <w:t xml:space="preserve"> </w:t>
      </w:r>
    </w:p>
    <w:p w14:paraId="0A95C43F" w14:textId="77777777" w:rsidR="00000000" w:rsidRDefault="00195E73">
      <w:pPr>
        <w:ind w:firstLine="450"/>
        <w:divId w:val="1286933545"/>
        <w:rPr>
          <w:rFonts w:eastAsia="Times New Roman"/>
        </w:rPr>
      </w:pPr>
      <w:r>
        <w:rPr>
          <w:rFonts w:eastAsia="Times New Roman"/>
          <w:color w:val="000000"/>
          <w:sz w:val="20"/>
          <w:szCs w:val="20"/>
        </w:rPr>
        <w:t>Certain of PSC Metals’ facilities are environmentally impaired in part as a result of operating practices at the sites prior to their acquisition by PS</w:t>
      </w:r>
      <w:r>
        <w:rPr>
          <w:rFonts w:eastAsia="Times New Roman"/>
          <w:color w:val="000000"/>
          <w:sz w:val="20"/>
          <w:szCs w:val="20"/>
        </w:rPr>
        <w:t>C Metals and as a result of PSC Metals’ operations. PSC Metals has established procedures to periodically evaluate these sites, giving consideration to the nature and extent of the contamination. PSC Metals has provided for the remediation of these sites b</w:t>
      </w:r>
      <w:r>
        <w:rPr>
          <w:rFonts w:eastAsia="Times New Roman"/>
          <w:color w:val="000000"/>
          <w:sz w:val="20"/>
          <w:szCs w:val="20"/>
        </w:rPr>
        <w:t>ased upon its management’s judgment and prior experience. PSC Metals has estimated the liability to remediate these sites to be $27 million and $27 million at December 31, 2019 and 2018, respectively. PSC Metals believes, based on past experience, that the</w:t>
      </w:r>
      <w:r>
        <w:rPr>
          <w:rFonts w:eastAsia="Times New Roman"/>
          <w:color w:val="000000"/>
          <w:sz w:val="20"/>
          <w:szCs w:val="20"/>
        </w:rPr>
        <w:t xml:space="preserve"> vast majority of these environmental liabilities and costs will be assessed and paid over an extended period of time. PSC Metals believes that it will be able to fund such costs in the ordinary course of business. Estimates of PSC Metals’ liability for re</w:t>
      </w:r>
      <w:r>
        <w:rPr>
          <w:rFonts w:eastAsia="Times New Roman"/>
          <w:color w:val="000000"/>
          <w:sz w:val="20"/>
          <w:szCs w:val="20"/>
        </w:rPr>
        <w:t xml:space="preserve">mediation of a particular site and the method and ultimate cost of remediation require a number of assumptions that are inherently difficult to make, and the ultimate outcome may be materially different from current estimates. Moreover, because PSC Metals </w:t>
      </w:r>
      <w:r>
        <w:rPr>
          <w:rFonts w:eastAsia="Times New Roman"/>
          <w:color w:val="000000"/>
          <w:sz w:val="20"/>
          <w:szCs w:val="20"/>
        </w:rPr>
        <w:t>has disposed of waste materials at numerous third-party disposal facilities, it is possible that PSC Metals will be identified as a PRP at additional sites. The impact of such future events cannot be estimated at the current time</w:t>
      </w:r>
      <w:r>
        <w:rPr>
          <w:rFonts w:eastAsia="Times New Roman"/>
          <w:color w:val="000000"/>
          <w:sz w:val="20"/>
          <w:szCs w:val="20"/>
        </w:rPr>
        <w:t>.</w:t>
      </w:r>
    </w:p>
    <w:p w14:paraId="2E964841" w14:textId="77777777" w:rsidR="00000000" w:rsidRDefault="00195E73">
      <w:pPr>
        <w:divId w:val="10958994"/>
        <w:rPr>
          <w:rFonts w:eastAsia="Times New Roman"/>
        </w:rPr>
      </w:pPr>
      <w:r>
        <w:rPr>
          <w:rFonts w:eastAsia="Times New Roman"/>
          <w:b/>
          <w:bCs/>
          <w:i/>
          <w:iCs/>
          <w:color w:val="000000"/>
          <w:sz w:val="20"/>
          <w:szCs w:val="20"/>
        </w:rPr>
        <w:t>Renewable Fuel Standard</w:t>
      </w:r>
      <w:r>
        <w:rPr>
          <w:rFonts w:eastAsia="Times New Roman"/>
          <w:b/>
          <w:bCs/>
          <w:i/>
          <w:iCs/>
          <w:color w:val="000000"/>
          <w:sz w:val="20"/>
          <w:szCs w:val="20"/>
        </w:rPr>
        <w:t>s</w:t>
      </w:r>
    </w:p>
    <w:p w14:paraId="565EB543" w14:textId="77777777" w:rsidR="00000000" w:rsidRDefault="00195E73">
      <w:pPr>
        <w:ind w:firstLine="450"/>
        <w:divId w:val="1645037048"/>
        <w:rPr>
          <w:rFonts w:eastAsia="Times New Roman"/>
        </w:rPr>
      </w:pPr>
      <w:r>
        <w:rPr>
          <w:rFonts w:eastAsia="Times New Roman"/>
          <w:color w:val="000000"/>
          <w:sz w:val="20"/>
          <w:szCs w:val="20"/>
        </w:rPr>
        <w:t>CVR Refining is subject to the Renewable Fuel Standard (“RFS”) of the EPA which requires refiners to either blend renewable fuels in with their transportation fuels or purchase renewable fuel credits, known as RINs, in lieu of blending. CVR Refining is not</w:t>
      </w:r>
      <w:r>
        <w:rPr>
          <w:rFonts w:eastAsia="Times New Roman"/>
          <w:color w:val="000000"/>
          <w:sz w:val="20"/>
          <w:szCs w:val="20"/>
        </w:rPr>
        <w:t xml:space="preserve"> able to blend the substantial majority of its transportation fuels and has to purchase RINs on the open market and may have to obtain waiver credits for cellulosic biofuels from the EPA, in order to comply with the RFS</w:t>
      </w:r>
      <w:r>
        <w:rPr>
          <w:rFonts w:eastAsia="Times New Roman"/>
          <w:color w:val="000000"/>
          <w:sz w:val="20"/>
          <w:szCs w:val="20"/>
        </w:rPr>
        <w:t>.</w:t>
      </w:r>
    </w:p>
    <w:p w14:paraId="0A5CA868" w14:textId="77777777" w:rsidR="00000000" w:rsidRDefault="00195E73">
      <w:pPr>
        <w:ind w:firstLine="450"/>
        <w:divId w:val="1182623223"/>
        <w:rPr>
          <w:rFonts w:eastAsia="Times New Roman"/>
        </w:rPr>
      </w:pPr>
      <w:r>
        <w:rPr>
          <w:rFonts w:eastAsia="Times New Roman"/>
          <w:color w:val="000000"/>
          <w:sz w:val="20"/>
          <w:szCs w:val="20"/>
        </w:rPr>
        <w:t>CVR Refining’s expenses for its com</w:t>
      </w:r>
      <w:r>
        <w:rPr>
          <w:rFonts w:eastAsia="Times New Roman"/>
          <w:color w:val="000000"/>
          <w:sz w:val="20"/>
          <w:szCs w:val="20"/>
        </w:rPr>
        <w:t>pliance with RFS were $43 million, $60 million and $249 million for years ended December 31, 2019, 2018 and 2017, respectively, which are included in cost of goods sold in our consolidated financial statements. CVR Refining’s costs to comply with RFS inclu</w:t>
      </w:r>
      <w:r>
        <w:rPr>
          <w:rFonts w:eastAsia="Times New Roman"/>
          <w:color w:val="000000"/>
          <w:sz w:val="20"/>
          <w:szCs w:val="20"/>
        </w:rPr>
        <w:t>de the purchased cost of RINs, the impact of recognizing CVR Refining’s uncommitted biofuel blending obligation at fair value based on market prices at each reporting date and the valuation change of RINs purchases in excess of CVR Refining’s RFS obligatio</w:t>
      </w:r>
      <w:r>
        <w:rPr>
          <w:rFonts w:eastAsia="Times New Roman"/>
          <w:color w:val="000000"/>
          <w:sz w:val="20"/>
          <w:szCs w:val="20"/>
        </w:rPr>
        <w:t>n as of the reporting date. As of December 31, 2019 and 2018, CVR Refining’s biofuel blending obligation was $7 million and $4 million, respectively, which is included in accrued expenses and other liabilities in our consolidated balance sheets.</w:t>
      </w:r>
      <w:r>
        <w:rPr>
          <w:rFonts w:eastAsia="Times New Roman"/>
          <w:color w:val="000000"/>
          <w:sz w:val="20"/>
          <w:szCs w:val="20"/>
        </w:rPr>
        <w:t xml:space="preserve"> </w:t>
      </w:r>
    </w:p>
    <w:p w14:paraId="1FB541D3" w14:textId="77777777" w:rsidR="00000000" w:rsidRDefault="00195E73">
      <w:pPr>
        <w:divId w:val="1351178219"/>
        <w:rPr>
          <w:rFonts w:eastAsia="Times New Roman"/>
        </w:rPr>
      </w:pPr>
      <w:r>
        <w:rPr>
          <w:rFonts w:eastAsia="Times New Roman"/>
          <w:b/>
          <w:bCs/>
          <w:i/>
          <w:iCs/>
          <w:color w:val="000000"/>
          <w:sz w:val="20"/>
          <w:szCs w:val="20"/>
        </w:rPr>
        <w:t>Litigatio</w:t>
      </w:r>
      <w:r>
        <w:rPr>
          <w:rFonts w:eastAsia="Times New Roman"/>
          <w:b/>
          <w:bCs/>
          <w:i/>
          <w:iCs/>
          <w:color w:val="000000"/>
          <w:sz w:val="20"/>
          <w:szCs w:val="20"/>
        </w:rPr>
        <w:t>n</w:t>
      </w:r>
    </w:p>
    <w:p w14:paraId="07AAFD4B" w14:textId="77777777" w:rsidR="00000000" w:rsidRDefault="00195E73">
      <w:pPr>
        <w:ind w:firstLine="450"/>
        <w:divId w:val="1643774635"/>
        <w:rPr>
          <w:rFonts w:eastAsia="Times New Roman"/>
        </w:rPr>
      </w:pPr>
      <w:r>
        <w:rPr>
          <w:rFonts w:eastAsia="Times New Roman"/>
          <w:color w:val="000000"/>
          <w:sz w:val="20"/>
          <w:szCs w:val="20"/>
        </w:rPr>
        <w:t>From time to time, we and our subsidiaries are involved in various lawsuits arising in the normal course of business. We do not believe that such normal routine litigation will have a material effect on our financial condition or results of operations.</w:t>
      </w:r>
      <w:r>
        <w:rPr>
          <w:rFonts w:eastAsia="Times New Roman"/>
          <w:color w:val="000000"/>
          <w:sz w:val="20"/>
          <w:szCs w:val="20"/>
        </w:rPr>
        <w:t xml:space="preserve"> </w:t>
      </w:r>
    </w:p>
    <w:p w14:paraId="45C3DE38" w14:textId="77777777" w:rsidR="00000000" w:rsidRDefault="00195E73">
      <w:pPr>
        <w:divId w:val="1369721880"/>
        <w:rPr>
          <w:rFonts w:eastAsia="Times New Roman"/>
        </w:rPr>
      </w:pPr>
    </w:p>
    <w:p w14:paraId="0630D820" w14:textId="77777777" w:rsidR="00000000" w:rsidRDefault="00195E73">
      <w:pPr>
        <w:jc w:val="center"/>
        <w:divId w:val="1634823382"/>
        <w:rPr>
          <w:rFonts w:eastAsia="Times New Roman"/>
        </w:rPr>
      </w:pPr>
      <w:r>
        <w:rPr>
          <w:rFonts w:eastAsia="Times New Roman"/>
          <w:color w:val="000000"/>
          <w:sz w:val="20"/>
          <w:szCs w:val="20"/>
        </w:rPr>
        <w:t>10</w:t>
      </w:r>
      <w:r>
        <w:rPr>
          <w:rFonts w:eastAsia="Times New Roman"/>
          <w:color w:val="000000"/>
          <w:sz w:val="20"/>
          <w:szCs w:val="20"/>
        </w:rPr>
        <w:t>8</w:t>
      </w:r>
    </w:p>
    <w:p w14:paraId="1ADFE592" w14:textId="77777777" w:rsidR="00000000" w:rsidRDefault="00195E73">
      <w:pPr>
        <w:rPr>
          <w:rFonts w:eastAsia="Times New Roman"/>
        </w:rPr>
      </w:pPr>
      <w:r>
        <w:rPr>
          <w:rFonts w:eastAsia="Times New Roman"/>
        </w:rPr>
        <w:pict w14:anchorId="78E7D88D">
          <v:rect id="_x0000_i1134" style="width:0;height:1.5pt" o:hralign="center" o:hrstd="t" o:hr="t" fillcolor="#a0a0a0" stroked="f"/>
        </w:pict>
      </w:r>
    </w:p>
    <w:p w14:paraId="1A76D062" w14:textId="77777777" w:rsidR="00000000" w:rsidRDefault="00195E73">
      <w:pPr>
        <w:jc w:val="center"/>
        <w:divId w:val="1575819962"/>
        <w:rPr>
          <w:rFonts w:eastAsia="Times New Roman"/>
        </w:rPr>
      </w:pPr>
    </w:p>
    <w:p w14:paraId="5B24F7DF" w14:textId="77777777" w:rsidR="00000000" w:rsidRDefault="00195E73">
      <w:pPr>
        <w:jc w:val="center"/>
        <w:divId w:val="1575819962"/>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34460FA9" w14:textId="77777777" w:rsidR="00000000" w:rsidRDefault="00195E73">
      <w:pPr>
        <w:jc w:val="center"/>
        <w:divId w:val="1575819962"/>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7ED3A493" w14:textId="77777777" w:rsidR="00000000" w:rsidRDefault="00195E73">
      <w:pPr>
        <w:jc w:val="center"/>
        <w:divId w:val="1575819962"/>
        <w:rPr>
          <w:rFonts w:eastAsia="Times New Roman"/>
        </w:rPr>
      </w:pPr>
    </w:p>
    <w:p w14:paraId="185DA7F8" w14:textId="77777777" w:rsidR="00000000" w:rsidRDefault="00195E73">
      <w:pPr>
        <w:jc w:val="center"/>
        <w:divId w:val="1575819962"/>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5C01A5A4" w14:textId="77777777" w:rsidR="00000000" w:rsidRDefault="00195E73">
      <w:pPr>
        <w:divId w:val="1533765050"/>
        <w:rPr>
          <w:rFonts w:eastAsia="Times New Roman"/>
        </w:rPr>
      </w:pPr>
      <w:r>
        <w:rPr>
          <w:rFonts w:eastAsia="Times New Roman"/>
          <w:i/>
          <w:iCs/>
          <w:color w:val="000000"/>
          <w:sz w:val="20"/>
          <w:szCs w:val="20"/>
        </w:rPr>
        <w:t>Energ</w:t>
      </w:r>
      <w:r>
        <w:rPr>
          <w:rFonts w:eastAsia="Times New Roman"/>
          <w:i/>
          <w:iCs/>
          <w:color w:val="000000"/>
          <w:sz w:val="20"/>
          <w:szCs w:val="20"/>
        </w:rPr>
        <w:t>y</w:t>
      </w:r>
    </w:p>
    <w:p w14:paraId="463C6888" w14:textId="77777777" w:rsidR="00000000" w:rsidRDefault="00195E73">
      <w:pPr>
        <w:ind w:firstLine="450"/>
        <w:divId w:val="642076863"/>
        <w:rPr>
          <w:rFonts w:eastAsia="Times New Roman"/>
        </w:rPr>
      </w:pPr>
      <w:r>
        <w:rPr>
          <w:rFonts w:eastAsia="Times New Roman"/>
          <w:color w:val="000000"/>
          <w:sz w:val="20"/>
          <w:szCs w:val="20"/>
        </w:rPr>
        <w:t xml:space="preserve">CVR Energy, CVR Refining and its general partner, Icahn Enterprises and certain other affiliates and individuals have each been named in nine lawsuits filed in the Court of Chancery of the State of Delaware by purported former unitholders of CVR Refining, </w:t>
      </w:r>
      <w:r>
        <w:rPr>
          <w:rFonts w:eastAsia="Times New Roman"/>
          <w:color w:val="000000"/>
          <w:sz w:val="20"/>
          <w:szCs w:val="20"/>
        </w:rPr>
        <w:t>on behalf of themselves and an alleged class of similarly situated unitholders (the “Call Option Lawsuits”). The Call Option Lawsuits primarily allege breach of contract, tortious interference and breach of the implied covenant of good faith and fair deali</w:t>
      </w:r>
      <w:r>
        <w:rPr>
          <w:rFonts w:eastAsia="Times New Roman"/>
          <w:color w:val="000000"/>
          <w:sz w:val="20"/>
          <w:szCs w:val="20"/>
        </w:rPr>
        <w:t>ng and seek monetary damages and attorneys’ fees, among other remedies, relating to CVR Energy’s exercise of the call option under the CVR Refining Amended and Restated Agreement of Limited Partnership assigned to it by CVR Refining’s general partner. In J</w:t>
      </w:r>
      <w:r>
        <w:rPr>
          <w:rFonts w:eastAsia="Times New Roman"/>
          <w:color w:val="000000"/>
          <w:sz w:val="20"/>
          <w:szCs w:val="20"/>
        </w:rPr>
        <w:t>anuary 2020, the court dismissed CVR Holdings and certain former directors of CVR Refining’s general partner from the Call Option Lawsuits, though permitted some or all of the claims to proceed against each remaining defendant. CVR Energy believes the Call</w:t>
      </w:r>
      <w:r>
        <w:rPr>
          <w:rFonts w:eastAsia="Times New Roman"/>
          <w:color w:val="000000"/>
          <w:sz w:val="20"/>
          <w:szCs w:val="20"/>
        </w:rPr>
        <w:t xml:space="preserve"> Option Lawsuits are without merit and intends to vigorously defend against them. The Call Option Lawsuits remain in the early stages of litigation. Accordingly CVR Energy cannot determine at this time the outcome of the Call Option Lawsuits, including whe</w:t>
      </w:r>
      <w:r>
        <w:rPr>
          <w:rFonts w:eastAsia="Times New Roman"/>
          <w:color w:val="000000"/>
          <w:sz w:val="20"/>
          <w:szCs w:val="20"/>
        </w:rPr>
        <w:t>ther the outcome of this matter would have a material impact on the its financial position, results of operations, or cash flows</w:t>
      </w:r>
      <w:r>
        <w:rPr>
          <w:rFonts w:eastAsia="Times New Roman"/>
          <w:color w:val="000000"/>
          <w:sz w:val="20"/>
          <w:szCs w:val="20"/>
        </w:rPr>
        <w:t>.</w:t>
      </w:r>
    </w:p>
    <w:p w14:paraId="16830F16" w14:textId="77777777" w:rsidR="00000000" w:rsidRDefault="00195E73">
      <w:pPr>
        <w:divId w:val="1556619349"/>
        <w:rPr>
          <w:rFonts w:eastAsia="Times New Roman"/>
        </w:rPr>
      </w:pPr>
      <w:r>
        <w:rPr>
          <w:rFonts w:eastAsia="Times New Roman"/>
          <w:b/>
          <w:bCs/>
          <w:i/>
          <w:iCs/>
          <w:color w:val="000000"/>
          <w:sz w:val="20"/>
          <w:szCs w:val="20"/>
        </w:rPr>
        <w:t>Other Matter</w:t>
      </w:r>
      <w:r>
        <w:rPr>
          <w:rFonts w:eastAsia="Times New Roman"/>
          <w:b/>
          <w:bCs/>
          <w:i/>
          <w:iCs/>
          <w:color w:val="000000"/>
          <w:sz w:val="20"/>
          <w:szCs w:val="20"/>
        </w:rPr>
        <w:t>s</w:t>
      </w:r>
    </w:p>
    <w:p w14:paraId="3CE68520" w14:textId="77777777" w:rsidR="00000000" w:rsidRDefault="00195E73">
      <w:pPr>
        <w:divId w:val="1768187824"/>
        <w:rPr>
          <w:rFonts w:eastAsia="Times New Roman"/>
        </w:rPr>
      </w:pPr>
      <w:r>
        <w:rPr>
          <w:rFonts w:eastAsia="Times New Roman"/>
          <w:i/>
          <w:iCs/>
          <w:color w:val="000000"/>
          <w:sz w:val="20"/>
          <w:szCs w:val="20"/>
        </w:rPr>
        <w:t>Pension Obligation</w:t>
      </w:r>
      <w:r>
        <w:rPr>
          <w:rFonts w:eastAsia="Times New Roman"/>
          <w:i/>
          <w:iCs/>
          <w:color w:val="000000"/>
          <w:sz w:val="20"/>
          <w:szCs w:val="20"/>
        </w:rPr>
        <w:t>s</w:t>
      </w:r>
    </w:p>
    <w:p w14:paraId="728DF710" w14:textId="77777777" w:rsidR="00000000" w:rsidRDefault="00195E73">
      <w:pPr>
        <w:ind w:firstLine="450"/>
        <w:divId w:val="1916277434"/>
        <w:rPr>
          <w:rFonts w:eastAsia="Times New Roman"/>
        </w:rPr>
      </w:pPr>
      <w:r>
        <w:rPr>
          <w:rFonts w:eastAsia="Times New Roman"/>
          <w:color w:val="000000"/>
          <w:sz w:val="20"/>
          <w:szCs w:val="20"/>
        </w:rPr>
        <w:t>Mr. Icahn, through certain affiliates, owns 100% of Icahn Enterprises GP and approximately 9</w:t>
      </w:r>
      <w:r>
        <w:rPr>
          <w:rFonts w:eastAsia="Times New Roman"/>
          <w:color w:val="000000"/>
          <w:sz w:val="20"/>
          <w:szCs w:val="20"/>
        </w:rPr>
        <w:t>2.0% of Icahn Enterprises’ outstanding depositary units as of December 31, 2019. Applicable pension and tax laws make each member of a “controlled group” of entities, generally defined as entities in which there is at least an 80% common ownership interest</w:t>
      </w:r>
      <w:r>
        <w:rPr>
          <w:rFonts w:eastAsia="Times New Roman"/>
          <w:color w:val="000000"/>
          <w:sz w:val="20"/>
          <w:szCs w:val="20"/>
        </w:rPr>
        <w:t>, jointly and severally liable for certain pension plan obligations of any member of the controlled group. These pension obligations include ongoing contributions to fund the plan, as well as liability for any unfunded liabilities that may exist at the tim</w:t>
      </w:r>
      <w:r>
        <w:rPr>
          <w:rFonts w:eastAsia="Times New Roman"/>
          <w:color w:val="000000"/>
          <w:sz w:val="20"/>
          <w:szCs w:val="20"/>
        </w:rPr>
        <w:t xml:space="preserve">e the plan is terminated. In addition, the failure to pay these pension obligations when due may result in the creation of liens in favor of the pension plan or the Pension Benefit Guaranty Corporation (the “PBGC”) against the assets of each member of the </w:t>
      </w:r>
      <w:r>
        <w:rPr>
          <w:rFonts w:eastAsia="Times New Roman"/>
          <w:color w:val="000000"/>
          <w:sz w:val="20"/>
          <w:szCs w:val="20"/>
        </w:rPr>
        <w:t>controlled group</w:t>
      </w:r>
      <w:r>
        <w:rPr>
          <w:rFonts w:eastAsia="Times New Roman"/>
          <w:color w:val="000000"/>
          <w:sz w:val="20"/>
          <w:szCs w:val="20"/>
        </w:rPr>
        <w:t>.</w:t>
      </w:r>
    </w:p>
    <w:p w14:paraId="4B4C03DE" w14:textId="77777777" w:rsidR="00000000" w:rsidRDefault="00195E73">
      <w:pPr>
        <w:ind w:firstLine="405"/>
        <w:divId w:val="20866166"/>
        <w:rPr>
          <w:rFonts w:eastAsia="Times New Roman"/>
        </w:rPr>
      </w:pPr>
      <w:r>
        <w:rPr>
          <w:rFonts w:eastAsia="Times New Roman"/>
          <w:color w:val="000000"/>
          <w:sz w:val="20"/>
          <w:szCs w:val="20"/>
        </w:rPr>
        <w:t>As a result of the more than 80% ownership interest in us by Mr. Icahn’s affiliates, we and our subsidiaries are subject to the pension liabilities of entities in which Mr. Icahn has a direct or indirect ownership interest of at least 80%</w:t>
      </w:r>
      <w:r>
        <w:rPr>
          <w:rFonts w:eastAsia="Times New Roman"/>
          <w:color w:val="000000"/>
          <w:sz w:val="20"/>
          <w:szCs w:val="20"/>
        </w:rPr>
        <w:t>, which includes the liabilities of pension plans sponsored by ACF. All the minimum funding requirements of the Internal Revenue Code, as amended, and the Employee Retirement Income Security Act of 1974, as amended, for the ACF plans have been met as of De</w:t>
      </w:r>
      <w:r>
        <w:rPr>
          <w:rFonts w:eastAsia="Times New Roman"/>
          <w:color w:val="000000"/>
          <w:sz w:val="20"/>
          <w:szCs w:val="20"/>
        </w:rPr>
        <w:t>cember 31, 2019. If the plans were voluntarily terminated, they would be underfunded by approximately $71 million as of December 31, 2019. These results are based on the most recent information provided by the plans’ actuary. These liabilities could increa</w:t>
      </w:r>
      <w:r>
        <w:rPr>
          <w:rFonts w:eastAsia="Times New Roman"/>
          <w:color w:val="000000"/>
          <w:sz w:val="20"/>
          <w:szCs w:val="20"/>
        </w:rPr>
        <w:t>se or decrease, depending on a number of factors, including future changes in benefits, investment returns, and the assumptions used to calculate the liability. As members of the controlled group, we would be liable for any failure of ACF to make ongoing p</w:t>
      </w:r>
      <w:r>
        <w:rPr>
          <w:rFonts w:eastAsia="Times New Roman"/>
          <w:color w:val="000000"/>
          <w:sz w:val="20"/>
          <w:szCs w:val="20"/>
        </w:rPr>
        <w:t>ension contributions or to pay the unfunded liabilities upon a termination of the ACF pension plans. In addition, other entities now or in the future within the controlled group in which we are included may have pension plan obligations that are, or may be</w:t>
      </w:r>
      <w:r>
        <w:rPr>
          <w:rFonts w:eastAsia="Times New Roman"/>
          <w:color w:val="000000"/>
          <w:sz w:val="20"/>
          <w:szCs w:val="20"/>
        </w:rPr>
        <w:t>come, underfunded and we would be liable for any failure of such entities to make ongoing pension contributions or to pay the unfunded liabilities upon termination of such plans.</w:t>
      </w:r>
      <w:r>
        <w:rPr>
          <w:rFonts w:eastAsia="Times New Roman"/>
          <w:color w:val="000000"/>
          <w:sz w:val="20"/>
          <w:szCs w:val="20"/>
        </w:rPr>
        <w:t xml:space="preserve"> </w:t>
      </w:r>
    </w:p>
    <w:p w14:paraId="3E3D3A95" w14:textId="77777777" w:rsidR="00000000" w:rsidRDefault="00195E73">
      <w:pPr>
        <w:ind w:firstLine="405"/>
        <w:divId w:val="549658139"/>
        <w:rPr>
          <w:rFonts w:eastAsia="Times New Roman"/>
        </w:rPr>
      </w:pPr>
      <w:r>
        <w:rPr>
          <w:rFonts w:eastAsia="Times New Roman"/>
          <w:color w:val="000000"/>
          <w:sz w:val="20"/>
          <w:szCs w:val="20"/>
        </w:rPr>
        <w:t>The current underfunded status of the ACF pension plans requires them to not</w:t>
      </w:r>
      <w:r>
        <w:rPr>
          <w:rFonts w:eastAsia="Times New Roman"/>
          <w:color w:val="000000"/>
          <w:sz w:val="20"/>
          <w:szCs w:val="20"/>
        </w:rPr>
        <w:t>ify the PBGC of certain “reportable events,” such as if we cease to be a member of the ACF controlled group, or if we make certain extraordinary dividends or stock redemptions. The obligation to report could cause us to seek to delay or reconsider the occu</w:t>
      </w:r>
      <w:r>
        <w:rPr>
          <w:rFonts w:eastAsia="Times New Roman"/>
          <w:color w:val="000000"/>
          <w:sz w:val="20"/>
          <w:szCs w:val="20"/>
        </w:rPr>
        <w:t>rrence of such reportable events.</w:t>
      </w:r>
      <w:r>
        <w:rPr>
          <w:rFonts w:eastAsia="Times New Roman"/>
          <w:color w:val="000000"/>
          <w:sz w:val="20"/>
          <w:szCs w:val="20"/>
        </w:rPr>
        <w:t xml:space="preserve"> </w:t>
      </w:r>
    </w:p>
    <w:p w14:paraId="4DFD454A" w14:textId="77777777" w:rsidR="00000000" w:rsidRDefault="00195E73">
      <w:pPr>
        <w:ind w:firstLine="405"/>
        <w:divId w:val="205266302"/>
        <w:rPr>
          <w:rFonts w:eastAsia="Times New Roman"/>
        </w:rPr>
      </w:pPr>
      <w:r>
        <w:rPr>
          <w:rFonts w:eastAsia="Times New Roman"/>
          <w:color w:val="000000"/>
          <w:sz w:val="20"/>
          <w:szCs w:val="20"/>
        </w:rPr>
        <w:t>Starfire Holding Corporation (“Starfire”), which is 99.6% owned by Mr. Icahn, has undertaken to indemnify us and our subsidiaries from losses resulting from any imposition of certain pension funding or termination liabili</w:t>
      </w:r>
      <w:r>
        <w:rPr>
          <w:rFonts w:eastAsia="Times New Roman"/>
          <w:color w:val="000000"/>
          <w:sz w:val="20"/>
          <w:szCs w:val="20"/>
        </w:rPr>
        <w:t>ties that may be imposed on us and our subsidiaries or our assets as a result of being a member of the Icahn controlled group, including ACF. The Starfire indemnity provides, among other things, that so long as such contingent liabilities exist and could b</w:t>
      </w:r>
      <w:r>
        <w:rPr>
          <w:rFonts w:eastAsia="Times New Roman"/>
          <w:color w:val="000000"/>
          <w:sz w:val="20"/>
          <w:szCs w:val="20"/>
        </w:rPr>
        <w:t>e imposed on us, Starfire will not make any distributions to its stockholders that would reduce its net worth to below $250 million. Nonetheless, Starfire may not be able to fund its indemnification obligations to us.</w:t>
      </w:r>
      <w:r>
        <w:rPr>
          <w:rFonts w:eastAsia="Times New Roman"/>
          <w:color w:val="000000"/>
          <w:sz w:val="20"/>
          <w:szCs w:val="20"/>
        </w:rPr>
        <w:t xml:space="preserve"> </w:t>
      </w:r>
    </w:p>
    <w:p w14:paraId="0857F596" w14:textId="77777777" w:rsidR="00000000" w:rsidRDefault="00195E73">
      <w:pPr>
        <w:divId w:val="2128313656"/>
        <w:rPr>
          <w:rFonts w:eastAsia="Times New Roman"/>
        </w:rPr>
      </w:pPr>
      <w:r>
        <w:rPr>
          <w:rFonts w:eastAsia="Times New Roman"/>
          <w:i/>
          <w:iCs/>
          <w:color w:val="000000"/>
          <w:sz w:val="20"/>
          <w:szCs w:val="20"/>
        </w:rPr>
        <w:t>Other</w:t>
      </w:r>
      <w:r>
        <w:rPr>
          <w:rFonts w:eastAsia="Times New Roman"/>
          <w:i/>
          <w:iCs/>
          <w:color w:val="000000"/>
          <w:sz w:val="20"/>
          <w:szCs w:val="20"/>
        </w:rPr>
        <w:t xml:space="preserve"> </w:t>
      </w:r>
    </w:p>
    <w:p w14:paraId="31753CD5" w14:textId="77777777" w:rsidR="00000000" w:rsidRDefault="00195E73">
      <w:pPr>
        <w:ind w:firstLine="405"/>
        <w:divId w:val="1787894538"/>
        <w:rPr>
          <w:rFonts w:eastAsia="Times New Roman"/>
        </w:rPr>
      </w:pPr>
      <w:r>
        <w:rPr>
          <w:rFonts w:eastAsia="Times New Roman"/>
          <w:color w:val="000000"/>
          <w:sz w:val="20"/>
          <w:szCs w:val="20"/>
        </w:rPr>
        <w:t>The U.S. Attorney’s office for</w:t>
      </w:r>
      <w:r>
        <w:rPr>
          <w:rFonts w:eastAsia="Times New Roman"/>
          <w:color w:val="000000"/>
          <w:sz w:val="20"/>
          <w:szCs w:val="20"/>
        </w:rPr>
        <w:t xml:space="preserve"> the Southern District of New York contacted Icahn Enterprises L.P. in September 2017 seeking production of information pertaining to our and Mr. Icahn’s activities relating to the Renewable Fuels Standard and Mr. Icahn’s former role as an advisor to the P</w:t>
      </w:r>
      <w:r>
        <w:rPr>
          <w:rFonts w:eastAsia="Times New Roman"/>
          <w:color w:val="000000"/>
          <w:sz w:val="20"/>
          <w:szCs w:val="20"/>
        </w:rPr>
        <w:t>resident. We cooperated with the request and provided information in response to the subpoena. The U.S. Attorney’s office for the Southern District of New York contacted Icahn Enterprises L.P. in June 2018 seeking production of information pertaining to tr</w:t>
      </w:r>
      <w:r>
        <w:rPr>
          <w:rFonts w:eastAsia="Times New Roman"/>
          <w:color w:val="000000"/>
          <w:sz w:val="20"/>
          <w:szCs w:val="20"/>
        </w:rPr>
        <w:t>ading in Manitowoc Company, Inc. securities. We cooperated with the request and provided documents in response to the subpoena. The U.S. Attorney’s office has not made any claims or allegations against</w:t>
      </w:r>
      <w:r>
        <w:rPr>
          <w:rFonts w:eastAsia="Times New Roman"/>
          <w:color w:val="000000"/>
          <w:sz w:val="20"/>
          <w:szCs w:val="20"/>
        </w:rPr>
        <w:t xml:space="preserve"> </w:t>
      </w:r>
    </w:p>
    <w:p w14:paraId="79AB79D6" w14:textId="77777777" w:rsidR="00000000" w:rsidRDefault="00195E73">
      <w:pPr>
        <w:jc w:val="center"/>
        <w:divId w:val="1889686289"/>
        <w:rPr>
          <w:rFonts w:eastAsia="Times New Roman"/>
        </w:rPr>
      </w:pPr>
      <w:r>
        <w:rPr>
          <w:rFonts w:eastAsia="Times New Roman"/>
          <w:color w:val="000000"/>
          <w:sz w:val="20"/>
          <w:szCs w:val="20"/>
        </w:rPr>
        <w:t>10</w:t>
      </w:r>
      <w:r>
        <w:rPr>
          <w:rFonts w:eastAsia="Times New Roman"/>
          <w:color w:val="000000"/>
          <w:sz w:val="20"/>
          <w:szCs w:val="20"/>
        </w:rPr>
        <w:t>9</w:t>
      </w:r>
    </w:p>
    <w:p w14:paraId="426E0B5E" w14:textId="77777777" w:rsidR="00000000" w:rsidRDefault="00195E73">
      <w:pPr>
        <w:rPr>
          <w:rFonts w:eastAsia="Times New Roman"/>
        </w:rPr>
      </w:pPr>
      <w:r>
        <w:rPr>
          <w:rFonts w:eastAsia="Times New Roman"/>
        </w:rPr>
        <w:pict w14:anchorId="716B82CB">
          <v:rect id="_x0000_i1135" style="width:0;height:1.5pt" o:hralign="center" o:hrstd="t" o:hr="t" fillcolor="#a0a0a0" stroked="f"/>
        </w:pict>
      </w:r>
    </w:p>
    <w:p w14:paraId="12B6DC1C" w14:textId="77777777" w:rsidR="00000000" w:rsidRDefault="00195E73">
      <w:pPr>
        <w:jc w:val="center"/>
        <w:divId w:val="1637876064"/>
        <w:rPr>
          <w:rFonts w:eastAsia="Times New Roman"/>
        </w:rPr>
      </w:pPr>
    </w:p>
    <w:p w14:paraId="0C26D22D" w14:textId="77777777" w:rsidR="00000000" w:rsidRDefault="00195E73">
      <w:pPr>
        <w:jc w:val="center"/>
        <w:divId w:val="1637876064"/>
        <w:rPr>
          <w:rFonts w:eastAsia="Times New Roman"/>
        </w:rPr>
      </w:pPr>
      <w:r>
        <w:rPr>
          <w:rFonts w:eastAsia="Times New Roman"/>
          <w:b/>
          <w:bCs/>
          <w:color w:val="000000"/>
          <w:sz w:val="20"/>
          <w:szCs w:val="20"/>
        </w:rPr>
        <w:t>ICAHN ENTE</w:t>
      </w:r>
      <w:r>
        <w:rPr>
          <w:rFonts w:eastAsia="Times New Roman"/>
          <w:b/>
          <w:bCs/>
          <w:color w:val="000000"/>
          <w:sz w:val="20"/>
          <w:szCs w:val="20"/>
        </w:rPr>
        <w:t>RPRISES L.P. AND SUBSIDIARIE</w:t>
      </w:r>
      <w:r>
        <w:rPr>
          <w:rFonts w:eastAsia="Times New Roman"/>
          <w:b/>
          <w:bCs/>
          <w:color w:val="000000"/>
          <w:sz w:val="20"/>
          <w:szCs w:val="20"/>
        </w:rPr>
        <w:t>S</w:t>
      </w:r>
    </w:p>
    <w:p w14:paraId="4859BE12" w14:textId="77777777" w:rsidR="00000000" w:rsidRDefault="00195E73">
      <w:pPr>
        <w:jc w:val="center"/>
        <w:divId w:val="1637876064"/>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35DD9B72" w14:textId="77777777" w:rsidR="00000000" w:rsidRDefault="00195E73">
      <w:pPr>
        <w:jc w:val="center"/>
        <w:divId w:val="1637876064"/>
        <w:rPr>
          <w:rFonts w:eastAsia="Times New Roman"/>
        </w:rPr>
      </w:pPr>
    </w:p>
    <w:p w14:paraId="11A13544" w14:textId="77777777" w:rsidR="00000000" w:rsidRDefault="00195E73">
      <w:pPr>
        <w:jc w:val="center"/>
        <w:divId w:val="1637876064"/>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708524CD" w14:textId="77777777" w:rsidR="00000000" w:rsidRDefault="00195E73">
      <w:pPr>
        <w:divId w:val="1213804865"/>
        <w:rPr>
          <w:rFonts w:eastAsia="Times New Roman"/>
        </w:rPr>
      </w:pPr>
      <w:r>
        <w:rPr>
          <w:rFonts w:eastAsia="Times New Roman"/>
          <w:color w:val="000000"/>
          <w:sz w:val="20"/>
          <w:szCs w:val="20"/>
        </w:rPr>
        <w:t xml:space="preserve">us or Mr. Icahn with respect to either of the foregoing inquiries. We maintain a strong compliance program and, while no assurances can be made, we do not believe these inquiries will have a material impact on our business, financial condition, results of </w:t>
      </w:r>
      <w:r>
        <w:rPr>
          <w:rFonts w:eastAsia="Times New Roman"/>
          <w:color w:val="000000"/>
          <w:sz w:val="20"/>
          <w:szCs w:val="20"/>
        </w:rPr>
        <w:t>operations or cash flows</w:t>
      </w:r>
      <w:r>
        <w:rPr>
          <w:rFonts w:eastAsia="Times New Roman"/>
          <w:color w:val="000000"/>
          <w:sz w:val="20"/>
          <w:szCs w:val="20"/>
        </w:rPr>
        <w:t>.</w:t>
      </w:r>
    </w:p>
    <w:p w14:paraId="3EE1C808" w14:textId="77777777" w:rsidR="00000000" w:rsidRDefault="00195E73">
      <w:pPr>
        <w:divId w:val="549920363"/>
        <w:rPr>
          <w:rFonts w:eastAsia="Times New Roman"/>
        </w:rPr>
      </w:pPr>
      <w:r>
        <w:rPr>
          <w:rFonts w:eastAsia="Times New Roman"/>
          <w:b/>
          <w:bCs/>
          <w:i/>
          <w:iCs/>
          <w:color w:val="000000"/>
          <w:sz w:val="20"/>
          <w:szCs w:val="20"/>
        </w:rPr>
        <w:t>Unconditional Purchase Obligation</w:t>
      </w:r>
      <w:r>
        <w:rPr>
          <w:rFonts w:eastAsia="Times New Roman"/>
          <w:b/>
          <w:bCs/>
          <w:i/>
          <w:iCs/>
          <w:color w:val="000000"/>
          <w:sz w:val="20"/>
          <w:szCs w:val="20"/>
        </w:rPr>
        <w:t>s</w:t>
      </w:r>
    </w:p>
    <w:p w14:paraId="76C3A29C" w14:textId="77777777" w:rsidR="00000000" w:rsidRDefault="00195E73">
      <w:pPr>
        <w:ind w:firstLine="405"/>
        <w:divId w:val="288627453"/>
        <w:rPr>
          <w:rFonts w:eastAsia="Times New Roman"/>
        </w:rPr>
      </w:pPr>
      <w:r>
        <w:rPr>
          <w:rFonts w:eastAsia="Times New Roman"/>
          <w:color w:val="000000"/>
          <w:sz w:val="20"/>
          <w:szCs w:val="20"/>
        </w:rPr>
        <w:t>Unconditional purchase obligations are primarily within our Energy segment relating to commitments for petroleum products storage and transportation, electricity supply agreements, product supply</w:t>
      </w:r>
      <w:r>
        <w:rPr>
          <w:rFonts w:eastAsia="Times New Roman"/>
          <w:color w:val="000000"/>
          <w:sz w:val="20"/>
          <w:szCs w:val="20"/>
        </w:rPr>
        <w:t xml:space="preserve"> agreements, commitments related to CVR Energy’s biofuel blending obligation and various agreements for gas and gas transportation. The minimum required payments for our Energy segment’s unconditional purchase obligations are as follows:</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6844"/>
        <w:gridCol w:w="61"/>
        <w:gridCol w:w="36"/>
        <w:gridCol w:w="36"/>
        <w:gridCol w:w="36"/>
        <w:gridCol w:w="136"/>
        <w:gridCol w:w="1011"/>
        <w:gridCol w:w="85"/>
      </w:tblGrid>
      <w:tr w:rsidR="00000000" w14:paraId="26A9A6A3" w14:textId="77777777">
        <w:trPr>
          <w:divId w:val="1391075216"/>
          <w:jc w:val="center"/>
        </w:trPr>
        <w:tc>
          <w:tcPr>
            <w:tcW w:w="50" w:type="pct"/>
            <w:vAlign w:val="center"/>
            <w:hideMark/>
          </w:tcPr>
          <w:p w14:paraId="4A42345B" w14:textId="77777777" w:rsidR="00000000" w:rsidRDefault="00195E73">
            <w:pPr>
              <w:ind w:firstLine="405"/>
              <w:rPr>
                <w:rFonts w:eastAsia="Times New Roman"/>
              </w:rPr>
            </w:pPr>
          </w:p>
        </w:tc>
        <w:tc>
          <w:tcPr>
            <w:tcW w:w="4132" w:type="pct"/>
            <w:vAlign w:val="center"/>
            <w:hideMark/>
          </w:tcPr>
          <w:p w14:paraId="68DF604C" w14:textId="77777777" w:rsidR="00000000" w:rsidRDefault="00195E73">
            <w:pPr>
              <w:rPr>
                <w:rFonts w:eastAsia="Times New Roman"/>
                <w:sz w:val="20"/>
                <w:szCs w:val="20"/>
              </w:rPr>
            </w:pPr>
          </w:p>
        </w:tc>
        <w:tc>
          <w:tcPr>
            <w:tcW w:w="50" w:type="pct"/>
            <w:vAlign w:val="center"/>
            <w:hideMark/>
          </w:tcPr>
          <w:p w14:paraId="5C7E2A42" w14:textId="77777777" w:rsidR="00000000" w:rsidRDefault="00195E73">
            <w:pPr>
              <w:rPr>
                <w:rFonts w:eastAsia="Times New Roman"/>
                <w:sz w:val="20"/>
                <w:szCs w:val="20"/>
              </w:rPr>
            </w:pPr>
          </w:p>
        </w:tc>
        <w:tc>
          <w:tcPr>
            <w:tcW w:w="5" w:type="pct"/>
            <w:vAlign w:val="center"/>
            <w:hideMark/>
          </w:tcPr>
          <w:p w14:paraId="6F282055" w14:textId="77777777" w:rsidR="00000000" w:rsidRDefault="00195E73">
            <w:pPr>
              <w:rPr>
                <w:rFonts w:eastAsia="Times New Roman"/>
                <w:sz w:val="20"/>
                <w:szCs w:val="20"/>
              </w:rPr>
            </w:pPr>
          </w:p>
        </w:tc>
        <w:tc>
          <w:tcPr>
            <w:tcW w:w="26" w:type="pct"/>
            <w:vAlign w:val="center"/>
            <w:hideMark/>
          </w:tcPr>
          <w:p w14:paraId="716D4E78" w14:textId="77777777" w:rsidR="00000000" w:rsidRDefault="00195E73">
            <w:pPr>
              <w:rPr>
                <w:rFonts w:eastAsia="Times New Roman"/>
                <w:sz w:val="20"/>
                <w:szCs w:val="20"/>
              </w:rPr>
            </w:pPr>
          </w:p>
        </w:tc>
        <w:tc>
          <w:tcPr>
            <w:tcW w:w="5" w:type="pct"/>
            <w:vAlign w:val="center"/>
            <w:hideMark/>
          </w:tcPr>
          <w:p w14:paraId="09683986" w14:textId="77777777" w:rsidR="00000000" w:rsidRDefault="00195E73">
            <w:pPr>
              <w:rPr>
                <w:rFonts w:eastAsia="Times New Roman"/>
                <w:sz w:val="20"/>
                <w:szCs w:val="20"/>
              </w:rPr>
            </w:pPr>
          </w:p>
        </w:tc>
        <w:tc>
          <w:tcPr>
            <w:tcW w:w="50" w:type="pct"/>
            <w:vAlign w:val="center"/>
            <w:hideMark/>
          </w:tcPr>
          <w:p w14:paraId="7E737AC1" w14:textId="77777777" w:rsidR="00000000" w:rsidRDefault="00195E73">
            <w:pPr>
              <w:rPr>
                <w:rFonts w:eastAsia="Times New Roman"/>
                <w:sz w:val="20"/>
                <w:szCs w:val="20"/>
              </w:rPr>
            </w:pPr>
          </w:p>
        </w:tc>
        <w:tc>
          <w:tcPr>
            <w:tcW w:w="631" w:type="pct"/>
            <w:vAlign w:val="center"/>
            <w:hideMark/>
          </w:tcPr>
          <w:p w14:paraId="2F393D58" w14:textId="77777777" w:rsidR="00000000" w:rsidRDefault="00195E73">
            <w:pPr>
              <w:rPr>
                <w:rFonts w:eastAsia="Times New Roman"/>
                <w:sz w:val="20"/>
                <w:szCs w:val="20"/>
              </w:rPr>
            </w:pPr>
          </w:p>
        </w:tc>
        <w:tc>
          <w:tcPr>
            <w:tcW w:w="50" w:type="pct"/>
            <w:vAlign w:val="center"/>
            <w:hideMark/>
          </w:tcPr>
          <w:p w14:paraId="41F31CEE" w14:textId="77777777" w:rsidR="00000000" w:rsidRDefault="00195E73">
            <w:pPr>
              <w:rPr>
                <w:rFonts w:eastAsia="Times New Roman"/>
                <w:sz w:val="20"/>
                <w:szCs w:val="20"/>
              </w:rPr>
            </w:pPr>
          </w:p>
        </w:tc>
      </w:tr>
      <w:tr w:rsidR="00000000" w14:paraId="07DFB20A" w14:textId="77777777">
        <w:trPr>
          <w:divId w:val="1391075216"/>
          <w:jc w:val="center"/>
        </w:trPr>
        <w:tc>
          <w:tcPr>
            <w:tcW w:w="0" w:type="auto"/>
            <w:gridSpan w:val="3"/>
            <w:tcMar>
              <w:top w:w="30" w:type="dxa"/>
              <w:left w:w="20" w:type="dxa"/>
              <w:bottom w:w="30" w:type="dxa"/>
              <w:right w:w="20" w:type="dxa"/>
            </w:tcMar>
            <w:vAlign w:val="bottom"/>
            <w:hideMark/>
          </w:tcPr>
          <w:p w14:paraId="556A7C54" w14:textId="77777777" w:rsidR="00000000" w:rsidRDefault="00195E73">
            <w:pPr>
              <w:rPr>
                <w:rFonts w:eastAsia="Times New Roman"/>
              </w:rPr>
            </w:pPr>
            <w:r>
              <w:rPr>
                <w:rFonts w:eastAsia="Times New Roman"/>
                <w:b/>
                <w:bCs/>
                <w:color w:val="000000"/>
                <w:sz w:val="20"/>
                <w:szCs w:val="20"/>
              </w:rPr>
              <w:t>Yea</w:t>
            </w:r>
            <w:r>
              <w:rPr>
                <w:rFonts w:eastAsia="Times New Roman"/>
                <w:b/>
                <w:bCs/>
                <w:color w:val="000000"/>
                <w:sz w:val="20"/>
                <w:szCs w:val="20"/>
              </w:rPr>
              <w:t>r</w:t>
            </w:r>
          </w:p>
        </w:tc>
        <w:tc>
          <w:tcPr>
            <w:tcW w:w="0" w:type="auto"/>
            <w:gridSpan w:val="3"/>
            <w:tcMar>
              <w:top w:w="15" w:type="dxa"/>
              <w:left w:w="20" w:type="dxa"/>
              <w:bottom w:w="15" w:type="dxa"/>
              <w:right w:w="20" w:type="dxa"/>
            </w:tcMar>
            <w:vAlign w:val="bottom"/>
            <w:hideMark/>
          </w:tcPr>
          <w:p w14:paraId="7130766F"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6B3C6AF2" w14:textId="77777777" w:rsidR="00000000" w:rsidRDefault="00195E73">
            <w:pPr>
              <w:jc w:val="center"/>
              <w:rPr>
                <w:rFonts w:eastAsia="Times New Roman"/>
              </w:rPr>
            </w:pPr>
            <w:r>
              <w:rPr>
                <w:rFonts w:eastAsia="Times New Roman"/>
                <w:b/>
                <w:bCs/>
                <w:color w:val="000000"/>
                <w:sz w:val="20"/>
                <w:szCs w:val="20"/>
              </w:rPr>
              <w:t>Amoun</w:t>
            </w:r>
            <w:r>
              <w:rPr>
                <w:rFonts w:eastAsia="Times New Roman"/>
                <w:b/>
                <w:bCs/>
                <w:color w:val="000000"/>
                <w:sz w:val="20"/>
                <w:szCs w:val="20"/>
              </w:rPr>
              <w:t>t</w:t>
            </w:r>
          </w:p>
        </w:tc>
      </w:tr>
      <w:tr w:rsidR="00000000" w14:paraId="7EFB3338" w14:textId="77777777">
        <w:trPr>
          <w:divId w:val="1391075216"/>
          <w:jc w:val="center"/>
        </w:trPr>
        <w:tc>
          <w:tcPr>
            <w:tcW w:w="0" w:type="auto"/>
            <w:gridSpan w:val="3"/>
            <w:tcBorders>
              <w:top w:val="single" w:sz="8" w:space="0" w:color="000000"/>
            </w:tcBorders>
            <w:tcMar>
              <w:top w:w="15" w:type="dxa"/>
              <w:left w:w="20" w:type="dxa"/>
              <w:bottom w:w="15" w:type="dxa"/>
              <w:right w:w="20" w:type="dxa"/>
            </w:tcMar>
            <w:vAlign w:val="bottom"/>
            <w:hideMark/>
          </w:tcPr>
          <w:p w14:paraId="2BBDE14E" w14:textId="77777777" w:rsidR="00000000" w:rsidRDefault="00195E73">
            <w:pPr>
              <w:jc w:val="center"/>
              <w:rPr>
                <w:rFonts w:eastAsia="Times New Roman"/>
              </w:rPr>
            </w:pPr>
          </w:p>
        </w:tc>
        <w:tc>
          <w:tcPr>
            <w:tcW w:w="0" w:type="auto"/>
            <w:gridSpan w:val="3"/>
            <w:tcMar>
              <w:top w:w="15" w:type="dxa"/>
              <w:left w:w="20" w:type="dxa"/>
              <w:bottom w:w="15" w:type="dxa"/>
              <w:right w:w="20" w:type="dxa"/>
            </w:tcMar>
            <w:vAlign w:val="bottom"/>
            <w:hideMark/>
          </w:tcPr>
          <w:p w14:paraId="2E79459A" w14:textId="77777777" w:rsidR="00000000" w:rsidRDefault="00195E73">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7D6FFDBB"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4C65F880" w14:textId="77777777" w:rsidR="00000000" w:rsidRDefault="00195E73">
            <w:pPr>
              <w:jc w:val="right"/>
              <w:rPr>
                <w:rFonts w:eastAsia="Times New Roman"/>
              </w:rPr>
            </w:pPr>
            <w:r>
              <w:rPr>
                <w:rFonts w:eastAsia="Times New Roman"/>
                <w:color w:val="000000"/>
                <w:sz w:val="16"/>
                <w:szCs w:val="16"/>
              </w:rPr>
              <w:t> </w:t>
            </w:r>
          </w:p>
        </w:tc>
      </w:tr>
      <w:tr w:rsidR="00000000" w14:paraId="73849645" w14:textId="77777777">
        <w:trPr>
          <w:divId w:val="1391075216"/>
          <w:jc w:val="center"/>
        </w:trPr>
        <w:tc>
          <w:tcPr>
            <w:tcW w:w="0" w:type="auto"/>
            <w:gridSpan w:val="3"/>
            <w:shd w:val="clear" w:color="auto" w:fill="CCEEFF"/>
            <w:tcMar>
              <w:top w:w="30" w:type="dxa"/>
              <w:left w:w="20" w:type="dxa"/>
              <w:bottom w:w="30" w:type="dxa"/>
              <w:right w:w="20" w:type="dxa"/>
            </w:tcMar>
            <w:vAlign w:val="bottom"/>
            <w:hideMark/>
          </w:tcPr>
          <w:p w14:paraId="05E8DAB1"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14:paraId="511A68C7" w14:textId="77777777" w:rsidR="00000000" w:rsidRDefault="00195E73">
            <w:pPr>
              <w:rPr>
                <w:rFonts w:eastAsia="Times New Roman"/>
              </w:rPr>
            </w:pPr>
          </w:p>
        </w:tc>
        <w:tc>
          <w:tcPr>
            <w:tcW w:w="0" w:type="auto"/>
            <w:shd w:val="clear" w:color="auto" w:fill="CCEEFF"/>
            <w:tcMar>
              <w:top w:w="30" w:type="dxa"/>
              <w:left w:w="20" w:type="dxa"/>
              <w:bottom w:w="30" w:type="dxa"/>
              <w:right w:w="15" w:type="dxa"/>
            </w:tcMar>
            <w:vAlign w:val="bottom"/>
            <w:hideMark/>
          </w:tcPr>
          <w:p w14:paraId="7D32882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69D8B7F" w14:textId="77777777" w:rsidR="00000000" w:rsidRDefault="00195E73">
            <w:pPr>
              <w:jc w:val="right"/>
              <w:rPr>
                <w:rFonts w:eastAsia="Times New Roman"/>
              </w:rPr>
            </w:pPr>
            <w:r>
              <w:rPr>
                <w:rFonts w:eastAsia="Times New Roman"/>
                <w:color w:val="000000"/>
                <w:sz w:val="20"/>
                <w:szCs w:val="20"/>
              </w:rPr>
              <w:t>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4FD4674" w14:textId="77777777" w:rsidR="00000000" w:rsidRDefault="00195E73">
            <w:pPr>
              <w:jc w:val="right"/>
              <w:rPr>
                <w:rFonts w:eastAsia="Times New Roman"/>
              </w:rPr>
            </w:pPr>
            <w:r>
              <w:rPr>
                <w:rFonts w:eastAsia="Times New Roman"/>
                <w:color w:val="000000"/>
                <w:sz w:val="20"/>
                <w:szCs w:val="20"/>
              </w:rPr>
              <w:t> </w:t>
            </w:r>
          </w:p>
        </w:tc>
      </w:tr>
      <w:tr w:rsidR="00000000" w14:paraId="21D93A30" w14:textId="77777777">
        <w:trPr>
          <w:divId w:val="1391075216"/>
          <w:jc w:val="center"/>
        </w:trPr>
        <w:tc>
          <w:tcPr>
            <w:tcW w:w="0" w:type="auto"/>
            <w:gridSpan w:val="3"/>
            <w:shd w:val="clear" w:color="auto" w:fill="FFFFFF"/>
            <w:tcMar>
              <w:top w:w="30" w:type="dxa"/>
              <w:left w:w="20" w:type="dxa"/>
              <w:bottom w:w="30" w:type="dxa"/>
              <w:right w:w="20" w:type="dxa"/>
            </w:tcMar>
            <w:vAlign w:val="bottom"/>
            <w:hideMark/>
          </w:tcPr>
          <w:p w14:paraId="4085D5DE"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14:paraId="696A88C7"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0E200C" w14:textId="77777777" w:rsidR="00000000" w:rsidRDefault="00195E73">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3F03976" w14:textId="77777777" w:rsidR="00000000" w:rsidRDefault="00195E73">
            <w:pPr>
              <w:jc w:val="right"/>
              <w:rPr>
                <w:rFonts w:eastAsia="Times New Roman"/>
              </w:rPr>
            </w:pPr>
            <w:r>
              <w:rPr>
                <w:rFonts w:eastAsia="Times New Roman"/>
                <w:color w:val="000000"/>
                <w:sz w:val="20"/>
                <w:szCs w:val="20"/>
              </w:rPr>
              <w:t> </w:t>
            </w:r>
          </w:p>
        </w:tc>
      </w:tr>
      <w:tr w:rsidR="00000000" w14:paraId="580AB8F8" w14:textId="77777777">
        <w:trPr>
          <w:divId w:val="1391075216"/>
          <w:jc w:val="center"/>
        </w:trPr>
        <w:tc>
          <w:tcPr>
            <w:tcW w:w="0" w:type="auto"/>
            <w:gridSpan w:val="3"/>
            <w:shd w:val="clear" w:color="auto" w:fill="CCEEFF"/>
            <w:tcMar>
              <w:top w:w="30" w:type="dxa"/>
              <w:left w:w="20" w:type="dxa"/>
              <w:bottom w:w="30" w:type="dxa"/>
              <w:right w:w="20" w:type="dxa"/>
            </w:tcMar>
            <w:vAlign w:val="bottom"/>
            <w:hideMark/>
          </w:tcPr>
          <w:p w14:paraId="259A0082"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14:paraId="20123021"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CD1E9A" w14:textId="77777777" w:rsidR="00000000" w:rsidRDefault="00195E73">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C1BF81F" w14:textId="77777777" w:rsidR="00000000" w:rsidRDefault="00195E73">
            <w:pPr>
              <w:jc w:val="right"/>
              <w:rPr>
                <w:rFonts w:eastAsia="Times New Roman"/>
              </w:rPr>
            </w:pPr>
            <w:r>
              <w:rPr>
                <w:rFonts w:eastAsia="Times New Roman"/>
                <w:color w:val="000000"/>
                <w:sz w:val="20"/>
                <w:szCs w:val="20"/>
              </w:rPr>
              <w:t> </w:t>
            </w:r>
          </w:p>
        </w:tc>
      </w:tr>
      <w:tr w:rsidR="00000000" w14:paraId="4EFBE928" w14:textId="77777777">
        <w:trPr>
          <w:divId w:val="1391075216"/>
          <w:jc w:val="center"/>
        </w:trPr>
        <w:tc>
          <w:tcPr>
            <w:tcW w:w="0" w:type="auto"/>
            <w:gridSpan w:val="3"/>
            <w:shd w:val="clear" w:color="auto" w:fill="FFFFFF"/>
            <w:tcMar>
              <w:top w:w="30" w:type="dxa"/>
              <w:left w:w="20" w:type="dxa"/>
              <w:bottom w:w="30" w:type="dxa"/>
              <w:right w:w="20" w:type="dxa"/>
            </w:tcMar>
            <w:vAlign w:val="bottom"/>
            <w:hideMark/>
          </w:tcPr>
          <w:p w14:paraId="2E66D7BD"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14:paraId="3A6F38BD"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E084A6" w14:textId="77777777" w:rsidR="00000000" w:rsidRDefault="00195E73">
            <w:pPr>
              <w:jc w:val="right"/>
              <w:rPr>
                <w:rFonts w:eastAsia="Times New Roman"/>
              </w:rPr>
            </w:pPr>
            <w:r>
              <w:rPr>
                <w:rFonts w:eastAsia="Times New Roman"/>
                <w:color w:val="000000"/>
                <w:sz w:val="20"/>
                <w:szCs w:val="20"/>
              </w:rPr>
              <w:t>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B4DB3E9" w14:textId="77777777" w:rsidR="00000000" w:rsidRDefault="00195E73">
            <w:pPr>
              <w:jc w:val="right"/>
              <w:rPr>
                <w:rFonts w:eastAsia="Times New Roman"/>
              </w:rPr>
            </w:pPr>
            <w:r>
              <w:rPr>
                <w:rFonts w:eastAsia="Times New Roman"/>
                <w:color w:val="000000"/>
                <w:sz w:val="20"/>
                <w:szCs w:val="20"/>
              </w:rPr>
              <w:t> </w:t>
            </w:r>
          </w:p>
        </w:tc>
      </w:tr>
      <w:tr w:rsidR="00000000" w14:paraId="2E5DE5C1" w14:textId="77777777">
        <w:trPr>
          <w:divId w:val="1391075216"/>
          <w:jc w:val="center"/>
        </w:trPr>
        <w:tc>
          <w:tcPr>
            <w:tcW w:w="0" w:type="auto"/>
            <w:gridSpan w:val="3"/>
            <w:shd w:val="clear" w:color="auto" w:fill="CCEEFF"/>
            <w:tcMar>
              <w:top w:w="30" w:type="dxa"/>
              <w:left w:w="20" w:type="dxa"/>
              <w:bottom w:w="30" w:type="dxa"/>
              <w:right w:w="20" w:type="dxa"/>
            </w:tcMar>
            <w:vAlign w:val="bottom"/>
            <w:hideMark/>
          </w:tcPr>
          <w:p w14:paraId="312C7282" w14:textId="77777777" w:rsidR="00000000" w:rsidRDefault="00195E73">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14:paraId="1131A9F0"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512551" w14:textId="77777777" w:rsidR="00000000" w:rsidRDefault="00195E73">
            <w:pPr>
              <w:jc w:val="right"/>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911790D" w14:textId="77777777" w:rsidR="00000000" w:rsidRDefault="00195E73">
            <w:pPr>
              <w:jc w:val="right"/>
              <w:rPr>
                <w:rFonts w:eastAsia="Times New Roman"/>
              </w:rPr>
            </w:pPr>
            <w:r>
              <w:rPr>
                <w:rFonts w:eastAsia="Times New Roman"/>
                <w:color w:val="000000"/>
                <w:sz w:val="20"/>
                <w:szCs w:val="20"/>
              </w:rPr>
              <w:t> </w:t>
            </w:r>
          </w:p>
        </w:tc>
      </w:tr>
      <w:tr w:rsidR="00000000" w14:paraId="6A5FD1DD" w14:textId="77777777">
        <w:trPr>
          <w:divId w:val="1391075216"/>
          <w:jc w:val="center"/>
        </w:trPr>
        <w:tc>
          <w:tcPr>
            <w:tcW w:w="0" w:type="auto"/>
            <w:gridSpan w:val="3"/>
            <w:shd w:val="clear" w:color="auto" w:fill="FFFFFF"/>
            <w:tcMar>
              <w:top w:w="30" w:type="dxa"/>
              <w:left w:w="20" w:type="dxa"/>
              <w:bottom w:w="30" w:type="dxa"/>
              <w:right w:w="20" w:type="dxa"/>
            </w:tcMar>
            <w:vAlign w:val="bottom"/>
            <w:hideMark/>
          </w:tcPr>
          <w:p w14:paraId="6343E4AB" w14:textId="77777777" w:rsidR="00000000" w:rsidRDefault="00195E73">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14:paraId="3EA85FDE"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72A921" w14:textId="77777777" w:rsidR="00000000" w:rsidRDefault="00195E73">
            <w:pPr>
              <w:jc w:val="right"/>
              <w:rPr>
                <w:rFonts w:eastAsia="Times New Roman"/>
              </w:rPr>
            </w:pPr>
            <w:r>
              <w:rPr>
                <w:rFonts w:eastAsia="Times New Roman"/>
                <w:color w:val="000000"/>
                <w:sz w:val="20"/>
                <w:szCs w:val="20"/>
              </w:rPr>
              <w:t>375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CF3CE4" w14:textId="77777777" w:rsidR="00000000" w:rsidRDefault="00195E73">
            <w:pPr>
              <w:jc w:val="right"/>
              <w:rPr>
                <w:rFonts w:eastAsia="Times New Roman"/>
              </w:rPr>
            </w:pPr>
            <w:r>
              <w:rPr>
                <w:rFonts w:eastAsia="Times New Roman"/>
                <w:color w:val="000000"/>
                <w:sz w:val="20"/>
                <w:szCs w:val="20"/>
              </w:rPr>
              <w:t> </w:t>
            </w:r>
          </w:p>
        </w:tc>
      </w:tr>
      <w:tr w:rsidR="00000000" w14:paraId="4D9E03C9" w14:textId="77777777">
        <w:trPr>
          <w:divId w:val="1391075216"/>
          <w:jc w:val="center"/>
        </w:trPr>
        <w:tc>
          <w:tcPr>
            <w:tcW w:w="0" w:type="auto"/>
            <w:gridSpan w:val="3"/>
            <w:shd w:val="clear" w:color="auto" w:fill="CCEEFF"/>
            <w:tcMar>
              <w:top w:w="15" w:type="dxa"/>
              <w:left w:w="20" w:type="dxa"/>
              <w:bottom w:w="15" w:type="dxa"/>
              <w:right w:w="20" w:type="dxa"/>
            </w:tcMar>
            <w:vAlign w:val="bottom"/>
            <w:hideMark/>
          </w:tcPr>
          <w:p w14:paraId="7902FFB8"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03194064" w14:textId="77777777" w:rsidR="00000000" w:rsidRDefault="00195E73">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AC7EA4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272CD14" w14:textId="77777777" w:rsidR="00000000" w:rsidRDefault="00195E73">
            <w:pPr>
              <w:jc w:val="right"/>
              <w:rPr>
                <w:rFonts w:eastAsia="Times New Roman"/>
              </w:rPr>
            </w:pPr>
            <w:r>
              <w:rPr>
                <w:rFonts w:eastAsia="Times New Roman"/>
                <w:color w:val="000000"/>
                <w:sz w:val="20"/>
                <w:szCs w:val="20"/>
              </w:rPr>
              <w:t>773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93266C8" w14:textId="77777777" w:rsidR="00000000" w:rsidRDefault="00195E73">
            <w:pPr>
              <w:jc w:val="right"/>
              <w:rPr>
                <w:rFonts w:eastAsia="Times New Roman"/>
              </w:rPr>
            </w:pPr>
            <w:r>
              <w:rPr>
                <w:rFonts w:eastAsia="Times New Roman"/>
                <w:color w:val="000000"/>
                <w:sz w:val="20"/>
                <w:szCs w:val="20"/>
              </w:rPr>
              <w:t> </w:t>
            </w:r>
          </w:p>
        </w:tc>
      </w:tr>
    </w:tbl>
    <w:p w14:paraId="42041CE5" w14:textId="77777777" w:rsidR="00000000" w:rsidRDefault="00195E73">
      <w:pPr>
        <w:ind w:firstLine="405"/>
        <w:divId w:val="1963264173"/>
        <w:rPr>
          <w:rFonts w:eastAsia="Times New Roman"/>
        </w:rPr>
      </w:pPr>
      <w:r>
        <w:rPr>
          <w:rFonts w:eastAsia="Times New Roman"/>
          <w:color w:val="000000"/>
          <w:sz w:val="20"/>
          <w:szCs w:val="20"/>
        </w:rPr>
        <w:t>CVR Energy is a party to various supply agreements which commit it to purchase minimum volumes of crude oil, hydrogen, oxygen, nitrogen, petroleum coke and natural gas to run its facilities’ operations. For the years ended December 31, 2019, 2018 and 2017,</w:t>
      </w:r>
      <w:r>
        <w:rPr>
          <w:rFonts w:eastAsia="Times New Roman"/>
          <w:color w:val="000000"/>
          <w:sz w:val="20"/>
          <w:szCs w:val="20"/>
        </w:rPr>
        <w:t xml:space="preserve"> amounts purchased under these supply agreements totaled approximately $167 million, $214 million and $209 million, respectively</w:t>
      </w:r>
      <w:r>
        <w:rPr>
          <w:rFonts w:eastAsia="Times New Roman"/>
          <w:color w:val="000000"/>
          <w:sz w:val="20"/>
          <w:szCs w:val="20"/>
        </w:rPr>
        <w:t>.</w:t>
      </w:r>
    </w:p>
    <w:p w14:paraId="32D56618" w14:textId="77777777" w:rsidR="00000000" w:rsidRDefault="00195E73">
      <w:pPr>
        <w:divId w:val="1504122678"/>
        <w:rPr>
          <w:rFonts w:eastAsia="Times New Roman"/>
        </w:rPr>
      </w:pPr>
    </w:p>
    <w:p w14:paraId="3FBA6595" w14:textId="77777777" w:rsidR="00000000" w:rsidRDefault="00195E73">
      <w:pPr>
        <w:divId w:val="32586117"/>
        <w:rPr>
          <w:rFonts w:eastAsia="Times New Roman"/>
        </w:rPr>
      </w:pPr>
    </w:p>
    <w:p w14:paraId="6CD7EE2D" w14:textId="77777777" w:rsidR="00000000" w:rsidRDefault="00195E73">
      <w:pPr>
        <w:ind w:hanging="360"/>
        <w:divId w:val="1165244928"/>
        <w:rPr>
          <w:rFonts w:eastAsia="Times New Roman"/>
        </w:rPr>
      </w:pPr>
      <w:r>
        <w:rPr>
          <w:rFonts w:eastAsia="Times New Roman"/>
          <w:b/>
          <w:bCs/>
          <w:color w:val="000000"/>
          <w:sz w:val="20"/>
          <w:szCs w:val="20"/>
        </w:rPr>
        <w:t>19. Pension and Other Post-Retirement Benefit Plans.</w:t>
      </w:r>
      <w:r>
        <w:rPr>
          <w:rFonts w:eastAsia="Times New Roman"/>
          <w:b/>
          <w:bCs/>
          <w:color w:val="000000"/>
          <w:sz w:val="20"/>
          <w:szCs w:val="20"/>
        </w:rPr>
        <w:t xml:space="preserve"> </w:t>
      </w:r>
    </w:p>
    <w:p w14:paraId="32D92783" w14:textId="77777777" w:rsidR="00000000" w:rsidRDefault="00195E73">
      <w:pPr>
        <w:ind w:firstLine="405"/>
        <w:divId w:val="933589132"/>
        <w:rPr>
          <w:rFonts w:eastAsia="Times New Roman"/>
        </w:rPr>
      </w:pPr>
      <w:r>
        <w:rPr>
          <w:rFonts w:eastAsia="Times New Roman"/>
          <w:color w:val="000000"/>
          <w:sz w:val="20"/>
          <w:szCs w:val="20"/>
        </w:rPr>
        <w:t>Pension and other post-retirement benefit plan costs and obligations</w:t>
      </w:r>
      <w:r>
        <w:rPr>
          <w:rFonts w:eastAsia="Times New Roman"/>
          <w:color w:val="000000"/>
          <w:sz w:val="20"/>
          <w:szCs w:val="20"/>
        </w:rPr>
        <w:t xml:space="preserve"> are primarily within our Food Packaging segment. Pension plans and other post-retirement benefit plans for other segments are not material and are not included in our disclosures below.</w:t>
      </w:r>
      <w:r>
        <w:rPr>
          <w:rFonts w:eastAsia="Times New Roman"/>
          <w:color w:val="000000"/>
          <w:sz w:val="20"/>
          <w:szCs w:val="20"/>
        </w:rPr>
        <w:t xml:space="preserve"> </w:t>
      </w:r>
    </w:p>
    <w:p w14:paraId="4FCDAD79" w14:textId="77777777" w:rsidR="00000000" w:rsidRDefault="00195E73">
      <w:pPr>
        <w:ind w:firstLine="450"/>
        <w:divId w:val="1574318806"/>
        <w:rPr>
          <w:rFonts w:eastAsia="Times New Roman"/>
        </w:rPr>
      </w:pPr>
      <w:r>
        <w:rPr>
          <w:rFonts w:eastAsia="Times New Roman"/>
          <w:color w:val="000000"/>
          <w:sz w:val="20"/>
          <w:szCs w:val="20"/>
        </w:rPr>
        <w:t>Viskase sponsors several defined benefit pension plans, including de</w:t>
      </w:r>
      <w:r>
        <w:rPr>
          <w:rFonts w:eastAsia="Times New Roman"/>
          <w:color w:val="000000"/>
          <w:sz w:val="20"/>
          <w:szCs w:val="20"/>
        </w:rPr>
        <w:t>fined contribution plans, varying by country and subsidiary. Additionally, Viskase sponsors health care and life insurance benefits for certain employees and retirees around the world. The pension benefits are funded based on the funding requirements of fe</w:t>
      </w:r>
      <w:r>
        <w:rPr>
          <w:rFonts w:eastAsia="Times New Roman"/>
          <w:color w:val="000000"/>
          <w:sz w:val="20"/>
          <w:szCs w:val="20"/>
        </w:rPr>
        <w:t>deral and international laws and regulations, as applicable, in advance of benefit payments and the other benefits are funded as benefits are provided to participating employees</w:t>
      </w:r>
      <w:r>
        <w:rPr>
          <w:rFonts w:eastAsia="Times New Roman"/>
          <w:color w:val="000000"/>
          <w:sz w:val="20"/>
          <w:szCs w:val="20"/>
        </w:rPr>
        <w:t>.</w:t>
      </w:r>
    </w:p>
    <w:p w14:paraId="2084CF7A" w14:textId="77777777" w:rsidR="00000000" w:rsidRDefault="00195E73">
      <w:pPr>
        <w:ind w:firstLine="405"/>
        <w:divId w:val="1630354792"/>
        <w:rPr>
          <w:rFonts w:eastAsia="Times New Roman"/>
        </w:rPr>
      </w:pPr>
      <w:r>
        <w:rPr>
          <w:rFonts w:eastAsia="Times New Roman"/>
          <w:color w:val="000000"/>
          <w:sz w:val="20"/>
          <w:szCs w:val="20"/>
        </w:rPr>
        <w:t>Components of net periodic benefit cost (credit) are as follows</w:t>
      </w:r>
      <w:r>
        <w:rPr>
          <w:rFonts w:eastAsia="Times New Roman"/>
          <w:color w:val="000000"/>
          <w:sz w:val="20"/>
          <w:szCs w:val="20"/>
        </w:rPr>
        <w:t>:</w:t>
      </w:r>
      <w:r>
        <w:rPr>
          <w:rFonts w:eastAsia="Times New Roman"/>
          <w:color w:val="000000"/>
          <w:sz w:val="20"/>
          <w:szCs w:val="20"/>
          <w:shd w:val="clear" w:color="auto" w:fill="CCEEFF"/>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40"/>
        <w:gridCol w:w="4099"/>
        <w:gridCol w:w="40"/>
        <w:gridCol w:w="135"/>
        <w:gridCol w:w="956"/>
        <w:gridCol w:w="85"/>
        <w:gridCol w:w="36"/>
        <w:gridCol w:w="36"/>
        <w:gridCol w:w="36"/>
        <w:gridCol w:w="135"/>
        <w:gridCol w:w="923"/>
        <w:gridCol w:w="85"/>
        <w:gridCol w:w="36"/>
        <w:gridCol w:w="36"/>
        <w:gridCol w:w="36"/>
        <w:gridCol w:w="136"/>
        <w:gridCol w:w="925"/>
        <w:gridCol w:w="86"/>
        <w:gridCol w:w="36"/>
        <w:gridCol w:w="36"/>
        <w:gridCol w:w="36"/>
        <w:gridCol w:w="36"/>
        <w:gridCol w:w="36"/>
        <w:gridCol w:w="36"/>
        <w:gridCol w:w="36"/>
        <w:gridCol w:w="36"/>
        <w:gridCol w:w="36"/>
        <w:gridCol w:w="36"/>
        <w:gridCol w:w="36"/>
        <w:gridCol w:w="36"/>
      </w:tblGrid>
      <w:tr w:rsidR="00000000" w14:paraId="1E59D990" w14:textId="77777777">
        <w:trPr>
          <w:gridAfter w:val="12"/>
          <w:divId w:val="1768891319"/>
        </w:trPr>
        <w:tc>
          <w:tcPr>
            <w:tcW w:w="50" w:type="pct"/>
            <w:vAlign w:val="center"/>
            <w:hideMark/>
          </w:tcPr>
          <w:p w14:paraId="221850F7" w14:textId="77777777" w:rsidR="00000000" w:rsidRDefault="00195E73">
            <w:pPr>
              <w:ind w:firstLine="405"/>
              <w:rPr>
                <w:rFonts w:eastAsia="Times New Roman"/>
              </w:rPr>
            </w:pPr>
          </w:p>
        </w:tc>
        <w:tc>
          <w:tcPr>
            <w:tcW w:w="2630" w:type="pct"/>
            <w:vAlign w:val="center"/>
            <w:hideMark/>
          </w:tcPr>
          <w:p w14:paraId="19E6DED0" w14:textId="77777777" w:rsidR="00000000" w:rsidRDefault="00195E73">
            <w:pPr>
              <w:rPr>
                <w:rFonts w:eastAsia="Times New Roman"/>
                <w:sz w:val="20"/>
                <w:szCs w:val="20"/>
              </w:rPr>
            </w:pPr>
          </w:p>
        </w:tc>
        <w:tc>
          <w:tcPr>
            <w:tcW w:w="50" w:type="pct"/>
            <w:vAlign w:val="center"/>
            <w:hideMark/>
          </w:tcPr>
          <w:p w14:paraId="48FE8530" w14:textId="77777777" w:rsidR="00000000" w:rsidRDefault="00195E73">
            <w:pPr>
              <w:rPr>
                <w:rFonts w:eastAsia="Times New Roman"/>
                <w:sz w:val="20"/>
                <w:szCs w:val="20"/>
              </w:rPr>
            </w:pPr>
          </w:p>
        </w:tc>
        <w:tc>
          <w:tcPr>
            <w:tcW w:w="50" w:type="pct"/>
            <w:vAlign w:val="center"/>
            <w:hideMark/>
          </w:tcPr>
          <w:p w14:paraId="6748620B" w14:textId="77777777" w:rsidR="00000000" w:rsidRDefault="00195E73">
            <w:pPr>
              <w:rPr>
                <w:rFonts w:eastAsia="Times New Roman"/>
                <w:sz w:val="20"/>
                <w:szCs w:val="20"/>
              </w:rPr>
            </w:pPr>
          </w:p>
        </w:tc>
        <w:tc>
          <w:tcPr>
            <w:tcW w:w="632" w:type="pct"/>
            <w:vAlign w:val="center"/>
            <w:hideMark/>
          </w:tcPr>
          <w:p w14:paraId="5EE63781" w14:textId="77777777" w:rsidR="00000000" w:rsidRDefault="00195E73">
            <w:pPr>
              <w:rPr>
                <w:rFonts w:eastAsia="Times New Roman"/>
                <w:sz w:val="20"/>
                <w:szCs w:val="20"/>
              </w:rPr>
            </w:pPr>
          </w:p>
        </w:tc>
        <w:tc>
          <w:tcPr>
            <w:tcW w:w="50" w:type="pct"/>
            <w:vAlign w:val="center"/>
            <w:hideMark/>
          </w:tcPr>
          <w:p w14:paraId="40EC4534" w14:textId="77777777" w:rsidR="00000000" w:rsidRDefault="00195E73">
            <w:pPr>
              <w:rPr>
                <w:rFonts w:eastAsia="Times New Roman"/>
                <w:sz w:val="20"/>
                <w:szCs w:val="20"/>
              </w:rPr>
            </w:pPr>
          </w:p>
        </w:tc>
        <w:tc>
          <w:tcPr>
            <w:tcW w:w="5" w:type="pct"/>
            <w:vAlign w:val="center"/>
            <w:hideMark/>
          </w:tcPr>
          <w:p w14:paraId="4327A09A" w14:textId="77777777" w:rsidR="00000000" w:rsidRDefault="00195E73">
            <w:pPr>
              <w:rPr>
                <w:rFonts w:eastAsia="Times New Roman"/>
                <w:sz w:val="20"/>
                <w:szCs w:val="20"/>
              </w:rPr>
            </w:pPr>
          </w:p>
        </w:tc>
        <w:tc>
          <w:tcPr>
            <w:tcW w:w="26" w:type="pct"/>
            <w:vAlign w:val="center"/>
            <w:hideMark/>
          </w:tcPr>
          <w:p w14:paraId="6248FD13" w14:textId="77777777" w:rsidR="00000000" w:rsidRDefault="00195E73">
            <w:pPr>
              <w:rPr>
                <w:rFonts w:eastAsia="Times New Roman"/>
                <w:sz w:val="20"/>
                <w:szCs w:val="20"/>
              </w:rPr>
            </w:pPr>
          </w:p>
        </w:tc>
        <w:tc>
          <w:tcPr>
            <w:tcW w:w="5" w:type="pct"/>
            <w:vAlign w:val="center"/>
            <w:hideMark/>
          </w:tcPr>
          <w:p w14:paraId="2521A688" w14:textId="77777777" w:rsidR="00000000" w:rsidRDefault="00195E73">
            <w:pPr>
              <w:rPr>
                <w:rFonts w:eastAsia="Times New Roman"/>
                <w:sz w:val="20"/>
                <w:szCs w:val="20"/>
              </w:rPr>
            </w:pPr>
          </w:p>
        </w:tc>
        <w:tc>
          <w:tcPr>
            <w:tcW w:w="50" w:type="pct"/>
            <w:vAlign w:val="center"/>
            <w:hideMark/>
          </w:tcPr>
          <w:p w14:paraId="16FE8713" w14:textId="77777777" w:rsidR="00000000" w:rsidRDefault="00195E73">
            <w:pPr>
              <w:rPr>
                <w:rFonts w:eastAsia="Times New Roman"/>
                <w:sz w:val="20"/>
                <w:szCs w:val="20"/>
              </w:rPr>
            </w:pPr>
          </w:p>
        </w:tc>
        <w:tc>
          <w:tcPr>
            <w:tcW w:w="632" w:type="pct"/>
            <w:vAlign w:val="center"/>
            <w:hideMark/>
          </w:tcPr>
          <w:p w14:paraId="3D90AB4F" w14:textId="77777777" w:rsidR="00000000" w:rsidRDefault="00195E73">
            <w:pPr>
              <w:rPr>
                <w:rFonts w:eastAsia="Times New Roman"/>
                <w:sz w:val="20"/>
                <w:szCs w:val="20"/>
              </w:rPr>
            </w:pPr>
          </w:p>
        </w:tc>
        <w:tc>
          <w:tcPr>
            <w:tcW w:w="50" w:type="pct"/>
            <w:vAlign w:val="center"/>
            <w:hideMark/>
          </w:tcPr>
          <w:p w14:paraId="7208D382" w14:textId="77777777" w:rsidR="00000000" w:rsidRDefault="00195E73">
            <w:pPr>
              <w:rPr>
                <w:rFonts w:eastAsia="Times New Roman"/>
                <w:sz w:val="20"/>
                <w:szCs w:val="20"/>
              </w:rPr>
            </w:pPr>
          </w:p>
        </w:tc>
        <w:tc>
          <w:tcPr>
            <w:tcW w:w="5" w:type="pct"/>
            <w:vAlign w:val="center"/>
            <w:hideMark/>
          </w:tcPr>
          <w:p w14:paraId="57A70BF3" w14:textId="77777777" w:rsidR="00000000" w:rsidRDefault="00195E73">
            <w:pPr>
              <w:rPr>
                <w:rFonts w:eastAsia="Times New Roman"/>
                <w:sz w:val="20"/>
                <w:szCs w:val="20"/>
              </w:rPr>
            </w:pPr>
          </w:p>
        </w:tc>
        <w:tc>
          <w:tcPr>
            <w:tcW w:w="26" w:type="pct"/>
            <w:vAlign w:val="center"/>
            <w:hideMark/>
          </w:tcPr>
          <w:p w14:paraId="3E824E82" w14:textId="77777777" w:rsidR="00000000" w:rsidRDefault="00195E73">
            <w:pPr>
              <w:rPr>
                <w:rFonts w:eastAsia="Times New Roman"/>
                <w:sz w:val="20"/>
                <w:szCs w:val="20"/>
              </w:rPr>
            </w:pPr>
          </w:p>
        </w:tc>
        <w:tc>
          <w:tcPr>
            <w:tcW w:w="5" w:type="pct"/>
            <w:vAlign w:val="center"/>
            <w:hideMark/>
          </w:tcPr>
          <w:p w14:paraId="280A93EA" w14:textId="77777777" w:rsidR="00000000" w:rsidRDefault="00195E73">
            <w:pPr>
              <w:rPr>
                <w:rFonts w:eastAsia="Times New Roman"/>
                <w:sz w:val="20"/>
                <w:szCs w:val="20"/>
              </w:rPr>
            </w:pPr>
          </w:p>
        </w:tc>
        <w:tc>
          <w:tcPr>
            <w:tcW w:w="50" w:type="pct"/>
            <w:vAlign w:val="center"/>
            <w:hideMark/>
          </w:tcPr>
          <w:p w14:paraId="38D944CF" w14:textId="77777777" w:rsidR="00000000" w:rsidRDefault="00195E73">
            <w:pPr>
              <w:rPr>
                <w:rFonts w:eastAsia="Times New Roman"/>
                <w:sz w:val="20"/>
                <w:szCs w:val="20"/>
              </w:rPr>
            </w:pPr>
          </w:p>
        </w:tc>
        <w:tc>
          <w:tcPr>
            <w:tcW w:w="632" w:type="pct"/>
            <w:vAlign w:val="center"/>
            <w:hideMark/>
          </w:tcPr>
          <w:p w14:paraId="02319A03" w14:textId="77777777" w:rsidR="00000000" w:rsidRDefault="00195E73">
            <w:pPr>
              <w:rPr>
                <w:rFonts w:eastAsia="Times New Roman"/>
                <w:sz w:val="20"/>
                <w:szCs w:val="20"/>
              </w:rPr>
            </w:pPr>
          </w:p>
        </w:tc>
        <w:tc>
          <w:tcPr>
            <w:tcW w:w="50" w:type="pct"/>
            <w:vAlign w:val="center"/>
            <w:hideMark/>
          </w:tcPr>
          <w:p w14:paraId="43EE0C47" w14:textId="77777777" w:rsidR="00000000" w:rsidRDefault="00195E73">
            <w:pPr>
              <w:rPr>
                <w:rFonts w:eastAsia="Times New Roman"/>
                <w:sz w:val="20"/>
                <w:szCs w:val="20"/>
              </w:rPr>
            </w:pPr>
          </w:p>
        </w:tc>
      </w:tr>
      <w:tr w:rsidR="00000000" w14:paraId="29EB9F90" w14:textId="77777777">
        <w:trPr>
          <w:divId w:val="1768891319"/>
        </w:trPr>
        <w:tc>
          <w:tcPr>
            <w:tcW w:w="0" w:type="auto"/>
            <w:gridSpan w:val="3"/>
            <w:tcMar>
              <w:top w:w="15" w:type="dxa"/>
              <w:left w:w="20" w:type="dxa"/>
              <w:bottom w:w="15" w:type="dxa"/>
              <w:right w:w="20" w:type="dxa"/>
            </w:tcMar>
            <w:vAlign w:val="bottom"/>
            <w:hideMark/>
          </w:tcPr>
          <w:p w14:paraId="77FC24A7" w14:textId="77777777" w:rsidR="00000000" w:rsidRDefault="00195E73">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1F17157A" w14:textId="77777777" w:rsidR="00000000" w:rsidRDefault="00195E73">
            <w:pPr>
              <w:jc w:val="center"/>
              <w:rPr>
                <w:rFonts w:eastAsia="Times New Roman"/>
              </w:rPr>
            </w:pPr>
            <w:r>
              <w:rPr>
                <w:rFonts w:eastAsia="Times New Roman"/>
                <w:b/>
                <w:bCs/>
                <w:color w:val="000000"/>
                <w:sz w:val="20"/>
                <w:szCs w:val="20"/>
              </w:rPr>
              <w:t>U.S. and Non-U.S. Pension Benefit</w:t>
            </w:r>
            <w:r>
              <w:rPr>
                <w:rFonts w:eastAsia="Times New Roman"/>
                <w:b/>
                <w:bCs/>
                <w:color w:val="000000"/>
                <w:sz w:val="20"/>
                <w:szCs w:val="20"/>
              </w:rPr>
              <w:t>s</w:t>
            </w:r>
          </w:p>
        </w:tc>
        <w:tc>
          <w:tcPr>
            <w:tcW w:w="0" w:type="auto"/>
            <w:gridSpan w:val="3"/>
            <w:vAlign w:val="center"/>
            <w:hideMark/>
          </w:tcPr>
          <w:p w14:paraId="539FB812" w14:textId="77777777" w:rsidR="00000000" w:rsidRDefault="00195E73">
            <w:pPr>
              <w:jc w:val="center"/>
              <w:rPr>
                <w:rFonts w:eastAsia="Times New Roman"/>
              </w:rPr>
            </w:pPr>
          </w:p>
        </w:tc>
        <w:tc>
          <w:tcPr>
            <w:tcW w:w="0" w:type="auto"/>
            <w:gridSpan w:val="3"/>
            <w:vAlign w:val="center"/>
            <w:hideMark/>
          </w:tcPr>
          <w:p w14:paraId="316560B5" w14:textId="77777777" w:rsidR="00000000" w:rsidRDefault="00195E73">
            <w:pPr>
              <w:rPr>
                <w:rFonts w:eastAsia="Times New Roman"/>
                <w:sz w:val="20"/>
                <w:szCs w:val="20"/>
              </w:rPr>
            </w:pPr>
          </w:p>
        </w:tc>
        <w:tc>
          <w:tcPr>
            <w:tcW w:w="0" w:type="auto"/>
            <w:gridSpan w:val="3"/>
            <w:vAlign w:val="center"/>
            <w:hideMark/>
          </w:tcPr>
          <w:p w14:paraId="193BD540" w14:textId="77777777" w:rsidR="00000000" w:rsidRDefault="00195E73">
            <w:pPr>
              <w:rPr>
                <w:rFonts w:eastAsia="Times New Roman"/>
                <w:sz w:val="20"/>
                <w:szCs w:val="20"/>
              </w:rPr>
            </w:pPr>
          </w:p>
        </w:tc>
        <w:tc>
          <w:tcPr>
            <w:tcW w:w="0" w:type="auto"/>
            <w:gridSpan w:val="3"/>
            <w:vAlign w:val="center"/>
            <w:hideMark/>
          </w:tcPr>
          <w:p w14:paraId="2770B565" w14:textId="77777777" w:rsidR="00000000" w:rsidRDefault="00195E73">
            <w:pPr>
              <w:rPr>
                <w:rFonts w:eastAsia="Times New Roman"/>
                <w:sz w:val="20"/>
                <w:szCs w:val="20"/>
              </w:rPr>
            </w:pPr>
          </w:p>
        </w:tc>
      </w:tr>
      <w:tr w:rsidR="00000000" w14:paraId="4D458052" w14:textId="77777777">
        <w:trPr>
          <w:divId w:val="1768891319"/>
        </w:trPr>
        <w:tc>
          <w:tcPr>
            <w:tcW w:w="0" w:type="auto"/>
            <w:gridSpan w:val="3"/>
            <w:tcMar>
              <w:top w:w="15" w:type="dxa"/>
              <w:left w:w="20" w:type="dxa"/>
              <w:bottom w:w="15" w:type="dxa"/>
              <w:right w:w="20" w:type="dxa"/>
            </w:tcMar>
            <w:vAlign w:val="bottom"/>
            <w:hideMark/>
          </w:tcPr>
          <w:p w14:paraId="4F550FCF" w14:textId="77777777" w:rsidR="00000000" w:rsidRDefault="00195E73">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0D4C5065"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43B4DE26" w14:textId="77777777" w:rsidR="00000000" w:rsidRDefault="00195E73">
            <w:pPr>
              <w:jc w:val="center"/>
              <w:rPr>
                <w:rFonts w:eastAsia="Times New Roman"/>
              </w:rPr>
            </w:pPr>
          </w:p>
        </w:tc>
        <w:tc>
          <w:tcPr>
            <w:tcW w:w="0" w:type="auto"/>
            <w:gridSpan w:val="3"/>
            <w:vAlign w:val="center"/>
            <w:hideMark/>
          </w:tcPr>
          <w:p w14:paraId="0CBB3F22" w14:textId="77777777" w:rsidR="00000000" w:rsidRDefault="00195E73">
            <w:pPr>
              <w:rPr>
                <w:rFonts w:eastAsia="Times New Roman"/>
                <w:sz w:val="20"/>
                <w:szCs w:val="20"/>
              </w:rPr>
            </w:pPr>
          </w:p>
        </w:tc>
        <w:tc>
          <w:tcPr>
            <w:tcW w:w="0" w:type="auto"/>
            <w:gridSpan w:val="3"/>
            <w:vAlign w:val="center"/>
            <w:hideMark/>
          </w:tcPr>
          <w:p w14:paraId="0671C157" w14:textId="77777777" w:rsidR="00000000" w:rsidRDefault="00195E73">
            <w:pPr>
              <w:rPr>
                <w:rFonts w:eastAsia="Times New Roman"/>
                <w:sz w:val="20"/>
                <w:szCs w:val="20"/>
              </w:rPr>
            </w:pPr>
          </w:p>
        </w:tc>
        <w:tc>
          <w:tcPr>
            <w:tcW w:w="0" w:type="auto"/>
            <w:gridSpan w:val="3"/>
            <w:vAlign w:val="center"/>
            <w:hideMark/>
          </w:tcPr>
          <w:p w14:paraId="5512CCBE" w14:textId="77777777" w:rsidR="00000000" w:rsidRDefault="00195E73">
            <w:pPr>
              <w:rPr>
                <w:rFonts w:eastAsia="Times New Roman"/>
                <w:sz w:val="20"/>
                <w:szCs w:val="20"/>
              </w:rPr>
            </w:pPr>
          </w:p>
        </w:tc>
      </w:tr>
      <w:tr w:rsidR="00000000" w14:paraId="3777E53C" w14:textId="77777777">
        <w:trPr>
          <w:divId w:val="1768891319"/>
        </w:trPr>
        <w:tc>
          <w:tcPr>
            <w:tcW w:w="0" w:type="auto"/>
            <w:gridSpan w:val="3"/>
            <w:tcMar>
              <w:top w:w="15" w:type="dxa"/>
              <w:left w:w="20" w:type="dxa"/>
              <w:bottom w:w="15" w:type="dxa"/>
              <w:right w:w="20" w:type="dxa"/>
            </w:tcMar>
            <w:vAlign w:val="bottom"/>
            <w:hideMark/>
          </w:tcPr>
          <w:p w14:paraId="7E58A7D2"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A2B21EB"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53C10D4F"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02880D8"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1CE39C9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2FAF038"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4FDE8A5B" w14:textId="77777777" w:rsidR="00000000" w:rsidRDefault="00195E73">
            <w:pPr>
              <w:rPr>
                <w:rFonts w:eastAsia="Times New Roman"/>
                <w:sz w:val="20"/>
                <w:szCs w:val="20"/>
              </w:rPr>
            </w:pPr>
          </w:p>
        </w:tc>
        <w:tc>
          <w:tcPr>
            <w:tcW w:w="0" w:type="auto"/>
            <w:vAlign w:val="center"/>
            <w:hideMark/>
          </w:tcPr>
          <w:p w14:paraId="276EA21F" w14:textId="77777777" w:rsidR="00000000" w:rsidRDefault="00195E73">
            <w:pPr>
              <w:rPr>
                <w:rFonts w:eastAsia="Times New Roman"/>
                <w:sz w:val="20"/>
                <w:szCs w:val="20"/>
              </w:rPr>
            </w:pPr>
          </w:p>
        </w:tc>
        <w:tc>
          <w:tcPr>
            <w:tcW w:w="0" w:type="auto"/>
            <w:vAlign w:val="center"/>
            <w:hideMark/>
          </w:tcPr>
          <w:p w14:paraId="5A4E49AA" w14:textId="77777777" w:rsidR="00000000" w:rsidRDefault="00195E73">
            <w:pPr>
              <w:rPr>
                <w:rFonts w:eastAsia="Times New Roman"/>
                <w:sz w:val="20"/>
                <w:szCs w:val="20"/>
              </w:rPr>
            </w:pPr>
          </w:p>
        </w:tc>
        <w:tc>
          <w:tcPr>
            <w:tcW w:w="0" w:type="auto"/>
            <w:vAlign w:val="center"/>
            <w:hideMark/>
          </w:tcPr>
          <w:p w14:paraId="086CE6C3" w14:textId="77777777" w:rsidR="00000000" w:rsidRDefault="00195E73">
            <w:pPr>
              <w:rPr>
                <w:rFonts w:eastAsia="Times New Roman"/>
                <w:sz w:val="20"/>
                <w:szCs w:val="20"/>
              </w:rPr>
            </w:pPr>
          </w:p>
        </w:tc>
        <w:tc>
          <w:tcPr>
            <w:tcW w:w="0" w:type="auto"/>
            <w:vAlign w:val="center"/>
            <w:hideMark/>
          </w:tcPr>
          <w:p w14:paraId="54DD7ECF" w14:textId="77777777" w:rsidR="00000000" w:rsidRDefault="00195E73">
            <w:pPr>
              <w:rPr>
                <w:rFonts w:eastAsia="Times New Roman"/>
                <w:sz w:val="20"/>
                <w:szCs w:val="20"/>
              </w:rPr>
            </w:pPr>
          </w:p>
        </w:tc>
        <w:tc>
          <w:tcPr>
            <w:tcW w:w="0" w:type="auto"/>
            <w:vAlign w:val="center"/>
            <w:hideMark/>
          </w:tcPr>
          <w:p w14:paraId="5056BF56" w14:textId="77777777" w:rsidR="00000000" w:rsidRDefault="00195E73">
            <w:pPr>
              <w:rPr>
                <w:rFonts w:eastAsia="Times New Roman"/>
                <w:sz w:val="20"/>
                <w:szCs w:val="20"/>
              </w:rPr>
            </w:pPr>
          </w:p>
        </w:tc>
        <w:tc>
          <w:tcPr>
            <w:tcW w:w="0" w:type="auto"/>
            <w:vAlign w:val="center"/>
            <w:hideMark/>
          </w:tcPr>
          <w:p w14:paraId="2AF734EA" w14:textId="77777777" w:rsidR="00000000" w:rsidRDefault="00195E73">
            <w:pPr>
              <w:rPr>
                <w:rFonts w:eastAsia="Times New Roman"/>
                <w:sz w:val="20"/>
                <w:szCs w:val="20"/>
              </w:rPr>
            </w:pPr>
          </w:p>
        </w:tc>
        <w:tc>
          <w:tcPr>
            <w:tcW w:w="0" w:type="auto"/>
            <w:vAlign w:val="center"/>
            <w:hideMark/>
          </w:tcPr>
          <w:p w14:paraId="68B5B359" w14:textId="77777777" w:rsidR="00000000" w:rsidRDefault="00195E73">
            <w:pPr>
              <w:rPr>
                <w:rFonts w:eastAsia="Times New Roman"/>
                <w:sz w:val="20"/>
                <w:szCs w:val="20"/>
              </w:rPr>
            </w:pPr>
          </w:p>
        </w:tc>
        <w:tc>
          <w:tcPr>
            <w:tcW w:w="0" w:type="auto"/>
            <w:vAlign w:val="center"/>
            <w:hideMark/>
          </w:tcPr>
          <w:p w14:paraId="1DAE3BF8" w14:textId="77777777" w:rsidR="00000000" w:rsidRDefault="00195E73">
            <w:pPr>
              <w:rPr>
                <w:rFonts w:eastAsia="Times New Roman"/>
                <w:sz w:val="20"/>
                <w:szCs w:val="20"/>
              </w:rPr>
            </w:pPr>
          </w:p>
        </w:tc>
        <w:tc>
          <w:tcPr>
            <w:tcW w:w="0" w:type="auto"/>
            <w:vAlign w:val="center"/>
            <w:hideMark/>
          </w:tcPr>
          <w:p w14:paraId="403F5C61" w14:textId="77777777" w:rsidR="00000000" w:rsidRDefault="00195E73">
            <w:pPr>
              <w:rPr>
                <w:rFonts w:eastAsia="Times New Roman"/>
                <w:sz w:val="20"/>
                <w:szCs w:val="20"/>
              </w:rPr>
            </w:pPr>
          </w:p>
        </w:tc>
        <w:tc>
          <w:tcPr>
            <w:tcW w:w="0" w:type="auto"/>
            <w:vAlign w:val="center"/>
            <w:hideMark/>
          </w:tcPr>
          <w:p w14:paraId="59C7D36C" w14:textId="77777777" w:rsidR="00000000" w:rsidRDefault="00195E73">
            <w:pPr>
              <w:rPr>
                <w:rFonts w:eastAsia="Times New Roman"/>
                <w:sz w:val="20"/>
                <w:szCs w:val="20"/>
              </w:rPr>
            </w:pPr>
          </w:p>
        </w:tc>
        <w:tc>
          <w:tcPr>
            <w:tcW w:w="0" w:type="auto"/>
            <w:vAlign w:val="center"/>
            <w:hideMark/>
          </w:tcPr>
          <w:p w14:paraId="6206BC6F" w14:textId="77777777" w:rsidR="00000000" w:rsidRDefault="00195E73">
            <w:pPr>
              <w:rPr>
                <w:rFonts w:eastAsia="Times New Roman"/>
                <w:sz w:val="20"/>
                <w:szCs w:val="20"/>
              </w:rPr>
            </w:pPr>
          </w:p>
        </w:tc>
      </w:tr>
      <w:tr w:rsidR="00000000" w14:paraId="5E910EE8" w14:textId="77777777">
        <w:trPr>
          <w:divId w:val="1768891319"/>
        </w:trPr>
        <w:tc>
          <w:tcPr>
            <w:tcW w:w="0" w:type="auto"/>
            <w:gridSpan w:val="3"/>
            <w:tcMar>
              <w:top w:w="15" w:type="dxa"/>
              <w:left w:w="20" w:type="dxa"/>
              <w:bottom w:w="15" w:type="dxa"/>
              <w:right w:w="20" w:type="dxa"/>
            </w:tcMar>
            <w:vAlign w:val="bottom"/>
            <w:hideMark/>
          </w:tcPr>
          <w:p w14:paraId="0DA212C1"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DB6356E"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722C8317" w14:textId="77777777" w:rsidR="00000000" w:rsidRDefault="00195E73">
            <w:pPr>
              <w:jc w:val="center"/>
              <w:rPr>
                <w:rFonts w:eastAsia="Times New Roman"/>
              </w:rPr>
            </w:pPr>
          </w:p>
        </w:tc>
        <w:tc>
          <w:tcPr>
            <w:tcW w:w="0" w:type="auto"/>
            <w:gridSpan w:val="3"/>
            <w:vAlign w:val="center"/>
            <w:hideMark/>
          </w:tcPr>
          <w:p w14:paraId="30AE0A29" w14:textId="77777777" w:rsidR="00000000" w:rsidRDefault="00195E73">
            <w:pPr>
              <w:rPr>
                <w:rFonts w:eastAsia="Times New Roman"/>
                <w:sz w:val="20"/>
                <w:szCs w:val="20"/>
              </w:rPr>
            </w:pPr>
          </w:p>
        </w:tc>
        <w:tc>
          <w:tcPr>
            <w:tcW w:w="0" w:type="auto"/>
            <w:gridSpan w:val="3"/>
            <w:vAlign w:val="center"/>
            <w:hideMark/>
          </w:tcPr>
          <w:p w14:paraId="1FC883AA" w14:textId="77777777" w:rsidR="00000000" w:rsidRDefault="00195E73">
            <w:pPr>
              <w:rPr>
                <w:rFonts w:eastAsia="Times New Roman"/>
                <w:sz w:val="20"/>
                <w:szCs w:val="20"/>
              </w:rPr>
            </w:pPr>
          </w:p>
        </w:tc>
        <w:tc>
          <w:tcPr>
            <w:tcW w:w="0" w:type="auto"/>
            <w:gridSpan w:val="3"/>
            <w:vAlign w:val="center"/>
            <w:hideMark/>
          </w:tcPr>
          <w:p w14:paraId="6A6FD025" w14:textId="77777777" w:rsidR="00000000" w:rsidRDefault="00195E73">
            <w:pPr>
              <w:rPr>
                <w:rFonts w:eastAsia="Times New Roman"/>
                <w:sz w:val="20"/>
                <w:szCs w:val="20"/>
              </w:rPr>
            </w:pPr>
          </w:p>
        </w:tc>
      </w:tr>
      <w:tr w:rsidR="00000000" w14:paraId="2E6E158E" w14:textId="77777777">
        <w:trPr>
          <w:divId w:val="1768891319"/>
        </w:trPr>
        <w:tc>
          <w:tcPr>
            <w:tcW w:w="0" w:type="auto"/>
            <w:gridSpan w:val="3"/>
            <w:shd w:val="clear" w:color="auto" w:fill="CCEEFF"/>
            <w:tcMar>
              <w:top w:w="30" w:type="dxa"/>
              <w:left w:w="20" w:type="dxa"/>
              <w:bottom w:w="30" w:type="dxa"/>
              <w:right w:w="20" w:type="dxa"/>
            </w:tcMar>
            <w:vAlign w:val="bottom"/>
            <w:hideMark/>
          </w:tcPr>
          <w:p w14:paraId="7DF5B098" w14:textId="77777777" w:rsidR="00000000" w:rsidRDefault="00195E73">
            <w:pPr>
              <w:rPr>
                <w:rFonts w:eastAsia="Times New Roman"/>
              </w:rPr>
            </w:pPr>
            <w:r>
              <w:rPr>
                <w:rFonts w:eastAsia="Times New Roman"/>
                <w:color w:val="000000"/>
                <w:sz w:val="20"/>
                <w:szCs w:val="20"/>
              </w:rPr>
              <w:t>Service cos</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14:paraId="5584C10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0ED6B6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F3F1E8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383B48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EB2814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1175F62"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8B3088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5BA37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19A3C4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5077743"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A772EC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949DE7B" w14:textId="77777777" w:rsidR="00000000" w:rsidRDefault="00195E73">
            <w:pPr>
              <w:rPr>
                <w:rFonts w:eastAsia="Times New Roman"/>
                <w:sz w:val="20"/>
                <w:szCs w:val="20"/>
              </w:rPr>
            </w:pPr>
          </w:p>
        </w:tc>
        <w:tc>
          <w:tcPr>
            <w:tcW w:w="0" w:type="auto"/>
            <w:vAlign w:val="center"/>
            <w:hideMark/>
          </w:tcPr>
          <w:p w14:paraId="01E90741" w14:textId="77777777" w:rsidR="00000000" w:rsidRDefault="00195E73">
            <w:pPr>
              <w:rPr>
                <w:rFonts w:eastAsia="Times New Roman"/>
                <w:sz w:val="20"/>
                <w:szCs w:val="20"/>
              </w:rPr>
            </w:pPr>
          </w:p>
        </w:tc>
        <w:tc>
          <w:tcPr>
            <w:tcW w:w="0" w:type="auto"/>
            <w:vAlign w:val="center"/>
            <w:hideMark/>
          </w:tcPr>
          <w:p w14:paraId="63C7F1AC" w14:textId="77777777" w:rsidR="00000000" w:rsidRDefault="00195E73">
            <w:pPr>
              <w:rPr>
                <w:rFonts w:eastAsia="Times New Roman"/>
                <w:sz w:val="20"/>
                <w:szCs w:val="20"/>
              </w:rPr>
            </w:pPr>
          </w:p>
        </w:tc>
        <w:tc>
          <w:tcPr>
            <w:tcW w:w="0" w:type="auto"/>
            <w:vAlign w:val="center"/>
            <w:hideMark/>
          </w:tcPr>
          <w:p w14:paraId="088F4202" w14:textId="77777777" w:rsidR="00000000" w:rsidRDefault="00195E73">
            <w:pPr>
              <w:rPr>
                <w:rFonts w:eastAsia="Times New Roman"/>
                <w:sz w:val="20"/>
                <w:szCs w:val="20"/>
              </w:rPr>
            </w:pPr>
          </w:p>
        </w:tc>
        <w:tc>
          <w:tcPr>
            <w:tcW w:w="0" w:type="auto"/>
            <w:vAlign w:val="center"/>
            <w:hideMark/>
          </w:tcPr>
          <w:p w14:paraId="7AE40E21" w14:textId="77777777" w:rsidR="00000000" w:rsidRDefault="00195E73">
            <w:pPr>
              <w:rPr>
                <w:rFonts w:eastAsia="Times New Roman"/>
                <w:sz w:val="20"/>
                <w:szCs w:val="20"/>
              </w:rPr>
            </w:pPr>
          </w:p>
        </w:tc>
        <w:tc>
          <w:tcPr>
            <w:tcW w:w="0" w:type="auto"/>
            <w:vAlign w:val="center"/>
            <w:hideMark/>
          </w:tcPr>
          <w:p w14:paraId="19FF0C2A" w14:textId="77777777" w:rsidR="00000000" w:rsidRDefault="00195E73">
            <w:pPr>
              <w:rPr>
                <w:rFonts w:eastAsia="Times New Roman"/>
                <w:sz w:val="20"/>
                <w:szCs w:val="20"/>
              </w:rPr>
            </w:pPr>
          </w:p>
        </w:tc>
        <w:tc>
          <w:tcPr>
            <w:tcW w:w="0" w:type="auto"/>
            <w:vAlign w:val="center"/>
            <w:hideMark/>
          </w:tcPr>
          <w:p w14:paraId="68826A9E" w14:textId="77777777" w:rsidR="00000000" w:rsidRDefault="00195E73">
            <w:pPr>
              <w:rPr>
                <w:rFonts w:eastAsia="Times New Roman"/>
                <w:sz w:val="20"/>
                <w:szCs w:val="20"/>
              </w:rPr>
            </w:pPr>
          </w:p>
        </w:tc>
        <w:tc>
          <w:tcPr>
            <w:tcW w:w="0" w:type="auto"/>
            <w:vAlign w:val="center"/>
            <w:hideMark/>
          </w:tcPr>
          <w:p w14:paraId="6E41148D" w14:textId="77777777" w:rsidR="00000000" w:rsidRDefault="00195E73">
            <w:pPr>
              <w:rPr>
                <w:rFonts w:eastAsia="Times New Roman"/>
                <w:sz w:val="20"/>
                <w:szCs w:val="20"/>
              </w:rPr>
            </w:pPr>
          </w:p>
        </w:tc>
        <w:tc>
          <w:tcPr>
            <w:tcW w:w="0" w:type="auto"/>
            <w:vAlign w:val="center"/>
            <w:hideMark/>
          </w:tcPr>
          <w:p w14:paraId="51BE474E" w14:textId="77777777" w:rsidR="00000000" w:rsidRDefault="00195E73">
            <w:pPr>
              <w:rPr>
                <w:rFonts w:eastAsia="Times New Roman"/>
                <w:sz w:val="20"/>
                <w:szCs w:val="20"/>
              </w:rPr>
            </w:pPr>
          </w:p>
        </w:tc>
        <w:tc>
          <w:tcPr>
            <w:tcW w:w="0" w:type="auto"/>
            <w:vAlign w:val="center"/>
            <w:hideMark/>
          </w:tcPr>
          <w:p w14:paraId="0BC24C56" w14:textId="77777777" w:rsidR="00000000" w:rsidRDefault="00195E73">
            <w:pPr>
              <w:rPr>
                <w:rFonts w:eastAsia="Times New Roman"/>
                <w:sz w:val="20"/>
                <w:szCs w:val="20"/>
              </w:rPr>
            </w:pPr>
          </w:p>
        </w:tc>
        <w:tc>
          <w:tcPr>
            <w:tcW w:w="0" w:type="auto"/>
            <w:vAlign w:val="center"/>
            <w:hideMark/>
          </w:tcPr>
          <w:p w14:paraId="37F74048" w14:textId="77777777" w:rsidR="00000000" w:rsidRDefault="00195E73">
            <w:pPr>
              <w:rPr>
                <w:rFonts w:eastAsia="Times New Roman"/>
                <w:sz w:val="20"/>
                <w:szCs w:val="20"/>
              </w:rPr>
            </w:pPr>
          </w:p>
        </w:tc>
        <w:tc>
          <w:tcPr>
            <w:tcW w:w="0" w:type="auto"/>
            <w:vAlign w:val="center"/>
            <w:hideMark/>
          </w:tcPr>
          <w:p w14:paraId="2369D71C" w14:textId="77777777" w:rsidR="00000000" w:rsidRDefault="00195E73">
            <w:pPr>
              <w:rPr>
                <w:rFonts w:eastAsia="Times New Roman"/>
                <w:sz w:val="20"/>
                <w:szCs w:val="20"/>
              </w:rPr>
            </w:pPr>
          </w:p>
        </w:tc>
      </w:tr>
      <w:tr w:rsidR="00000000" w14:paraId="2CA8AC82" w14:textId="77777777">
        <w:trPr>
          <w:divId w:val="1768891319"/>
        </w:trPr>
        <w:tc>
          <w:tcPr>
            <w:tcW w:w="0" w:type="auto"/>
            <w:gridSpan w:val="3"/>
            <w:shd w:val="clear" w:color="auto" w:fill="FFFFFF"/>
            <w:tcMar>
              <w:top w:w="30" w:type="dxa"/>
              <w:left w:w="20" w:type="dxa"/>
              <w:bottom w:w="30" w:type="dxa"/>
              <w:right w:w="20" w:type="dxa"/>
            </w:tcMar>
            <w:vAlign w:val="bottom"/>
            <w:hideMark/>
          </w:tcPr>
          <w:p w14:paraId="503DADE5" w14:textId="77777777" w:rsidR="00000000" w:rsidRDefault="00195E73">
            <w:pPr>
              <w:rPr>
                <w:rFonts w:eastAsia="Times New Roman"/>
              </w:rPr>
            </w:pPr>
            <w:r>
              <w:rPr>
                <w:rFonts w:eastAsia="Times New Roman"/>
                <w:color w:val="000000"/>
                <w:sz w:val="20"/>
                <w:szCs w:val="20"/>
              </w:rPr>
              <w:t>Interest cos</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694504B4" w14:textId="77777777" w:rsidR="00000000" w:rsidRDefault="00195E73">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7D2576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B70582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F36195" w14:textId="77777777" w:rsidR="00000000" w:rsidRDefault="00195E73">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6F363A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41CA7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00184F"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BB15E9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E85F902" w14:textId="77777777" w:rsidR="00000000" w:rsidRDefault="00195E73">
            <w:pPr>
              <w:rPr>
                <w:rFonts w:eastAsia="Times New Roman"/>
                <w:sz w:val="20"/>
                <w:szCs w:val="20"/>
              </w:rPr>
            </w:pPr>
          </w:p>
        </w:tc>
        <w:tc>
          <w:tcPr>
            <w:tcW w:w="0" w:type="auto"/>
            <w:vAlign w:val="center"/>
            <w:hideMark/>
          </w:tcPr>
          <w:p w14:paraId="14AE7FC5" w14:textId="77777777" w:rsidR="00000000" w:rsidRDefault="00195E73">
            <w:pPr>
              <w:rPr>
                <w:rFonts w:eastAsia="Times New Roman"/>
                <w:sz w:val="20"/>
                <w:szCs w:val="20"/>
              </w:rPr>
            </w:pPr>
          </w:p>
        </w:tc>
        <w:tc>
          <w:tcPr>
            <w:tcW w:w="0" w:type="auto"/>
            <w:vAlign w:val="center"/>
            <w:hideMark/>
          </w:tcPr>
          <w:p w14:paraId="05686B55" w14:textId="77777777" w:rsidR="00000000" w:rsidRDefault="00195E73">
            <w:pPr>
              <w:rPr>
                <w:rFonts w:eastAsia="Times New Roman"/>
                <w:sz w:val="20"/>
                <w:szCs w:val="20"/>
              </w:rPr>
            </w:pPr>
          </w:p>
        </w:tc>
        <w:tc>
          <w:tcPr>
            <w:tcW w:w="0" w:type="auto"/>
            <w:vAlign w:val="center"/>
            <w:hideMark/>
          </w:tcPr>
          <w:p w14:paraId="11EA494A" w14:textId="77777777" w:rsidR="00000000" w:rsidRDefault="00195E73">
            <w:pPr>
              <w:rPr>
                <w:rFonts w:eastAsia="Times New Roman"/>
                <w:sz w:val="20"/>
                <w:szCs w:val="20"/>
              </w:rPr>
            </w:pPr>
          </w:p>
        </w:tc>
        <w:tc>
          <w:tcPr>
            <w:tcW w:w="0" w:type="auto"/>
            <w:vAlign w:val="center"/>
            <w:hideMark/>
          </w:tcPr>
          <w:p w14:paraId="640A5234" w14:textId="77777777" w:rsidR="00000000" w:rsidRDefault="00195E73">
            <w:pPr>
              <w:rPr>
                <w:rFonts w:eastAsia="Times New Roman"/>
                <w:sz w:val="20"/>
                <w:szCs w:val="20"/>
              </w:rPr>
            </w:pPr>
          </w:p>
        </w:tc>
        <w:tc>
          <w:tcPr>
            <w:tcW w:w="0" w:type="auto"/>
            <w:vAlign w:val="center"/>
            <w:hideMark/>
          </w:tcPr>
          <w:p w14:paraId="7B00892D" w14:textId="77777777" w:rsidR="00000000" w:rsidRDefault="00195E73">
            <w:pPr>
              <w:rPr>
                <w:rFonts w:eastAsia="Times New Roman"/>
                <w:sz w:val="20"/>
                <w:szCs w:val="20"/>
              </w:rPr>
            </w:pPr>
          </w:p>
        </w:tc>
        <w:tc>
          <w:tcPr>
            <w:tcW w:w="0" w:type="auto"/>
            <w:vAlign w:val="center"/>
            <w:hideMark/>
          </w:tcPr>
          <w:p w14:paraId="5E9B7FF4" w14:textId="77777777" w:rsidR="00000000" w:rsidRDefault="00195E73">
            <w:pPr>
              <w:rPr>
                <w:rFonts w:eastAsia="Times New Roman"/>
                <w:sz w:val="20"/>
                <w:szCs w:val="20"/>
              </w:rPr>
            </w:pPr>
          </w:p>
        </w:tc>
        <w:tc>
          <w:tcPr>
            <w:tcW w:w="0" w:type="auto"/>
            <w:vAlign w:val="center"/>
            <w:hideMark/>
          </w:tcPr>
          <w:p w14:paraId="0E88902E" w14:textId="77777777" w:rsidR="00000000" w:rsidRDefault="00195E73">
            <w:pPr>
              <w:rPr>
                <w:rFonts w:eastAsia="Times New Roman"/>
                <w:sz w:val="20"/>
                <w:szCs w:val="20"/>
              </w:rPr>
            </w:pPr>
          </w:p>
        </w:tc>
        <w:tc>
          <w:tcPr>
            <w:tcW w:w="0" w:type="auto"/>
            <w:vAlign w:val="center"/>
            <w:hideMark/>
          </w:tcPr>
          <w:p w14:paraId="280FF4B4" w14:textId="77777777" w:rsidR="00000000" w:rsidRDefault="00195E73">
            <w:pPr>
              <w:rPr>
                <w:rFonts w:eastAsia="Times New Roman"/>
                <w:sz w:val="20"/>
                <w:szCs w:val="20"/>
              </w:rPr>
            </w:pPr>
          </w:p>
        </w:tc>
        <w:tc>
          <w:tcPr>
            <w:tcW w:w="0" w:type="auto"/>
            <w:vAlign w:val="center"/>
            <w:hideMark/>
          </w:tcPr>
          <w:p w14:paraId="072B5584" w14:textId="77777777" w:rsidR="00000000" w:rsidRDefault="00195E73">
            <w:pPr>
              <w:rPr>
                <w:rFonts w:eastAsia="Times New Roman"/>
                <w:sz w:val="20"/>
                <w:szCs w:val="20"/>
              </w:rPr>
            </w:pPr>
          </w:p>
        </w:tc>
        <w:tc>
          <w:tcPr>
            <w:tcW w:w="0" w:type="auto"/>
            <w:vAlign w:val="center"/>
            <w:hideMark/>
          </w:tcPr>
          <w:p w14:paraId="247C5E4E" w14:textId="77777777" w:rsidR="00000000" w:rsidRDefault="00195E73">
            <w:pPr>
              <w:rPr>
                <w:rFonts w:eastAsia="Times New Roman"/>
                <w:sz w:val="20"/>
                <w:szCs w:val="20"/>
              </w:rPr>
            </w:pPr>
          </w:p>
        </w:tc>
        <w:tc>
          <w:tcPr>
            <w:tcW w:w="0" w:type="auto"/>
            <w:vAlign w:val="center"/>
            <w:hideMark/>
          </w:tcPr>
          <w:p w14:paraId="523A9666" w14:textId="77777777" w:rsidR="00000000" w:rsidRDefault="00195E73">
            <w:pPr>
              <w:rPr>
                <w:rFonts w:eastAsia="Times New Roman"/>
                <w:sz w:val="20"/>
                <w:szCs w:val="20"/>
              </w:rPr>
            </w:pPr>
          </w:p>
        </w:tc>
      </w:tr>
      <w:tr w:rsidR="00000000" w14:paraId="6148EBB2" w14:textId="77777777">
        <w:trPr>
          <w:divId w:val="1768891319"/>
        </w:trPr>
        <w:tc>
          <w:tcPr>
            <w:tcW w:w="0" w:type="auto"/>
            <w:gridSpan w:val="3"/>
            <w:shd w:val="clear" w:color="auto" w:fill="CCEEFF"/>
            <w:tcMar>
              <w:top w:w="30" w:type="dxa"/>
              <w:left w:w="20" w:type="dxa"/>
              <w:bottom w:w="30" w:type="dxa"/>
              <w:right w:w="20" w:type="dxa"/>
            </w:tcMar>
            <w:vAlign w:val="bottom"/>
            <w:hideMark/>
          </w:tcPr>
          <w:p w14:paraId="5DEECED1" w14:textId="77777777" w:rsidR="00000000" w:rsidRDefault="00195E73">
            <w:pPr>
              <w:rPr>
                <w:rFonts w:eastAsia="Times New Roman"/>
              </w:rPr>
            </w:pPr>
            <w:r>
              <w:rPr>
                <w:rFonts w:eastAsia="Times New Roman"/>
                <w:color w:val="000000"/>
                <w:sz w:val="20"/>
                <w:szCs w:val="20"/>
              </w:rPr>
              <w:t>Expected return on plan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D810EBB"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B1ED78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93E32D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319781"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38E26A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6C9E2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FBB900" w14:textId="77777777" w:rsidR="00000000" w:rsidRDefault="00195E73">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7F4FA6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C366315" w14:textId="77777777" w:rsidR="00000000" w:rsidRDefault="00195E73">
            <w:pPr>
              <w:rPr>
                <w:rFonts w:eastAsia="Times New Roman"/>
                <w:sz w:val="20"/>
                <w:szCs w:val="20"/>
              </w:rPr>
            </w:pPr>
          </w:p>
        </w:tc>
        <w:tc>
          <w:tcPr>
            <w:tcW w:w="0" w:type="auto"/>
            <w:vAlign w:val="center"/>
            <w:hideMark/>
          </w:tcPr>
          <w:p w14:paraId="0D840289" w14:textId="77777777" w:rsidR="00000000" w:rsidRDefault="00195E73">
            <w:pPr>
              <w:rPr>
                <w:rFonts w:eastAsia="Times New Roman"/>
                <w:sz w:val="20"/>
                <w:szCs w:val="20"/>
              </w:rPr>
            </w:pPr>
          </w:p>
        </w:tc>
        <w:tc>
          <w:tcPr>
            <w:tcW w:w="0" w:type="auto"/>
            <w:vAlign w:val="center"/>
            <w:hideMark/>
          </w:tcPr>
          <w:p w14:paraId="1C61F672" w14:textId="77777777" w:rsidR="00000000" w:rsidRDefault="00195E73">
            <w:pPr>
              <w:rPr>
                <w:rFonts w:eastAsia="Times New Roman"/>
                <w:sz w:val="20"/>
                <w:szCs w:val="20"/>
              </w:rPr>
            </w:pPr>
          </w:p>
        </w:tc>
        <w:tc>
          <w:tcPr>
            <w:tcW w:w="0" w:type="auto"/>
            <w:vAlign w:val="center"/>
            <w:hideMark/>
          </w:tcPr>
          <w:p w14:paraId="7538417D" w14:textId="77777777" w:rsidR="00000000" w:rsidRDefault="00195E73">
            <w:pPr>
              <w:rPr>
                <w:rFonts w:eastAsia="Times New Roman"/>
                <w:sz w:val="20"/>
                <w:szCs w:val="20"/>
              </w:rPr>
            </w:pPr>
          </w:p>
        </w:tc>
        <w:tc>
          <w:tcPr>
            <w:tcW w:w="0" w:type="auto"/>
            <w:vAlign w:val="center"/>
            <w:hideMark/>
          </w:tcPr>
          <w:p w14:paraId="0A353C98" w14:textId="77777777" w:rsidR="00000000" w:rsidRDefault="00195E73">
            <w:pPr>
              <w:rPr>
                <w:rFonts w:eastAsia="Times New Roman"/>
                <w:sz w:val="20"/>
                <w:szCs w:val="20"/>
              </w:rPr>
            </w:pPr>
          </w:p>
        </w:tc>
        <w:tc>
          <w:tcPr>
            <w:tcW w:w="0" w:type="auto"/>
            <w:vAlign w:val="center"/>
            <w:hideMark/>
          </w:tcPr>
          <w:p w14:paraId="37624127" w14:textId="77777777" w:rsidR="00000000" w:rsidRDefault="00195E73">
            <w:pPr>
              <w:rPr>
                <w:rFonts w:eastAsia="Times New Roman"/>
                <w:sz w:val="20"/>
                <w:szCs w:val="20"/>
              </w:rPr>
            </w:pPr>
          </w:p>
        </w:tc>
        <w:tc>
          <w:tcPr>
            <w:tcW w:w="0" w:type="auto"/>
            <w:vAlign w:val="center"/>
            <w:hideMark/>
          </w:tcPr>
          <w:p w14:paraId="4F6A35E8" w14:textId="77777777" w:rsidR="00000000" w:rsidRDefault="00195E73">
            <w:pPr>
              <w:rPr>
                <w:rFonts w:eastAsia="Times New Roman"/>
                <w:sz w:val="20"/>
                <w:szCs w:val="20"/>
              </w:rPr>
            </w:pPr>
          </w:p>
        </w:tc>
        <w:tc>
          <w:tcPr>
            <w:tcW w:w="0" w:type="auto"/>
            <w:vAlign w:val="center"/>
            <w:hideMark/>
          </w:tcPr>
          <w:p w14:paraId="38A2DCB9" w14:textId="77777777" w:rsidR="00000000" w:rsidRDefault="00195E73">
            <w:pPr>
              <w:rPr>
                <w:rFonts w:eastAsia="Times New Roman"/>
                <w:sz w:val="20"/>
                <w:szCs w:val="20"/>
              </w:rPr>
            </w:pPr>
          </w:p>
        </w:tc>
        <w:tc>
          <w:tcPr>
            <w:tcW w:w="0" w:type="auto"/>
            <w:vAlign w:val="center"/>
            <w:hideMark/>
          </w:tcPr>
          <w:p w14:paraId="5AFA7E12" w14:textId="77777777" w:rsidR="00000000" w:rsidRDefault="00195E73">
            <w:pPr>
              <w:rPr>
                <w:rFonts w:eastAsia="Times New Roman"/>
                <w:sz w:val="20"/>
                <w:szCs w:val="20"/>
              </w:rPr>
            </w:pPr>
          </w:p>
        </w:tc>
        <w:tc>
          <w:tcPr>
            <w:tcW w:w="0" w:type="auto"/>
            <w:vAlign w:val="center"/>
            <w:hideMark/>
          </w:tcPr>
          <w:p w14:paraId="56C362B6" w14:textId="77777777" w:rsidR="00000000" w:rsidRDefault="00195E73">
            <w:pPr>
              <w:rPr>
                <w:rFonts w:eastAsia="Times New Roman"/>
                <w:sz w:val="20"/>
                <w:szCs w:val="20"/>
              </w:rPr>
            </w:pPr>
          </w:p>
        </w:tc>
        <w:tc>
          <w:tcPr>
            <w:tcW w:w="0" w:type="auto"/>
            <w:vAlign w:val="center"/>
            <w:hideMark/>
          </w:tcPr>
          <w:p w14:paraId="20AEC8B8" w14:textId="77777777" w:rsidR="00000000" w:rsidRDefault="00195E73">
            <w:pPr>
              <w:rPr>
                <w:rFonts w:eastAsia="Times New Roman"/>
                <w:sz w:val="20"/>
                <w:szCs w:val="20"/>
              </w:rPr>
            </w:pPr>
          </w:p>
        </w:tc>
        <w:tc>
          <w:tcPr>
            <w:tcW w:w="0" w:type="auto"/>
            <w:vAlign w:val="center"/>
            <w:hideMark/>
          </w:tcPr>
          <w:p w14:paraId="6C570432" w14:textId="77777777" w:rsidR="00000000" w:rsidRDefault="00195E73">
            <w:pPr>
              <w:rPr>
                <w:rFonts w:eastAsia="Times New Roman"/>
                <w:sz w:val="20"/>
                <w:szCs w:val="20"/>
              </w:rPr>
            </w:pPr>
          </w:p>
        </w:tc>
      </w:tr>
      <w:tr w:rsidR="00000000" w14:paraId="6403C971" w14:textId="77777777">
        <w:trPr>
          <w:divId w:val="1768891319"/>
        </w:trPr>
        <w:tc>
          <w:tcPr>
            <w:tcW w:w="0" w:type="auto"/>
            <w:gridSpan w:val="3"/>
            <w:shd w:val="clear" w:color="auto" w:fill="FFFFFF"/>
            <w:tcMar>
              <w:top w:w="30" w:type="dxa"/>
              <w:left w:w="20" w:type="dxa"/>
              <w:bottom w:w="30" w:type="dxa"/>
              <w:right w:w="20" w:type="dxa"/>
            </w:tcMar>
            <w:vAlign w:val="bottom"/>
            <w:hideMark/>
          </w:tcPr>
          <w:p w14:paraId="4586FD7B" w14:textId="77777777" w:rsidR="00000000" w:rsidRDefault="00195E73">
            <w:pPr>
              <w:rPr>
                <w:rFonts w:eastAsia="Times New Roman"/>
              </w:rPr>
            </w:pPr>
            <w:r>
              <w:rPr>
                <w:rFonts w:eastAsia="Times New Roman"/>
                <w:color w:val="000000"/>
                <w:sz w:val="20"/>
                <w:szCs w:val="20"/>
              </w:rPr>
              <w:t>Amortization of actuarial losse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6B72E26"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C72592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9D3C00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79CA17"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A4ACB7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26D736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F1B71F"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30B05C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8E9F504" w14:textId="77777777" w:rsidR="00000000" w:rsidRDefault="00195E73">
            <w:pPr>
              <w:rPr>
                <w:rFonts w:eastAsia="Times New Roman"/>
                <w:sz w:val="20"/>
                <w:szCs w:val="20"/>
              </w:rPr>
            </w:pPr>
          </w:p>
        </w:tc>
        <w:tc>
          <w:tcPr>
            <w:tcW w:w="0" w:type="auto"/>
            <w:vAlign w:val="center"/>
            <w:hideMark/>
          </w:tcPr>
          <w:p w14:paraId="5269841A" w14:textId="77777777" w:rsidR="00000000" w:rsidRDefault="00195E73">
            <w:pPr>
              <w:rPr>
                <w:rFonts w:eastAsia="Times New Roman"/>
                <w:sz w:val="20"/>
                <w:szCs w:val="20"/>
              </w:rPr>
            </w:pPr>
          </w:p>
        </w:tc>
        <w:tc>
          <w:tcPr>
            <w:tcW w:w="0" w:type="auto"/>
            <w:vAlign w:val="center"/>
            <w:hideMark/>
          </w:tcPr>
          <w:p w14:paraId="34FDB7A2" w14:textId="77777777" w:rsidR="00000000" w:rsidRDefault="00195E73">
            <w:pPr>
              <w:rPr>
                <w:rFonts w:eastAsia="Times New Roman"/>
                <w:sz w:val="20"/>
                <w:szCs w:val="20"/>
              </w:rPr>
            </w:pPr>
          </w:p>
        </w:tc>
        <w:tc>
          <w:tcPr>
            <w:tcW w:w="0" w:type="auto"/>
            <w:vAlign w:val="center"/>
            <w:hideMark/>
          </w:tcPr>
          <w:p w14:paraId="047A81B2" w14:textId="77777777" w:rsidR="00000000" w:rsidRDefault="00195E73">
            <w:pPr>
              <w:rPr>
                <w:rFonts w:eastAsia="Times New Roman"/>
                <w:sz w:val="20"/>
                <w:szCs w:val="20"/>
              </w:rPr>
            </w:pPr>
          </w:p>
        </w:tc>
        <w:tc>
          <w:tcPr>
            <w:tcW w:w="0" w:type="auto"/>
            <w:vAlign w:val="center"/>
            <w:hideMark/>
          </w:tcPr>
          <w:p w14:paraId="6ACE33D9" w14:textId="77777777" w:rsidR="00000000" w:rsidRDefault="00195E73">
            <w:pPr>
              <w:rPr>
                <w:rFonts w:eastAsia="Times New Roman"/>
                <w:sz w:val="20"/>
                <w:szCs w:val="20"/>
              </w:rPr>
            </w:pPr>
          </w:p>
        </w:tc>
        <w:tc>
          <w:tcPr>
            <w:tcW w:w="0" w:type="auto"/>
            <w:vAlign w:val="center"/>
            <w:hideMark/>
          </w:tcPr>
          <w:p w14:paraId="03A7EFCA" w14:textId="77777777" w:rsidR="00000000" w:rsidRDefault="00195E73">
            <w:pPr>
              <w:rPr>
                <w:rFonts w:eastAsia="Times New Roman"/>
                <w:sz w:val="20"/>
                <w:szCs w:val="20"/>
              </w:rPr>
            </w:pPr>
          </w:p>
        </w:tc>
        <w:tc>
          <w:tcPr>
            <w:tcW w:w="0" w:type="auto"/>
            <w:vAlign w:val="center"/>
            <w:hideMark/>
          </w:tcPr>
          <w:p w14:paraId="5CA6D7D8" w14:textId="77777777" w:rsidR="00000000" w:rsidRDefault="00195E73">
            <w:pPr>
              <w:rPr>
                <w:rFonts w:eastAsia="Times New Roman"/>
                <w:sz w:val="20"/>
                <w:szCs w:val="20"/>
              </w:rPr>
            </w:pPr>
          </w:p>
        </w:tc>
        <w:tc>
          <w:tcPr>
            <w:tcW w:w="0" w:type="auto"/>
            <w:vAlign w:val="center"/>
            <w:hideMark/>
          </w:tcPr>
          <w:p w14:paraId="07B373E8" w14:textId="77777777" w:rsidR="00000000" w:rsidRDefault="00195E73">
            <w:pPr>
              <w:rPr>
                <w:rFonts w:eastAsia="Times New Roman"/>
                <w:sz w:val="20"/>
                <w:szCs w:val="20"/>
              </w:rPr>
            </w:pPr>
          </w:p>
        </w:tc>
        <w:tc>
          <w:tcPr>
            <w:tcW w:w="0" w:type="auto"/>
            <w:vAlign w:val="center"/>
            <w:hideMark/>
          </w:tcPr>
          <w:p w14:paraId="0A72371E" w14:textId="77777777" w:rsidR="00000000" w:rsidRDefault="00195E73">
            <w:pPr>
              <w:rPr>
                <w:rFonts w:eastAsia="Times New Roman"/>
                <w:sz w:val="20"/>
                <w:szCs w:val="20"/>
              </w:rPr>
            </w:pPr>
          </w:p>
        </w:tc>
        <w:tc>
          <w:tcPr>
            <w:tcW w:w="0" w:type="auto"/>
            <w:vAlign w:val="center"/>
            <w:hideMark/>
          </w:tcPr>
          <w:p w14:paraId="5AB93757" w14:textId="77777777" w:rsidR="00000000" w:rsidRDefault="00195E73">
            <w:pPr>
              <w:rPr>
                <w:rFonts w:eastAsia="Times New Roman"/>
                <w:sz w:val="20"/>
                <w:szCs w:val="20"/>
              </w:rPr>
            </w:pPr>
          </w:p>
        </w:tc>
        <w:tc>
          <w:tcPr>
            <w:tcW w:w="0" w:type="auto"/>
            <w:vAlign w:val="center"/>
            <w:hideMark/>
          </w:tcPr>
          <w:p w14:paraId="0E8CDC5A" w14:textId="77777777" w:rsidR="00000000" w:rsidRDefault="00195E73">
            <w:pPr>
              <w:rPr>
                <w:rFonts w:eastAsia="Times New Roman"/>
                <w:sz w:val="20"/>
                <w:szCs w:val="20"/>
              </w:rPr>
            </w:pPr>
          </w:p>
        </w:tc>
        <w:tc>
          <w:tcPr>
            <w:tcW w:w="0" w:type="auto"/>
            <w:vAlign w:val="center"/>
            <w:hideMark/>
          </w:tcPr>
          <w:p w14:paraId="4CEE10B5" w14:textId="77777777" w:rsidR="00000000" w:rsidRDefault="00195E73">
            <w:pPr>
              <w:rPr>
                <w:rFonts w:eastAsia="Times New Roman"/>
                <w:sz w:val="20"/>
                <w:szCs w:val="20"/>
              </w:rPr>
            </w:pPr>
          </w:p>
        </w:tc>
      </w:tr>
      <w:tr w:rsidR="00000000" w14:paraId="1868C0BF" w14:textId="77777777">
        <w:trPr>
          <w:divId w:val="1768891319"/>
        </w:trPr>
        <w:tc>
          <w:tcPr>
            <w:tcW w:w="0" w:type="auto"/>
            <w:gridSpan w:val="3"/>
            <w:shd w:val="clear" w:color="auto" w:fill="CCEEFF"/>
            <w:tcMar>
              <w:top w:w="30" w:type="dxa"/>
              <w:left w:w="20" w:type="dxa"/>
              <w:bottom w:w="30" w:type="dxa"/>
              <w:right w:w="20" w:type="dxa"/>
            </w:tcMar>
            <w:vAlign w:val="bottom"/>
            <w:hideMark/>
          </w:tcPr>
          <w:p w14:paraId="0053DE27" w14:textId="77777777" w:rsidR="00000000" w:rsidRDefault="00195E73">
            <w:pPr>
              <w:rPr>
                <w:rFonts w:eastAsia="Times New Roman"/>
              </w:rPr>
            </w:pPr>
            <w:r>
              <w:rPr>
                <w:rFonts w:eastAsia="Times New Roman"/>
                <w:color w:val="000000"/>
                <w:sz w:val="20"/>
                <w:szCs w:val="20"/>
              </w:rPr>
              <w:t>Settlement loss recognize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2C7E3970"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16E4B2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F466B7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949815"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E9B2E5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24D180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A03B6F"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814D83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2B73CA6" w14:textId="77777777" w:rsidR="00000000" w:rsidRDefault="00195E73">
            <w:pPr>
              <w:rPr>
                <w:rFonts w:eastAsia="Times New Roman"/>
                <w:sz w:val="20"/>
                <w:szCs w:val="20"/>
              </w:rPr>
            </w:pPr>
          </w:p>
        </w:tc>
        <w:tc>
          <w:tcPr>
            <w:tcW w:w="0" w:type="auto"/>
            <w:vAlign w:val="center"/>
            <w:hideMark/>
          </w:tcPr>
          <w:p w14:paraId="5A9E8C96" w14:textId="77777777" w:rsidR="00000000" w:rsidRDefault="00195E73">
            <w:pPr>
              <w:rPr>
                <w:rFonts w:eastAsia="Times New Roman"/>
                <w:sz w:val="20"/>
                <w:szCs w:val="20"/>
              </w:rPr>
            </w:pPr>
          </w:p>
        </w:tc>
        <w:tc>
          <w:tcPr>
            <w:tcW w:w="0" w:type="auto"/>
            <w:vAlign w:val="center"/>
            <w:hideMark/>
          </w:tcPr>
          <w:p w14:paraId="0F843FFF" w14:textId="77777777" w:rsidR="00000000" w:rsidRDefault="00195E73">
            <w:pPr>
              <w:rPr>
                <w:rFonts w:eastAsia="Times New Roman"/>
                <w:sz w:val="20"/>
                <w:szCs w:val="20"/>
              </w:rPr>
            </w:pPr>
          </w:p>
        </w:tc>
        <w:tc>
          <w:tcPr>
            <w:tcW w:w="0" w:type="auto"/>
            <w:vAlign w:val="center"/>
            <w:hideMark/>
          </w:tcPr>
          <w:p w14:paraId="5F97C385" w14:textId="77777777" w:rsidR="00000000" w:rsidRDefault="00195E73">
            <w:pPr>
              <w:rPr>
                <w:rFonts w:eastAsia="Times New Roman"/>
                <w:sz w:val="20"/>
                <w:szCs w:val="20"/>
              </w:rPr>
            </w:pPr>
          </w:p>
        </w:tc>
        <w:tc>
          <w:tcPr>
            <w:tcW w:w="0" w:type="auto"/>
            <w:vAlign w:val="center"/>
            <w:hideMark/>
          </w:tcPr>
          <w:p w14:paraId="5C34B3C2" w14:textId="77777777" w:rsidR="00000000" w:rsidRDefault="00195E73">
            <w:pPr>
              <w:rPr>
                <w:rFonts w:eastAsia="Times New Roman"/>
                <w:sz w:val="20"/>
                <w:szCs w:val="20"/>
              </w:rPr>
            </w:pPr>
          </w:p>
        </w:tc>
        <w:tc>
          <w:tcPr>
            <w:tcW w:w="0" w:type="auto"/>
            <w:vAlign w:val="center"/>
            <w:hideMark/>
          </w:tcPr>
          <w:p w14:paraId="6CE10FA3" w14:textId="77777777" w:rsidR="00000000" w:rsidRDefault="00195E73">
            <w:pPr>
              <w:rPr>
                <w:rFonts w:eastAsia="Times New Roman"/>
                <w:sz w:val="20"/>
                <w:szCs w:val="20"/>
              </w:rPr>
            </w:pPr>
          </w:p>
        </w:tc>
        <w:tc>
          <w:tcPr>
            <w:tcW w:w="0" w:type="auto"/>
            <w:vAlign w:val="center"/>
            <w:hideMark/>
          </w:tcPr>
          <w:p w14:paraId="1121CB37" w14:textId="77777777" w:rsidR="00000000" w:rsidRDefault="00195E73">
            <w:pPr>
              <w:rPr>
                <w:rFonts w:eastAsia="Times New Roman"/>
                <w:sz w:val="20"/>
                <w:szCs w:val="20"/>
              </w:rPr>
            </w:pPr>
          </w:p>
        </w:tc>
        <w:tc>
          <w:tcPr>
            <w:tcW w:w="0" w:type="auto"/>
            <w:vAlign w:val="center"/>
            <w:hideMark/>
          </w:tcPr>
          <w:p w14:paraId="587DBF24" w14:textId="77777777" w:rsidR="00000000" w:rsidRDefault="00195E73">
            <w:pPr>
              <w:rPr>
                <w:rFonts w:eastAsia="Times New Roman"/>
                <w:sz w:val="20"/>
                <w:szCs w:val="20"/>
              </w:rPr>
            </w:pPr>
          </w:p>
        </w:tc>
        <w:tc>
          <w:tcPr>
            <w:tcW w:w="0" w:type="auto"/>
            <w:vAlign w:val="center"/>
            <w:hideMark/>
          </w:tcPr>
          <w:p w14:paraId="6B1AB0D3" w14:textId="77777777" w:rsidR="00000000" w:rsidRDefault="00195E73">
            <w:pPr>
              <w:rPr>
                <w:rFonts w:eastAsia="Times New Roman"/>
                <w:sz w:val="20"/>
                <w:szCs w:val="20"/>
              </w:rPr>
            </w:pPr>
          </w:p>
        </w:tc>
        <w:tc>
          <w:tcPr>
            <w:tcW w:w="0" w:type="auto"/>
            <w:vAlign w:val="center"/>
            <w:hideMark/>
          </w:tcPr>
          <w:p w14:paraId="79FE8C4E" w14:textId="77777777" w:rsidR="00000000" w:rsidRDefault="00195E73">
            <w:pPr>
              <w:rPr>
                <w:rFonts w:eastAsia="Times New Roman"/>
                <w:sz w:val="20"/>
                <w:szCs w:val="20"/>
              </w:rPr>
            </w:pPr>
          </w:p>
        </w:tc>
        <w:tc>
          <w:tcPr>
            <w:tcW w:w="0" w:type="auto"/>
            <w:vAlign w:val="center"/>
            <w:hideMark/>
          </w:tcPr>
          <w:p w14:paraId="35597DB4" w14:textId="77777777" w:rsidR="00000000" w:rsidRDefault="00195E73">
            <w:pPr>
              <w:rPr>
                <w:rFonts w:eastAsia="Times New Roman"/>
                <w:sz w:val="20"/>
                <w:szCs w:val="20"/>
              </w:rPr>
            </w:pPr>
          </w:p>
        </w:tc>
        <w:tc>
          <w:tcPr>
            <w:tcW w:w="0" w:type="auto"/>
            <w:vAlign w:val="center"/>
            <w:hideMark/>
          </w:tcPr>
          <w:p w14:paraId="4538357C" w14:textId="77777777" w:rsidR="00000000" w:rsidRDefault="00195E73">
            <w:pPr>
              <w:rPr>
                <w:rFonts w:eastAsia="Times New Roman"/>
                <w:sz w:val="20"/>
                <w:szCs w:val="20"/>
              </w:rPr>
            </w:pPr>
          </w:p>
        </w:tc>
      </w:tr>
      <w:tr w:rsidR="00000000" w14:paraId="7773D79F" w14:textId="77777777">
        <w:trPr>
          <w:divId w:val="1768891319"/>
        </w:trPr>
        <w:tc>
          <w:tcPr>
            <w:tcW w:w="0" w:type="auto"/>
            <w:gridSpan w:val="3"/>
            <w:shd w:val="clear" w:color="auto" w:fill="FFFFFF"/>
            <w:tcMar>
              <w:top w:w="15" w:type="dxa"/>
              <w:left w:w="20" w:type="dxa"/>
              <w:bottom w:w="15" w:type="dxa"/>
              <w:right w:w="20" w:type="dxa"/>
            </w:tcMar>
            <w:vAlign w:val="bottom"/>
            <w:hideMark/>
          </w:tcPr>
          <w:p w14:paraId="05B72C0B"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F214E8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BCD80A9"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5CD860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89C4C1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F20882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E14A3B9" w14:textId="77777777" w:rsidR="00000000" w:rsidRDefault="00195E73">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8D9E2B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9DAB57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671225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D3EA08C" w14:textId="77777777" w:rsidR="00000000" w:rsidRDefault="00195E73">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6A1DEE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AF0CE56" w14:textId="77777777" w:rsidR="00000000" w:rsidRDefault="00195E73">
            <w:pPr>
              <w:rPr>
                <w:rFonts w:eastAsia="Times New Roman"/>
                <w:sz w:val="20"/>
                <w:szCs w:val="20"/>
              </w:rPr>
            </w:pPr>
          </w:p>
        </w:tc>
        <w:tc>
          <w:tcPr>
            <w:tcW w:w="0" w:type="auto"/>
            <w:vAlign w:val="center"/>
            <w:hideMark/>
          </w:tcPr>
          <w:p w14:paraId="5328763C" w14:textId="77777777" w:rsidR="00000000" w:rsidRDefault="00195E73">
            <w:pPr>
              <w:rPr>
                <w:rFonts w:eastAsia="Times New Roman"/>
                <w:sz w:val="20"/>
                <w:szCs w:val="20"/>
              </w:rPr>
            </w:pPr>
          </w:p>
        </w:tc>
        <w:tc>
          <w:tcPr>
            <w:tcW w:w="0" w:type="auto"/>
            <w:vAlign w:val="center"/>
            <w:hideMark/>
          </w:tcPr>
          <w:p w14:paraId="524CB017" w14:textId="77777777" w:rsidR="00000000" w:rsidRDefault="00195E73">
            <w:pPr>
              <w:rPr>
                <w:rFonts w:eastAsia="Times New Roman"/>
                <w:sz w:val="20"/>
                <w:szCs w:val="20"/>
              </w:rPr>
            </w:pPr>
          </w:p>
        </w:tc>
        <w:tc>
          <w:tcPr>
            <w:tcW w:w="0" w:type="auto"/>
            <w:vAlign w:val="center"/>
            <w:hideMark/>
          </w:tcPr>
          <w:p w14:paraId="630C4974" w14:textId="77777777" w:rsidR="00000000" w:rsidRDefault="00195E73">
            <w:pPr>
              <w:rPr>
                <w:rFonts w:eastAsia="Times New Roman"/>
                <w:sz w:val="20"/>
                <w:szCs w:val="20"/>
              </w:rPr>
            </w:pPr>
          </w:p>
        </w:tc>
        <w:tc>
          <w:tcPr>
            <w:tcW w:w="0" w:type="auto"/>
            <w:vAlign w:val="center"/>
            <w:hideMark/>
          </w:tcPr>
          <w:p w14:paraId="696AE4F1" w14:textId="77777777" w:rsidR="00000000" w:rsidRDefault="00195E73">
            <w:pPr>
              <w:rPr>
                <w:rFonts w:eastAsia="Times New Roman"/>
                <w:sz w:val="20"/>
                <w:szCs w:val="20"/>
              </w:rPr>
            </w:pPr>
          </w:p>
        </w:tc>
        <w:tc>
          <w:tcPr>
            <w:tcW w:w="0" w:type="auto"/>
            <w:vAlign w:val="center"/>
            <w:hideMark/>
          </w:tcPr>
          <w:p w14:paraId="44DDF0C7" w14:textId="77777777" w:rsidR="00000000" w:rsidRDefault="00195E73">
            <w:pPr>
              <w:rPr>
                <w:rFonts w:eastAsia="Times New Roman"/>
                <w:sz w:val="20"/>
                <w:szCs w:val="20"/>
              </w:rPr>
            </w:pPr>
          </w:p>
        </w:tc>
        <w:tc>
          <w:tcPr>
            <w:tcW w:w="0" w:type="auto"/>
            <w:vAlign w:val="center"/>
            <w:hideMark/>
          </w:tcPr>
          <w:p w14:paraId="116AEC78" w14:textId="77777777" w:rsidR="00000000" w:rsidRDefault="00195E73">
            <w:pPr>
              <w:rPr>
                <w:rFonts w:eastAsia="Times New Roman"/>
                <w:sz w:val="20"/>
                <w:szCs w:val="20"/>
              </w:rPr>
            </w:pPr>
          </w:p>
        </w:tc>
        <w:tc>
          <w:tcPr>
            <w:tcW w:w="0" w:type="auto"/>
            <w:vAlign w:val="center"/>
            <w:hideMark/>
          </w:tcPr>
          <w:p w14:paraId="4DFE79D4" w14:textId="77777777" w:rsidR="00000000" w:rsidRDefault="00195E73">
            <w:pPr>
              <w:rPr>
                <w:rFonts w:eastAsia="Times New Roman"/>
                <w:sz w:val="20"/>
                <w:szCs w:val="20"/>
              </w:rPr>
            </w:pPr>
          </w:p>
        </w:tc>
        <w:tc>
          <w:tcPr>
            <w:tcW w:w="0" w:type="auto"/>
            <w:vAlign w:val="center"/>
            <w:hideMark/>
          </w:tcPr>
          <w:p w14:paraId="3694A9BC" w14:textId="77777777" w:rsidR="00000000" w:rsidRDefault="00195E73">
            <w:pPr>
              <w:rPr>
                <w:rFonts w:eastAsia="Times New Roman"/>
                <w:sz w:val="20"/>
                <w:szCs w:val="20"/>
              </w:rPr>
            </w:pPr>
          </w:p>
        </w:tc>
        <w:tc>
          <w:tcPr>
            <w:tcW w:w="0" w:type="auto"/>
            <w:vAlign w:val="center"/>
            <w:hideMark/>
          </w:tcPr>
          <w:p w14:paraId="00406479" w14:textId="77777777" w:rsidR="00000000" w:rsidRDefault="00195E73">
            <w:pPr>
              <w:rPr>
                <w:rFonts w:eastAsia="Times New Roman"/>
                <w:sz w:val="20"/>
                <w:szCs w:val="20"/>
              </w:rPr>
            </w:pPr>
          </w:p>
        </w:tc>
        <w:tc>
          <w:tcPr>
            <w:tcW w:w="0" w:type="auto"/>
            <w:vAlign w:val="center"/>
            <w:hideMark/>
          </w:tcPr>
          <w:p w14:paraId="415B1AE6" w14:textId="77777777" w:rsidR="00000000" w:rsidRDefault="00195E73">
            <w:pPr>
              <w:rPr>
                <w:rFonts w:eastAsia="Times New Roman"/>
                <w:sz w:val="20"/>
                <w:szCs w:val="20"/>
              </w:rPr>
            </w:pPr>
          </w:p>
        </w:tc>
        <w:tc>
          <w:tcPr>
            <w:tcW w:w="0" w:type="auto"/>
            <w:vAlign w:val="center"/>
            <w:hideMark/>
          </w:tcPr>
          <w:p w14:paraId="5F23B216" w14:textId="77777777" w:rsidR="00000000" w:rsidRDefault="00195E73">
            <w:pPr>
              <w:rPr>
                <w:rFonts w:eastAsia="Times New Roman"/>
                <w:sz w:val="20"/>
                <w:szCs w:val="20"/>
              </w:rPr>
            </w:pPr>
          </w:p>
        </w:tc>
      </w:tr>
    </w:tbl>
    <w:p w14:paraId="3223E29A" w14:textId="77777777" w:rsidR="00000000" w:rsidRDefault="00195E73">
      <w:pPr>
        <w:ind w:firstLine="405"/>
        <w:divId w:val="607271334"/>
        <w:rPr>
          <w:rFonts w:eastAsia="Times New Roman"/>
        </w:rPr>
      </w:pPr>
    </w:p>
    <w:p w14:paraId="25B900E5" w14:textId="77777777" w:rsidR="00000000" w:rsidRDefault="00195E73">
      <w:pPr>
        <w:ind w:firstLine="405"/>
        <w:divId w:val="546719725"/>
        <w:rPr>
          <w:rFonts w:eastAsia="Times New Roman"/>
        </w:rPr>
      </w:pPr>
    </w:p>
    <w:p w14:paraId="45640797" w14:textId="77777777" w:rsidR="00000000" w:rsidRDefault="00195E73">
      <w:pPr>
        <w:jc w:val="center"/>
        <w:divId w:val="1944221057"/>
        <w:rPr>
          <w:rFonts w:eastAsia="Times New Roman"/>
        </w:rPr>
      </w:pPr>
      <w:r>
        <w:rPr>
          <w:rFonts w:eastAsia="Times New Roman"/>
          <w:color w:val="000000"/>
          <w:sz w:val="20"/>
          <w:szCs w:val="20"/>
        </w:rPr>
        <w:t>11</w:t>
      </w:r>
      <w:r>
        <w:rPr>
          <w:rFonts w:eastAsia="Times New Roman"/>
          <w:color w:val="000000"/>
          <w:sz w:val="20"/>
          <w:szCs w:val="20"/>
        </w:rPr>
        <w:t>0</w:t>
      </w:r>
    </w:p>
    <w:p w14:paraId="298400C0" w14:textId="77777777" w:rsidR="00000000" w:rsidRDefault="00195E73">
      <w:pPr>
        <w:rPr>
          <w:rFonts w:eastAsia="Times New Roman"/>
        </w:rPr>
      </w:pPr>
      <w:r>
        <w:rPr>
          <w:rFonts w:eastAsia="Times New Roman"/>
        </w:rPr>
        <w:pict w14:anchorId="4485A367">
          <v:rect id="_x0000_i1136" style="width:0;height:1.5pt" o:hralign="center" o:hrstd="t" o:hr="t" fillcolor="#a0a0a0" stroked="f"/>
        </w:pict>
      </w:r>
    </w:p>
    <w:p w14:paraId="481D97DF" w14:textId="77777777" w:rsidR="00000000" w:rsidRDefault="00195E73">
      <w:pPr>
        <w:jc w:val="center"/>
        <w:divId w:val="516818089"/>
        <w:rPr>
          <w:rFonts w:eastAsia="Times New Roman"/>
        </w:rPr>
      </w:pPr>
    </w:p>
    <w:p w14:paraId="325822D9" w14:textId="77777777" w:rsidR="00000000" w:rsidRDefault="00195E73">
      <w:pPr>
        <w:jc w:val="center"/>
        <w:divId w:val="516818089"/>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7A3DBAB1" w14:textId="77777777" w:rsidR="00000000" w:rsidRDefault="00195E73">
      <w:pPr>
        <w:jc w:val="center"/>
        <w:divId w:val="516818089"/>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2D300CAA" w14:textId="77777777" w:rsidR="00000000" w:rsidRDefault="00195E73">
      <w:pPr>
        <w:jc w:val="center"/>
        <w:divId w:val="516818089"/>
        <w:rPr>
          <w:rFonts w:eastAsia="Times New Roman"/>
        </w:rPr>
      </w:pPr>
    </w:p>
    <w:p w14:paraId="2762B30C" w14:textId="77777777" w:rsidR="00000000" w:rsidRDefault="00195E73">
      <w:pPr>
        <w:jc w:val="center"/>
        <w:divId w:val="516818089"/>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107B8C4F" w14:textId="77777777" w:rsidR="00000000" w:rsidRDefault="00195E73">
      <w:pPr>
        <w:ind w:firstLine="405"/>
        <w:divId w:val="1033387430"/>
        <w:rPr>
          <w:rFonts w:eastAsia="Times New Roman"/>
        </w:rPr>
      </w:pPr>
      <w:r>
        <w:rPr>
          <w:rFonts w:eastAsia="Times New Roman"/>
          <w:color w:val="000000"/>
          <w:sz w:val="20"/>
          <w:szCs w:val="20"/>
        </w:rPr>
        <w:t>The following table provides disclosures for Viskase’s benefit obligations, plan ass</w:t>
      </w:r>
      <w:r>
        <w:rPr>
          <w:rFonts w:eastAsia="Times New Roman"/>
          <w:color w:val="000000"/>
          <w:sz w:val="20"/>
          <w:szCs w:val="20"/>
        </w:rPr>
        <w:t>ets, funded status, and recognition in the consolidated balance sheets. As pension costs for Viskase are not material to our consolidated financial position and results of operations, we do not provide information regarding their inputs and valuation assum</w:t>
      </w:r>
      <w:r>
        <w:rPr>
          <w:rFonts w:eastAsia="Times New Roman"/>
          <w:color w:val="000000"/>
          <w:sz w:val="20"/>
          <w:szCs w:val="20"/>
        </w:rPr>
        <w:t>ptions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52"/>
        <w:gridCol w:w="5439"/>
        <w:gridCol w:w="52"/>
        <w:gridCol w:w="135"/>
        <w:gridCol w:w="1004"/>
        <w:gridCol w:w="85"/>
        <w:gridCol w:w="36"/>
        <w:gridCol w:w="36"/>
        <w:gridCol w:w="36"/>
        <w:gridCol w:w="135"/>
        <w:gridCol w:w="982"/>
        <w:gridCol w:w="85"/>
        <w:gridCol w:w="36"/>
        <w:gridCol w:w="36"/>
        <w:gridCol w:w="36"/>
        <w:gridCol w:w="36"/>
        <w:gridCol w:w="36"/>
        <w:gridCol w:w="36"/>
      </w:tblGrid>
      <w:tr w:rsidR="00000000" w14:paraId="6FE2D6ED" w14:textId="77777777">
        <w:trPr>
          <w:gridAfter w:val="6"/>
          <w:divId w:val="1926377701"/>
          <w:jc w:val="center"/>
        </w:trPr>
        <w:tc>
          <w:tcPr>
            <w:tcW w:w="50" w:type="pct"/>
            <w:vAlign w:val="center"/>
            <w:hideMark/>
          </w:tcPr>
          <w:p w14:paraId="6EC267F9" w14:textId="77777777" w:rsidR="00000000" w:rsidRDefault="00195E73">
            <w:pPr>
              <w:ind w:firstLine="405"/>
              <w:rPr>
                <w:rFonts w:eastAsia="Times New Roman"/>
              </w:rPr>
            </w:pPr>
          </w:p>
        </w:tc>
        <w:tc>
          <w:tcPr>
            <w:tcW w:w="3384" w:type="pct"/>
            <w:vAlign w:val="center"/>
            <w:hideMark/>
          </w:tcPr>
          <w:p w14:paraId="331B9AEB" w14:textId="77777777" w:rsidR="00000000" w:rsidRDefault="00195E73">
            <w:pPr>
              <w:rPr>
                <w:rFonts w:eastAsia="Times New Roman"/>
                <w:sz w:val="20"/>
                <w:szCs w:val="20"/>
              </w:rPr>
            </w:pPr>
          </w:p>
        </w:tc>
        <w:tc>
          <w:tcPr>
            <w:tcW w:w="50" w:type="pct"/>
            <w:vAlign w:val="center"/>
            <w:hideMark/>
          </w:tcPr>
          <w:p w14:paraId="4512ECBB" w14:textId="77777777" w:rsidR="00000000" w:rsidRDefault="00195E73">
            <w:pPr>
              <w:rPr>
                <w:rFonts w:eastAsia="Times New Roman"/>
                <w:sz w:val="20"/>
                <w:szCs w:val="20"/>
              </w:rPr>
            </w:pPr>
          </w:p>
        </w:tc>
        <w:tc>
          <w:tcPr>
            <w:tcW w:w="50" w:type="pct"/>
            <w:vAlign w:val="center"/>
            <w:hideMark/>
          </w:tcPr>
          <w:p w14:paraId="0210A717" w14:textId="77777777" w:rsidR="00000000" w:rsidRDefault="00195E73">
            <w:pPr>
              <w:rPr>
                <w:rFonts w:eastAsia="Times New Roman"/>
                <w:sz w:val="20"/>
                <w:szCs w:val="20"/>
              </w:rPr>
            </w:pPr>
          </w:p>
        </w:tc>
        <w:tc>
          <w:tcPr>
            <w:tcW w:w="639" w:type="pct"/>
            <w:vAlign w:val="center"/>
            <w:hideMark/>
          </w:tcPr>
          <w:p w14:paraId="53E6D913" w14:textId="77777777" w:rsidR="00000000" w:rsidRDefault="00195E73">
            <w:pPr>
              <w:rPr>
                <w:rFonts w:eastAsia="Times New Roman"/>
                <w:sz w:val="20"/>
                <w:szCs w:val="20"/>
              </w:rPr>
            </w:pPr>
          </w:p>
        </w:tc>
        <w:tc>
          <w:tcPr>
            <w:tcW w:w="50" w:type="pct"/>
            <w:vAlign w:val="center"/>
            <w:hideMark/>
          </w:tcPr>
          <w:p w14:paraId="5A227ED3" w14:textId="77777777" w:rsidR="00000000" w:rsidRDefault="00195E73">
            <w:pPr>
              <w:rPr>
                <w:rFonts w:eastAsia="Times New Roman"/>
                <w:sz w:val="20"/>
                <w:szCs w:val="20"/>
              </w:rPr>
            </w:pPr>
          </w:p>
        </w:tc>
        <w:tc>
          <w:tcPr>
            <w:tcW w:w="5" w:type="pct"/>
            <w:vAlign w:val="center"/>
            <w:hideMark/>
          </w:tcPr>
          <w:p w14:paraId="78685C16" w14:textId="77777777" w:rsidR="00000000" w:rsidRDefault="00195E73">
            <w:pPr>
              <w:rPr>
                <w:rFonts w:eastAsia="Times New Roman"/>
                <w:sz w:val="20"/>
                <w:szCs w:val="20"/>
              </w:rPr>
            </w:pPr>
          </w:p>
        </w:tc>
        <w:tc>
          <w:tcPr>
            <w:tcW w:w="26" w:type="pct"/>
            <w:vAlign w:val="center"/>
            <w:hideMark/>
          </w:tcPr>
          <w:p w14:paraId="56A1A65C" w14:textId="77777777" w:rsidR="00000000" w:rsidRDefault="00195E73">
            <w:pPr>
              <w:rPr>
                <w:rFonts w:eastAsia="Times New Roman"/>
                <w:sz w:val="20"/>
                <w:szCs w:val="20"/>
              </w:rPr>
            </w:pPr>
          </w:p>
        </w:tc>
        <w:tc>
          <w:tcPr>
            <w:tcW w:w="5" w:type="pct"/>
            <w:vAlign w:val="center"/>
            <w:hideMark/>
          </w:tcPr>
          <w:p w14:paraId="127806B2" w14:textId="77777777" w:rsidR="00000000" w:rsidRDefault="00195E73">
            <w:pPr>
              <w:rPr>
                <w:rFonts w:eastAsia="Times New Roman"/>
                <w:sz w:val="20"/>
                <w:szCs w:val="20"/>
              </w:rPr>
            </w:pPr>
          </w:p>
        </w:tc>
        <w:tc>
          <w:tcPr>
            <w:tcW w:w="50" w:type="pct"/>
            <w:vAlign w:val="center"/>
            <w:hideMark/>
          </w:tcPr>
          <w:p w14:paraId="21A58407" w14:textId="77777777" w:rsidR="00000000" w:rsidRDefault="00195E73">
            <w:pPr>
              <w:rPr>
                <w:rFonts w:eastAsia="Times New Roman"/>
                <w:sz w:val="20"/>
                <w:szCs w:val="20"/>
              </w:rPr>
            </w:pPr>
          </w:p>
        </w:tc>
        <w:tc>
          <w:tcPr>
            <w:tcW w:w="639" w:type="pct"/>
            <w:vAlign w:val="center"/>
            <w:hideMark/>
          </w:tcPr>
          <w:p w14:paraId="65C6BE35" w14:textId="77777777" w:rsidR="00000000" w:rsidRDefault="00195E73">
            <w:pPr>
              <w:rPr>
                <w:rFonts w:eastAsia="Times New Roman"/>
                <w:sz w:val="20"/>
                <w:szCs w:val="20"/>
              </w:rPr>
            </w:pPr>
          </w:p>
        </w:tc>
        <w:tc>
          <w:tcPr>
            <w:tcW w:w="50" w:type="pct"/>
            <w:vAlign w:val="center"/>
            <w:hideMark/>
          </w:tcPr>
          <w:p w14:paraId="147BE3E7" w14:textId="77777777" w:rsidR="00000000" w:rsidRDefault="00195E73">
            <w:pPr>
              <w:rPr>
                <w:rFonts w:eastAsia="Times New Roman"/>
                <w:sz w:val="20"/>
                <w:szCs w:val="20"/>
              </w:rPr>
            </w:pPr>
          </w:p>
        </w:tc>
      </w:tr>
      <w:tr w:rsidR="00000000" w14:paraId="22E4C440" w14:textId="77777777">
        <w:trPr>
          <w:divId w:val="1926377701"/>
          <w:jc w:val="center"/>
        </w:trPr>
        <w:tc>
          <w:tcPr>
            <w:tcW w:w="0" w:type="auto"/>
            <w:gridSpan w:val="3"/>
            <w:tcMar>
              <w:top w:w="15" w:type="dxa"/>
              <w:left w:w="20" w:type="dxa"/>
              <w:bottom w:w="15" w:type="dxa"/>
              <w:right w:w="20" w:type="dxa"/>
            </w:tcMar>
            <w:vAlign w:val="bottom"/>
            <w:hideMark/>
          </w:tcPr>
          <w:p w14:paraId="6C5C4346"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2A8DB3F7" w14:textId="77777777" w:rsidR="00000000" w:rsidRDefault="00195E73">
            <w:pPr>
              <w:jc w:val="center"/>
              <w:rPr>
                <w:rFonts w:eastAsia="Times New Roman"/>
              </w:rPr>
            </w:pPr>
            <w:r>
              <w:rPr>
                <w:rFonts w:eastAsia="Times New Roman"/>
                <w:b/>
                <w:bCs/>
                <w:color w:val="000000"/>
                <w:sz w:val="20"/>
                <w:szCs w:val="20"/>
              </w:rPr>
              <w:t>U.S and Non-U.S. Pension Benefit</w:t>
            </w:r>
            <w:r>
              <w:rPr>
                <w:rFonts w:eastAsia="Times New Roman"/>
                <w:b/>
                <w:bCs/>
                <w:color w:val="000000"/>
                <w:sz w:val="20"/>
                <w:szCs w:val="20"/>
              </w:rPr>
              <w:t>s</w:t>
            </w:r>
          </w:p>
        </w:tc>
        <w:tc>
          <w:tcPr>
            <w:tcW w:w="0" w:type="auto"/>
            <w:gridSpan w:val="3"/>
            <w:vAlign w:val="center"/>
            <w:hideMark/>
          </w:tcPr>
          <w:p w14:paraId="193DD4FD" w14:textId="77777777" w:rsidR="00000000" w:rsidRDefault="00195E73">
            <w:pPr>
              <w:jc w:val="center"/>
              <w:rPr>
                <w:rFonts w:eastAsia="Times New Roman"/>
              </w:rPr>
            </w:pPr>
          </w:p>
        </w:tc>
        <w:tc>
          <w:tcPr>
            <w:tcW w:w="0" w:type="auto"/>
            <w:gridSpan w:val="3"/>
            <w:vAlign w:val="center"/>
            <w:hideMark/>
          </w:tcPr>
          <w:p w14:paraId="7420A19C" w14:textId="77777777" w:rsidR="00000000" w:rsidRDefault="00195E73">
            <w:pPr>
              <w:rPr>
                <w:rFonts w:eastAsia="Times New Roman"/>
                <w:sz w:val="20"/>
                <w:szCs w:val="20"/>
              </w:rPr>
            </w:pPr>
          </w:p>
        </w:tc>
      </w:tr>
      <w:tr w:rsidR="00000000" w14:paraId="561E9B18" w14:textId="77777777">
        <w:trPr>
          <w:divId w:val="1926377701"/>
          <w:jc w:val="center"/>
        </w:trPr>
        <w:tc>
          <w:tcPr>
            <w:tcW w:w="0" w:type="auto"/>
            <w:gridSpan w:val="3"/>
            <w:tcMar>
              <w:top w:w="15" w:type="dxa"/>
              <w:left w:w="20" w:type="dxa"/>
              <w:bottom w:w="15" w:type="dxa"/>
              <w:right w:w="20" w:type="dxa"/>
            </w:tcMar>
            <w:vAlign w:val="bottom"/>
            <w:hideMark/>
          </w:tcPr>
          <w:p w14:paraId="3D49985A"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B668B03"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37EFD58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6DF2A95"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3A7152BF" w14:textId="77777777" w:rsidR="00000000" w:rsidRDefault="00195E73">
            <w:pPr>
              <w:rPr>
                <w:rFonts w:eastAsia="Times New Roman"/>
                <w:sz w:val="20"/>
                <w:szCs w:val="20"/>
              </w:rPr>
            </w:pPr>
          </w:p>
        </w:tc>
        <w:tc>
          <w:tcPr>
            <w:tcW w:w="0" w:type="auto"/>
            <w:vAlign w:val="center"/>
            <w:hideMark/>
          </w:tcPr>
          <w:p w14:paraId="28804134" w14:textId="77777777" w:rsidR="00000000" w:rsidRDefault="00195E73">
            <w:pPr>
              <w:rPr>
                <w:rFonts w:eastAsia="Times New Roman"/>
                <w:sz w:val="20"/>
                <w:szCs w:val="20"/>
              </w:rPr>
            </w:pPr>
          </w:p>
        </w:tc>
        <w:tc>
          <w:tcPr>
            <w:tcW w:w="0" w:type="auto"/>
            <w:vAlign w:val="center"/>
            <w:hideMark/>
          </w:tcPr>
          <w:p w14:paraId="5B523D3C" w14:textId="77777777" w:rsidR="00000000" w:rsidRDefault="00195E73">
            <w:pPr>
              <w:rPr>
                <w:rFonts w:eastAsia="Times New Roman"/>
                <w:sz w:val="20"/>
                <w:szCs w:val="20"/>
              </w:rPr>
            </w:pPr>
          </w:p>
        </w:tc>
        <w:tc>
          <w:tcPr>
            <w:tcW w:w="0" w:type="auto"/>
            <w:vAlign w:val="center"/>
            <w:hideMark/>
          </w:tcPr>
          <w:p w14:paraId="7D03FC5D" w14:textId="77777777" w:rsidR="00000000" w:rsidRDefault="00195E73">
            <w:pPr>
              <w:rPr>
                <w:rFonts w:eastAsia="Times New Roman"/>
                <w:sz w:val="20"/>
                <w:szCs w:val="20"/>
              </w:rPr>
            </w:pPr>
          </w:p>
        </w:tc>
        <w:tc>
          <w:tcPr>
            <w:tcW w:w="0" w:type="auto"/>
            <w:vAlign w:val="center"/>
            <w:hideMark/>
          </w:tcPr>
          <w:p w14:paraId="1CF56643" w14:textId="77777777" w:rsidR="00000000" w:rsidRDefault="00195E73">
            <w:pPr>
              <w:rPr>
                <w:rFonts w:eastAsia="Times New Roman"/>
                <w:sz w:val="20"/>
                <w:szCs w:val="20"/>
              </w:rPr>
            </w:pPr>
          </w:p>
        </w:tc>
        <w:tc>
          <w:tcPr>
            <w:tcW w:w="0" w:type="auto"/>
            <w:vAlign w:val="center"/>
            <w:hideMark/>
          </w:tcPr>
          <w:p w14:paraId="0D60D02A" w14:textId="77777777" w:rsidR="00000000" w:rsidRDefault="00195E73">
            <w:pPr>
              <w:rPr>
                <w:rFonts w:eastAsia="Times New Roman"/>
                <w:sz w:val="20"/>
                <w:szCs w:val="20"/>
              </w:rPr>
            </w:pPr>
          </w:p>
        </w:tc>
      </w:tr>
      <w:tr w:rsidR="00000000" w14:paraId="4EB61C8B" w14:textId="77777777">
        <w:trPr>
          <w:divId w:val="1926377701"/>
          <w:jc w:val="center"/>
        </w:trPr>
        <w:tc>
          <w:tcPr>
            <w:tcW w:w="0" w:type="auto"/>
            <w:gridSpan w:val="3"/>
            <w:tcMar>
              <w:top w:w="15" w:type="dxa"/>
              <w:left w:w="20" w:type="dxa"/>
              <w:bottom w:w="15" w:type="dxa"/>
              <w:right w:w="20" w:type="dxa"/>
            </w:tcMar>
            <w:vAlign w:val="bottom"/>
            <w:hideMark/>
          </w:tcPr>
          <w:p w14:paraId="6F30DEA1"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0D9AA71"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796C96E0" w14:textId="77777777" w:rsidR="00000000" w:rsidRDefault="00195E73">
            <w:pPr>
              <w:jc w:val="center"/>
              <w:rPr>
                <w:rFonts w:eastAsia="Times New Roman"/>
              </w:rPr>
            </w:pPr>
          </w:p>
        </w:tc>
        <w:tc>
          <w:tcPr>
            <w:tcW w:w="0" w:type="auto"/>
            <w:gridSpan w:val="3"/>
            <w:vAlign w:val="center"/>
            <w:hideMark/>
          </w:tcPr>
          <w:p w14:paraId="55E509CF" w14:textId="77777777" w:rsidR="00000000" w:rsidRDefault="00195E73">
            <w:pPr>
              <w:rPr>
                <w:rFonts w:eastAsia="Times New Roman"/>
                <w:sz w:val="20"/>
                <w:szCs w:val="20"/>
              </w:rPr>
            </w:pPr>
          </w:p>
        </w:tc>
      </w:tr>
      <w:tr w:rsidR="00000000" w14:paraId="46A16312" w14:textId="77777777">
        <w:trPr>
          <w:divId w:val="1926377701"/>
          <w:jc w:val="center"/>
        </w:trPr>
        <w:tc>
          <w:tcPr>
            <w:tcW w:w="0" w:type="auto"/>
            <w:gridSpan w:val="3"/>
            <w:tcMar>
              <w:top w:w="30" w:type="dxa"/>
              <w:left w:w="20" w:type="dxa"/>
              <w:bottom w:w="30" w:type="dxa"/>
              <w:right w:w="20" w:type="dxa"/>
            </w:tcMar>
            <w:vAlign w:val="bottom"/>
            <w:hideMark/>
          </w:tcPr>
          <w:p w14:paraId="3B71F23D" w14:textId="77777777" w:rsidR="00000000" w:rsidRDefault="00195E73">
            <w:pPr>
              <w:rPr>
                <w:rFonts w:eastAsia="Times New Roman"/>
              </w:rPr>
            </w:pPr>
            <w:r>
              <w:rPr>
                <w:rFonts w:eastAsia="Times New Roman"/>
                <w:color w:val="000000"/>
                <w:sz w:val="20"/>
                <w:szCs w:val="20"/>
              </w:rPr>
              <w:t>Change in benefit obligation</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1D66DDA9"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0E526B8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AF39FF7" w14:textId="77777777" w:rsidR="00000000" w:rsidRDefault="00195E73">
            <w:pPr>
              <w:rPr>
                <w:rFonts w:eastAsia="Times New Roman"/>
                <w:sz w:val="20"/>
                <w:szCs w:val="20"/>
              </w:rPr>
            </w:pPr>
          </w:p>
        </w:tc>
        <w:tc>
          <w:tcPr>
            <w:tcW w:w="0" w:type="auto"/>
            <w:vAlign w:val="center"/>
            <w:hideMark/>
          </w:tcPr>
          <w:p w14:paraId="3F4C879E" w14:textId="77777777" w:rsidR="00000000" w:rsidRDefault="00195E73">
            <w:pPr>
              <w:rPr>
                <w:rFonts w:eastAsia="Times New Roman"/>
                <w:sz w:val="20"/>
                <w:szCs w:val="20"/>
              </w:rPr>
            </w:pPr>
          </w:p>
        </w:tc>
        <w:tc>
          <w:tcPr>
            <w:tcW w:w="0" w:type="auto"/>
            <w:vAlign w:val="center"/>
            <w:hideMark/>
          </w:tcPr>
          <w:p w14:paraId="75FB9DC6" w14:textId="77777777" w:rsidR="00000000" w:rsidRDefault="00195E73">
            <w:pPr>
              <w:rPr>
                <w:rFonts w:eastAsia="Times New Roman"/>
                <w:sz w:val="20"/>
                <w:szCs w:val="20"/>
              </w:rPr>
            </w:pPr>
          </w:p>
        </w:tc>
        <w:tc>
          <w:tcPr>
            <w:tcW w:w="0" w:type="auto"/>
            <w:vAlign w:val="center"/>
            <w:hideMark/>
          </w:tcPr>
          <w:p w14:paraId="50E0ABEA" w14:textId="77777777" w:rsidR="00000000" w:rsidRDefault="00195E73">
            <w:pPr>
              <w:rPr>
                <w:rFonts w:eastAsia="Times New Roman"/>
                <w:sz w:val="20"/>
                <w:szCs w:val="20"/>
              </w:rPr>
            </w:pPr>
          </w:p>
        </w:tc>
        <w:tc>
          <w:tcPr>
            <w:tcW w:w="0" w:type="auto"/>
            <w:vAlign w:val="center"/>
            <w:hideMark/>
          </w:tcPr>
          <w:p w14:paraId="56301AEE" w14:textId="77777777" w:rsidR="00000000" w:rsidRDefault="00195E73">
            <w:pPr>
              <w:rPr>
                <w:rFonts w:eastAsia="Times New Roman"/>
                <w:sz w:val="20"/>
                <w:szCs w:val="20"/>
              </w:rPr>
            </w:pPr>
          </w:p>
        </w:tc>
        <w:tc>
          <w:tcPr>
            <w:tcW w:w="0" w:type="auto"/>
            <w:vAlign w:val="center"/>
            <w:hideMark/>
          </w:tcPr>
          <w:p w14:paraId="0E85FE05" w14:textId="77777777" w:rsidR="00000000" w:rsidRDefault="00195E73">
            <w:pPr>
              <w:rPr>
                <w:rFonts w:eastAsia="Times New Roman"/>
                <w:sz w:val="20"/>
                <w:szCs w:val="20"/>
              </w:rPr>
            </w:pPr>
          </w:p>
        </w:tc>
        <w:tc>
          <w:tcPr>
            <w:tcW w:w="0" w:type="auto"/>
            <w:vAlign w:val="center"/>
            <w:hideMark/>
          </w:tcPr>
          <w:p w14:paraId="456ECC53" w14:textId="77777777" w:rsidR="00000000" w:rsidRDefault="00195E73">
            <w:pPr>
              <w:rPr>
                <w:rFonts w:eastAsia="Times New Roman"/>
                <w:sz w:val="20"/>
                <w:szCs w:val="20"/>
              </w:rPr>
            </w:pPr>
          </w:p>
        </w:tc>
      </w:tr>
      <w:tr w:rsidR="00000000" w14:paraId="56423B76" w14:textId="77777777">
        <w:trPr>
          <w:divId w:val="1926377701"/>
          <w:jc w:val="center"/>
        </w:trPr>
        <w:tc>
          <w:tcPr>
            <w:tcW w:w="0" w:type="auto"/>
            <w:gridSpan w:val="3"/>
            <w:shd w:val="clear" w:color="auto" w:fill="CCEEFF"/>
            <w:tcMar>
              <w:top w:w="30" w:type="dxa"/>
              <w:left w:w="180" w:type="dxa"/>
              <w:bottom w:w="30" w:type="dxa"/>
              <w:right w:w="20" w:type="dxa"/>
            </w:tcMar>
            <w:vAlign w:val="bottom"/>
            <w:hideMark/>
          </w:tcPr>
          <w:p w14:paraId="386277FD" w14:textId="77777777" w:rsidR="00000000" w:rsidRDefault="00195E73">
            <w:pPr>
              <w:rPr>
                <w:rFonts w:eastAsia="Times New Roman"/>
              </w:rPr>
            </w:pPr>
            <w:r>
              <w:rPr>
                <w:rFonts w:eastAsia="Times New Roman"/>
                <w:color w:val="000000"/>
                <w:sz w:val="20"/>
                <w:szCs w:val="20"/>
              </w:rPr>
              <w:t>Benefit obligation, beginning of yea</w:t>
            </w:r>
            <w:r>
              <w:rPr>
                <w:rFonts w:eastAsia="Times New Roman"/>
                <w:color w:val="000000"/>
                <w:sz w:val="20"/>
                <w:szCs w:val="20"/>
              </w:rPr>
              <w:t>r</w:t>
            </w:r>
          </w:p>
        </w:tc>
        <w:tc>
          <w:tcPr>
            <w:tcW w:w="0" w:type="auto"/>
            <w:shd w:val="clear" w:color="auto" w:fill="CCEEFF"/>
            <w:tcMar>
              <w:top w:w="30" w:type="dxa"/>
              <w:left w:w="20" w:type="dxa"/>
              <w:bottom w:w="30" w:type="dxa"/>
              <w:right w:w="15" w:type="dxa"/>
            </w:tcMar>
            <w:vAlign w:val="bottom"/>
            <w:hideMark/>
          </w:tcPr>
          <w:p w14:paraId="34A2059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6BC71A7" w14:textId="77777777" w:rsidR="00000000" w:rsidRDefault="00195E73">
            <w:pPr>
              <w:jc w:val="right"/>
              <w:rPr>
                <w:rFonts w:eastAsia="Times New Roman"/>
              </w:rPr>
            </w:pPr>
            <w:r>
              <w:rPr>
                <w:rFonts w:eastAsia="Times New Roman"/>
                <w:color w:val="000000"/>
                <w:sz w:val="20"/>
                <w:szCs w:val="20"/>
              </w:rPr>
              <w:t>148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60F5A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0BDB7C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941180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143953E" w14:textId="77777777" w:rsidR="00000000" w:rsidRDefault="00195E73">
            <w:pPr>
              <w:jc w:val="right"/>
              <w:rPr>
                <w:rFonts w:eastAsia="Times New Roman"/>
              </w:rPr>
            </w:pPr>
            <w:r>
              <w:rPr>
                <w:rFonts w:eastAsia="Times New Roman"/>
                <w:color w:val="000000"/>
                <w:sz w:val="20"/>
                <w:szCs w:val="20"/>
              </w:rPr>
              <w:t>188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8C1370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769CB28" w14:textId="77777777" w:rsidR="00000000" w:rsidRDefault="00195E73">
            <w:pPr>
              <w:rPr>
                <w:rFonts w:eastAsia="Times New Roman"/>
                <w:sz w:val="20"/>
                <w:szCs w:val="20"/>
              </w:rPr>
            </w:pPr>
          </w:p>
        </w:tc>
        <w:tc>
          <w:tcPr>
            <w:tcW w:w="0" w:type="auto"/>
            <w:vAlign w:val="center"/>
            <w:hideMark/>
          </w:tcPr>
          <w:p w14:paraId="30A3AAC7" w14:textId="77777777" w:rsidR="00000000" w:rsidRDefault="00195E73">
            <w:pPr>
              <w:rPr>
                <w:rFonts w:eastAsia="Times New Roman"/>
                <w:sz w:val="20"/>
                <w:szCs w:val="20"/>
              </w:rPr>
            </w:pPr>
          </w:p>
        </w:tc>
        <w:tc>
          <w:tcPr>
            <w:tcW w:w="0" w:type="auto"/>
            <w:vAlign w:val="center"/>
            <w:hideMark/>
          </w:tcPr>
          <w:p w14:paraId="11DB67D7" w14:textId="77777777" w:rsidR="00000000" w:rsidRDefault="00195E73">
            <w:pPr>
              <w:rPr>
                <w:rFonts w:eastAsia="Times New Roman"/>
                <w:sz w:val="20"/>
                <w:szCs w:val="20"/>
              </w:rPr>
            </w:pPr>
          </w:p>
        </w:tc>
        <w:tc>
          <w:tcPr>
            <w:tcW w:w="0" w:type="auto"/>
            <w:vAlign w:val="center"/>
            <w:hideMark/>
          </w:tcPr>
          <w:p w14:paraId="292B6AE3" w14:textId="77777777" w:rsidR="00000000" w:rsidRDefault="00195E73">
            <w:pPr>
              <w:rPr>
                <w:rFonts w:eastAsia="Times New Roman"/>
                <w:sz w:val="20"/>
                <w:szCs w:val="20"/>
              </w:rPr>
            </w:pPr>
          </w:p>
        </w:tc>
        <w:tc>
          <w:tcPr>
            <w:tcW w:w="0" w:type="auto"/>
            <w:vAlign w:val="center"/>
            <w:hideMark/>
          </w:tcPr>
          <w:p w14:paraId="01B060C2" w14:textId="77777777" w:rsidR="00000000" w:rsidRDefault="00195E73">
            <w:pPr>
              <w:rPr>
                <w:rFonts w:eastAsia="Times New Roman"/>
                <w:sz w:val="20"/>
                <w:szCs w:val="20"/>
              </w:rPr>
            </w:pPr>
          </w:p>
        </w:tc>
        <w:tc>
          <w:tcPr>
            <w:tcW w:w="0" w:type="auto"/>
            <w:vAlign w:val="center"/>
            <w:hideMark/>
          </w:tcPr>
          <w:p w14:paraId="667CA13B" w14:textId="77777777" w:rsidR="00000000" w:rsidRDefault="00195E73">
            <w:pPr>
              <w:rPr>
                <w:rFonts w:eastAsia="Times New Roman"/>
                <w:sz w:val="20"/>
                <w:szCs w:val="20"/>
              </w:rPr>
            </w:pPr>
          </w:p>
        </w:tc>
      </w:tr>
      <w:tr w:rsidR="00000000" w14:paraId="48060834" w14:textId="77777777">
        <w:trPr>
          <w:divId w:val="1926377701"/>
          <w:jc w:val="center"/>
        </w:trPr>
        <w:tc>
          <w:tcPr>
            <w:tcW w:w="0" w:type="auto"/>
            <w:gridSpan w:val="3"/>
            <w:shd w:val="clear" w:color="auto" w:fill="FFFFFF"/>
            <w:tcMar>
              <w:top w:w="30" w:type="dxa"/>
              <w:left w:w="180" w:type="dxa"/>
              <w:bottom w:w="30" w:type="dxa"/>
              <w:right w:w="20" w:type="dxa"/>
            </w:tcMar>
            <w:vAlign w:val="bottom"/>
            <w:hideMark/>
          </w:tcPr>
          <w:p w14:paraId="45F00558" w14:textId="77777777" w:rsidR="00000000" w:rsidRDefault="00195E73">
            <w:pPr>
              <w:rPr>
                <w:rFonts w:eastAsia="Times New Roman"/>
              </w:rPr>
            </w:pPr>
            <w:r>
              <w:rPr>
                <w:rFonts w:eastAsia="Times New Roman"/>
                <w:color w:val="000000"/>
                <w:sz w:val="20"/>
                <w:szCs w:val="20"/>
              </w:rPr>
              <w:t>Service cos</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2409D4E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838F31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BD27F0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6079A0"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126C48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74EE508" w14:textId="77777777" w:rsidR="00000000" w:rsidRDefault="00195E73">
            <w:pPr>
              <w:rPr>
                <w:rFonts w:eastAsia="Times New Roman"/>
                <w:sz w:val="20"/>
                <w:szCs w:val="20"/>
              </w:rPr>
            </w:pPr>
          </w:p>
        </w:tc>
        <w:tc>
          <w:tcPr>
            <w:tcW w:w="0" w:type="auto"/>
            <w:vAlign w:val="center"/>
            <w:hideMark/>
          </w:tcPr>
          <w:p w14:paraId="58B54A42" w14:textId="77777777" w:rsidR="00000000" w:rsidRDefault="00195E73">
            <w:pPr>
              <w:rPr>
                <w:rFonts w:eastAsia="Times New Roman"/>
                <w:sz w:val="20"/>
                <w:szCs w:val="20"/>
              </w:rPr>
            </w:pPr>
          </w:p>
        </w:tc>
        <w:tc>
          <w:tcPr>
            <w:tcW w:w="0" w:type="auto"/>
            <w:vAlign w:val="center"/>
            <w:hideMark/>
          </w:tcPr>
          <w:p w14:paraId="3DEEA476" w14:textId="77777777" w:rsidR="00000000" w:rsidRDefault="00195E73">
            <w:pPr>
              <w:rPr>
                <w:rFonts w:eastAsia="Times New Roman"/>
                <w:sz w:val="20"/>
                <w:szCs w:val="20"/>
              </w:rPr>
            </w:pPr>
          </w:p>
        </w:tc>
        <w:tc>
          <w:tcPr>
            <w:tcW w:w="0" w:type="auto"/>
            <w:vAlign w:val="center"/>
            <w:hideMark/>
          </w:tcPr>
          <w:p w14:paraId="07281E95" w14:textId="77777777" w:rsidR="00000000" w:rsidRDefault="00195E73">
            <w:pPr>
              <w:rPr>
                <w:rFonts w:eastAsia="Times New Roman"/>
                <w:sz w:val="20"/>
                <w:szCs w:val="20"/>
              </w:rPr>
            </w:pPr>
          </w:p>
        </w:tc>
        <w:tc>
          <w:tcPr>
            <w:tcW w:w="0" w:type="auto"/>
            <w:vAlign w:val="center"/>
            <w:hideMark/>
          </w:tcPr>
          <w:p w14:paraId="2929FA32" w14:textId="77777777" w:rsidR="00000000" w:rsidRDefault="00195E73">
            <w:pPr>
              <w:rPr>
                <w:rFonts w:eastAsia="Times New Roman"/>
                <w:sz w:val="20"/>
                <w:szCs w:val="20"/>
              </w:rPr>
            </w:pPr>
          </w:p>
        </w:tc>
        <w:tc>
          <w:tcPr>
            <w:tcW w:w="0" w:type="auto"/>
            <w:vAlign w:val="center"/>
            <w:hideMark/>
          </w:tcPr>
          <w:p w14:paraId="4A700F41" w14:textId="77777777" w:rsidR="00000000" w:rsidRDefault="00195E73">
            <w:pPr>
              <w:rPr>
                <w:rFonts w:eastAsia="Times New Roman"/>
                <w:sz w:val="20"/>
                <w:szCs w:val="20"/>
              </w:rPr>
            </w:pPr>
          </w:p>
        </w:tc>
      </w:tr>
      <w:tr w:rsidR="00000000" w14:paraId="1871DE52" w14:textId="77777777">
        <w:trPr>
          <w:divId w:val="1926377701"/>
          <w:jc w:val="center"/>
        </w:trPr>
        <w:tc>
          <w:tcPr>
            <w:tcW w:w="0" w:type="auto"/>
            <w:gridSpan w:val="3"/>
            <w:shd w:val="clear" w:color="auto" w:fill="CCEEFF"/>
            <w:tcMar>
              <w:top w:w="30" w:type="dxa"/>
              <w:left w:w="180" w:type="dxa"/>
              <w:bottom w:w="30" w:type="dxa"/>
              <w:right w:w="20" w:type="dxa"/>
            </w:tcMar>
            <w:vAlign w:val="bottom"/>
            <w:hideMark/>
          </w:tcPr>
          <w:p w14:paraId="2A7599B2" w14:textId="77777777" w:rsidR="00000000" w:rsidRDefault="00195E73">
            <w:pPr>
              <w:rPr>
                <w:rFonts w:eastAsia="Times New Roman"/>
              </w:rPr>
            </w:pPr>
            <w:r>
              <w:rPr>
                <w:rFonts w:eastAsia="Times New Roman"/>
                <w:color w:val="000000"/>
                <w:sz w:val="20"/>
                <w:szCs w:val="20"/>
              </w:rPr>
              <w:t>Interest cos</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7C95FD3B" w14:textId="77777777" w:rsidR="00000000" w:rsidRDefault="00195E73">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120A9C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D1E467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82BAF2" w14:textId="77777777" w:rsidR="00000000" w:rsidRDefault="00195E73">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B4A9CD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870F161" w14:textId="77777777" w:rsidR="00000000" w:rsidRDefault="00195E73">
            <w:pPr>
              <w:rPr>
                <w:rFonts w:eastAsia="Times New Roman"/>
                <w:sz w:val="20"/>
                <w:szCs w:val="20"/>
              </w:rPr>
            </w:pPr>
          </w:p>
        </w:tc>
        <w:tc>
          <w:tcPr>
            <w:tcW w:w="0" w:type="auto"/>
            <w:vAlign w:val="center"/>
            <w:hideMark/>
          </w:tcPr>
          <w:p w14:paraId="0FE8CC1D" w14:textId="77777777" w:rsidR="00000000" w:rsidRDefault="00195E73">
            <w:pPr>
              <w:rPr>
                <w:rFonts w:eastAsia="Times New Roman"/>
                <w:sz w:val="20"/>
                <w:szCs w:val="20"/>
              </w:rPr>
            </w:pPr>
          </w:p>
        </w:tc>
        <w:tc>
          <w:tcPr>
            <w:tcW w:w="0" w:type="auto"/>
            <w:vAlign w:val="center"/>
            <w:hideMark/>
          </w:tcPr>
          <w:p w14:paraId="70EB3F03" w14:textId="77777777" w:rsidR="00000000" w:rsidRDefault="00195E73">
            <w:pPr>
              <w:rPr>
                <w:rFonts w:eastAsia="Times New Roman"/>
                <w:sz w:val="20"/>
                <w:szCs w:val="20"/>
              </w:rPr>
            </w:pPr>
          </w:p>
        </w:tc>
        <w:tc>
          <w:tcPr>
            <w:tcW w:w="0" w:type="auto"/>
            <w:vAlign w:val="center"/>
            <w:hideMark/>
          </w:tcPr>
          <w:p w14:paraId="0BDD4510" w14:textId="77777777" w:rsidR="00000000" w:rsidRDefault="00195E73">
            <w:pPr>
              <w:rPr>
                <w:rFonts w:eastAsia="Times New Roman"/>
                <w:sz w:val="20"/>
                <w:szCs w:val="20"/>
              </w:rPr>
            </w:pPr>
          </w:p>
        </w:tc>
        <w:tc>
          <w:tcPr>
            <w:tcW w:w="0" w:type="auto"/>
            <w:vAlign w:val="center"/>
            <w:hideMark/>
          </w:tcPr>
          <w:p w14:paraId="42AF2ABD" w14:textId="77777777" w:rsidR="00000000" w:rsidRDefault="00195E73">
            <w:pPr>
              <w:rPr>
                <w:rFonts w:eastAsia="Times New Roman"/>
                <w:sz w:val="20"/>
                <w:szCs w:val="20"/>
              </w:rPr>
            </w:pPr>
          </w:p>
        </w:tc>
        <w:tc>
          <w:tcPr>
            <w:tcW w:w="0" w:type="auto"/>
            <w:vAlign w:val="center"/>
            <w:hideMark/>
          </w:tcPr>
          <w:p w14:paraId="550769C7" w14:textId="77777777" w:rsidR="00000000" w:rsidRDefault="00195E73">
            <w:pPr>
              <w:rPr>
                <w:rFonts w:eastAsia="Times New Roman"/>
                <w:sz w:val="20"/>
                <w:szCs w:val="20"/>
              </w:rPr>
            </w:pPr>
          </w:p>
        </w:tc>
      </w:tr>
      <w:tr w:rsidR="00000000" w14:paraId="72142552" w14:textId="77777777">
        <w:trPr>
          <w:divId w:val="1926377701"/>
          <w:jc w:val="center"/>
        </w:trPr>
        <w:tc>
          <w:tcPr>
            <w:tcW w:w="0" w:type="auto"/>
            <w:gridSpan w:val="3"/>
            <w:shd w:val="clear" w:color="auto" w:fill="FFFFFF"/>
            <w:tcMar>
              <w:top w:w="30" w:type="dxa"/>
              <w:left w:w="180" w:type="dxa"/>
              <w:bottom w:w="30" w:type="dxa"/>
              <w:right w:w="20" w:type="dxa"/>
            </w:tcMar>
            <w:vAlign w:val="bottom"/>
            <w:hideMark/>
          </w:tcPr>
          <w:p w14:paraId="636AC043" w14:textId="77777777" w:rsidR="00000000" w:rsidRDefault="00195E73">
            <w:pPr>
              <w:rPr>
                <w:rFonts w:eastAsia="Times New Roman"/>
              </w:rPr>
            </w:pPr>
            <w:r>
              <w:rPr>
                <w:rFonts w:eastAsia="Times New Roman"/>
                <w:color w:val="000000"/>
                <w:sz w:val="20"/>
                <w:szCs w:val="20"/>
              </w:rPr>
              <w:t>Benefits pai</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115EA754"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74604F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438CA6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B98918" w14:textId="77777777" w:rsidR="00000000" w:rsidRDefault="00195E73">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5CD0F9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6DD1F8E" w14:textId="77777777" w:rsidR="00000000" w:rsidRDefault="00195E73">
            <w:pPr>
              <w:rPr>
                <w:rFonts w:eastAsia="Times New Roman"/>
                <w:sz w:val="20"/>
                <w:szCs w:val="20"/>
              </w:rPr>
            </w:pPr>
          </w:p>
        </w:tc>
        <w:tc>
          <w:tcPr>
            <w:tcW w:w="0" w:type="auto"/>
            <w:vAlign w:val="center"/>
            <w:hideMark/>
          </w:tcPr>
          <w:p w14:paraId="6C10476D" w14:textId="77777777" w:rsidR="00000000" w:rsidRDefault="00195E73">
            <w:pPr>
              <w:rPr>
                <w:rFonts w:eastAsia="Times New Roman"/>
                <w:sz w:val="20"/>
                <w:szCs w:val="20"/>
              </w:rPr>
            </w:pPr>
          </w:p>
        </w:tc>
        <w:tc>
          <w:tcPr>
            <w:tcW w:w="0" w:type="auto"/>
            <w:vAlign w:val="center"/>
            <w:hideMark/>
          </w:tcPr>
          <w:p w14:paraId="47910D52" w14:textId="77777777" w:rsidR="00000000" w:rsidRDefault="00195E73">
            <w:pPr>
              <w:rPr>
                <w:rFonts w:eastAsia="Times New Roman"/>
                <w:sz w:val="20"/>
                <w:szCs w:val="20"/>
              </w:rPr>
            </w:pPr>
          </w:p>
        </w:tc>
        <w:tc>
          <w:tcPr>
            <w:tcW w:w="0" w:type="auto"/>
            <w:vAlign w:val="center"/>
            <w:hideMark/>
          </w:tcPr>
          <w:p w14:paraId="22B8CBD9" w14:textId="77777777" w:rsidR="00000000" w:rsidRDefault="00195E73">
            <w:pPr>
              <w:rPr>
                <w:rFonts w:eastAsia="Times New Roman"/>
                <w:sz w:val="20"/>
                <w:szCs w:val="20"/>
              </w:rPr>
            </w:pPr>
          </w:p>
        </w:tc>
        <w:tc>
          <w:tcPr>
            <w:tcW w:w="0" w:type="auto"/>
            <w:vAlign w:val="center"/>
            <w:hideMark/>
          </w:tcPr>
          <w:p w14:paraId="2670FB22" w14:textId="77777777" w:rsidR="00000000" w:rsidRDefault="00195E73">
            <w:pPr>
              <w:rPr>
                <w:rFonts w:eastAsia="Times New Roman"/>
                <w:sz w:val="20"/>
                <w:szCs w:val="20"/>
              </w:rPr>
            </w:pPr>
          </w:p>
        </w:tc>
        <w:tc>
          <w:tcPr>
            <w:tcW w:w="0" w:type="auto"/>
            <w:vAlign w:val="center"/>
            <w:hideMark/>
          </w:tcPr>
          <w:p w14:paraId="575EFCC6" w14:textId="77777777" w:rsidR="00000000" w:rsidRDefault="00195E73">
            <w:pPr>
              <w:rPr>
                <w:rFonts w:eastAsia="Times New Roman"/>
                <w:sz w:val="20"/>
                <w:szCs w:val="20"/>
              </w:rPr>
            </w:pPr>
          </w:p>
        </w:tc>
      </w:tr>
      <w:tr w:rsidR="00000000" w14:paraId="2A8DBB8C" w14:textId="77777777">
        <w:trPr>
          <w:divId w:val="1926377701"/>
          <w:jc w:val="center"/>
        </w:trPr>
        <w:tc>
          <w:tcPr>
            <w:tcW w:w="0" w:type="auto"/>
            <w:gridSpan w:val="3"/>
            <w:shd w:val="clear" w:color="auto" w:fill="CCEEFF"/>
            <w:tcMar>
              <w:top w:w="30" w:type="dxa"/>
              <w:left w:w="180" w:type="dxa"/>
              <w:bottom w:w="30" w:type="dxa"/>
              <w:right w:w="20" w:type="dxa"/>
            </w:tcMar>
            <w:vAlign w:val="bottom"/>
            <w:hideMark/>
          </w:tcPr>
          <w:p w14:paraId="09E8C27D" w14:textId="77777777" w:rsidR="00000000" w:rsidRDefault="00195E73">
            <w:pPr>
              <w:rPr>
                <w:rFonts w:eastAsia="Times New Roman"/>
              </w:rPr>
            </w:pPr>
            <w:r>
              <w:rPr>
                <w:rFonts w:eastAsia="Times New Roman"/>
                <w:color w:val="000000"/>
                <w:sz w:val="20"/>
                <w:szCs w:val="20"/>
              </w:rPr>
              <w:t>Actuarial (gain) los</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179E716" w14:textId="77777777" w:rsidR="00000000" w:rsidRDefault="00195E73">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CA3213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3F10B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719B3F" w14:textId="77777777" w:rsidR="00000000" w:rsidRDefault="00195E73">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85D740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439674C" w14:textId="77777777" w:rsidR="00000000" w:rsidRDefault="00195E73">
            <w:pPr>
              <w:rPr>
                <w:rFonts w:eastAsia="Times New Roman"/>
                <w:sz w:val="20"/>
                <w:szCs w:val="20"/>
              </w:rPr>
            </w:pPr>
          </w:p>
        </w:tc>
        <w:tc>
          <w:tcPr>
            <w:tcW w:w="0" w:type="auto"/>
            <w:vAlign w:val="center"/>
            <w:hideMark/>
          </w:tcPr>
          <w:p w14:paraId="793C82E8" w14:textId="77777777" w:rsidR="00000000" w:rsidRDefault="00195E73">
            <w:pPr>
              <w:rPr>
                <w:rFonts w:eastAsia="Times New Roman"/>
                <w:sz w:val="20"/>
                <w:szCs w:val="20"/>
              </w:rPr>
            </w:pPr>
          </w:p>
        </w:tc>
        <w:tc>
          <w:tcPr>
            <w:tcW w:w="0" w:type="auto"/>
            <w:vAlign w:val="center"/>
            <w:hideMark/>
          </w:tcPr>
          <w:p w14:paraId="2176F63E" w14:textId="77777777" w:rsidR="00000000" w:rsidRDefault="00195E73">
            <w:pPr>
              <w:rPr>
                <w:rFonts w:eastAsia="Times New Roman"/>
                <w:sz w:val="20"/>
                <w:szCs w:val="20"/>
              </w:rPr>
            </w:pPr>
          </w:p>
        </w:tc>
        <w:tc>
          <w:tcPr>
            <w:tcW w:w="0" w:type="auto"/>
            <w:vAlign w:val="center"/>
            <w:hideMark/>
          </w:tcPr>
          <w:p w14:paraId="6BD17B04" w14:textId="77777777" w:rsidR="00000000" w:rsidRDefault="00195E73">
            <w:pPr>
              <w:rPr>
                <w:rFonts w:eastAsia="Times New Roman"/>
                <w:sz w:val="20"/>
                <w:szCs w:val="20"/>
              </w:rPr>
            </w:pPr>
          </w:p>
        </w:tc>
        <w:tc>
          <w:tcPr>
            <w:tcW w:w="0" w:type="auto"/>
            <w:vAlign w:val="center"/>
            <w:hideMark/>
          </w:tcPr>
          <w:p w14:paraId="5E694821" w14:textId="77777777" w:rsidR="00000000" w:rsidRDefault="00195E73">
            <w:pPr>
              <w:rPr>
                <w:rFonts w:eastAsia="Times New Roman"/>
                <w:sz w:val="20"/>
                <w:szCs w:val="20"/>
              </w:rPr>
            </w:pPr>
          </w:p>
        </w:tc>
        <w:tc>
          <w:tcPr>
            <w:tcW w:w="0" w:type="auto"/>
            <w:vAlign w:val="center"/>
            <w:hideMark/>
          </w:tcPr>
          <w:p w14:paraId="0801079D" w14:textId="77777777" w:rsidR="00000000" w:rsidRDefault="00195E73">
            <w:pPr>
              <w:rPr>
                <w:rFonts w:eastAsia="Times New Roman"/>
                <w:sz w:val="20"/>
                <w:szCs w:val="20"/>
              </w:rPr>
            </w:pPr>
          </w:p>
        </w:tc>
      </w:tr>
      <w:tr w:rsidR="00000000" w14:paraId="799E831D" w14:textId="77777777">
        <w:trPr>
          <w:divId w:val="1926377701"/>
          <w:jc w:val="center"/>
        </w:trPr>
        <w:tc>
          <w:tcPr>
            <w:tcW w:w="0" w:type="auto"/>
            <w:gridSpan w:val="3"/>
            <w:shd w:val="clear" w:color="auto" w:fill="FFFFFF"/>
            <w:tcMar>
              <w:top w:w="30" w:type="dxa"/>
              <w:left w:w="180" w:type="dxa"/>
              <w:bottom w:w="30" w:type="dxa"/>
              <w:right w:w="20" w:type="dxa"/>
            </w:tcMar>
            <w:vAlign w:val="bottom"/>
            <w:hideMark/>
          </w:tcPr>
          <w:p w14:paraId="1A60B577" w14:textId="77777777" w:rsidR="00000000" w:rsidRDefault="00195E73">
            <w:pPr>
              <w:rPr>
                <w:rFonts w:eastAsia="Times New Roman"/>
              </w:rPr>
            </w:pPr>
            <w:r>
              <w:rPr>
                <w:rFonts w:eastAsia="Times New Roman"/>
                <w:color w:val="000000"/>
                <w:sz w:val="20"/>
                <w:szCs w:val="20"/>
              </w:rPr>
              <w:t>Plan settlement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B1E5446"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593C43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0DA5F9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9140BA" w14:textId="77777777" w:rsidR="00000000" w:rsidRDefault="00195E73">
            <w:pPr>
              <w:jc w:val="right"/>
              <w:rPr>
                <w:rFonts w:eastAsia="Times New Roman"/>
              </w:rPr>
            </w:pPr>
            <w:r>
              <w:rPr>
                <w:rFonts w:eastAsia="Times New Roman"/>
                <w:color w:val="000000"/>
                <w:sz w:val="20"/>
                <w:szCs w:val="20"/>
              </w:rPr>
              <w:t>(28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36CED8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4DFF761" w14:textId="77777777" w:rsidR="00000000" w:rsidRDefault="00195E73">
            <w:pPr>
              <w:rPr>
                <w:rFonts w:eastAsia="Times New Roman"/>
                <w:sz w:val="20"/>
                <w:szCs w:val="20"/>
              </w:rPr>
            </w:pPr>
          </w:p>
        </w:tc>
        <w:tc>
          <w:tcPr>
            <w:tcW w:w="0" w:type="auto"/>
            <w:vAlign w:val="center"/>
            <w:hideMark/>
          </w:tcPr>
          <w:p w14:paraId="2F2220B3" w14:textId="77777777" w:rsidR="00000000" w:rsidRDefault="00195E73">
            <w:pPr>
              <w:rPr>
                <w:rFonts w:eastAsia="Times New Roman"/>
                <w:sz w:val="20"/>
                <w:szCs w:val="20"/>
              </w:rPr>
            </w:pPr>
          </w:p>
        </w:tc>
        <w:tc>
          <w:tcPr>
            <w:tcW w:w="0" w:type="auto"/>
            <w:vAlign w:val="center"/>
            <w:hideMark/>
          </w:tcPr>
          <w:p w14:paraId="4B4D5269" w14:textId="77777777" w:rsidR="00000000" w:rsidRDefault="00195E73">
            <w:pPr>
              <w:rPr>
                <w:rFonts w:eastAsia="Times New Roman"/>
                <w:sz w:val="20"/>
                <w:szCs w:val="20"/>
              </w:rPr>
            </w:pPr>
          </w:p>
        </w:tc>
        <w:tc>
          <w:tcPr>
            <w:tcW w:w="0" w:type="auto"/>
            <w:vAlign w:val="center"/>
            <w:hideMark/>
          </w:tcPr>
          <w:p w14:paraId="705F68BF" w14:textId="77777777" w:rsidR="00000000" w:rsidRDefault="00195E73">
            <w:pPr>
              <w:rPr>
                <w:rFonts w:eastAsia="Times New Roman"/>
                <w:sz w:val="20"/>
                <w:szCs w:val="20"/>
              </w:rPr>
            </w:pPr>
          </w:p>
        </w:tc>
        <w:tc>
          <w:tcPr>
            <w:tcW w:w="0" w:type="auto"/>
            <w:vAlign w:val="center"/>
            <w:hideMark/>
          </w:tcPr>
          <w:p w14:paraId="17426917" w14:textId="77777777" w:rsidR="00000000" w:rsidRDefault="00195E73">
            <w:pPr>
              <w:rPr>
                <w:rFonts w:eastAsia="Times New Roman"/>
                <w:sz w:val="20"/>
                <w:szCs w:val="20"/>
              </w:rPr>
            </w:pPr>
          </w:p>
        </w:tc>
        <w:tc>
          <w:tcPr>
            <w:tcW w:w="0" w:type="auto"/>
            <w:vAlign w:val="center"/>
            <w:hideMark/>
          </w:tcPr>
          <w:p w14:paraId="69C65B03" w14:textId="77777777" w:rsidR="00000000" w:rsidRDefault="00195E73">
            <w:pPr>
              <w:rPr>
                <w:rFonts w:eastAsia="Times New Roman"/>
                <w:sz w:val="20"/>
                <w:szCs w:val="20"/>
              </w:rPr>
            </w:pPr>
          </w:p>
        </w:tc>
      </w:tr>
      <w:tr w:rsidR="00000000" w14:paraId="35EAC064" w14:textId="77777777">
        <w:trPr>
          <w:divId w:val="1926377701"/>
          <w:jc w:val="center"/>
        </w:trPr>
        <w:tc>
          <w:tcPr>
            <w:tcW w:w="0" w:type="auto"/>
            <w:gridSpan w:val="3"/>
            <w:shd w:val="clear" w:color="auto" w:fill="CCEEFF"/>
            <w:tcMar>
              <w:top w:w="30" w:type="dxa"/>
              <w:left w:w="20" w:type="dxa"/>
              <w:bottom w:w="30" w:type="dxa"/>
              <w:right w:w="20" w:type="dxa"/>
            </w:tcMar>
            <w:vAlign w:val="bottom"/>
            <w:hideMark/>
          </w:tcPr>
          <w:p w14:paraId="5118E77F" w14:textId="77777777" w:rsidR="00000000" w:rsidRDefault="00195E73">
            <w:pPr>
              <w:rPr>
                <w:rFonts w:eastAsia="Times New Roman"/>
              </w:rPr>
            </w:pPr>
            <w:r>
              <w:rPr>
                <w:rFonts w:eastAsia="Times New Roman"/>
                <w:color w:val="000000"/>
                <w:sz w:val="20"/>
                <w:szCs w:val="20"/>
              </w:rPr>
              <w:t>Currency translatio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4375C5A2"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82BB12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F3885E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74D89D"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BA6CAA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8B8B39E" w14:textId="77777777" w:rsidR="00000000" w:rsidRDefault="00195E73">
            <w:pPr>
              <w:rPr>
                <w:rFonts w:eastAsia="Times New Roman"/>
                <w:sz w:val="20"/>
                <w:szCs w:val="20"/>
              </w:rPr>
            </w:pPr>
          </w:p>
        </w:tc>
        <w:tc>
          <w:tcPr>
            <w:tcW w:w="0" w:type="auto"/>
            <w:vAlign w:val="center"/>
            <w:hideMark/>
          </w:tcPr>
          <w:p w14:paraId="10CF9D87" w14:textId="77777777" w:rsidR="00000000" w:rsidRDefault="00195E73">
            <w:pPr>
              <w:rPr>
                <w:rFonts w:eastAsia="Times New Roman"/>
                <w:sz w:val="20"/>
                <w:szCs w:val="20"/>
              </w:rPr>
            </w:pPr>
          </w:p>
        </w:tc>
        <w:tc>
          <w:tcPr>
            <w:tcW w:w="0" w:type="auto"/>
            <w:vAlign w:val="center"/>
            <w:hideMark/>
          </w:tcPr>
          <w:p w14:paraId="07DAF174" w14:textId="77777777" w:rsidR="00000000" w:rsidRDefault="00195E73">
            <w:pPr>
              <w:rPr>
                <w:rFonts w:eastAsia="Times New Roman"/>
                <w:sz w:val="20"/>
                <w:szCs w:val="20"/>
              </w:rPr>
            </w:pPr>
          </w:p>
        </w:tc>
        <w:tc>
          <w:tcPr>
            <w:tcW w:w="0" w:type="auto"/>
            <w:vAlign w:val="center"/>
            <w:hideMark/>
          </w:tcPr>
          <w:p w14:paraId="756DA576" w14:textId="77777777" w:rsidR="00000000" w:rsidRDefault="00195E73">
            <w:pPr>
              <w:rPr>
                <w:rFonts w:eastAsia="Times New Roman"/>
                <w:sz w:val="20"/>
                <w:szCs w:val="20"/>
              </w:rPr>
            </w:pPr>
          </w:p>
        </w:tc>
        <w:tc>
          <w:tcPr>
            <w:tcW w:w="0" w:type="auto"/>
            <w:vAlign w:val="center"/>
            <w:hideMark/>
          </w:tcPr>
          <w:p w14:paraId="0A719429" w14:textId="77777777" w:rsidR="00000000" w:rsidRDefault="00195E73">
            <w:pPr>
              <w:rPr>
                <w:rFonts w:eastAsia="Times New Roman"/>
                <w:sz w:val="20"/>
                <w:szCs w:val="20"/>
              </w:rPr>
            </w:pPr>
          </w:p>
        </w:tc>
        <w:tc>
          <w:tcPr>
            <w:tcW w:w="0" w:type="auto"/>
            <w:vAlign w:val="center"/>
            <w:hideMark/>
          </w:tcPr>
          <w:p w14:paraId="424D98C6" w14:textId="77777777" w:rsidR="00000000" w:rsidRDefault="00195E73">
            <w:pPr>
              <w:rPr>
                <w:rFonts w:eastAsia="Times New Roman"/>
                <w:sz w:val="20"/>
                <w:szCs w:val="20"/>
              </w:rPr>
            </w:pPr>
          </w:p>
        </w:tc>
      </w:tr>
      <w:tr w:rsidR="00000000" w14:paraId="524EC9BA" w14:textId="77777777">
        <w:trPr>
          <w:divId w:val="1926377701"/>
          <w:jc w:val="center"/>
        </w:trPr>
        <w:tc>
          <w:tcPr>
            <w:tcW w:w="0" w:type="auto"/>
            <w:gridSpan w:val="3"/>
            <w:shd w:val="clear" w:color="auto" w:fill="FFFFFF"/>
            <w:tcMar>
              <w:top w:w="30" w:type="dxa"/>
              <w:left w:w="20" w:type="dxa"/>
              <w:bottom w:w="30" w:type="dxa"/>
              <w:right w:w="20" w:type="dxa"/>
            </w:tcMar>
            <w:vAlign w:val="bottom"/>
            <w:hideMark/>
          </w:tcPr>
          <w:p w14:paraId="09E39BB7" w14:textId="77777777" w:rsidR="00000000" w:rsidRDefault="00195E73">
            <w:pPr>
              <w:rPr>
                <w:rFonts w:eastAsia="Times New Roman"/>
              </w:rPr>
            </w:pPr>
            <w:r>
              <w:rPr>
                <w:rFonts w:eastAsia="Times New Roman"/>
                <w:color w:val="000000"/>
                <w:sz w:val="20"/>
                <w:szCs w:val="20"/>
              </w:rPr>
              <w:t>Benefit obligation, end of yea</w:t>
            </w:r>
            <w:r>
              <w:rPr>
                <w:rFonts w:eastAsia="Times New Roman"/>
                <w:color w:val="000000"/>
                <w:sz w:val="20"/>
                <w:szCs w:val="20"/>
              </w:rPr>
              <w:t>r</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D977B8" w14:textId="77777777" w:rsidR="00000000" w:rsidRDefault="00195E73">
            <w:pPr>
              <w:jc w:val="right"/>
              <w:rPr>
                <w:rFonts w:eastAsia="Times New Roman"/>
              </w:rPr>
            </w:pPr>
            <w:r>
              <w:rPr>
                <w:rFonts w:eastAsia="Times New Roman"/>
                <w:color w:val="000000"/>
                <w:sz w:val="20"/>
                <w:szCs w:val="20"/>
              </w:rPr>
              <w:t>154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D2CF8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70F18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EE55FC" w14:textId="77777777" w:rsidR="00000000" w:rsidRDefault="00195E73">
            <w:pPr>
              <w:jc w:val="right"/>
              <w:rPr>
                <w:rFonts w:eastAsia="Times New Roman"/>
              </w:rPr>
            </w:pPr>
            <w:r>
              <w:rPr>
                <w:rFonts w:eastAsia="Times New Roman"/>
                <w:color w:val="000000"/>
                <w:sz w:val="20"/>
                <w:szCs w:val="20"/>
              </w:rPr>
              <w:t>148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F654FC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CB27E13" w14:textId="77777777" w:rsidR="00000000" w:rsidRDefault="00195E73">
            <w:pPr>
              <w:rPr>
                <w:rFonts w:eastAsia="Times New Roman"/>
                <w:sz w:val="20"/>
                <w:szCs w:val="20"/>
              </w:rPr>
            </w:pPr>
          </w:p>
        </w:tc>
        <w:tc>
          <w:tcPr>
            <w:tcW w:w="0" w:type="auto"/>
            <w:vAlign w:val="center"/>
            <w:hideMark/>
          </w:tcPr>
          <w:p w14:paraId="169B979D" w14:textId="77777777" w:rsidR="00000000" w:rsidRDefault="00195E73">
            <w:pPr>
              <w:rPr>
                <w:rFonts w:eastAsia="Times New Roman"/>
                <w:sz w:val="20"/>
                <w:szCs w:val="20"/>
              </w:rPr>
            </w:pPr>
          </w:p>
        </w:tc>
        <w:tc>
          <w:tcPr>
            <w:tcW w:w="0" w:type="auto"/>
            <w:vAlign w:val="center"/>
            <w:hideMark/>
          </w:tcPr>
          <w:p w14:paraId="6A142D7C" w14:textId="77777777" w:rsidR="00000000" w:rsidRDefault="00195E73">
            <w:pPr>
              <w:rPr>
                <w:rFonts w:eastAsia="Times New Roman"/>
                <w:sz w:val="20"/>
                <w:szCs w:val="20"/>
              </w:rPr>
            </w:pPr>
          </w:p>
        </w:tc>
        <w:tc>
          <w:tcPr>
            <w:tcW w:w="0" w:type="auto"/>
            <w:vAlign w:val="center"/>
            <w:hideMark/>
          </w:tcPr>
          <w:p w14:paraId="2321EAE1" w14:textId="77777777" w:rsidR="00000000" w:rsidRDefault="00195E73">
            <w:pPr>
              <w:rPr>
                <w:rFonts w:eastAsia="Times New Roman"/>
                <w:sz w:val="20"/>
                <w:szCs w:val="20"/>
              </w:rPr>
            </w:pPr>
          </w:p>
        </w:tc>
        <w:tc>
          <w:tcPr>
            <w:tcW w:w="0" w:type="auto"/>
            <w:vAlign w:val="center"/>
            <w:hideMark/>
          </w:tcPr>
          <w:p w14:paraId="673C84BD" w14:textId="77777777" w:rsidR="00000000" w:rsidRDefault="00195E73">
            <w:pPr>
              <w:rPr>
                <w:rFonts w:eastAsia="Times New Roman"/>
                <w:sz w:val="20"/>
                <w:szCs w:val="20"/>
              </w:rPr>
            </w:pPr>
          </w:p>
        </w:tc>
        <w:tc>
          <w:tcPr>
            <w:tcW w:w="0" w:type="auto"/>
            <w:vAlign w:val="center"/>
            <w:hideMark/>
          </w:tcPr>
          <w:p w14:paraId="17BD400C" w14:textId="77777777" w:rsidR="00000000" w:rsidRDefault="00195E73">
            <w:pPr>
              <w:rPr>
                <w:rFonts w:eastAsia="Times New Roman"/>
                <w:sz w:val="20"/>
                <w:szCs w:val="20"/>
              </w:rPr>
            </w:pPr>
          </w:p>
        </w:tc>
      </w:tr>
      <w:tr w:rsidR="00000000" w14:paraId="60C7D487" w14:textId="77777777">
        <w:trPr>
          <w:divId w:val="1926377701"/>
          <w:jc w:val="center"/>
        </w:trPr>
        <w:tc>
          <w:tcPr>
            <w:tcW w:w="0" w:type="auto"/>
            <w:gridSpan w:val="3"/>
            <w:shd w:val="clear" w:color="auto" w:fill="CCEEFF"/>
            <w:tcMar>
              <w:top w:w="30" w:type="dxa"/>
              <w:left w:w="20" w:type="dxa"/>
              <w:bottom w:w="30" w:type="dxa"/>
              <w:right w:w="20" w:type="dxa"/>
            </w:tcMar>
            <w:vAlign w:val="bottom"/>
            <w:hideMark/>
          </w:tcPr>
          <w:p w14:paraId="339DB558" w14:textId="77777777" w:rsidR="00000000" w:rsidRDefault="00195E73">
            <w:pPr>
              <w:rPr>
                <w:rFonts w:eastAsia="Times New Roman"/>
              </w:rPr>
            </w:pPr>
            <w:r>
              <w:rPr>
                <w:rFonts w:eastAsia="Times New Roman"/>
                <w:color w:val="000000"/>
                <w:sz w:val="20"/>
                <w:szCs w:val="20"/>
              </w:rPr>
              <w:t>Change in plan assets</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442C377"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5051858B" w14:textId="77777777" w:rsidR="00000000" w:rsidRDefault="00195E73">
            <w:pPr>
              <w:jc w:val="right"/>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27D131D" w14:textId="77777777" w:rsidR="00000000" w:rsidRDefault="00195E73">
            <w:pPr>
              <w:jc w:val="right"/>
              <w:rPr>
                <w:rFonts w:eastAsia="Times New Roman"/>
                <w:sz w:val="20"/>
                <w:szCs w:val="20"/>
              </w:rPr>
            </w:pPr>
          </w:p>
        </w:tc>
        <w:tc>
          <w:tcPr>
            <w:tcW w:w="0" w:type="auto"/>
            <w:vAlign w:val="center"/>
            <w:hideMark/>
          </w:tcPr>
          <w:p w14:paraId="735335C5" w14:textId="77777777" w:rsidR="00000000" w:rsidRDefault="00195E73">
            <w:pPr>
              <w:rPr>
                <w:rFonts w:eastAsia="Times New Roman"/>
                <w:sz w:val="20"/>
                <w:szCs w:val="20"/>
              </w:rPr>
            </w:pPr>
          </w:p>
        </w:tc>
        <w:tc>
          <w:tcPr>
            <w:tcW w:w="0" w:type="auto"/>
            <w:vAlign w:val="center"/>
            <w:hideMark/>
          </w:tcPr>
          <w:p w14:paraId="5A42B888" w14:textId="77777777" w:rsidR="00000000" w:rsidRDefault="00195E73">
            <w:pPr>
              <w:rPr>
                <w:rFonts w:eastAsia="Times New Roman"/>
                <w:sz w:val="20"/>
                <w:szCs w:val="20"/>
              </w:rPr>
            </w:pPr>
          </w:p>
        </w:tc>
        <w:tc>
          <w:tcPr>
            <w:tcW w:w="0" w:type="auto"/>
            <w:vAlign w:val="center"/>
            <w:hideMark/>
          </w:tcPr>
          <w:p w14:paraId="4CAE1DE2" w14:textId="77777777" w:rsidR="00000000" w:rsidRDefault="00195E73">
            <w:pPr>
              <w:rPr>
                <w:rFonts w:eastAsia="Times New Roman"/>
                <w:sz w:val="20"/>
                <w:szCs w:val="20"/>
              </w:rPr>
            </w:pPr>
          </w:p>
        </w:tc>
        <w:tc>
          <w:tcPr>
            <w:tcW w:w="0" w:type="auto"/>
            <w:vAlign w:val="center"/>
            <w:hideMark/>
          </w:tcPr>
          <w:p w14:paraId="4EBD5732" w14:textId="77777777" w:rsidR="00000000" w:rsidRDefault="00195E73">
            <w:pPr>
              <w:rPr>
                <w:rFonts w:eastAsia="Times New Roman"/>
                <w:sz w:val="20"/>
                <w:szCs w:val="20"/>
              </w:rPr>
            </w:pPr>
          </w:p>
        </w:tc>
        <w:tc>
          <w:tcPr>
            <w:tcW w:w="0" w:type="auto"/>
            <w:vAlign w:val="center"/>
            <w:hideMark/>
          </w:tcPr>
          <w:p w14:paraId="50C6E8D0" w14:textId="77777777" w:rsidR="00000000" w:rsidRDefault="00195E73">
            <w:pPr>
              <w:rPr>
                <w:rFonts w:eastAsia="Times New Roman"/>
                <w:sz w:val="20"/>
                <w:szCs w:val="20"/>
              </w:rPr>
            </w:pPr>
          </w:p>
        </w:tc>
        <w:tc>
          <w:tcPr>
            <w:tcW w:w="0" w:type="auto"/>
            <w:vAlign w:val="center"/>
            <w:hideMark/>
          </w:tcPr>
          <w:p w14:paraId="79DE509F" w14:textId="77777777" w:rsidR="00000000" w:rsidRDefault="00195E73">
            <w:pPr>
              <w:rPr>
                <w:rFonts w:eastAsia="Times New Roman"/>
                <w:sz w:val="20"/>
                <w:szCs w:val="20"/>
              </w:rPr>
            </w:pPr>
          </w:p>
        </w:tc>
      </w:tr>
      <w:tr w:rsidR="00000000" w14:paraId="1A3CEE36" w14:textId="77777777">
        <w:trPr>
          <w:divId w:val="1926377701"/>
          <w:jc w:val="center"/>
        </w:trPr>
        <w:tc>
          <w:tcPr>
            <w:tcW w:w="0" w:type="auto"/>
            <w:gridSpan w:val="3"/>
            <w:shd w:val="clear" w:color="auto" w:fill="FFFFFF"/>
            <w:tcMar>
              <w:top w:w="30" w:type="dxa"/>
              <w:left w:w="180" w:type="dxa"/>
              <w:bottom w:w="30" w:type="dxa"/>
              <w:right w:w="20" w:type="dxa"/>
            </w:tcMar>
            <w:vAlign w:val="bottom"/>
            <w:hideMark/>
          </w:tcPr>
          <w:p w14:paraId="6D31271E" w14:textId="77777777" w:rsidR="00000000" w:rsidRDefault="00195E73">
            <w:pPr>
              <w:rPr>
                <w:rFonts w:eastAsia="Times New Roman"/>
              </w:rPr>
            </w:pPr>
            <w:r>
              <w:rPr>
                <w:rFonts w:eastAsia="Times New Roman"/>
                <w:color w:val="000000"/>
                <w:sz w:val="20"/>
                <w:szCs w:val="20"/>
              </w:rPr>
              <w:t>Fair value of plan assets, beginning of yea</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11B68F34" w14:textId="77777777" w:rsidR="00000000" w:rsidRDefault="00195E73">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3A0878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07CCE8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0C6551" w14:textId="77777777" w:rsidR="00000000" w:rsidRDefault="00195E73">
            <w:pPr>
              <w:jc w:val="right"/>
              <w:rPr>
                <w:rFonts w:eastAsia="Times New Roman"/>
              </w:rPr>
            </w:pPr>
            <w:r>
              <w:rPr>
                <w:rFonts w:eastAsia="Times New Roman"/>
                <w:color w:val="000000"/>
                <w:sz w:val="20"/>
                <w:szCs w:val="20"/>
              </w:rPr>
              <w:t>115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9979E7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8A6B3AA" w14:textId="77777777" w:rsidR="00000000" w:rsidRDefault="00195E73">
            <w:pPr>
              <w:rPr>
                <w:rFonts w:eastAsia="Times New Roman"/>
                <w:sz w:val="20"/>
                <w:szCs w:val="20"/>
              </w:rPr>
            </w:pPr>
          </w:p>
        </w:tc>
        <w:tc>
          <w:tcPr>
            <w:tcW w:w="0" w:type="auto"/>
            <w:vAlign w:val="center"/>
            <w:hideMark/>
          </w:tcPr>
          <w:p w14:paraId="4E474D55" w14:textId="77777777" w:rsidR="00000000" w:rsidRDefault="00195E73">
            <w:pPr>
              <w:rPr>
                <w:rFonts w:eastAsia="Times New Roman"/>
                <w:sz w:val="20"/>
                <w:szCs w:val="20"/>
              </w:rPr>
            </w:pPr>
          </w:p>
        </w:tc>
        <w:tc>
          <w:tcPr>
            <w:tcW w:w="0" w:type="auto"/>
            <w:vAlign w:val="center"/>
            <w:hideMark/>
          </w:tcPr>
          <w:p w14:paraId="206EA826" w14:textId="77777777" w:rsidR="00000000" w:rsidRDefault="00195E73">
            <w:pPr>
              <w:rPr>
                <w:rFonts w:eastAsia="Times New Roman"/>
                <w:sz w:val="20"/>
                <w:szCs w:val="20"/>
              </w:rPr>
            </w:pPr>
          </w:p>
        </w:tc>
        <w:tc>
          <w:tcPr>
            <w:tcW w:w="0" w:type="auto"/>
            <w:vAlign w:val="center"/>
            <w:hideMark/>
          </w:tcPr>
          <w:p w14:paraId="50356D5B" w14:textId="77777777" w:rsidR="00000000" w:rsidRDefault="00195E73">
            <w:pPr>
              <w:rPr>
                <w:rFonts w:eastAsia="Times New Roman"/>
                <w:sz w:val="20"/>
                <w:szCs w:val="20"/>
              </w:rPr>
            </w:pPr>
          </w:p>
        </w:tc>
        <w:tc>
          <w:tcPr>
            <w:tcW w:w="0" w:type="auto"/>
            <w:vAlign w:val="center"/>
            <w:hideMark/>
          </w:tcPr>
          <w:p w14:paraId="2CB114B3" w14:textId="77777777" w:rsidR="00000000" w:rsidRDefault="00195E73">
            <w:pPr>
              <w:rPr>
                <w:rFonts w:eastAsia="Times New Roman"/>
                <w:sz w:val="20"/>
                <w:szCs w:val="20"/>
              </w:rPr>
            </w:pPr>
          </w:p>
        </w:tc>
        <w:tc>
          <w:tcPr>
            <w:tcW w:w="0" w:type="auto"/>
            <w:vAlign w:val="center"/>
            <w:hideMark/>
          </w:tcPr>
          <w:p w14:paraId="2073EC4C" w14:textId="77777777" w:rsidR="00000000" w:rsidRDefault="00195E73">
            <w:pPr>
              <w:rPr>
                <w:rFonts w:eastAsia="Times New Roman"/>
                <w:sz w:val="20"/>
                <w:szCs w:val="20"/>
              </w:rPr>
            </w:pPr>
          </w:p>
        </w:tc>
      </w:tr>
      <w:tr w:rsidR="00000000" w14:paraId="35AA6714" w14:textId="77777777">
        <w:trPr>
          <w:divId w:val="1926377701"/>
          <w:jc w:val="center"/>
        </w:trPr>
        <w:tc>
          <w:tcPr>
            <w:tcW w:w="0" w:type="auto"/>
            <w:gridSpan w:val="3"/>
            <w:shd w:val="clear" w:color="auto" w:fill="CCEEFF"/>
            <w:tcMar>
              <w:top w:w="30" w:type="dxa"/>
              <w:left w:w="180" w:type="dxa"/>
              <w:bottom w:w="30" w:type="dxa"/>
              <w:right w:w="20" w:type="dxa"/>
            </w:tcMar>
            <w:vAlign w:val="bottom"/>
            <w:hideMark/>
          </w:tcPr>
          <w:p w14:paraId="2E8B55D9" w14:textId="77777777" w:rsidR="00000000" w:rsidRDefault="00195E73">
            <w:pPr>
              <w:rPr>
                <w:rFonts w:eastAsia="Times New Roman"/>
              </w:rPr>
            </w:pPr>
            <w:r>
              <w:rPr>
                <w:rFonts w:eastAsia="Times New Roman"/>
                <w:color w:val="000000"/>
                <w:sz w:val="20"/>
                <w:szCs w:val="20"/>
              </w:rPr>
              <w:t>Actual return on plan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2694392" w14:textId="77777777" w:rsidR="00000000" w:rsidRDefault="00195E73">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B51F46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1B093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3E2481" w14:textId="77777777" w:rsidR="00000000" w:rsidRDefault="00195E73">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50B3D4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B3BCE5F" w14:textId="77777777" w:rsidR="00000000" w:rsidRDefault="00195E73">
            <w:pPr>
              <w:rPr>
                <w:rFonts w:eastAsia="Times New Roman"/>
                <w:sz w:val="20"/>
                <w:szCs w:val="20"/>
              </w:rPr>
            </w:pPr>
          </w:p>
        </w:tc>
        <w:tc>
          <w:tcPr>
            <w:tcW w:w="0" w:type="auto"/>
            <w:vAlign w:val="center"/>
            <w:hideMark/>
          </w:tcPr>
          <w:p w14:paraId="40690813" w14:textId="77777777" w:rsidR="00000000" w:rsidRDefault="00195E73">
            <w:pPr>
              <w:rPr>
                <w:rFonts w:eastAsia="Times New Roman"/>
                <w:sz w:val="20"/>
                <w:szCs w:val="20"/>
              </w:rPr>
            </w:pPr>
          </w:p>
        </w:tc>
        <w:tc>
          <w:tcPr>
            <w:tcW w:w="0" w:type="auto"/>
            <w:vAlign w:val="center"/>
            <w:hideMark/>
          </w:tcPr>
          <w:p w14:paraId="18679A98" w14:textId="77777777" w:rsidR="00000000" w:rsidRDefault="00195E73">
            <w:pPr>
              <w:rPr>
                <w:rFonts w:eastAsia="Times New Roman"/>
                <w:sz w:val="20"/>
                <w:szCs w:val="20"/>
              </w:rPr>
            </w:pPr>
          </w:p>
        </w:tc>
        <w:tc>
          <w:tcPr>
            <w:tcW w:w="0" w:type="auto"/>
            <w:vAlign w:val="center"/>
            <w:hideMark/>
          </w:tcPr>
          <w:p w14:paraId="59A27CF4" w14:textId="77777777" w:rsidR="00000000" w:rsidRDefault="00195E73">
            <w:pPr>
              <w:rPr>
                <w:rFonts w:eastAsia="Times New Roman"/>
                <w:sz w:val="20"/>
                <w:szCs w:val="20"/>
              </w:rPr>
            </w:pPr>
          </w:p>
        </w:tc>
        <w:tc>
          <w:tcPr>
            <w:tcW w:w="0" w:type="auto"/>
            <w:vAlign w:val="center"/>
            <w:hideMark/>
          </w:tcPr>
          <w:p w14:paraId="49A07E46" w14:textId="77777777" w:rsidR="00000000" w:rsidRDefault="00195E73">
            <w:pPr>
              <w:rPr>
                <w:rFonts w:eastAsia="Times New Roman"/>
                <w:sz w:val="20"/>
                <w:szCs w:val="20"/>
              </w:rPr>
            </w:pPr>
          </w:p>
        </w:tc>
        <w:tc>
          <w:tcPr>
            <w:tcW w:w="0" w:type="auto"/>
            <w:vAlign w:val="center"/>
            <w:hideMark/>
          </w:tcPr>
          <w:p w14:paraId="2D1910E8" w14:textId="77777777" w:rsidR="00000000" w:rsidRDefault="00195E73">
            <w:pPr>
              <w:rPr>
                <w:rFonts w:eastAsia="Times New Roman"/>
                <w:sz w:val="20"/>
                <w:szCs w:val="20"/>
              </w:rPr>
            </w:pPr>
          </w:p>
        </w:tc>
      </w:tr>
      <w:tr w:rsidR="00000000" w14:paraId="006F8F8B" w14:textId="77777777">
        <w:trPr>
          <w:divId w:val="1926377701"/>
          <w:jc w:val="center"/>
        </w:trPr>
        <w:tc>
          <w:tcPr>
            <w:tcW w:w="0" w:type="auto"/>
            <w:gridSpan w:val="3"/>
            <w:shd w:val="clear" w:color="auto" w:fill="FFFFFF"/>
            <w:tcMar>
              <w:top w:w="30" w:type="dxa"/>
              <w:left w:w="180" w:type="dxa"/>
              <w:bottom w:w="30" w:type="dxa"/>
              <w:right w:w="20" w:type="dxa"/>
            </w:tcMar>
            <w:vAlign w:val="bottom"/>
            <w:hideMark/>
          </w:tcPr>
          <w:p w14:paraId="65413917" w14:textId="77777777" w:rsidR="00000000" w:rsidRDefault="00195E73">
            <w:pPr>
              <w:rPr>
                <w:rFonts w:eastAsia="Times New Roman"/>
              </w:rPr>
            </w:pPr>
            <w:r>
              <w:rPr>
                <w:rFonts w:eastAsia="Times New Roman"/>
                <w:color w:val="000000"/>
                <w:sz w:val="20"/>
                <w:szCs w:val="20"/>
              </w:rPr>
              <w:t>Employer contribution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238047F"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A11272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F179A5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881A7F"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6D6AC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FA5482D" w14:textId="77777777" w:rsidR="00000000" w:rsidRDefault="00195E73">
            <w:pPr>
              <w:rPr>
                <w:rFonts w:eastAsia="Times New Roman"/>
                <w:sz w:val="20"/>
                <w:szCs w:val="20"/>
              </w:rPr>
            </w:pPr>
          </w:p>
        </w:tc>
        <w:tc>
          <w:tcPr>
            <w:tcW w:w="0" w:type="auto"/>
            <w:vAlign w:val="center"/>
            <w:hideMark/>
          </w:tcPr>
          <w:p w14:paraId="12CECCED" w14:textId="77777777" w:rsidR="00000000" w:rsidRDefault="00195E73">
            <w:pPr>
              <w:rPr>
                <w:rFonts w:eastAsia="Times New Roman"/>
                <w:sz w:val="20"/>
                <w:szCs w:val="20"/>
              </w:rPr>
            </w:pPr>
          </w:p>
        </w:tc>
        <w:tc>
          <w:tcPr>
            <w:tcW w:w="0" w:type="auto"/>
            <w:vAlign w:val="center"/>
            <w:hideMark/>
          </w:tcPr>
          <w:p w14:paraId="22986D20" w14:textId="77777777" w:rsidR="00000000" w:rsidRDefault="00195E73">
            <w:pPr>
              <w:rPr>
                <w:rFonts w:eastAsia="Times New Roman"/>
                <w:sz w:val="20"/>
                <w:szCs w:val="20"/>
              </w:rPr>
            </w:pPr>
          </w:p>
        </w:tc>
        <w:tc>
          <w:tcPr>
            <w:tcW w:w="0" w:type="auto"/>
            <w:vAlign w:val="center"/>
            <w:hideMark/>
          </w:tcPr>
          <w:p w14:paraId="4C9F33F9" w14:textId="77777777" w:rsidR="00000000" w:rsidRDefault="00195E73">
            <w:pPr>
              <w:rPr>
                <w:rFonts w:eastAsia="Times New Roman"/>
                <w:sz w:val="20"/>
                <w:szCs w:val="20"/>
              </w:rPr>
            </w:pPr>
          </w:p>
        </w:tc>
        <w:tc>
          <w:tcPr>
            <w:tcW w:w="0" w:type="auto"/>
            <w:vAlign w:val="center"/>
            <w:hideMark/>
          </w:tcPr>
          <w:p w14:paraId="1299BF03" w14:textId="77777777" w:rsidR="00000000" w:rsidRDefault="00195E73">
            <w:pPr>
              <w:rPr>
                <w:rFonts w:eastAsia="Times New Roman"/>
                <w:sz w:val="20"/>
                <w:szCs w:val="20"/>
              </w:rPr>
            </w:pPr>
          </w:p>
        </w:tc>
        <w:tc>
          <w:tcPr>
            <w:tcW w:w="0" w:type="auto"/>
            <w:vAlign w:val="center"/>
            <w:hideMark/>
          </w:tcPr>
          <w:p w14:paraId="2F418A9E" w14:textId="77777777" w:rsidR="00000000" w:rsidRDefault="00195E73">
            <w:pPr>
              <w:rPr>
                <w:rFonts w:eastAsia="Times New Roman"/>
                <w:sz w:val="20"/>
                <w:szCs w:val="20"/>
              </w:rPr>
            </w:pPr>
          </w:p>
        </w:tc>
      </w:tr>
      <w:tr w:rsidR="00000000" w14:paraId="3EB27EED" w14:textId="77777777">
        <w:trPr>
          <w:divId w:val="1926377701"/>
          <w:jc w:val="center"/>
        </w:trPr>
        <w:tc>
          <w:tcPr>
            <w:tcW w:w="0" w:type="auto"/>
            <w:gridSpan w:val="3"/>
            <w:shd w:val="clear" w:color="auto" w:fill="CCEEFF"/>
            <w:tcMar>
              <w:top w:w="30" w:type="dxa"/>
              <w:left w:w="180" w:type="dxa"/>
              <w:bottom w:w="30" w:type="dxa"/>
              <w:right w:w="20" w:type="dxa"/>
            </w:tcMar>
            <w:vAlign w:val="bottom"/>
            <w:hideMark/>
          </w:tcPr>
          <w:p w14:paraId="52E26731" w14:textId="77777777" w:rsidR="00000000" w:rsidRDefault="00195E73">
            <w:pPr>
              <w:rPr>
                <w:rFonts w:eastAsia="Times New Roman"/>
              </w:rPr>
            </w:pPr>
            <w:r>
              <w:rPr>
                <w:rFonts w:eastAsia="Times New Roman"/>
                <w:color w:val="000000"/>
                <w:sz w:val="20"/>
                <w:szCs w:val="20"/>
              </w:rPr>
              <w:t>Plan settlement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529D9645"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29AC7B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6EC412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8C12D8" w14:textId="77777777" w:rsidR="00000000" w:rsidRDefault="00195E73">
            <w:pPr>
              <w:jc w:val="right"/>
              <w:rPr>
                <w:rFonts w:eastAsia="Times New Roman"/>
              </w:rPr>
            </w:pPr>
            <w:r>
              <w:rPr>
                <w:rFonts w:eastAsia="Times New Roman"/>
                <w:color w:val="000000"/>
                <w:sz w:val="20"/>
                <w:szCs w:val="20"/>
              </w:rPr>
              <w:t>(28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8BBB03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3650591" w14:textId="77777777" w:rsidR="00000000" w:rsidRDefault="00195E73">
            <w:pPr>
              <w:rPr>
                <w:rFonts w:eastAsia="Times New Roman"/>
                <w:sz w:val="20"/>
                <w:szCs w:val="20"/>
              </w:rPr>
            </w:pPr>
          </w:p>
        </w:tc>
        <w:tc>
          <w:tcPr>
            <w:tcW w:w="0" w:type="auto"/>
            <w:vAlign w:val="center"/>
            <w:hideMark/>
          </w:tcPr>
          <w:p w14:paraId="75934EFF" w14:textId="77777777" w:rsidR="00000000" w:rsidRDefault="00195E73">
            <w:pPr>
              <w:rPr>
                <w:rFonts w:eastAsia="Times New Roman"/>
                <w:sz w:val="20"/>
                <w:szCs w:val="20"/>
              </w:rPr>
            </w:pPr>
          </w:p>
        </w:tc>
        <w:tc>
          <w:tcPr>
            <w:tcW w:w="0" w:type="auto"/>
            <w:vAlign w:val="center"/>
            <w:hideMark/>
          </w:tcPr>
          <w:p w14:paraId="2F4A817D" w14:textId="77777777" w:rsidR="00000000" w:rsidRDefault="00195E73">
            <w:pPr>
              <w:rPr>
                <w:rFonts w:eastAsia="Times New Roman"/>
                <w:sz w:val="20"/>
                <w:szCs w:val="20"/>
              </w:rPr>
            </w:pPr>
          </w:p>
        </w:tc>
        <w:tc>
          <w:tcPr>
            <w:tcW w:w="0" w:type="auto"/>
            <w:vAlign w:val="center"/>
            <w:hideMark/>
          </w:tcPr>
          <w:p w14:paraId="58566968" w14:textId="77777777" w:rsidR="00000000" w:rsidRDefault="00195E73">
            <w:pPr>
              <w:rPr>
                <w:rFonts w:eastAsia="Times New Roman"/>
                <w:sz w:val="20"/>
                <w:szCs w:val="20"/>
              </w:rPr>
            </w:pPr>
          </w:p>
        </w:tc>
        <w:tc>
          <w:tcPr>
            <w:tcW w:w="0" w:type="auto"/>
            <w:vAlign w:val="center"/>
            <w:hideMark/>
          </w:tcPr>
          <w:p w14:paraId="0616A230" w14:textId="77777777" w:rsidR="00000000" w:rsidRDefault="00195E73">
            <w:pPr>
              <w:rPr>
                <w:rFonts w:eastAsia="Times New Roman"/>
                <w:sz w:val="20"/>
                <w:szCs w:val="20"/>
              </w:rPr>
            </w:pPr>
          </w:p>
        </w:tc>
        <w:tc>
          <w:tcPr>
            <w:tcW w:w="0" w:type="auto"/>
            <w:vAlign w:val="center"/>
            <w:hideMark/>
          </w:tcPr>
          <w:p w14:paraId="2D58B207" w14:textId="77777777" w:rsidR="00000000" w:rsidRDefault="00195E73">
            <w:pPr>
              <w:rPr>
                <w:rFonts w:eastAsia="Times New Roman"/>
                <w:sz w:val="20"/>
                <w:szCs w:val="20"/>
              </w:rPr>
            </w:pPr>
          </w:p>
        </w:tc>
      </w:tr>
      <w:tr w:rsidR="00000000" w14:paraId="636B39FB" w14:textId="77777777">
        <w:trPr>
          <w:divId w:val="1926377701"/>
          <w:jc w:val="center"/>
        </w:trPr>
        <w:tc>
          <w:tcPr>
            <w:tcW w:w="0" w:type="auto"/>
            <w:gridSpan w:val="3"/>
            <w:shd w:val="clear" w:color="auto" w:fill="FFFFFF"/>
            <w:tcMar>
              <w:top w:w="30" w:type="dxa"/>
              <w:left w:w="180" w:type="dxa"/>
              <w:bottom w:w="30" w:type="dxa"/>
              <w:right w:w="20" w:type="dxa"/>
            </w:tcMar>
            <w:vAlign w:val="bottom"/>
            <w:hideMark/>
          </w:tcPr>
          <w:p w14:paraId="60BC0F68" w14:textId="77777777" w:rsidR="00000000" w:rsidRDefault="00195E73">
            <w:pPr>
              <w:rPr>
                <w:rFonts w:eastAsia="Times New Roman"/>
              </w:rPr>
            </w:pPr>
            <w:r>
              <w:rPr>
                <w:rFonts w:eastAsia="Times New Roman"/>
                <w:color w:val="000000"/>
                <w:sz w:val="20"/>
                <w:szCs w:val="20"/>
              </w:rPr>
              <w:t>Benefits pai</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29A7E34C"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8C79E4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D0F97B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3CB288"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599DDD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ADFE05D" w14:textId="77777777" w:rsidR="00000000" w:rsidRDefault="00195E73">
            <w:pPr>
              <w:rPr>
                <w:rFonts w:eastAsia="Times New Roman"/>
                <w:sz w:val="20"/>
                <w:szCs w:val="20"/>
              </w:rPr>
            </w:pPr>
          </w:p>
        </w:tc>
        <w:tc>
          <w:tcPr>
            <w:tcW w:w="0" w:type="auto"/>
            <w:vAlign w:val="center"/>
            <w:hideMark/>
          </w:tcPr>
          <w:p w14:paraId="69AF1B3C" w14:textId="77777777" w:rsidR="00000000" w:rsidRDefault="00195E73">
            <w:pPr>
              <w:rPr>
                <w:rFonts w:eastAsia="Times New Roman"/>
                <w:sz w:val="20"/>
                <w:szCs w:val="20"/>
              </w:rPr>
            </w:pPr>
          </w:p>
        </w:tc>
        <w:tc>
          <w:tcPr>
            <w:tcW w:w="0" w:type="auto"/>
            <w:vAlign w:val="center"/>
            <w:hideMark/>
          </w:tcPr>
          <w:p w14:paraId="7DB4C9A0" w14:textId="77777777" w:rsidR="00000000" w:rsidRDefault="00195E73">
            <w:pPr>
              <w:rPr>
                <w:rFonts w:eastAsia="Times New Roman"/>
                <w:sz w:val="20"/>
                <w:szCs w:val="20"/>
              </w:rPr>
            </w:pPr>
          </w:p>
        </w:tc>
        <w:tc>
          <w:tcPr>
            <w:tcW w:w="0" w:type="auto"/>
            <w:vAlign w:val="center"/>
            <w:hideMark/>
          </w:tcPr>
          <w:p w14:paraId="1BA7F07E" w14:textId="77777777" w:rsidR="00000000" w:rsidRDefault="00195E73">
            <w:pPr>
              <w:rPr>
                <w:rFonts w:eastAsia="Times New Roman"/>
                <w:sz w:val="20"/>
                <w:szCs w:val="20"/>
              </w:rPr>
            </w:pPr>
          </w:p>
        </w:tc>
        <w:tc>
          <w:tcPr>
            <w:tcW w:w="0" w:type="auto"/>
            <w:vAlign w:val="center"/>
            <w:hideMark/>
          </w:tcPr>
          <w:p w14:paraId="14C1E4DF" w14:textId="77777777" w:rsidR="00000000" w:rsidRDefault="00195E73">
            <w:pPr>
              <w:rPr>
                <w:rFonts w:eastAsia="Times New Roman"/>
                <w:sz w:val="20"/>
                <w:szCs w:val="20"/>
              </w:rPr>
            </w:pPr>
          </w:p>
        </w:tc>
        <w:tc>
          <w:tcPr>
            <w:tcW w:w="0" w:type="auto"/>
            <w:vAlign w:val="center"/>
            <w:hideMark/>
          </w:tcPr>
          <w:p w14:paraId="6D760358" w14:textId="77777777" w:rsidR="00000000" w:rsidRDefault="00195E73">
            <w:pPr>
              <w:rPr>
                <w:rFonts w:eastAsia="Times New Roman"/>
                <w:sz w:val="20"/>
                <w:szCs w:val="20"/>
              </w:rPr>
            </w:pPr>
          </w:p>
        </w:tc>
      </w:tr>
      <w:tr w:rsidR="00000000" w14:paraId="7CCB86B9" w14:textId="77777777">
        <w:trPr>
          <w:divId w:val="1926377701"/>
          <w:jc w:val="center"/>
        </w:trPr>
        <w:tc>
          <w:tcPr>
            <w:tcW w:w="0" w:type="auto"/>
            <w:gridSpan w:val="3"/>
            <w:shd w:val="clear" w:color="auto" w:fill="CCEEFF"/>
            <w:tcMar>
              <w:top w:w="30" w:type="dxa"/>
              <w:left w:w="20" w:type="dxa"/>
              <w:bottom w:w="30" w:type="dxa"/>
              <w:right w:w="20" w:type="dxa"/>
            </w:tcMar>
            <w:vAlign w:val="bottom"/>
            <w:hideMark/>
          </w:tcPr>
          <w:p w14:paraId="239C4B7F" w14:textId="77777777" w:rsidR="00000000" w:rsidRDefault="00195E73">
            <w:pPr>
              <w:rPr>
                <w:rFonts w:eastAsia="Times New Roman"/>
              </w:rPr>
            </w:pPr>
            <w:r>
              <w:rPr>
                <w:rFonts w:eastAsia="Times New Roman"/>
                <w:color w:val="000000"/>
                <w:sz w:val="20"/>
                <w:szCs w:val="20"/>
              </w:rPr>
              <w:t>Fair value of plan assets, end of yea</w:t>
            </w:r>
            <w:r>
              <w:rPr>
                <w:rFonts w:eastAsia="Times New Roman"/>
                <w:color w:val="000000"/>
                <w:sz w:val="20"/>
                <w:szCs w:val="20"/>
              </w:rPr>
              <w:t>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08FD89" w14:textId="77777777" w:rsidR="00000000" w:rsidRDefault="00195E73">
            <w:pPr>
              <w:jc w:val="right"/>
              <w:rPr>
                <w:rFonts w:eastAsia="Times New Roman"/>
              </w:rPr>
            </w:pPr>
            <w:r>
              <w:rPr>
                <w:rFonts w:eastAsia="Times New Roman"/>
                <w:color w:val="000000"/>
                <w:sz w:val="20"/>
                <w:szCs w:val="20"/>
              </w:rPr>
              <w:t>89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9F345A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4C45CE2"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2C0092" w14:textId="77777777" w:rsidR="00000000" w:rsidRDefault="00195E73">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F1EE34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F0175DB" w14:textId="77777777" w:rsidR="00000000" w:rsidRDefault="00195E73">
            <w:pPr>
              <w:rPr>
                <w:rFonts w:eastAsia="Times New Roman"/>
                <w:sz w:val="20"/>
                <w:szCs w:val="20"/>
              </w:rPr>
            </w:pPr>
          </w:p>
        </w:tc>
        <w:tc>
          <w:tcPr>
            <w:tcW w:w="0" w:type="auto"/>
            <w:vAlign w:val="center"/>
            <w:hideMark/>
          </w:tcPr>
          <w:p w14:paraId="16131758" w14:textId="77777777" w:rsidR="00000000" w:rsidRDefault="00195E73">
            <w:pPr>
              <w:rPr>
                <w:rFonts w:eastAsia="Times New Roman"/>
                <w:sz w:val="20"/>
                <w:szCs w:val="20"/>
              </w:rPr>
            </w:pPr>
          </w:p>
        </w:tc>
        <w:tc>
          <w:tcPr>
            <w:tcW w:w="0" w:type="auto"/>
            <w:vAlign w:val="center"/>
            <w:hideMark/>
          </w:tcPr>
          <w:p w14:paraId="75735B10" w14:textId="77777777" w:rsidR="00000000" w:rsidRDefault="00195E73">
            <w:pPr>
              <w:rPr>
                <w:rFonts w:eastAsia="Times New Roman"/>
                <w:sz w:val="20"/>
                <w:szCs w:val="20"/>
              </w:rPr>
            </w:pPr>
          </w:p>
        </w:tc>
        <w:tc>
          <w:tcPr>
            <w:tcW w:w="0" w:type="auto"/>
            <w:vAlign w:val="center"/>
            <w:hideMark/>
          </w:tcPr>
          <w:p w14:paraId="65797BAE" w14:textId="77777777" w:rsidR="00000000" w:rsidRDefault="00195E73">
            <w:pPr>
              <w:rPr>
                <w:rFonts w:eastAsia="Times New Roman"/>
                <w:sz w:val="20"/>
                <w:szCs w:val="20"/>
              </w:rPr>
            </w:pPr>
          </w:p>
        </w:tc>
        <w:tc>
          <w:tcPr>
            <w:tcW w:w="0" w:type="auto"/>
            <w:vAlign w:val="center"/>
            <w:hideMark/>
          </w:tcPr>
          <w:p w14:paraId="008AC09F" w14:textId="77777777" w:rsidR="00000000" w:rsidRDefault="00195E73">
            <w:pPr>
              <w:rPr>
                <w:rFonts w:eastAsia="Times New Roman"/>
                <w:sz w:val="20"/>
                <w:szCs w:val="20"/>
              </w:rPr>
            </w:pPr>
          </w:p>
        </w:tc>
        <w:tc>
          <w:tcPr>
            <w:tcW w:w="0" w:type="auto"/>
            <w:vAlign w:val="center"/>
            <w:hideMark/>
          </w:tcPr>
          <w:p w14:paraId="660C3148" w14:textId="77777777" w:rsidR="00000000" w:rsidRDefault="00195E73">
            <w:pPr>
              <w:rPr>
                <w:rFonts w:eastAsia="Times New Roman"/>
                <w:sz w:val="20"/>
                <w:szCs w:val="20"/>
              </w:rPr>
            </w:pPr>
          </w:p>
        </w:tc>
      </w:tr>
      <w:tr w:rsidR="00000000" w14:paraId="3F612994" w14:textId="77777777">
        <w:trPr>
          <w:divId w:val="1926377701"/>
          <w:jc w:val="center"/>
        </w:trPr>
        <w:tc>
          <w:tcPr>
            <w:tcW w:w="0" w:type="auto"/>
            <w:gridSpan w:val="3"/>
            <w:shd w:val="clear" w:color="auto" w:fill="FFFFFF"/>
            <w:tcMar>
              <w:top w:w="30" w:type="dxa"/>
              <w:left w:w="20" w:type="dxa"/>
              <w:bottom w:w="30" w:type="dxa"/>
              <w:right w:w="20" w:type="dxa"/>
            </w:tcMar>
            <w:vAlign w:val="bottom"/>
            <w:hideMark/>
          </w:tcPr>
          <w:p w14:paraId="26FC5E45" w14:textId="77777777" w:rsidR="00000000" w:rsidRDefault="00195E73">
            <w:pPr>
              <w:rPr>
                <w:rFonts w:eastAsia="Times New Roman"/>
              </w:rPr>
            </w:pPr>
            <w:r>
              <w:rPr>
                <w:rFonts w:eastAsia="Times New Roman"/>
                <w:color w:val="000000"/>
                <w:sz w:val="20"/>
                <w:szCs w:val="20"/>
              </w:rPr>
              <w:t>Funded status of the plan and amounts recognized in the consolidated balance sheet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3AB948A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125AC86" w14:textId="77777777" w:rsidR="00000000" w:rsidRDefault="00195E73">
            <w:pPr>
              <w:jc w:val="right"/>
              <w:rPr>
                <w:rFonts w:eastAsia="Times New Roman"/>
              </w:rPr>
            </w:pPr>
            <w:r>
              <w:rPr>
                <w:rFonts w:eastAsia="Times New Roman"/>
                <w:color w:val="000000"/>
                <w:sz w:val="20"/>
                <w:szCs w:val="20"/>
              </w:rPr>
              <w:t>(65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D5879C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645A7AE"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93EA1D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2D48B75" w14:textId="77777777" w:rsidR="00000000" w:rsidRDefault="00195E73">
            <w:pPr>
              <w:jc w:val="right"/>
              <w:rPr>
                <w:rFonts w:eastAsia="Times New Roman"/>
              </w:rPr>
            </w:pPr>
            <w:r>
              <w:rPr>
                <w:rFonts w:eastAsia="Times New Roman"/>
                <w:color w:val="000000"/>
                <w:sz w:val="20"/>
                <w:szCs w:val="20"/>
              </w:rPr>
              <w:t>(71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EF6B7C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9F4666B" w14:textId="77777777" w:rsidR="00000000" w:rsidRDefault="00195E73">
            <w:pPr>
              <w:rPr>
                <w:rFonts w:eastAsia="Times New Roman"/>
                <w:sz w:val="20"/>
                <w:szCs w:val="20"/>
              </w:rPr>
            </w:pPr>
          </w:p>
        </w:tc>
        <w:tc>
          <w:tcPr>
            <w:tcW w:w="0" w:type="auto"/>
            <w:vAlign w:val="center"/>
            <w:hideMark/>
          </w:tcPr>
          <w:p w14:paraId="4009F8A7" w14:textId="77777777" w:rsidR="00000000" w:rsidRDefault="00195E73">
            <w:pPr>
              <w:rPr>
                <w:rFonts w:eastAsia="Times New Roman"/>
                <w:sz w:val="20"/>
                <w:szCs w:val="20"/>
              </w:rPr>
            </w:pPr>
          </w:p>
        </w:tc>
        <w:tc>
          <w:tcPr>
            <w:tcW w:w="0" w:type="auto"/>
            <w:vAlign w:val="center"/>
            <w:hideMark/>
          </w:tcPr>
          <w:p w14:paraId="5994FA14" w14:textId="77777777" w:rsidR="00000000" w:rsidRDefault="00195E73">
            <w:pPr>
              <w:rPr>
                <w:rFonts w:eastAsia="Times New Roman"/>
                <w:sz w:val="20"/>
                <w:szCs w:val="20"/>
              </w:rPr>
            </w:pPr>
          </w:p>
        </w:tc>
        <w:tc>
          <w:tcPr>
            <w:tcW w:w="0" w:type="auto"/>
            <w:vAlign w:val="center"/>
            <w:hideMark/>
          </w:tcPr>
          <w:p w14:paraId="434AC22F" w14:textId="77777777" w:rsidR="00000000" w:rsidRDefault="00195E73">
            <w:pPr>
              <w:rPr>
                <w:rFonts w:eastAsia="Times New Roman"/>
                <w:sz w:val="20"/>
                <w:szCs w:val="20"/>
              </w:rPr>
            </w:pPr>
          </w:p>
        </w:tc>
        <w:tc>
          <w:tcPr>
            <w:tcW w:w="0" w:type="auto"/>
            <w:vAlign w:val="center"/>
            <w:hideMark/>
          </w:tcPr>
          <w:p w14:paraId="260854A6" w14:textId="77777777" w:rsidR="00000000" w:rsidRDefault="00195E73">
            <w:pPr>
              <w:rPr>
                <w:rFonts w:eastAsia="Times New Roman"/>
                <w:sz w:val="20"/>
                <w:szCs w:val="20"/>
              </w:rPr>
            </w:pPr>
          </w:p>
        </w:tc>
        <w:tc>
          <w:tcPr>
            <w:tcW w:w="0" w:type="auto"/>
            <w:vAlign w:val="center"/>
            <w:hideMark/>
          </w:tcPr>
          <w:p w14:paraId="28A43A66" w14:textId="77777777" w:rsidR="00000000" w:rsidRDefault="00195E73">
            <w:pPr>
              <w:rPr>
                <w:rFonts w:eastAsia="Times New Roman"/>
                <w:sz w:val="20"/>
                <w:szCs w:val="20"/>
              </w:rPr>
            </w:pPr>
          </w:p>
        </w:tc>
      </w:tr>
      <w:tr w:rsidR="00000000" w14:paraId="10D89A0D" w14:textId="77777777">
        <w:trPr>
          <w:divId w:val="1926377701"/>
          <w:jc w:val="center"/>
        </w:trPr>
        <w:tc>
          <w:tcPr>
            <w:tcW w:w="0" w:type="auto"/>
            <w:gridSpan w:val="3"/>
            <w:shd w:val="clear" w:color="auto" w:fill="CCEEFF"/>
            <w:tcMar>
              <w:top w:w="30" w:type="dxa"/>
              <w:left w:w="20" w:type="dxa"/>
              <w:bottom w:w="30" w:type="dxa"/>
              <w:right w:w="20" w:type="dxa"/>
            </w:tcMar>
            <w:vAlign w:val="bottom"/>
            <w:hideMark/>
          </w:tcPr>
          <w:p w14:paraId="0D84FA65" w14:textId="77777777" w:rsidR="00000000" w:rsidRDefault="00195E73">
            <w:pPr>
              <w:ind w:hanging="180"/>
              <w:divId w:val="818152786"/>
              <w:rPr>
                <w:rFonts w:eastAsia="Times New Roman"/>
              </w:rPr>
            </w:pPr>
            <w:r>
              <w:rPr>
                <w:rFonts w:eastAsia="Times New Roman"/>
                <w:color w:val="000000"/>
                <w:sz w:val="20"/>
                <w:szCs w:val="20"/>
              </w:rPr>
              <w:t>Amounts recognized in accumulated other comprehensive loss, inclusive of tax impact</w:t>
            </w:r>
            <w:r>
              <w:rPr>
                <w:rFonts w:eastAsia="Times New Roman"/>
                <w:color w:val="000000"/>
                <w:sz w:val="20"/>
                <w:szCs w:val="20"/>
              </w:rPr>
              <w:t>s</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4186B02F"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6721DD74" w14:textId="77777777" w:rsidR="00000000" w:rsidRDefault="00195E73">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193997F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186A223" w14:textId="77777777" w:rsidR="00000000" w:rsidRDefault="00195E73">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3506EB49" w14:textId="77777777" w:rsidR="00000000" w:rsidRDefault="00195E73">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657D2FCD" w14:textId="77777777" w:rsidR="00000000" w:rsidRDefault="00195E73">
            <w:pPr>
              <w:jc w:val="right"/>
              <w:rPr>
                <w:rFonts w:eastAsia="Times New Roman"/>
              </w:rPr>
            </w:pPr>
            <w:r>
              <w:rPr>
                <w:rFonts w:eastAsia="Times New Roman"/>
                <w:color w:val="000000"/>
                <w:sz w:val="20"/>
                <w:szCs w:val="20"/>
              </w:rPr>
              <w:t>(44</w:t>
            </w: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0E9FB4F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FEE84B5" w14:textId="77777777" w:rsidR="00000000" w:rsidRDefault="00195E73">
            <w:pPr>
              <w:rPr>
                <w:rFonts w:eastAsia="Times New Roman"/>
                <w:sz w:val="20"/>
                <w:szCs w:val="20"/>
              </w:rPr>
            </w:pPr>
          </w:p>
        </w:tc>
        <w:tc>
          <w:tcPr>
            <w:tcW w:w="0" w:type="auto"/>
            <w:vAlign w:val="center"/>
            <w:hideMark/>
          </w:tcPr>
          <w:p w14:paraId="1C65DBD6" w14:textId="77777777" w:rsidR="00000000" w:rsidRDefault="00195E73">
            <w:pPr>
              <w:rPr>
                <w:rFonts w:eastAsia="Times New Roman"/>
                <w:sz w:val="20"/>
                <w:szCs w:val="20"/>
              </w:rPr>
            </w:pPr>
          </w:p>
        </w:tc>
        <w:tc>
          <w:tcPr>
            <w:tcW w:w="0" w:type="auto"/>
            <w:vAlign w:val="center"/>
            <w:hideMark/>
          </w:tcPr>
          <w:p w14:paraId="0AAF708B" w14:textId="77777777" w:rsidR="00000000" w:rsidRDefault="00195E73">
            <w:pPr>
              <w:rPr>
                <w:rFonts w:eastAsia="Times New Roman"/>
                <w:sz w:val="20"/>
                <w:szCs w:val="20"/>
              </w:rPr>
            </w:pPr>
          </w:p>
        </w:tc>
        <w:tc>
          <w:tcPr>
            <w:tcW w:w="0" w:type="auto"/>
            <w:vAlign w:val="center"/>
            <w:hideMark/>
          </w:tcPr>
          <w:p w14:paraId="077D4922" w14:textId="77777777" w:rsidR="00000000" w:rsidRDefault="00195E73">
            <w:pPr>
              <w:rPr>
                <w:rFonts w:eastAsia="Times New Roman"/>
                <w:sz w:val="20"/>
                <w:szCs w:val="20"/>
              </w:rPr>
            </w:pPr>
          </w:p>
        </w:tc>
        <w:tc>
          <w:tcPr>
            <w:tcW w:w="0" w:type="auto"/>
            <w:vAlign w:val="center"/>
            <w:hideMark/>
          </w:tcPr>
          <w:p w14:paraId="6C6B5F83" w14:textId="77777777" w:rsidR="00000000" w:rsidRDefault="00195E73">
            <w:pPr>
              <w:rPr>
                <w:rFonts w:eastAsia="Times New Roman"/>
                <w:sz w:val="20"/>
                <w:szCs w:val="20"/>
              </w:rPr>
            </w:pPr>
          </w:p>
        </w:tc>
        <w:tc>
          <w:tcPr>
            <w:tcW w:w="0" w:type="auto"/>
            <w:vAlign w:val="center"/>
            <w:hideMark/>
          </w:tcPr>
          <w:p w14:paraId="6E3C0D56" w14:textId="77777777" w:rsidR="00000000" w:rsidRDefault="00195E73">
            <w:pPr>
              <w:rPr>
                <w:rFonts w:eastAsia="Times New Roman"/>
                <w:sz w:val="20"/>
                <w:szCs w:val="20"/>
              </w:rPr>
            </w:pPr>
          </w:p>
        </w:tc>
      </w:tr>
    </w:tbl>
    <w:p w14:paraId="609A974C" w14:textId="77777777" w:rsidR="00000000" w:rsidRDefault="00195E73">
      <w:pPr>
        <w:divId w:val="1353723727"/>
        <w:rPr>
          <w:rFonts w:eastAsia="Times New Roman"/>
        </w:rPr>
      </w:pPr>
    </w:p>
    <w:p w14:paraId="25AB2FC1" w14:textId="77777777" w:rsidR="00000000" w:rsidRDefault="00195E73">
      <w:pPr>
        <w:divId w:val="1887915212"/>
        <w:rPr>
          <w:rFonts w:eastAsia="Times New Roman"/>
        </w:rPr>
      </w:pPr>
      <w:r>
        <w:rPr>
          <w:rFonts w:eastAsia="Times New Roman"/>
          <w:b/>
          <w:bCs/>
          <w:i/>
          <w:iCs/>
          <w:color w:val="000000"/>
          <w:sz w:val="20"/>
          <w:szCs w:val="20"/>
        </w:rPr>
        <w:t>Defined Benefit Plans Measured at Fair Value on a Recurring Basi</w:t>
      </w:r>
      <w:r>
        <w:rPr>
          <w:rFonts w:eastAsia="Times New Roman"/>
          <w:b/>
          <w:bCs/>
          <w:i/>
          <w:iCs/>
          <w:color w:val="000000"/>
          <w:sz w:val="20"/>
          <w:szCs w:val="20"/>
        </w:rPr>
        <w:t>s</w:t>
      </w:r>
    </w:p>
    <w:p w14:paraId="3353BD3B" w14:textId="77777777" w:rsidR="00000000" w:rsidRDefault="00195E73">
      <w:pPr>
        <w:ind w:firstLine="450"/>
        <w:divId w:val="1008366889"/>
        <w:rPr>
          <w:rFonts w:eastAsia="Times New Roman"/>
        </w:rPr>
      </w:pPr>
      <w:r>
        <w:rPr>
          <w:rFonts w:eastAsia="Times New Roman"/>
          <w:color w:val="000000"/>
          <w:sz w:val="20"/>
          <w:szCs w:val="20"/>
        </w:rPr>
        <w:t>The following table presents Viskase’s defined benefit plan assets measured at fair value on a recurring basis</w:t>
      </w:r>
      <w:r>
        <w:rPr>
          <w:rFonts w:eastAsia="Times New Roman"/>
          <w:color w:val="000000"/>
          <w:sz w:val="20"/>
          <w:szCs w:val="20"/>
        </w:rPr>
        <w:t>:</w:t>
      </w:r>
    </w:p>
    <w:tbl>
      <w:tblPr>
        <w:tblW w:w="4970" w:type="pct"/>
        <w:tblCellMar>
          <w:top w:w="15" w:type="dxa"/>
          <w:left w:w="15" w:type="dxa"/>
          <w:bottom w:w="15" w:type="dxa"/>
          <w:right w:w="15" w:type="dxa"/>
        </w:tblCellMar>
        <w:tblLook w:val="04A0" w:firstRow="1" w:lastRow="0" w:firstColumn="1" w:lastColumn="0" w:noHBand="0" w:noVBand="1"/>
      </w:tblPr>
      <w:tblGrid>
        <w:gridCol w:w="40"/>
        <w:gridCol w:w="2108"/>
        <w:gridCol w:w="38"/>
        <w:gridCol w:w="136"/>
        <w:gridCol w:w="565"/>
        <w:gridCol w:w="85"/>
        <w:gridCol w:w="36"/>
        <w:gridCol w:w="36"/>
        <w:gridCol w:w="36"/>
        <w:gridCol w:w="136"/>
        <w:gridCol w:w="532"/>
        <w:gridCol w:w="85"/>
        <w:gridCol w:w="36"/>
        <w:gridCol w:w="36"/>
        <w:gridCol w:w="36"/>
        <w:gridCol w:w="136"/>
        <w:gridCol w:w="532"/>
        <w:gridCol w:w="85"/>
        <w:gridCol w:w="36"/>
        <w:gridCol w:w="36"/>
        <w:gridCol w:w="36"/>
        <w:gridCol w:w="136"/>
        <w:gridCol w:w="534"/>
        <w:gridCol w:w="85"/>
        <w:gridCol w:w="36"/>
        <w:gridCol w:w="36"/>
        <w:gridCol w:w="36"/>
        <w:gridCol w:w="136"/>
        <w:gridCol w:w="534"/>
        <w:gridCol w:w="85"/>
        <w:gridCol w:w="36"/>
        <w:gridCol w:w="36"/>
        <w:gridCol w:w="36"/>
        <w:gridCol w:w="136"/>
        <w:gridCol w:w="534"/>
        <w:gridCol w:w="8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381F033C" w14:textId="77777777">
        <w:trPr>
          <w:gridAfter w:val="27"/>
          <w:divId w:val="1949923715"/>
        </w:trPr>
        <w:tc>
          <w:tcPr>
            <w:tcW w:w="50" w:type="pct"/>
            <w:vAlign w:val="center"/>
            <w:hideMark/>
          </w:tcPr>
          <w:p w14:paraId="2E8F4A2A" w14:textId="77777777" w:rsidR="00000000" w:rsidRDefault="00195E73">
            <w:pPr>
              <w:ind w:firstLine="450"/>
              <w:rPr>
                <w:rFonts w:eastAsia="Times New Roman"/>
              </w:rPr>
            </w:pPr>
          </w:p>
        </w:tc>
        <w:tc>
          <w:tcPr>
            <w:tcW w:w="1495" w:type="pct"/>
            <w:vAlign w:val="center"/>
            <w:hideMark/>
          </w:tcPr>
          <w:p w14:paraId="4A1CFCE8" w14:textId="77777777" w:rsidR="00000000" w:rsidRDefault="00195E73">
            <w:pPr>
              <w:rPr>
                <w:rFonts w:eastAsia="Times New Roman"/>
                <w:sz w:val="20"/>
                <w:szCs w:val="20"/>
              </w:rPr>
            </w:pPr>
          </w:p>
        </w:tc>
        <w:tc>
          <w:tcPr>
            <w:tcW w:w="50" w:type="pct"/>
            <w:vAlign w:val="center"/>
            <w:hideMark/>
          </w:tcPr>
          <w:p w14:paraId="551F2D57" w14:textId="77777777" w:rsidR="00000000" w:rsidRDefault="00195E73">
            <w:pPr>
              <w:rPr>
                <w:rFonts w:eastAsia="Times New Roman"/>
                <w:sz w:val="20"/>
                <w:szCs w:val="20"/>
              </w:rPr>
            </w:pPr>
          </w:p>
        </w:tc>
        <w:tc>
          <w:tcPr>
            <w:tcW w:w="50" w:type="pct"/>
            <w:vAlign w:val="center"/>
            <w:hideMark/>
          </w:tcPr>
          <w:p w14:paraId="281B5360" w14:textId="77777777" w:rsidR="00000000" w:rsidRDefault="00195E73">
            <w:pPr>
              <w:rPr>
                <w:rFonts w:eastAsia="Times New Roman"/>
                <w:sz w:val="20"/>
                <w:szCs w:val="20"/>
              </w:rPr>
            </w:pPr>
          </w:p>
        </w:tc>
        <w:tc>
          <w:tcPr>
            <w:tcW w:w="436" w:type="pct"/>
            <w:vAlign w:val="center"/>
            <w:hideMark/>
          </w:tcPr>
          <w:p w14:paraId="3B5A4B83" w14:textId="77777777" w:rsidR="00000000" w:rsidRDefault="00195E73">
            <w:pPr>
              <w:rPr>
                <w:rFonts w:eastAsia="Times New Roman"/>
                <w:sz w:val="20"/>
                <w:szCs w:val="20"/>
              </w:rPr>
            </w:pPr>
          </w:p>
        </w:tc>
        <w:tc>
          <w:tcPr>
            <w:tcW w:w="50" w:type="pct"/>
            <w:vAlign w:val="center"/>
            <w:hideMark/>
          </w:tcPr>
          <w:p w14:paraId="120FBEED" w14:textId="77777777" w:rsidR="00000000" w:rsidRDefault="00195E73">
            <w:pPr>
              <w:rPr>
                <w:rFonts w:eastAsia="Times New Roman"/>
                <w:sz w:val="20"/>
                <w:szCs w:val="20"/>
              </w:rPr>
            </w:pPr>
          </w:p>
        </w:tc>
        <w:tc>
          <w:tcPr>
            <w:tcW w:w="5" w:type="pct"/>
            <w:vAlign w:val="center"/>
            <w:hideMark/>
          </w:tcPr>
          <w:p w14:paraId="011C57E1" w14:textId="77777777" w:rsidR="00000000" w:rsidRDefault="00195E73">
            <w:pPr>
              <w:rPr>
                <w:rFonts w:eastAsia="Times New Roman"/>
                <w:sz w:val="20"/>
                <w:szCs w:val="20"/>
              </w:rPr>
            </w:pPr>
          </w:p>
        </w:tc>
        <w:tc>
          <w:tcPr>
            <w:tcW w:w="26" w:type="pct"/>
            <w:vAlign w:val="center"/>
            <w:hideMark/>
          </w:tcPr>
          <w:p w14:paraId="3763F4AF" w14:textId="77777777" w:rsidR="00000000" w:rsidRDefault="00195E73">
            <w:pPr>
              <w:rPr>
                <w:rFonts w:eastAsia="Times New Roman"/>
                <w:sz w:val="20"/>
                <w:szCs w:val="20"/>
              </w:rPr>
            </w:pPr>
          </w:p>
        </w:tc>
        <w:tc>
          <w:tcPr>
            <w:tcW w:w="5" w:type="pct"/>
            <w:vAlign w:val="center"/>
            <w:hideMark/>
          </w:tcPr>
          <w:p w14:paraId="10AE9BEB" w14:textId="77777777" w:rsidR="00000000" w:rsidRDefault="00195E73">
            <w:pPr>
              <w:rPr>
                <w:rFonts w:eastAsia="Times New Roman"/>
                <w:sz w:val="20"/>
                <w:szCs w:val="20"/>
              </w:rPr>
            </w:pPr>
          </w:p>
        </w:tc>
        <w:tc>
          <w:tcPr>
            <w:tcW w:w="50" w:type="pct"/>
            <w:vAlign w:val="center"/>
            <w:hideMark/>
          </w:tcPr>
          <w:p w14:paraId="15A04A1C" w14:textId="77777777" w:rsidR="00000000" w:rsidRDefault="00195E73">
            <w:pPr>
              <w:rPr>
                <w:rFonts w:eastAsia="Times New Roman"/>
                <w:sz w:val="20"/>
                <w:szCs w:val="20"/>
              </w:rPr>
            </w:pPr>
          </w:p>
        </w:tc>
        <w:tc>
          <w:tcPr>
            <w:tcW w:w="436" w:type="pct"/>
            <w:vAlign w:val="center"/>
            <w:hideMark/>
          </w:tcPr>
          <w:p w14:paraId="4147CF71" w14:textId="77777777" w:rsidR="00000000" w:rsidRDefault="00195E73">
            <w:pPr>
              <w:rPr>
                <w:rFonts w:eastAsia="Times New Roman"/>
                <w:sz w:val="20"/>
                <w:szCs w:val="20"/>
              </w:rPr>
            </w:pPr>
          </w:p>
        </w:tc>
        <w:tc>
          <w:tcPr>
            <w:tcW w:w="50" w:type="pct"/>
            <w:vAlign w:val="center"/>
            <w:hideMark/>
          </w:tcPr>
          <w:p w14:paraId="7AEDEF86" w14:textId="77777777" w:rsidR="00000000" w:rsidRDefault="00195E73">
            <w:pPr>
              <w:rPr>
                <w:rFonts w:eastAsia="Times New Roman"/>
                <w:sz w:val="20"/>
                <w:szCs w:val="20"/>
              </w:rPr>
            </w:pPr>
          </w:p>
        </w:tc>
        <w:tc>
          <w:tcPr>
            <w:tcW w:w="5" w:type="pct"/>
            <w:vAlign w:val="center"/>
            <w:hideMark/>
          </w:tcPr>
          <w:p w14:paraId="150AE0D7" w14:textId="77777777" w:rsidR="00000000" w:rsidRDefault="00195E73">
            <w:pPr>
              <w:rPr>
                <w:rFonts w:eastAsia="Times New Roman"/>
                <w:sz w:val="20"/>
                <w:szCs w:val="20"/>
              </w:rPr>
            </w:pPr>
          </w:p>
        </w:tc>
        <w:tc>
          <w:tcPr>
            <w:tcW w:w="26" w:type="pct"/>
            <w:vAlign w:val="center"/>
            <w:hideMark/>
          </w:tcPr>
          <w:p w14:paraId="5D606701" w14:textId="77777777" w:rsidR="00000000" w:rsidRDefault="00195E73">
            <w:pPr>
              <w:rPr>
                <w:rFonts w:eastAsia="Times New Roman"/>
                <w:sz w:val="20"/>
                <w:szCs w:val="20"/>
              </w:rPr>
            </w:pPr>
          </w:p>
        </w:tc>
        <w:tc>
          <w:tcPr>
            <w:tcW w:w="5" w:type="pct"/>
            <w:vAlign w:val="center"/>
            <w:hideMark/>
          </w:tcPr>
          <w:p w14:paraId="565C7577" w14:textId="77777777" w:rsidR="00000000" w:rsidRDefault="00195E73">
            <w:pPr>
              <w:rPr>
                <w:rFonts w:eastAsia="Times New Roman"/>
                <w:sz w:val="20"/>
                <w:szCs w:val="20"/>
              </w:rPr>
            </w:pPr>
          </w:p>
        </w:tc>
        <w:tc>
          <w:tcPr>
            <w:tcW w:w="50" w:type="pct"/>
            <w:vAlign w:val="center"/>
            <w:hideMark/>
          </w:tcPr>
          <w:p w14:paraId="341349D9" w14:textId="77777777" w:rsidR="00000000" w:rsidRDefault="00195E73">
            <w:pPr>
              <w:rPr>
                <w:rFonts w:eastAsia="Times New Roman"/>
                <w:sz w:val="20"/>
                <w:szCs w:val="20"/>
              </w:rPr>
            </w:pPr>
          </w:p>
        </w:tc>
        <w:tc>
          <w:tcPr>
            <w:tcW w:w="436" w:type="pct"/>
            <w:vAlign w:val="center"/>
            <w:hideMark/>
          </w:tcPr>
          <w:p w14:paraId="6304C7B9" w14:textId="77777777" w:rsidR="00000000" w:rsidRDefault="00195E73">
            <w:pPr>
              <w:rPr>
                <w:rFonts w:eastAsia="Times New Roman"/>
                <w:sz w:val="20"/>
                <w:szCs w:val="20"/>
              </w:rPr>
            </w:pPr>
          </w:p>
        </w:tc>
        <w:tc>
          <w:tcPr>
            <w:tcW w:w="50" w:type="pct"/>
            <w:vAlign w:val="center"/>
            <w:hideMark/>
          </w:tcPr>
          <w:p w14:paraId="496EDF65" w14:textId="77777777" w:rsidR="00000000" w:rsidRDefault="00195E73">
            <w:pPr>
              <w:rPr>
                <w:rFonts w:eastAsia="Times New Roman"/>
                <w:sz w:val="20"/>
                <w:szCs w:val="20"/>
              </w:rPr>
            </w:pPr>
          </w:p>
        </w:tc>
        <w:tc>
          <w:tcPr>
            <w:tcW w:w="5" w:type="pct"/>
            <w:vAlign w:val="center"/>
            <w:hideMark/>
          </w:tcPr>
          <w:p w14:paraId="3D7D01B4" w14:textId="77777777" w:rsidR="00000000" w:rsidRDefault="00195E73">
            <w:pPr>
              <w:rPr>
                <w:rFonts w:eastAsia="Times New Roman"/>
                <w:sz w:val="20"/>
                <w:szCs w:val="20"/>
              </w:rPr>
            </w:pPr>
          </w:p>
        </w:tc>
        <w:tc>
          <w:tcPr>
            <w:tcW w:w="26" w:type="pct"/>
            <w:vAlign w:val="center"/>
            <w:hideMark/>
          </w:tcPr>
          <w:p w14:paraId="7FB73253" w14:textId="77777777" w:rsidR="00000000" w:rsidRDefault="00195E73">
            <w:pPr>
              <w:rPr>
                <w:rFonts w:eastAsia="Times New Roman"/>
                <w:sz w:val="20"/>
                <w:szCs w:val="20"/>
              </w:rPr>
            </w:pPr>
          </w:p>
        </w:tc>
        <w:tc>
          <w:tcPr>
            <w:tcW w:w="5" w:type="pct"/>
            <w:vAlign w:val="center"/>
            <w:hideMark/>
          </w:tcPr>
          <w:p w14:paraId="3212957C" w14:textId="77777777" w:rsidR="00000000" w:rsidRDefault="00195E73">
            <w:pPr>
              <w:rPr>
                <w:rFonts w:eastAsia="Times New Roman"/>
                <w:sz w:val="20"/>
                <w:szCs w:val="20"/>
              </w:rPr>
            </w:pPr>
          </w:p>
        </w:tc>
        <w:tc>
          <w:tcPr>
            <w:tcW w:w="50" w:type="pct"/>
            <w:vAlign w:val="center"/>
            <w:hideMark/>
          </w:tcPr>
          <w:p w14:paraId="0DFD8F4A" w14:textId="77777777" w:rsidR="00000000" w:rsidRDefault="00195E73">
            <w:pPr>
              <w:rPr>
                <w:rFonts w:eastAsia="Times New Roman"/>
                <w:sz w:val="20"/>
                <w:szCs w:val="20"/>
              </w:rPr>
            </w:pPr>
          </w:p>
        </w:tc>
        <w:tc>
          <w:tcPr>
            <w:tcW w:w="436" w:type="pct"/>
            <w:vAlign w:val="center"/>
            <w:hideMark/>
          </w:tcPr>
          <w:p w14:paraId="536ECA2C" w14:textId="77777777" w:rsidR="00000000" w:rsidRDefault="00195E73">
            <w:pPr>
              <w:rPr>
                <w:rFonts w:eastAsia="Times New Roman"/>
                <w:sz w:val="20"/>
                <w:szCs w:val="20"/>
              </w:rPr>
            </w:pPr>
          </w:p>
        </w:tc>
        <w:tc>
          <w:tcPr>
            <w:tcW w:w="50" w:type="pct"/>
            <w:vAlign w:val="center"/>
            <w:hideMark/>
          </w:tcPr>
          <w:p w14:paraId="5C4ECDFA" w14:textId="77777777" w:rsidR="00000000" w:rsidRDefault="00195E73">
            <w:pPr>
              <w:rPr>
                <w:rFonts w:eastAsia="Times New Roman"/>
                <w:sz w:val="20"/>
                <w:szCs w:val="20"/>
              </w:rPr>
            </w:pPr>
          </w:p>
        </w:tc>
        <w:tc>
          <w:tcPr>
            <w:tcW w:w="5" w:type="pct"/>
            <w:vAlign w:val="center"/>
            <w:hideMark/>
          </w:tcPr>
          <w:p w14:paraId="5640E169" w14:textId="77777777" w:rsidR="00000000" w:rsidRDefault="00195E73">
            <w:pPr>
              <w:rPr>
                <w:rFonts w:eastAsia="Times New Roman"/>
                <w:sz w:val="20"/>
                <w:szCs w:val="20"/>
              </w:rPr>
            </w:pPr>
          </w:p>
        </w:tc>
        <w:tc>
          <w:tcPr>
            <w:tcW w:w="26" w:type="pct"/>
            <w:vAlign w:val="center"/>
            <w:hideMark/>
          </w:tcPr>
          <w:p w14:paraId="12146113" w14:textId="77777777" w:rsidR="00000000" w:rsidRDefault="00195E73">
            <w:pPr>
              <w:rPr>
                <w:rFonts w:eastAsia="Times New Roman"/>
                <w:sz w:val="20"/>
                <w:szCs w:val="20"/>
              </w:rPr>
            </w:pPr>
          </w:p>
        </w:tc>
        <w:tc>
          <w:tcPr>
            <w:tcW w:w="5" w:type="pct"/>
            <w:vAlign w:val="center"/>
            <w:hideMark/>
          </w:tcPr>
          <w:p w14:paraId="32DCC6E8" w14:textId="77777777" w:rsidR="00000000" w:rsidRDefault="00195E73">
            <w:pPr>
              <w:rPr>
                <w:rFonts w:eastAsia="Times New Roman"/>
                <w:sz w:val="20"/>
                <w:szCs w:val="20"/>
              </w:rPr>
            </w:pPr>
          </w:p>
        </w:tc>
        <w:tc>
          <w:tcPr>
            <w:tcW w:w="50" w:type="pct"/>
            <w:vAlign w:val="center"/>
            <w:hideMark/>
          </w:tcPr>
          <w:p w14:paraId="5AC7842D" w14:textId="77777777" w:rsidR="00000000" w:rsidRDefault="00195E73">
            <w:pPr>
              <w:rPr>
                <w:rFonts w:eastAsia="Times New Roman"/>
                <w:sz w:val="20"/>
                <w:szCs w:val="20"/>
              </w:rPr>
            </w:pPr>
          </w:p>
        </w:tc>
        <w:tc>
          <w:tcPr>
            <w:tcW w:w="436" w:type="pct"/>
            <w:vAlign w:val="center"/>
            <w:hideMark/>
          </w:tcPr>
          <w:p w14:paraId="3326A0A5" w14:textId="77777777" w:rsidR="00000000" w:rsidRDefault="00195E73">
            <w:pPr>
              <w:rPr>
                <w:rFonts w:eastAsia="Times New Roman"/>
                <w:sz w:val="20"/>
                <w:szCs w:val="20"/>
              </w:rPr>
            </w:pPr>
          </w:p>
        </w:tc>
        <w:tc>
          <w:tcPr>
            <w:tcW w:w="50" w:type="pct"/>
            <w:vAlign w:val="center"/>
            <w:hideMark/>
          </w:tcPr>
          <w:p w14:paraId="6BED9BCD" w14:textId="77777777" w:rsidR="00000000" w:rsidRDefault="00195E73">
            <w:pPr>
              <w:rPr>
                <w:rFonts w:eastAsia="Times New Roman"/>
                <w:sz w:val="20"/>
                <w:szCs w:val="20"/>
              </w:rPr>
            </w:pPr>
          </w:p>
        </w:tc>
        <w:tc>
          <w:tcPr>
            <w:tcW w:w="5" w:type="pct"/>
            <w:vAlign w:val="center"/>
            <w:hideMark/>
          </w:tcPr>
          <w:p w14:paraId="157EFAB7" w14:textId="77777777" w:rsidR="00000000" w:rsidRDefault="00195E73">
            <w:pPr>
              <w:rPr>
                <w:rFonts w:eastAsia="Times New Roman"/>
                <w:sz w:val="20"/>
                <w:szCs w:val="20"/>
              </w:rPr>
            </w:pPr>
          </w:p>
        </w:tc>
        <w:tc>
          <w:tcPr>
            <w:tcW w:w="26" w:type="pct"/>
            <w:vAlign w:val="center"/>
            <w:hideMark/>
          </w:tcPr>
          <w:p w14:paraId="4365000B" w14:textId="77777777" w:rsidR="00000000" w:rsidRDefault="00195E73">
            <w:pPr>
              <w:rPr>
                <w:rFonts w:eastAsia="Times New Roman"/>
                <w:sz w:val="20"/>
                <w:szCs w:val="20"/>
              </w:rPr>
            </w:pPr>
          </w:p>
        </w:tc>
        <w:tc>
          <w:tcPr>
            <w:tcW w:w="5" w:type="pct"/>
            <w:vAlign w:val="center"/>
            <w:hideMark/>
          </w:tcPr>
          <w:p w14:paraId="14BF7D5E" w14:textId="77777777" w:rsidR="00000000" w:rsidRDefault="00195E73">
            <w:pPr>
              <w:rPr>
                <w:rFonts w:eastAsia="Times New Roman"/>
                <w:sz w:val="20"/>
                <w:szCs w:val="20"/>
              </w:rPr>
            </w:pPr>
          </w:p>
        </w:tc>
        <w:tc>
          <w:tcPr>
            <w:tcW w:w="50" w:type="pct"/>
            <w:vAlign w:val="center"/>
            <w:hideMark/>
          </w:tcPr>
          <w:p w14:paraId="11392AAF" w14:textId="77777777" w:rsidR="00000000" w:rsidRDefault="00195E73">
            <w:pPr>
              <w:rPr>
                <w:rFonts w:eastAsia="Times New Roman"/>
                <w:sz w:val="20"/>
                <w:szCs w:val="20"/>
              </w:rPr>
            </w:pPr>
          </w:p>
        </w:tc>
        <w:tc>
          <w:tcPr>
            <w:tcW w:w="436" w:type="pct"/>
            <w:vAlign w:val="center"/>
            <w:hideMark/>
          </w:tcPr>
          <w:p w14:paraId="59274381" w14:textId="77777777" w:rsidR="00000000" w:rsidRDefault="00195E73">
            <w:pPr>
              <w:rPr>
                <w:rFonts w:eastAsia="Times New Roman"/>
                <w:sz w:val="20"/>
                <w:szCs w:val="20"/>
              </w:rPr>
            </w:pPr>
          </w:p>
        </w:tc>
        <w:tc>
          <w:tcPr>
            <w:tcW w:w="50" w:type="pct"/>
            <w:vAlign w:val="center"/>
            <w:hideMark/>
          </w:tcPr>
          <w:p w14:paraId="52559416" w14:textId="77777777" w:rsidR="00000000" w:rsidRDefault="00195E73">
            <w:pPr>
              <w:rPr>
                <w:rFonts w:eastAsia="Times New Roman"/>
                <w:sz w:val="20"/>
                <w:szCs w:val="20"/>
              </w:rPr>
            </w:pPr>
          </w:p>
        </w:tc>
      </w:tr>
      <w:tr w:rsidR="00000000" w14:paraId="6291580D" w14:textId="77777777">
        <w:trPr>
          <w:gridAfter w:val="3"/>
          <w:divId w:val="1949923715"/>
        </w:trPr>
        <w:tc>
          <w:tcPr>
            <w:tcW w:w="0" w:type="auto"/>
            <w:gridSpan w:val="3"/>
            <w:tcMar>
              <w:top w:w="15" w:type="dxa"/>
              <w:left w:w="20" w:type="dxa"/>
              <w:bottom w:w="15" w:type="dxa"/>
              <w:right w:w="20" w:type="dxa"/>
            </w:tcMar>
            <w:vAlign w:val="bottom"/>
            <w:hideMark/>
          </w:tcPr>
          <w:p w14:paraId="18CBD636"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5EE59F0C" w14:textId="77777777" w:rsidR="00000000" w:rsidRDefault="00195E73">
            <w:pPr>
              <w:jc w:val="center"/>
              <w:rPr>
                <w:rFonts w:eastAsia="Times New Roman"/>
              </w:rPr>
            </w:pPr>
            <w:r>
              <w:rPr>
                <w:rFonts w:eastAsia="Times New Roman"/>
                <w:b/>
                <w:bCs/>
                <w:color w:val="000000"/>
                <w:sz w:val="20"/>
                <w:szCs w:val="20"/>
              </w:rPr>
              <w:t>December 31, 201</w:t>
            </w:r>
            <w:r>
              <w:rPr>
                <w:rFonts w:eastAsia="Times New Roman"/>
                <w:b/>
                <w:bCs/>
                <w:color w:val="000000"/>
                <w:sz w:val="20"/>
                <w:szCs w:val="20"/>
              </w:rPr>
              <w:t>9</w:t>
            </w:r>
          </w:p>
        </w:tc>
        <w:tc>
          <w:tcPr>
            <w:tcW w:w="0" w:type="auto"/>
            <w:gridSpan w:val="3"/>
            <w:vAlign w:val="center"/>
            <w:hideMark/>
          </w:tcPr>
          <w:p w14:paraId="2A136980" w14:textId="77777777" w:rsidR="00000000" w:rsidRDefault="00195E73">
            <w:pPr>
              <w:jc w:val="center"/>
              <w:rPr>
                <w:rFonts w:eastAsia="Times New Roman"/>
              </w:rPr>
            </w:pPr>
          </w:p>
        </w:tc>
        <w:tc>
          <w:tcPr>
            <w:tcW w:w="0" w:type="auto"/>
            <w:gridSpan w:val="3"/>
            <w:vAlign w:val="center"/>
            <w:hideMark/>
          </w:tcPr>
          <w:p w14:paraId="45C31AAF" w14:textId="77777777" w:rsidR="00000000" w:rsidRDefault="00195E73">
            <w:pPr>
              <w:rPr>
                <w:rFonts w:eastAsia="Times New Roman"/>
                <w:sz w:val="20"/>
                <w:szCs w:val="20"/>
              </w:rPr>
            </w:pPr>
          </w:p>
        </w:tc>
        <w:tc>
          <w:tcPr>
            <w:tcW w:w="0" w:type="auto"/>
            <w:gridSpan w:val="3"/>
            <w:vAlign w:val="center"/>
            <w:hideMark/>
          </w:tcPr>
          <w:p w14:paraId="68E3747A" w14:textId="77777777" w:rsidR="00000000" w:rsidRDefault="00195E73">
            <w:pPr>
              <w:rPr>
                <w:rFonts w:eastAsia="Times New Roman"/>
                <w:sz w:val="20"/>
                <w:szCs w:val="20"/>
              </w:rPr>
            </w:pPr>
          </w:p>
        </w:tc>
        <w:tc>
          <w:tcPr>
            <w:tcW w:w="0" w:type="auto"/>
            <w:gridSpan w:val="3"/>
            <w:vAlign w:val="center"/>
            <w:hideMark/>
          </w:tcPr>
          <w:p w14:paraId="78F8626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BE413CF"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27D8D8EC" w14:textId="77777777" w:rsidR="00000000" w:rsidRDefault="00195E73">
            <w:pPr>
              <w:jc w:val="center"/>
              <w:rPr>
                <w:rFonts w:eastAsia="Times New Roman"/>
              </w:rPr>
            </w:pPr>
            <w:r>
              <w:rPr>
                <w:rFonts w:eastAsia="Times New Roman"/>
                <w:b/>
                <w:bCs/>
                <w:color w:val="000000"/>
                <w:sz w:val="20"/>
                <w:szCs w:val="20"/>
              </w:rPr>
              <w:t>December 31, 201</w:t>
            </w:r>
            <w:r>
              <w:rPr>
                <w:rFonts w:eastAsia="Times New Roman"/>
                <w:b/>
                <w:bCs/>
                <w:color w:val="000000"/>
                <w:sz w:val="20"/>
                <w:szCs w:val="20"/>
              </w:rPr>
              <w:t>8</w:t>
            </w:r>
          </w:p>
        </w:tc>
        <w:tc>
          <w:tcPr>
            <w:tcW w:w="0" w:type="auto"/>
            <w:gridSpan w:val="3"/>
            <w:vAlign w:val="center"/>
            <w:hideMark/>
          </w:tcPr>
          <w:p w14:paraId="45069ECA" w14:textId="77777777" w:rsidR="00000000" w:rsidRDefault="00195E73">
            <w:pPr>
              <w:jc w:val="center"/>
              <w:rPr>
                <w:rFonts w:eastAsia="Times New Roman"/>
              </w:rPr>
            </w:pPr>
          </w:p>
        </w:tc>
        <w:tc>
          <w:tcPr>
            <w:tcW w:w="0" w:type="auto"/>
            <w:gridSpan w:val="3"/>
            <w:vAlign w:val="center"/>
            <w:hideMark/>
          </w:tcPr>
          <w:p w14:paraId="2A06890B" w14:textId="77777777" w:rsidR="00000000" w:rsidRDefault="00195E73">
            <w:pPr>
              <w:rPr>
                <w:rFonts w:eastAsia="Times New Roman"/>
                <w:sz w:val="20"/>
                <w:szCs w:val="20"/>
              </w:rPr>
            </w:pPr>
          </w:p>
        </w:tc>
        <w:tc>
          <w:tcPr>
            <w:tcW w:w="0" w:type="auto"/>
            <w:gridSpan w:val="3"/>
            <w:vAlign w:val="center"/>
            <w:hideMark/>
          </w:tcPr>
          <w:p w14:paraId="57C446C8" w14:textId="77777777" w:rsidR="00000000" w:rsidRDefault="00195E73">
            <w:pPr>
              <w:rPr>
                <w:rFonts w:eastAsia="Times New Roman"/>
                <w:sz w:val="20"/>
                <w:szCs w:val="20"/>
              </w:rPr>
            </w:pPr>
          </w:p>
        </w:tc>
        <w:tc>
          <w:tcPr>
            <w:tcW w:w="0" w:type="auto"/>
            <w:gridSpan w:val="3"/>
            <w:vAlign w:val="center"/>
            <w:hideMark/>
          </w:tcPr>
          <w:p w14:paraId="1FDC540E" w14:textId="77777777" w:rsidR="00000000" w:rsidRDefault="00195E73">
            <w:pPr>
              <w:rPr>
                <w:rFonts w:eastAsia="Times New Roman"/>
                <w:sz w:val="20"/>
                <w:szCs w:val="20"/>
              </w:rPr>
            </w:pPr>
          </w:p>
        </w:tc>
      </w:tr>
      <w:tr w:rsidR="00000000" w14:paraId="4A7961E7" w14:textId="77777777">
        <w:trPr>
          <w:gridAfter w:val="3"/>
          <w:divId w:val="1949923715"/>
        </w:trPr>
        <w:tc>
          <w:tcPr>
            <w:tcW w:w="0" w:type="auto"/>
            <w:gridSpan w:val="3"/>
            <w:tcMar>
              <w:top w:w="30" w:type="dxa"/>
              <w:left w:w="20" w:type="dxa"/>
              <w:bottom w:w="30" w:type="dxa"/>
              <w:right w:w="20" w:type="dxa"/>
            </w:tcMar>
            <w:vAlign w:val="bottom"/>
            <w:hideMark/>
          </w:tcPr>
          <w:p w14:paraId="7CEBE90C"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1587B02" w14:textId="77777777" w:rsidR="00000000" w:rsidRDefault="00195E73">
            <w:pPr>
              <w:jc w:val="center"/>
              <w:rPr>
                <w:rFonts w:eastAsia="Times New Roman"/>
              </w:rPr>
            </w:pPr>
            <w:r>
              <w:rPr>
                <w:rFonts w:eastAsia="Times New Roman"/>
                <w:b/>
                <w:bCs/>
                <w:color w:val="000000"/>
                <w:sz w:val="20"/>
                <w:szCs w:val="20"/>
              </w:rPr>
              <w:t xml:space="preserve">Level </w:t>
            </w:r>
            <w:r>
              <w:rPr>
                <w:rFonts w:eastAsia="Times New Roman"/>
                <w:b/>
                <w:bCs/>
                <w:color w:val="000000"/>
                <w:sz w:val="20"/>
                <w:szCs w:val="20"/>
              </w:rPr>
              <w:t>1</w:t>
            </w:r>
          </w:p>
        </w:tc>
        <w:tc>
          <w:tcPr>
            <w:tcW w:w="0" w:type="auto"/>
            <w:gridSpan w:val="3"/>
            <w:tcBorders>
              <w:top w:val="single" w:sz="8" w:space="0" w:color="000000"/>
            </w:tcBorders>
            <w:tcMar>
              <w:top w:w="15" w:type="dxa"/>
              <w:left w:w="20" w:type="dxa"/>
              <w:bottom w:w="15" w:type="dxa"/>
              <w:right w:w="20" w:type="dxa"/>
            </w:tcMar>
            <w:vAlign w:val="bottom"/>
            <w:hideMark/>
          </w:tcPr>
          <w:p w14:paraId="3A73A2C4"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1380509" w14:textId="77777777" w:rsidR="00000000" w:rsidRDefault="00195E73">
            <w:pPr>
              <w:jc w:val="center"/>
              <w:rPr>
                <w:rFonts w:eastAsia="Times New Roman"/>
              </w:rPr>
            </w:pPr>
            <w:r>
              <w:rPr>
                <w:rFonts w:eastAsia="Times New Roman"/>
                <w:b/>
                <w:bCs/>
                <w:color w:val="000000"/>
                <w:sz w:val="20"/>
                <w:szCs w:val="20"/>
              </w:rPr>
              <w:t xml:space="preserve">Level </w:t>
            </w:r>
            <w:r>
              <w:rPr>
                <w:rFonts w:eastAsia="Times New Roman"/>
                <w:b/>
                <w:bCs/>
                <w:color w:val="000000"/>
                <w:sz w:val="20"/>
                <w:szCs w:val="20"/>
              </w:rPr>
              <w:t>2</w:t>
            </w:r>
          </w:p>
        </w:tc>
        <w:tc>
          <w:tcPr>
            <w:tcW w:w="0" w:type="auto"/>
            <w:gridSpan w:val="3"/>
            <w:tcBorders>
              <w:top w:val="single" w:sz="8" w:space="0" w:color="000000"/>
            </w:tcBorders>
            <w:tcMar>
              <w:top w:w="15" w:type="dxa"/>
              <w:left w:w="20" w:type="dxa"/>
              <w:bottom w:w="15" w:type="dxa"/>
              <w:right w:w="20" w:type="dxa"/>
            </w:tcMar>
            <w:vAlign w:val="bottom"/>
            <w:hideMark/>
          </w:tcPr>
          <w:p w14:paraId="5D25E250"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168122D" w14:textId="77777777" w:rsidR="00000000" w:rsidRDefault="00195E73">
            <w:pPr>
              <w:jc w:val="cente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gridSpan w:val="3"/>
            <w:tcMar>
              <w:top w:w="15" w:type="dxa"/>
              <w:left w:w="20" w:type="dxa"/>
              <w:bottom w:w="15" w:type="dxa"/>
              <w:right w:w="20" w:type="dxa"/>
            </w:tcMar>
            <w:vAlign w:val="bottom"/>
            <w:hideMark/>
          </w:tcPr>
          <w:p w14:paraId="608DF1A2"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7BB0EA" w14:textId="77777777" w:rsidR="00000000" w:rsidRDefault="00195E73">
            <w:pPr>
              <w:jc w:val="center"/>
              <w:rPr>
                <w:rFonts w:eastAsia="Times New Roman"/>
              </w:rPr>
            </w:pPr>
            <w:r>
              <w:rPr>
                <w:rFonts w:eastAsia="Times New Roman"/>
                <w:b/>
                <w:bCs/>
                <w:color w:val="000000"/>
                <w:sz w:val="20"/>
                <w:szCs w:val="20"/>
              </w:rPr>
              <w:t xml:space="preserve">Level </w:t>
            </w:r>
            <w:r>
              <w:rPr>
                <w:rFonts w:eastAsia="Times New Roman"/>
                <w:b/>
                <w:bCs/>
                <w:color w:val="000000"/>
                <w:sz w:val="20"/>
                <w:szCs w:val="20"/>
              </w:rPr>
              <w:t>1</w:t>
            </w:r>
          </w:p>
        </w:tc>
        <w:tc>
          <w:tcPr>
            <w:tcW w:w="0" w:type="auto"/>
            <w:gridSpan w:val="3"/>
            <w:tcBorders>
              <w:top w:val="single" w:sz="8" w:space="0" w:color="000000"/>
            </w:tcBorders>
            <w:tcMar>
              <w:top w:w="15" w:type="dxa"/>
              <w:left w:w="20" w:type="dxa"/>
              <w:bottom w:w="15" w:type="dxa"/>
              <w:right w:w="20" w:type="dxa"/>
            </w:tcMar>
            <w:vAlign w:val="bottom"/>
            <w:hideMark/>
          </w:tcPr>
          <w:p w14:paraId="643ECB69"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80E6325" w14:textId="77777777" w:rsidR="00000000" w:rsidRDefault="00195E73">
            <w:pPr>
              <w:jc w:val="center"/>
              <w:rPr>
                <w:rFonts w:eastAsia="Times New Roman"/>
              </w:rPr>
            </w:pPr>
            <w:r>
              <w:rPr>
                <w:rFonts w:eastAsia="Times New Roman"/>
                <w:b/>
                <w:bCs/>
                <w:color w:val="000000"/>
                <w:sz w:val="20"/>
                <w:szCs w:val="20"/>
              </w:rPr>
              <w:t xml:space="preserve">Level </w:t>
            </w:r>
            <w:r>
              <w:rPr>
                <w:rFonts w:eastAsia="Times New Roman"/>
                <w:b/>
                <w:bCs/>
                <w:color w:val="000000"/>
                <w:sz w:val="20"/>
                <w:szCs w:val="20"/>
              </w:rPr>
              <w:t>2</w:t>
            </w:r>
          </w:p>
        </w:tc>
        <w:tc>
          <w:tcPr>
            <w:tcW w:w="0" w:type="auto"/>
            <w:gridSpan w:val="3"/>
            <w:tcBorders>
              <w:top w:val="single" w:sz="8" w:space="0" w:color="000000"/>
            </w:tcBorders>
            <w:tcMar>
              <w:top w:w="15" w:type="dxa"/>
              <w:left w:w="20" w:type="dxa"/>
              <w:bottom w:w="15" w:type="dxa"/>
              <w:right w:w="20" w:type="dxa"/>
            </w:tcMar>
            <w:vAlign w:val="bottom"/>
            <w:hideMark/>
          </w:tcPr>
          <w:p w14:paraId="3AFE60C7"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BD38011" w14:textId="77777777" w:rsidR="00000000" w:rsidRDefault="00195E73">
            <w:pPr>
              <w:jc w:val="cente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vAlign w:val="center"/>
            <w:hideMark/>
          </w:tcPr>
          <w:p w14:paraId="0BE4FAD9" w14:textId="77777777" w:rsidR="00000000" w:rsidRDefault="00195E73">
            <w:pPr>
              <w:rPr>
                <w:rFonts w:eastAsia="Times New Roman"/>
                <w:sz w:val="20"/>
                <w:szCs w:val="20"/>
              </w:rPr>
            </w:pPr>
          </w:p>
        </w:tc>
        <w:tc>
          <w:tcPr>
            <w:tcW w:w="0" w:type="auto"/>
            <w:vAlign w:val="center"/>
            <w:hideMark/>
          </w:tcPr>
          <w:p w14:paraId="6A78152C" w14:textId="77777777" w:rsidR="00000000" w:rsidRDefault="00195E73">
            <w:pPr>
              <w:rPr>
                <w:rFonts w:eastAsia="Times New Roman"/>
                <w:sz w:val="20"/>
                <w:szCs w:val="20"/>
              </w:rPr>
            </w:pPr>
          </w:p>
        </w:tc>
        <w:tc>
          <w:tcPr>
            <w:tcW w:w="0" w:type="auto"/>
            <w:vAlign w:val="center"/>
            <w:hideMark/>
          </w:tcPr>
          <w:p w14:paraId="1BD1179F" w14:textId="77777777" w:rsidR="00000000" w:rsidRDefault="00195E73">
            <w:pPr>
              <w:rPr>
                <w:rFonts w:eastAsia="Times New Roman"/>
                <w:sz w:val="20"/>
                <w:szCs w:val="20"/>
              </w:rPr>
            </w:pPr>
          </w:p>
        </w:tc>
        <w:tc>
          <w:tcPr>
            <w:tcW w:w="0" w:type="auto"/>
            <w:vAlign w:val="center"/>
            <w:hideMark/>
          </w:tcPr>
          <w:p w14:paraId="3F83F20C" w14:textId="77777777" w:rsidR="00000000" w:rsidRDefault="00195E73">
            <w:pPr>
              <w:rPr>
                <w:rFonts w:eastAsia="Times New Roman"/>
                <w:sz w:val="20"/>
                <w:szCs w:val="20"/>
              </w:rPr>
            </w:pPr>
          </w:p>
        </w:tc>
        <w:tc>
          <w:tcPr>
            <w:tcW w:w="0" w:type="auto"/>
            <w:vAlign w:val="center"/>
            <w:hideMark/>
          </w:tcPr>
          <w:p w14:paraId="43E9948B" w14:textId="77777777" w:rsidR="00000000" w:rsidRDefault="00195E73">
            <w:pPr>
              <w:rPr>
                <w:rFonts w:eastAsia="Times New Roman"/>
                <w:sz w:val="20"/>
                <w:szCs w:val="20"/>
              </w:rPr>
            </w:pPr>
          </w:p>
        </w:tc>
        <w:tc>
          <w:tcPr>
            <w:tcW w:w="0" w:type="auto"/>
            <w:vAlign w:val="center"/>
            <w:hideMark/>
          </w:tcPr>
          <w:p w14:paraId="72F47EB2" w14:textId="77777777" w:rsidR="00000000" w:rsidRDefault="00195E73">
            <w:pPr>
              <w:rPr>
                <w:rFonts w:eastAsia="Times New Roman"/>
                <w:sz w:val="20"/>
                <w:szCs w:val="20"/>
              </w:rPr>
            </w:pPr>
          </w:p>
        </w:tc>
        <w:tc>
          <w:tcPr>
            <w:tcW w:w="0" w:type="auto"/>
            <w:vAlign w:val="center"/>
            <w:hideMark/>
          </w:tcPr>
          <w:p w14:paraId="28AD6994" w14:textId="77777777" w:rsidR="00000000" w:rsidRDefault="00195E73">
            <w:pPr>
              <w:rPr>
                <w:rFonts w:eastAsia="Times New Roman"/>
                <w:sz w:val="20"/>
                <w:szCs w:val="20"/>
              </w:rPr>
            </w:pPr>
          </w:p>
        </w:tc>
        <w:tc>
          <w:tcPr>
            <w:tcW w:w="0" w:type="auto"/>
            <w:vAlign w:val="center"/>
            <w:hideMark/>
          </w:tcPr>
          <w:p w14:paraId="1FB8106F" w14:textId="77777777" w:rsidR="00000000" w:rsidRDefault="00195E73">
            <w:pPr>
              <w:rPr>
                <w:rFonts w:eastAsia="Times New Roman"/>
                <w:sz w:val="20"/>
                <w:szCs w:val="20"/>
              </w:rPr>
            </w:pPr>
          </w:p>
        </w:tc>
        <w:tc>
          <w:tcPr>
            <w:tcW w:w="0" w:type="auto"/>
            <w:vAlign w:val="center"/>
            <w:hideMark/>
          </w:tcPr>
          <w:p w14:paraId="735B389B" w14:textId="77777777" w:rsidR="00000000" w:rsidRDefault="00195E73">
            <w:pPr>
              <w:rPr>
                <w:rFonts w:eastAsia="Times New Roman"/>
                <w:sz w:val="20"/>
                <w:szCs w:val="20"/>
              </w:rPr>
            </w:pPr>
          </w:p>
        </w:tc>
        <w:tc>
          <w:tcPr>
            <w:tcW w:w="0" w:type="auto"/>
            <w:vAlign w:val="center"/>
            <w:hideMark/>
          </w:tcPr>
          <w:p w14:paraId="0D977AB0" w14:textId="77777777" w:rsidR="00000000" w:rsidRDefault="00195E73">
            <w:pPr>
              <w:rPr>
                <w:rFonts w:eastAsia="Times New Roman"/>
                <w:sz w:val="20"/>
                <w:szCs w:val="20"/>
              </w:rPr>
            </w:pPr>
          </w:p>
        </w:tc>
        <w:tc>
          <w:tcPr>
            <w:tcW w:w="0" w:type="auto"/>
            <w:vAlign w:val="center"/>
            <w:hideMark/>
          </w:tcPr>
          <w:p w14:paraId="074A6677" w14:textId="77777777" w:rsidR="00000000" w:rsidRDefault="00195E73">
            <w:pPr>
              <w:rPr>
                <w:rFonts w:eastAsia="Times New Roman"/>
                <w:sz w:val="20"/>
                <w:szCs w:val="20"/>
              </w:rPr>
            </w:pPr>
          </w:p>
        </w:tc>
        <w:tc>
          <w:tcPr>
            <w:tcW w:w="0" w:type="auto"/>
            <w:vAlign w:val="center"/>
            <w:hideMark/>
          </w:tcPr>
          <w:p w14:paraId="4C49A35E" w14:textId="77777777" w:rsidR="00000000" w:rsidRDefault="00195E73">
            <w:pPr>
              <w:rPr>
                <w:rFonts w:eastAsia="Times New Roman"/>
                <w:sz w:val="20"/>
                <w:szCs w:val="20"/>
              </w:rPr>
            </w:pPr>
          </w:p>
        </w:tc>
        <w:tc>
          <w:tcPr>
            <w:tcW w:w="0" w:type="auto"/>
            <w:vAlign w:val="center"/>
            <w:hideMark/>
          </w:tcPr>
          <w:p w14:paraId="400D3992" w14:textId="77777777" w:rsidR="00000000" w:rsidRDefault="00195E73">
            <w:pPr>
              <w:rPr>
                <w:rFonts w:eastAsia="Times New Roman"/>
                <w:sz w:val="20"/>
                <w:szCs w:val="20"/>
              </w:rPr>
            </w:pPr>
          </w:p>
        </w:tc>
        <w:tc>
          <w:tcPr>
            <w:tcW w:w="0" w:type="auto"/>
            <w:vAlign w:val="center"/>
            <w:hideMark/>
          </w:tcPr>
          <w:p w14:paraId="56666982" w14:textId="77777777" w:rsidR="00000000" w:rsidRDefault="00195E73">
            <w:pPr>
              <w:rPr>
                <w:rFonts w:eastAsia="Times New Roman"/>
                <w:sz w:val="20"/>
                <w:szCs w:val="20"/>
              </w:rPr>
            </w:pPr>
          </w:p>
        </w:tc>
        <w:tc>
          <w:tcPr>
            <w:tcW w:w="0" w:type="auto"/>
            <w:vAlign w:val="center"/>
            <w:hideMark/>
          </w:tcPr>
          <w:p w14:paraId="31EA8767" w14:textId="77777777" w:rsidR="00000000" w:rsidRDefault="00195E73">
            <w:pPr>
              <w:rPr>
                <w:rFonts w:eastAsia="Times New Roman"/>
                <w:sz w:val="20"/>
                <w:szCs w:val="20"/>
              </w:rPr>
            </w:pPr>
          </w:p>
        </w:tc>
        <w:tc>
          <w:tcPr>
            <w:tcW w:w="0" w:type="auto"/>
            <w:vAlign w:val="center"/>
            <w:hideMark/>
          </w:tcPr>
          <w:p w14:paraId="0D5958D5" w14:textId="77777777" w:rsidR="00000000" w:rsidRDefault="00195E73">
            <w:pPr>
              <w:rPr>
                <w:rFonts w:eastAsia="Times New Roman"/>
                <w:sz w:val="20"/>
                <w:szCs w:val="20"/>
              </w:rPr>
            </w:pPr>
          </w:p>
        </w:tc>
        <w:tc>
          <w:tcPr>
            <w:tcW w:w="0" w:type="auto"/>
            <w:vAlign w:val="center"/>
            <w:hideMark/>
          </w:tcPr>
          <w:p w14:paraId="37B191C3" w14:textId="77777777" w:rsidR="00000000" w:rsidRDefault="00195E73">
            <w:pPr>
              <w:rPr>
                <w:rFonts w:eastAsia="Times New Roman"/>
                <w:sz w:val="20"/>
                <w:szCs w:val="20"/>
              </w:rPr>
            </w:pPr>
          </w:p>
        </w:tc>
        <w:tc>
          <w:tcPr>
            <w:tcW w:w="0" w:type="auto"/>
            <w:vAlign w:val="center"/>
            <w:hideMark/>
          </w:tcPr>
          <w:p w14:paraId="3231AA07" w14:textId="77777777" w:rsidR="00000000" w:rsidRDefault="00195E73">
            <w:pPr>
              <w:rPr>
                <w:rFonts w:eastAsia="Times New Roman"/>
                <w:sz w:val="20"/>
                <w:szCs w:val="20"/>
              </w:rPr>
            </w:pPr>
          </w:p>
        </w:tc>
        <w:tc>
          <w:tcPr>
            <w:tcW w:w="0" w:type="auto"/>
            <w:vAlign w:val="center"/>
            <w:hideMark/>
          </w:tcPr>
          <w:p w14:paraId="36548D42" w14:textId="77777777" w:rsidR="00000000" w:rsidRDefault="00195E73">
            <w:pPr>
              <w:rPr>
                <w:rFonts w:eastAsia="Times New Roman"/>
                <w:sz w:val="20"/>
                <w:szCs w:val="20"/>
              </w:rPr>
            </w:pPr>
          </w:p>
        </w:tc>
        <w:tc>
          <w:tcPr>
            <w:tcW w:w="0" w:type="auto"/>
            <w:vAlign w:val="center"/>
            <w:hideMark/>
          </w:tcPr>
          <w:p w14:paraId="64BBF816" w14:textId="77777777" w:rsidR="00000000" w:rsidRDefault="00195E73">
            <w:pPr>
              <w:rPr>
                <w:rFonts w:eastAsia="Times New Roman"/>
                <w:sz w:val="20"/>
                <w:szCs w:val="20"/>
              </w:rPr>
            </w:pPr>
          </w:p>
        </w:tc>
        <w:tc>
          <w:tcPr>
            <w:tcW w:w="0" w:type="auto"/>
            <w:vAlign w:val="center"/>
            <w:hideMark/>
          </w:tcPr>
          <w:p w14:paraId="1A295F67" w14:textId="77777777" w:rsidR="00000000" w:rsidRDefault="00195E73">
            <w:pPr>
              <w:rPr>
                <w:rFonts w:eastAsia="Times New Roman"/>
                <w:sz w:val="20"/>
                <w:szCs w:val="20"/>
              </w:rPr>
            </w:pPr>
          </w:p>
        </w:tc>
        <w:tc>
          <w:tcPr>
            <w:tcW w:w="0" w:type="auto"/>
            <w:vAlign w:val="center"/>
            <w:hideMark/>
          </w:tcPr>
          <w:p w14:paraId="403DAC1D" w14:textId="77777777" w:rsidR="00000000" w:rsidRDefault="00195E73">
            <w:pPr>
              <w:rPr>
                <w:rFonts w:eastAsia="Times New Roman"/>
                <w:sz w:val="20"/>
                <w:szCs w:val="20"/>
              </w:rPr>
            </w:pPr>
          </w:p>
        </w:tc>
        <w:tc>
          <w:tcPr>
            <w:tcW w:w="0" w:type="auto"/>
            <w:vAlign w:val="center"/>
            <w:hideMark/>
          </w:tcPr>
          <w:p w14:paraId="1900A922" w14:textId="77777777" w:rsidR="00000000" w:rsidRDefault="00195E73">
            <w:pPr>
              <w:rPr>
                <w:rFonts w:eastAsia="Times New Roman"/>
                <w:sz w:val="20"/>
                <w:szCs w:val="20"/>
              </w:rPr>
            </w:pPr>
          </w:p>
        </w:tc>
        <w:tc>
          <w:tcPr>
            <w:tcW w:w="0" w:type="auto"/>
            <w:vAlign w:val="center"/>
            <w:hideMark/>
          </w:tcPr>
          <w:p w14:paraId="49653399" w14:textId="77777777" w:rsidR="00000000" w:rsidRDefault="00195E73">
            <w:pPr>
              <w:rPr>
                <w:rFonts w:eastAsia="Times New Roman"/>
                <w:sz w:val="20"/>
                <w:szCs w:val="20"/>
              </w:rPr>
            </w:pPr>
          </w:p>
        </w:tc>
      </w:tr>
      <w:tr w:rsidR="00000000" w14:paraId="544D70B9" w14:textId="77777777">
        <w:trPr>
          <w:divId w:val="1949923715"/>
        </w:trPr>
        <w:tc>
          <w:tcPr>
            <w:tcW w:w="0" w:type="auto"/>
            <w:gridSpan w:val="3"/>
            <w:tcMar>
              <w:top w:w="15" w:type="dxa"/>
              <w:left w:w="20" w:type="dxa"/>
              <w:bottom w:w="15" w:type="dxa"/>
              <w:right w:w="20" w:type="dxa"/>
            </w:tcMar>
            <w:vAlign w:val="bottom"/>
            <w:hideMark/>
          </w:tcPr>
          <w:p w14:paraId="2DADB548" w14:textId="77777777" w:rsidR="00000000" w:rsidRDefault="00195E73">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14:paraId="7C10673D"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1C55986E" w14:textId="77777777" w:rsidR="00000000" w:rsidRDefault="00195E73">
            <w:pPr>
              <w:jc w:val="center"/>
              <w:rPr>
                <w:rFonts w:eastAsia="Times New Roman"/>
              </w:rPr>
            </w:pPr>
          </w:p>
        </w:tc>
        <w:tc>
          <w:tcPr>
            <w:tcW w:w="0" w:type="auto"/>
            <w:gridSpan w:val="3"/>
            <w:vAlign w:val="center"/>
            <w:hideMark/>
          </w:tcPr>
          <w:p w14:paraId="1AC584D0" w14:textId="77777777" w:rsidR="00000000" w:rsidRDefault="00195E73">
            <w:pPr>
              <w:rPr>
                <w:rFonts w:eastAsia="Times New Roman"/>
                <w:sz w:val="20"/>
                <w:szCs w:val="20"/>
              </w:rPr>
            </w:pPr>
          </w:p>
        </w:tc>
        <w:tc>
          <w:tcPr>
            <w:tcW w:w="0" w:type="auto"/>
            <w:gridSpan w:val="3"/>
            <w:vAlign w:val="center"/>
            <w:hideMark/>
          </w:tcPr>
          <w:p w14:paraId="2684D2AA" w14:textId="77777777" w:rsidR="00000000" w:rsidRDefault="00195E73">
            <w:pPr>
              <w:rPr>
                <w:rFonts w:eastAsia="Times New Roman"/>
                <w:sz w:val="20"/>
                <w:szCs w:val="20"/>
              </w:rPr>
            </w:pPr>
          </w:p>
        </w:tc>
        <w:tc>
          <w:tcPr>
            <w:tcW w:w="0" w:type="auto"/>
            <w:gridSpan w:val="3"/>
            <w:vAlign w:val="center"/>
            <w:hideMark/>
          </w:tcPr>
          <w:p w14:paraId="509298F3" w14:textId="77777777" w:rsidR="00000000" w:rsidRDefault="00195E73">
            <w:pPr>
              <w:rPr>
                <w:rFonts w:eastAsia="Times New Roman"/>
                <w:sz w:val="20"/>
                <w:szCs w:val="20"/>
              </w:rPr>
            </w:pPr>
          </w:p>
        </w:tc>
        <w:tc>
          <w:tcPr>
            <w:tcW w:w="0" w:type="auto"/>
            <w:gridSpan w:val="3"/>
            <w:vAlign w:val="center"/>
            <w:hideMark/>
          </w:tcPr>
          <w:p w14:paraId="23029046" w14:textId="77777777" w:rsidR="00000000" w:rsidRDefault="00195E73">
            <w:pPr>
              <w:rPr>
                <w:rFonts w:eastAsia="Times New Roman"/>
                <w:sz w:val="20"/>
                <w:szCs w:val="20"/>
              </w:rPr>
            </w:pPr>
          </w:p>
        </w:tc>
        <w:tc>
          <w:tcPr>
            <w:tcW w:w="0" w:type="auto"/>
            <w:gridSpan w:val="3"/>
            <w:vAlign w:val="center"/>
            <w:hideMark/>
          </w:tcPr>
          <w:p w14:paraId="346599C8" w14:textId="77777777" w:rsidR="00000000" w:rsidRDefault="00195E73">
            <w:pPr>
              <w:rPr>
                <w:rFonts w:eastAsia="Times New Roman"/>
                <w:sz w:val="20"/>
                <w:szCs w:val="20"/>
              </w:rPr>
            </w:pPr>
          </w:p>
        </w:tc>
        <w:tc>
          <w:tcPr>
            <w:tcW w:w="0" w:type="auto"/>
            <w:gridSpan w:val="3"/>
            <w:vAlign w:val="center"/>
            <w:hideMark/>
          </w:tcPr>
          <w:p w14:paraId="38C96B05" w14:textId="77777777" w:rsidR="00000000" w:rsidRDefault="00195E73">
            <w:pPr>
              <w:rPr>
                <w:rFonts w:eastAsia="Times New Roman"/>
                <w:sz w:val="20"/>
                <w:szCs w:val="20"/>
              </w:rPr>
            </w:pPr>
          </w:p>
        </w:tc>
        <w:tc>
          <w:tcPr>
            <w:tcW w:w="0" w:type="auto"/>
            <w:gridSpan w:val="3"/>
            <w:vAlign w:val="center"/>
            <w:hideMark/>
          </w:tcPr>
          <w:p w14:paraId="221B5EBB" w14:textId="77777777" w:rsidR="00000000" w:rsidRDefault="00195E73">
            <w:pPr>
              <w:rPr>
                <w:rFonts w:eastAsia="Times New Roman"/>
                <w:sz w:val="20"/>
                <w:szCs w:val="20"/>
              </w:rPr>
            </w:pPr>
          </w:p>
        </w:tc>
        <w:tc>
          <w:tcPr>
            <w:tcW w:w="0" w:type="auto"/>
            <w:gridSpan w:val="2"/>
            <w:vAlign w:val="center"/>
            <w:hideMark/>
          </w:tcPr>
          <w:p w14:paraId="0F0E0374" w14:textId="77777777" w:rsidR="00000000" w:rsidRDefault="00195E73">
            <w:pPr>
              <w:rPr>
                <w:rFonts w:eastAsia="Times New Roman"/>
                <w:sz w:val="20"/>
                <w:szCs w:val="20"/>
              </w:rPr>
            </w:pPr>
          </w:p>
        </w:tc>
        <w:tc>
          <w:tcPr>
            <w:tcW w:w="0" w:type="auto"/>
            <w:vAlign w:val="center"/>
            <w:hideMark/>
          </w:tcPr>
          <w:p w14:paraId="27A7329D" w14:textId="77777777" w:rsidR="00000000" w:rsidRDefault="00195E73">
            <w:pPr>
              <w:rPr>
                <w:rFonts w:eastAsia="Times New Roman"/>
                <w:sz w:val="20"/>
                <w:szCs w:val="20"/>
              </w:rPr>
            </w:pPr>
          </w:p>
        </w:tc>
      </w:tr>
      <w:tr w:rsidR="00000000" w14:paraId="036B29EB" w14:textId="77777777">
        <w:trPr>
          <w:divId w:val="1949923715"/>
        </w:trPr>
        <w:tc>
          <w:tcPr>
            <w:tcW w:w="0" w:type="auto"/>
            <w:gridSpan w:val="3"/>
            <w:tcMar>
              <w:top w:w="30" w:type="dxa"/>
              <w:left w:w="20" w:type="dxa"/>
              <w:bottom w:w="30" w:type="dxa"/>
              <w:right w:w="20" w:type="dxa"/>
            </w:tcMar>
            <w:vAlign w:val="bottom"/>
            <w:hideMark/>
          </w:tcPr>
          <w:p w14:paraId="39EA522F" w14:textId="77777777" w:rsidR="00000000" w:rsidRDefault="00195E73">
            <w:pPr>
              <w:rPr>
                <w:rFonts w:eastAsia="Times New Roman"/>
              </w:rPr>
            </w:pPr>
            <w:r>
              <w:rPr>
                <w:rFonts w:eastAsia="Times New Roman"/>
                <w:color w:val="000000"/>
                <w:sz w:val="20"/>
                <w:szCs w:val="20"/>
              </w:rPr>
              <w:t>U.S. and Non-U.S. Plans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6D5F9AE8"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07C69B3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93D33D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BFBAFE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1980C1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11543E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7DA8B1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6170EE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DA499ED"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EB1EE4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B0F7AE1" w14:textId="77777777" w:rsidR="00000000" w:rsidRDefault="00195E73">
            <w:pPr>
              <w:rPr>
                <w:rFonts w:eastAsia="Times New Roman"/>
                <w:sz w:val="20"/>
                <w:szCs w:val="20"/>
              </w:rPr>
            </w:pPr>
          </w:p>
        </w:tc>
        <w:tc>
          <w:tcPr>
            <w:tcW w:w="0" w:type="auto"/>
            <w:vAlign w:val="center"/>
            <w:hideMark/>
          </w:tcPr>
          <w:p w14:paraId="0BE9D618" w14:textId="77777777" w:rsidR="00000000" w:rsidRDefault="00195E73">
            <w:pPr>
              <w:rPr>
                <w:rFonts w:eastAsia="Times New Roman"/>
                <w:sz w:val="20"/>
                <w:szCs w:val="20"/>
              </w:rPr>
            </w:pPr>
          </w:p>
        </w:tc>
        <w:tc>
          <w:tcPr>
            <w:tcW w:w="0" w:type="auto"/>
            <w:vAlign w:val="center"/>
            <w:hideMark/>
          </w:tcPr>
          <w:p w14:paraId="24C70DB8" w14:textId="77777777" w:rsidR="00000000" w:rsidRDefault="00195E73">
            <w:pPr>
              <w:rPr>
                <w:rFonts w:eastAsia="Times New Roman"/>
                <w:sz w:val="20"/>
                <w:szCs w:val="20"/>
              </w:rPr>
            </w:pPr>
          </w:p>
        </w:tc>
        <w:tc>
          <w:tcPr>
            <w:tcW w:w="0" w:type="auto"/>
            <w:vAlign w:val="center"/>
            <w:hideMark/>
          </w:tcPr>
          <w:p w14:paraId="03660BC3" w14:textId="77777777" w:rsidR="00000000" w:rsidRDefault="00195E73">
            <w:pPr>
              <w:rPr>
                <w:rFonts w:eastAsia="Times New Roman"/>
                <w:sz w:val="20"/>
                <w:szCs w:val="20"/>
              </w:rPr>
            </w:pPr>
          </w:p>
        </w:tc>
        <w:tc>
          <w:tcPr>
            <w:tcW w:w="0" w:type="auto"/>
            <w:vAlign w:val="center"/>
            <w:hideMark/>
          </w:tcPr>
          <w:p w14:paraId="7CDDE8FD" w14:textId="77777777" w:rsidR="00000000" w:rsidRDefault="00195E73">
            <w:pPr>
              <w:rPr>
                <w:rFonts w:eastAsia="Times New Roman"/>
                <w:sz w:val="20"/>
                <w:szCs w:val="20"/>
              </w:rPr>
            </w:pPr>
          </w:p>
        </w:tc>
        <w:tc>
          <w:tcPr>
            <w:tcW w:w="0" w:type="auto"/>
            <w:vAlign w:val="center"/>
            <w:hideMark/>
          </w:tcPr>
          <w:p w14:paraId="6840381B" w14:textId="77777777" w:rsidR="00000000" w:rsidRDefault="00195E73">
            <w:pPr>
              <w:rPr>
                <w:rFonts w:eastAsia="Times New Roman"/>
                <w:sz w:val="20"/>
                <w:szCs w:val="20"/>
              </w:rPr>
            </w:pPr>
          </w:p>
        </w:tc>
        <w:tc>
          <w:tcPr>
            <w:tcW w:w="0" w:type="auto"/>
            <w:vAlign w:val="center"/>
            <w:hideMark/>
          </w:tcPr>
          <w:p w14:paraId="02B549F1" w14:textId="77777777" w:rsidR="00000000" w:rsidRDefault="00195E73">
            <w:pPr>
              <w:rPr>
                <w:rFonts w:eastAsia="Times New Roman"/>
                <w:sz w:val="20"/>
                <w:szCs w:val="20"/>
              </w:rPr>
            </w:pPr>
          </w:p>
        </w:tc>
        <w:tc>
          <w:tcPr>
            <w:tcW w:w="0" w:type="auto"/>
            <w:vAlign w:val="center"/>
            <w:hideMark/>
          </w:tcPr>
          <w:p w14:paraId="7FE245C3" w14:textId="77777777" w:rsidR="00000000" w:rsidRDefault="00195E73">
            <w:pPr>
              <w:rPr>
                <w:rFonts w:eastAsia="Times New Roman"/>
                <w:sz w:val="20"/>
                <w:szCs w:val="20"/>
              </w:rPr>
            </w:pPr>
          </w:p>
        </w:tc>
        <w:tc>
          <w:tcPr>
            <w:tcW w:w="0" w:type="auto"/>
            <w:vAlign w:val="center"/>
            <w:hideMark/>
          </w:tcPr>
          <w:p w14:paraId="269B5848" w14:textId="77777777" w:rsidR="00000000" w:rsidRDefault="00195E73">
            <w:pPr>
              <w:rPr>
                <w:rFonts w:eastAsia="Times New Roman"/>
                <w:sz w:val="20"/>
                <w:szCs w:val="20"/>
              </w:rPr>
            </w:pPr>
          </w:p>
        </w:tc>
        <w:tc>
          <w:tcPr>
            <w:tcW w:w="0" w:type="auto"/>
            <w:vAlign w:val="center"/>
            <w:hideMark/>
          </w:tcPr>
          <w:p w14:paraId="3096981A" w14:textId="77777777" w:rsidR="00000000" w:rsidRDefault="00195E73">
            <w:pPr>
              <w:rPr>
                <w:rFonts w:eastAsia="Times New Roman"/>
                <w:sz w:val="20"/>
                <w:szCs w:val="20"/>
              </w:rPr>
            </w:pPr>
          </w:p>
        </w:tc>
        <w:tc>
          <w:tcPr>
            <w:tcW w:w="0" w:type="auto"/>
            <w:vAlign w:val="center"/>
            <w:hideMark/>
          </w:tcPr>
          <w:p w14:paraId="1C55DE09" w14:textId="77777777" w:rsidR="00000000" w:rsidRDefault="00195E73">
            <w:pPr>
              <w:rPr>
                <w:rFonts w:eastAsia="Times New Roman"/>
                <w:sz w:val="20"/>
                <w:szCs w:val="20"/>
              </w:rPr>
            </w:pPr>
          </w:p>
        </w:tc>
        <w:tc>
          <w:tcPr>
            <w:tcW w:w="0" w:type="auto"/>
            <w:vAlign w:val="center"/>
            <w:hideMark/>
          </w:tcPr>
          <w:p w14:paraId="2533C8C7" w14:textId="77777777" w:rsidR="00000000" w:rsidRDefault="00195E73">
            <w:pPr>
              <w:rPr>
                <w:rFonts w:eastAsia="Times New Roman"/>
                <w:sz w:val="20"/>
                <w:szCs w:val="20"/>
              </w:rPr>
            </w:pPr>
          </w:p>
        </w:tc>
        <w:tc>
          <w:tcPr>
            <w:tcW w:w="0" w:type="auto"/>
            <w:vAlign w:val="center"/>
            <w:hideMark/>
          </w:tcPr>
          <w:p w14:paraId="4EAA3509" w14:textId="77777777" w:rsidR="00000000" w:rsidRDefault="00195E73">
            <w:pPr>
              <w:rPr>
                <w:rFonts w:eastAsia="Times New Roman"/>
                <w:sz w:val="20"/>
                <w:szCs w:val="20"/>
              </w:rPr>
            </w:pPr>
          </w:p>
        </w:tc>
        <w:tc>
          <w:tcPr>
            <w:tcW w:w="0" w:type="auto"/>
            <w:vAlign w:val="center"/>
            <w:hideMark/>
          </w:tcPr>
          <w:p w14:paraId="72C183B1" w14:textId="77777777" w:rsidR="00000000" w:rsidRDefault="00195E73">
            <w:pPr>
              <w:rPr>
                <w:rFonts w:eastAsia="Times New Roman"/>
                <w:sz w:val="20"/>
                <w:szCs w:val="20"/>
              </w:rPr>
            </w:pPr>
          </w:p>
        </w:tc>
        <w:tc>
          <w:tcPr>
            <w:tcW w:w="0" w:type="auto"/>
            <w:vAlign w:val="center"/>
            <w:hideMark/>
          </w:tcPr>
          <w:p w14:paraId="04E60CF3" w14:textId="77777777" w:rsidR="00000000" w:rsidRDefault="00195E73">
            <w:pPr>
              <w:rPr>
                <w:rFonts w:eastAsia="Times New Roman"/>
                <w:sz w:val="20"/>
                <w:szCs w:val="20"/>
              </w:rPr>
            </w:pPr>
          </w:p>
        </w:tc>
        <w:tc>
          <w:tcPr>
            <w:tcW w:w="0" w:type="auto"/>
            <w:vAlign w:val="center"/>
            <w:hideMark/>
          </w:tcPr>
          <w:p w14:paraId="088B6C45" w14:textId="77777777" w:rsidR="00000000" w:rsidRDefault="00195E73">
            <w:pPr>
              <w:rPr>
                <w:rFonts w:eastAsia="Times New Roman"/>
                <w:sz w:val="20"/>
                <w:szCs w:val="20"/>
              </w:rPr>
            </w:pPr>
          </w:p>
        </w:tc>
        <w:tc>
          <w:tcPr>
            <w:tcW w:w="0" w:type="auto"/>
            <w:vAlign w:val="center"/>
            <w:hideMark/>
          </w:tcPr>
          <w:p w14:paraId="67C54A10" w14:textId="77777777" w:rsidR="00000000" w:rsidRDefault="00195E73">
            <w:pPr>
              <w:rPr>
                <w:rFonts w:eastAsia="Times New Roman"/>
                <w:sz w:val="20"/>
                <w:szCs w:val="20"/>
              </w:rPr>
            </w:pPr>
          </w:p>
        </w:tc>
        <w:tc>
          <w:tcPr>
            <w:tcW w:w="0" w:type="auto"/>
            <w:vAlign w:val="center"/>
            <w:hideMark/>
          </w:tcPr>
          <w:p w14:paraId="16B72E18" w14:textId="77777777" w:rsidR="00000000" w:rsidRDefault="00195E73">
            <w:pPr>
              <w:rPr>
                <w:rFonts w:eastAsia="Times New Roman"/>
                <w:sz w:val="20"/>
                <w:szCs w:val="20"/>
              </w:rPr>
            </w:pPr>
          </w:p>
        </w:tc>
        <w:tc>
          <w:tcPr>
            <w:tcW w:w="0" w:type="auto"/>
            <w:vAlign w:val="center"/>
            <w:hideMark/>
          </w:tcPr>
          <w:p w14:paraId="0C6FFFE0" w14:textId="77777777" w:rsidR="00000000" w:rsidRDefault="00195E73">
            <w:pPr>
              <w:rPr>
                <w:rFonts w:eastAsia="Times New Roman"/>
                <w:sz w:val="20"/>
                <w:szCs w:val="20"/>
              </w:rPr>
            </w:pPr>
          </w:p>
        </w:tc>
        <w:tc>
          <w:tcPr>
            <w:tcW w:w="0" w:type="auto"/>
            <w:vAlign w:val="center"/>
            <w:hideMark/>
          </w:tcPr>
          <w:p w14:paraId="3FB7EDD8" w14:textId="77777777" w:rsidR="00000000" w:rsidRDefault="00195E73">
            <w:pPr>
              <w:rPr>
                <w:rFonts w:eastAsia="Times New Roman"/>
                <w:sz w:val="20"/>
                <w:szCs w:val="20"/>
              </w:rPr>
            </w:pPr>
          </w:p>
        </w:tc>
        <w:tc>
          <w:tcPr>
            <w:tcW w:w="0" w:type="auto"/>
            <w:vAlign w:val="center"/>
            <w:hideMark/>
          </w:tcPr>
          <w:p w14:paraId="0E2C5D86" w14:textId="77777777" w:rsidR="00000000" w:rsidRDefault="00195E73">
            <w:pPr>
              <w:rPr>
                <w:rFonts w:eastAsia="Times New Roman"/>
                <w:sz w:val="20"/>
                <w:szCs w:val="20"/>
              </w:rPr>
            </w:pPr>
          </w:p>
        </w:tc>
        <w:tc>
          <w:tcPr>
            <w:tcW w:w="0" w:type="auto"/>
            <w:vAlign w:val="center"/>
            <w:hideMark/>
          </w:tcPr>
          <w:p w14:paraId="570CA04A" w14:textId="77777777" w:rsidR="00000000" w:rsidRDefault="00195E73">
            <w:pPr>
              <w:rPr>
                <w:rFonts w:eastAsia="Times New Roman"/>
                <w:sz w:val="20"/>
                <w:szCs w:val="20"/>
              </w:rPr>
            </w:pPr>
          </w:p>
        </w:tc>
        <w:tc>
          <w:tcPr>
            <w:tcW w:w="0" w:type="auto"/>
            <w:vAlign w:val="center"/>
            <w:hideMark/>
          </w:tcPr>
          <w:p w14:paraId="1A6E2315" w14:textId="77777777" w:rsidR="00000000" w:rsidRDefault="00195E73">
            <w:pPr>
              <w:rPr>
                <w:rFonts w:eastAsia="Times New Roman"/>
                <w:sz w:val="20"/>
                <w:szCs w:val="20"/>
              </w:rPr>
            </w:pPr>
          </w:p>
        </w:tc>
        <w:tc>
          <w:tcPr>
            <w:tcW w:w="0" w:type="auto"/>
            <w:vAlign w:val="center"/>
            <w:hideMark/>
          </w:tcPr>
          <w:p w14:paraId="0E449B33" w14:textId="77777777" w:rsidR="00000000" w:rsidRDefault="00195E73">
            <w:pPr>
              <w:rPr>
                <w:rFonts w:eastAsia="Times New Roman"/>
                <w:sz w:val="20"/>
                <w:szCs w:val="20"/>
              </w:rPr>
            </w:pPr>
          </w:p>
        </w:tc>
        <w:tc>
          <w:tcPr>
            <w:tcW w:w="0" w:type="auto"/>
            <w:vAlign w:val="center"/>
            <w:hideMark/>
          </w:tcPr>
          <w:p w14:paraId="79029A56" w14:textId="77777777" w:rsidR="00000000" w:rsidRDefault="00195E73">
            <w:pPr>
              <w:rPr>
                <w:rFonts w:eastAsia="Times New Roman"/>
                <w:sz w:val="20"/>
                <w:szCs w:val="20"/>
              </w:rPr>
            </w:pPr>
          </w:p>
        </w:tc>
        <w:tc>
          <w:tcPr>
            <w:tcW w:w="0" w:type="auto"/>
            <w:vAlign w:val="center"/>
            <w:hideMark/>
          </w:tcPr>
          <w:p w14:paraId="73E7D8E3" w14:textId="77777777" w:rsidR="00000000" w:rsidRDefault="00195E73">
            <w:pPr>
              <w:rPr>
                <w:rFonts w:eastAsia="Times New Roman"/>
                <w:sz w:val="20"/>
                <w:szCs w:val="20"/>
              </w:rPr>
            </w:pPr>
          </w:p>
        </w:tc>
        <w:tc>
          <w:tcPr>
            <w:tcW w:w="0" w:type="auto"/>
            <w:vAlign w:val="center"/>
            <w:hideMark/>
          </w:tcPr>
          <w:p w14:paraId="20788237" w14:textId="77777777" w:rsidR="00000000" w:rsidRDefault="00195E73">
            <w:pPr>
              <w:rPr>
                <w:rFonts w:eastAsia="Times New Roman"/>
                <w:sz w:val="20"/>
                <w:szCs w:val="20"/>
              </w:rPr>
            </w:pPr>
          </w:p>
        </w:tc>
        <w:tc>
          <w:tcPr>
            <w:tcW w:w="0" w:type="auto"/>
            <w:vAlign w:val="center"/>
            <w:hideMark/>
          </w:tcPr>
          <w:p w14:paraId="4A28344C" w14:textId="77777777" w:rsidR="00000000" w:rsidRDefault="00195E73">
            <w:pPr>
              <w:rPr>
                <w:rFonts w:eastAsia="Times New Roman"/>
                <w:sz w:val="20"/>
                <w:szCs w:val="20"/>
              </w:rPr>
            </w:pPr>
          </w:p>
        </w:tc>
      </w:tr>
      <w:tr w:rsidR="00000000" w14:paraId="6C41DB69" w14:textId="77777777">
        <w:trPr>
          <w:divId w:val="1949923715"/>
        </w:trPr>
        <w:tc>
          <w:tcPr>
            <w:tcW w:w="0" w:type="auto"/>
            <w:gridSpan w:val="3"/>
            <w:shd w:val="clear" w:color="auto" w:fill="CCEEFF"/>
            <w:tcMar>
              <w:top w:w="30" w:type="dxa"/>
              <w:left w:w="20" w:type="dxa"/>
              <w:bottom w:w="30" w:type="dxa"/>
              <w:right w:w="20" w:type="dxa"/>
            </w:tcMar>
            <w:vAlign w:val="bottom"/>
            <w:hideMark/>
          </w:tcPr>
          <w:p w14:paraId="4133DBD6" w14:textId="77777777" w:rsidR="00000000" w:rsidRDefault="00195E73">
            <w:pPr>
              <w:ind w:firstLine="180"/>
              <w:divId w:val="1273434183"/>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7D8574C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3DF21C3"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21EF35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86AC8C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3A4F7D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AC40D59"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E411C4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2E6768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E5E15B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A743DA4"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86D717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9A7384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F27B9C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20F4FB9"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072683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14D10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9A5067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AF4E1C2"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F85BF0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8FEF49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7FA3EC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646ACFC"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6719D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E56FBDD" w14:textId="77777777" w:rsidR="00000000" w:rsidRDefault="00195E73">
            <w:pPr>
              <w:rPr>
                <w:rFonts w:eastAsia="Times New Roman"/>
                <w:sz w:val="20"/>
                <w:szCs w:val="20"/>
              </w:rPr>
            </w:pPr>
          </w:p>
        </w:tc>
        <w:tc>
          <w:tcPr>
            <w:tcW w:w="0" w:type="auto"/>
            <w:vAlign w:val="center"/>
            <w:hideMark/>
          </w:tcPr>
          <w:p w14:paraId="5A090DF2" w14:textId="77777777" w:rsidR="00000000" w:rsidRDefault="00195E73">
            <w:pPr>
              <w:rPr>
                <w:rFonts w:eastAsia="Times New Roman"/>
                <w:sz w:val="20"/>
                <w:szCs w:val="20"/>
              </w:rPr>
            </w:pPr>
          </w:p>
        </w:tc>
        <w:tc>
          <w:tcPr>
            <w:tcW w:w="0" w:type="auto"/>
            <w:vAlign w:val="center"/>
            <w:hideMark/>
          </w:tcPr>
          <w:p w14:paraId="2868F3C1" w14:textId="77777777" w:rsidR="00000000" w:rsidRDefault="00195E73">
            <w:pPr>
              <w:rPr>
                <w:rFonts w:eastAsia="Times New Roman"/>
                <w:sz w:val="20"/>
                <w:szCs w:val="20"/>
              </w:rPr>
            </w:pPr>
          </w:p>
        </w:tc>
        <w:tc>
          <w:tcPr>
            <w:tcW w:w="0" w:type="auto"/>
            <w:vAlign w:val="center"/>
            <w:hideMark/>
          </w:tcPr>
          <w:p w14:paraId="5D5BE9BC" w14:textId="77777777" w:rsidR="00000000" w:rsidRDefault="00195E73">
            <w:pPr>
              <w:rPr>
                <w:rFonts w:eastAsia="Times New Roman"/>
                <w:sz w:val="20"/>
                <w:szCs w:val="20"/>
              </w:rPr>
            </w:pPr>
          </w:p>
        </w:tc>
        <w:tc>
          <w:tcPr>
            <w:tcW w:w="0" w:type="auto"/>
            <w:vAlign w:val="center"/>
            <w:hideMark/>
          </w:tcPr>
          <w:p w14:paraId="2A22BB19" w14:textId="77777777" w:rsidR="00000000" w:rsidRDefault="00195E73">
            <w:pPr>
              <w:rPr>
                <w:rFonts w:eastAsia="Times New Roman"/>
                <w:sz w:val="20"/>
                <w:szCs w:val="20"/>
              </w:rPr>
            </w:pPr>
          </w:p>
        </w:tc>
        <w:tc>
          <w:tcPr>
            <w:tcW w:w="0" w:type="auto"/>
            <w:vAlign w:val="center"/>
            <w:hideMark/>
          </w:tcPr>
          <w:p w14:paraId="117073D8" w14:textId="77777777" w:rsidR="00000000" w:rsidRDefault="00195E73">
            <w:pPr>
              <w:rPr>
                <w:rFonts w:eastAsia="Times New Roman"/>
                <w:sz w:val="20"/>
                <w:szCs w:val="20"/>
              </w:rPr>
            </w:pPr>
          </w:p>
        </w:tc>
        <w:tc>
          <w:tcPr>
            <w:tcW w:w="0" w:type="auto"/>
            <w:vAlign w:val="center"/>
            <w:hideMark/>
          </w:tcPr>
          <w:p w14:paraId="2218DD11" w14:textId="77777777" w:rsidR="00000000" w:rsidRDefault="00195E73">
            <w:pPr>
              <w:rPr>
                <w:rFonts w:eastAsia="Times New Roman"/>
                <w:sz w:val="20"/>
                <w:szCs w:val="20"/>
              </w:rPr>
            </w:pPr>
          </w:p>
        </w:tc>
        <w:tc>
          <w:tcPr>
            <w:tcW w:w="0" w:type="auto"/>
            <w:vAlign w:val="center"/>
            <w:hideMark/>
          </w:tcPr>
          <w:p w14:paraId="2EE5A679" w14:textId="77777777" w:rsidR="00000000" w:rsidRDefault="00195E73">
            <w:pPr>
              <w:rPr>
                <w:rFonts w:eastAsia="Times New Roman"/>
                <w:sz w:val="20"/>
                <w:szCs w:val="20"/>
              </w:rPr>
            </w:pPr>
          </w:p>
        </w:tc>
        <w:tc>
          <w:tcPr>
            <w:tcW w:w="0" w:type="auto"/>
            <w:vAlign w:val="center"/>
            <w:hideMark/>
          </w:tcPr>
          <w:p w14:paraId="3B304CDE" w14:textId="77777777" w:rsidR="00000000" w:rsidRDefault="00195E73">
            <w:pPr>
              <w:rPr>
                <w:rFonts w:eastAsia="Times New Roman"/>
                <w:sz w:val="20"/>
                <w:szCs w:val="20"/>
              </w:rPr>
            </w:pPr>
          </w:p>
        </w:tc>
        <w:tc>
          <w:tcPr>
            <w:tcW w:w="0" w:type="auto"/>
            <w:vAlign w:val="center"/>
            <w:hideMark/>
          </w:tcPr>
          <w:p w14:paraId="4701C37B" w14:textId="77777777" w:rsidR="00000000" w:rsidRDefault="00195E73">
            <w:pPr>
              <w:rPr>
                <w:rFonts w:eastAsia="Times New Roman"/>
                <w:sz w:val="20"/>
                <w:szCs w:val="20"/>
              </w:rPr>
            </w:pPr>
          </w:p>
        </w:tc>
        <w:tc>
          <w:tcPr>
            <w:tcW w:w="0" w:type="auto"/>
            <w:vAlign w:val="center"/>
            <w:hideMark/>
          </w:tcPr>
          <w:p w14:paraId="29B50F91" w14:textId="77777777" w:rsidR="00000000" w:rsidRDefault="00195E73">
            <w:pPr>
              <w:rPr>
                <w:rFonts w:eastAsia="Times New Roman"/>
                <w:sz w:val="20"/>
                <w:szCs w:val="20"/>
              </w:rPr>
            </w:pPr>
          </w:p>
        </w:tc>
        <w:tc>
          <w:tcPr>
            <w:tcW w:w="0" w:type="auto"/>
            <w:vAlign w:val="center"/>
            <w:hideMark/>
          </w:tcPr>
          <w:p w14:paraId="2222E4E6" w14:textId="77777777" w:rsidR="00000000" w:rsidRDefault="00195E73">
            <w:pPr>
              <w:rPr>
                <w:rFonts w:eastAsia="Times New Roman"/>
                <w:sz w:val="20"/>
                <w:szCs w:val="20"/>
              </w:rPr>
            </w:pPr>
          </w:p>
        </w:tc>
        <w:tc>
          <w:tcPr>
            <w:tcW w:w="0" w:type="auto"/>
            <w:vAlign w:val="center"/>
            <w:hideMark/>
          </w:tcPr>
          <w:p w14:paraId="2FB42060" w14:textId="77777777" w:rsidR="00000000" w:rsidRDefault="00195E73">
            <w:pPr>
              <w:rPr>
                <w:rFonts w:eastAsia="Times New Roman"/>
                <w:sz w:val="20"/>
                <w:szCs w:val="20"/>
              </w:rPr>
            </w:pPr>
          </w:p>
        </w:tc>
        <w:tc>
          <w:tcPr>
            <w:tcW w:w="0" w:type="auto"/>
            <w:vAlign w:val="center"/>
            <w:hideMark/>
          </w:tcPr>
          <w:p w14:paraId="2C4ACE08" w14:textId="77777777" w:rsidR="00000000" w:rsidRDefault="00195E73">
            <w:pPr>
              <w:rPr>
                <w:rFonts w:eastAsia="Times New Roman"/>
                <w:sz w:val="20"/>
                <w:szCs w:val="20"/>
              </w:rPr>
            </w:pPr>
          </w:p>
        </w:tc>
        <w:tc>
          <w:tcPr>
            <w:tcW w:w="0" w:type="auto"/>
            <w:vAlign w:val="center"/>
            <w:hideMark/>
          </w:tcPr>
          <w:p w14:paraId="4CCEC380" w14:textId="77777777" w:rsidR="00000000" w:rsidRDefault="00195E73">
            <w:pPr>
              <w:rPr>
                <w:rFonts w:eastAsia="Times New Roman"/>
                <w:sz w:val="20"/>
                <w:szCs w:val="20"/>
              </w:rPr>
            </w:pPr>
          </w:p>
        </w:tc>
        <w:tc>
          <w:tcPr>
            <w:tcW w:w="0" w:type="auto"/>
            <w:vAlign w:val="center"/>
            <w:hideMark/>
          </w:tcPr>
          <w:p w14:paraId="332EE0FD" w14:textId="77777777" w:rsidR="00000000" w:rsidRDefault="00195E73">
            <w:pPr>
              <w:rPr>
                <w:rFonts w:eastAsia="Times New Roman"/>
                <w:sz w:val="20"/>
                <w:szCs w:val="20"/>
              </w:rPr>
            </w:pPr>
          </w:p>
        </w:tc>
        <w:tc>
          <w:tcPr>
            <w:tcW w:w="0" w:type="auto"/>
            <w:vAlign w:val="center"/>
            <w:hideMark/>
          </w:tcPr>
          <w:p w14:paraId="287A1B6F" w14:textId="77777777" w:rsidR="00000000" w:rsidRDefault="00195E73">
            <w:pPr>
              <w:rPr>
                <w:rFonts w:eastAsia="Times New Roman"/>
                <w:sz w:val="20"/>
                <w:szCs w:val="20"/>
              </w:rPr>
            </w:pPr>
          </w:p>
        </w:tc>
        <w:tc>
          <w:tcPr>
            <w:tcW w:w="0" w:type="auto"/>
            <w:vAlign w:val="center"/>
            <w:hideMark/>
          </w:tcPr>
          <w:p w14:paraId="6F7B3CC6" w14:textId="77777777" w:rsidR="00000000" w:rsidRDefault="00195E73">
            <w:pPr>
              <w:rPr>
                <w:rFonts w:eastAsia="Times New Roman"/>
                <w:sz w:val="20"/>
                <w:szCs w:val="20"/>
              </w:rPr>
            </w:pPr>
          </w:p>
        </w:tc>
        <w:tc>
          <w:tcPr>
            <w:tcW w:w="0" w:type="auto"/>
            <w:vAlign w:val="center"/>
            <w:hideMark/>
          </w:tcPr>
          <w:p w14:paraId="65D774C2" w14:textId="77777777" w:rsidR="00000000" w:rsidRDefault="00195E73">
            <w:pPr>
              <w:rPr>
                <w:rFonts w:eastAsia="Times New Roman"/>
                <w:sz w:val="20"/>
                <w:szCs w:val="20"/>
              </w:rPr>
            </w:pPr>
          </w:p>
        </w:tc>
        <w:tc>
          <w:tcPr>
            <w:tcW w:w="0" w:type="auto"/>
            <w:vAlign w:val="center"/>
            <w:hideMark/>
          </w:tcPr>
          <w:p w14:paraId="15A727FF" w14:textId="77777777" w:rsidR="00000000" w:rsidRDefault="00195E73">
            <w:pPr>
              <w:rPr>
                <w:rFonts w:eastAsia="Times New Roman"/>
                <w:sz w:val="20"/>
                <w:szCs w:val="20"/>
              </w:rPr>
            </w:pPr>
          </w:p>
        </w:tc>
        <w:tc>
          <w:tcPr>
            <w:tcW w:w="0" w:type="auto"/>
            <w:vAlign w:val="center"/>
            <w:hideMark/>
          </w:tcPr>
          <w:p w14:paraId="48B61C3B" w14:textId="77777777" w:rsidR="00000000" w:rsidRDefault="00195E73">
            <w:pPr>
              <w:rPr>
                <w:rFonts w:eastAsia="Times New Roman"/>
                <w:sz w:val="20"/>
                <w:szCs w:val="20"/>
              </w:rPr>
            </w:pPr>
          </w:p>
        </w:tc>
        <w:tc>
          <w:tcPr>
            <w:tcW w:w="0" w:type="auto"/>
            <w:vAlign w:val="center"/>
            <w:hideMark/>
          </w:tcPr>
          <w:p w14:paraId="0D65DEED" w14:textId="77777777" w:rsidR="00000000" w:rsidRDefault="00195E73">
            <w:pPr>
              <w:rPr>
                <w:rFonts w:eastAsia="Times New Roman"/>
                <w:sz w:val="20"/>
                <w:szCs w:val="20"/>
              </w:rPr>
            </w:pPr>
          </w:p>
        </w:tc>
        <w:tc>
          <w:tcPr>
            <w:tcW w:w="0" w:type="auto"/>
            <w:vAlign w:val="center"/>
            <w:hideMark/>
          </w:tcPr>
          <w:p w14:paraId="1825D542" w14:textId="77777777" w:rsidR="00000000" w:rsidRDefault="00195E73">
            <w:pPr>
              <w:rPr>
                <w:rFonts w:eastAsia="Times New Roman"/>
                <w:sz w:val="20"/>
                <w:szCs w:val="20"/>
              </w:rPr>
            </w:pPr>
          </w:p>
        </w:tc>
        <w:tc>
          <w:tcPr>
            <w:tcW w:w="0" w:type="auto"/>
            <w:vAlign w:val="center"/>
            <w:hideMark/>
          </w:tcPr>
          <w:p w14:paraId="7E73106D" w14:textId="77777777" w:rsidR="00000000" w:rsidRDefault="00195E73">
            <w:pPr>
              <w:rPr>
                <w:rFonts w:eastAsia="Times New Roman"/>
                <w:sz w:val="20"/>
                <w:szCs w:val="20"/>
              </w:rPr>
            </w:pPr>
          </w:p>
        </w:tc>
        <w:tc>
          <w:tcPr>
            <w:tcW w:w="0" w:type="auto"/>
            <w:vAlign w:val="center"/>
            <w:hideMark/>
          </w:tcPr>
          <w:p w14:paraId="1F4A226E" w14:textId="77777777" w:rsidR="00000000" w:rsidRDefault="00195E73">
            <w:pPr>
              <w:rPr>
                <w:rFonts w:eastAsia="Times New Roman"/>
                <w:sz w:val="20"/>
                <w:szCs w:val="20"/>
              </w:rPr>
            </w:pPr>
          </w:p>
        </w:tc>
        <w:tc>
          <w:tcPr>
            <w:tcW w:w="0" w:type="auto"/>
            <w:vAlign w:val="center"/>
            <w:hideMark/>
          </w:tcPr>
          <w:p w14:paraId="7A17A11C" w14:textId="77777777" w:rsidR="00000000" w:rsidRDefault="00195E73">
            <w:pPr>
              <w:rPr>
                <w:rFonts w:eastAsia="Times New Roman"/>
                <w:sz w:val="20"/>
                <w:szCs w:val="20"/>
              </w:rPr>
            </w:pPr>
          </w:p>
        </w:tc>
        <w:tc>
          <w:tcPr>
            <w:tcW w:w="0" w:type="auto"/>
            <w:vAlign w:val="center"/>
            <w:hideMark/>
          </w:tcPr>
          <w:p w14:paraId="778CB67D" w14:textId="77777777" w:rsidR="00000000" w:rsidRDefault="00195E73">
            <w:pPr>
              <w:rPr>
                <w:rFonts w:eastAsia="Times New Roman"/>
                <w:sz w:val="20"/>
                <w:szCs w:val="20"/>
              </w:rPr>
            </w:pPr>
          </w:p>
        </w:tc>
      </w:tr>
      <w:tr w:rsidR="00000000" w14:paraId="0018F114" w14:textId="77777777">
        <w:trPr>
          <w:divId w:val="1949923715"/>
        </w:trPr>
        <w:tc>
          <w:tcPr>
            <w:tcW w:w="0" w:type="auto"/>
            <w:gridSpan w:val="3"/>
            <w:shd w:val="clear" w:color="auto" w:fill="FFFFFF"/>
            <w:tcMar>
              <w:top w:w="30" w:type="dxa"/>
              <w:left w:w="180" w:type="dxa"/>
              <w:bottom w:w="30" w:type="dxa"/>
              <w:right w:w="20" w:type="dxa"/>
            </w:tcMar>
            <w:vAlign w:val="bottom"/>
            <w:hideMark/>
          </w:tcPr>
          <w:p w14:paraId="358B2AAE" w14:textId="77777777" w:rsidR="00000000" w:rsidRDefault="00195E73">
            <w:pPr>
              <w:rPr>
                <w:rFonts w:eastAsia="Times New Roman"/>
              </w:rPr>
            </w:pPr>
            <w:r>
              <w:rPr>
                <w:rFonts w:eastAsia="Times New Roman"/>
                <w:color w:val="000000"/>
                <w:sz w:val="20"/>
                <w:szCs w:val="20"/>
              </w:rPr>
              <w:t>Government debt securitie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6F11F77"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B50F24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B6C0DD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5B24AF"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29AF68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DF1B38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801063"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8018C7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E769DA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8AE323"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6389CE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E7B53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20B9E8"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A88BD7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AD9634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C3A8D1" w14:textId="77777777" w:rsidR="00000000" w:rsidRDefault="00195E73">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D30089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6C7025D" w14:textId="77777777" w:rsidR="00000000" w:rsidRDefault="00195E73">
            <w:pPr>
              <w:rPr>
                <w:rFonts w:eastAsia="Times New Roman"/>
                <w:sz w:val="20"/>
                <w:szCs w:val="20"/>
              </w:rPr>
            </w:pPr>
          </w:p>
        </w:tc>
        <w:tc>
          <w:tcPr>
            <w:tcW w:w="0" w:type="auto"/>
            <w:vAlign w:val="center"/>
            <w:hideMark/>
          </w:tcPr>
          <w:p w14:paraId="4BB2A4BE" w14:textId="77777777" w:rsidR="00000000" w:rsidRDefault="00195E73">
            <w:pPr>
              <w:rPr>
                <w:rFonts w:eastAsia="Times New Roman"/>
                <w:sz w:val="20"/>
                <w:szCs w:val="20"/>
              </w:rPr>
            </w:pPr>
          </w:p>
        </w:tc>
        <w:tc>
          <w:tcPr>
            <w:tcW w:w="0" w:type="auto"/>
            <w:vAlign w:val="center"/>
            <w:hideMark/>
          </w:tcPr>
          <w:p w14:paraId="1F66E9B6" w14:textId="77777777" w:rsidR="00000000" w:rsidRDefault="00195E73">
            <w:pPr>
              <w:rPr>
                <w:rFonts w:eastAsia="Times New Roman"/>
                <w:sz w:val="20"/>
                <w:szCs w:val="20"/>
              </w:rPr>
            </w:pPr>
          </w:p>
        </w:tc>
        <w:tc>
          <w:tcPr>
            <w:tcW w:w="0" w:type="auto"/>
            <w:vAlign w:val="center"/>
            <w:hideMark/>
          </w:tcPr>
          <w:p w14:paraId="4A20B90B" w14:textId="77777777" w:rsidR="00000000" w:rsidRDefault="00195E73">
            <w:pPr>
              <w:rPr>
                <w:rFonts w:eastAsia="Times New Roman"/>
                <w:sz w:val="20"/>
                <w:szCs w:val="20"/>
              </w:rPr>
            </w:pPr>
          </w:p>
        </w:tc>
        <w:tc>
          <w:tcPr>
            <w:tcW w:w="0" w:type="auto"/>
            <w:vAlign w:val="center"/>
            <w:hideMark/>
          </w:tcPr>
          <w:p w14:paraId="6467B13D" w14:textId="77777777" w:rsidR="00000000" w:rsidRDefault="00195E73">
            <w:pPr>
              <w:rPr>
                <w:rFonts w:eastAsia="Times New Roman"/>
                <w:sz w:val="20"/>
                <w:szCs w:val="20"/>
              </w:rPr>
            </w:pPr>
          </w:p>
        </w:tc>
        <w:tc>
          <w:tcPr>
            <w:tcW w:w="0" w:type="auto"/>
            <w:vAlign w:val="center"/>
            <w:hideMark/>
          </w:tcPr>
          <w:p w14:paraId="79074D9E" w14:textId="77777777" w:rsidR="00000000" w:rsidRDefault="00195E73">
            <w:pPr>
              <w:rPr>
                <w:rFonts w:eastAsia="Times New Roman"/>
                <w:sz w:val="20"/>
                <w:szCs w:val="20"/>
              </w:rPr>
            </w:pPr>
          </w:p>
        </w:tc>
        <w:tc>
          <w:tcPr>
            <w:tcW w:w="0" w:type="auto"/>
            <w:vAlign w:val="center"/>
            <w:hideMark/>
          </w:tcPr>
          <w:p w14:paraId="2839AC26" w14:textId="77777777" w:rsidR="00000000" w:rsidRDefault="00195E73">
            <w:pPr>
              <w:rPr>
                <w:rFonts w:eastAsia="Times New Roman"/>
                <w:sz w:val="20"/>
                <w:szCs w:val="20"/>
              </w:rPr>
            </w:pPr>
          </w:p>
        </w:tc>
        <w:tc>
          <w:tcPr>
            <w:tcW w:w="0" w:type="auto"/>
            <w:vAlign w:val="center"/>
            <w:hideMark/>
          </w:tcPr>
          <w:p w14:paraId="478DEA1F" w14:textId="77777777" w:rsidR="00000000" w:rsidRDefault="00195E73">
            <w:pPr>
              <w:rPr>
                <w:rFonts w:eastAsia="Times New Roman"/>
                <w:sz w:val="20"/>
                <w:szCs w:val="20"/>
              </w:rPr>
            </w:pPr>
          </w:p>
        </w:tc>
        <w:tc>
          <w:tcPr>
            <w:tcW w:w="0" w:type="auto"/>
            <w:vAlign w:val="center"/>
            <w:hideMark/>
          </w:tcPr>
          <w:p w14:paraId="2A5B8992" w14:textId="77777777" w:rsidR="00000000" w:rsidRDefault="00195E73">
            <w:pPr>
              <w:rPr>
                <w:rFonts w:eastAsia="Times New Roman"/>
                <w:sz w:val="20"/>
                <w:szCs w:val="20"/>
              </w:rPr>
            </w:pPr>
          </w:p>
        </w:tc>
        <w:tc>
          <w:tcPr>
            <w:tcW w:w="0" w:type="auto"/>
            <w:vAlign w:val="center"/>
            <w:hideMark/>
          </w:tcPr>
          <w:p w14:paraId="14B96582" w14:textId="77777777" w:rsidR="00000000" w:rsidRDefault="00195E73">
            <w:pPr>
              <w:rPr>
                <w:rFonts w:eastAsia="Times New Roman"/>
                <w:sz w:val="20"/>
                <w:szCs w:val="20"/>
              </w:rPr>
            </w:pPr>
          </w:p>
        </w:tc>
        <w:tc>
          <w:tcPr>
            <w:tcW w:w="0" w:type="auto"/>
            <w:vAlign w:val="center"/>
            <w:hideMark/>
          </w:tcPr>
          <w:p w14:paraId="2777D9EF" w14:textId="77777777" w:rsidR="00000000" w:rsidRDefault="00195E73">
            <w:pPr>
              <w:rPr>
                <w:rFonts w:eastAsia="Times New Roman"/>
                <w:sz w:val="20"/>
                <w:szCs w:val="20"/>
              </w:rPr>
            </w:pPr>
          </w:p>
        </w:tc>
        <w:tc>
          <w:tcPr>
            <w:tcW w:w="0" w:type="auto"/>
            <w:vAlign w:val="center"/>
            <w:hideMark/>
          </w:tcPr>
          <w:p w14:paraId="3BF07805" w14:textId="77777777" w:rsidR="00000000" w:rsidRDefault="00195E73">
            <w:pPr>
              <w:rPr>
                <w:rFonts w:eastAsia="Times New Roman"/>
                <w:sz w:val="20"/>
                <w:szCs w:val="20"/>
              </w:rPr>
            </w:pPr>
          </w:p>
        </w:tc>
        <w:tc>
          <w:tcPr>
            <w:tcW w:w="0" w:type="auto"/>
            <w:vAlign w:val="center"/>
            <w:hideMark/>
          </w:tcPr>
          <w:p w14:paraId="13393BA0" w14:textId="77777777" w:rsidR="00000000" w:rsidRDefault="00195E73">
            <w:pPr>
              <w:rPr>
                <w:rFonts w:eastAsia="Times New Roman"/>
                <w:sz w:val="20"/>
                <w:szCs w:val="20"/>
              </w:rPr>
            </w:pPr>
          </w:p>
        </w:tc>
        <w:tc>
          <w:tcPr>
            <w:tcW w:w="0" w:type="auto"/>
            <w:vAlign w:val="center"/>
            <w:hideMark/>
          </w:tcPr>
          <w:p w14:paraId="15B11A81" w14:textId="77777777" w:rsidR="00000000" w:rsidRDefault="00195E73">
            <w:pPr>
              <w:rPr>
                <w:rFonts w:eastAsia="Times New Roman"/>
                <w:sz w:val="20"/>
                <w:szCs w:val="20"/>
              </w:rPr>
            </w:pPr>
          </w:p>
        </w:tc>
        <w:tc>
          <w:tcPr>
            <w:tcW w:w="0" w:type="auto"/>
            <w:vAlign w:val="center"/>
            <w:hideMark/>
          </w:tcPr>
          <w:p w14:paraId="4652953D" w14:textId="77777777" w:rsidR="00000000" w:rsidRDefault="00195E73">
            <w:pPr>
              <w:rPr>
                <w:rFonts w:eastAsia="Times New Roman"/>
                <w:sz w:val="20"/>
                <w:szCs w:val="20"/>
              </w:rPr>
            </w:pPr>
          </w:p>
        </w:tc>
        <w:tc>
          <w:tcPr>
            <w:tcW w:w="0" w:type="auto"/>
            <w:vAlign w:val="center"/>
            <w:hideMark/>
          </w:tcPr>
          <w:p w14:paraId="69341ED9" w14:textId="77777777" w:rsidR="00000000" w:rsidRDefault="00195E73">
            <w:pPr>
              <w:rPr>
                <w:rFonts w:eastAsia="Times New Roman"/>
                <w:sz w:val="20"/>
                <w:szCs w:val="20"/>
              </w:rPr>
            </w:pPr>
          </w:p>
        </w:tc>
        <w:tc>
          <w:tcPr>
            <w:tcW w:w="0" w:type="auto"/>
            <w:vAlign w:val="center"/>
            <w:hideMark/>
          </w:tcPr>
          <w:p w14:paraId="0F9054EF" w14:textId="77777777" w:rsidR="00000000" w:rsidRDefault="00195E73">
            <w:pPr>
              <w:rPr>
                <w:rFonts w:eastAsia="Times New Roman"/>
                <w:sz w:val="20"/>
                <w:szCs w:val="20"/>
              </w:rPr>
            </w:pPr>
          </w:p>
        </w:tc>
        <w:tc>
          <w:tcPr>
            <w:tcW w:w="0" w:type="auto"/>
            <w:vAlign w:val="center"/>
            <w:hideMark/>
          </w:tcPr>
          <w:p w14:paraId="2F171018" w14:textId="77777777" w:rsidR="00000000" w:rsidRDefault="00195E73">
            <w:pPr>
              <w:rPr>
                <w:rFonts w:eastAsia="Times New Roman"/>
                <w:sz w:val="20"/>
                <w:szCs w:val="20"/>
              </w:rPr>
            </w:pPr>
          </w:p>
        </w:tc>
        <w:tc>
          <w:tcPr>
            <w:tcW w:w="0" w:type="auto"/>
            <w:vAlign w:val="center"/>
            <w:hideMark/>
          </w:tcPr>
          <w:p w14:paraId="22D13632" w14:textId="77777777" w:rsidR="00000000" w:rsidRDefault="00195E73">
            <w:pPr>
              <w:rPr>
                <w:rFonts w:eastAsia="Times New Roman"/>
                <w:sz w:val="20"/>
                <w:szCs w:val="20"/>
              </w:rPr>
            </w:pPr>
          </w:p>
        </w:tc>
        <w:tc>
          <w:tcPr>
            <w:tcW w:w="0" w:type="auto"/>
            <w:vAlign w:val="center"/>
            <w:hideMark/>
          </w:tcPr>
          <w:p w14:paraId="4F18EEF6" w14:textId="77777777" w:rsidR="00000000" w:rsidRDefault="00195E73">
            <w:pPr>
              <w:rPr>
                <w:rFonts w:eastAsia="Times New Roman"/>
                <w:sz w:val="20"/>
                <w:szCs w:val="20"/>
              </w:rPr>
            </w:pPr>
          </w:p>
        </w:tc>
        <w:tc>
          <w:tcPr>
            <w:tcW w:w="0" w:type="auto"/>
            <w:vAlign w:val="center"/>
            <w:hideMark/>
          </w:tcPr>
          <w:p w14:paraId="0A942232" w14:textId="77777777" w:rsidR="00000000" w:rsidRDefault="00195E73">
            <w:pPr>
              <w:rPr>
                <w:rFonts w:eastAsia="Times New Roman"/>
                <w:sz w:val="20"/>
                <w:szCs w:val="20"/>
              </w:rPr>
            </w:pPr>
          </w:p>
        </w:tc>
        <w:tc>
          <w:tcPr>
            <w:tcW w:w="0" w:type="auto"/>
            <w:vAlign w:val="center"/>
            <w:hideMark/>
          </w:tcPr>
          <w:p w14:paraId="6FF08EEF" w14:textId="77777777" w:rsidR="00000000" w:rsidRDefault="00195E73">
            <w:pPr>
              <w:rPr>
                <w:rFonts w:eastAsia="Times New Roman"/>
                <w:sz w:val="20"/>
                <w:szCs w:val="20"/>
              </w:rPr>
            </w:pPr>
          </w:p>
        </w:tc>
        <w:tc>
          <w:tcPr>
            <w:tcW w:w="0" w:type="auto"/>
            <w:vAlign w:val="center"/>
            <w:hideMark/>
          </w:tcPr>
          <w:p w14:paraId="7AA85E8E" w14:textId="77777777" w:rsidR="00000000" w:rsidRDefault="00195E73">
            <w:pPr>
              <w:rPr>
                <w:rFonts w:eastAsia="Times New Roman"/>
                <w:sz w:val="20"/>
                <w:szCs w:val="20"/>
              </w:rPr>
            </w:pPr>
          </w:p>
        </w:tc>
        <w:tc>
          <w:tcPr>
            <w:tcW w:w="0" w:type="auto"/>
            <w:vAlign w:val="center"/>
            <w:hideMark/>
          </w:tcPr>
          <w:p w14:paraId="284077FB" w14:textId="77777777" w:rsidR="00000000" w:rsidRDefault="00195E73">
            <w:pPr>
              <w:rPr>
                <w:rFonts w:eastAsia="Times New Roman"/>
                <w:sz w:val="20"/>
                <w:szCs w:val="20"/>
              </w:rPr>
            </w:pPr>
          </w:p>
        </w:tc>
        <w:tc>
          <w:tcPr>
            <w:tcW w:w="0" w:type="auto"/>
            <w:vAlign w:val="center"/>
            <w:hideMark/>
          </w:tcPr>
          <w:p w14:paraId="4C479E8A" w14:textId="77777777" w:rsidR="00000000" w:rsidRDefault="00195E73">
            <w:pPr>
              <w:rPr>
                <w:rFonts w:eastAsia="Times New Roman"/>
                <w:sz w:val="20"/>
                <w:szCs w:val="20"/>
              </w:rPr>
            </w:pPr>
          </w:p>
        </w:tc>
        <w:tc>
          <w:tcPr>
            <w:tcW w:w="0" w:type="auto"/>
            <w:vAlign w:val="center"/>
            <w:hideMark/>
          </w:tcPr>
          <w:p w14:paraId="729A0379" w14:textId="77777777" w:rsidR="00000000" w:rsidRDefault="00195E73">
            <w:pPr>
              <w:rPr>
                <w:rFonts w:eastAsia="Times New Roman"/>
                <w:sz w:val="20"/>
                <w:szCs w:val="20"/>
              </w:rPr>
            </w:pPr>
          </w:p>
        </w:tc>
        <w:tc>
          <w:tcPr>
            <w:tcW w:w="0" w:type="auto"/>
            <w:vAlign w:val="center"/>
            <w:hideMark/>
          </w:tcPr>
          <w:p w14:paraId="19843604" w14:textId="77777777" w:rsidR="00000000" w:rsidRDefault="00195E73">
            <w:pPr>
              <w:rPr>
                <w:rFonts w:eastAsia="Times New Roman"/>
                <w:sz w:val="20"/>
                <w:szCs w:val="20"/>
              </w:rPr>
            </w:pPr>
          </w:p>
        </w:tc>
      </w:tr>
      <w:tr w:rsidR="00000000" w14:paraId="59DC5300" w14:textId="77777777">
        <w:trPr>
          <w:divId w:val="1949923715"/>
        </w:trPr>
        <w:tc>
          <w:tcPr>
            <w:tcW w:w="0" w:type="auto"/>
            <w:gridSpan w:val="3"/>
            <w:shd w:val="clear" w:color="auto" w:fill="CCEEFF"/>
            <w:tcMar>
              <w:top w:w="30" w:type="dxa"/>
              <w:left w:w="180" w:type="dxa"/>
              <w:bottom w:w="30" w:type="dxa"/>
              <w:right w:w="20" w:type="dxa"/>
            </w:tcMar>
            <w:vAlign w:val="bottom"/>
            <w:hideMark/>
          </w:tcPr>
          <w:p w14:paraId="57E53387" w14:textId="77777777" w:rsidR="00000000" w:rsidRDefault="00195E73">
            <w:pPr>
              <w:rPr>
                <w:rFonts w:eastAsia="Times New Roman"/>
              </w:rPr>
            </w:pPr>
            <w:r>
              <w:rPr>
                <w:rFonts w:eastAsia="Times New Roman"/>
                <w:color w:val="000000"/>
                <w:sz w:val="20"/>
                <w:szCs w:val="20"/>
              </w:rPr>
              <w:t>Exchange traded fund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EF6A2C8" w14:textId="77777777" w:rsidR="00000000" w:rsidRDefault="00195E73">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6CF808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18201B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88F1C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7AFEB0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D9716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E00C74" w14:textId="77777777" w:rsidR="00000000" w:rsidRDefault="00195E73">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04A930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7F7926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B7E32B" w14:textId="77777777" w:rsidR="00000000" w:rsidRDefault="00195E73">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C929E1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FC8D94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43BC8E"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CA5459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B6A851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7FE2A0" w14:textId="77777777" w:rsidR="00000000" w:rsidRDefault="00195E73">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525DAD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849EF61" w14:textId="77777777" w:rsidR="00000000" w:rsidRDefault="00195E73">
            <w:pPr>
              <w:rPr>
                <w:rFonts w:eastAsia="Times New Roman"/>
                <w:sz w:val="20"/>
                <w:szCs w:val="20"/>
              </w:rPr>
            </w:pPr>
          </w:p>
        </w:tc>
        <w:tc>
          <w:tcPr>
            <w:tcW w:w="0" w:type="auto"/>
            <w:vAlign w:val="center"/>
            <w:hideMark/>
          </w:tcPr>
          <w:p w14:paraId="777144AF" w14:textId="77777777" w:rsidR="00000000" w:rsidRDefault="00195E73">
            <w:pPr>
              <w:rPr>
                <w:rFonts w:eastAsia="Times New Roman"/>
                <w:sz w:val="20"/>
                <w:szCs w:val="20"/>
              </w:rPr>
            </w:pPr>
          </w:p>
        </w:tc>
        <w:tc>
          <w:tcPr>
            <w:tcW w:w="0" w:type="auto"/>
            <w:vAlign w:val="center"/>
            <w:hideMark/>
          </w:tcPr>
          <w:p w14:paraId="4F64F5B8" w14:textId="77777777" w:rsidR="00000000" w:rsidRDefault="00195E73">
            <w:pPr>
              <w:rPr>
                <w:rFonts w:eastAsia="Times New Roman"/>
                <w:sz w:val="20"/>
                <w:szCs w:val="20"/>
              </w:rPr>
            </w:pPr>
          </w:p>
        </w:tc>
        <w:tc>
          <w:tcPr>
            <w:tcW w:w="0" w:type="auto"/>
            <w:vAlign w:val="center"/>
            <w:hideMark/>
          </w:tcPr>
          <w:p w14:paraId="6F336F54" w14:textId="77777777" w:rsidR="00000000" w:rsidRDefault="00195E73">
            <w:pPr>
              <w:rPr>
                <w:rFonts w:eastAsia="Times New Roman"/>
                <w:sz w:val="20"/>
                <w:szCs w:val="20"/>
              </w:rPr>
            </w:pPr>
          </w:p>
        </w:tc>
        <w:tc>
          <w:tcPr>
            <w:tcW w:w="0" w:type="auto"/>
            <w:vAlign w:val="center"/>
            <w:hideMark/>
          </w:tcPr>
          <w:p w14:paraId="2342E167" w14:textId="77777777" w:rsidR="00000000" w:rsidRDefault="00195E73">
            <w:pPr>
              <w:rPr>
                <w:rFonts w:eastAsia="Times New Roman"/>
                <w:sz w:val="20"/>
                <w:szCs w:val="20"/>
              </w:rPr>
            </w:pPr>
          </w:p>
        </w:tc>
        <w:tc>
          <w:tcPr>
            <w:tcW w:w="0" w:type="auto"/>
            <w:vAlign w:val="center"/>
            <w:hideMark/>
          </w:tcPr>
          <w:p w14:paraId="57CDF7DF" w14:textId="77777777" w:rsidR="00000000" w:rsidRDefault="00195E73">
            <w:pPr>
              <w:rPr>
                <w:rFonts w:eastAsia="Times New Roman"/>
                <w:sz w:val="20"/>
                <w:szCs w:val="20"/>
              </w:rPr>
            </w:pPr>
          </w:p>
        </w:tc>
        <w:tc>
          <w:tcPr>
            <w:tcW w:w="0" w:type="auto"/>
            <w:vAlign w:val="center"/>
            <w:hideMark/>
          </w:tcPr>
          <w:p w14:paraId="13AAFC7B" w14:textId="77777777" w:rsidR="00000000" w:rsidRDefault="00195E73">
            <w:pPr>
              <w:rPr>
                <w:rFonts w:eastAsia="Times New Roman"/>
                <w:sz w:val="20"/>
                <w:szCs w:val="20"/>
              </w:rPr>
            </w:pPr>
          </w:p>
        </w:tc>
        <w:tc>
          <w:tcPr>
            <w:tcW w:w="0" w:type="auto"/>
            <w:vAlign w:val="center"/>
            <w:hideMark/>
          </w:tcPr>
          <w:p w14:paraId="21A4C5B0" w14:textId="77777777" w:rsidR="00000000" w:rsidRDefault="00195E73">
            <w:pPr>
              <w:rPr>
                <w:rFonts w:eastAsia="Times New Roman"/>
                <w:sz w:val="20"/>
                <w:szCs w:val="20"/>
              </w:rPr>
            </w:pPr>
          </w:p>
        </w:tc>
        <w:tc>
          <w:tcPr>
            <w:tcW w:w="0" w:type="auto"/>
            <w:vAlign w:val="center"/>
            <w:hideMark/>
          </w:tcPr>
          <w:p w14:paraId="4940C3F5" w14:textId="77777777" w:rsidR="00000000" w:rsidRDefault="00195E73">
            <w:pPr>
              <w:rPr>
                <w:rFonts w:eastAsia="Times New Roman"/>
                <w:sz w:val="20"/>
                <w:szCs w:val="20"/>
              </w:rPr>
            </w:pPr>
          </w:p>
        </w:tc>
        <w:tc>
          <w:tcPr>
            <w:tcW w:w="0" w:type="auto"/>
            <w:vAlign w:val="center"/>
            <w:hideMark/>
          </w:tcPr>
          <w:p w14:paraId="54AA71BC" w14:textId="77777777" w:rsidR="00000000" w:rsidRDefault="00195E73">
            <w:pPr>
              <w:rPr>
                <w:rFonts w:eastAsia="Times New Roman"/>
                <w:sz w:val="20"/>
                <w:szCs w:val="20"/>
              </w:rPr>
            </w:pPr>
          </w:p>
        </w:tc>
        <w:tc>
          <w:tcPr>
            <w:tcW w:w="0" w:type="auto"/>
            <w:vAlign w:val="center"/>
            <w:hideMark/>
          </w:tcPr>
          <w:p w14:paraId="29DA0A12" w14:textId="77777777" w:rsidR="00000000" w:rsidRDefault="00195E73">
            <w:pPr>
              <w:rPr>
                <w:rFonts w:eastAsia="Times New Roman"/>
                <w:sz w:val="20"/>
                <w:szCs w:val="20"/>
              </w:rPr>
            </w:pPr>
          </w:p>
        </w:tc>
        <w:tc>
          <w:tcPr>
            <w:tcW w:w="0" w:type="auto"/>
            <w:vAlign w:val="center"/>
            <w:hideMark/>
          </w:tcPr>
          <w:p w14:paraId="2CC12709" w14:textId="77777777" w:rsidR="00000000" w:rsidRDefault="00195E73">
            <w:pPr>
              <w:rPr>
                <w:rFonts w:eastAsia="Times New Roman"/>
                <w:sz w:val="20"/>
                <w:szCs w:val="20"/>
              </w:rPr>
            </w:pPr>
          </w:p>
        </w:tc>
        <w:tc>
          <w:tcPr>
            <w:tcW w:w="0" w:type="auto"/>
            <w:vAlign w:val="center"/>
            <w:hideMark/>
          </w:tcPr>
          <w:p w14:paraId="09035D96" w14:textId="77777777" w:rsidR="00000000" w:rsidRDefault="00195E73">
            <w:pPr>
              <w:rPr>
                <w:rFonts w:eastAsia="Times New Roman"/>
                <w:sz w:val="20"/>
                <w:szCs w:val="20"/>
              </w:rPr>
            </w:pPr>
          </w:p>
        </w:tc>
        <w:tc>
          <w:tcPr>
            <w:tcW w:w="0" w:type="auto"/>
            <w:vAlign w:val="center"/>
            <w:hideMark/>
          </w:tcPr>
          <w:p w14:paraId="612A0ABF" w14:textId="77777777" w:rsidR="00000000" w:rsidRDefault="00195E73">
            <w:pPr>
              <w:rPr>
                <w:rFonts w:eastAsia="Times New Roman"/>
                <w:sz w:val="20"/>
                <w:szCs w:val="20"/>
              </w:rPr>
            </w:pPr>
          </w:p>
        </w:tc>
        <w:tc>
          <w:tcPr>
            <w:tcW w:w="0" w:type="auto"/>
            <w:vAlign w:val="center"/>
            <w:hideMark/>
          </w:tcPr>
          <w:p w14:paraId="24EB37A0" w14:textId="77777777" w:rsidR="00000000" w:rsidRDefault="00195E73">
            <w:pPr>
              <w:rPr>
                <w:rFonts w:eastAsia="Times New Roman"/>
                <w:sz w:val="20"/>
                <w:szCs w:val="20"/>
              </w:rPr>
            </w:pPr>
          </w:p>
        </w:tc>
        <w:tc>
          <w:tcPr>
            <w:tcW w:w="0" w:type="auto"/>
            <w:vAlign w:val="center"/>
            <w:hideMark/>
          </w:tcPr>
          <w:p w14:paraId="6EC1C0BA" w14:textId="77777777" w:rsidR="00000000" w:rsidRDefault="00195E73">
            <w:pPr>
              <w:rPr>
                <w:rFonts w:eastAsia="Times New Roman"/>
                <w:sz w:val="20"/>
                <w:szCs w:val="20"/>
              </w:rPr>
            </w:pPr>
          </w:p>
        </w:tc>
        <w:tc>
          <w:tcPr>
            <w:tcW w:w="0" w:type="auto"/>
            <w:vAlign w:val="center"/>
            <w:hideMark/>
          </w:tcPr>
          <w:p w14:paraId="1A0B83FA" w14:textId="77777777" w:rsidR="00000000" w:rsidRDefault="00195E73">
            <w:pPr>
              <w:rPr>
                <w:rFonts w:eastAsia="Times New Roman"/>
                <w:sz w:val="20"/>
                <w:szCs w:val="20"/>
              </w:rPr>
            </w:pPr>
          </w:p>
        </w:tc>
        <w:tc>
          <w:tcPr>
            <w:tcW w:w="0" w:type="auto"/>
            <w:vAlign w:val="center"/>
            <w:hideMark/>
          </w:tcPr>
          <w:p w14:paraId="46D2D095" w14:textId="77777777" w:rsidR="00000000" w:rsidRDefault="00195E73">
            <w:pPr>
              <w:rPr>
                <w:rFonts w:eastAsia="Times New Roman"/>
                <w:sz w:val="20"/>
                <w:szCs w:val="20"/>
              </w:rPr>
            </w:pPr>
          </w:p>
        </w:tc>
        <w:tc>
          <w:tcPr>
            <w:tcW w:w="0" w:type="auto"/>
            <w:vAlign w:val="center"/>
            <w:hideMark/>
          </w:tcPr>
          <w:p w14:paraId="2098B7E7" w14:textId="77777777" w:rsidR="00000000" w:rsidRDefault="00195E73">
            <w:pPr>
              <w:rPr>
                <w:rFonts w:eastAsia="Times New Roman"/>
                <w:sz w:val="20"/>
                <w:szCs w:val="20"/>
              </w:rPr>
            </w:pPr>
          </w:p>
        </w:tc>
        <w:tc>
          <w:tcPr>
            <w:tcW w:w="0" w:type="auto"/>
            <w:vAlign w:val="center"/>
            <w:hideMark/>
          </w:tcPr>
          <w:p w14:paraId="1DD3CF3E" w14:textId="77777777" w:rsidR="00000000" w:rsidRDefault="00195E73">
            <w:pPr>
              <w:rPr>
                <w:rFonts w:eastAsia="Times New Roman"/>
                <w:sz w:val="20"/>
                <w:szCs w:val="20"/>
              </w:rPr>
            </w:pPr>
          </w:p>
        </w:tc>
        <w:tc>
          <w:tcPr>
            <w:tcW w:w="0" w:type="auto"/>
            <w:vAlign w:val="center"/>
            <w:hideMark/>
          </w:tcPr>
          <w:p w14:paraId="61C24B72" w14:textId="77777777" w:rsidR="00000000" w:rsidRDefault="00195E73">
            <w:pPr>
              <w:rPr>
                <w:rFonts w:eastAsia="Times New Roman"/>
                <w:sz w:val="20"/>
                <w:szCs w:val="20"/>
              </w:rPr>
            </w:pPr>
          </w:p>
        </w:tc>
        <w:tc>
          <w:tcPr>
            <w:tcW w:w="0" w:type="auto"/>
            <w:vAlign w:val="center"/>
            <w:hideMark/>
          </w:tcPr>
          <w:p w14:paraId="75D55104" w14:textId="77777777" w:rsidR="00000000" w:rsidRDefault="00195E73">
            <w:pPr>
              <w:rPr>
                <w:rFonts w:eastAsia="Times New Roman"/>
                <w:sz w:val="20"/>
                <w:szCs w:val="20"/>
              </w:rPr>
            </w:pPr>
          </w:p>
        </w:tc>
        <w:tc>
          <w:tcPr>
            <w:tcW w:w="0" w:type="auto"/>
            <w:vAlign w:val="center"/>
            <w:hideMark/>
          </w:tcPr>
          <w:p w14:paraId="13920948" w14:textId="77777777" w:rsidR="00000000" w:rsidRDefault="00195E73">
            <w:pPr>
              <w:rPr>
                <w:rFonts w:eastAsia="Times New Roman"/>
                <w:sz w:val="20"/>
                <w:szCs w:val="20"/>
              </w:rPr>
            </w:pPr>
          </w:p>
        </w:tc>
        <w:tc>
          <w:tcPr>
            <w:tcW w:w="0" w:type="auto"/>
            <w:vAlign w:val="center"/>
            <w:hideMark/>
          </w:tcPr>
          <w:p w14:paraId="647AC853" w14:textId="77777777" w:rsidR="00000000" w:rsidRDefault="00195E73">
            <w:pPr>
              <w:rPr>
                <w:rFonts w:eastAsia="Times New Roman"/>
                <w:sz w:val="20"/>
                <w:szCs w:val="20"/>
              </w:rPr>
            </w:pPr>
          </w:p>
        </w:tc>
        <w:tc>
          <w:tcPr>
            <w:tcW w:w="0" w:type="auto"/>
            <w:vAlign w:val="center"/>
            <w:hideMark/>
          </w:tcPr>
          <w:p w14:paraId="556408B2" w14:textId="77777777" w:rsidR="00000000" w:rsidRDefault="00195E73">
            <w:pPr>
              <w:rPr>
                <w:rFonts w:eastAsia="Times New Roman"/>
                <w:sz w:val="20"/>
                <w:szCs w:val="20"/>
              </w:rPr>
            </w:pPr>
          </w:p>
        </w:tc>
        <w:tc>
          <w:tcPr>
            <w:tcW w:w="0" w:type="auto"/>
            <w:vAlign w:val="center"/>
            <w:hideMark/>
          </w:tcPr>
          <w:p w14:paraId="79AE67C2" w14:textId="77777777" w:rsidR="00000000" w:rsidRDefault="00195E73">
            <w:pPr>
              <w:rPr>
                <w:rFonts w:eastAsia="Times New Roman"/>
                <w:sz w:val="20"/>
                <w:szCs w:val="20"/>
              </w:rPr>
            </w:pPr>
          </w:p>
        </w:tc>
        <w:tc>
          <w:tcPr>
            <w:tcW w:w="0" w:type="auto"/>
            <w:vAlign w:val="center"/>
            <w:hideMark/>
          </w:tcPr>
          <w:p w14:paraId="32CF682D" w14:textId="77777777" w:rsidR="00000000" w:rsidRDefault="00195E73">
            <w:pPr>
              <w:rPr>
                <w:rFonts w:eastAsia="Times New Roman"/>
                <w:sz w:val="20"/>
                <w:szCs w:val="20"/>
              </w:rPr>
            </w:pPr>
          </w:p>
        </w:tc>
      </w:tr>
      <w:tr w:rsidR="00000000" w14:paraId="754804D5" w14:textId="77777777">
        <w:trPr>
          <w:divId w:val="1949923715"/>
        </w:trPr>
        <w:tc>
          <w:tcPr>
            <w:tcW w:w="0" w:type="auto"/>
            <w:gridSpan w:val="3"/>
            <w:shd w:val="clear" w:color="auto" w:fill="FFFFFF"/>
            <w:tcMar>
              <w:top w:w="30" w:type="dxa"/>
              <w:left w:w="180" w:type="dxa"/>
              <w:bottom w:w="30" w:type="dxa"/>
              <w:right w:w="20" w:type="dxa"/>
            </w:tcMar>
            <w:vAlign w:val="bottom"/>
            <w:hideMark/>
          </w:tcPr>
          <w:p w14:paraId="7468F9DE" w14:textId="77777777" w:rsidR="00000000" w:rsidRDefault="00195E73">
            <w:pPr>
              <w:rPr>
                <w:rFonts w:eastAsia="Times New Roman"/>
              </w:rPr>
            </w:pPr>
            <w:r>
              <w:rPr>
                <w:rFonts w:eastAsia="Times New Roman"/>
                <w:color w:val="000000"/>
                <w:sz w:val="20"/>
                <w:szCs w:val="20"/>
              </w:rPr>
              <w:t>Mutual fund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A46B5CD" w14:textId="77777777" w:rsidR="00000000" w:rsidRDefault="00195E73">
            <w:pPr>
              <w:jc w:val="right"/>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5B978E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760F4E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9F8BAC"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CBE0BD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1D9267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A4E078" w14:textId="77777777" w:rsidR="00000000" w:rsidRDefault="00195E73">
            <w:pPr>
              <w:jc w:val="right"/>
              <w:rPr>
                <w:rFonts w:eastAsia="Times New Roman"/>
              </w:rPr>
            </w:pPr>
            <w:r>
              <w:rPr>
                <w:rFonts w:eastAsia="Times New Roman"/>
                <w:color w:val="000000"/>
                <w:sz w:val="20"/>
                <w:szCs w:val="20"/>
              </w:rPr>
              <w:t>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A443B9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6AE6A6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345F10" w14:textId="77777777" w:rsidR="00000000" w:rsidRDefault="00195E73">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02FAF6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068939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F25F18"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36FCC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78B343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5EA2A8" w14:textId="77777777" w:rsidR="00000000" w:rsidRDefault="00195E73">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392D2E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2B2F4BD" w14:textId="77777777" w:rsidR="00000000" w:rsidRDefault="00195E73">
            <w:pPr>
              <w:rPr>
                <w:rFonts w:eastAsia="Times New Roman"/>
                <w:sz w:val="20"/>
                <w:szCs w:val="20"/>
              </w:rPr>
            </w:pPr>
          </w:p>
        </w:tc>
        <w:tc>
          <w:tcPr>
            <w:tcW w:w="0" w:type="auto"/>
            <w:vAlign w:val="center"/>
            <w:hideMark/>
          </w:tcPr>
          <w:p w14:paraId="0663CF4E" w14:textId="77777777" w:rsidR="00000000" w:rsidRDefault="00195E73">
            <w:pPr>
              <w:rPr>
                <w:rFonts w:eastAsia="Times New Roman"/>
                <w:sz w:val="20"/>
                <w:szCs w:val="20"/>
              </w:rPr>
            </w:pPr>
          </w:p>
        </w:tc>
        <w:tc>
          <w:tcPr>
            <w:tcW w:w="0" w:type="auto"/>
            <w:vAlign w:val="center"/>
            <w:hideMark/>
          </w:tcPr>
          <w:p w14:paraId="3E14923E" w14:textId="77777777" w:rsidR="00000000" w:rsidRDefault="00195E73">
            <w:pPr>
              <w:rPr>
                <w:rFonts w:eastAsia="Times New Roman"/>
                <w:sz w:val="20"/>
                <w:szCs w:val="20"/>
              </w:rPr>
            </w:pPr>
          </w:p>
        </w:tc>
        <w:tc>
          <w:tcPr>
            <w:tcW w:w="0" w:type="auto"/>
            <w:vAlign w:val="center"/>
            <w:hideMark/>
          </w:tcPr>
          <w:p w14:paraId="363B2320" w14:textId="77777777" w:rsidR="00000000" w:rsidRDefault="00195E73">
            <w:pPr>
              <w:rPr>
                <w:rFonts w:eastAsia="Times New Roman"/>
                <w:sz w:val="20"/>
                <w:szCs w:val="20"/>
              </w:rPr>
            </w:pPr>
          </w:p>
        </w:tc>
        <w:tc>
          <w:tcPr>
            <w:tcW w:w="0" w:type="auto"/>
            <w:vAlign w:val="center"/>
            <w:hideMark/>
          </w:tcPr>
          <w:p w14:paraId="15BF4ADC" w14:textId="77777777" w:rsidR="00000000" w:rsidRDefault="00195E73">
            <w:pPr>
              <w:rPr>
                <w:rFonts w:eastAsia="Times New Roman"/>
                <w:sz w:val="20"/>
                <w:szCs w:val="20"/>
              </w:rPr>
            </w:pPr>
          </w:p>
        </w:tc>
        <w:tc>
          <w:tcPr>
            <w:tcW w:w="0" w:type="auto"/>
            <w:vAlign w:val="center"/>
            <w:hideMark/>
          </w:tcPr>
          <w:p w14:paraId="66A7914B" w14:textId="77777777" w:rsidR="00000000" w:rsidRDefault="00195E73">
            <w:pPr>
              <w:rPr>
                <w:rFonts w:eastAsia="Times New Roman"/>
                <w:sz w:val="20"/>
                <w:szCs w:val="20"/>
              </w:rPr>
            </w:pPr>
          </w:p>
        </w:tc>
        <w:tc>
          <w:tcPr>
            <w:tcW w:w="0" w:type="auto"/>
            <w:vAlign w:val="center"/>
            <w:hideMark/>
          </w:tcPr>
          <w:p w14:paraId="457DCD00" w14:textId="77777777" w:rsidR="00000000" w:rsidRDefault="00195E73">
            <w:pPr>
              <w:rPr>
                <w:rFonts w:eastAsia="Times New Roman"/>
                <w:sz w:val="20"/>
                <w:szCs w:val="20"/>
              </w:rPr>
            </w:pPr>
          </w:p>
        </w:tc>
        <w:tc>
          <w:tcPr>
            <w:tcW w:w="0" w:type="auto"/>
            <w:vAlign w:val="center"/>
            <w:hideMark/>
          </w:tcPr>
          <w:p w14:paraId="062E6247" w14:textId="77777777" w:rsidR="00000000" w:rsidRDefault="00195E73">
            <w:pPr>
              <w:rPr>
                <w:rFonts w:eastAsia="Times New Roman"/>
                <w:sz w:val="20"/>
                <w:szCs w:val="20"/>
              </w:rPr>
            </w:pPr>
          </w:p>
        </w:tc>
        <w:tc>
          <w:tcPr>
            <w:tcW w:w="0" w:type="auto"/>
            <w:vAlign w:val="center"/>
            <w:hideMark/>
          </w:tcPr>
          <w:p w14:paraId="3C7CF923" w14:textId="77777777" w:rsidR="00000000" w:rsidRDefault="00195E73">
            <w:pPr>
              <w:rPr>
                <w:rFonts w:eastAsia="Times New Roman"/>
                <w:sz w:val="20"/>
                <w:szCs w:val="20"/>
              </w:rPr>
            </w:pPr>
          </w:p>
        </w:tc>
        <w:tc>
          <w:tcPr>
            <w:tcW w:w="0" w:type="auto"/>
            <w:vAlign w:val="center"/>
            <w:hideMark/>
          </w:tcPr>
          <w:p w14:paraId="216E8829" w14:textId="77777777" w:rsidR="00000000" w:rsidRDefault="00195E73">
            <w:pPr>
              <w:rPr>
                <w:rFonts w:eastAsia="Times New Roman"/>
                <w:sz w:val="20"/>
                <w:szCs w:val="20"/>
              </w:rPr>
            </w:pPr>
          </w:p>
        </w:tc>
        <w:tc>
          <w:tcPr>
            <w:tcW w:w="0" w:type="auto"/>
            <w:vAlign w:val="center"/>
            <w:hideMark/>
          </w:tcPr>
          <w:p w14:paraId="286A5B92" w14:textId="77777777" w:rsidR="00000000" w:rsidRDefault="00195E73">
            <w:pPr>
              <w:rPr>
                <w:rFonts w:eastAsia="Times New Roman"/>
                <w:sz w:val="20"/>
                <w:szCs w:val="20"/>
              </w:rPr>
            </w:pPr>
          </w:p>
        </w:tc>
        <w:tc>
          <w:tcPr>
            <w:tcW w:w="0" w:type="auto"/>
            <w:vAlign w:val="center"/>
            <w:hideMark/>
          </w:tcPr>
          <w:p w14:paraId="1347BF3E" w14:textId="77777777" w:rsidR="00000000" w:rsidRDefault="00195E73">
            <w:pPr>
              <w:rPr>
                <w:rFonts w:eastAsia="Times New Roman"/>
                <w:sz w:val="20"/>
                <w:szCs w:val="20"/>
              </w:rPr>
            </w:pPr>
          </w:p>
        </w:tc>
        <w:tc>
          <w:tcPr>
            <w:tcW w:w="0" w:type="auto"/>
            <w:vAlign w:val="center"/>
            <w:hideMark/>
          </w:tcPr>
          <w:p w14:paraId="428060C6" w14:textId="77777777" w:rsidR="00000000" w:rsidRDefault="00195E73">
            <w:pPr>
              <w:rPr>
                <w:rFonts w:eastAsia="Times New Roman"/>
                <w:sz w:val="20"/>
                <w:szCs w:val="20"/>
              </w:rPr>
            </w:pPr>
          </w:p>
        </w:tc>
        <w:tc>
          <w:tcPr>
            <w:tcW w:w="0" w:type="auto"/>
            <w:vAlign w:val="center"/>
            <w:hideMark/>
          </w:tcPr>
          <w:p w14:paraId="520D6F0F" w14:textId="77777777" w:rsidR="00000000" w:rsidRDefault="00195E73">
            <w:pPr>
              <w:rPr>
                <w:rFonts w:eastAsia="Times New Roman"/>
                <w:sz w:val="20"/>
                <w:szCs w:val="20"/>
              </w:rPr>
            </w:pPr>
          </w:p>
        </w:tc>
        <w:tc>
          <w:tcPr>
            <w:tcW w:w="0" w:type="auto"/>
            <w:vAlign w:val="center"/>
            <w:hideMark/>
          </w:tcPr>
          <w:p w14:paraId="686A7833" w14:textId="77777777" w:rsidR="00000000" w:rsidRDefault="00195E73">
            <w:pPr>
              <w:rPr>
                <w:rFonts w:eastAsia="Times New Roman"/>
                <w:sz w:val="20"/>
                <w:szCs w:val="20"/>
              </w:rPr>
            </w:pPr>
          </w:p>
        </w:tc>
        <w:tc>
          <w:tcPr>
            <w:tcW w:w="0" w:type="auto"/>
            <w:vAlign w:val="center"/>
            <w:hideMark/>
          </w:tcPr>
          <w:p w14:paraId="57922FFE" w14:textId="77777777" w:rsidR="00000000" w:rsidRDefault="00195E73">
            <w:pPr>
              <w:rPr>
                <w:rFonts w:eastAsia="Times New Roman"/>
                <w:sz w:val="20"/>
                <w:szCs w:val="20"/>
              </w:rPr>
            </w:pPr>
          </w:p>
        </w:tc>
        <w:tc>
          <w:tcPr>
            <w:tcW w:w="0" w:type="auto"/>
            <w:vAlign w:val="center"/>
            <w:hideMark/>
          </w:tcPr>
          <w:p w14:paraId="1E47F998" w14:textId="77777777" w:rsidR="00000000" w:rsidRDefault="00195E73">
            <w:pPr>
              <w:rPr>
                <w:rFonts w:eastAsia="Times New Roman"/>
                <w:sz w:val="20"/>
                <w:szCs w:val="20"/>
              </w:rPr>
            </w:pPr>
          </w:p>
        </w:tc>
        <w:tc>
          <w:tcPr>
            <w:tcW w:w="0" w:type="auto"/>
            <w:vAlign w:val="center"/>
            <w:hideMark/>
          </w:tcPr>
          <w:p w14:paraId="4A3EF949" w14:textId="77777777" w:rsidR="00000000" w:rsidRDefault="00195E73">
            <w:pPr>
              <w:rPr>
                <w:rFonts w:eastAsia="Times New Roman"/>
                <w:sz w:val="20"/>
                <w:szCs w:val="20"/>
              </w:rPr>
            </w:pPr>
          </w:p>
        </w:tc>
        <w:tc>
          <w:tcPr>
            <w:tcW w:w="0" w:type="auto"/>
            <w:vAlign w:val="center"/>
            <w:hideMark/>
          </w:tcPr>
          <w:p w14:paraId="6CEE40C8" w14:textId="77777777" w:rsidR="00000000" w:rsidRDefault="00195E73">
            <w:pPr>
              <w:rPr>
                <w:rFonts w:eastAsia="Times New Roman"/>
                <w:sz w:val="20"/>
                <w:szCs w:val="20"/>
              </w:rPr>
            </w:pPr>
          </w:p>
        </w:tc>
        <w:tc>
          <w:tcPr>
            <w:tcW w:w="0" w:type="auto"/>
            <w:vAlign w:val="center"/>
            <w:hideMark/>
          </w:tcPr>
          <w:p w14:paraId="0B381BA4" w14:textId="77777777" w:rsidR="00000000" w:rsidRDefault="00195E73">
            <w:pPr>
              <w:rPr>
                <w:rFonts w:eastAsia="Times New Roman"/>
                <w:sz w:val="20"/>
                <w:szCs w:val="20"/>
              </w:rPr>
            </w:pPr>
          </w:p>
        </w:tc>
        <w:tc>
          <w:tcPr>
            <w:tcW w:w="0" w:type="auto"/>
            <w:vAlign w:val="center"/>
            <w:hideMark/>
          </w:tcPr>
          <w:p w14:paraId="0289141C" w14:textId="77777777" w:rsidR="00000000" w:rsidRDefault="00195E73">
            <w:pPr>
              <w:rPr>
                <w:rFonts w:eastAsia="Times New Roman"/>
                <w:sz w:val="20"/>
                <w:szCs w:val="20"/>
              </w:rPr>
            </w:pPr>
          </w:p>
        </w:tc>
        <w:tc>
          <w:tcPr>
            <w:tcW w:w="0" w:type="auto"/>
            <w:vAlign w:val="center"/>
            <w:hideMark/>
          </w:tcPr>
          <w:p w14:paraId="5FD52C1E" w14:textId="77777777" w:rsidR="00000000" w:rsidRDefault="00195E73">
            <w:pPr>
              <w:rPr>
                <w:rFonts w:eastAsia="Times New Roman"/>
                <w:sz w:val="20"/>
                <w:szCs w:val="20"/>
              </w:rPr>
            </w:pPr>
          </w:p>
        </w:tc>
        <w:tc>
          <w:tcPr>
            <w:tcW w:w="0" w:type="auto"/>
            <w:vAlign w:val="center"/>
            <w:hideMark/>
          </w:tcPr>
          <w:p w14:paraId="100A72B7" w14:textId="77777777" w:rsidR="00000000" w:rsidRDefault="00195E73">
            <w:pPr>
              <w:rPr>
                <w:rFonts w:eastAsia="Times New Roman"/>
                <w:sz w:val="20"/>
                <w:szCs w:val="20"/>
              </w:rPr>
            </w:pPr>
          </w:p>
        </w:tc>
        <w:tc>
          <w:tcPr>
            <w:tcW w:w="0" w:type="auto"/>
            <w:vAlign w:val="center"/>
            <w:hideMark/>
          </w:tcPr>
          <w:p w14:paraId="7BDF8B9A" w14:textId="77777777" w:rsidR="00000000" w:rsidRDefault="00195E73">
            <w:pPr>
              <w:rPr>
                <w:rFonts w:eastAsia="Times New Roman"/>
                <w:sz w:val="20"/>
                <w:szCs w:val="20"/>
              </w:rPr>
            </w:pPr>
          </w:p>
        </w:tc>
        <w:tc>
          <w:tcPr>
            <w:tcW w:w="0" w:type="auto"/>
            <w:vAlign w:val="center"/>
            <w:hideMark/>
          </w:tcPr>
          <w:p w14:paraId="49FB8AD5" w14:textId="77777777" w:rsidR="00000000" w:rsidRDefault="00195E73">
            <w:pPr>
              <w:rPr>
                <w:rFonts w:eastAsia="Times New Roman"/>
                <w:sz w:val="20"/>
                <w:szCs w:val="20"/>
              </w:rPr>
            </w:pPr>
          </w:p>
        </w:tc>
        <w:tc>
          <w:tcPr>
            <w:tcW w:w="0" w:type="auto"/>
            <w:vAlign w:val="center"/>
            <w:hideMark/>
          </w:tcPr>
          <w:p w14:paraId="5209D8D5" w14:textId="77777777" w:rsidR="00000000" w:rsidRDefault="00195E73">
            <w:pPr>
              <w:rPr>
                <w:rFonts w:eastAsia="Times New Roman"/>
                <w:sz w:val="20"/>
                <w:szCs w:val="20"/>
              </w:rPr>
            </w:pPr>
          </w:p>
        </w:tc>
        <w:tc>
          <w:tcPr>
            <w:tcW w:w="0" w:type="auto"/>
            <w:vAlign w:val="center"/>
            <w:hideMark/>
          </w:tcPr>
          <w:p w14:paraId="5ED039D8" w14:textId="77777777" w:rsidR="00000000" w:rsidRDefault="00195E73">
            <w:pPr>
              <w:rPr>
                <w:rFonts w:eastAsia="Times New Roman"/>
                <w:sz w:val="20"/>
                <w:szCs w:val="20"/>
              </w:rPr>
            </w:pPr>
          </w:p>
        </w:tc>
      </w:tr>
      <w:tr w:rsidR="00000000" w14:paraId="3965CF89" w14:textId="77777777">
        <w:trPr>
          <w:divId w:val="1949923715"/>
        </w:trPr>
        <w:tc>
          <w:tcPr>
            <w:tcW w:w="0" w:type="auto"/>
            <w:gridSpan w:val="3"/>
            <w:shd w:val="clear" w:color="auto" w:fill="CCEEFF"/>
            <w:tcMar>
              <w:top w:w="30" w:type="dxa"/>
              <w:left w:w="180" w:type="dxa"/>
              <w:bottom w:w="30" w:type="dxa"/>
              <w:right w:w="20" w:type="dxa"/>
            </w:tcMar>
            <w:vAlign w:val="bottom"/>
            <w:hideMark/>
          </w:tcPr>
          <w:p w14:paraId="66EE58C3" w14:textId="77777777" w:rsidR="00000000" w:rsidRDefault="00195E73">
            <w:pPr>
              <w:rPr>
                <w:rFonts w:eastAsia="Times New Roman"/>
              </w:rPr>
            </w:pPr>
            <w:r>
              <w:rPr>
                <w:rFonts w:eastAsia="Times New Roman"/>
                <w:color w:val="000000"/>
                <w:sz w:val="20"/>
                <w:szCs w:val="20"/>
              </w:rPr>
              <w:t>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14:paraId="60D01491" w14:textId="77777777" w:rsidR="00000000" w:rsidRDefault="00195E73">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B1F5D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2FFF0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58BBC3"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28157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ACC1FD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ED677F" w14:textId="77777777" w:rsidR="00000000" w:rsidRDefault="00195E73">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A8536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95195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FB21C3" w14:textId="77777777" w:rsidR="00000000" w:rsidRDefault="00195E73">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44AFDE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BFC168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F94A67"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6A839F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EC3BB4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F55045" w14:textId="77777777" w:rsidR="00000000" w:rsidRDefault="00195E73">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F150BA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56C11E7" w14:textId="77777777" w:rsidR="00000000" w:rsidRDefault="00195E73">
            <w:pPr>
              <w:rPr>
                <w:rFonts w:eastAsia="Times New Roman"/>
                <w:sz w:val="20"/>
                <w:szCs w:val="20"/>
              </w:rPr>
            </w:pPr>
          </w:p>
        </w:tc>
        <w:tc>
          <w:tcPr>
            <w:tcW w:w="0" w:type="auto"/>
            <w:vAlign w:val="center"/>
            <w:hideMark/>
          </w:tcPr>
          <w:p w14:paraId="2DF7B2C5" w14:textId="77777777" w:rsidR="00000000" w:rsidRDefault="00195E73">
            <w:pPr>
              <w:rPr>
                <w:rFonts w:eastAsia="Times New Roman"/>
                <w:sz w:val="20"/>
                <w:szCs w:val="20"/>
              </w:rPr>
            </w:pPr>
          </w:p>
        </w:tc>
        <w:tc>
          <w:tcPr>
            <w:tcW w:w="0" w:type="auto"/>
            <w:vAlign w:val="center"/>
            <w:hideMark/>
          </w:tcPr>
          <w:p w14:paraId="1291FFF8" w14:textId="77777777" w:rsidR="00000000" w:rsidRDefault="00195E73">
            <w:pPr>
              <w:rPr>
                <w:rFonts w:eastAsia="Times New Roman"/>
                <w:sz w:val="20"/>
                <w:szCs w:val="20"/>
              </w:rPr>
            </w:pPr>
          </w:p>
        </w:tc>
        <w:tc>
          <w:tcPr>
            <w:tcW w:w="0" w:type="auto"/>
            <w:vAlign w:val="center"/>
            <w:hideMark/>
          </w:tcPr>
          <w:p w14:paraId="06157CC1" w14:textId="77777777" w:rsidR="00000000" w:rsidRDefault="00195E73">
            <w:pPr>
              <w:rPr>
                <w:rFonts w:eastAsia="Times New Roman"/>
                <w:sz w:val="20"/>
                <w:szCs w:val="20"/>
              </w:rPr>
            </w:pPr>
          </w:p>
        </w:tc>
        <w:tc>
          <w:tcPr>
            <w:tcW w:w="0" w:type="auto"/>
            <w:vAlign w:val="center"/>
            <w:hideMark/>
          </w:tcPr>
          <w:p w14:paraId="015F9950" w14:textId="77777777" w:rsidR="00000000" w:rsidRDefault="00195E73">
            <w:pPr>
              <w:rPr>
                <w:rFonts w:eastAsia="Times New Roman"/>
                <w:sz w:val="20"/>
                <w:szCs w:val="20"/>
              </w:rPr>
            </w:pPr>
          </w:p>
        </w:tc>
        <w:tc>
          <w:tcPr>
            <w:tcW w:w="0" w:type="auto"/>
            <w:vAlign w:val="center"/>
            <w:hideMark/>
          </w:tcPr>
          <w:p w14:paraId="4B893115" w14:textId="77777777" w:rsidR="00000000" w:rsidRDefault="00195E73">
            <w:pPr>
              <w:rPr>
                <w:rFonts w:eastAsia="Times New Roman"/>
                <w:sz w:val="20"/>
                <w:szCs w:val="20"/>
              </w:rPr>
            </w:pPr>
          </w:p>
        </w:tc>
        <w:tc>
          <w:tcPr>
            <w:tcW w:w="0" w:type="auto"/>
            <w:vAlign w:val="center"/>
            <w:hideMark/>
          </w:tcPr>
          <w:p w14:paraId="692CD41C" w14:textId="77777777" w:rsidR="00000000" w:rsidRDefault="00195E73">
            <w:pPr>
              <w:rPr>
                <w:rFonts w:eastAsia="Times New Roman"/>
                <w:sz w:val="20"/>
                <w:szCs w:val="20"/>
              </w:rPr>
            </w:pPr>
          </w:p>
        </w:tc>
        <w:tc>
          <w:tcPr>
            <w:tcW w:w="0" w:type="auto"/>
            <w:vAlign w:val="center"/>
            <w:hideMark/>
          </w:tcPr>
          <w:p w14:paraId="77D22789" w14:textId="77777777" w:rsidR="00000000" w:rsidRDefault="00195E73">
            <w:pPr>
              <w:rPr>
                <w:rFonts w:eastAsia="Times New Roman"/>
                <w:sz w:val="20"/>
                <w:szCs w:val="20"/>
              </w:rPr>
            </w:pPr>
          </w:p>
        </w:tc>
        <w:tc>
          <w:tcPr>
            <w:tcW w:w="0" w:type="auto"/>
            <w:vAlign w:val="center"/>
            <w:hideMark/>
          </w:tcPr>
          <w:p w14:paraId="5443AC27" w14:textId="77777777" w:rsidR="00000000" w:rsidRDefault="00195E73">
            <w:pPr>
              <w:rPr>
                <w:rFonts w:eastAsia="Times New Roman"/>
                <w:sz w:val="20"/>
                <w:szCs w:val="20"/>
              </w:rPr>
            </w:pPr>
          </w:p>
        </w:tc>
        <w:tc>
          <w:tcPr>
            <w:tcW w:w="0" w:type="auto"/>
            <w:vAlign w:val="center"/>
            <w:hideMark/>
          </w:tcPr>
          <w:p w14:paraId="433037E6" w14:textId="77777777" w:rsidR="00000000" w:rsidRDefault="00195E73">
            <w:pPr>
              <w:rPr>
                <w:rFonts w:eastAsia="Times New Roman"/>
                <w:sz w:val="20"/>
                <w:szCs w:val="20"/>
              </w:rPr>
            </w:pPr>
          </w:p>
        </w:tc>
        <w:tc>
          <w:tcPr>
            <w:tcW w:w="0" w:type="auto"/>
            <w:vAlign w:val="center"/>
            <w:hideMark/>
          </w:tcPr>
          <w:p w14:paraId="2BDD4354" w14:textId="77777777" w:rsidR="00000000" w:rsidRDefault="00195E73">
            <w:pPr>
              <w:rPr>
                <w:rFonts w:eastAsia="Times New Roman"/>
                <w:sz w:val="20"/>
                <w:szCs w:val="20"/>
              </w:rPr>
            </w:pPr>
          </w:p>
        </w:tc>
        <w:tc>
          <w:tcPr>
            <w:tcW w:w="0" w:type="auto"/>
            <w:vAlign w:val="center"/>
            <w:hideMark/>
          </w:tcPr>
          <w:p w14:paraId="626CC003" w14:textId="77777777" w:rsidR="00000000" w:rsidRDefault="00195E73">
            <w:pPr>
              <w:rPr>
                <w:rFonts w:eastAsia="Times New Roman"/>
                <w:sz w:val="20"/>
                <w:szCs w:val="20"/>
              </w:rPr>
            </w:pPr>
          </w:p>
        </w:tc>
        <w:tc>
          <w:tcPr>
            <w:tcW w:w="0" w:type="auto"/>
            <w:vAlign w:val="center"/>
            <w:hideMark/>
          </w:tcPr>
          <w:p w14:paraId="010F0C69" w14:textId="77777777" w:rsidR="00000000" w:rsidRDefault="00195E73">
            <w:pPr>
              <w:rPr>
                <w:rFonts w:eastAsia="Times New Roman"/>
                <w:sz w:val="20"/>
                <w:szCs w:val="20"/>
              </w:rPr>
            </w:pPr>
          </w:p>
        </w:tc>
        <w:tc>
          <w:tcPr>
            <w:tcW w:w="0" w:type="auto"/>
            <w:vAlign w:val="center"/>
            <w:hideMark/>
          </w:tcPr>
          <w:p w14:paraId="395BB90A" w14:textId="77777777" w:rsidR="00000000" w:rsidRDefault="00195E73">
            <w:pPr>
              <w:rPr>
                <w:rFonts w:eastAsia="Times New Roman"/>
                <w:sz w:val="20"/>
                <w:szCs w:val="20"/>
              </w:rPr>
            </w:pPr>
          </w:p>
        </w:tc>
        <w:tc>
          <w:tcPr>
            <w:tcW w:w="0" w:type="auto"/>
            <w:vAlign w:val="center"/>
            <w:hideMark/>
          </w:tcPr>
          <w:p w14:paraId="0ED68483" w14:textId="77777777" w:rsidR="00000000" w:rsidRDefault="00195E73">
            <w:pPr>
              <w:rPr>
                <w:rFonts w:eastAsia="Times New Roman"/>
                <w:sz w:val="20"/>
                <w:szCs w:val="20"/>
              </w:rPr>
            </w:pPr>
          </w:p>
        </w:tc>
        <w:tc>
          <w:tcPr>
            <w:tcW w:w="0" w:type="auto"/>
            <w:vAlign w:val="center"/>
            <w:hideMark/>
          </w:tcPr>
          <w:p w14:paraId="56A6464B" w14:textId="77777777" w:rsidR="00000000" w:rsidRDefault="00195E73">
            <w:pPr>
              <w:rPr>
                <w:rFonts w:eastAsia="Times New Roman"/>
                <w:sz w:val="20"/>
                <w:szCs w:val="20"/>
              </w:rPr>
            </w:pPr>
          </w:p>
        </w:tc>
        <w:tc>
          <w:tcPr>
            <w:tcW w:w="0" w:type="auto"/>
            <w:vAlign w:val="center"/>
            <w:hideMark/>
          </w:tcPr>
          <w:p w14:paraId="43E387A2" w14:textId="77777777" w:rsidR="00000000" w:rsidRDefault="00195E73">
            <w:pPr>
              <w:rPr>
                <w:rFonts w:eastAsia="Times New Roman"/>
                <w:sz w:val="20"/>
                <w:szCs w:val="20"/>
              </w:rPr>
            </w:pPr>
          </w:p>
        </w:tc>
        <w:tc>
          <w:tcPr>
            <w:tcW w:w="0" w:type="auto"/>
            <w:vAlign w:val="center"/>
            <w:hideMark/>
          </w:tcPr>
          <w:p w14:paraId="0AD72A45" w14:textId="77777777" w:rsidR="00000000" w:rsidRDefault="00195E73">
            <w:pPr>
              <w:rPr>
                <w:rFonts w:eastAsia="Times New Roman"/>
                <w:sz w:val="20"/>
                <w:szCs w:val="20"/>
              </w:rPr>
            </w:pPr>
          </w:p>
        </w:tc>
        <w:tc>
          <w:tcPr>
            <w:tcW w:w="0" w:type="auto"/>
            <w:vAlign w:val="center"/>
            <w:hideMark/>
          </w:tcPr>
          <w:p w14:paraId="7B7D596D" w14:textId="77777777" w:rsidR="00000000" w:rsidRDefault="00195E73">
            <w:pPr>
              <w:rPr>
                <w:rFonts w:eastAsia="Times New Roman"/>
                <w:sz w:val="20"/>
                <w:szCs w:val="20"/>
              </w:rPr>
            </w:pPr>
          </w:p>
        </w:tc>
        <w:tc>
          <w:tcPr>
            <w:tcW w:w="0" w:type="auto"/>
            <w:vAlign w:val="center"/>
            <w:hideMark/>
          </w:tcPr>
          <w:p w14:paraId="12DCABED" w14:textId="77777777" w:rsidR="00000000" w:rsidRDefault="00195E73">
            <w:pPr>
              <w:rPr>
                <w:rFonts w:eastAsia="Times New Roman"/>
                <w:sz w:val="20"/>
                <w:szCs w:val="20"/>
              </w:rPr>
            </w:pPr>
          </w:p>
        </w:tc>
        <w:tc>
          <w:tcPr>
            <w:tcW w:w="0" w:type="auto"/>
            <w:vAlign w:val="center"/>
            <w:hideMark/>
          </w:tcPr>
          <w:p w14:paraId="36BC6A5B" w14:textId="77777777" w:rsidR="00000000" w:rsidRDefault="00195E73">
            <w:pPr>
              <w:rPr>
                <w:rFonts w:eastAsia="Times New Roman"/>
                <w:sz w:val="20"/>
                <w:szCs w:val="20"/>
              </w:rPr>
            </w:pPr>
          </w:p>
        </w:tc>
        <w:tc>
          <w:tcPr>
            <w:tcW w:w="0" w:type="auto"/>
            <w:vAlign w:val="center"/>
            <w:hideMark/>
          </w:tcPr>
          <w:p w14:paraId="7548F4EE" w14:textId="77777777" w:rsidR="00000000" w:rsidRDefault="00195E73">
            <w:pPr>
              <w:rPr>
                <w:rFonts w:eastAsia="Times New Roman"/>
                <w:sz w:val="20"/>
                <w:szCs w:val="20"/>
              </w:rPr>
            </w:pPr>
          </w:p>
        </w:tc>
        <w:tc>
          <w:tcPr>
            <w:tcW w:w="0" w:type="auto"/>
            <w:vAlign w:val="center"/>
            <w:hideMark/>
          </w:tcPr>
          <w:p w14:paraId="0AE9406E" w14:textId="77777777" w:rsidR="00000000" w:rsidRDefault="00195E73">
            <w:pPr>
              <w:rPr>
                <w:rFonts w:eastAsia="Times New Roman"/>
                <w:sz w:val="20"/>
                <w:szCs w:val="20"/>
              </w:rPr>
            </w:pPr>
          </w:p>
        </w:tc>
        <w:tc>
          <w:tcPr>
            <w:tcW w:w="0" w:type="auto"/>
            <w:vAlign w:val="center"/>
            <w:hideMark/>
          </w:tcPr>
          <w:p w14:paraId="31597A14" w14:textId="77777777" w:rsidR="00000000" w:rsidRDefault="00195E73">
            <w:pPr>
              <w:rPr>
                <w:rFonts w:eastAsia="Times New Roman"/>
                <w:sz w:val="20"/>
                <w:szCs w:val="20"/>
              </w:rPr>
            </w:pPr>
          </w:p>
        </w:tc>
        <w:tc>
          <w:tcPr>
            <w:tcW w:w="0" w:type="auto"/>
            <w:vAlign w:val="center"/>
            <w:hideMark/>
          </w:tcPr>
          <w:p w14:paraId="50AD1AFF" w14:textId="77777777" w:rsidR="00000000" w:rsidRDefault="00195E73">
            <w:pPr>
              <w:rPr>
                <w:rFonts w:eastAsia="Times New Roman"/>
                <w:sz w:val="20"/>
                <w:szCs w:val="20"/>
              </w:rPr>
            </w:pPr>
          </w:p>
        </w:tc>
        <w:tc>
          <w:tcPr>
            <w:tcW w:w="0" w:type="auto"/>
            <w:vAlign w:val="center"/>
            <w:hideMark/>
          </w:tcPr>
          <w:p w14:paraId="1BF1784A" w14:textId="77777777" w:rsidR="00000000" w:rsidRDefault="00195E73">
            <w:pPr>
              <w:rPr>
                <w:rFonts w:eastAsia="Times New Roman"/>
                <w:sz w:val="20"/>
                <w:szCs w:val="20"/>
              </w:rPr>
            </w:pPr>
          </w:p>
        </w:tc>
        <w:tc>
          <w:tcPr>
            <w:tcW w:w="0" w:type="auto"/>
            <w:vAlign w:val="center"/>
            <w:hideMark/>
          </w:tcPr>
          <w:p w14:paraId="19A06595" w14:textId="77777777" w:rsidR="00000000" w:rsidRDefault="00195E73">
            <w:pPr>
              <w:rPr>
                <w:rFonts w:eastAsia="Times New Roman"/>
                <w:sz w:val="20"/>
                <w:szCs w:val="20"/>
              </w:rPr>
            </w:pPr>
          </w:p>
        </w:tc>
      </w:tr>
      <w:tr w:rsidR="00000000" w14:paraId="428E0C25" w14:textId="77777777">
        <w:trPr>
          <w:divId w:val="1949923715"/>
        </w:trPr>
        <w:tc>
          <w:tcPr>
            <w:tcW w:w="0" w:type="auto"/>
            <w:gridSpan w:val="3"/>
            <w:shd w:val="clear" w:color="auto" w:fill="FFFFFF"/>
            <w:tcMar>
              <w:top w:w="30" w:type="dxa"/>
              <w:left w:w="20" w:type="dxa"/>
              <w:bottom w:w="30" w:type="dxa"/>
              <w:right w:w="20" w:type="dxa"/>
            </w:tcMar>
            <w:vAlign w:val="bottom"/>
            <w:hideMark/>
          </w:tcPr>
          <w:p w14:paraId="11D77C69"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2CC801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A5BCCAC" w14:textId="77777777" w:rsidR="00000000" w:rsidRDefault="00195E73">
            <w:pPr>
              <w:jc w:val="right"/>
              <w:rPr>
                <w:rFonts w:eastAsia="Times New Roman"/>
              </w:rPr>
            </w:pPr>
            <w:r>
              <w:rPr>
                <w:rFonts w:eastAsia="Times New Roman"/>
                <w:color w:val="000000"/>
                <w:sz w:val="20"/>
                <w:szCs w:val="20"/>
              </w:rPr>
              <w:t>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EC7D12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AFA9E0"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814AEA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C7CD997"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CB4543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0EA993"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68C5B3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19465FC" w14:textId="77777777" w:rsidR="00000000" w:rsidRDefault="00195E73">
            <w:pPr>
              <w:jc w:val="right"/>
              <w:rPr>
                <w:rFonts w:eastAsia="Times New Roman"/>
              </w:rPr>
            </w:pPr>
            <w:r>
              <w:rPr>
                <w:rFonts w:eastAsia="Times New Roman"/>
                <w:color w:val="000000"/>
                <w:sz w:val="20"/>
                <w:szCs w:val="20"/>
              </w:rPr>
              <w:t>79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5194AF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5CC396"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FC828A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CCBB234" w14:textId="77777777" w:rsidR="00000000" w:rsidRDefault="00195E73">
            <w:pPr>
              <w:jc w:val="right"/>
              <w:rPr>
                <w:rFonts w:eastAsia="Times New Roman"/>
              </w:rPr>
            </w:pPr>
            <w:r>
              <w:rPr>
                <w:rFonts w:eastAsia="Times New Roman"/>
                <w:color w:val="000000"/>
                <w:sz w:val="20"/>
                <w:szCs w:val="20"/>
              </w:rPr>
              <w:t>63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D806FB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349F4C7"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7404C7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8C2205D"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A604CE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B740255"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C8A2F6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C484E10" w14:textId="77777777" w:rsidR="00000000" w:rsidRDefault="00195E73">
            <w:pPr>
              <w:jc w:val="right"/>
              <w:rPr>
                <w:rFonts w:eastAsia="Times New Roman"/>
              </w:rPr>
            </w:pPr>
            <w:r>
              <w:rPr>
                <w:rFonts w:eastAsia="Times New Roman"/>
                <w:color w:val="000000"/>
                <w:sz w:val="20"/>
                <w:szCs w:val="20"/>
              </w:rPr>
              <w:t>67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CE7B40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FF124F6" w14:textId="77777777" w:rsidR="00000000" w:rsidRDefault="00195E73">
            <w:pPr>
              <w:rPr>
                <w:rFonts w:eastAsia="Times New Roman"/>
                <w:sz w:val="20"/>
                <w:szCs w:val="20"/>
              </w:rPr>
            </w:pPr>
          </w:p>
        </w:tc>
        <w:tc>
          <w:tcPr>
            <w:tcW w:w="0" w:type="auto"/>
            <w:vAlign w:val="center"/>
            <w:hideMark/>
          </w:tcPr>
          <w:p w14:paraId="7123DDB6" w14:textId="77777777" w:rsidR="00000000" w:rsidRDefault="00195E73">
            <w:pPr>
              <w:rPr>
                <w:rFonts w:eastAsia="Times New Roman"/>
                <w:sz w:val="20"/>
                <w:szCs w:val="20"/>
              </w:rPr>
            </w:pPr>
          </w:p>
        </w:tc>
        <w:tc>
          <w:tcPr>
            <w:tcW w:w="0" w:type="auto"/>
            <w:vAlign w:val="center"/>
            <w:hideMark/>
          </w:tcPr>
          <w:p w14:paraId="07FD81FC" w14:textId="77777777" w:rsidR="00000000" w:rsidRDefault="00195E73">
            <w:pPr>
              <w:rPr>
                <w:rFonts w:eastAsia="Times New Roman"/>
                <w:sz w:val="20"/>
                <w:szCs w:val="20"/>
              </w:rPr>
            </w:pPr>
          </w:p>
        </w:tc>
        <w:tc>
          <w:tcPr>
            <w:tcW w:w="0" w:type="auto"/>
            <w:vAlign w:val="center"/>
            <w:hideMark/>
          </w:tcPr>
          <w:p w14:paraId="2370658F" w14:textId="77777777" w:rsidR="00000000" w:rsidRDefault="00195E73">
            <w:pPr>
              <w:rPr>
                <w:rFonts w:eastAsia="Times New Roman"/>
                <w:sz w:val="20"/>
                <w:szCs w:val="20"/>
              </w:rPr>
            </w:pPr>
          </w:p>
        </w:tc>
        <w:tc>
          <w:tcPr>
            <w:tcW w:w="0" w:type="auto"/>
            <w:vAlign w:val="center"/>
            <w:hideMark/>
          </w:tcPr>
          <w:p w14:paraId="29F4DD97" w14:textId="77777777" w:rsidR="00000000" w:rsidRDefault="00195E73">
            <w:pPr>
              <w:rPr>
                <w:rFonts w:eastAsia="Times New Roman"/>
                <w:sz w:val="20"/>
                <w:szCs w:val="20"/>
              </w:rPr>
            </w:pPr>
          </w:p>
        </w:tc>
        <w:tc>
          <w:tcPr>
            <w:tcW w:w="0" w:type="auto"/>
            <w:vAlign w:val="center"/>
            <w:hideMark/>
          </w:tcPr>
          <w:p w14:paraId="31E5BE00" w14:textId="77777777" w:rsidR="00000000" w:rsidRDefault="00195E73">
            <w:pPr>
              <w:rPr>
                <w:rFonts w:eastAsia="Times New Roman"/>
                <w:sz w:val="20"/>
                <w:szCs w:val="20"/>
              </w:rPr>
            </w:pPr>
          </w:p>
        </w:tc>
        <w:tc>
          <w:tcPr>
            <w:tcW w:w="0" w:type="auto"/>
            <w:vAlign w:val="center"/>
            <w:hideMark/>
          </w:tcPr>
          <w:p w14:paraId="55B6DF2A" w14:textId="77777777" w:rsidR="00000000" w:rsidRDefault="00195E73">
            <w:pPr>
              <w:rPr>
                <w:rFonts w:eastAsia="Times New Roman"/>
                <w:sz w:val="20"/>
                <w:szCs w:val="20"/>
              </w:rPr>
            </w:pPr>
          </w:p>
        </w:tc>
        <w:tc>
          <w:tcPr>
            <w:tcW w:w="0" w:type="auto"/>
            <w:vAlign w:val="center"/>
            <w:hideMark/>
          </w:tcPr>
          <w:p w14:paraId="639C2DF0" w14:textId="77777777" w:rsidR="00000000" w:rsidRDefault="00195E73">
            <w:pPr>
              <w:rPr>
                <w:rFonts w:eastAsia="Times New Roman"/>
                <w:sz w:val="20"/>
                <w:szCs w:val="20"/>
              </w:rPr>
            </w:pPr>
          </w:p>
        </w:tc>
        <w:tc>
          <w:tcPr>
            <w:tcW w:w="0" w:type="auto"/>
            <w:vAlign w:val="center"/>
            <w:hideMark/>
          </w:tcPr>
          <w:p w14:paraId="799B4EAA" w14:textId="77777777" w:rsidR="00000000" w:rsidRDefault="00195E73">
            <w:pPr>
              <w:rPr>
                <w:rFonts w:eastAsia="Times New Roman"/>
                <w:sz w:val="20"/>
                <w:szCs w:val="20"/>
              </w:rPr>
            </w:pPr>
          </w:p>
        </w:tc>
        <w:tc>
          <w:tcPr>
            <w:tcW w:w="0" w:type="auto"/>
            <w:vAlign w:val="center"/>
            <w:hideMark/>
          </w:tcPr>
          <w:p w14:paraId="5625C0F9" w14:textId="77777777" w:rsidR="00000000" w:rsidRDefault="00195E73">
            <w:pPr>
              <w:rPr>
                <w:rFonts w:eastAsia="Times New Roman"/>
                <w:sz w:val="20"/>
                <w:szCs w:val="20"/>
              </w:rPr>
            </w:pPr>
          </w:p>
        </w:tc>
        <w:tc>
          <w:tcPr>
            <w:tcW w:w="0" w:type="auto"/>
            <w:vAlign w:val="center"/>
            <w:hideMark/>
          </w:tcPr>
          <w:p w14:paraId="0168FBFC" w14:textId="77777777" w:rsidR="00000000" w:rsidRDefault="00195E73">
            <w:pPr>
              <w:rPr>
                <w:rFonts w:eastAsia="Times New Roman"/>
                <w:sz w:val="20"/>
                <w:szCs w:val="20"/>
              </w:rPr>
            </w:pPr>
          </w:p>
        </w:tc>
        <w:tc>
          <w:tcPr>
            <w:tcW w:w="0" w:type="auto"/>
            <w:vAlign w:val="center"/>
            <w:hideMark/>
          </w:tcPr>
          <w:p w14:paraId="339798C3" w14:textId="77777777" w:rsidR="00000000" w:rsidRDefault="00195E73">
            <w:pPr>
              <w:rPr>
                <w:rFonts w:eastAsia="Times New Roman"/>
                <w:sz w:val="20"/>
                <w:szCs w:val="20"/>
              </w:rPr>
            </w:pPr>
          </w:p>
        </w:tc>
        <w:tc>
          <w:tcPr>
            <w:tcW w:w="0" w:type="auto"/>
            <w:vAlign w:val="center"/>
            <w:hideMark/>
          </w:tcPr>
          <w:p w14:paraId="59CC3CBE" w14:textId="77777777" w:rsidR="00000000" w:rsidRDefault="00195E73">
            <w:pPr>
              <w:rPr>
                <w:rFonts w:eastAsia="Times New Roman"/>
                <w:sz w:val="20"/>
                <w:szCs w:val="20"/>
              </w:rPr>
            </w:pPr>
          </w:p>
        </w:tc>
        <w:tc>
          <w:tcPr>
            <w:tcW w:w="0" w:type="auto"/>
            <w:vAlign w:val="center"/>
            <w:hideMark/>
          </w:tcPr>
          <w:p w14:paraId="0B432A71" w14:textId="77777777" w:rsidR="00000000" w:rsidRDefault="00195E73">
            <w:pPr>
              <w:rPr>
                <w:rFonts w:eastAsia="Times New Roman"/>
                <w:sz w:val="20"/>
                <w:szCs w:val="20"/>
              </w:rPr>
            </w:pPr>
          </w:p>
        </w:tc>
        <w:tc>
          <w:tcPr>
            <w:tcW w:w="0" w:type="auto"/>
            <w:vAlign w:val="center"/>
            <w:hideMark/>
          </w:tcPr>
          <w:p w14:paraId="2ABFF1F1" w14:textId="77777777" w:rsidR="00000000" w:rsidRDefault="00195E73">
            <w:pPr>
              <w:rPr>
                <w:rFonts w:eastAsia="Times New Roman"/>
                <w:sz w:val="20"/>
                <w:szCs w:val="20"/>
              </w:rPr>
            </w:pPr>
          </w:p>
        </w:tc>
        <w:tc>
          <w:tcPr>
            <w:tcW w:w="0" w:type="auto"/>
            <w:vAlign w:val="center"/>
            <w:hideMark/>
          </w:tcPr>
          <w:p w14:paraId="20B16991" w14:textId="77777777" w:rsidR="00000000" w:rsidRDefault="00195E73">
            <w:pPr>
              <w:rPr>
                <w:rFonts w:eastAsia="Times New Roman"/>
                <w:sz w:val="20"/>
                <w:szCs w:val="20"/>
              </w:rPr>
            </w:pPr>
          </w:p>
        </w:tc>
        <w:tc>
          <w:tcPr>
            <w:tcW w:w="0" w:type="auto"/>
            <w:vAlign w:val="center"/>
            <w:hideMark/>
          </w:tcPr>
          <w:p w14:paraId="512BB04C" w14:textId="77777777" w:rsidR="00000000" w:rsidRDefault="00195E73">
            <w:pPr>
              <w:rPr>
                <w:rFonts w:eastAsia="Times New Roman"/>
                <w:sz w:val="20"/>
                <w:szCs w:val="20"/>
              </w:rPr>
            </w:pPr>
          </w:p>
        </w:tc>
        <w:tc>
          <w:tcPr>
            <w:tcW w:w="0" w:type="auto"/>
            <w:vAlign w:val="center"/>
            <w:hideMark/>
          </w:tcPr>
          <w:p w14:paraId="14173E89" w14:textId="77777777" w:rsidR="00000000" w:rsidRDefault="00195E73">
            <w:pPr>
              <w:rPr>
                <w:rFonts w:eastAsia="Times New Roman"/>
                <w:sz w:val="20"/>
                <w:szCs w:val="20"/>
              </w:rPr>
            </w:pPr>
          </w:p>
        </w:tc>
        <w:tc>
          <w:tcPr>
            <w:tcW w:w="0" w:type="auto"/>
            <w:vAlign w:val="center"/>
            <w:hideMark/>
          </w:tcPr>
          <w:p w14:paraId="5AC6C8F6" w14:textId="77777777" w:rsidR="00000000" w:rsidRDefault="00195E73">
            <w:pPr>
              <w:rPr>
                <w:rFonts w:eastAsia="Times New Roman"/>
                <w:sz w:val="20"/>
                <w:szCs w:val="20"/>
              </w:rPr>
            </w:pPr>
          </w:p>
        </w:tc>
        <w:tc>
          <w:tcPr>
            <w:tcW w:w="0" w:type="auto"/>
            <w:vAlign w:val="center"/>
            <w:hideMark/>
          </w:tcPr>
          <w:p w14:paraId="1718723E" w14:textId="77777777" w:rsidR="00000000" w:rsidRDefault="00195E73">
            <w:pPr>
              <w:rPr>
                <w:rFonts w:eastAsia="Times New Roman"/>
                <w:sz w:val="20"/>
                <w:szCs w:val="20"/>
              </w:rPr>
            </w:pPr>
          </w:p>
        </w:tc>
        <w:tc>
          <w:tcPr>
            <w:tcW w:w="0" w:type="auto"/>
            <w:vAlign w:val="center"/>
            <w:hideMark/>
          </w:tcPr>
          <w:p w14:paraId="1FE36514" w14:textId="77777777" w:rsidR="00000000" w:rsidRDefault="00195E73">
            <w:pPr>
              <w:rPr>
                <w:rFonts w:eastAsia="Times New Roman"/>
                <w:sz w:val="20"/>
                <w:szCs w:val="20"/>
              </w:rPr>
            </w:pPr>
          </w:p>
        </w:tc>
        <w:tc>
          <w:tcPr>
            <w:tcW w:w="0" w:type="auto"/>
            <w:vAlign w:val="center"/>
            <w:hideMark/>
          </w:tcPr>
          <w:p w14:paraId="71A97EB6" w14:textId="77777777" w:rsidR="00000000" w:rsidRDefault="00195E73">
            <w:pPr>
              <w:rPr>
                <w:rFonts w:eastAsia="Times New Roman"/>
                <w:sz w:val="20"/>
                <w:szCs w:val="20"/>
              </w:rPr>
            </w:pPr>
          </w:p>
        </w:tc>
        <w:tc>
          <w:tcPr>
            <w:tcW w:w="0" w:type="auto"/>
            <w:vAlign w:val="center"/>
            <w:hideMark/>
          </w:tcPr>
          <w:p w14:paraId="0E6F1324" w14:textId="77777777" w:rsidR="00000000" w:rsidRDefault="00195E73">
            <w:pPr>
              <w:rPr>
                <w:rFonts w:eastAsia="Times New Roman"/>
                <w:sz w:val="20"/>
                <w:szCs w:val="20"/>
              </w:rPr>
            </w:pPr>
          </w:p>
        </w:tc>
        <w:tc>
          <w:tcPr>
            <w:tcW w:w="0" w:type="auto"/>
            <w:vAlign w:val="center"/>
            <w:hideMark/>
          </w:tcPr>
          <w:p w14:paraId="563E0BD7" w14:textId="77777777" w:rsidR="00000000" w:rsidRDefault="00195E73">
            <w:pPr>
              <w:rPr>
                <w:rFonts w:eastAsia="Times New Roman"/>
                <w:sz w:val="20"/>
                <w:szCs w:val="20"/>
              </w:rPr>
            </w:pPr>
          </w:p>
        </w:tc>
        <w:tc>
          <w:tcPr>
            <w:tcW w:w="0" w:type="auto"/>
            <w:vAlign w:val="center"/>
            <w:hideMark/>
          </w:tcPr>
          <w:p w14:paraId="2559270D" w14:textId="77777777" w:rsidR="00000000" w:rsidRDefault="00195E73">
            <w:pPr>
              <w:rPr>
                <w:rFonts w:eastAsia="Times New Roman"/>
                <w:sz w:val="20"/>
                <w:szCs w:val="20"/>
              </w:rPr>
            </w:pPr>
          </w:p>
        </w:tc>
        <w:tc>
          <w:tcPr>
            <w:tcW w:w="0" w:type="auto"/>
            <w:vAlign w:val="center"/>
            <w:hideMark/>
          </w:tcPr>
          <w:p w14:paraId="683BDF6F" w14:textId="77777777" w:rsidR="00000000" w:rsidRDefault="00195E73">
            <w:pPr>
              <w:rPr>
                <w:rFonts w:eastAsia="Times New Roman"/>
                <w:sz w:val="20"/>
                <w:szCs w:val="20"/>
              </w:rPr>
            </w:pPr>
          </w:p>
        </w:tc>
        <w:tc>
          <w:tcPr>
            <w:tcW w:w="0" w:type="auto"/>
            <w:vAlign w:val="center"/>
            <w:hideMark/>
          </w:tcPr>
          <w:p w14:paraId="5BF78AA0" w14:textId="77777777" w:rsidR="00000000" w:rsidRDefault="00195E73">
            <w:pPr>
              <w:rPr>
                <w:rFonts w:eastAsia="Times New Roman"/>
                <w:sz w:val="20"/>
                <w:szCs w:val="20"/>
              </w:rPr>
            </w:pPr>
          </w:p>
        </w:tc>
      </w:tr>
      <w:tr w:rsidR="00000000" w14:paraId="0F5DC1AF" w14:textId="77777777">
        <w:trPr>
          <w:divId w:val="1949923715"/>
        </w:trPr>
        <w:tc>
          <w:tcPr>
            <w:tcW w:w="0" w:type="auto"/>
            <w:gridSpan w:val="3"/>
            <w:shd w:val="clear" w:color="auto" w:fill="CCEEFF"/>
            <w:tcMar>
              <w:top w:w="30" w:type="dxa"/>
              <w:left w:w="20" w:type="dxa"/>
              <w:bottom w:w="30" w:type="dxa"/>
              <w:right w:w="20" w:type="dxa"/>
            </w:tcMar>
            <w:vAlign w:val="bottom"/>
            <w:hideMark/>
          </w:tcPr>
          <w:p w14:paraId="5E74B01F" w14:textId="77777777" w:rsidR="00000000" w:rsidRDefault="00195E73">
            <w:pPr>
              <w:ind w:hanging="180"/>
              <w:divId w:val="1979843479"/>
              <w:rPr>
                <w:rFonts w:eastAsia="Times New Roman"/>
              </w:rPr>
            </w:pPr>
            <w:r>
              <w:rPr>
                <w:rFonts w:eastAsia="Times New Roman"/>
                <w:color w:val="000000"/>
                <w:sz w:val="20"/>
                <w:szCs w:val="20"/>
              </w:rPr>
              <w:t>Investments measured at net asset valu</w:t>
            </w:r>
            <w:r>
              <w:rPr>
                <w:rFonts w:eastAsia="Times New Roman"/>
                <w:color w:val="000000"/>
                <w:sz w:val="20"/>
                <w:szCs w:val="20"/>
              </w:rPr>
              <w:t>e</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3D957672" w14:textId="77777777" w:rsidR="00000000" w:rsidRDefault="00195E73">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9EDBD72" w14:textId="77777777" w:rsidR="00000000" w:rsidRDefault="00195E73">
            <w:pPr>
              <w:jc w:val="right"/>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0898393"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6896AFA" w14:textId="77777777" w:rsidR="00000000" w:rsidRDefault="00195E73">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70D9EB15" w14:textId="77777777" w:rsidR="00000000" w:rsidRDefault="00195E73">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731C84E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82390EC" w14:textId="77777777" w:rsidR="00000000" w:rsidRDefault="00195E73">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77B8313"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8606BD5" w14:textId="77777777" w:rsidR="00000000" w:rsidRDefault="00195E73">
            <w:pPr>
              <w:jc w:val="right"/>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615B501"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9CDAD0D" w14:textId="77777777" w:rsidR="00000000" w:rsidRDefault="00195E73">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2747C5A" w14:textId="77777777" w:rsidR="00000000" w:rsidRDefault="00195E73">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39D35E1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CCE5B11" w14:textId="77777777" w:rsidR="00000000" w:rsidRDefault="00195E73">
            <w:pPr>
              <w:rPr>
                <w:rFonts w:eastAsia="Times New Roman"/>
                <w:sz w:val="20"/>
                <w:szCs w:val="20"/>
              </w:rPr>
            </w:pPr>
          </w:p>
        </w:tc>
        <w:tc>
          <w:tcPr>
            <w:tcW w:w="0" w:type="auto"/>
            <w:vAlign w:val="center"/>
            <w:hideMark/>
          </w:tcPr>
          <w:p w14:paraId="1388A7E5" w14:textId="77777777" w:rsidR="00000000" w:rsidRDefault="00195E73">
            <w:pPr>
              <w:rPr>
                <w:rFonts w:eastAsia="Times New Roman"/>
                <w:sz w:val="20"/>
                <w:szCs w:val="20"/>
              </w:rPr>
            </w:pPr>
          </w:p>
        </w:tc>
        <w:tc>
          <w:tcPr>
            <w:tcW w:w="0" w:type="auto"/>
            <w:vAlign w:val="center"/>
            <w:hideMark/>
          </w:tcPr>
          <w:p w14:paraId="7C9DB476" w14:textId="77777777" w:rsidR="00000000" w:rsidRDefault="00195E73">
            <w:pPr>
              <w:rPr>
                <w:rFonts w:eastAsia="Times New Roman"/>
                <w:sz w:val="20"/>
                <w:szCs w:val="20"/>
              </w:rPr>
            </w:pPr>
          </w:p>
        </w:tc>
        <w:tc>
          <w:tcPr>
            <w:tcW w:w="0" w:type="auto"/>
            <w:vAlign w:val="center"/>
            <w:hideMark/>
          </w:tcPr>
          <w:p w14:paraId="4920FC84" w14:textId="77777777" w:rsidR="00000000" w:rsidRDefault="00195E73">
            <w:pPr>
              <w:rPr>
                <w:rFonts w:eastAsia="Times New Roman"/>
                <w:sz w:val="20"/>
                <w:szCs w:val="20"/>
              </w:rPr>
            </w:pPr>
          </w:p>
        </w:tc>
        <w:tc>
          <w:tcPr>
            <w:tcW w:w="0" w:type="auto"/>
            <w:vAlign w:val="center"/>
            <w:hideMark/>
          </w:tcPr>
          <w:p w14:paraId="1184324A" w14:textId="77777777" w:rsidR="00000000" w:rsidRDefault="00195E73">
            <w:pPr>
              <w:rPr>
                <w:rFonts w:eastAsia="Times New Roman"/>
                <w:sz w:val="20"/>
                <w:szCs w:val="20"/>
              </w:rPr>
            </w:pPr>
          </w:p>
        </w:tc>
        <w:tc>
          <w:tcPr>
            <w:tcW w:w="0" w:type="auto"/>
            <w:vAlign w:val="center"/>
            <w:hideMark/>
          </w:tcPr>
          <w:p w14:paraId="178A0EA9" w14:textId="77777777" w:rsidR="00000000" w:rsidRDefault="00195E73">
            <w:pPr>
              <w:rPr>
                <w:rFonts w:eastAsia="Times New Roman"/>
                <w:sz w:val="20"/>
                <w:szCs w:val="20"/>
              </w:rPr>
            </w:pPr>
          </w:p>
        </w:tc>
        <w:tc>
          <w:tcPr>
            <w:tcW w:w="0" w:type="auto"/>
            <w:vAlign w:val="center"/>
            <w:hideMark/>
          </w:tcPr>
          <w:p w14:paraId="266131B4" w14:textId="77777777" w:rsidR="00000000" w:rsidRDefault="00195E73">
            <w:pPr>
              <w:rPr>
                <w:rFonts w:eastAsia="Times New Roman"/>
                <w:sz w:val="20"/>
                <w:szCs w:val="20"/>
              </w:rPr>
            </w:pPr>
          </w:p>
        </w:tc>
        <w:tc>
          <w:tcPr>
            <w:tcW w:w="0" w:type="auto"/>
            <w:vAlign w:val="center"/>
            <w:hideMark/>
          </w:tcPr>
          <w:p w14:paraId="79BC84BA" w14:textId="77777777" w:rsidR="00000000" w:rsidRDefault="00195E73">
            <w:pPr>
              <w:rPr>
                <w:rFonts w:eastAsia="Times New Roman"/>
                <w:sz w:val="20"/>
                <w:szCs w:val="20"/>
              </w:rPr>
            </w:pPr>
          </w:p>
        </w:tc>
        <w:tc>
          <w:tcPr>
            <w:tcW w:w="0" w:type="auto"/>
            <w:vAlign w:val="center"/>
            <w:hideMark/>
          </w:tcPr>
          <w:p w14:paraId="503CD891" w14:textId="77777777" w:rsidR="00000000" w:rsidRDefault="00195E73">
            <w:pPr>
              <w:rPr>
                <w:rFonts w:eastAsia="Times New Roman"/>
                <w:sz w:val="20"/>
                <w:szCs w:val="20"/>
              </w:rPr>
            </w:pPr>
          </w:p>
        </w:tc>
        <w:tc>
          <w:tcPr>
            <w:tcW w:w="0" w:type="auto"/>
            <w:vAlign w:val="center"/>
            <w:hideMark/>
          </w:tcPr>
          <w:p w14:paraId="494D1C66" w14:textId="77777777" w:rsidR="00000000" w:rsidRDefault="00195E73">
            <w:pPr>
              <w:rPr>
                <w:rFonts w:eastAsia="Times New Roman"/>
                <w:sz w:val="20"/>
                <w:szCs w:val="20"/>
              </w:rPr>
            </w:pPr>
          </w:p>
        </w:tc>
        <w:tc>
          <w:tcPr>
            <w:tcW w:w="0" w:type="auto"/>
            <w:vAlign w:val="center"/>
            <w:hideMark/>
          </w:tcPr>
          <w:p w14:paraId="2E475A36" w14:textId="77777777" w:rsidR="00000000" w:rsidRDefault="00195E73">
            <w:pPr>
              <w:rPr>
                <w:rFonts w:eastAsia="Times New Roman"/>
                <w:sz w:val="20"/>
                <w:szCs w:val="20"/>
              </w:rPr>
            </w:pPr>
          </w:p>
        </w:tc>
        <w:tc>
          <w:tcPr>
            <w:tcW w:w="0" w:type="auto"/>
            <w:vAlign w:val="center"/>
            <w:hideMark/>
          </w:tcPr>
          <w:p w14:paraId="025C8557" w14:textId="77777777" w:rsidR="00000000" w:rsidRDefault="00195E73">
            <w:pPr>
              <w:rPr>
                <w:rFonts w:eastAsia="Times New Roman"/>
                <w:sz w:val="20"/>
                <w:szCs w:val="20"/>
              </w:rPr>
            </w:pPr>
          </w:p>
        </w:tc>
        <w:tc>
          <w:tcPr>
            <w:tcW w:w="0" w:type="auto"/>
            <w:vAlign w:val="center"/>
            <w:hideMark/>
          </w:tcPr>
          <w:p w14:paraId="3274052A" w14:textId="77777777" w:rsidR="00000000" w:rsidRDefault="00195E73">
            <w:pPr>
              <w:rPr>
                <w:rFonts w:eastAsia="Times New Roman"/>
                <w:sz w:val="20"/>
                <w:szCs w:val="20"/>
              </w:rPr>
            </w:pPr>
          </w:p>
        </w:tc>
        <w:tc>
          <w:tcPr>
            <w:tcW w:w="0" w:type="auto"/>
            <w:vAlign w:val="center"/>
            <w:hideMark/>
          </w:tcPr>
          <w:p w14:paraId="27F6FCB2" w14:textId="77777777" w:rsidR="00000000" w:rsidRDefault="00195E73">
            <w:pPr>
              <w:rPr>
                <w:rFonts w:eastAsia="Times New Roman"/>
                <w:sz w:val="20"/>
                <w:szCs w:val="20"/>
              </w:rPr>
            </w:pPr>
          </w:p>
        </w:tc>
        <w:tc>
          <w:tcPr>
            <w:tcW w:w="0" w:type="auto"/>
            <w:vAlign w:val="center"/>
            <w:hideMark/>
          </w:tcPr>
          <w:p w14:paraId="4948FA60" w14:textId="77777777" w:rsidR="00000000" w:rsidRDefault="00195E73">
            <w:pPr>
              <w:rPr>
                <w:rFonts w:eastAsia="Times New Roman"/>
                <w:sz w:val="20"/>
                <w:szCs w:val="20"/>
              </w:rPr>
            </w:pPr>
          </w:p>
        </w:tc>
        <w:tc>
          <w:tcPr>
            <w:tcW w:w="0" w:type="auto"/>
            <w:vAlign w:val="center"/>
            <w:hideMark/>
          </w:tcPr>
          <w:p w14:paraId="0FBA1A2E" w14:textId="77777777" w:rsidR="00000000" w:rsidRDefault="00195E73">
            <w:pPr>
              <w:rPr>
                <w:rFonts w:eastAsia="Times New Roman"/>
                <w:sz w:val="20"/>
                <w:szCs w:val="20"/>
              </w:rPr>
            </w:pPr>
          </w:p>
        </w:tc>
        <w:tc>
          <w:tcPr>
            <w:tcW w:w="0" w:type="auto"/>
            <w:vAlign w:val="center"/>
            <w:hideMark/>
          </w:tcPr>
          <w:p w14:paraId="718B205D" w14:textId="77777777" w:rsidR="00000000" w:rsidRDefault="00195E73">
            <w:pPr>
              <w:rPr>
                <w:rFonts w:eastAsia="Times New Roman"/>
                <w:sz w:val="20"/>
                <w:szCs w:val="20"/>
              </w:rPr>
            </w:pPr>
          </w:p>
        </w:tc>
        <w:tc>
          <w:tcPr>
            <w:tcW w:w="0" w:type="auto"/>
            <w:vAlign w:val="center"/>
            <w:hideMark/>
          </w:tcPr>
          <w:p w14:paraId="01657ED5" w14:textId="77777777" w:rsidR="00000000" w:rsidRDefault="00195E73">
            <w:pPr>
              <w:rPr>
                <w:rFonts w:eastAsia="Times New Roman"/>
                <w:sz w:val="20"/>
                <w:szCs w:val="20"/>
              </w:rPr>
            </w:pPr>
          </w:p>
        </w:tc>
        <w:tc>
          <w:tcPr>
            <w:tcW w:w="0" w:type="auto"/>
            <w:vAlign w:val="center"/>
            <w:hideMark/>
          </w:tcPr>
          <w:p w14:paraId="2DBF6C59" w14:textId="77777777" w:rsidR="00000000" w:rsidRDefault="00195E73">
            <w:pPr>
              <w:rPr>
                <w:rFonts w:eastAsia="Times New Roman"/>
                <w:sz w:val="20"/>
                <w:szCs w:val="20"/>
              </w:rPr>
            </w:pPr>
          </w:p>
        </w:tc>
        <w:tc>
          <w:tcPr>
            <w:tcW w:w="0" w:type="auto"/>
            <w:vAlign w:val="center"/>
            <w:hideMark/>
          </w:tcPr>
          <w:p w14:paraId="23AC6A4D" w14:textId="77777777" w:rsidR="00000000" w:rsidRDefault="00195E73">
            <w:pPr>
              <w:rPr>
                <w:rFonts w:eastAsia="Times New Roman"/>
                <w:sz w:val="20"/>
                <w:szCs w:val="20"/>
              </w:rPr>
            </w:pPr>
          </w:p>
        </w:tc>
        <w:tc>
          <w:tcPr>
            <w:tcW w:w="0" w:type="auto"/>
            <w:vAlign w:val="center"/>
            <w:hideMark/>
          </w:tcPr>
          <w:p w14:paraId="2876D465" w14:textId="77777777" w:rsidR="00000000" w:rsidRDefault="00195E73">
            <w:pPr>
              <w:rPr>
                <w:rFonts w:eastAsia="Times New Roman"/>
                <w:sz w:val="20"/>
                <w:szCs w:val="20"/>
              </w:rPr>
            </w:pPr>
          </w:p>
        </w:tc>
        <w:tc>
          <w:tcPr>
            <w:tcW w:w="0" w:type="auto"/>
            <w:vAlign w:val="center"/>
            <w:hideMark/>
          </w:tcPr>
          <w:p w14:paraId="71BEDC4D" w14:textId="77777777" w:rsidR="00000000" w:rsidRDefault="00195E73">
            <w:pPr>
              <w:rPr>
                <w:rFonts w:eastAsia="Times New Roman"/>
                <w:sz w:val="20"/>
                <w:szCs w:val="20"/>
              </w:rPr>
            </w:pPr>
          </w:p>
        </w:tc>
        <w:tc>
          <w:tcPr>
            <w:tcW w:w="0" w:type="auto"/>
            <w:vAlign w:val="center"/>
            <w:hideMark/>
          </w:tcPr>
          <w:p w14:paraId="4216619B" w14:textId="77777777" w:rsidR="00000000" w:rsidRDefault="00195E73">
            <w:pPr>
              <w:rPr>
                <w:rFonts w:eastAsia="Times New Roman"/>
                <w:sz w:val="20"/>
                <w:szCs w:val="20"/>
              </w:rPr>
            </w:pPr>
          </w:p>
        </w:tc>
        <w:tc>
          <w:tcPr>
            <w:tcW w:w="0" w:type="auto"/>
            <w:vAlign w:val="center"/>
            <w:hideMark/>
          </w:tcPr>
          <w:p w14:paraId="6FAB61A1" w14:textId="77777777" w:rsidR="00000000" w:rsidRDefault="00195E73">
            <w:pPr>
              <w:rPr>
                <w:rFonts w:eastAsia="Times New Roman"/>
                <w:sz w:val="20"/>
                <w:szCs w:val="20"/>
              </w:rPr>
            </w:pPr>
          </w:p>
        </w:tc>
        <w:tc>
          <w:tcPr>
            <w:tcW w:w="0" w:type="auto"/>
            <w:vAlign w:val="center"/>
            <w:hideMark/>
          </w:tcPr>
          <w:p w14:paraId="1CCD5407" w14:textId="77777777" w:rsidR="00000000" w:rsidRDefault="00195E73">
            <w:pPr>
              <w:rPr>
                <w:rFonts w:eastAsia="Times New Roman"/>
                <w:sz w:val="20"/>
                <w:szCs w:val="20"/>
              </w:rPr>
            </w:pPr>
          </w:p>
        </w:tc>
        <w:tc>
          <w:tcPr>
            <w:tcW w:w="0" w:type="auto"/>
            <w:vAlign w:val="center"/>
            <w:hideMark/>
          </w:tcPr>
          <w:p w14:paraId="0C1D51CF" w14:textId="77777777" w:rsidR="00000000" w:rsidRDefault="00195E73">
            <w:pPr>
              <w:rPr>
                <w:rFonts w:eastAsia="Times New Roman"/>
                <w:sz w:val="20"/>
                <w:szCs w:val="20"/>
              </w:rPr>
            </w:pPr>
          </w:p>
        </w:tc>
        <w:tc>
          <w:tcPr>
            <w:tcW w:w="0" w:type="auto"/>
            <w:vAlign w:val="center"/>
            <w:hideMark/>
          </w:tcPr>
          <w:p w14:paraId="5BD82DB1" w14:textId="77777777" w:rsidR="00000000" w:rsidRDefault="00195E73">
            <w:pPr>
              <w:rPr>
                <w:rFonts w:eastAsia="Times New Roman"/>
                <w:sz w:val="20"/>
                <w:szCs w:val="20"/>
              </w:rPr>
            </w:pPr>
          </w:p>
        </w:tc>
      </w:tr>
      <w:tr w:rsidR="00000000" w14:paraId="5E647320" w14:textId="77777777">
        <w:trPr>
          <w:divId w:val="1949923715"/>
        </w:trPr>
        <w:tc>
          <w:tcPr>
            <w:tcW w:w="0" w:type="auto"/>
            <w:gridSpan w:val="3"/>
            <w:shd w:val="clear" w:color="auto" w:fill="FFFFFF"/>
            <w:tcMar>
              <w:top w:w="30" w:type="dxa"/>
              <w:left w:w="20" w:type="dxa"/>
              <w:bottom w:w="30" w:type="dxa"/>
              <w:right w:w="20" w:type="dxa"/>
            </w:tcMar>
            <w:vAlign w:val="bottom"/>
            <w:hideMark/>
          </w:tcPr>
          <w:p w14:paraId="1ADC1D02" w14:textId="77777777" w:rsidR="00000000" w:rsidRDefault="00195E73">
            <w:pPr>
              <w:rPr>
                <w:rFonts w:eastAsia="Times New Roman"/>
              </w:rPr>
            </w:pPr>
            <w:r>
              <w:rPr>
                <w:rFonts w:eastAsia="Times New Roman"/>
                <w:color w:val="000000"/>
                <w:sz w:val="20"/>
                <w:szCs w:val="20"/>
              </w:rPr>
              <w:t>Plan assets measured at fair valu</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14:paraId="0951A5AE"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1C4DB06C" w14:textId="77777777" w:rsidR="00000000" w:rsidRDefault="00195E73">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B75D92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31896AB" w14:textId="77777777" w:rsidR="00000000" w:rsidRDefault="00195E7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158EE6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4BBD7A98" w14:textId="77777777" w:rsidR="00000000" w:rsidRDefault="00195E73">
            <w:pPr>
              <w:jc w:val="right"/>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F14E90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03C34EB"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0C6D58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6FA00FF" w14:textId="77777777" w:rsidR="00000000" w:rsidRDefault="00195E73">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004FA85"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A0BAFE3" w14:textId="77777777" w:rsidR="00000000" w:rsidRDefault="00195E7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D675CB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15C1293" w14:textId="77777777" w:rsidR="00000000" w:rsidRDefault="00195E73">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441594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A0A1A3C" w14:textId="77777777" w:rsidR="00000000" w:rsidRDefault="00195E73">
            <w:pPr>
              <w:rPr>
                <w:rFonts w:eastAsia="Times New Roman"/>
                <w:sz w:val="20"/>
                <w:szCs w:val="20"/>
              </w:rPr>
            </w:pPr>
          </w:p>
        </w:tc>
        <w:tc>
          <w:tcPr>
            <w:tcW w:w="0" w:type="auto"/>
            <w:vAlign w:val="center"/>
            <w:hideMark/>
          </w:tcPr>
          <w:p w14:paraId="009D40CC" w14:textId="77777777" w:rsidR="00000000" w:rsidRDefault="00195E73">
            <w:pPr>
              <w:rPr>
                <w:rFonts w:eastAsia="Times New Roman"/>
                <w:sz w:val="20"/>
                <w:szCs w:val="20"/>
              </w:rPr>
            </w:pPr>
          </w:p>
        </w:tc>
        <w:tc>
          <w:tcPr>
            <w:tcW w:w="0" w:type="auto"/>
            <w:vAlign w:val="center"/>
            <w:hideMark/>
          </w:tcPr>
          <w:p w14:paraId="2BCB9326" w14:textId="77777777" w:rsidR="00000000" w:rsidRDefault="00195E73">
            <w:pPr>
              <w:rPr>
                <w:rFonts w:eastAsia="Times New Roman"/>
                <w:sz w:val="20"/>
                <w:szCs w:val="20"/>
              </w:rPr>
            </w:pPr>
          </w:p>
        </w:tc>
        <w:tc>
          <w:tcPr>
            <w:tcW w:w="0" w:type="auto"/>
            <w:vAlign w:val="center"/>
            <w:hideMark/>
          </w:tcPr>
          <w:p w14:paraId="3BD8E5C2" w14:textId="77777777" w:rsidR="00000000" w:rsidRDefault="00195E73">
            <w:pPr>
              <w:rPr>
                <w:rFonts w:eastAsia="Times New Roman"/>
                <w:sz w:val="20"/>
                <w:szCs w:val="20"/>
              </w:rPr>
            </w:pPr>
          </w:p>
        </w:tc>
        <w:tc>
          <w:tcPr>
            <w:tcW w:w="0" w:type="auto"/>
            <w:vAlign w:val="center"/>
            <w:hideMark/>
          </w:tcPr>
          <w:p w14:paraId="0AF3175D" w14:textId="77777777" w:rsidR="00000000" w:rsidRDefault="00195E73">
            <w:pPr>
              <w:rPr>
                <w:rFonts w:eastAsia="Times New Roman"/>
                <w:sz w:val="20"/>
                <w:szCs w:val="20"/>
              </w:rPr>
            </w:pPr>
          </w:p>
        </w:tc>
        <w:tc>
          <w:tcPr>
            <w:tcW w:w="0" w:type="auto"/>
            <w:vAlign w:val="center"/>
            <w:hideMark/>
          </w:tcPr>
          <w:p w14:paraId="2AD3F858" w14:textId="77777777" w:rsidR="00000000" w:rsidRDefault="00195E73">
            <w:pPr>
              <w:rPr>
                <w:rFonts w:eastAsia="Times New Roman"/>
                <w:sz w:val="20"/>
                <w:szCs w:val="20"/>
              </w:rPr>
            </w:pPr>
          </w:p>
        </w:tc>
        <w:tc>
          <w:tcPr>
            <w:tcW w:w="0" w:type="auto"/>
            <w:vAlign w:val="center"/>
            <w:hideMark/>
          </w:tcPr>
          <w:p w14:paraId="20EB0C3B" w14:textId="77777777" w:rsidR="00000000" w:rsidRDefault="00195E73">
            <w:pPr>
              <w:rPr>
                <w:rFonts w:eastAsia="Times New Roman"/>
                <w:sz w:val="20"/>
                <w:szCs w:val="20"/>
              </w:rPr>
            </w:pPr>
          </w:p>
        </w:tc>
        <w:tc>
          <w:tcPr>
            <w:tcW w:w="0" w:type="auto"/>
            <w:vAlign w:val="center"/>
            <w:hideMark/>
          </w:tcPr>
          <w:p w14:paraId="7440F91D" w14:textId="77777777" w:rsidR="00000000" w:rsidRDefault="00195E73">
            <w:pPr>
              <w:rPr>
                <w:rFonts w:eastAsia="Times New Roman"/>
                <w:sz w:val="20"/>
                <w:szCs w:val="20"/>
              </w:rPr>
            </w:pPr>
          </w:p>
        </w:tc>
        <w:tc>
          <w:tcPr>
            <w:tcW w:w="0" w:type="auto"/>
            <w:vAlign w:val="center"/>
            <w:hideMark/>
          </w:tcPr>
          <w:p w14:paraId="7BA1CAE3" w14:textId="77777777" w:rsidR="00000000" w:rsidRDefault="00195E73">
            <w:pPr>
              <w:rPr>
                <w:rFonts w:eastAsia="Times New Roman"/>
                <w:sz w:val="20"/>
                <w:szCs w:val="20"/>
              </w:rPr>
            </w:pPr>
          </w:p>
        </w:tc>
        <w:tc>
          <w:tcPr>
            <w:tcW w:w="0" w:type="auto"/>
            <w:vAlign w:val="center"/>
            <w:hideMark/>
          </w:tcPr>
          <w:p w14:paraId="08F16253" w14:textId="77777777" w:rsidR="00000000" w:rsidRDefault="00195E73">
            <w:pPr>
              <w:rPr>
                <w:rFonts w:eastAsia="Times New Roman"/>
                <w:sz w:val="20"/>
                <w:szCs w:val="20"/>
              </w:rPr>
            </w:pPr>
          </w:p>
        </w:tc>
        <w:tc>
          <w:tcPr>
            <w:tcW w:w="0" w:type="auto"/>
            <w:vAlign w:val="center"/>
            <w:hideMark/>
          </w:tcPr>
          <w:p w14:paraId="2F55C75F" w14:textId="77777777" w:rsidR="00000000" w:rsidRDefault="00195E73">
            <w:pPr>
              <w:rPr>
                <w:rFonts w:eastAsia="Times New Roman"/>
                <w:sz w:val="20"/>
                <w:szCs w:val="20"/>
              </w:rPr>
            </w:pPr>
          </w:p>
        </w:tc>
        <w:tc>
          <w:tcPr>
            <w:tcW w:w="0" w:type="auto"/>
            <w:vAlign w:val="center"/>
            <w:hideMark/>
          </w:tcPr>
          <w:p w14:paraId="08CE4A5A" w14:textId="77777777" w:rsidR="00000000" w:rsidRDefault="00195E73">
            <w:pPr>
              <w:rPr>
                <w:rFonts w:eastAsia="Times New Roman"/>
                <w:sz w:val="20"/>
                <w:szCs w:val="20"/>
              </w:rPr>
            </w:pPr>
          </w:p>
        </w:tc>
        <w:tc>
          <w:tcPr>
            <w:tcW w:w="0" w:type="auto"/>
            <w:vAlign w:val="center"/>
            <w:hideMark/>
          </w:tcPr>
          <w:p w14:paraId="6D071311" w14:textId="77777777" w:rsidR="00000000" w:rsidRDefault="00195E73">
            <w:pPr>
              <w:rPr>
                <w:rFonts w:eastAsia="Times New Roman"/>
                <w:sz w:val="20"/>
                <w:szCs w:val="20"/>
              </w:rPr>
            </w:pPr>
          </w:p>
        </w:tc>
        <w:tc>
          <w:tcPr>
            <w:tcW w:w="0" w:type="auto"/>
            <w:vAlign w:val="center"/>
            <w:hideMark/>
          </w:tcPr>
          <w:p w14:paraId="4373721B" w14:textId="77777777" w:rsidR="00000000" w:rsidRDefault="00195E73">
            <w:pPr>
              <w:rPr>
                <w:rFonts w:eastAsia="Times New Roman"/>
                <w:sz w:val="20"/>
                <w:szCs w:val="20"/>
              </w:rPr>
            </w:pPr>
          </w:p>
        </w:tc>
        <w:tc>
          <w:tcPr>
            <w:tcW w:w="0" w:type="auto"/>
            <w:vAlign w:val="center"/>
            <w:hideMark/>
          </w:tcPr>
          <w:p w14:paraId="3EED4442" w14:textId="77777777" w:rsidR="00000000" w:rsidRDefault="00195E73">
            <w:pPr>
              <w:rPr>
                <w:rFonts w:eastAsia="Times New Roman"/>
                <w:sz w:val="20"/>
                <w:szCs w:val="20"/>
              </w:rPr>
            </w:pPr>
          </w:p>
        </w:tc>
        <w:tc>
          <w:tcPr>
            <w:tcW w:w="0" w:type="auto"/>
            <w:vAlign w:val="center"/>
            <w:hideMark/>
          </w:tcPr>
          <w:p w14:paraId="2F6078A3" w14:textId="77777777" w:rsidR="00000000" w:rsidRDefault="00195E73">
            <w:pPr>
              <w:rPr>
                <w:rFonts w:eastAsia="Times New Roman"/>
                <w:sz w:val="20"/>
                <w:szCs w:val="20"/>
              </w:rPr>
            </w:pPr>
          </w:p>
        </w:tc>
        <w:tc>
          <w:tcPr>
            <w:tcW w:w="0" w:type="auto"/>
            <w:vAlign w:val="center"/>
            <w:hideMark/>
          </w:tcPr>
          <w:p w14:paraId="2300C4D5" w14:textId="77777777" w:rsidR="00000000" w:rsidRDefault="00195E73">
            <w:pPr>
              <w:rPr>
                <w:rFonts w:eastAsia="Times New Roman"/>
                <w:sz w:val="20"/>
                <w:szCs w:val="20"/>
              </w:rPr>
            </w:pPr>
          </w:p>
        </w:tc>
        <w:tc>
          <w:tcPr>
            <w:tcW w:w="0" w:type="auto"/>
            <w:vAlign w:val="center"/>
            <w:hideMark/>
          </w:tcPr>
          <w:p w14:paraId="6F8BDB05" w14:textId="77777777" w:rsidR="00000000" w:rsidRDefault="00195E73">
            <w:pPr>
              <w:rPr>
                <w:rFonts w:eastAsia="Times New Roman"/>
                <w:sz w:val="20"/>
                <w:szCs w:val="20"/>
              </w:rPr>
            </w:pPr>
          </w:p>
        </w:tc>
        <w:tc>
          <w:tcPr>
            <w:tcW w:w="0" w:type="auto"/>
            <w:vAlign w:val="center"/>
            <w:hideMark/>
          </w:tcPr>
          <w:p w14:paraId="635E3F22" w14:textId="77777777" w:rsidR="00000000" w:rsidRDefault="00195E73">
            <w:pPr>
              <w:rPr>
                <w:rFonts w:eastAsia="Times New Roman"/>
                <w:sz w:val="20"/>
                <w:szCs w:val="20"/>
              </w:rPr>
            </w:pPr>
          </w:p>
        </w:tc>
        <w:tc>
          <w:tcPr>
            <w:tcW w:w="0" w:type="auto"/>
            <w:vAlign w:val="center"/>
            <w:hideMark/>
          </w:tcPr>
          <w:p w14:paraId="31A8DFFB" w14:textId="77777777" w:rsidR="00000000" w:rsidRDefault="00195E73">
            <w:pPr>
              <w:rPr>
                <w:rFonts w:eastAsia="Times New Roman"/>
                <w:sz w:val="20"/>
                <w:szCs w:val="20"/>
              </w:rPr>
            </w:pPr>
          </w:p>
        </w:tc>
        <w:tc>
          <w:tcPr>
            <w:tcW w:w="0" w:type="auto"/>
            <w:vAlign w:val="center"/>
            <w:hideMark/>
          </w:tcPr>
          <w:p w14:paraId="36A577DA" w14:textId="77777777" w:rsidR="00000000" w:rsidRDefault="00195E73">
            <w:pPr>
              <w:rPr>
                <w:rFonts w:eastAsia="Times New Roman"/>
                <w:sz w:val="20"/>
                <w:szCs w:val="20"/>
              </w:rPr>
            </w:pPr>
          </w:p>
        </w:tc>
        <w:tc>
          <w:tcPr>
            <w:tcW w:w="0" w:type="auto"/>
            <w:vAlign w:val="center"/>
            <w:hideMark/>
          </w:tcPr>
          <w:p w14:paraId="04F3AD9B" w14:textId="77777777" w:rsidR="00000000" w:rsidRDefault="00195E73">
            <w:pPr>
              <w:rPr>
                <w:rFonts w:eastAsia="Times New Roman"/>
                <w:sz w:val="20"/>
                <w:szCs w:val="20"/>
              </w:rPr>
            </w:pPr>
          </w:p>
        </w:tc>
        <w:tc>
          <w:tcPr>
            <w:tcW w:w="0" w:type="auto"/>
            <w:vAlign w:val="center"/>
            <w:hideMark/>
          </w:tcPr>
          <w:p w14:paraId="1357CAC2" w14:textId="77777777" w:rsidR="00000000" w:rsidRDefault="00195E73">
            <w:pPr>
              <w:rPr>
                <w:rFonts w:eastAsia="Times New Roman"/>
                <w:sz w:val="20"/>
                <w:szCs w:val="20"/>
              </w:rPr>
            </w:pPr>
          </w:p>
        </w:tc>
        <w:tc>
          <w:tcPr>
            <w:tcW w:w="0" w:type="auto"/>
            <w:vAlign w:val="center"/>
            <w:hideMark/>
          </w:tcPr>
          <w:p w14:paraId="2A0A37D7" w14:textId="77777777" w:rsidR="00000000" w:rsidRDefault="00195E73">
            <w:pPr>
              <w:rPr>
                <w:rFonts w:eastAsia="Times New Roman"/>
                <w:sz w:val="20"/>
                <w:szCs w:val="20"/>
              </w:rPr>
            </w:pPr>
          </w:p>
        </w:tc>
        <w:tc>
          <w:tcPr>
            <w:tcW w:w="0" w:type="auto"/>
            <w:vAlign w:val="center"/>
            <w:hideMark/>
          </w:tcPr>
          <w:p w14:paraId="650CF1E5" w14:textId="77777777" w:rsidR="00000000" w:rsidRDefault="00195E73">
            <w:pPr>
              <w:rPr>
                <w:rFonts w:eastAsia="Times New Roman"/>
                <w:sz w:val="20"/>
                <w:szCs w:val="20"/>
              </w:rPr>
            </w:pPr>
          </w:p>
        </w:tc>
        <w:tc>
          <w:tcPr>
            <w:tcW w:w="0" w:type="auto"/>
            <w:vAlign w:val="center"/>
            <w:hideMark/>
          </w:tcPr>
          <w:p w14:paraId="3CA8C046" w14:textId="77777777" w:rsidR="00000000" w:rsidRDefault="00195E73">
            <w:pPr>
              <w:rPr>
                <w:rFonts w:eastAsia="Times New Roman"/>
                <w:sz w:val="20"/>
                <w:szCs w:val="20"/>
              </w:rPr>
            </w:pPr>
          </w:p>
        </w:tc>
        <w:tc>
          <w:tcPr>
            <w:tcW w:w="0" w:type="auto"/>
            <w:vAlign w:val="center"/>
            <w:hideMark/>
          </w:tcPr>
          <w:p w14:paraId="30E50E5A" w14:textId="77777777" w:rsidR="00000000" w:rsidRDefault="00195E73">
            <w:pPr>
              <w:rPr>
                <w:rFonts w:eastAsia="Times New Roman"/>
                <w:sz w:val="20"/>
                <w:szCs w:val="20"/>
              </w:rPr>
            </w:pPr>
          </w:p>
        </w:tc>
      </w:tr>
    </w:tbl>
    <w:p w14:paraId="4EA18A0F" w14:textId="77777777" w:rsidR="00000000" w:rsidRDefault="00195E73">
      <w:pPr>
        <w:divId w:val="1149135180"/>
        <w:rPr>
          <w:rFonts w:eastAsia="Times New Roman"/>
        </w:rPr>
      </w:pPr>
    </w:p>
    <w:p w14:paraId="263A4FD2" w14:textId="77777777" w:rsidR="00000000" w:rsidRDefault="00195E73">
      <w:pPr>
        <w:divId w:val="546112540"/>
        <w:rPr>
          <w:rFonts w:eastAsia="Times New Roman"/>
        </w:rPr>
      </w:pPr>
    </w:p>
    <w:p w14:paraId="2614F41F" w14:textId="77777777" w:rsidR="00000000" w:rsidRDefault="00195E73">
      <w:pPr>
        <w:jc w:val="center"/>
        <w:divId w:val="668140440"/>
        <w:rPr>
          <w:rFonts w:eastAsia="Times New Roman"/>
        </w:rPr>
      </w:pPr>
      <w:r>
        <w:rPr>
          <w:rFonts w:eastAsia="Times New Roman"/>
          <w:color w:val="000000"/>
          <w:sz w:val="20"/>
          <w:szCs w:val="20"/>
        </w:rPr>
        <w:t>11</w:t>
      </w:r>
      <w:r>
        <w:rPr>
          <w:rFonts w:eastAsia="Times New Roman"/>
          <w:color w:val="000000"/>
          <w:sz w:val="20"/>
          <w:szCs w:val="20"/>
        </w:rPr>
        <w:t>1</w:t>
      </w:r>
    </w:p>
    <w:p w14:paraId="0CE61205" w14:textId="77777777" w:rsidR="00000000" w:rsidRDefault="00195E73">
      <w:pPr>
        <w:rPr>
          <w:rFonts w:eastAsia="Times New Roman"/>
        </w:rPr>
      </w:pPr>
      <w:r>
        <w:rPr>
          <w:rFonts w:eastAsia="Times New Roman"/>
        </w:rPr>
        <w:pict w14:anchorId="55DA716C">
          <v:rect id="_x0000_i1137" style="width:0;height:1.5pt" o:hralign="center" o:hrstd="t" o:hr="t" fillcolor="#a0a0a0" stroked="f"/>
        </w:pict>
      </w:r>
    </w:p>
    <w:p w14:paraId="714E0B9A" w14:textId="77777777" w:rsidR="00000000" w:rsidRDefault="00195E73">
      <w:pPr>
        <w:jc w:val="center"/>
        <w:divId w:val="1056660888"/>
        <w:rPr>
          <w:rFonts w:eastAsia="Times New Roman"/>
        </w:rPr>
      </w:pPr>
    </w:p>
    <w:p w14:paraId="5A1FFF37" w14:textId="77777777" w:rsidR="00000000" w:rsidRDefault="00195E73">
      <w:pPr>
        <w:jc w:val="center"/>
        <w:divId w:val="1056660888"/>
        <w:rPr>
          <w:rFonts w:eastAsia="Times New Roman"/>
        </w:rPr>
      </w:pPr>
      <w:r>
        <w:rPr>
          <w:rFonts w:eastAsia="Times New Roman"/>
          <w:b/>
          <w:bCs/>
          <w:color w:val="000000"/>
          <w:sz w:val="20"/>
          <w:szCs w:val="20"/>
        </w:rPr>
        <w:t>ICAHN ENTERPRISES L.P. AND SUBSIDIARIE</w:t>
      </w:r>
      <w:r>
        <w:rPr>
          <w:rFonts w:eastAsia="Times New Roman"/>
          <w:b/>
          <w:bCs/>
          <w:color w:val="000000"/>
          <w:sz w:val="20"/>
          <w:szCs w:val="20"/>
        </w:rPr>
        <w:t>S</w:t>
      </w:r>
    </w:p>
    <w:p w14:paraId="188ECCF4" w14:textId="77777777" w:rsidR="00000000" w:rsidRDefault="00195E73">
      <w:pPr>
        <w:jc w:val="center"/>
        <w:divId w:val="1056660888"/>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39597CAA" w14:textId="77777777" w:rsidR="00000000" w:rsidRDefault="00195E73">
      <w:pPr>
        <w:jc w:val="center"/>
        <w:divId w:val="1056660888"/>
        <w:rPr>
          <w:rFonts w:eastAsia="Times New Roman"/>
        </w:rPr>
      </w:pPr>
    </w:p>
    <w:p w14:paraId="39105F4C" w14:textId="77777777" w:rsidR="00000000" w:rsidRDefault="00195E73">
      <w:pPr>
        <w:jc w:val="center"/>
        <w:divId w:val="1056660888"/>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4424C2C5" w14:textId="77777777" w:rsidR="00000000" w:rsidRDefault="00195E73">
      <w:pPr>
        <w:ind w:hanging="360"/>
        <w:divId w:val="1020546784"/>
        <w:rPr>
          <w:rFonts w:eastAsia="Times New Roman"/>
        </w:rPr>
      </w:pPr>
      <w:r>
        <w:rPr>
          <w:rFonts w:eastAsia="Times New Roman"/>
          <w:b/>
          <w:bCs/>
          <w:color w:val="000000"/>
          <w:sz w:val="20"/>
          <w:szCs w:val="20"/>
        </w:rPr>
        <w:t>20. Supplemental Cash Flow Information</w:t>
      </w:r>
      <w:r>
        <w:rPr>
          <w:rFonts w:eastAsia="Times New Roman"/>
          <w:b/>
          <w:bCs/>
          <w:color w:val="000000"/>
          <w:sz w:val="20"/>
          <w:szCs w:val="20"/>
        </w:rPr>
        <w:t>.</w:t>
      </w:r>
    </w:p>
    <w:p w14:paraId="5150E970" w14:textId="77777777" w:rsidR="00000000" w:rsidRDefault="00195E73">
      <w:pPr>
        <w:ind w:firstLine="450"/>
        <w:divId w:val="167991425"/>
        <w:rPr>
          <w:rFonts w:eastAsia="Times New Roman"/>
        </w:rPr>
      </w:pPr>
      <w:r>
        <w:rPr>
          <w:rFonts w:eastAsia="Times New Roman"/>
          <w:color w:val="000000"/>
          <w:sz w:val="20"/>
          <w:szCs w:val="20"/>
        </w:rPr>
        <w:t xml:space="preserve">Supplemental cash flow information consists </w:t>
      </w:r>
      <w:r>
        <w:rPr>
          <w:rFonts w:eastAsia="Times New Roman"/>
          <w:color w:val="000000"/>
          <w:sz w:val="20"/>
          <w:szCs w:val="20"/>
        </w:rPr>
        <w:t>of the following</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189"/>
        <w:gridCol w:w="39"/>
        <w:gridCol w:w="135"/>
        <w:gridCol w:w="920"/>
        <w:gridCol w:w="85"/>
        <w:gridCol w:w="36"/>
        <w:gridCol w:w="36"/>
        <w:gridCol w:w="41"/>
        <w:gridCol w:w="136"/>
        <w:gridCol w:w="887"/>
        <w:gridCol w:w="85"/>
        <w:gridCol w:w="36"/>
        <w:gridCol w:w="36"/>
        <w:gridCol w:w="41"/>
        <w:gridCol w:w="135"/>
        <w:gridCol w:w="888"/>
        <w:gridCol w:w="85"/>
        <w:gridCol w:w="36"/>
        <w:gridCol w:w="36"/>
        <w:gridCol w:w="36"/>
        <w:gridCol w:w="36"/>
        <w:gridCol w:w="36"/>
        <w:gridCol w:w="36"/>
        <w:gridCol w:w="36"/>
        <w:gridCol w:w="36"/>
        <w:gridCol w:w="36"/>
        <w:gridCol w:w="36"/>
        <w:gridCol w:w="36"/>
        <w:gridCol w:w="36"/>
      </w:tblGrid>
      <w:tr w:rsidR="00000000" w14:paraId="28D67963" w14:textId="77777777">
        <w:trPr>
          <w:gridAfter w:val="12"/>
          <w:divId w:val="1189417217"/>
          <w:jc w:val="center"/>
        </w:trPr>
        <w:tc>
          <w:tcPr>
            <w:tcW w:w="50" w:type="pct"/>
            <w:vAlign w:val="center"/>
            <w:hideMark/>
          </w:tcPr>
          <w:p w14:paraId="281860C7" w14:textId="77777777" w:rsidR="00000000" w:rsidRDefault="00195E73">
            <w:pPr>
              <w:ind w:firstLine="450"/>
              <w:rPr>
                <w:rFonts w:eastAsia="Times New Roman"/>
              </w:rPr>
            </w:pPr>
          </w:p>
        </w:tc>
        <w:tc>
          <w:tcPr>
            <w:tcW w:w="2693" w:type="pct"/>
            <w:vAlign w:val="center"/>
            <w:hideMark/>
          </w:tcPr>
          <w:p w14:paraId="4A458C22" w14:textId="77777777" w:rsidR="00000000" w:rsidRDefault="00195E73">
            <w:pPr>
              <w:rPr>
                <w:rFonts w:eastAsia="Times New Roman"/>
                <w:sz w:val="20"/>
                <w:szCs w:val="20"/>
              </w:rPr>
            </w:pPr>
          </w:p>
        </w:tc>
        <w:tc>
          <w:tcPr>
            <w:tcW w:w="50" w:type="pct"/>
            <w:vAlign w:val="center"/>
            <w:hideMark/>
          </w:tcPr>
          <w:p w14:paraId="691DC605" w14:textId="77777777" w:rsidR="00000000" w:rsidRDefault="00195E73">
            <w:pPr>
              <w:rPr>
                <w:rFonts w:eastAsia="Times New Roman"/>
                <w:sz w:val="20"/>
                <w:szCs w:val="20"/>
              </w:rPr>
            </w:pPr>
          </w:p>
        </w:tc>
        <w:tc>
          <w:tcPr>
            <w:tcW w:w="50" w:type="pct"/>
            <w:vAlign w:val="center"/>
            <w:hideMark/>
          </w:tcPr>
          <w:p w14:paraId="3642AD92" w14:textId="77777777" w:rsidR="00000000" w:rsidRDefault="00195E73">
            <w:pPr>
              <w:rPr>
                <w:rFonts w:eastAsia="Times New Roman"/>
                <w:sz w:val="20"/>
                <w:szCs w:val="20"/>
              </w:rPr>
            </w:pPr>
          </w:p>
        </w:tc>
        <w:tc>
          <w:tcPr>
            <w:tcW w:w="611" w:type="pct"/>
            <w:vAlign w:val="center"/>
            <w:hideMark/>
          </w:tcPr>
          <w:p w14:paraId="37098844" w14:textId="77777777" w:rsidR="00000000" w:rsidRDefault="00195E73">
            <w:pPr>
              <w:rPr>
                <w:rFonts w:eastAsia="Times New Roman"/>
                <w:sz w:val="20"/>
                <w:szCs w:val="20"/>
              </w:rPr>
            </w:pPr>
          </w:p>
        </w:tc>
        <w:tc>
          <w:tcPr>
            <w:tcW w:w="50" w:type="pct"/>
            <w:vAlign w:val="center"/>
            <w:hideMark/>
          </w:tcPr>
          <w:p w14:paraId="03BD6476" w14:textId="77777777" w:rsidR="00000000" w:rsidRDefault="00195E73">
            <w:pPr>
              <w:rPr>
                <w:rFonts w:eastAsia="Times New Roman"/>
                <w:sz w:val="20"/>
                <w:szCs w:val="20"/>
              </w:rPr>
            </w:pPr>
          </w:p>
        </w:tc>
        <w:tc>
          <w:tcPr>
            <w:tcW w:w="5" w:type="pct"/>
            <w:vAlign w:val="center"/>
            <w:hideMark/>
          </w:tcPr>
          <w:p w14:paraId="13C3A87C" w14:textId="77777777" w:rsidR="00000000" w:rsidRDefault="00195E73">
            <w:pPr>
              <w:rPr>
                <w:rFonts w:eastAsia="Times New Roman"/>
                <w:sz w:val="20"/>
                <w:szCs w:val="20"/>
              </w:rPr>
            </w:pPr>
          </w:p>
        </w:tc>
        <w:tc>
          <w:tcPr>
            <w:tcW w:w="26" w:type="pct"/>
            <w:vAlign w:val="center"/>
            <w:hideMark/>
          </w:tcPr>
          <w:p w14:paraId="54235791" w14:textId="77777777" w:rsidR="00000000" w:rsidRDefault="00195E73">
            <w:pPr>
              <w:rPr>
                <w:rFonts w:eastAsia="Times New Roman"/>
                <w:sz w:val="20"/>
                <w:szCs w:val="20"/>
              </w:rPr>
            </w:pPr>
          </w:p>
        </w:tc>
        <w:tc>
          <w:tcPr>
            <w:tcW w:w="5" w:type="pct"/>
            <w:vAlign w:val="center"/>
            <w:hideMark/>
          </w:tcPr>
          <w:p w14:paraId="6AE32A31" w14:textId="77777777" w:rsidR="00000000" w:rsidRDefault="00195E73">
            <w:pPr>
              <w:rPr>
                <w:rFonts w:eastAsia="Times New Roman"/>
                <w:sz w:val="20"/>
                <w:szCs w:val="20"/>
              </w:rPr>
            </w:pPr>
          </w:p>
        </w:tc>
        <w:tc>
          <w:tcPr>
            <w:tcW w:w="50" w:type="pct"/>
            <w:vAlign w:val="center"/>
            <w:hideMark/>
          </w:tcPr>
          <w:p w14:paraId="27D695CF" w14:textId="77777777" w:rsidR="00000000" w:rsidRDefault="00195E73">
            <w:pPr>
              <w:rPr>
                <w:rFonts w:eastAsia="Times New Roman"/>
                <w:sz w:val="20"/>
                <w:szCs w:val="20"/>
              </w:rPr>
            </w:pPr>
          </w:p>
        </w:tc>
        <w:tc>
          <w:tcPr>
            <w:tcW w:w="611" w:type="pct"/>
            <w:vAlign w:val="center"/>
            <w:hideMark/>
          </w:tcPr>
          <w:p w14:paraId="6E3DF15A" w14:textId="77777777" w:rsidR="00000000" w:rsidRDefault="00195E73">
            <w:pPr>
              <w:rPr>
                <w:rFonts w:eastAsia="Times New Roman"/>
                <w:sz w:val="20"/>
                <w:szCs w:val="20"/>
              </w:rPr>
            </w:pPr>
          </w:p>
        </w:tc>
        <w:tc>
          <w:tcPr>
            <w:tcW w:w="50" w:type="pct"/>
            <w:vAlign w:val="center"/>
            <w:hideMark/>
          </w:tcPr>
          <w:p w14:paraId="5960EAA7" w14:textId="77777777" w:rsidR="00000000" w:rsidRDefault="00195E73">
            <w:pPr>
              <w:rPr>
                <w:rFonts w:eastAsia="Times New Roman"/>
                <w:sz w:val="20"/>
                <w:szCs w:val="20"/>
              </w:rPr>
            </w:pPr>
          </w:p>
        </w:tc>
        <w:tc>
          <w:tcPr>
            <w:tcW w:w="5" w:type="pct"/>
            <w:vAlign w:val="center"/>
            <w:hideMark/>
          </w:tcPr>
          <w:p w14:paraId="7616E44D" w14:textId="77777777" w:rsidR="00000000" w:rsidRDefault="00195E73">
            <w:pPr>
              <w:rPr>
                <w:rFonts w:eastAsia="Times New Roman"/>
                <w:sz w:val="20"/>
                <w:szCs w:val="20"/>
              </w:rPr>
            </w:pPr>
          </w:p>
        </w:tc>
        <w:tc>
          <w:tcPr>
            <w:tcW w:w="26" w:type="pct"/>
            <w:vAlign w:val="center"/>
            <w:hideMark/>
          </w:tcPr>
          <w:p w14:paraId="674163CB" w14:textId="77777777" w:rsidR="00000000" w:rsidRDefault="00195E73">
            <w:pPr>
              <w:rPr>
                <w:rFonts w:eastAsia="Times New Roman"/>
                <w:sz w:val="20"/>
                <w:szCs w:val="20"/>
              </w:rPr>
            </w:pPr>
          </w:p>
        </w:tc>
        <w:tc>
          <w:tcPr>
            <w:tcW w:w="5" w:type="pct"/>
            <w:vAlign w:val="center"/>
            <w:hideMark/>
          </w:tcPr>
          <w:p w14:paraId="529E4C78" w14:textId="77777777" w:rsidR="00000000" w:rsidRDefault="00195E73">
            <w:pPr>
              <w:rPr>
                <w:rFonts w:eastAsia="Times New Roman"/>
                <w:sz w:val="20"/>
                <w:szCs w:val="20"/>
              </w:rPr>
            </w:pPr>
          </w:p>
        </w:tc>
        <w:tc>
          <w:tcPr>
            <w:tcW w:w="50" w:type="pct"/>
            <w:vAlign w:val="center"/>
            <w:hideMark/>
          </w:tcPr>
          <w:p w14:paraId="1DE87CC0" w14:textId="77777777" w:rsidR="00000000" w:rsidRDefault="00195E73">
            <w:pPr>
              <w:rPr>
                <w:rFonts w:eastAsia="Times New Roman"/>
                <w:sz w:val="20"/>
                <w:szCs w:val="20"/>
              </w:rPr>
            </w:pPr>
          </w:p>
        </w:tc>
        <w:tc>
          <w:tcPr>
            <w:tcW w:w="611" w:type="pct"/>
            <w:vAlign w:val="center"/>
            <w:hideMark/>
          </w:tcPr>
          <w:p w14:paraId="7B068D77" w14:textId="77777777" w:rsidR="00000000" w:rsidRDefault="00195E73">
            <w:pPr>
              <w:rPr>
                <w:rFonts w:eastAsia="Times New Roman"/>
                <w:sz w:val="20"/>
                <w:szCs w:val="20"/>
              </w:rPr>
            </w:pPr>
          </w:p>
        </w:tc>
        <w:tc>
          <w:tcPr>
            <w:tcW w:w="50" w:type="pct"/>
            <w:vAlign w:val="center"/>
            <w:hideMark/>
          </w:tcPr>
          <w:p w14:paraId="456E0584" w14:textId="77777777" w:rsidR="00000000" w:rsidRDefault="00195E73">
            <w:pPr>
              <w:rPr>
                <w:rFonts w:eastAsia="Times New Roman"/>
                <w:sz w:val="20"/>
                <w:szCs w:val="20"/>
              </w:rPr>
            </w:pPr>
          </w:p>
        </w:tc>
      </w:tr>
      <w:tr w:rsidR="00000000" w14:paraId="051E1830" w14:textId="77777777">
        <w:trPr>
          <w:divId w:val="1189417217"/>
          <w:jc w:val="center"/>
        </w:trPr>
        <w:tc>
          <w:tcPr>
            <w:tcW w:w="0" w:type="auto"/>
            <w:gridSpan w:val="3"/>
            <w:tcMar>
              <w:top w:w="15" w:type="dxa"/>
              <w:left w:w="20" w:type="dxa"/>
              <w:bottom w:w="15" w:type="dxa"/>
              <w:right w:w="20" w:type="dxa"/>
            </w:tcMar>
            <w:vAlign w:val="bottom"/>
            <w:hideMark/>
          </w:tcPr>
          <w:p w14:paraId="46FB9C0A"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3D9DF3A4"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6F98A368" w14:textId="77777777" w:rsidR="00000000" w:rsidRDefault="00195E73">
            <w:pPr>
              <w:jc w:val="center"/>
              <w:rPr>
                <w:rFonts w:eastAsia="Times New Roman"/>
              </w:rPr>
            </w:pPr>
          </w:p>
        </w:tc>
        <w:tc>
          <w:tcPr>
            <w:tcW w:w="0" w:type="auto"/>
            <w:gridSpan w:val="3"/>
            <w:vAlign w:val="center"/>
            <w:hideMark/>
          </w:tcPr>
          <w:p w14:paraId="4DC1BBE6" w14:textId="77777777" w:rsidR="00000000" w:rsidRDefault="00195E73">
            <w:pPr>
              <w:rPr>
                <w:rFonts w:eastAsia="Times New Roman"/>
                <w:sz w:val="20"/>
                <w:szCs w:val="20"/>
              </w:rPr>
            </w:pPr>
          </w:p>
        </w:tc>
        <w:tc>
          <w:tcPr>
            <w:tcW w:w="0" w:type="auto"/>
            <w:gridSpan w:val="3"/>
            <w:vAlign w:val="center"/>
            <w:hideMark/>
          </w:tcPr>
          <w:p w14:paraId="1C524EC8" w14:textId="77777777" w:rsidR="00000000" w:rsidRDefault="00195E73">
            <w:pPr>
              <w:rPr>
                <w:rFonts w:eastAsia="Times New Roman"/>
                <w:sz w:val="20"/>
                <w:szCs w:val="20"/>
              </w:rPr>
            </w:pPr>
          </w:p>
        </w:tc>
        <w:tc>
          <w:tcPr>
            <w:tcW w:w="0" w:type="auto"/>
            <w:gridSpan w:val="3"/>
            <w:vAlign w:val="center"/>
            <w:hideMark/>
          </w:tcPr>
          <w:p w14:paraId="1CA51B89" w14:textId="77777777" w:rsidR="00000000" w:rsidRDefault="00195E73">
            <w:pPr>
              <w:rPr>
                <w:rFonts w:eastAsia="Times New Roman"/>
                <w:sz w:val="20"/>
                <w:szCs w:val="20"/>
              </w:rPr>
            </w:pPr>
          </w:p>
        </w:tc>
      </w:tr>
      <w:tr w:rsidR="00000000" w14:paraId="5905D68D" w14:textId="77777777">
        <w:trPr>
          <w:divId w:val="1189417217"/>
          <w:jc w:val="center"/>
        </w:trPr>
        <w:tc>
          <w:tcPr>
            <w:tcW w:w="0" w:type="auto"/>
            <w:gridSpan w:val="3"/>
            <w:tcMar>
              <w:top w:w="15" w:type="dxa"/>
              <w:left w:w="20" w:type="dxa"/>
              <w:bottom w:w="15" w:type="dxa"/>
              <w:right w:w="20" w:type="dxa"/>
            </w:tcMar>
            <w:vAlign w:val="bottom"/>
            <w:hideMark/>
          </w:tcPr>
          <w:p w14:paraId="6E928C80"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7250B0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3323EC9F"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4395FA4"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2816BBD2"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B302555"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5114F0A4" w14:textId="77777777" w:rsidR="00000000" w:rsidRDefault="00195E73">
            <w:pPr>
              <w:rPr>
                <w:rFonts w:eastAsia="Times New Roman"/>
                <w:sz w:val="20"/>
                <w:szCs w:val="20"/>
              </w:rPr>
            </w:pPr>
          </w:p>
        </w:tc>
        <w:tc>
          <w:tcPr>
            <w:tcW w:w="0" w:type="auto"/>
            <w:vAlign w:val="center"/>
            <w:hideMark/>
          </w:tcPr>
          <w:p w14:paraId="2B609759" w14:textId="77777777" w:rsidR="00000000" w:rsidRDefault="00195E73">
            <w:pPr>
              <w:rPr>
                <w:rFonts w:eastAsia="Times New Roman"/>
                <w:sz w:val="20"/>
                <w:szCs w:val="20"/>
              </w:rPr>
            </w:pPr>
          </w:p>
        </w:tc>
        <w:tc>
          <w:tcPr>
            <w:tcW w:w="0" w:type="auto"/>
            <w:vAlign w:val="center"/>
            <w:hideMark/>
          </w:tcPr>
          <w:p w14:paraId="339B0E05" w14:textId="77777777" w:rsidR="00000000" w:rsidRDefault="00195E73">
            <w:pPr>
              <w:rPr>
                <w:rFonts w:eastAsia="Times New Roman"/>
                <w:sz w:val="20"/>
                <w:szCs w:val="20"/>
              </w:rPr>
            </w:pPr>
          </w:p>
        </w:tc>
        <w:tc>
          <w:tcPr>
            <w:tcW w:w="0" w:type="auto"/>
            <w:vAlign w:val="center"/>
            <w:hideMark/>
          </w:tcPr>
          <w:p w14:paraId="5E75A3BE" w14:textId="77777777" w:rsidR="00000000" w:rsidRDefault="00195E73">
            <w:pPr>
              <w:rPr>
                <w:rFonts w:eastAsia="Times New Roman"/>
                <w:sz w:val="20"/>
                <w:szCs w:val="20"/>
              </w:rPr>
            </w:pPr>
          </w:p>
        </w:tc>
        <w:tc>
          <w:tcPr>
            <w:tcW w:w="0" w:type="auto"/>
            <w:vAlign w:val="center"/>
            <w:hideMark/>
          </w:tcPr>
          <w:p w14:paraId="62178644" w14:textId="77777777" w:rsidR="00000000" w:rsidRDefault="00195E73">
            <w:pPr>
              <w:rPr>
                <w:rFonts w:eastAsia="Times New Roman"/>
                <w:sz w:val="20"/>
                <w:szCs w:val="20"/>
              </w:rPr>
            </w:pPr>
          </w:p>
        </w:tc>
        <w:tc>
          <w:tcPr>
            <w:tcW w:w="0" w:type="auto"/>
            <w:vAlign w:val="center"/>
            <w:hideMark/>
          </w:tcPr>
          <w:p w14:paraId="3B86BB2A" w14:textId="77777777" w:rsidR="00000000" w:rsidRDefault="00195E73">
            <w:pPr>
              <w:rPr>
                <w:rFonts w:eastAsia="Times New Roman"/>
                <w:sz w:val="20"/>
                <w:szCs w:val="20"/>
              </w:rPr>
            </w:pPr>
          </w:p>
        </w:tc>
        <w:tc>
          <w:tcPr>
            <w:tcW w:w="0" w:type="auto"/>
            <w:vAlign w:val="center"/>
            <w:hideMark/>
          </w:tcPr>
          <w:p w14:paraId="3AC719A4" w14:textId="77777777" w:rsidR="00000000" w:rsidRDefault="00195E73">
            <w:pPr>
              <w:rPr>
                <w:rFonts w:eastAsia="Times New Roman"/>
                <w:sz w:val="20"/>
                <w:szCs w:val="20"/>
              </w:rPr>
            </w:pPr>
          </w:p>
        </w:tc>
        <w:tc>
          <w:tcPr>
            <w:tcW w:w="0" w:type="auto"/>
            <w:vAlign w:val="center"/>
            <w:hideMark/>
          </w:tcPr>
          <w:p w14:paraId="032F8B30" w14:textId="77777777" w:rsidR="00000000" w:rsidRDefault="00195E73">
            <w:pPr>
              <w:rPr>
                <w:rFonts w:eastAsia="Times New Roman"/>
                <w:sz w:val="20"/>
                <w:szCs w:val="20"/>
              </w:rPr>
            </w:pPr>
          </w:p>
        </w:tc>
        <w:tc>
          <w:tcPr>
            <w:tcW w:w="0" w:type="auto"/>
            <w:vAlign w:val="center"/>
            <w:hideMark/>
          </w:tcPr>
          <w:p w14:paraId="51FB6569" w14:textId="77777777" w:rsidR="00000000" w:rsidRDefault="00195E73">
            <w:pPr>
              <w:rPr>
                <w:rFonts w:eastAsia="Times New Roman"/>
                <w:sz w:val="20"/>
                <w:szCs w:val="20"/>
              </w:rPr>
            </w:pPr>
          </w:p>
        </w:tc>
        <w:tc>
          <w:tcPr>
            <w:tcW w:w="0" w:type="auto"/>
            <w:vAlign w:val="center"/>
            <w:hideMark/>
          </w:tcPr>
          <w:p w14:paraId="346E5719" w14:textId="77777777" w:rsidR="00000000" w:rsidRDefault="00195E73">
            <w:pPr>
              <w:rPr>
                <w:rFonts w:eastAsia="Times New Roman"/>
                <w:sz w:val="20"/>
                <w:szCs w:val="20"/>
              </w:rPr>
            </w:pPr>
          </w:p>
        </w:tc>
        <w:tc>
          <w:tcPr>
            <w:tcW w:w="0" w:type="auto"/>
            <w:vAlign w:val="center"/>
            <w:hideMark/>
          </w:tcPr>
          <w:p w14:paraId="08101E6C" w14:textId="77777777" w:rsidR="00000000" w:rsidRDefault="00195E73">
            <w:pPr>
              <w:rPr>
                <w:rFonts w:eastAsia="Times New Roman"/>
                <w:sz w:val="20"/>
                <w:szCs w:val="20"/>
              </w:rPr>
            </w:pPr>
          </w:p>
        </w:tc>
        <w:tc>
          <w:tcPr>
            <w:tcW w:w="0" w:type="auto"/>
            <w:vAlign w:val="center"/>
            <w:hideMark/>
          </w:tcPr>
          <w:p w14:paraId="6D6BBB85" w14:textId="77777777" w:rsidR="00000000" w:rsidRDefault="00195E73">
            <w:pPr>
              <w:rPr>
                <w:rFonts w:eastAsia="Times New Roman"/>
                <w:sz w:val="20"/>
                <w:szCs w:val="20"/>
              </w:rPr>
            </w:pPr>
          </w:p>
        </w:tc>
      </w:tr>
      <w:tr w:rsidR="00000000" w14:paraId="37BF12C7" w14:textId="77777777">
        <w:trPr>
          <w:divId w:val="1189417217"/>
          <w:jc w:val="center"/>
        </w:trPr>
        <w:tc>
          <w:tcPr>
            <w:tcW w:w="0" w:type="auto"/>
            <w:gridSpan w:val="3"/>
            <w:tcMar>
              <w:top w:w="15" w:type="dxa"/>
              <w:left w:w="20" w:type="dxa"/>
              <w:bottom w:w="15" w:type="dxa"/>
              <w:right w:w="20" w:type="dxa"/>
            </w:tcMar>
            <w:vAlign w:val="bottom"/>
            <w:hideMark/>
          </w:tcPr>
          <w:p w14:paraId="5004B52A"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FA6F335"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22CD2820" w14:textId="77777777" w:rsidR="00000000" w:rsidRDefault="00195E73">
            <w:pPr>
              <w:jc w:val="center"/>
              <w:rPr>
                <w:rFonts w:eastAsia="Times New Roman"/>
              </w:rPr>
            </w:pPr>
          </w:p>
        </w:tc>
        <w:tc>
          <w:tcPr>
            <w:tcW w:w="0" w:type="auto"/>
            <w:gridSpan w:val="3"/>
            <w:vAlign w:val="center"/>
            <w:hideMark/>
          </w:tcPr>
          <w:p w14:paraId="33890E5F" w14:textId="77777777" w:rsidR="00000000" w:rsidRDefault="00195E73">
            <w:pPr>
              <w:rPr>
                <w:rFonts w:eastAsia="Times New Roman"/>
                <w:sz w:val="20"/>
                <w:szCs w:val="20"/>
              </w:rPr>
            </w:pPr>
          </w:p>
        </w:tc>
        <w:tc>
          <w:tcPr>
            <w:tcW w:w="0" w:type="auto"/>
            <w:gridSpan w:val="3"/>
            <w:vAlign w:val="center"/>
            <w:hideMark/>
          </w:tcPr>
          <w:p w14:paraId="2BF91593" w14:textId="77777777" w:rsidR="00000000" w:rsidRDefault="00195E73">
            <w:pPr>
              <w:rPr>
                <w:rFonts w:eastAsia="Times New Roman"/>
                <w:sz w:val="20"/>
                <w:szCs w:val="20"/>
              </w:rPr>
            </w:pPr>
          </w:p>
        </w:tc>
        <w:tc>
          <w:tcPr>
            <w:tcW w:w="0" w:type="auto"/>
            <w:gridSpan w:val="3"/>
            <w:vAlign w:val="center"/>
            <w:hideMark/>
          </w:tcPr>
          <w:p w14:paraId="0DBD71B0" w14:textId="77777777" w:rsidR="00000000" w:rsidRDefault="00195E73">
            <w:pPr>
              <w:rPr>
                <w:rFonts w:eastAsia="Times New Roman"/>
                <w:sz w:val="20"/>
                <w:szCs w:val="20"/>
              </w:rPr>
            </w:pPr>
          </w:p>
        </w:tc>
      </w:tr>
      <w:tr w:rsidR="00000000" w14:paraId="053D716C" w14:textId="77777777">
        <w:trPr>
          <w:divId w:val="1189417217"/>
          <w:jc w:val="center"/>
        </w:trPr>
        <w:tc>
          <w:tcPr>
            <w:tcW w:w="0" w:type="auto"/>
            <w:gridSpan w:val="3"/>
            <w:shd w:val="clear" w:color="auto" w:fill="CCEEFF"/>
            <w:tcMar>
              <w:top w:w="30" w:type="dxa"/>
              <w:left w:w="20" w:type="dxa"/>
              <w:bottom w:w="30" w:type="dxa"/>
              <w:right w:w="20" w:type="dxa"/>
            </w:tcMar>
            <w:vAlign w:val="bottom"/>
            <w:hideMark/>
          </w:tcPr>
          <w:p w14:paraId="38402BB8" w14:textId="77777777" w:rsidR="00000000" w:rsidRDefault="00195E73">
            <w:pPr>
              <w:rPr>
                <w:rFonts w:eastAsia="Times New Roman"/>
              </w:rPr>
            </w:pPr>
            <w:r>
              <w:rPr>
                <w:rFonts w:eastAsia="Times New Roman"/>
                <w:color w:val="000000"/>
                <w:sz w:val="20"/>
                <w:szCs w:val="20"/>
              </w:rPr>
              <w:t>Cash payments for interest, net of amounts capitalize</w:t>
            </w:r>
            <w:r>
              <w:rPr>
                <w:rFonts w:eastAsia="Times New Roman"/>
                <w:color w:val="000000"/>
                <w:sz w:val="20"/>
                <w:szCs w:val="20"/>
              </w:rPr>
              <w:t>d</w:t>
            </w:r>
          </w:p>
        </w:tc>
        <w:tc>
          <w:tcPr>
            <w:tcW w:w="0" w:type="auto"/>
            <w:shd w:val="clear" w:color="auto" w:fill="CCEEFF"/>
            <w:tcMar>
              <w:top w:w="30" w:type="dxa"/>
              <w:left w:w="20" w:type="dxa"/>
              <w:bottom w:w="30" w:type="dxa"/>
              <w:right w:w="15" w:type="dxa"/>
            </w:tcMar>
            <w:vAlign w:val="bottom"/>
            <w:hideMark/>
          </w:tcPr>
          <w:p w14:paraId="10D9FA0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558A8C5" w14:textId="77777777" w:rsidR="00000000" w:rsidRDefault="00195E73">
            <w:pPr>
              <w:jc w:val="right"/>
              <w:rPr>
                <w:rFonts w:eastAsia="Times New Roman"/>
              </w:rPr>
            </w:pPr>
            <w:r>
              <w:rPr>
                <w:rFonts w:eastAsia="Times New Roman"/>
                <w:color w:val="000000"/>
                <w:sz w:val="20"/>
                <w:szCs w:val="20"/>
              </w:rPr>
              <w:t>524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54F4E1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733E2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624B67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9799C19" w14:textId="77777777" w:rsidR="00000000" w:rsidRDefault="00195E73">
            <w:pPr>
              <w:jc w:val="right"/>
              <w:rPr>
                <w:rFonts w:eastAsia="Times New Roman"/>
              </w:rPr>
            </w:pPr>
            <w:r>
              <w:rPr>
                <w:rFonts w:eastAsia="Times New Roman"/>
                <w:color w:val="000000"/>
                <w:sz w:val="20"/>
                <w:szCs w:val="20"/>
              </w:rPr>
              <w:t>484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96637E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7AB9E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C3AED3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BAA70EF" w14:textId="77777777" w:rsidR="00000000" w:rsidRDefault="00195E73">
            <w:pPr>
              <w:jc w:val="right"/>
              <w:rPr>
                <w:rFonts w:eastAsia="Times New Roman"/>
              </w:rPr>
            </w:pPr>
            <w:r>
              <w:rPr>
                <w:rFonts w:eastAsia="Times New Roman"/>
                <w:color w:val="000000"/>
                <w:sz w:val="20"/>
                <w:szCs w:val="20"/>
              </w:rPr>
              <w:t>499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4BB252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A8D99C5" w14:textId="77777777" w:rsidR="00000000" w:rsidRDefault="00195E73">
            <w:pPr>
              <w:rPr>
                <w:rFonts w:eastAsia="Times New Roman"/>
                <w:sz w:val="20"/>
                <w:szCs w:val="20"/>
              </w:rPr>
            </w:pPr>
          </w:p>
        </w:tc>
        <w:tc>
          <w:tcPr>
            <w:tcW w:w="0" w:type="auto"/>
            <w:vAlign w:val="center"/>
            <w:hideMark/>
          </w:tcPr>
          <w:p w14:paraId="6550E86A" w14:textId="77777777" w:rsidR="00000000" w:rsidRDefault="00195E73">
            <w:pPr>
              <w:rPr>
                <w:rFonts w:eastAsia="Times New Roman"/>
                <w:sz w:val="20"/>
                <w:szCs w:val="20"/>
              </w:rPr>
            </w:pPr>
          </w:p>
        </w:tc>
        <w:tc>
          <w:tcPr>
            <w:tcW w:w="0" w:type="auto"/>
            <w:vAlign w:val="center"/>
            <w:hideMark/>
          </w:tcPr>
          <w:p w14:paraId="6BF12025" w14:textId="77777777" w:rsidR="00000000" w:rsidRDefault="00195E73">
            <w:pPr>
              <w:rPr>
                <w:rFonts w:eastAsia="Times New Roman"/>
                <w:sz w:val="20"/>
                <w:szCs w:val="20"/>
              </w:rPr>
            </w:pPr>
          </w:p>
        </w:tc>
        <w:tc>
          <w:tcPr>
            <w:tcW w:w="0" w:type="auto"/>
            <w:vAlign w:val="center"/>
            <w:hideMark/>
          </w:tcPr>
          <w:p w14:paraId="1C6B0C07" w14:textId="77777777" w:rsidR="00000000" w:rsidRDefault="00195E73">
            <w:pPr>
              <w:rPr>
                <w:rFonts w:eastAsia="Times New Roman"/>
                <w:sz w:val="20"/>
                <w:szCs w:val="20"/>
              </w:rPr>
            </w:pPr>
          </w:p>
        </w:tc>
        <w:tc>
          <w:tcPr>
            <w:tcW w:w="0" w:type="auto"/>
            <w:vAlign w:val="center"/>
            <w:hideMark/>
          </w:tcPr>
          <w:p w14:paraId="51B92143" w14:textId="77777777" w:rsidR="00000000" w:rsidRDefault="00195E73">
            <w:pPr>
              <w:rPr>
                <w:rFonts w:eastAsia="Times New Roman"/>
                <w:sz w:val="20"/>
                <w:szCs w:val="20"/>
              </w:rPr>
            </w:pPr>
          </w:p>
        </w:tc>
        <w:tc>
          <w:tcPr>
            <w:tcW w:w="0" w:type="auto"/>
            <w:vAlign w:val="center"/>
            <w:hideMark/>
          </w:tcPr>
          <w:p w14:paraId="463DF46F" w14:textId="77777777" w:rsidR="00000000" w:rsidRDefault="00195E73">
            <w:pPr>
              <w:rPr>
                <w:rFonts w:eastAsia="Times New Roman"/>
                <w:sz w:val="20"/>
                <w:szCs w:val="20"/>
              </w:rPr>
            </w:pPr>
          </w:p>
        </w:tc>
        <w:tc>
          <w:tcPr>
            <w:tcW w:w="0" w:type="auto"/>
            <w:vAlign w:val="center"/>
            <w:hideMark/>
          </w:tcPr>
          <w:p w14:paraId="51D73225" w14:textId="77777777" w:rsidR="00000000" w:rsidRDefault="00195E73">
            <w:pPr>
              <w:rPr>
                <w:rFonts w:eastAsia="Times New Roman"/>
                <w:sz w:val="20"/>
                <w:szCs w:val="20"/>
              </w:rPr>
            </w:pPr>
          </w:p>
        </w:tc>
        <w:tc>
          <w:tcPr>
            <w:tcW w:w="0" w:type="auto"/>
            <w:vAlign w:val="center"/>
            <w:hideMark/>
          </w:tcPr>
          <w:p w14:paraId="47AB9DE4" w14:textId="77777777" w:rsidR="00000000" w:rsidRDefault="00195E73">
            <w:pPr>
              <w:rPr>
                <w:rFonts w:eastAsia="Times New Roman"/>
                <w:sz w:val="20"/>
                <w:szCs w:val="20"/>
              </w:rPr>
            </w:pPr>
          </w:p>
        </w:tc>
        <w:tc>
          <w:tcPr>
            <w:tcW w:w="0" w:type="auto"/>
            <w:vAlign w:val="center"/>
            <w:hideMark/>
          </w:tcPr>
          <w:p w14:paraId="1DD5159D" w14:textId="77777777" w:rsidR="00000000" w:rsidRDefault="00195E73">
            <w:pPr>
              <w:rPr>
                <w:rFonts w:eastAsia="Times New Roman"/>
                <w:sz w:val="20"/>
                <w:szCs w:val="20"/>
              </w:rPr>
            </w:pPr>
          </w:p>
        </w:tc>
        <w:tc>
          <w:tcPr>
            <w:tcW w:w="0" w:type="auto"/>
            <w:vAlign w:val="center"/>
            <w:hideMark/>
          </w:tcPr>
          <w:p w14:paraId="12AADD16" w14:textId="77777777" w:rsidR="00000000" w:rsidRDefault="00195E73">
            <w:pPr>
              <w:rPr>
                <w:rFonts w:eastAsia="Times New Roman"/>
                <w:sz w:val="20"/>
                <w:szCs w:val="20"/>
              </w:rPr>
            </w:pPr>
          </w:p>
        </w:tc>
        <w:tc>
          <w:tcPr>
            <w:tcW w:w="0" w:type="auto"/>
            <w:vAlign w:val="center"/>
            <w:hideMark/>
          </w:tcPr>
          <w:p w14:paraId="3FF05F8C" w14:textId="77777777" w:rsidR="00000000" w:rsidRDefault="00195E73">
            <w:pPr>
              <w:rPr>
                <w:rFonts w:eastAsia="Times New Roman"/>
                <w:sz w:val="20"/>
                <w:szCs w:val="20"/>
              </w:rPr>
            </w:pPr>
          </w:p>
        </w:tc>
        <w:tc>
          <w:tcPr>
            <w:tcW w:w="0" w:type="auto"/>
            <w:vAlign w:val="center"/>
            <w:hideMark/>
          </w:tcPr>
          <w:p w14:paraId="038E4D70" w14:textId="77777777" w:rsidR="00000000" w:rsidRDefault="00195E73">
            <w:pPr>
              <w:rPr>
                <w:rFonts w:eastAsia="Times New Roman"/>
                <w:sz w:val="20"/>
                <w:szCs w:val="20"/>
              </w:rPr>
            </w:pPr>
          </w:p>
        </w:tc>
      </w:tr>
      <w:tr w:rsidR="00000000" w14:paraId="146BBA67" w14:textId="77777777">
        <w:trPr>
          <w:divId w:val="1189417217"/>
          <w:jc w:val="center"/>
        </w:trPr>
        <w:tc>
          <w:tcPr>
            <w:tcW w:w="0" w:type="auto"/>
            <w:gridSpan w:val="3"/>
            <w:shd w:val="clear" w:color="auto" w:fill="FFFFFF"/>
            <w:tcMar>
              <w:top w:w="30" w:type="dxa"/>
              <w:left w:w="20" w:type="dxa"/>
              <w:bottom w:w="30" w:type="dxa"/>
              <w:right w:w="20" w:type="dxa"/>
            </w:tcMar>
            <w:vAlign w:val="bottom"/>
            <w:hideMark/>
          </w:tcPr>
          <w:p w14:paraId="2134E466" w14:textId="77777777" w:rsidR="00000000" w:rsidRDefault="00195E73">
            <w:pPr>
              <w:rPr>
                <w:rFonts w:eastAsia="Times New Roman"/>
              </w:rPr>
            </w:pPr>
            <w:r>
              <w:rPr>
                <w:rFonts w:eastAsia="Times New Roman"/>
                <w:color w:val="000000"/>
                <w:sz w:val="20"/>
                <w:szCs w:val="20"/>
              </w:rPr>
              <w:t>Net cash (receipts) payments for income taxes, net of refund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52ADE52" w14:textId="77777777" w:rsidR="00000000" w:rsidRDefault="00195E73">
            <w:pPr>
              <w:jc w:val="right"/>
              <w:rPr>
                <w:rFonts w:eastAsia="Times New Roman"/>
              </w:rPr>
            </w:pPr>
            <w:r>
              <w:rPr>
                <w:rFonts w:eastAsia="Times New Roman"/>
                <w:color w:val="000000"/>
                <w:sz w:val="20"/>
                <w:szCs w:val="20"/>
              </w:rPr>
              <w:t>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89FAB4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07ACB8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DF3392" w14:textId="77777777" w:rsidR="00000000" w:rsidRDefault="00195E73">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ACA11A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13053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BB2735" w14:textId="77777777" w:rsidR="00000000" w:rsidRDefault="00195E73">
            <w:pPr>
              <w:jc w:val="right"/>
              <w:rPr>
                <w:rFonts w:eastAsia="Times New Roman"/>
              </w:rPr>
            </w:pPr>
            <w:r>
              <w:rPr>
                <w:rFonts w:eastAsia="Times New Roman"/>
                <w:color w:val="000000"/>
                <w:sz w:val="20"/>
                <w:szCs w:val="20"/>
              </w:rPr>
              <w:t>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7DBE02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9328E48" w14:textId="77777777" w:rsidR="00000000" w:rsidRDefault="00195E73">
            <w:pPr>
              <w:rPr>
                <w:rFonts w:eastAsia="Times New Roman"/>
                <w:sz w:val="20"/>
                <w:szCs w:val="20"/>
              </w:rPr>
            </w:pPr>
          </w:p>
        </w:tc>
        <w:tc>
          <w:tcPr>
            <w:tcW w:w="0" w:type="auto"/>
            <w:vAlign w:val="center"/>
            <w:hideMark/>
          </w:tcPr>
          <w:p w14:paraId="53894BC1" w14:textId="77777777" w:rsidR="00000000" w:rsidRDefault="00195E73">
            <w:pPr>
              <w:rPr>
                <w:rFonts w:eastAsia="Times New Roman"/>
                <w:sz w:val="20"/>
                <w:szCs w:val="20"/>
              </w:rPr>
            </w:pPr>
          </w:p>
        </w:tc>
        <w:tc>
          <w:tcPr>
            <w:tcW w:w="0" w:type="auto"/>
            <w:vAlign w:val="center"/>
            <w:hideMark/>
          </w:tcPr>
          <w:p w14:paraId="552BFEA8" w14:textId="77777777" w:rsidR="00000000" w:rsidRDefault="00195E73">
            <w:pPr>
              <w:rPr>
                <w:rFonts w:eastAsia="Times New Roman"/>
                <w:sz w:val="20"/>
                <w:szCs w:val="20"/>
              </w:rPr>
            </w:pPr>
          </w:p>
        </w:tc>
        <w:tc>
          <w:tcPr>
            <w:tcW w:w="0" w:type="auto"/>
            <w:vAlign w:val="center"/>
            <w:hideMark/>
          </w:tcPr>
          <w:p w14:paraId="13D5612E" w14:textId="77777777" w:rsidR="00000000" w:rsidRDefault="00195E73">
            <w:pPr>
              <w:rPr>
                <w:rFonts w:eastAsia="Times New Roman"/>
                <w:sz w:val="20"/>
                <w:szCs w:val="20"/>
              </w:rPr>
            </w:pPr>
          </w:p>
        </w:tc>
        <w:tc>
          <w:tcPr>
            <w:tcW w:w="0" w:type="auto"/>
            <w:vAlign w:val="center"/>
            <w:hideMark/>
          </w:tcPr>
          <w:p w14:paraId="7BFDD5A2" w14:textId="77777777" w:rsidR="00000000" w:rsidRDefault="00195E73">
            <w:pPr>
              <w:rPr>
                <w:rFonts w:eastAsia="Times New Roman"/>
                <w:sz w:val="20"/>
                <w:szCs w:val="20"/>
              </w:rPr>
            </w:pPr>
          </w:p>
        </w:tc>
        <w:tc>
          <w:tcPr>
            <w:tcW w:w="0" w:type="auto"/>
            <w:vAlign w:val="center"/>
            <w:hideMark/>
          </w:tcPr>
          <w:p w14:paraId="53F9A355" w14:textId="77777777" w:rsidR="00000000" w:rsidRDefault="00195E73">
            <w:pPr>
              <w:rPr>
                <w:rFonts w:eastAsia="Times New Roman"/>
                <w:sz w:val="20"/>
                <w:szCs w:val="20"/>
              </w:rPr>
            </w:pPr>
          </w:p>
        </w:tc>
        <w:tc>
          <w:tcPr>
            <w:tcW w:w="0" w:type="auto"/>
            <w:vAlign w:val="center"/>
            <w:hideMark/>
          </w:tcPr>
          <w:p w14:paraId="2AFBDAE8" w14:textId="77777777" w:rsidR="00000000" w:rsidRDefault="00195E73">
            <w:pPr>
              <w:rPr>
                <w:rFonts w:eastAsia="Times New Roman"/>
                <w:sz w:val="20"/>
                <w:szCs w:val="20"/>
              </w:rPr>
            </w:pPr>
          </w:p>
        </w:tc>
        <w:tc>
          <w:tcPr>
            <w:tcW w:w="0" w:type="auto"/>
            <w:vAlign w:val="center"/>
            <w:hideMark/>
          </w:tcPr>
          <w:p w14:paraId="1B09C6C2" w14:textId="77777777" w:rsidR="00000000" w:rsidRDefault="00195E73">
            <w:pPr>
              <w:rPr>
                <w:rFonts w:eastAsia="Times New Roman"/>
                <w:sz w:val="20"/>
                <w:szCs w:val="20"/>
              </w:rPr>
            </w:pPr>
          </w:p>
        </w:tc>
        <w:tc>
          <w:tcPr>
            <w:tcW w:w="0" w:type="auto"/>
            <w:vAlign w:val="center"/>
            <w:hideMark/>
          </w:tcPr>
          <w:p w14:paraId="611AB719" w14:textId="77777777" w:rsidR="00000000" w:rsidRDefault="00195E73">
            <w:pPr>
              <w:rPr>
                <w:rFonts w:eastAsia="Times New Roman"/>
                <w:sz w:val="20"/>
                <w:szCs w:val="20"/>
              </w:rPr>
            </w:pPr>
          </w:p>
        </w:tc>
        <w:tc>
          <w:tcPr>
            <w:tcW w:w="0" w:type="auto"/>
            <w:vAlign w:val="center"/>
            <w:hideMark/>
          </w:tcPr>
          <w:p w14:paraId="58EF23E1" w14:textId="77777777" w:rsidR="00000000" w:rsidRDefault="00195E73">
            <w:pPr>
              <w:rPr>
                <w:rFonts w:eastAsia="Times New Roman"/>
                <w:sz w:val="20"/>
                <w:szCs w:val="20"/>
              </w:rPr>
            </w:pPr>
          </w:p>
        </w:tc>
        <w:tc>
          <w:tcPr>
            <w:tcW w:w="0" w:type="auto"/>
            <w:vAlign w:val="center"/>
            <w:hideMark/>
          </w:tcPr>
          <w:p w14:paraId="69405ADC" w14:textId="77777777" w:rsidR="00000000" w:rsidRDefault="00195E73">
            <w:pPr>
              <w:rPr>
                <w:rFonts w:eastAsia="Times New Roman"/>
                <w:sz w:val="20"/>
                <w:szCs w:val="20"/>
              </w:rPr>
            </w:pPr>
          </w:p>
        </w:tc>
        <w:tc>
          <w:tcPr>
            <w:tcW w:w="0" w:type="auto"/>
            <w:vAlign w:val="center"/>
            <w:hideMark/>
          </w:tcPr>
          <w:p w14:paraId="64EA87E1" w14:textId="77777777" w:rsidR="00000000" w:rsidRDefault="00195E73">
            <w:pPr>
              <w:rPr>
                <w:rFonts w:eastAsia="Times New Roman"/>
                <w:sz w:val="20"/>
                <w:szCs w:val="20"/>
              </w:rPr>
            </w:pPr>
          </w:p>
        </w:tc>
      </w:tr>
      <w:tr w:rsidR="00000000" w14:paraId="02727B8D" w14:textId="77777777">
        <w:trPr>
          <w:divId w:val="1189417217"/>
          <w:jc w:val="center"/>
        </w:trPr>
        <w:tc>
          <w:tcPr>
            <w:tcW w:w="0" w:type="auto"/>
            <w:gridSpan w:val="3"/>
            <w:shd w:val="clear" w:color="auto" w:fill="CCEEFF"/>
            <w:tcMar>
              <w:top w:w="30" w:type="dxa"/>
              <w:left w:w="20" w:type="dxa"/>
              <w:bottom w:w="30" w:type="dxa"/>
              <w:right w:w="20" w:type="dxa"/>
            </w:tcMar>
            <w:vAlign w:val="bottom"/>
            <w:hideMark/>
          </w:tcPr>
          <w:p w14:paraId="03DAB7F8" w14:textId="77777777" w:rsidR="00000000" w:rsidRDefault="00195E73">
            <w:pPr>
              <w:ind w:hanging="180"/>
              <w:divId w:val="1848864497"/>
              <w:rPr>
                <w:rFonts w:eastAsia="Times New Roman"/>
              </w:rPr>
            </w:pPr>
            <w:r>
              <w:rPr>
                <w:rFonts w:eastAsia="Times New Roman"/>
                <w:color w:val="000000"/>
                <w:sz w:val="20"/>
                <w:szCs w:val="20"/>
              </w:rPr>
              <w:t>Equity investment consideration received from sale of busines</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8D0618F"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D3B9B3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BD848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925E99" w14:textId="77777777" w:rsidR="00000000" w:rsidRDefault="00195E73">
            <w:pPr>
              <w:jc w:val="right"/>
              <w:rPr>
                <w:rFonts w:eastAsia="Times New Roman"/>
              </w:rPr>
            </w:pPr>
            <w:r>
              <w:rPr>
                <w:rFonts w:eastAsia="Times New Roman"/>
                <w:color w:val="000000"/>
                <w:sz w:val="20"/>
                <w:szCs w:val="20"/>
              </w:rPr>
              <w:t>1,241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94403D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153933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445FFA"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022EB5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6AB2333" w14:textId="77777777" w:rsidR="00000000" w:rsidRDefault="00195E73">
            <w:pPr>
              <w:rPr>
                <w:rFonts w:eastAsia="Times New Roman"/>
                <w:sz w:val="20"/>
                <w:szCs w:val="20"/>
              </w:rPr>
            </w:pPr>
          </w:p>
        </w:tc>
        <w:tc>
          <w:tcPr>
            <w:tcW w:w="0" w:type="auto"/>
            <w:vAlign w:val="center"/>
            <w:hideMark/>
          </w:tcPr>
          <w:p w14:paraId="7E723703" w14:textId="77777777" w:rsidR="00000000" w:rsidRDefault="00195E73">
            <w:pPr>
              <w:rPr>
                <w:rFonts w:eastAsia="Times New Roman"/>
                <w:sz w:val="20"/>
                <w:szCs w:val="20"/>
              </w:rPr>
            </w:pPr>
          </w:p>
        </w:tc>
        <w:tc>
          <w:tcPr>
            <w:tcW w:w="0" w:type="auto"/>
            <w:vAlign w:val="center"/>
            <w:hideMark/>
          </w:tcPr>
          <w:p w14:paraId="7EB5745C" w14:textId="77777777" w:rsidR="00000000" w:rsidRDefault="00195E73">
            <w:pPr>
              <w:rPr>
                <w:rFonts w:eastAsia="Times New Roman"/>
                <w:sz w:val="20"/>
                <w:szCs w:val="20"/>
              </w:rPr>
            </w:pPr>
          </w:p>
        </w:tc>
        <w:tc>
          <w:tcPr>
            <w:tcW w:w="0" w:type="auto"/>
            <w:vAlign w:val="center"/>
            <w:hideMark/>
          </w:tcPr>
          <w:p w14:paraId="123DDA72" w14:textId="77777777" w:rsidR="00000000" w:rsidRDefault="00195E73">
            <w:pPr>
              <w:rPr>
                <w:rFonts w:eastAsia="Times New Roman"/>
                <w:sz w:val="20"/>
                <w:szCs w:val="20"/>
              </w:rPr>
            </w:pPr>
          </w:p>
        </w:tc>
        <w:tc>
          <w:tcPr>
            <w:tcW w:w="0" w:type="auto"/>
            <w:vAlign w:val="center"/>
            <w:hideMark/>
          </w:tcPr>
          <w:p w14:paraId="69F205FA" w14:textId="77777777" w:rsidR="00000000" w:rsidRDefault="00195E73">
            <w:pPr>
              <w:rPr>
                <w:rFonts w:eastAsia="Times New Roman"/>
                <w:sz w:val="20"/>
                <w:szCs w:val="20"/>
              </w:rPr>
            </w:pPr>
          </w:p>
        </w:tc>
        <w:tc>
          <w:tcPr>
            <w:tcW w:w="0" w:type="auto"/>
            <w:vAlign w:val="center"/>
            <w:hideMark/>
          </w:tcPr>
          <w:p w14:paraId="04DC3B5D" w14:textId="77777777" w:rsidR="00000000" w:rsidRDefault="00195E73">
            <w:pPr>
              <w:rPr>
                <w:rFonts w:eastAsia="Times New Roman"/>
                <w:sz w:val="20"/>
                <w:szCs w:val="20"/>
              </w:rPr>
            </w:pPr>
          </w:p>
        </w:tc>
        <w:tc>
          <w:tcPr>
            <w:tcW w:w="0" w:type="auto"/>
            <w:vAlign w:val="center"/>
            <w:hideMark/>
          </w:tcPr>
          <w:p w14:paraId="0FDE15B6" w14:textId="77777777" w:rsidR="00000000" w:rsidRDefault="00195E73">
            <w:pPr>
              <w:rPr>
                <w:rFonts w:eastAsia="Times New Roman"/>
                <w:sz w:val="20"/>
                <w:szCs w:val="20"/>
              </w:rPr>
            </w:pPr>
          </w:p>
        </w:tc>
        <w:tc>
          <w:tcPr>
            <w:tcW w:w="0" w:type="auto"/>
            <w:vAlign w:val="center"/>
            <w:hideMark/>
          </w:tcPr>
          <w:p w14:paraId="55F3A010" w14:textId="77777777" w:rsidR="00000000" w:rsidRDefault="00195E73">
            <w:pPr>
              <w:rPr>
                <w:rFonts w:eastAsia="Times New Roman"/>
                <w:sz w:val="20"/>
                <w:szCs w:val="20"/>
              </w:rPr>
            </w:pPr>
          </w:p>
        </w:tc>
        <w:tc>
          <w:tcPr>
            <w:tcW w:w="0" w:type="auto"/>
            <w:vAlign w:val="center"/>
            <w:hideMark/>
          </w:tcPr>
          <w:p w14:paraId="7E506172" w14:textId="77777777" w:rsidR="00000000" w:rsidRDefault="00195E73">
            <w:pPr>
              <w:rPr>
                <w:rFonts w:eastAsia="Times New Roman"/>
                <w:sz w:val="20"/>
                <w:szCs w:val="20"/>
              </w:rPr>
            </w:pPr>
          </w:p>
        </w:tc>
        <w:tc>
          <w:tcPr>
            <w:tcW w:w="0" w:type="auto"/>
            <w:vAlign w:val="center"/>
            <w:hideMark/>
          </w:tcPr>
          <w:p w14:paraId="6CB7583C" w14:textId="77777777" w:rsidR="00000000" w:rsidRDefault="00195E73">
            <w:pPr>
              <w:rPr>
                <w:rFonts w:eastAsia="Times New Roman"/>
                <w:sz w:val="20"/>
                <w:szCs w:val="20"/>
              </w:rPr>
            </w:pPr>
          </w:p>
        </w:tc>
        <w:tc>
          <w:tcPr>
            <w:tcW w:w="0" w:type="auto"/>
            <w:vAlign w:val="center"/>
            <w:hideMark/>
          </w:tcPr>
          <w:p w14:paraId="50C0DF85" w14:textId="77777777" w:rsidR="00000000" w:rsidRDefault="00195E73">
            <w:pPr>
              <w:rPr>
                <w:rFonts w:eastAsia="Times New Roman"/>
                <w:sz w:val="20"/>
                <w:szCs w:val="20"/>
              </w:rPr>
            </w:pPr>
          </w:p>
        </w:tc>
        <w:tc>
          <w:tcPr>
            <w:tcW w:w="0" w:type="auto"/>
            <w:vAlign w:val="center"/>
            <w:hideMark/>
          </w:tcPr>
          <w:p w14:paraId="124BD68C" w14:textId="77777777" w:rsidR="00000000" w:rsidRDefault="00195E73">
            <w:pPr>
              <w:rPr>
                <w:rFonts w:eastAsia="Times New Roman"/>
                <w:sz w:val="20"/>
                <w:szCs w:val="20"/>
              </w:rPr>
            </w:pPr>
          </w:p>
        </w:tc>
      </w:tr>
      <w:tr w:rsidR="00000000" w14:paraId="20F0264C" w14:textId="77777777">
        <w:trPr>
          <w:divId w:val="1189417217"/>
          <w:jc w:val="center"/>
        </w:trPr>
        <w:tc>
          <w:tcPr>
            <w:tcW w:w="0" w:type="auto"/>
            <w:gridSpan w:val="3"/>
            <w:shd w:val="clear" w:color="auto" w:fill="FFFFFF"/>
            <w:tcMar>
              <w:top w:w="30" w:type="dxa"/>
              <w:left w:w="20" w:type="dxa"/>
              <w:bottom w:w="30" w:type="dxa"/>
              <w:right w:w="20" w:type="dxa"/>
            </w:tcMar>
            <w:vAlign w:val="bottom"/>
            <w:hideMark/>
          </w:tcPr>
          <w:p w14:paraId="7CFA76A8" w14:textId="77777777" w:rsidR="00000000" w:rsidRDefault="00195E73">
            <w:pPr>
              <w:ind w:hanging="180"/>
              <w:divId w:val="721027169"/>
              <w:rPr>
                <w:rFonts w:eastAsia="Times New Roman"/>
              </w:rPr>
            </w:pPr>
            <w:r>
              <w:rPr>
                <w:rFonts w:eastAsia="Times New Roman"/>
                <w:color w:val="000000"/>
                <w:sz w:val="20"/>
                <w:szCs w:val="20"/>
              </w:rPr>
              <w:t>Acquisition of subsidiary common stock included in accrued expenses and other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FA71235"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7723985"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34157AFC"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371BDCF4"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F85A73"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CB2D780"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FFFFFF"/>
            <w:tcMar>
              <w:top w:w="15" w:type="dxa"/>
              <w:left w:w="20" w:type="dxa"/>
              <w:bottom w:w="15" w:type="dxa"/>
              <w:right w:w="0" w:type="dxa"/>
            </w:tcMar>
            <w:vAlign w:val="bottom"/>
            <w:hideMark/>
          </w:tcPr>
          <w:p w14:paraId="04022EA8" w14:textId="77777777" w:rsidR="00000000" w:rsidRDefault="00195E73">
            <w:pPr>
              <w:jc w:val="right"/>
              <w:rPr>
                <w:rFonts w:eastAsia="Times New Roman"/>
              </w:rPr>
            </w:pPr>
          </w:p>
        </w:tc>
        <w:tc>
          <w:tcPr>
            <w:tcW w:w="0" w:type="auto"/>
            <w:shd w:val="clear" w:color="auto" w:fill="FFFFFF"/>
            <w:tcMar>
              <w:top w:w="15" w:type="dxa"/>
              <w:left w:w="15" w:type="dxa"/>
              <w:bottom w:w="15" w:type="dxa"/>
              <w:right w:w="20" w:type="dxa"/>
            </w:tcMar>
            <w:vAlign w:val="bottom"/>
            <w:hideMark/>
          </w:tcPr>
          <w:p w14:paraId="62C49EBF" w14:textId="77777777" w:rsidR="00000000" w:rsidRDefault="00195E7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0AFCAD" w14:textId="77777777" w:rsidR="00000000" w:rsidRDefault="00195E73">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C8C32E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98A3271" w14:textId="77777777" w:rsidR="00000000" w:rsidRDefault="00195E73">
            <w:pPr>
              <w:rPr>
                <w:rFonts w:eastAsia="Times New Roman"/>
                <w:sz w:val="20"/>
                <w:szCs w:val="20"/>
              </w:rPr>
            </w:pPr>
          </w:p>
        </w:tc>
        <w:tc>
          <w:tcPr>
            <w:tcW w:w="0" w:type="auto"/>
            <w:vAlign w:val="center"/>
            <w:hideMark/>
          </w:tcPr>
          <w:p w14:paraId="75BE076B" w14:textId="77777777" w:rsidR="00000000" w:rsidRDefault="00195E73">
            <w:pPr>
              <w:rPr>
                <w:rFonts w:eastAsia="Times New Roman"/>
                <w:sz w:val="20"/>
                <w:szCs w:val="20"/>
              </w:rPr>
            </w:pPr>
          </w:p>
        </w:tc>
        <w:tc>
          <w:tcPr>
            <w:tcW w:w="0" w:type="auto"/>
            <w:vAlign w:val="center"/>
            <w:hideMark/>
          </w:tcPr>
          <w:p w14:paraId="162F8311" w14:textId="77777777" w:rsidR="00000000" w:rsidRDefault="00195E73">
            <w:pPr>
              <w:rPr>
                <w:rFonts w:eastAsia="Times New Roman"/>
                <w:sz w:val="20"/>
                <w:szCs w:val="20"/>
              </w:rPr>
            </w:pPr>
          </w:p>
        </w:tc>
        <w:tc>
          <w:tcPr>
            <w:tcW w:w="0" w:type="auto"/>
            <w:vAlign w:val="center"/>
            <w:hideMark/>
          </w:tcPr>
          <w:p w14:paraId="37C3EBEF" w14:textId="77777777" w:rsidR="00000000" w:rsidRDefault="00195E73">
            <w:pPr>
              <w:rPr>
                <w:rFonts w:eastAsia="Times New Roman"/>
                <w:sz w:val="20"/>
                <w:szCs w:val="20"/>
              </w:rPr>
            </w:pPr>
          </w:p>
        </w:tc>
        <w:tc>
          <w:tcPr>
            <w:tcW w:w="0" w:type="auto"/>
            <w:vAlign w:val="center"/>
            <w:hideMark/>
          </w:tcPr>
          <w:p w14:paraId="723EF19C" w14:textId="77777777" w:rsidR="00000000" w:rsidRDefault="00195E73">
            <w:pPr>
              <w:rPr>
                <w:rFonts w:eastAsia="Times New Roman"/>
                <w:sz w:val="20"/>
                <w:szCs w:val="20"/>
              </w:rPr>
            </w:pPr>
          </w:p>
        </w:tc>
        <w:tc>
          <w:tcPr>
            <w:tcW w:w="0" w:type="auto"/>
            <w:vAlign w:val="center"/>
            <w:hideMark/>
          </w:tcPr>
          <w:p w14:paraId="73C7D9F1" w14:textId="77777777" w:rsidR="00000000" w:rsidRDefault="00195E73">
            <w:pPr>
              <w:rPr>
                <w:rFonts w:eastAsia="Times New Roman"/>
                <w:sz w:val="20"/>
                <w:szCs w:val="20"/>
              </w:rPr>
            </w:pPr>
          </w:p>
        </w:tc>
        <w:tc>
          <w:tcPr>
            <w:tcW w:w="0" w:type="auto"/>
            <w:vAlign w:val="center"/>
            <w:hideMark/>
          </w:tcPr>
          <w:p w14:paraId="5500DE86" w14:textId="77777777" w:rsidR="00000000" w:rsidRDefault="00195E73">
            <w:pPr>
              <w:rPr>
                <w:rFonts w:eastAsia="Times New Roman"/>
                <w:sz w:val="20"/>
                <w:szCs w:val="20"/>
              </w:rPr>
            </w:pPr>
          </w:p>
        </w:tc>
        <w:tc>
          <w:tcPr>
            <w:tcW w:w="0" w:type="auto"/>
            <w:vAlign w:val="center"/>
            <w:hideMark/>
          </w:tcPr>
          <w:p w14:paraId="1D658AC8" w14:textId="77777777" w:rsidR="00000000" w:rsidRDefault="00195E73">
            <w:pPr>
              <w:rPr>
                <w:rFonts w:eastAsia="Times New Roman"/>
                <w:sz w:val="20"/>
                <w:szCs w:val="20"/>
              </w:rPr>
            </w:pPr>
          </w:p>
        </w:tc>
        <w:tc>
          <w:tcPr>
            <w:tcW w:w="0" w:type="auto"/>
            <w:vAlign w:val="center"/>
            <w:hideMark/>
          </w:tcPr>
          <w:p w14:paraId="5B89D4CD" w14:textId="77777777" w:rsidR="00000000" w:rsidRDefault="00195E73">
            <w:pPr>
              <w:rPr>
                <w:rFonts w:eastAsia="Times New Roman"/>
                <w:sz w:val="20"/>
                <w:szCs w:val="20"/>
              </w:rPr>
            </w:pPr>
          </w:p>
        </w:tc>
        <w:tc>
          <w:tcPr>
            <w:tcW w:w="0" w:type="auto"/>
            <w:vAlign w:val="center"/>
            <w:hideMark/>
          </w:tcPr>
          <w:p w14:paraId="51B59483" w14:textId="77777777" w:rsidR="00000000" w:rsidRDefault="00195E73">
            <w:pPr>
              <w:rPr>
                <w:rFonts w:eastAsia="Times New Roman"/>
                <w:sz w:val="20"/>
                <w:szCs w:val="20"/>
              </w:rPr>
            </w:pPr>
          </w:p>
        </w:tc>
        <w:tc>
          <w:tcPr>
            <w:tcW w:w="0" w:type="auto"/>
            <w:vAlign w:val="center"/>
            <w:hideMark/>
          </w:tcPr>
          <w:p w14:paraId="3E0F4FD7" w14:textId="77777777" w:rsidR="00000000" w:rsidRDefault="00195E73">
            <w:pPr>
              <w:rPr>
                <w:rFonts w:eastAsia="Times New Roman"/>
                <w:sz w:val="20"/>
                <w:szCs w:val="20"/>
              </w:rPr>
            </w:pPr>
          </w:p>
        </w:tc>
        <w:tc>
          <w:tcPr>
            <w:tcW w:w="0" w:type="auto"/>
            <w:vAlign w:val="center"/>
            <w:hideMark/>
          </w:tcPr>
          <w:p w14:paraId="6C76B44F" w14:textId="77777777" w:rsidR="00000000" w:rsidRDefault="00195E73">
            <w:pPr>
              <w:rPr>
                <w:rFonts w:eastAsia="Times New Roman"/>
                <w:sz w:val="20"/>
                <w:szCs w:val="20"/>
              </w:rPr>
            </w:pPr>
          </w:p>
        </w:tc>
      </w:tr>
      <w:tr w:rsidR="00000000" w14:paraId="0EBD210B" w14:textId="77777777">
        <w:trPr>
          <w:divId w:val="1189417217"/>
          <w:jc w:val="center"/>
        </w:trPr>
        <w:tc>
          <w:tcPr>
            <w:tcW w:w="0" w:type="auto"/>
            <w:gridSpan w:val="3"/>
            <w:shd w:val="clear" w:color="auto" w:fill="CCEEFF"/>
            <w:tcMar>
              <w:top w:w="30" w:type="dxa"/>
              <w:left w:w="20" w:type="dxa"/>
              <w:bottom w:w="30" w:type="dxa"/>
              <w:right w:w="20" w:type="dxa"/>
            </w:tcMar>
            <w:vAlign w:val="bottom"/>
            <w:hideMark/>
          </w:tcPr>
          <w:p w14:paraId="37FA0528" w14:textId="77777777" w:rsidR="00000000" w:rsidRDefault="00195E73">
            <w:pPr>
              <w:ind w:hanging="180"/>
              <w:divId w:val="502208438"/>
              <w:rPr>
                <w:rFonts w:eastAsia="Times New Roman"/>
              </w:rPr>
            </w:pPr>
            <w:r>
              <w:rPr>
                <w:rFonts w:eastAsia="Times New Roman"/>
                <w:color w:val="000000"/>
                <w:sz w:val="20"/>
                <w:szCs w:val="20"/>
              </w:rPr>
              <w:t>Seller financing secured mortgages resulting from disposition of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DA49751"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E4DB259"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05BFFBD1"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312C4197"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DD0E55"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07B8981" w14:textId="77777777" w:rsidR="00000000" w:rsidRDefault="00195E73">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14:paraId="1E56DD4D" w14:textId="77777777" w:rsidR="00000000" w:rsidRDefault="00195E73">
            <w:pPr>
              <w:jc w:val="right"/>
              <w:rPr>
                <w:rFonts w:eastAsia="Times New Roman"/>
              </w:rPr>
            </w:pPr>
          </w:p>
        </w:tc>
        <w:tc>
          <w:tcPr>
            <w:tcW w:w="0" w:type="auto"/>
            <w:shd w:val="clear" w:color="auto" w:fill="CCEEFF"/>
            <w:tcMar>
              <w:top w:w="15" w:type="dxa"/>
              <w:left w:w="15" w:type="dxa"/>
              <w:bottom w:w="15" w:type="dxa"/>
              <w:right w:w="20" w:type="dxa"/>
            </w:tcMar>
            <w:vAlign w:val="bottom"/>
            <w:hideMark/>
          </w:tcPr>
          <w:p w14:paraId="057498BC" w14:textId="77777777" w:rsidR="00000000" w:rsidRDefault="00195E7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142765" w14:textId="77777777" w:rsidR="00000000" w:rsidRDefault="00195E73">
            <w:pPr>
              <w:jc w:val="right"/>
              <w:rPr>
                <w:rFonts w:eastAsia="Times New Roman"/>
              </w:rPr>
            </w:pPr>
            <w:r>
              <w:rPr>
                <w:rFonts w:eastAsia="Times New Roman"/>
                <w:color w:val="000000"/>
                <w:sz w:val="20"/>
                <w:szCs w:val="20"/>
              </w:rPr>
              <w:t>375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1382DA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33BA393" w14:textId="77777777" w:rsidR="00000000" w:rsidRDefault="00195E73">
            <w:pPr>
              <w:rPr>
                <w:rFonts w:eastAsia="Times New Roman"/>
                <w:sz w:val="20"/>
                <w:szCs w:val="20"/>
              </w:rPr>
            </w:pPr>
          </w:p>
        </w:tc>
        <w:tc>
          <w:tcPr>
            <w:tcW w:w="0" w:type="auto"/>
            <w:vAlign w:val="center"/>
            <w:hideMark/>
          </w:tcPr>
          <w:p w14:paraId="51FF24AE" w14:textId="77777777" w:rsidR="00000000" w:rsidRDefault="00195E73">
            <w:pPr>
              <w:rPr>
                <w:rFonts w:eastAsia="Times New Roman"/>
                <w:sz w:val="20"/>
                <w:szCs w:val="20"/>
              </w:rPr>
            </w:pPr>
          </w:p>
        </w:tc>
        <w:tc>
          <w:tcPr>
            <w:tcW w:w="0" w:type="auto"/>
            <w:vAlign w:val="center"/>
            <w:hideMark/>
          </w:tcPr>
          <w:p w14:paraId="442EFECD" w14:textId="77777777" w:rsidR="00000000" w:rsidRDefault="00195E73">
            <w:pPr>
              <w:rPr>
                <w:rFonts w:eastAsia="Times New Roman"/>
                <w:sz w:val="20"/>
                <w:szCs w:val="20"/>
              </w:rPr>
            </w:pPr>
          </w:p>
        </w:tc>
        <w:tc>
          <w:tcPr>
            <w:tcW w:w="0" w:type="auto"/>
            <w:vAlign w:val="center"/>
            <w:hideMark/>
          </w:tcPr>
          <w:p w14:paraId="59F1E546" w14:textId="77777777" w:rsidR="00000000" w:rsidRDefault="00195E73">
            <w:pPr>
              <w:rPr>
                <w:rFonts w:eastAsia="Times New Roman"/>
                <w:sz w:val="20"/>
                <w:szCs w:val="20"/>
              </w:rPr>
            </w:pPr>
          </w:p>
        </w:tc>
        <w:tc>
          <w:tcPr>
            <w:tcW w:w="0" w:type="auto"/>
            <w:vAlign w:val="center"/>
            <w:hideMark/>
          </w:tcPr>
          <w:p w14:paraId="2FF5905D" w14:textId="77777777" w:rsidR="00000000" w:rsidRDefault="00195E73">
            <w:pPr>
              <w:rPr>
                <w:rFonts w:eastAsia="Times New Roman"/>
                <w:sz w:val="20"/>
                <w:szCs w:val="20"/>
              </w:rPr>
            </w:pPr>
          </w:p>
        </w:tc>
        <w:tc>
          <w:tcPr>
            <w:tcW w:w="0" w:type="auto"/>
            <w:vAlign w:val="center"/>
            <w:hideMark/>
          </w:tcPr>
          <w:p w14:paraId="7AB002C5" w14:textId="77777777" w:rsidR="00000000" w:rsidRDefault="00195E73">
            <w:pPr>
              <w:rPr>
                <w:rFonts w:eastAsia="Times New Roman"/>
                <w:sz w:val="20"/>
                <w:szCs w:val="20"/>
              </w:rPr>
            </w:pPr>
          </w:p>
        </w:tc>
        <w:tc>
          <w:tcPr>
            <w:tcW w:w="0" w:type="auto"/>
            <w:vAlign w:val="center"/>
            <w:hideMark/>
          </w:tcPr>
          <w:p w14:paraId="4D67283E" w14:textId="77777777" w:rsidR="00000000" w:rsidRDefault="00195E73">
            <w:pPr>
              <w:rPr>
                <w:rFonts w:eastAsia="Times New Roman"/>
                <w:sz w:val="20"/>
                <w:szCs w:val="20"/>
              </w:rPr>
            </w:pPr>
          </w:p>
        </w:tc>
        <w:tc>
          <w:tcPr>
            <w:tcW w:w="0" w:type="auto"/>
            <w:vAlign w:val="center"/>
            <w:hideMark/>
          </w:tcPr>
          <w:p w14:paraId="097FA2ED" w14:textId="77777777" w:rsidR="00000000" w:rsidRDefault="00195E73">
            <w:pPr>
              <w:rPr>
                <w:rFonts w:eastAsia="Times New Roman"/>
                <w:sz w:val="20"/>
                <w:szCs w:val="20"/>
              </w:rPr>
            </w:pPr>
          </w:p>
        </w:tc>
        <w:tc>
          <w:tcPr>
            <w:tcW w:w="0" w:type="auto"/>
            <w:vAlign w:val="center"/>
            <w:hideMark/>
          </w:tcPr>
          <w:p w14:paraId="009A0DC2" w14:textId="77777777" w:rsidR="00000000" w:rsidRDefault="00195E73">
            <w:pPr>
              <w:rPr>
                <w:rFonts w:eastAsia="Times New Roman"/>
                <w:sz w:val="20"/>
                <w:szCs w:val="20"/>
              </w:rPr>
            </w:pPr>
          </w:p>
        </w:tc>
        <w:tc>
          <w:tcPr>
            <w:tcW w:w="0" w:type="auto"/>
            <w:vAlign w:val="center"/>
            <w:hideMark/>
          </w:tcPr>
          <w:p w14:paraId="310E6CAC" w14:textId="77777777" w:rsidR="00000000" w:rsidRDefault="00195E73">
            <w:pPr>
              <w:rPr>
                <w:rFonts w:eastAsia="Times New Roman"/>
                <w:sz w:val="20"/>
                <w:szCs w:val="20"/>
              </w:rPr>
            </w:pPr>
          </w:p>
        </w:tc>
        <w:tc>
          <w:tcPr>
            <w:tcW w:w="0" w:type="auto"/>
            <w:vAlign w:val="center"/>
            <w:hideMark/>
          </w:tcPr>
          <w:p w14:paraId="116BC7DF" w14:textId="77777777" w:rsidR="00000000" w:rsidRDefault="00195E73">
            <w:pPr>
              <w:rPr>
                <w:rFonts w:eastAsia="Times New Roman"/>
                <w:sz w:val="20"/>
                <w:szCs w:val="20"/>
              </w:rPr>
            </w:pPr>
          </w:p>
        </w:tc>
        <w:tc>
          <w:tcPr>
            <w:tcW w:w="0" w:type="auto"/>
            <w:vAlign w:val="center"/>
            <w:hideMark/>
          </w:tcPr>
          <w:p w14:paraId="6EDF7CA1" w14:textId="77777777" w:rsidR="00000000" w:rsidRDefault="00195E73">
            <w:pPr>
              <w:rPr>
                <w:rFonts w:eastAsia="Times New Roman"/>
                <w:sz w:val="20"/>
                <w:szCs w:val="20"/>
              </w:rPr>
            </w:pPr>
          </w:p>
        </w:tc>
      </w:tr>
    </w:tbl>
    <w:p w14:paraId="08A95820" w14:textId="77777777" w:rsidR="00000000" w:rsidRDefault="00195E73">
      <w:pPr>
        <w:divId w:val="1848447821"/>
        <w:rPr>
          <w:rFonts w:eastAsia="Times New Roman"/>
        </w:rPr>
      </w:pPr>
    </w:p>
    <w:p w14:paraId="63A66EC8" w14:textId="77777777" w:rsidR="00000000" w:rsidRDefault="00195E73">
      <w:pPr>
        <w:ind w:firstLine="450"/>
        <w:divId w:val="101073825"/>
        <w:rPr>
          <w:rFonts w:eastAsia="Times New Roman"/>
        </w:rPr>
      </w:pPr>
      <w:r>
        <w:rPr>
          <w:rFonts w:eastAsia="Times New Roman"/>
          <w:color w:val="000000"/>
          <w:sz w:val="20"/>
          <w:szCs w:val="20"/>
        </w:rPr>
        <w:t xml:space="preserve">In addition to the above, Icahn Enterprises Holdings reduced its receivable from Icahn Enterprises in a non-cash distribution to limited partner in the amount of $32 million during 2019. This transaction is reported as a non-cash related party transaction </w:t>
      </w:r>
      <w:r>
        <w:rPr>
          <w:rFonts w:eastAsia="Times New Roman"/>
          <w:color w:val="000000"/>
          <w:sz w:val="20"/>
          <w:szCs w:val="20"/>
        </w:rPr>
        <w:t>with respect to Icahn Enterprises Holdings and is eliminated in consolidation with respect to Icahn Enterprises.</w:t>
      </w:r>
      <w:r>
        <w:rPr>
          <w:rFonts w:eastAsia="Times New Roman"/>
          <w:color w:val="000000"/>
          <w:sz w:val="20"/>
          <w:szCs w:val="20"/>
        </w:rPr>
        <w:t xml:space="preserve"> </w:t>
      </w:r>
    </w:p>
    <w:p w14:paraId="02F4E07A" w14:textId="77777777" w:rsidR="00000000" w:rsidRDefault="00195E73">
      <w:pPr>
        <w:divId w:val="519439868"/>
        <w:rPr>
          <w:rFonts w:eastAsia="Times New Roman"/>
        </w:rPr>
      </w:pPr>
    </w:p>
    <w:p w14:paraId="0754586E" w14:textId="77777777" w:rsidR="00000000" w:rsidRDefault="00195E73">
      <w:pPr>
        <w:divId w:val="423769607"/>
        <w:rPr>
          <w:rFonts w:eastAsia="Times New Roman"/>
        </w:rPr>
      </w:pPr>
    </w:p>
    <w:p w14:paraId="49D1189A" w14:textId="77777777" w:rsidR="00000000" w:rsidRDefault="00195E73">
      <w:pPr>
        <w:ind w:hanging="360"/>
        <w:divId w:val="1199973493"/>
        <w:rPr>
          <w:rFonts w:eastAsia="Times New Roman"/>
        </w:rPr>
      </w:pPr>
      <w:r>
        <w:rPr>
          <w:rFonts w:eastAsia="Times New Roman"/>
          <w:b/>
          <w:bCs/>
          <w:color w:val="000000"/>
          <w:sz w:val="20"/>
          <w:szCs w:val="20"/>
        </w:rPr>
        <w:t>21. Subsequent Events</w:t>
      </w:r>
      <w:r>
        <w:rPr>
          <w:rFonts w:eastAsia="Times New Roman"/>
          <w:b/>
          <w:bCs/>
          <w:color w:val="000000"/>
          <w:sz w:val="20"/>
          <w:szCs w:val="20"/>
        </w:rPr>
        <w:t>.</w:t>
      </w:r>
    </w:p>
    <w:p w14:paraId="75A9B5F5" w14:textId="77777777" w:rsidR="00000000" w:rsidRDefault="00195E73">
      <w:pPr>
        <w:divId w:val="831531380"/>
        <w:rPr>
          <w:rFonts w:eastAsia="Times New Roman"/>
        </w:rPr>
      </w:pPr>
      <w:r>
        <w:rPr>
          <w:rFonts w:eastAsia="Times New Roman"/>
          <w:b/>
          <w:bCs/>
          <w:i/>
          <w:iCs/>
          <w:color w:val="000000"/>
          <w:sz w:val="20"/>
          <w:szCs w:val="20"/>
        </w:rPr>
        <w:t>Icahn Enterprises</w:t>
      </w:r>
      <w:r>
        <w:rPr>
          <w:rFonts w:eastAsia="Times New Roman"/>
          <w:b/>
          <w:bCs/>
          <w:i/>
          <w:iCs/>
          <w:color w:val="000000"/>
          <w:sz w:val="20"/>
          <w:szCs w:val="20"/>
        </w:rPr>
        <w:t xml:space="preserve"> </w:t>
      </w:r>
    </w:p>
    <w:p w14:paraId="0AB669C0" w14:textId="77777777" w:rsidR="00000000" w:rsidRDefault="00195E73">
      <w:pPr>
        <w:divId w:val="1493597201"/>
        <w:rPr>
          <w:rFonts w:eastAsia="Times New Roman"/>
        </w:rPr>
      </w:pPr>
      <w:r>
        <w:rPr>
          <w:rFonts w:eastAsia="Times New Roman"/>
          <w:i/>
          <w:iCs/>
          <w:color w:val="000000"/>
          <w:sz w:val="20"/>
          <w:szCs w:val="20"/>
        </w:rPr>
        <w:t>Distributio</w:t>
      </w:r>
      <w:r>
        <w:rPr>
          <w:rFonts w:eastAsia="Times New Roman"/>
          <w:i/>
          <w:iCs/>
          <w:color w:val="000000"/>
          <w:sz w:val="20"/>
          <w:szCs w:val="20"/>
        </w:rPr>
        <w:t>n</w:t>
      </w:r>
    </w:p>
    <w:p w14:paraId="1303940A" w14:textId="77777777" w:rsidR="00000000" w:rsidRDefault="00195E73">
      <w:pPr>
        <w:ind w:firstLine="450"/>
        <w:divId w:val="905460440"/>
        <w:rPr>
          <w:rFonts w:eastAsia="Times New Roman"/>
        </w:rPr>
      </w:pPr>
      <w:r>
        <w:rPr>
          <w:rFonts w:eastAsia="Times New Roman"/>
          <w:color w:val="000000"/>
          <w:sz w:val="20"/>
          <w:szCs w:val="20"/>
        </w:rPr>
        <w:t>On February 26, 2020, the Board of Directors of the general partner of Icahn Enterp</w:t>
      </w:r>
      <w:r>
        <w:rPr>
          <w:rFonts w:eastAsia="Times New Roman"/>
          <w:color w:val="000000"/>
          <w:sz w:val="20"/>
          <w:szCs w:val="20"/>
        </w:rPr>
        <w:t>rises declared a quarterly distribution in the amount of $2.00 per depositary unit, which will be paid on or about April 28, 2020 to depositary unitholders of record at the close of business on March 20, 2020. Depositary unitholders will have until March 1</w:t>
      </w:r>
      <w:r>
        <w:rPr>
          <w:rFonts w:eastAsia="Times New Roman"/>
          <w:color w:val="000000"/>
          <w:sz w:val="20"/>
          <w:szCs w:val="20"/>
        </w:rPr>
        <w:t>7, 2020 to make an election to receive either cash or additional depositary units; if a holder does not make an election, it will automatically be deemed to have elected to receive the distribution in cash. Depositary unitholders who elect to receive addit</w:t>
      </w:r>
      <w:r>
        <w:rPr>
          <w:rFonts w:eastAsia="Times New Roman"/>
          <w:color w:val="000000"/>
          <w:sz w:val="20"/>
          <w:szCs w:val="20"/>
        </w:rPr>
        <w:t>ional depositary units will receive units valued at the volume weighted average trading price of the units on NASDAQ during the 5 consecutive trading days ending April 24, 2020. No fractional depositary units will be issued pursuant to the distribution pay</w:t>
      </w:r>
      <w:r>
        <w:rPr>
          <w:rFonts w:eastAsia="Times New Roman"/>
          <w:color w:val="000000"/>
          <w:sz w:val="20"/>
          <w:szCs w:val="20"/>
        </w:rPr>
        <w:t>ment. Icahn Enterprises will make a cash payment in lieu of issuing fractional depositary units to any holders electing to receive depositary units. Any holders that would only be eligible to receive a fraction of a depositary unit based on the above calcu</w:t>
      </w:r>
      <w:r>
        <w:rPr>
          <w:rFonts w:eastAsia="Times New Roman"/>
          <w:color w:val="000000"/>
          <w:sz w:val="20"/>
          <w:szCs w:val="20"/>
        </w:rPr>
        <w:t>lation will receive a cash payment</w:t>
      </w:r>
      <w:r>
        <w:rPr>
          <w:rFonts w:eastAsia="Times New Roman"/>
          <w:color w:val="000000"/>
          <w:sz w:val="20"/>
          <w:szCs w:val="20"/>
        </w:rPr>
        <w:t>.</w:t>
      </w:r>
    </w:p>
    <w:p w14:paraId="0B52FA56" w14:textId="77777777" w:rsidR="00000000" w:rsidRDefault="00195E73">
      <w:pPr>
        <w:divId w:val="2079088112"/>
        <w:rPr>
          <w:rFonts w:eastAsia="Times New Roman"/>
        </w:rPr>
      </w:pPr>
      <w:r>
        <w:rPr>
          <w:rFonts w:eastAsia="Times New Roman"/>
          <w:b/>
          <w:bCs/>
          <w:i/>
          <w:iCs/>
          <w:color w:val="000000"/>
          <w:sz w:val="20"/>
          <w:szCs w:val="20"/>
        </w:rPr>
        <w:t>Debt Transaction</w:t>
      </w:r>
      <w:r>
        <w:rPr>
          <w:rFonts w:eastAsia="Times New Roman"/>
          <w:b/>
          <w:bCs/>
          <w:i/>
          <w:iCs/>
          <w:color w:val="000000"/>
          <w:sz w:val="20"/>
          <w:szCs w:val="20"/>
        </w:rPr>
        <w:t>s</w:t>
      </w:r>
    </w:p>
    <w:p w14:paraId="095A5949" w14:textId="77777777" w:rsidR="00000000" w:rsidRDefault="00195E73">
      <w:pPr>
        <w:ind w:firstLine="450"/>
        <w:divId w:val="1659917381"/>
        <w:rPr>
          <w:rFonts w:eastAsia="Times New Roman"/>
        </w:rPr>
      </w:pPr>
      <w:r>
        <w:rPr>
          <w:rFonts w:eastAsia="Times New Roman"/>
          <w:color w:val="000000"/>
          <w:sz w:val="20"/>
          <w:szCs w:val="20"/>
        </w:rPr>
        <w:t>Refer to Note 11, “Debt,” for subsequent events relating to our Holding Company debt and Energy segment debt transactions occurring in January 2020.</w:t>
      </w:r>
      <w:r>
        <w:rPr>
          <w:rFonts w:eastAsia="Times New Roman"/>
          <w:color w:val="000000"/>
          <w:sz w:val="20"/>
          <w:szCs w:val="20"/>
        </w:rPr>
        <w:t xml:space="preserve"> </w:t>
      </w:r>
    </w:p>
    <w:p w14:paraId="6A200728" w14:textId="77777777" w:rsidR="00000000" w:rsidRDefault="00195E73">
      <w:pPr>
        <w:divId w:val="236406345"/>
        <w:rPr>
          <w:rFonts w:eastAsia="Times New Roman"/>
        </w:rPr>
      </w:pPr>
    </w:p>
    <w:p w14:paraId="69BF67DD" w14:textId="77777777" w:rsidR="00000000" w:rsidRDefault="00195E73">
      <w:pPr>
        <w:divId w:val="2110613522"/>
        <w:rPr>
          <w:rFonts w:eastAsia="Times New Roman"/>
        </w:rPr>
      </w:pPr>
    </w:p>
    <w:p w14:paraId="6F007D6C" w14:textId="77777777" w:rsidR="00000000" w:rsidRDefault="00195E73">
      <w:pPr>
        <w:ind w:hanging="360"/>
        <w:divId w:val="780955926"/>
        <w:rPr>
          <w:rFonts w:eastAsia="Times New Roman"/>
        </w:rPr>
      </w:pPr>
    </w:p>
    <w:p w14:paraId="00D886E8" w14:textId="77777777" w:rsidR="00000000" w:rsidRDefault="00195E73">
      <w:pPr>
        <w:jc w:val="center"/>
        <w:divId w:val="157313163"/>
        <w:rPr>
          <w:rFonts w:eastAsia="Times New Roman"/>
        </w:rPr>
      </w:pPr>
      <w:r>
        <w:rPr>
          <w:rFonts w:eastAsia="Times New Roman"/>
          <w:color w:val="000000"/>
          <w:sz w:val="20"/>
          <w:szCs w:val="20"/>
        </w:rPr>
        <w:t>11</w:t>
      </w:r>
      <w:r>
        <w:rPr>
          <w:rFonts w:eastAsia="Times New Roman"/>
          <w:color w:val="000000"/>
          <w:sz w:val="20"/>
          <w:szCs w:val="20"/>
        </w:rPr>
        <w:t>2</w:t>
      </w:r>
    </w:p>
    <w:p w14:paraId="0DBC30B3" w14:textId="77777777" w:rsidR="00000000" w:rsidRDefault="00195E73">
      <w:pPr>
        <w:rPr>
          <w:rFonts w:eastAsia="Times New Roman"/>
        </w:rPr>
      </w:pPr>
      <w:r>
        <w:rPr>
          <w:rFonts w:eastAsia="Times New Roman"/>
        </w:rPr>
        <w:pict w14:anchorId="383E0F41">
          <v:rect id="_x0000_i1138" style="width:0;height:1.5pt" o:hralign="center" o:hrstd="t" o:hr="t" fillcolor="#a0a0a0" stroked="f"/>
        </w:pict>
      </w:r>
    </w:p>
    <w:p w14:paraId="07A50246" w14:textId="77777777" w:rsidR="00000000" w:rsidRDefault="00195E73">
      <w:pPr>
        <w:jc w:val="center"/>
        <w:divId w:val="148374441"/>
        <w:rPr>
          <w:rFonts w:eastAsia="Times New Roman"/>
        </w:rPr>
      </w:pPr>
    </w:p>
    <w:p w14:paraId="6054DBBB" w14:textId="77777777" w:rsidR="00000000" w:rsidRDefault="00195E73">
      <w:pPr>
        <w:jc w:val="center"/>
        <w:divId w:val="148374441"/>
        <w:rPr>
          <w:rFonts w:eastAsia="Times New Roman"/>
        </w:rPr>
      </w:pPr>
      <w:r>
        <w:rPr>
          <w:rFonts w:eastAsia="Times New Roman"/>
          <w:b/>
          <w:bCs/>
          <w:color w:val="000000"/>
          <w:sz w:val="20"/>
          <w:szCs w:val="20"/>
        </w:rPr>
        <w:t>ICAH</w:t>
      </w:r>
      <w:r>
        <w:rPr>
          <w:rFonts w:eastAsia="Times New Roman"/>
          <w:b/>
          <w:bCs/>
          <w:color w:val="000000"/>
          <w:sz w:val="20"/>
          <w:szCs w:val="20"/>
        </w:rPr>
        <w:t>N ENTERPRISES L.P. AND SUBSIDIARIE</w:t>
      </w:r>
      <w:r>
        <w:rPr>
          <w:rFonts w:eastAsia="Times New Roman"/>
          <w:b/>
          <w:bCs/>
          <w:color w:val="000000"/>
          <w:sz w:val="20"/>
          <w:szCs w:val="20"/>
        </w:rPr>
        <w:t>S</w:t>
      </w:r>
    </w:p>
    <w:p w14:paraId="327E8225" w14:textId="77777777" w:rsidR="00000000" w:rsidRDefault="00195E73">
      <w:pPr>
        <w:jc w:val="center"/>
        <w:divId w:val="148374441"/>
        <w:rPr>
          <w:rFonts w:eastAsia="Times New Roman"/>
        </w:rPr>
      </w:pPr>
      <w:r>
        <w:rPr>
          <w:rFonts w:eastAsia="Times New Roman"/>
          <w:b/>
          <w:bCs/>
          <w:color w:val="000000"/>
          <w:sz w:val="20"/>
          <w:szCs w:val="20"/>
        </w:rPr>
        <w:t>ICAHN ENTERPRISES HOLDINGS L.P. AND SUBSIDIARIE</w:t>
      </w:r>
      <w:r>
        <w:rPr>
          <w:rFonts w:eastAsia="Times New Roman"/>
          <w:b/>
          <w:bCs/>
          <w:color w:val="000000"/>
          <w:sz w:val="20"/>
          <w:szCs w:val="20"/>
        </w:rPr>
        <w:t>S</w:t>
      </w:r>
    </w:p>
    <w:p w14:paraId="3A538222" w14:textId="77777777" w:rsidR="00000000" w:rsidRDefault="00195E73">
      <w:pPr>
        <w:jc w:val="center"/>
        <w:divId w:val="148374441"/>
        <w:rPr>
          <w:rFonts w:eastAsia="Times New Roman"/>
        </w:rPr>
      </w:pPr>
    </w:p>
    <w:p w14:paraId="30B43123" w14:textId="77777777" w:rsidR="00000000" w:rsidRDefault="00195E73">
      <w:pPr>
        <w:jc w:val="center"/>
        <w:divId w:val="148374441"/>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0BCDDCF1" w14:textId="77777777" w:rsidR="00000000" w:rsidRDefault="00195E73">
      <w:pPr>
        <w:ind w:hanging="360"/>
        <w:divId w:val="9528430"/>
        <w:rPr>
          <w:rFonts w:eastAsia="Times New Roman"/>
        </w:rPr>
      </w:pPr>
      <w:r>
        <w:rPr>
          <w:rFonts w:eastAsia="Times New Roman"/>
          <w:b/>
          <w:bCs/>
          <w:color w:val="000000"/>
          <w:sz w:val="20"/>
          <w:szCs w:val="20"/>
        </w:rPr>
        <w:t>22. Quarterly Financial Data (Unaudited)</w:t>
      </w:r>
      <w:r>
        <w:rPr>
          <w:rFonts w:eastAsia="Times New Roman"/>
          <w:b/>
          <w:bCs/>
          <w:color w:val="000000"/>
          <w:sz w:val="20"/>
          <w:szCs w:val="20"/>
        </w:rPr>
        <w:t>.</w:t>
      </w:r>
    </w:p>
    <w:p w14:paraId="73A1B921" w14:textId="77777777" w:rsidR="00000000" w:rsidRDefault="00195E73">
      <w:pPr>
        <w:ind w:firstLine="405"/>
        <w:divId w:val="1856113128"/>
        <w:rPr>
          <w:rFonts w:eastAsia="Times New Roman"/>
        </w:rPr>
      </w:pPr>
      <w:r>
        <w:rPr>
          <w:rFonts w:eastAsia="Times New Roman"/>
          <w:color w:val="000000"/>
          <w:sz w:val="20"/>
          <w:szCs w:val="20"/>
        </w:rPr>
        <w:t>Unaudited quarterly financial data for Icahn Enterprises is presented below</w:t>
      </w:r>
      <w:r>
        <w:rPr>
          <w:rFonts w:eastAsia="Times New Roman"/>
          <w:color w:val="000000"/>
          <w:sz w:val="20"/>
          <w:szCs w:val="20"/>
        </w:rPr>
        <w:t>:</w:t>
      </w:r>
    </w:p>
    <w:tbl>
      <w:tblPr>
        <w:tblW w:w="4970" w:type="pct"/>
        <w:jc w:val="center"/>
        <w:tblCellMar>
          <w:top w:w="15" w:type="dxa"/>
          <w:left w:w="15" w:type="dxa"/>
          <w:bottom w:w="15" w:type="dxa"/>
          <w:right w:w="15" w:type="dxa"/>
        </w:tblCellMar>
        <w:tblLook w:val="04A0" w:firstRow="1" w:lastRow="0" w:firstColumn="1" w:lastColumn="0" w:noHBand="0" w:noVBand="1"/>
      </w:tblPr>
      <w:tblGrid>
        <w:gridCol w:w="49"/>
        <w:gridCol w:w="1071"/>
        <w:gridCol w:w="49"/>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36"/>
        <w:gridCol w:w="36"/>
        <w:gridCol w:w="36"/>
        <w:gridCol w:w="36"/>
        <w:gridCol w:w="36"/>
        <w:gridCol w:w="36"/>
        <w:gridCol w:w="182"/>
        <w:gridCol w:w="182"/>
        <w:gridCol w:w="181"/>
        <w:gridCol w:w="181"/>
        <w:gridCol w:w="181"/>
        <w:gridCol w:w="36"/>
      </w:tblGrid>
      <w:tr w:rsidR="00000000" w14:paraId="781E1D14" w14:textId="77777777">
        <w:trPr>
          <w:gridAfter w:val="15"/>
          <w:divId w:val="1455518801"/>
          <w:jc w:val="center"/>
        </w:trPr>
        <w:tc>
          <w:tcPr>
            <w:tcW w:w="50" w:type="pct"/>
            <w:vAlign w:val="center"/>
            <w:hideMark/>
          </w:tcPr>
          <w:p w14:paraId="1E480DF1" w14:textId="77777777" w:rsidR="00000000" w:rsidRDefault="00195E73">
            <w:pPr>
              <w:ind w:firstLine="405"/>
              <w:rPr>
                <w:rFonts w:eastAsia="Times New Roman"/>
              </w:rPr>
            </w:pPr>
          </w:p>
        </w:tc>
        <w:tc>
          <w:tcPr>
            <w:tcW w:w="1113" w:type="pct"/>
            <w:vAlign w:val="center"/>
            <w:hideMark/>
          </w:tcPr>
          <w:p w14:paraId="4D4BA034" w14:textId="77777777" w:rsidR="00000000" w:rsidRDefault="00195E73">
            <w:pPr>
              <w:rPr>
                <w:rFonts w:eastAsia="Times New Roman"/>
                <w:sz w:val="20"/>
                <w:szCs w:val="20"/>
              </w:rPr>
            </w:pPr>
          </w:p>
        </w:tc>
        <w:tc>
          <w:tcPr>
            <w:tcW w:w="50" w:type="pct"/>
            <w:vAlign w:val="center"/>
            <w:hideMark/>
          </w:tcPr>
          <w:p w14:paraId="694DD9EF" w14:textId="77777777" w:rsidR="00000000" w:rsidRDefault="00195E73">
            <w:pPr>
              <w:rPr>
                <w:rFonts w:eastAsia="Times New Roman"/>
                <w:sz w:val="20"/>
                <w:szCs w:val="20"/>
              </w:rPr>
            </w:pPr>
          </w:p>
        </w:tc>
        <w:tc>
          <w:tcPr>
            <w:tcW w:w="50" w:type="pct"/>
            <w:vAlign w:val="center"/>
            <w:hideMark/>
          </w:tcPr>
          <w:p w14:paraId="6AAE8701" w14:textId="77777777" w:rsidR="00000000" w:rsidRDefault="00195E73">
            <w:pPr>
              <w:rPr>
                <w:rFonts w:eastAsia="Times New Roman"/>
                <w:sz w:val="20"/>
                <w:szCs w:val="20"/>
              </w:rPr>
            </w:pPr>
          </w:p>
        </w:tc>
        <w:tc>
          <w:tcPr>
            <w:tcW w:w="341" w:type="pct"/>
            <w:vAlign w:val="center"/>
            <w:hideMark/>
          </w:tcPr>
          <w:p w14:paraId="447E21C1" w14:textId="77777777" w:rsidR="00000000" w:rsidRDefault="00195E73">
            <w:pPr>
              <w:rPr>
                <w:rFonts w:eastAsia="Times New Roman"/>
                <w:sz w:val="20"/>
                <w:szCs w:val="20"/>
              </w:rPr>
            </w:pPr>
          </w:p>
        </w:tc>
        <w:tc>
          <w:tcPr>
            <w:tcW w:w="50" w:type="pct"/>
            <w:vAlign w:val="center"/>
            <w:hideMark/>
          </w:tcPr>
          <w:p w14:paraId="35E1D4A3" w14:textId="77777777" w:rsidR="00000000" w:rsidRDefault="00195E73">
            <w:pPr>
              <w:rPr>
                <w:rFonts w:eastAsia="Times New Roman"/>
                <w:sz w:val="20"/>
                <w:szCs w:val="20"/>
              </w:rPr>
            </w:pPr>
          </w:p>
        </w:tc>
        <w:tc>
          <w:tcPr>
            <w:tcW w:w="5" w:type="pct"/>
            <w:vAlign w:val="center"/>
            <w:hideMark/>
          </w:tcPr>
          <w:p w14:paraId="33A73DCB" w14:textId="77777777" w:rsidR="00000000" w:rsidRDefault="00195E73">
            <w:pPr>
              <w:rPr>
                <w:rFonts w:eastAsia="Times New Roman"/>
                <w:sz w:val="20"/>
                <w:szCs w:val="20"/>
              </w:rPr>
            </w:pPr>
          </w:p>
        </w:tc>
        <w:tc>
          <w:tcPr>
            <w:tcW w:w="26" w:type="pct"/>
            <w:vAlign w:val="center"/>
            <w:hideMark/>
          </w:tcPr>
          <w:p w14:paraId="31FA60A6" w14:textId="77777777" w:rsidR="00000000" w:rsidRDefault="00195E73">
            <w:pPr>
              <w:rPr>
                <w:rFonts w:eastAsia="Times New Roman"/>
                <w:sz w:val="20"/>
                <w:szCs w:val="20"/>
              </w:rPr>
            </w:pPr>
          </w:p>
        </w:tc>
        <w:tc>
          <w:tcPr>
            <w:tcW w:w="5" w:type="pct"/>
            <w:vAlign w:val="center"/>
            <w:hideMark/>
          </w:tcPr>
          <w:p w14:paraId="6D5A9A37" w14:textId="77777777" w:rsidR="00000000" w:rsidRDefault="00195E73">
            <w:pPr>
              <w:rPr>
                <w:rFonts w:eastAsia="Times New Roman"/>
                <w:sz w:val="20"/>
                <w:szCs w:val="20"/>
              </w:rPr>
            </w:pPr>
          </w:p>
        </w:tc>
        <w:tc>
          <w:tcPr>
            <w:tcW w:w="50" w:type="pct"/>
            <w:vAlign w:val="center"/>
            <w:hideMark/>
          </w:tcPr>
          <w:p w14:paraId="47DB2EFC" w14:textId="77777777" w:rsidR="00000000" w:rsidRDefault="00195E73">
            <w:pPr>
              <w:rPr>
                <w:rFonts w:eastAsia="Times New Roman"/>
                <w:sz w:val="20"/>
                <w:szCs w:val="20"/>
              </w:rPr>
            </w:pPr>
          </w:p>
        </w:tc>
        <w:tc>
          <w:tcPr>
            <w:tcW w:w="341" w:type="pct"/>
            <w:vAlign w:val="center"/>
            <w:hideMark/>
          </w:tcPr>
          <w:p w14:paraId="3EA64EE4" w14:textId="77777777" w:rsidR="00000000" w:rsidRDefault="00195E73">
            <w:pPr>
              <w:rPr>
                <w:rFonts w:eastAsia="Times New Roman"/>
                <w:sz w:val="20"/>
                <w:szCs w:val="20"/>
              </w:rPr>
            </w:pPr>
          </w:p>
        </w:tc>
        <w:tc>
          <w:tcPr>
            <w:tcW w:w="50" w:type="pct"/>
            <w:vAlign w:val="center"/>
            <w:hideMark/>
          </w:tcPr>
          <w:p w14:paraId="0D2D5666" w14:textId="77777777" w:rsidR="00000000" w:rsidRDefault="00195E73">
            <w:pPr>
              <w:rPr>
                <w:rFonts w:eastAsia="Times New Roman"/>
                <w:sz w:val="20"/>
                <w:szCs w:val="20"/>
              </w:rPr>
            </w:pPr>
          </w:p>
        </w:tc>
        <w:tc>
          <w:tcPr>
            <w:tcW w:w="5" w:type="pct"/>
            <w:vAlign w:val="center"/>
            <w:hideMark/>
          </w:tcPr>
          <w:p w14:paraId="1F584B2B" w14:textId="77777777" w:rsidR="00000000" w:rsidRDefault="00195E73">
            <w:pPr>
              <w:rPr>
                <w:rFonts w:eastAsia="Times New Roman"/>
                <w:sz w:val="20"/>
                <w:szCs w:val="20"/>
              </w:rPr>
            </w:pPr>
          </w:p>
        </w:tc>
        <w:tc>
          <w:tcPr>
            <w:tcW w:w="26" w:type="pct"/>
            <w:vAlign w:val="center"/>
            <w:hideMark/>
          </w:tcPr>
          <w:p w14:paraId="1948685F" w14:textId="77777777" w:rsidR="00000000" w:rsidRDefault="00195E73">
            <w:pPr>
              <w:rPr>
                <w:rFonts w:eastAsia="Times New Roman"/>
                <w:sz w:val="20"/>
                <w:szCs w:val="20"/>
              </w:rPr>
            </w:pPr>
          </w:p>
        </w:tc>
        <w:tc>
          <w:tcPr>
            <w:tcW w:w="5" w:type="pct"/>
            <w:vAlign w:val="center"/>
            <w:hideMark/>
          </w:tcPr>
          <w:p w14:paraId="09D8BD63" w14:textId="77777777" w:rsidR="00000000" w:rsidRDefault="00195E73">
            <w:pPr>
              <w:rPr>
                <w:rFonts w:eastAsia="Times New Roman"/>
                <w:sz w:val="20"/>
                <w:szCs w:val="20"/>
              </w:rPr>
            </w:pPr>
          </w:p>
        </w:tc>
        <w:tc>
          <w:tcPr>
            <w:tcW w:w="50" w:type="pct"/>
            <w:vAlign w:val="center"/>
            <w:hideMark/>
          </w:tcPr>
          <w:p w14:paraId="5AE62D45" w14:textId="77777777" w:rsidR="00000000" w:rsidRDefault="00195E73">
            <w:pPr>
              <w:rPr>
                <w:rFonts w:eastAsia="Times New Roman"/>
                <w:sz w:val="20"/>
                <w:szCs w:val="20"/>
              </w:rPr>
            </w:pPr>
          </w:p>
        </w:tc>
        <w:tc>
          <w:tcPr>
            <w:tcW w:w="341" w:type="pct"/>
            <w:vAlign w:val="center"/>
            <w:hideMark/>
          </w:tcPr>
          <w:p w14:paraId="4B6393A5" w14:textId="77777777" w:rsidR="00000000" w:rsidRDefault="00195E73">
            <w:pPr>
              <w:rPr>
                <w:rFonts w:eastAsia="Times New Roman"/>
                <w:sz w:val="20"/>
                <w:szCs w:val="20"/>
              </w:rPr>
            </w:pPr>
          </w:p>
        </w:tc>
        <w:tc>
          <w:tcPr>
            <w:tcW w:w="50" w:type="pct"/>
            <w:vAlign w:val="center"/>
            <w:hideMark/>
          </w:tcPr>
          <w:p w14:paraId="46240A24" w14:textId="77777777" w:rsidR="00000000" w:rsidRDefault="00195E73">
            <w:pPr>
              <w:rPr>
                <w:rFonts w:eastAsia="Times New Roman"/>
                <w:sz w:val="20"/>
                <w:szCs w:val="20"/>
              </w:rPr>
            </w:pPr>
          </w:p>
        </w:tc>
        <w:tc>
          <w:tcPr>
            <w:tcW w:w="5" w:type="pct"/>
            <w:vAlign w:val="center"/>
            <w:hideMark/>
          </w:tcPr>
          <w:p w14:paraId="6FA5E1D0" w14:textId="77777777" w:rsidR="00000000" w:rsidRDefault="00195E73">
            <w:pPr>
              <w:rPr>
                <w:rFonts w:eastAsia="Times New Roman"/>
                <w:sz w:val="20"/>
                <w:szCs w:val="20"/>
              </w:rPr>
            </w:pPr>
          </w:p>
        </w:tc>
        <w:tc>
          <w:tcPr>
            <w:tcW w:w="26" w:type="pct"/>
            <w:vAlign w:val="center"/>
            <w:hideMark/>
          </w:tcPr>
          <w:p w14:paraId="49D4E77E" w14:textId="77777777" w:rsidR="00000000" w:rsidRDefault="00195E73">
            <w:pPr>
              <w:rPr>
                <w:rFonts w:eastAsia="Times New Roman"/>
                <w:sz w:val="20"/>
                <w:szCs w:val="20"/>
              </w:rPr>
            </w:pPr>
          </w:p>
        </w:tc>
        <w:tc>
          <w:tcPr>
            <w:tcW w:w="5" w:type="pct"/>
            <w:vAlign w:val="center"/>
            <w:hideMark/>
          </w:tcPr>
          <w:p w14:paraId="07C19B3A" w14:textId="77777777" w:rsidR="00000000" w:rsidRDefault="00195E73">
            <w:pPr>
              <w:rPr>
                <w:rFonts w:eastAsia="Times New Roman"/>
                <w:sz w:val="20"/>
                <w:szCs w:val="20"/>
              </w:rPr>
            </w:pPr>
          </w:p>
        </w:tc>
        <w:tc>
          <w:tcPr>
            <w:tcW w:w="50" w:type="pct"/>
            <w:vAlign w:val="center"/>
            <w:hideMark/>
          </w:tcPr>
          <w:p w14:paraId="296CBA5E" w14:textId="77777777" w:rsidR="00000000" w:rsidRDefault="00195E73">
            <w:pPr>
              <w:rPr>
                <w:rFonts w:eastAsia="Times New Roman"/>
                <w:sz w:val="20"/>
                <w:szCs w:val="20"/>
              </w:rPr>
            </w:pPr>
          </w:p>
        </w:tc>
        <w:tc>
          <w:tcPr>
            <w:tcW w:w="341" w:type="pct"/>
            <w:vAlign w:val="center"/>
            <w:hideMark/>
          </w:tcPr>
          <w:p w14:paraId="4B3667C3" w14:textId="77777777" w:rsidR="00000000" w:rsidRDefault="00195E73">
            <w:pPr>
              <w:rPr>
                <w:rFonts w:eastAsia="Times New Roman"/>
                <w:sz w:val="20"/>
                <w:szCs w:val="20"/>
              </w:rPr>
            </w:pPr>
          </w:p>
        </w:tc>
        <w:tc>
          <w:tcPr>
            <w:tcW w:w="50" w:type="pct"/>
            <w:vAlign w:val="center"/>
            <w:hideMark/>
          </w:tcPr>
          <w:p w14:paraId="013785DA" w14:textId="77777777" w:rsidR="00000000" w:rsidRDefault="00195E73">
            <w:pPr>
              <w:rPr>
                <w:rFonts w:eastAsia="Times New Roman"/>
                <w:sz w:val="20"/>
                <w:szCs w:val="20"/>
              </w:rPr>
            </w:pPr>
          </w:p>
        </w:tc>
        <w:tc>
          <w:tcPr>
            <w:tcW w:w="5" w:type="pct"/>
            <w:vAlign w:val="center"/>
            <w:hideMark/>
          </w:tcPr>
          <w:p w14:paraId="4A169FC9" w14:textId="77777777" w:rsidR="00000000" w:rsidRDefault="00195E73">
            <w:pPr>
              <w:rPr>
                <w:rFonts w:eastAsia="Times New Roman"/>
                <w:sz w:val="20"/>
                <w:szCs w:val="20"/>
              </w:rPr>
            </w:pPr>
          </w:p>
        </w:tc>
        <w:tc>
          <w:tcPr>
            <w:tcW w:w="26" w:type="pct"/>
            <w:vAlign w:val="center"/>
            <w:hideMark/>
          </w:tcPr>
          <w:p w14:paraId="60FCC693" w14:textId="77777777" w:rsidR="00000000" w:rsidRDefault="00195E73">
            <w:pPr>
              <w:rPr>
                <w:rFonts w:eastAsia="Times New Roman"/>
                <w:sz w:val="20"/>
                <w:szCs w:val="20"/>
              </w:rPr>
            </w:pPr>
          </w:p>
        </w:tc>
        <w:tc>
          <w:tcPr>
            <w:tcW w:w="5" w:type="pct"/>
            <w:vAlign w:val="center"/>
            <w:hideMark/>
          </w:tcPr>
          <w:p w14:paraId="5C5AD190" w14:textId="77777777" w:rsidR="00000000" w:rsidRDefault="00195E73">
            <w:pPr>
              <w:rPr>
                <w:rFonts w:eastAsia="Times New Roman"/>
                <w:sz w:val="20"/>
                <w:szCs w:val="20"/>
              </w:rPr>
            </w:pPr>
          </w:p>
        </w:tc>
        <w:tc>
          <w:tcPr>
            <w:tcW w:w="50" w:type="pct"/>
            <w:vAlign w:val="center"/>
            <w:hideMark/>
          </w:tcPr>
          <w:p w14:paraId="23266B30" w14:textId="77777777" w:rsidR="00000000" w:rsidRDefault="00195E73">
            <w:pPr>
              <w:rPr>
                <w:rFonts w:eastAsia="Times New Roman"/>
                <w:sz w:val="20"/>
                <w:szCs w:val="20"/>
              </w:rPr>
            </w:pPr>
          </w:p>
        </w:tc>
        <w:tc>
          <w:tcPr>
            <w:tcW w:w="341" w:type="pct"/>
            <w:vAlign w:val="center"/>
            <w:hideMark/>
          </w:tcPr>
          <w:p w14:paraId="13EADD2B" w14:textId="77777777" w:rsidR="00000000" w:rsidRDefault="00195E73">
            <w:pPr>
              <w:rPr>
                <w:rFonts w:eastAsia="Times New Roman"/>
                <w:sz w:val="20"/>
                <w:szCs w:val="20"/>
              </w:rPr>
            </w:pPr>
          </w:p>
        </w:tc>
        <w:tc>
          <w:tcPr>
            <w:tcW w:w="50" w:type="pct"/>
            <w:vAlign w:val="center"/>
            <w:hideMark/>
          </w:tcPr>
          <w:p w14:paraId="34336E19" w14:textId="77777777" w:rsidR="00000000" w:rsidRDefault="00195E73">
            <w:pPr>
              <w:rPr>
                <w:rFonts w:eastAsia="Times New Roman"/>
                <w:sz w:val="20"/>
                <w:szCs w:val="20"/>
              </w:rPr>
            </w:pPr>
          </w:p>
        </w:tc>
        <w:tc>
          <w:tcPr>
            <w:tcW w:w="5" w:type="pct"/>
            <w:vAlign w:val="center"/>
            <w:hideMark/>
          </w:tcPr>
          <w:p w14:paraId="341386C1" w14:textId="77777777" w:rsidR="00000000" w:rsidRDefault="00195E73">
            <w:pPr>
              <w:rPr>
                <w:rFonts w:eastAsia="Times New Roman"/>
                <w:sz w:val="20"/>
                <w:szCs w:val="20"/>
              </w:rPr>
            </w:pPr>
          </w:p>
        </w:tc>
        <w:tc>
          <w:tcPr>
            <w:tcW w:w="26" w:type="pct"/>
            <w:vAlign w:val="center"/>
            <w:hideMark/>
          </w:tcPr>
          <w:p w14:paraId="6C257380" w14:textId="77777777" w:rsidR="00000000" w:rsidRDefault="00195E73">
            <w:pPr>
              <w:rPr>
                <w:rFonts w:eastAsia="Times New Roman"/>
                <w:sz w:val="20"/>
                <w:szCs w:val="20"/>
              </w:rPr>
            </w:pPr>
          </w:p>
        </w:tc>
        <w:tc>
          <w:tcPr>
            <w:tcW w:w="5" w:type="pct"/>
            <w:vAlign w:val="center"/>
            <w:hideMark/>
          </w:tcPr>
          <w:p w14:paraId="73CCEA16" w14:textId="77777777" w:rsidR="00000000" w:rsidRDefault="00195E73">
            <w:pPr>
              <w:rPr>
                <w:rFonts w:eastAsia="Times New Roman"/>
                <w:sz w:val="20"/>
                <w:szCs w:val="20"/>
              </w:rPr>
            </w:pPr>
          </w:p>
        </w:tc>
        <w:tc>
          <w:tcPr>
            <w:tcW w:w="50" w:type="pct"/>
            <w:vAlign w:val="center"/>
            <w:hideMark/>
          </w:tcPr>
          <w:p w14:paraId="173D401C" w14:textId="77777777" w:rsidR="00000000" w:rsidRDefault="00195E73">
            <w:pPr>
              <w:rPr>
                <w:rFonts w:eastAsia="Times New Roman"/>
                <w:sz w:val="20"/>
                <w:szCs w:val="20"/>
              </w:rPr>
            </w:pPr>
          </w:p>
        </w:tc>
        <w:tc>
          <w:tcPr>
            <w:tcW w:w="341" w:type="pct"/>
            <w:vAlign w:val="center"/>
            <w:hideMark/>
          </w:tcPr>
          <w:p w14:paraId="23D13E3A" w14:textId="77777777" w:rsidR="00000000" w:rsidRDefault="00195E73">
            <w:pPr>
              <w:rPr>
                <w:rFonts w:eastAsia="Times New Roman"/>
                <w:sz w:val="20"/>
                <w:szCs w:val="20"/>
              </w:rPr>
            </w:pPr>
          </w:p>
        </w:tc>
        <w:tc>
          <w:tcPr>
            <w:tcW w:w="50" w:type="pct"/>
            <w:vAlign w:val="center"/>
            <w:hideMark/>
          </w:tcPr>
          <w:p w14:paraId="2D4CF88F" w14:textId="77777777" w:rsidR="00000000" w:rsidRDefault="00195E73">
            <w:pPr>
              <w:rPr>
                <w:rFonts w:eastAsia="Times New Roman"/>
                <w:sz w:val="20"/>
                <w:szCs w:val="20"/>
              </w:rPr>
            </w:pPr>
          </w:p>
        </w:tc>
        <w:tc>
          <w:tcPr>
            <w:tcW w:w="5" w:type="pct"/>
            <w:vAlign w:val="center"/>
            <w:hideMark/>
          </w:tcPr>
          <w:p w14:paraId="7CE85658" w14:textId="77777777" w:rsidR="00000000" w:rsidRDefault="00195E73">
            <w:pPr>
              <w:rPr>
                <w:rFonts w:eastAsia="Times New Roman"/>
                <w:sz w:val="20"/>
                <w:szCs w:val="20"/>
              </w:rPr>
            </w:pPr>
          </w:p>
        </w:tc>
        <w:tc>
          <w:tcPr>
            <w:tcW w:w="26" w:type="pct"/>
            <w:vAlign w:val="center"/>
            <w:hideMark/>
          </w:tcPr>
          <w:p w14:paraId="78456A59" w14:textId="77777777" w:rsidR="00000000" w:rsidRDefault="00195E73">
            <w:pPr>
              <w:rPr>
                <w:rFonts w:eastAsia="Times New Roman"/>
                <w:sz w:val="20"/>
                <w:szCs w:val="20"/>
              </w:rPr>
            </w:pPr>
          </w:p>
        </w:tc>
        <w:tc>
          <w:tcPr>
            <w:tcW w:w="5" w:type="pct"/>
            <w:vAlign w:val="center"/>
            <w:hideMark/>
          </w:tcPr>
          <w:p w14:paraId="1A0DC641" w14:textId="77777777" w:rsidR="00000000" w:rsidRDefault="00195E73">
            <w:pPr>
              <w:rPr>
                <w:rFonts w:eastAsia="Times New Roman"/>
                <w:sz w:val="20"/>
                <w:szCs w:val="20"/>
              </w:rPr>
            </w:pPr>
          </w:p>
        </w:tc>
        <w:tc>
          <w:tcPr>
            <w:tcW w:w="50" w:type="pct"/>
            <w:vAlign w:val="center"/>
            <w:hideMark/>
          </w:tcPr>
          <w:p w14:paraId="1D7B7113" w14:textId="77777777" w:rsidR="00000000" w:rsidRDefault="00195E73">
            <w:pPr>
              <w:rPr>
                <w:rFonts w:eastAsia="Times New Roman"/>
                <w:sz w:val="20"/>
                <w:szCs w:val="20"/>
              </w:rPr>
            </w:pPr>
          </w:p>
        </w:tc>
        <w:tc>
          <w:tcPr>
            <w:tcW w:w="341" w:type="pct"/>
            <w:vAlign w:val="center"/>
            <w:hideMark/>
          </w:tcPr>
          <w:p w14:paraId="23ADA7FE" w14:textId="77777777" w:rsidR="00000000" w:rsidRDefault="00195E73">
            <w:pPr>
              <w:rPr>
                <w:rFonts w:eastAsia="Times New Roman"/>
                <w:sz w:val="20"/>
                <w:szCs w:val="20"/>
              </w:rPr>
            </w:pPr>
          </w:p>
        </w:tc>
        <w:tc>
          <w:tcPr>
            <w:tcW w:w="50" w:type="pct"/>
            <w:vAlign w:val="center"/>
            <w:hideMark/>
          </w:tcPr>
          <w:p w14:paraId="581276B1" w14:textId="77777777" w:rsidR="00000000" w:rsidRDefault="00195E73">
            <w:pPr>
              <w:rPr>
                <w:rFonts w:eastAsia="Times New Roman"/>
                <w:sz w:val="20"/>
                <w:szCs w:val="20"/>
              </w:rPr>
            </w:pPr>
          </w:p>
        </w:tc>
        <w:tc>
          <w:tcPr>
            <w:tcW w:w="5" w:type="pct"/>
            <w:vAlign w:val="center"/>
            <w:hideMark/>
          </w:tcPr>
          <w:p w14:paraId="57603FB6" w14:textId="77777777" w:rsidR="00000000" w:rsidRDefault="00195E73">
            <w:pPr>
              <w:rPr>
                <w:rFonts w:eastAsia="Times New Roman"/>
                <w:sz w:val="20"/>
                <w:szCs w:val="20"/>
              </w:rPr>
            </w:pPr>
          </w:p>
        </w:tc>
        <w:tc>
          <w:tcPr>
            <w:tcW w:w="26" w:type="pct"/>
            <w:vAlign w:val="center"/>
            <w:hideMark/>
          </w:tcPr>
          <w:p w14:paraId="22791A09" w14:textId="77777777" w:rsidR="00000000" w:rsidRDefault="00195E73">
            <w:pPr>
              <w:rPr>
                <w:rFonts w:eastAsia="Times New Roman"/>
                <w:sz w:val="20"/>
                <w:szCs w:val="20"/>
              </w:rPr>
            </w:pPr>
          </w:p>
        </w:tc>
        <w:tc>
          <w:tcPr>
            <w:tcW w:w="5" w:type="pct"/>
            <w:vAlign w:val="center"/>
            <w:hideMark/>
          </w:tcPr>
          <w:p w14:paraId="1AE89AD9" w14:textId="77777777" w:rsidR="00000000" w:rsidRDefault="00195E73">
            <w:pPr>
              <w:rPr>
                <w:rFonts w:eastAsia="Times New Roman"/>
                <w:sz w:val="20"/>
                <w:szCs w:val="20"/>
              </w:rPr>
            </w:pPr>
          </w:p>
        </w:tc>
        <w:tc>
          <w:tcPr>
            <w:tcW w:w="50" w:type="pct"/>
            <w:vAlign w:val="center"/>
            <w:hideMark/>
          </w:tcPr>
          <w:p w14:paraId="6889268F" w14:textId="77777777" w:rsidR="00000000" w:rsidRDefault="00195E73">
            <w:pPr>
              <w:rPr>
                <w:rFonts w:eastAsia="Times New Roman"/>
                <w:sz w:val="20"/>
                <w:szCs w:val="20"/>
              </w:rPr>
            </w:pPr>
          </w:p>
        </w:tc>
        <w:tc>
          <w:tcPr>
            <w:tcW w:w="341" w:type="pct"/>
            <w:vAlign w:val="center"/>
            <w:hideMark/>
          </w:tcPr>
          <w:p w14:paraId="709930D6" w14:textId="77777777" w:rsidR="00000000" w:rsidRDefault="00195E73">
            <w:pPr>
              <w:rPr>
                <w:rFonts w:eastAsia="Times New Roman"/>
                <w:sz w:val="20"/>
                <w:szCs w:val="20"/>
              </w:rPr>
            </w:pPr>
          </w:p>
        </w:tc>
        <w:tc>
          <w:tcPr>
            <w:tcW w:w="50" w:type="pct"/>
            <w:vAlign w:val="center"/>
            <w:hideMark/>
          </w:tcPr>
          <w:p w14:paraId="3FF3695E" w14:textId="77777777" w:rsidR="00000000" w:rsidRDefault="00195E73">
            <w:pPr>
              <w:rPr>
                <w:rFonts w:eastAsia="Times New Roman"/>
                <w:sz w:val="20"/>
                <w:szCs w:val="20"/>
              </w:rPr>
            </w:pPr>
          </w:p>
        </w:tc>
      </w:tr>
      <w:tr w:rsidR="00000000" w14:paraId="7289EF36" w14:textId="77777777">
        <w:trPr>
          <w:divId w:val="1455518801"/>
          <w:jc w:val="center"/>
        </w:trPr>
        <w:tc>
          <w:tcPr>
            <w:tcW w:w="0" w:type="auto"/>
            <w:gridSpan w:val="3"/>
            <w:tcMar>
              <w:top w:w="15" w:type="dxa"/>
              <w:left w:w="20" w:type="dxa"/>
              <w:bottom w:w="15" w:type="dxa"/>
              <w:right w:w="20" w:type="dxa"/>
            </w:tcMar>
            <w:vAlign w:val="bottom"/>
            <w:hideMark/>
          </w:tcPr>
          <w:p w14:paraId="364E719E" w14:textId="77777777" w:rsidR="00000000" w:rsidRDefault="00195E73">
            <w:pPr>
              <w:rPr>
                <w:rFonts w:eastAsia="Times New Roman"/>
                <w:sz w:val="20"/>
                <w:szCs w:val="20"/>
              </w:rPr>
            </w:pPr>
          </w:p>
        </w:tc>
        <w:tc>
          <w:tcPr>
            <w:tcW w:w="0" w:type="auto"/>
            <w:gridSpan w:val="45"/>
            <w:tcBorders>
              <w:bottom w:val="single" w:sz="8" w:space="0" w:color="000000"/>
            </w:tcBorders>
            <w:tcMar>
              <w:top w:w="30" w:type="dxa"/>
              <w:left w:w="20" w:type="dxa"/>
              <w:bottom w:w="30" w:type="dxa"/>
              <w:right w:w="20" w:type="dxa"/>
            </w:tcMar>
            <w:vAlign w:val="bottom"/>
            <w:hideMark/>
          </w:tcPr>
          <w:p w14:paraId="7A697CDB" w14:textId="77777777" w:rsidR="00000000" w:rsidRDefault="00195E73">
            <w:pPr>
              <w:jc w:val="center"/>
              <w:rPr>
                <w:rFonts w:eastAsia="Times New Roman"/>
              </w:rPr>
            </w:pPr>
            <w:r>
              <w:rPr>
                <w:rFonts w:eastAsia="Times New Roman"/>
                <w:b/>
                <w:bCs/>
                <w:color w:val="000000"/>
                <w:sz w:val="20"/>
                <w:szCs w:val="20"/>
              </w:rPr>
              <w:t>For the Three Months Ende</w:t>
            </w:r>
            <w:r>
              <w:rPr>
                <w:rFonts w:eastAsia="Times New Roman"/>
                <w:b/>
                <w:bCs/>
                <w:color w:val="000000"/>
                <w:sz w:val="20"/>
                <w:szCs w:val="20"/>
              </w:rPr>
              <w:t>d</w:t>
            </w:r>
          </w:p>
        </w:tc>
        <w:tc>
          <w:tcPr>
            <w:tcW w:w="0" w:type="auto"/>
            <w:gridSpan w:val="3"/>
            <w:vAlign w:val="center"/>
            <w:hideMark/>
          </w:tcPr>
          <w:p w14:paraId="3BE7E22F" w14:textId="77777777" w:rsidR="00000000" w:rsidRDefault="00195E73">
            <w:pPr>
              <w:jc w:val="center"/>
              <w:rPr>
                <w:rFonts w:eastAsia="Times New Roman"/>
              </w:rPr>
            </w:pPr>
          </w:p>
        </w:tc>
        <w:tc>
          <w:tcPr>
            <w:tcW w:w="0" w:type="auto"/>
            <w:gridSpan w:val="3"/>
            <w:vAlign w:val="center"/>
            <w:hideMark/>
          </w:tcPr>
          <w:p w14:paraId="49DCEC08" w14:textId="77777777" w:rsidR="00000000" w:rsidRDefault="00195E73">
            <w:pPr>
              <w:rPr>
                <w:rFonts w:eastAsia="Times New Roman"/>
                <w:sz w:val="20"/>
                <w:szCs w:val="20"/>
              </w:rPr>
            </w:pPr>
          </w:p>
        </w:tc>
        <w:tc>
          <w:tcPr>
            <w:tcW w:w="0" w:type="auto"/>
            <w:gridSpan w:val="3"/>
            <w:vAlign w:val="center"/>
            <w:hideMark/>
          </w:tcPr>
          <w:p w14:paraId="3B57C945" w14:textId="77777777" w:rsidR="00000000" w:rsidRDefault="00195E73">
            <w:pPr>
              <w:rPr>
                <w:rFonts w:eastAsia="Times New Roman"/>
                <w:sz w:val="20"/>
                <w:szCs w:val="20"/>
              </w:rPr>
            </w:pPr>
          </w:p>
        </w:tc>
        <w:tc>
          <w:tcPr>
            <w:tcW w:w="0" w:type="auto"/>
            <w:gridSpan w:val="3"/>
            <w:vAlign w:val="center"/>
            <w:hideMark/>
          </w:tcPr>
          <w:p w14:paraId="31D13828" w14:textId="77777777" w:rsidR="00000000" w:rsidRDefault="00195E73">
            <w:pPr>
              <w:rPr>
                <w:rFonts w:eastAsia="Times New Roman"/>
                <w:sz w:val="20"/>
                <w:szCs w:val="20"/>
              </w:rPr>
            </w:pPr>
          </w:p>
        </w:tc>
        <w:tc>
          <w:tcPr>
            <w:tcW w:w="0" w:type="auto"/>
            <w:gridSpan w:val="2"/>
            <w:vAlign w:val="center"/>
            <w:hideMark/>
          </w:tcPr>
          <w:p w14:paraId="42641313" w14:textId="77777777" w:rsidR="00000000" w:rsidRDefault="00195E73">
            <w:pPr>
              <w:rPr>
                <w:rFonts w:eastAsia="Times New Roman"/>
                <w:sz w:val="20"/>
                <w:szCs w:val="20"/>
              </w:rPr>
            </w:pPr>
          </w:p>
        </w:tc>
        <w:tc>
          <w:tcPr>
            <w:tcW w:w="0" w:type="auto"/>
            <w:vAlign w:val="center"/>
            <w:hideMark/>
          </w:tcPr>
          <w:p w14:paraId="143C90C1" w14:textId="77777777" w:rsidR="00000000" w:rsidRDefault="00195E73">
            <w:pPr>
              <w:rPr>
                <w:rFonts w:eastAsia="Times New Roman"/>
                <w:sz w:val="20"/>
                <w:szCs w:val="20"/>
              </w:rPr>
            </w:pPr>
          </w:p>
        </w:tc>
      </w:tr>
      <w:tr w:rsidR="00000000" w14:paraId="3EDAED76" w14:textId="77777777">
        <w:trPr>
          <w:divId w:val="1455518801"/>
          <w:jc w:val="center"/>
        </w:trPr>
        <w:tc>
          <w:tcPr>
            <w:tcW w:w="0" w:type="auto"/>
            <w:gridSpan w:val="3"/>
            <w:tcMar>
              <w:top w:w="15" w:type="dxa"/>
              <w:left w:w="20" w:type="dxa"/>
              <w:bottom w:w="15" w:type="dxa"/>
              <w:right w:w="20" w:type="dxa"/>
            </w:tcMar>
            <w:vAlign w:val="bottom"/>
            <w:hideMark/>
          </w:tcPr>
          <w:p w14:paraId="30AAE62D" w14:textId="77777777" w:rsidR="00000000" w:rsidRDefault="00195E7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274D140E" w14:textId="77777777" w:rsidR="00000000" w:rsidRDefault="00195E73">
            <w:pPr>
              <w:jc w:val="center"/>
              <w:rPr>
                <w:rFonts w:eastAsia="Times New Roman"/>
              </w:rPr>
            </w:pPr>
            <w:r>
              <w:rPr>
                <w:rFonts w:eastAsia="Times New Roman"/>
                <w:b/>
                <w:bCs/>
                <w:color w:val="000000"/>
                <w:sz w:val="20"/>
                <w:szCs w:val="20"/>
              </w:rPr>
              <w:t>March 31</w:t>
            </w:r>
            <w:r>
              <w:rPr>
                <w:rFonts w:eastAsia="Times New Roman"/>
                <w:b/>
                <w:bCs/>
                <w:color w:val="000000"/>
                <w:sz w:val="20"/>
                <w:szCs w:val="20"/>
              </w:rPr>
              <w:t>,</w:t>
            </w:r>
          </w:p>
        </w:tc>
        <w:tc>
          <w:tcPr>
            <w:tcW w:w="0" w:type="auto"/>
            <w:gridSpan w:val="3"/>
            <w:vAlign w:val="center"/>
            <w:hideMark/>
          </w:tcPr>
          <w:p w14:paraId="53073068" w14:textId="77777777" w:rsidR="00000000" w:rsidRDefault="00195E73">
            <w:pPr>
              <w:jc w:val="center"/>
              <w:rPr>
                <w:rFonts w:eastAsia="Times New Roman"/>
              </w:rPr>
            </w:pPr>
          </w:p>
        </w:tc>
        <w:tc>
          <w:tcPr>
            <w:tcW w:w="0" w:type="auto"/>
            <w:gridSpan w:val="3"/>
            <w:vAlign w:val="center"/>
            <w:hideMark/>
          </w:tcPr>
          <w:p w14:paraId="55D8DF05" w14:textId="77777777" w:rsidR="00000000" w:rsidRDefault="00195E73">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7BF0A977" w14:textId="77777777" w:rsidR="00000000" w:rsidRDefault="00195E7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AA23496" w14:textId="77777777" w:rsidR="00000000" w:rsidRDefault="00195E73">
            <w:pPr>
              <w:jc w:val="center"/>
              <w:rPr>
                <w:rFonts w:eastAsia="Times New Roman"/>
              </w:rPr>
            </w:pPr>
            <w:r>
              <w:rPr>
                <w:rFonts w:eastAsia="Times New Roman"/>
                <w:b/>
                <w:bCs/>
                <w:color w:val="000000"/>
                <w:sz w:val="20"/>
                <w:szCs w:val="20"/>
              </w:rPr>
              <w:t>June 30</w:t>
            </w:r>
            <w:r>
              <w:rPr>
                <w:rFonts w:eastAsia="Times New Roman"/>
                <w:b/>
                <w:bCs/>
                <w:color w:val="000000"/>
                <w:sz w:val="20"/>
                <w:szCs w:val="20"/>
              </w:rPr>
              <w:t>,</w:t>
            </w:r>
          </w:p>
        </w:tc>
        <w:tc>
          <w:tcPr>
            <w:tcW w:w="0" w:type="auto"/>
            <w:gridSpan w:val="3"/>
            <w:vAlign w:val="center"/>
            <w:hideMark/>
          </w:tcPr>
          <w:p w14:paraId="1BC85029" w14:textId="77777777" w:rsidR="00000000" w:rsidRDefault="00195E73">
            <w:pPr>
              <w:jc w:val="center"/>
              <w:rPr>
                <w:rFonts w:eastAsia="Times New Roman"/>
              </w:rPr>
            </w:pPr>
          </w:p>
        </w:tc>
        <w:tc>
          <w:tcPr>
            <w:tcW w:w="0" w:type="auto"/>
            <w:gridSpan w:val="3"/>
            <w:vAlign w:val="center"/>
            <w:hideMark/>
          </w:tcPr>
          <w:p w14:paraId="6EB7FD6C" w14:textId="77777777" w:rsidR="00000000" w:rsidRDefault="00195E73">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238211D8" w14:textId="77777777" w:rsidR="00000000" w:rsidRDefault="00195E7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FF35DD0" w14:textId="77777777" w:rsidR="00000000" w:rsidRDefault="00195E73">
            <w:pPr>
              <w:jc w:val="center"/>
              <w:rPr>
                <w:rFonts w:eastAsia="Times New Roman"/>
              </w:rPr>
            </w:pPr>
            <w:r>
              <w:rPr>
                <w:rFonts w:eastAsia="Times New Roman"/>
                <w:b/>
                <w:bCs/>
                <w:color w:val="000000"/>
                <w:sz w:val="20"/>
                <w:szCs w:val="20"/>
              </w:rPr>
              <w:t>September 30</w:t>
            </w:r>
            <w:r>
              <w:rPr>
                <w:rFonts w:eastAsia="Times New Roman"/>
                <w:b/>
                <w:bCs/>
                <w:color w:val="000000"/>
                <w:sz w:val="20"/>
                <w:szCs w:val="20"/>
              </w:rPr>
              <w:t>,</w:t>
            </w:r>
          </w:p>
        </w:tc>
        <w:tc>
          <w:tcPr>
            <w:tcW w:w="0" w:type="auto"/>
            <w:gridSpan w:val="3"/>
            <w:vAlign w:val="center"/>
            <w:hideMark/>
          </w:tcPr>
          <w:p w14:paraId="4662E64E" w14:textId="77777777" w:rsidR="00000000" w:rsidRDefault="00195E73">
            <w:pPr>
              <w:jc w:val="center"/>
              <w:rPr>
                <w:rFonts w:eastAsia="Times New Roman"/>
              </w:rPr>
            </w:pPr>
          </w:p>
        </w:tc>
        <w:tc>
          <w:tcPr>
            <w:tcW w:w="0" w:type="auto"/>
            <w:gridSpan w:val="3"/>
            <w:vAlign w:val="center"/>
            <w:hideMark/>
          </w:tcPr>
          <w:p w14:paraId="5B2A0DD5" w14:textId="77777777" w:rsidR="00000000" w:rsidRDefault="00195E73">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776199DD" w14:textId="77777777" w:rsidR="00000000" w:rsidRDefault="00195E73">
            <w:pPr>
              <w:rPr>
                <w:rFonts w:eastAsia="Times New Roman"/>
                <w:sz w:val="20"/>
                <w:szCs w:val="20"/>
              </w:rPr>
            </w:pPr>
          </w:p>
        </w:tc>
        <w:tc>
          <w:tcPr>
            <w:tcW w:w="0" w:type="auto"/>
            <w:gridSpan w:val="5"/>
            <w:tcBorders>
              <w:top w:val="single" w:sz="8" w:space="0" w:color="000000"/>
            </w:tcBorders>
            <w:tcMar>
              <w:top w:w="30" w:type="dxa"/>
              <w:left w:w="20" w:type="dxa"/>
              <w:bottom w:w="30" w:type="dxa"/>
              <w:right w:w="20" w:type="dxa"/>
            </w:tcMar>
            <w:vAlign w:val="bottom"/>
            <w:hideMark/>
          </w:tcPr>
          <w:p w14:paraId="7658AC4B"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vAlign w:val="center"/>
            <w:hideMark/>
          </w:tcPr>
          <w:p w14:paraId="42D6A093" w14:textId="77777777" w:rsidR="00000000" w:rsidRDefault="00195E73">
            <w:pPr>
              <w:jc w:val="center"/>
              <w:rPr>
                <w:rFonts w:eastAsia="Times New Roman"/>
              </w:rPr>
            </w:pPr>
          </w:p>
        </w:tc>
      </w:tr>
      <w:tr w:rsidR="00000000" w14:paraId="1B231E15" w14:textId="77777777">
        <w:trPr>
          <w:divId w:val="1455518801"/>
          <w:jc w:val="center"/>
        </w:trPr>
        <w:tc>
          <w:tcPr>
            <w:tcW w:w="0" w:type="auto"/>
            <w:gridSpan w:val="3"/>
            <w:tcMar>
              <w:top w:w="15" w:type="dxa"/>
              <w:left w:w="20" w:type="dxa"/>
              <w:bottom w:w="15" w:type="dxa"/>
              <w:right w:w="20" w:type="dxa"/>
            </w:tcMar>
            <w:vAlign w:val="bottom"/>
            <w:hideMark/>
          </w:tcPr>
          <w:p w14:paraId="6FD49B56"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A58196B"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30D3FC5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F850AC5"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14:paraId="3DFB0DFE"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354AEB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42BFED29"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7FA24B2"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14:paraId="325EA299"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908A9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0B20C55B"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33FDE1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Mar>
              <w:top w:w="15" w:type="dxa"/>
              <w:left w:w="20" w:type="dxa"/>
              <w:bottom w:w="15" w:type="dxa"/>
              <w:right w:w="20" w:type="dxa"/>
            </w:tcMar>
            <w:vAlign w:val="bottom"/>
            <w:hideMark/>
          </w:tcPr>
          <w:p w14:paraId="443814BD"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6805E38"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75AB66BA"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B90EC5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11C7F910" w14:textId="77777777" w:rsidR="00000000" w:rsidRDefault="00195E73">
            <w:pPr>
              <w:rPr>
                <w:rFonts w:eastAsia="Times New Roman"/>
                <w:sz w:val="20"/>
                <w:szCs w:val="20"/>
              </w:rPr>
            </w:pPr>
          </w:p>
        </w:tc>
        <w:tc>
          <w:tcPr>
            <w:tcW w:w="0" w:type="auto"/>
            <w:vAlign w:val="center"/>
            <w:hideMark/>
          </w:tcPr>
          <w:p w14:paraId="3FAA8F6A" w14:textId="77777777" w:rsidR="00000000" w:rsidRDefault="00195E73">
            <w:pPr>
              <w:rPr>
                <w:rFonts w:eastAsia="Times New Roman"/>
                <w:sz w:val="20"/>
                <w:szCs w:val="20"/>
              </w:rPr>
            </w:pPr>
          </w:p>
        </w:tc>
        <w:tc>
          <w:tcPr>
            <w:tcW w:w="0" w:type="auto"/>
            <w:vAlign w:val="center"/>
            <w:hideMark/>
          </w:tcPr>
          <w:p w14:paraId="0D4C9C9E" w14:textId="77777777" w:rsidR="00000000" w:rsidRDefault="00195E73">
            <w:pPr>
              <w:rPr>
                <w:rFonts w:eastAsia="Times New Roman"/>
                <w:sz w:val="20"/>
                <w:szCs w:val="20"/>
              </w:rPr>
            </w:pPr>
          </w:p>
        </w:tc>
        <w:tc>
          <w:tcPr>
            <w:tcW w:w="0" w:type="auto"/>
            <w:vAlign w:val="center"/>
            <w:hideMark/>
          </w:tcPr>
          <w:p w14:paraId="4F211B56" w14:textId="77777777" w:rsidR="00000000" w:rsidRDefault="00195E73">
            <w:pPr>
              <w:rPr>
                <w:rFonts w:eastAsia="Times New Roman"/>
                <w:sz w:val="20"/>
                <w:szCs w:val="20"/>
              </w:rPr>
            </w:pPr>
          </w:p>
        </w:tc>
        <w:tc>
          <w:tcPr>
            <w:tcW w:w="0" w:type="auto"/>
            <w:vAlign w:val="center"/>
            <w:hideMark/>
          </w:tcPr>
          <w:p w14:paraId="44228616" w14:textId="77777777" w:rsidR="00000000" w:rsidRDefault="00195E73">
            <w:pPr>
              <w:rPr>
                <w:rFonts w:eastAsia="Times New Roman"/>
                <w:sz w:val="20"/>
                <w:szCs w:val="20"/>
              </w:rPr>
            </w:pPr>
          </w:p>
        </w:tc>
        <w:tc>
          <w:tcPr>
            <w:tcW w:w="0" w:type="auto"/>
            <w:vAlign w:val="center"/>
            <w:hideMark/>
          </w:tcPr>
          <w:p w14:paraId="7B7EDDA5" w14:textId="77777777" w:rsidR="00000000" w:rsidRDefault="00195E73">
            <w:pPr>
              <w:rPr>
                <w:rFonts w:eastAsia="Times New Roman"/>
                <w:sz w:val="20"/>
                <w:szCs w:val="20"/>
              </w:rPr>
            </w:pPr>
          </w:p>
        </w:tc>
        <w:tc>
          <w:tcPr>
            <w:tcW w:w="0" w:type="auto"/>
            <w:vAlign w:val="center"/>
            <w:hideMark/>
          </w:tcPr>
          <w:p w14:paraId="4D09F31C" w14:textId="77777777" w:rsidR="00000000" w:rsidRDefault="00195E73">
            <w:pPr>
              <w:rPr>
                <w:rFonts w:eastAsia="Times New Roman"/>
                <w:sz w:val="20"/>
                <w:szCs w:val="20"/>
              </w:rPr>
            </w:pPr>
          </w:p>
        </w:tc>
        <w:tc>
          <w:tcPr>
            <w:tcW w:w="0" w:type="auto"/>
            <w:vAlign w:val="center"/>
            <w:hideMark/>
          </w:tcPr>
          <w:p w14:paraId="11C04FDE" w14:textId="77777777" w:rsidR="00000000" w:rsidRDefault="00195E73">
            <w:pPr>
              <w:rPr>
                <w:rFonts w:eastAsia="Times New Roman"/>
                <w:sz w:val="20"/>
                <w:szCs w:val="20"/>
              </w:rPr>
            </w:pPr>
          </w:p>
        </w:tc>
        <w:tc>
          <w:tcPr>
            <w:tcW w:w="0" w:type="auto"/>
            <w:vAlign w:val="center"/>
            <w:hideMark/>
          </w:tcPr>
          <w:p w14:paraId="19C4B132" w14:textId="77777777" w:rsidR="00000000" w:rsidRDefault="00195E73">
            <w:pPr>
              <w:rPr>
                <w:rFonts w:eastAsia="Times New Roman"/>
                <w:sz w:val="20"/>
                <w:szCs w:val="20"/>
              </w:rPr>
            </w:pPr>
          </w:p>
        </w:tc>
        <w:tc>
          <w:tcPr>
            <w:tcW w:w="0" w:type="auto"/>
            <w:vAlign w:val="center"/>
            <w:hideMark/>
          </w:tcPr>
          <w:p w14:paraId="29CE91D3" w14:textId="77777777" w:rsidR="00000000" w:rsidRDefault="00195E73">
            <w:pPr>
              <w:rPr>
                <w:rFonts w:eastAsia="Times New Roman"/>
                <w:sz w:val="20"/>
                <w:szCs w:val="20"/>
              </w:rPr>
            </w:pPr>
          </w:p>
        </w:tc>
        <w:tc>
          <w:tcPr>
            <w:tcW w:w="0" w:type="auto"/>
            <w:vAlign w:val="center"/>
            <w:hideMark/>
          </w:tcPr>
          <w:p w14:paraId="74BD0A24" w14:textId="77777777" w:rsidR="00000000" w:rsidRDefault="00195E73">
            <w:pPr>
              <w:rPr>
                <w:rFonts w:eastAsia="Times New Roman"/>
                <w:sz w:val="20"/>
                <w:szCs w:val="20"/>
              </w:rPr>
            </w:pPr>
          </w:p>
        </w:tc>
        <w:tc>
          <w:tcPr>
            <w:tcW w:w="0" w:type="auto"/>
            <w:vAlign w:val="center"/>
            <w:hideMark/>
          </w:tcPr>
          <w:p w14:paraId="133AF3A7" w14:textId="77777777" w:rsidR="00000000" w:rsidRDefault="00195E73">
            <w:pPr>
              <w:rPr>
                <w:rFonts w:eastAsia="Times New Roman"/>
                <w:sz w:val="20"/>
                <w:szCs w:val="20"/>
              </w:rPr>
            </w:pPr>
          </w:p>
        </w:tc>
        <w:tc>
          <w:tcPr>
            <w:tcW w:w="0" w:type="auto"/>
            <w:vAlign w:val="center"/>
            <w:hideMark/>
          </w:tcPr>
          <w:p w14:paraId="57A208C9" w14:textId="77777777" w:rsidR="00000000" w:rsidRDefault="00195E73">
            <w:pPr>
              <w:rPr>
                <w:rFonts w:eastAsia="Times New Roman"/>
                <w:sz w:val="20"/>
                <w:szCs w:val="20"/>
              </w:rPr>
            </w:pPr>
          </w:p>
        </w:tc>
        <w:tc>
          <w:tcPr>
            <w:tcW w:w="0" w:type="auto"/>
            <w:vAlign w:val="center"/>
            <w:hideMark/>
          </w:tcPr>
          <w:p w14:paraId="7E37ECEB" w14:textId="77777777" w:rsidR="00000000" w:rsidRDefault="00195E73">
            <w:pPr>
              <w:rPr>
                <w:rFonts w:eastAsia="Times New Roman"/>
                <w:sz w:val="20"/>
                <w:szCs w:val="20"/>
              </w:rPr>
            </w:pPr>
          </w:p>
        </w:tc>
        <w:tc>
          <w:tcPr>
            <w:tcW w:w="0" w:type="auto"/>
            <w:vAlign w:val="center"/>
            <w:hideMark/>
          </w:tcPr>
          <w:p w14:paraId="4288F4C6" w14:textId="77777777" w:rsidR="00000000" w:rsidRDefault="00195E73">
            <w:pPr>
              <w:rPr>
                <w:rFonts w:eastAsia="Times New Roman"/>
                <w:sz w:val="20"/>
                <w:szCs w:val="20"/>
              </w:rPr>
            </w:pPr>
          </w:p>
        </w:tc>
      </w:tr>
      <w:tr w:rsidR="00000000" w14:paraId="7B4A3F46" w14:textId="77777777">
        <w:trPr>
          <w:divId w:val="1455518801"/>
          <w:jc w:val="center"/>
        </w:trPr>
        <w:tc>
          <w:tcPr>
            <w:tcW w:w="0" w:type="auto"/>
            <w:gridSpan w:val="3"/>
            <w:tcMar>
              <w:top w:w="15" w:type="dxa"/>
              <w:left w:w="20" w:type="dxa"/>
              <w:bottom w:w="15" w:type="dxa"/>
              <w:right w:w="20" w:type="dxa"/>
            </w:tcMar>
            <w:vAlign w:val="bottom"/>
            <w:hideMark/>
          </w:tcPr>
          <w:p w14:paraId="2D45D06A" w14:textId="77777777" w:rsidR="00000000" w:rsidRDefault="00195E73">
            <w:pPr>
              <w:jc w:val="center"/>
              <w:rPr>
                <w:rFonts w:eastAsia="Times New Roman"/>
              </w:rPr>
            </w:pPr>
          </w:p>
        </w:tc>
        <w:tc>
          <w:tcPr>
            <w:tcW w:w="0" w:type="auto"/>
            <w:gridSpan w:val="45"/>
            <w:tcBorders>
              <w:top w:val="single" w:sz="8" w:space="0" w:color="000000"/>
            </w:tcBorders>
            <w:tcMar>
              <w:top w:w="30" w:type="dxa"/>
              <w:left w:w="20" w:type="dxa"/>
              <w:bottom w:w="30" w:type="dxa"/>
              <w:right w:w="20" w:type="dxa"/>
            </w:tcMar>
            <w:vAlign w:val="bottom"/>
            <w:hideMark/>
          </w:tcPr>
          <w:p w14:paraId="6A59429B" w14:textId="77777777" w:rsidR="00000000" w:rsidRDefault="00195E73">
            <w:pPr>
              <w:jc w:val="center"/>
              <w:rPr>
                <w:rFonts w:eastAsia="Times New Roman"/>
              </w:rPr>
            </w:pPr>
            <w:r>
              <w:rPr>
                <w:rFonts w:eastAsia="Times New Roman"/>
                <w:color w:val="000000"/>
                <w:sz w:val="16"/>
                <w:szCs w:val="16"/>
              </w:rPr>
              <w:t>(in millions, except per unit data</w:t>
            </w:r>
            <w:r>
              <w:rPr>
                <w:rFonts w:eastAsia="Times New Roman"/>
                <w:color w:val="000000"/>
                <w:sz w:val="16"/>
                <w:szCs w:val="16"/>
              </w:rPr>
              <w:t>)</w:t>
            </w:r>
          </w:p>
        </w:tc>
        <w:tc>
          <w:tcPr>
            <w:tcW w:w="0" w:type="auto"/>
            <w:gridSpan w:val="3"/>
            <w:vAlign w:val="center"/>
            <w:hideMark/>
          </w:tcPr>
          <w:p w14:paraId="7D5D14D0" w14:textId="77777777" w:rsidR="00000000" w:rsidRDefault="00195E73">
            <w:pPr>
              <w:jc w:val="center"/>
              <w:rPr>
                <w:rFonts w:eastAsia="Times New Roman"/>
              </w:rPr>
            </w:pPr>
          </w:p>
        </w:tc>
        <w:tc>
          <w:tcPr>
            <w:tcW w:w="0" w:type="auto"/>
            <w:gridSpan w:val="3"/>
            <w:vAlign w:val="center"/>
            <w:hideMark/>
          </w:tcPr>
          <w:p w14:paraId="76F46DF7" w14:textId="77777777" w:rsidR="00000000" w:rsidRDefault="00195E73">
            <w:pPr>
              <w:rPr>
                <w:rFonts w:eastAsia="Times New Roman"/>
                <w:sz w:val="20"/>
                <w:szCs w:val="20"/>
              </w:rPr>
            </w:pPr>
          </w:p>
        </w:tc>
        <w:tc>
          <w:tcPr>
            <w:tcW w:w="0" w:type="auto"/>
            <w:gridSpan w:val="3"/>
            <w:vAlign w:val="center"/>
            <w:hideMark/>
          </w:tcPr>
          <w:p w14:paraId="1A2B870E" w14:textId="77777777" w:rsidR="00000000" w:rsidRDefault="00195E73">
            <w:pPr>
              <w:rPr>
                <w:rFonts w:eastAsia="Times New Roman"/>
                <w:sz w:val="20"/>
                <w:szCs w:val="20"/>
              </w:rPr>
            </w:pPr>
          </w:p>
        </w:tc>
        <w:tc>
          <w:tcPr>
            <w:tcW w:w="0" w:type="auto"/>
            <w:gridSpan w:val="3"/>
            <w:vAlign w:val="center"/>
            <w:hideMark/>
          </w:tcPr>
          <w:p w14:paraId="12E8F456" w14:textId="77777777" w:rsidR="00000000" w:rsidRDefault="00195E73">
            <w:pPr>
              <w:rPr>
                <w:rFonts w:eastAsia="Times New Roman"/>
                <w:sz w:val="20"/>
                <w:szCs w:val="20"/>
              </w:rPr>
            </w:pPr>
          </w:p>
        </w:tc>
        <w:tc>
          <w:tcPr>
            <w:tcW w:w="0" w:type="auto"/>
            <w:gridSpan w:val="2"/>
            <w:vAlign w:val="center"/>
            <w:hideMark/>
          </w:tcPr>
          <w:p w14:paraId="0DF24F54" w14:textId="77777777" w:rsidR="00000000" w:rsidRDefault="00195E73">
            <w:pPr>
              <w:rPr>
                <w:rFonts w:eastAsia="Times New Roman"/>
                <w:sz w:val="20"/>
                <w:szCs w:val="20"/>
              </w:rPr>
            </w:pPr>
          </w:p>
        </w:tc>
        <w:tc>
          <w:tcPr>
            <w:tcW w:w="0" w:type="auto"/>
            <w:vAlign w:val="center"/>
            <w:hideMark/>
          </w:tcPr>
          <w:p w14:paraId="23D9F2F4" w14:textId="77777777" w:rsidR="00000000" w:rsidRDefault="00195E73">
            <w:pPr>
              <w:rPr>
                <w:rFonts w:eastAsia="Times New Roman"/>
                <w:sz w:val="20"/>
                <w:szCs w:val="20"/>
              </w:rPr>
            </w:pPr>
          </w:p>
        </w:tc>
      </w:tr>
      <w:tr w:rsidR="00195E73" w14:paraId="3C57CE7B" w14:textId="77777777">
        <w:trPr>
          <w:divId w:val="1455518801"/>
          <w:jc w:val="center"/>
        </w:trPr>
        <w:tc>
          <w:tcPr>
            <w:tcW w:w="0" w:type="auto"/>
            <w:gridSpan w:val="3"/>
            <w:shd w:val="clear" w:color="auto" w:fill="CCEEFF"/>
            <w:tcMar>
              <w:top w:w="30" w:type="dxa"/>
              <w:left w:w="20" w:type="dxa"/>
              <w:bottom w:w="30" w:type="dxa"/>
              <w:right w:w="20" w:type="dxa"/>
            </w:tcMar>
            <w:vAlign w:val="bottom"/>
            <w:hideMark/>
          </w:tcPr>
          <w:p w14:paraId="6A6A48F4" w14:textId="77777777" w:rsidR="00000000" w:rsidRDefault="00195E73">
            <w:pPr>
              <w:rPr>
                <w:rFonts w:eastAsia="Times New Roman"/>
              </w:rPr>
            </w:pPr>
            <w:r>
              <w:rPr>
                <w:rFonts w:eastAsia="Times New Roman"/>
                <w:color w:val="000000"/>
                <w:sz w:val="20"/>
                <w:szCs w:val="20"/>
              </w:rPr>
              <w:t>Net sale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0A7DA17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0A8307E" w14:textId="77777777" w:rsidR="00000000" w:rsidRDefault="00195E73">
            <w:pPr>
              <w:jc w:val="right"/>
              <w:rPr>
                <w:rFonts w:eastAsia="Times New Roman"/>
              </w:rPr>
            </w:pPr>
            <w:r>
              <w:rPr>
                <w:rFonts w:eastAsia="Times New Roman"/>
                <w:color w:val="000000"/>
                <w:sz w:val="20"/>
                <w:szCs w:val="20"/>
              </w:rPr>
              <w:t>2,300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F59189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810D88E"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950A3E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5AD2A2A" w14:textId="77777777" w:rsidR="00000000" w:rsidRDefault="00195E73">
            <w:pPr>
              <w:jc w:val="right"/>
              <w:rPr>
                <w:rFonts w:eastAsia="Times New Roman"/>
              </w:rPr>
            </w:pPr>
            <w:r>
              <w:rPr>
                <w:rFonts w:eastAsia="Times New Roman"/>
                <w:color w:val="000000"/>
                <w:sz w:val="20"/>
                <w:szCs w:val="20"/>
              </w:rPr>
              <w:t>2,364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F37654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B35FED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17F0747"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14701F6" w14:textId="77777777" w:rsidR="00000000" w:rsidRDefault="00195E73">
            <w:pPr>
              <w:jc w:val="right"/>
              <w:rPr>
                <w:rFonts w:eastAsia="Times New Roman"/>
              </w:rPr>
            </w:pPr>
            <w:r>
              <w:rPr>
                <w:rFonts w:eastAsia="Times New Roman"/>
                <w:color w:val="000000"/>
                <w:sz w:val="20"/>
                <w:szCs w:val="20"/>
              </w:rPr>
              <w:t>2,588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C232C0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C5D1DDF"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B4FF497"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5671301" w14:textId="77777777" w:rsidR="00000000" w:rsidRDefault="00195E73">
            <w:pPr>
              <w:jc w:val="right"/>
              <w:rPr>
                <w:rFonts w:eastAsia="Times New Roman"/>
              </w:rPr>
            </w:pPr>
            <w:r>
              <w:rPr>
                <w:rFonts w:eastAsia="Times New Roman"/>
                <w:color w:val="000000"/>
                <w:sz w:val="20"/>
                <w:szCs w:val="20"/>
              </w:rPr>
              <w:t>2,819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E50F88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35A89B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361057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C1ABE75" w14:textId="77777777" w:rsidR="00000000" w:rsidRDefault="00195E73">
            <w:pPr>
              <w:jc w:val="right"/>
              <w:rPr>
                <w:rFonts w:eastAsia="Times New Roman"/>
              </w:rPr>
            </w:pPr>
            <w:r>
              <w:rPr>
                <w:rFonts w:eastAsia="Times New Roman"/>
                <w:color w:val="000000"/>
                <w:sz w:val="20"/>
                <w:szCs w:val="20"/>
              </w:rPr>
              <w:t>2,484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909526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AA8F8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B51400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71139E9" w14:textId="77777777" w:rsidR="00000000" w:rsidRDefault="00195E73">
            <w:pPr>
              <w:jc w:val="right"/>
              <w:rPr>
                <w:rFonts w:eastAsia="Times New Roman"/>
              </w:rPr>
            </w:pPr>
            <w:r>
              <w:rPr>
                <w:rFonts w:eastAsia="Times New Roman"/>
                <w:color w:val="000000"/>
                <w:sz w:val="20"/>
                <w:szCs w:val="20"/>
              </w:rPr>
              <w:t>2,815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AE7676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A779AE2"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97DCB9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9F7FA28" w14:textId="77777777" w:rsidR="00000000" w:rsidRDefault="00195E73">
            <w:pPr>
              <w:jc w:val="right"/>
              <w:rPr>
                <w:rFonts w:eastAsia="Times New Roman"/>
              </w:rPr>
            </w:pPr>
            <w:r>
              <w:rPr>
                <w:rFonts w:eastAsia="Times New Roman"/>
                <w:color w:val="000000"/>
                <w:sz w:val="20"/>
                <w:szCs w:val="20"/>
              </w:rPr>
              <w:t>2,349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944A10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8E1805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E05C03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DAB7DFC" w14:textId="77777777" w:rsidR="00000000" w:rsidRDefault="00195E73">
            <w:pPr>
              <w:jc w:val="right"/>
              <w:rPr>
                <w:rFonts w:eastAsia="Times New Roman"/>
              </w:rPr>
            </w:pPr>
            <w:r>
              <w:rPr>
                <w:rFonts w:eastAsia="Times New Roman"/>
                <w:color w:val="000000"/>
                <w:sz w:val="20"/>
                <w:szCs w:val="20"/>
              </w:rPr>
              <w:t>2,578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70CE00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3FB17DB" w14:textId="77777777" w:rsidR="00000000" w:rsidRDefault="00195E73">
            <w:pPr>
              <w:rPr>
                <w:rFonts w:eastAsia="Times New Roman"/>
                <w:sz w:val="20"/>
                <w:szCs w:val="20"/>
              </w:rPr>
            </w:pPr>
          </w:p>
        </w:tc>
        <w:tc>
          <w:tcPr>
            <w:tcW w:w="0" w:type="auto"/>
            <w:vAlign w:val="center"/>
            <w:hideMark/>
          </w:tcPr>
          <w:p w14:paraId="72CEDF95" w14:textId="77777777" w:rsidR="00000000" w:rsidRDefault="00195E73">
            <w:pPr>
              <w:rPr>
                <w:rFonts w:eastAsia="Times New Roman"/>
                <w:sz w:val="20"/>
                <w:szCs w:val="20"/>
              </w:rPr>
            </w:pPr>
          </w:p>
        </w:tc>
        <w:tc>
          <w:tcPr>
            <w:tcW w:w="0" w:type="auto"/>
            <w:vAlign w:val="center"/>
            <w:hideMark/>
          </w:tcPr>
          <w:p w14:paraId="05644BB9" w14:textId="77777777" w:rsidR="00000000" w:rsidRDefault="00195E73">
            <w:pPr>
              <w:rPr>
                <w:rFonts w:eastAsia="Times New Roman"/>
                <w:sz w:val="20"/>
                <w:szCs w:val="20"/>
              </w:rPr>
            </w:pPr>
          </w:p>
        </w:tc>
        <w:tc>
          <w:tcPr>
            <w:tcW w:w="0" w:type="auto"/>
            <w:vAlign w:val="center"/>
            <w:hideMark/>
          </w:tcPr>
          <w:p w14:paraId="73B99D98" w14:textId="77777777" w:rsidR="00000000" w:rsidRDefault="00195E73">
            <w:pPr>
              <w:rPr>
                <w:rFonts w:eastAsia="Times New Roman"/>
                <w:sz w:val="20"/>
                <w:szCs w:val="20"/>
              </w:rPr>
            </w:pPr>
          </w:p>
        </w:tc>
        <w:tc>
          <w:tcPr>
            <w:tcW w:w="0" w:type="auto"/>
            <w:vAlign w:val="center"/>
            <w:hideMark/>
          </w:tcPr>
          <w:p w14:paraId="32DFC28F" w14:textId="77777777" w:rsidR="00000000" w:rsidRDefault="00195E73">
            <w:pPr>
              <w:rPr>
                <w:rFonts w:eastAsia="Times New Roman"/>
                <w:sz w:val="20"/>
                <w:szCs w:val="20"/>
              </w:rPr>
            </w:pPr>
          </w:p>
        </w:tc>
        <w:tc>
          <w:tcPr>
            <w:tcW w:w="0" w:type="auto"/>
            <w:vAlign w:val="center"/>
            <w:hideMark/>
          </w:tcPr>
          <w:p w14:paraId="4D37C8FB" w14:textId="77777777" w:rsidR="00000000" w:rsidRDefault="00195E73">
            <w:pPr>
              <w:rPr>
                <w:rFonts w:eastAsia="Times New Roman"/>
                <w:sz w:val="20"/>
                <w:szCs w:val="20"/>
              </w:rPr>
            </w:pPr>
          </w:p>
        </w:tc>
        <w:tc>
          <w:tcPr>
            <w:tcW w:w="0" w:type="auto"/>
            <w:vAlign w:val="center"/>
            <w:hideMark/>
          </w:tcPr>
          <w:p w14:paraId="702627A3" w14:textId="77777777" w:rsidR="00000000" w:rsidRDefault="00195E73">
            <w:pPr>
              <w:rPr>
                <w:rFonts w:eastAsia="Times New Roman"/>
                <w:sz w:val="20"/>
                <w:szCs w:val="20"/>
              </w:rPr>
            </w:pPr>
          </w:p>
        </w:tc>
        <w:tc>
          <w:tcPr>
            <w:tcW w:w="0" w:type="auto"/>
            <w:vAlign w:val="center"/>
            <w:hideMark/>
          </w:tcPr>
          <w:p w14:paraId="02CB8BFC" w14:textId="77777777" w:rsidR="00000000" w:rsidRDefault="00195E73">
            <w:pPr>
              <w:rPr>
                <w:rFonts w:eastAsia="Times New Roman"/>
                <w:sz w:val="20"/>
                <w:szCs w:val="20"/>
              </w:rPr>
            </w:pPr>
          </w:p>
        </w:tc>
        <w:tc>
          <w:tcPr>
            <w:tcW w:w="0" w:type="auto"/>
            <w:vAlign w:val="center"/>
            <w:hideMark/>
          </w:tcPr>
          <w:p w14:paraId="55C5E816" w14:textId="77777777" w:rsidR="00000000" w:rsidRDefault="00195E73">
            <w:pPr>
              <w:rPr>
                <w:rFonts w:eastAsia="Times New Roman"/>
                <w:sz w:val="20"/>
                <w:szCs w:val="20"/>
              </w:rPr>
            </w:pPr>
          </w:p>
        </w:tc>
        <w:tc>
          <w:tcPr>
            <w:tcW w:w="0" w:type="auto"/>
            <w:vAlign w:val="center"/>
            <w:hideMark/>
          </w:tcPr>
          <w:p w14:paraId="24656DE9" w14:textId="77777777" w:rsidR="00000000" w:rsidRDefault="00195E73">
            <w:pPr>
              <w:rPr>
                <w:rFonts w:eastAsia="Times New Roman"/>
                <w:sz w:val="20"/>
                <w:szCs w:val="20"/>
              </w:rPr>
            </w:pPr>
          </w:p>
        </w:tc>
        <w:tc>
          <w:tcPr>
            <w:tcW w:w="0" w:type="auto"/>
            <w:vAlign w:val="center"/>
            <w:hideMark/>
          </w:tcPr>
          <w:p w14:paraId="62364CEC" w14:textId="77777777" w:rsidR="00000000" w:rsidRDefault="00195E73">
            <w:pPr>
              <w:rPr>
                <w:rFonts w:eastAsia="Times New Roman"/>
                <w:sz w:val="20"/>
                <w:szCs w:val="20"/>
              </w:rPr>
            </w:pPr>
          </w:p>
        </w:tc>
        <w:tc>
          <w:tcPr>
            <w:tcW w:w="0" w:type="auto"/>
            <w:vAlign w:val="center"/>
            <w:hideMark/>
          </w:tcPr>
          <w:p w14:paraId="5831EC4C" w14:textId="77777777" w:rsidR="00000000" w:rsidRDefault="00195E73">
            <w:pPr>
              <w:rPr>
                <w:rFonts w:eastAsia="Times New Roman"/>
                <w:sz w:val="20"/>
                <w:szCs w:val="20"/>
              </w:rPr>
            </w:pPr>
          </w:p>
        </w:tc>
        <w:tc>
          <w:tcPr>
            <w:tcW w:w="0" w:type="auto"/>
            <w:vAlign w:val="center"/>
            <w:hideMark/>
          </w:tcPr>
          <w:p w14:paraId="0E431566" w14:textId="77777777" w:rsidR="00000000" w:rsidRDefault="00195E73">
            <w:pPr>
              <w:rPr>
                <w:rFonts w:eastAsia="Times New Roman"/>
                <w:sz w:val="20"/>
                <w:szCs w:val="20"/>
              </w:rPr>
            </w:pPr>
          </w:p>
        </w:tc>
        <w:tc>
          <w:tcPr>
            <w:tcW w:w="0" w:type="auto"/>
            <w:vAlign w:val="center"/>
            <w:hideMark/>
          </w:tcPr>
          <w:p w14:paraId="3E98B236" w14:textId="77777777" w:rsidR="00000000" w:rsidRDefault="00195E73">
            <w:pPr>
              <w:rPr>
                <w:rFonts w:eastAsia="Times New Roman"/>
                <w:sz w:val="20"/>
                <w:szCs w:val="20"/>
              </w:rPr>
            </w:pPr>
          </w:p>
        </w:tc>
        <w:tc>
          <w:tcPr>
            <w:tcW w:w="0" w:type="auto"/>
            <w:vAlign w:val="center"/>
            <w:hideMark/>
          </w:tcPr>
          <w:p w14:paraId="02F99863" w14:textId="77777777" w:rsidR="00000000" w:rsidRDefault="00195E73">
            <w:pPr>
              <w:rPr>
                <w:rFonts w:eastAsia="Times New Roman"/>
                <w:sz w:val="20"/>
                <w:szCs w:val="20"/>
              </w:rPr>
            </w:pPr>
          </w:p>
        </w:tc>
      </w:tr>
      <w:tr w:rsidR="00000000" w14:paraId="3DD197A2" w14:textId="77777777">
        <w:trPr>
          <w:divId w:val="1455518801"/>
          <w:jc w:val="center"/>
        </w:trPr>
        <w:tc>
          <w:tcPr>
            <w:tcW w:w="0" w:type="auto"/>
            <w:gridSpan w:val="3"/>
            <w:shd w:val="clear" w:color="auto" w:fill="FFFFFF"/>
            <w:tcMar>
              <w:top w:w="30" w:type="dxa"/>
              <w:left w:w="20" w:type="dxa"/>
              <w:bottom w:w="30" w:type="dxa"/>
              <w:right w:w="20" w:type="dxa"/>
            </w:tcMar>
            <w:vAlign w:val="bottom"/>
            <w:hideMark/>
          </w:tcPr>
          <w:p w14:paraId="0F99073A" w14:textId="77777777" w:rsidR="00000000" w:rsidRDefault="00195E73">
            <w:pPr>
              <w:rPr>
                <w:rFonts w:eastAsia="Times New Roman"/>
              </w:rPr>
            </w:pPr>
            <w:r>
              <w:rPr>
                <w:rFonts w:eastAsia="Times New Roman"/>
                <w:color w:val="000000"/>
                <w:sz w:val="20"/>
                <w:szCs w:val="20"/>
              </w:rPr>
              <w:t>Gross margin on net sale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CB6EB92" w14:textId="77777777" w:rsidR="00000000" w:rsidRDefault="00195E73">
            <w:pPr>
              <w:jc w:val="right"/>
              <w:rPr>
                <w:rFonts w:eastAsia="Times New Roman"/>
              </w:rPr>
            </w:pPr>
            <w:r>
              <w:rPr>
                <w:rFonts w:eastAsia="Times New Roman"/>
                <w:color w:val="000000"/>
                <w:sz w:val="20"/>
                <w:szCs w:val="20"/>
              </w:rPr>
              <w:t>400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078466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13111A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7F8E76" w14:textId="77777777" w:rsidR="00000000" w:rsidRDefault="00195E73">
            <w:pPr>
              <w:jc w:val="right"/>
              <w:rPr>
                <w:rFonts w:eastAsia="Times New Roman"/>
              </w:rPr>
            </w:pPr>
            <w:r>
              <w:rPr>
                <w:rFonts w:eastAsia="Times New Roman"/>
                <w:color w:val="000000"/>
                <w:sz w:val="20"/>
                <w:szCs w:val="20"/>
              </w:rPr>
              <w:t>377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89075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DEAFFC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63532F" w14:textId="77777777" w:rsidR="00000000" w:rsidRDefault="00195E73">
            <w:pPr>
              <w:jc w:val="right"/>
              <w:rPr>
                <w:rFonts w:eastAsia="Times New Roman"/>
              </w:rPr>
            </w:pPr>
            <w:r>
              <w:rPr>
                <w:rFonts w:eastAsia="Times New Roman"/>
                <w:color w:val="000000"/>
                <w:sz w:val="20"/>
                <w:szCs w:val="20"/>
              </w:rPr>
              <w:t>459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C7AD60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F721EA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0F424A" w14:textId="77777777" w:rsidR="00000000" w:rsidRDefault="00195E73">
            <w:pPr>
              <w:jc w:val="right"/>
              <w:rPr>
                <w:rFonts w:eastAsia="Times New Roman"/>
              </w:rPr>
            </w:pPr>
            <w:r>
              <w:rPr>
                <w:rFonts w:eastAsia="Times New Roman"/>
                <w:color w:val="000000"/>
                <w:sz w:val="20"/>
                <w:szCs w:val="20"/>
              </w:rPr>
              <w:t>392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C6EE54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55DB65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283B30" w14:textId="77777777" w:rsidR="00000000" w:rsidRDefault="00195E73">
            <w:pPr>
              <w:jc w:val="right"/>
              <w:rPr>
                <w:rFonts w:eastAsia="Times New Roman"/>
              </w:rPr>
            </w:pPr>
            <w:r>
              <w:rPr>
                <w:rFonts w:eastAsia="Times New Roman"/>
                <w:color w:val="000000"/>
                <w:sz w:val="20"/>
                <w:szCs w:val="20"/>
              </w:rPr>
              <w:t>415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D735A5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5E3E8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92C434" w14:textId="77777777" w:rsidR="00000000" w:rsidRDefault="00195E73">
            <w:pPr>
              <w:jc w:val="right"/>
              <w:rPr>
                <w:rFonts w:eastAsia="Times New Roman"/>
              </w:rPr>
            </w:pPr>
            <w:r>
              <w:rPr>
                <w:rFonts w:eastAsia="Times New Roman"/>
                <w:color w:val="000000"/>
                <w:sz w:val="20"/>
                <w:szCs w:val="20"/>
              </w:rPr>
              <w:t>443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07DA09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E87507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26F698" w14:textId="77777777" w:rsidR="00000000" w:rsidRDefault="00195E73">
            <w:pPr>
              <w:jc w:val="right"/>
              <w:rPr>
                <w:rFonts w:eastAsia="Times New Roman"/>
              </w:rPr>
            </w:pPr>
            <w:r>
              <w:rPr>
                <w:rFonts w:eastAsia="Times New Roman"/>
                <w:color w:val="000000"/>
                <w:sz w:val="20"/>
                <w:szCs w:val="20"/>
              </w:rPr>
              <w:t>235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9CEE76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18F5CF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EF2D34" w14:textId="77777777" w:rsidR="00000000" w:rsidRDefault="00195E73">
            <w:pPr>
              <w:jc w:val="right"/>
              <w:rPr>
                <w:rFonts w:eastAsia="Times New Roman"/>
              </w:rPr>
            </w:pPr>
            <w:r>
              <w:rPr>
                <w:rFonts w:eastAsia="Times New Roman"/>
                <w:color w:val="000000"/>
                <w:sz w:val="20"/>
                <w:szCs w:val="20"/>
              </w:rPr>
              <w:t>362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9A5EEE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DCA9A36" w14:textId="77777777" w:rsidR="00000000" w:rsidRDefault="00195E73">
            <w:pPr>
              <w:rPr>
                <w:rFonts w:eastAsia="Times New Roman"/>
                <w:sz w:val="20"/>
                <w:szCs w:val="20"/>
              </w:rPr>
            </w:pPr>
          </w:p>
        </w:tc>
        <w:tc>
          <w:tcPr>
            <w:tcW w:w="0" w:type="auto"/>
            <w:vAlign w:val="center"/>
            <w:hideMark/>
          </w:tcPr>
          <w:p w14:paraId="408AED59" w14:textId="77777777" w:rsidR="00000000" w:rsidRDefault="00195E73">
            <w:pPr>
              <w:rPr>
                <w:rFonts w:eastAsia="Times New Roman"/>
                <w:sz w:val="20"/>
                <w:szCs w:val="20"/>
              </w:rPr>
            </w:pPr>
          </w:p>
        </w:tc>
        <w:tc>
          <w:tcPr>
            <w:tcW w:w="0" w:type="auto"/>
            <w:vAlign w:val="center"/>
            <w:hideMark/>
          </w:tcPr>
          <w:p w14:paraId="2CC0401B" w14:textId="77777777" w:rsidR="00000000" w:rsidRDefault="00195E73">
            <w:pPr>
              <w:rPr>
                <w:rFonts w:eastAsia="Times New Roman"/>
                <w:sz w:val="20"/>
                <w:szCs w:val="20"/>
              </w:rPr>
            </w:pPr>
          </w:p>
        </w:tc>
        <w:tc>
          <w:tcPr>
            <w:tcW w:w="0" w:type="auto"/>
            <w:vAlign w:val="center"/>
            <w:hideMark/>
          </w:tcPr>
          <w:p w14:paraId="66681E4D" w14:textId="77777777" w:rsidR="00000000" w:rsidRDefault="00195E73">
            <w:pPr>
              <w:rPr>
                <w:rFonts w:eastAsia="Times New Roman"/>
                <w:sz w:val="20"/>
                <w:szCs w:val="20"/>
              </w:rPr>
            </w:pPr>
          </w:p>
        </w:tc>
        <w:tc>
          <w:tcPr>
            <w:tcW w:w="0" w:type="auto"/>
            <w:vAlign w:val="center"/>
            <w:hideMark/>
          </w:tcPr>
          <w:p w14:paraId="435F6FA7" w14:textId="77777777" w:rsidR="00000000" w:rsidRDefault="00195E73">
            <w:pPr>
              <w:rPr>
                <w:rFonts w:eastAsia="Times New Roman"/>
                <w:sz w:val="20"/>
                <w:szCs w:val="20"/>
              </w:rPr>
            </w:pPr>
          </w:p>
        </w:tc>
        <w:tc>
          <w:tcPr>
            <w:tcW w:w="0" w:type="auto"/>
            <w:vAlign w:val="center"/>
            <w:hideMark/>
          </w:tcPr>
          <w:p w14:paraId="3F4B20ED" w14:textId="77777777" w:rsidR="00000000" w:rsidRDefault="00195E73">
            <w:pPr>
              <w:rPr>
                <w:rFonts w:eastAsia="Times New Roman"/>
                <w:sz w:val="20"/>
                <w:szCs w:val="20"/>
              </w:rPr>
            </w:pPr>
          </w:p>
        </w:tc>
        <w:tc>
          <w:tcPr>
            <w:tcW w:w="0" w:type="auto"/>
            <w:vAlign w:val="center"/>
            <w:hideMark/>
          </w:tcPr>
          <w:p w14:paraId="403AF3F9" w14:textId="77777777" w:rsidR="00000000" w:rsidRDefault="00195E73">
            <w:pPr>
              <w:rPr>
                <w:rFonts w:eastAsia="Times New Roman"/>
                <w:sz w:val="20"/>
                <w:szCs w:val="20"/>
              </w:rPr>
            </w:pPr>
          </w:p>
        </w:tc>
        <w:tc>
          <w:tcPr>
            <w:tcW w:w="0" w:type="auto"/>
            <w:vAlign w:val="center"/>
            <w:hideMark/>
          </w:tcPr>
          <w:p w14:paraId="30AE6310" w14:textId="77777777" w:rsidR="00000000" w:rsidRDefault="00195E73">
            <w:pPr>
              <w:rPr>
                <w:rFonts w:eastAsia="Times New Roman"/>
                <w:sz w:val="20"/>
                <w:szCs w:val="20"/>
              </w:rPr>
            </w:pPr>
          </w:p>
        </w:tc>
        <w:tc>
          <w:tcPr>
            <w:tcW w:w="0" w:type="auto"/>
            <w:vAlign w:val="center"/>
            <w:hideMark/>
          </w:tcPr>
          <w:p w14:paraId="2D1B1ADB" w14:textId="77777777" w:rsidR="00000000" w:rsidRDefault="00195E73">
            <w:pPr>
              <w:rPr>
                <w:rFonts w:eastAsia="Times New Roman"/>
                <w:sz w:val="20"/>
                <w:szCs w:val="20"/>
              </w:rPr>
            </w:pPr>
          </w:p>
        </w:tc>
        <w:tc>
          <w:tcPr>
            <w:tcW w:w="0" w:type="auto"/>
            <w:vAlign w:val="center"/>
            <w:hideMark/>
          </w:tcPr>
          <w:p w14:paraId="03E20653" w14:textId="77777777" w:rsidR="00000000" w:rsidRDefault="00195E73">
            <w:pPr>
              <w:rPr>
                <w:rFonts w:eastAsia="Times New Roman"/>
                <w:sz w:val="20"/>
                <w:szCs w:val="20"/>
              </w:rPr>
            </w:pPr>
          </w:p>
        </w:tc>
        <w:tc>
          <w:tcPr>
            <w:tcW w:w="0" w:type="auto"/>
            <w:vAlign w:val="center"/>
            <w:hideMark/>
          </w:tcPr>
          <w:p w14:paraId="11194B90" w14:textId="77777777" w:rsidR="00000000" w:rsidRDefault="00195E73">
            <w:pPr>
              <w:rPr>
                <w:rFonts w:eastAsia="Times New Roman"/>
                <w:sz w:val="20"/>
                <w:szCs w:val="20"/>
              </w:rPr>
            </w:pPr>
          </w:p>
        </w:tc>
        <w:tc>
          <w:tcPr>
            <w:tcW w:w="0" w:type="auto"/>
            <w:vAlign w:val="center"/>
            <w:hideMark/>
          </w:tcPr>
          <w:p w14:paraId="127489A3" w14:textId="77777777" w:rsidR="00000000" w:rsidRDefault="00195E73">
            <w:pPr>
              <w:rPr>
                <w:rFonts w:eastAsia="Times New Roman"/>
                <w:sz w:val="20"/>
                <w:szCs w:val="20"/>
              </w:rPr>
            </w:pPr>
          </w:p>
        </w:tc>
        <w:tc>
          <w:tcPr>
            <w:tcW w:w="0" w:type="auto"/>
            <w:vAlign w:val="center"/>
            <w:hideMark/>
          </w:tcPr>
          <w:p w14:paraId="1BD10025" w14:textId="77777777" w:rsidR="00000000" w:rsidRDefault="00195E73">
            <w:pPr>
              <w:rPr>
                <w:rFonts w:eastAsia="Times New Roman"/>
                <w:sz w:val="20"/>
                <w:szCs w:val="20"/>
              </w:rPr>
            </w:pPr>
          </w:p>
        </w:tc>
        <w:tc>
          <w:tcPr>
            <w:tcW w:w="0" w:type="auto"/>
            <w:vAlign w:val="center"/>
            <w:hideMark/>
          </w:tcPr>
          <w:p w14:paraId="3BFF3B52" w14:textId="77777777" w:rsidR="00000000" w:rsidRDefault="00195E73">
            <w:pPr>
              <w:rPr>
                <w:rFonts w:eastAsia="Times New Roman"/>
                <w:sz w:val="20"/>
                <w:szCs w:val="20"/>
              </w:rPr>
            </w:pPr>
          </w:p>
        </w:tc>
        <w:tc>
          <w:tcPr>
            <w:tcW w:w="0" w:type="auto"/>
            <w:vAlign w:val="center"/>
            <w:hideMark/>
          </w:tcPr>
          <w:p w14:paraId="49939540" w14:textId="77777777" w:rsidR="00000000" w:rsidRDefault="00195E73">
            <w:pPr>
              <w:rPr>
                <w:rFonts w:eastAsia="Times New Roman"/>
                <w:sz w:val="20"/>
                <w:szCs w:val="20"/>
              </w:rPr>
            </w:pPr>
          </w:p>
        </w:tc>
      </w:tr>
      <w:tr w:rsidR="00000000" w14:paraId="3EAAE98E" w14:textId="77777777">
        <w:trPr>
          <w:divId w:val="1455518801"/>
          <w:jc w:val="center"/>
        </w:trPr>
        <w:tc>
          <w:tcPr>
            <w:tcW w:w="0" w:type="auto"/>
            <w:gridSpan w:val="3"/>
            <w:shd w:val="clear" w:color="auto" w:fill="CCEEFF"/>
            <w:tcMar>
              <w:top w:w="30" w:type="dxa"/>
              <w:left w:w="20" w:type="dxa"/>
              <w:bottom w:w="30" w:type="dxa"/>
              <w:right w:w="20" w:type="dxa"/>
            </w:tcMar>
            <w:vAlign w:val="bottom"/>
            <w:hideMark/>
          </w:tcPr>
          <w:p w14:paraId="2CB30475" w14:textId="77777777" w:rsidR="00000000" w:rsidRDefault="00195E73">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ABED7D7" w14:textId="77777777" w:rsidR="00000000" w:rsidRDefault="00195E73">
            <w:pPr>
              <w:jc w:val="right"/>
              <w:rPr>
                <w:rFonts w:eastAsia="Times New Roman"/>
              </w:rPr>
            </w:pPr>
            <w:r>
              <w:rPr>
                <w:rFonts w:eastAsia="Times New Roman"/>
                <w:color w:val="000000"/>
                <w:sz w:val="20"/>
                <w:szCs w:val="20"/>
              </w:rPr>
              <w:t>1,855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66B3D0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B1215C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DA6F61" w14:textId="77777777" w:rsidR="00000000" w:rsidRDefault="00195E73">
            <w:pPr>
              <w:jc w:val="right"/>
              <w:rPr>
                <w:rFonts w:eastAsia="Times New Roman"/>
              </w:rPr>
            </w:pPr>
            <w:r>
              <w:rPr>
                <w:rFonts w:eastAsia="Times New Roman"/>
                <w:color w:val="000000"/>
                <w:sz w:val="20"/>
                <w:szCs w:val="20"/>
              </w:rPr>
              <w:t>2,983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9EF87E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53E3E9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F479EE" w14:textId="77777777" w:rsidR="00000000" w:rsidRDefault="00195E73">
            <w:pPr>
              <w:jc w:val="right"/>
              <w:rPr>
                <w:rFonts w:eastAsia="Times New Roman"/>
              </w:rPr>
            </w:pPr>
            <w:r>
              <w:rPr>
                <w:rFonts w:eastAsia="Times New Roman"/>
                <w:color w:val="000000"/>
                <w:sz w:val="20"/>
                <w:szCs w:val="20"/>
              </w:rPr>
              <w:t>2,196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F66D1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8C3C5B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853726" w14:textId="77777777" w:rsidR="00000000" w:rsidRDefault="00195E73">
            <w:pPr>
              <w:jc w:val="right"/>
              <w:rPr>
                <w:rFonts w:eastAsia="Times New Roman"/>
              </w:rPr>
            </w:pPr>
            <w:r>
              <w:rPr>
                <w:rFonts w:eastAsia="Times New Roman"/>
                <w:color w:val="000000"/>
                <w:sz w:val="20"/>
                <w:szCs w:val="20"/>
              </w:rPr>
              <w:t>3,423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6A1B10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412307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DB1369" w14:textId="77777777" w:rsidR="00000000" w:rsidRDefault="00195E73">
            <w:pPr>
              <w:jc w:val="right"/>
              <w:rPr>
                <w:rFonts w:eastAsia="Times New Roman"/>
              </w:rPr>
            </w:pPr>
            <w:r>
              <w:rPr>
                <w:rFonts w:eastAsia="Times New Roman"/>
                <w:color w:val="000000"/>
                <w:sz w:val="20"/>
                <w:szCs w:val="20"/>
              </w:rPr>
              <w:t>2,320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784817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168197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A58C2D" w14:textId="77777777" w:rsidR="00000000" w:rsidRDefault="00195E73">
            <w:pPr>
              <w:jc w:val="right"/>
              <w:rPr>
                <w:rFonts w:eastAsia="Times New Roman"/>
              </w:rPr>
            </w:pPr>
            <w:r>
              <w:rPr>
                <w:rFonts w:eastAsia="Times New Roman"/>
                <w:color w:val="000000"/>
                <w:sz w:val="20"/>
                <w:szCs w:val="20"/>
              </w:rPr>
              <w:t>2,569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6FF58B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CFA369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0C68B0" w14:textId="77777777" w:rsidR="00000000" w:rsidRDefault="00195E73">
            <w:pPr>
              <w:jc w:val="right"/>
              <w:rPr>
                <w:rFonts w:eastAsia="Times New Roman"/>
              </w:rPr>
            </w:pPr>
            <w:r>
              <w:rPr>
                <w:rFonts w:eastAsia="Times New Roman"/>
                <w:color w:val="000000"/>
                <w:sz w:val="20"/>
                <w:szCs w:val="20"/>
              </w:rPr>
              <w:t>2,621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19064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C12793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C0AE90" w14:textId="77777777" w:rsidR="00000000" w:rsidRDefault="00195E73">
            <w:pPr>
              <w:jc w:val="right"/>
              <w:rPr>
                <w:rFonts w:eastAsia="Times New Roman"/>
              </w:rPr>
            </w:pPr>
            <w:r>
              <w:rPr>
                <w:rFonts w:eastAsia="Times New Roman"/>
                <w:color w:val="000000"/>
                <w:sz w:val="20"/>
                <w:szCs w:val="20"/>
              </w:rPr>
              <w:t>2,802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9F588A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B884D4D" w14:textId="77777777" w:rsidR="00000000" w:rsidRDefault="00195E73">
            <w:pPr>
              <w:rPr>
                <w:rFonts w:eastAsia="Times New Roman"/>
                <w:sz w:val="20"/>
                <w:szCs w:val="20"/>
              </w:rPr>
            </w:pPr>
          </w:p>
        </w:tc>
        <w:tc>
          <w:tcPr>
            <w:tcW w:w="0" w:type="auto"/>
            <w:vAlign w:val="center"/>
            <w:hideMark/>
          </w:tcPr>
          <w:p w14:paraId="170A6CB3" w14:textId="77777777" w:rsidR="00000000" w:rsidRDefault="00195E73">
            <w:pPr>
              <w:rPr>
                <w:rFonts w:eastAsia="Times New Roman"/>
                <w:sz w:val="20"/>
                <w:szCs w:val="20"/>
              </w:rPr>
            </w:pPr>
          </w:p>
        </w:tc>
        <w:tc>
          <w:tcPr>
            <w:tcW w:w="0" w:type="auto"/>
            <w:vAlign w:val="center"/>
            <w:hideMark/>
          </w:tcPr>
          <w:p w14:paraId="05F8CDD2" w14:textId="77777777" w:rsidR="00000000" w:rsidRDefault="00195E73">
            <w:pPr>
              <w:rPr>
                <w:rFonts w:eastAsia="Times New Roman"/>
                <w:sz w:val="20"/>
                <w:szCs w:val="20"/>
              </w:rPr>
            </w:pPr>
          </w:p>
        </w:tc>
        <w:tc>
          <w:tcPr>
            <w:tcW w:w="0" w:type="auto"/>
            <w:vAlign w:val="center"/>
            <w:hideMark/>
          </w:tcPr>
          <w:p w14:paraId="34FCAD02" w14:textId="77777777" w:rsidR="00000000" w:rsidRDefault="00195E73">
            <w:pPr>
              <w:rPr>
                <w:rFonts w:eastAsia="Times New Roman"/>
                <w:sz w:val="20"/>
                <w:szCs w:val="20"/>
              </w:rPr>
            </w:pPr>
          </w:p>
        </w:tc>
        <w:tc>
          <w:tcPr>
            <w:tcW w:w="0" w:type="auto"/>
            <w:vAlign w:val="center"/>
            <w:hideMark/>
          </w:tcPr>
          <w:p w14:paraId="5C85F6A6" w14:textId="77777777" w:rsidR="00000000" w:rsidRDefault="00195E73">
            <w:pPr>
              <w:rPr>
                <w:rFonts w:eastAsia="Times New Roman"/>
                <w:sz w:val="20"/>
                <w:szCs w:val="20"/>
              </w:rPr>
            </w:pPr>
          </w:p>
        </w:tc>
        <w:tc>
          <w:tcPr>
            <w:tcW w:w="0" w:type="auto"/>
            <w:vAlign w:val="center"/>
            <w:hideMark/>
          </w:tcPr>
          <w:p w14:paraId="1A541EBD" w14:textId="77777777" w:rsidR="00000000" w:rsidRDefault="00195E73">
            <w:pPr>
              <w:rPr>
                <w:rFonts w:eastAsia="Times New Roman"/>
                <w:sz w:val="20"/>
                <w:szCs w:val="20"/>
              </w:rPr>
            </w:pPr>
          </w:p>
        </w:tc>
        <w:tc>
          <w:tcPr>
            <w:tcW w:w="0" w:type="auto"/>
            <w:vAlign w:val="center"/>
            <w:hideMark/>
          </w:tcPr>
          <w:p w14:paraId="282C09BC" w14:textId="77777777" w:rsidR="00000000" w:rsidRDefault="00195E73">
            <w:pPr>
              <w:rPr>
                <w:rFonts w:eastAsia="Times New Roman"/>
                <w:sz w:val="20"/>
                <w:szCs w:val="20"/>
              </w:rPr>
            </w:pPr>
          </w:p>
        </w:tc>
        <w:tc>
          <w:tcPr>
            <w:tcW w:w="0" w:type="auto"/>
            <w:vAlign w:val="center"/>
            <w:hideMark/>
          </w:tcPr>
          <w:p w14:paraId="3C7E394E" w14:textId="77777777" w:rsidR="00000000" w:rsidRDefault="00195E73">
            <w:pPr>
              <w:rPr>
                <w:rFonts w:eastAsia="Times New Roman"/>
                <w:sz w:val="20"/>
                <w:szCs w:val="20"/>
              </w:rPr>
            </w:pPr>
          </w:p>
        </w:tc>
        <w:tc>
          <w:tcPr>
            <w:tcW w:w="0" w:type="auto"/>
            <w:vAlign w:val="center"/>
            <w:hideMark/>
          </w:tcPr>
          <w:p w14:paraId="51692E2A" w14:textId="77777777" w:rsidR="00000000" w:rsidRDefault="00195E73">
            <w:pPr>
              <w:rPr>
                <w:rFonts w:eastAsia="Times New Roman"/>
                <w:sz w:val="20"/>
                <w:szCs w:val="20"/>
              </w:rPr>
            </w:pPr>
          </w:p>
        </w:tc>
        <w:tc>
          <w:tcPr>
            <w:tcW w:w="0" w:type="auto"/>
            <w:vAlign w:val="center"/>
            <w:hideMark/>
          </w:tcPr>
          <w:p w14:paraId="4B1CF060" w14:textId="77777777" w:rsidR="00000000" w:rsidRDefault="00195E73">
            <w:pPr>
              <w:rPr>
                <w:rFonts w:eastAsia="Times New Roman"/>
                <w:sz w:val="20"/>
                <w:szCs w:val="20"/>
              </w:rPr>
            </w:pPr>
          </w:p>
        </w:tc>
        <w:tc>
          <w:tcPr>
            <w:tcW w:w="0" w:type="auto"/>
            <w:vAlign w:val="center"/>
            <w:hideMark/>
          </w:tcPr>
          <w:p w14:paraId="303E7B07" w14:textId="77777777" w:rsidR="00000000" w:rsidRDefault="00195E73">
            <w:pPr>
              <w:rPr>
                <w:rFonts w:eastAsia="Times New Roman"/>
                <w:sz w:val="20"/>
                <w:szCs w:val="20"/>
              </w:rPr>
            </w:pPr>
          </w:p>
        </w:tc>
        <w:tc>
          <w:tcPr>
            <w:tcW w:w="0" w:type="auto"/>
            <w:vAlign w:val="center"/>
            <w:hideMark/>
          </w:tcPr>
          <w:p w14:paraId="68028173" w14:textId="77777777" w:rsidR="00000000" w:rsidRDefault="00195E73">
            <w:pPr>
              <w:rPr>
                <w:rFonts w:eastAsia="Times New Roman"/>
                <w:sz w:val="20"/>
                <w:szCs w:val="20"/>
              </w:rPr>
            </w:pPr>
          </w:p>
        </w:tc>
        <w:tc>
          <w:tcPr>
            <w:tcW w:w="0" w:type="auto"/>
            <w:vAlign w:val="center"/>
            <w:hideMark/>
          </w:tcPr>
          <w:p w14:paraId="432D04AD" w14:textId="77777777" w:rsidR="00000000" w:rsidRDefault="00195E73">
            <w:pPr>
              <w:rPr>
                <w:rFonts w:eastAsia="Times New Roman"/>
                <w:sz w:val="20"/>
                <w:szCs w:val="20"/>
              </w:rPr>
            </w:pPr>
          </w:p>
        </w:tc>
        <w:tc>
          <w:tcPr>
            <w:tcW w:w="0" w:type="auto"/>
            <w:vAlign w:val="center"/>
            <w:hideMark/>
          </w:tcPr>
          <w:p w14:paraId="311929E7" w14:textId="77777777" w:rsidR="00000000" w:rsidRDefault="00195E73">
            <w:pPr>
              <w:rPr>
                <w:rFonts w:eastAsia="Times New Roman"/>
                <w:sz w:val="20"/>
                <w:szCs w:val="20"/>
              </w:rPr>
            </w:pPr>
          </w:p>
        </w:tc>
        <w:tc>
          <w:tcPr>
            <w:tcW w:w="0" w:type="auto"/>
            <w:vAlign w:val="center"/>
            <w:hideMark/>
          </w:tcPr>
          <w:p w14:paraId="2D696094" w14:textId="77777777" w:rsidR="00000000" w:rsidRDefault="00195E73">
            <w:pPr>
              <w:rPr>
                <w:rFonts w:eastAsia="Times New Roman"/>
                <w:sz w:val="20"/>
                <w:szCs w:val="20"/>
              </w:rPr>
            </w:pPr>
          </w:p>
        </w:tc>
      </w:tr>
      <w:tr w:rsidR="00000000" w14:paraId="0C2A47C9" w14:textId="77777777">
        <w:trPr>
          <w:divId w:val="1455518801"/>
          <w:jc w:val="center"/>
        </w:trPr>
        <w:tc>
          <w:tcPr>
            <w:tcW w:w="0" w:type="auto"/>
            <w:gridSpan w:val="3"/>
            <w:shd w:val="clear" w:color="auto" w:fill="FFFFFF"/>
            <w:tcMar>
              <w:top w:w="30" w:type="dxa"/>
              <w:left w:w="20" w:type="dxa"/>
              <w:bottom w:w="30" w:type="dxa"/>
              <w:right w:w="20" w:type="dxa"/>
            </w:tcMar>
            <w:vAlign w:val="bottom"/>
            <w:hideMark/>
          </w:tcPr>
          <w:p w14:paraId="3DCEB39E" w14:textId="77777777" w:rsidR="00000000" w:rsidRDefault="00195E73">
            <w:pPr>
              <w:ind w:hanging="90"/>
              <w:divId w:val="310453025"/>
              <w:rPr>
                <w:rFonts w:eastAsia="Times New Roman"/>
              </w:rPr>
            </w:pPr>
            <w:r>
              <w:rPr>
                <w:rFonts w:eastAsia="Times New Roman"/>
                <w:color w:val="000000"/>
                <w:sz w:val="20"/>
                <w:szCs w:val="20"/>
              </w:rPr>
              <w:t>Income (loss) from continuing operation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DCD95BB" w14:textId="77777777" w:rsidR="00000000" w:rsidRDefault="00195E73">
            <w:pPr>
              <w:jc w:val="right"/>
              <w:rPr>
                <w:rFonts w:eastAsia="Times New Roman"/>
              </w:rPr>
            </w:pPr>
            <w:r>
              <w:rPr>
                <w:rFonts w:eastAsia="Times New Roman"/>
                <w:color w:val="000000"/>
                <w:sz w:val="20"/>
                <w:szCs w:val="20"/>
              </w:rPr>
              <w:t>(664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2F5FEE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240A0D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66FF12" w14:textId="77777777" w:rsidR="00000000" w:rsidRDefault="00195E73">
            <w:pPr>
              <w:jc w:val="right"/>
              <w:rPr>
                <w:rFonts w:eastAsia="Times New Roman"/>
              </w:rPr>
            </w:pPr>
            <w:r>
              <w:rPr>
                <w:rFonts w:eastAsia="Times New Roman"/>
                <w:color w:val="000000"/>
                <w:sz w:val="20"/>
                <w:szCs w:val="20"/>
              </w:rPr>
              <w:t>367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E541A6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B85A91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B5A802" w14:textId="77777777" w:rsidR="00000000" w:rsidRDefault="00195E73">
            <w:pPr>
              <w:jc w:val="right"/>
              <w:rPr>
                <w:rFonts w:eastAsia="Times New Roman"/>
              </w:rPr>
            </w:pPr>
            <w:r>
              <w:rPr>
                <w:rFonts w:eastAsia="Times New Roman"/>
                <w:color w:val="000000"/>
                <w:sz w:val="20"/>
                <w:szCs w:val="20"/>
              </w:rPr>
              <w:t>(573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0FB32E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FDCFAD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902761" w14:textId="77777777" w:rsidR="00000000" w:rsidRDefault="00195E73">
            <w:pPr>
              <w:jc w:val="right"/>
              <w:rPr>
                <w:rFonts w:eastAsia="Times New Roman"/>
              </w:rPr>
            </w:pPr>
            <w:r>
              <w:rPr>
                <w:rFonts w:eastAsia="Times New Roman"/>
                <w:color w:val="000000"/>
                <w:sz w:val="20"/>
                <w:szCs w:val="20"/>
              </w:rPr>
              <w:t>410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443984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035555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181FB5" w14:textId="77777777" w:rsidR="00000000" w:rsidRDefault="00195E73">
            <w:pPr>
              <w:jc w:val="right"/>
              <w:rPr>
                <w:rFonts w:eastAsia="Times New Roman"/>
              </w:rPr>
            </w:pPr>
            <w:r>
              <w:rPr>
                <w:rFonts w:eastAsia="Times New Roman"/>
                <w:color w:val="000000"/>
                <w:sz w:val="20"/>
                <w:szCs w:val="20"/>
              </w:rPr>
              <w:t>(373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D853DA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B9AA31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6F22B0" w14:textId="77777777" w:rsidR="00000000" w:rsidRDefault="00195E73">
            <w:pPr>
              <w:jc w:val="right"/>
              <w:rPr>
                <w:rFonts w:eastAsia="Times New Roman"/>
              </w:rPr>
            </w:pPr>
            <w:r>
              <w:rPr>
                <w:rFonts w:eastAsia="Times New Roman"/>
                <w:color w:val="000000"/>
                <w:sz w:val="20"/>
                <w:szCs w:val="20"/>
              </w:rPr>
              <w:t>(334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0928D6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147B5F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1C5669" w14:textId="77777777" w:rsidR="00000000" w:rsidRDefault="00195E73">
            <w:pPr>
              <w:jc w:val="right"/>
              <w:rPr>
                <w:rFonts w:eastAsia="Times New Roman"/>
              </w:rPr>
            </w:pPr>
            <w:r>
              <w:rPr>
                <w:rFonts w:eastAsia="Times New Roman"/>
                <w:color w:val="000000"/>
                <w:sz w:val="20"/>
                <w:szCs w:val="20"/>
              </w:rPr>
              <w:t>(149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52BF54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26C82C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E2B130" w14:textId="77777777" w:rsidR="00000000" w:rsidRDefault="00195E73">
            <w:pPr>
              <w:jc w:val="right"/>
              <w:rPr>
                <w:rFonts w:eastAsia="Times New Roman"/>
              </w:rPr>
            </w:pPr>
            <w:r>
              <w:rPr>
                <w:rFonts w:eastAsia="Times New Roman"/>
                <w:color w:val="000000"/>
                <w:sz w:val="20"/>
                <w:szCs w:val="20"/>
              </w:rPr>
              <w:t>(206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EB4598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7DC4B44" w14:textId="77777777" w:rsidR="00000000" w:rsidRDefault="00195E73">
            <w:pPr>
              <w:rPr>
                <w:rFonts w:eastAsia="Times New Roman"/>
                <w:sz w:val="20"/>
                <w:szCs w:val="20"/>
              </w:rPr>
            </w:pPr>
          </w:p>
        </w:tc>
        <w:tc>
          <w:tcPr>
            <w:tcW w:w="0" w:type="auto"/>
            <w:vAlign w:val="center"/>
            <w:hideMark/>
          </w:tcPr>
          <w:p w14:paraId="39404FC3" w14:textId="77777777" w:rsidR="00000000" w:rsidRDefault="00195E73">
            <w:pPr>
              <w:rPr>
                <w:rFonts w:eastAsia="Times New Roman"/>
                <w:sz w:val="20"/>
                <w:szCs w:val="20"/>
              </w:rPr>
            </w:pPr>
          </w:p>
        </w:tc>
        <w:tc>
          <w:tcPr>
            <w:tcW w:w="0" w:type="auto"/>
            <w:vAlign w:val="center"/>
            <w:hideMark/>
          </w:tcPr>
          <w:p w14:paraId="7340C06E" w14:textId="77777777" w:rsidR="00000000" w:rsidRDefault="00195E73">
            <w:pPr>
              <w:rPr>
                <w:rFonts w:eastAsia="Times New Roman"/>
                <w:sz w:val="20"/>
                <w:szCs w:val="20"/>
              </w:rPr>
            </w:pPr>
          </w:p>
        </w:tc>
        <w:tc>
          <w:tcPr>
            <w:tcW w:w="0" w:type="auto"/>
            <w:vAlign w:val="center"/>
            <w:hideMark/>
          </w:tcPr>
          <w:p w14:paraId="16233EF0" w14:textId="77777777" w:rsidR="00000000" w:rsidRDefault="00195E73">
            <w:pPr>
              <w:rPr>
                <w:rFonts w:eastAsia="Times New Roman"/>
                <w:sz w:val="20"/>
                <w:szCs w:val="20"/>
              </w:rPr>
            </w:pPr>
          </w:p>
        </w:tc>
        <w:tc>
          <w:tcPr>
            <w:tcW w:w="0" w:type="auto"/>
            <w:vAlign w:val="center"/>
            <w:hideMark/>
          </w:tcPr>
          <w:p w14:paraId="61324425" w14:textId="77777777" w:rsidR="00000000" w:rsidRDefault="00195E73">
            <w:pPr>
              <w:rPr>
                <w:rFonts w:eastAsia="Times New Roman"/>
                <w:sz w:val="20"/>
                <w:szCs w:val="20"/>
              </w:rPr>
            </w:pPr>
          </w:p>
        </w:tc>
        <w:tc>
          <w:tcPr>
            <w:tcW w:w="0" w:type="auto"/>
            <w:vAlign w:val="center"/>
            <w:hideMark/>
          </w:tcPr>
          <w:p w14:paraId="606D19CE" w14:textId="77777777" w:rsidR="00000000" w:rsidRDefault="00195E73">
            <w:pPr>
              <w:rPr>
                <w:rFonts w:eastAsia="Times New Roman"/>
                <w:sz w:val="20"/>
                <w:szCs w:val="20"/>
              </w:rPr>
            </w:pPr>
          </w:p>
        </w:tc>
        <w:tc>
          <w:tcPr>
            <w:tcW w:w="0" w:type="auto"/>
            <w:vAlign w:val="center"/>
            <w:hideMark/>
          </w:tcPr>
          <w:p w14:paraId="5483CFEC" w14:textId="77777777" w:rsidR="00000000" w:rsidRDefault="00195E73">
            <w:pPr>
              <w:rPr>
                <w:rFonts w:eastAsia="Times New Roman"/>
                <w:sz w:val="20"/>
                <w:szCs w:val="20"/>
              </w:rPr>
            </w:pPr>
          </w:p>
        </w:tc>
        <w:tc>
          <w:tcPr>
            <w:tcW w:w="0" w:type="auto"/>
            <w:vAlign w:val="center"/>
            <w:hideMark/>
          </w:tcPr>
          <w:p w14:paraId="5FCC73A3" w14:textId="77777777" w:rsidR="00000000" w:rsidRDefault="00195E73">
            <w:pPr>
              <w:rPr>
                <w:rFonts w:eastAsia="Times New Roman"/>
                <w:sz w:val="20"/>
                <w:szCs w:val="20"/>
              </w:rPr>
            </w:pPr>
          </w:p>
        </w:tc>
        <w:tc>
          <w:tcPr>
            <w:tcW w:w="0" w:type="auto"/>
            <w:vAlign w:val="center"/>
            <w:hideMark/>
          </w:tcPr>
          <w:p w14:paraId="417D2B6D" w14:textId="77777777" w:rsidR="00000000" w:rsidRDefault="00195E73">
            <w:pPr>
              <w:rPr>
                <w:rFonts w:eastAsia="Times New Roman"/>
                <w:sz w:val="20"/>
                <w:szCs w:val="20"/>
              </w:rPr>
            </w:pPr>
          </w:p>
        </w:tc>
        <w:tc>
          <w:tcPr>
            <w:tcW w:w="0" w:type="auto"/>
            <w:vAlign w:val="center"/>
            <w:hideMark/>
          </w:tcPr>
          <w:p w14:paraId="79F7CE0F" w14:textId="77777777" w:rsidR="00000000" w:rsidRDefault="00195E73">
            <w:pPr>
              <w:rPr>
                <w:rFonts w:eastAsia="Times New Roman"/>
                <w:sz w:val="20"/>
                <w:szCs w:val="20"/>
              </w:rPr>
            </w:pPr>
          </w:p>
        </w:tc>
        <w:tc>
          <w:tcPr>
            <w:tcW w:w="0" w:type="auto"/>
            <w:vAlign w:val="center"/>
            <w:hideMark/>
          </w:tcPr>
          <w:p w14:paraId="32A91102" w14:textId="77777777" w:rsidR="00000000" w:rsidRDefault="00195E73">
            <w:pPr>
              <w:rPr>
                <w:rFonts w:eastAsia="Times New Roman"/>
                <w:sz w:val="20"/>
                <w:szCs w:val="20"/>
              </w:rPr>
            </w:pPr>
          </w:p>
        </w:tc>
        <w:tc>
          <w:tcPr>
            <w:tcW w:w="0" w:type="auto"/>
            <w:vAlign w:val="center"/>
            <w:hideMark/>
          </w:tcPr>
          <w:p w14:paraId="1AFE416F" w14:textId="77777777" w:rsidR="00000000" w:rsidRDefault="00195E73">
            <w:pPr>
              <w:rPr>
                <w:rFonts w:eastAsia="Times New Roman"/>
                <w:sz w:val="20"/>
                <w:szCs w:val="20"/>
              </w:rPr>
            </w:pPr>
          </w:p>
        </w:tc>
        <w:tc>
          <w:tcPr>
            <w:tcW w:w="0" w:type="auto"/>
            <w:vAlign w:val="center"/>
            <w:hideMark/>
          </w:tcPr>
          <w:p w14:paraId="272112A5" w14:textId="77777777" w:rsidR="00000000" w:rsidRDefault="00195E73">
            <w:pPr>
              <w:rPr>
                <w:rFonts w:eastAsia="Times New Roman"/>
                <w:sz w:val="20"/>
                <w:szCs w:val="20"/>
              </w:rPr>
            </w:pPr>
          </w:p>
        </w:tc>
        <w:tc>
          <w:tcPr>
            <w:tcW w:w="0" w:type="auto"/>
            <w:vAlign w:val="center"/>
            <w:hideMark/>
          </w:tcPr>
          <w:p w14:paraId="3AD51D2F" w14:textId="77777777" w:rsidR="00000000" w:rsidRDefault="00195E73">
            <w:pPr>
              <w:rPr>
                <w:rFonts w:eastAsia="Times New Roman"/>
                <w:sz w:val="20"/>
                <w:szCs w:val="20"/>
              </w:rPr>
            </w:pPr>
          </w:p>
        </w:tc>
        <w:tc>
          <w:tcPr>
            <w:tcW w:w="0" w:type="auto"/>
            <w:vAlign w:val="center"/>
            <w:hideMark/>
          </w:tcPr>
          <w:p w14:paraId="1CCD545D" w14:textId="77777777" w:rsidR="00000000" w:rsidRDefault="00195E73">
            <w:pPr>
              <w:rPr>
                <w:rFonts w:eastAsia="Times New Roman"/>
                <w:sz w:val="20"/>
                <w:szCs w:val="20"/>
              </w:rPr>
            </w:pPr>
          </w:p>
        </w:tc>
      </w:tr>
      <w:tr w:rsidR="00000000" w14:paraId="5FA31756" w14:textId="77777777">
        <w:trPr>
          <w:divId w:val="1455518801"/>
          <w:jc w:val="center"/>
        </w:trPr>
        <w:tc>
          <w:tcPr>
            <w:tcW w:w="0" w:type="auto"/>
            <w:gridSpan w:val="3"/>
            <w:shd w:val="clear" w:color="auto" w:fill="CCEEFF"/>
            <w:tcMar>
              <w:top w:w="30" w:type="dxa"/>
              <w:left w:w="20" w:type="dxa"/>
              <w:bottom w:w="30" w:type="dxa"/>
              <w:right w:w="20" w:type="dxa"/>
            </w:tcMar>
            <w:vAlign w:val="bottom"/>
            <w:hideMark/>
          </w:tcPr>
          <w:p w14:paraId="4D108EE2" w14:textId="77777777" w:rsidR="00000000" w:rsidRDefault="00195E73">
            <w:pPr>
              <w:ind w:hanging="90"/>
              <w:divId w:val="1270966587"/>
              <w:rPr>
                <w:rFonts w:eastAsia="Times New Roman"/>
              </w:rPr>
            </w:pPr>
            <w:r>
              <w:rPr>
                <w:rFonts w:eastAsia="Times New Roman"/>
                <w:color w:val="000000"/>
                <w:sz w:val="20"/>
                <w:szCs w:val="20"/>
              </w:rPr>
              <w:t>Income (loss) from discontinued operation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F465C08"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9454FE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3176F8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1EEF6E" w14:textId="77777777" w:rsidR="00000000" w:rsidRDefault="00195E73">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ED410D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8963B8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7691D2" w14:textId="77777777" w:rsidR="00000000" w:rsidRDefault="00195E73">
            <w:pPr>
              <w:jc w:val="right"/>
              <w:rPr>
                <w:rFonts w:eastAsia="Times New Roman"/>
              </w:rPr>
            </w:pPr>
            <w:r>
              <w:rPr>
                <w:rFonts w:eastAsia="Times New Roman"/>
                <w:color w:val="000000"/>
                <w:sz w:val="20"/>
                <w:szCs w:val="20"/>
              </w:rPr>
              <w:t>(24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DC4EEC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709C2D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850E9F" w14:textId="77777777" w:rsidR="00000000" w:rsidRDefault="00195E73">
            <w:pPr>
              <w:jc w:val="right"/>
              <w:rPr>
                <w:rFonts w:eastAsia="Times New Roman"/>
              </w:rPr>
            </w:pPr>
            <w:r>
              <w:rPr>
                <w:rFonts w:eastAsia="Times New Roman"/>
                <w:color w:val="000000"/>
                <w:sz w:val="20"/>
                <w:szCs w:val="20"/>
              </w:rPr>
              <w:t>167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78EB30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877793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7168F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BD420C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3FB08E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906041" w14:textId="77777777" w:rsidR="00000000" w:rsidRDefault="00195E73">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DC9602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17A770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3556F4" w14:textId="77777777" w:rsidR="00000000" w:rsidRDefault="00195E73">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355C1C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BF8DCB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38535C" w14:textId="77777777" w:rsidR="00000000" w:rsidRDefault="00195E73">
            <w:pPr>
              <w:jc w:val="right"/>
              <w:rPr>
                <w:rFonts w:eastAsia="Times New Roman"/>
              </w:rPr>
            </w:pPr>
            <w:r>
              <w:rPr>
                <w:rFonts w:eastAsia="Times New Roman"/>
                <w:color w:val="000000"/>
                <w:sz w:val="20"/>
                <w:szCs w:val="20"/>
              </w:rPr>
              <w:t>1,376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CE2EC6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8950309" w14:textId="77777777" w:rsidR="00000000" w:rsidRDefault="00195E73">
            <w:pPr>
              <w:rPr>
                <w:rFonts w:eastAsia="Times New Roman"/>
                <w:sz w:val="20"/>
                <w:szCs w:val="20"/>
              </w:rPr>
            </w:pPr>
          </w:p>
        </w:tc>
        <w:tc>
          <w:tcPr>
            <w:tcW w:w="0" w:type="auto"/>
            <w:vAlign w:val="center"/>
            <w:hideMark/>
          </w:tcPr>
          <w:p w14:paraId="37A2709F" w14:textId="77777777" w:rsidR="00000000" w:rsidRDefault="00195E73">
            <w:pPr>
              <w:rPr>
                <w:rFonts w:eastAsia="Times New Roman"/>
                <w:sz w:val="20"/>
                <w:szCs w:val="20"/>
              </w:rPr>
            </w:pPr>
          </w:p>
        </w:tc>
        <w:tc>
          <w:tcPr>
            <w:tcW w:w="0" w:type="auto"/>
            <w:vAlign w:val="center"/>
            <w:hideMark/>
          </w:tcPr>
          <w:p w14:paraId="6DC7635E" w14:textId="77777777" w:rsidR="00000000" w:rsidRDefault="00195E73">
            <w:pPr>
              <w:rPr>
                <w:rFonts w:eastAsia="Times New Roman"/>
                <w:sz w:val="20"/>
                <w:szCs w:val="20"/>
              </w:rPr>
            </w:pPr>
          </w:p>
        </w:tc>
        <w:tc>
          <w:tcPr>
            <w:tcW w:w="0" w:type="auto"/>
            <w:vAlign w:val="center"/>
            <w:hideMark/>
          </w:tcPr>
          <w:p w14:paraId="153C04A9" w14:textId="77777777" w:rsidR="00000000" w:rsidRDefault="00195E73">
            <w:pPr>
              <w:rPr>
                <w:rFonts w:eastAsia="Times New Roman"/>
                <w:sz w:val="20"/>
                <w:szCs w:val="20"/>
              </w:rPr>
            </w:pPr>
          </w:p>
        </w:tc>
        <w:tc>
          <w:tcPr>
            <w:tcW w:w="0" w:type="auto"/>
            <w:vAlign w:val="center"/>
            <w:hideMark/>
          </w:tcPr>
          <w:p w14:paraId="3A8B9672" w14:textId="77777777" w:rsidR="00000000" w:rsidRDefault="00195E73">
            <w:pPr>
              <w:rPr>
                <w:rFonts w:eastAsia="Times New Roman"/>
                <w:sz w:val="20"/>
                <w:szCs w:val="20"/>
              </w:rPr>
            </w:pPr>
          </w:p>
        </w:tc>
        <w:tc>
          <w:tcPr>
            <w:tcW w:w="0" w:type="auto"/>
            <w:vAlign w:val="center"/>
            <w:hideMark/>
          </w:tcPr>
          <w:p w14:paraId="18175F18" w14:textId="77777777" w:rsidR="00000000" w:rsidRDefault="00195E73">
            <w:pPr>
              <w:rPr>
                <w:rFonts w:eastAsia="Times New Roman"/>
                <w:sz w:val="20"/>
                <w:szCs w:val="20"/>
              </w:rPr>
            </w:pPr>
          </w:p>
        </w:tc>
        <w:tc>
          <w:tcPr>
            <w:tcW w:w="0" w:type="auto"/>
            <w:vAlign w:val="center"/>
            <w:hideMark/>
          </w:tcPr>
          <w:p w14:paraId="53A7E0BA" w14:textId="77777777" w:rsidR="00000000" w:rsidRDefault="00195E73">
            <w:pPr>
              <w:rPr>
                <w:rFonts w:eastAsia="Times New Roman"/>
                <w:sz w:val="20"/>
                <w:szCs w:val="20"/>
              </w:rPr>
            </w:pPr>
          </w:p>
        </w:tc>
        <w:tc>
          <w:tcPr>
            <w:tcW w:w="0" w:type="auto"/>
            <w:vAlign w:val="center"/>
            <w:hideMark/>
          </w:tcPr>
          <w:p w14:paraId="6A652492" w14:textId="77777777" w:rsidR="00000000" w:rsidRDefault="00195E73">
            <w:pPr>
              <w:rPr>
                <w:rFonts w:eastAsia="Times New Roman"/>
                <w:sz w:val="20"/>
                <w:szCs w:val="20"/>
              </w:rPr>
            </w:pPr>
          </w:p>
        </w:tc>
        <w:tc>
          <w:tcPr>
            <w:tcW w:w="0" w:type="auto"/>
            <w:vAlign w:val="center"/>
            <w:hideMark/>
          </w:tcPr>
          <w:p w14:paraId="4538EF8C" w14:textId="77777777" w:rsidR="00000000" w:rsidRDefault="00195E73">
            <w:pPr>
              <w:rPr>
                <w:rFonts w:eastAsia="Times New Roman"/>
                <w:sz w:val="20"/>
                <w:szCs w:val="20"/>
              </w:rPr>
            </w:pPr>
          </w:p>
        </w:tc>
        <w:tc>
          <w:tcPr>
            <w:tcW w:w="0" w:type="auto"/>
            <w:vAlign w:val="center"/>
            <w:hideMark/>
          </w:tcPr>
          <w:p w14:paraId="344AA706" w14:textId="77777777" w:rsidR="00000000" w:rsidRDefault="00195E73">
            <w:pPr>
              <w:rPr>
                <w:rFonts w:eastAsia="Times New Roman"/>
                <w:sz w:val="20"/>
                <w:szCs w:val="20"/>
              </w:rPr>
            </w:pPr>
          </w:p>
        </w:tc>
        <w:tc>
          <w:tcPr>
            <w:tcW w:w="0" w:type="auto"/>
            <w:vAlign w:val="center"/>
            <w:hideMark/>
          </w:tcPr>
          <w:p w14:paraId="2EF670DD" w14:textId="77777777" w:rsidR="00000000" w:rsidRDefault="00195E73">
            <w:pPr>
              <w:rPr>
                <w:rFonts w:eastAsia="Times New Roman"/>
                <w:sz w:val="20"/>
                <w:szCs w:val="20"/>
              </w:rPr>
            </w:pPr>
          </w:p>
        </w:tc>
        <w:tc>
          <w:tcPr>
            <w:tcW w:w="0" w:type="auto"/>
            <w:vAlign w:val="center"/>
            <w:hideMark/>
          </w:tcPr>
          <w:p w14:paraId="3F54A667" w14:textId="77777777" w:rsidR="00000000" w:rsidRDefault="00195E73">
            <w:pPr>
              <w:rPr>
                <w:rFonts w:eastAsia="Times New Roman"/>
                <w:sz w:val="20"/>
                <w:szCs w:val="20"/>
              </w:rPr>
            </w:pPr>
          </w:p>
        </w:tc>
        <w:tc>
          <w:tcPr>
            <w:tcW w:w="0" w:type="auto"/>
            <w:vAlign w:val="center"/>
            <w:hideMark/>
          </w:tcPr>
          <w:p w14:paraId="2D808846" w14:textId="77777777" w:rsidR="00000000" w:rsidRDefault="00195E73">
            <w:pPr>
              <w:rPr>
                <w:rFonts w:eastAsia="Times New Roman"/>
                <w:sz w:val="20"/>
                <w:szCs w:val="20"/>
              </w:rPr>
            </w:pPr>
          </w:p>
        </w:tc>
        <w:tc>
          <w:tcPr>
            <w:tcW w:w="0" w:type="auto"/>
            <w:vAlign w:val="center"/>
            <w:hideMark/>
          </w:tcPr>
          <w:p w14:paraId="36F8AA84" w14:textId="77777777" w:rsidR="00000000" w:rsidRDefault="00195E73">
            <w:pPr>
              <w:rPr>
                <w:rFonts w:eastAsia="Times New Roman"/>
                <w:sz w:val="20"/>
                <w:szCs w:val="20"/>
              </w:rPr>
            </w:pPr>
          </w:p>
        </w:tc>
        <w:tc>
          <w:tcPr>
            <w:tcW w:w="0" w:type="auto"/>
            <w:vAlign w:val="center"/>
            <w:hideMark/>
          </w:tcPr>
          <w:p w14:paraId="7CB24F8F" w14:textId="77777777" w:rsidR="00000000" w:rsidRDefault="00195E73">
            <w:pPr>
              <w:rPr>
                <w:rFonts w:eastAsia="Times New Roman"/>
                <w:sz w:val="20"/>
                <w:szCs w:val="20"/>
              </w:rPr>
            </w:pPr>
          </w:p>
        </w:tc>
      </w:tr>
      <w:tr w:rsidR="00000000" w14:paraId="6B691C45" w14:textId="77777777">
        <w:trPr>
          <w:divId w:val="1455518801"/>
          <w:jc w:val="center"/>
        </w:trPr>
        <w:tc>
          <w:tcPr>
            <w:tcW w:w="0" w:type="auto"/>
            <w:gridSpan w:val="3"/>
            <w:shd w:val="clear" w:color="auto" w:fill="FFFFFF"/>
            <w:tcMar>
              <w:top w:w="30" w:type="dxa"/>
              <w:left w:w="20" w:type="dxa"/>
              <w:bottom w:w="30" w:type="dxa"/>
              <w:right w:w="20" w:type="dxa"/>
            </w:tcMar>
            <w:vAlign w:val="bottom"/>
            <w:hideMark/>
          </w:tcPr>
          <w:p w14:paraId="0EC317C9" w14:textId="77777777" w:rsidR="00000000" w:rsidRDefault="00195E73">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742FD1" w14:textId="77777777" w:rsidR="00000000" w:rsidRDefault="00195E73">
            <w:pPr>
              <w:jc w:val="right"/>
              <w:rPr>
                <w:rFonts w:eastAsia="Times New Roman"/>
              </w:rPr>
            </w:pPr>
            <w:r>
              <w:rPr>
                <w:rFonts w:eastAsia="Times New Roman"/>
                <w:color w:val="000000"/>
                <w:sz w:val="20"/>
                <w:szCs w:val="20"/>
              </w:rPr>
              <w:t>(664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D5B4EC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EADB4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EAED3D" w14:textId="77777777" w:rsidR="00000000" w:rsidRDefault="00195E73">
            <w:pPr>
              <w:jc w:val="right"/>
              <w:rPr>
                <w:rFonts w:eastAsia="Times New Roman"/>
              </w:rPr>
            </w:pPr>
            <w:r>
              <w:rPr>
                <w:rFonts w:eastAsia="Times New Roman"/>
                <w:color w:val="000000"/>
                <w:sz w:val="20"/>
                <w:szCs w:val="20"/>
              </w:rPr>
              <w:t>412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D9C0AB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653C1E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41C5CF" w14:textId="77777777" w:rsidR="00000000" w:rsidRDefault="00195E73">
            <w:pPr>
              <w:jc w:val="right"/>
              <w:rPr>
                <w:rFonts w:eastAsia="Times New Roman"/>
              </w:rPr>
            </w:pPr>
            <w:r>
              <w:rPr>
                <w:rFonts w:eastAsia="Times New Roman"/>
                <w:color w:val="000000"/>
                <w:sz w:val="20"/>
                <w:szCs w:val="20"/>
              </w:rPr>
              <w:t>(597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44E4D6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AFCFD0D"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84CD3E" w14:textId="77777777" w:rsidR="00000000" w:rsidRDefault="00195E73">
            <w:pPr>
              <w:jc w:val="right"/>
              <w:rPr>
                <w:rFonts w:eastAsia="Times New Roman"/>
              </w:rPr>
            </w:pPr>
            <w:r>
              <w:rPr>
                <w:rFonts w:eastAsia="Times New Roman"/>
                <w:color w:val="000000"/>
                <w:sz w:val="20"/>
                <w:szCs w:val="20"/>
              </w:rPr>
              <w:t>577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FC27E3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370004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C6B162" w14:textId="77777777" w:rsidR="00000000" w:rsidRDefault="00195E73">
            <w:pPr>
              <w:jc w:val="right"/>
              <w:rPr>
                <w:rFonts w:eastAsia="Times New Roman"/>
              </w:rPr>
            </w:pPr>
            <w:r>
              <w:rPr>
                <w:rFonts w:eastAsia="Times New Roman"/>
                <w:color w:val="000000"/>
                <w:sz w:val="20"/>
                <w:szCs w:val="20"/>
              </w:rPr>
              <w:t>(373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38FA21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849391F"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213705" w14:textId="77777777" w:rsidR="00000000" w:rsidRDefault="00195E73">
            <w:pPr>
              <w:jc w:val="right"/>
              <w:rPr>
                <w:rFonts w:eastAsia="Times New Roman"/>
              </w:rPr>
            </w:pPr>
            <w:r>
              <w:rPr>
                <w:rFonts w:eastAsia="Times New Roman"/>
                <w:color w:val="000000"/>
                <w:sz w:val="20"/>
                <w:szCs w:val="20"/>
              </w:rPr>
              <w:t>(158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148B61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D7DC91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98A7E4" w14:textId="77777777" w:rsidR="00000000" w:rsidRDefault="00195E73">
            <w:pPr>
              <w:jc w:val="right"/>
              <w:rPr>
                <w:rFonts w:eastAsia="Times New Roman"/>
              </w:rPr>
            </w:pPr>
            <w:r>
              <w:rPr>
                <w:rFonts w:eastAsia="Times New Roman"/>
                <w:color w:val="000000"/>
                <w:sz w:val="20"/>
                <w:szCs w:val="20"/>
              </w:rPr>
              <w:t>(157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46D873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E8CAA0"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B25C2D" w14:textId="77777777" w:rsidR="00000000" w:rsidRDefault="00195E73">
            <w:pPr>
              <w:jc w:val="right"/>
              <w:rPr>
                <w:rFonts w:eastAsia="Times New Roman"/>
              </w:rPr>
            </w:pPr>
            <w:r>
              <w:rPr>
                <w:rFonts w:eastAsia="Times New Roman"/>
                <w:color w:val="000000"/>
                <w:sz w:val="20"/>
                <w:szCs w:val="20"/>
              </w:rPr>
              <w:t>1,170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687147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7283B0B" w14:textId="77777777" w:rsidR="00000000" w:rsidRDefault="00195E73">
            <w:pPr>
              <w:rPr>
                <w:rFonts w:eastAsia="Times New Roman"/>
                <w:sz w:val="20"/>
                <w:szCs w:val="20"/>
              </w:rPr>
            </w:pPr>
          </w:p>
        </w:tc>
        <w:tc>
          <w:tcPr>
            <w:tcW w:w="0" w:type="auto"/>
            <w:vAlign w:val="center"/>
            <w:hideMark/>
          </w:tcPr>
          <w:p w14:paraId="0D6E08D7" w14:textId="77777777" w:rsidR="00000000" w:rsidRDefault="00195E73">
            <w:pPr>
              <w:rPr>
                <w:rFonts w:eastAsia="Times New Roman"/>
                <w:sz w:val="20"/>
                <w:szCs w:val="20"/>
              </w:rPr>
            </w:pPr>
          </w:p>
        </w:tc>
        <w:tc>
          <w:tcPr>
            <w:tcW w:w="0" w:type="auto"/>
            <w:vAlign w:val="center"/>
            <w:hideMark/>
          </w:tcPr>
          <w:p w14:paraId="5155CC8A" w14:textId="77777777" w:rsidR="00000000" w:rsidRDefault="00195E73">
            <w:pPr>
              <w:rPr>
                <w:rFonts w:eastAsia="Times New Roman"/>
                <w:sz w:val="20"/>
                <w:szCs w:val="20"/>
              </w:rPr>
            </w:pPr>
          </w:p>
        </w:tc>
        <w:tc>
          <w:tcPr>
            <w:tcW w:w="0" w:type="auto"/>
            <w:vAlign w:val="center"/>
            <w:hideMark/>
          </w:tcPr>
          <w:p w14:paraId="639498F5" w14:textId="77777777" w:rsidR="00000000" w:rsidRDefault="00195E73">
            <w:pPr>
              <w:rPr>
                <w:rFonts w:eastAsia="Times New Roman"/>
                <w:sz w:val="20"/>
                <w:szCs w:val="20"/>
              </w:rPr>
            </w:pPr>
          </w:p>
        </w:tc>
        <w:tc>
          <w:tcPr>
            <w:tcW w:w="0" w:type="auto"/>
            <w:vAlign w:val="center"/>
            <w:hideMark/>
          </w:tcPr>
          <w:p w14:paraId="56BCCC24" w14:textId="77777777" w:rsidR="00000000" w:rsidRDefault="00195E73">
            <w:pPr>
              <w:rPr>
                <w:rFonts w:eastAsia="Times New Roman"/>
                <w:sz w:val="20"/>
                <w:szCs w:val="20"/>
              </w:rPr>
            </w:pPr>
          </w:p>
        </w:tc>
        <w:tc>
          <w:tcPr>
            <w:tcW w:w="0" w:type="auto"/>
            <w:vAlign w:val="center"/>
            <w:hideMark/>
          </w:tcPr>
          <w:p w14:paraId="23F05274" w14:textId="77777777" w:rsidR="00000000" w:rsidRDefault="00195E73">
            <w:pPr>
              <w:rPr>
                <w:rFonts w:eastAsia="Times New Roman"/>
                <w:sz w:val="20"/>
                <w:szCs w:val="20"/>
              </w:rPr>
            </w:pPr>
          </w:p>
        </w:tc>
        <w:tc>
          <w:tcPr>
            <w:tcW w:w="0" w:type="auto"/>
            <w:vAlign w:val="center"/>
            <w:hideMark/>
          </w:tcPr>
          <w:p w14:paraId="5597E9A8" w14:textId="77777777" w:rsidR="00000000" w:rsidRDefault="00195E73">
            <w:pPr>
              <w:rPr>
                <w:rFonts w:eastAsia="Times New Roman"/>
                <w:sz w:val="20"/>
                <w:szCs w:val="20"/>
              </w:rPr>
            </w:pPr>
          </w:p>
        </w:tc>
        <w:tc>
          <w:tcPr>
            <w:tcW w:w="0" w:type="auto"/>
            <w:vAlign w:val="center"/>
            <w:hideMark/>
          </w:tcPr>
          <w:p w14:paraId="3FEBB0BE" w14:textId="77777777" w:rsidR="00000000" w:rsidRDefault="00195E73">
            <w:pPr>
              <w:rPr>
                <w:rFonts w:eastAsia="Times New Roman"/>
                <w:sz w:val="20"/>
                <w:szCs w:val="20"/>
              </w:rPr>
            </w:pPr>
          </w:p>
        </w:tc>
        <w:tc>
          <w:tcPr>
            <w:tcW w:w="0" w:type="auto"/>
            <w:vAlign w:val="center"/>
            <w:hideMark/>
          </w:tcPr>
          <w:p w14:paraId="4FE83347" w14:textId="77777777" w:rsidR="00000000" w:rsidRDefault="00195E73">
            <w:pPr>
              <w:rPr>
                <w:rFonts w:eastAsia="Times New Roman"/>
                <w:sz w:val="20"/>
                <w:szCs w:val="20"/>
              </w:rPr>
            </w:pPr>
          </w:p>
        </w:tc>
        <w:tc>
          <w:tcPr>
            <w:tcW w:w="0" w:type="auto"/>
            <w:vAlign w:val="center"/>
            <w:hideMark/>
          </w:tcPr>
          <w:p w14:paraId="1A0404DC" w14:textId="77777777" w:rsidR="00000000" w:rsidRDefault="00195E73">
            <w:pPr>
              <w:rPr>
                <w:rFonts w:eastAsia="Times New Roman"/>
                <w:sz w:val="20"/>
                <w:szCs w:val="20"/>
              </w:rPr>
            </w:pPr>
          </w:p>
        </w:tc>
        <w:tc>
          <w:tcPr>
            <w:tcW w:w="0" w:type="auto"/>
            <w:vAlign w:val="center"/>
            <w:hideMark/>
          </w:tcPr>
          <w:p w14:paraId="273B2C23" w14:textId="77777777" w:rsidR="00000000" w:rsidRDefault="00195E73">
            <w:pPr>
              <w:rPr>
                <w:rFonts w:eastAsia="Times New Roman"/>
                <w:sz w:val="20"/>
                <w:szCs w:val="20"/>
              </w:rPr>
            </w:pPr>
          </w:p>
        </w:tc>
        <w:tc>
          <w:tcPr>
            <w:tcW w:w="0" w:type="auto"/>
            <w:vAlign w:val="center"/>
            <w:hideMark/>
          </w:tcPr>
          <w:p w14:paraId="241907BE" w14:textId="77777777" w:rsidR="00000000" w:rsidRDefault="00195E73">
            <w:pPr>
              <w:rPr>
                <w:rFonts w:eastAsia="Times New Roman"/>
                <w:sz w:val="20"/>
                <w:szCs w:val="20"/>
              </w:rPr>
            </w:pPr>
          </w:p>
        </w:tc>
        <w:tc>
          <w:tcPr>
            <w:tcW w:w="0" w:type="auto"/>
            <w:vAlign w:val="center"/>
            <w:hideMark/>
          </w:tcPr>
          <w:p w14:paraId="6F4AD35F" w14:textId="77777777" w:rsidR="00000000" w:rsidRDefault="00195E73">
            <w:pPr>
              <w:rPr>
                <w:rFonts w:eastAsia="Times New Roman"/>
                <w:sz w:val="20"/>
                <w:szCs w:val="20"/>
              </w:rPr>
            </w:pPr>
          </w:p>
        </w:tc>
        <w:tc>
          <w:tcPr>
            <w:tcW w:w="0" w:type="auto"/>
            <w:vAlign w:val="center"/>
            <w:hideMark/>
          </w:tcPr>
          <w:p w14:paraId="249BCB11" w14:textId="77777777" w:rsidR="00000000" w:rsidRDefault="00195E73">
            <w:pPr>
              <w:rPr>
                <w:rFonts w:eastAsia="Times New Roman"/>
                <w:sz w:val="20"/>
                <w:szCs w:val="20"/>
              </w:rPr>
            </w:pPr>
          </w:p>
        </w:tc>
        <w:tc>
          <w:tcPr>
            <w:tcW w:w="0" w:type="auto"/>
            <w:vAlign w:val="center"/>
            <w:hideMark/>
          </w:tcPr>
          <w:p w14:paraId="07C9FFDB" w14:textId="77777777" w:rsidR="00000000" w:rsidRDefault="00195E73">
            <w:pPr>
              <w:rPr>
                <w:rFonts w:eastAsia="Times New Roman"/>
                <w:sz w:val="20"/>
                <w:szCs w:val="20"/>
              </w:rPr>
            </w:pPr>
          </w:p>
        </w:tc>
      </w:tr>
      <w:tr w:rsidR="00000000" w14:paraId="6DF321A7" w14:textId="77777777">
        <w:trPr>
          <w:divId w:val="1455518801"/>
          <w:jc w:val="center"/>
        </w:trPr>
        <w:tc>
          <w:tcPr>
            <w:tcW w:w="0" w:type="auto"/>
            <w:gridSpan w:val="3"/>
            <w:shd w:val="clear" w:color="auto" w:fill="CCEEFF"/>
            <w:tcMar>
              <w:top w:w="30" w:type="dxa"/>
              <w:left w:w="20" w:type="dxa"/>
              <w:bottom w:w="30" w:type="dxa"/>
              <w:right w:w="20" w:type="dxa"/>
            </w:tcMar>
            <w:vAlign w:val="bottom"/>
            <w:hideMark/>
          </w:tcPr>
          <w:p w14:paraId="3A6E673F" w14:textId="77777777" w:rsidR="00000000" w:rsidRDefault="00195E73">
            <w:pPr>
              <w:ind w:hanging="90"/>
              <w:divId w:val="358242393"/>
              <w:rPr>
                <w:rFonts w:eastAsia="Times New Roman"/>
              </w:rPr>
            </w:pPr>
            <w:r>
              <w:rPr>
                <w:rFonts w:eastAsia="Times New Roman"/>
                <w:color w:val="000000"/>
                <w:sz w:val="20"/>
                <w:szCs w:val="20"/>
              </w:rPr>
              <w:t>Net loss (income) attributable to 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87BB02F" w14:textId="77777777" w:rsidR="00000000" w:rsidRDefault="00195E73">
            <w:pPr>
              <w:jc w:val="right"/>
              <w:rPr>
                <w:rFonts w:eastAsia="Times New Roman"/>
              </w:rPr>
            </w:pPr>
            <w:r>
              <w:rPr>
                <w:rFonts w:eastAsia="Times New Roman"/>
                <w:color w:val="000000"/>
                <w:sz w:val="20"/>
                <w:szCs w:val="20"/>
              </w:rPr>
              <w:t>(270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C22BBC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B8BF20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CFE94E" w14:textId="77777777" w:rsidR="00000000" w:rsidRDefault="00195E73">
            <w:pPr>
              <w:jc w:val="right"/>
              <w:rPr>
                <w:rFonts w:eastAsia="Times New Roman"/>
              </w:rPr>
            </w:pPr>
            <w:r>
              <w:rPr>
                <w:rFonts w:eastAsia="Times New Roman"/>
                <w:color w:val="000000"/>
                <w:sz w:val="20"/>
                <w:szCs w:val="20"/>
              </w:rPr>
              <w:t>280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D36201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7ADD0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7DAC2F" w14:textId="77777777" w:rsidR="00000000" w:rsidRDefault="00195E73">
            <w:pPr>
              <w:jc w:val="right"/>
              <w:rPr>
                <w:rFonts w:eastAsia="Times New Roman"/>
              </w:rPr>
            </w:pPr>
            <w:r>
              <w:rPr>
                <w:rFonts w:eastAsia="Times New Roman"/>
                <w:color w:val="000000"/>
                <w:sz w:val="20"/>
                <w:szCs w:val="20"/>
              </w:rPr>
              <w:t>(99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44356B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662D44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762578" w14:textId="77777777" w:rsidR="00000000" w:rsidRDefault="00195E73">
            <w:pPr>
              <w:jc w:val="right"/>
              <w:rPr>
                <w:rFonts w:eastAsia="Times New Roman"/>
              </w:rPr>
            </w:pPr>
            <w:r>
              <w:rPr>
                <w:rFonts w:eastAsia="Times New Roman"/>
                <w:color w:val="000000"/>
                <w:sz w:val="20"/>
                <w:szCs w:val="20"/>
              </w:rPr>
              <w:t>275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788549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422298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A0FA5D" w14:textId="77777777" w:rsidR="00000000" w:rsidRDefault="00195E73">
            <w:pPr>
              <w:jc w:val="right"/>
              <w:rPr>
                <w:rFonts w:eastAsia="Times New Roman"/>
              </w:rPr>
            </w:pPr>
            <w:r>
              <w:rPr>
                <w:rFonts w:eastAsia="Times New Roman"/>
                <w:color w:val="000000"/>
                <w:sz w:val="20"/>
                <w:szCs w:val="20"/>
              </w:rPr>
              <w:t>(324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3B18A1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D0B791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301316" w14:textId="77777777" w:rsidR="00000000" w:rsidRDefault="00195E73">
            <w:pPr>
              <w:jc w:val="right"/>
              <w:rPr>
                <w:rFonts w:eastAsia="Times New Roman"/>
              </w:rPr>
            </w:pPr>
            <w:r>
              <w:rPr>
                <w:rFonts w:eastAsia="Times New Roman"/>
                <w:color w:val="000000"/>
                <w:sz w:val="20"/>
                <w:szCs w:val="20"/>
              </w:rPr>
              <w:t>(276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B58F64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ECDFF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596006"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FC596B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A34418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C2975C" w14:textId="77777777" w:rsidR="00000000" w:rsidRDefault="00195E73">
            <w:pPr>
              <w:jc w:val="right"/>
              <w:rPr>
                <w:rFonts w:eastAsia="Times New Roman"/>
              </w:rPr>
            </w:pPr>
            <w:r>
              <w:rPr>
                <w:rFonts w:eastAsia="Times New Roman"/>
                <w:color w:val="000000"/>
                <w:sz w:val="20"/>
                <w:szCs w:val="20"/>
              </w:rPr>
              <w:t>240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1356A8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945A406" w14:textId="77777777" w:rsidR="00000000" w:rsidRDefault="00195E73">
            <w:pPr>
              <w:rPr>
                <w:rFonts w:eastAsia="Times New Roman"/>
                <w:sz w:val="20"/>
                <w:szCs w:val="20"/>
              </w:rPr>
            </w:pPr>
          </w:p>
        </w:tc>
        <w:tc>
          <w:tcPr>
            <w:tcW w:w="0" w:type="auto"/>
            <w:vAlign w:val="center"/>
            <w:hideMark/>
          </w:tcPr>
          <w:p w14:paraId="0FB25D3D" w14:textId="77777777" w:rsidR="00000000" w:rsidRDefault="00195E73">
            <w:pPr>
              <w:rPr>
                <w:rFonts w:eastAsia="Times New Roman"/>
                <w:sz w:val="20"/>
                <w:szCs w:val="20"/>
              </w:rPr>
            </w:pPr>
          </w:p>
        </w:tc>
        <w:tc>
          <w:tcPr>
            <w:tcW w:w="0" w:type="auto"/>
            <w:vAlign w:val="center"/>
            <w:hideMark/>
          </w:tcPr>
          <w:p w14:paraId="48AFA595" w14:textId="77777777" w:rsidR="00000000" w:rsidRDefault="00195E73">
            <w:pPr>
              <w:rPr>
                <w:rFonts w:eastAsia="Times New Roman"/>
                <w:sz w:val="20"/>
                <w:szCs w:val="20"/>
              </w:rPr>
            </w:pPr>
          </w:p>
        </w:tc>
        <w:tc>
          <w:tcPr>
            <w:tcW w:w="0" w:type="auto"/>
            <w:vAlign w:val="center"/>
            <w:hideMark/>
          </w:tcPr>
          <w:p w14:paraId="1570165B" w14:textId="77777777" w:rsidR="00000000" w:rsidRDefault="00195E73">
            <w:pPr>
              <w:rPr>
                <w:rFonts w:eastAsia="Times New Roman"/>
                <w:sz w:val="20"/>
                <w:szCs w:val="20"/>
              </w:rPr>
            </w:pPr>
          </w:p>
        </w:tc>
        <w:tc>
          <w:tcPr>
            <w:tcW w:w="0" w:type="auto"/>
            <w:vAlign w:val="center"/>
            <w:hideMark/>
          </w:tcPr>
          <w:p w14:paraId="081650A4" w14:textId="77777777" w:rsidR="00000000" w:rsidRDefault="00195E73">
            <w:pPr>
              <w:rPr>
                <w:rFonts w:eastAsia="Times New Roman"/>
                <w:sz w:val="20"/>
                <w:szCs w:val="20"/>
              </w:rPr>
            </w:pPr>
          </w:p>
        </w:tc>
        <w:tc>
          <w:tcPr>
            <w:tcW w:w="0" w:type="auto"/>
            <w:vAlign w:val="center"/>
            <w:hideMark/>
          </w:tcPr>
          <w:p w14:paraId="5B20642A" w14:textId="77777777" w:rsidR="00000000" w:rsidRDefault="00195E73">
            <w:pPr>
              <w:rPr>
                <w:rFonts w:eastAsia="Times New Roman"/>
                <w:sz w:val="20"/>
                <w:szCs w:val="20"/>
              </w:rPr>
            </w:pPr>
          </w:p>
        </w:tc>
        <w:tc>
          <w:tcPr>
            <w:tcW w:w="0" w:type="auto"/>
            <w:vAlign w:val="center"/>
            <w:hideMark/>
          </w:tcPr>
          <w:p w14:paraId="04AF8F21" w14:textId="77777777" w:rsidR="00000000" w:rsidRDefault="00195E73">
            <w:pPr>
              <w:rPr>
                <w:rFonts w:eastAsia="Times New Roman"/>
                <w:sz w:val="20"/>
                <w:szCs w:val="20"/>
              </w:rPr>
            </w:pPr>
          </w:p>
        </w:tc>
        <w:tc>
          <w:tcPr>
            <w:tcW w:w="0" w:type="auto"/>
            <w:vAlign w:val="center"/>
            <w:hideMark/>
          </w:tcPr>
          <w:p w14:paraId="5E129FBB" w14:textId="77777777" w:rsidR="00000000" w:rsidRDefault="00195E73">
            <w:pPr>
              <w:rPr>
                <w:rFonts w:eastAsia="Times New Roman"/>
                <w:sz w:val="20"/>
                <w:szCs w:val="20"/>
              </w:rPr>
            </w:pPr>
          </w:p>
        </w:tc>
        <w:tc>
          <w:tcPr>
            <w:tcW w:w="0" w:type="auto"/>
            <w:vAlign w:val="center"/>
            <w:hideMark/>
          </w:tcPr>
          <w:p w14:paraId="0B86B25C" w14:textId="77777777" w:rsidR="00000000" w:rsidRDefault="00195E73">
            <w:pPr>
              <w:rPr>
                <w:rFonts w:eastAsia="Times New Roman"/>
                <w:sz w:val="20"/>
                <w:szCs w:val="20"/>
              </w:rPr>
            </w:pPr>
          </w:p>
        </w:tc>
        <w:tc>
          <w:tcPr>
            <w:tcW w:w="0" w:type="auto"/>
            <w:vAlign w:val="center"/>
            <w:hideMark/>
          </w:tcPr>
          <w:p w14:paraId="49753CB4" w14:textId="77777777" w:rsidR="00000000" w:rsidRDefault="00195E73">
            <w:pPr>
              <w:rPr>
                <w:rFonts w:eastAsia="Times New Roman"/>
                <w:sz w:val="20"/>
                <w:szCs w:val="20"/>
              </w:rPr>
            </w:pPr>
          </w:p>
        </w:tc>
        <w:tc>
          <w:tcPr>
            <w:tcW w:w="0" w:type="auto"/>
            <w:vAlign w:val="center"/>
            <w:hideMark/>
          </w:tcPr>
          <w:p w14:paraId="31A69198" w14:textId="77777777" w:rsidR="00000000" w:rsidRDefault="00195E73">
            <w:pPr>
              <w:rPr>
                <w:rFonts w:eastAsia="Times New Roman"/>
                <w:sz w:val="20"/>
                <w:szCs w:val="20"/>
              </w:rPr>
            </w:pPr>
          </w:p>
        </w:tc>
        <w:tc>
          <w:tcPr>
            <w:tcW w:w="0" w:type="auto"/>
            <w:vAlign w:val="center"/>
            <w:hideMark/>
          </w:tcPr>
          <w:p w14:paraId="5E2C43A4" w14:textId="77777777" w:rsidR="00000000" w:rsidRDefault="00195E73">
            <w:pPr>
              <w:rPr>
                <w:rFonts w:eastAsia="Times New Roman"/>
                <w:sz w:val="20"/>
                <w:szCs w:val="20"/>
              </w:rPr>
            </w:pPr>
          </w:p>
        </w:tc>
        <w:tc>
          <w:tcPr>
            <w:tcW w:w="0" w:type="auto"/>
            <w:vAlign w:val="center"/>
            <w:hideMark/>
          </w:tcPr>
          <w:p w14:paraId="632BD918" w14:textId="77777777" w:rsidR="00000000" w:rsidRDefault="00195E73">
            <w:pPr>
              <w:rPr>
                <w:rFonts w:eastAsia="Times New Roman"/>
                <w:sz w:val="20"/>
                <w:szCs w:val="20"/>
              </w:rPr>
            </w:pPr>
          </w:p>
        </w:tc>
        <w:tc>
          <w:tcPr>
            <w:tcW w:w="0" w:type="auto"/>
            <w:vAlign w:val="center"/>
            <w:hideMark/>
          </w:tcPr>
          <w:p w14:paraId="24346ADA" w14:textId="77777777" w:rsidR="00000000" w:rsidRDefault="00195E73">
            <w:pPr>
              <w:rPr>
                <w:rFonts w:eastAsia="Times New Roman"/>
                <w:sz w:val="20"/>
                <w:szCs w:val="20"/>
              </w:rPr>
            </w:pPr>
          </w:p>
        </w:tc>
        <w:tc>
          <w:tcPr>
            <w:tcW w:w="0" w:type="auto"/>
            <w:vAlign w:val="center"/>
            <w:hideMark/>
          </w:tcPr>
          <w:p w14:paraId="09F3EDB6" w14:textId="77777777" w:rsidR="00000000" w:rsidRDefault="00195E73">
            <w:pPr>
              <w:rPr>
                <w:rFonts w:eastAsia="Times New Roman"/>
                <w:sz w:val="20"/>
                <w:szCs w:val="20"/>
              </w:rPr>
            </w:pPr>
          </w:p>
        </w:tc>
      </w:tr>
      <w:tr w:rsidR="00195E73" w14:paraId="4B4247B4" w14:textId="77777777">
        <w:trPr>
          <w:divId w:val="1455518801"/>
          <w:jc w:val="center"/>
        </w:trPr>
        <w:tc>
          <w:tcPr>
            <w:tcW w:w="0" w:type="auto"/>
            <w:gridSpan w:val="3"/>
            <w:shd w:val="clear" w:color="auto" w:fill="FFFFFF"/>
            <w:tcMar>
              <w:top w:w="30" w:type="dxa"/>
              <w:left w:w="20" w:type="dxa"/>
              <w:bottom w:w="30" w:type="dxa"/>
              <w:right w:w="20" w:type="dxa"/>
            </w:tcMar>
            <w:vAlign w:val="bottom"/>
            <w:hideMark/>
          </w:tcPr>
          <w:p w14:paraId="235EE8E6" w14:textId="77777777" w:rsidR="00000000" w:rsidRDefault="00195E73">
            <w:pPr>
              <w:ind w:hanging="90"/>
              <w:divId w:val="1822383180"/>
              <w:rPr>
                <w:rFonts w:eastAsia="Times New Roman"/>
              </w:rPr>
            </w:pPr>
            <w:r>
              <w:rPr>
                <w:rFonts w:eastAsia="Times New Roman"/>
                <w:color w:val="000000"/>
                <w:sz w:val="20"/>
                <w:szCs w:val="20"/>
              </w:rPr>
              <w:t>Net income (loss) attributable to Icahn Enterprise</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B19825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CA93131" w14:textId="77777777" w:rsidR="00000000" w:rsidRDefault="00195E73">
            <w:pPr>
              <w:jc w:val="right"/>
              <w:rPr>
                <w:rFonts w:eastAsia="Times New Roman"/>
              </w:rPr>
            </w:pPr>
            <w:r>
              <w:rPr>
                <w:rFonts w:eastAsia="Times New Roman"/>
                <w:color w:val="000000"/>
                <w:sz w:val="20"/>
                <w:szCs w:val="20"/>
              </w:rPr>
              <w:t>(394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1D127D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F2A432"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A91EF6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B990E38" w14:textId="77777777" w:rsidR="00000000" w:rsidRDefault="00195E73">
            <w:pPr>
              <w:jc w:val="right"/>
              <w:rPr>
                <w:rFonts w:eastAsia="Times New Roman"/>
              </w:rPr>
            </w:pPr>
            <w:r>
              <w:rPr>
                <w:rFonts w:eastAsia="Times New Roman"/>
                <w:color w:val="000000"/>
                <w:sz w:val="20"/>
                <w:szCs w:val="20"/>
              </w:rPr>
              <w:t>132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9C333B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0A4B8BF"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A503E1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36BF0B8" w14:textId="77777777" w:rsidR="00000000" w:rsidRDefault="00195E73">
            <w:pPr>
              <w:jc w:val="right"/>
              <w:rPr>
                <w:rFonts w:eastAsia="Times New Roman"/>
              </w:rPr>
            </w:pPr>
            <w:r>
              <w:rPr>
                <w:rFonts w:eastAsia="Times New Roman"/>
                <w:color w:val="000000"/>
                <w:sz w:val="20"/>
                <w:szCs w:val="20"/>
              </w:rPr>
              <w:t>(498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EFEAB4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AFE3E07"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69E6DF4"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6ED1A8F" w14:textId="77777777" w:rsidR="00000000" w:rsidRDefault="00195E73">
            <w:pPr>
              <w:jc w:val="right"/>
              <w:rPr>
                <w:rFonts w:eastAsia="Times New Roman"/>
              </w:rPr>
            </w:pPr>
            <w:r>
              <w:rPr>
                <w:rFonts w:eastAsia="Times New Roman"/>
                <w:color w:val="000000"/>
                <w:sz w:val="20"/>
                <w:szCs w:val="20"/>
              </w:rPr>
              <w:t>302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120AF9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DFD5DA5"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BFE4D5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5EA10F9" w14:textId="77777777" w:rsidR="00000000" w:rsidRDefault="00195E73">
            <w:pPr>
              <w:jc w:val="right"/>
              <w:rPr>
                <w:rFonts w:eastAsia="Times New Roman"/>
              </w:rPr>
            </w:pPr>
            <w:r>
              <w:rPr>
                <w:rFonts w:eastAsia="Times New Roman"/>
                <w:color w:val="000000"/>
                <w:sz w:val="20"/>
                <w:szCs w:val="20"/>
              </w:rPr>
              <w:t>(49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F99D86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C10C1BC"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39E5381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9A6A32D" w14:textId="77777777" w:rsidR="00000000" w:rsidRDefault="00195E73">
            <w:pPr>
              <w:jc w:val="right"/>
              <w:rPr>
                <w:rFonts w:eastAsia="Times New Roman"/>
              </w:rPr>
            </w:pPr>
            <w:r>
              <w:rPr>
                <w:rFonts w:eastAsia="Times New Roman"/>
                <w:color w:val="000000"/>
                <w:sz w:val="20"/>
                <w:szCs w:val="20"/>
              </w:rPr>
              <w:t>118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8CECBB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06AFC0F"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354A29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0EE5E36" w14:textId="77777777" w:rsidR="00000000" w:rsidRDefault="00195E73">
            <w:pPr>
              <w:jc w:val="right"/>
              <w:rPr>
                <w:rFonts w:eastAsia="Times New Roman"/>
              </w:rPr>
            </w:pPr>
            <w:r>
              <w:rPr>
                <w:rFonts w:eastAsia="Times New Roman"/>
                <w:color w:val="000000"/>
                <w:sz w:val="20"/>
                <w:szCs w:val="20"/>
              </w:rPr>
              <w:t>(157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3A111E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538FEC0"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691BCD4"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005E9E1" w14:textId="77777777" w:rsidR="00000000" w:rsidRDefault="00195E73">
            <w:pPr>
              <w:jc w:val="right"/>
              <w:rPr>
                <w:rFonts w:eastAsia="Times New Roman"/>
              </w:rPr>
            </w:pPr>
            <w:r>
              <w:rPr>
                <w:rFonts w:eastAsia="Times New Roman"/>
                <w:color w:val="000000"/>
                <w:sz w:val="20"/>
                <w:szCs w:val="20"/>
              </w:rPr>
              <w:t>930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DEA46E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FAF413E" w14:textId="77777777" w:rsidR="00000000" w:rsidRDefault="00195E73">
            <w:pPr>
              <w:rPr>
                <w:rFonts w:eastAsia="Times New Roman"/>
                <w:sz w:val="20"/>
                <w:szCs w:val="20"/>
              </w:rPr>
            </w:pPr>
          </w:p>
        </w:tc>
        <w:tc>
          <w:tcPr>
            <w:tcW w:w="0" w:type="auto"/>
            <w:vAlign w:val="center"/>
            <w:hideMark/>
          </w:tcPr>
          <w:p w14:paraId="0166D73F" w14:textId="77777777" w:rsidR="00000000" w:rsidRDefault="00195E73">
            <w:pPr>
              <w:rPr>
                <w:rFonts w:eastAsia="Times New Roman"/>
                <w:sz w:val="20"/>
                <w:szCs w:val="20"/>
              </w:rPr>
            </w:pPr>
          </w:p>
        </w:tc>
        <w:tc>
          <w:tcPr>
            <w:tcW w:w="0" w:type="auto"/>
            <w:vAlign w:val="center"/>
            <w:hideMark/>
          </w:tcPr>
          <w:p w14:paraId="615C38C4" w14:textId="77777777" w:rsidR="00000000" w:rsidRDefault="00195E73">
            <w:pPr>
              <w:rPr>
                <w:rFonts w:eastAsia="Times New Roman"/>
                <w:sz w:val="20"/>
                <w:szCs w:val="20"/>
              </w:rPr>
            </w:pPr>
          </w:p>
        </w:tc>
        <w:tc>
          <w:tcPr>
            <w:tcW w:w="0" w:type="auto"/>
            <w:vAlign w:val="center"/>
            <w:hideMark/>
          </w:tcPr>
          <w:p w14:paraId="29FAAFD7" w14:textId="77777777" w:rsidR="00000000" w:rsidRDefault="00195E73">
            <w:pPr>
              <w:rPr>
                <w:rFonts w:eastAsia="Times New Roman"/>
                <w:sz w:val="20"/>
                <w:szCs w:val="20"/>
              </w:rPr>
            </w:pPr>
          </w:p>
        </w:tc>
        <w:tc>
          <w:tcPr>
            <w:tcW w:w="0" w:type="auto"/>
            <w:vAlign w:val="center"/>
            <w:hideMark/>
          </w:tcPr>
          <w:p w14:paraId="11389AFB" w14:textId="77777777" w:rsidR="00000000" w:rsidRDefault="00195E73">
            <w:pPr>
              <w:rPr>
                <w:rFonts w:eastAsia="Times New Roman"/>
                <w:sz w:val="20"/>
                <w:szCs w:val="20"/>
              </w:rPr>
            </w:pPr>
          </w:p>
        </w:tc>
        <w:tc>
          <w:tcPr>
            <w:tcW w:w="0" w:type="auto"/>
            <w:vAlign w:val="center"/>
            <w:hideMark/>
          </w:tcPr>
          <w:p w14:paraId="439E5AC9" w14:textId="77777777" w:rsidR="00000000" w:rsidRDefault="00195E73">
            <w:pPr>
              <w:rPr>
                <w:rFonts w:eastAsia="Times New Roman"/>
                <w:sz w:val="20"/>
                <w:szCs w:val="20"/>
              </w:rPr>
            </w:pPr>
          </w:p>
        </w:tc>
        <w:tc>
          <w:tcPr>
            <w:tcW w:w="0" w:type="auto"/>
            <w:vAlign w:val="center"/>
            <w:hideMark/>
          </w:tcPr>
          <w:p w14:paraId="2D0DB56D" w14:textId="77777777" w:rsidR="00000000" w:rsidRDefault="00195E73">
            <w:pPr>
              <w:rPr>
                <w:rFonts w:eastAsia="Times New Roman"/>
                <w:sz w:val="20"/>
                <w:szCs w:val="20"/>
              </w:rPr>
            </w:pPr>
          </w:p>
        </w:tc>
        <w:tc>
          <w:tcPr>
            <w:tcW w:w="0" w:type="auto"/>
            <w:vAlign w:val="center"/>
            <w:hideMark/>
          </w:tcPr>
          <w:p w14:paraId="01F5D95D" w14:textId="77777777" w:rsidR="00000000" w:rsidRDefault="00195E73">
            <w:pPr>
              <w:rPr>
                <w:rFonts w:eastAsia="Times New Roman"/>
                <w:sz w:val="20"/>
                <w:szCs w:val="20"/>
              </w:rPr>
            </w:pPr>
          </w:p>
        </w:tc>
        <w:tc>
          <w:tcPr>
            <w:tcW w:w="0" w:type="auto"/>
            <w:vAlign w:val="center"/>
            <w:hideMark/>
          </w:tcPr>
          <w:p w14:paraId="4FA07231" w14:textId="77777777" w:rsidR="00000000" w:rsidRDefault="00195E73">
            <w:pPr>
              <w:rPr>
                <w:rFonts w:eastAsia="Times New Roman"/>
                <w:sz w:val="20"/>
                <w:szCs w:val="20"/>
              </w:rPr>
            </w:pPr>
          </w:p>
        </w:tc>
        <w:tc>
          <w:tcPr>
            <w:tcW w:w="0" w:type="auto"/>
            <w:vAlign w:val="center"/>
            <w:hideMark/>
          </w:tcPr>
          <w:p w14:paraId="59499E7D" w14:textId="77777777" w:rsidR="00000000" w:rsidRDefault="00195E73">
            <w:pPr>
              <w:rPr>
                <w:rFonts w:eastAsia="Times New Roman"/>
                <w:sz w:val="20"/>
                <w:szCs w:val="20"/>
              </w:rPr>
            </w:pPr>
          </w:p>
        </w:tc>
        <w:tc>
          <w:tcPr>
            <w:tcW w:w="0" w:type="auto"/>
            <w:vAlign w:val="center"/>
            <w:hideMark/>
          </w:tcPr>
          <w:p w14:paraId="78520656" w14:textId="77777777" w:rsidR="00000000" w:rsidRDefault="00195E73">
            <w:pPr>
              <w:rPr>
                <w:rFonts w:eastAsia="Times New Roman"/>
                <w:sz w:val="20"/>
                <w:szCs w:val="20"/>
              </w:rPr>
            </w:pPr>
          </w:p>
        </w:tc>
        <w:tc>
          <w:tcPr>
            <w:tcW w:w="0" w:type="auto"/>
            <w:vAlign w:val="center"/>
            <w:hideMark/>
          </w:tcPr>
          <w:p w14:paraId="7DCA04C7" w14:textId="77777777" w:rsidR="00000000" w:rsidRDefault="00195E73">
            <w:pPr>
              <w:rPr>
                <w:rFonts w:eastAsia="Times New Roman"/>
                <w:sz w:val="20"/>
                <w:szCs w:val="20"/>
              </w:rPr>
            </w:pPr>
          </w:p>
        </w:tc>
        <w:tc>
          <w:tcPr>
            <w:tcW w:w="0" w:type="auto"/>
            <w:vAlign w:val="center"/>
            <w:hideMark/>
          </w:tcPr>
          <w:p w14:paraId="4A264A17" w14:textId="77777777" w:rsidR="00000000" w:rsidRDefault="00195E73">
            <w:pPr>
              <w:rPr>
                <w:rFonts w:eastAsia="Times New Roman"/>
                <w:sz w:val="20"/>
                <w:szCs w:val="20"/>
              </w:rPr>
            </w:pPr>
          </w:p>
        </w:tc>
        <w:tc>
          <w:tcPr>
            <w:tcW w:w="0" w:type="auto"/>
            <w:vAlign w:val="center"/>
            <w:hideMark/>
          </w:tcPr>
          <w:p w14:paraId="39F541AD" w14:textId="77777777" w:rsidR="00000000" w:rsidRDefault="00195E73">
            <w:pPr>
              <w:rPr>
                <w:rFonts w:eastAsia="Times New Roman"/>
                <w:sz w:val="20"/>
                <w:szCs w:val="20"/>
              </w:rPr>
            </w:pPr>
          </w:p>
        </w:tc>
        <w:tc>
          <w:tcPr>
            <w:tcW w:w="0" w:type="auto"/>
            <w:vAlign w:val="center"/>
            <w:hideMark/>
          </w:tcPr>
          <w:p w14:paraId="10E56437" w14:textId="77777777" w:rsidR="00000000" w:rsidRDefault="00195E73">
            <w:pPr>
              <w:rPr>
                <w:rFonts w:eastAsia="Times New Roman"/>
                <w:sz w:val="20"/>
                <w:szCs w:val="20"/>
              </w:rPr>
            </w:pPr>
          </w:p>
        </w:tc>
      </w:tr>
      <w:tr w:rsidR="00000000" w14:paraId="6F649433" w14:textId="77777777">
        <w:trPr>
          <w:divId w:val="1455518801"/>
          <w:trHeight w:val="240"/>
          <w:jc w:val="center"/>
        </w:trPr>
        <w:tc>
          <w:tcPr>
            <w:tcW w:w="0" w:type="auto"/>
            <w:gridSpan w:val="3"/>
            <w:shd w:val="clear" w:color="auto" w:fill="CCEEFF"/>
            <w:tcMar>
              <w:top w:w="15" w:type="dxa"/>
              <w:left w:w="20" w:type="dxa"/>
              <w:bottom w:w="15" w:type="dxa"/>
              <w:right w:w="20" w:type="dxa"/>
            </w:tcMar>
            <w:vAlign w:val="bottom"/>
            <w:hideMark/>
          </w:tcPr>
          <w:p w14:paraId="48C5A74C" w14:textId="77777777" w:rsidR="00000000" w:rsidRDefault="00195E73">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1AFDF7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31C64F8"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35A5349"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B3A0584"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BF2654F"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D253EB2"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58E318F1"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B40AD12"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B3C4503"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23043C7"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40A5124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7BAA6F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6EA48A5A"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95C8E1D"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EC4CC46" w14:textId="77777777" w:rsidR="00000000" w:rsidRDefault="00195E73">
            <w:pPr>
              <w:rPr>
                <w:rFonts w:eastAsia="Times New Roman"/>
                <w:sz w:val="20"/>
                <w:szCs w:val="20"/>
              </w:rPr>
            </w:pPr>
          </w:p>
        </w:tc>
        <w:tc>
          <w:tcPr>
            <w:tcW w:w="0" w:type="auto"/>
            <w:vAlign w:val="center"/>
            <w:hideMark/>
          </w:tcPr>
          <w:p w14:paraId="4EDD55D2" w14:textId="77777777" w:rsidR="00000000" w:rsidRDefault="00195E73">
            <w:pPr>
              <w:rPr>
                <w:rFonts w:eastAsia="Times New Roman"/>
                <w:sz w:val="20"/>
                <w:szCs w:val="20"/>
              </w:rPr>
            </w:pPr>
          </w:p>
        </w:tc>
        <w:tc>
          <w:tcPr>
            <w:tcW w:w="0" w:type="auto"/>
            <w:vAlign w:val="center"/>
            <w:hideMark/>
          </w:tcPr>
          <w:p w14:paraId="1C324291" w14:textId="77777777" w:rsidR="00000000" w:rsidRDefault="00195E73">
            <w:pPr>
              <w:rPr>
                <w:rFonts w:eastAsia="Times New Roman"/>
                <w:sz w:val="20"/>
                <w:szCs w:val="20"/>
              </w:rPr>
            </w:pPr>
          </w:p>
        </w:tc>
        <w:tc>
          <w:tcPr>
            <w:tcW w:w="0" w:type="auto"/>
            <w:vAlign w:val="center"/>
            <w:hideMark/>
          </w:tcPr>
          <w:p w14:paraId="4F307005" w14:textId="77777777" w:rsidR="00000000" w:rsidRDefault="00195E73">
            <w:pPr>
              <w:rPr>
                <w:rFonts w:eastAsia="Times New Roman"/>
                <w:sz w:val="20"/>
                <w:szCs w:val="20"/>
              </w:rPr>
            </w:pPr>
          </w:p>
        </w:tc>
        <w:tc>
          <w:tcPr>
            <w:tcW w:w="0" w:type="auto"/>
            <w:vAlign w:val="center"/>
            <w:hideMark/>
          </w:tcPr>
          <w:p w14:paraId="10464444" w14:textId="77777777" w:rsidR="00000000" w:rsidRDefault="00195E73">
            <w:pPr>
              <w:rPr>
                <w:rFonts w:eastAsia="Times New Roman"/>
                <w:sz w:val="20"/>
                <w:szCs w:val="20"/>
              </w:rPr>
            </w:pPr>
          </w:p>
        </w:tc>
        <w:tc>
          <w:tcPr>
            <w:tcW w:w="0" w:type="auto"/>
            <w:vAlign w:val="center"/>
            <w:hideMark/>
          </w:tcPr>
          <w:p w14:paraId="72B58D03" w14:textId="77777777" w:rsidR="00000000" w:rsidRDefault="00195E73">
            <w:pPr>
              <w:rPr>
                <w:rFonts w:eastAsia="Times New Roman"/>
                <w:sz w:val="20"/>
                <w:szCs w:val="20"/>
              </w:rPr>
            </w:pPr>
          </w:p>
        </w:tc>
        <w:tc>
          <w:tcPr>
            <w:tcW w:w="0" w:type="auto"/>
            <w:vAlign w:val="center"/>
            <w:hideMark/>
          </w:tcPr>
          <w:p w14:paraId="39EFA1A7" w14:textId="77777777" w:rsidR="00000000" w:rsidRDefault="00195E73">
            <w:pPr>
              <w:rPr>
                <w:rFonts w:eastAsia="Times New Roman"/>
                <w:sz w:val="20"/>
                <w:szCs w:val="20"/>
              </w:rPr>
            </w:pPr>
          </w:p>
        </w:tc>
        <w:tc>
          <w:tcPr>
            <w:tcW w:w="0" w:type="auto"/>
            <w:vAlign w:val="center"/>
            <w:hideMark/>
          </w:tcPr>
          <w:p w14:paraId="39195D5C" w14:textId="77777777" w:rsidR="00000000" w:rsidRDefault="00195E73">
            <w:pPr>
              <w:rPr>
                <w:rFonts w:eastAsia="Times New Roman"/>
                <w:sz w:val="20"/>
                <w:szCs w:val="20"/>
              </w:rPr>
            </w:pPr>
          </w:p>
        </w:tc>
        <w:tc>
          <w:tcPr>
            <w:tcW w:w="0" w:type="auto"/>
            <w:vAlign w:val="center"/>
            <w:hideMark/>
          </w:tcPr>
          <w:p w14:paraId="1D1F5629" w14:textId="77777777" w:rsidR="00000000" w:rsidRDefault="00195E73">
            <w:pPr>
              <w:rPr>
                <w:rFonts w:eastAsia="Times New Roman"/>
                <w:sz w:val="20"/>
                <w:szCs w:val="20"/>
              </w:rPr>
            </w:pPr>
          </w:p>
        </w:tc>
        <w:tc>
          <w:tcPr>
            <w:tcW w:w="0" w:type="auto"/>
            <w:vAlign w:val="center"/>
            <w:hideMark/>
          </w:tcPr>
          <w:p w14:paraId="56391E29" w14:textId="77777777" w:rsidR="00000000" w:rsidRDefault="00195E73">
            <w:pPr>
              <w:rPr>
                <w:rFonts w:eastAsia="Times New Roman"/>
                <w:sz w:val="20"/>
                <w:szCs w:val="20"/>
              </w:rPr>
            </w:pPr>
          </w:p>
        </w:tc>
        <w:tc>
          <w:tcPr>
            <w:tcW w:w="0" w:type="auto"/>
            <w:vAlign w:val="center"/>
            <w:hideMark/>
          </w:tcPr>
          <w:p w14:paraId="6846FEBB" w14:textId="77777777" w:rsidR="00000000" w:rsidRDefault="00195E73">
            <w:pPr>
              <w:rPr>
                <w:rFonts w:eastAsia="Times New Roman"/>
                <w:sz w:val="20"/>
                <w:szCs w:val="20"/>
              </w:rPr>
            </w:pPr>
          </w:p>
        </w:tc>
        <w:tc>
          <w:tcPr>
            <w:tcW w:w="0" w:type="auto"/>
            <w:vAlign w:val="center"/>
            <w:hideMark/>
          </w:tcPr>
          <w:p w14:paraId="06A74519" w14:textId="77777777" w:rsidR="00000000" w:rsidRDefault="00195E73">
            <w:pPr>
              <w:rPr>
                <w:rFonts w:eastAsia="Times New Roman"/>
                <w:sz w:val="20"/>
                <w:szCs w:val="20"/>
              </w:rPr>
            </w:pPr>
          </w:p>
        </w:tc>
        <w:tc>
          <w:tcPr>
            <w:tcW w:w="0" w:type="auto"/>
            <w:vAlign w:val="center"/>
            <w:hideMark/>
          </w:tcPr>
          <w:p w14:paraId="5A12788B" w14:textId="77777777" w:rsidR="00000000" w:rsidRDefault="00195E73">
            <w:pPr>
              <w:rPr>
                <w:rFonts w:eastAsia="Times New Roman"/>
                <w:sz w:val="20"/>
                <w:szCs w:val="20"/>
              </w:rPr>
            </w:pPr>
          </w:p>
        </w:tc>
        <w:tc>
          <w:tcPr>
            <w:tcW w:w="0" w:type="auto"/>
            <w:vAlign w:val="center"/>
            <w:hideMark/>
          </w:tcPr>
          <w:p w14:paraId="11A749A3" w14:textId="77777777" w:rsidR="00000000" w:rsidRDefault="00195E73">
            <w:pPr>
              <w:rPr>
                <w:rFonts w:eastAsia="Times New Roman"/>
                <w:sz w:val="20"/>
                <w:szCs w:val="20"/>
              </w:rPr>
            </w:pPr>
          </w:p>
        </w:tc>
        <w:tc>
          <w:tcPr>
            <w:tcW w:w="0" w:type="auto"/>
            <w:vAlign w:val="center"/>
            <w:hideMark/>
          </w:tcPr>
          <w:p w14:paraId="59C09D39" w14:textId="77777777" w:rsidR="00000000" w:rsidRDefault="00195E73">
            <w:pPr>
              <w:rPr>
                <w:rFonts w:eastAsia="Times New Roman"/>
                <w:sz w:val="20"/>
                <w:szCs w:val="20"/>
              </w:rPr>
            </w:pPr>
          </w:p>
        </w:tc>
        <w:tc>
          <w:tcPr>
            <w:tcW w:w="0" w:type="auto"/>
            <w:vAlign w:val="center"/>
            <w:hideMark/>
          </w:tcPr>
          <w:p w14:paraId="4D5C7796" w14:textId="77777777" w:rsidR="00000000" w:rsidRDefault="00195E73">
            <w:pPr>
              <w:rPr>
                <w:rFonts w:eastAsia="Times New Roman"/>
                <w:sz w:val="20"/>
                <w:szCs w:val="20"/>
              </w:rPr>
            </w:pPr>
          </w:p>
        </w:tc>
      </w:tr>
      <w:tr w:rsidR="00000000" w14:paraId="089BA853" w14:textId="77777777">
        <w:trPr>
          <w:divId w:val="1455518801"/>
          <w:jc w:val="center"/>
        </w:trPr>
        <w:tc>
          <w:tcPr>
            <w:tcW w:w="0" w:type="auto"/>
            <w:gridSpan w:val="3"/>
            <w:shd w:val="clear" w:color="auto" w:fill="FFFFFF"/>
            <w:tcMar>
              <w:top w:w="30" w:type="dxa"/>
              <w:left w:w="20" w:type="dxa"/>
              <w:bottom w:w="30" w:type="dxa"/>
              <w:right w:w="20" w:type="dxa"/>
            </w:tcMar>
            <w:vAlign w:val="bottom"/>
            <w:hideMark/>
          </w:tcPr>
          <w:p w14:paraId="00965926" w14:textId="77777777" w:rsidR="00000000" w:rsidRDefault="00195E73">
            <w:pPr>
              <w:ind w:hanging="90"/>
              <w:divId w:val="1651977892"/>
              <w:rPr>
                <w:rFonts w:eastAsia="Times New Roman"/>
              </w:rPr>
            </w:pPr>
            <w:r>
              <w:rPr>
                <w:rFonts w:eastAsia="Times New Roman"/>
                <w:color w:val="000000"/>
                <w:sz w:val="20"/>
                <w:szCs w:val="20"/>
              </w:rPr>
              <w:t>Basic income (loss) per LP unit</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22E6BA95" w14:textId="77777777" w:rsidR="00000000" w:rsidRDefault="00195E73">
            <w:pPr>
              <w:ind w:hanging="90"/>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890AD5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155AA7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E799BF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A61372C"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E8E6C7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8E34CF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30CB41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965A2B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B1FD71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F8C59F7"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66417D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8F2AAE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092608B"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A8E7011" w14:textId="77777777" w:rsidR="00000000" w:rsidRDefault="00195E73">
            <w:pPr>
              <w:rPr>
                <w:rFonts w:eastAsia="Times New Roman"/>
                <w:sz w:val="20"/>
                <w:szCs w:val="20"/>
              </w:rPr>
            </w:pPr>
          </w:p>
        </w:tc>
        <w:tc>
          <w:tcPr>
            <w:tcW w:w="0" w:type="auto"/>
            <w:vAlign w:val="center"/>
            <w:hideMark/>
          </w:tcPr>
          <w:p w14:paraId="156DFF2A" w14:textId="77777777" w:rsidR="00000000" w:rsidRDefault="00195E73">
            <w:pPr>
              <w:rPr>
                <w:rFonts w:eastAsia="Times New Roman"/>
                <w:sz w:val="20"/>
                <w:szCs w:val="20"/>
              </w:rPr>
            </w:pPr>
          </w:p>
        </w:tc>
        <w:tc>
          <w:tcPr>
            <w:tcW w:w="0" w:type="auto"/>
            <w:vAlign w:val="center"/>
            <w:hideMark/>
          </w:tcPr>
          <w:p w14:paraId="37E2BC12" w14:textId="77777777" w:rsidR="00000000" w:rsidRDefault="00195E73">
            <w:pPr>
              <w:rPr>
                <w:rFonts w:eastAsia="Times New Roman"/>
                <w:sz w:val="20"/>
                <w:szCs w:val="20"/>
              </w:rPr>
            </w:pPr>
          </w:p>
        </w:tc>
        <w:tc>
          <w:tcPr>
            <w:tcW w:w="0" w:type="auto"/>
            <w:vAlign w:val="center"/>
            <w:hideMark/>
          </w:tcPr>
          <w:p w14:paraId="1055DD84" w14:textId="77777777" w:rsidR="00000000" w:rsidRDefault="00195E73">
            <w:pPr>
              <w:rPr>
                <w:rFonts w:eastAsia="Times New Roman"/>
                <w:sz w:val="20"/>
                <w:szCs w:val="20"/>
              </w:rPr>
            </w:pPr>
          </w:p>
        </w:tc>
        <w:tc>
          <w:tcPr>
            <w:tcW w:w="0" w:type="auto"/>
            <w:vAlign w:val="center"/>
            <w:hideMark/>
          </w:tcPr>
          <w:p w14:paraId="491FBA03" w14:textId="77777777" w:rsidR="00000000" w:rsidRDefault="00195E73">
            <w:pPr>
              <w:rPr>
                <w:rFonts w:eastAsia="Times New Roman"/>
                <w:sz w:val="20"/>
                <w:szCs w:val="20"/>
              </w:rPr>
            </w:pPr>
          </w:p>
        </w:tc>
        <w:tc>
          <w:tcPr>
            <w:tcW w:w="0" w:type="auto"/>
            <w:vAlign w:val="center"/>
            <w:hideMark/>
          </w:tcPr>
          <w:p w14:paraId="612FF39B" w14:textId="77777777" w:rsidR="00000000" w:rsidRDefault="00195E73">
            <w:pPr>
              <w:rPr>
                <w:rFonts w:eastAsia="Times New Roman"/>
                <w:sz w:val="20"/>
                <w:szCs w:val="20"/>
              </w:rPr>
            </w:pPr>
          </w:p>
        </w:tc>
        <w:tc>
          <w:tcPr>
            <w:tcW w:w="0" w:type="auto"/>
            <w:vAlign w:val="center"/>
            <w:hideMark/>
          </w:tcPr>
          <w:p w14:paraId="07A17E71" w14:textId="77777777" w:rsidR="00000000" w:rsidRDefault="00195E73">
            <w:pPr>
              <w:rPr>
                <w:rFonts w:eastAsia="Times New Roman"/>
                <w:sz w:val="20"/>
                <w:szCs w:val="20"/>
              </w:rPr>
            </w:pPr>
          </w:p>
        </w:tc>
        <w:tc>
          <w:tcPr>
            <w:tcW w:w="0" w:type="auto"/>
            <w:vAlign w:val="center"/>
            <w:hideMark/>
          </w:tcPr>
          <w:p w14:paraId="597C7590" w14:textId="77777777" w:rsidR="00000000" w:rsidRDefault="00195E73">
            <w:pPr>
              <w:rPr>
                <w:rFonts w:eastAsia="Times New Roman"/>
                <w:sz w:val="20"/>
                <w:szCs w:val="20"/>
              </w:rPr>
            </w:pPr>
          </w:p>
        </w:tc>
        <w:tc>
          <w:tcPr>
            <w:tcW w:w="0" w:type="auto"/>
            <w:vAlign w:val="center"/>
            <w:hideMark/>
          </w:tcPr>
          <w:p w14:paraId="16B6FE37" w14:textId="77777777" w:rsidR="00000000" w:rsidRDefault="00195E73">
            <w:pPr>
              <w:rPr>
                <w:rFonts w:eastAsia="Times New Roman"/>
                <w:sz w:val="20"/>
                <w:szCs w:val="20"/>
              </w:rPr>
            </w:pPr>
          </w:p>
        </w:tc>
        <w:tc>
          <w:tcPr>
            <w:tcW w:w="0" w:type="auto"/>
            <w:vAlign w:val="center"/>
            <w:hideMark/>
          </w:tcPr>
          <w:p w14:paraId="054342D9" w14:textId="77777777" w:rsidR="00000000" w:rsidRDefault="00195E73">
            <w:pPr>
              <w:rPr>
                <w:rFonts w:eastAsia="Times New Roman"/>
                <w:sz w:val="20"/>
                <w:szCs w:val="20"/>
              </w:rPr>
            </w:pPr>
          </w:p>
        </w:tc>
        <w:tc>
          <w:tcPr>
            <w:tcW w:w="0" w:type="auto"/>
            <w:vAlign w:val="center"/>
            <w:hideMark/>
          </w:tcPr>
          <w:p w14:paraId="00684186" w14:textId="77777777" w:rsidR="00000000" w:rsidRDefault="00195E73">
            <w:pPr>
              <w:rPr>
                <w:rFonts w:eastAsia="Times New Roman"/>
                <w:sz w:val="20"/>
                <w:szCs w:val="20"/>
              </w:rPr>
            </w:pPr>
          </w:p>
        </w:tc>
        <w:tc>
          <w:tcPr>
            <w:tcW w:w="0" w:type="auto"/>
            <w:vAlign w:val="center"/>
            <w:hideMark/>
          </w:tcPr>
          <w:p w14:paraId="3AA6581E" w14:textId="77777777" w:rsidR="00000000" w:rsidRDefault="00195E73">
            <w:pPr>
              <w:rPr>
                <w:rFonts w:eastAsia="Times New Roman"/>
                <w:sz w:val="20"/>
                <w:szCs w:val="20"/>
              </w:rPr>
            </w:pPr>
          </w:p>
        </w:tc>
        <w:tc>
          <w:tcPr>
            <w:tcW w:w="0" w:type="auto"/>
            <w:vAlign w:val="center"/>
            <w:hideMark/>
          </w:tcPr>
          <w:p w14:paraId="1A8F57B6" w14:textId="77777777" w:rsidR="00000000" w:rsidRDefault="00195E73">
            <w:pPr>
              <w:rPr>
                <w:rFonts w:eastAsia="Times New Roman"/>
                <w:sz w:val="20"/>
                <w:szCs w:val="20"/>
              </w:rPr>
            </w:pPr>
          </w:p>
        </w:tc>
        <w:tc>
          <w:tcPr>
            <w:tcW w:w="0" w:type="auto"/>
            <w:vAlign w:val="center"/>
            <w:hideMark/>
          </w:tcPr>
          <w:p w14:paraId="082496B2" w14:textId="77777777" w:rsidR="00000000" w:rsidRDefault="00195E73">
            <w:pPr>
              <w:rPr>
                <w:rFonts w:eastAsia="Times New Roman"/>
                <w:sz w:val="20"/>
                <w:szCs w:val="20"/>
              </w:rPr>
            </w:pPr>
          </w:p>
        </w:tc>
        <w:tc>
          <w:tcPr>
            <w:tcW w:w="0" w:type="auto"/>
            <w:vAlign w:val="center"/>
            <w:hideMark/>
          </w:tcPr>
          <w:p w14:paraId="7EB5D944" w14:textId="77777777" w:rsidR="00000000" w:rsidRDefault="00195E73">
            <w:pPr>
              <w:rPr>
                <w:rFonts w:eastAsia="Times New Roman"/>
                <w:sz w:val="20"/>
                <w:szCs w:val="20"/>
              </w:rPr>
            </w:pPr>
          </w:p>
        </w:tc>
        <w:tc>
          <w:tcPr>
            <w:tcW w:w="0" w:type="auto"/>
            <w:vAlign w:val="center"/>
            <w:hideMark/>
          </w:tcPr>
          <w:p w14:paraId="215D0529" w14:textId="77777777" w:rsidR="00000000" w:rsidRDefault="00195E73">
            <w:pPr>
              <w:rPr>
                <w:rFonts w:eastAsia="Times New Roman"/>
                <w:sz w:val="20"/>
                <w:szCs w:val="20"/>
              </w:rPr>
            </w:pPr>
          </w:p>
        </w:tc>
      </w:tr>
      <w:tr w:rsidR="00195E73" w14:paraId="08E29AFF" w14:textId="77777777">
        <w:trPr>
          <w:divId w:val="1455518801"/>
          <w:jc w:val="center"/>
        </w:trPr>
        <w:tc>
          <w:tcPr>
            <w:tcW w:w="0" w:type="auto"/>
            <w:gridSpan w:val="3"/>
            <w:shd w:val="clear" w:color="auto" w:fill="CCEEFF"/>
            <w:tcMar>
              <w:top w:w="30" w:type="dxa"/>
              <w:left w:w="20" w:type="dxa"/>
              <w:bottom w:w="30" w:type="dxa"/>
              <w:right w:w="20" w:type="dxa"/>
            </w:tcMar>
            <w:vAlign w:val="bottom"/>
            <w:hideMark/>
          </w:tcPr>
          <w:p w14:paraId="569534FE" w14:textId="77777777" w:rsidR="00000000" w:rsidRDefault="00195E73">
            <w:pPr>
              <w:ind w:hanging="90"/>
              <w:divId w:val="1762336415"/>
              <w:rPr>
                <w:rFonts w:eastAsia="Times New Roman"/>
              </w:rPr>
            </w:pPr>
            <w:r>
              <w:rPr>
                <w:rFonts w:eastAsia="Times New Roman"/>
                <w:color w:val="000000"/>
                <w:sz w:val="20"/>
                <w:szCs w:val="20"/>
              </w:rPr>
              <w:t>   Continuing operation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351EE0F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CAA5F9D" w14:textId="77777777" w:rsidR="00000000" w:rsidRDefault="00195E73">
            <w:pPr>
              <w:jc w:val="right"/>
              <w:rPr>
                <w:rFonts w:eastAsia="Times New Roman"/>
              </w:rPr>
            </w:pPr>
            <w:r>
              <w:rPr>
                <w:rFonts w:eastAsia="Times New Roman"/>
                <w:color w:val="000000"/>
                <w:sz w:val="20"/>
                <w:szCs w:val="20"/>
              </w:rPr>
              <w:t>(2.02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F23071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DD3DD56"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3DF203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1E4582A" w14:textId="77777777" w:rsidR="00000000" w:rsidRDefault="00195E73">
            <w:pPr>
              <w:jc w:val="right"/>
              <w:rPr>
                <w:rFonts w:eastAsia="Times New Roman"/>
              </w:rPr>
            </w:pPr>
            <w:r>
              <w:rPr>
                <w:rFonts w:eastAsia="Times New Roman"/>
                <w:color w:val="000000"/>
                <w:sz w:val="20"/>
                <w:szCs w:val="20"/>
              </w:rPr>
              <w:t>0.55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017304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4A3F8A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186BE8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9478900" w14:textId="77777777" w:rsidR="00000000" w:rsidRDefault="00195E73">
            <w:pPr>
              <w:jc w:val="right"/>
              <w:rPr>
                <w:rFonts w:eastAsia="Times New Roman"/>
              </w:rPr>
            </w:pPr>
            <w:r>
              <w:rPr>
                <w:rFonts w:eastAsia="Times New Roman"/>
                <w:color w:val="000000"/>
                <w:sz w:val="20"/>
                <w:szCs w:val="20"/>
              </w:rPr>
              <w:t>(2.37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85F7D9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261293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476573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AFD33C5" w14:textId="77777777" w:rsidR="00000000" w:rsidRDefault="00195E73">
            <w:pPr>
              <w:jc w:val="right"/>
              <w:rPr>
                <w:rFonts w:eastAsia="Times New Roman"/>
              </w:rPr>
            </w:pPr>
            <w:r>
              <w:rPr>
                <w:rFonts w:eastAsia="Times New Roman"/>
                <w:color w:val="000000"/>
                <w:sz w:val="20"/>
                <w:szCs w:val="20"/>
              </w:rPr>
              <w:t>0.81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EB7F56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24DDB97"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FEDF6A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71CA430" w14:textId="77777777" w:rsidR="00000000" w:rsidRDefault="00195E73">
            <w:pPr>
              <w:jc w:val="right"/>
              <w:rPr>
                <w:rFonts w:eastAsia="Times New Roman"/>
              </w:rPr>
            </w:pPr>
            <w:r>
              <w:rPr>
                <w:rFonts w:eastAsia="Times New Roman"/>
                <w:color w:val="000000"/>
                <w:sz w:val="20"/>
                <w:szCs w:val="20"/>
              </w:rPr>
              <w:t>(0.24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0D3836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64E89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33B274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F5F448F" w14:textId="77777777" w:rsidR="00000000" w:rsidRDefault="00195E73">
            <w:pPr>
              <w:jc w:val="right"/>
              <w:rPr>
                <w:rFonts w:eastAsia="Times New Roman"/>
              </w:rPr>
            </w:pPr>
            <w:r>
              <w:rPr>
                <w:rFonts w:eastAsia="Times New Roman"/>
                <w:color w:val="000000"/>
                <w:sz w:val="20"/>
                <w:szCs w:val="20"/>
              </w:rPr>
              <w:t>(0.24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4D5F36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EE7548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BA30CB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92BDFD5" w14:textId="77777777" w:rsidR="00000000" w:rsidRDefault="00195E73">
            <w:pPr>
              <w:jc w:val="right"/>
              <w:rPr>
                <w:rFonts w:eastAsia="Times New Roman"/>
              </w:rPr>
            </w:pPr>
            <w:r>
              <w:rPr>
                <w:rFonts w:eastAsia="Times New Roman"/>
                <w:color w:val="000000"/>
                <w:sz w:val="20"/>
                <w:szCs w:val="20"/>
              </w:rPr>
              <w:t>(0.70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336EB4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CED217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02AADA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05583A9" w14:textId="77777777" w:rsidR="00000000" w:rsidRDefault="00195E73">
            <w:pPr>
              <w:jc w:val="right"/>
              <w:rPr>
                <w:rFonts w:eastAsia="Times New Roman"/>
              </w:rPr>
            </w:pPr>
            <w:r>
              <w:rPr>
                <w:rFonts w:eastAsia="Times New Roman"/>
                <w:color w:val="000000"/>
                <w:sz w:val="20"/>
                <w:szCs w:val="20"/>
              </w:rPr>
              <w:t>(2.30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BA8E4F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9652AF4" w14:textId="77777777" w:rsidR="00000000" w:rsidRDefault="00195E73">
            <w:pPr>
              <w:rPr>
                <w:rFonts w:eastAsia="Times New Roman"/>
                <w:sz w:val="20"/>
                <w:szCs w:val="20"/>
              </w:rPr>
            </w:pPr>
          </w:p>
        </w:tc>
        <w:tc>
          <w:tcPr>
            <w:tcW w:w="0" w:type="auto"/>
            <w:vAlign w:val="center"/>
            <w:hideMark/>
          </w:tcPr>
          <w:p w14:paraId="792DAE33" w14:textId="77777777" w:rsidR="00000000" w:rsidRDefault="00195E73">
            <w:pPr>
              <w:rPr>
                <w:rFonts w:eastAsia="Times New Roman"/>
                <w:sz w:val="20"/>
                <w:szCs w:val="20"/>
              </w:rPr>
            </w:pPr>
          </w:p>
        </w:tc>
        <w:tc>
          <w:tcPr>
            <w:tcW w:w="0" w:type="auto"/>
            <w:vAlign w:val="center"/>
            <w:hideMark/>
          </w:tcPr>
          <w:p w14:paraId="6880D961" w14:textId="77777777" w:rsidR="00000000" w:rsidRDefault="00195E73">
            <w:pPr>
              <w:rPr>
                <w:rFonts w:eastAsia="Times New Roman"/>
                <w:sz w:val="20"/>
                <w:szCs w:val="20"/>
              </w:rPr>
            </w:pPr>
          </w:p>
        </w:tc>
        <w:tc>
          <w:tcPr>
            <w:tcW w:w="0" w:type="auto"/>
            <w:vAlign w:val="center"/>
            <w:hideMark/>
          </w:tcPr>
          <w:p w14:paraId="32204C02" w14:textId="77777777" w:rsidR="00000000" w:rsidRDefault="00195E73">
            <w:pPr>
              <w:rPr>
                <w:rFonts w:eastAsia="Times New Roman"/>
                <w:sz w:val="20"/>
                <w:szCs w:val="20"/>
              </w:rPr>
            </w:pPr>
          </w:p>
        </w:tc>
        <w:tc>
          <w:tcPr>
            <w:tcW w:w="0" w:type="auto"/>
            <w:vAlign w:val="center"/>
            <w:hideMark/>
          </w:tcPr>
          <w:p w14:paraId="1C10C68A" w14:textId="77777777" w:rsidR="00000000" w:rsidRDefault="00195E73">
            <w:pPr>
              <w:rPr>
                <w:rFonts w:eastAsia="Times New Roman"/>
                <w:sz w:val="20"/>
                <w:szCs w:val="20"/>
              </w:rPr>
            </w:pPr>
          </w:p>
        </w:tc>
        <w:tc>
          <w:tcPr>
            <w:tcW w:w="0" w:type="auto"/>
            <w:vAlign w:val="center"/>
            <w:hideMark/>
          </w:tcPr>
          <w:p w14:paraId="4A9D5F7E" w14:textId="77777777" w:rsidR="00000000" w:rsidRDefault="00195E73">
            <w:pPr>
              <w:rPr>
                <w:rFonts w:eastAsia="Times New Roman"/>
                <w:sz w:val="20"/>
                <w:szCs w:val="20"/>
              </w:rPr>
            </w:pPr>
          </w:p>
        </w:tc>
        <w:tc>
          <w:tcPr>
            <w:tcW w:w="0" w:type="auto"/>
            <w:vAlign w:val="center"/>
            <w:hideMark/>
          </w:tcPr>
          <w:p w14:paraId="126549EE" w14:textId="77777777" w:rsidR="00000000" w:rsidRDefault="00195E73">
            <w:pPr>
              <w:rPr>
                <w:rFonts w:eastAsia="Times New Roman"/>
                <w:sz w:val="20"/>
                <w:szCs w:val="20"/>
              </w:rPr>
            </w:pPr>
          </w:p>
        </w:tc>
        <w:tc>
          <w:tcPr>
            <w:tcW w:w="0" w:type="auto"/>
            <w:vAlign w:val="center"/>
            <w:hideMark/>
          </w:tcPr>
          <w:p w14:paraId="52D1EB2E" w14:textId="77777777" w:rsidR="00000000" w:rsidRDefault="00195E73">
            <w:pPr>
              <w:rPr>
                <w:rFonts w:eastAsia="Times New Roman"/>
                <w:sz w:val="20"/>
                <w:szCs w:val="20"/>
              </w:rPr>
            </w:pPr>
          </w:p>
        </w:tc>
        <w:tc>
          <w:tcPr>
            <w:tcW w:w="0" w:type="auto"/>
            <w:vAlign w:val="center"/>
            <w:hideMark/>
          </w:tcPr>
          <w:p w14:paraId="5A3814A2" w14:textId="77777777" w:rsidR="00000000" w:rsidRDefault="00195E73">
            <w:pPr>
              <w:rPr>
                <w:rFonts w:eastAsia="Times New Roman"/>
                <w:sz w:val="20"/>
                <w:szCs w:val="20"/>
              </w:rPr>
            </w:pPr>
          </w:p>
        </w:tc>
        <w:tc>
          <w:tcPr>
            <w:tcW w:w="0" w:type="auto"/>
            <w:vAlign w:val="center"/>
            <w:hideMark/>
          </w:tcPr>
          <w:p w14:paraId="347C6B49" w14:textId="77777777" w:rsidR="00000000" w:rsidRDefault="00195E73">
            <w:pPr>
              <w:rPr>
                <w:rFonts w:eastAsia="Times New Roman"/>
                <w:sz w:val="20"/>
                <w:szCs w:val="20"/>
              </w:rPr>
            </w:pPr>
          </w:p>
        </w:tc>
        <w:tc>
          <w:tcPr>
            <w:tcW w:w="0" w:type="auto"/>
            <w:vAlign w:val="center"/>
            <w:hideMark/>
          </w:tcPr>
          <w:p w14:paraId="242CA098" w14:textId="77777777" w:rsidR="00000000" w:rsidRDefault="00195E73">
            <w:pPr>
              <w:rPr>
                <w:rFonts w:eastAsia="Times New Roman"/>
                <w:sz w:val="20"/>
                <w:szCs w:val="20"/>
              </w:rPr>
            </w:pPr>
          </w:p>
        </w:tc>
        <w:tc>
          <w:tcPr>
            <w:tcW w:w="0" w:type="auto"/>
            <w:vAlign w:val="center"/>
            <w:hideMark/>
          </w:tcPr>
          <w:p w14:paraId="5F19AF39" w14:textId="77777777" w:rsidR="00000000" w:rsidRDefault="00195E73">
            <w:pPr>
              <w:rPr>
                <w:rFonts w:eastAsia="Times New Roman"/>
                <w:sz w:val="20"/>
                <w:szCs w:val="20"/>
              </w:rPr>
            </w:pPr>
          </w:p>
        </w:tc>
        <w:tc>
          <w:tcPr>
            <w:tcW w:w="0" w:type="auto"/>
            <w:vAlign w:val="center"/>
            <w:hideMark/>
          </w:tcPr>
          <w:p w14:paraId="77640CE6" w14:textId="77777777" w:rsidR="00000000" w:rsidRDefault="00195E73">
            <w:pPr>
              <w:rPr>
                <w:rFonts w:eastAsia="Times New Roman"/>
                <w:sz w:val="20"/>
                <w:szCs w:val="20"/>
              </w:rPr>
            </w:pPr>
          </w:p>
        </w:tc>
        <w:tc>
          <w:tcPr>
            <w:tcW w:w="0" w:type="auto"/>
            <w:vAlign w:val="center"/>
            <w:hideMark/>
          </w:tcPr>
          <w:p w14:paraId="544FC2AC" w14:textId="77777777" w:rsidR="00000000" w:rsidRDefault="00195E73">
            <w:pPr>
              <w:rPr>
                <w:rFonts w:eastAsia="Times New Roman"/>
                <w:sz w:val="20"/>
                <w:szCs w:val="20"/>
              </w:rPr>
            </w:pPr>
          </w:p>
        </w:tc>
        <w:tc>
          <w:tcPr>
            <w:tcW w:w="0" w:type="auto"/>
            <w:vAlign w:val="center"/>
            <w:hideMark/>
          </w:tcPr>
          <w:p w14:paraId="12EC28B6" w14:textId="77777777" w:rsidR="00000000" w:rsidRDefault="00195E73">
            <w:pPr>
              <w:rPr>
                <w:rFonts w:eastAsia="Times New Roman"/>
                <w:sz w:val="20"/>
                <w:szCs w:val="20"/>
              </w:rPr>
            </w:pPr>
          </w:p>
        </w:tc>
      </w:tr>
      <w:tr w:rsidR="00000000" w14:paraId="70E583C1" w14:textId="77777777">
        <w:trPr>
          <w:divId w:val="1455518801"/>
          <w:jc w:val="center"/>
        </w:trPr>
        <w:tc>
          <w:tcPr>
            <w:tcW w:w="0" w:type="auto"/>
            <w:gridSpan w:val="3"/>
            <w:shd w:val="clear" w:color="auto" w:fill="FFFFFF"/>
            <w:tcMar>
              <w:top w:w="30" w:type="dxa"/>
              <w:left w:w="20" w:type="dxa"/>
              <w:bottom w:w="30" w:type="dxa"/>
              <w:right w:w="20" w:type="dxa"/>
            </w:tcMar>
            <w:vAlign w:val="bottom"/>
            <w:hideMark/>
          </w:tcPr>
          <w:p w14:paraId="7860EA0C" w14:textId="77777777" w:rsidR="00000000" w:rsidRDefault="00195E73">
            <w:pPr>
              <w:ind w:hanging="90"/>
              <w:divId w:val="1064336097"/>
              <w:rPr>
                <w:rFonts w:eastAsia="Times New Roman"/>
              </w:rPr>
            </w:pPr>
            <w:r>
              <w:rPr>
                <w:rFonts w:eastAsia="Times New Roman"/>
                <w:color w:val="000000"/>
                <w:sz w:val="20"/>
                <w:szCs w:val="20"/>
              </w:rPr>
              <w:t>   </w:t>
            </w:r>
            <w:r>
              <w:rPr>
                <w:rFonts w:eastAsia="Times New Roman"/>
                <w:color w:val="000000"/>
                <w:sz w:val="20"/>
                <w:szCs w:val="20"/>
              </w:rPr>
              <w:t>Discontinued operation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8FFBE27" w14:textId="77777777" w:rsidR="00000000" w:rsidRDefault="00195E73">
            <w:pPr>
              <w:jc w:val="right"/>
              <w:rPr>
                <w:rFonts w:eastAsia="Times New Roman"/>
              </w:rPr>
            </w:pPr>
            <w:r>
              <w:rPr>
                <w:rFonts w:eastAsia="Times New Roman"/>
                <w:color w:val="000000"/>
                <w:sz w:val="20"/>
                <w:szCs w:val="20"/>
              </w:rPr>
              <w:t>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62EB84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96175E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F42801" w14:textId="77777777" w:rsidR="00000000" w:rsidRDefault="00195E73">
            <w:pPr>
              <w:jc w:val="right"/>
              <w:rPr>
                <w:rFonts w:eastAsia="Times New Roman"/>
              </w:rPr>
            </w:pPr>
            <w:r>
              <w:rPr>
                <w:rFonts w:eastAsia="Times New Roman"/>
                <w:color w:val="000000"/>
                <w:sz w:val="20"/>
                <w:szCs w:val="20"/>
              </w:rPr>
              <w:t>0.19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AFA47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444B3D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B2D27B" w14:textId="77777777" w:rsidR="00000000" w:rsidRDefault="00195E73">
            <w:pPr>
              <w:jc w:val="right"/>
              <w:rPr>
                <w:rFonts w:eastAsia="Times New Roman"/>
              </w:rPr>
            </w:pPr>
            <w:r>
              <w:rPr>
                <w:rFonts w:eastAsia="Times New Roman"/>
                <w:color w:val="000000"/>
                <w:sz w:val="20"/>
                <w:szCs w:val="20"/>
              </w:rPr>
              <w:t>(0.12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941A11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5CC974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D3C4E0" w14:textId="77777777" w:rsidR="00000000" w:rsidRDefault="00195E73">
            <w:pPr>
              <w:jc w:val="right"/>
              <w:rPr>
                <w:rFonts w:eastAsia="Times New Roman"/>
              </w:rPr>
            </w:pPr>
            <w:r>
              <w:rPr>
                <w:rFonts w:eastAsia="Times New Roman"/>
                <w:color w:val="000000"/>
                <w:sz w:val="20"/>
                <w:szCs w:val="20"/>
              </w:rPr>
              <w:t>0.85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348F8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A740DA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3DB6E8" w14:textId="77777777" w:rsidR="00000000" w:rsidRDefault="00195E73">
            <w:pPr>
              <w:jc w:val="right"/>
              <w:rPr>
                <w:rFonts w:eastAsia="Times New Roman"/>
              </w:rPr>
            </w:pPr>
            <w:r>
              <w:rPr>
                <w:rFonts w:eastAsia="Times New Roman"/>
                <w:color w:val="000000"/>
                <w:sz w:val="20"/>
                <w:szCs w:val="20"/>
              </w:rPr>
              <w:t>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79ED54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369977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E51F7A" w14:textId="77777777" w:rsidR="00000000" w:rsidRDefault="00195E73">
            <w:pPr>
              <w:jc w:val="right"/>
              <w:rPr>
                <w:rFonts w:eastAsia="Times New Roman"/>
              </w:rPr>
            </w:pPr>
            <w:r>
              <w:rPr>
                <w:rFonts w:eastAsia="Times New Roman"/>
                <w:color w:val="000000"/>
                <w:sz w:val="20"/>
                <w:szCs w:val="20"/>
              </w:rPr>
              <w:t>0.88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4F5645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51708F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C0B245" w14:textId="77777777" w:rsidR="00000000" w:rsidRDefault="00195E73">
            <w:pPr>
              <w:jc w:val="right"/>
              <w:rPr>
                <w:rFonts w:eastAsia="Times New Roman"/>
              </w:rPr>
            </w:pPr>
            <w:r>
              <w:rPr>
                <w:rFonts w:eastAsia="Times New Roman"/>
                <w:color w:val="000000"/>
                <w:sz w:val="20"/>
                <w:szCs w:val="20"/>
              </w:rPr>
              <w:t>(0.04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E83CB5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11BE2D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DAABEC" w14:textId="77777777" w:rsidR="00000000" w:rsidRDefault="00195E73">
            <w:pPr>
              <w:jc w:val="right"/>
              <w:rPr>
                <w:rFonts w:eastAsia="Times New Roman"/>
              </w:rPr>
            </w:pPr>
            <w:r>
              <w:rPr>
                <w:rFonts w:eastAsia="Times New Roman"/>
                <w:color w:val="000000"/>
                <w:sz w:val="20"/>
                <w:szCs w:val="20"/>
              </w:rPr>
              <w:t>10.31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10257B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1EB3522" w14:textId="77777777" w:rsidR="00000000" w:rsidRDefault="00195E73">
            <w:pPr>
              <w:rPr>
                <w:rFonts w:eastAsia="Times New Roman"/>
                <w:sz w:val="20"/>
                <w:szCs w:val="20"/>
              </w:rPr>
            </w:pPr>
          </w:p>
        </w:tc>
        <w:tc>
          <w:tcPr>
            <w:tcW w:w="0" w:type="auto"/>
            <w:vAlign w:val="center"/>
            <w:hideMark/>
          </w:tcPr>
          <w:p w14:paraId="676241A6" w14:textId="77777777" w:rsidR="00000000" w:rsidRDefault="00195E73">
            <w:pPr>
              <w:rPr>
                <w:rFonts w:eastAsia="Times New Roman"/>
                <w:sz w:val="20"/>
                <w:szCs w:val="20"/>
              </w:rPr>
            </w:pPr>
          </w:p>
        </w:tc>
        <w:tc>
          <w:tcPr>
            <w:tcW w:w="0" w:type="auto"/>
            <w:vAlign w:val="center"/>
            <w:hideMark/>
          </w:tcPr>
          <w:p w14:paraId="3F7D7783" w14:textId="77777777" w:rsidR="00000000" w:rsidRDefault="00195E73">
            <w:pPr>
              <w:rPr>
                <w:rFonts w:eastAsia="Times New Roman"/>
                <w:sz w:val="20"/>
                <w:szCs w:val="20"/>
              </w:rPr>
            </w:pPr>
          </w:p>
        </w:tc>
        <w:tc>
          <w:tcPr>
            <w:tcW w:w="0" w:type="auto"/>
            <w:vAlign w:val="center"/>
            <w:hideMark/>
          </w:tcPr>
          <w:p w14:paraId="4B5EC03E" w14:textId="77777777" w:rsidR="00000000" w:rsidRDefault="00195E73">
            <w:pPr>
              <w:rPr>
                <w:rFonts w:eastAsia="Times New Roman"/>
                <w:sz w:val="20"/>
                <w:szCs w:val="20"/>
              </w:rPr>
            </w:pPr>
          </w:p>
        </w:tc>
        <w:tc>
          <w:tcPr>
            <w:tcW w:w="0" w:type="auto"/>
            <w:vAlign w:val="center"/>
            <w:hideMark/>
          </w:tcPr>
          <w:p w14:paraId="0D01FAB2" w14:textId="77777777" w:rsidR="00000000" w:rsidRDefault="00195E73">
            <w:pPr>
              <w:rPr>
                <w:rFonts w:eastAsia="Times New Roman"/>
                <w:sz w:val="20"/>
                <w:szCs w:val="20"/>
              </w:rPr>
            </w:pPr>
          </w:p>
        </w:tc>
        <w:tc>
          <w:tcPr>
            <w:tcW w:w="0" w:type="auto"/>
            <w:vAlign w:val="center"/>
            <w:hideMark/>
          </w:tcPr>
          <w:p w14:paraId="1FFB2EEC" w14:textId="77777777" w:rsidR="00000000" w:rsidRDefault="00195E73">
            <w:pPr>
              <w:rPr>
                <w:rFonts w:eastAsia="Times New Roman"/>
                <w:sz w:val="20"/>
                <w:szCs w:val="20"/>
              </w:rPr>
            </w:pPr>
          </w:p>
        </w:tc>
        <w:tc>
          <w:tcPr>
            <w:tcW w:w="0" w:type="auto"/>
            <w:vAlign w:val="center"/>
            <w:hideMark/>
          </w:tcPr>
          <w:p w14:paraId="0243C651" w14:textId="77777777" w:rsidR="00000000" w:rsidRDefault="00195E73">
            <w:pPr>
              <w:rPr>
                <w:rFonts w:eastAsia="Times New Roman"/>
                <w:sz w:val="20"/>
                <w:szCs w:val="20"/>
              </w:rPr>
            </w:pPr>
          </w:p>
        </w:tc>
        <w:tc>
          <w:tcPr>
            <w:tcW w:w="0" w:type="auto"/>
            <w:vAlign w:val="center"/>
            <w:hideMark/>
          </w:tcPr>
          <w:p w14:paraId="7D1BB5D6" w14:textId="77777777" w:rsidR="00000000" w:rsidRDefault="00195E73">
            <w:pPr>
              <w:rPr>
                <w:rFonts w:eastAsia="Times New Roman"/>
                <w:sz w:val="20"/>
                <w:szCs w:val="20"/>
              </w:rPr>
            </w:pPr>
          </w:p>
        </w:tc>
        <w:tc>
          <w:tcPr>
            <w:tcW w:w="0" w:type="auto"/>
            <w:vAlign w:val="center"/>
            <w:hideMark/>
          </w:tcPr>
          <w:p w14:paraId="2B1BDD97" w14:textId="77777777" w:rsidR="00000000" w:rsidRDefault="00195E73">
            <w:pPr>
              <w:rPr>
                <w:rFonts w:eastAsia="Times New Roman"/>
                <w:sz w:val="20"/>
                <w:szCs w:val="20"/>
              </w:rPr>
            </w:pPr>
          </w:p>
        </w:tc>
        <w:tc>
          <w:tcPr>
            <w:tcW w:w="0" w:type="auto"/>
            <w:vAlign w:val="center"/>
            <w:hideMark/>
          </w:tcPr>
          <w:p w14:paraId="6710A439" w14:textId="77777777" w:rsidR="00000000" w:rsidRDefault="00195E73">
            <w:pPr>
              <w:rPr>
                <w:rFonts w:eastAsia="Times New Roman"/>
                <w:sz w:val="20"/>
                <w:szCs w:val="20"/>
              </w:rPr>
            </w:pPr>
          </w:p>
        </w:tc>
        <w:tc>
          <w:tcPr>
            <w:tcW w:w="0" w:type="auto"/>
            <w:vAlign w:val="center"/>
            <w:hideMark/>
          </w:tcPr>
          <w:p w14:paraId="04790BA8" w14:textId="77777777" w:rsidR="00000000" w:rsidRDefault="00195E73">
            <w:pPr>
              <w:rPr>
                <w:rFonts w:eastAsia="Times New Roman"/>
                <w:sz w:val="20"/>
                <w:szCs w:val="20"/>
              </w:rPr>
            </w:pPr>
          </w:p>
        </w:tc>
        <w:tc>
          <w:tcPr>
            <w:tcW w:w="0" w:type="auto"/>
            <w:vAlign w:val="center"/>
            <w:hideMark/>
          </w:tcPr>
          <w:p w14:paraId="32C0E38E" w14:textId="77777777" w:rsidR="00000000" w:rsidRDefault="00195E73">
            <w:pPr>
              <w:rPr>
                <w:rFonts w:eastAsia="Times New Roman"/>
                <w:sz w:val="20"/>
                <w:szCs w:val="20"/>
              </w:rPr>
            </w:pPr>
          </w:p>
        </w:tc>
        <w:tc>
          <w:tcPr>
            <w:tcW w:w="0" w:type="auto"/>
            <w:vAlign w:val="center"/>
            <w:hideMark/>
          </w:tcPr>
          <w:p w14:paraId="2CE688EB" w14:textId="77777777" w:rsidR="00000000" w:rsidRDefault="00195E73">
            <w:pPr>
              <w:rPr>
                <w:rFonts w:eastAsia="Times New Roman"/>
                <w:sz w:val="20"/>
                <w:szCs w:val="20"/>
              </w:rPr>
            </w:pPr>
          </w:p>
        </w:tc>
        <w:tc>
          <w:tcPr>
            <w:tcW w:w="0" w:type="auto"/>
            <w:vAlign w:val="center"/>
            <w:hideMark/>
          </w:tcPr>
          <w:p w14:paraId="231F5A0B" w14:textId="77777777" w:rsidR="00000000" w:rsidRDefault="00195E73">
            <w:pPr>
              <w:rPr>
                <w:rFonts w:eastAsia="Times New Roman"/>
                <w:sz w:val="20"/>
                <w:szCs w:val="20"/>
              </w:rPr>
            </w:pPr>
          </w:p>
        </w:tc>
        <w:tc>
          <w:tcPr>
            <w:tcW w:w="0" w:type="auto"/>
            <w:vAlign w:val="center"/>
            <w:hideMark/>
          </w:tcPr>
          <w:p w14:paraId="04CE1418" w14:textId="77777777" w:rsidR="00000000" w:rsidRDefault="00195E73">
            <w:pPr>
              <w:rPr>
                <w:rFonts w:eastAsia="Times New Roman"/>
                <w:sz w:val="20"/>
                <w:szCs w:val="20"/>
              </w:rPr>
            </w:pPr>
          </w:p>
        </w:tc>
      </w:tr>
      <w:tr w:rsidR="00195E73" w14:paraId="6B7E5685" w14:textId="77777777">
        <w:trPr>
          <w:divId w:val="1455518801"/>
          <w:jc w:val="center"/>
        </w:trPr>
        <w:tc>
          <w:tcPr>
            <w:tcW w:w="0" w:type="auto"/>
            <w:gridSpan w:val="3"/>
            <w:shd w:val="clear" w:color="auto" w:fill="CCEEFF"/>
            <w:tcMar>
              <w:top w:w="15" w:type="dxa"/>
              <w:left w:w="20" w:type="dxa"/>
              <w:bottom w:w="15" w:type="dxa"/>
              <w:right w:w="20" w:type="dxa"/>
            </w:tcMar>
            <w:vAlign w:val="bottom"/>
            <w:hideMark/>
          </w:tcPr>
          <w:p w14:paraId="2FFC754E"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32D044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10A1AEA" w14:textId="77777777" w:rsidR="00000000" w:rsidRDefault="00195E73">
            <w:pPr>
              <w:jc w:val="right"/>
              <w:rPr>
                <w:rFonts w:eastAsia="Times New Roman"/>
              </w:rPr>
            </w:pPr>
            <w:r>
              <w:rPr>
                <w:rFonts w:eastAsia="Times New Roman"/>
                <w:color w:val="000000"/>
                <w:sz w:val="20"/>
                <w:szCs w:val="20"/>
              </w:rPr>
              <w:t>(2.02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BB77E4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973DFD4"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D5E9BC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18B4AB5" w14:textId="77777777" w:rsidR="00000000" w:rsidRDefault="00195E73">
            <w:pPr>
              <w:jc w:val="right"/>
              <w:rPr>
                <w:rFonts w:eastAsia="Times New Roman"/>
              </w:rPr>
            </w:pPr>
            <w:r>
              <w:rPr>
                <w:rFonts w:eastAsia="Times New Roman"/>
                <w:color w:val="000000"/>
                <w:sz w:val="20"/>
                <w:szCs w:val="20"/>
              </w:rPr>
              <w:t>0.74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7BDCFA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7D51C74"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5B16AAD"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2565534" w14:textId="77777777" w:rsidR="00000000" w:rsidRDefault="00195E73">
            <w:pPr>
              <w:jc w:val="right"/>
              <w:rPr>
                <w:rFonts w:eastAsia="Times New Roman"/>
              </w:rPr>
            </w:pPr>
            <w:r>
              <w:rPr>
                <w:rFonts w:eastAsia="Times New Roman"/>
                <w:color w:val="000000"/>
                <w:sz w:val="20"/>
                <w:szCs w:val="20"/>
              </w:rPr>
              <w:t>(2.49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50F640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A7CA2CE"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A7E78E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0F0F503" w14:textId="77777777" w:rsidR="00000000" w:rsidRDefault="00195E73">
            <w:pPr>
              <w:jc w:val="right"/>
              <w:rPr>
                <w:rFonts w:eastAsia="Times New Roman"/>
              </w:rPr>
            </w:pPr>
            <w:r>
              <w:rPr>
                <w:rFonts w:eastAsia="Times New Roman"/>
                <w:color w:val="000000"/>
                <w:sz w:val="20"/>
                <w:szCs w:val="20"/>
              </w:rPr>
              <w:t>1.66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6F4255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F487B3A"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AAC420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D6CE35A" w14:textId="77777777" w:rsidR="00000000" w:rsidRDefault="00195E73">
            <w:pPr>
              <w:jc w:val="right"/>
              <w:rPr>
                <w:rFonts w:eastAsia="Times New Roman"/>
              </w:rPr>
            </w:pPr>
            <w:r>
              <w:rPr>
                <w:rFonts w:eastAsia="Times New Roman"/>
                <w:color w:val="000000"/>
                <w:sz w:val="20"/>
                <w:szCs w:val="20"/>
              </w:rPr>
              <w:t>(0.24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55AB62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40AFACA"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444048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06F8804" w14:textId="77777777" w:rsidR="00000000" w:rsidRDefault="00195E73">
            <w:pPr>
              <w:jc w:val="right"/>
              <w:rPr>
                <w:rFonts w:eastAsia="Times New Roman"/>
              </w:rPr>
            </w:pPr>
            <w:r>
              <w:rPr>
                <w:rFonts w:eastAsia="Times New Roman"/>
                <w:color w:val="000000"/>
                <w:sz w:val="20"/>
                <w:szCs w:val="20"/>
              </w:rPr>
              <w:t>0.64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1C1BF6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0D94E08"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B9345E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BED5CD9" w14:textId="77777777" w:rsidR="00000000" w:rsidRDefault="00195E73">
            <w:pPr>
              <w:jc w:val="right"/>
              <w:rPr>
                <w:rFonts w:eastAsia="Times New Roman"/>
              </w:rPr>
            </w:pPr>
            <w:r>
              <w:rPr>
                <w:rFonts w:eastAsia="Times New Roman"/>
                <w:color w:val="000000"/>
                <w:sz w:val="20"/>
                <w:szCs w:val="20"/>
              </w:rPr>
              <w:t>(0.74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C0FD80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6DEA323" w14:textId="77777777" w:rsidR="00000000" w:rsidRDefault="00195E73">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6254A7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FA6550D" w14:textId="77777777" w:rsidR="00000000" w:rsidRDefault="00195E73">
            <w:pPr>
              <w:jc w:val="right"/>
              <w:rPr>
                <w:rFonts w:eastAsia="Times New Roman"/>
              </w:rPr>
            </w:pPr>
            <w:r>
              <w:rPr>
                <w:rFonts w:eastAsia="Times New Roman"/>
                <w:color w:val="000000"/>
                <w:sz w:val="20"/>
                <w:szCs w:val="20"/>
              </w:rPr>
              <w:t>8.01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B19B8C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4D36B96" w14:textId="77777777" w:rsidR="00000000" w:rsidRDefault="00195E73">
            <w:pPr>
              <w:rPr>
                <w:rFonts w:eastAsia="Times New Roman"/>
                <w:sz w:val="20"/>
                <w:szCs w:val="20"/>
              </w:rPr>
            </w:pPr>
          </w:p>
        </w:tc>
        <w:tc>
          <w:tcPr>
            <w:tcW w:w="0" w:type="auto"/>
            <w:vAlign w:val="center"/>
            <w:hideMark/>
          </w:tcPr>
          <w:p w14:paraId="4DD32E89" w14:textId="77777777" w:rsidR="00000000" w:rsidRDefault="00195E73">
            <w:pPr>
              <w:rPr>
                <w:rFonts w:eastAsia="Times New Roman"/>
                <w:sz w:val="20"/>
                <w:szCs w:val="20"/>
              </w:rPr>
            </w:pPr>
          </w:p>
        </w:tc>
        <w:tc>
          <w:tcPr>
            <w:tcW w:w="0" w:type="auto"/>
            <w:vAlign w:val="center"/>
            <w:hideMark/>
          </w:tcPr>
          <w:p w14:paraId="39AD1DD4" w14:textId="77777777" w:rsidR="00000000" w:rsidRDefault="00195E73">
            <w:pPr>
              <w:rPr>
                <w:rFonts w:eastAsia="Times New Roman"/>
                <w:sz w:val="20"/>
                <w:szCs w:val="20"/>
              </w:rPr>
            </w:pPr>
          </w:p>
        </w:tc>
        <w:tc>
          <w:tcPr>
            <w:tcW w:w="0" w:type="auto"/>
            <w:vAlign w:val="center"/>
            <w:hideMark/>
          </w:tcPr>
          <w:p w14:paraId="415E229C" w14:textId="77777777" w:rsidR="00000000" w:rsidRDefault="00195E73">
            <w:pPr>
              <w:rPr>
                <w:rFonts w:eastAsia="Times New Roman"/>
                <w:sz w:val="20"/>
                <w:szCs w:val="20"/>
              </w:rPr>
            </w:pPr>
          </w:p>
        </w:tc>
        <w:tc>
          <w:tcPr>
            <w:tcW w:w="0" w:type="auto"/>
            <w:vAlign w:val="center"/>
            <w:hideMark/>
          </w:tcPr>
          <w:p w14:paraId="53629748" w14:textId="77777777" w:rsidR="00000000" w:rsidRDefault="00195E73">
            <w:pPr>
              <w:rPr>
                <w:rFonts w:eastAsia="Times New Roman"/>
                <w:sz w:val="20"/>
                <w:szCs w:val="20"/>
              </w:rPr>
            </w:pPr>
          </w:p>
        </w:tc>
        <w:tc>
          <w:tcPr>
            <w:tcW w:w="0" w:type="auto"/>
            <w:vAlign w:val="center"/>
            <w:hideMark/>
          </w:tcPr>
          <w:p w14:paraId="0852927B" w14:textId="77777777" w:rsidR="00000000" w:rsidRDefault="00195E73">
            <w:pPr>
              <w:rPr>
                <w:rFonts w:eastAsia="Times New Roman"/>
                <w:sz w:val="20"/>
                <w:szCs w:val="20"/>
              </w:rPr>
            </w:pPr>
          </w:p>
        </w:tc>
        <w:tc>
          <w:tcPr>
            <w:tcW w:w="0" w:type="auto"/>
            <w:vAlign w:val="center"/>
            <w:hideMark/>
          </w:tcPr>
          <w:p w14:paraId="62CA2CAF" w14:textId="77777777" w:rsidR="00000000" w:rsidRDefault="00195E73">
            <w:pPr>
              <w:rPr>
                <w:rFonts w:eastAsia="Times New Roman"/>
                <w:sz w:val="20"/>
                <w:szCs w:val="20"/>
              </w:rPr>
            </w:pPr>
          </w:p>
        </w:tc>
        <w:tc>
          <w:tcPr>
            <w:tcW w:w="0" w:type="auto"/>
            <w:vAlign w:val="center"/>
            <w:hideMark/>
          </w:tcPr>
          <w:p w14:paraId="012111AA" w14:textId="77777777" w:rsidR="00000000" w:rsidRDefault="00195E73">
            <w:pPr>
              <w:rPr>
                <w:rFonts w:eastAsia="Times New Roman"/>
                <w:sz w:val="20"/>
                <w:szCs w:val="20"/>
              </w:rPr>
            </w:pPr>
          </w:p>
        </w:tc>
        <w:tc>
          <w:tcPr>
            <w:tcW w:w="0" w:type="auto"/>
            <w:vAlign w:val="center"/>
            <w:hideMark/>
          </w:tcPr>
          <w:p w14:paraId="6CAF634C" w14:textId="77777777" w:rsidR="00000000" w:rsidRDefault="00195E73">
            <w:pPr>
              <w:rPr>
                <w:rFonts w:eastAsia="Times New Roman"/>
                <w:sz w:val="20"/>
                <w:szCs w:val="20"/>
              </w:rPr>
            </w:pPr>
          </w:p>
        </w:tc>
        <w:tc>
          <w:tcPr>
            <w:tcW w:w="0" w:type="auto"/>
            <w:vAlign w:val="center"/>
            <w:hideMark/>
          </w:tcPr>
          <w:p w14:paraId="1F8151D3" w14:textId="77777777" w:rsidR="00000000" w:rsidRDefault="00195E73">
            <w:pPr>
              <w:rPr>
                <w:rFonts w:eastAsia="Times New Roman"/>
                <w:sz w:val="20"/>
                <w:szCs w:val="20"/>
              </w:rPr>
            </w:pPr>
          </w:p>
        </w:tc>
        <w:tc>
          <w:tcPr>
            <w:tcW w:w="0" w:type="auto"/>
            <w:vAlign w:val="center"/>
            <w:hideMark/>
          </w:tcPr>
          <w:p w14:paraId="3F2CCA5E" w14:textId="77777777" w:rsidR="00000000" w:rsidRDefault="00195E73">
            <w:pPr>
              <w:rPr>
                <w:rFonts w:eastAsia="Times New Roman"/>
                <w:sz w:val="20"/>
                <w:szCs w:val="20"/>
              </w:rPr>
            </w:pPr>
          </w:p>
        </w:tc>
        <w:tc>
          <w:tcPr>
            <w:tcW w:w="0" w:type="auto"/>
            <w:vAlign w:val="center"/>
            <w:hideMark/>
          </w:tcPr>
          <w:p w14:paraId="345C5343" w14:textId="77777777" w:rsidR="00000000" w:rsidRDefault="00195E73">
            <w:pPr>
              <w:rPr>
                <w:rFonts w:eastAsia="Times New Roman"/>
                <w:sz w:val="20"/>
                <w:szCs w:val="20"/>
              </w:rPr>
            </w:pPr>
          </w:p>
        </w:tc>
        <w:tc>
          <w:tcPr>
            <w:tcW w:w="0" w:type="auto"/>
            <w:vAlign w:val="center"/>
            <w:hideMark/>
          </w:tcPr>
          <w:p w14:paraId="54F30662" w14:textId="77777777" w:rsidR="00000000" w:rsidRDefault="00195E73">
            <w:pPr>
              <w:rPr>
                <w:rFonts w:eastAsia="Times New Roman"/>
                <w:sz w:val="20"/>
                <w:szCs w:val="20"/>
              </w:rPr>
            </w:pPr>
          </w:p>
        </w:tc>
        <w:tc>
          <w:tcPr>
            <w:tcW w:w="0" w:type="auto"/>
            <w:vAlign w:val="center"/>
            <w:hideMark/>
          </w:tcPr>
          <w:p w14:paraId="0A48BDAA" w14:textId="77777777" w:rsidR="00000000" w:rsidRDefault="00195E73">
            <w:pPr>
              <w:rPr>
                <w:rFonts w:eastAsia="Times New Roman"/>
                <w:sz w:val="20"/>
                <w:szCs w:val="20"/>
              </w:rPr>
            </w:pPr>
          </w:p>
        </w:tc>
        <w:tc>
          <w:tcPr>
            <w:tcW w:w="0" w:type="auto"/>
            <w:vAlign w:val="center"/>
            <w:hideMark/>
          </w:tcPr>
          <w:p w14:paraId="23A0D0FE" w14:textId="77777777" w:rsidR="00000000" w:rsidRDefault="00195E73">
            <w:pPr>
              <w:rPr>
                <w:rFonts w:eastAsia="Times New Roman"/>
                <w:sz w:val="20"/>
                <w:szCs w:val="20"/>
              </w:rPr>
            </w:pPr>
          </w:p>
        </w:tc>
      </w:tr>
      <w:tr w:rsidR="00000000" w14:paraId="35CDA886" w14:textId="77777777">
        <w:trPr>
          <w:divId w:val="1455518801"/>
          <w:jc w:val="center"/>
        </w:trPr>
        <w:tc>
          <w:tcPr>
            <w:tcW w:w="0" w:type="auto"/>
            <w:gridSpan w:val="3"/>
            <w:shd w:val="clear" w:color="auto" w:fill="FFFFFF"/>
            <w:tcMar>
              <w:top w:w="30" w:type="dxa"/>
              <w:left w:w="20" w:type="dxa"/>
              <w:bottom w:w="30" w:type="dxa"/>
              <w:right w:w="20" w:type="dxa"/>
            </w:tcMar>
            <w:vAlign w:val="bottom"/>
            <w:hideMark/>
          </w:tcPr>
          <w:p w14:paraId="68CA19A2" w14:textId="77777777" w:rsidR="00000000" w:rsidRDefault="00195E73">
            <w:pPr>
              <w:ind w:hanging="90"/>
              <w:divId w:val="883247573"/>
              <w:rPr>
                <w:rFonts w:eastAsia="Times New Roman"/>
              </w:rPr>
            </w:pPr>
            <w:r>
              <w:rPr>
                <w:rFonts w:eastAsia="Times New Roman"/>
                <w:color w:val="000000"/>
                <w:sz w:val="20"/>
                <w:szCs w:val="20"/>
              </w:rPr>
              <w:t>Diluted income (loss) per LP unit</w:t>
            </w:r>
            <w:r>
              <w:rPr>
                <w:rFonts w:eastAsia="Times New Roman"/>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C465CA8" w14:textId="77777777" w:rsidR="00000000" w:rsidRDefault="00195E73">
            <w:pPr>
              <w:ind w:hanging="90"/>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25D55B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71AE78F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D64797F"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295D315"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8CF8D37"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7D6966D8"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F9B73F0"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9BBA79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F19FB50"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32CB1EA1"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562D5EA"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BB53A2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2853406"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B29B10F" w14:textId="77777777" w:rsidR="00000000" w:rsidRDefault="00195E73">
            <w:pPr>
              <w:rPr>
                <w:rFonts w:eastAsia="Times New Roman"/>
                <w:sz w:val="20"/>
                <w:szCs w:val="20"/>
              </w:rPr>
            </w:pPr>
          </w:p>
        </w:tc>
        <w:tc>
          <w:tcPr>
            <w:tcW w:w="0" w:type="auto"/>
            <w:vAlign w:val="center"/>
            <w:hideMark/>
          </w:tcPr>
          <w:p w14:paraId="797A4EFB" w14:textId="77777777" w:rsidR="00000000" w:rsidRDefault="00195E73">
            <w:pPr>
              <w:rPr>
                <w:rFonts w:eastAsia="Times New Roman"/>
                <w:sz w:val="20"/>
                <w:szCs w:val="20"/>
              </w:rPr>
            </w:pPr>
          </w:p>
        </w:tc>
        <w:tc>
          <w:tcPr>
            <w:tcW w:w="0" w:type="auto"/>
            <w:vAlign w:val="center"/>
            <w:hideMark/>
          </w:tcPr>
          <w:p w14:paraId="6434FEC6" w14:textId="77777777" w:rsidR="00000000" w:rsidRDefault="00195E73">
            <w:pPr>
              <w:rPr>
                <w:rFonts w:eastAsia="Times New Roman"/>
                <w:sz w:val="20"/>
                <w:szCs w:val="20"/>
              </w:rPr>
            </w:pPr>
          </w:p>
        </w:tc>
        <w:tc>
          <w:tcPr>
            <w:tcW w:w="0" w:type="auto"/>
            <w:vAlign w:val="center"/>
            <w:hideMark/>
          </w:tcPr>
          <w:p w14:paraId="601EDB0D" w14:textId="77777777" w:rsidR="00000000" w:rsidRDefault="00195E73">
            <w:pPr>
              <w:rPr>
                <w:rFonts w:eastAsia="Times New Roman"/>
                <w:sz w:val="20"/>
                <w:szCs w:val="20"/>
              </w:rPr>
            </w:pPr>
          </w:p>
        </w:tc>
        <w:tc>
          <w:tcPr>
            <w:tcW w:w="0" w:type="auto"/>
            <w:vAlign w:val="center"/>
            <w:hideMark/>
          </w:tcPr>
          <w:p w14:paraId="1AC67BDC" w14:textId="77777777" w:rsidR="00000000" w:rsidRDefault="00195E73">
            <w:pPr>
              <w:rPr>
                <w:rFonts w:eastAsia="Times New Roman"/>
                <w:sz w:val="20"/>
                <w:szCs w:val="20"/>
              </w:rPr>
            </w:pPr>
          </w:p>
        </w:tc>
        <w:tc>
          <w:tcPr>
            <w:tcW w:w="0" w:type="auto"/>
            <w:vAlign w:val="center"/>
            <w:hideMark/>
          </w:tcPr>
          <w:p w14:paraId="4B8A5D3F" w14:textId="77777777" w:rsidR="00000000" w:rsidRDefault="00195E73">
            <w:pPr>
              <w:rPr>
                <w:rFonts w:eastAsia="Times New Roman"/>
                <w:sz w:val="20"/>
                <w:szCs w:val="20"/>
              </w:rPr>
            </w:pPr>
          </w:p>
        </w:tc>
        <w:tc>
          <w:tcPr>
            <w:tcW w:w="0" w:type="auto"/>
            <w:vAlign w:val="center"/>
            <w:hideMark/>
          </w:tcPr>
          <w:p w14:paraId="162807D1" w14:textId="77777777" w:rsidR="00000000" w:rsidRDefault="00195E73">
            <w:pPr>
              <w:rPr>
                <w:rFonts w:eastAsia="Times New Roman"/>
                <w:sz w:val="20"/>
                <w:szCs w:val="20"/>
              </w:rPr>
            </w:pPr>
          </w:p>
        </w:tc>
        <w:tc>
          <w:tcPr>
            <w:tcW w:w="0" w:type="auto"/>
            <w:vAlign w:val="center"/>
            <w:hideMark/>
          </w:tcPr>
          <w:p w14:paraId="18C08CCF" w14:textId="77777777" w:rsidR="00000000" w:rsidRDefault="00195E73">
            <w:pPr>
              <w:rPr>
                <w:rFonts w:eastAsia="Times New Roman"/>
                <w:sz w:val="20"/>
                <w:szCs w:val="20"/>
              </w:rPr>
            </w:pPr>
          </w:p>
        </w:tc>
        <w:tc>
          <w:tcPr>
            <w:tcW w:w="0" w:type="auto"/>
            <w:vAlign w:val="center"/>
            <w:hideMark/>
          </w:tcPr>
          <w:p w14:paraId="2DE6974D" w14:textId="77777777" w:rsidR="00000000" w:rsidRDefault="00195E73">
            <w:pPr>
              <w:rPr>
                <w:rFonts w:eastAsia="Times New Roman"/>
                <w:sz w:val="20"/>
                <w:szCs w:val="20"/>
              </w:rPr>
            </w:pPr>
          </w:p>
        </w:tc>
        <w:tc>
          <w:tcPr>
            <w:tcW w:w="0" w:type="auto"/>
            <w:vAlign w:val="center"/>
            <w:hideMark/>
          </w:tcPr>
          <w:p w14:paraId="02471DFF" w14:textId="77777777" w:rsidR="00000000" w:rsidRDefault="00195E73">
            <w:pPr>
              <w:rPr>
                <w:rFonts w:eastAsia="Times New Roman"/>
                <w:sz w:val="20"/>
                <w:szCs w:val="20"/>
              </w:rPr>
            </w:pPr>
          </w:p>
        </w:tc>
        <w:tc>
          <w:tcPr>
            <w:tcW w:w="0" w:type="auto"/>
            <w:vAlign w:val="center"/>
            <w:hideMark/>
          </w:tcPr>
          <w:p w14:paraId="7D567BE0" w14:textId="77777777" w:rsidR="00000000" w:rsidRDefault="00195E73">
            <w:pPr>
              <w:rPr>
                <w:rFonts w:eastAsia="Times New Roman"/>
                <w:sz w:val="20"/>
                <w:szCs w:val="20"/>
              </w:rPr>
            </w:pPr>
          </w:p>
        </w:tc>
        <w:tc>
          <w:tcPr>
            <w:tcW w:w="0" w:type="auto"/>
            <w:vAlign w:val="center"/>
            <w:hideMark/>
          </w:tcPr>
          <w:p w14:paraId="79DB4213" w14:textId="77777777" w:rsidR="00000000" w:rsidRDefault="00195E73">
            <w:pPr>
              <w:rPr>
                <w:rFonts w:eastAsia="Times New Roman"/>
                <w:sz w:val="20"/>
                <w:szCs w:val="20"/>
              </w:rPr>
            </w:pPr>
          </w:p>
        </w:tc>
        <w:tc>
          <w:tcPr>
            <w:tcW w:w="0" w:type="auto"/>
            <w:vAlign w:val="center"/>
            <w:hideMark/>
          </w:tcPr>
          <w:p w14:paraId="6B82D3DA" w14:textId="77777777" w:rsidR="00000000" w:rsidRDefault="00195E73">
            <w:pPr>
              <w:rPr>
                <w:rFonts w:eastAsia="Times New Roman"/>
                <w:sz w:val="20"/>
                <w:szCs w:val="20"/>
              </w:rPr>
            </w:pPr>
          </w:p>
        </w:tc>
        <w:tc>
          <w:tcPr>
            <w:tcW w:w="0" w:type="auto"/>
            <w:vAlign w:val="center"/>
            <w:hideMark/>
          </w:tcPr>
          <w:p w14:paraId="15064344" w14:textId="77777777" w:rsidR="00000000" w:rsidRDefault="00195E73">
            <w:pPr>
              <w:rPr>
                <w:rFonts w:eastAsia="Times New Roman"/>
                <w:sz w:val="20"/>
                <w:szCs w:val="20"/>
              </w:rPr>
            </w:pPr>
          </w:p>
        </w:tc>
        <w:tc>
          <w:tcPr>
            <w:tcW w:w="0" w:type="auto"/>
            <w:vAlign w:val="center"/>
            <w:hideMark/>
          </w:tcPr>
          <w:p w14:paraId="2C4F3EED" w14:textId="77777777" w:rsidR="00000000" w:rsidRDefault="00195E73">
            <w:pPr>
              <w:rPr>
                <w:rFonts w:eastAsia="Times New Roman"/>
                <w:sz w:val="20"/>
                <w:szCs w:val="20"/>
              </w:rPr>
            </w:pPr>
          </w:p>
        </w:tc>
        <w:tc>
          <w:tcPr>
            <w:tcW w:w="0" w:type="auto"/>
            <w:vAlign w:val="center"/>
            <w:hideMark/>
          </w:tcPr>
          <w:p w14:paraId="772DDEEA" w14:textId="77777777" w:rsidR="00000000" w:rsidRDefault="00195E73">
            <w:pPr>
              <w:rPr>
                <w:rFonts w:eastAsia="Times New Roman"/>
                <w:sz w:val="20"/>
                <w:szCs w:val="20"/>
              </w:rPr>
            </w:pPr>
          </w:p>
        </w:tc>
      </w:tr>
      <w:tr w:rsidR="00195E73" w14:paraId="3C077E2B" w14:textId="77777777">
        <w:trPr>
          <w:divId w:val="1455518801"/>
          <w:jc w:val="center"/>
        </w:trPr>
        <w:tc>
          <w:tcPr>
            <w:tcW w:w="0" w:type="auto"/>
            <w:gridSpan w:val="3"/>
            <w:shd w:val="clear" w:color="auto" w:fill="CCEEFF"/>
            <w:tcMar>
              <w:top w:w="30" w:type="dxa"/>
              <w:left w:w="20" w:type="dxa"/>
              <w:bottom w:w="30" w:type="dxa"/>
              <w:right w:w="20" w:type="dxa"/>
            </w:tcMar>
            <w:vAlign w:val="bottom"/>
            <w:hideMark/>
          </w:tcPr>
          <w:p w14:paraId="2DC6FDB7" w14:textId="77777777" w:rsidR="00000000" w:rsidRDefault="00195E73">
            <w:pPr>
              <w:ind w:hanging="90"/>
              <w:divId w:val="378676256"/>
              <w:rPr>
                <w:rFonts w:eastAsia="Times New Roman"/>
              </w:rPr>
            </w:pPr>
            <w:r>
              <w:rPr>
                <w:rFonts w:eastAsia="Times New Roman"/>
                <w:color w:val="000000"/>
                <w:sz w:val="20"/>
                <w:szCs w:val="20"/>
              </w:rPr>
              <w:t>   Continuing operation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46001193"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BAF01CF" w14:textId="77777777" w:rsidR="00000000" w:rsidRDefault="00195E73">
            <w:pPr>
              <w:jc w:val="right"/>
              <w:rPr>
                <w:rFonts w:eastAsia="Times New Roman"/>
              </w:rPr>
            </w:pPr>
            <w:r>
              <w:rPr>
                <w:rFonts w:eastAsia="Times New Roman"/>
                <w:color w:val="000000"/>
                <w:sz w:val="20"/>
                <w:szCs w:val="20"/>
              </w:rPr>
              <w:t>(2.02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3E507A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63D7B5"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556F127"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36E3A11" w14:textId="77777777" w:rsidR="00000000" w:rsidRDefault="00195E73">
            <w:pPr>
              <w:jc w:val="right"/>
              <w:rPr>
                <w:rFonts w:eastAsia="Times New Roman"/>
              </w:rPr>
            </w:pPr>
            <w:r>
              <w:rPr>
                <w:rFonts w:eastAsia="Times New Roman"/>
                <w:color w:val="000000"/>
                <w:sz w:val="20"/>
                <w:szCs w:val="20"/>
              </w:rPr>
              <w:t>0.55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6B649E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A3F32A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35875942"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47806FB" w14:textId="77777777" w:rsidR="00000000" w:rsidRDefault="00195E73">
            <w:pPr>
              <w:jc w:val="right"/>
              <w:rPr>
                <w:rFonts w:eastAsia="Times New Roman"/>
              </w:rPr>
            </w:pPr>
            <w:r>
              <w:rPr>
                <w:rFonts w:eastAsia="Times New Roman"/>
                <w:color w:val="000000"/>
                <w:sz w:val="20"/>
                <w:szCs w:val="20"/>
              </w:rPr>
              <w:t>(2.37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BB0820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D794540"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06261A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948D606" w14:textId="77777777" w:rsidR="00000000" w:rsidRDefault="00195E73">
            <w:pPr>
              <w:jc w:val="right"/>
              <w:rPr>
                <w:rFonts w:eastAsia="Times New Roman"/>
              </w:rPr>
            </w:pPr>
            <w:r>
              <w:rPr>
                <w:rFonts w:eastAsia="Times New Roman"/>
                <w:color w:val="000000"/>
                <w:sz w:val="20"/>
                <w:szCs w:val="20"/>
              </w:rPr>
              <w:t>0.81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A47914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9D1641"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36B7DC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DC4FDAD" w14:textId="77777777" w:rsidR="00000000" w:rsidRDefault="00195E73">
            <w:pPr>
              <w:jc w:val="right"/>
              <w:rPr>
                <w:rFonts w:eastAsia="Times New Roman"/>
              </w:rPr>
            </w:pPr>
            <w:r>
              <w:rPr>
                <w:rFonts w:eastAsia="Times New Roman"/>
                <w:color w:val="000000"/>
                <w:sz w:val="20"/>
                <w:szCs w:val="20"/>
              </w:rPr>
              <w:t>(0.24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944D3A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078869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AD0D97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932F541" w14:textId="77777777" w:rsidR="00000000" w:rsidRDefault="00195E73">
            <w:pPr>
              <w:jc w:val="right"/>
              <w:rPr>
                <w:rFonts w:eastAsia="Times New Roman"/>
              </w:rPr>
            </w:pPr>
            <w:r>
              <w:rPr>
                <w:rFonts w:eastAsia="Times New Roman"/>
                <w:color w:val="000000"/>
                <w:sz w:val="20"/>
                <w:szCs w:val="20"/>
              </w:rPr>
              <w:t>(0.24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2F7AEB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2F62567"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805BD7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F42E217" w14:textId="77777777" w:rsidR="00000000" w:rsidRDefault="00195E73">
            <w:pPr>
              <w:jc w:val="right"/>
              <w:rPr>
                <w:rFonts w:eastAsia="Times New Roman"/>
              </w:rPr>
            </w:pPr>
            <w:r>
              <w:rPr>
                <w:rFonts w:eastAsia="Times New Roman"/>
                <w:color w:val="000000"/>
                <w:sz w:val="20"/>
                <w:szCs w:val="20"/>
              </w:rPr>
              <w:t>(0.70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3E84E1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207C77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F7C8357"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6C76949" w14:textId="77777777" w:rsidR="00000000" w:rsidRDefault="00195E73">
            <w:pPr>
              <w:jc w:val="right"/>
              <w:rPr>
                <w:rFonts w:eastAsia="Times New Roman"/>
              </w:rPr>
            </w:pPr>
            <w:r>
              <w:rPr>
                <w:rFonts w:eastAsia="Times New Roman"/>
                <w:color w:val="000000"/>
                <w:sz w:val="20"/>
                <w:szCs w:val="20"/>
              </w:rPr>
              <w:t>(2.30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B1EF6B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DEB216C" w14:textId="77777777" w:rsidR="00000000" w:rsidRDefault="00195E73">
            <w:pPr>
              <w:rPr>
                <w:rFonts w:eastAsia="Times New Roman"/>
                <w:sz w:val="20"/>
                <w:szCs w:val="20"/>
              </w:rPr>
            </w:pPr>
          </w:p>
        </w:tc>
        <w:tc>
          <w:tcPr>
            <w:tcW w:w="0" w:type="auto"/>
            <w:vAlign w:val="center"/>
            <w:hideMark/>
          </w:tcPr>
          <w:p w14:paraId="106DF165" w14:textId="77777777" w:rsidR="00000000" w:rsidRDefault="00195E73">
            <w:pPr>
              <w:rPr>
                <w:rFonts w:eastAsia="Times New Roman"/>
                <w:sz w:val="20"/>
                <w:szCs w:val="20"/>
              </w:rPr>
            </w:pPr>
          </w:p>
        </w:tc>
        <w:tc>
          <w:tcPr>
            <w:tcW w:w="0" w:type="auto"/>
            <w:vAlign w:val="center"/>
            <w:hideMark/>
          </w:tcPr>
          <w:p w14:paraId="64D27C44" w14:textId="77777777" w:rsidR="00000000" w:rsidRDefault="00195E73">
            <w:pPr>
              <w:rPr>
                <w:rFonts w:eastAsia="Times New Roman"/>
                <w:sz w:val="20"/>
                <w:szCs w:val="20"/>
              </w:rPr>
            </w:pPr>
          </w:p>
        </w:tc>
        <w:tc>
          <w:tcPr>
            <w:tcW w:w="0" w:type="auto"/>
            <w:vAlign w:val="center"/>
            <w:hideMark/>
          </w:tcPr>
          <w:p w14:paraId="79F62EF7" w14:textId="77777777" w:rsidR="00000000" w:rsidRDefault="00195E73">
            <w:pPr>
              <w:rPr>
                <w:rFonts w:eastAsia="Times New Roman"/>
                <w:sz w:val="20"/>
                <w:szCs w:val="20"/>
              </w:rPr>
            </w:pPr>
          </w:p>
        </w:tc>
        <w:tc>
          <w:tcPr>
            <w:tcW w:w="0" w:type="auto"/>
            <w:vAlign w:val="center"/>
            <w:hideMark/>
          </w:tcPr>
          <w:p w14:paraId="7474BA01" w14:textId="77777777" w:rsidR="00000000" w:rsidRDefault="00195E73">
            <w:pPr>
              <w:rPr>
                <w:rFonts w:eastAsia="Times New Roman"/>
                <w:sz w:val="20"/>
                <w:szCs w:val="20"/>
              </w:rPr>
            </w:pPr>
          </w:p>
        </w:tc>
        <w:tc>
          <w:tcPr>
            <w:tcW w:w="0" w:type="auto"/>
            <w:vAlign w:val="center"/>
            <w:hideMark/>
          </w:tcPr>
          <w:p w14:paraId="3D10B75E" w14:textId="77777777" w:rsidR="00000000" w:rsidRDefault="00195E73">
            <w:pPr>
              <w:rPr>
                <w:rFonts w:eastAsia="Times New Roman"/>
                <w:sz w:val="20"/>
                <w:szCs w:val="20"/>
              </w:rPr>
            </w:pPr>
          </w:p>
        </w:tc>
        <w:tc>
          <w:tcPr>
            <w:tcW w:w="0" w:type="auto"/>
            <w:vAlign w:val="center"/>
            <w:hideMark/>
          </w:tcPr>
          <w:p w14:paraId="4557667E" w14:textId="77777777" w:rsidR="00000000" w:rsidRDefault="00195E73">
            <w:pPr>
              <w:rPr>
                <w:rFonts w:eastAsia="Times New Roman"/>
                <w:sz w:val="20"/>
                <w:szCs w:val="20"/>
              </w:rPr>
            </w:pPr>
          </w:p>
        </w:tc>
        <w:tc>
          <w:tcPr>
            <w:tcW w:w="0" w:type="auto"/>
            <w:vAlign w:val="center"/>
            <w:hideMark/>
          </w:tcPr>
          <w:p w14:paraId="4503C557" w14:textId="77777777" w:rsidR="00000000" w:rsidRDefault="00195E73">
            <w:pPr>
              <w:rPr>
                <w:rFonts w:eastAsia="Times New Roman"/>
                <w:sz w:val="20"/>
                <w:szCs w:val="20"/>
              </w:rPr>
            </w:pPr>
          </w:p>
        </w:tc>
        <w:tc>
          <w:tcPr>
            <w:tcW w:w="0" w:type="auto"/>
            <w:vAlign w:val="center"/>
            <w:hideMark/>
          </w:tcPr>
          <w:p w14:paraId="3CB68514" w14:textId="77777777" w:rsidR="00000000" w:rsidRDefault="00195E73">
            <w:pPr>
              <w:rPr>
                <w:rFonts w:eastAsia="Times New Roman"/>
                <w:sz w:val="20"/>
                <w:szCs w:val="20"/>
              </w:rPr>
            </w:pPr>
          </w:p>
        </w:tc>
        <w:tc>
          <w:tcPr>
            <w:tcW w:w="0" w:type="auto"/>
            <w:vAlign w:val="center"/>
            <w:hideMark/>
          </w:tcPr>
          <w:p w14:paraId="411C2E60" w14:textId="77777777" w:rsidR="00000000" w:rsidRDefault="00195E73">
            <w:pPr>
              <w:rPr>
                <w:rFonts w:eastAsia="Times New Roman"/>
                <w:sz w:val="20"/>
                <w:szCs w:val="20"/>
              </w:rPr>
            </w:pPr>
          </w:p>
        </w:tc>
        <w:tc>
          <w:tcPr>
            <w:tcW w:w="0" w:type="auto"/>
            <w:vAlign w:val="center"/>
            <w:hideMark/>
          </w:tcPr>
          <w:p w14:paraId="712BF81B" w14:textId="77777777" w:rsidR="00000000" w:rsidRDefault="00195E73">
            <w:pPr>
              <w:rPr>
                <w:rFonts w:eastAsia="Times New Roman"/>
                <w:sz w:val="20"/>
                <w:szCs w:val="20"/>
              </w:rPr>
            </w:pPr>
          </w:p>
        </w:tc>
        <w:tc>
          <w:tcPr>
            <w:tcW w:w="0" w:type="auto"/>
            <w:vAlign w:val="center"/>
            <w:hideMark/>
          </w:tcPr>
          <w:p w14:paraId="3EDA1ED7" w14:textId="77777777" w:rsidR="00000000" w:rsidRDefault="00195E73">
            <w:pPr>
              <w:rPr>
                <w:rFonts w:eastAsia="Times New Roman"/>
                <w:sz w:val="20"/>
                <w:szCs w:val="20"/>
              </w:rPr>
            </w:pPr>
          </w:p>
        </w:tc>
        <w:tc>
          <w:tcPr>
            <w:tcW w:w="0" w:type="auto"/>
            <w:vAlign w:val="center"/>
            <w:hideMark/>
          </w:tcPr>
          <w:p w14:paraId="50DE01D6" w14:textId="77777777" w:rsidR="00000000" w:rsidRDefault="00195E73">
            <w:pPr>
              <w:rPr>
                <w:rFonts w:eastAsia="Times New Roman"/>
                <w:sz w:val="20"/>
                <w:szCs w:val="20"/>
              </w:rPr>
            </w:pPr>
          </w:p>
        </w:tc>
        <w:tc>
          <w:tcPr>
            <w:tcW w:w="0" w:type="auto"/>
            <w:vAlign w:val="center"/>
            <w:hideMark/>
          </w:tcPr>
          <w:p w14:paraId="6FF93F83" w14:textId="77777777" w:rsidR="00000000" w:rsidRDefault="00195E73">
            <w:pPr>
              <w:rPr>
                <w:rFonts w:eastAsia="Times New Roman"/>
                <w:sz w:val="20"/>
                <w:szCs w:val="20"/>
              </w:rPr>
            </w:pPr>
          </w:p>
        </w:tc>
        <w:tc>
          <w:tcPr>
            <w:tcW w:w="0" w:type="auto"/>
            <w:vAlign w:val="center"/>
            <w:hideMark/>
          </w:tcPr>
          <w:p w14:paraId="48067D73" w14:textId="77777777" w:rsidR="00000000" w:rsidRDefault="00195E73">
            <w:pPr>
              <w:rPr>
                <w:rFonts w:eastAsia="Times New Roman"/>
                <w:sz w:val="20"/>
                <w:szCs w:val="20"/>
              </w:rPr>
            </w:pPr>
          </w:p>
        </w:tc>
      </w:tr>
      <w:tr w:rsidR="00000000" w14:paraId="100B14CE" w14:textId="77777777">
        <w:trPr>
          <w:divId w:val="1455518801"/>
          <w:jc w:val="center"/>
        </w:trPr>
        <w:tc>
          <w:tcPr>
            <w:tcW w:w="0" w:type="auto"/>
            <w:gridSpan w:val="3"/>
            <w:shd w:val="clear" w:color="auto" w:fill="FFFFFF"/>
            <w:tcMar>
              <w:top w:w="30" w:type="dxa"/>
              <w:left w:w="20" w:type="dxa"/>
              <w:bottom w:w="30" w:type="dxa"/>
              <w:right w:w="20" w:type="dxa"/>
            </w:tcMar>
            <w:vAlign w:val="bottom"/>
            <w:hideMark/>
          </w:tcPr>
          <w:p w14:paraId="068005DA" w14:textId="77777777" w:rsidR="00000000" w:rsidRDefault="00195E73">
            <w:pPr>
              <w:ind w:hanging="90"/>
              <w:divId w:val="1773668899"/>
              <w:rPr>
                <w:rFonts w:eastAsia="Times New Roman"/>
              </w:rPr>
            </w:pPr>
            <w:r>
              <w:rPr>
                <w:rFonts w:eastAsia="Times New Roman"/>
                <w:color w:val="000000"/>
                <w:sz w:val="20"/>
                <w:szCs w:val="20"/>
              </w:rPr>
              <w:t>   Discontinued operation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86D2195" w14:textId="77777777" w:rsidR="00000000" w:rsidRDefault="00195E73">
            <w:pPr>
              <w:jc w:val="right"/>
              <w:rPr>
                <w:rFonts w:eastAsia="Times New Roman"/>
              </w:rPr>
            </w:pPr>
            <w:r>
              <w:rPr>
                <w:rFonts w:eastAsia="Times New Roman"/>
                <w:color w:val="000000"/>
                <w:sz w:val="20"/>
                <w:szCs w:val="20"/>
              </w:rPr>
              <w:t>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DAE437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15F33A0"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4C6394" w14:textId="77777777" w:rsidR="00000000" w:rsidRDefault="00195E73">
            <w:pPr>
              <w:jc w:val="right"/>
              <w:rPr>
                <w:rFonts w:eastAsia="Times New Roman"/>
              </w:rPr>
            </w:pPr>
            <w:r>
              <w:rPr>
                <w:rFonts w:eastAsia="Times New Roman"/>
                <w:color w:val="000000"/>
                <w:sz w:val="20"/>
                <w:szCs w:val="20"/>
              </w:rPr>
              <w:t>0.19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99518A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7E0A50C"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28B566" w14:textId="77777777" w:rsidR="00000000" w:rsidRDefault="00195E73">
            <w:pPr>
              <w:jc w:val="right"/>
              <w:rPr>
                <w:rFonts w:eastAsia="Times New Roman"/>
              </w:rPr>
            </w:pPr>
            <w:r>
              <w:rPr>
                <w:rFonts w:eastAsia="Times New Roman"/>
                <w:color w:val="000000"/>
                <w:sz w:val="20"/>
                <w:szCs w:val="20"/>
              </w:rPr>
              <w:t>(0.12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4C3BD3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43F5C9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D02B7B" w14:textId="77777777" w:rsidR="00000000" w:rsidRDefault="00195E73">
            <w:pPr>
              <w:jc w:val="right"/>
              <w:rPr>
                <w:rFonts w:eastAsia="Times New Roman"/>
              </w:rPr>
            </w:pPr>
            <w:r>
              <w:rPr>
                <w:rFonts w:eastAsia="Times New Roman"/>
                <w:color w:val="000000"/>
                <w:sz w:val="20"/>
                <w:szCs w:val="20"/>
              </w:rPr>
              <w:t>0.85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620D59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4AFD04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D56738" w14:textId="77777777" w:rsidR="00000000" w:rsidRDefault="00195E73">
            <w:pPr>
              <w:jc w:val="right"/>
              <w:rPr>
                <w:rFonts w:eastAsia="Times New Roman"/>
              </w:rPr>
            </w:pPr>
            <w:r>
              <w:rPr>
                <w:rFonts w:eastAsia="Times New Roman"/>
                <w:color w:val="000000"/>
                <w:sz w:val="20"/>
                <w:szCs w:val="20"/>
              </w:rPr>
              <w:t>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0E590C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1EF2BE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743D6C" w14:textId="77777777" w:rsidR="00000000" w:rsidRDefault="00195E73">
            <w:pPr>
              <w:jc w:val="right"/>
              <w:rPr>
                <w:rFonts w:eastAsia="Times New Roman"/>
              </w:rPr>
            </w:pPr>
            <w:r>
              <w:rPr>
                <w:rFonts w:eastAsia="Times New Roman"/>
                <w:color w:val="000000"/>
                <w:sz w:val="20"/>
                <w:szCs w:val="20"/>
              </w:rPr>
              <w:t>0.88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9651F6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77314C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F0E617" w14:textId="77777777" w:rsidR="00000000" w:rsidRDefault="00195E73">
            <w:pPr>
              <w:jc w:val="right"/>
              <w:rPr>
                <w:rFonts w:eastAsia="Times New Roman"/>
              </w:rPr>
            </w:pPr>
            <w:r>
              <w:rPr>
                <w:rFonts w:eastAsia="Times New Roman"/>
                <w:color w:val="000000"/>
                <w:sz w:val="20"/>
                <w:szCs w:val="20"/>
              </w:rPr>
              <w:t>(0.04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8B7EB5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2CCC43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908119" w14:textId="77777777" w:rsidR="00000000" w:rsidRDefault="00195E73">
            <w:pPr>
              <w:jc w:val="right"/>
              <w:rPr>
                <w:rFonts w:eastAsia="Times New Roman"/>
              </w:rPr>
            </w:pPr>
            <w:r>
              <w:rPr>
                <w:rFonts w:eastAsia="Times New Roman"/>
                <w:color w:val="000000"/>
                <w:sz w:val="20"/>
                <w:szCs w:val="20"/>
              </w:rPr>
              <w:t>10.31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6B54D0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4584E03" w14:textId="77777777" w:rsidR="00000000" w:rsidRDefault="00195E73">
            <w:pPr>
              <w:rPr>
                <w:rFonts w:eastAsia="Times New Roman"/>
                <w:sz w:val="20"/>
                <w:szCs w:val="20"/>
              </w:rPr>
            </w:pPr>
          </w:p>
        </w:tc>
        <w:tc>
          <w:tcPr>
            <w:tcW w:w="0" w:type="auto"/>
            <w:vAlign w:val="center"/>
            <w:hideMark/>
          </w:tcPr>
          <w:p w14:paraId="2AB5A328" w14:textId="77777777" w:rsidR="00000000" w:rsidRDefault="00195E73">
            <w:pPr>
              <w:rPr>
                <w:rFonts w:eastAsia="Times New Roman"/>
                <w:sz w:val="20"/>
                <w:szCs w:val="20"/>
              </w:rPr>
            </w:pPr>
          </w:p>
        </w:tc>
        <w:tc>
          <w:tcPr>
            <w:tcW w:w="0" w:type="auto"/>
            <w:vAlign w:val="center"/>
            <w:hideMark/>
          </w:tcPr>
          <w:p w14:paraId="1540F5BF" w14:textId="77777777" w:rsidR="00000000" w:rsidRDefault="00195E73">
            <w:pPr>
              <w:rPr>
                <w:rFonts w:eastAsia="Times New Roman"/>
                <w:sz w:val="20"/>
                <w:szCs w:val="20"/>
              </w:rPr>
            </w:pPr>
          </w:p>
        </w:tc>
        <w:tc>
          <w:tcPr>
            <w:tcW w:w="0" w:type="auto"/>
            <w:vAlign w:val="center"/>
            <w:hideMark/>
          </w:tcPr>
          <w:p w14:paraId="78206D69" w14:textId="77777777" w:rsidR="00000000" w:rsidRDefault="00195E73">
            <w:pPr>
              <w:rPr>
                <w:rFonts w:eastAsia="Times New Roman"/>
                <w:sz w:val="20"/>
                <w:szCs w:val="20"/>
              </w:rPr>
            </w:pPr>
          </w:p>
        </w:tc>
        <w:tc>
          <w:tcPr>
            <w:tcW w:w="0" w:type="auto"/>
            <w:vAlign w:val="center"/>
            <w:hideMark/>
          </w:tcPr>
          <w:p w14:paraId="0F124ADC" w14:textId="77777777" w:rsidR="00000000" w:rsidRDefault="00195E73">
            <w:pPr>
              <w:rPr>
                <w:rFonts w:eastAsia="Times New Roman"/>
                <w:sz w:val="20"/>
                <w:szCs w:val="20"/>
              </w:rPr>
            </w:pPr>
          </w:p>
        </w:tc>
        <w:tc>
          <w:tcPr>
            <w:tcW w:w="0" w:type="auto"/>
            <w:vAlign w:val="center"/>
            <w:hideMark/>
          </w:tcPr>
          <w:p w14:paraId="4BCE9B2F" w14:textId="77777777" w:rsidR="00000000" w:rsidRDefault="00195E73">
            <w:pPr>
              <w:rPr>
                <w:rFonts w:eastAsia="Times New Roman"/>
                <w:sz w:val="20"/>
                <w:szCs w:val="20"/>
              </w:rPr>
            </w:pPr>
          </w:p>
        </w:tc>
        <w:tc>
          <w:tcPr>
            <w:tcW w:w="0" w:type="auto"/>
            <w:vAlign w:val="center"/>
            <w:hideMark/>
          </w:tcPr>
          <w:p w14:paraId="50243BEE" w14:textId="77777777" w:rsidR="00000000" w:rsidRDefault="00195E73">
            <w:pPr>
              <w:rPr>
                <w:rFonts w:eastAsia="Times New Roman"/>
                <w:sz w:val="20"/>
                <w:szCs w:val="20"/>
              </w:rPr>
            </w:pPr>
          </w:p>
        </w:tc>
        <w:tc>
          <w:tcPr>
            <w:tcW w:w="0" w:type="auto"/>
            <w:vAlign w:val="center"/>
            <w:hideMark/>
          </w:tcPr>
          <w:p w14:paraId="191BFBD8" w14:textId="77777777" w:rsidR="00000000" w:rsidRDefault="00195E73">
            <w:pPr>
              <w:rPr>
                <w:rFonts w:eastAsia="Times New Roman"/>
                <w:sz w:val="20"/>
                <w:szCs w:val="20"/>
              </w:rPr>
            </w:pPr>
          </w:p>
        </w:tc>
        <w:tc>
          <w:tcPr>
            <w:tcW w:w="0" w:type="auto"/>
            <w:vAlign w:val="center"/>
            <w:hideMark/>
          </w:tcPr>
          <w:p w14:paraId="619953E6" w14:textId="77777777" w:rsidR="00000000" w:rsidRDefault="00195E73">
            <w:pPr>
              <w:rPr>
                <w:rFonts w:eastAsia="Times New Roman"/>
                <w:sz w:val="20"/>
                <w:szCs w:val="20"/>
              </w:rPr>
            </w:pPr>
          </w:p>
        </w:tc>
        <w:tc>
          <w:tcPr>
            <w:tcW w:w="0" w:type="auto"/>
            <w:vAlign w:val="center"/>
            <w:hideMark/>
          </w:tcPr>
          <w:p w14:paraId="523494DE" w14:textId="77777777" w:rsidR="00000000" w:rsidRDefault="00195E73">
            <w:pPr>
              <w:rPr>
                <w:rFonts w:eastAsia="Times New Roman"/>
                <w:sz w:val="20"/>
                <w:szCs w:val="20"/>
              </w:rPr>
            </w:pPr>
          </w:p>
        </w:tc>
        <w:tc>
          <w:tcPr>
            <w:tcW w:w="0" w:type="auto"/>
            <w:vAlign w:val="center"/>
            <w:hideMark/>
          </w:tcPr>
          <w:p w14:paraId="463FDB38" w14:textId="77777777" w:rsidR="00000000" w:rsidRDefault="00195E73">
            <w:pPr>
              <w:rPr>
                <w:rFonts w:eastAsia="Times New Roman"/>
                <w:sz w:val="20"/>
                <w:szCs w:val="20"/>
              </w:rPr>
            </w:pPr>
          </w:p>
        </w:tc>
        <w:tc>
          <w:tcPr>
            <w:tcW w:w="0" w:type="auto"/>
            <w:vAlign w:val="center"/>
            <w:hideMark/>
          </w:tcPr>
          <w:p w14:paraId="1AC9D3A1" w14:textId="77777777" w:rsidR="00000000" w:rsidRDefault="00195E73">
            <w:pPr>
              <w:rPr>
                <w:rFonts w:eastAsia="Times New Roman"/>
                <w:sz w:val="20"/>
                <w:szCs w:val="20"/>
              </w:rPr>
            </w:pPr>
          </w:p>
        </w:tc>
        <w:tc>
          <w:tcPr>
            <w:tcW w:w="0" w:type="auto"/>
            <w:vAlign w:val="center"/>
            <w:hideMark/>
          </w:tcPr>
          <w:p w14:paraId="4BC88AA0" w14:textId="77777777" w:rsidR="00000000" w:rsidRDefault="00195E73">
            <w:pPr>
              <w:rPr>
                <w:rFonts w:eastAsia="Times New Roman"/>
                <w:sz w:val="20"/>
                <w:szCs w:val="20"/>
              </w:rPr>
            </w:pPr>
          </w:p>
        </w:tc>
        <w:tc>
          <w:tcPr>
            <w:tcW w:w="0" w:type="auto"/>
            <w:vAlign w:val="center"/>
            <w:hideMark/>
          </w:tcPr>
          <w:p w14:paraId="677AEC5F" w14:textId="77777777" w:rsidR="00000000" w:rsidRDefault="00195E73">
            <w:pPr>
              <w:rPr>
                <w:rFonts w:eastAsia="Times New Roman"/>
                <w:sz w:val="20"/>
                <w:szCs w:val="20"/>
              </w:rPr>
            </w:pPr>
          </w:p>
        </w:tc>
        <w:tc>
          <w:tcPr>
            <w:tcW w:w="0" w:type="auto"/>
            <w:vAlign w:val="center"/>
            <w:hideMark/>
          </w:tcPr>
          <w:p w14:paraId="71CAE6F4" w14:textId="77777777" w:rsidR="00000000" w:rsidRDefault="00195E73">
            <w:pPr>
              <w:rPr>
                <w:rFonts w:eastAsia="Times New Roman"/>
                <w:sz w:val="20"/>
                <w:szCs w:val="20"/>
              </w:rPr>
            </w:pPr>
          </w:p>
        </w:tc>
      </w:tr>
      <w:tr w:rsidR="00195E73" w14:paraId="2A367B05" w14:textId="77777777">
        <w:trPr>
          <w:divId w:val="1455518801"/>
          <w:jc w:val="center"/>
        </w:trPr>
        <w:tc>
          <w:tcPr>
            <w:tcW w:w="0" w:type="auto"/>
            <w:gridSpan w:val="3"/>
            <w:shd w:val="clear" w:color="auto" w:fill="CCEEFF"/>
            <w:tcMar>
              <w:top w:w="15" w:type="dxa"/>
              <w:left w:w="20" w:type="dxa"/>
              <w:bottom w:w="15" w:type="dxa"/>
              <w:right w:w="20" w:type="dxa"/>
            </w:tcMar>
            <w:vAlign w:val="bottom"/>
            <w:hideMark/>
          </w:tcPr>
          <w:p w14:paraId="1429E78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6A4AEF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6DA048B" w14:textId="77777777" w:rsidR="00000000" w:rsidRDefault="00195E73">
            <w:pPr>
              <w:jc w:val="right"/>
              <w:rPr>
                <w:rFonts w:eastAsia="Times New Roman"/>
              </w:rPr>
            </w:pPr>
            <w:r>
              <w:rPr>
                <w:rFonts w:eastAsia="Times New Roman"/>
                <w:color w:val="000000"/>
                <w:sz w:val="20"/>
                <w:szCs w:val="20"/>
              </w:rPr>
              <w:t>(2.02</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4ECF9C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237F4E1"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7BA398C"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E3E9995" w14:textId="77777777" w:rsidR="00000000" w:rsidRDefault="00195E73">
            <w:pPr>
              <w:jc w:val="right"/>
              <w:rPr>
                <w:rFonts w:eastAsia="Times New Roman"/>
              </w:rPr>
            </w:pPr>
            <w:r>
              <w:rPr>
                <w:rFonts w:eastAsia="Times New Roman"/>
                <w:color w:val="000000"/>
                <w:sz w:val="20"/>
                <w:szCs w:val="20"/>
              </w:rPr>
              <w:t>0.74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296CE4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74823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6B52F1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FDC190F" w14:textId="77777777" w:rsidR="00000000" w:rsidRDefault="00195E73">
            <w:pPr>
              <w:jc w:val="right"/>
              <w:rPr>
                <w:rFonts w:eastAsia="Times New Roman"/>
              </w:rPr>
            </w:pPr>
            <w:r>
              <w:rPr>
                <w:rFonts w:eastAsia="Times New Roman"/>
                <w:color w:val="000000"/>
                <w:sz w:val="20"/>
                <w:szCs w:val="20"/>
              </w:rPr>
              <w:t>(2.49</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9BA4BE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AFE0B9F"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F10A98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D4486EB" w14:textId="77777777" w:rsidR="00000000" w:rsidRDefault="00195E73">
            <w:pPr>
              <w:jc w:val="right"/>
              <w:rPr>
                <w:rFonts w:eastAsia="Times New Roman"/>
              </w:rPr>
            </w:pPr>
            <w:r>
              <w:rPr>
                <w:rFonts w:eastAsia="Times New Roman"/>
                <w:color w:val="000000"/>
                <w:sz w:val="20"/>
                <w:szCs w:val="20"/>
              </w:rPr>
              <w:t>1.66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8F8CE4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C0E124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2E0B04C"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0D82069" w14:textId="77777777" w:rsidR="00000000" w:rsidRDefault="00195E73">
            <w:pPr>
              <w:jc w:val="right"/>
              <w:rPr>
                <w:rFonts w:eastAsia="Times New Roman"/>
              </w:rPr>
            </w:pPr>
            <w:r>
              <w:rPr>
                <w:rFonts w:eastAsia="Times New Roman"/>
                <w:color w:val="000000"/>
                <w:sz w:val="20"/>
                <w:szCs w:val="20"/>
              </w:rPr>
              <w:t>(0.24</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E603CF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0F2A32"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9D2739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9A84C61" w14:textId="77777777" w:rsidR="00000000" w:rsidRDefault="00195E73">
            <w:pPr>
              <w:jc w:val="right"/>
              <w:rPr>
                <w:rFonts w:eastAsia="Times New Roman"/>
              </w:rPr>
            </w:pPr>
            <w:r>
              <w:rPr>
                <w:rFonts w:eastAsia="Times New Roman"/>
                <w:color w:val="000000"/>
                <w:sz w:val="20"/>
                <w:szCs w:val="20"/>
              </w:rPr>
              <w:t>0.64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88702B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814D9A"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18ADC3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72F30ED" w14:textId="77777777" w:rsidR="00000000" w:rsidRDefault="00195E73">
            <w:pPr>
              <w:jc w:val="right"/>
              <w:rPr>
                <w:rFonts w:eastAsia="Times New Roman"/>
              </w:rPr>
            </w:pPr>
            <w:r>
              <w:rPr>
                <w:rFonts w:eastAsia="Times New Roman"/>
                <w:color w:val="000000"/>
                <w:sz w:val="20"/>
                <w:szCs w:val="20"/>
              </w:rPr>
              <w:t>(0.74</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874D31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4D398F0"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49EF8C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1BA5F47" w14:textId="77777777" w:rsidR="00000000" w:rsidRDefault="00195E73">
            <w:pPr>
              <w:jc w:val="right"/>
              <w:rPr>
                <w:rFonts w:eastAsia="Times New Roman"/>
              </w:rPr>
            </w:pPr>
            <w:r>
              <w:rPr>
                <w:rFonts w:eastAsia="Times New Roman"/>
                <w:color w:val="000000"/>
                <w:sz w:val="20"/>
                <w:szCs w:val="20"/>
              </w:rPr>
              <w:t>8.01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5E60C1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56AE4BD" w14:textId="77777777" w:rsidR="00000000" w:rsidRDefault="00195E73">
            <w:pPr>
              <w:rPr>
                <w:rFonts w:eastAsia="Times New Roman"/>
                <w:sz w:val="20"/>
                <w:szCs w:val="20"/>
              </w:rPr>
            </w:pPr>
          </w:p>
        </w:tc>
        <w:tc>
          <w:tcPr>
            <w:tcW w:w="0" w:type="auto"/>
            <w:vAlign w:val="center"/>
            <w:hideMark/>
          </w:tcPr>
          <w:p w14:paraId="10D5EF58" w14:textId="77777777" w:rsidR="00000000" w:rsidRDefault="00195E73">
            <w:pPr>
              <w:rPr>
                <w:rFonts w:eastAsia="Times New Roman"/>
                <w:sz w:val="20"/>
                <w:szCs w:val="20"/>
              </w:rPr>
            </w:pPr>
          </w:p>
        </w:tc>
        <w:tc>
          <w:tcPr>
            <w:tcW w:w="0" w:type="auto"/>
            <w:vAlign w:val="center"/>
            <w:hideMark/>
          </w:tcPr>
          <w:p w14:paraId="7A4BBDC9" w14:textId="77777777" w:rsidR="00000000" w:rsidRDefault="00195E73">
            <w:pPr>
              <w:rPr>
                <w:rFonts w:eastAsia="Times New Roman"/>
                <w:sz w:val="20"/>
                <w:szCs w:val="20"/>
              </w:rPr>
            </w:pPr>
          </w:p>
        </w:tc>
        <w:tc>
          <w:tcPr>
            <w:tcW w:w="0" w:type="auto"/>
            <w:vAlign w:val="center"/>
            <w:hideMark/>
          </w:tcPr>
          <w:p w14:paraId="46BCB869" w14:textId="77777777" w:rsidR="00000000" w:rsidRDefault="00195E73">
            <w:pPr>
              <w:rPr>
                <w:rFonts w:eastAsia="Times New Roman"/>
                <w:sz w:val="20"/>
                <w:szCs w:val="20"/>
              </w:rPr>
            </w:pPr>
          </w:p>
        </w:tc>
        <w:tc>
          <w:tcPr>
            <w:tcW w:w="0" w:type="auto"/>
            <w:vAlign w:val="center"/>
            <w:hideMark/>
          </w:tcPr>
          <w:p w14:paraId="50FB7FAA" w14:textId="77777777" w:rsidR="00000000" w:rsidRDefault="00195E73">
            <w:pPr>
              <w:rPr>
                <w:rFonts w:eastAsia="Times New Roman"/>
                <w:sz w:val="20"/>
                <w:szCs w:val="20"/>
              </w:rPr>
            </w:pPr>
          </w:p>
        </w:tc>
        <w:tc>
          <w:tcPr>
            <w:tcW w:w="0" w:type="auto"/>
            <w:vAlign w:val="center"/>
            <w:hideMark/>
          </w:tcPr>
          <w:p w14:paraId="5B5D8FB2" w14:textId="77777777" w:rsidR="00000000" w:rsidRDefault="00195E73">
            <w:pPr>
              <w:rPr>
                <w:rFonts w:eastAsia="Times New Roman"/>
                <w:sz w:val="20"/>
                <w:szCs w:val="20"/>
              </w:rPr>
            </w:pPr>
          </w:p>
        </w:tc>
        <w:tc>
          <w:tcPr>
            <w:tcW w:w="0" w:type="auto"/>
            <w:vAlign w:val="center"/>
            <w:hideMark/>
          </w:tcPr>
          <w:p w14:paraId="2F5E91EE" w14:textId="77777777" w:rsidR="00000000" w:rsidRDefault="00195E73">
            <w:pPr>
              <w:rPr>
                <w:rFonts w:eastAsia="Times New Roman"/>
                <w:sz w:val="20"/>
                <w:szCs w:val="20"/>
              </w:rPr>
            </w:pPr>
          </w:p>
        </w:tc>
        <w:tc>
          <w:tcPr>
            <w:tcW w:w="0" w:type="auto"/>
            <w:vAlign w:val="center"/>
            <w:hideMark/>
          </w:tcPr>
          <w:p w14:paraId="5A113160" w14:textId="77777777" w:rsidR="00000000" w:rsidRDefault="00195E73">
            <w:pPr>
              <w:rPr>
                <w:rFonts w:eastAsia="Times New Roman"/>
                <w:sz w:val="20"/>
                <w:szCs w:val="20"/>
              </w:rPr>
            </w:pPr>
          </w:p>
        </w:tc>
        <w:tc>
          <w:tcPr>
            <w:tcW w:w="0" w:type="auto"/>
            <w:vAlign w:val="center"/>
            <w:hideMark/>
          </w:tcPr>
          <w:p w14:paraId="60A00883" w14:textId="77777777" w:rsidR="00000000" w:rsidRDefault="00195E73">
            <w:pPr>
              <w:rPr>
                <w:rFonts w:eastAsia="Times New Roman"/>
                <w:sz w:val="20"/>
                <w:szCs w:val="20"/>
              </w:rPr>
            </w:pPr>
          </w:p>
        </w:tc>
        <w:tc>
          <w:tcPr>
            <w:tcW w:w="0" w:type="auto"/>
            <w:vAlign w:val="center"/>
            <w:hideMark/>
          </w:tcPr>
          <w:p w14:paraId="76738538" w14:textId="77777777" w:rsidR="00000000" w:rsidRDefault="00195E73">
            <w:pPr>
              <w:rPr>
                <w:rFonts w:eastAsia="Times New Roman"/>
                <w:sz w:val="20"/>
                <w:szCs w:val="20"/>
              </w:rPr>
            </w:pPr>
          </w:p>
        </w:tc>
        <w:tc>
          <w:tcPr>
            <w:tcW w:w="0" w:type="auto"/>
            <w:vAlign w:val="center"/>
            <w:hideMark/>
          </w:tcPr>
          <w:p w14:paraId="48CAAA4E" w14:textId="77777777" w:rsidR="00000000" w:rsidRDefault="00195E73">
            <w:pPr>
              <w:rPr>
                <w:rFonts w:eastAsia="Times New Roman"/>
                <w:sz w:val="20"/>
                <w:szCs w:val="20"/>
              </w:rPr>
            </w:pPr>
          </w:p>
        </w:tc>
        <w:tc>
          <w:tcPr>
            <w:tcW w:w="0" w:type="auto"/>
            <w:vAlign w:val="center"/>
            <w:hideMark/>
          </w:tcPr>
          <w:p w14:paraId="21F46102" w14:textId="77777777" w:rsidR="00000000" w:rsidRDefault="00195E73">
            <w:pPr>
              <w:rPr>
                <w:rFonts w:eastAsia="Times New Roman"/>
                <w:sz w:val="20"/>
                <w:szCs w:val="20"/>
              </w:rPr>
            </w:pPr>
          </w:p>
        </w:tc>
        <w:tc>
          <w:tcPr>
            <w:tcW w:w="0" w:type="auto"/>
            <w:vAlign w:val="center"/>
            <w:hideMark/>
          </w:tcPr>
          <w:p w14:paraId="373A4811" w14:textId="77777777" w:rsidR="00000000" w:rsidRDefault="00195E73">
            <w:pPr>
              <w:rPr>
                <w:rFonts w:eastAsia="Times New Roman"/>
                <w:sz w:val="20"/>
                <w:szCs w:val="20"/>
              </w:rPr>
            </w:pPr>
          </w:p>
        </w:tc>
        <w:tc>
          <w:tcPr>
            <w:tcW w:w="0" w:type="auto"/>
            <w:vAlign w:val="center"/>
            <w:hideMark/>
          </w:tcPr>
          <w:p w14:paraId="51EB92CF" w14:textId="77777777" w:rsidR="00000000" w:rsidRDefault="00195E73">
            <w:pPr>
              <w:rPr>
                <w:rFonts w:eastAsia="Times New Roman"/>
                <w:sz w:val="20"/>
                <w:szCs w:val="20"/>
              </w:rPr>
            </w:pPr>
          </w:p>
        </w:tc>
        <w:tc>
          <w:tcPr>
            <w:tcW w:w="0" w:type="auto"/>
            <w:vAlign w:val="center"/>
            <w:hideMark/>
          </w:tcPr>
          <w:p w14:paraId="556BF8D9" w14:textId="77777777" w:rsidR="00000000" w:rsidRDefault="00195E73">
            <w:pPr>
              <w:rPr>
                <w:rFonts w:eastAsia="Times New Roman"/>
                <w:sz w:val="20"/>
                <w:szCs w:val="20"/>
              </w:rPr>
            </w:pPr>
          </w:p>
        </w:tc>
      </w:tr>
    </w:tbl>
    <w:p w14:paraId="071A2EA9" w14:textId="77777777" w:rsidR="00000000" w:rsidRDefault="00195E73">
      <w:pPr>
        <w:ind w:firstLine="405"/>
        <w:divId w:val="2136947293"/>
        <w:rPr>
          <w:rFonts w:eastAsia="Times New Roman"/>
        </w:rPr>
      </w:pPr>
    </w:p>
    <w:p w14:paraId="127CB395" w14:textId="77777777" w:rsidR="00000000" w:rsidRDefault="00195E73">
      <w:pPr>
        <w:ind w:firstLine="405"/>
        <w:divId w:val="197663319"/>
        <w:rPr>
          <w:rFonts w:eastAsia="Times New Roman"/>
        </w:rPr>
      </w:pPr>
      <w:r>
        <w:rPr>
          <w:rFonts w:eastAsia="Times New Roman"/>
          <w:color w:val="000000"/>
          <w:sz w:val="20"/>
          <w:szCs w:val="20"/>
        </w:rPr>
        <w:t>The comparability of our unaudited quarterly financial data is affected by, among other things, (i) the performance of the Investment Funds, (ii) our Holding Company’s realized and unrealized equity investment gains and losses, (iii) the results of ou</w:t>
      </w:r>
      <w:r>
        <w:rPr>
          <w:rFonts w:eastAsia="Times New Roman"/>
          <w:color w:val="000000"/>
          <w:sz w:val="20"/>
          <w:szCs w:val="20"/>
        </w:rPr>
        <w:t xml:space="preserve">r Energy segment’s operations, impacted by the relationship of its refined product prices and prices for crude oil and other feedstocks and (iv) gains on dispositions of assets, primarily in our Mining segment in the third quarter of 2019. In addition, in </w:t>
      </w:r>
      <w:r>
        <w:rPr>
          <w:rFonts w:eastAsia="Times New Roman"/>
          <w:color w:val="000000"/>
          <w:sz w:val="20"/>
          <w:szCs w:val="20"/>
        </w:rPr>
        <w:t>connection with our sales of Federal-Mogul, Tropicana and ARI, we recorded aggregate pre-tax gains on the sales of discontinued operations of approximately $1.4 billion in the fourth quarter of 2018.</w:t>
      </w:r>
      <w:r>
        <w:rPr>
          <w:rFonts w:eastAsia="Times New Roman"/>
          <w:color w:val="000000"/>
          <w:sz w:val="20"/>
          <w:szCs w:val="20"/>
        </w:rPr>
        <w:t xml:space="preserve"> </w:t>
      </w:r>
    </w:p>
    <w:p w14:paraId="550218B8" w14:textId="77777777" w:rsidR="00000000" w:rsidRDefault="00195E73">
      <w:pPr>
        <w:jc w:val="center"/>
        <w:divId w:val="357585945"/>
        <w:rPr>
          <w:rFonts w:eastAsia="Times New Roman"/>
        </w:rPr>
      </w:pPr>
      <w:r>
        <w:rPr>
          <w:rFonts w:eastAsia="Times New Roman"/>
          <w:color w:val="000000"/>
          <w:sz w:val="20"/>
          <w:szCs w:val="20"/>
        </w:rPr>
        <w:t>11</w:t>
      </w:r>
      <w:r>
        <w:rPr>
          <w:rFonts w:eastAsia="Times New Roman"/>
          <w:color w:val="000000"/>
          <w:sz w:val="20"/>
          <w:szCs w:val="20"/>
        </w:rPr>
        <w:t>3</w:t>
      </w:r>
    </w:p>
    <w:p w14:paraId="4C7B3085" w14:textId="77777777" w:rsidR="00000000" w:rsidRDefault="00195E73">
      <w:pPr>
        <w:rPr>
          <w:rFonts w:eastAsia="Times New Roman"/>
        </w:rPr>
      </w:pPr>
      <w:r>
        <w:rPr>
          <w:rFonts w:eastAsia="Times New Roman"/>
        </w:rPr>
        <w:pict w14:anchorId="3FDC1458">
          <v:rect id="_x0000_i1139" style="width:0;height:1.5pt" o:hralign="center" o:hrstd="t" o:hr="t" fillcolor="#a0a0a0" stroked="f"/>
        </w:pict>
      </w:r>
    </w:p>
    <w:p w14:paraId="2D014AD0" w14:textId="77777777" w:rsidR="00000000" w:rsidRDefault="00195E73">
      <w:pPr>
        <w:divId w:val="147942814"/>
        <w:rPr>
          <w:rFonts w:eastAsia="Times New Roman"/>
        </w:rPr>
      </w:pPr>
    </w:p>
    <w:p w14:paraId="259FE801" w14:textId="77777777" w:rsidR="00000000" w:rsidRDefault="00195E73">
      <w:pPr>
        <w:divId w:val="1622153320"/>
        <w:rPr>
          <w:rFonts w:eastAsia="Times New Roman"/>
        </w:rPr>
      </w:pPr>
      <w:r>
        <w:rPr>
          <w:rFonts w:eastAsia="Times New Roman"/>
          <w:b/>
          <w:bCs/>
          <w:color w:val="000000"/>
          <w:sz w:val="20"/>
          <w:szCs w:val="20"/>
        </w:rPr>
        <w:t>Item 9. Chan</w:t>
      </w:r>
      <w:r>
        <w:rPr>
          <w:rFonts w:eastAsia="Times New Roman"/>
          <w:b/>
          <w:bCs/>
          <w:color w:val="000000"/>
          <w:sz w:val="20"/>
          <w:szCs w:val="20"/>
        </w:rPr>
        <w:t>ges In and Disagreements With Accountants on Accounting and Financial Disclosure</w:t>
      </w:r>
      <w:r>
        <w:rPr>
          <w:rFonts w:eastAsia="Times New Roman"/>
          <w:b/>
          <w:bCs/>
          <w:color w:val="000000"/>
          <w:sz w:val="20"/>
          <w:szCs w:val="20"/>
        </w:rPr>
        <w:t>.</w:t>
      </w:r>
    </w:p>
    <w:p w14:paraId="02942B0F" w14:textId="77777777" w:rsidR="00000000" w:rsidRDefault="00195E73">
      <w:pPr>
        <w:ind w:firstLine="405"/>
        <w:divId w:val="1603344932"/>
        <w:rPr>
          <w:rFonts w:eastAsia="Times New Roman"/>
        </w:rPr>
      </w:pPr>
      <w:r>
        <w:rPr>
          <w:rFonts w:eastAsia="Times New Roman"/>
          <w:color w:val="000000"/>
          <w:sz w:val="20"/>
          <w:szCs w:val="20"/>
        </w:rPr>
        <w:t>None</w:t>
      </w:r>
      <w:r>
        <w:rPr>
          <w:rFonts w:eastAsia="Times New Roman"/>
          <w:color w:val="000000"/>
          <w:sz w:val="20"/>
          <w:szCs w:val="20"/>
        </w:rPr>
        <w:t>.</w:t>
      </w:r>
    </w:p>
    <w:p w14:paraId="094496E0" w14:textId="77777777" w:rsidR="00000000" w:rsidRDefault="00195E73">
      <w:pPr>
        <w:divId w:val="1821848849"/>
        <w:rPr>
          <w:rFonts w:eastAsia="Times New Roman"/>
        </w:rPr>
      </w:pPr>
    </w:p>
    <w:p w14:paraId="275CBA3D" w14:textId="77777777" w:rsidR="00000000" w:rsidRDefault="00195E73">
      <w:pPr>
        <w:divId w:val="1875729109"/>
        <w:rPr>
          <w:rFonts w:eastAsia="Times New Roman"/>
        </w:rPr>
      </w:pPr>
      <w:r>
        <w:rPr>
          <w:rFonts w:eastAsia="Times New Roman"/>
          <w:b/>
          <w:bCs/>
          <w:color w:val="000000"/>
          <w:sz w:val="20"/>
          <w:szCs w:val="20"/>
        </w:rPr>
        <w:t>Item 9A. Controls and Procedures.</w:t>
      </w:r>
      <w:r>
        <w:rPr>
          <w:rFonts w:eastAsia="Times New Roman"/>
          <w:b/>
          <w:bCs/>
          <w:color w:val="000000"/>
          <w:sz w:val="20"/>
          <w:szCs w:val="20"/>
        </w:rPr>
        <w:t xml:space="preserve"> </w:t>
      </w:r>
    </w:p>
    <w:p w14:paraId="2B617CBC" w14:textId="77777777" w:rsidR="00000000" w:rsidRDefault="00195E73">
      <w:pPr>
        <w:divId w:val="981810082"/>
        <w:rPr>
          <w:rFonts w:eastAsia="Times New Roman"/>
        </w:rPr>
      </w:pPr>
      <w:r>
        <w:rPr>
          <w:rFonts w:eastAsia="Times New Roman"/>
          <w:b/>
          <w:bCs/>
          <w:color w:val="000000"/>
          <w:sz w:val="20"/>
          <w:szCs w:val="20"/>
        </w:rPr>
        <w:t>Evaluation of Disclosure Controls and Procedure</w:t>
      </w:r>
      <w:r>
        <w:rPr>
          <w:rFonts w:eastAsia="Times New Roman"/>
          <w:b/>
          <w:bCs/>
          <w:color w:val="000000"/>
          <w:sz w:val="20"/>
          <w:szCs w:val="20"/>
        </w:rPr>
        <w:t>s</w:t>
      </w:r>
    </w:p>
    <w:p w14:paraId="55FB06EF" w14:textId="77777777" w:rsidR="00000000" w:rsidRDefault="00195E73">
      <w:pPr>
        <w:ind w:firstLine="405"/>
        <w:divId w:val="1198812240"/>
        <w:rPr>
          <w:rFonts w:eastAsia="Times New Roman"/>
        </w:rPr>
      </w:pPr>
      <w:r>
        <w:rPr>
          <w:rFonts w:eastAsia="Times New Roman"/>
          <w:color w:val="000000"/>
          <w:sz w:val="20"/>
          <w:szCs w:val="20"/>
        </w:rPr>
        <w:t>As of December </w:t>
      </w:r>
      <w:r>
        <w:rPr>
          <w:rFonts w:eastAsia="Times New Roman"/>
          <w:color w:val="000000"/>
          <w:sz w:val="20"/>
          <w:szCs w:val="20"/>
        </w:rPr>
        <w:t xml:space="preserve">31, 2019, our management, including our Chief Executive Officer and Chief Financial Officer, evaluated the effectiveness of the design and operation of Icahn Enterprises’ and Icahn Enterprises Holdings’ and subsidiaries’ disclosure controls and procedures </w:t>
      </w:r>
      <w:r>
        <w:rPr>
          <w:rFonts w:eastAsia="Times New Roman"/>
          <w:color w:val="000000"/>
          <w:sz w:val="20"/>
          <w:szCs w:val="20"/>
        </w:rPr>
        <w:t>pursuant to the Rule 13a-15(e) and 15d-15(e) promulgated under the Securities Exchange Act of 1934, as amended (the “Exchange Act”). Based upon that evaluation, our Chief Executive Officer and Chief Financial Officer concluded that, due to the material wea</w:t>
      </w:r>
      <w:r>
        <w:rPr>
          <w:rFonts w:eastAsia="Times New Roman"/>
          <w:color w:val="000000"/>
          <w:sz w:val="20"/>
          <w:szCs w:val="20"/>
        </w:rPr>
        <w:t>kness in our internal control over financial reporting as described below, our disclosure controls and procedures are not effective to ensure that information required to be disclosed by us in reports that we file or submit under the Exchange Act is record</w:t>
      </w:r>
      <w:r>
        <w:rPr>
          <w:rFonts w:eastAsia="Times New Roman"/>
          <w:color w:val="000000"/>
          <w:sz w:val="20"/>
          <w:szCs w:val="20"/>
        </w:rPr>
        <w:t>ed, processed, summarized and reported within the time periods specified in SEC rules and forms, and include controls and procedures designed to ensure that information required to be disclosed by us in such reports is accumulated and communicated to our m</w:t>
      </w:r>
      <w:r>
        <w:rPr>
          <w:rFonts w:eastAsia="Times New Roman"/>
          <w:color w:val="000000"/>
          <w:sz w:val="20"/>
          <w:szCs w:val="20"/>
        </w:rPr>
        <w:t>anagement, including our Chief Executive Officer and Chief Financial Officer, as appropriate to allow timely decisions regarding required disclosure</w:t>
      </w:r>
      <w:r>
        <w:rPr>
          <w:rFonts w:eastAsia="Times New Roman"/>
          <w:color w:val="000000"/>
          <w:sz w:val="20"/>
          <w:szCs w:val="20"/>
        </w:rPr>
        <w:t>.</w:t>
      </w:r>
    </w:p>
    <w:p w14:paraId="1A45DDB9" w14:textId="77777777" w:rsidR="00000000" w:rsidRDefault="00195E73">
      <w:pPr>
        <w:divId w:val="1359964153"/>
        <w:rPr>
          <w:rFonts w:eastAsia="Times New Roman"/>
        </w:rPr>
      </w:pPr>
      <w:r>
        <w:rPr>
          <w:rFonts w:eastAsia="Times New Roman"/>
          <w:b/>
          <w:bCs/>
          <w:color w:val="000000"/>
          <w:sz w:val="20"/>
          <w:szCs w:val="20"/>
        </w:rPr>
        <w:t>Management’s Report on Internal Control Over Financial Reportin</w:t>
      </w:r>
      <w:r>
        <w:rPr>
          <w:rFonts w:eastAsia="Times New Roman"/>
          <w:b/>
          <w:bCs/>
          <w:color w:val="000000"/>
          <w:sz w:val="20"/>
          <w:szCs w:val="20"/>
        </w:rPr>
        <w:t>g</w:t>
      </w:r>
    </w:p>
    <w:p w14:paraId="0557CABE" w14:textId="77777777" w:rsidR="00000000" w:rsidRDefault="00195E73">
      <w:pPr>
        <w:ind w:firstLine="450"/>
        <w:divId w:val="1696157322"/>
        <w:rPr>
          <w:rFonts w:eastAsia="Times New Roman"/>
        </w:rPr>
      </w:pPr>
      <w:r>
        <w:rPr>
          <w:rFonts w:eastAsia="Times New Roman"/>
          <w:color w:val="000000"/>
          <w:sz w:val="20"/>
          <w:szCs w:val="20"/>
        </w:rPr>
        <w:t>Our management is responsible for establi</w:t>
      </w:r>
      <w:r>
        <w:rPr>
          <w:rFonts w:eastAsia="Times New Roman"/>
          <w:color w:val="000000"/>
          <w:sz w:val="20"/>
          <w:szCs w:val="20"/>
        </w:rPr>
        <w:t>shing and maintaining adequate internal control over financial reporting and for an assessment of the effectiveness of internal control over financial reporting; as such items are defined in Rule 13a-15f under the Exchange Act</w:t>
      </w:r>
      <w:r>
        <w:rPr>
          <w:rFonts w:eastAsia="Times New Roman"/>
          <w:color w:val="000000"/>
          <w:sz w:val="20"/>
          <w:szCs w:val="20"/>
        </w:rPr>
        <w:t>.</w:t>
      </w:r>
    </w:p>
    <w:p w14:paraId="140987E9" w14:textId="77777777" w:rsidR="00000000" w:rsidRDefault="00195E73">
      <w:pPr>
        <w:ind w:firstLine="450"/>
        <w:divId w:val="917440249"/>
        <w:rPr>
          <w:rFonts w:eastAsia="Times New Roman"/>
        </w:rPr>
      </w:pPr>
      <w:r>
        <w:rPr>
          <w:rFonts w:eastAsia="Times New Roman"/>
          <w:color w:val="000000"/>
          <w:sz w:val="20"/>
          <w:szCs w:val="20"/>
        </w:rPr>
        <w:t>Our internal control over fi</w:t>
      </w:r>
      <w:r>
        <w:rPr>
          <w:rFonts w:eastAsia="Times New Roman"/>
          <w:color w:val="000000"/>
          <w:sz w:val="20"/>
          <w:szCs w:val="20"/>
        </w:rPr>
        <w:t>nancial reporting is designed to provide reasonable assurance that our financial reporting and preparation of financial statements is reliable and in accordance with generally accepted accounting principles. Our policies and procedures are designed to prov</w:t>
      </w:r>
      <w:r>
        <w:rPr>
          <w:rFonts w:eastAsia="Times New Roman"/>
          <w:color w:val="000000"/>
          <w:sz w:val="20"/>
          <w:szCs w:val="20"/>
        </w:rPr>
        <w:t>ide reasonable assurance that transactions are recorded and records are maintained in reasonable detail as necessary to accurately and fairly reflect transactions and that all transactions are properly authorized by management in order to prevent or timely</w:t>
      </w:r>
      <w:r>
        <w:rPr>
          <w:rFonts w:eastAsia="Times New Roman"/>
          <w:color w:val="000000"/>
          <w:sz w:val="20"/>
          <w:szCs w:val="20"/>
        </w:rPr>
        <w:t xml:space="preserve"> detect unauthorized transactions or misappropriation of assets that could have a material effect on our financial statements</w:t>
      </w:r>
      <w:r>
        <w:rPr>
          <w:rFonts w:eastAsia="Times New Roman"/>
          <w:color w:val="000000"/>
          <w:sz w:val="20"/>
          <w:szCs w:val="20"/>
        </w:rPr>
        <w:t>.</w:t>
      </w:r>
    </w:p>
    <w:p w14:paraId="4CAFA18D" w14:textId="77777777" w:rsidR="00000000" w:rsidRDefault="00195E73">
      <w:pPr>
        <w:ind w:firstLine="450"/>
        <w:divId w:val="96291312"/>
        <w:rPr>
          <w:rFonts w:eastAsia="Times New Roman"/>
        </w:rPr>
      </w:pPr>
      <w:r>
        <w:rPr>
          <w:rFonts w:eastAsia="Times New Roman"/>
          <w:color w:val="000000"/>
          <w:sz w:val="20"/>
          <w:szCs w:val="20"/>
        </w:rPr>
        <w:t>Management is required to base its assessment on the effectiveness of our internal control over financial reporting on a suitable</w:t>
      </w:r>
      <w:r>
        <w:rPr>
          <w:rFonts w:eastAsia="Times New Roman"/>
          <w:color w:val="000000"/>
          <w:sz w:val="20"/>
          <w:szCs w:val="20"/>
        </w:rPr>
        <w:t>, recognized control framework. Management has utilized the criteria established in the 2013</w:t>
      </w:r>
      <w:r>
        <w:rPr>
          <w:rFonts w:eastAsia="Times New Roman"/>
          <w:color w:val="000000"/>
          <w:sz w:val="20"/>
          <w:szCs w:val="20"/>
        </w:rPr>
        <w:t xml:space="preserve"> </w:t>
      </w:r>
      <w:r>
        <w:rPr>
          <w:rFonts w:eastAsia="Times New Roman"/>
          <w:i/>
          <w:iCs/>
          <w:color w:val="000000"/>
          <w:sz w:val="20"/>
          <w:szCs w:val="20"/>
        </w:rPr>
        <w:t>Internal Control-Integrated Framewor</w:t>
      </w:r>
      <w:r>
        <w:rPr>
          <w:rFonts w:eastAsia="Times New Roman"/>
          <w:i/>
          <w:iCs/>
          <w:color w:val="000000"/>
          <w:sz w:val="20"/>
          <w:szCs w:val="20"/>
        </w:rPr>
        <w:t>k</w:t>
      </w:r>
      <w:r>
        <w:rPr>
          <w:rFonts w:eastAsia="Times New Roman"/>
          <w:color w:val="000000"/>
          <w:sz w:val="20"/>
          <w:szCs w:val="20"/>
        </w:rPr>
        <w:t xml:space="preserve"> issued by the Committee of Sponsoring Organizations of the Treadway Commission (“COSO”) to evaluate the effectiveness of inte</w:t>
      </w:r>
      <w:r>
        <w:rPr>
          <w:rFonts w:eastAsia="Times New Roman"/>
          <w:color w:val="000000"/>
          <w:sz w:val="20"/>
          <w:szCs w:val="20"/>
        </w:rPr>
        <w:t>rnal control over financial reporting</w:t>
      </w:r>
      <w:r>
        <w:rPr>
          <w:rFonts w:eastAsia="Times New Roman"/>
          <w:color w:val="000000"/>
          <w:sz w:val="20"/>
          <w:szCs w:val="20"/>
        </w:rPr>
        <w:t>.</w:t>
      </w:r>
    </w:p>
    <w:p w14:paraId="08D58900" w14:textId="77777777" w:rsidR="00000000" w:rsidRDefault="00195E73">
      <w:pPr>
        <w:ind w:firstLine="450"/>
        <w:divId w:val="708452666"/>
        <w:rPr>
          <w:rFonts w:eastAsia="Times New Roman"/>
        </w:rPr>
      </w:pPr>
      <w:r>
        <w:rPr>
          <w:rFonts w:eastAsia="Times New Roman"/>
          <w:color w:val="000000"/>
          <w:sz w:val="20"/>
          <w:szCs w:val="20"/>
        </w:rPr>
        <w:t>Based on the evaluation performed according to the guidelines established by COSO, as of December 31, 2019, management has concluded, due to the material weakness in our internal control over financial reporting as de</w:t>
      </w:r>
      <w:r>
        <w:rPr>
          <w:rFonts w:eastAsia="Times New Roman"/>
          <w:color w:val="000000"/>
          <w:sz w:val="20"/>
          <w:szCs w:val="20"/>
        </w:rPr>
        <w:t>scribed below, that our internal control over financial reporting was not effective</w:t>
      </w:r>
      <w:r>
        <w:rPr>
          <w:rFonts w:eastAsia="Times New Roman"/>
          <w:color w:val="000000"/>
          <w:sz w:val="20"/>
          <w:szCs w:val="20"/>
        </w:rPr>
        <w:t>.</w:t>
      </w:r>
    </w:p>
    <w:p w14:paraId="02F57243" w14:textId="77777777" w:rsidR="00000000" w:rsidRDefault="00195E73">
      <w:pPr>
        <w:ind w:firstLine="450"/>
        <w:divId w:val="946884531"/>
        <w:rPr>
          <w:rFonts w:eastAsia="Times New Roman"/>
        </w:rPr>
      </w:pPr>
      <w:r>
        <w:rPr>
          <w:rFonts w:eastAsia="Times New Roman"/>
          <w:color w:val="000000"/>
          <w:sz w:val="20"/>
          <w:szCs w:val="20"/>
        </w:rPr>
        <w:t>A material weakness is a deficiency, or combination of deficiencies, in internal control over financial reporting such that there is a reasonable possibility that a materi</w:t>
      </w:r>
      <w:r>
        <w:rPr>
          <w:rFonts w:eastAsia="Times New Roman"/>
          <w:color w:val="000000"/>
          <w:sz w:val="20"/>
          <w:szCs w:val="20"/>
        </w:rPr>
        <w:t>al misstatement of our annual or interim financial statements will not be prevented or detected on a timely basis. We have identified a material weakness in the design of our controls relating to identifying significant investees for which summarized finan</w:t>
      </w:r>
      <w:r>
        <w:rPr>
          <w:rFonts w:eastAsia="Times New Roman"/>
          <w:color w:val="000000"/>
          <w:sz w:val="20"/>
          <w:szCs w:val="20"/>
        </w:rPr>
        <w:t>cial information or separate financial statements may be required under SEC rules and regulations</w:t>
      </w:r>
      <w:r>
        <w:rPr>
          <w:rFonts w:eastAsia="Times New Roman"/>
          <w:color w:val="000000"/>
          <w:sz w:val="20"/>
          <w:szCs w:val="20"/>
        </w:rPr>
        <w:t>.</w:t>
      </w:r>
    </w:p>
    <w:p w14:paraId="1D2D1CBB" w14:textId="77777777" w:rsidR="00000000" w:rsidRDefault="00195E73">
      <w:pPr>
        <w:ind w:firstLine="450"/>
        <w:divId w:val="597325273"/>
        <w:rPr>
          <w:rFonts w:eastAsia="Times New Roman"/>
        </w:rPr>
      </w:pPr>
      <w:r>
        <w:rPr>
          <w:rFonts w:eastAsia="Times New Roman"/>
          <w:color w:val="000000"/>
          <w:sz w:val="20"/>
          <w:szCs w:val="20"/>
        </w:rPr>
        <w:t>Because of its inherent limitations, internal control over financial reporting may not prevent or detect misstatements. Projections of any evaluation of effe</w:t>
      </w:r>
      <w:r>
        <w:rPr>
          <w:rFonts w:eastAsia="Times New Roman"/>
          <w:color w:val="000000"/>
          <w:sz w:val="20"/>
          <w:szCs w:val="20"/>
        </w:rPr>
        <w:t>ctiveness to future periods are subject to the risk that controls may become inadequate because of changes in conditions, or that the degree of compliance with the policies or procedures may deteriorate</w:t>
      </w:r>
      <w:r>
        <w:rPr>
          <w:rFonts w:eastAsia="Times New Roman"/>
          <w:color w:val="000000"/>
          <w:sz w:val="20"/>
          <w:szCs w:val="20"/>
        </w:rPr>
        <w:t>.</w:t>
      </w:r>
    </w:p>
    <w:p w14:paraId="66B3E1BD" w14:textId="77777777" w:rsidR="00000000" w:rsidRDefault="00195E73">
      <w:pPr>
        <w:ind w:firstLine="450"/>
        <w:divId w:val="732966558"/>
        <w:rPr>
          <w:rFonts w:eastAsia="Times New Roman"/>
        </w:rPr>
      </w:pPr>
      <w:r>
        <w:rPr>
          <w:rFonts w:eastAsia="Times New Roman"/>
          <w:color w:val="000000"/>
          <w:sz w:val="20"/>
          <w:szCs w:val="20"/>
        </w:rPr>
        <w:t>Grant Thornton LLP, our independent registered publi</w:t>
      </w:r>
      <w:r>
        <w:rPr>
          <w:rFonts w:eastAsia="Times New Roman"/>
          <w:color w:val="000000"/>
          <w:sz w:val="20"/>
          <w:szCs w:val="20"/>
        </w:rPr>
        <w:t>c accounting firm, has audited and issued their reports on Icahn Enterprises’ internal control over financial reporting, which appears below</w:t>
      </w:r>
      <w:r>
        <w:rPr>
          <w:rFonts w:eastAsia="Times New Roman"/>
          <w:color w:val="000000"/>
          <w:sz w:val="20"/>
          <w:szCs w:val="20"/>
        </w:rPr>
        <w:t>.</w:t>
      </w:r>
    </w:p>
    <w:p w14:paraId="1DE7FC29" w14:textId="77777777" w:rsidR="00000000" w:rsidRDefault="00195E73">
      <w:pPr>
        <w:divId w:val="1933079040"/>
        <w:rPr>
          <w:rFonts w:eastAsia="Times New Roman"/>
        </w:rPr>
      </w:pPr>
      <w:r>
        <w:rPr>
          <w:rFonts w:eastAsia="Times New Roman"/>
          <w:b/>
          <w:bCs/>
          <w:color w:val="000000"/>
          <w:sz w:val="20"/>
          <w:szCs w:val="20"/>
        </w:rPr>
        <w:t>Remediation Pla</w:t>
      </w:r>
      <w:r>
        <w:rPr>
          <w:rFonts w:eastAsia="Times New Roman"/>
          <w:b/>
          <w:bCs/>
          <w:color w:val="000000"/>
          <w:sz w:val="20"/>
          <w:szCs w:val="20"/>
        </w:rPr>
        <w:t>n</w:t>
      </w:r>
    </w:p>
    <w:p w14:paraId="67C164F8" w14:textId="77777777" w:rsidR="00000000" w:rsidRDefault="00195E73">
      <w:pPr>
        <w:ind w:firstLine="450"/>
        <w:divId w:val="414523538"/>
        <w:rPr>
          <w:rFonts w:eastAsia="Times New Roman"/>
        </w:rPr>
      </w:pPr>
      <w:r>
        <w:rPr>
          <w:rFonts w:eastAsia="Times New Roman"/>
          <w:color w:val="000000"/>
          <w:sz w:val="20"/>
          <w:szCs w:val="20"/>
        </w:rPr>
        <w:t>We are in the process of implementing a plan of remediation that includes a more formalized proce</w:t>
      </w:r>
      <w:r>
        <w:rPr>
          <w:rFonts w:eastAsia="Times New Roman"/>
          <w:color w:val="000000"/>
          <w:sz w:val="20"/>
          <w:szCs w:val="20"/>
        </w:rPr>
        <w:t>ss, quarterly discussions with the Investment Segment and Legal Departments and a detailed review performed on the analysis</w:t>
      </w:r>
      <w:r>
        <w:rPr>
          <w:rFonts w:eastAsia="Times New Roman"/>
          <w:color w:val="000000"/>
          <w:sz w:val="20"/>
          <w:szCs w:val="20"/>
        </w:rPr>
        <w:t>.</w:t>
      </w:r>
    </w:p>
    <w:p w14:paraId="014B6127" w14:textId="77777777" w:rsidR="00000000" w:rsidRDefault="00195E73">
      <w:pPr>
        <w:divId w:val="211113642"/>
        <w:rPr>
          <w:rFonts w:eastAsia="Times New Roman"/>
        </w:rPr>
      </w:pPr>
      <w:r>
        <w:rPr>
          <w:rFonts w:eastAsia="Times New Roman"/>
          <w:b/>
          <w:bCs/>
          <w:color w:val="000000"/>
          <w:sz w:val="20"/>
          <w:szCs w:val="20"/>
        </w:rPr>
        <w:t>Changes in Internal Control Over Financial Reportin</w:t>
      </w:r>
      <w:r>
        <w:rPr>
          <w:rFonts w:eastAsia="Times New Roman"/>
          <w:b/>
          <w:bCs/>
          <w:color w:val="000000"/>
          <w:sz w:val="20"/>
          <w:szCs w:val="20"/>
        </w:rPr>
        <w:t>g</w:t>
      </w:r>
    </w:p>
    <w:p w14:paraId="43DACD97" w14:textId="77777777" w:rsidR="00000000" w:rsidRDefault="00195E73">
      <w:pPr>
        <w:ind w:firstLine="450"/>
        <w:divId w:val="1822041482"/>
        <w:rPr>
          <w:rFonts w:eastAsia="Times New Roman"/>
        </w:rPr>
      </w:pPr>
      <w:r>
        <w:rPr>
          <w:rFonts w:eastAsia="Times New Roman"/>
          <w:color w:val="000000"/>
          <w:sz w:val="20"/>
          <w:szCs w:val="20"/>
        </w:rPr>
        <w:t>There have been no changes in our internal control over financial reporting during the fourth quarter of 2019 that have materially affected, or are reasonably likely to materially affect, our internal control over financial reporting.</w:t>
      </w:r>
      <w:r>
        <w:rPr>
          <w:rFonts w:eastAsia="Times New Roman"/>
          <w:color w:val="000000"/>
          <w:sz w:val="20"/>
          <w:szCs w:val="20"/>
        </w:rPr>
        <w:t xml:space="preserve"> </w:t>
      </w:r>
    </w:p>
    <w:p w14:paraId="3C0DEB14" w14:textId="77777777" w:rsidR="00000000" w:rsidRDefault="00195E73">
      <w:pPr>
        <w:ind w:firstLine="450"/>
        <w:divId w:val="562328182"/>
        <w:rPr>
          <w:rFonts w:eastAsia="Times New Roman"/>
        </w:rPr>
      </w:pPr>
    </w:p>
    <w:p w14:paraId="7D003FAB" w14:textId="77777777" w:rsidR="00000000" w:rsidRDefault="00195E73">
      <w:pPr>
        <w:jc w:val="center"/>
        <w:divId w:val="995113479"/>
        <w:rPr>
          <w:rFonts w:eastAsia="Times New Roman"/>
        </w:rPr>
      </w:pPr>
      <w:r>
        <w:rPr>
          <w:rFonts w:eastAsia="Times New Roman"/>
          <w:color w:val="000000"/>
          <w:sz w:val="20"/>
          <w:szCs w:val="20"/>
        </w:rPr>
        <w:t>11</w:t>
      </w:r>
      <w:r>
        <w:rPr>
          <w:rFonts w:eastAsia="Times New Roman"/>
          <w:color w:val="000000"/>
          <w:sz w:val="20"/>
          <w:szCs w:val="20"/>
        </w:rPr>
        <w:t>4</w:t>
      </w:r>
    </w:p>
    <w:p w14:paraId="0D97886C" w14:textId="77777777" w:rsidR="00000000" w:rsidRDefault="00195E73">
      <w:pPr>
        <w:rPr>
          <w:rFonts w:eastAsia="Times New Roman"/>
        </w:rPr>
      </w:pPr>
      <w:r>
        <w:rPr>
          <w:rFonts w:eastAsia="Times New Roman"/>
        </w:rPr>
        <w:pict w14:anchorId="790544BD">
          <v:rect id="_x0000_i1140" style="width:0;height:1.5pt" o:hralign="center" o:hrstd="t" o:hr="t" fillcolor="#a0a0a0" stroked="f"/>
        </w:pict>
      </w:r>
    </w:p>
    <w:p w14:paraId="0959501C" w14:textId="77777777" w:rsidR="00000000" w:rsidRDefault="00195E73">
      <w:pPr>
        <w:divId w:val="2060471601"/>
        <w:rPr>
          <w:rFonts w:eastAsia="Times New Roman"/>
        </w:rPr>
      </w:pPr>
    </w:p>
    <w:p w14:paraId="4262F07A" w14:textId="77777777" w:rsidR="00000000" w:rsidRDefault="00195E73">
      <w:pPr>
        <w:jc w:val="center"/>
        <w:divId w:val="1705981322"/>
        <w:rPr>
          <w:rFonts w:eastAsia="Times New Roman"/>
        </w:rPr>
      </w:pPr>
      <w:r>
        <w:rPr>
          <w:rFonts w:eastAsia="Times New Roman"/>
          <w:b/>
          <w:bCs/>
          <w:color w:val="000000"/>
          <w:sz w:val="20"/>
          <w:szCs w:val="20"/>
        </w:rPr>
        <w:t>REPORT OF INDEPENDENT REGISTERED PUBLIC ACCOUNTING FIR</w:t>
      </w:r>
      <w:r>
        <w:rPr>
          <w:rFonts w:eastAsia="Times New Roman"/>
          <w:b/>
          <w:bCs/>
          <w:color w:val="000000"/>
          <w:sz w:val="20"/>
          <w:szCs w:val="20"/>
        </w:rPr>
        <w:t>M</w:t>
      </w:r>
    </w:p>
    <w:p w14:paraId="68B05BE6" w14:textId="77777777" w:rsidR="00000000" w:rsidRDefault="00195E73">
      <w:pPr>
        <w:divId w:val="66391516"/>
        <w:rPr>
          <w:rFonts w:eastAsia="Times New Roman"/>
        </w:rPr>
      </w:pPr>
    </w:p>
    <w:p w14:paraId="50C26FC1" w14:textId="77777777" w:rsidR="00000000" w:rsidRDefault="00195E73">
      <w:pPr>
        <w:divId w:val="916479527"/>
        <w:rPr>
          <w:rFonts w:eastAsia="Times New Roman"/>
        </w:rPr>
      </w:pPr>
      <w:r>
        <w:rPr>
          <w:rFonts w:eastAsia="Times New Roman"/>
          <w:color w:val="000000"/>
          <w:sz w:val="20"/>
          <w:szCs w:val="20"/>
        </w:rPr>
        <w:t>Board of Directors and Partner</w:t>
      </w:r>
      <w:r>
        <w:rPr>
          <w:rFonts w:eastAsia="Times New Roman"/>
          <w:color w:val="000000"/>
          <w:sz w:val="20"/>
          <w:szCs w:val="20"/>
        </w:rPr>
        <w:t>s</w:t>
      </w:r>
    </w:p>
    <w:p w14:paraId="4E4619DA" w14:textId="77777777" w:rsidR="00000000" w:rsidRDefault="00195E73">
      <w:pPr>
        <w:divId w:val="579944375"/>
        <w:rPr>
          <w:rFonts w:eastAsia="Times New Roman"/>
        </w:rPr>
      </w:pPr>
      <w:r>
        <w:rPr>
          <w:rFonts w:eastAsia="Times New Roman"/>
          <w:color w:val="000000"/>
          <w:sz w:val="20"/>
          <w:szCs w:val="20"/>
        </w:rPr>
        <w:t>Icahn Enterprises L.P.</w:t>
      </w:r>
      <w:r>
        <w:rPr>
          <w:rFonts w:eastAsia="Times New Roman"/>
          <w:color w:val="000000"/>
          <w:sz w:val="20"/>
          <w:szCs w:val="20"/>
        </w:rPr>
        <w:t xml:space="preserve"> </w:t>
      </w:r>
    </w:p>
    <w:p w14:paraId="725A98C2" w14:textId="77777777" w:rsidR="00000000" w:rsidRDefault="00195E73">
      <w:pPr>
        <w:divId w:val="2003897932"/>
        <w:rPr>
          <w:rFonts w:eastAsia="Times New Roman"/>
        </w:rPr>
      </w:pPr>
    </w:p>
    <w:p w14:paraId="18A33F25" w14:textId="77777777" w:rsidR="00000000" w:rsidRDefault="00195E73">
      <w:pPr>
        <w:divId w:val="2111310685"/>
        <w:rPr>
          <w:rFonts w:eastAsia="Times New Roman"/>
        </w:rPr>
      </w:pPr>
      <w:r>
        <w:rPr>
          <w:rFonts w:ascii="Arial" w:eastAsia="Times New Roman" w:hAnsi="Arial" w:cs="Arial"/>
          <w:b/>
          <w:bCs/>
          <w:color w:val="000000"/>
          <w:sz w:val="18"/>
          <w:szCs w:val="18"/>
        </w:rPr>
        <w:t>Opinion on internal control over financial reportin</w:t>
      </w:r>
      <w:r>
        <w:rPr>
          <w:rFonts w:ascii="Arial" w:eastAsia="Times New Roman" w:hAnsi="Arial" w:cs="Arial"/>
          <w:b/>
          <w:bCs/>
          <w:color w:val="000000"/>
          <w:sz w:val="18"/>
          <w:szCs w:val="18"/>
        </w:rPr>
        <w:t>g</w:t>
      </w:r>
    </w:p>
    <w:p w14:paraId="49BA1AE0" w14:textId="77777777" w:rsidR="00000000" w:rsidRDefault="00195E73">
      <w:pPr>
        <w:jc w:val="both"/>
        <w:divId w:val="1870949453"/>
        <w:rPr>
          <w:rFonts w:eastAsia="Times New Roman"/>
        </w:rPr>
      </w:pPr>
      <w:r>
        <w:rPr>
          <w:rFonts w:eastAsia="Times New Roman"/>
          <w:color w:val="000000"/>
          <w:sz w:val="20"/>
          <w:szCs w:val="20"/>
        </w:rPr>
        <w:t>We have audited the internal control over financial reporting o</w:t>
      </w:r>
      <w:r>
        <w:rPr>
          <w:rFonts w:eastAsia="Times New Roman"/>
          <w:color w:val="000000"/>
          <w:sz w:val="20"/>
          <w:szCs w:val="20"/>
        </w:rPr>
        <w:t>f Icahn Enterprises L.P. (a Delaware limited partnership) and subsidiaries (the “Partnership”) as of December 31, 2019, based on criteria established in the 2013</w:t>
      </w:r>
      <w:r>
        <w:rPr>
          <w:rFonts w:eastAsia="Times New Roman"/>
          <w:color w:val="000000"/>
          <w:sz w:val="20"/>
          <w:szCs w:val="20"/>
        </w:rPr>
        <w:t xml:space="preserve"> </w:t>
      </w:r>
      <w:r>
        <w:rPr>
          <w:rFonts w:eastAsia="Times New Roman"/>
          <w:i/>
          <w:iCs/>
          <w:color w:val="000000"/>
          <w:sz w:val="20"/>
          <w:szCs w:val="20"/>
        </w:rPr>
        <w:t>Internal Control—Integrated Framewor</w:t>
      </w:r>
      <w:r>
        <w:rPr>
          <w:rFonts w:eastAsia="Times New Roman"/>
          <w:i/>
          <w:iCs/>
          <w:color w:val="000000"/>
          <w:sz w:val="20"/>
          <w:szCs w:val="20"/>
        </w:rPr>
        <w:t>k</w:t>
      </w:r>
      <w:r>
        <w:rPr>
          <w:rFonts w:eastAsia="Times New Roman"/>
          <w:color w:val="000000"/>
          <w:sz w:val="20"/>
          <w:szCs w:val="20"/>
        </w:rPr>
        <w:t xml:space="preserve"> issued by the Committee of Sponsoring Organizations of t</w:t>
      </w:r>
      <w:r>
        <w:rPr>
          <w:rFonts w:eastAsia="Times New Roman"/>
          <w:color w:val="000000"/>
          <w:sz w:val="20"/>
          <w:szCs w:val="20"/>
        </w:rPr>
        <w:t>he Treadway Commission (“COSO”). In our opinion, because of the effect of the material weakness described in the following paragraphs on the achievement of the objectives of the control criteria, the Partnership has not maintained, in all material respects</w:t>
      </w:r>
      <w:r>
        <w:rPr>
          <w:rFonts w:eastAsia="Times New Roman"/>
          <w:color w:val="000000"/>
          <w:sz w:val="20"/>
          <w:szCs w:val="20"/>
        </w:rPr>
        <w:t>, effective internal control over financial reporting as of December 31, 2019, based on criteria established in the 2013</w:t>
      </w:r>
      <w:r>
        <w:rPr>
          <w:rFonts w:eastAsia="Times New Roman"/>
          <w:color w:val="000000"/>
          <w:sz w:val="20"/>
          <w:szCs w:val="20"/>
        </w:rPr>
        <w:t xml:space="preserve"> </w:t>
      </w:r>
      <w:r>
        <w:rPr>
          <w:rFonts w:eastAsia="Times New Roman"/>
          <w:i/>
          <w:iCs/>
          <w:color w:val="000000"/>
          <w:sz w:val="20"/>
          <w:szCs w:val="20"/>
        </w:rPr>
        <w:t>Internal Control—Integrated Framewor</w:t>
      </w:r>
      <w:r>
        <w:rPr>
          <w:rFonts w:eastAsia="Times New Roman"/>
          <w:i/>
          <w:iCs/>
          <w:color w:val="000000"/>
          <w:sz w:val="20"/>
          <w:szCs w:val="20"/>
        </w:rPr>
        <w:t>k</w:t>
      </w:r>
      <w:r>
        <w:rPr>
          <w:rFonts w:eastAsia="Times New Roman"/>
          <w:color w:val="000000"/>
          <w:sz w:val="20"/>
          <w:szCs w:val="20"/>
        </w:rPr>
        <w:t xml:space="preserve"> issued by COSO</w:t>
      </w:r>
      <w:r>
        <w:rPr>
          <w:rFonts w:eastAsia="Times New Roman"/>
          <w:color w:val="000000"/>
          <w:sz w:val="20"/>
          <w:szCs w:val="20"/>
        </w:rPr>
        <w:t>.</w:t>
      </w:r>
    </w:p>
    <w:p w14:paraId="03A5D234" w14:textId="77777777" w:rsidR="00000000" w:rsidRDefault="00195E73">
      <w:pPr>
        <w:jc w:val="both"/>
        <w:divId w:val="1902136039"/>
        <w:rPr>
          <w:rFonts w:eastAsia="Times New Roman"/>
        </w:rPr>
      </w:pPr>
      <w:r>
        <w:rPr>
          <w:rFonts w:eastAsia="Times New Roman"/>
          <w:color w:val="000000"/>
          <w:sz w:val="20"/>
          <w:szCs w:val="20"/>
        </w:rPr>
        <w:t>A material weakness is a deficiency, or combination of control deficiencies, in i</w:t>
      </w:r>
      <w:r>
        <w:rPr>
          <w:rFonts w:eastAsia="Times New Roman"/>
          <w:color w:val="000000"/>
          <w:sz w:val="20"/>
          <w:szCs w:val="20"/>
        </w:rPr>
        <w:t xml:space="preserve">nternal control over financial reporting, such that there is a reasonable possibility that a material misstatement of the company’s annual or interim financial statements will not be prevented or detected on a timely basis. The following material weakness </w:t>
      </w:r>
      <w:r>
        <w:rPr>
          <w:rFonts w:eastAsia="Times New Roman"/>
          <w:color w:val="000000"/>
          <w:sz w:val="20"/>
          <w:szCs w:val="20"/>
        </w:rPr>
        <w:t>has been identified and included in management’s assessment.</w:t>
      </w:r>
      <w:r>
        <w:rPr>
          <w:rFonts w:eastAsia="Times New Roman"/>
          <w:color w:val="000000"/>
          <w:sz w:val="20"/>
          <w:szCs w:val="20"/>
        </w:rPr>
        <w:t xml:space="preserve"> </w:t>
      </w:r>
    </w:p>
    <w:p w14:paraId="0B7DCBAB" w14:textId="77777777" w:rsidR="00000000" w:rsidRDefault="00195E73">
      <w:pPr>
        <w:jc w:val="both"/>
        <w:divId w:val="271279661"/>
        <w:rPr>
          <w:rFonts w:eastAsia="Times New Roman"/>
        </w:rPr>
      </w:pPr>
      <w:r>
        <w:rPr>
          <w:rFonts w:eastAsia="Times New Roman"/>
          <w:color w:val="000000"/>
          <w:sz w:val="20"/>
          <w:szCs w:val="20"/>
        </w:rPr>
        <w:t>The Partnership identified a material weakness in the design of their controls for identifying significant investees for which summarized financial information or separate financial statements m</w:t>
      </w:r>
      <w:r>
        <w:rPr>
          <w:rFonts w:eastAsia="Times New Roman"/>
          <w:color w:val="000000"/>
          <w:sz w:val="20"/>
          <w:szCs w:val="20"/>
        </w:rPr>
        <w:t>ay be required under SEC rules and regulations.</w:t>
      </w:r>
      <w:r>
        <w:rPr>
          <w:rFonts w:eastAsia="Times New Roman"/>
          <w:color w:val="000000"/>
          <w:sz w:val="20"/>
          <w:szCs w:val="20"/>
        </w:rPr>
        <w:t xml:space="preserve"> </w:t>
      </w:r>
    </w:p>
    <w:p w14:paraId="73FB0A21" w14:textId="77777777" w:rsidR="00000000" w:rsidRDefault="00195E73">
      <w:pPr>
        <w:jc w:val="both"/>
        <w:divId w:val="2096516635"/>
        <w:rPr>
          <w:rFonts w:eastAsia="Times New Roman"/>
        </w:rPr>
      </w:pPr>
      <w:r>
        <w:rPr>
          <w:rFonts w:eastAsia="Times New Roman"/>
          <w:color w:val="000000"/>
          <w:sz w:val="20"/>
          <w:szCs w:val="20"/>
        </w:rPr>
        <w:t>We also have audited, in accordance with the standards of the Public Company Accounting Oversight Board (United States) (“PCAOB”), the consolidated financial statements of the Partnership as of and for the y</w:t>
      </w:r>
      <w:r>
        <w:rPr>
          <w:rFonts w:eastAsia="Times New Roman"/>
          <w:color w:val="000000"/>
          <w:sz w:val="20"/>
          <w:szCs w:val="20"/>
        </w:rPr>
        <w:t>ear ended December 31, 2019. The material weakness identified above was considered in determining the nature, timing, and extent of audit tests applied in our audit of the 2019 consolidated financial statements, and this report does not affect our report d</w:t>
      </w:r>
      <w:r>
        <w:rPr>
          <w:rFonts w:eastAsia="Times New Roman"/>
          <w:color w:val="000000"/>
          <w:sz w:val="20"/>
          <w:szCs w:val="20"/>
        </w:rPr>
        <w:t>ated February 28, 2020 which expressed an unqualified opinion on those financial statements</w:t>
      </w:r>
      <w:r>
        <w:rPr>
          <w:rFonts w:eastAsia="Times New Roman"/>
          <w:color w:val="000000"/>
          <w:sz w:val="20"/>
          <w:szCs w:val="20"/>
        </w:rPr>
        <w:t>.</w:t>
      </w:r>
    </w:p>
    <w:p w14:paraId="00C077DF" w14:textId="77777777" w:rsidR="00000000" w:rsidRDefault="00195E73">
      <w:pPr>
        <w:divId w:val="303436269"/>
        <w:rPr>
          <w:rFonts w:eastAsia="Times New Roman"/>
        </w:rPr>
      </w:pPr>
      <w:r>
        <w:rPr>
          <w:rFonts w:ascii="Arial" w:eastAsia="Times New Roman" w:hAnsi="Arial" w:cs="Arial"/>
          <w:b/>
          <w:bCs/>
          <w:color w:val="000000"/>
          <w:sz w:val="18"/>
          <w:szCs w:val="18"/>
        </w:rPr>
        <w:t>Basis for opinio</w:t>
      </w:r>
      <w:r>
        <w:rPr>
          <w:rFonts w:ascii="Arial" w:eastAsia="Times New Roman" w:hAnsi="Arial" w:cs="Arial"/>
          <w:b/>
          <w:bCs/>
          <w:color w:val="000000"/>
          <w:sz w:val="18"/>
          <w:szCs w:val="18"/>
        </w:rPr>
        <w:t>n</w:t>
      </w:r>
    </w:p>
    <w:p w14:paraId="72C35E6E" w14:textId="77777777" w:rsidR="00000000" w:rsidRDefault="00195E73">
      <w:pPr>
        <w:jc w:val="both"/>
        <w:divId w:val="1003973162"/>
        <w:rPr>
          <w:rFonts w:eastAsia="Times New Roman"/>
        </w:rPr>
      </w:pPr>
      <w:r>
        <w:rPr>
          <w:rFonts w:eastAsia="Times New Roman"/>
          <w:color w:val="000000"/>
          <w:sz w:val="20"/>
          <w:szCs w:val="20"/>
        </w:rPr>
        <w:t>The Partnership’s management is responsible for maintaining effective internal control over financial reporting and for its assessment of the eff</w:t>
      </w:r>
      <w:r>
        <w:rPr>
          <w:rFonts w:eastAsia="Times New Roman"/>
          <w:color w:val="000000"/>
          <w:sz w:val="20"/>
          <w:szCs w:val="20"/>
        </w:rPr>
        <w:t>ectiveness of internal control over financial reporting, included in the accompanying Management’s Report on Internal Control Over Financial Reporting. Our responsibility is to express an opinion on the Partnership’s internal control over financial reporti</w:t>
      </w:r>
      <w:r>
        <w:rPr>
          <w:rFonts w:eastAsia="Times New Roman"/>
          <w:color w:val="000000"/>
          <w:sz w:val="20"/>
          <w:szCs w:val="20"/>
        </w:rPr>
        <w:t>ng based on our audit. We are a public accounting firm registered with the PCAOB and are required to be independent with respect to the Partnership in accordance with the U.S. federal securities laws and the applicable rules and regulations of the Securiti</w:t>
      </w:r>
      <w:r>
        <w:rPr>
          <w:rFonts w:eastAsia="Times New Roman"/>
          <w:color w:val="000000"/>
          <w:sz w:val="20"/>
          <w:szCs w:val="20"/>
        </w:rPr>
        <w:t>es and Exchange Commission and the PCAOB.</w:t>
      </w:r>
      <w:r>
        <w:rPr>
          <w:rFonts w:eastAsia="Times New Roman"/>
          <w:color w:val="000000"/>
          <w:sz w:val="20"/>
          <w:szCs w:val="20"/>
        </w:rPr>
        <w:t xml:space="preserve"> </w:t>
      </w:r>
    </w:p>
    <w:p w14:paraId="4C0A998C" w14:textId="77777777" w:rsidR="00000000" w:rsidRDefault="00195E73">
      <w:pPr>
        <w:jc w:val="both"/>
        <w:divId w:val="1809979574"/>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assurance about whether effective internal control over financi</w:t>
      </w:r>
      <w:r>
        <w:rPr>
          <w:rFonts w:eastAsia="Times New Roman"/>
          <w:color w:val="000000"/>
          <w:sz w:val="20"/>
          <w:szCs w:val="20"/>
        </w:rPr>
        <w:t>al reporting was maintained in all material respects. Our audit included obtaining an understanding of internal control over financial reporting, assessing the risk that a material weakness exists, testing and evaluating the design and operating effectiven</w:t>
      </w:r>
      <w:r>
        <w:rPr>
          <w:rFonts w:eastAsia="Times New Roman"/>
          <w:color w:val="000000"/>
          <w:sz w:val="20"/>
          <w:szCs w:val="20"/>
        </w:rPr>
        <w:t>ess of internal control based on the assessed risk, and performing such other procedures as we considered necessary in the circumstances. We believe that our audit provides a reasonable basis for our opinion</w:t>
      </w:r>
      <w:r>
        <w:rPr>
          <w:rFonts w:eastAsia="Times New Roman"/>
          <w:color w:val="000000"/>
          <w:sz w:val="20"/>
          <w:szCs w:val="20"/>
        </w:rPr>
        <w:t>.</w:t>
      </w:r>
    </w:p>
    <w:p w14:paraId="4DB17157" w14:textId="77777777" w:rsidR="00000000" w:rsidRDefault="00195E73">
      <w:pPr>
        <w:jc w:val="both"/>
        <w:rPr>
          <w:rFonts w:eastAsia="Times New Roman"/>
        </w:rPr>
      </w:pPr>
      <w:r>
        <w:rPr>
          <w:rFonts w:ascii="Arial" w:eastAsia="Times New Roman" w:hAnsi="Arial" w:cs="Arial"/>
          <w:b/>
          <w:bCs/>
          <w:color w:val="000000"/>
          <w:sz w:val="18"/>
          <w:szCs w:val="18"/>
        </w:rPr>
        <w:t xml:space="preserve">Definition and limitations of internal control </w:t>
      </w:r>
      <w:r>
        <w:rPr>
          <w:rFonts w:ascii="Arial" w:eastAsia="Times New Roman" w:hAnsi="Arial" w:cs="Arial"/>
          <w:b/>
          <w:bCs/>
          <w:color w:val="000000"/>
          <w:sz w:val="18"/>
          <w:szCs w:val="18"/>
        </w:rPr>
        <w:t>over financial reportin</w:t>
      </w:r>
      <w:r>
        <w:rPr>
          <w:rFonts w:ascii="Arial" w:eastAsia="Times New Roman" w:hAnsi="Arial" w:cs="Arial"/>
          <w:b/>
          <w:bCs/>
          <w:color w:val="000000"/>
          <w:sz w:val="18"/>
          <w:szCs w:val="18"/>
        </w:rPr>
        <w:t>g</w:t>
      </w:r>
    </w:p>
    <w:p w14:paraId="2B55FC82" w14:textId="77777777" w:rsidR="00000000" w:rsidRDefault="00195E73">
      <w:pPr>
        <w:jc w:val="both"/>
        <w:divId w:val="50662686"/>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financial statements for external purposes in accor</w:t>
      </w:r>
      <w:r>
        <w:rPr>
          <w:rFonts w:eastAsia="Times New Roman"/>
          <w:color w:val="000000"/>
          <w:sz w:val="20"/>
          <w:szCs w:val="20"/>
        </w:rPr>
        <w:t>dance with generally accepted accounting principles. A company’s internal control over financial reporting includes those policies and procedures that (1) pertain to the maintenance of records that, in reasonable detail, accurately and fairly reflect the t</w:t>
      </w:r>
      <w:r>
        <w:rPr>
          <w:rFonts w:eastAsia="Times New Roman"/>
          <w:color w:val="000000"/>
          <w:sz w:val="20"/>
          <w:szCs w:val="20"/>
        </w:rPr>
        <w:t>ransactions and dispositions of the assets of the company; (2) provide reasonable assurance that transactions are recorded as necessary to permit preparation of financial statements in accordance with generally accepted accounting principles, and that rece</w:t>
      </w:r>
      <w:r>
        <w:rPr>
          <w:rFonts w:eastAsia="Times New Roman"/>
          <w:color w:val="000000"/>
          <w:sz w:val="20"/>
          <w:szCs w:val="20"/>
        </w:rPr>
        <w:t>ipts and expenditures of the company are being made only in accordance with authorizations of management and directors of the company; and (3) provide reasonable assurance regarding prevention or timely detection of unauthorized acquisition, use, or dispos</w:t>
      </w:r>
      <w:r>
        <w:rPr>
          <w:rFonts w:eastAsia="Times New Roman"/>
          <w:color w:val="000000"/>
          <w:sz w:val="20"/>
          <w:szCs w:val="20"/>
        </w:rPr>
        <w:t>ition of the company’s assets that could have a material effect on the financial statements</w:t>
      </w:r>
      <w:r>
        <w:rPr>
          <w:rFonts w:eastAsia="Times New Roman"/>
          <w:color w:val="000000"/>
          <w:sz w:val="20"/>
          <w:szCs w:val="20"/>
        </w:rPr>
        <w:t>.</w:t>
      </w:r>
    </w:p>
    <w:p w14:paraId="1CC4E244" w14:textId="77777777" w:rsidR="00000000" w:rsidRDefault="00195E73">
      <w:pPr>
        <w:divId w:val="928536260"/>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w:t>
      </w:r>
      <w:r>
        <w:rPr>
          <w:rFonts w:eastAsia="Times New Roman"/>
          <w:color w:val="000000"/>
          <w:sz w:val="20"/>
          <w:szCs w:val="20"/>
        </w:rPr>
        <w:t>ctiveness to future periods are subject to the risk that controls may become inadequate because of changes in conditions, or that the degree of compliance with the policies or procedures may deteriorate</w:t>
      </w:r>
      <w:r>
        <w:rPr>
          <w:rFonts w:eastAsia="Times New Roman"/>
          <w:color w:val="000000"/>
          <w:sz w:val="20"/>
          <w:szCs w:val="20"/>
        </w:rPr>
        <w:t>.</w:t>
      </w:r>
    </w:p>
    <w:p w14:paraId="482918C7" w14:textId="77777777" w:rsidR="00000000" w:rsidRDefault="00195E73">
      <w:pPr>
        <w:divId w:val="820345017"/>
        <w:rPr>
          <w:rFonts w:eastAsia="Times New Roman"/>
        </w:rPr>
      </w:pPr>
    </w:p>
    <w:p w14:paraId="6BA86E78" w14:textId="77777777" w:rsidR="00000000" w:rsidRDefault="00195E73">
      <w:pPr>
        <w:divId w:val="139619879"/>
        <w:rPr>
          <w:rFonts w:eastAsia="Times New Roman"/>
        </w:rPr>
      </w:pPr>
      <w:r>
        <w:rPr>
          <w:rFonts w:eastAsia="Times New Roman"/>
          <w:color w:val="000000"/>
          <w:sz w:val="20"/>
          <w:szCs w:val="20"/>
        </w:rPr>
        <w:t>/s/GRANT THORNTON LL</w:t>
      </w:r>
      <w:r>
        <w:rPr>
          <w:rFonts w:eastAsia="Times New Roman"/>
          <w:color w:val="000000"/>
          <w:sz w:val="20"/>
          <w:szCs w:val="20"/>
        </w:rPr>
        <w:t>P</w:t>
      </w:r>
    </w:p>
    <w:p w14:paraId="37A2EC2D" w14:textId="77777777" w:rsidR="00000000" w:rsidRDefault="00195E73">
      <w:pPr>
        <w:divId w:val="1725829478"/>
        <w:rPr>
          <w:rFonts w:eastAsia="Times New Roman"/>
        </w:rPr>
      </w:pPr>
    </w:p>
    <w:p w14:paraId="004B5A7C" w14:textId="77777777" w:rsidR="00000000" w:rsidRDefault="00195E73">
      <w:pPr>
        <w:divId w:val="1907717140"/>
        <w:rPr>
          <w:rFonts w:eastAsia="Times New Roman"/>
        </w:rPr>
      </w:pPr>
      <w:r>
        <w:rPr>
          <w:rFonts w:eastAsia="Times New Roman"/>
          <w:color w:val="000000"/>
          <w:sz w:val="20"/>
          <w:szCs w:val="20"/>
        </w:rPr>
        <w:t>New York, New Yor</w:t>
      </w:r>
      <w:r>
        <w:rPr>
          <w:rFonts w:eastAsia="Times New Roman"/>
          <w:color w:val="000000"/>
          <w:sz w:val="20"/>
          <w:szCs w:val="20"/>
        </w:rPr>
        <w:t>k</w:t>
      </w:r>
    </w:p>
    <w:p w14:paraId="65DAFC3E" w14:textId="77777777" w:rsidR="00000000" w:rsidRDefault="00195E73">
      <w:pPr>
        <w:divId w:val="1557861474"/>
        <w:rPr>
          <w:rFonts w:eastAsia="Times New Roman"/>
        </w:rPr>
      </w:pPr>
      <w:r>
        <w:rPr>
          <w:rFonts w:eastAsia="Times New Roman"/>
          <w:color w:val="000000"/>
          <w:sz w:val="20"/>
          <w:szCs w:val="20"/>
        </w:rPr>
        <w:t>Februar</w:t>
      </w:r>
      <w:r>
        <w:rPr>
          <w:rFonts w:eastAsia="Times New Roman"/>
          <w:color w:val="000000"/>
          <w:sz w:val="20"/>
          <w:szCs w:val="20"/>
        </w:rPr>
        <w:t>y 28, 2020</w:t>
      </w:r>
      <w:r>
        <w:rPr>
          <w:rFonts w:eastAsia="Times New Roman"/>
          <w:color w:val="000000"/>
          <w:sz w:val="20"/>
          <w:szCs w:val="20"/>
        </w:rPr>
        <w:t xml:space="preserve"> </w:t>
      </w:r>
    </w:p>
    <w:p w14:paraId="1D0BD562" w14:textId="77777777" w:rsidR="00000000" w:rsidRDefault="00195E73">
      <w:pPr>
        <w:jc w:val="center"/>
        <w:divId w:val="1970162314"/>
        <w:rPr>
          <w:rFonts w:eastAsia="Times New Roman"/>
        </w:rPr>
      </w:pPr>
      <w:r>
        <w:rPr>
          <w:rFonts w:eastAsia="Times New Roman"/>
          <w:color w:val="000000"/>
          <w:sz w:val="20"/>
          <w:szCs w:val="20"/>
        </w:rPr>
        <w:t>11</w:t>
      </w:r>
      <w:r>
        <w:rPr>
          <w:rFonts w:eastAsia="Times New Roman"/>
          <w:color w:val="000000"/>
          <w:sz w:val="20"/>
          <w:szCs w:val="20"/>
        </w:rPr>
        <w:t>5</w:t>
      </w:r>
    </w:p>
    <w:p w14:paraId="6A05BFF4" w14:textId="77777777" w:rsidR="00000000" w:rsidRDefault="00195E73">
      <w:pPr>
        <w:rPr>
          <w:rFonts w:eastAsia="Times New Roman"/>
        </w:rPr>
      </w:pPr>
      <w:r>
        <w:rPr>
          <w:rFonts w:eastAsia="Times New Roman"/>
        </w:rPr>
        <w:pict w14:anchorId="5A2AFF85">
          <v:rect id="_x0000_i1141" style="width:0;height:1.5pt" o:hralign="center" o:hrstd="t" o:hr="t" fillcolor="#a0a0a0" stroked="f"/>
        </w:pict>
      </w:r>
    </w:p>
    <w:p w14:paraId="79A1EC0C" w14:textId="77777777" w:rsidR="00000000" w:rsidRDefault="00195E73">
      <w:pPr>
        <w:divId w:val="907033063"/>
        <w:rPr>
          <w:rFonts w:eastAsia="Times New Roman"/>
        </w:rPr>
      </w:pPr>
    </w:p>
    <w:p w14:paraId="53E98497" w14:textId="77777777" w:rsidR="00000000" w:rsidRDefault="00195E73">
      <w:pPr>
        <w:divId w:val="725759238"/>
        <w:rPr>
          <w:rFonts w:eastAsia="Times New Roman"/>
        </w:rPr>
      </w:pPr>
      <w:r>
        <w:rPr>
          <w:rFonts w:eastAsia="Times New Roman"/>
          <w:b/>
          <w:bCs/>
          <w:color w:val="000000"/>
          <w:sz w:val="20"/>
          <w:szCs w:val="20"/>
        </w:rPr>
        <w:t>Item 9B. Other Information</w:t>
      </w:r>
      <w:r>
        <w:rPr>
          <w:rFonts w:eastAsia="Times New Roman"/>
          <w:b/>
          <w:bCs/>
          <w:color w:val="000000"/>
          <w:sz w:val="20"/>
          <w:szCs w:val="20"/>
        </w:rPr>
        <w:t>.</w:t>
      </w:r>
    </w:p>
    <w:p w14:paraId="409074FD" w14:textId="77777777" w:rsidR="00000000" w:rsidRDefault="00195E73">
      <w:pPr>
        <w:ind w:firstLine="450"/>
        <w:divId w:val="1091395278"/>
        <w:rPr>
          <w:rFonts w:eastAsia="Times New Roman"/>
        </w:rPr>
      </w:pPr>
      <w:r>
        <w:rPr>
          <w:rFonts w:eastAsia="Times New Roman"/>
          <w:color w:val="000000"/>
          <w:sz w:val="20"/>
          <w:szCs w:val="20"/>
        </w:rPr>
        <w:t>None.</w:t>
      </w:r>
      <w:r>
        <w:rPr>
          <w:rFonts w:eastAsia="Times New Roman"/>
          <w:color w:val="000000"/>
          <w:sz w:val="20"/>
          <w:szCs w:val="20"/>
        </w:rPr>
        <w:t xml:space="preserve"> </w:t>
      </w:r>
    </w:p>
    <w:p w14:paraId="00E4E97A" w14:textId="77777777" w:rsidR="00000000" w:rsidRDefault="00195E73">
      <w:pPr>
        <w:ind w:firstLine="450"/>
        <w:divId w:val="710308001"/>
        <w:rPr>
          <w:rFonts w:eastAsia="Times New Roman"/>
        </w:rPr>
      </w:pPr>
    </w:p>
    <w:p w14:paraId="68DD9F72" w14:textId="77777777" w:rsidR="00000000" w:rsidRDefault="00195E73">
      <w:pPr>
        <w:divId w:val="1740250364"/>
        <w:rPr>
          <w:rFonts w:eastAsia="Times New Roman"/>
        </w:rPr>
      </w:pPr>
    </w:p>
    <w:p w14:paraId="193AC61D" w14:textId="77777777" w:rsidR="00000000" w:rsidRDefault="00195E73">
      <w:pPr>
        <w:jc w:val="center"/>
        <w:divId w:val="141586265"/>
        <w:rPr>
          <w:rFonts w:eastAsia="Times New Roman"/>
        </w:rPr>
      </w:pPr>
      <w:r>
        <w:rPr>
          <w:rFonts w:eastAsia="Times New Roman"/>
          <w:color w:val="000000"/>
          <w:sz w:val="20"/>
          <w:szCs w:val="20"/>
        </w:rPr>
        <w:t>11</w:t>
      </w:r>
      <w:r>
        <w:rPr>
          <w:rFonts w:eastAsia="Times New Roman"/>
          <w:color w:val="000000"/>
          <w:sz w:val="20"/>
          <w:szCs w:val="20"/>
        </w:rPr>
        <w:t>6</w:t>
      </w:r>
    </w:p>
    <w:p w14:paraId="7ECF0279" w14:textId="77777777" w:rsidR="00000000" w:rsidRDefault="00195E73">
      <w:pPr>
        <w:rPr>
          <w:rFonts w:eastAsia="Times New Roman"/>
        </w:rPr>
      </w:pPr>
      <w:r>
        <w:rPr>
          <w:rFonts w:eastAsia="Times New Roman"/>
        </w:rPr>
        <w:pict w14:anchorId="3E996AB5">
          <v:rect id="_x0000_i1142" style="width:0;height:1.5pt" o:hralign="center" o:hrstd="t" o:hr="t" fillcolor="#a0a0a0" stroked="f"/>
        </w:pict>
      </w:r>
    </w:p>
    <w:p w14:paraId="669EE825" w14:textId="77777777" w:rsidR="00000000" w:rsidRDefault="00195E73">
      <w:pPr>
        <w:divId w:val="207498803"/>
        <w:rPr>
          <w:rFonts w:eastAsia="Times New Roman"/>
        </w:rPr>
      </w:pPr>
    </w:p>
    <w:p w14:paraId="793CCDF2" w14:textId="77777777" w:rsidR="00000000" w:rsidRDefault="00195E73">
      <w:pPr>
        <w:jc w:val="center"/>
        <w:rPr>
          <w:rFonts w:eastAsia="Times New Roman"/>
        </w:rPr>
      </w:pPr>
      <w:r>
        <w:rPr>
          <w:rFonts w:eastAsia="Times New Roman"/>
          <w:b/>
          <w:bCs/>
          <w:color w:val="000000"/>
          <w:sz w:val="20"/>
          <w:szCs w:val="20"/>
        </w:rPr>
        <w:t>PART II</w:t>
      </w:r>
      <w:r>
        <w:rPr>
          <w:rFonts w:eastAsia="Times New Roman"/>
          <w:b/>
          <w:bCs/>
          <w:color w:val="000000"/>
          <w:sz w:val="20"/>
          <w:szCs w:val="20"/>
        </w:rPr>
        <w:t>I</w:t>
      </w:r>
    </w:p>
    <w:p w14:paraId="2CB5BC72" w14:textId="77777777" w:rsidR="00000000" w:rsidRDefault="00195E73">
      <w:pPr>
        <w:divId w:val="542795192"/>
        <w:rPr>
          <w:rFonts w:eastAsia="Times New Roman"/>
        </w:rPr>
      </w:pPr>
    </w:p>
    <w:p w14:paraId="530B1AE2" w14:textId="77777777" w:rsidR="00000000" w:rsidRDefault="00195E73">
      <w:pPr>
        <w:divId w:val="1888177604"/>
        <w:rPr>
          <w:rFonts w:eastAsia="Times New Roman"/>
        </w:rPr>
      </w:pPr>
      <w:r>
        <w:rPr>
          <w:rFonts w:eastAsia="Times New Roman"/>
          <w:b/>
          <w:bCs/>
          <w:color w:val="000000"/>
          <w:sz w:val="20"/>
          <w:szCs w:val="20"/>
        </w:rPr>
        <w:t>Item 10. Directors, Executive Officers and Corporate Governance</w:t>
      </w:r>
      <w:r>
        <w:rPr>
          <w:rFonts w:eastAsia="Times New Roman"/>
          <w:b/>
          <w:bCs/>
          <w:color w:val="000000"/>
          <w:sz w:val="20"/>
          <w:szCs w:val="20"/>
        </w:rPr>
        <w:t>.</w:t>
      </w:r>
    </w:p>
    <w:p w14:paraId="6C133627" w14:textId="77777777" w:rsidR="00000000" w:rsidRDefault="00195E73">
      <w:pPr>
        <w:ind w:firstLine="405"/>
        <w:divId w:val="2085835954"/>
        <w:rPr>
          <w:rFonts w:eastAsia="Times New Roman"/>
        </w:rPr>
      </w:pPr>
      <w:r>
        <w:rPr>
          <w:rFonts w:eastAsia="Times New Roman"/>
          <w:color w:val="000000"/>
          <w:sz w:val="20"/>
          <w:szCs w:val="20"/>
        </w:rPr>
        <w:t>The names, offices held and ages of the directors and execut</w:t>
      </w:r>
      <w:r>
        <w:rPr>
          <w:rFonts w:eastAsia="Times New Roman"/>
          <w:color w:val="000000"/>
          <w:sz w:val="20"/>
          <w:szCs w:val="20"/>
        </w:rPr>
        <w:t>ive officers of Icahn Enterprises G.P., Inc. (“Icahn Enterprises GP”), the general partner of each of Icahn Enterprises L.P. (“Icahn Enterprises”) and Icahn Enterprises Holdings L.P. (“Icahn Enterprises Holdings”) during 2019 and through the date of this R</w:t>
      </w:r>
      <w:r>
        <w:rPr>
          <w:rFonts w:eastAsia="Times New Roman"/>
          <w:color w:val="000000"/>
          <w:sz w:val="20"/>
          <w:szCs w:val="20"/>
        </w:rPr>
        <w:t>eport are as follows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71"/>
        <w:gridCol w:w="2604"/>
        <w:gridCol w:w="71"/>
        <w:gridCol w:w="36"/>
        <w:gridCol w:w="36"/>
        <w:gridCol w:w="36"/>
        <w:gridCol w:w="67"/>
        <w:gridCol w:w="394"/>
        <w:gridCol w:w="85"/>
        <w:gridCol w:w="36"/>
        <w:gridCol w:w="36"/>
        <w:gridCol w:w="36"/>
        <w:gridCol w:w="68"/>
        <w:gridCol w:w="4645"/>
        <w:gridCol w:w="72"/>
      </w:tblGrid>
      <w:tr w:rsidR="00000000" w14:paraId="106A46C9" w14:textId="77777777">
        <w:trPr>
          <w:divId w:val="1892765908"/>
          <w:jc w:val="center"/>
        </w:trPr>
        <w:tc>
          <w:tcPr>
            <w:tcW w:w="50" w:type="pct"/>
            <w:vAlign w:val="center"/>
            <w:hideMark/>
          </w:tcPr>
          <w:p w14:paraId="38115F25" w14:textId="77777777" w:rsidR="00000000" w:rsidRDefault="00195E73">
            <w:pPr>
              <w:ind w:firstLine="405"/>
              <w:rPr>
                <w:rFonts w:eastAsia="Times New Roman"/>
              </w:rPr>
            </w:pPr>
          </w:p>
        </w:tc>
        <w:tc>
          <w:tcPr>
            <w:tcW w:w="1576" w:type="pct"/>
            <w:vAlign w:val="center"/>
            <w:hideMark/>
          </w:tcPr>
          <w:p w14:paraId="0D7BD45A" w14:textId="77777777" w:rsidR="00000000" w:rsidRDefault="00195E73">
            <w:pPr>
              <w:rPr>
                <w:rFonts w:eastAsia="Times New Roman"/>
                <w:sz w:val="20"/>
                <w:szCs w:val="20"/>
              </w:rPr>
            </w:pPr>
          </w:p>
        </w:tc>
        <w:tc>
          <w:tcPr>
            <w:tcW w:w="50" w:type="pct"/>
            <w:vAlign w:val="center"/>
            <w:hideMark/>
          </w:tcPr>
          <w:p w14:paraId="628E463A" w14:textId="77777777" w:rsidR="00000000" w:rsidRDefault="00195E73">
            <w:pPr>
              <w:rPr>
                <w:rFonts w:eastAsia="Times New Roman"/>
                <w:sz w:val="20"/>
                <w:szCs w:val="20"/>
              </w:rPr>
            </w:pPr>
          </w:p>
        </w:tc>
        <w:tc>
          <w:tcPr>
            <w:tcW w:w="5" w:type="pct"/>
            <w:vAlign w:val="center"/>
            <w:hideMark/>
          </w:tcPr>
          <w:p w14:paraId="07290E7E" w14:textId="77777777" w:rsidR="00000000" w:rsidRDefault="00195E73">
            <w:pPr>
              <w:rPr>
                <w:rFonts w:eastAsia="Times New Roman"/>
                <w:sz w:val="20"/>
                <w:szCs w:val="20"/>
              </w:rPr>
            </w:pPr>
          </w:p>
        </w:tc>
        <w:tc>
          <w:tcPr>
            <w:tcW w:w="26" w:type="pct"/>
            <w:vAlign w:val="center"/>
            <w:hideMark/>
          </w:tcPr>
          <w:p w14:paraId="4D1DAF12" w14:textId="77777777" w:rsidR="00000000" w:rsidRDefault="00195E73">
            <w:pPr>
              <w:rPr>
                <w:rFonts w:eastAsia="Times New Roman"/>
                <w:sz w:val="20"/>
                <w:szCs w:val="20"/>
              </w:rPr>
            </w:pPr>
          </w:p>
        </w:tc>
        <w:tc>
          <w:tcPr>
            <w:tcW w:w="5" w:type="pct"/>
            <w:vAlign w:val="center"/>
            <w:hideMark/>
          </w:tcPr>
          <w:p w14:paraId="06D22154" w14:textId="77777777" w:rsidR="00000000" w:rsidRDefault="00195E73">
            <w:pPr>
              <w:rPr>
                <w:rFonts w:eastAsia="Times New Roman"/>
                <w:sz w:val="20"/>
                <w:szCs w:val="20"/>
              </w:rPr>
            </w:pPr>
          </w:p>
        </w:tc>
        <w:tc>
          <w:tcPr>
            <w:tcW w:w="50" w:type="pct"/>
            <w:vAlign w:val="center"/>
            <w:hideMark/>
          </w:tcPr>
          <w:p w14:paraId="46555A8C" w14:textId="77777777" w:rsidR="00000000" w:rsidRDefault="00195E73">
            <w:pPr>
              <w:rPr>
                <w:rFonts w:eastAsia="Times New Roman"/>
                <w:sz w:val="20"/>
                <w:szCs w:val="20"/>
              </w:rPr>
            </w:pPr>
          </w:p>
        </w:tc>
        <w:tc>
          <w:tcPr>
            <w:tcW w:w="244" w:type="pct"/>
            <w:vAlign w:val="center"/>
            <w:hideMark/>
          </w:tcPr>
          <w:p w14:paraId="537F8E31" w14:textId="77777777" w:rsidR="00000000" w:rsidRDefault="00195E73">
            <w:pPr>
              <w:rPr>
                <w:rFonts w:eastAsia="Times New Roman"/>
                <w:sz w:val="20"/>
                <w:szCs w:val="20"/>
              </w:rPr>
            </w:pPr>
          </w:p>
        </w:tc>
        <w:tc>
          <w:tcPr>
            <w:tcW w:w="50" w:type="pct"/>
            <w:vAlign w:val="center"/>
            <w:hideMark/>
          </w:tcPr>
          <w:p w14:paraId="5F7EC5C4" w14:textId="77777777" w:rsidR="00000000" w:rsidRDefault="00195E73">
            <w:pPr>
              <w:rPr>
                <w:rFonts w:eastAsia="Times New Roman"/>
                <w:sz w:val="20"/>
                <w:szCs w:val="20"/>
              </w:rPr>
            </w:pPr>
          </w:p>
        </w:tc>
        <w:tc>
          <w:tcPr>
            <w:tcW w:w="5" w:type="pct"/>
            <w:vAlign w:val="center"/>
            <w:hideMark/>
          </w:tcPr>
          <w:p w14:paraId="1D75D37C" w14:textId="77777777" w:rsidR="00000000" w:rsidRDefault="00195E73">
            <w:pPr>
              <w:rPr>
                <w:rFonts w:eastAsia="Times New Roman"/>
                <w:sz w:val="20"/>
                <w:szCs w:val="20"/>
              </w:rPr>
            </w:pPr>
          </w:p>
        </w:tc>
        <w:tc>
          <w:tcPr>
            <w:tcW w:w="26" w:type="pct"/>
            <w:vAlign w:val="center"/>
            <w:hideMark/>
          </w:tcPr>
          <w:p w14:paraId="4C3F095F" w14:textId="77777777" w:rsidR="00000000" w:rsidRDefault="00195E73">
            <w:pPr>
              <w:rPr>
                <w:rFonts w:eastAsia="Times New Roman"/>
                <w:sz w:val="20"/>
                <w:szCs w:val="20"/>
              </w:rPr>
            </w:pPr>
          </w:p>
        </w:tc>
        <w:tc>
          <w:tcPr>
            <w:tcW w:w="5" w:type="pct"/>
            <w:vAlign w:val="center"/>
            <w:hideMark/>
          </w:tcPr>
          <w:p w14:paraId="29576CBC" w14:textId="77777777" w:rsidR="00000000" w:rsidRDefault="00195E73">
            <w:pPr>
              <w:rPr>
                <w:rFonts w:eastAsia="Times New Roman"/>
                <w:sz w:val="20"/>
                <w:szCs w:val="20"/>
              </w:rPr>
            </w:pPr>
          </w:p>
        </w:tc>
        <w:tc>
          <w:tcPr>
            <w:tcW w:w="50" w:type="pct"/>
            <w:vAlign w:val="center"/>
            <w:hideMark/>
          </w:tcPr>
          <w:p w14:paraId="19F33F5E" w14:textId="77777777" w:rsidR="00000000" w:rsidRDefault="00195E73">
            <w:pPr>
              <w:rPr>
                <w:rFonts w:eastAsia="Times New Roman"/>
                <w:sz w:val="20"/>
                <w:szCs w:val="20"/>
              </w:rPr>
            </w:pPr>
          </w:p>
        </w:tc>
        <w:tc>
          <w:tcPr>
            <w:tcW w:w="2806" w:type="pct"/>
            <w:vAlign w:val="center"/>
            <w:hideMark/>
          </w:tcPr>
          <w:p w14:paraId="23D2AF2C" w14:textId="77777777" w:rsidR="00000000" w:rsidRDefault="00195E73">
            <w:pPr>
              <w:rPr>
                <w:rFonts w:eastAsia="Times New Roman"/>
                <w:sz w:val="20"/>
                <w:szCs w:val="20"/>
              </w:rPr>
            </w:pPr>
          </w:p>
        </w:tc>
        <w:tc>
          <w:tcPr>
            <w:tcW w:w="50" w:type="pct"/>
            <w:vAlign w:val="center"/>
            <w:hideMark/>
          </w:tcPr>
          <w:p w14:paraId="64970366" w14:textId="77777777" w:rsidR="00000000" w:rsidRDefault="00195E73">
            <w:pPr>
              <w:rPr>
                <w:rFonts w:eastAsia="Times New Roman"/>
                <w:sz w:val="20"/>
                <w:szCs w:val="20"/>
              </w:rPr>
            </w:pPr>
          </w:p>
        </w:tc>
      </w:tr>
      <w:tr w:rsidR="00000000" w14:paraId="5726DA2D" w14:textId="77777777">
        <w:trPr>
          <w:divId w:val="1892765908"/>
          <w:jc w:val="center"/>
        </w:trPr>
        <w:tc>
          <w:tcPr>
            <w:tcW w:w="0" w:type="auto"/>
            <w:gridSpan w:val="3"/>
            <w:tcMar>
              <w:top w:w="30" w:type="dxa"/>
              <w:left w:w="20" w:type="dxa"/>
              <w:bottom w:w="30" w:type="dxa"/>
              <w:right w:w="20" w:type="dxa"/>
            </w:tcMar>
            <w:vAlign w:val="bottom"/>
            <w:hideMark/>
          </w:tcPr>
          <w:p w14:paraId="582A419E" w14:textId="77777777" w:rsidR="00000000" w:rsidRDefault="00195E73">
            <w:pPr>
              <w:rPr>
                <w:rFonts w:eastAsia="Times New Roman"/>
              </w:rPr>
            </w:pPr>
            <w:r>
              <w:rPr>
                <w:rFonts w:eastAsia="Times New Roman"/>
                <w:b/>
                <w:bCs/>
                <w:color w:val="000000"/>
                <w:sz w:val="20"/>
                <w:szCs w:val="20"/>
              </w:rPr>
              <w:t>Nam</w:t>
            </w:r>
            <w:r>
              <w:rPr>
                <w:rFonts w:eastAsia="Times New Roman"/>
                <w:b/>
                <w:bCs/>
                <w:color w:val="000000"/>
                <w:sz w:val="20"/>
                <w:szCs w:val="20"/>
              </w:rPr>
              <w:t>e</w:t>
            </w:r>
          </w:p>
        </w:tc>
        <w:tc>
          <w:tcPr>
            <w:tcW w:w="0" w:type="auto"/>
            <w:gridSpan w:val="3"/>
            <w:tcMar>
              <w:top w:w="30" w:type="dxa"/>
              <w:left w:w="20" w:type="dxa"/>
              <w:bottom w:w="30" w:type="dxa"/>
              <w:right w:w="20" w:type="dxa"/>
            </w:tcMar>
            <w:vAlign w:val="bottom"/>
            <w:hideMark/>
          </w:tcPr>
          <w:p w14:paraId="682437DE" w14:textId="77777777" w:rsidR="00000000" w:rsidRDefault="00195E73">
            <w:pPr>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14:paraId="508027F3" w14:textId="77777777" w:rsidR="00000000" w:rsidRDefault="00195E73">
            <w:pPr>
              <w:jc w:val="center"/>
              <w:rPr>
                <w:rFonts w:eastAsia="Times New Roman"/>
              </w:rPr>
            </w:pPr>
            <w:r>
              <w:rPr>
                <w:rFonts w:eastAsia="Times New Roman"/>
                <w:b/>
                <w:bCs/>
                <w:color w:val="000000"/>
                <w:sz w:val="20"/>
                <w:szCs w:val="20"/>
              </w:rPr>
              <w:t>Ag</w:t>
            </w:r>
            <w:r>
              <w:rPr>
                <w:rFonts w:eastAsia="Times New Roman"/>
                <w:b/>
                <w:bCs/>
                <w:color w:val="000000"/>
                <w:sz w:val="20"/>
                <w:szCs w:val="20"/>
              </w:rPr>
              <w:t>e</w:t>
            </w:r>
          </w:p>
        </w:tc>
        <w:tc>
          <w:tcPr>
            <w:tcW w:w="0" w:type="auto"/>
            <w:gridSpan w:val="3"/>
            <w:tcMar>
              <w:top w:w="30" w:type="dxa"/>
              <w:left w:w="20" w:type="dxa"/>
              <w:bottom w:w="30" w:type="dxa"/>
              <w:right w:w="20" w:type="dxa"/>
            </w:tcMar>
            <w:vAlign w:val="bottom"/>
            <w:hideMark/>
          </w:tcPr>
          <w:p w14:paraId="5F89691F" w14:textId="77777777" w:rsidR="00000000" w:rsidRDefault="00195E73">
            <w:pPr>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14:paraId="3592ADEB" w14:textId="77777777" w:rsidR="00000000" w:rsidRDefault="00195E73">
            <w:pPr>
              <w:rPr>
                <w:rFonts w:eastAsia="Times New Roman"/>
              </w:rPr>
            </w:pPr>
            <w:r>
              <w:rPr>
                <w:rFonts w:eastAsia="Times New Roman"/>
                <w:b/>
                <w:bCs/>
                <w:color w:val="000000"/>
                <w:sz w:val="20"/>
                <w:szCs w:val="20"/>
              </w:rPr>
              <w:t>Positio</w:t>
            </w:r>
            <w:r>
              <w:rPr>
                <w:rFonts w:eastAsia="Times New Roman"/>
                <w:b/>
                <w:bCs/>
                <w:color w:val="000000"/>
                <w:sz w:val="20"/>
                <w:szCs w:val="20"/>
              </w:rPr>
              <w:t>n</w:t>
            </w:r>
          </w:p>
        </w:tc>
      </w:tr>
      <w:tr w:rsidR="00000000" w14:paraId="044D804C" w14:textId="77777777">
        <w:trPr>
          <w:divId w:val="189276590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88CC6F8" w14:textId="77777777" w:rsidR="00000000" w:rsidRDefault="00195E73">
            <w:pPr>
              <w:rPr>
                <w:rFonts w:eastAsia="Times New Roman"/>
              </w:rPr>
            </w:pPr>
            <w:r>
              <w:rPr>
                <w:rFonts w:eastAsia="Times New Roman"/>
                <w:color w:val="000000"/>
                <w:sz w:val="20"/>
                <w:szCs w:val="20"/>
              </w:rPr>
              <w:t>Carl C. Icah</w:t>
            </w:r>
            <w:r>
              <w:rPr>
                <w:rFonts w:eastAsia="Times New Roman"/>
                <w:color w:val="000000"/>
                <w:sz w:val="20"/>
                <w:szCs w:val="20"/>
              </w:rPr>
              <w:t>n</w:t>
            </w:r>
          </w:p>
        </w:tc>
        <w:tc>
          <w:tcPr>
            <w:tcW w:w="0" w:type="auto"/>
            <w:gridSpan w:val="3"/>
            <w:shd w:val="clear" w:color="auto" w:fill="CCEEFF"/>
            <w:tcMar>
              <w:top w:w="30" w:type="dxa"/>
              <w:left w:w="20" w:type="dxa"/>
              <w:bottom w:w="30" w:type="dxa"/>
              <w:right w:w="20" w:type="dxa"/>
            </w:tcMar>
            <w:vAlign w:val="bottom"/>
            <w:hideMark/>
          </w:tcPr>
          <w:p w14:paraId="1BB9CAAC" w14:textId="77777777" w:rsidR="00000000" w:rsidRDefault="00195E73">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A0F343" w14:textId="77777777" w:rsidR="00000000" w:rsidRDefault="00195E73">
            <w:pPr>
              <w:jc w:val="center"/>
              <w:rPr>
                <w:rFonts w:eastAsia="Times New Roman"/>
              </w:rPr>
            </w:pPr>
            <w:r>
              <w:rPr>
                <w:rFonts w:eastAsia="Times New Roman"/>
                <w:color w:val="000000"/>
                <w:sz w:val="20"/>
                <w:szCs w:val="20"/>
              </w:rPr>
              <w:t>84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6A135D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019A8306" w14:textId="77777777" w:rsidR="00000000" w:rsidRDefault="00195E73">
            <w:pPr>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FA12678" w14:textId="77777777" w:rsidR="00000000" w:rsidRDefault="00195E73">
            <w:pPr>
              <w:rPr>
                <w:rFonts w:eastAsia="Times New Roman"/>
              </w:rPr>
            </w:pPr>
            <w:r>
              <w:rPr>
                <w:rFonts w:eastAsia="Times New Roman"/>
                <w:color w:val="000000"/>
                <w:sz w:val="20"/>
                <w:szCs w:val="20"/>
              </w:rPr>
              <w:t>Chairman of the Boar</w:t>
            </w:r>
            <w:r>
              <w:rPr>
                <w:rFonts w:eastAsia="Times New Roman"/>
                <w:color w:val="000000"/>
                <w:sz w:val="20"/>
                <w:szCs w:val="20"/>
              </w:rPr>
              <w:t>d</w:t>
            </w:r>
          </w:p>
        </w:tc>
      </w:tr>
      <w:tr w:rsidR="00000000" w14:paraId="71774152" w14:textId="77777777">
        <w:trPr>
          <w:divId w:val="1892765908"/>
          <w:jc w:val="center"/>
        </w:trPr>
        <w:tc>
          <w:tcPr>
            <w:tcW w:w="0" w:type="auto"/>
            <w:gridSpan w:val="3"/>
            <w:shd w:val="clear" w:color="auto" w:fill="FFFFFF"/>
            <w:tcMar>
              <w:top w:w="30" w:type="dxa"/>
              <w:left w:w="20" w:type="dxa"/>
              <w:bottom w:w="30" w:type="dxa"/>
              <w:right w:w="20" w:type="dxa"/>
            </w:tcMar>
            <w:vAlign w:val="bottom"/>
            <w:hideMark/>
          </w:tcPr>
          <w:p w14:paraId="2C3F9327" w14:textId="77777777" w:rsidR="00000000" w:rsidRDefault="00195E73">
            <w:pPr>
              <w:rPr>
                <w:rFonts w:eastAsia="Times New Roman"/>
              </w:rPr>
            </w:pPr>
            <w:r>
              <w:rPr>
                <w:rFonts w:eastAsia="Times New Roman"/>
                <w:color w:val="000000"/>
                <w:sz w:val="20"/>
                <w:szCs w:val="20"/>
              </w:rPr>
              <w:t>Keith Cozz</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14:paraId="1DFD0F75"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46B3E4" w14:textId="77777777" w:rsidR="00000000" w:rsidRDefault="00195E73">
            <w:pPr>
              <w:jc w:val="center"/>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6FEC6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7CC56C9" w14:textId="77777777" w:rsidR="00000000" w:rsidRDefault="00195E7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52A43C8" w14:textId="77777777" w:rsidR="00000000" w:rsidRDefault="00195E73">
            <w:pPr>
              <w:rPr>
                <w:rFonts w:eastAsia="Times New Roman"/>
              </w:rPr>
            </w:pPr>
            <w:r>
              <w:rPr>
                <w:rFonts w:eastAsia="Times New Roman"/>
                <w:color w:val="000000"/>
                <w:sz w:val="20"/>
                <w:szCs w:val="20"/>
              </w:rPr>
              <w:t>President, Chief Executive Officer and Directo</w:t>
            </w:r>
            <w:r>
              <w:rPr>
                <w:rFonts w:eastAsia="Times New Roman"/>
                <w:color w:val="000000"/>
                <w:sz w:val="20"/>
                <w:szCs w:val="20"/>
              </w:rPr>
              <w:t>r</w:t>
            </w:r>
          </w:p>
        </w:tc>
      </w:tr>
      <w:tr w:rsidR="00000000" w14:paraId="05F8966F" w14:textId="77777777">
        <w:trPr>
          <w:divId w:val="1892765908"/>
          <w:jc w:val="center"/>
        </w:trPr>
        <w:tc>
          <w:tcPr>
            <w:tcW w:w="0" w:type="auto"/>
            <w:gridSpan w:val="3"/>
            <w:shd w:val="clear" w:color="auto" w:fill="CCEEFF"/>
            <w:tcMar>
              <w:top w:w="30" w:type="dxa"/>
              <w:left w:w="20" w:type="dxa"/>
              <w:bottom w:w="30" w:type="dxa"/>
              <w:right w:w="20" w:type="dxa"/>
            </w:tcMar>
            <w:vAlign w:val="bottom"/>
            <w:hideMark/>
          </w:tcPr>
          <w:p w14:paraId="0711D5C3" w14:textId="77777777" w:rsidR="00000000" w:rsidRDefault="00195E73">
            <w:pPr>
              <w:rPr>
                <w:rFonts w:eastAsia="Times New Roman"/>
              </w:rPr>
            </w:pPr>
            <w:r>
              <w:rPr>
                <w:rFonts w:eastAsia="Times New Roman"/>
                <w:color w:val="000000"/>
                <w:sz w:val="20"/>
                <w:szCs w:val="20"/>
              </w:rPr>
              <w:t>SungHwan Ch</w:t>
            </w:r>
            <w:r>
              <w:rPr>
                <w:rFonts w:eastAsia="Times New Roman"/>
                <w:color w:val="000000"/>
                <w:sz w:val="20"/>
                <w:szCs w:val="20"/>
              </w:rPr>
              <w:t>o</w:t>
            </w:r>
          </w:p>
        </w:tc>
        <w:tc>
          <w:tcPr>
            <w:tcW w:w="0" w:type="auto"/>
            <w:gridSpan w:val="3"/>
            <w:shd w:val="clear" w:color="auto" w:fill="CCEEFF"/>
            <w:tcMar>
              <w:top w:w="15" w:type="dxa"/>
              <w:left w:w="20" w:type="dxa"/>
              <w:bottom w:w="15" w:type="dxa"/>
              <w:right w:w="20" w:type="dxa"/>
            </w:tcMar>
            <w:vAlign w:val="bottom"/>
            <w:hideMark/>
          </w:tcPr>
          <w:p w14:paraId="52424DC4"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AE2D52" w14:textId="77777777" w:rsidR="00000000" w:rsidRDefault="00195E73">
            <w:pPr>
              <w:jc w:val="center"/>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90D89D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6CE766" w14:textId="77777777" w:rsidR="00000000" w:rsidRDefault="00195E7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7F6110B" w14:textId="77777777" w:rsidR="00000000" w:rsidRDefault="00195E73">
            <w:pPr>
              <w:rPr>
                <w:rFonts w:eastAsia="Times New Roman"/>
              </w:rPr>
            </w:pPr>
            <w:r>
              <w:rPr>
                <w:rFonts w:eastAsia="Times New Roman"/>
                <w:color w:val="000000"/>
                <w:sz w:val="20"/>
                <w:szCs w:val="20"/>
              </w:rPr>
              <w:t>Chief Financial Officer and Directo</w:t>
            </w:r>
            <w:r>
              <w:rPr>
                <w:rFonts w:eastAsia="Times New Roman"/>
                <w:color w:val="000000"/>
                <w:sz w:val="20"/>
                <w:szCs w:val="20"/>
              </w:rPr>
              <w:t>r</w:t>
            </w:r>
          </w:p>
        </w:tc>
      </w:tr>
      <w:tr w:rsidR="00000000" w14:paraId="1DA9BD28" w14:textId="77777777">
        <w:trPr>
          <w:divId w:val="1892765908"/>
          <w:jc w:val="center"/>
        </w:trPr>
        <w:tc>
          <w:tcPr>
            <w:tcW w:w="0" w:type="auto"/>
            <w:gridSpan w:val="3"/>
            <w:shd w:val="clear" w:color="auto" w:fill="FFFFFF"/>
            <w:tcMar>
              <w:top w:w="30" w:type="dxa"/>
              <w:left w:w="20" w:type="dxa"/>
              <w:bottom w:w="30" w:type="dxa"/>
              <w:right w:w="20" w:type="dxa"/>
            </w:tcMar>
            <w:vAlign w:val="bottom"/>
            <w:hideMark/>
          </w:tcPr>
          <w:p w14:paraId="2CAFE615" w14:textId="77777777" w:rsidR="00000000" w:rsidRDefault="00195E73">
            <w:pPr>
              <w:rPr>
                <w:rFonts w:eastAsia="Times New Roman"/>
              </w:rPr>
            </w:pPr>
            <w:r>
              <w:rPr>
                <w:rFonts w:eastAsia="Times New Roman"/>
                <w:color w:val="000000"/>
                <w:sz w:val="20"/>
                <w:szCs w:val="20"/>
              </w:rPr>
              <w:t>Peter Rec</w:t>
            </w:r>
            <w:r>
              <w:rPr>
                <w:rFonts w:eastAsia="Times New Roman"/>
                <w:color w:val="000000"/>
                <w:sz w:val="20"/>
                <w:szCs w:val="20"/>
              </w:rPr>
              <w:t>k</w:t>
            </w:r>
          </w:p>
        </w:tc>
        <w:tc>
          <w:tcPr>
            <w:tcW w:w="0" w:type="auto"/>
            <w:gridSpan w:val="3"/>
            <w:shd w:val="clear" w:color="auto" w:fill="FFFFFF"/>
            <w:tcMar>
              <w:top w:w="30" w:type="dxa"/>
              <w:left w:w="20" w:type="dxa"/>
              <w:bottom w:w="30" w:type="dxa"/>
              <w:right w:w="20" w:type="dxa"/>
            </w:tcMar>
            <w:vAlign w:val="bottom"/>
            <w:hideMark/>
          </w:tcPr>
          <w:p w14:paraId="731A9196" w14:textId="77777777" w:rsidR="00000000" w:rsidRDefault="00195E73">
            <w:pPr>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5D501F27" w14:textId="77777777" w:rsidR="00000000" w:rsidRDefault="00195E73">
            <w:pPr>
              <w:jc w:val="center"/>
              <w:rPr>
                <w:rFonts w:eastAsia="Times New Roman"/>
              </w:rPr>
            </w:pPr>
            <w:r>
              <w:rPr>
                <w:rFonts w:eastAsia="Times New Roman"/>
                <w:color w:val="000000"/>
                <w:sz w:val="20"/>
                <w:szCs w:val="20"/>
              </w:rPr>
              <w:t>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5C7F82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4387D9F8" w14:textId="77777777" w:rsidR="00000000" w:rsidRDefault="00195E73">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4DC1C4DA" w14:textId="77777777" w:rsidR="00000000" w:rsidRDefault="00195E73">
            <w:pPr>
              <w:rPr>
                <w:rFonts w:eastAsia="Times New Roman"/>
              </w:rPr>
            </w:pPr>
            <w:r>
              <w:rPr>
                <w:rFonts w:eastAsia="Times New Roman"/>
                <w:color w:val="000000"/>
                <w:sz w:val="20"/>
                <w:szCs w:val="20"/>
              </w:rPr>
              <w:t>Chief Accounting Office</w:t>
            </w:r>
            <w:r>
              <w:rPr>
                <w:rFonts w:eastAsia="Times New Roman"/>
                <w:color w:val="000000"/>
                <w:sz w:val="20"/>
                <w:szCs w:val="20"/>
              </w:rPr>
              <w:t>r</w:t>
            </w:r>
          </w:p>
        </w:tc>
      </w:tr>
      <w:tr w:rsidR="00000000" w14:paraId="3ED448EA" w14:textId="77777777">
        <w:trPr>
          <w:divId w:val="1892765908"/>
          <w:jc w:val="center"/>
        </w:trPr>
        <w:tc>
          <w:tcPr>
            <w:tcW w:w="0" w:type="auto"/>
            <w:gridSpan w:val="3"/>
            <w:shd w:val="clear" w:color="auto" w:fill="CCEEFF"/>
            <w:tcMar>
              <w:top w:w="30" w:type="dxa"/>
              <w:left w:w="20" w:type="dxa"/>
              <w:bottom w:w="30" w:type="dxa"/>
              <w:right w:w="20" w:type="dxa"/>
            </w:tcMar>
            <w:vAlign w:val="bottom"/>
            <w:hideMark/>
          </w:tcPr>
          <w:p w14:paraId="13CA78D5" w14:textId="77777777" w:rsidR="00000000" w:rsidRDefault="00195E73">
            <w:pPr>
              <w:rPr>
                <w:rFonts w:eastAsia="Times New Roman"/>
              </w:rPr>
            </w:pPr>
            <w:r>
              <w:rPr>
                <w:rFonts w:eastAsia="Times New Roman"/>
                <w:color w:val="000000"/>
                <w:sz w:val="20"/>
                <w:szCs w:val="20"/>
              </w:rPr>
              <w:t>Michael Nevi</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14:paraId="598A39ED"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DD1BEE" w14:textId="77777777" w:rsidR="00000000" w:rsidRDefault="00195E73">
            <w:pPr>
              <w:jc w:val="center"/>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B85435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2753E32" w14:textId="77777777" w:rsidR="00000000" w:rsidRDefault="00195E7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6DFB29F" w14:textId="77777777" w:rsidR="00000000" w:rsidRDefault="00195E73">
            <w:pPr>
              <w:rPr>
                <w:rFonts w:eastAsia="Times New Roman"/>
              </w:rPr>
            </w:pPr>
            <w:r>
              <w:rPr>
                <w:rFonts w:eastAsia="Times New Roman"/>
                <w:color w:val="000000"/>
                <w:sz w:val="20"/>
                <w:szCs w:val="20"/>
              </w:rPr>
              <w:t>Directo</w:t>
            </w:r>
            <w:r>
              <w:rPr>
                <w:rFonts w:eastAsia="Times New Roman"/>
                <w:color w:val="000000"/>
                <w:sz w:val="20"/>
                <w:szCs w:val="20"/>
              </w:rPr>
              <w:t>r</w:t>
            </w:r>
          </w:p>
        </w:tc>
      </w:tr>
      <w:tr w:rsidR="00000000" w14:paraId="0E07355A" w14:textId="77777777">
        <w:trPr>
          <w:divId w:val="1892765908"/>
          <w:jc w:val="center"/>
        </w:trPr>
        <w:tc>
          <w:tcPr>
            <w:tcW w:w="0" w:type="auto"/>
            <w:gridSpan w:val="3"/>
            <w:shd w:val="clear" w:color="auto" w:fill="FFFFFF"/>
            <w:tcMar>
              <w:top w:w="30" w:type="dxa"/>
              <w:left w:w="20" w:type="dxa"/>
              <w:bottom w:w="30" w:type="dxa"/>
              <w:right w:w="20" w:type="dxa"/>
            </w:tcMar>
            <w:vAlign w:val="bottom"/>
            <w:hideMark/>
          </w:tcPr>
          <w:p w14:paraId="70FE19F6" w14:textId="77777777" w:rsidR="00000000" w:rsidRDefault="00195E73">
            <w:pPr>
              <w:rPr>
                <w:rFonts w:eastAsia="Times New Roman"/>
              </w:rPr>
            </w:pPr>
            <w:r>
              <w:rPr>
                <w:rFonts w:eastAsia="Times New Roman"/>
                <w:color w:val="000000"/>
                <w:sz w:val="20"/>
                <w:szCs w:val="20"/>
              </w:rPr>
              <w:t>Denise Barto</w:t>
            </w:r>
            <w:r>
              <w:rPr>
                <w:rFonts w:eastAsia="Times New Roman"/>
                <w:color w:val="000000"/>
                <w:sz w:val="20"/>
                <w:szCs w:val="20"/>
              </w:rPr>
              <w:t>n</w:t>
            </w:r>
          </w:p>
        </w:tc>
        <w:tc>
          <w:tcPr>
            <w:tcW w:w="0" w:type="auto"/>
            <w:gridSpan w:val="3"/>
            <w:shd w:val="clear" w:color="auto" w:fill="FFFFFF"/>
            <w:tcMar>
              <w:top w:w="30" w:type="dxa"/>
              <w:left w:w="20" w:type="dxa"/>
              <w:bottom w:w="30" w:type="dxa"/>
              <w:right w:w="20" w:type="dxa"/>
            </w:tcMar>
            <w:vAlign w:val="bottom"/>
            <w:hideMark/>
          </w:tcPr>
          <w:p w14:paraId="5F36F437" w14:textId="77777777" w:rsidR="00000000" w:rsidRDefault="00195E73">
            <w:pPr>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5A43D9F0" w14:textId="77777777" w:rsidR="00000000" w:rsidRDefault="00195E73">
            <w:pPr>
              <w:jc w:val="center"/>
              <w:rPr>
                <w:rFonts w:eastAsia="Times New Roman"/>
              </w:rPr>
            </w:pPr>
            <w:r>
              <w:rPr>
                <w:rFonts w:eastAsia="Times New Roman"/>
                <w:color w:val="000000"/>
                <w:sz w:val="20"/>
                <w:szCs w:val="20"/>
              </w:rPr>
              <w:t>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80CC4F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1CED56CE" w14:textId="77777777" w:rsidR="00000000" w:rsidRDefault="00195E73">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5827E84A" w14:textId="77777777" w:rsidR="00000000" w:rsidRDefault="00195E73">
            <w:pPr>
              <w:rPr>
                <w:rFonts w:eastAsia="Times New Roman"/>
              </w:rPr>
            </w:pPr>
            <w:r>
              <w:rPr>
                <w:rFonts w:eastAsia="Times New Roman"/>
                <w:color w:val="000000"/>
                <w:sz w:val="20"/>
                <w:szCs w:val="20"/>
              </w:rPr>
              <w:t>Directo</w:t>
            </w:r>
            <w:r>
              <w:rPr>
                <w:rFonts w:eastAsia="Times New Roman"/>
                <w:color w:val="000000"/>
                <w:sz w:val="20"/>
                <w:szCs w:val="20"/>
              </w:rPr>
              <w:t>r</w:t>
            </w:r>
          </w:p>
        </w:tc>
      </w:tr>
      <w:tr w:rsidR="00000000" w14:paraId="06C7860C" w14:textId="77777777">
        <w:trPr>
          <w:divId w:val="1892765908"/>
          <w:jc w:val="center"/>
        </w:trPr>
        <w:tc>
          <w:tcPr>
            <w:tcW w:w="0" w:type="auto"/>
            <w:gridSpan w:val="3"/>
            <w:shd w:val="clear" w:color="auto" w:fill="CCEEFF"/>
            <w:tcMar>
              <w:top w:w="30" w:type="dxa"/>
              <w:left w:w="20" w:type="dxa"/>
              <w:bottom w:w="30" w:type="dxa"/>
              <w:right w:w="20" w:type="dxa"/>
            </w:tcMar>
            <w:vAlign w:val="bottom"/>
            <w:hideMark/>
          </w:tcPr>
          <w:p w14:paraId="459688B3" w14:textId="77777777" w:rsidR="00000000" w:rsidRDefault="00195E73">
            <w:pPr>
              <w:rPr>
                <w:rFonts w:eastAsia="Times New Roman"/>
              </w:rPr>
            </w:pPr>
            <w:r>
              <w:rPr>
                <w:rFonts w:eastAsia="Times New Roman"/>
                <w:color w:val="000000"/>
                <w:sz w:val="20"/>
                <w:szCs w:val="20"/>
              </w:rPr>
              <w:t>Alvin B. Krongar</w:t>
            </w:r>
            <w:r>
              <w:rPr>
                <w:rFonts w:eastAsia="Times New Roman"/>
                <w:color w:val="000000"/>
                <w:sz w:val="20"/>
                <w:szCs w:val="20"/>
              </w:rPr>
              <w:t>d</w:t>
            </w:r>
          </w:p>
        </w:tc>
        <w:tc>
          <w:tcPr>
            <w:tcW w:w="0" w:type="auto"/>
            <w:gridSpan w:val="3"/>
            <w:shd w:val="clear" w:color="auto" w:fill="CCEEFF"/>
            <w:tcMar>
              <w:top w:w="30" w:type="dxa"/>
              <w:left w:w="20" w:type="dxa"/>
              <w:bottom w:w="30" w:type="dxa"/>
              <w:right w:w="20" w:type="dxa"/>
            </w:tcMar>
            <w:vAlign w:val="bottom"/>
            <w:hideMark/>
          </w:tcPr>
          <w:p w14:paraId="3B070E0C" w14:textId="77777777" w:rsidR="00000000" w:rsidRDefault="00195E73">
            <w:pPr>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18B2C617" w14:textId="77777777" w:rsidR="00000000" w:rsidRDefault="00195E73">
            <w:pPr>
              <w:jc w:val="center"/>
              <w:rPr>
                <w:rFonts w:eastAsia="Times New Roman"/>
              </w:rPr>
            </w:pPr>
            <w:r>
              <w:rPr>
                <w:rFonts w:eastAsia="Times New Roman"/>
                <w:color w:val="000000"/>
                <w:sz w:val="20"/>
                <w:szCs w:val="20"/>
              </w:rPr>
              <w:t>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D66312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7477917B" w14:textId="77777777" w:rsidR="00000000" w:rsidRDefault="00195E73">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2A151B5D" w14:textId="77777777" w:rsidR="00000000" w:rsidRDefault="00195E73">
            <w:pPr>
              <w:rPr>
                <w:rFonts w:eastAsia="Times New Roman"/>
              </w:rPr>
            </w:pPr>
            <w:r>
              <w:rPr>
                <w:rFonts w:eastAsia="Times New Roman"/>
                <w:color w:val="000000"/>
                <w:sz w:val="20"/>
                <w:szCs w:val="20"/>
              </w:rPr>
              <w:t>Directo</w:t>
            </w:r>
            <w:r>
              <w:rPr>
                <w:rFonts w:eastAsia="Times New Roman"/>
                <w:color w:val="000000"/>
                <w:sz w:val="20"/>
                <w:szCs w:val="20"/>
              </w:rPr>
              <w:t>r</w:t>
            </w:r>
          </w:p>
        </w:tc>
      </w:tr>
      <w:tr w:rsidR="00000000" w14:paraId="3AF439C3" w14:textId="77777777">
        <w:trPr>
          <w:divId w:val="1892765908"/>
          <w:jc w:val="center"/>
        </w:trPr>
        <w:tc>
          <w:tcPr>
            <w:tcW w:w="0" w:type="auto"/>
            <w:gridSpan w:val="3"/>
            <w:shd w:val="clear" w:color="auto" w:fill="FFFFFF"/>
            <w:tcMar>
              <w:top w:w="30" w:type="dxa"/>
              <w:left w:w="20" w:type="dxa"/>
              <w:bottom w:w="30" w:type="dxa"/>
              <w:right w:w="20" w:type="dxa"/>
            </w:tcMar>
            <w:vAlign w:val="bottom"/>
            <w:hideMark/>
          </w:tcPr>
          <w:p w14:paraId="2F6E23DF" w14:textId="77777777" w:rsidR="00000000" w:rsidRDefault="00195E73">
            <w:pPr>
              <w:rPr>
                <w:rFonts w:eastAsia="Times New Roman"/>
              </w:rPr>
            </w:pPr>
            <w:r>
              <w:rPr>
                <w:rFonts w:eastAsia="Times New Roman"/>
                <w:color w:val="000000"/>
                <w:sz w:val="20"/>
                <w:szCs w:val="20"/>
              </w:rPr>
              <w:t>Jack G. Wasserman (1</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2F62ED9E" w14:textId="77777777" w:rsidR="00000000" w:rsidRDefault="00195E73">
            <w:pPr>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01428471" w14:textId="77777777" w:rsidR="00000000" w:rsidRDefault="00195E73">
            <w:pPr>
              <w:jc w:val="center"/>
              <w:rPr>
                <w:rFonts w:eastAsia="Times New Roman"/>
              </w:rPr>
            </w:pPr>
            <w:r>
              <w:rPr>
                <w:rFonts w:eastAsia="Times New Roman"/>
                <w:color w:val="000000"/>
                <w:sz w:val="20"/>
                <w:szCs w:val="20"/>
              </w:rPr>
              <w:t>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FDFA5C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71E8F055" w14:textId="77777777" w:rsidR="00000000" w:rsidRDefault="00195E73">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1058D51B" w14:textId="77777777" w:rsidR="00000000" w:rsidRDefault="00195E73">
            <w:pPr>
              <w:rPr>
                <w:rFonts w:eastAsia="Times New Roman"/>
              </w:rPr>
            </w:pPr>
            <w:r>
              <w:rPr>
                <w:rFonts w:eastAsia="Times New Roman"/>
                <w:color w:val="000000"/>
                <w:sz w:val="20"/>
                <w:szCs w:val="20"/>
              </w:rPr>
              <w:t>Directo</w:t>
            </w:r>
            <w:r>
              <w:rPr>
                <w:rFonts w:eastAsia="Times New Roman"/>
                <w:color w:val="000000"/>
                <w:sz w:val="20"/>
                <w:szCs w:val="20"/>
              </w:rPr>
              <w:t>r</w:t>
            </w:r>
          </w:p>
        </w:tc>
      </w:tr>
    </w:tbl>
    <w:p w14:paraId="4658B638" w14:textId="77777777" w:rsidR="00000000" w:rsidRDefault="00195E73">
      <w:pPr>
        <w:ind w:hanging="270"/>
        <w:jc w:val="both"/>
        <w:rPr>
          <w:rFonts w:eastAsia="Times New Roman"/>
        </w:rPr>
      </w:pPr>
      <w:r>
        <w:rPr>
          <w:rFonts w:eastAsia="Times New Roman"/>
          <w:color w:val="000000"/>
          <w:sz w:val="20"/>
          <w:szCs w:val="20"/>
        </w:rPr>
        <w:t>(1) On February 26, 2020, Jack G. Wasserman, a member of the Board of Directors of Icahn Enterprises GP and the chairman of its audit committee, notified Icahn Enterprises of his intention to resign from the Board of Directors, effective February 27, 2020.</w:t>
      </w:r>
      <w:r>
        <w:rPr>
          <w:rFonts w:eastAsia="Times New Roman"/>
          <w:color w:val="000000"/>
          <w:sz w:val="20"/>
          <w:szCs w:val="20"/>
        </w:rPr>
        <w:t xml:space="preserve"> Mr. Wasserman’s resignation was not the result of any dispute or disagreement with Icahn Enterprises GP or us on any matter relating to our operations, policies or practices. The Board of Directors has initiated a search process to identify a successor.</w:t>
      </w:r>
      <w:r>
        <w:rPr>
          <w:rFonts w:eastAsia="Times New Roman"/>
          <w:color w:val="000000"/>
          <w:sz w:val="20"/>
          <w:szCs w:val="20"/>
        </w:rPr>
        <w:t xml:space="preserve"> </w:t>
      </w:r>
    </w:p>
    <w:p w14:paraId="54536E04" w14:textId="77777777" w:rsidR="00000000" w:rsidRDefault="00195E73">
      <w:pPr>
        <w:ind w:firstLine="405"/>
        <w:divId w:val="83187407"/>
        <w:rPr>
          <w:rFonts w:eastAsia="Times New Roman"/>
        </w:rPr>
      </w:pPr>
      <w:r>
        <w:rPr>
          <w:rFonts w:eastAsia="Times New Roman"/>
          <w:color w:val="000000"/>
          <w:sz w:val="20"/>
          <w:szCs w:val="20"/>
        </w:rPr>
        <w:t>Our directors are selected by Carl C. Icahn, as the controlling stockholder of Icahn Enterprises GP, and are not elected by our limited partners. Individuals who possess characteristics that include integrity, business experience, financial acumen and lead</w:t>
      </w:r>
      <w:r>
        <w:rPr>
          <w:rFonts w:eastAsia="Times New Roman"/>
          <w:color w:val="000000"/>
          <w:sz w:val="20"/>
          <w:szCs w:val="20"/>
        </w:rPr>
        <w:t>ership abilities are qualified to serve on our board of directors. Listed below are our directors and executive officers with their biographies. In addition, we have summarized for each director why such director has been chosen to serve on our board of di</w:t>
      </w:r>
      <w:r>
        <w:rPr>
          <w:rFonts w:eastAsia="Times New Roman"/>
          <w:color w:val="000000"/>
          <w:sz w:val="20"/>
          <w:szCs w:val="20"/>
        </w:rPr>
        <w:t>rectors</w:t>
      </w:r>
      <w:r>
        <w:rPr>
          <w:rFonts w:eastAsia="Times New Roman"/>
          <w:color w:val="000000"/>
          <w:sz w:val="20"/>
          <w:szCs w:val="20"/>
        </w:rPr>
        <w:t>.</w:t>
      </w:r>
    </w:p>
    <w:p w14:paraId="1FB069F8" w14:textId="77777777" w:rsidR="00000000" w:rsidRDefault="00195E73">
      <w:pPr>
        <w:ind w:firstLine="405"/>
        <w:divId w:val="1411391579"/>
        <w:rPr>
          <w:rFonts w:eastAsia="Times New Roman"/>
        </w:rPr>
      </w:pPr>
      <w:r>
        <w:rPr>
          <w:rFonts w:eastAsia="Times New Roman"/>
          <w:b/>
          <w:bCs/>
          <w:i/>
          <w:iCs/>
          <w:color w:val="000000"/>
          <w:sz w:val="20"/>
          <w:szCs w:val="20"/>
        </w:rPr>
        <w:t>Carl C. Icah</w:t>
      </w:r>
      <w:r>
        <w:rPr>
          <w:rFonts w:eastAsia="Times New Roman"/>
          <w:b/>
          <w:bCs/>
          <w:i/>
          <w:iCs/>
          <w:color w:val="000000"/>
          <w:sz w:val="20"/>
          <w:szCs w:val="20"/>
        </w:rPr>
        <w:t>n</w:t>
      </w:r>
      <w:r>
        <w:rPr>
          <w:rFonts w:eastAsia="Times New Roman"/>
          <w:color w:val="000000"/>
          <w:sz w:val="20"/>
          <w:szCs w:val="20"/>
        </w:rPr>
        <w:t xml:space="preserve"> has served as Chairman of the Board and a director of Starfire Holding Corporation, a privately-held holding company, and Chairman of the Board and a director of various subsidiaries of Starfire, since 1984. Since August 2007, throug</w:t>
      </w:r>
      <w:r>
        <w:rPr>
          <w:rFonts w:eastAsia="Times New Roman"/>
          <w:color w:val="000000"/>
          <w:sz w:val="20"/>
          <w:szCs w:val="20"/>
        </w:rPr>
        <w:t>h his position as Chief Executive Officer of Icahn Capital LP, a wholly-owned subsidiary of Icahn Enterprises and certain related entities, Mr. Icahn’s principal occupation has been managing private investment funds, including Icahn Partners LP and Icahn P</w:t>
      </w:r>
      <w:r>
        <w:rPr>
          <w:rFonts w:eastAsia="Times New Roman"/>
          <w:color w:val="000000"/>
          <w:sz w:val="20"/>
          <w:szCs w:val="20"/>
        </w:rPr>
        <w:t xml:space="preserve">artners Master Fund LP. Since 1990, Mr. Icahn has been Chairman of the Board of Icahn Enterprises GP, the general partner of Icahn Enterprises and Icahn Enterprises Holdings. Mr. Icahn was previously: Chairman of the Board of Tropicana Entertainment Inc., </w:t>
      </w:r>
      <w:r>
        <w:rPr>
          <w:rFonts w:eastAsia="Times New Roman"/>
          <w:color w:val="000000"/>
          <w:sz w:val="20"/>
          <w:szCs w:val="20"/>
        </w:rPr>
        <w:t xml:space="preserve">a company that is primarily engaged in the business of owning and operating casinos and resorts, from 2010 until 2018; Chairman of the Board of CVR Refining, LP from 2013 to 2018; Chairman of the Board of CVR Energy, Inc., from 2012 to 2018; President and </w:t>
      </w:r>
      <w:r>
        <w:rPr>
          <w:rFonts w:eastAsia="Times New Roman"/>
          <w:color w:val="000000"/>
          <w:sz w:val="20"/>
          <w:szCs w:val="20"/>
        </w:rPr>
        <w:t xml:space="preserve">a member of the Executive Committee of XO Holdings, from 2011 to 2017, and Chairman of the Board of its predecessors, from 2003 to 2011; a director of Federal-Mogul LLC, a supplier of automotive powertrain and safety components, from 2007 to 2015, and the </w:t>
      </w:r>
      <w:r>
        <w:rPr>
          <w:rFonts w:eastAsia="Times New Roman"/>
          <w:color w:val="000000"/>
          <w:sz w:val="20"/>
          <w:szCs w:val="20"/>
        </w:rPr>
        <w:t xml:space="preserve">non-executive Chairman of the Board of Federal-Mogul LLC, from 2008 to 2015; Chairman of the Board of American Railcar Industries, Inc., a railcar manufacturing company, from 1994 to 2014; a director of American Railcar Leasing LLC, a lessor and seller of </w:t>
      </w:r>
      <w:r>
        <w:rPr>
          <w:rFonts w:eastAsia="Times New Roman"/>
          <w:color w:val="000000"/>
          <w:sz w:val="20"/>
          <w:szCs w:val="20"/>
        </w:rPr>
        <w:t>specialized railroad tank and covered hopper railcars, from 2004 to 2013; a director of WestPoint Home LLC, from 2005 to 2011; and a director of Cadus Corporation, a company engaged in the acquisition of real estate for renovation or construction and resal</w:t>
      </w:r>
      <w:r>
        <w:rPr>
          <w:rFonts w:eastAsia="Times New Roman"/>
          <w:color w:val="000000"/>
          <w:sz w:val="20"/>
          <w:szCs w:val="20"/>
        </w:rPr>
        <w:t>e, from 1993 to 2010.</w:t>
      </w:r>
      <w:r>
        <w:rPr>
          <w:rFonts w:eastAsia="Times New Roman"/>
          <w:color w:val="000000"/>
          <w:sz w:val="20"/>
          <w:szCs w:val="20"/>
        </w:rPr>
        <w:t xml:space="preserve"> </w:t>
      </w:r>
    </w:p>
    <w:p w14:paraId="4DDE12C1" w14:textId="77777777" w:rsidR="00000000" w:rsidRDefault="00195E73">
      <w:pPr>
        <w:ind w:firstLine="360"/>
        <w:jc w:val="both"/>
        <w:divId w:val="1725330198"/>
        <w:rPr>
          <w:rFonts w:eastAsia="Times New Roman"/>
        </w:rPr>
      </w:pPr>
      <w:r>
        <w:rPr>
          <w:rFonts w:eastAsia="Times New Roman"/>
          <w:color w:val="000000"/>
          <w:sz w:val="20"/>
          <w:szCs w:val="20"/>
        </w:rPr>
        <w:t>Mr. Icahn brings to his role as the Chairman of the Board his significant business experience in leadership roles as director in various companies as discussed above, including certain of our subsidiaries. In addition, Mr. Icahn is u</w:t>
      </w:r>
      <w:r>
        <w:rPr>
          <w:rFonts w:eastAsia="Times New Roman"/>
          <w:color w:val="000000"/>
          <w:sz w:val="20"/>
          <w:szCs w:val="20"/>
        </w:rPr>
        <w:t>niquely qualified based on his historical background for creating value in companies across multiple industries. Mr. Icahn has proven to be a successful investor over the past 40 years</w:t>
      </w:r>
      <w:r>
        <w:rPr>
          <w:rFonts w:eastAsia="Times New Roman"/>
          <w:color w:val="000000"/>
          <w:sz w:val="20"/>
          <w:szCs w:val="20"/>
        </w:rPr>
        <w:t>.</w:t>
      </w:r>
    </w:p>
    <w:p w14:paraId="5B8250C6" w14:textId="77777777" w:rsidR="00000000" w:rsidRDefault="00195E73">
      <w:pPr>
        <w:ind w:firstLine="360"/>
        <w:jc w:val="both"/>
        <w:divId w:val="905452476"/>
        <w:rPr>
          <w:rFonts w:eastAsia="Times New Roman"/>
        </w:rPr>
      </w:pPr>
      <w:r>
        <w:rPr>
          <w:rFonts w:eastAsia="Times New Roman"/>
          <w:b/>
          <w:bCs/>
          <w:i/>
          <w:iCs/>
          <w:color w:val="000000"/>
          <w:sz w:val="20"/>
          <w:szCs w:val="20"/>
        </w:rPr>
        <w:t>Keith Cozz</w:t>
      </w:r>
      <w:r>
        <w:rPr>
          <w:rFonts w:eastAsia="Times New Roman"/>
          <w:b/>
          <w:bCs/>
          <w:i/>
          <w:iCs/>
          <w:color w:val="000000"/>
          <w:sz w:val="20"/>
          <w:szCs w:val="20"/>
        </w:rPr>
        <w:t>a</w:t>
      </w:r>
      <w:r>
        <w:rPr>
          <w:rFonts w:eastAsia="Times New Roman"/>
          <w:color w:val="000000"/>
          <w:sz w:val="20"/>
          <w:szCs w:val="20"/>
        </w:rPr>
        <w:t xml:space="preserve"> has been the President and Chief Executive Officer of Icah</w:t>
      </w:r>
      <w:r>
        <w:rPr>
          <w:rFonts w:eastAsia="Times New Roman"/>
          <w:color w:val="000000"/>
          <w:sz w:val="20"/>
          <w:szCs w:val="20"/>
        </w:rPr>
        <w:t>n Enterprises since February 2014. In addition, Mr. Cozza has served as Chief Operating Officer of Icahn Capital LP, the subsidiary of Icahn Enterprises through which Carl C. Icahn manages investment funds, since February 2013. From February 2013 to Februa</w:t>
      </w:r>
      <w:r>
        <w:rPr>
          <w:rFonts w:eastAsia="Times New Roman"/>
          <w:color w:val="000000"/>
          <w:sz w:val="20"/>
          <w:szCs w:val="20"/>
        </w:rPr>
        <w:t>ry 2014, Mr. Cozza served as Executive Vice President of Icahn Enterprises. Mr. Cozza is also the Chief Financial Officer of Icahn Associates Holding LLC, a position he has held since 2006. Mr. Cozza has been a: director of Tenneco Inc., manufacturers of R</w:t>
      </w:r>
      <w:r>
        <w:rPr>
          <w:rFonts w:eastAsia="Times New Roman"/>
          <w:color w:val="000000"/>
          <w:sz w:val="20"/>
          <w:szCs w:val="20"/>
        </w:rPr>
        <w:t>ide Performance, Clean Air products and technology solutions for automotive and commercial vehicles, since October 2018; Chairman of the Board of Xerox Corporation, a provider of document management solutions, since May 2018; and a director of Icahn Enterp</w:t>
      </w:r>
      <w:r>
        <w:rPr>
          <w:rFonts w:eastAsia="Times New Roman"/>
          <w:color w:val="000000"/>
          <w:sz w:val="20"/>
          <w:szCs w:val="20"/>
        </w:rPr>
        <w:t>rises since September 2012. In addition, Mr. Cozza serves as a director of certain wholly-owned subsidiaries of Icahn Enterprises, including: Icahn Automotive Group LLC and PSC Metals, LLC. Mr. Cozza was previously: a director of Federal-Mogul LLC, a suppl</w:t>
      </w:r>
      <w:r>
        <w:rPr>
          <w:rFonts w:eastAsia="Times New Roman"/>
          <w:color w:val="000000"/>
          <w:sz w:val="20"/>
          <w:szCs w:val="20"/>
        </w:rPr>
        <w:t>ier of automotive powertrain and safety components, until October 2018; a director of Tropicana Entertainment Inc., a</w:t>
      </w:r>
      <w:r>
        <w:rPr>
          <w:rFonts w:eastAsia="Times New Roman"/>
          <w:color w:val="000000"/>
          <w:sz w:val="20"/>
          <w:szCs w:val="20"/>
        </w:rPr>
        <w:t xml:space="preserve"> </w:t>
      </w:r>
    </w:p>
    <w:p w14:paraId="3161B3E4" w14:textId="77777777" w:rsidR="00000000" w:rsidRDefault="00195E73">
      <w:pPr>
        <w:jc w:val="center"/>
        <w:divId w:val="2102333686"/>
        <w:rPr>
          <w:rFonts w:eastAsia="Times New Roman"/>
        </w:rPr>
      </w:pPr>
      <w:r>
        <w:rPr>
          <w:rFonts w:eastAsia="Times New Roman"/>
          <w:color w:val="000000"/>
          <w:sz w:val="20"/>
          <w:szCs w:val="20"/>
        </w:rPr>
        <w:t>11</w:t>
      </w:r>
      <w:r>
        <w:rPr>
          <w:rFonts w:eastAsia="Times New Roman"/>
          <w:color w:val="000000"/>
          <w:sz w:val="20"/>
          <w:szCs w:val="20"/>
        </w:rPr>
        <w:t>7</w:t>
      </w:r>
    </w:p>
    <w:p w14:paraId="0C3F0441" w14:textId="77777777" w:rsidR="00000000" w:rsidRDefault="00195E73">
      <w:pPr>
        <w:rPr>
          <w:rFonts w:eastAsia="Times New Roman"/>
        </w:rPr>
      </w:pPr>
      <w:r>
        <w:rPr>
          <w:rFonts w:eastAsia="Times New Roman"/>
        </w:rPr>
        <w:pict w14:anchorId="1E9F6FFB">
          <v:rect id="_x0000_i1143" style="width:0;height:1.5pt" o:hralign="center" o:hrstd="t" o:hr="t" fillcolor="#a0a0a0" stroked="f"/>
        </w:pict>
      </w:r>
    </w:p>
    <w:p w14:paraId="6892DD98" w14:textId="77777777" w:rsidR="00000000" w:rsidRDefault="00195E73">
      <w:pPr>
        <w:divId w:val="1286276544"/>
        <w:rPr>
          <w:rFonts w:eastAsia="Times New Roman"/>
        </w:rPr>
      </w:pPr>
    </w:p>
    <w:p w14:paraId="654C01F5" w14:textId="77777777" w:rsidR="00000000" w:rsidRDefault="00195E73">
      <w:pPr>
        <w:jc w:val="both"/>
        <w:divId w:val="1757050040"/>
        <w:rPr>
          <w:rFonts w:eastAsia="Times New Roman"/>
        </w:rPr>
      </w:pPr>
      <w:r>
        <w:rPr>
          <w:rFonts w:eastAsia="Times New Roman"/>
          <w:color w:val="000000"/>
          <w:sz w:val="20"/>
          <w:szCs w:val="20"/>
        </w:rPr>
        <w:t>company that is primarily engaged in the business of owning and operating casinos and resorts, from February 2014 until October 2018; a director of Herbalife Ltd., a nutrition company, from April 2013 until April 2018;</w:t>
      </w:r>
      <w:r>
        <w:rPr>
          <w:rFonts w:eastAsia="Times New Roman"/>
          <w:color w:val="000000"/>
          <w:sz w:val="20"/>
          <w:szCs w:val="20"/>
        </w:rPr>
        <w:t xml:space="preserve"> a member of the Executive Committee of American Railcar Leasing LLC, a lessor and seller of specialized railroad tank and covered hopper railcars, from June 2014 to June 2017; a director of FCX Oil &amp; Gas Inc., a wholly-owned subsidiary of Freeport-McMoRan</w:t>
      </w:r>
      <w:r>
        <w:rPr>
          <w:rFonts w:eastAsia="Times New Roman"/>
          <w:color w:val="000000"/>
          <w:sz w:val="20"/>
          <w:szCs w:val="20"/>
        </w:rPr>
        <w:t xml:space="preserve"> Inc., from October 2015 to April 2016; a director of CVR Refining, LP from January 2013 to February 2014; and a director of MGM Holdings Inc., an entertainment company focused on the production and distribution of film and television content, from April 2</w:t>
      </w:r>
      <w:r>
        <w:rPr>
          <w:rFonts w:eastAsia="Times New Roman"/>
          <w:color w:val="000000"/>
          <w:sz w:val="20"/>
          <w:szCs w:val="20"/>
        </w:rPr>
        <w:t>012 to August 2012. Icahn Enterprises, Icahn Automotive Group LLC, PSC Metals, LLC and CVR Refining, LP each are indirectly controlled by Carl C. Icahn, and Federal-Mogul LLC, Tropicana Entertainment Inc. and American Railcar Leasing LLC were previously in</w:t>
      </w:r>
      <w:r>
        <w:rPr>
          <w:rFonts w:eastAsia="Times New Roman"/>
          <w:color w:val="000000"/>
          <w:sz w:val="20"/>
          <w:szCs w:val="20"/>
        </w:rPr>
        <w:t>directly controlled by Mr. Icahn. Mr. Icahn has or previously had non-controlling interests in Tenneco Inc., Xerox Corporation, Herbalife Ltd., Freeport-McMoRan, and MGM Holdings through the ownership of securities.</w:t>
      </w:r>
      <w:r>
        <w:rPr>
          <w:rFonts w:eastAsia="Times New Roman"/>
          <w:color w:val="000000"/>
          <w:sz w:val="20"/>
          <w:szCs w:val="20"/>
        </w:rPr>
        <w:t xml:space="preserve"> </w:t>
      </w:r>
    </w:p>
    <w:p w14:paraId="2FF409DE" w14:textId="77777777" w:rsidR="00000000" w:rsidRDefault="00195E73">
      <w:pPr>
        <w:ind w:firstLine="360"/>
        <w:jc w:val="both"/>
        <w:divId w:val="1760517270"/>
        <w:rPr>
          <w:rFonts w:eastAsia="Times New Roman"/>
        </w:rPr>
      </w:pPr>
      <w:r>
        <w:rPr>
          <w:rFonts w:eastAsia="Times New Roman"/>
          <w:color w:val="000000"/>
          <w:sz w:val="20"/>
          <w:szCs w:val="20"/>
        </w:rPr>
        <w:t>Mr. Cozza brings to his service as a director his significant experience in leadership roles as director of various companies as discussed above. In particular, his experience as Chief Financial Officer of Icahn Associates Holding LLC enables him to unders</w:t>
      </w:r>
      <w:r>
        <w:rPr>
          <w:rFonts w:eastAsia="Times New Roman"/>
          <w:color w:val="000000"/>
          <w:sz w:val="20"/>
          <w:szCs w:val="20"/>
        </w:rPr>
        <w:t>tand the complex business and financial issues that we may face</w:t>
      </w:r>
      <w:r>
        <w:rPr>
          <w:rFonts w:eastAsia="Times New Roman"/>
          <w:color w:val="000000"/>
          <w:sz w:val="20"/>
          <w:szCs w:val="20"/>
        </w:rPr>
        <w:t>.</w:t>
      </w:r>
    </w:p>
    <w:p w14:paraId="402B58C6" w14:textId="77777777" w:rsidR="00000000" w:rsidRDefault="00195E73">
      <w:pPr>
        <w:ind w:firstLine="360"/>
        <w:jc w:val="both"/>
        <w:divId w:val="258296399"/>
        <w:rPr>
          <w:rFonts w:eastAsia="Times New Roman"/>
        </w:rPr>
      </w:pPr>
      <w:r>
        <w:rPr>
          <w:rFonts w:eastAsia="Times New Roman"/>
          <w:b/>
          <w:bCs/>
          <w:i/>
          <w:iCs/>
          <w:color w:val="000000"/>
          <w:sz w:val="20"/>
          <w:szCs w:val="20"/>
        </w:rPr>
        <w:t>SungHwan Ch</w:t>
      </w:r>
      <w:r>
        <w:rPr>
          <w:rFonts w:eastAsia="Times New Roman"/>
          <w:b/>
          <w:bCs/>
          <w:i/>
          <w:iCs/>
          <w:color w:val="000000"/>
          <w:sz w:val="20"/>
          <w:szCs w:val="20"/>
        </w:rPr>
        <w:t>o</w:t>
      </w:r>
      <w:r>
        <w:rPr>
          <w:rFonts w:eastAsia="Times New Roman"/>
          <w:color w:val="000000"/>
          <w:sz w:val="20"/>
          <w:szCs w:val="20"/>
        </w:rPr>
        <w:t xml:space="preserve"> has served as Chief Financial Officer of Icahn Enterprises since March 2012. Prior to that time, he was Senior Vice President and previously Portfolio Company Associate at Icahn </w:t>
      </w:r>
      <w:r>
        <w:rPr>
          <w:rFonts w:eastAsia="Times New Roman"/>
          <w:color w:val="000000"/>
          <w:sz w:val="20"/>
          <w:szCs w:val="20"/>
        </w:rPr>
        <w:t>Enterprises since October 2006. Mr. Cho has been a director of: Hertz Global Holdings, Inc., a company engaged in the car rental business, since May 2017; Ferrous Resources Ltd since June 2015; Icahn Enterprises since September 2012; and CVR Energy, Inc. s</w:t>
      </w:r>
      <w:r>
        <w:rPr>
          <w:rFonts w:eastAsia="Times New Roman"/>
          <w:color w:val="000000"/>
          <w:sz w:val="20"/>
          <w:szCs w:val="20"/>
        </w:rPr>
        <w:t>ince May 2012 (and has been Chairman of the Board of CVR Energy, Inc. since June 2018). In addition, Mr. Cho serves as a director of certain wholly-owned subsidiaries of Icahn Enterprises, including: Icahn Automotive Group LLC; PSC Metals, LLC; and WestPoi</w:t>
      </w:r>
      <w:r>
        <w:rPr>
          <w:rFonts w:eastAsia="Times New Roman"/>
          <w:color w:val="000000"/>
          <w:sz w:val="20"/>
          <w:szCs w:val="20"/>
        </w:rPr>
        <w:t>nt Home LLC. Mr. Cho was previously: a member of the Executive Committee of American Railcar Leasing LLC, a lessor an seller of specialized railroad tank and covered hopper railcars, from September 2013 to June 2017; a director of CVR Partners, LP from May</w:t>
      </w:r>
      <w:r>
        <w:rPr>
          <w:rFonts w:eastAsia="Times New Roman"/>
          <w:color w:val="000000"/>
          <w:sz w:val="20"/>
          <w:szCs w:val="20"/>
        </w:rPr>
        <w:t xml:space="preserve"> 2012 to April 2017; a director of Viskase Companies, Inc. from November 2006 to April 2017; a director of Take-Two Interactive Software Inc., a publisher of interactive entertainment products, from April 2010 to November 2013; a director (from June 2011) </w:t>
      </w:r>
      <w:r>
        <w:rPr>
          <w:rFonts w:eastAsia="Times New Roman"/>
          <w:color w:val="000000"/>
          <w:sz w:val="20"/>
          <w:szCs w:val="20"/>
        </w:rPr>
        <w:t>and Chairman of the Board (from July 2014) of American Railcar Industries, Inc., a railcar manufacturing company, until December 2018; a director of Federal-Mogul LLC, a supplier of automotive powertrain and safety components, until October 2018; and a dir</w:t>
      </w:r>
      <w:r>
        <w:rPr>
          <w:rFonts w:eastAsia="Times New Roman"/>
          <w:color w:val="000000"/>
          <w:sz w:val="20"/>
          <w:szCs w:val="20"/>
        </w:rPr>
        <w:t xml:space="preserve">ector (from January 2013) and Chairman of the Board (from June 2018) of CVR Refining, LP Ferrous Resources Ltd, Icahn Enterprises, CVR Energy, Inc., Icahn Automotive Group LLC, PSC Metals, LLC, WestPoint Home LLC, CVR Partners, LP, Viskase Companies, Inc. </w:t>
      </w:r>
      <w:r>
        <w:rPr>
          <w:rFonts w:eastAsia="Times New Roman"/>
          <w:color w:val="000000"/>
          <w:sz w:val="20"/>
          <w:szCs w:val="20"/>
        </w:rPr>
        <w:t>and CVR Refining, LP each are indirectly controlled by Carl C. Icahn, and American Railcar Industries, Inc., Federal-Mogul LLC and American Railcar Leasing LLC were previously indirectly controlled by Mr. Icahn. Mr. Icahn has or previously had a non-contro</w:t>
      </w:r>
      <w:r>
        <w:rPr>
          <w:rFonts w:eastAsia="Times New Roman"/>
          <w:color w:val="000000"/>
          <w:sz w:val="20"/>
          <w:szCs w:val="20"/>
        </w:rPr>
        <w:t>lling interest in each of Hertz Global Holdings and Take-Two Interactive Software through the ownership of securities</w:t>
      </w:r>
      <w:r>
        <w:rPr>
          <w:rFonts w:eastAsia="Times New Roman"/>
          <w:color w:val="000000"/>
          <w:sz w:val="20"/>
          <w:szCs w:val="20"/>
        </w:rPr>
        <w:t>.</w:t>
      </w:r>
    </w:p>
    <w:p w14:paraId="59F97693" w14:textId="77777777" w:rsidR="00000000" w:rsidRDefault="00195E73">
      <w:pPr>
        <w:ind w:firstLine="360"/>
        <w:jc w:val="both"/>
        <w:divId w:val="1217280438"/>
        <w:rPr>
          <w:rFonts w:eastAsia="Times New Roman"/>
        </w:rPr>
      </w:pPr>
      <w:r>
        <w:rPr>
          <w:rFonts w:eastAsia="Times New Roman"/>
          <w:color w:val="000000"/>
          <w:sz w:val="20"/>
          <w:szCs w:val="20"/>
        </w:rPr>
        <w:t xml:space="preserve">Mr. Cho brings to his service as a director his significant experience in leadership roles as director of various companies as discussed </w:t>
      </w:r>
      <w:r>
        <w:rPr>
          <w:rFonts w:eastAsia="Times New Roman"/>
          <w:color w:val="000000"/>
          <w:sz w:val="20"/>
          <w:szCs w:val="20"/>
        </w:rPr>
        <w:t>above. In particular, his service as Chief Financial Officer of Icahn Enterprises and Icahn Enterprises Holdings enables him to understand the complex business and financial issues that we may face</w:t>
      </w:r>
      <w:r>
        <w:rPr>
          <w:rFonts w:eastAsia="Times New Roman"/>
          <w:color w:val="000000"/>
          <w:sz w:val="20"/>
          <w:szCs w:val="20"/>
        </w:rPr>
        <w:t>.</w:t>
      </w:r>
    </w:p>
    <w:p w14:paraId="5246CCA7" w14:textId="77777777" w:rsidR="00000000" w:rsidRDefault="00195E73">
      <w:pPr>
        <w:ind w:firstLine="405"/>
        <w:divId w:val="96801642"/>
        <w:rPr>
          <w:rFonts w:eastAsia="Times New Roman"/>
        </w:rPr>
      </w:pPr>
      <w:r>
        <w:rPr>
          <w:rFonts w:eastAsia="Times New Roman"/>
          <w:b/>
          <w:bCs/>
          <w:i/>
          <w:iCs/>
          <w:color w:val="000000"/>
          <w:sz w:val="20"/>
          <w:szCs w:val="20"/>
        </w:rPr>
        <w:t>Peter Rec</w:t>
      </w:r>
      <w:r>
        <w:rPr>
          <w:rFonts w:eastAsia="Times New Roman"/>
          <w:b/>
          <w:bCs/>
          <w:i/>
          <w:iCs/>
          <w:color w:val="000000"/>
          <w:sz w:val="20"/>
          <w:szCs w:val="20"/>
        </w:rPr>
        <w:t>k</w:t>
      </w:r>
      <w:r>
        <w:rPr>
          <w:rFonts w:eastAsia="Times New Roman"/>
          <w:color w:val="000000"/>
          <w:sz w:val="20"/>
          <w:szCs w:val="20"/>
        </w:rPr>
        <w:t xml:space="preserve"> has served as Chief Accounting Officer of Icah</w:t>
      </w:r>
      <w:r>
        <w:rPr>
          <w:rFonts w:eastAsia="Times New Roman"/>
          <w:color w:val="000000"/>
          <w:sz w:val="20"/>
          <w:szCs w:val="20"/>
        </w:rPr>
        <w:t xml:space="preserve">n Enterprises since March 2012, and as its Secretary since April 2012. Mr. Reck was Controller of Icahn Enterprises and Icahn Enterprises Holdings from November 2005 to March 2012. Mr. Reck has served as director of: Icahn Automotive Group LLC since 2017; </w:t>
      </w:r>
      <w:r>
        <w:rPr>
          <w:rFonts w:eastAsia="Times New Roman"/>
          <w:color w:val="000000"/>
          <w:sz w:val="20"/>
          <w:szCs w:val="20"/>
        </w:rPr>
        <w:t>The Pep Boys - Manny, Moe &amp; Jack, since February 2016; and Viskase Companies, Inc. since March 2012. Previously, Mr. Reck served as Controller of Family Office and Treasurer of Philanthropies for Bromor Management, the Family Office of Charles Bronfman. Mr</w:t>
      </w:r>
      <w:r>
        <w:rPr>
          <w:rFonts w:eastAsia="Times New Roman"/>
          <w:color w:val="000000"/>
          <w:sz w:val="20"/>
          <w:szCs w:val="20"/>
        </w:rPr>
        <w:t>. Reck also served as Controller for the Bank of Uruguay and worked at KPMG LLP in their audit practice</w:t>
      </w:r>
      <w:r>
        <w:rPr>
          <w:rFonts w:eastAsia="Times New Roman"/>
          <w:color w:val="000000"/>
          <w:sz w:val="20"/>
          <w:szCs w:val="20"/>
        </w:rPr>
        <w:t>.</w:t>
      </w:r>
    </w:p>
    <w:p w14:paraId="0126080D" w14:textId="77777777" w:rsidR="00000000" w:rsidRDefault="00195E73">
      <w:pPr>
        <w:ind w:firstLine="405"/>
        <w:divId w:val="1652060098"/>
        <w:rPr>
          <w:rFonts w:eastAsia="Times New Roman"/>
        </w:rPr>
      </w:pPr>
      <w:r>
        <w:rPr>
          <w:rFonts w:eastAsia="Times New Roman"/>
          <w:b/>
          <w:bCs/>
          <w:i/>
          <w:iCs/>
          <w:color w:val="000000"/>
          <w:sz w:val="20"/>
          <w:szCs w:val="20"/>
        </w:rPr>
        <w:t>Michael Nevin</w:t>
      </w:r>
      <w:r>
        <w:rPr>
          <w:rFonts w:eastAsia="Times New Roman"/>
          <w:b/>
          <w:bCs/>
          <w:i/>
          <w:iCs/>
          <w:color w:val="000000"/>
          <w:sz w:val="20"/>
          <w:szCs w:val="20"/>
        </w:rPr>
        <w:t xml:space="preserve"> </w:t>
      </w:r>
      <w:r>
        <w:rPr>
          <w:rFonts w:eastAsia="Times New Roman"/>
          <w:color w:val="000000"/>
          <w:sz w:val="20"/>
          <w:szCs w:val="20"/>
        </w:rPr>
        <w:t>has served as a director of Icahn Enterprises’ general partner, Icahn Enterprises GP, since December 2018 and has served as Managing Dire</w:t>
      </w:r>
      <w:r>
        <w:rPr>
          <w:rFonts w:eastAsia="Times New Roman"/>
          <w:color w:val="000000"/>
          <w:sz w:val="20"/>
          <w:szCs w:val="20"/>
        </w:rPr>
        <w:t>ctor from June 2018 until August 2019. In addition, Mr. Nevin has served as Chief Financial Officer of Icahn Automotive Group LLC since February 2019. From July 2015 to June 2018, Mr. Nevin served as a Financial Analyst at Icahn Enterprises. Prior to joini</w:t>
      </w:r>
      <w:r>
        <w:rPr>
          <w:rFonts w:eastAsia="Times New Roman"/>
          <w:color w:val="000000"/>
          <w:sz w:val="20"/>
          <w:szCs w:val="20"/>
        </w:rPr>
        <w:t xml:space="preserve">ng Icahn Enterprises, Mr. Nevin was employed by Jefferies LLC as a Research Analyst from 2014 to 2015 covering the utilities sector. Mr. Nevin was also employed by JP Morgan Investment Bank in various roles from 2009 to 2014, most recently as an Associate </w:t>
      </w:r>
      <w:r>
        <w:rPr>
          <w:rFonts w:eastAsia="Times New Roman"/>
          <w:color w:val="000000"/>
          <w:sz w:val="20"/>
          <w:szCs w:val="20"/>
        </w:rPr>
        <w:t xml:space="preserve">from 2012 to 2014. Mr. Nevin is married to the daughter of Carl C. Icahn, the Chairman of the Board of Icahn Enterprises. Mr. Nevin has been a director of: Viskase Companies, Inc. since April 2017; and Conduent Incorporated, a provider of business process </w:t>
      </w:r>
      <w:r>
        <w:rPr>
          <w:rFonts w:eastAsia="Times New Roman"/>
          <w:color w:val="000000"/>
          <w:sz w:val="20"/>
          <w:szCs w:val="20"/>
        </w:rPr>
        <w:t>outsourcing services, since December 2016. Icahn Enterprises has a non-controlling interest in Conduent through the ownership of securities. Mr. Nevin was previously: a director of Ferrous Resources Ltd, an iron ore mining company, from December 2016 throu</w:t>
      </w:r>
      <w:r>
        <w:rPr>
          <w:rFonts w:eastAsia="Times New Roman"/>
          <w:color w:val="000000"/>
          <w:sz w:val="20"/>
          <w:szCs w:val="20"/>
        </w:rPr>
        <w:t>gh its sale in August 2019; a director of American Railcar Industries, Inc., a railcar manufacturing company, from February 2017 through its sale in December 2018; and a director of Federal-Mogul LLC, a supplier of automotive powertrain and safety componen</w:t>
      </w:r>
      <w:r>
        <w:rPr>
          <w:rFonts w:eastAsia="Times New Roman"/>
          <w:color w:val="000000"/>
          <w:sz w:val="20"/>
          <w:szCs w:val="20"/>
        </w:rPr>
        <w:t>ts, from February 2016 through its sale in October 2018. Ferrous Resources Ltd., American Railcar Industries, Inc. and Federal-Mogul LLC were previously indirectly controlled by Mr. Icahn.</w:t>
      </w:r>
      <w:r>
        <w:rPr>
          <w:rFonts w:eastAsia="Times New Roman"/>
          <w:color w:val="000000"/>
          <w:sz w:val="20"/>
          <w:szCs w:val="20"/>
        </w:rPr>
        <w:t xml:space="preserve"> </w:t>
      </w:r>
    </w:p>
    <w:p w14:paraId="2B0F84FC" w14:textId="77777777" w:rsidR="00000000" w:rsidRDefault="00195E73">
      <w:pPr>
        <w:jc w:val="center"/>
        <w:divId w:val="44764309"/>
        <w:rPr>
          <w:rFonts w:eastAsia="Times New Roman"/>
        </w:rPr>
      </w:pPr>
      <w:r>
        <w:rPr>
          <w:rFonts w:eastAsia="Times New Roman"/>
          <w:color w:val="000000"/>
          <w:sz w:val="20"/>
          <w:szCs w:val="20"/>
        </w:rPr>
        <w:t>11</w:t>
      </w:r>
      <w:r>
        <w:rPr>
          <w:rFonts w:eastAsia="Times New Roman"/>
          <w:color w:val="000000"/>
          <w:sz w:val="20"/>
          <w:szCs w:val="20"/>
        </w:rPr>
        <w:t>8</w:t>
      </w:r>
    </w:p>
    <w:p w14:paraId="0D6D7C1C" w14:textId="77777777" w:rsidR="00000000" w:rsidRDefault="00195E73">
      <w:pPr>
        <w:rPr>
          <w:rFonts w:eastAsia="Times New Roman"/>
        </w:rPr>
      </w:pPr>
      <w:r>
        <w:rPr>
          <w:rFonts w:eastAsia="Times New Roman"/>
        </w:rPr>
        <w:pict w14:anchorId="6597BBEF">
          <v:rect id="_x0000_i1144" style="width:0;height:1.5pt" o:hralign="center" o:hrstd="t" o:hr="t" fillcolor="#a0a0a0" stroked="f"/>
        </w:pict>
      </w:r>
    </w:p>
    <w:p w14:paraId="3C3F04DE" w14:textId="77777777" w:rsidR="00000000" w:rsidRDefault="00195E73">
      <w:pPr>
        <w:divId w:val="1522625588"/>
        <w:rPr>
          <w:rFonts w:eastAsia="Times New Roman"/>
        </w:rPr>
      </w:pPr>
    </w:p>
    <w:p w14:paraId="58AA8DCE" w14:textId="77777777" w:rsidR="00000000" w:rsidRDefault="00195E73">
      <w:pPr>
        <w:ind w:firstLine="405"/>
        <w:divId w:val="1634602609"/>
        <w:rPr>
          <w:rFonts w:eastAsia="Times New Roman"/>
        </w:rPr>
      </w:pPr>
      <w:r>
        <w:rPr>
          <w:rFonts w:eastAsia="Times New Roman"/>
          <w:b/>
          <w:bCs/>
          <w:i/>
          <w:iCs/>
          <w:color w:val="000000"/>
          <w:sz w:val="20"/>
          <w:szCs w:val="20"/>
        </w:rPr>
        <w:t>Denise Barto</w:t>
      </w:r>
      <w:r>
        <w:rPr>
          <w:rFonts w:eastAsia="Times New Roman"/>
          <w:b/>
          <w:bCs/>
          <w:i/>
          <w:iCs/>
          <w:color w:val="000000"/>
          <w:sz w:val="20"/>
          <w:szCs w:val="20"/>
        </w:rPr>
        <w:t>n</w:t>
      </w:r>
      <w:r>
        <w:rPr>
          <w:rFonts w:eastAsia="Times New Roman"/>
          <w:color w:val="000000"/>
          <w:sz w:val="20"/>
          <w:szCs w:val="20"/>
        </w:rPr>
        <w:t xml:space="preserve"> has served</w:t>
      </w:r>
      <w:r>
        <w:rPr>
          <w:rFonts w:eastAsia="Times New Roman"/>
          <w:color w:val="000000"/>
          <w:sz w:val="20"/>
          <w:szCs w:val="20"/>
        </w:rPr>
        <w:t xml:space="preserve"> as a director of Icahn Enterprises’ general partner, Icahn Enterprises GP, since September 2019 and is a member of our audit committee. Ms. Barton has served on the board of directors and audit committee for Viskase Companies, Inc., a subsidiary of Icahn </w:t>
      </w:r>
      <w:r>
        <w:rPr>
          <w:rFonts w:eastAsia="Times New Roman"/>
          <w:color w:val="000000"/>
          <w:sz w:val="20"/>
          <w:szCs w:val="20"/>
        </w:rPr>
        <w:t>Enterprises, since May 2016 and served on the board of directors and audit committee for Trump Entertainment Resorts, Inc., a subsidiary of Icahn Enterprises, from February 2016 through June 2017. Ms. Barton served as a member of the Operating Executive Bo</w:t>
      </w:r>
      <w:r>
        <w:rPr>
          <w:rFonts w:eastAsia="Times New Roman"/>
          <w:color w:val="000000"/>
          <w:sz w:val="20"/>
          <w:szCs w:val="20"/>
        </w:rPr>
        <w:t>ard of Gotham Private Equity Partners, LP, a New York based merchant banking firm, from March 2010 through January 2014. Ms. Barton served as the Chief Financial Officer for Land Holdings I, LLC, a company formed to develop, own and operate the Scarlet Pea</w:t>
      </w:r>
      <w:r>
        <w:rPr>
          <w:rFonts w:eastAsia="Times New Roman"/>
          <w:color w:val="000000"/>
          <w:sz w:val="20"/>
          <w:szCs w:val="20"/>
        </w:rPr>
        <w:t>rl Casino Resort, from March 2012 through March 2017. In addition, Ms. Barton has over 15 years’ experience in public accounting and has served as Chief Financial Officer in both public and private companies. Ms. Barton is a certified public accountant and</w:t>
      </w:r>
      <w:r>
        <w:rPr>
          <w:rFonts w:eastAsia="Times New Roman"/>
          <w:color w:val="000000"/>
          <w:sz w:val="20"/>
          <w:szCs w:val="20"/>
        </w:rPr>
        <w:t xml:space="preserve"> has been licensed by the Nevada State Gaming Control Commission, the New Jersey Casino Control Commission and the Mississippi Gaming Commission.</w:t>
      </w:r>
      <w:r>
        <w:rPr>
          <w:rFonts w:eastAsia="Times New Roman"/>
          <w:color w:val="000000"/>
          <w:sz w:val="20"/>
          <w:szCs w:val="20"/>
        </w:rPr>
        <w:t xml:space="preserve"> </w:t>
      </w:r>
    </w:p>
    <w:p w14:paraId="220EEF34" w14:textId="77777777" w:rsidR="00000000" w:rsidRDefault="00195E73">
      <w:pPr>
        <w:ind w:firstLine="405"/>
        <w:divId w:val="114063964"/>
        <w:rPr>
          <w:rFonts w:eastAsia="Times New Roman"/>
        </w:rPr>
      </w:pPr>
      <w:r>
        <w:rPr>
          <w:rFonts w:eastAsia="Times New Roman"/>
          <w:b/>
          <w:bCs/>
          <w:i/>
          <w:iCs/>
          <w:color w:val="000000"/>
          <w:sz w:val="20"/>
          <w:szCs w:val="20"/>
        </w:rPr>
        <w:t>Alvin B. Krongar</w:t>
      </w:r>
      <w:r>
        <w:rPr>
          <w:rFonts w:eastAsia="Times New Roman"/>
          <w:b/>
          <w:bCs/>
          <w:i/>
          <w:iCs/>
          <w:color w:val="000000"/>
          <w:sz w:val="20"/>
          <w:szCs w:val="20"/>
        </w:rPr>
        <w:t>d</w:t>
      </w:r>
      <w:r>
        <w:rPr>
          <w:rFonts w:eastAsia="Times New Roman"/>
          <w:color w:val="000000"/>
          <w:sz w:val="20"/>
          <w:szCs w:val="20"/>
        </w:rPr>
        <w:t xml:space="preserve"> has served as a director of Icahn Enterprises’ general partner, Icahn Enterprises GP, since</w:t>
      </w:r>
      <w:r>
        <w:rPr>
          <w:rFonts w:eastAsia="Times New Roman"/>
          <w:color w:val="000000"/>
          <w:sz w:val="20"/>
          <w:szCs w:val="20"/>
        </w:rPr>
        <w:t xml:space="preserve"> March 2019 and is a member of our audit committee. Mr. Krongard currently serves as the lead independent director and chairman of the audit committee of the board of directors of Under Armour, Inc., as a director and chairman of the corporate governance c</w:t>
      </w:r>
      <w:r>
        <w:rPr>
          <w:rFonts w:eastAsia="Times New Roman"/>
          <w:color w:val="000000"/>
          <w:sz w:val="20"/>
          <w:szCs w:val="20"/>
        </w:rPr>
        <w:t>ommittee and the investment committee of the board of directors of Iridium Communications Inc., and as a director and a member of the audit committee of the board of directors of Apollo Global Management, LLC. He served as Executive Director of the Central</w:t>
      </w:r>
      <w:r>
        <w:rPr>
          <w:rFonts w:eastAsia="Times New Roman"/>
          <w:color w:val="000000"/>
          <w:sz w:val="20"/>
          <w:szCs w:val="20"/>
        </w:rPr>
        <w:t xml:space="preserve"> Intelligence Agency from 2001 to 2004 and as counselor to the Director of the Central Intelligence Agency from 2000 to 2001. Mr. Krongard previously served in various capacities at Alex.Brown, Incorporated, including serving as Chief Executive Officer beg</w:t>
      </w:r>
      <w:r>
        <w:rPr>
          <w:rFonts w:eastAsia="Times New Roman"/>
          <w:color w:val="000000"/>
          <w:sz w:val="20"/>
          <w:szCs w:val="20"/>
        </w:rPr>
        <w:t>inning in 1991 and assuming additional duties as Chairman of the board of directors in 1994. Upon the merger of Alex.Brown with Bankers Trust Corporation in 1997, Mr. Krongard became Vice Chairman of the Board of Bankers Trust and served in such capacity u</w:t>
      </w:r>
      <w:r>
        <w:rPr>
          <w:rFonts w:eastAsia="Times New Roman"/>
          <w:color w:val="000000"/>
          <w:sz w:val="20"/>
          <w:szCs w:val="20"/>
        </w:rPr>
        <w:t>ntil joining the Central Intelligence Agency in 1998.</w:t>
      </w:r>
      <w:r>
        <w:rPr>
          <w:rFonts w:eastAsia="Times New Roman"/>
          <w:color w:val="000000"/>
          <w:sz w:val="20"/>
          <w:szCs w:val="20"/>
        </w:rPr>
        <w:t xml:space="preserve"> </w:t>
      </w:r>
    </w:p>
    <w:p w14:paraId="31FB6FCA" w14:textId="77777777" w:rsidR="00000000" w:rsidRDefault="00195E73">
      <w:pPr>
        <w:ind w:firstLine="405"/>
        <w:divId w:val="1127429107"/>
        <w:rPr>
          <w:rFonts w:eastAsia="Times New Roman"/>
        </w:rPr>
      </w:pPr>
      <w:r>
        <w:rPr>
          <w:rFonts w:eastAsia="Times New Roman"/>
          <w:b/>
          <w:bCs/>
          <w:i/>
          <w:iCs/>
          <w:color w:val="000000"/>
          <w:sz w:val="20"/>
          <w:szCs w:val="20"/>
        </w:rPr>
        <w:t>Jack G. Wasserma</w:t>
      </w:r>
      <w:r>
        <w:rPr>
          <w:rFonts w:eastAsia="Times New Roman"/>
          <w:b/>
          <w:bCs/>
          <w:i/>
          <w:iCs/>
          <w:color w:val="000000"/>
          <w:sz w:val="20"/>
          <w:szCs w:val="20"/>
        </w:rPr>
        <w:t>n</w:t>
      </w:r>
      <w:r>
        <w:rPr>
          <w:rFonts w:eastAsia="Times New Roman"/>
          <w:color w:val="000000"/>
          <w:sz w:val="20"/>
          <w:szCs w:val="20"/>
        </w:rPr>
        <w:t xml:space="preserve"> has served as a director of Icahn Enterprises’ general partner, Icahn Enterprises GP, since December 1993 and is the chairman of our audit committee. Mr. Wasserman has been a director</w:t>
      </w:r>
      <w:r>
        <w:rPr>
          <w:rFonts w:eastAsia="Times New Roman"/>
          <w:color w:val="000000"/>
          <w:sz w:val="20"/>
          <w:szCs w:val="20"/>
        </w:rPr>
        <w:t xml:space="preserve"> of Cadus Corporation, a company engaged in the acquisition of real estate for renovation or construction and resale, a company controlled by Mr. Icahn, since December 1998. Mr. Wasserman has served Icahn Enterprises’ subsidiaries as a director of IEH Auto</w:t>
      </w:r>
      <w:r>
        <w:rPr>
          <w:rFonts w:eastAsia="Times New Roman"/>
          <w:color w:val="000000"/>
          <w:sz w:val="20"/>
          <w:szCs w:val="20"/>
        </w:rPr>
        <w:t xml:space="preserve"> Parts LLC since June 2015 and as a director and member of the audit committee of Trump Entertainment Resorts, Inc. since February 2016. Mr. Wasserman has been engaged in the practice of law as a sole practitioner, since September 2001. Mr. Wasserman previ</w:t>
      </w:r>
      <w:r>
        <w:rPr>
          <w:rFonts w:eastAsia="Times New Roman"/>
          <w:color w:val="000000"/>
          <w:sz w:val="20"/>
          <w:szCs w:val="20"/>
        </w:rPr>
        <w:t>ously served as: a director of Wendy’s, a franchisor of the Wendy’s restaurant system, as the chairman of the ERISA committee of Wendy’s and as a member of the audit and compensation committees of Wendy’s, from March 2004 to June 2015; a director and chair</w:t>
      </w:r>
      <w:r>
        <w:rPr>
          <w:rFonts w:eastAsia="Times New Roman"/>
          <w:color w:val="000000"/>
          <w:sz w:val="20"/>
          <w:szCs w:val="20"/>
        </w:rPr>
        <w:t>man of the audit committee of American Entertainment Properties Corp. a subsidiary of Icahn Enterprises, from December 2003 to March 2013; and a senior partner of Wasserman, Schneider, Babb &amp; Reed, a New York-based law firm, and its predecessors, from 1966</w:t>
      </w:r>
      <w:r>
        <w:rPr>
          <w:rFonts w:eastAsia="Times New Roman"/>
          <w:color w:val="000000"/>
          <w:sz w:val="20"/>
          <w:szCs w:val="20"/>
        </w:rPr>
        <w:t xml:space="preserve"> until 2001. He is a current and past director of numerous not-for-profit organizations. Mr. Wasserman is an attorney and a member of the Bars of New York, Florida and the District of Columbia</w:t>
      </w:r>
      <w:r>
        <w:rPr>
          <w:rFonts w:eastAsia="Times New Roman"/>
          <w:color w:val="000000"/>
          <w:sz w:val="20"/>
          <w:szCs w:val="20"/>
        </w:rPr>
        <w:t>.</w:t>
      </w:r>
    </w:p>
    <w:p w14:paraId="15FC6051" w14:textId="77777777" w:rsidR="00000000" w:rsidRDefault="00195E73">
      <w:pPr>
        <w:ind w:firstLine="405"/>
        <w:divId w:val="125582812"/>
        <w:rPr>
          <w:rFonts w:eastAsia="Times New Roman"/>
        </w:rPr>
      </w:pPr>
      <w:r>
        <w:rPr>
          <w:rFonts w:eastAsia="Times New Roman"/>
          <w:color w:val="000000"/>
          <w:sz w:val="20"/>
          <w:szCs w:val="20"/>
        </w:rPr>
        <w:t>Mr. Wasserman brings to his service as a director his signific</w:t>
      </w:r>
      <w:r>
        <w:rPr>
          <w:rFonts w:eastAsia="Times New Roman"/>
          <w:color w:val="000000"/>
          <w:sz w:val="20"/>
          <w:szCs w:val="20"/>
        </w:rPr>
        <w:t>ant experience and leadership roles as a director of various public companies. In addition, Mr. Wasserman practiced law for almost 40 years with the law firm of Wasserman, Schneider, Babb &amp; Reed of which he was a senior partner; the firm concentrated its p</w:t>
      </w:r>
      <w:r>
        <w:rPr>
          <w:rFonts w:eastAsia="Times New Roman"/>
          <w:color w:val="000000"/>
          <w:sz w:val="20"/>
          <w:szCs w:val="20"/>
        </w:rPr>
        <w:t>ractice in international trade and related corporate matters, primarily for Fortune 500-type companies operating in a broad range of industries, and he is familiar with financial statements and domestic and trans-border transactions</w:t>
      </w:r>
      <w:r>
        <w:rPr>
          <w:rFonts w:eastAsia="Times New Roman"/>
          <w:color w:val="000000"/>
          <w:sz w:val="20"/>
          <w:szCs w:val="20"/>
        </w:rPr>
        <w:t>.</w:t>
      </w:r>
    </w:p>
    <w:p w14:paraId="0E07C54B" w14:textId="77777777" w:rsidR="00000000" w:rsidRDefault="00195E73">
      <w:pPr>
        <w:divId w:val="1229926318"/>
        <w:rPr>
          <w:rFonts w:eastAsia="Times New Roman"/>
        </w:rPr>
      </w:pPr>
      <w:r>
        <w:rPr>
          <w:rFonts w:eastAsia="Times New Roman"/>
          <w:b/>
          <w:bCs/>
          <w:i/>
          <w:iCs/>
          <w:color w:val="000000"/>
          <w:sz w:val="20"/>
          <w:szCs w:val="20"/>
        </w:rPr>
        <w:t>Audit Committe</w:t>
      </w:r>
      <w:r>
        <w:rPr>
          <w:rFonts w:eastAsia="Times New Roman"/>
          <w:b/>
          <w:bCs/>
          <w:i/>
          <w:iCs/>
          <w:color w:val="000000"/>
          <w:sz w:val="20"/>
          <w:szCs w:val="20"/>
        </w:rPr>
        <w:t>e</w:t>
      </w:r>
    </w:p>
    <w:p w14:paraId="5B2874C2" w14:textId="77777777" w:rsidR="00000000" w:rsidRDefault="00195E73">
      <w:pPr>
        <w:ind w:firstLine="405"/>
        <w:divId w:val="1016730771"/>
        <w:rPr>
          <w:rFonts w:eastAsia="Times New Roman"/>
        </w:rPr>
      </w:pPr>
      <w:r>
        <w:rPr>
          <w:rFonts w:eastAsia="Times New Roman"/>
          <w:color w:val="000000"/>
          <w:sz w:val="20"/>
          <w:szCs w:val="20"/>
        </w:rPr>
        <w:t>Denise</w:t>
      </w:r>
      <w:r>
        <w:rPr>
          <w:rFonts w:eastAsia="Times New Roman"/>
          <w:color w:val="000000"/>
          <w:sz w:val="20"/>
          <w:szCs w:val="20"/>
        </w:rPr>
        <w:t xml:space="preserve"> Barton, Alvin B. Krongard and Jack G. Wasserman serve on our audit committee. As discussed above, Mr. Wasserman has resigned as a director and chairman of the audit committee effective as of February 27, 2020. We believe that the audit committee members a</w:t>
      </w:r>
      <w:r>
        <w:rPr>
          <w:rFonts w:eastAsia="Times New Roman"/>
          <w:color w:val="000000"/>
          <w:sz w:val="20"/>
          <w:szCs w:val="20"/>
        </w:rPr>
        <w:t>re “independent” within the meaning of Rule 5605(a)(2) of the NASDAQ Listing Rules of the NASDAQ Stock Market (“NASDAQ”). A copy of the audit committee charter is available on our website at</w:t>
      </w:r>
      <w:r>
        <w:rPr>
          <w:rFonts w:eastAsia="Times New Roman"/>
          <w:color w:val="000000"/>
          <w:sz w:val="20"/>
          <w:szCs w:val="20"/>
        </w:rPr>
        <w:t xml:space="preserve"> </w:t>
      </w:r>
      <w:r>
        <w:rPr>
          <w:rFonts w:eastAsia="Times New Roman"/>
          <w:i/>
          <w:iCs/>
          <w:color w:val="000000"/>
          <w:sz w:val="20"/>
          <w:szCs w:val="20"/>
        </w:rPr>
        <w:t>www.ielp.com/corporate-governanc</w:t>
      </w:r>
      <w:r>
        <w:rPr>
          <w:rFonts w:eastAsia="Times New Roman"/>
          <w:i/>
          <w:iCs/>
          <w:color w:val="000000"/>
          <w:sz w:val="20"/>
          <w:szCs w:val="20"/>
        </w:rPr>
        <w:t>e</w:t>
      </w:r>
      <w:r>
        <w:rPr>
          <w:rFonts w:eastAsia="Times New Roman"/>
          <w:color w:val="000000"/>
          <w:sz w:val="20"/>
          <w:szCs w:val="20"/>
        </w:rPr>
        <w:t xml:space="preserve"> or may be obtained without char</w:t>
      </w:r>
      <w:r>
        <w:rPr>
          <w:rFonts w:eastAsia="Times New Roman"/>
          <w:color w:val="000000"/>
          <w:sz w:val="20"/>
          <w:szCs w:val="20"/>
        </w:rPr>
        <w:t>ge by writing to Icahn Enterprises L.P., 767 Fifth Avenue, Suite 4700, New York, NY 10153, Attention: Investor Relations.</w:t>
      </w:r>
      <w:r>
        <w:rPr>
          <w:rFonts w:eastAsia="Times New Roman"/>
          <w:color w:val="000000"/>
          <w:sz w:val="20"/>
          <w:szCs w:val="20"/>
        </w:rPr>
        <w:t xml:space="preserve"> </w:t>
      </w:r>
    </w:p>
    <w:p w14:paraId="3A141E41" w14:textId="77777777" w:rsidR="00000000" w:rsidRDefault="00195E73">
      <w:pPr>
        <w:ind w:firstLine="405"/>
        <w:divId w:val="1525442250"/>
        <w:rPr>
          <w:rFonts w:eastAsia="Times New Roman"/>
        </w:rPr>
      </w:pPr>
      <w:r>
        <w:rPr>
          <w:rFonts w:eastAsia="Times New Roman"/>
          <w:color w:val="000000"/>
          <w:sz w:val="20"/>
          <w:szCs w:val="20"/>
        </w:rPr>
        <w:t>Our audit committee has regularly scheduled meetings each year, and numerous other meetings when circumstances require. Regularly sch</w:t>
      </w:r>
      <w:r>
        <w:rPr>
          <w:rFonts w:eastAsia="Times New Roman"/>
          <w:color w:val="000000"/>
          <w:sz w:val="20"/>
          <w:szCs w:val="20"/>
        </w:rPr>
        <w:t>eduled meetings are held in connection (a) with the audit committee’s review, together with our senior management, the senior management of our subsidiaries, and representatives of our independent auditor, of our quarterly reports on Form 10-Q and our annu</w:t>
      </w:r>
      <w:r>
        <w:rPr>
          <w:rFonts w:eastAsia="Times New Roman"/>
          <w:color w:val="000000"/>
          <w:sz w:val="20"/>
          <w:szCs w:val="20"/>
        </w:rPr>
        <w:t>al report on Form 10-K and (b) telephone conferences with the senior management of each of our subsidiaries. Regularly scheduled meetings are also held with our Chief Financial Officer, Chief Accounting Officer and Chief Auditor, who report to the audit co</w:t>
      </w:r>
      <w:r>
        <w:rPr>
          <w:rFonts w:eastAsia="Times New Roman"/>
          <w:color w:val="000000"/>
          <w:sz w:val="20"/>
          <w:szCs w:val="20"/>
        </w:rPr>
        <w:t>mmittee on company-wide developing financial and related matters. In connection with our annual report on Form 10-K, the audit committee meets in executive session, and also meets separately with our independent auditor and our senior management. Our audit</w:t>
      </w:r>
      <w:r>
        <w:rPr>
          <w:rFonts w:eastAsia="Times New Roman"/>
          <w:color w:val="000000"/>
          <w:sz w:val="20"/>
          <w:szCs w:val="20"/>
        </w:rPr>
        <w:t xml:space="preserve"> committee holds two annual executive sessions. When necessary, our audit committee holds informal meetings, meets with its independent counsel, and, when appropriate, with independent financial advisers.</w:t>
      </w:r>
      <w:r>
        <w:rPr>
          <w:rFonts w:eastAsia="Times New Roman"/>
          <w:color w:val="000000"/>
          <w:sz w:val="20"/>
          <w:szCs w:val="20"/>
        </w:rPr>
        <w:t xml:space="preserve"> </w:t>
      </w:r>
    </w:p>
    <w:p w14:paraId="30D96D0B" w14:textId="77777777" w:rsidR="00000000" w:rsidRDefault="00195E73">
      <w:pPr>
        <w:jc w:val="center"/>
        <w:divId w:val="1805350544"/>
        <w:rPr>
          <w:rFonts w:eastAsia="Times New Roman"/>
        </w:rPr>
      </w:pPr>
      <w:r>
        <w:rPr>
          <w:rFonts w:eastAsia="Times New Roman"/>
          <w:color w:val="000000"/>
          <w:sz w:val="20"/>
          <w:szCs w:val="20"/>
        </w:rPr>
        <w:t>11</w:t>
      </w:r>
      <w:r>
        <w:rPr>
          <w:rFonts w:eastAsia="Times New Roman"/>
          <w:color w:val="000000"/>
          <w:sz w:val="20"/>
          <w:szCs w:val="20"/>
        </w:rPr>
        <w:t>9</w:t>
      </w:r>
    </w:p>
    <w:p w14:paraId="20391923" w14:textId="77777777" w:rsidR="00000000" w:rsidRDefault="00195E73">
      <w:pPr>
        <w:rPr>
          <w:rFonts w:eastAsia="Times New Roman"/>
        </w:rPr>
      </w:pPr>
      <w:r>
        <w:rPr>
          <w:rFonts w:eastAsia="Times New Roman"/>
        </w:rPr>
        <w:pict w14:anchorId="0911B22B">
          <v:rect id="_x0000_i1145" style="width:0;height:1.5pt" o:hralign="center" o:hrstd="t" o:hr="t" fillcolor="#a0a0a0" stroked="f"/>
        </w:pict>
      </w:r>
    </w:p>
    <w:p w14:paraId="49861AE5" w14:textId="77777777" w:rsidR="00000000" w:rsidRDefault="00195E73">
      <w:pPr>
        <w:divId w:val="756295086"/>
        <w:rPr>
          <w:rFonts w:eastAsia="Times New Roman"/>
        </w:rPr>
      </w:pPr>
    </w:p>
    <w:p w14:paraId="38C2B276" w14:textId="77777777" w:rsidR="00000000" w:rsidRDefault="00195E73">
      <w:pPr>
        <w:ind w:firstLine="405"/>
        <w:divId w:val="1878808006"/>
        <w:rPr>
          <w:rFonts w:eastAsia="Times New Roman"/>
        </w:rPr>
      </w:pPr>
      <w:r>
        <w:rPr>
          <w:rFonts w:eastAsia="Times New Roman"/>
          <w:color w:val="000000"/>
          <w:sz w:val="20"/>
          <w:szCs w:val="20"/>
        </w:rPr>
        <w:t>The func</w:t>
      </w:r>
      <w:r>
        <w:rPr>
          <w:rFonts w:eastAsia="Times New Roman"/>
          <w:color w:val="000000"/>
          <w:sz w:val="20"/>
          <w:szCs w:val="20"/>
        </w:rPr>
        <w:t>tions of our audit committee include, but are not limited to: (1) the review of our financial and accounting policies and procedures, including oversight; (2) the selection of our independent auditor and the determination of the auditor’s fees for audit se</w:t>
      </w:r>
      <w:r>
        <w:rPr>
          <w:rFonts w:eastAsia="Times New Roman"/>
          <w:color w:val="000000"/>
          <w:sz w:val="20"/>
          <w:szCs w:val="20"/>
        </w:rPr>
        <w:t>rvices; (3) the pre-approval of any non-audit services and the fees to be paid to our independent auditor; (4) the obtaining, at least annually, of a report from our independent auditor of the adequacy of our internal controls over financial reporting; (5)</w:t>
      </w:r>
      <w:r>
        <w:rPr>
          <w:rFonts w:eastAsia="Times New Roman"/>
          <w:color w:val="000000"/>
          <w:sz w:val="20"/>
          <w:szCs w:val="20"/>
        </w:rPr>
        <w:t xml:space="preserve"> the review of the results of all audits of our books and records performed by the independent auditor for, among other reasons, to determine the integrity of our financial statements; (6) discussing our policies with respect to risk assessment and risk ma</w:t>
      </w:r>
      <w:r>
        <w:rPr>
          <w:rFonts w:eastAsia="Times New Roman"/>
          <w:color w:val="000000"/>
          <w:sz w:val="20"/>
          <w:szCs w:val="20"/>
        </w:rPr>
        <w:t>nagement, and reporting such policies to the full board of directors; (7) the review of significant earnings press releases prior to release with respect to the types of information disclosed and the manner in which the information is disclosed; and (8) th</w:t>
      </w:r>
      <w:r>
        <w:rPr>
          <w:rFonts w:eastAsia="Times New Roman"/>
          <w:color w:val="000000"/>
          <w:sz w:val="20"/>
          <w:szCs w:val="20"/>
        </w:rPr>
        <w:t>e review and approval of related party transactions and conflicts of interest in accordance with the terms of our partnership agreement. Our audit committee is empowered, in its discretion, to engage such advisors as it might deem necessary, including lega</w:t>
      </w:r>
      <w:r>
        <w:rPr>
          <w:rFonts w:eastAsia="Times New Roman"/>
          <w:color w:val="000000"/>
          <w:sz w:val="20"/>
          <w:szCs w:val="20"/>
        </w:rPr>
        <w:t>l counsel and financial and accounting advisors</w:t>
      </w:r>
      <w:r>
        <w:rPr>
          <w:rFonts w:eastAsia="Times New Roman"/>
          <w:color w:val="000000"/>
          <w:sz w:val="20"/>
          <w:szCs w:val="20"/>
        </w:rPr>
        <w:t>.</w:t>
      </w:r>
    </w:p>
    <w:p w14:paraId="20452898" w14:textId="77777777" w:rsidR="00000000" w:rsidRDefault="00195E73">
      <w:pPr>
        <w:ind w:firstLine="405"/>
        <w:divId w:val="1075128920"/>
        <w:rPr>
          <w:rFonts w:eastAsia="Times New Roman"/>
        </w:rPr>
      </w:pPr>
      <w:r>
        <w:rPr>
          <w:rFonts w:eastAsia="Times New Roman"/>
          <w:color w:val="000000"/>
          <w:sz w:val="20"/>
          <w:szCs w:val="20"/>
        </w:rPr>
        <w:t>Our board of directors has determined that we do not have an “audit committee financial expert,” within the meaning of Item 407(d)(5) of Regulation S-K, serving on our audit committee. We believe that each m</w:t>
      </w:r>
      <w:r>
        <w:rPr>
          <w:rFonts w:eastAsia="Times New Roman"/>
          <w:color w:val="000000"/>
          <w:sz w:val="20"/>
          <w:szCs w:val="20"/>
        </w:rPr>
        <w:t>ember of the audit committee is financially literate and possesses sufficient experience, both professionally and by virtue of his service as a director and member of the audit committee of Icahn Enterprises GP, to be fully capable of discharging his dutie</w:t>
      </w:r>
      <w:r>
        <w:rPr>
          <w:rFonts w:eastAsia="Times New Roman"/>
          <w:color w:val="000000"/>
          <w:sz w:val="20"/>
          <w:szCs w:val="20"/>
        </w:rPr>
        <w:t>s as a member of our audit committee. However, none of the members of our audit committee has a professional background in accounting or preparing, auditing, analyzing or evaluating financial statements. If our audit committee determines that it requires a</w:t>
      </w:r>
      <w:r>
        <w:rPr>
          <w:rFonts w:eastAsia="Times New Roman"/>
          <w:color w:val="000000"/>
          <w:sz w:val="20"/>
          <w:szCs w:val="20"/>
        </w:rPr>
        <w:t>dditional financial expertise, it will either engage professional advisors or seek to recruit a member who would qualify as an “audit committee financial expert” within the meaning of Item 407(d)(5) of Regulation S-K</w:t>
      </w:r>
      <w:r>
        <w:rPr>
          <w:rFonts w:eastAsia="Times New Roman"/>
          <w:color w:val="000000"/>
          <w:sz w:val="20"/>
          <w:szCs w:val="20"/>
        </w:rPr>
        <w:t>.</w:t>
      </w:r>
    </w:p>
    <w:p w14:paraId="18330CE3" w14:textId="77777777" w:rsidR="00000000" w:rsidRDefault="00195E73">
      <w:pPr>
        <w:ind w:firstLine="405"/>
        <w:divId w:val="120151932"/>
        <w:rPr>
          <w:rFonts w:eastAsia="Times New Roman"/>
        </w:rPr>
      </w:pPr>
      <w:r>
        <w:rPr>
          <w:rFonts w:eastAsia="Times New Roman"/>
          <w:color w:val="000000"/>
          <w:sz w:val="20"/>
          <w:szCs w:val="20"/>
        </w:rPr>
        <w:t>Interested parties may directly commun</w:t>
      </w:r>
      <w:r>
        <w:rPr>
          <w:rFonts w:eastAsia="Times New Roman"/>
          <w:color w:val="000000"/>
          <w:sz w:val="20"/>
          <w:szCs w:val="20"/>
        </w:rPr>
        <w:t>icate with the presiding director of the audit committee or with the non-management directors of the audit committee as a group by directing all inquiries to our ethics hotline at (877) 888-0002</w:t>
      </w:r>
      <w:r>
        <w:rPr>
          <w:rFonts w:eastAsia="Times New Roman"/>
          <w:color w:val="000000"/>
          <w:sz w:val="20"/>
          <w:szCs w:val="20"/>
        </w:rPr>
        <w:t>.</w:t>
      </w:r>
    </w:p>
    <w:p w14:paraId="798226BF" w14:textId="77777777" w:rsidR="00000000" w:rsidRDefault="00195E73">
      <w:pPr>
        <w:divId w:val="813303321"/>
        <w:rPr>
          <w:rFonts w:eastAsia="Times New Roman"/>
        </w:rPr>
      </w:pPr>
      <w:r>
        <w:rPr>
          <w:rFonts w:eastAsia="Times New Roman"/>
          <w:b/>
          <w:bCs/>
          <w:i/>
          <w:iCs/>
          <w:color w:val="000000"/>
          <w:sz w:val="20"/>
          <w:szCs w:val="20"/>
        </w:rPr>
        <w:t>Audit Committee Repor</w:t>
      </w:r>
      <w:r>
        <w:rPr>
          <w:rFonts w:eastAsia="Times New Roman"/>
          <w:b/>
          <w:bCs/>
          <w:i/>
          <w:iCs/>
          <w:color w:val="000000"/>
          <w:sz w:val="20"/>
          <w:szCs w:val="20"/>
        </w:rPr>
        <w:t>t</w:t>
      </w:r>
    </w:p>
    <w:p w14:paraId="111555C4" w14:textId="77777777" w:rsidR="00000000" w:rsidRDefault="00195E73">
      <w:pPr>
        <w:ind w:firstLine="405"/>
        <w:divId w:val="1945069435"/>
        <w:rPr>
          <w:rFonts w:eastAsia="Times New Roman"/>
        </w:rPr>
      </w:pPr>
      <w:r>
        <w:rPr>
          <w:rFonts w:eastAsia="Times New Roman"/>
          <w:color w:val="000000"/>
          <w:sz w:val="20"/>
          <w:szCs w:val="20"/>
        </w:rPr>
        <w:t>The audit committee has confirmed tha</w:t>
      </w:r>
      <w:r>
        <w:rPr>
          <w:rFonts w:eastAsia="Times New Roman"/>
          <w:color w:val="000000"/>
          <w:sz w:val="20"/>
          <w:szCs w:val="20"/>
        </w:rPr>
        <w:t>t: (1) the audit committee reviewed and discussed our audited financial statements for the year ended December 31, 2019 with management; (2) the audit committee has discussed with our independent auditors the matters required to be discussed by SAS 61 (Cod</w:t>
      </w:r>
      <w:r>
        <w:rPr>
          <w:rFonts w:eastAsia="Times New Roman"/>
          <w:color w:val="000000"/>
          <w:sz w:val="20"/>
          <w:szCs w:val="20"/>
        </w:rPr>
        <w:t>ification of Statements on Auditing Standards, AU§380); (3) the audit committee has received the written disclosures and the letter from the independent accountants required by Independence Standards Board Standard No. 1; and (4) based on the review and di</w:t>
      </w:r>
      <w:r>
        <w:rPr>
          <w:rFonts w:eastAsia="Times New Roman"/>
          <w:color w:val="000000"/>
          <w:sz w:val="20"/>
          <w:szCs w:val="20"/>
        </w:rPr>
        <w:t>scussions referred to in clauses (1), (2) and (3) above, the audit committee recommended to the board of directors that our audited financial statements for the year ended December 31, 2019 be included in this Report</w:t>
      </w:r>
      <w:r>
        <w:rPr>
          <w:rFonts w:eastAsia="Times New Roman"/>
          <w:color w:val="000000"/>
          <w:sz w:val="20"/>
          <w:szCs w:val="20"/>
        </w:rPr>
        <w:t>.</w:t>
      </w:r>
    </w:p>
    <w:p w14:paraId="7A87F4BA" w14:textId="77777777" w:rsidR="00000000" w:rsidRDefault="00195E73">
      <w:pPr>
        <w:ind w:firstLine="405"/>
        <w:divId w:val="2034265232"/>
        <w:rPr>
          <w:rFonts w:eastAsia="Times New Roman"/>
        </w:rPr>
      </w:pPr>
      <w:r>
        <w:rPr>
          <w:rFonts w:eastAsia="Times New Roman"/>
          <w:color w:val="000000"/>
          <w:sz w:val="20"/>
          <w:szCs w:val="20"/>
        </w:rPr>
        <w:t>This report is provided by the followi</w:t>
      </w:r>
      <w:r>
        <w:rPr>
          <w:rFonts w:eastAsia="Times New Roman"/>
          <w:color w:val="000000"/>
          <w:sz w:val="20"/>
          <w:szCs w:val="20"/>
        </w:rPr>
        <w:t>ng independent directors, who constitute the audit committee</w:t>
      </w:r>
      <w:r>
        <w:rPr>
          <w:rFonts w:eastAsia="Times New Roman"/>
          <w:color w:val="000000"/>
          <w:sz w:val="20"/>
          <w:szCs w:val="20"/>
        </w:rPr>
        <w:t>:</w:t>
      </w:r>
    </w:p>
    <w:p w14:paraId="4CC46A12" w14:textId="77777777" w:rsidR="00000000" w:rsidRDefault="00195E73">
      <w:pPr>
        <w:divId w:val="133915390"/>
        <w:rPr>
          <w:rFonts w:eastAsia="Times New Roman"/>
        </w:rPr>
      </w:pPr>
      <w:r>
        <w:rPr>
          <w:rFonts w:eastAsia="Times New Roman"/>
          <w:color w:val="000000"/>
          <w:sz w:val="20"/>
          <w:szCs w:val="20"/>
        </w:rPr>
        <w:t>Denise Barto</w:t>
      </w:r>
      <w:r>
        <w:rPr>
          <w:rFonts w:eastAsia="Times New Roman"/>
          <w:color w:val="000000"/>
          <w:sz w:val="20"/>
          <w:szCs w:val="20"/>
        </w:rPr>
        <w:t>n</w:t>
      </w:r>
    </w:p>
    <w:p w14:paraId="262620F6" w14:textId="77777777" w:rsidR="00000000" w:rsidRDefault="00195E73">
      <w:pPr>
        <w:divId w:val="1512254407"/>
        <w:rPr>
          <w:rFonts w:eastAsia="Times New Roman"/>
        </w:rPr>
      </w:pPr>
      <w:r>
        <w:rPr>
          <w:rFonts w:eastAsia="Times New Roman"/>
          <w:color w:val="000000"/>
          <w:sz w:val="20"/>
          <w:szCs w:val="20"/>
        </w:rPr>
        <w:t>Alvin B. Krongar</w:t>
      </w:r>
      <w:r>
        <w:rPr>
          <w:rFonts w:eastAsia="Times New Roman"/>
          <w:color w:val="000000"/>
          <w:sz w:val="20"/>
          <w:szCs w:val="20"/>
        </w:rPr>
        <w:t>d</w:t>
      </w:r>
    </w:p>
    <w:p w14:paraId="1FCB50D7" w14:textId="77777777" w:rsidR="00000000" w:rsidRDefault="00195E73">
      <w:pPr>
        <w:divId w:val="332269332"/>
        <w:rPr>
          <w:rFonts w:eastAsia="Times New Roman"/>
        </w:rPr>
      </w:pPr>
      <w:r>
        <w:rPr>
          <w:rFonts w:eastAsia="Times New Roman"/>
          <w:color w:val="000000"/>
          <w:sz w:val="20"/>
          <w:szCs w:val="20"/>
        </w:rPr>
        <w:t>Jack G. Wasserma</w:t>
      </w:r>
      <w:r>
        <w:rPr>
          <w:rFonts w:eastAsia="Times New Roman"/>
          <w:color w:val="000000"/>
          <w:sz w:val="20"/>
          <w:szCs w:val="20"/>
        </w:rPr>
        <w:t>n</w:t>
      </w:r>
    </w:p>
    <w:p w14:paraId="55E908EB" w14:textId="77777777" w:rsidR="00000000" w:rsidRDefault="00195E73">
      <w:pPr>
        <w:divId w:val="58863683"/>
        <w:rPr>
          <w:rFonts w:eastAsia="Times New Roman"/>
        </w:rPr>
      </w:pPr>
    </w:p>
    <w:p w14:paraId="6807FDC7" w14:textId="77777777" w:rsidR="00000000" w:rsidRDefault="00195E73">
      <w:pPr>
        <w:divId w:val="97023035"/>
        <w:rPr>
          <w:rFonts w:eastAsia="Times New Roman"/>
        </w:rPr>
      </w:pPr>
      <w:r>
        <w:rPr>
          <w:rFonts w:eastAsia="Times New Roman"/>
          <w:b/>
          <w:bCs/>
          <w:i/>
          <w:iCs/>
          <w:color w:val="000000"/>
          <w:sz w:val="20"/>
          <w:szCs w:val="20"/>
        </w:rPr>
        <w:t>Code of Ethics and Business Conduc</w:t>
      </w:r>
      <w:r>
        <w:rPr>
          <w:rFonts w:eastAsia="Times New Roman"/>
          <w:b/>
          <w:bCs/>
          <w:i/>
          <w:iCs/>
          <w:color w:val="000000"/>
          <w:sz w:val="20"/>
          <w:szCs w:val="20"/>
        </w:rPr>
        <w:t>t</w:t>
      </w:r>
    </w:p>
    <w:p w14:paraId="159FB667" w14:textId="77777777" w:rsidR="00000000" w:rsidRDefault="00195E73">
      <w:pPr>
        <w:ind w:firstLine="450"/>
        <w:divId w:val="613244581"/>
        <w:rPr>
          <w:rFonts w:eastAsia="Times New Roman"/>
        </w:rPr>
      </w:pPr>
      <w:r>
        <w:rPr>
          <w:rFonts w:eastAsia="Times New Roman"/>
          <w:color w:val="000000"/>
          <w:sz w:val="20"/>
          <w:szCs w:val="20"/>
        </w:rPr>
        <w:t>Icahn Enterprises GP’</w:t>
      </w:r>
      <w:r>
        <w:rPr>
          <w:rFonts w:eastAsia="Times New Roman"/>
          <w:color w:val="000000"/>
          <w:sz w:val="20"/>
          <w:szCs w:val="20"/>
        </w:rPr>
        <w:t>s board of directors has adopted a Code of Business Conduct and Ethics applicable to all directors, officers and employees, including our principal executive officer, principal financial officer and principal accounting officer. A copy of the Code of Busin</w:t>
      </w:r>
      <w:r>
        <w:rPr>
          <w:rFonts w:eastAsia="Times New Roman"/>
          <w:color w:val="000000"/>
          <w:sz w:val="20"/>
          <w:szCs w:val="20"/>
        </w:rPr>
        <w:t>ess Conduct and Ethics is available on our website at</w:t>
      </w:r>
      <w:r>
        <w:rPr>
          <w:rFonts w:eastAsia="Times New Roman"/>
          <w:color w:val="000000"/>
          <w:sz w:val="20"/>
          <w:szCs w:val="20"/>
        </w:rPr>
        <w:t xml:space="preserve"> </w:t>
      </w:r>
      <w:r>
        <w:rPr>
          <w:rFonts w:eastAsia="Times New Roman"/>
          <w:i/>
          <w:iCs/>
          <w:color w:val="000000"/>
          <w:sz w:val="20"/>
          <w:szCs w:val="20"/>
        </w:rPr>
        <w:t>www.ielp.com/corporate-governanc</w:t>
      </w:r>
      <w:r>
        <w:rPr>
          <w:rFonts w:eastAsia="Times New Roman"/>
          <w:i/>
          <w:iCs/>
          <w:color w:val="000000"/>
          <w:sz w:val="20"/>
          <w:szCs w:val="20"/>
        </w:rPr>
        <w:t>e</w:t>
      </w:r>
      <w:r>
        <w:rPr>
          <w:rFonts w:eastAsia="Times New Roman"/>
          <w:color w:val="000000"/>
          <w:sz w:val="20"/>
          <w:szCs w:val="20"/>
        </w:rPr>
        <w:t xml:space="preserve"> and may be obtained without charge by writing to Icahn Enterprises L.P., 767 Fifth Avenue, Suite 4700, New York, NY 10153, Attention: Investor Relations</w:t>
      </w:r>
      <w:r>
        <w:rPr>
          <w:rFonts w:eastAsia="Times New Roman"/>
          <w:color w:val="000000"/>
          <w:sz w:val="20"/>
          <w:szCs w:val="20"/>
        </w:rPr>
        <w:t>.</w:t>
      </w:r>
    </w:p>
    <w:p w14:paraId="2B25519B" w14:textId="77777777" w:rsidR="00000000" w:rsidRDefault="00195E73">
      <w:pPr>
        <w:divId w:val="1923635814"/>
        <w:rPr>
          <w:rFonts w:eastAsia="Times New Roman"/>
        </w:rPr>
      </w:pPr>
      <w:r>
        <w:rPr>
          <w:rFonts w:eastAsia="Times New Roman"/>
          <w:b/>
          <w:bCs/>
          <w:i/>
          <w:iCs/>
          <w:color w:val="000000"/>
          <w:sz w:val="20"/>
          <w:szCs w:val="20"/>
        </w:rPr>
        <w:t>NASDAQ Corpora</w:t>
      </w:r>
      <w:r>
        <w:rPr>
          <w:rFonts w:eastAsia="Times New Roman"/>
          <w:b/>
          <w:bCs/>
          <w:i/>
          <w:iCs/>
          <w:color w:val="000000"/>
          <w:sz w:val="20"/>
          <w:szCs w:val="20"/>
        </w:rPr>
        <w:t>te Governance Complianc</w:t>
      </w:r>
      <w:r>
        <w:rPr>
          <w:rFonts w:eastAsia="Times New Roman"/>
          <w:b/>
          <w:bCs/>
          <w:i/>
          <w:iCs/>
          <w:color w:val="000000"/>
          <w:sz w:val="20"/>
          <w:szCs w:val="20"/>
        </w:rPr>
        <w:t>e</w:t>
      </w:r>
    </w:p>
    <w:p w14:paraId="51B86606" w14:textId="77777777" w:rsidR="00000000" w:rsidRDefault="00195E73">
      <w:pPr>
        <w:ind w:firstLine="450"/>
        <w:divId w:val="820005111"/>
        <w:rPr>
          <w:rFonts w:eastAsia="Times New Roman"/>
        </w:rPr>
      </w:pPr>
      <w:r>
        <w:rPr>
          <w:rFonts w:eastAsia="Times New Roman"/>
          <w:color w:val="000000"/>
          <w:sz w:val="20"/>
          <w:szCs w:val="20"/>
        </w:rPr>
        <w:t>Pursuant to Rule 5615(a)(4)(J) of the NASDAQ corporate governance requirements, in the event that an executive officer of Icahn Enterprises’ or Icahn Enterprises Holdings’, or a person performing an equivalent role, becomes aware o</w:t>
      </w:r>
      <w:r>
        <w:rPr>
          <w:rFonts w:eastAsia="Times New Roman"/>
          <w:color w:val="000000"/>
          <w:sz w:val="20"/>
          <w:szCs w:val="20"/>
        </w:rPr>
        <w:t>f any noncompliance with NASDAQ’s corporate governance requirements, he or she is required to provide prompt notice to NASDAQ of such noncompliance. As of February 28, 2020, we believe that we are compliant with NASDAQ’s corporate governance requirements</w:t>
      </w:r>
      <w:r>
        <w:rPr>
          <w:rFonts w:eastAsia="Times New Roman"/>
          <w:color w:val="000000"/>
          <w:sz w:val="20"/>
          <w:szCs w:val="20"/>
        </w:rPr>
        <w:t>.</w:t>
      </w:r>
    </w:p>
    <w:p w14:paraId="2A2ECF4B" w14:textId="77777777" w:rsidR="00000000" w:rsidRDefault="00195E73">
      <w:pPr>
        <w:divId w:val="938492235"/>
        <w:rPr>
          <w:rFonts w:eastAsia="Times New Roman"/>
        </w:rPr>
      </w:pPr>
      <w:r>
        <w:rPr>
          <w:rFonts w:eastAsia="Times New Roman"/>
          <w:b/>
          <w:bCs/>
          <w:i/>
          <w:iCs/>
          <w:color w:val="000000"/>
          <w:sz w:val="20"/>
          <w:szCs w:val="20"/>
        </w:rPr>
        <w:t>Board Leadership Structur</w:t>
      </w:r>
      <w:r>
        <w:rPr>
          <w:rFonts w:eastAsia="Times New Roman"/>
          <w:b/>
          <w:bCs/>
          <w:i/>
          <w:iCs/>
          <w:color w:val="000000"/>
          <w:sz w:val="20"/>
          <w:szCs w:val="20"/>
        </w:rPr>
        <w:t>e</w:t>
      </w:r>
    </w:p>
    <w:p w14:paraId="60D3454A" w14:textId="77777777" w:rsidR="00000000" w:rsidRDefault="00195E73">
      <w:pPr>
        <w:ind w:firstLine="450"/>
        <w:divId w:val="2002003805"/>
        <w:rPr>
          <w:rFonts w:eastAsia="Times New Roman"/>
        </w:rPr>
      </w:pPr>
      <w:r>
        <w:rPr>
          <w:rFonts w:eastAsia="Times New Roman"/>
          <w:color w:val="000000"/>
          <w:sz w:val="20"/>
          <w:szCs w:val="20"/>
        </w:rPr>
        <w:t>Our leadership structure includes the positions of Chairman of the Board (“Chairman”</w:t>
      </w:r>
      <w:r>
        <w:rPr>
          <w:rFonts w:eastAsia="Times New Roman"/>
          <w:color w:val="000000"/>
          <w:sz w:val="20"/>
          <w:szCs w:val="20"/>
        </w:rPr>
        <w:t>) and Chief Executive Officer. Mr. Icahn serves as our Chairman and Mr. Cozza serves as our Chief Executive Officer.</w:t>
      </w:r>
      <w:r>
        <w:rPr>
          <w:rFonts w:eastAsia="Times New Roman"/>
          <w:color w:val="000000"/>
          <w:sz w:val="20"/>
          <w:szCs w:val="20"/>
        </w:rPr>
        <w:t xml:space="preserve"> </w:t>
      </w:r>
    </w:p>
    <w:p w14:paraId="241607F1" w14:textId="77777777" w:rsidR="00000000" w:rsidRDefault="00195E73">
      <w:pPr>
        <w:ind w:firstLine="450"/>
        <w:divId w:val="1031880138"/>
        <w:rPr>
          <w:rFonts w:eastAsia="Times New Roman"/>
        </w:rPr>
      </w:pPr>
      <w:r>
        <w:rPr>
          <w:rFonts w:eastAsia="Times New Roman"/>
          <w:color w:val="000000"/>
          <w:sz w:val="20"/>
          <w:szCs w:val="20"/>
        </w:rPr>
        <w:t>The Chairman is responsible for organizing the board of directors and setting its agenda and priorities. The Chairman does not participate</w:t>
      </w:r>
      <w:r>
        <w:rPr>
          <w:rFonts w:eastAsia="Times New Roman"/>
          <w:color w:val="000000"/>
          <w:sz w:val="20"/>
          <w:szCs w:val="20"/>
        </w:rPr>
        <w:t xml:space="preserve"> in the day-to-day business operations of our business segments, other than our Investment segment. The Chief</w:t>
      </w:r>
      <w:r>
        <w:rPr>
          <w:rFonts w:eastAsia="Times New Roman"/>
          <w:color w:val="000000"/>
          <w:sz w:val="20"/>
          <w:szCs w:val="20"/>
        </w:rPr>
        <w:t xml:space="preserve"> </w:t>
      </w:r>
    </w:p>
    <w:p w14:paraId="7C3B7D24" w14:textId="77777777" w:rsidR="00000000" w:rsidRDefault="00195E73">
      <w:pPr>
        <w:jc w:val="center"/>
        <w:divId w:val="367415699"/>
        <w:rPr>
          <w:rFonts w:eastAsia="Times New Roman"/>
        </w:rPr>
      </w:pPr>
      <w:r>
        <w:rPr>
          <w:rFonts w:eastAsia="Times New Roman"/>
          <w:color w:val="000000"/>
          <w:sz w:val="20"/>
          <w:szCs w:val="20"/>
        </w:rPr>
        <w:t>12</w:t>
      </w:r>
      <w:r>
        <w:rPr>
          <w:rFonts w:eastAsia="Times New Roman"/>
          <w:color w:val="000000"/>
          <w:sz w:val="20"/>
          <w:szCs w:val="20"/>
        </w:rPr>
        <w:t>0</w:t>
      </w:r>
    </w:p>
    <w:p w14:paraId="113CD10E" w14:textId="77777777" w:rsidR="00000000" w:rsidRDefault="00195E73">
      <w:pPr>
        <w:rPr>
          <w:rFonts w:eastAsia="Times New Roman"/>
        </w:rPr>
      </w:pPr>
      <w:r>
        <w:rPr>
          <w:rFonts w:eastAsia="Times New Roman"/>
        </w:rPr>
        <w:pict w14:anchorId="06ECD625">
          <v:rect id="_x0000_i1146" style="width:0;height:1.5pt" o:hralign="center" o:hrstd="t" o:hr="t" fillcolor="#a0a0a0" stroked="f"/>
        </w:pict>
      </w:r>
    </w:p>
    <w:p w14:paraId="652CCD0B" w14:textId="77777777" w:rsidR="00000000" w:rsidRDefault="00195E73">
      <w:pPr>
        <w:divId w:val="1865249220"/>
        <w:rPr>
          <w:rFonts w:eastAsia="Times New Roman"/>
        </w:rPr>
      </w:pPr>
    </w:p>
    <w:p w14:paraId="02C2F95D" w14:textId="77777777" w:rsidR="00000000" w:rsidRDefault="00195E73">
      <w:pPr>
        <w:divId w:val="653723241"/>
        <w:rPr>
          <w:rFonts w:eastAsia="Times New Roman"/>
        </w:rPr>
      </w:pPr>
      <w:r>
        <w:rPr>
          <w:rFonts w:eastAsia="Times New Roman"/>
          <w:color w:val="000000"/>
          <w:sz w:val="20"/>
          <w:szCs w:val="20"/>
        </w:rPr>
        <w:t>Executive Officer is accountable directly to the board of directors, including the Chairman, and has d</w:t>
      </w:r>
      <w:r>
        <w:rPr>
          <w:rFonts w:eastAsia="Times New Roman"/>
          <w:color w:val="000000"/>
          <w:sz w:val="20"/>
          <w:szCs w:val="20"/>
        </w:rPr>
        <w:t>ay-to-day responsibility, in consultation with our Chairman, for general oversight of our business segments. Our business segments are operated through subsidiaries with their own management teams, including boards of directors, responsible for the day-to-</w:t>
      </w:r>
      <w:r>
        <w:rPr>
          <w:rFonts w:eastAsia="Times New Roman"/>
          <w:color w:val="000000"/>
          <w:sz w:val="20"/>
          <w:szCs w:val="20"/>
        </w:rPr>
        <w:t>day operations of those businesses. We believe that our leadership structure is appropriate for our holding company structure as it enhances our corporate governance and company oversight by separating responsibilities between the Chief Executive Officer a</w:t>
      </w:r>
      <w:r>
        <w:rPr>
          <w:rFonts w:eastAsia="Times New Roman"/>
          <w:color w:val="000000"/>
          <w:sz w:val="20"/>
          <w:szCs w:val="20"/>
        </w:rPr>
        <w:t>nd Chairman.</w:t>
      </w:r>
      <w:r>
        <w:rPr>
          <w:rFonts w:eastAsia="Times New Roman"/>
          <w:color w:val="000000"/>
          <w:sz w:val="20"/>
          <w:szCs w:val="20"/>
        </w:rPr>
        <w:t xml:space="preserve"> </w:t>
      </w:r>
    </w:p>
    <w:p w14:paraId="0CE51A83" w14:textId="77777777" w:rsidR="00000000" w:rsidRDefault="00195E73">
      <w:pPr>
        <w:divId w:val="1794861978"/>
        <w:rPr>
          <w:rFonts w:eastAsia="Times New Roman"/>
        </w:rPr>
      </w:pPr>
      <w:r>
        <w:rPr>
          <w:rFonts w:eastAsia="Times New Roman"/>
          <w:b/>
          <w:bCs/>
          <w:i/>
          <w:iCs/>
          <w:color w:val="000000"/>
          <w:sz w:val="20"/>
          <w:szCs w:val="20"/>
        </w:rPr>
        <w:t>Board of Directors Role in Risk Oversigh</w:t>
      </w:r>
      <w:r>
        <w:rPr>
          <w:rFonts w:eastAsia="Times New Roman"/>
          <w:b/>
          <w:bCs/>
          <w:i/>
          <w:iCs/>
          <w:color w:val="000000"/>
          <w:sz w:val="20"/>
          <w:szCs w:val="20"/>
        </w:rPr>
        <w:t>t</w:t>
      </w:r>
    </w:p>
    <w:p w14:paraId="4C36D022" w14:textId="77777777" w:rsidR="00000000" w:rsidRDefault="00195E73">
      <w:pPr>
        <w:ind w:firstLine="405"/>
        <w:divId w:val="184245975"/>
        <w:rPr>
          <w:rFonts w:eastAsia="Times New Roman"/>
        </w:rPr>
      </w:pPr>
      <w:r>
        <w:rPr>
          <w:rFonts w:eastAsia="Times New Roman"/>
          <w:color w:val="000000"/>
          <w:sz w:val="20"/>
          <w:szCs w:val="20"/>
        </w:rPr>
        <w:t>In connection with its oversight responsibilities, the board of directors, including the audit committee, periodically reviews the significant risks that we face. These risks include strategic, financ</w:t>
      </w:r>
      <w:r>
        <w:rPr>
          <w:rFonts w:eastAsia="Times New Roman"/>
          <w:color w:val="000000"/>
          <w:sz w:val="20"/>
          <w:szCs w:val="20"/>
        </w:rPr>
        <w:t>ial, operational and compliance risks. The board of directors administers its risk oversight responsibilities through its Chief Executive Officer and its Chief Financial Officer, who, together with our chief auditor and management representatives of each o</w:t>
      </w:r>
      <w:r>
        <w:rPr>
          <w:rFonts w:eastAsia="Times New Roman"/>
          <w:color w:val="000000"/>
          <w:sz w:val="20"/>
          <w:szCs w:val="20"/>
        </w:rPr>
        <w:t>f our operating subsidiaries, review and assess the operations of the businesses as well as each respective management’s identification, assessment and mitigation of the material risks affecting our operations</w:t>
      </w:r>
      <w:r>
        <w:rPr>
          <w:rFonts w:eastAsia="Times New Roman"/>
          <w:color w:val="000000"/>
          <w:sz w:val="20"/>
          <w:szCs w:val="20"/>
        </w:rPr>
        <w:t>.</w:t>
      </w:r>
    </w:p>
    <w:p w14:paraId="6DDB9031" w14:textId="77777777" w:rsidR="00000000" w:rsidRDefault="00195E73">
      <w:pPr>
        <w:divId w:val="1951740139"/>
        <w:rPr>
          <w:rFonts w:eastAsia="Times New Roman"/>
        </w:rPr>
      </w:pPr>
      <w:r>
        <w:rPr>
          <w:rFonts w:eastAsia="Times New Roman"/>
          <w:b/>
          <w:bCs/>
          <w:i/>
          <w:iCs/>
          <w:color w:val="000000"/>
          <w:sz w:val="20"/>
          <w:szCs w:val="20"/>
        </w:rPr>
        <w:t>Delinquent Section 16(a) Report</w:t>
      </w:r>
      <w:r>
        <w:rPr>
          <w:rFonts w:eastAsia="Times New Roman"/>
          <w:b/>
          <w:bCs/>
          <w:i/>
          <w:iCs/>
          <w:color w:val="000000"/>
          <w:sz w:val="20"/>
          <w:szCs w:val="20"/>
        </w:rPr>
        <w:t>s</w:t>
      </w:r>
    </w:p>
    <w:p w14:paraId="1B378F48" w14:textId="77777777" w:rsidR="00000000" w:rsidRDefault="00195E73">
      <w:pPr>
        <w:ind w:firstLine="405"/>
        <w:divId w:val="1087382950"/>
        <w:rPr>
          <w:rFonts w:eastAsia="Times New Roman"/>
        </w:rPr>
      </w:pPr>
      <w:r>
        <w:rPr>
          <w:rFonts w:eastAsia="Times New Roman"/>
          <w:color w:val="000000"/>
          <w:sz w:val="20"/>
          <w:szCs w:val="20"/>
        </w:rPr>
        <w:t>Section 16(a</w:t>
      </w:r>
      <w:r>
        <w:rPr>
          <w:rFonts w:eastAsia="Times New Roman"/>
          <w:color w:val="000000"/>
          <w:sz w:val="20"/>
          <w:szCs w:val="20"/>
        </w:rPr>
        <w:t>) of the Securities Exchange Act of 1934, as amended (the “Exchange Act”), requires our executive officers and directors and persons who own more than 10% of a registered class of our equity securities, to file with the SEC initial statements of beneficial</w:t>
      </w:r>
      <w:r>
        <w:rPr>
          <w:rFonts w:eastAsia="Times New Roman"/>
          <w:color w:val="000000"/>
          <w:sz w:val="20"/>
          <w:szCs w:val="20"/>
        </w:rPr>
        <w:t xml:space="preserve"> ownership, reports of changes in ownership and Annual Reports concerning their ownership, of common stock and other of our equity securities on Forms 3, 4, and 5, respectively. Executive officers, directors and greater than 10% stockholders are required b</w:t>
      </w:r>
      <w:r>
        <w:rPr>
          <w:rFonts w:eastAsia="Times New Roman"/>
          <w:color w:val="000000"/>
          <w:sz w:val="20"/>
          <w:szCs w:val="20"/>
        </w:rPr>
        <w:t>y SEC regulations to furnish us with copies of all Section 16(a) reports they file. Based solely on information available to us in public filings, we believe that all reports required by Section 16(a) were timely filed.</w:t>
      </w:r>
      <w:r>
        <w:rPr>
          <w:rFonts w:eastAsia="Times New Roman"/>
          <w:color w:val="000000"/>
          <w:sz w:val="20"/>
          <w:szCs w:val="20"/>
        </w:rPr>
        <w:t xml:space="preserve"> </w:t>
      </w:r>
    </w:p>
    <w:p w14:paraId="3D806ACA" w14:textId="77777777" w:rsidR="00000000" w:rsidRDefault="00195E73">
      <w:pPr>
        <w:divId w:val="1867139805"/>
        <w:rPr>
          <w:rFonts w:eastAsia="Times New Roman"/>
        </w:rPr>
      </w:pPr>
    </w:p>
    <w:p w14:paraId="028D929D" w14:textId="77777777" w:rsidR="00000000" w:rsidRDefault="00195E73">
      <w:pPr>
        <w:divId w:val="294022278"/>
        <w:rPr>
          <w:rFonts w:eastAsia="Times New Roman"/>
        </w:rPr>
      </w:pPr>
    </w:p>
    <w:p w14:paraId="0C3E529A" w14:textId="77777777" w:rsidR="00000000" w:rsidRDefault="00195E73">
      <w:pPr>
        <w:divId w:val="47657851"/>
        <w:rPr>
          <w:rFonts w:eastAsia="Times New Roman"/>
        </w:rPr>
      </w:pPr>
      <w:r>
        <w:rPr>
          <w:rFonts w:eastAsia="Times New Roman"/>
          <w:b/>
          <w:bCs/>
          <w:color w:val="000000"/>
          <w:sz w:val="20"/>
          <w:szCs w:val="20"/>
        </w:rPr>
        <w:t>Item 11. Executive Compensation</w:t>
      </w:r>
      <w:r>
        <w:rPr>
          <w:rFonts w:eastAsia="Times New Roman"/>
          <w:b/>
          <w:bCs/>
          <w:color w:val="000000"/>
          <w:sz w:val="20"/>
          <w:szCs w:val="20"/>
        </w:rPr>
        <w:t>.</w:t>
      </w:r>
      <w:r>
        <w:rPr>
          <w:rFonts w:eastAsia="Times New Roman"/>
          <w:b/>
          <w:bCs/>
          <w:color w:val="000000"/>
          <w:sz w:val="20"/>
          <w:szCs w:val="20"/>
        </w:rPr>
        <w:t xml:space="preserve"> </w:t>
      </w:r>
    </w:p>
    <w:p w14:paraId="4DF38EF3" w14:textId="77777777" w:rsidR="00000000" w:rsidRDefault="00195E73">
      <w:pPr>
        <w:divId w:val="55904966"/>
        <w:rPr>
          <w:rFonts w:eastAsia="Times New Roman"/>
        </w:rPr>
      </w:pPr>
      <w:r>
        <w:rPr>
          <w:rFonts w:eastAsia="Times New Roman"/>
          <w:b/>
          <w:bCs/>
          <w:color w:val="000000"/>
          <w:sz w:val="20"/>
          <w:szCs w:val="20"/>
        </w:rPr>
        <w:t>Company Structure and Reporting Requirement</w:t>
      </w:r>
      <w:r>
        <w:rPr>
          <w:rFonts w:eastAsia="Times New Roman"/>
          <w:b/>
          <w:bCs/>
          <w:color w:val="000000"/>
          <w:sz w:val="20"/>
          <w:szCs w:val="20"/>
        </w:rPr>
        <w:t>s</w:t>
      </w:r>
    </w:p>
    <w:p w14:paraId="13BFE92C" w14:textId="77777777" w:rsidR="00000000" w:rsidRDefault="00195E73">
      <w:pPr>
        <w:ind w:firstLine="450"/>
        <w:divId w:val="1256086650"/>
        <w:rPr>
          <w:rFonts w:eastAsia="Times New Roman"/>
        </w:rPr>
      </w:pPr>
      <w:r>
        <w:rPr>
          <w:rFonts w:eastAsia="Times New Roman"/>
          <w:color w:val="000000"/>
          <w:sz w:val="20"/>
          <w:szCs w:val="20"/>
        </w:rPr>
        <w:t>Icahn Enterprises is a master limited partnership (“MLP”) and is not subject to the proxy solicitation rules as required by section 14A of the Exchange Act or §240.14a-20. Furthermore, because Icahn Enterpris</w:t>
      </w:r>
      <w:r>
        <w:rPr>
          <w:rFonts w:eastAsia="Times New Roman"/>
          <w:color w:val="000000"/>
          <w:sz w:val="20"/>
          <w:szCs w:val="20"/>
        </w:rPr>
        <w:t>es has not ever been a TARP recipient, as defined in section 111(a)(3) of the Emergency Economic Stabilization Act of 2008, it is not subject to §240.14a-20. As an MLP, pursuant to Icahn Enterprises’ partnership agreement, the general partner, Icahn Enterp</w:t>
      </w:r>
      <w:r>
        <w:rPr>
          <w:rFonts w:eastAsia="Times New Roman"/>
          <w:color w:val="000000"/>
          <w:sz w:val="20"/>
          <w:szCs w:val="20"/>
        </w:rPr>
        <w:t>rises GP, has exclusive management powers over the business and affairs of Icahn Enterprises. That is, Icahn Enterprises GP’s stockholders have the right to elect members of Icahn Enterprises GP’s board of directors, who, in turn, elect the officers of Ica</w:t>
      </w:r>
      <w:r>
        <w:rPr>
          <w:rFonts w:eastAsia="Times New Roman"/>
          <w:color w:val="000000"/>
          <w:sz w:val="20"/>
          <w:szCs w:val="20"/>
        </w:rPr>
        <w:t>hn Enterprises. Accordingly, Icahn Enterprises does not hold annual meetings to elect its directors</w:t>
      </w:r>
      <w:r>
        <w:rPr>
          <w:rFonts w:eastAsia="Times New Roman"/>
          <w:color w:val="000000"/>
          <w:sz w:val="20"/>
          <w:szCs w:val="20"/>
        </w:rPr>
        <w:t>.</w:t>
      </w:r>
    </w:p>
    <w:p w14:paraId="4460EC90" w14:textId="77777777" w:rsidR="00000000" w:rsidRDefault="00195E73">
      <w:pPr>
        <w:divId w:val="1238907274"/>
        <w:rPr>
          <w:rFonts w:eastAsia="Times New Roman"/>
        </w:rPr>
      </w:pPr>
      <w:r>
        <w:rPr>
          <w:rFonts w:eastAsia="Times New Roman"/>
          <w:b/>
          <w:bCs/>
          <w:color w:val="000000"/>
          <w:sz w:val="20"/>
          <w:szCs w:val="20"/>
        </w:rPr>
        <w:t>Compensation Discussion and Analysi</w:t>
      </w:r>
      <w:r>
        <w:rPr>
          <w:rFonts w:eastAsia="Times New Roman"/>
          <w:b/>
          <w:bCs/>
          <w:color w:val="000000"/>
          <w:sz w:val="20"/>
          <w:szCs w:val="20"/>
        </w:rPr>
        <w:t>s</w:t>
      </w:r>
    </w:p>
    <w:p w14:paraId="55603743" w14:textId="77777777" w:rsidR="00000000" w:rsidRDefault="00195E73">
      <w:pPr>
        <w:ind w:firstLine="450"/>
        <w:divId w:val="1950233756"/>
        <w:rPr>
          <w:rFonts w:eastAsia="Times New Roman"/>
        </w:rPr>
      </w:pPr>
      <w:r>
        <w:rPr>
          <w:rFonts w:eastAsia="Times New Roman"/>
          <w:color w:val="000000"/>
          <w:sz w:val="20"/>
          <w:szCs w:val="20"/>
        </w:rPr>
        <w:t>The following section provides an overview and analysis of our compensation programs, the compensation decisions we ha</w:t>
      </w:r>
      <w:r>
        <w:rPr>
          <w:rFonts w:eastAsia="Times New Roman"/>
          <w:color w:val="000000"/>
          <w:sz w:val="20"/>
          <w:szCs w:val="20"/>
        </w:rPr>
        <w:t>ve made under those programs, and the factors we considered in making those decisions. Later in this section, under the heading “Additional Information Regarding Executive Compensation,” we provide a table containing specific information about the compensa</w:t>
      </w:r>
      <w:r>
        <w:rPr>
          <w:rFonts w:eastAsia="Times New Roman"/>
          <w:color w:val="000000"/>
          <w:sz w:val="20"/>
          <w:szCs w:val="20"/>
        </w:rPr>
        <w:t>tion earned by the following individuals in 2019, whom we refer to as our named executive officers:</w:t>
      </w:r>
      <w:r>
        <w:rPr>
          <w:rFonts w:eastAsia="Times New Roman"/>
          <w:color w:val="000000"/>
          <w:sz w:val="20"/>
          <w:szCs w:val="20"/>
        </w:rPr>
        <w:t xml:space="preserve"> </w:t>
      </w:r>
    </w:p>
    <w:p w14:paraId="6734F535" w14:textId="77777777" w:rsidR="00000000" w:rsidRDefault="00195E73">
      <w:pPr>
        <w:ind w:hanging="270"/>
        <w:divId w:val="1338727644"/>
        <w:rPr>
          <w:rFonts w:eastAsia="Times New Roman"/>
        </w:rPr>
      </w:pPr>
      <w:r>
        <w:rPr>
          <w:rFonts w:eastAsia="Times New Roman"/>
          <w:color w:val="000000"/>
          <w:sz w:val="20"/>
          <w:szCs w:val="20"/>
        </w:rPr>
        <w:t>•</w:t>
      </w:r>
      <w:r>
        <w:rPr>
          <w:rFonts w:eastAsia="Times New Roman"/>
          <w:color w:val="000000"/>
          <w:sz w:val="20"/>
          <w:szCs w:val="20"/>
        </w:rPr>
        <w:t>Carl C. Icahn, Chairman of the Boar</w:t>
      </w:r>
      <w:r>
        <w:rPr>
          <w:rFonts w:eastAsia="Times New Roman"/>
          <w:color w:val="000000"/>
          <w:sz w:val="20"/>
          <w:szCs w:val="20"/>
        </w:rPr>
        <w:t>d</w:t>
      </w:r>
      <w:r>
        <w:rPr>
          <w:rFonts w:eastAsia="Times New Roman"/>
          <w:color w:val="000000"/>
          <w:sz w:val="10"/>
          <w:szCs w:val="10"/>
          <w:vertAlign w:val="superscript"/>
        </w:rPr>
        <w:t>(1)</w:t>
      </w:r>
    </w:p>
    <w:p w14:paraId="75AFD35C" w14:textId="77777777" w:rsidR="00000000" w:rsidRDefault="00195E73">
      <w:pPr>
        <w:ind w:hanging="270"/>
        <w:divId w:val="397362775"/>
        <w:rPr>
          <w:rFonts w:eastAsia="Times New Roman"/>
        </w:rPr>
      </w:pPr>
      <w:r>
        <w:rPr>
          <w:rFonts w:eastAsia="Times New Roman"/>
          <w:color w:val="000000"/>
          <w:sz w:val="20"/>
          <w:szCs w:val="20"/>
        </w:rPr>
        <w:t>•</w:t>
      </w:r>
      <w:r>
        <w:rPr>
          <w:rFonts w:eastAsia="Times New Roman"/>
          <w:color w:val="000000"/>
          <w:sz w:val="20"/>
          <w:szCs w:val="20"/>
        </w:rPr>
        <w:t>Keith Cozza, President and Chief Executive Office</w:t>
      </w:r>
      <w:r>
        <w:rPr>
          <w:rFonts w:eastAsia="Times New Roman"/>
          <w:color w:val="000000"/>
          <w:sz w:val="20"/>
          <w:szCs w:val="20"/>
        </w:rPr>
        <w:t>r</w:t>
      </w:r>
      <w:r>
        <w:rPr>
          <w:rFonts w:eastAsia="Times New Roman"/>
          <w:color w:val="000000"/>
          <w:sz w:val="10"/>
          <w:szCs w:val="10"/>
          <w:vertAlign w:val="superscript"/>
        </w:rPr>
        <w:t>(2)</w:t>
      </w:r>
    </w:p>
    <w:p w14:paraId="754C59D8" w14:textId="77777777" w:rsidR="00000000" w:rsidRDefault="00195E73">
      <w:pPr>
        <w:ind w:hanging="270"/>
        <w:divId w:val="116416750"/>
        <w:rPr>
          <w:rFonts w:eastAsia="Times New Roman"/>
        </w:rPr>
      </w:pPr>
      <w:r>
        <w:rPr>
          <w:rFonts w:eastAsia="Times New Roman"/>
          <w:color w:val="000000"/>
          <w:sz w:val="20"/>
          <w:szCs w:val="20"/>
        </w:rPr>
        <w:t>•</w:t>
      </w:r>
      <w:r>
        <w:rPr>
          <w:rFonts w:eastAsia="Times New Roman"/>
          <w:color w:val="000000"/>
          <w:sz w:val="20"/>
          <w:szCs w:val="20"/>
        </w:rPr>
        <w:t>SungHwan Cho, Chief Financial Office</w:t>
      </w:r>
      <w:r>
        <w:rPr>
          <w:rFonts w:eastAsia="Times New Roman"/>
          <w:color w:val="000000"/>
          <w:sz w:val="20"/>
          <w:szCs w:val="20"/>
        </w:rPr>
        <w:t>r</w:t>
      </w:r>
      <w:r>
        <w:rPr>
          <w:rFonts w:eastAsia="Times New Roman"/>
          <w:color w:val="000000"/>
          <w:sz w:val="10"/>
          <w:szCs w:val="10"/>
          <w:vertAlign w:val="superscript"/>
        </w:rPr>
        <w:t>(3)</w:t>
      </w:r>
    </w:p>
    <w:p w14:paraId="0D1FA331" w14:textId="77777777" w:rsidR="00000000" w:rsidRDefault="00195E73">
      <w:pPr>
        <w:ind w:hanging="270"/>
        <w:divId w:val="1033457740"/>
        <w:rPr>
          <w:rFonts w:eastAsia="Times New Roman"/>
        </w:rPr>
      </w:pPr>
      <w:r>
        <w:rPr>
          <w:rFonts w:eastAsia="Times New Roman"/>
          <w:color w:val="000000"/>
          <w:sz w:val="20"/>
          <w:szCs w:val="20"/>
        </w:rPr>
        <w:t>•</w:t>
      </w:r>
      <w:r>
        <w:rPr>
          <w:rFonts w:eastAsia="Times New Roman"/>
          <w:color w:val="000000"/>
          <w:sz w:val="20"/>
          <w:szCs w:val="20"/>
        </w:rPr>
        <w:t>Peter Reck, Chief Accounting Office</w:t>
      </w:r>
      <w:r>
        <w:rPr>
          <w:rFonts w:eastAsia="Times New Roman"/>
          <w:color w:val="000000"/>
          <w:sz w:val="20"/>
          <w:szCs w:val="20"/>
        </w:rPr>
        <w:t>r</w:t>
      </w:r>
    </w:p>
    <w:p w14:paraId="11C43BB0" w14:textId="77777777" w:rsidR="00000000" w:rsidRDefault="00195E73">
      <w:pPr>
        <w:ind w:hanging="180"/>
        <w:divId w:val="243491631"/>
        <w:rPr>
          <w:rFonts w:eastAsia="Times New Roman"/>
        </w:rPr>
      </w:pPr>
      <w:r>
        <w:rPr>
          <w:rFonts w:eastAsia="Times New Roman"/>
          <w:color w:val="000000"/>
          <w:sz w:val="10"/>
          <w:szCs w:val="10"/>
          <w:vertAlign w:val="superscript"/>
        </w:rPr>
        <w:t>(1)</w:t>
      </w:r>
      <w:r>
        <w:rPr>
          <w:rFonts w:eastAsia="Times New Roman"/>
          <w:color w:val="000000"/>
          <w:sz w:val="10"/>
          <w:szCs w:val="10"/>
          <w:vertAlign w:val="superscript"/>
        </w:rPr>
        <w:t xml:space="preserve"> </w:t>
      </w:r>
      <w:r>
        <w:rPr>
          <w:rFonts w:eastAsia="Times New Roman"/>
          <w:color w:val="000000"/>
          <w:sz w:val="16"/>
          <w:szCs w:val="16"/>
        </w:rPr>
        <w:t>In addition, Mr. Icahn serves as Chief Executive Officer of our subsidiary, Icahn Capital LP and of the Investment Funds</w:t>
      </w:r>
      <w:r>
        <w:rPr>
          <w:rFonts w:eastAsia="Times New Roman"/>
          <w:color w:val="000000"/>
          <w:sz w:val="16"/>
          <w:szCs w:val="16"/>
        </w:rPr>
        <w:t>.</w:t>
      </w:r>
    </w:p>
    <w:p w14:paraId="30327AD9" w14:textId="77777777" w:rsidR="00000000" w:rsidRDefault="00195E73">
      <w:pPr>
        <w:ind w:hanging="180"/>
        <w:divId w:val="782307977"/>
        <w:rPr>
          <w:rFonts w:eastAsia="Times New Roman"/>
        </w:rPr>
      </w:pPr>
      <w:r>
        <w:rPr>
          <w:rFonts w:eastAsia="Times New Roman"/>
          <w:color w:val="000000"/>
          <w:sz w:val="10"/>
          <w:szCs w:val="10"/>
          <w:vertAlign w:val="superscript"/>
        </w:rPr>
        <w:t>(2)</w:t>
      </w:r>
      <w:r>
        <w:rPr>
          <w:rFonts w:eastAsia="Times New Roman"/>
          <w:color w:val="000000"/>
          <w:sz w:val="10"/>
          <w:szCs w:val="10"/>
          <w:vertAlign w:val="superscript"/>
        </w:rPr>
        <w:t xml:space="preserve"> </w:t>
      </w:r>
      <w:r>
        <w:rPr>
          <w:rFonts w:eastAsia="Times New Roman"/>
          <w:color w:val="000000"/>
          <w:sz w:val="16"/>
          <w:szCs w:val="16"/>
        </w:rPr>
        <w:t>In addition, Mr. Cozza also serves as the Chief</w:t>
      </w:r>
      <w:r>
        <w:rPr>
          <w:rFonts w:eastAsia="Times New Roman"/>
          <w:color w:val="000000"/>
          <w:sz w:val="16"/>
          <w:szCs w:val="16"/>
        </w:rPr>
        <w:t xml:space="preserve"> Operating Officer of Icahn Capital LP, serves as director of Icahn Enterprises and Icahn Enterprises Holdings and holds officer and/or director positions at certain of our other subsidiaries.</w:t>
      </w:r>
      <w:r>
        <w:rPr>
          <w:rFonts w:eastAsia="Times New Roman"/>
          <w:color w:val="000000"/>
          <w:sz w:val="16"/>
          <w:szCs w:val="16"/>
        </w:rPr>
        <w:t xml:space="preserve"> </w:t>
      </w:r>
    </w:p>
    <w:p w14:paraId="1B9F9B3E" w14:textId="77777777" w:rsidR="00000000" w:rsidRDefault="00195E73">
      <w:pPr>
        <w:ind w:hanging="180"/>
        <w:divId w:val="554588372"/>
        <w:rPr>
          <w:rFonts w:eastAsia="Times New Roman"/>
        </w:rPr>
      </w:pPr>
      <w:r>
        <w:rPr>
          <w:rFonts w:eastAsia="Times New Roman"/>
          <w:color w:val="000000"/>
          <w:sz w:val="10"/>
          <w:szCs w:val="10"/>
          <w:vertAlign w:val="superscript"/>
        </w:rPr>
        <w:t>(3)</w:t>
      </w:r>
      <w:r>
        <w:rPr>
          <w:rFonts w:eastAsia="Times New Roman"/>
          <w:color w:val="000000"/>
          <w:sz w:val="10"/>
          <w:szCs w:val="10"/>
          <w:vertAlign w:val="superscript"/>
        </w:rPr>
        <w:t xml:space="preserve"> </w:t>
      </w:r>
      <w:r>
        <w:rPr>
          <w:rFonts w:eastAsia="Times New Roman"/>
          <w:color w:val="000000"/>
          <w:sz w:val="16"/>
          <w:szCs w:val="16"/>
        </w:rPr>
        <w:t>In addition, Mr. Cho serves as a director of Icahn Enterpr</w:t>
      </w:r>
      <w:r>
        <w:rPr>
          <w:rFonts w:eastAsia="Times New Roman"/>
          <w:color w:val="000000"/>
          <w:sz w:val="16"/>
          <w:szCs w:val="16"/>
        </w:rPr>
        <w:t>ises and Icahn Enterprises Holdings.</w:t>
      </w:r>
      <w:r>
        <w:rPr>
          <w:rFonts w:eastAsia="Times New Roman"/>
          <w:color w:val="000000"/>
          <w:sz w:val="16"/>
          <w:szCs w:val="16"/>
        </w:rPr>
        <w:t xml:space="preserve"> </w:t>
      </w:r>
    </w:p>
    <w:p w14:paraId="55136D24" w14:textId="77777777" w:rsidR="00000000" w:rsidRDefault="00195E73">
      <w:pPr>
        <w:ind w:firstLine="450"/>
        <w:divId w:val="1493595924"/>
        <w:rPr>
          <w:rFonts w:eastAsia="Times New Roman"/>
        </w:rPr>
      </w:pPr>
      <w:r>
        <w:rPr>
          <w:rFonts w:eastAsia="Times New Roman"/>
          <w:color w:val="000000"/>
          <w:sz w:val="20"/>
          <w:szCs w:val="20"/>
        </w:rPr>
        <w:t>The discussion below is intended to help you understand the detailed information provided in the table and put that information into context within our overall compensation program</w:t>
      </w:r>
      <w:r>
        <w:rPr>
          <w:rFonts w:eastAsia="Times New Roman"/>
          <w:color w:val="000000"/>
          <w:sz w:val="20"/>
          <w:szCs w:val="20"/>
        </w:rPr>
        <w:t>.</w:t>
      </w:r>
    </w:p>
    <w:p w14:paraId="654EF330" w14:textId="77777777" w:rsidR="00000000" w:rsidRDefault="00195E73">
      <w:pPr>
        <w:divId w:val="1763455881"/>
        <w:rPr>
          <w:rFonts w:eastAsia="Times New Roman"/>
        </w:rPr>
      </w:pPr>
      <w:r>
        <w:rPr>
          <w:rFonts w:eastAsia="Times New Roman"/>
          <w:b/>
          <w:bCs/>
          <w:i/>
          <w:iCs/>
          <w:color w:val="000000"/>
          <w:sz w:val="20"/>
          <w:szCs w:val="20"/>
        </w:rPr>
        <w:t>Overview of Compensation Progra</w:t>
      </w:r>
      <w:r>
        <w:rPr>
          <w:rFonts w:eastAsia="Times New Roman"/>
          <w:b/>
          <w:bCs/>
          <w:i/>
          <w:iCs/>
          <w:color w:val="000000"/>
          <w:sz w:val="20"/>
          <w:szCs w:val="20"/>
        </w:rPr>
        <w:t>m</w:t>
      </w:r>
    </w:p>
    <w:p w14:paraId="20D474F8" w14:textId="77777777" w:rsidR="00000000" w:rsidRDefault="00195E73">
      <w:pPr>
        <w:ind w:firstLine="450"/>
        <w:divId w:val="737938416"/>
        <w:rPr>
          <w:rFonts w:eastAsia="Times New Roman"/>
        </w:rPr>
      </w:pPr>
      <w:r>
        <w:rPr>
          <w:rFonts w:eastAsia="Times New Roman"/>
          <w:color w:val="000000"/>
          <w:sz w:val="20"/>
          <w:szCs w:val="20"/>
        </w:rPr>
        <w:t>Thr</w:t>
      </w:r>
      <w:r>
        <w:rPr>
          <w:rFonts w:eastAsia="Times New Roman"/>
          <w:color w:val="000000"/>
          <w:sz w:val="20"/>
          <w:szCs w:val="20"/>
        </w:rPr>
        <w:t>oughout this narrative discussion and in the accompanying table, we refer to our named executive officers. The key compensation package provided to our named executive officers consists of (i) base salary, (ii) incentive compensation and (iii) other benefi</w:t>
      </w:r>
      <w:r>
        <w:rPr>
          <w:rFonts w:eastAsia="Times New Roman"/>
          <w:color w:val="000000"/>
          <w:sz w:val="20"/>
          <w:szCs w:val="20"/>
        </w:rPr>
        <w:t>ts. The key compensation provided to our named executive officers for 2019 consisted of salary and bonuses. See “Additional Information Regarding Executive Compensation - Summary Compensation Table” for the compensation received</w:t>
      </w:r>
      <w:r>
        <w:rPr>
          <w:rFonts w:eastAsia="Times New Roman"/>
          <w:color w:val="000000"/>
          <w:sz w:val="20"/>
          <w:szCs w:val="20"/>
        </w:rPr>
        <w:t xml:space="preserve"> </w:t>
      </w:r>
    </w:p>
    <w:p w14:paraId="11982397" w14:textId="77777777" w:rsidR="00000000" w:rsidRDefault="00195E73">
      <w:pPr>
        <w:jc w:val="center"/>
        <w:divId w:val="219218838"/>
        <w:rPr>
          <w:rFonts w:eastAsia="Times New Roman"/>
        </w:rPr>
      </w:pPr>
      <w:r>
        <w:rPr>
          <w:rFonts w:eastAsia="Times New Roman"/>
          <w:color w:val="000000"/>
          <w:sz w:val="20"/>
          <w:szCs w:val="20"/>
        </w:rPr>
        <w:t>12</w:t>
      </w:r>
      <w:r>
        <w:rPr>
          <w:rFonts w:eastAsia="Times New Roman"/>
          <w:color w:val="000000"/>
          <w:sz w:val="20"/>
          <w:szCs w:val="20"/>
        </w:rPr>
        <w:t>1</w:t>
      </w:r>
    </w:p>
    <w:p w14:paraId="149A1500" w14:textId="77777777" w:rsidR="00000000" w:rsidRDefault="00195E73">
      <w:pPr>
        <w:rPr>
          <w:rFonts w:eastAsia="Times New Roman"/>
        </w:rPr>
      </w:pPr>
      <w:r>
        <w:rPr>
          <w:rFonts w:eastAsia="Times New Roman"/>
        </w:rPr>
        <w:pict w14:anchorId="46DFF799">
          <v:rect id="_x0000_i1147" style="width:0;height:1.5pt" o:hralign="center" o:hrstd="t" o:hr="t" fillcolor="#a0a0a0" stroked="f"/>
        </w:pict>
      </w:r>
    </w:p>
    <w:p w14:paraId="76245CDD" w14:textId="77777777" w:rsidR="00000000" w:rsidRDefault="00195E73">
      <w:pPr>
        <w:divId w:val="290401188"/>
        <w:rPr>
          <w:rFonts w:eastAsia="Times New Roman"/>
        </w:rPr>
      </w:pPr>
    </w:p>
    <w:p w14:paraId="6C0B8F81" w14:textId="77777777" w:rsidR="00000000" w:rsidRDefault="00195E73">
      <w:pPr>
        <w:divId w:val="145634514"/>
        <w:rPr>
          <w:rFonts w:eastAsia="Times New Roman"/>
        </w:rPr>
      </w:pPr>
      <w:r>
        <w:rPr>
          <w:rFonts w:eastAsia="Times New Roman"/>
          <w:color w:val="000000"/>
          <w:sz w:val="20"/>
          <w:szCs w:val="20"/>
        </w:rPr>
        <w:t>by each of our named executive officers for 2019. Executive compensation levels and bonuses are established based upon the recommendation of our chairman, which are discussed with members of the board. The board of directors does not delega</w:t>
      </w:r>
      <w:r>
        <w:rPr>
          <w:rFonts w:eastAsia="Times New Roman"/>
          <w:color w:val="000000"/>
          <w:sz w:val="20"/>
          <w:szCs w:val="20"/>
        </w:rPr>
        <w:t>te the authority to establish executive officer compensation to any other person and has not retained any compensation consultants to determine or recommend the amount or form of executive and director compensation</w:t>
      </w:r>
      <w:r>
        <w:rPr>
          <w:rFonts w:eastAsia="Times New Roman"/>
          <w:color w:val="000000"/>
          <w:sz w:val="20"/>
          <w:szCs w:val="20"/>
        </w:rPr>
        <w:t>.</w:t>
      </w:r>
    </w:p>
    <w:p w14:paraId="128D4692" w14:textId="77777777" w:rsidR="00000000" w:rsidRDefault="00195E73">
      <w:pPr>
        <w:divId w:val="1677030008"/>
        <w:rPr>
          <w:rFonts w:eastAsia="Times New Roman"/>
        </w:rPr>
      </w:pPr>
      <w:r>
        <w:rPr>
          <w:rFonts w:eastAsia="Times New Roman"/>
          <w:b/>
          <w:bCs/>
          <w:i/>
          <w:iCs/>
          <w:color w:val="000000"/>
          <w:sz w:val="20"/>
          <w:szCs w:val="20"/>
        </w:rPr>
        <w:t>Compensation Philosophy and Objective</w:t>
      </w:r>
      <w:r>
        <w:rPr>
          <w:rFonts w:eastAsia="Times New Roman"/>
          <w:b/>
          <w:bCs/>
          <w:i/>
          <w:iCs/>
          <w:color w:val="000000"/>
          <w:sz w:val="20"/>
          <w:szCs w:val="20"/>
        </w:rPr>
        <w:t>s</w:t>
      </w:r>
    </w:p>
    <w:p w14:paraId="50D90882" w14:textId="77777777" w:rsidR="00000000" w:rsidRDefault="00195E73">
      <w:pPr>
        <w:ind w:firstLine="405"/>
        <w:divId w:val="270821163"/>
        <w:rPr>
          <w:rFonts w:eastAsia="Times New Roman"/>
        </w:rPr>
      </w:pPr>
      <w:r>
        <w:rPr>
          <w:rFonts w:eastAsia="Times New Roman"/>
          <w:color w:val="000000"/>
          <w:sz w:val="20"/>
          <w:szCs w:val="20"/>
        </w:rPr>
        <w:t>O</w:t>
      </w:r>
      <w:r>
        <w:rPr>
          <w:rFonts w:eastAsia="Times New Roman"/>
          <w:color w:val="000000"/>
          <w:sz w:val="20"/>
          <w:szCs w:val="20"/>
        </w:rPr>
        <w:t>ur executive compensation philosophy is designed to support our key business objectives while maximizing value to our unitholders. The objectives of our compensation structure are to attract and retain valuable employees, assure fair and internally equitab</w:t>
      </w:r>
      <w:r>
        <w:rPr>
          <w:rFonts w:eastAsia="Times New Roman"/>
          <w:color w:val="000000"/>
          <w:sz w:val="20"/>
          <w:szCs w:val="20"/>
        </w:rPr>
        <w:t>le pay levels and provide a mix of base salary and variable bonuses that provides motivation and rewards performance. At the same time, we seek to optimize and manage compensation costs</w:t>
      </w:r>
      <w:r>
        <w:rPr>
          <w:rFonts w:eastAsia="Times New Roman"/>
          <w:color w:val="000000"/>
          <w:sz w:val="20"/>
          <w:szCs w:val="20"/>
        </w:rPr>
        <w:t>.</w:t>
      </w:r>
    </w:p>
    <w:p w14:paraId="31284948" w14:textId="77777777" w:rsidR="00000000" w:rsidRDefault="00195E73">
      <w:pPr>
        <w:ind w:firstLine="405"/>
        <w:divId w:val="296880314"/>
        <w:rPr>
          <w:rFonts w:eastAsia="Times New Roman"/>
        </w:rPr>
      </w:pPr>
      <w:r>
        <w:rPr>
          <w:rFonts w:eastAsia="Times New Roman"/>
          <w:color w:val="000000"/>
          <w:sz w:val="20"/>
          <w:szCs w:val="20"/>
        </w:rPr>
        <w:t xml:space="preserve">The primary components of our executive compensation are base salary </w:t>
      </w:r>
      <w:r>
        <w:rPr>
          <w:rFonts w:eastAsia="Times New Roman"/>
          <w:color w:val="000000"/>
          <w:sz w:val="20"/>
          <w:szCs w:val="20"/>
        </w:rPr>
        <w:t>and, except as otherwise indicated, annual bonus, payable in cash. Base salary is paid for ongoing performance throughout the year and is determined based on job function and each executive’s contribution to our performance and achievement of our overall b</w:t>
      </w:r>
      <w:r>
        <w:rPr>
          <w:rFonts w:eastAsia="Times New Roman"/>
          <w:color w:val="000000"/>
          <w:sz w:val="20"/>
          <w:szCs w:val="20"/>
        </w:rPr>
        <w:t>usiness objectives. Our annual bonuses are intended to reward particular achievement during the year, motivate future performance and attract and retain highly qualified key employees.</w:t>
      </w:r>
      <w:r>
        <w:rPr>
          <w:rFonts w:eastAsia="Times New Roman"/>
          <w:color w:val="000000"/>
          <w:sz w:val="20"/>
          <w:szCs w:val="20"/>
        </w:rPr>
        <w:t xml:space="preserve"> </w:t>
      </w:r>
    </w:p>
    <w:p w14:paraId="719011C4" w14:textId="77777777" w:rsidR="00000000" w:rsidRDefault="00195E73">
      <w:pPr>
        <w:divId w:val="1497963123"/>
        <w:rPr>
          <w:rFonts w:eastAsia="Times New Roman"/>
        </w:rPr>
      </w:pPr>
      <w:r>
        <w:rPr>
          <w:rFonts w:eastAsia="Times New Roman"/>
          <w:b/>
          <w:bCs/>
          <w:i/>
          <w:iCs/>
          <w:color w:val="000000"/>
          <w:sz w:val="20"/>
          <w:szCs w:val="20"/>
        </w:rPr>
        <w:t>Determination of Appropriate Pay Level</w:t>
      </w:r>
      <w:r>
        <w:rPr>
          <w:rFonts w:eastAsia="Times New Roman"/>
          <w:b/>
          <w:bCs/>
          <w:i/>
          <w:iCs/>
          <w:color w:val="000000"/>
          <w:sz w:val="20"/>
          <w:szCs w:val="20"/>
        </w:rPr>
        <w:t>s</w:t>
      </w:r>
    </w:p>
    <w:p w14:paraId="3F067866" w14:textId="77777777" w:rsidR="00000000" w:rsidRDefault="00195E73">
      <w:pPr>
        <w:ind w:firstLine="405"/>
        <w:divId w:val="908227381"/>
        <w:rPr>
          <w:rFonts w:eastAsia="Times New Roman"/>
        </w:rPr>
      </w:pPr>
      <w:r>
        <w:rPr>
          <w:rFonts w:eastAsia="Times New Roman"/>
          <w:color w:val="000000"/>
          <w:sz w:val="20"/>
          <w:szCs w:val="20"/>
        </w:rPr>
        <w:t>We compete with many other companies for experienced and talented executives. Although we do not benchmark compensation against a specified peer group of companies, we review and consider market information regarding pay practices in the real estate and fi</w:t>
      </w:r>
      <w:r>
        <w:rPr>
          <w:rFonts w:eastAsia="Times New Roman"/>
          <w:color w:val="000000"/>
          <w:sz w:val="20"/>
          <w:szCs w:val="20"/>
        </w:rPr>
        <w:t>nance industries generally in assessing the reasonableness of compensation and ensuring that compensation levels remain competitive in the marketplace</w:t>
      </w:r>
      <w:r>
        <w:rPr>
          <w:rFonts w:eastAsia="Times New Roman"/>
          <w:color w:val="000000"/>
          <w:sz w:val="20"/>
          <w:szCs w:val="20"/>
        </w:rPr>
        <w:t>.</w:t>
      </w:r>
    </w:p>
    <w:p w14:paraId="7645C5FB" w14:textId="77777777" w:rsidR="00000000" w:rsidRDefault="00195E73">
      <w:pPr>
        <w:ind w:firstLine="405"/>
        <w:divId w:val="1932009600"/>
        <w:rPr>
          <w:rFonts w:eastAsia="Times New Roman"/>
        </w:rPr>
      </w:pPr>
      <w:r>
        <w:rPr>
          <w:rFonts w:eastAsia="Times New Roman"/>
          <w:color w:val="000000"/>
          <w:sz w:val="20"/>
          <w:szCs w:val="20"/>
        </w:rPr>
        <w:t>Each element of compensation is reviewed so that the overall compensation package will attract, motivate</w:t>
      </w:r>
      <w:r>
        <w:rPr>
          <w:rFonts w:eastAsia="Times New Roman"/>
          <w:color w:val="000000"/>
          <w:sz w:val="20"/>
          <w:szCs w:val="20"/>
        </w:rPr>
        <w:t xml:space="preserve"> and retain our key employees, including our named executive officers, by rewarding superior performance. The following factors are considered to determine the amount of compensation paid to each executive officer</w:t>
      </w:r>
      <w:r>
        <w:rPr>
          <w:rFonts w:eastAsia="Times New Roman"/>
          <w:color w:val="000000"/>
          <w:sz w:val="20"/>
          <w:szCs w:val="20"/>
        </w:rPr>
        <w:t>:</w:t>
      </w:r>
    </w:p>
    <w:p w14:paraId="6DC921B8" w14:textId="77777777" w:rsidR="00000000" w:rsidRDefault="00195E73">
      <w:pPr>
        <w:ind w:hanging="270"/>
        <w:divId w:val="1671909140"/>
        <w:rPr>
          <w:rFonts w:eastAsia="Times New Roman"/>
        </w:rPr>
      </w:pPr>
      <w:r>
        <w:rPr>
          <w:rFonts w:eastAsia="Times New Roman"/>
          <w:color w:val="000000"/>
          <w:sz w:val="20"/>
          <w:szCs w:val="20"/>
        </w:rPr>
        <w:t>•</w:t>
      </w:r>
      <w:r>
        <w:rPr>
          <w:rFonts w:eastAsia="Times New Roman"/>
          <w:color w:val="000000"/>
          <w:sz w:val="20"/>
          <w:szCs w:val="20"/>
        </w:rPr>
        <w:t>overall job performance, including perfo</w:t>
      </w:r>
      <w:r>
        <w:rPr>
          <w:rFonts w:eastAsia="Times New Roman"/>
          <w:color w:val="000000"/>
          <w:sz w:val="20"/>
          <w:szCs w:val="20"/>
        </w:rPr>
        <w:t>rmance against corporate and individual objectives</w:t>
      </w:r>
      <w:r>
        <w:rPr>
          <w:rFonts w:eastAsia="Times New Roman"/>
          <w:color w:val="000000"/>
          <w:sz w:val="20"/>
          <w:szCs w:val="20"/>
        </w:rPr>
        <w:t>;</w:t>
      </w:r>
    </w:p>
    <w:p w14:paraId="581F93A4" w14:textId="77777777" w:rsidR="00000000" w:rsidRDefault="00195E73">
      <w:pPr>
        <w:ind w:hanging="270"/>
        <w:divId w:val="1245722568"/>
        <w:rPr>
          <w:rFonts w:eastAsia="Times New Roman"/>
        </w:rPr>
      </w:pPr>
      <w:r>
        <w:rPr>
          <w:rFonts w:eastAsia="Times New Roman"/>
          <w:color w:val="000000"/>
          <w:sz w:val="20"/>
          <w:szCs w:val="20"/>
        </w:rPr>
        <w:t>•</w:t>
      </w:r>
      <w:r>
        <w:rPr>
          <w:rFonts w:eastAsia="Times New Roman"/>
          <w:color w:val="000000"/>
          <w:sz w:val="20"/>
          <w:szCs w:val="20"/>
        </w:rPr>
        <w:t>job responsibilities, including unique skills necessary to support our long-term performance, including that of our subsidiaries; an</w:t>
      </w:r>
      <w:r>
        <w:rPr>
          <w:rFonts w:eastAsia="Times New Roman"/>
          <w:color w:val="000000"/>
          <w:sz w:val="20"/>
          <w:szCs w:val="20"/>
        </w:rPr>
        <w:t>d</w:t>
      </w:r>
    </w:p>
    <w:p w14:paraId="4E6FE7E6" w14:textId="77777777" w:rsidR="00000000" w:rsidRDefault="00195E73">
      <w:pPr>
        <w:ind w:hanging="270"/>
        <w:divId w:val="357975209"/>
        <w:rPr>
          <w:rFonts w:eastAsia="Times New Roman"/>
        </w:rPr>
      </w:pPr>
      <w:r>
        <w:rPr>
          <w:rFonts w:eastAsia="Times New Roman"/>
          <w:color w:val="000000"/>
          <w:sz w:val="20"/>
          <w:szCs w:val="20"/>
        </w:rPr>
        <w:t>•</w:t>
      </w:r>
      <w:r>
        <w:rPr>
          <w:rFonts w:eastAsia="Times New Roman"/>
          <w:color w:val="000000"/>
          <w:sz w:val="20"/>
          <w:szCs w:val="20"/>
        </w:rPr>
        <w:t>teamwork, both contributions as a member of the executive management</w:t>
      </w:r>
      <w:r>
        <w:rPr>
          <w:rFonts w:eastAsia="Times New Roman"/>
          <w:color w:val="000000"/>
          <w:sz w:val="20"/>
          <w:szCs w:val="20"/>
        </w:rPr>
        <w:t xml:space="preserve"> team and fostering an environment of personal and professional growth for the entire work force</w:t>
      </w:r>
      <w:r>
        <w:rPr>
          <w:rFonts w:eastAsia="Times New Roman"/>
          <w:color w:val="000000"/>
          <w:sz w:val="20"/>
          <w:szCs w:val="20"/>
        </w:rPr>
        <w:t>.</w:t>
      </w:r>
    </w:p>
    <w:p w14:paraId="36203CEB" w14:textId="77777777" w:rsidR="00000000" w:rsidRDefault="00195E73">
      <w:pPr>
        <w:divId w:val="524902935"/>
        <w:rPr>
          <w:rFonts w:eastAsia="Times New Roman"/>
        </w:rPr>
      </w:pPr>
      <w:r>
        <w:rPr>
          <w:rFonts w:eastAsia="Times New Roman"/>
          <w:b/>
          <w:bCs/>
          <w:i/>
          <w:iCs/>
          <w:color w:val="000000"/>
          <w:sz w:val="20"/>
          <w:szCs w:val="20"/>
        </w:rPr>
        <w:t>Allocation of Compensatio</w:t>
      </w:r>
      <w:r>
        <w:rPr>
          <w:rFonts w:eastAsia="Times New Roman"/>
          <w:b/>
          <w:bCs/>
          <w:i/>
          <w:iCs/>
          <w:color w:val="000000"/>
          <w:sz w:val="20"/>
          <w:szCs w:val="20"/>
        </w:rPr>
        <w:t>n</w:t>
      </w:r>
    </w:p>
    <w:p w14:paraId="0DCDDF76" w14:textId="77777777" w:rsidR="00000000" w:rsidRDefault="00195E73">
      <w:pPr>
        <w:ind w:firstLine="450"/>
        <w:divId w:val="542015207"/>
        <w:rPr>
          <w:rFonts w:eastAsia="Times New Roman"/>
        </w:rPr>
      </w:pPr>
      <w:r>
        <w:rPr>
          <w:rFonts w:eastAsia="Times New Roman"/>
          <w:color w:val="000000"/>
          <w:sz w:val="20"/>
          <w:szCs w:val="20"/>
        </w:rPr>
        <w:t>There is no pre-established policy or target for the allocation of compensation. As we are a limited partnership and a controlled e</w:t>
      </w:r>
      <w:r>
        <w:rPr>
          <w:rFonts w:eastAsia="Times New Roman"/>
          <w:color w:val="000000"/>
          <w:sz w:val="20"/>
          <w:szCs w:val="20"/>
        </w:rPr>
        <w:t>ntity under the NASDAQ listing rules, our status as an MLP exempts us from certain corporate governance rules, including the requirement to maintain a compensation committee. In 2019, the total compensation granted to named executive officers was in the fo</w:t>
      </w:r>
      <w:r>
        <w:rPr>
          <w:rFonts w:eastAsia="Times New Roman"/>
          <w:color w:val="000000"/>
          <w:sz w:val="20"/>
          <w:szCs w:val="20"/>
        </w:rPr>
        <w:t>rm of cash compensation</w:t>
      </w:r>
      <w:r>
        <w:rPr>
          <w:rFonts w:eastAsia="Times New Roman"/>
          <w:color w:val="000000"/>
          <w:sz w:val="20"/>
          <w:szCs w:val="20"/>
        </w:rPr>
        <w:t>.</w:t>
      </w:r>
    </w:p>
    <w:p w14:paraId="2E026E69" w14:textId="77777777" w:rsidR="00000000" w:rsidRDefault="00195E73">
      <w:pPr>
        <w:divId w:val="43410129"/>
        <w:rPr>
          <w:rFonts w:eastAsia="Times New Roman"/>
        </w:rPr>
      </w:pPr>
      <w:r>
        <w:rPr>
          <w:rFonts w:eastAsia="Times New Roman"/>
          <w:b/>
          <w:bCs/>
          <w:i/>
          <w:iCs/>
          <w:color w:val="000000"/>
          <w:sz w:val="20"/>
          <w:szCs w:val="20"/>
        </w:rPr>
        <w:t>Compensation Components</w:t>
      </w:r>
      <w:r>
        <w:rPr>
          <w:rFonts w:eastAsia="Times New Roman"/>
          <w:b/>
          <w:bCs/>
          <w:i/>
          <w:iCs/>
          <w:color w:val="000000"/>
          <w:sz w:val="20"/>
          <w:szCs w:val="20"/>
        </w:rPr>
        <w:t xml:space="preserve"> </w:t>
      </w:r>
    </w:p>
    <w:p w14:paraId="2E5282FE" w14:textId="77777777" w:rsidR="00000000" w:rsidRDefault="00195E73">
      <w:pPr>
        <w:divId w:val="583151586"/>
        <w:rPr>
          <w:rFonts w:eastAsia="Times New Roman"/>
        </w:rPr>
      </w:pPr>
      <w:r>
        <w:rPr>
          <w:rFonts w:eastAsia="Times New Roman"/>
          <w:i/>
          <w:iCs/>
          <w:color w:val="000000"/>
          <w:sz w:val="20"/>
          <w:szCs w:val="20"/>
        </w:rPr>
        <w:t>Base Salar</w:t>
      </w:r>
      <w:r>
        <w:rPr>
          <w:rFonts w:eastAsia="Times New Roman"/>
          <w:i/>
          <w:iCs/>
          <w:color w:val="000000"/>
          <w:sz w:val="20"/>
          <w:szCs w:val="20"/>
        </w:rPr>
        <w:t>y</w:t>
      </w:r>
    </w:p>
    <w:p w14:paraId="2E7823BD" w14:textId="77777777" w:rsidR="00000000" w:rsidRDefault="00195E73">
      <w:pPr>
        <w:ind w:firstLine="405"/>
        <w:divId w:val="193230214"/>
        <w:rPr>
          <w:rFonts w:eastAsia="Times New Roman"/>
        </w:rPr>
      </w:pPr>
      <w:r>
        <w:rPr>
          <w:rFonts w:eastAsia="Times New Roman"/>
          <w:color w:val="000000"/>
          <w:sz w:val="20"/>
          <w:szCs w:val="20"/>
        </w:rPr>
        <w:t>Base salaries for executive officers are determined based on job performance, job responsibilities and teamwork.</w:t>
      </w:r>
      <w:r>
        <w:rPr>
          <w:rFonts w:eastAsia="Times New Roman"/>
          <w:color w:val="000000"/>
          <w:sz w:val="20"/>
          <w:szCs w:val="20"/>
        </w:rPr>
        <w:t xml:space="preserve"> </w:t>
      </w:r>
    </w:p>
    <w:p w14:paraId="51FFDEDA" w14:textId="77777777" w:rsidR="00000000" w:rsidRDefault="00195E73">
      <w:pPr>
        <w:ind w:firstLine="405"/>
        <w:divId w:val="1024673906"/>
        <w:rPr>
          <w:rFonts w:eastAsia="Times New Roman"/>
        </w:rPr>
      </w:pPr>
      <w:r>
        <w:rPr>
          <w:rFonts w:eastAsia="Times New Roman"/>
          <w:color w:val="000000"/>
          <w:sz w:val="20"/>
          <w:szCs w:val="20"/>
        </w:rPr>
        <w:t>Mr. Icahn is currently an at will employee serving as Chairman of the Board of Icahn Enterprises GP, Chairman of the Board and Chief Executive Officer of Icahn Capital LP and Chief Executive Officer of the Investment Funds.</w:t>
      </w:r>
      <w:r>
        <w:rPr>
          <w:rFonts w:eastAsia="Times New Roman"/>
          <w:color w:val="000000"/>
          <w:sz w:val="20"/>
          <w:szCs w:val="20"/>
        </w:rPr>
        <w:t xml:space="preserve"> </w:t>
      </w:r>
    </w:p>
    <w:p w14:paraId="60153F30" w14:textId="77777777" w:rsidR="00000000" w:rsidRDefault="00195E73">
      <w:pPr>
        <w:ind w:firstLine="405"/>
        <w:divId w:val="1813131240"/>
        <w:rPr>
          <w:rFonts w:eastAsia="Times New Roman"/>
        </w:rPr>
      </w:pPr>
      <w:r>
        <w:rPr>
          <w:rFonts w:eastAsia="Times New Roman"/>
          <w:color w:val="000000"/>
          <w:sz w:val="20"/>
          <w:szCs w:val="20"/>
        </w:rPr>
        <w:t>Generally, total compensation i</w:t>
      </w:r>
      <w:r>
        <w:rPr>
          <w:rFonts w:eastAsia="Times New Roman"/>
          <w:color w:val="000000"/>
          <w:sz w:val="20"/>
          <w:szCs w:val="20"/>
        </w:rPr>
        <w:t>s used in determining the amount of contributions permitted under our 401(k) Plan. In addition, base salary may include accrued but unused paid time off (“PTO”) days that have been paid in accordance with the Company’s PTO policy</w:t>
      </w:r>
      <w:r>
        <w:rPr>
          <w:rFonts w:eastAsia="Times New Roman"/>
          <w:color w:val="000000"/>
          <w:sz w:val="20"/>
          <w:szCs w:val="20"/>
        </w:rPr>
        <w:t>.</w:t>
      </w:r>
    </w:p>
    <w:p w14:paraId="2A260728" w14:textId="77777777" w:rsidR="00000000" w:rsidRDefault="00195E73">
      <w:pPr>
        <w:ind w:firstLine="405"/>
        <w:divId w:val="2074809979"/>
        <w:rPr>
          <w:rFonts w:eastAsia="Times New Roman"/>
        </w:rPr>
      </w:pPr>
      <w:r>
        <w:rPr>
          <w:rFonts w:eastAsia="Times New Roman"/>
          <w:color w:val="000000"/>
          <w:sz w:val="20"/>
          <w:szCs w:val="20"/>
        </w:rPr>
        <w:t>See “Additional Informati</w:t>
      </w:r>
      <w:r>
        <w:rPr>
          <w:rFonts w:eastAsia="Times New Roman"/>
          <w:color w:val="000000"/>
          <w:sz w:val="20"/>
          <w:szCs w:val="20"/>
        </w:rPr>
        <w:t>on Regarding Executive Compensation - Summary Compensation Table” for detailed information on the compensation received by each of our named executive officers for 2019</w:t>
      </w:r>
      <w:r>
        <w:rPr>
          <w:rFonts w:eastAsia="Times New Roman"/>
          <w:color w:val="000000"/>
          <w:sz w:val="20"/>
          <w:szCs w:val="20"/>
        </w:rPr>
        <w:t>.</w:t>
      </w:r>
    </w:p>
    <w:p w14:paraId="0FED4088" w14:textId="77777777" w:rsidR="00000000" w:rsidRDefault="00195E73">
      <w:pPr>
        <w:divId w:val="1788503079"/>
        <w:rPr>
          <w:rFonts w:eastAsia="Times New Roman"/>
        </w:rPr>
      </w:pPr>
      <w:r>
        <w:rPr>
          <w:rFonts w:eastAsia="Times New Roman"/>
          <w:i/>
          <w:iCs/>
          <w:color w:val="000000"/>
          <w:sz w:val="20"/>
          <w:szCs w:val="20"/>
        </w:rPr>
        <w:t>Bonu</w:t>
      </w:r>
      <w:r>
        <w:rPr>
          <w:rFonts w:eastAsia="Times New Roman"/>
          <w:i/>
          <w:iCs/>
          <w:color w:val="000000"/>
          <w:sz w:val="20"/>
          <w:szCs w:val="20"/>
        </w:rPr>
        <w:t>s</w:t>
      </w:r>
    </w:p>
    <w:p w14:paraId="1BD16153" w14:textId="77777777" w:rsidR="00000000" w:rsidRDefault="00195E73">
      <w:pPr>
        <w:ind w:firstLine="450"/>
        <w:divId w:val="1377781804"/>
        <w:rPr>
          <w:rFonts w:eastAsia="Times New Roman"/>
        </w:rPr>
      </w:pPr>
      <w:r>
        <w:rPr>
          <w:rFonts w:eastAsia="Times New Roman"/>
          <w:color w:val="000000"/>
          <w:sz w:val="20"/>
          <w:szCs w:val="20"/>
        </w:rPr>
        <w:t>The Company believes that bonuses are an integral component of compensation that</w:t>
      </w:r>
      <w:r>
        <w:rPr>
          <w:rFonts w:eastAsia="Times New Roman"/>
          <w:color w:val="000000"/>
          <w:sz w:val="20"/>
          <w:szCs w:val="20"/>
        </w:rPr>
        <w:t xml:space="preserve"> is an important way to motivate and reward performance of our employees. The Company does not have a formula or pre-established policy for determining either salary levels or bonuses; bonuses are discretionary. In addition, in order that we remain competi</w:t>
      </w:r>
      <w:r>
        <w:rPr>
          <w:rFonts w:eastAsia="Times New Roman"/>
          <w:color w:val="000000"/>
          <w:sz w:val="20"/>
          <w:szCs w:val="20"/>
        </w:rPr>
        <w:t>tive in the marketplace, we may review market information regarding pay practices in the real estate and finance industries generally in determining bonuses. Generally, bonuses are determined by various factors, including, but not limited to, the achieveme</w:t>
      </w:r>
      <w:r>
        <w:rPr>
          <w:rFonts w:eastAsia="Times New Roman"/>
          <w:color w:val="000000"/>
          <w:sz w:val="20"/>
          <w:szCs w:val="20"/>
        </w:rPr>
        <w:t>nt of financial goals and other</w:t>
      </w:r>
      <w:r>
        <w:rPr>
          <w:rFonts w:eastAsia="Times New Roman"/>
          <w:color w:val="000000"/>
          <w:sz w:val="20"/>
          <w:szCs w:val="20"/>
        </w:rPr>
        <w:t xml:space="preserve"> </w:t>
      </w:r>
    </w:p>
    <w:p w14:paraId="4A8F5E4E" w14:textId="77777777" w:rsidR="00000000" w:rsidRDefault="00195E73">
      <w:pPr>
        <w:jc w:val="center"/>
        <w:divId w:val="1415855836"/>
        <w:rPr>
          <w:rFonts w:eastAsia="Times New Roman"/>
        </w:rPr>
      </w:pPr>
      <w:r>
        <w:rPr>
          <w:rFonts w:eastAsia="Times New Roman"/>
          <w:color w:val="000000"/>
          <w:sz w:val="20"/>
          <w:szCs w:val="20"/>
        </w:rPr>
        <w:t>12</w:t>
      </w:r>
      <w:r>
        <w:rPr>
          <w:rFonts w:eastAsia="Times New Roman"/>
          <w:color w:val="000000"/>
          <w:sz w:val="20"/>
          <w:szCs w:val="20"/>
        </w:rPr>
        <w:t>2</w:t>
      </w:r>
    </w:p>
    <w:p w14:paraId="7921B62B" w14:textId="77777777" w:rsidR="00000000" w:rsidRDefault="00195E73">
      <w:pPr>
        <w:rPr>
          <w:rFonts w:eastAsia="Times New Roman"/>
        </w:rPr>
      </w:pPr>
      <w:r>
        <w:rPr>
          <w:rFonts w:eastAsia="Times New Roman"/>
        </w:rPr>
        <w:pict w14:anchorId="192A7E3A">
          <v:rect id="_x0000_i1148" style="width:0;height:1.5pt" o:hralign="center" o:hrstd="t" o:hr="t" fillcolor="#a0a0a0" stroked="f"/>
        </w:pict>
      </w:r>
    </w:p>
    <w:p w14:paraId="1D5675AD" w14:textId="77777777" w:rsidR="00000000" w:rsidRDefault="00195E73">
      <w:pPr>
        <w:divId w:val="1711612414"/>
        <w:rPr>
          <w:rFonts w:eastAsia="Times New Roman"/>
        </w:rPr>
      </w:pPr>
    </w:p>
    <w:p w14:paraId="18ED309D" w14:textId="77777777" w:rsidR="00000000" w:rsidRDefault="00195E73">
      <w:pPr>
        <w:divId w:val="447628708"/>
        <w:rPr>
          <w:rFonts w:eastAsia="Times New Roman"/>
        </w:rPr>
      </w:pPr>
      <w:r>
        <w:rPr>
          <w:rFonts w:eastAsia="Times New Roman"/>
          <w:color w:val="000000"/>
          <w:sz w:val="20"/>
          <w:szCs w:val="20"/>
        </w:rPr>
        <w:t>Company goals that are determined to be critical to the success of the Company, overall job performance, including performance against corporate and individual objectives, job resp</w:t>
      </w:r>
      <w:r>
        <w:rPr>
          <w:rFonts w:eastAsia="Times New Roman"/>
          <w:color w:val="000000"/>
          <w:sz w:val="20"/>
          <w:szCs w:val="20"/>
        </w:rPr>
        <w:t>onsibilities and teamwork for each individual</w:t>
      </w:r>
      <w:r>
        <w:rPr>
          <w:rFonts w:eastAsia="Times New Roman"/>
          <w:color w:val="000000"/>
          <w:sz w:val="20"/>
          <w:szCs w:val="20"/>
        </w:rPr>
        <w:t>.</w:t>
      </w:r>
    </w:p>
    <w:p w14:paraId="5E6EA471" w14:textId="77777777" w:rsidR="00000000" w:rsidRDefault="00195E73">
      <w:pPr>
        <w:ind w:firstLine="405"/>
        <w:divId w:val="990215697"/>
        <w:rPr>
          <w:rFonts w:eastAsia="Times New Roman"/>
        </w:rPr>
      </w:pPr>
      <w:r>
        <w:rPr>
          <w:rFonts w:eastAsia="Times New Roman"/>
          <w:color w:val="000000"/>
          <w:sz w:val="20"/>
          <w:szCs w:val="20"/>
        </w:rPr>
        <w:t>For 2019, Mr. Cozza was paid a discretionary bonus of $5,000,000. For 2019 Messrs. Cho and Reck are each eligible to receive a discretionary bonus, the amounts of which have not been paid or determined as of t</w:t>
      </w:r>
      <w:r>
        <w:rPr>
          <w:rFonts w:eastAsia="Times New Roman"/>
          <w:color w:val="000000"/>
          <w:sz w:val="20"/>
          <w:szCs w:val="20"/>
        </w:rPr>
        <w:t xml:space="preserve">he date of this Report but which, as of the date of this Report, we expect to be no less than the respective bonus payments for 2018 (i.e. $1,700,000 for Mr. Cho and $225,000 for Mr. Reck). Due to the discretionary nature of the bonuses, the bonus amounts </w:t>
      </w:r>
      <w:r>
        <w:rPr>
          <w:rFonts w:eastAsia="Times New Roman"/>
          <w:color w:val="000000"/>
          <w:sz w:val="20"/>
          <w:szCs w:val="20"/>
        </w:rPr>
        <w:t>may differ from, and may be greater than, these estimates and the actual amounts paid will not be determined until March 2020.</w:t>
      </w:r>
      <w:r>
        <w:rPr>
          <w:rFonts w:eastAsia="Times New Roman"/>
          <w:color w:val="000000"/>
          <w:sz w:val="20"/>
          <w:szCs w:val="20"/>
        </w:rPr>
        <w:t xml:space="preserve"> </w:t>
      </w:r>
    </w:p>
    <w:p w14:paraId="55A75FBC" w14:textId="77777777" w:rsidR="00000000" w:rsidRDefault="00195E73">
      <w:pPr>
        <w:divId w:val="128324294"/>
        <w:rPr>
          <w:rFonts w:eastAsia="Times New Roman"/>
        </w:rPr>
      </w:pPr>
      <w:r>
        <w:rPr>
          <w:rFonts w:eastAsia="Times New Roman"/>
          <w:i/>
          <w:iCs/>
          <w:color w:val="000000"/>
          <w:sz w:val="20"/>
          <w:szCs w:val="20"/>
        </w:rPr>
        <w:t>401(k) Plan and Other Benefit</w:t>
      </w:r>
      <w:r>
        <w:rPr>
          <w:rFonts w:eastAsia="Times New Roman"/>
          <w:i/>
          <w:iCs/>
          <w:color w:val="000000"/>
          <w:sz w:val="20"/>
          <w:szCs w:val="20"/>
        </w:rPr>
        <w:t>s</w:t>
      </w:r>
    </w:p>
    <w:p w14:paraId="1110A397" w14:textId="77777777" w:rsidR="00000000" w:rsidRDefault="00195E73">
      <w:pPr>
        <w:ind w:firstLine="405"/>
        <w:divId w:val="1308509011"/>
        <w:rPr>
          <w:rFonts w:eastAsia="Times New Roman"/>
        </w:rPr>
      </w:pPr>
      <w:r>
        <w:rPr>
          <w:rFonts w:eastAsia="Times New Roman"/>
          <w:color w:val="000000"/>
          <w:sz w:val="20"/>
          <w:szCs w:val="20"/>
        </w:rPr>
        <w:t>For 2019, Messrs. Cozza, Cho and Reck were our only named executive officers participating in our</w:t>
      </w:r>
      <w:r>
        <w:rPr>
          <w:rFonts w:eastAsia="Times New Roman"/>
          <w:color w:val="000000"/>
          <w:sz w:val="20"/>
          <w:szCs w:val="20"/>
        </w:rPr>
        <w:t xml:space="preserve"> qualified Icahn Enterprises Holdings 401(k) Plan (the “401(k) Plan”), and thus received matching contributions for 2019. The matching contributions for the respective named executive officer in 2019 are disclosed in our Summary Compensation Table under “A</w:t>
      </w:r>
      <w:r>
        <w:rPr>
          <w:rFonts w:eastAsia="Times New Roman"/>
          <w:color w:val="000000"/>
          <w:sz w:val="20"/>
          <w:szCs w:val="20"/>
        </w:rPr>
        <w:t>ll Other Compensation” and in the related footnote. Mr. Icahn was our only named executive who did not participate in the 401(k) Plan for 2019. Our 401(k) Plan helps employees save and prepare financially for retirement.</w:t>
      </w:r>
      <w:r>
        <w:rPr>
          <w:rFonts w:eastAsia="Times New Roman"/>
          <w:color w:val="000000"/>
          <w:sz w:val="20"/>
          <w:szCs w:val="20"/>
        </w:rPr>
        <w:t xml:space="preserve"> </w:t>
      </w:r>
    </w:p>
    <w:p w14:paraId="466087BC" w14:textId="77777777" w:rsidR="00000000" w:rsidRDefault="00195E73">
      <w:pPr>
        <w:ind w:firstLine="405"/>
        <w:divId w:val="1795250362"/>
        <w:rPr>
          <w:rFonts w:eastAsia="Times New Roman"/>
        </w:rPr>
      </w:pPr>
      <w:r>
        <w:rPr>
          <w:rFonts w:eastAsia="Times New Roman"/>
          <w:color w:val="000000"/>
          <w:sz w:val="20"/>
          <w:szCs w:val="20"/>
        </w:rPr>
        <w:t>The 401(k) Plan allows employees t</w:t>
      </w:r>
      <w:r>
        <w:rPr>
          <w:rFonts w:eastAsia="Times New Roman"/>
          <w:color w:val="000000"/>
          <w:sz w:val="20"/>
          <w:szCs w:val="20"/>
        </w:rPr>
        <w:t>o contribute up to 50% of their eligible compensation, up to the limits imposed by the Internal Revenue Code, as amended, on a pre-tax basis. We currently match, within prescribed limits, 50% of eligible employees’ contributions up to 6.25% of their eligib</w:t>
      </w:r>
      <w:r>
        <w:rPr>
          <w:rFonts w:eastAsia="Times New Roman"/>
          <w:color w:val="000000"/>
          <w:sz w:val="20"/>
          <w:szCs w:val="20"/>
        </w:rPr>
        <w:t>le compensation. Participants choose to invest their account balances from an array of investment options as selected by plan fiduciaries from time to time. The 401(k) Plan provides distributions in a lump sum. Under certain circumstances, loans and withdr</w:t>
      </w:r>
      <w:r>
        <w:rPr>
          <w:rFonts w:eastAsia="Times New Roman"/>
          <w:color w:val="000000"/>
          <w:sz w:val="20"/>
          <w:szCs w:val="20"/>
        </w:rPr>
        <w:t>awals are permitted</w:t>
      </w:r>
      <w:r>
        <w:rPr>
          <w:rFonts w:eastAsia="Times New Roman"/>
          <w:color w:val="000000"/>
          <w:sz w:val="20"/>
          <w:szCs w:val="20"/>
        </w:rPr>
        <w:t>.</w:t>
      </w:r>
    </w:p>
    <w:p w14:paraId="004413C3" w14:textId="77777777" w:rsidR="00000000" w:rsidRDefault="00195E73">
      <w:pPr>
        <w:ind w:firstLine="405"/>
        <w:divId w:val="1785808612"/>
        <w:rPr>
          <w:rFonts w:eastAsia="Times New Roman"/>
        </w:rPr>
      </w:pPr>
      <w:r>
        <w:rPr>
          <w:rFonts w:eastAsia="Times New Roman"/>
          <w:color w:val="000000"/>
          <w:sz w:val="20"/>
          <w:szCs w:val="20"/>
        </w:rPr>
        <w:t>All of our named executive officers are entitled to receive medical, dental, life insurance and PTO benefits that are offered to all of our employees and are designed to enable us to attract and retain our workforce in a competitive en</w:t>
      </w:r>
      <w:r>
        <w:rPr>
          <w:rFonts w:eastAsia="Times New Roman"/>
          <w:color w:val="000000"/>
          <w:sz w:val="20"/>
          <w:szCs w:val="20"/>
        </w:rPr>
        <w:t>vironment. Health and PTO benefits help ensure that we have a productive and focused workforce.</w:t>
      </w:r>
      <w:r>
        <w:rPr>
          <w:rFonts w:eastAsia="Times New Roman"/>
          <w:color w:val="000000"/>
          <w:sz w:val="20"/>
          <w:szCs w:val="20"/>
        </w:rPr>
        <w:t xml:space="preserve"> </w:t>
      </w:r>
    </w:p>
    <w:p w14:paraId="4EB6D8DC" w14:textId="77777777" w:rsidR="00000000" w:rsidRDefault="00195E73">
      <w:pPr>
        <w:divId w:val="1000424408"/>
        <w:rPr>
          <w:rFonts w:eastAsia="Times New Roman"/>
        </w:rPr>
      </w:pPr>
      <w:r>
        <w:rPr>
          <w:rFonts w:eastAsia="Times New Roman"/>
          <w:i/>
          <w:iCs/>
          <w:color w:val="000000"/>
          <w:sz w:val="20"/>
          <w:szCs w:val="20"/>
        </w:rPr>
        <w:t>Perquisite</w:t>
      </w:r>
      <w:r>
        <w:rPr>
          <w:rFonts w:eastAsia="Times New Roman"/>
          <w:i/>
          <w:iCs/>
          <w:color w:val="000000"/>
          <w:sz w:val="20"/>
          <w:szCs w:val="20"/>
        </w:rPr>
        <w:t>s</w:t>
      </w:r>
    </w:p>
    <w:p w14:paraId="57AA5287" w14:textId="77777777" w:rsidR="00000000" w:rsidRDefault="00195E73">
      <w:pPr>
        <w:ind w:firstLine="405"/>
        <w:divId w:val="1254126269"/>
        <w:rPr>
          <w:rFonts w:eastAsia="Times New Roman"/>
        </w:rPr>
      </w:pPr>
      <w:r>
        <w:rPr>
          <w:rFonts w:eastAsia="Times New Roman"/>
          <w:color w:val="000000"/>
          <w:sz w:val="20"/>
          <w:szCs w:val="20"/>
        </w:rPr>
        <w:t xml:space="preserve">The total value of all perquisites and personal benefits (exclusive of 401(k) Plan matching contributions) provided to each of our named executive </w:t>
      </w:r>
      <w:r>
        <w:rPr>
          <w:rFonts w:eastAsia="Times New Roman"/>
          <w:color w:val="000000"/>
          <w:sz w:val="20"/>
          <w:szCs w:val="20"/>
        </w:rPr>
        <w:t>officers for 2019, 2018 and 2017 was less than $10,000 per person, except for Mr. Icahn, for whom perquisites and other benefits are identified in the Summary Compensation Table under the “All Other Compensation” column and in related footnotes</w:t>
      </w:r>
      <w:r>
        <w:rPr>
          <w:rFonts w:eastAsia="Times New Roman"/>
          <w:color w:val="000000"/>
          <w:sz w:val="20"/>
          <w:szCs w:val="20"/>
        </w:rPr>
        <w:t>.</w:t>
      </w:r>
    </w:p>
    <w:p w14:paraId="3C2CEEC4" w14:textId="77777777" w:rsidR="00000000" w:rsidRDefault="00195E73">
      <w:pPr>
        <w:divId w:val="1633167912"/>
        <w:rPr>
          <w:rFonts w:eastAsia="Times New Roman"/>
        </w:rPr>
      </w:pPr>
      <w:r>
        <w:rPr>
          <w:rFonts w:eastAsia="Times New Roman"/>
          <w:b/>
          <w:bCs/>
          <w:i/>
          <w:iCs/>
          <w:color w:val="000000"/>
          <w:sz w:val="20"/>
          <w:szCs w:val="20"/>
        </w:rPr>
        <w:t>CEO Pay Ra</w:t>
      </w:r>
      <w:r>
        <w:rPr>
          <w:rFonts w:eastAsia="Times New Roman"/>
          <w:b/>
          <w:bCs/>
          <w:i/>
          <w:iCs/>
          <w:color w:val="000000"/>
          <w:sz w:val="20"/>
          <w:szCs w:val="20"/>
        </w:rPr>
        <w:t>ti</w:t>
      </w:r>
      <w:r>
        <w:rPr>
          <w:rFonts w:eastAsia="Times New Roman"/>
          <w:b/>
          <w:bCs/>
          <w:i/>
          <w:iCs/>
          <w:color w:val="000000"/>
          <w:sz w:val="20"/>
          <w:szCs w:val="20"/>
        </w:rPr>
        <w:t>o</w:t>
      </w:r>
    </w:p>
    <w:p w14:paraId="22D0BA5C" w14:textId="77777777" w:rsidR="00000000" w:rsidRDefault="00195E73">
      <w:pPr>
        <w:ind w:firstLine="405"/>
        <w:divId w:val="1551183917"/>
        <w:rPr>
          <w:rFonts w:eastAsia="Times New Roman"/>
        </w:rPr>
      </w:pPr>
      <w:r>
        <w:rPr>
          <w:rFonts w:eastAsia="Times New Roman"/>
          <w:color w:val="000000"/>
          <w:sz w:val="20"/>
          <w:szCs w:val="20"/>
        </w:rPr>
        <w:t>Our Chief Executive Officer to median employee pay ratio (“CEO Pay Ratio”) is calculated in accordance with Regulation S-K. We determined that we were permitted by Regulation S-K to use the same median employee for 2019 as was identified in the prior y</w:t>
      </w:r>
      <w:r>
        <w:rPr>
          <w:rFonts w:eastAsia="Times New Roman"/>
          <w:color w:val="000000"/>
          <w:sz w:val="20"/>
          <w:szCs w:val="20"/>
        </w:rPr>
        <w:t>ear using data as of December 31, 2018, which used total cash compensation (inclusive of any bonuses) as our compensation measure. We elected to use the prior year data as we have not had significant changes to our employee population or employee compensat</w:t>
      </w:r>
      <w:r>
        <w:rPr>
          <w:rFonts w:eastAsia="Times New Roman"/>
          <w:color w:val="000000"/>
          <w:sz w:val="20"/>
          <w:szCs w:val="20"/>
        </w:rPr>
        <w:t>ion arrangements that we reasonably believe would result in a significant change in our CEO Pay Ratio disclosure</w:t>
      </w:r>
      <w:r>
        <w:rPr>
          <w:rFonts w:eastAsia="Times New Roman"/>
          <w:color w:val="000000"/>
          <w:sz w:val="20"/>
          <w:szCs w:val="20"/>
        </w:rPr>
        <w:t>.</w:t>
      </w:r>
    </w:p>
    <w:p w14:paraId="3C8A1724" w14:textId="77777777" w:rsidR="00000000" w:rsidRDefault="00195E73">
      <w:pPr>
        <w:ind w:firstLine="405"/>
        <w:divId w:val="1165248476"/>
        <w:rPr>
          <w:rFonts w:eastAsia="Times New Roman"/>
        </w:rPr>
      </w:pPr>
      <w:r>
        <w:rPr>
          <w:rFonts w:eastAsia="Times New Roman"/>
          <w:color w:val="000000"/>
          <w:sz w:val="20"/>
          <w:szCs w:val="20"/>
        </w:rPr>
        <w:t>We believe that the use of total cash compensation for all employees is a consistently applied compensation measure because we do not widely d</w:t>
      </w:r>
      <w:r>
        <w:rPr>
          <w:rFonts w:eastAsia="Times New Roman"/>
          <w:color w:val="000000"/>
          <w:sz w:val="20"/>
          <w:szCs w:val="20"/>
        </w:rPr>
        <w:t>istribute annual equity awards to employees or other forms of non-cash compensation. We included all active employees, except as permitted to be excluded by Regulation S-K, whether employed on a full-time, part-time, temporary or seasonal basis. We did not</w:t>
      </w:r>
      <w:r>
        <w:rPr>
          <w:rFonts w:eastAsia="Times New Roman"/>
          <w:color w:val="000000"/>
          <w:sz w:val="20"/>
          <w:szCs w:val="20"/>
        </w:rPr>
        <w:t xml:space="preserve"> utilize any sampling methods and we did not make any assumptions, adjustments, or estimates with respect to total cash compensation, except to annualize full-time and part-time employees who were hired during the period and to translate any compensation m</w:t>
      </w:r>
      <w:r>
        <w:rPr>
          <w:rFonts w:eastAsia="Times New Roman"/>
          <w:color w:val="000000"/>
          <w:sz w:val="20"/>
          <w:szCs w:val="20"/>
        </w:rPr>
        <w:t>easured in a foreign currency to U.S. Dollars</w:t>
      </w:r>
      <w:r>
        <w:rPr>
          <w:rFonts w:eastAsia="Times New Roman"/>
          <w:color w:val="000000"/>
          <w:sz w:val="20"/>
          <w:szCs w:val="20"/>
        </w:rPr>
        <w:t>.</w:t>
      </w:r>
    </w:p>
    <w:p w14:paraId="18A69101" w14:textId="77777777" w:rsidR="00000000" w:rsidRDefault="00195E73">
      <w:pPr>
        <w:ind w:firstLine="405"/>
        <w:divId w:val="1833060898"/>
        <w:rPr>
          <w:rFonts w:eastAsia="Times New Roman"/>
        </w:rPr>
      </w:pPr>
      <w:r>
        <w:rPr>
          <w:rFonts w:eastAsia="Times New Roman"/>
          <w:color w:val="000000"/>
          <w:sz w:val="20"/>
          <w:szCs w:val="20"/>
        </w:rPr>
        <w:t>The median employee identified in the prior year was no longer an active employee as of December 31, 2019, therefore, as permitted by Regulation S-K, we identified another employee from our prior year date tha</w:t>
      </w:r>
      <w:r>
        <w:rPr>
          <w:rFonts w:eastAsia="Times New Roman"/>
          <w:color w:val="000000"/>
          <w:sz w:val="20"/>
          <w:szCs w:val="20"/>
        </w:rPr>
        <w:t>t is currently actively employed as of December 31, 2019. Such employee is employed by the same subsidiary in the same geographic location with substantially similar compensation arrangements as the median employee identified in the prior year. After ident</w:t>
      </w:r>
      <w:r>
        <w:rPr>
          <w:rFonts w:eastAsia="Times New Roman"/>
          <w:color w:val="000000"/>
          <w:sz w:val="20"/>
          <w:szCs w:val="20"/>
        </w:rPr>
        <w:t>ifying the median employee for 2019, we calculated the total 2019 annual compensation for such employee using the same methodology we use for our named executive officers as set forth in the Summary Compensation Table below.</w:t>
      </w:r>
      <w:r>
        <w:rPr>
          <w:rFonts w:eastAsia="Times New Roman"/>
          <w:color w:val="000000"/>
          <w:sz w:val="20"/>
          <w:szCs w:val="20"/>
        </w:rPr>
        <w:t xml:space="preserve"> </w:t>
      </w:r>
    </w:p>
    <w:p w14:paraId="49158D6F" w14:textId="77777777" w:rsidR="00000000" w:rsidRDefault="00195E73">
      <w:pPr>
        <w:ind w:firstLine="405"/>
        <w:divId w:val="625427766"/>
        <w:rPr>
          <w:rFonts w:eastAsia="Times New Roman"/>
        </w:rPr>
      </w:pPr>
      <w:r>
        <w:rPr>
          <w:rFonts w:eastAsia="Times New Roman"/>
          <w:color w:val="000000"/>
          <w:sz w:val="20"/>
          <w:szCs w:val="20"/>
        </w:rPr>
        <w:t xml:space="preserve">Our Chief Executive Officer’s </w:t>
      </w:r>
      <w:r>
        <w:rPr>
          <w:rFonts w:eastAsia="Times New Roman"/>
          <w:color w:val="000000"/>
          <w:sz w:val="20"/>
          <w:szCs w:val="20"/>
        </w:rPr>
        <w:t>total annual compensation for 2019 was $6,511,387. The median employee’s total annual compensation for 2019 was $31,203. The ratio of our Chief Executive Officer’s total annual compensation to our median employee’s total annual compensation for 2019 was 20</w:t>
      </w:r>
      <w:r>
        <w:rPr>
          <w:rFonts w:eastAsia="Times New Roman"/>
          <w:color w:val="000000"/>
          <w:sz w:val="20"/>
          <w:szCs w:val="20"/>
        </w:rPr>
        <w:t>9:1</w:t>
      </w:r>
      <w:r>
        <w:rPr>
          <w:rFonts w:eastAsia="Times New Roman"/>
          <w:color w:val="000000"/>
          <w:sz w:val="20"/>
          <w:szCs w:val="20"/>
        </w:rPr>
        <w:t>.</w:t>
      </w:r>
    </w:p>
    <w:p w14:paraId="5ADFAC65" w14:textId="77777777" w:rsidR="00000000" w:rsidRDefault="00195E73">
      <w:pPr>
        <w:divId w:val="946427768"/>
        <w:rPr>
          <w:rFonts w:eastAsia="Times New Roman"/>
        </w:rPr>
      </w:pPr>
      <w:r>
        <w:rPr>
          <w:rFonts w:eastAsia="Times New Roman"/>
          <w:b/>
          <w:bCs/>
          <w:color w:val="000000"/>
          <w:sz w:val="20"/>
          <w:szCs w:val="20"/>
        </w:rPr>
        <w:t>Compensation Committee Repor</w:t>
      </w:r>
      <w:r>
        <w:rPr>
          <w:rFonts w:eastAsia="Times New Roman"/>
          <w:b/>
          <w:bCs/>
          <w:color w:val="000000"/>
          <w:sz w:val="20"/>
          <w:szCs w:val="20"/>
        </w:rPr>
        <w:t>t</w:t>
      </w:r>
    </w:p>
    <w:p w14:paraId="51E58D0F" w14:textId="77777777" w:rsidR="00000000" w:rsidRDefault="00195E73">
      <w:pPr>
        <w:ind w:firstLine="405"/>
        <w:divId w:val="1070614985"/>
        <w:rPr>
          <w:rFonts w:eastAsia="Times New Roman"/>
        </w:rPr>
      </w:pPr>
      <w:r>
        <w:rPr>
          <w:rFonts w:eastAsia="Times New Roman"/>
          <w:color w:val="000000"/>
          <w:sz w:val="20"/>
          <w:szCs w:val="20"/>
        </w:rPr>
        <w:t>As stated above, pursuant to exemptions from the NASDAQ listing rules, the board of directors is not required to have, and does not have, a standing compensation committee. The board of directors has reviewed and discusse</w:t>
      </w:r>
      <w:r>
        <w:rPr>
          <w:rFonts w:eastAsia="Times New Roman"/>
          <w:color w:val="000000"/>
          <w:sz w:val="20"/>
          <w:szCs w:val="20"/>
        </w:rPr>
        <w:t>d the Compensation</w:t>
      </w:r>
      <w:r>
        <w:rPr>
          <w:rFonts w:eastAsia="Times New Roman"/>
          <w:color w:val="000000"/>
          <w:sz w:val="20"/>
          <w:szCs w:val="20"/>
        </w:rPr>
        <w:t xml:space="preserve"> </w:t>
      </w:r>
    </w:p>
    <w:p w14:paraId="6E6167A4" w14:textId="77777777" w:rsidR="00000000" w:rsidRDefault="00195E73">
      <w:pPr>
        <w:jc w:val="center"/>
        <w:divId w:val="1045522905"/>
        <w:rPr>
          <w:rFonts w:eastAsia="Times New Roman"/>
        </w:rPr>
      </w:pPr>
      <w:r>
        <w:rPr>
          <w:rFonts w:eastAsia="Times New Roman"/>
          <w:color w:val="000000"/>
          <w:sz w:val="20"/>
          <w:szCs w:val="20"/>
        </w:rPr>
        <w:t>12</w:t>
      </w:r>
      <w:r>
        <w:rPr>
          <w:rFonts w:eastAsia="Times New Roman"/>
          <w:color w:val="000000"/>
          <w:sz w:val="20"/>
          <w:szCs w:val="20"/>
        </w:rPr>
        <w:t>3</w:t>
      </w:r>
    </w:p>
    <w:p w14:paraId="29D1EDB3" w14:textId="77777777" w:rsidR="00000000" w:rsidRDefault="00195E73">
      <w:pPr>
        <w:rPr>
          <w:rFonts w:eastAsia="Times New Roman"/>
        </w:rPr>
      </w:pPr>
      <w:r>
        <w:rPr>
          <w:rFonts w:eastAsia="Times New Roman"/>
        </w:rPr>
        <w:pict w14:anchorId="0E394227">
          <v:rect id="_x0000_i1149" style="width:0;height:1.5pt" o:hralign="center" o:hrstd="t" o:hr="t" fillcolor="#a0a0a0" stroked="f"/>
        </w:pict>
      </w:r>
    </w:p>
    <w:p w14:paraId="7598ADE3" w14:textId="77777777" w:rsidR="00000000" w:rsidRDefault="00195E73">
      <w:pPr>
        <w:divId w:val="1540236452"/>
        <w:rPr>
          <w:rFonts w:eastAsia="Times New Roman"/>
        </w:rPr>
      </w:pPr>
    </w:p>
    <w:p w14:paraId="7D53D0B3" w14:textId="77777777" w:rsidR="00000000" w:rsidRDefault="00195E73">
      <w:pPr>
        <w:divId w:val="1477793803"/>
        <w:rPr>
          <w:rFonts w:eastAsia="Times New Roman"/>
        </w:rPr>
      </w:pPr>
      <w:r>
        <w:rPr>
          <w:rFonts w:eastAsia="Times New Roman"/>
          <w:color w:val="000000"/>
          <w:sz w:val="20"/>
          <w:szCs w:val="20"/>
        </w:rPr>
        <w:t>Disclosure and Analysis required by Item 402(b) of Regulation S-K with management. Based on that review and discussion, the board of directors recommended that the Compensation Disclosure and An</w:t>
      </w:r>
      <w:r>
        <w:rPr>
          <w:rFonts w:eastAsia="Times New Roman"/>
          <w:color w:val="000000"/>
          <w:sz w:val="20"/>
          <w:szCs w:val="20"/>
        </w:rPr>
        <w:t>alysis be included in this Report</w:t>
      </w:r>
      <w:r>
        <w:rPr>
          <w:rFonts w:eastAsia="Times New Roman"/>
          <w:color w:val="000000"/>
          <w:sz w:val="20"/>
          <w:szCs w:val="20"/>
        </w:rPr>
        <w:t>.</w:t>
      </w:r>
    </w:p>
    <w:p w14:paraId="137A7152" w14:textId="77777777" w:rsidR="00000000" w:rsidRDefault="00195E73">
      <w:pPr>
        <w:ind w:firstLine="405"/>
        <w:divId w:val="805506212"/>
        <w:rPr>
          <w:rFonts w:eastAsia="Times New Roman"/>
        </w:rPr>
      </w:pPr>
      <w:r>
        <w:rPr>
          <w:rFonts w:eastAsia="Times New Roman"/>
          <w:color w:val="000000"/>
          <w:sz w:val="20"/>
          <w:szCs w:val="20"/>
        </w:rPr>
        <w:t>This report is provided by the board of directors</w:t>
      </w:r>
      <w:r>
        <w:rPr>
          <w:rFonts w:eastAsia="Times New Roman"/>
          <w:color w:val="000000"/>
          <w:sz w:val="20"/>
          <w:szCs w:val="20"/>
        </w:rPr>
        <w:t>:</w:t>
      </w:r>
    </w:p>
    <w:p w14:paraId="5B5A07DE" w14:textId="77777777" w:rsidR="00000000" w:rsidRDefault="00195E73">
      <w:pPr>
        <w:divId w:val="2124763141"/>
        <w:rPr>
          <w:rFonts w:eastAsia="Times New Roman"/>
        </w:rPr>
      </w:pPr>
      <w:r>
        <w:rPr>
          <w:rFonts w:eastAsia="Times New Roman"/>
          <w:color w:val="000000"/>
          <w:sz w:val="20"/>
          <w:szCs w:val="20"/>
        </w:rPr>
        <w:t>Carl C. Icah</w:t>
      </w:r>
      <w:r>
        <w:rPr>
          <w:rFonts w:eastAsia="Times New Roman"/>
          <w:color w:val="000000"/>
          <w:sz w:val="20"/>
          <w:szCs w:val="20"/>
        </w:rPr>
        <w:t>n</w:t>
      </w:r>
    </w:p>
    <w:p w14:paraId="27ECA884" w14:textId="77777777" w:rsidR="00000000" w:rsidRDefault="00195E73">
      <w:pPr>
        <w:divId w:val="1683972357"/>
        <w:rPr>
          <w:rFonts w:eastAsia="Times New Roman"/>
        </w:rPr>
      </w:pPr>
      <w:r>
        <w:rPr>
          <w:rFonts w:eastAsia="Times New Roman"/>
          <w:color w:val="000000"/>
          <w:sz w:val="20"/>
          <w:szCs w:val="20"/>
        </w:rPr>
        <w:t>Sung Hwan Ch</w:t>
      </w:r>
      <w:r>
        <w:rPr>
          <w:rFonts w:eastAsia="Times New Roman"/>
          <w:color w:val="000000"/>
          <w:sz w:val="20"/>
          <w:szCs w:val="20"/>
        </w:rPr>
        <w:t>o</w:t>
      </w:r>
    </w:p>
    <w:p w14:paraId="3D0993C4" w14:textId="77777777" w:rsidR="00000000" w:rsidRDefault="00195E73">
      <w:pPr>
        <w:divId w:val="746614361"/>
        <w:rPr>
          <w:rFonts w:eastAsia="Times New Roman"/>
        </w:rPr>
      </w:pPr>
      <w:r>
        <w:rPr>
          <w:rFonts w:eastAsia="Times New Roman"/>
          <w:color w:val="000000"/>
          <w:sz w:val="20"/>
          <w:szCs w:val="20"/>
        </w:rPr>
        <w:t>Keith Cozz</w:t>
      </w:r>
      <w:r>
        <w:rPr>
          <w:rFonts w:eastAsia="Times New Roman"/>
          <w:color w:val="000000"/>
          <w:sz w:val="20"/>
          <w:szCs w:val="20"/>
        </w:rPr>
        <w:t>a</w:t>
      </w:r>
    </w:p>
    <w:p w14:paraId="33768871" w14:textId="77777777" w:rsidR="00000000" w:rsidRDefault="00195E73">
      <w:pPr>
        <w:divId w:val="114756558"/>
        <w:rPr>
          <w:rFonts w:eastAsia="Times New Roman"/>
        </w:rPr>
      </w:pPr>
      <w:r>
        <w:rPr>
          <w:rFonts w:eastAsia="Times New Roman"/>
          <w:color w:val="000000"/>
          <w:sz w:val="20"/>
          <w:szCs w:val="20"/>
        </w:rPr>
        <w:t>Denise Barto</w:t>
      </w:r>
      <w:r>
        <w:rPr>
          <w:rFonts w:eastAsia="Times New Roman"/>
          <w:color w:val="000000"/>
          <w:sz w:val="20"/>
          <w:szCs w:val="20"/>
        </w:rPr>
        <w:t>n</w:t>
      </w:r>
    </w:p>
    <w:p w14:paraId="655D2067" w14:textId="77777777" w:rsidR="00000000" w:rsidRDefault="00195E73">
      <w:pPr>
        <w:divId w:val="1509323139"/>
        <w:rPr>
          <w:rFonts w:eastAsia="Times New Roman"/>
        </w:rPr>
      </w:pPr>
      <w:r>
        <w:rPr>
          <w:rFonts w:eastAsia="Times New Roman"/>
          <w:color w:val="000000"/>
          <w:sz w:val="20"/>
          <w:szCs w:val="20"/>
        </w:rPr>
        <w:t>Alvin B. Krongar</w:t>
      </w:r>
      <w:r>
        <w:rPr>
          <w:rFonts w:eastAsia="Times New Roman"/>
          <w:color w:val="000000"/>
          <w:sz w:val="20"/>
          <w:szCs w:val="20"/>
        </w:rPr>
        <w:t>d</w:t>
      </w:r>
    </w:p>
    <w:p w14:paraId="40B108F4" w14:textId="77777777" w:rsidR="00000000" w:rsidRDefault="00195E73">
      <w:pPr>
        <w:divId w:val="1440644783"/>
        <w:rPr>
          <w:rFonts w:eastAsia="Times New Roman"/>
        </w:rPr>
      </w:pPr>
      <w:r>
        <w:rPr>
          <w:rFonts w:eastAsia="Times New Roman"/>
          <w:color w:val="000000"/>
          <w:sz w:val="20"/>
          <w:szCs w:val="20"/>
        </w:rPr>
        <w:t>Jack G. Wasserma</w:t>
      </w:r>
      <w:r>
        <w:rPr>
          <w:rFonts w:eastAsia="Times New Roman"/>
          <w:color w:val="000000"/>
          <w:sz w:val="20"/>
          <w:szCs w:val="20"/>
        </w:rPr>
        <w:t>n</w:t>
      </w:r>
    </w:p>
    <w:p w14:paraId="62B143F1" w14:textId="77777777" w:rsidR="00000000" w:rsidRDefault="00195E73">
      <w:pPr>
        <w:divId w:val="983268767"/>
        <w:rPr>
          <w:rFonts w:eastAsia="Times New Roman"/>
        </w:rPr>
      </w:pPr>
      <w:r>
        <w:rPr>
          <w:rFonts w:eastAsia="Times New Roman"/>
          <w:b/>
          <w:bCs/>
          <w:color w:val="000000"/>
          <w:sz w:val="20"/>
          <w:szCs w:val="20"/>
        </w:rPr>
        <w:t>Compensation Committee Interlocks and Insider Participatio</w:t>
      </w:r>
      <w:r>
        <w:rPr>
          <w:rFonts w:eastAsia="Times New Roman"/>
          <w:b/>
          <w:bCs/>
          <w:color w:val="000000"/>
          <w:sz w:val="20"/>
          <w:szCs w:val="20"/>
        </w:rPr>
        <w:t>n</w:t>
      </w:r>
    </w:p>
    <w:p w14:paraId="45886372" w14:textId="77777777" w:rsidR="00000000" w:rsidRDefault="00195E73">
      <w:pPr>
        <w:ind w:firstLine="405"/>
        <w:divId w:val="1481728592"/>
        <w:rPr>
          <w:rFonts w:eastAsia="Times New Roman"/>
        </w:rPr>
      </w:pPr>
      <w:r>
        <w:rPr>
          <w:rFonts w:eastAsia="Times New Roman"/>
          <w:color w:val="000000"/>
          <w:sz w:val="20"/>
          <w:szCs w:val="20"/>
        </w:rPr>
        <w:t>During 2019, our entire board of directors, including Mr. Icahn, participated in deliberations concerning executive compensation. During 2019, none of our executive officers served on the compensa</w:t>
      </w:r>
      <w:r>
        <w:rPr>
          <w:rFonts w:eastAsia="Times New Roman"/>
          <w:color w:val="000000"/>
          <w:sz w:val="20"/>
          <w:szCs w:val="20"/>
        </w:rPr>
        <w:t>tion committee (or equivalent), or the board of directors of another entity whose executive officer(s) served on our board of directors</w:t>
      </w:r>
      <w:r>
        <w:rPr>
          <w:rFonts w:eastAsia="Times New Roman"/>
          <w:color w:val="000000"/>
          <w:sz w:val="20"/>
          <w:szCs w:val="20"/>
        </w:rPr>
        <w:t>.</w:t>
      </w:r>
    </w:p>
    <w:p w14:paraId="1C5BDFA9" w14:textId="77777777" w:rsidR="00000000" w:rsidRDefault="00195E73">
      <w:pPr>
        <w:divId w:val="1235120473"/>
        <w:rPr>
          <w:rFonts w:eastAsia="Times New Roman"/>
        </w:rPr>
      </w:pPr>
      <w:r>
        <w:rPr>
          <w:rFonts w:eastAsia="Times New Roman"/>
          <w:b/>
          <w:bCs/>
          <w:color w:val="000000"/>
          <w:sz w:val="20"/>
          <w:szCs w:val="20"/>
        </w:rPr>
        <w:t>Additional Information Regarding Executive Compensatio</w:t>
      </w:r>
      <w:r>
        <w:rPr>
          <w:rFonts w:eastAsia="Times New Roman"/>
          <w:b/>
          <w:bCs/>
          <w:color w:val="000000"/>
          <w:sz w:val="20"/>
          <w:szCs w:val="20"/>
        </w:rPr>
        <w:t>n</w:t>
      </w:r>
    </w:p>
    <w:p w14:paraId="0BA028AB" w14:textId="77777777" w:rsidR="00000000" w:rsidRDefault="00195E73">
      <w:pPr>
        <w:ind w:firstLine="405"/>
        <w:divId w:val="493450767"/>
        <w:rPr>
          <w:rFonts w:eastAsia="Times New Roman"/>
        </w:rPr>
      </w:pPr>
      <w:r>
        <w:rPr>
          <w:rFonts w:eastAsia="Times New Roman"/>
          <w:color w:val="000000"/>
          <w:sz w:val="20"/>
          <w:szCs w:val="20"/>
        </w:rPr>
        <w:t>The following table sets forth information in respect of the co</w:t>
      </w:r>
      <w:r>
        <w:rPr>
          <w:rFonts w:eastAsia="Times New Roman"/>
          <w:color w:val="000000"/>
          <w:sz w:val="20"/>
          <w:szCs w:val="20"/>
        </w:rPr>
        <w:t>mpensation earned for services to us and/or our subsidiaries by each of our named executive officers for 2019</w:t>
      </w:r>
      <w:r>
        <w:rPr>
          <w:rFonts w:eastAsia="Times New Roman"/>
          <w:color w:val="000000"/>
          <w:sz w:val="20"/>
          <w:szCs w:val="20"/>
        </w:rPr>
        <w:t>.</w:t>
      </w:r>
    </w:p>
    <w:p w14:paraId="1A44EC89" w14:textId="77777777" w:rsidR="00000000" w:rsidRDefault="00195E73">
      <w:pPr>
        <w:jc w:val="center"/>
        <w:divId w:val="898596290"/>
        <w:rPr>
          <w:rFonts w:eastAsia="Times New Roman"/>
        </w:rPr>
      </w:pPr>
      <w:r>
        <w:rPr>
          <w:rFonts w:eastAsia="Times New Roman"/>
          <w:b/>
          <w:bCs/>
          <w:color w:val="000000"/>
          <w:sz w:val="20"/>
          <w:szCs w:val="20"/>
        </w:rPr>
        <w:t>Summary Compensation Tabl</w:t>
      </w:r>
      <w:r>
        <w:rPr>
          <w:rFonts w:eastAsia="Times New Roman"/>
          <w:b/>
          <w:bCs/>
          <w:color w:val="000000"/>
          <w:sz w:val="20"/>
          <w:szCs w:val="20"/>
        </w:rPr>
        <w:t>e</w:t>
      </w: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909"/>
        <w:gridCol w:w="38"/>
        <w:gridCol w:w="36"/>
        <w:gridCol w:w="36"/>
        <w:gridCol w:w="36"/>
        <w:gridCol w:w="41"/>
        <w:gridCol w:w="381"/>
        <w:gridCol w:w="40"/>
        <w:gridCol w:w="44"/>
        <w:gridCol w:w="353"/>
        <w:gridCol w:w="43"/>
        <w:gridCol w:w="85"/>
        <w:gridCol w:w="785"/>
        <w:gridCol w:w="85"/>
        <w:gridCol w:w="95"/>
        <w:gridCol w:w="775"/>
        <w:gridCol w:w="85"/>
        <w:gridCol w:w="85"/>
        <w:gridCol w:w="785"/>
        <w:gridCol w:w="85"/>
        <w:gridCol w:w="39"/>
        <w:gridCol w:w="833"/>
        <w:gridCol w:w="85"/>
        <w:gridCol w:w="100"/>
        <w:gridCol w:w="75"/>
        <w:gridCol w:w="36"/>
        <w:gridCol w:w="76"/>
        <w:gridCol w:w="859"/>
        <w:gridCol w:w="85"/>
        <w:gridCol w:w="286"/>
        <w:gridCol w:w="434"/>
        <w:gridCol w:w="85"/>
        <w:gridCol w:w="36"/>
        <w:gridCol w:w="36"/>
        <w:gridCol w:w="36"/>
        <w:gridCol w:w="76"/>
        <w:gridCol w:w="794"/>
        <w:gridCol w:w="85"/>
        <w:gridCol w:w="435"/>
        <w:gridCol w:w="435"/>
        <w:gridCol w:w="269"/>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28803603" w14:textId="77777777">
        <w:trPr>
          <w:gridAfter w:val="21"/>
          <w:divId w:val="181169674"/>
          <w:jc w:val="center"/>
        </w:trPr>
        <w:tc>
          <w:tcPr>
            <w:tcW w:w="50" w:type="pct"/>
            <w:vAlign w:val="center"/>
            <w:hideMark/>
          </w:tcPr>
          <w:p w14:paraId="6132F106" w14:textId="77777777" w:rsidR="00000000" w:rsidRDefault="00195E73">
            <w:pPr>
              <w:jc w:val="center"/>
              <w:rPr>
                <w:rFonts w:eastAsia="Times New Roman"/>
              </w:rPr>
            </w:pPr>
          </w:p>
        </w:tc>
        <w:tc>
          <w:tcPr>
            <w:tcW w:w="1380" w:type="pct"/>
            <w:vAlign w:val="center"/>
            <w:hideMark/>
          </w:tcPr>
          <w:p w14:paraId="7A55684A" w14:textId="77777777" w:rsidR="00000000" w:rsidRDefault="00195E73">
            <w:pPr>
              <w:rPr>
                <w:rFonts w:eastAsia="Times New Roman"/>
                <w:sz w:val="20"/>
                <w:szCs w:val="20"/>
              </w:rPr>
            </w:pPr>
          </w:p>
        </w:tc>
        <w:tc>
          <w:tcPr>
            <w:tcW w:w="50" w:type="pct"/>
            <w:vAlign w:val="center"/>
            <w:hideMark/>
          </w:tcPr>
          <w:p w14:paraId="398EDB6A" w14:textId="77777777" w:rsidR="00000000" w:rsidRDefault="00195E73">
            <w:pPr>
              <w:rPr>
                <w:rFonts w:eastAsia="Times New Roman"/>
                <w:sz w:val="20"/>
                <w:szCs w:val="20"/>
              </w:rPr>
            </w:pPr>
          </w:p>
        </w:tc>
        <w:tc>
          <w:tcPr>
            <w:tcW w:w="5" w:type="pct"/>
            <w:vAlign w:val="center"/>
            <w:hideMark/>
          </w:tcPr>
          <w:p w14:paraId="38844727" w14:textId="77777777" w:rsidR="00000000" w:rsidRDefault="00195E73">
            <w:pPr>
              <w:rPr>
                <w:rFonts w:eastAsia="Times New Roman"/>
                <w:sz w:val="20"/>
                <w:szCs w:val="20"/>
              </w:rPr>
            </w:pPr>
          </w:p>
        </w:tc>
        <w:tc>
          <w:tcPr>
            <w:tcW w:w="41" w:type="pct"/>
            <w:vAlign w:val="center"/>
            <w:hideMark/>
          </w:tcPr>
          <w:p w14:paraId="45AA6E3F" w14:textId="77777777" w:rsidR="00000000" w:rsidRDefault="00195E73">
            <w:pPr>
              <w:rPr>
                <w:rFonts w:eastAsia="Times New Roman"/>
                <w:sz w:val="20"/>
                <w:szCs w:val="20"/>
              </w:rPr>
            </w:pPr>
          </w:p>
        </w:tc>
        <w:tc>
          <w:tcPr>
            <w:tcW w:w="5" w:type="pct"/>
            <w:vAlign w:val="center"/>
            <w:hideMark/>
          </w:tcPr>
          <w:p w14:paraId="365440E0" w14:textId="77777777" w:rsidR="00000000" w:rsidRDefault="00195E73">
            <w:pPr>
              <w:rPr>
                <w:rFonts w:eastAsia="Times New Roman"/>
                <w:sz w:val="20"/>
                <w:szCs w:val="20"/>
              </w:rPr>
            </w:pPr>
          </w:p>
        </w:tc>
        <w:tc>
          <w:tcPr>
            <w:tcW w:w="50" w:type="pct"/>
            <w:vAlign w:val="center"/>
            <w:hideMark/>
          </w:tcPr>
          <w:p w14:paraId="5949B0FB" w14:textId="77777777" w:rsidR="00000000" w:rsidRDefault="00195E73">
            <w:pPr>
              <w:rPr>
                <w:rFonts w:eastAsia="Times New Roman"/>
                <w:sz w:val="20"/>
                <w:szCs w:val="20"/>
              </w:rPr>
            </w:pPr>
          </w:p>
        </w:tc>
        <w:tc>
          <w:tcPr>
            <w:tcW w:w="467" w:type="pct"/>
            <w:vAlign w:val="center"/>
            <w:hideMark/>
          </w:tcPr>
          <w:p w14:paraId="7B1784B1" w14:textId="77777777" w:rsidR="00000000" w:rsidRDefault="00195E73">
            <w:pPr>
              <w:rPr>
                <w:rFonts w:eastAsia="Times New Roman"/>
                <w:sz w:val="20"/>
                <w:szCs w:val="20"/>
              </w:rPr>
            </w:pPr>
          </w:p>
        </w:tc>
        <w:tc>
          <w:tcPr>
            <w:tcW w:w="50" w:type="pct"/>
            <w:vAlign w:val="center"/>
            <w:hideMark/>
          </w:tcPr>
          <w:p w14:paraId="504A6FA3" w14:textId="77777777" w:rsidR="00000000" w:rsidRDefault="00195E73">
            <w:pPr>
              <w:rPr>
                <w:rFonts w:eastAsia="Times New Roman"/>
                <w:sz w:val="20"/>
                <w:szCs w:val="20"/>
              </w:rPr>
            </w:pPr>
          </w:p>
        </w:tc>
        <w:tc>
          <w:tcPr>
            <w:tcW w:w="5" w:type="pct"/>
            <w:vAlign w:val="center"/>
            <w:hideMark/>
          </w:tcPr>
          <w:p w14:paraId="52A9AB70" w14:textId="77777777" w:rsidR="00000000" w:rsidRDefault="00195E73">
            <w:pPr>
              <w:rPr>
                <w:rFonts w:eastAsia="Times New Roman"/>
                <w:sz w:val="20"/>
                <w:szCs w:val="20"/>
              </w:rPr>
            </w:pPr>
          </w:p>
        </w:tc>
        <w:tc>
          <w:tcPr>
            <w:tcW w:w="41" w:type="pct"/>
            <w:vAlign w:val="center"/>
            <w:hideMark/>
          </w:tcPr>
          <w:p w14:paraId="5222BEC1" w14:textId="77777777" w:rsidR="00000000" w:rsidRDefault="00195E73">
            <w:pPr>
              <w:rPr>
                <w:rFonts w:eastAsia="Times New Roman"/>
                <w:sz w:val="20"/>
                <w:szCs w:val="20"/>
              </w:rPr>
            </w:pPr>
          </w:p>
        </w:tc>
        <w:tc>
          <w:tcPr>
            <w:tcW w:w="5" w:type="pct"/>
            <w:vAlign w:val="center"/>
            <w:hideMark/>
          </w:tcPr>
          <w:p w14:paraId="19FCCE81" w14:textId="77777777" w:rsidR="00000000" w:rsidRDefault="00195E73">
            <w:pPr>
              <w:rPr>
                <w:rFonts w:eastAsia="Times New Roman"/>
                <w:sz w:val="20"/>
                <w:szCs w:val="20"/>
              </w:rPr>
            </w:pPr>
          </w:p>
        </w:tc>
        <w:tc>
          <w:tcPr>
            <w:tcW w:w="50" w:type="pct"/>
            <w:vAlign w:val="center"/>
            <w:hideMark/>
          </w:tcPr>
          <w:p w14:paraId="128ADCEB" w14:textId="77777777" w:rsidR="00000000" w:rsidRDefault="00195E73">
            <w:pPr>
              <w:rPr>
                <w:rFonts w:eastAsia="Times New Roman"/>
                <w:sz w:val="20"/>
                <w:szCs w:val="20"/>
              </w:rPr>
            </w:pPr>
          </w:p>
        </w:tc>
        <w:tc>
          <w:tcPr>
            <w:tcW w:w="467" w:type="pct"/>
            <w:vAlign w:val="center"/>
            <w:hideMark/>
          </w:tcPr>
          <w:p w14:paraId="7449E3BB" w14:textId="77777777" w:rsidR="00000000" w:rsidRDefault="00195E73">
            <w:pPr>
              <w:rPr>
                <w:rFonts w:eastAsia="Times New Roman"/>
                <w:sz w:val="20"/>
                <w:szCs w:val="20"/>
              </w:rPr>
            </w:pPr>
          </w:p>
        </w:tc>
        <w:tc>
          <w:tcPr>
            <w:tcW w:w="50" w:type="pct"/>
            <w:vAlign w:val="center"/>
            <w:hideMark/>
          </w:tcPr>
          <w:p w14:paraId="51B27E42" w14:textId="77777777" w:rsidR="00000000" w:rsidRDefault="00195E73">
            <w:pPr>
              <w:rPr>
                <w:rFonts w:eastAsia="Times New Roman"/>
                <w:sz w:val="20"/>
                <w:szCs w:val="20"/>
              </w:rPr>
            </w:pPr>
          </w:p>
        </w:tc>
        <w:tc>
          <w:tcPr>
            <w:tcW w:w="5" w:type="pct"/>
            <w:vAlign w:val="center"/>
            <w:hideMark/>
          </w:tcPr>
          <w:p w14:paraId="47A29799" w14:textId="77777777" w:rsidR="00000000" w:rsidRDefault="00195E73">
            <w:pPr>
              <w:rPr>
                <w:rFonts w:eastAsia="Times New Roman"/>
                <w:sz w:val="20"/>
                <w:szCs w:val="20"/>
              </w:rPr>
            </w:pPr>
          </w:p>
        </w:tc>
        <w:tc>
          <w:tcPr>
            <w:tcW w:w="41" w:type="pct"/>
            <w:vAlign w:val="center"/>
            <w:hideMark/>
          </w:tcPr>
          <w:p w14:paraId="439E9875" w14:textId="77777777" w:rsidR="00000000" w:rsidRDefault="00195E73">
            <w:pPr>
              <w:rPr>
                <w:rFonts w:eastAsia="Times New Roman"/>
                <w:sz w:val="20"/>
                <w:szCs w:val="20"/>
              </w:rPr>
            </w:pPr>
          </w:p>
        </w:tc>
        <w:tc>
          <w:tcPr>
            <w:tcW w:w="5" w:type="pct"/>
            <w:vAlign w:val="center"/>
            <w:hideMark/>
          </w:tcPr>
          <w:p w14:paraId="364B8C1C" w14:textId="77777777" w:rsidR="00000000" w:rsidRDefault="00195E73">
            <w:pPr>
              <w:rPr>
                <w:rFonts w:eastAsia="Times New Roman"/>
                <w:sz w:val="20"/>
                <w:szCs w:val="20"/>
              </w:rPr>
            </w:pPr>
          </w:p>
        </w:tc>
        <w:tc>
          <w:tcPr>
            <w:tcW w:w="50" w:type="pct"/>
            <w:vAlign w:val="center"/>
            <w:hideMark/>
          </w:tcPr>
          <w:p w14:paraId="0B4ACC37" w14:textId="77777777" w:rsidR="00000000" w:rsidRDefault="00195E73">
            <w:pPr>
              <w:rPr>
                <w:rFonts w:eastAsia="Times New Roman"/>
                <w:sz w:val="20"/>
                <w:szCs w:val="20"/>
              </w:rPr>
            </w:pPr>
          </w:p>
        </w:tc>
        <w:tc>
          <w:tcPr>
            <w:tcW w:w="467" w:type="pct"/>
            <w:vAlign w:val="center"/>
            <w:hideMark/>
          </w:tcPr>
          <w:p w14:paraId="4F891CBE" w14:textId="77777777" w:rsidR="00000000" w:rsidRDefault="00195E73">
            <w:pPr>
              <w:rPr>
                <w:rFonts w:eastAsia="Times New Roman"/>
                <w:sz w:val="20"/>
                <w:szCs w:val="20"/>
              </w:rPr>
            </w:pPr>
          </w:p>
        </w:tc>
        <w:tc>
          <w:tcPr>
            <w:tcW w:w="50" w:type="pct"/>
            <w:vAlign w:val="center"/>
            <w:hideMark/>
          </w:tcPr>
          <w:p w14:paraId="5A2078CB" w14:textId="77777777" w:rsidR="00000000" w:rsidRDefault="00195E73">
            <w:pPr>
              <w:rPr>
                <w:rFonts w:eastAsia="Times New Roman"/>
                <w:sz w:val="20"/>
                <w:szCs w:val="20"/>
              </w:rPr>
            </w:pPr>
          </w:p>
        </w:tc>
        <w:tc>
          <w:tcPr>
            <w:tcW w:w="5" w:type="pct"/>
            <w:vAlign w:val="center"/>
            <w:hideMark/>
          </w:tcPr>
          <w:p w14:paraId="2AC6E06F" w14:textId="77777777" w:rsidR="00000000" w:rsidRDefault="00195E73">
            <w:pPr>
              <w:rPr>
                <w:rFonts w:eastAsia="Times New Roman"/>
                <w:sz w:val="20"/>
                <w:szCs w:val="20"/>
              </w:rPr>
            </w:pPr>
          </w:p>
        </w:tc>
        <w:tc>
          <w:tcPr>
            <w:tcW w:w="115" w:type="pct"/>
            <w:vAlign w:val="center"/>
            <w:hideMark/>
          </w:tcPr>
          <w:p w14:paraId="2A9CD040" w14:textId="77777777" w:rsidR="00000000" w:rsidRDefault="00195E73">
            <w:pPr>
              <w:rPr>
                <w:rFonts w:eastAsia="Times New Roman"/>
                <w:sz w:val="20"/>
                <w:szCs w:val="20"/>
              </w:rPr>
            </w:pPr>
          </w:p>
        </w:tc>
        <w:tc>
          <w:tcPr>
            <w:tcW w:w="5" w:type="pct"/>
            <w:vAlign w:val="center"/>
            <w:hideMark/>
          </w:tcPr>
          <w:p w14:paraId="5CEDFD7E" w14:textId="77777777" w:rsidR="00000000" w:rsidRDefault="00195E73">
            <w:pPr>
              <w:rPr>
                <w:rFonts w:eastAsia="Times New Roman"/>
                <w:sz w:val="20"/>
                <w:szCs w:val="20"/>
              </w:rPr>
            </w:pPr>
          </w:p>
        </w:tc>
        <w:tc>
          <w:tcPr>
            <w:tcW w:w="0" w:type="auto"/>
            <w:gridSpan w:val="2"/>
            <w:vAlign w:val="center"/>
            <w:hideMark/>
          </w:tcPr>
          <w:p w14:paraId="3122A73C" w14:textId="77777777" w:rsidR="00000000" w:rsidRDefault="00195E73">
            <w:pPr>
              <w:rPr>
                <w:rFonts w:eastAsia="Times New Roman"/>
                <w:sz w:val="20"/>
                <w:szCs w:val="20"/>
              </w:rPr>
            </w:pPr>
          </w:p>
        </w:tc>
        <w:tc>
          <w:tcPr>
            <w:tcW w:w="0" w:type="auto"/>
            <w:vAlign w:val="center"/>
            <w:hideMark/>
          </w:tcPr>
          <w:p w14:paraId="1976882F" w14:textId="77777777" w:rsidR="00000000" w:rsidRDefault="00195E73">
            <w:pPr>
              <w:rPr>
                <w:rFonts w:eastAsia="Times New Roman"/>
                <w:sz w:val="20"/>
                <w:szCs w:val="20"/>
              </w:rPr>
            </w:pPr>
          </w:p>
        </w:tc>
        <w:tc>
          <w:tcPr>
            <w:tcW w:w="50" w:type="pct"/>
            <w:vAlign w:val="center"/>
            <w:hideMark/>
          </w:tcPr>
          <w:p w14:paraId="73532F50" w14:textId="77777777" w:rsidR="00000000" w:rsidRDefault="00195E73">
            <w:pPr>
              <w:rPr>
                <w:rFonts w:eastAsia="Times New Roman"/>
                <w:sz w:val="20"/>
                <w:szCs w:val="20"/>
              </w:rPr>
            </w:pPr>
          </w:p>
        </w:tc>
        <w:tc>
          <w:tcPr>
            <w:tcW w:w="570" w:type="pct"/>
            <w:vAlign w:val="center"/>
            <w:hideMark/>
          </w:tcPr>
          <w:p w14:paraId="594B11C3" w14:textId="77777777" w:rsidR="00000000" w:rsidRDefault="00195E73">
            <w:pPr>
              <w:rPr>
                <w:rFonts w:eastAsia="Times New Roman"/>
                <w:sz w:val="20"/>
                <w:szCs w:val="20"/>
              </w:rPr>
            </w:pPr>
          </w:p>
        </w:tc>
        <w:tc>
          <w:tcPr>
            <w:tcW w:w="50" w:type="pct"/>
            <w:vAlign w:val="center"/>
            <w:hideMark/>
          </w:tcPr>
          <w:p w14:paraId="2FF54FDD" w14:textId="77777777" w:rsidR="00000000" w:rsidRDefault="00195E73">
            <w:pPr>
              <w:rPr>
                <w:rFonts w:eastAsia="Times New Roman"/>
                <w:sz w:val="20"/>
                <w:szCs w:val="20"/>
              </w:rPr>
            </w:pPr>
          </w:p>
        </w:tc>
        <w:tc>
          <w:tcPr>
            <w:tcW w:w="50" w:type="pct"/>
            <w:vAlign w:val="center"/>
            <w:hideMark/>
          </w:tcPr>
          <w:p w14:paraId="7105ABF2" w14:textId="77777777" w:rsidR="00000000" w:rsidRDefault="00195E73">
            <w:pPr>
              <w:rPr>
                <w:rFonts w:eastAsia="Times New Roman"/>
                <w:sz w:val="20"/>
                <w:szCs w:val="20"/>
              </w:rPr>
            </w:pPr>
          </w:p>
        </w:tc>
        <w:tc>
          <w:tcPr>
            <w:tcW w:w="76" w:type="pct"/>
            <w:vAlign w:val="center"/>
            <w:hideMark/>
          </w:tcPr>
          <w:p w14:paraId="01A25AE1" w14:textId="77777777" w:rsidR="00000000" w:rsidRDefault="00195E73">
            <w:pPr>
              <w:rPr>
                <w:rFonts w:eastAsia="Times New Roman"/>
                <w:sz w:val="20"/>
                <w:szCs w:val="20"/>
              </w:rPr>
            </w:pPr>
          </w:p>
        </w:tc>
        <w:tc>
          <w:tcPr>
            <w:tcW w:w="50" w:type="pct"/>
            <w:vAlign w:val="center"/>
            <w:hideMark/>
          </w:tcPr>
          <w:p w14:paraId="4C8515DF" w14:textId="77777777" w:rsidR="00000000" w:rsidRDefault="00195E73">
            <w:pPr>
              <w:rPr>
                <w:rFonts w:eastAsia="Times New Roman"/>
                <w:sz w:val="20"/>
                <w:szCs w:val="20"/>
              </w:rPr>
            </w:pPr>
          </w:p>
        </w:tc>
        <w:tc>
          <w:tcPr>
            <w:tcW w:w="5" w:type="pct"/>
            <w:vAlign w:val="center"/>
            <w:hideMark/>
          </w:tcPr>
          <w:p w14:paraId="28A4E554" w14:textId="77777777" w:rsidR="00000000" w:rsidRDefault="00195E73">
            <w:pPr>
              <w:rPr>
                <w:rFonts w:eastAsia="Times New Roman"/>
                <w:sz w:val="20"/>
                <w:szCs w:val="20"/>
              </w:rPr>
            </w:pPr>
          </w:p>
        </w:tc>
        <w:tc>
          <w:tcPr>
            <w:tcW w:w="56" w:type="pct"/>
            <w:vAlign w:val="center"/>
            <w:hideMark/>
          </w:tcPr>
          <w:p w14:paraId="58FE9A3C" w14:textId="77777777" w:rsidR="00000000" w:rsidRDefault="00195E73">
            <w:pPr>
              <w:rPr>
                <w:rFonts w:eastAsia="Times New Roman"/>
                <w:sz w:val="20"/>
                <w:szCs w:val="20"/>
              </w:rPr>
            </w:pPr>
          </w:p>
        </w:tc>
        <w:tc>
          <w:tcPr>
            <w:tcW w:w="5" w:type="pct"/>
            <w:vAlign w:val="center"/>
            <w:hideMark/>
          </w:tcPr>
          <w:p w14:paraId="3A6FDE04" w14:textId="77777777" w:rsidR="00000000" w:rsidRDefault="00195E73">
            <w:pPr>
              <w:rPr>
                <w:rFonts w:eastAsia="Times New Roman"/>
                <w:sz w:val="20"/>
                <w:szCs w:val="20"/>
              </w:rPr>
            </w:pPr>
          </w:p>
        </w:tc>
        <w:tc>
          <w:tcPr>
            <w:tcW w:w="50" w:type="pct"/>
            <w:vAlign w:val="center"/>
            <w:hideMark/>
          </w:tcPr>
          <w:p w14:paraId="70A520B5" w14:textId="77777777" w:rsidR="00000000" w:rsidRDefault="00195E73">
            <w:pPr>
              <w:rPr>
                <w:rFonts w:eastAsia="Times New Roman"/>
                <w:sz w:val="20"/>
                <w:szCs w:val="20"/>
              </w:rPr>
            </w:pPr>
          </w:p>
        </w:tc>
        <w:tc>
          <w:tcPr>
            <w:tcW w:w="526" w:type="pct"/>
            <w:vAlign w:val="center"/>
            <w:hideMark/>
          </w:tcPr>
          <w:p w14:paraId="09E4B71E" w14:textId="77777777" w:rsidR="00000000" w:rsidRDefault="00195E73">
            <w:pPr>
              <w:rPr>
                <w:rFonts w:eastAsia="Times New Roman"/>
                <w:sz w:val="20"/>
                <w:szCs w:val="20"/>
              </w:rPr>
            </w:pPr>
          </w:p>
        </w:tc>
        <w:tc>
          <w:tcPr>
            <w:tcW w:w="50" w:type="pct"/>
            <w:vAlign w:val="center"/>
            <w:hideMark/>
          </w:tcPr>
          <w:p w14:paraId="2651BB03" w14:textId="77777777" w:rsidR="00000000" w:rsidRDefault="00195E73">
            <w:pPr>
              <w:rPr>
                <w:rFonts w:eastAsia="Times New Roman"/>
                <w:sz w:val="20"/>
                <w:szCs w:val="20"/>
              </w:rPr>
            </w:pPr>
          </w:p>
        </w:tc>
      </w:tr>
      <w:tr w:rsidR="00000000" w14:paraId="69612193" w14:textId="77777777">
        <w:trPr>
          <w:divId w:val="181169674"/>
          <w:jc w:val="center"/>
        </w:trPr>
        <w:tc>
          <w:tcPr>
            <w:tcW w:w="0" w:type="auto"/>
            <w:gridSpan w:val="3"/>
            <w:tcMar>
              <w:top w:w="15" w:type="dxa"/>
              <w:left w:w="20" w:type="dxa"/>
              <w:bottom w:w="15" w:type="dxa"/>
              <w:right w:w="20" w:type="dxa"/>
            </w:tcMar>
            <w:vAlign w:val="bottom"/>
            <w:hideMark/>
          </w:tcPr>
          <w:p w14:paraId="59A4D55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399A361" w14:textId="77777777" w:rsidR="00000000" w:rsidRDefault="00195E73">
            <w:pPr>
              <w:rPr>
                <w:rFonts w:eastAsia="Times New Roman"/>
                <w:sz w:val="20"/>
                <w:szCs w:val="20"/>
              </w:rPr>
            </w:pPr>
          </w:p>
        </w:tc>
        <w:tc>
          <w:tcPr>
            <w:tcW w:w="0" w:type="auto"/>
            <w:gridSpan w:val="27"/>
            <w:tcMar>
              <w:top w:w="30" w:type="dxa"/>
              <w:left w:w="20" w:type="dxa"/>
              <w:bottom w:w="30" w:type="dxa"/>
              <w:right w:w="20" w:type="dxa"/>
            </w:tcMar>
            <w:vAlign w:val="bottom"/>
            <w:hideMark/>
          </w:tcPr>
          <w:p w14:paraId="581D973B" w14:textId="77777777" w:rsidR="00000000" w:rsidRDefault="00195E73">
            <w:pPr>
              <w:jc w:val="center"/>
              <w:rPr>
                <w:rFonts w:eastAsia="Times New Roman"/>
              </w:rPr>
            </w:pPr>
            <w:r>
              <w:rPr>
                <w:rFonts w:eastAsia="Times New Roman"/>
                <w:b/>
                <w:bCs/>
                <w:color w:val="000000"/>
                <w:sz w:val="20"/>
                <w:szCs w:val="20"/>
              </w:rPr>
              <w:t>Annual Compensatio</w:t>
            </w:r>
            <w:r>
              <w:rPr>
                <w:rFonts w:eastAsia="Times New Roman"/>
                <w:b/>
                <w:bCs/>
                <w:color w:val="000000"/>
                <w:sz w:val="20"/>
                <w:szCs w:val="20"/>
              </w:rPr>
              <w:t>n</w:t>
            </w:r>
            <w:r>
              <w:rPr>
                <w:rFonts w:eastAsia="Times New Roman"/>
                <w:b/>
                <w:bCs/>
                <w:color w:val="000000"/>
                <w:sz w:val="13"/>
                <w:szCs w:val="13"/>
                <w:vertAlign w:val="superscript"/>
              </w:rPr>
              <w:t>(1)</w:t>
            </w:r>
          </w:p>
        </w:tc>
        <w:tc>
          <w:tcPr>
            <w:tcW w:w="0" w:type="auto"/>
            <w:gridSpan w:val="3"/>
            <w:vAlign w:val="center"/>
            <w:hideMark/>
          </w:tcPr>
          <w:p w14:paraId="023F87DB" w14:textId="77777777" w:rsidR="00000000" w:rsidRDefault="00195E73">
            <w:pPr>
              <w:jc w:val="center"/>
              <w:rPr>
                <w:rFonts w:eastAsia="Times New Roman"/>
              </w:rPr>
            </w:pPr>
          </w:p>
        </w:tc>
        <w:tc>
          <w:tcPr>
            <w:tcW w:w="0" w:type="auto"/>
            <w:gridSpan w:val="3"/>
            <w:vAlign w:val="center"/>
            <w:hideMark/>
          </w:tcPr>
          <w:p w14:paraId="5A4B92BB" w14:textId="77777777" w:rsidR="00000000" w:rsidRDefault="00195E73">
            <w:pPr>
              <w:rPr>
                <w:rFonts w:eastAsia="Times New Roman"/>
                <w:sz w:val="20"/>
                <w:szCs w:val="20"/>
              </w:rPr>
            </w:pPr>
          </w:p>
        </w:tc>
        <w:tc>
          <w:tcPr>
            <w:tcW w:w="0" w:type="auto"/>
            <w:gridSpan w:val="3"/>
            <w:vAlign w:val="center"/>
            <w:hideMark/>
          </w:tcPr>
          <w:p w14:paraId="2048F64A" w14:textId="77777777" w:rsidR="00000000" w:rsidRDefault="00195E73">
            <w:pPr>
              <w:rPr>
                <w:rFonts w:eastAsia="Times New Roman"/>
                <w:sz w:val="20"/>
                <w:szCs w:val="20"/>
              </w:rPr>
            </w:pPr>
          </w:p>
        </w:tc>
        <w:tc>
          <w:tcPr>
            <w:tcW w:w="0" w:type="auto"/>
            <w:gridSpan w:val="3"/>
            <w:vAlign w:val="center"/>
            <w:hideMark/>
          </w:tcPr>
          <w:p w14:paraId="2A1D4402" w14:textId="77777777" w:rsidR="00000000" w:rsidRDefault="00195E73">
            <w:pPr>
              <w:rPr>
                <w:rFonts w:eastAsia="Times New Roman"/>
                <w:sz w:val="20"/>
                <w:szCs w:val="20"/>
              </w:rPr>
            </w:pPr>
          </w:p>
        </w:tc>
        <w:tc>
          <w:tcPr>
            <w:tcW w:w="0" w:type="auto"/>
            <w:gridSpan w:val="3"/>
            <w:vAlign w:val="center"/>
            <w:hideMark/>
          </w:tcPr>
          <w:p w14:paraId="3FC6D35F" w14:textId="77777777" w:rsidR="00000000" w:rsidRDefault="00195E73">
            <w:pPr>
              <w:rPr>
                <w:rFonts w:eastAsia="Times New Roman"/>
                <w:sz w:val="20"/>
                <w:szCs w:val="20"/>
              </w:rPr>
            </w:pPr>
          </w:p>
        </w:tc>
        <w:tc>
          <w:tcPr>
            <w:tcW w:w="0" w:type="auto"/>
            <w:gridSpan w:val="3"/>
            <w:vAlign w:val="center"/>
            <w:hideMark/>
          </w:tcPr>
          <w:p w14:paraId="49A7CAC3" w14:textId="77777777" w:rsidR="00000000" w:rsidRDefault="00195E73">
            <w:pPr>
              <w:rPr>
                <w:rFonts w:eastAsia="Times New Roman"/>
                <w:sz w:val="20"/>
                <w:szCs w:val="20"/>
              </w:rPr>
            </w:pPr>
          </w:p>
        </w:tc>
        <w:tc>
          <w:tcPr>
            <w:tcW w:w="0" w:type="auto"/>
            <w:gridSpan w:val="3"/>
            <w:vAlign w:val="center"/>
            <w:hideMark/>
          </w:tcPr>
          <w:p w14:paraId="451A8038" w14:textId="77777777" w:rsidR="00000000" w:rsidRDefault="00195E73">
            <w:pPr>
              <w:rPr>
                <w:rFonts w:eastAsia="Times New Roman"/>
                <w:sz w:val="20"/>
                <w:szCs w:val="20"/>
              </w:rPr>
            </w:pPr>
          </w:p>
        </w:tc>
        <w:tc>
          <w:tcPr>
            <w:tcW w:w="0" w:type="auto"/>
            <w:gridSpan w:val="3"/>
            <w:vAlign w:val="center"/>
            <w:hideMark/>
          </w:tcPr>
          <w:p w14:paraId="24B5B4F8" w14:textId="77777777" w:rsidR="00000000" w:rsidRDefault="00195E73">
            <w:pPr>
              <w:rPr>
                <w:rFonts w:eastAsia="Times New Roman"/>
                <w:sz w:val="20"/>
                <w:szCs w:val="20"/>
              </w:rPr>
            </w:pPr>
          </w:p>
        </w:tc>
        <w:tc>
          <w:tcPr>
            <w:tcW w:w="0" w:type="auto"/>
            <w:gridSpan w:val="2"/>
            <w:vAlign w:val="center"/>
            <w:hideMark/>
          </w:tcPr>
          <w:p w14:paraId="69EC52A7" w14:textId="77777777" w:rsidR="00000000" w:rsidRDefault="00195E73">
            <w:pPr>
              <w:rPr>
                <w:rFonts w:eastAsia="Times New Roman"/>
                <w:sz w:val="20"/>
                <w:szCs w:val="20"/>
              </w:rPr>
            </w:pPr>
          </w:p>
        </w:tc>
        <w:tc>
          <w:tcPr>
            <w:tcW w:w="0" w:type="auto"/>
            <w:vAlign w:val="center"/>
            <w:hideMark/>
          </w:tcPr>
          <w:p w14:paraId="2A2BB23A" w14:textId="77777777" w:rsidR="00000000" w:rsidRDefault="00195E73">
            <w:pPr>
              <w:rPr>
                <w:rFonts w:eastAsia="Times New Roman"/>
                <w:sz w:val="20"/>
                <w:szCs w:val="20"/>
              </w:rPr>
            </w:pPr>
          </w:p>
        </w:tc>
      </w:tr>
      <w:tr w:rsidR="00000000" w14:paraId="5D6A2F74" w14:textId="77777777">
        <w:trPr>
          <w:divId w:val="181169674"/>
          <w:jc w:val="center"/>
        </w:trPr>
        <w:tc>
          <w:tcPr>
            <w:tcW w:w="0" w:type="auto"/>
            <w:gridSpan w:val="3"/>
            <w:tcMar>
              <w:top w:w="30" w:type="dxa"/>
              <w:left w:w="20" w:type="dxa"/>
              <w:bottom w:w="30" w:type="dxa"/>
              <w:right w:w="20" w:type="dxa"/>
            </w:tcMar>
            <w:vAlign w:val="bottom"/>
            <w:hideMark/>
          </w:tcPr>
          <w:p w14:paraId="4E5201AF" w14:textId="77777777" w:rsidR="00000000" w:rsidRDefault="00195E73">
            <w:pPr>
              <w:rPr>
                <w:rFonts w:eastAsia="Times New Roman"/>
              </w:rPr>
            </w:pPr>
            <w:r>
              <w:rPr>
                <w:rFonts w:eastAsia="Times New Roman"/>
                <w:b/>
                <w:bCs/>
                <w:color w:val="000000"/>
                <w:sz w:val="20"/>
                <w:szCs w:val="20"/>
              </w:rPr>
              <w:t>Name and Principal Positio</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14:paraId="3B176506" w14:textId="77777777" w:rsidR="00000000" w:rsidRDefault="00195E7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8B77D7" w14:textId="77777777" w:rsidR="00000000" w:rsidRDefault="00195E73">
            <w:pPr>
              <w:jc w:val="center"/>
              <w:rPr>
                <w:rFonts w:eastAsia="Times New Roman"/>
              </w:rPr>
            </w:pPr>
            <w:r>
              <w:rPr>
                <w:rFonts w:eastAsia="Times New Roman"/>
                <w:b/>
                <w:bCs/>
                <w:color w:val="000000"/>
                <w:sz w:val="20"/>
                <w:szCs w:val="20"/>
              </w:rPr>
              <w:t>Yea</w:t>
            </w:r>
            <w:r>
              <w:rPr>
                <w:rFonts w:eastAsia="Times New Roman"/>
                <w:b/>
                <w:bCs/>
                <w:color w:val="000000"/>
                <w:sz w:val="20"/>
                <w:szCs w:val="20"/>
              </w:rPr>
              <w:t>r</w:t>
            </w:r>
          </w:p>
        </w:tc>
        <w:tc>
          <w:tcPr>
            <w:tcW w:w="0" w:type="auto"/>
            <w:gridSpan w:val="3"/>
            <w:tcBorders>
              <w:top w:val="single" w:sz="8" w:space="0" w:color="000000"/>
            </w:tcBorders>
            <w:tcMar>
              <w:top w:w="15" w:type="dxa"/>
              <w:left w:w="20" w:type="dxa"/>
              <w:bottom w:w="15" w:type="dxa"/>
              <w:right w:w="20" w:type="dxa"/>
            </w:tcMar>
            <w:vAlign w:val="bottom"/>
            <w:hideMark/>
          </w:tcPr>
          <w:p w14:paraId="008132B9"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839ED9" w14:textId="77777777" w:rsidR="00000000" w:rsidRDefault="00195E73">
            <w:pPr>
              <w:jc w:val="center"/>
              <w:rPr>
                <w:rFonts w:eastAsia="Times New Roman"/>
              </w:rPr>
            </w:pPr>
            <w:r>
              <w:rPr>
                <w:rFonts w:eastAsia="Times New Roman"/>
                <w:b/>
                <w:bCs/>
                <w:color w:val="000000"/>
                <w:sz w:val="20"/>
                <w:szCs w:val="20"/>
              </w:rPr>
              <w:t>Salar</w:t>
            </w:r>
            <w:r>
              <w:rPr>
                <w:rFonts w:eastAsia="Times New Roman"/>
                <w:b/>
                <w:bCs/>
                <w:color w:val="000000"/>
                <w:sz w:val="20"/>
                <w:szCs w:val="20"/>
              </w:rPr>
              <w:t>y</w:t>
            </w:r>
          </w:p>
          <w:p w14:paraId="0F71DB27" w14:textId="77777777" w:rsidR="00000000" w:rsidRDefault="00195E73">
            <w:pPr>
              <w:jc w:val="center"/>
              <w:rPr>
                <w:rFonts w:eastAsia="Times New Roman"/>
              </w:rPr>
            </w:pPr>
            <w:r>
              <w:rPr>
                <w:rFonts w:eastAsia="Times New Roman"/>
                <w:b/>
                <w:bCs/>
                <w:color w:val="000000"/>
                <w:sz w:val="20"/>
                <w:szCs w:val="20"/>
              </w:rPr>
              <w:t>($</w:t>
            </w:r>
            <w:r>
              <w:rPr>
                <w:rFonts w:eastAsia="Times New Roman"/>
                <w:b/>
                <w:bCs/>
                <w:color w:val="000000"/>
                <w:sz w:val="20"/>
                <w:szCs w:val="20"/>
              </w:rPr>
              <w:t>)</w:t>
            </w:r>
          </w:p>
        </w:tc>
        <w:tc>
          <w:tcPr>
            <w:tcW w:w="0" w:type="auto"/>
            <w:gridSpan w:val="3"/>
            <w:tcBorders>
              <w:top w:val="single" w:sz="8" w:space="0" w:color="000000"/>
            </w:tcBorders>
            <w:tcMar>
              <w:top w:w="15" w:type="dxa"/>
              <w:left w:w="20" w:type="dxa"/>
              <w:bottom w:w="15" w:type="dxa"/>
              <w:right w:w="20" w:type="dxa"/>
            </w:tcMar>
            <w:vAlign w:val="bottom"/>
            <w:hideMark/>
          </w:tcPr>
          <w:p w14:paraId="1DF130FA" w14:textId="77777777" w:rsidR="00000000" w:rsidRDefault="00195E7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F09713" w14:textId="77777777" w:rsidR="00000000" w:rsidRDefault="00195E73">
            <w:pPr>
              <w:jc w:val="center"/>
              <w:rPr>
                <w:rFonts w:eastAsia="Times New Roman"/>
              </w:rPr>
            </w:pPr>
            <w:r>
              <w:rPr>
                <w:rFonts w:eastAsia="Times New Roman"/>
                <w:b/>
                <w:bCs/>
                <w:color w:val="000000"/>
                <w:sz w:val="20"/>
                <w:szCs w:val="20"/>
              </w:rPr>
              <w:t>Bonu</w:t>
            </w:r>
            <w:r>
              <w:rPr>
                <w:rFonts w:eastAsia="Times New Roman"/>
                <w:b/>
                <w:bCs/>
                <w:color w:val="000000"/>
                <w:sz w:val="20"/>
                <w:szCs w:val="20"/>
              </w:rPr>
              <w:t>s</w:t>
            </w:r>
          </w:p>
          <w:p w14:paraId="50E08CD7" w14:textId="77777777" w:rsidR="00000000" w:rsidRDefault="00195E73">
            <w:pPr>
              <w:jc w:val="center"/>
              <w:rPr>
                <w:rFonts w:eastAsia="Times New Roman"/>
              </w:rPr>
            </w:pPr>
            <w:r>
              <w:rPr>
                <w:rFonts w:eastAsia="Times New Roman"/>
                <w:b/>
                <w:bCs/>
                <w:color w:val="000000"/>
                <w:sz w:val="20"/>
                <w:szCs w:val="20"/>
              </w:rPr>
              <w:t>($</w:t>
            </w:r>
            <w:r>
              <w:rPr>
                <w:rFonts w:eastAsia="Times New Roman"/>
                <w:b/>
                <w:bCs/>
                <w:color w:val="000000"/>
                <w:sz w:val="20"/>
                <w:szCs w:val="20"/>
              </w:rPr>
              <w:t>)</w:t>
            </w:r>
          </w:p>
        </w:tc>
        <w:tc>
          <w:tcPr>
            <w:tcW w:w="0" w:type="auto"/>
            <w:gridSpan w:val="3"/>
            <w:tcBorders>
              <w:top w:val="single" w:sz="8" w:space="0" w:color="000000"/>
            </w:tcBorders>
            <w:tcMar>
              <w:top w:w="15" w:type="dxa"/>
              <w:left w:w="20" w:type="dxa"/>
              <w:bottom w:w="15" w:type="dxa"/>
              <w:right w:w="20" w:type="dxa"/>
            </w:tcMar>
            <w:vAlign w:val="bottom"/>
            <w:hideMark/>
          </w:tcPr>
          <w:p w14:paraId="5188053F" w14:textId="77777777" w:rsidR="00000000" w:rsidRDefault="00195E73">
            <w:pPr>
              <w:jc w:val="center"/>
              <w:rPr>
                <w:rFonts w:eastAsia="Times New Roman"/>
              </w:rPr>
            </w:pPr>
          </w:p>
        </w:tc>
        <w:tc>
          <w:tcPr>
            <w:tcW w:w="0" w:type="auto"/>
            <w:gridSpan w:val="2"/>
            <w:vAlign w:val="center"/>
            <w:hideMark/>
          </w:tcPr>
          <w:p w14:paraId="6A3E265D" w14:textId="77777777" w:rsidR="00000000" w:rsidRDefault="00195E73">
            <w:pPr>
              <w:rPr>
                <w:rFonts w:eastAsia="Times New Roman"/>
                <w:sz w:val="20"/>
                <w:szCs w:val="20"/>
              </w:rPr>
            </w:pPr>
          </w:p>
        </w:tc>
        <w:tc>
          <w:tcPr>
            <w:tcW w:w="0" w:type="auto"/>
            <w:vAlign w:val="center"/>
            <w:hideMark/>
          </w:tcPr>
          <w:p w14:paraId="6D52ADE0" w14:textId="77777777" w:rsidR="00000000" w:rsidRDefault="00195E73">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14:paraId="17E56064" w14:textId="77777777" w:rsidR="00000000" w:rsidRDefault="00195E73">
            <w:pPr>
              <w:jc w:val="center"/>
              <w:rPr>
                <w:rFonts w:eastAsia="Times New Roman"/>
              </w:rPr>
            </w:pPr>
            <w:r>
              <w:rPr>
                <w:rFonts w:eastAsia="Times New Roman"/>
                <w:b/>
                <w:bCs/>
                <w:color w:val="000000"/>
                <w:sz w:val="20"/>
                <w:szCs w:val="20"/>
              </w:rPr>
              <w:t>All Othe</w:t>
            </w:r>
            <w:r>
              <w:rPr>
                <w:rFonts w:eastAsia="Times New Roman"/>
                <w:b/>
                <w:bCs/>
                <w:color w:val="000000"/>
                <w:sz w:val="20"/>
                <w:szCs w:val="20"/>
              </w:rPr>
              <w:t>r</w:t>
            </w:r>
          </w:p>
          <w:p w14:paraId="55AF931A" w14:textId="77777777" w:rsidR="00000000" w:rsidRDefault="00195E73">
            <w:pPr>
              <w:jc w:val="center"/>
              <w:rPr>
                <w:rFonts w:eastAsia="Times New Roman"/>
              </w:rPr>
            </w:pPr>
            <w:r>
              <w:rPr>
                <w:rFonts w:eastAsia="Times New Roman"/>
                <w:b/>
                <w:bCs/>
                <w:color w:val="000000"/>
                <w:sz w:val="20"/>
                <w:szCs w:val="20"/>
              </w:rPr>
              <w:t>Compensatio</w:t>
            </w:r>
            <w:r>
              <w:rPr>
                <w:rFonts w:eastAsia="Times New Roman"/>
                <w:b/>
                <w:bCs/>
                <w:color w:val="000000"/>
                <w:sz w:val="20"/>
                <w:szCs w:val="20"/>
              </w:rPr>
              <w:t>n</w:t>
            </w:r>
          </w:p>
          <w:p w14:paraId="4BAB1DD1" w14:textId="77777777" w:rsidR="00000000" w:rsidRDefault="00195E73">
            <w:pPr>
              <w:jc w:val="center"/>
              <w:rPr>
                <w:rFonts w:eastAsia="Times New Roman"/>
              </w:rPr>
            </w:pPr>
            <w:r>
              <w:rPr>
                <w:rFonts w:eastAsia="Times New Roman"/>
                <w:b/>
                <w:bCs/>
                <w:color w:val="000000"/>
                <w:sz w:val="20"/>
                <w:szCs w:val="20"/>
              </w:rPr>
              <w:t>($</w:t>
            </w:r>
            <w:r>
              <w:rPr>
                <w:rFonts w:eastAsia="Times New Roman"/>
                <w:b/>
                <w:bCs/>
                <w:color w:val="000000"/>
                <w:sz w:val="20"/>
                <w:szCs w:val="20"/>
              </w:rPr>
              <w:t>)</w:t>
            </w:r>
          </w:p>
        </w:tc>
        <w:tc>
          <w:tcPr>
            <w:tcW w:w="0" w:type="auto"/>
            <w:gridSpan w:val="3"/>
            <w:vAlign w:val="center"/>
            <w:hideMark/>
          </w:tcPr>
          <w:p w14:paraId="7EA3BECD" w14:textId="77777777" w:rsidR="00000000" w:rsidRDefault="00195E73">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14:paraId="6ADBC38B"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BE99C1E" w14:textId="77777777" w:rsidR="00000000" w:rsidRDefault="00195E73">
            <w:pPr>
              <w:jc w:val="center"/>
              <w:rPr>
                <w:rFonts w:eastAsia="Times New Roman"/>
              </w:rPr>
            </w:pPr>
            <w:r>
              <w:rPr>
                <w:rFonts w:eastAsia="Times New Roman"/>
                <w:b/>
                <w:bCs/>
                <w:color w:val="000000"/>
                <w:sz w:val="20"/>
                <w:szCs w:val="20"/>
              </w:rPr>
              <w:t>Tota</w:t>
            </w:r>
            <w:r>
              <w:rPr>
                <w:rFonts w:eastAsia="Times New Roman"/>
                <w:b/>
                <w:bCs/>
                <w:color w:val="000000"/>
                <w:sz w:val="20"/>
                <w:szCs w:val="20"/>
              </w:rPr>
              <w:t>l</w:t>
            </w:r>
          </w:p>
          <w:p w14:paraId="1C16DEAD" w14:textId="77777777" w:rsidR="00000000" w:rsidRDefault="00195E73">
            <w:pPr>
              <w:jc w:val="center"/>
              <w:rPr>
                <w:rFonts w:eastAsia="Times New Roman"/>
              </w:rPr>
            </w:pPr>
            <w:r>
              <w:rPr>
                <w:rFonts w:eastAsia="Times New Roman"/>
                <w:b/>
                <w:bCs/>
                <w:color w:val="000000"/>
                <w:sz w:val="20"/>
                <w:szCs w:val="20"/>
              </w:rPr>
              <w:t>($</w:t>
            </w:r>
            <w:r>
              <w:rPr>
                <w:rFonts w:eastAsia="Times New Roman"/>
                <w:b/>
                <w:bCs/>
                <w:color w:val="000000"/>
                <w:sz w:val="20"/>
                <w:szCs w:val="20"/>
              </w:rPr>
              <w:t>)</w:t>
            </w:r>
          </w:p>
        </w:tc>
        <w:tc>
          <w:tcPr>
            <w:tcW w:w="0" w:type="auto"/>
            <w:vAlign w:val="center"/>
            <w:hideMark/>
          </w:tcPr>
          <w:p w14:paraId="34695A08" w14:textId="77777777" w:rsidR="00000000" w:rsidRDefault="00195E73">
            <w:pPr>
              <w:rPr>
                <w:rFonts w:eastAsia="Times New Roman"/>
                <w:sz w:val="20"/>
                <w:szCs w:val="20"/>
              </w:rPr>
            </w:pPr>
          </w:p>
        </w:tc>
        <w:tc>
          <w:tcPr>
            <w:tcW w:w="0" w:type="auto"/>
            <w:vAlign w:val="center"/>
            <w:hideMark/>
          </w:tcPr>
          <w:p w14:paraId="48AFADD0" w14:textId="77777777" w:rsidR="00000000" w:rsidRDefault="00195E73">
            <w:pPr>
              <w:rPr>
                <w:rFonts w:eastAsia="Times New Roman"/>
                <w:sz w:val="20"/>
                <w:szCs w:val="20"/>
              </w:rPr>
            </w:pPr>
          </w:p>
        </w:tc>
        <w:tc>
          <w:tcPr>
            <w:tcW w:w="0" w:type="auto"/>
            <w:vAlign w:val="center"/>
            <w:hideMark/>
          </w:tcPr>
          <w:p w14:paraId="16ABD44A" w14:textId="77777777" w:rsidR="00000000" w:rsidRDefault="00195E73">
            <w:pPr>
              <w:rPr>
                <w:rFonts w:eastAsia="Times New Roman"/>
                <w:sz w:val="20"/>
                <w:szCs w:val="20"/>
              </w:rPr>
            </w:pPr>
          </w:p>
        </w:tc>
        <w:tc>
          <w:tcPr>
            <w:tcW w:w="0" w:type="auto"/>
            <w:vAlign w:val="center"/>
            <w:hideMark/>
          </w:tcPr>
          <w:p w14:paraId="58FBD88C" w14:textId="77777777" w:rsidR="00000000" w:rsidRDefault="00195E73">
            <w:pPr>
              <w:rPr>
                <w:rFonts w:eastAsia="Times New Roman"/>
                <w:sz w:val="20"/>
                <w:szCs w:val="20"/>
              </w:rPr>
            </w:pPr>
          </w:p>
        </w:tc>
        <w:tc>
          <w:tcPr>
            <w:tcW w:w="0" w:type="auto"/>
            <w:vAlign w:val="center"/>
            <w:hideMark/>
          </w:tcPr>
          <w:p w14:paraId="50AF5F81" w14:textId="77777777" w:rsidR="00000000" w:rsidRDefault="00195E73">
            <w:pPr>
              <w:rPr>
                <w:rFonts w:eastAsia="Times New Roman"/>
                <w:sz w:val="20"/>
                <w:szCs w:val="20"/>
              </w:rPr>
            </w:pPr>
          </w:p>
        </w:tc>
        <w:tc>
          <w:tcPr>
            <w:tcW w:w="0" w:type="auto"/>
            <w:vAlign w:val="center"/>
            <w:hideMark/>
          </w:tcPr>
          <w:p w14:paraId="72EFC03C" w14:textId="77777777" w:rsidR="00000000" w:rsidRDefault="00195E73">
            <w:pPr>
              <w:rPr>
                <w:rFonts w:eastAsia="Times New Roman"/>
                <w:sz w:val="20"/>
                <w:szCs w:val="20"/>
              </w:rPr>
            </w:pPr>
          </w:p>
        </w:tc>
        <w:tc>
          <w:tcPr>
            <w:tcW w:w="0" w:type="auto"/>
            <w:vAlign w:val="center"/>
            <w:hideMark/>
          </w:tcPr>
          <w:p w14:paraId="72AEBEF8" w14:textId="77777777" w:rsidR="00000000" w:rsidRDefault="00195E73">
            <w:pPr>
              <w:rPr>
                <w:rFonts w:eastAsia="Times New Roman"/>
                <w:sz w:val="20"/>
                <w:szCs w:val="20"/>
              </w:rPr>
            </w:pPr>
          </w:p>
        </w:tc>
        <w:tc>
          <w:tcPr>
            <w:tcW w:w="0" w:type="auto"/>
            <w:vAlign w:val="center"/>
            <w:hideMark/>
          </w:tcPr>
          <w:p w14:paraId="34E135FE" w14:textId="77777777" w:rsidR="00000000" w:rsidRDefault="00195E73">
            <w:pPr>
              <w:rPr>
                <w:rFonts w:eastAsia="Times New Roman"/>
                <w:sz w:val="20"/>
                <w:szCs w:val="20"/>
              </w:rPr>
            </w:pPr>
          </w:p>
        </w:tc>
        <w:tc>
          <w:tcPr>
            <w:tcW w:w="0" w:type="auto"/>
            <w:vAlign w:val="center"/>
            <w:hideMark/>
          </w:tcPr>
          <w:p w14:paraId="3EE11B87" w14:textId="77777777" w:rsidR="00000000" w:rsidRDefault="00195E73">
            <w:pPr>
              <w:rPr>
                <w:rFonts w:eastAsia="Times New Roman"/>
                <w:sz w:val="20"/>
                <w:szCs w:val="20"/>
              </w:rPr>
            </w:pPr>
          </w:p>
        </w:tc>
        <w:tc>
          <w:tcPr>
            <w:tcW w:w="0" w:type="auto"/>
            <w:vAlign w:val="center"/>
            <w:hideMark/>
          </w:tcPr>
          <w:p w14:paraId="5CE9E41B" w14:textId="77777777" w:rsidR="00000000" w:rsidRDefault="00195E73">
            <w:pPr>
              <w:rPr>
                <w:rFonts w:eastAsia="Times New Roman"/>
                <w:sz w:val="20"/>
                <w:szCs w:val="20"/>
              </w:rPr>
            </w:pPr>
          </w:p>
        </w:tc>
        <w:tc>
          <w:tcPr>
            <w:tcW w:w="0" w:type="auto"/>
            <w:vAlign w:val="center"/>
            <w:hideMark/>
          </w:tcPr>
          <w:p w14:paraId="13E0C663" w14:textId="77777777" w:rsidR="00000000" w:rsidRDefault="00195E73">
            <w:pPr>
              <w:rPr>
                <w:rFonts w:eastAsia="Times New Roman"/>
                <w:sz w:val="20"/>
                <w:szCs w:val="20"/>
              </w:rPr>
            </w:pPr>
          </w:p>
        </w:tc>
        <w:tc>
          <w:tcPr>
            <w:tcW w:w="0" w:type="auto"/>
            <w:vAlign w:val="center"/>
            <w:hideMark/>
          </w:tcPr>
          <w:p w14:paraId="312790FE" w14:textId="77777777" w:rsidR="00000000" w:rsidRDefault="00195E73">
            <w:pPr>
              <w:rPr>
                <w:rFonts w:eastAsia="Times New Roman"/>
                <w:sz w:val="20"/>
                <w:szCs w:val="20"/>
              </w:rPr>
            </w:pPr>
          </w:p>
        </w:tc>
        <w:tc>
          <w:tcPr>
            <w:tcW w:w="0" w:type="auto"/>
            <w:vAlign w:val="center"/>
            <w:hideMark/>
          </w:tcPr>
          <w:p w14:paraId="55F22F9F" w14:textId="77777777" w:rsidR="00000000" w:rsidRDefault="00195E73">
            <w:pPr>
              <w:rPr>
                <w:rFonts w:eastAsia="Times New Roman"/>
                <w:sz w:val="20"/>
                <w:szCs w:val="20"/>
              </w:rPr>
            </w:pPr>
          </w:p>
        </w:tc>
        <w:tc>
          <w:tcPr>
            <w:tcW w:w="0" w:type="auto"/>
            <w:vAlign w:val="center"/>
            <w:hideMark/>
          </w:tcPr>
          <w:p w14:paraId="4719CE50" w14:textId="77777777" w:rsidR="00000000" w:rsidRDefault="00195E73">
            <w:pPr>
              <w:rPr>
                <w:rFonts w:eastAsia="Times New Roman"/>
                <w:sz w:val="20"/>
                <w:szCs w:val="20"/>
              </w:rPr>
            </w:pPr>
          </w:p>
        </w:tc>
        <w:tc>
          <w:tcPr>
            <w:tcW w:w="0" w:type="auto"/>
            <w:vAlign w:val="center"/>
            <w:hideMark/>
          </w:tcPr>
          <w:p w14:paraId="440CADF3" w14:textId="77777777" w:rsidR="00000000" w:rsidRDefault="00195E73">
            <w:pPr>
              <w:rPr>
                <w:rFonts w:eastAsia="Times New Roman"/>
                <w:sz w:val="20"/>
                <w:szCs w:val="20"/>
              </w:rPr>
            </w:pPr>
          </w:p>
        </w:tc>
        <w:tc>
          <w:tcPr>
            <w:tcW w:w="0" w:type="auto"/>
            <w:vAlign w:val="center"/>
            <w:hideMark/>
          </w:tcPr>
          <w:p w14:paraId="357A29C8" w14:textId="77777777" w:rsidR="00000000" w:rsidRDefault="00195E73">
            <w:pPr>
              <w:rPr>
                <w:rFonts w:eastAsia="Times New Roman"/>
                <w:sz w:val="20"/>
                <w:szCs w:val="20"/>
              </w:rPr>
            </w:pPr>
          </w:p>
        </w:tc>
        <w:tc>
          <w:tcPr>
            <w:tcW w:w="0" w:type="auto"/>
            <w:vAlign w:val="center"/>
            <w:hideMark/>
          </w:tcPr>
          <w:p w14:paraId="2AA1A3B7" w14:textId="77777777" w:rsidR="00000000" w:rsidRDefault="00195E73">
            <w:pPr>
              <w:rPr>
                <w:rFonts w:eastAsia="Times New Roman"/>
                <w:sz w:val="20"/>
                <w:szCs w:val="20"/>
              </w:rPr>
            </w:pPr>
          </w:p>
        </w:tc>
        <w:tc>
          <w:tcPr>
            <w:tcW w:w="0" w:type="auto"/>
            <w:vAlign w:val="center"/>
            <w:hideMark/>
          </w:tcPr>
          <w:p w14:paraId="161276F4" w14:textId="77777777" w:rsidR="00000000" w:rsidRDefault="00195E73">
            <w:pPr>
              <w:rPr>
                <w:rFonts w:eastAsia="Times New Roman"/>
                <w:sz w:val="20"/>
                <w:szCs w:val="20"/>
              </w:rPr>
            </w:pPr>
          </w:p>
        </w:tc>
      </w:tr>
      <w:tr w:rsidR="00000000" w14:paraId="39438405" w14:textId="77777777">
        <w:trPr>
          <w:divId w:val="181169674"/>
          <w:jc w:val="center"/>
        </w:trPr>
        <w:tc>
          <w:tcPr>
            <w:tcW w:w="0" w:type="auto"/>
            <w:gridSpan w:val="3"/>
            <w:vMerge w:val="restart"/>
            <w:tcBorders>
              <w:top w:val="single" w:sz="8" w:space="0" w:color="000000"/>
            </w:tcBorders>
            <w:tcMar>
              <w:top w:w="30" w:type="dxa"/>
              <w:left w:w="20" w:type="dxa"/>
              <w:bottom w:w="30" w:type="dxa"/>
              <w:right w:w="20" w:type="dxa"/>
            </w:tcMar>
            <w:hideMark/>
          </w:tcPr>
          <w:p w14:paraId="4DAB538D" w14:textId="77777777" w:rsidR="00000000" w:rsidRDefault="00195E73">
            <w:pPr>
              <w:divId w:val="753936336"/>
              <w:rPr>
                <w:rFonts w:eastAsia="Times New Roman"/>
              </w:rPr>
            </w:pPr>
            <w:r>
              <w:rPr>
                <w:rFonts w:eastAsia="Times New Roman"/>
                <w:color w:val="000000"/>
                <w:sz w:val="20"/>
                <w:szCs w:val="20"/>
              </w:rPr>
              <w:t>Carl C. Icah</w:t>
            </w:r>
            <w:r>
              <w:rPr>
                <w:rFonts w:eastAsia="Times New Roman"/>
                <w:color w:val="000000"/>
                <w:sz w:val="20"/>
                <w:szCs w:val="20"/>
              </w:rPr>
              <w:t>n</w:t>
            </w:r>
            <w:r>
              <w:rPr>
                <w:rFonts w:eastAsia="Times New Roman"/>
                <w:color w:val="000000"/>
                <w:sz w:val="10"/>
                <w:szCs w:val="10"/>
                <w:vertAlign w:val="superscript"/>
              </w:rPr>
              <w:t>(2)</w:t>
            </w:r>
          </w:p>
          <w:p w14:paraId="40B11CF8" w14:textId="77777777" w:rsidR="00000000" w:rsidRDefault="00195E73">
            <w:pPr>
              <w:divId w:val="1618218704"/>
              <w:rPr>
                <w:rFonts w:eastAsia="Times New Roman"/>
              </w:rPr>
            </w:pPr>
            <w:r>
              <w:rPr>
                <w:rFonts w:eastAsia="Times New Roman"/>
                <w:color w:val="000000"/>
                <w:sz w:val="20"/>
                <w:szCs w:val="20"/>
              </w:rPr>
              <w:t>Chairman of the Boar</w:t>
            </w:r>
            <w:r>
              <w:rPr>
                <w:rFonts w:eastAsia="Times New Roman"/>
                <w:color w:val="000000"/>
                <w:sz w:val="20"/>
                <w:szCs w:val="20"/>
              </w:rPr>
              <w:t>d</w:t>
            </w:r>
          </w:p>
        </w:tc>
        <w:tc>
          <w:tcPr>
            <w:tcW w:w="0" w:type="auto"/>
            <w:gridSpan w:val="3"/>
            <w:tcMar>
              <w:top w:w="30" w:type="dxa"/>
              <w:left w:w="20" w:type="dxa"/>
              <w:bottom w:w="30" w:type="dxa"/>
              <w:right w:w="20" w:type="dxa"/>
            </w:tcMar>
            <w:vAlign w:val="bottom"/>
            <w:hideMark/>
          </w:tcPr>
          <w:p w14:paraId="65B11A47" w14:textId="77777777" w:rsidR="00000000" w:rsidRDefault="00195E7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649FADF" w14:textId="77777777" w:rsidR="00000000" w:rsidRDefault="00195E73">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14:paraId="6F2A181F" w14:textId="77777777" w:rsidR="00000000" w:rsidRDefault="00195E73">
            <w:pPr>
              <w:rPr>
                <w:rFonts w:eastAsia="Times New Roman"/>
              </w:rPr>
            </w:pPr>
            <w:r>
              <w:rPr>
                <w:rFonts w:eastAsia="Times New Roman"/>
                <w:color w:val="000000"/>
                <w:sz w:val="20"/>
                <w:szCs w:val="20"/>
              </w:rPr>
              <w:t> </w:t>
            </w:r>
          </w:p>
        </w:tc>
        <w:tc>
          <w:tcPr>
            <w:tcW w:w="0" w:type="auto"/>
            <w:gridSpan w:val="2"/>
            <w:tcBorders>
              <w:top w:val="single" w:sz="8" w:space="0" w:color="000000"/>
            </w:tcBorders>
            <w:tcMar>
              <w:top w:w="30" w:type="dxa"/>
              <w:left w:w="20" w:type="dxa"/>
              <w:bottom w:w="30" w:type="dxa"/>
              <w:right w:w="0" w:type="dxa"/>
            </w:tcMar>
            <w:vAlign w:val="bottom"/>
            <w:hideMark/>
          </w:tcPr>
          <w:p w14:paraId="3CEC58AB"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14:paraId="52127841"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99C312D" w14:textId="77777777" w:rsidR="00000000" w:rsidRDefault="00195E73">
            <w:pPr>
              <w:rPr>
                <w:rFonts w:eastAsia="Times New Roman"/>
              </w:rPr>
            </w:pPr>
            <w:r>
              <w:rPr>
                <w:rFonts w:eastAsia="Times New Roman"/>
                <w:color w:val="000000"/>
                <w:sz w:val="20"/>
                <w:szCs w:val="20"/>
              </w:rPr>
              <w:t> </w:t>
            </w:r>
          </w:p>
        </w:tc>
        <w:tc>
          <w:tcPr>
            <w:tcW w:w="0" w:type="auto"/>
            <w:gridSpan w:val="2"/>
            <w:tcBorders>
              <w:top w:val="single" w:sz="8" w:space="0" w:color="000000"/>
            </w:tcBorders>
            <w:tcMar>
              <w:top w:w="30" w:type="dxa"/>
              <w:left w:w="20" w:type="dxa"/>
              <w:bottom w:w="30" w:type="dxa"/>
              <w:right w:w="0" w:type="dxa"/>
            </w:tcMar>
            <w:vAlign w:val="bottom"/>
            <w:hideMark/>
          </w:tcPr>
          <w:p w14:paraId="681763D6"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14:paraId="645DF66F" w14:textId="77777777" w:rsidR="00000000" w:rsidRDefault="00195E73">
            <w:pPr>
              <w:jc w:val="right"/>
              <w:rPr>
                <w:rFonts w:eastAsia="Times New Roman"/>
              </w:rPr>
            </w:pPr>
            <w:r>
              <w:rPr>
                <w:rFonts w:eastAsia="Times New Roman"/>
                <w:color w:val="000000"/>
                <w:sz w:val="20"/>
                <w:szCs w:val="20"/>
              </w:rPr>
              <w:t> </w:t>
            </w:r>
          </w:p>
        </w:tc>
        <w:tc>
          <w:tcPr>
            <w:tcW w:w="0" w:type="auto"/>
            <w:gridSpan w:val="2"/>
            <w:tcMar>
              <w:top w:w="30" w:type="dxa"/>
              <w:left w:w="20" w:type="dxa"/>
              <w:bottom w:w="30" w:type="dxa"/>
              <w:right w:w="0" w:type="dxa"/>
            </w:tcMar>
            <w:vAlign w:val="bottom"/>
            <w:hideMark/>
          </w:tcPr>
          <w:p w14:paraId="03C3FD89" w14:textId="77777777" w:rsidR="00000000" w:rsidRDefault="00195E73">
            <w:pPr>
              <w:jc w:val="cente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tcMar>
              <w:top w:w="30" w:type="dxa"/>
              <w:left w:w="15" w:type="dxa"/>
              <w:bottom w:w="30" w:type="dxa"/>
              <w:right w:w="20" w:type="dxa"/>
            </w:tcMar>
            <w:vAlign w:val="bottom"/>
            <w:hideMark/>
          </w:tcPr>
          <w:p w14:paraId="10E211E4" w14:textId="77777777" w:rsidR="00000000" w:rsidRDefault="00195E73">
            <w:pPr>
              <w:jc w:val="right"/>
              <w:rPr>
                <w:rFonts w:eastAsia="Times New Roman"/>
              </w:rPr>
            </w:pPr>
            <w:r>
              <w:rPr>
                <w:rFonts w:eastAsia="Times New Roman"/>
                <w:color w:val="000000"/>
                <w:sz w:val="16"/>
                <w:szCs w:val="16"/>
              </w:rPr>
              <w:t> </w:t>
            </w:r>
          </w:p>
        </w:tc>
        <w:tc>
          <w:tcPr>
            <w:tcW w:w="0" w:type="auto"/>
            <w:gridSpan w:val="2"/>
            <w:vAlign w:val="center"/>
            <w:hideMark/>
          </w:tcPr>
          <w:p w14:paraId="4BD5163E" w14:textId="77777777" w:rsidR="00000000" w:rsidRDefault="00195E73">
            <w:pPr>
              <w:jc w:val="right"/>
              <w:rPr>
                <w:rFonts w:eastAsia="Times New Roman"/>
              </w:rPr>
            </w:pPr>
          </w:p>
        </w:tc>
        <w:tc>
          <w:tcPr>
            <w:tcW w:w="0" w:type="auto"/>
            <w:vAlign w:val="center"/>
            <w:hideMark/>
          </w:tcPr>
          <w:p w14:paraId="48C32E20" w14:textId="77777777" w:rsidR="00000000" w:rsidRDefault="00195E73">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02CD6728" w14:textId="77777777" w:rsidR="00000000" w:rsidRDefault="00195E73">
            <w:pPr>
              <w:jc w:val="right"/>
              <w:rPr>
                <w:rFonts w:eastAsia="Times New Roman"/>
              </w:rPr>
            </w:pPr>
            <w:r>
              <w:rPr>
                <w:rFonts w:eastAsia="Times New Roman"/>
                <w:color w:val="000000"/>
                <w:sz w:val="20"/>
                <w:szCs w:val="20"/>
              </w:rPr>
              <w:t>14,636</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14:paraId="1CFB21BB" w14:textId="77777777" w:rsidR="00000000" w:rsidRDefault="00195E73">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949BF40" w14:textId="77777777" w:rsidR="00000000" w:rsidRDefault="00195E73">
            <w:pPr>
              <w:jc w:val="center"/>
              <w:rPr>
                <w:rFonts w:eastAsia="Times New Roman"/>
              </w:rPr>
            </w:pPr>
            <w:r>
              <w:rPr>
                <w:rFonts w:eastAsia="Times New Roman"/>
                <w:color w:val="000000"/>
                <w:sz w:val="10"/>
                <w:szCs w:val="10"/>
                <w:vertAlign w:val="superscript"/>
              </w:rPr>
              <w:t>(3)</w:t>
            </w:r>
          </w:p>
        </w:tc>
        <w:tc>
          <w:tcPr>
            <w:tcW w:w="0" w:type="auto"/>
            <w:gridSpan w:val="3"/>
            <w:tcMar>
              <w:top w:w="30" w:type="dxa"/>
              <w:left w:w="20" w:type="dxa"/>
              <w:bottom w:w="30" w:type="dxa"/>
              <w:right w:w="20" w:type="dxa"/>
            </w:tcMar>
            <w:vAlign w:val="bottom"/>
            <w:hideMark/>
          </w:tcPr>
          <w:p w14:paraId="4D3AF38F" w14:textId="77777777" w:rsidR="00000000" w:rsidRDefault="00195E73">
            <w:pPr>
              <w:rPr>
                <w:rFonts w:eastAsia="Times New Roman"/>
              </w:rPr>
            </w:pPr>
            <w:r>
              <w:rPr>
                <w:rFonts w:eastAsia="Times New Roman"/>
                <w:color w:val="000000"/>
                <w:sz w:val="20"/>
                <w:szCs w:val="20"/>
              </w:rPr>
              <w:t> </w:t>
            </w:r>
          </w:p>
        </w:tc>
        <w:tc>
          <w:tcPr>
            <w:tcW w:w="0" w:type="auto"/>
            <w:gridSpan w:val="2"/>
            <w:tcBorders>
              <w:top w:val="single" w:sz="8" w:space="0" w:color="000000"/>
            </w:tcBorders>
            <w:tcMar>
              <w:top w:w="30" w:type="dxa"/>
              <w:left w:w="20" w:type="dxa"/>
              <w:bottom w:w="30" w:type="dxa"/>
              <w:right w:w="0" w:type="dxa"/>
            </w:tcMar>
            <w:vAlign w:val="bottom"/>
            <w:hideMark/>
          </w:tcPr>
          <w:p w14:paraId="699E91B5" w14:textId="77777777" w:rsidR="00000000" w:rsidRDefault="00195E73">
            <w:pPr>
              <w:jc w:val="right"/>
              <w:rPr>
                <w:rFonts w:eastAsia="Times New Roman"/>
              </w:rPr>
            </w:pPr>
            <w:r>
              <w:rPr>
                <w:rFonts w:eastAsia="Times New Roman"/>
                <w:color w:val="000000"/>
                <w:sz w:val="20"/>
                <w:szCs w:val="20"/>
              </w:rPr>
              <w:t>14,637</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14:paraId="0348C80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A2DED37" w14:textId="77777777" w:rsidR="00000000" w:rsidRDefault="00195E73">
            <w:pPr>
              <w:rPr>
                <w:rFonts w:eastAsia="Times New Roman"/>
                <w:sz w:val="20"/>
                <w:szCs w:val="20"/>
              </w:rPr>
            </w:pPr>
          </w:p>
        </w:tc>
        <w:tc>
          <w:tcPr>
            <w:tcW w:w="0" w:type="auto"/>
            <w:vAlign w:val="center"/>
            <w:hideMark/>
          </w:tcPr>
          <w:p w14:paraId="6EF20D74" w14:textId="77777777" w:rsidR="00000000" w:rsidRDefault="00195E73">
            <w:pPr>
              <w:rPr>
                <w:rFonts w:eastAsia="Times New Roman"/>
                <w:sz w:val="20"/>
                <w:szCs w:val="20"/>
              </w:rPr>
            </w:pPr>
          </w:p>
        </w:tc>
        <w:tc>
          <w:tcPr>
            <w:tcW w:w="0" w:type="auto"/>
            <w:vAlign w:val="center"/>
            <w:hideMark/>
          </w:tcPr>
          <w:p w14:paraId="56FB0E01" w14:textId="77777777" w:rsidR="00000000" w:rsidRDefault="00195E73">
            <w:pPr>
              <w:rPr>
                <w:rFonts w:eastAsia="Times New Roman"/>
                <w:sz w:val="20"/>
                <w:szCs w:val="20"/>
              </w:rPr>
            </w:pPr>
          </w:p>
        </w:tc>
        <w:tc>
          <w:tcPr>
            <w:tcW w:w="0" w:type="auto"/>
            <w:vAlign w:val="center"/>
            <w:hideMark/>
          </w:tcPr>
          <w:p w14:paraId="785527BB" w14:textId="77777777" w:rsidR="00000000" w:rsidRDefault="00195E73">
            <w:pPr>
              <w:rPr>
                <w:rFonts w:eastAsia="Times New Roman"/>
                <w:sz w:val="20"/>
                <w:szCs w:val="20"/>
              </w:rPr>
            </w:pPr>
          </w:p>
        </w:tc>
        <w:tc>
          <w:tcPr>
            <w:tcW w:w="0" w:type="auto"/>
            <w:vAlign w:val="center"/>
            <w:hideMark/>
          </w:tcPr>
          <w:p w14:paraId="75E23C4C" w14:textId="77777777" w:rsidR="00000000" w:rsidRDefault="00195E73">
            <w:pPr>
              <w:rPr>
                <w:rFonts w:eastAsia="Times New Roman"/>
                <w:sz w:val="20"/>
                <w:szCs w:val="20"/>
              </w:rPr>
            </w:pPr>
          </w:p>
        </w:tc>
        <w:tc>
          <w:tcPr>
            <w:tcW w:w="0" w:type="auto"/>
            <w:vAlign w:val="center"/>
            <w:hideMark/>
          </w:tcPr>
          <w:p w14:paraId="03302A1F" w14:textId="77777777" w:rsidR="00000000" w:rsidRDefault="00195E73">
            <w:pPr>
              <w:rPr>
                <w:rFonts w:eastAsia="Times New Roman"/>
                <w:sz w:val="20"/>
                <w:szCs w:val="20"/>
              </w:rPr>
            </w:pPr>
          </w:p>
        </w:tc>
        <w:tc>
          <w:tcPr>
            <w:tcW w:w="0" w:type="auto"/>
            <w:vAlign w:val="center"/>
            <w:hideMark/>
          </w:tcPr>
          <w:p w14:paraId="69CC9A23" w14:textId="77777777" w:rsidR="00000000" w:rsidRDefault="00195E73">
            <w:pPr>
              <w:rPr>
                <w:rFonts w:eastAsia="Times New Roman"/>
                <w:sz w:val="20"/>
                <w:szCs w:val="20"/>
              </w:rPr>
            </w:pPr>
          </w:p>
        </w:tc>
        <w:tc>
          <w:tcPr>
            <w:tcW w:w="0" w:type="auto"/>
            <w:vAlign w:val="center"/>
            <w:hideMark/>
          </w:tcPr>
          <w:p w14:paraId="6942175E" w14:textId="77777777" w:rsidR="00000000" w:rsidRDefault="00195E73">
            <w:pPr>
              <w:rPr>
                <w:rFonts w:eastAsia="Times New Roman"/>
                <w:sz w:val="20"/>
                <w:szCs w:val="20"/>
              </w:rPr>
            </w:pPr>
          </w:p>
        </w:tc>
        <w:tc>
          <w:tcPr>
            <w:tcW w:w="0" w:type="auto"/>
            <w:vAlign w:val="center"/>
            <w:hideMark/>
          </w:tcPr>
          <w:p w14:paraId="27875C26" w14:textId="77777777" w:rsidR="00000000" w:rsidRDefault="00195E73">
            <w:pPr>
              <w:rPr>
                <w:rFonts w:eastAsia="Times New Roman"/>
                <w:sz w:val="20"/>
                <w:szCs w:val="20"/>
              </w:rPr>
            </w:pPr>
          </w:p>
        </w:tc>
        <w:tc>
          <w:tcPr>
            <w:tcW w:w="0" w:type="auto"/>
            <w:vAlign w:val="center"/>
            <w:hideMark/>
          </w:tcPr>
          <w:p w14:paraId="0EE6DFF8" w14:textId="77777777" w:rsidR="00000000" w:rsidRDefault="00195E73">
            <w:pPr>
              <w:rPr>
                <w:rFonts w:eastAsia="Times New Roman"/>
                <w:sz w:val="20"/>
                <w:szCs w:val="20"/>
              </w:rPr>
            </w:pPr>
          </w:p>
        </w:tc>
        <w:tc>
          <w:tcPr>
            <w:tcW w:w="0" w:type="auto"/>
            <w:vAlign w:val="center"/>
            <w:hideMark/>
          </w:tcPr>
          <w:p w14:paraId="4A2AEF7B" w14:textId="77777777" w:rsidR="00000000" w:rsidRDefault="00195E73">
            <w:pPr>
              <w:rPr>
                <w:rFonts w:eastAsia="Times New Roman"/>
                <w:sz w:val="20"/>
                <w:szCs w:val="20"/>
              </w:rPr>
            </w:pPr>
          </w:p>
        </w:tc>
        <w:tc>
          <w:tcPr>
            <w:tcW w:w="0" w:type="auto"/>
            <w:vAlign w:val="center"/>
            <w:hideMark/>
          </w:tcPr>
          <w:p w14:paraId="6C3218F9" w14:textId="77777777" w:rsidR="00000000" w:rsidRDefault="00195E73">
            <w:pPr>
              <w:rPr>
                <w:rFonts w:eastAsia="Times New Roman"/>
                <w:sz w:val="20"/>
                <w:szCs w:val="20"/>
              </w:rPr>
            </w:pPr>
          </w:p>
        </w:tc>
        <w:tc>
          <w:tcPr>
            <w:tcW w:w="0" w:type="auto"/>
            <w:vAlign w:val="center"/>
            <w:hideMark/>
          </w:tcPr>
          <w:p w14:paraId="58F4F9BF" w14:textId="77777777" w:rsidR="00000000" w:rsidRDefault="00195E73">
            <w:pPr>
              <w:rPr>
                <w:rFonts w:eastAsia="Times New Roman"/>
                <w:sz w:val="20"/>
                <w:szCs w:val="20"/>
              </w:rPr>
            </w:pPr>
          </w:p>
        </w:tc>
        <w:tc>
          <w:tcPr>
            <w:tcW w:w="0" w:type="auto"/>
            <w:vAlign w:val="center"/>
            <w:hideMark/>
          </w:tcPr>
          <w:p w14:paraId="491E06CD" w14:textId="77777777" w:rsidR="00000000" w:rsidRDefault="00195E73">
            <w:pPr>
              <w:rPr>
                <w:rFonts w:eastAsia="Times New Roman"/>
                <w:sz w:val="20"/>
                <w:szCs w:val="20"/>
              </w:rPr>
            </w:pPr>
          </w:p>
        </w:tc>
        <w:tc>
          <w:tcPr>
            <w:tcW w:w="0" w:type="auto"/>
            <w:vAlign w:val="center"/>
            <w:hideMark/>
          </w:tcPr>
          <w:p w14:paraId="1FF7CE53" w14:textId="77777777" w:rsidR="00000000" w:rsidRDefault="00195E73">
            <w:pPr>
              <w:rPr>
                <w:rFonts w:eastAsia="Times New Roman"/>
                <w:sz w:val="20"/>
                <w:szCs w:val="20"/>
              </w:rPr>
            </w:pPr>
          </w:p>
        </w:tc>
        <w:tc>
          <w:tcPr>
            <w:tcW w:w="0" w:type="auto"/>
            <w:vAlign w:val="center"/>
            <w:hideMark/>
          </w:tcPr>
          <w:p w14:paraId="00B3168E" w14:textId="77777777" w:rsidR="00000000" w:rsidRDefault="00195E73">
            <w:pPr>
              <w:rPr>
                <w:rFonts w:eastAsia="Times New Roman"/>
                <w:sz w:val="20"/>
                <w:szCs w:val="20"/>
              </w:rPr>
            </w:pPr>
          </w:p>
        </w:tc>
        <w:tc>
          <w:tcPr>
            <w:tcW w:w="0" w:type="auto"/>
            <w:vAlign w:val="center"/>
            <w:hideMark/>
          </w:tcPr>
          <w:p w14:paraId="7174F53D" w14:textId="77777777" w:rsidR="00000000" w:rsidRDefault="00195E73">
            <w:pPr>
              <w:rPr>
                <w:rFonts w:eastAsia="Times New Roman"/>
                <w:sz w:val="20"/>
                <w:szCs w:val="20"/>
              </w:rPr>
            </w:pPr>
          </w:p>
        </w:tc>
        <w:tc>
          <w:tcPr>
            <w:tcW w:w="0" w:type="auto"/>
            <w:vAlign w:val="center"/>
            <w:hideMark/>
          </w:tcPr>
          <w:p w14:paraId="2EF11315" w14:textId="77777777" w:rsidR="00000000" w:rsidRDefault="00195E73">
            <w:pPr>
              <w:rPr>
                <w:rFonts w:eastAsia="Times New Roman"/>
                <w:sz w:val="20"/>
                <w:szCs w:val="20"/>
              </w:rPr>
            </w:pPr>
          </w:p>
        </w:tc>
        <w:tc>
          <w:tcPr>
            <w:tcW w:w="0" w:type="auto"/>
            <w:vAlign w:val="center"/>
            <w:hideMark/>
          </w:tcPr>
          <w:p w14:paraId="7175DDA0" w14:textId="77777777" w:rsidR="00000000" w:rsidRDefault="00195E73">
            <w:pPr>
              <w:rPr>
                <w:rFonts w:eastAsia="Times New Roman"/>
                <w:sz w:val="20"/>
                <w:szCs w:val="20"/>
              </w:rPr>
            </w:pPr>
          </w:p>
        </w:tc>
        <w:tc>
          <w:tcPr>
            <w:tcW w:w="0" w:type="auto"/>
            <w:vAlign w:val="center"/>
            <w:hideMark/>
          </w:tcPr>
          <w:p w14:paraId="51C42A86" w14:textId="77777777" w:rsidR="00000000" w:rsidRDefault="00195E73">
            <w:pPr>
              <w:rPr>
                <w:rFonts w:eastAsia="Times New Roman"/>
                <w:sz w:val="20"/>
                <w:szCs w:val="20"/>
              </w:rPr>
            </w:pPr>
          </w:p>
        </w:tc>
        <w:tc>
          <w:tcPr>
            <w:tcW w:w="0" w:type="auto"/>
            <w:vAlign w:val="center"/>
            <w:hideMark/>
          </w:tcPr>
          <w:p w14:paraId="6DA049FE" w14:textId="77777777" w:rsidR="00000000" w:rsidRDefault="00195E73">
            <w:pPr>
              <w:rPr>
                <w:rFonts w:eastAsia="Times New Roman"/>
                <w:sz w:val="20"/>
                <w:szCs w:val="20"/>
              </w:rPr>
            </w:pPr>
          </w:p>
        </w:tc>
      </w:tr>
      <w:tr w:rsidR="00000000" w14:paraId="506E7765" w14:textId="77777777">
        <w:trPr>
          <w:divId w:val="181169674"/>
          <w:jc w:val="center"/>
        </w:trPr>
        <w:tc>
          <w:tcPr>
            <w:tcW w:w="0" w:type="auto"/>
            <w:gridSpan w:val="3"/>
            <w:vMerge/>
            <w:tcBorders>
              <w:top w:val="single" w:sz="8" w:space="0" w:color="000000"/>
            </w:tcBorders>
            <w:vAlign w:val="center"/>
            <w:hideMark/>
          </w:tcPr>
          <w:p w14:paraId="6E2C7946" w14:textId="77777777" w:rsidR="00000000" w:rsidRDefault="00195E73">
            <w:pPr>
              <w:rPr>
                <w:rFonts w:eastAsia="Times New Roman"/>
              </w:rPr>
            </w:pPr>
          </w:p>
        </w:tc>
        <w:tc>
          <w:tcPr>
            <w:tcW w:w="0" w:type="auto"/>
            <w:gridSpan w:val="3"/>
            <w:vAlign w:val="center"/>
            <w:hideMark/>
          </w:tcPr>
          <w:p w14:paraId="3B355AE1" w14:textId="77777777" w:rsidR="00000000" w:rsidRDefault="00195E73">
            <w:pPr>
              <w:jc w:val="right"/>
              <w:rPr>
                <w:rFonts w:eastAsia="Times New Roman"/>
              </w:rPr>
            </w:pPr>
          </w:p>
        </w:tc>
        <w:tc>
          <w:tcPr>
            <w:tcW w:w="0" w:type="auto"/>
            <w:gridSpan w:val="3"/>
            <w:tcMar>
              <w:top w:w="30" w:type="dxa"/>
              <w:left w:w="20" w:type="dxa"/>
              <w:bottom w:w="30" w:type="dxa"/>
              <w:right w:w="20" w:type="dxa"/>
            </w:tcMar>
            <w:vAlign w:val="bottom"/>
            <w:hideMark/>
          </w:tcPr>
          <w:p w14:paraId="08EC4BAC" w14:textId="77777777" w:rsidR="00000000" w:rsidRDefault="00195E7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C1FC878" w14:textId="77777777" w:rsidR="00000000" w:rsidRDefault="00195E73">
            <w:pPr>
              <w:jc w:val="center"/>
              <w:rPr>
                <w:rFonts w:eastAsia="Times New Roman"/>
              </w:rPr>
            </w:pPr>
            <w:r>
              <w:rPr>
                <w:rFonts w:eastAsia="Times New Roman"/>
                <w:color w:val="000000"/>
                <w:sz w:val="20"/>
                <w:szCs w:val="20"/>
              </w:rPr>
              <w:t>201</w:t>
            </w:r>
            <w:r>
              <w:rPr>
                <w:rFonts w:eastAsia="Times New Roman"/>
                <w:color w:val="000000"/>
                <w:sz w:val="20"/>
                <w:szCs w:val="20"/>
              </w:rPr>
              <w:t>8</w:t>
            </w:r>
          </w:p>
        </w:tc>
        <w:tc>
          <w:tcPr>
            <w:tcW w:w="0" w:type="auto"/>
            <w:gridSpan w:val="3"/>
            <w:tcMar>
              <w:top w:w="30" w:type="dxa"/>
              <w:left w:w="20" w:type="dxa"/>
              <w:bottom w:w="30" w:type="dxa"/>
              <w:right w:w="20" w:type="dxa"/>
            </w:tcMar>
            <w:vAlign w:val="bottom"/>
            <w:hideMark/>
          </w:tcPr>
          <w:p w14:paraId="1A5A8C45" w14:textId="77777777" w:rsidR="00000000" w:rsidRDefault="00195E73">
            <w:pPr>
              <w:rPr>
                <w:rFonts w:eastAsia="Times New Roman"/>
              </w:rPr>
            </w:pPr>
            <w:r>
              <w:rPr>
                <w:rFonts w:eastAsia="Times New Roman"/>
                <w:color w:val="000000"/>
                <w:sz w:val="20"/>
                <w:szCs w:val="20"/>
              </w:rPr>
              <w:t> </w:t>
            </w:r>
          </w:p>
        </w:tc>
        <w:tc>
          <w:tcPr>
            <w:tcW w:w="0" w:type="auto"/>
            <w:gridSpan w:val="2"/>
            <w:tcMar>
              <w:top w:w="30" w:type="dxa"/>
              <w:left w:w="20" w:type="dxa"/>
              <w:bottom w:w="30" w:type="dxa"/>
              <w:right w:w="0" w:type="dxa"/>
            </w:tcMar>
            <w:vAlign w:val="bottom"/>
            <w:hideMark/>
          </w:tcPr>
          <w:p w14:paraId="1EC40378"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60C5C23F"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DB9D8CF" w14:textId="77777777" w:rsidR="00000000" w:rsidRDefault="00195E73">
            <w:pPr>
              <w:rPr>
                <w:rFonts w:eastAsia="Times New Roman"/>
              </w:rPr>
            </w:pPr>
            <w:r>
              <w:rPr>
                <w:rFonts w:eastAsia="Times New Roman"/>
                <w:color w:val="000000"/>
                <w:sz w:val="20"/>
                <w:szCs w:val="20"/>
              </w:rPr>
              <w:t> </w:t>
            </w:r>
          </w:p>
        </w:tc>
        <w:tc>
          <w:tcPr>
            <w:tcW w:w="0" w:type="auto"/>
            <w:gridSpan w:val="2"/>
            <w:tcMar>
              <w:top w:w="30" w:type="dxa"/>
              <w:left w:w="20" w:type="dxa"/>
              <w:bottom w:w="30" w:type="dxa"/>
              <w:right w:w="0" w:type="dxa"/>
            </w:tcMar>
            <w:vAlign w:val="bottom"/>
            <w:hideMark/>
          </w:tcPr>
          <w:p w14:paraId="7DBF429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2D6A2F9D" w14:textId="77777777" w:rsidR="00000000" w:rsidRDefault="00195E73">
            <w:pPr>
              <w:jc w:val="right"/>
              <w:rPr>
                <w:rFonts w:eastAsia="Times New Roman"/>
              </w:rPr>
            </w:pPr>
            <w:r>
              <w:rPr>
                <w:rFonts w:eastAsia="Times New Roman"/>
                <w:color w:val="000000"/>
                <w:sz w:val="20"/>
                <w:szCs w:val="20"/>
              </w:rPr>
              <w:t> </w:t>
            </w:r>
          </w:p>
        </w:tc>
        <w:tc>
          <w:tcPr>
            <w:tcW w:w="0" w:type="auto"/>
            <w:tcMar>
              <w:top w:w="30" w:type="dxa"/>
              <w:left w:w="20" w:type="dxa"/>
              <w:bottom w:w="30" w:type="dxa"/>
              <w:right w:w="0" w:type="dxa"/>
            </w:tcMar>
            <w:vAlign w:val="bottom"/>
            <w:hideMark/>
          </w:tcPr>
          <w:p w14:paraId="5DB159A6" w14:textId="77777777" w:rsidR="00000000" w:rsidRDefault="00195E73">
            <w:pPr>
              <w:jc w:val="cente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tcMar>
              <w:top w:w="30" w:type="dxa"/>
              <w:left w:w="15" w:type="dxa"/>
              <w:bottom w:w="30" w:type="dxa"/>
              <w:right w:w="20" w:type="dxa"/>
            </w:tcMar>
            <w:vAlign w:val="bottom"/>
            <w:hideMark/>
          </w:tcPr>
          <w:p w14:paraId="77C9174F"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78902203" w14:textId="77777777" w:rsidR="00000000" w:rsidRDefault="00195E73">
            <w:pPr>
              <w:jc w:val="right"/>
              <w:rPr>
                <w:rFonts w:eastAsia="Times New Roman"/>
              </w:rPr>
            </w:pPr>
          </w:p>
        </w:tc>
        <w:tc>
          <w:tcPr>
            <w:tcW w:w="0" w:type="auto"/>
            <w:gridSpan w:val="3"/>
            <w:vAlign w:val="center"/>
            <w:hideMark/>
          </w:tcPr>
          <w:p w14:paraId="4C75D815" w14:textId="77777777" w:rsidR="00000000" w:rsidRDefault="00195E73">
            <w:pPr>
              <w:rPr>
                <w:rFonts w:eastAsia="Times New Roman"/>
                <w:sz w:val="20"/>
                <w:szCs w:val="20"/>
              </w:rPr>
            </w:pPr>
          </w:p>
        </w:tc>
        <w:tc>
          <w:tcPr>
            <w:tcW w:w="0" w:type="auto"/>
            <w:gridSpan w:val="2"/>
            <w:tcMar>
              <w:top w:w="30" w:type="dxa"/>
              <w:left w:w="20" w:type="dxa"/>
              <w:bottom w:w="30" w:type="dxa"/>
              <w:right w:w="0" w:type="dxa"/>
            </w:tcMar>
            <w:vAlign w:val="bottom"/>
            <w:hideMark/>
          </w:tcPr>
          <w:p w14:paraId="5FEF755E" w14:textId="77777777" w:rsidR="00000000" w:rsidRDefault="00195E73">
            <w:pPr>
              <w:jc w:val="right"/>
              <w:rPr>
                <w:rFonts w:eastAsia="Times New Roman"/>
              </w:rPr>
            </w:pPr>
            <w:r>
              <w:rPr>
                <w:rFonts w:eastAsia="Times New Roman"/>
                <w:color w:val="000000"/>
                <w:sz w:val="20"/>
                <w:szCs w:val="20"/>
              </w:rPr>
              <w:t>66,142</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00768BE4"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EE15D27" w14:textId="77777777" w:rsidR="00000000" w:rsidRDefault="00195E73">
            <w:pPr>
              <w:jc w:val="center"/>
              <w:rPr>
                <w:rFonts w:eastAsia="Times New Roman"/>
              </w:rPr>
            </w:pPr>
            <w:r>
              <w:rPr>
                <w:rFonts w:eastAsia="Times New Roman"/>
                <w:color w:val="000000"/>
                <w:sz w:val="10"/>
                <w:szCs w:val="10"/>
                <w:vertAlign w:val="superscript"/>
              </w:rPr>
              <w:t>(3)</w:t>
            </w:r>
          </w:p>
        </w:tc>
        <w:tc>
          <w:tcPr>
            <w:tcW w:w="0" w:type="auto"/>
            <w:gridSpan w:val="3"/>
            <w:tcMar>
              <w:top w:w="30" w:type="dxa"/>
              <w:left w:w="20" w:type="dxa"/>
              <w:bottom w:w="30" w:type="dxa"/>
              <w:right w:w="20" w:type="dxa"/>
            </w:tcMar>
            <w:vAlign w:val="bottom"/>
            <w:hideMark/>
          </w:tcPr>
          <w:p w14:paraId="06BF8B45" w14:textId="77777777" w:rsidR="00000000" w:rsidRDefault="00195E73">
            <w:pPr>
              <w:rPr>
                <w:rFonts w:eastAsia="Times New Roman"/>
              </w:rPr>
            </w:pPr>
            <w:r>
              <w:rPr>
                <w:rFonts w:eastAsia="Times New Roman"/>
                <w:color w:val="000000"/>
                <w:sz w:val="20"/>
                <w:szCs w:val="20"/>
              </w:rPr>
              <w:t> </w:t>
            </w:r>
          </w:p>
        </w:tc>
        <w:tc>
          <w:tcPr>
            <w:tcW w:w="0" w:type="auto"/>
            <w:gridSpan w:val="2"/>
            <w:tcMar>
              <w:top w:w="30" w:type="dxa"/>
              <w:left w:w="20" w:type="dxa"/>
              <w:bottom w:w="30" w:type="dxa"/>
              <w:right w:w="0" w:type="dxa"/>
            </w:tcMar>
            <w:vAlign w:val="bottom"/>
            <w:hideMark/>
          </w:tcPr>
          <w:p w14:paraId="7D4E9CCC" w14:textId="77777777" w:rsidR="00000000" w:rsidRDefault="00195E73">
            <w:pPr>
              <w:jc w:val="right"/>
              <w:rPr>
                <w:rFonts w:eastAsia="Times New Roman"/>
              </w:rPr>
            </w:pPr>
            <w:r>
              <w:rPr>
                <w:rFonts w:eastAsia="Times New Roman"/>
                <w:color w:val="000000"/>
                <w:sz w:val="20"/>
                <w:szCs w:val="20"/>
              </w:rPr>
              <w:t>66,143</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4BE229E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E6F77FC" w14:textId="77777777" w:rsidR="00000000" w:rsidRDefault="00195E73">
            <w:pPr>
              <w:rPr>
                <w:rFonts w:eastAsia="Times New Roman"/>
                <w:sz w:val="20"/>
                <w:szCs w:val="20"/>
              </w:rPr>
            </w:pPr>
          </w:p>
        </w:tc>
        <w:tc>
          <w:tcPr>
            <w:tcW w:w="0" w:type="auto"/>
            <w:vAlign w:val="center"/>
            <w:hideMark/>
          </w:tcPr>
          <w:p w14:paraId="555AE74C" w14:textId="77777777" w:rsidR="00000000" w:rsidRDefault="00195E73">
            <w:pPr>
              <w:rPr>
                <w:rFonts w:eastAsia="Times New Roman"/>
                <w:sz w:val="20"/>
                <w:szCs w:val="20"/>
              </w:rPr>
            </w:pPr>
          </w:p>
        </w:tc>
        <w:tc>
          <w:tcPr>
            <w:tcW w:w="0" w:type="auto"/>
            <w:vAlign w:val="center"/>
            <w:hideMark/>
          </w:tcPr>
          <w:p w14:paraId="1B6825E7" w14:textId="77777777" w:rsidR="00000000" w:rsidRDefault="00195E73">
            <w:pPr>
              <w:rPr>
                <w:rFonts w:eastAsia="Times New Roman"/>
                <w:sz w:val="20"/>
                <w:szCs w:val="20"/>
              </w:rPr>
            </w:pPr>
          </w:p>
        </w:tc>
        <w:tc>
          <w:tcPr>
            <w:tcW w:w="0" w:type="auto"/>
            <w:vAlign w:val="center"/>
            <w:hideMark/>
          </w:tcPr>
          <w:p w14:paraId="0582D9DA" w14:textId="77777777" w:rsidR="00000000" w:rsidRDefault="00195E73">
            <w:pPr>
              <w:rPr>
                <w:rFonts w:eastAsia="Times New Roman"/>
                <w:sz w:val="20"/>
                <w:szCs w:val="20"/>
              </w:rPr>
            </w:pPr>
          </w:p>
        </w:tc>
        <w:tc>
          <w:tcPr>
            <w:tcW w:w="0" w:type="auto"/>
            <w:vAlign w:val="center"/>
            <w:hideMark/>
          </w:tcPr>
          <w:p w14:paraId="07EC25E3" w14:textId="77777777" w:rsidR="00000000" w:rsidRDefault="00195E73">
            <w:pPr>
              <w:rPr>
                <w:rFonts w:eastAsia="Times New Roman"/>
                <w:sz w:val="20"/>
                <w:szCs w:val="20"/>
              </w:rPr>
            </w:pPr>
          </w:p>
        </w:tc>
        <w:tc>
          <w:tcPr>
            <w:tcW w:w="0" w:type="auto"/>
            <w:vAlign w:val="center"/>
            <w:hideMark/>
          </w:tcPr>
          <w:p w14:paraId="097636F5" w14:textId="77777777" w:rsidR="00000000" w:rsidRDefault="00195E73">
            <w:pPr>
              <w:rPr>
                <w:rFonts w:eastAsia="Times New Roman"/>
                <w:sz w:val="20"/>
                <w:szCs w:val="20"/>
              </w:rPr>
            </w:pPr>
          </w:p>
        </w:tc>
        <w:tc>
          <w:tcPr>
            <w:tcW w:w="0" w:type="auto"/>
            <w:vAlign w:val="center"/>
            <w:hideMark/>
          </w:tcPr>
          <w:p w14:paraId="1726FF0B" w14:textId="77777777" w:rsidR="00000000" w:rsidRDefault="00195E73">
            <w:pPr>
              <w:rPr>
                <w:rFonts w:eastAsia="Times New Roman"/>
                <w:sz w:val="20"/>
                <w:szCs w:val="20"/>
              </w:rPr>
            </w:pPr>
          </w:p>
        </w:tc>
        <w:tc>
          <w:tcPr>
            <w:tcW w:w="0" w:type="auto"/>
            <w:vAlign w:val="center"/>
            <w:hideMark/>
          </w:tcPr>
          <w:p w14:paraId="4E12F8A6" w14:textId="77777777" w:rsidR="00000000" w:rsidRDefault="00195E73">
            <w:pPr>
              <w:rPr>
                <w:rFonts w:eastAsia="Times New Roman"/>
                <w:sz w:val="20"/>
                <w:szCs w:val="20"/>
              </w:rPr>
            </w:pPr>
          </w:p>
        </w:tc>
        <w:tc>
          <w:tcPr>
            <w:tcW w:w="0" w:type="auto"/>
            <w:vAlign w:val="center"/>
            <w:hideMark/>
          </w:tcPr>
          <w:p w14:paraId="48D9E639" w14:textId="77777777" w:rsidR="00000000" w:rsidRDefault="00195E73">
            <w:pPr>
              <w:rPr>
                <w:rFonts w:eastAsia="Times New Roman"/>
                <w:sz w:val="20"/>
                <w:szCs w:val="20"/>
              </w:rPr>
            </w:pPr>
          </w:p>
        </w:tc>
        <w:tc>
          <w:tcPr>
            <w:tcW w:w="0" w:type="auto"/>
            <w:vAlign w:val="center"/>
            <w:hideMark/>
          </w:tcPr>
          <w:p w14:paraId="6A620474" w14:textId="77777777" w:rsidR="00000000" w:rsidRDefault="00195E73">
            <w:pPr>
              <w:rPr>
                <w:rFonts w:eastAsia="Times New Roman"/>
                <w:sz w:val="20"/>
                <w:szCs w:val="20"/>
              </w:rPr>
            </w:pPr>
          </w:p>
        </w:tc>
        <w:tc>
          <w:tcPr>
            <w:tcW w:w="0" w:type="auto"/>
            <w:vAlign w:val="center"/>
            <w:hideMark/>
          </w:tcPr>
          <w:p w14:paraId="4D51B79F" w14:textId="77777777" w:rsidR="00000000" w:rsidRDefault="00195E73">
            <w:pPr>
              <w:rPr>
                <w:rFonts w:eastAsia="Times New Roman"/>
                <w:sz w:val="20"/>
                <w:szCs w:val="20"/>
              </w:rPr>
            </w:pPr>
          </w:p>
        </w:tc>
        <w:tc>
          <w:tcPr>
            <w:tcW w:w="0" w:type="auto"/>
            <w:vAlign w:val="center"/>
            <w:hideMark/>
          </w:tcPr>
          <w:p w14:paraId="52FE34AA" w14:textId="77777777" w:rsidR="00000000" w:rsidRDefault="00195E73">
            <w:pPr>
              <w:rPr>
                <w:rFonts w:eastAsia="Times New Roman"/>
                <w:sz w:val="20"/>
                <w:szCs w:val="20"/>
              </w:rPr>
            </w:pPr>
          </w:p>
        </w:tc>
        <w:tc>
          <w:tcPr>
            <w:tcW w:w="0" w:type="auto"/>
            <w:vAlign w:val="center"/>
            <w:hideMark/>
          </w:tcPr>
          <w:p w14:paraId="7D3738CB" w14:textId="77777777" w:rsidR="00000000" w:rsidRDefault="00195E73">
            <w:pPr>
              <w:rPr>
                <w:rFonts w:eastAsia="Times New Roman"/>
                <w:sz w:val="20"/>
                <w:szCs w:val="20"/>
              </w:rPr>
            </w:pPr>
          </w:p>
        </w:tc>
        <w:tc>
          <w:tcPr>
            <w:tcW w:w="0" w:type="auto"/>
            <w:vAlign w:val="center"/>
            <w:hideMark/>
          </w:tcPr>
          <w:p w14:paraId="4A8AB82F" w14:textId="77777777" w:rsidR="00000000" w:rsidRDefault="00195E73">
            <w:pPr>
              <w:rPr>
                <w:rFonts w:eastAsia="Times New Roman"/>
                <w:sz w:val="20"/>
                <w:szCs w:val="20"/>
              </w:rPr>
            </w:pPr>
          </w:p>
        </w:tc>
        <w:tc>
          <w:tcPr>
            <w:tcW w:w="0" w:type="auto"/>
            <w:vAlign w:val="center"/>
            <w:hideMark/>
          </w:tcPr>
          <w:p w14:paraId="46C8C767" w14:textId="77777777" w:rsidR="00000000" w:rsidRDefault="00195E73">
            <w:pPr>
              <w:rPr>
                <w:rFonts w:eastAsia="Times New Roman"/>
                <w:sz w:val="20"/>
                <w:szCs w:val="20"/>
              </w:rPr>
            </w:pPr>
          </w:p>
        </w:tc>
        <w:tc>
          <w:tcPr>
            <w:tcW w:w="0" w:type="auto"/>
            <w:vAlign w:val="center"/>
            <w:hideMark/>
          </w:tcPr>
          <w:p w14:paraId="1F969C94" w14:textId="77777777" w:rsidR="00000000" w:rsidRDefault="00195E73">
            <w:pPr>
              <w:rPr>
                <w:rFonts w:eastAsia="Times New Roman"/>
                <w:sz w:val="20"/>
                <w:szCs w:val="20"/>
              </w:rPr>
            </w:pPr>
          </w:p>
        </w:tc>
        <w:tc>
          <w:tcPr>
            <w:tcW w:w="0" w:type="auto"/>
            <w:vAlign w:val="center"/>
            <w:hideMark/>
          </w:tcPr>
          <w:p w14:paraId="70018B4A" w14:textId="77777777" w:rsidR="00000000" w:rsidRDefault="00195E73">
            <w:pPr>
              <w:rPr>
                <w:rFonts w:eastAsia="Times New Roman"/>
                <w:sz w:val="20"/>
                <w:szCs w:val="20"/>
              </w:rPr>
            </w:pPr>
          </w:p>
        </w:tc>
        <w:tc>
          <w:tcPr>
            <w:tcW w:w="0" w:type="auto"/>
            <w:vAlign w:val="center"/>
            <w:hideMark/>
          </w:tcPr>
          <w:p w14:paraId="06499890" w14:textId="77777777" w:rsidR="00000000" w:rsidRDefault="00195E73">
            <w:pPr>
              <w:rPr>
                <w:rFonts w:eastAsia="Times New Roman"/>
                <w:sz w:val="20"/>
                <w:szCs w:val="20"/>
              </w:rPr>
            </w:pPr>
          </w:p>
        </w:tc>
      </w:tr>
      <w:tr w:rsidR="00000000" w14:paraId="50D77252" w14:textId="77777777">
        <w:trPr>
          <w:divId w:val="181169674"/>
          <w:jc w:val="center"/>
        </w:trPr>
        <w:tc>
          <w:tcPr>
            <w:tcW w:w="0" w:type="auto"/>
            <w:gridSpan w:val="3"/>
            <w:vMerge/>
            <w:tcBorders>
              <w:top w:val="single" w:sz="8" w:space="0" w:color="000000"/>
            </w:tcBorders>
            <w:vAlign w:val="center"/>
            <w:hideMark/>
          </w:tcPr>
          <w:p w14:paraId="38E7488A" w14:textId="77777777" w:rsidR="00000000" w:rsidRDefault="00195E73">
            <w:pPr>
              <w:rPr>
                <w:rFonts w:eastAsia="Times New Roman"/>
              </w:rPr>
            </w:pPr>
          </w:p>
        </w:tc>
        <w:tc>
          <w:tcPr>
            <w:tcW w:w="0" w:type="auto"/>
            <w:gridSpan w:val="3"/>
            <w:vAlign w:val="center"/>
            <w:hideMark/>
          </w:tcPr>
          <w:p w14:paraId="1BD6B0B9" w14:textId="77777777" w:rsidR="00000000" w:rsidRDefault="00195E73">
            <w:pPr>
              <w:jc w:val="right"/>
              <w:rPr>
                <w:rFonts w:eastAsia="Times New Roman"/>
              </w:rPr>
            </w:pPr>
          </w:p>
        </w:tc>
        <w:tc>
          <w:tcPr>
            <w:tcW w:w="0" w:type="auto"/>
            <w:gridSpan w:val="3"/>
            <w:tcMar>
              <w:top w:w="30" w:type="dxa"/>
              <w:left w:w="20" w:type="dxa"/>
              <w:bottom w:w="30" w:type="dxa"/>
              <w:right w:w="20" w:type="dxa"/>
            </w:tcMar>
            <w:vAlign w:val="bottom"/>
            <w:hideMark/>
          </w:tcPr>
          <w:p w14:paraId="164673D7" w14:textId="77777777" w:rsidR="00000000" w:rsidRDefault="00195E7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7D6AF49" w14:textId="77777777" w:rsidR="00000000" w:rsidRDefault="00195E73">
            <w:pPr>
              <w:jc w:val="center"/>
              <w:rPr>
                <w:rFonts w:eastAsia="Times New Roman"/>
              </w:rPr>
            </w:pPr>
            <w:r>
              <w:rPr>
                <w:rFonts w:eastAsia="Times New Roman"/>
                <w:color w:val="000000"/>
                <w:sz w:val="20"/>
                <w:szCs w:val="20"/>
              </w:rPr>
              <w:t>201</w:t>
            </w: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14:paraId="720F557D" w14:textId="77777777" w:rsidR="00000000" w:rsidRDefault="00195E73">
            <w:pPr>
              <w:rPr>
                <w:rFonts w:eastAsia="Times New Roman"/>
              </w:rPr>
            </w:pPr>
            <w:r>
              <w:rPr>
                <w:rFonts w:eastAsia="Times New Roman"/>
                <w:color w:val="000000"/>
                <w:sz w:val="20"/>
                <w:szCs w:val="20"/>
              </w:rPr>
              <w:t> </w:t>
            </w:r>
          </w:p>
        </w:tc>
        <w:tc>
          <w:tcPr>
            <w:tcW w:w="0" w:type="auto"/>
            <w:gridSpan w:val="2"/>
            <w:tcMar>
              <w:top w:w="30" w:type="dxa"/>
              <w:left w:w="20" w:type="dxa"/>
              <w:bottom w:w="30" w:type="dxa"/>
              <w:right w:w="0" w:type="dxa"/>
            </w:tcMar>
            <w:vAlign w:val="bottom"/>
            <w:hideMark/>
          </w:tcPr>
          <w:p w14:paraId="514F91AC"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749457A9"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9F3E8F9" w14:textId="77777777" w:rsidR="00000000" w:rsidRDefault="00195E73">
            <w:pPr>
              <w:rPr>
                <w:rFonts w:eastAsia="Times New Roman"/>
              </w:rPr>
            </w:pPr>
            <w:r>
              <w:rPr>
                <w:rFonts w:eastAsia="Times New Roman"/>
                <w:color w:val="000000"/>
                <w:sz w:val="20"/>
                <w:szCs w:val="20"/>
              </w:rPr>
              <w:t> </w:t>
            </w:r>
          </w:p>
        </w:tc>
        <w:tc>
          <w:tcPr>
            <w:tcW w:w="0" w:type="auto"/>
            <w:gridSpan w:val="2"/>
            <w:tcMar>
              <w:top w:w="30" w:type="dxa"/>
              <w:left w:w="20" w:type="dxa"/>
              <w:bottom w:w="30" w:type="dxa"/>
              <w:right w:w="0" w:type="dxa"/>
            </w:tcMar>
            <w:vAlign w:val="bottom"/>
            <w:hideMark/>
          </w:tcPr>
          <w:p w14:paraId="1D3D9EF5"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6007D247" w14:textId="77777777" w:rsidR="00000000" w:rsidRDefault="00195E73">
            <w:pPr>
              <w:jc w:val="right"/>
              <w:rPr>
                <w:rFonts w:eastAsia="Times New Roman"/>
              </w:rPr>
            </w:pPr>
            <w:r>
              <w:rPr>
                <w:rFonts w:eastAsia="Times New Roman"/>
                <w:color w:val="000000"/>
                <w:sz w:val="20"/>
                <w:szCs w:val="20"/>
              </w:rPr>
              <w:t> </w:t>
            </w:r>
          </w:p>
        </w:tc>
        <w:tc>
          <w:tcPr>
            <w:tcW w:w="0" w:type="auto"/>
            <w:tcMar>
              <w:top w:w="30" w:type="dxa"/>
              <w:left w:w="20" w:type="dxa"/>
              <w:bottom w:w="30" w:type="dxa"/>
              <w:right w:w="0" w:type="dxa"/>
            </w:tcMar>
            <w:vAlign w:val="bottom"/>
            <w:hideMark/>
          </w:tcPr>
          <w:p w14:paraId="271ACD41" w14:textId="77777777" w:rsidR="00000000" w:rsidRDefault="00195E73">
            <w:pPr>
              <w:jc w:val="cente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tcMar>
              <w:top w:w="30" w:type="dxa"/>
              <w:left w:w="15" w:type="dxa"/>
              <w:bottom w:w="30" w:type="dxa"/>
              <w:right w:w="20" w:type="dxa"/>
            </w:tcMar>
            <w:vAlign w:val="bottom"/>
            <w:hideMark/>
          </w:tcPr>
          <w:p w14:paraId="4A40F9D3" w14:textId="77777777" w:rsidR="00000000" w:rsidRDefault="00195E73">
            <w:pPr>
              <w:jc w:val="right"/>
              <w:rPr>
                <w:rFonts w:eastAsia="Times New Roman"/>
              </w:rPr>
            </w:pPr>
            <w:r>
              <w:rPr>
                <w:rFonts w:eastAsia="Times New Roman"/>
                <w:color w:val="000000"/>
                <w:sz w:val="16"/>
                <w:szCs w:val="16"/>
              </w:rPr>
              <w:t> </w:t>
            </w:r>
          </w:p>
        </w:tc>
        <w:tc>
          <w:tcPr>
            <w:tcW w:w="0" w:type="auto"/>
            <w:vAlign w:val="center"/>
            <w:hideMark/>
          </w:tcPr>
          <w:p w14:paraId="39BCEADF" w14:textId="77777777" w:rsidR="00000000" w:rsidRDefault="00195E73">
            <w:pPr>
              <w:jc w:val="right"/>
              <w:rPr>
                <w:rFonts w:eastAsia="Times New Roman"/>
              </w:rPr>
            </w:pPr>
          </w:p>
        </w:tc>
        <w:tc>
          <w:tcPr>
            <w:tcW w:w="0" w:type="auto"/>
            <w:gridSpan w:val="3"/>
            <w:vAlign w:val="center"/>
            <w:hideMark/>
          </w:tcPr>
          <w:p w14:paraId="1F8B30F9" w14:textId="77777777" w:rsidR="00000000" w:rsidRDefault="00195E73">
            <w:pPr>
              <w:rPr>
                <w:rFonts w:eastAsia="Times New Roman"/>
                <w:sz w:val="20"/>
                <w:szCs w:val="20"/>
              </w:rPr>
            </w:pPr>
          </w:p>
        </w:tc>
        <w:tc>
          <w:tcPr>
            <w:tcW w:w="0" w:type="auto"/>
            <w:gridSpan w:val="2"/>
            <w:tcMar>
              <w:top w:w="30" w:type="dxa"/>
              <w:left w:w="20" w:type="dxa"/>
              <w:bottom w:w="30" w:type="dxa"/>
              <w:right w:w="0" w:type="dxa"/>
            </w:tcMar>
            <w:vAlign w:val="bottom"/>
            <w:hideMark/>
          </w:tcPr>
          <w:p w14:paraId="39E290A2" w14:textId="77777777" w:rsidR="00000000" w:rsidRDefault="00195E73">
            <w:pPr>
              <w:jc w:val="right"/>
              <w:rPr>
                <w:rFonts w:eastAsia="Times New Roman"/>
              </w:rPr>
            </w:pPr>
            <w:r>
              <w:rPr>
                <w:rFonts w:eastAsia="Times New Roman"/>
                <w:color w:val="000000"/>
                <w:sz w:val="20"/>
                <w:szCs w:val="20"/>
              </w:rPr>
              <w:t>102,547</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43D357F7"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DE272A7" w14:textId="77777777" w:rsidR="00000000" w:rsidRDefault="00195E73">
            <w:pPr>
              <w:jc w:val="center"/>
              <w:rPr>
                <w:rFonts w:eastAsia="Times New Roman"/>
              </w:rPr>
            </w:pPr>
            <w:r>
              <w:rPr>
                <w:rFonts w:eastAsia="Times New Roman"/>
                <w:color w:val="000000"/>
                <w:sz w:val="10"/>
                <w:szCs w:val="10"/>
                <w:vertAlign w:val="superscript"/>
              </w:rPr>
              <w:t>(3)</w:t>
            </w:r>
          </w:p>
        </w:tc>
        <w:tc>
          <w:tcPr>
            <w:tcW w:w="0" w:type="auto"/>
            <w:gridSpan w:val="3"/>
            <w:tcMar>
              <w:top w:w="30" w:type="dxa"/>
              <w:left w:w="20" w:type="dxa"/>
              <w:bottom w:w="30" w:type="dxa"/>
              <w:right w:w="20" w:type="dxa"/>
            </w:tcMar>
            <w:vAlign w:val="bottom"/>
            <w:hideMark/>
          </w:tcPr>
          <w:p w14:paraId="135534EE" w14:textId="77777777" w:rsidR="00000000" w:rsidRDefault="00195E73">
            <w:pPr>
              <w:rPr>
                <w:rFonts w:eastAsia="Times New Roman"/>
              </w:rPr>
            </w:pPr>
            <w:r>
              <w:rPr>
                <w:rFonts w:eastAsia="Times New Roman"/>
                <w:color w:val="000000"/>
                <w:sz w:val="20"/>
                <w:szCs w:val="20"/>
              </w:rPr>
              <w:t> </w:t>
            </w:r>
          </w:p>
        </w:tc>
        <w:tc>
          <w:tcPr>
            <w:tcW w:w="0" w:type="auto"/>
            <w:gridSpan w:val="2"/>
            <w:tcMar>
              <w:top w:w="30" w:type="dxa"/>
              <w:left w:w="20" w:type="dxa"/>
              <w:bottom w:w="30" w:type="dxa"/>
              <w:right w:w="0" w:type="dxa"/>
            </w:tcMar>
            <w:vAlign w:val="bottom"/>
            <w:hideMark/>
          </w:tcPr>
          <w:p w14:paraId="46DC5425" w14:textId="77777777" w:rsidR="00000000" w:rsidRDefault="00195E73">
            <w:pPr>
              <w:jc w:val="right"/>
              <w:rPr>
                <w:rFonts w:eastAsia="Times New Roman"/>
              </w:rPr>
            </w:pPr>
            <w:r>
              <w:rPr>
                <w:rFonts w:eastAsia="Times New Roman"/>
                <w:color w:val="000000"/>
                <w:sz w:val="20"/>
                <w:szCs w:val="20"/>
              </w:rPr>
              <w:t>102,548</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0D94E67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45905BF" w14:textId="77777777" w:rsidR="00000000" w:rsidRDefault="00195E73">
            <w:pPr>
              <w:rPr>
                <w:rFonts w:eastAsia="Times New Roman"/>
                <w:sz w:val="20"/>
                <w:szCs w:val="20"/>
              </w:rPr>
            </w:pPr>
          </w:p>
        </w:tc>
        <w:tc>
          <w:tcPr>
            <w:tcW w:w="0" w:type="auto"/>
            <w:vAlign w:val="center"/>
            <w:hideMark/>
          </w:tcPr>
          <w:p w14:paraId="063E2690" w14:textId="77777777" w:rsidR="00000000" w:rsidRDefault="00195E73">
            <w:pPr>
              <w:rPr>
                <w:rFonts w:eastAsia="Times New Roman"/>
                <w:sz w:val="20"/>
                <w:szCs w:val="20"/>
              </w:rPr>
            </w:pPr>
          </w:p>
        </w:tc>
        <w:tc>
          <w:tcPr>
            <w:tcW w:w="0" w:type="auto"/>
            <w:vAlign w:val="center"/>
            <w:hideMark/>
          </w:tcPr>
          <w:p w14:paraId="195A224E" w14:textId="77777777" w:rsidR="00000000" w:rsidRDefault="00195E73">
            <w:pPr>
              <w:rPr>
                <w:rFonts w:eastAsia="Times New Roman"/>
                <w:sz w:val="20"/>
                <w:szCs w:val="20"/>
              </w:rPr>
            </w:pPr>
          </w:p>
        </w:tc>
        <w:tc>
          <w:tcPr>
            <w:tcW w:w="0" w:type="auto"/>
            <w:vAlign w:val="center"/>
            <w:hideMark/>
          </w:tcPr>
          <w:p w14:paraId="31E2C275" w14:textId="77777777" w:rsidR="00000000" w:rsidRDefault="00195E73">
            <w:pPr>
              <w:rPr>
                <w:rFonts w:eastAsia="Times New Roman"/>
                <w:sz w:val="20"/>
                <w:szCs w:val="20"/>
              </w:rPr>
            </w:pPr>
          </w:p>
        </w:tc>
        <w:tc>
          <w:tcPr>
            <w:tcW w:w="0" w:type="auto"/>
            <w:vAlign w:val="center"/>
            <w:hideMark/>
          </w:tcPr>
          <w:p w14:paraId="634ADE37" w14:textId="77777777" w:rsidR="00000000" w:rsidRDefault="00195E73">
            <w:pPr>
              <w:rPr>
                <w:rFonts w:eastAsia="Times New Roman"/>
                <w:sz w:val="20"/>
                <w:szCs w:val="20"/>
              </w:rPr>
            </w:pPr>
          </w:p>
        </w:tc>
        <w:tc>
          <w:tcPr>
            <w:tcW w:w="0" w:type="auto"/>
            <w:vAlign w:val="center"/>
            <w:hideMark/>
          </w:tcPr>
          <w:p w14:paraId="4A3BCA68" w14:textId="77777777" w:rsidR="00000000" w:rsidRDefault="00195E73">
            <w:pPr>
              <w:rPr>
                <w:rFonts w:eastAsia="Times New Roman"/>
                <w:sz w:val="20"/>
                <w:szCs w:val="20"/>
              </w:rPr>
            </w:pPr>
          </w:p>
        </w:tc>
        <w:tc>
          <w:tcPr>
            <w:tcW w:w="0" w:type="auto"/>
            <w:vAlign w:val="center"/>
            <w:hideMark/>
          </w:tcPr>
          <w:p w14:paraId="72D0DD3B" w14:textId="77777777" w:rsidR="00000000" w:rsidRDefault="00195E73">
            <w:pPr>
              <w:rPr>
                <w:rFonts w:eastAsia="Times New Roman"/>
                <w:sz w:val="20"/>
                <w:szCs w:val="20"/>
              </w:rPr>
            </w:pPr>
          </w:p>
        </w:tc>
        <w:tc>
          <w:tcPr>
            <w:tcW w:w="0" w:type="auto"/>
            <w:vAlign w:val="center"/>
            <w:hideMark/>
          </w:tcPr>
          <w:p w14:paraId="51C41E63" w14:textId="77777777" w:rsidR="00000000" w:rsidRDefault="00195E73">
            <w:pPr>
              <w:rPr>
                <w:rFonts w:eastAsia="Times New Roman"/>
                <w:sz w:val="20"/>
                <w:szCs w:val="20"/>
              </w:rPr>
            </w:pPr>
          </w:p>
        </w:tc>
        <w:tc>
          <w:tcPr>
            <w:tcW w:w="0" w:type="auto"/>
            <w:vAlign w:val="center"/>
            <w:hideMark/>
          </w:tcPr>
          <w:p w14:paraId="6BCEA2D7" w14:textId="77777777" w:rsidR="00000000" w:rsidRDefault="00195E73">
            <w:pPr>
              <w:rPr>
                <w:rFonts w:eastAsia="Times New Roman"/>
                <w:sz w:val="20"/>
                <w:szCs w:val="20"/>
              </w:rPr>
            </w:pPr>
          </w:p>
        </w:tc>
        <w:tc>
          <w:tcPr>
            <w:tcW w:w="0" w:type="auto"/>
            <w:vAlign w:val="center"/>
            <w:hideMark/>
          </w:tcPr>
          <w:p w14:paraId="7149FB01" w14:textId="77777777" w:rsidR="00000000" w:rsidRDefault="00195E73">
            <w:pPr>
              <w:rPr>
                <w:rFonts w:eastAsia="Times New Roman"/>
                <w:sz w:val="20"/>
                <w:szCs w:val="20"/>
              </w:rPr>
            </w:pPr>
          </w:p>
        </w:tc>
        <w:tc>
          <w:tcPr>
            <w:tcW w:w="0" w:type="auto"/>
            <w:vAlign w:val="center"/>
            <w:hideMark/>
          </w:tcPr>
          <w:p w14:paraId="3E2F3A98" w14:textId="77777777" w:rsidR="00000000" w:rsidRDefault="00195E73">
            <w:pPr>
              <w:rPr>
                <w:rFonts w:eastAsia="Times New Roman"/>
                <w:sz w:val="20"/>
                <w:szCs w:val="20"/>
              </w:rPr>
            </w:pPr>
          </w:p>
        </w:tc>
        <w:tc>
          <w:tcPr>
            <w:tcW w:w="0" w:type="auto"/>
            <w:vAlign w:val="center"/>
            <w:hideMark/>
          </w:tcPr>
          <w:p w14:paraId="34E79BFB" w14:textId="77777777" w:rsidR="00000000" w:rsidRDefault="00195E73">
            <w:pPr>
              <w:rPr>
                <w:rFonts w:eastAsia="Times New Roman"/>
                <w:sz w:val="20"/>
                <w:szCs w:val="20"/>
              </w:rPr>
            </w:pPr>
          </w:p>
        </w:tc>
        <w:tc>
          <w:tcPr>
            <w:tcW w:w="0" w:type="auto"/>
            <w:vAlign w:val="center"/>
            <w:hideMark/>
          </w:tcPr>
          <w:p w14:paraId="3457BFF4" w14:textId="77777777" w:rsidR="00000000" w:rsidRDefault="00195E73">
            <w:pPr>
              <w:rPr>
                <w:rFonts w:eastAsia="Times New Roman"/>
                <w:sz w:val="20"/>
                <w:szCs w:val="20"/>
              </w:rPr>
            </w:pPr>
          </w:p>
        </w:tc>
        <w:tc>
          <w:tcPr>
            <w:tcW w:w="0" w:type="auto"/>
            <w:vAlign w:val="center"/>
            <w:hideMark/>
          </w:tcPr>
          <w:p w14:paraId="256BD054" w14:textId="77777777" w:rsidR="00000000" w:rsidRDefault="00195E73">
            <w:pPr>
              <w:rPr>
                <w:rFonts w:eastAsia="Times New Roman"/>
                <w:sz w:val="20"/>
                <w:szCs w:val="20"/>
              </w:rPr>
            </w:pPr>
          </w:p>
        </w:tc>
        <w:tc>
          <w:tcPr>
            <w:tcW w:w="0" w:type="auto"/>
            <w:vAlign w:val="center"/>
            <w:hideMark/>
          </w:tcPr>
          <w:p w14:paraId="3423F471" w14:textId="77777777" w:rsidR="00000000" w:rsidRDefault="00195E73">
            <w:pPr>
              <w:rPr>
                <w:rFonts w:eastAsia="Times New Roman"/>
                <w:sz w:val="20"/>
                <w:szCs w:val="20"/>
              </w:rPr>
            </w:pPr>
          </w:p>
        </w:tc>
        <w:tc>
          <w:tcPr>
            <w:tcW w:w="0" w:type="auto"/>
            <w:vAlign w:val="center"/>
            <w:hideMark/>
          </w:tcPr>
          <w:p w14:paraId="6265694B" w14:textId="77777777" w:rsidR="00000000" w:rsidRDefault="00195E73">
            <w:pPr>
              <w:rPr>
                <w:rFonts w:eastAsia="Times New Roman"/>
                <w:sz w:val="20"/>
                <w:szCs w:val="20"/>
              </w:rPr>
            </w:pPr>
          </w:p>
        </w:tc>
        <w:tc>
          <w:tcPr>
            <w:tcW w:w="0" w:type="auto"/>
            <w:vAlign w:val="center"/>
            <w:hideMark/>
          </w:tcPr>
          <w:p w14:paraId="67853EB5" w14:textId="77777777" w:rsidR="00000000" w:rsidRDefault="00195E73">
            <w:pPr>
              <w:rPr>
                <w:rFonts w:eastAsia="Times New Roman"/>
                <w:sz w:val="20"/>
                <w:szCs w:val="20"/>
              </w:rPr>
            </w:pPr>
          </w:p>
        </w:tc>
        <w:tc>
          <w:tcPr>
            <w:tcW w:w="0" w:type="auto"/>
            <w:vAlign w:val="center"/>
            <w:hideMark/>
          </w:tcPr>
          <w:p w14:paraId="7DC38522" w14:textId="77777777" w:rsidR="00000000" w:rsidRDefault="00195E73">
            <w:pPr>
              <w:rPr>
                <w:rFonts w:eastAsia="Times New Roman"/>
                <w:sz w:val="20"/>
                <w:szCs w:val="20"/>
              </w:rPr>
            </w:pPr>
          </w:p>
        </w:tc>
      </w:tr>
      <w:tr w:rsidR="00000000" w14:paraId="12FEDCCB" w14:textId="77777777">
        <w:trPr>
          <w:divId w:val="181169674"/>
          <w:trHeight w:val="220"/>
          <w:jc w:val="center"/>
        </w:trPr>
        <w:tc>
          <w:tcPr>
            <w:tcW w:w="0" w:type="auto"/>
            <w:gridSpan w:val="3"/>
            <w:tcMar>
              <w:top w:w="15" w:type="dxa"/>
              <w:left w:w="20" w:type="dxa"/>
              <w:bottom w:w="15" w:type="dxa"/>
              <w:right w:w="20" w:type="dxa"/>
            </w:tcMar>
            <w:vAlign w:val="bottom"/>
            <w:hideMark/>
          </w:tcPr>
          <w:p w14:paraId="74498F20" w14:textId="77777777" w:rsidR="00000000" w:rsidRDefault="00195E73">
            <w:pPr>
              <w:jc w:val="right"/>
              <w:rPr>
                <w:rFonts w:eastAsia="Times New Roman"/>
              </w:rPr>
            </w:pPr>
          </w:p>
        </w:tc>
        <w:tc>
          <w:tcPr>
            <w:tcW w:w="0" w:type="auto"/>
            <w:gridSpan w:val="3"/>
            <w:tcMar>
              <w:top w:w="15" w:type="dxa"/>
              <w:left w:w="20" w:type="dxa"/>
              <w:bottom w:w="15" w:type="dxa"/>
              <w:right w:w="20" w:type="dxa"/>
            </w:tcMar>
            <w:vAlign w:val="bottom"/>
            <w:hideMark/>
          </w:tcPr>
          <w:p w14:paraId="4504A89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EC3E33F"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BF1CB8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61A5D4D"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C7A299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59A5EC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E3382E4" w14:textId="77777777" w:rsidR="00000000" w:rsidRDefault="00195E73">
            <w:pPr>
              <w:rPr>
                <w:rFonts w:eastAsia="Times New Roman"/>
                <w:sz w:val="20"/>
                <w:szCs w:val="20"/>
              </w:rPr>
            </w:pPr>
          </w:p>
        </w:tc>
        <w:tc>
          <w:tcPr>
            <w:tcW w:w="0" w:type="auto"/>
            <w:gridSpan w:val="2"/>
            <w:vAlign w:val="center"/>
            <w:hideMark/>
          </w:tcPr>
          <w:p w14:paraId="393122F2" w14:textId="77777777" w:rsidR="00000000" w:rsidRDefault="00195E73">
            <w:pPr>
              <w:rPr>
                <w:rFonts w:eastAsia="Times New Roman"/>
                <w:sz w:val="20"/>
                <w:szCs w:val="20"/>
              </w:rPr>
            </w:pPr>
          </w:p>
        </w:tc>
        <w:tc>
          <w:tcPr>
            <w:tcW w:w="0" w:type="auto"/>
            <w:vAlign w:val="center"/>
            <w:hideMark/>
          </w:tcPr>
          <w:p w14:paraId="2D1667A5"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F92F49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3BE21EA"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027FEC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965D9EE" w14:textId="77777777" w:rsidR="00000000" w:rsidRDefault="00195E73">
            <w:pPr>
              <w:rPr>
                <w:rFonts w:eastAsia="Times New Roman"/>
                <w:sz w:val="20"/>
                <w:szCs w:val="20"/>
              </w:rPr>
            </w:pPr>
          </w:p>
        </w:tc>
        <w:tc>
          <w:tcPr>
            <w:tcW w:w="0" w:type="auto"/>
            <w:vAlign w:val="center"/>
            <w:hideMark/>
          </w:tcPr>
          <w:p w14:paraId="33665DCC" w14:textId="77777777" w:rsidR="00000000" w:rsidRDefault="00195E73">
            <w:pPr>
              <w:rPr>
                <w:rFonts w:eastAsia="Times New Roman"/>
                <w:sz w:val="20"/>
                <w:szCs w:val="20"/>
              </w:rPr>
            </w:pPr>
          </w:p>
        </w:tc>
        <w:tc>
          <w:tcPr>
            <w:tcW w:w="0" w:type="auto"/>
            <w:vAlign w:val="center"/>
            <w:hideMark/>
          </w:tcPr>
          <w:p w14:paraId="792928E2" w14:textId="77777777" w:rsidR="00000000" w:rsidRDefault="00195E73">
            <w:pPr>
              <w:rPr>
                <w:rFonts w:eastAsia="Times New Roman"/>
                <w:sz w:val="20"/>
                <w:szCs w:val="20"/>
              </w:rPr>
            </w:pPr>
          </w:p>
        </w:tc>
        <w:tc>
          <w:tcPr>
            <w:tcW w:w="0" w:type="auto"/>
            <w:vAlign w:val="center"/>
            <w:hideMark/>
          </w:tcPr>
          <w:p w14:paraId="3B1254C5" w14:textId="77777777" w:rsidR="00000000" w:rsidRDefault="00195E73">
            <w:pPr>
              <w:rPr>
                <w:rFonts w:eastAsia="Times New Roman"/>
                <w:sz w:val="20"/>
                <w:szCs w:val="20"/>
              </w:rPr>
            </w:pPr>
          </w:p>
        </w:tc>
        <w:tc>
          <w:tcPr>
            <w:tcW w:w="0" w:type="auto"/>
            <w:vAlign w:val="center"/>
            <w:hideMark/>
          </w:tcPr>
          <w:p w14:paraId="494AEE58" w14:textId="77777777" w:rsidR="00000000" w:rsidRDefault="00195E73">
            <w:pPr>
              <w:rPr>
                <w:rFonts w:eastAsia="Times New Roman"/>
                <w:sz w:val="20"/>
                <w:szCs w:val="20"/>
              </w:rPr>
            </w:pPr>
          </w:p>
        </w:tc>
        <w:tc>
          <w:tcPr>
            <w:tcW w:w="0" w:type="auto"/>
            <w:vAlign w:val="center"/>
            <w:hideMark/>
          </w:tcPr>
          <w:p w14:paraId="5AA68B92" w14:textId="77777777" w:rsidR="00000000" w:rsidRDefault="00195E73">
            <w:pPr>
              <w:rPr>
                <w:rFonts w:eastAsia="Times New Roman"/>
                <w:sz w:val="20"/>
                <w:szCs w:val="20"/>
              </w:rPr>
            </w:pPr>
          </w:p>
        </w:tc>
        <w:tc>
          <w:tcPr>
            <w:tcW w:w="0" w:type="auto"/>
            <w:vAlign w:val="center"/>
            <w:hideMark/>
          </w:tcPr>
          <w:p w14:paraId="42454591" w14:textId="77777777" w:rsidR="00000000" w:rsidRDefault="00195E73">
            <w:pPr>
              <w:rPr>
                <w:rFonts w:eastAsia="Times New Roman"/>
                <w:sz w:val="20"/>
                <w:szCs w:val="20"/>
              </w:rPr>
            </w:pPr>
          </w:p>
        </w:tc>
        <w:tc>
          <w:tcPr>
            <w:tcW w:w="0" w:type="auto"/>
            <w:vAlign w:val="center"/>
            <w:hideMark/>
          </w:tcPr>
          <w:p w14:paraId="768AAA3B" w14:textId="77777777" w:rsidR="00000000" w:rsidRDefault="00195E73">
            <w:pPr>
              <w:rPr>
                <w:rFonts w:eastAsia="Times New Roman"/>
                <w:sz w:val="20"/>
                <w:szCs w:val="20"/>
              </w:rPr>
            </w:pPr>
          </w:p>
        </w:tc>
        <w:tc>
          <w:tcPr>
            <w:tcW w:w="0" w:type="auto"/>
            <w:vAlign w:val="center"/>
            <w:hideMark/>
          </w:tcPr>
          <w:p w14:paraId="40B1A27A" w14:textId="77777777" w:rsidR="00000000" w:rsidRDefault="00195E73">
            <w:pPr>
              <w:rPr>
                <w:rFonts w:eastAsia="Times New Roman"/>
                <w:sz w:val="20"/>
                <w:szCs w:val="20"/>
              </w:rPr>
            </w:pPr>
          </w:p>
        </w:tc>
        <w:tc>
          <w:tcPr>
            <w:tcW w:w="0" w:type="auto"/>
            <w:vAlign w:val="center"/>
            <w:hideMark/>
          </w:tcPr>
          <w:p w14:paraId="79B304B3" w14:textId="77777777" w:rsidR="00000000" w:rsidRDefault="00195E73">
            <w:pPr>
              <w:rPr>
                <w:rFonts w:eastAsia="Times New Roman"/>
                <w:sz w:val="20"/>
                <w:szCs w:val="20"/>
              </w:rPr>
            </w:pPr>
          </w:p>
        </w:tc>
        <w:tc>
          <w:tcPr>
            <w:tcW w:w="0" w:type="auto"/>
            <w:vAlign w:val="center"/>
            <w:hideMark/>
          </w:tcPr>
          <w:p w14:paraId="63C833D2" w14:textId="77777777" w:rsidR="00000000" w:rsidRDefault="00195E73">
            <w:pPr>
              <w:rPr>
                <w:rFonts w:eastAsia="Times New Roman"/>
                <w:sz w:val="20"/>
                <w:szCs w:val="20"/>
              </w:rPr>
            </w:pPr>
          </w:p>
        </w:tc>
        <w:tc>
          <w:tcPr>
            <w:tcW w:w="0" w:type="auto"/>
            <w:vAlign w:val="center"/>
            <w:hideMark/>
          </w:tcPr>
          <w:p w14:paraId="1278F59B" w14:textId="77777777" w:rsidR="00000000" w:rsidRDefault="00195E73">
            <w:pPr>
              <w:rPr>
                <w:rFonts w:eastAsia="Times New Roman"/>
                <w:sz w:val="20"/>
                <w:szCs w:val="20"/>
              </w:rPr>
            </w:pPr>
          </w:p>
        </w:tc>
        <w:tc>
          <w:tcPr>
            <w:tcW w:w="0" w:type="auto"/>
            <w:vAlign w:val="center"/>
            <w:hideMark/>
          </w:tcPr>
          <w:p w14:paraId="4572E784" w14:textId="77777777" w:rsidR="00000000" w:rsidRDefault="00195E73">
            <w:pPr>
              <w:rPr>
                <w:rFonts w:eastAsia="Times New Roman"/>
                <w:sz w:val="20"/>
                <w:szCs w:val="20"/>
              </w:rPr>
            </w:pPr>
          </w:p>
        </w:tc>
        <w:tc>
          <w:tcPr>
            <w:tcW w:w="0" w:type="auto"/>
            <w:vAlign w:val="center"/>
            <w:hideMark/>
          </w:tcPr>
          <w:p w14:paraId="6428933C" w14:textId="77777777" w:rsidR="00000000" w:rsidRDefault="00195E73">
            <w:pPr>
              <w:rPr>
                <w:rFonts w:eastAsia="Times New Roman"/>
                <w:sz w:val="20"/>
                <w:szCs w:val="20"/>
              </w:rPr>
            </w:pPr>
          </w:p>
        </w:tc>
        <w:tc>
          <w:tcPr>
            <w:tcW w:w="0" w:type="auto"/>
            <w:vAlign w:val="center"/>
            <w:hideMark/>
          </w:tcPr>
          <w:p w14:paraId="03A54E4D" w14:textId="77777777" w:rsidR="00000000" w:rsidRDefault="00195E73">
            <w:pPr>
              <w:rPr>
                <w:rFonts w:eastAsia="Times New Roman"/>
                <w:sz w:val="20"/>
                <w:szCs w:val="20"/>
              </w:rPr>
            </w:pPr>
          </w:p>
        </w:tc>
        <w:tc>
          <w:tcPr>
            <w:tcW w:w="0" w:type="auto"/>
            <w:vAlign w:val="center"/>
            <w:hideMark/>
          </w:tcPr>
          <w:p w14:paraId="77B989DB" w14:textId="77777777" w:rsidR="00000000" w:rsidRDefault="00195E73">
            <w:pPr>
              <w:rPr>
                <w:rFonts w:eastAsia="Times New Roman"/>
                <w:sz w:val="20"/>
                <w:szCs w:val="20"/>
              </w:rPr>
            </w:pPr>
          </w:p>
        </w:tc>
        <w:tc>
          <w:tcPr>
            <w:tcW w:w="0" w:type="auto"/>
            <w:vAlign w:val="center"/>
            <w:hideMark/>
          </w:tcPr>
          <w:p w14:paraId="23EA8501" w14:textId="77777777" w:rsidR="00000000" w:rsidRDefault="00195E73">
            <w:pPr>
              <w:rPr>
                <w:rFonts w:eastAsia="Times New Roman"/>
                <w:sz w:val="20"/>
                <w:szCs w:val="20"/>
              </w:rPr>
            </w:pPr>
          </w:p>
        </w:tc>
        <w:tc>
          <w:tcPr>
            <w:tcW w:w="0" w:type="auto"/>
            <w:vAlign w:val="center"/>
            <w:hideMark/>
          </w:tcPr>
          <w:p w14:paraId="76FD474F" w14:textId="77777777" w:rsidR="00000000" w:rsidRDefault="00195E73">
            <w:pPr>
              <w:rPr>
                <w:rFonts w:eastAsia="Times New Roman"/>
                <w:sz w:val="20"/>
                <w:szCs w:val="20"/>
              </w:rPr>
            </w:pPr>
          </w:p>
        </w:tc>
        <w:tc>
          <w:tcPr>
            <w:tcW w:w="0" w:type="auto"/>
            <w:vAlign w:val="center"/>
            <w:hideMark/>
          </w:tcPr>
          <w:p w14:paraId="6DA59AA2" w14:textId="77777777" w:rsidR="00000000" w:rsidRDefault="00195E73">
            <w:pPr>
              <w:rPr>
                <w:rFonts w:eastAsia="Times New Roman"/>
                <w:sz w:val="20"/>
                <w:szCs w:val="20"/>
              </w:rPr>
            </w:pPr>
          </w:p>
        </w:tc>
        <w:tc>
          <w:tcPr>
            <w:tcW w:w="0" w:type="auto"/>
            <w:vAlign w:val="center"/>
            <w:hideMark/>
          </w:tcPr>
          <w:p w14:paraId="052A194A" w14:textId="77777777" w:rsidR="00000000" w:rsidRDefault="00195E73">
            <w:pPr>
              <w:rPr>
                <w:rFonts w:eastAsia="Times New Roman"/>
                <w:sz w:val="20"/>
                <w:szCs w:val="20"/>
              </w:rPr>
            </w:pPr>
          </w:p>
        </w:tc>
        <w:tc>
          <w:tcPr>
            <w:tcW w:w="0" w:type="auto"/>
            <w:vAlign w:val="center"/>
            <w:hideMark/>
          </w:tcPr>
          <w:p w14:paraId="3B18D6AB" w14:textId="77777777" w:rsidR="00000000" w:rsidRDefault="00195E73">
            <w:pPr>
              <w:rPr>
                <w:rFonts w:eastAsia="Times New Roman"/>
                <w:sz w:val="20"/>
                <w:szCs w:val="20"/>
              </w:rPr>
            </w:pPr>
          </w:p>
        </w:tc>
        <w:tc>
          <w:tcPr>
            <w:tcW w:w="0" w:type="auto"/>
            <w:vAlign w:val="center"/>
            <w:hideMark/>
          </w:tcPr>
          <w:p w14:paraId="42F02D18" w14:textId="77777777" w:rsidR="00000000" w:rsidRDefault="00195E73">
            <w:pPr>
              <w:rPr>
                <w:rFonts w:eastAsia="Times New Roman"/>
                <w:sz w:val="20"/>
                <w:szCs w:val="20"/>
              </w:rPr>
            </w:pPr>
          </w:p>
        </w:tc>
      </w:tr>
      <w:tr w:rsidR="00000000" w14:paraId="636C2693" w14:textId="77777777">
        <w:trPr>
          <w:divId w:val="181169674"/>
          <w:jc w:val="center"/>
        </w:trPr>
        <w:tc>
          <w:tcPr>
            <w:tcW w:w="0" w:type="auto"/>
            <w:gridSpan w:val="3"/>
            <w:vMerge w:val="restart"/>
            <w:tcMar>
              <w:top w:w="30" w:type="dxa"/>
              <w:left w:w="20" w:type="dxa"/>
              <w:bottom w:w="30" w:type="dxa"/>
              <w:right w:w="20" w:type="dxa"/>
            </w:tcMar>
            <w:hideMark/>
          </w:tcPr>
          <w:p w14:paraId="566920E0" w14:textId="77777777" w:rsidR="00000000" w:rsidRDefault="00195E73">
            <w:pPr>
              <w:divId w:val="1105079439"/>
              <w:rPr>
                <w:rFonts w:eastAsia="Times New Roman"/>
              </w:rPr>
            </w:pPr>
            <w:r>
              <w:rPr>
                <w:rFonts w:eastAsia="Times New Roman"/>
                <w:color w:val="000000"/>
                <w:sz w:val="20"/>
                <w:szCs w:val="20"/>
              </w:rPr>
              <w:t>Keith Cozz</w:t>
            </w:r>
            <w:r>
              <w:rPr>
                <w:rFonts w:eastAsia="Times New Roman"/>
                <w:color w:val="000000"/>
                <w:sz w:val="20"/>
                <w:szCs w:val="20"/>
              </w:rPr>
              <w:t>a</w:t>
            </w:r>
            <w:r>
              <w:rPr>
                <w:rFonts w:eastAsia="Times New Roman"/>
                <w:color w:val="000000"/>
                <w:sz w:val="13"/>
                <w:szCs w:val="13"/>
                <w:vertAlign w:val="superscript"/>
              </w:rPr>
              <w:t>(4)</w:t>
            </w:r>
          </w:p>
          <w:p w14:paraId="1A1F1602" w14:textId="77777777" w:rsidR="00000000" w:rsidRDefault="00195E73">
            <w:pPr>
              <w:divId w:val="2054040060"/>
              <w:rPr>
                <w:rFonts w:eastAsia="Times New Roman"/>
              </w:rPr>
            </w:pPr>
            <w:r>
              <w:rPr>
                <w:rFonts w:eastAsia="Times New Roman"/>
                <w:color w:val="000000"/>
                <w:sz w:val="20"/>
                <w:szCs w:val="20"/>
              </w:rPr>
              <w:t>President and Chief Executive Office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359BFC08"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3C208650" w14:textId="77777777" w:rsidR="00000000" w:rsidRDefault="00195E73">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14:paraId="46CD88DF"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5608BCBC" w14:textId="77777777" w:rsidR="00000000" w:rsidRDefault="00195E73">
            <w:pPr>
              <w:jc w:val="right"/>
              <w:rPr>
                <w:rFonts w:eastAsia="Times New Roman"/>
              </w:rPr>
            </w:pPr>
            <w:r>
              <w:rPr>
                <w:rFonts w:eastAsia="Times New Roman"/>
                <w:color w:val="000000"/>
                <w:sz w:val="20"/>
                <w:szCs w:val="20"/>
              </w:rPr>
              <w:t>1,500,043</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283D5D74"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5536E6DC" w14:textId="77777777" w:rsidR="00000000" w:rsidRDefault="00195E73">
            <w:pPr>
              <w:jc w:val="right"/>
              <w:rPr>
                <w:rFonts w:eastAsia="Times New Roman"/>
              </w:rPr>
            </w:pPr>
          </w:p>
        </w:tc>
        <w:tc>
          <w:tcPr>
            <w:tcW w:w="0" w:type="auto"/>
            <w:gridSpan w:val="2"/>
            <w:tcMar>
              <w:top w:w="30" w:type="dxa"/>
              <w:left w:w="20" w:type="dxa"/>
              <w:bottom w:w="30" w:type="dxa"/>
              <w:right w:w="0" w:type="dxa"/>
            </w:tcMar>
            <w:vAlign w:val="bottom"/>
            <w:hideMark/>
          </w:tcPr>
          <w:p w14:paraId="364356D8" w14:textId="77777777" w:rsidR="00000000" w:rsidRDefault="00195E73">
            <w:pPr>
              <w:jc w:val="right"/>
              <w:rPr>
                <w:rFonts w:eastAsia="Times New Roman"/>
              </w:rPr>
            </w:pPr>
            <w:r>
              <w:rPr>
                <w:rFonts w:eastAsia="Times New Roman"/>
                <w:color w:val="000000"/>
                <w:sz w:val="20"/>
                <w:szCs w:val="20"/>
              </w:rPr>
              <w:t>5,000,000</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50677CE7"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2D2F7AFE" w14:textId="77777777" w:rsidR="00000000" w:rsidRDefault="00195E73">
            <w:pPr>
              <w:jc w:val="right"/>
              <w:rPr>
                <w:rFonts w:eastAsia="Times New Roman"/>
              </w:rPr>
            </w:pPr>
          </w:p>
        </w:tc>
        <w:tc>
          <w:tcPr>
            <w:tcW w:w="0" w:type="auto"/>
            <w:gridSpan w:val="2"/>
            <w:vAlign w:val="center"/>
            <w:hideMark/>
          </w:tcPr>
          <w:p w14:paraId="118E2A48" w14:textId="77777777" w:rsidR="00000000" w:rsidRDefault="00195E73">
            <w:pPr>
              <w:rPr>
                <w:rFonts w:eastAsia="Times New Roman"/>
                <w:sz w:val="20"/>
                <w:szCs w:val="20"/>
              </w:rPr>
            </w:pPr>
          </w:p>
        </w:tc>
        <w:tc>
          <w:tcPr>
            <w:tcW w:w="0" w:type="auto"/>
            <w:vAlign w:val="center"/>
            <w:hideMark/>
          </w:tcPr>
          <w:p w14:paraId="15F8D4FD" w14:textId="77777777" w:rsidR="00000000" w:rsidRDefault="00195E73">
            <w:pPr>
              <w:rPr>
                <w:rFonts w:eastAsia="Times New Roman"/>
                <w:sz w:val="20"/>
                <w:szCs w:val="20"/>
              </w:rPr>
            </w:pPr>
          </w:p>
        </w:tc>
        <w:tc>
          <w:tcPr>
            <w:tcW w:w="0" w:type="auto"/>
            <w:gridSpan w:val="2"/>
            <w:tcMar>
              <w:top w:w="30" w:type="dxa"/>
              <w:left w:w="20" w:type="dxa"/>
              <w:bottom w:w="30" w:type="dxa"/>
              <w:right w:w="0" w:type="dxa"/>
            </w:tcMar>
            <w:vAlign w:val="bottom"/>
            <w:hideMark/>
          </w:tcPr>
          <w:p w14:paraId="060FB6AB" w14:textId="77777777" w:rsidR="00000000" w:rsidRDefault="00195E73">
            <w:pPr>
              <w:jc w:val="right"/>
              <w:rPr>
                <w:rFonts w:eastAsia="Times New Roman"/>
              </w:rPr>
            </w:pPr>
            <w:r>
              <w:rPr>
                <w:rFonts w:eastAsia="Times New Roman"/>
                <w:color w:val="000000"/>
                <w:sz w:val="20"/>
                <w:szCs w:val="20"/>
              </w:rPr>
              <w:t>11,344</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23DF7FE9"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03AD38D" w14:textId="77777777" w:rsidR="00000000" w:rsidRDefault="00195E73">
            <w:pPr>
              <w:jc w:val="center"/>
              <w:rPr>
                <w:rFonts w:eastAsia="Times New Roman"/>
              </w:rPr>
            </w:pPr>
            <w:r>
              <w:rPr>
                <w:rFonts w:eastAsia="Times New Roman"/>
                <w:color w:val="000000"/>
                <w:sz w:val="10"/>
                <w:szCs w:val="10"/>
                <w:vertAlign w:val="superscript"/>
              </w:rPr>
              <w:t>(3)</w:t>
            </w:r>
          </w:p>
        </w:tc>
        <w:tc>
          <w:tcPr>
            <w:tcW w:w="0" w:type="auto"/>
            <w:gridSpan w:val="3"/>
            <w:tcMar>
              <w:top w:w="15" w:type="dxa"/>
              <w:left w:w="20" w:type="dxa"/>
              <w:bottom w:w="15" w:type="dxa"/>
              <w:right w:w="20" w:type="dxa"/>
            </w:tcMar>
            <w:vAlign w:val="bottom"/>
            <w:hideMark/>
          </w:tcPr>
          <w:p w14:paraId="7BD2B41E"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5D54D251" w14:textId="77777777" w:rsidR="00000000" w:rsidRDefault="00195E73">
            <w:pPr>
              <w:jc w:val="right"/>
              <w:rPr>
                <w:rFonts w:eastAsia="Times New Roman"/>
              </w:rPr>
            </w:pPr>
            <w:r>
              <w:rPr>
                <w:rFonts w:eastAsia="Times New Roman"/>
                <w:color w:val="000000"/>
                <w:sz w:val="20"/>
                <w:szCs w:val="20"/>
              </w:rPr>
              <w:t>6,511,387</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1A154B2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DF146A7" w14:textId="77777777" w:rsidR="00000000" w:rsidRDefault="00195E73">
            <w:pPr>
              <w:rPr>
                <w:rFonts w:eastAsia="Times New Roman"/>
                <w:sz w:val="20"/>
                <w:szCs w:val="20"/>
              </w:rPr>
            </w:pPr>
          </w:p>
        </w:tc>
        <w:tc>
          <w:tcPr>
            <w:tcW w:w="0" w:type="auto"/>
            <w:vAlign w:val="center"/>
            <w:hideMark/>
          </w:tcPr>
          <w:p w14:paraId="6C303794" w14:textId="77777777" w:rsidR="00000000" w:rsidRDefault="00195E73">
            <w:pPr>
              <w:rPr>
                <w:rFonts w:eastAsia="Times New Roman"/>
                <w:sz w:val="20"/>
                <w:szCs w:val="20"/>
              </w:rPr>
            </w:pPr>
          </w:p>
        </w:tc>
        <w:tc>
          <w:tcPr>
            <w:tcW w:w="0" w:type="auto"/>
            <w:vAlign w:val="center"/>
            <w:hideMark/>
          </w:tcPr>
          <w:p w14:paraId="10D10A7A" w14:textId="77777777" w:rsidR="00000000" w:rsidRDefault="00195E73">
            <w:pPr>
              <w:rPr>
                <w:rFonts w:eastAsia="Times New Roman"/>
                <w:sz w:val="20"/>
                <w:szCs w:val="20"/>
              </w:rPr>
            </w:pPr>
          </w:p>
        </w:tc>
        <w:tc>
          <w:tcPr>
            <w:tcW w:w="0" w:type="auto"/>
            <w:vAlign w:val="center"/>
            <w:hideMark/>
          </w:tcPr>
          <w:p w14:paraId="3E8B9867" w14:textId="77777777" w:rsidR="00000000" w:rsidRDefault="00195E73">
            <w:pPr>
              <w:rPr>
                <w:rFonts w:eastAsia="Times New Roman"/>
                <w:sz w:val="20"/>
                <w:szCs w:val="20"/>
              </w:rPr>
            </w:pPr>
          </w:p>
        </w:tc>
        <w:tc>
          <w:tcPr>
            <w:tcW w:w="0" w:type="auto"/>
            <w:vAlign w:val="center"/>
            <w:hideMark/>
          </w:tcPr>
          <w:p w14:paraId="0C627619" w14:textId="77777777" w:rsidR="00000000" w:rsidRDefault="00195E73">
            <w:pPr>
              <w:rPr>
                <w:rFonts w:eastAsia="Times New Roman"/>
                <w:sz w:val="20"/>
                <w:szCs w:val="20"/>
              </w:rPr>
            </w:pPr>
          </w:p>
        </w:tc>
        <w:tc>
          <w:tcPr>
            <w:tcW w:w="0" w:type="auto"/>
            <w:vAlign w:val="center"/>
            <w:hideMark/>
          </w:tcPr>
          <w:p w14:paraId="385945EB" w14:textId="77777777" w:rsidR="00000000" w:rsidRDefault="00195E73">
            <w:pPr>
              <w:rPr>
                <w:rFonts w:eastAsia="Times New Roman"/>
                <w:sz w:val="20"/>
                <w:szCs w:val="20"/>
              </w:rPr>
            </w:pPr>
          </w:p>
        </w:tc>
        <w:tc>
          <w:tcPr>
            <w:tcW w:w="0" w:type="auto"/>
            <w:vAlign w:val="center"/>
            <w:hideMark/>
          </w:tcPr>
          <w:p w14:paraId="53DC21FC" w14:textId="77777777" w:rsidR="00000000" w:rsidRDefault="00195E73">
            <w:pPr>
              <w:rPr>
                <w:rFonts w:eastAsia="Times New Roman"/>
                <w:sz w:val="20"/>
                <w:szCs w:val="20"/>
              </w:rPr>
            </w:pPr>
          </w:p>
        </w:tc>
        <w:tc>
          <w:tcPr>
            <w:tcW w:w="0" w:type="auto"/>
            <w:vAlign w:val="center"/>
            <w:hideMark/>
          </w:tcPr>
          <w:p w14:paraId="3F10A3AD" w14:textId="77777777" w:rsidR="00000000" w:rsidRDefault="00195E73">
            <w:pPr>
              <w:rPr>
                <w:rFonts w:eastAsia="Times New Roman"/>
                <w:sz w:val="20"/>
                <w:szCs w:val="20"/>
              </w:rPr>
            </w:pPr>
          </w:p>
        </w:tc>
        <w:tc>
          <w:tcPr>
            <w:tcW w:w="0" w:type="auto"/>
            <w:vAlign w:val="center"/>
            <w:hideMark/>
          </w:tcPr>
          <w:p w14:paraId="7C640999" w14:textId="77777777" w:rsidR="00000000" w:rsidRDefault="00195E73">
            <w:pPr>
              <w:rPr>
                <w:rFonts w:eastAsia="Times New Roman"/>
                <w:sz w:val="20"/>
                <w:szCs w:val="20"/>
              </w:rPr>
            </w:pPr>
          </w:p>
        </w:tc>
        <w:tc>
          <w:tcPr>
            <w:tcW w:w="0" w:type="auto"/>
            <w:vAlign w:val="center"/>
            <w:hideMark/>
          </w:tcPr>
          <w:p w14:paraId="24D1260C" w14:textId="77777777" w:rsidR="00000000" w:rsidRDefault="00195E73">
            <w:pPr>
              <w:rPr>
                <w:rFonts w:eastAsia="Times New Roman"/>
                <w:sz w:val="20"/>
                <w:szCs w:val="20"/>
              </w:rPr>
            </w:pPr>
          </w:p>
        </w:tc>
        <w:tc>
          <w:tcPr>
            <w:tcW w:w="0" w:type="auto"/>
            <w:vAlign w:val="center"/>
            <w:hideMark/>
          </w:tcPr>
          <w:p w14:paraId="06AD70C1" w14:textId="77777777" w:rsidR="00000000" w:rsidRDefault="00195E73">
            <w:pPr>
              <w:rPr>
                <w:rFonts w:eastAsia="Times New Roman"/>
                <w:sz w:val="20"/>
                <w:szCs w:val="20"/>
              </w:rPr>
            </w:pPr>
          </w:p>
        </w:tc>
        <w:tc>
          <w:tcPr>
            <w:tcW w:w="0" w:type="auto"/>
            <w:vAlign w:val="center"/>
            <w:hideMark/>
          </w:tcPr>
          <w:p w14:paraId="46CB6026" w14:textId="77777777" w:rsidR="00000000" w:rsidRDefault="00195E73">
            <w:pPr>
              <w:rPr>
                <w:rFonts w:eastAsia="Times New Roman"/>
                <w:sz w:val="20"/>
                <w:szCs w:val="20"/>
              </w:rPr>
            </w:pPr>
          </w:p>
        </w:tc>
        <w:tc>
          <w:tcPr>
            <w:tcW w:w="0" w:type="auto"/>
            <w:vAlign w:val="center"/>
            <w:hideMark/>
          </w:tcPr>
          <w:p w14:paraId="033468F3" w14:textId="77777777" w:rsidR="00000000" w:rsidRDefault="00195E73">
            <w:pPr>
              <w:rPr>
                <w:rFonts w:eastAsia="Times New Roman"/>
                <w:sz w:val="20"/>
                <w:szCs w:val="20"/>
              </w:rPr>
            </w:pPr>
          </w:p>
        </w:tc>
        <w:tc>
          <w:tcPr>
            <w:tcW w:w="0" w:type="auto"/>
            <w:vAlign w:val="center"/>
            <w:hideMark/>
          </w:tcPr>
          <w:p w14:paraId="0CAAEF46" w14:textId="77777777" w:rsidR="00000000" w:rsidRDefault="00195E73">
            <w:pPr>
              <w:rPr>
                <w:rFonts w:eastAsia="Times New Roman"/>
                <w:sz w:val="20"/>
                <w:szCs w:val="20"/>
              </w:rPr>
            </w:pPr>
          </w:p>
        </w:tc>
        <w:tc>
          <w:tcPr>
            <w:tcW w:w="0" w:type="auto"/>
            <w:vAlign w:val="center"/>
            <w:hideMark/>
          </w:tcPr>
          <w:p w14:paraId="14A9FE5E" w14:textId="77777777" w:rsidR="00000000" w:rsidRDefault="00195E73">
            <w:pPr>
              <w:rPr>
                <w:rFonts w:eastAsia="Times New Roman"/>
                <w:sz w:val="20"/>
                <w:szCs w:val="20"/>
              </w:rPr>
            </w:pPr>
          </w:p>
        </w:tc>
        <w:tc>
          <w:tcPr>
            <w:tcW w:w="0" w:type="auto"/>
            <w:vAlign w:val="center"/>
            <w:hideMark/>
          </w:tcPr>
          <w:p w14:paraId="58900D84" w14:textId="77777777" w:rsidR="00000000" w:rsidRDefault="00195E73">
            <w:pPr>
              <w:rPr>
                <w:rFonts w:eastAsia="Times New Roman"/>
                <w:sz w:val="20"/>
                <w:szCs w:val="20"/>
              </w:rPr>
            </w:pPr>
          </w:p>
        </w:tc>
        <w:tc>
          <w:tcPr>
            <w:tcW w:w="0" w:type="auto"/>
            <w:vAlign w:val="center"/>
            <w:hideMark/>
          </w:tcPr>
          <w:p w14:paraId="29636672" w14:textId="77777777" w:rsidR="00000000" w:rsidRDefault="00195E73">
            <w:pPr>
              <w:rPr>
                <w:rFonts w:eastAsia="Times New Roman"/>
                <w:sz w:val="20"/>
                <w:szCs w:val="20"/>
              </w:rPr>
            </w:pPr>
          </w:p>
        </w:tc>
        <w:tc>
          <w:tcPr>
            <w:tcW w:w="0" w:type="auto"/>
            <w:vAlign w:val="center"/>
            <w:hideMark/>
          </w:tcPr>
          <w:p w14:paraId="655DEB58" w14:textId="77777777" w:rsidR="00000000" w:rsidRDefault="00195E73">
            <w:pPr>
              <w:rPr>
                <w:rFonts w:eastAsia="Times New Roman"/>
                <w:sz w:val="20"/>
                <w:szCs w:val="20"/>
              </w:rPr>
            </w:pPr>
          </w:p>
        </w:tc>
        <w:tc>
          <w:tcPr>
            <w:tcW w:w="0" w:type="auto"/>
            <w:vAlign w:val="center"/>
            <w:hideMark/>
          </w:tcPr>
          <w:p w14:paraId="5F1A7731" w14:textId="77777777" w:rsidR="00000000" w:rsidRDefault="00195E73">
            <w:pPr>
              <w:rPr>
                <w:rFonts w:eastAsia="Times New Roman"/>
                <w:sz w:val="20"/>
                <w:szCs w:val="20"/>
              </w:rPr>
            </w:pPr>
          </w:p>
        </w:tc>
        <w:tc>
          <w:tcPr>
            <w:tcW w:w="0" w:type="auto"/>
            <w:vAlign w:val="center"/>
            <w:hideMark/>
          </w:tcPr>
          <w:p w14:paraId="155B860B" w14:textId="77777777" w:rsidR="00000000" w:rsidRDefault="00195E73">
            <w:pPr>
              <w:rPr>
                <w:rFonts w:eastAsia="Times New Roman"/>
                <w:sz w:val="20"/>
                <w:szCs w:val="20"/>
              </w:rPr>
            </w:pPr>
          </w:p>
        </w:tc>
        <w:tc>
          <w:tcPr>
            <w:tcW w:w="0" w:type="auto"/>
            <w:vAlign w:val="center"/>
            <w:hideMark/>
          </w:tcPr>
          <w:p w14:paraId="73321568" w14:textId="77777777" w:rsidR="00000000" w:rsidRDefault="00195E73">
            <w:pPr>
              <w:rPr>
                <w:rFonts w:eastAsia="Times New Roman"/>
                <w:sz w:val="20"/>
                <w:szCs w:val="20"/>
              </w:rPr>
            </w:pPr>
          </w:p>
        </w:tc>
      </w:tr>
      <w:tr w:rsidR="00000000" w14:paraId="046158A8" w14:textId="77777777">
        <w:trPr>
          <w:divId w:val="181169674"/>
          <w:jc w:val="center"/>
        </w:trPr>
        <w:tc>
          <w:tcPr>
            <w:tcW w:w="0" w:type="auto"/>
            <w:gridSpan w:val="3"/>
            <w:vMerge/>
            <w:vAlign w:val="center"/>
            <w:hideMark/>
          </w:tcPr>
          <w:p w14:paraId="4710AF8A" w14:textId="77777777" w:rsidR="00000000" w:rsidRDefault="00195E73">
            <w:pPr>
              <w:rPr>
                <w:rFonts w:eastAsia="Times New Roman"/>
              </w:rPr>
            </w:pPr>
          </w:p>
        </w:tc>
        <w:tc>
          <w:tcPr>
            <w:tcW w:w="0" w:type="auto"/>
            <w:gridSpan w:val="3"/>
            <w:vAlign w:val="center"/>
            <w:hideMark/>
          </w:tcPr>
          <w:p w14:paraId="662B2EAD" w14:textId="77777777" w:rsidR="00000000" w:rsidRDefault="00195E73">
            <w:pPr>
              <w:jc w:val="right"/>
              <w:rPr>
                <w:rFonts w:eastAsia="Times New Roman"/>
              </w:rPr>
            </w:pPr>
          </w:p>
        </w:tc>
        <w:tc>
          <w:tcPr>
            <w:tcW w:w="0" w:type="auto"/>
            <w:gridSpan w:val="3"/>
            <w:tcMar>
              <w:top w:w="15" w:type="dxa"/>
              <w:left w:w="20" w:type="dxa"/>
              <w:bottom w:w="15" w:type="dxa"/>
              <w:right w:w="20" w:type="dxa"/>
            </w:tcMar>
            <w:vAlign w:val="bottom"/>
            <w:hideMark/>
          </w:tcPr>
          <w:p w14:paraId="21AA921E"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27B458A0" w14:textId="77777777" w:rsidR="00000000" w:rsidRDefault="00195E73">
            <w:pPr>
              <w:jc w:val="center"/>
              <w:rPr>
                <w:rFonts w:eastAsia="Times New Roman"/>
              </w:rPr>
            </w:pPr>
            <w:r>
              <w:rPr>
                <w:rFonts w:eastAsia="Times New Roman"/>
                <w:color w:val="000000"/>
                <w:sz w:val="20"/>
                <w:szCs w:val="20"/>
              </w:rPr>
              <w:t>201</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14:paraId="4CB8AFCA"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643CC507" w14:textId="77777777" w:rsidR="00000000" w:rsidRDefault="00195E73">
            <w:pPr>
              <w:jc w:val="right"/>
              <w:rPr>
                <w:rFonts w:eastAsia="Times New Roman"/>
              </w:rPr>
            </w:pPr>
            <w:r>
              <w:rPr>
                <w:rFonts w:eastAsia="Times New Roman"/>
                <w:color w:val="000000"/>
                <w:sz w:val="20"/>
                <w:szCs w:val="20"/>
              </w:rPr>
              <w:t>1,528,889</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0A5F85EC"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0DA16330" w14:textId="77777777" w:rsidR="00000000" w:rsidRDefault="00195E73">
            <w:pPr>
              <w:jc w:val="right"/>
              <w:rPr>
                <w:rFonts w:eastAsia="Times New Roman"/>
              </w:rPr>
            </w:pPr>
          </w:p>
        </w:tc>
        <w:tc>
          <w:tcPr>
            <w:tcW w:w="0" w:type="auto"/>
            <w:gridSpan w:val="2"/>
            <w:tcMar>
              <w:top w:w="30" w:type="dxa"/>
              <w:left w:w="20" w:type="dxa"/>
              <w:bottom w:w="30" w:type="dxa"/>
              <w:right w:w="0" w:type="dxa"/>
            </w:tcMar>
            <w:vAlign w:val="bottom"/>
            <w:hideMark/>
          </w:tcPr>
          <w:p w14:paraId="0366E19D" w14:textId="77777777" w:rsidR="00000000" w:rsidRDefault="00195E73">
            <w:pPr>
              <w:jc w:val="right"/>
              <w:rPr>
                <w:rFonts w:eastAsia="Times New Roman"/>
              </w:rPr>
            </w:pPr>
            <w:r>
              <w:rPr>
                <w:rFonts w:eastAsia="Times New Roman"/>
                <w:color w:val="000000"/>
                <w:sz w:val="20"/>
                <w:szCs w:val="20"/>
              </w:rPr>
              <w:t>5,000,000</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1CE9E7DA" w14:textId="77777777" w:rsidR="00000000" w:rsidRDefault="00195E73">
            <w:pPr>
              <w:jc w:val="right"/>
              <w:rPr>
                <w:rFonts w:eastAsia="Times New Roman"/>
              </w:rPr>
            </w:pPr>
            <w:r>
              <w:rPr>
                <w:rFonts w:eastAsia="Times New Roman"/>
                <w:color w:val="000000"/>
                <w:sz w:val="20"/>
                <w:szCs w:val="20"/>
              </w:rPr>
              <w:t> </w:t>
            </w:r>
          </w:p>
        </w:tc>
        <w:tc>
          <w:tcPr>
            <w:tcW w:w="0" w:type="auto"/>
            <w:gridSpan w:val="2"/>
            <w:tcMar>
              <w:top w:w="15" w:type="dxa"/>
              <w:left w:w="20" w:type="dxa"/>
              <w:bottom w:w="15" w:type="dxa"/>
              <w:right w:w="20" w:type="dxa"/>
            </w:tcMar>
            <w:vAlign w:val="bottom"/>
            <w:hideMark/>
          </w:tcPr>
          <w:p w14:paraId="5470694A" w14:textId="77777777" w:rsidR="00000000" w:rsidRDefault="00195E73">
            <w:pPr>
              <w:jc w:val="right"/>
              <w:rPr>
                <w:rFonts w:eastAsia="Times New Roman"/>
              </w:rPr>
            </w:pPr>
          </w:p>
        </w:tc>
        <w:tc>
          <w:tcPr>
            <w:tcW w:w="0" w:type="auto"/>
            <w:vAlign w:val="center"/>
            <w:hideMark/>
          </w:tcPr>
          <w:p w14:paraId="77842694" w14:textId="77777777" w:rsidR="00000000" w:rsidRDefault="00195E73">
            <w:pPr>
              <w:rPr>
                <w:rFonts w:eastAsia="Times New Roman"/>
                <w:sz w:val="20"/>
                <w:szCs w:val="20"/>
              </w:rPr>
            </w:pPr>
          </w:p>
        </w:tc>
        <w:tc>
          <w:tcPr>
            <w:tcW w:w="0" w:type="auto"/>
            <w:gridSpan w:val="3"/>
            <w:vAlign w:val="center"/>
            <w:hideMark/>
          </w:tcPr>
          <w:p w14:paraId="23C8EEC8" w14:textId="77777777" w:rsidR="00000000" w:rsidRDefault="00195E73">
            <w:pPr>
              <w:rPr>
                <w:rFonts w:eastAsia="Times New Roman"/>
                <w:sz w:val="20"/>
                <w:szCs w:val="20"/>
              </w:rPr>
            </w:pPr>
          </w:p>
        </w:tc>
        <w:tc>
          <w:tcPr>
            <w:tcW w:w="0" w:type="auto"/>
            <w:gridSpan w:val="2"/>
            <w:tcMar>
              <w:top w:w="30" w:type="dxa"/>
              <w:left w:w="20" w:type="dxa"/>
              <w:bottom w:w="30" w:type="dxa"/>
              <w:right w:w="0" w:type="dxa"/>
            </w:tcMar>
            <w:vAlign w:val="bottom"/>
            <w:hideMark/>
          </w:tcPr>
          <w:p w14:paraId="6E7D4199" w14:textId="77777777" w:rsidR="00000000" w:rsidRDefault="00195E73">
            <w:pPr>
              <w:jc w:val="right"/>
              <w:rPr>
                <w:rFonts w:eastAsia="Times New Roman"/>
              </w:rPr>
            </w:pPr>
            <w:r>
              <w:rPr>
                <w:rFonts w:eastAsia="Times New Roman"/>
                <w:color w:val="000000"/>
                <w:sz w:val="20"/>
                <w:szCs w:val="20"/>
              </w:rPr>
              <w:t>10,719</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564A8DB5"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52B2DCD" w14:textId="77777777" w:rsidR="00000000" w:rsidRDefault="00195E73">
            <w:pPr>
              <w:jc w:val="center"/>
              <w:rPr>
                <w:rFonts w:eastAsia="Times New Roman"/>
              </w:rPr>
            </w:pPr>
            <w:r>
              <w:rPr>
                <w:rFonts w:eastAsia="Times New Roman"/>
                <w:color w:val="000000"/>
                <w:sz w:val="10"/>
                <w:szCs w:val="10"/>
                <w:vertAlign w:val="superscript"/>
              </w:rPr>
              <w:t>(3)</w:t>
            </w:r>
          </w:p>
        </w:tc>
        <w:tc>
          <w:tcPr>
            <w:tcW w:w="0" w:type="auto"/>
            <w:gridSpan w:val="3"/>
            <w:tcMar>
              <w:top w:w="15" w:type="dxa"/>
              <w:left w:w="20" w:type="dxa"/>
              <w:bottom w:w="15" w:type="dxa"/>
              <w:right w:w="20" w:type="dxa"/>
            </w:tcMar>
            <w:vAlign w:val="bottom"/>
            <w:hideMark/>
          </w:tcPr>
          <w:p w14:paraId="6488CB2A"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6EE70536" w14:textId="77777777" w:rsidR="00000000" w:rsidRDefault="00195E73">
            <w:pPr>
              <w:jc w:val="right"/>
              <w:rPr>
                <w:rFonts w:eastAsia="Times New Roman"/>
              </w:rPr>
            </w:pPr>
            <w:r>
              <w:rPr>
                <w:rFonts w:eastAsia="Times New Roman"/>
                <w:color w:val="000000"/>
                <w:sz w:val="20"/>
                <w:szCs w:val="20"/>
              </w:rPr>
              <w:t>6,539,608</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2FBFEB9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0BDED2C" w14:textId="77777777" w:rsidR="00000000" w:rsidRDefault="00195E73">
            <w:pPr>
              <w:rPr>
                <w:rFonts w:eastAsia="Times New Roman"/>
                <w:sz w:val="20"/>
                <w:szCs w:val="20"/>
              </w:rPr>
            </w:pPr>
          </w:p>
        </w:tc>
        <w:tc>
          <w:tcPr>
            <w:tcW w:w="0" w:type="auto"/>
            <w:vAlign w:val="center"/>
            <w:hideMark/>
          </w:tcPr>
          <w:p w14:paraId="4140B1B6" w14:textId="77777777" w:rsidR="00000000" w:rsidRDefault="00195E73">
            <w:pPr>
              <w:rPr>
                <w:rFonts w:eastAsia="Times New Roman"/>
                <w:sz w:val="20"/>
                <w:szCs w:val="20"/>
              </w:rPr>
            </w:pPr>
          </w:p>
        </w:tc>
        <w:tc>
          <w:tcPr>
            <w:tcW w:w="0" w:type="auto"/>
            <w:vAlign w:val="center"/>
            <w:hideMark/>
          </w:tcPr>
          <w:p w14:paraId="69EE6F5A" w14:textId="77777777" w:rsidR="00000000" w:rsidRDefault="00195E73">
            <w:pPr>
              <w:rPr>
                <w:rFonts w:eastAsia="Times New Roman"/>
                <w:sz w:val="20"/>
                <w:szCs w:val="20"/>
              </w:rPr>
            </w:pPr>
          </w:p>
        </w:tc>
        <w:tc>
          <w:tcPr>
            <w:tcW w:w="0" w:type="auto"/>
            <w:vAlign w:val="center"/>
            <w:hideMark/>
          </w:tcPr>
          <w:p w14:paraId="7B32C089" w14:textId="77777777" w:rsidR="00000000" w:rsidRDefault="00195E73">
            <w:pPr>
              <w:rPr>
                <w:rFonts w:eastAsia="Times New Roman"/>
                <w:sz w:val="20"/>
                <w:szCs w:val="20"/>
              </w:rPr>
            </w:pPr>
          </w:p>
        </w:tc>
        <w:tc>
          <w:tcPr>
            <w:tcW w:w="0" w:type="auto"/>
            <w:vAlign w:val="center"/>
            <w:hideMark/>
          </w:tcPr>
          <w:p w14:paraId="651136BD" w14:textId="77777777" w:rsidR="00000000" w:rsidRDefault="00195E73">
            <w:pPr>
              <w:rPr>
                <w:rFonts w:eastAsia="Times New Roman"/>
                <w:sz w:val="20"/>
                <w:szCs w:val="20"/>
              </w:rPr>
            </w:pPr>
          </w:p>
        </w:tc>
        <w:tc>
          <w:tcPr>
            <w:tcW w:w="0" w:type="auto"/>
            <w:vAlign w:val="center"/>
            <w:hideMark/>
          </w:tcPr>
          <w:p w14:paraId="606DCAF2" w14:textId="77777777" w:rsidR="00000000" w:rsidRDefault="00195E73">
            <w:pPr>
              <w:rPr>
                <w:rFonts w:eastAsia="Times New Roman"/>
                <w:sz w:val="20"/>
                <w:szCs w:val="20"/>
              </w:rPr>
            </w:pPr>
          </w:p>
        </w:tc>
        <w:tc>
          <w:tcPr>
            <w:tcW w:w="0" w:type="auto"/>
            <w:vAlign w:val="center"/>
            <w:hideMark/>
          </w:tcPr>
          <w:p w14:paraId="6F0FA165" w14:textId="77777777" w:rsidR="00000000" w:rsidRDefault="00195E73">
            <w:pPr>
              <w:rPr>
                <w:rFonts w:eastAsia="Times New Roman"/>
                <w:sz w:val="20"/>
                <w:szCs w:val="20"/>
              </w:rPr>
            </w:pPr>
          </w:p>
        </w:tc>
        <w:tc>
          <w:tcPr>
            <w:tcW w:w="0" w:type="auto"/>
            <w:vAlign w:val="center"/>
            <w:hideMark/>
          </w:tcPr>
          <w:p w14:paraId="45AF86B8" w14:textId="77777777" w:rsidR="00000000" w:rsidRDefault="00195E73">
            <w:pPr>
              <w:rPr>
                <w:rFonts w:eastAsia="Times New Roman"/>
                <w:sz w:val="20"/>
                <w:szCs w:val="20"/>
              </w:rPr>
            </w:pPr>
          </w:p>
        </w:tc>
        <w:tc>
          <w:tcPr>
            <w:tcW w:w="0" w:type="auto"/>
            <w:vAlign w:val="center"/>
            <w:hideMark/>
          </w:tcPr>
          <w:p w14:paraId="79D01163" w14:textId="77777777" w:rsidR="00000000" w:rsidRDefault="00195E73">
            <w:pPr>
              <w:rPr>
                <w:rFonts w:eastAsia="Times New Roman"/>
                <w:sz w:val="20"/>
                <w:szCs w:val="20"/>
              </w:rPr>
            </w:pPr>
          </w:p>
        </w:tc>
        <w:tc>
          <w:tcPr>
            <w:tcW w:w="0" w:type="auto"/>
            <w:vAlign w:val="center"/>
            <w:hideMark/>
          </w:tcPr>
          <w:p w14:paraId="3E380D48" w14:textId="77777777" w:rsidR="00000000" w:rsidRDefault="00195E73">
            <w:pPr>
              <w:rPr>
                <w:rFonts w:eastAsia="Times New Roman"/>
                <w:sz w:val="20"/>
                <w:szCs w:val="20"/>
              </w:rPr>
            </w:pPr>
          </w:p>
        </w:tc>
        <w:tc>
          <w:tcPr>
            <w:tcW w:w="0" w:type="auto"/>
            <w:vAlign w:val="center"/>
            <w:hideMark/>
          </w:tcPr>
          <w:p w14:paraId="076268FD" w14:textId="77777777" w:rsidR="00000000" w:rsidRDefault="00195E73">
            <w:pPr>
              <w:rPr>
                <w:rFonts w:eastAsia="Times New Roman"/>
                <w:sz w:val="20"/>
                <w:szCs w:val="20"/>
              </w:rPr>
            </w:pPr>
          </w:p>
        </w:tc>
        <w:tc>
          <w:tcPr>
            <w:tcW w:w="0" w:type="auto"/>
            <w:vAlign w:val="center"/>
            <w:hideMark/>
          </w:tcPr>
          <w:p w14:paraId="65625F9D" w14:textId="77777777" w:rsidR="00000000" w:rsidRDefault="00195E73">
            <w:pPr>
              <w:rPr>
                <w:rFonts w:eastAsia="Times New Roman"/>
                <w:sz w:val="20"/>
                <w:szCs w:val="20"/>
              </w:rPr>
            </w:pPr>
          </w:p>
        </w:tc>
        <w:tc>
          <w:tcPr>
            <w:tcW w:w="0" w:type="auto"/>
            <w:vAlign w:val="center"/>
            <w:hideMark/>
          </w:tcPr>
          <w:p w14:paraId="09FB0299" w14:textId="77777777" w:rsidR="00000000" w:rsidRDefault="00195E73">
            <w:pPr>
              <w:rPr>
                <w:rFonts w:eastAsia="Times New Roman"/>
                <w:sz w:val="20"/>
                <w:szCs w:val="20"/>
              </w:rPr>
            </w:pPr>
          </w:p>
        </w:tc>
        <w:tc>
          <w:tcPr>
            <w:tcW w:w="0" w:type="auto"/>
            <w:vAlign w:val="center"/>
            <w:hideMark/>
          </w:tcPr>
          <w:p w14:paraId="7D9F6505" w14:textId="77777777" w:rsidR="00000000" w:rsidRDefault="00195E73">
            <w:pPr>
              <w:rPr>
                <w:rFonts w:eastAsia="Times New Roman"/>
                <w:sz w:val="20"/>
                <w:szCs w:val="20"/>
              </w:rPr>
            </w:pPr>
          </w:p>
        </w:tc>
        <w:tc>
          <w:tcPr>
            <w:tcW w:w="0" w:type="auto"/>
            <w:vAlign w:val="center"/>
            <w:hideMark/>
          </w:tcPr>
          <w:p w14:paraId="66F36EEB" w14:textId="77777777" w:rsidR="00000000" w:rsidRDefault="00195E73">
            <w:pPr>
              <w:rPr>
                <w:rFonts w:eastAsia="Times New Roman"/>
                <w:sz w:val="20"/>
                <w:szCs w:val="20"/>
              </w:rPr>
            </w:pPr>
          </w:p>
        </w:tc>
        <w:tc>
          <w:tcPr>
            <w:tcW w:w="0" w:type="auto"/>
            <w:vAlign w:val="center"/>
            <w:hideMark/>
          </w:tcPr>
          <w:p w14:paraId="23F32230" w14:textId="77777777" w:rsidR="00000000" w:rsidRDefault="00195E73">
            <w:pPr>
              <w:rPr>
                <w:rFonts w:eastAsia="Times New Roman"/>
                <w:sz w:val="20"/>
                <w:szCs w:val="20"/>
              </w:rPr>
            </w:pPr>
          </w:p>
        </w:tc>
        <w:tc>
          <w:tcPr>
            <w:tcW w:w="0" w:type="auto"/>
            <w:vAlign w:val="center"/>
            <w:hideMark/>
          </w:tcPr>
          <w:p w14:paraId="417345BB" w14:textId="77777777" w:rsidR="00000000" w:rsidRDefault="00195E73">
            <w:pPr>
              <w:rPr>
                <w:rFonts w:eastAsia="Times New Roman"/>
                <w:sz w:val="20"/>
                <w:szCs w:val="20"/>
              </w:rPr>
            </w:pPr>
          </w:p>
        </w:tc>
        <w:tc>
          <w:tcPr>
            <w:tcW w:w="0" w:type="auto"/>
            <w:vAlign w:val="center"/>
            <w:hideMark/>
          </w:tcPr>
          <w:p w14:paraId="7E46FCE8" w14:textId="77777777" w:rsidR="00000000" w:rsidRDefault="00195E73">
            <w:pPr>
              <w:rPr>
                <w:rFonts w:eastAsia="Times New Roman"/>
                <w:sz w:val="20"/>
                <w:szCs w:val="20"/>
              </w:rPr>
            </w:pPr>
          </w:p>
        </w:tc>
      </w:tr>
      <w:tr w:rsidR="00000000" w14:paraId="0AA6CF1E" w14:textId="77777777">
        <w:trPr>
          <w:divId w:val="181169674"/>
          <w:jc w:val="center"/>
        </w:trPr>
        <w:tc>
          <w:tcPr>
            <w:tcW w:w="0" w:type="auto"/>
            <w:gridSpan w:val="3"/>
            <w:vMerge/>
            <w:vAlign w:val="center"/>
            <w:hideMark/>
          </w:tcPr>
          <w:p w14:paraId="2592C8A0" w14:textId="77777777" w:rsidR="00000000" w:rsidRDefault="00195E73">
            <w:pPr>
              <w:rPr>
                <w:rFonts w:eastAsia="Times New Roman"/>
              </w:rPr>
            </w:pPr>
          </w:p>
        </w:tc>
        <w:tc>
          <w:tcPr>
            <w:tcW w:w="0" w:type="auto"/>
            <w:gridSpan w:val="3"/>
            <w:vAlign w:val="center"/>
            <w:hideMark/>
          </w:tcPr>
          <w:p w14:paraId="0B276052" w14:textId="77777777" w:rsidR="00000000" w:rsidRDefault="00195E73">
            <w:pPr>
              <w:jc w:val="right"/>
              <w:rPr>
                <w:rFonts w:eastAsia="Times New Roman"/>
              </w:rPr>
            </w:pPr>
          </w:p>
        </w:tc>
        <w:tc>
          <w:tcPr>
            <w:tcW w:w="0" w:type="auto"/>
            <w:gridSpan w:val="3"/>
            <w:tcMar>
              <w:top w:w="15" w:type="dxa"/>
              <w:left w:w="20" w:type="dxa"/>
              <w:bottom w:w="15" w:type="dxa"/>
              <w:right w:w="20" w:type="dxa"/>
            </w:tcMar>
            <w:vAlign w:val="bottom"/>
            <w:hideMark/>
          </w:tcPr>
          <w:p w14:paraId="00A6D421"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1B249B28" w14:textId="77777777" w:rsidR="00000000" w:rsidRDefault="00195E73">
            <w:pPr>
              <w:jc w:val="center"/>
              <w:rPr>
                <w:rFonts w:eastAsia="Times New Roman"/>
              </w:rPr>
            </w:pPr>
            <w:r>
              <w:rPr>
                <w:rFonts w:eastAsia="Times New Roman"/>
                <w:color w:val="000000"/>
                <w:sz w:val="20"/>
                <w:szCs w:val="20"/>
              </w:rPr>
              <w:t>201</w:t>
            </w:r>
            <w:r>
              <w:rPr>
                <w:rFonts w:eastAsia="Times New Roman"/>
                <w:color w:val="000000"/>
                <w:sz w:val="20"/>
                <w:szCs w:val="20"/>
              </w:rPr>
              <w:t>7</w:t>
            </w:r>
          </w:p>
        </w:tc>
        <w:tc>
          <w:tcPr>
            <w:tcW w:w="0" w:type="auto"/>
            <w:gridSpan w:val="3"/>
            <w:tcMar>
              <w:top w:w="15" w:type="dxa"/>
              <w:left w:w="20" w:type="dxa"/>
              <w:bottom w:w="15" w:type="dxa"/>
              <w:right w:w="20" w:type="dxa"/>
            </w:tcMar>
            <w:vAlign w:val="bottom"/>
            <w:hideMark/>
          </w:tcPr>
          <w:p w14:paraId="6661049A"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32FA80B2" w14:textId="77777777" w:rsidR="00000000" w:rsidRDefault="00195E73">
            <w:pPr>
              <w:jc w:val="right"/>
              <w:rPr>
                <w:rFonts w:eastAsia="Times New Roman"/>
              </w:rPr>
            </w:pPr>
            <w:r>
              <w:rPr>
                <w:rFonts w:eastAsia="Times New Roman"/>
                <w:color w:val="000000"/>
                <w:sz w:val="20"/>
                <w:szCs w:val="20"/>
              </w:rPr>
              <w:t>1,511,582</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4F27E84E"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907E8A7" w14:textId="77777777" w:rsidR="00000000" w:rsidRDefault="00195E73">
            <w:pPr>
              <w:jc w:val="right"/>
              <w:rPr>
                <w:rFonts w:eastAsia="Times New Roman"/>
              </w:rPr>
            </w:pPr>
          </w:p>
        </w:tc>
        <w:tc>
          <w:tcPr>
            <w:tcW w:w="0" w:type="auto"/>
            <w:gridSpan w:val="2"/>
            <w:tcMar>
              <w:top w:w="30" w:type="dxa"/>
              <w:left w:w="20" w:type="dxa"/>
              <w:bottom w:w="30" w:type="dxa"/>
              <w:right w:w="0" w:type="dxa"/>
            </w:tcMar>
            <w:vAlign w:val="bottom"/>
            <w:hideMark/>
          </w:tcPr>
          <w:p w14:paraId="4F753339" w14:textId="77777777" w:rsidR="00000000" w:rsidRDefault="00195E73">
            <w:pPr>
              <w:jc w:val="right"/>
              <w:rPr>
                <w:rFonts w:eastAsia="Times New Roman"/>
              </w:rPr>
            </w:pPr>
            <w:r>
              <w:rPr>
                <w:rFonts w:eastAsia="Times New Roman"/>
                <w:color w:val="000000"/>
                <w:sz w:val="20"/>
                <w:szCs w:val="20"/>
              </w:rPr>
              <w:t>4,000,000</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5E3AE267" w14:textId="77777777" w:rsidR="00000000" w:rsidRDefault="00195E73">
            <w:pPr>
              <w:jc w:val="right"/>
              <w:rPr>
                <w:rFonts w:eastAsia="Times New Roman"/>
              </w:rPr>
            </w:pPr>
            <w:r>
              <w:rPr>
                <w:rFonts w:eastAsia="Times New Roman"/>
                <w:color w:val="000000"/>
                <w:sz w:val="20"/>
                <w:szCs w:val="20"/>
              </w:rPr>
              <w:t> </w:t>
            </w:r>
          </w:p>
        </w:tc>
        <w:tc>
          <w:tcPr>
            <w:tcW w:w="0" w:type="auto"/>
            <w:gridSpan w:val="2"/>
            <w:tcMar>
              <w:top w:w="15" w:type="dxa"/>
              <w:left w:w="20" w:type="dxa"/>
              <w:bottom w:w="15" w:type="dxa"/>
              <w:right w:w="20" w:type="dxa"/>
            </w:tcMar>
            <w:vAlign w:val="bottom"/>
            <w:hideMark/>
          </w:tcPr>
          <w:p w14:paraId="140C7B50" w14:textId="77777777" w:rsidR="00000000" w:rsidRDefault="00195E73">
            <w:pPr>
              <w:jc w:val="right"/>
              <w:rPr>
                <w:rFonts w:eastAsia="Times New Roman"/>
              </w:rPr>
            </w:pPr>
          </w:p>
        </w:tc>
        <w:tc>
          <w:tcPr>
            <w:tcW w:w="0" w:type="auto"/>
            <w:vAlign w:val="center"/>
            <w:hideMark/>
          </w:tcPr>
          <w:p w14:paraId="3DE36323" w14:textId="77777777" w:rsidR="00000000" w:rsidRDefault="00195E73">
            <w:pPr>
              <w:rPr>
                <w:rFonts w:eastAsia="Times New Roman"/>
                <w:sz w:val="20"/>
                <w:szCs w:val="20"/>
              </w:rPr>
            </w:pPr>
          </w:p>
        </w:tc>
        <w:tc>
          <w:tcPr>
            <w:tcW w:w="0" w:type="auto"/>
            <w:gridSpan w:val="3"/>
            <w:vAlign w:val="center"/>
            <w:hideMark/>
          </w:tcPr>
          <w:p w14:paraId="575EFC99" w14:textId="77777777" w:rsidR="00000000" w:rsidRDefault="00195E73">
            <w:pPr>
              <w:rPr>
                <w:rFonts w:eastAsia="Times New Roman"/>
                <w:sz w:val="20"/>
                <w:szCs w:val="20"/>
              </w:rPr>
            </w:pPr>
          </w:p>
        </w:tc>
        <w:tc>
          <w:tcPr>
            <w:tcW w:w="0" w:type="auto"/>
            <w:gridSpan w:val="2"/>
            <w:tcMar>
              <w:top w:w="30" w:type="dxa"/>
              <w:left w:w="20" w:type="dxa"/>
              <w:bottom w:w="30" w:type="dxa"/>
              <w:right w:w="0" w:type="dxa"/>
            </w:tcMar>
            <w:vAlign w:val="bottom"/>
            <w:hideMark/>
          </w:tcPr>
          <w:p w14:paraId="720D4CF9" w14:textId="77777777" w:rsidR="00000000" w:rsidRDefault="00195E73">
            <w:pPr>
              <w:jc w:val="right"/>
              <w:rPr>
                <w:rFonts w:eastAsia="Times New Roman"/>
              </w:rPr>
            </w:pPr>
            <w:r>
              <w:rPr>
                <w:rFonts w:eastAsia="Times New Roman"/>
                <w:color w:val="000000"/>
                <w:sz w:val="20"/>
                <w:szCs w:val="20"/>
              </w:rPr>
              <w:t>10,562</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034EF308"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6CE3614" w14:textId="77777777" w:rsidR="00000000" w:rsidRDefault="00195E73">
            <w:pPr>
              <w:jc w:val="center"/>
              <w:rPr>
                <w:rFonts w:eastAsia="Times New Roman"/>
              </w:rPr>
            </w:pPr>
            <w:r>
              <w:rPr>
                <w:rFonts w:eastAsia="Times New Roman"/>
                <w:color w:val="000000"/>
                <w:sz w:val="10"/>
                <w:szCs w:val="10"/>
                <w:vertAlign w:val="superscript"/>
              </w:rPr>
              <w:t>(3)</w:t>
            </w:r>
          </w:p>
        </w:tc>
        <w:tc>
          <w:tcPr>
            <w:tcW w:w="0" w:type="auto"/>
            <w:gridSpan w:val="3"/>
            <w:tcMar>
              <w:top w:w="15" w:type="dxa"/>
              <w:left w:w="20" w:type="dxa"/>
              <w:bottom w:w="15" w:type="dxa"/>
              <w:right w:w="20" w:type="dxa"/>
            </w:tcMar>
            <w:vAlign w:val="bottom"/>
            <w:hideMark/>
          </w:tcPr>
          <w:p w14:paraId="2FFD4B46"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233D9B22" w14:textId="77777777" w:rsidR="00000000" w:rsidRDefault="00195E73">
            <w:pPr>
              <w:jc w:val="right"/>
              <w:rPr>
                <w:rFonts w:eastAsia="Times New Roman"/>
              </w:rPr>
            </w:pPr>
            <w:r>
              <w:rPr>
                <w:rFonts w:eastAsia="Times New Roman"/>
                <w:color w:val="000000"/>
                <w:sz w:val="20"/>
                <w:szCs w:val="20"/>
              </w:rPr>
              <w:t>5,522,144</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0D75225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1B3EBB0" w14:textId="77777777" w:rsidR="00000000" w:rsidRDefault="00195E73">
            <w:pPr>
              <w:rPr>
                <w:rFonts w:eastAsia="Times New Roman"/>
                <w:sz w:val="20"/>
                <w:szCs w:val="20"/>
              </w:rPr>
            </w:pPr>
          </w:p>
        </w:tc>
        <w:tc>
          <w:tcPr>
            <w:tcW w:w="0" w:type="auto"/>
            <w:vAlign w:val="center"/>
            <w:hideMark/>
          </w:tcPr>
          <w:p w14:paraId="4E65B357" w14:textId="77777777" w:rsidR="00000000" w:rsidRDefault="00195E73">
            <w:pPr>
              <w:rPr>
                <w:rFonts w:eastAsia="Times New Roman"/>
                <w:sz w:val="20"/>
                <w:szCs w:val="20"/>
              </w:rPr>
            </w:pPr>
          </w:p>
        </w:tc>
        <w:tc>
          <w:tcPr>
            <w:tcW w:w="0" w:type="auto"/>
            <w:vAlign w:val="center"/>
            <w:hideMark/>
          </w:tcPr>
          <w:p w14:paraId="2E9DDE15" w14:textId="77777777" w:rsidR="00000000" w:rsidRDefault="00195E73">
            <w:pPr>
              <w:rPr>
                <w:rFonts w:eastAsia="Times New Roman"/>
                <w:sz w:val="20"/>
                <w:szCs w:val="20"/>
              </w:rPr>
            </w:pPr>
          </w:p>
        </w:tc>
        <w:tc>
          <w:tcPr>
            <w:tcW w:w="0" w:type="auto"/>
            <w:vAlign w:val="center"/>
            <w:hideMark/>
          </w:tcPr>
          <w:p w14:paraId="795D9E6C" w14:textId="77777777" w:rsidR="00000000" w:rsidRDefault="00195E73">
            <w:pPr>
              <w:rPr>
                <w:rFonts w:eastAsia="Times New Roman"/>
                <w:sz w:val="20"/>
                <w:szCs w:val="20"/>
              </w:rPr>
            </w:pPr>
          </w:p>
        </w:tc>
        <w:tc>
          <w:tcPr>
            <w:tcW w:w="0" w:type="auto"/>
            <w:vAlign w:val="center"/>
            <w:hideMark/>
          </w:tcPr>
          <w:p w14:paraId="17938A6D" w14:textId="77777777" w:rsidR="00000000" w:rsidRDefault="00195E73">
            <w:pPr>
              <w:rPr>
                <w:rFonts w:eastAsia="Times New Roman"/>
                <w:sz w:val="20"/>
                <w:szCs w:val="20"/>
              </w:rPr>
            </w:pPr>
          </w:p>
        </w:tc>
        <w:tc>
          <w:tcPr>
            <w:tcW w:w="0" w:type="auto"/>
            <w:vAlign w:val="center"/>
            <w:hideMark/>
          </w:tcPr>
          <w:p w14:paraId="12322E60" w14:textId="77777777" w:rsidR="00000000" w:rsidRDefault="00195E73">
            <w:pPr>
              <w:rPr>
                <w:rFonts w:eastAsia="Times New Roman"/>
                <w:sz w:val="20"/>
                <w:szCs w:val="20"/>
              </w:rPr>
            </w:pPr>
          </w:p>
        </w:tc>
        <w:tc>
          <w:tcPr>
            <w:tcW w:w="0" w:type="auto"/>
            <w:vAlign w:val="center"/>
            <w:hideMark/>
          </w:tcPr>
          <w:p w14:paraId="2A29C3E3" w14:textId="77777777" w:rsidR="00000000" w:rsidRDefault="00195E73">
            <w:pPr>
              <w:rPr>
                <w:rFonts w:eastAsia="Times New Roman"/>
                <w:sz w:val="20"/>
                <w:szCs w:val="20"/>
              </w:rPr>
            </w:pPr>
          </w:p>
        </w:tc>
        <w:tc>
          <w:tcPr>
            <w:tcW w:w="0" w:type="auto"/>
            <w:vAlign w:val="center"/>
            <w:hideMark/>
          </w:tcPr>
          <w:p w14:paraId="1F4C98FC" w14:textId="77777777" w:rsidR="00000000" w:rsidRDefault="00195E73">
            <w:pPr>
              <w:rPr>
                <w:rFonts w:eastAsia="Times New Roman"/>
                <w:sz w:val="20"/>
                <w:szCs w:val="20"/>
              </w:rPr>
            </w:pPr>
          </w:p>
        </w:tc>
        <w:tc>
          <w:tcPr>
            <w:tcW w:w="0" w:type="auto"/>
            <w:vAlign w:val="center"/>
            <w:hideMark/>
          </w:tcPr>
          <w:p w14:paraId="5895B3E4" w14:textId="77777777" w:rsidR="00000000" w:rsidRDefault="00195E73">
            <w:pPr>
              <w:rPr>
                <w:rFonts w:eastAsia="Times New Roman"/>
                <w:sz w:val="20"/>
                <w:szCs w:val="20"/>
              </w:rPr>
            </w:pPr>
          </w:p>
        </w:tc>
        <w:tc>
          <w:tcPr>
            <w:tcW w:w="0" w:type="auto"/>
            <w:vAlign w:val="center"/>
            <w:hideMark/>
          </w:tcPr>
          <w:p w14:paraId="02232273" w14:textId="77777777" w:rsidR="00000000" w:rsidRDefault="00195E73">
            <w:pPr>
              <w:rPr>
                <w:rFonts w:eastAsia="Times New Roman"/>
                <w:sz w:val="20"/>
                <w:szCs w:val="20"/>
              </w:rPr>
            </w:pPr>
          </w:p>
        </w:tc>
        <w:tc>
          <w:tcPr>
            <w:tcW w:w="0" w:type="auto"/>
            <w:vAlign w:val="center"/>
            <w:hideMark/>
          </w:tcPr>
          <w:p w14:paraId="18ED497B" w14:textId="77777777" w:rsidR="00000000" w:rsidRDefault="00195E73">
            <w:pPr>
              <w:rPr>
                <w:rFonts w:eastAsia="Times New Roman"/>
                <w:sz w:val="20"/>
                <w:szCs w:val="20"/>
              </w:rPr>
            </w:pPr>
          </w:p>
        </w:tc>
        <w:tc>
          <w:tcPr>
            <w:tcW w:w="0" w:type="auto"/>
            <w:vAlign w:val="center"/>
            <w:hideMark/>
          </w:tcPr>
          <w:p w14:paraId="6228B3E6" w14:textId="77777777" w:rsidR="00000000" w:rsidRDefault="00195E73">
            <w:pPr>
              <w:rPr>
                <w:rFonts w:eastAsia="Times New Roman"/>
                <w:sz w:val="20"/>
                <w:szCs w:val="20"/>
              </w:rPr>
            </w:pPr>
          </w:p>
        </w:tc>
        <w:tc>
          <w:tcPr>
            <w:tcW w:w="0" w:type="auto"/>
            <w:vAlign w:val="center"/>
            <w:hideMark/>
          </w:tcPr>
          <w:p w14:paraId="4E8A6295" w14:textId="77777777" w:rsidR="00000000" w:rsidRDefault="00195E73">
            <w:pPr>
              <w:rPr>
                <w:rFonts w:eastAsia="Times New Roman"/>
                <w:sz w:val="20"/>
                <w:szCs w:val="20"/>
              </w:rPr>
            </w:pPr>
          </w:p>
        </w:tc>
        <w:tc>
          <w:tcPr>
            <w:tcW w:w="0" w:type="auto"/>
            <w:vAlign w:val="center"/>
            <w:hideMark/>
          </w:tcPr>
          <w:p w14:paraId="2DF4DAC7" w14:textId="77777777" w:rsidR="00000000" w:rsidRDefault="00195E73">
            <w:pPr>
              <w:rPr>
                <w:rFonts w:eastAsia="Times New Roman"/>
                <w:sz w:val="20"/>
                <w:szCs w:val="20"/>
              </w:rPr>
            </w:pPr>
          </w:p>
        </w:tc>
        <w:tc>
          <w:tcPr>
            <w:tcW w:w="0" w:type="auto"/>
            <w:vAlign w:val="center"/>
            <w:hideMark/>
          </w:tcPr>
          <w:p w14:paraId="2579C64F" w14:textId="77777777" w:rsidR="00000000" w:rsidRDefault="00195E73">
            <w:pPr>
              <w:rPr>
                <w:rFonts w:eastAsia="Times New Roman"/>
                <w:sz w:val="20"/>
                <w:szCs w:val="20"/>
              </w:rPr>
            </w:pPr>
          </w:p>
        </w:tc>
        <w:tc>
          <w:tcPr>
            <w:tcW w:w="0" w:type="auto"/>
            <w:vAlign w:val="center"/>
            <w:hideMark/>
          </w:tcPr>
          <w:p w14:paraId="4BB97926" w14:textId="77777777" w:rsidR="00000000" w:rsidRDefault="00195E73">
            <w:pPr>
              <w:rPr>
                <w:rFonts w:eastAsia="Times New Roman"/>
                <w:sz w:val="20"/>
                <w:szCs w:val="20"/>
              </w:rPr>
            </w:pPr>
          </w:p>
        </w:tc>
        <w:tc>
          <w:tcPr>
            <w:tcW w:w="0" w:type="auto"/>
            <w:vAlign w:val="center"/>
            <w:hideMark/>
          </w:tcPr>
          <w:p w14:paraId="25698657" w14:textId="77777777" w:rsidR="00000000" w:rsidRDefault="00195E73">
            <w:pPr>
              <w:rPr>
                <w:rFonts w:eastAsia="Times New Roman"/>
                <w:sz w:val="20"/>
                <w:szCs w:val="20"/>
              </w:rPr>
            </w:pPr>
          </w:p>
        </w:tc>
        <w:tc>
          <w:tcPr>
            <w:tcW w:w="0" w:type="auto"/>
            <w:vAlign w:val="center"/>
            <w:hideMark/>
          </w:tcPr>
          <w:p w14:paraId="5C5381C8" w14:textId="77777777" w:rsidR="00000000" w:rsidRDefault="00195E73">
            <w:pPr>
              <w:rPr>
                <w:rFonts w:eastAsia="Times New Roman"/>
                <w:sz w:val="20"/>
                <w:szCs w:val="20"/>
              </w:rPr>
            </w:pPr>
          </w:p>
        </w:tc>
      </w:tr>
      <w:tr w:rsidR="00000000" w14:paraId="6D707AC2" w14:textId="77777777">
        <w:trPr>
          <w:divId w:val="181169674"/>
          <w:trHeight w:val="220"/>
          <w:jc w:val="center"/>
        </w:trPr>
        <w:tc>
          <w:tcPr>
            <w:tcW w:w="0" w:type="auto"/>
            <w:gridSpan w:val="3"/>
            <w:tcMar>
              <w:top w:w="15" w:type="dxa"/>
              <w:left w:w="20" w:type="dxa"/>
              <w:bottom w:w="15" w:type="dxa"/>
              <w:right w:w="20" w:type="dxa"/>
            </w:tcMar>
            <w:vAlign w:val="bottom"/>
            <w:hideMark/>
          </w:tcPr>
          <w:p w14:paraId="3C64763C" w14:textId="77777777" w:rsidR="00000000" w:rsidRDefault="00195E73">
            <w:pPr>
              <w:jc w:val="right"/>
              <w:rPr>
                <w:rFonts w:eastAsia="Times New Roman"/>
              </w:rPr>
            </w:pPr>
          </w:p>
        </w:tc>
        <w:tc>
          <w:tcPr>
            <w:tcW w:w="0" w:type="auto"/>
            <w:gridSpan w:val="3"/>
            <w:tcMar>
              <w:top w:w="15" w:type="dxa"/>
              <w:left w:w="20" w:type="dxa"/>
              <w:bottom w:w="15" w:type="dxa"/>
              <w:right w:w="20" w:type="dxa"/>
            </w:tcMar>
            <w:vAlign w:val="bottom"/>
            <w:hideMark/>
          </w:tcPr>
          <w:p w14:paraId="7518A872"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E0316A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788B43F"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277BBD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66DF09C"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2B471C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F7DDFB8" w14:textId="77777777" w:rsidR="00000000" w:rsidRDefault="00195E73">
            <w:pPr>
              <w:rPr>
                <w:rFonts w:eastAsia="Times New Roman"/>
                <w:sz w:val="20"/>
                <w:szCs w:val="20"/>
              </w:rPr>
            </w:pPr>
          </w:p>
        </w:tc>
        <w:tc>
          <w:tcPr>
            <w:tcW w:w="0" w:type="auto"/>
            <w:gridSpan w:val="2"/>
            <w:vAlign w:val="center"/>
            <w:hideMark/>
          </w:tcPr>
          <w:p w14:paraId="7AFC7C6B" w14:textId="77777777" w:rsidR="00000000" w:rsidRDefault="00195E73">
            <w:pPr>
              <w:rPr>
                <w:rFonts w:eastAsia="Times New Roman"/>
                <w:sz w:val="20"/>
                <w:szCs w:val="20"/>
              </w:rPr>
            </w:pPr>
          </w:p>
        </w:tc>
        <w:tc>
          <w:tcPr>
            <w:tcW w:w="0" w:type="auto"/>
            <w:vAlign w:val="center"/>
            <w:hideMark/>
          </w:tcPr>
          <w:p w14:paraId="433E1F44"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1423A1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4BA40C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8548271"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D1CE298" w14:textId="77777777" w:rsidR="00000000" w:rsidRDefault="00195E73">
            <w:pPr>
              <w:rPr>
                <w:rFonts w:eastAsia="Times New Roman"/>
                <w:sz w:val="20"/>
                <w:szCs w:val="20"/>
              </w:rPr>
            </w:pPr>
          </w:p>
        </w:tc>
        <w:tc>
          <w:tcPr>
            <w:tcW w:w="0" w:type="auto"/>
            <w:vAlign w:val="center"/>
            <w:hideMark/>
          </w:tcPr>
          <w:p w14:paraId="582DCE3D" w14:textId="77777777" w:rsidR="00000000" w:rsidRDefault="00195E73">
            <w:pPr>
              <w:rPr>
                <w:rFonts w:eastAsia="Times New Roman"/>
                <w:sz w:val="20"/>
                <w:szCs w:val="20"/>
              </w:rPr>
            </w:pPr>
          </w:p>
        </w:tc>
        <w:tc>
          <w:tcPr>
            <w:tcW w:w="0" w:type="auto"/>
            <w:vAlign w:val="center"/>
            <w:hideMark/>
          </w:tcPr>
          <w:p w14:paraId="704DDF16" w14:textId="77777777" w:rsidR="00000000" w:rsidRDefault="00195E73">
            <w:pPr>
              <w:rPr>
                <w:rFonts w:eastAsia="Times New Roman"/>
                <w:sz w:val="20"/>
                <w:szCs w:val="20"/>
              </w:rPr>
            </w:pPr>
          </w:p>
        </w:tc>
        <w:tc>
          <w:tcPr>
            <w:tcW w:w="0" w:type="auto"/>
            <w:vAlign w:val="center"/>
            <w:hideMark/>
          </w:tcPr>
          <w:p w14:paraId="76744287" w14:textId="77777777" w:rsidR="00000000" w:rsidRDefault="00195E73">
            <w:pPr>
              <w:rPr>
                <w:rFonts w:eastAsia="Times New Roman"/>
                <w:sz w:val="20"/>
                <w:szCs w:val="20"/>
              </w:rPr>
            </w:pPr>
          </w:p>
        </w:tc>
        <w:tc>
          <w:tcPr>
            <w:tcW w:w="0" w:type="auto"/>
            <w:vAlign w:val="center"/>
            <w:hideMark/>
          </w:tcPr>
          <w:p w14:paraId="652938D7" w14:textId="77777777" w:rsidR="00000000" w:rsidRDefault="00195E73">
            <w:pPr>
              <w:rPr>
                <w:rFonts w:eastAsia="Times New Roman"/>
                <w:sz w:val="20"/>
                <w:szCs w:val="20"/>
              </w:rPr>
            </w:pPr>
          </w:p>
        </w:tc>
        <w:tc>
          <w:tcPr>
            <w:tcW w:w="0" w:type="auto"/>
            <w:vAlign w:val="center"/>
            <w:hideMark/>
          </w:tcPr>
          <w:p w14:paraId="79767D6C" w14:textId="77777777" w:rsidR="00000000" w:rsidRDefault="00195E73">
            <w:pPr>
              <w:rPr>
                <w:rFonts w:eastAsia="Times New Roman"/>
                <w:sz w:val="20"/>
                <w:szCs w:val="20"/>
              </w:rPr>
            </w:pPr>
          </w:p>
        </w:tc>
        <w:tc>
          <w:tcPr>
            <w:tcW w:w="0" w:type="auto"/>
            <w:vAlign w:val="center"/>
            <w:hideMark/>
          </w:tcPr>
          <w:p w14:paraId="51B698F6" w14:textId="77777777" w:rsidR="00000000" w:rsidRDefault="00195E73">
            <w:pPr>
              <w:rPr>
                <w:rFonts w:eastAsia="Times New Roman"/>
                <w:sz w:val="20"/>
                <w:szCs w:val="20"/>
              </w:rPr>
            </w:pPr>
          </w:p>
        </w:tc>
        <w:tc>
          <w:tcPr>
            <w:tcW w:w="0" w:type="auto"/>
            <w:vAlign w:val="center"/>
            <w:hideMark/>
          </w:tcPr>
          <w:p w14:paraId="6516F19A" w14:textId="77777777" w:rsidR="00000000" w:rsidRDefault="00195E73">
            <w:pPr>
              <w:rPr>
                <w:rFonts w:eastAsia="Times New Roman"/>
                <w:sz w:val="20"/>
                <w:szCs w:val="20"/>
              </w:rPr>
            </w:pPr>
          </w:p>
        </w:tc>
        <w:tc>
          <w:tcPr>
            <w:tcW w:w="0" w:type="auto"/>
            <w:vAlign w:val="center"/>
            <w:hideMark/>
          </w:tcPr>
          <w:p w14:paraId="3C3F91CA" w14:textId="77777777" w:rsidR="00000000" w:rsidRDefault="00195E73">
            <w:pPr>
              <w:rPr>
                <w:rFonts w:eastAsia="Times New Roman"/>
                <w:sz w:val="20"/>
                <w:szCs w:val="20"/>
              </w:rPr>
            </w:pPr>
          </w:p>
        </w:tc>
        <w:tc>
          <w:tcPr>
            <w:tcW w:w="0" w:type="auto"/>
            <w:vAlign w:val="center"/>
            <w:hideMark/>
          </w:tcPr>
          <w:p w14:paraId="6DC8BAFC" w14:textId="77777777" w:rsidR="00000000" w:rsidRDefault="00195E73">
            <w:pPr>
              <w:rPr>
                <w:rFonts w:eastAsia="Times New Roman"/>
                <w:sz w:val="20"/>
                <w:szCs w:val="20"/>
              </w:rPr>
            </w:pPr>
          </w:p>
        </w:tc>
        <w:tc>
          <w:tcPr>
            <w:tcW w:w="0" w:type="auto"/>
            <w:vAlign w:val="center"/>
            <w:hideMark/>
          </w:tcPr>
          <w:p w14:paraId="48BA5620" w14:textId="77777777" w:rsidR="00000000" w:rsidRDefault="00195E73">
            <w:pPr>
              <w:rPr>
                <w:rFonts w:eastAsia="Times New Roman"/>
                <w:sz w:val="20"/>
                <w:szCs w:val="20"/>
              </w:rPr>
            </w:pPr>
          </w:p>
        </w:tc>
        <w:tc>
          <w:tcPr>
            <w:tcW w:w="0" w:type="auto"/>
            <w:vAlign w:val="center"/>
            <w:hideMark/>
          </w:tcPr>
          <w:p w14:paraId="2F86D7C7" w14:textId="77777777" w:rsidR="00000000" w:rsidRDefault="00195E73">
            <w:pPr>
              <w:rPr>
                <w:rFonts w:eastAsia="Times New Roman"/>
                <w:sz w:val="20"/>
                <w:szCs w:val="20"/>
              </w:rPr>
            </w:pPr>
          </w:p>
        </w:tc>
        <w:tc>
          <w:tcPr>
            <w:tcW w:w="0" w:type="auto"/>
            <w:vAlign w:val="center"/>
            <w:hideMark/>
          </w:tcPr>
          <w:p w14:paraId="6310B213" w14:textId="77777777" w:rsidR="00000000" w:rsidRDefault="00195E73">
            <w:pPr>
              <w:rPr>
                <w:rFonts w:eastAsia="Times New Roman"/>
                <w:sz w:val="20"/>
                <w:szCs w:val="20"/>
              </w:rPr>
            </w:pPr>
          </w:p>
        </w:tc>
        <w:tc>
          <w:tcPr>
            <w:tcW w:w="0" w:type="auto"/>
            <w:vAlign w:val="center"/>
            <w:hideMark/>
          </w:tcPr>
          <w:p w14:paraId="128C795E" w14:textId="77777777" w:rsidR="00000000" w:rsidRDefault="00195E73">
            <w:pPr>
              <w:rPr>
                <w:rFonts w:eastAsia="Times New Roman"/>
                <w:sz w:val="20"/>
                <w:szCs w:val="20"/>
              </w:rPr>
            </w:pPr>
          </w:p>
        </w:tc>
        <w:tc>
          <w:tcPr>
            <w:tcW w:w="0" w:type="auto"/>
            <w:vAlign w:val="center"/>
            <w:hideMark/>
          </w:tcPr>
          <w:p w14:paraId="3218C54B" w14:textId="77777777" w:rsidR="00000000" w:rsidRDefault="00195E73">
            <w:pPr>
              <w:rPr>
                <w:rFonts w:eastAsia="Times New Roman"/>
                <w:sz w:val="20"/>
                <w:szCs w:val="20"/>
              </w:rPr>
            </w:pPr>
          </w:p>
        </w:tc>
        <w:tc>
          <w:tcPr>
            <w:tcW w:w="0" w:type="auto"/>
            <w:vAlign w:val="center"/>
            <w:hideMark/>
          </w:tcPr>
          <w:p w14:paraId="7B55A649" w14:textId="77777777" w:rsidR="00000000" w:rsidRDefault="00195E73">
            <w:pPr>
              <w:rPr>
                <w:rFonts w:eastAsia="Times New Roman"/>
                <w:sz w:val="20"/>
                <w:szCs w:val="20"/>
              </w:rPr>
            </w:pPr>
          </w:p>
        </w:tc>
        <w:tc>
          <w:tcPr>
            <w:tcW w:w="0" w:type="auto"/>
            <w:vAlign w:val="center"/>
            <w:hideMark/>
          </w:tcPr>
          <w:p w14:paraId="1FD928C5" w14:textId="77777777" w:rsidR="00000000" w:rsidRDefault="00195E73">
            <w:pPr>
              <w:rPr>
                <w:rFonts w:eastAsia="Times New Roman"/>
                <w:sz w:val="20"/>
                <w:szCs w:val="20"/>
              </w:rPr>
            </w:pPr>
          </w:p>
        </w:tc>
        <w:tc>
          <w:tcPr>
            <w:tcW w:w="0" w:type="auto"/>
            <w:vAlign w:val="center"/>
            <w:hideMark/>
          </w:tcPr>
          <w:p w14:paraId="68FDD6EB" w14:textId="77777777" w:rsidR="00000000" w:rsidRDefault="00195E73">
            <w:pPr>
              <w:rPr>
                <w:rFonts w:eastAsia="Times New Roman"/>
                <w:sz w:val="20"/>
                <w:szCs w:val="20"/>
              </w:rPr>
            </w:pPr>
          </w:p>
        </w:tc>
        <w:tc>
          <w:tcPr>
            <w:tcW w:w="0" w:type="auto"/>
            <w:vAlign w:val="center"/>
            <w:hideMark/>
          </w:tcPr>
          <w:p w14:paraId="6D2AEEE7" w14:textId="77777777" w:rsidR="00000000" w:rsidRDefault="00195E73">
            <w:pPr>
              <w:rPr>
                <w:rFonts w:eastAsia="Times New Roman"/>
                <w:sz w:val="20"/>
                <w:szCs w:val="20"/>
              </w:rPr>
            </w:pPr>
          </w:p>
        </w:tc>
        <w:tc>
          <w:tcPr>
            <w:tcW w:w="0" w:type="auto"/>
            <w:vAlign w:val="center"/>
            <w:hideMark/>
          </w:tcPr>
          <w:p w14:paraId="231C0596" w14:textId="77777777" w:rsidR="00000000" w:rsidRDefault="00195E73">
            <w:pPr>
              <w:rPr>
                <w:rFonts w:eastAsia="Times New Roman"/>
                <w:sz w:val="20"/>
                <w:szCs w:val="20"/>
              </w:rPr>
            </w:pPr>
          </w:p>
        </w:tc>
        <w:tc>
          <w:tcPr>
            <w:tcW w:w="0" w:type="auto"/>
            <w:vAlign w:val="center"/>
            <w:hideMark/>
          </w:tcPr>
          <w:p w14:paraId="050F141A" w14:textId="77777777" w:rsidR="00000000" w:rsidRDefault="00195E73">
            <w:pPr>
              <w:rPr>
                <w:rFonts w:eastAsia="Times New Roman"/>
                <w:sz w:val="20"/>
                <w:szCs w:val="20"/>
              </w:rPr>
            </w:pPr>
          </w:p>
        </w:tc>
        <w:tc>
          <w:tcPr>
            <w:tcW w:w="0" w:type="auto"/>
            <w:vAlign w:val="center"/>
            <w:hideMark/>
          </w:tcPr>
          <w:p w14:paraId="2E82DD4C" w14:textId="77777777" w:rsidR="00000000" w:rsidRDefault="00195E73">
            <w:pPr>
              <w:rPr>
                <w:rFonts w:eastAsia="Times New Roman"/>
                <w:sz w:val="20"/>
                <w:szCs w:val="20"/>
              </w:rPr>
            </w:pPr>
          </w:p>
        </w:tc>
      </w:tr>
      <w:tr w:rsidR="00000000" w14:paraId="5CAE19C6" w14:textId="77777777">
        <w:trPr>
          <w:divId w:val="181169674"/>
          <w:jc w:val="center"/>
        </w:trPr>
        <w:tc>
          <w:tcPr>
            <w:tcW w:w="0" w:type="auto"/>
            <w:gridSpan w:val="3"/>
            <w:vMerge w:val="restart"/>
            <w:tcMar>
              <w:top w:w="30" w:type="dxa"/>
              <w:left w:w="20" w:type="dxa"/>
              <w:bottom w:w="30" w:type="dxa"/>
              <w:right w:w="20" w:type="dxa"/>
            </w:tcMar>
            <w:hideMark/>
          </w:tcPr>
          <w:p w14:paraId="0F224FA1" w14:textId="77777777" w:rsidR="00000000" w:rsidRDefault="00195E73">
            <w:pPr>
              <w:divId w:val="720978007"/>
              <w:rPr>
                <w:rFonts w:eastAsia="Times New Roman"/>
              </w:rPr>
            </w:pPr>
            <w:r>
              <w:rPr>
                <w:rFonts w:eastAsia="Times New Roman"/>
                <w:color w:val="000000"/>
                <w:sz w:val="20"/>
                <w:szCs w:val="20"/>
              </w:rPr>
              <w:t>SungHwan Cho</w:t>
            </w:r>
            <w:r>
              <w:rPr>
                <w:rFonts w:eastAsia="Times New Roman"/>
                <w:color w:val="000000"/>
                <w:sz w:val="20"/>
                <w:szCs w:val="20"/>
              </w:rPr>
              <w:t xml:space="preserve"> </w:t>
            </w:r>
            <w:r>
              <w:rPr>
                <w:rFonts w:eastAsia="Times New Roman"/>
                <w:color w:val="000000"/>
                <w:sz w:val="13"/>
                <w:szCs w:val="13"/>
                <w:vertAlign w:val="superscript"/>
              </w:rPr>
              <w:t>(5)</w:t>
            </w:r>
          </w:p>
          <w:p w14:paraId="32557D60" w14:textId="77777777" w:rsidR="00000000" w:rsidRDefault="00195E73">
            <w:pPr>
              <w:divId w:val="1810978401"/>
              <w:rPr>
                <w:rFonts w:eastAsia="Times New Roman"/>
              </w:rPr>
            </w:pPr>
            <w:r>
              <w:rPr>
                <w:rFonts w:eastAsia="Times New Roman"/>
                <w:color w:val="000000"/>
                <w:sz w:val="20"/>
                <w:szCs w:val="20"/>
              </w:rPr>
              <w:t>Chief Financial Office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14B793F6"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61B3EDCD" w14:textId="77777777" w:rsidR="00000000" w:rsidRDefault="00195E73">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14:paraId="4EB6BC78"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5369301E" w14:textId="77777777" w:rsidR="00000000" w:rsidRDefault="00195E73">
            <w:pPr>
              <w:jc w:val="right"/>
              <w:rPr>
                <w:rFonts w:eastAsia="Times New Roman"/>
              </w:rPr>
            </w:pPr>
            <w:r>
              <w:rPr>
                <w:rFonts w:eastAsia="Times New Roman"/>
                <w:color w:val="000000"/>
                <w:sz w:val="20"/>
                <w:szCs w:val="20"/>
              </w:rPr>
              <w:t>878,794</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0567D7A7"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7BC8D298" w14:textId="77777777" w:rsidR="00000000" w:rsidRDefault="00195E73">
            <w:pPr>
              <w:jc w:val="right"/>
              <w:rPr>
                <w:rFonts w:eastAsia="Times New Roman"/>
              </w:rPr>
            </w:pPr>
          </w:p>
        </w:tc>
        <w:tc>
          <w:tcPr>
            <w:tcW w:w="0" w:type="auto"/>
            <w:gridSpan w:val="2"/>
            <w:tcMar>
              <w:top w:w="30" w:type="dxa"/>
              <w:left w:w="20" w:type="dxa"/>
              <w:bottom w:w="30" w:type="dxa"/>
              <w:right w:w="0" w:type="dxa"/>
            </w:tcMar>
            <w:vAlign w:val="bottom"/>
            <w:hideMark/>
          </w:tcPr>
          <w:p w14:paraId="62440282" w14:textId="77777777" w:rsidR="00000000" w:rsidRDefault="00195E73">
            <w:pPr>
              <w:jc w:val="right"/>
              <w:rPr>
                <w:rFonts w:eastAsia="Times New Roman"/>
              </w:rPr>
            </w:pPr>
            <w:r>
              <w:rPr>
                <w:rFonts w:eastAsia="Times New Roman"/>
                <w:color w:val="000000"/>
                <w:sz w:val="20"/>
                <w:szCs w:val="20"/>
              </w:rPr>
              <w:t>1,700,000</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662127A4" w14:textId="77777777" w:rsidR="00000000" w:rsidRDefault="00195E73">
            <w:pPr>
              <w:jc w:val="right"/>
              <w:rPr>
                <w:rFonts w:eastAsia="Times New Roman"/>
              </w:rPr>
            </w:pPr>
            <w:r>
              <w:rPr>
                <w:rFonts w:eastAsia="Times New Roman"/>
                <w:color w:val="000000"/>
                <w:sz w:val="20"/>
                <w:szCs w:val="20"/>
              </w:rPr>
              <w:t> </w:t>
            </w:r>
          </w:p>
        </w:tc>
        <w:tc>
          <w:tcPr>
            <w:tcW w:w="0" w:type="auto"/>
            <w:gridSpan w:val="2"/>
            <w:tcMar>
              <w:top w:w="30" w:type="dxa"/>
              <w:left w:w="20" w:type="dxa"/>
              <w:bottom w:w="30" w:type="dxa"/>
              <w:right w:w="0" w:type="dxa"/>
            </w:tcMar>
            <w:hideMark/>
          </w:tcPr>
          <w:p w14:paraId="20FAA66E" w14:textId="77777777" w:rsidR="00000000" w:rsidRDefault="00195E73">
            <w:pPr>
              <w:jc w:val="center"/>
              <w:rPr>
                <w:rFonts w:eastAsia="Times New Roman"/>
              </w:rPr>
            </w:pPr>
            <w:r>
              <w:rPr>
                <w:rFonts w:eastAsia="Times New Roman"/>
                <w:color w:val="000000"/>
                <w:sz w:val="11"/>
                <w:szCs w:val="11"/>
              </w:rPr>
              <w:t>(7</w:t>
            </w:r>
            <w:r>
              <w:rPr>
                <w:rFonts w:eastAsia="Times New Roman"/>
                <w:color w:val="000000"/>
                <w:sz w:val="11"/>
                <w:szCs w:val="11"/>
              </w:rPr>
              <w:t>)</w:t>
            </w:r>
          </w:p>
        </w:tc>
        <w:tc>
          <w:tcPr>
            <w:tcW w:w="0" w:type="auto"/>
            <w:tcMar>
              <w:top w:w="30" w:type="dxa"/>
              <w:left w:w="15" w:type="dxa"/>
              <w:bottom w:w="30" w:type="dxa"/>
              <w:right w:w="20" w:type="dxa"/>
            </w:tcMar>
            <w:hideMark/>
          </w:tcPr>
          <w:p w14:paraId="4ACF9A5C" w14:textId="77777777" w:rsidR="00000000" w:rsidRDefault="00195E73">
            <w:pPr>
              <w:jc w:val="right"/>
              <w:rPr>
                <w:rFonts w:eastAsia="Times New Roman"/>
              </w:rPr>
            </w:pPr>
            <w:r>
              <w:rPr>
                <w:rFonts w:eastAsia="Times New Roman"/>
                <w:color w:val="000000"/>
                <w:sz w:val="11"/>
                <w:szCs w:val="11"/>
              </w:rPr>
              <w:t> </w:t>
            </w:r>
          </w:p>
        </w:tc>
        <w:tc>
          <w:tcPr>
            <w:tcW w:w="0" w:type="auto"/>
            <w:gridSpan w:val="2"/>
            <w:vAlign w:val="center"/>
            <w:hideMark/>
          </w:tcPr>
          <w:p w14:paraId="19619171" w14:textId="77777777" w:rsidR="00000000" w:rsidRDefault="00195E73">
            <w:pPr>
              <w:jc w:val="right"/>
              <w:rPr>
                <w:rFonts w:eastAsia="Times New Roman"/>
              </w:rPr>
            </w:pPr>
          </w:p>
        </w:tc>
        <w:tc>
          <w:tcPr>
            <w:tcW w:w="0" w:type="auto"/>
            <w:vAlign w:val="center"/>
            <w:hideMark/>
          </w:tcPr>
          <w:p w14:paraId="4F15639B" w14:textId="77777777" w:rsidR="00000000" w:rsidRDefault="00195E73">
            <w:pPr>
              <w:rPr>
                <w:rFonts w:eastAsia="Times New Roman"/>
                <w:sz w:val="20"/>
                <w:szCs w:val="20"/>
              </w:rPr>
            </w:pPr>
          </w:p>
        </w:tc>
        <w:tc>
          <w:tcPr>
            <w:tcW w:w="0" w:type="auto"/>
            <w:gridSpan w:val="2"/>
            <w:tcMar>
              <w:top w:w="30" w:type="dxa"/>
              <w:left w:w="20" w:type="dxa"/>
              <w:bottom w:w="30" w:type="dxa"/>
              <w:right w:w="0" w:type="dxa"/>
            </w:tcMar>
            <w:vAlign w:val="bottom"/>
            <w:hideMark/>
          </w:tcPr>
          <w:p w14:paraId="029B1D0F" w14:textId="77777777" w:rsidR="00000000" w:rsidRDefault="00195E73">
            <w:pPr>
              <w:jc w:val="right"/>
              <w:rPr>
                <w:rFonts w:eastAsia="Times New Roman"/>
              </w:rPr>
            </w:pPr>
            <w:r>
              <w:rPr>
                <w:rFonts w:eastAsia="Times New Roman"/>
                <w:color w:val="000000"/>
                <w:sz w:val="20"/>
                <w:szCs w:val="20"/>
              </w:rPr>
              <w:t>11,344</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13B68392"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BE23794" w14:textId="77777777" w:rsidR="00000000" w:rsidRDefault="00195E73">
            <w:pPr>
              <w:jc w:val="center"/>
              <w:rPr>
                <w:rFonts w:eastAsia="Times New Roman"/>
              </w:rPr>
            </w:pPr>
            <w:r>
              <w:rPr>
                <w:rFonts w:eastAsia="Times New Roman"/>
                <w:color w:val="000000"/>
                <w:sz w:val="10"/>
                <w:szCs w:val="10"/>
                <w:vertAlign w:val="superscript"/>
              </w:rPr>
              <w:t>(3)</w:t>
            </w:r>
          </w:p>
        </w:tc>
        <w:tc>
          <w:tcPr>
            <w:tcW w:w="0" w:type="auto"/>
            <w:gridSpan w:val="3"/>
            <w:tcMar>
              <w:top w:w="15" w:type="dxa"/>
              <w:left w:w="20" w:type="dxa"/>
              <w:bottom w:w="15" w:type="dxa"/>
              <w:right w:w="20" w:type="dxa"/>
            </w:tcMar>
            <w:vAlign w:val="bottom"/>
            <w:hideMark/>
          </w:tcPr>
          <w:p w14:paraId="107B1ACF"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5DC03C35" w14:textId="77777777" w:rsidR="00000000" w:rsidRDefault="00195E73">
            <w:pPr>
              <w:jc w:val="right"/>
              <w:rPr>
                <w:rFonts w:eastAsia="Times New Roman"/>
              </w:rPr>
            </w:pPr>
            <w:r>
              <w:rPr>
                <w:rFonts w:eastAsia="Times New Roman"/>
                <w:color w:val="000000"/>
                <w:sz w:val="20"/>
                <w:szCs w:val="20"/>
              </w:rPr>
              <w:t>2,590,138</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32D2A24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5A7921F" w14:textId="77777777" w:rsidR="00000000" w:rsidRDefault="00195E73">
            <w:pPr>
              <w:rPr>
                <w:rFonts w:eastAsia="Times New Roman"/>
                <w:sz w:val="20"/>
                <w:szCs w:val="20"/>
              </w:rPr>
            </w:pPr>
          </w:p>
        </w:tc>
        <w:tc>
          <w:tcPr>
            <w:tcW w:w="0" w:type="auto"/>
            <w:vAlign w:val="center"/>
            <w:hideMark/>
          </w:tcPr>
          <w:p w14:paraId="189D886E" w14:textId="77777777" w:rsidR="00000000" w:rsidRDefault="00195E73">
            <w:pPr>
              <w:rPr>
                <w:rFonts w:eastAsia="Times New Roman"/>
                <w:sz w:val="20"/>
                <w:szCs w:val="20"/>
              </w:rPr>
            </w:pPr>
          </w:p>
        </w:tc>
        <w:tc>
          <w:tcPr>
            <w:tcW w:w="0" w:type="auto"/>
            <w:vAlign w:val="center"/>
            <w:hideMark/>
          </w:tcPr>
          <w:p w14:paraId="6E879D47" w14:textId="77777777" w:rsidR="00000000" w:rsidRDefault="00195E73">
            <w:pPr>
              <w:rPr>
                <w:rFonts w:eastAsia="Times New Roman"/>
                <w:sz w:val="20"/>
                <w:szCs w:val="20"/>
              </w:rPr>
            </w:pPr>
          </w:p>
        </w:tc>
        <w:tc>
          <w:tcPr>
            <w:tcW w:w="0" w:type="auto"/>
            <w:vAlign w:val="center"/>
            <w:hideMark/>
          </w:tcPr>
          <w:p w14:paraId="63A9AB45" w14:textId="77777777" w:rsidR="00000000" w:rsidRDefault="00195E73">
            <w:pPr>
              <w:rPr>
                <w:rFonts w:eastAsia="Times New Roman"/>
                <w:sz w:val="20"/>
                <w:szCs w:val="20"/>
              </w:rPr>
            </w:pPr>
          </w:p>
        </w:tc>
        <w:tc>
          <w:tcPr>
            <w:tcW w:w="0" w:type="auto"/>
            <w:vAlign w:val="center"/>
            <w:hideMark/>
          </w:tcPr>
          <w:p w14:paraId="7F1C6748" w14:textId="77777777" w:rsidR="00000000" w:rsidRDefault="00195E73">
            <w:pPr>
              <w:rPr>
                <w:rFonts w:eastAsia="Times New Roman"/>
                <w:sz w:val="20"/>
                <w:szCs w:val="20"/>
              </w:rPr>
            </w:pPr>
          </w:p>
        </w:tc>
        <w:tc>
          <w:tcPr>
            <w:tcW w:w="0" w:type="auto"/>
            <w:vAlign w:val="center"/>
            <w:hideMark/>
          </w:tcPr>
          <w:p w14:paraId="7FB3209A" w14:textId="77777777" w:rsidR="00000000" w:rsidRDefault="00195E73">
            <w:pPr>
              <w:rPr>
                <w:rFonts w:eastAsia="Times New Roman"/>
                <w:sz w:val="20"/>
                <w:szCs w:val="20"/>
              </w:rPr>
            </w:pPr>
          </w:p>
        </w:tc>
        <w:tc>
          <w:tcPr>
            <w:tcW w:w="0" w:type="auto"/>
            <w:vAlign w:val="center"/>
            <w:hideMark/>
          </w:tcPr>
          <w:p w14:paraId="15F6A012" w14:textId="77777777" w:rsidR="00000000" w:rsidRDefault="00195E73">
            <w:pPr>
              <w:rPr>
                <w:rFonts w:eastAsia="Times New Roman"/>
                <w:sz w:val="20"/>
                <w:szCs w:val="20"/>
              </w:rPr>
            </w:pPr>
          </w:p>
        </w:tc>
        <w:tc>
          <w:tcPr>
            <w:tcW w:w="0" w:type="auto"/>
            <w:vAlign w:val="center"/>
            <w:hideMark/>
          </w:tcPr>
          <w:p w14:paraId="31678A36" w14:textId="77777777" w:rsidR="00000000" w:rsidRDefault="00195E73">
            <w:pPr>
              <w:rPr>
                <w:rFonts w:eastAsia="Times New Roman"/>
                <w:sz w:val="20"/>
                <w:szCs w:val="20"/>
              </w:rPr>
            </w:pPr>
          </w:p>
        </w:tc>
        <w:tc>
          <w:tcPr>
            <w:tcW w:w="0" w:type="auto"/>
            <w:vAlign w:val="center"/>
            <w:hideMark/>
          </w:tcPr>
          <w:p w14:paraId="6C2E11E1" w14:textId="77777777" w:rsidR="00000000" w:rsidRDefault="00195E73">
            <w:pPr>
              <w:rPr>
                <w:rFonts w:eastAsia="Times New Roman"/>
                <w:sz w:val="20"/>
                <w:szCs w:val="20"/>
              </w:rPr>
            </w:pPr>
          </w:p>
        </w:tc>
        <w:tc>
          <w:tcPr>
            <w:tcW w:w="0" w:type="auto"/>
            <w:vAlign w:val="center"/>
            <w:hideMark/>
          </w:tcPr>
          <w:p w14:paraId="3E70E3E4" w14:textId="77777777" w:rsidR="00000000" w:rsidRDefault="00195E73">
            <w:pPr>
              <w:rPr>
                <w:rFonts w:eastAsia="Times New Roman"/>
                <w:sz w:val="20"/>
                <w:szCs w:val="20"/>
              </w:rPr>
            </w:pPr>
          </w:p>
        </w:tc>
        <w:tc>
          <w:tcPr>
            <w:tcW w:w="0" w:type="auto"/>
            <w:vAlign w:val="center"/>
            <w:hideMark/>
          </w:tcPr>
          <w:p w14:paraId="0BE3851D" w14:textId="77777777" w:rsidR="00000000" w:rsidRDefault="00195E73">
            <w:pPr>
              <w:rPr>
                <w:rFonts w:eastAsia="Times New Roman"/>
                <w:sz w:val="20"/>
                <w:szCs w:val="20"/>
              </w:rPr>
            </w:pPr>
          </w:p>
        </w:tc>
        <w:tc>
          <w:tcPr>
            <w:tcW w:w="0" w:type="auto"/>
            <w:vAlign w:val="center"/>
            <w:hideMark/>
          </w:tcPr>
          <w:p w14:paraId="32765080" w14:textId="77777777" w:rsidR="00000000" w:rsidRDefault="00195E73">
            <w:pPr>
              <w:rPr>
                <w:rFonts w:eastAsia="Times New Roman"/>
                <w:sz w:val="20"/>
                <w:szCs w:val="20"/>
              </w:rPr>
            </w:pPr>
          </w:p>
        </w:tc>
        <w:tc>
          <w:tcPr>
            <w:tcW w:w="0" w:type="auto"/>
            <w:vAlign w:val="center"/>
            <w:hideMark/>
          </w:tcPr>
          <w:p w14:paraId="7FFB035B" w14:textId="77777777" w:rsidR="00000000" w:rsidRDefault="00195E73">
            <w:pPr>
              <w:rPr>
                <w:rFonts w:eastAsia="Times New Roman"/>
                <w:sz w:val="20"/>
                <w:szCs w:val="20"/>
              </w:rPr>
            </w:pPr>
          </w:p>
        </w:tc>
        <w:tc>
          <w:tcPr>
            <w:tcW w:w="0" w:type="auto"/>
            <w:vAlign w:val="center"/>
            <w:hideMark/>
          </w:tcPr>
          <w:p w14:paraId="5BBCB77D" w14:textId="77777777" w:rsidR="00000000" w:rsidRDefault="00195E73">
            <w:pPr>
              <w:rPr>
                <w:rFonts w:eastAsia="Times New Roman"/>
                <w:sz w:val="20"/>
                <w:szCs w:val="20"/>
              </w:rPr>
            </w:pPr>
          </w:p>
        </w:tc>
        <w:tc>
          <w:tcPr>
            <w:tcW w:w="0" w:type="auto"/>
            <w:vAlign w:val="center"/>
            <w:hideMark/>
          </w:tcPr>
          <w:p w14:paraId="71D812F2" w14:textId="77777777" w:rsidR="00000000" w:rsidRDefault="00195E73">
            <w:pPr>
              <w:rPr>
                <w:rFonts w:eastAsia="Times New Roman"/>
                <w:sz w:val="20"/>
                <w:szCs w:val="20"/>
              </w:rPr>
            </w:pPr>
          </w:p>
        </w:tc>
        <w:tc>
          <w:tcPr>
            <w:tcW w:w="0" w:type="auto"/>
            <w:vAlign w:val="center"/>
            <w:hideMark/>
          </w:tcPr>
          <w:p w14:paraId="095BB445" w14:textId="77777777" w:rsidR="00000000" w:rsidRDefault="00195E73">
            <w:pPr>
              <w:rPr>
                <w:rFonts w:eastAsia="Times New Roman"/>
                <w:sz w:val="20"/>
                <w:szCs w:val="20"/>
              </w:rPr>
            </w:pPr>
          </w:p>
        </w:tc>
        <w:tc>
          <w:tcPr>
            <w:tcW w:w="0" w:type="auto"/>
            <w:vAlign w:val="center"/>
            <w:hideMark/>
          </w:tcPr>
          <w:p w14:paraId="1E1F7357" w14:textId="77777777" w:rsidR="00000000" w:rsidRDefault="00195E73">
            <w:pPr>
              <w:rPr>
                <w:rFonts w:eastAsia="Times New Roman"/>
                <w:sz w:val="20"/>
                <w:szCs w:val="20"/>
              </w:rPr>
            </w:pPr>
          </w:p>
        </w:tc>
        <w:tc>
          <w:tcPr>
            <w:tcW w:w="0" w:type="auto"/>
            <w:vAlign w:val="center"/>
            <w:hideMark/>
          </w:tcPr>
          <w:p w14:paraId="379893E4" w14:textId="77777777" w:rsidR="00000000" w:rsidRDefault="00195E73">
            <w:pPr>
              <w:rPr>
                <w:rFonts w:eastAsia="Times New Roman"/>
                <w:sz w:val="20"/>
                <w:szCs w:val="20"/>
              </w:rPr>
            </w:pPr>
          </w:p>
        </w:tc>
        <w:tc>
          <w:tcPr>
            <w:tcW w:w="0" w:type="auto"/>
            <w:vAlign w:val="center"/>
            <w:hideMark/>
          </w:tcPr>
          <w:p w14:paraId="736E7003" w14:textId="77777777" w:rsidR="00000000" w:rsidRDefault="00195E73">
            <w:pPr>
              <w:rPr>
                <w:rFonts w:eastAsia="Times New Roman"/>
                <w:sz w:val="20"/>
                <w:szCs w:val="20"/>
              </w:rPr>
            </w:pPr>
          </w:p>
        </w:tc>
        <w:tc>
          <w:tcPr>
            <w:tcW w:w="0" w:type="auto"/>
            <w:vAlign w:val="center"/>
            <w:hideMark/>
          </w:tcPr>
          <w:p w14:paraId="6ECC094A" w14:textId="77777777" w:rsidR="00000000" w:rsidRDefault="00195E73">
            <w:pPr>
              <w:rPr>
                <w:rFonts w:eastAsia="Times New Roman"/>
                <w:sz w:val="20"/>
                <w:szCs w:val="20"/>
              </w:rPr>
            </w:pPr>
          </w:p>
        </w:tc>
        <w:tc>
          <w:tcPr>
            <w:tcW w:w="0" w:type="auto"/>
            <w:vAlign w:val="center"/>
            <w:hideMark/>
          </w:tcPr>
          <w:p w14:paraId="248D52CC" w14:textId="77777777" w:rsidR="00000000" w:rsidRDefault="00195E73">
            <w:pPr>
              <w:rPr>
                <w:rFonts w:eastAsia="Times New Roman"/>
                <w:sz w:val="20"/>
                <w:szCs w:val="20"/>
              </w:rPr>
            </w:pPr>
          </w:p>
        </w:tc>
      </w:tr>
      <w:tr w:rsidR="00000000" w14:paraId="5768958A" w14:textId="77777777">
        <w:trPr>
          <w:divId w:val="181169674"/>
          <w:jc w:val="center"/>
        </w:trPr>
        <w:tc>
          <w:tcPr>
            <w:tcW w:w="0" w:type="auto"/>
            <w:gridSpan w:val="3"/>
            <w:vMerge/>
            <w:vAlign w:val="center"/>
            <w:hideMark/>
          </w:tcPr>
          <w:p w14:paraId="1E1FAD94" w14:textId="77777777" w:rsidR="00000000" w:rsidRDefault="00195E73">
            <w:pPr>
              <w:rPr>
                <w:rFonts w:eastAsia="Times New Roman"/>
              </w:rPr>
            </w:pPr>
          </w:p>
        </w:tc>
        <w:tc>
          <w:tcPr>
            <w:tcW w:w="0" w:type="auto"/>
            <w:gridSpan w:val="3"/>
            <w:vAlign w:val="center"/>
            <w:hideMark/>
          </w:tcPr>
          <w:p w14:paraId="4052C8C7" w14:textId="77777777" w:rsidR="00000000" w:rsidRDefault="00195E73">
            <w:pPr>
              <w:jc w:val="right"/>
              <w:rPr>
                <w:rFonts w:eastAsia="Times New Roman"/>
              </w:rPr>
            </w:pPr>
          </w:p>
        </w:tc>
        <w:tc>
          <w:tcPr>
            <w:tcW w:w="0" w:type="auto"/>
            <w:gridSpan w:val="3"/>
            <w:tcMar>
              <w:top w:w="15" w:type="dxa"/>
              <w:left w:w="20" w:type="dxa"/>
              <w:bottom w:w="15" w:type="dxa"/>
              <w:right w:w="20" w:type="dxa"/>
            </w:tcMar>
            <w:vAlign w:val="bottom"/>
            <w:hideMark/>
          </w:tcPr>
          <w:p w14:paraId="42ED551B"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25E6CC58" w14:textId="77777777" w:rsidR="00000000" w:rsidRDefault="00195E73">
            <w:pPr>
              <w:jc w:val="center"/>
              <w:rPr>
                <w:rFonts w:eastAsia="Times New Roman"/>
              </w:rPr>
            </w:pPr>
            <w:r>
              <w:rPr>
                <w:rFonts w:eastAsia="Times New Roman"/>
                <w:color w:val="000000"/>
                <w:sz w:val="20"/>
                <w:szCs w:val="20"/>
              </w:rPr>
              <w:t>201</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14:paraId="223A1626"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297082E7" w14:textId="77777777" w:rsidR="00000000" w:rsidRDefault="00195E73">
            <w:pPr>
              <w:jc w:val="right"/>
              <w:rPr>
                <w:rFonts w:eastAsia="Times New Roman"/>
              </w:rPr>
            </w:pPr>
            <w:r>
              <w:rPr>
                <w:rFonts w:eastAsia="Times New Roman"/>
                <w:color w:val="000000"/>
                <w:sz w:val="20"/>
                <w:szCs w:val="20"/>
              </w:rPr>
              <w:t>849,254</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5C5A9C40"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B293644" w14:textId="77777777" w:rsidR="00000000" w:rsidRDefault="00195E73">
            <w:pPr>
              <w:jc w:val="right"/>
              <w:rPr>
                <w:rFonts w:eastAsia="Times New Roman"/>
              </w:rPr>
            </w:pPr>
          </w:p>
        </w:tc>
        <w:tc>
          <w:tcPr>
            <w:tcW w:w="0" w:type="auto"/>
            <w:gridSpan w:val="2"/>
            <w:tcMar>
              <w:top w:w="30" w:type="dxa"/>
              <w:left w:w="20" w:type="dxa"/>
              <w:bottom w:w="30" w:type="dxa"/>
              <w:right w:w="0" w:type="dxa"/>
            </w:tcMar>
            <w:vAlign w:val="bottom"/>
            <w:hideMark/>
          </w:tcPr>
          <w:p w14:paraId="1713A194" w14:textId="77777777" w:rsidR="00000000" w:rsidRDefault="00195E73">
            <w:pPr>
              <w:jc w:val="right"/>
              <w:rPr>
                <w:rFonts w:eastAsia="Times New Roman"/>
              </w:rPr>
            </w:pPr>
            <w:r>
              <w:rPr>
                <w:rFonts w:eastAsia="Times New Roman"/>
                <w:color w:val="000000"/>
                <w:sz w:val="20"/>
                <w:szCs w:val="20"/>
              </w:rPr>
              <w:t>1,700,000</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672A5A31" w14:textId="77777777" w:rsidR="00000000" w:rsidRDefault="00195E73">
            <w:pPr>
              <w:jc w:val="right"/>
              <w:rPr>
                <w:rFonts w:eastAsia="Times New Roman"/>
              </w:rPr>
            </w:pPr>
            <w:r>
              <w:rPr>
                <w:rFonts w:eastAsia="Times New Roman"/>
                <w:color w:val="000000"/>
                <w:sz w:val="20"/>
                <w:szCs w:val="20"/>
              </w:rPr>
              <w:t> </w:t>
            </w:r>
          </w:p>
        </w:tc>
        <w:tc>
          <w:tcPr>
            <w:tcW w:w="0" w:type="auto"/>
            <w:gridSpan w:val="2"/>
            <w:tcMar>
              <w:top w:w="15" w:type="dxa"/>
              <w:left w:w="20" w:type="dxa"/>
              <w:bottom w:w="15" w:type="dxa"/>
              <w:right w:w="20" w:type="dxa"/>
            </w:tcMar>
            <w:vAlign w:val="bottom"/>
            <w:hideMark/>
          </w:tcPr>
          <w:p w14:paraId="5ED3092D" w14:textId="77777777" w:rsidR="00000000" w:rsidRDefault="00195E73">
            <w:pPr>
              <w:jc w:val="right"/>
              <w:rPr>
                <w:rFonts w:eastAsia="Times New Roman"/>
              </w:rPr>
            </w:pPr>
          </w:p>
        </w:tc>
        <w:tc>
          <w:tcPr>
            <w:tcW w:w="0" w:type="auto"/>
            <w:vAlign w:val="center"/>
            <w:hideMark/>
          </w:tcPr>
          <w:p w14:paraId="6113FB75" w14:textId="77777777" w:rsidR="00000000" w:rsidRDefault="00195E73">
            <w:pPr>
              <w:rPr>
                <w:rFonts w:eastAsia="Times New Roman"/>
                <w:sz w:val="20"/>
                <w:szCs w:val="20"/>
              </w:rPr>
            </w:pPr>
          </w:p>
        </w:tc>
        <w:tc>
          <w:tcPr>
            <w:tcW w:w="0" w:type="auto"/>
            <w:gridSpan w:val="3"/>
            <w:vAlign w:val="center"/>
            <w:hideMark/>
          </w:tcPr>
          <w:p w14:paraId="56A297DC" w14:textId="77777777" w:rsidR="00000000" w:rsidRDefault="00195E73">
            <w:pPr>
              <w:rPr>
                <w:rFonts w:eastAsia="Times New Roman"/>
                <w:sz w:val="20"/>
                <w:szCs w:val="20"/>
              </w:rPr>
            </w:pPr>
          </w:p>
        </w:tc>
        <w:tc>
          <w:tcPr>
            <w:tcW w:w="0" w:type="auto"/>
            <w:gridSpan w:val="2"/>
            <w:tcMar>
              <w:top w:w="30" w:type="dxa"/>
              <w:left w:w="20" w:type="dxa"/>
              <w:bottom w:w="30" w:type="dxa"/>
              <w:right w:w="0" w:type="dxa"/>
            </w:tcMar>
            <w:vAlign w:val="bottom"/>
            <w:hideMark/>
          </w:tcPr>
          <w:p w14:paraId="36A8C364" w14:textId="77777777" w:rsidR="00000000" w:rsidRDefault="00195E73">
            <w:pPr>
              <w:jc w:val="right"/>
              <w:rPr>
                <w:rFonts w:eastAsia="Times New Roman"/>
              </w:rPr>
            </w:pPr>
            <w:r>
              <w:rPr>
                <w:rFonts w:eastAsia="Times New Roman"/>
                <w:color w:val="000000"/>
                <w:sz w:val="20"/>
                <w:szCs w:val="20"/>
              </w:rPr>
              <w:t>10,719</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035C9F76"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35E13F6" w14:textId="77777777" w:rsidR="00000000" w:rsidRDefault="00195E73">
            <w:pPr>
              <w:jc w:val="center"/>
              <w:rPr>
                <w:rFonts w:eastAsia="Times New Roman"/>
              </w:rPr>
            </w:pPr>
            <w:r>
              <w:rPr>
                <w:rFonts w:eastAsia="Times New Roman"/>
                <w:color w:val="000000"/>
                <w:sz w:val="10"/>
                <w:szCs w:val="10"/>
                <w:vertAlign w:val="superscript"/>
              </w:rPr>
              <w:t>(3)</w:t>
            </w:r>
          </w:p>
        </w:tc>
        <w:tc>
          <w:tcPr>
            <w:tcW w:w="0" w:type="auto"/>
            <w:gridSpan w:val="3"/>
            <w:tcMar>
              <w:top w:w="15" w:type="dxa"/>
              <w:left w:w="20" w:type="dxa"/>
              <w:bottom w:w="15" w:type="dxa"/>
              <w:right w:w="20" w:type="dxa"/>
            </w:tcMar>
            <w:vAlign w:val="bottom"/>
            <w:hideMark/>
          </w:tcPr>
          <w:p w14:paraId="1B3090A6"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3129E056" w14:textId="77777777" w:rsidR="00000000" w:rsidRDefault="00195E73">
            <w:pPr>
              <w:jc w:val="right"/>
              <w:rPr>
                <w:rFonts w:eastAsia="Times New Roman"/>
              </w:rPr>
            </w:pPr>
            <w:r>
              <w:rPr>
                <w:rFonts w:eastAsia="Times New Roman"/>
                <w:color w:val="000000"/>
                <w:sz w:val="20"/>
                <w:szCs w:val="20"/>
              </w:rPr>
              <w:t>2,559,973</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2E90074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67405EF" w14:textId="77777777" w:rsidR="00000000" w:rsidRDefault="00195E73">
            <w:pPr>
              <w:rPr>
                <w:rFonts w:eastAsia="Times New Roman"/>
                <w:sz w:val="20"/>
                <w:szCs w:val="20"/>
              </w:rPr>
            </w:pPr>
          </w:p>
        </w:tc>
        <w:tc>
          <w:tcPr>
            <w:tcW w:w="0" w:type="auto"/>
            <w:vAlign w:val="center"/>
            <w:hideMark/>
          </w:tcPr>
          <w:p w14:paraId="0C14852F" w14:textId="77777777" w:rsidR="00000000" w:rsidRDefault="00195E73">
            <w:pPr>
              <w:rPr>
                <w:rFonts w:eastAsia="Times New Roman"/>
                <w:sz w:val="20"/>
                <w:szCs w:val="20"/>
              </w:rPr>
            </w:pPr>
          </w:p>
        </w:tc>
        <w:tc>
          <w:tcPr>
            <w:tcW w:w="0" w:type="auto"/>
            <w:vAlign w:val="center"/>
            <w:hideMark/>
          </w:tcPr>
          <w:p w14:paraId="0A460A02" w14:textId="77777777" w:rsidR="00000000" w:rsidRDefault="00195E73">
            <w:pPr>
              <w:rPr>
                <w:rFonts w:eastAsia="Times New Roman"/>
                <w:sz w:val="20"/>
                <w:szCs w:val="20"/>
              </w:rPr>
            </w:pPr>
          </w:p>
        </w:tc>
        <w:tc>
          <w:tcPr>
            <w:tcW w:w="0" w:type="auto"/>
            <w:vAlign w:val="center"/>
            <w:hideMark/>
          </w:tcPr>
          <w:p w14:paraId="3BFAAF77" w14:textId="77777777" w:rsidR="00000000" w:rsidRDefault="00195E73">
            <w:pPr>
              <w:rPr>
                <w:rFonts w:eastAsia="Times New Roman"/>
                <w:sz w:val="20"/>
                <w:szCs w:val="20"/>
              </w:rPr>
            </w:pPr>
          </w:p>
        </w:tc>
        <w:tc>
          <w:tcPr>
            <w:tcW w:w="0" w:type="auto"/>
            <w:vAlign w:val="center"/>
            <w:hideMark/>
          </w:tcPr>
          <w:p w14:paraId="1B2A3FAD" w14:textId="77777777" w:rsidR="00000000" w:rsidRDefault="00195E73">
            <w:pPr>
              <w:rPr>
                <w:rFonts w:eastAsia="Times New Roman"/>
                <w:sz w:val="20"/>
                <w:szCs w:val="20"/>
              </w:rPr>
            </w:pPr>
          </w:p>
        </w:tc>
        <w:tc>
          <w:tcPr>
            <w:tcW w:w="0" w:type="auto"/>
            <w:vAlign w:val="center"/>
            <w:hideMark/>
          </w:tcPr>
          <w:p w14:paraId="3ED9825A" w14:textId="77777777" w:rsidR="00000000" w:rsidRDefault="00195E73">
            <w:pPr>
              <w:rPr>
                <w:rFonts w:eastAsia="Times New Roman"/>
                <w:sz w:val="20"/>
                <w:szCs w:val="20"/>
              </w:rPr>
            </w:pPr>
          </w:p>
        </w:tc>
        <w:tc>
          <w:tcPr>
            <w:tcW w:w="0" w:type="auto"/>
            <w:vAlign w:val="center"/>
            <w:hideMark/>
          </w:tcPr>
          <w:p w14:paraId="396A7A82" w14:textId="77777777" w:rsidR="00000000" w:rsidRDefault="00195E73">
            <w:pPr>
              <w:rPr>
                <w:rFonts w:eastAsia="Times New Roman"/>
                <w:sz w:val="20"/>
                <w:szCs w:val="20"/>
              </w:rPr>
            </w:pPr>
          </w:p>
        </w:tc>
        <w:tc>
          <w:tcPr>
            <w:tcW w:w="0" w:type="auto"/>
            <w:vAlign w:val="center"/>
            <w:hideMark/>
          </w:tcPr>
          <w:p w14:paraId="44EA8F77" w14:textId="77777777" w:rsidR="00000000" w:rsidRDefault="00195E73">
            <w:pPr>
              <w:rPr>
                <w:rFonts w:eastAsia="Times New Roman"/>
                <w:sz w:val="20"/>
                <w:szCs w:val="20"/>
              </w:rPr>
            </w:pPr>
          </w:p>
        </w:tc>
        <w:tc>
          <w:tcPr>
            <w:tcW w:w="0" w:type="auto"/>
            <w:vAlign w:val="center"/>
            <w:hideMark/>
          </w:tcPr>
          <w:p w14:paraId="758E9195" w14:textId="77777777" w:rsidR="00000000" w:rsidRDefault="00195E73">
            <w:pPr>
              <w:rPr>
                <w:rFonts w:eastAsia="Times New Roman"/>
                <w:sz w:val="20"/>
                <w:szCs w:val="20"/>
              </w:rPr>
            </w:pPr>
          </w:p>
        </w:tc>
        <w:tc>
          <w:tcPr>
            <w:tcW w:w="0" w:type="auto"/>
            <w:vAlign w:val="center"/>
            <w:hideMark/>
          </w:tcPr>
          <w:p w14:paraId="7973FAA9" w14:textId="77777777" w:rsidR="00000000" w:rsidRDefault="00195E73">
            <w:pPr>
              <w:rPr>
                <w:rFonts w:eastAsia="Times New Roman"/>
                <w:sz w:val="20"/>
                <w:szCs w:val="20"/>
              </w:rPr>
            </w:pPr>
          </w:p>
        </w:tc>
        <w:tc>
          <w:tcPr>
            <w:tcW w:w="0" w:type="auto"/>
            <w:vAlign w:val="center"/>
            <w:hideMark/>
          </w:tcPr>
          <w:p w14:paraId="71641735" w14:textId="77777777" w:rsidR="00000000" w:rsidRDefault="00195E73">
            <w:pPr>
              <w:rPr>
                <w:rFonts w:eastAsia="Times New Roman"/>
                <w:sz w:val="20"/>
                <w:szCs w:val="20"/>
              </w:rPr>
            </w:pPr>
          </w:p>
        </w:tc>
        <w:tc>
          <w:tcPr>
            <w:tcW w:w="0" w:type="auto"/>
            <w:vAlign w:val="center"/>
            <w:hideMark/>
          </w:tcPr>
          <w:p w14:paraId="27DB4929" w14:textId="77777777" w:rsidR="00000000" w:rsidRDefault="00195E73">
            <w:pPr>
              <w:rPr>
                <w:rFonts w:eastAsia="Times New Roman"/>
                <w:sz w:val="20"/>
                <w:szCs w:val="20"/>
              </w:rPr>
            </w:pPr>
          </w:p>
        </w:tc>
        <w:tc>
          <w:tcPr>
            <w:tcW w:w="0" w:type="auto"/>
            <w:vAlign w:val="center"/>
            <w:hideMark/>
          </w:tcPr>
          <w:p w14:paraId="22927BF1" w14:textId="77777777" w:rsidR="00000000" w:rsidRDefault="00195E73">
            <w:pPr>
              <w:rPr>
                <w:rFonts w:eastAsia="Times New Roman"/>
                <w:sz w:val="20"/>
                <w:szCs w:val="20"/>
              </w:rPr>
            </w:pPr>
          </w:p>
        </w:tc>
        <w:tc>
          <w:tcPr>
            <w:tcW w:w="0" w:type="auto"/>
            <w:vAlign w:val="center"/>
            <w:hideMark/>
          </w:tcPr>
          <w:p w14:paraId="68A9A26B" w14:textId="77777777" w:rsidR="00000000" w:rsidRDefault="00195E73">
            <w:pPr>
              <w:rPr>
                <w:rFonts w:eastAsia="Times New Roman"/>
                <w:sz w:val="20"/>
                <w:szCs w:val="20"/>
              </w:rPr>
            </w:pPr>
          </w:p>
        </w:tc>
        <w:tc>
          <w:tcPr>
            <w:tcW w:w="0" w:type="auto"/>
            <w:vAlign w:val="center"/>
            <w:hideMark/>
          </w:tcPr>
          <w:p w14:paraId="4EC8C2DB" w14:textId="77777777" w:rsidR="00000000" w:rsidRDefault="00195E73">
            <w:pPr>
              <w:rPr>
                <w:rFonts w:eastAsia="Times New Roman"/>
                <w:sz w:val="20"/>
                <w:szCs w:val="20"/>
              </w:rPr>
            </w:pPr>
          </w:p>
        </w:tc>
        <w:tc>
          <w:tcPr>
            <w:tcW w:w="0" w:type="auto"/>
            <w:vAlign w:val="center"/>
            <w:hideMark/>
          </w:tcPr>
          <w:p w14:paraId="06E81930" w14:textId="77777777" w:rsidR="00000000" w:rsidRDefault="00195E73">
            <w:pPr>
              <w:rPr>
                <w:rFonts w:eastAsia="Times New Roman"/>
                <w:sz w:val="20"/>
                <w:szCs w:val="20"/>
              </w:rPr>
            </w:pPr>
          </w:p>
        </w:tc>
        <w:tc>
          <w:tcPr>
            <w:tcW w:w="0" w:type="auto"/>
            <w:vAlign w:val="center"/>
            <w:hideMark/>
          </w:tcPr>
          <w:p w14:paraId="111B00CF" w14:textId="77777777" w:rsidR="00000000" w:rsidRDefault="00195E73">
            <w:pPr>
              <w:rPr>
                <w:rFonts w:eastAsia="Times New Roman"/>
                <w:sz w:val="20"/>
                <w:szCs w:val="20"/>
              </w:rPr>
            </w:pPr>
          </w:p>
        </w:tc>
        <w:tc>
          <w:tcPr>
            <w:tcW w:w="0" w:type="auto"/>
            <w:vAlign w:val="center"/>
            <w:hideMark/>
          </w:tcPr>
          <w:p w14:paraId="53FACBC8" w14:textId="77777777" w:rsidR="00000000" w:rsidRDefault="00195E73">
            <w:pPr>
              <w:rPr>
                <w:rFonts w:eastAsia="Times New Roman"/>
                <w:sz w:val="20"/>
                <w:szCs w:val="20"/>
              </w:rPr>
            </w:pPr>
          </w:p>
        </w:tc>
      </w:tr>
      <w:tr w:rsidR="00000000" w14:paraId="5F191CFD" w14:textId="77777777">
        <w:trPr>
          <w:divId w:val="181169674"/>
          <w:jc w:val="center"/>
        </w:trPr>
        <w:tc>
          <w:tcPr>
            <w:tcW w:w="0" w:type="auto"/>
            <w:gridSpan w:val="3"/>
            <w:vMerge/>
            <w:vAlign w:val="center"/>
            <w:hideMark/>
          </w:tcPr>
          <w:p w14:paraId="623DBFD3" w14:textId="77777777" w:rsidR="00000000" w:rsidRDefault="00195E73">
            <w:pPr>
              <w:rPr>
                <w:rFonts w:eastAsia="Times New Roman"/>
              </w:rPr>
            </w:pPr>
          </w:p>
        </w:tc>
        <w:tc>
          <w:tcPr>
            <w:tcW w:w="0" w:type="auto"/>
            <w:gridSpan w:val="3"/>
            <w:vAlign w:val="center"/>
            <w:hideMark/>
          </w:tcPr>
          <w:p w14:paraId="75F4E2AE" w14:textId="77777777" w:rsidR="00000000" w:rsidRDefault="00195E73">
            <w:pPr>
              <w:jc w:val="right"/>
              <w:rPr>
                <w:rFonts w:eastAsia="Times New Roman"/>
              </w:rPr>
            </w:pPr>
          </w:p>
        </w:tc>
        <w:tc>
          <w:tcPr>
            <w:tcW w:w="0" w:type="auto"/>
            <w:gridSpan w:val="3"/>
            <w:tcMar>
              <w:top w:w="15" w:type="dxa"/>
              <w:left w:w="20" w:type="dxa"/>
              <w:bottom w:w="15" w:type="dxa"/>
              <w:right w:w="20" w:type="dxa"/>
            </w:tcMar>
            <w:vAlign w:val="bottom"/>
            <w:hideMark/>
          </w:tcPr>
          <w:p w14:paraId="4EA93608"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4C8A9E75" w14:textId="77777777" w:rsidR="00000000" w:rsidRDefault="00195E73">
            <w:pPr>
              <w:jc w:val="center"/>
              <w:rPr>
                <w:rFonts w:eastAsia="Times New Roman"/>
              </w:rPr>
            </w:pPr>
            <w:r>
              <w:rPr>
                <w:rFonts w:eastAsia="Times New Roman"/>
                <w:color w:val="000000"/>
                <w:sz w:val="20"/>
                <w:szCs w:val="20"/>
              </w:rPr>
              <w:t>201</w:t>
            </w:r>
            <w:r>
              <w:rPr>
                <w:rFonts w:eastAsia="Times New Roman"/>
                <w:color w:val="000000"/>
                <w:sz w:val="20"/>
                <w:szCs w:val="20"/>
              </w:rPr>
              <w:t>7</w:t>
            </w:r>
          </w:p>
        </w:tc>
        <w:tc>
          <w:tcPr>
            <w:tcW w:w="0" w:type="auto"/>
            <w:gridSpan w:val="3"/>
            <w:tcMar>
              <w:top w:w="15" w:type="dxa"/>
              <w:left w:w="20" w:type="dxa"/>
              <w:bottom w:w="15" w:type="dxa"/>
              <w:right w:w="20" w:type="dxa"/>
            </w:tcMar>
            <w:vAlign w:val="bottom"/>
            <w:hideMark/>
          </w:tcPr>
          <w:p w14:paraId="7CEDC844"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4928C9C5" w14:textId="77777777" w:rsidR="00000000" w:rsidRDefault="00195E73">
            <w:pPr>
              <w:jc w:val="right"/>
              <w:rPr>
                <w:rFonts w:eastAsia="Times New Roman"/>
              </w:rPr>
            </w:pPr>
            <w:r>
              <w:rPr>
                <w:rFonts w:eastAsia="Times New Roman"/>
                <w:color w:val="000000"/>
                <w:sz w:val="20"/>
                <w:szCs w:val="20"/>
              </w:rPr>
              <w:t>840,023</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3CD16827"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89574FD" w14:textId="77777777" w:rsidR="00000000" w:rsidRDefault="00195E73">
            <w:pPr>
              <w:jc w:val="right"/>
              <w:rPr>
                <w:rFonts w:eastAsia="Times New Roman"/>
              </w:rPr>
            </w:pPr>
          </w:p>
        </w:tc>
        <w:tc>
          <w:tcPr>
            <w:tcW w:w="0" w:type="auto"/>
            <w:gridSpan w:val="2"/>
            <w:tcMar>
              <w:top w:w="30" w:type="dxa"/>
              <w:left w:w="20" w:type="dxa"/>
              <w:bottom w:w="30" w:type="dxa"/>
              <w:right w:w="0" w:type="dxa"/>
            </w:tcMar>
            <w:vAlign w:val="bottom"/>
            <w:hideMark/>
          </w:tcPr>
          <w:p w14:paraId="28B5D911" w14:textId="77777777" w:rsidR="00000000" w:rsidRDefault="00195E73">
            <w:pPr>
              <w:jc w:val="right"/>
              <w:rPr>
                <w:rFonts w:eastAsia="Times New Roman"/>
              </w:rPr>
            </w:pPr>
            <w:r>
              <w:rPr>
                <w:rFonts w:eastAsia="Times New Roman"/>
                <w:color w:val="000000"/>
                <w:sz w:val="20"/>
                <w:szCs w:val="20"/>
              </w:rPr>
              <w:t>1,400,000</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63551BC5" w14:textId="77777777" w:rsidR="00000000" w:rsidRDefault="00195E73">
            <w:pPr>
              <w:jc w:val="right"/>
              <w:rPr>
                <w:rFonts w:eastAsia="Times New Roman"/>
              </w:rPr>
            </w:pPr>
            <w:r>
              <w:rPr>
                <w:rFonts w:eastAsia="Times New Roman"/>
                <w:color w:val="000000"/>
                <w:sz w:val="20"/>
                <w:szCs w:val="20"/>
              </w:rPr>
              <w:t> </w:t>
            </w:r>
          </w:p>
        </w:tc>
        <w:tc>
          <w:tcPr>
            <w:tcW w:w="0" w:type="auto"/>
            <w:gridSpan w:val="2"/>
            <w:tcMar>
              <w:top w:w="15" w:type="dxa"/>
              <w:left w:w="20" w:type="dxa"/>
              <w:bottom w:w="15" w:type="dxa"/>
              <w:right w:w="20" w:type="dxa"/>
            </w:tcMar>
            <w:vAlign w:val="bottom"/>
            <w:hideMark/>
          </w:tcPr>
          <w:p w14:paraId="5317300E" w14:textId="77777777" w:rsidR="00000000" w:rsidRDefault="00195E73">
            <w:pPr>
              <w:jc w:val="right"/>
              <w:rPr>
                <w:rFonts w:eastAsia="Times New Roman"/>
              </w:rPr>
            </w:pPr>
          </w:p>
        </w:tc>
        <w:tc>
          <w:tcPr>
            <w:tcW w:w="0" w:type="auto"/>
            <w:vAlign w:val="center"/>
            <w:hideMark/>
          </w:tcPr>
          <w:p w14:paraId="3B9B5A9C" w14:textId="77777777" w:rsidR="00000000" w:rsidRDefault="00195E73">
            <w:pPr>
              <w:rPr>
                <w:rFonts w:eastAsia="Times New Roman"/>
                <w:sz w:val="20"/>
                <w:szCs w:val="20"/>
              </w:rPr>
            </w:pPr>
          </w:p>
        </w:tc>
        <w:tc>
          <w:tcPr>
            <w:tcW w:w="0" w:type="auto"/>
            <w:gridSpan w:val="3"/>
            <w:vAlign w:val="center"/>
            <w:hideMark/>
          </w:tcPr>
          <w:p w14:paraId="51EFDE20" w14:textId="77777777" w:rsidR="00000000" w:rsidRDefault="00195E73">
            <w:pPr>
              <w:rPr>
                <w:rFonts w:eastAsia="Times New Roman"/>
                <w:sz w:val="20"/>
                <w:szCs w:val="20"/>
              </w:rPr>
            </w:pPr>
          </w:p>
        </w:tc>
        <w:tc>
          <w:tcPr>
            <w:tcW w:w="0" w:type="auto"/>
            <w:gridSpan w:val="2"/>
            <w:tcMar>
              <w:top w:w="30" w:type="dxa"/>
              <w:left w:w="20" w:type="dxa"/>
              <w:bottom w:w="30" w:type="dxa"/>
              <w:right w:w="0" w:type="dxa"/>
            </w:tcMar>
            <w:vAlign w:val="bottom"/>
            <w:hideMark/>
          </w:tcPr>
          <w:p w14:paraId="7A294817" w14:textId="77777777" w:rsidR="00000000" w:rsidRDefault="00195E73">
            <w:pPr>
              <w:jc w:val="right"/>
              <w:rPr>
                <w:rFonts w:eastAsia="Times New Roman"/>
              </w:rPr>
            </w:pPr>
            <w:r>
              <w:rPr>
                <w:rFonts w:eastAsia="Times New Roman"/>
                <w:color w:val="000000"/>
                <w:sz w:val="20"/>
                <w:szCs w:val="20"/>
              </w:rPr>
              <w:t>10,562</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1CBF8BB9"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B600B4D" w14:textId="77777777" w:rsidR="00000000" w:rsidRDefault="00195E73">
            <w:pPr>
              <w:jc w:val="center"/>
              <w:rPr>
                <w:rFonts w:eastAsia="Times New Roman"/>
              </w:rPr>
            </w:pPr>
            <w:r>
              <w:rPr>
                <w:rFonts w:eastAsia="Times New Roman"/>
                <w:color w:val="000000"/>
                <w:sz w:val="10"/>
                <w:szCs w:val="10"/>
                <w:vertAlign w:val="superscript"/>
              </w:rPr>
              <w:t>(3)</w:t>
            </w:r>
          </w:p>
        </w:tc>
        <w:tc>
          <w:tcPr>
            <w:tcW w:w="0" w:type="auto"/>
            <w:gridSpan w:val="3"/>
            <w:tcMar>
              <w:top w:w="15" w:type="dxa"/>
              <w:left w:w="20" w:type="dxa"/>
              <w:bottom w:w="15" w:type="dxa"/>
              <w:right w:w="20" w:type="dxa"/>
            </w:tcMar>
            <w:vAlign w:val="bottom"/>
            <w:hideMark/>
          </w:tcPr>
          <w:p w14:paraId="2E9E73AC"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0FC85A24" w14:textId="77777777" w:rsidR="00000000" w:rsidRDefault="00195E73">
            <w:pPr>
              <w:jc w:val="right"/>
              <w:rPr>
                <w:rFonts w:eastAsia="Times New Roman"/>
              </w:rPr>
            </w:pPr>
            <w:r>
              <w:rPr>
                <w:rFonts w:eastAsia="Times New Roman"/>
                <w:color w:val="000000"/>
                <w:sz w:val="20"/>
                <w:szCs w:val="20"/>
              </w:rPr>
              <w:t>2,250,585</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1436C39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3FA274A" w14:textId="77777777" w:rsidR="00000000" w:rsidRDefault="00195E73">
            <w:pPr>
              <w:rPr>
                <w:rFonts w:eastAsia="Times New Roman"/>
                <w:sz w:val="20"/>
                <w:szCs w:val="20"/>
              </w:rPr>
            </w:pPr>
          </w:p>
        </w:tc>
        <w:tc>
          <w:tcPr>
            <w:tcW w:w="0" w:type="auto"/>
            <w:vAlign w:val="center"/>
            <w:hideMark/>
          </w:tcPr>
          <w:p w14:paraId="7EC1F488" w14:textId="77777777" w:rsidR="00000000" w:rsidRDefault="00195E73">
            <w:pPr>
              <w:rPr>
                <w:rFonts w:eastAsia="Times New Roman"/>
                <w:sz w:val="20"/>
                <w:szCs w:val="20"/>
              </w:rPr>
            </w:pPr>
          </w:p>
        </w:tc>
        <w:tc>
          <w:tcPr>
            <w:tcW w:w="0" w:type="auto"/>
            <w:vAlign w:val="center"/>
            <w:hideMark/>
          </w:tcPr>
          <w:p w14:paraId="71CEFD83" w14:textId="77777777" w:rsidR="00000000" w:rsidRDefault="00195E73">
            <w:pPr>
              <w:rPr>
                <w:rFonts w:eastAsia="Times New Roman"/>
                <w:sz w:val="20"/>
                <w:szCs w:val="20"/>
              </w:rPr>
            </w:pPr>
          </w:p>
        </w:tc>
        <w:tc>
          <w:tcPr>
            <w:tcW w:w="0" w:type="auto"/>
            <w:vAlign w:val="center"/>
            <w:hideMark/>
          </w:tcPr>
          <w:p w14:paraId="2CE09163" w14:textId="77777777" w:rsidR="00000000" w:rsidRDefault="00195E73">
            <w:pPr>
              <w:rPr>
                <w:rFonts w:eastAsia="Times New Roman"/>
                <w:sz w:val="20"/>
                <w:szCs w:val="20"/>
              </w:rPr>
            </w:pPr>
          </w:p>
        </w:tc>
        <w:tc>
          <w:tcPr>
            <w:tcW w:w="0" w:type="auto"/>
            <w:vAlign w:val="center"/>
            <w:hideMark/>
          </w:tcPr>
          <w:p w14:paraId="3E36541D" w14:textId="77777777" w:rsidR="00000000" w:rsidRDefault="00195E73">
            <w:pPr>
              <w:rPr>
                <w:rFonts w:eastAsia="Times New Roman"/>
                <w:sz w:val="20"/>
                <w:szCs w:val="20"/>
              </w:rPr>
            </w:pPr>
          </w:p>
        </w:tc>
        <w:tc>
          <w:tcPr>
            <w:tcW w:w="0" w:type="auto"/>
            <w:vAlign w:val="center"/>
            <w:hideMark/>
          </w:tcPr>
          <w:p w14:paraId="4545AB82" w14:textId="77777777" w:rsidR="00000000" w:rsidRDefault="00195E73">
            <w:pPr>
              <w:rPr>
                <w:rFonts w:eastAsia="Times New Roman"/>
                <w:sz w:val="20"/>
                <w:szCs w:val="20"/>
              </w:rPr>
            </w:pPr>
          </w:p>
        </w:tc>
        <w:tc>
          <w:tcPr>
            <w:tcW w:w="0" w:type="auto"/>
            <w:vAlign w:val="center"/>
            <w:hideMark/>
          </w:tcPr>
          <w:p w14:paraId="1CD1854D" w14:textId="77777777" w:rsidR="00000000" w:rsidRDefault="00195E73">
            <w:pPr>
              <w:rPr>
                <w:rFonts w:eastAsia="Times New Roman"/>
                <w:sz w:val="20"/>
                <w:szCs w:val="20"/>
              </w:rPr>
            </w:pPr>
          </w:p>
        </w:tc>
        <w:tc>
          <w:tcPr>
            <w:tcW w:w="0" w:type="auto"/>
            <w:vAlign w:val="center"/>
            <w:hideMark/>
          </w:tcPr>
          <w:p w14:paraId="2CF3A41B" w14:textId="77777777" w:rsidR="00000000" w:rsidRDefault="00195E73">
            <w:pPr>
              <w:rPr>
                <w:rFonts w:eastAsia="Times New Roman"/>
                <w:sz w:val="20"/>
                <w:szCs w:val="20"/>
              </w:rPr>
            </w:pPr>
          </w:p>
        </w:tc>
        <w:tc>
          <w:tcPr>
            <w:tcW w:w="0" w:type="auto"/>
            <w:vAlign w:val="center"/>
            <w:hideMark/>
          </w:tcPr>
          <w:p w14:paraId="19EB5E14" w14:textId="77777777" w:rsidR="00000000" w:rsidRDefault="00195E73">
            <w:pPr>
              <w:rPr>
                <w:rFonts w:eastAsia="Times New Roman"/>
                <w:sz w:val="20"/>
                <w:szCs w:val="20"/>
              </w:rPr>
            </w:pPr>
          </w:p>
        </w:tc>
        <w:tc>
          <w:tcPr>
            <w:tcW w:w="0" w:type="auto"/>
            <w:vAlign w:val="center"/>
            <w:hideMark/>
          </w:tcPr>
          <w:p w14:paraId="7584D691" w14:textId="77777777" w:rsidR="00000000" w:rsidRDefault="00195E73">
            <w:pPr>
              <w:rPr>
                <w:rFonts w:eastAsia="Times New Roman"/>
                <w:sz w:val="20"/>
                <w:szCs w:val="20"/>
              </w:rPr>
            </w:pPr>
          </w:p>
        </w:tc>
        <w:tc>
          <w:tcPr>
            <w:tcW w:w="0" w:type="auto"/>
            <w:vAlign w:val="center"/>
            <w:hideMark/>
          </w:tcPr>
          <w:p w14:paraId="04286673" w14:textId="77777777" w:rsidR="00000000" w:rsidRDefault="00195E73">
            <w:pPr>
              <w:rPr>
                <w:rFonts w:eastAsia="Times New Roman"/>
                <w:sz w:val="20"/>
                <w:szCs w:val="20"/>
              </w:rPr>
            </w:pPr>
          </w:p>
        </w:tc>
        <w:tc>
          <w:tcPr>
            <w:tcW w:w="0" w:type="auto"/>
            <w:vAlign w:val="center"/>
            <w:hideMark/>
          </w:tcPr>
          <w:p w14:paraId="1CEF014D" w14:textId="77777777" w:rsidR="00000000" w:rsidRDefault="00195E73">
            <w:pPr>
              <w:rPr>
                <w:rFonts w:eastAsia="Times New Roman"/>
                <w:sz w:val="20"/>
                <w:szCs w:val="20"/>
              </w:rPr>
            </w:pPr>
          </w:p>
        </w:tc>
        <w:tc>
          <w:tcPr>
            <w:tcW w:w="0" w:type="auto"/>
            <w:vAlign w:val="center"/>
            <w:hideMark/>
          </w:tcPr>
          <w:p w14:paraId="1811B14E" w14:textId="77777777" w:rsidR="00000000" w:rsidRDefault="00195E73">
            <w:pPr>
              <w:rPr>
                <w:rFonts w:eastAsia="Times New Roman"/>
                <w:sz w:val="20"/>
                <w:szCs w:val="20"/>
              </w:rPr>
            </w:pPr>
          </w:p>
        </w:tc>
        <w:tc>
          <w:tcPr>
            <w:tcW w:w="0" w:type="auto"/>
            <w:vAlign w:val="center"/>
            <w:hideMark/>
          </w:tcPr>
          <w:p w14:paraId="79CBB800" w14:textId="77777777" w:rsidR="00000000" w:rsidRDefault="00195E73">
            <w:pPr>
              <w:rPr>
                <w:rFonts w:eastAsia="Times New Roman"/>
                <w:sz w:val="20"/>
                <w:szCs w:val="20"/>
              </w:rPr>
            </w:pPr>
          </w:p>
        </w:tc>
        <w:tc>
          <w:tcPr>
            <w:tcW w:w="0" w:type="auto"/>
            <w:vAlign w:val="center"/>
            <w:hideMark/>
          </w:tcPr>
          <w:p w14:paraId="175EE0D2" w14:textId="77777777" w:rsidR="00000000" w:rsidRDefault="00195E73">
            <w:pPr>
              <w:rPr>
                <w:rFonts w:eastAsia="Times New Roman"/>
                <w:sz w:val="20"/>
                <w:szCs w:val="20"/>
              </w:rPr>
            </w:pPr>
          </w:p>
        </w:tc>
        <w:tc>
          <w:tcPr>
            <w:tcW w:w="0" w:type="auto"/>
            <w:vAlign w:val="center"/>
            <w:hideMark/>
          </w:tcPr>
          <w:p w14:paraId="2DE3A5D7" w14:textId="77777777" w:rsidR="00000000" w:rsidRDefault="00195E73">
            <w:pPr>
              <w:rPr>
                <w:rFonts w:eastAsia="Times New Roman"/>
                <w:sz w:val="20"/>
                <w:szCs w:val="20"/>
              </w:rPr>
            </w:pPr>
          </w:p>
        </w:tc>
        <w:tc>
          <w:tcPr>
            <w:tcW w:w="0" w:type="auto"/>
            <w:vAlign w:val="center"/>
            <w:hideMark/>
          </w:tcPr>
          <w:p w14:paraId="115E02DF" w14:textId="77777777" w:rsidR="00000000" w:rsidRDefault="00195E73">
            <w:pPr>
              <w:rPr>
                <w:rFonts w:eastAsia="Times New Roman"/>
                <w:sz w:val="20"/>
                <w:szCs w:val="20"/>
              </w:rPr>
            </w:pPr>
          </w:p>
        </w:tc>
        <w:tc>
          <w:tcPr>
            <w:tcW w:w="0" w:type="auto"/>
            <w:vAlign w:val="center"/>
            <w:hideMark/>
          </w:tcPr>
          <w:p w14:paraId="5EA0EFB7" w14:textId="77777777" w:rsidR="00000000" w:rsidRDefault="00195E73">
            <w:pPr>
              <w:rPr>
                <w:rFonts w:eastAsia="Times New Roman"/>
                <w:sz w:val="20"/>
                <w:szCs w:val="20"/>
              </w:rPr>
            </w:pPr>
          </w:p>
        </w:tc>
      </w:tr>
      <w:tr w:rsidR="00000000" w14:paraId="15DD0774" w14:textId="77777777">
        <w:trPr>
          <w:divId w:val="181169674"/>
          <w:trHeight w:val="220"/>
          <w:jc w:val="center"/>
        </w:trPr>
        <w:tc>
          <w:tcPr>
            <w:tcW w:w="0" w:type="auto"/>
            <w:gridSpan w:val="3"/>
            <w:tcMar>
              <w:top w:w="15" w:type="dxa"/>
              <w:left w:w="20" w:type="dxa"/>
              <w:bottom w:w="15" w:type="dxa"/>
              <w:right w:w="20" w:type="dxa"/>
            </w:tcMar>
            <w:vAlign w:val="bottom"/>
            <w:hideMark/>
          </w:tcPr>
          <w:p w14:paraId="617A0A1F" w14:textId="77777777" w:rsidR="00000000" w:rsidRDefault="00195E73">
            <w:pPr>
              <w:jc w:val="right"/>
              <w:rPr>
                <w:rFonts w:eastAsia="Times New Roman"/>
              </w:rPr>
            </w:pPr>
          </w:p>
        </w:tc>
        <w:tc>
          <w:tcPr>
            <w:tcW w:w="0" w:type="auto"/>
            <w:gridSpan w:val="3"/>
            <w:tcMar>
              <w:top w:w="15" w:type="dxa"/>
              <w:left w:w="20" w:type="dxa"/>
              <w:bottom w:w="15" w:type="dxa"/>
              <w:right w:w="20" w:type="dxa"/>
            </w:tcMar>
            <w:vAlign w:val="bottom"/>
            <w:hideMark/>
          </w:tcPr>
          <w:p w14:paraId="21E33CE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5A42424"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50B31BA"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97F6C5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86BE8D2"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ECFA85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F7ADD16" w14:textId="77777777" w:rsidR="00000000" w:rsidRDefault="00195E73">
            <w:pPr>
              <w:rPr>
                <w:rFonts w:eastAsia="Times New Roman"/>
                <w:sz w:val="20"/>
                <w:szCs w:val="20"/>
              </w:rPr>
            </w:pPr>
          </w:p>
        </w:tc>
        <w:tc>
          <w:tcPr>
            <w:tcW w:w="0" w:type="auto"/>
            <w:gridSpan w:val="2"/>
            <w:vAlign w:val="center"/>
            <w:hideMark/>
          </w:tcPr>
          <w:p w14:paraId="37808503" w14:textId="77777777" w:rsidR="00000000" w:rsidRDefault="00195E73">
            <w:pPr>
              <w:rPr>
                <w:rFonts w:eastAsia="Times New Roman"/>
                <w:sz w:val="20"/>
                <w:szCs w:val="20"/>
              </w:rPr>
            </w:pPr>
          </w:p>
        </w:tc>
        <w:tc>
          <w:tcPr>
            <w:tcW w:w="0" w:type="auto"/>
            <w:vAlign w:val="center"/>
            <w:hideMark/>
          </w:tcPr>
          <w:p w14:paraId="587B8CC5"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6D442C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81189C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3DF82D2"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0AA5881" w14:textId="77777777" w:rsidR="00000000" w:rsidRDefault="00195E73">
            <w:pPr>
              <w:rPr>
                <w:rFonts w:eastAsia="Times New Roman"/>
                <w:sz w:val="20"/>
                <w:szCs w:val="20"/>
              </w:rPr>
            </w:pPr>
          </w:p>
        </w:tc>
        <w:tc>
          <w:tcPr>
            <w:tcW w:w="0" w:type="auto"/>
            <w:vAlign w:val="center"/>
            <w:hideMark/>
          </w:tcPr>
          <w:p w14:paraId="121218C5" w14:textId="77777777" w:rsidR="00000000" w:rsidRDefault="00195E73">
            <w:pPr>
              <w:rPr>
                <w:rFonts w:eastAsia="Times New Roman"/>
                <w:sz w:val="20"/>
                <w:szCs w:val="20"/>
              </w:rPr>
            </w:pPr>
          </w:p>
        </w:tc>
        <w:tc>
          <w:tcPr>
            <w:tcW w:w="0" w:type="auto"/>
            <w:vAlign w:val="center"/>
            <w:hideMark/>
          </w:tcPr>
          <w:p w14:paraId="5B4CF11E" w14:textId="77777777" w:rsidR="00000000" w:rsidRDefault="00195E73">
            <w:pPr>
              <w:rPr>
                <w:rFonts w:eastAsia="Times New Roman"/>
                <w:sz w:val="20"/>
                <w:szCs w:val="20"/>
              </w:rPr>
            </w:pPr>
          </w:p>
        </w:tc>
        <w:tc>
          <w:tcPr>
            <w:tcW w:w="0" w:type="auto"/>
            <w:vAlign w:val="center"/>
            <w:hideMark/>
          </w:tcPr>
          <w:p w14:paraId="31CAE48A" w14:textId="77777777" w:rsidR="00000000" w:rsidRDefault="00195E73">
            <w:pPr>
              <w:rPr>
                <w:rFonts w:eastAsia="Times New Roman"/>
                <w:sz w:val="20"/>
                <w:szCs w:val="20"/>
              </w:rPr>
            </w:pPr>
          </w:p>
        </w:tc>
        <w:tc>
          <w:tcPr>
            <w:tcW w:w="0" w:type="auto"/>
            <w:vAlign w:val="center"/>
            <w:hideMark/>
          </w:tcPr>
          <w:p w14:paraId="4FAE5767" w14:textId="77777777" w:rsidR="00000000" w:rsidRDefault="00195E73">
            <w:pPr>
              <w:rPr>
                <w:rFonts w:eastAsia="Times New Roman"/>
                <w:sz w:val="20"/>
                <w:szCs w:val="20"/>
              </w:rPr>
            </w:pPr>
          </w:p>
        </w:tc>
        <w:tc>
          <w:tcPr>
            <w:tcW w:w="0" w:type="auto"/>
            <w:vAlign w:val="center"/>
            <w:hideMark/>
          </w:tcPr>
          <w:p w14:paraId="6E5BD904" w14:textId="77777777" w:rsidR="00000000" w:rsidRDefault="00195E73">
            <w:pPr>
              <w:rPr>
                <w:rFonts w:eastAsia="Times New Roman"/>
                <w:sz w:val="20"/>
                <w:szCs w:val="20"/>
              </w:rPr>
            </w:pPr>
          </w:p>
        </w:tc>
        <w:tc>
          <w:tcPr>
            <w:tcW w:w="0" w:type="auto"/>
            <w:vAlign w:val="center"/>
            <w:hideMark/>
          </w:tcPr>
          <w:p w14:paraId="54A15D0C" w14:textId="77777777" w:rsidR="00000000" w:rsidRDefault="00195E73">
            <w:pPr>
              <w:rPr>
                <w:rFonts w:eastAsia="Times New Roman"/>
                <w:sz w:val="20"/>
                <w:szCs w:val="20"/>
              </w:rPr>
            </w:pPr>
          </w:p>
        </w:tc>
        <w:tc>
          <w:tcPr>
            <w:tcW w:w="0" w:type="auto"/>
            <w:vAlign w:val="center"/>
            <w:hideMark/>
          </w:tcPr>
          <w:p w14:paraId="4D7B7318" w14:textId="77777777" w:rsidR="00000000" w:rsidRDefault="00195E73">
            <w:pPr>
              <w:rPr>
                <w:rFonts w:eastAsia="Times New Roman"/>
                <w:sz w:val="20"/>
                <w:szCs w:val="20"/>
              </w:rPr>
            </w:pPr>
          </w:p>
        </w:tc>
        <w:tc>
          <w:tcPr>
            <w:tcW w:w="0" w:type="auto"/>
            <w:vAlign w:val="center"/>
            <w:hideMark/>
          </w:tcPr>
          <w:p w14:paraId="13FB427A" w14:textId="77777777" w:rsidR="00000000" w:rsidRDefault="00195E73">
            <w:pPr>
              <w:rPr>
                <w:rFonts w:eastAsia="Times New Roman"/>
                <w:sz w:val="20"/>
                <w:szCs w:val="20"/>
              </w:rPr>
            </w:pPr>
          </w:p>
        </w:tc>
        <w:tc>
          <w:tcPr>
            <w:tcW w:w="0" w:type="auto"/>
            <w:vAlign w:val="center"/>
            <w:hideMark/>
          </w:tcPr>
          <w:p w14:paraId="2932053C" w14:textId="77777777" w:rsidR="00000000" w:rsidRDefault="00195E73">
            <w:pPr>
              <w:rPr>
                <w:rFonts w:eastAsia="Times New Roman"/>
                <w:sz w:val="20"/>
                <w:szCs w:val="20"/>
              </w:rPr>
            </w:pPr>
          </w:p>
        </w:tc>
        <w:tc>
          <w:tcPr>
            <w:tcW w:w="0" w:type="auto"/>
            <w:vAlign w:val="center"/>
            <w:hideMark/>
          </w:tcPr>
          <w:p w14:paraId="7EFF8A23" w14:textId="77777777" w:rsidR="00000000" w:rsidRDefault="00195E73">
            <w:pPr>
              <w:rPr>
                <w:rFonts w:eastAsia="Times New Roman"/>
                <w:sz w:val="20"/>
                <w:szCs w:val="20"/>
              </w:rPr>
            </w:pPr>
          </w:p>
        </w:tc>
        <w:tc>
          <w:tcPr>
            <w:tcW w:w="0" w:type="auto"/>
            <w:vAlign w:val="center"/>
            <w:hideMark/>
          </w:tcPr>
          <w:p w14:paraId="2C635B86" w14:textId="77777777" w:rsidR="00000000" w:rsidRDefault="00195E73">
            <w:pPr>
              <w:rPr>
                <w:rFonts w:eastAsia="Times New Roman"/>
                <w:sz w:val="20"/>
                <w:szCs w:val="20"/>
              </w:rPr>
            </w:pPr>
          </w:p>
        </w:tc>
        <w:tc>
          <w:tcPr>
            <w:tcW w:w="0" w:type="auto"/>
            <w:vAlign w:val="center"/>
            <w:hideMark/>
          </w:tcPr>
          <w:p w14:paraId="7ABAF26D" w14:textId="77777777" w:rsidR="00000000" w:rsidRDefault="00195E73">
            <w:pPr>
              <w:rPr>
                <w:rFonts w:eastAsia="Times New Roman"/>
                <w:sz w:val="20"/>
                <w:szCs w:val="20"/>
              </w:rPr>
            </w:pPr>
          </w:p>
        </w:tc>
        <w:tc>
          <w:tcPr>
            <w:tcW w:w="0" w:type="auto"/>
            <w:vAlign w:val="center"/>
            <w:hideMark/>
          </w:tcPr>
          <w:p w14:paraId="70F33C20" w14:textId="77777777" w:rsidR="00000000" w:rsidRDefault="00195E73">
            <w:pPr>
              <w:rPr>
                <w:rFonts w:eastAsia="Times New Roman"/>
                <w:sz w:val="20"/>
                <w:szCs w:val="20"/>
              </w:rPr>
            </w:pPr>
          </w:p>
        </w:tc>
        <w:tc>
          <w:tcPr>
            <w:tcW w:w="0" w:type="auto"/>
            <w:vAlign w:val="center"/>
            <w:hideMark/>
          </w:tcPr>
          <w:p w14:paraId="3E5693A2" w14:textId="77777777" w:rsidR="00000000" w:rsidRDefault="00195E73">
            <w:pPr>
              <w:rPr>
                <w:rFonts w:eastAsia="Times New Roman"/>
                <w:sz w:val="20"/>
                <w:szCs w:val="20"/>
              </w:rPr>
            </w:pPr>
          </w:p>
        </w:tc>
        <w:tc>
          <w:tcPr>
            <w:tcW w:w="0" w:type="auto"/>
            <w:vAlign w:val="center"/>
            <w:hideMark/>
          </w:tcPr>
          <w:p w14:paraId="1A6A7902" w14:textId="77777777" w:rsidR="00000000" w:rsidRDefault="00195E73">
            <w:pPr>
              <w:rPr>
                <w:rFonts w:eastAsia="Times New Roman"/>
                <w:sz w:val="20"/>
                <w:szCs w:val="20"/>
              </w:rPr>
            </w:pPr>
          </w:p>
        </w:tc>
        <w:tc>
          <w:tcPr>
            <w:tcW w:w="0" w:type="auto"/>
            <w:vAlign w:val="center"/>
            <w:hideMark/>
          </w:tcPr>
          <w:p w14:paraId="01B0FC53" w14:textId="77777777" w:rsidR="00000000" w:rsidRDefault="00195E73">
            <w:pPr>
              <w:rPr>
                <w:rFonts w:eastAsia="Times New Roman"/>
                <w:sz w:val="20"/>
                <w:szCs w:val="20"/>
              </w:rPr>
            </w:pPr>
          </w:p>
        </w:tc>
        <w:tc>
          <w:tcPr>
            <w:tcW w:w="0" w:type="auto"/>
            <w:vAlign w:val="center"/>
            <w:hideMark/>
          </w:tcPr>
          <w:p w14:paraId="7DCCB146" w14:textId="77777777" w:rsidR="00000000" w:rsidRDefault="00195E73">
            <w:pPr>
              <w:rPr>
                <w:rFonts w:eastAsia="Times New Roman"/>
                <w:sz w:val="20"/>
                <w:szCs w:val="20"/>
              </w:rPr>
            </w:pPr>
          </w:p>
        </w:tc>
        <w:tc>
          <w:tcPr>
            <w:tcW w:w="0" w:type="auto"/>
            <w:vAlign w:val="center"/>
            <w:hideMark/>
          </w:tcPr>
          <w:p w14:paraId="30B9C252" w14:textId="77777777" w:rsidR="00000000" w:rsidRDefault="00195E73">
            <w:pPr>
              <w:rPr>
                <w:rFonts w:eastAsia="Times New Roman"/>
                <w:sz w:val="20"/>
                <w:szCs w:val="20"/>
              </w:rPr>
            </w:pPr>
          </w:p>
        </w:tc>
        <w:tc>
          <w:tcPr>
            <w:tcW w:w="0" w:type="auto"/>
            <w:vAlign w:val="center"/>
            <w:hideMark/>
          </w:tcPr>
          <w:p w14:paraId="61607FF4" w14:textId="77777777" w:rsidR="00000000" w:rsidRDefault="00195E73">
            <w:pPr>
              <w:rPr>
                <w:rFonts w:eastAsia="Times New Roman"/>
                <w:sz w:val="20"/>
                <w:szCs w:val="20"/>
              </w:rPr>
            </w:pPr>
          </w:p>
        </w:tc>
        <w:tc>
          <w:tcPr>
            <w:tcW w:w="0" w:type="auto"/>
            <w:vAlign w:val="center"/>
            <w:hideMark/>
          </w:tcPr>
          <w:p w14:paraId="4E19AE5F" w14:textId="77777777" w:rsidR="00000000" w:rsidRDefault="00195E73">
            <w:pPr>
              <w:rPr>
                <w:rFonts w:eastAsia="Times New Roman"/>
                <w:sz w:val="20"/>
                <w:szCs w:val="20"/>
              </w:rPr>
            </w:pPr>
          </w:p>
        </w:tc>
        <w:tc>
          <w:tcPr>
            <w:tcW w:w="0" w:type="auto"/>
            <w:vAlign w:val="center"/>
            <w:hideMark/>
          </w:tcPr>
          <w:p w14:paraId="4A436095" w14:textId="77777777" w:rsidR="00000000" w:rsidRDefault="00195E73">
            <w:pPr>
              <w:rPr>
                <w:rFonts w:eastAsia="Times New Roman"/>
                <w:sz w:val="20"/>
                <w:szCs w:val="20"/>
              </w:rPr>
            </w:pPr>
          </w:p>
        </w:tc>
      </w:tr>
      <w:tr w:rsidR="00000000" w14:paraId="4664CE3D" w14:textId="77777777">
        <w:trPr>
          <w:divId w:val="181169674"/>
          <w:jc w:val="center"/>
        </w:trPr>
        <w:tc>
          <w:tcPr>
            <w:tcW w:w="0" w:type="auto"/>
            <w:gridSpan w:val="3"/>
            <w:vMerge w:val="restart"/>
            <w:tcMar>
              <w:top w:w="30" w:type="dxa"/>
              <w:left w:w="20" w:type="dxa"/>
              <w:bottom w:w="30" w:type="dxa"/>
              <w:right w:w="20" w:type="dxa"/>
            </w:tcMar>
            <w:hideMark/>
          </w:tcPr>
          <w:p w14:paraId="5B73A004" w14:textId="77777777" w:rsidR="00000000" w:rsidRDefault="00195E73">
            <w:pPr>
              <w:divId w:val="1846632418"/>
              <w:rPr>
                <w:rFonts w:eastAsia="Times New Roman"/>
              </w:rPr>
            </w:pPr>
            <w:r>
              <w:rPr>
                <w:rFonts w:eastAsia="Times New Roman"/>
                <w:color w:val="000000"/>
                <w:sz w:val="20"/>
                <w:szCs w:val="20"/>
              </w:rPr>
              <w:t>Peter Rec</w:t>
            </w:r>
            <w:r>
              <w:rPr>
                <w:rFonts w:eastAsia="Times New Roman"/>
                <w:color w:val="000000"/>
                <w:sz w:val="20"/>
                <w:szCs w:val="20"/>
              </w:rPr>
              <w:t>k</w:t>
            </w:r>
            <w:r>
              <w:rPr>
                <w:rFonts w:eastAsia="Times New Roman"/>
                <w:color w:val="000000"/>
                <w:sz w:val="13"/>
                <w:szCs w:val="13"/>
                <w:vertAlign w:val="superscript"/>
              </w:rPr>
              <w:t xml:space="preserve"> (6)</w:t>
            </w:r>
          </w:p>
          <w:p w14:paraId="7DCEA01A" w14:textId="77777777" w:rsidR="00000000" w:rsidRDefault="00195E73">
            <w:pPr>
              <w:divId w:val="410392626"/>
              <w:rPr>
                <w:rFonts w:eastAsia="Times New Roman"/>
              </w:rPr>
            </w:pPr>
            <w:r>
              <w:rPr>
                <w:rFonts w:eastAsia="Times New Roman"/>
                <w:color w:val="000000"/>
                <w:sz w:val="20"/>
                <w:szCs w:val="20"/>
              </w:rPr>
              <w:t>Chief Accounting Office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7AE0FFCD"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24C24D24" w14:textId="77777777" w:rsidR="00000000" w:rsidRDefault="00195E73">
            <w:pPr>
              <w:jc w:val="cente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14:paraId="4D1626AF"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65D6E1C9" w14:textId="77777777" w:rsidR="00000000" w:rsidRDefault="00195E73">
            <w:pPr>
              <w:jc w:val="right"/>
              <w:rPr>
                <w:rFonts w:eastAsia="Times New Roman"/>
              </w:rPr>
            </w:pPr>
            <w:r>
              <w:rPr>
                <w:rFonts w:eastAsia="Times New Roman"/>
                <w:color w:val="000000"/>
                <w:sz w:val="20"/>
                <w:szCs w:val="20"/>
              </w:rPr>
              <w:t>331,971</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7FA0D088"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576CDC8D" w14:textId="77777777" w:rsidR="00000000" w:rsidRDefault="00195E73">
            <w:pPr>
              <w:jc w:val="right"/>
              <w:rPr>
                <w:rFonts w:eastAsia="Times New Roman"/>
              </w:rPr>
            </w:pPr>
          </w:p>
        </w:tc>
        <w:tc>
          <w:tcPr>
            <w:tcW w:w="0" w:type="auto"/>
            <w:gridSpan w:val="2"/>
            <w:tcMar>
              <w:top w:w="30" w:type="dxa"/>
              <w:left w:w="20" w:type="dxa"/>
              <w:bottom w:w="30" w:type="dxa"/>
              <w:right w:w="0" w:type="dxa"/>
            </w:tcMar>
            <w:vAlign w:val="bottom"/>
            <w:hideMark/>
          </w:tcPr>
          <w:p w14:paraId="065603D7" w14:textId="77777777" w:rsidR="00000000" w:rsidRDefault="00195E73">
            <w:pPr>
              <w:jc w:val="right"/>
              <w:rPr>
                <w:rFonts w:eastAsia="Times New Roman"/>
              </w:rPr>
            </w:pPr>
            <w:r>
              <w:rPr>
                <w:rFonts w:eastAsia="Times New Roman"/>
                <w:color w:val="000000"/>
                <w:sz w:val="20"/>
                <w:szCs w:val="20"/>
              </w:rPr>
              <w:t>225,000</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2CDDF0D3" w14:textId="77777777" w:rsidR="00000000" w:rsidRDefault="00195E73">
            <w:pPr>
              <w:jc w:val="right"/>
              <w:rPr>
                <w:rFonts w:eastAsia="Times New Roman"/>
              </w:rPr>
            </w:pPr>
            <w:r>
              <w:rPr>
                <w:rFonts w:eastAsia="Times New Roman"/>
                <w:color w:val="000000"/>
                <w:sz w:val="20"/>
                <w:szCs w:val="20"/>
              </w:rPr>
              <w:t> </w:t>
            </w:r>
          </w:p>
        </w:tc>
        <w:tc>
          <w:tcPr>
            <w:tcW w:w="0" w:type="auto"/>
            <w:gridSpan w:val="2"/>
            <w:tcMar>
              <w:top w:w="30" w:type="dxa"/>
              <w:left w:w="20" w:type="dxa"/>
              <w:bottom w:w="30" w:type="dxa"/>
              <w:right w:w="0" w:type="dxa"/>
            </w:tcMar>
            <w:hideMark/>
          </w:tcPr>
          <w:p w14:paraId="596C9E73" w14:textId="77777777" w:rsidR="00000000" w:rsidRDefault="00195E73">
            <w:pPr>
              <w:jc w:val="center"/>
              <w:rPr>
                <w:rFonts w:eastAsia="Times New Roman"/>
              </w:rPr>
            </w:pPr>
            <w:r>
              <w:rPr>
                <w:rFonts w:eastAsia="Times New Roman"/>
                <w:color w:val="000000"/>
                <w:sz w:val="11"/>
                <w:szCs w:val="11"/>
              </w:rPr>
              <w:t>(8</w:t>
            </w:r>
            <w:r>
              <w:rPr>
                <w:rFonts w:eastAsia="Times New Roman"/>
                <w:color w:val="000000"/>
                <w:sz w:val="11"/>
                <w:szCs w:val="11"/>
              </w:rPr>
              <w:t>)</w:t>
            </w:r>
          </w:p>
        </w:tc>
        <w:tc>
          <w:tcPr>
            <w:tcW w:w="0" w:type="auto"/>
            <w:tcMar>
              <w:top w:w="30" w:type="dxa"/>
              <w:left w:w="15" w:type="dxa"/>
              <w:bottom w:w="30" w:type="dxa"/>
              <w:right w:w="20" w:type="dxa"/>
            </w:tcMar>
            <w:hideMark/>
          </w:tcPr>
          <w:p w14:paraId="37078CC7" w14:textId="77777777" w:rsidR="00000000" w:rsidRDefault="00195E73">
            <w:pPr>
              <w:jc w:val="right"/>
              <w:rPr>
                <w:rFonts w:eastAsia="Times New Roman"/>
              </w:rPr>
            </w:pPr>
            <w:r>
              <w:rPr>
                <w:rFonts w:eastAsia="Times New Roman"/>
                <w:color w:val="000000"/>
                <w:sz w:val="11"/>
                <w:szCs w:val="11"/>
              </w:rPr>
              <w:t> </w:t>
            </w:r>
          </w:p>
        </w:tc>
        <w:tc>
          <w:tcPr>
            <w:tcW w:w="0" w:type="auto"/>
            <w:gridSpan w:val="2"/>
            <w:vAlign w:val="center"/>
            <w:hideMark/>
          </w:tcPr>
          <w:p w14:paraId="37B07075" w14:textId="77777777" w:rsidR="00000000" w:rsidRDefault="00195E73">
            <w:pPr>
              <w:jc w:val="right"/>
              <w:rPr>
                <w:rFonts w:eastAsia="Times New Roman"/>
              </w:rPr>
            </w:pPr>
          </w:p>
        </w:tc>
        <w:tc>
          <w:tcPr>
            <w:tcW w:w="0" w:type="auto"/>
            <w:vAlign w:val="center"/>
            <w:hideMark/>
          </w:tcPr>
          <w:p w14:paraId="06D6FAE5" w14:textId="77777777" w:rsidR="00000000" w:rsidRDefault="00195E73">
            <w:pPr>
              <w:rPr>
                <w:rFonts w:eastAsia="Times New Roman"/>
                <w:sz w:val="20"/>
                <w:szCs w:val="20"/>
              </w:rPr>
            </w:pPr>
          </w:p>
        </w:tc>
        <w:tc>
          <w:tcPr>
            <w:tcW w:w="0" w:type="auto"/>
            <w:gridSpan w:val="2"/>
            <w:tcMar>
              <w:top w:w="30" w:type="dxa"/>
              <w:left w:w="20" w:type="dxa"/>
              <w:bottom w:w="30" w:type="dxa"/>
              <w:right w:w="0" w:type="dxa"/>
            </w:tcMar>
            <w:vAlign w:val="bottom"/>
            <w:hideMark/>
          </w:tcPr>
          <w:p w14:paraId="0063D420" w14:textId="77777777" w:rsidR="00000000" w:rsidRDefault="00195E73">
            <w:pPr>
              <w:jc w:val="right"/>
              <w:rPr>
                <w:rFonts w:eastAsia="Times New Roman"/>
              </w:rPr>
            </w:pPr>
            <w:r>
              <w:rPr>
                <w:rFonts w:eastAsia="Times New Roman"/>
                <w:color w:val="000000"/>
                <w:sz w:val="20"/>
                <w:szCs w:val="20"/>
              </w:rPr>
              <w:t>10,324</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10CD7431"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4EF47DB" w14:textId="77777777" w:rsidR="00000000" w:rsidRDefault="00195E73">
            <w:pPr>
              <w:jc w:val="center"/>
              <w:rPr>
                <w:rFonts w:eastAsia="Times New Roman"/>
              </w:rPr>
            </w:pPr>
            <w:r>
              <w:rPr>
                <w:rFonts w:eastAsia="Times New Roman"/>
                <w:color w:val="000000"/>
                <w:sz w:val="10"/>
                <w:szCs w:val="10"/>
                <w:vertAlign w:val="superscript"/>
              </w:rPr>
              <w:t>(3)</w:t>
            </w:r>
          </w:p>
        </w:tc>
        <w:tc>
          <w:tcPr>
            <w:tcW w:w="0" w:type="auto"/>
            <w:gridSpan w:val="3"/>
            <w:tcMar>
              <w:top w:w="15" w:type="dxa"/>
              <w:left w:w="20" w:type="dxa"/>
              <w:bottom w:w="15" w:type="dxa"/>
              <w:right w:w="20" w:type="dxa"/>
            </w:tcMar>
            <w:vAlign w:val="bottom"/>
            <w:hideMark/>
          </w:tcPr>
          <w:p w14:paraId="5AA46C6A"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70DFF1FA" w14:textId="77777777" w:rsidR="00000000" w:rsidRDefault="00195E73">
            <w:pPr>
              <w:jc w:val="right"/>
              <w:rPr>
                <w:rFonts w:eastAsia="Times New Roman"/>
              </w:rPr>
            </w:pPr>
            <w:r>
              <w:rPr>
                <w:rFonts w:eastAsia="Times New Roman"/>
                <w:color w:val="000000"/>
                <w:sz w:val="20"/>
                <w:szCs w:val="20"/>
              </w:rPr>
              <w:t>567,295</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5A52EAF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A0E171F" w14:textId="77777777" w:rsidR="00000000" w:rsidRDefault="00195E73">
            <w:pPr>
              <w:rPr>
                <w:rFonts w:eastAsia="Times New Roman"/>
                <w:sz w:val="20"/>
                <w:szCs w:val="20"/>
              </w:rPr>
            </w:pPr>
          </w:p>
        </w:tc>
        <w:tc>
          <w:tcPr>
            <w:tcW w:w="0" w:type="auto"/>
            <w:vAlign w:val="center"/>
            <w:hideMark/>
          </w:tcPr>
          <w:p w14:paraId="4999DBF9" w14:textId="77777777" w:rsidR="00000000" w:rsidRDefault="00195E73">
            <w:pPr>
              <w:rPr>
                <w:rFonts w:eastAsia="Times New Roman"/>
                <w:sz w:val="20"/>
                <w:szCs w:val="20"/>
              </w:rPr>
            </w:pPr>
          </w:p>
        </w:tc>
        <w:tc>
          <w:tcPr>
            <w:tcW w:w="0" w:type="auto"/>
            <w:vAlign w:val="center"/>
            <w:hideMark/>
          </w:tcPr>
          <w:p w14:paraId="2E98C5E3" w14:textId="77777777" w:rsidR="00000000" w:rsidRDefault="00195E73">
            <w:pPr>
              <w:rPr>
                <w:rFonts w:eastAsia="Times New Roman"/>
                <w:sz w:val="20"/>
                <w:szCs w:val="20"/>
              </w:rPr>
            </w:pPr>
          </w:p>
        </w:tc>
        <w:tc>
          <w:tcPr>
            <w:tcW w:w="0" w:type="auto"/>
            <w:vAlign w:val="center"/>
            <w:hideMark/>
          </w:tcPr>
          <w:p w14:paraId="35EC548E" w14:textId="77777777" w:rsidR="00000000" w:rsidRDefault="00195E73">
            <w:pPr>
              <w:rPr>
                <w:rFonts w:eastAsia="Times New Roman"/>
                <w:sz w:val="20"/>
                <w:szCs w:val="20"/>
              </w:rPr>
            </w:pPr>
          </w:p>
        </w:tc>
        <w:tc>
          <w:tcPr>
            <w:tcW w:w="0" w:type="auto"/>
            <w:vAlign w:val="center"/>
            <w:hideMark/>
          </w:tcPr>
          <w:p w14:paraId="4674A32D" w14:textId="77777777" w:rsidR="00000000" w:rsidRDefault="00195E73">
            <w:pPr>
              <w:rPr>
                <w:rFonts w:eastAsia="Times New Roman"/>
                <w:sz w:val="20"/>
                <w:szCs w:val="20"/>
              </w:rPr>
            </w:pPr>
          </w:p>
        </w:tc>
        <w:tc>
          <w:tcPr>
            <w:tcW w:w="0" w:type="auto"/>
            <w:vAlign w:val="center"/>
            <w:hideMark/>
          </w:tcPr>
          <w:p w14:paraId="03A4DC27" w14:textId="77777777" w:rsidR="00000000" w:rsidRDefault="00195E73">
            <w:pPr>
              <w:rPr>
                <w:rFonts w:eastAsia="Times New Roman"/>
                <w:sz w:val="20"/>
                <w:szCs w:val="20"/>
              </w:rPr>
            </w:pPr>
          </w:p>
        </w:tc>
        <w:tc>
          <w:tcPr>
            <w:tcW w:w="0" w:type="auto"/>
            <w:vAlign w:val="center"/>
            <w:hideMark/>
          </w:tcPr>
          <w:p w14:paraId="669E7FBC" w14:textId="77777777" w:rsidR="00000000" w:rsidRDefault="00195E73">
            <w:pPr>
              <w:rPr>
                <w:rFonts w:eastAsia="Times New Roman"/>
                <w:sz w:val="20"/>
                <w:szCs w:val="20"/>
              </w:rPr>
            </w:pPr>
          </w:p>
        </w:tc>
        <w:tc>
          <w:tcPr>
            <w:tcW w:w="0" w:type="auto"/>
            <w:vAlign w:val="center"/>
            <w:hideMark/>
          </w:tcPr>
          <w:p w14:paraId="699738A5" w14:textId="77777777" w:rsidR="00000000" w:rsidRDefault="00195E73">
            <w:pPr>
              <w:rPr>
                <w:rFonts w:eastAsia="Times New Roman"/>
                <w:sz w:val="20"/>
                <w:szCs w:val="20"/>
              </w:rPr>
            </w:pPr>
          </w:p>
        </w:tc>
        <w:tc>
          <w:tcPr>
            <w:tcW w:w="0" w:type="auto"/>
            <w:vAlign w:val="center"/>
            <w:hideMark/>
          </w:tcPr>
          <w:p w14:paraId="6964FA9D" w14:textId="77777777" w:rsidR="00000000" w:rsidRDefault="00195E73">
            <w:pPr>
              <w:rPr>
                <w:rFonts w:eastAsia="Times New Roman"/>
                <w:sz w:val="20"/>
                <w:szCs w:val="20"/>
              </w:rPr>
            </w:pPr>
          </w:p>
        </w:tc>
        <w:tc>
          <w:tcPr>
            <w:tcW w:w="0" w:type="auto"/>
            <w:vAlign w:val="center"/>
            <w:hideMark/>
          </w:tcPr>
          <w:p w14:paraId="61EF4FB8" w14:textId="77777777" w:rsidR="00000000" w:rsidRDefault="00195E73">
            <w:pPr>
              <w:rPr>
                <w:rFonts w:eastAsia="Times New Roman"/>
                <w:sz w:val="20"/>
                <w:szCs w:val="20"/>
              </w:rPr>
            </w:pPr>
          </w:p>
        </w:tc>
        <w:tc>
          <w:tcPr>
            <w:tcW w:w="0" w:type="auto"/>
            <w:vAlign w:val="center"/>
            <w:hideMark/>
          </w:tcPr>
          <w:p w14:paraId="34D23B42" w14:textId="77777777" w:rsidR="00000000" w:rsidRDefault="00195E73">
            <w:pPr>
              <w:rPr>
                <w:rFonts w:eastAsia="Times New Roman"/>
                <w:sz w:val="20"/>
                <w:szCs w:val="20"/>
              </w:rPr>
            </w:pPr>
          </w:p>
        </w:tc>
        <w:tc>
          <w:tcPr>
            <w:tcW w:w="0" w:type="auto"/>
            <w:vAlign w:val="center"/>
            <w:hideMark/>
          </w:tcPr>
          <w:p w14:paraId="00381EA9" w14:textId="77777777" w:rsidR="00000000" w:rsidRDefault="00195E73">
            <w:pPr>
              <w:rPr>
                <w:rFonts w:eastAsia="Times New Roman"/>
                <w:sz w:val="20"/>
                <w:szCs w:val="20"/>
              </w:rPr>
            </w:pPr>
          </w:p>
        </w:tc>
        <w:tc>
          <w:tcPr>
            <w:tcW w:w="0" w:type="auto"/>
            <w:vAlign w:val="center"/>
            <w:hideMark/>
          </w:tcPr>
          <w:p w14:paraId="03FCD80B" w14:textId="77777777" w:rsidR="00000000" w:rsidRDefault="00195E73">
            <w:pPr>
              <w:rPr>
                <w:rFonts w:eastAsia="Times New Roman"/>
                <w:sz w:val="20"/>
                <w:szCs w:val="20"/>
              </w:rPr>
            </w:pPr>
          </w:p>
        </w:tc>
        <w:tc>
          <w:tcPr>
            <w:tcW w:w="0" w:type="auto"/>
            <w:vAlign w:val="center"/>
            <w:hideMark/>
          </w:tcPr>
          <w:p w14:paraId="15F8DCA4" w14:textId="77777777" w:rsidR="00000000" w:rsidRDefault="00195E73">
            <w:pPr>
              <w:rPr>
                <w:rFonts w:eastAsia="Times New Roman"/>
                <w:sz w:val="20"/>
                <w:szCs w:val="20"/>
              </w:rPr>
            </w:pPr>
          </w:p>
        </w:tc>
        <w:tc>
          <w:tcPr>
            <w:tcW w:w="0" w:type="auto"/>
            <w:vAlign w:val="center"/>
            <w:hideMark/>
          </w:tcPr>
          <w:p w14:paraId="07353BBC" w14:textId="77777777" w:rsidR="00000000" w:rsidRDefault="00195E73">
            <w:pPr>
              <w:rPr>
                <w:rFonts w:eastAsia="Times New Roman"/>
                <w:sz w:val="20"/>
                <w:szCs w:val="20"/>
              </w:rPr>
            </w:pPr>
          </w:p>
        </w:tc>
        <w:tc>
          <w:tcPr>
            <w:tcW w:w="0" w:type="auto"/>
            <w:vAlign w:val="center"/>
            <w:hideMark/>
          </w:tcPr>
          <w:p w14:paraId="204158C7" w14:textId="77777777" w:rsidR="00000000" w:rsidRDefault="00195E73">
            <w:pPr>
              <w:rPr>
                <w:rFonts w:eastAsia="Times New Roman"/>
                <w:sz w:val="20"/>
                <w:szCs w:val="20"/>
              </w:rPr>
            </w:pPr>
          </w:p>
        </w:tc>
        <w:tc>
          <w:tcPr>
            <w:tcW w:w="0" w:type="auto"/>
            <w:vAlign w:val="center"/>
            <w:hideMark/>
          </w:tcPr>
          <w:p w14:paraId="05F79257" w14:textId="77777777" w:rsidR="00000000" w:rsidRDefault="00195E73">
            <w:pPr>
              <w:rPr>
                <w:rFonts w:eastAsia="Times New Roman"/>
                <w:sz w:val="20"/>
                <w:szCs w:val="20"/>
              </w:rPr>
            </w:pPr>
          </w:p>
        </w:tc>
        <w:tc>
          <w:tcPr>
            <w:tcW w:w="0" w:type="auto"/>
            <w:vAlign w:val="center"/>
            <w:hideMark/>
          </w:tcPr>
          <w:p w14:paraId="05B5CCBE" w14:textId="77777777" w:rsidR="00000000" w:rsidRDefault="00195E73">
            <w:pPr>
              <w:rPr>
                <w:rFonts w:eastAsia="Times New Roman"/>
                <w:sz w:val="20"/>
                <w:szCs w:val="20"/>
              </w:rPr>
            </w:pPr>
          </w:p>
        </w:tc>
        <w:tc>
          <w:tcPr>
            <w:tcW w:w="0" w:type="auto"/>
            <w:vAlign w:val="center"/>
            <w:hideMark/>
          </w:tcPr>
          <w:p w14:paraId="2A7C488A" w14:textId="77777777" w:rsidR="00000000" w:rsidRDefault="00195E73">
            <w:pPr>
              <w:rPr>
                <w:rFonts w:eastAsia="Times New Roman"/>
                <w:sz w:val="20"/>
                <w:szCs w:val="20"/>
              </w:rPr>
            </w:pPr>
          </w:p>
        </w:tc>
        <w:tc>
          <w:tcPr>
            <w:tcW w:w="0" w:type="auto"/>
            <w:vAlign w:val="center"/>
            <w:hideMark/>
          </w:tcPr>
          <w:p w14:paraId="7CF7981B" w14:textId="77777777" w:rsidR="00000000" w:rsidRDefault="00195E73">
            <w:pPr>
              <w:rPr>
                <w:rFonts w:eastAsia="Times New Roman"/>
                <w:sz w:val="20"/>
                <w:szCs w:val="20"/>
              </w:rPr>
            </w:pPr>
          </w:p>
        </w:tc>
        <w:tc>
          <w:tcPr>
            <w:tcW w:w="0" w:type="auto"/>
            <w:vAlign w:val="center"/>
            <w:hideMark/>
          </w:tcPr>
          <w:p w14:paraId="41932E52" w14:textId="77777777" w:rsidR="00000000" w:rsidRDefault="00195E73">
            <w:pPr>
              <w:rPr>
                <w:rFonts w:eastAsia="Times New Roman"/>
                <w:sz w:val="20"/>
                <w:szCs w:val="20"/>
              </w:rPr>
            </w:pPr>
          </w:p>
        </w:tc>
      </w:tr>
      <w:tr w:rsidR="00000000" w14:paraId="6C0A1D87" w14:textId="77777777">
        <w:trPr>
          <w:divId w:val="181169674"/>
          <w:jc w:val="center"/>
        </w:trPr>
        <w:tc>
          <w:tcPr>
            <w:tcW w:w="0" w:type="auto"/>
            <w:gridSpan w:val="3"/>
            <w:vMerge/>
            <w:vAlign w:val="center"/>
            <w:hideMark/>
          </w:tcPr>
          <w:p w14:paraId="2448DAD2" w14:textId="77777777" w:rsidR="00000000" w:rsidRDefault="00195E73">
            <w:pPr>
              <w:rPr>
                <w:rFonts w:eastAsia="Times New Roman"/>
              </w:rPr>
            </w:pPr>
          </w:p>
        </w:tc>
        <w:tc>
          <w:tcPr>
            <w:tcW w:w="0" w:type="auto"/>
            <w:gridSpan w:val="3"/>
            <w:vAlign w:val="center"/>
            <w:hideMark/>
          </w:tcPr>
          <w:p w14:paraId="19FF69E8" w14:textId="77777777" w:rsidR="00000000" w:rsidRDefault="00195E73">
            <w:pPr>
              <w:jc w:val="right"/>
              <w:rPr>
                <w:rFonts w:eastAsia="Times New Roman"/>
              </w:rPr>
            </w:pPr>
          </w:p>
        </w:tc>
        <w:tc>
          <w:tcPr>
            <w:tcW w:w="0" w:type="auto"/>
            <w:gridSpan w:val="3"/>
            <w:tcMar>
              <w:top w:w="15" w:type="dxa"/>
              <w:left w:w="20" w:type="dxa"/>
              <w:bottom w:w="15" w:type="dxa"/>
              <w:right w:w="20" w:type="dxa"/>
            </w:tcMar>
            <w:vAlign w:val="bottom"/>
            <w:hideMark/>
          </w:tcPr>
          <w:p w14:paraId="768EA4EC"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5959E20D" w14:textId="77777777" w:rsidR="00000000" w:rsidRDefault="00195E73">
            <w:pPr>
              <w:jc w:val="center"/>
              <w:rPr>
                <w:rFonts w:eastAsia="Times New Roman"/>
              </w:rPr>
            </w:pPr>
            <w:r>
              <w:rPr>
                <w:rFonts w:eastAsia="Times New Roman"/>
                <w:color w:val="000000"/>
                <w:sz w:val="20"/>
                <w:szCs w:val="20"/>
              </w:rPr>
              <w:t>201</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14:paraId="6841F159"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44D4E15D" w14:textId="77777777" w:rsidR="00000000" w:rsidRDefault="00195E73">
            <w:pPr>
              <w:jc w:val="right"/>
              <w:rPr>
                <w:rFonts w:eastAsia="Times New Roman"/>
              </w:rPr>
            </w:pPr>
            <w:r>
              <w:rPr>
                <w:rFonts w:eastAsia="Times New Roman"/>
                <w:color w:val="000000"/>
                <w:sz w:val="20"/>
                <w:szCs w:val="20"/>
              </w:rPr>
              <w:t>321,932</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35D67431"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7F34599C" w14:textId="77777777" w:rsidR="00000000" w:rsidRDefault="00195E73">
            <w:pPr>
              <w:jc w:val="right"/>
              <w:rPr>
                <w:rFonts w:eastAsia="Times New Roman"/>
              </w:rPr>
            </w:pPr>
          </w:p>
        </w:tc>
        <w:tc>
          <w:tcPr>
            <w:tcW w:w="0" w:type="auto"/>
            <w:gridSpan w:val="2"/>
            <w:tcMar>
              <w:top w:w="30" w:type="dxa"/>
              <w:left w:w="20" w:type="dxa"/>
              <w:bottom w:w="30" w:type="dxa"/>
              <w:right w:w="0" w:type="dxa"/>
            </w:tcMar>
            <w:vAlign w:val="bottom"/>
            <w:hideMark/>
          </w:tcPr>
          <w:p w14:paraId="165E9F66" w14:textId="77777777" w:rsidR="00000000" w:rsidRDefault="00195E73">
            <w:pPr>
              <w:jc w:val="right"/>
              <w:rPr>
                <w:rFonts w:eastAsia="Times New Roman"/>
              </w:rPr>
            </w:pPr>
            <w:r>
              <w:rPr>
                <w:rFonts w:eastAsia="Times New Roman"/>
                <w:color w:val="000000"/>
                <w:sz w:val="20"/>
                <w:szCs w:val="20"/>
              </w:rPr>
              <w:t>225,000</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4715CAEB" w14:textId="77777777" w:rsidR="00000000" w:rsidRDefault="00195E73">
            <w:pPr>
              <w:jc w:val="right"/>
              <w:rPr>
                <w:rFonts w:eastAsia="Times New Roman"/>
              </w:rPr>
            </w:pPr>
            <w:r>
              <w:rPr>
                <w:rFonts w:eastAsia="Times New Roman"/>
                <w:color w:val="000000"/>
                <w:sz w:val="20"/>
                <w:szCs w:val="20"/>
              </w:rPr>
              <w:t> </w:t>
            </w:r>
          </w:p>
        </w:tc>
        <w:tc>
          <w:tcPr>
            <w:tcW w:w="0" w:type="auto"/>
            <w:gridSpan w:val="2"/>
            <w:tcMar>
              <w:top w:w="15" w:type="dxa"/>
              <w:left w:w="20" w:type="dxa"/>
              <w:bottom w:w="15" w:type="dxa"/>
              <w:right w:w="20" w:type="dxa"/>
            </w:tcMar>
            <w:vAlign w:val="bottom"/>
            <w:hideMark/>
          </w:tcPr>
          <w:p w14:paraId="2A16826C" w14:textId="77777777" w:rsidR="00000000" w:rsidRDefault="00195E73">
            <w:pPr>
              <w:jc w:val="right"/>
              <w:rPr>
                <w:rFonts w:eastAsia="Times New Roman"/>
              </w:rPr>
            </w:pPr>
          </w:p>
        </w:tc>
        <w:tc>
          <w:tcPr>
            <w:tcW w:w="0" w:type="auto"/>
            <w:vAlign w:val="center"/>
            <w:hideMark/>
          </w:tcPr>
          <w:p w14:paraId="3C963609" w14:textId="77777777" w:rsidR="00000000" w:rsidRDefault="00195E73">
            <w:pPr>
              <w:rPr>
                <w:rFonts w:eastAsia="Times New Roman"/>
                <w:sz w:val="20"/>
                <w:szCs w:val="20"/>
              </w:rPr>
            </w:pPr>
          </w:p>
        </w:tc>
        <w:tc>
          <w:tcPr>
            <w:tcW w:w="0" w:type="auto"/>
            <w:gridSpan w:val="3"/>
            <w:vAlign w:val="center"/>
            <w:hideMark/>
          </w:tcPr>
          <w:p w14:paraId="69A3D813" w14:textId="77777777" w:rsidR="00000000" w:rsidRDefault="00195E73">
            <w:pPr>
              <w:rPr>
                <w:rFonts w:eastAsia="Times New Roman"/>
                <w:sz w:val="20"/>
                <w:szCs w:val="20"/>
              </w:rPr>
            </w:pPr>
          </w:p>
        </w:tc>
        <w:tc>
          <w:tcPr>
            <w:tcW w:w="0" w:type="auto"/>
            <w:gridSpan w:val="2"/>
            <w:tcMar>
              <w:top w:w="30" w:type="dxa"/>
              <w:left w:w="20" w:type="dxa"/>
              <w:bottom w:w="30" w:type="dxa"/>
              <w:right w:w="0" w:type="dxa"/>
            </w:tcMar>
            <w:vAlign w:val="bottom"/>
            <w:hideMark/>
          </w:tcPr>
          <w:p w14:paraId="4DA544D1" w14:textId="77777777" w:rsidR="00000000" w:rsidRDefault="00195E73">
            <w:pPr>
              <w:jc w:val="right"/>
              <w:rPr>
                <w:rFonts w:eastAsia="Times New Roman"/>
              </w:rPr>
            </w:pPr>
            <w:r>
              <w:rPr>
                <w:rFonts w:eastAsia="Times New Roman"/>
                <w:color w:val="000000"/>
                <w:sz w:val="20"/>
                <w:szCs w:val="20"/>
              </w:rPr>
              <w:t>10,152</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584DDFB0"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E8B5401" w14:textId="77777777" w:rsidR="00000000" w:rsidRDefault="00195E73">
            <w:pPr>
              <w:jc w:val="center"/>
              <w:rPr>
                <w:rFonts w:eastAsia="Times New Roman"/>
              </w:rPr>
            </w:pPr>
            <w:r>
              <w:rPr>
                <w:rFonts w:eastAsia="Times New Roman"/>
                <w:color w:val="000000"/>
                <w:sz w:val="10"/>
                <w:szCs w:val="10"/>
                <w:vertAlign w:val="superscript"/>
              </w:rPr>
              <w:t>(3)</w:t>
            </w:r>
          </w:p>
        </w:tc>
        <w:tc>
          <w:tcPr>
            <w:tcW w:w="0" w:type="auto"/>
            <w:gridSpan w:val="3"/>
            <w:tcMar>
              <w:top w:w="15" w:type="dxa"/>
              <w:left w:w="20" w:type="dxa"/>
              <w:bottom w:w="15" w:type="dxa"/>
              <w:right w:w="20" w:type="dxa"/>
            </w:tcMar>
            <w:vAlign w:val="bottom"/>
            <w:hideMark/>
          </w:tcPr>
          <w:p w14:paraId="022287E1"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01C36A3B" w14:textId="77777777" w:rsidR="00000000" w:rsidRDefault="00195E73">
            <w:pPr>
              <w:jc w:val="right"/>
              <w:rPr>
                <w:rFonts w:eastAsia="Times New Roman"/>
              </w:rPr>
            </w:pPr>
            <w:r>
              <w:rPr>
                <w:rFonts w:eastAsia="Times New Roman"/>
                <w:color w:val="000000"/>
                <w:sz w:val="20"/>
                <w:szCs w:val="20"/>
              </w:rPr>
              <w:t>557,084</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40CF025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099E18C" w14:textId="77777777" w:rsidR="00000000" w:rsidRDefault="00195E73">
            <w:pPr>
              <w:rPr>
                <w:rFonts w:eastAsia="Times New Roman"/>
                <w:sz w:val="20"/>
                <w:szCs w:val="20"/>
              </w:rPr>
            </w:pPr>
          </w:p>
        </w:tc>
        <w:tc>
          <w:tcPr>
            <w:tcW w:w="0" w:type="auto"/>
            <w:vAlign w:val="center"/>
            <w:hideMark/>
          </w:tcPr>
          <w:p w14:paraId="0A6EAC87" w14:textId="77777777" w:rsidR="00000000" w:rsidRDefault="00195E73">
            <w:pPr>
              <w:rPr>
                <w:rFonts w:eastAsia="Times New Roman"/>
                <w:sz w:val="20"/>
                <w:szCs w:val="20"/>
              </w:rPr>
            </w:pPr>
          </w:p>
        </w:tc>
        <w:tc>
          <w:tcPr>
            <w:tcW w:w="0" w:type="auto"/>
            <w:vAlign w:val="center"/>
            <w:hideMark/>
          </w:tcPr>
          <w:p w14:paraId="52DD6366" w14:textId="77777777" w:rsidR="00000000" w:rsidRDefault="00195E73">
            <w:pPr>
              <w:rPr>
                <w:rFonts w:eastAsia="Times New Roman"/>
                <w:sz w:val="20"/>
                <w:szCs w:val="20"/>
              </w:rPr>
            </w:pPr>
          </w:p>
        </w:tc>
        <w:tc>
          <w:tcPr>
            <w:tcW w:w="0" w:type="auto"/>
            <w:vAlign w:val="center"/>
            <w:hideMark/>
          </w:tcPr>
          <w:p w14:paraId="123B2E47" w14:textId="77777777" w:rsidR="00000000" w:rsidRDefault="00195E73">
            <w:pPr>
              <w:rPr>
                <w:rFonts w:eastAsia="Times New Roman"/>
                <w:sz w:val="20"/>
                <w:szCs w:val="20"/>
              </w:rPr>
            </w:pPr>
          </w:p>
        </w:tc>
        <w:tc>
          <w:tcPr>
            <w:tcW w:w="0" w:type="auto"/>
            <w:vAlign w:val="center"/>
            <w:hideMark/>
          </w:tcPr>
          <w:p w14:paraId="036B14B1" w14:textId="77777777" w:rsidR="00000000" w:rsidRDefault="00195E73">
            <w:pPr>
              <w:rPr>
                <w:rFonts w:eastAsia="Times New Roman"/>
                <w:sz w:val="20"/>
                <w:szCs w:val="20"/>
              </w:rPr>
            </w:pPr>
          </w:p>
        </w:tc>
        <w:tc>
          <w:tcPr>
            <w:tcW w:w="0" w:type="auto"/>
            <w:vAlign w:val="center"/>
            <w:hideMark/>
          </w:tcPr>
          <w:p w14:paraId="3E0574EF" w14:textId="77777777" w:rsidR="00000000" w:rsidRDefault="00195E73">
            <w:pPr>
              <w:rPr>
                <w:rFonts w:eastAsia="Times New Roman"/>
                <w:sz w:val="20"/>
                <w:szCs w:val="20"/>
              </w:rPr>
            </w:pPr>
          </w:p>
        </w:tc>
        <w:tc>
          <w:tcPr>
            <w:tcW w:w="0" w:type="auto"/>
            <w:vAlign w:val="center"/>
            <w:hideMark/>
          </w:tcPr>
          <w:p w14:paraId="7263DC39" w14:textId="77777777" w:rsidR="00000000" w:rsidRDefault="00195E73">
            <w:pPr>
              <w:rPr>
                <w:rFonts w:eastAsia="Times New Roman"/>
                <w:sz w:val="20"/>
                <w:szCs w:val="20"/>
              </w:rPr>
            </w:pPr>
          </w:p>
        </w:tc>
        <w:tc>
          <w:tcPr>
            <w:tcW w:w="0" w:type="auto"/>
            <w:vAlign w:val="center"/>
            <w:hideMark/>
          </w:tcPr>
          <w:p w14:paraId="7C046A05" w14:textId="77777777" w:rsidR="00000000" w:rsidRDefault="00195E73">
            <w:pPr>
              <w:rPr>
                <w:rFonts w:eastAsia="Times New Roman"/>
                <w:sz w:val="20"/>
                <w:szCs w:val="20"/>
              </w:rPr>
            </w:pPr>
          </w:p>
        </w:tc>
        <w:tc>
          <w:tcPr>
            <w:tcW w:w="0" w:type="auto"/>
            <w:vAlign w:val="center"/>
            <w:hideMark/>
          </w:tcPr>
          <w:p w14:paraId="506430A2" w14:textId="77777777" w:rsidR="00000000" w:rsidRDefault="00195E73">
            <w:pPr>
              <w:rPr>
                <w:rFonts w:eastAsia="Times New Roman"/>
                <w:sz w:val="20"/>
                <w:szCs w:val="20"/>
              </w:rPr>
            </w:pPr>
          </w:p>
        </w:tc>
        <w:tc>
          <w:tcPr>
            <w:tcW w:w="0" w:type="auto"/>
            <w:vAlign w:val="center"/>
            <w:hideMark/>
          </w:tcPr>
          <w:p w14:paraId="2EAAA991" w14:textId="77777777" w:rsidR="00000000" w:rsidRDefault="00195E73">
            <w:pPr>
              <w:rPr>
                <w:rFonts w:eastAsia="Times New Roman"/>
                <w:sz w:val="20"/>
                <w:szCs w:val="20"/>
              </w:rPr>
            </w:pPr>
          </w:p>
        </w:tc>
        <w:tc>
          <w:tcPr>
            <w:tcW w:w="0" w:type="auto"/>
            <w:vAlign w:val="center"/>
            <w:hideMark/>
          </w:tcPr>
          <w:p w14:paraId="6437FD09" w14:textId="77777777" w:rsidR="00000000" w:rsidRDefault="00195E73">
            <w:pPr>
              <w:rPr>
                <w:rFonts w:eastAsia="Times New Roman"/>
                <w:sz w:val="20"/>
                <w:szCs w:val="20"/>
              </w:rPr>
            </w:pPr>
          </w:p>
        </w:tc>
        <w:tc>
          <w:tcPr>
            <w:tcW w:w="0" w:type="auto"/>
            <w:vAlign w:val="center"/>
            <w:hideMark/>
          </w:tcPr>
          <w:p w14:paraId="52F3288C" w14:textId="77777777" w:rsidR="00000000" w:rsidRDefault="00195E73">
            <w:pPr>
              <w:rPr>
                <w:rFonts w:eastAsia="Times New Roman"/>
                <w:sz w:val="20"/>
                <w:szCs w:val="20"/>
              </w:rPr>
            </w:pPr>
          </w:p>
        </w:tc>
        <w:tc>
          <w:tcPr>
            <w:tcW w:w="0" w:type="auto"/>
            <w:vAlign w:val="center"/>
            <w:hideMark/>
          </w:tcPr>
          <w:p w14:paraId="55675A60" w14:textId="77777777" w:rsidR="00000000" w:rsidRDefault="00195E73">
            <w:pPr>
              <w:rPr>
                <w:rFonts w:eastAsia="Times New Roman"/>
                <w:sz w:val="20"/>
                <w:szCs w:val="20"/>
              </w:rPr>
            </w:pPr>
          </w:p>
        </w:tc>
        <w:tc>
          <w:tcPr>
            <w:tcW w:w="0" w:type="auto"/>
            <w:vAlign w:val="center"/>
            <w:hideMark/>
          </w:tcPr>
          <w:p w14:paraId="7902F4B5" w14:textId="77777777" w:rsidR="00000000" w:rsidRDefault="00195E73">
            <w:pPr>
              <w:rPr>
                <w:rFonts w:eastAsia="Times New Roman"/>
                <w:sz w:val="20"/>
                <w:szCs w:val="20"/>
              </w:rPr>
            </w:pPr>
          </w:p>
        </w:tc>
        <w:tc>
          <w:tcPr>
            <w:tcW w:w="0" w:type="auto"/>
            <w:vAlign w:val="center"/>
            <w:hideMark/>
          </w:tcPr>
          <w:p w14:paraId="0172A9CF" w14:textId="77777777" w:rsidR="00000000" w:rsidRDefault="00195E73">
            <w:pPr>
              <w:rPr>
                <w:rFonts w:eastAsia="Times New Roman"/>
                <w:sz w:val="20"/>
                <w:szCs w:val="20"/>
              </w:rPr>
            </w:pPr>
          </w:p>
        </w:tc>
        <w:tc>
          <w:tcPr>
            <w:tcW w:w="0" w:type="auto"/>
            <w:vAlign w:val="center"/>
            <w:hideMark/>
          </w:tcPr>
          <w:p w14:paraId="26E92CF6" w14:textId="77777777" w:rsidR="00000000" w:rsidRDefault="00195E73">
            <w:pPr>
              <w:rPr>
                <w:rFonts w:eastAsia="Times New Roman"/>
                <w:sz w:val="20"/>
                <w:szCs w:val="20"/>
              </w:rPr>
            </w:pPr>
          </w:p>
        </w:tc>
        <w:tc>
          <w:tcPr>
            <w:tcW w:w="0" w:type="auto"/>
            <w:vAlign w:val="center"/>
            <w:hideMark/>
          </w:tcPr>
          <w:p w14:paraId="5A6EAD23" w14:textId="77777777" w:rsidR="00000000" w:rsidRDefault="00195E73">
            <w:pPr>
              <w:rPr>
                <w:rFonts w:eastAsia="Times New Roman"/>
                <w:sz w:val="20"/>
                <w:szCs w:val="20"/>
              </w:rPr>
            </w:pPr>
          </w:p>
        </w:tc>
        <w:tc>
          <w:tcPr>
            <w:tcW w:w="0" w:type="auto"/>
            <w:vAlign w:val="center"/>
            <w:hideMark/>
          </w:tcPr>
          <w:p w14:paraId="62F4FFE7" w14:textId="77777777" w:rsidR="00000000" w:rsidRDefault="00195E73">
            <w:pPr>
              <w:rPr>
                <w:rFonts w:eastAsia="Times New Roman"/>
                <w:sz w:val="20"/>
                <w:szCs w:val="20"/>
              </w:rPr>
            </w:pPr>
          </w:p>
        </w:tc>
      </w:tr>
      <w:tr w:rsidR="00000000" w14:paraId="2696E103" w14:textId="77777777">
        <w:trPr>
          <w:divId w:val="181169674"/>
          <w:jc w:val="center"/>
        </w:trPr>
        <w:tc>
          <w:tcPr>
            <w:tcW w:w="0" w:type="auto"/>
            <w:gridSpan w:val="3"/>
            <w:tcMar>
              <w:top w:w="15" w:type="dxa"/>
              <w:left w:w="20" w:type="dxa"/>
              <w:bottom w:w="15" w:type="dxa"/>
              <w:right w:w="20" w:type="dxa"/>
            </w:tcMar>
            <w:vAlign w:val="bottom"/>
            <w:hideMark/>
          </w:tcPr>
          <w:p w14:paraId="5B1BB15D" w14:textId="77777777" w:rsidR="00000000" w:rsidRDefault="00195E73">
            <w:pPr>
              <w:jc w:val="right"/>
              <w:rPr>
                <w:rFonts w:eastAsia="Times New Roman"/>
              </w:rPr>
            </w:pPr>
          </w:p>
        </w:tc>
        <w:tc>
          <w:tcPr>
            <w:tcW w:w="0" w:type="auto"/>
            <w:gridSpan w:val="3"/>
            <w:tcMar>
              <w:top w:w="15" w:type="dxa"/>
              <w:left w:w="20" w:type="dxa"/>
              <w:bottom w:w="15" w:type="dxa"/>
              <w:right w:w="20" w:type="dxa"/>
            </w:tcMar>
            <w:vAlign w:val="bottom"/>
            <w:hideMark/>
          </w:tcPr>
          <w:p w14:paraId="50701739"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7737C8C2" w14:textId="77777777" w:rsidR="00000000" w:rsidRDefault="00195E73">
            <w:pPr>
              <w:jc w:val="center"/>
              <w:rPr>
                <w:rFonts w:eastAsia="Times New Roman"/>
              </w:rPr>
            </w:pPr>
            <w:r>
              <w:rPr>
                <w:rFonts w:eastAsia="Times New Roman"/>
                <w:color w:val="000000"/>
                <w:sz w:val="20"/>
                <w:szCs w:val="20"/>
              </w:rPr>
              <w:t>201</w:t>
            </w:r>
            <w:r>
              <w:rPr>
                <w:rFonts w:eastAsia="Times New Roman"/>
                <w:color w:val="000000"/>
                <w:sz w:val="20"/>
                <w:szCs w:val="20"/>
              </w:rPr>
              <w:t>7</w:t>
            </w:r>
          </w:p>
        </w:tc>
        <w:tc>
          <w:tcPr>
            <w:tcW w:w="0" w:type="auto"/>
            <w:gridSpan w:val="3"/>
            <w:tcMar>
              <w:top w:w="15" w:type="dxa"/>
              <w:left w:w="20" w:type="dxa"/>
              <w:bottom w:w="15" w:type="dxa"/>
              <w:right w:w="20" w:type="dxa"/>
            </w:tcMar>
            <w:vAlign w:val="bottom"/>
            <w:hideMark/>
          </w:tcPr>
          <w:p w14:paraId="321DBFA0"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3A4D2E6C" w14:textId="77777777" w:rsidR="00000000" w:rsidRDefault="00195E73">
            <w:pPr>
              <w:jc w:val="right"/>
              <w:rPr>
                <w:rFonts w:eastAsia="Times New Roman"/>
              </w:rPr>
            </w:pPr>
            <w:r>
              <w:rPr>
                <w:rFonts w:eastAsia="Times New Roman"/>
                <w:color w:val="000000"/>
                <w:sz w:val="20"/>
                <w:szCs w:val="20"/>
              </w:rPr>
              <w:t>316,395</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3DFAC225"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57F6E845" w14:textId="77777777" w:rsidR="00000000" w:rsidRDefault="00195E73">
            <w:pPr>
              <w:jc w:val="right"/>
              <w:rPr>
                <w:rFonts w:eastAsia="Times New Roman"/>
              </w:rPr>
            </w:pPr>
          </w:p>
        </w:tc>
        <w:tc>
          <w:tcPr>
            <w:tcW w:w="0" w:type="auto"/>
            <w:gridSpan w:val="2"/>
            <w:tcMar>
              <w:top w:w="30" w:type="dxa"/>
              <w:left w:w="20" w:type="dxa"/>
              <w:bottom w:w="30" w:type="dxa"/>
              <w:right w:w="0" w:type="dxa"/>
            </w:tcMar>
            <w:vAlign w:val="bottom"/>
            <w:hideMark/>
          </w:tcPr>
          <w:p w14:paraId="36398F4F" w14:textId="77777777" w:rsidR="00000000" w:rsidRDefault="00195E73">
            <w:pPr>
              <w:jc w:val="right"/>
              <w:rPr>
                <w:rFonts w:eastAsia="Times New Roman"/>
              </w:rPr>
            </w:pPr>
            <w:r>
              <w:rPr>
                <w:rFonts w:eastAsia="Times New Roman"/>
                <w:color w:val="000000"/>
                <w:sz w:val="20"/>
                <w:szCs w:val="20"/>
              </w:rPr>
              <w:t>215,000</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593BA749"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608D7056" w14:textId="77777777" w:rsidR="00000000" w:rsidRDefault="00195E73">
            <w:pPr>
              <w:jc w:val="right"/>
              <w:rPr>
                <w:rFonts w:eastAsia="Times New Roman"/>
              </w:rPr>
            </w:pPr>
          </w:p>
        </w:tc>
        <w:tc>
          <w:tcPr>
            <w:tcW w:w="0" w:type="auto"/>
            <w:gridSpan w:val="2"/>
            <w:vAlign w:val="center"/>
            <w:hideMark/>
          </w:tcPr>
          <w:p w14:paraId="2D1B84C3" w14:textId="77777777" w:rsidR="00000000" w:rsidRDefault="00195E73">
            <w:pPr>
              <w:rPr>
                <w:rFonts w:eastAsia="Times New Roman"/>
                <w:sz w:val="20"/>
                <w:szCs w:val="20"/>
              </w:rPr>
            </w:pPr>
          </w:p>
        </w:tc>
        <w:tc>
          <w:tcPr>
            <w:tcW w:w="0" w:type="auto"/>
            <w:vAlign w:val="center"/>
            <w:hideMark/>
          </w:tcPr>
          <w:p w14:paraId="13C0E770" w14:textId="77777777" w:rsidR="00000000" w:rsidRDefault="00195E73">
            <w:pPr>
              <w:rPr>
                <w:rFonts w:eastAsia="Times New Roman"/>
                <w:sz w:val="20"/>
                <w:szCs w:val="20"/>
              </w:rPr>
            </w:pPr>
          </w:p>
        </w:tc>
        <w:tc>
          <w:tcPr>
            <w:tcW w:w="0" w:type="auto"/>
            <w:gridSpan w:val="2"/>
            <w:tcMar>
              <w:top w:w="30" w:type="dxa"/>
              <w:left w:w="20" w:type="dxa"/>
              <w:bottom w:w="30" w:type="dxa"/>
              <w:right w:w="0" w:type="dxa"/>
            </w:tcMar>
            <w:vAlign w:val="bottom"/>
            <w:hideMark/>
          </w:tcPr>
          <w:p w14:paraId="6A7B68CF" w14:textId="77777777" w:rsidR="00000000" w:rsidRDefault="00195E73">
            <w:pPr>
              <w:jc w:val="right"/>
              <w:rPr>
                <w:rFonts w:eastAsia="Times New Roman"/>
              </w:rPr>
            </w:pPr>
            <w:r>
              <w:rPr>
                <w:rFonts w:eastAsia="Times New Roman"/>
                <w:color w:val="000000"/>
                <w:sz w:val="20"/>
                <w:szCs w:val="20"/>
              </w:rPr>
              <w:t>9,742</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1B70C516"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045A872" w14:textId="77777777" w:rsidR="00000000" w:rsidRDefault="00195E73">
            <w:pPr>
              <w:jc w:val="center"/>
              <w:rPr>
                <w:rFonts w:eastAsia="Times New Roman"/>
              </w:rPr>
            </w:pPr>
            <w:r>
              <w:rPr>
                <w:rFonts w:eastAsia="Times New Roman"/>
                <w:color w:val="000000"/>
                <w:sz w:val="10"/>
                <w:szCs w:val="10"/>
                <w:vertAlign w:val="superscript"/>
              </w:rPr>
              <w:t>(3)</w:t>
            </w:r>
          </w:p>
        </w:tc>
        <w:tc>
          <w:tcPr>
            <w:tcW w:w="0" w:type="auto"/>
            <w:gridSpan w:val="3"/>
            <w:tcMar>
              <w:top w:w="15" w:type="dxa"/>
              <w:left w:w="20" w:type="dxa"/>
              <w:bottom w:w="15" w:type="dxa"/>
              <w:right w:w="20" w:type="dxa"/>
            </w:tcMar>
            <w:vAlign w:val="bottom"/>
            <w:hideMark/>
          </w:tcPr>
          <w:p w14:paraId="1B5BF3E2" w14:textId="77777777" w:rsidR="00000000" w:rsidRDefault="00195E73">
            <w:pPr>
              <w:jc w:val="center"/>
              <w:rPr>
                <w:rFonts w:eastAsia="Times New Roman"/>
              </w:rPr>
            </w:pPr>
          </w:p>
        </w:tc>
        <w:tc>
          <w:tcPr>
            <w:tcW w:w="0" w:type="auto"/>
            <w:gridSpan w:val="2"/>
            <w:tcMar>
              <w:top w:w="30" w:type="dxa"/>
              <w:left w:w="20" w:type="dxa"/>
              <w:bottom w:w="30" w:type="dxa"/>
              <w:right w:w="0" w:type="dxa"/>
            </w:tcMar>
            <w:vAlign w:val="bottom"/>
            <w:hideMark/>
          </w:tcPr>
          <w:p w14:paraId="31A7F01B" w14:textId="77777777" w:rsidR="00000000" w:rsidRDefault="00195E73">
            <w:pPr>
              <w:jc w:val="right"/>
              <w:rPr>
                <w:rFonts w:eastAsia="Times New Roman"/>
              </w:rPr>
            </w:pPr>
            <w:r>
              <w:rPr>
                <w:rFonts w:eastAsia="Times New Roman"/>
                <w:color w:val="000000"/>
                <w:sz w:val="20"/>
                <w:szCs w:val="20"/>
              </w:rPr>
              <w:t>541,137</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12B30ED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A4CBEBE" w14:textId="77777777" w:rsidR="00000000" w:rsidRDefault="00195E73">
            <w:pPr>
              <w:rPr>
                <w:rFonts w:eastAsia="Times New Roman"/>
                <w:sz w:val="20"/>
                <w:szCs w:val="20"/>
              </w:rPr>
            </w:pPr>
          </w:p>
        </w:tc>
        <w:tc>
          <w:tcPr>
            <w:tcW w:w="0" w:type="auto"/>
            <w:vAlign w:val="center"/>
            <w:hideMark/>
          </w:tcPr>
          <w:p w14:paraId="6D3E7628" w14:textId="77777777" w:rsidR="00000000" w:rsidRDefault="00195E73">
            <w:pPr>
              <w:rPr>
                <w:rFonts w:eastAsia="Times New Roman"/>
                <w:sz w:val="20"/>
                <w:szCs w:val="20"/>
              </w:rPr>
            </w:pPr>
          </w:p>
        </w:tc>
        <w:tc>
          <w:tcPr>
            <w:tcW w:w="0" w:type="auto"/>
            <w:vAlign w:val="center"/>
            <w:hideMark/>
          </w:tcPr>
          <w:p w14:paraId="1047D58B" w14:textId="77777777" w:rsidR="00000000" w:rsidRDefault="00195E73">
            <w:pPr>
              <w:rPr>
                <w:rFonts w:eastAsia="Times New Roman"/>
                <w:sz w:val="20"/>
                <w:szCs w:val="20"/>
              </w:rPr>
            </w:pPr>
          </w:p>
        </w:tc>
        <w:tc>
          <w:tcPr>
            <w:tcW w:w="0" w:type="auto"/>
            <w:vAlign w:val="center"/>
            <w:hideMark/>
          </w:tcPr>
          <w:p w14:paraId="2ED7F676" w14:textId="77777777" w:rsidR="00000000" w:rsidRDefault="00195E73">
            <w:pPr>
              <w:rPr>
                <w:rFonts w:eastAsia="Times New Roman"/>
                <w:sz w:val="20"/>
                <w:szCs w:val="20"/>
              </w:rPr>
            </w:pPr>
          </w:p>
        </w:tc>
        <w:tc>
          <w:tcPr>
            <w:tcW w:w="0" w:type="auto"/>
            <w:vAlign w:val="center"/>
            <w:hideMark/>
          </w:tcPr>
          <w:p w14:paraId="2E16D2DA" w14:textId="77777777" w:rsidR="00000000" w:rsidRDefault="00195E73">
            <w:pPr>
              <w:rPr>
                <w:rFonts w:eastAsia="Times New Roman"/>
                <w:sz w:val="20"/>
                <w:szCs w:val="20"/>
              </w:rPr>
            </w:pPr>
          </w:p>
        </w:tc>
        <w:tc>
          <w:tcPr>
            <w:tcW w:w="0" w:type="auto"/>
            <w:vAlign w:val="center"/>
            <w:hideMark/>
          </w:tcPr>
          <w:p w14:paraId="3CA3C1B3" w14:textId="77777777" w:rsidR="00000000" w:rsidRDefault="00195E73">
            <w:pPr>
              <w:rPr>
                <w:rFonts w:eastAsia="Times New Roman"/>
                <w:sz w:val="20"/>
                <w:szCs w:val="20"/>
              </w:rPr>
            </w:pPr>
          </w:p>
        </w:tc>
        <w:tc>
          <w:tcPr>
            <w:tcW w:w="0" w:type="auto"/>
            <w:vAlign w:val="center"/>
            <w:hideMark/>
          </w:tcPr>
          <w:p w14:paraId="714AB4F5" w14:textId="77777777" w:rsidR="00000000" w:rsidRDefault="00195E73">
            <w:pPr>
              <w:rPr>
                <w:rFonts w:eastAsia="Times New Roman"/>
                <w:sz w:val="20"/>
                <w:szCs w:val="20"/>
              </w:rPr>
            </w:pPr>
          </w:p>
        </w:tc>
        <w:tc>
          <w:tcPr>
            <w:tcW w:w="0" w:type="auto"/>
            <w:vAlign w:val="center"/>
            <w:hideMark/>
          </w:tcPr>
          <w:p w14:paraId="5A0D1F67" w14:textId="77777777" w:rsidR="00000000" w:rsidRDefault="00195E73">
            <w:pPr>
              <w:rPr>
                <w:rFonts w:eastAsia="Times New Roman"/>
                <w:sz w:val="20"/>
                <w:szCs w:val="20"/>
              </w:rPr>
            </w:pPr>
          </w:p>
        </w:tc>
        <w:tc>
          <w:tcPr>
            <w:tcW w:w="0" w:type="auto"/>
            <w:vAlign w:val="center"/>
            <w:hideMark/>
          </w:tcPr>
          <w:p w14:paraId="447A8AC2" w14:textId="77777777" w:rsidR="00000000" w:rsidRDefault="00195E73">
            <w:pPr>
              <w:rPr>
                <w:rFonts w:eastAsia="Times New Roman"/>
                <w:sz w:val="20"/>
                <w:szCs w:val="20"/>
              </w:rPr>
            </w:pPr>
          </w:p>
        </w:tc>
        <w:tc>
          <w:tcPr>
            <w:tcW w:w="0" w:type="auto"/>
            <w:vAlign w:val="center"/>
            <w:hideMark/>
          </w:tcPr>
          <w:p w14:paraId="2C2A143D" w14:textId="77777777" w:rsidR="00000000" w:rsidRDefault="00195E73">
            <w:pPr>
              <w:rPr>
                <w:rFonts w:eastAsia="Times New Roman"/>
                <w:sz w:val="20"/>
                <w:szCs w:val="20"/>
              </w:rPr>
            </w:pPr>
          </w:p>
        </w:tc>
        <w:tc>
          <w:tcPr>
            <w:tcW w:w="0" w:type="auto"/>
            <w:vAlign w:val="center"/>
            <w:hideMark/>
          </w:tcPr>
          <w:p w14:paraId="655720E1" w14:textId="77777777" w:rsidR="00000000" w:rsidRDefault="00195E73">
            <w:pPr>
              <w:rPr>
                <w:rFonts w:eastAsia="Times New Roman"/>
                <w:sz w:val="20"/>
                <w:szCs w:val="20"/>
              </w:rPr>
            </w:pPr>
          </w:p>
        </w:tc>
        <w:tc>
          <w:tcPr>
            <w:tcW w:w="0" w:type="auto"/>
            <w:vAlign w:val="center"/>
            <w:hideMark/>
          </w:tcPr>
          <w:p w14:paraId="5A9544D5" w14:textId="77777777" w:rsidR="00000000" w:rsidRDefault="00195E73">
            <w:pPr>
              <w:rPr>
                <w:rFonts w:eastAsia="Times New Roman"/>
                <w:sz w:val="20"/>
                <w:szCs w:val="20"/>
              </w:rPr>
            </w:pPr>
          </w:p>
        </w:tc>
        <w:tc>
          <w:tcPr>
            <w:tcW w:w="0" w:type="auto"/>
            <w:vAlign w:val="center"/>
            <w:hideMark/>
          </w:tcPr>
          <w:p w14:paraId="2B7E8B34" w14:textId="77777777" w:rsidR="00000000" w:rsidRDefault="00195E73">
            <w:pPr>
              <w:rPr>
                <w:rFonts w:eastAsia="Times New Roman"/>
                <w:sz w:val="20"/>
                <w:szCs w:val="20"/>
              </w:rPr>
            </w:pPr>
          </w:p>
        </w:tc>
        <w:tc>
          <w:tcPr>
            <w:tcW w:w="0" w:type="auto"/>
            <w:vAlign w:val="center"/>
            <w:hideMark/>
          </w:tcPr>
          <w:p w14:paraId="30AF0BFB" w14:textId="77777777" w:rsidR="00000000" w:rsidRDefault="00195E73">
            <w:pPr>
              <w:rPr>
                <w:rFonts w:eastAsia="Times New Roman"/>
                <w:sz w:val="20"/>
                <w:szCs w:val="20"/>
              </w:rPr>
            </w:pPr>
          </w:p>
        </w:tc>
        <w:tc>
          <w:tcPr>
            <w:tcW w:w="0" w:type="auto"/>
            <w:vAlign w:val="center"/>
            <w:hideMark/>
          </w:tcPr>
          <w:p w14:paraId="466B579A" w14:textId="77777777" w:rsidR="00000000" w:rsidRDefault="00195E73">
            <w:pPr>
              <w:rPr>
                <w:rFonts w:eastAsia="Times New Roman"/>
                <w:sz w:val="20"/>
                <w:szCs w:val="20"/>
              </w:rPr>
            </w:pPr>
          </w:p>
        </w:tc>
        <w:tc>
          <w:tcPr>
            <w:tcW w:w="0" w:type="auto"/>
            <w:vAlign w:val="center"/>
            <w:hideMark/>
          </w:tcPr>
          <w:p w14:paraId="1F0C8A5C" w14:textId="77777777" w:rsidR="00000000" w:rsidRDefault="00195E73">
            <w:pPr>
              <w:rPr>
                <w:rFonts w:eastAsia="Times New Roman"/>
                <w:sz w:val="20"/>
                <w:szCs w:val="20"/>
              </w:rPr>
            </w:pPr>
          </w:p>
        </w:tc>
        <w:tc>
          <w:tcPr>
            <w:tcW w:w="0" w:type="auto"/>
            <w:vAlign w:val="center"/>
            <w:hideMark/>
          </w:tcPr>
          <w:p w14:paraId="3F24B5FA" w14:textId="77777777" w:rsidR="00000000" w:rsidRDefault="00195E73">
            <w:pPr>
              <w:rPr>
                <w:rFonts w:eastAsia="Times New Roman"/>
                <w:sz w:val="20"/>
                <w:szCs w:val="20"/>
              </w:rPr>
            </w:pPr>
          </w:p>
        </w:tc>
        <w:tc>
          <w:tcPr>
            <w:tcW w:w="0" w:type="auto"/>
            <w:vAlign w:val="center"/>
            <w:hideMark/>
          </w:tcPr>
          <w:p w14:paraId="7E660764" w14:textId="77777777" w:rsidR="00000000" w:rsidRDefault="00195E73">
            <w:pPr>
              <w:rPr>
                <w:rFonts w:eastAsia="Times New Roman"/>
                <w:sz w:val="20"/>
                <w:szCs w:val="20"/>
              </w:rPr>
            </w:pPr>
          </w:p>
        </w:tc>
        <w:tc>
          <w:tcPr>
            <w:tcW w:w="0" w:type="auto"/>
            <w:vAlign w:val="center"/>
            <w:hideMark/>
          </w:tcPr>
          <w:p w14:paraId="2B3683C9" w14:textId="77777777" w:rsidR="00000000" w:rsidRDefault="00195E73">
            <w:pPr>
              <w:rPr>
                <w:rFonts w:eastAsia="Times New Roman"/>
                <w:sz w:val="20"/>
                <w:szCs w:val="20"/>
              </w:rPr>
            </w:pPr>
          </w:p>
        </w:tc>
        <w:tc>
          <w:tcPr>
            <w:tcW w:w="0" w:type="auto"/>
            <w:vAlign w:val="center"/>
            <w:hideMark/>
          </w:tcPr>
          <w:p w14:paraId="656A849E" w14:textId="77777777" w:rsidR="00000000" w:rsidRDefault="00195E73">
            <w:pPr>
              <w:rPr>
                <w:rFonts w:eastAsia="Times New Roman"/>
                <w:sz w:val="20"/>
                <w:szCs w:val="20"/>
              </w:rPr>
            </w:pPr>
          </w:p>
        </w:tc>
        <w:tc>
          <w:tcPr>
            <w:tcW w:w="0" w:type="auto"/>
            <w:vAlign w:val="center"/>
            <w:hideMark/>
          </w:tcPr>
          <w:p w14:paraId="426E8FFE" w14:textId="77777777" w:rsidR="00000000" w:rsidRDefault="00195E73">
            <w:pPr>
              <w:rPr>
                <w:rFonts w:eastAsia="Times New Roman"/>
                <w:sz w:val="20"/>
                <w:szCs w:val="20"/>
              </w:rPr>
            </w:pPr>
          </w:p>
        </w:tc>
      </w:tr>
    </w:tbl>
    <w:p w14:paraId="0542EC7C" w14:textId="77777777" w:rsidR="00000000" w:rsidRDefault="00195E73">
      <w:pPr>
        <w:ind w:hanging="360"/>
        <w:divId w:val="632520125"/>
        <w:rPr>
          <w:rFonts w:eastAsia="Times New Roman"/>
        </w:rPr>
      </w:pPr>
    </w:p>
    <w:p w14:paraId="737713F4" w14:textId="77777777" w:rsidR="00000000" w:rsidRDefault="00195E73">
      <w:pPr>
        <w:ind w:hanging="360"/>
        <w:divId w:val="1859461249"/>
        <w:rPr>
          <w:rFonts w:eastAsia="Times New Roman"/>
        </w:rPr>
      </w:pPr>
      <w:r>
        <w:rPr>
          <w:rFonts w:eastAsia="Times New Roman"/>
          <w:color w:val="000000"/>
          <w:sz w:val="20"/>
          <w:szCs w:val="20"/>
        </w:rPr>
        <w:t xml:space="preserve">(1) Pursuant to applicable regulations, certain columns of the Summary Compensation Table have been omitted, as there has been no compensation awarded to, earned by or paid to any of the named executive </w:t>
      </w:r>
      <w:r>
        <w:rPr>
          <w:rFonts w:eastAsia="Times New Roman"/>
          <w:color w:val="000000"/>
          <w:sz w:val="20"/>
          <w:szCs w:val="20"/>
        </w:rPr>
        <w:t>officers by us, any of our subsidiaries or by Icahn Enterprises GP, which was subsequently reimbursed by us, required to be reported in those columns</w:t>
      </w:r>
      <w:r>
        <w:rPr>
          <w:rFonts w:eastAsia="Times New Roman"/>
          <w:color w:val="000000"/>
          <w:sz w:val="20"/>
          <w:szCs w:val="20"/>
        </w:rPr>
        <w:t>.</w:t>
      </w:r>
    </w:p>
    <w:p w14:paraId="3A457FB6" w14:textId="77777777" w:rsidR="00000000" w:rsidRDefault="00195E73">
      <w:pPr>
        <w:ind w:hanging="360"/>
        <w:divId w:val="1992100894"/>
        <w:rPr>
          <w:rFonts w:eastAsia="Times New Roman"/>
        </w:rPr>
      </w:pPr>
      <w:r>
        <w:rPr>
          <w:rFonts w:eastAsia="Times New Roman"/>
          <w:color w:val="000000"/>
          <w:sz w:val="20"/>
          <w:szCs w:val="20"/>
        </w:rPr>
        <w:t>(2) The salary indicated above represents compensation paid to Mr. Icahn in each of 2019, 2018 and 2017 f</w:t>
      </w:r>
      <w:r>
        <w:rPr>
          <w:rFonts w:eastAsia="Times New Roman"/>
          <w:color w:val="000000"/>
          <w:sz w:val="20"/>
          <w:szCs w:val="20"/>
        </w:rPr>
        <w:t xml:space="preserve">or his services as Chief Executive Officer of our subsidiary, Icahn Capital LP, and of the general partners of the Investment Funds. Mr. Icahn is currently an at will employee serving as Chairman of the Board of Icahn Enterprises GP, Chairman of the Board </w:t>
      </w:r>
      <w:r>
        <w:rPr>
          <w:rFonts w:eastAsia="Times New Roman"/>
          <w:color w:val="000000"/>
          <w:sz w:val="20"/>
          <w:szCs w:val="20"/>
        </w:rPr>
        <w:t>and Chief Executive Officer of Icahn Capital LP and Chief Executive Officer of the Investment Funds for which he currently receives an annual base salary of $1 per annum. Mr. Icahn does not receive director fees from us</w:t>
      </w:r>
      <w:r>
        <w:rPr>
          <w:rFonts w:eastAsia="Times New Roman"/>
          <w:color w:val="000000"/>
          <w:sz w:val="20"/>
          <w:szCs w:val="20"/>
        </w:rPr>
        <w:t>.</w:t>
      </w:r>
    </w:p>
    <w:p w14:paraId="17413D90" w14:textId="77777777" w:rsidR="00000000" w:rsidRDefault="00195E73">
      <w:pPr>
        <w:ind w:hanging="360"/>
        <w:divId w:val="1821116815"/>
        <w:rPr>
          <w:rFonts w:eastAsia="Times New Roman"/>
        </w:rPr>
      </w:pPr>
      <w:r>
        <w:rPr>
          <w:rFonts w:eastAsia="Times New Roman"/>
          <w:color w:val="000000"/>
          <w:sz w:val="20"/>
          <w:szCs w:val="20"/>
        </w:rPr>
        <w:t>(3) Represents other compensation p</w:t>
      </w:r>
      <w:r>
        <w:rPr>
          <w:rFonts w:eastAsia="Times New Roman"/>
          <w:color w:val="000000"/>
          <w:sz w:val="20"/>
          <w:szCs w:val="20"/>
        </w:rPr>
        <w:t xml:space="preserve">aid to the following named executive officers: (i) Carl C. Icahn, $13,681, $29,499 and $20,107, in medical and dental benefits for 2019, 2018 and 2017, respectively; $955 in life insurance paid by us for each of 2019, 2018 and 2017; and in his capacity as </w:t>
      </w:r>
      <w:r>
        <w:rPr>
          <w:rFonts w:eastAsia="Times New Roman"/>
          <w:color w:val="000000"/>
          <w:sz w:val="20"/>
          <w:szCs w:val="20"/>
        </w:rPr>
        <w:t>the Chairman of the Board of Federal-Mogul, $35,688 and $81,485,</w:t>
      </w:r>
      <w:r>
        <w:rPr>
          <w:rFonts w:eastAsia="Times New Roman"/>
          <w:color w:val="000000"/>
          <w:sz w:val="20"/>
          <w:szCs w:val="20"/>
        </w:rPr>
        <w:t xml:space="preserve"> </w:t>
      </w:r>
    </w:p>
    <w:p w14:paraId="3CE38BFD" w14:textId="77777777" w:rsidR="00000000" w:rsidRDefault="00195E73">
      <w:pPr>
        <w:jc w:val="center"/>
        <w:divId w:val="716512097"/>
        <w:rPr>
          <w:rFonts w:eastAsia="Times New Roman"/>
        </w:rPr>
      </w:pPr>
      <w:r>
        <w:rPr>
          <w:rFonts w:eastAsia="Times New Roman"/>
          <w:color w:val="000000"/>
          <w:sz w:val="20"/>
          <w:szCs w:val="20"/>
        </w:rPr>
        <w:t>12</w:t>
      </w:r>
      <w:r>
        <w:rPr>
          <w:rFonts w:eastAsia="Times New Roman"/>
          <w:color w:val="000000"/>
          <w:sz w:val="20"/>
          <w:szCs w:val="20"/>
        </w:rPr>
        <w:t>4</w:t>
      </w:r>
    </w:p>
    <w:p w14:paraId="007E381D" w14:textId="77777777" w:rsidR="00000000" w:rsidRDefault="00195E73">
      <w:pPr>
        <w:rPr>
          <w:rFonts w:eastAsia="Times New Roman"/>
        </w:rPr>
      </w:pPr>
      <w:r>
        <w:rPr>
          <w:rFonts w:eastAsia="Times New Roman"/>
        </w:rPr>
        <w:pict w14:anchorId="45AB85CB">
          <v:rect id="_x0000_i1150" style="width:0;height:1.5pt" o:hralign="center" o:hrstd="t" o:hr="t" fillcolor="#a0a0a0" stroked="f"/>
        </w:pict>
      </w:r>
    </w:p>
    <w:p w14:paraId="053B63CA" w14:textId="77777777" w:rsidR="00000000" w:rsidRDefault="00195E73">
      <w:pPr>
        <w:divId w:val="1829203475"/>
        <w:rPr>
          <w:rFonts w:eastAsia="Times New Roman"/>
        </w:rPr>
      </w:pPr>
    </w:p>
    <w:p w14:paraId="526FF926" w14:textId="77777777" w:rsidR="00000000" w:rsidRDefault="00195E73">
      <w:pPr>
        <w:divId w:val="1554004445"/>
        <w:rPr>
          <w:rFonts w:eastAsia="Times New Roman"/>
        </w:rPr>
      </w:pPr>
      <w:r>
        <w:rPr>
          <w:rFonts w:eastAsia="Times New Roman"/>
          <w:color w:val="000000"/>
          <w:sz w:val="20"/>
          <w:szCs w:val="20"/>
        </w:rPr>
        <w:t>representing the incremental cost of Mr. Icahn’s personal use of Federal-Mogul’s corporate aircraft for 2018 and 2017, respectively. Mr. Icahn recei</w:t>
      </w:r>
      <w:r>
        <w:rPr>
          <w:rFonts w:eastAsia="Times New Roman"/>
          <w:color w:val="000000"/>
          <w:sz w:val="20"/>
          <w:szCs w:val="20"/>
        </w:rPr>
        <w:t>ved no fees or compensation from Federal-Mogul for 2018 and 2017, other than the use of the corporate aircraft as discussed above. The calculation of incremental cost for the personal use of Federal-Mogul’s corporate aircraft includes the variable costs in</w:t>
      </w:r>
      <w:r>
        <w:rPr>
          <w:rFonts w:eastAsia="Times New Roman"/>
          <w:color w:val="000000"/>
          <w:sz w:val="20"/>
          <w:szCs w:val="20"/>
        </w:rPr>
        <w:t>curred as a result of personal flight activity, which are comprised of a portion of ongoing maintenance and repairs, aircraft fuel, airport fees, catering, and fees and travel expenses for the flight crew. The use of the aircraft for personal use by Mr. Ic</w:t>
      </w:r>
      <w:r>
        <w:rPr>
          <w:rFonts w:eastAsia="Times New Roman"/>
          <w:color w:val="000000"/>
          <w:sz w:val="20"/>
          <w:szCs w:val="20"/>
        </w:rPr>
        <w:t>ahn was approved by the board of directors and the Compensation Committee of Federal-Mogul; (ii) Mr. Cozza, $9,063, $8,438 and $8,281 in matching contributions under our 401(k) Plan for 2019, 2018 and 2017, respectively; $1,326 in medical and dental benefi</w:t>
      </w:r>
      <w:r>
        <w:rPr>
          <w:rFonts w:eastAsia="Times New Roman"/>
          <w:color w:val="000000"/>
          <w:sz w:val="20"/>
          <w:szCs w:val="20"/>
        </w:rPr>
        <w:t>ts paid by us for each of 2019, 2018 and 2017, respectively; $955 in life insurance premiums paid by us for each of 2019, 2018 and 2017; (iii) Mr. Cho, $9,063, $8,438 and $8,281 in matching contributions under our 401(k) Plan for 2019, 2018 and 2017, respe</w:t>
      </w:r>
      <w:r>
        <w:rPr>
          <w:rFonts w:eastAsia="Times New Roman"/>
          <w:color w:val="000000"/>
          <w:sz w:val="20"/>
          <w:szCs w:val="20"/>
        </w:rPr>
        <w:t xml:space="preserve">ctively; $1,326 in medical and dental benefits paid by us for each of 2019, 2018 and 2017, respectively; and $955 in life insurance premiums paid by us for each of 2019, 2018 and 2017; and (iv) Mr. Reck, $8,827, $8,655 and $8,281 in matching contributions </w:t>
      </w:r>
      <w:r>
        <w:rPr>
          <w:rFonts w:eastAsia="Times New Roman"/>
          <w:color w:val="000000"/>
          <w:sz w:val="20"/>
          <w:szCs w:val="20"/>
        </w:rPr>
        <w:t xml:space="preserve">under our 401(k) Plan for 2019, 2018 and 2017, respectively; $742 in medical and dental benefits paid by us for each of 2019, 2018 and 2017, respectively; and $755, $755 and $719 in life insurance premiums paid by us for 2019, 2018 and 2017, respectively. </w:t>
      </w:r>
      <w:r>
        <w:rPr>
          <w:rFonts w:eastAsia="Times New Roman"/>
          <w:color w:val="000000"/>
          <w:sz w:val="20"/>
          <w:szCs w:val="20"/>
        </w:rPr>
        <w:t>Mr. Icahn did not participate in the 401(k) plan during 2019, 2018 and 2017 and thus did not receive any matching contributions for those fiscal years.</w:t>
      </w:r>
      <w:r>
        <w:rPr>
          <w:rFonts w:eastAsia="Times New Roman"/>
          <w:color w:val="000000"/>
          <w:sz w:val="20"/>
          <w:szCs w:val="20"/>
        </w:rPr>
        <w:t xml:space="preserve"> </w:t>
      </w:r>
    </w:p>
    <w:p w14:paraId="2CB6180E" w14:textId="77777777" w:rsidR="00000000" w:rsidRDefault="00195E73">
      <w:pPr>
        <w:ind w:hanging="360"/>
        <w:divId w:val="2071151694"/>
        <w:rPr>
          <w:rFonts w:eastAsia="Times New Roman"/>
        </w:rPr>
      </w:pPr>
      <w:r>
        <w:rPr>
          <w:rFonts w:eastAsia="Times New Roman"/>
          <w:color w:val="000000"/>
          <w:sz w:val="20"/>
          <w:szCs w:val="20"/>
        </w:rPr>
        <w:t>(4) In addition to Mr. Cozza’s role as President and Chief Executive Officer of Icahn Enterprises and I</w:t>
      </w:r>
      <w:r>
        <w:rPr>
          <w:rFonts w:eastAsia="Times New Roman"/>
          <w:color w:val="000000"/>
          <w:sz w:val="20"/>
          <w:szCs w:val="20"/>
        </w:rPr>
        <w:t>cahn Enterprises Holdings, he serves as the Chief Operating Officer of Icahn Capital LP and holds officer and/or director positions at certain of our other subsidiaries. During 2019, Mr. Cozza received a salary of $1,500,043 and a bonus of $5,000,000, whic</w:t>
      </w:r>
      <w:r>
        <w:rPr>
          <w:rFonts w:eastAsia="Times New Roman"/>
          <w:color w:val="000000"/>
          <w:sz w:val="20"/>
          <w:szCs w:val="20"/>
        </w:rPr>
        <w:t>h was determined based on various factors, including, but not limited to, overall job performance, including performance against corporate and individual objectives, job responsibilities and teamwork.</w:t>
      </w:r>
      <w:r>
        <w:rPr>
          <w:rFonts w:eastAsia="Times New Roman"/>
          <w:color w:val="000000"/>
          <w:sz w:val="20"/>
          <w:szCs w:val="20"/>
        </w:rPr>
        <w:t xml:space="preserve"> </w:t>
      </w:r>
    </w:p>
    <w:p w14:paraId="60C5A53B" w14:textId="77777777" w:rsidR="00000000" w:rsidRDefault="00195E73">
      <w:pPr>
        <w:ind w:hanging="360"/>
        <w:divId w:val="318382621"/>
        <w:rPr>
          <w:rFonts w:eastAsia="Times New Roman"/>
        </w:rPr>
      </w:pPr>
      <w:r>
        <w:rPr>
          <w:rFonts w:eastAsia="Times New Roman"/>
          <w:color w:val="000000"/>
          <w:sz w:val="20"/>
          <w:szCs w:val="20"/>
        </w:rPr>
        <w:t>(5) For 2019, Mr. Cho received a salary of $878,794 an</w:t>
      </w:r>
      <w:r>
        <w:rPr>
          <w:rFonts w:eastAsia="Times New Roman"/>
          <w:color w:val="000000"/>
          <w:sz w:val="20"/>
          <w:szCs w:val="20"/>
        </w:rPr>
        <w:t xml:space="preserve">d is eligible to receive a bonus that is expected to be not less than, and which may be greater than, $1,700,000 (as discussed above and in footnote (7) to this Summary Compensation Table), which will be determined based on various factors, including, but </w:t>
      </w:r>
      <w:r>
        <w:rPr>
          <w:rFonts w:eastAsia="Times New Roman"/>
          <w:color w:val="000000"/>
          <w:sz w:val="20"/>
          <w:szCs w:val="20"/>
        </w:rPr>
        <w:t>not limited to overall job performance, including performance against corporate and individual objectives, job responsibilities and teamwork.</w:t>
      </w:r>
      <w:r>
        <w:rPr>
          <w:rFonts w:eastAsia="Times New Roman"/>
          <w:color w:val="000000"/>
          <w:sz w:val="20"/>
          <w:szCs w:val="20"/>
        </w:rPr>
        <w:t xml:space="preserve"> </w:t>
      </w:r>
    </w:p>
    <w:p w14:paraId="1960A19A" w14:textId="77777777" w:rsidR="00000000" w:rsidRDefault="00195E73">
      <w:pPr>
        <w:ind w:hanging="360"/>
        <w:divId w:val="1279482519"/>
        <w:rPr>
          <w:rFonts w:eastAsia="Times New Roman"/>
        </w:rPr>
      </w:pPr>
      <w:r>
        <w:rPr>
          <w:rFonts w:eastAsia="Times New Roman"/>
          <w:color w:val="000000"/>
          <w:sz w:val="20"/>
          <w:szCs w:val="20"/>
        </w:rPr>
        <w:t>(6) For 2019, Mr. Reck received a salary of $331,971 and is eligible to receive a bonus that is expected to be no</w:t>
      </w:r>
      <w:r>
        <w:rPr>
          <w:rFonts w:eastAsia="Times New Roman"/>
          <w:color w:val="000000"/>
          <w:sz w:val="20"/>
          <w:szCs w:val="20"/>
        </w:rPr>
        <w:t>t less than, and which may be greater than, $225,000 (as discussed above and in footnote (7) to this Summary Compensation Table), which will be determined based on various factors, including, but not limited to overall job performance, including performanc</w:t>
      </w:r>
      <w:r>
        <w:rPr>
          <w:rFonts w:eastAsia="Times New Roman"/>
          <w:color w:val="000000"/>
          <w:sz w:val="20"/>
          <w:szCs w:val="20"/>
        </w:rPr>
        <w:t>e against corporate and individual objectives, job responsibilities and teamwork.</w:t>
      </w:r>
      <w:r>
        <w:rPr>
          <w:rFonts w:eastAsia="Times New Roman"/>
          <w:color w:val="000000"/>
          <w:sz w:val="20"/>
          <w:szCs w:val="20"/>
        </w:rPr>
        <w:t xml:space="preserve"> </w:t>
      </w:r>
    </w:p>
    <w:p w14:paraId="2B244A44" w14:textId="77777777" w:rsidR="00000000" w:rsidRDefault="00195E73">
      <w:pPr>
        <w:ind w:hanging="360"/>
        <w:divId w:val="1741904150"/>
        <w:rPr>
          <w:rFonts w:eastAsia="Times New Roman"/>
        </w:rPr>
      </w:pPr>
      <w:r>
        <w:rPr>
          <w:rFonts w:eastAsia="Times New Roman"/>
          <w:color w:val="000000"/>
          <w:sz w:val="20"/>
          <w:szCs w:val="20"/>
        </w:rPr>
        <w:t>(7) The amount of the discretionary bonus for 2019 for Mr. Cho has not yet been determined, but is expected to be no less than the amount of the bonus paid for 2018, which w</w:t>
      </w:r>
      <w:r>
        <w:rPr>
          <w:rFonts w:eastAsia="Times New Roman"/>
          <w:color w:val="000000"/>
          <w:sz w:val="20"/>
          <w:szCs w:val="20"/>
        </w:rPr>
        <w:t>as $1,700,000. Due to the discretionary nature of the bonus, the bonus amount may differ from, and may be greater than, these estimates and the actual amounts paid will not be determined until March 2020. Once Mr. Cho’s annual bonus for 2019 is determined,</w:t>
      </w:r>
      <w:r>
        <w:rPr>
          <w:rFonts w:eastAsia="Times New Roman"/>
          <w:color w:val="000000"/>
          <w:sz w:val="20"/>
          <w:szCs w:val="20"/>
        </w:rPr>
        <w:t xml:space="preserve"> such amount will be disclosed in a filing under Item 5.02(f) of Form 8-K</w:t>
      </w:r>
      <w:r>
        <w:rPr>
          <w:rFonts w:eastAsia="Times New Roman"/>
          <w:color w:val="000000"/>
          <w:sz w:val="20"/>
          <w:szCs w:val="20"/>
        </w:rPr>
        <w:t>.</w:t>
      </w:r>
    </w:p>
    <w:p w14:paraId="2A41EAD2" w14:textId="77777777" w:rsidR="00000000" w:rsidRDefault="00195E73">
      <w:pPr>
        <w:ind w:hanging="360"/>
        <w:divId w:val="1413240931"/>
        <w:rPr>
          <w:rFonts w:eastAsia="Times New Roman"/>
        </w:rPr>
      </w:pPr>
      <w:r>
        <w:rPr>
          <w:rFonts w:eastAsia="Times New Roman"/>
          <w:color w:val="000000"/>
          <w:sz w:val="20"/>
          <w:szCs w:val="20"/>
        </w:rPr>
        <w:t>(8) The amount of the discretionary bonus for 2019 for Mr. Reck has not yet been determined, but is expected to be no less than the amount of the bonus paid for 2018, which was $225</w:t>
      </w:r>
      <w:r>
        <w:rPr>
          <w:rFonts w:eastAsia="Times New Roman"/>
          <w:color w:val="000000"/>
          <w:sz w:val="20"/>
          <w:szCs w:val="20"/>
        </w:rPr>
        <w:t>,000. Due to the discretionary nature of the bonus, the bonus amount may differ from, and may be greater than, these estimates and the actual amounts paid will not be determined until March 2020. Once Mr. Reck’s annual bonus for 2019 is determined, such am</w:t>
      </w:r>
      <w:r>
        <w:rPr>
          <w:rFonts w:eastAsia="Times New Roman"/>
          <w:color w:val="000000"/>
          <w:sz w:val="20"/>
          <w:szCs w:val="20"/>
        </w:rPr>
        <w:t>ount will be disclosed in a filing under Item 5.02(f) of Form 8-K</w:t>
      </w:r>
      <w:r>
        <w:rPr>
          <w:rFonts w:eastAsia="Times New Roman"/>
          <w:color w:val="000000"/>
          <w:sz w:val="20"/>
          <w:szCs w:val="20"/>
        </w:rPr>
        <w:t>.</w:t>
      </w:r>
    </w:p>
    <w:p w14:paraId="3DDA4525" w14:textId="77777777" w:rsidR="00000000" w:rsidRDefault="00195E73">
      <w:pPr>
        <w:ind w:firstLine="405"/>
        <w:divId w:val="2144807314"/>
        <w:rPr>
          <w:rFonts w:eastAsia="Times New Roman"/>
        </w:rPr>
      </w:pPr>
      <w:r>
        <w:rPr>
          <w:rFonts w:eastAsia="Times New Roman"/>
          <w:color w:val="000000"/>
          <w:sz w:val="20"/>
          <w:szCs w:val="20"/>
        </w:rPr>
        <w:t>Each of our executive officers may perform services for affiliates of Mr. Icahn for which we receive reimbursement. See Item 13, “Certain Relationships and Related Transactions, and Directo</w:t>
      </w:r>
      <w:r>
        <w:rPr>
          <w:rFonts w:eastAsia="Times New Roman"/>
          <w:color w:val="000000"/>
          <w:sz w:val="20"/>
          <w:szCs w:val="20"/>
        </w:rPr>
        <w:t>r Independence.</w:t>
      </w:r>
      <w:r>
        <w:rPr>
          <w:rFonts w:eastAsia="Times New Roman"/>
          <w:color w:val="000000"/>
          <w:sz w:val="20"/>
          <w:szCs w:val="20"/>
        </w:rPr>
        <w:t>”</w:t>
      </w:r>
    </w:p>
    <w:p w14:paraId="799B6186" w14:textId="77777777" w:rsidR="00000000" w:rsidRDefault="00195E73">
      <w:pPr>
        <w:ind w:firstLine="405"/>
        <w:divId w:val="1505977116"/>
        <w:rPr>
          <w:rFonts w:eastAsia="Times New Roman"/>
        </w:rPr>
      </w:pPr>
      <w:r>
        <w:rPr>
          <w:rFonts w:eastAsia="Times New Roman"/>
          <w:color w:val="000000"/>
          <w:sz w:val="20"/>
          <w:szCs w:val="20"/>
        </w:rPr>
        <w:t>Mr. Nevin is married to the daughter of Carl C. Icahn, the Chairman of the Board of Icahn Enterprises. There are no other family relationships between or among any of our directors and/or executive officers</w:t>
      </w:r>
      <w:r>
        <w:rPr>
          <w:rFonts w:eastAsia="Times New Roman"/>
          <w:color w:val="000000"/>
          <w:sz w:val="20"/>
          <w:szCs w:val="20"/>
        </w:rPr>
        <w:t>.</w:t>
      </w:r>
    </w:p>
    <w:p w14:paraId="58F93DA6" w14:textId="77777777" w:rsidR="00000000" w:rsidRDefault="00195E73">
      <w:pPr>
        <w:divId w:val="1119300258"/>
        <w:rPr>
          <w:rFonts w:eastAsia="Times New Roman"/>
        </w:rPr>
      </w:pPr>
      <w:r>
        <w:rPr>
          <w:rFonts w:eastAsia="Times New Roman"/>
          <w:b/>
          <w:bCs/>
          <w:color w:val="000000"/>
          <w:sz w:val="20"/>
          <w:szCs w:val="20"/>
        </w:rPr>
        <w:t>Employment Agreement</w:t>
      </w:r>
      <w:r>
        <w:rPr>
          <w:rFonts w:eastAsia="Times New Roman"/>
          <w:b/>
          <w:bCs/>
          <w:color w:val="000000"/>
          <w:sz w:val="20"/>
          <w:szCs w:val="20"/>
        </w:rPr>
        <w:t>s</w:t>
      </w:r>
    </w:p>
    <w:p w14:paraId="6CBEFFC4" w14:textId="77777777" w:rsidR="00000000" w:rsidRDefault="00195E73">
      <w:pPr>
        <w:ind w:firstLine="405"/>
        <w:divId w:val="440104876"/>
        <w:rPr>
          <w:rFonts w:eastAsia="Times New Roman"/>
        </w:rPr>
      </w:pPr>
      <w:r>
        <w:rPr>
          <w:rFonts w:eastAsia="Times New Roman"/>
          <w:color w:val="000000"/>
          <w:sz w:val="20"/>
          <w:szCs w:val="20"/>
        </w:rPr>
        <w:t>On Decemb</w:t>
      </w:r>
      <w:r>
        <w:rPr>
          <w:rFonts w:eastAsia="Times New Roman"/>
          <w:color w:val="000000"/>
          <w:sz w:val="20"/>
          <w:szCs w:val="20"/>
        </w:rPr>
        <w:t>er 20, 2019, Icahn Enterprises entered into an employment agreement (the “Employment Agreement”) with Keith Cozza, pursuant to which Mr. Cozza will continue to serve as the President and Chief Executive Officer of Icahn Enterprises, Icahn Enterprises Holdi</w:t>
      </w:r>
      <w:r>
        <w:rPr>
          <w:rFonts w:eastAsia="Times New Roman"/>
          <w:color w:val="000000"/>
          <w:sz w:val="20"/>
          <w:szCs w:val="20"/>
        </w:rPr>
        <w:t>ngs and Icahn Enterprises GP, the general partner of Icahn Enterprises and Icahn Enterprises Holdings, effective January 1, 2020 until May 31, 2021 unless sooner terminated as provided in the Employment Agreement.</w:t>
      </w:r>
      <w:r>
        <w:rPr>
          <w:rFonts w:eastAsia="Times New Roman"/>
          <w:color w:val="000000"/>
          <w:sz w:val="20"/>
          <w:szCs w:val="20"/>
        </w:rPr>
        <w:t xml:space="preserve"> </w:t>
      </w:r>
    </w:p>
    <w:p w14:paraId="7666E2B5" w14:textId="77777777" w:rsidR="00000000" w:rsidRDefault="00195E73">
      <w:pPr>
        <w:ind w:firstLine="405"/>
        <w:divId w:val="1002513893"/>
        <w:rPr>
          <w:rFonts w:eastAsia="Times New Roman"/>
        </w:rPr>
      </w:pPr>
      <w:r>
        <w:rPr>
          <w:rFonts w:eastAsia="Times New Roman"/>
          <w:color w:val="000000"/>
          <w:sz w:val="20"/>
          <w:szCs w:val="20"/>
        </w:rPr>
        <w:t>Mr. Cozza will continue to be, among othe</w:t>
      </w:r>
      <w:r>
        <w:rPr>
          <w:rFonts w:eastAsia="Times New Roman"/>
          <w:color w:val="000000"/>
          <w:sz w:val="20"/>
          <w:szCs w:val="20"/>
        </w:rPr>
        <w:t>r things, principally responsible for overseeing portfolio company operations and involved with acquisitions, dispositions and financings engaged in by Icahn Enterprises, Icahn Enterprises Holdings and its subsidiaries.</w:t>
      </w:r>
      <w:r>
        <w:rPr>
          <w:rFonts w:eastAsia="Times New Roman"/>
          <w:color w:val="000000"/>
          <w:sz w:val="20"/>
          <w:szCs w:val="20"/>
        </w:rPr>
        <w:t xml:space="preserve"> </w:t>
      </w:r>
    </w:p>
    <w:p w14:paraId="64143828" w14:textId="77777777" w:rsidR="00000000" w:rsidRDefault="00195E73">
      <w:pPr>
        <w:jc w:val="center"/>
        <w:divId w:val="1281915451"/>
        <w:rPr>
          <w:rFonts w:eastAsia="Times New Roman"/>
        </w:rPr>
      </w:pPr>
      <w:r>
        <w:rPr>
          <w:rFonts w:eastAsia="Times New Roman"/>
          <w:color w:val="000000"/>
          <w:sz w:val="20"/>
          <w:szCs w:val="20"/>
        </w:rPr>
        <w:t>12</w:t>
      </w:r>
      <w:r>
        <w:rPr>
          <w:rFonts w:eastAsia="Times New Roman"/>
          <w:color w:val="000000"/>
          <w:sz w:val="20"/>
          <w:szCs w:val="20"/>
        </w:rPr>
        <w:t>5</w:t>
      </w:r>
    </w:p>
    <w:p w14:paraId="76BB40DA" w14:textId="77777777" w:rsidR="00000000" w:rsidRDefault="00195E73">
      <w:pPr>
        <w:rPr>
          <w:rFonts w:eastAsia="Times New Roman"/>
        </w:rPr>
      </w:pPr>
      <w:r>
        <w:rPr>
          <w:rFonts w:eastAsia="Times New Roman"/>
        </w:rPr>
        <w:pict w14:anchorId="60389C5A">
          <v:rect id="_x0000_i1151" style="width:0;height:1.5pt" o:hralign="center" o:hrstd="t" o:hr="t" fillcolor="#a0a0a0" stroked="f"/>
        </w:pict>
      </w:r>
    </w:p>
    <w:p w14:paraId="08B3E1BC" w14:textId="77777777" w:rsidR="00000000" w:rsidRDefault="00195E73">
      <w:pPr>
        <w:divId w:val="936599041"/>
        <w:rPr>
          <w:rFonts w:eastAsia="Times New Roman"/>
        </w:rPr>
      </w:pPr>
    </w:p>
    <w:p w14:paraId="77E7AA8E" w14:textId="77777777" w:rsidR="00000000" w:rsidRDefault="00195E73">
      <w:pPr>
        <w:ind w:firstLine="405"/>
        <w:divId w:val="930629356"/>
        <w:rPr>
          <w:rFonts w:eastAsia="Times New Roman"/>
        </w:rPr>
      </w:pPr>
      <w:r>
        <w:rPr>
          <w:rFonts w:eastAsia="Times New Roman"/>
          <w:color w:val="000000"/>
          <w:sz w:val="20"/>
          <w:szCs w:val="20"/>
        </w:rPr>
        <w:t>During his term of employment under the Employment Agreement, Mr. Cozza will be paid a base salary at the rate of $1,500,000 per annum, payable every two weeks. Subject to the terms of the Employment Agreement, Mr. Cozza will receive an annual cash</w:t>
      </w:r>
      <w:r>
        <w:rPr>
          <w:rFonts w:eastAsia="Times New Roman"/>
          <w:color w:val="000000"/>
          <w:sz w:val="20"/>
          <w:szCs w:val="20"/>
        </w:rPr>
        <w:t xml:space="preserve"> bonus payment of $5,000,000 for calendar year 2020 and $2,083,333.34 for the period between January 1, 2021 to May 31, 2021. Mr. Cozza received a one-time cash payment of $5,000,000 in December 2019 in full and final satisfaction of all bonus amounts due </w:t>
      </w:r>
      <w:r>
        <w:rPr>
          <w:rFonts w:eastAsia="Times New Roman"/>
          <w:color w:val="000000"/>
          <w:sz w:val="20"/>
          <w:szCs w:val="20"/>
        </w:rPr>
        <w:t>to Mr. Cozza for calendar year 2019 under the terms of his then current employment arrangement</w:t>
      </w:r>
      <w:r>
        <w:rPr>
          <w:rFonts w:eastAsia="Times New Roman"/>
          <w:color w:val="000000"/>
          <w:sz w:val="20"/>
          <w:szCs w:val="20"/>
        </w:rPr>
        <w:t>.</w:t>
      </w:r>
    </w:p>
    <w:p w14:paraId="0D8711CF" w14:textId="77777777" w:rsidR="00000000" w:rsidRDefault="00195E73">
      <w:pPr>
        <w:ind w:firstLine="405"/>
        <w:divId w:val="1734305894"/>
        <w:rPr>
          <w:rFonts w:eastAsia="Times New Roman"/>
        </w:rPr>
      </w:pPr>
      <w:r>
        <w:rPr>
          <w:rFonts w:eastAsia="Times New Roman"/>
          <w:color w:val="000000"/>
          <w:sz w:val="20"/>
          <w:szCs w:val="20"/>
        </w:rPr>
        <w:t>We do not currently have an employment agreement with any of our other named executive officers</w:t>
      </w:r>
      <w:r>
        <w:rPr>
          <w:rFonts w:eastAsia="Times New Roman"/>
          <w:color w:val="000000"/>
          <w:sz w:val="20"/>
          <w:szCs w:val="20"/>
        </w:rPr>
        <w:t>.</w:t>
      </w:r>
    </w:p>
    <w:p w14:paraId="11C2EE5F" w14:textId="77777777" w:rsidR="00000000" w:rsidRDefault="00195E73">
      <w:pPr>
        <w:divId w:val="666787449"/>
        <w:rPr>
          <w:rFonts w:eastAsia="Times New Roman"/>
        </w:rPr>
      </w:pPr>
      <w:r>
        <w:rPr>
          <w:rFonts w:eastAsia="Times New Roman"/>
          <w:b/>
          <w:bCs/>
          <w:color w:val="000000"/>
          <w:sz w:val="20"/>
          <w:szCs w:val="20"/>
        </w:rPr>
        <w:t>Stock Award, Option and Non-Equity Incentive Plan</w:t>
      </w:r>
      <w:r>
        <w:rPr>
          <w:rFonts w:eastAsia="Times New Roman"/>
          <w:b/>
          <w:bCs/>
          <w:color w:val="000000"/>
          <w:sz w:val="20"/>
          <w:szCs w:val="20"/>
        </w:rPr>
        <w:t>s</w:t>
      </w:r>
    </w:p>
    <w:p w14:paraId="7E3F6084" w14:textId="77777777" w:rsidR="00000000" w:rsidRDefault="00195E73">
      <w:pPr>
        <w:ind w:firstLine="405"/>
        <w:divId w:val="1507864666"/>
        <w:rPr>
          <w:rFonts w:eastAsia="Times New Roman"/>
        </w:rPr>
      </w:pPr>
      <w:r>
        <w:rPr>
          <w:rFonts w:eastAsia="Times New Roman"/>
          <w:color w:val="000000"/>
          <w:sz w:val="20"/>
          <w:szCs w:val="20"/>
        </w:rPr>
        <w:t>Our named executive officers are not granted any stock award or awards under the 2017 Incentive Plan and do not participate in any non-equity incentive plans.</w:t>
      </w:r>
      <w:r>
        <w:rPr>
          <w:rFonts w:eastAsia="Times New Roman"/>
          <w:color w:val="000000"/>
          <w:sz w:val="20"/>
          <w:szCs w:val="20"/>
        </w:rPr>
        <w:t xml:space="preserve"> </w:t>
      </w:r>
    </w:p>
    <w:p w14:paraId="60669605" w14:textId="77777777" w:rsidR="00000000" w:rsidRDefault="00195E73">
      <w:pPr>
        <w:divId w:val="293215136"/>
        <w:rPr>
          <w:rFonts w:eastAsia="Times New Roman"/>
        </w:rPr>
      </w:pPr>
      <w:r>
        <w:rPr>
          <w:rFonts w:eastAsia="Times New Roman"/>
          <w:b/>
          <w:bCs/>
          <w:color w:val="000000"/>
          <w:sz w:val="20"/>
          <w:szCs w:val="20"/>
        </w:rPr>
        <w:t>Potential Payments Upon Termination or Change</w:t>
      </w:r>
      <w:r>
        <w:rPr>
          <w:rFonts w:eastAsia="Times New Roman"/>
          <w:b/>
          <w:bCs/>
          <w:color w:val="000000"/>
          <w:sz w:val="20"/>
          <w:szCs w:val="20"/>
        </w:rPr>
        <w:t xml:space="preserve"> in Contro</w:t>
      </w:r>
      <w:r>
        <w:rPr>
          <w:rFonts w:eastAsia="Times New Roman"/>
          <w:b/>
          <w:bCs/>
          <w:color w:val="000000"/>
          <w:sz w:val="20"/>
          <w:szCs w:val="20"/>
        </w:rPr>
        <w:t>l</w:t>
      </w:r>
    </w:p>
    <w:p w14:paraId="5A963793" w14:textId="77777777" w:rsidR="00000000" w:rsidRDefault="00195E73">
      <w:pPr>
        <w:ind w:firstLine="405"/>
        <w:divId w:val="1537237929"/>
        <w:rPr>
          <w:rFonts w:eastAsia="Times New Roman"/>
        </w:rPr>
      </w:pPr>
      <w:r>
        <w:rPr>
          <w:rFonts w:eastAsia="Times New Roman"/>
          <w:color w:val="000000"/>
          <w:sz w:val="20"/>
          <w:szCs w:val="20"/>
        </w:rPr>
        <w:t>We did not have any employment agreements or other arrangements pursuant to which any of our named executive officers would have received potential payments upon a termination or change in control as of December 31, 2019</w:t>
      </w:r>
      <w:r>
        <w:rPr>
          <w:rFonts w:eastAsia="Times New Roman"/>
          <w:color w:val="000000"/>
          <w:sz w:val="20"/>
          <w:szCs w:val="20"/>
        </w:rPr>
        <w:t>.</w:t>
      </w:r>
    </w:p>
    <w:p w14:paraId="4FDEE29C" w14:textId="77777777" w:rsidR="00000000" w:rsidRDefault="00195E73">
      <w:pPr>
        <w:ind w:firstLine="405"/>
        <w:divId w:val="1596012341"/>
        <w:rPr>
          <w:rFonts w:eastAsia="Times New Roman"/>
        </w:rPr>
      </w:pPr>
      <w:r>
        <w:rPr>
          <w:rFonts w:eastAsia="Times New Roman"/>
          <w:color w:val="000000"/>
          <w:sz w:val="20"/>
          <w:szCs w:val="20"/>
        </w:rPr>
        <w:t>As noted above, on Dec</w:t>
      </w:r>
      <w:r>
        <w:rPr>
          <w:rFonts w:eastAsia="Times New Roman"/>
          <w:color w:val="000000"/>
          <w:sz w:val="20"/>
          <w:szCs w:val="20"/>
        </w:rPr>
        <w:t>ember 20, 2019, Icahn Enterprises entered into the Employment Agreement with Mr. Cozza, which provides that, in the event that Mr. Cozza is terminated by Icahn Enterprises without Cause (as defined below) or terminates his employment for Good Reason (as de</w:t>
      </w:r>
      <w:r>
        <w:rPr>
          <w:rFonts w:eastAsia="Times New Roman"/>
          <w:color w:val="000000"/>
          <w:sz w:val="20"/>
          <w:szCs w:val="20"/>
        </w:rPr>
        <w:t>fined below), he shall be entitled to payment by Icahn Enterprises of a pro-rata portion of any unpaid bonus for the calendar year of the termination, payable in a lump sum within 5 business days of the effective date of such termination. As noted above un</w:t>
      </w:r>
      <w:r>
        <w:rPr>
          <w:rFonts w:eastAsia="Times New Roman"/>
          <w:color w:val="000000"/>
          <w:sz w:val="20"/>
          <w:szCs w:val="20"/>
        </w:rPr>
        <w:t>der “Employment Agreements”, the amount of the bonus for Mr. Cozza for calendar year 2020 is $5,000,000, and the amount of the bonus for the period between January 1, 2021 to May 31,2021 is $2,083,333.34. If Mr. Cozza is terminated by Icahn Enterprises wit</w:t>
      </w:r>
      <w:r>
        <w:rPr>
          <w:rFonts w:eastAsia="Times New Roman"/>
          <w:color w:val="000000"/>
          <w:sz w:val="20"/>
          <w:szCs w:val="20"/>
        </w:rPr>
        <w:t>hout Cause or terminates his employment for Good Reason, in either case, during the 2021 calendar year, the pro-rata portion of Mr. Cozza’s bonus will be determined based on the number of days elapsed during calendar year 2021 prior to the effective date o</w:t>
      </w:r>
      <w:r>
        <w:rPr>
          <w:rFonts w:eastAsia="Times New Roman"/>
          <w:color w:val="000000"/>
          <w:sz w:val="20"/>
          <w:szCs w:val="20"/>
        </w:rPr>
        <w:t>f such termination over the total number of calendar days from January 1, 2021 through May 31, 2021 (and not, for the avoidance of doubt, through December 31, 2021)</w:t>
      </w:r>
      <w:r>
        <w:rPr>
          <w:rFonts w:eastAsia="Times New Roman"/>
          <w:color w:val="000000"/>
          <w:sz w:val="20"/>
          <w:szCs w:val="20"/>
        </w:rPr>
        <w:t>.</w:t>
      </w:r>
    </w:p>
    <w:p w14:paraId="34A85D34" w14:textId="77777777" w:rsidR="00000000" w:rsidRDefault="00195E73">
      <w:pPr>
        <w:ind w:firstLine="405"/>
        <w:divId w:val="386421545"/>
        <w:rPr>
          <w:rFonts w:eastAsia="Times New Roman"/>
        </w:rPr>
      </w:pPr>
      <w:r>
        <w:rPr>
          <w:rFonts w:eastAsia="Times New Roman"/>
          <w:color w:val="000000"/>
          <w:sz w:val="20"/>
          <w:szCs w:val="20"/>
        </w:rPr>
        <w:t>For purposes of the Employment Agreement, “Cause” generally means (i) conduct by Mr. Cozza</w:t>
      </w:r>
      <w:r>
        <w:rPr>
          <w:rFonts w:eastAsia="Times New Roman"/>
          <w:color w:val="000000"/>
          <w:sz w:val="20"/>
          <w:szCs w:val="20"/>
        </w:rPr>
        <w:t xml:space="preserve"> in any manner that violates any law, rule or regulation in any material respect, as a result of any wrongful or improper act, but, in each case, only to the extent that Mr. Cozza’s conduct results in his conviction of a felony in a United States federal c</w:t>
      </w:r>
      <w:r>
        <w:rPr>
          <w:rFonts w:eastAsia="Times New Roman"/>
          <w:color w:val="000000"/>
          <w:sz w:val="20"/>
          <w:szCs w:val="20"/>
        </w:rPr>
        <w:t>ourt or state court of law, or (ii) a material breach by Mr. Cozza of the Employment Agreement which is not cured within 5 business days following written notice.</w:t>
      </w:r>
      <w:r>
        <w:rPr>
          <w:rFonts w:eastAsia="Times New Roman"/>
          <w:color w:val="000000"/>
          <w:sz w:val="20"/>
          <w:szCs w:val="20"/>
        </w:rPr>
        <w:t xml:space="preserve"> </w:t>
      </w:r>
    </w:p>
    <w:p w14:paraId="3A0C6843" w14:textId="77777777" w:rsidR="00000000" w:rsidRDefault="00195E73">
      <w:pPr>
        <w:ind w:firstLine="405"/>
        <w:divId w:val="1876381386"/>
        <w:rPr>
          <w:rFonts w:eastAsia="Times New Roman"/>
        </w:rPr>
      </w:pPr>
      <w:r>
        <w:rPr>
          <w:rFonts w:eastAsia="Times New Roman"/>
          <w:color w:val="000000"/>
          <w:sz w:val="20"/>
          <w:szCs w:val="20"/>
        </w:rPr>
        <w:t>For purposes of the Employment Agreement, “Good Reason” generally means (i) a material breac</w:t>
      </w:r>
      <w:r>
        <w:rPr>
          <w:rFonts w:eastAsia="Times New Roman"/>
          <w:color w:val="000000"/>
          <w:sz w:val="20"/>
          <w:szCs w:val="20"/>
        </w:rPr>
        <w:t>h of the terms of the Employment Agreement by Icahn Enterprises, or (ii) a material change in the duties assigned to Mr. Cozza which are so different in responsibility and scope so as to be materially adverse to Mr. Cozza to the extent that Mr. Cozza actin</w:t>
      </w:r>
      <w:r>
        <w:rPr>
          <w:rFonts w:eastAsia="Times New Roman"/>
          <w:color w:val="000000"/>
          <w:sz w:val="20"/>
          <w:szCs w:val="20"/>
        </w:rPr>
        <w:t>g reasonably would be demeaned by such change, in each case, which is not cured within 5 business days following written notice.</w:t>
      </w:r>
      <w:r>
        <w:rPr>
          <w:rFonts w:eastAsia="Times New Roman"/>
          <w:color w:val="000000"/>
          <w:sz w:val="20"/>
          <w:szCs w:val="20"/>
        </w:rPr>
        <w:t xml:space="preserve"> </w:t>
      </w:r>
    </w:p>
    <w:p w14:paraId="09089A0D" w14:textId="77777777" w:rsidR="00000000" w:rsidRDefault="00195E73">
      <w:pPr>
        <w:divId w:val="796407798"/>
        <w:rPr>
          <w:rFonts w:eastAsia="Times New Roman"/>
        </w:rPr>
      </w:pPr>
      <w:r>
        <w:rPr>
          <w:rFonts w:eastAsia="Times New Roman"/>
          <w:b/>
          <w:bCs/>
          <w:color w:val="000000"/>
          <w:sz w:val="20"/>
          <w:szCs w:val="20"/>
        </w:rPr>
        <w:t>Director Compensatio</w:t>
      </w:r>
      <w:r>
        <w:rPr>
          <w:rFonts w:eastAsia="Times New Roman"/>
          <w:b/>
          <w:bCs/>
          <w:color w:val="000000"/>
          <w:sz w:val="20"/>
          <w:szCs w:val="20"/>
        </w:rPr>
        <w:t>n</w:t>
      </w:r>
    </w:p>
    <w:p w14:paraId="2A0A91AE" w14:textId="77777777" w:rsidR="00000000" w:rsidRDefault="00195E73">
      <w:pPr>
        <w:ind w:firstLine="405"/>
        <w:divId w:val="2044675299"/>
        <w:rPr>
          <w:rFonts w:eastAsia="Times New Roman"/>
        </w:rPr>
      </w:pPr>
      <w:r>
        <w:rPr>
          <w:rFonts w:eastAsia="Times New Roman"/>
          <w:color w:val="000000"/>
          <w:sz w:val="20"/>
          <w:szCs w:val="20"/>
        </w:rPr>
        <w:t>The following table provides compensation information for our directors in 2019, except for Messrs. Icah</w:t>
      </w:r>
      <w:r>
        <w:rPr>
          <w:rFonts w:eastAsia="Times New Roman"/>
          <w:color w:val="000000"/>
          <w:sz w:val="20"/>
          <w:szCs w:val="20"/>
        </w:rPr>
        <w:t>n, Cho and Cozza. Compensation received by Messrs. Icahn, Cho and Cozza is included in the Summary Compensation Table.</w:t>
      </w:r>
      <w:r>
        <w:rPr>
          <w:rFonts w:eastAsia="Times New Roman"/>
          <w:color w:val="000000"/>
          <w:sz w:val="20"/>
          <w:szCs w:val="20"/>
        </w:rPr>
        <w:t xml:space="preserve"> </w:t>
      </w:r>
      <w:r>
        <w:rPr>
          <w:rFonts w:eastAsia="Times New Roman"/>
          <w:color w:val="000000"/>
          <w:sz w:val="20"/>
          <w:szCs w:val="20"/>
          <w:shd w:val="clear" w:color="auto" w:fill="FFFFFF"/>
        </w:rPr>
        <w:t>Messrs. Icahn, Cho and Cozza did not receive compensation for serving on our board of directors.</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4221"/>
        <w:gridCol w:w="60"/>
        <w:gridCol w:w="36"/>
        <w:gridCol w:w="45"/>
        <w:gridCol w:w="36"/>
        <w:gridCol w:w="60"/>
        <w:gridCol w:w="1024"/>
        <w:gridCol w:w="85"/>
        <w:gridCol w:w="36"/>
        <w:gridCol w:w="45"/>
        <w:gridCol w:w="36"/>
        <w:gridCol w:w="88"/>
        <w:gridCol w:w="1099"/>
        <w:gridCol w:w="87"/>
        <w:gridCol w:w="36"/>
        <w:gridCol w:w="45"/>
        <w:gridCol w:w="36"/>
        <w:gridCol w:w="60"/>
        <w:gridCol w:w="1026"/>
        <w:gridCol w:w="85"/>
      </w:tblGrid>
      <w:tr w:rsidR="00000000" w14:paraId="7DEA38E2" w14:textId="77777777">
        <w:trPr>
          <w:divId w:val="791366986"/>
          <w:jc w:val="center"/>
        </w:trPr>
        <w:tc>
          <w:tcPr>
            <w:tcW w:w="50" w:type="pct"/>
            <w:vAlign w:val="center"/>
            <w:hideMark/>
          </w:tcPr>
          <w:p w14:paraId="72839973" w14:textId="77777777" w:rsidR="00000000" w:rsidRDefault="00195E73">
            <w:pPr>
              <w:ind w:firstLine="405"/>
              <w:rPr>
                <w:rFonts w:eastAsia="Times New Roman"/>
              </w:rPr>
            </w:pPr>
          </w:p>
        </w:tc>
        <w:tc>
          <w:tcPr>
            <w:tcW w:w="2553" w:type="pct"/>
            <w:vAlign w:val="center"/>
            <w:hideMark/>
          </w:tcPr>
          <w:p w14:paraId="3DA2B76E" w14:textId="77777777" w:rsidR="00000000" w:rsidRDefault="00195E73">
            <w:pPr>
              <w:rPr>
                <w:rFonts w:eastAsia="Times New Roman"/>
                <w:sz w:val="20"/>
                <w:szCs w:val="20"/>
              </w:rPr>
            </w:pPr>
          </w:p>
        </w:tc>
        <w:tc>
          <w:tcPr>
            <w:tcW w:w="50" w:type="pct"/>
            <w:vAlign w:val="center"/>
            <w:hideMark/>
          </w:tcPr>
          <w:p w14:paraId="2663CB1B" w14:textId="77777777" w:rsidR="00000000" w:rsidRDefault="00195E73">
            <w:pPr>
              <w:rPr>
                <w:rFonts w:eastAsia="Times New Roman"/>
                <w:sz w:val="20"/>
                <w:szCs w:val="20"/>
              </w:rPr>
            </w:pPr>
          </w:p>
        </w:tc>
        <w:tc>
          <w:tcPr>
            <w:tcW w:w="5" w:type="pct"/>
            <w:vAlign w:val="center"/>
            <w:hideMark/>
          </w:tcPr>
          <w:p w14:paraId="5D73A3F9" w14:textId="77777777" w:rsidR="00000000" w:rsidRDefault="00195E73">
            <w:pPr>
              <w:rPr>
                <w:rFonts w:eastAsia="Times New Roman"/>
                <w:sz w:val="20"/>
                <w:szCs w:val="20"/>
              </w:rPr>
            </w:pPr>
          </w:p>
        </w:tc>
        <w:tc>
          <w:tcPr>
            <w:tcW w:w="41" w:type="pct"/>
            <w:vAlign w:val="center"/>
            <w:hideMark/>
          </w:tcPr>
          <w:p w14:paraId="38666724" w14:textId="77777777" w:rsidR="00000000" w:rsidRDefault="00195E73">
            <w:pPr>
              <w:rPr>
                <w:rFonts w:eastAsia="Times New Roman"/>
                <w:sz w:val="20"/>
                <w:szCs w:val="20"/>
              </w:rPr>
            </w:pPr>
          </w:p>
        </w:tc>
        <w:tc>
          <w:tcPr>
            <w:tcW w:w="5" w:type="pct"/>
            <w:vAlign w:val="center"/>
            <w:hideMark/>
          </w:tcPr>
          <w:p w14:paraId="4B8FA832" w14:textId="77777777" w:rsidR="00000000" w:rsidRDefault="00195E73">
            <w:pPr>
              <w:rPr>
                <w:rFonts w:eastAsia="Times New Roman"/>
                <w:sz w:val="20"/>
                <w:szCs w:val="20"/>
              </w:rPr>
            </w:pPr>
          </w:p>
        </w:tc>
        <w:tc>
          <w:tcPr>
            <w:tcW w:w="50" w:type="pct"/>
            <w:vAlign w:val="center"/>
            <w:hideMark/>
          </w:tcPr>
          <w:p w14:paraId="61345104" w14:textId="77777777" w:rsidR="00000000" w:rsidRDefault="00195E73">
            <w:pPr>
              <w:rPr>
                <w:rFonts w:eastAsia="Times New Roman"/>
                <w:sz w:val="20"/>
                <w:szCs w:val="20"/>
              </w:rPr>
            </w:pPr>
          </w:p>
        </w:tc>
        <w:tc>
          <w:tcPr>
            <w:tcW w:w="630" w:type="pct"/>
            <w:vAlign w:val="center"/>
            <w:hideMark/>
          </w:tcPr>
          <w:p w14:paraId="2F14F1E7" w14:textId="77777777" w:rsidR="00000000" w:rsidRDefault="00195E73">
            <w:pPr>
              <w:rPr>
                <w:rFonts w:eastAsia="Times New Roman"/>
                <w:sz w:val="20"/>
                <w:szCs w:val="20"/>
              </w:rPr>
            </w:pPr>
          </w:p>
        </w:tc>
        <w:tc>
          <w:tcPr>
            <w:tcW w:w="50" w:type="pct"/>
            <w:vAlign w:val="center"/>
            <w:hideMark/>
          </w:tcPr>
          <w:p w14:paraId="5190F087" w14:textId="77777777" w:rsidR="00000000" w:rsidRDefault="00195E73">
            <w:pPr>
              <w:rPr>
                <w:rFonts w:eastAsia="Times New Roman"/>
                <w:sz w:val="20"/>
                <w:szCs w:val="20"/>
              </w:rPr>
            </w:pPr>
          </w:p>
        </w:tc>
        <w:tc>
          <w:tcPr>
            <w:tcW w:w="5" w:type="pct"/>
            <w:vAlign w:val="center"/>
            <w:hideMark/>
          </w:tcPr>
          <w:p w14:paraId="40683B11" w14:textId="77777777" w:rsidR="00000000" w:rsidRDefault="00195E73">
            <w:pPr>
              <w:rPr>
                <w:rFonts w:eastAsia="Times New Roman"/>
                <w:sz w:val="20"/>
                <w:szCs w:val="20"/>
              </w:rPr>
            </w:pPr>
          </w:p>
        </w:tc>
        <w:tc>
          <w:tcPr>
            <w:tcW w:w="41" w:type="pct"/>
            <w:vAlign w:val="center"/>
            <w:hideMark/>
          </w:tcPr>
          <w:p w14:paraId="79AED4B6" w14:textId="77777777" w:rsidR="00000000" w:rsidRDefault="00195E73">
            <w:pPr>
              <w:rPr>
                <w:rFonts w:eastAsia="Times New Roman"/>
                <w:sz w:val="20"/>
                <w:szCs w:val="20"/>
              </w:rPr>
            </w:pPr>
          </w:p>
        </w:tc>
        <w:tc>
          <w:tcPr>
            <w:tcW w:w="5" w:type="pct"/>
            <w:vAlign w:val="center"/>
            <w:hideMark/>
          </w:tcPr>
          <w:p w14:paraId="43234CA4" w14:textId="77777777" w:rsidR="00000000" w:rsidRDefault="00195E73">
            <w:pPr>
              <w:rPr>
                <w:rFonts w:eastAsia="Times New Roman"/>
                <w:sz w:val="20"/>
                <w:szCs w:val="20"/>
              </w:rPr>
            </w:pPr>
          </w:p>
        </w:tc>
        <w:tc>
          <w:tcPr>
            <w:tcW w:w="50" w:type="pct"/>
            <w:vAlign w:val="center"/>
            <w:hideMark/>
          </w:tcPr>
          <w:p w14:paraId="3C40199A" w14:textId="77777777" w:rsidR="00000000" w:rsidRDefault="00195E73">
            <w:pPr>
              <w:rPr>
                <w:rFonts w:eastAsia="Times New Roman"/>
                <w:sz w:val="20"/>
                <w:szCs w:val="20"/>
              </w:rPr>
            </w:pPr>
          </w:p>
        </w:tc>
        <w:tc>
          <w:tcPr>
            <w:tcW w:w="630" w:type="pct"/>
            <w:vAlign w:val="center"/>
            <w:hideMark/>
          </w:tcPr>
          <w:p w14:paraId="0223039D" w14:textId="77777777" w:rsidR="00000000" w:rsidRDefault="00195E73">
            <w:pPr>
              <w:rPr>
                <w:rFonts w:eastAsia="Times New Roman"/>
                <w:sz w:val="20"/>
                <w:szCs w:val="20"/>
              </w:rPr>
            </w:pPr>
          </w:p>
        </w:tc>
        <w:tc>
          <w:tcPr>
            <w:tcW w:w="50" w:type="pct"/>
            <w:vAlign w:val="center"/>
            <w:hideMark/>
          </w:tcPr>
          <w:p w14:paraId="144E4946" w14:textId="77777777" w:rsidR="00000000" w:rsidRDefault="00195E73">
            <w:pPr>
              <w:rPr>
                <w:rFonts w:eastAsia="Times New Roman"/>
                <w:sz w:val="20"/>
                <w:szCs w:val="20"/>
              </w:rPr>
            </w:pPr>
          </w:p>
        </w:tc>
        <w:tc>
          <w:tcPr>
            <w:tcW w:w="5" w:type="pct"/>
            <w:vAlign w:val="center"/>
            <w:hideMark/>
          </w:tcPr>
          <w:p w14:paraId="1A5DAE7E" w14:textId="77777777" w:rsidR="00000000" w:rsidRDefault="00195E73">
            <w:pPr>
              <w:rPr>
                <w:rFonts w:eastAsia="Times New Roman"/>
                <w:sz w:val="20"/>
                <w:szCs w:val="20"/>
              </w:rPr>
            </w:pPr>
          </w:p>
        </w:tc>
        <w:tc>
          <w:tcPr>
            <w:tcW w:w="41" w:type="pct"/>
            <w:vAlign w:val="center"/>
            <w:hideMark/>
          </w:tcPr>
          <w:p w14:paraId="16FBDAC3" w14:textId="77777777" w:rsidR="00000000" w:rsidRDefault="00195E73">
            <w:pPr>
              <w:rPr>
                <w:rFonts w:eastAsia="Times New Roman"/>
                <w:sz w:val="20"/>
                <w:szCs w:val="20"/>
              </w:rPr>
            </w:pPr>
          </w:p>
        </w:tc>
        <w:tc>
          <w:tcPr>
            <w:tcW w:w="5" w:type="pct"/>
            <w:vAlign w:val="center"/>
            <w:hideMark/>
          </w:tcPr>
          <w:p w14:paraId="57042D26" w14:textId="77777777" w:rsidR="00000000" w:rsidRDefault="00195E73">
            <w:pPr>
              <w:rPr>
                <w:rFonts w:eastAsia="Times New Roman"/>
                <w:sz w:val="20"/>
                <w:szCs w:val="20"/>
              </w:rPr>
            </w:pPr>
          </w:p>
        </w:tc>
        <w:tc>
          <w:tcPr>
            <w:tcW w:w="50" w:type="pct"/>
            <w:vAlign w:val="center"/>
            <w:hideMark/>
          </w:tcPr>
          <w:p w14:paraId="5645017D" w14:textId="77777777" w:rsidR="00000000" w:rsidRDefault="00195E73">
            <w:pPr>
              <w:rPr>
                <w:rFonts w:eastAsia="Times New Roman"/>
                <w:sz w:val="20"/>
                <w:szCs w:val="20"/>
              </w:rPr>
            </w:pPr>
          </w:p>
        </w:tc>
        <w:tc>
          <w:tcPr>
            <w:tcW w:w="631" w:type="pct"/>
            <w:vAlign w:val="center"/>
            <w:hideMark/>
          </w:tcPr>
          <w:p w14:paraId="30570DD3" w14:textId="77777777" w:rsidR="00000000" w:rsidRDefault="00195E73">
            <w:pPr>
              <w:rPr>
                <w:rFonts w:eastAsia="Times New Roman"/>
                <w:sz w:val="20"/>
                <w:szCs w:val="20"/>
              </w:rPr>
            </w:pPr>
          </w:p>
        </w:tc>
        <w:tc>
          <w:tcPr>
            <w:tcW w:w="50" w:type="pct"/>
            <w:vAlign w:val="center"/>
            <w:hideMark/>
          </w:tcPr>
          <w:p w14:paraId="16BA2355" w14:textId="77777777" w:rsidR="00000000" w:rsidRDefault="00195E73">
            <w:pPr>
              <w:rPr>
                <w:rFonts w:eastAsia="Times New Roman"/>
                <w:sz w:val="20"/>
                <w:szCs w:val="20"/>
              </w:rPr>
            </w:pPr>
          </w:p>
        </w:tc>
      </w:tr>
      <w:tr w:rsidR="00000000" w14:paraId="19B986E7" w14:textId="77777777">
        <w:trPr>
          <w:divId w:val="791366986"/>
          <w:jc w:val="center"/>
        </w:trPr>
        <w:tc>
          <w:tcPr>
            <w:tcW w:w="0" w:type="auto"/>
            <w:gridSpan w:val="3"/>
            <w:tcMar>
              <w:top w:w="30" w:type="dxa"/>
              <w:left w:w="20" w:type="dxa"/>
              <w:bottom w:w="30" w:type="dxa"/>
              <w:right w:w="20" w:type="dxa"/>
            </w:tcMar>
            <w:vAlign w:val="bottom"/>
            <w:hideMark/>
          </w:tcPr>
          <w:p w14:paraId="1D954178" w14:textId="77777777" w:rsidR="00000000" w:rsidRDefault="00195E73">
            <w:pPr>
              <w:rPr>
                <w:rFonts w:eastAsia="Times New Roman"/>
              </w:rPr>
            </w:pPr>
            <w:r>
              <w:rPr>
                <w:rFonts w:eastAsia="Times New Roman"/>
                <w:b/>
                <w:bCs/>
                <w:color w:val="000000"/>
                <w:sz w:val="20"/>
                <w:szCs w:val="20"/>
              </w:rPr>
              <w:t>Nam</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14:paraId="01FD6CBE"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724167D2" w14:textId="77777777" w:rsidR="00000000" w:rsidRDefault="00195E73">
            <w:pPr>
              <w:jc w:val="center"/>
              <w:rPr>
                <w:rFonts w:eastAsia="Times New Roman"/>
              </w:rPr>
            </w:pPr>
            <w:r>
              <w:rPr>
                <w:rFonts w:eastAsia="Times New Roman"/>
                <w:b/>
                <w:bCs/>
                <w:color w:val="000000"/>
                <w:sz w:val="20"/>
                <w:szCs w:val="20"/>
              </w:rPr>
              <w:t xml:space="preserve">Fees Earned or </w:t>
            </w:r>
            <w:r>
              <w:rPr>
                <w:rFonts w:eastAsia="Times New Roman"/>
                <w:b/>
                <w:bCs/>
                <w:color w:val="000000"/>
                <w:sz w:val="20"/>
                <w:szCs w:val="20"/>
              </w:rPr>
              <w:br/>
              <w:t>Paid in Cash</w:t>
            </w:r>
            <w:r>
              <w:rPr>
                <w:rFonts w:eastAsia="Times New Roman"/>
                <w:b/>
                <w:bCs/>
                <w:color w:val="000000"/>
                <w:sz w:val="20"/>
                <w:szCs w:val="20"/>
              </w:rPr>
              <w:br/>
              <w:t>($</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14:paraId="5238E956" w14:textId="77777777" w:rsidR="00000000" w:rsidRDefault="00195E73">
            <w:pPr>
              <w:jc w:val="center"/>
              <w:rPr>
                <w:rFonts w:eastAsia="Times New Roman"/>
              </w:rPr>
            </w:pPr>
          </w:p>
        </w:tc>
        <w:tc>
          <w:tcPr>
            <w:tcW w:w="0" w:type="auto"/>
            <w:gridSpan w:val="3"/>
            <w:tcMar>
              <w:top w:w="30" w:type="dxa"/>
              <w:left w:w="20" w:type="dxa"/>
              <w:bottom w:w="30" w:type="dxa"/>
              <w:right w:w="20" w:type="dxa"/>
            </w:tcMar>
            <w:vAlign w:val="bottom"/>
            <w:hideMark/>
          </w:tcPr>
          <w:p w14:paraId="6C5C775C" w14:textId="77777777" w:rsidR="00000000" w:rsidRDefault="00195E73">
            <w:pPr>
              <w:jc w:val="center"/>
              <w:rPr>
                <w:rFonts w:eastAsia="Times New Roman"/>
              </w:rPr>
            </w:pPr>
            <w:r>
              <w:rPr>
                <w:rFonts w:eastAsia="Times New Roman"/>
                <w:b/>
                <w:bCs/>
                <w:color w:val="000000"/>
                <w:sz w:val="20"/>
                <w:szCs w:val="20"/>
              </w:rPr>
              <w:t>All Othe</w:t>
            </w:r>
            <w:r>
              <w:rPr>
                <w:rFonts w:eastAsia="Times New Roman"/>
                <w:b/>
                <w:bCs/>
                <w:color w:val="000000"/>
                <w:sz w:val="20"/>
                <w:szCs w:val="20"/>
              </w:rPr>
              <w:t>r</w:t>
            </w:r>
          </w:p>
          <w:p w14:paraId="325BEC93" w14:textId="77777777" w:rsidR="00000000" w:rsidRDefault="00195E73">
            <w:pPr>
              <w:jc w:val="center"/>
              <w:rPr>
                <w:rFonts w:eastAsia="Times New Roman"/>
              </w:rPr>
            </w:pPr>
            <w:r>
              <w:rPr>
                <w:rFonts w:eastAsia="Times New Roman"/>
                <w:b/>
                <w:bCs/>
                <w:color w:val="000000"/>
                <w:sz w:val="20"/>
                <w:szCs w:val="20"/>
              </w:rPr>
              <w:t>Compensatio</w:t>
            </w:r>
            <w:r>
              <w:rPr>
                <w:rFonts w:eastAsia="Times New Roman"/>
                <w:b/>
                <w:bCs/>
                <w:color w:val="000000"/>
                <w:sz w:val="20"/>
                <w:szCs w:val="20"/>
              </w:rPr>
              <w:t>n</w:t>
            </w:r>
          </w:p>
          <w:p w14:paraId="0B8F8977" w14:textId="77777777" w:rsidR="00000000" w:rsidRDefault="00195E73">
            <w:pPr>
              <w:jc w:val="center"/>
              <w:rPr>
                <w:rFonts w:eastAsia="Times New Roman"/>
              </w:rPr>
            </w:pPr>
            <w:r>
              <w:rPr>
                <w:rFonts w:eastAsia="Times New Roman"/>
                <w:b/>
                <w:bCs/>
                <w:color w:val="000000"/>
                <w:sz w:val="20"/>
                <w:szCs w:val="20"/>
              </w:rPr>
              <w:t>($</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14:paraId="1C994757" w14:textId="77777777" w:rsidR="00000000" w:rsidRDefault="00195E73">
            <w:pPr>
              <w:jc w:val="center"/>
              <w:rPr>
                <w:rFonts w:eastAsia="Times New Roman"/>
              </w:rPr>
            </w:pPr>
          </w:p>
        </w:tc>
        <w:tc>
          <w:tcPr>
            <w:tcW w:w="0" w:type="auto"/>
            <w:gridSpan w:val="3"/>
            <w:tcMar>
              <w:top w:w="30" w:type="dxa"/>
              <w:left w:w="20" w:type="dxa"/>
              <w:bottom w:w="30" w:type="dxa"/>
              <w:right w:w="20" w:type="dxa"/>
            </w:tcMar>
            <w:vAlign w:val="bottom"/>
            <w:hideMark/>
          </w:tcPr>
          <w:p w14:paraId="3F52956B" w14:textId="77777777" w:rsidR="00000000" w:rsidRDefault="00195E73">
            <w:pPr>
              <w:jc w:val="center"/>
              <w:rPr>
                <w:rFonts w:eastAsia="Times New Roman"/>
              </w:rPr>
            </w:pPr>
            <w:r>
              <w:rPr>
                <w:rFonts w:eastAsia="Times New Roman"/>
                <w:b/>
                <w:bCs/>
                <w:color w:val="000000"/>
                <w:sz w:val="20"/>
                <w:szCs w:val="20"/>
              </w:rPr>
              <w:t>Tota</w:t>
            </w:r>
            <w:r>
              <w:rPr>
                <w:rFonts w:eastAsia="Times New Roman"/>
                <w:b/>
                <w:bCs/>
                <w:color w:val="000000"/>
                <w:sz w:val="20"/>
                <w:szCs w:val="20"/>
              </w:rPr>
              <w:t>l</w:t>
            </w:r>
          </w:p>
          <w:p w14:paraId="5E3B0847" w14:textId="77777777" w:rsidR="00000000" w:rsidRDefault="00195E73">
            <w:pPr>
              <w:jc w:val="center"/>
              <w:rPr>
                <w:rFonts w:eastAsia="Times New Roman"/>
              </w:rPr>
            </w:pPr>
            <w:r>
              <w:rPr>
                <w:rFonts w:eastAsia="Times New Roman"/>
                <w:b/>
                <w:bCs/>
                <w:color w:val="000000"/>
                <w:sz w:val="20"/>
                <w:szCs w:val="20"/>
              </w:rPr>
              <w:t>($</w:t>
            </w:r>
            <w:r>
              <w:rPr>
                <w:rFonts w:eastAsia="Times New Roman"/>
                <w:b/>
                <w:bCs/>
                <w:color w:val="000000"/>
                <w:sz w:val="20"/>
                <w:szCs w:val="20"/>
              </w:rPr>
              <w:t>)</w:t>
            </w:r>
          </w:p>
        </w:tc>
      </w:tr>
      <w:tr w:rsidR="00000000" w14:paraId="0B269B57" w14:textId="77777777">
        <w:trPr>
          <w:divId w:val="791366986"/>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D791019" w14:textId="77777777" w:rsidR="00000000" w:rsidRDefault="00195E73">
            <w:pPr>
              <w:rPr>
                <w:rFonts w:eastAsia="Times New Roman"/>
              </w:rPr>
            </w:pPr>
            <w:r>
              <w:rPr>
                <w:rFonts w:eastAsia="Times New Roman"/>
                <w:color w:val="000000"/>
                <w:sz w:val="20"/>
                <w:szCs w:val="20"/>
              </w:rPr>
              <w:t>Denise Barto</w:t>
            </w:r>
            <w:r>
              <w:rPr>
                <w:rFonts w:eastAsia="Times New Roman"/>
                <w:color w:val="000000"/>
                <w:sz w:val="20"/>
                <w:szCs w:val="20"/>
              </w:rPr>
              <w:t>n</w:t>
            </w:r>
          </w:p>
        </w:tc>
        <w:tc>
          <w:tcPr>
            <w:tcW w:w="0" w:type="auto"/>
            <w:gridSpan w:val="3"/>
            <w:shd w:val="clear" w:color="auto" w:fill="CCEEFF"/>
            <w:tcMar>
              <w:top w:w="30" w:type="dxa"/>
              <w:left w:w="20" w:type="dxa"/>
              <w:bottom w:w="30" w:type="dxa"/>
              <w:right w:w="20" w:type="dxa"/>
            </w:tcMar>
            <w:vAlign w:val="bottom"/>
            <w:hideMark/>
          </w:tcPr>
          <w:p w14:paraId="286B9A86" w14:textId="77777777" w:rsidR="00000000" w:rsidRDefault="00195E73">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13E1DE" w14:textId="77777777" w:rsidR="00000000" w:rsidRDefault="00195E73">
            <w:pPr>
              <w:jc w:val="right"/>
              <w:rPr>
                <w:rFonts w:eastAsia="Times New Roman"/>
              </w:rPr>
            </w:pPr>
            <w:r>
              <w:rPr>
                <w:rFonts w:eastAsia="Times New Roman"/>
                <w:color w:val="000000"/>
                <w:sz w:val="20"/>
                <w:szCs w:val="20"/>
              </w:rPr>
              <w:t>9,205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CCCDDA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0A607856" w14:textId="77777777" w:rsidR="00000000" w:rsidRDefault="00195E73">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F529EC"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55622C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74819A56" w14:textId="77777777" w:rsidR="00000000" w:rsidRDefault="00195E73">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0AD838" w14:textId="77777777" w:rsidR="00000000" w:rsidRDefault="00195E73">
            <w:pPr>
              <w:jc w:val="right"/>
              <w:rPr>
                <w:rFonts w:eastAsia="Times New Roman"/>
              </w:rPr>
            </w:pPr>
            <w:r>
              <w:rPr>
                <w:rFonts w:eastAsia="Times New Roman"/>
                <w:color w:val="000000"/>
                <w:sz w:val="20"/>
                <w:szCs w:val="20"/>
              </w:rPr>
              <w:t>9,205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A15A34D" w14:textId="77777777" w:rsidR="00000000" w:rsidRDefault="00195E73">
            <w:pPr>
              <w:jc w:val="right"/>
              <w:rPr>
                <w:rFonts w:eastAsia="Times New Roman"/>
              </w:rPr>
            </w:pPr>
            <w:r>
              <w:rPr>
                <w:rFonts w:eastAsia="Times New Roman"/>
                <w:color w:val="000000"/>
                <w:sz w:val="20"/>
                <w:szCs w:val="20"/>
              </w:rPr>
              <w:t> </w:t>
            </w:r>
          </w:p>
        </w:tc>
      </w:tr>
      <w:tr w:rsidR="00000000" w14:paraId="7B1B706A" w14:textId="77777777">
        <w:trPr>
          <w:divId w:val="791366986"/>
          <w:jc w:val="center"/>
        </w:trPr>
        <w:tc>
          <w:tcPr>
            <w:tcW w:w="0" w:type="auto"/>
            <w:gridSpan w:val="3"/>
            <w:shd w:val="clear" w:color="auto" w:fill="FFFFFF"/>
            <w:tcMar>
              <w:top w:w="30" w:type="dxa"/>
              <w:left w:w="20" w:type="dxa"/>
              <w:bottom w:w="30" w:type="dxa"/>
              <w:right w:w="20" w:type="dxa"/>
            </w:tcMar>
            <w:vAlign w:val="bottom"/>
            <w:hideMark/>
          </w:tcPr>
          <w:p w14:paraId="63220E54" w14:textId="77777777" w:rsidR="00000000" w:rsidRDefault="00195E73">
            <w:pPr>
              <w:rPr>
                <w:rFonts w:eastAsia="Times New Roman"/>
              </w:rPr>
            </w:pPr>
            <w:r>
              <w:rPr>
                <w:rFonts w:eastAsia="Times New Roman"/>
                <w:color w:val="000000"/>
                <w:sz w:val="20"/>
                <w:szCs w:val="20"/>
              </w:rPr>
              <w:t>Alvin B. Krongar</w:t>
            </w:r>
            <w:r>
              <w:rPr>
                <w:rFonts w:eastAsia="Times New Roman"/>
                <w:color w:val="000000"/>
                <w:sz w:val="20"/>
                <w:szCs w:val="20"/>
              </w:rPr>
              <w:t>d</w:t>
            </w:r>
          </w:p>
        </w:tc>
        <w:tc>
          <w:tcPr>
            <w:tcW w:w="0" w:type="auto"/>
            <w:gridSpan w:val="3"/>
            <w:shd w:val="clear" w:color="auto" w:fill="FFFFFF"/>
            <w:tcMar>
              <w:top w:w="30" w:type="dxa"/>
              <w:left w:w="20" w:type="dxa"/>
              <w:bottom w:w="30" w:type="dxa"/>
              <w:right w:w="20" w:type="dxa"/>
            </w:tcMar>
            <w:vAlign w:val="bottom"/>
            <w:hideMark/>
          </w:tcPr>
          <w:p w14:paraId="2C8C8F6C" w14:textId="77777777" w:rsidR="00000000" w:rsidRDefault="00195E73">
            <w:pPr>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2766F315" w14:textId="77777777" w:rsidR="00000000" w:rsidRDefault="00195E73">
            <w:pPr>
              <w:jc w:val="right"/>
              <w:rPr>
                <w:rFonts w:eastAsia="Times New Roman"/>
              </w:rPr>
            </w:pPr>
            <w:r>
              <w:rPr>
                <w:rFonts w:eastAsia="Times New Roman"/>
                <w:color w:val="000000"/>
                <w:sz w:val="20"/>
                <w:szCs w:val="20"/>
              </w:rPr>
              <w:t>27,880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388461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0DF5DBEA" w14:textId="77777777" w:rsidR="00000000" w:rsidRDefault="00195E73">
            <w:pPr>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2C0267A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34ECAE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30CBE9D3" w14:textId="77777777" w:rsidR="00000000" w:rsidRDefault="00195E73">
            <w:pPr>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14:paraId="19D603B8" w14:textId="77777777" w:rsidR="00000000" w:rsidRDefault="00195E73">
            <w:pPr>
              <w:jc w:val="right"/>
              <w:rPr>
                <w:rFonts w:eastAsia="Times New Roman"/>
              </w:rPr>
            </w:pPr>
            <w:r>
              <w:rPr>
                <w:rFonts w:eastAsia="Times New Roman"/>
                <w:color w:val="000000"/>
                <w:sz w:val="20"/>
                <w:szCs w:val="20"/>
              </w:rPr>
              <w:t>27,880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25968EF" w14:textId="77777777" w:rsidR="00000000" w:rsidRDefault="00195E73">
            <w:pPr>
              <w:jc w:val="right"/>
              <w:rPr>
                <w:rFonts w:eastAsia="Times New Roman"/>
              </w:rPr>
            </w:pPr>
            <w:r>
              <w:rPr>
                <w:rFonts w:eastAsia="Times New Roman"/>
                <w:color w:val="000000"/>
                <w:sz w:val="20"/>
                <w:szCs w:val="20"/>
              </w:rPr>
              <w:t> </w:t>
            </w:r>
          </w:p>
        </w:tc>
      </w:tr>
      <w:tr w:rsidR="00000000" w14:paraId="29A8E340" w14:textId="77777777">
        <w:trPr>
          <w:divId w:val="791366986"/>
          <w:jc w:val="center"/>
        </w:trPr>
        <w:tc>
          <w:tcPr>
            <w:tcW w:w="0" w:type="auto"/>
            <w:gridSpan w:val="3"/>
            <w:shd w:val="clear" w:color="auto" w:fill="CCEEFF"/>
            <w:tcMar>
              <w:top w:w="30" w:type="dxa"/>
              <w:left w:w="20" w:type="dxa"/>
              <w:bottom w:w="30" w:type="dxa"/>
              <w:right w:w="20" w:type="dxa"/>
            </w:tcMar>
            <w:vAlign w:val="bottom"/>
            <w:hideMark/>
          </w:tcPr>
          <w:p w14:paraId="66B4794F" w14:textId="77777777" w:rsidR="00000000" w:rsidRDefault="00195E73">
            <w:pPr>
              <w:rPr>
                <w:rFonts w:eastAsia="Times New Roman"/>
              </w:rPr>
            </w:pPr>
            <w:r>
              <w:rPr>
                <w:rFonts w:eastAsia="Times New Roman"/>
                <w:color w:val="000000"/>
                <w:sz w:val="20"/>
                <w:szCs w:val="20"/>
              </w:rPr>
              <w:t>Jack G. Wasserma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14:paraId="349EADA2"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77E2D6" w14:textId="77777777" w:rsidR="00000000" w:rsidRDefault="00195E73">
            <w:pPr>
              <w:jc w:val="right"/>
              <w:rPr>
                <w:rFonts w:eastAsia="Times New Roman"/>
              </w:rPr>
            </w:pPr>
            <w:r>
              <w:rPr>
                <w:rFonts w:eastAsia="Times New Roman"/>
                <w:color w:val="000000"/>
                <w:sz w:val="20"/>
                <w:szCs w:val="20"/>
              </w:rPr>
              <w:t>40,000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046146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B8A1D3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8ED638"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EBCD60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6C4A9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75B66D" w14:textId="77777777" w:rsidR="00000000" w:rsidRDefault="00195E73">
            <w:pPr>
              <w:jc w:val="right"/>
              <w:rPr>
                <w:rFonts w:eastAsia="Times New Roman"/>
              </w:rPr>
            </w:pPr>
            <w:r>
              <w:rPr>
                <w:rFonts w:eastAsia="Times New Roman"/>
                <w:color w:val="000000"/>
                <w:sz w:val="20"/>
                <w:szCs w:val="20"/>
              </w:rPr>
              <w:t>40,000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4E4694F" w14:textId="77777777" w:rsidR="00000000" w:rsidRDefault="00195E73">
            <w:pPr>
              <w:jc w:val="right"/>
              <w:rPr>
                <w:rFonts w:eastAsia="Times New Roman"/>
              </w:rPr>
            </w:pPr>
            <w:r>
              <w:rPr>
                <w:rFonts w:eastAsia="Times New Roman"/>
                <w:color w:val="000000"/>
                <w:sz w:val="20"/>
                <w:szCs w:val="20"/>
              </w:rPr>
              <w:t> </w:t>
            </w:r>
          </w:p>
        </w:tc>
      </w:tr>
      <w:tr w:rsidR="00000000" w14:paraId="57BC0F4D" w14:textId="77777777">
        <w:trPr>
          <w:divId w:val="791366986"/>
          <w:jc w:val="center"/>
        </w:trPr>
        <w:tc>
          <w:tcPr>
            <w:tcW w:w="0" w:type="auto"/>
            <w:gridSpan w:val="3"/>
            <w:shd w:val="clear" w:color="auto" w:fill="FFFFFF"/>
            <w:tcMar>
              <w:top w:w="30" w:type="dxa"/>
              <w:left w:w="20" w:type="dxa"/>
              <w:bottom w:w="30" w:type="dxa"/>
              <w:right w:w="20" w:type="dxa"/>
            </w:tcMar>
            <w:vAlign w:val="bottom"/>
            <w:hideMark/>
          </w:tcPr>
          <w:p w14:paraId="4F22E923" w14:textId="77777777" w:rsidR="00000000" w:rsidRDefault="00195E73">
            <w:pPr>
              <w:rPr>
                <w:rFonts w:eastAsia="Times New Roman"/>
              </w:rPr>
            </w:pPr>
            <w:r>
              <w:rPr>
                <w:rFonts w:eastAsia="Times New Roman"/>
                <w:color w:val="000000"/>
                <w:sz w:val="20"/>
                <w:szCs w:val="20"/>
              </w:rPr>
              <w:t>William A. Leidesdor</w:t>
            </w:r>
            <w:r>
              <w:rPr>
                <w:rFonts w:eastAsia="Times New Roman"/>
                <w:color w:val="000000"/>
                <w:sz w:val="20"/>
                <w:szCs w:val="20"/>
              </w:rPr>
              <w:t>f</w:t>
            </w:r>
          </w:p>
        </w:tc>
        <w:tc>
          <w:tcPr>
            <w:tcW w:w="0" w:type="auto"/>
            <w:gridSpan w:val="3"/>
            <w:shd w:val="clear" w:color="auto" w:fill="FFFFFF"/>
            <w:tcMar>
              <w:top w:w="15" w:type="dxa"/>
              <w:left w:w="20" w:type="dxa"/>
              <w:bottom w:w="15" w:type="dxa"/>
              <w:right w:w="20" w:type="dxa"/>
            </w:tcMar>
            <w:vAlign w:val="bottom"/>
            <w:hideMark/>
          </w:tcPr>
          <w:p w14:paraId="0956CA38"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988C66" w14:textId="77777777" w:rsidR="00000000" w:rsidRDefault="00195E73">
            <w:pPr>
              <w:jc w:val="right"/>
              <w:rPr>
                <w:rFonts w:eastAsia="Times New Roman"/>
              </w:rPr>
            </w:pPr>
            <w:r>
              <w:rPr>
                <w:rFonts w:eastAsia="Times New Roman"/>
                <w:color w:val="000000"/>
                <w:sz w:val="20"/>
                <w:szCs w:val="20"/>
              </w:rPr>
              <w:t>25,123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44F1EE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A60D1A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575EF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5E3E4A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2C7C53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E5B40E" w14:textId="77777777" w:rsidR="00000000" w:rsidRDefault="00195E73">
            <w:pPr>
              <w:jc w:val="right"/>
              <w:rPr>
                <w:rFonts w:eastAsia="Times New Roman"/>
              </w:rPr>
            </w:pPr>
            <w:r>
              <w:rPr>
                <w:rFonts w:eastAsia="Times New Roman"/>
                <w:color w:val="000000"/>
                <w:sz w:val="20"/>
                <w:szCs w:val="20"/>
              </w:rPr>
              <w:t>25,123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397EA3" w14:textId="77777777" w:rsidR="00000000" w:rsidRDefault="00195E73">
            <w:pPr>
              <w:jc w:val="right"/>
              <w:rPr>
                <w:rFonts w:eastAsia="Times New Roman"/>
              </w:rPr>
            </w:pPr>
            <w:r>
              <w:rPr>
                <w:rFonts w:eastAsia="Times New Roman"/>
                <w:color w:val="000000"/>
                <w:sz w:val="20"/>
                <w:szCs w:val="20"/>
              </w:rPr>
              <w:t> </w:t>
            </w:r>
          </w:p>
        </w:tc>
      </w:tr>
      <w:tr w:rsidR="00000000" w14:paraId="01A241BE" w14:textId="77777777">
        <w:trPr>
          <w:divId w:val="791366986"/>
          <w:jc w:val="center"/>
        </w:trPr>
        <w:tc>
          <w:tcPr>
            <w:tcW w:w="0" w:type="auto"/>
            <w:gridSpan w:val="3"/>
            <w:shd w:val="clear" w:color="auto" w:fill="CCEEFF"/>
            <w:tcMar>
              <w:top w:w="30" w:type="dxa"/>
              <w:left w:w="20" w:type="dxa"/>
              <w:bottom w:w="30" w:type="dxa"/>
              <w:right w:w="20" w:type="dxa"/>
            </w:tcMar>
            <w:vAlign w:val="bottom"/>
            <w:hideMark/>
          </w:tcPr>
          <w:p w14:paraId="64A3DFE0" w14:textId="77777777" w:rsidR="00000000" w:rsidRDefault="00195E73">
            <w:pPr>
              <w:rPr>
                <w:rFonts w:eastAsia="Times New Roman"/>
              </w:rPr>
            </w:pPr>
            <w:r>
              <w:rPr>
                <w:rFonts w:eastAsia="Times New Roman"/>
                <w:color w:val="000000"/>
                <w:sz w:val="20"/>
                <w:szCs w:val="20"/>
              </w:rPr>
              <w:t>James L. Nelso</w:t>
            </w:r>
            <w:r>
              <w:rPr>
                <w:rFonts w:eastAsia="Times New Roman"/>
                <w:color w:val="000000"/>
                <w:sz w:val="20"/>
                <w:szCs w:val="20"/>
              </w:rPr>
              <w:t>n</w:t>
            </w:r>
          </w:p>
        </w:tc>
        <w:tc>
          <w:tcPr>
            <w:tcW w:w="0" w:type="auto"/>
            <w:gridSpan w:val="3"/>
            <w:shd w:val="clear" w:color="auto" w:fill="CCEEFF"/>
            <w:tcMar>
              <w:top w:w="30" w:type="dxa"/>
              <w:left w:w="20" w:type="dxa"/>
              <w:bottom w:w="30" w:type="dxa"/>
              <w:right w:w="20" w:type="dxa"/>
            </w:tcMar>
            <w:vAlign w:val="bottom"/>
            <w:hideMark/>
          </w:tcPr>
          <w:p w14:paraId="7DD08B95" w14:textId="77777777" w:rsidR="00000000" w:rsidRDefault="00195E73">
            <w:pPr>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4487D2F5" w14:textId="77777777" w:rsidR="00000000" w:rsidRDefault="00195E73">
            <w:pPr>
              <w:jc w:val="right"/>
              <w:rPr>
                <w:rFonts w:eastAsia="Times New Roman"/>
              </w:rPr>
            </w:pPr>
            <w:r>
              <w:rPr>
                <w:rFonts w:eastAsia="Times New Roman"/>
                <w:color w:val="000000"/>
                <w:sz w:val="20"/>
                <w:szCs w:val="20"/>
              </w:rPr>
              <w:t>6,425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B4D65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198FE9E7" w14:textId="77777777" w:rsidR="00000000" w:rsidRDefault="00195E73">
            <w:pPr>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410D0707"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BD375A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6A5566E6" w14:textId="77777777" w:rsidR="00000000" w:rsidRDefault="00195E73">
            <w:pPr>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14:paraId="69598096" w14:textId="77777777" w:rsidR="00000000" w:rsidRDefault="00195E73">
            <w:pPr>
              <w:jc w:val="right"/>
              <w:rPr>
                <w:rFonts w:eastAsia="Times New Roman"/>
              </w:rPr>
            </w:pPr>
            <w:r>
              <w:rPr>
                <w:rFonts w:eastAsia="Times New Roman"/>
                <w:color w:val="000000"/>
                <w:sz w:val="20"/>
                <w:szCs w:val="20"/>
              </w:rPr>
              <w:t>6,425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A6DE13" w14:textId="77777777" w:rsidR="00000000" w:rsidRDefault="00195E73">
            <w:pPr>
              <w:jc w:val="right"/>
              <w:rPr>
                <w:rFonts w:eastAsia="Times New Roman"/>
              </w:rPr>
            </w:pPr>
            <w:r>
              <w:rPr>
                <w:rFonts w:eastAsia="Times New Roman"/>
                <w:color w:val="000000"/>
                <w:sz w:val="20"/>
                <w:szCs w:val="20"/>
              </w:rPr>
              <w:t> </w:t>
            </w:r>
          </w:p>
        </w:tc>
      </w:tr>
      <w:tr w:rsidR="00000000" w14:paraId="3CE7F37B" w14:textId="77777777">
        <w:trPr>
          <w:divId w:val="791366986"/>
          <w:jc w:val="center"/>
        </w:trPr>
        <w:tc>
          <w:tcPr>
            <w:tcW w:w="0" w:type="auto"/>
            <w:gridSpan w:val="3"/>
            <w:shd w:val="clear" w:color="auto" w:fill="FFFFFF"/>
            <w:tcMar>
              <w:top w:w="30" w:type="dxa"/>
              <w:left w:w="20" w:type="dxa"/>
              <w:bottom w:w="30" w:type="dxa"/>
              <w:right w:w="20" w:type="dxa"/>
            </w:tcMar>
            <w:vAlign w:val="bottom"/>
            <w:hideMark/>
          </w:tcPr>
          <w:p w14:paraId="48C0CA66" w14:textId="77777777" w:rsidR="00000000" w:rsidRDefault="00195E73">
            <w:pPr>
              <w:rPr>
                <w:rFonts w:eastAsia="Times New Roman"/>
              </w:rPr>
            </w:pPr>
            <w:r>
              <w:rPr>
                <w:rFonts w:eastAsia="Times New Roman"/>
                <w:color w:val="000000"/>
                <w:sz w:val="20"/>
                <w:szCs w:val="20"/>
              </w:rPr>
              <w:t>Michael Nevi</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14:paraId="2721839F"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C34487"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D28B9C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E6AB1E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379268"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4F86F0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9C94CA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8F1B22"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F10A71D" w14:textId="77777777" w:rsidR="00000000" w:rsidRDefault="00195E73">
            <w:pPr>
              <w:jc w:val="right"/>
              <w:rPr>
                <w:rFonts w:eastAsia="Times New Roman"/>
              </w:rPr>
            </w:pPr>
            <w:r>
              <w:rPr>
                <w:rFonts w:eastAsia="Times New Roman"/>
                <w:color w:val="000000"/>
                <w:sz w:val="20"/>
                <w:szCs w:val="20"/>
              </w:rPr>
              <w:t> </w:t>
            </w:r>
          </w:p>
        </w:tc>
      </w:tr>
    </w:tbl>
    <w:p w14:paraId="2974778C" w14:textId="77777777" w:rsidR="00000000" w:rsidRDefault="00195E73">
      <w:pPr>
        <w:ind w:firstLine="405"/>
        <w:divId w:val="703672365"/>
        <w:rPr>
          <w:rFonts w:eastAsia="Times New Roman"/>
        </w:rPr>
      </w:pPr>
    </w:p>
    <w:p w14:paraId="741B02BC" w14:textId="77777777" w:rsidR="00000000" w:rsidRDefault="00195E73">
      <w:pPr>
        <w:ind w:firstLine="405"/>
        <w:divId w:val="1105921567"/>
        <w:rPr>
          <w:rFonts w:eastAsia="Times New Roman"/>
        </w:rPr>
      </w:pPr>
      <w:r>
        <w:rPr>
          <w:rFonts w:eastAsia="Times New Roman"/>
          <w:color w:val="000000"/>
          <w:sz w:val="20"/>
          <w:szCs w:val="20"/>
        </w:rPr>
        <w:t>Each director will hold office until his successor is elected and qualified. As discussed above, Mr. Wasserman has resigned as a director and chairman of the audit committee effective as of February 27, 2020. Mr. Leidesdorf served as director until his dep</w:t>
      </w:r>
      <w:r>
        <w:rPr>
          <w:rFonts w:eastAsia="Times New Roman"/>
          <w:color w:val="000000"/>
          <w:sz w:val="20"/>
          <w:szCs w:val="20"/>
        </w:rPr>
        <w:t>arture in September 2019. Ms. Barton was appointed to serve as director in September 2019 to fill the vacancy created by the departure of Mr. Leidesdorf. Mr. Nelson served as director until his departure in March 2019. Mr. Krongard was appointed to serve a</w:t>
      </w:r>
      <w:r>
        <w:rPr>
          <w:rFonts w:eastAsia="Times New Roman"/>
          <w:color w:val="000000"/>
          <w:sz w:val="20"/>
          <w:szCs w:val="20"/>
        </w:rPr>
        <w:t>s director in March 2019 to fill the vacancy created by the departure of Mr. Nelson.</w:t>
      </w:r>
      <w:r>
        <w:rPr>
          <w:rFonts w:eastAsia="Times New Roman"/>
          <w:color w:val="000000"/>
          <w:sz w:val="20"/>
          <w:szCs w:val="20"/>
        </w:rPr>
        <w:t xml:space="preserve"> </w:t>
      </w:r>
    </w:p>
    <w:p w14:paraId="4B44CE12" w14:textId="77777777" w:rsidR="00000000" w:rsidRDefault="00195E73">
      <w:pPr>
        <w:jc w:val="center"/>
        <w:divId w:val="1366557497"/>
        <w:rPr>
          <w:rFonts w:eastAsia="Times New Roman"/>
        </w:rPr>
      </w:pPr>
      <w:r>
        <w:rPr>
          <w:rFonts w:eastAsia="Times New Roman"/>
          <w:color w:val="000000"/>
          <w:sz w:val="20"/>
          <w:szCs w:val="20"/>
        </w:rPr>
        <w:t>12</w:t>
      </w:r>
      <w:r>
        <w:rPr>
          <w:rFonts w:eastAsia="Times New Roman"/>
          <w:color w:val="000000"/>
          <w:sz w:val="20"/>
          <w:szCs w:val="20"/>
        </w:rPr>
        <w:t>6</w:t>
      </w:r>
    </w:p>
    <w:p w14:paraId="29A27869" w14:textId="77777777" w:rsidR="00000000" w:rsidRDefault="00195E73">
      <w:pPr>
        <w:rPr>
          <w:rFonts w:eastAsia="Times New Roman"/>
        </w:rPr>
      </w:pPr>
      <w:r>
        <w:rPr>
          <w:rFonts w:eastAsia="Times New Roman"/>
        </w:rPr>
        <w:pict w14:anchorId="76D32034">
          <v:rect id="_x0000_i1152" style="width:0;height:1.5pt" o:hralign="center" o:hrstd="t" o:hr="t" fillcolor="#a0a0a0" stroked="f"/>
        </w:pict>
      </w:r>
    </w:p>
    <w:p w14:paraId="58F20EE3" w14:textId="77777777" w:rsidR="00000000" w:rsidRDefault="00195E73">
      <w:pPr>
        <w:divId w:val="828788494"/>
        <w:rPr>
          <w:rFonts w:eastAsia="Times New Roman"/>
        </w:rPr>
      </w:pPr>
    </w:p>
    <w:p w14:paraId="593203E3" w14:textId="77777777" w:rsidR="00000000" w:rsidRDefault="00195E73">
      <w:pPr>
        <w:ind w:firstLine="405"/>
        <w:divId w:val="989987781"/>
        <w:rPr>
          <w:rFonts w:eastAsia="Times New Roman"/>
        </w:rPr>
      </w:pPr>
      <w:r>
        <w:rPr>
          <w:rFonts w:eastAsia="Times New Roman"/>
          <w:color w:val="000000"/>
          <w:sz w:val="20"/>
          <w:szCs w:val="20"/>
        </w:rPr>
        <w:t>During 2019, the fees earned or paid in cash for Ms. Barton and Messrs. Krongard, Wasserman, Leidesdorf and Nelson were in respect of their services rendered as members of our board of directors. With respect to Mr. Wasserman, the fees earned or paid in ca</w:t>
      </w:r>
      <w:r>
        <w:rPr>
          <w:rFonts w:eastAsia="Times New Roman"/>
          <w:color w:val="000000"/>
          <w:sz w:val="20"/>
          <w:szCs w:val="20"/>
        </w:rPr>
        <w:t>sh included $5,000 for serving as the chairman of the audit committee. Mr. Nevin did not receive compensation in respect of his services rendered as a member of our board of directors.</w:t>
      </w:r>
      <w:r>
        <w:rPr>
          <w:rFonts w:eastAsia="Times New Roman"/>
          <w:color w:val="000000"/>
          <w:sz w:val="20"/>
          <w:szCs w:val="20"/>
        </w:rPr>
        <w:t xml:space="preserve"> </w:t>
      </w:r>
    </w:p>
    <w:p w14:paraId="6ECC0B1B" w14:textId="77777777" w:rsidR="00000000" w:rsidRDefault="00195E73">
      <w:pPr>
        <w:ind w:firstLine="405"/>
        <w:divId w:val="903835501"/>
        <w:rPr>
          <w:rFonts w:eastAsia="Times New Roman"/>
        </w:rPr>
      </w:pPr>
      <w:r>
        <w:rPr>
          <w:rFonts w:eastAsia="Times New Roman"/>
          <w:color w:val="000000"/>
          <w:sz w:val="20"/>
          <w:szCs w:val="20"/>
        </w:rPr>
        <w:t>Directors receive only cash compensation, if applicable, and currently</w:t>
      </w:r>
      <w:r>
        <w:rPr>
          <w:rFonts w:eastAsia="Times New Roman"/>
          <w:color w:val="000000"/>
          <w:sz w:val="20"/>
          <w:szCs w:val="20"/>
        </w:rPr>
        <w:t xml:space="preserve"> are not granted any options, units or other equity-based awards</w:t>
      </w:r>
      <w:r>
        <w:rPr>
          <w:rFonts w:eastAsia="Times New Roman"/>
          <w:color w:val="000000"/>
          <w:sz w:val="20"/>
          <w:szCs w:val="20"/>
        </w:rPr>
        <w:t>.</w:t>
      </w:r>
    </w:p>
    <w:p w14:paraId="24D2FD60" w14:textId="77777777" w:rsidR="00000000" w:rsidRDefault="00195E73">
      <w:pPr>
        <w:divId w:val="1660502939"/>
        <w:rPr>
          <w:rFonts w:eastAsia="Times New Roman"/>
        </w:rPr>
      </w:pPr>
    </w:p>
    <w:p w14:paraId="4D4F1B60" w14:textId="77777777" w:rsidR="00000000" w:rsidRDefault="00195E73">
      <w:pPr>
        <w:divId w:val="945575521"/>
        <w:rPr>
          <w:rFonts w:eastAsia="Times New Roman"/>
        </w:rPr>
      </w:pPr>
    </w:p>
    <w:p w14:paraId="6EDA00FF" w14:textId="77777777" w:rsidR="00000000" w:rsidRDefault="00195E73">
      <w:pPr>
        <w:divId w:val="2012368197"/>
        <w:rPr>
          <w:rFonts w:eastAsia="Times New Roman"/>
        </w:rPr>
      </w:pPr>
      <w:r>
        <w:rPr>
          <w:rFonts w:eastAsia="Times New Roman"/>
          <w:b/>
          <w:bCs/>
          <w:color w:val="000000"/>
          <w:sz w:val="20"/>
          <w:szCs w:val="20"/>
        </w:rPr>
        <w:t>Item 12. Security Ownership of Certain Beneficial Owners and Management and Related Security Holder Matters</w:t>
      </w:r>
      <w:r>
        <w:rPr>
          <w:rFonts w:eastAsia="Times New Roman"/>
          <w:b/>
          <w:bCs/>
          <w:color w:val="000000"/>
          <w:sz w:val="20"/>
          <w:szCs w:val="20"/>
        </w:rPr>
        <w:t>.</w:t>
      </w:r>
    </w:p>
    <w:p w14:paraId="3C652FA5" w14:textId="77777777" w:rsidR="00000000" w:rsidRDefault="00195E73">
      <w:pPr>
        <w:ind w:firstLine="405"/>
        <w:divId w:val="2126270664"/>
        <w:rPr>
          <w:rFonts w:eastAsia="Times New Roman"/>
        </w:rPr>
      </w:pPr>
      <w:r>
        <w:rPr>
          <w:rFonts w:eastAsia="Times New Roman"/>
          <w:color w:val="000000"/>
          <w:sz w:val="20"/>
          <w:szCs w:val="20"/>
        </w:rPr>
        <w:t xml:space="preserve">As of February 28, 2020, affiliates of Mr. Icahn, owned 197,049,652 of Icahn </w:t>
      </w:r>
      <w:r>
        <w:rPr>
          <w:rFonts w:eastAsia="Times New Roman"/>
          <w:color w:val="000000"/>
          <w:sz w:val="20"/>
          <w:szCs w:val="20"/>
        </w:rPr>
        <w:t>Enterprises’ depositary units, or approximately 92.0% of Icahn Enterprises’ outstanding depositary units. In accordance with the listing rules of NASDAQ, Icahn Enterprises’ status as a limited partnership affords Icahn Enterprises an exemption from certain</w:t>
      </w:r>
      <w:r>
        <w:rPr>
          <w:rFonts w:eastAsia="Times New Roman"/>
          <w:color w:val="000000"/>
          <w:sz w:val="20"/>
          <w:szCs w:val="20"/>
        </w:rPr>
        <w:t xml:space="preserve"> corporate governance requirements which includes an exemption from the requirement to have compensation and nominating committees consisting entirely of independent directors. Icahn Enterprises GP’s board of directors presently consists of three independe</w:t>
      </w:r>
      <w:r>
        <w:rPr>
          <w:rFonts w:eastAsia="Times New Roman"/>
          <w:color w:val="000000"/>
          <w:sz w:val="20"/>
          <w:szCs w:val="20"/>
        </w:rPr>
        <w:t>nt directors and the audit committee consists entirely of independent directors</w:t>
      </w:r>
      <w:r>
        <w:rPr>
          <w:rFonts w:eastAsia="Times New Roman"/>
          <w:color w:val="000000"/>
          <w:sz w:val="20"/>
          <w:szCs w:val="20"/>
        </w:rPr>
        <w:t>.</w:t>
      </w:r>
    </w:p>
    <w:p w14:paraId="10E1B445" w14:textId="77777777" w:rsidR="00000000" w:rsidRDefault="00195E73">
      <w:pPr>
        <w:ind w:firstLine="405"/>
        <w:divId w:val="843931958"/>
        <w:rPr>
          <w:rFonts w:eastAsia="Times New Roman"/>
        </w:rPr>
      </w:pPr>
      <w:r>
        <w:rPr>
          <w:rFonts w:eastAsia="Times New Roman"/>
          <w:color w:val="000000"/>
          <w:sz w:val="20"/>
          <w:szCs w:val="20"/>
        </w:rPr>
        <w:t>The affirmative vote of unitholders holding more than 75% of the total number of all depositary units then outstanding, including depositary units held by Icahn Enterprises GP</w:t>
      </w:r>
      <w:r>
        <w:rPr>
          <w:rFonts w:eastAsia="Times New Roman"/>
          <w:color w:val="000000"/>
          <w:sz w:val="20"/>
          <w:szCs w:val="20"/>
        </w:rPr>
        <w:t xml:space="preserve"> and its affiliates, is required to remove Icahn Enterprises GP. Thus, since Mr. Icahn, through affiliates, holds approximately 92.0% of Icahn Enterprises’ outstanding depositary units as of February 28, 2020, Icahn Enterprises GP will not be able to be re</w:t>
      </w:r>
      <w:r>
        <w:rPr>
          <w:rFonts w:eastAsia="Times New Roman"/>
          <w:color w:val="000000"/>
          <w:sz w:val="20"/>
          <w:szCs w:val="20"/>
        </w:rPr>
        <w:t>moved pursuant to the terms of our partnership agreement without Mr. Icahn’s consent. Moreover, under the partnership agreement, the affirmative vote of Icahn Enterprises GP and unitholders owning more than 50% of the total number of all outstanding deposi</w:t>
      </w:r>
      <w:r>
        <w:rPr>
          <w:rFonts w:eastAsia="Times New Roman"/>
          <w:color w:val="000000"/>
          <w:sz w:val="20"/>
          <w:szCs w:val="20"/>
        </w:rPr>
        <w:t>tary units then held by unitholders, including affiliates of Mr. Icahn, is required to approve, among other things, selling or otherwise disposing of all or substantially all of our assets in a single sale or in a related series of multiple sales, our diss</w:t>
      </w:r>
      <w:r>
        <w:rPr>
          <w:rFonts w:eastAsia="Times New Roman"/>
          <w:color w:val="000000"/>
          <w:sz w:val="20"/>
          <w:szCs w:val="20"/>
        </w:rPr>
        <w:t>olution or electing to continue Icahn Enterprises in certain instances, electing a successor general partner, making certain amendments to the partnership agreement or causing us, in our capacity as sole limited partner of Icahn Enterprises Holdings, to co</w:t>
      </w:r>
      <w:r>
        <w:rPr>
          <w:rFonts w:eastAsia="Times New Roman"/>
          <w:color w:val="000000"/>
          <w:sz w:val="20"/>
          <w:szCs w:val="20"/>
        </w:rPr>
        <w:t>nsent to certain proposals submitted for the approval of the limited partners of Icahn Enterprises Holdings. Accordingly, as affiliates of Mr. Icahn hold in excess of 50% of the depositary units outstanding, Mr. Icahn, through affiliates, will have effecti</w:t>
      </w:r>
      <w:r>
        <w:rPr>
          <w:rFonts w:eastAsia="Times New Roman"/>
          <w:color w:val="000000"/>
          <w:sz w:val="20"/>
          <w:szCs w:val="20"/>
        </w:rPr>
        <w:t>ve control over such approval rights</w:t>
      </w:r>
      <w:r>
        <w:rPr>
          <w:rFonts w:eastAsia="Times New Roman"/>
          <w:color w:val="000000"/>
          <w:sz w:val="20"/>
          <w:szCs w:val="20"/>
        </w:rPr>
        <w:t>.</w:t>
      </w:r>
    </w:p>
    <w:p w14:paraId="3DCD810D" w14:textId="77777777" w:rsidR="00000000" w:rsidRDefault="00195E73">
      <w:pPr>
        <w:ind w:firstLine="405"/>
        <w:divId w:val="1858038708"/>
        <w:rPr>
          <w:rFonts w:eastAsia="Times New Roman"/>
        </w:rPr>
      </w:pPr>
      <w:r>
        <w:rPr>
          <w:rFonts w:eastAsia="Times New Roman"/>
          <w:color w:val="000000"/>
          <w:sz w:val="20"/>
          <w:szCs w:val="20"/>
        </w:rPr>
        <w:t>The following table provides information, as of February 28, 2020, as to the beneficial ownership of the depositary units for each director of Icahn Enterprises GP and all directors and executive officers of Icahn Ente</w:t>
      </w:r>
      <w:r>
        <w:rPr>
          <w:rFonts w:eastAsia="Times New Roman"/>
          <w:color w:val="000000"/>
          <w:sz w:val="20"/>
          <w:szCs w:val="20"/>
        </w:rPr>
        <w:t>rprises GP, as a group. Except for Mr. Icahn, none of our named executive officers or directors beneficially owns more than 5% of Icahn Enterprises’ depositary units</w:t>
      </w:r>
      <w:r>
        <w:rPr>
          <w:rFonts w:eastAsia="Times New Roman"/>
          <w:color w:val="000000"/>
          <w:sz w:val="20"/>
          <w:szCs w:val="20"/>
        </w:rPr>
        <w:t>.</w:t>
      </w:r>
    </w:p>
    <w:tbl>
      <w:tblPr>
        <w:tblW w:w="4890" w:type="pct"/>
        <w:tblCellMar>
          <w:top w:w="15" w:type="dxa"/>
          <w:left w:w="15" w:type="dxa"/>
          <w:bottom w:w="15" w:type="dxa"/>
          <w:right w:w="15" w:type="dxa"/>
        </w:tblCellMar>
        <w:tblLook w:val="04A0" w:firstRow="1" w:lastRow="0" w:firstColumn="1" w:lastColumn="0" w:noHBand="0" w:noVBand="1"/>
      </w:tblPr>
      <w:tblGrid>
        <w:gridCol w:w="63"/>
        <w:gridCol w:w="3837"/>
        <w:gridCol w:w="63"/>
        <w:gridCol w:w="36"/>
        <w:gridCol w:w="50"/>
        <w:gridCol w:w="36"/>
        <w:gridCol w:w="63"/>
        <w:gridCol w:w="1317"/>
        <w:gridCol w:w="85"/>
        <w:gridCol w:w="63"/>
        <w:gridCol w:w="160"/>
        <w:gridCol w:w="64"/>
        <w:gridCol w:w="36"/>
        <w:gridCol w:w="51"/>
        <w:gridCol w:w="36"/>
        <w:gridCol w:w="64"/>
        <w:gridCol w:w="1318"/>
        <w:gridCol w:w="85"/>
        <w:gridCol w:w="232"/>
        <w:gridCol w:w="232"/>
        <w:gridCol w:w="232"/>
      </w:tblGrid>
      <w:tr w:rsidR="00000000" w14:paraId="4A59652A" w14:textId="77777777">
        <w:trPr>
          <w:gridAfter w:val="3"/>
          <w:divId w:val="1907449003"/>
        </w:trPr>
        <w:tc>
          <w:tcPr>
            <w:tcW w:w="50" w:type="pct"/>
            <w:vAlign w:val="center"/>
            <w:hideMark/>
          </w:tcPr>
          <w:p w14:paraId="0FDC9C3A" w14:textId="77777777" w:rsidR="00000000" w:rsidRDefault="00195E73">
            <w:pPr>
              <w:ind w:firstLine="405"/>
              <w:rPr>
                <w:rFonts w:eastAsia="Times New Roman"/>
              </w:rPr>
            </w:pPr>
          </w:p>
        </w:tc>
        <w:tc>
          <w:tcPr>
            <w:tcW w:w="2590" w:type="pct"/>
            <w:vAlign w:val="center"/>
            <w:hideMark/>
          </w:tcPr>
          <w:p w14:paraId="1D622202" w14:textId="77777777" w:rsidR="00000000" w:rsidRDefault="00195E73">
            <w:pPr>
              <w:rPr>
                <w:rFonts w:eastAsia="Times New Roman"/>
                <w:sz w:val="20"/>
                <w:szCs w:val="20"/>
              </w:rPr>
            </w:pPr>
          </w:p>
        </w:tc>
        <w:tc>
          <w:tcPr>
            <w:tcW w:w="50" w:type="pct"/>
            <w:vAlign w:val="center"/>
            <w:hideMark/>
          </w:tcPr>
          <w:p w14:paraId="58BF5E66" w14:textId="77777777" w:rsidR="00000000" w:rsidRDefault="00195E73">
            <w:pPr>
              <w:rPr>
                <w:rFonts w:eastAsia="Times New Roman"/>
                <w:sz w:val="20"/>
                <w:szCs w:val="20"/>
              </w:rPr>
            </w:pPr>
          </w:p>
        </w:tc>
        <w:tc>
          <w:tcPr>
            <w:tcW w:w="5" w:type="pct"/>
            <w:vAlign w:val="center"/>
            <w:hideMark/>
          </w:tcPr>
          <w:p w14:paraId="40954752" w14:textId="77777777" w:rsidR="00000000" w:rsidRDefault="00195E73">
            <w:pPr>
              <w:rPr>
                <w:rFonts w:eastAsia="Times New Roman"/>
                <w:sz w:val="20"/>
                <w:szCs w:val="20"/>
              </w:rPr>
            </w:pPr>
          </w:p>
        </w:tc>
        <w:tc>
          <w:tcPr>
            <w:tcW w:w="42" w:type="pct"/>
            <w:vAlign w:val="center"/>
            <w:hideMark/>
          </w:tcPr>
          <w:p w14:paraId="39DDED94" w14:textId="77777777" w:rsidR="00000000" w:rsidRDefault="00195E73">
            <w:pPr>
              <w:rPr>
                <w:rFonts w:eastAsia="Times New Roman"/>
                <w:sz w:val="20"/>
                <w:szCs w:val="20"/>
              </w:rPr>
            </w:pPr>
          </w:p>
        </w:tc>
        <w:tc>
          <w:tcPr>
            <w:tcW w:w="5" w:type="pct"/>
            <w:vAlign w:val="center"/>
            <w:hideMark/>
          </w:tcPr>
          <w:p w14:paraId="11F029F9" w14:textId="77777777" w:rsidR="00000000" w:rsidRDefault="00195E73">
            <w:pPr>
              <w:rPr>
                <w:rFonts w:eastAsia="Times New Roman"/>
                <w:sz w:val="20"/>
                <w:szCs w:val="20"/>
              </w:rPr>
            </w:pPr>
          </w:p>
        </w:tc>
        <w:tc>
          <w:tcPr>
            <w:tcW w:w="50" w:type="pct"/>
            <w:vAlign w:val="center"/>
            <w:hideMark/>
          </w:tcPr>
          <w:p w14:paraId="4586FBD1" w14:textId="77777777" w:rsidR="00000000" w:rsidRDefault="00195E73">
            <w:pPr>
              <w:rPr>
                <w:rFonts w:eastAsia="Times New Roman"/>
                <w:sz w:val="20"/>
                <w:szCs w:val="20"/>
              </w:rPr>
            </w:pPr>
          </w:p>
        </w:tc>
        <w:tc>
          <w:tcPr>
            <w:tcW w:w="894" w:type="pct"/>
            <w:vAlign w:val="center"/>
            <w:hideMark/>
          </w:tcPr>
          <w:p w14:paraId="667749E7" w14:textId="77777777" w:rsidR="00000000" w:rsidRDefault="00195E73">
            <w:pPr>
              <w:rPr>
                <w:rFonts w:eastAsia="Times New Roman"/>
                <w:sz w:val="20"/>
                <w:szCs w:val="20"/>
              </w:rPr>
            </w:pPr>
          </w:p>
        </w:tc>
        <w:tc>
          <w:tcPr>
            <w:tcW w:w="50" w:type="pct"/>
            <w:vAlign w:val="center"/>
            <w:hideMark/>
          </w:tcPr>
          <w:p w14:paraId="095B1FFA" w14:textId="77777777" w:rsidR="00000000" w:rsidRDefault="00195E73">
            <w:pPr>
              <w:rPr>
                <w:rFonts w:eastAsia="Times New Roman"/>
                <w:sz w:val="20"/>
                <w:szCs w:val="20"/>
              </w:rPr>
            </w:pPr>
          </w:p>
        </w:tc>
        <w:tc>
          <w:tcPr>
            <w:tcW w:w="50" w:type="pct"/>
            <w:vAlign w:val="center"/>
            <w:hideMark/>
          </w:tcPr>
          <w:p w14:paraId="07E6735E" w14:textId="77777777" w:rsidR="00000000" w:rsidRDefault="00195E73">
            <w:pPr>
              <w:rPr>
                <w:rFonts w:eastAsia="Times New Roman"/>
                <w:sz w:val="20"/>
                <w:szCs w:val="20"/>
              </w:rPr>
            </w:pPr>
          </w:p>
        </w:tc>
        <w:tc>
          <w:tcPr>
            <w:tcW w:w="116" w:type="pct"/>
            <w:vAlign w:val="center"/>
            <w:hideMark/>
          </w:tcPr>
          <w:p w14:paraId="2EE4A3CF" w14:textId="77777777" w:rsidR="00000000" w:rsidRDefault="00195E73">
            <w:pPr>
              <w:rPr>
                <w:rFonts w:eastAsia="Times New Roman"/>
                <w:sz w:val="20"/>
                <w:szCs w:val="20"/>
              </w:rPr>
            </w:pPr>
          </w:p>
        </w:tc>
        <w:tc>
          <w:tcPr>
            <w:tcW w:w="50" w:type="pct"/>
            <w:vAlign w:val="center"/>
            <w:hideMark/>
          </w:tcPr>
          <w:p w14:paraId="146CFAB1" w14:textId="77777777" w:rsidR="00000000" w:rsidRDefault="00195E73">
            <w:pPr>
              <w:rPr>
                <w:rFonts w:eastAsia="Times New Roman"/>
                <w:sz w:val="20"/>
                <w:szCs w:val="20"/>
              </w:rPr>
            </w:pPr>
          </w:p>
        </w:tc>
        <w:tc>
          <w:tcPr>
            <w:tcW w:w="5" w:type="pct"/>
            <w:vAlign w:val="center"/>
            <w:hideMark/>
          </w:tcPr>
          <w:p w14:paraId="33DA1E82" w14:textId="77777777" w:rsidR="00000000" w:rsidRDefault="00195E73">
            <w:pPr>
              <w:rPr>
                <w:rFonts w:eastAsia="Times New Roman"/>
                <w:sz w:val="20"/>
                <w:szCs w:val="20"/>
              </w:rPr>
            </w:pPr>
          </w:p>
        </w:tc>
        <w:tc>
          <w:tcPr>
            <w:tcW w:w="42" w:type="pct"/>
            <w:vAlign w:val="center"/>
            <w:hideMark/>
          </w:tcPr>
          <w:p w14:paraId="51D142A2" w14:textId="77777777" w:rsidR="00000000" w:rsidRDefault="00195E73">
            <w:pPr>
              <w:rPr>
                <w:rFonts w:eastAsia="Times New Roman"/>
                <w:sz w:val="20"/>
                <w:szCs w:val="20"/>
              </w:rPr>
            </w:pPr>
          </w:p>
        </w:tc>
        <w:tc>
          <w:tcPr>
            <w:tcW w:w="5" w:type="pct"/>
            <w:vAlign w:val="center"/>
            <w:hideMark/>
          </w:tcPr>
          <w:p w14:paraId="63F61FC9" w14:textId="77777777" w:rsidR="00000000" w:rsidRDefault="00195E73">
            <w:pPr>
              <w:rPr>
                <w:rFonts w:eastAsia="Times New Roman"/>
                <w:sz w:val="20"/>
                <w:szCs w:val="20"/>
              </w:rPr>
            </w:pPr>
          </w:p>
        </w:tc>
        <w:tc>
          <w:tcPr>
            <w:tcW w:w="50" w:type="pct"/>
            <w:vAlign w:val="center"/>
            <w:hideMark/>
          </w:tcPr>
          <w:p w14:paraId="742E412D" w14:textId="77777777" w:rsidR="00000000" w:rsidRDefault="00195E73">
            <w:pPr>
              <w:rPr>
                <w:rFonts w:eastAsia="Times New Roman"/>
                <w:sz w:val="20"/>
                <w:szCs w:val="20"/>
              </w:rPr>
            </w:pPr>
          </w:p>
        </w:tc>
        <w:tc>
          <w:tcPr>
            <w:tcW w:w="894" w:type="pct"/>
            <w:vAlign w:val="center"/>
            <w:hideMark/>
          </w:tcPr>
          <w:p w14:paraId="2D874F6A" w14:textId="77777777" w:rsidR="00000000" w:rsidRDefault="00195E73">
            <w:pPr>
              <w:rPr>
                <w:rFonts w:eastAsia="Times New Roman"/>
                <w:sz w:val="20"/>
                <w:szCs w:val="20"/>
              </w:rPr>
            </w:pPr>
          </w:p>
        </w:tc>
        <w:tc>
          <w:tcPr>
            <w:tcW w:w="50" w:type="pct"/>
            <w:vAlign w:val="center"/>
            <w:hideMark/>
          </w:tcPr>
          <w:p w14:paraId="3AFE56EC" w14:textId="77777777" w:rsidR="00000000" w:rsidRDefault="00195E73">
            <w:pPr>
              <w:rPr>
                <w:rFonts w:eastAsia="Times New Roman"/>
                <w:sz w:val="20"/>
                <w:szCs w:val="20"/>
              </w:rPr>
            </w:pPr>
          </w:p>
        </w:tc>
      </w:tr>
      <w:tr w:rsidR="00000000" w14:paraId="6B173DBC" w14:textId="77777777">
        <w:trPr>
          <w:divId w:val="1907449003"/>
        </w:trPr>
        <w:tc>
          <w:tcPr>
            <w:tcW w:w="0" w:type="auto"/>
            <w:gridSpan w:val="3"/>
            <w:tcMar>
              <w:top w:w="30" w:type="dxa"/>
              <w:left w:w="20" w:type="dxa"/>
              <w:bottom w:w="30" w:type="dxa"/>
              <w:right w:w="20" w:type="dxa"/>
            </w:tcMar>
            <w:vAlign w:val="bottom"/>
            <w:hideMark/>
          </w:tcPr>
          <w:p w14:paraId="628AD665" w14:textId="77777777" w:rsidR="00000000" w:rsidRDefault="00195E73">
            <w:pPr>
              <w:rPr>
                <w:rFonts w:eastAsia="Times New Roman"/>
              </w:rPr>
            </w:pPr>
            <w:r>
              <w:rPr>
                <w:rFonts w:eastAsia="Times New Roman"/>
                <w:b/>
                <w:bCs/>
                <w:color w:val="000000"/>
                <w:sz w:val="20"/>
                <w:szCs w:val="20"/>
              </w:rPr>
              <w:t>Name of Beneficial Owne</w:t>
            </w:r>
            <w:r>
              <w:rPr>
                <w:rFonts w:eastAsia="Times New Roman"/>
                <w:b/>
                <w:bCs/>
                <w:color w:val="000000"/>
                <w:sz w:val="20"/>
                <w:szCs w:val="20"/>
              </w:rPr>
              <w:t>r</w:t>
            </w:r>
          </w:p>
        </w:tc>
        <w:tc>
          <w:tcPr>
            <w:tcW w:w="0" w:type="auto"/>
            <w:gridSpan w:val="3"/>
            <w:tcMar>
              <w:top w:w="15" w:type="dxa"/>
              <w:left w:w="20" w:type="dxa"/>
              <w:bottom w:w="15" w:type="dxa"/>
              <w:right w:w="20" w:type="dxa"/>
            </w:tcMar>
            <w:vAlign w:val="bottom"/>
            <w:hideMark/>
          </w:tcPr>
          <w:p w14:paraId="034FCE3E" w14:textId="77777777" w:rsidR="00000000" w:rsidRDefault="00195E73">
            <w:pPr>
              <w:rPr>
                <w:rFonts w:eastAsia="Times New Roman"/>
              </w:rPr>
            </w:pPr>
          </w:p>
        </w:tc>
        <w:tc>
          <w:tcPr>
            <w:tcW w:w="0" w:type="auto"/>
            <w:gridSpan w:val="6"/>
            <w:tcMar>
              <w:top w:w="30" w:type="dxa"/>
              <w:left w:w="20" w:type="dxa"/>
              <w:bottom w:w="30" w:type="dxa"/>
              <w:right w:w="20" w:type="dxa"/>
            </w:tcMar>
            <w:vAlign w:val="bottom"/>
            <w:hideMark/>
          </w:tcPr>
          <w:p w14:paraId="27A7C311" w14:textId="77777777" w:rsidR="00000000" w:rsidRDefault="00195E73">
            <w:pPr>
              <w:jc w:val="center"/>
              <w:rPr>
                <w:rFonts w:eastAsia="Times New Roman"/>
              </w:rPr>
            </w:pPr>
            <w:r>
              <w:rPr>
                <w:rFonts w:eastAsia="Times New Roman"/>
                <w:b/>
                <w:bCs/>
                <w:color w:val="000000"/>
                <w:sz w:val="20"/>
                <w:szCs w:val="20"/>
              </w:rPr>
              <w:t>Beneficial Ownership of Icahn Enterprises’ Depositary Unit</w:t>
            </w:r>
            <w:r>
              <w:rPr>
                <w:rFonts w:eastAsia="Times New Roman"/>
                <w:b/>
                <w:bCs/>
                <w:color w:val="000000"/>
                <w:sz w:val="20"/>
                <w:szCs w:val="20"/>
              </w:rPr>
              <w:t>s</w:t>
            </w:r>
          </w:p>
        </w:tc>
        <w:tc>
          <w:tcPr>
            <w:tcW w:w="0" w:type="auto"/>
            <w:gridSpan w:val="3"/>
            <w:vAlign w:val="center"/>
            <w:hideMark/>
          </w:tcPr>
          <w:p w14:paraId="69F332E6" w14:textId="77777777" w:rsidR="00000000" w:rsidRDefault="00195E73">
            <w:pPr>
              <w:jc w:val="center"/>
              <w:rPr>
                <w:rFonts w:eastAsia="Times New Roman"/>
              </w:rPr>
            </w:pPr>
          </w:p>
        </w:tc>
        <w:tc>
          <w:tcPr>
            <w:tcW w:w="0" w:type="auto"/>
            <w:gridSpan w:val="3"/>
            <w:tcMar>
              <w:top w:w="15" w:type="dxa"/>
              <w:left w:w="20" w:type="dxa"/>
              <w:bottom w:w="15" w:type="dxa"/>
              <w:right w:w="20" w:type="dxa"/>
            </w:tcMar>
            <w:vAlign w:val="bottom"/>
            <w:hideMark/>
          </w:tcPr>
          <w:p w14:paraId="31F49C97"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10280A13" w14:textId="77777777" w:rsidR="00000000" w:rsidRDefault="00195E73">
            <w:pPr>
              <w:jc w:val="center"/>
              <w:rPr>
                <w:rFonts w:eastAsia="Times New Roman"/>
              </w:rPr>
            </w:pPr>
            <w:r>
              <w:rPr>
                <w:rFonts w:eastAsia="Times New Roman"/>
                <w:b/>
                <w:bCs/>
                <w:color w:val="000000"/>
                <w:sz w:val="20"/>
                <w:szCs w:val="20"/>
              </w:rPr>
              <w:t>Percent of Clas</w:t>
            </w:r>
            <w:r>
              <w:rPr>
                <w:rFonts w:eastAsia="Times New Roman"/>
                <w:b/>
                <w:bCs/>
                <w:color w:val="000000"/>
                <w:sz w:val="20"/>
                <w:szCs w:val="20"/>
              </w:rPr>
              <w:t>s</w:t>
            </w:r>
          </w:p>
        </w:tc>
      </w:tr>
      <w:tr w:rsidR="00000000" w14:paraId="32744DBA" w14:textId="77777777">
        <w:trPr>
          <w:divId w:val="190744900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A85665" w14:textId="77777777" w:rsidR="00000000" w:rsidRDefault="00195E73">
            <w:pPr>
              <w:rPr>
                <w:rFonts w:eastAsia="Times New Roman"/>
              </w:rPr>
            </w:pPr>
            <w:r>
              <w:rPr>
                <w:rFonts w:eastAsia="Times New Roman"/>
                <w:color w:val="000000"/>
                <w:sz w:val="20"/>
                <w:szCs w:val="20"/>
              </w:rPr>
              <w:t>Carl C. Icah</w:t>
            </w:r>
            <w:r>
              <w:rPr>
                <w:rFonts w:eastAsia="Times New Roman"/>
                <w:color w:val="000000"/>
                <w:sz w:val="20"/>
                <w:szCs w:val="20"/>
              </w:rPr>
              <w:t>n</w:t>
            </w:r>
          </w:p>
        </w:tc>
        <w:tc>
          <w:tcPr>
            <w:tcW w:w="0" w:type="auto"/>
            <w:gridSpan w:val="3"/>
            <w:shd w:val="clear" w:color="auto" w:fill="CCEEFF"/>
            <w:tcMar>
              <w:top w:w="30" w:type="dxa"/>
              <w:left w:w="20" w:type="dxa"/>
              <w:bottom w:w="30" w:type="dxa"/>
              <w:right w:w="20" w:type="dxa"/>
            </w:tcMar>
            <w:vAlign w:val="bottom"/>
            <w:hideMark/>
          </w:tcPr>
          <w:p w14:paraId="56075FB2" w14:textId="77777777" w:rsidR="00000000" w:rsidRDefault="00195E73">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EF0501" w14:textId="77777777" w:rsidR="00000000" w:rsidRDefault="00195E73">
            <w:pPr>
              <w:jc w:val="right"/>
              <w:rPr>
                <w:rFonts w:eastAsia="Times New Roman"/>
              </w:rPr>
            </w:pPr>
            <w:r>
              <w:rPr>
                <w:rFonts w:eastAsia="Times New Roman"/>
                <w:color w:val="000000"/>
                <w:sz w:val="20"/>
                <w:szCs w:val="20"/>
              </w:rPr>
              <w:t>197,049,652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39FF34C" w14:textId="77777777" w:rsidR="00000000" w:rsidRDefault="00195E73">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A456EDF" w14:textId="77777777" w:rsidR="00000000" w:rsidRDefault="00195E73">
            <w:pPr>
              <w:jc w:val="right"/>
              <w:rPr>
                <w:rFonts w:eastAsia="Times New Roman"/>
              </w:rPr>
            </w:pPr>
            <w:r>
              <w:rPr>
                <w:rFonts w:eastAsia="Times New Roman"/>
                <w:color w:val="000000"/>
                <w:sz w:val="10"/>
                <w:szCs w:val="10"/>
                <w:vertAlign w:val="superscript"/>
              </w:rPr>
              <w:t>(a) (b)</w:t>
            </w:r>
          </w:p>
        </w:tc>
        <w:tc>
          <w:tcPr>
            <w:tcW w:w="0" w:type="auto"/>
            <w:gridSpan w:val="3"/>
            <w:shd w:val="clear" w:color="auto" w:fill="CCEEFF"/>
            <w:tcMar>
              <w:top w:w="30" w:type="dxa"/>
              <w:left w:w="20" w:type="dxa"/>
              <w:bottom w:w="30" w:type="dxa"/>
              <w:right w:w="20" w:type="dxa"/>
            </w:tcMar>
            <w:vAlign w:val="bottom"/>
            <w:hideMark/>
          </w:tcPr>
          <w:p w14:paraId="74BB26B1" w14:textId="77777777" w:rsidR="00000000" w:rsidRDefault="00195E73">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C851A8" w14:textId="77777777" w:rsidR="00000000" w:rsidRDefault="00195E73">
            <w:pPr>
              <w:jc w:val="center"/>
              <w:rPr>
                <w:rFonts w:eastAsia="Times New Roman"/>
              </w:rPr>
            </w:pPr>
            <w:r>
              <w:rPr>
                <w:rFonts w:eastAsia="Times New Roman"/>
                <w:color w:val="000000"/>
                <w:sz w:val="20"/>
                <w:szCs w:val="20"/>
              </w:rPr>
              <w:t>92.0%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1F16F8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6504B30" w14:textId="77777777" w:rsidR="00000000" w:rsidRDefault="00195E73">
            <w:pPr>
              <w:rPr>
                <w:rFonts w:eastAsia="Times New Roman"/>
                <w:sz w:val="20"/>
                <w:szCs w:val="20"/>
              </w:rPr>
            </w:pPr>
          </w:p>
        </w:tc>
        <w:tc>
          <w:tcPr>
            <w:tcW w:w="0" w:type="auto"/>
            <w:vAlign w:val="center"/>
            <w:hideMark/>
          </w:tcPr>
          <w:p w14:paraId="71612C4E" w14:textId="77777777" w:rsidR="00000000" w:rsidRDefault="00195E73">
            <w:pPr>
              <w:rPr>
                <w:rFonts w:eastAsia="Times New Roman"/>
                <w:sz w:val="20"/>
                <w:szCs w:val="20"/>
              </w:rPr>
            </w:pPr>
          </w:p>
        </w:tc>
        <w:tc>
          <w:tcPr>
            <w:tcW w:w="0" w:type="auto"/>
            <w:vAlign w:val="center"/>
            <w:hideMark/>
          </w:tcPr>
          <w:p w14:paraId="37EDA233" w14:textId="77777777" w:rsidR="00000000" w:rsidRDefault="00195E73">
            <w:pPr>
              <w:rPr>
                <w:rFonts w:eastAsia="Times New Roman"/>
                <w:sz w:val="20"/>
                <w:szCs w:val="20"/>
              </w:rPr>
            </w:pPr>
          </w:p>
        </w:tc>
      </w:tr>
      <w:tr w:rsidR="00000000" w14:paraId="4FE66FA1" w14:textId="77777777">
        <w:trPr>
          <w:divId w:val="1907449003"/>
        </w:trPr>
        <w:tc>
          <w:tcPr>
            <w:tcW w:w="0" w:type="auto"/>
            <w:gridSpan w:val="3"/>
            <w:shd w:val="clear" w:color="auto" w:fill="FFFFFF"/>
            <w:tcMar>
              <w:top w:w="30" w:type="dxa"/>
              <w:left w:w="20" w:type="dxa"/>
              <w:bottom w:w="30" w:type="dxa"/>
              <w:right w:w="20" w:type="dxa"/>
            </w:tcMar>
            <w:vAlign w:val="bottom"/>
            <w:hideMark/>
          </w:tcPr>
          <w:p w14:paraId="32D6B230" w14:textId="77777777" w:rsidR="00000000" w:rsidRDefault="00195E73">
            <w:pPr>
              <w:rPr>
                <w:rFonts w:eastAsia="Times New Roman"/>
              </w:rPr>
            </w:pPr>
            <w:r>
              <w:rPr>
                <w:rFonts w:eastAsia="Times New Roman"/>
                <w:color w:val="000000"/>
                <w:sz w:val="20"/>
                <w:szCs w:val="20"/>
              </w:rPr>
              <w:t>Keith Cozz</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14:paraId="717E9834"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A1E8A5" w14:textId="77777777" w:rsidR="00000000" w:rsidRDefault="00195E73">
            <w:pPr>
              <w:jc w:val="right"/>
              <w:rPr>
                <w:rFonts w:eastAsia="Times New Roman"/>
              </w:rPr>
            </w:pPr>
            <w:r>
              <w:rPr>
                <w:rFonts w:eastAsia="Times New Roman"/>
                <w:color w:val="000000"/>
                <w:sz w:val="20"/>
                <w:szCs w:val="20"/>
              </w:rPr>
              <w:t>2,000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E66CF3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9276F0E"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8DC476D"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ACE430" w14:textId="77777777" w:rsidR="00000000" w:rsidRDefault="00195E73">
            <w:pPr>
              <w:jc w:val="center"/>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4BAB2C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9690549" w14:textId="77777777" w:rsidR="00000000" w:rsidRDefault="00195E73">
            <w:pPr>
              <w:rPr>
                <w:rFonts w:eastAsia="Times New Roman"/>
                <w:sz w:val="20"/>
                <w:szCs w:val="20"/>
              </w:rPr>
            </w:pPr>
          </w:p>
        </w:tc>
        <w:tc>
          <w:tcPr>
            <w:tcW w:w="0" w:type="auto"/>
            <w:vAlign w:val="center"/>
            <w:hideMark/>
          </w:tcPr>
          <w:p w14:paraId="6CFC9390" w14:textId="77777777" w:rsidR="00000000" w:rsidRDefault="00195E73">
            <w:pPr>
              <w:rPr>
                <w:rFonts w:eastAsia="Times New Roman"/>
                <w:sz w:val="20"/>
                <w:szCs w:val="20"/>
              </w:rPr>
            </w:pPr>
          </w:p>
        </w:tc>
        <w:tc>
          <w:tcPr>
            <w:tcW w:w="0" w:type="auto"/>
            <w:vAlign w:val="center"/>
            <w:hideMark/>
          </w:tcPr>
          <w:p w14:paraId="30B5F78B" w14:textId="77777777" w:rsidR="00000000" w:rsidRDefault="00195E73">
            <w:pPr>
              <w:rPr>
                <w:rFonts w:eastAsia="Times New Roman"/>
                <w:sz w:val="20"/>
                <w:szCs w:val="20"/>
              </w:rPr>
            </w:pPr>
          </w:p>
        </w:tc>
      </w:tr>
      <w:tr w:rsidR="00000000" w14:paraId="0E09EAAA" w14:textId="77777777">
        <w:trPr>
          <w:divId w:val="1907449003"/>
        </w:trPr>
        <w:tc>
          <w:tcPr>
            <w:tcW w:w="0" w:type="auto"/>
            <w:gridSpan w:val="3"/>
            <w:shd w:val="clear" w:color="auto" w:fill="CCEEFF"/>
            <w:tcMar>
              <w:top w:w="30" w:type="dxa"/>
              <w:left w:w="20" w:type="dxa"/>
              <w:bottom w:w="30" w:type="dxa"/>
              <w:right w:w="20" w:type="dxa"/>
            </w:tcMar>
            <w:vAlign w:val="bottom"/>
            <w:hideMark/>
          </w:tcPr>
          <w:p w14:paraId="56554F0D" w14:textId="77777777" w:rsidR="00000000" w:rsidRDefault="00195E73">
            <w:pPr>
              <w:rPr>
                <w:rFonts w:eastAsia="Times New Roman"/>
              </w:rPr>
            </w:pPr>
            <w:r>
              <w:rPr>
                <w:rFonts w:eastAsia="Times New Roman"/>
                <w:color w:val="000000"/>
                <w:sz w:val="20"/>
                <w:szCs w:val="20"/>
              </w:rPr>
              <w:t>SungHwan Ch</w:t>
            </w:r>
            <w:r>
              <w:rPr>
                <w:rFonts w:eastAsia="Times New Roman"/>
                <w:color w:val="000000"/>
                <w:sz w:val="20"/>
                <w:szCs w:val="20"/>
              </w:rPr>
              <w:t>o</w:t>
            </w:r>
          </w:p>
        </w:tc>
        <w:tc>
          <w:tcPr>
            <w:tcW w:w="0" w:type="auto"/>
            <w:gridSpan w:val="3"/>
            <w:shd w:val="clear" w:color="auto" w:fill="CCEEFF"/>
            <w:tcMar>
              <w:top w:w="15" w:type="dxa"/>
              <w:left w:w="20" w:type="dxa"/>
              <w:bottom w:w="15" w:type="dxa"/>
              <w:right w:w="20" w:type="dxa"/>
            </w:tcMar>
            <w:vAlign w:val="bottom"/>
            <w:hideMark/>
          </w:tcPr>
          <w:p w14:paraId="21C67E37"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E4CB50" w14:textId="77777777" w:rsidR="00000000" w:rsidRDefault="00195E73">
            <w:pPr>
              <w:jc w:val="right"/>
              <w:rPr>
                <w:rFonts w:eastAsia="Times New Roman"/>
              </w:rPr>
            </w:pPr>
            <w:r>
              <w:rPr>
                <w:rFonts w:eastAsia="Times New Roman"/>
                <w:color w:val="000000"/>
                <w:sz w:val="20"/>
                <w:szCs w:val="20"/>
              </w:rPr>
              <w:t>1,100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25892E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B0895C3"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53663E9E"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7D1901" w14:textId="77777777" w:rsidR="00000000" w:rsidRDefault="00195E73">
            <w:pPr>
              <w:jc w:val="center"/>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E34FA8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17BEB9A" w14:textId="77777777" w:rsidR="00000000" w:rsidRDefault="00195E73">
            <w:pPr>
              <w:rPr>
                <w:rFonts w:eastAsia="Times New Roman"/>
                <w:sz w:val="20"/>
                <w:szCs w:val="20"/>
              </w:rPr>
            </w:pPr>
          </w:p>
        </w:tc>
        <w:tc>
          <w:tcPr>
            <w:tcW w:w="0" w:type="auto"/>
            <w:vAlign w:val="center"/>
            <w:hideMark/>
          </w:tcPr>
          <w:p w14:paraId="3A0A55A0" w14:textId="77777777" w:rsidR="00000000" w:rsidRDefault="00195E73">
            <w:pPr>
              <w:rPr>
                <w:rFonts w:eastAsia="Times New Roman"/>
                <w:sz w:val="20"/>
                <w:szCs w:val="20"/>
              </w:rPr>
            </w:pPr>
          </w:p>
        </w:tc>
        <w:tc>
          <w:tcPr>
            <w:tcW w:w="0" w:type="auto"/>
            <w:vAlign w:val="center"/>
            <w:hideMark/>
          </w:tcPr>
          <w:p w14:paraId="3983BD82" w14:textId="77777777" w:rsidR="00000000" w:rsidRDefault="00195E73">
            <w:pPr>
              <w:rPr>
                <w:rFonts w:eastAsia="Times New Roman"/>
                <w:sz w:val="20"/>
                <w:szCs w:val="20"/>
              </w:rPr>
            </w:pPr>
          </w:p>
        </w:tc>
      </w:tr>
      <w:tr w:rsidR="00000000" w14:paraId="63875CD8" w14:textId="77777777">
        <w:trPr>
          <w:divId w:val="1907449003"/>
        </w:trPr>
        <w:tc>
          <w:tcPr>
            <w:tcW w:w="0" w:type="auto"/>
            <w:gridSpan w:val="3"/>
            <w:shd w:val="clear" w:color="auto" w:fill="FFFFFF"/>
            <w:tcMar>
              <w:top w:w="30" w:type="dxa"/>
              <w:left w:w="20" w:type="dxa"/>
              <w:bottom w:w="30" w:type="dxa"/>
              <w:right w:w="20" w:type="dxa"/>
            </w:tcMar>
            <w:vAlign w:val="bottom"/>
            <w:hideMark/>
          </w:tcPr>
          <w:p w14:paraId="2D7C2558" w14:textId="77777777" w:rsidR="00000000" w:rsidRDefault="00195E73">
            <w:pPr>
              <w:rPr>
                <w:rFonts w:eastAsia="Times New Roman"/>
              </w:rPr>
            </w:pPr>
            <w:r>
              <w:rPr>
                <w:rFonts w:eastAsia="Times New Roman"/>
                <w:color w:val="000000"/>
                <w:sz w:val="20"/>
                <w:szCs w:val="20"/>
              </w:rPr>
              <w:t>Jack G. Wasserma</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14:paraId="0EB1738B"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AA556A" w14:textId="77777777" w:rsidR="00000000" w:rsidRDefault="00195E73">
            <w:pPr>
              <w:jc w:val="right"/>
              <w:rPr>
                <w:rFonts w:eastAsia="Times New Roman"/>
              </w:rPr>
            </w:pPr>
            <w:r>
              <w:rPr>
                <w:rFonts w:eastAsia="Times New Roman"/>
                <w:color w:val="000000"/>
                <w:sz w:val="20"/>
                <w:szCs w:val="20"/>
              </w:rPr>
              <w:t>1,562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99BAD0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448F5F9"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E113FE7"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CD50DD" w14:textId="77777777" w:rsidR="00000000" w:rsidRDefault="00195E73">
            <w:pPr>
              <w:jc w:val="center"/>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DA4273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D816FA0" w14:textId="77777777" w:rsidR="00000000" w:rsidRDefault="00195E73">
            <w:pPr>
              <w:rPr>
                <w:rFonts w:eastAsia="Times New Roman"/>
                <w:sz w:val="20"/>
                <w:szCs w:val="20"/>
              </w:rPr>
            </w:pPr>
          </w:p>
        </w:tc>
        <w:tc>
          <w:tcPr>
            <w:tcW w:w="0" w:type="auto"/>
            <w:vAlign w:val="center"/>
            <w:hideMark/>
          </w:tcPr>
          <w:p w14:paraId="79A436B2" w14:textId="77777777" w:rsidR="00000000" w:rsidRDefault="00195E73">
            <w:pPr>
              <w:rPr>
                <w:rFonts w:eastAsia="Times New Roman"/>
                <w:sz w:val="20"/>
                <w:szCs w:val="20"/>
              </w:rPr>
            </w:pPr>
          </w:p>
        </w:tc>
        <w:tc>
          <w:tcPr>
            <w:tcW w:w="0" w:type="auto"/>
            <w:vAlign w:val="center"/>
            <w:hideMark/>
          </w:tcPr>
          <w:p w14:paraId="2BD3483F" w14:textId="77777777" w:rsidR="00000000" w:rsidRDefault="00195E73">
            <w:pPr>
              <w:rPr>
                <w:rFonts w:eastAsia="Times New Roman"/>
                <w:sz w:val="20"/>
                <w:szCs w:val="20"/>
              </w:rPr>
            </w:pPr>
          </w:p>
        </w:tc>
      </w:tr>
      <w:tr w:rsidR="00000000" w14:paraId="4A386897" w14:textId="77777777">
        <w:trPr>
          <w:divId w:val="1907449003"/>
        </w:trPr>
        <w:tc>
          <w:tcPr>
            <w:tcW w:w="0" w:type="auto"/>
            <w:gridSpan w:val="3"/>
            <w:shd w:val="clear" w:color="auto" w:fill="CCEEFF"/>
            <w:tcMar>
              <w:top w:w="30" w:type="dxa"/>
              <w:left w:w="20" w:type="dxa"/>
              <w:bottom w:w="30" w:type="dxa"/>
              <w:right w:w="20" w:type="dxa"/>
            </w:tcMar>
            <w:vAlign w:val="bottom"/>
            <w:hideMark/>
          </w:tcPr>
          <w:p w14:paraId="5B01C101" w14:textId="77777777" w:rsidR="00000000" w:rsidRDefault="00195E73">
            <w:pPr>
              <w:rPr>
                <w:rFonts w:eastAsia="Times New Roman"/>
              </w:rPr>
            </w:pPr>
            <w:r>
              <w:rPr>
                <w:rFonts w:eastAsia="Times New Roman"/>
                <w:color w:val="000000"/>
                <w:sz w:val="20"/>
                <w:szCs w:val="20"/>
              </w:rPr>
              <w:t>Peter Rec</w:t>
            </w:r>
            <w:r>
              <w:rPr>
                <w:rFonts w:eastAsia="Times New Roman"/>
                <w:color w:val="000000"/>
                <w:sz w:val="20"/>
                <w:szCs w:val="20"/>
              </w:rPr>
              <w:t>k</w:t>
            </w:r>
          </w:p>
        </w:tc>
        <w:tc>
          <w:tcPr>
            <w:tcW w:w="0" w:type="auto"/>
            <w:gridSpan w:val="3"/>
            <w:shd w:val="clear" w:color="auto" w:fill="CCEEFF"/>
            <w:tcMar>
              <w:top w:w="15" w:type="dxa"/>
              <w:left w:w="20" w:type="dxa"/>
              <w:bottom w:w="15" w:type="dxa"/>
              <w:right w:w="20" w:type="dxa"/>
            </w:tcMar>
            <w:vAlign w:val="bottom"/>
            <w:hideMark/>
          </w:tcPr>
          <w:p w14:paraId="6D562AD6"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B64E07"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5DC26C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C97286"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03B2F75"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987EDC" w14:textId="77777777" w:rsidR="00000000" w:rsidRDefault="00195E73">
            <w:pPr>
              <w:jc w:val="center"/>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A47923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6C12F15" w14:textId="77777777" w:rsidR="00000000" w:rsidRDefault="00195E73">
            <w:pPr>
              <w:rPr>
                <w:rFonts w:eastAsia="Times New Roman"/>
                <w:sz w:val="20"/>
                <w:szCs w:val="20"/>
              </w:rPr>
            </w:pPr>
          </w:p>
        </w:tc>
        <w:tc>
          <w:tcPr>
            <w:tcW w:w="0" w:type="auto"/>
            <w:vAlign w:val="center"/>
            <w:hideMark/>
          </w:tcPr>
          <w:p w14:paraId="2C381012" w14:textId="77777777" w:rsidR="00000000" w:rsidRDefault="00195E73">
            <w:pPr>
              <w:rPr>
                <w:rFonts w:eastAsia="Times New Roman"/>
                <w:sz w:val="20"/>
                <w:szCs w:val="20"/>
              </w:rPr>
            </w:pPr>
          </w:p>
        </w:tc>
        <w:tc>
          <w:tcPr>
            <w:tcW w:w="0" w:type="auto"/>
            <w:vAlign w:val="center"/>
            <w:hideMark/>
          </w:tcPr>
          <w:p w14:paraId="7DCD5B67" w14:textId="77777777" w:rsidR="00000000" w:rsidRDefault="00195E73">
            <w:pPr>
              <w:rPr>
                <w:rFonts w:eastAsia="Times New Roman"/>
                <w:sz w:val="20"/>
                <w:szCs w:val="20"/>
              </w:rPr>
            </w:pPr>
          </w:p>
        </w:tc>
      </w:tr>
      <w:tr w:rsidR="00000000" w14:paraId="307C924E" w14:textId="77777777">
        <w:trPr>
          <w:divId w:val="1907449003"/>
        </w:trPr>
        <w:tc>
          <w:tcPr>
            <w:tcW w:w="0" w:type="auto"/>
            <w:gridSpan w:val="3"/>
            <w:shd w:val="clear" w:color="auto" w:fill="FFFFFF"/>
            <w:tcMar>
              <w:top w:w="30" w:type="dxa"/>
              <w:left w:w="20" w:type="dxa"/>
              <w:bottom w:w="30" w:type="dxa"/>
              <w:right w:w="20" w:type="dxa"/>
            </w:tcMar>
            <w:vAlign w:val="bottom"/>
            <w:hideMark/>
          </w:tcPr>
          <w:p w14:paraId="71115187" w14:textId="77777777" w:rsidR="00000000" w:rsidRDefault="00195E73">
            <w:pPr>
              <w:rPr>
                <w:rFonts w:eastAsia="Times New Roman"/>
              </w:rPr>
            </w:pPr>
            <w:r>
              <w:rPr>
                <w:rFonts w:eastAsia="Times New Roman"/>
                <w:color w:val="000000"/>
                <w:sz w:val="20"/>
                <w:szCs w:val="20"/>
              </w:rPr>
              <w:t>Denise Barto</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14:paraId="40719EBB"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E33AFB"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55AA13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0E7F314"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D652B45"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39CA35" w14:textId="77777777" w:rsidR="00000000" w:rsidRDefault="00195E73">
            <w:pPr>
              <w:jc w:val="center"/>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D0F52C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FE7A27E" w14:textId="77777777" w:rsidR="00000000" w:rsidRDefault="00195E73">
            <w:pPr>
              <w:rPr>
                <w:rFonts w:eastAsia="Times New Roman"/>
                <w:sz w:val="20"/>
                <w:szCs w:val="20"/>
              </w:rPr>
            </w:pPr>
          </w:p>
        </w:tc>
        <w:tc>
          <w:tcPr>
            <w:tcW w:w="0" w:type="auto"/>
            <w:vAlign w:val="center"/>
            <w:hideMark/>
          </w:tcPr>
          <w:p w14:paraId="64517B76" w14:textId="77777777" w:rsidR="00000000" w:rsidRDefault="00195E73">
            <w:pPr>
              <w:rPr>
                <w:rFonts w:eastAsia="Times New Roman"/>
                <w:sz w:val="20"/>
                <w:szCs w:val="20"/>
              </w:rPr>
            </w:pPr>
          </w:p>
        </w:tc>
        <w:tc>
          <w:tcPr>
            <w:tcW w:w="0" w:type="auto"/>
            <w:vAlign w:val="center"/>
            <w:hideMark/>
          </w:tcPr>
          <w:p w14:paraId="24FA46D8" w14:textId="77777777" w:rsidR="00000000" w:rsidRDefault="00195E73">
            <w:pPr>
              <w:rPr>
                <w:rFonts w:eastAsia="Times New Roman"/>
                <w:sz w:val="20"/>
                <w:szCs w:val="20"/>
              </w:rPr>
            </w:pPr>
          </w:p>
        </w:tc>
      </w:tr>
      <w:tr w:rsidR="00000000" w14:paraId="58ABFD00" w14:textId="77777777">
        <w:trPr>
          <w:divId w:val="1907449003"/>
        </w:trPr>
        <w:tc>
          <w:tcPr>
            <w:tcW w:w="0" w:type="auto"/>
            <w:gridSpan w:val="3"/>
            <w:shd w:val="clear" w:color="auto" w:fill="CCEEFF"/>
            <w:tcMar>
              <w:top w:w="30" w:type="dxa"/>
              <w:left w:w="20" w:type="dxa"/>
              <w:bottom w:w="30" w:type="dxa"/>
              <w:right w:w="20" w:type="dxa"/>
            </w:tcMar>
            <w:vAlign w:val="bottom"/>
            <w:hideMark/>
          </w:tcPr>
          <w:p w14:paraId="360578E7" w14:textId="77777777" w:rsidR="00000000" w:rsidRDefault="00195E73">
            <w:pPr>
              <w:rPr>
                <w:rFonts w:eastAsia="Times New Roman"/>
              </w:rPr>
            </w:pPr>
            <w:r>
              <w:rPr>
                <w:rFonts w:eastAsia="Times New Roman"/>
                <w:color w:val="000000"/>
                <w:sz w:val="20"/>
                <w:szCs w:val="20"/>
              </w:rPr>
              <w:t>Alvin B. Krongar</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14:paraId="0AFC0319" w14:textId="77777777" w:rsidR="00000000" w:rsidRDefault="00195E73">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0F8D02"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CA13EA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0EE281F"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B861830" w14:textId="77777777" w:rsidR="00000000" w:rsidRDefault="00195E7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5AA4A1" w14:textId="77777777" w:rsidR="00000000" w:rsidRDefault="00195E73">
            <w:pPr>
              <w:jc w:val="center"/>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A6AA15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7BD1D56" w14:textId="77777777" w:rsidR="00000000" w:rsidRDefault="00195E73">
            <w:pPr>
              <w:rPr>
                <w:rFonts w:eastAsia="Times New Roman"/>
                <w:sz w:val="20"/>
                <w:szCs w:val="20"/>
              </w:rPr>
            </w:pPr>
          </w:p>
        </w:tc>
        <w:tc>
          <w:tcPr>
            <w:tcW w:w="0" w:type="auto"/>
            <w:vAlign w:val="center"/>
            <w:hideMark/>
          </w:tcPr>
          <w:p w14:paraId="5D1B610E" w14:textId="77777777" w:rsidR="00000000" w:rsidRDefault="00195E73">
            <w:pPr>
              <w:rPr>
                <w:rFonts w:eastAsia="Times New Roman"/>
                <w:sz w:val="20"/>
                <w:szCs w:val="20"/>
              </w:rPr>
            </w:pPr>
          </w:p>
        </w:tc>
        <w:tc>
          <w:tcPr>
            <w:tcW w:w="0" w:type="auto"/>
            <w:vAlign w:val="center"/>
            <w:hideMark/>
          </w:tcPr>
          <w:p w14:paraId="7E6736BD" w14:textId="77777777" w:rsidR="00000000" w:rsidRDefault="00195E73">
            <w:pPr>
              <w:rPr>
                <w:rFonts w:eastAsia="Times New Roman"/>
                <w:sz w:val="20"/>
                <w:szCs w:val="20"/>
              </w:rPr>
            </w:pPr>
          </w:p>
        </w:tc>
      </w:tr>
      <w:tr w:rsidR="00000000" w14:paraId="23CE83CA" w14:textId="77777777">
        <w:trPr>
          <w:divId w:val="1907449003"/>
        </w:trPr>
        <w:tc>
          <w:tcPr>
            <w:tcW w:w="0" w:type="auto"/>
            <w:gridSpan w:val="3"/>
            <w:shd w:val="clear" w:color="auto" w:fill="FFFFFF"/>
            <w:tcMar>
              <w:top w:w="30" w:type="dxa"/>
              <w:left w:w="20" w:type="dxa"/>
              <w:bottom w:w="30" w:type="dxa"/>
              <w:right w:w="20" w:type="dxa"/>
            </w:tcMar>
            <w:vAlign w:val="bottom"/>
            <w:hideMark/>
          </w:tcPr>
          <w:p w14:paraId="5915CB14" w14:textId="77777777" w:rsidR="00000000" w:rsidRDefault="00195E73">
            <w:pPr>
              <w:rPr>
                <w:rFonts w:eastAsia="Times New Roman"/>
              </w:rPr>
            </w:pPr>
            <w:r>
              <w:rPr>
                <w:rFonts w:eastAsia="Times New Roman"/>
                <w:color w:val="000000"/>
                <w:sz w:val="20"/>
                <w:szCs w:val="20"/>
              </w:rPr>
              <w:t>Michael Nevi</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14:paraId="341CB58D" w14:textId="77777777" w:rsidR="00000000" w:rsidRDefault="00195E73">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6DC2A8"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9D1781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3F96BD0" w14:textId="77777777" w:rsidR="00000000" w:rsidRDefault="00195E73">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72A9F9C1" w14:textId="77777777" w:rsidR="00000000" w:rsidRDefault="00195E7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DF503A" w14:textId="77777777" w:rsidR="00000000" w:rsidRDefault="00195E73">
            <w:pPr>
              <w:jc w:val="center"/>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B15CFA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ECC5359" w14:textId="77777777" w:rsidR="00000000" w:rsidRDefault="00195E73">
            <w:pPr>
              <w:rPr>
                <w:rFonts w:eastAsia="Times New Roman"/>
                <w:sz w:val="20"/>
                <w:szCs w:val="20"/>
              </w:rPr>
            </w:pPr>
          </w:p>
        </w:tc>
        <w:tc>
          <w:tcPr>
            <w:tcW w:w="0" w:type="auto"/>
            <w:vAlign w:val="center"/>
            <w:hideMark/>
          </w:tcPr>
          <w:p w14:paraId="4FA645C9" w14:textId="77777777" w:rsidR="00000000" w:rsidRDefault="00195E73">
            <w:pPr>
              <w:rPr>
                <w:rFonts w:eastAsia="Times New Roman"/>
                <w:sz w:val="20"/>
                <w:szCs w:val="20"/>
              </w:rPr>
            </w:pPr>
          </w:p>
        </w:tc>
        <w:tc>
          <w:tcPr>
            <w:tcW w:w="0" w:type="auto"/>
            <w:vAlign w:val="center"/>
            <w:hideMark/>
          </w:tcPr>
          <w:p w14:paraId="38D022A9" w14:textId="77777777" w:rsidR="00000000" w:rsidRDefault="00195E73">
            <w:pPr>
              <w:rPr>
                <w:rFonts w:eastAsia="Times New Roman"/>
                <w:sz w:val="20"/>
                <w:szCs w:val="20"/>
              </w:rPr>
            </w:pPr>
          </w:p>
        </w:tc>
      </w:tr>
      <w:tr w:rsidR="00000000" w14:paraId="3A2C33E0" w14:textId="77777777">
        <w:trPr>
          <w:divId w:val="1907449003"/>
        </w:trPr>
        <w:tc>
          <w:tcPr>
            <w:tcW w:w="0" w:type="auto"/>
            <w:gridSpan w:val="3"/>
            <w:shd w:val="clear" w:color="auto" w:fill="CCEEFF"/>
            <w:tcMar>
              <w:top w:w="30" w:type="dxa"/>
              <w:left w:w="20" w:type="dxa"/>
              <w:bottom w:w="30" w:type="dxa"/>
              <w:right w:w="20" w:type="dxa"/>
            </w:tcMar>
            <w:vAlign w:val="bottom"/>
            <w:hideMark/>
          </w:tcPr>
          <w:p w14:paraId="44A2A06B" w14:textId="77777777" w:rsidR="00000000" w:rsidRDefault="00195E73">
            <w:pPr>
              <w:rPr>
                <w:rFonts w:eastAsia="Times New Roman"/>
              </w:rPr>
            </w:pPr>
            <w:r>
              <w:rPr>
                <w:rFonts w:eastAsia="Times New Roman"/>
                <w:color w:val="000000"/>
                <w:sz w:val="20"/>
                <w:szCs w:val="20"/>
              </w:rPr>
              <w:t>All Directors and Executive Officers as a Group (eight persons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2DF10004" w14:textId="77777777" w:rsidR="00000000" w:rsidRDefault="00195E73">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9A5673" w14:textId="77777777" w:rsidR="00000000" w:rsidRDefault="00195E73">
            <w:pPr>
              <w:jc w:val="right"/>
              <w:rPr>
                <w:rFonts w:eastAsia="Times New Roman"/>
              </w:rPr>
            </w:pPr>
            <w:r>
              <w:rPr>
                <w:rFonts w:eastAsia="Times New Roman"/>
                <w:color w:val="000000"/>
                <w:sz w:val="20"/>
                <w:szCs w:val="20"/>
              </w:rPr>
              <w:t>197,054,314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8F327B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34731DB" w14:textId="77777777" w:rsidR="00000000" w:rsidRDefault="00195E73">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D5075FF" w14:textId="77777777" w:rsidR="00000000" w:rsidRDefault="00195E73">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CBB6DD" w14:textId="77777777" w:rsidR="00000000" w:rsidRDefault="00195E73">
            <w:pPr>
              <w:jc w:val="center"/>
              <w:rPr>
                <w:rFonts w:eastAsia="Times New Roman"/>
              </w:rPr>
            </w:pPr>
            <w:r>
              <w:rPr>
                <w:rFonts w:eastAsia="Times New Roman"/>
                <w:color w:val="000000"/>
                <w:sz w:val="20"/>
                <w:szCs w:val="20"/>
              </w:rPr>
              <w:t>92.0%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C33269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15CFED8" w14:textId="77777777" w:rsidR="00000000" w:rsidRDefault="00195E73">
            <w:pPr>
              <w:rPr>
                <w:rFonts w:eastAsia="Times New Roman"/>
                <w:sz w:val="20"/>
                <w:szCs w:val="20"/>
              </w:rPr>
            </w:pPr>
          </w:p>
        </w:tc>
        <w:tc>
          <w:tcPr>
            <w:tcW w:w="0" w:type="auto"/>
            <w:vAlign w:val="center"/>
            <w:hideMark/>
          </w:tcPr>
          <w:p w14:paraId="17A98BF3" w14:textId="77777777" w:rsidR="00000000" w:rsidRDefault="00195E73">
            <w:pPr>
              <w:rPr>
                <w:rFonts w:eastAsia="Times New Roman"/>
                <w:sz w:val="20"/>
                <w:szCs w:val="20"/>
              </w:rPr>
            </w:pPr>
          </w:p>
        </w:tc>
        <w:tc>
          <w:tcPr>
            <w:tcW w:w="0" w:type="auto"/>
            <w:vAlign w:val="center"/>
            <w:hideMark/>
          </w:tcPr>
          <w:p w14:paraId="5E6A96E8" w14:textId="77777777" w:rsidR="00000000" w:rsidRDefault="00195E73">
            <w:pPr>
              <w:rPr>
                <w:rFonts w:eastAsia="Times New Roman"/>
                <w:sz w:val="20"/>
                <w:szCs w:val="20"/>
              </w:rPr>
            </w:pPr>
          </w:p>
        </w:tc>
      </w:tr>
    </w:tbl>
    <w:p w14:paraId="4CCED9F0" w14:textId="77777777" w:rsidR="00000000" w:rsidRDefault="00195E73">
      <w:pPr>
        <w:divId w:val="500122237"/>
        <w:rPr>
          <w:rFonts w:eastAsia="Times New Roman"/>
        </w:rPr>
      </w:pPr>
      <w:r>
        <w:rPr>
          <w:rFonts w:eastAsia="Times New Roman"/>
          <w:color w:val="000000"/>
          <w:sz w:val="18"/>
          <w:szCs w:val="18"/>
        </w:rPr>
        <w:t>* Less than 1% of total outstanding depositary units of Icahn Enterprises.</w:t>
      </w:r>
      <w:r>
        <w:rPr>
          <w:rFonts w:eastAsia="Times New Roman"/>
          <w:color w:val="000000"/>
          <w:sz w:val="18"/>
          <w:szCs w:val="18"/>
        </w:rPr>
        <w:t xml:space="preserve"> </w:t>
      </w:r>
    </w:p>
    <w:p w14:paraId="368BA38E" w14:textId="77777777" w:rsidR="00000000" w:rsidRDefault="00195E73">
      <w:pPr>
        <w:divId w:val="1310089487"/>
        <w:rPr>
          <w:rFonts w:eastAsia="Times New Roman"/>
        </w:rPr>
      </w:pPr>
    </w:p>
    <w:p w14:paraId="260E507C" w14:textId="77777777" w:rsidR="00000000" w:rsidRDefault="00195E73">
      <w:pPr>
        <w:divId w:val="650137692"/>
        <w:rPr>
          <w:rFonts w:eastAsia="Times New Roman"/>
        </w:rPr>
      </w:pPr>
      <w:r>
        <w:rPr>
          <w:rFonts w:eastAsia="Times New Roman"/>
          <w:color w:val="000000"/>
          <w:sz w:val="20"/>
          <w:szCs w:val="20"/>
        </w:rPr>
        <w:t xml:space="preserve">(a) </w:t>
      </w:r>
      <w:r>
        <w:rPr>
          <w:rFonts w:eastAsia="Times New Roman"/>
          <w:color w:val="000000"/>
          <w:sz w:val="20"/>
          <w:szCs w:val="20"/>
        </w:rPr>
        <w:t>The foregoing is exclusive of a 1.99% ownership interest which Icahn Enterprises GP holds by virtue of its 1% general partner interest in each of us and Icahn Enterprises Holdings</w:t>
      </w:r>
      <w:r>
        <w:rPr>
          <w:rFonts w:eastAsia="Times New Roman"/>
          <w:color w:val="000000"/>
          <w:sz w:val="20"/>
          <w:szCs w:val="20"/>
        </w:rPr>
        <w:t>.</w:t>
      </w:r>
    </w:p>
    <w:p w14:paraId="0E326CFB" w14:textId="77777777" w:rsidR="00000000" w:rsidRDefault="00195E73">
      <w:pPr>
        <w:divId w:val="171653683"/>
        <w:rPr>
          <w:rFonts w:eastAsia="Times New Roman"/>
        </w:rPr>
      </w:pPr>
      <w:r>
        <w:rPr>
          <w:rFonts w:eastAsia="Times New Roman"/>
          <w:color w:val="000000"/>
          <w:sz w:val="20"/>
          <w:szCs w:val="20"/>
        </w:rPr>
        <w:t xml:space="preserve">(b) </w:t>
      </w:r>
      <w:r>
        <w:rPr>
          <w:rFonts w:eastAsia="Times New Roman"/>
          <w:color w:val="000000"/>
          <w:sz w:val="20"/>
          <w:szCs w:val="20"/>
        </w:rPr>
        <w:t>The following footnotes describe Mr. Icahn’s beneficial ownership of Icahn Enterprises’ depositary units</w:t>
      </w:r>
      <w:r>
        <w:rPr>
          <w:rFonts w:eastAsia="Times New Roman"/>
          <w:color w:val="000000"/>
          <w:sz w:val="20"/>
          <w:szCs w:val="20"/>
        </w:rPr>
        <w:t>:</w:t>
      </w:r>
    </w:p>
    <w:p w14:paraId="3F8B9B0C" w14:textId="77777777" w:rsidR="00000000" w:rsidRDefault="00195E73">
      <w:pPr>
        <w:jc w:val="center"/>
        <w:divId w:val="1125464680"/>
        <w:rPr>
          <w:rFonts w:eastAsia="Times New Roman"/>
        </w:rPr>
      </w:pPr>
      <w:r>
        <w:rPr>
          <w:rFonts w:eastAsia="Times New Roman"/>
          <w:color w:val="000000"/>
          <w:sz w:val="20"/>
          <w:szCs w:val="20"/>
        </w:rPr>
        <w:t>12</w:t>
      </w:r>
      <w:r>
        <w:rPr>
          <w:rFonts w:eastAsia="Times New Roman"/>
          <w:color w:val="000000"/>
          <w:sz w:val="20"/>
          <w:szCs w:val="20"/>
        </w:rPr>
        <w:t>7</w:t>
      </w:r>
    </w:p>
    <w:p w14:paraId="69C7E83C" w14:textId="77777777" w:rsidR="00000000" w:rsidRDefault="00195E73">
      <w:pPr>
        <w:rPr>
          <w:rFonts w:eastAsia="Times New Roman"/>
        </w:rPr>
      </w:pPr>
      <w:r>
        <w:rPr>
          <w:rFonts w:eastAsia="Times New Roman"/>
        </w:rPr>
        <w:pict w14:anchorId="1C87603B">
          <v:rect id="_x0000_i1153" style="width:0;height:1.5pt" o:hralign="center" o:hrstd="t" o:hr="t" fillcolor="#a0a0a0" stroked="f"/>
        </w:pict>
      </w:r>
    </w:p>
    <w:p w14:paraId="35252D93" w14:textId="77777777" w:rsidR="00000000" w:rsidRDefault="00195E73">
      <w:pPr>
        <w:divId w:val="1141001830"/>
        <w:rPr>
          <w:rFonts w:eastAsia="Times New Roman"/>
        </w:rPr>
      </w:pPr>
    </w:p>
    <w:tbl>
      <w:tblPr>
        <w:tblW w:w="4853" w:type="pct"/>
        <w:tblCellMar>
          <w:top w:w="15" w:type="dxa"/>
          <w:left w:w="15" w:type="dxa"/>
          <w:bottom w:w="15" w:type="dxa"/>
          <w:right w:w="15" w:type="dxa"/>
        </w:tblCellMar>
        <w:tblLook w:val="04A0" w:firstRow="1" w:lastRow="0" w:firstColumn="1" w:lastColumn="0" w:noHBand="0" w:noVBand="1"/>
      </w:tblPr>
      <w:tblGrid>
        <w:gridCol w:w="80"/>
        <w:gridCol w:w="225"/>
        <w:gridCol w:w="81"/>
        <w:gridCol w:w="81"/>
        <w:gridCol w:w="7514"/>
        <w:gridCol w:w="81"/>
      </w:tblGrid>
      <w:tr w:rsidR="00000000" w14:paraId="03D061A1" w14:textId="77777777">
        <w:trPr>
          <w:divId w:val="916399799"/>
        </w:trPr>
        <w:tc>
          <w:tcPr>
            <w:tcW w:w="50" w:type="pct"/>
            <w:vAlign w:val="center"/>
            <w:hideMark/>
          </w:tcPr>
          <w:p w14:paraId="6E5229D4" w14:textId="77777777" w:rsidR="00000000" w:rsidRDefault="00195E73">
            <w:pPr>
              <w:rPr>
                <w:rFonts w:eastAsia="Times New Roman"/>
              </w:rPr>
            </w:pPr>
          </w:p>
        </w:tc>
        <w:tc>
          <w:tcPr>
            <w:tcW w:w="140" w:type="pct"/>
            <w:vAlign w:val="center"/>
            <w:hideMark/>
          </w:tcPr>
          <w:p w14:paraId="611BAA84" w14:textId="77777777" w:rsidR="00000000" w:rsidRDefault="00195E73">
            <w:pPr>
              <w:rPr>
                <w:rFonts w:eastAsia="Times New Roman"/>
                <w:sz w:val="20"/>
                <w:szCs w:val="20"/>
              </w:rPr>
            </w:pPr>
          </w:p>
        </w:tc>
        <w:tc>
          <w:tcPr>
            <w:tcW w:w="50" w:type="pct"/>
            <w:vAlign w:val="center"/>
            <w:hideMark/>
          </w:tcPr>
          <w:p w14:paraId="7D697792" w14:textId="77777777" w:rsidR="00000000" w:rsidRDefault="00195E73">
            <w:pPr>
              <w:rPr>
                <w:rFonts w:eastAsia="Times New Roman"/>
                <w:sz w:val="20"/>
                <w:szCs w:val="20"/>
              </w:rPr>
            </w:pPr>
          </w:p>
        </w:tc>
        <w:tc>
          <w:tcPr>
            <w:tcW w:w="50" w:type="pct"/>
            <w:vAlign w:val="center"/>
            <w:hideMark/>
          </w:tcPr>
          <w:p w14:paraId="521D1246" w14:textId="77777777" w:rsidR="00000000" w:rsidRDefault="00195E73">
            <w:pPr>
              <w:rPr>
                <w:rFonts w:eastAsia="Times New Roman"/>
                <w:sz w:val="20"/>
                <w:szCs w:val="20"/>
              </w:rPr>
            </w:pPr>
          </w:p>
        </w:tc>
        <w:tc>
          <w:tcPr>
            <w:tcW w:w="4659" w:type="pct"/>
            <w:vAlign w:val="center"/>
            <w:hideMark/>
          </w:tcPr>
          <w:p w14:paraId="4052F98C" w14:textId="77777777" w:rsidR="00000000" w:rsidRDefault="00195E73">
            <w:pPr>
              <w:rPr>
                <w:rFonts w:eastAsia="Times New Roman"/>
                <w:sz w:val="20"/>
                <w:szCs w:val="20"/>
              </w:rPr>
            </w:pPr>
          </w:p>
        </w:tc>
        <w:tc>
          <w:tcPr>
            <w:tcW w:w="50" w:type="pct"/>
            <w:vAlign w:val="center"/>
            <w:hideMark/>
          </w:tcPr>
          <w:p w14:paraId="4A3C3BD6" w14:textId="77777777" w:rsidR="00000000" w:rsidRDefault="00195E73">
            <w:pPr>
              <w:rPr>
                <w:rFonts w:eastAsia="Times New Roman"/>
                <w:sz w:val="20"/>
                <w:szCs w:val="20"/>
              </w:rPr>
            </w:pPr>
          </w:p>
        </w:tc>
      </w:tr>
      <w:tr w:rsidR="00000000" w14:paraId="161229E7" w14:textId="77777777">
        <w:trPr>
          <w:divId w:val="916399799"/>
        </w:trPr>
        <w:tc>
          <w:tcPr>
            <w:tcW w:w="0" w:type="auto"/>
            <w:gridSpan w:val="2"/>
            <w:tcMar>
              <w:top w:w="30" w:type="dxa"/>
              <w:left w:w="20" w:type="dxa"/>
              <w:bottom w:w="30" w:type="dxa"/>
              <w:right w:w="0" w:type="dxa"/>
            </w:tcMar>
            <w:hideMark/>
          </w:tcPr>
          <w:p w14:paraId="6C3E0BA4" w14:textId="77777777" w:rsidR="00000000" w:rsidRDefault="00195E73">
            <w:pPr>
              <w:jc w:val="center"/>
              <w:rPr>
                <w:rFonts w:eastAsia="Times New Roman"/>
              </w:rPr>
            </w:pPr>
            <w:r>
              <w:rPr>
                <w:rFonts w:eastAsia="Times New Roman"/>
                <w:color w:val="000000"/>
                <w:sz w:val="16"/>
                <w:szCs w:val="16"/>
              </w:rPr>
              <w:t>(1</w:t>
            </w:r>
            <w:r>
              <w:rPr>
                <w:rFonts w:eastAsia="Times New Roman"/>
                <w:color w:val="000000"/>
                <w:sz w:val="16"/>
                <w:szCs w:val="16"/>
              </w:rPr>
              <w:t>)</w:t>
            </w:r>
          </w:p>
        </w:tc>
        <w:tc>
          <w:tcPr>
            <w:tcW w:w="0" w:type="auto"/>
            <w:tcMar>
              <w:top w:w="30" w:type="dxa"/>
              <w:left w:w="15" w:type="dxa"/>
              <w:bottom w:w="30" w:type="dxa"/>
              <w:right w:w="20" w:type="dxa"/>
            </w:tcMar>
            <w:hideMark/>
          </w:tcPr>
          <w:p w14:paraId="23518E96" w14:textId="77777777" w:rsidR="00000000" w:rsidRDefault="00195E73">
            <w:pPr>
              <w:jc w:val="right"/>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center"/>
            <w:hideMark/>
          </w:tcPr>
          <w:p w14:paraId="0AD7DBA6" w14:textId="77777777" w:rsidR="00000000" w:rsidRDefault="00195E73">
            <w:pPr>
              <w:rPr>
                <w:rFonts w:eastAsia="Times New Roman"/>
              </w:rPr>
            </w:pPr>
            <w:r>
              <w:rPr>
                <w:rFonts w:eastAsia="Times New Roman"/>
                <w:color w:val="000000"/>
                <w:sz w:val="16"/>
                <w:szCs w:val="16"/>
              </w:rPr>
              <w:t>CCI Onshore LLC (“CCI Onshore”) beneficially owns 45,870,268 Depositary Units. High Coast Limi</w:t>
            </w:r>
            <w:r>
              <w:rPr>
                <w:rFonts w:eastAsia="Times New Roman"/>
                <w:color w:val="000000"/>
                <w:sz w:val="16"/>
                <w:szCs w:val="16"/>
              </w:rPr>
              <w:t>ted Partnership (“High Coast"” is the sole member of CCI Onshore. Little Meadow Corp. (“Little Meadow”) is the general partner of High Coast. Carl C. Icahn beneficially owns 100% of Little Meadow. Pursuant to Rule 16a-1(a)(2) under the Exchange Act, each o</w:t>
            </w:r>
            <w:r>
              <w:rPr>
                <w:rFonts w:eastAsia="Times New Roman"/>
                <w:color w:val="000000"/>
                <w:sz w:val="16"/>
                <w:szCs w:val="16"/>
              </w:rPr>
              <w:t>f Mr. Icahn, Little Meadow and High Coast (by virtue of their relationships to CCI Onshore) may be deemed to indirectly beneficially own the Depositary Units which CCI Onshore owns. Each of Mr. Icahn, Little Meadow and High Coast disclaims beneficial owner</w:t>
            </w:r>
            <w:r>
              <w:rPr>
                <w:rFonts w:eastAsia="Times New Roman"/>
                <w:color w:val="000000"/>
                <w:sz w:val="16"/>
                <w:szCs w:val="16"/>
              </w:rPr>
              <w:t>ship of such Depositary Units except to the extent of their pecuniary interest therein</w:t>
            </w:r>
            <w:r>
              <w:rPr>
                <w:rFonts w:eastAsia="Times New Roman"/>
                <w:color w:val="000000"/>
                <w:sz w:val="16"/>
                <w:szCs w:val="16"/>
              </w:rPr>
              <w:t>.</w:t>
            </w:r>
          </w:p>
        </w:tc>
      </w:tr>
      <w:tr w:rsidR="00000000" w14:paraId="63D11808" w14:textId="77777777">
        <w:trPr>
          <w:divId w:val="916399799"/>
        </w:trPr>
        <w:tc>
          <w:tcPr>
            <w:tcW w:w="0" w:type="auto"/>
            <w:gridSpan w:val="2"/>
            <w:tcMar>
              <w:top w:w="30" w:type="dxa"/>
              <w:left w:w="20" w:type="dxa"/>
              <w:bottom w:w="30" w:type="dxa"/>
              <w:right w:w="0" w:type="dxa"/>
            </w:tcMar>
            <w:hideMark/>
          </w:tcPr>
          <w:p w14:paraId="51DE380B" w14:textId="77777777" w:rsidR="00000000" w:rsidRDefault="00195E73">
            <w:pPr>
              <w:jc w:val="center"/>
              <w:rPr>
                <w:rFonts w:eastAsia="Times New Roman"/>
              </w:rPr>
            </w:pPr>
            <w:r>
              <w:rPr>
                <w:rFonts w:eastAsia="Times New Roman"/>
                <w:color w:val="000000"/>
                <w:sz w:val="16"/>
                <w:szCs w:val="16"/>
              </w:rPr>
              <w:t>(2</w:t>
            </w:r>
            <w:r>
              <w:rPr>
                <w:rFonts w:eastAsia="Times New Roman"/>
                <w:color w:val="000000"/>
                <w:sz w:val="16"/>
                <w:szCs w:val="16"/>
              </w:rPr>
              <w:t>)</w:t>
            </w:r>
          </w:p>
        </w:tc>
        <w:tc>
          <w:tcPr>
            <w:tcW w:w="0" w:type="auto"/>
            <w:tcMar>
              <w:top w:w="30" w:type="dxa"/>
              <w:left w:w="15" w:type="dxa"/>
              <w:bottom w:w="30" w:type="dxa"/>
              <w:right w:w="20" w:type="dxa"/>
            </w:tcMar>
            <w:hideMark/>
          </w:tcPr>
          <w:p w14:paraId="5518CF84" w14:textId="77777777" w:rsidR="00000000" w:rsidRDefault="00195E73">
            <w:pPr>
              <w:jc w:val="right"/>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center"/>
            <w:hideMark/>
          </w:tcPr>
          <w:p w14:paraId="33DDECC5" w14:textId="77777777" w:rsidR="00000000" w:rsidRDefault="00195E73">
            <w:pPr>
              <w:rPr>
                <w:rFonts w:eastAsia="Times New Roman"/>
              </w:rPr>
            </w:pPr>
            <w:r>
              <w:rPr>
                <w:rFonts w:eastAsia="Times New Roman"/>
                <w:color w:val="000000"/>
                <w:sz w:val="16"/>
                <w:szCs w:val="16"/>
              </w:rPr>
              <w:t>Gascon Partners (“Gascon”</w:t>
            </w:r>
            <w:r>
              <w:rPr>
                <w:rFonts w:eastAsia="Times New Roman"/>
                <w:color w:val="000000"/>
                <w:sz w:val="16"/>
                <w:szCs w:val="16"/>
              </w:rPr>
              <w:t>) beneficially owns 27,013,966 Depositary Units. Little Meadow is the managing general partner of Gascon. Carl C. Icahn beneficially owns 100% of Little Meadow. Pursuant to Rule 16a-1(a)(2) under the Exchange Act, each of Mr. Icahn and Little Meadow (by vi</w:t>
            </w:r>
            <w:r>
              <w:rPr>
                <w:rFonts w:eastAsia="Times New Roman"/>
                <w:color w:val="000000"/>
                <w:sz w:val="16"/>
                <w:szCs w:val="16"/>
              </w:rPr>
              <w:t xml:space="preserve">rtue of their relationships to Gascon) may be deemed to indirectly beneficially own the Depositary Units which Gascon owns. Each of Mr. Icahn and Little Meadow disclaims beneficial ownership of such Depositary Units except to the extent of their pecuniary </w:t>
            </w:r>
            <w:r>
              <w:rPr>
                <w:rFonts w:eastAsia="Times New Roman"/>
                <w:color w:val="000000"/>
                <w:sz w:val="16"/>
                <w:szCs w:val="16"/>
              </w:rPr>
              <w:t>interest therein</w:t>
            </w:r>
            <w:r>
              <w:rPr>
                <w:rFonts w:eastAsia="Times New Roman"/>
                <w:color w:val="000000"/>
                <w:sz w:val="16"/>
                <w:szCs w:val="16"/>
              </w:rPr>
              <w:t>.</w:t>
            </w:r>
          </w:p>
        </w:tc>
      </w:tr>
      <w:tr w:rsidR="00000000" w14:paraId="76CCAAFF" w14:textId="77777777">
        <w:trPr>
          <w:divId w:val="916399799"/>
        </w:trPr>
        <w:tc>
          <w:tcPr>
            <w:tcW w:w="0" w:type="auto"/>
            <w:gridSpan w:val="2"/>
            <w:tcMar>
              <w:top w:w="30" w:type="dxa"/>
              <w:left w:w="20" w:type="dxa"/>
              <w:bottom w:w="30" w:type="dxa"/>
              <w:right w:w="0" w:type="dxa"/>
            </w:tcMar>
            <w:hideMark/>
          </w:tcPr>
          <w:p w14:paraId="6793DC45" w14:textId="77777777" w:rsidR="00000000" w:rsidRDefault="00195E73">
            <w:pPr>
              <w:jc w:val="center"/>
              <w:rPr>
                <w:rFonts w:eastAsia="Times New Roman"/>
              </w:rPr>
            </w:pPr>
            <w:r>
              <w:rPr>
                <w:rFonts w:eastAsia="Times New Roman"/>
                <w:color w:val="000000"/>
                <w:sz w:val="16"/>
                <w:szCs w:val="16"/>
              </w:rPr>
              <w:t>(3</w:t>
            </w:r>
            <w:r>
              <w:rPr>
                <w:rFonts w:eastAsia="Times New Roman"/>
                <w:color w:val="000000"/>
                <w:sz w:val="16"/>
                <w:szCs w:val="16"/>
              </w:rPr>
              <w:t>)</w:t>
            </w:r>
          </w:p>
        </w:tc>
        <w:tc>
          <w:tcPr>
            <w:tcW w:w="0" w:type="auto"/>
            <w:tcMar>
              <w:top w:w="30" w:type="dxa"/>
              <w:left w:w="15" w:type="dxa"/>
              <w:bottom w:w="30" w:type="dxa"/>
              <w:right w:w="20" w:type="dxa"/>
            </w:tcMar>
            <w:hideMark/>
          </w:tcPr>
          <w:p w14:paraId="2E763C74" w14:textId="77777777" w:rsidR="00000000" w:rsidRDefault="00195E73">
            <w:pPr>
              <w:jc w:val="right"/>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center"/>
            <w:hideMark/>
          </w:tcPr>
          <w:p w14:paraId="08F9EB83" w14:textId="77777777" w:rsidR="00000000" w:rsidRDefault="00195E73">
            <w:pPr>
              <w:rPr>
                <w:rFonts w:eastAsia="Times New Roman"/>
              </w:rPr>
            </w:pPr>
            <w:r>
              <w:rPr>
                <w:rFonts w:eastAsia="Times New Roman"/>
                <w:color w:val="000000"/>
                <w:sz w:val="16"/>
                <w:szCs w:val="16"/>
              </w:rPr>
              <w:t>High Coast beneficially owns 94,781,485 Depositary Units. Little Meadow is the general partner of High Coast. Carl C. Icahn beneficially owns 100% of Little Meadow. Pursuant to Rule 16a-1(a)(2) under the Exchange Act, each of Mr</w:t>
            </w:r>
            <w:r>
              <w:rPr>
                <w:rFonts w:eastAsia="Times New Roman"/>
                <w:color w:val="000000"/>
                <w:sz w:val="16"/>
                <w:szCs w:val="16"/>
              </w:rPr>
              <w:t xml:space="preserve">. Icahn and Little Meadow (by virtue of their relationships to High Coast) may be deemed to indirectly beneficially own the Depositary Units which High Coast owns. Each of Mr. Icahn and Little Meadow disclaims beneficial ownership of such Depositary Units </w:t>
            </w:r>
            <w:r>
              <w:rPr>
                <w:rFonts w:eastAsia="Times New Roman"/>
                <w:color w:val="000000"/>
                <w:sz w:val="16"/>
                <w:szCs w:val="16"/>
              </w:rPr>
              <w:t>except to the extent of their pecuniary interest therein</w:t>
            </w:r>
            <w:r>
              <w:rPr>
                <w:rFonts w:eastAsia="Times New Roman"/>
                <w:color w:val="000000"/>
                <w:sz w:val="16"/>
                <w:szCs w:val="16"/>
              </w:rPr>
              <w:t>.</w:t>
            </w:r>
          </w:p>
        </w:tc>
      </w:tr>
      <w:tr w:rsidR="00000000" w14:paraId="68C6C5D1" w14:textId="77777777">
        <w:trPr>
          <w:divId w:val="916399799"/>
        </w:trPr>
        <w:tc>
          <w:tcPr>
            <w:tcW w:w="0" w:type="auto"/>
            <w:gridSpan w:val="2"/>
            <w:tcMar>
              <w:top w:w="30" w:type="dxa"/>
              <w:left w:w="20" w:type="dxa"/>
              <w:bottom w:w="30" w:type="dxa"/>
              <w:right w:w="0" w:type="dxa"/>
            </w:tcMar>
            <w:hideMark/>
          </w:tcPr>
          <w:p w14:paraId="24C8F17F" w14:textId="77777777" w:rsidR="00000000" w:rsidRDefault="00195E73">
            <w:pPr>
              <w:jc w:val="center"/>
              <w:rPr>
                <w:rFonts w:eastAsia="Times New Roman"/>
              </w:rPr>
            </w:pPr>
            <w:r>
              <w:rPr>
                <w:rFonts w:eastAsia="Times New Roman"/>
                <w:color w:val="000000"/>
                <w:sz w:val="16"/>
                <w:szCs w:val="16"/>
              </w:rPr>
              <w:t>(4</w:t>
            </w:r>
            <w:r>
              <w:rPr>
                <w:rFonts w:eastAsia="Times New Roman"/>
                <w:color w:val="000000"/>
                <w:sz w:val="16"/>
                <w:szCs w:val="16"/>
              </w:rPr>
              <w:t>)</w:t>
            </w:r>
          </w:p>
        </w:tc>
        <w:tc>
          <w:tcPr>
            <w:tcW w:w="0" w:type="auto"/>
            <w:tcMar>
              <w:top w:w="30" w:type="dxa"/>
              <w:left w:w="15" w:type="dxa"/>
              <w:bottom w:w="30" w:type="dxa"/>
              <w:right w:w="20" w:type="dxa"/>
            </w:tcMar>
            <w:hideMark/>
          </w:tcPr>
          <w:p w14:paraId="4BE56E87" w14:textId="77777777" w:rsidR="00000000" w:rsidRDefault="00195E73">
            <w:pPr>
              <w:jc w:val="right"/>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center"/>
            <w:hideMark/>
          </w:tcPr>
          <w:p w14:paraId="3BCDFF45" w14:textId="77777777" w:rsidR="00000000" w:rsidRDefault="00195E73">
            <w:pPr>
              <w:rPr>
                <w:rFonts w:eastAsia="Times New Roman"/>
              </w:rPr>
            </w:pPr>
            <w:r>
              <w:rPr>
                <w:rFonts w:eastAsia="Times New Roman"/>
                <w:color w:val="000000"/>
                <w:sz w:val="16"/>
                <w:szCs w:val="16"/>
              </w:rPr>
              <w:t>Highcrest Investors LLC (“Highcrest”) beneficially owns 22,047,958 Depositary Units. Starfire Holding Corporation (“Starfire”) beneficially owns 100% of Highcrest. Carl C. Icahn beneficial</w:t>
            </w:r>
            <w:r>
              <w:rPr>
                <w:rFonts w:eastAsia="Times New Roman"/>
                <w:color w:val="000000"/>
                <w:sz w:val="16"/>
                <w:szCs w:val="16"/>
              </w:rPr>
              <w:t>ly owns 100% of Starfire. Pursuant to Rule 16a-1(a)(2) under the Exchange Act, each of Mr. Icahn and Starfire (by virtue of their relationships to Highcrest) may be deemed to indirectly beneficially own the Depositary Units which Highcrest owns. Each of Mr</w:t>
            </w:r>
            <w:r>
              <w:rPr>
                <w:rFonts w:eastAsia="Times New Roman"/>
                <w:color w:val="000000"/>
                <w:sz w:val="16"/>
                <w:szCs w:val="16"/>
              </w:rPr>
              <w:t>. Icahn and Starfire disclaims beneficial ownership of such Depositary Units except to the extent of their pecuniary interest therein</w:t>
            </w:r>
            <w:r>
              <w:rPr>
                <w:rFonts w:eastAsia="Times New Roman"/>
                <w:color w:val="000000"/>
                <w:sz w:val="16"/>
                <w:szCs w:val="16"/>
              </w:rPr>
              <w:t>.</w:t>
            </w:r>
          </w:p>
        </w:tc>
      </w:tr>
      <w:tr w:rsidR="00000000" w14:paraId="7CCB7DBB" w14:textId="77777777">
        <w:trPr>
          <w:divId w:val="916399799"/>
        </w:trPr>
        <w:tc>
          <w:tcPr>
            <w:tcW w:w="0" w:type="auto"/>
            <w:gridSpan w:val="2"/>
            <w:tcMar>
              <w:top w:w="30" w:type="dxa"/>
              <w:left w:w="20" w:type="dxa"/>
              <w:bottom w:w="30" w:type="dxa"/>
              <w:right w:w="0" w:type="dxa"/>
            </w:tcMar>
            <w:hideMark/>
          </w:tcPr>
          <w:p w14:paraId="2C9FD545" w14:textId="77777777" w:rsidR="00000000" w:rsidRDefault="00195E73">
            <w:pPr>
              <w:jc w:val="center"/>
              <w:rPr>
                <w:rFonts w:eastAsia="Times New Roman"/>
              </w:rPr>
            </w:pPr>
            <w:r>
              <w:rPr>
                <w:rFonts w:eastAsia="Times New Roman"/>
                <w:color w:val="000000"/>
                <w:sz w:val="16"/>
                <w:szCs w:val="16"/>
              </w:rPr>
              <w:t>(5</w:t>
            </w:r>
            <w:r>
              <w:rPr>
                <w:rFonts w:eastAsia="Times New Roman"/>
                <w:color w:val="000000"/>
                <w:sz w:val="16"/>
                <w:szCs w:val="16"/>
              </w:rPr>
              <w:t>)</w:t>
            </w:r>
          </w:p>
        </w:tc>
        <w:tc>
          <w:tcPr>
            <w:tcW w:w="0" w:type="auto"/>
            <w:tcMar>
              <w:top w:w="30" w:type="dxa"/>
              <w:left w:w="15" w:type="dxa"/>
              <w:bottom w:w="30" w:type="dxa"/>
              <w:right w:w="20" w:type="dxa"/>
            </w:tcMar>
            <w:hideMark/>
          </w:tcPr>
          <w:p w14:paraId="0AC57297" w14:textId="77777777" w:rsidR="00000000" w:rsidRDefault="00195E73">
            <w:pPr>
              <w:jc w:val="right"/>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center"/>
            <w:hideMark/>
          </w:tcPr>
          <w:p w14:paraId="53C9B903" w14:textId="77777777" w:rsidR="00000000" w:rsidRDefault="00195E73">
            <w:pPr>
              <w:rPr>
                <w:rFonts w:eastAsia="Times New Roman"/>
              </w:rPr>
            </w:pPr>
            <w:r>
              <w:rPr>
                <w:rFonts w:eastAsia="Times New Roman"/>
                <w:color w:val="000000"/>
                <w:sz w:val="16"/>
                <w:szCs w:val="16"/>
              </w:rPr>
              <w:t>Thornwood Associates Limited Partnership (“Thornwood”) beneficially owns 7,335,975 Depositary Units. Barberry C</w:t>
            </w:r>
            <w:r>
              <w:rPr>
                <w:rFonts w:eastAsia="Times New Roman"/>
                <w:color w:val="000000"/>
                <w:sz w:val="16"/>
                <w:szCs w:val="16"/>
              </w:rPr>
              <w:t>orp. (“Barberry”) is the general partner of Thornwood. Carl C. Icahn beneficially owns 100% of Barberry. Pursuant to Rule 16a-1(a)(2) under the Exchange Act, each of Mr. Icahn and Barberry (by virtue of their relationships to Thornwood) may be deemed to in</w:t>
            </w:r>
            <w:r>
              <w:rPr>
                <w:rFonts w:eastAsia="Times New Roman"/>
                <w:color w:val="000000"/>
                <w:sz w:val="16"/>
                <w:szCs w:val="16"/>
              </w:rPr>
              <w:t>directly beneficially own the Depositary Units which Thornwood owns. Each of Mr. Icahn and Barberry disclaims beneficial ownership of such Depositary Units except to the extent of their pecuniary interest therein</w:t>
            </w:r>
            <w:r>
              <w:rPr>
                <w:rFonts w:eastAsia="Times New Roman"/>
                <w:color w:val="000000"/>
                <w:sz w:val="16"/>
                <w:szCs w:val="16"/>
              </w:rPr>
              <w:t>.</w:t>
            </w:r>
          </w:p>
        </w:tc>
      </w:tr>
      <w:tr w:rsidR="00000000" w14:paraId="51DDDB1F" w14:textId="77777777">
        <w:trPr>
          <w:divId w:val="916399799"/>
        </w:trPr>
        <w:tc>
          <w:tcPr>
            <w:tcW w:w="0" w:type="auto"/>
            <w:gridSpan w:val="2"/>
            <w:tcMar>
              <w:top w:w="30" w:type="dxa"/>
              <w:left w:w="20" w:type="dxa"/>
              <w:bottom w:w="30" w:type="dxa"/>
              <w:right w:w="0" w:type="dxa"/>
            </w:tcMar>
            <w:hideMark/>
          </w:tcPr>
          <w:p w14:paraId="25A36061" w14:textId="77777777" w:rsidR="00000000" w:rsidRDefault="00195E73">
            <w:pPr>
              <w:jc w:val="center"/>
              <w:rPr>
                <w:rFonts w:eastAsia="Times New Roman"/>
              </w:rPr>
            </w:pPr>
            <w:r>
              <w:rPr>
                <w:rFonts w:eastAsia="Times New Roman"/>
                <w:color w:val="000000"/>
                <w:sz w:val="16"/>
                <w:szCs w:val="16"/>
              </w:rPr>
              <w:t>(6</w:t>
            </w:r>
            <w:r>
              <w:rPr>
                <w:rFonts w:eastAsia="Times New Roman"/>
                <w:color w:val="000000"/>
                <w:sz w:val="16"/>
                <w:szCs w:val="16"/>
              </w:rPr>
              <w:t>)</w:t>
            </w:r>
          </w:p>
        </w:tc>
        <w:tc>
          <w:tcPr>
            <w:tcW w:w="0" w:type="auto"/>
            <w:tcMar>
              <w:top w:w="30" w:type="dxa"/>
              <w:left w:w="15" w:type="dxa"/>
              <w:bottom w:w="30" w:type="dxa"/>
              <w:right w:w="20" w:type="dxa"/>
            </w:tcMar>
            <w:hideMark/>
          </w:tcPr>
          <w:p w14:paraId="07B51D04" w14:textId="77777777" w:rsidR="00000000" w:rsidRDefault="00195E73">
            <w:pPr>
              <w:jc w:val="right"/>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center"/>
            <w:hideMark/>
          </w:tcPr>
          <w:p w14:paraId="4A26E9A2" w14:textId="77777777" w:rsidR="00000000" w:rsidRDefault="00195E73">
            <w:pPr>
              <w:rPr>
                <w:rFonts w:eastAsia="Times New Roman"/>
              </w:rPr>
            </w:pPr>
            <w:r>
              <w:rPr>
                <w:rFonts w:eastAsia="Times New Roman"/>
                <w:color w:val="000000"/>
                <w:sz w:val="16"/>
                <w:szCs w:val="16"/>
              </w:rPr>
              <w:t>Does not include 12,000 Depositary Units owned by Gail Golden, the wife of Mr. Icahn. Mr. Icahn, by virtue of his relationship to Ms. Golden, may be deemed to beneficially own such Depositary Units. Mr. Icahn disclaims beneficial ownership of such Deposita</w:t>
            </w:r>
            <w:r>
              <w:rPr>
                <w:rFonts w:eastAsia="Times New Roman"/>
                <w:color w:val="000000"/>
                <w:sz w:val="16"/>
                <w:szCs w:val="16"/>
              </w:rPr>
              <w:t>ry Units for all purposes</w:t>
            </w:r>
            <w:r>
              <w:rPr>
                <w:rFonts w:eastAsia="Times New Roman"/>
                <w:color w:val="000000"/>
                <w:sz w:val="16"/>
                <w:szCs w:val="16"/>
              </w:rPr>
              <w:t>.</w:t>
            </w:r>
          </w:p>
        </w:tc>
      </w:tr>
    </w:tbl>
    <w:p w14:paraId="472C03FC" w14:textId="77777777" w:rsidR="00000000" w:rsidRDefault="00195E73">
      <w:pPr>
        <w:divId w:val="1306009091"/>
        <w:rPr>
          <w:rFonts w:eastAsia="Times New Roman"/>
        </w:rPr>
      </w:pPr>
    </w:p>
    <w:p w14:paraId="7EA1BE93" w14:textId="77777777" w:rsidR="00000000" w:rsidRDefault="00195E73">
      <w:pPr>
        <w:divId w:val="1491486779"/>
        <w:rPr>
          <w:rFonts w:eastAsia="Times New Roman"/>
        </w:rPr>
      </w:pPr>
    </w:p>
    <w:p w14:paraId="1E18FA0D" w14:textId="77777777" w:rsidR="00000000" w:rsidRDefault="00195E73">
      <w:pPr>
        <w:divId w:val="802505634"/>
        <w:rPr>
          <w:rFonts w:eastAsia="Times New Roman"/>
        </w:rPr>
      </w:pPr>
      <w:r>
        <w:rPr>
          <w:rFonts w:eastAsia="Times New Roman"/>
          <w:b/>
          <w:bCs/>
          <w:color w:val="000000"/>
          <w:sz w:val="20"/>
          <w:szCs w:val="20"/>
        </w:rPr>
        <w:t>Item 13. Certain Relationships and Related Transactions, and Director Independence</w:t>
      </w:r>
      <w:r>
        <w:rPr>
          <w:rFonts w:eastAsia="Times New Roman"/>
          <w:b/>
          <w:bCs/>
          <w:color w:val="000000"/>
          <w:sz w:val="20"/>
          <w:szCs w:val="20"/>
        </w:rPr>
        <w:t>.</w:t>
      </w:r>
    </w:p>
    <w:p w14:paraId="3F3D86E2" w14:textId="77777777" w:rsidR="00000000" w:rsidRDefault="00195E73">
      <w:pPr>
        <w:divId w:val="1292252633"/>
        <w:rPr>
          <w:rFonts w:eastAsia="Times New Roman"/>
        </w:rPr>
      </w:pPr>
      <w:r>
        <w:rPr>
          <w:rFonts w:eastAsia="Times New Roman"/>
          <w:b/>
          <w:bCs/>
          <w:color w:val="000000"/>
          <w:sz w:val="20"/>
          <w:szCs w:val="20"/>
        </w:rPr>
        <w:t>Related Party Transaction Polic</w:t>
      </w:r>
      <w:r>
        <w:rPr>
          <w:rFonts w:eastAsia="Times New Roman"/>
          <w:b/>
          <w:bCs/>
          <w:color w:val="000000"/>
          <w:sz w:val="20"/>
          <w:szCs w:val="20"/>
        </w:rPr>
        <w:t>y</w:t>
      </w:r>
    </w:p>
    <w:p w14:paraId="366C74DA" w14:textId="77777777" w:rsidR="00000000" w:rsidRDefault="00195E73">
      <w:pPr>
        <w:ind w:firstLine="450"/>
        <w:divId w:val="1273896454"/>
        <w:rPr>
          <w:rFonts w:eastAsia="Times New Roman"/>
        </w:rPr>
      </w:pPr>
      <w:r>
        <w:rPr>
          <w:rFonts w:eastAsia="Times New Roman"/>
          <w:color w:val="000000"/>
          <w:sz w:val="20"/>
          <w:szCs w:val="20"/>
        </w:rPr>
        <w:t>Our second amended and restated agreement of limited partnership expressly permits us to enter into transactions with our general partner or any of its affiliates, including, without limitation, buying or selling properties from or to our general partner a</w:t>
      </w:r>
      <w:r>
        <w:rPr>
          <w:rFonts w:eastAsia="Times New Roman"/>
          <w:color w:val="000000"/>
          <w:sz w:val="20"/>
          <w:szCs w:val="20"/>
        </w:rPr>
        <w:t>nd any of its affiliates and borrowing and lending money from or to our general partner and any of its affiliates, subject to the limitations contained in our partnership agreement and the Delaware Revised Uniform Limited Partnership Act. The indentures go</w:t>
      </w:r>
      <w:r>
        <w:rPr>
          <w:rFonts w:eastAsia="Times New Roman"/>
          <w:color w:val="000000"/>
          <w:sz w:val="20"/>
          <w:szCs w:val="20"/>
        </w:rPr>
        <w:t>verning our indebtedness contain certain covenants applicable to transactions with affiliates</w:t>
      </w:r>
      <w:r>
        <w:rPr>
          <w:rFonts w:eastAsia="Times New Roman"/>
          <w:color w:val="000000"/>
          <w:sz w:val="20"/>
          <w:szCs w:val="20"/>
        </w:rPr>
        <w:t>.</w:t>
      </w:r>
    </w:p>
    <w:p w14:paraId="79CBA67C" w14:textId="77777777" w:rsidR="00000000" w:rsidRDefault="00195E73">
      <w:pPr>
        <w:divId w:val="1460950647"/>
        <w:rPr>
          <w:rFonts w:eastAsia="Times New Roman"/>
        </w:rPr>
      </w:pPr>
      <w:r>
        <w:rPr>
          <w:rFonts w:eastAsia="Times New Roman"/>
          <w:b/>
          <w:bCs/>
          <w:color w:val="000000"/>
          <w:sz w:val="20"/>
          <w:szCs w:val="20"/>
        </w:rPr>
        <w:t>Related Party Transactions with Our General Partner and Its Affiliate</w:t>
      </w:r>
      <w:r>
        <w:rPr>
          <w:rFonts w:eastAsia="Times New Roman"/>
          <w:b/>
          <w:bCs/>
          <w:color w:val="000000"/>
          <w:sz w:val="20"/>
          <w:szCs w:val="20"/>
        </w:rPr>
        <w:t>s</w:t>
      </w:r>
    </w:p>
    <w:p w14:paraId="14BED457" w14:textId="77777777" w:rsidR="00000000" w:rsidRDefault="00195E73">
      <w:pPr>
        <w:ind w:firstLine="450"/>
        <w:divId w:val="607278171"/>
        <w:rPr>
          <w:rFonts w:eastAsia="Times New Roman"/>
        </w:rPr>
      </w:pPr>
      <w:r>
        <w:rPr>
          <w:rFonts w:eastAsia="Times New Roman"/>
          <w:color w:val="000000"/>
          <w:sz w:val="20"/>
          <w:szCs w:val="20"/>
        </w:rPr>
        <w:t>Mr. Icahn, in his capacity as majority unitholder, will not receive any additional benefit</w:t>
      </w:r>
      <w:r>
        <w:rPr>
          <w:rFonts w:eastAsia="Times New Roman"/>
          <w:color w:val="000000"/>
          <w:sz w:val="20"/>
          <w:szCs w:val="20"/>
        </w:rPr>
        <w:t xml:space="preserve"> with respect to distributions and allocations of profits and losses not shared on a pro rata basis by all other unitholders. In addition, Mr. Icahn has confirmed to us that neither he nor any of his affiliates will receive any fees from us in consideratio</w:t>
      </w:r>
      <w:r>
        <w:rPr>
          <w:rFonts w:eastAsia="Times New Roman"/>
          <w:color w:val="000000"/>
          <w:sz w:val="20"/>
          <w:szCs w:val="20"/>
        </w:rPr>
        <w:t>n for services rendered in connection with investments by us other than as otherwise disclosed herein. We have, and in the future may determine to make, investments in entities in which Mr. Icahn or his affiliates also have investments. We may enter into o</w:t>
      </w:r>
      <w:r>
        <w:rPr>
          <w:rFonts w:eastAsia="Times New Roman"/>
          <w:color w:val="000000"/>
          <w:sz w:val="20"/>
          <w:szCs w:val="20"/>
        </w:rPr>
        <w:t>ther transactions with Mr. Icahn and his affiliates, including, without limitation, buying and selling assets from or to affiliates of Mr. Icahn and participating in joint venture investments in assets with affiliates of Mr. Icahn. Furthermore, it should b</w:t>
      </w:r>
      <w:r>
        <w:rPr>
          <w:rFonts w:eastAsia="Times New Roman"/>
          <w:color w:val="000000"/>
          <w:sz w:val="20"/>
          <w:szCs w:val="20"/>
        </w:rPr>
        <w:t xml:space="preserve">e noted that our partnership agreement provides that Icahn Enterprises GP and its affiliates are permitted to have other business interests and may engage in other business ventures of any nature whatsoever, and may compete directly or indirectly with our </w:t>
      </w:r>
      <w:r>
        <w:rPr>
          <w:rFonts w:eastAsia="Times New Roman"/>
          <w:color w:val="000000"/>
          <w:sz w:val="20"/>
          <w:szCs w:val="20"/>
        </w:rPr>
        <w:t xml:space="preserve">business. Mr. Icahn and his affiliates currently invest in assets that may be similar to those in which we may invest, and Mr. Icahn and his affiliates intend to continue to do so. Pursuant to the partnership agreement, however, we will not have any right </w:t>
      </w:r>
      <w:r>
        <w:rPr>
          <w:rFonts w:eastAsia="Times New Roman"/>
          <w:color w:val="000000"/>
          <w:sz w:val="20"/>
          <w:szCs w:val="20"/>
        </w:rPr>
        <w:t>to participate therein or receive or share in any income or profits derived therefrom</w:t>
      </w:r>
      <w:r>
        <w:rPr>
          <w:rFonts w:eastAsia="Times New Roman"/>
          <w:color w:val="000000"/>
          <w:sz w:val="20"/>
          <w:szCs w:val="20"/>
        </w:rPr>
        <w:t>.</w:t>
      </w:r>
    </w:p>
    <w:p w14:paraId="77E4D9A8" w14:textId="77777777" w:rsidR="00000000" w:rsidRDefault="00195E73">
      <w:pPr>
        <w:ind w:firstLine="450"/>
        <w:divId w:val="946159372"/>
        <w:rPr>
          <w:rFonts w:eastAsia="Times New Roman"/>
        </w:rPr>
      </w:pPr>
      <w:r>
        <w:rPr>
          <w:rFonts w:eastAsia="Times New Roman"/>
          <w:color w:val="000000"/>
          <w:sz w:val="20"/>
          <w:szCs w:val="20"/>
        </w:rPr>
        <w:t xml:space="preserve">During 2019, we declared four quarterly distributions aggregating $8.00 per depositary unit. Depositary unitholders were given the option to make an election to receive </w:t>
      </w:r>
      <w:r>
        <w:rPr>
          <w:rFonts w:eastAsia="Times New Roman"/>
          <w:color w:val="000000"/>
          <w:sz w:val="20"/>
          <w:szCs w:val="20"/>
        </w:rPr>
        <w:t>the distributions in either cash or additional depositary units; if a holder did not make an election, it was automatically deemed to have elected to receive the distributions in cash. As a result of the above declared distributions, during 2019 we distrib</w:t>
      </w:r>
      <w:r>
        <w:rPr>
          <w:rFonts w:eastAsia="Times New Roman"/>
          <w:color w:val="000000"/>
          <w:sz w:val="20"/>
          <w:szCs w:val="20"/>
        </w:rPr>
        <w:t>uted an aggregate 21,898,853 of Icahn Enterprises’ depositary units to those depositary unitholders who elected to receive such distributions in additional depositary units, of which an aggregate of 21,608,064 depositary units were distributed to Mr. Icahn</w:t>
      </w:r>
      <w:r>
        <w:rPr>
          <w:rFonts w:eastAsia="Times New Roman"/>
          <w:color w:val="000000"/>
          <w:sz w:val="20"/>
          <w:szCs w:val="20"/>
        </w:rPr>
        <w:t xml:space="preserve"> and his affiliates. As a result, Mr. Icahn and his affiliates owned approximately 92.0% of Icahn Enterprises’ outstanding depositary units as of December 31, 2019.</w:t>
      </w:r>
      <w:r>
        <w:rPr>
          <w:rFonts w:eastAsia="Times New Roman"/>
          <w:color w:val="000000"/>
          <w:sz w:val="20"/>
          <w:szCs w:val="20"/>
        </w:rPr>
        <w:t xml:space="preserve"> </w:t>
      </w:r>
    </w:p>
    <w:p w14:paraId="217EE9E2" w14:textId="77777777" w:rsidR="00000000" w:rsidRDefault="00195E73">
      <w:pPr>
        <w:ind w:firstLine="450"/>
        <w:divId w:val="1524979132"/>
        <w:rPr>
          <w:rFonts w:eastAsia="Times New Roman"/>
        </w:rPr>
      </w:pPr>
      <w:r>
        <w:rPr>
          <w:rFonts w:eastAsia="Times New Roman"/>
          <w:color w:val="000000"/>
          <w:sz w:val="20"/>
          <w:szCs w:val="20"/>
        </w:rPr>
        <w:t>On February 26, 2020, the Board of Directors of the general partner of Icahn Enterprises d</w:t>
      </w:r>
      <w:r>
        <w:rPr>
          <w:rFonts w:eastAsia="Times New Roman"/>
          <w:color w:val="000000"/>
          <w:sz w:val="20"/>
          <w:szCs w:val="20"/>
        </w:rPr>
        <w:t>eclared a quarterly distribution in the amount of $2.00 per depositary unit, which will be paid on or about April 28, 2020 to depositary unitholders of record at the close of business on March 20, 2020. Depositary unitholders will have until March 17, 2020</w:t>
      </w:r>
      <w:r>
        <w:rPr>
          <w:rFonts w:eastAsia="Times New Roman"/>
          <w:color w:val="000000"/>
          <w:sz w:val="20"/>
          <w:szCs w:val="20"/>
        </w:rPr>
        <w:t xml:space="preserve"> to make an election to receive either cash or additional depositary units; if a holder does not make an election, it will automatically be deemed to have elected to receive the distribution in cash. To date, Mr. Icahn and his affiliates have elected to re</w:t>
      </w:r>
      <w:r>
        <w:rPr>
          <w:rFonts w:eastAsia="Times New Roman"/>
          <w:color w:val="000000"/>
          <w:sz w:val="20"/>
          <w:szCs w:val="20"/>
        </w:rPr>
        <w:t>ceive their distributions in additional depositary units; however, Mr. Icahn and his affiliates may in the future elect to receive all or a portion of the distributions in cash or in additional depositary units</w:t>
      </w:r>
      <w:r>
        <w:rPr>
          <w:rFonts w:eastAsia="Times New Roman"/>
          <w:color w:val="000000"/>
          <w:sz w:val="20"/>
          <w:szCs w:val="20"/>
        </w:rPr>
        <w:t>.</w:t>
      </w:r>
    </w:p>
    <w:p w14:paraId="1CDF53A7" w14:textId="77777777" w:rsidR="00000000" w:rsidRDefault="00195E73">
      <w:pPr>
        <w:jc w:val="center"/>
        <w:divId w:val="864171292"/>
        <w:rPr>
          <w:rFonts w:eastAsia="Times New Roman"/>
        </w:rPr>
      </w:pPr>
      <w:r>
        <w:rPr>
          <w:rFonts w:eastAsia="Times New Roman"/>
          <w:color w:val="000000"/>
          <w:sz w:val="20"/>
          <w:szCs w:val="20"/>
        </w:rPr>
        <w:t>12</w:t>
      </w:r>
      <w:r>
        <w:rPr>
          <w:rFonts w:eastAsia="Times New Roman"/>
          <w:color w:val="000000"/>
          <w:sz w:val="20"/>
          <w:szCs w:val="20"/>
        </w:rPr>
        <w:t>8</w:t>
      </w:r>
    </w:p>
    <w:p w14:paraId="3E98EB42" w14:textId="77777777" w:rsidR="00000000" w:rsidRDefault="00195E73">
      <w:pPr>
        <w:rPr>
          <w:rFonts w:eastAsia="Times New Roman"/>
        </w:rPr>
      </w:pPr>
      <w:r>
        <w:rPr>
          <w:rFonts w:eastAsia="Times New Roman"/>
        </w:rPr>
        <w:pict w14:anchorId="10837C4C">
          <v:rect id="_x0000_i1154" style="width:0;height:1.5pt" o:hralign="center" o:hrstd="t" o:hr="t" fillcolor="#a0a0a0" stroked="f"/>
        </w:pict>
      </w:r>
    </w:p>
    <w:p w14:paraId="0B8628A8" w14:textId="77777777" w:rsidR="00000000" w:rsidRDefault="00195E73">
      <w:pPr>
        <w:divId w:val="1936741972"/>
        <w:rPr>
          <w:rFonts w:eastAsia="Times New Roman"/>
        </w:rPr>
      </w:pPr>
    </w:p>
    <w:p w14:paraId="34D27B2A" w14:textId="77777777" w:rsidR="00000000" w:rsidRDefault="00195E73">
      <w:pPr>
        <w:ind w:firstLine="450"/>
        <w:divId w:val="334266262"/>
        <w:rPr>
          <w:rFonts w:eastAsia="Times New Roman"/>
        </w:rPr>
      </w:pPr>
      <w:r>
        <w:rPr>
          <w:rFonts w:eastAsia="Times New Roman"/>
          <w:color w:val="000000"/>
          <w:sz w:val="20"/>
          <w:szCs w:val="20"/>
        </w:rPr>
        <w:t>Pursuant to registration rights agreements, Mr. Icahn has certain registration rights with regard to the depositary units beneficially owned by him</w:t>
      </w:r>
      <w:r>
        <w:rPr>
          <w:rFonts w:eastAsia="Times New Roman"/>
          <w:color w:val="000000"/>
          <w:sz w:val="20"/>
          <w:szCs w:val="20"/>
        </w:rPr>
        <w:t>.</w:t>
      </w:r>
    </w:p>
    <w:p w14:paraId="09CBD4B3" w14:textId="77777777" w:rsidR="00000000" w:rsidRDefault="00195E73">
      <w:pPr>
        <w:ind w:firstLine="450"/>
        <w:divId w:val="947473206"/>
        <w:rPr>
          <w:rFonts w:eastAsia="Times New Roman"/>
        </w:rPr>
      </w:pPr>
      <w:r>
        <w:rPr>
          <w:rFonts w:eastAsia="Times New Roman"/>
          <w:color w:val="000000"/>
          <w:sz w:val="20"/>
          <w:szCs w:val="20"/>
        </w:rPr>
        <w:t>In 2019, Icahn Enterprises GP was allocated a loss of $22 million of our net loss attributable to Icahn Ent</w:t>
      </w:r>
      <w:r>
        <w:rPr>
          <w:rFonts w:eastAsia="Times New Roman"/>
          <w:color w:val="000000"/>
          <w:sz w:val="20"/>
          <w:szCs w:val="20"/>
        </w:rPr>
        <w:t>erprises as a result of its combined 1.99% general partner interests in us and Icahn Enterprises Holdings</w:t>
      </w:r>
      <w:r>
        <w:rPr>
          <w:rFonts w:eastAsia="Times New Roman"/>
          <w:color w:val="000000"/>
          <w:sz w:val="20"/>
          <w:szCs w:val="20"/>
        </w:rPr>
        <w:t>.</w:t>
      </w:r>
    </w:p>
    <w:p w14:paraId="6BAB93B8" w14:textId="77777777" w:rsidR="00000000" w:rsidRDefault="00195E73">
      <w:pPr>
        <w:ind w:firstLine="450"/>
        <w:divId w:val="76443067"/>
        <w:rPr>
          <w:rFonts w:eastAsia="Times New Roman"/>
        </w:rPr>
      </w:pPr>
      <w:r>
        <w:rPr>
          <w:rFonts w:eastAsia="Times New Roman"/>
          <w:color w:val="000000"/>
          <w:sz w:val="20"/>
          <w:szCs w:val="20"/>
        </w:rPr>
        <w:t xml:space="preserve">We may, on occasion, invest in securities in which entities affiliated with Mr. Icahn are also investing. Additionally, Mr. Icahn and his affiliated </w:t>
      </w:r>
      <w:r>
        <w:rPr>
          <w:rFonts w:eastAsia="Times New Roman"/>
          <w:color w:val="000000"/>
          <w:sz w:val="20"/>
          <w:szCs w:val="20"/>
        </w:rPr>
        <w:t>entities may also invest in securities in which Icahn Enterprises and its consolidated subsidiaries invest. Mr. Icahn and his affiliates (excluding Icahn Enterprises and Icahn Enterprises Holdings), make investments in the Investment Funds. During 2019, af</w:t>
      </w:r>
      <w:r>
        <w:rPr>
          <w:rFonts w:eastAsia="Times New Roman"/>
          <w:color w:val="000000"/>
          <w:sz w:val="20"/>
          <w:szCs w:val="20"/>
        </w:rPr>
        <w:t>filiates of Mr. Icahn invested $220 million in the Investment Funds. As of December 31, 2019, the total fair market value of investments in the Investment Funds made by Mr. Icahn and his affiliates (excluding Icahn Enterprises and Icahn Enterprises Holding</w:t>
      </w:r>
      <w:r>
        <w:rPr>
          <w:rFonts w:eastAsia="Times New Roman"/>
          <w:color w:val="000000"/>
          <w:sz w:val="20"/>
          <w:szCs w:val="20"/>
        </w:rPr>
        <w:t>s) was approximately $4.5 billion, representing approximately 51% of the Investment Funds’ assets under management.</w:t>
      </w:r>
      <w:r>
        <w:rPr>
          <w:rFonts w:eastAsia="Times New Roman"/>
          <w:color w:val="000000"/>
          <w:sz w:val="20"/>
          <w:szCs w:val="20"/>
        </w:rPr>
        <w:t xml:space="preserve"> </w:t>
      </w:r>
    </w:p>
    <w:p w14:paraId="304ED8A1" w14:textId="77777777" w:rsidR="00000000" w:rsidRDefault="00195E73">
      <w:pPr>
        <w:divId w:val="1462839618"/>
        <w:rPr>
          <w:rFonts w:eastAsia="Times New Roman"/>
        </w:rPr>
      </w:pPr>
      <w:r>
        <w:rPr>
          <w:rFonts w:eastAsia="Times New Roman"/>
          <w:b/>
          <w:bCs/>
          <w:color w:val="000000"/>
          <w:sz w:val="20"/>
          <w:szCs w:val="20"/>
        </w:rPr>
        <w:t>Other Related Party Transaction</w:t>
      </w:r>
      <w:r>
        <w:rPr>
          <w:rFonts w:eastAsia="Times New Roman"/>
          <w:b/>
          <w:bCs/>
          <w:color w:val="000000"/>
          <w:sz w:val="20"/>
          <w:szCs w:val="20"/>
        </w:rPr>
        <w:t>s</w:t>
      </w:r>
    </w:p>
    <w:p w14:paraId="5BD969C9" w14:textId="77777777" w:rsidR="00000000" w:rsidRDefault="00195E73">
      <w:pPr>
        <w:ind w:firstLine="450"/>
        <w:divId w:val="1831560128"/>
        <w:rPr>
          <w:rFonts w:eastAsia="Times New Roman"/>
        </w:rPr>
      </w:pPr>
      <w:r>
        <w:rPr>
          <w:rFonts w:eastAsia="Times New Roman"/>
          <w:color w:val="000000"/>
          <w:sz w:val="20"/>
          <w:szCs w:val="20"/>
        </w:rPr>
        <w:t>Icahn Capital LP (“Icahn Capital”</w:t>
      </w:r>
      <w:r>
        <w:rPr>
          <w:rFonts w:eastAsia="Times New Roman"/>
          <w:color w:val="000000"/>
          <w:sz w:val="20"/>
          <w:szCs w:val="20"/>
        </w:rPr>
        <w:t>), a wholly-owned subsidiary of ours, paid for salaries and benefits of certain employees who may also perform various functions on behalf of certain other entities beneficially owned by Mr. Icahn (collectively, “Icahn Affiliates”), including administrativ</w:t>
      </w:r>
      <w:r>
        <w:rPr>
          <w:rFonts w:eastAsia="Times New Roman"/>
          <w:color w:val="000000"/>
          <w:sz w:val="20"/>
          <w:szCs w:val="20"/>
        </w:rPr>
        <w:t>e and investment services. During 2019, under a separate expense-sharing agreement, we have charged Icahn Affiliates $1 million for such services</w:t>
      </w:r>
      <w:r>
        <w:rPr>
          <w:rFonts w:eastAsia="Times New Roman"/>
          <w:color w:val="000000"/>
          <w:sz w:val="20"/>
          <w:szCs w:val="20"/>
        </w:rPr>
        <w:t>.</w:t>
      </w:r>
    </w:p>
    <w:p w14:paraId="3EBC20EE" w14:textId="77777777" w:rsidR="00000000" w:rsidRDefault="00195E73">
      <w:pPr>
        <w:ind w:firstLine="450"/>
        <w:divId w:val="1869298512"/>
        <w:rPr>
          <w:rFonts w:eastAsia="Times New Roman"/>
        </w:rPr>
      </w:pPr>
      <w:r>
        <w:rPr>
          <w:rFonts w:eastAsia="Times New Roman"/>
          <w:color w:val="000000"/>
          <w:sz w:val="20"/>
          <w:szCs w:val="20"/>
        </w:rPr>
        <w:t xml:space="preserve">Icahn Capital pays for expenses pertaining to the operation, administration and investment activities of our </w:t>
      </w:r>
      <w:r>
        <w:rPr>
          <w:rFonts w:eastAsia="Times New Roman"/>
          <w:color w:val="000000"/>
          <w:sz w:val="20"/>
          <w:szCs w:val="20"/>
        </w:rPr>
        <w:t xml:space="preserve">Investment segment for the benefit of the Investment Funds (including salaries, benefits and rent). Icahn Capital shall be allocated pro rata for such expenses in accordance with each investor’s capital accounts in the Investment Funds. Effective April 1, </w:t>
      </w:r>
      <w:r>
        <w:rPr>
          <w:rFonts w:eastAsia="Times New Roman"/>
          <w:color w:val="000000"/>
          <w:sz w:val="20"/>
          <w:szCs w:val="20"/>
        </w:rPr>
        <w:t>2011, based on an expense-sharing arrangement, certain expenses borne by Icahn Capital are reimbursed by the Investment Funds, generally when such expenses are paid. During 2019, $23 million was allocated to the Investment Funds based on this expense-shari</w:t>
      </w:r>
      <w:r>
        <w:rPr>
          <w:rFonts w:eastAsia="Times New Roman"/>
          <w:color w:val="000000"/>
          <w:sz w:val="20"/>
          <w:szCs w:val="20"/>
        </w:rPr>
        <w:t>ng arrangement.</w:t>
      </w:r>
      <w:r>
        <w:rPr>
          <w:rFonts w:eastAsia="Times New Roman"/>
          <w:color w:val="000000"/>
          <w:sz w:val="20"/>
          <w:szCs w:val="20"/>
        </w:rPr>
        <w:t xml:space="preserve"> </w:t>
      </w:r>
    </w:p>
    <w:p w14:paraId="52482D4A" w14:textId="77777777" w:rsidR="00000000" w:rsidRDefault="00195E73">
      <w:pPr>
        <w:ind w:firstLine="450"/>
        <w:divId w:val="388462110"/>
        <w:rPr>
          <w:rFonts w:eastAsia="Times New Roman"/>
        </w:rPr>
      </w:pPr>
      <w:r>
        <w:rPr>
          <w:rFonts w:eastAsia="Times New Roman"/>
          <w:color w:val="000000"/>
          <w:sz w:val="20"/>
          <w:szCs w:val="20"/>
        </w:rPr>
        <w:t>During 2019, we paid an affiliate $1 million for the non-exclusive use of office space</w:t>
      </w:r>
      <w:r>
        <w:rPr>
          <w:rFonts w:eastAsia="Times New Roman"/>
          <w:color w:val="000000"/>
          <w:sz w:val="20"/>
          <w:szCs w:val="20"/>
        </w:rPr>
        <w:t>.</w:t>
      </w:r>
    </w:p>
    <w:p w14:paraId="35FE6020" w14:textId="77777777" w:rsidR="00000000" w:rsidRDefault="00195E73">
      <w:pPr>
        <w:ind w:firstLine="450"/>
        <w:divId w:val="431896696"/>
        <w:rPr>
          <w:rFonts w:eastAsia="Times New Roman"/>
        </w:rPr>
      </w:pPr>
      <w:r>
        <w:rPr>
          <w:rFonts w:eastAsia="Times New Roman"/>
          <w:color w:val="000000"/>
          <w:sz w:val="20"/>
          <w:szCs w:val="20"/>
        </w:rPr>
        <w:t>During 2019, we paid an affiliate $1 million for the allocation of shared office expenses</w:t>
      </w:r>
      <w:r>
        <w:rPr>
          <w:rFonts w:eastAsia="Times New Roman"/>
          <w:color w:val="000000"/>
          <w:sz w:val="20"/>
          <w:szCs w:val="20"/>
        </w:rPr>
        <w:t>.</w:t>
      </w:r>
    </w:p>
    <w:p w14:paraId="7ABA8935" w14:textId="77777777" w:rsidR="00000000" w:rsidRDefault="00195E73">
      <w:pPr>
        <w:ind w:firstLine="450"/>
        <w:divId w:val="1910964773"/>
        <w:rPr>
          <w:rFonts w:eastAsia="Times New Roman"/>
        </w:rPr>
      </w:pPr>
      <w:r>
        <w:rPr>
          <w:rFonts w:eastAsia="Times New Roman"/>
          <w:color w:val="000000"/>
          <w:sz w:val="20"/>
          <w:szCs w:val="20"/>
        </w:rPr>
        <w:t>During 2019, our Holding Company provided certain profession</w:t>
      </w:r>
      <w:r>
        <w:rPr>
          <w:rFonts w:eastAsia="Times New Roman"/>
          <w:color w:val="000000"/>
          <w:sz w:val="20"/>
          <w:szCs w:val="20"/>
        </w:rPr>
        <w:t>al services to an Icahn affiliate for which we charged $3 million</w:t>
      </w:r>
      <w:r>
        <w:rPr>
          <w:rFonts w:eastAsia="Times New Roman"/>
          <w:color w:val="000000"/>
          <w:sz w:val="20"/>
          <w:szCs w:val="20"/>
        </w:rPr>
        <w:t>.</w:t>
      </w:r>
    </w:p>
    <w:p w14:paraId="612EB16F" w14:textId="77777777" w:rsidR="00000000" w:rsidRDefault="00195E73">
      <w:pPr>
        <w:ind w:firstLine="450"/>
        <w:divId w:val="1168669228"/>
        <w:rPr>
          <w:rFonts w:eastAsia="Times New Roman"/>
        </w:rPr>
      </w:pPr>
      <w:r>
        <w:rPr>
          <w:rFonts w:eastAsia="Times New Roman"/>
          <w:color w:val="000000"/>
          <w:sz w:val="20"/>
          <w:szCs w:val="20"/>
        </w:rPr>
        <w:t>We and affiliates of Mr. Icahn have a significant non-controlling ownership interest in Hertz Global Holdings, Inc. (“Hertz”). During 2019, we and our subsidiaries had revenue from Hertz in</w:t>
      </w:r>
      <w:r>
        <w:rPr>
          <w:rFonts w:eastAsia="Times New Roman"/>
          <w:color w:val="000000"/>
          <w:sz w:val="20"/>
          <w:szCs w:val="20"/>
        </w:rPr>
        <w:t xml:space="preserve"> the ordinary course of business of $54 million.</w:t>
      </w:r>
      <w:r>
        <w:rPr>
          <w:rFonts w:eastAsia="Times New Roman"/>
          <w:color w:val="000000"/>
          <w:sz w:val="20"/>
          <w:szCs w:val="20"/>
        </w:rPr>
        <w:t xml:space="preserve"> </w:t>
      </w:r>
    </w:p>
    <w:p w14:paraId="5759E0D7" w14:textId="77777777" w:rsidR="00000000" w:rsidRDefault="00195E73">
      <w:pPr>
        <w:ind w:firstLine="450"/>
        <w:divId w:val="220869792"/>
        <w:rPr>
          <w:rFonts w:eastAsia="Times New Roman"/>
        </w:rPr>
      </w:pPr>
      <w:r>
        <w:rPr>
          <w:rFonts w:eastAsia="Times New Roman"/>
          <w:color w:val="000000"/>
          <w:sz w:val="20"/>
          <w:szCs w:val="20"/>
        </w:rPr>
        <w:t>In addition to our transactions with Hertz disclosed above, in January 2018, we entered into a Master Motor Vehicle Lease and Management Agreement with Hertz, pursuant to which Hertz granted 767 Leasing the</w:t>
      </w:r>
      <w:r>
        <w:rPr>
          <w:rFonts w:eastAsia="Times New Roman"/>
          <w:color w:val="000000"/>
          <w:sz w:val="20"/>
          <w:szCs w:val="20"/>
        </w:rPr>
        <w:t xml:space="preserve"> option to acquire certain vehicles from Hertz at rates aligned with the rates at which Hertz sells vehicles to third parties. Under this agreement, as amended, Hertz will lease the vehicles that 767 Leasing purchases from Hertz, or from third parties, und</w:t>
      </w:r>
      <w:r>
        <w:rPr>
          <w:rFonts w:eastAsia="Times New Roman"/>
          <w:color w:val="000000"/>
          <w:sz w:val="20"/>
          <w:szCs w:val="20"/>
        </w:rPr>
        <w:t>er a mutually developed fleet plan and Hertz will manage, service, repair, sell and maintain those leased vehicles on behalf of 767 Leasing. Additionally, Hertz will rent the leased vehicles to transportation network company drivers from rental counters wi</w:t>
      </w:r>
      <w:r>
        <w:rPr>
          <w:rFonts w:eastAsia="Times New Roman"/>
          <w:color w:val="000000"/>
          <w:sz w:val="20"/>
          <w:szCs w:val="20"/>
        </w:rPr>
        <w:t>thin locations leased or owned by us. This agreement had an initial term of 18 months and is subject to automatic six-month renewals thereafter, unless terminated by either party (with or without cause) prior to the start of any such six-month renewal. Our</w:t>
      </w:r>
      <w:r>
        <w:rPr>
          <w:rFonts w:eastAsia="Times New Roman"/>
          <w:color w:val="000000"/>
          <w:sz w:val="20"/>
          <w:szCs w:val="20"/>
        </w:rPr>
        <w:t xml:space="preserve"> agreement with Hertz was unanimously approved by the independent directors of Icahn Enterprises’ audit committee. Due to the nature of our involvement with 767 Leasing, which includes Icahn Enterprises and Icahn Enterprises Holdings guaranteeing the payme</w:t>
      </w:r>
      <w:r>
        <w:rPr>
          <w:rFonts w:eastAsia="Times New Roman"/>
          <w:color w:val="000000"/>
          <w:sz w:val="20"/>
          <w:szCs w:val="20"/>
        </w:rPr>
        <w:t>nt obligations of 767 Leasing and sharing in the profits of 767 Leasing with Hertz, we determined that 767 Leasing is a variable interest entity. Furthermore, we determined that we are not the primary beneficiary as we do not have the power to direct the a</w:t>
      </w:r>
      <w:r>
        <w:rPr>
          <w:rFonts w:eastAsia="Times New Roman"/>
          <w:color w:val="000000"/>
          <w:sz w:val="20"/>
          <w:szCs w:val="20"/>
        </w:rPr>
        <w:t>ctivities of 767 Leasing that most significantly impact its economic performance. Therefore, we do not consolidate the results of 767 Leasing. 767 Leasing is treated as a partnership for federal income tax purposes. For the year ended December 31, 2019, ou</w:t>
      </w:r>
      <w:r>
        <w:rPr>
          <w:rFonts w:eastAsia="Times New Roman"/>
          <w:color w:val="000000"/>
          <w:sz w:val="20"/>
          <w:szCs w:val="20"/>
        </w:rPr>
        <w:t>r Automotive segment invested $50 million in 767 Leasing. As of December 31, 2019, our Automotive segment had an equity method investment in 767 Leasing of $120 million.</w:t>
      </w:r>
      <w:r>
        <w:rPr>
          <w:rFonts w:eastAsia="Times New Roman"/>
          <w:color w:val="000000"/>
          <w:sz w:val="20"/>
          <w:szCs w:val="20"/>
        </w:rPr>
        <w:t xml:space="preserve"> </w:t>
      </w:r>
    </w:p>
    <w:p w14:paraId="2E137910" w14:textId="77777777" w:rsidR="00000000" w:rsidRDefault="00195E73">
      <w:pPr>
        <w:ind w:firstLine="450"/>
        <w:divId w:val="1860850846"/>
        <w:rPr>
          <w:rFonts w:eastAsia="Times New Roman"/>
        </w:rPr>
      </w:pPr>
      <w:r>
        <w:rPr>
          <w:rFonts w:eastAsia="Times New Roman"/>
          <w:color w:val="000000"/>
          <w:sz w:val="20"/>
          <w:szCs w:val="20"/>
        </w:rPr>
        <w:t>Insight Portfolio Group LLC (“Insight Portfolio Group”) is an entity formed and contr</w:t>
      </w:r>
      <w:r>
        <w:rPr>
          <w:rFonts w:eastAsia="Times New Roman"/>
          <w:color w:val="000000"/>
          <w:sz w:val="20"/>
          <w:szCs w:val="20"/>
        </w:rPr>
        <w:t>olled by Mr. Icahn in order to maximize the potential buying power of a group of entities with which Mr. Icahn has a relationship in negotiating with a wide range of suppliers of goods, services and tangible and intangible property at negotiated rates. Ica</w:t>
      </w:r>
      <w:r>
        <w:rPr>
          <w:rFonts w:eastAsia="Times New Roman"/>
          <w:color w:val="000000"/>
          <w:sz w:val="20"/>
          <w:szCs w:val="20"/>
        </w:rPr>
        <w:t>hn Enterprises Holdings has a minority equity interest in Insight Portfolio Group and agreed to pay a portion of Insight Portfolio Group’s operating expenses. In addition to the minority equity interest held by Icahn Enterprises Holdings, certain subsidiar</w:t>
      </w:r>
      <w:r>
        <w:rPr>
          <w:rFonts w:eastAsia="Times New Roman"/>
          <w:color w:val="000000"/>
          <w:sz w:val="20"/>
          <w:szCs w:val="20"/>
        </w:rPr>
        <w:t>ies of ours, including CVR Energy, Viskase, PSC Metals, WPH, Federal-Mogul (prior to October 1, 2018), ARI (prior to December 5, 2018) and Tropicana (prior to October 1, 2018) also acquired minority equity interests in Insight Portfolio Group and agreed to</w:t>
      </w:r>
      <w:r>
        <w:rPr>
          <w:rFonts w:eastAsia="Times New Roman"/>
          <w:color w:val="000000"/>
          <w:sz w:val="20"/>
          <w:szCs w:val="20"/>
        </w:rPr>
        <w:t xml:space="preserve"> pay a portion of Insight Portfolio Group’s operating expenses. A number of other entities with which Mr. Icahn has a relationship also have minority equity interests in Insight Portfolio Group and also agreed to pay certain of Insight Portfolio Group’s op</w:t>
      </w:r>
      <w:r>
        <w:rPr>
          <w:rFonts w:eastAsia="Times New Roman"/>
          <w:color w:val="000000"/>
          <w:sz w:val="20"/>
          <w:szCs w:val="20"/>
        </w:rPr>
        <w:t>erating</w:t>
      </w:r>
      <w:r>
        <w:rPr>
          <w:rFonts w:eastAsia="Times New Roman"/>
          <w:color w:val="000000"/>
          <w:sz w:val="20"/>
          <w:szCs w:val="20"/>
        </w:rPr>
        <w:t xml:space="preserve"> </w:t>
      </w:r>
    </w:p>
    <w:p w14:paraId="3C18364D" w14:textId="77777777" w:rsidR="00000000" w:rsidRDefault="00195E73">
      <w:pPr>
        <w:jc w:val="center"/>
        <w:divId w:val="1380939495"/>
        <w:rPr>
          <w:rFonts w:eastAsia="Times New Roman"/>
        </w:rPr>
      </w:pPr>
      <w:r>
        <w:rPr>
          <w:rFonts w:eastAsia="Times New Roman"/>
          <w:color w:val="000000"/>
          <w:sz w:val="20"/>
          <w:szCs w:val="20"/>
        </w:rPr>
        <w:t>12</w:t>
      </w:r>
      <w:r>
        <w:rPr>
          <w:rFonts w:eastAsia="Times New Roman"/>
          <w:color w:val="000000"/>
          <w:sz w:val="20"/>
          <w:szCs w:val="20"/>
        </w:rPr>
        <w:t>9</w:t>
      </w:r>
    </w:p>
    <w:p w14:paraId="07E7F980" w14:textId="77777777" w:rsidR="00000000" w:rsidRDefault="00195E73">
      <w:pPr>
        <w:rPr>
          <w:rFonts w:eastAsia="Times New Roman"/>
        </w:rPr>
      </w:pPr>
      <w:r>
        <w:rPr>
          <w:rFonts w:eastAsia="Times New Roman"/>
        </w:rPr>
        <w:pict w14:anchorId="1F442051">
          <v:rect id="_x0000_i1155" style="width:0;height:1.5pt" o:hralign="center" o:hrstd="t" o:hr="t" fillcolor="#a0a0a0" stroked="f"/>
        </w:pict>
      </w:r>
    </w:p>
    <w:p w14:paraId="695B4896" w14:textId="77777777" w:rsidR="00000000" w:rsidRDefault="00195E73">
      <w:pPr>
        <w:divId w:val="1084953998"/>
        <w:rPr>
          <w:rFonts w:eastAsia="Times New Roman"/>
        </w:rPr>
      </w:pPr>
    </w:p>
    <w:p w14:paraId="6DFC9F52" w14:textId="77777777" w:rsidR="00000000" w:rsidRDefault="00195E73">
      <w:pPr>
        <w:divId w:val="1258636230"/>
        <w:rPr>
          <w:rFonts w:eastAsia="Times New Roman"/>
        </w:rPr>
      </w:pPr>
      <w:r>
        <w:rPr>
          <w:rFonts w:eastAsia="Times New Roman"/>
          <w:color w:val="000000"/>
          <w:sz w:val="20"/>
          <w:szCs w:val="20"/>
        </w:rPr>
        <w:t>expenses. During 2019, we and certain of our subsidiaries paid certain of the Insight Portfolio Group’s operating expenses of $3 million. Insight Portfolio Group ceased operations effective January 1, 202</w:t>
      </w:r>
      <w:r>
        <w:rPr>
          <w:rFonts w:eastAsia="Times New Roman"/>
          <w:color w:val="000000"/>
          <w:sz w:val="20"/>
          <w:szCs w:val="20"/>
        </w:rPr>
        <w:t>0.</w:t>
      </w:r>
      <w:r>
        <w:rPr>
          <w:rFonts w:eastAsia="Times New Roman"/>
          <w:color w:val="000000"/>
          <w:sz w:val="20"/>
          <w:szCs w:val="20"/>
        </w:rPr>
        <w:t xml:space="preserve"> </w:t>
      </w:r>
    </w:p>
    <w:p w14:paraId="0F78FE29" w14:textId="77777777" w:rsidR="00000000" w:rsidRDefault="00195E73">
      <w:pPr>
        <w:ind w:firstLine="405"/>
        <w:divId w:val="534973125"/>
        <w:rPr>
          <w:rFonts w:eastAsia="Times New Roman"/>
        </w:rPr>
      </w:pPr>
      <w:r>
        <w:rPr>
          <w:rFonts w:eastAsia="Times New Roman"/>
          <w:color w:val="000000"/>
          <w:sz w:val="20"/>
          <w:szCs w:val="20"/>
        </w:rPr>
        <w:t>We may also enter into other transactions with Icahn Enterprises GP and its affiliates, including, without limitation, buying and selling properties and borrowing and lending funds from or to Icahn Enterprises GP or its affiliates, joint venture develo</w:t>
      </w:r>
      <w:r>
        <w:rPr>
          <w:rFonts w:eastAsia="Times New Roman"/>
          <w:color w:val="000000"/>
          <w:sz w:val="20"/>
          <w:szCs w:val="20"/>
        </w:rPr>
        <w:t>pments and issuing securities to Icahn Enterprises GP or its affiliates in exchange for, among other things, assets that they now own or may acquire in the future. Icahn Enterprises GP is also entitled to reimbursement by us for all allocable direct and in</w:t>
      </w:r>
      <w:r>
        <w:rPr>
          <w:rFonts w:eastAsia="Times New Roman"/>
          <w:color w:val="000000"/>
          <w:sz w:val="20"/>
          <w:szCs w:val="20"/>
        </w:rPr>
        <w:t>direct overhead expenses, including, but not limited to, salaries and rent, incurred in connection with the conduct of our business</w:t>
      </w:r>
      <w:r>
        <w:rPr>
          <w:rFonts w:eastAsia="Times New Roman"/>
          <w:color w:val="000000"/>
          <w:sz w:val="20"/>
          <w:szCs w:val="20"/>
        </w:rPr>
        <w:t>.</w:t>
      </w:r>
    </w:p>
    <w:p w14:paraId="2FBB17A1" w14:textId="77777777" w:rsidR="00000000" w:rsidRDefault="00195E73">
      <w:pPr>
        <w:divId w:val="564949071"/>
        <w:rPr>
          <w:rFonts w:eastAsia="Times New Roman"/>
        </w:rPr>
      </w:pPr>
      <w:r>
        <w:rPr>
          <w:rFonts w:eastAsia="Times New Roman"/>
          <w:b/>
          <w:bCs/>
          <w:color w:val="000000"/>
          <w:sz w:val="20"/>
          <w:szCs w:val="20"/>
        </w:rPr>
        <w:t>Affiliate Pension Obligation</w:t>
      </w:r>
      <w:r>
        <w:rPr>
          <w:rFonts w:eastAsia="Times New Roman"/>
          <w:b/>
          <w:bCs/>
          <w:color w:val="000000"/>
          <w:sz w:val="20"/>
          <w:szCs w:val="20"/>
        </w:rPr>
        <w:t>s</w:t>
      </w:r>
    </w:p>
    <w:p w14:paraId="37863FD3" w14:textId="77777777" w:rsidR="00000000" w:rsidRDefault="00195E73">
      <w:pPr>
        <w:ind w:firstLine="405"/>
        <w:divId w:val="716003966"/>
        <w:rPr>
          <w:rFonts w:eastAsia="Times New Roman"/>
        </w:rPr>
      </w:pPr>
      <w:r>
        <w:rPr>
          <w:rFonts w:eastAsia="Times New Roman"/>
          <w:color w:val="000000"/>
          <w:sz w:val="20"/>
          <w:szCs w:val="20"/>
        </w:rPr>
        <w:t>Mr. Icahn, through certain affiliates, owns 100% of Icahn Enterprises GP and approximately 92</w:t>
      </w:r>
      <w:r>
        <w:rPr>
          <w:rFonts w:eastAsia="Times New Roman"/>
          <w:color w:val="000000"/>
          <w:sz w:val="20"/>
          <w:szCs w:val="20"/>
        </w:rPr>
        <w:t>.0% of Icahn Enterprises’ outstanding depositary units as of December 31, 2019. Applicable pension and tax laws make each member of a “controlled group” of entities, generally defined as entities in which there is at least an 80% common ownership interest,</w:t>
      </w:r>
      <w:r>
        <w:rPr>
          <w:rFonts w:eastAsia="Times New Roman"/>
          <w:color w:val="000000"/>
          <w:sz w:val="20"/>
          <w:szCs w:val="20"/>
        </w:rPr>
        <w:t xml:space="preserve"> jointly and severally liable for certain pension plan obligations of any member of the controlled group. These pension obligations include ongoing contributions to fund the plan, as well as liability for any unfunded liabilities that may exist at the time</w:t>
      </w:r>
      <w:r>
        <w:rPr>
          <w:rFonts w:eastAsia="Times New Roman"/>
          <w:color w:val="000000"/>
          <w:sz w:val="20"/>
          <w:szCs w:val="20"/>
        </w:rPr>
        <w:t xml:space="preserve"> the plan is terminated. In addition, the failure to pay these pension obligations when due may result in the creation of liens in favor of the pension plan or the Pension Benefit Guaranty Corporation (the “PBGC”) against the assets of each member of the c</w:t>
      </w:r>
      <w:r>
        <w:rPr>
          <w:rFonts w:eastAsia="Times New Roman"/>
          <w:color w:val="000000"/>
          <w:sz w:val="20"/>
          <w:szCs w:val="20"/>
        </w:rPr>
        <w:t>ontrolled group</w:t>
      </w:r>
      <w:r>
        <w:rPr>
          <w:rFonts w:eastAsia="Times New Roman"/>
          <w:color w:val="000000"/>
          <w:sz w:val="20"/>
          <w:szCs w:val="20"/>
        </w:rPr>
        <w:t>.</w:t>
      </w:r>
    </w:p>
    <w:p w14:paraId="344B4E4E" w14:textId="77777777" w:rsidR="00000000" w:rsidRDefault="00195E73">
      <w:pPr>
        <w:ind w:firstLine="405"/>
        <w:divId w:val="845166651"/>
        <w:rPr>
          <w:rFonts w:eastAsia="Times New Roman"/>
        </w:rPr>
      </w:pPr>
      <w:r>
        <w:rPr>
          <w:rFonts w:eastAsia="Times New Roman"/>
          <w:color w:val="000000"/>
          <w:sz w:val="20"/>
          <w:szCs w:val="20"/>
        </w:rPr>
        <w:t>As a result of the more than 80% ownership interest in us by Mr. Icahn’s affiliates, we and our subsidiaries are subject to the pension liabilities of entities in which Mr. Icahn has a direct or indirect ownership interest of at least 80%,</w:t>
      </w:r>
      <w:r>
        <w:rPr>
          <w:rFonts w:eastAsia="Times New Roman"/>
          <w:color w:val="000000"/>
          <w:sz w:val="20"/>
          <w:szCs w:val="20"/>
        </w:rPr>
        <w:t xml:space="preserve"> which includes the liabilities of pension plans sponsored by ACF. All the minimum funding requirements of the Internal Revenue Code, as amended, and the Employee Retirement Income Security Act of 1974, as amended, for the ACF plans have been met as of Dec</w:t>
      </w:r>
      <w:r>
        <w:rPr>
          <w:rFonts w:eastAsia="Times New Roman"/>
          <w:color w:val="000000"/>
          <w:sz w:val="20"/>
          <w:szCs w:val="20"/>
        </w:rPr>
        <w:t>ember 31, 2019. If the plans were voluntarily terminated, they would be underfunded by approximately $71 million as of December 31, 2019. These results are based on the most recent information provided by the plans’ actuary. These liabilities could increas</w:t>
      </w:r>
      <w:r>
        <w:rPr>
          <w:rFonts w:eastAsia="Times New Roman"/>
          <w:color w:val="000000"/>
          <w:sz w:val="20"/>
          <w:szCs w:val="20"/>
        </w:rPr>
        <w:t>e or decrease, depending on a number of factors, including future changes in benefits, investment returns, and the assumptions used to calculate the liability. As members of the controlled group, we would be liable for any failure of ACF to make ongoing pe</w:t>
      </w:r>
      <w:r>
        <w:rPr>
          <w:rFonts w:eastAsia="Times New Roman"/>
          <w:color w:val="000000"/>
          <w:sz w:val="20"/>
          <w:szCs w:val="20"/>
        </w:rPr>
        <w:t>nsion contributions or to pay the unfunded liabilities upon a termination of the ACF pension plans. In addition, other entities now or in the future within the controlled group in which we are included may have pension plan obligations that are, or may bec</w:t>
      </w:r>
      <w:r>
        <w:rPr>
          <w:rFonts w:eastAsia="Times New Roman"/>
          <w:color w:val="000000"/>
          <w:sz w:val="20"/>
          <w:szCs w:val="20"/>
        </w:rPr>
        <w:t>ome, underfunded and we would be liable for any failure of such entities to make ongoing pension contributions or to pay the unfunded liabilities upon termination of such plans.</w:t>
      </w:r>
      <w:r>
        <w:rPr>
          <w:rFonts w:eastAsia="Times New Roman"/>
          <w:color w:val="000000"/>
          <w:sz w:val="20"/>
          <w:szCs w:val="20"/>
        </w:rPr>
        <w:t xml:space="preserve"> </w:t>
      </w:r>
    </w:p>
    <w:p w14:paraId="4807D935" w14:textId="77777777" w:rsidR="00000000" w:rsidRDefault="00195E73">
      <w:pPr>
        <w:ind w:firstLine="405"/>
        <w:divId w:val="975836855"/>
        <w:rPr>
          <w:rFonts w:eastAsia="Times New Roman"/>
        </w:rPr>
      </w:pPr>
      <w:r>
        <w:rPr>
          <w:rFonts w:eastAsia="Times New Roman"/>
          <w:color w:val="000000"/>
          <w:sz w:val="20"/>
          <w:szCs w:val="20"/>
        </w:rPr>
        <w:t>The current underfunded status of the ACF pension plans requires them to noti</w:t>
      </w:r>
      <w:r>
        <w:rPr>
          <w:rFonts w:eastAsia="Times New Roman"/>
          <w:color w:val="000000"/>
          <w:sz w:val="20"/>
          <w:szCs w:val="20"/>
        </w:rPr>
        <w:t>fy the PBGC of certain “reportable events,” such as if we cease to be a member of the ACF controlled group, or if we make certain extraordinary dividends or stock redemptions. The obligation to report could cause us to seek to delay or reconsider the occur</w:t>
      </w:r>
      <w:r>
        <w:rPr>
          <w:rFonts w:eastAsia="Times New Roman"/>
          <w:color w:val="000000"/>
          <w:sz w:val="20"/>
          <w:szCs w:val="20"/>
        </w:rPr>
        <w:t>rence of such reportable events.</w:t>
      </w:r>
      <w:r>
        <w:rPr>
          <w:rFonts w:eastAsia="Times New Roman"/>
          <w:color w:val="000000"/>
          <w:sz w:val="20"/>
          <w:szCs w:val="20"/>
        </w:rPr>
        <w:t xml:space="preserve"> </w:t>
      </w:r>
    </w:p>
    <w:p w14:paraId="70249C0B" w14:textId="77777777" w:rsidR="00000000" w:rsidRDefault="00195E73">
      <w:pPr>
        <w:ind w:firstLine="405"/>
        <w:divId w:val="2129735424"/>
        <w:rPr>
          <w:rFonts w:eastAsia="Times New Roman"/>
        </w:rPr>
      </w:pPr>
      <w:r>
        <w:rPr>
          <w:rFonts w:eastAsia="Times New Roman"/>
          <w:color w:val="000000"/>
          <w:sz w:val="20"/>
          <w:szCs w:val="20"/>
        </w:rPr>
        <w:t>Starfire Holding Corporation (“Starfire”), which is 99.6% owned by Mr. Icahn, has undertaken to indemnify us and our subsidiaries from losses resulting from any imposition of certain pension funding or termination liabilit</w:t>
      </w:r>
      <w:r>
        <w:rPr>
          <w:rFonts w:eastAsia="Times New Roman"/>
          <w:color w:val="000000"/>
          <w:sz w:val="20"/>
          <w:szCs w:val="20"/>
        </w:rPr>
        <w:t>ies that may be imposed on us and our subsidiaries or our assets as a result of being a member of the Icahn controlled group, including ACF. The Starfire indemnity provides, among other things, that so long as such contingent liabilities exist and could be</w:t>
      </w:r>
      <w:r>
        <w:rPr>
          <w:rFonts w:eastAsia="Times New Roman"/>
          <w:color w:val="000000"/>
          <w:sz w:val="20"/>
          <w:szCs w:val="20"/>
        </w:rPr>
        <w:t xml:space="preserve"> imposed on us, Starfire will not make any distributions to its stockholders that would reduce its net worth to below $250 million. Nonetheless, Starfire may not be able to fund its indemnification obligations to us.</w:t>
      </w:r>
      <w:r>
        <w:rPr>
          <w:rFonts w:eastAsia="Times New Roman"/>
          <w:color w:val="000000"/>
          <w:sz w:val="20"/>
          <w:szCs w:val="20"/>
        </w:rPr>
        <w:t xml:space="preserve"> </w:t>
      </w:r>
    </w:p>
    <w:p w14:paraId="47835160" w14:textId="77777777" w:rsidR="00000000" w:rsidRDefault="00195E73">
      <w:pPr>
        <w:divId w:val="974917308"/>
        <w:rPr>
          <w:rFonts w:eastAsia="Times New Roman"/>
        </w:rPr>
      </w:pPr>
      <w:r>
        <w:rPr>
          <w:rFonts w:eastAsia="Times New Roman"/>
          <w:b/>
          <w:bCs/>
          <w:color w:val="000000"/>
          <w:sz w:val="20"/>
          <w:szCs w:val="20"/>
        </w:rPr>
        <w:t>Director Independenc</w:t>
      </w:r>
      <w:r>
        <w:rPr>
          <w:rFonts w:eastAsia="Times New Roman"/>
          <w:b/>
          <w:bCs/>
          <w:color w:val="000000"/>
          <w:sz w:val="20"/>
          <w:szCs w:val="20"/>
        </w:rPr>
        <w:t>e</w:t>
      </w:r>
    </w:p>
    <w:p w14:paraId="13D5A1A0" w14:textId="77777777" w:rsidR="00000000" w:rsidRDefault="00195E73">
      <w:pPr>
        <w:ind w:firstLine="405"/>
        <w:divId w:val="1616062345"/>
        <w:rPr>
          <w:rFonts w:eastAsia="Times New Roman"/>
        </w:rPr>
      </w:pPr>
      <w:r>
        <w:rPr>
          <w:rFonts w:eastAsia="Times New Roman"/>
          <w:color w:val="000000"/>
          <w:sz w:val="20"/>
          <w:szCs w:val="20"/>
        </w:rPr>
        <w:t>The board of dir</w:t>
      </w:r>
      <w:r>
        <w:rPr>
          <w:rFonts w:eastAsia="Times New Roman"/>
          <w:color w:val="000000"/>
          <w:sz w:val="20"/>
          <w:szCs w:val="20"/>
        </w:rPr>
        <w:t>ectors of Icahn Enterprises GP has determined that we are a “controlled company” for the purposes of the NASDAQ’s listing rules and therefore are not required to have a majority of independent directors or to have compensation and nominating committees con</w:t>
      </w:r>
      <w:r>
        <w:rPr>
          <w:rFonts w:eastAsia="Times New Roman"/>
          <w:color w:val="000000"/>
          <w:sz w:val="20"/>
          <w:szCs w:val="20"/>
        </w:rPr>
        <w:t xml:space="preserve">sisting entirely of independent directors. Nevertheless, we believe that Ms. Barton and Messrs. Krongard and Wasserman are “independent” as defined in the currently applicable listing rules of NASDAQ. Ms. Barton and Messrs. Krongard and Wasserman serve as </w:t>
      </w:r>
      <w:r>
        <w:rPr>
          <w:rFonts w:eastAsia="Times New Roman"/>
          <w:color w:val="000000"/>
          <w:sz w:val="20"/>
          <w:szCs w:val="20"/>
        </w:rPr>
        <w:t>members of our audit committee, which consists entirely of these independent directors. As discussed above, Mr. Wasserman has resigned as a director and chairman of the audit committee effective as of February 27, 2020.</w:t>
      </w:r>
      <w:r>
        <w:rPr>
          <w:rFonts w:eastAsia="Times New Roman"/>
          <w:color w:val="000000"/>
          <w:sz w:val="20"/>
          <w:szCs w:val="20"/>
        </w:rPr>
        <w:t xml:space="preserve"> </w:t>
      </w:r>
    </w:p>
    <w:p w14:paraId="05A63120" w14:textId="77777777" w:rsidR="00000000" w:rsidRDefault="00195E73">
      <w:pPr>
        <w:divId w:val="1427848713"/>
        <w:rPr>
          <w:rFonts w:eastAsia="Times New Roman"/>
        </w:rPr>
      </w:pPr>
    </w:p>
    <w:p w14:paraId="53B73C5D" w14:textId="77777777" w:rsidR="00000000" w:rsidRDefault="00195E73">
      <w:pPr>
        <w:divId w:val="190537559"/>
        <w:rPr>
          <w:rFonts w:eastAsia="Times New Roman"/>
        </w:rPr>
      </w:pPr>
    </w:p>
    <w:p w14:paraId="3793AE47" w14:textId="77777777" w:rsidR="00000000" w:rsidRDefault="00195E73">
      <w:pPr>
        <w:divId w:val="669983609"/>
        <w:rPr>
          <w:rFonts w:eastAsia="Times New Roman"/>
        </w:rPr>
      </w:pPr>
      <w:r>
        <w:rPr>
          <w:rFonts w:eastAsia="Times New Roman"/>
          <w:b/>
          <w:bCs/>
          <w:color w:val="000000"/>
          <w:sz w:val="20"/>
          <w:szCs w:val="20"/>
        </w:rPr>
        <w:t>Item 14. Principal Accountant F</w:t>
      </w:r>
      <w:r>
        <w:rPr>
          <w:rFonts w:eastAsia="Times New Roman"/>
          <w:b/>
          <w:bCs/>
          <w:color w:val="000000"/>
          <w:sz w:val="20"/>
          <w:szCs w:val="20"/>
        </w:rPr>
        <w:t>ees and Services</w:t>
      </w:r>
      <w:r>
        <w:rPr>
          <w:rFonts w:eastAsia="Times New Roman"/>
          <w:b/>
          <w:bCs/>
          <w:color w:val="000000"/>
          <w:sz w:val="20"/>
          <w:szCs w:val="20"/>
        </w:rPr>
        <w:t>.</w:t>
      </w:r>
    </w:p>
    <w:p w14:paraId="3791A240" w14:textId="77777777" w:rsidR="00000000" w:rsidRDefault="00195E73">
      <w:pPr>
        <w:ind w:firstLine="450"/>
        <w:divId w:val="2107380623"/>
        <w:rPr>
          <w:rFonts w:eastAsia="Times New Roman"/>
        </w:rPr>
      </w:pPr>
      <w:r>
        <w:rPr>
          <w:rFonts w:eastAsia="Times New Roman"/>
          <w:color w:val="000000"/>
          <w:sz w:val="20"/>
          <w:szCs w:val="20"/>
        </w:rPr>
        <w:t>We incurred $6,190,955 and $8,593,798 in audit fees and expenses from Grant Thornton LLP for 2019 and 2018, respectively. We include in the category of audit fees such services related to the audits of annual consolidated financial statem</w:t>
      </w:r>
      <w:r>
        <w:rPr>
          <w:rFonts w:eastAsia="Times New Roman"/>
          <w:color w:val="000000"/>
          <w:sz w:val="20"/>
          <w:szCs w:val="20"/>
        </w:rPr>
        <w:t>ents and internal controls, reviews of quarterly financial statements, reviews of reports filed with the SEC and other services, including services related to consents and registration statements filed with the SEC</w:t>
      </w:r>
      <w:r>
        <w:rPr>
          <w:rFonts w:eastAsia="Times New Roman"/>
          <w:color w:val="000000"/>
          <w:sz w:val="20"/>
          <w:szCs w:val="20"/>
        </w:rPr>
        <w:t>.</w:t>
      </w:r>
    </w:p>
    <w:p w14:paraId="690A3D86" w14:textId="77777777" w:rsidR="00000000" w:rsidRDefault="00195E73">
      <w:pPr>
        <w:jc w:val="center"/>
        <w:divId w:val="1563172512"/>
        <w:rPr>
          <w:rFonts w:eastAsia="Times New Roman"/>
        </w:rPr>
      </w:pPr>
      <w:r>
        <w:rPr>
          <w:rFonts w:eastAsia="Times New Roman"/>
          <w:color w:val="000000"/>
          <w:sz w:val="20"/>
          <w:szCs w:val="20"/>
        </w:rPr>
        <w:t>13</w:t>
      </w:r>
      <w:r>
        <w:rPr>
          <w:rFonts w:eastAsia="Times New Roman"/>
          <w:color w:val="000000"/>
          <w:sz w:val="20"/>
          <w:szCs w:val="20"/>
        </w:rPr>
        <w:t>0</w:t>
      </w:r>
    </w:p>
    <w:p w14:paraId="48E73A6F" w14:textId="77777777" w:rsidR="00000000" w:rsidRDefault="00195E73">
      <w:pPr>
        <w:rPr>
          <w:rFonts w:eastAsia="Times New Roman"/>
        </w:rPr>
      </w:pPr>
      <w:r>
        <w:rPr>
          <w:rFonts w:eastAsia="Times New Roman"/>
        </w:rPr>
        <w:pict w14:anchorId="13987974">
          <v:rect id="_x0000_i1156" style="width:0;height:1.5pt" o:hralign="center" o:hrstd="t" o:hr="t" fillcolor="#a0a0a0" stroked="f"/>
        </w:pict>
      </w:r>
    </w:p>
    <w:p w14:paraId="69B99EB8" w14:textId="77777777" w:rsidR="00000000" w:rsidRDefault="00195E73">
      <w:pPr>
        <w:divId w:val="732890030"/>
        <w:rPr>
          <w:rFonts w:eastAsia="Times New Roman"/>
        </w:rPr>
      </w:pPr>
    </w:p>
    <w:p w14:paraId="110AF65A" w14:textId="77777777" w:rsidR="00000000" w:rsidRDefault="00195E73">
      <w:pPr>
        <w:ind w:firstLine="450"/>
        <w:divId w:val="1487471073"/>
        <w:rPr>
          <w:rFonts w:eastAsia="Times New Roman"/>
        </w:rPr>
      </w:pPr>
      <w:r>
        <w:rPr>
          <w:rFonts w:eastAsia="Times New Roman"/>
          <w:color w:val="000000"/>
          <w:sz w:val="20"/>
          <w:szCs w:val="20"/>
        </w:rPr>
        <w:t>We incurred $260,176 and $513,744 in audit-related fees and expenses from Grant Thornton LLP for 2019 and 2018, respectively, relating primarily to services provided in connection with offering memorandums, potential acquisitions and dispositions and emplo</w:t>
      </w:r>
      <w:r>
        <w:rPr>
          <w:rFonts w:eastAsia="Times New Roman"/>
          <w:color w:val="000000"/>
          <w:sz w:val="20"/>
          <w:szCs w:val="20"/>
        </w:rPr>
        <w:t>yee benefit plans. Additionally, we did not incur any tax-related fees and expenses from Grant Thornton LLP for 2019 and 2018</w:t>
      </w:r>
      <w:r>
        <w:rPr>
          <w:rFonts w:eastAsia="Times New Roman"/>
          <w:color w:val="000000"/>
          <w:sz w:val="20"/>
          <w:szCs w:val="20"/>
        </w:rPr>
        <w:t>.</w:t>
      </w:r>
    </w:p>
    <w:p w14:paraId="6C9997AF" w14:textId="77777777" w:rsidR="00000000" w:rsidRDefault="00195E73">
      <w:pPr>
        <w:ind w:firstLine="450"/>
        <w:divId w:val="709304404"/>
        <w:rPr>
          <w:rFonts w:eastAsia="Times New Roman"/>
        </w:rPr>
      </w:pPr>
      <w:r>
        <w:rPr>
          <w:rFonts w:eastAsia="Times New Roman"/>
          <w:color w:val="000000"/>
          <w:sz w:val="20"/>
          <w:szCs w:val="20"/>
        </w:rPr>
        <w:t>In accordance with Icahn Enterprises’ and Icahn Enterprises Holdings’ Amended and Restated Audit Committee Charters adopted on Ma</w:t>
      </w:r>
      <w:r>
        <w:rPr>
          <w:rFonts w:eastAsia="Times New Roman"/>
          <w:color w:val="000000"/>
          <w:sz w:val="20"/>
          <w:szCs w:val="20"/>
        </w:rPr>
        <w:t>rch 12, 2004, the audit committee is required to approve in advance any and all audit services and permitted non-audit services provided to Icahn Enterprises, Icahn Enterprises Holdings and their consolidated subsidiaries by their independent auditors (sub</w:t>
      </w:r>
      <w:r>
        <w:rPr>
          <w:rFonts w:eastAsia="Times New Roman"/>
          <w:color w:val="000000"/>
          <w:sz w:val="20"/>
          <w:szCs w:val="20"/>
        </w:rPr>
        <w:t>ject to the de minimis exception of Section 10A (i) (1) (B) of the ‘34 Act), all as required by applicable law or listing standards. All of the fees in 2019 and 2018 were pre-approved by the audit committee</w:t>
      </w:r>
      <w:r>
        <w:rPr>
          <w:rFonts w:eastAsia="Times New Roman"/>
          <w:color w:val="000000"/>
          <w:sz w:val="20"/>
          <w:szCs w:val="20"/>
        </w:rPr>
        <w:t>.</w:t>
      </w:r>
    </w:p>
    <w:p w14:paraId="5B5D0F3B" w14:textId="77777777" w:rsidR="00000000" w:rsidRDefault="00195E73">
      <w:pPr>
        <w:jc w:val="center"/>
        <w:divId w:val="934554374"/>
        <w:rPr>
          <w:rFonts w:eastAsia="Times New Roman"/>
        </w:rPr>
      </w:pPr>
      <w:r>
        <w:rPr>
          <w:rFonts w:eastAsia="Times New Roman"/>
          <w:color w:val="000000"/>
          <w:sz w:val="20"/>
          <w:szCs w:val="20"/>
        </w:rPr>
        <w:t>13</w:t>
      </w:r>
      <w:r>
        <w:rPr>
          <w:rFonts w:eastAsia="Times New Roman"/>
          <w:color w:val="000000"/>
          <w:sz w:val="20"/>
          <w:szCs w:val="20"/>
        </w:rPr>
        <w:t>1</w:t>
      </w:r>
    </w:p>
    <w:p w14:paraId="1C1E319D" w14:textId="77777777" w:rsidR="00000000" w:rsidRDefault="00195E73">
      <w:pPr>
        <w:rPr>
          <w:rFonts w:eastAsia="Times New Roman"/>
        </w:rPr>
      </w:pPr>
      <w:r>
        <w:rPr>
          <w:rFonts w:eastAsia="Times New Roman"/>
        </w:rPr>
        <w:pict w14:anchorId="5B780931">
          <v:rect id="_x0000_i1157" style="width:0;height:1.5pt" o:hralign="center" o:hrstd="t" o:hr="t" fillcolor="#a0a0a0" stroked="f"/>
        </w:pict>
      </w:r>
    </w:p>
    <w:p w14:paraId="4D620C15" w14:textId="77777777" w:rsidR="00000000" w:rsidRDefault="00195E73">
      <w:pPr>
        <w:divId w:val="1811746665"/>
        <w:rPr>
          <w:rFonts w:eastAsia="Times New Roman"/>
        </w:rPr>
      </w:pPr>
    </w:p>
    <w:p w14:paraId="4576565F" w14:textId="77777777" w:rsidR="00000000" w:rsidRDefault="00195E73">
      <w:pPr>
        <w:jc w:val="center"/>
        <w:rPr>
          <w:rFonts w:eastAsia="Times New Roman"/>
        </w:rPr>
      </w:pPr>
      <w:r>
        <w:rPr>
          <w:rFonts w:eastAsia="Times New Roman"/>
          <w:b/>
          <w:bCs/>
          <w:color w:val="000000"/>
          <w:sz w:val="20"/>
          <w:szCs w:val="20"/>
        </w:rPr>
        <w:t>PART I</w:t>
      </w:r>
      <w:r>
        <w:rPr>
          <w:rFonts w:eastAsia="Times New Roman"/>
          <w:b/>
          <w:bCs/>
          <w:color w:val="000000"/>
          <w:sz w:val="20"/>
          <w:szCs w:val="20"/>
        </w:rPr>
        <w:t>V</w:t>
      </w:r>
    </w:p>
    <w:p w14:paraId="67DC650F" w14:textId="77777777" w:rsidR="00000000" w:rsidRDefault="00195E73">
      <w:pPr>
        <w:divId w:val="728725081"/>
        <w:rPr>
          <w:rFonts w:eastAsia="Times New Roman"/>
        </w:rPr>
      </w:pPr>
    </w:p>
    <w:p w14:paraId="0D1DD588" w14:textId="77777777" w:rsidR="00000000" w:rsidRDefault="00195E73">
      <w:pPr>
        <w:divId w:val="1394694035"/>
        <w:rPr>
          <w:rFonts w:eastAsia="Times New Roman"/>
        </w:rPr>
      </w:pPr>
      <w:r>
        <w:rPr>
          <w:rFonts w:eastAsia="Times New Roman"/>
          <w:b/>
          <w:bCs/>
          <w:color w:val="000000"/>
          <w:sz w:val="20"/>
          <w:szCs w:val="20"/>
        </w:rPr>
        <w:t>Item 15. Exhibits and Financial Statement Schedules</w:t>
      </w:r>
      <w:r>
        <w:rPr>
          <w:rFonts w:eastAsia="Times New Roman"/>
          <w:b/>
          <w:bCs/>
          <w:color w:val="000000"/>
          <w:sz w:val="20"/>
          <w:szCs w:val="20"/>
        </w:rPr>
        <w:t>.</w:t>
      </w:r>
    </w:p>
    <w:p w14:paraId="4C957728" w14:textId="77777777" w:rsidR="00000000" w:rsidRDefault="00195E73">
      <w:pPr>
        <w:divId w:val="1375160229"/>
        <w:rPr>
          <w:rFonts w:eastAsia="Times New Roman"/>
        </w:rPr>
      </w:pPr>
      <w:r>
        <w:rPr>
          <w:rFonts w:eastAsia="Times New Roman"/>
          <w:b/>
          <w:bCs/>
          <w:color w:val="000000"/>
          <w:sz w:val="20"/>
          <w:szCs w:val="20"/>
        </w:rPr>
        <w:t>(a)(1) Financial Statements</w:t>
      </w:r>
      <w:r>
        <w:rPr>
          <w:rFonts w:eastAsia="Times New Roman"/>
          <w:b/>
          <w:bCs/>
          <w:color w:val="000000"/>
          <w:sz w:val="20"/>
          <w:szCs w:val="20"/>
        </w:rPr>
        <w:t>:</w:t>
      </w:r>
    </w:p>
    <w:p w14:paraId="1D090E94" w14:textId="77777777" w:rsidR="00000000" w:rsidRDefault="00195E73">
      <w:pPr>
        <w:ind w:firstLine="405"/>
        <w:divId w:val="274944453"/>
        <w:rPr>
          <w:rFonts w:eastAsia="Times New Roman"/>
        </w:rPr>
      </w:pPr>
      <w:r>
        <w:rPr>
          <w:rFonts w:eastAsia="Times New Roman"/>
          <w:color w:val="000000"/>
          <w:sz w:val="20"/>
          <w:szCs w:val="20"/>
        </w:rPr>
        <w:t>The following financial statements of Icahn Enterprises L.P., and subsidiaries, are included in Part II, Item 8 of this Report</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82"/>
        <w:gridCol w:w="6988"/>
        <w:gridCol w:w="83"/>
        <w:gridCol w:w="83"/>
        <w:gridCol w:w="962"/>
        <w:gridCol w:w="83"/>
      </w:tblGrid>
      <w:tr w:rsidR="00000000" w14:paraId="31DEB17E" w14:textId="77777777">
        <w:trPr>
          <w:divId w:val="382945133"/>
          <w:jc w:val="center"/>
        </w:trPr>
        <w:tc>
          <w:tcPr>
            <w:tcW w:w="50" w:type="pct"/>
            <w:vAlign w:val="center"/>
            <w:hideMark/>
          </w:tcPr>
          <w:p w14:paraId="7F80FD75" w14:textId="77777777" w:rsidR="00000000" w:rsidRDefault="00195E73">
            <w:pPr>
              <w:ind w:firstLine="405"/>
              <w:rPr>
                <w:rFonts w:eastAsia="Times New Roman"/>
              </w:rPr>
            </w:pPr>
          </w:p>
        </w:tc>
        <w:tc>
          <w:tcPr>
            <w:tcW w:w="4218" w:type="pct"/>
            <w:vAlign w:val="center"/>
            <w:hideMark/>
          </w:tcPr>
          <w:p w14:paraId="12886C77" w14:textId="77777777" w:rsidR="00000000" w:rsidRDefault="00195E73">
            <w:pPr>
              <w:rPr>
                <w:rFonts w:eastAsia="Times New Roman"/>
                <w:sz w:val="20"/>
                <w:szCs w:val="20"/>
              </w:rPr>
            </w:pPr>
          </w:p>
        </w:tc>
        <w:tc>
          <w:tcPr>
            <w:tcW w:w="50" w:type="pct"/>
            <w:vAlign w:val="center"/>
            <w:hideMark/>
          </w:tcPr>
          <w:p w14:paraId="16B5C78E" w14:textId="77777777" w:rsidR="00000000" w:rsidRDefault="00195E73">
            <w:pPr>
              <w:rPr>
                <w:rFonts w:eastAsia="Times New Roman"/>
                <w:sz w:val="20"/>
                <w:szCs w:val="20"/>
              </w:rPr>
            </w:pPr>
          </w:p>
        </w:tc>
        <w:tc>
          <w:tcPr>
            <w:tcW w:w="50" w:type="pct"/>
            <w:vAlign w:val="center"/>
            <w:hideMark/>
          </w:tcPr>
          <w:p w14:paraId="56B56083" w14:textId="77777777" w:rsidR="00000000" w:rsidRDefault="00195E73">
            <w:pPr>
              <w:rPr>
                <w:rFonts w:eastAsia="Times New Roman"/>
                <w:sz w:val="20"/>
                <w:szCs w:val="20"/>
              </w:rPr>
            </w:pPr>
          </w:p>
        </w:tc>
        <w:tc>
          <w:tcPr>
            <w:tcW w:w="581" w:type="pct"/>
            <w:vAlign w:val="center"/>
            <w:hideMark/>
          </w:tcPr>
          <w:p w14:paraId="074457D6" w14:textId="77777777" w:rsidR="00000000" w:rsidRDefault="00195E73">
            <w:pPr>
              <w:rPr>
                <w:rFonts w:eastAsia="Times New Roman"/>
                <w:sz w:val="20"/>
                <w:szCs w:val="20"/>
              </w:rPr>
            </w:pPr>
          </w:p>
        </w:tc>
        <w:tc>
          <w:tcPr>
            <w:tcW w:w="50" w:type="pct"/>
            <w:vAlign w:val="center"/>
            <w:hideMark/>
          </w:tcPr>
          <w:p w14:paraId="63EA62D7" w14:textId="77777777" w:rsidR="00000000" w:rsidRDefault="00195E73">
            <w:pPr>
              <w:rPr>
                <w:rFonts w:eastAsia="Times New Roman"/>
                <w:sz w:val="20"/>
                <w:szCs w:val="20"/>
              </w:rPr>
            </w:pPr>
          </w:p>
        </w:tc>
      </w:tr>
      <w:tr w:rsidR="00000000" w14:paraId="4A60D655" w14:textId="77777777">
        <w:trPr>
          <w:divId w:val="382945133"/>
          <w:jc w:val="center"/>
        </w:trPr>
        <w:tc>
          <w:tcPr>
            <w:tcW w:w="0" w:type="auto"/>
            <w:gridSpan w:val="3"/>
            <w:tcMar>
              <w:top w:w="15" w:type="dxa"/>
              <w:left w:w="20" w:type="dxa"/>
              <w:bottom w:w="15" w:type="dxa"/>
              <w:right w:w="20" w:type="dxa"/>
            </w:tcMar>
            <w:vAlign w:val="bottom"/>
            <w:hideMark/>
          </w:tcPr>
          <w:p w14:paraId="474BEB04"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4683D3CA" w14:textId="77777777" w:rsidR="00000000" w:rsidRDefault="00195E73">
            <w:pPr>
              <w:jc w:val="center"/>
              <w:rPr>
                <w:rFonts w:eastAsia="Times New Roman"/>
              </w:rPr>
            </w:pPr>
            <w:r>
              <w:rPr>
                <w:rFonts w:eastAsia="Times New Roman"/>
                <w:b/>
                <w:bCs/>
                <w:color w:val="000000"/>
                <w:sz w:val="20"/>
                <w:szCs w:val="20"/>
              </w:rPr>
              <w:t>Page Numbe</w:t>
            </w:r>
            <w:r>
              <w:rPr>
                <w:rFonts w:eastAsia="Times New Roman"/>
                <w:b/>
                <w:bCs/>
                <w:color w:val="000000"/>
                <w:sz w:val="20"/>
                <w:szCs w:val="20"/>
              </w:rPr>
              <w:t>r</w:t>
            </w:r>
          </w:p>
        </w:tc>
      </w:tr>
      <w:tr w:rsidR="00000000" w14:paraId="36FFFE4F" w14:textId="77777777">
        <w:trPr>
          <w:divId w:val="382945133"/>
          <w:jc w:val="center"/>
        </w:trPr>
        <w:tc>
          <w:tcPr>
            <w:tcW w:w="0" w:type="auto"/>
            <w:gridSpan w:val="3"/>
            <w:shd w:val="clear" w:color="auto" w:fill="CCEEFF"/>
            <w:tcMar>
              <w:top w:w="30" w:type="dxa"/>
              <w:left w:w="20" w:type="dxa"/>
              <w:bottom w:w="30" w:type="dxa"/>
              <w:right w:w="20" w:type="dxa"/>
            </w:tcMar>
            <w:vAlign w:val="bottom"/>
            <w:hideMark/>
          </w:tcPr>
          <w:p w14:paraId="000B4E94" w14:textId="77777777" w:rsidR="00000000" w:rsidRDefault="00195E73">
            <w:pPr>
              <w:divId w:val="122507455"/>
              <w:rPr>
                <w:rFonts w:eastAsia="Times New Roman"/>
              </w:rPr>
            </w:pPr>
            <w:hyperlink w:anchor="ie32f54975c224c3bb6f920bef14ea8e4_82" w:history="1">
              <w:r>
                <w:rPr>
                  <w:rStyle w:val="a3"/>
                  <w:rFonts w:eastAsia="Times New Roman"/>
                  <w:sz w:val="20"/>
                  <w:szCs w:val="20"/>
                </w:rPr>
                <w:t>Consolidated Balance Sheets</w:t>
              </w:r>
            </w:hyperlink>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CD2331F" w14:textId="77777777" w:rsidR="00000000" w:rsidRDefault="00195E73">
            <w:pPr>
              <w:jc w:val="center"/>
              <w:rPr>
                <w:rFonts w:eastAsia="Times New Roman"/>
              </w:rPr>
            </w:pPr>
            <w:hyperlink w:anchor="ie32f54975c224c3bb6f920bef14ea8e4_82" w:history="1">
              <w:r>
                <w:rPr>
                  <w:rStyle w:val="a3"/>
                  <w:rFonts w:eastAsia="Times New Roman"/>
                  <w:sz w:val="20"/>
                  <w:szCs w:val="20"/>
                </w:rPr>
                <w:t>54</w:t>
              </w:r>
            </w:hyperlink>
          </w:p>
        </w:tc>
      </w:tr>
      <w:tr w:rsidR="00000000" w14:paraId="3C6E5D1F" w14:textId="77777777">
        <w:trPr>
          <w:divId w:val="382945133"/>
          <w:jc w:val="center"/>
        </w:trPr>
        <w:tc>
          <w:tcPr>
            <w:tcW w:w="0" w:type="auto"/>
            <w:gridSpan w:val="3"/>
            <w:shd w:val="clear" w:color="auto" w:fill="FFFFFF"/>
            <w:tcMar>
              <w:top w:w="30" w:type="dxa"/>
              <w:left w:w="20" w:type="dxa"/>
              <w:bottom w:w="30" w:type="dxa"/>
              <w:right w:w="20" w:type="dxa"/>
            </w:tcMar>
            <w:vAlign w:val="bottom"/>
            <w:hideMark/>
          </w:tcPr>
          <w:p w14:paraId="15CC0035" w14:textId="77777777" w:rsidR="00000000" w:rsidRDefault="00195E73">
            <w:pPr>
              <w:divId w:val="1538397930"/>
              <w:rPr>
                <w:rFonts w:eastAsia="Times New Roman"/>
              </w:rPr>
            </w:pPr>
            <w:hyperlink w:anchor="ie32f54975c224c3bb6f920bef14ea8e4_85" w:history="1">
              <w:r>
                <w:rPr>
                  <w:rStyle w:val="a3"/>
                  <w:rFonts w:eastAsia="Times New Roman"/>
                  <w:sz w:val="20"/>
                  <w:szCs w:val="20"/>
                </w:rPr>
                <w:t>Consolidated Statements of Operations</w:t>
              </w:r>
            </w:hyperlink>
          </w:p>
        </w:tc>
        <w:tc>
          <w:tcPr>
            <w:tcW w:w="0" w:type="auto"/>
            <w:gridSpan w:val="3"/>
            <w:shd w:val="clear" w:color="auto" w:fill="FFFFFF"/>
            <w:tcMar>
              <w:top w:w="30" w:type="dxa"/>
              <w:left w:w="20" w:type="dxa"/>
              <w:bottom w:w="30" w:type="dxa"/>
              <w:right w:w="20" w:type="dxa"/>
            </w:tcMar>
            <w:vAlign w:val="bottom"/>
            <w:hideMark/>
          </w:tcPr>
          <w:p w14:paraId="4E30AD1F" w14:textId="77777777" w:rsidR="00000000" w:rsidRDefault="00195E73">
            <w:pPr>
              <w:jc w:val="center"/>
              <w:rPr>
                <w:rFonts w:eastAsia="Times New Roman"/>
              </w:rPr>
            </w:pPr>
            <w:hyperlink w:anchor="ie32f54975c224c3bb6f920bef14ea8e4_85" w:history="1">
              <w:r>
                <w:rPr>
                  <w:rStyle w:val="a3"/>
                  <w:rFonts w:eastAsia="Times New Roman"/>
                  <w:sz w:val="20"/>
                  <w:szCs w:val="20"/>
                </w:rPr>
                <w:t>55</w:t>
              </w:r>
            </w:hyperlink>
          </w:p>
        </w:tc>
      </w:tr>
      <w:tr w:rsidR="00000000" w14:paraId="6B9041B1" w14:textId="77777777">
        <w:trPr>
          <w:divId w:val="382945133"/>
          <w:jc w:val="center"/>
        </w:trPr>
        <w:tc>
          <w:tcPr>
            <w:tcW w:w="0" w:type="auto"/>
            <w:gridSpan w:val="3"/>
            <w:shd w:val="clear" w:color="auto" w:fill="CCEEFF"/>
            <w:tcMar>
              <w:top w:w="30" w:type="dxa"/>
              <w:left w:w="20" w:type="dxa"/>
              <w:bottom w:w="30" w:type="dxa"/>
              <w:right w:w="20" w:type="dxa"/>
            </w:tcMar>
            <w:vAlign w:val="bottom"/>
            <w:hideMark/>
          </w:tcPr>
          <w:p w14:paraId="70F74673" w14:textId="77777777" w:rsidR="00000000" w:rsidRDefault="00195E73">
            <w:pPr>
              <w:divId w:val="320961083"/>
              <w:rPr>
                <w:rFonts w:eastAsia="Times New Roman"/>
              </w:rPr>
            </w:pPr>
            <w:hyperlink w:anchor="ie32f54975c224c3bb6f920bef14ea8e4_88" w:history="1">
              <w:r>
                <w:rPr>
                  <w:rStyle w:val="a3"/>
                  <w:rFonts w:eastAsia="Times New Roman"/>
                  <w:sz w:val="20"/>
                  <w:szCs w:val="20"/>
                </w:rPr>
                <w:t>Consolidated Statements of Comprehensive Income</w:t>
              </w:r>
            </w:hyperlink>
          </w:p>
        </w:tc>
        <w:tc>
          <w:tcPr>
            <w:tcW w:w="0" w:type="auto"/>
            <w:gridSpan w:val="3"/>
            <w:shd w:val="clear" w:color="auto" w:fill="CCEEFF"/>
            <w:tcMar>
              <w:top w:w="30" w:type="dxa"/>
              <w:left w:w="20" w:type="dxa"/>
              <w:bottom w:w="30" w:type="dxa"/>
              <w:right w:w="20" w:type="dxa"/>
            </w:tcMar>
            <w:vAlign w:val="bottom"/>
            <w:hideMark/>
          </w:tcPr>
          <w:p w14:paraId="5956A1F6" w14:textId="77777777" w:rsidR="00000000" w:rsidRDefault="00195E73">
            <w:pPr>
              <w:jc w:val="center"/>
              <w:rPr>
                <w:rFonts w:eastAsia="Times New Roman"/>
              </w:rPr>
            </w:pPr>
            <w:hyperlink w:anchor="ie32f54975c224c3bb6f920bef14ea8e4_88" w:history="1">
              <w:r>
                <w:rPr>
                  <w:rStyle w:val="a3"/>
                  <w:rFonts w:eastAsia="Times New Roman"/>
                  <w:sz w:val="20"/>
                  <w:szCs w:val="20"/>
                </w:rPr>
                <w:t>56</w:t>
              </w:r>
            </w:hyperlink>
          </w:p>
        </w:tc>
      </w:tr>
      <w:tr w:rsidR="00000000" w14:paraId="6E24CCDF" w14:textId="77777777">
        <w:trPr>
          <w:divId w:val="382945133"/>
          <w:jc w:val="center"/>
        </w:trPr>
        <w:tc>
          <w:tcPr>
            <w:tcW w:w="0" w:type="auto"/>
            <w:gridSpan w:val="3"/>
            <w:shd w:val="clear" w:color="auto" w:fill="FFFFFF"/>
            <w:tcMar>
              <w:top w:w="30" w:type="dxa"/>
              <w:left w:w="20" w:type="dxa"/>
              <w:bottom w:w="30" w:type="dxa"/>
              <w:right w:w="20" w:type="dxa"/>
            </w:tcMar>
            <w:vAlign w:val="bottom"/>
            <w:hideMark/>
          </w:tcPr>
          <w:p w14:paraId="18350FA6" w14:textId="77777777" w:rsidR="00000000" w:rsidRDefault="00195E73">
            <w:pPr>
              <w:divId w:val="1664895593"/>
              <w:rPr>
                <w:rFonts w:eastAsia="Times New Roman"/>
              </w:rPr>
            </w:pPr>
            <w:hyperlink w:anchor="ie32f54975c224c3bb6f920bef14ea8e4_91" w:history="1">
              <w:r>
                <w:rPr>
                  <w:rStyle w:val="a3"/>
                  <w:rFonts w:eastAsia="Times New Roman"/>
                  <w:sz w:val="20"/>
                  <w:szCs w:val="20"/>
                </w:rPr>
                <w:t>Consolidated Statement of Changes in Equity</w:t>
              </w:r>
            </w:hyperlink>
          </w:p>
        </w:tc>
        <w:tc>
          <w:tcPr>
            <w:tcW w:w="0" w:type="auto"/>
            <w:gridSpan w:val="3"/>
            <w:shd w:val="clear" w:color="auto" w:fill="FFFFFF"/>
            <w:tcMar>
              <w:top w:w="30" w:type="dxa"/>
              <w:left w:w="20" w:type="dxa"/>
              <w:bottom w:w="30" w:type="dxa"/>
              <w:right w:w="20" w:type="dxa"/>
            </w:tcMar>
            <w:vAlign w:val="bottom"/>
            <w:hideMark/>
          </w:tcPr>
          <w:p w14:paraId="46A61FF5" w14:textId="77777777" w:rsidR="00000000" w:rsidRDefault="00195E73">
            <w:pPr>
              <w:jc w:val="center"/>
              <w:rPr>
                <w:rFonts w:eastAsia="Times New Roman"/>
              </w:rPr>
            </w:pPr>
            <w:hyperlink w:anchor="ie32f54975c224c3bb6f920bef14ea8e4_91" w:history="1">
              <w:r>
                <w:rPr>
                  <w:rStyle w:val="a3"/>
                  <w:rFonts w:eastAsia="Times New Roman"/>
                  <w:sz w:val="20"/>
                  <w:szCs w:val="20"/>
                </w:rPr>
                <w:t>57</w:t>
              </w:r>
            </w:hyperlink>
          </w:p>
        </w:tc>
      </w:tr>
      <w:tr w:rsidR="00000000" w14:paraId="4AB7DBD5" w14:textId="77777777">
        <w:trPr>
          <w:divId w:val="382945133"/>
          <w:jc w:val="center"/>
        </w:trPr>
        <w:tc>
          <w:tcPr>
            <w:tcW w:w="0" w:type="auto"/>
            <w:gridSpan w:val="3"/>
            <w:shd w:val="clear" w:color="auto" w:fill="CCEEFF"/>
            <w:tcMar>
              <w:top w:w="30" w:type="dxa"/>
              <w:left w:w="20" w:type="dxa"/>
              <w:bottom w:w="30" w:type="dxa"/>
              <w:right w:w="20" w:type="dxa"/>
            </w:tcMar>
            <w:vAlign w:val="bottom"/>
            <w:hideMark/>
          </w:tcPr>
          <w:p w14:paraId="14D4832C" w14:textId="77777777" w:rsidR="00000000" w:rsidRDefault="00195E73">
            <w:pPr>
              <w:divId w:val="1325429963"/>
              <w:rPr>
                <w:rFonts w:eastAsia="Times New Roman"/>
              </w:rPr>
            </w:pPr>
            <w:hyperlink w:anchor="ie32f54975c224c3bb6f920bef14ea8e4_94" w:history="1">
              <w:r>
                <w:rPr>
                  <w:rStyle w:val="a3"/>
                  <w:rFonts w:eastAsia="Times New Roman"/>
                  <w:sz w:val="20"/>
                  <w:szCs w:val="20"/>
                </w:rPr>
                <w:t>Consolidated Statements of Cash Flows</w:t>
              </w:r>
            </w:hyperlink>
          </w:p>
        </w:tc>
        <w:tc>
          <w:tcPr>
            <w:tcW w:w="0" w:type="auto"/>
            <w:gridSpan w:val="3"/>
            <w:shd w:val="clear" w:color="auto" w:fill="CCEEFF"/>
            <w:tcMar>
              <w:top w:w="30" w:type="dxa"/>
              <w:left w:w="20" w:type="dxa"/>
              <w:bottom w:w="30" w:type="dxa"/>
              <w:right w:w="20" w:type="dxa"/>
            </w:tcMar>
            <w:vAlign w:val="bottom"/>
            <w:hideMark/>
          </w:tcPr>
          <w:p w14:paraId="37B8E1B6" w14:textId="77777777" w:rsidR="00000000" w:rsidRDefault="00195E73">
            <w:pPr>
              <w:jc w:val="center"/>
              <w:rPr>
                <w:rFonts w:eastAsia="Times New Roman"/>
              </w:rPr>
            </w:pPr>
            <w:hyperlink w:anchor="ie32f54975c224c3bb6f920bef14ea8e4_94" w:history="1">
              <w:r>
                <w:rPr>
                  <w:rStyle w:val="a3"/>
                  <w:rFonts w:eastAsia="Times New Roman"/>
                  <w:sz w:val="20"/>
                  <w:szCs w:val="20"/>
                </w:rPr>
                <w:t>58</w:t>
              </w:r>
            </w:hyperlink>
          </w:p>
        </w:tc>
      </w:tr>
      <w:tr w:rsidR="00000000" w14:paraId="58DA4158" w14:textId="77777777">
        <w:trPr>
          <w:divId w:val="382945133"/>
          <w:jc w:val="center"/>
        </w:trPr>
        <w:tc>
          <w:tcPr>
            <w:tcW w:w="0" w:type="auto"/>
            <w:gridSpan w:val="3"/>
            <w:shd w:val="clear" w:color="auto" w:fill="FFFFFF"/>
            <w:tcMar>
              <w:top w:w="30" w:type="dxa"/>
              <w:left w:w="20" w:type="dxa"/>
              <w:bottom w:w="30" w:type="dxa"/>
              <w:right w:w="20" w:type="dxa"/>
            </w:tcMar>
            <w:vAlign w:val="bottom"/>
            <w:hideMark/>
          </w:tcPr>
          <w:p w14:paraId="0A79569F" w14:textId="77777777" w:rsidR="00000000" w:rsidRDefault="00195E73">
            <w:pPr>
              <w:divId w:val="1032682545"/>
              <w:rPr>
                <w:rFonts w:eastAsia="Times New Roman"/>
              </w:rPr>
            </w:pPr>
            <w:hyperlink w:anchor="ie32f54975c224c3bb6f920bef14ea8e4_115" w:history="1">
              <w:r>
                <w:rPr>
                  <w:rStyle w:val="a3"/>
                  <w:rFonts w:eastAsia="Times New Roman"/>
                  <w:sz w:val="20"/>
                  <w:szCs w:val="20"/>
                </w:rPr>
                <w:t xml:space="preserve">Notes to Consolidated Financial </w:t>
              </w:r>
              <w:r>
                <w:rPr>
                  <w:rStyle w:val="a3"/>
                  <w:rFonts w:eastAsia="Times New Roman"/>
                  <w:sz w:val="20"/>
                  <w:szCs w:val="20"/>
                </w:rPr>
                <w:t>Statements</w:t>
              </w:r>
            </w:hyperlink>
          </w:p>
        </w:tc>
        <w:tc>
          <w:tcPr>
            <w:tcW w:w="0" w:type="auto"/>
            <w:gridSpan w:val="3"/>
            <w:shd w:val="clear" w:color="auto" w:fill="FFFFFF"/>
            <w:tcMar>
              <w:top w:w="30" w:type="dxa"/>
              <w:left w:w="20" w:type="dxa"/>
              <w:bottom w:w="30" w:type="dxa"/>
              <w:right w:w="20" w:type="dxa"/>
            </w:tcMar>
            <w:vAlign w:val="bottom"/>
            <w:hideMark/>
          </w:tcPr>
          <w:p w14:paraId="6BFCB5E0" w14:textId="77777777" w:rsidR="00000000" w:rsidRDefault="00195E73">
            <w:pPr>
              <w:jc w:val="center"/>
              <w:rPr>
                <w:rFonts w:eastAsia="Times New Roman"/>
              </w:rPr>
            </w:pPr>
            <w:hyperlink w:anchor="ie32f54975c224c3bb6f920bef14ea8e4_115" w:history="1">
              <w:r>
                <w:rPr>
                  <w:rStyle w:val="a3"/>
                  <w:rFonts w:eastAsia="Times New Roman"/>
                  <w:sz w:val="20"/>
                  <w:szCs w:val="20"/>
                </w:rPr>
                <w:t>64</w:t>
              </w:r>
            </w:hyperlink>
          </w:p>
        </w:tc>
      </w:tr>
    </w:tbl>
    <w:p w14:paraId="4809A742" w14:textId="77777777" w:rsidR="00000000" w:rsidRDefault="00195E73">
      <w:pPr>
        <w:ind w:firstLine="405"/>
        <w:divId w:val="1066298916"/>
        <w:rPr>
          <w:rFonts w:eastAsia="Times New Roman"/>
        </w:rPr>
      </w:pPr>
    </w:p>
    <w:p w14:paraId="35626419" w14:textId="77777777" w:rsidR="00000000" w:rsidRDefault="00195E73">
      <w:pPr>
        <w:ind w:firstLine="405"/>
        <w:divId w:val="2091350382"/>
        <w:rPr>
          <w:rFonts w:eastAsia="Times New Roman"/>
        </w:rPr>
      </w:pPr>
      <w:r>
        <w:rPr>
          <w:rFonts w:eastAsia="Times New Roman"/>
          <w:color w:val="000000"/>
          <w:sz w:val="20"/>
          <w:szCs w:val="20"/>
        </w:rPr>
        <w:t>The following financial statements of Icahn Enterprises Holdings L.P., and subsidiaries, are included in Part II, Item 8 of this Report</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82"/>
        <w:gridCol w:w="6988"/>
        <w:gridCol w:w="83"/>
        <w:gridCol w:w="83"/>
        <w:gridCol w:w="962"/>
        <w:gridCol w:w="83"/>
      </w:tblGrid>
      <w:tr w:rsidR="00000000" w14:paraId="01FFB766" w14:textId="77777777">
        <w:trPr>
          <w:divId w:val="1237128619"/>
          <w:jc w:val="center"/>
        </w:trPr>
        <w:tc>
          <w:tcPr>
            <w:tcW w:w="50" w:type="pct"/>
            <w:vAlign w:val="center"/>
            <w:hideMark/>
          </w:tcPr>
          <w:p w14:paraId="1AA6D3BF" w14:textId="77777777" w:rsidR="00000000" w:rsidRDefault="00195E73">
            <w:pPr>
              <w:ind w:firstLine="405"/>
              <w:rPr>
                <w:rFonts w:eastAsia="Times New Roman"/>
              </w:rPr>
            </w:pPr>
          </w:p>
        </w:tc>
        <w:tc>
          <w:tcPr>
            <w:tcW w:w="4218" w:type="pct"/>
            <w:vAlign w:val="center"/>
            <w:hideMark/>
          </w:tcPr>
          <w:p w14:paraId="0D1616DD" w14:textId="77777777" w:rsidR="00000000" w:rsidRDefault="00195E73">
            <w:pPr>
              <w:rPr>
                <w:rFonts w:eastAsia="Times New Roman"/>
                <w:sz w:val="20"/>
                <w:szCs w:val="20"/>
              </w:rPr>
            </w:pPr>
          </w:p>
        </w:tc>
        <w:tc>
          <w:tcPr>
            <w:tcW w:w="50" w:type="pct"/>
            <w:vAlign w:val="center"/>
            <w:hideMark/>
          </w:tcPr>
          <w:p w14:paraId="2377D2E9" w14:textId="77777777" w:rsidR="00000000" w:rsidRDefault="00195E73">
            <w:pPr>
              <w:rPr>
                <w:rFonts w:eastAsia="Times New Roman"/>
                <w:sz w:val="20"/>
                <w:szCs w:val="20"/>
              </w:rPr>
            </w:pPr>
          </w:p>
        </w:tc>
        <w:tc>
          <w:tcPr>
            <w:tcW w:w="50" w:type="pct"/>
            <w:vAlign w:val="center"/>
            <w:hideMark/>
          </w:tcPr>
          <w:p w14:paraId="46E2F814" w14:textId="77777777" w:rsidR="00000000" w:rsidRDefault="00195E73">
            <w:pPr>
              <w:rPr>
                <w:rFonts w:eastAsia="Times New Roman"/>
                <w:sz w:val="20"/>
                <w:szCs w:val="20"/>
              </w:rPr>
            </w:pPr>
          </w:p>
        </w:tc>
        <w:tc>
          <w:tcPr>
            <w:tcW w:w="581" w:type="pct"/>
            <w:vAlign w:val="center"/>
            <w:hideMark/>
          </w:tcPr>
          <w:p w14:paraId="0C540364" w14:textId="77777777" w:rsidR="00000000" w:rsidRDefault="00195E73">
            <w:pPr>
              <w:rPr>
                <w:rFonts w:eastAsia="Times New Roman"/>
                <w:sz w:val="20"/>
                <w:szCs w:val="20"/>
              </w:rPr>
            </w:pPr>
          </w:p>
        </w:tc>
        <w:tc>
          <w:tcPr>
            <w:tcW w:w="50" w:type="pct"/>
            <w:vAlign w:val="center"/>
            <w:hideMark/>
          </w:tcPr>
          <w:p w14:paraId="0E12CAEE" w14:textId="77777777" w:rsidR="00000000" w:rsidRDefault="00195E73">
            <w:pPr>
              <w:rPr>
                <w:rFonts w:eastAsia="Times New Roman"/>
                <w:sz w:val="20"/>
                <w:szCs w:val="20"/>
              </w:rPr>
            </w:pPr>
          </w:p>
        </w:tc>
      </w:tr>
      <w:tr w:rsidR="00000000" w14:paraId="28F3DB2D" w14:textId="77777777">
        <w:trPr>
          <w:divId w:val="1237128619"/>
          <w:jc w:val="center"/>
        </w:trPr>
        <w:tc>
          <w:tcPr>
            <w:tcW w:w="0" w:type="auto"/>
            <w:gridSpan w:val="3"/>
            <w:tcMar>
              <w:top w:w="15" w:type="dxa"/>
              <w:left w:w="20" w:type="dxa"/>
              <w:bottom w:w="15" w:type="dxa"/>
              <w:right w:w="20" w:type="dxa"/>
            </w:tcMar>
            <w:vAlign w:val="bottom"/>
            <w:hideMark/>
          </w:tcPr>
          <w:p w14:paraId="4A2B7A9A"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010B48C8" w14:textId="77777777" w:rsidR="00000000" w:rsidRDefault="00195E73">
            <w:pPr>
              <w:jc w:val="center"/>
              <w:rPr>
                <w:rFonts w:eastAsia="Times New Roman"/>
              </w:rPr>
            </w:pPr>
            <w:r>
              <w:rPr>
                <w:rFonts w:eastAsia="Times New Roman"/>
                <w:b/>
                <w:bCs/>
                <w:color w:val="000000"/>
                <w:sz w:val="20"/>
                <w:szCs w:val="20"/>
              </w:rPr>
              <w:t>Page Numbe</w:t>
            </w:r>
            <w:r>
              <w:rPr>
                <w:rFonts w:eastAsia="Times New Roman"/>
                <w:b/>
                <w:bCs/>
                <w:color w:val="000000"/>
                <w:sz w:val="20"/>
                <w:szCs w:val="20"/>
              </w:rPr>
              <w:t>r</w:t>
            </w:r>
          </w:p>
        </w:tc>
      </w:tr>
      <w:tr w:rsidR="00000000" w14:paraId="486F9F79" w14:textId="77777777">
        <w:trPr>
          <w:divId w:val="1237128619"/>
          <w:jc w:val="center"/>
        </w:trPr>
        <w:tc>
          <w:tcPr>
            <w:tcW w:w="0" w:type="auto"/>
            <w:gridSpan w:val="3"/>
            <w:shd w:val="clear" w:color="auto" w:fill="CCEEFF"/>
            <w:tcMar>
              <w:top w:w="30" w:type="dxa"/>
              <w:left w:w="20" w:type="dxa"/>
              <w:bottom w:w="30" w:type="dxa"/>
              <w:right w:w="20" w:type="dxa"/>
            </w:tcMar>
            <w:vAlign w:val="bottom"/>
            <w:hideMark/>
          </w:tcPr>
          <w:p w14:paraId="2E2C21DF" w14:textId="77777777" w:rsidR="00000000" w:rsidRDefault="00195E73">
            <w:pPr>
              <w:divId w:val="793522112"/>
              <w:rPr>
                <w:rFonts w:eastAsia="Times New Roman"/>
              </w:rPr>
            </w:pPr>
            <w:hyperlink w:anchor="ie32f54975c224c3bb6f920bef14ea8e4_100" w:history="1">
              <w:r>
                <w:rPr>
                  <w:rStyle w:val="a3"/>
                  <w:rFonts w:eastAsia="Times New Roman"/>
                  <w:sz w:val="20"/>
                  <w:szCs w:val="20"/>
                </w:rPr>
                <w:t>Consolidated Balance Sheets</w:t>
              </w:r>
            </w:hyperlink>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1C22CA" w14:textId="77777777" w:rsidR="00000000" w:rsidRDefault="00195E73">
            <w:pPr>
              <w:jc w:val="center"/>
              <w:rPr>
                <w:rFonts w:eastAsia="Times New Roman"/>
              </w:rPr>
            </w:pPr>
            <w:hyperlink w:anchor="ie32f54975c224c3bb6f920bef14ea8e4_100" w:history="1">
              <w:r>
                <w:rPr>
                  <w:rStyle w:val="a3"/>
                  <w:rFonts w:eastAsia="Times New Roman"/>
                  <w:sz w:val="20"/>
                  <w:szCs w:val="20"/>
                </w:rPr>
                <w:t>59</w:t>
              </w:r>
            </w:hyperlink>
          </w:p>
        </w:tc>
      </w:tr>
      <w:tr w:rsidR="00000000" w14:paraId="77DB4651" w14:textId="77777777">
        <w:trPr>
          <w:divId w:val="1237128619"/>
          <w:jc w:val="center"/>
        </w:trPr>
        <w:tc>
          <w:tcPr>
            <w:tcW w:w="0" w:type="auto"/>
            <w:gridSpan w:val="3"/>
            <w:shd w:val="clear" w:color="auto" w:fill="FFFFFF"/>
            <w:tcMar>
              <w:top w:w="30" w:type="dxa"/>
              <w:left w:w="20" w:type="dxa"/>
              <w:bottom w:w="30" w:type="dxa"/>
              <w:right w:w="20" w:type="dxa"/>
            </w:tcMar>
            <w:vAlign w:val="bottom"/>
            <w:hideMark/>
          </w:tcPr>
          <w:p w14:paraId="7D45BF64" w14:textId="77777777" w:rsidR="00000000" w:rsidRDefault="00195E73">
            <w:pPr>
              <w:divId w:val="1842161569"/>
              <w:rPr>
                <w:rFonts w:eastAsia="Times New Roman"/>
              </w:rPr>
            </w:pPr>
            <w:hyperlink w:anchor="ie32f54975c224c3bb6f920bef14ea8e4_103" w:history="1">
              <w:r>
                <w:rPr>
                  <w:rStyle w:val="a3"/>
                  <w:rFonts w:eastAsia="Times New Roman"/>
                  <w:sz w:val="20"/>
                  <w:szCs w:val="20"/>
                </w:rPr>
                <w:t>Consolidated Statements of Operations</w:t>
              </w:r>
            </w:hyperlink>
          </w:p>
        </w:tc>
        <w:tc>
          <w:tcPr>
            <w:tcW w:w="0" w:type="auto"/>
            <w:gridSpan w:val="3"/>
            <w:shd w:val="clear" w:color="auto" w:fill="FFFFFF"/>
            <w:tcMar>
              <w:top w:w="30" w:type="dxa"/>
              <w:left w:w="20" w:type="dxa"/>
              <w:bottom w:w="30" w:type="dxa"/>
              <w:right w:w="20" w:type="dxa"/>
            </w:tcMar>
            <w:vAlign w:val="bottom"/>
            <w:hideMark/>
          </w:tcPr>
          <w:p w14:paraId="77CC68BE" w14:textId="77777777" w:rsidR="00000000" w:rsidRDefault="00195E73">
            <w:pPr>
              <w:jc w:val="center"/>
              <w:rPr>
                <w:rFonts w:eastAsia="Times New Roman"/>
              </w:rPr>
            </w:pPr>
            <w:hyperlink w:anchor="ie32f54975c224c3bb6f920bef14ea8e4_103" w:history="1">
              <w:r>
                <w:rPr>
                  <w:rStyle w:val="a3"/>
                  <w:rFonts w:eastAsia="Times New Roman"/>
                  <w:sz w:val="20"/>
                  <w:szCs w:val="20"/>
                </w:rPr>
                <w:t>60</w:t>
              </w:r>
            </w:hyperlink>
          </w:p>
        </w:tc>
      </w:tr>
      <w:tr w:rsidR="00000000" w14:paraId="41C76948" w14:textId="77777777">
        <w:trPr>
          <w:divId w:val="1237128619"/>
          <w:jc w:val="center"/>
        </w:trPr>
        <w:tc>
          <w:tcPr>
            <w:tcW w:w="0" w:type="auto"/>
            <w:gridSpan w:val="3"/>
            <w:shd w:val="clear" w:color="auto" w:fill="CCEEFF"/>
            <w:tcMar>
              <w:top w:w="30" w:type="dxa"/>
              <w:left w:w="20" w:type="dxa"/>
              <w:bottom w:w="30" w:type="dxa"/>
              <w:right w:w="20" w:type="dxa"/>
            </w:tcMar>
            <w:vAlign w:val="bottom"/>
            <w:hideMark/>
          </w:tcPr>
          <w:p w14:paraId="32259706" w14:textId="77777777" w:rsidR="00000000" w:rsidRDefault="00195E73">
            <w:pPr>
              <w:divId w:val="1532063085"/>
              <w:rPr>
                <w:rFonts w:eastAsia="Times New Roman"/>
              </w:rPr>
            </w:pPr>
            <w:hyperlink w:anchor="ie32f54975c224c3bb6f920bef14ea8e4_106" w:history="1">
              <w:r>
                <w:rPr>
                  <w:rStyle w:val="a3"/>
                  <w:rFonts w:eastAsia="Times New Roman"/>
                  <w:sz w:val="20"/>
                  <w:szCs w:val="20"/>
                </w:rPr>
                <w:t>Consolidated Statements of Comprehensive Income</w:t>
              </w:r>
            </w:hyperlink>
          </w:p>
        </w:tc>
        <w:tc>
          <w:tcPr>
            <w:tcW w:w="0" w:type="auto"/>
            <w:gridSpan w:val="3"/>
            <w:shd w:val="clear" w:color="auto" w:fill="CCEEFF"/>
            <w:tcMar>
              <w:top w:w="30" w:type="dxa"/>
              <w:left w:w="20" w:type="dxa"/>
              <w:bottom w:w="30" w:type="dxa"/>
              <w:right w:w="20" w:type="dxa"/>
            </w:tcMar>
            <w:vAlign w:val="bottom"/>
            <w:hideMark/>
          </w:tcPr>
          <w:p w14:paraId="671F95EC" w14:textId="77777777" w:rsidR="00000000" w:rsidRDefault="00195E73">
            <w:pPr>
              <w:jc w:val="center"/>
              <w:rPr>
                <w:rFonts w:eastAsia="Times New Roman"/>
              </w:rPr>
            </w:pPr>
            <w:hyperlink w:anchor="ie32f54975c224c3bb6f920bef14ea8e4_106" w:history="1">
              <w:r>
                <w:rPr>
                  <w:rStyle w:val="a3"/>
                  <w:rFonts w:eastAsia="Times New Roman"/>
                  <w:sz w:val="20"/>
                  <w:szCs w:val="20"/>
                </w:rPr>
                <w:t>61</w:t>
              </w:r>
            </w:hyperlink>
          </w:p>
        </w:tc>
      </w:tr>
      <w:tr w:rsidR="00000000" w14:paraId="20E7ABB1" w14:textId="77777777">
        <w:trPr>
          <w:divId w:val="1237128619"/>
          <w:jc w:val="center"/>
        </w:trPr>
        <w:tc>
          <w:tcPr>
            <w:tcW w:w="0" w:type="auto"/>
            <w:gridSpan w:val="3"/>
            <w:shd w:val="clear" w:color="auto" w:fill="FFFFFF"/>
            <w:tcMar>
              <w:top w:w="30" w:type="dxa"/>
              <w:left w:w="20" w:type="dxa"/>
              <w:bottom w:w="30" w:type="dxa"/>
              <w:right w:w="20" w:type="dxa"/>
            </w:tcMar>
            <w:vAlign w:val="bottom"/>
            <w:hideMark/>
          </w:tcPr>
          <w:p w14:paraId="1A1ED43D" w14:textId="77777777" w:rsidR="00000000" w:rsidRDefault="00195E73">
            <w:pPr>
              <w:divId w:val="297027965"/>
              <w:rPr>
                <w:rFonts w:eastAsia="Times New Roman"/>
              </w:rPr>
            </w:pPr>
            <w:hyperlink w:anchor="ie32f54975c224c3bb6f920bef14ea8e4_109" w:history="1">
              <w:r>
                <w:rPr>
                  <w:rStyle w:val="a3"/>
                  <w:rFonts w:eastAsia="Times New Roman"/>
                  <w:sz w:val="20"/>
                  <w:szCs w:val="20"/>
                </w:rPr>
                <w:t>Consolidated Statement of Changes in Equity</w:t>
              </w:r>
            </w:hyperlink>
          </w:p>
        </w:tc>
        <w:tc>
          <w:tcPr>
            <w:tcW w:w="0" w:type="auto"/>
            <w:gridSpan w:val="3"/>
            <w:shd w:val="clear" w:color="auto" w:fill="FFFFFF"/>
            <w:tcMar>
              <w:top w:w="30" w:type="dxa"/>
              <w:left w:w="20" w:type="dxa"/>
              <w:bottom w:w="30" w:type="dxa"/>
              <w:right w:w="20" w:type="dxa"/>
            </w:tcMar>
            <w:vAlign w:val="bottom"/>
            <w:hideMark/>
          </w:tcPr>
          <w:p w14:paraId="2BC0DCE9" w14:textId="77777777" w:rsidR="00000000" w:rsidRDefault="00195E73">
            <w:pPr>
              <w:jc w:val="center"/>
              <w:rPr>
                <w:rFonts w:eastAsia="Times New Roman"/>
              </w:rPr>
            </w:pPr>
            <w:hyperlink w:anchor="ie32f54975c224c3bb6f920bef14ea8e4_109" w:history="1">
              <w:r>
                <w:rPr>
                  <w:rStyle w:val="a3"/>
                  <w:rFonts w:eastAsia="Times New Roman"/>
                  <w:sz w:val="20"/>
                  <w:szCs w:val="20"/>
                </w:rPr>
                <w:t>62</w:t>
              </w:r>
            </w:hyperlink>
          </w:p>
        </w:tc>
      </w:tr>
      <w:tr w:rsidR="00000000" w14:paraId="6FB4811E" w14:textId="77777777">
        <w:trPr>
          <w:divId w:val="1237128619"/>
          <w:jc w:val="center"/>
        </w:trPr>
        <w:tc>
          <w:tcPr>
            <w:tcW w:w="0" w:type="auto"/>
            <w:gridSpan w:val="3"/>
            <w:shd w:val="clear" w:color="auto" w:fill="CCEEFF"/>
            <w:tcMar>
              <w:top w:w="30" w:type="dxa"/>
              <w:left w:w="20" w:type="dxa"/>
              <w:bottom w:w="30" w:type="dxa"/>
              <w:right w:w="20" w:type="dxa"/>
            </w:tcMar>
            <w:vAlign w:val="bottom"/>
            <w:hideMark/>
          </w:tcPr>
          <w:p w14:paraId="72B25EFE" w14:textId="77777777" w:rsidR="00000000" w:rsidRDefault="00195E73">
            <w:pPr>
              <w:divId w:val="1694529413"/>
              <w:rPr>
                <w:rFonts w:eastAsia="Times New Roman"/>
              </w:rPr>
            </w:pPr>
            <w:hyperlink w:anchor="ie32f54975c224c3bb6f920bef14ea8e4_112" w:history="1">
              <w:r>
                <w:rPr>
                  <w:rStyle w:val="a3"/>
                  <w:rFonts w:eastAsia="Times New Roman"/>
                  <w:sz w:val="20"/>
                  <w:szCs w:val="20"/>
                </w:rPr>
                <w:t>Consolidated Statements of Cash Flows</w:t>
              </w:r>
            </w:hyperlink>
          </w:p>
        </w:tc>
        <w:tc>
          <w:tcPr>
            <w:tcW w:w="0" w:type="auto"/>
            <w:gridSpan w:val="3"/>
            <w:shd w:val="clear" w:color="auto" w:fill="CCEEFF"/>
            <w:tcMar>
              <w:top w:w="30" w:type="dxa"/>
              <w:left w:w="20" w:type="dxa"/>
              <w:bottom w:w="30" w:type="dxa"/>
              <w:right w:w="20" w:type="dxa"/>
            </w:tcMar>
            <w:vAlign w:val="bottom"/>
            <w:hideMark/>
          </w:tcPr>
          <w:p w14:paraId="3FF3313B" w14:textId="77777777" w:rsidR="00000000" w:rsidRDefault="00195E73">
            <w:pPr>
              <w:jc w:val="center"/>
              <w:rPr>
                <w:rFonts w:eastAsia="Times New Roman"/>
              </w:rPr>
            </w:pPr>
            <w:hyperlink w:anchor="ie32f54975c224c3bb6f920bef14ea8e4_112" w:history="1">
              <w:r>
                <w:rPr>
                  <w:rStyle w:val="a3"/>
                  <w:rFonts w:eastAsia="Times New Roman"/>
                  <w:sz w:val="20"/>
                  <w:szCs w:val="20"/>
                </w:rPr>
                <w:t>63</w:t>
              </w:r>
            </w:hyperlink>
          </w:p>
        </w:tc>
      </w:tr>
      <w:tr w:rsidR="00000000" w14:paraId="60604ABF" w14:textId="77777777">
        <w:trPr>
          <w:divId w:val="1237128619"/>
          <w:jc w:val="center"/>
        </w:trPr>
        <w:tc>
          <w:tcPr>
            <w:tcW w:w="0" w:type="auto"/>
            <w:gridSpan w:val="3"/>
            <w:shd w:val="clear" w:color="auto" w:fill="FFFFFF"/>
            <w:tcMar>
              <w:top w:w="30" w:type="dxa"/>
              <w:left w:w="20" w:type="dxa"/>
              <w:bottom w:w="30" w:type="dxa"/>
              <w:right w:w="20" w:type="dxa"/>
            </w:tcMar>
            <w:vAlign w:val="bottom"/>
            <w:hideMark/>
          </w:tcPr>
          <w:p w14:paraId="7ACA502F" w14:textId="77777777" w:rsidR="00000000" w:rsidRDefault="00195E73">
            <w:pPr>
              <w:divId w:val="1727144926"/>
              <w:rPr>
                <w:rFonts w:eastAsia="Times New Roman"/>
              </w:rPr>
            </w:pPr>
            <w:hyperlink w:anchor="ie32f54975c224c3bb6f920bef14ea8e4_115" w:history="1">
              <w:r>
                <w:rPr>
                  <w:rStyle w:val="a3"/>
                  <w:rFonts w:eastAsia="Times New Roman"/>
                  <w:sz w:val="20"/>
                  <w:szCs w:val="20"/>
                </w:rPr>
                <w:t>Notes to Consolidated Financial Statements</w:t>
              </w:r>
            </w:hyperlink>
          </w:p>
        </w:tc>
        <w:tc>
          <w:tcPr>
            <w:tcW w:w="0" w:type="auto"/>
            <w:gridSpan w:val="3"/>
            <w:shd w:val="clear" w:color="auto" w:fill="FFFFFF"/>
            <w:tcMar>
              <w:top w:w="30" w:type="dxa"/>
              <w:left w:w="20" w:type="dxa"/>
              <w:bottom w:w="30" w:type="dxa"/>
              <w:right w:w="20" w:type="dxa"/>
            </w:tcMar>
            <w:vAlign w:val="bottom"/>
            <w:hideMark/>
          </w:tcPr>
          <w:p w14:paraId="3E7317AE" w14:textId="77777777" w:rsidR="00000000" w:rsidRDefault="00195E73">
            <w:pPr>
              <w:jc w:val="center"/>
              <w:rPr>
                <w:rFonts w:eastAsia="Times New Roman"/>
              </w:rPr>
            </w:pPr>
            <w:hyperlink w:anchor="ie32f54975c224c3bb6f920bef14ea8e4_115" w:history="1">
              <w:r>
                <w:rPr>
                  <w:rStyle w:val="a3"/>
                  <w:rFonts w:eastAsia="Times New Roman"/>
                  <w:sz w:val="20"/>
                  <w:szCs w:val="20"/>
                </w:rPr>
                <w:t>64</w:t>
              </w:r>
            </w:hyperlink>
          </w:p>
        </w:tc>
      </w:tr>
    </w:tbl>
    <w:p w14:paraId="692067BD" w14:textId="77777777" w:rsidR="00000000" w:rsidRDefault="00195E73">
      <w:pPr>
        <w:divId w:val="1013148167"/>
        <w:rPr>
          <w:rFonts w:eastAsia="Times New Roman"/>
        </w:rPr>
      </w:pPr>
      <w:r>
        <w:rPr>
          <w:rFonts w:eastAsia="Times New Roman"/>
          <w:b/>
          <w:bCs/>
          <w:color w:val="000000"/>
          <w:sz w:val="20"/>
          <w:szCs w:val="20"/>
        </w:rPr>
        <w:t>(a)(2) Financial Statement Schedules</w:t>
      </w:r>
      <w:r>
        <w:rPr>
          <w:rFonts w:eastAsia="Times New Roman"/>
          <w:b/>
          <w:bCs/>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82"/>
        <w:gridCol w:w="6988"/>
        <w:gridCol w:w="83"/>
        <w:gridCol w:w="83"/>
        <w:gridCol w:w="962"/>
        <w:gridCol w:w="83"/>
      </w:tblGrid>
      <w:tr w:rsidR="00000000" w14:paraId="53F85D52" w14:textId="77777777">
        <w:trPr>
          <w:divId w:val="2003200282"/>
          <w:jc w:val="center"/>
        </w:trPr>
        <w:tc>
          <w:tcPr>
            <w:tcW w:w="50" w:type="pct"/>
            <w:vAlign w:val="center"/>
            <w:hideMark/>
          </w:tcPr>
          <w:p w14:paraId="1B389C26" w14:textId="77777777" w:rsidR="00000000" w:rsidRDefault="00195E73">
            <w:pPr>
              <w:rPr>
                <w:rFonts w:eastAsia="Times New Roman"/>
              </w:rPr>
            </w:pPr>
          </w:p>
        </w:tc>
        <w:tc>
          <w:tcPr>
            <w:tcW w:w="4218" w:type="pct"/>
            <w:vAlign w:val="center"/>
            <w:hideMark/>
          </w:tcPr>
          <w:p w14:paraId="65CB1327" w14:textId="77777777" w:rsidR="00000000" w:rsidRDefault="00195E73">
            <w:pPr>
              <w:rPr>
                <w:rFonts w:eastAsia="Times New Roman"/>
                <w:sz w:val="20"/>
                <w:szCs w:val="20"/>
              </w:rPr>
            </w:pPr>
          </w:p>
        </w:tc>
        <w:tc>
          <w:tcPr>
            <w:tcW w:w="50" w:type="pct"/>
            <w:vAlign w:val="center"/>
            <w:hideMark/>
          </w:tcPr>
          <w:p w14:paraId="3AAAA598" w14:textId="77777777" w:rsidR="00000000" w:rsidRDefault="00195E73">
            <w:pPr>
              <w:rPr>
                <w:rFonts w:eastAsia="Times New Roman"/>
                <w:sz w:val="20"/>
                <w:szCs w:val="20"/>
              </w:rPr>
            </w:pPr>
          </w:p>
        </w:tc>
        <w:tc>
          <w:tcPr>
            <w:tcW w:w="50" w:type="pct"/>
            <w:vAlign w:val="center"/>
            <w:hideMark/>
          </w:tcPr>
          <w:p w14:paraId="3F9F9DAC" w14:textId="77777777" w:rsidR="00000000" w:rsidRDefault="00195E73">
            <w:pPr>
              <w:rPr>
                <w:rFonts w:eastAsia="Times New Roman"/>
                <w:sz w:val="20"/>
                <w:szCs w:val="20"/>
              </w:rPr>
            </w:pPr>
          </w:p>
        </w:tc>
        <w:tc>
          <w:tcPr>
            <w:tcW w:w="581" w:type="pct"/>
            <w:vAlign w:val="center"/>
            <w:hideMark/>
          </w:tcPr>
          <w:p w14:paraId="6970A713" w14:textId="77777777" w:rsidR="00000000" w:rsidRDefault="00195E73">
            <w:pPr>
              <w:rPr>
                <w:rFonts w:eastAsia="Times New Roman"/>
                <w:sz w:val="20"/>
                <w:szCs w:val="20"/>
              </w:rPr>
            </w:pPr>
          </w:p>
        </w:tc>
        <w:tc>
          <w:tcPr>
            <w:tcW w:w="50" w:type="pct"/>
            <w:vAlign w:val="center"/>
            <w:hideMark/>
          </w:tcPr>
          <w:p w14:paraId="21C66AB5" w14:textId="77777777" w:rsidR="00000000" w:rsidRDefault="00195E73">
            <w:pPr>
              <w:rPr>
                <w:rFonts w:eastAsia="Times New Roman"/>
                <w:sz w:val="20"/>
                <w:szCs w:val="20"/>
              </w:rPr>
            </w:pPr>
          </w:p>
        </w:tc>
      </w:tr>
      <w:tr w:rsidR="00000000" w14:paraId="646FD3B9" w14:textId="77777777">
        <w:trPr>
          <w:divId w:val="2003200282"/>
          <w:jc w:val="center"/>
        </w:trPr>
        <w:tc>
          <w:tcPr>
            <w:tcW w:w="0" w:type="auto"/>
            <w:gridSpan w:val="3"/>
            <w:tcMar>
              <w:top w:w="15" w:type="dxa"/>
              <w:left w:w="20" w:type="dxa"/>
              <w:bottom w:w="15" w:type="dxa"/>
              <w:right w:w="20" w:type="dxa"/>
            </w:tcMar>
            <w:vAlign w:val="bottom"/>
            <w:hideMark/>
          </w:tcPr>
          <w:p w14:paraId="7A20FC23"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5E75B363" w14:textId="77777777" w:rsidR="00000000" w:rsidRDefault="00195E73">
            <w:pPr>
              <w:jc w:val="center"/>
              <w:rPr>
                <w:rFonts w:eastAsia="Times New Roman"/>
              </w:rPr>
            </w:pPr>
            <w:r>
              <w:rPr>
                <w:rFonts w:eastAsia="Times New Roman"/>
                <w:b/>
                <w:bCs/>
                <w:color w:val="000000"/>
                <w:sz w:val="20"/>
                <w:szCs w:val="20"/>
              </w:rPr>
              <w:t>Page Numbe</w:t>
            </w:r>
            <w:r>
              <w:rPr>
                <w:rFonts w:eastAsia="Times New Roman"/>
                <w:b/>
                <w:bCs/>
                <w:color w:val="000000"/>
                <w:sz w:val="20"/>
                <w:szCs w:val="20"/>
              </w:rPr>
              <w:t>r</w:t>
            </w:r>
          </w:p>
        </w:tc>
      </w:tr>
      <w:tr w:rsidR="00000000" w14:paraId="6007ABE4" w14:textId="77777777">
        <w:trPr>
          <w:divId w:val="2003200282"/>
          <w:jc w:val="center"/>
        </w:trPr>
        <w:tc>
          <w:tcPr>
            <w:tcW w:w="0" w:type="auto"/>
            <w:gridSpan w:val="3"/>
            <w:shd w:val="clear" w:color="auto" w:fill="CCEEFF"/>
            <w:tcMar>
              <w:top w:w="30" w:type="dxa"/>
              <w:left w:w="20" w:type="dxa"/>
              <w:bottom w:w="30" w:type="dxa"/>
              <w:right w:w="20" w:type="dxa"/>
            </w:tcMar>
            <w:vAlign w:val="bottom"/>
            <w:hideMark/>
          </w:tcPr>
          <w:p w14:paraId="311A5C97" w14:textId="77777777" w:rsidR="00000000" w:rsidRDefault="00195E73">
            <w:pPr>
              <w:divId w:val="624821055"/>
              <w:rPr>
                <w:rFonts w:eastAsia="Times New Roman"/>
              </w:rPr>
            </w:pPr>
            <w:hyperlink w:anchor="ie32f54975c224c3bb6f920bef14ea8e4_226" w:history="1">
              <w:r>
                <w:rPr>
                  <w:rStyle w:val="a3"/>
                  <w:rFonts w:eastAsia="Times New Roman"/>
                  <w:sz w:val="20"/>
                  <w:szCs w:val="20"/>
                </w:rPr>
                <w:t>Schedule I - Condensed Financial Information of Parent (Icahn Enterprises L.P.)</w:t>
              </w:r>
            </w:hyperlink>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B5ED469" w14:textId="77777777" w:rsidR="00000000" w:rsidRDefault="00195E73">
            <w:pPr>
              <w:jc w:val="center"/>
              <w:rPr>
                <w:rFonts w:eastAsia="Times New Roman"/>
              </w:rPr>
            </w:pPr>
            <w:hyperlink w:anchor="ie32f54975c224c3bb6f920bef14ea8e4_226" w:history="1">
              <w:r>
                <w:rPr>
                  <w:rStyle w:val="a3"/>
                  <w:rFonts w:eastAsia="Times New Roman"/>
                  <w:sz w:val="20"/>
                  <w:szCs w:val="20"/>
                </w:rPr>
                <w:t>133</w:t>
              </w:r>
            </w:hyperlink>
          </w:p>
        </w:tc>
      </w:tr>
      <w:tr w:rsidR="00000000" w14:paraId="7592FDFB" w14:textId="77777777">
        <w:trPr>
          <w:divId w:val="2003200282"/>
          <w:jc w:val="center"/>
        </w:trPr>
        <w:tc>
          <w:tcPr>
            <w:tcW w:w="0" w:type="auto"/>
            <w:gridSpan w:val="3"/>
            <w:shd w:val="clear" w:color="auto" w:fill="FFFFFF"/>
            <w:tcMar>
              <w:top w:w="30" w:type="dxa"/>
              <w:left w:w="20" w:type="dxa"/>
              <w:bottom w:w="30" w:type="dxa"/>
              <w:right w:w="20" w:type="dxa"/>
            </w:tcMar>
            <w:vAlign w:val="bottom"/>
            <w:hideMark/>
          </w:tcPr>
          <w:p w14:paraId="215A2B50" w14:textId="77777777" w:rsidR="00000000" w:rsidRDefault="00195E73">
            <w:pPr>
              <w:divId w:val="577639337"/>
              <w:rPr>
                <w:rFonts w:eastAsia="Times New Roman"/>
              </w:rPr>
            </w:pPr>
            <w:hyperlink w:anchor="ie32f54975c224c3bb6f920bef14ea8e4_232" w:history="1">
              <w:r>
                <w:rPr>
                  <w:rStyle w:val="a3"/>
                  <w:rFonts w:eastAsia="Times New Roman"/>
                  <w:sz w:val="20"/>
                  <w:szCs w:val="20"/>
                </w:rPr>
                <w:t>Schedule I - Condensed Financial Information of Parent (Icahn Enterprises Holdings L.P.)</w:t>
              </w:r>
            </w:hyperlink>
          </w:p>
        </w:tc>
        <w:tc>
          <w:tcPr>
            <w:tcW w:w="0" w:type="auto"/>
            <w:gridSpan w:val="3"/>
            <w:shd w:val="clear" w:color="auto" w:fill="FFFFFF"/>
            <w:tcMar>
              <w:top w:w="30" w:type="dxa"/>
              <w:left w:w="20" w:type="dxa"/>
              <w:bottom w:w="30" w:type="dxa"/>
              <w:right w:w="20" w:type="dxa"/>
            </w:tcMar>
            <w:vAlign w:val="bottom"/>
            <w:hideMark/>
          </w:tcPr>
          <w:p w14:paraId="1B3C5B9B" w14:textId="77777777" w:rsidR="00000000" w:rsidRDefault="00195E73">
            <w:pPr>
              <w:jc w:val="center"/>
              <w:rPr>
                <w:rFonts w:eastAsia="Times New Roman"/>
              </w:rPr>
            </w:pPr>
            <w:hyperlink w:anchor="ie32f54975c224c3bb6f920bef14ea8e4_232" w:history="1">
              <w:r>
                <w:rPr>
                  <w:rStyle w:val="a3"/>
                  <w:rFonts w:eastAsia="Times New Roman"/>
                  <w:sz w:val="20"/>
                  <w:szCs w:val="20"/>
                </w:rPr>
                <w:t>137</w:t>
              </w:r>
            </w:hyperlink>
          </w:p>
        </w:tc>
      </w:tr>
    </w:tbl>
    <w:p w14:paraId="23267AA0" w14:textId="77777777" w:rsidR="00000000" w:rsidRDefault="00195E73">
      <w:pPr>
        <w:ind w:firstLine="405"/>
        <w:divId w:val="790392734"/>
        <w:rPr>
          <w:rFonts w:eastAsia="Times New Roman"/>
        </w:rPr>
      </w:pPr>
    </w:p>
    <w:p w14:paraId="163B0A18" w14:textId="77777777" w:rsidR="00000000" w:rsidRDefault="00195E73">
      <w:pPr>
        <w:ind w:firstLine="405"/>
        <w:divId w:val="779565281"/>
        <w:rPr>
          <w:rFonts w:eastAsia="Times New Roman"/>
        </w:rPr>
      </w:pPr>
      <w:r>
        <w:rPr>
          <w:rFonts w:eastAsia="Times New Roman"/>
          <w:color w:val="000000"/>
          <w:sz w:val="20"/>
          <w:szCs w:val="20"/>
        </w:rPr>
        <w:t>All other financial statement schedules have been omitted because the required financial information is not applicable, immaterial or the information is shown in the consolidated financial statements or notes thereto</w:t>
      </w:r>
      <w:r>
        <w:rPr>
          <w:rFonts w:eastAsia="Times New Roman"/>
          <w:color w:val="000000"/>
          <w:sz w:val="20"/>
          <w:szCs w:val="20"/>
        </w:rPr>
        <w:t>.</w:t>
      </w:r>
    </w:p>
    <w:p w14:paraId="71FEF682" w14:textId="77777777" w:rsidR="00000000" w:rsidRDefault="00195E73">
      <w:pPr>
        <w:divId w:val="480578546"/>
        <w:rPr>
          <w:rFonts w:eastAsia="Times New Roman"/>
        </w:rPr>
      </w:pPr>
      <w:r>
        <w:rPr>
          <w:rFonts w:eastAsia="Times New Roman"/>
          <w:b/>
          <w:bCs/>
          <w:color w:val="000000"/>
          <w:sz w:val="20"/>
          <w:szCs w:val="20"/>
        </w:rPr>
        <w:t>(a)(3) Exhibits</w:t>
      </w:r>
      <w:r>
        <w:rPr>
          <w:rFonts w:eastAsia="Times New Roman"/>
          <w:b/>
          <w:bCs/>
          <w:color w:val="000000"/>
          <w:sz w:val="20"/>
          <w:szCs w:val="20"/>
        </w:rPr>
        <w:t>:</w:t>
      </w:r>
    </w:p>
    <w:p w14:paraId="5D43D77B" w14:textId="77777777" w:rsidR="00000000" w:rsidRDefault="00195E73">
      <w:pPr>
        <w:ind w:firstLine="405"/>
        <w:divId w:val="1624113649"/>
        <w:rPr>
          <w:rFonts w:eastAsia="Times New Roman"/>
        </w:rPr>
      </w:pPr>
      <w:r>
        <w:rPr>
          <w:rFonts w:eastAsia="Times New Roman"/>
          <w:color w:val="000000"/>
          <w:sz w:val="20"/>
          <w:szCs w:val="20"/>
        </w:rPr>
        <w:t xml:space="preserve">The list of exhibits </w:t>
      </w:r>
      <w:r>
        <w:rPr>
          <w:rFonts w:eastAsia="Times New Roman"/>
          <w:color w:val="000000"/>
          <w:sz w:val="20"/>
          <w:szCs w:val="20"/>
        </w:rPr>
        <w:t>required by Item 601 of Regulation S-K and filed as part of this Report is set forth in the Exhibit Index</w:t>
      </w:r>
      <w:r>
        <w:rPr>
          <w:rFonts w:eastAsia="Times New Roman"/>
          <w:color w:val="000000"/>
          <w:sz w:val="20"/>
          <w:szCs w:val="20"/>
        </w:rPr>
        <w:t>.</w:t>
      </w:r>
    </w:p>
    <w:p w14:paraId="0EAE6613" w14:textId="77777777" w:rsidR="00000000" w:rsidRDefault="00195E73">
      <w:pPr>
        <w:divId w:val="289822414"/>
        <w:rPr>
          <w:rFonts w:eastAsia="Times New Roman"/>
        </w:rPr>
      </w:pPr>
    </w:p>
    <w:p w14:paraId="538E98F4" w14:textId="77777777" w:rsidR="00000000" w:rsidRDefault="00195E73">
      <w:pPr>
        <w:divId w:val="848329728"/>
        <w:rPr>
          <w:rFonts w:eastAsia="Times New Roman"/>
        </w:rPr>
      </w:pPr>
    </w:p>
    <w:p w14:paraId="208EAF5F" w14:textId="77777777" w:rsidR="00000000" w:rsidRDefault="00195E73">
      <w:pPr>
        <w:divId w:val="1032340772"/>
        <w:rPr>
          <w:rFonts w:eastAsia="Times New Roman"/>
        </w:rPr>
      </w:pPr>
      <w:r>
        <w:rPr>
          <w:rFonts w:eastAsia="Times New Roman"/>
          <w:b/>
          <w:bCs/>
          <w:color w:val="000000"/>
          <w:sz w:val="20"/>
          <w:szCs w:val="20"/>
        </w:rPr>
        <w:t>Item 16. Form 10-K Summary</w:t>
      </w:r>
      <w:r>
        <w:rPr>
          <w:rFonts w:eastAsia="Times New Roman"/>
          <w:b/>
          <w:bCs/>
          <w:color w:val="000000"/>
          <w:sz w:val="20"/>
          <w:szCs w:val="20"/>
        </w:rPr>
        <w:t>.</w:t>
      </w:r>
    </w:p>
    <w:p w14:paraId="1CEA841D" w14:textId="77777777" w:rsidR="00000000" w:rsidRDefault="00195E73">
      <w:pPr>
        <w:ind w:firstLine="405"/>
        <w:divId w:val="180974360"/>
        <w:rPr>
          <w:rFonts w:eastAsia="Times New Roman"/>
        </w:rPr>
      </w:pPr>
      <w:r>
        <w:rPr>
          <w:rFonts w:eastAsia="Times New Roman"/>
          <w:color w:val="000000"/>
          <w:sz w:val="20"/>
          <w:szCs w:val="20"/>
        </w:rPr>
        <w:t>None</w:t>
      </w:r>
      <w:r>
        <w:rPr>
          <w:rFonts w:eastAsia="Times New Roman"/>
          <w:color w:val="000000"/>
          <w:sz w:val="20"/>
          <w:szCs w:val="20"/>
        </w:rPr>
        <w:t>.</w:t>
      </w:r>
    </w:p>
    <w:p w14:paraId="6BDB13A4" w14:textId="77777777" w:rsidR="00000000" w:rsidRDefault="00195E73">
      <w:pPr>
        <w:divId w:val="213664149"/>
        <w:rPr>
          <w:rFonts w:eastAsia="Times New Roman"/>
        </w:rPr>
      </w:pPr>
    </w:p>
    <w:p w14:paraId="4E8D62E1" w14:textId="77777777" w:rsidR="00000000" w:rsidRDefault="00195E73">
      <w:pPr>
        <w:jc w:val="center"/>
        <w:divId w:val="220872827"/>
        <w:rPr>
          <w:rFonts w:eastAsia="Times New Roman"/>
        </w:rPr>
      </w:pPr>
      <w:r>
        <w:rPr>
          <w:rFonts w:eastAsia="Times New Roman"/>
          <w:color w:val="000000"/>
          <w:sz w:val="20"/>
          <w:szCs w:val="20"/>
        </w:rPr>
        <w:t>13</w:t>
      </w:r>
      <w:r>
        <w:rPr>
          <w:rFonts w:eastAsia="Times New Roman"/>
          <w:color w:val="000000"/>
          <w:sz w:val="20"/>
          <w:szCs w:val="20"/>
        </w:rPr>
        <w:t>2</w:t>
      </w:r>
    </w:p>
    <w:p w14:paraId="21172596" w14:textId="77777777" w:rsidR="00000000" w:rsidRDefault="00195E73">
      <w:pPr>
        <w:rPr>
          <w:rFonts w:eastAsia="Times New Roman"/>
        </w:rPr>
      </w:pPr>
      <w:r>
        <w:rPr>
          <w:rFonts w:eastAsia="Times New Roman"/>
        </w:rPr>
        <w:pict w14:anchorId="27058388">
          <v:rect id="_x0000_i1158" style="width:0;height:1.5pt" o:hralign="center" o:hrstd="t" o:hr="t" fillcolor="#a0a0a0" stroked="f"/>
        </w:pict>
      </w:r>
    </w:p>
    <w:p w14:paraId="1009A8C9" w14:textId="77777777" w:rsidR="00000000" w:rsidRDefault="00195E73">
      <w:pPr>
        <w:divId w:val="1559629195"/>
        <w:rPr>
          <w:rFonts w:eastAsia="Times New Roman"/>
        </w:rPr>
      </w:pPr>
    </w:p>
    <w:p w14:paraId="5D9CF0D3" w14:textId="77777777" w:rsidR="00000000" w:rsidRDefault="00195E73">
      <w:pPr>
        <w:jc w:val="center"/>
        <w:divId w:val="1328631769"/>
        <w:rPr>
          <w:rFonts w:eastAsia="Times New Roman"/>
        </w:rPr>
      </w:pPr>
      <w:r>
        <w:rPr>
          <w:rFonts w:eastAsia="Times New Roman"/>
          <w:b/>
          <w:bCs/>
          <w:color w:val="000000"/>
          <w:sz w:val="20"/>
          <w:szCs w:val="20"/>
        </w:rPr>
        <w:t xml:space="preserve">SCHEDULE </w:t>
      </w:r>
      <w:r>
        <w:rPr>
          <w:rFonts w:eastAsia="Times New Roman"/>
          <w:b/>
          <w:bCs/>
          <w:color w:val="000000"/>
          <w:sz w:val="20"/>
          <w:szCs w:val="20"/>
        </w:rPr>
        <w:t>I</w:t>
      </w:r>
    </w:p>
    <w:p w14:paraId="68CFA544" w14:textId="77777777" w:rsidR="00000000" w:rsidRDefault="00195E73">
      <w:pPr>
        <w:jc w:val="center"/>
        <w:rPr>
          <w:rFonts w:eastAsia="Times New Roman"/>
        </w:rPr>
      </w:pPr>
    </w:p>
    <w:p w14:paraId="01042103" w14:textId="77777777" w:rsidR="00000000" w:rsidRDefault="00195E73">
      <w:pPr>
        <w:jc w:val="center"/>
        <w:rPr>
          <w:rFonts w:eastAsia="Times New Roman"/>
        </w:rPr>
      </w:pPr>
      <w:r>
        <w:rPr>
          <w:rFonts w:eastAsia="Times New Roman"/>
          <w:b/>
          <w:bCs/>
          <w:color w:val="000000"/>
          <w:sz w:val="20"/>
          <w:szCs w:val="20"/>
        </w:rPr>
        <w:t>ICAHN ENTERPRISES, L.P</w:t>
      </w:r>
      <w:r>
        <w:rPr>
          <w:rFonts w:eastAsia="Times New Roman"/>
          <w:b/>
          <w:bCs/>
          <w:color w:val="000000"/>
          <w:sz w:val="20"/>
          <w:szCs w:val="20"/>
        </w:rPr>
        <w:t>.</w:t>
      </w:r>
    </w:p>
    <w:p w14:paraId="16731482" w14:textId="77777777" w:rsidR="00000000" w:rsidRDefault="00195E73">
      <w:pPr>
        <w:jc w:val="center"/>
        <w:rPr>
          <w:rFonts w:eastAsia="Times New Roman"/>
        </w:rPr>
      </w:pPr>
      <w:r>
        <w:rPr>
          <w:rFonts w:eastAsia="Times New Roman"/>
          <w:b/>
          <w:bCs/>
          <w:color w:val="000000"/>
          <w:sz w:val="20"/>
          <w:szCs w:val="20"/>
        </w:rPr>
        <w:t>(Parent Company</w:t>
      </w:r>
      <w:r>
        <w:rPr>
          <w:rFonts w:eastAsia="Times New Roman"/>
          <w:b/>
          <w:bCs/>
          <w:color w:val="000000"/>
          <w:sz w:val="20"/>
          <w:szCs w:val="20"/>
        </w:rPr>
        <w:t>)</w:t>
      </w:r>
    </w:p>
    <w:p w14:paraId="57E67D58" w14:textId="77777777" w:rsidR="00000000" w:rsidRDefault="00195E73">
      <w:pPr>
        <w:jc w:val="center"/>
        <w:rPr>
          <w:rFonts w:eastAsia="Times New Roman"/>
        </w:rPr>
      </w:pPr>
    </w:p>
    <w:p w14:paraId="40636E33" w14:textId="77777777" w:rsidR="00000000" w:rsidRDefault="00195E73">
      <w:pPr>
        <w:jc w:val="center"/>
        <w:rPr>
          <w:rFonts w:eastAsia="Times New Roman"/>
        </w:rPr>
      </w:pPr>
      <w:r>
        <w:rPr>
          <w:rFonts w:eastAsia="Times New Roman"/>
          <w:b/>
          <w:bCs/>
          <w:color w:val="000000"/>
          <w:sz w:val="20"/>
          <w:szCs w:val="20"/>
        </w:rPr>
        <w:t>CONDENSED BALANCE SHEET</w:t>
      </w:r>
      <w:r>
        <w:rPr>
          <w:rFonts w:eastAsia="Times New Roman"/>
          <w:b/>
          <w:bCs/>
          <w:color w:val="000000"/>
          <w:sz w:val="20"/>
          <w:szCs w:val="20"/>
        </w:rPr>
        <w:t>S</w:t>
      </w:r>
    </w:p>
    <w:p w14:paraId="418778CA" w14:textId="77777777" w:rsidR="00000000" w:rsidRDefault="00195E73">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51"/>
        <w:gridCol w:w="5439"/>
        <w:gridCol w:w="52"/>
        <w:gridCol w:w="135"/>
        <w:gridCol w:w="993"/>
        <w:gridCol w:w="85"/>
        <w:gridCol w:w="36"/>
        <w:gridCol w:w="37"/>
        <w:gridCol w:w="36"/>
        <w:gridCol w:w="135"/>
        <w:gridCol w:w="993"/>
        <w:gridCol w:w="85"/>
        <w:gridCol w:w="36"/>
        <w:gridCol w:w="36"/>
        <w:gridCol w:w="36"/>
        <w:gridCol w:w="36"/>
        <w:gridCol w:w="36"/>
        <w:gridCol w:w="36"/>
      </w:tblGrid>
      <w:tr w:rsidR="00000000" w14:paraId="0FC7B444" w14:textId="77777777">
        <w:trPr>
          <w:gridAfter w:val="6"/>
          <w:divId w:val="1746029058"/>
          <w:jc w:val="center"/>
        </w:trPr>
        <w:tc>
          <w:tcPr>
            <w:tcW w:w="50" w:type="pct"/>
            <w:vAlign w:val="center"/>
            <w:hideMark/>
          </w:tcPr>
          <w:p w14:paraId="0531A432" w14:textId="77777777" w:rsidR="00000000" w:rsidRDefault="00195E73">
            <w:pPr>
              <w:jc w:val="center"/>
              <w:rPr>
                <w:rFonts w:eastAsia="Times New Roman"/>
              </w:rPr>
            </w:pPr>
          </w:p>
        </w:tc>
        <w:tc>
          <w:tcPr>
            <w:tcW w:w="3384" w:type="pct"/>
            <w:vAlign w:val="center"/>
            <w:hideMark/>
          </w:tcPr>
          <w:p w14:paraId="5C74B83A" w14:textId="77777777" w:rsidR="00000000" w:rsidRDefault="00195E73">
            <w:pPr>
              <w:rPr>
                <w:rFonts w:eastAsia="Times New Roman"/>
                <w:sz w:val="20"/>
                <w:szCs w:val="20"/>
              </w:rPr>
            </w:pPr>
          </w:p>
        </w:tc>
        <w:tc>
          <w:tcPr>
            <w:tcW w:w="50" w:type="pct"/>
            <w:vAlign w:val="center"/>
            <w:hideMark/>
          </w:tcPr>
          <w:p w14:paraId="04CC6D67" w14:textId="77777777" w:rsidR="00000000" w:rsidRDefault="00195E73">
            <w:pPr>
              <w:rPr>
                <w:rFonts w:eastAsia="Times New Roman"/>
                <w:sz w:val="20"/>
                <w:szCs w:val="20"/>
              </w:rPr>
            </w:pPr>
          </w:p>
        </w:tc>
        <w:tc>
          <w:tcPr>
            <w:tcW w:w="50" w:type="pct"/>
            <w:vAlign w:val="center"/>
            <w:hideMark/>
          </w:tcPr>
          <w:p w14:paraId="318DC436" w14:textId="77777777" w:rsidR="00000000" w:rsidRDefault="00195E73">
            <w:pPr>
              <w:rPr>
                <w:rFonts w:eastAsia="Times New Roman"/>
                <w:sz w:val="20"/>
                <w:szCs w:val="20"/>
              </w:rPr>
            </w:pPr>
          </w:p>
        </w:tc>
        <w:tc>
          <w:tcPr>
            <w:tcW w:w="632" w:type="pct"/>
            <w:vAlign w:val="center"/>
            <w:hideMark/>
          </w:tcPr>
          <w:p w14:paraId="26AD2383" w14:textId="77777777" w:rsidR="00000000" w:rsidRDefault="00195E73">
            <w:pPr>
              <w:rPr>
                <w:rFonts w:eastAsia="Times New Roman"/>
                <w:sz w:val="20"/>
                <w:szCs w:val="20"/>
              </w:rPr>
            </w:pPr>
          </w:p>
        </w:tc>
        <w:tc>
          <w:tcPr>
            <w:tcW w:w="50" w:type="pct"/>
            <w:vAlign w:val="center"/>
            <w:hideMark/>
          </w:tcPr>
          <w:p w14:paraId="5B380E89" w14:textId="77777777" w:rsidR="00000000" w:rsidRDefault="00195E73">
            <w:pPr>
              <w:rPr>
                <w:rFonts w:eastAsia="Times New Roman"/>
                <w:sz w:val="20"/>
                <w:szCs w:val="20"/>
              </w:rPr>
            </w:pPr>
          </w:p>
        </w:tc>
        <w:tc>
          <w:tcPr>
            <w:tcW w:w="5" w:type="pct"/>
            <w:vAlign w:val="center"/>
            <w:hideMark/>
          </w:tcPr>
          <w:p w14:paraId="10929595" w14:textId="77777777" w:rsidR="00000000" w:rsidRDefault="00195E73">
            <w:pPr>
              <w:rPr>
                <w:rFonts w:eastAsia="Times New Roman"/>
                <w:sz w:val="20"/>
                <w:szCs w:val="20"/>
              </w:rPr>
            </w:pPr>
          </w:p>
        </w:tc>
        <w:tc>
          <w:tcPr>
            <w:tcW w:w="41" w:type="pct"/>
            <w:vAlign w:val="center"/>
            <w:hideMark/>
          </w:tcPr>
          <w:p w14:paraId="6281399D" w14:textId="77777777" w:rsidR="00000000" w:rsidRDefault="00195E73">
            <w:pPr>
              <w:rPr>
                <w:rFonts w:eastAsia="Times New Roman"/>
                <w:sz w:val="20"/>
                <w:szCs w:val="20"/>
              </w:rPr>
            </w:pPr>
          </w:p>
        </w:tc>
        <w:tc>
          <w:tcPr>
            <w:tcW w:w="5" w:type="pct"/>
            <w:vAlign w:val="center"/>
            <w:hideMark/>
          </w:tcPr>
          <w:p w14:paraId="128C16A0" w14:textId="77777777" w:rsidR="00000000" w:rsidRDefault="00195E73">
            <w:pPr>
              <w:rPr>
                <w:rFonts w:eastAsia="Times New Roman"/>
                <w:sz w:val="20"/>
                <w:szCs w:val="20"/>
              </w:rPr>
            </w:pPr>
          </w:p>
        </w:tc>
        <w:tc>
          <w:tcPr>
            <w:tcW w:w="50" w:type="pct"/>
            <w:vAlign w:val="center"/>
            <w:hideMark/>
          </w:tcPr>
          <w:p w14:paraId="234CC2C1" w14:textId="77777777" w:rsidR="00000000" w:rsidRDefault="00195E73">
            <w:pPr>
              <w:rPr>
                <w:rFonts w:eastAsia="Times New Roman"/>
                <w:sz w:val="20"/>
                <w:szCs w:val="20"/>
              </w:rPr>
            </w:pPr>
          </w:p>
        </w:tc>
        <w:tc>
          <w:tcPr>
            <w:tcW w:w="632" w:type="pct"/>
            <w:vAlign w:val="center"/>
            <w:hideMark/>
          </w:tcPr>
          <w:p w14:paraId="52D83CA8" w14:textId="77777777" w:rsidR="00000000" w:rsidRDefault="00195E73">
            <w:pPr>
              <w:rPr>
                <w:rFonts w:eastAsia="Times New Roman"/>
                <w:sz w:val="20"/>
                <w:szCs w:val="20"/>
              </w:rPr>
            </w:pPr>
          </w:p>
        </w:tc>
        <w:tc>
          <w:tcPr>
            <w:tcW w:w="50" w:type="pct"/>
            <w:vAlign w:val="center"/>
            <w:hideMark/>
          </w:tcPr>
          <w:p w14:paraId="4C9BCB01" w14:textId="77777777" w:rsidR="00000000" w:rsidRDefault="00195E73">
            <w:pPr>
              <w:rPr>
                <w:rFonts w:eastAsia="Times New Roman"/>
                <w:sz w:val="20"/>
                <w:szCs w:val="20"/>
              </w:rPr>
            </w:pPr>
          </w:p>
        </w:tc>
      </w:tr>
      <w:tr w:rsidR="00000000" w14:paraId="77014990" w14:textId="77777777">
        <w:trPr>
          <w:divId w:val="1746029058"/>
          <w:jc w:val="center"/>
        </w:trPr>
        <w:tc>
          <w:tcPr>
            <w:tcW w:w="0" w:type="auto"/>
            <w:gridSpan w:val="3"/>
            <w:tcMar>
              <w:top w:w="15" w:type="dxa"/>
              <w:left w:w="20" w:type="dxa"/>
              <w:bottom w:w="15" w:type="dxa"/>
              <w:right w:w="20" w:type="dxa"/>
            </w:tcMar>
            <w:vAlign w:val="bottom"/>
            <w:hideMark/>
          </w:tcPr>
          <w:p w14:paraId="7B5B5271"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7976ACA9"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58CADA16" w14:textId="77777777" w:rsidR="00000000" w:rsidRDefault="00195E73">
            <w:pPr>
              <w:jc w:val="center"/>
              <w:rPr>
                <w:rFonts w:eastAsia="Times New Roman"/>
              </w:rPr>
            </w:pPr>
          </w:p>
        </w:tc>
        <w:tc>
          <w:tcPr>
            <w:tcW w:w="0" w:type="auto"/>
            <w:gridSpan w:val="3"/>
            <w:vAlign w:val="center"/>
            <w:hideMark/>
          </w:tcPr>
          <w:p w14:paraId="791D6038" w14:textId="77777777" w:rsidR="00000000" w:rsidRDefault="00195E73">
            <w:pPr>
              <w:rPr>
                <w:rFonts w:eastAsia="Times New Roman"/>
                <w:sz w:val="20"/>
                <w:szCs w:val="20"/>
              </w:rPr>
            </w:pPr>
          </w:p>
        </w:tc>
      </w:tr>
      <w:tr w:rsidR="00000000" w14:paraId="41A9433D" w14:textId="77777777">
        <w:trPr>
          <w:divId w:val="1746029058"/>
          <w:jc w:val="center"/>
        </w:trPr>
        <w:tc>
          <w:tcPr>
            <w:tcW w:w="0" w:type="auto"/>
            <w:gridSpan w:val="3"/>
            <w:tcMar>
              <w:top w:w="15" w:type="dxa"/>
              <w:left w:w="20" w:type="dxa"/>
              <w:bottom w:w="15" w:type="dxa"/>
              <w:right w:w="20" w:type="dxa"/>
            </w:tcMar>
            <w:vAlign w:val="bottom"/>
            <w:hideMark/>
          </w:tcPr>
          <w:p w14:paraId="07701805"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256314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6FADA392"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690129"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1E5E7C1B" w14:textId="77777777" w:rsidR="00000000" w:rsidRDefault="00195E73">
            <w:pPr>
              <w:rPr>
                <w:rFonts w:eastAsia="Times New Roman"/>
                <w:sz w:val="20"/>
                <w:szCs w:val="20"/>
              </w:rPr>
            </w:pPr>
          </w:p>
        </w:tc>
        <w:tc>
          <w:tcPr>
            <w:tcW w:w="0" w:type="auto"/>
            <w:vAlign w:val="center"/>
            <w:hideMark/>
          </w:tcPr>
          <w:p w14:paraId="29CBD52D" w14:textId="77777777" w:rsidR="00000000" w:rsidRDefault="00195E73">
            <w:pPr>
              <w:rPr>
                <w:rFonts w:eastAsia="Times New Roman"/>
                <w:sz w:val="20"/>
                <w:szCs w:val="20"/>
              </w:rPr>
            </w:pPr>
          </w:p>
        </w:tc>
        <w:tc>
          <w:tcPr>
            <w:tcW w:w="0" w:type="auto"/>
            <w:vAlign w:val="center"/>
            <w:hideMark/>
          </w:tcPr>
          <w:p w14:paraId="0BBDF020" w14:textId="77777777" w:rsidR="00000000" w:rsidRDefault="00195E73">
            <w:pPr>
              <w:rPr>
                <w:rFonts w:eastAsia="Times New Roman"/>
                <w:sz w:val="20"/>
                <w:szCs w:val="20"/>
              </w:rPr>
            </w:pPr>
          </w:p>
        </w:tc>
        <w:tc>
          <w:tcPr>
            <w:tcW w:w="0" w:type="auto"/>
            <w:vAlign w:val="center"/>
            <w:hideMark/>
          </w:tcPr>
          <w:p w14:paraId="10B1A7C3" w14:textId="77777777" w:rsidR="00000000" w:rsidRDefault="00195E73">
            <w:pPr>
              <w:rPr>
                <w:rFonts w:eastAsia="Times New Roman"/>
                <w:sz w:val="20"/>
                <w:szCs w:val="20"/>
              </w:rPr>
            </w:pPr>
          </w:p>
        </w:tc>
        <w:tc>
          <w:tcPr>
            <w:tcW w:w="0" w:type="auto"/>
            <w:vAlign w:val="center"/>
            <w:hideMark/>
          </w:tcPr>
          <w:p w14:paraId="0A7D96CB" w14:textId="77777777" w:rsidR="00000000" w:rsidRDefault="00195E73">
            <w:pPr>
              <w:rPr>
                <w:rFonts w:eastAsia="Times New Roman"/>
                <w:sz w:val="20"/>
                <w:szCs w:val="20"/>
              </w:rPr>
            </w:pPr>
          </w:p>
        </w:tc>
        <w:tc>
          <w:tcPr>
            <w:tcW w:w="0" w:type="auto"/>
            <w:vAlign w:val="center"/>
            <w:hideMark/>
          </w:tcPr>
          <w:p w14:paraId="0F0EB102" w14:textId="77777777" w:rsidR="00000000" w:rsidRDefault="00195E73">
            <w:pPr>
              <w:rPr>
                <w:rFonts w:eastAsia="Times New Roman"/>
                <w:sz w:val="20"/>
                <w:szCs w:val="20"/>
              </w:rPr>
            </w:pPr>
          </w:p>
        </w:tc>
      </w:tr>
      <w:tr w:rsidR="00000000" w14:paraId="0C01DB98" w14:textId="77777777">
        <w:trPr>
          <w:divId w:val="1746029058"/>
          <w:jc w:val="center"/>
        </w:trPr>
        <w:tc>
          <w:tcPr>
            <w:tcW w:w="0" w:type="auto"/>
            <w:gridSpan w:val="3"/>
            <w:tcMar>
              <w:top w:w="15" w:type="dxa"/>
              <w:left w:w="20" w:type="dxa"/>
              <w:bottom w:w="15" w:type="dxa"/>
              <w:right w:w="20" w:type="dxa"/>
            </w:tcMar>
            <w:vAlign w:val="bottom"/>
            <w:hideMark/>
          </w:tcPr>
          <w:p w14:paraId="158546C4"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4F88B3F" w14:textId="77777777" w:rsidR="00000000" w:rsidRDefault="00195E73">
            <w:pPr>
              <w:jc w:val="center"/>
              <w:rPr>
                <w:rFonts w:eastAsia="Times New Roman"/>
              </w:rPr>
            </w:pPr>
            <w:r>
              <w:rPr>
                <w:rFonts w:eastAsia="Times New Roman"/>
                <w:color w:val="000000"/>
                <w:sz w:val="16"/>
                <w:szCs w:val="16"/>
              </w:rPr>
              <w:t>(In millions, except unit amounts</w:t>
            </w:r>
            <w:r>
              <w:rPr>
                <w:rFonts w:eastAsia="Times New Roman"/>
                <w:color w:val="000000"/>
                <w:sz w:val="16"/>
                <w:szCs w:val="16"/>
              </w:rPr>
              <w:t>)</w:t>
            </w:r>
          </w:p>
        </w:tc>
        <w:tc>
          <w:tcPr>
            <w:tcW w:w="0" w:type="auto"/>
            <w:gridSpan w:val="3"/>
            <w:vAlign w:val="center"/>
            <w:hideMark/>
          </w:tcPr>
          <w:p w14:paraId="3E02B2A6" w14:textId="77777777" w:rsidR="00000000" w:rsidRDefault="00195E73">
            <w:pPr>
              <w:jc w:val="center"/>
              <w:rPr>
                <w:rFonts w:eastAsia="Times New Roman"/>
              </w:rPr>
            </w:pPr>
          </w:p>
        </w:tc>
        <w:tc>
          <w:tcPr>
            <w:tcW w:w="0" w:type="auto"/>
            <w:gridSpan w:val="3"/>
            <w:vAlign w:val="center"/>
            <w:hideMark/>
          </w:tcPr>
          <w:p w14:paraId="088C5E14" w14:textId="77777777" w:rsidR="00000000" w:rsidRDefault="00195E73">
            <w:pPr>
              <w:rPr>
                <w:rFonts w:eastAsia="Times New Roman"/>
                <w:sz w:val="20"/>
                <w:szCs w:val="20"/>
              </w:rPr>
            </w:pPr>
          </w:p>
        </w:tc>
      </w:tr>
      <w:tr w:rsidR="00000000" w14:paraId="7248F2DD" w14:textId="77777777">
        <w:trPr>
          <w:divId w:val="1746029058"/>
          <w:jc w:val="center"/>
        </w:trPr>
        <w:tc>
          <w:tcPr>
            <w:tcW w:w="0" w:type="auto"/>
            <w:gridSpan w:val="3"/>
            <w:tcMar>
              <w:top w:w="30" w:type="dxa"/>
              <w:left w:w="20" w:type="dxa"/>
              <w:bottom w:w="30" w:type="dxa"/>
              <w:right w:w="20" w:type="dxa"/>
            </w:tcMar>
            <w:vAlign w:val="bottom"/>
            <w:hideMark/>
          </w:tcPr>
          <w:p w14:paraId="3E51FDC8" w14:textId="77777777" w:rsidR="00000000" w:rsidRDefault="00195E73">
            <w:pPr>
              <w:jc w:val="cente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14:paraId="6A81B7E5" w14:textId="77777777" w:rsidR="00000000" w:rsidRDefault="00195E73">
            <w:pPr>
              <w:jc w:val="center"/>
              <w:rPr>
                <w:rFonts w:eastAsia="Times New Roman"/>
              </w:rPr>
            </w:pPr>
          </w:p>
        </w:tc>
        <w:tc>
          <w:tcPr>
            <w:tcW w:w="0" w:type="auto"/>
            <w:gridSpan w:val="3"/>
            <w:tcMar>
              <w:top w:w="15" w:type="dxa"/>
              <w:left w:w="20" w:type="dxa"/>
              <w:bottom w:w="15" w:type="dxa"/>
              <w:right w:w="20" w:type="dxa"/>
            </w:tcMar>
            <w:vAlign w:val="bottom"/>
            <w:hideMark/>
          </w:tcPr>
          <w:p w14:paraId="0D78CF05"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EAAABD6" w14:textId="77777777" w:rsidR="00000000" w:rsidRDefault="00195E73">
            <w:pPr>
              <w:rPr>
                <w:rFonts w:eastAsia="Times New Roman"/>
                <w:sz w:val="20"/>
                <w:szCs w:val="20"/>
              </w:rPr>
            </w:pPr>
          </w:p>
        </w:tc>
        <w:tc>
          <w:tcPr>
            <w:tcW w:w="0" w:type="auto"/>
            <w:vAlign w:val="center"/>
            <w:hideMark/>
          </w:tcPr>
          <w:p w14:paraId="248F135A" w14:textId="77777777" w:rsidR="00000000" w:rsidRDefault="00195E73">
            <w:pPr>
              <w:rPr>
                <w:rFonts w:eastAsia="Times New Roman"/>
                <w:sz w:val="20"/>
                <w:szCs w:val="20"/>
              </w:rPr>
            </w:pPr>
          </w:p>
        </w:tc>
        <w:tc>
          <w:tcPr>
            <w:tcW w:w="0" w:type="auto"/>
            <w:vAlign w:val="center"/>
            <w:hideMark/>
          </w:tcPr>
          <w:p w14:paraId="1FE618AC" w14:textId="77777777" w:rsidR="00000000" w:rsidRDefault="00195E73">
            <w:pPr>
              <w:rPr>
                <w:rFonts w:eastAsia="Times New Roman"/>
                <w:sz w:val="20"/>
                <w:szCs w:val="20"/>
              </w:rPr>
            </w:pPr>
          </w:p>
        </w:tc>
        <w:tc>
          <w:tcPr>
            <w:tcW w:w="0" w:type="auto"/>
            <w:vAlign w:val="center"/>
            <w:hideMark/>
          </w:tcPr>
          <w:p w14:paraId="594D4212" w14:textId="77777777" w:rsidR="00000000" w:rsidRDefault="00195E73">
            <w:pPr>
              <w:rPr>
                <w:rFonts w:eastAsia="Times New Roman"/>
                <w:sz w:val="20"/>
                <w:szCs w:val="20"/>
              </w:rPr>
            </w:pPr>
          </w:p>
        </w:tc>
        <w:tc>
          <w:tcPr>
            <w:tcW w:w="0" w:type="auto"/>
            <w:vAlign w:val="center"/>
            <w:hideMark/>
          </w:tcPr>
          <w:p w14:paraId="03EC803D" w14:textId="77777777" w:rsidR="00000000" w:rsidRDefault="00195E73">
            <w:pPr>
              <w:rPr>
                <w:rFonts w:eastAsia="Times New Roman"/>
                <w:sz w:val="20"/>
                <w:szCs w:val="20"/>
              </w:rPr>
            </w:pPr>
          </w:p>
        </w:tc>
        <w:tc>
          <w:tcPr>
            <w:tcW w:w="0" w:type="auto"/>
            <w:vAlign w:val="center"/>
            <w:hideMark/>
          </w:tcPr>
          <w:p w14:paraId="23005384" w14:textId="77777777" w:rsidR="00000000" w:rsidRDefault="00195E73">
            <w:pPr>
              <w:rPr>
                <w:rFonts w:eastAsia="Times New Roman"/>
                <w:sz w:val="20"/>
                <w:szCs w:val="20"/>
              </w:rPr>
            </w:pPr>
          </w:p>
        </w:tc>
        <w:tc>
          <w:tcPr>
            <w:tcW w:w="0" w:type="auto"/>
            <w:vAlign w:val="center"/>
            <w:hideMark/>
          </w:tcPr>
          <w:p w14:paraId="5E90C100" w14:textId="77777777" w:rsidR="00000000" w:rsidRDefault="00195E73">
            <w:pPr>
              <w:rPr>
                <w:rFonts w:eastAsia="Times New Roman"/>
                <w:sz w:val="20"/>
                <w:szCs w:val="20"/>
              </w:rPr>
            </w:pPr>
          </w:p>
        </w:tc>
      </w:tr>
      <w:tr w:rsidR="00000000" w14:paraId="24B83611" w14:textId="77777777">
        <w:trPr>
          <w:divId w:val="1746029058"/>
          <w:jc w:val="center"/>
        </w:trPr>
        <w:tc>
          <w:tcPr>
            <w:tcW w:w="0" w:type="auto"/>
            <w:gridSpan w:val="3"/>
            <w:shd w:val="clear" w:color="auto" w:fill="CCEEFF"/>
            <w:tcMar>
              <w:top w:w="30" w:type="dxa"/>
              <w:left w:w="20" w:type="dxa"/>
              <w:bottom w:w="30" w:type="dxa"/>
              <w:right w:w="20" w:type="dxa"/>
            </w:tcMar>
            <w:vAlign w:val="bottom"/>
            <w:hideMark/>
          </w:tcPr>
          <w:p w14:paraId="739A0EA1" w14:textId="77777777" w:rsidR="00000000" w:rsidRDefault="00195E73">
            <w:pPr>
              <w:rPr>
                <w:rFonts w:eastAsia="Times New Roman"/>
              </w:rPr>
            </w:pPr>
            <w:r>
              <w:rPr>
                <w:rFonts w:eastAsia="Times New Roman"/>
                <w:color w:val="000000"/>
                <w:sz w:val="20"/>
                <w:szCs w:val="20"/>
              </w:rPr>
              <w:t>Investments in subsidiaries, ne</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14:paraId="78302A8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ADD4AFF" w14:textId="77777777" w:rsidR="00000000" w:rsidRDefault="00195E73">
            <w:pPr>
              <w:jc w:val="right"/>
              <w:rPr>
                <w:rFonts w:eastAsia="Times New Roman"/>
              </w:rPr>
            </w:pPr>
            <w:r>
              <w:rPr>
                <w:rFonts w:eastAsia="Times New Roman"/>
                <w:color w:val="000000"/>
                <w:sz w:val="20"/>
                <w:szCs w:val="20"/>
              </w:rPr>
              <w:t>11,853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93088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BA1E0C"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C1F7C6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EF3CD7D" w14:textId="77777777" w:rsidR="00000000" w:rsidRDefault="00195E73">
            <w:pPr>
              <w:jc w:val="right"/>
              <w:rPr>
                <w:rFonts w:eastAsia="Times New Roman"/>
              </w:rPr>
            </w:pPr>
            <w:r>
              <w:rPr>
                <w:rFonts w:eastAsia="Times New Roman"/>
                <w:color w:val="000000"/>
                <w:sz w:val="20"/>
                <w:szCs w:val="20"/>
              </w:rPr>
              <w:t>12,189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A1F00F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275B5D1" w14:textId="77777777" w:rsidR="00000000" w:rsidRDefault="00195E73">
            <w:pPr>
              <w:rPr>
                <w:rFonts w:eastAsia="Times New Roman"/>
                <w:sz w:val="20"/>
                <w:szCs w:val="20"/>
              </w:rPr>
            </w:pPr>
          </w:p>
        </w:tc>
        <w:tc>
          <w:tcPr>
            <w:tcW w:w="0" w:type="auto"/>
            <w:vAlign w:val="center"/>
            <w:hideMark/>
          </w:tcPr>
          <w:p w14:paraId="48CCC68D" w14:textId="77777777" w:rsidR="00000000" w:rsidRDefault="00195E73">
            <w:pPr>
              <w:rPr>
                <w:rFonts w:eastAsia="Times New Roman"/>
                <w:sz w:val="20"/>
                <w:szCs w:val="20"/>
              </w:rPr>
            </w:pPr>
          </w:p>
        </w:tc>
        <w:tc>
          <w:tcPr>
            <w:tcW w:w="0" w:type="auto"/>
            <w:vAlign w:val="center"/>
            <w:hideMark/>
          </w:tcPr>
          <w:p w14:paraId="72E9EED4" w14:textId="77777777" w:rsidR="00000000" w:rsidRDefault="00195E73">
            <w:pPr>
              <w:rPr>
                <w:rFonts w:eastAsia="Times New Roman"/>
                <w:sz w:val="20"/>
                <w:szCs w:val="20"/>
              </w:rPr>
            </w:pPr>
          </w:p>
        </w:tc>
        <w:tc>
          <w:tcPr>
            <w:tcW w:w="0" w:type="auto"/>
            <w:vAlign w:val="center"/>
            <w:hideMark/>
          </w:tcPr>
          <w:p w14:paraId="137C3288" w14:textId="77777777" w:rsidR="00000000" w:rsidRDefault="00195E73">
            <w:pPr>
              <w:rPr>
                <w:rFonts w:eastAsia="Times New Roman"/>
                <w:sz w:val="20"/>
                <w:szCs w:val="20"/>
              </w:rPr>
            </w:pPr>
          </w:p>
        </w:tc>
        <w:tc>
          <w:tcPr>
            <w:tcW w:w="0" w:type="auto"/>
            <w:vAlign w:val="center"/>
            <w:hideMark/>
          </w:tcPr>
          <w:p w14:paraId="1EAB3418" w14:textId="77777777" w:rsidR="00000000" w:rsidRDefault="00195E73">
            <w:pPr>
              <w:rPr>
                <w:rFonts w:eastAsia="Times New Roman"/>
                <w:sz w:val="20"/>
                <w:szCs w:val="20"/>
              </w:rPr>
            </w:pPr>
          </w:p>
        </w:tc>
        <w:tc>
          <w:tcPr>
            <w:tcW w:w="0" w:type="auto"/>
            <w:vAlign w:val="center"/>
            <w:hideMark/>
          </w:tcPr>
          <w:p w14:paraId="28FA4866" w14:textId="77777777" w:rsidR="00000000" w:rsidRDefault="00195E73">
            <w:pPr>
              <w:rPr>
                <w:rFonts w:eastAsia="Times New Roman"/>
                <w:sz w:val="20"/>
                <w:szCs w:val="20"/>
              </w:rPr>
            </w:pPr>
          </w:p>
        </w:tc>
      </w:tr>
      <w:tr w:rsidR="00000000" w14:paraId="6F9C8752" w14:textId="77777777">
        <w:trPr>
          <w:divId w:val="1746029058"/>
          <w:jc w:val="center"/>
        </w:trPr>
        <w:tc>
          <w:tcPr>
            <w:tcW w:w="0" w:type="auto"/>
            <w:gridSpan w:val="3"/>
            <w:vAlign w:val="center"/>
            <w:hideMark/>
          </w:tcPr>
          <w:p w14:paraId="49FEE8D1" w14:textId="77777777" w:rsidR="00000000" w:rsidRDefault="00195E73">
            <w:pPr>
              <w:jc w:val="right"/>
              <w:rPr>
                <w:rFonts w:eastAsia="Times New Roman"/>
              </w:rPr>
            </w:pPr>
          </w:p>
        </w:tc>
        <w:tc>
          <w:tcPr>
            <w:tcW w:w="0" w:type="auto"/>
            <w:gridSpan w:val="3"/>
            <w:vAlign w:val="center"/>
            <w:hideMark/>
          </w:tcPr>
          <w:p w14:paraId="53366E12" w14:textId="77777777" w:rsidR="00000000" w:rsidRDefault="00195E73">
            <w:pPr>
              <w:rPr>
                <w:rFonts w:eastAsia="Times New Roman"/>
                <w:sz w:val="20"/>
                <w:szCs w:val="20"/>
              </w:rPr>
            </w:pPr>
          </w:p>
        </w:tc>
        <w:tc>
          <w:tcPr>
            <w:tcW w:w="0" w:type="auto"/>
            <w:gridSpan w:val="3"/>
            <w:vAlign w:val="center"/>
            <w:hideMark/>
          </w:tcPr>
          <w:p w14:paraId="6A2981B4" w14:textId="77777777" w:rsidR="00000000" w:rsidRDefault="00195E73">
            <w:pPr>
              <w:rPr>
                <w:rFonts w:eastAsia="Times New Roman"/>
                <w:sz w:val="20"/>
                <w:szCs w:val="20"/>
              </w:rPr>
            </w:pPr>
          </w:p>
        </w:tc>
        <w:tc>
          <w:tcPr>
            <w:tcW w:w="0" w:type="auto"/>
            <w:gridSpan w:val="3"/>
            <w:vAlign w:val="center"/>
            <w:hideMark/>
          </w:tcPr>
          <w:p w14:paraId="5561B613" w14:textId="77777777" w:rsidR="00000000" w:rsidRDefault="00195E73">
            <w:pPr>
              <w:rPr>
                <w:rFonts w:eastAsia="Times New Roman"/>
                <w:sz w:val="20"/>
                <w:szCs w:val="20"/>
              </w:rPr>
            </w:pPr>
          </w:p>
        </w:tc>
        <w:tc>
          <w:tcPr>
            <w:tcW w:w="0" w:type="auto"/>
            <w:vAlign w:val="center"/>
            <w:hideMark/>
          </w:tcPr>
          <w:p w14:paraId="2092CF05" w14:textId="77777777" w:rsidR="00000000" w:rsidRDefault="00195E73">
            <w:pPr>
              <w:rPr>
                <w:rFonts w:eastAsia="Times New Roman"/>
                <w:sz w:val="20"/>
                <w:szCs w:val="20"/>
              </w:rPr>
            </w:pPr>
          </w:p>
        </w:tc>
        <w:tc>
          <w:tcPr>
            <w:tcW w:w="0" w:type="auto"/>
            <w:vAlign w:val="center"/>
            <w:hideMark/>
          </w:tcPr>
          <w:p w14:paraId="3B1CBDAC" w14:textId="77777777" w:rsidR="00000000" w:rsidRDefault="00195E73">
            <w:pPr>
              <w:rPr>
                <w:rFonts w:eastAsia="Times New Roman"/>
                <w:sz w:val="20"/>
                <w:szCs w:val="20"/>
              </w:rPr>
            </w:pPr>
          </w:p>
        </w:tc>
        <w:tc>
          <w:tcPr>
            <w:tcW w:w="0" w:type="auto"/>
            <w:vAlign w:val="center"/>
            <w:hideMark/>
          </w:tcPr>
          <w:p w14:paraId="58A53491" w14:textId="77777777" w:rsidR="00000000" w:rsidRDefault="00195E73">
            <w:pPr>
              <w:rPr>
                <w:rFonts w:eastAsia="Times New Roman"/>
                <w:sz w:val="20"/>
                <w:szCs w:val="20"/>
              </w:rPr>
            </w:pPr>
          </w:p>
        </w:tc>
        <w:tc>
          <w:tcPr>
            <w:tcW w:w="0" w:type="auto"/>
            <w:vAlign w:val="center"/>
            <w:hideMark/>
          </w:tcPr>
          <w:p w14:paraId="54DE8AA6" w14:textId="77777777" w:rsidR="00000000" w:rsidRDefault="00195E73">
            <w:pPr>
              <w:rPr>
                <w:rFonts w:eastAsia="Times New Roman"/>
                <w:sz w:val="20"/>
                <w:szCs w:val="20"/>
              </w:rPr>
            </w:pPr>
          </w:p>
        </w:tc>
        <w:tc>
          <w:tcPr>
            <w:tcW w:w="0" w:type="auto"/>
            <w:vAlign w:val="center"/>
            <w:hideMark/>
          </w:tcPr>
          <w:p w14:paraId="7879D253" w14:textId="77777777" w:rsidR="00000000" w:rsidRDefault="00195E73">
            <w:pPr>
              <w:rPr>
                <w:rFonts w:eastAsia="Times New Roman"/>
                <w:sz w:val="20"/>
                <w:szCs w:val="20"/>
              </w:rPr>
            </w:pPr>
          </w:p>
        </w:tc>
        <w:tc>
          <w:tcPr>
            <w:tcW w:w="0" w:type="auto"/>
            <w:vAlign w:val="center"/>
            <w:hideMark/>
          </w:tcPr>
          <w:p w14:paraId="7486BA0D" w14:textId="77777777" w:rsidR="00000000" w:rsidRDefault="00195E73">
            <w:pPr>
              <w:rPr>
                <w:rFonts w:eastAsia="Times New Roman"/>
                <w:sz w:val="20"/>
                <w:szCs w:val="20"/>
              </w:rPr>
            </w:pPr>
          </w:p>
        </w:tc>
      </w:tr>
      <w:tr w:rsidR="00000000" w14:paraId="00C37D5D" w14:textId="77777777">
        <w:trPr>
          <w:divId w:val="1746029058"/>
          <w:jc w:val="center"/>
        </w:trPr>
        <w:tc>
          <w:tcPr>
            <w:tcW w:w="0" w:type="auto"/>
            <w:gridSpan w:val="3"/>
            <w:shd w:val="clear" w:color="auto" w:fill="FFFFFF"/>
            <w:tcMar>
              <w:top w:w="30" w:type="dxa"/>
              <w:left w:w="20" w:type="dxa"/>
              <w:bottom w:w="30" w:type="dxa"/>
              <w:right w:w="20" w:type="dxa"/>
            </w:tcMar>
            <w:vAlign w:val="bottom"/>
            <w:hideMark/>
          </w:tcPr>
          <w:p w14:paraId="630045B4" w14:textId="77777777" w:rsidR="00000000" w:rsidRDefault="00195E73">
            <w:pPr>
              <w:rPr>
                <w:rFonts w:eastAsia="Times New Roman"/>
              </w:rPr>
            </w:pPr>
            <w:r>
              <w:rPr>
                <w:rFonts w:eastAsia="Times New Roman"/>
                <w:b/>
                <w:bCs/>
                <w:color w:val="000000"/>
                <w:sz w:val="20"/>
                <w:szCs w:val="20"/>
              </w:rPr>
              <w:t>Total Asset</w:t>
            </w:r>
            <w:r>
              <w:rPr>
                <w:rFonts w:eastAsia="Times New Roman"/>
                <w:b/>
                <w:bCs/>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C7F0068"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F3F4C7A" w14:textId="77777777" w:rsidR="00000000" w:rsidRDefault="00195E73">
            <w:pPr>
              <w:jc w:val="right"/>
              <w:rPr>
                <w:rFonts w:eastAsia="Times New Roman"/>
              </w:rPr>
            </w:pPr>
            <w:r>
              <w:rPr>
                <w:rFonts w:eastAsia="Times New Roman"/>
                <w:color w:val="000000"/>
                <w:sz w:val="20"/>
                <w:szCs w:val="20"/>
              </w:rPr>
              <w:t>11,853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A65D51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AC94FE"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ADCB29B"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FBCD872" w14:textId="77777777" w:rsidR="00000000" w:rsidRDefault="00195E73">
            <w:pPr>
              <w:jc w:val="right"/>
              <w:rPr>
                <w:rFonts w:eastAsia="Times New Roman"/>
              </w:rPr>
            </w:pPr>
            <w:r>
              <w:rPr>
                <w:rFonts w:eastAsia="Times New Roman"/>
                <w:color w:val="000000"/>
                <w:sz w:val="20"/>
                <w:szCs w:val="20"/>
              </w:rPr>
              <w:t>12,189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AC87C1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84D1656" w14:textId="77777777" w:rsidR="00000000" w:rsidRDefault="00195E73">
            <w:pPr>
              <w:rPr>
                <w:rFonts w:eastAsia="Times New Roman"/>
                <w:sz w:val="20"/>
                <w:szCs w:val="20"/>
              </w:rPr>
            </w:pPr>
          </w:p>
        </w:tc>
        <w:tc>
          <w:tcPr>
            <w:tcW w:w="0" w:type="auto"/>
            <w:vAlign w:val="center"/>
            <w:hideMark/>
          </w:tcPr>
          <w:p w14:paraId="305E9984" w14:textId="77777777" w:rsidR="00000000" w:rsidRDefault="00195E73">
            <w:pPr>
              <w:rPr>
                <w:rFonts w:eastAsia="Times New Roman"/>
                <w:sz w:val="20"/>
                <w:szCs w:val="20"/>
              </w:rPr>
            </w:pPr>
          </w:p>
        </w:tc>
        <w:tc>
          <w:tcPr>
            <w:tcW w:w="0" w:type="auto"/>
            <w:vAlign w:val="center"/>
            <w:hideMark/>
          </w:tcPr>
          <w:p w14:paraId="3834203D" w14:textId="77777777" w:rsidR="00000000" w:rsidRDefault="00195E73">
            <w:pPr>
              <w:rPr>
                <w:rFonts w:eastAsia="Times New Roman"/>
                <w:sz w:val="20"/>
                <w:szCs w:val="20"/>
              </w:rPr>
            </w:pPr>
          </w:p>
        </w:tc>
        <w:tc>
          <w:tcPr>
            <w:tcW w:w="0" w:type="auto"/>
            <w:vAlign w:val="center"/>
            <w:hideMark/>
          </w:tcPr>
          <w:p w14:paraId="42C5A258" w14:textId="77777777" w:rsidR="00000000" w:rsidRDefault="00195E73">
            <w:pPr>
              <w:rPr>
                <w:rFonts w:eastAsia="Times New Roman"/>
                <w:sz w:val="20"/>
                <w:szCs w:val="20"/>
              </w:rPr>
            </w:pPr>
          </w:p>
        </w:tc>
        <w:tc>
          <w:tcPr>
            <w:tcW w:w="0" w:type="auto"/>
            <w:vAlign w:val="center"/>
            <w:hideMark/>
          </w:tcPr>
          <w:p w14:paraId="32F1F02C" w14:textId="77777777" w:rsidR="00000000" w:rsidRDefault="00195E73">
            <w:pPr>
              <w:rPr>
                <w:rFonts w:eastAsia="Times New Roman"/>
                <w:sz w:val="20"/>
                <w:szCs w:val="20"/>
              </w:rPr>
            </w:pPr>
          </w:p>
        </w:tc>
        <w:tc>
          <w:tcPr>
            <w:tcW w:w="0" w:type="auto"/>
            <w:vAlign w:val="center"/>
            <w:hideMark/>
          </w:tcPr>
          <w:p w14:paraId="06979889" w14:textId="77777777" w:rsidR="00000000" w:rsidRDefault="00195E73">
            <w:pPr>
              <w:rPr>
                <w:rFonts w:eastAsia="Times New Roman"/>
                <w:sz w:val="20"/>
                <w:szCs w:val="20"/>
              </w:rPr>
            </w:pPr>
          </w:p>
        </w:tc>
      </w:tr>
      <w:tr w:rsidR="00000000" w14:paraId="6EE14E68" w14:textId="77777777">
        <w:trPr>
          <w:divId w:val="1746029058"/>
          <w:trHeight w:val="300"/>
          <w:jc w:val="center"/>
        </w:trPr>
        <w:tc>
          <w:tcPr>
            <w:tcW w:w="0" w:type="auto"/>
            <w:gridSpan w:val="3"/>
            <w:shd w:val="clear" w:color="auto" w:fill="CCEEFF"/>
            <w:tcMar>
              <w:top w:w="15" w:type="dxa"/>
              <w:left w:w="20" w:type="dxa"/>
              <w:bottom w:w="15" w:type="dxa"/>
              <w:right w:w="20" w:type="dxa"/>
            </w:tcMar>
            <w:vAlign w:val="bottom"/>
            <w:hideMark/>
          </w:tcPr>
          <w:p w14:paraId="66AD1819" w14:textId="77777777" w:rsidR="00000000" w:rsidRDefault="00195E73">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982639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A330AAB"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532D1D28" w14:textId="77777777" w:rsidR="00000000" w:rsidRDefault="00195E73">
            <w:pPr>
              <w:rPr>
                <w:rFonts w:eastAsia="Times New Roman"/>
                <w:sz w:val="20"/>
                <w:szCs w:val="20"/>
              </w:rPr>
            </w:pPr>
          </w:p>
        </w:tc>
        <w:tc>
          <w:tcPr>
            <w:tcW w:w="0" w:type="auto"/>
            <w:vAlign w:val="center"/>
            <w:hideMark/>
          </w:tcPr>
          <w:p w14:paraId="04C47BF9" w14:textId="77777777" w:rsidR="00000000" w:rsidRDefault="00195E73">
            <w:pPr>
              <w:rPr>
                <w:rFonts w:eastAsia="Times New Roman"/>
                <w:sz w:val="20"/>
                <w:szCs w:val="20"/>
              </w:rPr>
            </w:pPr>
          </w:p>
        </w:tc>
        <w:tc>
          <w:tcPr>
            <w:tcW w:w="0" w:type="auto"/>
            <w:vAlign w:val="center"/>
            <w:hideMark/>
          </w:tcPr>
          <w:p w14:paraId="00D4BD47" w14:textId="77777777" w:rsidR="00000000" w:rsidRDefault="00195E73">
            <w:pPr>
              <w:rPr>
                <w:rFonts w:eastAsia="Times New Roman"/>
                <w:sz w:val="20"/>
                <w:szCs w:val="20"/>
              </w:rPr>
            </w:pPr>
          </w:p>
        </w:tc>
        <w:tc>
          <w:tcPr>
            <w:tcW w:w="0" w:type="auto"/>
            <w:vAlign w:val="center"/>
            <w:hideMark/>
          </w:tcPr>
          <w:p w14:paraId="7C6DFAA5" w14:textId="77777777" w:rsidR="00000000" w:rsidRDefault="00195E73">
            <w:pPr>
              <w:rPr>
                <w:rFonts w:eastAsia="Times New Roman"/>
                <w:sz w:val="20"/>
                <w:szCs w:val="20"/>
              </w:rPr>
            </w:pPr>
          </w:p>
        </w:tc>
        <w:tc>
          <w:tcPr>
            <w:tcW w:w="0" w:type="auto"/>
            <w:vAlign w:val="center"/>
            <w:hideMark/>
          </w:tcPr>
          <w:p w14:paraId="22359271" w14:textId="77777777" w:rsidR="00000000" w:rsidRDefault="00195E73">
            <w:pPr>
              <w:rPr>
                <w:rFonts w:eastAsia="Times New Roman"/>
                <w:sz w:val="20"/>
                <w:szCs w:val="20"/>
              </w:rPr>
            </w:pPr>
          </w:p>
        </w:tc>
        <w:tc>
          <w:tcPr>
            <w:tcW w:w="0" w:type="auto"/>
            <w:vAlign w:val="center"/>
            <w:hideMark/>
          </w:tcPr>
          <w:p w14:paraId="7C3FB9DC" w14:textId="77777777" w:rsidR="00000000" w:rsidRDefault="00195E73">
            <w:pPr>
              <w:rPr>
                <w:rFonts w:eastAsia="Times New Roman"/>
                <w:sz w:val="20"/>
                <w:szCs w:val="20"/>
              </w:rPr>
            </w:pPr>
          </w:p>
        </w:tc>
        <w:tc>
          <w:tcPr>
            <w:tcW w:w="0" w:type="auto"/>
            <w:vAlign w:val="center"/>
            <w:hideMark/>
          </w:tcPr>
          <w:p w14:paraId="33CA31B2" w14:textId="77777777" w:rsidR="00000000" w:rsidRDefault="00195E73">
            <w:pPr>
              <w:rPr>
                <w:rFonts w:eastAsia="Times New Roman"/>
                <w:sz w:val="20"/>
                <w:szCs w:val="20"/>
              </w:rPr>
            </w:pPr>
          </w:p>
        </w:tc>
      </w:tr>
      <w:tr w:rsidR="00000000" w14:paraId="3C95675F" w14:textId="77777777">
        <w:trPr>
          <w:divId w:val="1746029058"/>
          <w:jc w:val="center"/>
        </w:trPr>
        <w:tc>
          <w:tcPr>
            <w:tcW w:w="0" w:type="auto"/>
            <w:gridSpan w:val="3"/>
            <w:shd w:val="clear" w:color="auto" w:fill="FFFFFF"/>
            <w:tcMar>
              <w:top w:w="30" w:type="dxa"/>
              <w:left w:w="20" w:type="dxa"/>
              <w:bottom w:w="30" w:type="dxa"/>
              <w:right w:w="20" w:type="dxa"/>
            </w:tcMar>
            <w:vAlign w:val="bottom"/>
            <w:hideMark/>
          </w:tcPr>
          <w:p w14:paraId="5489D654" w14:textId="77777777" w:rsidR="00000000" w:rsidRDefault="00195E73">
            <w:pPr>
              <w:jc w:val="center"/>
              <w:rPr>
                <w:rFonts w:eastAsia="Times New Roman"/>
              </w:rPr>
            </w:pPr>
            <w:r>
              <w:rPr>
                <w:rFonts w:eastAsia="Times New Roman"/>
                <w:b/>
                <w:bCs/>
                <w:color w:val="000000"/>
                <w:sz w:val="20"/>
                <w:szCs w:val="20"/>
              </w:rPr>
              <w:t>LIABILITIES AND EQUIT</w:t>
            </w:r>
            <w:r>
              <w:rPr>
                <w:rFonts w:eastAsia="Times New Roman"/>
                <w:b/>
                <w:bCs/>
                <w:color w:val="000000"/>
                <w:sz w:val="20"/>
                <w:szCs w:val="20"/>
              </w:rPr>
              <w:t>Y</w:t>
            </w:r>
          </w:p>
        </w:tc>
        <w:tc>
          <w:tcPr>
            <w:tcW w:w="0" w:type="auto"/>
            <w:gridSpan w:val="3"/>
            <w:shd w:val="clear" w:color="auto" w:fill="FFFFFF"/>
            <w:tcMar>
              <w:top w:w="15" w:type="dxa"/>
              <w:left w:w="20" w:type="dxa"/>
              <w:bottom w:w="15" w:type="dxa"/>
              <w:right w:w="20" w:type="dxa"/>
            </w:tcMar>
            <w:vAlign w:val="bottom"/>
            <w:hideMark/>
          </w:tcPr>
          <w:p w14:paraId="46F039BE" w14:textId="77777777" w:rsidR="00000000" w:rsidRDefault="00195E73">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8E41714"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15600B4" w14:textId="77777777" w:rsidR="00000000" w:rsidRDefault="00195E73">
            <w:pPr>
              <w:rPr>
                <w:rFonts w:eastAsia="Times New Roman"/>
                <w:sz w:val="20"/>
                <w:szCs w:val="20"/>
              </w:rPr>
            </w:pPr>
          </w:p>
        </w:tc>
        <w:tc>
          <w:tcPr>
            <w:tcW w:w="0" w:type="auto"/>
            <w:vAlign w:val="center"/>
            <w:hideMark/>
          </w:tcPr>
          <w:p w14:paraId="4B65DA33" w14:textId="77777777" w:rsidR="00000000" w:rsidRDefault="00195E73">
            <w:pPr>
              <w:rPr>
                <w:rFonts w:eastAsia="Times New Roman"/>
                <w:sz w:val="20"/>
                <w:szCs w:val="20"/>
              </w:rPr>
            </w:pPr>
          </w:p>
        </w:tc>
        <w:tc>
          <w:tcPr>
            <w:tcW w:w="0" w:type="auto"/>
            <w:vAlign w:val="center"/>
            <w:hideMark/>
          </w:tcPr>
          <w:p w14:paraId="1D70A415" w14:textId="77777777" w:rsidR="00000000" w:rsidRDefault="00195E73">
            <w:pPr>
              <w:rPr>
                <w:rFonts w:eastAsia="Times New Roman"/>
                <w:sz w:val="20"/>
                <w:szCs w:val="20"/>
              </w:rPr>
            </w:pPr>
          </w:p>
        </w:tc>
        <w:tc>
          <w:tcPr>
            <w:tcW w:w="0" w:type="auto"/>
            <w:vAlign w:val="center"/>
            <w:hideMark/>
          </w:tcPr>
          <w:p w14:paraId="05536D09" w14:textId="77777777" w:rsidR="00000000" w:rsidRDefault="00195E73">
            <w:pPr>
              <w:rPr>
                <w:rFonts w:eastAsia="Times New Roman"/>
                <w:sz w:val="20"/>
                <w:szCs w:val="20"/>
              </w:rPr>
            </w:pPr>
          </w:p>
        </w:tc>
        <w:tc>
          <w:tcPr>
            <w:tcW w:w="0" w:type="auto"/>
            <w:vAlign w:val="center"/>
            <w:hideMark/>
          </w:tcPr>
          <w:p w14:paraId="6C8A969B" w14:textId="77777777" w:rsidR="00000000" w:rsidRDefault="00195E73">
            <w:pPr>
              <w:rPr>
                <w:rFonts w:eastAsia="Times New Roman"/>
                <w:sz w:val="20"/>
                <w:szCs w:val="20"/>
              </w:rPr>
            </w:pPr>
          </w:p>
        </w:tc>
        <w:tc>
          <w:tcPr>
            <w:tcW w:w="0" w:type="auto"/>
            <w:vAlign w:val="center"/>
            <w:hideMark/>
          </w:tcPr>
          <w:p w14:paraId="1BC0BC2F" w14:textId="77777777" w:rsidR="00000000" w:rsidRDefault="00195E73">
            <w:pPr>
              <w:rPr>
                <w:rFonts w:eastAsia="Times New Roman"/>
                <w:sz w:val="20"/>
                <w:szCs w:val="20"/>
              </w:rPr>
            </w:pPr>
          </w:p>
        </w:tc>
        <w:tc>
          <w:tcPr>
            <w:tcW w:w="0" w:type="auto"/>
            <w:vAlign w:val="center"/>
            <w:hideMark/>
          </w:tcPr>
          <w:p w14:paraId="4C0024ED" w14:textId="77777777" w:rsidR="00000000" w:rsidRDefault="00195E73">
            <w:pPr>
              <w:rPr>
                <w:rFonts w:eastAsia="Times New Roman"/>
                <w:sz w:val="20"/>
                <w:szCs w:val="20"/>
              </w:rPr>
            </w:pPr>
          </w:p>
        </w:tc>
      </w:tr>
      <w:tr w:rsidR="00000000" w14:paraId="7D028045" w14:textId="77777777">
        <w:trPr>
          <w:divId w:val="1746029058"/>
          <w:jc w:val="center"/>
        </w:trPr>
        <w:tc>
          <w:tcPr>
            <w:tcW w:w="0" w:type="auto"/>
            <w:gridSpan w:val="3"/>
            <w:shd w:val="clear" w:color="auto" w:fill="CCEEFF"/>
            <w:tcMar>
              <w:top w:w="30" w:type="dxa"/>
              <w:left w:w="20" w:type="dxa"/>
              <w:bottom w:w="30" w:type="dxa"/>
              <w:right w:w="20" w:type="dxa"/>
            </w:tcMar>
            <w:vAlign w:val="bottom"/>
            <w:hideMark/>
          </w:tcPr>
          <w:p w14:paraId="4AAB8818" w14:textId="77777777" w:rsidR="00000000" w:rsidRDefault="00195E73">
            <w:pPr>
              <w:rPr>
                <w:rFonts w:eastAsia="Times New Roman"/>
              </w:rPr>
            </w:pPr>
            <w:r>
              <w:rPr>
                <w:rFonts w:eastAsia="Times New Roman"/>
                <w:color w:val="000000"/>
                <w:sz w:val="20"/>
                <w:szCs w:val="20"/>
              </w:rPr>
              <w:t>Accrued expenses and other liabilitie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3190DFBB"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DE3C8B3" w14:textId="77777777" w:rsidR="00000000" w:rsidRDefault="00195E73">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97449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42FD66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A4052E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0B957F1" w14:textId="77777777" w:rsidR="00000000" w:rsidRDefault="00195E73">
            <w:pPr>
              <w:jc w:val="right"/>
              <w:rPr>
                <w:rFonts w:eastAsia="Times New Roman"/>
              </w:rPr>
            </w:pPr>
            <w:r>
              <w:rPr>
                <w:rFonts w:eastAsia="Times New Roman"/>
                <w:color w:val="000000"/>
                <w:sz w:val="20"/>
                <w:szCs w:val="20"/>
              </w:rPr>
              <w:t>124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16F5AD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7FDD7D6" w14:textId="77777777" w:rsidR="00000000" w:rsidRDefault="00195E73">
            <w:pPr>
              <w:rPr>
                <w:rFonts w:eastAsia="Times New Roman"/>
                <w:sz w:val="20"/>
                <w:szCs w:val="20"/>
              </w:rPr>
            </w:pPr>
          </w:p>
        </w:tc>
        <w:tc>
          <w:tcPr>
            <w:tcW w:w="0" w:type="auto"/>
            <w:vAlign w:val="center"/>
            <w:hideMark/>
          </w:tcPr>
          <w:p w14:paraId="304DDBE0" w14:textId="77777777" w:rsidR="00000000" w:rsidRDefault="00195E73">
            <w:pPr>
              <w:rPr>
                <w:rFonts w:eastAsia="Times New Roman"/>
                <w:sz w:val="20"/>
                <w:szCs w:val="20"/>
              </w:rPr>
            </w:pPr>
          </w:p>
        </w:tc>
        <w:tc>
          <w:tcPr>
            <w:tcW w:w="0" w:type="auto"/>
            <w:vAlign w:val="center"/>
            <w:hideMark/>
          </w:tcPr>
          <w:p w14:paraId="35F8DD84" w14:textId="77777777" w:rsidR="00000000" w:rsidRDefault="00195E73">
            <w:pPr>
              <w:rPr>
                <w:rFonts w:eastAsia="Times New Roman"/>
                <w:sz w:val="20"/>
                <w:szCs w:val="20"/>
              </w:rPr>
            </w:pPr>
          </w:p>
        </w:tc>
        <w:tc>
          <w:tcPr>
            <w:tcW w:w="0" w:type="auto"/>
            <w:vAlign w:val="center"/>
            <w:hideMark/>
          </w:tcPr>
          <w:p w14:paraId="2756F330" w14:textId="77777777" w:rsidR="00000000" w:rsidRDefault="00195E73">
            <w:pPr>
              <w:rPr>
                <w:rFonts w:eastAsia="Times New Roman"/>
                <w:sz w:val="20"/>
                <w:szCs w:val="20"/>
              </w:rPr>
            </w:pPr>
          </w:p>
        </w:tc>
        <w:tc>
          <w:tcPr>
            <w:tcW w:w="0" w:type="auto"/>
            <w:vAlign w:val="center"/>
            <w:hideMark/>
          </w:tcPr>
          <w:p w14:paraId="4DBC30EF" w14:textId="77777777" w:rsidR="00000000" w:rsidRDefault="00195E73">
            <w:pPr>
              <w:rPr>
                <w:rFonts w:eastAsia="Times New Roman"/>
                <w:sz w:val="20"/>
                <w:szCs w:val="20"/>
              </w:rPr>
            </w:pPr>
          </w:p>
        </w:tc>
        <w:tc>
          <w:tcPr>
            <w:tcW w:w="0" w:type="auto"/>
            <w:vAlign w:val="center"/>
            <w:hideMark/>
          </w:tcPr>
          <w:p w14:paraId="47AE1904" w14:textId="77777777" w:rsidR="00000000" w:rsidRDefault="00195E73">
            <w:pPr>
              <w:rPr>
                <w:rFonts w:eastAsia="Times New Roman"/>
                <w:sz w:val="20"/>
                <w:szCs w:val="20"/>
              </w:rPr>
            </w:pPr>
          </w:p>
        </w:tc>
      </w:tr>
      <w:tr w:rsidR="00000000" w14:paraId="198691A1" w14:textId="77777777">
        <w:trPr>
          <w:divId w:val="1746029058"/>
          <w:jc w:val="center"/>
        </w:trPr>
        <w:tc>
          <w:tcPr>
            <w:tcW w:w="0" w:type="auto"/>
            <w:gridSpan w:val="3"/>
            <w:shd w:val="clear" w:color="auto" w:fill="FFFFFF"/>
            <w:tcMar>
              <w:top w:w="30" w:type="dxa"/>
              <w:left w:w="20" w:type="dxa"/>
              <w:bottom w:w="30" w:type="dxa"/>
              <w:right w:w="20" w:type="dxa"/>
            </w:tcMar>
            <w:vAlign w:val="bottom"/>
            <w:hideMark/>
          </w:tcPr>
          <w:p w14:paraId="63FFE4C1" w14:textId="77777777" w:rsidR="00000000" w:rsidRDefault="00195E73">
            <w:pPr>
              <w:rPr>
                <w:rFonts w:eastAsia="Times New Roman"/>
              </w:rPr>
            </w:pPr>
            <w:r>
              <w:rPr>
                <w:rFonts w:eastAsia="Times New Roman"/>
                <w:color w:val="000000"/>
                <w:sz w:val="20"/>
                <w:szCs w:val="20"/>
              </w:rPr>
              <w:t>Deb</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6AF7AC88" w14:textId="77777777" w:rsidR="00000000" w:rsidRDefault="00195E73">
            <w:pPr>
              <w:jc w:val="right"/>
              <w:rPr>
                <w:rFonts w:eastAsia="Times New Roman"/>
              </w:rPr>
            </w:pPr>
            <w:r>
              <w:rPr>
                <w:rFonts w:eastAsia="Times New Roman"/>
                <w:color w:val="000000"/>
                <w:sz w:val="20"/>
                <w:szCs w:val="20"/>
              </w:rPr>
              <w:t>6,297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AA2D73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428267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594F64" w14:textId="77777777" w:rsidR="00000000" w:rsidRDefault="00195E73">
            <w:pPr>
              <w:jc w:val="right"/>
              <w:rPr>
                <w:rFonts w:eastAsia="Times New Roman"/>
              </w:rPr>
            </w:pPr>
            <w:r>
              <w:rPr>
                <w:rFonts w:eastAsia="Times New Roman"/>
                <w:color w:val="000000"/>
                <w:sz w:val="20"/>
                <w:szCs w:val="20"/>
              </w:rPr>
              <w:t>5,505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447A23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B261D18" w14:textId="77777777" w:rsidR="00000000" w:rsidRDefault="00195E73">
            <w:pPr>
              <w:rPr>
                <w:rFonts w:eastAsia="Times New Roman"/>
                <w:sz w:val="20"/>
                <w:szCs w:val="20"/>
              </w:rPr>
            </w:pPr>
          </w:p>
        </w:tc>
        <w:tc>
          <w:tcPr>
            <w:tcW w:w="0" w:type="auto"/>
            <w:vAlign w:val="center"/>
            <w:hideMark/>
          </w:tcPr>
          <w:p w14:paraId="0037261F" w14:textId="77777777" w:rsidR="00000000" w:rsidRDefault="00195E73">
            <w:pPr>
              <w:rPr>
                <w:rFonts w:eastAsia="Times New Roman"/>
                <w:sz w:val="20"/>
                <w:szCs w:val="20"/>
              </w:rPr>
            </w:pPr>
          </w:p>
        </w:tc>
        <w:tc>
          <w:tcPr>
            <w:tcW w:w="0" w:type="auto"/>
            <w:vAlign w:val="center"/>
            <w:hideMark/>
          </w:tcPr>
          <w:p w14:paraId="5EBE253D" w14:textId="77777777" w:rsidR="00000000" w:rsidRDefault="00195E73">
            <w:pPr>
              <w:rPr>
                <w:rFonts w:eastAsia="Times New Roman"/>
                <w:sz w:val="20"/>
                <w:szCs w:val="20"/>
              </w:rPr>
            </w:pPr>
          </w:p>
        </w:tc>
        <w:tc>
          <w:tcPr>
            <w:tcW w:w="0" w:type="auto"/>
            <w:vAlign w:val="center"/>
            <w:hideMark/>
          </w:tcPr>
          <w:p w14:paraId="3FA774EC" w14:textId="77777777" w:rsidR="00000000" w:rsidRDefault="00195E73">
            <w:pPr>
              <w:rPr>
                <w:rFonts w:eastAsia="Times New Roman"/>
                <w:sz w:val="20"/>
                <w:szCs w:val="20"/>
              </w:rPr>
            </w:pPr>
          </w:p>
        </w:tc>
        <w:tc>
          <w:tcPr>
            <w:tcW w:w="0" w:type="auto"/>
            <w:vAlign w:val="center"/>
            <w:hideMark/>
          </w:tcPr>
          <w:p w14:paraId="163D48D8" w14:textId="77777777" w:rsidR="00000000" w:rsidRDefault="00195E73">
            <w:pPr>
              <w:rPr>
                <w:rFonts w:eastAsia="Times New Roman"/>
                <w:sz w:val="20"/>
                <w:szCs w:val="20"/>
              </w:rPr>
            </w:pPr>
          </w:p>
        </w:tc>
        <w:tc>
          <w:tcPr>
            <w:tcW w:w="0" w:type="auto"/>
            <w:vAlign w:val="center"/>
            <w:hideMark/>
          </w:tcPr>
          <w:p w14:paraId="48204868" w14:textId="77777777" w:rsidR="00000000" w:rsidRDefault="00195E73">
            <w:pPr>
              <w:rPr>
                <w:rFonts w:eastAsia="Times New Roman"/>
                <w:sz w:val="20"/>
                <w:szCs w:val="20"/>
              </w:rPr>
            </w:pPr>
          </w:p>
        </w:tc>
      </w:tr>
      <w:tr w:rsidR="00000000" w14:paraId="576EC0BE" w14:textId="77777777">
        <w:trPr>
          <w:divId w:val="1746029058"/>
          <w:jc w:val="center"/>
        </w:trPr>
        <w:tc>
          <w:tcPr>
            <w:tcW w:w="0" w:type="auto"/>
            <w:gridSpan w:val="3"/>
            <w:shd w:val="clear" w:color="auto" w:fill="CCEEFF"/>
            <w:tcMar>
              <w:top w:w="15" w:type="dxa"/>
              <w:left w:w="20" w:type="dxa"/>
              <w:bottom w:w="15" w:type="dxa"/>
              <w:right w:w="20" w:type="dxa"/>
            </w:tcMar>
            <w:vAlign w:val="bottom"/>
            <w:hideMark/>
          </w:tcPr>
          <w:p w14:paraId="5A8D8AC7"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11E477" w14:textId="77777777" w:rsidR="00000000" w:rsidRDefault="00195E73">
            <w:pPr>
              <w:jc w:val="right"/>
              <w:rPr>
                <w:rFonts w:eastAsia="Times New Roman"/>
              </w:rPr>
            </w:pPr>
            <w:r>
              <w:rPr>
                <w:rFonts w:eastAsia="Times New Roman"/>
                <w:color w:val="000000"/>
                <w:sz w:val="20"/>
                <w:szCs w:val="20"/>
              </w:rPr>
              <w:t>6,397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076597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753C2FD"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6C45B2" w14:textId="77777777" w:rsidR="00000000" w:rsidRDefault="00195E73">
            <w:pPr>
              <w:jc w:val="right"/>
              <w:rPr>
                <w:rFonts w:eastAsia="Times New Roman"/>
              </w:rPr>
            </w:pPr>
            <w:r>
              <w:rPr>
                <w:rFonts w:eastAsia="Times New Roman"/>
                <w:color w:val="000000"/>
                <w:sz w:val="20"/>
                <w:szCs w:val="20"/>
              </w:rPr>
              <w:t>5,629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BBA72B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ACFA10A" w14:textId="77777777" w:rsidR="00000000" w:rsidRDefault="00195E73">
            <w:pPr>
              <w:rPr>
                <w:rFonts w:eastAsia="Times New Roman"/>
                <w:sz w:val="20"/>
                <w:szCs w:val="20"/>
              </w:rPr>
            </w:pPr>
          </w:p>
        </w:tc>
        <w:tc>
          <w:tcPr>
            <w:tcW w:w="0" w:type="auto"/>
            <w:vAlign w:val="center"/>
            <w:hideMark/>
          </w:tcPr>
          <w:p w14:paraId="5A61A5D8" w14:textId="77777777" w:rsidR="00000000" w:rsidRDefault="00195E73">
            <w:pPr>
              <w:rPr>
                <w:rFonts w:eastAsia="Times New Roman"/>
                <w:sz w:val="20"/>
                <w:szCs w:val="20"/>
              </w:rPr>
            </w:pPr>
          </w:p>
        </w:tc>
        <w:tc>
          <w:tcPr>
            <w:tcW w:w="0" w:type="auto"/>
            <w:vAlign w:val="center"/>
            <w:hideMark/>
          </w:tcPr>
          <w:p w14:paraId="6F24258F" w14:textId="77777777" w:rsidR="00000000" w:rsidRDefault="00195E73">
            <w:pPr>
              <w:rPr>
                <w:rFonts w:eastAsia="Times New Roman"/>
                <w:sz w:val="20"/>
                <w:szCs w:val="20"/>
              </w:rPr>
            </w:pPr>
          </w:p>
        </w:tc>
        <w:tc>
          <w:tcPr>
            <w:tcW w:w="0" w:type="auto"/>
            <w:vAlign w:val="center"/>
            <w:hideMark/>
          </w:tcPr>
          <w:p w14:paraId="58C1D3D6" w14:textId="77777777" w:rsidR="00000000" w:rsidRDefault="00195E73">
            <w:pPr>
              <w:rPr>
                <w:rFonts w:eastAsia="Times New Roman"/>
                <w:sz w:val="20"/>
                <w:szCs w:val="20"/>
              </w:rPr>
            </w:pPr>
          </w:p>
        </w:tc>
        <w:tc>
          <w:tcPr>
            <w:tcW w:w="0" w:type="auto"/>
            <w:vAlign w:val="center"/>
            <w:hideMark/>
          </w:tcPr>
          <w:p w14:paraId="1EE8A05F" w14:textId="77777777" w:rsidR="00000000" w:rsidRDefault="00195E73">
            <w:pPr>
              <w:rPr>
                <w:rFonts w:eastAsia="Times New Roman"/>
                <w:sz w:val="20"/>
                <w:szCs w:val="20"/>
              </w:rPr>
            </w:pPr>
          </w:p>
        </w:tc>
        <w:tc>
          <w:tcPr>
            <w:tcW w:w="0" w:type="auto"/>
            <w:vAlign w:val="center"/>
            <w:hideMark/>
          </w:tcPr>
          <w:p w14:paraId="5D5D1801" w14:textId="77777777" w:rsidR="00000000" w:rsidRDefault="00195E73">
            <w:pPr>
              <w:rPr>
                <w:rFonts w:eastAsia="Times New Roman"/>
                <w:sz w:val="20"/>
                <w:szCs w:val="20"/>
              </w:rPr>
            </w:pPr>
          </w:p>
        </w:tc>
      </w:tr>
      <w:tr w:rsidR="00000000" w14:paraId="08590B78" w14:textId="77777777">
        <w:trPr>
          <w:divId w:val="1746029058"/>
          <w:trHeight w:val="300"/>
          <w:jc w:val="center"/>
        </w:trPr>
        <w:tc>
          <w:tcPr>
            <w:tcW w:w="0" w:type="auto"/>
            <w:gridSpan w:val="3"/>
            <w:shd w:val="clear" w:color="auto" w:fill="FFFFFF"/>
            <w:tcMar>
              <w:top w:w="15" w:type="dxa"/>
              <w:left w:w="20" w:type="dxa"/>
              <w:bottom w:w="15" w:type="dxa"/>
              <w:right w:w="20" w:type="dxa"/>
            </w:tcMar>
            <w:vAlign w:val="bottom"/>
            <w:hideMark/>
          </w:tcPr>
          <w:p w14:paraId="4EE525D2" w14:textId="77777777" w:rsidR="00000000" w:rsidRDefault="00195E73">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47E8B93D"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6172BBB"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01F58538" w14:textId="77777777" w:rsidR="00000000" w:rsidRDefault="00195E73">
            <w:pPr>
              <w:rPr>
                <w:rFonts w:eastAsia="Times New Roman"/>
                <w:sz w:val="20"/>
                <w:szCs w:val="20"/>
              </w:rPr>
            </w:pPr>
          </w:p>
        </w:tc>
        <w:tc>
          <w:tcPr>
            <w:tcW w:w="0" w:type="auto"/>
            <w:vAlign w:val="center"/>
            <w:hideMark/>
          </w:tcPr>
          <w:p w14:paraId="4304787B" w14:textId="77777777" w:rsidR="00000000" w:rsidRDefault="00195E73">
            <w:pPr>
              <w:rPr>
                <w:rFonts w:eastAsia="Times New Roman"/>
                <w:sz w:val="20"/>
                <w:szCs w:val="20"/>
              </w:rPr>
            </w:pPr>
          </w:p>
        </w:tc>
        <w:tc>
          <w:tcPr>
            <w:tcW w:w="0" w:type="auto"/>
            <w:vAlign w:val="center"/>
            <w:hideMark/>
          </w:tcPr>
          <w:p w14:paraId="1D8ED6F0" w14:textId="77777777" w:rsidR="00000000" w:rsidRDefault="00195E73">
            <w:pPr>
              <w:rPr>
                <w:rFonts w:eastAsia="Times New Roman"/>
                <w:sz w:val="20"/>
                <w:szCs w:val="20"/>
              </w:rPr>
            </w:pPr>
          </w:p>
        </w:tc>
        <w:tc>
          <w:tcPr>
            <w:tcW w:w="0" w:type="auto"/>
            <w:vAlign w:val="center"/>
            <w:hideMark/>
          </w:tcPr>
          <w:p w14:paraId="0BD86DE9" w14:textId="77777777" w:rsidR="00000000" w:rsidRDefault="00195E73">
            <w:pPr>
              <w:rPr>
                <w:rFonts w:eastAsia="Times New Roman"/>
                <w:sz w:val="20"/>
                <w:szCs w:val="20"/>
              </w:rPr>
            </w:pPr>
          </w:p>
        </w:tc>
        <w:tc>
          <w:tcPr>
            <w:tcW w:w="0" w:type="auto"/>
            <w:vAlign w:val="center"/>
            <w:hideMark/>
          </w:tcPr>
          <w:p w14:paraId="08FD4A61" w14:textId="77777777" w:rsidR="00000000" w:rsidRDefault="00195E73">
            <w:pPr>
              <w:rPr>
                <w:rFonts w:eastAsia="Times New Roman"/>
                <w:sz w:val="20"/>
                <w:szCs w:val="20"/>
              </w:rPr>
            </w:pPr>
          </w:p>
        </w:tc>
        <w:tc>
          <w:tcPr>
            <w:tcW w:w="0" w:type="auto"/>
            <w:vAlign w:val="center"/>
            <w:hideMark/>
          </w:tcPr>
          <w:p w14:paraId="781B30B2" w14:textId="77777777" w:rsidR="00000000" w:rsidRDefault="00195E73">
            <w:pPr>
              <w:rPr>
                <w:rFonts w:eastAsia="Times New Roman"/>
                <w:sz w:val="20"/>
                <w:szCs w:val="20"/>
              </w:rPr>
            </w:pPr>
          </w:p>
        </w:tc>
        <w:tc>
          <w:tcPr>
            <w:tcW w:w="0" w:type="auto"/>
            <w:vAlign w:val="center"/>
            <w:hideMark/>
          </w:tcPr>
          <w:p w14:paraId="4628051D" w14:textId="77777777" w:rsidR="00000000" w:rsidRDefault="00195E73">
            <w:pPr>
              <w:rPr>
                <w:rFonts w:eastAsia="Times New Roman"/>
                <w:sz w:val="20"/>
                <w:szCs w:val="20"/>
              </w:rPr>
            </w:pPr>
          </w:p>
        </w:tc>
      </w:tr>
      <w:tr w:rsidR="00000000" w14:paraId="059BBE7F" w14:textId="77777777">
        <w:trPr>
          <w:divId w:val="1746029058"/>
          <w:jc w:val="center"/>
        </w:trPr>
        <w:tc>
          <w:tcPr>
            <w:tcW w:w="0" w:type="auto"/>
            <w:gridSpan w:val="3"/>
            <w:shd w:val="clear" w:color="auto" w:fill="CCEEFF"/>
            <w:tcMar>
              <w:top w:w="30" w:type="dxa"/>
              <w:left w:w="20" w:type="dxa"/>
              <w:bottom w:w="30" w:type="dxa"/>
              <w:right w:w="20" w:type="dxa"/>
            </w:tcMar>
            <w:vAlign w:val="bottom"/>
            <w:hideMark/>
          </w:tcPr>
          <w:p w14:paraId="5B19BD94" w14:textId="77777777" w:rsidR="00000000" w:rsidRDefault="00195E73">
            <w:pPr>
              <w:rPr>
                <w:rFonts w:eastAsia="Times New Roman"/>
              </w:rPr>
            </w:pPr>
            <w:r>
              <w:rPr>
                <w:rFonts w:eastAsia="Times New Roman"/>
                <w:color w:val="000000"/>
                <w:sz w:val="20"/>
                <w:szCs w:val="20"/>
              </w:rPr>
              <w:t>Commitments and contingencies (Note 3</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058ABF72"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6DF2260"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9368BED" w14:textId="77777777" w:rsidR="00000000" w:rsidRDefault="00195E73">
            <w:pPr>
              <w:rPr>
                <w:rFonts w:eastAsia="Times New Roman"/>
                <w:sz w:val="20"/>
                <w:szCs w:val="20"/>
              </w:rPr>
            </w:pPr>
          </w:p>
        </w:tc>
        <w:tc>
          <w:tcPr>
            <w:tcW w:w="0" w:type="auto"/>
            <w:vAlign w:val="center"/>
            <w:hideMark/>
          </w:tcPr>
          <w:p w14:paraId="2CA2CEC7" w14:textId="77777777" w:rsidR="00000000" w:rsidRDefault="00195E73">
            <w:pPr>
              <w:rPr>
                <w:rFonts w:eastAsia="Times New Roman"/>
                <w:sz w:val="20"/>
                <w:szCs w:val="20"/>
              </w:rPr>
            </w:pPr>
          </w:p>
        </w:tc>
        <w:tc>
          <w:tcPr>
            <w:tcW w:w="0" w:type="auto"/>
            <w:vAlign w:val="center"/>
            <w:hideMark/>
          </w:tcPr>
          <w:p w14:paraId="7CE36D4C" w14:textId="77777777" w:rsidR="00000000" w:rsidRDefault="00195E73">
            <w:pPr>
              <w:rPr>
                <w:rFonts w:eastAsia="Times New Roman"/>
                <w:sz w:val="20"/>
                <w:szCs w:val="20"/>
              </w:rPr>
            </w:pPr>
          </w:p>
        </w:tc>
        <w:tc>
          <w:tcPr>
            <w:tcW w:w="0" w:type="auto"/>
            <w:vAlign w:val="center"/>
            <w:hideMark/>
          </w:tcPr>
          <w:p w14:paraId="3BE507FA" w14:textId="77777777" w:rsidR="00000000" w:rsidRDefault="00195E73">
            <w:pPr>
              <w:rPr>
                <w:rFonts w:eastAsia="Times New Roman"/>
                <w:sz w:val="20"/>
                <w:szCs w:val="20"/>
              </w:rPr>
            </w:pPr>
          </w:p>
        </w:tc>
        <w:tc>
          <w:tcPr>
            <w:tcW w:w="0" w:type="auto"/>
            <w:vAlign w:val="center"/>
            <w:hideMark/>
          </w:tcPr>
          <w:p w14:paraId="5C6FD5F7" w14:textId="77777777" w:rsidR="00000000" w:rsidRDefault="00195E73">
            <w:pPr>
              <w:rPr>
                <w:rFonts w:eastAsia="Times New Roman"/>
                <w:sz w:val="20"/>
                <w:szCs w:val="20"/>
              </w:rPr>
            </w:pPr>
          </w:p>
        </w:tc>
        <w:tc>
          <w:tcPr>
            <w:tcW w:w="0" w:type="auto"/>
            <w:vAlign w:val="center"/>
            <w:hideMark/>
          </w:tcPr>
          <w:p w14:paraId="49703DE5" w14:textId="77777777" w:rsidR="00000000" w:rsidRDefault="00195E73">
            <w:pPr>
              <w:rPr>
                <w:rFonts w:eastAsia="Times New Roman"/>
                <w:sz w:val="20"/>
                <w:szCs w:val="20"/>
              </w:rPr>
            </w:pPr>
          </w:p>
        </w:tc>
        <w:tc>
          <w:tcPr>
            <w:tcW w:w="0" w:type="auto"/>
            <w:vAlign w:val="center"/>
            <w:hideMark/>
          </w:tcPr>
          <w:p w14:paraId="720359DF" w14:textId="77777777" w:rsidR="00000000" w:rsidRDefault="00195E73">
            <w:pPr>
              <w:rPr>
                <w:rFonts w:eastAsia="Times New Roman"/>
                <w:sz w:val="20"/>
                <w:szCs w:val="20"/>
              </w:rPr>
            </w:pPr>
          </w:p>
        </w:tc>
      </w:tr>
      <w:tr w:rsidR="00000000" w14:paraId="5A943200" w14:textId="77777777">
        <w:trPr>
          <w:divId w:val="1746029058"/>
          <w:trHeight w:val="300"/>
          <w:jc w:val="center"/>
        </w:trPr>
        <w:tc>
          <w:tcPr>
            <w:tcW w:w="0" w:type="auto"/>
            <w:gridSpan w:val="3"/>
            <w:shd w:val="clear" w:color="auto" w:fill="FFFFFF"/>
            <w:tcMar>
              <w:top w:w="15" w:type="dxa"/>
              <w:left w:w="20" w:type="dxa"/>
              <w:bottom w:w="15" w:type="dxa"/>
              <w:right w:w="20" w:type="dxa"/>
            </w:tcMar>
            <w:vAlign w:val="bottom"/>
            <w:hideMark/>
          </w:tcPr>
          <w:p w14:paraId="42E7B2A0"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DBC8F9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5DCC002"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0BF031E" w14:textId="77777777" w:rsidR="00000000" w:rsidRDefault="00195E73">
            <w:pPr>
              <w:rPr>
                <w:rFonts w:eastAsia="Times New Roman"/>
                <w:sz w:val="20"/>
                <w:szCs w:val="20"/>
              </w:rPr>
            </w:pPr>
          </w:p>
        </w:tc>
        <w:tc>
          <w:tcPr>
            <w:tcW w:w="0" w:type="auto"/>
            <w:vAlign w:val="center"/>
            <w:hideMark/>
          </w:tcPr>
          <w:p w14:paraId="0AE74914" w14:textId="77777777" w:rsidR="00000000" w:rsidRDefault="00195E73">
            <w:pPr>
              <w:rPr>
                <w:rFonts w:eastAsia="Times New Roman"/>
                <w:sz w:val="20"/>
                <w:szCs w:val="20"/>
              </w:rPr>
            </w:pPr>
          </w:p>
        </w:tc>
        <w:tc>
          <w:tcPr>
            <w:tcW w:w="0" w:type="auto"/>
            <w:vAlign w:val="center"/>
            <w:hideMark/>
          </w:tcPr>
          <w:p w14:paraId="65EB3A10" w14:textId="77777777" w:rsidR="00000000" w:rsidRDefault="00195E73">
            <w:pPr>
              <w:rPr>
                <w:rFonts w:eastAsia="Times New Roman"/>
                <w:sz w:val="20"/>
                <w:szCs w:val="20"/>
              </w:rPr>
            </w:pPr>
          </w:p>
        </w:tc>
        <w:tc>
          <w:tcPr>
            <w:tcW w:w="0" w:type="auto"/>
            <w:vAlign w:val="center"/>
            <w:hideMark/>
          </w:tcPr>
          <w:p w14:paraId="0C1F61B1" w14:textId="77777777" w:rsidR="00000000" w:rsidRDefault="00195E73">
            <w:pPr>
              <w:rPr>
                <w:rFonts w:eastAsia="Times New Roman"/>
                <w:sz w:val="20"/>
                <w:szCs w:val="20"/>
              </w:rPr>
            </w:pPr>
          </w:p>
        </w:tc>
        <w:tc>
          <w:tcPr>
            <w:tcW w:w="0" w:type="auto"/>
            <w:vAlign w:val="center"/>
            <w:hideMark/>
          </w:tcPr>
          <w:p w14:paraId="2AF369AA" w14:textId="77777777" w:rsidR="00000000" w:rsidRDefault="00195E73">
            <w:pPr>
              <w:rPr>
                <w:rFonts w:eastAsia="Times New Roman"/>
                <w:sz w:val="20"/>
                <w:szCs w:val="20"/>
              </w:rPr>
            </w:pPr>
          </w:p>
        </w:tc>
        <w:tc>
          <w:tcPr>
            <w:tcW w:w="0" w:type="auto"/>
            <w:vAlign w:val="center"/>
            <w:hideMark/>
          </w:tcPr>
          <w:p w14:paraId="57297899" w14:textId="77777777" w:rsidR="00000000" w:rsidRDefault="00195E73">
            <w:pPr>
              <w:rPr>
                <w:rFonts w:eastAsia="Times New Roman"/>
                <w:sz w:val="20"/>
                <w:szCs w:val="20"/>
              </w:rPr>
            </w:pPr>
          </w:p>
        </w:tc>
        <w:tc>
          <w:tcPr>
            <w:tcW w:w="0" w:type="auto"/>
            <w:vAlign w:val="center"/>
            <w:hideMark/>
          </w:tcPr>
          <w:p w14:paraId="6D045740" w14:textId="77777777" w:rsidR="00000000" w:rsidRDefault="00195E73">
            <w:pPr>
              <w:rPr>
                <w:rFonts w:eastAsia="Times New Roman"/>
                <w:sz w:val="20"/>
                <w:szCs w:val="20"/>
              </w:rPr>
            </w:pPr>
          </w:p>
        </w:tc>
      </w:tr>
      <w:tr w:rsidR="00000000" w14:paraId="0C3A3481" w14:textId="77777777">
        <w:trPr>
          <w:divId w:val="1746029058"/>
          <w:jc w:val="center"/>
        </w:trPr>
        <w:tc>
          <w:tcPr>
            <w:tcW w:w="0" w:type="auto"/>
            <w:gridSpan w:val="3"/>
            <w:shd w:val="clear" w:color="auto" w:fill="CCEEFF"/>
            <w:tcMar>
              <w:top w:w="30" w:type="dxa"/>
              <w:left w:w="20" w:type="dxa"/>
              <w:bottom w:w="30" w:type="dxa"/>
              <w:right w:w="20" w:type="dxa"/>
            </w:tcMar>
            <w:vAlign w:val="bottom"/>
            <w:hideMark/>
          </w:tcPr>
          <w:p w14:paraId="024F1EAB" w14:textId="77777777" w:rsidR="00000000" w:rsidRDefault="00195E73">
            <w:pPr>
              <w:rPr>
                <w:rFonts w:eastAsia="Times New Roman"/>
              </w:rPr>
            </w:pPr>
            <w:r>
              <w:rPr>
                <w:rFonts w:eastAsia="Times New Roman"/>
                <w:color w:val="000000"/>
                <w:sz w:val="20"/>
                <w:szCs w:val="20"/>
              </w:rPr>
              <w:t>Equity</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3058327B"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295608B"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7A58664" w14:textId="77777777" w:rsidR="00000000" w:rsidRDefault="00195E73">
            <w:pPr>
              <w:rPr>
                <w:rFonts w:eastAsia="Times New Roman"/>
                <w:sz w:val="20"/>
                <w:szCs w:val="20"/>
              </w:rPr>
            </w:pPr>
          </w:p>
        </w:tc>
        <w:tc>
          <w:tcPr>
            <w:tcW w:w="0" w:type="auto"/>
            <w:vAlign w:val="center"/>
            <w:hideMark/>
          </w:tcPr>
          <w:p w14:paraId="242198A0" w14:textId="77777777" w:rsidR="00000000" w:rsidRDefault="00195E73">
            <w:pPr>
              <w:rPr>
                <w:rFonts w:eastAsia="Times New Roman"/>
                <w:sz w:val="20"/>
                <w:szCs w:val="20"/>
              </w:rPr>
            </w:pPr>
          </w:p>
        </w:tc>
        <w:tc>
          <w:tcPr>
            <w:tcW w:w="0" w:type="auto"/>
            <w:vAlign w:val="center"/>
            <w:hideMark/>
          </w:tcPr>
          <w:p w14:paraId="37E8F3FD" w14:textId="77777777" w:rsidR="00000000" w:rsidRDefault="00195E73">
            <w:pPr>
              <w:rPr>
                <w:rFonts w:eastAsia="Times New Roman"/>
                <w:sz w:val="20"/>
                <w:szCs w:val="20"/>
              </w:rPr>
            </w:pPr>
          </w:p>
        </w:tc>
        <w:tc>
          <w:tcPr>
            <w:tcW w:w="0" w:type="auto"/>
            <w:vAlign w:val="center"/>
            <w:hideMark/>
          </w:tcPr>
          <w:p w14:paraId="7EE4FDC8" w14:textId="77777777" w:rsidR="00000000" w:rsidRDefault="00195E73">
            <w:pPr>
              <w:rPr>
                <w:rFonts w:eastAsia="Times New Roman"/>
                <w:sz w:val="20"/>
                <w:szCs w:val="20"/>
              </w:rPr>
            </w:pPr>
          </w:p>
        </w:tc>
        <w:tc>
          <w:tcPr>
            <w:tcW w:w="0" w:type="auto"/>
            <w:vAlign w:val="center"/>
            <w:hideMark/>
          </w:tcPr>
          <w:p w14:paraId="31E8EFCC" w14:textId="77777777" w:rsidR="00000000" w:rsidRDefault="00195E73">
            <w:pPr>
              <w:rPr>
                <w:rFonts w:eastAsia="Times New Roman"/>
                <w:sz w:val="20"/>
                <w:szCs w:val="20"/>
              </w:rPr>
            </w:pPr>
          </w:p>
        </w:tc>
        <w:tc>
          <w:tcPr>
            <w:tcW w:w="0" w:type="auto"/>
            <w:vAlign w:val="center"/>
            <w:hideMark/>
          </w:tcPr>
          <w:p w14:paraId="50442E9D" w14:textId="77777777" w:rsidR="00000000" w:rsidRDefault="00195E73">
            <w:pPr>
              <w:rPr>
                <w:rFonts w:eastAsia="Times New Roman"/>
                <w:sz w:val="20"/>
                <w:szCs w:val="20"/>
              </w:rPr>
            </w:pPr>
          </w:p>
        </w:tc>
        <w:tc>
          <w:tcPr>
            <w:tcW w:w="0" w:type="auto"/>
            <w:vAlign w:val="center"/>
            <w:hideMark/>
          </w:tcPr>
          <w:p w14:paraId="62BD1E24" w14:textId="77777777" w:rsidR="00000000" w:rsidRDefault="00195E73">
            <w:pPr>
              <w:rPr>
                <w:rFonts w:eastAsia="Times New Roman"/>
                <w:sz w:val="20"/>
                <w:szCs w:val="20"/>
              </w:rPr>
            </w:pPr>
          </w:p>
        </w:tc>
      </w:tr>
      <w:tr w:rsidR="00000000" w14:paraId="5603FB04" w14:textId="77777777">
        <w:trPr>
          <w:divId w:val="1746029058"/>
          <w:jc w:val="center"/>
        </w:trPr>
        <w:tc>
          <w:tcPr>
            <w:tcW w:w="0" w:type="auto"/>
            <w:gridSpan w:val="3"/>
            <w:shd w:val="clear" w:color="auto" w:fill="FFFFFF"/>
            <w:tcMar>
              <w:top w:w="30" w:type="dxa"/>
              <w:left w:w="20" w:type="dxa"/>
              <w:bottom w:w="30" w:type="dxa"/>
              <w:right w:w="20" w:type="dxa"/>
            </w:tcMar>
            <w:vAlign w:val="bottom"/>
            <w:hideMark/>
          </w:tcPr>
          <w:p w14:paraId="2FFD0225" w14:textId="77777777" w:rsidR="00000000" w:rsidRDefault="00195E73">
            <w:pPr>
              <w:ind w:hanging="180"/>
              <w:divId w:val="1324622550"/>
              <w:rPr>
                <w:rFonts w:eastAsia="Times New Roman"/>
              </w:rPr>
            </w:pPr>
            <w:r>
              <w:rPr>
                <w:rFonts w:eastAsia="Times New Roman"/>
                <w:color w:val="000000"/>
                <w:sz w:val="20"/>
                <w:szCs w:val="20"/>
              </w:rPr>
              <w:t>Limited partners: Depositary units: 214,078,558 and 191,366,097 units issued and outstanding at December 31, 2019 and 2018, respectivel</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14:paraId="184811A5" w14:textId="77777777" w:rsidR="00000000" w:rsidRDefault="00195E73">
            <w:pPr>
              <w:jc w:val="right"/>
              <w:rPr>
                <w:rFonts w:eastAsia="Times New Roman"/>
              </w:rPr>
            </w:pPr>
            <w:r>
              <w:rPr>
                <w:rFonts w:eastAsia="Times New Roman"/>
                <w:color w:val="000000"/>
                <w:sz w:val="20"/>
                <w:szCs w:val="20"/>
              </w:rPr>
              <w:t>6,268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FD9B65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E35FC4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1D131A" w14:textId="77777777" w:rsidR="00000000" w:rsidRDefault="00195E73">
            <w:pPr>
              <w:jc w:val="right"/>
              <w:rPr>
                <w:rFonts w:eastAsia="Times New Roman"/>
              </w:rPr>
            </w:pPr>
            <w:r>
              <w:rPr>
                <w:rFonts w:eastAsia="Times New Roman"/>
                <w:color w:val="000000"/>
                <w:sz w:val="20"/>
                <w:szCs w:val="20"/>
              </w:rPr>
              <w:t>7,350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E72B37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15BF981" w14:textId="77777777" w:rsidR="00000000" w:rsidRDefault="00195E73">
            <w:pPr>
              <w:rPr>
                <w:rFonts w:eastAsia="Times New Roman"/>
                <w:sz w:val="20"/>
                <w:szCs w:val="20"/>
              </w:rPr>
            </w:pPr>
          </w:p>
        </w:tc>
        <w:tc>
          <w:tcPr>
            <w:tcW w:w="0" w:type="auto"/>
            <w:vAlign w:val="center"/>
            <w:hideMark/>
          </w:tcPr>
          <w:p w14:paraId="207FADD2" w14:textId="77777777" w:rsidR="00000000" w:rsidRDefault="00195E73">
            <w:pPr>
              <w:rPr>
                <w:rFonts w:eastAsia="Times New Roman"/>
                <w:sz w:val="20"/>
                <w:szCs w:val="20"/>
              </w:rPr>
            </w:pPr>
          </w:p>
        </w:tc>
        <w:tc>
          <w:tcPr>
            <w:tcW w:w="0" w:type="auto"/>
            <w:vAlign w:val="center"/>
            <w:hideMark/>
          </w:tcPr>
          <w:p w14:paraId="5D3C109A" w14:textId="77777777" w:rsidR="00000000" w:rsidRDefault="00195E73">
            <w:pPr>
              <w:rPr>
                <w:rFonts w:eastAsia="Times New Roman"/>
                <w:sz w:val="20"/>
                <w:szCs w:val="20"/>
              </w:rPr>
            </w:pPr>
          </w:p>
        </w:tc>
        <w:tc>
          <w:tcPr>
            <w:tcW w:w="0" w:type="auto"/>
            <w:vAlign w:val="center"/>
            <w:hideMark/>
          </w:tcPr>
          <w:p w14:paraId="6455D071" w14:textId="77777777" w:rsidR="00000000" w:rsidRDefault="00195E73">
            <w:pPr>
              <w:rPr>
                <w:rFonts w:eastAsia="Times New Roman"/>
                <w:sz w:val="20"/>
                <w:szCs w:val="20"/>
              </w:rPr>
            </w:pPr>
          </w:p>
        </w:tc>
        <w:tc>
          <w:tcPr>
            <w:tcW w:w="0" w:type="auto"/>
            <w:vAlign w:val="center"/>
            <w:hideMark/>
          </w:tcPr>
          <w:p w14:paraId="4B2A597D" w14:textId="77777777" w:rsidR="00000000" w:rsidRDefault="00195E73">
            <w:pPr>
              <w:rPr>
                <w:rFonts w:eastAsia="Times New Roman"/>
                <w:sz w:val="20"/>
                <w:szCs w:val="20"/>
              </w:rPr>
            </w:pPr>
          </w:p>
        </w:tc>
        <w:tc>
          <w:tcPr>
            <w:tcW w:w="0" w:type="auto"/>
            <w:vAlign w:val="center"/>
            <w:hideMark/>
          </w:tcPr>
          <w:p w14:paraId="32B7F377" w14:textId="77777777" w:rsidR="00000000" w:rsidRDefault="00195E73">
            <w:pPr>
              <w:rPr>
                <w:rFonts w:eastAsia="Times New Roman"/>
                <w:sz w:val="20"/>
                <w:szCs w:val="20"/>
              </w:rPr>
            </w:pPr>
          </w:p>
        </w:tc>
      </w:tr>
      <w:tr w:rsidR="00000000" w14:paraId="0983A70A" w14:textId="77777777">
        <w:trPr>
          <w:divId w:val="1746029058"/>
          <w:jc w:val="center"/>
        </w:trPr>
        <w:tc>
          <w:tcPr>
            <w:tcW w:w="0" w:type="auto"/>
            <w:gridSpan w:val="3"/>
            <w:shd w:val="clear" w:color="auto" w:fill="CCEEFF"/>
            <w:tcMar>
              <w:top w:w="30" w:type="dxa"/>
              <w:left w:w="180" w:type="dxa"/>
              <w:bottom w:w="30" w:type="dxa"/>
              <w:right w:w="20" w:type="dxa"/>
            </w:tcMar>
            <w:vAlign w:val="bottom"/>
            <w:hideMark/>
          </w:tcPr>
          <w:p w14:paraId="71C199AC" w14:textId="77777777" w:rsidR="00000000" w:rsidRDefault="00195E73">
            <w:pPr>
              <w:rPr>
                <w:rFonts w:eastAsia="Times New Roman"/>
              </w:rPr>
            </w:pPr>
            <w:r>
              <w:rPr>
                <w:rFonts w:eastAsia="Times New Roman"/>
                <w:color w:val="000000"/>
                <w:sz w:val="20"/>
                <w:szCs w:val="20"/>
              </w:rPr>
              <w:t>General partne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2B3157CB" w14:textId="77777777" w:rsidR="00000000" w:rsidRDefault="00195E73">
            <w:pPr>
              <w:jc w:val="right"/>
              <w:rPr>
                <w:rFonts w:eastAsia="Times New Roman"/>
              </w:rPr>
            </w:pPr>
            <w:r>
              <w:rPr>
                <w:rFonts w:eastAsia="Times New Roman"/>
                <w:color w:val="000000"/>
                <w:sz w:val="20"/>
                <w:szCs w:val="20"/>
              </w:rPr>
              <w:t>(812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F01C76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24BD79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9BA562" w14:textId="77777777" w:rsidR="00000000" w:rsidRDefault="00195E73">
            <w:pPr>
              <w:jc w:val="right"/>
              <w:rPr>
                <w:rFonts w:eastAsia="Times New Roman"/>
              </w:rPr>
            </w:pPr>
            <w:r>
              <w:rPr>
                <w:rFonts w:eastAsia="Times New Roman"/>
                <w:color w:val="000000"/>
                <w:sz w:val="20"/>
                <w:szCs w:val="20"/>
              </w:rPr>
              <w:t>(790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8248A6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CDE572C" w14:textId="77777777" w:rsidR="00000000" w:rsidRDefault="00195E73">
            <w:pPr>
              <w:rPr>
                <w:rFonts w:eastAsia="Times New Roman"/>
                <w:sz w:val="20"/>
                <w:szCs w:val="20"/>
              </w:rPr>
            </w:pPr>
          </w:p>
        </w:tc>
        <w:tc>
          <w:tcPr>
            <w:tcW w:w="0" w:type="auto"/>
            <w:vAlign w:val="center"/>
            <w:hideMark/>
          </w:tcPr>
          <w:p w14:paraId="28C3374F" w14:textId="77777777" w:rsidR="00000000" w:rsidRDefault="00195E73">
            <w:pPr>
              <w:rPr>
                <w:rFonts w:eastAsia="Times New Roman"/>
                <w:sz w:val="20"/>
                <w:szCs w:val="20"/>
              </w:rPr>
            </w:pPr>
          </w:p>
        </w:tc>
        <w:tc>
          <w:tcPr>
            <w:tcW w:w="0" w:type="auto"/>
            <w:vAlign w:val="center"/>
            <w:hideMark/>
          </w:tcPr>
          <w:p w14:paraId="642DA325" w14:textId="77777777" w:rsidR="00000000" w:rsidRDefault="00195E73">
            <w:pPr>
              <w:rPr>
                <w:rFonts w:eastAsia="Times New Roman"/>
                <w:sz w:val="20"/>
                <w:szCs w:val="20"/>
              </w:rPr>
            </w:pPr>
          </w:p>
        </w:tc>
        <w:tc>
          <w:tcPr>
            <w:tcW w:w="0" w:type="auto"/>
            <w:vAlign w:val="center"/>
            <w:hideMark/>
          </w:tcPr>
          <w:p w14:paraId="45D8AD4A" w14:textId="77777777" w:rsidR="00000000" w:rsidRDefault="00195E73">
            <w:pPr>
              <w:rPr>
                <w:rFonts w:eastAsia="Times New Roman"/>
                <w:sz w:val="20"/>
                <w:szCs w:val="20"/>
              </w:rPr>
            </w:pPr>
          </w:p>
        </w:tc>
        <w:tc>
          <w:tcPr>
            <w:tcW w:w="0" w:type="auto"/>
            <w:vAlign w:val="center"/>
            <w:hideMark/>
          </w:tcPr>
          <w:p w14:paraId="247CCA79" w14:textId="77777777" w:rsidR="00000000" w:rsidRDefault="00195E73">
            <w:pPr>
              <w:rPr>
                <w:rFonts w:eastAsia="Times New Roman"/>
                <w:sz w:val="20"/>
                <w:szCs w:val="20"/>
              </w:rPr>
            </w:pPr>
          </w:p>
        </w:tc>
        <w:tc>
          <w:tcPr>
            <w:tcW w:w="0" w:type="auto"/>
            <w:vAlign w:val="center"/>
            <w:hideMark/>
          </w:tcPr>
          <w:p w14:paraId="62704E95" w14:textId="77777777" w:rsidR="00000000" w:rsidRDefault="00195E73">
            <w:pPr>
              <w:rPr>
                <w:rFonts w:eastAsia="Times New Roman"/>
                <w:sz w:val="20"/>
                <w:szCs w:val="20"/>
              </w:rPr>
            </w:pPr>
          </w:p>
        </w:tc>
      </w:tr>
      <w:tr w:rsidR="00000000" w14:paraId="7BADC178" w14:textId="77777777">
        <w:trPr>
          <w:divId w:val="1746029058"/>
          <w:jc w:val="center"/>
        </w:trPr>
        <w:tc>
          <w:tcPr>
            <w:tcW w:w="0" w:type="auto"/>
            <w:gridSpan w:val="3"/>
            <w:shd w:val="clear" w:color="auto" w:fill="FFFFFF"/>
            <w:tcMar>
              <w:top w:w="30" w:type="dxa"/>
              <w:left w:w="20" w:type="dxa"/>
              <w:bottom w:w="30" w:type="dxa"/>
              <w:right w:w="20" w:type="dxa"/>
            </w:tcMar>
            <w:vAlign w:val="bottom"/>
            <w:hideMark/>
          </w:tcPr>
          <w:p w14:paraId="1AABD63E" w14:textId="77777777" w:rsidR="00000000" w:rsidRDefault="00195E73">
            <w:pPr>
              <w:rPr>
                <w:rFonts w:eastAsia="Times New Roman"/>
              </w:rPr>
            </w:pPr>
            <w:r>
              <w:rPr>
                <w:rFonts w:eastAsia="Times New Roman"/>
                <w:color w:val="000000"/>
                <w:sz w:val="20"/>
                <w:szCs w:val="20"/>
              </w:rPr>
              <w:t>Total equit</w:t>
            </w:r>
            <w:r>
              <w:rPr>
                <w:rFonts w:eastAsia="Times New Roman"/>
                <w:color w:val="000000"/>
                <w:sz w:val="20"/>
                <w:szCs w:val="20"/>
              </w:rPr>
              <w: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46D76C" w14:textId="77777777" w:rsidR="00000000" w:rsidRDefault="00195E73">
            <w:pPr>
              <w:jc w:val="right"/>
              <w:rPr>
                <w:rFonts w:eastAsia="Times New Roman"/>
              </w:rPr>
            </w:pPr>
            <w:r>
              <w:rPr>
                <w:rFonts w:eastAsia="Times New Roman"/>
                <w:color w:val="000000"/>
                <w:sz w:val="20"/>
                <w:szCs w:val="20"/>
              </w:rPr>
              <w:t>5,456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1C32E5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7D58CD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8991D0" w14:textId="77777777" w:rsidR="00000000" w:rsidRDefault="00195E73">
            <w:pPr>
              <w:jc w:val="right"/>
              <w:rPr>
                <w:rFonts w:eastAsia="Times New Roman"/>
              </w:rPr>
            </w:pPr>
            <w:r>
              <w:rPr>
                <w:rFonts w:eastAsia="Times New Roman"/>
                <w:color w:val="000000"/>
                <w:sz w:val="20"/>
                <w:szCs w:val="20"/>
              </w:rPr>
              <w:t>6,560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6ABB3C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41BA8C4" w14:textId="77777777" w:rsidR="00000000" w:rsidRDefault="00195E73">
            <w:pPr>
              <w:rPr>
                <w:rFonts w:eastAsia="Times New Roman"/>
                <w:sz w:val="20"/>
                <w:szCs w:val="20"/>
              </w:rPr>
            </w:pPr>
          </w:p>
        </w:tc>
        <w:tc>
          <w:tcPr>
            <w:tcW w:w="0" w:type="auto"/>
            <w:vAlign w:val="center"/>
            <w:hideMark/>
          </w:tcPr>
          <w:p w14:paraId="54261CC7" w14:textId="77777777" w:rsidR="00000000" w:rsidRDefault="00195E73">
            <w:pPr>
              <w:rPr>
                <w:rFonts w:eastAsia="Times New Roman"/>
                <w:sz w:val="20"/>
                <w:szCs w:val="20"/>
              </w:rPr>
            </w:pPr>
          </w:p>
        </w:tc>
        <w:tc>
          <w:tcPr>
            <w:tcW w:w="0" w:type="auto"/>
            <w:vAlign w:val="center"/>
            <w:hideMark/>
          </w:tcPr>
          <w:p w14:paraId="552AD343" w14:textId="77777777" w:rsidR="00000000" w:rsidRDefault="00195E73">
            <w:pPr>
              <w:rPr>
                <w:rFonts w:eastAsia="Times New Roman"/>
                <w:sz w:val="20"/>
                <w:szCs w:val="20"/>
              </w:rPr>
            </w:pPr>
          </w:p>
        </w:tc>
        <w:tc>
          <w:tcPr>
            <w:tcW w:w="0" w:type="auto"/>
            <w:vAlign w:val="center"/>
            <w:hideMark/>
          </w:tcPr>
          <w:p w14:paraId="66F78A6D" w14:textId="77777777" w:rsidR="00000000" w:rsidRDefault="00195E73">
            <w:pPr>
              <w:rPr>
                <w:rFonts w:eastAsia="Times New Roman"/>
                <w:sz w:val="20"/>
                <w:szCs w:val="20"/>
              </w:rPr>
            </w:pPr>
          </w:p>
        </w:tc>
        <w:tc>
          <w:tcPr>
            <w:tcW w:w="0" w:type="auto"/>
            <w:vAlign w:val="center"/>
            <w:hideMark/>
          </w:tcPr>
          <w:p w14:paraId="418676AD" w14:textId="77777777" w:rsidR="00000000" w:rsidRDefault="00195E73">
            <w:pPr>
              <w:rPr>
                <w:rFonts w:eastAsia="Times New Roman"/>
                <w:sz w:val="20"/>
                <w:szCs w:val="20"/>
              </w:rPr>
            </w:pPr>
          </w:p>
        </w:tc>
        <w:tc>
          <w:tcPr>
            <w:tcW w:w="0" w:type="auto"/>
            <w:vAlign w:val="center"/>
            <w:hideMark/>
          </w:tcPr>
          <w:p w14:paraId="5E83A715" w14:textId="77777777" w:rsidR="00000000" w:rsidRDefault="00195E73">
            <w:pPr>
              <w:rPr>
                <w:rFonts w:eastAsia="Times New Roman"/>
                <w:sz w:val="20"/>
                <w:szCs w:val="20"/>
              </w:rPr>
            </w:pPr>
          </w:p>
        </w:tc>
      </w:tr>
      <w:tr w:rsidR="00000000" w14:paraId="3ECFDA2F" w14:textId="77777777">
        <w:trPr>
          <w:divId w:val="1746029058"/>
          <w:jc w:val="center"/>
        </w:trPr>
        <w:tc>
          <w:tcPr>
            <w:tcW w:w="0" w:type="auto"/>
            <w:gridSpan w:val="3"/>
            <w:shd w:val="clear" w:color="auto" w:fill="CCEEFF"/>
            <w:tcMar>
              <w:top w:w="30" w:type="dxa"/>
              <w:left w:w="20" w:type="dxa"/>
              <w:bottom w:w="30" w:type="dxa"/>
              <w:right w:w="20" w:type="dxa"/>
            </w:tcMar>
            <w:vAlign w:val="bottom"/>
            <w:hideMark/>
          </w:tcPr>
          <w:p w14:paraId="53E40790" w14:textId="77777777" w:rsidR="00000000" w:rsidRDefault="00195E73">
            <w:pPr>
              <w:rPr>
                <w:rFonts w:eastAsia="Times New Roman"/>
              </w:rPr>
            </w:pPr>
            <w:r>
              <w:rPr>
                <w:rFonts w:eastAsia="Times New Roman"/>
                <w:b/>
                <w:bCs/>
                <w:color w:val="000000"/>
                <w:sz w:val="20"/>
                <w:szCs w:val="20"/>
              </w:rPr>
              <w:t>Total Liabilities and Equit</w:t>
            </w:r>
            <w:r>
              <w:rPr>
                <w:rFonts w:eastAsia="Times New Roman"/>
                <w:b/>
                <w:bCs/>
                <w:color w:val="000000"/>
                <w:sz w:val="20"/>
                <w:szCs w:val="20"/>
              </w:rPr>
              <w:t>y</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E02F99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32E5E11" w14:textId="77777777" w:rsidR="00000000" w:rsidRDefault="00195E73">
            <w:pPr>
              <w:jc w:val="right"/>
              <w:rPr>
                <w:rFonts w:eastAsia="Times New Roman"/>
              </w:rPr>
            </w:pPr>
            <w:r>
              <w:rPr>
                <w:rFonts w:eastAsia="Times New Roman"/>
                <w:color w:val="000000"/>
                <w:sz w:val="20"/>
                <w:szCs w:val="20"/>
              </w:rPr>
              <w:t>11,853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4DB72D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D17295"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B258BC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A6F4BD8" w14:textId="77777777" w:rsidR="00000000" w:rsidRDefault="00195E73">
            <w:pPr>
              <w:jc w:val="right"/>
              <w:rPr>
                <w:rFonts w:eastAsia="Times New Roman"/>
              </w:rPr>
            </w:pPr>
            <w:r>
              <w:rPr>
                <w:rFonts w:eastAsia="Times New Roman"/>
                <w:color w:val="000000"/>
                <w:sz w:val="20"/>
                <w:szCs w:val="20"/>
              </w:rPr>
              <w:t>12,189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ABD8A6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473E264" w14:textId="77777777" w:rsidR="00000000" w:rsidRDefault="00195E73">
            <w:pPr>
              <w:rPr>
                <w:rFonts w:eastAsia="Times New Roman"/>
                <w:sz w:val="20"/>
                <w:szCs w:val="20"/>
              </w:rPr>
            </w:pPr>
          </w:p>
        </w:tc>
        <w:tc>
          <w:tcPr>
            <w:tcW w:w="0" w:type="auto"/>
            <w:vAlign w:val="center"/>
            <w:hideMark/>
          </w:tcPr>
          <w:p w14:paraId="7CC10718" w14:textId="77777777" w:rsidR="00000000" w:rsidRDefault="00195E73">
            <w:pPr>
              <w:rPr>
                <w:rFonts w:eastAsia="Times New Roman"/>
                <w:sz w:val="20"/>
                <w:szCs w:val="20"/>
              </w:rPr>
            </w:pPr>
          </w:p>
        </w:tc>
        <w:tc>
          <w:tcPr>
            <w:tcW w:w="0" w:type="auto"/>
            <w:vAlign w:val="center"/>
            <w:hideMark/>
          </w:tcPr>
          <w:p w14:paraId="143A0BB9" w14:textId="77777777" w:rsidR="00000000" w:rsidRDefault="00195E73">
            <w:pPr>
              <w:rPr>
                <w:rFonts w:eastAsia="Times New Roman"/>
                <w:sz w:val="20"/>
                <w:szCs w:val="20"/>
              </w:rPr>
            </w:pPr>
          </w:p>
        </w:tc>
        <w:tc>
          <w:tcPr>
            <w:tcW w:w="0" w:type="auto"/>
            <w:vAlign w:val="center"/>
            <w:hideMark/>
          </w:tcPr>
          <w:p w14:paraId="11E0702E" w14:textId="77777777" w:rsidR="00000000" w:rsidRDefault="00195E73">
            <w:pPr>
              <w:rPr>
                <w:rFonts w:eastAsia="Times New Roman"/>
                <w:sz w:val="20"/>
                <w:szCs w:val="20"/>
              </w:rPr>
            </w:pPr>
          </w:p>
        </w:tc>
        <w:tc>
          <w:tcPr>
            <w:tcW w:w="0" w:type="auto"/>
            <w:vAlign w:val="center"/>
            <w:hideMark/>
          </w:tcPr>
          <w:p w14:paraId="6A3C627C" w14:textId="77777777" w:rsidR="00000000" w:rsidRDefault="00195E73">
            <w:pPr>
              <w:rPr>
                <w:rFonts w:eastAsia="Times New Roman"/>
                <w:sz w:val="20"/>
                <w:szCs w:val="20"/>
              </w:rPr>
            </w:pPr>
          </w:p>
        </w:tc>
        <w:tc>
          <w:tcPr>
            <w:tcW w:w="0" w:type="auto"/>
            <w:vAlign w:val="center"/>
            <w:hideMark/>
          </w:tcPr>
          <w:p w14:paraId="299B1DB8" w14:textId="77777777" w:rsidR="00000000" w:rsidRDefault="00195E73">
            <w:pPr>
              <w:rPr>
                <w:rFonts w:eastAsia="Times New Roman"/>
                <w:sz w:val="20"/>
                <w:szCs w:val="20"/>
              </w:rPr>
            </w:pPr>
          </w:p>
        </w:tc>
      </w:tr>
    </w:tbl>
    <w:p w14:paraId="46F21BB5" w14:textId="77777777" w:rsidR="00000000" w:rsidRDefault="00195E73">
      <w:pPr>
        <w:divId w:val="1159688350"/>
        <w:rPr>
          <w:rFonts w:eastAsia="Times New Roman"/>
        </w:rPr>
      </w:pPr>
    </w:p>
    <w:p w14:paraId="511DD867" w14:textId="77777777" w:rsidR="00000000" w:rsidRDefault="00195E73">
      <w:pPr>
        <w:divId w:val="414402816"/>
        <w:rPr>
          <w:rFonts w:eastAsia="Times New Roman"/>
        </w:rPr>
      </w:pPr>
    </w:p>
    <w:p w14:paraId="0103C59B" w14:textId="77777777" w:rsidR="00000000" w:rsidRDefault="00195E73">
      <w:pPr>
        <w:divId w:val="682315704"/>
        <w:rPr>
          <w:rFonts w:eastAsia="Times New Roman"/>
        </w:rPr>
      </w:pPr>
    </w:p>
    <w:p w14:paraId="08C08B27" w14:textId="77777777" w:rsidR="00000000" w:rsidRDefault="00195E73">
      <w:pPr>
        <w:divId w:val="1385956205"/>
        <w:rPr>
          <w:rFonts w:eastAsia="Times New Roman"/>
        </w:rPr>
      </w:pPr>
    </w:p>
    <w:p w14:paraId="5DA7015A" w14:textId="77777777" w:rsidR="00000000" w:rsidRDefault="00195E73">
      <w:pPr>
        <w:divId w:val="2067679314"/>
        <w:rPr>
          <w:rFonts w:eastAsia="Times New Roman"/>
        </w:rPr>
      </w:pPr>
    </w:p>
    <w:p w14:paraId="6AEBC926" w14:textId="77777777" w:rsidR="00000000" w:rsidRDefault="00195E73">
      <w:pPr>
        <w:divId w:val="3633863"/>
        <w:rPr>
          <w:rFonts w:eastAsia="Times New Roman"/>
        </w:rPr>
      </w:pPr>
    </w:p>
    <w:p w14:paraId="7290AB17" w14:textId="77777777" w:rsidR="00000000" w:rsidRDefault="00195E73">
      <w:pPr>
        <w:divId w:val="1543442530"/>
        <w:rPr>
          <w:rFonts w:eastAsia="Times New Roman"/>
        </w:rPr>
      </w:pPr>
    </w:p>
    <w:p w14:paraId="33008DF6" w14:textId="77777777" w:rsidR="00000000" w:rsidRDefault="00195E73">
      <w:pPr>
        <w:divId w:val="359016809"/>
        <w:rPr>
          <w:rFonts w:eastAsia="Times New Roman"/>
        </w:rPr>
      </w:pPr>
    </w:p>
    <w:p w14:paraId="3752F2E8" w14:textId="77777777" w:rsidR="00000000" w:rsidRDefault="00195E73">
      <w:pPr>
        <w:divId w:val="731973854"/>
        <w:rPr>
          <w:rFonts w:eastAsia="Times New Roman"/>
        </w:rPr>
      </w:pPr>
    </w:p>
    <w:p w14:paraId="043D6E46" w14:textId="77777777" w:rsidR="00000000" w:rsidRDefault="00195E73">
      <w:pPr>
        <w:divId w:val="784420272"/>
        <w:rPr>
          <w:rFonts w:eastAsia="Times New Roman"/>
        </w:rPr>
      </w:pPr>
    </w:p>
    <w:p w14:paraId="43BC2B8D" w14:textId="77777777" w:rsidR="00000000" w:rsidRDefault="00195E73">
      <w:pPr>
        <w:divId w:val="1753232595"/>
        <w:rPr>
          <w:rFonts w:eastAsia="Times New Roman"/>
        </w:rPr>
      </w:pPr>
    </w:p>
    <w:p w14:paraId="24DF9BF0" w14:textId="77777777" w:rsidR="00000000" w:rsidRDefault="00195E73">
      <w:pPr>
        <w:divId w:val="210768123"/>
        <w:rPr>
          <w:rFonts w:eastAsia="Times New Roman"/>
        </w:rPr>
      </w:pPr>
    </w:p>
    <w:p w14:paraId="316E0641" w14:textId="77777777" w:rsidR="00000000" w:rsidRDefault="00195E73">
      <w:pPr>
        <w:divId w:val="1740249390"/>
        <w:rPr>
          <w:rFonts w:eastAsia="Times New Roman"/>
        </w:rPr>
      </w:pPr>
    </w:p>
    <w:p w14:paraId="64F2AAB3" w14:textId="77777777" w:rsidR="00000000" w:rsidRDefault="00195E73">
      <w:pPr>
        <w:divId w:val="284772799"/>
        <w:rPr>
          <w:rFonts w:eastAsia="Times New Roman"/>
        </w:rPr>
      </w:pPr>
    </w:p>
    <w:p w14:paraId="4C8B92FB" w14:textId="77777777" w:rsidR="00000000" w:rsidRDefault="00195E73">
      <w:pPr>
        <w:divId w:val="943735111"/>
        <w:rPr>
          <w:rFonts w:eastAsia="Times New Roman"/>
        </w:rPr>
      </w:pPr>
    </w:p>
    <w:p w14:paraId="21928DFD" w14:textId="77777777" w:rsidR="00000000" w:rsidRDefault="00195E73">
      <w:pPr>
        <w:divId w:val="1763404998"/>
        <w:rPr>
          <w:rFonts w:eastAsia="Times New Roman"/>
        </w:rPr>
      </w:pPr>
    </w:p>
    <w:p w14:paraId="0E5DDE7B" w14:textId="77777777" w:rsidR="00000000" w:rsidRDefault="00195E73">
      <w:pPr>
        <w:divId w:val="373624119"/>
        <w:rPr>
          <w:rFonts w:eastAsia="Times New Roman"/>
        </w:rPr>
      </w:pPr>
    </w:p>
    <w:p w14:paraId="422CD7AB" w14:textId="77777777" w:rsidR="00000000" w:rsidRDefault="00195E73">
      <w:pPr>
        <w:divId w:val="1944066804"/>
        <w:rPr>
          <w:rFonts w:eastAsia="Times New Roman"/>
        </w:rPr>
      </w:pPr>
    </w:p>
    <w:p w14:paraId="4D5AA3CC" w14:textId="77777777" w:rsidR="00000000" w:rsidRDefault="00195E73">
      <w:pPr>
        <w:divId w:val="590356735"/>
        <w:rPr>
          <w:rFonts w:eastAsia="Times New Roman"/>
        </w:rPr>
      </w:pPr>
    </w:p>
    <w:p w14:paraId="294A996F" w14:textId="77777777" w:rsidR="00000000" w:rsidRDefault="00195E73">
      <w:pPr>
        <w:divId w:val="1945841121"/>
        <w:rPr>
          <w:rFonts w:eastAsia="Times New Roman"/>
        </w:rPr>
      </w:pPr>
    </w:p>
    <w:p w14:paraId="2DED0660" w14:textId="77777777" w:rsidR="00000000" w:rsidRDefault="00195E73">
      <w:pPr>
        <w:jc w:val="center"/>
        <w:rPr>
          <w:rFonts w:eastAsia="Times New Roman"/>
        </w:rPr>
      </w:pPr>
    </w:p>
    <w:p w14:paraId="791A5C8D" w14:textId="77777777" w:rsidR="00000000" w:rsidRDefault="00195E73">
      <w:pPr>
        <w:jc w:val="center"/>
        <w:rPr>
          <w:rFonts w:eastAsia="Times New Roman"/>
        </w:rPr>
      </w:pPr>
    </w:p>
    <w:p w14:paraId="035D7899" w14:textId="77777777" w:rsidR="00000000" w:rsidRDefault="00195E73">
      <w:pPr>
        <w:jc w:val="center"/>
        <w:rPr>
          <w:rFonts w:eastAsia="Times New Roman"/>
        </w:rPr>
      </w:pPr>
    </w:p>
    <w:p w14:paraId="33E8444C" w14:textId="77777777" w:rsidR="00000000" w:rsidRDefault="00195E73">
      <w:pPr>
        <w:jc w:val="center"/>
        <w:rPr>
          <w:rFonts w:eastAsia="Times New Roman"/>
        </w:rPr>
      </w:pPr>
    </w:p>
    <w:p w14:paraId="7090F2B8" w14:textId="77777777" w:rsidR="00000000" w:rsidRDefault="00195E73">
      <w:pPr>
        <w:jc w:val="center"/>
        <w:rPr>
          <w:rFonts w:eastAsia="Times New Roman"/>
        </w:rPr>
      </w:pPr>
    </w:p>
    <w:p w14:paraId="03BC7841" w14:textId="77777777" w:rsidR="00000000" w:rsidRDefault="00195E73">
      <w:pPr>
        <w:jc w:val="center"/>
        <w:rPr>
          <w:rFonts w:eastAsia="Times New Roman"/>
        </w:rPr>
      </w:pPr>
      <w:r>
        <w:rPr>
          <w:rFonts w:eastAsia="Times New Roman"/>
          <w:i/>
          <w:iCs/>
          <w:color w:val="000000"/>
          <w:sz w:val="20"/>
          <w:szCs w:val="20"/>
        </w:rPr>
        <w:t>See notes to condensed financial statements</w:t>
      </w:r>
      <w:r>
        <w:rPr>
          <w:rFonts w:eastAsia="Times New Roman"/>
          <w:i/>
          <w:iCs/>
          <w:color w:val="000000"/>
          <w:sz w:val="20"/>
          <w:szCs w:val="20"/>
        </w:rPr>
        <w:t>.</w:t>
      </w:r>
    </w:p>
    <w:p w14:paraId="705E0F61" w14:textId="77777777" w:rsidR="00000000" w:rsidRDefault="00195E73">
      <w:pPr>
        <w:jc w:val="center"/>
        <w:divId w:val="963148189"/>
        <w:rPr>
          <w:rFonts w:eastAsia="Times New Roman"/>
        </w:rPr>
      </w:pPr>
      <w:r>
        <w:rPr>
          <w:rFonts w:eastAsia="Times New Roman"/>
          <w:color w:val="000000"/>
          <w:sz w:val="20"/>
          <w:szCs w:val="20"/>
        </w:rPr>
        <w:t>13</w:t>
      </w:r>
      <w:r>
        <w:rPr>
          <w:rFonts w:eastAsia="Times New Roman"/>
          <w:color w:val="000000"/>
          <w:sz w:val="20"/>
          <w:szCs w:val="20"/>
        </w:rPr>
        <w:t>3</w:t>
      </w:r>
    </w:p>
    <w:p w14:paraId="6380FE29" w14:textId="77777777" w:rsidR="00000000" w:rsidRDefault="00195E73">
      <w:pPr>
        <w:rPr>
          <w:rFonts w:eastAsia="Times New Roman"/>
        </w:rPr>
      </w:pPr>
      <w:r>
        <w:rPr>
          <w:rFonts w:eastAsia="Times New Roman"/>
        </w:rPr>
        <w:pict w14:anchorId="1993AD02">
          <v:rect id="_x0000_i1159" style="width:0;height:1.5pt" o:hralign="center" o:hrstd="t" o:hr="t" fillcolor="#a0a0a0" stroked="f"/>
        </w:pict>
      </w:r>
    </w:p>
    <w:p w14:paraId="66A369E5" w14:textId="77777777" w:rsidR="00000000" w:rsidRDefault="00195E73">
      <w:pPr>
        <w:divId w:val="1383677162"/>
        <w:rPr>
          <w:rFonts w:eastAsia="Times New Roman"/>
        </w:rPr>
      </w:pPr>
    </w:p>
    <w:p w14:paraId="262271D3" w14:textId="77777777" w:rsidR="00000000" w:rsidRDefault="00195E73">
      <w:pPr>
        <w:jc w:val="center"/>
        <w:rPr>
          <w:rFonts w:eastAsia="Times New Roman"/>
        </w:rPr>
      </w:pPr>
      <w:r>
        <w:rPr>
          <w:rFonts w:eastAsia="Times New Roman"/>
          <w:b/>
          <w:bCs/>
          <w:color w:val="000000"/>
          <w:sz w:val="20"/>
          <w:szCs w:val="20"/>
        </w:rPr>
        <w:t xml:space="preserve">SCHEDULE </w:t>
      </w:r>
      <w:r>
        <w:rPr>
          <w:rFonts w:eastAsia="Times New Roman"/>
          <w:b/>
          <w:bCs/>
          <w:color w:val="000000"/>
          <w:sz w:val="20"/>
          <w:szCs w:val="20"/>
        </w:rPr>
        <w:t>I</w:t>
      </w:r>
    </w:p>
    <w:p w14:paraId="12757A41" w14:textId="77777777" w:rsidR="00000000" w:rsidRDefault="00195E73">
      <w:pPr>
        <w:jc w:val="center"/>
        <w:rPr>
          <w:rFonts w:eastAsia="Times New Roman"/>
        </w:rPr>
      </w:pPr>
    </w:p>
    <w:p w14:paraId="3FDFD7D8" w14:textId="77777777" w:rsidR="00000000" w:rsidRDefault="00195E73">
      <w:pPr>
        <w:jc w:val="center"/>
        <w:rPr>
          <w:rFonts w:eastAsia="Times New Roman"/>
        </w:rPr>
      </w:pPr>
      <w:r>
        <w:rPr>
          <w:rFonts w:eastAsia="Times New Roman"/>
          <w:b/>
          <w:bCs/>
          <w:color w:val="000000"/>
          <w:sz w:val="20"/>
          <w:szCs w:val="20"/>
        </w:rPr>
        <w:t>ICAHN ENTERPRISES, L.P. </w:t>
      </w:r>
      <w:r>
        <w:rPr>
          <w:rFonts w:eastAsia="Times New Roman"/>
          <w:b/>
          <w:bCs/>
          <w:color w:val="000000"/>
          <w:sz w:val="20"/>
          <w:szCs w:val="20"/>
        </w:rPr>
        <w:t> </w:t>
      </w:r>
    </w:p>
    <w:p w14:paraId="09685735" w14:textId="77777777" w:rsidR="00000000" w:rsidRDefault="00195E73">
      <w:pPr>
        <w:jc w:val="center"/>
        <w:rPr>
          <w:rFonts w:eastAsia="Times New Roman"/>
        </w:rPr>
      </w:pPr>
      <w:r>
        <w:rPr>
          <w:rFonts w:eastAsia="Times New Roman"/>
          <w:b/>
          <w:bCs/>
          <w:color w:val="000000"/>
          <w:sz w:val="20"/>
          <w:szCs w:val="20"/>
        </w:rPr>
        <w:t>(Parent Company</w:t>
      </w:r>
      <w:r>
        <w:rPr>
          <w:rFonts w:eastAsia="Times New Roman"/>
          <w:b/>
          <w:bCs/>
          <w:color w:val="000000"/>
          <w:sz w:val="20"/>
          <w:szCs w:val="20"/>
        </w:rPr>
        <w:t>)</w:t>
      </w:r>
    </w:p>
    <w:p w14:paraId="02E648A6" w14:textId="77777777" w:rsidR="00000000" w:rsidRDefault="00195E73">
      <w:pPr>
        <w:jc w:val="center"/>
        <w:rPr>
          <w:rFonts w:eastAsia="Times New Roman"/>
        </w:rPr>
      </w:pPr>
    </w:p>
    <w:p w14:paraId="577DCB37" w14:textId="77777777" w:rsidR="00000000" w:rsidRDefault="00195E73">
      <w:pPr>
        <w:jc w:val="center"/>
        <w:rPr>
          <w:rFonts w:eastAsia="Times New Roman"/>
        </w:rPr>
      </w:pPr>
      <w:r>
        <w:rPr>
          <w:rFonts w:eastAsia="Times New Roman"/>
          <w:b/>
          <w:bCs/>
          <w:color w:val="000000"/>
          <w:sz w:val="20"/>
          <w:szCs w:val="20"/>
        </w:rPr>
        <w:t>CONDENSED STATEMENTS OF OPERATION</w:t>
      </w:r>
      <w:r>
        <w:rPr>
          <w:rFonts w:eastAsia="Times New Roman"/>
          <w:b/>
          <w:bCs/>
          <w:color w:val="000000"/>
          <w:sz w:val="20"/>
          <w:szCs w:val="20"/>
        </w:rPr>
        <w:t>S</w:t>
      </w:r>
    </w:p>
    <w:p w14:paraId="0FE9DEB1" w14:textId="77777777" w:rsidR="00000000" w:rsidRDefault="00195E73">
      <w:pPr>
        <w:jc w:val="center"/>
        <w:rPr>
          <w:rFonts w:eastAsia="Times New Roman"/>
        </w:rPr>
      </w:pPr>
    </w:p>
    <w:p w14:paraId="1A10F163" w14:textId="77777777" w:rsidR="00000000" w:rsidRDefault="00195E73">
      <w:pPr>
        <w:divId w:val="21077042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4052"/>
        <w:gridCol w:w="40"/>
        <w:gridCol w:w="135"/>
        <w:gridCol w:w="956"/>
        <w:gridCol w:w="85"/>
        <w:gridCol w:w="36"/>
        <w:gridCol w:w="36"/>
        <w:gridCol w:w="36"/>
        <w:gridCol w:w="135"/>
        <w:gridCol w:w="948"/>
        <w:gridCol w:w="85"/>
        <w:gridCol w:w="36"/>
        <w:gridCol w:w="36"/>
        <w:gridCol w:w="36"/>
        <w:gridCol w:w="135"/>
        <w:gridCol w:w="949"/>
        <w:gridCol w:w="85"/>
        <w:gridCol w:w="36"/>
        <w:gridCol w:w="36"/>
        <w:gridCol w:w="36"/>
        <w:gridCol w:w="36"/>
        <w:gridCol w:w="36"/>
        <w:gridCol w:w="36"/>
        <w:gridCol w:w="36"/>
        <w:gridCol w:w="36"/>
        <w:gridCol w:w="36"/>
        <w:gridCol w:w="36"/>
        <w:gridCol w:w="36"/>
        <w:gridCol w:w="36"/>
      </w:tblGrid>
      <w:tr w:rsidR="00000000" w14:paraId="3AC5FBE0" w14:textId="77777777">
        <w:trPr>
          <w:gridAfter w:val="12"/>
          <w:divId w:val="979070044"/>
          <w:jc w:val="center"/>
        </w:trPr>
        <w:tc>
          <w:tcPr>
            <w:tcW w:w="50" w:type="pct"/>
            <w:vAlign w:val="center"/>
            <w:hideMark/>
          </w:tcPr>
          <w:p w14:paraId="17092893" w14:textId="77777777" w:rsidR="00000000" w:rsidRDefault="00195E73">
            <w:pPr>
              <w:rPr>
                <w:rFonts w:eastAsia="Times New Roman"/>
              </w:rPr>
            </w:pPr>
          </w:p>
        </w:tc>
        <w:tc>
          <w:tcPr>
            <w:tcW w:w="2601" w:type="pct"/>
            <w:vAlign w:val="center"/>
            <w:hideMark/>
          </w:tcPr>
          <w:p w14:paraId="55665F6D" w14:textId="77777777" w:rsidR="00000000" w:rsidRDefault="00195E73">
            <w:pPr>
              <w:rPr>
                <w:rFonts w:eastAsia="Times New Roman"/>
                <w:sz w:val="20"/>
                <w:szCs w:val="20"/>
              </w:rPr>
            </w:pPr>
          </w:p>
        </w:tc>
        <w:tc>
          <w:tcPr>
            <w:tcW w:w="50" w:type="pct"/>
            <w:vAlign w:val="center"/>
            <w:hideMark/>
          </w:tcPr>
          <w:p w14:paraId="5367B223" w14:textId="77777777" w:rsidR="00000000" w:rsidRDefault="00195E73">
            <w:pPr>
              <w:rPr>
                <w:rFonts w:eastAsia="Times New Roman"/>
                <w:sz w:val="20"/>
                <w:szCs w:val="20"/>
              </w:rPr>
            </w:pPr>
          </w:p>
        </w:tc>
        <w:tc>
          <w:tcPr>
            <w:tcW w:w="50" w:type="pct"/>
            <w:vAlign w:val="center"/>
            <w:hideMark/>
          </w:tcPr>
          <w:p w14:paraId="4C29C4E0" w14:textId="77777777" w:rsidR="00000000" w:rsidRDefault="00195E73">
            <w:pPr>
              <w:rPr>
                <w:rFonts w:eastAsia="Times New Roman"/>
                <w:sz w:val="20"/>
                <w:szCs w:val="20"/>
              </w:rPr>
            </w:pPr>
          </w:p>
        </w:tc>
        <w:tc>
          <w:tcPr>
            <w:tcW w:w="632" w:type="pct"/>
            <w:vAlign w:val="center"/>
            <w:hideMark/>
          </w:tcPr>
          <w:p w14:paraId="7972AF3F" w14:textId="77777777" w:rsidR="00000000" w:rsidRDefault="00195E73">
            <w:pPr>
              <w:rPr>
                <w:rFonts w:eastAsia="Times New Roman"/>
                <w:sz w:val="20"/>
                <w:szCs w:val="20"/>
              </w:rPr>
            </w:pPr>
          </w:p>
        </w:tc>
        <w:tc>
          <w:tcPr>
            <w:tcW w:w="50" w:type="pct"/>
            <w:vAlign w:val="center"/>
            <w:hideMark/>
          </w:tcPr>
          <w:p w14:paraId="3FB9F6FA" w14:textId="77777777" w:rsidR="00000000" w:rsidRDefault="00195E73">
            <w:pPr>
              <w:rPr>
                <w:rFonts w:eastAsia="Times New Roman"/>
                <w:sz w:val="20"/>
                <w:szCs w:val="20"/>
              </w:rPr>
            </w:pPr>
          </w:p>
        </w:tc>
        <w:tc>
          <w:tcPr>
            <w:tcW w:w="5" w:type="pct"/>
            <w:vAlign w:val="center"/>
            <w:hideMark/>
          </w:tcPr>
          <w:p w14:paraId="5C44AEA8" w14:textId="77777777" w:rsidR="00000000" w:rsidRDefault="00195E73">
            <w:pPr>
              <w:rPr>
                <w:rFonts w:eastAsia="Times New Roman"/>
                <w:sz w:val="20"/>
                <w:szCs w:val="20"/>
              </w:rPr>
            </w:pPr>
          </w:p>
        </w:tc>
        <w:tc>
          <w:tcPr>
            <w:tcW w:w="41" w:type="pct"/>
            <w:vAlign w:val="center"/>
            <w:hideMark/>
          </w:tcPr>
          <w:p w14:paraId="51ED5B11" w14:textId="77777777" w:rsidR="00000000" w:rsidRDefault="00195E73">
            <w:pPr>
              <w:rPr>
                <w:rFonts w:eastAsia="Times New Roman"/>
                <w:sz w:val="20"/>
                <w:szCs w:val="20"/>
              </w:rPr>
            </w:pPr>
          </w:p>
        </w:tc>
        <w:tc>
          <w:tcPr>
            <w:tcW w:w="5" w:type="pct"/>
            <w:vAlign w:val="center"/>
            <w:hideMark/>
          </w:tcPr>
          <w:p w14:paraId="19CB7491" w14:textId="77777777" w:rsidR="00000000" w:rsidRDefault="00195E73">
            <w:pPr>
              <w:rPr>
                <w:rFonts w:eastAsia="Times New Roman"/>
                <w:sz w:val="20"/>
                <w:szCs w:val="20"/>
              </w:rPr>
            </w:pPr>
          </w:p>
        </w:tc>
        <w:tc>
          <w:tcPr>
            <w:tcW w:w="50" w:type="pct"/>
            <w:vAlign w:val="center"/>
            <w:hideMark/>
          </w:tcPr>
          <w:p w14:paraId="2D43ACE7" w14:textId="77777777" w:rsidR="00000000" w:rsidRDefault="00195E73">
            <w:pPr>
              <w:rPr>
                <w:rFonts w:eastAsia="Times New Roman"/>
                <w:sz w:val="20"/>
                <w:szCs w:val="20"/>
              </w:rPr>
            </w:pPr>
          </w:p>
        </w:tc>
        <w:tc>
          <w:tcPr>
            <w:tcW w:w="632" w:type="pct"/>
            <w:vAlign w:val="center"/>
            <w:hideMark/>
          </w:tcPr>
          <w:p w14:paraId="184CE5AC" w14:textId="77777777" w:rsidR="00000000" w:rsidRDefault="00195E73">
            <w:pPr>
              <w:rPr>
                <w:rFonts w:eastAsia="Times New Roman"/>
                <w:sz w:val="20"/>
                <w:szCs w:val="20"/>
              </w:rPr>
            </w:pPr>
          </w:p>
        </w:tc>
        <w:tc>
          <w:tcPr>
            <w:tcW w:w="50" w:type="pct"/>
            <w:vAlign w:val="center"/>
            <w:hideMark/>
          </w:tcPr>
          <w:p w14:paraId="5913C376" w14:textId="77777777" w:rsidR="00000000" w:rsidRDefault="00195E73">
            <w:pPr>
              <w:rPr>
                <w:rFonts w:eastAsia="Times New Roman"/>
                <w:sz w:val="20"/>
                <w:szCs w:val="20"/>
              </w:rPr>
            </w:pPr>
          </w:p>
        </w:tc>
        <w:tc>
          <w:tcPr>
            <w:tcW w:w="5" w:type="pct"/>
            <w:vAlign w:val="center"/>
            <w:hideMark/>
          </w:tcPr>
          <w:p w14:paraId="663E66BF" w14:textId="77777777" w:rsidR="00000000" w:rsidRDefault="00195E73">
            <w:pPr>
              <w:rPr>
                <w:rFonts w:eastAsia="Times New Roman"/>
                <w:sz w:val="20"/>
                <w:szCs w:val="20"/>
              </w:rPr>
            </w:pPr>
          </w:p>
        </w:tc>
        <w:tc>
          <w:tcPr>
            <w:tcW w:w="41" w:type="pct"/>
            <w:vAlign w:val="center"/>
            <w:hideMark/>
          </w:tcPr>
          <w:p w14:paraId="02F8A846" w14:textId="77777777" w:rsidR="00000000" w:rsidRDefault="00195E73">
            <w:pPr>
              <w:rPr>
                <w:rFonts w:eastAsia="Times New Roman"/>
                <w:sz w:val="20"/>
                <w:szCs w:val="20"/>
              </w:rPr>
            </w:pPr>
          </w:p>
        </w:tc>
        <w:tc>
          <w:tcPr>
            <w:tcW w:w="5" w:type="pct"/>
            <w:vAlign w:val="center"/>
            <w:hideMark/>
          </w:tcPr>
          <w:p w14:paraId="185C34B6" w14:textId="77777777" w:rsidR="00000000" w:rsidRDefault="00195E73">
            <w:pPr>
              <w:rPr>
                <w:rFonts w:eastAsia="Times New Roman"/>
                <w:sz w:val="20"/>
                <w:szCs w:val="20"/>
              </w:rPr>
            </w:pPr>
          </w:p>
        </w:tc>
        <w:tc>
          <w:tcPr>
            <w:tcW w:w="50" w:type="pct"/>
            <w:vAlign w:val="center"/>
            <w:hideMark/>
          </w:tcPr>
          <w:p w14:paraId="245EF533" w14:textId="77777777" w:rsidR="00000000" w:rsidRDefault="00195E73">
            <w:pPr>
              <w:rPr>
                <w:rFonts w:eastAsia="Times New Roman"/>
                <w:sz w:val="20"/>
                <w:szCs w:val="20"/>
              </w:rPr>
            </w:pPr>
          </w:p>
        </w:tc>
        <w:tc>
          <w:tcPr>
            <w:tcW w:w="632" w:type="pct"/>
            <w:vAlign w:val="center"/>
            <w:hideMark/>
          </w:tcPr>
          <w:p w14:paraId="69F17027" w14:textId="77777777" w:rsidR="00000000" w:rsidRDefault="00195E73">
            <w:pPr>
              <w:rPr>
                <w:rFonts w:eastAsia="Times New Roman"/>
                <w:sz w:val="20"/>
                <w:szCs w:val="20"/>
              </w:rPr>
            </w:pPr>
          </w:p>
        </w:tc>
        <w:tc>
          <w:tcPr>
            <w:tcW w:w="50" w:type="pct"/>
            <w:vAlign w:val="center"/>
            <w:hideMark/>
          </w:tcPr>
          <w:p w14:paraId="6E688512" w14:textId="77777777" w:rsidR="00000000" w:rsidRDefault="00195E73">
            <w:pPr>
              <w:rPr>
                <w:rFonts w:eastAsia="Times New Roman"/>
                <w:sz w:val="20"/>
                <w:szCs w:val="20"/>
              </w:rPr>
            </w:pPr>
          </w:p>
        </w:tc>
      </w:tr>
      <w:tr w:rsidR="00000000" w14:paraId="445E0194" w14:textId="77777777">
        <w:trPr>
          <w:divId w:val="979070044"/>
          <w:jc w:val="center"/>
        </w:trPr>
        <w:tc>
          <w:tcPr>
            <w:tcW w:w="0" w:type="auto"/>
            <w:gridSpan w:val="3"/>
            <w:tcMar>
              <w:top w:w="15" w:type="dxa"/>
              <w:left w:w="20" w:type="dxa"/>
              <w:bottom w:w="15" w:type="dxa"/>
              <w:right w:w="20" w:type="dxa"/>
            </w:tcMar>
            <w:vAlign w:val="bottom"/>
            <w:hideMark/>
          </w:tcPr>
          <w:p w14:paraId="585C8F6C"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71F71446"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2ED1ACCE" w14:textId="77777777" w:rsidR="00000000" w:rsidRDefault="00195E73">
            <w:pPr>
              <w:jc w:val="center"/>
              <w:rPr>
                <w:rFonts w:eastAsia="Times New Roman"/>
              </w:rPr>
            </w:pPr>
          </w:p>
        </w:tc>
        <w:tc>
          <w:tcPr>
            <w:tcW w:w="0" w:type="auto"/>
            <w:gridSpan w:val="3"/>
            <w:vAlign w:val="center"/>
            <w:hideMark/>
          </w:tcPr>
          <w:p w14:paraId="3CDF198D" w14:textId="77777777" w:rsidR="00000000" w:rsidRDefault="00195E73">
            <w:pPr>
              <w:rPr>
                <w:rFonts w:eastAsia="Times New Roman"/>
                <w:sz w:val="20"/>
                <w:szCs w:val="20"/>
              </w:rPr>
            </w:pPr>
          </w:p>
        </w:tc>
        <w:tc>
          <w:tcPr>
            <w:tcW w:w="0" w:type="auto"/>
            <w:gridSpan w:val="3"/>
            <w:vAlign w:val="center"/>
            <w:hideMark/>
          </w:tcPr>
          <w:p w14:paraId="55E41156" w14:textId="77777777" w:rsidR="00000000" w:rsidRDefault="00195E73">
            <w:pPr>
              <w:rPr>
                <w:rFonts w:eastAsia="Times New Roman"/>
                <w:sz w:val="20"/>
                <w:szCs w:val="20"/>
              </w:rPr>
            </w:pPr>
          </w:p>
        </w:tc>
        <w:tc>
          <w:tcPr>
            <w:tcW w:w="0" w:type="auto"/>
            <w:gridSpan w:val="3"/>
            <w:vAlign w:val="center"/>
            <w:hideMark/>
          </w:tcPr>
          <w:p w14:paraId="2979E54A" w14:textId="77777777" w:rsidR="00000000" w:rsidRDefault="00195E73">
            <w:pPr>
              <w:rPr>
                <w:rFonts w:eastAsia="Times New Roman"/>
                <w:sz w:val="20"/>
                <w:szCs w:val="20"/>
              </w:rPr>
            </w:pPr>
          </w:p>
        </w:tc>
      </w:tr>
      <w:tr w:rsidR="00000000" w14:paraId="27A18354" w14:textId="77777777">
        <w:trPr>
          <w:divId w:val="979070044"/>
          <w:jc w:val="center"/>
        </w:trPr>
        <w:tc>
          <w:tcPr>
            <w:tcW w:w="0" w:type="auto"/>
            <w:gridSpan w:val="3"/>
            <w:tcMar>
              <w:top w:w="15" w:type="dxa"/>
              <w:left w:w="20" w:type="dxa"/>
              <w:bottom w:w="15" w:type="dxa"/>
              <w:right w:w="20" w:type="dxa"/>
            </w:tcMar>
            <w:vAlign w:val="bottom"/>
            <w:hideMark/>
          </w:tcPr>
          <w:p w14:paraId="656F5F5C"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CAA2908"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26F5053A"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0D65C83"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5AA7CA48"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080AF0"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399890C6" w14:textId="77777777" w:rsidR="00000000" w:rsidRDefault="00195E73">
            <w:pPr>
              <w:rPr>
                <w:rFonts w:eastAsia="Times New Roman"/>
                <w:sz w:val="20"/>
                <w:szCs w:val="20"/>
              </w:rPr>
            </w:pPr>
          </w:p>
        </w:tc>
        <w:tc>
          <w:tcPr>
            <w:tcW w:w="0" w:type="auto"/>
            <w:vAlign w:val="center"/>
            <w:hideMark/>
          </w:tcPr>
          <w:p w14:paraId="2CF6D1E0" w14:textId="77777777" w:rsidR="00000000" w:rsidRDefault="00195E73">
            <w:pPr>
              <w:rPr>
                <w:rFonts w:eastAsia="Times New Roman"/>
                <w:sz w:val="20"/>
                <w:szCs w:val="20"/>
              </w:rPr>
            </w:pPr>
          </w:p>
        </w:tc>
        <w:tc>
          <w:tcPr>
            <w:tcW w:w="0" w:type="auto"/>
            <w:vAlign w:val="center"/>
            <w:hideMark/>
          </w:tcPr>
          <w:p w14:paraId="13DE3EF7" w14:textId="77777777" w:rsidR="00000000" w:rsidRDefault="00195E73">
            <w:pPr>
              <w:rPr>
                <w:rFonts w:eastAsia="Times New Roman"/>
                <w:sz w:val="20"/>
                <w:szCs w:val="20"/>
              </w:rPr>
            </w:pPr>
          </w:p>
        </w:tc>
        <w:tc>
          <w:tcPr>
            <w:tcW w:w="0" w:type="auto"/>
            <w:vAlign w:val="center"/>
            <w:hideMark/>
          </w:tcPr>
          <w:p w14:paraId="5022533C" w14:textId="77777777" w:rsidR="00000000" w:rsidRDefault="00195E73">
            <w:pPr>
              <w:rPr>
                <w:rFonts w:eastAsia="Times New Roman"/>
                <w:sz w:val="20"/>
                <w:szCs w:val="20"/>
              </w:rPr>
            </w:pPr>
          </w:p>
        </w:tc>
        <w:tc>
          <w:tcPr>
            <w:tcW w:w="0" w:type="auto"/>
            <w:vAlign w:val="center"/>
            <w:hideMark/>
          </w:tcPr>
          <w:p w14:paraId="4FE005E7" w14:textId="77777777" w:rsidR="00000000" w:rsidRDefault="00195E73">
            <w:pPr>
              <w:rPr>
                <w:rFonts w:eastAsia="Times New Roman"/>
                <w:sz w:val="20"/>
                <w:szCs w:val="20"/>
              </w:rPr>
            </w:pPr>
          </w:p>
        </w:tc>
        <w:tc>
          <w:tcPr>
            <w:tcW w:w="0" w:type="auto"/>
            <w:vAlign w:val="center"/>
            <w:hideMark/>
          </w:tcPr>
          <w:p w14:paraId="604F5857" w14:textId="77777777" w:rsidR="00000000" w:rsidRDefault="00195E73">
            <w:pPr>
              <w:rPr>
                <w:rFonts w:eastAsia="Times New Roman"/>
                <w:sz w:val="20"/>
                <w:szCs w:val="20"/>
              </w:rPr>
            </w:pPr>
          </w:p>
        </w:tc>
        <w:tc>
          <w:tcPr>
            <w:tcW w:w="0" w:type="auto"/>
            <w:vAlign w:val="center"/>
            <w:hideMark/>
          </w:tcPr>
          <w:p w14:paraId="5EFCF13F" w14:textId="77777777" w:rsidR="00000000" w:rsidRDefault="00195E73">
            <w:pPr>
              <w:rPr>
                <w:rFonts w:eastAsia="Times New Roman"/>
                <w:sz w:val="20"/>
                <w:szCs w:val="20"/>
              </w:rPr>
            </w:pPr>
          </w:p>
        </w:tc>
        <w:tc>
          <w:tcPr>
            <w:tcW w:w="0" w:type="auto"/>
            <w:vAlign w:val="center"/>
            <w:hideMark/>
          </w:tcPr>
          <w:p w14:paraId="28BFF074" w14:textId="77777777" w:rsidR="00000000" w:rsidRDefault="00195E73">
            <w:pPr>
              <w:rPr>
                <w:rFonts w:eastAsia="Times New Roman"/>
                <w:sz w:val="20"/>
                <w:szCs w:val="20"/>
              </w:rPr>
            </w:pPr>
          </w:p>
        </w:tc>
        <w:tc>
          <w:tcPr>
            <w:tcW w:w="0" w:type="auto"/>
            <w:vAlign w:val="center"/>
            <w:hideMark/>
          </w:tcPr>
          <w:p w14:paraId="66786190" w14:textId="77777777" w:rsidR="00000000" w:rsidRDefault="00195E73">
            <w:pPr>
              <w:rPr>
                <w:rFonts w:eastAsia="Times New Roman"/>
                <w:sz w:val="20"/>
                <w:szCs w:val="20"/>
              </w:rPr>
            </w:pPr>
          </w:p>
        </w:tc>
        <w:tc>
          <w:tcPr>
            <w:tcW w:w="0" w:type="auto"/>
            <w:vAlign w:val="center"/>
            <w:hideMark/>
          </w:tcPr>
          <w:p w14:paraId="3343BFD5" w14:textId="77777777" w:rsidR="00000000" w:rsidRDefault="00195E73">
            <w:pPr>
              <w:rPr>
                <w:rFonts w:eastAsia="Times New Roman"/>
                <w:sz w:val="20"/>
                <w:szCs w:val="20"/>
              </w:rPr>
            </w:pPr>
          </w:p>
        </w:tc>
        <w:tc>
          <w:tcPr>
            <w:tcW w:w="0" w:type="auto"/>
            <w:vAlign w:val="center"/>
            <w:hideMark/>
          </w:tcPr>
          <w:p w14:paraId="49232525" w14:textId="77777777" w:rsidR="00000000" w:rsidRDefault="00195E73">
            <w:pPr>
              <w:rPr>
                <w:rFonts w:eastAsia="Times New Roman"/>
                <w:sz w:val="20"/>
                <w:szCs w:val="20"/>
              </w:rPr>
            </w:pPr>
          </w:p>
        </w:tc>
        <w:tc>
          <w:tcPr>
            <w:tcW w:w="0" w:type="auto"/>
            <w:vAlign w:val="center"/>
            <w:hideMark/>
          </w:tcPr>
          <w:p w14:paraId="6454E351" w14:textId="77777777" w:rsidR="00000000" w:rsidRDefault="00195E73">
            <w:pPr>
              <w:rPr>
                <w:rFonts w:eastAsia="Times New Roman"/>
                <w:sz w:val="20"/>
                <w:szCs w:val="20"/>
              </w:rPr>
            </w:pPr>
          </w:p>
        </w:tc>
      </w:tr>
      <w:tr w:rsidR="00000000" w14:paraId="6FA02743" w14:textId="77777777">
        <w:trPr>
          <w:divId w:val="979070044"/>
          <w:jc w:val="center"/>
        </w:trPr>
        <w:tc>
          <w:tcPr>
            <w:tcW w:w="0" w:type="auto"/>
            <w:gridSpan w:val="3"/>
            <w:tcMar>
              <w:top w:w="15" w:type="dxa"/>
              <w:left w:w="20" w:type="dxa"/>
              <w:bottom w:w="15" w:type="dxa"/>
              <w:right w:w="20" w:type="dxa"/>
            </w:tcMar>
            <w:vAlign w:val="bottom"/>
            <w:hideMark/>
          </w:tcPr>
          <w:p w14:paraId="7A37EC61"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E742E4A"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5A2099D5" w14:textId="77777777" w:rsidR="00000000" w:rsidRDefault="00195E73">
            <w:pPr>
              <w:jc w:val="center"/>
              <w:rPr>
                <w:rFonts w:eastAsia="Times New Roman"/>
              </w:rPr>
            </w:pPr>
          </w:p>
        </w:tc>
        <w:tc>
          <w:tcPr>
            <w:tcW w:w="0" w:type="auto"/>
            <w:gridSpan w:val="3"/>
            <w:vAlign w:val="center"/>
            <w:hideMark/>
          </w:tcPr>
          <w:p w14:paraId="2FBA6F20" w14:textId="77777777" w:rsidR="00000000" w:rsidRDefault="00195E73">
            <w:pPr>
              <w:rPr>
                <w:rFonts w:eastAsia="Times New Roman"/>
                <w:sz w:val="20"/>
                <w:szCs w:val="20"/>
              </w:rPr>
            </w:pPr>
          </w:p>
        </w:tc>
        <w:tc>
          <w:tcPr>
            <w:tcW w:w="0" w:type="auto"/>
            <w:gridSpan w:val="3"/>
            <w:vAlign w:val="center"/>
            <w:hideMark/>
          </w:tcPr>
          <w:p w14:paraId="1E45E3F0" w14:textId="77777777" w:rsidR="00000000" w:rsidRDefault="00195E73">
            <w:pPr>
              <w:rPr>
                <w:rFonts w:eastAsia="Times New Roman"/>
                <w:sz w:val="20"/>
                <w:szCs w:val="20"/>
              </w:rPr>
            </w:pPr>
          </w:p>
        </w:tc>
        <w:tc>
          <w:tcPr>
            <w:tcW w:w="0" w:type="auto"/>
            <w:gridSpan w:val="3"/>
            <w:vAlign w:val="center"/>
            <w:hideMark/>
          </w:tcPr>
          <w:p w14:paraId="7A462256" w14:textId="77777777" w:rsidR="00000000" w:rsidRDefault="00195E73">
            <w:pPr>
              <w:rPr>
                <w:rFonts w:eastAsia="Times New Roman"/>
                <w:sz w:val="20"/>
                <w:szCs w:val="20"/>
              </w:rPr>
            </w:pPr>
          </w:p>
        </w:tc>
      </w:tr>
      <w:tr w:rsidR="00000000" w14:paraId="4F7CC603" w14:textId="77777777">
        <w:trPr>
          <w:divId w:val="979070044"/>
          <w:jc w:val="center"/>
        </w:trPr>
        <w:tc>
          <w:tcPr>
            <w:tcW w:w="0" w:type="auto"/>
            <w:gridSpan w:val="3"/>
            <w:shd w:val="clear" w:color="auto" w:fill="CCEEFF"/>
            <w:tcMar>
              <w:top w:w="30" w:type="dxa"/>
              <w:left w:w="20" w:type="dxa"/>
              <w:bottom w:w="30" w:type="dxa"/>
              <w:right w:w="20" w:type="dxa"/>
            </w:tcMar>
            <w:vAlign w:val="bottom"/>
            <w:hideMark/>
          </w:tcPr>
          <w:p w14:paraId="6E0F3670" w14:textId="77777777" w:rsidR="00000000" w:rsidRDefault="00195E73">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14:paraId="58A865B1"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F520CA5" w14:textId="77777777" w:rsidR="00000000" w:rsidRDefault="00195E73">
            <w:pPr>
              <w:jc w:val="right"/>
              <w:rPr>
                <w:rFonts w:eastAsia="Times New Roman"/>
              </w:rPr>
            </w:pPr>
            <w:r>
              <w:rPr>
                <w:rFonts w:eastAsia="Times New Roman"/>
                <w:color w:val="000000"/>
                <w:sz w:val="20"/>
                <w:szCs w:val="20"/>
              </w:rPr>
              <w:t>(350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9BBEB8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46C4B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AF4E524"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0074EF2" w14:textId="77777777" w:rsidR="00000000" w:rsidRDefault="00195E73">
            <w:pPr>
              <w:jc w:val="right"/>
              <w:rPr>
                <w:rFonts w:eastAsia="Times New Roman"/>
              </w:rPr>
            </w:pPr>
            <w:r>
              <w:rPr>
                <w:rFonts w:eastAsia="Times New Roman"/>
                <w:color w:val="000000"/>
                <w:sz w:val="20"/>
                <w:szCs w:val="20"/>
              </w:rPr>
              <w:t>(337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36C94F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9AEBA4"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D4EE9B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768E3FB" w14:textId="77777777" w:rsidR="00000000" w:rsidRDefault="00195E73">
            <w:pPr>
              <w:jc w:val="right"/>
              <w:rPr>
                <w:rFonts w:eastAsia="Times New Roman"/>
              </w:rPr>
            </w:pPr>
            <w:r>
              <w:rPr>
                <w:rFonts w:eastAsia="Times New Roman"/>
                <w:color w:val="000000"/>
                <w:sz w:val="20"/>
                <w:szCs w:val="20"/>
              </w:rPr>
              <w:t>(323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DFEC73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22D30D8" w14:textId="77777777" w:rsidR="00000000" w:rsidRDefault="00195E73">
            <w:pPr>
              <w:rPr>
                <w:rFonts w:eastAsia="Times New Roman"/>
                <w:sz w:val="20"/>
                <w:szCs w:val="20"/>
              </w:rPr>
            </w:pPr>
          </w:p>
        </w:tc>
        <w:tc>
          <w:tcPr>
            <w:tcW w:w="0" w:type="auto"/>
            <w:vAlign w:val="center"/>
            <w:hideMark/>
          </w:tcPr>
          <w:p w14:paraId="6AB79A38" w14:textId="77777777" w:rsidR="00000000" w:rsidRDefault="00195E73">
            <w:pPr>
              <w:rPr>
                <w:rFonts w:eastAsia="Times New Roman"/>
                <w:sz w:val="20"/>
                <w:szCs w:val="20"/>
              </w:rPr>
            </w:pPr>
          </w:p>
        </w:tc>
        <w:tc>
          <w:tcPr>
            <w:tcW w:w="0" w:type="auto"/>
            <w:vAlign w:val="center"/>
            <w:hideMark/>
          </w:tcPr>
          <w:p w14:paraId="20A448B0" w14:textId="77777777" w:rsidR="00000000" w:rsidRDefault="00195E73">
            <w:pPr>
              <w:rPr>
                <w:rFonts w:eastAsia="Times New Roman"/>
                <w:sz w:val="20"/>
                <w:szCs w:val="20"/>
              </w:rPr>
            </w:pPr>
          </w:p>
        </w:tc>
        <w:tc>
          <w:tcPr>
            <w:tcW w:w="0" w:type="auto"/>
            <w:vAlign w:val="center"/>
            <w:hideMark/>
          </w:tcPr>
          <w:p w14:paraId="59854275" w14:textId="77777777" w:rsidR="00000000" w:rsidRDefault="00195E73">
            <w:pPr>
              <w:rPr>
                <w:rFonts w:eastAsia="Times New Roman"/>
                <w:sz w:val="20"/>
                <w:szCs w:val="20"/>
              </w:rPr>
            </w:pPr>
          </w:p>
        </w:tc>
        <w:tc>
          <w:tcPr>
            <w:tcW w:w="0" w:type="auto"/>
            <w:vAlign w:val="center"/>
            <w:hideMark/>
          </w:tcPr>
          <w:p w14:paraId="68535705" w14:textId="77777777" w:rsidR="00000000" w:rsidRDefault="00195E73">
            <w:pPr>
              <w:rPr>
                <w:rFonts w:eastAsia="Times New Roman"/>
                <w:sz w:val="20"/>
                <w:szCs w:val="20"/>
              </w:rPr>
            </w:pPr>
          </w:p>
        </w:tc>
        <w:tc>
          <w:tcPr>
            <w:tcW w:w="0" w:type="auto"/>
            <w:vAlign w:val="center"/>
            <w:hideMark/>
          </w:tcPr>
          <w:p w14:paraId="603E56D2" w14:textId="77777777" w:rsidR="00000000" w:rsidRDefault="00195E73">
            <w:pPr>
              <w:rPr>
                <w:rFonts w:eastAsia="Times New Roman"/>
                <w:sz w:val="20"/>
                <w:szCs w:val="20"/>
              </w:rPr>
            </w:pPr>
          </w:p>
        </w:tc>
        <w:tc>
          <w:tcPr>
            <w:tcW w:w="0" w:type="auto"/>
            <w:vAlign w:val="center"/>
            <w:hideMark/>
          </w:tcPr>
          <w:p w14:paraId="5295A7BB" w14:textId="77777777" w:rsidR="00000000" w:rsidRDefault="00195E73">
            <w:pPr>
              <w:rPr>
                <w:rFonts w:eastAsia="Times New Roman"/>
                <w:sz w:val="20"/>
                <w:szCs w:val="20"/>
              </w:rPr>
            </w:pPr>
          </w:p>
        </w:tc>
        <w:tc>
          <w:tcPr>
            <w:tcW w:w="0" w:type="auto"/>
            <w:vAlign w:val="center"/>
            <w:hideMark/>
          </w:tcPr>
          <w:p w14:paraId="52508AEC" w14:textId="77777777" w:rsidR="00000000" w:rsidRDefault="00195E73">
            <w:pPr>
              <w:rPr>
                <w:rFonts w:eastAsia="Times New Roman"/>
                <w:sz w:val="20"/>
                <w:szCs w:val="20"/>
              </w:rPr>
            </w:pPr>
          </w:p>
        </w:tc>
        <w:tc>
          <w:tcPr>
            <w:tcW w:w="0" w:type="auto"/>
            <w:vAlign w:val="center"/>
            <w:hideMark/>
          </w:tcPr>
          <w:p w14:paraId="76EE5F57" w14:textId="77777777" w:rsidR="00000000" w:rsidRDefault="00195E73">
            <w:pPr>
              <w:rPr>
                <w:rFonts w:eastAsia="Times New Roman"/>
                <w:sz w:val="20"/>
                <w:szCs w:val="20"/>
              </w:rPr>
            </w:pPr>
          </w:p>
        </w:tc>
        <w:tc>
          <w:tcPr>
            <w:tcW w:w="0" w:type="auto"/>
            <w:vAlign w:val="center"/>
            <w:hideMark/>
          </w:tcPr>
          <w:p w14:paraId="31CC841E" w14:textId="77777777" w:rsidR="00000000" w:rsidRDefault="00195E73">
            <w:pPr>
              <w:rPr>
                <w:rFonts w:eastAsia="Times New Roman"/>
                <w:sz w:val="20"/>
                <w:szCs w:val="20"/>
              </w:rPr>
            </w:pPr>
          </w:p>
        </w:tc>
        <w:tc>
          <w:tcPr>
            <w:tcW w:w="0" w:type="auto"/>
            <w:vAlign w:val="center"/>
            <w:hideMark/>
          </w:tcPr>
          <w:p w14:paraId="0DF541F3" w14:textId="77777777" w:rsidR="00000000" w:rsidRDefault="00195E73">
            <w:pPr>
              <w:rPr>
                <w:rFonts w:eastAsia="Times New Roman"/>
                <w:sz w:val="20"/>
                <w:szCs w:val="20"/>
              </w:rPr>
            </w:pPr>
          </w:p>
        </w:tc>
        <w:tc>
          <w:tcPr>
            <w:tcW w:w="0" w:type="auto"/>
            <w:vAlign w:val="center"/>
            <w:hideMark/>
          </w:tcPr>
          <w:p w14:paraId="14EFD2F5" w14:textId="77777777" w:rsidR="00000000" w:rsidRDefault="00195E73">
            <w:pPr>
              <w:rPr>
                <w:rFonts w:eastAsia="Times New Roman"/>
                <w:sz w:val="20"/>
                <w:szCs w:val="20"/>
              </w:rPr>
            </w:pPr>
          </w:p>
        </w:tc>
      </w:tr>
      <w:tr w:rsidR="00000000" w14:paraId="589BA8A8" w14:textId="77777777">
        <w:trPr>
          <w:divId w:val="979070044"/>
          <w:jc w:val="center"/>
        </w:trPr>
        <w:tc>
          <w:tcPr>
            <w:tcW w:w="0" w:type="auto"/>
            <w:gridSpan w:val="3"/>
            <w:shd w:val="clear" w:color="auto" w:fill="FFFFFF"/>
            <w:tcMar>
              <w:top w:w="30" w:type="dxa"/>
              <w:left w:w="20" w:type="dxa"/>
              <w:bottom w:w="30" w:type="dxa"/>
              <w:right w:w="20" w:type="dxa"/>
            </w:tcMar>
            <w:vAlign w:val="bottom"/>
            <w:hideMark/>
          </w:tcPr>
          <w:p w14:paraId="00C54619" w14:textId="77777777" w:rsidR="00000000" w:rsidRDefault="00195E73">
            <w:pPr>
              <w:rPr>
                <w:rFonts w:eastAsia="Times New Roman"/>
              </w:rPr>
            </w:pPr>
            <w:r>
              <w:rPr>
                <w:rFonts w:eastAsia="Times New Roman"/>
                <w:color w:val="000000"/>
                <w:sz w:val="20"/>
                <w:szCs w:val="20"/>
              </w:rPr>
              <w:t>Gain (loss) on extinguishment of deb</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2B1EDADD"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9BF297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5A60BF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25C32C"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9BD2A8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9164C9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8465B7" w14:textId="77777777" w:rsidR="00000000" w:rsidRDefault="00195E73">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D3EEDC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235C6E3" w14:textId="77777777" w:rsidR="00000000" w:rsidRDefault="00195E73">
            <w:pPr>
              <w:rPr>
                <w:rFonts w:eastAsia="Times New Roman"/>
                <w:sz w:val="20"/>
                <w:szCs w:val="20"/>
              </w:rPr>
            </w:pPr>
          </w:p>
        </w:tc>
        <w:tc>
          <w:tcPr>
            <w:tcW w:w="0" w:type="auto"/>
            <w:vAlign w:val="center"/>
            <w:hideMark/>
          </w:tcPr>
          <w:p w14:paraId="541BBE24" w14:textId="77777777" w:rsidR="00000000" w:rsidRDefault="00195E73">
            <w:pPr>
              <w:rPr>
                <w:rFonts w:eastAsia="Times New Roman"/>
                <w:sz w:val="20"/>
                <w:szCs w:val="20"/>
              </w:rPr>
            </w:pPr>
          </w:p>
        </w:tc>
        <w:tc>
          <w:tcPr>
            <w:tcW w:w="0" w:type="auto"/>
            <w:vAlign w:val="center"/>
            <w:hideMark/>
          </w:tcPr>
          <w:p w14:paraId="475A5673" w14:textId="77777777" w:rsidR="00000000" w:rsidRDefault="00195E73">
            <w:pPr>
              <w:rPr>
                <w:rFonts w:eastAsia="Times New Roman"/>
                <w:sz w:val="20"/>
                <w:szCs w:val="20"/>
              </w:rPr>
            </w:pPr>
          </w:p>
        </w:tc>
        <w:tc>
          <w:tcPr>
            <w:tcW w:w="0" w:type="auto"/>
            <w:vAlign w:val="center"/>
            <w:hideMark/>
          </w:tcPr>
          <w:p w14:paraId="6FB35EC7" w14:textId="77777777" w:rsidR="00000000" w:rsidRDefault="00195E73">
            <w:pPr>
              <w:rPr>
                <w:rFonts w:eastAsia="Times New Roman"/>
                <w:sz w:val="20"/>
                <w:szCs w:val="20"/>
              </w:rPr>
            </w:pPr>
          </w:p>
        </w:tc>
        <w:tc>
          <w:tcPr>
            <w:tcW w:w="0" w:type="auto"/>
            <w:vAlign w:val="center"/>
            <w:hideMark/>
          </w:tcPr>
          <w:p w14:paraId="4F47F2CD" w14:textId="77777777" w:rsidR="00000000" w:rsidRDefault="00195E73">
            <w:pPr>
              <w:rPr>
                <w:rFonts w:eastAsia="Times New Roman"/>
                <w:sz w:val="20"/>
                <w:szCs w:val="20"/>
              </w:rPr>
            </w:pPr>
          </w:p>
        </w:tc>
        <w:tc>
          <w:tcPr>
            <w:tcW w:w="0" w:type="auto"/>
            <w:vAlign w:val="center"/>
            <w:hideMark/>
          </w:tcPr>
          <w:p w14:paraId="163A7BB7" w14:textId="77777777" w:rsidR="00000000" w:rsidRDefault="00195E73">
            <w:pPr>
              <w:rPr>
                <w:rFonts w:eastAsia="Times New Roman"/>
                <w:sz w:val="20"/>
                <w:szCs w:val="20"/>
              </w:rPr>
            </w:pPr>
          </w:p>
        </w:tc>
        <w:tc>
          <w:tcPr>
            <w:tcW w:w="0" w:type="auto"/>
            <w:vAlign w:val="center"/>
            <w:hideMark/>
          </w:tcPr>
          <w:p w14:paraId="5CA8DBC4" w14:textId="77777777" w:rsidR="00000000" w:rsidRDefault="00195E73">
            <w:pPr>
              <w:rPr>
                <w:rFonts w:eastAsia="Times New Roman"/>
                <w:sz w:val="20"/>
                <w:szCs w:val="20"/>
              </w:rPr>
            </w:pPr>
          </w:p>
        </w:tc>
        <w:tc>
          <w:tcPr>
            <w:tcW w:w="0" w:type="auto"/>
            <w:vAlign w:val="center"/>
            <w:hideMark/>
          </w:tcPr>
          <w:p w14:paraId="5503E88F" w14:textId="77777777" w:rsidR="00000000" w:rsidRDefault="00195E73">
            <w:pPr>
              <w:rPr>
                <w:rFonts w:eastAsia="Times New Roman"/>
                <w:sz w:val="20"/>
                <w:szCs w:val="20"/>
              </w:rPr>
            </w:pPr>
          </w:p>
        </w:tc>
        <w:tc>
          <w:tcPr>
            <w:tcW w:w="0" w:type="auto"/>
            <w:vAlign w:val="center"/>
            <w:hideMark/>
          </w:tcPr>
          <w:p w14:paraId="11FDA78B" w14:textId="77777777" w:rsidR="00000000" w:rsidRDefault="00195E73">
            <w:pPr>
              <w:rPr>
                <w:rFonts w:eastAsia="Times New Roman"/>
                <w:sz w:val="20"/>
                <w:szCs w:val="20"/>
              </w:rPr>
            </w:pPr>
          </w:p>
        </w:tc>
        <w:tc>
          <w:tcPr>
            <w:tcW w:w="0" w:type="auto"/>
            <w:vAlign w:val="center"/>
            <w:hideMark/>
          </w:tcPr>
          <w:p w14:paraId="4B11410F" w14:textId="77777777" w:rsidR="00000000" w:rsidRDefault="00195E73">
            <w:pPr>
              <w:rPr>
                <w:rFonts w:eastAsia="Times New Roman"/>
                <w:sz w:val="20"/>
                <w:szCs w:val="20"/>
              </w:rPr>
            </w:pPr>
          </w:p>
        </w:tc>
        <w:tc>
          <w:tcPr>
            <w:tcW w:w="0" w:type="auto"/>
            <w:vAlign w:val="center"/>
            <w:hideMark/>
          </w:tcPr>
          <w:p w14:paraId="6FF9B3D0" w14:textId="77777777" w:rsidR="00000000" w:rsidRDefault="00195E73">
            <w:pPr>
              <w:rPr>
                <w:rFonts w:eastAsia="Times New Roman"/>
                <w:sz w:val="20"/>
                <w:szCs w:val="20"/>
              </w:rPr>
            </w:pPr>
          </w:p>
        </w:tc>
        <w:tc>
          <w:tcPr>
            <w:tcW w:w="0" w:type="auto"/>
            <w:vAlign w:val="center"/>
            <w:hideMark/>
          </w:tcPr>
          <w:p w14:paraId="59742AD2" w14:textId="77777777" w:rsidR="00000000" w:rsidRDefault="00195E73">
            <w:pPr>
              <w:rPr>
                <w:rFonts w:eastAsia="Times New Roman"/>
                <w:sz w:val="20"/>
                <w:szCs w:val="20"/>
              </w:rPr>
            </w:pPr>
          </w:p>
        </w:tc>
      </w:tr>
      <w:tr w:rsidR="00000000" w14:paraId="2B91BC77" w14:textId="77777777">
        <w:trPr>
          <w:divId w:val="979070044"/>
          <w:jc w:val="center"/>
        </w:trPr>
        <w:tc>
          <w:tcPr>
            <w:tcW w:w="0" w:type="auto"/>
            <w:gridSpan w:val="3"/>
            <w:shd w:val="clear" w:color="auto" w:fill="CCEEFF"/>
            <w:tcMar>
              <w:top w:w="30" w:type="dxa"/>
              <w:left w:w="20" w:type="dxa"/>
              <w:bottom w:w="30" w:type="dxa"/>
              <w:right w:w="20" w:type="dxa"/>
            </w:tcMar>
            <w:vAlign w:val="bottom"/>
            <w:hideMark/>
          </w:tcPr>
          <w:p w14:paraId="66A22439" w14:textId="77777777" w:rsidR="00000000" w:rsidRDefault="00195E73">
            <w:pPr>
              <w:rPr>
                <w:rFonts w:eastAsia="Times New Roman"/>
              </w:rPr>
            </w:pPr>
            <w:r>
              <w:rPr>
                <w:rFonts w:eastAsia="Times New Roman"/>
                <w:color w:val="000000"/>
                <w:sz w:val="20"/>
                <w:szCs w:val="20"/>
              </w:rPr>
              <w:t>Equity in (loss) income of subsidiarie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5548DD3" w14:textId="77777777" w:rsidR="00000000" w:rsidRDefault="00195E73">
            <w:pPr>
              <w:jc w:val="right"/>
              <w:rPr>
                <w:rFonts w:eastAsia="Times New Roman"/>
              </w:rPr>
            </w:pPr>
            <w:r>
              <w:rPr>
                <w:rFonts w:eastAsia="Times New Roman"/>
                <w:color w:val="000000"/>
                <w:sz w:val="20"/>
                <w:szCs w:val="20"/>
              </w:rPr>
              <w:t>(750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7D1BFC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4B807E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13AFAA" w14:textId="77777777" w:rsidR="00000000" w:rsidRDefault="00195E73">
            <w:pPr>
              <w:jc w:val="right"/>
              <w:rPr>
                <w:rFonts w:eastAsia="Times New Roman"/>
              </w:rPr>
            </w:pPr>
            <w:r>
              <w:rPr>
                <w:rFonts w:eastAsia="Times New Roman"/>
                <w:color w:val="000000"/>
                <w:sz w:val="20"/>
                <w:szCs w:val="20"/>
              </w:rPr>
              <w:t>1,819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546CD9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849387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076886" w14:textId="77777777" w:rsidR="00000000" w:rsidRDefault="00195E73">
            <w:pPr>
              <w:jc w:val="right"/>
              <w:rPr>
                <w:rFonts w:eastAsia="Times New Roman"/>
              </w:rPr>
            </w:pPr>
            <w:r>
              <w:rPr>
                <w:rFonts w:eastAsia="Times New Roman"/>
                <w:color w:val="000000"/>
                <w:sz w:val="20"/>
                <w:szCs w:val="20"/>
              </w:rPr>
              <w:t>2,789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341A0D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7C5235D" w14:textId="77777777" w:rsidR="00000000" w:rsidRDefault="00195E73">
            <w:pPr>
              <w:rPr>
                <w:rFonts w:eastAsia="Times New Roman"/>
                <w:sz w:val="20"/>
                <w:szCs w:val="20"/>
              </w:rPr>
            </w:pPr>
          </w:p>
        </w:tc>
        <w:tc>
          <w:tcPr>
            <w:tcW w:w="0" w:type="auto"/>
            <w:vAlign w:val="center"/>
            <w:hideMark/>
          </w:tcPr>
          <w:p w14:paraId="40EA81E6" w14:textId="77777777" w:rsidR="00000000" w:rsidRDefault="00195E73">
            <w:pPr>
              <w:rPr>
                <w:rFonts w:eastAsia="Times New Roman"/>
                <w:sz w:val="20"/>
                <w:szCs w:val="20"/>
              </w:rPr>
            </w:pPr>
          </w:p>
        </w:tc>
        <w:tc>
          <w:tcPr>
            <w:tcW w:w="0" w:type="auto"/>
            <w:vAlign w:val="center"/>
            <w:hideMark/>
          </w:tcPr>
          <w:p w14:paraId="7F862998" w14:textId="77777777" w:rsidR="00000000" w:rsidRDefault="00195E73">
            <w:pPr>
              <w:rPr>
                <w:rFonts w:eastAsia="Times New Roman"/>
                <w:sz w:val="20"/>
                <w:szCs w:val="20"/>
              </w:rPr>
            </w:pPr>
          </w:p>
        </w:tc>
        <w:tc>
          <w:tcPr>
            <w:tcW w:w="0" w:type="auto"/>
            <w:vAlign w:val="center"/>
            <w:hideMark/>
          </w:tcPr>
          <w:p w14:paraId="58F6B2A4" w14:textId="77777777" w:rsidR="00000000" w:rsidRDefault="00195E73">
            <w:pPr>
              <w:rPr>
                <w:rFonts w:eastAsia="Times New Roman"/>
                <w:sz w:val="20"/>
                <w:szCs w:val="20"/>
              </w:rPr>
            </w:pPr>
          </w:p>
        </w:tc>
        <w:tc>
          <w:tcPr>
            <w:tcW w:w="0" w:type="auto"/>
            <w:vAlign w:val="center"/>
            <w:hideMark/>
          </w:tcPr>
          <w:p w14:paraId="0B301253" w14:textId="77777777" w:rsidR="00000000" w:rsidRDefault="00195E73">
            <w:pPr>
              <w:rPr>
                <w:rFonts w:eastAsia="Times New Roman"/>
                <w:sz w:val="20"/>
                <w:szCs w:val="20"/>
              </w:rPr>
            </w:pPr>
          </w:p>
        </w:tc>
        <w:tc>
          <w:tcPr>
            <w:tcW w:w="0" w:type="auto"/>
            <w:vAlign w:val="center"/>
            <w:hideMark/>
          </w:tcPr>
          <w:p w14:paraId="4E3BBE56" w14:textId="77777777" w:rsidR="00000000" w:rsidRDefault="00195E73">
            <w:pPr>
              <w:rPr>
                <w:rFonts w:eastAsia="Times New Roman"/>
                <w:sz w:val="20"/>
                <w:szCs w:val="20"/>
              </w:rPr>
            </w:pPr>
          </w:p>
        </w:tc>
        <w:tc>
          <w:tcPr>
            <w:tcW w:w="0" w:type="auto"/>
            <w:vAlign w:val="center"/>
            <w:hideMark/>
          </w:tcPr>
          <w:p w14:paraId="6501CE52" w14:textId="77777777" w:rsidR="00000000" w:rsidRDefault="00195E73">
            <w:pPr>
              <w:rPr>
                <w:rFonts w:eastAsia="Times New Roman"/>
                <w:sz w:val="20"/>
                <w:szCs w:val="20"/>
              </w:rPr>
            </w:pPr>
          </w:p>
        </w:tc>
        <w:tc>
          <w:tcPr>
            <w:tcW w:w="0" w:type="auto"/>
            <w:vAlign w:val="center"/>
            <w:hideMark/>
          </w:tcPr>
          <w:p w14:paraId="1154FAE8" w14:textId="77777777" w:rsidR="00000000" w:rsidRDefault="00195E73">
            <w:pPr>
              <w:rPr>
                <w:rFonts w:eastAsia="Times New Roman"/>
                <w:sz w:val="20"/>
                <w:szCs w:val="20"/>
              </w:rPr>
            </w:pPr>
          </w:p>
        </w:tc>
        <w:tc>
          <w:tcPr>
            <w:tcW w:w="0" w:type="auto"/>
            <w:vAlign w:val="center"/>
            <w:hideMark/>
          </w:tcPr>
          <w:p w14:paraId="042A44F7" w14:textId="77777777" w:rsidR="00000000" w:rsidRDefault="00195E73">
            <w:pPr>
              <w:rPr>
                <w:rFonts w:eastAsia="Times New Roman"/>
                <w:sz w:val="20"/>
                <w:szCs w:val="20"/>
              </w:rPr>
            </w:pPr>
          </w:p>
        </w:tc>
        <w:tc>
          <w:tcPr>
            <w:tcW w:w="0" w:type="auto"/>
            <w:vAlign w:val="center"/>
            <w:hideMark/>
          </w:tcPr>
          <w:p w14:paraId="64A4716C" w14:textId="77777777" w:rsidR="00000000" w:rsidRDefault="00195E73">
            <w:pPr>
              <w:rPr>
                <w:rFonts w:eastAsia="Times New Roman"/>
                <w:sz w:val="20"/>
                <w:szCs w:val="20"/>
              </w:rPr>
            </w:pPr>
          </w:p>
        </w:tc>
        <w:tc>
          <w:tcPr>
            <w:tcW w:w="0" w:type="auto"/>
            <w:vAlign w:val="center"/>
            <w:hideMark/>
          </w:tcPr>
          <w:p w14:paraId="13A03732" w14:textId="77777777" w:rsidR="00000000" w:rsidRDefault="00195E73">
            <w:pPr>
              <w:rPr>
                <w:rFonts w:eastAsia="Times New Roman"/>
                <w:sz w:val="20"/>
                <w:szCs w:val="20"/>
              </w:rPr>
            </w:pPr>
          </w:p>
        </w:tc>
        <w:tc>
          <w:tcPr>
            <w:tcW w:w="0" w:type="auto"/>
            <w:vAlign w:val="center"/>
            <w:hideMark/>
          </w:tcPr>
          <w:p w14:paraId="04722F6B" w14:textId="77777777" w:rsidR="00000000" w:rsidRDefault="00195E73">
            <w:pPr>
              <w:rPr>
                <w:rFonts w:eastAsia="Times New Roman"/>
                <w:sz w:val="20"/>
                <w:szCs w:val="20"/>
              </w:rPr>
            </w:pPr>
          </w:p>
        </w:tc>
      </w:tr>
      <w:tr w:rsidR="00000000" w14:paraId="61BBF221" w14:textId="77777777">
        <w:trPr>
          <w:divId w:val="979070044"/>
          <w:jc w:val="center"/>
        </w:trPr>
        <w:tc>
          <w:tcPr>
            <w:tcW w:w="0" w:type="auto"/>
            <w:gridSpan w:val="3"/>
            <w:shd w:val="clear" w:color="auto" w:fill="FFFFFF"/>
            <w:tcMar>
              <w:top w:w="30" w:type="dxa"/>
              <w:left w:w="20" w:type="dxa"/>
              <w:bottom w:w="30" w:type="dxa"/>
              <w:right w:w="20" w:type="dxa"/>
            </w:tcMar>
            <w:vAlign w:val="bottom"/>
            <w:hideMark/>
          </w:tcPr>
          <w:p w14:paraId="10F7FB99" w14:textId="77777777" w:rsidR="00000000" w:rsidRDefault="00195E73">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47BD24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D3FDD3D" w14:textId="77777777" w:rsidR="00000000" w:rsidRDefault="00195E73">
            <w:pPr>
              <w:jc w:val="right"/>
              <w:rPr>
                <w:rFonts w:eastAsia="Times New Roman"/>
              </w:rPr>
            </w:pPr>
            <w:r>
              <w:rPr>
                <w:rFonts w:eastAsia="Times New Roman"/>
                <w:color w:val="000000"/>
                <w:sz w:val="20"/>
                <w:szCs w:val="20"/>
              </w:rPr>
              <w:t>(1,098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617645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726A0E"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25B50E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43AD7F9" w14:textId="77777777" w:rsidR="00000000" w:rsidRDefault="00195E73">
            <w:pPr>
              <w:jc w:val="right"/>
              <w:rPr>
                <w:rFonts w:eastAsia="Times New Roman"/>
              </w:rPr>
            </w:pPr>
            <w:r>
              <w:rPr>
                <w:rFonts w:eastAsia="Times New Roman"/>
                <w:color w:val="000000"/>
                <w:sz w:val="20"/>
                <w:szCs w:val="20"/>
              </w:rPr>
              <w:t>1,482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07C5E8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E43FAB2"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0F576B4"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3D78A91" w14:textId="77777777" w:rsidR="00000000" w:rsidRDefault="00195E73">
            <w:pPr>
              <w:jc w:val="right"/>
              <w:rPr>
                <w:rFonts w:eastAsia="Times New Roman"/>
              </w:rPr>
            </w:pPr>
            <w:r>
              <w:rPr>
                <w:rFonts w:eastAsia="Times New Roman"/>
                <w:color w:val="000000"/>
                <w:sz w:val="20"/>
                <w:szCs w:val="20"/>
              </w:rPr>
              <w:t>2,454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EEBB8D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41ED39D" w14:textId="77777777" w:rsidR="00000000" w:rsidRDefault="00195E73">
            <w:pPr>
              <w:rPr>
                <w:rFonts w:eastAsia="Times New Roman"/>
                <w:sz w:val="20"/>
                <w:szCs w:val="20"/>
              </w:rPr>
            </w:pPr>
          </w:p>
        </w:tc>
        <w:tc>
          <w:tcPr>
            <w:tcW w:w="0" w:type="auto"/>
            <w:vAlign w:val="center"/>
            <w:hideMark/>
          </w:tcPr>
          <w:p w14:paraId="0DA92134" w14:textId="77777777" w:rsidR="00000000" w:rsidRDefault="00195E73">
            <w:pPr>
              <w:rPr>
                <w:rFonts w:eastAsia="Times New Roman"/>
                <w:sz w:val="20"/>
                <w:szCs w:val="20"/>
              </w:rPr>
            </w:pPr>
          </w:p>
        </w:tc>
        <w:tc>
          <w:tcPr>
            <w:tcW w:w="0" w:type="auto"/>
            <w:vAlign w:val="center"/>
            <w:hideMark/>
          </w:tcPr>
          <w:p w14:paraId="2C6B8256" w14:textId="77777777" w:rsidR="00000000" w:rsidRDefault="00195E73">
            <w:pPr>
              <w:rPr>
                <w:rFonts w:eastAsia="Times New Roman"/>
                <w:sz w:val="20"/>
                <w:szCs w:val="20"/>
              </w:rPr>
            </w:pPr>
          </w:p>
        </w:tc>
        <w:tc>
          <w:tcPr>
            <w:tcW w:w="0" w:type="auto"/>
            <w:vAlign w:val="center"/>
            <w:hideMark/>
          </w:tcPr>
          <w:p w14:paraId="3373EACB" w14:textId="77777777" w:rsidR="00000000" w:rsidRDefault="00195E73">
            <w:pPr>
              <w:rPr>
                <w:rFonts w:eastAsia="Times New Roman"/>
                <w:sz w:val="20"/>
                <w:szCs w:val="20"/>
              </w:rPr>
            </w:pPr>
          </w:p>
        </w:tc>
        <w:tc>
          <w:tcPr>
            <w:tcW w:w="0" w:type="auto"/>
            <w:vAlign w:val="center"/>
            <w:hideMark/>
          </w:tcPr>
          <w:p w14:paraId="01034784" w14:textId="77777777" w:rsidR="00000000" w:rsidRDefault="00195E73">
            <w:pPr>
              <w:rPr>
                <w:rFonts w:eastAsia="Times New Roman"/>
                <w:sz w:val="20"/>
                <w:szCs w:val="20"/>
              </w:rPr>
            </w:pPr>
          </w:p>
        </w:tc>
        <w:tc>
          <w:tcPr>
            <w:tcW w:w="0" w:type="auto"/>
            <w:vAlign w:val="center"/>
            <w:hideMark/>
          </w:tcPr>
          <w:p w14:paraId="75DB374A" w14:textId="77777777" w:rsidR="00000000" w:rsidRDefault="00195E73">
            <w:pPr>
              <w:rPr>
                <w:rFonts w:eastAsia="Times New Roman"/>
                <w:sz w:val="20"/>
                <w:szCs w:val="20"/>
              </w:rPr>
            </w:pPr>
          </w:p>
        </w:tc>
        <w:tc>
          <w:tcPr>
            <w:tcW w:w="0" w:type="auto"/>
            <w:vAlign w:val="center"/>
            <w:hideMark/>
          </w:tcPr>
          <w:p w14:paraId="75E515C1" w14:textId="77777777" w:rsidR="00000000" w:rsidRDefault="00195E73">
            <w:pPr>
              <w:rPr>
                <w:rFonts w:eastAsia="Times New Roman"/>
                <w:sz w:val="20"/>
                <w:szCs w:val="20"/>
              </w:rPr>
            </w:pPr>
          </w:p>
        </w:tc>
        <w:tc>
          <w:tcPr>
            <w:tcW w:w="0" w:type="auto"/>
            <w:vAlign w:val="center"/>
            <w:hideMark/>
          </w:tcPr>
          <w:p w14:paraId="70808CDD" w14:textId="77777777" w:rsidR="00000000" w:rsidRDefault="00195E73">
            <w:pPr>
              <w:rPr>
                <w:rFonts w:eastAsia="Times New Roman"/>
                <w:sz w:val="20"/>
                <w:szCs w:val="20"/>
              </w:rPr>
            </w:pPr>
          </w:p>
        </w:tc>
        <w:tc>
          <w:tcPr>
            <w:tcW w:w="0" w:type="auto"/>
            <w:vAlign w:val="center"/>
            <w:hideMark/>
          </w:tcPr>
          <w:p w14:paraId="0EA8EEF4" w14:textId="77777777" w:rsidR="00000000" w:rsidRDefault="00195E73">
            <w:pPr>
              <w:rPr>
                <w:rFonts w:eastAsia="Times New Roman"/>
                <w:sz w:val="20"/>
                <w:szCs w:val="20"/>
              </w:rPr>
            </w:pPr>
          </w:p>
        </w:tc>
        <w:tc>
          <w:tcPr>
            <w:tcW w:w="0" w:type="auto"/>
            <w:vAlign w:val="center"/>
            <w:hideMark/>
          </w:tcPr>
          <w:p w14:paraId="01E3B314" w14:textId="77777777" w:rsidR="00000000" w:rsidRDefault="00195E73">
            <w:pPr>
              <w:rPr>
                <w:rFonts w:eastAsia="Times New Roman"/>
                <w:sz w:val="20"/>
                <w:szCs w:val="20"/>
              </w:rPr>
            </w:pPr>
          </w:p>
        </w:tc>
        <w:tc>
          <w:tcPr>
            <w:tcW w:w="0" w:type="auto"/>
            <w:vAlign w:val="center"/>
            <w:hideMark/>
          </w:tcPr>
          <w:p w14:paraId="1759AEBB" w14:textId="77777777" w:rsidR="00000000" w:rsidRDefault="00195E73">
            <w:pPr>
              <w:rPr>
                <w:rFonts w:eastAsia="Times New Roman"/>
                <w:sz w:val="20"/>
                <w:szCs w:val="20"/>
              </w:rPr>
            </w:pPr>
          </w:p>
        </w:tc>
        <w:tc>
          <w:tcPr>
            <w:tcW w:w="0" w:type="auto"/>
            <w:vAlign w:val="center"/>
            <w:hideMark/>
          </w:tcPr>
          <w:p w14:paraId="6690F2B5" w14:textId="77777777" w:rsidR="00000000" w:rsidRDefault="00195E73">
            <w:pPr>
              <w:rPr>
                <w:rFonts w:eastAsia="Times New Roman"/>
                <w:sz w:val="20"/>
                <w:szCs w:val="20"/>
              </w:rPr>
            </w:pPr>
          </w:p>
        </w:tc>
      </w:tr>
      <w:tr w:rsidR="00000000" w14:paraId="2CC526C8" w14:textId="77777777">
        <w:trPr>
          <w:divId w:val="979070044"/>
          <w:jc w:val="center"/>
        </w:trPr>
        <w:tc>
          <w:tcPr>
            <w:tcW w:w="0" w:type="auto"/>
            <w:gridSpan w:val="3"/>
            <w:shd w:val="clear" w:color="auto" w:fill="CCEEFF"/>
            <w:tcMar>
              <w:top w:w="30" w:type="dxa"/>
              <w:left w:w="20" w:type="dxa"/>
              <w:bottom w:w="30" w:type="dxa"/>
              <w:right w:w="20" w:type="dxa"/>
            </w:tcMar>
            <w:vAlign w:val="bottom"/>
            <w:hideMark/>
          </w:tcPr>
          <w:p w14:paraId="0244B6CE" w14:textId="77777777" w:rsidR="00000000" w:rsidRDefault="00195E73">
            <w:pPr>
              <w:rPr>
                <w:rFonts w:eastAsia="Times New Roman"/>
              </w:rPr>
            </w:pPr>
            <w:r>
              <w:rPr>
                <w:rFonts w:eastAsia="Times New Roman"/>
                <w:color w:val="000000"/>
                <w:sz w:val="20"/>
                <w:szCs w:val="20"/>
              </w:rPr>
              <w:t>Net (loss) income allocated to</w:t>
            </w:r>
            <w:r>
              <w:rPr>
                <w:rFonts w:eastAsia="Times New Roman"/>
                <w:color w:val="000000"/>
                <w:sz w:val="20"/>
                <w:szCs w:val="20"/>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125B602"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EC434E9"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82E9262"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DB274DE"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423A5C7D" w14:textId="77777777" w:rsidR="00000000" w:rsidRDefault="00195E73">
            <w:pPr>
              <w:rPr>
                <w:rFonts w:eastAsia="Times New Roman"/>
                <w:sz w:val="20"/>
                <w:szCs w:val="20"/>
              </w:rPr>
            </w:pPr>
          </w:p>
        </w:tc>
        <w:tc>
          <w:tcPr>
            <w:tcW w:w="0" w:type="auto"/>
            <w:vAlign w:val="center"/>
            <w:hideMark/>
          </w:tcPr>
          <w:p w14:paraId="53FAFA5B" w14:textId="77777777" w:rsidR="00000000" w:rsidRDefault="00195E73">
            <w:pPr>
              <w:rPr>
                <w:rFonts w:eastAsia="Times New Roman"/>
                <w:sz w:val="20"/>
                <w:szCs w:val="20"/>
              </w:rPr>
            </w:pPr>
          </w:p>
        </w:tc>
        <w:tc>
          <w:tcPr>
            <w:tcW w:w="0" w:type="auto"/>
            <w:vAlign w:val="center"/>
            <w:hideMark/>
          </w:tcPr>
          <w:p w14:paraId="5E6351D1" w14:textId="77777777" w:rsidR="00000000" w:rsidRDefault="00195E73">
            <w:pPr>
              <w:rPr>
                <w:rFonts w:eastAsia="Times New Roman"/>
                <w:sz w:val="20"/>
                <w:szCs w:val="20"/>
              </w:rPr>
            </w:pPr>
          </w:p>
        </w:tc>
        <w:tc>
          <w:tcPr>
            <w:tcW w:w="0" w:type="auto"/>
            <w:vAlign w:val="center"/>
            <w:hideMark/>
          </w:tcPr>
          <w:p w14:paraId="2346BA2F" w14:textId="77777777" w:rsidR="00000000" w:rsidRDefault="00195E73">
            <w:pPr>
              <w:rPr>
                <w:rFonts w:eastAsia="Times New Roman"/>
                <w:sz w:val="20"/>
                <w:szCs w:val="20"/>
              </w:rPr>
            </w:pPr>
          </w:p>
        </w:tc>
        <w:tc>
          <w:tcPr>
            <w:tcW w:w="0" w:type="auto"/>
            <w:vAlign w:val="center"/>
            <w:hideMark/>
          </w:tcPr>
          <w:p w14:paraId="6B616F31" w14:textId="77777777" w:rsidR="00000000" w:rsidRDefault="00195E73">
            <w:pPr>
              <w:rPr>
                <w:rFonts w:eastAsia="Times New Roman"/>
                <w:sz w:val="20"/>
                <w:szCs w:val="20"/>
              </w:rPr>
            </w:pPr>
          </w:p>
        </w:tc>
        <w:tc>
          <w:tcPr>
            <w:tcW w:w="0" w:type="auto"/>
            <w:vAlign w:val="center"/>
            <w:hideMark/>
          </w:tcPr>
          <w:p w14:paraId="13F3AE01" w14:textId="77777777" w:rsidR="00000000" w:rsidRDefault="00195E73">
            <w:pPr>
              <w:rPr>
                <w:rFonts w:eastAsia="Times New Roman"/>
                <w:sz w:val="20"/>
                <w:szCs w:val="20"/>
              </w:rPr>
            </w:pPr>
          </w:p>
        </w:tc>
        <w:tc>
          <w:tcPr>
            <w:tcW w:w="0" w:type="auto"/>
            <w:vAlign w:val="center"/>
            <w:hideMark/>
          </w:tcPr>
          <w:p w14:paraId="066711F1" w14:textId="77777777" w:rsidR="00000000" w:rsidRDefault="00195E73">
            <w:pPr>
              <w:rPr>
                <w:rFonts w:eastAsia="Times New Roman"/>
                <w:sz w:val="20"/>
                <w:szCs w:val="20"/>
              </w:rPr>
            </w:pPr>
          </w:p>
        </w:tc>
        <w:tc>
          <w:tcPr>
            <w:tcW w:w="0" w:type="auto"/>
            <w:vAlign w:val="center"/>
            <w:hideMark/>
          </w:tcPr>
          <w:p w14:paraId="3B27F928" w14:textId="77777777" w:rsidR="00000000" w:rsidRDefault="00195E73">
            <w:pPr>
              <w:rPr>
                <w:rFonts w:eastAsia="Times New Roman"/>
                <w:sz w:val="20"/>
                <w:szCs w:val="20"/>
              </w:rPr>
            </w:pPr>
          </w:p>
        </w:tc>
        <w:tc>
          <w:tcPr>
            <w:tcW w:w="0" w:type="auto"/>
            <w:vAlign w:val="center"/>
            <w:hideMark/>
          </w:tcPr>
          <w:p w14:paraId="078E4CA0" w14:textId="77777777" w:rsidR="00000000" w:rsidRDefault="00195E73">
            <w:pPr>
              <w:rPr>
                <w:rFonts w:eastAsia="Times New Roman"/>
                <w:sz w:val="20"/>
                <w:szCs w:val="20"/>
              </w:rPr>
            </w:pPr>
          </w:p>
        </w:tc>
        <w:tc>
          <w:tcPr>
            <w:tcW w:w="0" w:type="auto"/>
            <w:vAlign w:val="center"/>
            <w:hideMark/>
          </w:tcPr>
          <w:p w14:paraId="791E4879" w14:textId="77777777" w:rsidR="00000000" w:rsidRDefault="00195E73">
            <w:pPr>
              <w:rPr>
                <w:rFonts w:eastAsia="Times New Roman"/>
                <w:sz w:val="20"/>
                <w:szCs w:val="20"/>
              </w:rPr>
            </w:pPr>
          </w:p>
        </w:tc>
        <w:tc>
          <w:tcPr>
            <w:tcW w:w="0" w:type="auto"/>
            <w:vAlign w:val="center"/>
            <w:hideMark/>
          </w:tcPr>
          <w:p w14:paraId="19CF4C8F" w14:textId="77777777" w:rsidR="00000000" w:rsidRDefault="00195E73">
            <w:pPr>
              <w:rPr>
                <w:rFonts w:eastAsia="Times New Roman"/>
                <w:sz w:val="20"/>
                <w:szCs w:val="20"/>
              </w:rPr>
            </w:pPr>
          </w:p>
        </w:tc>
        <w:tc>
          <w:tcPr>
            <w:tcW w:w="0" w:type="auto"/>
            <w:vAlign w:val="center"/>
            <w:hideMark/>
          </w:tcPr>
          <w:p w14:paraId="40B8D481" w14:textId="77777777" w:rsidR="00000000" w:rsidRDefault="00195E73">
            <w:pPr>
              <w:rPr>
                <w:rFonts w:eastAsia="Times New Roman"/>
                <w:sz w:val="20"/>
                <w:szCs w:val="20"/>
              </w:rPr>
            </w:pPr>
          </w:p>
        </w:tc>
        <w:tc>
          <w:tcPr>
            <w:tcW w:w="0" w:type="auto"/>
            <w:vAlign w:val="center"/>
            <w:hideMark/>
          </w:tcPr>
          <w:p w14:paraId="0DBD2871" w14:textId="77777777" w:rsidR="00000000" w:rsidRDefault="00195E73">
            <w:pPr>
              <w:rPr>
                <w:rFonts w:eastAsia="Times New Roman"/>
                <w:sz w:val="20"/>
                <w:szCs w:val="20"/>
              </w:rPr>
            </w:pPr>
          </w:p>
        </w:tc>
      </w:tr>
      <w:tr w:rsidR="00000000" w14:paraId="1AABFE39" w14:textId="77777777">
        <w:trPr>
          <w:divId w:val="979070044"/>
          <w:jc w:val="center"/>
        </w:trPr>
        <w:tc>
          <w:tcPr>
            <w:tcW w:w="0" w:type="auto"/>
            <w:gridSpan w:val="3"/>
            <w:shd w:val="clear" w:color="auto" w:fill="FFFFFF"/>
            <w:tcMar>
              <w:top w:w="30" w:type="dxa"/>
              <w:left w:w="20" w:type="dxa"/>
              <w:bottom w:w="30" w:type="dxa"/>
              <w:right w:w="20" w:type="dxa"/>
            </w:tcMar>
            <w:vAlign w:val="bottom"/>
            <w:hideMark/>
          </w:tcPr>
          <w:p w14:paraId="226D952F"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Limited partner</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14:paraId="6100ED56"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B9DDE18" w14:textId="77777777" w:rsidR="00000000" w:rsidRDefault="00195E73">
            <w:pPr>
              <w:jc w:val="right"/>
              <w:rPr>
                <w:rFonts w:eastAsia="Times New Roman"/>
              </w:rPr>
            </w:pPr>
            <w:r>
              <w:rPr>
                <w:rFonts w:eastAsia="Times New Roman"/>
                <w:color w:val="000000"/>
                <w:sz w:val="20"/>
                <w:szCs w:val="20"/>
              </w:rPr>
              <w:t>(1,076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25E477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5E866BD"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FBA37A6"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5F5D717" w14:textId="77777777" w:rsidR="00000000" w:rsidRDefault="00195E73">
            <w:pPr>
              <w:jc w:val="right"/>
              <w:rPr>
                <w:rFonts w:eastAsia="Times New Roman"/>
              </w:rPr>
            </w:pPr>
            <w:r>
              <w:rPr>
                <w:rFonts w:eastAsia="Times New Roman"/>
                <w:color w:val="000000"/>
                <w:sz w:val="20"/>
                <w:szCs w:val="20"/>
              </w:rPr>
              <w:t>2,039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349438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CB07865"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907992D"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438C2F23" w14:textId="77777777" w:rsidR="00000000" w:rsidRDefault="00195E73">
            <w:pPr>
              <w:jc w:val="right"/>
              <w:rPr>
                <w:rFonts w:eastAsia="Times New Roman"/>
              </w:rPr>
            </w:pPr>
            <w:r>
              <w:rPr>
                <w:rFonts w:eastAsia="Times New Roman"/>
                <w:color w:val="000000"/>
                <w:sz w:val="20"/>
                <w:szCs w:val="20"/>
              </w:rPr>
              <w:t>2,405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3F918B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63738B8" w14:textId="77777777" w:rsidR="00000000" w:rsidRDefault="00195E73">
            <w:pPr>
              <w:rPr>
                <w:rFonts w:eastAsia="Times New Roman"/>
                <w:sz w:val="20"/>
                <w:szCs w:val="20"/>
              </w:rPr>
            </w:pPr>
          </w:p>
        </w:tc>
        <w:tc>
          <w:tcPr>
            <w:tcW w:w="0" w:type="auto"/>
            <w:vAlign w:val="center"/>
            <w:hideMark/>
          </w:tcPr>
          <w:p w14:paraId="7F87C2E2" w14:textId="77777777" w:rsidR="00000000" w:rsidRDefault="00195E73">
            <w:pPr>
              <w:rPr>
                <w:rFonts w:eastAsia="Times New Roman"/>
                <w:sz w:val="20"/>
                <w:szCs w:val="20"/>
              </w:rPr>
            </w:pPr>
          </w:p>
        </w:tc>
        <w:tc>
          <w:tcPr>
            <w:tcW w:w="0" w:type="auto"/>
            <w:vAlign w:val="center"/>
            <w:hideMark/>
          </w:tcPr>
          <w:p w14:paraId="164C425A" w14:textId="77777777" w:rsidR="00000000" w:rsidRDefault="00195E73">
            <w:pPr>
              <w:rPr>
                <w:rFonts w:eastAsia="Times New Roman"/>
                <w:sz w:val="20"/>
                <w:szCs w:val="20"/>
              </w:rPr>
            </w:pPr>
          </w:p>
        </w:tc>
        <w:tc>
          <w:tcPr>
            <w:tcW w:w="0" w:type="auto"/>
            <w:vAlign w:val="center"/>
            <w:hideMark/>
          </w:tcPr>
          <w:p w14:paraId="069A400E" w14:textId="77777777" w:rsidR="00000000" w:rsidRDefault="00195E73">
            <w:pPr>
              <w:rPr>
                <w:rFonts w:eastAsia="Times New Roman"/>
                <w:sz w:val="20"/>
                <w:szCs w:val="20"/>
              </w:rPr>
            </w:pPr>
          </w:p>
        </w:tc>
        <w:tc>
          <w:tcPr>
            <w:tcW w:w="0" w:type="auto"/>
            <w:vAlign w:val="center"/>
            <w:hideMark/>
          </w:tcPr>
          <w:p w14:paraId="669805E4" w14:textId="77777777" w:rsidR="00000000" w:rsidRDefault="00195E73">
            <w:pPr>
              <w:rPr>
                <w:rFonts w:eastAsia="Times New Roman"/>
                <w:sz w:val="20"/>
                <w:szCs w:val="20"/>
              </w:rPr>
            </w:pPr>
          </w:p>
        </w:tc>
        <w:tc>
          <w:tcPr>
            <w:tcW w:w="0" w:type="auto"/>
            <w:vAlign w:val="center"/>
            <w:hideMark/>
          </w:tcPr>
          <w:p w14:paraId="7126ED7E" w14:textId="77777777" w:rsidR="00000000" w:rsidRDefault="00195E73">
            <w:pPr>
              <w:rPr>
                <w:rFonts w:eastAsia="Times New Roman"/>
                <w:sz w:val="20"/>
                <w:szCs w:val="20"/>
              </w:rPr>
            </w:pPr>
          </w:p>
        </w:tc>
        <w:tc>
          <w:tcPr>
            <w:tcW w:w="0" w:type="auto"/>
            <w:vAlign w:val="center"/>
            <w:hideMark/>
          </w:tcPr>
          <w:p w14:paraId="7D71E9AA" w14:textId="77777777" w:rsidR="00000000" w:rsidRDefault="00195E73">
            <w:pPr>
              <w:rPr>
                <w:rFonts w:eastAsia="Times New Roman"/>
                <w:sz w:val="20"/>
                <w:szCs w:val="20"/>
              </w:rPr>
            </w:pPr>
          </w:p>
        </w:tc>
        <w:tc>
          <w:tcPr>
            <w:tcW w:w="0" w:type="auto"/>
            <w:vAlign w:val="center"/>
            <w:hideMark/>
          </w:tcPr>
          <w:p w14:paraId="161E185F" w14:textId="77777777" w:rsidR="00000000" w:rsidRDefault="00195E73">
            <w:pPr>
              <w:rPr>
                <w:rFonts w:eastAsia="Times New Roman"/>
                <w:sz w:val="20"/>
                <w:szCs w:val="20"/>
              </w:rPr>
            </w:pPr>
          </w:p>
        </w:tc>
        <w:tc>
          <w:tcPr>
            <w:tcW w:w="0" w:type="auto"/>
            <w:vAlign w:val="center"/>
            <w:hideMark/>
          </w:tcPr>
          <w:p w14:paraId="1B99A07F" w14:textId="77777777" w:rsidR="00000000" w:rsidRDefault="00195E73">
            <w:pPr>
              <w:rPr>
                <w:rFonts w:eastAsia="Times New Roman"/>
                <w:sz w:val="20"/>
                <w:szCs w:val="20"/>
              </w:rPr>
            </w:pPr>
          </w:p>
        </w:tc>
        <w:tc>
          <w:tcPr>
            <w:tcW w:w="0" w:type="auto"/>
            <w:vAlign w:val="center"/>
            <w:hideMark/>
          </w:tcPr>
          <w:p w14:paraId="6FAEF383" w14:textId="77777777" w:rsidR="00000000" w:rsidRDefault="00195E73">
            <w:pPr>
              <w:rPr>
                <w:rFonts w:eastAsia="Times New Roman"/>
                <w:sz w:val="20"/>
                <w:szCs w:val="20"/>
              </w:rPr>
            </w:pPr>
          </w:p>
        </w:tc>
        <w:tc>
          <w:tcPr>
            <w:tcW w:w="0" w:type="auto"/>
            <w:vAlign w:val="center"/>
            <w:hideMark/>
          </w:tcPr>
          <w:p w14:paraId="25C0DE74" w14:textId="77777777" w:rsidR="00000000" w:rsidRDefault="00195E73">
            <w:pPr>
              <w:rPr>
                <w:rFonts w:eastAsia="Times New Roman"/>
                <w:sz w:val="20"/>
                <w:szCs w:val="20"/>
              </w:rPr>
            </w:pPr>
          </w:p>
        </w:tc>
        <w:tc>
          <w:tcPr>
            <w:tcW w:w="0" w:type="auto"/>
            <w:vAlign w:val="center"/>
            <w:hideMark/>
          </w:tcPr>
          <w:p w14:paraId="7322D756" w14:textId="77777777" w:rsidR="00000000" w:rsidRDefault="00195E73">
            <w:pPr>
              <w:rPr>
                <w:rFonts w:eastAsia="Times New Roman"/>
                <w:sz w:val="20"/>
                <w:szCs w:val="20"/>
              </w:rPr>
            </w:pPr>
          </w:p>
        </w:tc>
      </w:tr>
      <w:tr w:rsidR="00000000" w14:paraId="5733976A" w14:textId="77777777">
        <w:trPr>
          <w:divId w:val="979070044"/>
          <w:jc w:val="center"/>
        </w:trPr>
        <w:tc>
          <w:tcPr>
            <w:tcW w:w="0" w:type="auto"/>
            <w:gridSpan w:val="3"/>
            <w:shd w:val="clear" w:color="auto" w:fill="CCEEFF"/>
            <w:tcMar>
              <w:top w:w="30" w:type="dxa"/>
              <w:left w:w="20" w:type="dxa"/>
              <w:bottom w:w="30" w:type="dxa"/>
              <w:right w:w="20" w:type="dxa"/>
            </w:tcMar>
            <w:vAlign w:val="bottom"/>
            <w:hideMark/>
          </w:tcPr>
          <w:p w14:paraId="53448D79" w14:textId="77777777" w:rsidR="00000000" w:rsidRDefault="00195E73">
            <w:pPr>
              <w:rPr>
                <w:rFonts w:eastAsia="Times New Roman"/>
              </w:rPr>
            </w:pPr>
            <w:r>
              <w:rPr>
                <w:rFonts w:eastAsia="Times New Roman"/>
                <w:color w:val="000000"/>
                <w:sz w:val="20"/>
                <w:szCs w:val="20"/>
              </w:rPr>
              <w:t>     General partne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07F440B7" w14:textId="77777777" w:rsidR="00000000" w:rsidRDefault="00195E73">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063533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D7C61A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BB73D3" w14:textId="77777777" w:rsidR="00000000" w:rsidRDefault="00195E73">
            <w:pPr>
              <w:jc w:val="right"/>
              <w:rPr>
                <w:rFonts w:eastAsia="Times New Roman"/>
              </w:rPr>
            </w:pPr>
            <w:r>
              <w:rPr>
                <w:rFonts w:eastAsia="Times New Roman"/>
                <w:color w:val="000000"/>
                <w:sz w:val="20"/>
                <w:szCs w:val="20"/>
              </w:rPr>
              <w:t>(557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D5740E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76233F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7148BA" w14:textId="77777777" w:rsidR="00000000" w:rsidRDefault="00195E73">
            <w:pPr>
              <w:jc w:val="right"/>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DFFDCE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BCAD294" w14:textId="77777777" w:rsidR="00000000" w:rsidRDefault="00195E73">
            <w:pPr>
              <w:rPr>
                <w:rFonts w:eastAsia="Times New Roman"/>
                <w:sz w:val="20"/>
                <w:szCs w:val="20"/>
              </w:rPr>
            </w:pPr>
          </w:p>
        </w:tc>
        <w:tc>
          <w:tcPr>
            <w:tcW w:w="0" w:type="auto"/>
            <w:vAlign w:val="center"/>
            <w:hideMark/>
          </w:tcPr>
          <w:p w14:paraId="1EFD3BE1" w14:textId="77777777" w:rsidR="00000000" w:rsidRDefault="00195E73">
            <w:pPr>
              <w:rPr>
                <w:rFonts w:eastAsia="Times New Roman"/>
                <w:sz w:val="20"/>
                <w:szCs w:val="20"/>
              </w:rPr>
            </w:pPr>
          </w:p>
        </w:tc>
        <w:tc>
          <w:tcPr>
            <w:tcW w:w="0" w:type="auto"/>
            <w:vAlign w:val="center"/>
            <w:hideMark/>
          </w:tcPr>
          <w:p w14:paraId="73EEDE7B" w14:textId="77777777" w:rsidR="00000000" w:rsidRDefault="00195E73">
            <w:pPr>
              <w:rPr>
                <w:rFonts w:eastAsia="Times New Roman"/>
                <w:sz w:val="20"/>
                <w:szCs w:val="20"/>
              </w:rPr>
            </w:pPr>
          </w:p>
        </w:tc>
        <w:tc>
          <w:tcPr>
            <w:tcW w:w="0" w:type="auto"/>
            <w:vAlign w:val="center"/>
            <w:hideMark/>
          </w:tcPr>
          <w:p w14:paraId="2DDA1A48" w14:textId="77777777" w:rsidR="00000000" w:rsidRDefault="00195E73">
            <w:pPr>
              <w:rPr>
                <w:rFonts w:eastAsia="Times New Roman"/>
                <w:sz w:val="20"/>
                <w:szCs w:val="20"/>
              </w:rPr>
            </w:pPr>
          </w:p>
        </w:tc>
        <w:tc>
          <w:tcPr>
            <w:tcW w:w="0" w:type="auto"/>
            <w:vAlign w:val="center"/>
            <w:hideMark/>
          </w:tcPr>
          <w:p w14:paraId="232F10E7" w14:textId="77777777" w:rsidR="00000000" w:rsidRDefault="00195E73">
            <w:pPr>
              <w:rPr>
                <w:rFonts w:eastAsia="Times New Roman"/>
                <w:sz w:val="20"/>
                <w:szCs w:val="20"/>
              </w:rPr>
            </w:pPr>
          </w:p>
        </w:tc>
        <w:tc>
          <w:tcPr>
            <w:tcW w:w="0" w:type="auto"/>
            <w:vAlign w:val="center"/>
            <w:hideMark/>
          </w:tcPr>
          <w:p w14:paraId="5FA8321A" w14:textId="77777777" w:rsidR="00000000" w:rsidRDefault="00195E73">
            <w:pPr>
              <w:rPr>
                <w:rFonts w:eastAsia="Times New Roman"/>
                <w:sz w:val="20"/>
                <w:szCs w:val="20"/>
              </w:rPr>
            </w:pPr>
          </w:p>
        </w:tc>
        <w:tc>
          <w:tcPr>
            <w:tcW w:w="0" w:type="auto"/>
            <w:vAlign w:val="center"/>
            <w:hideMark/>
          </w:tcPr>
          <w:p w14:paraId="5296F486" w14:textId="77777777" w:rsidR="00000000" w:rsidRDefault="00195E73">
            <w:pPr>
              <w:rPr>
                <w:rFonts w:eastAsia="Times New Roman"/>
                <w:sz w:val="20"/>
                <w:szCs w:val="20"/>
              </w:rPr>
            </w:pPr>
          </w:p>
        </w:tc>
        <w:tc>
          <w:tcPr>
            <w:tcW w:w="0" w:type="auto"/>
            <w:vAlign w:val="center"/>
            <w:hideMark/>
          </w:tcPr>
          <w:p w14:paraId="042F93CC" w14:textId="77777777" w:rsidR="00000000" w:rsidRDefault="00195E73">
            <w:pPr>
              <w:rPr>
                <w:rFonts w:eastAsia="Times New Roman"/>
                <w:sz w:val="20"/>
                <w:szCs w:val="20"/>
              </w:rPr>
            </w:pPr>
          </w:p>
        </w:tc>
        <w:tc>
          <w:tcPr>
            <w:tcW w:w="0" w:type="auto"/>
            <w:vAlign w:val="center"/>
            <w:hideMark/>
          </w:tcPr>
          <w:p w14:paraId="3045A7CA" w14:textId="77777777" w:rsidR="00000000" w:rsidRDefault="00195E73">
            <w:pPr>
              <w:rPr>
                <w:rFonts w:eastAsia="Times New Roman"/>
                <w:sz w:val="20"/>
                <w:szCs w:val="20"/>
              </w:rPr>
            </w:pPr>
          </w:p>
        </w:tc>
        <w:tc>
          <w:tcPr>
            <w:tcW w:w="0" w:type="auto"/>
            <w:vAlign w:val="center"/>
            <w:hideMark/>
          </w:tcPr>
          <w:p w14:paraId="7B42D070" w14:textId="77777777" w:rsidR="00000000" w:rsidRDefault="00195E73">
            <w:pPr>
              <w:rPr>
                <w:rFonts w:eastAsia="Times New Roman"/>
                <w:sz w:val="20"/>
                <w:szCs w:val="20"/>
              </w:rPr>
            </w:pPr>
          </w:p>
        </w:tc>
        <w:tc>
          <w:tcPr>
            <w:tcW w:w="0" w:type="auto"/>
            <w:vAlign w:val="center"/>
            <w:hideMark/>
          </w:tcPr>
          <w:p w14:paraId="4D4353A5" w14:textId="77777777" w:rsidR="00000000" w:rsidRDefault="00195E73">
            <w:pPr>
              <w:rPr>
                <w:rFonts w:eastAsia="Times New Roman"/>
                <w:sz w:val="20"/>
                <w:szCs w:val="20"/>
              </w:rPr>
            </w:pPr>
          </w:p>
        </w:tc>
        <w:tc>
          <w:tcPr>
            <w:tcW w:w="0" w:type="auto"/>
            <w:vAlign w:val="center"/>
            <w:hideMark/>
          </w:tcPr>
          <w:p w14:paraId="2AECBDA1" w14:textId="77777777" w:rsidR="00000000" w:rsidRDefault="00195E73">
            <w:pPr>
              <w:rPr>
                <w:rFonts w:eastAsia="Times New Roman"/>
                <w:sz w:val="20"/>
                <w:szCs w:val="20"/>
              </w:rPr>
            </w:pPr>
          </w:p>
        </w:tc>
      </w:tr>
      <w:tr w:rsidR="00000000" w14:paraId="60F3A937" w14:textId="77777777">
        <w:trPr>
          <w:divId w:val="979070044"/>
          <w:jc w:val="center"/>
        </w:trPr>
        <w:tc>
          <w:tcPr>
            <w:tcW w:w="0" w:type="auto"/>
            <w:gridSpan w:val="3"/>
            <w:shd w:val="clear" w:color="auto" w:fill="FFFFFF"/>
            <w:tcMar>
              <w:top w:w="15" w:type="dxa"/>
              <w:left w:w="20" w:type="dxa"/>
              <w:bottom w:w="15" w:type="dxa"/>
              <w:right w:w="20" w:type="dxa"/>
            </w:tcMar>
            <w:vAlign w:val="bottom"/>
            <w:hideMark/>
          </w:tcPr>
          <w:p w14:paraId="714493BF"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EE5093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39F3C26" w14:textId="77777777" w:rsidR="00000000" w:rsidRDefault="00195E73">
            <w:pPr>
              <w:jc w:val="right"/>
              <w:rPr>
                <w:rFonts w:eastAsia="Times New Roman"/>
              </w:rPr>
            </w:pPr>
            <w:r>
              <w:rPr>
                <w:rFonts w:eastAsia="Times New Roman"/>
                <w:color w:val="000000"/>
                <w:sz w:val="20"/>
                <w:szCs w:val="20"/>
              </w:rPr>
              <w:t>(1,098</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ED36E6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03FFF4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231ED5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06AD736" w14:textId="77777777" w:rsidR="00000000" w:rsidRDefault="00195E73">
            <w:pPr>
              <w:jc w:val="right"/>
              <w:rPr>
                <w:rFonts w:eastAsia="Times New Roman"/>
              </w:rPr>
            </w:pPr>
            <w:r>
              <w:rPr>
                <w:rFonts w:eastAsia="Times New Roman"/>
                <w:color w:val="000000"/>
                <w:sz w:val="20"/>
                <w:szCs w:val="20"/>
              </w:rPr>
              <w:t>1,482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DCED38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2951877"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CD86456"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48E03EF" w14:textId="77777777" w:rsidR="00000000" w:rsidRDefault="00195E73">
            <w:pPr>
              <w:jc w:val="right"/>
              <w:rPr>
                <w:rFonts w:eastAsia="Times New Roman"/>
              </w:rPr>
            </w:pPr>
            <w:r>
              <w:rPr>
                <w:rFonts w:eastAsia="Times New Roman"/>
                <w:color w:val="000000"/>
                <w:sz w:val="20"/>
                <w:szCs w:val="20"/>
              </w:rPr>
              <w:t>2,454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739AAF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A606F9D" w14:textId="77777777" w:rsidR="00000000" w:rsidRDefault="00195E73">
            <w:pPr>
              <w:rPr>
                <w:rFonts w:eastAsia="Times New Roman"/>
                <w:sz w:val="20"/>
                <w:szCs w:val="20"/>
              </w:rPr>
            </w:pPr>
          </w:p>
        </w:tc>
        <w:tc>
          <w:tcPr>
            <w:tcW w:w="0" w:type="auto"/>
            <w:vAlign w:val="center"/>
            <w:hideMark/>
          </w:tcPr>
          <w:p w14:paraId="60A6C88D" w14:textId="77777777" w:rsidR="00000000" w:rsidRDefault="00195E73">
            <w:pPr>
              <w:rPr>
                <w:rFonts w:eastAsia="Times New Roman"/>
                <w:sz w:val="20"/>
                <w:szCs w:val="20"/>
              </w:rPr>
            </w:pPr>
          </w:p>
        </w:tc>
        <w:tc>
          <w:tcPr>
            <w:tcW w:w="0" w:type="auto"/>
            <w:vAlign w:val="center"/>
            <w:hideMark/>
          </w:tcPr>
          <w:p w14:paraId="7968C66D" w14:textId="77777777" w:rsidR="00000000" w:rsidRDefault="00195E73">
            <w:pPr>
              <w:rPr>
                <w:rFonts w:eastAsia="Times New Roman"/>
                <w:sz w:val="20"/>
                <w:szCs w:val="20"/>
              </w:rPr>
            </w:pPr>
          </w:p>
        </w:tc>
        <w:tc>
          <w:tcPr>
            <w:tcW w:w="0" w:type="auto"/>
            <w:vAlign w:val="center"/>
            <w:hideMark/>
          </w:tcPr>
          <w:p w14:paraId="43913171" w14:textId="77777777" w:rsidR="00000000" w:rsidRDefault="00195E73">
            <w:pPr>
              <w:rPr>
                <w:rFonts w:eastAsia="Times New Roman"/>
                <w:sz w:val="20"/>
                <w:szCs w:val="20"/>
              </w:rPr>
            </w:pPr>
          </w:p>
        </w:tc>
        <w:tc>
          <w:tcPr>
            <w:tcW w:w="0" w:type="auto"/>
            <w:vAlign w:val="center"/>
            <w:hideMark/>
          </w:tcPr>
          <w:p w14:paraId="3422A0FB" w14:textId="77777777" w:rsidR="00000000" w:rsidRDefault="00195E73">
            <w:pPr>
              <w:rPr>
                <w:rFonts w:eastAsia="Times New Roman"/>
                <w:sz w:val="20"/>
                <w:szCs w:val="20"/>
              </w:rPr>
            </w:pPr>
          </w:p>
        </w:tc>
        <w:tc>
          <w:tcPr>
            <w:tcW w:w="0" w:type="auto"/>
            <w:vAlign w:val="center"/>
            <w:hideMark/>
          </w:tcPr>
          <w:p w14:paraId="2F868A5C" w14:textId="77777777" w:rsidR="00000000" w:rsidRDefault="00195E73">
            <w:pPr>
              <w:rPr>
                <w:rFonts w:eastAsia="Times New Roman"/>
                <w:sz w:val="20"/>
                <w:szCs w:val="20"/>
              </w:rPr>
            </w:pPr>
          </w:p>
        </w:tc>
        <w:tc>
          <w:tcPr>
            <w:tcW w:w="0" w:type="auto"/>
            <w:vAlign w:val="center"/>
            <w:hideMark/>
          </w:tcPr>
          <w:p w14:paraId="5776C8B5" w14:textId="77777777" w:rsidR="00000000" w:rsidRDefault="00195E73">
            <w:pPr>
              <w:rPr>
                <w:rFonts w:eastAsia="Times New Roman"/>
                <w:sz w:val="20"/>
                <w:szCs w:val="20"/>
              </w:rPr>
            </w:pPr>
          </w:p>
        </w:tc>
        <w:tc>
          <w:tcPr>
            <w:tcW w:w="0" w:type="auto"/>
            <w:vAlign w:val="center"/>
            <w:hideMark/>
          </w:tcPr>
          <w:p w14:paraId="02FEA711" w14:textId="77777777" w:rsidR="00000000" w:rsidRDefault="00195E73">
            <w:pPr>
              <w:rPr>
                <w:rFonts w:eastAsia="Times New Roman"/>
                <w:sz w:val="20"/>
                <w:szCs w:val="20"/>
              </w:rPr>
            </w:pPr>
          </w:p>
        </w:tc>
        <w:tc>
          <w:tcPr>
            <w:tcW w:w="0" w:type="auto"/>
            <w:vAlign w:val="center"/>
            <w:hideMark/>
          </w:tcPr>
          <w:p w14:paraId="7E5BEC72" w14:textId="77777777" w:rsidR="00000000" w:rsidRDefault="00195E73">
            <w:pPr>
              <w:rPr>
                <w:rFonts w:eastAsia="Times New Roman"/>
                <w:sz w:val="20"/>
                <w:szCs w:val="20"/>
              </w:rPr>
            </w:pPr>
          </w:p>
        </w:tc>
        <w:tc>
          <w:tcPr>
            <w:tcW w:w="0" w:type="auto"/>
            <w:vAlign w:val="center"/>
            <w:hideMark/>
          </w:tcPr>
          <w:p w14:paraId="278AD73D" w14:textId="77777777" w:rsidR="00000000" w:rsidRDefault="00195E73">
            <w:pPr>
              <w:rPr>
                <w:rFonts w:eastAsia="Times New Roman"/>
                <w:sz w:val="20"/>
                <w:szCs w:val="20"/>
              </w:rPr>
            </w:pPr>
          </w:p>
        </w:tc>
        <w:tc>
          <w:tcPr>
            <w:tcW w:w="0" w:type="auto"/>
            <w:vAlign w:val="center"/>
            <w:hideMark/>
          </w:tcPr>
          <w:p w14:paraId="14701974" w14:textId="77777777" w:rsidR="00000000" w:rsidRDefault="00195E73">
            <w:pPr>
              <w:rPr>
                <w:rFonts w:eastAsia="Times New Roman"/>
                <w:sz w:val="20"/>
                <w:szCs w:val="20"/>
              </w:rPr>
            </w:pPr>
          </w:p>
        </w:tc>
        <w:tc>
          <w:tcPr>
            <w:tcW w:w="0" w:type="auto"/>
            <w:vAlign w:val="center"/>
            <w:hideMark/>
          </w:tcPr>
          <w:p w14:paraId="2B8D25E6" w14:textId="77777777" w:rsidR="00000000" w:rsidRDefault="00195E73">
            <w:pPr>
              <w:rPr>
                <w:rFonts w:eastAsia="Times New Roman"/>
                <w:sz w:val="20"/>
                <w:szCs w:val="20"/>
              </w:rPr>
            </w:pPr>
          </w:p>
        </w:tc>
      </w:tr>
    </w:tbl>
    <w:p w14:paraId="7EAF99D0" w14:textId="77777777" w:rsidR="00000000" w:rsidRDefault="00195E73">
      <w:pPr>
        <w:jc w:val="center"/>
        <w:rPr>
          <w:rFonts w:eastAsia="Times New Roman"/>
        </w:rPr>
      </w:pPr>
    </w:p>
    <w:p w14:paraId="31ACC3EA" w14:textId="77777777" w:rsidR="00000000" w:rsidRDefault="00195E73">
      <w:pPr>
        <w:jc w:val="center"/>
        <w:rPr>
          <w:rFonts w:eastAsia="Times New Roman"/>
        </w:rPr>
      </w:pPr>
    </w:p>
    <w:p w14:paraId="4BE4AB85" w14:textId="77777777" w:rsidR="00000000" w:rsidRDefault="00195E73">
      <w:pPr>
        <w:divId w:val="722214391"/>
        <w:rPr>
          <w:rFonts w:eastAsia="Times New Roman"/>
        </w:rPr>
      </w:pPr>
    </w:p>
    <w:p w14:paraId="1E94DA0C" w14:textId="77777777" w:rsidR="00000000" w:rsidRDefault="00195E73">
      <w:pPr>
        <w:jc w:val="center"/>
        <w:rPr>
          <w:rFonts w:eastAsia="Times New Roman"/>
        </w:rPr>
      </w:pPr>
    </w:p>
    <w:p w14:paraId="4F7DB1D6" w14:textId="77777777" w:rsidR="00000000" w:rsidRDefault="00195E73">
      <w:pPr>
        <w:jc w:val="center"/>
        <w:rPr>
          <w:rFonts w:eastAsia="Times New Roman"/>
        </w:rPr>
      </w:pPr>
    </w:p>
    <w:p w14:paraId="241C306B" w14:textId="77777777" w:rsidR="00000000" w:rsidRDefault="00195E73">
      <w:pPr>
        <w:jc w:val="center"/>
        <w:rPr>
          <w:rFonts w:eastAsia="Times New Roman"/>
        </w:rPr>
      </w:pPr>
    </w:p>
    <w:p w14:paraId="687A2BE5" w14:textId="77777777" w:rsidR="00000000" w:rsidRDefault="00195E73">
      <w:pPr>
        <w:jc w:val="center"/>
        <w:rPr>
          <w:rFonts w:eastAsia="Times New Roman"/>
        </w:rPr>
      </w:pPr>
    </w:p>
    <w:p w14:paraId="31F2E4C8" w14:textId="77777777" w:rsidR="00000000" w:rsidRDefault="00195E73">
      <w:pPr>
        <w:jc w:val="center"/>
        <w:rPr>
          <w:rFonts w:eastAsia="Times New Roman"/>
        </w:rPr>
      </w:pPr>
    </w:p>
    <w:p w14:paraId="4E3F9869" w14:textId="77777777" w:rsidR="00000000" w:rsidRDefault="00195E73">
      <w:pPr>
        <w:jc w:val="center"/>
        <w:rPr>
          <w:rFonts w:eastAsia="Times New Roman"/>
        </w:rPr>
      </w:pPr>
    </w:p>
    <w:p w14:paraId="78C6C01E" w14:textId="77777777" w:rsidR="00000000" w:rsidRDefault="00195E73">
      <w:pPr>
        <w:jc w:val="center"/>
        <w:rPr>
          <w:rFonts w:eastAsia="Times New Roman"/>
        </w:rPr>
      </w:pPr>
    </w:p>
    <w:p w14:paraId="7BC54624" w14:textId="77777777" w:rsidR="00000000" w:rsidRDefault="00195E73">
      <w:pPr>
        <w:jc w:val="center"/>
        <w:rPr>
          <w:rFonts w:eastAsia="Times New Roman"/>
        </w:rPr>
      </w:pPr>
    </w:p>
    <w:p w14:paraId="5A20CE09" w14:textId="77777777" w:rsidR="00000000" w:rsidRDefault="00195E73">
      <w:pPr>
        <w:jc w:val="center"/>
        <w:rPr>
          <w:rFonts w:eastAsia="Times New Roman"/>
        </w:rPr>
      </w:pPr>
    </w:p>
    <w:p w14:paraId="378D0BF5" w14:textId="77777777" w:rsidR="00000000" w:rsidRDefault="00195E73">
      <w:pPr>
        <w:jc w:val="center"/>
        <w:rPr>
          <w:rFonts w:eastAsia="Times New Roman"/>
        </w:rPr>
      </w:pPr>
    </w:p>
    <w:p w14:paraId="391083EE" w14:textId="77777777" w:rsidR="00000000" w:rsidRDefault="00195E73">
      <w:pPr>
        <w:jc w:val="center"/>
        <w:rPr>
          <w:rFonts w:eastAsia="Times New Roman"/>
        </w:rPr>
      </w:pPr>
    </w:p>
    <w:p w14:paraId="49A217B4" w14:textId="77777777" w:rsidR="00000000" w:rsidRDefault="00195E73">
      <w:pPr>
        <w:jc w:val="center"/>
        <w:rPr>
          <w:rFonts w:eastAsia="Times New Roman"/>
        </w:rPr>
      </w:pPr>
    </w:p>
    <w:p w14:paraId="6A7430DA" w14:textId="77777777" w:rsidR="00000000" w:rsidRDefault="00195E73">
      <w:pPr>
        <w:jc w:val="center"/>
        <w:rPr>
          <w:rFonts w:eastAsia="Times New Roman"/>
        </w:rPr>
      </w:pPr>
    </w:p>
    <w:p w14:paraId="0682FA95" w14:textId="77777777" w:rsidR="00000000" w:rsidRDefault="00195E73">
      <w:pPr>
        <w:jc w:val="center"/>
        <w:rPr>
          <w:rFonts w:eastAsia="Times New Roman"/>
        </w:rPr>
      </w:pPr>
    </w:p>
    <w:p w14:paraId="69D3E25E" w14:textId="77777777" w:rsidR="00000000" w:rsidRDefault="00195E73">
      <w:pPr>
        <w:jc w:val="center"/>
        <w:rPr>
          <w:rFonts w:eastAsia="Times New Roman"/>
        </w:rPr>
      </w:pPr>
    </w:p>
    <w:p w14:paraId="00A031DA" w14:textId="77777777" w:rsidR="00000000" w:rsidRDefault="00195E73">
      <w:pPr>
        <w:jc w:val="center"/>
        <w:rPr>
          <w:rFonts w:eastAsia="Times New Roman"/>
        </w:rPr>
      </w:pPr>
    </w:p>
    <w:p w14:paraId="1CA53BC8" w14:textId="77777777" w:rsidR="00000000" w:rsidRDefault="00195E73">
      <w:pPr>
        <w:jc w:val="center"/>
        <w:rPr>
          <w:rFonts w:eastAsia="Times New Roman"/>
        </w:rPr>
      </w:pPr>
    </w:p>
    <w:p w14:paraId="09F33B5B" w14:textId="77777777" w:rsidR="00000000" w:rsidRDefault="00195E73">
      <w:pPr>
        <w:jc w:val="center"/>
        <w:rPr>
          <w:rFonts w:eastAsia="Times New Roman"/>
        </w:rPr>
      </w:pPr>
    </w:p>
    <w:p w14:paraId="5338CCEA" w14:textId="77777777" w:rsidR="00000000" w:rsidRDefault="00195E73">
      <w:pPr>
        <w:jc w:val="center"/>
        <w:rPr>
          <w:rFonts w:eastAsia="Times New Roman"/>
        </w:rPr>
      </w:pPr>
    </w:p>
    <w:p w14:paraId="451A0DB4" w14:textId="77777777" w:rsidR="00000000" w:rsidRDefault="00195E73">
      <w:pPr>
        <w:jc w:val="center"/>
        <w:rPr>
          <w:rFonts w:eastAsia="Times New Roman"/>
        </w:rPr>
      </w:pPr>
    </w:p>
    <w:p w14:paraId="138C88B6" w14:textId="77777777" w:rsidR="00000000" w:rsidRDefault="00195E73">
      <w:pPr>
        <w:jc w:val="center"/>
        <w:rPr>
          <w:rFonts w:eastAsia="Times New Roman"/>
        </w:rPr>
      </w:pPr>
    </w:p>
    <w:p w14:paraId="11656B30" w14:textId="77777777" w:rsidR="00000000" w:rsidRDefault="00195E73">
      <w:pPr>
        <w:jc w:val="center"/>
        <w:rPr>
          <w:rFonts w:eastAsia="Times New Roman"/>
        </w:rPr>
      </w:pPr>
    </w:p>
    <w:p w14:paraId="7ACDC555" w14:textId="77777777" w:rsidR="00000000" w:rsidRDefault="00195E73">
      <w:pPr>
        <w:jc w:val="center"/>
        <w:rPr>
          <w:rFonts w:eastAsia="Times New Roman"/>
        </w:rPr>
      </w:pPr>
    </w:p>
    <w:p w14:paraId="43185739" w14:textId="77777777" w:rsidR="00000000" w:rsidRDefault="00195E73">
      <w:pPr>
        <w:jc w:val="center"/>
        <w:rPr>
          <w:rFonts w:eastAsia="Times New Roman"/>
        </w:rPr>
      </w:pPr>
    </w:p>
    <w:p w14:paraId="17D6FD9A" w14:textId="77777777" w:rsidR="00000000" w:rsidRDefault="00195E73">
      <w:pPr>
        <w:jc w:val="center"/>
        <w:rPr>
          <w:rFonts w:eastAsia="Times New Roman"/>
        </w:rPr>
      </w:pPr>
    </w:p>
    <w:p w14:paraId="2DCBB2E5" w14:textId="77777777" w:rsidR="00000000" w:rsidRDefault="00195E73">
      <w:pPr>
        <w:jc w:val="center"/>
        <w:rPr>
          <w:rFonts w:eastAsia="Times New Roman"/>
        </w:rPr>
      </w:pPr>
    </w:p>
    <w:p w14:paraId="7A9ACCA3" w14:textId="77777777" w:rsidR="00000000" w:rsidRDefault="00195E73">
      <w:pPr>
        <w:jc w:val="center"/>
        <w:rPr>
          <w:rFonts w:eastAsia="Times New Roman"/>
        </w:rPr>
      </w:pPr>
    </w:p>
    <w:p w14:paraId="1FA97411" w14:textId="77777777" w:rsidR="00000000" w:rsidRDefault="00195E73">
      <w:pPr>
        <w:jc w:val="center"/>
        <w:rPr>
          <w:rFonts w:eastAsia="Times New Roman"/>
        </w:rPr>
      </w:pPr>
    </w:p>
    <w:p w14:paraId="42D6648D" w14:textId="77777777" w:rsidR="00000000" w:rsidRDefault="00195E73">
      <w:pPr>
        <w:jc w:val="center"/>
        <w:rPr>
          <w:rFonts w:eastAsia="Times New Roman"/>
        </w:rPr>
      </w:pPr>
    </w:p>
    <w:p w14:paraId="35DC4DCA" w14:textId="77777777" w:rsidR="00000000" w:rsidRDefault="00195E73">
      <w:pPr>
        <w:jc w:val="center"/>
        <w:rPr>
          <w:rFonts w:eastAsia="Times New Roman"/>
        </w:rPr>
      </w:pPr>
    </w:p>
    <w:p w14:paraId="5FA10CAE" w14:textId="77777777" w:rsidR="00000000" w:rsidRDefault="00195E73">
      <w:pPr>
        <w:jc w:val="center"/>
        <w:rPr>
          <w:rFonts w:eastAsia="Times New Roman"/>
        </w:rPr>
      </w:pPr>
    </w:p>
    <w:p w14:paraId="4070684C" w14:textId="77777777" w:rsidR="00000000" w:rsidRDefault="00195E73">
      <w:pPr>
        <w:jc w:val="center"/>
        <w:rPr>
          <w:rFonts w:eastAsia="Times New Roman"/>
        </w:rPr>
      </w:pPr>
    </w:p>
    <w:p w14:paraId="335DF377" w14:textId="77777777" w:rsidR="00000000" w:rsidRDefault="00195E73">
      <w:pPr>
        <w:jc w:val="center"/>
        <w:rPr>
          <w:rFonts w:eastAsia="Times New Roman"/>
        </w:rPr>
      </w:pPr>
      <w:r>
        <w:rPr>
          <w:rFonts w:eastAsia="Times New Roman"/>
          <w:i/>
          <w:iCs/>
          <w:color w:val="000000"/>
          <w:sz w:val="20"/>
          <w:szCs w:val="20"/>
        </w:rPr>
        <w:t>See notes to condensed financial statements</w:t>
      </w:r>
      <w:r>
        <w:rPr>
          <w:rFonts w:eastAsia="Times New Roman"/>
          <w:i/>
          <w:iCs/>
          <w:color w:val="000000"/>
          <w:sz w:val="20"/>
          <w:szCs w:val="20"/>
        </w:rPr>
        <w:t>.</w:t>
      </w:r>
    </w:p>
    <w:p w14:paraId="3651FD7D" w14:textId="77777777" w:rsidR="00000000" w:rsidRDefault="00195E73">
      <w:pPr>
        <w:jc w:val="center"/>
        <w:divId w:val="206723001"/>
        <w:rPr>
          <w:rFonts w:eastAsia="Times New Roman"/>
        </w:rPr>
      </w:pPr>
      <w:r>
        <w:rPr>
          <w:rFonts w:eastAsia="Times New Roman"/>
          <w:color w:val="000000"/>
          <w:sz w:val="20"/>
          <w:szCs w:val="20"/>
        </w:rPr>
        <w:t>13</w:t>
      </w:r>
      <w:r>
        <w:rPr>
          <w:rFonts w:eastAsia="Times New Roman"/>
          <w:color w:val="000000"/>
          <w:sz w:val="20"/>
          <w:szCs w:val="20"/>
        </w:rPr>
        <w:t>4</w:t>
      </w:r>
    </w:p>
    <w:p w14:paraId="02767569" w14:textId="77777777" w:rsidR="00000000" w:rsidRDefault="00195E73">
      <w:pPr>
        <w:rPr>
          <w:rFonts w:eastAsia="Times New Roman"/>
        </w:rPr>
      </w:pPr>
      <w:r>
        <w:rPr>
          <w:rFonts w:eastAsia="Times New Roman"/>
        </w:rPr>
        <w:pict w14:anchorId="5160ECD5">
          <v:rect id="_x0000_i1160" style="width:0;height:1.5pt" o:hralign="center" o:hrstd="t" o:hr="t" fillcolor="#a0a0a0" stroked="f"/>
        </w:pict>
      </w:r>
    </w:p>
    <w:p w14:paraId="1582FE2F" w14:textId="77777777" w:rsidR="00000000" w:rsidRDefault="00195E73">
      <w:pPr>
        <w:divId w:val="1079060010"/>
        <w:rPr>
          <w:rFonts w:eastAsia="Times New Roman"/>
        </w:rPr>
      </w:pPr>
    </w:p>
    <w:p w14:paraId="5D5E1E07" w14:textId="77777777" w:rsidR="00000000" w:rsidRDefault="00195E73">
      <w:pPr>
        <w:jc w:val="center"/>
        <w:rPr>
          <w:rFonts w:eastAsia="Times New Roman"/>
        </w:rPr>
      </w:pPr>
      <w:r>
        <w:rPr>
          <w:rFonts w:eastAsia="Times New Roman"/>
          <w:b/>
          <w:bCs/>
          <w:color w:val="000000"/>
          <w:sz w:val="20"/>
          <w:szCs w:val="20"/>
        </w:rPr>
        <w:t xml:space="preserve">SCHEDULE </w:t>
      </w:r>
      <w:r>
        <w:rPr>
          <w:rFonts w:eastAsia="Times New Roman"/>
          <w:b/>
          <w:bCs/>
          <w:color w:val="000000"/>
          <w:sz w:val="20"/>
          <w:szCs w:val="20"/>
        </w:rPr>
        <w:t>I</w:t>
      </w:r>
    </w:p>
    <w:p w14:paraId="7EB2D1EC" w14:textId="77777777" w:rsidR="00000000" w:rsidRDefault="00195E73">
      <w:pPr>
        <w:jc w:val="center"/>
        <w:rPr>
          <w:rFonts w:eastAsia="Times New Roman"/>
        </w:rPr>
      </w:pPr>
    </w:p>
    <w:p w14:paraId="2D2C53B4" w14:textId="77777777" w:rsidR="00000000" w:rsidRDefault="00195E73">
      <w:pPr>
        <w:jc w:val="center"/>
        <w:rPr>
          <w:rFonts w:eastAsia="Times New Roman"/>
        </w:rPr>
      </w:pPr>
      <w:r>
        <w:rPr>
          <w:rFonts w:eastAsia="Times New Roman"/>
          <w:b/>
          <w:bCs/>
          <w:color w:val="000000"/>
          <w:sz w:val="20"/>
          <w:szCs w:val="20"/>
        </w:rPr>
        <w:t>ICAHN ENTERPRISES, L.P</w:t>
      </w:r>
      <w:r>
        <w:rPr>
          <w:rFonts w:eastAsia="Times New Roman"/>
          <w:b/>
          <w:bCs/>
          <w:color w:val="000000"/>
          <w:sz w:val="20"/>
          <w:szCs w:val="20"/>
        </w:rPr>
        <w:t>.</w:t>
      </w:r>
    </w:p>
    <w:p w14:paraId="1893FBBB" w14:textId="77777777" w:rsidR="00000000" w:rsidRDefault="00195E73">
      <w:pPr>
        <w:jc w:val="center"/>
        <w:rPr>
          <w:rFonts w:eastAsia="Times New Roman"/>
        </w:rPr>
      </w:pPr>
      <w:r>
        <w:rPr>
          <w:rFonts w:eastAsia="Times New Roman"/>
          <w:b/>
          <w:bCs/>
          <w:color w:val="000000"/>
          <w:sz w:val="20"/>
          <w:szCs w:val="20"/>
        </w:rPr>
        <w:t>(Parent Company</w:t>
      </w:r>
      <w:r>
        <w:rPr>
          <w:rFonts w:eastAsia="Times New Roman"/>
          <w:b/>
          <w:bCs/>
          <w:color w:val="000000"/>
          <w:sz w:val="20"/>
          <w:szCs w:val="20"/>
        </w:rPr>
        <w:t>)</w:t>
      </w:r>
    </w:p>
    <w:p w14:paraId="002CF886" w14:textId="77777777" w:rsidR="00000000" w:rsidRDefault="00195E73">
      <w:pPr>
        <w:jc w:val="center"/>
        <w:rPr>
          <w:rFonts w:eastAsia="Times New Roman"/>
        </w:rPr>
      </w:pPr>
    </w:p>
    <w:p w14:paraId="5846DA03" w14:textId="77777777" w:rsidR="00000000" w:rsidRDefault="00195E73">
      <w:pPr>
        <w:jc w:val="center"/>
        <w:rPr>
          <w:rFonts w:eastAsia="Times New Roman"/>
        </w:rPr>
      </w:pPr>
      <w:r>
        <w:rPr>
          <w:rFonts w:eastAsia="Times New Roman"/>
          <w:b/>
          <w:bCs/>
          <w:color w:val="000000"/>
          <w:sz w:val="20"/>
          <w:szCs w:val="20"/>
        </w:rPr>
        <w:t>CONDENSED STATEMENTS OF CASH FLOW</w:t>
      </w:r>
      <w:r>
        <w:rPr>
          <w:rFonts w:eastAsia="Times New Roman"/>
          <w:b/>
          <w:bCs/>
          <w:color w:val="000000"/>
          <w:sz w:val="20"/>
          <w:szCs w:val="20"/>
        </w:rPr>
        <w:t>S</w:t>
      </w:r>
    </w:p>
    <w:p w14:paraId="31267ACF" w14:textId="77777777" w:rsidR="00000000" w:rsidRDefault="00195E73">
      <w:pPr>
        <w:jc w:val="center"/>
        <w:rPr>
          <w:rFonts w:eastAsia="Times New Roman"/>
        </w:rPr>
      </w:pPr>
    </w:p>
    <w:p w14:paraId="2C4237A2" w14:textId="77777777" w:rsidR="00000000" w:rsidRDefault="00195E73">
      <w:pPr>
        <w:divId w:val="70682936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4052"/>
        <w:gridCol w:w="40"/>
        <w:gridCol w:w="135"/>
        <w:gridCol w:w="956"/>
        <w:gridCol w:w="85"/>
        <w:gridCol w:w="36"/>
        <w:gridCol w:w="36"/>
        <w:gridCol w:w="36"/>
        <w:gridCol w:w="135"/>
        <w:gridCol w:w="948"/>
        <w:gridCol w:w="85"/>
        <w:gridCol w:w="36"/>
        <w:gridCol w:w="36"/>
        <w:gridCol w:w="36"/>
        <w:gridCol w:w="135"/>
        <w:gridCol w:w="949"/>
        <w:gridCol w:w="85"/>
        <w:gridCol w:w="36"/>
        <w:gridCol w:w="36"/>
        <w:gridCol w:w="36"/>
        <w:gridCol w:w="36"/>
        <w:gridCol w:w="36"/>
        <w:gridCol w:w="36"/>
        <w:gridCol w:w="36"/>
        <w:gridCol w:w="36"/>
        <w:gridCol w:w="36"/>
        <w:gridCol w:w="36"/>
        <w:gridCol w:w="36"/>
        <w:gridCol w:w="36"/>
      </w:tblGrid>
      <w:tr w:rsidR="00000000" w14:paraId="3219AAB5" w14:textId="77777777">
        <w:trPr>
          <w:gridAfter w:val="12"/>
          <w:divId w:val="584339411"/>
          <w:jc w:val="center"/>
        </w:trPr>
        <w:tc>
          <w:tcPr>
            <w:tcW w:w="50" w:type="pct"/>
            <w:vAlign w:val="center"/>
            <w:hideMark/>
          </w:tcPr>
          <w:p w14:paraId="035D12EE" w14:textId="77777777" w:rsidR="00000000" w:rsidRDefault="00195E73">
            <w:pPr>
              <w:rPr>
                <w:rFonts w:eastAsia="Times New Roman"/>
              </w:rPr>
            </w:pPr>
          </w:p>
        </w:tc>
        <w:tc>
          <w:tcPr>
            <w:tcW w:w="2601" w:type="pct"/>
            <w:vAlign w:val="center"/>
            <w:hideMark/>
          </w:tcPr>
          <w:p w14:paraId="24ABD61B" w14:textId="77777777" w:rsidR="00000000" w:rsidRDefault="00195E73">
            <w:pPr>
              <w:rPr>
                <w:rFonts w:eastAsia="Times New Roman"/>
                <w:sz w:val="20"/>
                <w:szCs w:val="20"/>
              </w:rPr>
            </w:pPr>
          </w:p>
        </w:tc>
        <w:tc>
          <w:tcPr>
            <w:tcW w:w="50" w:type="pct"/>
            <w:vAlign w:val="center"/>
            <w:hideMark/>
          </w:tcPr>
          <w:p w14:paraId="6F4192A3" w14:textId="77777777" w:rsidR="00000000" w:rsidRDefault="00195E73">
            <w:pPr>
              <w:rPr>
                <w:rFonts w:eastAsia="Times New Roman"/>
                <w:sz w:val="20"/>
                <w:szCs w:val="20"/>
              </w:rPr>
            </w:pPr>
          </w:p>
        </w:tc>
        <w:tc>
          <w:tcPr>
            <w:tcW w:w="50" w:type="pct"/>
            <w:vAlign w:val="center"/>
            <w:hideMark/>
          </w:tcPr>
          <w:p w14:paraId="41A36655" w14:textId="77777777" w:rsidR="00000000" w:rsidRDefault="00195E73">
            <w:pPr>
              <w:rPr>
                <w:rFonts w:eastAsia="Times New Roman"/>
                <w:sz w:val="20"/>
                <w:szCs w:val="20"/>
              </w:rPr>
            </w:pPr>
          </w:p>
        </w:tc>
        <w:tc>
          <w:tcPr>
            <w:tcW w:w="632" w:type="pct"/>
            <w:vAlign w:val="center"/>
            <w:hideMark/>
          </w:tcPr>
          <w:p w14:paraId="3499B31B" w14:textId="77777777" w:rsidR="00000000" w:rsidRDefault="00195E73">
            <w:pPr>
              <w:rPr>
                <w:rFonts w:eastAsia="Times New Roman"/>
                <w:sz w:val="20"/>
                <w:szCs w:val="20"/>
              </w:rPr>
            </w:pPr>
          </w:p>
        </w:tc>
        <w:tc>
          <w:tcPr>
            <w:tcW w:w="50" w:type="pct"/>
            <w:vAlign w:val="center"/>
            <w:hideMark/>
          </w:tcPr>
          <w:p w14:paraId="0778DFB0" w14:textId="77777777" w:rsidR="00000000" w:rsidRDefault="00195E73">
            <w:pPr>
              <w:rPr>
                <w:rFonts w:eastAsia="Times New Roman"/>
                <w:sz w:val="20"/>
                <w:szCs w:val="20"/>
              </w:rPr>
            </w:pPr>
          </w:p>
        </w:tc>
        <w:tc>
          <w:tcPr>
            <w:tcW w:w="5" w:type="pct"/>
            <w:vAlign w:val="center"/>
            <w:hideMark/>
          </w:tcPr>
          <w:p w14:paraId="432A245A" w14:textId="77777777" w:rsidR="00000000" w:rsidRDefault="00195E73">
            <w:pPr>
              <w:rPr>
                <w:rFonts w:eastAsia="Times New Roman"/>
                <w:sz w:val="20"/>
                <w:szCs w:val="20"/>
              </w:rPr>
            </w:pPr>
          </w:p>
        </w:tc>
        <w:tc>
          <w:tcPr>
            <w:tcW w:w="41" w:type="pct"/>
            <w:vAlign w:val="center"/>
            <w:hideMark/>
          </w:tcPr>
          <w:p w14:paraId="42C15A20" w14:textId="77777777" w:rsidR="00000000" w:rsidRDefault="00195E73">
            <w:pPr>
              <w:rPr>
                <w:rFonts w:eastAsia="Times New Roman"/>
                <w:sz w:val="20"/>
                <w:szCs w:val="20"/>
              </w:rPr>
            </w:pPr>
          </w:p>
        </w:tc>
        <w:tc>
          <w:tcPr>
            <w:tcW w:w="5" w:type="pct"/>
            <w:vAlign w:val="center"/>
            <w:hideMark/>
          </w:tcPr>
          <w:p w14:paraId="0EAB57C4" w14:textId="77777777" w:rsidR="00000000" w:rsidRDefault="00195E73">
            <w:pPr>
              <w:rPr>
                <w:rFonts w:eastAsia="Times New Roman"/>
                <w:sz w:val="20"/>
                <w:szCs w:val="20"/>
              </w:rPr>
            </w:pPr>
          </w:p>
        </w:tc>
        <w:tc>
          <w:tcPr>
            <w:tcW w:w="50" w:type="pct"/>
            <w:vAlign w:val="center"/>
            <w:hideMark/>
          </w:tcPr>
          <w:p w14:paraId="5E52C162" w14:textId="77777777" w:rsidR="00000000" w:rsidRDefault="00195E73">
            <w:pPr>
              <w:rPr>
                <w:rFonts w:eastAsia="Times New Roman"/>
                <w:sz w:val="20"/>
                <w:szCs w:val="20"/>
              </w:rPr>
            </w:pPr>
          </w:p>
        </w:tc>
        <w:tc>
          <w:tcPr>
            <w:tcW w:w="632" w:type="pct"/>
            <w:vAlign w:val="center"/>
            <w:hideMark/>
          </w:tcPr>
          <w:p w14:paraId="27D1BBDF" w14:textId="77777777" w:rsidR="00000000" w:rsidRDefault="00195E73">
            <w:pPr>
              <w:rPr>
                <w:rFonts w:eastAsia="Times New Roman"/>
                <w:sz w:val="20"/>
                <w:szCs w:val="20"/>
              </w:rPr>
            </w:pPr>
          </w:p>
        </w:tc>
        <w:tc>
          <w:tcPr>
            <w:tcW w:w="50" w:type="pct"/>
            <w:vAlign w:val="center"/>
            <w:hideMark/>
          </w:tcPr>
          <w:p w14:paraId="342129BD" w14:textId="77777777" w:rsidR="00000000" w:rsidRDefault="00195E73">
            <w:pPr>
              <w:rPr>
                <w:rFonts w:eastAsia="Times New Roman"/>
                <w:sz w:val="20"/>
                <w:szCs w:val="20"/>
              </w:rPr>
            </w:pPr>
          </w:p>
        </w:tc>
        <w:tc>
          <w:tcPr>
            <w:tcW w:w="5" w:type="pct"/>
            <w:vAlign w:val="center"/>
            <w:hideMark/>
          </w:tcPr>
          <w:p w14:paraId="774AF553" w14:textId="77777777" w:rsidR="00000000" w:rsidRDefault="00195E73">
            <w:pPr>
              <w:rPr>
                <w:rFonts w:eastAsia="Times New Roman"/>
                <w:sz w:val="20"/>
                <w:szCs w:val="20"/>
              </w:rPr>
            </w:pPr>
          </w:p>
        </w:tc>
        <w:tc>
          <w:tcPr>
            <w:tcW w:w="41" w:type="pct"/>
            <w:vAlign w:val="center"/>
            <w:hideMark/>
          </w:tcPr>
          <w:p w14:paraId="11B25DCD" w14:textId="77777777" w:rsidR="00000000" w:rsidRDefault="00195E73">
            <w:pPr>
              <w:rPr>
                <w:rFonts w:eastAsia="Times New Roman"/>
                <w:sz w:val="20"/>
                <w:szCs w:val="20"/>
              </w:rPr>
            </w:pPr>
          </w:p>
        </w:tc>
        <w:tc>
          <w:tcPr>
            <w:tcW w:w="5" w:type="pct"/>
            <w:vAlign w:val="center"/>
            <w:hideMark/>
          </w:tcPr>
          <w:p w14:paraId="02C543A3" w14:textId="77777777" w:rsidR="00000000" w:rsidRDefault="00195E73">
            <w:pPr>
              <w:rPr>
                <w:rFonts w:eastAsia="Times New Roman"/>
                <w:sz w:val="20"/>
                <w:szCs w:val="20"/>
              </w:rPr>
            </w:pPr>
          </w:p>
        </w:tc>
        <w:tc>
          <w:tcPr>
            <w:tcW w:w="50" w:type="pct"/>
            <w:vAlign w:val="center"/>
            <w:hideMark/>
          </w:tcPr>
          <w:p w14:paraId="64C08699" w14:textId="77777777" w:rsidR="00000000" w:rsidRDefault="00195E73">
            <w:pPr>
              <w:rPr>
                <w:rFonts w:eastAsia="Times New Roman"/>
                <w:sz w:val="20"/>
                <w:szCs w:val="20"/>
              </w:rPr>
            </w:pPr>
          </w:p>
        </w:tc>
        <w:tc>
          <w:tcPr>
            <w:tcW w:w="632" w:type="pct"/>
            <w:vAlign w:val="center"/>
            <w:hideMark/>
          </w:tcPr>
          <w:p w14:paraId="48F8993D" w14:textId="77777777" w:rsidR="00000000" w:rsidRDefault="00195E73">
            <w:pPr>
              <w:rPr>
                <w:rFonts w:eastAsia="Times New Roman"/>
                <w:sz w:val="20"/>
                <w:szCs w:val="20"/>
              </w:rPr>
            </w:pPr>
          </w:p>
        </w:tc>
        <w:tc>
          <w:tcPr>
            <w:tcW w:w="50" w:type="pct"/>
            <w:vAlign w:val="center"/>
            <w:hideMark/>
          </w:tcPr>
          <w:p w14:paraId="041B9B18" w14:textId="77777777" w:rsidR="00000000" w:rsidRDefault="00195E73">
            <w:pPr>
              <w:rPr>
                <w:rFonts w:eastAsia="Times New Roman"/>
                <w:sz w:val="20"/>
                <w:szCs w:val="20"/>
              </w:rPr>
            </w:pPr>
          </w:p>
        </w:tc>
      </w:tr>
      <w:tr w:rsidR="00000000" w14:paraId="680C2605" w14:textId="77777777">
        <w:trPr>
          <w:divId w:val="584339411"/>
          <w:jc w:val="center"/>
        </w:trPr>
        <w:tc>
          <w:tcPr>
            <w:tcW w:w="0" w:type="auto"/>
            <w:gridSpan w:val="3"/>
            <w:tcMar>
              <w:top w:w="15" w:type="dxa"/>
              <w:left w:w="20" w:type="dxa"/>
              <w:bottom w:w="15" w:type="dxa"/>
              <w:right w:w="20" w:type="dxa"/>
            </w:tcMar>
            <w:vAlign w:val="bottom"/>
            <w:hideMark/>
          </w:tcPr>
          <w:p w14:paraId="1DB6A411"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02C0F081"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3ED72D8D" w14:textId="77777777" w:rsidR="00000000" w:rsidRDefault="00195E73">
            <w:pPr>
              <w:jc w:val="center"/>
              <w:rPr>
                <w:rFonts w:eastAsia="Times New Roman"/>
              </w:rPr>
            </w:pPr>
          </w:p>
        </w:tc>
        <w:tc>
          <w:tcPr>
            <w:tcW w:w="0" w:type="auto"/>
            <w:gridSpan w:val="3"/>
            <w:vAlign w:val="center"/>
            <w:hideMark/>
          </w:tcPr>
          <w:p w14:paraId="5FFB45E7" w14:textId="77777777" w:rsidR="00000000" w:rsidRDefault="00195E73">
            <w:pPr>
              <w:rPr>
                <w:rFonts w:eastAsia="Times New Roman"/>
                <w:sz w:val="20"/>
                <w:szCs w:val="20"/>
              </w:rPr>
            </w:pPr>
          </w:p>
        </w:tc>
        <w:tc>
          <w:tcPr>
            <w:tcW w:w="0" w:type="auto"/>
            <w:gridSpan w:val="3"/>
            <w:vAlign w:val="center"/>
            <w:hideMark/>
          </w:tcPr>
          <w:p w14:paraId="45B58AEE" w14:textId="77777777" w:rsidR="00000000" w:rsidRDefault="00195E73">
            <w:pPr>
              <w:rPr>
                <w:rFonts w:eastAsia="Times New Roman"/>
                <w:sz w:val="20"/>
                <w:szCs w:val="20"/>
              </w:rPr>
            </w:pPr>
          </w:p>
        </w:tc>
        <w:tc>
          <w:tcPr>
            <w:tcW w:w="0" w:type="auto"/>
            <w:gridSpan w:val="3"/>
            <w:vAlign w:val="center"/>
            <w:hideMark/>
          </w:tcPr>
          <w:p w14:paraId="609FA865" w14:textId="77777777" w:rsidR="00000000" w:rsidRDefault="00195E73">
            <w:pPr>
              <w:rPr>
                <w:rFonts w:eastAsia="Times New Roman"/>
                <w:sz w:val="20"/>
                <w:szCs w:val="20"/>
              </w:rPr>
            </w:pPr>
          </w:p>
        </w:tc>
      </w:tr>
      <w:tr w:rsidR="00000000" w14:paraId="092E1ED7" w14:textId="77777777">
        <w:trPr>
          <w:divId w:val="584339411"/>
          <w:jc w:val="center"/>
        </w:trPr>
        <w:tc>
          <w:tcPr>
            <w:tcW w:w="0" w:type="auto"/>
            <w:gridSpan w:val="3"/>
            <w:tcMar>
              <w:top w:w="15" w:type="dxa"/>
              <w:left w:w="20" w:type="dxa"/>
              <w:bottom w:w="15" w:type="dxa"/>
              <w:right w:w="20" w:type="dxa"/>
            </w:tcMar>
            <w:vAlign w:val="bottom"/>
            <w:hideMark/>
          </w:tcPr>
          <w:p w14:paraId="351B8D45"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D0768C7"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204B9CE5"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CEC7C0"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0AD1B9F7"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AD7E876"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37FDC565" w14:textId="77777777" w:rsidR="00000000" w:rsidRDefault="00195E73">
            <w:pPr>
              <w:rPr>
                <w:rFonts w:eastAsia="Times New Roman"/>
                <w:sz w:val="20"/>
                <w:szCs w:val="20"/>
              </w:rPr>
            </w:pPr>
          </w:p>
        </w:tc>
        <w:tc>
          <w:tcPr>
            <w:tcW w:w="0" w:type="auto"/>
            <w:vAlign w:val="center"/>
            <w:hideMark/>
          </w:tcPr>
          <w:p w14:paraId="1D8A74F5" w14:textId="77777777" w:rsidR="00000000" w:rsidRDefault="00195E73">
            <w:pPr>
              <w:rPr>
                <w:rFonts w:eastAsia="Times New Roman"/>
                <w:sz w:val="20"/>
                <w:szCs w:val="20"/>
              </w:rPr>
            </w:pPr>
          </w:p>
        </w:tc>
        <w:tc>
          <w:tcPr>
            <w:tcW w:w="0" w:type="auto"/>
            <w:vAlign w:val="center"/>
            <w:hideMark/>
          </w:tcPr>
          <w:p w14:paraId="63B5967F" w14:textId="77777777" w:rsidR="00000000" w:rsidRDefault="00195E73">
            <w:pPr>
              <w:rPr>
                <w:rFonts w:eastAsia="Times New Roman"/>
                <w:sz w:val="20"/>
                <w:szCs w:val="20"/>
              </w:rPr>
            </w:pPr>
          </w:p>
        </w:tc>
        <w:tc>
          <w:tcPr>
            <w:tcW w:w="0" w:type="auto"/>
            <w:vAlign w:val="center"/>
            <w:hideMark/>
          </w:tcPr>
          <w:p w14:paraId="485B6884" w14:textId="77777777" w:rsidR="00000000" w:rsidRDefault="00195E73">
            <w:pPr>
              <w:rPr>
                <w:rFonts w:eastAsia="Times New Roman"/>
                <w:sz w:val="20"/>
                <w:szCs w:val="20"/>
              </w:rPr>
            </w:pPr>
          </w:p>
        </w:tc>
        <w:tc>
          <w:tcPr>
            <w:tcW w:w="0" w:type="auto"/>
            <w:vAlign w:val="center"/>
            <w:hideMark/>
          </w:tcPr>
          <w:p w14:paraId="75C57CBF" w14:textId="77777777" w:rsidR="00000000" w:rsidRDefault="00195E73">
            <w:pPr>
              <w:rPr>
                <w:rFonts w:eastAsia="Times New Roman"/>
                <w:sz w:val="20"/>
                <w:szCs w:val="20"/>
              </w:rPr>
            </w:pPr>
          </w:p>
        </w:tc>
        <w:tc>
          <w:tcPr>
            <w:tcW w:w="0" w:type="auto"/>
            <w:vAlign w:val="center"/>
            <w:hideMark/>
          </w:tcPr>
          <w:p w14:paraId="344FA1B3" w14:textId="77777777" w:rsidR="00000000" w:rsidRDefault="00195E73">
            <w:pPr>
              <w:rPr>
                <w:rFonts w:eastAsia="Times New Roman"/>
                <w:sz w:val="20"/>
                <w:szCs w:val="20"/>
              </w:rPr>
            </w:pPr>
          </w:p>
        </w:tc>
        <w:tc>
          <w:tcPr>
            <w:tcW w:w="0" w:type="auto"/>
            <w:vAlign w:val="center"/>
            <w:hideMark/>
          </w:tcPr>
          <w:p w14:paraId="6DFB22AC" w14:textId="77777777" w:rsidR="00000000" w:rsidRDefault="00195E73">
            <w:pPr>
              <w:rPr>
                <w:rFonts w:eastAsia="Times New Roman"/>
                <w:sz w:val="20"/>
                <w:szCs w:val="20"/>
              </w:rPr>
            </w:pPr>
          </w:p>
        </w:tc>
        <w:tc>
          <w:tcPr>
            <w:tcW w:w="0" w:type="auto"/>
            <w:vAlign w:val="center"/>
            <w:hideMark/>
          </w:tcPr>
          <w:p w14:paraId="566E07BC" w14:textId="77777777" w:rsidR="00000000" w:rsidRDefault="00195E73">
            <w:pPr>
              <w:rPr>
                <w:rFonts w:eastAsia="Times New Roman"/>
                <w:sz w:val="20"/>
                <w:szCs w:val="20"/>
              </w:rPr>
            </w:pPr>
          </w:p>
        </w:tc>
        <w:tc>
          <w:tcPr>
            <w:tcW w:w="0" w:type="auto"/>
            <w:vAlign w:val="center"/>
            <w:hideMark/>
          </w:tcPr>
          <w:p w14:paraId="562B9CD3" w14:textId="77777777" w:rsidR="00000000" w:rsidRDefault="00195E73">
            <w:pPr>
              <w:rPr>
                <w:rFonts w:eastAsia="Times New Roman"/>
                <w:sz w:val="20"/>
                <w:szCs w:val="20"/>
              </w:rPr>
            </w:pPr>
          </w:p>
        </w:tc>
        <w:tc>
          <w:tcPr>
            <w:tcW w:w="0" w:type="auto"/>
            <w:vAlign w:val="center"/>
            <w:hideMark/>
          </w:tcPr>
          <w:p w14:paraId="622C2936" w14:textId="77777777" w:rsidR="00000000" w:rsidRDefault="00195E73">
            <w:pPr>
              <w:rPr>
                <w:rFonts w:eastAsia="Times New Roman"/>
                <w:sz w:val="20"/>
                <w:szCs w:val="20"/>
              </w:rPr>
            </w:pPr>
          </w:p>
        </w:tc>
        <w:tc>
          <w:tcPr>
            <w:tcW w:w="0" w:type="auto"/>
            <w:vAlign w:val="center"/>
            <w:hideMark/>
          </w:tcPr>
          <w:p w14:paraId="5335DF4C" w14:textId="77777777" w:rsidR="00000000" w:rsidRDefault="00195E73">
            <w:pPr>
              <w:rPr>
                <w:rFonts w:eastAsia="Times New Roman"/>
                <w:sz w:val="20"/>
                <w:szCs w:val="20"/>
              </w:rPr>
            </w:pPr>
          </w:p>
        </w:tc>
        <w:tc>
          <w:tcPr>
            <w:tcW w:w="0" w:type="auto"/>
            <w:vAlign w:val="center"/>
            <w:hideMark/>
          </w:tcPr>
          <w:p w14:paraId="54C448EA" w14:textId="77777777" w:rsidR="00000000" w:rsidRDefault="00195E73">
            <w:pPr>
              <w:rPr>
                <w:rFonts w:eastAsia="Times New Roman"/>
                <w:sz w:val="20"/>
                <w:szCs w:val="20"/>
              </w:rPr>
            </w:pPr>
          </w:p>
        </w:tc>
      </w:tr>
      <w:tr w:rsidR="00000000" w14:paraId="69DA83A4" w14:textId="77777777">
        <w:trPr>
          <w:divId w:val="584339411"/>
          <w:jc w:val="center"/>
        </w:trPr>
        <w:tc>
          <w:tcPr>
            <w:tcW w:w="0" w:type="auto"/>
            <w:gridSpan w:val="3"/>
            <w:tcMar>
              <w:top w:w="15" w:type="dxa"/>
              <w:left w:w="20" w:type="dxa"/>
              <w:bottom w:w="15" w:type="dxa"/>
              <w:right w:w="20" w:type="dxa"/>
            </w:tcMar>
            <w:vAlign w:val="bottom"/>
            <w:hideMark/>
          </w:tcPr>
          <w:p w14:paraId="4961CBD0"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7D4BCC2"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475A4248" w14:textId="77777777" w:rsidR="00000000" w:rsidRDefault="00195E73">
            <w:pPr>
              <w:jc w:val="center"/>
              <w:rPr>
                <w:rFonts w:eastAsia="Times New Roman"/>
              </w:rPr>
            </w:pPr>
          </w:p>
        </w:tc>
        <w:tc>
          <w:tcPr>
            <w:tcW w:w="0" w:type="auto"/>
            <w:gridSpan w:val="3"/>
            <w:vAlign w:val="center"/>
            <w:hideMark/>
          </w:tcPr>
          <w:p w14:paraId="6CAD9BE5" w14:textId="77777777" w:rsidR="00000000" w:rsidRDefault="00195E73">
            <w:pPr>
              <w:rPr>
                <w:rFonts w:eastAsia="Times New Roman"/>
                <w:sz w:val="20"/>
                <w:szCs w:val="20"/>
              </w:rPr>
            </w:pPr>
          </w:p>
        </w:tc>
        <w:tc>
          <w:tcPr>
            <w:tcW w:w="0" w:type="auto"/>
            <w:gridSpan w:val="3"/>
            <w:vAlign w:val="center"/>
            <w:hideMark/>
          </w:tcPr>
          <w:p w14:paraId="5B4294EE" w14:textId="77777777" w:rsidR="00000000" w:rsidRDefault="00195E73">
            <w:pPr>
              <w:rPr>
                <w:rFonts w:eastAsia="Times New Roman"/>
                <w:sz w:val="20"/>
                <w:szCs w:val="20"/>
              </w:rPr>
            </w:pPr>
          </w:p>
        </w:tc>
        <w:tc>
          <w:tcPr>
            <w:tcW w:w="0" w:type="auto"/>
            <w:gridSpan w:val="3"/>
            <w:vAlign w:val="center"/>
            <w:hideMark/>
          </w:tcPr>
          <w:p w14:paraId="2458484D" w14:textId="77777777" w:rsidR="00000000" w:rsidRDefault="00195E73">
            <w:pPr>
              <w:rPr>
                <w:rFonts w:eastAsia="Times New Roman"/>
                <w:sz w:val="20"/>
                <w:szCs w:val="20"/>
              </w:rPr>
            </w:pPr>
          </w:p>
        </w:tc>
      </w:tr>
      <w:tr w:rsidR="00000000" w14:paraId="2FA0995B" w14:textId="77777777">
        <w:trPr>
          <w:divId w:val="584339411"/>
          <w:jc w:val="center"/>
        </w:trPr>
        <w:tc>
          <w:tcPr>
            <w:tcW w:w="0" w:type="auto"/>
            <w:gridSpan w:val="3"/>
            <w:tcMar>
              <w:top w:w="30" w:type="dxa"/>
              <w:left w:w="20" w:type="dxa"/>
              <w:bottom w:w="30" w:type="dxa"/>
              <w:right w:w="20" w:type="dxa"/>
            </w:tcMar>
            <w:vAlign w:val="bottom"/>
            <w:hideMark/>
          </w:tcPr>
          <w:p w14:paraId="7EF92A54" w14:textId="77777777" w:rsidR="00000000" w:rsidRDefault="00195E73">
            <w:pPr>
              <w:rPr>
                <w:rFonts w:eastAsia="Times New Roman"/>
              </w:rPr>
            </w:pPr>
            <w:r>
              <w:rPr>
                <w:rFonts w:eastAsia="Times New Roman"/>
                <w:b/>
                <w:bCs/>
                <w:color w:val="000000"/>
                <w:sz w:val="20"/>
                <w:szCs w:val="20"/>
              </w:rPr>
              <w:t>Cash flows from operating activities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14:paraId="37D9CD1B"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399E509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985704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F31A7C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EFDDEBA" w14:textId="77777777" w:rsidR="00000000" w:rsidRDefault="00195E73">
            <w:pPr>
              <w:rPr>
                <w:rFonts w:eastAsia="Times New Roman"/>
                <w:sz w:val="20"/>
                <w:szCs w:val="20"/>
              </w:rPr>
            </w:pPr>
          </w:p>
        </w:tc>
        <w:tc>
          <w:tcPr>
            <w:tcW w:w="0" w:type="auto"/>
            <w:vAlign w:val="center"/>
            <w:hideMark/>
          </w:tcPr>
          <w:p w14:paraId="3C5634DA" w14:textId="77777777" w:rsidR="00000000" w:rsidRDefault="00195E73">
            <w:pPr>
              <w:rPr>
                <w:rFonts w:eastAsia="Times New Roman"/>
                <w:sz w:val="20"/>
                <w:szCs w:val="20"/>
              </w:rPr>
            </w:pPr>
          </w:p>
        </w:tc>
        <w:tc>
          <w:tcPr>
            <w:tcW w:w="0" w:type="auto"/>
            <w:vAlign w:val="center"/>
            <w:hideMark/>
          </w:tcPr>
          <w:p w14:paraId="52365A46" w14:textId="77777777" w:rsidR="00000000" w:rsidRDefault="00195E73">
            <w:pPr>
              <w:rPr>
                <w:rFonts w:eastAsia="Times New Roman"/>
                <w:sz w:val="20"/>
                <w:szCs w:val="20"/>
              </w:rPr>
            </w:pPr>
          </w:p>
        </w:tc>
        <w:tc>
          <w:tcPr>
            <w:tcW w:w="0" w:type="auto"/>
            <w:vAlign w:val="center"/>
            <w:hideMark/>
          </w:tcPr>
          <w:p w14:paraId="0A32096C" w14:textId="77777777" w:rsidR="00000000" w:rsidRDefault="00195E73">
            <w:pPr>
              <w:rPr>
                <w:rFonts w:eastAsia="Times New Roman"/>
                <w:sz w:val="20"/>
                <w:szCs w:val="20"/>
              </w:rPr>
            </w:pPr>
          </w:p>
        </w:tc>
        <w:tc>
          <w:tcPr>
            <w:tcW w:w="0" w:type="auto"/>
            <w:vAlign w:val="center"/>
            <w:hideMark/>
          </w:tcPr>
          <w:p w14:paraId="3CA02D7B" w14:textId="77777777" w:rsidR="00000000" w:rsidRDefault="00195E73">
            <w:pPr>
              <w:rPr>
                <w:rFonts w:eastAsia="Times New Roman"/>
                <w:sz w:val="20"/>
                <w:szCs w:val="20"/>
              </w:rPr>
            </w:pPr>
          </w:p>
        </w:tc>
        <w:tc>
          <w:tcPr>
            <w:tcW w:w="0" w:type="auto"/>
            <w:vAlign w:val="center"/>
            <w:hideMark/>
          </w:tcPr>
          <w:p w14:paraId="67FD98D4" w14:textId="77777777" w:rsidR="00000000" w:rsidRDefault="00195E73">
            <w:pPr>
              <w:rPr>
                <w:rFonts w:eastAsia="Times New Roman"/>
                <w:sz w:val="20"/>
                <w:szCs w:val="20"/>
              </w:rPr>
            </w:pPr>
          </w:p>
        </w:tc>
        <w:tc>
          <w:tcPr>
            <w:tcW w:w="0" w:type="auto"/>
            <w:vAlign w:val="center"/>
            <w:hideMark/>
          </w:tcPr>
          <w:p w14:paraId="06DCF25B" w14:textId="77777777" w:rsidR="00000000" w:rsidRDefault="00195E73">
            <w:pPr>
              <w:rPr>
                <w:rFonts w:eastAsia="Times New Roman"/>
                <w:sz w:val="20"/>
                <w:szCs w:val="20"/>
              </w:rPr>
            </w:pPr>
          </w:p>
        </w:tc>
        <w:tc>
          <w:tcPr>
            <w:tcW w:w="0" w:type="auto"/>
            <w:vAlign w:val="center"/>
            <w:hideMark/>
          </w:tcPr>
          <w:p w14:paraId="654A51C4" w14:textId="77777777" w:rsidR="00000000" w:rsidRDefault="00195E73">
            <w:pPr>
              <w:rPr>
                <w:rFonts w:eastAsia="Times New Roman"/>
                <w:sz w:val="20"/>
                <w:szCs w:val="20"/>
              </w:rPr>
            </w:pPr>
          </w:p>
        </w:tc>
        <w:tc>
          <w:tcPr>
            <w:tcW w:w="0" w:type="auto"/>
            <w:vAlign w:val="center"/>
            <w:hideMark/>
          </w:tcPr>
          <w:p w14:paraId="6F2FBBB2" w14:textId="77777777" w:rsidR="00000000" w:rsidRDefault="00195E73">
            <w:pPr>
              <w:rPr>
                <w:rFonts w:eastAsia="Times New Roman"/>
                <w:sz w:val="20"/>
                <w:szCs w:val="20"/>
              </w:rPr>
            </w:pPr>
          </w:p>
        </w:tc>
        <w:tc>
          <w:tcPr>
            <w:tcW w:w="0" w:type="auto"/>
            <w:vAlign w:val="center"/>
            <w:hideMark/>
          </w:tcPr>
          <w:p w14:paraId="1540804C" w14:textId="77777777" w:rsidR="00000000" w:rsidRDefault="00195E73">
            <w:pPr>
              <w:rPr>
                <w:rFonts w:eastAsia="Times New Roman"/>
                <w:sz w:val="20"/>
                <w:szCs w:val="20"/>
              </w:rPr>
            </w:pPr>
          </w:p>
        </w:tc>
        <w:tc>
          <w:tcPr>
            <w:tcW w:w="0" w:type="auto"/>
            <w:vAlign w:val="center"/>
            <w:hideMark/>
          </w:tcPr>
          <w:p w14:paraId="668694FC" w14:textId="77777777" w:rsidR="00000000" w:rsidRDefault="00195E73">
            <w:pPr>
              <w:rPr>
                <w:rFonts w:eastAsia="Times New Roman"/>
                <w:sz w:val="20"/>
                <w:szCs w:val="20"/>
              </w:rPr>
            </w:pPr>
          </w:p>
        </w:tc>
        <w:tc>
          <w:tcPr>
            <w:tcW w:w="0" w:type="auto"/>
            <w:vAlign w:val="center"/>
            <w:hideMark/>
          </w:tcPr>
          <w:p w14:paraId="540E7C49" w14:textId="77777777" w:rsidR="00000000" w:rsidRDefault="00195E73">
            <w:pPr>
              <w:rPr>
                <w:rFonts w:eastAsia="Times New Roman"/>
                <w:sz w:val="20"/>
                <w:szCs w:val="20"/>
              </w:rPr>
            </w:pPr>
          </w:p>
        </w:tc>
        <w:tc>
          <w:tcPr>
            <w:tcW w:w="0" w:type="auto"/>
            <w:vAlign w:val="center"/>
            <w:hideMark/>
          </w:tcPr>
          <w:p w14:paraId="4AC2D635" w14:textId="77777777" w:rsidR="00000000" w:rsidRDefault="00195E73">
            <w:pPr>
              <w:rPr>
                <w:rFonts w:eastAsia="Times New Roman"/>
                <w:sz w:val="20"/>
                <w:szCs w:val="20"/>
              </w:rPr>
            </w:pPr>
          </w:p>
        </w:tc>
      </w:tr>
      <w:tr w:rsidR="00000000" w14:paraId="2AE25184" w14:textId="77777777">
        <w:trPr>
          <w:divId w:val="584339411"/>
          <w:jc w:val="center"/>
        </w:trPr>
        <w:tc>
          <w:tcPr>
            <w:tcW w:w="0" w:type="auto"/>
            <w:gridSpan w:val="3"/>
            <w:shd w:val="clear" w:color="auto" w:fill="CCEEFF"/>
            <w:tcMar>
              <w:top w:w="30" w:type="dxa"/>
              <w:left w:w="20" w:type="dxa"/>
              <w:bottom w:w="30" w:type="dxa"/>
              <w:right w:w="20" w:type="dxa"/>
            </w:tcMar>
            <w:vAlign w:val="bottom"/>
            <w:hideMark/>
          </w:tcPr>
          <w:p w14:paraId="3F27F354" w14:textId="77777777" w:rsidR="00000000" w:rsidRDefault="00195E73">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14:paraId="7AAEAAF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9E2A512" w14:textId="77777777" w:rsidR="00000000" w:rsidRDefault="00195E73">
            <w:pPr>
              <w:jc w:val="right"/>
              <w:rPr>
                <w:rFonts w:eastAsia="Times New Roman"/>
              </w:rPr>
            </w:pPr>
            <w:r>
              <w:rPr>
                <w:rFonts w:eastAsia="Times New Roman"/>
                <w:color w:val="000000"/>
                <w:sz w:val="20"/>
                <w:szCs w:val="20"/>
              </w:rPr>
              <w:t>(1,098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6E3727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AA16C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E3936F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3FFB8F7" w14:textId="77777777" w:rsidR="00000000" w:rsidRDefault="00195E73">
            <w:pPr>
              <w:jc w:val="right"/>
              <w:rPr>
                <w:rFonts w:eastAsia="Times New Roman"/>
              </w:rPr>
            </w:pPr>
            <w:r>
              <w:rPr>
                <w:rFonts w:eastAsia="Times New Roman"/>
                <w:color w:val="000000"/>
                <w:sz w:val="20"/>
                <w:szCs w:val="20"/>
              </w:rPr>
              <w:t>1,482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467BDE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AEC855A"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EC4D06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F7A9DF6" w14:textId="77777777" w:rsidR="00000000" w:rsidRDefault="00195E73">
            <w:pPr>
              <w:jc w:val="right"/>
              <w:rPr>
                <w:rFonts w:eastAsia="Times New Roman"/>
              </w:rPr>
            </w:pPr>
            <w:r>
              <w:rPr>
                <w:rFonts w:eastAsia="Times New Roman"/>
                <w:color w:val="000000"/>
                <w:sz w:val="20"/>
                <w:szCs w:val="20"/>
              </w:rPr>
              <w:t>2,454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E0AAAD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A4947C9" w14:textId="77777777" w:rsidR="00000000" w:rsidRDefault="00195E73">
            <w:pPr>
              <w:rPr>
                <w:rFonts w:eastAsia="Times New Roman"/>
                <w:sz w:val="20"/>
                <w:szCs w:val="20"/>
              </w:rPr>
            </w:pPr>
          </w:p>
        </w:tc>
        <w:tc>
          <w:tcPr>
            <w:tcW w:w="0" w:type="auto"/>
            <w:vAlign w:val="center"/>
            <w:hideMark/>
          </w:tcPr>
          <w:p w14:paraId="7853B4A5" w14:textId="77777777" w:rsidR="00000000" w:rsidRDefault="00195E73">
            <w:pPr>
              <w:rPr>
                <w:rFonts w:eastAsia="Times New Roman"/>
                <w:sz w:val="20"/>
                <w:szCs w:val="20"/>
              </w:rPr>
            </w:pPr>
          </w:p>
        </w:tc>
        <w:tc>
          <w:tcPr>
            <w:tcW w:w="0" w:type="auto"/>
            <w:vAlign w:val="center"/>
            <w:hideMark/>
          </w:tcPr>
          <w:p w14:paraId="3E461AD9" w14:textId="77777777" w:rsidR="00000000" w:rsidRDefault="00195E73">
            <w:pPr>
              <w:rPr>
                <w:rFonts w:eastAsia="Times New Roman"/>
                <w:sz w:val="20"/>
                <w:szCs w:val="20"/>
              </w:rPr>
            </w:pPr>
          </w:p>
        </w:tc>
        <w:tc>
          <w:tcPr>
            <w:tcW w:w="0" w:type="auto"/>
            <w:vAlign w:val="center"/>
            <w:hideMark/>
          </w:tcPr>
          <w:p w14:paraId="2280C8E1" w14:textId="77777777" w:rsidR="00000000" w:rsidRDefault="00195E73">
            <w:pPr>
              <w:rPr>
                <w:rFonts w:eastAsia="Times New Roman"/>
                <w:sz w:val="20"/>
                <w:szCs w:val="20"/>
              </w:rPr>
            </w:pPr>
          </w:p>
        </w:tc>
        <w:tc>
          <w:tcPr>
            <w:tcW w:w="0" w:type="auto"/>
            <w:vAlign w:val="center"/>
            <w:hideMark/>
          </w:tcPr>
          <w:p w14:paraId="41A7359B" w14:textId="77777777" w:rsidR="00000000" w:rsidRDefault="00195E73">
            <w:pPr>
              <w:rPr>
                <w:rFonts w:eastAsia="Times New Roman"/>
                <w:sz w:val="20"/>
                <w:szCs w:val="20"/>
              </w:rPr>
            </w:pPr>
          </w:p>
        </w:tc>
        <w:tc>
          <w:tcPr>
            <w:tcW w:w="0" w:type="auto"/>
            <w:vAlign w:val="center"/>
            <w:hideMark/>
          </w:tcPr>
          <w:p w14:paraId="46C05B4B" w14:textId="77777777" w:rsidR="00000000" w:rsidRDefault="00195E73">
            <w:pPr>
              <w:rPr>
                <w:rFonts w:eastAsia="Times New Roman"/>
                <w:sz w:val="20"/>
                <w:szCs w:val="20"/>
              </w:rPr>
            </w:pPr>
          </w:p>
        </w:tc>
        <w:tc>
          <w:tcPr>
            <w:tcW w:w="0" w:type="auto"/>
            <w:vAlign w:val="center"/>
            <w:hideMark/>
          </w:tcPr>
          <w:p w14:paraId="5C7B19DF" w14:textId="77777777" w:rsidR="00000000" w:rsidRDefault="00195E73">
            <w:pPr>
              <w:rPr>
                <w:rFonts w:eastAsia="Times New Roman"/>
                <w:sz w:val="20"/>
                <w:szCs w:val="20"/>
              </w:rPr>
            </w:pPr>
          </w:p>
        </w:tc>
        <w:tc>
          <w:tcPr>
            <w:tcW w:w="0" w:type="auto"/>
            <w:vAlign w:val="center"/>
            <w:hideMark/>
          </w:tcPr>
          <w:p w14:paraId="799C60BE" w14:textId="77777777" w:rsidR="00000000" w:rsidRDefault="00195E73">
            <w:pPr>
              <w:rPr>
                <w:rFonts w:eastAsia="Times New Roman"/>
                <w:sz w:val="20"/>
                <w:szCs w:val="20"/>
              </w:rPr>
            </w:pPr>
          </w:p>
        </w:tc>
        <w:tc>
          <w:tcPr>
            <w:tcW w:w="0" w:type="auto"/>
            <w:vAlign w:val="center"/>
            <w:hideMark/>
          </w:tcPr>
          <w:p w14:paraId="7F3845F7" w14:textId="77777777" w:rsidR="00000000" w:rsidRDefault="00195E73">
            <w:pPr>
              <w:rPr>
                <w:rFonts w:eastAsia="Times New Roman"/>
                <w:sz w:val="20"/>
                <w:szCs w:val="20"/>
              </w:rPr>
            </w:pPr>
          </w:p>
        </w:tc>
        <w:tc>
          <w:tcPr>
            <w:tcW w:w="0" w:type="auto"/>
            <w:vAlign w:val="center"/>
            <w:hideMark/>
          </w:tcPr>
          <w:p w14:paraId="2CE11921" w14:textId="77777777" w:rsidR="00000000" w:rsidRDefault="00195E73">
            <w:pPr>
              <w:rPr>
                <w:rFonts w:eastAsia="Times New Roman"/>
                <w:sz w:val="20"/>
                <w:szCs w:val="20"/>
              </w:rPr>
            </w:pPr>
          </w:p>
        </w:tc>
        <w:tc>
          <w:tcPr>
            <w:tcW w:w="0" w:type="auto"/>
            <w:vAlign w:val="center"/>
            <w:hideMark/>
          </w:tcPr>
          <w:p w14:paraId="528DDF54" w14:textId="77777777" w:rsidR="00000000" w:rsidRDefault="00195E73">
            <w:pPr>
              <w:rPr>
                <w:rFonts w:eastAsia="Times New Roman"/>
                <w:sz w:val="20"/>
                <w:szCs w:val="20"/>
              </w:rPr>
            </w:pPr>
          </w:p>
        </w:tc>
        <w:tc>
          <w:tcPr>
            <w:tcW w:w="0" w:type="auto"/>
            <w:vAlign w:val="center"/>
            <w:hideMark/>
          </w:tcPr>
          <w:p w14:paraId="27BD7947" w14:textId="77777777" w:rsidR="00000000" w:rsidRDefault="00195E73">
            <w:pPr>
              <w:rPr>
                <w:rFonts w:eastAsia="Times New Roman"/>
                <w:sz w:val="20"/>
                <w:szCs w:val="20"/>
              </w:rPr>
            </w:pPr>
          </w:p>
        </w:tc>
      </w:tr>
      <w:tr w:rsidR="00000000" w14:paraId="73144AAA" w14:textId="77777777">
        <w:trPr>
          <w:divId w:val="584339411"/>
          <w:jc w:val="center"/>
        </w:trPr>
        <w:tc>
          <w:tcPr>
            <w:tcW w:w="0" w:type="auto"/>
            <w:gridSpan w:val="3"/>
            <w:shd w:val="clear" w:color="auto" w:fill="FFFFFF"/>
            <w:tcMar>
              <w:top w:w="30" w:type="dxa"/>
              <w:left w:w="20" w:type="dxa"/>
              <w:bottom w:w="30" w:type="dxa"/>
              <w:right w:w="20" w:type="dxa"/>
            </w:tcMar>
            <w:vAlign w:val="bottom"/>
            <w:hideMark/>
          </w:tcPr>
          <w:p w14:paraId="475DFBAF" w14:textId="77777777" w:rsidR="00000000" w:rsidRDefault="00195E73">
            <w:pPr>
              <w:ind w:hanging="180"/>
              <w:divId w:val="1473789887"/>
              <w:rPr>
                <w:rFonts w:eastAsia="Times New Roman"/>
              </w:rPr>
            </w:pPr>
            <w:r>
              <w:rPr>
                <w:rFonts w:eastAsia="Times New Roman"/>
                <w:color w:val="000000"/>
                <w:sz w:val="20"/>
                <w:szCs w:val="20"/>
              </w:rPr>
              <w:t>Adjustments to reconcile net (loss) income to net cash used in operating activities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7B8D5465" w14:textId="77777777" w:rsidR="00000000" w:rsidRDefault="00195E73">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77EB8F2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2DF3A03"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8C1482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9F9C972" w14:textId="77777777" w:rsidR="00000000" w:rsidRDefault="00195E73">
            <w:pPr>
              <w:rPr>
                <w:rFonts w:eastAsia="Times New Roman"/>
                <w:sz w:val="20"/>
                <w:szCs w:val="20"/>
              </w:rPr>
            </w:pPr>
          </w:p>
        </w:tc>
        <w:tc>
          <w:tcPr>
            <w:tcW w:w="0" w:type="auto"/>
            <w:vAlign w:val="center"/>
            <w:hideMark/>
          </w:tcPr>
          <w:p w14:paraId="5EB20CFA" w14:textId="77777777" w:rsidR="00000000" w:rsidRDefault="00195E73">
            <w:pPr>
              <w:rPr>
                <w:rFonts w:eastAsia="Times New Roman"/>
                <w:sz w:val="20"/>
                <w:szCs w:val="20"/>
              </w:rPr>
            </w:pPr>
          </w:p>
        </w:tc>
        <w:tc>
          <w:tcPr>
            <w:tcW w:w="0" w:type="auto"/>
            <w:vAlign w:val="center"/>
            <w:hideMark/>
          </w:tcPr>
          <w:p w14:paraId="6FA8C89B" w14:textId="77777777" w:rsidR="00000000" w:rsidRDefault="00195E73">
            <w:pPr>
              <w:rPr>
                <w:rFonts w:eastAsia="Times New Roman"/>
                <w:sz w:val="20"/>
                <w:szCs w:val="20"/>
              </w:rPr>
            </w:pPr>
          </w:p>
        </w:tc>
        <w:tc>
          <w:tcPr>
            <w:tcW w:w="0" w:type="auto"/>
            <w:vAlign w:val="center"/>
            <w:hideMark/>
          </w:tcPr>
          <w:p w14:paraId="3924D0D4" w14:textId="77777777" w:rsidR="00000000" w:rsidRDefault="00195E73">
            <w:pPr>
              <w:rPr>
                <w:rFonts w:eastAsia="Times New Roman"/>
                <w:sz w:val="20"/>
                <w:szCs w:val="20"/>
              </w:rPr>
            </w:pPr>
          </w:p>
        </w:tc>
        <w:tc>
          <w:tcPr>
            <w:tcW w:w="0" w:type="auto"/>
            <w:vAlign w:val="center"/>
            <w:hideMark/>
          </w:tcPr>
          <w:p w14:paraId="546C2BDB" w14:textId="77777777" w:rsidR="00000000" w:rsidRDefault="00195E73">
            <w:pPr>
              <w:rPr>
                <w:rFonts w:eastAsia="Times New Roman"/>
                <w:sz w:val="20"/>
                <w:szCs w:val="20"/>
              </w:rPr>
            </w:pPr>
          </w:p>
        </w:tc>
        <w:tc>
          <w:tcPr>
            <w:tcW w:w="0" w:type="auto"/>
            <w:vAlign w:val="center"/>
            <w:hideMark/>
          </w:tcPr>
          <w:p w14:paraId="54DB5E67" w14:textId="77777777" w:rsidR="00000000" w:rsidRDefault="00195E73">
            <w:pPr>
              <w:rPr>
                <w:rFonts w:eastAsia="Times New Roman"/>
                <w:sz w:val="20"/>
                <w:szCs w:val="20"/>
              </w:rPr>
            </w:pPr>
          </w:p>
        </w:tc>
        <w:tc>
          <w:tcPr>
            <w:tcW w:w="0" w:type="auto"/>
            <w:vAlign w:val="center"/>
            <w:hideMark/>
          </w:tcPr>
          <w:p w14:paraId="7EC17A31" w14:textId="77777777" w:rsidR="00000000" w:rsidRDefault="00195E73">
            <w:pPr>
              <w:rPr>
                <w:rFonts w:eastAsia="Times New Roman"/>
                <w:sz w:val="20"/>
                <w:szCs w:val="20"/>
              </w:rPr>
            </w:pPr>
          </w:p>
        </w:tc>
        <w:tc>
          <w:tcPr>
            <w:tcW w:w="0" w:type="auto"/>
            <w:vAlign w:val="center"/>
            <w:hideMark/>
          </w:tcPr>
          <w:p w14:paraId="5F79B5C4" w14:textId="77777777" w:rsidR="00000000" w:rsidRDefault="00195E73">
            <w:pPr>
              <w:rPr>
                <w:rFonts w:eastAsia="Times New Roman"/>
                <w:sz w:val="20"/>
                <w:szCs w:val="20"/>
              </w:rPr>
            </w:pPr>
          </w:p>
        </w:tc>
        <w:tc>
          <w:tcPr>
            <w:tcW w:w="0" w:type="auto"/>
            <w:vAlign w:val="center"/>
            <w:hideMark/>
          </w:tcPr>
          <w:p w14:paraId="5B3F05BB" w14:textId="77777777" w:rsidR="00000000" w:rsidRDefault="00195E73">
            <w:pPr>
              <w:rPr>
                <w:rFonts w:eastAsia="Times New Roman"/>
                <w:sz w:val="20"/>
                <w:szCs w:val="20"/>
              </w:rPr>
            </w:pPr>
          </w:p>
        </w:tc>
        <w:tc>
          <w:tcPr>
            <w:tcW w:w="0" w:type="auto"/>
            <w:vAlign w:val="center"/>
            <w:hideMark/>
          </w:tcPr>
          <w:p w14:paraId="1BCBB57F" w14:textId="77777777" w:rsidR="00000000" w:rsidRDefault="00195E73">
            <w:pPr>
              <w:rPr>
                <w:rFonts w:eastAsia="Times New Roman"/>
                <w:sz w:val="20"/>
                <w:szCs w:val="20"/>
              </w:rPr>
            </w:pPr>
          </w:p>
        </w:tc>
        <w:tc>
          <w:tcPr>
            <w:tcW w:w="0" w:type="auto"/>
            <w:vAlign w:val="center"/>
            <w:hideMark/>
          </w:tcPr>
          <w:p w14:paraId="70FE8574" w14:textId="77777777" w:rsidR="00000000" w:rsidRDefault="00195E73">
            <w:pPr>
              <w:rPr>
                <w:rFonts w:eastAsia="Times New Roman"/>
                <w:sz w:val="20"/>
                <w:szCs w:val="20"/>
              </w:rPr>
            </w:pPr>
          </w:p>
        </w:tc>
        <w:tc>
          <w:tcPr>
            <w:tcW w:w="0" w:type="auto"/>
            <w:vAlign w:val="center"/>
            <w:hideMark/>
          </w:tcPr>
          <w:p w14:paraId="6F529572" w14:textId="77777777" w:rsidR="00000000" w:rsidRDefault="00195E73">
            <w:pPr>
              <w:rPr>
                <w:rFonts w:eastAsia="Times New Roman"/>
                <w:sz w:val="20"/>
                <w:szCs w:val="20"/>
              </w:rPr>
            </w:pPr>
          </w:p>
        </w:tc>
        <w:tc>
          <w:tcPr>
            <w:tcW w:w="0" w:type="auto"/>
            <w:vAlign w:val="center"/>
            <w:hideMark/>
          </w:tcPr>
          <w:p w14:paraId="4E3C1C3E" w14:textId="77777777" w:rsidR="00000000" w:rsidRDefault="00195E73">
            <w:pPr>
              <w:rPr>
                <w:rFonts w:eastAsia="Times New Roman"/>
                <w:sz w:val="20"/>
                <w:szCs w:val="20"/>
              </w:rPr>
            </w:pPr>
          </w:p>
        </w:tc>
      </w:tr>
      <w:tr w:rsidR="00000000" w14:paraId="4C7B00F2" w14:textId="77777777">
        <w:trPr>
          <w:divId w:val="584339411"/>
          <w:jc w:val="center"/>
        </w:trPr>
        <w:tc>
          <w:tcPr>
            <w:tcW w:w="0" w:type="auto"/>
            <w:gridSpan w:val="3"/>
            <w:shd w:val="clear" w:color="auto" w:fill="CCEEFF"/>
            <w:tcMar>
              <w:top w:w="30" w:type="dxa"/>
              <w:left w:w="180" w:type="dxa"/>
              <w:bottom w:w="30" w:type="dxa"/>
              <w:right w:w="20" w:type="dxa"/>
            </w:tcMar>
            <w:vAlign w:val="bottom"/>
            <w:hideMark/>
          </w:tcPr>
          <w:p w14:paraId="6C815B49" w14:textId="77777777" w:rsidR="00000000" w:rsidRDefault="00195E73">
            <w:pPr>
              <w:rPr>
                <w:rFonts w:eastAsia="Times New Roman"/>
              </w:rPr>
            </w:pPr>
            <w:r>
              <w:rPr>
                <w:rFonts w:eastAsia="Times New Roman"/>
                <w:color w:val="000000"/>
                <w:sz w:val="20"/>
                <w:szCs w:val="20"/>
              </w:rPr>
              <w:t>Equity in loss (income) of subsidiar</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3997DF5B" w14:textId="77777777" w:rsidR="00000000" w:rsidRDefault="00195E73">
            <w:pPr>
              <w:jc w:val="right"/>
              <w:rPr>
                <w:rFonts w:eastAsia="Times New Roman"/>
              </w:rPr>
            </w:pPr>
            <w:r>
              <w:rPr>
                <w:rFonts w:eastAsia="Times New Roman"/>
                <w:color w:val="000000"/>
                <w:sz w:val="20"/>
                <w:szCs w:val="20"/>
              </w:rPr>
              <w:t>750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26065D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72F193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E7D483" w14:textId="77777777" w:rsidR="00000000" w:rsidRDefault="00195E73">
            <w:pPr>
              <w:jc w:val="right"/>
              <w:rPr>
                <w:rFonts w:eastAsia="Times New Roman"/>
              </w:rPr>
            </w:pPr>
            <w:r>
              <w:rPr>
                <w:rFonts w:eastAsia="Times New Roman"/>
                <w:color w:val="000000"/>
                <w:sz w:val="20"/>
                <w:szCs w:val="20"/>
              </w:rPr>
              <w:t>(1,819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CD0648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1AD7F0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F0517F" w14:textId="77777777" w:rsidR="00000000" w:rsidRDefault="00195E73">
            <w:pPr>
              <w:jc w:val="right"/>
              <w:rPr>
                <w:rFonts w:eastAsia="Times New Roman"/>
              </w:rPr>
            </w:pPr>
            <w:r>
              <w:rPr>
                <w:rFonts w:eastAsia="Times New Roman"/>
                <w:color w:val="000000"/>
                <w:sz w:val="20"/>
                <w:szCs w:val="20"/>
              </w:rPr>
              <w:t>(2,789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973301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30953C6" w14:textId="77777777" w:rsidR="00000000" w:rsidRDefault="00195E73">
            <w:pPr>
              <w:rPr>
                <w:rFonts w:eastAsia="Times New Roman"/>
                <w:sz w:val="20"/>
                <w:szCs w:val="20"/>
              </w:rPr>
            </w:pPr>
          </w:p>
        </w:tc>
        <w:tc>
          <w:tcPr>
            <w:tcW w:w="0" w:type="auto"/>
            <w:vAlign w:val="center"/>
            <w:hideMark/>
          </w:tcPr>
          <w:p w14:paraId="77DFB635" w14:textId="77777777" w:rsidR="00000000" w:rsidRDefault="00195E73">
            <w:pPr>
              <w:rPr>
                <w:rFonts w:eastAsia="Times New Roman"/>
                <w:sz w:val="20"/>
                <w:szCs w:val="20"/>
              </w:rPr>
            </w:pPr>
          </w:p>
        </w:tc>
        <w:tc>
          <w:tcPr>
            <w:tcW w:w="0" w:type="auto"/>
            <w:vAlign w:val="center"/>
            <w:hideMark/>
          </w:tcPr>
          <w:p w14:paraId="5C5E02F1" w14:textId="77777777" w:rsidR="00000000" w:rsidRDefault="00195E73">
            <w:pPr>
              <w:rPr>
                <w:rFonts w:eastAsia="Times New Roman"/>
                <w:sz w:val="20"/>
                <w:szCs w:val="20"/>
              </w:rPr>
            </w:pPr>
          </w:p>
        </w:tc>
        <w:tc>
          <w:tcPr>
            <w:tcW w:w="0" w:type="auto"/>
            <w:vAlign w:val="center"/>
            <w:hideMark/>
          </w:tcPr>
          <w:p w14:paraId="1DA3C2C7" w14:textId="77777777" w:rsidR="00000000" w:rsidRDefault="00195E73">
            <w:pPr>
              <w:rPr>
                <w:rFonts w:eastAsia="Times New Roman"/>
                <w:sz w:val="20"/>
                <w:szCs w:val="20"/>
              </w:rPr>
            </w:pPr>
          </w:p>
        </w:tc>
        <w:tc>
          <w:tcPr>
            <w:tcW w:w="0" w:type="auto"/>
            <w:vAlign w:val="center"/>
            <w:hideMark/>
          </w:tcPr>
          <w:p w14:paraId="2E73FCFF" w14:textId="77777777" w:rsidR="00000000" w:rsidRDefault="00195E73">
            <w:pPr>
              <w:rPr>
                <w:rFonts w:eastAsia="Times New Roman"/>
                <w:sz w:val="20"/>
                <w:szCs w:val="20"/>
              </w:rPr>
            </w:pPr>
          </w:p>
        </w:tc>
        <w:tc>
          <w:tcPr>
            <w:tcW w:w="0" w:type="auto"/>
            <w:vAlign w:val="center"/>
            <w:hideMark/>
          </w:tcPr>
          <w:p w14:paraId="32BD9F06" w14:textId="77777777" w:rsidR="00000000" w:rsidRDefault="00195E73">
            <w:pPr>
              <w:rPr>
                <w:rFonts w:eastAsia="Times New Roman"/>
                <w:sz w:val="20"/>
                <w:szCs w:val="20"/>
              </w:rPr>
            </w:pPr>
          </w:p>
        </w:tc>
        <w:tc>
          <w:tcPr>
            <w:tcW w:w="0" w:type="auto"/>
            <w:vAlign w:val="center"/>
            <w:hideMark/>
          </w:tcPr>
          <w:p w14:paraId="2F8A8199" w14:textId="77777777" w:rsidR="00000000" w:rsidRDefault="00195E73">
            <w:pPr>
              <w:rPr>
                <w:rFonts w:eastAsia="Times New Roman"/>
                <w:sz w:val="20"/>
                <w:szCs w:val="20"/>
              </w:rPr>
            </w:pPr>
          </w:p>
        </w:tc>
        <w:tc>
          <w:tcPr>
            <w:tcW w:w="0" w:type="auto"/>
            <w:vAlign w:val="center"/>
            <w:hideMark/>
          </w:tcPr>
          <w:p w14:paraId="6F9A8AF1" w14:textId="77777777" w:rsidR="00000000" w:rsidRDefault="00195E73">
            <w:pPr>
              <w:rPr>
                <w:rFonts w:eastAsia="Times New Roman"/>
                <w:sz w:val="20"/>
                <w:szCs w:val="20"/>
              </w:rPr>
            </w:pPr>
          </w:p>
        </w:tc>
        <w:tc>
          <w:tcPr>
            <w:tcW w:w="0" w:type="auto"/>
            <w:vAlign w:val="center"/>
            <w:hideMark/>
          </w:tcPr>
          <w:p w14:paraId="16D140E1" w14:textId="77777777" w:rsidR="00000000" w:rsidRDefault="00195E73">
            <w:pPr>
              <w:rPr>
                <w:rFonts w:eastAsia="Times New Roman"/>
                <w:sz w:val="20"/>
                <w:szCs w:val="20"/>
              </w:rPr>
            </w:pPr>
          </w:p>
        </w:tc>
        <w:tc>
          <w:tcPr>
            <w:tcW w:w="0" w:type="auto"/>
            <w:vAlign w:val="center"/>
            <w:hideMark/>
          </w:tcPr>
          <w:p w14:paraId="74B2BEFE" w14:textId="77777777" w:rsidR="00000000" w:rsidRDefault="00195E73">
            <w:pPr>
              <w:rPr>
                <w:rFonts w:eastAsia="Times New Roman"/>
                <w:sz w:val="20"/>
                <w:szCs w:val="20"/>
              </w:rPr>
            </w:pPr>
          </w:p>
        </w:tc>
        <w:tc>
          <w:tcPr>
            <w:tcW w:w="0" w:type="auto"/>
            <w:vAlign w:val="center"/>
            <w:hideMark/>
          </w:tcPr>
          <w:p w14:paraId="08560C84" w14:textId="77777777" w:rsidR="00000000" w:rsidRDefault="00195E73">
            <w:pPr>
              <w:rPr>
                <w:rFonts w:eastAsia="Times New Roman"/>
                <w:sz w:val="20"/>
                <w:szCs w:val="20"/>
              </w:rPr>
            </w:pPr>
          </w:p>
        </w:tc>
        <w:tc>
          <w:tcPr>
            <w:tcW w:w="0" w:type="auto"/>
            <w:vAlign w:val="center"/>
            <w:hideMark/>
          </w:tcPr>
          <w:p w14:paraId="682AC957" w14:textId="77777777" w:rsidR="00000000" w:rsidRDefault="00195E73">
            <w:pPr>
              <w:rPr>
                <w:rFonts w:eastAsia="Times New Roman"/>
                <w:sz w:val="20"/>
                <w:szCs w:val="20"/>
              </w:rPr>
            </w:pPr>
          </w:p>
        </w:tc>
      </w:tr>
      <w:tr w:rsidR="00000000" w14:paraId="14ACCA08" w14:textId="77777777">
        <w:trPr>
          <w:divId w:val="584339411"/>
          <w:jc w:val="center"/>
        </w:trPr>
        <w:tc>
          <w:tcPr>
            <w:tcW w:w="0" w:type="auto"/>
            <w:gridSpan w:val="3"/>
            <w:shd w:val="clear" w:color="auto" w:fill="FFFFFF"/>
            <w:tcMar>
              <w:top w:w="30" w:type="dxa"/>
              <w:left w:w="180" w:type="dxa"/>
              <w:bottom w:w="30" w:type="dxa"/>
              <w:right w:w="20" w:type="dxa"/>
            </w:tcMar>
            <w:vAlign w:val="bottom"/>
            <w:hideMark/>
          </w:tcPr>
          <w:p w14:paraId="25E024CC" w14:textId="77777777" w:rsidR="00000000" w:rsidRDefault="00195E73">
            <w:pPr>
              <w:rPr>
                <w:rFonts w:eastAsia="Times New Roman"/>
              </w:rPr>
            </w:pPr>
            <w:r>
              <w:rPr>
                <w:rFonts w:eastAsia="Times New Roman"/>
                <w:color w:val="000000"/>
                <w:sz w:val="20"/>
                <w:szCs w:val="20"/>
              </w:rPr>
              <w:t>(Gain) loss on extinguishment of deb</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22F07AA1"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E9D482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2E50B6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F45519"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3718DB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56024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A1B64E"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2DBB2B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164E5CA" w14:textId="77777777" w:rsidR="00000000" w:rsidRDefault="00195E73">
            <w:pPr>
              <w:rPr>
                <w:rFonts w:eastAsia="Times New Roman"/>
                <w:sz w:val="20"/>
                <w:szCs w:val="20"/>
              </w:rPr>
            </w:pPr>
          </w:p>
        </w:tc>
        <w:tc>
          <w:tcPr>
            <w:tcW w:w="0" w:type="auto"/>
            <w:vAlign w:val="center"/>
            <w:hideMark/>
          </w:tcPr>
          <w:p w14:paraId="66D023CA" w14:textId="77777777" w:rsidR="00000000" w:rsidRDefault="00195E73">
            <w:pPr>
              <w:rPr>
                <w:rFonts w:eastAsia="Times New Roman"/>
                <w:sz w:val="20"/>
                <w:szCs w:val="20"/>
              </w:rPr>
            </w:pPr>
          </w:p>
        </w:tc>
        <w:tc>
          <w:tcPr>
            <w:tcW w:w="0" w:type="auto"/>
            <w:vAlign w:val="center"/>
            <w:hideMark/>
          </w:tcPr>
          <w:p w14:paraId="59F9D911" w14:textId="77777777" w:rsidR="00000000" w:rsidRDefault="00195E73">
            <w:pPr>
              <w:rPr>
                <w:rFonts w:eastAsia="Times New Roman"/>
                <w:sz w:val="20"/>
                <w:szCs w:val="20"/>
              </w:rPr>
            </w:pPr>
          </w:p>
        </w:tc>
        <w:tc>
          <w:tcPr>
            <w:tcW w:w="0" w:type="auto"/>
            <w:vAlign w:val="center"/>
            <w:hideMark/>
          </w:tcPr>
          <w:p w14:paraId="61095576" w14:textId="77777777" w:rsidR="00000000" w:rsidRDefault="00195E73">
            <w:pPr>
              <w:rPr>
                <w:rFonts w:eastAsia="Times New Roman"/>
                <w:sz w:val="20"/>
                <w:szCs w:val="20"/>
              </w:rPr>
            </w:pPr>
          </w:p>
        </w:tc>
        <w:tc>
          <w:tcPr>
            <w:tcW w:w="0" w:type="auto"/>
            <w:vAlign w:val="center"/>
            <w:hideMark/>
          </w:tcPr>
          <w:p w14:paraId="3E208C79" w14:textId="77777777" w:rsidR="00000000" w:rsidRDefault="00195E73">
            <w:pPr>
              <w:rPr>
                <w:rFonts w:eastAsia="Times New Roman"/>
                <w:sz w:val="20"/>
                <w:szCs w:val="20"/>
              </w:rPr>
            </w:pPr>
          </w:p>
        </w:tc>
        <w:tc>
          <w:tcPr>
            <w:tcW w:w="0" w:type="auto"/>
            <w:vAlign w:val="center"/>
            <w:hideMark/>
          </w:tcPr>
          <w:p w14:paraId="01B9DA6C" w14:textId="77777777" w:rsidR="00000000" w:rsidRDefault="00195E73">
            <w:pPr>
              <w:rPr>
                <w:rFonts w:eastAsia="Times New Roman"/>
                <w:sz w:val="20"/>
                <w:szCs w:val="20"/>
              </w:rPr>
            </w:pPr>
          </w:p>
        </w:tc>
        <w:tc>
          <w:tcPr>
            <w:tcW w:w="0" w:type="auto"/>
            <w:vAlign w:val="center"/>
            <w:hideMark/>
          </w:tcPr>
          <w:p w14:paraId="51FD1A41" w14:textId="77777777" w:rsidR="00000000" w:rsidRDefault="00195E73">
            <w:pPr>
              <w:rPr>
                <w:rFonts w:eastAsia="Times New Roman"/>
                <w:sz w:val="20"/>
                <w:szCs w:val="20"/>
              </w:rPr>
            </w:pPr>
          </w:p>
        </w:tc>
        <w:tc>
          <w:tcPr>
            <w:tcW w:w="0" w:type="auto"/>
            <w:vAlign w:val="center"/>
            <w:hideMark/>
          </w:tcPr>
          <w:p w14:paraId="75E51238" w14:textId="77777777" w:rsidR="00000000" w:rsidRDefault="00195E73">
            <w:pPr>
              <w:rPr>
                <w:rFonts w:eastAsia="Times New Roman"/>
                <w:sz w:val="20"/>
                <w:szCs w:val="20"/>
              </w:rPr>
            </w:pPr>
          </w:p>
        </w:tc>
        <w:tc>
          <w:tcPr>
            <w:tcW w:w="0" w:type="auto"/>
            <w:vAlign w:val="center"/>
            <w:hideMark/>
          </w:tcPr>
          <w:p w14:paraId="6FF8E0AF" w14:textId="77777777" w:rsidR="00000000" w:rsidRDefault="00195E73">
            <w:pPr>
              <w:rPr>
                <w:rFonts w:eastAsia="Times New Roman"/>
                <w:sz w:val="20"/>
                <w:szCs w:val="20"/>
              </w:rPr>
            </w:pPr>
          </w:p>
        </w:tc>
        <w:tc>
          <w:tcPr>
            <w:tcW w:w="0" w:type="auto"/>
            <w:vAlign w:val="center"/>
            <w:hideMark/>
          </w:tcPr>
          <w:p w14:paraId="39D07A9B" w14:textId="77777777" w:rsidR="00000000" w:rsidRDefault="00195E73">
            <w:pPr>
              <w:rPr>
                <w:rFonts w:eastAsia="Times New Roman"/>
                <w:sz w:val="20"/>
                <w:szCs w:val="20"/>
              </w:rPr>
            </w:pPr>
          </w:p>
        </w:tc>
        <w:tc>
          <w:tcPr>
            <w:tcW w:w="0" w:type="auto"/>
            <w:vAlign w:val="center"/>
            <w:hideMark/>
          </w:tcPr>
          <w:p w14:paraId="0DFC6ED8" w14:textId="77777777" w:rsidR="00000000" w:rsidRDefault="00195E73">
            <w:pPr>
              <w:rPr>
                <w:rFonts w:eastAsia="Times New Roman"/>
                <w:sz w:val="20"/>
                <w:szCs w:val="20"/>
              </w:rPr>
            </w:pPr>
          </w:p>
        </w:tc>
        <w:tc>
          <w:tcPr>
            <w:tcW w:w="0" w:type="auto"/>
            <w:vAlign w:val="center"/>
            <w:hideMark/>
          </w:tcPr>
          <w:p w14:paraId="2835027A" w14:textId="77777777" w:rsidR="00000000" w:rsidRDefault="00195E73">
            <w:pPr>
              <w:rPr>
                <w:rFonts w:eastAsia="Times New Roman"/>
                <w:sz w:val="20"/>
                <w:szCs w:val="20"/>
              </w:rPr>
            </w:pPr>
          </w:p>
        </w:tc>
      </w:tr>
      <w:tr w:rsidR="00000000" w14:paraId="6E28CA42" w14:textId="77777777">
        <w:trPr>
          <w:divId w:val="584339411"/>
          <w:jc w:val="center"/>
        </w:trPr>
        <w:tc>
          <w:tcPr>
            <w:tcW w:w="0" w:type="auto"/>
            <w:gridSpan w:val="3"/>
            <w:shd w:val="clear" w:color="auto" w:fill="CCEEFF"/>
            <w:tcMar>
              <w:top w:w="30" w:type="dxa"/>
              <w:left w:w="180" w:type="dxa"/>
              <w:bottom w:w="30" w:type="dxa"/>
              <w:right w:w="20" w:type="dxa"/>
            </w:tcMar>
            <w:vAlign w:val="bottom"/>
            <w:hideMark/>
          </w:tcPr>
          <w:p w14:paraId="43CF41DD" w14:textId="77777777" w:rsidR="00000000" w:rsidRDefault="00195E73">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011E9487" w14:textId="77777777" w:rsidR="00000000" w:rsidRDefault="00195E73">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D34BF5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B9CF3E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44AF1C"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8FE6EF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3F47AA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127950"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0C4DCA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B53119F" w14:textId="77777777" w:rsidR="00000000" w:rsidRDefault="00195E73">
            <w:pPr>
              <w:rPr>
                <w:rFonts w:eastAsia="Times New Roman"/>
                <w:sz w:val="20"/>
                <w:szCs w:val="20"/>
              </w:rPr>
            </w:pPr>
          </w:p>
        </w:tc>
        <w:tc>
          <w:tcPr>
            <w:tcW w:w="0" w:type="auto"/>
            <w:vAlign w:val="center"/>
            <w:hideMark/>
          </w:tcPr>
          <w:p w14:paraId="4CD7D7E7" w14:textId="77777777" w:rsidR="00000000" w:rsidRDefault="00195E73">
            <w:pPr>
              <w:rPr>
                <w:rFonts w:eastAsia="Times New Roman"/>
                <w:sz w:val="20"/>
                <w:szCs w:val="20"/>
              </w:rPr>
            </w:pPr>
          </w:p>
        </w:tc>
        <w:tc>
          <w:tcPr>
            <w:tcW w:w="0" w:type="auto"/>
            <w:vAlign w:val="center"/>
            <w:hideMark/>
          </w:tcPr>
          <w:p w14:paraId="0F829C47" w14:textId="77777777" w:rsidR="00000000" w:rsidRDefault="00195E73">
            <w:pPr>
              <w:rPr>
                <w:rFonts w:eastAsia="Times New Roman"/>
                <w:sz w:val="20"/>
                <w:szCs w:val="20"/>
              </w:rPr>
            </w:pPr>
          </w:p>
        </w:tc>
        <w:tc>
          <w:tcPr>
            <w:tcW w:w="0" w:type="auto"/>
            <w:vAlign w:val="center"/>
            <w:hideMark/>
          </w:tcPr>
          <w:p w14:paraId="20B1FDBA" w14:textId="77777777" w:rsidR="00000000" w:rsidRDefault="00195E73">
            <w:pPr>
              <w:rPr>
                <w:rFonts w:eastAsia="Times New Roman"/>
                <w:sz w:val="20"/>
                <w:szCs w:val="20"/>
              </w:rPr>
            </w:pPr>
          </w:p>
        </w:tc>
        <w:tc>
          <w:tcPr>
            <w:tcW w:w="0" w:type="auto"/>
            <w:vAlign w:val="center"/>
            <w:hideMark/>
          </w:tcPr>
          <w:p w14:paraId="675F894E" w14:textId="77777777" w:rsidR="00000000" w:rsidRDefault="00195E73">
            <w:pPr>
              <w:rPr>
                <w:rFonts w:eastAsia="Times New Roman"/>
                <w:sz w:val="20"/>
                <w:szCs w:val="20"/>
              </w:rPr>
            </w:pPr>
          </w:p>
        </w:tc>
        <w:tc>
          <w:tcPr>
            <w:tcW w:w="0" w:type="auto"/>
            <w:vAlign w:val="center"/>
            <w:hideMark/>
          </w:tcPr>
          <w:p w14:paraId="57237324" w14:textId="77777777" w:rsidR="00000000" w:rsidRDefault="00195E73">
            <w:pPr>
              <w:rPr>
                <w:rFonts w:eastAsia="Times New Roman"/>
                <w:sz w:val="20"/>
                <w:szCs w:val="20"/>
              </w:rPr>
            </w:pPr>
          </w:p>
        </w:tc>
        <w:tc>
          <w:tcPr>
            <w:tcW w:w="0" w:type="auto"/>
            <w:vAlign w:val="center"/>
            <w:hideMark/>
          </w:tcPr>
          <w:p w14:paraId="060504F2" w14:textId="77777777" w:rsidR="00000000" w:rsidRDefault="00195E73">
            <w:pPr>
              <w:rPr>
                <w:rFonts w:eastAsia="Times New Roman"/>
                <w:sz w:val="20"/>
                <w:szCs w:val="20"/>
              </w:rPr>
            </w:pPr>
          </w:p>
        </w:tc>
        <w:tc>
          <w:tcPr>
            <w:tcW w:w="0" w:type="auto"/>
            <w:vAlign w:val="center"/>
            <w:hideMark/>
          </w:tcPr>
          <w:p w14:paraId="099B7BBA" w14:textId="77777777" w:rsidR="00000000" w:rsidRDefault="00195E73">
            <w:pPr>
              <w:rPr>
                <w:rFonts w:eastAsia="Times New Roman"/>
                <w:sz w:val="20"/>
                <w:szCs w:val="20"/>
              </w:rPr>
            </w:pPr>
          </w:p>
        </w:tc>
        <w:tc>
          <w:tcPr>
            <w:tcW w:w="0" w:type="auto"/>
            <w:vAlign w:val="center"/>
            <w:hideMark/>
          </w:tcPr>
          <w:p w14:paraId="2CE650CF" w14:textId="77777777" w:rsidR="00000000" w:rsidRDefault="00195E73">
            <w:pPr>
              <w:rPr>
                <w:rFonts w:eastAsia="Times New Roman"/>
                <w:sz w:val="20"/>
                <w:szCs w:val="20"/>
              </w:rPr>
            </w:pPr>
          </w:p>
        </w:tc>
        <w:tc>
          <w:tcPr>
            <w:tcW w:w="0" w:type="auto"/>
            <w:vAlign w:val="center"/>
            <w:hideMark/>
          </w:tcPr>
          <w:p w14:paraId="1AB6DE8E" w14:textId="77777777" w:rsidR="00000000" w:rsidRDefault="00195E73">
            <w:pPr>
              <w:rPr>
                <w:rFonts w:eastAsia="Times New Roman"/>
                <w:sz w:val="20"/>
                <w:szCs w:val="20"/>
              </w:rPr>
            </w:pPr>
          </w:p>
        </w:tc>
        <w:tc>
          <w:tcPr>
            <w:tcW w:w="0" w:type="auto"/>
            <w:vAlign w:val="center"/>
            <w:hideMark/>
          </w:tcPr>
          <w:p w14:paraId="7484C0C1" w14:textId="77777777" w:rsidR="00000000" w:rsidRDefault="00195E73">
            <w:pPr>
              <w:rPr>
                <w:rFonts w:eastAsia="Times New Roman"/>
                <w:sz w:val="20"/>
                <w:szCs w:val="20"/>
              </w:rPr>
            </w:pPr>
          </w:p>
        </w:tc>
        <w:tc>
          <w:tcPr>
            <w:tcW w:w="0" w:type="auto"/>
            <w:vAlign w:val="center"/>
            <w:hideMark/>
          </w:tcPr>
          <w:p w14:paraId="23E39DC8" w14:textId="77777777" w:rsidR="00000000" w:rsidRDefault="00195E73">
            <w:pPr>
              <w:rPr>
                <w:rFonts w:eastAsia="Times New Roman"/>
                <w:sz w:val="20"/>
                <w:szCs w:val="20"/>
              </w:rPr>
            </w:pPr>
          </w:p>
        </w:tc>
      </w:tr>
      <w:tr w:rsidR="00000000" w14:paraId="43FFC03B" w14:textId="77777777">
        <w:trPr>
          <w:divId w:val="584339411"/>
          <w:jc w:val="center"/>
        </w:trPr>
        <w:tc>
          <w:tcPr>
            <w:tcW w:w="0" w:type="auto"/>
            <w:gridSpan w:val="3"/>
            <w:shd w:val="clear" w:color="auto" w:fill="FFFFFF"/>
            <w:tcMar>
              <w:top w:w="30" w:type="dxa"/>
              <w:left w:w="20" w:type="dxa"/>
              <w:bottom w:w="30" w:type="dxa"/>
              <w:right w:w="20" w:type="dxa"/>
            </w:tcMar>
            <w:vAlign w:val="bottom"/>
            <w:hideMark/>
          </w:tcPr>
          <w:p w14:paraId="2DE4468E" w14:textId="77777777" w:rsidR="00000000" w:rsidRDefault="00195E73">
            <w:pPr>
              <w:rPr>
                <w:rFonts w:eastAsia="Times New Roman"/>
              </w:rPr>
            </w:pPr>
            <w:r>
              <w:rPr>
                <w:rFonts w:eastAsia="Times New Roman"/>
                <w:color w:val="000000"/>
                <w:sz w:val="20"/>
                <w:szCs w:val="20"/>
              </w:rPr>
              <w:t>Net cash used in operating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7383BD" w14:textId="77777777" w:rsidR="00000000" w:rsidRDefault="00195E73">
            <w:pPr>
              <w:jc w:val="right"/>
              <w:rPr>
                <w:rFonts w:eastAsia="Times New Roman"/>
              </w:rPr>
            </w:pPr>
            <w:r>
              <w:rPr>
                <w:rFonts w:eastAsia="Times New Roman"/>
                <w:color w:val="000000"/>
                <w:sz w:val="20"/>
                <w:szCs w:val="20"/>
              </w:rPr>
              <w:t>(375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F91AE7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2DE1B8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D25119" w14:textId="77777777" w:rsidR="00000000" w:rsidRDefault="00195E73">
            <w:pPr>
              <w:jc w:val="right"/>
              <w:rPr>
                <w:rFonts w:eastAsia="Times New Roman"/>
              </w:rPr>
            </w:pPr>
            <w:r>
              <w:rPr>
                <w:rFonts w:eastAsia="Times New Roman"/>
                <w:color w:val="000000"/>
                <w:sz w:val="20"/>
                <w:szCs w:val="20"/>
              </w:rPr>
              <w:t>(336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87E041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5710383"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A081CB" w14:textId="77777777" w:rsidR="00000000" w:rsidRDefault="00195E73">
            <w:pPr>
              <w:jc w:val="right"/>
              <w:rPr>
                <w:rFonts w:eastAsia="Times New Roman"/>
              </w:rPr>
            </w:pPr>
            <w:r>
              <w:rPr>
                <w:rFonts w:eastAsia="Times New Roman"/>
                <w:color w:val="000000"/>
                <w:sz w:val="20"/>
                <w:szCs w:val="20"/>
              </w:rPr>
              <w:t>(332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7A0345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804E784" w14:textId="77777777" w:rsidR="00000000" w:rsidRDefault="00195E73">
            <w:pPr>
              <w:rPr>
                <w:rFonts w:eastAsia="Times New Roman"/>
                <w:sz w:val="20"/>
                <w:szCs w:val="20"/>
              </w:rPr>
            </w:pPr>
          </w:p>
        </w:tc>
        <w:tc>
          <w:tcPr>
            <w:tcW w:w="0" w:type="auto"/>
            <w:vAlign w:val="center"/>
            <w:hideMark/>
          </w:tcPr>
          <w:p w14:paraId="2F327ABC" w14:textId="77777777" w:rsidR="00000000" w:rsidRDefault="00195E73">
            <w:pPr>
              <w:rPr>
                <w:rFonts w:eastAsia="Times New Roman"/>
                <w:sz w:val="20"/>
                <w:szCs w:val="20"/>
              </w:rPr>
            </w:pPr>
          </w:p>
        </w:tc>
        <w:tc>
          <w:tcPr>
            <w:tcW w:w="0" w:type="auto"/>
            <w:vAlign w:val="center"/>
            <w:hideMark/>
          </w:tcPr>
          <w:p w14:paraId="3E9B5896" w14:textId="77777777" w:rsidR="00000000" w:rsidRDefault="00195E73">
            <w:pPr>
              <w:rPr>
                <w:rFonts w:eastAsia="Times New Roman"/>
                <w:sz w:val="20"/>
                <w:szCs w:val="20"/>
              </w:rPr>
            </w:pPr>
          </w:p>
        </w:tc>
        <w:tc>
          <w:tcPr>
            <w:tcW w:w="0" w:type="auto"/>
            <w:vAlign w:val="center"/>
            <w:hideMark/>
          </w:tcPr>
          <w:p w14:paraId="68A2479C" w14:textId="77777777" w:rsidR="00000000" w:rsidRDefault="00195E73">
            <w:pPr>
              <w:rPr>
                <w:rFonts w:eastAsia="Times New Roman"/>
                <w:sz w:val="20"/>
                <w:szCs w:val="20"/>
              </w:rPr>
            </w:pPr>
          </w:p>
        </w:tc>
        <w:tc>
          <w:tcPr>
            <w:tcW w:w="0" w:type="auto"/>
            <w:vAlign w:val="center"/>
            <w:hideMark/>
          </w:tcPr>
          <w:p w14:paraId="34A212B3" w14:textId="77777777" w:rsidR="00000000" w:rsidRDefault="00195E73">
            <w:pPr>
              <w:rPr>
                <w:rFonts w:eastAsia="Times New Roman"/>
                <w:sz w:val="20"/>
                <w:szCs w:val="20"/>
              </w:rPr>
            </w:pPr>
          </w:p>
        </w:tc>
        <w:tc>
          <w:tcPr>
            <w:tcW w:w="0" w:type="auto"/>
            <w:vAlign w:val="center"/>
            <w:hideMark/>
          </w:tcPr>
          <w:p w14:paraId="48B42D80" w14:textId="77777777" w:rsidR="00000000" w:rsidRDefault="00195E73">
            <w:pPr>
              <w:rPr>
                <w:rFonts w:eastAsia="Times New Roman"/>
                <w:sz w:val="20"/>
                <w:szCs w:val="20"/>
              </w:rPr>
            </w:pPr>
          </w:p>
        </w:tc>
        <w:tc>
          <w:tcPr>
            <w:tcW w:w="0" w:type="auto"/>
            <w:vAlign w:val="center"/>
            <w:hideMark/>
          </w:tcPr>
          <w:p w14:paraId="4342647C" w14:textId="77777777" w:rsidR="00000000" w:rsidRDefault="00195E73">
            <w:pPr>
              <w:rPr>
                <w:rFonts w:eastAsia="Times New Roman"/>
                <w:sz w:val="20"/>
                <w:szCs w:val="20"/>
              </w:rPr>
            </w:pPr>
          </w:p>
        </w:tc>
        <w:tc>
          <w:tcPr>
            <w:tcW w:w="0" w:type="auto"/>
            <w:vAlign w:val="center"/>
            <w:hideMark/>
          </w:tcPr>
          <w:p w14:paraId="6515D2D8" w14:textId="77777777" w:rsidR="00000000" w:rsidRDefault="00195E73">
            <w:pPr>
              <w:rPr>
                <w:rFonts w:eastAsia="Times New Roman"/>
                <w:sz w:val="20"/>
                <w:szCs w:val="20"/>
              </w:rPr>
            </w:pPr>
          </w:p>
        </w:tc>
        <w:tc>
          <w:tcPr>
            <w:tcW w:w="0" w:type="auto"/>
            <w:vAlign w:val="center"/>
            <w:hideMark/>
          </w:tcPr>
          <w:p w14:paraId="11469498" w14:textId="77777777" w:rsidR="00000000" w:rsidRDefault="00195E73">
            <w:pPr>
              <w:rPr>
                <w:rFonts w:eastAsia="Times New Roman"/>
                <w:sz w:val="20"/>
                <w:szCs w:val="20"/>
              </w:rPr>
            </w:pPr>
          </w:p>
        </w:tc>
        <w:tc>
          <w:tcPr>
            <w:tcW w:w="0" w:type="auto"/>
            <w:vAlign w:val="center"/>
            <w:hideMark/>
          </w:tcPr>
          <w:p w14:paraId="5BBF42D0" w14:textId="77777777" w:rsidR="00000000" w:rsidRDefault="00195E73">
            <w:pPr>
              <w:rPr>
                <w:rFonts w:eastAsia="Times New Roman"/>
                <w:sz w:val="20"/>
                <w:szCs w:val="20"/>
              </w:rPr>
            </w:pPr>
          </w:p>
        </w:tc>
        <w:tc>
          <w:tcPr>
            <w:tcW w:w="0" w:type="auto"/>
            <w:vAlign w:val="center"/>
            <w:hideMark/>
          </w:tcPr>
          <w:p w14:paraId="53731D39" w14:textId="77777777" w:rsidR="00000000" w:rsidRDefault="00195E73">
            <w:pPr>
              <w:rPr>
                <w:rFonts w:eastAsia="Times New Roman"/>
                <w:sz w:val="20"/>
                <w:szCs w:val="20"/>
              </w:rPr>
            </w:pPr>
          </w:p>
        </w:tc>
        <w:tc>
          <w:tcPr>
            <w:tcW w:w="0" w:type="auto"/>
            <w:vAlign w:val="center"/>
            <w:hideMark/>
          </w:tcPr>
          <w:p w14:paraId="0234F09F" w14:textId="77777777" w:rsidR="00000000" w:rsidRDefault="00195E73">
            <w:pPr>
              <w:rPr>
                <w:rFonts w:eastAsia="Times New Roman"/>
                <w:sz w:val="20"/>
                <w:szCs w:val="20"/>
              </w:rPr>
            </w:pPr>
          </w:p>
        </w:tc>
      </w:tr>
      <w:tr w:rsidR="00000000" w14:paraId="7ABFB6BE" w14:textId="77777777">
        <w:trPr>
          <w:divId w:val="584339411"/>
          <w:jc w:val="center"/>
        </w:trPr>
        <w:tc>
          <w:tcPr>
            <w:tcW w:w="0" w:type="auto"/>
            <w:gridSpan w:val="3"/>
            <w:shd w:val="clear" w:color="auto" w:fill="CCEEFF"/>
            <w:tcMar>
              <w:top w:w="30" w:type="dxa"/>
              <w:left w:w="20" w:type="dxa"/>
              <w:bottom w:w="30" w:type="dxa"/>
              <w:right w:w="20" w:type="dxa"/>
            </w:tcMar>
            <w:vAlign w:val="bottom"/>
            <w:hideMark/>
          </w:tcPr>
          <w:p w14:paraId="457E6151" w14:textId="77777777" w:rsidR="00000000" w:rsidRDefault="00195E73">
            <w:pPr>
              <w:rPr>
                <w:rFonts w:eastAsia="Times New Roman"/>
              </w:rPr>
            </w:pPr>
            <w:r>
              <w:rPr>
                <w:rFonts w:eastAsia="Times New Roman"/>
                <w:b/>
                <w:bCs/>
                <w:color w:val="000000"/>
                <w:sz w:val="20"/>
                <w:szCs w:val="20"/>
              </w:rPr>
              <w:t>Cash flows from investing activities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1C682EA7"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3D2886B"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EC86337"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892EF81"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7FAD606" w14:textId="77777777" w:rsidR="00000000" w:rsidRDefault="00195E73">
            <w:pPr>
              <w:rPr>
                <w:rFonts w:eastAsia="Times New Roman"/>
                <w:sz w:val="20"/>
                <w:szCs w:val="20"/>
              </w:rPr>
            </w:pPr>
          </w:p>
        </w:tc>
        <w:tc>
          <w:tcPr>
            <w:tcW w:w="0" w:type="auto"/>
            <w:vAlign w:val="center"/>
            <w:hideMark/>
          </w:tcPr>
          <w:p w14:paraId="3CF15376" w14:textId="77777777" w:rsidR="00000000" w:rsidRDefault="00195E73">
            <w:pPr>
              <w:rPr>
                <w:rFonts w:eastAsia="Times New Roman"/>
                <w:sz w:val="20"/>
                <w:szCs w:val="20"/>
              </w:rPr>
            </w:pPr>
          </w:p>
        </w:tc>
        <w:tc>
          <w:tcPr>
            <w:tcW w:w="0" w:type="auto"/>
            <w:vAlign w:val="center"/>
            <w:hideMark/>
          </w:tcPr>
          <w:p w14:paraId="111BA0F3" w14:textId="77777777" w:rsidR="00000000" w:rsidRDefault="00195E73">
            <w:pPr>
              <w:rPr>
                <w:rFonts w:eastAsia="Times New Roman"/>
                <w:sz w:val="20"/>
                <w:szCs w:val="20"/>
              </w:rPr>
            </w:pPr>
          </w:p>
        </w:tc>
        <w:tc>
          <w:tcPr>
            <w:tcW w:w="0" w:type="auto"/>
            <w:vAlign w:val="center"/>
            <w:hideMark/>
          </w:tcPr>
          <w:p w14:paraId="6BFA3DE7" w14:textId="77777777" w:rsidR="00000000" w:rsidRDefault="00195E73">
            <w:pPr>
              <w:rPr>
                <w:rFonts w:eastAsia="Times New Roman"/>
                <w:sz w:val="20"/>
                <w:szCs w:val="20"/>
              </w:rPr>
            </w:pPr>
          </w:p>
        </w:tc>
        <w:tc>
          <w:tcPr>
            <w:tcW w:w="0" w:type="auto"/>
            <w:vAlign w:val="center"/>
            <w:hideMark/>
          </w:tcPr>
          <w:p w14:paraId="7A25A686" w14:textId="77777777" w:rsidR="00000000" w:rsidRDefault="00195E73">
            <w:pPr>
              <w:rPr>
                <w:rFonts w:eastAsia="Times New Roman"/>
                <w:sz w:val="20"/>
                <w:szCs w:val="20"/>
              </w:rPr>
            </w:pPr>
          </w:p>
        </w:tc>
        <w:tc>
          <w:tcPr>
            <w:tcW w:w="0" w:type="auto"/>
            <w:vAlign w:val="center"/>
            <w:hideMark/>
          </w:tcPr>
          <w:p w14:paraId="11725A32" w14:textId="77777777" w:rsidR="00000000" w:rsidRDefault="00195E73">
            <w:pPr>
              <w:rPr>
                <w:rFonts w:eastAsia="Times New Roman"/>
                <w:sz w:val="20"/>
                <w:szCs w:val="20"/>
              </w:rPr>
            </w:pPr>
          </w:p>
        </w:tc>
        <w:tc>
          <w:tcPr>
            <w:tcW w:w="0" w:type="auto"/>
            <w:vAlign w:val="center"/>
            <w:hideMark/>
          </w:tcPr>
          <w:p w14:paraId="6AFAD8D9" w14:textId="77777777" w:rsidR="00000000" w:rsidRDefault="00195E73">
            <w:pPr>
              <w:rPr>
                <w:rFonts w:eastAsia="Times New Roman"/>
                <w:sz w:val="20"/>
                <w:szCs w:val="20"/>
              </w:rPr>
            </w:pPr>
          </w:p>
        </w:tc>
        <w:tc>
          <w:tcPr>
            <w:tcW w:w="0" w:type="auto"/>
            <w:vAlign w:val="center"/>
            <w:hideMark/>
          </w:tcPr>
          <w:p w14:paraId="345DEEE0" w14:textId="77777777" w:rsidR="00000000" w:rsidRDefault="00195E73">
            <w:pPr>
              <w:rPr>
                <w:rFonts w:eastAsia="Times New Roman"/>
                <w:sz w:val="20"/>
                <w:szCs w:val="20"/>
              </w:rPr>
            </w:pPr>
          </w:p>
        </w:tc>
        <w:tc>
          <w:tcPr>
            <w:tcW w:w="0" w:type="auto"/>
            <w:vAlign w:val="center"/>
            <w:hideMark/>
          </w:tcPr>
          <w:p w14:paraId="12A1CC89" w14:textId="77777777" w:rsidR="00000000" w:rsidRDefault="00195E73">
            <w:pPr>
              <w:rPr>
                <w:rFonts w:eastAsia="Times New Roman"/>
                <w:sz w:val="20"/>
                <w:szCs w:val="20"/>
              </w:rPr>
            </w:pPr>
          </w:p>
        </w:tc>
        <w:tc>
          <w:tcPr>
            <w:tcW w:w="0" w:type="auto"/>
            <w:vAlign w:val="center"/>
            <w:hideMark/>
          </w:tcPr>
          <w:p w14:paraId="64307058" w14:textId="77777777" w:rsidR="00000000" w:rsidRDefault="00195E73">
            <w:pPr>
              <w:rPr>
                <w:rFonts w:eastAsia="Times New Roman"/>
                <w:sz w:val="20"/>
                <w:szCs w:val="20"/>
              </w:rPr>
            </w:pPr>
          </w:p>
        </w:tc>
        <w:tc>
          <w:tcPr>
            <w:tcW w:w="0" w:type="auto"/>
            <w:vAlign w:val="center"/>
            <w:hideMark/>
          </w:tcPr>
          <w:p w14:paraId="3152D23C" w14:textId="77777777" w:rsidR="00000000" w:rsidRDefault="00195E73">
            <w:pPr>
              <w:rPr>
                <w:rFonts w:eastAsia="Times New Roman"/>
                <w:sz w:val="20"/>
                <w:szCs w:val="20"/>
              </w:rPr>
            </w:pPr>
          </w:p>
        </w:tc>
        <w:tc>
          <w:tcPr>
            <w:tcW w:w="0" w:type="auto"/>
            <w:vAlign w:val="center"/>
            <w:hideMark/>
          </w:tcPr>
          <w:p w14:paraId="515821B6" w14:textId="77777777" w:rsidR="00000000" w:rsidRDefault="00195E73">
            <w:pPr>
              <w:rPr>
                <w:rFonts w:eastAsia="Times New Roman"/>
                <w:sz w:val="20"/>
                <w:szCs w:val="20"/>
              </w:rPr>
            </w:pPr>
          </w:p>
        </w:tc>
        <w:tc>
          <w:tcPr>
            <w:tcW w:w="0" w:type="auto"/>
            <w:vAlign w:val="center"/>
            <w:hideMark/>
          </w:tcPr>
          <w:p w14:paraId="3D121BC2" w14:textId="77777777" w:rsidR="00000000" w:rsidRDefault="00195E73">
            <w:pPr>
              <w:rPr>
                <w:rFonts w:eastAsia="Times New Roman"/>
                <w:sz w:val="20"/>
                <w:szCs w:val="20"/>
              </w:rPr>
            </w:pPr>
          </w:p>
        </w:tc>
      </w:tr>
      <w:tr w:rsidR="00000000" w14:paraId="662D8ADA" w14:textId="77777777">
        <w:trPr>
          <w:divId w:val="584339411"/>
          <w:jc w:val="center"/>
        </w:trPr>
        <w:tc>
          <w:tcPr>
            <w:tcW w:w="0" w:type="auto"/>
            <w:gridSpan w:val="3"/>
            <w:shd w:val="clear" w:color="auto" w:fill="FFFFFF"/>
            <w:tcMar>
              <w:top w:w="30" w:type="dxa"/>
              <w:left w:w="20" w:type="dxa"/>
              <w:bottom w:w="30" w:type="dxa"/>
              <w:right w:w="20" w:type="dxa"/>
            </w:tcMar>
            <w:vAlign w:val="bottom"/>
            <w:hideMark/>
          </w:tcPr>
          <w:p w14:paraId="27D28BFD" w14:textId="77777777" w:rsidR="00000000" w:rsidRDefault="00195E73">
            <w:pPr>
              <w:rPr>
                <w:rFonts w:eastAsia="Times New Roman"/>
              </w:rPr>
            </w:pPr>
            <w:r>
              <w:rPr>
                <w:rFonts w:eastAsia="Times New Roman"/>
                <w:color w:val="000000"/>
                <w:sz w:val="20"/>
                <w:szCs w:val="20"/>
              </w:rPr>
              <w:t>Net investment in and advances from subsidiar</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14:paraId="53513137" w14:textId="77777777" w:rsidR="00000000" w:rsidRDefault="00195E73">
            <w:pPr>
              <w:jc w:val="right"/>
              <w:rPr>
                <w:rFonts w:eastAsia="Times New Roman"/>
              </w:rPr>
            </w:pPr>
            <w:r>
              <w:rPr>
                <w:rFonts w:eastAsia="Times New Roman"/>
                <w:color w:val="000000"/>
                <w:sz w:val="20"/>
                <w:szCs w:val="20"/>
              </w:rPr>
              <w:t>(363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CD9EFA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FCCEB3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6839FA" w14:textId="77777777" w:rsidR="00000000" w:rsidRDefault="00195E73">
            <w:pPr>
              <w:jc w:val="right"/>
              <w:rPr>
                <w:rFonts w:eastAsia="Times New Roman"/>
              </w:rPr>
            </w:pPr>
            <w:r>
              <w:rPr>
                <w:rFonts w:eastAsia="Times New Roman"/>
                <w:color w:val="000000"/>
                <w:sz w:val="20"/>
                <w:szCs w:val="20"/>
              </w:rPr>
              <w:t>433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085110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BEBE27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5C82D1" w14:textId="77777777" w:rsidR="00000000" w:rsidRDefault="00195E73">
            <w:pPr>
              <w:jc w:val="right"/>
              <w:rPr>
                <w:rFonts w:eastAsia="Times New Roman"/>
              </w:rPr>
            </w:pPr>
            <w:r>
              <w:rPr>
                <w:rFonts w:eastAsia="Times New Roman"/>
                <w:color w:val="000000"/>
                <w:sz w:val="20"/>
                <w:szCs w:val="20"/>
              </w:rPr>
              <w:t>(210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F13741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85A5938" w14:textId="77777777" w:rsidR="00000000" w:rsidRDefault="00195E73">
            <w:pPr>
              <w:rPr>
                <w:rFonts w:eastAsia="Times New Roman"/>
                <w:sz w:val="20"/>
                <w:szCs w:val="20"/>
              </w:rPr>
            </w:pPr>
          </w:p>
        </w:tc>
        <w:tc>
          <w:tcPr>
            <w:tcW w:w="0" w:type="auto"/>
            <w:vAlign w:val="center"/>
            <w:hideMark/>
          </w:tcPr>
          <w:p w14:paraId="6D1DADA1" w14:textId="77777777" w:rsidR="00000000" w:rsidRDefault="00195E73">
            <w:pPr>
              <w:rPr>
                <w:rFonts w:eastAsia="Times New Roman"/>
                <w:sz w:val="20"/>
                <w:szCs w:val="20"/>
              </w:rPr>
            </w:pPr>
          </w:p>
        </w:tc>
        <w:tc>
          <w:tcPr>
            <w:tcW w:w="0" w:type="auto"/>
            <w:vAlign w:val="center"/>
            <w:hideMark/>
          </w:tcPr>
          <w:p w14:paraId="269AF619" w14:textId="77777777" w:rsidR="00000000" w:rsidRDefault="00195E73">
            <w:pPr>
              <w:rPr>
                <w:rFonts w:eastAsia="Times New Roman"/>
                <w:sz w:val="20"/>
                <w:szCs w:val="20"/>
              </w:rPr>
            </w:pPr>
          </w:p>
        </w:tc>
        <w:tc>
          <w:tcPr>
            <w:tcW w:w="0" w:type="auto"/>
            <w:vAlign w:val="center"/>
            <w:hideMark/>
          </w:tcPr>
          <w:p w14:paraId="21DFD342" w14:textId="77777777" w:rsidR="00000000" w:rsidRDefault="00195E73">
            <w:pPr>
              <w:rPr>
                <w:rFonts w:eastAsia="Times New Roman"/>
                <w:sz w:val="20"/>
                <w:szCs w:val="20"/>
              </w:rPr>
            </w:pPr>
          </w:p>
        </w:tc>
        <w:tc>
          <w:tcPr>
            <w:tcW w:w="0" w:type="auto"/>
            <w:vAlign w:val="center"/>
            <w:hideMark/>
          </w:tcPr>
          <w:p w14:paraId="22B84AF8" w14:textId="77777777" w:rsidR="00000000" w:rsidRDefault="00195E73">
            <w:pPr>
              <w:rPr>
                <w:rFonts w:eastAsia="Times New Roman"/>
                <w:sz w:val="20"/>
                <w:szCs w:val="20"/>
              </w:rPr>
            </w:pPr>
          </w:p>
        </w:tc>
        <w:tc>
          <w:tcPr>
            <w:tcW w:w="0" w:type="auto"/>
            <w:vAlign w:val="center"/>
            <w:hideMark/>
          </w:tcPr>
          <w:p w14:paraId="1320C438" w14:textId="77777777" w:rsidR="00000000" w:rsidRDefault="00195E73">
            <w:pPr>
              <w:rPr>
                <w:rFonts w:eastAsia="Times New Roman"/>
                <w:sz w:val="20"/>
                <w:szCs w:val="20"/>
              </w:rPr>
            </w:pPr>
          </w:p>
        </w:tc>
        <w:tc>
          <w:tcPr>
            <w:tcW w:w="0" w:type="auto"/>
            <w:vAlign w:val="center"/>
            <w:hideMark/>
          </w:tcPr>
          <w:p w14:paraId="6B144DB1" w14:textId="77777777" w:rsidR="00000000" w:rsidRDefault="00195E73">
            <w:pPr>
              <w:rPr>
                <w:rFonts w:eastAsia="Times New Roman"/>
                <w:sz w:val="20"/>
                <w:szCs w:val="20"/>
              </w:rPr>
            </w:pPr>
          </w:p>
        </w:tc>
        <w:tc>
          <w:tcPr>
            <w:tcW w:w="0" w:type="auto"/>
            <w:vAlign w:val="center"/>
            <w:hideMark/>
          </w:tcPr>
          <w:p w14:paraId="04F565BB" w14:textId="77777777" w:rsidR="00000000" w:rsidRDefault="00195E73">
            <w:pPr>
              <w:rPr>
                <w:rFonts w:eastAsia="Times New Roman"/>
                <w:sz w:val="20"/>
                <w:szCs w:val="20"/>
              </w:rPr>
            </w:pPr>
          </w:p>
        </w:tc>
        <w:tc>
          <w:tcPr>
            <w:tcW w:w="0" w:type="auto"/>
            <w:vAlign w:val="center"/>
            <w:hideMark/>
          </w:tcPr>
          <w:p w14:paraId="554C7619" w14:textId="77777777" w:rsidR="00000000" w:rsidRDefault="00195E73">
            <w:pPr>
              <w:rPr>
                <w:rFonts w:eastAsia="Times New Roman"/>
                <w:sz w:val="20"/>
                <w:szCs w:val="20"/>
              </w:rPr>
            </w:pPr>
          </w:p>
        </w:tc>
        <w:tc>
          <w:tcPr>
            <w:tcW w:w="0" w:type="auto"/>
            <w:vAlign w:val="center"/>
            <w:hideMark/>
          </w:tcPr>
          <w:p w14:paraId="715B7BA4" w14:textId="77777777" w:rsidR="00000000" w:rsidRDefault="00195E73">
            <w:pPr>
              <w:rPr>
                <w:rFonts w:eastAsia="Times New Roman"/>
                <w:sz w:val="20"/>
                <w:szCs w:val="20"/>
              </w:rPr>
            </w:pPr>
          </w:p>
        </w:tc>
        <w:tc>
          <w:tcPr>
            <w:tcW w:w="0" w:type="auto"/>
            <w:vAlign w:val="center"/>
            <w:hideMark/>
          </w:tcPr>
          <w:p w14:paraId="5DA32542" w14:textId="77777777" w:rsidR="00000000" w:rsidRDefault="00195E73">
            <w:pPr>
              <w:rPr>
                <w:rFonts w:eastAsia="Times New Roman"/>
                <w:sz w:val="20"/>
                <w:szCs w:val="20"/>
              </w:rPr>
            </w:pPr>
          </w:p>
        </w:tc>
        <w:tc>
          <w:tcPr>
            <w:tcW w:w="0" w:type="auto"/>
            <w:vAlign w:val="center"/>
            <w:hideMark/>
          </w:tcPr>
          <w:p w14:paraId="56D9375B" w14:textId="77777777" w:rsidR="00000000" w:rsidRDefault="00195E73">
            <w:pPr>
              <w:rPr>
                <w:rFonts w:eastAsia="Times New Roman"/>
                <w:sz w:val="20"/>
                <w:szCs w:val="20"/>
              </w:rPr>
            </w:pPr>
          </w:p>
        </w:tc>
      </w:tr>
      <w:tr w:rsidR="00000000" w14:paraId="0BFDC11F" w14:textId="77777777">
        <w:trPr>
          <w:divId w:val="584339411"/>
          <w:jc w:val="center"/>
        </w:trPr>
        <w:tc>
          <w:tcPr>
            <w:tcW w:w="0" w:type="auto"/>
            <w:gridSpan w:val="3"/>
            <w:shd w:val="clear" w:color="auto" w:fill="CCEEFF"/>
            <w:tcMar>
              <w:top w:w="30" w:type="dxa"/>
              <w:left w:w="20" w:type="dxa"/>
              <w:bottom w:w="30" w:type="dxa"/>
              <w:right w:w="20" w:type="dxa"/>
            </w:tcMar>
            <w:vAlign w:val="bottom"/>
            <w:hideMark/>
          </w:tcPr>
          <w:p w14:paraId="7C34C381" w14:textId="77777777" w:rsidR="00000000" w:rsidRDefault="00195E73">
            <w:pPr>
              <w:rPr>
                <w:rFonts w:eastAsia="Times New Roman"/>
              </w:rPr>
            </w:pPr>
            <w:r>
              <w:rPr>
                <w:rFonts w:eastAsia="Times New Roman"/>
                <w:color w:val="000000"/>
                <w:sz w:val="20"/>
                <w:szCs w:val="20"/>
              </w:rPr>
              <w:t>Net cash (used in) provided by investing activitie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3D24CD" w14:textId="77777777" w:rsidR="00000000" w:rsidRDefault="00195E73">
            <w:pPr>
              <w:jc w:val="right"/>
              <w:rPr>
                <w:rFonts w:eastAsia="Times New Roman"/>
              </w:rPr>
            </w:pPr>
            <w:r>
              <w:rPr>
                <w:rFonts w:eastAsia="Times New Roman"/>
                <w:color w:val="000000"/>
                <w:sz w:val="20"/>
                <w:szCs w:val="20"/>
              </w:rPr>
              <w:t>(363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7B9868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36B5391"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71D00C" w14:textId="77777777" w:rsidR="00000000" w:rsidRDefault="00195E73">
            <w:pPr>
              <w:jc w:val="right"/>
              <w:rPr>
                <w:rFonts w:eastAsia="Times New Roman"/>
              </w:rPr>
            </w:pPr>
            <w:r>
              <w:rPr>
                <w:rFonts w:eastAsia="Times New Roman"/>
                <w:color w:val="000000"/>
                <w:sz w:val="20"/>
                <w:szCs w:val="20"/>
              </w:rPr>
              <w:t>433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447253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6A918E"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5EDCBD" w14:textId="77777777" w:rsidR="00000000" w:rsidRDefault="00195E73">
            <w:pPr>
              <w:jc w:val="right"/>
              <w:rPr>
                <w:rFonts w:eastAsia="Times New Roman"/>
              </w:rPr>
            </w:pPr>
            <w:r>
              <w:rPr>
                <w:rFonts w:eastAsia="Times New Roman"/>
                <w:color w:val="000000"/>
                <w:sz w:val="20"/>
                <w:szCs w:val="20"/>
              </w:rPr>
              <w:t>(210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147049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C871A92" w14:textId="77777777" w:rsidR="00000000" w:rsidRDefault="00195E73">
            <w:pPr>
              <w:rPr>
                <w:rFonts w:eastAsia="Times New Roman"/>
                <w:sz w:val="20"/>
                <w:szCs w:val="20"/>
              </w:rPr>
            </w:pPr>
          </w:p>
        </w:tc>
        <w:tc>
          <w:tcPr>
            <w:tcW w:w="0" w:type="auto"/>
            <w:vAlign w:val="center"/>
            <w:hideMark/>
          </w:tcPr>
          <w:p w14:paraId="46134275" w14:textId="77777777" w:rsidR="00000000" w:rsidRDefault="00195E73">
            <w:pPr>
              <w:rPr>
                <w:rFonts w:eastAsia="Times New Roman"/>
                <w:sz w:val="20"/>
                <w:szCs w:val="20"/>
              </w:rPr>
            </w:pPr>
          </w:p>
        </w:tc>
        <w:tc>
          <w:tcPr>
            <w:tcW w:w="0" w:type="auto"/>
            <w:vAlign w:val="center"/>
            <w:hideMark/>
          </w:tcPr>
          <w:p w14:paraId="6BE96029" w14:textId="77777777" w:rsidR="00000000" w:rsidRDefault="00195E73">
            <w:pPr>
              <w:rPr>
                <w:rFonts w:eastAsia="Times New Roman"/>
                <w:sz w:val="20"/>
                <w:szCs w:val="20"/>
              </w:rPr>
            </w:pPr>
          </w:p>
        </w:tc>
        <w:tc>
          <w:tcPr>
            <w:tcW w:w="0" w:type="auto"/>
            <w:vAlign w:val="center"/>
            <w:hideMark/>
          </w:tcPr>
          <w:p w14:paraId="731B070B" w14:textId="77777777" w:rsidR="00000000" w:rsidRDefault="00195E73">
            <w:pPr>
              <w:rPr>
                <w:rFonts w:eastAsia="Times New Roman"/>
                <w:sz w:val="20"/>
                <w:szCs w:val="20"/>
              </w:rPr>
            </w:pPr>
          </w:p>
        </w:tc>
        <w:tc>
          <w:tcPr>
            <w:tcW w:w="0" w:type="auto"/>
            <w:vAlign w:val="center"/>
            <w:hideMark/>
          </w:tcPr>
          <w:p w14:paraId="6EEA1E77" w14:textId="77777777" w:rsidR="00000000" w:rsidRDefault="00195E73">
            <w:pPr>
              <w:rPr>
                <w:rFonts w:eastAsia="Times New Roman"/>
                <w:sz w:val="20"/>
                <w:szCs w:val="20"/>
              </w:rPr>
            </w:pPr>
          </w:p>
        </w:tc>
        <w:tc>
          <w:tcPr>
            <w:tcW w:w="0" w:type="auto"/>
            <w:vAlign w:val="center"/>
            <w:hideMark/>
          </w:tcPr>
          <w:p w14:paraId="269FA39C" w14:textId="77777777" w:rsidR="00000000" w:rsidRDefault="00195E73">
            <w:pPr>
              <w:rPr>
                <w:rFonts w:eastAsia="Times New Roman"/>
                <w:sz w:val="20"/>
                <w:szCs w:val="20"/>
              </w:rPr>
            </w:pPr>
          </w:p>
        </w:tc>
        <w:tc>
          <w:tcPr>
            <w:tcW w:w="0" w:type="auto"/>
            <w:vAlign w:val="center"/>
            <w:hideMark/>
          </w:tcPr>
          <w:p w14:paraId="55544C32" w14:textId="77777777" w:rsidR="00000000" w:rsidRDefault="00195E73">
            <w:pPr>
              <w:rPr>
                <w:rFonts w:eastAsia="Times New Roman"/>
                <w:sz w:val="20"/>
                <w:szCs w:val="20"/>
              </w:rPr>
            </w:pPr>
          </w:p>
        </w:tc>
        <w:tc>
          <w:tcPr>
            <w:tcW w:w="0" w:type="auto"/>
            <w:vAlign w:val="center"/>
            <w:hideMark/>
          </w:tcPr>
          <w:p w14:paraId="1DFC00AB" w14:textId="77777777" w:rsidR="00000000" w:rsidRDefault="00195E73">
            <w:pPr>
              <w:rPr>
                <w:rFonts w:eastAsia="Times New Roman"/>
                <w:sz w:val="20"/>
                <w:szCs w:val="20"/>
              </w:rPr>
            </w:pPr>
          </w:p>
        </w:tc>
        <w:tc>
          <w:tcPr>
            <w:tcW w:w="0" w:type="auto"/>
            <w:vAlign w:val="center"/>
            <w:hideMark/>
          </w:tcPr>
          <w:p w14:paraId="67B2662D" w14:textId="77777777" w:rsidR="00000000" w:rsidRDefault="00195E73">
            <w:pPr>
              <w:rPr>
                <w:rFonts w:eastAsia="Times New Roman"/>
                <w:sz w:val="20"/>
                <w:szCs w:val="20"/>
              </w:rPr>
            </w:pPr>
          </w:p>
        </w:tc>
        <w:tc>
          <w:tcPr>
            <w:tcW w:w="0" w:type="auto"/>
            <w:vAlign w:val="center"/>
            <w:hideMark/>
          </w:tcPr>
          <w:p w14:paraId="4206C62E" w14:textId="77777777" w:rsidR="00000000" w:rsidRDefault="00195E73">
            <w:pPr>
              <w:rPr>
                <w:rFonts w:eastAsia="Times New Roman"/>
                <w:sz w:val="20"/>
                <w:szCs w:val="20"/>
              </w:rPr>
            </w:pPr>
          </w:p>
        </w:tc>
        <w:tc>
          <w:tcPr>
            <w:tcW w:w="0" w:type="auto"/>
            <w:vAlign w:val="center"/>
            <w:hideMark/>
          </w:tcPr>
          <w:p w14:paraId="18EDB9E4" w14:textId="77777777" w:rsidR="00000000" w:rsidRDefault="00195E73">
            <w:pPr>
              <w:rPr>
                <w:rFonts w:eastAsia="Times New Roman"/>
                <w:sz w:val="20"/>
                <w:szCs w:val="20"/>
              </w:rPr>
            </w:pPr>
          </w:p>
        </w:tc>
        <w:tc>
          <w:tcPr>
            <w:tcW w:w="0" w:type="auto"/>
            <w:vAlign w:val="center"/>
            <w:hideMark/>
          </w:tcPr>
          <w:p w14:paraId="730117DF" w14:textId="77777777" w:rsidR="00000000" w:rsidRDefault="00195E73">
            <w:pPr>
              <w:rPr>
                <w:rFonts w:eastAsia="Times New Roman"/>
                <w:sz w:val="20"/>
                <w:szCs w:val="20"/>
              </w:rPr>
            </w:pPr>
          </w:p>
        </w:tc>
      </w:tr>
      <w:tr w:rsidR="00000000" w14:paraId="5B96CCD1" w14:textId="77777777">
        <w:trPr>
          <w:divId w:val="584339411"/>
          <w:jc w:val="center"/>
        </w:trPr>
        <w:tc>
          <w:tcPr>
            <w:tcW w:w="0" w:type="auto"/>
            <w:gridSpan w:val="3"/>
            <w:shd w:val="clear" w:color="auto" w:fill="FFFFFF"/>
            <w:tcMar>
              <w:top w:w="30" w:type="dxa"/>
              <w:left w:w="20" w:type="dxa"/>
              <w:bottom w:w="30" w:type="dxa"/>
              <w:right w:w="20" w:type="dxa"/>
            </w:tcMar>
            <w:vAlign w:val="bottom"/>
            <w:hideMark/>
          </w:tcPr>
          <w:p w14:paraId="20E68686" w14:textId="77777777" w:rsidR="00000000" w:rsidRDefault="00195E73">
            <w:pPr>
              <w:rPr>
                <w:rFonts w:eastAsia="Times New Roman"/>
              </w:rPr>
            </w:pPr>
            <w:r>
              <w:rPr>
                <w:rFonts w:eastAsia="Times New Roman"/>
                <w:b/>
                <w:bCs/>
                <w:color w:val="000000"/>
                <w:sz w:val="20"/>
                <w:szCs w:val="20"/>
              </w:rPr>
              <w:t>Cash flows from financing activities</w:t>
            </w:r>
            <w:r>
              <w:rPr>
                <w:rFonts w:eastAsia="Times New Roman"/>
                <w:b/>
                <w:bCs/>
                <w:color w:val="000000"/>
                <w:sz w:val="20"/>
                <w:szCs w:val="20"/>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46C3885D"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56532EC7"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50365DB6"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0B5EBA7"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6E1E4C04" w14:textId="77777777" w:rsidR="00000000" w:rsidRDefault="00195E73">
            <w:pPr>
              <w:rPr>
                <w:rFonts w:eastAsia="Times New Roman"/>
                <w:sz w:val="20"/>
                <w:szCs w:val="20"/>
              </w:rPr>
            </w:pPr>
          </w:p>
        </w:tc>
        <w:tc>
          <w:tcPr>
            <w:tcW w:w="0" w:type="auto"/>
            <w:vAlign w:val="center"/>
            <w:hideMark/>
          </w:tcPr>
          <w:p w14:paraId="1B573A4E" w14:textId="77777777" w:rsidR="00000000" w:rsidRDefault="00195E73">
            <w:pPr>
              <w:rPr>
                <w:rFonts w:eastAsia="Times New Roman"/>
                <w:sz w:val="20"/>
                <w:szCs w:val="20"/>
              </w:rPr>
            </w:pPr>
          </w:p>
        </w:tc>
        <w:tc>
          <w:tcPr>
            <w:tcW w:w="0" w:type="auto"/>
            <w:vAlign w:val="center"/>
            <w:hideMark/>
          </w:tcPr>
          <w:p w14:paraId="7C6477C2" w14:textId="77777777" w:rsidR="00000000" w:rsidRDefault="00195E73">
            <w:pPr>
              <w:rPr>
                <w:rFonts w:eastAsia="Times New Roman"/>
                <w:sz w:val="20"/>
                <w:szCs w:val="20"/>
              </w:rPr>
            </w:pPr>
          </w:p>
        </w:tc>
        <w:tc>
          <w:tcPr>
            <w:tcW w:w="0" w:type="auto"/>
            <w:vAlign w:val="center"/>
            <w:hideMark/>
          </w:tcPr>
          <w:p w14:paraId="35533ADF" w14:textId="77777777" w:rsidR="00000000" w:rsidRDefault="00195E73">
            <w:pPr>
              <w:rPr>
                <w:rFonts w:eastAsia="Times New Roman"/>
                <w:sz w:val="20"/>
                <w:szCs w:val="20"/>
              </w:rPr>
            </w:pPr>
          </w:p>
        </w:tc>
        <w:tc>
          <w:tcPr>
            <w:tcW w:w="0" w:type="auto"/>
            <w:vAlign w:val="center"/>
            <w:hideMark/>
          </w:tcPr>
          <w:p w14:paraId="55065E58" w14:textId="77777777" w:rsidR="00000000" w:rsidRDefault="00195E73">
            <w:pPr>
              <w:rPr>
                <w:rFonts w:eastAsia="Times New Roman"/>
                <w:sz w:val="20"/>
                <w:szCs w:val="20"/>
              </w:rPr>
            </w:pPr>
          </w:p>
        </w:tc>
        <w:tc>
          <w:tcPr>
            <w:tcW w:w="0" w:type="auto"/>
            <w:vAlign w:val="center"/>
            <w:hideMark/>
          </w:tcPr>
          <w:p w14:paraId="705E2DEF" w14:textId="77777777" w:rsidR="00000000" w:rsidRDefault="00195E73">
            <w:pPr>
              <w:rPr>
                <w:rFonts w:eastAsia="Times New Roman"/>
                <w:sz w:val="20"/>
                <w:szCs w:val="20"/>
              </w:rPr>
            </w:pPr>
          </w:p>
        </w:tc>
        <w:tc>
          <w:tcPr>
            <w:tcW w:w="0" w:type="auto"/>
            <w:vAlign w:val="center"/>
            <w:hideMark/>
          </w:tcPr>
          <w:p w14:paraId="68150D1A" w14:textId="77777777" w:rsidR="00000000" w:rsidRDefault="00195E73">
            <w:pPr>
              <w:rPr>
                <w:rFonts w:eastAsia="Times New Roman"/>
                <w:sz w:val="20"/>
                <w:szCs w:val="20"/>
              </w:rPr>
            </w:pPr>
          </w:p>
        </w:tc>
        <w:tc>
          <w:tcPr>
            <w:tcW w:w="0" w:type="auto"/>
            <w:vAlign w:val="center"/>
            <w:hideMark/>
          </w:tcPr>
          <w:p w14:paraId="0AA49237" w14:textId="77777777" w:rsidR="00000000" w:rsidRDefault="00195E73">
            <w:pPr>
              <w:rPr>
                <w:rFonts w:eastAsia="Times New Roman"/>
                <w:sz w:val="20"/>
                <w:szCs w:val="20"/>
              </w:rPr>
            </w:pPr>
          </w:p>
        </w:tc>
        <w:tc>
          <w:tcPr>
            <w:tcW w:w="0" w:type="auto"/>
            <w:vAlign w:val="center"/>
            <w:hideMark/>
          </w:tcPr>
          <w:p w14:paraId="6689ED71" w14:textId="77777777" w:rsidR="00000000" w:rsidRDefault="00195E73">
            <w:pPr>
              <w:rPr>
                <w:rFonts w:eastAsia="Times New Roman"/>
                <w:sz w:val="20"/>
                <w:szCs w:val="20"/>
              </w:rPr>
            </w:pPr>
          </w:p>
        </w:tc>
        <w:tc>
          <w:tcPr>
            <w:tcW w:w="0" w:type="auto"/>
            <w:vAlign w:val="center"/>
            <w:hideMark/>
          </w:tcPr>
          <w:p w14:paraId="5467015C" w14:textId="77777777" w:rsidR="00000000" w:rsidRDefault="00195E73">
            <w:pPr>
              <w:rPr>
                <w:rFonts w:eastAsia="Times New Roman"/>
                <w:sz w:val="20"/>
                <w:szCs w:val="20"/>
              </w:rPr>
            </w:pPr>
          </w:p>
        </w:tc>
        <w:tc>
          <w:tcPr>
            <w:tcW w:w="0" w:type="auto"/>
            <w:vAlign w:val="center"/>
            <w:hideMark/>
          </w:tcPr>
          <w:p w14:paraId="0EAC0330" w14:textId="77777777" w:rsidR="00000000" w:rsidRDefault="00195E73">
            <w:pPr>
              <w:rPr>
                <w:rFonts w:eastAsia="Times New Roman"/>
                <w:sz w:val="20"/>
                <w:szCs w:val="20"/>
              </w:rPr>
            </w:pPr>
          </w:p>
        </w:tc>
        <w:tc>
          <w:tcPr>
            <w:tcW w:w="0" w:type="auto"/>
            <w:vAlign w:val="center"/>
            <w:hideMark/>
          </w:tcPr>
          <w:p w14:paraId="7802F6F7" w14:textId="77777777" w:rsidR="00000000" w:rsidRDefault="00195E73">
            <w:pPr>
              <w:rPr>
                <w:rFonts w:eastAsia="Times New Roman"/>
                <w:sz w:val="20"/>
                <w:szCs w:val="20"/>
              </w:rPr>
            </w:pPr>
          </w:p>
        </w:tc>
        <w:tc>
          <w:tcPr>
            <w:tcW w:w="0" w:type="auto"/>
            <w:vAlign w:val="center"/>
            <w:hideMark/>
          </w:tcPr>
          <w:p w14:paraId="24C95A38" w14:textId="77777777" w:rsidR="00000000" w:rsidRDefault="00195E73">
            <w:pPr>
              <w:rPr>
                <w:rFonts w:eastAsia="Times New Roman"/>
                <w:sz w:val="20"/>
                <w:szCs w:val="20"/>
              </w:rPr>
            </w:pPr>
          </w:p>
        </w:tc>
      </w:tr>
      <w:tr w:rsidR="00000000" w14:paraId="737562A3" w14:textId="77777777">
        <w:trPr>
          <w:divId w:val="584339411"/>
          <w:jc w:val="center"/>
        </w:trPr>
        <w:tc>
          <w:tcPr>
            <w:tcW w:w="0" w:type="auto"/>
            <w:gridSpan w:val="3"/>
            <w:shd w:val="clear" w:color="auto" w:fill="CCEEFF"/>
            <w:tcMar>
              <w:top w:w="30" w:type="dxa"/>
              <w:left w:w="20" w:type="dxa"/>
              <w:bottom w:w="30" w:type="dxa"/>
              <w:right w:w="20" w:type="dxa"/>
            </w:tcMar>
            <w:vAlign w:val="bottom"/>
            <w:hideMark/>
          </w:tcPr>
          <w:p w14:paraId="433C49CA" w14:textId="77777777" w:rsidR="00000000" w:rsidRDefault="00195E73">
            <w:pPr>
              <w:rPr>
                <w:rFonts w:eastAsia="Times New Roman"/>
              </w:rPr>
            </w:pPr>
            <w:r>
              <w:rPr>
                <w:rFonts w:eastAsia="Times New Roman"/>
                <w:color w:val="000000"/>
                <w:sz w:val="20"/>
                <w:szCs w:val="20"/>
              </w:rPr>
              <w:t>Partnership distribution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AE79861" w14:textId="77777777" w:rsidR="00000000" w:rsidRDefault="00195E73">
            <w:pPr>
              <w:jc w:val="right"/>
              <w:rPr>
                <w:rFonts w:eastAsia="Times New Roman"/>
              </w:rPr>
            </w:pPr>
            <w:r>
              <w:rPr>
                <w:rFonts w:eastAsia="Times New Roman"/>
                <w:color w:val="000000"/>
                <w:sz w:val="20"/>
                <w:szCs w:val="20"/>
              </w:rPr>
              <w:t>(112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1CDC4D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E0437E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E178AD" w14:textId="77777777" w:rsidR="00000000" w:rsidRDefault="00195E73">
            <w:pPr>
              <w:jc w:val="right"/>
              <w:rPr>
                <w:rFonts w:eastAsia="Times New Roman"/>
              </w:rPr>
            </w:pPr>
            <w:r>
              <w:rPr>
                <w:rFonts w:eastAsia="Times New Roman"/>
                <w:color w:val="000000"/>
                <w:sz w:val="20"/>
                <w:szCs w:val="20"/>
              </w:rPr>
              <w:t>(97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EDF641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0F4E4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3B9D31" w14:textId="77777777" w:rsidR="00000000" w:rsidRDefault="00195E73">
            <w:pPr>
              <w:jc w:val="right"/>
              <w:rPr>
                <w:rFonts w:eastAsia="Times New Roman"/>
              </w:rPr>
            </w:pPr>
            <w:r>
              <w:rPr>
                <w:rFonts w:eastAsia="Times New Roman"/>
                <w:color w:val="000000"/>
                <w:sz w:val="20"/>
                <w:szCs w:val="20"/>
              </w:rPr>
              <w:t>(81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B0A23A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F05FEF4" w14:textId="77777777" w:rsidR="00000000" w:rsidRDefault="00195E73">
            <w:pPr>
              <w:rPr>
                <w:rFonts w:eastAsia="Times New Roman"/>
                <w:sz w:val="20"/>
                <w:szCs w:val="20"/>
              </w:rPr>
            </w:pPr>
          </w:p>
        </w:tc>
        <w:tc>
          <w:tcPr>
            <w:tcW w:w="0" w:type="auto"/>
            <w:vAlign w:val="center"/>
            <w:hideMark/>
          </w:tcPr>
          <w:p w14:paraId="1412AF35" w14:textId="77777777" w:rsidR="00000000" w:rsidRDefault="00195E73">
            <w:pPr>
              <w:rPr>
                <w:rFonts w:eastAsia="Times New Roman"/>
                <w:sz w:val="20"/>
                <w:szCs w:val="20"/>
              </w:rPr>
            </w:pPr>
          </w:p>
        </w:tc>
        <w:tc>
          <w:tcPr>
            <w:tcW w:w="0" w:type="auto"/>
            <w:vAlign w:val="center"/>
            <w:hideMark/>
          </w:tcPr>
          <w:p w14:paraId="2BD8528E" w14:textId="77777777" w:rsidR="00000000" w:rsidRDefault="00195E73">
            <w:pPr>
              <w:rPr>
                <w:rFonts w:eastAsia="Times New Roman"/>
                <w:sz w:val="20"/>
                <w:szCs w:val="20"/>
              </w:rPr>
            </w:pPr>
          </w:p>
        </w:tc>
        <w:tc>
          <w:tcPr>
            <w:tcW w:w="0" w:type="auto"/>
            <w:vAlign w:val="center"/>
            <w:hideMark/>
          </w:tcPr>
          <w:p w14:paraId="24E3E44F" w14:textId="77777777" w:rsidR="00000000" w:rsidRDefault="00195E73">
            <w:pPr>
              <w:rPr>
                <w:rFonts w:eastAsia="Times New Roman"/>
                <w:sz w:val="20"/>
                <w:szCs w:val="20"/>
              </w:rPr>
            </w:pPr>
          </w:p>
        </w:tc>
        <w:tc>
          <w:tcPr>
            <w:tcW w:w="0" w:type="auto"/>
            <w:vAlign w:val="center"/>
            <w:hideMark/>
          </w:tcPr>
          <w:p w14:paraId="55BA728E" w14:textId="77777777" w:rsidR="00000000" w:rsidRDefault="00195E73">
            <w:pPr>
              <w:rPr>
                <w:rFonts w:eastAsia="Times New Roman"/>
                <w:sz w:val="20"/>
                <w:szCs w:val="20"/>
              </w:rPr>
            </w:pPr>
          </w:p>
        </w:tc>
        <w:tc>
          <w:tcPr>
            <w:tcW w:w="0" w:type="auto"/>
            <w:vAlign w:val="center"/>
            <w:hideMark/>
          </w:tcPr>
          <w:p w14:paraId="6CC992D7" w14:textId="77777777" w:rsidR="00000000" w:rsidRDefault="00195E73">
            <w:pPr>
              <w:rPr>
                <w:rFonts w:eastAsia="Times New Roman"/>
                <w:sz w:val="20"/>
                <w:szCs w:val="20"/>
              </w:rPr>
            </w:pPr>
          </w:p>
        </w:tc>
        <w:tc>
          <w:tcPr>
            <w:tcW w:w="0" w:type="auto"/>
            <w:vAlign w:val="center"/>
            <w:hideMark/>
          </w:tcPr>
          <w:p w14:paraId="0C133978" w14:textId="77777777" w:rsidR="00000000" w:rsidRDefault="00195E73">
            <w:pPr>
              <w:rPr>
                <w:rFonts w:eastAsia="Times New Roman"/>
                <w:sz w:val="20"/>
                <w:szCs w:val="20"/>
              </w:rPr>
            </w:pPr>
          </w:p>
        </w:tc>
        <w:tc>
          <w:tcPr>
            <w:tcW w:w="0" w:type="auto"/>
            <w:vAlign w:val="center"/>
            <w:hideMark/>
          </w:tcPr>
          <w:p w14:paraId="589071B5" w14:textId="77777777" w:rsidR="00000000" w:rsidRDefault="00195E73">
            <w:pPr>
              <w:rPr>
                <w:rFonts w:eastAsia="Times New Roman"/>
                <w:sz w:val="20"/>
                <w:szCs w:val="20"/>
              </w:rPr>
            </w:pPr>
          </w:p>
        </w:tc>
        <w:tc>
          <w:tcPr>
            <w:tcW w:w="0" w:type="auto"/>
            <w:vAlign w:val="center"/>
            <w:hideMark/>
          </w:tcPr>
          <w:p w14:paraId="386700AD" w14:textId="77777777" w:rsidR="00000000" w:rsidRDefault="00195E73">
            <w:pPr>
              <w:rPr>
                <w:rFonts w:eastAsia="Times New Roman"/>
                <w:sz w:val="20"/>
                <w:szCs w:val="20"/>
              </w:rPr>
            </w:pPr>
          </w:p>
        </w:tc>
        <w:tc>
          <w:tcPr>
            <w:tcW w:w="0" w:type="auto"/>
            <w:vAlign w:val="center"/>
            <w:hideMark/>
          </w:tcPr>
          <w:p w14:paraId="6291B11B" w14:textId="77777777" w:rsidR="00000000" w:rsidRDefault="00195E73">
            <w:pPr>
              <w:rPr>
                <w:rFonts w:eastAsia="Times New Roman"/>
                <w:sz w:val="20"/>
                <w:szCs w:val="20"/>
              </w:rPr>
            </w:pPr>
          </w:p>
        </w:tc>
        <w:tc>
          <w:tcPr>
            <w:tcW w:w="0" w:type="auto"/>
            <w:vAlign w:val="center"/>
            <w:hideMark/>
          </w:tcPr>
          <w:p w14:paraId="0A4444DC" w14:textId="77777777" w:rsidR="00000000" w:rsidRDefault="00195E73">
            <w:pPr>
              <w:rPr>
                <w:rFonts w:eastAsia="Times New Roman"/>
                <w:sz w:val="20"/>
                <w:szCs w:val="20"/>
              </w:rPr>
            </w:pPr>
          </w:p>
        </w:tc>
        <w:tc>
          <w:tcPr>
            <w:tcW w:w="0" w:type="auto"/>
            <w:vAlign w:val="center"/>
            <w:hideMark/>
          </w:tcPr>
          <w:p w14:paraId="78125C8C" w14:textId="77777777" w:rsidR="00000000" w:rsidRDefault="00195E73">
            <w:pPr>
              <w:rPr>
                <w:rFonts w:eastAsia="Times New Roman"/>
                <w:sz w:val="20"/>
                <w:szCs w:val="20"/>
              </w:rPr>
            </w:pPr>
          </w:p>
        </w:tc>
      </w:tr>
      <w:tr w:rsidR="00000000" w14:paraId="71194DA4" w14:textId="77777777">
        <w:trPr>
          <w:divId w:val="584339411"/>
          <w:jc w:val="center"/>
        </w:trPr>
        <w:tc>
          <w:tcPr>
            <w:tcW w:w="0" w:type="auto"/>
            <w:gridSpan w:val="3"/>
            <w:shd w:val="clear" w:color="auto" w:fill="FFFFFF"/>
            <w:tcMar>
              <w:top w:w="30" w:type="dxa"/>
              <w:left w:w="20" w:type="dxa"/>
              <w:bottom w:w="30" w:type="dxa"/>
              <w:right w:w="20" w:type="dxa"/>
            </w:tcMar>
            <w:vAlign w:val="bottom"/>
            <w:hideMark/>
          </w:tcPr>
          <w:p w14:paraId="79560A1D" w14:textId="77777777" w:rsidR="00000000" w:rsidRDefault="00195E73">
            <w:pPr>
              <w:rPr>
                <w:rFonts w:eastAsia="Times New Roman"/>
              </w:rPr>
            </w:pPr>
            <w:r>
              <w:rPr>
                <w:rFonts w:eastAsia="Times New Roman"/>
                <w:color w:val="000000"/>
                <w:sz w:val="20"/>
                <w:szCs w:val="20"/>
              </w:rPr>
              <w:t>Partnership contribution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4CEE0F6" w14:textId="77777777" w:rsidR="00000000" w:rsidRDefault="00195E73">
            <w:pPr>
              <w:jc w:val="right"/>
              <w:rPr>
                <w:rFonts w:eastAsia="Times New Roman"/>
              </w:rPr>
            </w:pPr>
            <w:r>
              <w:rPr>
                <w:rFonts w:eastAsia="Times New Roman"/>
                <w:color w:val="000000"/>
                <w:sz w:val="20"/>
                <w:szCs w:val="20"/>
              </w:rPr>
              <w:t>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9922E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0DC89D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A04D4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BC2614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B1BE17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A5CDA0" w14:textId="77777777" w:rsidR="00000000" w:rsidRDefault="00195E73">
            <w:pPr>
              <w:jc w:val="right"/>
              <w:rPr>
                <w:rFonts w:eastAsia="Times New Roman"/>
              </w:rPr>
            </w:pPr>
            <w:r>
              <w:rPr>
                <w:rFonts w:eastAsia="Times New Roman"/>
                <w:color w:val="000000"/>
                <w:sz w:val="20"/>
                <w:szCs w:val="20"/>
              </w:rPr>
              <w:t>612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ECE57D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D0C3EA7" w14:textId="77777777" w:rsidR="00000000" w:rsidRDefault="00195E73">
            <w:pPr>
              <w:rPr>
                <w:rFonts w:eastAsia="Times New Roman"/>
                <w:sz w:val="20"/>
                <w:szCs w:val="20"/>
              </w:rPr>
            </w:pPr>
          </w:p>
        </w:tc>
        <w:tc>
          <w:tcPr>
            <w:tcW w:w="0" w:type="auto"/>
            <w:vAlign w:val="center"/>
            <w:hideMark/>
          </w:tcPr>
          <w:p w14:paraId="49CC4FF4" w14:textId="77777777" w:rsidR="00000000" w:rsidRDefault="00195E73">
            <w:pPr>
              <w:rPr>
                <w:rFonts w:eastAsia="Times New Roman"/>
                <w:sz w:val="20"/>
                <w:szCs w:val="20"/>
              </w:rPr>
            </w:pPr>
          </w:p>
        </w:tc>
        <w:tc>
          <w:tcPr>
            <w:tcW w:w="0" w:type="auto"/>
            <w:vAlign w:val="center"/>
            <w:hideMark/>
          </w:tcPr>
          <w:p w14:paraId="3E2421D3" w14:textId="77777777" w:rsidR="00000000" w:rsidRDefault="00195E73">
            <w:pPr>
              <w:rPr>
                <w:rFonts w:eastAsia="Times New Roman"/>
                <w:sz w:val="20"/>
                <w:szCs w:val="20"/>
              </w:rPr>
            </w:pPr>
          </w:p>
        </w:tc>
        <w:tc>
          <w:tcPr>
            <w:tcW w:w="0" w:type="auto"/>
            <w:vAlign w:val="center"/>
            <w:hideMark/>
          </w:tcPr>
          <w:p w14:paraId="0B3281DC" w14:textId="77777777" w:rsidR="00000000" w:rsidRDefault="00195E73">
            <w:pPr>
              <w:rPr>
                <w:rFonts w:eastAsia="Times New Roman"/>
                <w:sz w:val="20"/>
                <w:szCs w:val="20"/>
              </w:rPr>
            </w:pPr>
          </w:p>
        </w:tc>
        <w:tc>
          <w:tcPr>
            <w:tcW w:w="0" w:type="auto"/>
            <w:vAlign w:val="center"/>
            <w:hideMark/>
          </w:tcPr>
          <w:p w14:paraId="2BAC7F1C" w14:textId="77777777" w:rsidR="00000000" w:rsidRDefault="00195E73">
            <w:pPr>
              <w:rPr>
                <w:rFonts w:eastAsia="Times New Roman"/>
                <w:sz w:val="20"/>
                <w:szCs w:val="20"/>
              </w:rPr>
            </w:pPr>
          </w:p>
        </w:tc>
        <w:tc>
          <w:tcPr>
            <w:tcW w:w="0" w:type="auto"/>
            <w:vAlign w:val="center"/>
            <w:hideMark/>
          </w:tcPr>
          <w:p w14:paraId="139512C4" w14:textId="77777777" w:rsidR="00000000" w:rsidRDefault="00195E73">
            <w:pPr>
              <w:rPr>
                <w:rFonts w:eastAsia="Times New Roman"/>
                <w:sz w:val="20"/>
                <w:szCs w:val="20"/>
              </w:rPr>
            </w:pPr>
          </w:p>
        </w:tc>
        <w:tc>
          <w:tcPr>
            <w:tcW w:w="0" w:type="auto"/>
            <w:vAlign w:val="center"/>
            <w:hideMark/>
          </w:tcPr>
          <w:p w14:paraId="58FDA884" w14:textId="77777777" w:rsidR="00000000" w:rsidRDefault="00195E73">
            <w:pPr>
              <w:rPr>
                <w:rFonts w:eastAsia="Times New Roman"/>
                <w:sz w:val="20"/>
                <w:szCs w:val="20"/>
              </w:rPr>
            </w:pPr>
          </w:p>
        </w:tc>
        <w:tc>
          <w:tcPr>
            <w:tcW w:w="0" w:type="auto"/>
            <w:vAlign w:val="center"/>
            <w:hideMark/>
          </w:tcPr>
          <w:p w14:paraId="1636BC74" w14:textId="77777777" w:rsidR="00000000" w:rsidRDefault="00195E73">
            <w:pPr>
              <w:rPr>
                <w:rFonts w:eastAsia="Times New Roman"/>
                <w:sz w:val="20"/>
                <w:szCs w:val="20"/>
              </w:rPr>
            </w:pPr>
          </w:p>
        </w:tc>
        <w:tc>
          <w:tcPr>
            <w:tcW w:w="0" w:type="auto"/>
            <w:vAlign w:val="center"/>
            <w:hideMark/>
          </w:tcPr>
          <w:p w14:paraId="4CE86237" w14:textId="77777777" w:rsidR="00000000" w:rsidRDefault="00195E73">
            <w:pPr>
              <w:rPr>
                <w:rFonts w:eastAsia="Times New Roman"/>
                <w:sz w:val="20"/>
                <w:szCs w:val="20"/>
              </w:rPr>
            </w:pPr>
          </w:p>
        </w:tc>
        <w:tc>
          <w:tcPr>
            <w:tcW w:w="0" w:type="auto"/>
            <w:vAlign w:val="center"/>
            <w:hideMark/>
          </w:tcPr>
          <w:p w14:paraId="0A0CBB0A" w14:textId="77777777" w:rsidR="00000000" w:rsidRDefault="00195E73">
            <w:pPr>
              <w:rPr>
                <w:rFonts w:eastAsia="Times New Roman"/>
                <w:sz w:val="20"/>
                <w:szCs w:val="20"/>
              </w:rPr>
            </w:pPr>
          </w:p>
        </w:tc>
        <w:tc>
          <w:tcPr>
            <w:tcW w:w="0" w:type="auto"/>
            <w:vAlign w:val="center"/>
            <w:hideMark/>
          </w:tcPr>
          <w:p w14:paraId="2570270E" w14:textId="77777777" w:rsidR="00000000" w:rsidRDefault="00195E73">
            <w:pPr>
              <w:rPr>
                <w:rFonts w:eastAsia="Times New Roman"/>
                <w:sz w:val="20"/>
                <w:szCs w:val="20"/>
              </w:rPr>
            </w:pPr>
          </w:p>
        </w:tc>
        <w:tc>
          <w:tcPr>
            <w:tcW w:w="0" w:type="auto"/>
            <w:vAlign w:val="center"/>
            <w:hideMark/>
          </w:tcPr>
          <w:p w14:paraId="5A97154F" w14:textId="77777777" w:rsidR="00000000" w:rsidRDefault="00195E73">
            <w:pPr>
              <w:rPr>
                <w:rFonts w:eastAsia="Times New Roman"/>
                <w:sz w:val="20"/>
                <w:szCs w:val="20"/>
              </w:rPr>
            </w:pPr>
          </w:p>
        </w:tc>
      </w:tr>
      <w:tr w:rsidR="00000000" w14:paraId="4FC65067" w14:textId="77777777">
        <w:trPr>
          <w:divId w:val="584339411"/>
          <w:jc w:val="center"/>
        </w:trPr>
        <w:tc>
          <w:tcPr>
            <w:tcW w:w="0" w:type="auto"/>
            <w:gridSpan w:val="3"/>
            <w:shd w:val="clear" w:color="auto" w:fill="CCEEFF"/>
            <w:tcMar>
              <w:top w:w="30" w:type="dxa"/>
              <w:left w:w="20" w:type="dxa"/>
              <w:bottom w:w="30" w:type="dxa"/>
              <w:right w:w="20" w:type="dxa"/>
            </w:tcMar>
            <w:vAlign w:val="bottom"/>
            <w:hideMark/>
          </w:tcPr>
          <w:p w14:paraId="72C47387" w14:textId="77777777" w:rsidR="00000000" w:rsidRDefault="00195E73">
            <w:pPr>
              <w:rPr>
                <w:rFonts w:eastAsia="Times New Roman"/>
              </w:rPr>
            </w:pPr>
            <w:r>
              <w:rPr>
                <w:rFonts w:eastAsia="Times New Roman"/>
                <w:color w:val="000000"/>
                <w:sz w:val="20"/>
                <w:szCs w:val="20"/>
              </w:rPr>
              <w:t>Proceeds from borrowing</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590F20F" w14:textId="77777777" w:rsidR="00000000" w:rsidRDefault="00195E73">
            <w:pPr>
              <w:jc w:val="right"/>
              <w:rPr>
                <w:rFonts w:eastAsia="Times New Roman"/>
              </w:rPr>
            </w:pPr>
            <w:r>
              <w:rPr>
                <w:rFonts w:eastAsia="Times New Roman"/>
                <w:color w:val="000000"/>
                <w:sz w:val="20"/>
                <w:szCs w:val="20"/>
              </w:rPr>
              <w:t>2,507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4A3189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FF25AE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961CCB"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CDB7F8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B8011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0F694F" w14:textId="77777777" w:rsidR="00000000" w:rsidRDefault="00195E73">
            <w:pPr>
              <w:jc w:val="right"/>
              <w:rPr>
                <w:rFonts w:eastAsia="Times New Roman"/>
              </w:rPr>
            </w:pPr>
            <w:r>
              <w:rPr>
                <w:rFonts w:eastAsia="Times New Roman"/>
                <w:color w:val="000000"/>
                <w:sz w:val="20"/>
                <w:szCs w:val="20"/>
              </w:rPr>
              <w:t>2,470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347E93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8CBDECA" w14:textId="77777777" w:rsidR="00000000" w:rsidRDefault="00195E73">
            <w:pPr>
              <w:rPr>
                <w:rFonts w:eastAsia="Times New Roman"/>
                <w:sz w:val="20"/>
                <w:szCs w:val="20"/>
              </w:rPr>
            </w:pPr>
          </w:p>
        </w:tc>
        <w:tc>
          <w:tcPr>
            <w:tcW w:w="0" w:type="auto"/>
            <w:vAlign w:val="center"/>
            <w:hideMark/>
          </w:tcPr>
          <w:p w14:paraId="202EE179" w14:textId="77777777" w:rsidR="00000000" w:rsidRDefault="00195E73">
            <w:pPr>
              <w:rPr>
                <w:rFonts w:eastAsia="Times New Roman"/>
                <w:sz w:val="20"/>
                <w:szCs w:val="20"/>
              </w:rPr>
            </w:pPr>
          </w:p>
        </w:tc>
        <w:tc>
          <w:tcPr>
            <w:tcW w:w="0" w:type="auto"/>
            <w:vAlign w:val="center"/>
            <w:hideMark/>
          </w:tcPr>
          <w:p w14:paraId="418C9CA0" w14:textId="77777777" w:rsidR="00000000" w:rsidRDefault="00195E73">
            <w:pPr>
              <w:rPr>
                <w:rFonts w:eastAsia="Times New Roman"/>
                <w:sz w:val="20"/>
                <w:szCs w:val="20"/>
              </w:rPr>
            </w:pPr>
          </w:p>
        </w:tc>
        <w:tc>
          <w:tcPr>
            <w:tcW w:w="0" w:type="auto"/>
            <w:vAlign w:val="center"/>
            <w:hideMark/>
          </w:tcPr>
          <w:p w14:paraId="4A616C68" w14:textId="77777777" w:rsidR="00000000" w:rsidRDefault="00195E73">
            <w:pPr>
              <w:rPr>
                <w:rFonts w:eastAsia="Times New Roman"/>
                <w:sz w:val="20"/>
                <w:szCs w:val="20"/>
              </w:rPr>
            </w:pPr>
          </w:p>
        </w:tc>
        <w:tc>
          <w:tcPr>
            <w:tcW w:w="0" w:type="auto"/>
            <w:vAlign w:val="center"/>
            <w:hideMark/>
          </w:tcPr>
          <w:p w14:paraId="1688BA29" w14:textId="77777777" w:rsidR="00000000" w:rsidRDefault="00195E73">
            <w:pPr>
              <w:rPr>
                <w:rFonts w:eastAsia="Times New Roman"/>
                <w:sz w:val="20"/>
                <w:szCs w:val="20"/>
              </w:rPr>
            </w:pPr>
          </w:p>
        </w:tc>
        <w:tc>
          <w:tcPr>
            <w:tcW w:w="0" w:type="auto"/>
            <w:vAlign w:val="center"/>
            <w:hideMark/>
          </w:tcPr>
          <w:p w14:paraId="165A6B59" w14:textId="77777777" w:rsidR="00000000" w:rsidRDefault="00195E73">
            <w:pPr>
              <w:rPr>
                <w:rFonts w:eastAsia="Times New Roman"/>
                <w:sz w:val="20"/>
                <w:szCs w:val="20"/>
              </w:rPr>
            </w:pPr>
          </w:p>
        </w:tc>
        <w:tc>
          <w:tcPr>
            <w:tcW w:w="0" w:type="auto"/>
            <w:vAlign w:val="center"/>
            <w:hideMark/>
          </w:tcPr>
          <w:p w14:paraId="25D4EE81" w14:textId="77777777" w:rsidR="00000000" w:rsidRDefault="00195E73">
            <w:pPr>
              <w:rPr>
                <w:rFonts w:eastAsia="Times New Roman"/>
                <w:sz w:val="20"/>
                <w:szCs w:val="20"/>
              </w:rPr>
            </w:pPr>
          </w:p>
        </w:tc>
        <w:tc>
          <w:tcPr>
            <w:tcW w:w="0" w:type="auto"/>
            <w:vAlign w:val="center"/>
            <w:hideMark/>
          </w:tcPr>
          <w:p w14:paraId="74CE950A" w14:textId="77777777" w:rsidR="00000000" w:rsidRDefault="00195E73">
            <w:pPr>
              <w:rPr>
                <w:rFonts w:eastAsia="Times New Roman"/>
                <w:sz w:val="20"/>
                <w:szCs w:val="20"/>
              </w:rPr>
            </w:pPr>
          </w:p>
        </w:tc>
        <w:tc>
          <w:tcPr>
            <w:tcW w:w="0" w:type="auto"/>
            <w:vAlign w:val="center"/>
            <w:hideMark/>
          </w:tcPr>
          <w:p w14:paraId="34389A18" w14:textId="77777777" w:rsidR="00000000" w:rsidRDefault="00195E73">
            <w:pPr>
              <w:rPr>
                <w:rFonts w:eastAsia="Times New Roman"/>
                <w:sz w:val="20"/>
                <w:szCs w:val="20"/>
              </w:rPr>
            </w:pPr>
          </w:p>
        </w:tc>
        <w:tc>
          <w:tcPr>
            <w:tcW w:w="0" w:type="auto"/>
            <w:vAlign w:val="center"/>
            <w:hideMark/>
          </w:tcPr>
          <w:p w14:paraId="7A7C4F20" w14:textId="77777777" w:rsidR="00000000" w:rsidRDefault="00195E73">
            <w:pPr>
              <w:rPr>
                <w:rFonts w:eastAsia="Times New Roman"/>
                <w:sz w:val="20"/>
                <w:szCs w:val="20"/>
              </w:rPr>
            </w:pPr>
          </w:p>
        </w:tc>
        <w:tc>
          <w:tcPr>
            <w:tcW w:w="0" w:type="auto"/>
            <w:vAlign w:val="center"/>
            <w:hideMark/>
          </w:tcPr>
          <w:p w14:paraId="0DF4789D" w14:textId="77777777" w:rsidR="00000000" w:rsidRDefault="00195E73">
            <w:pPr>
              <w:rPr>
                <w:rFonts w:eastAsia="Times New Roman"/>
                <w:sz w:val="20"/>
                <w:szCs w:val="20"/>
              </w:rPr>
            </w:pPr>
          </w:p>
        </w:tc>
        <w:tc>
          <w:tcPr>
            <w:tcW w:w="0" w:type="auto"/>
            <w:vAlign w:val="center"/>
            <w:hideMark/>
          </w:tcPr>
          <w:p w14:paraId="76C3C76B" w14:textId="77777777" w:rsidR="00000000" w:rsidRDefault="00195E73">
            <w:pPr>
              <w:rPr>
                <w:rFonts w:eastAsia="Times New Roman"/>
                <w:sz w:val="20"/>
                <w:szCs w:val="20"/>
              </w:rPr>
            </w:pPr>
          </w:p>
        </w:tc>
      </w:tr>
      <w:tr w:rsidR="00000000" w14:paraId="7F3177DB" w14:textId="77777777">
        <w:trPr>
          <w:divId w:val="584339411"/>
          <w:jc w:val="center"/>
        </w:trPr>
        <w:tc>
          <w:tcPr>
            <w:tcW w:w="0" w:type="auto"/>
            <w:gridSpan w:val="3"/>
            <w:shd w:val="clear" w:color="auto" w:fill="FFFFFF"/>
            <w:tcMar>
              <w:top w:w="30" w:type="dxa"/>
              <w:left w:w="20" w:type="dxa"/>
              <w:bottom w:w="30" w:type="dxa"/>
              <w:right w:w="20" w:type="dxa"/>
            </w:tcMar>
            <w:vAlign w:val="bottom"/>
            <w:hideMark/>
          </w:tcPr>
          <w:p w14:paraId="06075511" w14:textId="77777777" w:rsidR="00000000" w:rsidRDefault="00195E73">
            <w:pPr>
              <w:rPr>
                <w:rFonts w:eastAsia="Times New Roman"/>
              </w:rPr>
            </w:pPr>
            <w:r>
              <w:rPr>
                <w:rFonts w:eastAsia="Times New Roman"/>
                <w:color w:val="000000"/>
                <w:sz w:val="20"/>
                <w:szCs w:val="20"/>
              </w:rPr>
              <w:t>Repayments of borrowing</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25711E4" w14:textId="77777777" w:rsidR="00000000" w:rsidRDefault="00195E73">
            <w:pPr>
              <w:jc w:val="right"/>
              <w:rPr>
                <w:rFonts w:eastAsia="Times New Roman"/>
              </w:rPr>
            </w:pPr>
            <w:r>
              <w:rPr>
                <w:rFonts w:eastAsia="Times New Roman"/>
                <w:color w:val="000000"/>
                <w:sz w:val="20"/>
                <w:szCs w:val="20"/>
              </w:rPr>
              <w:t>(1,700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15631D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2C1FE8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4E9EEC"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E336C5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5D0570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A80A33" w14:textId="77777777" w:rsidR="00000000" w:rsidRDefault="00195E73">
            <w:pPr>
              <w:jc w:val="right"/>
              <w:rPr>
                <w:rFonts w:eastAsia="Times New Roman"/>
              </w:rPr>
            </w:pPr>
            <w:r>
              <w:rPr>
                <w:rFonts w:eastAsia="Times New Roman"/>
                <w:color w:val="000000"/>
                <w:sz w:val="20"/>
                <w:szCs w:val="20"/>
              </w:rPr>
              <w:t>(2,450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D9C322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C3BC92C" w14:textId="77777777" w:rsidR="00000000" w:rsidRDefault="00195E73">
            <w:pPr>
              <w:rPr>
                <w:rFonts w:eastAsia="Times New Roman"/>
                <w:sz w:val="20"/>
                <w:szCs w:val="20"/>
              </w:rPr>
            </w:pPr>
          </w:p>
        </w:tc>
        <w:tc>
          <w:tcPr>
            <w:tcW w:w="0" w:type="auto"/>
            <w:vAlign w:val="center"/>
            <w:hideMark/>
          </w:tcPr>
          <w:p w14:paraId="6CA164C3" w14:textId="77777777" w:rsidR="00000000" w:rsidRDefault="00195E73">
            <w:pPr>
              <w:rPr>
                <w:rFonts w:eastAsia="Times New Roman"/>
                <w:sz w:val="20"/>
                <w:szCs w:val="20"/>
              </w:rPr>
            </w:pPr>
          </w:p>
        </w:tc>
        <w:tc>
          <w:tcPr>
            <w:tcW w:w="0" w:type="auto"/>
            <w:vAlign w:val="center"/>
            <w:hideMark/>
          </w:tcPr>
          <w:p w14:paraId="06A38D7F" w14:textId="77777777" w:rsidR="00000000" w:rsidRDefault="00195E73">
            <w:pPr>
              <w:rPr>
                <w:rFonts w:eastAsia="Times New Roman"/>
                <w:sz w:val="20"/>
                <w:szCs w:val="20"/>
              </w:rPr>
            </w:pPr>
          </w:p>
        </w:tc>
        <w:tc>
          <w:tcPr>
            <w:tcW w:w="0" w:type="auto"/>
            <w:vAlign w:val="center"/>
            <w:hideMark/>
          </w:tcPr>
          <w:p w14:paraId="4B77EFF7" w14:textId="77777777" w:rsidR="00000000" w:rsidRDefault="00195E73">
            <w:pPr>
              <w:rPr>
                <w:rFonts w:eastAsia="Times New Roman"/>
                <w:sz w:val="20"/>
                <w:szCs w:val="20"/>
              </w:rPr>
            </w:pPr>
          </w:p>
        </w:tc>
        <w:tc>
          <w:tcPr>
            <w:tcW w:w="0" w:type="auto"/>
            <w:vAlign w:val="center"/>
            <w:hideMark/>
          </w:tcPr>
          <w:p w14:paraId="533DC4B9" w14:textId="77777777" w:rsidR="00000000" w:rsidRDefault="00195E73">
            <w:pPr>
              <w:rPr>
                <w:rFonts w:eastAsia="Times New Roman"/>
                <w:sz w:val="20"/>
                <w:szCs w:val="20"/>
              </w:rPr>
            </w:pPr>
          </w:p>
        </w:tc>
        <w:tc>
          <w:tcPr>
            <w:tcW w:w="0" w:type="auto"/>
            <w:vAlign w:val="center"/>
            <w:hideMark/>
          </w:tcPr>
          <w:p w14:paraId="03B0DFED" w14:textId="77777777" w:rsidR="00000000" w:rsidRDefault="00195E73">
            <w:pPr>
              <w:rPr>
                <w:rFonts w:eastAsia="Times New Roman"/>
                <w:sz w:val="20"/>
                <w:szCs w:val="20"/>
              </w:rPr>
            </w:pPr>
          </w:p>
        </w:tc>
        <w:tc>
          <w:tcPr>
            <w:tcW w:w="0" w:type="auto"/>
            <w:vAlign w:val="center"/>
            <w:hideMark/>
          </w:tcPr>
          <w:p w14:paraId="338B3E19" w14:textId="77777777" w:rsidR="00000000" w:rsidRDefault="00195E73">
            <w:pPr>
              <w:rPr>
                <w:rFonts w:eastAsia="Times New Roman"/>
                <w:sz w:val="20"/>
                <w:szCs w:val="20"/>
              </w:rPr>
            </w:pPr>
          </w:p>
        </w:tc>
        <w:tc>
          <w:tcPr>
            <w:tcW w:w="0" w:type="auto"/>
            <w:vAlign w:val="center"/>
            <w:hideMark/>
          </w:tcPr>
          <w:p w14:paraId="7FDA04FE" w14:textId="77777777" w:rsidR="00000000" w:rsidRDefault="00195E73">
            <w:pPr>
              <w:rPr>
                <w:rFonts w:eastAsia="Times New Roman"/>
                <w:sz w:val="20"/>
                <w:szCs w:val="20"/>
              </w:rPr>
            </w:pPr>
          </w:p>
        </w:tc>
        <w:tc>
          <w:tcPr>
            <w:tcW w:w="0" w:type="auto"/>
            <w:vAlign w:val="center"/>
            <w:hideMark/>
          </w:tcPr>
          <w:p w14:paraId="69FE8227" w14:textId="77777777" w:rsidR="00000000" w:rsidRDefault="00195E73">
            <w:pPr>
              <w:rPr>
                <w:rFonts w:eastAsia="Times New Roman"/>
                <w:sz w:val="20"/>
                <w:szCs w:val="20"/>
              </w:rPr>
            </w:pPr>
          </w:p>
        </w:tc>
        <w:tc>
          <w:tcPr>
            <w:tcW w:w="0" w:type="auto"/>
            <w:vAlign w:val="center"/>
            <w:hideMark/>
          </w:tcPr>
          <w:p w14:paraId="63D3F200" w14:textId="77777777" w:rsidR="00000000" w:rsidRDefault="00195E73">
            <w:pPr>
              <w:rPr>
                <w:rFonts w:eastAsia="Times New Roman"/>
                <w:sz w:val="20"/>
                <w:szCs w:val="20"/>
              </w:rPr>
            </w:pPr>
          </w:p>
        </w:tc>
        <w:tc>
          <w:tcPr>
            <w:tcW w:w="0" w:type="auto"/>
            <w:vAlign w:val="center"/>
            <w:hideMark/>
          </w:tcPr>
          <w:p w14:paraId="54F7D00D" w14:textId="77777777" w:rsidR="00000000" w:rsidRDefault="00195E73">
            <w:pPr>
              <w:rPr>
                <w:rFonts w:eastAsia="Times New Roman"/>
                <w:sz w:val="20"/>
                <w:szCs w:val="20"/>
              </w:rPr>
            </w:pPr>
          </w:p>
        </w:tc>
        <w:tc>
          <w:tcPr>
            <w:tcW w:w="0" w:type="auto"/>
            <w:vAlign w:val="center"/>
            <w:hideMark/>
          </w:tcPr>
          <w:p w14:paraId="41F56BB3" w14:textId="77777777" w:rsidR="00000000" w:rsidRDefault="00195E73">
            <w:pPr>
              <w:rPr>
                <w:rFonts w:eastAsia="Times New Roman"/>
                <w:sz w:val="20"/>
                <w:szCs w:val="20"/>
              </w:rPr>
            </w:pPr>
          </w:p>
        </w:tc>
      </w:tr>
      <w:tr w:rsidR="00000000" w14:paraId="1C401A1E" w14:textId="77777777">
        <w:trPr>
          <w:divId w:val="584339411"/>
          <w:jc w:val="center"/>
        </w:trPr>
        <w:tc>
          <w:tcPr>
            <w:tcW w:w="0" w:type="auto"/>
            <w:gridSpan w:val="3"/>
            <w:shd w:val="clear" w:color="auto" w:fill="CCEEFF"/>
            <w:tcMar>
              <w:top w:w="30" w:type="dxa"/>
              <w:left w:w="20" w:type="dxa"/>
              <w:bottom w:w="30" w:type="dxa"/>
              <w:right w:w="20" w:type="dxa"/>
            </w:tcMar>
            <w:vAlign w:val="bottom"/>
            <w:hideMark/>
          </w:tcPr>
          <w:p w14:paraId="27D017DA" w14:textId="77777777" w:rsidR="00000000" w:rsidRDefault="00195E73">
            <w:pPr>
              <w:rPr>
                <w:rFonts w:eastAsia="Times New Roman"/>
              </w:rPr>
            </w:pPr>
            <w:r>
              <w:rPr>
                <w:rFonts w:eastAsia="Times New Roman"/>
                <w:color w:val="000000"/>
                <w:sz w:val="20"/>
                <w:szCs w:val="20"/>
              </w:rPr>
              <w:t>Debt issuance costs and 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752FD372" w14:textId="77777777" w:rsidR="00000000" w:rsidRDefault="00195E73">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6CFA0A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539B7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7FC173"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02D52D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CFB18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DAADDC" w14:textId="77777777" w:rsidR="00000000" w:rsidRDefault="00195E73">
            <w:pPr>
              <w:jc w:val="right"/>
              <w:rPr>
                <w:rFonts w:eastAsia="Times New Roman"/>
              </w:rPr>
            </w:pPr>
            <w:r>
              <w:rPr>
                <w:rFonts w:eastAsia="Times New Roman"/>
                <w:color w:val="000000"/>
                <w:sz w:val="20"/>
                <w:szCs w:val="20"/>
              </w:rPr>
              <w:t>(9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F4CA9A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B14AE73" w14:textId="77777777" w:rsidR="00000000" w:rsidRDefault="00195E73">
            <w:pPr>
              <w:rPr>
                <w:rFonts w:eastAsia="Times New Roman"/>
                <w:sz w:val="20"/>
                <w:szCs w:val="20"/>
              </w:rPr>
            </w:pPr>
          </w:p>
        </w:tc>
        <w:tc>
          <w:tcPr>
            <w:tcW w:w="0" w:type="auto"/>
            <w:vAlign w:val="center"/>
            <w:hideMark/>
          </w:tcPr>
          <w:p w14:paraId="137562B3" w14:textId="77777777" w:rsidR="00000000" w:rsidRDefault="00195E73">
            <w:pPr>
              <w:rPr>
                <w:rFonts w:eastAsia="Times New Roman"/>
                <w:sz w:val="20"/>
                <w:szCs w:val="20"/>
              </w:rPr>
            </w:pPr>
          </w:p>
        </w:tc>
        <w:tc>
          <w:tcPr>
            <w:tcW w:w="0" w:type="auto"/>
            <w:vAlign w:val="center"/>
            <w:hideMark/>
          </w:tcPr>
          <w:p w14:paraId="19581651" w14:textId="77777777" w:rsidR="00000000" w:rsidRDefault="00195E73">
            <w:pPr>
              <w:rPr>
                <w:rFonts w:eastAsia="Times New Roman"/>
                <w:sz w:val="20"/>
                <w:szCs w:val="20"/>
              </w:rPr>
            </w:pPr>
          </w:p>
        </w:tc>
        <w:tc>
          <w:tcPr>
            <w:tcW w:w="0" w:type="auto"/>
            <w:vAlign w:val="center"/>
            <w:hideMark/>
          </w:tcPr>
          <w:p w14:paraId="635CD81F" w14:textId="77777777" w:rsidR="00000000" w:rsidRDefault="00195E73">
            <w:pPr>
              <w:rPr>
                <w:rFonts w:eastAsia="Times New Roman"/>
                <w:sz w:val="20"/>
                <w:szCs w:val="20"/>
              </w:rPr>
            </w:pPr>
          </w:p>
        </w:tc>
        <w:tc>
          <w:tcPr>
            <w:tcW w:w="0" w:type="auto"/>
            <w:vAlign w:val="center"/>
            <w:hideMark/>
          </w:tcPr>
          <w:p w14:paraId="7BDC0E07" w14:textId="77777777" w:rsidR="00000000" w:rsidRDefault="00195E73">
            <w:pPr>
              <w:rPr>
                <w:rFonts w:eastAsia="Times New Roman"/>
                <w:sz w:val="20"/>
                <w:szCs w:val="20"/>
              </w:rPr>
            </w:pPr>
          </w:p>
        </w:tc>
        <w:tc>
          <w:tcPr>
            <w:tcW w:w="0" w:type="auto"/>
            <w:vAlign w:val="center"/>
            <w:hideMark/>
          </w:tcPr>
          <w:p w14:paraId="44130A8B" w14:textId="77777777" w:rsidR="00000000" w:rsidRDefault="00195E73">
            <w:pPr>
              <w:rPr>
                <w:rFonts w:eastAsia="Times New Roman"/>
                <w:sz w:val="20"/>
                <w:szCs w:val="20"/>
              </w:rPr>
            </w:pPr>
          </w:p>
        </w:tc>
        <w:tc>
          <w:tcPr>
            <w:tcW w:w="0" w:type="auto"/>
            <w:vAlign w:val="center"/>
            <w:hideMark/>
          </w:tcPr>
          <w:p w14:paraId="298854D5" w14:textId="77777777" w:rsidR="00000000" w:rsidRDefault="00195E73">
            <w:pPr>
              <w:rPr>
                <w:rFonts w:eastAsia="Times New Roman"/>
                <w:sz w:val="20"/>
                <w:szCs w:val="20"/>
              </w:rPr>
            </w:pPr>
          </w:p>
        </w:tc>
        <w:tc>
          <w:tcPr>
            <w:tcW w:w="0" w:type="auto"/>
            <w:vAlign w:val="center"/>
            <w:hideMark/>
          </w:tcPr>
          <w:p w14:paraId="6E2B3D27" w14:textId="77777777" w:rsidR="00000000" w:rsidRDefault="00195E73">
            <w:pPr>
              <w:rPr>
                <w:rFonts w:eastAsia="Times New Roman"/>
                <w:sz w:val="20"/>
                <w:szCs w:val="20"/>
              </w:rPr>
            </w:pPr>
          </w:p>
        </w:tc>
        <w:tc>
          <w:tcPr>
            <w:tcW w:w="0" w:type="auto"/>
            <w:vAlign w:val="center"/>
            <w:hideMark/>
          </w:tcPr>
          <w:p w14:paraId="0BD5EFD7" w14:textId="77777777" w:rsidR="00000000" w:rsidRDefault="00195E73">
            <w:pPr>
              <w:rPr>
                <w:rFonts w:eastAsia="Times New Roman"/>
                <w:sz w:val="20"/>
                <w:szCs w:val="20"/>
              </w:rPr>
            </w:pPr>
          </w:p>
        </w:tc>
        <w:tc>
          <w:tcPr>
            <w:tcW w:w="0" w:type="auto"/>
            <w:vAlign w:val="center"/>
            <w:hideMark/>
          </w:tcPr>
          <w:p w14:paraId="295EC986" w14:textId="77777777" w:rsidR="00000000" w:rsidRDefault="00195E73">
            <w:pPr>
              <w:rPr>
                <w:rFonts w:eastAsia="Times New Roman"/>
                <w:sz w:val="20"/>
                <w:szCs w:val="20"/>
              </w:rPr>
            </w:pPr>
          </w:p>
        </w:tc>
        <w:tc>
          <w:tcPr>
            <w:tcW w:w="0" w:type="auto"/>
            <w:vAlign w:val="center"/>
            <w:hideMark/>
          </w:tcPr>
          <w:p w14:paraId="3465D8EC" w14:textId="77777777" w:rsidR="00000000" w:rsidRDefault="00195E73">
            <w:pPr>
              <w:rPr>
                <w:rFonts w:eastAsia="Times New Roman"/>
                <w:sz w:val="20"/>
                <w:szCs w:val="20"/>
              </w:rPr>
            </w:pPr>
          </w:p>
        </w:tc>
        <w:tc>
          <w:tcPr>
            <w:tcW w:w="0" w:type="auto"/>
            <w:vAlign w:val="center"/>
            <w:hideMark/>
          </w:tcPr>
          <w:p w14:paraId="423F94E6" w14:textId="77777777" w:rsidR="00000000" w:rsidRDefault="00195E73">
            <w:pPr>
              <w:rPr>
                <w:rFonts w:eastAsia="Times New Roman"/>
                <w:sz w:val="20"/>
                <w:szCs w:val="20"/>
              </w:rPr>
            </w:pPr>
          </w:p>
        </w:tc>
      </w:tr>
      <w:tr w:rsidR="00000000" w14:paraId="17302E88" w14:textId="77777777">
        <w:trPr>
          <w:divId w:val="584339411"/>
          <w:jc w:val="center"/>
        </w:trPr>
        <w:tc>
          <w:tcPr>
            <w:tcW w:w="0" w:type="auto"/>
            <w:gridSpan w:val="3"/>
            <w:shd w:val="clear" w:color="auto" w:fill="FFFFFF"/>
            <w:tcMar>
              <w:top w:w="30" w:type="dxa"/>
              <w:left w:w="20" w:type="dxa"/>
              <w:bottom w:w="30" w:type="dxa"/>
              <w:right w:w="20" w:type="dxa"/>
            </w:tcMar>
            <w:vAlign w:val="bottom"/>
            <w:hideMark/>
          </w:tcPr>
          <w:p w14:paraId="6236AD37" w14:textId="77777777" w:rsidR="00000000" w:rsidRDefault="00195E73">
            <w:pPr>
              <w:rPr>
                <w:rFonts w:eastAsia="Times New Roman"/>
              </w:rPr>
            </w:pPr>
            <w:r>
              <w:rPr>
                <w:rFonts w:eastAsia="Times New Roman"/>
                <w:color w:val="000000"/>
                <w:sz w:val="20"/>
                <w:szCs w:val="20"/>
              </w:rPr>
              <w:t>Net cash provided by (used in) financing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9FF949" w14:textId="77777777" w:rsidR="00000000" w:rsidRDefault="00195E73">
            <w:pPr>
              <w:jc w:val="right"/>
              <w:rPr>
                <w:rFonts w:eastAsia="Times New Roman"/>
              </w:rPr>
            </w:pPr>
            <w:r>
              <w:rPr>
                <w:rFonts w:eastAsia="Times New Roman"/>
                <w:color w:val="000000"/>
                <w:sz w:val="20"/>
                <w:szCs w:val="20"/>
              </w:rPr>
              <w:t>738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22B4B5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1F6696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36669E" w14:textId="77777777" w:rsidR="00000000" w:rsidRDefault="00195E73">
            <w:pPr>
              <w:jc w:val="right"/>
              <w:rPr>
                <w:rFonts w:eastAsia="Times New Roman"/>
              </w:rPr>
            </w:pPr>
            <w:r>
              <w:rPr>
                <w:rFonts w:eastAsia="Times New Roman"/>
                <w:color w:val="000000"/>
                <w:sz w:val="20"/>
                <w:szCs w:val="20"/>
              </w:rPr>
              <w:t>(97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30B78E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A2A87B8"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A56819" w14:textId="77777777" w:rsidR="00000000" w:rsidRDefault="00195E73">
            <w:pPr>
              <w:jc w:val="right"/>
              <w:rPr>
                <w:rFonts w:eastAsia="Times New Roman"/>
              </w:rPr>
            </w:pPr>
            <w:r>
              <w:rPr>
                <w:rFonts w:eastAsia="Times New Roman"/>
                <w:color w:val="000000"/>
                <w:sz w:val="20"/>
                <w:szCs w:val="20"/>
              </w:rPr>
              <w:t>542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097612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A76AF04" w14:textId="77777777" w:rsidR="00000000" w:rsidRDefault="00195E73">
            <w:pPr>
              <w:rPr>
                <w:rFonts w:eastAsia="Times New Roman"/>
                <w:sz w:val="20"/>
                <w:szCs w:val="20"/>
              </w:rPr>
            </w:pPr>
          </w:p>
        </w:tc>
        <w:tc>
          <w:tcPr>
            <w:tcW w:w="0" w:type="auto"/>
            <w:vAlign w:val="center"/>
            <w:hideMark/>
          </w:tcPr>
          <w:p w14:paraId="16251FD8" w14:textId="77777777" w:rsidR="00000000" w:rsidRDefault="00195E73">
            <w:pPr>
              <w:rPr>
                <w:rFonts w:eastAsia="Times New Roman"/>
                <w:sz w:val="20"/>
                <w:szCs w:val="20"/>
              </w:rPr>
            </w:pPr>
          </w:p>
        </w:tc>
        <w:tc>
          <w:tcPr>
            <w:tcW w:w="0" w:type="auto"/>
            <w:vAlign w:val="center"/>
            <w:hideMark/>
          </w:tcPr>
          <w:p w14:paraId="294370D2" w14:textId="77777777" w:rsidR="00000000" w:rsidRDefault="00195E73">
            <w:pPr>
              <w:rPr>
                <w:rFonts w:eastAsia="Times New Roman"/>
                <w:sz w:val="20"/>
                <w:szCs w:val="20"/>
              </w:rPr>
            </w:pPr>
          </w:p>
        </w:tc>
        <w:tc>
          <w:tcPr>
            <w:tcW w:w="0" w:type="auto"/>
            <w:vAlign w:val="center"/>
            <w:hideMark/>
          </w:tcPr>
          <w:p w14:paraId="1B4BE97B" w14:textId="77777777" w:rsidR="00000000" w:rsidRDefault="00195E73">
            <w:pPr>
              <w:rPr>
                <w:rFonts w:eastAsia="Times New Roman"/>
                <w:sz w:val="20"/>
                <w:szCs w:val="20"/>
              </w:rPr>
            </w:pPr>
          </w:p>
        </w:tc>
        <w:tc>
          <w:tcPr>
            <w:tcW w:w="0" w:type="auto"/>
            <w:vAlign w:val="center"/>
            <w:hideMark/>
          </w:tcPr>
          <w:p w14:paraId="4A48C835" w14:textId="77777777" w:rsidR="00000000" w:rsidRDefault="00195E73">
            <w:pPr>
              <w:rPr>
                <w:rFonts w:eastAsia="Times New Roman"/>
                <w:sz w:val="20"/>
                <w:szCs w:val="20"/>
              </w:rPr>
            </w:pPr>
          </w:p>
        </w:tc>
        <w:tc>
          <w:tcPr>
            <w:tcW w:w="0" w:type="auto"/>
            <w:vAlign w:val="center"/>
            <w:hideMark/>
          </w:tcPr>
          <w:p w14:paraId="65357FC1" w14:textId="77777777" w:rsidR="00000000" w:rsidRDefault="00195E73">
            <w:pPr>
              <w:rPr>
                <w:rFonts w:eastAsia="Times New Roman"/>
                <w:sz w:val="20"/>
                <w:szCs w:val="20"/>
              </w:rPr>
            </w:pPr>
          </w:p>
        </w:tc>
        <w:tc>
          <w:tcPr>
            <w:tcW w:w="0" w:type="auto"/>
            <w:vAlign w:val="center"/>
            <w:hideMark/>
          </w:tcPr>
          <w:p w14:paraId="5072FB89" w14:textId="77777777" w:rsidR="00000000" w:rsidRDefault="00195E73">
            <w:pPr>
              <w:rPr>
                <w:rFonts w:eastAsia="Times New Roman"/>
                <w:sz w:val="20"/>
                <w:szCs w:val="20"/>
              </w:rPr>
            </w:pPr>
          </w:p>
        </w:tc>
        <w:tc>
          <w:tcPr>
            <w:tcW w:w="0" w:type="auto"/>
            <w:vAlign w:val="center"/>
            <w:hideMark/>
          </w:tcPr>
          <w:p w14:paraId="66288A3D" w14:textId="77777777" w:rsidR="00000000" w:rsidRDefault="00195E73">
            <w:pPr>
              <w:rPr>
                <w:rFonts w:eastAsia="Times New Roman"/>
                <w:sz w:val="20"/>
                <w:szCs w:val="20"/>
              </w:rPr>
            </w:pPr>
          </w:p>
        </w:tc>
        <w:tc>
          <w:tcPr>
            <w:tcW w:w="0" w:type="auto"/>
            <w:vAlign w:val="center"/>
            <w:hideMark/>
          </w:tcPr>
          <w:p w14:paraId="3C4C2D56" w14:textId="77777777" w:rsidR="00000000" w:rsidRDefault="00195E73">
            <w:pPr>
              <w:rPr>
                <w:rFonts w:eastAsia="Times New Roman"/>
                <w:sz w:val="20"/>
                <w:szCs w:val="20"/>
              </w:rPr>
            </w:pPr>
          </w:p>
        </w:tc>
        <w:tc>
          <w:tcPr>
            <w:tcW w:w="0" w:type="auto"/>
            <w:vAlign w:val="center"/>
            <w:hideMark/>
          </w:tcPr>
          <w:p w14:paraId="51741AA7" w14:textId="77777777" w:rsidR="00000000" w:rsidRDefault="00195E73">
            <w:pPr>
              <w:rPr>
                <w:rFonts w:eastAsia="Times New Roman"/>
                <w:sz w:val="20"/>
                <w:szCs w:val="20"/>
              </w:rPr>
            </w:pPr>
          </w:p>
        </w:tc>
        <w:tc>
          <w:tcPr>
            <w:tcW w:w="0" w:type="auto"/>
            <w:vAlign w:val="center"/>
            <w:hideMark/>
          </w:tcPr>
          <w:p w14:paraId="6E2F4D69" w14:textId="77777777" w:rsidR="00000000" w:rsidRDefault="00195E73">
            <w:pPr>
              <w:rPr>
                <w:rFonts w:eastAsia="Times New Roman"/>
                <w:sz w:val="20"/>
                <w:szCs w:val="20"/>
              </w:rPr>
            </w:pPr>
          </w:p>
        </w:tc>
        <w:tc>
          <w:tcPr>
            <w:tcW w:w="0" w:type="auto"/>
            <w:vAlign w:val="center"/>
            <w:hideMark/>
          </w:tcPr>
          <w:p w14:paraId="27B99FB2" w14:textId="77777777" w:rsidR="00000000" w:rsidRDefault="00195E73">
            <w:pPr>
              <w:rPr>
                <w:rFonts w:eastAsia="Times New Roman"/>
                <w:sz w:val="20"/>
                <w:szCs w:val="20"/>
              </w:rPr>
            </w:pPr>
          </w:p>
        </w:tc>
      </w:tr>
      <w:tr w:rsidR="00000000" w14:paraId="106219E5" w14:textId="77777777">
        <w:trPr>
          <w:divId w:val="584339411"/>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2E75DA18" w14:textId="77777777" w:rsidR="00000000" w:rsidRDefault="00195E73">
            <w:pPr>
              <w:ind w:hanging="180"/>
              <w:divId w:val="399713059"/>
              <w:rPr>
                <w:rFonts w:eastAsia="Times New Roman"/>
              </w:rPr>
            </w:pPr>
            <w:r>
              <w:rPr>
                <w:rFonts w:eastAsia="Times New Roman"/>
                <w:b/>
                <w:bCs/>
                <w:color w:val="000000"/>
                <w:sz w:val="20"/>
                <w:szCs w:val="20"/>
              </w:rPr>
              <w:t>Net change in cash and cash equivalents and restricted cash and restricted cash equivalent</w:t>
            </w:r>
            <w:r>
              <w:rPr>
                <w:rFonts w:eastAsia="Times New Roman"/>
                <w:b/>
                <w:bCs/>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3C9784"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18DAA2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2C45B2D"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EAA71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219D9B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4C313D3"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DC2D8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BCC5CA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A0ADCA3" w14:textId="77777777" w:rsidR="00000000" w:rsidRDefault="00195E73">
            <w:pPr>
              <w:rPr>
                <w:rFonts w:eastAsia="Times New Roman"/>
                <w:sz w:val="20"/>
                <w:szCs w:val="20"/>
              </w:rPr>
            </w:pPr>
          </w:p>
        </w:tc>
        <w:tc>
          <w:tcPr>
            <w:tcW w:w="0" w:type="auto"/>
            <w:vAlign w:val="center"/>
            <w:hideMark/>
          </w:tcPr>
          <w:p w14:paraId="3DBF4A22" w14:textId="77777777" w:rsidR="00000000" w:rsidRDefault="00195E73">
            <w:pPr>
              <w:rPr>
                <w:rFonts w:eastAsia="Times New Roman"/>
                <w:sz w:val="20"/>
                <w:szCs w:val="20"/>
              </w:rPr>
            </w:pPr>
          </w:p>
        </w:tc>
        <w:tc>
          <w:tcPr>
            <w:tcW w:w="0" w:type="auto"/>
            <w:vAlign w:val="center"/>
            <w:hideMark/>
          </w:tcPr>
          <w:p w14:paraId="6E8BC9EC" w14:textId="77777777" w:rsidR="00000000" w:rsidRDefault="00195E73">
            <w:pPr>
              <w:rPr>
                <w:rFonts w:eastAsia="Times New Roman"/>
                <w:sz w:val="20"/>
                <w:szCs w:val="20"/>
              </w:rPr>
            </w:pPr>
          </w:p>
        </w:tc>
        <w:tc>
          <w:tcPr>
            <w:tcW w:w="0" w:type="auto"/>
            <w:vAlign w:val="center"/>
            <w:hideMark/>
          </w:tcPr>
          <w:p w14:paraId="03CE5F32" w14:textId="77777777" w:rsidR="00000000" w:rsidRDefault="00195E73">
            <w:pPr>
              <w:rPr>
                <w:rFonts w:eastAsia="Times New Roman"/>
                <w:sz w:val="20"/>
                <w:szCs w:val="20"/>
              </w:rPr>
            </w:pPr>
          </w:p>
        </w:tc>
        <w:tc>
          <w:tcPr>
            <w:tcW w:w="0" w:type="auto"/>
            <w:vAlign w:val="center"/>
            <w:hideMark/>
          </w:tcPr>
          <w:p w14:paraId="1F26A967" w14:textId="77777777" w:rsidR="00000000" w:rsidRDefault="00195E73">
            <w:pPr>
              <w:rPr>
                <w:rFonts w:eastAsia="Times New Roman"/>
                <w:sz w:val="20"/>
                <w:szCs w:val="20"/>
              </w:rPr>
            </w:pPr>
          </w:p>
        </w:tc>
        <w:tc>
          <w:tcPr>
            <w:tcW w:w="0" w:type="auto"/>
            <w:vAlign w:val="center"/>
            <w:hideMark/>
          </w:tcPr>
          <w:p w14:paraId="293D9CA7" w14:textId="77777777" w:rsidR="00000000" w:rsidRDefault="00195E73">
            <w:pPr>
              <w:rPr>
                <w:rFonts w:eastAsia="Times New Roman"/>
                <w:sz w:val="20"/>
                <w:szCs w:val="20"/>
              </w:rPr>
            </w:pPr>
          </w:p>
        </w:tc>
        <w:tc>
          <w:tcPr>
            <w:tcW w:w="0" w:type="auto"/>
            <w:vAlign w:val="center"/>
            <w:hideMark/>
          </w:tcPr>
          <w:p w14:paraId="3BAF6A0A" w14:textId="77777777" w:rsidR="00000000" w:rsidRDefault="00195E73">
            <w:pPr>
              <w:rPr>
                <w:rFonts w:eastAsia="Times New Roman"/>
                <w:sz w:val="20"/>
                <w:szCs w:val="20"/>
              </w:rPr>
            </w:pPr>
          </w:p>
        </w:tc>
        <w:tc>
          <w:tcPr>
            <w:tcW w:w="0" w:type="auto"/>
            <w:vAlign w:val="center"/>
            <w:hideMark/>
          </w:tcPr>
          <w:p w14:paraId="5383E463" w14:textId="77777777" w:rsidR="00000000" w:rsidRDefault="00195E73">
            <w:pPr>
              <w:rPr>
                <w:rFonts w:eastAsia="Times New Roman"/>
                <w:sz w:val="20"/>
                <w:szCs w:val="20"/>
              </w:rPr>
            </w:pPr>
          </w:p>
        </w:tc>
        <w:tc>
          <w:tcPr>
            <w:tcW w:w="0" w:type="auto"/>
            <w:vAlign w:val="center"/>
            <w:hideMark/>
          </w:tcPr>
          <w:p w14:paraId="05DD933E" w14:textId="77777777" w:rsidR="00000000" w:rsidRDefault="00195E73">
            <w:pPr>
              <w:rPr>
                <w:rFonts w:eastAsia="Times New Roman"/>
                <w:sz w:val="20"/>
                <w:szCs w:val="20"/>
              </w:rPr>
            </w:pPr>
          </w:p>
        </w:tc>
        <w:tc>
          <w:tcPr>
            <w:tcW w:w="0" w:type="auto"/>
            <w:vAlign w:val="center"/>
            <w:hideMark/>
          </w:tcPr>
          <w:p w14:paraId="20666CDE" w14:textId="77777777" w:rsidR="00000000" w:rsidRDefault="00195E73">
            <w:pPr>
              <w:rPr>
                <w:rFonts w:eastAsia="Times New Roman"/>
                <w:sz w:val="20"/>
                <w:szCs w:val="20"/>
              </w:rPr>
            </w:pPr>
          </w:p>
        </w:tc>
        <w:tc>
          <w:tcPr>
            <w:tcW w:w="0" w:type="auto"/>
            <w:vAlign w:val="center"/>
            <w:hideMark/>
          </w:tcPr>
          <w:p w14:paraId="146B5518" w14:textId="77777777" w:rsidR="00000000" w:rsidRDefault="00195E73">
            <w:pPr>
              <w:rPr>
                <w:rFonts w:eastAsia="Times New Roman"/>
                <w:sz w:val="20"/>
                <w:szCs w:val="20"/>
              </w:rPr>
            </w:pPr>
          </w:p>
        </w:tc>
        <w:tc>
          <w:tcPr>
            <w:tcW w:w="0" w:type="auto"/>
            <w:vAlign w:val="center"/>
            <w:hideMark/>
          </w:tcPr>
          <w:p w14:paraId="74AC4864" w14:textId="77777777" w:rsidR="00000000" w:rsidRDefault="00195E73">
            <w:pPr>
              <w:rPr>
                <w:rFonts w:eastAsia="Times New Roman"/>
                <w:sz w:val="20"/>
                <w:szCs w:val="20"/>
              </w:rPr>
            </w:pPr>
          </w:p>
        </w:tc>
      </w:tr>
      <w:tr w:rsidR="00000000" w14:paraId="4BB4D27C" w14:textId="77777777">
        <w:trPr>
          <w:divId w:val="584339411"/>
          <w:jc w:val="center"/>
        </w:trPr>
        <w:tc>
          <w:tcPr>
            <w:tcW w:w="0" w:type="auto"/>
            <w:gridSpan w:val="3"/>
            <w:shd w:val="clear" w:color="auto" w:fill="FFFFFF"/>
            <w:tcMar>
              <w:top w:w="30" w:type="dxa"/>
              <w:left w:w="20" w:type="dxa"/>
              <w:bottom w:w="30" w:type="dxa"/>
              <w:right w:w="20" w:type="dxa"/>
            </w:tcMar>
            <w:vAlign w:val="bottom"/>
            <w:hideMark/>
          </w:tcPr>
          <w:p w14:paraId="1E881985" w14:textId="77777777" w:rsidR="00000000" w:rsidRDefault="00195E73">
            <w:pPr>
              <w:ind w:hanging="180"/>
              <w:divId w:val="100301975"/>
              <w:rPr>
                <w:rFonts w:eastAsia="Times New Roman"/>
              </w:rPr>
            </w:pPr>
            <w:r>
              <w:rPr>
                <w:rFonts w:eastAsia="Times New Roman"/>
                <w:color w:val="000000"/>
                <w:sz w:val="20"/>
                <w:szCs w:val="20"/>
              </w:rPr>
              <w:t>Cash and cash equivalents and restricted cash and restricted cash equivalents, beginning of perio</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6647C70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AAC1F5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3BB38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636190"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0A2C68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FA5F9A2"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66B395"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804655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BB1CC4D" w14:textId="77777777" w:rsidR="00000000" w:rsidRDefault="00195E73">
            <w:pPr>
              <w:rPr>
                <w:rFonts w:eastAsia="Times New Roman"/>
                <w:sz w:val="20"/>
                <w:szCs w:val="20"/>
              </w:rPr>
            </w:pPr>
          </w:p>
        </w:tc>
        <w:tc>
          <w:tcPr>
            <w:tcW w:w="0" w:type="auto"/>
            <w:vAlign w:val="center"/>
            <w:hideMark/>
          </w:tcPr>
          <w:p w14:paraId="3EF750D5" w14:textId="77777777" w:rsidR="00000000" w:rsidRDefault="00195E73">
            <w:pPr>
              <w:rPr>
                <w:rFonts w:eastAsia="Times New Roman"/>
                <w:sz w:val="20"/>
                <w:szCs w:val="20"/>
              </w:rPr>
            </w:pPr>
          </w:p>
        </w:tc>
        <w:tc>
          <w:tcPr>
            <w:tcW w:w="0" w:type="auto"/>
            <w:vAlign w:val="center"/>
            <w:hideMark/>
          </w:tcPr>
          <w:p w14:paraId="30E4D153" w14:textId="77777777" w:rsidR="00000000" w:rsidRDefault="00195E73">
            <w:pPr>
              <w:rPr>
                <w:rFonts w:eastAsia="Times New Roman"/>
                <w:sz w:val="20"/>
                <w:szCs w:val="20"/>
              </w:rPr>
            </w:pPr>
          </w:p>
        </w:tc>
        <w:tc>
          <w:tcPr>
            <w:tcW w:w="0" w:type="auto"/>
            <w:vAlign w:val="center"/>
            <w:hideMark/>
          </w:tcPr>
          <w:p w14:paraId="553F1DBD" w14:textId="77777777" w:rsidR="00000000" w:rsidRDefault="00195E73">
            <w:pPr>
              <w:rPr>
                <w:rFonts w:eastAsia="Times New Roman"/>
                <w:sz w:val="20"/>
                <w:szCs w:val="20"/>
              </w:rPr>
            </w:pPr>
          </w:p>
        </w:tc>
        <w:tc>
          <w:tcPr>
            <w:tcW w:w="0" w:type="auto"/>
            <w:vAlign w:val="center"/>
            <w:hideMark/>
          </w:tcPr>
          <w:p w14:paraId="7164CB87" w14:textId="77777777" w:rsidR="00000000" w:rsidRDefault="00195E73">
            <w:pPr>
              <w:rPr>
                <w:rFonts w:eastAsia="Times New Roman"/>
                <w:sz w:val="20"/>
                <w:szCs w:val="20"/>
              </w:rPr>
            </w:pPr>
          </w:p>
        </w:tc>
        <w:tc>
          <w:tcPr>
            <w:tcW w:w="0" w:type="auto"/>
            <w:vAlign w:val="center"/>
            <w:hideMark/>
          </w:tcPr>
          <w:p w14:paraId="42E0DB26" w14:textId="77777777" w:rsidR="00000000" w:rsidRDefault="00195E73">
            <w:pPr>
              <w:rPr>
                <w:rFonts w:eastAsia="Times New Roman"/>
                <w:sz w:val="20"/>
                <w:szCs w:val="20"/>
              </w:rPr>
            </w:pPr>
          </w:p>
        </w:tc>
        <w:tc>
          <w:tcPr>
            <w:tcW w:w="0" w:type="auto"/>
            <w:vAlign w:val="center"/>
            <w:hideMark/>
          </w:tcPr>
          <w:p w14:paraId="47442A3B" w14:textId="77777777" w:rsidR="00000000" w:rsidRDefault="00195E73">
            <w:pPr>
              <w:rPr>
                <w:rFonts w:eastAsia="Times New Roman"/>
                <w:sz w:val="20"/>
                <w:szCs w:val="20"/>
              </w:rPr>
            </w:pPr>
          </w:p>
        </w:tc>
        <w:tc>
          <w:tcPr>
            <w:tcW w:w="0" w:type="auto"/>
            <w:vAlign w:val="center"/>
            <w:hideMark/>
          </w:tcPr>
          <w:p w14:paraId="1D14E2B7" w14:textId="77777777" w:rsidR="00000000" w:rsidRDefault="00195E73">
            <w:pPr>
              <w:rPr>
                <w:rFonts w:eastAsia="Times New Roman"/>
                <w:sz w:val="20"/>
                <w:szCs w:val="20"/>
              </w:rPr>
            </w:pPr>
          </w:p>
        </w:tc>
        <w:tc>
          <w:tcPr>
            <w:tcW w:w="0" w:type="auto"/>
            <w:vAlign w:val="center"/>
            <w:hideMark/>
          </w:tcPr>
          <w:p w14:paraId="454A52AF" w14:textId="77777777" w:rsidR="00000000" w:rsidRDefault="00195E73">
            <w:pPr>
              <w:rPr>
                <w:rFonts w:eastAsia="Times New Roman"/>
                <w:sz w:val="20"/>
                <w:szCs w:val="20"/>
              </w:rPr>
            </w:pPr>
          </w:p>
        </w:tc>
        <w:tc>
          <w:tcPr>
            <w:tcW w:w="0" w:type="auto"/>
            <w:vAlign w:val="center"/>
            <w:hideMark/>
          </w:tcPr>
          <w:p w14:paraId="4F52D2FF" w14:textId="77777777" w:rsidR="00000000" w:rsidRDefault="00195E73">
            <w:pPr>
              <w:rPr>
                <w:rFonts w:eastAsia="Times New Roman"/>
                <w:sz w:val="20"/>
                <w:szCs w:val="20"/>
              </w:rPr>
            </w:pPr>
          </w:p>
        </w:tc>
        <w:tc>
          <w:tcPr>
            <w:tcW w:w="0" w:type="auto"/>
            <w:vAlign w:val="center"/>
            <w:hideMark/>
          </w:tcPr>
          <w:p w14:paraId="37756F28" w14:textId="77777777" w:rsidR="00000000" w:rsidRDefault="00195E73">
            <w:pPr>
              <w:rPr>
                <w:rFonts w:eastAsia="Times New Roman"/>
                <w:sz w:val="20"/>
                <w:szCs w:val="20"/>
              </w:rPr>
            </w:pPr>
          </w:p>
        </w:tc>
        <w:tc>
          <w:tcPr>
            <w:tcW w:w="0" w:type="auto"/>
            <w:vAlign w:val="center"/>
            <w:hideMark/>
          </w:tcPr>
          <w:p w14:paraId="2F36284D" w14:textId="77777777" w:rsidR="00000000" w:rsidRDefault="00195E73">
            <w:pPr>
              <w:rPr>
                <w:rFonts w:eastAsia="Times New Roman"/>
                <w:sz w:val="20"/>
                <w:szCs w:val="20"/>
              </w:rPr>
            </w:pPr>
          </w:p>
        </w:tc>
      </w:tr>
      <w:tr w:rsidR="00000000" w14:paraId="076B8E62" w14:textId="77777777">
        <w:trPr>
          <w:divId w:val="584339411"/>
          <w:jc w:val="center"/>
        </w:trPr>
        <w:tc>
          <w:tcPr>
            <w:tcW w:w="0" w:type="auto"/>
            <w:gridSpan w:val="3"/>
            <w:tcBorders>
              <w:top w:val="single" w:sz="8" w:space="0" w:color="FFFFFF"/>
              <w:bottom w:val="single" w:sz="8" w:space="0" w:color="FFFFFF"/>
            </w:tcBorders>
            <w:shd w:val="clear" w:color="auto" w:fill="CCEEFF"/>
            <w:tcMar>
              <w:top w:w="30" w:type="dxa"/>
              <w:left w:w="20" w:type="dxa"/>
              <w:bottom w:w="30" w:type="dxa"/>
              <w:right w:w="20" w:type="dxa"/>
            </w:tcMar>
            <w:vAlign w:val="bottom"/>
            <w:hideMark/>
          </w:tcPr>
          <w:p w14:paraId="72FBC7F2" w14:textId="77777777" w:rsidR="00000000" w:rsidRDefault="00195E73">
            <w:pPr>
              <w:ind w:hanging="180"/>
              <w:divId w:val="1788617487"/>
              <w:rPr>
                <w:rFonts w:eastAsia="Times New Roman"/>
              </w:rPr>
            </w:pPr>
            <w:r>
              <w:rPr>
                <w:rFonts w:eastAsia="Times New Roman"/>
                <w:color w:val="000000"/>
                <w:sz w:val="20"/>
                <w:szCs w:val="20"/>
              </w:rPr>
              <w:t>Cash and cash equivalents and restricted cash and restricted cash equivalents, end of perio</w:t>
            </w:r>
            <w:r>
              <w:rPr>
                <w:rFonts w:eastAsia="Times New Roman"/>
                <w:color w:val="000000"/>
                <w:sz w:val="20"/>
                <w:szCs w:val="20"/>
              </w:rPr>
              <w:t>d</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0327424"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A9E7233"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B9008A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FA91815"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50DAB8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87B3CD5"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AD96D7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249C0B5"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2729C12"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1DA40D8"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CF69B4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BB0A3F9" w14:textId="77777777" w:rsidR="00000000" w:rsidRDefault="00195E73">
            <w:pPr>
              <w:rPr>
                <w:rFonts w:eastAsia="Times New Roman"/>
                <w:sz w:val="20"/>
                <w:szCs w:val="20"/>
              </w:rPr>
            </w:pPr>
          </w:p>
        </w:tc>
        <w:tc>
          <w:tcPr>
            <w:tcW w:w="0" w:type="auto"/>
            <w:vAlign w:val="center"/>
            <w:hideMark/>
          </w:tcPr>
          <w:p w14:paraId="728F80D7" w14:textId="77777777" w:rsidR="00000000" w:rsidRDefault="00195E73">
            <w:pPr>
              <w:rPr>
                <w:rFonts w:eastAsia="Times New Roman"/>
                <w:sz w:val="20"/>
                <w:szCs w:val="20"/>
              </w:rPr>
            </w:pPr>
          </w:p>
        </w:tc>
        <w:tc>
          <w:tcPr>
            <w:tcW w:w="0" w:type="auto"/>
            <w:vAlign w:val="center"/>
            <w:hideMark/>
          </w:tcPr>
          <w:p w14:paraId="064E9BD7" w14:textId="77777777" w:rsidR="00000000" w:rsidRDefault="00195E73">
            <w:pPr>
              <w:rPr>
                <w:rFonts w:eastAsia="Times New Roman"/>
                <w:sz w:val="20"/>
                <w:szCs w:val="20"/>
              </w:rPr>
            </w:pPr>
          </w:p>
        </w:tc>
        <w:tc>
          <w:tcPr>
            <w:tcW w:w="0" w:type="auto"/>
            <w:vAlign w:val="center"/>
            <w:hideMark/>
          </w:tcPr>
          <w:p w14:paraId="10BD3198" w14:textId="77777777" w:rsidR="00000000" w:rsidRDefault="00195E73">
            <w:pPr>
              <w:rPr>
                <w:rFonts w:eastAsia="Times New Roman"/>
                <w:sz w:val="20"/>
                <w:szCs w:val="20"/>
              </w:rPr>
            </w:pPr>
          </w:p>
        </w:tc>
        <w:tc>
          <w:tcPr>
            <w:tcW w:w="0" w:type="auto"/>
            <w:vAlign w:val="center"/>
            <w:hideMark/>
          </w:tcPr>
          <w:p w14:paraId="45244752" w14:textId="77777777" w:rsidR="00000000" w:rsidRDefault="00195E73">
            <w:pPr>
              <w:rPr>
                <w:rFonts w:eastAsia="Times New Roman"/>
                <w:sz w:val="20"/>
                <w:szCs w:val="20"/>
              </w:rPr>
            </w:pPr>
          </w:p>
        </w:tc>
        <w:tc>
          <w:tcPr>
            <w:tcW w:w="0" w:type="auto"/>
            <w:vAlign w:val="center"/>
            <w:hideMark/>
          </w:tcPr>
          <w:p w14:paraId="1BD0E9FC" w14:textId="77777777" w:rsidR="00000000" w:rsidRDefault="00195E73">
            <w:pPr>
              <w:rPr>
                <w:rFonts w:eastAsia="Times New Roman"/>
                <w:sz w:val="20"/>
                <w:szCs w:val="20"/>
              </w:rPr>
            </w:pPr>
          </w:p>
        </w:tc>
        <w:tc>
          <w:tcPr>
            <w:tcW w:w="0" w:type="auto"/>
            <w:vAlign w:val="center"/>
            <w:hideMark/>
          </w:tcPr>
          <w:p w14:paraId="38AD302E" w14:textId="77777777" w:rsidR="00000000" w:rsidRDefault="00195E73">
            <w:pPr>
              <w:rPr>
                <w:rFonts w:eastAsia="Times New Roman"/>
                <w:sz w:val="20"/>
                <w:szCs w:val="20"/>
              </w:rPr>
            </w:pPr>
          </w:p>
        </w:tc>
        <w:tc>
          <w:tcPr>
            <w:tcW w:w="0" w:type="auto"/>
            <w:vAlign w:val="center"/>
            <w:hideMark/>
          </w:tcPr>
          <w:p w14:paraId="671E2110" w14:textId="77777777" w:rsidR="00000000" w:rsidRDefault="00195E73">
            <w:pPr>
              <w:rPr>
                <w:rFonts w:eastAsia="Times New Roman"/>
                <w:sz w:val="20"/>
                <w:szCs w:val="20"/>
              </w:rPr>
            </w:pPr>
          </w:p>
        </w:tc>
        <w:tc>
          <w:tcPr>
            <w:tcW w:w="0" w:type="auto"/>
            <w:vAlign w:val="center"/>
            <w:hideMark/>
          </w:tcPr>
          <w:p w14:paraId="09E7402D" w14:textId="77777777" w:rsidR="00000000" w:rsidRDefault="00195E73">
            <w:pPr>
              <w:rPr>
                <w:rFonts w:eastAsia="Times New Roman"/>
                <w:sz w:val="20"/>
                <w:szCs w:val="20"/>
              </w:rPr>
            </w:pPr>
          </w:p>
        </w:tc>
        <w:tc>
          <w:tcPr>
            <w:tcW w:w="0" w:type="auto"/>
            <w:vAlign w:val="center"/>
            <w:hideMark/>
          </w:tcPr>
          <w:p w14:paraId="0795BE44" w14:textId="77777777" w:rsidR="00000000" w:rsidRDefault="00195E73">
            <w:pPr>
              <w:rPr>
                <w:rFonts w:eastAsia="Times New Roman"/>
                <w:sz w:val="20"/>
                <w:szCs w:val="20"/>
              </w:rPr>
            </w:pPr>
          </w:p>
        </w:tc>
        <w:tc>
          <w:tcPr>
            <w:tcW w:w="0" w:type="auto"/>
            <w:vAlign w:val="center"/>
            <w:hideMark/>
          </w:tcPr>
          <w:p w14:paraId="16B0E7DC" w14:textId="77777777" w:rsidR="00000000" w:rsidRDefault="00195E73">
            <w:pPr>
              <w:rPr>
                <w:rFonts w:eastAsia="Times New Roman"/>
                <w:sz w:val="20"/>
                <w:szCs w:val="20"/>
              </w:rPr>
            </w:pPr>
          </w:p>
        </w:tc>
        <w:tc>
          <w:tcPr>
            <w:tcW w:w="0" w:type="auto"/>
            <w:vAlign w:val="center"/>
            <w:hideMark/>
          </w:tcPr>
          <w:p w14:paraId="1BBB9C65" w14:textId="77777777" w:rsidR="00000000" w:rsidRDefault="00195E73">
            <w:pPr>
              <w:rPr>
                <w:rFonts w:eastAsia="Times New Roman"/>
                <w:sz w:val="20"/>
                <w:szCs w:val="20"/>
              </w:rPr>
            </w:pPr>
          </w:p>
        </w:tc>
      </w:tr>
    </w:tbl>
    <w:p w14:paraId="44420836" w14:textId="77777777" w:rsidR="00000000" w:rsidRDefault="00195E73">
      <w:pPr>
        <w:divId w:val="1607731793"/>
        <w:rPr>
          <w:rFonts w:eastAsia="Times New Roman"/>
        </w:rPr>
      </w:pPr>
    </w:p>
    <w:p w14:paraId="3441EBD1" w14:textId="77777777" w:rsidR="00000000" w:rsidRDefault="00195E73">
      <w:pPr>
        <w:divId w:val="1282343715"/>
        <w:rPr>
          <w:rFonts w:eastAsia="Times New Roman"/>
        </w:rPr>
      </w:pPr>
    </w:p>
    <w:p w14:paraId="60006F7D" w14:textId="77777777" w:rsidR="00000000" w:rsidRDefault="00195E73">
      <w:pPr>
        <w:divId w:val="1451630514"/>
        <w:rPr>
          <w:rFonts w:eastAsia="Times New Roman"/>
        </w:rPr>
      </w:pPr>
    </w:p>
    <w:p w14:paraId="0BC201F4" w14:textId="77777777" w:rsidR="00000000" w:rsidRDefault="00195E73">
      <w:pPr>
        <w:divId w:val="84155801"/>
        <w:rPr>
          <w:rFonts w:eastAsia="Times New Roman"/>
        </w:rPr>
      </w:pPr>
    </w:p>
    <w:p w14:paraId="2CD1A491" w14:textId="77777777" w:rsidR="00000000" w:rsidRDefault="00195E73">
      <w:pPr>
        <w:divId w:val="2044939712"/>
        <w:rPr>
          <w:rFonts w:eastAsia="Times New Roman"/>
        </w:rPr>
      </w:pPr>
    </w:p>
    <w:p w14:paraId="01A307A0" w14:textId="77777777" w:rsidR="00000000" w:rsidRDefault="00195E73">
      <w:pPr>
        <w:divId w:val="1338193931"/>
        <w:rPr>
          <w:rFonts w:eastAsia="Times New Roman"/>
        </w:rPr>
      </w:pPr>
    </w:p>
    <w:p w14:paraId="66683A66" w14:textId="77777777" w:rsidR="00000000" w:rsidRDefault="00195E73">
      <w:pPr>
        <w:divId w:val="554971470"/>
        <w:rPr>
          <w:rFonts w:eastAsia="Times New Roman"/>
        </w:rPr>
      </w:pPr>
    </w:p>
    <w:p w14:paraId="47953A84" w14:textId="77777777" w:rsidR="00000000" w:rsidRDefault="00195E73">
      <w:pPr>
        <w:divId w:val="117768596"/>
        <w:rPr>
          <w:rFonts w:eastAsia="Times New Roman"/>
        </w:rPr>
      </w:pPr>
    </w:p>
    <w:p w14:paraId="42F2A8A1" w14:textId="77777777" w:rsidR="00000000" w:rsidRDefault="00195E73">
      <w:pPr>
        <w:divId w:val="403576859"/>
        <w:rPr>
          <w:rFonts w:eastAsia="Times New Roman"/>
        </w:rPr>
      </w:pPr>
    </w:p>
    <w:p w14:paraId="723BF7AF" w14:textId="77777777" w:rsidR="00000000" w:rsidRDefault="00195E73">
      <w:pPr>
        <w:divId w:val="1312253885"/>
        <w:rPr>
          <w:rFonts w:eastAsia="Times New Roman"/>
        </w:rPr>
      </w:pPr>
    </w:p>
    <w:p w14:paraId="0199F48E" w14:textId="77777777" w:rsidR="00000000" w:rsidRDefault="00195E73">
      <w:pPr>
        <w:divId w:val="1385373288"/>
        <w:rPr>
          <w:rFonts w:eastAsia="Times New Roman"/>
        </w:rPr>
      </w:pPr>
    </w:p>
    <w:p w14:paraId="0A47A85B" w14:textId="77777777" w:rsidR="00000000" w:rsidRDefault="00195E73">
      <w:pPr>
        <w:divId w:val="401758224"/>
        <w:rPr>
          <w:rFonts w:eastAsia="Times New Roman"/>
        </w:rPr>
      </w:pPr>
    </w:p>
    <w:p w14:paraId="7A126A72" w14:textId="77777777" w:rsidR="00000000" w:rsidRDefault="00195E73">
      <w:pPr>
        <w:divId w:val="25104564"/>
        <w:rPr>
          <w:rFonts w:eastAsia="Times New Roman"/>
        </w:rPr>
      </w:pPr>
    </w:p>
    <w:p w14:paraId="2F8A9662" w14:textId="77777777" w:rsidR="00000000" w:rsidRDefault="00195E73">
      <w:pPr>
        <w:divId w:val="1714118357"/>
        <w:rPr>
          <w:rFonts w:eastAsia="Times New Roman"/>
        </w:rPr>
      </w:pPr>
    </w:p>
    <w:p w14:paraId="72B7EC50" w14:textId="77777777" w:rsidR="00000000" w:rsidRDefault="00195E73">
      <w:pPr>
        <w:divId w:val="794517636"/>
        <w:rPr>
          <w:rFonts w:eastAsia="Times New Roman"/>
        </w:rPr>
      </w:pPr>
    </w:p>
    <w:p w14:paraId="14F1BA8B" w14:textId="77777777" w:rsidR="00000000" w:rsidRDefault="00195E73">
      <w:pPr>
        <w:jc w:val="center"/>
        <w:rPr>
          <w:rFonts w:eastAsia="Times New Roman"/>
        </w:rPr>
      </w:pPr>
    </w:p>
    <w:p w14:paraId="188E152E" w14:textId="77777777" w:rsidR="00000000" w:rsidRDefault="00195E73">
      <w:pPr>
        <w:jc w:val="center"/>
        <w:rPr>
          <w:rFonts w:eastAsia="Times New Roman"/>
        </w:rPr>
      </w:pPr>
      <w:r>
        <w:rPr>
          <w:rFonts w:eastAsia="Times New Roman"/>
          <w:i/>
          <w:iCs/>
          <w:color w:val="000000"/>
          <w:sz w:val="20"/>
          <w:szCs w:val="20"/>
        </w:rPr>
        <w:t>See notes to condensed financial statements</w:t>
      </w:r>
      <w:r>
        <w:rPr>
          <w:rFonts w:eastAsia="Times New Roman"/>
          <w:i/>
          <w:iCs/>
          <w:color w:val="000000"/>
          <w:sz w:val="20"/>
          <w:szCs w:val="20"/>
        </w:rPr>
        <w:t>.</w:t>
      </w:r>
    </w:p>
    <w:p w14:paraId="1DCF3F68" w14:textId="77777777" w:rsidR="00000000" w:rsidRDefault="00195E73">
      <w:pPr>
        <w:jc w:val="center"/>
        <w:divId w:val="978808165"/>
        <w:rPr>
          <w:rFonts w:eastAsia="Times New Roman"/>
        </w:rPr>
      </w:pPr>
      <w:r>
        <w:rPr>
          <w:rFonts w:eastAsia="Times New Roman"/>
          <w:color w:val="000000"/>
          <w:sz w:val="20"/>
          <w:szCs w:val="20"/>
        </w:rPr>
        <w:t>13</w:t>
      </w:r>
      <w:r>
        <w:rPr>
          <w:rFonts w:eastAsia="Times New Roman"/>
          <w:color w:val="000000"/>
          <w:sz w:val="20"/>
          <w:szCs w:val="20"/>
        </w:rPr>
        <w:t>5</w:t>
      </w:r>
    </w:p>
    <w:p w14:paraId="32C04D60" w14:textId="77777777" w:rsidR="00000000" w:rsidRDefault="00195E73">
      <w:pPr>
        <w:rPr>
          <w:rFonts w:eastAsia="Times New Roman"/>
        </w:rPr>
      </w:pPr>
      <w:r>
        <w:rPr>
          <w:rFonts w:eastAsia="Times New Roman"/>
        </w:rPr>
        <w:pict w14:anchorId="0E6A8FAF">
          <v:rect id="_x0000_i1161" style="width:0;height:1.5pt" o:hralign="center" o:hrstd="t" o:hr="t" fillcolor="#a0a0a0" stroked="f"/>
        </w:pict>
      </w:r>
    </w:p>
    <w:p w14:paraId="1665387D" w14:textId="77777777" w:rsidR="00000000" w:rsidRDefault="00195E73">
      <w:pPr>
        <w:divId w:val="1098332178"/>
        <w:rPr>
          <w:rFonts w:eastAsia="Times New Roman"/>
        </w:rPr>
      </w:pPr>
    </w:p>
    <w:p w14:paraId="4434DA5E" w14:textId="77777777" w:rsidR="00000000" w:rsidRDefault="00195E73">
      <w:pPr>
        <w:jc w:val="center"/>
        <w:rPr>
          <w:rFonts w:eastAsia="Times New Roman"/>
        </w:rPr>
      </w:pPr>
      <w:r>
        <w:rPr>
          <w:rFonts w:eastAsia="Times New Roman"/>
          <w:b/>
          <w:bCs/>
          <w:color w:val="000000"/>
          <w:sz w:val="20"/>
          <w:szCs w:val="20"/>
        </w:rPr>
        <w:t>ICAHN ENTERPRISES L.P</w:t>
      </w:r>
      <w:r>
        <w:rPr>
          <w:rFonts w:eastAsia="Times New Roman"/>
          <w:b/>
          <w:bCs/>
          <w:color w:val="000000"/>
          <w:sz w:val="20"/>
          <w:szCs w:val="20"/>
        </w:rPr>
        <w:t>.</w:t>
      </w:r>
    </w:p>
    <w:p w14:paraId="3AAA2283" w14:textId="77777777" w:rsidR="00000000" w:rsidRDefault="00195E73">
      <w:pPr>
        <w:jc w:val="center"/>
        <w:rPr>
          <w:rFonts w:eastAsia="Times New Roman"/>
        </w:rPr>
      </w:pPr>
      <w:r>
        <w:rPr>
          <w:rFonts w:eastAsia="Times New Roman"/>
          <w:b/>
          <w:bCs/>
          <w:color w:val="000000"/>
          <w:sz w:val="20"/>
          <w:szCs w:val="20"/>
        </w:rPr>
        <w:t>(Parent Company</w:t>
      </w:r>
      <w:r>
        <w:rPr>
          <w:rFonts w:eastAsia="Times New Roman"/>
          <w:b/>
          <w:bCs/>
          <w:color w:val="000000"/>
          <w:sz w:val="20"/>
          <w:szCs w:val="20"/>
        </w:rPr>
        <w:t>)</w:t>
      </w:r>
    </w:p>
    <w:p w14:paraId="2BFAD7AE" w14:textId="77777777" w:rsidR="00000000" w:rsidRDefault="00195E73">
      <w:pPr>
        <w:jc w:val="center"/>
        <w:divId w:val="1558281561"/>
        <w:rPr>
          <w:rFonts w:eastAsia="Times New Roman"/>
        </w:rPr>
      </w:pPr>
      <w:r>
        <w:rPr>
          <w:rFonts w:eastAsia="Times New Roman"/>
          <w:b/>
          <w:bCs/>
          <w:color w:val="000000"/>
          <w:sz w:val="20"/>
          <w:szCs w:val="20"/>
        </w:rPr>
        <w:t>NOTES TO CONDENSED FINANCIAL STATEMENT</w:t>
      </w:r>
      <w:r>
        <w:rPr>
          <w:rFonts w:eastAsia="Times New Roman"/>
          <w:b/>
          <w:bCs/>
          <w:color w:val="000000"/>
          <w:sz w:val="20"/>
          <w:szCs w:val="20"/>
        </w:rPr>
        <w:t>S</w:t>
      </w:r>
    </w:p>
    <w:p w14:paraId="5130EAC1" w14:textId="77777777" w:rsidR="00000000" w:rsidRDefault="00195E73">
      <w:pPr>
        <w:ind w:firstLine="405"/>
        <w:divId w:val="1948655956"/>
        <w:rPr>
          <w:rFonts w:eastAsia="Times New Roman"/>
        </w:rPr>
      </w:pPr>
    </w:p>
    <w:p w14:paraId="5CAABEF6" w14:textId="77777777" w:rsidR="00000000" w:rsidRDefault="00195E73">
      <w:pPr>
        <w:divId w:val="470561506"/>
        <w:rPr>
          <w:rFonts w:eastAsia="Times New Roman"/>
        </w:rPr>
      </w:pPr>
      <w:r>
        <w:rPr>
          <w:rFonts w:eastAsia="Times New Roman"/>
          <w:b/>
          <w:bCs/>
          <w:color w:val="000000"/>
          <w:sz w:val="20"/>
          <w:szCs w:val="20"/>
        </w:rPr>
        <w:t>1. Description of Business and Basis of Presentation</w:t>
      </w:r>
      <w:r>
        <w:rPr>
          <w:rFonts w:eastAsia="Times New Roman"/>
          <w:b/>
          <w:bCs/>
          <w:color w:val="000000"/>
          <w:sz w:val="20"/>
          <w:szCs w:val="20"/>
        </w:rPr>
        <w:t>.</w:t>
      </w:r>
    </w:p>
    <w:p w14:paraId="1D6CBCD6" w14:textId="77777777" w:rsidR="00000000" w:rsidRDefault="00195E73">
      <w:pPr>
        <w:ind w:firstLine="405"/>
        <w:divId w:val="519395323"/>
        <w:rPr>
          <w:rFonts w:eastAsia="Times New Roman"/>
        </w:rPr>
      </w:pPr>
      <w:r>
        <w:rPr>
          <w:rFonts w:eastAsia="Times New Roman"/>
          <w:color w:val="000000"/>
          <w:sz w:val="20"/>
          <w:szCs w:val="20"/>
        </w:rPr>
        <w:t>Icahn Enterprises, L.P. (“Icahn Enterprises”</w:t>
      </w:r>
      <w:r>
        <w:rPr>
          <w:rFonts w:eastAsia="Times New Roman"/>
          <w:color w:val="000000"/>
          <w:sz w:val="20"/>
          <w:szCs w:val="20"/>
        </w:rPr>
        <w:t>) is a master limited partnership formed in Delaware on February 17, 1987. We own a 99% limited partner interest in Icahn Enterprises Holdings L.P. (“'Icahn Enterprises Holdings”). Icahn Enterprises Holdings and its subsidiaries own substantially all of ou</w:t>
      </w:r>
      <w:r>
        <w:rPr>
          <w:rFonts w:eastAsia="Times New Roman"/>
          <w:color w:val="000000"/>
          <w:sz w:val="20"/>
          <w:szCs w:val="20"/>
        </w:rPr>
        <w:t>r assets and liabilities and conduct substantially all of our operations. Icahn Enterprises G.P. Inc., our sole general partner, which is owned and controlled by Carl C. Icahn, owns a 1% general partner interest in both us and Icahn Enterprises Holdings, r</w:t>
      </w:r>
      <w:r>
        <w:rPr>
          <w:rFonts w:eastAsia="Times New Roman"/>
          <w:color w:val="000000"/>
          <w:sz w:val="20"/>
          <w:szCs w:val="20"/>
        </w:rPr>
        <w:t>epresenting an aggregate 1.99% general partner interest in us and Icahn Enterprises Holdings. As of December 31, 2019, Icahn Enterprises is engaged in the following continuing operating businesses:</w:t>
      </w:r>
      <w:r>
        <w:rPr>
          <w:rFonts w:eastAsia="Times New Roman"/>
          <w:color w:val="000000"/>
          <w:sz w:val="20"/>
          <w:szCs w:val="20"/>
        </w:rPr>
        <w:t xml:space="preserve"> </w:t>
      </w:r>
      <w:r>
        <w:rPr>
          <w:rFonts w:eastAsia="Times New Roman"/>
          <w:color w:val="231F20"/>
          <w:sz w:val="20"/>
          <w:szCs w:val="20"/>
        </w:rPr>
        <w:t>Investment, Energy, Automotive, Food Packaging, Metals, Re</w:t>
      </w:r>
      <w:r>
        <w:rPr>
          <w:rFonts w:eastAsia="Times New Roman"/>
          <w:color w:val="231F20"/>
          <w:sz w:val="20"/>
          <w:szCs w:val="20"/>
        </w:rPr>
        <w:t>al Estate and Home Fashio</w:t>
      </w:r>
      <w:r>
        <w:rPr>
          <w:rFonts w:eastAsia="Times New Roman"/>
          <w:color w:val="231F20"/>
          <w:sz w:val="20"/>
          <w:szCs w:val="20"/>
        </w:rPr>
        <w:t>n</w:t>
      </w:r>
      <w:r>
        <w:rPr>
          <w:rFonts w:eastAsia="Times New Roman"/>
          <w:color w:val="000000"/>
          <w:sz w:val="20"/>
          <w:szCs w:val="20"/>
        </w:rPr>
        <w:t>.</w:t>
      </w:r>
    </w:p>
    <w:p w14:paraId="6F950C92" w14:textId="77777777" w:rsidR="00000000" w:rsidRDefault="00195E73">
      <w:pPr>
        <w:ind w:firstLine="405"/>
        <w:divId w:val="1650866044"/>
        <w:rPr>
          <w:rFonts w:eastAsia="Times New Roman"/>
        </w:rPr>
      </w:pPr>
      <w:r>
        <w:rPr>
          <w:rFonts w:eastAsia="Times New Roman"/>
          <w:color w:val="000000"/>
          <w:sz w:val="20"/>
          <w:szCs w:val="20"/>
        </w:rPr>
        <w:t>For the years ended December 31, 2019, 2018 and 2017, Icahn Enterprises received (paid) $(363) million, $433 million and $(210) million, respectively, for (investments in) dividends and distributions from consolidated subsidiari</w:t>
      </w:r>
      <w:r>
        <w:rPr>
          <w:rFonts w:eastAsia="Times New Roman"/>
          <w:color w:val="000000"/>
          <w:sz w:val="20"/>
          <w:szCs w:val="20"/>
        </w:rPr>
        <w:t>es.</w:t>
      </w:r>
      <w:r>
        <w:rPr>
          <w:rFonts w:eastAsia="Times New Roman"/>
          <w:color w:val="000000"/>
          <w:sz w:val="20"/>
          <w:szCs w:val="20"/>
        </w:rPr>
        <w:t xml:space="preserve"> </w:t>
      </w:r>
    </w:p>
    <w:p w14:paraId="44102B09" w14:textId="77777777" w:rsidR="00000000" w:rsidRDefault="00195E73">
      <w:pPr>
        <w:ind w:firstLine="405"/>
        <w:divId w:val="702167691"/>
        <w:rPr>
          <w:rFonts w:eastAsia="Times New Roman"/>
        </w:rPr>
      </w:pPr>
      <w:r>
        <w:rPr>
          <w:rFonts w:eastAsia="Times New Roman"/>
          <w:color w:val="000000"/>
          <w:sz w:val="20"/>
          <w:szCs w:val="20"/>
        </w:rPr>
        <w:t>The condensed financial statements of Icahn Enterprises should be read in conjunction with the consolidated financial statements and notes thereto included in Item 8 of this Report</w:t>
      </w:r>
      <w:r>
        <w:rPr>
          <w:rFonts w:eastAsia="Times New Roman"/>
          <w:color w:val="000000"/>
          <w:sz w:val="20"/>
          <w:szCs w:val="20"/>
        </w:rPr>
        <w:t>.</w:t>
      </w:r>
    </w:p>
    <w:p w14:paraId="3B4FC49F" w14:textId="77777777" w:rsidR="00000000" w:rsidRDefault="00195E73">
      <w:pPr>
        <w:divId w:val="1862696297"/>
        <w:rPr>
          <w:rFonts w:eastAsia="Times New Roman"/>
        </w:rPr>
      </w:pPr>
      <w:r>
        <w:rPr>
          <w:rFonts w:eastAsia="Times New Roman"/>
          <w:b/>
          <w:bCs/>
          <w:color w:val="000000"/>
          <w:sz w:val="20"/>
          <w:szCs w:val="20"/>
        </w:rPr>
        <w:t>2. Debt</w:t>
      </w:r>
      <w:r>
        <w:rPr>
          <w:rFonts w:eastAsia="Times New Roman"/>
          <w:b/>
          <w:bCs/>
          <w:color w:val="000000"/>
          <w:sz w:val="20"/>
          <w:szCs w:val="20"/>
        </w:rPr>
        <w:t>.</w:t>
      </w:r>
    </w:p>
    <w:p w14:paraId="7E36E51E" w14:textId="77777777" w:rsidR="00000000" w:rsidRDefault="00195E73">
      <w:pPr>
        <w:ind w:firstLine="405"/>
        <w:divId w:val="1192767011"/>
        <w:rPr>
          <w:rFonts w:eastAsia="Times New Roman"/>
        </w:rPr>
      </w:pPr>
      <w:r>
        <w:rPr>
          <w:rFonts w:eastAsia="Times New Roman"/>
          <w:color w:val="000000"/>
          <w:sz w:val="20"/>
          <w:szCs w:val="20"/>
        </w:rPr>
        <w:t>See Note 11, “Debt,” to the consolidated financial statements loc</w:t>
      </w:r>
      <w:r>
        <w:rPr>
          <w:rFonts w:eastAsia="Times New Roman"/>
          <w:color w:val="000000"/>
          <w:sz w:val="20"/>
          <w:szCs w:val="20"/>
        </w:rPr>
        <w:t>ated in Item 8 of this Report. Icahn Enterprises' Parent company debt consists of the following</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51"/>
        <w:gridCol w:w="5439"/>
        <w:gridCol w:w="52"/>
        <w:gridCol w:w="135"/>
        <w:gridCol w:w="993"/>
        <w:gridCol w:w="85"/>
        <w:gridCol w:w="36"/>
        <w:gridCol w:w="37"/>
        <w:gridCol w:w="36"/>
        <w:gridCol w:w="135"/>
        <w:gridCol w:w="993"/>
        <w:gridCol w:w="85"/>
        <w:gridCol w:w="36"/>
        <w:gridCol w:w="36"/>
        <w:gridCol w:w="36"/>
        <w:gridCol w:w="36"/>
        <w:gridCol w:w="36"/>
        <w:gridCol w:w="36"/>
      </w:tblGrid>
      <w:tr w:rsidR="00000000" w14:paraId="7E4B1366" w14:textId="77777777">
        <w:trPr>
          <w:gridAfter w:val="6"/>
          <w:divId w:val="1937975224"/>
          <w:jc w:val="center"/>
        </w:trPr>
        <w:tc>
          <w:tcPr>
            <w:tcW w:w="50" w:type="pct"/>
            <w:vAlign w:val="center"/>
            <w:hideMark/>
          </w:tcPr>
          <w:p w14:paraId="1B00BC8B" w14:textId="77777777" w:rsidR="00000000" w:rsidRDefault="00195E73">
            <w:pPr>
              <w:ind w:firstLine="405"/>
              <w:rPr>
                <w:rFonts w:eastAsia="Times New Roman"/>
              </w:rPr>
            </w:pPr>
          </w:p>
        </w:tc>
        <w:tc>
          <w:tcPr>
            <w:tcW w:w="3384" w:type="pct"/>
            <w:vAlign w:val="center"/>
            <w:hideMark/>
          </w:tcPr>
          <w:p w14:paraId="064DD1BA" w14:textId="77777777" w:rsidR="00000000" w:rsidRDefault="00195E73">
            <w:pPr>
              <w:rPr>
                <w:rFonts w:eastAsia="Times New Roman"/>
                <w:sz w:val="20"/>
                <w:szCs w:val="20"/>
              </w:rPr>
            </w:pPr>
          </w:p>
        </w:tc>
        <w:tc>
          <w:tcPr>
            <w:tcW w:w="50" w:type="pct"/>
            <w:vAlign w:val="center"/>
            <w:hideMark/>
          </w:tcPr>
          <w:p w14:paraId="72738D02" w14:textId="77777777" w:rsidR="00000000" w:rsidRDefault="00195E73">
            <w:pPr>
              <w:rPr>
                <w:rFonts w:eastAsia="Times New Roman"/>
                <w:sz w:val="20"/>
                <w:szCs w:val="20"/>
              </w:rPr>
            </w:pPr>
          </w:p>
        </w:tc>
        <w:tc>
          <w:tcPr>
            <w:tcW w:w="50" w:type="pct"/>
            <w:vAlign w:val="center"/>
            <w:hideMark/>
          </w:tcPr>
          <w:p w14:paraId="55F567A8" w14:textId="77777777" w:rsidR="00000000" w:rsidRDefault="00195E73">
            <w:pPr>
              <w:rPr>
                <w:rFonts w:eastAsia="Times New Roman"/>
                <w:sz w:val="20"/>
                <w:szCs w:val="20"/>
              </w:rPr>
            </w:pPr>
          </w:p>
        </w:tc>
        <w:tc>
          <w:tcPr>
            <w:tcW w:w="632" w:type="pct"/>
            <w:vAlign w:val="center"/>
            <w:hideMark/>
          </w:tcPr>
          <w:p w14:paraId="42968175" w14:textId="77777777" w:rsidR="00000000" w:rsidRDefault="00195E73">
            <w:pPr>
              <w:rPr>
                <w:rFonts w:eastAsia="Times New Roman"/>
                <w:sz w:val="20"/>
                <w:szCs w:val="20"/>
              </w:rPr>
            </w:pPr>
          </w:p>
        </w:tc>
        <w:tc>
          <w:tcPr>
            <w:tcW w:w="50" w:type="pct"/>
            <w:vAlign w:val="center"/>
            <w:hideMark/>
          </w:tcPr>
          <w:p w14:paraId="22F12EC9" w14:textId="77777777" w:rsidR="00000000" w:rsidRDefault="00195E73">
            <w:pPr>
              <w:rPr>
                <w:rFonts w:eastAsia="Times New Roman"/>
                <w:sz w:val="20"/>
                <w:szCs w:val="20"/>
              </w:rPr>
            </w:pPr>
          </w:p>
        </w:tc>
        <w:tc>
          <w:tcPr>
            <w:tcW w:w="5" w:type="pct"/>
            <w:vAlign w:val="center"/>
            <w:hideMark/>
          </w:tcPr>
          <w:p w14:paraId="199CA139" w14:textId="77777777" w:rsidR="00000000" w:rsidRDefault="00195E73">
            <w:pPr>
              <w:rPr>
                <w:rFonts w:eastAsia="Times New Roman"/>
                <w:sz w:val="20"/>
                <w:szCs w:val="20"/>
              </w:rPr>
            </w:pPr>
          </w:p>
        </w:tc>
        <w:tc>
          <w:tcPr>
            <w:tcW w:w="41" w:type="pct"/>
            <w:vAlign w:val="center"/>
            <w:hideMark/>
          </w:tcPr>
          <w:p w14:paraId="28E1D722" w14:textId="77777777" w:rsidR="00000000" w:rsidRDefault="00195E73">
            <w:pPr>
              <w:rPr>
                <w:rFonts w:eastAsia="Times New Roman"/>
                <w:sz w:val="20"/>
                <w:szCs w:val="20"/>
              </w:rPr>
            </w:pPr>
          </w:p>
        </w:tc>
        <w:tc>
          <w:tcPr>
            <w:tcW w:w="5" w:type="pct"/>
            <w:vAlign w:val="center"/>
            <w:hideMark/>
          </w:tcPr>
          <w:p w14:paraId="7B06FB81" w14:textId="77777777" w:rsidR="00000000" w:rsidRDefault="00195E73">
            <w:pPr>
              <w:rPr>
                <w:rFonts w:eastAsia="Times New Roman"/>
                <w:sz w:val="20"/>
                <w:szCs w:val="20"/>
              </w:rPr>
            </w:pPr>
          </w:p>
        </w:tc>
        <w:tc>
          <w:tcPr>
            <w:tcW w:w="50" w:type="pct"/>
            <w:vAlign w:val="center"/>
            <w:hideMark/>
          </w:tcPr>
          <w:p w14:paraId="55EB80FE" w14:textId="77777777" w:rsidR="00000000" w:rsidRDefault="00195E73">
            <w:pPr>
              <w:rPr>
                <w:rFonts w:eastAsia="Times New Roman"/>
                <w:sz w:val="20"/>
                <w:szCs w:val="20"/>
              </w:rPr>
            </w:pPr>
          </w:p>
        </w:tc>
        <w:tc>
          <w:tcPr>
            <w:tcW w:w="632" w:type="pct"/>
            <w:vAlign w:val="center"/>
            <w:hideMark/>
          </w:tcPr>
          <w:p w14:paraId="46C0774D" w14:textId="77777777" w:rsidR="00000000" w:rsidRDefault="00195E73">
            <w:pPr>
              <w:rPr>
                <w:rFonts w:eastAsia="Times New Roman"/>
                <w:sz w:val="20"/>
                <w:szCs w:val="20"/>
              </w:rPr>
            </w:pPr>
          </w:p>
        </w:tc>
        <w:tc>
          <w:tcPr>
            <w:tcW w:w="50" w:type="pct"/>
            <w:vAlign w:val="center"/>
            <w:hideMark/>
          </w:tcPr>
          <w:p w14:paraId="60AD9572" w14:textId="77777777" w:rsidR="00000000" w:rsidRDefault="00195E73">
            <w:pPr>
              <w:rPr>
                <w:rFonts w:eastAsia="Times New Roman"/>
                <w:sz w:val="20"/>
                <w:szCs w:val="20"/>
              </w:rPr>
            </w:pPr>
          </w:p>
        </w:tc>
      </w:tr>
      <w:tr w:rsidR="00000000" w14:paraId="56BEB753" w14:textId="77777777">
        <w:trPr>
          <w:divId w:val="1937975224"/>
          <w:jc w:val="center"/>
        </w:trPr>
        <w:tc>
          <w:tcPr>
            <w:tcW w:w="0" w:type="auto"/>
            <w:gridSpan w:val="3"/>
            <w:tcMar>
              <w:top w:w="15" w:type="dxa"/>
              <w:left w:w="20" w:type="dxa"/>
              <w:bottom w:w="15" w:type="dxa"/>
              <w:right w:w="20" w:type="dxa"/>
            </w:tcMar>
            <w:vAlign w:val="bottom"/>
            <w:hideMark/>
          </w:tcPr>
          <w:p w14:paraId="213419DB"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66D0AC51"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6E6F7D62" w14:textId="77777777" w:rsidR="00000000" w:rsidRDefault="00195E73">
            <w:pPr>
              <w:jc w:val="center"/>
              <w:rPr>
                <w:rFonts w:eastAsia="Times New Roman"/>
              </w:rPr>
            </w:pPr>
          </w:p>
        </w:tc>
        <w:tc>
          <w:tcPr>
            <w:tcW w:w="0" w:type="auto"/>
            <w:gridSpan w:val="3"/>
            <w:vAlign w:val="center"/>
            <w:hideMark/>
          </w:tcPr>
          <w:p w14:paraId="462A1043" w14:textId="77777777" w:rsidR="00000000" w:rsidRDefault="00195E73">
            <w:pPr>
              <w:rPr>
                <w:rFonts w:eastAsia="Times New Roman"/>
                <w:sz w:val="20"/>
                <w:szCs w:val="20"/>
              </w:rPr>
            </w:pPr>
          </w:p>
        </w:tc>
      </w:tr>
      <w:tr w:rsidR="00000000" w14:paraId="35DA2520" w14:textId="77777777">
        <w:trPr>
          <w:divId w:val="1937975224"/>
          <w:jc w:val="center"/>
        </w:trPr>
        <w:tc>
          <w:tcPr>
            <w:tcW w:w="0" w:type="auto"/>
            <w:gridSpan w:val="3"/>
            <w:tcMar>
              <w:top w:w="15" w:type="dxa"/>
              <w:left w:w="20" w:type="dxa"/>
              <w:bottom w:w="15" w:type="dxa"/>
              <w:right w:w="20" w:type="dxa"/>
            </w:tcMar>
            <w:vAlign w:val="bottom"/>
            <w:hideMark/>
          </w:tcPr>
          <w:p w14:paraId="6D8BD4F3"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8755A67"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3919D917"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FAA1F9F"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2C8BEF8E" w14:textId="77777777" w:rsidR="00000000" w:rsidRDefault="00195E73">
            <w:pPr>
              <w:rPr>
                <w:rFonts w:eastAsia="Times New Roman"/>
                <w:sz w:val="20"/>
                <w:szCs w:val="20"/>
              </w:rPr>
            </w:pPr>
          </w:p>
        </w:tc>
        <w:tc>
          <w:tcPr>
            <w:tcW w:w="0" w:type="auto"/>
            <w:vAlign w:val="center"/>
            <w:hideMark/>
          </w:tcPr>
          <w:p w14:paraId="0F71D76E" w14:textId="77777777" w:rsidR="00000000" w:rsidRDefault="00195E73">
            <w:pPr>
              <w:rPr>
                <w:rFonts w:eastAsia="Times New Roman"/>
                <w:sz w:val="20"/>
                <w:szCs w:val="20"/>
              </w:rPr>
            </w:pPr>
          </w:p>
        </w:tc>
        <w:tc>
          <w:tcPr>
            <w:tcW w:w="0" w:type="auto"/>
            <w:vAlign w:val="center"/>
            <w:hideMark/>
          </w:tcPr>
          <w:p w14:paraId="1D625D52" w14:textId="77777777" w:rsidR="00000000" w:rsidRDefault="00195E73">
            <w:pPr>
              <w:rPr>
                <w:rFonts w:eastAsia="Times New Roman"/>
                <w:sz w:val="20"/>
                <w:szCs w:val="20"/>
              </w:rPr>
            </w:pPr>
          </w:p>
        </w:tc>
        <w:tc>
          <w:tcPr>
            <w:tcW w:w="0" w:type="auto"/>
            <w:vAlign w:val="center"/>
            <w:hideMark/>
          </w:tcPr>
          <w:p w14:paraId="61A2DBC4" w14:textId="77777777" w:rsidR="00000000" w:rsidRDefault="00195E73">
            <w:pPr>
              <w:rPr>
                <w:rFonts w:eastAsia="Times New Roman"/>
                <w:sz w:val="20"/>
                <w:szCs w:val="20"/>
              </w:rPr>
            </w:pPr>
          </w:p>
        </w:tc>
        <w:tc>
          <w:tcPr>
            <w:tcW w:w="0" w:type="auto"/>
            <w:vAlign w:val="center"/>
            <w:hideMark/>
          </w:tcPr>
          <w:p w14:paraId="3FD5EB42" w14:textId="77777777" w:rsidR="00000000" w:rsidRDefault="00195E73">
            <w:pPr>
              <w:rPr>
                <w:rFonts w:eastAsia="Times New Roman"/>
                <w:sz w:val="20"/>
                <w:szCs w:val="20"/>
              </w:rPr>
            </w:pPr>
          </w:p>
        </w:tc>
        <w:tc>
          <w:tcPr>
            <w:tcW w:w="0" w:type="auto"/>
            <w:vAlign w:val="center"/>
            <w:hideMark/>
          </w:tcPr>
          <w:p w14:paraId="0CAF22E3" w14:textId="77777777" w:rsidR="00000000" w:rsidRDefault="00195E73">
            <w:pPr>
              <w:rPr>
                <w:rFonts w:eastAsia="Times New Roman"/>
                <w:sz w:val="20"/>
                <w:szCs w:val="20"/>
              </w:rPr>
            </w:pPr>
          </w:p>
        </w:tc>
      </w:tr>
      <w:tr w:rsidR="00000000" w14:paraId="0FA7C053" w14:textId="77777777">
        <w:trPr>
          <w:divId w:val="1937975224"/>
          <w:jc w:val="center"/>
        </w:trPr>
        <w:tc>
          <w:tcPr>
            <w:tcW w:w="0" w:type="auto"/>
            <w:gridSpan w:val="3"/>
            <w:tcMar>
              <w:top w:w="15" w:type="dxa"/>
              <w:left w:w="20" w:type="dxa"/>
              <w:bottom w:w="15" w:type="dxa"/>
              <w:right w:w="20" w:type="dxa"/>
            </w:tcMar>
            <w:vAlign w:val="bottom"/>
            <w:hideMark/>
          </w:tcPr>
          <w:p w14:paraId="0CCEFB1E" w14:textId="77777777" w:rsidR="00000000" w:rsidRDefault="00195E73">
            <w:pPr>
              <w:jc w:val="center"/>
              <w:rPr>
                <w:rFonts w:eastAsia="Times New Roman"/>
              </w:rPr>
            </w:pPr>
          </w:p>
        </w:tc>
        <w:tc>
          <w:tcPr>
            <w:tcW w:w="0" w:type="auto"/>
            <w:gridSpan w:val="8"/>
            <w:tcBorders>
              <w:top w:val="single" w:sz="8" w:space="0" w:color="000000"/>
            </w:tcBorders>
            <w:tcMar>
              <w:top w:w="30" w:type="dxa"/>
              <w:left w:w="20" w:type="dxa"/>
              <w:bottom w:w="30" w:type="dxa"/>
              <w:right w:w="0" w:type="dxa"/>
            </w:tcMar>
            <w:vAlign w:val="bottom"/>
            <w:hideMark/>
          </w:tcPr>
          <w:p w14:paraId="7B84741A"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23671138"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440C49EA" w14:textId="77777777" w:rsidR="00000000" w:rsidRDefault="00195E73">
            <w:pPr>
              <w:jc w:val="right"/>
              <w:rPr>
                <w:rFonts w:eastAsia="Times New Roman"/>
              </w:rPr>
            </w:pPr>
          </w:p>
        </w:tc>
        <w:tc>
          <w:tcPr>
            <w:tcW w:w="0" w:type="auto"/>
            <w:gridSpan w:val="3"/>
            <w:vAlign w:val="center"/>
            <w:hideMark/>
          </w:tcPr>
          <w:p w14:paraId="267C752B" w14:textId="77777777" w:rsidR="00000000" w:rsidRDefault="00195E73">
            <w:pPr>
              <w:rPr>
                <w:rFonts w:eastAsia="Times New Roman"/>
                <w:sz w:val="20"/>
                <w:szCs w:val="20"/>
              </w:rPr>
            </w:pPr>
          </w:p>
        </w:tc>
      </w:tr>
      <w:tr w:rsidR="00000000" w14:paraId="423DD1BE" w14:textId="77777777">
        <w:trPr>
          <w:divId w:val="1937975224"/>
          <w:jc w:val="center"/>
        </w:trPr>
        <w:tc>
          <w:tcPr>
            <w:tcW w:w="0" w:type="auto"/>
            <w:gridSpan w:val="3"/>
            <w:shd w:val="clear" w:color="auto" w:fill="CCEEFF"/>
            <w:tcMar>
              <w:top w:w="30" w:type="dxa"/>
              <w:left w:w="20" w:type="dxa"/>
              <w:bottom w:w="30" w:type="dxa"/>
              <w:right w:w="20" w:type="dxa"/>
            </w:tcMar>
            <w:vAlign w:val="bottom"/>
            <w:hideMark/>
          </w:tcPr>
          <w:p w14:paraId="3189F17E" w14:textId="77777777" w:rsidR="00000000" w:rsidRDefault="00195E73">
            <w:pPr>
              <w:rPr>
                <w:rFonts w:eastAsia="Times New Roman"/>
              </w:rPr>
            </w:pPr>
            <w:r>
              <w:rPr>
                <w:rFonts w:eastAsia="Times New Roman"/>
                <w:color w:val="000000"/>
                <w:sz w:val="20"/>
                <w:szCs w:val="20"/>
              </w:rPr>
              <w:t>6.000% senior unsecured notes due 202</w:t>
            </w:r>
            <w:r>
              <w:rPr>
                <w:rFonts w:eastAsia="Times New Roman"/>
                <w:color w:val="000000"/>
                <w:sz w:val="20"/>
                <w:szCs w:val="20"/>
              </w:rPr>
              <w:t>0</w:t>
            </w:r>
          </w:p>
        </w:tc>
        <w:tc>
          <w:tcPr>
            <w:tcW w:w="0" w:type="auto"/>
            <w:shd w:val="clear" w:color="auto" w:fill="CCEEFF"/>
            <w:tcMar>
              <w:top w:w="30" w:type="dxa"/>
              <w:left w:w="20" w:type="dxa"/>
              <w:bottom w:w="30" w:type="dxa"/>
              <w:right w:w="15" w:type="dxa"/>
            </w:tcMar>
            <w:vAlign w:val="bottom"/>
            <w:hideMark/>
          </w:tcPr>
          <w:p w14:paraId="1402313D"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327A90F"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38D6B4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3588F6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78246BF"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BE0EF8C" w14:textId="77777777" w:rsidR="00000000" w:rsidRDefault="00195E73">
            <w:pPr>
              <w:jc w:val="right"/>
              <w:rPr>
                <w:rFonts w:eastAsia="Times New Roman"/>
              </w:rPr>
            </w:pPr>
            <w:r>
              <w:rPr>
                <w:rFonts w:eastAsia="Times New Roman"/>
                <w:color w:val="000000"/>
                <w:sz w:val="20"/>
                <w:szCs w:val="20"/>
              </w:rPr>
              <w:t>1,702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F527F6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AEDD547" w14:textId="77777777" w:rsidR="00000000" w:rsidRDefault="00195E73">
            <w:pPr>
              <w:rPr>
                <w:rFonts w:eastAsia="Times New Roman"/>
                <w:sz w:val="20"/>
                <w:szCs w:val="20"/>
              </w:rPr>
            </w:pPr>
          </w:p>
        </w:tc>
        <w:tc>
          <w:tcPr>
            <w:tcW w:w="0" w:type="auto"/>
            <w:vAlign w:val="center"/>
            <w:hideMark/>
          </w:tcPr>
          <w:p w14:paraId="011BD63F" w14:textId="77777777" w:rsidR="00000000" w:rsidRDefault="00195E73">
            <w:pPr>
              <w:rPr>
                <w:rFonts w:eastAsia="Times New Roman"/>
                <w:sz w:val="20"/>
                <w:szCs w:val="20"/>
              </w:rPr>
            </w:pPr>
          </w:p>
        </w:tc>
        <w:tc>
          <w:tcPr>
            <w:tcW w:w="0" w:type="auto"/>
            <w:vAlign w:val="center"/>
            <w:hideMark/>
          </w:tcPr>
          <w:p w14:paraId="23F6CD03" w14:textId="77777777" w:rsidR="00000000" w:rsidRDefault="00195E73">
            <w:pPr>
              <w:rPr>
                <w:rFonts w:eastAsia="Times New Roman"/>
                <w:sz w:val="20"/>
                <w:szCs w:val="20"/>
              </w:rPr>
            </w:pPr>
          </w:p>
        </w:tc>
        <w:tc>
          <w:tcPr>
            <w:tcW w:w="0" w:type="auto"/>
            <w:vAlign w:val="center"/>
            <w:hideMark/>
          </w:tcPr>
          <w:p w14:paraId="4E23A051" w14:textId="77777777" w:rsidR="00000000" w:rsidRDefault="00195E73">
            <w:pPr>
              <w:rPr>
                <w:rFonts w:eastAsia="Times New Roman"/>
                <w:sz w:val="20"/>
                <w:szCs w:val="20"/>
              </w:rPr>
            </w:pPr>
          </w:p>
        </w:tc>
        <w:tc>
          <w:tcPr>
            <w:tcW w:w="0" w:type="auto"/>
            <w:vAlign w:val="center"/>
            <w:hideMark/>
          </w:tcPr>
          <w:p w14:paraId="47CA198E" w14:textId="77777777" w:rsidR="00000000" w:rsidRDefault="00195E73">
            <w:pPr>
              <w:rPr>
                <w:rFonts w:eastAsia="Times New Roman"/>
                <w:sz w:val="20"/>
                <w:szCs w:val="20"/>
              </w:rPr>
            </w:pPr>
          </w:p>
        </w:tc>
        <w:tc>
          <w:tcPr>
            <w:tcW w:w="0" w:type="auto"/>
            <w:vAlign w:val="center"/>
            <w:hideMark/>
          </w:tcPr>
          <w:p w14:paraId="2F4341BE" w14:textId="77777777" w:rsidR="00000000" w:rsidRDefault="00195E73">
            <w:pPr>
              <w:rPr>
                <w:rFonts w:eastAsia="Times New Roman"/>
                <w:sz w:val="20"/>
                <w:szCs w:val="20"/>
              </w:rPr>
            </w:pPr>
          </w:p>
        </w:tc>
      </w:tr>
      <w:tr w:rsidR="00000000" w14:paraId="39F12D2A" w14:textId="77777777">
        <w:trPr>
          <w:divId w:val="1937975224"/>
          <w:jc w:val="center"/>
        </w:trPr>
        <w:tc>
          <w:tcPr>
            <w:tcW w:w="0" w:type="auto"/>
            <w:gridSpan w:val="3"/>
            <w:shd w:val="clear" w:color="auto" w:fill="FFFFFF"/>
            <w:tcMar>
              <w:top w:w="30" w:type="dxa"/>
              <w:left w:w="20" w:type="dxa"/>
              <w:bottom w:w="30" w:type="dxa"/>
              <w:right w:w="20" w:type="dxa"/>
            </w:tcMar>
            <w:vAlign w:val="bottom"/>
            <w:hideMark/>
          </w:tcPr>
          <w:p w14:paraId="58A436F2" w14:textId="77777777" w:rsidR="00000000" w:rsidRDefault="00195E73">
            <w:pPr>
              <w:rPr>
                <w:rFonts w:eastAsia="Times New Roman"/>
              </w:rPr>
            </w:pPr>
            <w:r>
              <w:rPr>
                <w:rFonts w:eastAsia="Times New Roman"/>
                <w:color w:val="000000"/>
                <w:sz w:val="20"/>
                <w:szCs w:val="20"/>
              </w:rPr>
              <w:t>5.875% senior unsecured notes due 202</w:t>
            </w:r>
            <w:r>
              <w:rPr>
                <w:rFonts w:eastAsia="Times New Roman"/>
                <w:color w:val="000000"/>
                <w:sz w:val="20"/>
                <w:szCs w:val="20"/>
              </w:rPr>
              <w:t>2</w:t>
            </w:r>
          </w:p>
        </w:tc>
        <w:tc>
          <w:tcPr>
            <w:tcW w:w="0" w:type="auto"/>
            <w:gridSpan w:val="2"/>
            <w:shd w:val="clear" w:color="auto" w:fill="FFFFFF"/>
            <w:tcMar>
              <w:top w:w="30" w:type="dxa"/>
              <w:left w:w="20" w:type="dxa"/>
              <w:bottom w:w="30" w:type="dxa"/>
              <w:right w:w="0" w:type="dxa"/>
            </w:tcMar>
            <w:vAlign w:val="bottom"/>
            <w:hideMark/>
          </w:tcPr>
          <w:p w14:paraId="2EDCC259" w14:textId="77777777" w:rsidR="00000000" w:rsidRDefault="00195E73">
            <w:pPr>
              <w:jc w:val="right"/>
              <w:rPr>
                <w:rFonts w:eastAsia="Times New Roman"/>
              </w:rPr>
            </w:pPr>
            <w:r>
              <w:rPr>
                <w:rFonts w:eastAsia="Times New Roman"/>
                <w:color w:val="000000"/>
                <w:sz w:val="20"/>
                <w:szCs w:val="20"/>
              </w:rPr>
              <w:t>1,345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618A16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9F4DAC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7A4037" w14:textId="77777777" w:rsidR="00000000" w:rsidRDefault="00195E73">
            <w:pPr>
              <w:jc w:val="right"/>
              <w:rPr>
                <w:rFonts w:eastAsia="Times New Roman"/>
              </w:rPr>
            </w:pPr>
            <w:r>
              <w:rPr>
                <w:rFonts w:eastAsia="Times New Roman"/>
                <w:color w:val="000000"/>
                <w:sz w:val="20"/>
                <w:szCs w:val="20"/>
              </w:rPr>
              <w:t>1,344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9FE46B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AEC8272" w14:textId="77777777" w:rsidR="00000000" w:rsidRDefault="00195E73">
            <w:pPr>
              <w:rPr>
                <w:rFonts w:eastAsia="Times New Roman"/>
                <w:sz w:val="20"/>
                <w:szCs w:val="20"/>
              </w:rPr>
            </w:pPr>
          </w:p>
        </w:tc>
        <w:tc>
          <w:tcPr>
            <w:tcW w:w="0" w:type="auto"/>
            <w:vAlign w:val="center"/>
            <w:hideMark/>
          </w:tcPr>
          <w:p w14:paraId="3E553BB0" w14:textId="77777777" w:rsidR="00000000" w:rsidRDefault="00195E73">
            <w:pPr>
              <w:rPr>
                <w:rFonts w:eastAsia="Times New Roman"/>
                <w:sz w:val="20"/>
                <w:szCs w:val="20"/>
              </w:rPr>
            </w:pPr>
          </w:p>
        </w:tc>
        <w:tc>
          <w:tcPr>
            <w:tcW w:w="0" w:type="auto"/>
            <w:vAlign w:val="center"/>
            <w:hideMark/>
          </w:tcPr>
          <w:p w14:paraId="66DF9478" w14:textId="77777777" w:rsidR="00000000" w:rsidRDefault="00195E73">
            <w:pPr>
              <w:rPr>
                <w:rFonts w:eastAsia="Times New Roman"/>
                <w:sz w:val="20"/>
                <w:szCs w:val="20"/>
              </w:rPr>
            </w:pPr>
          </w:p>
        </w:tc>
        <w:tc>
          <w:tcPr>
            <w:tcW w:w="0" w:type="auto"/>
            <w:vAlign w:val="center"/>
            <w:hideMark/>
          </w:tcPr>
          <w:p w14:paraId="2A4FAF04" w14:textId="77777777" w:rsidR="00000000" w:rsidRDefault="00195E73">
            <w:pPr>
              <w:rPr>
                <w:rFonts w:eastAsia="Times New Roman"/>
                <w:sz w:val="20"/>
                <w:szCs w:val="20"/>
              </w:rPr>
            </w:pPr>
          </w:p>
        </w:tc>
        <w:tc>
          <w:tcPr>
            <w:tcW w:w="0" w:type="auto"/>
            <w:vAlign w:val="center"/>
            <w:hideMark/>
          </w:tcPr>
          <w:p w14:paraId="4DF9E3C0" w14:textId="77777777" w:rsidR="00000000" w:rsidRDefault="00195E73">
            <w:pPr>
              <w:rPr>
                <w:rFonts w:eastAsia="Times New Roman"/>
                <w:sz w:val="20"/>
                <w:szCs w:val="20"/>
              </w:rPr>
            </w:pPr>
          </w:p>
        </w:tc>
        <w:tc>
          <w:tcPr>
            <w:tcW w:w="0" w:type="auto"/>
            <w:vAlign w:val="center"/>
            <w:hideMark/>
          </w:tcPr>
          <w:p w14:paraId="06A3188A" w14:textId="77777777" w:rsidR="00000000" w:rsidRDefault="00195E73">
            <w:pPr>
              <w:rPr>
                <w:rFonts w:eastAsia="Times New Roman"/>
                <w:sz w:val="20"/>
                <w:szCs w:val="20"/>
              </w:rPr>
            </w:pPr>
          </w:p>
        </w:tc>
      </w:tr>
      <w:tr w:rsidR="00000000" w14:paraId="29C22B5D" w14:textId="77777777">
        <w:trPr>
          <w:divId w:val="1937975224"/>
          <w:jc w:val="center"/>
        </w:trPr>
        <w:tc>
          <w:tcPr>
            <w:tcW w:w="0" w:type="auto"/>
            <w:gridSpan w:val="3"/>
            <w:shd w:val="clear" w:color="auto" w:fill="CCEEFF"/>
            <w:tcMar>
              <w:top w:w="30" w:type="dxa"/>
              <w:left w:w="20" w:type="dxa"/>
              <w:bottom w:w="30" w:type="dxa"/>
              <w:right w:w="20" w:type="dxa"/>
            </w:tcMar>
            <w:vAlign w:val="bottom"/>
            <w:hideMark/>
          </w:tcPr>
          <w:p w14:paraId="745E8596" w14:textId="77777777" w:rsidR="00000000" w:rsidRDefault="00195E73">
            <w:pPr>
              <w:rPr>
                <w:rFonts w:eastAsia="Times New Roman"/>
              </w:rPr>
            </w:pPr>
            <w:r>
              <w:rPr>
                <w:rFonts w:eastAsia="Times New Roman"/>
                <w:color w:val="000000"/>
                <w:sz w:val="20"/>
                <w:szCs w:val="20"/>
              </w:rPr>
              <w:t>6.250% senior unsecured notes due 202</w:t>
            </w:r>
            <w:r>
              <w:rPr>
                <w:rFonts w:eastAsia="Times New Roman"/>
                <w:color w:val="000000"/>
                <w:sz w:val="20"/>
                <w:szCs w:val="20"/>
              </w:rPr>
              <w:t>2</w:t>
            </w:r>
          </w:p>
        </w:tc>
        <w:tc>
          <w:tcPr>
            <w:tcW w:w="0" w:type="auto"/>
            <w:gridSpan w:val="2"/>
            <w:shd w:val="clear" w:color="auto" w:fill="CCEEFF"/>
            <w:tcMar>
              <w:top w:w="30" w:type="dxa"/>
              <w:left w:w="20" w:type="dxa"/>
              <w:bottom w:w="30" w:type="dxa"/>
              <w:right w:w="0" w:type="dxa"/>
            </w:tcMar>
            <w:vAlign w:val="bottom"/>
            <w:hideMark/>
          </w:tcPr>
          <w:p w14:paraId="6937C9D2" w14:textId="77777777" w:rsidR="00000000" w:rsidRDefault="00195E73">
            <w:pPr>
              <w:jc w:val="right"/>
              <w:rPr>
                <w:rFonts w:eastAsia="Times New Roman"/>
              </w:rPr>
            </w:pPr>
            <w:r>
              <w:rPr>
                <w:rFonts w:eastAsia="Times New Roman"/>
                <w:color w:val="000000"/>
                <w:sz w:val="20"/>
                <w:szCs w:val="20"/>
              </w:rPr>
              <w:t>1,211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C4660B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2F94E1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3644CA" w14:textId="77777777" w:rsidR="00000000" w:rsidRDefault="00195E73">
            <w:pPr>
              <w:jc w:val="right"/>
              <w:rPr>
                <w:rFonts w:eastAsia="Times New Roman"/>
              </w:rPr>
            </w:pPr>
            <w:r>
              <w:rPr>
                <w:rFonts w:eastAsia="Times New Roman"/>
                <w:color w:val="000000"/>
                <w:sz w:val="20"/>
                <w:szCs w:val="20"/>
              </w:rPr>
              <w:t>1,213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9F9D13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FDB66DE" w14:textId="77777777" w:rsidR="00000000" w:rsidRDefault="00195E73">
            <w:pPr>
              <w:rPr>
                <w:rFonts w:eastAsia="Times New Roman"/>
                <w:sz w:val="20"/>
                <w:szCs w:val="20"/>
              </w:rPr>
            </w:pPr>
          </w:p>
        </w:tc>
        <w:tc>
          <w:tcPr>
            <w:tcW w:w="0" w:type="auto"/>
            <w:vAlign w:val="center"/>
            <w:hideMark/>
          </w:tcPr>
          <w:p w14:paraId="7F064E94" w14:textId="77777777" w:rsidR="00000000" w:rsidRDefault="00195E73">
            <w:pPr>
              <w:rPr>
                <w:rFonts w:eastAsia="Times New Roman"/>
                <w:sz w:val="20"/>
                <w:szCs w:val="20"/>
              </w:rPr>
            </w:pPr>
          </w:p>
        </w:tc>
        <w:tc>
          <w:tcPr>
            <w:tcW w:w="0" w:type="auto"/>
            <w:vAlign w:val="center"/>
            <w:hideMark/>
          </w:tcPr>
          <w:p w14:paraId="30016E3D" w14:textId="77777777" w:rsidR="00000000" w:rsidRDefault="00195E73">
            <w:pPr>
              <w:rPr>
                <w:rFonts w:eastAsia="Times New Roman"/>
                <w:sz w:val="20"/>
                <w:szCs w:val="20"/>
              </w:rPr>
            </w:pPr>
          </w:p>
        </w:tc>
        <w:tc>
          <w:tcPr>
            <w:tcW w:w="0" w:type="auto"/>
            <w:vAlign w:val="center"/>
            <w:hideMark/>
          </w:tcPr>
          <w:p w14:paraId="41EEF858" w14:textId="77777777" w:rsidR="00000000" w:rsidRDefault="00195E73">
            <w:pPr>
              <w:rPr>
                <w:rFonts w:eastAsia="Times New Roman"/>
                <w:sz w:val="20"/>
                <w:szCs w:val="20"/>
              </w:rPr>
            </w:pPr>
          </w:p>
        </w:tc>
        <w:tc>
          <w:tcPr>
            <w:tcW w:w="0" w:type="auto"/>
            <w:vAlign w:val="center"/>
            <w:hideMark/>
          </w:tcPr>
          <w:p w14:paraId="07BA2E2D" w14:textId="77777777" w:rsidR="00000000" w:rsidRDefault="00195E73">
            <w:pPr>
              <w:rPr>
                <w:rFonts w:eastAsia="Times New Roman"/>
                <w:sz w:val="20"/>
                <w:szCs w:val="20"/>
              </w:rPr>
            </w:pPr>
          </w:p>
        </w:tc>
        <w:tc>
          <w:tcPr>
            <w:tcW w:w="0" w:type="auto"/>
            <w:vAlign w:val="center"/>
            <w:hideMark/>
          </w:tcPr>
          <w:p w14:paraId="0C8A1E89" w14:textId="77777777" w:rsidR="00000000" w:rsidRDefault="00195E73">
            <w:pPr>
              <w:rPr>
                <w:rFonts w:eastAsia="Times New Roman"/>
                <w:sz w:val="20"/>
                <w:szCs w:val="20"/>
              </w:rPr>
            </w:pPr>
          </w:p>
        </w:tc>
      </w:tr>
      <w:tr w:rsidR="00000000" w14:paraId="45722676" w14:textId="77777777">
        <w:trPr>
          <w:divId w:val="1937975224"/>
          <w:jc w:val="center"/>
        </w:trPr>
        <w:tc>
          <w:tcPr>
            <w:tcW w:w="0" w:type="auto"/>
            <w:gridSpan w:val="3"/>
            <w:shd w:val="clear" w:color="auto" w:fill="FFFFFF"/>
            <w:tcMar>
              <w:top w:w="30" w:type="dxa"/>
              <w:left w:w="20" w:type="dxa"/>
              <w:bottom w:w="30" w:type="dxa"/>
              <w:right w:w="20" w:type="dxa"/>
            </w:tcMar>
            <w:vAlign w:val="bottom"/>
            <w:hideMark/>
          </w:tcPr>
          <w:p w14:paraId="19064E1A" w14:textId="77777777" w:rsidR="00000000" w:rsidRDefault="00195E73">
            <w:pPr>
              <w:rPr>
                <w:rFonts w:eastAsia="Times New Roman"/>
              </w:rPr>
            </w:pPr>
            <w:r>
              <w:rPr>
                <w:rFonts w:eastAsia="Times New Roman"/>
                <w:color w:val="000000"/>
                <w:sz w:val="20"/>
                <w:szCs w:val="20"/>
              </w:rPr>
              <w:t>6.750% senior unsecured notes due 202</w:t>
            </w:r>
            <w:r>
              <w:rPr>
                <w:rFonts w:eastAsia="Times New Roman"/>
                <w:color w:val="000000"/>
                <w:sz w:val="20"/>
                <w:szCs w:val="20"/>
              </w:rPr>
              <w:t>4</w:t>
            </w:r>
          </w:p>
        </w:tc>
        <w:tc>
          <w:tcPr>
            <w:tcW w:w="0" w:type="auto"/>
            <w:gridSpan w:val="2"/>
            <w:shd w:val="clear" w:color="auto" w:fill="FFFFFF"/>
            <w:tcMar>
              <w:top w:w="30" w:type="dxa"/>
              <w:left w:w="20" w:type="dxa"/>
              <w:bottom w:w="30" w:type="dxa"/>
              <w:right w:w="0" w:type="dxa"/>
            </w:tcMar>
            <w:vAlign w:val="bottom"/>
            <w:hideMark/>
          </w:tcPr>
          <w:p w14:paraId="21EF0195" w14:textId="77777777" w:rsidR="00000000" w:rsidRDefault="00195E73">
            <w:pPr>
              <w:jc w:val="right"/>
              <w:rPr>
                <w:rFonts w:eastAsia="Times New Roman"/>
              </w:rPr>
            </w:pPr>
            <w:r>
              <w:rPr>
                <w:rFonts w:eastAsia="Times New Roman"/>
                <w:color w:val="000000"/>
                <w:sz w:val="20"/>
                <w:szCs w:val="20"/>
              </w:rPr>
              <w:t>498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91C653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635EF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3E48B2" w14:textId="77777777" w:rsidR="00000000" w:rsidRDefault="00195E73">
            <w:pPr>
              <w:jc w:val="right"/>
              <w:rPr>
                <w:rFonts w:eastAsia="Times New Roman"/>
              </w:rPr>
            </w:pPr>
            <w:r>
              <w:rPr>
                <w:rFonts w:eastAsia="Times New Roman"/>
                <w:color w:val="000000"/>
                <w:sz w:val="20"/>
                <w:szCs w:val="20"/>
              </w:rPr>
              <w:t>498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C77CC4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AE394A7" w14:textId="77777777" w:rsidR="00000000" w:rsidRDefault="00195E73">
            <w:pPr>
              <w:rPr>
                <w:rFonts w:eastAsia="Times New Roman"/>
                <w:sz w:val="20"/>
                <w:szCs w:val="20"/>
              </w:rPr>
            </w:pPr>
          </w:p>
        </w:tc>
        <w:tc>
          <w:tcPr>
            <w:tcW w:w="0" w:type="auto"/>
            <w:vAlign w:val="center"/>
            <w:hideMark/>
          </w:tcPr>
          <w:p w14:paraId="07CACFF8" w14:textId="77777777" w:rsidR="00000000" w:rsidRDefault="00195E73">
            <w:pPr>
              <w:rPr>
                <w:rFonts w:eastAsia="Times New Roman"/>
                <w:sz w:val="20"/>
                <w:szCs w:val="20"/>
              </w:rPr>
            </w:pPr>
          </w:p>
        </w:tc>
        <w:tc>
          <w:tcPr>
            <w:tcW w:w="0" w:type="auto"/>
            <w:vAlign w:val="center"/>
            <w:hideMark/>
          </w:tcPr>
          <w:p w14:paraId="0A9915F8" w14:textId="77777777" w:rsidR="00000000" w:rsidRDefault="00195E73">
            <w:pPr>
              <w:rPr>
                <w:rFonts w:eastAsia="Times New Roman"/>
                <w:sz w:val="20"/>
                <w:szCs w:val="20"/>
              </w:rPr>
            </w:pPr>
          </w:p>
        </w:tc>
        <w:tc>
          <w:tcPr>
            <w:tcW w:w="0" w:type="auto"/>
            <w:vAlign w:val="center"/>
            <w:hideMark/>
          </w:tcPr>
          <w:p w14:paraId="2DEC7967" w14:textId="77777777" w:rsidR="00000000" w:rsidRDefault="00195E73">
            <w:pPr>
              <w:rPr>
                <w:rFonts w:eastAsia="Times New Roman"/>
                <w:sz w:val="20"/>
                <w:szCs w:val="20"/>
              </w:rPr>
            </w:pPr>
          </w:p>
        </w:tc>
        <w:tc>
          <w:tcPr>
            <w:tcW w:w="0" w:type="auto"/>
            <w:vAlign w:val="center"/>
            <w:hideMark/>
          </w:tcPr>
          <w:p w14:paraId="63FA21A2" w14:textId="77777777" w:rsidR="00000000" w:rsidRDefault="00195E73">
            <w:pPr>
              <w:rPr>
                <w:rFonts w:eastAsia="Times New Roman"/>
                <w:sz w:val="20"/>
                <w:szCs w:val="20"/>
              </w:rPr>
            </w:pPr>
          </w:p>
        </w:tc>
        <w:tc>
          <w:tcPr>
            <w:tcW w:w="0" w:type="auto"/>
            <w:vAlign w:val="center"/>
            <w:hideMark/>
          </w:tcPr>
          <w:p w14:paraId="0DE92D0E" w14:textId="77777777" w:rsidR="00000000" w:rsidRDefault="00195E73">
            <w:pPr>
              <w:rPr>
                <w:rFonts w:eastAsia="Times New Roman"/>
                <w:sz w:val="20"/>
                <w:szCs w:val="20"/>
              </w:rPr>
            </w:pPr>
          </w:p>
        </w:tc>
      </w:tr>
      <w:tr w:rsidR="00000000" w14:paraId="16BB1DB8" w14:textId="77777777">
        <w:trPr>
          <w:divId w:val="1937975224"/>
          <w:jc w:val="center"/>
        </w:trPr>
        <w:tc>
          <w:tcPr>
            <w:tcW w:w="0" w:type="auto"/>
            <w:gridSpan w:val="3"/>
            <w:shd w:val="clear" w:color="auto" w:fill="CCEEFF"/>
            <w:tcMar>
              <w:top w:w="30" w:type="dxa"/>
              <w:left w:w="20" w:type="dxa"/>
              <w:bottom w:w="30" w:type="dxa"/>
              <w:right w:w="20" w:type="dxa"/>
            </w:tcMar>
            <w:vAlign w:val="bottom"/>
            <w:hideMark/>
          </w:tcPr>
          <w:p w14:paraId="473A556F" w14:textId="77777777" w:rsidR="00000000" w:rsidRDefault="00195E73">
            <w:pPr>
              <w:rPr>
                <w:rFonts w:eastAsia="Times New Roman"/>
              </w:rPr>
            </w:pPr>
            <w:r>
              <w:rPr>
                <w:rFonts w:eastAsia="Times New Roman"/>
                <w:color w:val="000000"/>
                <w:sz w:val="20"/>
                <w:szCs w:val="20"/>
              </w:rPr>
              <w:t>4.750% senior unsecured notes due 202</w:t>
            </w:r>
            <w:r>
              <w:rPr>
                <w:rFonts w:eastAsia="Times New Roman"/>
                <w:color w:val="000000"/>
                <w:sz w:val="20"/>
                <w:szCs w:val="20"/>
              </w:rPr>
              <w:t>4</w:t>
            </w:r>
          </w:p>
        </w:tc>
        <w:tc>
          <w:tcPr>
            <w:tcW w:w="0" w:type="auto"/>
            <w:gridSpan w:val="2"/>
            <w:shd w:val="clear" w:color="auto" w:fill="CCEEFF"/>
            <w:tcMar>
              <w:top w:w="30" w:type="dxa"/>
              <w:left w:w="20" w:type="dxa"/>
              <w:bottom w:w="30" w:type="dxa"/>
              <w:right w:w="0" w:type="dxa"/>
            </w:tcMar>
            <w:vAlign w:val="bottom"/>
            <w:hideMark/>
          </w:tcPr>
          <w:p w14:paraId="23EC51A0" w14:textId="77777777" w:rsidR="00000000" w:rsidRDefault="00195E73">
            <w:pPr>
              <w:jc w:val="right"/>
              <w:rPr>
                <w:rFonts w:eastAsia="Times New Roman"/>
              </w:rPr>
            </w:pPr>
            <w:r>
              <w:rPr>
                <w:rFonts w:eastAsia="Times New Roman"/>
                <w:color w:val="000000"/>
                <w:sz w:val="20"/>
                <w:szCs w:val="20"/>
              </w:rPr>
              <w:t>498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C0439D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92C01B1"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499E31"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B46B52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2A0CD5F" w14:textId="77777777" w:rsidR="00000000" w:rsidRDefault="00195E73">
            <w:pPr>
              <w:rPr>
                <w:rFonts w:eastAsia="Times New Roman"/>
                <w:sz w:val="20"/>
                <w:szCs w:val="20"/>
              </w:rPr>
            </w:pPr>
          </w:p>
        </w:tc>
        <w:tc>
          <w:tcPr>
            <w:tcW w:w="0" w:type="auto"/>
            <w:vAlign w:val="center"/>
            <w:hideMark/>
          </w:tcPr>
          <w:p w14:paraId="0DF3896F" w14:textId="77777777" w:rsidR="00000000" w:rsidRDefault="00195E73">
            <w:pPr>
              <w:rPr>
                <w:rFonts w:eastAsia="Times New Roman"/>
                <w:sz w:val="20"/>
                <w:szCs w:val="20"/>
              </w:rPr>
            </w:pPr>
          </w:p>
        </w:tc>
        <w:tc>
          <w:tcPr>
            <w:tcW w:w="0" w:type="auto"/>
            <w:vAlign w:val="center"/>
            <w:hideMark/>
          </w:tcPr>
          <w:p w14:paraId="52EC2B95" w14:textId="77777777" w:rsidR="00000000" w:rsidRDefault="00195E73">
            <w:pPr>
              <w:rPr>
                <w:rFonts w:eastAsia="Times New Roman"/>
                <w:sz w:val="20"/>
                <w:szCs w:val="20"/>
              </w:rPr>
            </w:pPr>
          </w:p>
        </w:tc>
        <w:tc>
          <w:tcPr>
            <w:tcW w:w="0" w:type="auto"/>
            <w:vAlign w:val="center"/>
            <w:hideMark/>
          </w:tcPr>
          <w:p w14:paraId="4950DF2D" w14:textId="77777777" w:rsidR="00000000" w:rsidRDefault="00195E73">
            <w:pPr>
              <w:rPr>
                <w:rFonts w:eastAsia="Times New Roman"/>
                <w:sz w:val="20"/>
                <w:szCs w:val="20"/>
              </w:rPr>
            </w:pPr>
          </w:p>
        </w:tc>
        <w:tc>
          <w:tcPr>
            <w:tcW w:w="0" w:type="auto"/>
            <w:vAlign w:val="center"/>
            <w:hideMark/>
          </w:tcPr>
          <w:p w14:paraId="3E8E9857" w14:textId="77777777" w:rsidR="00000000" w:rsidRDefault="00195E73">
            <w:pPr>
              <w:rPr>
                <w:rFonts w:eastAsia="Times New Roman"/>
                <w:sz w:val="20"/>
                <w:szCs w:val="20"/>
              </w:rPr>
            </w:pPr>
          </w:p>
        </w:tc>
        <w:tc>
          <w:tcPr>
            <w:tcW w:w="0" w:type="auto"/>
            <w:vAlign w:val="center"/>
            <w:hideMark/>
          </w:tcPr>
          <w:p w14:paraId="7F771705" w14:textId="77777777" w:rsidR="00000000" w:rsidRDefault="00195E73">
            <w:pPr>
              <w:rPr>
                <w:rFonts w:eastAsia="Times New Roman"/>
                <w:sz w:val="20"/>
                <w:szCs w:val="20"/>
              </w:rPr>
            </w:pPr>
          </w:p>
        </w:tc>
      </w:tr>
      <w:tr w:rsidR="00000000" w14:paraId="04E1B203" w14:textId="77777777">
        <w:trPr>
          <w:divId w:val="1937975224"/>
          <w:jc w:val="center"/>
        </w:trPr>
        <w:tc>
          <w:tcPr>
            <w:tcW w:w="0" w:type="auto"/>
            <w:gridSpan w:val="3"/>
            <w:shd w:val="clear" w:color="auto" w:fill="FFFFFF"/>
            <w:tcMar>
              <w:top w:w="30" w:type="dxa"/>
              <w:left w:w="20" w:type="dxa"/>
              <w:bottom w:w="30" w:type="dxa"/>
              <w:right w:w="20" w:type="dxa"/>
            </w:tcMar>
            <w:vAlign w:val="bottom"/>
            <w:hideMark/>
          </w:tcPr>
          <w:p w14:paraId="236FDBE9" w14:textId="77777777" w:rsidR="00000000" w:rsidRDefault="00195E73">
            <w:pPr>
              <w:rPr>
                <w:rFonts w:eastAsia="Times New Roman"/>
              </w:rPr>
            </w:pPr>
            <w:r>
              <w:rPr>
                <w:rFonts w:eastAsia="Times New Roman"/>
                <w:color w:val="000000"/>
                <w:sz w:val="20"/>
                <w:szCs w:val="20"/>
              </w:rPr>
              <w:t>6.375% senior unsecured notes due 202</w:t>
            </w:r>
            <w:r>
              <w:rPr>
                <w:rFonts w:eastAsia="Times New Roman"/>
                <w:color w:val="000000"/>
                <w:sz w:val="20"/>
                <w:szCs w:val="20"/>
              </w:rPr>
              <w:t>5</w:t>
            </w:r>
          </w:p>
        </w:tc>
        <w:tc>
          <w:tcPr>
            <w:tcW w:w="0" w:type="auto"/>
            <w:gridSpan w:val="2"/>
            <w:shd w:val="clear" w:color="auto" w:fill="FFFFFF"/>
            <w:tcMar>
              <w:top w:w="30" w:type="dxa"/>
              <w:left w:w="20" w:type="dxa"/>
              <w:bottom w:w="30" w:type="dxa"/>
              <w:right w:w="0" w:type="dxa"/>
            </w:tcMar>
            <w:vAlign w:val="bottom"/>
            <w:hideMark/>
          </w:tcPr>
          <w:p w14:paraId="155438BD" w14:textId="77777777" w:rsidR="00000000" w:rsidRDefault="00195E73">
            <w:pPr>
              <w:jc w:val="right"/>
              <w:rPr>
                <w:rFonts w:eastAsia="Times New Roman"/>
              </w:rPr>
            </w:pPr>
            <w:r>
              <w:rPr>
                <w:rFonts w:eastAsia="Times New Roman"/>
                <w:color w:val="000000"/>
                <w:sz w:val="20"/>
                <w:szCs w:val="20"/>
              </w:rPr>
              <w:t>748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B115BE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3FEFA4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D3E4A3" w14:textId="77777777" w:rsidR="00000000" w:rsidRDefault="00195E73">
            <w:pPr>
              <w:jc w:val="right"/>
              <w:rPr>
                <w:rFonts w:eastAsia="Times New Roman"/>
              </w:rPr>
            </w:pPr>
            <w:r>
              <w:rPr>
                <w:rFonts w:eastAsia="Times New Roman"/>
                <w:color w:val="000000"/>
                <w:sz w:val="20"/>
                <w:szCs w:val="20"/>
              </w:rPr>
              <w:t>748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6F7043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D690134" w14:textId="77777777" w:rsidR="00000000" w:rsidRDefault="00195E73">
            <w:pPr>
              <w:rPr>
                <w:rFonts w:eastAsia="Times New Roman"/>
                <w:sz w:val="20"/>
                <w:szCs w:val="20"/>
              </w:rPr>
            </w:pPr>
          </w:p>
        </w:tc>
        <w:tc>
          <w:tcPr>
            <w:tcW w:w="0" w:type="auto"/>
            <w:vAlign w:val="center"/>
            <w:hideMark/>
          </w:tcPr>
          <w:p w14:paraId="505FF837" w14:textId="77777777" w:rsidR="00000000" w:rsidRDefault="00195E73">
            <w:pPr>
              <w:rPr>
                <w:rFonts w:eastAsia="Times New Roman"/>
                <w:sz w:val="20"/>
                <w:szCs w:val="20"/>
              </w:rPr>
            </w:pPr>
          </w:p>
        </w:tc>
        <w:tc>
          <w:tcPr>
            <w:tcW w:w="0" w:type="auto"/>
            <w:vAlign w:val="center"/>
            <w:hideMark/>
          </w:tcPr>
          <w:p w14:paraId="0CC22509" w14:textId="77777777" w:rsidR="00000000" w:rsidRDefault="00195E73">
            <w:pPr>
              <w:rPr>
                <w:rFonts w:eastAsia="Times New Roman"/>
                <w:sz w:val="20"/>
                <w:szCs w:val="20"/>
              </w:rPr>
            </w:pPr>
          </w:p>
        </w:tc>
        <w:tc>
          <w:tcPr>
            <w:tcW w:w="0" w:type="auto"/>
            <w:vAlign w:val="center"/>
            <w:hideMark/>
          </w:tcPr>
          <w:p w14:paraId="0F136F96" w14:textId="77777777" w:rsidR="00000000" w:rsidRDefault="00195E73">
            <w:pPr>
              <w:rPr>
                <w:rFonts w:eastAsia="Times New Roman"/>
                <w:sz w:val="20"/>
                <w:szCs w:val="20"/>
              </w:rPr>
            </w:pPr>
          </w:p>
        </w:tc>
        <w:tc>
          <w:tcPr>
            <w:tcW w:w="0" w:type="auto"/>
            <w:vAlign w:val="center"/>
            <w:hideMark/>
          </w:tcPr>
          <w:p w14:paraId="77AC9280" w14:textId="77777777" w:rsidR="00000000" w:rsidRDefault="00195E73">
            <w:pPr>
              <w:rPr>
                <w:rFonts w:eastAsia="Times New Roman"/>
                <w:sz w:val="20"/>
                <w:szCs w:val="20"/>
              </w:rPr>
            </w:pPr>
          </w:p>
        </w:tc>
        <w:tc>
          <w:tcPr>
            <w:tcW w:w="0" w:type="auto"/>
            <w:vAlign w:val="center"/>
            <w:hideMark/>
          </w:tcPr>
          <w:p w14:paraId="327D1D81" w14:textId="77777777" w:rsidR="00000000" w:rsidRDefault="00195E73">
            <w:pPr>
              <w:rPr>
                <w:rFonts w:eastAsia="Times New Roman"/>
                <w:sz w:val="20"/>
                <w:szCs w:val="20"/>
              </w:rPr>
            </w:pPr>
          </w:p>
        </w:tc>
      </w:tr>
      <w:tr w:rsidR="00000000" w14:paraId="592C26D0" w14:textId="77777777">
        <w:trPr>
          <w:divId w:val="1937975224"/>
          <w:jc w:val="center"/>
        </w:trPr>
        <w:tc>
          <w:tcPr>
            <w:tcW w:w="0" w:type="auto"/>
            <w:gridSpan w:val="3"/>
            <w:shd w:val="clear" w:color="auto" w:fill="CCEEFF"/>
            <w:tcMar>
              <w:top w:w="30" w:type="dxa"/>
              <w:left w:w="20" w:type="dxa"/>
              <w:bottom w:w="30" w:type="dxa"/>
              <w:right w:w="20" w:type="dxa"/>
            </w:tcMar>
            <w:vAlign w:val="bottom"/>
            <w:hideMark/>
          </w:tcPr>
          <w:p w14:paraId="6176CFE4" w14:textId="77777777" w:rsidR="00000000" w:rsidRDefault="00195E73">
            <w:pPr>
              <w:rPr>
                <w:rFonts w:eastAsia="Times New Roman"/>
              </w:rPr>
            </w:pPr>
            <w:r>
              <w:rPr>
                <w:rFonts w:eastAsia="Times New Roman"/>
                <w:color w:val="000000"/>
                <w:sz w:val="20"/>
                <w:szCs w:val="20"/>
              </w:rPr>
              <w:t>6.250% senior unsecured notes due 202</w:t>
            </w:r>
            <w:r>
              <w:rPr>
                <w:rFonts w:eastAsia="Times New Roman"/>
                <w:color w:val="000000"/>
                <w:sz w:val="20"/>
                <w:szCs w:val="20"/>
              </w:rPr>
              <w:t>6</w:t>
            </w:r>
          </w:p>
        </w:tc>
        <w:tc>
          <w:tcPr>
            <w:tcW w:w="0" w:type="auto"/>
            <w:gridSpan w:val="2"/>
            <w:shd w:val="clear" w:color="auto" w:fill="CCEEFF"/>
            <w:tcMar>
              <w:top w:w="30" w:type="dxa"/>
              <w:left w:w="20" w:type="dxa"/>
              <w:bottom w:w="30" w:type="dxa"/>
              <w:right w:w="0" w:type="dxa"/>
            </w:tcMar>
            <w:vAlign w:val="bottom"/>
            <w:hideMark/>
          </w:tcPr>
          <w:p w14:paraId="26123D83" w14:textId="77777777" w:rsidR="00000000" w:rsidRDefault="00195E73">
            <w:pPr>
              <w:jc w:val="right"/>
              <w:rPr>
                <w:rFonts w:eastAsia="Times New Roman"/>
              </w:rPr>
            </w:pPr>
            <w:r>
              <w:rPr>
                <w:rFonts w:eastAsia="Times New Roman"/>
                <w:color w:val="000000"/>
                <w:sz w:val="20"/>
                <w:szCs w:val="20"/>
              </w:rPr>
              <w:t>1,250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4CEA2B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44C49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3759C2"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17B2D1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D7D7504" w14:textId="77777777" w:rsidR="00000000" w:rsidRDefault="00195E73">
            <w:pPr>
              <w:rPr>
                <w:rFonts w:eastAsia="Times New Roman"/>
                <w:sz w:val="20"/>
                <w:szCs w:val="20"/>
              </w:rPr>
            </w:pPr>
          </w:p>
        </w:tc>
        <w:tc>
          <w:tcPr>
            <w:tcW w:w="0" w:type="auto"/>
            <w:vAlign w:val="center"/>
            <w:hideMark/>
          </w:tcPr>
          <w:p w14:paraId="60FEF3FE" w14:textId="77777777" w:rsidR="00000000" w:rsidRDefault="00195E73">
            <w:pPr>
              <w:rPr>
                <w:rFonts w:eastAsia="Times New Roman"/>
                <w:sz w:val="20"/>
                <w:szCs w:val="20"/>
              </w:rPr>
            </w:pPr>
          </w:p>
        </w:tc>
        <w:tc>
          <w:tcPr>
            <w:tcW w:w="0" w:type="auto"/>
            <w:vAlign w:val="center"/>
            <w:hideMark/>
          </w:tcPr>
          <w:p w14:paraId="2FE33370" w14:textId="77777777" w:rsidR="00000000" w:rsidRDefault="00195E73">
            <w:pPr>
              <w:rPr>
                <w:rFonts w:eastAsia="Times New Roman"/>
                <w:sz w:val="20"/>
                <w:szCs w:val="20"/>
              </w:rPr>
            </w:pPr>
          </w:p>
        </w:tc>
        <w:tc>
          <w:tcPr>
            <w:tcW w:w="0" w:type="auto"/>
            <w:vAlign w:val="center"/>
            <w:hideMark/>
          </w:tcPr>
          <w:p w14:paraId="3A391333" w14:textId="77777777" w:rsidR="00000000" w:rsidRDefault="00195E73">
            <w:pPr>
              <w:rPr>
                <w:rFonts w:eastAsia="Times New Roman"/>
                <w:sz w:val="20"/>
                <w:szCs w:val="20"/>
              </w:rPr>
            </w:pPr>
          </w:p>
        </w:tc>
        <w:tc>
          <w:tcPr>
            <w:tcW w:w="0" w:type="auto"/>
            <w:vAlign w:val="center"/>
            <w:hideMark/>
          </w:tcPr>
          <w:p w14:paraId="3AA25841" w14:textId="77777777" w:rsidR="00000000" w:rsidRDefault="00195E73">
            <w:pPr>
              <w:rPr>
                <w:rFonts w:eastAsia="Times New Roman"/>
                <w:sz w:val="20"/>
                <w:szCs w:val="20"/>
              </w:rPr>
            </w:pPr>
          </w:p>
        </w:tc>
        <w:tc>
          <w:tcPr>
            <w:tcW w:w="0" w:type="auto"/>
            <w:vAlign w:val="center"/>
            <w:hideMark/>
          </w:tcPr>
          <w:p w14:paraId="01208F75" w14:textId="77777777" w:rsidR="00000000" w:rsidRDefault="00195E73">
            <w:pPr>
              <w:rPr>
                <w:rFonts w:eastAsia="Times New Roman"/>
                <w:sz w:val="20"/>
                <w:szCs w:val="20"/>
              </w:rPr>
            </w:pPr>
          </w:p>
        </w:tc>
      </w:tr>
      <w:tr w:rsidR="00000000" w14:paraId="2BB33792" w14:textId="77777777">
        <w:trPr>
          <w:divId w:val="1937975224"/>
          <w:jc w:val="center"/>
        </w:trPr>
        <w:tc>
          <w:tcPr>
            <w:tcW w:w="0" w:type="auto"/>
            <w:gridSpan w:val="3"/>
            <w:shd w:val="clear" w:color="auto" w:fill="FFFFFF"/>
            <w:tcMar>
              <w:top w:w="30" w:type="dxa"/>
              <w:left w:w="20" w:type="dxa"/>
              <w:bottom w:w="30" w:type="dxa"/>
              <w:right w:w="20" w:type="dxa"/>
            </w:tcMar>
            <w:vAlign w:val="bottom"/>
            <w:hideMark/>
          </w:tcPr>
          <w:p w14:paraId="0DD9D2F5" w14:textId="77777777" w:rsidR="00000000" w:rsidRDefault="00195E73">
            <w:pPr>
              <w:rPr>
                <w:rFonts w:eastAsia="Times New Roman"/>
              </w:rPr>
            </w:pPr>
            <w:r>
              <w:rPr>
                <w:rFonts w:eastAsia="Times New Roman"/>
                <w:color w:val="000000"/>
                <w:sz w:val="20"/>
                <w:szCs w:val="20"/>
              </w:rPr>
              <w:t>5.250% senior unsecured notes due 202</w:t>
            </w:r>
            <w:r>
              <w:rPr>
                <w:rFonts w:eastAsia="Times New Roman"/>
                <w:color w:val="000000"/>
                <w:sz w:val="20"/>
                <w:szCs w:val="20"/>
              </w:rPr>
              <w:t>7</w:t>
            </w:r>
          </w:p>
        </w:tc>
        <w:tc>
          <w:tcPr>
            <w:tcW w:w="0" w:type="auto"/>
            <w:gridSpan w:val="2"/>
            <w:shd w:val="clear" w:color="auto" w:fill="FFFFFF"/>
            <w:tcMar>
              <w:top w:w="30" w:type="dxa"/>
              <w:left w:w="20" w:type="dxa"/>
              <w:bottom w:w="30" w:type="dxa"/>
              <w:right w:w="0" w:type="dxa"/>
            </w:tcMar>
            <w:vAlign w:val="bottom"/>
            <w:hideMark/>
          </w:tcPr>
          <w:p w14:paraId="787EB454" w14:textId="77777777" w:rsidR="00000000" w:rsidRDefault="00195E73">
            <w:pPr>
              <w:jc w:val="right"/>
              <w:rPr>
                <w:rFonts w:eastAsia="Times New Roman"/>
              </w:rPr>
            </w:pPr>
            <w:r>
              <w:rPr>
                <w:rFonts w:eastAsia="Times New Roman"/>
                <w:color w:val="000000"/>
                <w:sz w:val="20"/>
                <w:szCs w:val="20"/>
              </w:rPr>
              <w:t>747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FD8E49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EC73CA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6F3999"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201756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D00D910" w14:textId="77777777" w:rsidR="00000000" w:rsidRDefault="00195E73">
            <w:pPr>
              <w:rPr>
                <w:rFonts w:eastAsia="Times New Roman"/>
                <w:sz w:val="20"/>
                <w:szCs w:val="20"/>
              </w:rPr>
            </w:pPr>
          </w:p>
        </w:tc>
        <w:tc>
          <w:tcPr>
            <w:tcW w:w="0" w:type="auto"/>
            <w:vAlign w:val="center"/>
            <w:hideMark/>
          </w:tcPr>
          <w:p w14:paraId="349417F3" w14:textId="77777777" w:rsidR="00000000" w:rsidRDefault="00195E73">
            <w:pPr>
              <w:rPr>
                <w:rFonts w:eastAsia="Times New Roman"/>
                <w:sz w:val="20"/>
                <w:szCs w:val="20"/>
              </w:rPr>
            </w:pPr>
          </w:p>
        </w:tc>
        <w:tc>
          <w:tcPr>
            <w:tcW w:w="0" w:type="auto"/>
            <w:vAlign w:val="center"/>
            <w:hideMark/>
          </w:tcPr>
          <w:p w14:paraId="306796A7" w14:textId="77777777" w:rsidR="00000000" w:rsidRDefault="00195E73">
            <w:pPr>
              <w:rPr>
                <w:rFonts w:eastAsia="Times New Roman"/>
                <w:sz w:val="20"/>
                <w:szCs w:val="20"/>
              </w:rPr>
            </w:pPr>
          </w:p>
        </w:tc>
        <w:tc>
          <w:tcPr>
            <w:tcW w:w="0" w:type="auto"/>
            <w:vAlign w:val="center"/>
            <w:hideMark/>
          </w:tcPr>
          <w:p w14:paraId="110B4230" w14:textId="77777777" w:rsidR="00000000" w:rsidRDefault="00195E73">
            <w:pPr>
              <w:rPr>
                <w:rFonts w:eastAsia="Times New Roman"/>
                <w:sz w:val="20"/>
                <w:szCs w:val="20"/>
              </w:rPr>
            </w:pPr>
          </w:p>
        </w:tc>
        <w:tc>
          <w:tcPr>
            <w:tcW w:w="0" w:type="auto"/>
            <w:vAlign w:val="center"/>
            <w:hideMark/>
          </w:tcPr>
          <w:p w14:paraId="77F6E3C8" w14:textId="77777777" w:rsidR="00000000" w:rsidRDefault="00195E73">
            <w:pPr>
              <w:rPr>
                <w:rFonts w:eastAsia="Times New Roman"/>
                <w:sz w:val="20"/>
                <w:szCs w:val="20"/>
              </w:rPr>
            </w:pPr>
          </w:p>
        </w:tc>
        <w:tc>
          <w:tcPr>
            <w:tcW w:w="0" w:type="auto"/>
            <w:vAlign w:val="center"/>
            <w:hideMark/>
          </w:tcPr>
          <w:p w14:paraId="558D6046" w14:textId="77777777" w:rsidR="00000000" w:rsidRDefault="00195E73">
            <w:pPr>
              <w:rPr>
                <w:rFonts w:eastAsia="Times New Roman"/>
                <w:sz w:val="20"/>
                <w:szCs w:val="20"/>
              </w:rPr>
            </w:pPr>
          </w:p>
        </w:tc>
      </w:tr>
      <w:tr w:rsidR="00000000" w14:paraId="1A361935" w14:textId="77777777">
        <w:trPr>
          <w:divId w:val="1937975224"/>
          <w:jc w:val="center"/>
        </w:trPr>
        <w:tc>
          <w:tcPr>
            <w:tcW w:w="0" w:type="auto"/>
            <w:gridSpan w:val="3"/>
            <w:shd w:val="clear" w:color="auto" w:fill="CCEEFF"/>
            <w:tcMar>
              <w:top w:w="30" w:type="dxa"/>
              <w:left w:w="20" w:type="dxa"/>
              <w:bottom w:w="30" w:type="dxa"/>
              <w:right w:w="20" w:type="dxa"/>
            </w:tcMar>
            <w:vAlign w:val="bottom"/>
            <w:hideMark/>
          </w:tcPr>
          <w:p w14:paraId="1567A339" w14:textId="77777777" w:rsidR="00000000" w:rsidRDefault="00195E73">
            <w:pPr>
              <w:rPr>
                <w:rFonts w:eastAsia="Times New Roman"/>
              </w:rPr>
            </w:pPr>
            <w:r>
              <w:rPr>
                <w:rFonts w:eastAsia="Times New Roman"/>
                <w:color w:val="000000"/>
                <w:sz w:val="20"/>
                <w:szCs w:val="20"/>
              </w:rPr>
              <w:t>Total deb</w:t>
            </w:r>
            <w:r>
              <w:rPr>
                <w:rFonts w:eastAsia="Times New Roman"/>
                <w:color w:val="000000"/>
                <w:sz w:val="20"/>
                <w:szCs w:val="20"/>
              </w:rPr>
              <w:t>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3ED8A9D"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AEB78C3" w14:textId="77777777" w:rsidR="00000000" w:rsidRDefault="00195E73">
            <w:pPr>
              <w:jc w:val="right"/>
              <w:rPr>
                <w:rFonts w:eastAsia="Times New Roman"/>
              </w:rPr>
            </w:pPr>
            <w:r>
              <w:rPr>
                <w:rFonts w:eastAsia="Times New Roman"/>
                <w:color w:val="000000"/>
                <w:sz w:val="20"/>
                <w:szCs w:val="20"/>
              </w:rPr>
              <w:t>6,297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6848E8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5BD783"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C677E9A"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970B4C3" w14:textId="77777777" w:rsidR="00000000" w:rsidRDefault="00195E73">
            <w:pPr>
              <w:jc w:val="right"/>
              <w:rPr>
                <w:rFonts w:eastAsia="Times New Roman"/>
              </w:rPr>
            </w:pPr>
            <w:r>
              <w:rPr>
                <w:rFonts w:eastAsia="Times New Roman"/>
                <w:color w:val="000000"/>
                <w:sz w:val="20"/>
                <w:szCs w:val="20"/>
              </w:rPr>
              <w:t>5,505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3D3560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D977B45" w14:textId="77777777" w:rsidR="00000000" w:rsidRDefault="00195E73">
            <w:pPr>
              <w:rPr>
                <w:rFonts w:eastAsia="Times New Roman"/>
                <w:sz w:val="20"/>
                <w:szCs w:val="20"/>
              </w:rPr>
            </w:pPr>
          </w:p>
        </w:tc>
        <w:tc>
          <w:tcPr>
            <w:tcW w:w="0" w:type="auto"/>
            <w:vAlign w:val="center"/>
            <w:hideMark/>
          </w:tcPr>
          <w:p w14:paraId="2760D92A" w14:textId="77777777" w:rsidR="00000000" w:rsidRDefault="00195E73">
            <w:pPr>
              <w:rPr>
                <w:rFonts w:eastAsia="Times New Roman"/>
                <w:sz w:val="20"/>
                <w:szCs w:val="20"/>
              </w:rPr>
            </w:pPr>
          </w:p>
        </w:tc>
        <w:tc>
          <w:tcPr>
            <w:tcW w:w="0" w:type="auto"/>
            <w:vAlign w:val="center"/>
            <w:hideMark/>
          </w:tcPr>
          <w:p w14:paraId="4977E498" w14:textId="77777777" w:rsidR="00000000" w:rsidRDefault="00195E73">
            <w:pPr>
              <w:rPr>
                <w:rFonts w:eastAsia="Times New Roman"/>
                <w:sz w:val="20"/>
                <w:szCs w:val="20"/>
              </w:rPr>
            </w:pPr>
          </w:p>
        </w:tc>
        <w:tc>
          <w:tcPr>
            <w:tcW w:w="0" w:type="auto"/>
            <w:vAlign w:val="center"/>
            <w:hideMark/>
          </w:tcPr>
          <w:p w14:paraId="178967E0" w14:textId="77777777" w:rsidR="00000000" w:rsidRDefault="00195E73">
            <w:pPr>
              <w:rPr>
                <w:rFonts w:eastAsia="Times New Roman"/>
                <w:sz w:val="20"/>
                <w:szCs w:val="20"/>
              </w:rPr>
            </w:pPr>
          </w:p>
        </w:tc>
        <w:tc>
          <w:tcPr>
            <w:tcW w:w="0" w:type="auto"/>
            <w:vAlign w:val="center"/>
            <w:hideMark/>
          </w:tcPr>
          <w:p w14:paraId="0D62A8E3" w14:textId="77777777" w:rsidR="00000000" w:rsidRDefault="00195E73">
            <w:pPr>
              <w:rPr>
                <w:rFonts w:eastAsia="Times New Roman"/>
                <w:sz w:val="20"/>
                <w:szCs w:val="20"/>
              </w:rPr>
            </w:pPr>
          </w:p>
        </w:tc>
        <w:tc>
          <w:tcPr>
            <w:tcW w:w="0" w:type="auto"/>
            <w:vAlign w:val="center"/>
            <w:hideMark/>
          </w:tcPr>
          <w:p w14:paraId="1CF5BBE6" w14:textId="77777777" w:rsidR="00000000" w:rsidRDefault="00195E73">
            <w:pPr>
              <w:rPr>
                <w:rFonts w:eastAsia="Times New Roman"/>
                <w:sz w:val="20"/>
                <w:szCs w:val="20"/>
              </w:rPr>
            </w:pPr>
          </w:p>
        </w:tc>
      </w:tr>
    </w:tbl>
    <w:p w14:paraId="2871D801" w14:textId="77777777" w:rsidR="00000000" w:rsidRDefault="00195E73">
      <w:pPr>
        <w:divId w:val="1449280625"/>
        <w:rPr>
          <w:rFonts w:eastAsia="Times New Roman"/>
        </w:rPr>
      </w:pPr>
      <w:r>
        <w:rPr>
          <w:rFonts w:eastAsia="Times New Roman"/>
          <w:b/>
          <w:bCs/>
          <w:color w:val="000000"/>
          <w:sz w:val="20"/>
          <w:szCs w:val="20"/>
        </w:rPr>
        <w:t>3. Commitments and Contingencies</w:t>
      </w:r>
      <w:r>
        <w:rPr>
          <w:rFonts w:eastAsia="Times New Roman"/>
          <w:b/>
          <w:bCs/>
          <w:color w:val="000000"/>
          <w:sz w:val="20"/>
          <w:szCs w:val="20"/>
        </w:rPr>
        <w:t>.</w:t>
      </w:r>
    </w:p>
    <w:p w14:paraId="3278585C" w14:textId="77777777" w:rsidR="00000000" w:rsidRDefault="00195E73">
      <w:pPr>
        <w:ind w:firstLine="405"/>
        <w:divId w:val="873226919"/>
        <w:rPr>
          <w:rFonts w:eastAsia="Times New Roman"/>
        </w:rPr>
      </w:pPr>
      <w:r>
        <w:rPr>
          <w:rFonts w:eastAsia="Times New Roman"/>
          <w:color w:val="000000"/>
          <w:sz w:val="20"/>
          <w:szCs w:val="20"/>
        </w:rPr>
        <w:t>See Note 18, “</w:t>
      </w:r>
      <w:r>
        <w:rPr>
          <w:rFonts w:eastAsia="Times New Roman"/>
          <w:color w:val="000000"/>
          <w:sz w:val="20"/>
          <w:szCs w:val="20"/>
        </w:rPr>
        <w:t>Commitments and Contingencies,” to the consolidated financial statements</w:t>
      </w:r>
      <w:r>
        <w:rPr>
          <w:rFonts w:eastAsia="Times New Roman"/>
          <w:color w:val="000000"/>
          <w:sz w:val="20"/>
          <w:szCs w:val="20"/>
        </w:rPr>
        <w:t>.</w:t>
      </w:r>
    </w:p>
    <w:p w14:paraId="4DE28B87" w14:textId="77777777" w:rsidR="00000000" w:rsidRDefault="00195E73">
      <w:pPr>
        <w:divId w:val="1020592890"/>
        <w:rPr>
          <w:rFonts w:eastAsia="Times New Roman"/>
        </w:rPr>
      </w:pPr>
    </w:p>
    <w:p w14:paraId="070F862D" w14:textId="77777777" w:rsidR="00000000" w:rsidRDefault="00195E73">
      <w:pPr>
        <w:jc w:val="center"/>
        <w:divId w:val="1285770218"/>
        <w:rPr>
          <w:rFonts w:eastAsia="Times New Roman"/>
        </w:rPr>
      </w:pPr>
      <w:r>
        <w:rPr>
          <w:rFonts w:eastAsia="Times New Roman"/>
          <w:color w:val="000000"/>
          <w:sz w:val="20"/>
          <w:szCs w:val="20"/>
        </w:rPr>
        <w:t>13</w:t>
      </w:r>
      <w:r>
        <w:rPr>
          <w:rFonts w:eastAsia="Times New Roman"/>
          <w:color w:val="000000"/>
          <w:sz w:val="20"/>
          <w:szCs w:val="20"/>
        </w:rPr>
        <w:t>6</w:t>
      </w:r>
    </w:p>
    <w:p w14:paraId="799B0E70" w14:textId="77777777" w:rsidR="00000000" w:rsidRDefault="00195E73">
      <w:pPr>
        <w:rPr>
          <w:rFonts w:eastAsia="Times New Roman"/>
        </w:rPr>
      </w:pPr>
      <w:r>
        <w:rPr>
          <w:rFonts w:eastAsia="Times New Roman"/>
        </w:rPr>
        <w:pict w14:anchorId="2916DA0F">
          <v:rect id="_x0000_i1162" style="width:0;height:1.5pt" o:hralign="center" o:hrstd="t" o:hr="t" fillcolor="#a0a0a0" stroked="f"/>
        </w:pict>
      </w:r>
    </w:p>
    <w:p w14:paraId="4C85D154" w14:textId="77777777" w:rsidR="00000000" w:rsidRDefault="00195E73">
      <w:pPr>
        <w:divId w:val="1684670216"/>
        <w:rPr>
          <w:rFonts w:eastAsia="Times New Roman"/>
        </w:rPr>
      </w:pPr>
    </w:p>
    <w:p w14:paraId="44BC5A0F" w14:textId="77777777" w:rsidR="00000000" w:rsidRDefault="00195E73">
      <w:pPr>
        <w:jc w:val="center"/>
        <w:divId w:val="1386954671"/>
        <w:rPr>
          <w:rFonts w:eastAsia="Times New Roman"/>
        </w:rPr>
      </w:pPr>
      <w:r>
        <w:rPr>
          <w:rFonts w:eastAsia="Times New Roman"/>
          <w:b/>
          <w:bCs/>
          <w:color w:val="000000"/>
          <w:sz w:val="20"/>
          <w:szCs w:val="20"/>
        </w:rPr>
        <w:t xml:space="preserve">SCHEDULE </w:t>
      </w:r>
      <w:r>
        <w:rPr>
          <w:rFonts w:eastAsia="Times New Roman"/>
          <w:b/>
          <w:bCs/>
          <w:color w:val="000000"/>
          <w:sz w:val="20"/>
          <w:szCs w:val="20"/>
        </w:rPr>
        <w:t>I</w:t>
      </w:r>
    </w:p>
    <w:p w14:paraId="08D7C36D" w14:textId="77777777" w:rsidR="00000000" w:rsidRDefault="00195E73">
      <w:pPr>
        <w:jc w:val="center"/>
        <w:rPr>
          <w:rFonts w:eastAsia="Times New Roman"/>
        </w:rPr>
      </w:pPr>
    </w:p>
    <w:p w14:paraId="5870D522" w14:textId="77777777" w:rsidR="00000000" w:rsidRDefault="00195E73">
      <w:pPr>
        <w:jc w:val="center"/>
        <w:rPr>
          <w:rFonts w:eastAsia="Times New Roman"/>
        </w:rPr>
      </w:pPr>
      <w:r>
        <w:rPr>
          <w:rFonts w:eastAsia="Times New Roman"/>
          <w:b/>
          <w:bCs/>
          <w:color w:val="000000"/>
          <w:sz w:val="20"/>
          <w:szCs w:val="20"/>
        </w:rPr>
        <w:t>ICAHN ENTERPRISES HOLDINGS L.P</w:t>
      </w:r>
      <w:r>
        <w:rPr>
          <w:rFonts w:eastAsia="Times New Roman"/>
          <w:b/>
          <w:bCs/>
          <w:color w:val="000000"/>
          <w:sz w:val="20"/>
          <w:szCs w:val="20"/>
        </w:rPr>
        <w:t>.</w:t>
      </w:r>
    </w:p>
    <w:p w14:paraId="7BAD5D74" w14:textId="77777777" w:rsidR="00000000" w:rsidRDefault="00195E73">
      <w:pPr>
        <w:jc w:val="center"/>
        <w:rPr>
          <w:rFonts w:eastAsia="Times New Roman"/>
        </w:rPr>
      </w:pPr>
      <w:r>
        <w:rPr>
          <w:rFonts w:eastAsia="Times New Roman"/>
          <w:b/>
          <w:bCs/>
          <w:color w:val="000000"/>
          <w:sz w:val="20"/>
          <w:szCs w:val="20"/>
        </w:rPr>
        <w:t>(Parent Company</w:t>
      </w:r>
      <w:r>
        <w:rPr>
          <w:rFonts w:eastAsia="Times New Roman"/>
          <w:b/>
          <w:bCs/>
          <w:color w:val="000000"/>
          <w:sz w:val="20"/>
          <w:szCs w:val="20"/>
        </w:rPr>
        <w:t>)</w:t>
      </w:r>
    </w:p>
    <w:p w14:paraId="44E71EC1" w14:textId="77777777" w:rsidR="00000000" w:rsidRDefault="00195E73">
      <w:pPr>
        <w:jc w:val="center"/>
        <w:divId w:val="760293004"/>
        <w:rPr>
          <w:rFonts w:eastAsia="Times New Roman"/>
        </w:rPr>
      </w:pPr>
      <w:r>
        <w:rPr>
          <w:rFonts w:eastAsia="Times New Roman"/>
          <w:b/>
          <w:bCs/>
          <w:color w:val="000000"/>
          <w:sz w:val="20"/>
          <w:szCs w:val="20"/>
        </w:rPr>
        <w:t>CONDENSED BALANCE SHEET</w:t>
      </w:r>
      <w:r>
        <w:rPr>
          <w:rFonts w:eastAsia="Times New Roman"/>
          <w:b/>
          <w:bCs/>
          <w:color w:val="000000"/>
          <w:sz w:val="20"/>
          <w:szCs w:val="20"/>
        </w:rPr>
        <w:t>S</w:t>
      </w:r>
    </w:p>
    <w:p w14:paraId="7193B671" w14:textId="77777777" w:rsidR="00000000" w:rsidRDefault="00195E73">
      <w:pPr>
        <w:divId w:val="132960130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5666"/>
        <w:gridCol w:w="52"/>
        <w:gridCol w:w="135"/>
        <w:gridCol w:w="897"/>
        <w:gridCol w:w="85"/>
        <w:gridCol w:w="36"/>
        <w:gridCol w:w="36"/>
        <w:gridCol w:w="36"/>
        <w:gridCol w:w="135"/>
        <w:gridCol w:w="875"/>
        <w:gridCol w:w="85"/>
        <w:gridCol w:w="36"/>
        <w:gridCol w:w="36"/>
        <w:gridCol w:w="36"/>
        <w:gridCol w:w="36"/>
        <w:gridCol w:w="36"/>
        <w:gridCol w:w="36"/>
      </w:tblGrid>
      <w:tr w:rsidR="00000000" w14:paraId="66995547" w14:textId="77777777">
        <w:trPr>
          <w:gridAfter w:val="6"/>
          <w:divId w:val="106967936"/>
          <w:jc w:val="center"/>
        </w:trPr>
        <w:tc>
          <w:tcPr>
            <w:tcW w:w="50" w:type="pct"/>
            <w:vAlign w:val="center"/>
            <w:hideMark/>
          </w:tcPr>
          <w:p w14:paraId="4ACAEF35" w14:textId="77777777" w:rsidR="00000000" w:rsidRDefault="00195E73">
            <w:pPr>
              <w:rPr>
                <w:rFonts w:eastAsia="Times New Roman"/>
              </w:rPr>
            </w:pPr>
          </w:p>
        </w:tc>
        <w:tc>
          <w:tcPr>
            <w:tcW w:w="3518" w:type="pct"/>
            <w:vAlign w:val="center"/>
            <w:hideMark/>
          </w:tcPr>
          <w:p w14:paraId="66479C4B" w14:textId="77777777" w:rsidR="00000000" w:rsidRDefault="00195E73">
            <w:pPr>
              <w:rPr>
                <w:rFonts w:eastAsia="Times New Roman"/>
                <w:sz w:val="20"/>
                <w:szCs w:val="20"/>
              </w:rPr>
            </w:pPr>
          </w:p>
        </w:tc>
        <w:tc>
          <w:tcPr>
            <w:tcW w:w="50" w:type="pct"/>
            <w:vAlign w:val="center"/>
            <w:hideMark/>
          </w:tcPr>
          <w:p w14:paraId="6443D37E" w14:textId="77777777" w:rsidR="00000000" w:rsidRDefault="00195E73">
            <w:pPr>
              <w:rPr>
                <w:rFonts w:eastAsia="Times New Roman"/>
                <w:sz w:val="20"/>
                <w:szCs w:val="20"/>
              </w:rPr>
            </w:pPr>
          </w:p>
        </w:tc>
        <w:tc>
          <w:tcPr>
            <w:tcW w:w="50" w:type="pct"/>
            <w:vAlign w:val="center"/>
            <w:hideMark/>
          </w:tcPr>
          <w:p w14:paraId="19157858" w14:textId="77777777" w:rsidR="00000000" w:rsidRDefault="00195E73">
            <w:pPr>
              <w:rPr>
                <w:rFonts w:eastAsia="Times New Roman"/>
                <w:sz w:val="20"/>
                <w:szCs w:val="20"/>
              </w:rPr>
            </w:pPr>
          </w:p>
        </w:tc>
        <w:tc>
          <w:tcPr>
            <w:tcW w:w="572" w:type="pct"/>
            <w:vAlign w:val="center"/>
            <w:hideMark/>
          </w:tcPr>
          <w:p w14:paraId="67B68D33" w14:textId="77777777" w:rsidR="00000000" w:rsidRDefault="00195E73">
            <w:pPr>
              <w:rPr>
                <w:rFonts w:eastAsia="Times New Roman"/>
                <w:sz w:val="20"/>
                <w:szCs w:val="20"/>
              </w:rPr>
            </w:pPr>
          </w:p>
        </w:tc>
        <w:tc>
          <w:tcPr>
            <w:tcW w:w="50" w:type="pct"/>
            <w:vAlign w:val="center"/>
            <w:hideMark/>
          </w:tcPr>
          <w:p w14:paraId="6153D76F" w14:textId="77777777" w:rsidR="00000000" w:rsidRDefault="00195E73">
            <w:pPr>
              <w:rPr>
                <w:rFonts w:eastAsia="Times New Roman"/>
                <w:sz w:val="20"/>
                <w:szCs w:val="20"/>
              </w:rPr>
            </w:pPr>
          </w:p>
        </w:tc>
        <w:tc>
          <w:tcPr>
            <w:tcW w:w="5" w:type="pct"/>
            <w:vAlign w:val="center"/>
            <w:hideMark/>
          </w:tcPr>
          <w:p w14:paraId="687CAB77" w14:textId="77777777" w:rsidR="00000000" w:rsidRDefault="00195E73">
            <w:pPr>
              <w:rPr>
                <w:rFonts w:eastAsia="Times New Roman"/>
                <w:sz w:val="20"/>
                <w:szCs w:val="20"/>
              </w:rPr>
            </w:pPr>
          </w:p>
        </w:tc>
        <w:tc>
          <w:tcPr>
            <w:tcW w:w="26" w:type="pct"/>
            <w:vAlign w:val="center"/>
            <w:hideMark/>
          </w:tcPr>
          <w:p w14:paraId="11CAF4E3" w14:textId="77777777" w:rsidR="00000000" w:rsidRDefault="00195E73">
            <w:pPr>
              <w:rPr>
                <w:rFonts w:eastAsia="Times New Roman"/>
                <w:sz w:val="20"/>
                <w:szCs w:val="20"/>
              </w:rPr>
            </w:pPr>
          </w:p>
        </w:tc>
        <w:tc>
          <w:tcPr>
            <w:tcW w:w="5" w:type="pct"/>
            <w:vAlign w:val="center"/>
            <w:hideMark/>
          </w:tcPr>
          <w:p w14:paraId="32215739" w14:textId="77777777" w:rsidR="00000000" w:rsidRDefault="00195E73">
            <w:pPr>
              <w:rPr>
                <w:rFonts w:eastAsia="Times New Roman"/>
                <w:sz w:val="20"/>
                <w:szCs w:val="20"/>
              </w:rPr>
            </w:pPr>
          </w:p>
        </w:tc>
        <w:tc>
          <w:tcPr>
            <w:tcW w:w="50" w:type="pct"/>
            <w:vAlign w:val="center"/>
            <w:hideMark/>
          </w:tcPr>
          <w:p w14:paraId="441BE65F" w14:textId="77777777" w:rsidR="00000000" w:rsidRDefault="00195E73">
            <w:pPr>
              <w:rPr>
                <w:rFonts w:eastAsia="Times New Roman"/>
                <w:sz w:val="20"/>
                <w:szCs w:val="20"/>
              </w:rPr>
            </w:pPr>
          </w:p>
        </w:tc>
        <w:tc>
          <w:tcPr>
            <w:tcW w:w="572" w:type="pct"/>
            <w:vAlign w:val="center"/>
            <w:hideMark/>
          </w:tcPr>
          <w:p w14:paraId="7D619AFB" w14:textId="77777777" w:rsidR="00000000" w:rsidRDefault="00195E73">
            <w:pPr>
              <w:rPr>
                <w:rFonts w:eastAsia="Times New Roman"/>
                <w:sz w:val="20"/>
                <w:szCs w:val="20"/>
              </w:rPr>
            </w:pPr>
          </w:p>
        </w:tc>
        <w:tc>
          <w:tcPr>
            <w:tcW w:w="50" w:type="pct"/>
            <w:vAlign w:val="center"/>
            <w:hideMark/>
          </w:tcPr>
          <w:p w14:paraId="24839289" w14:textId="77777777" w:rsidR="00000000" w:rsidRDefault="00195E73">
            <w:pPr>
              <w:rPr>
                <w:rFonts w:eastAsia="Times New Roman"/>
                <w:sz w:val="20"/>
                <w:szCs w:val="20"/>
              </w:rPr>
            </w:pPr>
          </w:p>
        </w:tc>
      </w:tr>
      <w:tr w:rsidR="00000000" w14:paraId="7D69424E" w14:textId="77777777">
        <w:trPr>
          <w:divId w:val="106967936"/>
          <w:jc w:val="center"/>
        </w:trPr>
        <w:tc>
          <w:tcPr>
            <w:tcW w:w="0" w:type="auto"/>
            <w:gridSpan w:val="3"/>
            <w:tcMar>
              <w:top w:w="15" w:type="dxa"/>
              <w:left w:w="20" w:type="dxa"/>
              <w:bottom w:w="15" w:type="dxa"/>
              <w:right w:w="20" w:type="dxa"/>
            </w:tcMar>
            <w:vAlign w:val="bottom"/>
            <w:hideMark/>
          </w:tcPr>
          <w:p w14:paraId="236977E3"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2028F2F1"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5DFCD939" w14:textId="77777777" w:rsidR="00000000" w:rsidRDefault="00195E73">
            <w:pPr>
              <w:jc w:val="center"/>
              <w:rPr>
                <w:rFonts w:eastAsia="Times New Roman"/>
              </w:rPr>
            </w:pPr>
          </w:p>
        </w:tc>
        <w:tc>
          <w:tcPr>
            <w:tcW w:w="0" w:type="auto"/>
            <w:gridSpan w:val="3"/>
            <w:vAlign w:val="center"/>
            <w:hideMark/>
          </w:tcPr>
          <w:p w14:paraId="48263919" w14:textId="77777777" w:rsidR="00000000" w:rsidRDefault="00195E73">
            <w:pPr>
              <w:rPr>
                <w:rFonts w:eastAsia="Times New Roman"/>
                <w:sz w:val="20"/>
                <w:szCs w:val="20"/>
              </w:rPr>
            </w:pPr>
          </w:p>
        </w:tc>
      </w:tr>
      <w:tr w:rsidR="00000000" w14:paraId="7B69AAC1" w14:textId="77777777">
        <w:trPr>
          <w:divId w:val="106967936"/>
          <w:jc w:val="center"/>
        </w:trPr>
        <w:tc>
          <w:tcPr>
            <w:tcW w:w="0" w:type="auto"/>
            <w:gridSpan w:val="3"/>
            <w:tcMar>
              <w:top w:w="15" w:type="dxa"/>
              <w:left w:w="20" w:type="dxa"/>
              <w:bottom w:w="15" w:type="dxa"/>
              <w:right w:w="20" w:type="dxa"/>
            </w:tcMar>
            <w:vAlign w:val="bottom"/>
            <w:hideMark/>
          </w:tcPr>
          <w:p w14:paraId="4A219C74"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67BDA32"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586E71A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00AE411"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5CDC3631" w14:textId="77777777" w:rsidR="00000000" w:rsidRDefault="00195E73">
            <w:pPr>
              <w:rPr>
                <w:rFonts w:eastAsia="Times New Roman"/>
                <w:sz w:val="20"/>
                <w:szCs w:val="20"/>
              </w:rPr>
            </w:pPr>
          </w:p>
        </w:tc>
        <w:tc>
          <w:tcPr>
            <w:tcW w:w="0" w:type="auto"/>
            <w:vAlign w:val="center"/>
            <w:hideMark/>
          </w:tcPr>
          <w:p w14:paraId="0717E3B9" w14:textId="77777777" w:rsidR="00000000" w:rsidRDefault="00195E73">
            <w:pPr>
              <w:rPr>
                <w:rFonts w:eastAsia="Times New Roman"/>
                <w:sz w:val="20"/>
                <w:szCs w:val="20"/>
              </w:rPr>
            </w:pPr>
          </w:p>
        </w:tc>
        <w:tc>
          <w:tcPr>
            <w:tcW w:w="0" w:type="auto"/>
            <w:vAlign w:val="center"/>
            <w:hideMark/>
          </w:tcPr>
          <w:p w14:paraId="3A87F597" w14:textId="77777777" w:rsidR="00000000" w:rsidRDefault="00195E73">
            <w:pPr>
              <w:rPr>
                <w:rFonts w:eastAsia="Times New Roman"/>
                <w:sz w:val="20"/>
                <w:szCs w:val="20"/>
              </w:rPr>
            </w:pPr>
          </w:p>
        </w:tc>
        <w:tc>
          <w:tcPr>
            <w:tcW w:w="0" w:type="auto"/>
            <w:vAlign w:val="center"/>
            <w:hideMark/>
          </w:tcPr>
          <w:p w14:paraId="0CE58357" w14:textId="77777777" w:rsidR="00000000" w:rsidRDefault="00195E73">
            <w:pPr>
              <w:rPr>
                <w:rFonts w:eastAsia="Times New Roman"/>
                <w:sz w:val="20"/>
                <w:szCs w:val="20"/>
              </w:rPr>
            </w:pPr>
          </w:p>
        </w:tc>
        <w:tc>
          <w:tcPr>
            <w:tcW w:w="0" w:type="auto"/>
            <w:vAlign w:val="center"/>
            <w:hideMark/>
          </w:tcPr>
          <w:p w14:paraId="5BEC6025" w14:textId="77777777" w:rsidR="00000000" w:rsidRDefault="00195E73">
            <w:pPr>
              <w:rPr>
                <w:rFonts w:eastAsia="Times New Roman"/>
                <w:sz w:val="20"/>
                <w:szCs w:val="20"/>
              </w:rPr>
            </w:pPr>
          </w:p>
        </w:tc>
        <w:tc>
          <w:tcPr>
            <w:tcW w:w="0" w:type="auto"/>
            <w:vAlign w:val="center"/>
            <w:hideMark/>
          </w:tcPr>
          <w:p w14:paraId="1631467B" w14:textId="77777777" w:rsidR="00000000" w:rsidRDefault="00195E73">
            <w:pPr>
              <w:rPr>
                <w:rFonts w:eastAsia="Times New Roman"/>
                <w:sz w:val="20"/>
                <w:szCs w:val="20"/>
              </w:rPr>
            </w:pPr>
          </w:p>
        </w:tc>
      </w:tr>
      <w:tr w:rsidR="00000000" w14:paraId="71ED9EF3" w14:textId="77777777">
        <w:trPr>
          <w:divId w:val="106967936"/>
          <w:jc w:val="center"/>
        </w:trPr>
        <w:tc>
          <w:tcPr>
            <w:tcW w:w="0" w:type="auto"/>
            <w:gridSpan w:val="3"/>
            <w:tcMar>
              <w:top w:w="15" w:type="dxa"/>
              <w:left w:w="20" w:type="dxa"/>
              <w:bottom w:w="15" w:type="dxa"/>
              <w:right w:w="20" w:type="dxa"/>
            </w:tcMar>
            <w:vAlign w:val="bottom"/>
            <w:hideMark/>
          </w:tcPr>
          <w:p w14:paraId="1FC8B8A8" w14:textId="77777777" w:rsidR="00000000" w:rsidRDefault="00195E73">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260D953"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087E2C42" w14:textId="77777777" w:rsidR="00000000" w:rsidRDefault="00195E73">
            <w:pPr>
              <w:jc w:val="center"/>
              <w:rPr>
                <w:rFonts w:eastAsia="Times New Roman"/>
              </w:rPr>
            </w:pPr>
          </w:p>
        </w:tc>
        <w:tc>
          <w:tcPr>
            <w:tcW w:w="0" w:type="auto"/>
            <w:gridSpan w:val="3"/>
            <w:vAlign w:val="center"/>
            <w:hideMark/>
          </w:tcPr>
          <w:p w14:paraId="6B74910D" w14:textId="77777777" w:rsidR="00000000" w:rsidRDefault="00195E73">
            <w:pPr>
              <w:rPr>
                <w:rFonts w:eastAsia="Times New Roman"/>
                <w:sz w:val="20"/>
                <w:szCs w:val="20"/>
              </w:rPr>
            </w:pPr>
          </w:p>
        </w:tc>
      </w:tr>
      <w:tr w:rsidR="00000000" w14:paraId="1B7ED4F8" w14:textId="77777777">
        <w:trPr>
          <w:divId w:val="106967936"/>
          <w:jc w:val="center"/>
        </w:trPr>
        <w:tc>
          <w:tcPr>
            <w:tcW w:w="0" w:type="auto"/>
            <w:gridSpan w:val="3"/>
            <w:tcMar>
              <w:top w:w="30" w:type="dxa"/>
              <w:left w:w="20" w:type="dxa"/>
              <w:bottom w:w="30" w:type="dxa"/>
              <w:right w:w="20" w:type="dxa"/>
            </w:tcMar>
            <w:vAlign w:val="bottom"/>
            <w:hideMark/>
          </w:tcPr>
          <w:p w14:paraId="43F7BA9A" w14:textId="77777777" w:rsidR="00000000" w:rsidRDefault="00195E73">
            <w:pPr>
              <w:jc w:val="cente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14:paraId="11BE7632" w14:textId="77777777" w:rsidR="00000000" w:rsidRDefault="00195E73">
            <w:pPr>
              <w:jc w:val="center"/>
              <w:rPr>
                <w:rFonts w:eastAsia="Times New Roman"/>
              </w:rPr>
            </w:pPr>
          </w:p>
        </w:tc>
        <w:tc>
          <w:tcPr>
            <w:tcW w:w="0" w:type="auto"/>
            <w:gridSpan w:val="3"/>
            <w:tcMar>
              <w:top w:w="15" w:type="dxa"/>
              <w:left w:w="20" w:type="dxa"/>
              <w:bottom w:w="15" w:type="dxa"/>
              <w:right w:w="20" w:type="dxa"/>
            </w:tcMar>
            <w:vAlign w:val="bottom"/>
            <w:hideMark/>
          </w:tcPr>
          <w:p w14:paraId="52C9243F"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98054B0" w14:textId="77777777" w:rsidR="00000000" w:rsidRDefault="00195E73">
            <w:pPr>
              <w:rPr>
                <w:rFonts w:eastAsia="Times New Roman"/>
                <w:sz w:val="20"/>
                <w:szCs w:val="20"/>
              </w:rPr>
            </w:pPr>
          </w:p>
        </w:tc>
        <w:tc>
          <w:tcPr>
            <w:tcW w:w="0" w:type="auto"/>
            <w:vAlign w:val="center"/>
            <w:hideMark/>
          </w:tcPr>
          <w:p w14:paraId="1B3DA893" w14:textId="77777777" w:rsidR="00000000" w:rsidRDefault="00195E73">
            <w:pPr>
              <w:rPr>
                <w:rFonts w:eastAsia="Times New Roman"/>
                <w:sz w:val="20"/>
                <w:szCs w:val="20"/>
              </w:rPr>
            </w:pPr>
          </w:p>
        </w:tc>
        <w:tc>
          <w:tcPr>
            <w:tcW w:w="0" w:type="auto"/>
            <w:vAlign w:val="center"/>
            <w:hideMark/>
          </w:tcPr>
          <w:p w14:paraId="2778D191" w14:textId="77777777" w:rsidR="00000000" w:rsidRDefault="00195E73">
            <w:pPr>
              <w:rPr>
                <w:rFonts w:eastAsia="Times New Roman"/>
                <w:sz w:val="20"/>
                <w:szCs w:val="20"/>
              </w:rPr>
            </w:pPr>
          </w:p>
        </w:tc>
        <w:tc>
          <w:tcPr>
            <w:tcW w:w="0" w:type="auto"/>
            <w:vAlign w:val="center"/>
            <w:hideMark/>
          </w:tcPr>
          <w:p w14:paraId="610C6A10" w14:textId="77777777" w:rsidR="00000000" w:rsidRDefault="00195E73">
            <w:pPr>
              <w:rPr>
                <w:rFonts w:eastAsia="Times New Roman"/>
                <w:sz w:val="20"/>
                <w:szCs w:val="20"/>
              </w:rPr>
            </w:pPr>
          </w:p>
        </w:tc>
        <w:tc>
          <w:tcPr>
            <w:tcW w:w="0" w:type="auto"/>
            <w:vAlign w:val="center"/>
            <w:hideMark/>
          </w:tcPr>
          <w:p w14:paraId="344DBF1B" w14:textId="77777777" w:rsidR="00000000" w:rsidRDefault="00195E73">
            <w:pPr>
              <w:rPr>
                <w:rFonts w:eastAsia="Times New Roman"/>
                <w:sz w:val="20"/>
                <w:szCs w:val="20"/>
              </w:rPr>
            </w:pPr>
          </w:p>
        </w:tc>
        <w:tc>
          <w:tcPr>
            <w:tcW w:w="0" w:type="auto"/>
            <w:vAlign w:val="center"/>
            <w:hideMark/>
          </w:tcPr>
          <w:p w14:paraId="25A939BD" w14:textId="77777777" w:rsidR="00000000" w:rsidRDefault="00195E73">
            <w:pPr>
              <w:rPr>
                <w:rFonts w:eastAsia="Times New Roman"/>
                <w:sz w:val="20"/>
                <w:szCs w:val="20"/>
              </w:rPr>
            </w:pPr>
          </w:p>
        </w:tc>
        <w:tc>
          <w:tcPr>
            <w:tcW w:w="0" w:type="auto"/>
            <w:vAlign w:val="center"/>
            <w:hideMark/>
          </w:tcPr>
          <w:p w14:paraId="6818D3B6" w14:textId="77777777" w:rsidR="00000000" w:rsidRDefault="00195E73">
            <w:pPr>
              <w:rPr>
                <w:rFonts w:eastAsia="Times New Roman"/>
                <w:sz w:val="20"/>
                <w:szCs w:val="20"/>
              </w:rPr>
            </w:pPr>
          </w:p>
        </w:tc>
      </w:tr>
      <w:tr w:rsidR="00000000" w14:paraId="6FEFB73D" w14:textId="77777777">
        <w:trPr>
          <w:divId w:val="106967936"/>
          <w:jc w:val="center"/>
        </w:trPr>
        <w:tc>
          <w:tcPr>
            <w:tcW w:w="0" w:type="auto"/>
            <w:gridSpan w:val="3"/>
            <w:shd w:val="clear" w:color="auto" w:fill="CCEEFF"/>
            <w:tcMar>
              <w:top w:w="30" w:type="dxa"/>
              <w:left w:w="20" w:type="dxa"/>
              <w:bottom w:w="30" w:type="dxa"/>
              <w:right w:w="20" w:type="dxa"/>
            </w:tcMar>
            <w:vAlign w:val="bottom"/>
            <w:hideMark/>
          </w:tcPr>
          <w:p w14:paraId="6BBCFE7D" w14:textId="77777777" w:rsidR="00000000" w:rsidRDefault="00195E73">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4C7BFDC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BC41C4D" w14:textId="77777777" w:rsidR="00000000" w:rsidRDefault="00195E73">
            <w:pPr>
              <w:jc w:val="right"/>
              <w:rPr>
                <w:rFonts w:eastAsia="Times New Roman"/>
              </w:rPr>
            </w:pPr>
            <w:r>
              <w:rPr>
                <w:rFonts w:eastAsia="Times New Roman"/>
                <w:color w:val="000000"/>
                <w:sz w:val="20"/>
                <w:szCs w:val="20"/>
              </w:rPr>
              <w:t>1,042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D7EA1B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0EF15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E4CE30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6AF6B20" w14:textId="77777777" w:rsidR="00000000" w:rsidRDefault="00195E73">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2AD78B3"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3FC4F34" w14:textId="77777777" w:rsidR="00000000" w:rsidRDefault="00195E73">
            <w:pPr>
              <w:rPr>
                <w:rFonts w:eastAsia="Times New Roman"/>
                <w:sz w:val="20"/>
                <w:szCs w:val="20"/>
              </w:rPr>
            </w:pPr>
          </w:p>
        </w:tc>
        <w:tc>
          <w:tcPr>
            <w:tcW w:w="0" w:type="auto"/>
            <w:vAlign w:val="center"/>
            <w:hideMark/>
          </w:tcPr>
          <w:p w14:paraId="61777879" w14:textId="77777777" w:rsidR="00000000" w:rsidRDefault="00195E73">
            <w:pPr>
              <w:rPr>
                <w:rFonts w:eastAsia="Times New Roman"/>
                <w:sz w:val="20"/>
                <w:szCs w:val="20"/>
              </w:rPr>
            </w:pPr>
          </w:p>
        </w:tc>
        <w:tc>
          <w:tcPr>
            <w:tcW w:w="0" w:type="auto"/>
            <w:vAlign w:val="center"/>
            <w:hideMark/>
          </w:tcPr>
          <w:p w14:paraId="3F559A17" w14:textId="77777777" w:rsidR="00000000" w:rsidRDefault="00195E73">
            <w:pPr>
              <w:rPr>
                <w:rFonts w:eastAsia="Times New Roman"/>
                <w:sz w:val="20"/>
                <w:szCs w:val="20"/>
              </w:rPr>
            </w:pPr>
          </w:p>
        </w:tc>
        <w:tc>
          <w:tcPr>
            <w:tcW w:w="0" w:type="auto"/>
            <w:vAlign w:val="center"/>
            <w:hideMark/>
          </w:tcPr>
          <w:p w14:paraId="52053FEB" w14:textId="77777777" w:rsidR="00000000" w:rsidRDefault="00195E73">
            <w:pPr>
              <w:rPr>
                <w:rFonts w:eastAsia="Times New Roman"/>
                <w:sz w:val="20"/>
                <w:szCs w:val="20"/>
              </w:rPr>
            </w:pPr>
          </w:p>
        </w:tc>
        <w:tc>
          <w:tcPr>
            <w:tcW w:w="0" w:type="auto"/>
            <w:vAlign w:val="center"/>
            <w:hideMark/>
          </w:tcPr>
          <w:p w14:paraId="2E71F2DD" w14:textId="77777777" w:rsidR="00000000" w:rsidRDefault="00195E73">
            <w:pPr>
              <w:rPr>
                <w:rFonts w:eastAsia="Times New Roman"/>
                <w:sz w:val="20"/>
                <w:szCs w:val="20"/>
              </w:rPr>
            </w:pPr>
          </w:p>
        </w:tc>
        <w:tc>
          <w:tcPr>
            <w:tcW w:w="0" w:type="auto"/>
            <w:vAlign w:val="center"/>
            <w:hideMark/>
          </w:tcPr>
          <w:p w14:paraId="647ECF9D" w14:textId="77777777" w:rsidR="00000000" w:rsidRDefault="00195E73">
            <w:pPr>
              <w:rPr>
                <w:rFonts w:eastAsia="Times New Roman"/>
                <w:sz w:val="20"/>
                <w:szCs w:val="20"/>
              </w:rPr>
            </w:pPr>
          </w:p>
        </w:tc>
      </w:tr>
      <w:tr w:rsidR="00000000" w14:paraId="46E020B6" w14:textId="77777777">
        <w:trPr>
          <w:divId w:val="106967936"/>
          <w:jc w:val="center"/>
        </w:trPr>
        <w:tc>
          <w:tcPr>
            <w:tcW w:w="0" w:type="auto"/>
            <w:gridSpan w:val="3"/>
            <w:shd w:val="clear" w:color="auto" w:fill="FFFFFF"/>
            <w:tcMar>
              <w:top w:w="30" w:type="dxa"/>
              <w:left w:w="20" w:type="dxa"/>
              <w:bottom w:w="30" w:type="dxa"/>
              <w:right w:w="20" w:type="dxa"/>
            </w:tcMar>
            <w:vAlign w:val="bottom"/>
            <w:hideMark/>
          </w:tcPr>
          <w:p w14:paraId="5A558D01" w14:textId="77777777" w:rsidR="00000000" w:rsidRDefault="00195E73">
            <w:pPr>
              <w:rPr>
                <w:rFonts w:eastAsia="Times New Roman"/>
              </w:rPr>
            </w:pPr>
            <w:r>
              <w:rPr>
                <w:rFonts w:eastAsia="Times New Roman"/>
                <w:color w:val="000000"/>
                <w:sz w:val="20"/>
                <w:szCs w:val="20"/>
              </w:rPr>
              <w:t>Restricted cas</w:t>
            </w:r>
            <w:r>
              <w:rPr>
                <w:rFonts w:eastAsia="Times New Roman"/>
                <w:color w:val="000000"/>
                <w:sz w:val="20"/>
                <w:szCs w:val="20"/>
              </w:rPr>
              <w:t>h</w:t>
            </w:r>
          </w:p>
        </w:tc>
        <w:tc>
          <w:tcPr>
            <w:tcW w:w="0" w:type="auto"/>
            <w:gridSpan w:val="2"/>
            <w:shd w:val="clear" w:color="auto" w:fill="FFFFFF"/>
            <w:tcMar>
              <w:top w:w="30" w:type="dxa"/>
              <w:left w:w="20" w:type="dxa"/>
              <w:bottom w:w="30" w:type="dxa"/>
              <w:right w:w="0" w:type="dxa"/>
            </w:tcMar>
            <w:vAlign w:val="bottom"/>
            <w:hideMark/>
          </w:tcPr>
          <w:p w14:paraId="1F0F444B"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7BBBE6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851285"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2457A0" w14:textId="77777777" w:rsidR="00000000" w:rsidRDefault="00195E73">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14270C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CECC84D" w14:textId="77777777" w:rsidR="00000000" w:rsidRDefault="00195E73">
            <w:pPr>
              <w:rPr>
                <w:rFonts w:eastAsia="Times New Roman"/>
                <w:sz w:val="20"/>
                <w:szCs w:val="20"/>
              </w:rPr>
            </w:pPr>
          </w:p>
        </w:tc>
        <w:tc>
          <w:tcPr>
            <w:tcW w:w="0" w:type="auto"/>
            <w:vAlign w:val="center"/>
            <w:hideMark/>
          </w:tcPr>
          <w:p w14:paraId="62CCF52E" w14:textId="77777777" w:rsidR="00000000" w:rsidRDefault="00195E73">
            <w:pPr>
              <w:rPr>
                <w:rFonts w:eastAsia="Times New Roman"/>
                <w:sz w:val="20"/>
                <w:szCs w:val="20"/>
              </w:rPr>
            </w:pPr>
          </w:p>
        </w:tc>
        <w:tc>
          <w:tcPr>
            <w:tcW w:w="0" w:type="auto"/>
            <w:vAlign w:val="center"/>
            <w:hideMark/>
          </w:tcPr>
          <w:p w14:paraId="6BE6E34A" w14:textId="77777777" w:rsidR="00000000" w:rsidRDefault="00195E73">
            <w:pPr>
              <w:rPr>
                <w:rFonts w:eastAsia="Times New Roman"/>
                <w:sz w:val="20"/>
                <w:szCs w:val="20"/>
              </w:rPr>
            </w:pPr>
          </w:p>
        </w:tc>
        <w:tc>
          <w:tcPr>
            <w:tcW w:w="0" w:type="auto"/>
            <w:vAlign w:val="center"/>
            <w:hideMark/>
          </w:tcPr>
          <w:p w14:paraId="13AA7836" w14:textId="77777777" w:rsidR="00000000" w:rsidRDefault="00195E73">
            <w:pPr>
              <w:rPr>
                <w:rFonts w:eastAsia="Times New Roman"/>
                <w:sz w:val="20"/>
                <w:szCs w:val="20"/>
              </w:rPr>
            </w:pPr>
          </w:p>
        </w:tc>
        <w:tc>
          <w:tcPr>
            <w:tcW w:w="0" w:type="auto"/>
            <w:vAlign w:val="center"/>
            <w:hideMark/>
          </w:tcPr>
          <w:p w14:paraId="0DD25981" w14:textId="77777777" w:rsidR="00000000" w:rsidRDefault="00195E73">
            <w:pPr>
              <w:rPr>
                <w:rFonts w:eastAsia="Times New Roman"/>
                <w:sz w:val="20"/>
                <w:szCs w:val="20"/>
              </w:rPr>
            </w:pPr>
          </w:p>
        </w:tc>
        <w:tc>
          <w:tcPr>
            <w:tcW w:w="0" w:type="auto"/>
            <w:vAlign w:val="center"/>
            <w:hideMark/>
          </w:tcPr>
          <w:p w14:paraId="59C071F1" w14:textId="77777777" w:rsidR="00000000" w:rsidRDefault="00195E73">
            <w:pPr>
              <w:rPr>
                <w:rFonts w:eastAsia="Times New Roman"/>
                <w:sz w:val="20"/>
                <w:szCs w:val="20"/>
              </w:rPr>
            </w:pPr>
          </w:p>
        </w:tc>
      </w:tr>
      <w:tr w:rsidR="00000000" w14:paraId="64EA6E5D" w14:textId="77777777">
        <w:trPr>
          <w:divId w:val="106967936"/>
          <w:jc w:val="center"/>
        </w:trPr>
        <w:tc>
          <w:tcPr>
            <w:tcW w:w="0" w:type="auto"/>
            <w:gridSpan w:val="3"/>
            <w:shd w:val="clear" w:color="auto" w:fill="CCEEFF"/>
            <w:tcMar>
              <w:top w:w="30" w:type="dxa"/>
              <w:left w:w="20" w:type="dxa"/>
              <w:bottom w:w="30" w:type="dxa"/>
              <w:right w:w="20" w:type="dxa"/>
            </w:tcMar>
            <w:vAlign w:val="bottom"/>
            <w:hideMark/>
          </w:tcPr>
          <w:p w14:paraId="1F53D11E" w14:textId="77777777" w:rsidR="00000000" w:rsidRDefault="00195E73">
            <w:pPr>
              <w:rPr>
                <w:rFonts w:eastAsia="Times New Roman"/>
              </w:rPr>
            </w:pPr>
            <w:r>
              <w:rPr>
                <w:rFonts w:eastAsia="Times New Roman"/>
                <w:color w:val="000000"/>
                <w:sz w:val="20"/>
                <w:szCs w:val="20"/>
              </w:rPr>
              <w:t>Investment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D8A2E0F" w14:textId="77777777" w:rsidR="00000000" w:rsidRDefault="00195E73">
            <w:pPr>
              <w:jc w:val="right"/>
              <w:rPr>
                <w:rFonts w:eastAsia="Times New Roman"/>
              </w:rPr>
            </w:pPr>
            <w:r>
              <w:rPr>
                <w:rFonts w:eastAsia="Times New Roman"/>
                <w:color w:val="000000"/>
                <w:sz w:val="20"/>
                <w:szCs w:val="20"/>
              </w:rPr>
              <w:t>346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915DE3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6FA21F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F5FFF5" w14:textId="77777777" w:rsidR="00000000" w:rsidRDefault="00195E73">
            <w:pPr>
              <w:jc w:val="right"/>
              <w:rPr>
                <w:rFonts w:eastAsia="Times New Roman"/>
              </w:rPr>
            </w:pPr>
            <w:r>
              <w:rPr>
                <w:rFonts w:eastAsia="Times New Roman"/>
                <w:color w:val="000000"/>
                <w:sz w:val="20"/>
                <w:szCs w:val="20"/>
              </w:rPr>
              <w:t>723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C69442E"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D695AF2" w14:textId="77777777" w:rsidR="00000000" w:rsidRDefault="00195E73">
            <w:pPr>
              <w:rPr>
                <w:rFonts w:eastAsia="Times New Roman"/>
                <w:sz w:val="20"/>
                <w:szCs w:val="20"/>
              </w:rPr>
            </w:pPr>
          </w:p>
        </w:tc>
        <w:tc>
          <w:tcPr>
            <w:tcW w:w="0" w:type="auto"/>
            <w:vAlign w:val="center"/>
            <w:hideMark/>
          </w:tcPr>
          <w:p w14:paraId="2DD2E5A2" w14:textId="77777777" w:rsidR="00000000" w:rsidRDefault="00195E73">
            <w:pPr>
              <w:rPr>
                <w:rFonts w:eastAsia="Times New Roman"/>
                <w:sz w:val="20"/>
                <w:szCs w:val="20"/>
              </w:rPr>
            </w:pPr>
          </w:p>
        </w:tc>
        <w:tc>
          <w:tcPr>
            <w:tcW w:w="0" w:type="auto"/>
            <w:vAlign w:val="center"/>
            <w:hideMark/>
          </w:tcPr>
          <w:p w14:paraId="0EC04B06" w14:textId="77777777" w:rsidR="00000000" w:rsidRDefault="00195E73">
            <w:pPr>
              <w:rPr>
                <w:rFonts w:eastAsia="Times New Roman"/>
                <w:sz w:val="20"/>
                <w:szCs w:val="20"/>
              </w:rPr>
            </w:pPr>
          </w:p>
        </w:tc>
        <w:tc>
          <w:tcPr>
            <w:tcW w:w="0" w:type="auto"/>
            <w:vAlign w:val="center"/>
            <w:hideMark/>
          </w:tcPr>
          <w:p w14:paraId="020AF07D" w14:textId="77777777" w:rsidR="00000000" w:rsidRDefault="00195E73">
            <w:pPr>
              <w:rPr>
                <w:rFonts w:eastAsia="Times New Roman"/>
                <w:sz w:val="20"/>
                <w:szCs w:val="20"/>
              </w:rPr>
            </w:pPr>
          </w:p>
        </w:tc>
        <w:tc>
          <w:tcPr>
            <w:tcW w:w="0" w:type="auto"/>
            <w:vAlign w:val="center"/>
            <w:hideMark/>
          </w:tcPr>
          <w:p w14:paraId="78B88D93" w14:textId="77777777" w:rsidR="00000000" w:rsidRDefault="00195E73">
            <w:pPr>
              <w:rPr>
                <w:rFonts w:eastAsia="Times New Roman"/>
                <w:sz w:val="20"/>
                <w:szCs w:val="20"/>
              </w:rPr>
            </w:pPr>
          </w:p>
        </w:tc>
        <w:tc>
          <w:tcPr>
            <w:tcW w:w="0" w:type="auto"/>
            <w:vAlign w:val="center"/>
            <w:hideMark/>
          </w:tcPr>
          <w:p w14:paraId="5B1C3A03" w14:textId="77777777" w:rsidR="00000000" w:rsidRDefault="00195E73">
            <w:pPr>
              <w:rPr>
                <w:rFonts w:eastAsia="Times New Roman"/>
                <w:sz w:val="20"/>
                <w:szCs w:val="20"/>
              </w:rPr>
            </w:pPr>
          </w:p>
        </w:tc>
      </w:tr>
      <w:tr w:rsidR="00000000" w14:paraId="7D3DE8E6" w14:textId="77777777">
        <w:trPr>
          <w:divId w:val="106967936"/>
          <w:jc w:val="center"/>
        </w:trPr>
        <w:tc>
          <w:tcPr>
            <w:tcW w:w="0" w:type="auto"/>
            <w:gridSpan w:val="3"/>
            <w:shd w:val="clear" w:color="auto" w:fill="FFFFFF"/>
            <w:tcMar>
              <w:top w:w="30" w:type="dxa"/>
              <w:left w:w="20" w:type="dxa"/>
              <w:bottom w:w="30" w:type="dxa"/>
              <w:right w:w="20" w:type="dxa"/>
            </w:tcMar>
            <w:vAlign w:val="bottom"/>
            <w:hideMark/>
          </w:tcPr>
          <w:p w14:paraId="1098C77F" w14:textId="77777777" w:rsidR="00000000" w:rsidRDefault="00195E73">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02A0138"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67D900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A0ADF0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1A7625" w14:textId="77777777" w:rsidR="00000000" w:rsidRDefault="00195E73">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8332D2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E58F8FA" w14:textId="77777777" w:rsidR="00000000" w:rsidRDefault="00195E73">
            <w:pPr>
              <w:rPr>
                <w:rFonts w:eastAsia="Times New Roman"/>
                <w:sz w:val="20"/>
                <w:szCs w:val="20"/>
              </w:rPr>
            </w:pPr>
          </w:p>
        </w:tc>
        <w:tc>
          <w:tcPr>
            <w:tcW w:w="0" w:type="auto"/>
            <w:vAlign w:val="center"/>
            <w:hideMark/>
          </w:tcPr>
          <w:p w14:paraId="165482BD" w14:textId="77777777" w:rsidR="00000000" w:rsidRDefault="00195E73">
            <w:pPr>
              <w:rPr>
                <w:rFonts w:eastAsia="Times New Roman"/>
                <w:sz w:val="20"/>
                <w:szCs w:val="20"/>
              </w:rPr>
            </w:pPr>
          </w:p>
        </w:tc>
        <w:tc>
          <w:tcPr>
            <w:tcW w:w="0" w:type="auto"/>
            <w:vAlign w:val="center"/>
            <w:hideMark/>
          </w:tcPr>
          <w:p w14:paraId="43284010" w14:textId="77777777" w:rsidR="00000000" w:rsidRDefault="00195E73">
            <w:pPr>
              <w:rPr>
                <w:rFonts w:eastAsia="Times New Roman"/>
                <w:sz w:val="20"/>
                <w:szCs w:val="20"/>
              </w:rPr>
            </w:pPr>
          </w:p>
        </w:tc>
        <w:tc>
          <w:tcPr>
            <w:tcW w:w="0" w:type="auto"/>
            <w:vAlign w:val="center"/>
            <w:hideMark/>
          </w:tcPr>
          <w:p w14:paraId="7A2E7083" w14:textId="77777777" w:rsidR="00000000" w:rsidRDefault="00195E73">
            <w:pPr>
              <w:rPr>
                <w:rFonts w:eastAsia="Times New Roman"/>
                <w:sz w:val="20"/>
                <w:szCs w:val="20"/>
              </w:rPr>
            </w:pPr>
          </w:p>
        </w:tc>
        <w:tc>
          <w:tcPr>
            <w:tcW w:w="0" w:type="auto"/>
            <w:vAlign w:val="center"/>
            <w:hideMark/>
          </w:tcPr>
          <w:p w14:paraId="629F5576" w14:textId="77777777" w:rsidR="00000000" w:rsidRDefault="00195E73">
            <w:pPr>
              <w:rPr>
                <w:rFonts w:eastAsia="Times New Roman"/>
                <w:sz w:val="20"/>
                <w:szCs w:val="20"/>
              </w:rPr>
            </w:pPr>
          </w:p>
        </w:tc>
        <w:tc>
          <w:tcPr>
            <w:tcW w:w="0" w:type="auto"/>
            <w:vAlign w:val="center"/>
            <w:hideMark/>
          </w:tcPr>
          <w:p w14:paraId="159E8415" w14:textId="77777777" w:rsidR="00000000" w:rsidRDefault="00195E73">
            <w:pPr>
              <w:rPr>
                <w:rFonts w:eastAsia="Times New Roman"/>
                <w:sz w:val="20"/>
                <w:szCs w:val="20"/>
              </w:rPr>
            </w:pPr>
          </w:p>
        </w:tc>
      </w:tr>
      <w:tr w:rsidR="00000000" w14:paraId="53B0D2D1" w14:textId="77777777">
        <w:trPr>
          <w:divId w:val="106967936"/>
          <w:jc w:val="center"/>
        </w:trPr>
        <w:tc>
          <w:tcPr>
            <w:tcW w:w="0" w:type="auto"/>
            <w:gridSpan w:val="3"/>
            <w:shd w:val="clear" w:color="auto" w:fill="CCEEFF"/>
            <w:tcMar>
              <w:top w:w="30" w:type="dxa"/>
              <w:left w:w="20" w:type="dxa"/>
              <w:bottom w:w="30" w:type="dxa"/>
              <w:right w:w="20" w:type="dxa"/>
            </w:tcMar>
            <w:vAlign w:val="bottom"/>
            <w:hideMark/>
          </w:tcPr>
          <w:p w14:paraId="4B1CC680" w14:textId="77777777" w:rsidR="00000000" w:rsidRDefault="00195E73">
            <w:pPr>
              <w:rPr>
                <w:rFonts w:eastAsia="Times New Roman"/>
              </w:rPr>
            </w:pPr>
            <w:r>
              <w:rPr>
                <w:rFonts w:eastAsia="Times New Roman"/>
                <w:color w:val="000000"/>
                <w:sz w:val="20"/>
                <w:szCs w:val="20"/>
              </w:rPr>
              <w:t>Investments in subsidiaries,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29F7FB96" w14:textId="77777777" w:rsidR="00000000" w:rsidRDefault="00195E73">
            <w:pPr>
              <w:jc w:val="right"/>
              <w:rPr>
                <w:rFonts w:eastAsia="Times New Roman"/>
              </w:rPr>
            </w:pPr>
            <w:r>
              <w:rPr>
                <w:rFonts w:eastAsia="Times New Roman"/>
                <w:color w:val="000000"/>
                <w:sz w:val="20"/>
                <w:szCs w:val="20"/>
              </w:rPr>
              <w:t>10,474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7B703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F8D268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0BF17E" w14:textId="77777777" w:rsidR="00000000" w:rsidRDefault="00195E73">
            <w:pPr>
              <w:jc w:val="right"/>
              <w:rPr>
                <w:rFonts w:eastAsia="Times New Roman"/>
              </w:rPr>
            </w:pPr>
            <w:r>
              <w:rPr>
                <w:rFonts w:eastAsia="Times New Roman"/>
                <w:color w:val="000000"/>
                <w:sz w:val="20"/>
                <w:szCs w:val="20"/>
              </w:rPr>
              <w:t>11,355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63C50B5"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2F0F2BE" w14:textId="77777777" w:rsidR="00000000" w:rsidRDefault="00195E73">
            <w:pPr>
              <w:rPr>
                <w:rFonts w:eastAsia="Times New Roman"/>
                <w:sz w:val="20"/>
                <w:szCs w:val="20"/>
              </w:rPr>
            </w:pPr>
          </w:p>
        </w:tc>
        <w:tc>
          <w:tcPr>
            <w:tcW w:w="0" w:type="auto"/>
            <w:vAlign w:val="center"/>
            <w:hideMark/>
          </w:tcPr>
          <w:p w14:paraId="109D2557" w14:textId="77777777" w:rsidR="00000000" w:rsidRDefault="00195E73">
            <w:pPr>
              <w:rPr>
                <w:rFonts w:eastAsia="Times New Roman"/>
                <w:sz w:val="20"/>
                <w:szCs w:val="20"/>
              </w:rPr>
            </w:pPr>
          </w:p>
        </w:tc>
        <w:tc>
          <w:tcPr>
            <w:tcW w:w="0" w:type="auto"/>
            <w:vAlign w:val="center"/>
            <w:hideMark/>
          </w:tcPr>
          <w:p w14:paraId="77AE2490" w14:textId="77777777" w:rsidR="00000000" w:rsidRDefault="00195E73">
            <w:pPr>
              <w:rPr>
                <w:rFonts w:eastAsia="Times New Roman"/>
                <w:sz w:val="20"/>
                <w:szCs w:val="20"/>
              </w:rPr>
            </w:pPr>
          </w:p>
        </w:tc>
        <w:tc>
          <w:tcPr>
            <w:tcW w:w="0" w:type="auto"/>
            <w:vAlign w:val="center"/>
            <w:hideMark/>
          </w:tcPr>
          <w:p w14:paraId="6EBD9DB9" w14:textId="77777777" w:rsidR="00000000" w:rsidRDefault="00195E73">
            <w:pPr>
              <w:rPr>
                <w:rFonts w:eastAsia="Times New Roman"/>
                <w:sz w:val="20"/>
                <w:szCs w:val="20"/>
              </w:rPr>
            </w:pPr>
          </w:p>
        </w:tc>
        <w:tc>
          <w:tcPr>
            <w:tcW w:w="0" w:type="auto"/>
            <w:vAlign w:val="center"/>
            <w:hideMark/>
          </w:tcPr>
          <w:p w14:paraId="7B58B452" w14:textId="77777777" w:rsidR="00000000" w:rsidRDefault="00195E73">
            <w:pPr>
              <w:rPr>
                <w:rFonts w:eastAsia="Times New Roman"/>
                <w:sz w:val="20"/>
                <w:szCs w:val="20"/>
              </w:rPr>
            </w:pPr>
          </w:p>
        </w:tc>
        <w:tc>
          <w:tcPr>
            <w:tcW w:w="0" w:type="auto"/>
            <w:vAlign w:val="center"/>
            <w:hideMark/>
          </w:tcPr>
          <w:p w14:paraId="150AA035" w14:textId="77777777" w:rsidR="00000000" w:rsidRDefault="00195E73">
            <w:pPr>
              <w:rPr>
                <w:rFonts w:eastAsia="Times New Roman"/>
                <w:sz w:val="20"/>
                <w:szCs w:val="20"/>
              </w:rPr>
            </w:pPr>
          </w:p>
        </w:tc>
      </w:tr>
      <w:tr w:rsidR="00000000" w14:paraId="5E5B996B" w14:textId="77777777">
        <w:trPr>
          <w:divId w:val="106967936"/>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4194734B" w14:textId="77777777" w:rsidR="00000000" w:rsidRDefault="00195E73">
            <w:pPr>
              <w:rPr>
                <w:rFonts w:eastAsia="Times New Roman"/>
              </w:rPr>
            </w:pPr>
            <w:r>
              <w:rPr>
                <w:rFonts w:eastAsia="Times New Roman"/>
                <w:b/>
                <w:bCs/>
                <w:color w:val="000000"/>
                <w:sz w:val="20"/>
                <w:szCs w:val="20"/>
              </w:rPr>
              <w:t>Total Asset</w:t>
            </w:r>
            <w:r>
              <w:rPr>
                <w:rFonts w:eastAsia="Times New Roman"/>
                <w:b/>
                <w:bCs/>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717D624"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87F115F" w14:textId="77777777" w:rsidR="00000000" w:rsidRDefault="00195E73">
            <w:pPr>
              <w:jc w:val="right"/>
              <w:rPr>
                <w:rFonts w:eastAsia="Times New Roman"/>
              </w:rPr>
            </w:pPr>
            <w:r>
              <w:rPr>
                <w:rFonts w:eastAsia="Times New Roman"/>
                <w:color w:val="000000"/>
                <w:sz w:val="20"/>
                <w:szCs w:val="20"/>
              </w:rPr>
              <w:t>11,869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DCA51B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5AE8C8A"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4524BB3"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42EC308" w14:textId="77777777" w:rsidR="00000000" w:rsidRDefault="00195E73">
            <w:pPr>
              <w:jc w:val="right"/>
              <w:rPr>
                <w:rFonts w:eastAsia="Times New Roman"/>
              </w:rPr>
            </w:pPr>
            <w:r>
              <w:rPr>
                <w:rFonts w:eastAsia="Times New Roman"/>
                <w:color w:val="000000"/>
                <w:sz w:val="20"/>
                <w:szCs w:val="20"/>
              </w:rPr>
              <w:t>12,197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0FCDBC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F8935C3" w14:textId="77777777" w:rsidR="00000000" w:rsidRDefault="00195E73">
            <w:pPr>
              <w:rPr>
                <w:rFonts w:eastAsia="Times New Roman"/>
                <w:sz w:val="20"/>
                <w:szCs w:val="20"/>
              </w:rPr>
            </w:pPr>
          </w:p>
        </w:tc>
        <w:tc>
          <w:tcPr>
            <w:tcW w:w="0" w:type="auto"/>
            <w:vAlign w:val="center"/>
            <w:hideMark/>
          </w:tcPr>
          <w:p w14:paraId="4DE0886E" w14:textId="77777777" w:rsidR="00000000" w:rsidRDefault="00195E73">
            <w:pPr>
              <w:rPr>
                <w:rFonts w:eastAsia="Times New Roman"/>
                <w:sz w:val="20"/>
                <w:szCs w:val="20"/>
              </w:rPr>
            </w:pPr>
          </w:p>
        </w:tc>
        <w:tc>
          <w:tcPr>
            <w:tcW w:w="0" w:type="auto"/>
            <w:vAlign w:val="center"/>
            <w:hideMark/>
          </w:tcPr>
          <w:p w14:paraId="39DEBC74" w14:textId="77777777" w:rsidR="00000000" w:rsidRDefault="00195E73">
            <w:pPr>
              <w:rPr>
                <w:rFonts w:eastAsia="Times New Roman"/>
                <w:sz w:val="20"/>
                <w:szCs w:val="20"/>
              </w:rPr>
            </w:pPr>
          </w:p>
        </w:tc>
        <w:tc>
          <w:tcPr>
            <w:tcW w:w="0" w:type="auto"/>
            <w:vAlign w:val="center"/>
            <w:hideMark/>
          </w:tcPr>
          <w:p w14:paraId="30F07579" w14:textId="77777777" w:rsidR="00000000" w:rsidRDefault="00195E73">
            <w:pPr>
              <w:rPr>
                <w:rFonts w:eastAsia="Times New Roman"/>
                <w:sz w:val="20"/>
                <w:szCs w:val="20"/>
              </w:rPr>
            </w:pPr>
          </w:p>
        </w:tc>
        <w:tc>
          <w:tcPr>
            <w:tcW w:w="0" w:type="auto"/>
            <w:vAlign w:val="center"/>
            <w:hideMark/>
          </w:tcPr>
          <w:p w14:paraId="13D779CD" w14:textId="77777777" w:rsidR="00000000" w:rsidRDefault="00195E73">
            <w:pPr>
              <w:rPr>
                <w:rFonts w:eastAsia="Times New Roman"/>
                <w:sz w:val="20"/>
                <w:szCs w:val="20"/>
              </w:rPr>
            </w:pPr>
          </w:p>
        </w:tc>
        <w:tc>
          <w:tcPr>
            <w:tcW w:w="0" w:type="auto"/>
            <w:vAlign w:val="center"/>
            <w:hideMark/>
          </w:tcPr>
          <w:p w14:paraId="4C6874F4" w14:textId="77777777" w:rsidR="00000000" w:rsidRDefault="00195E73">
            <w:pPr>
              <w:rPr>
                <w:rFonts w:eastAsia="Times New Roman"/>
                <w:sz w:val="20"/>
                <w:szCs w:val="20"/>
              </w:rPr>
            </w:pPr>
          </w:p>
        </w:tc>
      </w:tr>
      <w:tr w:rsidR="00000000" w14:paraId="57A1A23F" w14:textId="77777777">
        <w:trPr>
          <w:divId w:val="106967936"/>
          <w:jc w:val="center"/>
        </w:trPr>
        <w:tc>
          <w:tcPr>
            <w:tcW w:w="0" w:type="auto"/>
            <w:gridSpan w:val="3"/>
            <w:tcBorders>
              <w:top w:val="double" w:sz="6" w:space="0" w:color="FFFFFF"/>
            </w:tcBorders>
            <w:shd w:val="clear" w:color="auto" w:fill="CCEEFF"/>
            <w:tcMar>
              <w:top w:w="30" w:type="dxa"/>
              <w:left w:w="20" w:type="dxa"/>
              <w:bottom w:w="30" w:type="dxa"/>
              <w:right w:w="20" w:type="dxa"/>
            </w:tcMar>
            <w:vAlign w:val="bottom"/>
            <w:hideMark/>
          </w:tcPr>
          <w:p w14:paraId="7B198378" w14:textId="77777777" w:rsidR="00000000" w:rsidRDefault="00195E73">
            <w:pPr>
              <w:jc w:val="center"/>
              <w:rPr>
                <w:rFonts w:eastAsia="Times New Roman"/>
              </w:rPr>
            </w:pPr>
            <w:r>
              <w:rPr>
                <w:rFonts w:eastAsia="Times New Roman"/>
                <w:b/>
                <w:bCs/>
                <w:color w:val="000000"/>
                <w:sz w:val="20"/>
                <w:szCs w:val="20"/>
              </w:rPr>
              <w:t>LIABILITIES AND EQUIT</w:t>
            </w:r>
            <w:r>
              <w:rPr>
                <w:rFonts w:eastAsia="Times New Roman"/>
                <w:b/>
                <w:bCs/>
                <w:color w:val="000000"/>
                <w:sz w:val="20"/>
                <w:szCs w:val="20"/>
              </w:rPr>
              <w:t>Y</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CD59E7D" w14:textId="77777777" w:rsidR="00000000" w:rsidRDefault="00195E73">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A2DD9AE"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5C04D1DC" w14:textId="77777777" w:rsidR="00000000" w:rsidRDefault="00195E73">
            <w:pPr>
              <w:rPr>
                <w:rFonts w:eastAsia="Times New Roman"/>
                <w:sz w:val="20"/>
                <w:szCs w:val="20"/>
              </w:rPr>
            </w:pPr>
          </w:p>
        </w:tc>
        <w:tc>
          <w:tcPr>
            <w:tcW w:w="0" w:type="auto"/>
            <w:vAlign w:val="center"/>
            <w:hideMark/>
          </w:tcPr>
          <w:p w14:paraId="3FF3C31B" w14:textId="77777777" w:rsidR="00000000" w:rsidRDefault="00195E73">
            <w:pPr>
              <w:rPr>
                <w:rFonts w:eastAsia="Times New Roman"/>
                <w:sz w:val="20"/>
                <w:szCs w:val="20"/>
              </w:rPr>
            </w:pPr>
          </w:p>
        </w:tc>
        <w:tc>
          <w:tcPr>
            <w:tcW w:w="0" w:type="auto"/>
            <w:vAlign w:val="center"/>
            <w:hideMark/>
          </w:tcPr>
          <w:p w14:paraId="0590C904" w14:textId="77777777" w:rsidR="00000000" w:rsidRDefault="00195E73">
            <w:pPr>
              <w:rPr>
                <w:rFonts w:eastAsia="Times New Roman"/>
                <w:sz w:val="20"/>
                <w:szCs w:val="20"/>
              </w:rPr>
            </w:pPr>
          </w:p>
        </w:tc>
        <w:tc>
          <w:tcPr>
            <w:tcW w:w="0" w:type="auto"/>
            <w:vAlign w:val="center"/>
            <w:hideMark/>
          </w:tcPr>
          <w:p w14:paraId="1E7C48A4" w14:textId="77777777" w:rsidR="00000000" w:rsidRDefault="00195E73">
            <w:pPr>
              <w:rPr>
                <w:rFonts w:eastAsia="Times New Roman"/>
                <w:sz w:val="20"/>
                <w:szCs w:val="20"/>
              </w:rPr>
            </w:pPr>
          </w:p>
        </w:tc>
        <w:tc>
          <w:tcPr>
            <w:tcW w:w="0" w:type="auto"/>
            <w:vAlign w:val="center"/>
            <w:hideMark/>
          </w:tcPr>
          <w:p w14:paraId="20FB792C" w14:textId="77777777" w:rsidR="00000000" w:rsidRDefault="00195E73">
            <w:pPr>
              <w:rPr>
                <w:rFonts w:eastAsia="Times New Roman"/>
                <w:sz w:val="20"/>
                <w:szCs w:val="20"/>
              </w:rPr>
            </w:pPr>
          </w:p>
        </w:tc>
        <w:tc>
          <w:tcPr>
            <w:tcW w:w="0" w:type="auto"/>
            <w:vAlign w:val="center"/>
            <w:hideMark/>
          </w:tcPr>
          <w:p w14:paraId="6A644C4C" w14:textId="77777777" w:rsidR="00000000" w:rsidRDefault="00195E73">
            <w:pPr>
              <w:rPr>
                <w:rFonts w:eastAsia="Times New Roman"/>
                <w:sz w:val="20"/>
                <w:szCs w:val="20"/>
              </w:rPr>
            </w:pPr>
          </w:p>
        </w:tc>
        <w:tc>
          <w:tcPr>
            <w:tcW w:w="0" w:type="auto"/>
            <w:vAlign w:val="center"/>
            <w:hideMark/>
          </w:tcPr>
          <w:p w14:paraId="24CFEC1C" w14:textId="77777777" w:rsidR="00000000" w:rsidRDefault="00195E73">
            <w:pPr>
              <w:rPr>
                <w:rFonts w:eastAsia="Times New Roman"/>
                <w:sz w:val="20"/>
                <w:szCs w:val="20"/>
              </w:rPr>
            </w:pPr>
          </w:p>
        </w:tc>
      </w:tr>
      <w:tr w:rsidR="00000000" w14:paraId="31E4C988" w14:textId="77777777">
        <w:trPr>
          <w:divId w:val="106967936"/>
          <w:jc w:val="center"/>
        </w:trPr>
        <w:tc>
          <w:tcPr>
            <w:tcW w:w="0" w:type="auto"/>
            <w:gridSpan w:val="3"/>
            <w:shd w:val="clear" w:color="auto" w:fill="FFFFFF"/>
            <w:tcMar>
              <w:top w:w="30" w:type="dxa"/>
              <w:left w:w="20" w:type="dxa"/>
              <w:bottom w:w="30" w:type="dxa"/>
              <w:right w:w="20" w:type="dxa"/>
            </w:tcMar>
            <w:vAlign w:val="bottom"/>
            <w:hideMark/>
          </w:tcPr>
          <w:p w14:paraId="6EDA2DF0" w14:textId="77777777" w:rsidR="00000000" w:rsidRDefault="00195E73">
            <w:pPr>
              <w:rPr>
                <w:rFonts w:eastAsia="Times New Roman"/>
              </w:rPr>
            </w:pPr>
            <w:r>
              <w:rPr>
                <w:rFonts w:eastAsia="Times New Roman"/>
                <w:color w:val="000000"/>
                <w:sz w:val="20"/>
                <w:szCs w:val="20"/>
              </w:rPr>
              <w:t>Accounts payable, accrued expenses and other liabilitie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14:paraId="43215556"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0D39589" w14:textId="77777777" w:rsidR="00000000" w:rsidRDefault="00195E73">
            <w:pPr>
              <w:jc w:val="right"/>
              <w:rPr>
                <w:rFonts w:eastAsia="Times New Roman"/>
              </w:rPr>
            </w:pPr>
            <w:r>
              <w:rPr>
                <w:rFonts w:eastAsia="Times New Roman"/>
                <w:color w:val="000000"/>
                <w:sz w:val="20"/>
                <w:szCs w:val="20"/>
              </w:rPr>
              <w:t>116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01CAC0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0104D3"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D2302E6"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332F72A" w14:textId="77777777" w:rsidR="00000000" w:rsidRDefault="00195E73">
            <w:pPr>
              <w:jc w:val="right"/>
              <w:rPr>
                <w:rFonts w:eastAsia="Times New Roman"/>
              </w:rPr>
            </w:pPr>
            <w:r>
              <w:rPr>
                <w:rFonts w:eastAsia="Times New Roman"/>
                <w:color w:val="000000"/>
                <w:sz w:val="20"/>
                <w:szCs w:val="20"/>
              </w:rPr>
              <w:t>131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540D64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36961B2" w14:textId="77777777" w:rsidR="00000000" w:rsidRDefault="00195E73">
            <w:pPr>
              <w:rPr>
                <w:rFonts w:eastAsia="Times New Roman"/>
                <w:sz w:val="20"/>
                <w:szCs w:val="20"/>
              </w:rPr>
            </w:pPr>
          </w:p>
        </w:tc>
        <w:tc>
          <w:tcPr>
            <w:tcW w:w="0" w:type="auto"/>
            <w:vAlign w:val="center"/>
            <w:hideMark/>
          </w:tcPr>
          <w:p w14:paraId="5CD5C5D3" w14:textId="77777777" w:rsidR="00000000" w:rsidRDefault="00195E73">
            <w:pPr>
              <w:rPr>
                <w:rFonts w:eastAsia="Times New Roman"/>
                <w:sz w:val="20"/>
                <w:szCs w:val="20"/>
              </w:rPr>
            </w:pPr>
          </w:p>
        </w:tc>
        <w:tc>
          <w:tcPr>
            <w:tcW w:w="0" w:type="auto"/>
            <w:vAlign w:val="center"/>
            <w:hideMark/>
          </w:tcPr>
          <w:p w14:paraId="10131987" w14:textId="77777777" w:rsidR="00000000" w:rsidRDefault="00195E73">
            <w:pPr>
              <w:rPr>
                <w:rFonts w:eastAsia="Times New Roman"/>
                <w:sz w:val="20"/>
                <w:szCs w:val="20"/>
              </w:rPr>
            </w:pPr>
          </w:p>
        </w:tc>
        <w:tc>
          <w:tcPr>
            <w:tcW w:w="0" w:type="auto"/>
            <w:vAlign w:val="center"/>
            <w:hideMark/>
          </w:tcPr>
          <w:p w14:paraId="47C71CC5" w14:textId="77777777" w:rsidR="00000000" w:rsidRDefault="00195E73">
            <w:pPr>
              <w:rPr>
                <w:rFonts w:eastAsia="Times New Roman"/>
                <w:sz w:val="20"/>
                <w:szCs w:val="20"/>
              </w:rPr>
            </w:pPr>
          </w:p>
        </w:tc>
        <w:tc>
          <w:tcPr>
            <w:tcW w:w="0" w:type="auto"/>
            <w:vAlign w:val="center"/>
            <w:hideMark/>
          </w:tcPr>
          <w:p w14:paraId="3CA78B68" w14:textId="77777777" w:rsidR="00000000" w:rsidRDefault="00195E73">
            <w:pPr>
              <w:rPr>
                <w:rFonts w:eastAsia="Times New Roman"/>
                <w:sz w:val="20"/>
                <w:szCs w:val="20"/>
              </w:rPr>
            </w:pPr>
          </w:p>
        </w:tc>
        <w:tc>
          <w:tcPr>
            <w:tcW w:w="0" w:type="auto"/>
            <w:vAlign w:val="center"/>
            <w:hideMark/>
          </w:tcPr>
          <w:p w14:paraId="029BE675" w14:textId="77777777" w:rsidR="00000000" w:rsidRDefault="00195E73">
            <w:pPr>
              <w:rPr>
                <w:rFonts w:eastAsia="Times New Roman"/>
                <w:sz w:val="20"/>
                <w:szCs w:val="20"/>
              </w:rPr>
            </w:pPr>
          </w:p>
        </w:tc>
      </w:tr>
      <w:tr w:rsidR="00000000" w14:paraId="45F9ED3D" w14:textId="77777777">
        <w:trPr>
          <w:divId w:val="106967936"/>
          <w:jc w:val="center"/>
        </w:trPr>
        <w:tc>
          <w:tcPr>
            <w:tcW w:w="0" w:type="auto"/>
            <w:gridSpan w:val="3"/>
            <w:shd w:val="clear" w:color="auto" w:fill="CCEEFF"/>
            <w:tcMar>
              <w:top w:w="30" w:type="dxa"/>
              <w:left w:w="20" w:type="dxa"/>
              <w:bottom w:w="30" w:type="dxa"/>
              <w:right w:w="20" w:type="dxa"/>
            </w:tcMar>
            <w:vAlign w:val="bottom"/>
            <w:hideMark/>
          </w:tcPr>
          <w:p w14:paraId="311434A3" w14:textId="77777777" w:rsidR="00000000" w:rsidRDefault="00195E73">
            <w:pPr>
              <w:rPr>
                <w:rFonts w:eastAsia="Times New Roman"/>
              </w:rPr>
            </w:pPr>
            <w:r>
              <w:rPr>
                <w:rFonts w:eastAsia="Times New Roman"/>
                <w:color w:val="000000"/>
                <w:sz w:val="20"/>
                <w:szCs w:val="20"/>
              </w:rPr>
              <w:t>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6F340D9B" w14:textId="77777777" w:rsidR="00000000" w:rsidRDefault="00195E73">
            <w:pPr>
              <w:jc w:val="right"/>
              <w:rPr>
                <w:rFonts w:eastAsia="Times New Roman"/>
              </w:rPr>
            </w:pPr>
            <w:r>
              <w:rPr>
                <w:rFonts w:eastAsia="Times New Roman"/>
                <w:color w:val="000000"/>
                <w:sz w:val="20"/>
                <w:szCs w:val="20"/>
              </w:rPr>
              <w:t>6,300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AFADC9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4ED21E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3AC30E" w14:textId="77777777" w:rsidR="00000000" w:rsidRDefault="00195E73">
            <w:pPr>
              <w:jc w:val="right"/>
              <w:rPr>
                <w:rFonts w:eastAsia="Times New Roman"/>
              </w:rPr>
            </w:pPr>
            <w:r>
              <w:rPr>
                <w:rFonts w:eastAsia="Times New Roman"/>
                <w:color w:val="000000"/>
                <w:sz w:val="20"/>
                <w:szCs w:val="20"/>
              </w:rPr>
              <w:t>5,509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159E10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019B2F0" w14:textId="77777777" w:rsidR="00000000" w:rsidRDefault="00195E73">
            <w:pPr>
              <w:rPr>
                <w:rFonts w:eastAsia="Times New Roman"/>
                <w:sz w:val="20"/>
                <w:szCs w:val="20"/>
              </w:rPr>
            </w:pPr>
          </w:p>
        </w:tc>
        <w:tc>
          <w:tcPr>
            <w:tcW w:w="0" w:type="auto"/>
            <w:vAlign w:val="center"/>
            <w:hideMark/>
          </w:tcPr>
          <w:p w14:paraId="04F27749" w14:textId="77777777" w:rsidR="00000000" w:rsidRDefault="00195E73">
            <w:pPr>
              <w:rPr>
                <w:rFonts w:eastAsia="Times New Roman"/>
                <w:sz w:val="20"/>
                <w:szCs w:val="20"/>
              </w:rPr>
            </w:pPr>
          </w:p>
        </w:tc>
        <w:tc>
          <w:tcPr>
            <w:tcW w:w="0" w:type="auto"/>
            <w:vAlign w:val="center"/>
            <w:hideMark/>
          </w:tcPr>
          <w:p w14:paraId="64D6D3AE" w14:textId="77777777" w:rsidR="00000000" w:rsidRDefault="00195E73">
            <w:pPr>
              <w:rPr>
                <w:rFonts w:eastAsia="Times New Roman"/>
                <w:sz w:val="20"/>
                <w:szCs w:val="20"/>
              </w:rPr>
            </w:pPr>
          </w:p>
        </w:tc>
        <w:tc>
          <w:tcPr>
            <w:tcW w:w="0" w:type="auto"/>
            <w:vAlign w:val="center"/>
            <w:hideMark/>
          </w:tcPr>
          <w:p w14:paraId="2083A1D7" w14:textId="77777777" w:rsidR="00000000" w:rsidRDefault="00195E73">
            <w:pPr>
              <w:rPr>
                <w:rFonts w:eastAsia="Times New Roman"/>
                <w:sz w:val="20"/>
                <w:szCs w:val="20"/>
              </w:rPr>
            </w:pPr>
          </w:p>
        </w:tc>
        <w:tc>
          <w:tcPr>
            <w:tcW w:w="0" w:type="auto"/>
            <w:vAlign w:val="center"/>
            <w:hideMark/>
          </w:tcPr>
          <w:p w14:paraId="74E47098" w14:textId="77777777" w:rsidR="00000000" w:rsidRDefault="00195E73">
            <w:pPr>
              <w:rPr>
                <w:rFonts w:eastAsia="Times New Roman"/>
                <w:sz w:val="20"/>
                <w:szCs w:val="20"/>
              </w:rPr>
            </w:pPr>
          </w:p>
        </w:tc>
        <w:tc>
          <w:tcPr>
            <w:tcW w:w="0" w:type="auto"/>
            <w:vAlign w:val="center"/>
            <w:hideMark/>
          </w:tcPr>
          <w:p w14:paraId="7AC07FF6" w14:textId="77777777" w:rsidR="00000000" w:rsidRDefault="00195E73">
            <w:pPr>
              <w:rPr>
                <w:rFonts w:eastAsia="Times New Roman"/>
                <w:sz w:val="20"/>
                <w:szCs w:val="20"/>
              </w:rPr>
            </w:pPr>
          </w:p>
        </w:tc>
      </w:tr>
      <w:tr w:rsidR="00000000" w14:paraId="2CF95766" w14:textId="77777777">
        <w:trPr>
          <w:divId w:val="106967936"/>
          <w:jc w:val="center"/>
        </w:trPr>
        <w:tc>
          <w:tcPr>
            <w:tcW w:w="0" w:type="auto"/>
            <w:gridSpan w:val="3"/>
            <w:tcBorders>
              <w:top w:val="single" w:sz="8" w:space="0" w:color="FFFFFF"/>
            </w:tcBorders>
            <w:shd w:val="clear" w:color="auto" w:fill="FFFFFF"/>
            <w:tcMar>
              <w:top w:w="15" w:type="dxa"/>
              <w:left w:w="20" w:type="dxa"/>
              <w:bottom w:w="15" w:type="dxa"/>
              <w:right w:w="20" w:type="dxa"/>
            </w:tcMar>
            <w:vAlign w:val="bottom"/>
            <w:hideMark/>
          </w:tcPr>
          <w:p w14:paraId="200F142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84F195" w14:textId="77777777" w:rsidR="00000000" w:rsidRDefault="00195E73">
            <w:pPr>
              <w:jc w:val="right"/>
              <w:rPr>
                <w:rFonts w:eastAsia="Times New Roman"/>
              </w:rPr>
            </w:pPr>
            <w:r>
              <w:rPr>
                <w:rFonts w:eastAsia="Times New Roman"/>
                <w:color w:val="000000"/>
                <w:sz w:val="20"/>
                <w:szCs w:val="20"/>
              </w:rPr>
              <w:t>6,416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034E40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81CC6F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09FD9F" w14:textId="77777777" w:rsidR="00000000" w:rsidRDefault="00195E73">
            <w:pPr>
              <w:jc w:val="right"/>
              <w:rPr>
                <w:rFonts w:eastAsia="Times New Roman"/>
              </w:rPr>
            </w:pPr>
            <w:r>
              <w:rPr>
                <w:rFonts w:eastAsia="Times New Roman"/>
                <w:color w:val="000000"/>
                <w:sz w:val="20"/>
                <w:szCs w:val="20"/>
              </w:rPr>
              <w:t>5,640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1539B5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F7A7B79" w14:textId="77777777" w:rsidR="00000000" w:rsidRDefault="00195E73">
            <w:pPr>
              <w:rPr>
                <w:rFonts w:eastAsia="Times New Roman"/>
                <w:sz w:val="20"/>
                <w:szCs w:val="20"/>
              </w:rPr>
            </w:pPr>
          </w:p>
        </w:tc>
        <w:tc>
          <w:tcPr>
            <w:tcW w:w="0" w:type="auto"/>
            <w:vAlign w:val="center"/>
            <w:hideMark/>
          </w:tcPr>
          <w:p w14:paraId="08DF8CFA" w14:textId="77777777" w:rsidR="00000000" w:rsidRDefault="00195E73">
            <w:pPr>
              <w:rPr>
                <w:rFonts w:eastAsia="Times New Roman"/>
                <w:sz w:val="20"/>
                <w:szCs w:val="20"/>
              </w:rPr>
            </w:pPr>
          </w:p>
        </w:tc>
        <w:tc>
          <w:tcPr>
            <w:tcW w:w="0" w:type="auto"/>
            <w:vAlign w:val="center"/>
            <w:hideMark/>
          </w:tcPr>
          <w:p w14:paraId="03301942" w14:textId="77777777" w:rsidR="00000000" w:rsidRDefault="00195E73">
            <w:pPr>
              <w:rPr>
                <w:rFonts w:eastAsia="Times New Roman"/>
                <w:sz w:val="20"/>
                <w:szCs w:val="20"/>
              </w:rPr>
            </w:pPr>
          </w:p>
        </w:tc>
        <w:tc>
          <w:tcPr>
            <w:tcW w:w="0" w:type="auto"/>
            <w:vAlign w:val="center"/>
            <w:hideMark/>
          </w:tcPr>
          <w:p w14:paraId="6745A28F" w14:textId="77777777" w:rsidR="00000000" w:rsidRDefault="00195E73">
            <w:pPr>
              <w:rPr>
                <w:rFonts w:eastAsia="Times New Roman"/>
                <w:sz w:val="20"/>
                <w:szCs w:val="20"/>
              </w:rPr>
            </w:pPr>
          </w:p>
        </w:tc>
        <w:tc>
          <w:tcPr>
            <w:tcW w:w="0" w:type="auto"/>
            <w:vAlign w:val="center"/>
            <w:hideMark/>
          </w:tcPr>
          <w:p w14:paraId="757A40E2" w14:textId="77777777" w:rsidR="00000000" w:rsidRDefault="00195E73">
            <w:pPr>
              <w:rPr>
                <w:rFonts w:eastAsia="Times New Roman"/>
                <w:sz w:val="20"/>
                <w:szCs w:val="20"/>
              </w:rPr>
            </w:pPr>
          </w:p>
        </w:tc>
        <w:tc>
          <w:tcPr>
            <w:tcW w:w="0" w:type="auto"/>
            <w:vAlign w:val="center"/>
            <w:hideMark/>
          </w:tcPr>
          <w:p w14:paraId="6E181563" w14:textId="77777777" w:rsidR="00000000" w:rsidRDefault="00195E73">
            <w:pPr>
              <w:rPr>
                <w:rFonts w:eastAsia="Times New Roman"/>
                <w:sz w:val="20"/>
                <w:szCs w:val="20"/>
              </w:rPr>
            </w:pPr>
          </w:p>
        </w:tc>
      </w:tr>
      <w:tr w:rsidR="00000000" w14:paraId="3DD8B092" w14:textId="77777777">
        <w:trPr>
          <w:divId w:val="106967936"/>
          <w:trHeight w:val="300"/>
          <w:jc w:val="center"/>
        </w:trPr>
        <w:tc>
          <w:tcPr>
            <w:tcW w:w="0" w:type="auto"/>
            <w:gridSpan w:val="3"/>
            <w:tcBorders>
              <w:top w:val="single" w:sz="8" w:space="0" w:color="FFFFFF"/>
            </w:tcBorders>
            <w:shd w:val="clear" w:color="auto" w:fill="CCEEFF"/>
            <w:tcMar>
              <w:top w:w="15" w:type="dxa"/>
              <w:left w:w="20" w:type="dxa"/>
              <w:bottom w:w="15" w:type="dxa"/>
              <w:right w:w="20" w:type="dxa"/>
            </w:tcMar>
            <w:vAlign w:val="bottom"/>
            <w:hideMark/>
          </w:tcPr>
          <w:p w14:paraId="749AB533" w14:textId="77777777" w:rsidR="00000000" w:rsidRDefault="00195E73">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E265ADD"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078BB82"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2BE415E" w14:textId="77777777" w:rsidR="00000000" w:rsidRDefault="00195E73">
            <w:pPr>
              <w:rPr>
                <w:rFonts w:eastAsia="Times New Roman"/>
                <w:sz w:val="20"/>
                <w:szCs w:val="20"/>
              </w:rPr>
            </w:pPr>
          </w:p>
        </w:tc>
        <w:tc>
          <w:tcPr>
            <w:tcW w:w="0" w:type="auto"/>
            <w:vAlign w:val="center"/>
            <w:hideMark/>
          </w:tcPr>
          <w:p w14:paraId="17DE9682" w14:textId="77777777" w:rsidR="00000000" w:rsidRDefault="00195E73">
            <w:pPr>
              <w:rPr>
                <w:rFonts w:eastAsia="Times New Roman"/>
                <w:sz w:val="20"/>
                <w:szCs w:val="20"/>
              </w:rPr>
            </w:pPr>
          </w:p>
        </w:tc>
        <w:tc>
          <w:tcPr>
            <w:tcW w:w="0" w:type="auto"/>
            <w:vAlign w:val="center"/>
            <w:hideMark/>
          </w:tcPr>
          <w:p w14:paraId="5140A728" w14:textId="77777777" w:rsidR="00000000" w:rsidRDefault="00195E73">
            <w:pPr>
              <w:rPr>
                <w:rFonts w:eastAsia="Times New Roman"/>
                <w:sz w:val="20"/>
                <w:szCs w:val="20"/>
              </w:rPr>
            </w:pPr>
          </w:p>
        </w:tc>
        <w:tc>
          <w:tcPr>
            <w:tcW w:w="0" w:type="auto"/>
            <w:vAlign w:val="center"/>
            <w:hideMark/>
          </w:tcPr>
          <w:p w14:paraId="385990A2" w14:textId="77777777" w:rsidR="00000000" w:rsidRDefault="00195E73">
            <w:pPr>
              <w:rPr>
                <w:rFonts w:eastAsia="Times New Roman"/>
                <w:sz w:val="20"/>
                <w:szCs w:val="20"/>
              </w:rPr>
            </w:pPr>
          </w:p>
        </w:tc>
        <w:tc>
          <w:tcPr>
            <w:tcW w:w="0" w:type="auto"/>
            <w:vAlign w:val="center"/>
            <w:hideMark/>
          </w:tcPr>
          <w:p w14:paraId="5F0E6E4B" w14:textId="77777777" w:rsidR="00000000" w:rsidRDefault="00195E73">
            <w:pPr>
              <w:rPr>
                <w:rFonts w:eastAsia="Times New Roman"/>
                <w:sz w:val="20"/>
                <w:szCs w:val="20"/>
              </w:rPr>
            </w:pPr>
          </w:p>
        </w:tc>
        <w:tc>
          <w:tcPr>
            <w:tcW w:w="0" w:type="auto"/>
            <w:vAlign w:val="center"/>
            <w:hideMark/>
          </w:tcPr>
          <w:p w14:paraId="47AA0C1C" w14:textId="77777777" w:rsidR="00000000" w:rsidRDefault="00195E73">
            <w:pPr>
              <w:rPr>
                <w:rFonts w:eastAsia="Times New Roman"/>
                <w:sz w:val="20"/>
                <w:szCs w:val="20"/>
              </w:rPr>
            </w:pPr>
          </w:p>
        </w:tc>
        <w:tc>
          <w:tcPr>
            <w:tcW w:w="0" w:type="auto"/>
            <w:vAlign w:val="center"/>
            <w:hideMark/>
          </w:tcPr>
          <w:p w14:paraId="619F7858" w14:textId="77777777" w:rsidR="00000000" w:rsidRDefault="00195E73">
            <w:pPr>
              <w:rPr>
                <w:rFonts w:eastAsia="Times New Roman"/>
                <w:sz w:val="20"/>
                <w:szCs w:val="20"/>
              </w:rPr>
            </w:pPr>
          </w:p>
        </w:tc>
      </w:tr>
      <w:tr w:rsidR="00000000" w14:paraId="48826FC6" w14:textId="77777777">
        <w:trPr>
          <w:divId w:val="106967936"/>
          <w:jc w:val="center"/>
        </w:trPr>
        <w:tc>
          <w:tcPr>
            <w:tcW w:w="0" w:type="auto"/>
            <w:gridSpan w:val="3"/>
            <w:shd w:val="clear" w:color="auto" w:fill="FFFFFF"/>
            <w:tcMar>
              <w:top w:w="30" w:type="dxa"/>
              <w:left w:w="20" w:type="dxa"/>
              <w:bottom w:w="30" w:type="dxa"/>
              <w:right w:w="20" w:type="dxa"/>
            </w:tcMar>
            <w:vAlign w:val="bottom"/>
            <w:hideMark/>
          </w:tcPr>
          <w:p w14:paraId="3CFA9A65" w14:textId="77777777" w:rsidR="00000000" w:rsidRDefault="00195E73">
            <w:pPr>
              <w:rPr>
                <w:rFonts w:eastAsia="Times New Roman"/>
              </w:rPr>
            </w:pPr>
            <w:r>
              <w:rPr>
                <w:rFonts w:eastAsia="Times New Roman"/>
                <w:color w:val="000000"/>
                <w:sz w:val="20"/>
                <w:szCs w:val="20"/>
              </w:rPr>
              <w:t>Commitments and contingencies (Note 3</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7501E7DC"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528D496" w14:textId="77777777" w:rsidR="00000000" w:rsidRDefault="00195E73">
            <w:pPr>
              <w:rPr>
                <w:rFonts w:eastAsia="Times New Roman"/>
                <w:sz w:val="20"/>
                <w:szCs w:val="20"/>
              </w:rPr>
            </w:pPr>
          </w:p>
        </w:tc>
        <w:tc>
          <w:tcPr>
            <w:tcW w:w="0" w:type="auto"/>
            <w:gridSpan w:val="2"/>
            <w:shd w:val="clear" w:color="auto" w:fill="FFFFFF"/>
            <w:tcMar>
              <w:top w:w="15" w:type="dxa"/>
              <w:left w:w="20" w:type="dxa"/>
              <w:bottom w:w="15" w:type="dxa"/>
              <w:right w:w="0" w:type="dxa"/>
            </w:tcMar>
            <w:vAlign w:val="bottom"/>
            <w:hideMark/>
          </w:tcPr>
          <w:p w14:paraId="6A706D75" w14:textId="77777777" w:rsidR="00000000" w:rsidRDefault="00195E73">
            <w:pPr>
              <w:rPr>
                <w:rFonts w:eastAsia="Times New Roman"/>
                <w:sz w:val="20"/>
                <w:szCs w:val="20"/>
              </w:rPr>
            </w:pPr>
          </w:p>
        </w:tc>
        <w:tc>
          <w:tcPr>
            <w:tcW w:w="0" w:type="auto"/>
            <w:shd w:val="clear" w:color="auto" w:fill="FFFFFF"/>
            <w:tcMar>
              <w:top w:w="15" w:type="dxa"/>
              <w:left w:w="15" w:type="dxa"/>
              <w:bottom w:w="15" w:type="dxa"/>
              <w:right w:w="20" w:type="dxa"/>
            </w:tcMar>
            <w:vAlign w:val="bottom"/>
            <w:hideMark/>
          </w:tcPr>
          <w:p w14:paraId="76242214" w14:textId="77777777" w:rsidR="00000000" w:rsidRDefault="00195E73">
            <w:pPr>
              <w:rPr>
                <w:rFonts w:eastAsia="Times New Roman"/>
                <w:sz w:val="20"/>
                <w:szCs w:val="20"/>
              </w:rPr>
            </w:pPr>
          </w:p>
        </w:tc>
        <w:tc>
          <w:tcPr>
            <w:tcW w:w="0" w:type="auto"/>
            <w:vAlign w:val="center"/>
            <w:hideMark/>
          </w:tcPr>
          <w:p w14:paraId="633C4DC7" w14:textId="77777777" w:rsidR="00000000" w:rsidRDefault="00195E73">
            <w:pPr>
              <w:rPr>
                <w:rFonts w:eastAsia="Times New Roman"/>
                <w:sz w:val="20"/>
                <w:szCs w:val="20"/>
              </w:rPr>
            </w:pPr>
          </w:p>
        </w:tc>
        <w:tc>
          <w:tcPr>
            <w:tcW w:w="0" w:type="auto"/>
            <w:vAlign w:val="center"/>
            <w:hideMark/>
          </w:tcPr>
          <w:p w14:paraId="1B80B685" w14:textId="77777777" w:rsidR="00000000" w:rsidRDefault="00195E73">
            <w:pPr>
              <w:rPr>
                <w:rFonts w:eastAsia="Times New Roman"/>
                <w:sz w:val="20"/>
                <w:szCs w:val="20"/>
              </w:rPr>
            </w:pPr>
          </w:p>
        </w:tc>
        <w:tc>
          <w:tcPr>
            <w:tcW w:w="0" w:type="auto"/>
            <w:vAlign w:val="center"/>
            <w:hideMark/>
          </w:tcPr>
          <w:p w14:paraId="33E6BD05" w14:textId="77777777" w:rsidR="00000000" w:rsidRDefault="00195E73">
            <w:pPr>
              <w:rPr>
                <w:rFonts w:eastAsia="Times New Roman"/>
                <w:sz w:val="20"/>
                <w:szCs w:val="20"/>
              </w:rPr>
            </w:pPr>
          </w:p>
        </w:tc>
        <w:tc>
          <w:tcPr>
            <w:tcW w:w="0" w:type="auto"/>
            <w:vAlign w:val="center"/>
            <w:hideMark/>
          </w:tcPr>
          <w:p w14:paraId="35EE4534" w14:textId="77777777" w:rsidR="00000000" w:rsidRDefault="00195E73">
            <w:pPr>
              <w:rPr>
                <w:rFonts w:eastAsia="Times New Roman"/>
                <w:sz w:val="20"/>
                <w:szCs w:val="20"/>
              </w:rPr>
            </w:pPr>
          </w:p>
        </w:tc>
        <w:tc>
          <w:tcPr>
            <w:tcW w:w="0" w:type="auto"/>
            <w:vAlign w:val="center"/>
            <w:hideMark/>
          </w:tcPr>
          <w:p w14:paraId="10E1B44F" w14:textId="77777777" w:rsidR="00000000" w:rsidRDefault="00195E73">
            <w:pPr>
              <w:rPr>
                <w:rFonts w:eastAsia="Times New Roman"/>
                <w:sz w:val="20"/>
                <w:szCs w:val="20"/>
              </w:rPr>
            </w:pPr>
          </w:p>
        </w:tc>
        <w:tc>
          <w:tcPr>
            <w:tcW w:w="0" w:type="auto"/>
            <w:vAlign w:val="center"/>
            <w:hideMark/>
          </w:tcPr>
          <w:p w14:paraId="3DCEFB10" w14:textId="77777777" w:rsidR="00000000" w:rsidRDefault="00195E73">
            <w:pPr>
              <w:rPr>
                <w:rFonts w:eastAsia="Times New Roman"/>
                <w:sz w:val="20"/>
                <w:szCs w:val="20"/>
              </w:rPr>
            </w:pPr>
          </w:p>
        </w:tc>
      </w:tr>
      <w:tr w:rsidR="00000000" w14:paraId="7E7EFB02" w14:textId="77777777">
        <w:trPr>
          <w:divId w:val="106967936"/>
          <w:trHeight w:val="300"/>
          <w:jc w:val="center"/>
        </w:trPr>
        <w:tc>
          <w:tcPr>
            <w:tcW w:w="0" w:type="auto"/>
            <w:gridSpan w:val="3"/>
            <w:shd w:val="clear" w:color="auto" w:fill="CCEEFF"/>
            <w:tcMar>
              <w:top w:w="15" w:type="dxa"/>
              <w:left w:w="20" w:type="dxa"/>
              <w:bottom w:w="15" w:type="dxa"/>
              <w:right w:w="20" w:type="dxa"/>
            </w:tcMar>
            <w:vAlign w:val="bottom"/>
            <w:hideMark/>
          </w:tcPr>
          <w:p w14:paraId="4F06EC66" w14:textId="77777777" w:rsidR="00000000" w:rsidRDefault="00195E73">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7A7ED5B"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0498FE7"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1227494" w14:textId="77777777" w:rsidR="00000000" w:rsidRDefault="00195E73">
            <w:pPr>
              <w:rPr>
                <w:rFonts w:eastAsia="Times New Roman"/>
                <w:sz w:val="20"/>
                <w:szCs w:val="20"/>
              </w:rPr>
            </w:pPr>
          </w:p>
        </w:tc>
        <w:tc>
          <w:tcPr>
            <w:tcW w:w="0" w:type="auto"/>
            <w:vAlign w:val="center"/>
            <w:hideMark/>
          </w:tcPr>
          <w:p w14:paraId="21DEF535" w14:textId="77777777" w:rsidR="00000000" w:rsidRDefault="00195E73">
            <w:pPr>
              <w:rPr>
                <w:rFonts w:eastAsia="Times New Roman"/>
                <w:sz w:val="20"/>
                <w:szCs w:val="20"/>
              </w:rPr>
            </w:pPr>
          </w:p>
        </w:tc>
        <w:tc>
          <w:tcPr>
            <w:tcW w:w="0" w:type="auto"/>
            <w:vAlign w:val="center"/>
            <w:hideMark/>
          </w:tcPr>
          <w:p w14:paraId="0171C8E0" w14:textId="77777777" w:rsidR="00000000" w:rsidRDefault="00195E73">
            <w:pPr>
              <w:rPr>
                <w:rFonts w:eastAsia="Times New Roman"/>
                <w:sz w:val="20"/>
                <w:szCs w:val="20"/>
              </w:rPr>
            </w:pPr>
          </w:p>
        </w:tc>
        <w:tc>
          <w:tcPr>
            <w:tcW w:w="0" w:type="auto"/>
            <w:vAlign w:val="center"/>
            <w:hideMark/>
          </w:tcPr>
          <w:p w14:paraId="0533F775" w14:textId="77777777" w:rsidR="00000000" w:rsidRDefault="00195E73">
            <w:pPr>
              <w:rPr>
                <w:rFonts w:eastAsia="Times New Roman"/>
                <w:sz w:val="20"/>
                <w:szCs w:val="20"/>
              </w:rPr>
            </w:pPr>
          </w:p>
        </w:tc>
        <w:tc>
          <w:tcPr>
            <w:tcW w:w="0" w:type="auto"/>
            <w:vAlign w:val="center"/>
            <w:hideMark/>
          </w:tcPr>
          <w:p w14:paraId="35A8F692" w14:textId="77777777" w:rsidR="00000000" w:rsidRDefault="00195E73">
            <w:pPr>
              <w:rPr>
                <w:rFonts w:eastAsia="Times New Roman"/>
                <w:sz w:val="20"/>
                <w:szCs w:val="20"/>
              </w:rPr>
            </w:pPr>
          </w:p>
        </w:tc>
        <w:tc>
          <w:tcPr>
            <w:tcW w:w="0" w:type="auto"/>
            <w:vAlign w:val="center"/>
            <w:hideMark/>
          </w:tcPr>
          <w:p w14:paraId="2E080911" w14:textId="77777777" w:rsidR="00000000" w:rsidRDefault="00195E73">
            <w:pPr>
              <w:rPr>
                <w:rFonts w:eastAsia="Times New Roman"/>
                <w:sz w:val="20"/>
                <w:szCs w:val="20"/>
              </w:rPr>
            </w:pPr>
          </w:p>
        </w:tc>
        <w:tc>
          <w:tcPr>
            <w:tcW w:w="0" w:type="auto"/>
            <w:vAlign w:val="center"/>
            <w:hideMark/>
          </w:tcPr>
          <w:p w14:paraId="05508EB2" w14:textId="77777777" w:rsidR="00000000" w:rsidRDefault="00195E73">
            <w:pPr>
              <w:rPr>
                <w:rFonts w:eastAsia="Times New Roman"/>
                <w:sz w:val="20"/>
                <w:szCs w:val="20"/>
              </w:rPr>
            </w:pPr>
          </w:p>
        </w:tc>
      </w:tr>
      <w:tr w:rsidR="00000000" w14:paraId="79DC84B9" w14:textId="77777777">
        <w:trPr>
          <w:divId w:val="106967936"/>
          <w:jc w:val="center"/>
        </w:trPr>
        <w:tc>
          <w:tcPr>
            <w:tcW w:w="0" w:type="auto"/>
            <w:gridSpan w:val="3"/>
            <w:shd w:val="clear" w:color="auto" w:fill="FFFFFF"/>
            <w:tcMar>
              <w:top w:w="30" w:type="dxa"/>
              <w:left w:w="20" w:type="dxa"/>
              <w:bottom w:w="30" w:type="dxa"/>
              <w:right w:w="20" w:type="dxa"/>
            </w:tcMar>
            <w:vAlign w:val="bottom"/>
            <w:hideMark/>
          </w:tcPr>
          <w:p w14:paraId="68706C57" w14:textId="77777777" w:rsidR="00000000" w:rsidRDefault="00195E73">
            <w:pPr>
              <w:rPr>
                <w:rFonts w:eastAsia="Times New Roman"/>
              </w:rPr>
            </w:pPr>
            <w:r>
              <w:rPr>
                <w:rFonts w:eastAsia="Times New Roman"/>
                <w:color w:val="000000"/>
                <w:sz w:val="20"/>
                <w:szCs w:val="20"/>
              </w:rPr>
              <w:t>Equity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3BF9461C" w14:textId="77777777" w:rsidR="00000000" w:rsidRDefault="00195E73">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503675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EA0D6F7" w14:textId="77777777" w:rsidR="00000000" w:rsidRDefault="00195E73">
            <w:pPr>
              <w:rPr>
                <w:rFonts w:eastAsia="Times New Roman"/>
                <w:sz w:val="20"/>
                <w:szCs w:val="20"/>
              </w:rPr>
            </w:pPr>
          </w:p>
        </w:tc>
        <w:tc>
          <w:tcPr>
            <w:tcW w:w="0" w:type="auto"/>
            <w:vAlign w:val="center"/>
            <w:hideMark/>
          </w:tcPr>
          <w:p w14:paraId="0B639175" w14:textId="77777777" w:rsidR="00000000" w:rsidRDefault="00195E73">
            <w:pPr>
              <w:rPr>
                <w:rFonts w:eastAsia="Times New Roman"/>
                <w:sz w:val="20"/>
                <w:szCs w:val="20"/>
              </w:rPr>
            </w:pPr>
          </w:p>
        </w:tc>
        <w:tc>
          <w:tcPr>
            <w:tcW w:w="0" w:type="auto"/>
            <w:vAlign w:val="center"/>
            <w:hideMark/>
          </w:tcPr>
          <w:p w14:paraId="05CFF32C" w14:textId="77777777" w:rsidR="00000000" w:rsidRDefault="00195E73">
            <w:pPr>
              <w:rPr>
                <w:rFonts w:eastAsia="Times New Roman"/>
                <w:sz w:val="20"/>
                <w:szCs w:val="20"/>
              </w:rPr>
            </w:pPr>
          </w:p>
        </w:tc>
        <w:tc>
          <w:tcPr>
            <w:tcW w:w="0" w:type="auto"/>
            <w:vAlign w:val="center"/>
            <w:hideMark/>
          </w:tcPr>
          <w:p w14:paraId="15B0A545" w14:textId="77777777" w:rsidR="00000000" w:rsidRDefault="00195E73">
            <w:pPr>
              <w:rPr>
                <w:rFonts w:eastAsia="Times New Roman"/>
                <w:sz w:val="20"/>
                <w:szCs w:val="20"/>
              </w:rPr>
            </w:pPr>
          </w:p>
        </w:tc>
        <w:tc>
          <w:tcPr>
            <w:tcW w:w="0" w:type="auto"/>
            <w:vAlign w:val="center"/>
            <w:hideMark/>
          </w:tcPr>
          <w:p w14:paraId="34C10A14" w14:textId="77777777" w:rsidR="00000000" w:rsidRDefault="00195E73">
            <w:pPr>
              <w:rPr>
                <w:rFonts w:eastAsia="Times New Roman"/>
                <w:sz w:val="20"/>
                <w:szCs w:val="20"/>
              </w:rPr>
            </w:pPr>
          </w:p>
        </w:tc>
        <w:tc>
          <w:tcPr>
            <w:tcW w:w="0" w:type="auto"/>
            <w:vAlign w:val="center"/>
            <w:hideMark/>
          </w:tcPr>
          <w:p w14:paraId="6CAC7C14" w14:textId="77777777" w:rsidR="00000000" w:rsidRDefault="00195E73">
            <w:pPr>
              <w:rPr>
                <w:rFonts w:eastAsia="Times New Roman"/>
                <w:sz w:val="20"/>
                <w:szCs w:val="20"/>
              </w:rPr>
            </w:pPr>
          </w:p>
        </w:tc>
        <w:tc>
          <w:tcPr>
            <w:tcW w:w="0" w:type="auto"/>
            <w:vAlign w:val="center"/>
            <w:hideMark/>
          </w:tcPr>
          <w:p w14:paraId="3020EACD" w14:textId="77777777" w:rsidR="00000000" w:rsidRDefault="00195E73">
            <w:pPr>
              <w:rPr>
                <w:rFonts w:eastAsia="Times New Roman"/>
                <w:sz w:val="20"/>
                <w:szCs w:val="20"/>
              </w:rPr>
            </w:pPr>
          </w:p>
        </w:tc>
      </w:tr>
      <w:tr w:rsidR="00000000" w14:paraId="2C9A8796" w14:textId="77777777">
        <w:trPr>
          <w:divId w:val="106967936"/>
          <w:jc w:val="center"/>
        </w:trPr>
        <w:tc>
          <w:tcPr>
            <w:tcW w:w="0" w:type="auto"/>
            <w:gridSpan w:val="3"/>
            <w:shd w:val="clear" w:color="auto" w:fill="CCEEFF"/>
            <w:tcMar>
              <w:top w:w="30" w:type="dxa"/>
              <w:left w:w="90" w:type="dxa"/>
              <w:bottom w:w="30" w:type="dxa"/>
              <w:right w:w="20" w:type="dxa"/>
            </w:tcMar>
            <w:vAlign w:val="bottom"/>
            <w:hideMark/>
          </w:tcPr>
          <w:p w14:paraId="1BDCADA3" w14:textId="77777777" w:rsidR="00000000" w:rsidRDefault="00195E73">
            <w:pPr>
              <w:rPr>
                <w:rFonts w:eastAsia="Times New Roman"/>
              </w:rPr>
            </w:pPr>
            <w:r>
              <w:rPr>
                <w:rFonts w:eastAsia="Times New Roman"/>
                <w:color w:val="000000"/>
                <w:sz w:val="20"/>
                <w:szCs w:val="20"/>
              </w:rPr>
              <w:t>Limited partne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7BFE0693" w14:textId="77777777" w:rsidR="00000000" w:rsidRDefault="00195E73">
            <w:pPr>
              <w:jc w:val="right"/>
              <w:rPr>
                <w:rFonts w:eastAsia="Times New Roman"/>
              </w:rPr>
            </w:pPr>
            <w:r>
              <w:rPr>
                <w:rFonts w:eastAsia="Times New Roman"/>
                <w:color w:val="000000"/>
                <w:sz w:val="20"/>
                <w:szCs w:val="20"/>
              </w:rPr>
              <w:t>6,328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B4F36B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8F36B3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6406AC" w14:textId="77777777" w:rsidR="00000000" w:rsidRDefault="00195E73">
            <w:pPr>
              <w:jc w:val="right"/>
              <w:rPr>
                <w:rFonts w:eastAsia="Times New Roman"/>
              </w:rPr>
            </w:pPr>
            <w:r>
              <w:rPr>
                <w:rFonts w:eastAsia="Times New Roman"/>
                <w:color w:val="000000"/>
                <w:sz w:val="20"/>
                <w:szCs w:val="20"/>
              </w:rPr>
              <w:t>7,421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160E67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D75AE41" w14:textId="77777777" w:rsidR="00000000" w:rsidRDefault="00195E73">
            <w:pPr>
              <w:rPr>
                <w:rFonts w:eastAsia="Times New Roman"/>
                <w:sz w:val="20"/>
                <w:szCs w:val="20"/>
              </w:rPr>
            </w:pPr>
          </w:p>
        </w:tc>
        <w:tc>
          <w:tcPr>
            <w:tcW w:w="0" w:type="auto"/>
            <w:vAlign w:val="center"/>
            <w:hideMark/>
          </w:tcPr>
          <w:p w14:paraId="26AAE3B6" w14:textId="77777777" w:rsidR="00000000" w:rsidRDefault="00195E73">
            <w:pPr>
              <w:rPr>
                <w:rFonts w:eastAsia="Times New Roman"/>
                <w:sz w:val="20"/>
                <w:szCs w:val="20"/>
              </w:rPr>
            </w:pPr>
          </w:p>
        </w:tc>
        <w:tc>
          <w:tcPr>
            <w:tcW w:w="0" w:type="auto"/>
            <w:vAlign w:val="center"/>
            <w:hideMark/>
          </w:tcPr>
          <w:p w14:paraId="04EE71F2" w14:textId="77777777" w:rsidR="00000000" w:rsidRDefault="00195E73">
            <w:pPr>
              <w:rPr>
                <w:rFonts w:eastAsia="Times New Roman"/>
                <w:sz w:val="20"/>
                <w:szCs w:val="20"/>
              </w:rPr>
            </w:pPr>
          </w:p>
        </w:tc>
        <w:tc>
          <w:tcPr>
            <w:tcW w:w="0" w:type="auto"/>
            <w:vAlign w:val="center"/>
            <w:hideMark/>
          </w:tcPr>
          <w:p w14:paraId="4A960690" w14:textId="77777777" w:rsidR="00000000" w:rsidRDefault="00195E73">
            <w:pPr>
              <w:rPr>
                <w:rFonts w:eastAsia="Times New Roman"/>
                <w:sz w:val="20"/>
                <w:szCs w:val="20"/>
              </w:rPr>
            </w:pPr>
          </w:p>
        </w:tc>
        <w:tc>
          <w:tcPr>
            <w:tcW w:w="0" w:type="auto"/>
            <w:vAlign w:val="center"/>
            <w:hideMark/>
          </w:tcPr>
          <w:p w14:paraId="78869E3F" w14:textId="77777777" w:rsidR="00000000" w:rsidRDefault="00195E73">
            <w:pPr>
              <w:rPr>
                <w:rFonts w:eastAsia="Times New Roman"/>
                <w:sz w:val="20"/>
                <w:szCs w:val="20"/>
              </w:rPr>
            </w:pPr>
          </w:p>
        </w:tc>
        <w:tc>
          <w:tcPr>
            <w:tcW w:w="0" w:type="auto"/>
            <w:vAlign w:val="center"/>
            <w:hideMark/>
          </w:tcPr>
          <w:p w14:paraId="5F71D238" w14:textId="77777777" w:rsidR="00000000" w:rsidRDefault="00195E73">
            <w:pPr>
              <w:rPr>
                <w:rFonts w:eastAsia="Times New Roman"/>
                <w:sz w:val="20"/>
                <w:szCs w:val="20"/>
              </w:rPr>
            </w:pPr>
          </w:p>
        </w:tc>
      </w:tr>
      <w:tr w:rsidR="00000000" w14:paraId="06A7C255" w14:textId="77777777">
        <w:trPr>
          <w:divId w:val="106967936"/>
          <w:jc w:val="center"/>
        </w:trPr>
        <w:tc>
          <w:tcPr>
            <w:tcW w:w="0" w:type="auto"/>
            <w:gridSpan w:val="3"/>
            <w:shd w:val="clear" w:color="auto" w:fill="FFFFFF"/>
            <w:tcMar>
              <w:top w:w="30" w:type="dxa"/>
              <w:left w:w="90" w:type="dxa"/>
              <w:bottom w:w="30" w:type="dxa"/>
              <w:right w:w="20" w:type="dxa"/>
            </w:tcMar>
            <w:vAlign w:val="bottom"/>
            <w:hideMark/>
          </w:tcPr>
          <w:p w14:paraId="3F5045C8" w14:textId="77777777" w:rsidR="00000000" w:rsidRDefault="00195E73">
            <w:pPr>
              <w:rPr>
                <w:rFonts w:eastAsia="Times New Roman"/>
              </w:rPr>
            </w:pPr>
            <w:r>
              <w:rPr>
                <w:rFonts w:eastAsia="Times New Roman"/>
                <w:color w:val="000000"/>
                <w:sz w:val="20"/>
                <w:szCs w:val="20"/>
              </w:rPr>
              <w:t>General partne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14:paraId="0591DDA8" w14:textId="77777777" w:rsidR="00000000" w:rsidRDefault="00195E73">
            <w:pPr>
              <w:jc w:val="right"/>
              <w:rPr>
                <w:rFonts w:eastAsia="Times New Roman"/>
              </w:rPr>
            </w:pPr>
            <w:r>
              <w:rPr>
                <w:rFonts w:eastAsia="Times New Roman"/>
                <w:color w:val="000000"/>
                <w:sz w:val="20"/>
                <w:szCs w:val="20"/>
              </w:rPr>
              <w:t>(875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7F11AE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7A1AB1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2E7543" w14:textId="77777777" w:rsidR="00000000" w:rsidRDefault="00195E73">
            <w:pPr>
              <w:jc w:val="right"/>
              <w:rPr>
                <w:rFonts w:eastAsia="Times New Roman"/>
              </w:rPr>
            </w:pPr>
            <w:r>
              <w:rPr>
                <w:rFonts w:eastAsia="Times New Roman"/>
                <w:color w:val="000000"/>
                <w:sz w:val="20"/>
                <w:szCs w:val="20"/>
              </w:rPr>
              <w:t>(864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155839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8A672E0" w14:textId="77777777" w:rsidR="00000000" w:rsidRDefault="00195E73">
            <w:pPr>
              <w:rPr>
                <w:rFonts w:eastAsia="Times New Roman"/>
                <w:sz w:val="20"/>
                <w:szCs w:val="20"/>
              </w:rPr>
            </w:pPr>
          </w:p>
        </w:tc>
        <w:tc>
          <w:tcPr>
            <w:tcW w:w="0" w:type="auto"/>
            <w:vAlign w:val="center"/>
            <w:hideMark/>
          </w:tcPr>
          <w:p w14:paraId="2491E39A" w14:textId="77777777" w:rsidR="00000000" w:rsidRDefault="00195E73">
            <w:pPr>
              <w:rPr>
                <w:rFonts w:eastAsia="Times New Roman"/>
                <w:sz w:val="20"/>
                <w:szCs w:val="20"/>
              </w:rPr>
            </w:pPr>
          </w:p>
        </w:tc>
        <w:tc>
          <w:tcPr>
            <w:tcW w:w="0" w:type="auto"/>
            <w:vAlign w:val="center"/>
            <w:hideMark/>
          </w:tcPr>
          <w:p w14:paraId="0BD557E6" w14:textId="77777777" w:rsidR="00000000" w:rsidRDefault="00195E73">
            <w:pPr>
              <w:rPr>
                <w:rFonts w:eastAsia="Times New Roman"/>
                <w:sz w:val="20"/>
                <w:szCs w:val="20"/>
              </w:rPr>
            </w:pPr>
          </w:p>
        </w:tc>
        <w:tc>
          <w:tcPr>
            <w:tcW w:w="0" w:type="auto"/>
            <w:vAlign w:val="center"/>
            <w:hideMark/>
          </w:tcPr>
          <w:p w14:paraId="1299DAF0" w14:textId="77777777" w:rsidR="00000000" w:rsidRDefault="00195E73">
            <w:pPr>
              <w:rPr>
                <w:rFonts w:eastAsia="Times New Roman"/>
                <w:sz w:val="20"/>
                <w:szCs w:val="20"/>
              </w:rPr>
            </w:pPr>
          </w:p>
        </w:tc>
        <w:tc>
          <w:tcPr>
            <w:tcW w:w="0" w:type="auto"/>
            <w:vAlign w:val="center"/>
            <w:hideMark/>
          </w:tcPr>
          <w:p w14:paraId="3370EE7F" w14:textId="77777777" w:rsidR="00000000" w:rsidRDefault="00195E73">
            <w:pPr>
              <w:rPr>
                <w:rFonts w:eastAsia="Times New Roman"/>
                <w:sz w:val="20"/>
                <w:szCs w:val="20"/>
              </w:rPr>
            </w:pPr>
          </w:p>
        </w:tc>
        <w:tc>
          <w:tcPr>
            <w:tcW w:w="0" w:type="auto"/>
            <w:vAlign w:val="center"/>
            <w:hideMark/>
          </w:tcPr>
          <w:p w14:paraId="0E7A58A7" w14:textId="77777777" w:rsidR="00000000" w:rsidRDefault="00195E73">
            <w:pPr>
              <w:rPr>
                <w:rFonts w:eastAsia="Times New Roman"/>
                <w:sz w:val="20"/>
                <w:szCs w:val="20"/>
              </w:rPr>
            </w:pPr>
          </w:p>
        </w:tc>
      </w:tr>
      <w:tr w:rsidR="00000000" w14:paraId="26A5C999" w14:textId="77777777">
        <w:trPr>
          <w:divId w:val="106967936"/>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6CD6EB2D" w14:textId="77777777" w:rsidR="00000000" w:rsidRDefault="00195E73">
            <w:pPr>
              <w:rPr>
                <w:rFonts w:eastAsia="Times New Roman"/>
              </w:rPr>
            </w:pPr>
            <w:r>
              <w:rPr>
                <w:rFonts w:eastAsia="Times New Roman"/>
                <w:color w:val="000000"/>
                <w:sz w:val="20"/>
                <w:szCs w:val="20"/>
              </w:rPr>
              <w:t>Total equit</w:t>
            </w:r>
            <w:r>
              <w:rPr>
                <w:rFonts w:eastAsia="Times New Roman"/>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091550" w14:textId="77777777" w:rsidR="00000000" w:rsidRDefault="00195E73">
            <w:pPr>
              <w:jc w:val="right"/>
              <w:rPr>
                <w:rFonts w:eastAsia="Times New Roman"/>
              </w:rPr>
            </w:pPr>
            <w:r>
              <w:rPr>
                <w:rFonts w:eastAsia="Times New Roman"/>
                <w:color w:val="000000"/>
                <w:sz w:val="20"/>
                <w:szCs w:val="20"/>
              </w:rPr>
              <w:t>5,453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3834A3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EC2397A"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23EAF1" w14:textId="77777777" w:rsidR="00000000" w:rsidRDefault="00195E73">
            <w:pPr>
              <w:jc w:val="right"/>
              <w:rPr>
                <w:rFonts w:eastAsia="Times New Roman"/>
              </w:rPr>
            </w:pPr>
            <w:r>
              <w:rPr>
                <w:rFonts w:eastAsia="Times New Roman"/>
                <w:color w:val="000000"/>
                <w:sz w:val="20"/>
                <w:szCs w:val="20"/>
              </w:rPr>
              <w:t>6,557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8F8EF7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108D413" w14:textId="77777777" w:rsidR="00000000" w:rsidRDefault="00195E73">
            <w:pPr>
              <w:rPr>
                <w:rFonts w:eastAsia="Times New Roman"/>
                <w:sz w:val="20"/>
                <w:szCs w:val="20"/>
              </w:rPr>
            </w:pPr>
          </w:p>
        </w:tc>
        <w:tc>
          <w:tcPr>
            <w:tcW w:w="0" w:type="auto"/>
            <w:vAlign w:val="center"/>
            <w:hideMark/>
          </w:tcPr>
          <w:p w14:paraId="4ABC96F9" w14:textId="77777777" w:rsidR="00000000" w:rsidRDefault="00195E73">
            <w:pPr>
              <w:rPr>
                <w:rFonts w:eastAsia="Times New Roman"/>
                <w:sz w:val="20"/>
                <w:szCs w:val="20"/>
              </w:rPr>
            </w:pPr>
          </w:p>
        </w:tc>
        <w:tc>
          <w:tcPr>
            <w:tcW w:w="0" w:type="auto"/>
            <w:vAlign w:val="center"/>
            <w:hideMark/>
          </w:tcPr>
          <w:p w14:paraId="3FF89F88" w14:textId="77777777" w:rsidR="00000000" w:rsidRDefault="00195E73">
            <w:pPr>
              <w:rPr>
                <w:rFonts w:eastAsia="Times New Roman"/>
                <w:sz w:val="20"/>
                <w:szCs w:val="20"/>
              </w:rPr>
            </w:pPr>
          </w:p>
        </w:tc>
        <w:tc>
          <w:tcPr>
            <w:tcW w:w="0" w:type="auto"/>
            <w:vAlign w:val="center"/>
            <w:hideMark/>
          </w:tcPr>
          <w:p w14:paraId="400CF7E0" w14:textId="77777777" w:rsidR="00000000" w:rsidRDefault="00195E73">
            <w:pPr>
              <w:rPr>
                <w:rFonts w:eastAsia="Times New Roman"/>
                <w:sz w:val="20"/>
                <w:szCs w:val="20"/>
              </w:rPr>
            </w:pPr>
          </w:p>
        </w:tc>
        <w:tc>
          <w:tcPr>
            <w:tcW w:w="0" w:type="auto"/>
            <w:vAlign w:val="center"/>
            <w:hideMark/>
          </w:tcPr>
          <w:p w14:paraId="4C8E338D" w14:textId="77777777" w:rsidR="00000000" w:rsidRDefault="00195E73">
            <w:pPr>
              <w:rPr>
                <w:rFonts w:eastAsia="Times New Roman"/>
                <w:sz w:val="20"/>
                <w:szCs w:val="20"/>
              </w:rPr>
            </w:pPr>
          </w:p>
        </w:tc>
        <w:tc>
          <w:tcPr>
            <w:tcW w:w="0" w:type="auto"/>
            <w:vAlign w:val="center"/>
            <w:hideMark/>
          </w:tcPr>
          <w:p w14:paraId="065C86A3" w14:textId="77777777" w:rsidR="00000000" w:rsidRDefault="00195E73">
            <w:pPr>
              <w:rPr>
                <w:rFonts w:eastAsia="Times New Roman"/>
                <w:sz w:val="20"/>
                <w:szCs w:val="20"/>
              </w:rPr>
            </w:pPr>
          </w:p>
        </w:tc>
      </w:tr>
      <w:tr w:rsidR="00000000" w14:paraId="1EC2BB0C" w14:textId="77777777">
        <w:trPr>
          <w:divId w:val="106967936"/>
          <w:jc w:val="center"/>
        </w:trPr>
        <w:tc>
          <w:tcPr>
            <w:tcW w:w="0" w:type="auto"/>
            <w:gridSpan w:val="3"/>
            <w:tcBorders>
              <w:top w:val="single" w:sz="8" w:space="0" w:color="FFFFFF"/>
              <w:bottom w:val="double" w:sz="6" w:space="0" w:color="FFFFFF"/>
            </w:tcBorders>
            <w:shd w:val="clear" w:color="auto" w:fill="FFFFFF"/>
            <w:tcMar>
              <w:top w:w="30" w:type="dxa"/>
              <w:left w:w="20" w:type="dxa"/>
              <w:bottom w:w="30" w:type="dxa"/>
              <w:right w:w="20" w:type="dxa"/>
            </w:tcMar>
            <w:vAlign w:val="bottom"/>
            <w:hideMark/>
          </w:tcPr>
          <w:p w14:paraId="4133B6C4" w14:textId="77777777" w:rsidR="00000000" w:rsidRDefault="00195E73">
            <w:pPr>
              <w:rPr>
                <w:rFonts w:eastAsia="Times New Roman"/>
              </w:rPr>
            </w:pPr>
            <w:r>
              <w:rPr>
                <w:rFonts w:eastAsia="Times New Roman"/>
                <w:b/>
                <w:bCs/>
                <w:color w:val="000000"/>
                <w:sz w:val="20"/>
                <w:szCs w:val="20"/>
              </w:rPr>
              <w:t>Total Liabilities and Equit</w:t>
            </w:r>
            <w:r>
              <w:rPr>
                <w:rFonts w:eastAsia="Times New Roman"/>
                <w:b/>
                <w:bCs/>
                <w:color w:val="000000"/>
                <w:sz w:val="20"/>
                <w:szCs w:val="20"/>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7F7624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8823F44" w14:textId="77777777" w:rsidR="00000000" w:rsidRDefault="00195E73">
            <w:pPr>
              <w:jc w:val="right"/>
              <w:rPr>
                <w:rFonts w:eastAsia="Times New Roman"/>
              </w:rPr>
            </w:pPr>
            <w:r>
              <w:rPr>
                <w:rFonts w:eastAsia="Times New Roman"/>
                <w:color w:val="000000"/>
                <w:sz w:val="20"/>
                <w:szCs w:val="20"/>
              </w:rPr>
              <w:t>11,869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7C20F1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ACA853C"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665FD0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1A8D227" w14:textId="77777777" w:rsidR="00000000" w:rsidRDefault="00195E73">
            <w:pPr>
              <w:jc w:val="right"/>
              <w:rPr>
                <w:rFonts w:eastAsia="Times New Roman"/>
              </w:rPr>
            </w:pPr>
            <w:r>
              <w:rPr>
                <w:rFonts w:eastAsia="Times New Roman"/>
                <w:color w:val="000000"/>
                <w:sz w:val="20"/>
                <w:szCs w:val="20"/>
              </w:rPr>
              <w:t>12,197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4930F7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8C608D9" w14:textId="77777777" w:rsidR="00000000" w:rsidRDefault="00195E73">
            <w:pPr>
              <w:rPr>
                <w:rFonts w:eastAsia="Times New Roman"/>
                <w:sz w:val="20"/>
                <w:szCs w:val="20"/>
              </w:rPr>
            </w:pPr>
          </w:p>
        </w:tc>
        <w:tc>
          <w:tcPr>
            <w:tcW w:w="0" w:type="auto"/>
            <w:vAlign w:val="center"/>
            <w:hideMark/>
          </w:tcPr>
          <w:p w14:paraId="704E4FF6" w14:textId="77777777" w:rsidR="00000000" w:rsidRDefault="00195E73">
            <w:pPr>
              <w:rPr>
                <w:rFonts w:eastAsia="Times New Roman"/>
                <w:sz w:val="20"/>
                <w:szCs w:val="20"/>
              </w:rPr>
            </w:pPr>
          </w:p>
        </w:tc>
        <w:tc>
          <w:tcPr>
            <w:tcW w:w="0" w:type="auto"/>
            <w:vAlign w:val="center"/>
            <w:hideMark/>
          </w:tcPr>
          <w:p w14:paraId="075E7620" w14:textId="77777777" w:rsidR="00000000" w:rsidRDefault="00195E73">
            <w:pPr>
              <w:rPr>
                <w:rFonts w:eastAsia="Times New Roman"/>
                <w:sz w:val="20"/>
                <w:szCs w:val="20"/>
              </w:rPr>
            </w:pPr>
          </w:p>
        </w:tc>
        <w:tc>
          <w:tcPr>
            <w:tcW w:w="0" w:type="auto"/>
            <w:vAlign w:val="center"/>
            <w:hideMark/>
          </w:tcPr>
          <w:p w14:paraId="4DE65083" w14:textId="77777777" w:rsidR="00000000" w:rsidRDefault="00195E73">
            <w:pPr>
              <w:rPr>
                <w:rFonts w:eastAsia="Times New Roman"/>
                <w:sz w:val="20"/>
                <w:szCs w:val="20"/>
              </w:rPr>
            </w:pPr>
          </w:p>
        </w:tc>
        <w:tc>
          <w:tcPr>
            <w:tcW w:w="0" w:type="auto"/>
            <w:vAlign w:val="center"/>
            <w:hideMark/>
          </w:tcPr>
          <w:p w14:paraId="17AB95D9" w14:textId="77777777" w:rsidR="00000000" w:rsidRDefault="00195E73">
            <w:pPr>
              <w:rPr>
                <w:rFonts w:eastAsia="Times New Roman"/>
                <w:sz w:val="20"/>
                <w:szCs w:val="20"/>
              </w:rPr>
            </w:pPr>
          </w:p>
        </w:tc>
        <w:tc>
          <w:tcPr>
            <w:tcW w:w="0" w:type="auto"/>
            <w:vAlign w:val="center"/>
            <w:hideMark/>
          </w:tcPr>
          <w:p w14:paraId="2CA05AA8" w14:textId="77777777" w:rsidR="00000000" w:rsidRDefault="00195E73">
            <w:pPr>
              <w:rPr>
                <w:rFonts w:eastAsia="Times New Roman"/>
                <w:sz w:val="20"/>
                <w:szCs w:val="20"/>
              </w:rPr>
            </w:pPr>
          </w:p>
        </w:tc>
      </w:tr>
    </w:tbl>
    <w:p w14:paraId="2F8E70EF" w14:textId="77777777" w:rsidR="00000000" w:rsidRDefault="00195E73">
      <w:pPr>
        <w:jc w:val="center"/>
        <w:rPr>
          <w:rFonts w:eastAsia="Times New Roman"/>
        </w:rPr>
      </w:pPr>
    </w:p>
    <w:p w14:paraId="068F55CC" w14:textId="77777777" w:rsidR="00000000" w:rsidRDefault="00195E73">
      <w:pPr>
        <w:jc w:val="center"/>
        <w:rPr>
          <w:rFonts w:eastAsia="Times New Roman"/>
        </w:rPr>
      </w:pPr>
    </w:p>
    <w:p w14:paraId="43DB25D6" w14:textId="77777777" w:rsidR="00000000" w:rsidRDefault="00195E73">
      <w:pPr>
        <w:jc w:val="center"/>
        <w:rPr>
          <w:rFonts w:eastAsia="Times New Roman"/>
        </w:rPr>
      </w:pPr>
    </w:p>
    <w:p w14:paraId="49475B75" w14:textId="77777777" w:rsidR="00000000" w:rsidRDefault="00195E73">
      <w:pPr>
        <w:jc w:val="center"/>
        <w:rPr>
          <w:rFonts w:eastAsia="Times New Roman"/>
        </w:rPr>
      </w:pPr>
    </w:p>
    <w:p w14:paraId="518C73BD" w14:textId="77777777" w:rsidR="00000000" w:rsidRDefault="00195E73">
      <w:pPr>
        <w:jc w:val="center"/>
        <w:rPr>
          <w:rFonts w:eastAsia="Times New Roman"/>
        </w:rPr>
      </w:pPr>
    </w:p>
    <w:p w14:paraId="14410A81" w14:textId="77777777" w:rsidR="00000000" w:rsidRDefault="00195E73">
      <w:pPr>
        <w:jc w:val="center"/>
        <w:rPr>
          <w:rFonts w:eastAsia="Times New Roman"/>
        </w:rPr>
      </w:pPr>
    </w:p>
    <w:p w14:paraId="1E3CBF79" w14:textId="77777777" w:rsidR="00000000" w:rsidRDefault="00195E73">
      <w:pPr>
        <w:jc w:val="center"/>
        <w:rPr>
          <w:rFonts w:eastAsia="Times New Roman"/>
        </w:rPr>
      </w:pPr>
    </w:p>
    <w:p w14:paraId="1B8A38CF" w14:textId="77777777" w:rsidR="00000000" w:rsidRDefault="00195E73">
      <w:pPr>
        <w:jc w:val="center"/>
        <w:rPr>
          <w:rFonts w:eastAsia="Times New Roman"/>
        </w:rPr>
      </w:pPr>
    </w:p>
    <w:p w14:paraId="20B22B5A" w14:textId="77777777" w:rsidR="00000000" w:rsidRDefault="00195E73">
      <w:pPr>
        <w:jc w:val="center"/>
        <w:rPr>
          <w:rFonts w:eastAsia="Times New Roman"/>
        </w:rPr>
      </w:pPr>
    </w:p>
    <w:p w14:paraId="6E35E07A" w14:textId="77777777" w:rsidR="00000000" w:rsidRDefault="00195E73">
      <w:pPr>
        <w:jc w:val="center"/>
        <w:rPr>
          <w:rFonts w:eastAsia="Times New Roman"/>
        </w:rPr>
      </w:pPr>
    </w:p>
    <w:p w14:paraId="23F19EC9" w14:textId="77777777" w:rsidR="00000000" w:rsidRDefault="00195E73">
      <w:pPr>
        <w:jc w:val="center"/>
        <w:rPr>
          <w:rFonts w:eastAsia="Times New Roman"/>
        </w:rPr>
      </w:pPr>
    </w:p>
    <w:p w14:paraId="07653F3E" w14:textId="77777777" w:rsidR="00000000" w:rsidRDefault="00195E73">
      <w:pPr>
        <w:jc w:val="center"/>
        <w:rPr>
          <w:rFonts w:eastAsia="Times New Roman"/>
        </w:rPr>
      </w:pPr>
    </w:p>
    <w:p w14:paraId="5237E62B" w14:textId="77777777" w:rsidR="00000000" w:rsidRDefault="00195E73">
      <w:pPr>
        <w:jc w:val="center"/>
        <w:rPr>
          <w:rFonts w:eastAsia="Times New Roman"/>
        </w:rPr>
      </w:pPr>
    </w:p>
    <w:p w14:paraId="4585E5C0" w14:textId="77777777" w:rsidR="00000000" w:rsidRDefault="00195E73">
      <w:pPr>
        <w:jc w:val="center"/>
        <w:rPr>
          <w:rFonts w:eastAsia="Times New Roman"/>
        </w:rPr>
      </w:pPr>
    </w:p>
    <w:p w14:paraId="3CCBC055" w14:textId="77777777" w:rsidR="00000000" w:rsidRDefault="00195E73">
      <w:pPr>
        <w:jc w:val="center"/>
        <w:rPr>
          <w:rFonts w:eastAsia="Times New Roman"/>
        </w:rPr>
      </w:pPr>
    </w:p>
    <w:p w14:paraId="6F9E3E97" w14:textId="77777777" w:rsidR="00000000" w:rsidRDefault="00195E73">
      <w:pPr>
        <w:jc w:val="center"/>
        <w:rPr>
          <w:rFonts w:eastAsia="Times New Roman"/>
        </w:rPr>
      </w:pPr>
    </w:p>
    <w:p w14:paraId="24D40C29" w14:textId="77777777" w:rsidR="00000000" w:rsidRDefault="00195E73">
      <w:pPr>
        <w:jc w:val="center"/>
        <w:rPr>
          <w:rFonts w:eastAsia="Times New Roman"/>
        </w:rPr>
      </w:pPr>
    </w:p>
    <w:p w14:paraId="75E34A8C" w14:textId="77777777" w:rsidR="00000000" w:rsidRDefault="00195E73">
      <w:pPr>
        <w:jc w:val="center"/>
        <w:rPr>
          <w:rFonts w:eastAsia="Times New Roman"/>
        </w:rPr>
      </w:pPr>
    </w:p>
    <w:p w14:paraId="2BAFCBE8" w14:textId="77777777" w:rsidR="00000000" w:rsidRDefault="00195E73">
      <w:pPr>
        <w:jc w:val="center"/>
        <w:rPr>
          <w:rFonts w:eastAsia="Times New Roman"/>
        </w:rPr>
      </w:pPr>
    </w:p>
    <w:p w14:paraId="122E3E41" w14:textId="77777777" w:rsidR="00000000" w:rsidRDefault="00195E73">
      <w:pPr>
        <w:jc w:val="center"/>
        <w:rPr>
          <w:rFonts w:eastAsia="Times New Roman"/>
        </w:rPr>
      </w:pPr>
    </w:p>
    <w:p w14:paraId="1316F538" w14:textId="77777777" w:rsidR="00000000" w:rsidRDefault="00195E73">
      <w:pPr>
        <w:jc w:val="center"/>
        <w:rPr>
          <w:rFonts w:eastAsia="Times New Roman"/>
        </w:rPr>
      </w:pPr>
    </w:p>
    <w:p w14:paraId="72CA2242" w14:textId="77777777" w:rsidR="00000000" w:rsidRDefault="00195E73">
      <w:pPr>
        <w:jc w:val="center"/>
        <w:rPr>
          <w:rFonts w:eastAsia="Times New Roman"/>
        </w:rPr>
      </w:pPr>
    </w:p>
    <w:p w14:paraId="4F9131AA" w14:textId="77777777" w:rsidR="00000000" w:rsidRDefault="00195E73">
      <w:pPr>
        <w:jc w:val="center"/>
        <w:rPr>
          <w:rFonts w:eastAsia="Times New Roman"/>
        </w:rPr>
      </w:pPr>
      <w:r>
        <w:rPr>
          <w:rFonts w:eastAsia="Times New Roman"/>
          <w:i/>
          <w:iCs/>
          <w:color w:val="000000"/>
          <w:sz w:val="20"/>
          <w:szCs w:val="20"/>
        </w:rPr>
        <w:t>See notes to condensed financial statements</w:t>
      </w:r>
      <w:r>
        <w:rPr>
          <w:rFonts w:eastAsia="Times New Roman"/>
          <w:i/>
          <w:iCs/>
          <w:color w:val="000000"/>
          <w:sz w:val="20"/>
          <w:szCs w:val="20"/>
        </w:rPr>
        <w:t>.</w:t>
      </w:r>
    </w:p>
    <w:p w14:paraId="102B31FC" w14:textId="77777777" w:rsidR="00000000" w:rsidRDefault="00195E73">
      <w:pPr>
        <w:jc w:val="center"/>
        <w:divId w:val="1115634560"/>
        <w:rPr>
          <w:rFonts w:eastAsia="Times New Roman"/>
        </w:rPr>
      </w:pPr>
      <w:r>
        <w:rPr>
          <w:rFonts w:eastAsia="Times New Roman"/>
          <w:color w:val="000000"/>
          <w:sz w:val="20"/>
          <w:szCs w:val="20"/>
        </w:rPr>
        <w:t>13</w:t>
      </w:r>
      <w:r>
        <w:rPr>
          <w:rFonts w:eastAsia="Times New Roman"/>
          <w:color w:val="000000"/>
          <w:sz w:val="20"/>
          <w:szCs w:val="20"/>
        </w:rPr>
        <w:t>7</w:t>
      </w:r>
    </w:p>
    <w:p w14:paraId="64294140" w14:textId="77777777" w:rsidR="00000000" w:rsidRDefault="00195E73">
      <w:pPr>
        <w:rPr>
          <w:rFonts w:eastAsia="Times New Roman"/>
        </w:rPr>
      </w:pPr>
      <w:r>
        <w:rPr>
          <w:rFonts w:eastAsia="Times New Roman"/>
        </w:rPr>
        <w:pict w14:anchorId="6CB82EBD">
          <v:rect id="_x0000_i1163" style="width:0;height:1.5pt" o:hralign="center" o:hrstd="t" o:hr="t" fillcolor="#a0a0a0" stroked="f"/>
        </w:pict>
      </w:r>
    </w:p>
    <w:p w14:paraId="1DB910A4" w14:textId="77777777" w:rsidR="00000000" w:rsidRDefault="00195E73">
      <w:pPr>
        <w:divId w:val="497114941"/>
        <w:rPr>
          <w:rFonts w:eastAsia="Times New Roman"/>
        </w:rPr>
      </w:pPr>
    </w:p>
    <w:p w14:paraId="5FC015A1" w14:textId="77777777" w:rsidR="00000000" w:rsidRDefault="00195E73">
      <w:pPr>
        <w:jc w:val="center"/>
        <w:divId w:val="1279800492"/>
        <w:rPr>
          <w:rFonts w:eastAsia="Times New Roman"/>
        </w:rPr>
      </w:pPr>
      <w:r>
        <w:rPr>
          <w:rFonts w:eastAsia="Times New Roman"/>
          <w:b/>
          <w:bCs/>
          <w:color w:val="000000"/>
          <w:sz w:val="20"/>
          <w:szCs w:val="20"/>
        </w:rPr>
        <w:t>SCHEDULE I</w:t>
      </w:r>
      <w:r>
        <w:rPr>
          <w:rFonts w:eastAsia="Times New Roman"/>
          <w:b/>
          <w:bCs/>
          <w:color w:val="000000"/>
          <w:sz w:val="20"/>
          <w:szCs w:val="20"/>
        </w:rPr>
        <w:t> </w:t>
      </w:r>
    </w:p>
    <w:p w14:paraId="670AA837" w14:textId="77777777" w:rsidR="00000000" w:rsidRDefault="00195E73">
      <w:pPr>
        <w:jc w:val="center"/>
        <w:rPr>
          <w:rFonts w:eastAsia="Times New Roman"/>
        </w:rPr>
      </w:pPr>
    </w:p>
    <w:p w14:paraId="1EE420F2" w14:textId="77777777" w:rsidR="00000000" w:rsidRDefault="00195E73">
      <w:pPr>
        <w:jc w:val="center"/>
        <w:rPr>
          <w:rFonts w:eastAsia="Times New Roman"/>
        </w:rPr>
      </w:pPr>
      <w:r>
        <w:rPr>
          <w:rFonts w:eastAsia="Times New Roman"/>
          <w:b/>
          <w:bCs/>
          <w:color w:val="000000"/>
          <w:sz w:val="20"/>
          <w:szCs w:val="20"/>
        </w:rPr>
        <w:t>ICAHN ENTERPRISES HOLDINGS L.P</w:t>
      </w:r>
      <w:r>
        <w:rPr>
          <w:rFonts w:eastAsia="Times New Roman"/>
          <w:b/>
          <w:bCs/>
          <w:color w:val="000000"/>
          <w:sz w:val="20"/>
          <w:szCs w:val="20"/>
        </w:rPr>
        <w:t>.</w:t>
      </w:r>
    </w:p>
    <w:p w14:paraId="30D0AB06" w14:textId="77777777" w:rsidR="00000000" w:rsidRDefault="00195E73">
      <w:pPr>
        <w:jc w:val="center"/>
        <w:rPr>
          <w:rFonts w:eastAsia="Times New Roman"/>
        </w:rPr>
      </w:pPr>
      <w:r>
        <w:rPr>
          <w:rFonts w:eastAsia="Times New Roman"/>
          <w:b/>
          <w:bCs/>
          <w:color w:val="000000"/>
          <w:sz w:val="20"/>
          <w:szCs w:val="20"/>
        </w:rPr>
        <w:t>(Parent Company</w:t>
      </w:r>
      <w:r>
        <w:rPr>
          <w:rFonts w:eastAsia="Times New Roman"/>
          <w:b/>
          <w:bCs/>
          <w:color w:val="000000"/>
          <w:sz w:val="20"/>
          <w:szCs w:val="20"/>
        </w:rPr>
        <w:t>)</w:t>
      </w:r>
    </w:p>
    <w:p w14:paraId="503DC71E" w14:textId="77777777" w:rsidR="00000000" w:rsidRDefault="00195E73">
      <w:pPr>
        <w:jc w:val="center"/>
        <w:divId w:val="929392922"/>
        <w:rPr>
          <w:rFonts w:eastAsia="Times New Roman"/>
        </w:rPr>
      </w:pPr>
      <w:r>
        <w:rPr>
          <w:rFonts w:eastAsia="Times New Roman"/>
          <w:b/>
          <w:bCs/>
          <w:color w:val="000000"/>
          <w:sz w:val="20"/>
          <w:szCs w:val="20"/>
        </w:rPr>
        <w:t>CONDENSED STATEMENTS OF OPERATION</w:t>
      </w:r>
      <w:r>
        <w:rPr>
          <w:rFonts w:eastAsia="Times New Roman"/>
          <w:b/>
          <w:bCs/>
          <w:color w:val="000000"/>
          <w:sz w:val="20"/>
          <w:szCs w:val="20"/>
        </w:rPr>
        <w:t>S</w:t>
      </w:r>
    </w:p>
    <w:p w14:paraId="6D0C9DBE" w14:textId="77777777" w:rsidR="00000000" w:rsidRDefault="00195E73">
      <w:pPr>
        <w:divId w:val="735326014"/>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331"/>
        <w:gridCol w:w="40"/>
        <w:gridCol w:w="135"/>
        <w:gridCol w:w="875"/>
        <w:gridCol w:w="85"/>
        <w:gridCol w:w="36"/>
        <w:gridCol w:w="36"/>
        <w:gridCol w:w="36"/>
        <w:gridCol w:w="135"/>
        <w:gridCol w:w="843"/>
        <w:gridCol w:w="85"/>
        <w:gridCol w:w="36"/>
        <w:gridCol w:w="36"/>
        <w:gridCol w:w="36"/>
        <w:gridCol w:w="135"/>
        <w:gridCol w:w="844"/>
        <w:gridCol w:w="85"/>
        <w:gridCol w:w="36"/>
        <w:gridCol w:w="36"/>
        <w:gridCol w:w="36"/>
        <w:gridCol w:w="36"/>
        <w:gridCol w:w="36"/>
        <w:gridCol w:w="36"/>
        <w:gridCol w:w="36"/>
        <w:gridCol w:w="36"/>
        <w:gridCol w:w="36"/>
        <w:gridCol w:w="36"/>
        <w:gridCol w:w="36"/>
        <w:gridCol w:w="36"/>
      </w:tblGrid>
      <w:tr w:rsidR="00000000" w14:paraId="2FAE4906" w14:textId="77777777">
        <w:trPr>
          <w:gridAfter w:val="12"/>
          <w:divId w:val="1371416633"/>
          <w:jc w:val="center"/>
        </w:trPr>
        <w:tc>
          <w:tcPr>
            <w:tcW w:w="50" w:type="pct"/>
            <w:vAlign w:val="center"/>
            <w:hideMark/>
          </w:tcPr>
          <w:p w14:paraId="180C65AE" w14:textId="77777777" w:rsidR="00000000" w:rsidRDefault="00195E73">
            <w:pPr>
              <w:rPr>
                <w:rFonts w:eastAsia="Times New Roman"/>
              </w:rPr>
            </w:pPr>
          </w:p>
        </w:tc>
        <w:tc>
          <w:tcPr>
            <w:tcW w:w="2781" w:type="pct"/>
            <w:vAlign w:val="center"/>
            <w:hideMark/>
          </w:tcPr>
          <w:p w14:paraId="2EA58E2B" w14:textId="77777777" w:rsidR="00000000" w:rsidRDefault="00195E73">
            <w:pPr>
              <w:rPr>
                <w:rFonts w:eastAsia="Times New Roman"/>
                <w:sz w:val="20"/>
                <w:szCs w:val="20"/>
              </w:rPr>
            </w:pPr>
          </w:p>
        </w:tc>
        <w:tc>
          <w:tcPr>
            <w:tcW w:w="50" w:type="pct"/>
            <w:vAlign w:val="center"/>
            <w:hideMark/>
          </w:tcPr>
          <w:p w14:paraId="204BC5D0" w14:textId="77777777" w:rsidR="00000000" w:rsidRDefault="00195E73">
            <w:pPr>
              <w:rPr>
                <w:rFonts w:eastAsia="Times New Roman"/>
                <w:sz w:val="20"/>
                <w:szCs w:val="20"/>
              </w:rPr>
            </w:pPr>
          </w:p>
        </w:tc>
        <w:tc>
          <w:tcPr>
            <w:tcW w:w="50" w:type="pct"/>
            <w:vAlign w:val="center"/>
            <w:hideMark/>
          </w:tcPr>
          <w:p w14:paraId="15F08D43" w14:textId="77777777" w:rsidR="00000000" w:rsidRDefault="00195E73">
            <w:pPr>
              <w:rPr>
                <w:rFonts w:eastAsia="Times New Roman"/>
                <w:sz w:val="20"/>
                <w:szCs w:val="20"/>
              </w:rPr>
            </w:pPr>
          </w:p>
        </w:tc>
        <w:tc>
          <w:tcPr>
            <w:tcW w:w="581" w:type="pct"/>
            <w:vAlign w:val="center"/>
            <w:hideMark/>
          </w:tcPr>
          <w:p w14:paraId="48680EDE" w14:textId="77777777" w:rsidR="00000000" w:rsidRDefault="00195E73">
            <w:pPr>
              <w:rPr>
                <w:rFonts w:eastAsia="Times New Roman"/>
                <w:sz w:val="20"/>
                <w:szCs w:val="20"/>
              </w:rPr>
            </w:pPr>
          </w:p>
        </w:tc>
        <w:tc>
          <w:tcPr>
            <w:tcW w:w="50" w:type="pct"/>
            <w:vAlign w:val="center"/>
            <w:hideMark/>
          </w:tcPr>
          <w:p w14:paraId="5B0F3815" w14:textId="77777777" w:rsidR="00000000" w:rsidRDefault="00195E73">
            <w:pPr>
              <w:rPr>
                <w:rFonts w:eastAsia="Times New Roman"/>
                <w:sz w:val="20"/>
                <w:szCs w:val="20"/>
              </w:rPr>
            </w:pPr>
          </w:p>
        </w:tc>
        <w:tc>
          <w:tcPr>
            <w:tcW w:w="5" w:type="pct"/>
            <w:vAlign w:val="center"/>
            <w:hideMark/>
          </w:tcPr>
          <w:p w14:paraId="71E76ADF" w14:textId="77777777" w:rsidR="00000000" w:rsidRDefault="00195E73">
            <w:pPr>
              <w:rPr>
                <w:rFonts w:eastAsia="Times New Roman"/>
                <w:sz w:val="20"/>
                <w:szCs w:val="20"/>
              </w:rPr>
            </w:pPr>
          </w:p>
        </w:tc>
        <w:tc>
          <w:tcPr>
            <w:tcW w:w="26" w:type="pct"/>
            <w:vAlign w:val="center"/>
            <w:hideMark/>
          </w:tcPr>
          <w:p w14:paraId="55FBE6C5" w14:textId="77777777" w:rsidR="00000000" w:rsidRDefault="00195E73">
            <w:pPr>
              <w:rPr>
                <w:rFonts w:eastAsia="Times New Roman"/>
                <w:sz w:val="20"/>
                <w:szCs w:val="20"/>
              </w:rPr>
            </w:pPr>
          </w:p>
        </w:tc>
        <w:tc>
          <w:tcPr>
            <w:tcW w:w="5" w:type="pct"/>
            <w:vAlign w:val="center"/>
            <w:hideMark/>
          </w:tcPr>
          <w:p w14:paraId="3BD0F3DA" w14:textId="77777777" w:rsidR="00000000" w:rsidRDefault="00195E73">
            <w:pPr>
              <w:rPr>
                <w:rFonts w:eastAsia="Times New Roman"/>
                <w:sz w:val="20"/>
                <w:szCs w:val="20"/>
              </w:rPr>
            </w:pPr>
          </w:p>
        </w:tc>
        <w:tc>
          <w:tcPr>
            <w:tcW w:w="50" w:type="pct"/>
            <w:vAlign w:val="center"/>
            <w:hideMark/>
          </w:tcPr>
          <w:p w14:paraId="5A27B554" w14:textId="77777777" w:rsidR="00000000" w:rsidRDefault="00195E73">
            <w:pPr>
              <w:rPr>
                <w:rFonts w:eastAsia="Times New Roman"/>
                <w:sz w:val="20"/>
                <w:szCs w:val="20"/>
              </w:rPr>
            </w:pPr>
          </w:p>
        </w:tc>
        <w:tc>
          <w:tcPr>
            <w:tcW w:w="581" w:type="pct"/>
            <w:vAlign w:val="center"/>
            <w:hideMark/>
          </w:tcPr>
          <w:p w14:paraId="40644E21" w14:textId="77777777" w:rsidR="00000000" w:rsidRDefault="00195E73">
            <w:pPr>
              <w:rPr>
                <w:rFonts w:eastAsia="Times New Roman"/>
                <w:sz w:val="20"/>
                <w:szCs w:val="20"/>
              </w:rPr>
            </w:pPr>
          </w:p>
        </w:tc>
        <w:tc>
          <w:tcPr>
            <w:tcW w:w="50" w:type="pct"/>
            <w:vAlign w:val="center"/>
            <w:hideMark/>
          </w:tcPr>
          <w:p w14:paraId="63161011" w14:textId="77777777" w:rsidR="00000000" w:rsidRDefault="00195E73">
            <w:pPr>
              <w:rPr>
                <w:rFonts w:eastAsia="Times New Roman"/>
                <w:sz w:val="20"/>
                <w:szCs w:val="20"/>
              </w:rPr>
            </w:pPr>
          </w:p>
        </w:tc>
        <w:tc>
          <w:tcPr>
            <w:tcW w:w="5" w:type="pct"/>
            <w:vAlign w:val="center"/>
            <w:hideMark/>
          </w:tcPr>
          <w:p w14:paraId="60735256" w14:textId="77777777" w:rsidR="00000000" w:rsidRDefault="00195E73">
            <w:pPr>
              <w:rPr>
                <w:rFonts w:eastAsia="Times New Roman"/>
                <w:sz w:val="20"/>
                <w:szCs w:val="20"/>
              </w:rPr>
            </w:pPr>
          </w:p>
        </w:tc>
        <w:tc>
          <w:tcPr>
            <w:tcW w:w="26" w:type="pct"/>
            <w:vAlign w:val="center"/>
            <w:hideMark/>
          </w:tcPr>
          <w:p w14:paraId="432A983D" w14:textId="77777777" w:rsidR="00000000" w:rsidRDefault="00195E73">
            <w:pPr>
              <w:rPr>
                <w:rFonts w:eastAsia="Times New Roman"/>
                <w:sz w:val="20"/>
                <w:szCs w:val="20"/>
              </w:rPr>
            </w:pPr>
          </w:p>
        </w:tc>
        <w:tc>
          <w:tcPr>
            <w:tcW w:w="5" w:type="pct"/>
            <w:vAlign w:val="center"/>
            <w:hideMark/>
          </w:tcPr>
          <w:p w14:paraId="541F44AF" w14:textId="77777777" w:rsidR="00000000" w:rsidRDefault="00195E73">
            <w:pPr>
              <w:rPr>
                <w:rFonts w:eastAsia="Times New Roman"/>
                <w:sz w:val="20"/>
                <w:szCs w:val="20"/>
              </w:rPr>
            </w:pPr>
          </w:p>
        </w:tc>
        <w:tc>
          <w:tcPr>
            <w:tcW w:w="50" w:type="pct"/>
            <w:vAlign w:val="center"/>
            <w:hideMark/>
          </w:tcPr>
          <w:p w14:paraId="4E9AD653" w14:textId="77777777" w:rsidR="00000000" w:rsidRDefault="00195E73">
            <w:pPr>
              <w:rPr>
                <w:rFonts w:eastAsia="Times New Roman"/>
                <w:sz w:val="20"/>
                <w:szCs w:val="20"/>
              </w:rPr>
            </w:pPr>
          </w:p>
        </w:tc>
        <w:tc>
          <w:tcPr>
            <w:tcW w:w="581" w:type="pct"/>
            <w:vAlign w:val="center"/>
            <w:hideMark/>
          </w:tcPr>
          <w:p w14:paraId="251D0572" w14:textId="77777777" w:rsidR="00000000" w:rsidRDefault="00195E73">
            <w:pPr>
              <w:rPr>
                <w:rFonts w:eastAsia="Times New Roman"/>
                <w:sz w:val="20"/>
                <w:szCs w:val="20"/>
              </w:rPr>
            </w:pPr>
          </w:p>
        </w:tc>
        <w:tc>
          <w:tcPr>
            <w:tcW w:w="50" w:type="pct"/>
            <w:vAlign w:val="center"/>
            <w:hideMark/>
          </w:tcPr>
          <w:p w14:paraId="6566B157" w14:textId="77777777" w:rsidR="00000000" w:rsidRDefault="00195E73">
            <w:pPr>
              <w:rPr>
                <w:rFonts w:eastAsia="Times New Roman"/>
                <w:sz w:val="20"/>
                <w:szCs w:val="20"/>
              </w:rPr>
            </w:pPr>
          </w:p>
        </w:tc>
      </w:tr>
      <w:tr w:rsidR="00000000" w14:paraId="2B42E389" w14:textId="77777777">
        <w:trPr>
          <w:divId w:val="1371416633"/>
          <w:jc w:val="center"/>
        </w:trPr>
        <w:tc>
          <w:tcPr>
            <w:tcW w:w="0" w:type="auto"/>
            <w:gridSpan w:val="3"/>
            <w:tcMar>
              <w:top w:w="15" w:type="dxa"/>
              <w:left w:w="20" w:type="dxa"/>
              <w:bottom w:w="15" w:type="dxa"/>
              <w:right w:w="20" w:type="dxa"/>
            </w:tcMar>
            <w:vAlign w:val="bottom"/>
            <w:hideMark/>
          </w:tcPr>
          <w:p w14:paraId="4C342CAB"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08A26C86"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5A2A0055" w14:textId="77777777" w:rsidR="00000000" w:rsidRDefault="00195E73">
            <w:pPr>
              <w:jc w:val="center"/>
              <w:rPr>
                <w:rFonts w:eastAsia="Times New Roman"/>
              </w:rPr>
            </w:pPr>
          </w:p>
        </w:tc>
        <w:tc>
          <w:tcPr>
            <w:tcW w:w="0" w:type="auto"/>
            <w:gridSpan w:val="3"/>
            <w:vAlign w:val="center"/>
            <w:hideMark/>
          </w:tcPr>
          <w:p w14:paraId="185BAACD" w14:textId="77777777" w:rsidR="00000000" w:rsidRDefault="00195E73">
            <w:pPr>
              <w:rPr>
                <w:rFonts w:eastAsia="Times New Roman"/>
                <w:sz w:val="20"/>
                <w:szCs w:val="20"/>
              </w:rPr>
            </w:pPr>
          </w:p>
        </w:tc>
        <w:tc>
          <w:tcPr>
            <w:tcW w:w="0" w:type="auto"/>
            <w:gridSpan w:val="3"/>
            <w:vAlign w:val="center"/>
            <w:hideMark/>
          </w:tcPr>
          <w:p w14:paraId="0FB43FDC" w14:textId="77777777" w:rsidR="00000000" w:rsidRDefault="00195E73">
            <w:pPr>
              <w:rPr>
                <w:rFonts w:eastAsia="Times New Roman"/>
                <w:sz w:val="20"/>
                <w:szCs w:val="20"/>
              </w:rPr>
            </w:pPr>
          </w:p>
        </w:tc>
        <w:tc>
          <w:tcPr>
            <w:tcW w:w="0" w:type="auto"/>
            <w:gridSpan w:val="3"/>
            <w:vAlign w:val="center"/>
            <w:hideMark/>
          </w:tcPr>
          <w:p w14:paraId="1102960B" w14:textId="77777777" w:rsidR="00000000" w:rsidRDefault="00195E73">
            <w:pPr>
              <w:rPr>
                <w:rFonts w:eastAsia="Times New Roman"/>
                <w:sz w:val="20"/>
                <w:szCs w:val="20"/>
              </w:rPr>
            </w:pPr>
          </w:p>
        </w:tc>
      </w:tr>
      <w:tr w:rsidR="00000000" w14:paraId="7B43352D" w14:textId="77777777">
        <w:trPr>
          <w:divId w:val="1371416633"/>
          <w:jc w:val="center"/>
        </w:trPr>
        <w:tc>
          <w:tcPr>
            <w:tcW w:w="0" w:type="auto"/>
            <w:gridSpan w:val="3"/>
            <w:tcMar>
              <w:top w:w="15" w:type="dxa"/>
              <w:left w:w="20" w:type="dxa"/>
              <w:bottom w:w="15" w:type="dxa"/>
              <w:right w:w="20" w:type="dxa"/>
            </w:tcMar>
            <w:vAlign w:val="bottom"/>
            <w:hideMark/>
          </w:tcPr>
          <w:p w14:paraId="401FD9CF"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0F3A847"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3E8B699C"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55F59E5"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36085FF6"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A563BED"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5945F1F3" w14:textId="77777777" w:rsidR="00000000" w:rsidRDefault="00195E73">
            <w:pPr>
              <w:rPr>
                <w:rFonts w:eastAsia="Times New Roman"/>
                <w:sz w:val="20"/>
                <w:szCs w:val="20"/>
              </w:rPr>
            </w:pPr>
          </w:p>
        </w:tc>
        <w:tc>
          <w:tcPr>
            <w:tcW w:w="0" w:type="auto"/>
            <w:vAlign w:val="center"/>
            <w:hideMark/>
          </w:tcPr>
          <w:p w14:paraId="6B5FE50C" w14:textId="77777777" w:rsidR="00000000" w:rsidRDefault="00195E73">
            <w:pPr>
              <w:rPr>
                <w:rFonts w:eastAsia="Times New Roman"/>
                <w:sz w:val="20"/>
                <w:szCs w:val="20"/>
              </w:rPr>
            </w:pPr>
          </w:p>
        </w:tc>
        <w:tc>
          <w:tcPr>
            <w:tcW w:w="0" w:type="auto"/>
            <w:vAlign w:val="center"/>
            <w:hideMark/>
          </w:tcPr>
          <w:p w14:paraId="58E2DB2B" w14:textId="77777777" w:rsidR="00000000" w:rsidRDefault="00195E73">
            <w:pPr>
              <w:rPr>
                <w:rFonts w:eastAsia="Times New Roman"/>
                <w:sz w:val="20"/>
                <w:szCs w:val="20"/>
              </w:rPr>
            </w:pPr>
          </w:p>
        </w:tc>
        <w:tc>
          <w:tcPr>
            <w:tcW w:w="0" w:type="auto"/>
            <w:vAlign w:val="center"/>
            <w:hideMark/>
          </w:tcPr>
          <w:p w14:paraId="11FEEA59" w14:textId="77777777" w:rsidR="00000000" w:rsidRDefault="00195E73">
            <w:pPr>
              <w:rPr>
                <w:rFonts w:eastAsia="Times New Roman"/>
                <w:sz w:val="20"/>
                <w:szCs w:val="20"/>
              </w:rPr>
            </w:pPr>
          </w:p>
        </w:tc>
        <w:tc>
          <w:tcPr>
            <w:tcW w:w="0" w:type="auto"/>
            <w:vAlign w:val="center"/>
            <w:hideMark/>
          </w:tcPr>
          <w:p w14:paraId="7B71171E" w14:textId="77777777" w:rsidR="00000000" w:rsidRDefault="00195E73">
            <w:pPr>
              <w:rPr>
                <w:rFonts w:eastAsia="Times New Roman"/>
                <w:sz w:val="20"/>
                <w:szCs w:val="20"/>
              </w:rPr>
            </w:pPr>
          </w:p>
        </w:tc>
        <w:tc>
          <w:tcPr>
            <w:tcW w:w="0" w:type="auto"/>
            <w:vAlign w:val="center"/>
            <w:hideMark/>
          </w:tcPr>
          <w:p w14:paraId="3C90E258" w14:textId="77777777" w:rsidR="00000000" w:rsidRDefault="00195E73">
            <w:pPr>
              <w:rPr>
                <w:rFonts w:eastAsia="Times New Roman"/>
                <w:sz w:val="20"/>
                <w:szCs w:val="20"/>
              </w:rPr>
            </w:pPr>
          </w:p>
        </w:tc>
        <w:tc>
          <w:tcPr>
            <w:tcW w:w="0" w:type="auto"/>
            <w:vAlign w:val="center"/>
            <w:hideMark/>
          </w:tcPr>
          <w:p w14:paraId="1D481AF8" w14:textId="77777777" w:rsidR="00000000" w:rsidRDefault="00195E73">
            <w:pPr>
              <w:rPr>
                <w:rFonts w:eastAsia="Times New Roman"/>
                <w:sz w:val="20"/>
                <w:szCs w:val="20"/>
              </w:rPr>
            </w:pPr>
          </w:p>
        </w:tc>
        <w:tc>
          <w:tcPr>
            <w:tcW w:w="0" w:type="auto"/>
            <w:vAlign w:val="center"/>
            <w:hideMark/>
          </w:tcPr>
          <w:p w14:paraId="723F5D21" w14:textId="77777777" w:rsidR="00000000" w:rsidRDefault="00195E73">
            <w:pPr>
              <w:rPr>
                <w:rFonts w:eastAsia="Times New Roman"/>
                <w:sz w:val="20"/>
                <w:szCs w:val="20"/>
              </w:rPr>
            </w:pPr>
          </w:p>
        </w:tc>
        <w:tc>
          <w:tcPr>
            <w:tcW w:w="0" w:type="auto"/>
            <w:vAlign w:val="center"/>
            <w:hideMark/>
          </w:tcPr>
          <w:p w14:paraId="03E4AE4F" w14:textId="77777777" w:rsidR="00000000" w:rsidRDefault="00195E73">
            <w:pPr>
              <w:rPr>
                <w:rFonts w:eastAsia="Times New Roman"/>
                <w:sz w:val="20"/>
                <w:szCs w:val="20"/>
              </w:rPr>
            </w:pPr>
          </w:p>
        </w:tc>
        <w:tc>
          <w:tcPr>
            <w:tcW w:w="0" w:type="auto"/>
            <w:vAlign w:val="center"/>
            <w:hideMark/>
          </w:tcPr>
          <w:p w14:paraId="76FFAECA" w14:textId="77777777" w:rsidR="00000000" w:rsidRDefault="00195E73">
            <w:pPr>
              <w:rPr>
                <w:rFonts w:eastAsia="Times New Roman"/>
                <w:sz w:val="20"/>
                <w:szCs w:val="20"/>
              </w:rPr>
            </w:pPr>
          </w:p>
        </w:tc>
        <w:tc>
          <w:tcPr>
            <w:tcW w:w="0" w:type="auto"/>
            <w:vAlign w:val="center"/>
            <w:hideMark/>
          </w:tcPr>
          <w:p w14:paraId="49E16E06" w14:textId="77777777" w:rsidR="00000000" w:rsidRDefault="00195E73">
            <w:pPr>
              <w:rPr>
                <w:rFonts w:eastAsia="Times New Roman"/>
                <w:sz w:val="20"/>
                <w:szCs w:val="20"/>
              </w:rPr>
            </w:pPr>
          </w:p>
        </w:tc>
        <w:tc>
          <w:tcPr>
            <w:tcW w:w="0" w:type="auto"/>
            <w:vAlign w:val="center"/>
            <w:hideMark/>
          </w:tcPr>
          <w:p w14:paraId="6846B2B8" w14:textId="77777777" w:rsidR="00000000" w:rsidRDefault="00195E73">
            <w:pPr>
              <w:rPr>
                <w:rFonts w:eastAsia="Times New Roman"/>
                <w:sz w:val="20"/>
                <w:szCs w:val="20"/>
              </w:rPr>
            </w:pPr>
          </w:p>
        </w:tc>
      </w:tr>
      <w:tr w:rsidR="00000000" w14:paraId="2743395F" w14:textId="77777777">
        <w:trPr>
          <w:divId w:val="1371416633"/>
          <w:jc w:val="center"/>
        </w:trPr>
        <w:tc>
          <w:tcPr>
            <w:tcW w:w="0" w:type="auto"/>
            <w:gridSpan w:val="3"/>
            <w:tcMar>
              <w:top w:w="15" w:type="dxa"/>
              <w:left w:w="20" w:type="dxa"/>
              <w:bottom w:w="15" w:type="dxa"/>
              <w:right w:w="20" w:type="dxa"/>
            </w:tcMar>
            <w:vAlign w:val="bottom"/>
            <w:hideMark/>
          </w:tcPr>
          <w:p w14:paraId="5C5BF49C"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EC3E8DA"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4CC8C76A" w14:textId="77777777" w:rsidR="00000000" w:rsidRDefault="00195E73">
            <w:pPr>
              <w:jc w:val="center"/>
              <w:rPr>
                <w:rFonts w:eastAsia="Times New Roman"/>
              </w:rPr>
            </w:pPr>
          </w:p>
        </w:tc>
        <w:tc>
          <w:tcPr>
            <w:tcW w:w="0" w:type="auto"/>
            <w:gridSpan w:val="3"/>
            <w:vAlign w:val="center"/>
            <w:hideMark/>
          </w:tcPr>
          <w:p w14:paraId="4D970DA4" w14:textId="77777777" w:rsidR="00000000" w:rsidRDefault="00195E73">
            <w:pPr>
              <w:rPr>
                <w:rFonts w:eastAsia="Times New Roman"/>
                <w:sz w:val="20"/>
                <w:szCs w:val="20"/>
              </w:rPr>
            </w:pPr>
          </w:p>
        </w:tc>
        <w:tc>
          <w:tcPr>
            <w:tcW w:w="0" w:type="auto"/>
            <w:gridSpan w:val="3"/>
            <w:vAlign w:val="center"/>
            <w:hideMark/>
          </w:tcPr>
          <w:p w14:paraId="36F32824" w14:textId="77777777" w:rsidR="00000000" w:rsidRDefault="00195E73">
            <w:pPr>
              <w:rPr>
                <w:rFonts w:eastAsia="Times New Roman"/>
                <w:sz w:val="20"/>
                <w:szCs w:val="20"/>
              </w:rPr>
            </w:pPr>
          </w:p>
        </w:tc>
        <w:tc>
          <w:tcPr>
            <w:tcW w:w="0" w:type="auto"/>
            <w:gridSpan w:val="3"/>
            <w:vAlign w:val="center"/>
            <w:hideMark/>
          </w:tcPr>
          <w:p w14:paraId="2957C592" w14:textId="77777777" w:rsidR="00000000" w:rsidRDefault="00195E73">
            <w:pPr>
              <w:rPr>
                <w:rFonts w:eastAsia="Times New Roman"/>
                <w:sz w:val="20"/>
                <w:szCs w:val="20"/>
              </w:rPr>
            </w:pPr>
          </w:p>
        </w:tc>
      </w:tr>
      <w:tr w:rsidR="00000000" w14:paraId="0BBBE05C" w14:textId="77777777">
        <w:trPr>
          <w:divId w:val="1371416633"/>
          <w:jc w:val="center"/>
        </w:trPr>
        <w:tc>
          <w:tcPr>
            <w:tcW w:w="0" w:type="auto"/>
            <w:gridSpan w:val="3"/>
            <w:shd w:val="clear" w:color="auto" w:fill="CCEEFF"/>
            <w:tcMar>
              <w:top w:w="30" w:type="dxa"/>
              <w:left w:w="20" w:type="dxa"/>
              <w:bottom w:w="30" w:type="dxa"/>
              <w:right w:w="20" w:type="dxa"/>
            </w:tcMar>
            <w:vAlign w:val="bottom"/>
            <w:hideMark/>
          </w:tcPr>
          <w:p w14:paraId="58FCC85A" w14:textId="77777777" w:rsidR="00000000" w:rsidRDefault="00195E73">
            <w:pPr>
              <w:rPr>
                <w:rFonts w:eastAsia="Times New Roman"/>
              </w:rPr>
            </w:pPr>
            <w:r>
              <w:rPr>
                <w:rFonts w:eastAsia="Times New Roman"/>
                <w:color w:val="000000"/>
                <w:sz w:val="20"/>
                <w:szCs w:val="20"/>
              </w:rPr>
              <w:t>Interest and dividend incom</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14:paraId="749F128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5971CEA" w14:textId="77777777" w:rsidR="00000000" w:rsidRDefault="00195E73">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13CFC5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BA8C24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43244F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78C4E22"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C9E541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0D5CE9"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8B22CF6"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1673BCCD"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11EB95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2BA547E" w14:textId="77777777" w:rsidR="00000000" w:rsidRDefault="00195E73">
            <w:pPr>
              <w:rPr>
                <w:rFonts w:eastAsia="Times New Roman"/>
                <w:sz w:val="20"/>
                <w:szCs w:val="20"/>
              </w:rPr>
            </w:pPr>
          </w:p>
        </w:tc>
        <w:tc>
          <w:tcPr>
            <w:tcW w:w="0" w:type="auto"/>
            <w:vAlign w:val="center"/>
            <w:hideMark/>
          </w:tcPr>
          <w:p w14:paraId="01483DAB" w14:textId="77777777" w:rsidR="00000000" w:rsidRDefault="00195E73">
            <w:pPr>
              <w:rPr>
                <w:rFonts w:eastAsia="Times New Roman"/>
                <w:sz w:val="20"/>
                <w:szCs w:val="20"/>
              </w:rPr>
            </w:pPr>
          </w:p>
        </w:tc>
        <w:tc>
          <w:tcPr>
            <w:tcW w:w="0" w:type="auto"/>
            <w:vAlign w:val="center"/>
            <w:hideMark/>
          </w:tcPr>
          <w:p w14:paraId="4B727F12" w14:textId="77777777" w:rsidR="00000000" w:rsidRDefault="00195E73">
            <w:pPr>
              <w:rPr>
                <w:rFonts w:eastAsia="Times New Roman"/>
                <w:sz w:val="20"/>
                <w:szCs w:val="20"/>
              </w:rPr>
            </w:pPr>
          </w:p>
        </w:tc>
        <w:tc>
          <w:tcPr>
            <w:tcW w:w="0" w:type="auto"/>
            <w:vAlign w:val="center"/>
            <w:hideMark/>
          </w:tcPr>
          <w:p w14:paraId="0281A6FE" w14:textId="77777777" w:rsidR="00000000" w:rsidRDefault="00195E73">
            <w:pPr>
              <w:rPr>
                <w:rFonts w:eastAsia="Times New Roman"/>
                <w:sz w:val="20"/>
                <w:szCs w:val="20"/>
              </w:rPr>
            </w:pPr>
          </w:p>
        </w:tc>
        <w:tc>
          <w:tcPr>
            <w:tcW w:w="0" w:type="auto"/>
            <w:vAlign w:val="center"/>
            <w:hideMark/>
          </w:tcPr>
          <w:p w14:paraId="42F007DC" w14:textId="77777777" w:rsidR="00000000" w:rsidRDefault="00195E73">
            <w:pPr>
              <w:rPr>
                <w:rFonts w:eastAsia="Times New Roman"/>
                <w:sz w:val="20"/>
                <w:szCs w:val="20"/>
              </w:rPr>
            </w:pPr>
          </w:p>
        </w:tc>
        <w:tc>
          <w:tcPr>
            <w:tcW w:w="0" w:type="auto"/>
            <w:vAlign w:val="center"/>
            <w:hideMark/>
          </w:tcPr>
          <w:p w14:paraId="0D6A5580" w14:textId="77777777" w:rsidR="00000000" w:rsidRDefault="00195E73">
            <w:pPr>
              <w:rPr>
                <w:rFonts w:eastAsia="Times New Roman"/>
                <w:sz w:val="20"/>
                <w:szCs w:val="20"/>
              </w:rPr>
            </w:pPr>
          </w:p>
        </w:tc>
        <w:tc>
          <w:tcPr>
            <w:tcW w:w="0" w:type="auto"/>
            <w:vAlign w:val="center"/>
            <w:hideMark/>
          </w:tcPr>
          <w:p w14:paraId="435EBA0F" w14:textId="77777777" w:rsidR="00000000" w:rsidRDefault="00195E73">
            <w:pPr>
              <w:rPr>
                <w:rFonts w:eastAsia="Times New Roman"/>
                <w:sz w:val="20"/>
                <w:szCs w:val="20"/>
              </w:rPr>
            </w:pPr>
          </w:p>
        </w:tc>
        <w:tc>
          <w:tcPr>
            <w:tcW w:w="0" w:type="auto"/>
            <w:vAlign w:val="center"/>
            <w:hideMark/>
          </w:tcPr>
          <w:p w14:paraId="2414B1E2" w14:textId="77777777" w:rsidR="00000000" w:rsidRDefault="00195E73">
            <w:pPr>
              <w:rPr>
                <w:rFonts w:eastAsia="Times New Roman"/>
                <w:sz w:val="20"/>
                <w:szCs w:val="20"/>
              </w:rPr>
            </w:pPr>
          </w:p>
        </w:tc>
        <w:tc>
          <w:tcPr>
            <w:tcW w:w="0" w:type="auto"/>
            <w:vAlign w:val="center"/>
            <w:hideMark/>
          </w:tcPr>
          <w:p w14:paraId="48F8FC2C" w14:textId="77777777" w:rsidR="00000000" w:rsidRDefault="00195E73">
            <w:pPr>
              <w:rPr>
                <w:rFonts w:eastAsia="Times New Roman"/>
                <w:sz w:val="20"/>
                <w:szCs w:val="20"/>
              </w:rPr>
            </w:pPr>
          </w:p>
        </w:tc>
        <w:tc>
          <w:tcPr>
            <w:tcW w:w="0" w:type="auto"/>
            <w:vAlign w:val="center"/>
            <w:hideMark/>
          </w:tcPr>
          <w:p w14:paraId="12EF125B" w14:textId="77777777" w:rsidR="00000000" w:rsidRDefault="00195E73">
            <w:pPr>
              <w:rPr>
                <w:rFonts w:eastAsia="Times New Roman"/>
                <w:sz w:val="20"/>
                <w:szCs w:val="20"/>
              </w:rPr>
            </w:pPr>
          </w:p>
        </w:tc>
        <w:tc>
          <w:tcPr>
            <w:tcW w:w="0" w:type="auto"/>
            <w:vAlign w:val="center"/>
            <w:hideMark/>
          </w:tcPr>
          <w:p w14:paraId="789FF5E3" w14:textId="77777777" w:rsidR="00000000" w:rsidRDefault="00195E73">
            <w:pPr>
              <w:rPr>
                <w:rFonts w:eastAsia="Times New Roman"/>
                <w:sz w:val="20"/>
                <w:szCs w:val="20"/>
              </w:rPr>
            </w:pPr>
          </w:p>
        </w:tc>
        <w:tc>
          <w:tcPr>
            <w:tcW w:w="0" w:type="auto"/>
            <w:vAlign w:val="center"/>
            <w:hideMark/>
          </w:tcPr>
          <w:p w14:paraId="2BA8F496" w14:textId="77777777" w:rsidR="00000000" w:rsidRDefault="00195E73">
            <w:pPr>
              <w:rPr>
                <w:rFonts w:eastAsia="Times New Roman"/>
                <w:sz w:val="20"/>
                <w:szCs w:val="20"/>
              </w:rPr>
            </w:pPr>
          </w:p>
        </w:tc>
      </w:tr>
      <w:tr w:rsidR="00000000" w14:paraId="31C3581A" w14:textId="77777777">
        <w:trPr>
          <w:divId w:val="1371416633"/>
          <w:jc w:val="center"/>
        </w:trPr>
        <w:tc>
          <w:tcPr>
            <w:tcW w:w="0" w:type="auto"/>
            <w:gridSpan w:val="3"/>
            <w:shd w:val="clear" w:color="auto" w:fill="FFFFFF"/>
            <w:tcMar>
              <w:top w:w="30" w:type="dxa"/>
              <w:left w:w="20" w:type="dxa"/>
              <w:bottom w:w="30" w:type="dxa"/>
              <w:right w:w="20" w:type="dxa"/>
            </w:tcMar>
            <w:vAlign w:val="bottom"/>
            <w:hideMark/>
          </w:tcPr>
          <w:p w14:paraId="419ACFEF" w14:textId="77777777" w:rsidR="00000000" w:rsidRDefault="00195E73">
            <w:pPr>
              <w:rPr>
                <w:rFonts w:eastAsia="Times New Roman"/>
              </w:rPr>
            </w:pPr>
            <w:r>
              <w:rPr>
                <w:rFonts w:eastAsia="Times New Roman"/>
                <w:color w:val="000000"/>
                <w:sz w:val="20"/>
                <w:szCs w:val="20"/>
              </w:rPr>
              <w:t>Net (loss) gain from investment activitie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B27EB99" w14:textId="77777777" w:rsidR="00000000" w:rsidRDefault="00195E73">
            <w:pPr>
              <w:jc w:val="right"/>
              <w:rPr>
                <w:rFonts w:eastAsia="Times New Roman"/>
              </w:rPr>
            </w:pPr>
            <w:r>
              <w:rPr>
                <w:rFonts w:eastAsia="Times New Roman"/>
                <w:color w:val="000000"/>
                <w:sz w:val="20"/>
                <w:szCs w:val="20"/>
              </w:rPr>
              <w:t>(377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5863C5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9C70904"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B1A5B6" w14:textId="77777777" w:rsidR="00000000" w:rsidRDefault="00195E73">
            <w:pPr>
              <w:jc w:val="right"/>
              <w:rPr>
                <w:rFonts w:eastAsia="Times New Roman"/>
              </w:rPr>
            </w:pPr>
            <w:r>
              <w:rPr>
                <w:rFonts w:eastAsia="Times New Roman"/>
                <w:color w:val="000000"/>
                <w:sz w:val="20"/>
                <w:szCs w:val="20"/>
              </w:rPr>
              <w:t>(389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12F06F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2C09E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83BADB"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0A42D4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56A3F89" w14:textId="77777777" w:rsidR="00000000" w:rsidRDefault="00195E73">
            <w:pPr>
              <w:rPr>
                <w:rFonts w:eastAsia="Times New Roman"/>
                <w:sz w:val="20"/>
                <w:szCs w:val="20"/>
              </w:rPr>
            </w:pPr>
          </w:p>
        </w:tc>
        <w:tc>
          <w:tcPr>
            <w:tcW w:w="0" w:type="auto"/>
            <w:vAlign w:val="center"/>
            <w:hideMark/>
          </w:tcPr>
          <w:p w14:paraId="58142177" w14:textId="77777777" w:rsidR="00000000" w:rsidRDefault="00195E73">
            <w:pPr>
              <w:rPr>
                <w:rFonts w:eastAsia="Times New Roman"/>
                <w:sz w:val="20"/>
                <w:szCs w:val="20"/>
              </w:rPr>
            </w:pPr>
          </w:p>
        </w:tc>
        <w:tc>
          <w:tcPr>
            <w:tcW w:w="0" w:type="auto"/>
            <w:vAlign w:val="center"/>
            <w:hideMark/>
          </w:tcPr>
          <w:p w14:paraId="1754C300" w14:textId="77777777" w:rsidR="00000000" w:rsidRDefault="00195E73">
            <w:pPr>
              <w:rPr>
                <w:rFonts w:eastAsia="Times New Roman"/>
                <w:sz w:val="20"/>
                <w:szCs w:val="20"/>
              </w:rPr>
            </w:pPr>
          </w:p>
        </w:tc>
        <w:tc>
          <w:tcPr>
            <w:tcW w:w="0" w:type="auto"/>
            <w:vAlign w:val="center"/>
            <w:hideMark/>
          </w:tcPr>
          <w:p w14:paraId="29C998A4" w14:textId="77777777" w:rsidR="00000000" w:rsidRDefault="00195E73">
            <w:pPr>
              <w:rPr>
                <w:rFonts w:eastAsia="Times New Roman"/>
                <w:sz w:val="20"/>
                <w:szCs w:val="20"/>
              </w:rPr>
            </w:pPr>
          </w:p>
        </w:tc>
        <w:tc>
          <w:tcPr>
            <w:tcW w:w="0" w:type="auto"/>
            <w:vAlign w:val="center"/>
            <w:hideMark/>
          </w:tcPr>
          <w:p w14:paraId="35F1838D" w14:textId="77777777" w:rsidR="00000000" w:rsidRDefault="00195E73">
            <w:pPr>
              <w:rPr>
                <w:rFonts w:eastAsia="Times New Roman"/>
                <w:sz w:val="20"/>
                <w:szCs w:val="20"/>
              </w:rPr>
            </w:pPr>
          </w:p>
        </w:tc>
        <w:tc>
          <w:tcPr>
            <w:tcW w:w="0" w:type="auto"/>
            <w:vAlign w:val="center"/>
            <w:hideMark/>
          </w:tcPr>
          <w:p w14:paraId="0D508600" w14:textId="77777777" w:rsidR="00000000" w:rsidRDefault="00195E73">
            <w:pPr>
              <w:rPr>
                <w:rFonts w:eastAsia="Times New Roman"/>
                <w:sz w:val="20"/>
                <w:szCs w:val="20"/>
              </w:rPr>
            </w:pPr>
          </w:p>
        </w:tc>
        <w:tc>
          <w:tcPr>
            <w:tcW w:w="0" w:type="auto"/>
            <w:vAlign w:val="center"/>
            <w:hideMark/>
          </w:tcPr>
          <w:p w14:paraId="6531764E" w14:textId="77777777" w:rsidR="00000000" w:rsidRDefault="00195E73">
            <w:pPr>
              <w:rPr>
                <w:rFonts w:eastAsia="Times New Roman"/>
                <w:sz w:val="20"/>
                <w:szCs w:val="20"/>
              </w:rPr>
            </w:pPr>
          </w:p>
        </w:tc>
        <w:tc>
          <w:tcPr>
            <w:tcW w:w="0" w:type="auto"/>
            <w:vAlign w:val="center"/>
            <w:hideMark/>
          </w:tcPr>
          <w:p w14:paraId="3594730A" w14:textId="77777777" w:rsidR="00000000" w:rsidRDefault="00195E73">
            <w:pPr>
              <w:rPr>
                <w:rFonts w:eastAsia="Times New Roman"/>
                <w:sz w:val="20"/>
                <w:szCs w:val="20"/>
              </w:rPr>
            </w:pPr>
          </w:p>
        </w:tc>
        <w:tc>
          <w:tcPr>
            <w:tcW w:w="0" w:type="auto"/>
            <w:vAlign w:val="center"/>
            <w:hideMark/>
          </w:tcPr>
          <w:p w14:paraId="1B0E2545" w14:textId="77777777" w:rsidR="00000000" w:rsidRDefault="00195E73">
            <w:pPr>
              <w:rPr>
                <w:rFonts w:eastAsia="Times New Roman"/>
                <w:sz w:val="20"/>
                <w:szCs w:val="20"/>
              </w:rPr>
            </w:pPr>
          </w:p>
        </w:tc>
        <w:tc>
          <w:tcPr>
            <w:tcW w:w="0" w:type="auto"/>
            <w:vAlign w:val="center"/>
            <w:hideMark/>
          </w:tcPr>
          <w:p w14:paraId="08B88B5B" w14:textId="77777777" w:rsidR="00000000" w:rsidRDefault="00195E73">
            <w:pPr>
              <w:rPr>
                <w:rFonts w:eastAsia="Times New Roman"/>
                <w:sz w:val="20"/>
                <w:szCs w:val="20"/>
              </w:rPr>
            </w:pPr>
          </w:p>
        </w:tc>
        <w:tc>
          <w:tcPr>
            <w:tcW w:w="0" w:type="auto"/>
            <w:vAlign w:val="center"/>
            <w:hideMark/>
          </w:tcPr>
          <w:p w14:paraId="2AC6D9E2" w14:textId="77777777" w:rsidR="00000000" w:rsidRDefault="00195E73">
            <w:pPr>
              <w:rPr>
                <w:rFonts w:eastAsia="Times New Roman"/>
                <w:sz w:val="20"/>
                <w:szCs w:val="20"/>
              </w:rPr>
            </w:pPr>
          </w:p>
        </w:tc>
        <w:tc>
          <w:tcPr>
            <w:tcW w:w="0" w:type="auto"/>
            <w:vAlign w:val="center"/>
            <w:hideMark/>
          </w:tcPr>
          <w:p w14:paraId="29A172F1" w14:textId="77777777" w:rsidR="00000000" w:rsidRDefault="00195E73">
            <w:pPr>
              <w:rPr>
                <w:rFonts w:eastAsia="Times New Roman"/>
                <w:sz w:val="20"/>
                <w:szCs w:val="20"/>
              </w:rPr>
            </w:pPr>
          </w:p>
        </w:tc>
      </w:tr>
      <w:tr w:rsidR="00000000" w14:paraId="3D7CF7C9" w14:textId="77777777">
        <w:trPr>
          <w:divId w:val="1371416633"/>
          <w:jc w:val="center"/>
        </w:trPr>
        <w:tc>
          <w:tcPr>
            <w:tcW w:w="0" w:type="auto"/>
            <w:gridSpan w:val="3"/>
            <w:shd w:val="clear" w:color="auto" w:fill="CCEEFF"/>
            <w:tcMar>
              <w:top w:w="30" w:type="dxa"/>
              <w:left w:w="20" w:type="dxa"/>
              <w:bottom w:w="30" w:type="dxa"/>
              <w:right w:w="20" w:type="dxa"/>
            </w:tcMar>
            <w:vAlign w:val="bottom"/>
            <w:hideMark/>
          </w:tcPr>
          <w:p w14:paraId="2E179B0A" w14:textId="77777777" w:rsidR="00000000" w:rsidRDefault="00195E73">
            <w:pPr>
              <w:rPr>
                <w:rFonts w:eastAsia="Times New Roman"/>
              </w:rPr>
            </w:pPr>
            <w:r>
              <w:rPr>
                <w:rFonts w:eastAsia="Times New Roman"/>
                <w:color w:val="000000"/>
                <w:sz w:val="20"/>
                <w:szCs w:val="20"/>
              </w:rPr>
              <w:t>Gain (loss) on disposition of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5AA38DF2"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F89696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9DBB9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32262E" w14:textId="77777777" w:rsidR="00000000" w:rsidRDefault="00195E73">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1EFB7D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6D4439"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DEF555"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A76815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F4BC62E" w14:textId="77777777" w:rsidR="00000000" w:rsidRDefault="00195E73">
            <w:pPr>
              <w:rPr>
                <w:rFonts w:eastAsia="Times New Roman"/>
                <w:sz w:val="20"/>
                <w:szCs w:val="20"/>
              </w:rPr>
            </w:pPr>
          </w:p>
        </w:tc>
        <w:tc>
          <w:tcPr>
            <w:tcW w:w="0" w:type="auto"/>
            <w:vAlign w:val="center"/>
            <w:hideMark/>
          </w:tcPr>
          <w:p w14:paraId="18FED709" w14:textId="77777777" w:rsidR="00000000" w:rsidRDefault="00195E73">
            <w:pPr>
              <w:rPr>
                <w:rFonts w:eastAsia="Times New Roman"/>
                <w:sz w:val="20"/>
                <w:szCs w:val="20"/>
              </w:rPr>
            </w:pPr>
          </w:p>
        </w:tc>
        <w:tc>
          <w:tcPr>
            <w:tcW w:w="0" w:type="auto"/>
            <w:vAlign w:val="center"/>
            <w:hideMark/>
          </w:tcPr>
          <w:p w14:paraId="038C45B8" w14:textId="77777777" w:rsidR="00000000" w:rsidRDefault="00195E73">
            <w:pPr>
              <w:rPr>
                <w:rFonts w:eastAsia="Times New Roman"/>
                <w:sz w:val="20"/>
                <w:szCs w:val="20"/>
              </w:rPr>
            </w:pPr>
          </w:p>
        </w:tc>
        <w:tc>
          <w:tcPr>
            <w:tcW w:w="0" w:type="auto"/>
            <w:vAlign w:val="center"/>
            <w:hideMark/>
          </w:tcPr>
          <w:p w14:paraId="375B6854" w14:textId="77777777" w:rsidR="00000000" w:rsidRDefault="00195E73">
            <w:pPr>
              <w:rPr>
                <w:rFonts w:eastAsia="Times New Roman"/>
                <w:sz w:val="20"/>
                <w:szCs w:val="20"/>
              </w:rPr>
            </w:pPr>
          </w:p>
        </w:tc>
        <w:tc>
          <w:tcPr>
            <w:tcW w:w="0" w:type="auto"/>
            <w:vAlign w:val="center"/>
            <w:hideMark/>
          </w:tcPr>
          <w:p w14:paraId="48BE391B" w14:textId="77777777" w:rsidR="00000000" w:rsidRDefault="00195E73">
            <w:pPr>
              <w:rPr>
                <w:rFonts w:eastAsia="Times New Roman"/>
                <w:sz w:val="20"/>
                <w:szCs w:val="20"/>
              </w:rPr>
            </w:pPr>
          </w:p>
        </w:tc>
        <w:tc>
          <w:tcPr>
            <w:tcW w:w="0" w:type="auto"/>
            <w:vAlign w:val="center"/>
            <w:hideMark/>
          </w:tcPr>
          <w:p w14:paraId="44A18B70" w14:textId="77777777" w:rsidR="00000000" w:rsidRDefault="00195E73">
            <w:pPr>
              <w:rPr>
                <w:rFonts w:eastAsia="Times New Roman"/>
                <w:sz w:val="20"/>
                <w:szCs w:val="20"/>
              </w:rPr>
            </w:pPr>
          </w:p>
        </w:tc>
        <w:tc>
          <w:tcPr>
            <w:tcW w:w="0" w:type="auto"/>
            <w:vAlign w:val="center"/>
            <w:hideMark/>
          </w:tcPr>
          <w:p w14:paraId="046F1E3C" w14:textId="77777777" w:rsidR="00000000" w:rsidRDefault="00195E73">
            <w:pPr>
              <w:rPr>
                <w:rFonts w:eastAsia="Times New Roman"/>
                <w:sz w:val="20"/>
                <w:szCs w:val="20"/>
              </w:rPr>
            </w:pPr>
          </w:p>
        </w:tc>
        <w:tc>
          <w:tcPr>
            <w:tcW w:w="0" w:type="auto"/>
            <w:vAlign w:val="center"/>
            <w:hideMark/>
          </w:tcPr>
          <w:p w14:paraId="35E78F68" w14:textId="77777777" w:rsidR="00000000" w:rsidRDefault="00195E73">
            <w:pPr>
              <w:rPr>
                <w:rFonts w:eastAsia="Times New Roman"/>
                <w:sz w:val="20"/>
                <w:szCs w:val="20"/>
              </w:rPr>
            </w:pPr>
          </w:p>
        </w:tc>
        <w:tc>
          <w:tcPr>
            <w:tcW w:w="0" w:type="auto"/>
            <w:vAlign w:val="center"/>
            <w:hideMark/>
          </w:tcPr>
          <w:p w14:paraId="0F7557AF" w14:textId="77777777" w:rsidR="00000000" w:rsidRDefault="00195E73">
            <w:pPr>
              <w:rPr>
                <w:rFonts w:eastAsia="Times New Roman"/>
                <w:sz w:val="20"/>
                <w:szCs w:val="20"/>
              </w:rPr>
            </w:pPr>
          </w:p>
        </w:tc>
        <w:tc>
          <w:tcPr>
            <w:tcW w:w="0" w:type="auto"/>
            <w:vAlign w:val="center"/>
            <w:hideMark/>
          </w:tcPr>
          <w:p w14:paraId="23B19251" w14:textId="77777777" w:rsidR="00000000" w:rsidRDefault="00195E73">
            <w:pPr>
              <w:rPr>
                <w:rFonts w:eastAsia="Times New Roman"/>
                <w:sz w:val="20"/>
                <w:szCs w:val="20"/>
              </w:rPr>
            </w:pPr>
          </w:p>
        </w:tc>
        <w:tc>
          <w:tcPr>
            <w:tcW w:w="0" w:type="auto"/>
            <w:vAlign w:val="center"/>
            <w:hideMark/>
          </w:tcPr>
          <w:p w14:paraId="6E46FAAD" w14:textId="77777777" w:rsidR="00000000" w:rsidRDefault="00195E73">
            <w:pPr>
              <w:rPr>
                <w:rFonts w:eastAsia="Times New Roman"/>
                <w:sz w:val="20"/>
                <w:szCs w:val="20"/>
              </w:rPr>
            </w:pPr>
          </w:p>
        </w:tc>
        <w:tc>
          <w:tcPr>
            <w:tcW w:w="0" w:type="auto"/>
            <w:vAlign w:val="center"/>
            <w:hideMark/>
          </w:tcPr>
          <w:p w14:paraId="340BA31A" w14:textId="77777777" w:rsidR="00000000" w:rsidRDefault="00195E73">
            <w:pPr>
              <w:rPr>
                <w:rFonts w:eastAsia="Times New Roman"/>
                <w:sz w:val="20"/>
                <w:szCs w:val="20"/>
              </w:rPr>
            </w:pPr>
          </w:p>
        </w:tc>
      </w:tr>
      <w:tr w:rsidR="00000000" w14:paraId="237D91A8" w14:textId="77777777">
        <w:trPr>
          <w:divId w:val="1371416633"/>
          <w:jc w:val="center"/>
        </w:trPr>
        <w:tc>
          <w:tcPr>
            <w:tcW w:w="0" w:type="auto"/>
            <w:gridSpan w:val="3"/>
            <w:shd w:val="clear" w:color="auto" w:fill="FFFFFF"/>
            <w:tcMar>
              <w:top w:w="30" w:type="dxa"/>
              <w:left w:w="20" w:type="dxa"/>
              <w:bottom w:w="30" w:type="dxa"/>
              <w:right w:w="20" w:type="dxa"/>
            </w:tcMar>
            <w:vAlign w:val="bottom"/>
            <w:hideMark/>
          </w:tcPr>
          <w:p w14:paraId="7E3A9D9A" w14:textId="77777777" w:rsidR="00000000" w:rsidRDefault="00195E73">
            <w:pPr>
              <w:rPr>
                <w:rFonts w:eastAsia="Times New Roman"/>
              </w:rPr>
            </w:pPr>
            <w:r>
              <w:rPr>
                <w:rFonts w:eastAsia="Times New Roman"/>
                <w:color w:val="000000"/>
                <w:sz w:val="20"/>
                <w:szCs w:val="20"/>
              </w:rPr>
              <w:t>Equity in (loss) income of subsidiarie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9BD1701" w14:textId="77777777" w:rsidR="00000000" w:rsidRDefault="00195E73">
            <w:pPr>
              <w:jc w:val="right"/>
              <w:rPr>
                <w:rFonts w:eastAsia="Times New Roman"/>
              </w:rPr>
            </w:pPr>
            <w:r>
              <w:rPr>
                <w:rFonts w:eastAsia="Times New Roman"/>
                <w:color w:val="000000"/>
                <w:sz w:val="20"/>
                <w:szCs w:val="20"/>
              </w:rPr>
              <w:t>(363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628572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4A4728B"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CB369C" w14:textId="77777777" w:rsidR="00000000" w:rsidRDefault="00195E73">
            <w:pPr>
              <w:jc w:val="right"/>
              <w:rPr>
                <w:rFonts w:eastAsia="Times New Roman"/>
              </w:rPr>
            </w:pPr>
            <w:r>
              <w:rPr>
                <w:rFonts w:eastAsia="Times New Roman"/>
                <w:color w:val="000000"/>
                <w:sz w:val="20"/>
                <w:szCs w:val="20"/>
              </w:rPr>
              <w:t>2,200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5FAB8A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E8B423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787746" w14:textId="77777777" w:rsidR="00000000" w:rsidRDefault="00195E73">
            <w:pPr>
              <w:jc w:val="right"/>
              <w:rPr>
                <w:rFonts w:eastAsia="Times New Roman"/>
              </w:rPr>
            </w:pPr>
            <w:r>
              <w:rPr>
                <w:rFonts w:eastAsia="Times New Roman"/>
                <w:color w:val="000000"/>
                <w:sz w:val="20"/>
                <w:szCs w:val="20"/>
              </w:rPr>
              <w:t>2,763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B8487D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65CA4B6" w14:textId="77777777" w:rsidR="00000000" w:rsidRDefault="00195E73">
            <w:pPr>
              <w:rPr>
                <w:rFonts w:eastAsia="Times New Roman"/>
                <w:sz w:val="20"/>
                <w:szCs w:val="20"/>
              </w:rPr>
            </w:pPr>
          </w:p>
        </w:tc>
        <w:tc>
          <w:tcPr>
            <w:tcW w:w="0" w:type="auto"/>
            <w:vAlign w:val="center"/>
            <w:hideMark/>
          </w:tcPr>
          <w:p w14:paraId="0B27D740" w14:textId="77777777" w:rsidR="00000000" w:rsidRDefault="00195E73">
            <w:pPr>
              <w:rPr>
                <w:rFonts w:eastAsia="Times New Roman"/>
                <w:sz w:val="20"/>
                <w:szCs w:val="20"/>
              </w:rPr>
            </w:pPr>
          </w:p>
        </w:tc>
        <w:tc>
          <w:tcPr>
            <w:tcW w:w="0" w:type="auto"/>
            <w:vAlign w:val="center"/>
            <w:hideMark/>
          </w:tcPr>
          <w:p w14:paraId="127972C4" w14:textId="77777777" w:rsidR="00000000" w:rsidRDefault="00195E73">
            <w:pPr>
              <w:rPr>
                <w:rFonts w:eastAsia="Times New Roman"/>
                <w:sz w:val="20"/>
                <w:szCs w:val="20"/>
              </w:rPr>
            </w:pPr>
          </w:p>
        </w:tc>
        <w:tc>
          <w:tcPr>
            <w:tcW w:w="0" w:type="auto"/>
            <w:vAlign w:val="center"/>
            <w:hideMark/>
          </w:tcPr>
          <w:p w14:paraId="58348BBD" w14:textId="77777777" w:rsidR="00000000" w:rsidRDefault="00195E73">
            <w:pPr>
              <w:rPr>
                <w:rFonts w:eastAsia="Times New Roman"/>
                <w:sz w:val="20"/>
                <w:szCs w:val="20"/>
              </w:rPr>
            </w:pPr>
          </w:p>
        </w:tc>
        <w:tc>
          <w:tcPr>
            <w:tcW w:w="0" w:type="auto"/>
            <w:vAlign w:val="center"/>
            <w:hideMark/>
          </w:tcPr>
          <w:p w14:paraId="72E1B6E3" w14:textId="77777777" w:rsidR="00000000" w:rsidRDefault="00195E73">
            <w:pPr>
              <w:rPr>
                <w:rFonts w:eastAsia="Times New Roman"/>
                <w:sz w:val="20"/>
                <w:szCs w:val="20"/>
              </w:rPr>
            </w:pPr>
          </w:p>
        </w:tc>
        <w:tc>
          <w:tcPr>
            <w:tcW w:w="0" w:type="auto"/>
            <w:vAlign w:val="center"/>
            <w:hideMark/>
          </w:tcPr>
          <w:p w14:paraId="58320B83" w14:textId="77777777" w:rsidR="00000000" w:rsidRDefault="00195E73">
            <w:pPr>
              <w:rPr>
                <w:rFonts w:eastAsia="Times New Roman"/>
                <w:sz w:val="20"/>
                <w:szCs w:val="20"/>
              </w:rPr>
            </w:pPr>
          </w:p>
        </w:tc>
        <w:tc>
          <w:tcPr>
            <w:tcW w:w="0" w:type="auto"/>
            <w:vAlign w:val="center"/>
            <w:hideMark/>
          </w:tcPr>
          <w:p w14:paraId="12F093E8" w14:textId="77777777" w:rsidR="00000000" w:rsidRDefault="00195E73">
            <w:pPr>
              <w:rPr>
                <w:rFonts w:eastAsia="Times New Roman"/>
                <w:sz w:val="20"/>
                <w:szCs w:val="20"/>
              </w:rPr>
            </w:pPr>
          </w:p>
        </w:tc>
        <w:tc>
          <w:tcPr>
            <w:tcW w:w="0" w:type="auto"/>
            <w:vAlign w:val="center"/>
            <w:hideMark/>
          </w:tcPr>
          <w:p w14:paraId="3266F3AA" w14:textId="77777777" w:rsidR="00000000" w:rsidRDefault="00195E73">
            <w:pPr>
              <w:rPr>
                <w:rFonts w:eastAsia="Times New Roman"/>
                <w:sz w:val="20"/>
                <w:szCs w:val="20"/>
              </w:rPr>
            </w:pPr>
          </w:p>
        </w:tc>
        <w:tc>
          <w:tcPr>
            <w:tcW w:w="0" w:type="auto"/>
            <w:vAlign w:val="center"/>
            <w:hideMark/>
          </w:tcPr>
          <w:p w14:paraId="329E8611" w14:textId="77777777" w:rsidR="00000000" w:rsidRDefault="00195E73">
            <w:pPr>
              <w:rPr>
                <w:rFonts w:eastAsia="Times New Roman"/>
                <w:sz w:val="20"/>
                <w:szCs w:val="20"/>
              </w:rPr>
            </w:pPr>
          </w:p>
        </w:tc>
        <w:tc>
          <w:tcPr>
            <w:tcW w:w="0" w:type="auto"/>
            <w:vAlign w:val="center"/>
            <w:hideMark/>
          </w:tcPr>
          <w:p w14:paraId="068A14B1" w14:textId="77777777" w:rsidR="00000000" w:rsidRDefault="00195E73">
            <w:pPr>
              <w:rPr>
                <w:rFonts w:eastAsia="Times New Roman"/>
                <w:sz w:val="20"/>
                <w:szCs w:val="20"/>
              </w:rPr>
            </w:pPr>
          </w:p>
        </w:tc>
        <w:tc>
          <w:tcPr>
            <w:tcW w:w="0" w:type="auto"/>
            <w:vAlign w:val="center"/>
            <w:hideMark/>
          </w:tcPr>
          <w:p w14:paraId="7A488DF5" w14:textId="77777777" w:rsidR="00000000" w:rsidRDefault="00195E73">
            <w:pPr>
              <w:rPr>
                <w:rFonts w:eastAsia="Times New Roman"/>
                <w:sz w:val="20"/>
                <w:szCs w:val="20"/>
              </w:rPr>
            </w:pPr>
          </w:p>
        </w:tc>
        <w:tc>
          <w:tcPr>
            <w:tcW w:w="0" w:type="auto"/>
            <w:vAlign w:val="center"/>
            <w:hideMark/>
          </w:tcPr>
          <w:p w14:paraId="4C7AF108" w14:textId="77777777" w:rsidR="00000000" w:rsidRDefault="00195E73">
            <w:pPr>
              <w:rPr>
                <w:rFonts w:eastAsia="Times New Roman"/>
                <w:sz w:val="20"/>
                <w:szCs w:val="20"/>
              </w:rPr>
            </w:pPr>
          </w:p>
        </w:tc>
      </w:tr>
      <w:tr w:rsidR="00000000" w14:paraId="5148EC9D" w14:textId="77777777">
        <w:trPr>
          <w:divId w:val="1371416633"/>
          <w:jc w:val="center"/>
        </w:trPr>
        <w:tc>
          <w:tcPr>
            <w:tcW w:w="0" w:type="auto"/>
            <w:gridSpan w:val="3"/>
            <w:shd w:val="clear" w:color="auto" w:fill="CCEEFF"/>
            <w:tcMar>
              <w:top w:w="30" w:type="dxa"/>
              <w:left w:w="20" w:type="dxa"/>
              <w:bottom w:w="30" w:type="dxa"/>
              <w:right w:w="20" w:type="dxa"/>
            </w:tcMar>
            <w:vAlign w:val="bottom"/>
            <w:hideMark/>
          </w:tcPr>
          <w:p w14:paraId="23499407" w14:textId="77777777" w:rsidR="00000000" w:rsidRDefault="00195E73">
            <w:pPr>
              <w:rPr>
                <w:rFonts w:eastAsia="Times New Roman"/>
              </w:rPr>
            </w:pPr>
            <w:r>
              <w:rPr>
                <w:rFonts w:eastAsia="Times New Roman"/>
                <w:color w:val="000000"/>
                <w:sz w:val="20"/>
                <w:szCs w:val="20"/>
              </w:rPr>
              <w:t>Other income,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58C09AA5"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FF99E6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63FD0C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395502" w14:textId="77777777" w:rsidR="00000000" w:rsidRDefault="00195E73">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77F0B1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FD9314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43FB96" w14:textId="77777777" w:rsidR="00000000" w:rsidRDefault="00195E73">
            <w:pPr>
              <w:jc w:val="right"/>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D1762F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53C5D6C" w14:textId="77777777" w:rsidR="00000000" w:rsidRDefault="00195E73">
            <w:pPr>
              <w:rPr>
                <w:rFonts w:eastAsia="Times New Roman"/>
                <w:sz w:val="20"/>
                <w:szCs w:val="20"/>
              </w:rPr>
            </w:pPr>
          </w:p>
        </w:tc>
        <w:tc>
          <w:tcPr>
            <w:tcW w:w="0" w:type="auto"/>
            <w:vAlign w:val="center"/>
            <w:hideMark/>
          </w:tcPr>
          <w:p w14:paraId="67D8BAFE" w14:textId="77777777" w:rsidR="00000000" w:rsidRDefault="00195E73">
            <w:pPr>
              <w:rPr>
                <w:rFonts w:eastAsia="Times New Roman"/>
                <w:sz w:val="20"/>
                <w:szCs w:val="20"/>
              </w:rPr>
            </w:pPr>
          </w:p>
        </w:tc>
        <w:tc>
          <w:tcPr>
            <w:tcW w:w="0" w:type="auto"/>
            <w:vAlign w:val="center"/>
            <w:hideMark/>
          </w:tcPr>
          <w:p w14:paraId="008A9C69" w14:textId="77777777" w:rsidR="00000000" w:rsidRDefault="00195E73">
            <w:pPr>
              <w:rPr>
                <w:rFonts w:eastAsia="Times New Roman"/>
                <w:sz w:val="20"/>
                <w:szCs w:val="20"/>
              </w:rPr>
            </w:pPr>
          </w:p>
        </w:tc>
        <w:tc>
          <w:tcPr>
            <w:tcW w:w="0" w:type="auto"/>
            <w:vAlign w:val="center"/>
            <w:hideMark/>
          </w:tcPr>
          <w:p w14:paraId="609F1E77" w14:textId="77777777" w:rsidR="00000000" w:rsidRDefault="00195E73">
            <w:pPr>
              <w:rPr>
                <w:rFonts w:eastAsia="Times New Roman"/>
                <w:sz w:val="20"/>
                <w:szCs w:val="20"/>
              </w:rPr>
            </w:pPr>
          </w:p>
        </w:tc>
        <w:tc>
          <w:tcPr>
            <w:tcW w:w="0" w:type="auto"/>
            <w:vAlign w:val="center"/>
            <w:hideMark/>
          </w:tcPr>
          <w:p w14:paraId="5360AF85" w14:textId="77777777" w:rsidR="00000000" w:rsidRDefault="00195E73">
            <w:pPr>
              <w:rPr>
                <w:rFonts w:eastAsia="Times New Roman"/>
                <w:sz w:val="20"/>
                <w:szCs w:val="20"/>
              </w:rPr>
            </w:pPr>
          </w:p>
        </w:tc>
        <w:tc>
          <w:tcPr>
            <w:tcW w:w="0" w:type="auto"/>
            <w:vAlign w:val="center"/>
            <w:hideMark/>
          </w:tcPr>
          <w:p w14:paraId="3F3A6306" w14:textId="77777777" w:rsidR="00000000" w:rsidRDefault="00195E73">
            <w:pPr>
              <w:rPr>
                <w:rFonts w:eastAsia="Times New Roman"/>
                <w:sz w:val="20"/>
                <w:szCs w:val="20"/>
              </w:rPr>
            </w:pPr>
          </w:p>
        </w:tc>
        <w:tc>
          <w:tcPr>
            <w:tcW w:w="0" w:type="auto"/>
            <w:vAlign w:val="center"/>
            <w:hideMark/>
          </w:tcPr>
          <w:p w14:paraId="3DF5B1A0" w14:textId="77777777" w:rsidR="00000000" w:rsidRDefault="00195E73">
            <w:pPr>
              <w:rPr>
                <w:rFonts w:eastAsia="Times New Roman"/>
                <w:sz w:val="20"/>
                <w:szCs w:val="20"/>
              </w:rPr>
            </w:pPr>
          </w:p>
        </w:tc>
        <w:tc>
          <w:tcPr>
            <w:tcW w:w="0" w:type="auto"/>
            <w:vAlign w:val="center"/>
            <w:hideMark/>
          </w:tcPr>
          <w:p w14:paraId="15AC15CD" w14:textId="77777777" w:rsidR="00000000" w:rsidRDefault="00195E73">
            <w:pPr>
              <w:rPr>
                <w:rFonts w:eastAsia="Times New Roman"/>
                <w:sz w:val="20"/>
                <w:szCs w:val="20"/>
              </w:rPr>
            </w:pPr>
          </w:p>
        </w:tc>
        <w:tc>
          <w:tcPr>
            <w:tcW w:w="0" w:type="auto"/>
            <w:vAlign w:val="center"/>
            <w:hideMark/>
          </w:tcPr>
          <w:p w14:paraId="05CD28AD" w14:textId="77777777" w:rsidR="00000000" w:rsidRDefault="00195E73">
            <w:pPr>
              <w:rPr>
                <w:rFonts w:eastAsia="Times New Roman"/>
                <w:sz w:val="20"/>
                <w:szCs w:val="20"/>
              </w:rPr>
            </w:pPr>
          </w:p>
        </w:tc>
        <w:tc>
          <w:tcPr>
            <w:tcW w:w="0" w:type="auto"/>
            <w:vAlign w:val="center"/>
            <w:hideMark/>
          </w:tcPr>
          <w:p w14:paraId="2A9E281A" w14:textId="77777777" w:rsidR="00000000" w:rsidRDefault="00195E73">
            <w:pPr>
              <w:rPr>
                <w:rFonts w:eastAsia="Times New Roman"/>
                <w:sz w:val="20"/>
                <w:szCs w:val="20"/>
              </w:rPr>
            </w:pPr>
          </w:p>
        </w:tc>
        <w:tc>
          <w:tcPr>
            <w:tcW w:w="0" w:type="auto"/>
            <w:vAlign w:val="center"/>
            <w:hideMark/>
          </w:tcPr>
          <w:p w14:paraId="10752A37" w14:textId="77777777" w:rsidR="00000000" w:rsidRDefault="00195E73">
            <w:pPr>
              <w:rPr>
                <w:rFonts w:eastAsia="Times New Roman"/>
                <w:sz w:val="20"/>
                <w:szCs w:val="20"/>
              </w:rPr>
            </w:pPr>
          </w:p>
        </w:tc>
        <w:tc>
          <w:tcPr>
            <w:tcW w:w="0" w:type="auto"/>
            <w:vAlign w:val="center"/>
            <w:hideMark/>
          </w:tcPr>
          <w:p w14:paraId="79E13F5E" w14:textId="77777777" w:rsidR="00000000" w:rsidRDefault="00195E73">
            <w:pPr>
              <w:rPr>
                <w:rFonts w:eastAsia="Times New Roman"/>
                <w:sz w:val="20"/>
                <w:szCs w:val="20"/>
              </w:rPr>
            </w:pPr>
          </w:p>
        </w:tc>
      </w:tr>
      <w:tr w:rsidR="00000000" w14:paraId="21797B4E" w14:textId="77777777">
        <w:trPr>
          <w:divId w:val="1371416633"/>
          <w:jc w:val="center"/>
        </w:trPr>
        <w:tc>
          <w:tcPr>
            <w:tcW w:w="0" w:type="auto"/>
            <w:gridSpan w:val="3"/>
            <w:tcBorders>
              <w:top w:val="single" w:sz="8" w:space="0" w:color="FFFFFF"/>
            </w:tcBorders>
            <w:shd w:val="clear" w:color="auto" w:fill="FFFFFF"/>
            <w:tcMar>
              <w:top w:w="15" w:type="dxa"/>
              <w:left w:w="20" w:type="dxa"/>
              <w:bottom w:w="15" w:type="dxa"/>
              <w:right w:w="20" w:type="dxa"/>
            </w:tcMar>
            <w:vAlign w:val="bottom"/>
            <w:hideMark/>
          </w:tcPr>
          <w:p w14:paraId="75AA196D"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9E5500" w14:textId="77777777" w:rsidR="00000000" w:rsidRDefault="00195E73">
            <w:pPr>
              <w:jc w:val="right"/>
              <w:rPr>
                <w:rFonts w:eastAsia="Times New Roman"/>
              </w:rPr>
            </w:pPr>
            <w:r>
              <w:rPr>
                <w:rFonts w:eastAsia="Times New Roman"/>
                <w:color w:val="000000"/>
                <w:sz w:val="20"/>
                <w:szCs w:val="20"/>
              </w:rPr>
              <w:t>(724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A2F91C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DF862A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ED4E98" w14:textId="77777777" w:rsidR="00000000" w:rsidRDefault="00195E73">
            <w:pPr>
              <w:jc w:val="right"/>
              <w:rPr>
                <w:rFonts w:eastAsia="Times New Roman"/>
              </w:rPr>
            </w:pPr>
            <w:r>
              <w:rPr>
                <w:rFonts w:eastAsia="Times New Roman"/>
                <w:color w:val="000000"/>
                <w:sz w:val="20"/>
                <w:szCs w:val="20"/>
              </w:rPr>
              <w:t>1,845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6ED2AA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38B5304"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FC9951" w14:textId="77777777" w:rsidR="00000000" w:rsidRDefault="00195E73">
            <w:pPr>
              <w:jc w:val="right"/>
              <w:rPr>
                <w:rFonts w:eastAsia="Times New Roman"/>
              </w:rPr>
            </w:pPr>
            <w:r>
              <w:rPr>
                <w:rFonts w:eastAsia="Times New Roman"/>
                <w:color w:val="000000"/>
                <w:sz w:val="20"/>
                <w:szCs w:val="20"/>
              </w:rPr>
              <w:t>2,805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F92A29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774B02E" w14:textId="77777777" w:rsidR="00000000" w:rsidRDefault="00195E73">
            <w:pPr>
              <w:rPr>
                <w:rFonts w:eastAsia="Times New Roman"/>
                <w:sz w:val="20"/>
                <w:szCs w:val="20"/>
              </w:rPr>
            </w:pPr>
          </w:p>
        </w:tc>
        <w:tc>
          <w:tcPr>
            <w:tcW w:w="0" w:type="auto"/>
            <w:vAlign w:val="center"/>
            <w:hideMark/>
          </w:tcPr>
          <w:p w14:paraId="5297C46E" w14:textId="77777777" w:rsidR="00000000" w:rsidRDefault="00195E73">
            <w:pPr>
              <w:rPr>
                <w:rFonts w:eastAsia="Times New Roman"/>
                <w:sz w:val="20"/>
                <w:szCs w:val="20"/>
              </w:rPr>
            </w:pPr>
          </w:p>
        </w:tc>
        <w:tc>
          <w:tcPr>
            <w:tcW w:w="0" w:type="auto"/>
            <w:vAlign w:val="center"/>
            <w:hideMark/>
          </w:tcPr>
          <w:p w14:paraId="23578335" w14:textId="77777777" w:rsidR="00000000" w:rsidRDefault="00195E73">
            <w:pPr>
              <w:rPr>
                <w:rFonts w:eastAsia="Times New Roman"/>
                <w:sz w:val="20"/>
                <w:szCs w:val="20"/>
              </w:rPr>
            </w:pPr>
          </w:p>
        </w:tc>
        <w:tc>
          <w:tcPr>
            <w:tcW w:w="0" w:type="auto"/>
            <w:vAlign w:val="center"/>
            <w:hideMark/>
          </w:tcPr>
          <w:p w14:paraId="6F515A86" w14:textId="77777777" w:rsidR="00000000" w:rsidRDefault="00195E73">
            <w:pPr>
              <w:rPr>
                <w:rFonts w:eastAsia="Times New Roman"/>
                <w:sz w:val="20"/>
                <w:szCs w:val="20"/>
              </w:rPr>
            </w:pPr>
          </w:p>
        </w:tc>
        <w:tc>
          <w:tcPr>
            <w:tcW w:w="0" w:type="auto"/>
            <w:vAlign w:val="center"/>
            <w:hideMark/>
          </w:tcPr>
          <w:p w14:paraId="1F0AB174" w14:textId="77777777" w:rsidR="00000000" w:rsidRDefault="00195E73">
            <w:pPr>
              <w:rPr>
                <w:rFonts w:eastAsia="Times New Roman"/>
                <w:sz w:val="20"/>
                <w:szCs w:val="20"/>
              </w:rPr>
            </w:pPr>
          </w:p>
        </w:tc>
        <w:tc>
          <w:tcPr>
            <w:tcW w:w="0" w:type="auto"/>
            <w:vAlign w:val="center"/>
            <w:hideMark/>
          </w:tcPr>
          <w:p w14:paraId="784682D5" w14:textId="77777777" w:rsidR="00000000" w:rsidRDefault="00195E73">
            <w:pPr>
              <w:rPr>
                <w:rFonts w:eastAsia="Times New Roman"/>
                <w:sz w:val="20"/>
                <w:szCs w:val="20"/>
              </w:rPr>
            </w:pPr>
          </w:p>
        </w:tc>
        <w:tc>
          <w:tcPr>
            <w:tcW w:w="0" w:type="auto"/>
            <w:vAlign w:val="center"/>
            <w:hideMark/>
          </w:tcPr>
          <w:p w14:paraId="44162176" w14:textId="77777777" w:rsidR="00000000" w:rsidRDefault="00195E73">
            <w:pPr>
              <w:rPr>
                <w:rFonts w:eastAsia="Times New Roman"/>
                <w:sz w:val="20"/>
                <w:szCs w:val="20"/>
              </w:rPr>
            </w:pPr>
          </w:p>
        </w:tc>
        <w:tc>
          <w:tcPr>
            <w:tcW w:w="0" w:type="auto"/>
            <w:vAlign w:val="center"/>
            <w:hideMark/>
          </w:tcPr>
          <w:p w14:paraId="200E7DEA" w14:textId="77777777" w:rsidR="00000000" w:rsidRDefault="00195E73">
            <w:pPr>
              <w:rPr>
                <w:rFonts w:eastAsia="Times New Roman"/>
                <w:sz w:val="20"/>
                <w:szCs w:val="20"/>
              </w:rPr>
            </w:pPr>
          </w:p>
        </w:tc>
        <w:tc>
          <w:tcPr>
            <w:tcW w:w="0" w:type="auto"/>
            <w:vAlign w:val="center"/>
            <w:hideMark/>
          </w:tcPr>
          <w:p w14:paraId="67014FE0" w14:textId="77777777" w:rsidR="00000000" w:rsidRDefault="00195E73">
            <w:pPr>
              <w:rPr>
                <w:rFonts w:eastAsia="Times New Roman"/>
                <w:sz w:val="20"/>
                <w:szCs w:val="20"/>
              </w:rPr>
            </w:pPr>
          </w:p>
        </w:tc>
        <w:tc>
          <w:tcPr>
            <w:tcW w:w="0" w:type="auto"/>
            <w:vAlign w:val="center"/>
            <w:hideMark/>
          </w:tcPr>
          <w:p w14:paraId="3862245C" w14:textId="77777777" w:rsidR="00000000" w:rsidRDefault="00195E73">
            <w:pPr>
              <w:rPr>
                <w:rFonts w:eastAsia="Times New Roman"/>
                <w:sz w:val="20"/>
                <w:szCs w:val="20"/>
              </w:rPr>
            </w:pPr>
          </w:p>
        </w:tc>
        <w:tc>
          <w:tcPr>
            <w:tcW w:w="0" w:type="auto"/>
            <w:vAlign w:val="center"/>
            <w:hideMark/>
          </w:tcPr>
          <w:p w14:paraId="2819AB0D" w14:textId="77777777" w:rsidR="00000000" w:rsidRDefault="00195E73">
            <w:pPr>
              <w:rPr>
                <w:rFonts w:eastAsia="Times New Roman"/>
                <w:sz w:val="20"/>
                <w:szCs w:val="20"/>
              </w:rPr>
            </w:pPr>
          </w:p>
        </w:tc>
        <w:tc>
          <w:tcPr>
            <w:tcW w:w="0" w:type="auto"/>
            <w:vAlign w:val="center"/>
            <w:hideMark/>
          </w:tcPr>
          <w:p w14:paraId="7BC3CC17" w14:textId="77777777" w:rsidR="00000000" w:rsidRDefault="00195E73">
            <w:pPr>
              <w:rPr>
                <w:rFonts w:eastAsia="Times New Roman"/>
                <w:sz w:val="20"/>
                <w:szCs w:val="20"/>
              </w:rPr>
            </w:pPr>
          </w:p>
        </w:tc>
      </w:tr>
      <w:tr w:rsidR="00000000" w14:paraId="7BE90C38" w14:textId="77777777">
        <w:trPr>
          <w:divId w:val="1371416633"/>
          <w:jc w:val="center"/>
        </w:trPr>
        <w:tc>
          <w:tcPr>
            <w:tcW w:w="0" w:type="auto"/>
            <w:gridSpan w:val="3"/>
            <w:shd w:val="clear" w:color="auto" w:fill="CCEEFF"/>
            <w:tcMar>
              <w:top w:w="30" w:type="dxa"/>
              <w:left w:w="20" w:type="dxa"/>
              <w:bottom w:w="30" w:type="dxa"/>
              <w:right w:w="20" w:type="dxa"/>
            </w:tcMar>
            <w:vAlign w:val="bottom"/>
            <w:hideMark/>
          </w:tcPr>
          <w:p w14:paraId="4C7C1702" w14:textId="77777777" w:rsidR="00000000" w:rsidRDefault="00195E73">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4F8B7FFE" w14:textId="77777777" w:rsidR="00000000" w:rsidRDefault="00195E73">
            <w:pPr>
              <w:jc w:val="right"/>
              <w:rPr>
                <w:rFonts w:eastAsia="Times New Roman"/>
              </w:rPr>
            </w:pPr>
            <w:r>
              <w:rPr>
                <w:rFonts w:eastAsia="Times New Roman"/>
                <w:color w:val="000000"/>
                <w:sz w:val="20"/>
                <w:szCs w:val="20"/>
              </w:rPr>
              <w:t>350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BA0C1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D6DA50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60772D" w14:textId="77777777" w:rsidR="00000000" w:rsidRDefault="00195E73">
            <w:pPr>
              <w:jc w:val="right"/>
              <w:rPr>
                <w:rFonts w:eastAsia="Times New Roman"/>
              </w:rPr>
            </w:pPr>
            <w:r>
              <w:rPr>
                <w:rFonts w:eastAsia="Times New Roman"/>
                <w:color w:val="000000"/>
                <w:sz w:val="20"/>
                <w:szCs w:val="20"/>
              </w:rPr>
              <w:t>337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9C8C25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D3E73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59BC2A" w14:textId="77777777" w:rsidR="00000000" w:rsidRDefault="00195E73">
            <w:pPr>
              <w:jc w:val="right"/>
              <w:rPr>
                <w:rFonts w:eastAsia="Times New Roman"/>
              </w:rPr>
            </w:pPr>
            <w:r>
              <w:rPr>
                <w:rFonts w:eastAsia="Times New Roman"/>
                <w:color w:val="000000"/>
                <w:sz w:val="20"/>
                <w:szCs w:val="20"/>
              </w:rPr>
              <w:t>324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945DE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4E3BEDC" w14:textId="77777777" w:rsidR="00000000" w:rsidRDefault="00195E73">
            <w:pPr>
              <w:rPr>
                <w:rFonts w:eastAsia="Times New Roman"/>
                <w:sz w:val="20"/>
                <w:szCs w:val="20"/>
              </w:rPr>
            </w:pPr>
          </w:p>
        </w:tc>
        <w:tc>
          <w:tcPr>
            <w:tcW w:w="0" w:type="auto"/>
            <w:vAlign w:val="center"/>
            <w:hideMark/>
          </w:tcPr>
          <w:p w14:paraId="701DEA7E" w14:textId="77777777" w:rsidR="00000000" w:rsidRDefault="00195E73">
            <w:pPr>
              <w:rPr>
                <w:rFonts w:eastAsia="Times New Roman"/>
                <w:sz w:val="20"/>
                <w:szCs w:val="20"/>
              </w:rPr>
            </w:pPr>
          </w:p>
        </w:tc>
        <w:tc>
          <w:tcPr>
            <w:tcW w:w="0" w:type="auto"/>
            <w:vAlign w:val="center"/>
            <w:hideMark/>
          </w:tcPr>
          <w:p w14:paraId="46B9C52E" w14:textId="77777777" w:rsidR="00000000" w:rsidRDefault="00195E73">
            <w:pPr>
              <w:rPr>
                <w:rFonts w:eastAsia="Times New Roman"/>
                <w:sz w:val="20"/>
                <w:szCs w:val="20"/>
              </w:rPr>
            </w:pPr>
          </w:p>
        </w:tc>
        <w:tc>
          <w:tcPr>
            <w:tcW w:w="0" w:type="auto"/>
            <w:vAlign w:val="center"/>
            <w:hideMark/>
          </w:tcPr>
          <w:p w14:paraId="5FCE54A5" w14:textId="77777777" w:rsidR="00000000" w:rsidRDefault="00195E73">
            <w:pPr>
              <w:rPr>
                <w:rFonts w:eastAsia="Times New Roman"/>
                <w:sz w:val="20"/>
                <w:szCs w:val="20"/>
              </w:rPr>
            </w:pPr>
          </w:p>
        </w:tc>
        <w:tc>
          <w:tcPr>
            <w:tcW w:w="0" w:type="auto"/>
            <w:vAlign w:val="center"/>
            <w:hideMark/>
          </w:tcPr>
          <w:p w14:paraId="09921D1B" w14:textId="77777777" w:rsidR="00000000" w:rsidRDefault="00195E73">
            <w:pPr>
              <w:rPr>
                <w:rFonts w:eastAsia="Times New Roman"/>
                <w:sz w:val="20"/>
                <w:szCs w:val="20"/>
              </w:rPr>
            </w:pPr>
          </w:p>
        </w:tc>
        <w:tc>
          <w:tcPr>
            <w:tcW w:w="0" w:type="auto"/>
            <w:vAlign w:val="center"/>
            <w:hideMark/>
          </w:tcPr>
          <w:p w14:paraId="45733C25" w14:textId="77777777" w:rsidR="00000000" w:rsidRDefault="00195E73">
            <w:pPr>
              <w:rPr>
                <w:rFonts w:eastAsia="Times New Roman"/>
                <w:sz w:val="20"/>
                <w:szCs w:val="20"/>
              </w:rPr>
            </w:pPr>
          </w:p>
        </w:tc>
        <w:tc>
          <w:tcPr>
            <w:tcW w:w="0" w:type="auto"/>
            <w:vAlign w:val="center"/>
            <w:hideMark/>
          </w:tcPr>
          <w:p w14:paraId="70D73F24" w14:textId="77777777" w:rsidR="00000000" w:rsidRDefault="00195E73">
            <w:pPr>
              <w:rPr>
                <w:rFonts w:eastAsia="Times New Roman"/>
                <w:sz w:val="20"/>
                <w:szCs w:val="20"/>
              </w:rPr>
            </w:pPr>
          </w:p>
        </w:tc>
        <w:tc>
          <w:tcPr>
            <w:tcW w:w="0" w:type="auto"/>
            <w:vAlign w:val="center"/>
            <w:hideMark/>
          </w:tcPr>
          <w:p w14:paraId="0C9E30E8" w14:textId="77777777" w:rsidR="00000000" w:rsidRDefault="00195E73">
            <w:pPr>
              <w:rPr>
                <w:rFonts w:eastAsia="Times New Roman"/>
                <w:sz w:val="20"/>
                <w:szCs w:val="20"/>
              </w:rPr>
            </w:pPr>
          </w:p>
        </w:tc>
        <w:tc>
          <w:tcPr>
            <w:tcW w:w="0" w:type="auto"/>
            <w:vAlign w:val="center"/>
            <w:hideMark/>
          </w:tcPr>
          <w:p w14:paraId="2BC6EC41" w14:textId="77777777" w:rsidR="00000000" w:rsidRDefault="00195E73">
            <w:pPr>
              <w:rPr>
                <w:rFonts w:eastAsia="Times New Roman"/>
                <w:sz w:val="20"/>
                <w:szCs w:val="20"/>
              </w:rPr>
            </w:pPr>
          </w:p>
        </w:tc>
        <w:tc>
          <w:tcPr>
            <w:tcW w:w="0" w:type="auto"/>
            <w:vAlign w:val="center"/>
            <w:hideMark/>
          </w:tcPr>
          <w:p w14:paraId="09624764" w14:textId="77777777" w:rsidR="00000000" w:rsidRDefault="00195E73">
            <w:pPr>
              <w:rPr>
                <w:rFonts w:eastAsia="Times New Roman"/>
                <w:sz w:val="20"/>
                <w:szCs w:val="20"/>
              </w:rPr>
            </w:pPr>
          </w:p>
        </w:tc>
        <w:tc>
          <w:tcPr>
            <w:tcW w:w="0" w:type="auto"/>
            <w:vAlign w:val="center"/>
            <w:hideMark/>
          </w:tcPr>
          <w:p w14:paraId="1A598FA3" w14:textId="77777777" w:rsidR="00000000" w:rsidRDefault="00195E73">
            <w:pPr>
              <w:rPr>
                <w:rFonts w:eastAsia="Times New Roman"/>
                <w:sz w:val="20"/>
                <w:szCs w:val="20"/>
              </w:rPr>
            </w:pPr>
          </w:p>
        </w:tc>
        <w:tc>
          <w:tcPr>
            <w:tcW w:w="0" w:type="auto"/>
            <w:vAlign w:val="center"/>
            <w:hideMark/>
          </w:tcPr>
          <w:p w14:paraId="78E81E8D" w14:textId="77777777" w:rsidR="00000000" w:rsidRDefault="00195E73">
            <w:pPr>
              <w:rPr>
                <w:rFonts w:eastAsia="Times New Roman"/>
                <w:sz w:val="20"/>
                <w:szCs w:val="20"/>
              </w:rPr>
            </w:pPr>
          </w:p>
        </w:tc>
      </w:tr>
      <w:tr w:rsidR="00000000" w14:paraId="71E01E88" w14:textId="77777777">
        <w:trPr>
          <w:divId w:val="1371416633"/>
          <w:jc w:val="center"/>
        </w:trPr>
        <w:tc>
          <w:tcPr>
            <w:tcW w:w="0" w:type="auto"/>
            <w:gridSpan w:val="3"/>
            <w:shd w:val="clear" w:color="auto" w:fill="FFFFFF"/>
            <w:tcMar>
              <w:top w:w="30" w:type="dxa"/>
              <w:left w:w="20" w:type="dxa"/>
              <w:bottom w:w="30" w:type="dxa"/>
              <w:right w:w="20" w:type="dxa"/>
            </w:tcMar>
            <w:vAlign w:val="bottom"/>
            <w:hideMark/>
          </w:tcPr>
          <w:p w14:paraId="3686AA12" w14:textId="77777777" w:rsidR="00000000" w:rsidRDefault="00195E73">
            <w:pPr>
              <w:rPr>
                <w:rFonts w:eastAsia="Times New Roman"/>
              </w:rPr>
            </w:pPr>
            <w:r>
              <w:rPr>
                <w:rFonts w:eastAsia="Times New Roman"/>
                <w:color w:val="000000"/>
                <w:sz w:val="20"/>
                <w:szCs w:val="20"/>
              </w:rPr>
              <w:t>Selling, general and administrativ</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67373367" w14:textId="77777777" w:rsidR="00000000" w:rsidRDefault="00195E73">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BBBDF7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78CB6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1FC280" w14:textId="77777777" w:rsidR="00000000" w:rsidRDefault="00195E73">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775760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03EB5F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D8843A" w14:textId="77777777" w:rsidR="00000000" w:rsidRDefault="00195E73">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D556C54"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129A264" w14:textId="77777777" w:rsidR="00000000" w:rsidRDefault="00195E73">
            <w:pPr>
              <w:rPr>
                <w:rFonts w:eastAsia="Times New Roman"/>
                <w:sz w:val="20"/>
                <w:szCs w:val="20"/>
              </w:rPr>
            </w:pPr>
          </w:p>
        </w:tc>
        <w:tc>
          <w:tcPr>
            <w:tcW w:w="0" w:type="auto"/>
            <w:vAlign w:val="center"/>
            <w:hideMark/>
          </w:tcPr>
          <w:p w14:paraId="7547A1EE" w14:textId="77777777" w:rsidR="00000000" w:rsidRDefault="00195E73">
            <w:pPr>
              <w:rPr>
                <w:rFonts w:eastAsia="Times New Roman"/>
                <w:sz w:val="20"/>
                <w:szCs w:val="20"/>
              </w:rPr>
            </w:pPr>
          </w:p>
        </w:tc>
        <w:tc>
          <w:tcPr>
            <w:tcW w:w="0" w:type="auto"/>
            <w:vAlign w:val="center"/>
            <w:hideMark/>
          </w:tcPr>
          <w:p w14:paraId="581C0BDD" w14:textId="77777777" w:rsidR="00000000" w:rsidRDefault="00195E73">
            <w:pPr>
              <w:rPr>
                <w:rFonts w:eastAsia="Times New Roman"/>
                <w:sz w:val="20"/>
                <w:szCs w:val="20"/>
              </w:rPr>
            </w:pPr>
          </w:p>
        </w:tc>
        <w:tc>
          <w:tcPr>
            <w:tcW w:w="0" w:type="auto"/>
            <w:vAlign w:val="center"/>
            <w:hideMark/>
          </w:tcPr>
          <w:p w14:paraId="47000669" w14:textId="77777777" w:rsidR="00000000" w:rsidRDefault="00195E73">
            <w:pPr>
              <w:rPr>
                <w:rFonts w:eastAsia="Times New Roman"/>
                <w:sz w:val="20"/>
                <w:szCs w:val="20"/>
              </w:rPr>
            </w:pPr>
          </w:p>
        </w:tc>
        <w:tc>
          <w:tcPr>
            <w:tcW w:w="0" w:type="auto"/>
            <w:vAlign w:val="center"/>
            <w:hideMark/>
          </w:tcPr>
          <w:p w14:paraId="6702BDEA" w14:textId="77777777" w:rsidR="00000000" w:rsidRDefault="00195E73">
            <w:pPr>
              <w:rPr>
                <w:rFonts w:eastAsia="Times New Roman"/>
                <w:sz w:val="20"/>
                <w:szCs w:val="20"/>
              </w:rPr>
            </w:pPr>
          </w:p>
        </w:tc>
        <w:tc>
          <w:tcPr>
            <w:tcW w:w="0" w:type="auto"/>
            <w:vAlign w:val="center"/>
            <w:hideMark/>
          </w:tcPr>
          <w:p w14:paraId="6F3C96B1" w14:textId="77777777" w:rsidR="00000000" w:rsidRDefault="00195E73">
            <w:pPr>
              <w:rPr>
                <w:rFonts w:eastAsia="Times New Roman"/>
                <w:sz w:val="20"/>
                <w:szCs w:val="20"/>
              </w:rPr>
            </w:pPr>
          </w:p>
        </w:tc>
        <w:tc>
          <w:tcPr>
            <w:tcW w:w="0" w:type="auto"/>
            <w:vAlign w:val="center"/>
            <w:hideMark/>
          </w:tcPr>
          <w:p w14:paraId="026DF898" w14:textId="77777777" w:rsidR="00000000" w:rsidRDefault="00195E73">
            <w:pPr>
              <w:rPr>
                <w:rFonts w:eastAsia="Times New Roman"/>
                <w:sz w:val="20"/>
                <w:szCs w:val="20"/>
              </w:rPr>
            </w:pPr>
          </w:p>
        </w:tc>
        <w:tc>
          <w:tcPr>
            <w:tcW w:w="0" w:type="auto"/>
            <w:vAlign w:val="center"/>
            <w:hideMark/>
          </w:tcPr>
          <w:p w14:paraId="4FE68F19" w14:textId="77777777" w:rsidR="00000000" w:rsidRDefault="00195E73">
            <w:pPr>
              <w:rPr>
                <w:rFonts w:eastAsia="Times New Roman"/>
                <w:sz w:val="20"/>
                <w:szCs w:val="20"/>
              </w:rPr>
            </w:pPr>
          </w:p>
        </w:tc>
        <w:tc>
          <w:tcPr>
            <w:tcW w:w="0" w:type="auto"/>
            <w:vAlign w:val="center"/>
            <w:hideMark/>
          </w:tcPr>
          <w:p w14:paraId="5B0C8E8B" w14:textId="77777777" w:rsidR="00000000" w:rsidRDefault="00195E73">
            <w:pPr>
              <w:rPr>
                <w:rFonts w:eastAsia="Times New Roman"/>
                <w:sz w:val="20"/>
                <w:szCs w:val="20"/>
              </w:rPr>
            </w:pPr>
          </w:p>
        </w:tc>
        <w:tc>
          <w:tcPr>
            <w:tcW w:w="0" w:type="auto"/>
            <w:vAlign w:val="center"/>
            <w:hideMark/>
          </w:tcPr>
          <w:p w14:paraId="0BC560E3" w14:textId="77777777" w:rsidR="00000000" w:rsidRDefault="00195E73">
            <w:pPr>
              <w:rPr>
                <w:rFonts w:eastAsia="Times New Roman"/>
                <w:sz w:val="20"/>
                <w:szCs w:val="20"/>
              </w:rPr>
            </w:pPr>
          </w:p>
        </w:tc>
        <w:tc>
          <w:tcPr>
            <w:tcW w:w="0" w:type="auto"/>
            <w:vAlign w:val="center"/>
            <w:hideMark/>
          </w:tcPr>
          <w:p w14:paraId="2E2297A4" w14:textId="77777777" w:rsidR="00000000" w:rsidRDefault="00195E73">
            <w:pPr>
              <w:rPr>
                <w:rFonts w:eastAsia="Times New Roman"/>
                <w:sz w:val="20"/>
                <w:szCs w:val="20"/>
              </w:rPr>
            </w:pPr>
          </w:p>
        </w:tc>
        <w:tc>
          <w:tcPr>
            <w:tcW w:w="0" w:type="auto"/>
            <w:vAlign w:val="center"/>
            <w:hideMark/>
          </w:tcPr>
          <w:p w14:paraId="00204ABF" w14:textId="77777777" w:rsidR="00000000" w:rsidRDefault="00195E73">
            <w:pPr>
              <w:rPr>
                <w:rFonts w:eastAsia="Times New Roman"/>
                <w:sz w:val="20"/>
                <w:szCs w:val="20"/>
              </w:rPr>
            </w:pPr>
          </w:p>
        </w:tc>
      </w:tr>
      <w:tr w:rsidR="00000000" w14:paraId="41F58642" w14:textId="77777777">
        <w:trPr>
          <w:divId w:val="1371416633"/>
          <w:jc w:val="center"/>
        </w:trPr>
        <w:tc>
          <w:tcPr>
            <w:tcW w:w="0" w:type="auto"/>
            <w:gridSpan w:val="3"/>
            <w:tcBorders>
              <w:top w:val="single" w:sz="8" w:space="0" w:color="FFFFFF"/>
            </w:tcBorders>
            <w:shd w:val="clear" w:color="auto" w:fill="CCEEFF"/>
            <w:tcMar>
              <w:top w:w="15" w:type="dxa"/>
              <w:left w:w="20" w:type="dxa"/>
              <w:bottom w:w="15" w:type="dxa"/>
              <w:right w:w="20" w:type="dxa"/>
            </w:tcMar>
            <w:vAlign w:val="bottom"/>
            <w:hideMark/>
          </w:tcPr>
          <w:p w14:paraId="3E003A7F"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D1025D" w14:textId="77777777" w:rsidR="00000000" w:rsidRDefault="00195E73">
            <w:pPr>
              <w:jc w:val="right"/>
              <w:rPr>
                <w:rFonts w:eastAsia="Times New Roman"/>
              </w:rPr>
            </w:pPr>
            <w:r>
              <w:rPr>
                <w:rFonts w:eastAsia="Times New Roman"/>
                <w:color w:val="000000"/>
                <w:sz w:val="20"/>
                <w:szCs w:val="20"/>
              </w:rPr>
              <w:t>373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25476A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59192C"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27766A" w14:textId="77777777" w:rsidR="00000000" w:rsidRDefault="00195E73">
            <w:pPr>
              <w:jc w:val="right"/>
              <w:rPr>
                <w:rFonts w:eastAsia="Times New Roman"/>
              </w:rPr>
            </w:pPr>
            <w:r>
              <w:rPr>
                <w:rFonts w:eastAsia="Times New Roman"/>
                <w:color w:val="000000"/>
                <w:sz w:val="20"/>
                <w:szCs w:val="20"/>
              </w:rPr>
              <w:t>362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AF69AA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197997D"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E81951" w14:textId="77777777" w:rsidR="00000000" w:rsidRDefault="00195E73">
            <w:pPr>
              <w:jc w:val="right"/>
              <w:rPr>
                <w:rFonts w:eastAsia="Times New Roman"/>
              </w:rPr>
            </w:pPr>
            <w:r>
              <w:rPr>
                <w:rFonts w:eastAsia="Times New Roman"/>
                <w:color w:val="000000"/>
                <w:sz w:val="20"/>
                <w:szCs w:val="20"/>
              </w:rPr>
              <w:t>349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620082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5E57DD5" w14:textId="77777777" w:rsidR="00000000" w:rsidRDefault="00195E73">
            <w:pPr>
              <w:rPr>
                <w:rFonts w:eastAsia="Times New Roman"/>
                <w:sz w:val="20"/>
                <w:szCs w:val="20"/>
              </w:rPr>
            </w:pPr>
          </w:p>
        </w:tc>
        <w:tc>
          <w:tcPr>
            <w:tcW w:w="0" w:type="auto"/>
            <w:vAlign w:val="center"/>
            <w:hideMark/>
          </w:tcPr>
          <w:p w14:paraId="30194107" w14:textId="77777777" w:rsidR="00000000" w:rsidRDefault="00195E73">
            <w:pPr>
              <w:rPr>
                <w:rFonts w:eastAsia="Times New Roman"/>
                <w:sz w:val="20"/>
                <w:szCs w:val="20"/>
              </w:rPr>
            </w:pPr>
          </w:p>
        </w:tc>
        <w:tc>
          <w:tcPr>
            <w:tcW w:w="0" w:type="auto"/>
            <w:vAlign w:val="center"/>
            <w:hideMark/>
          </w:tcPr>
          <w:p w14:paraId="53E06B8E" w14:textId="77777777" w:rsidR="00000000" w:rsidRDefault="00195E73">
            <w:pPr>
              <w:rPr>
                <w:rFonts w:eastAsia="Times New Roman"/>
                <w:sz w:val="20"/>
                <w:szCs w:val="20"/>
              </w:rPr>
            </w:pPr>
          </w:p>
        </w:tc>
        <w:tc>
          <w:tcPr>
            <w:tcW w:w="0" w:type="auto"/>
            <w:vAlign w:val="center"/>
            <w:hideMark/>
          </w:tcPr>
          <w:p w14:paraId="638B0166" w14:textId="77777777" w:rsidR="00000000" w:rsidRDefault="00195E73">
            <w:pPr>
              <w:rPr>
                <w:rFonts w:eastAsia="Times New Roman"/>
                <w:sz w:val="20"/>
                <w:szCs w:val="20"/>
              </w:rPr>
            </w:pPr>
          </w:p>
        </w:tc>
        <w:tc>
          <w:tcPr>
            <w:tcW w:w="0" w:type="auto"/>
            <w:vAlign w:val="center"/>
            <w:hideMark/>
          </w:tcPr>
          <w:p w14:paraId="66C18596" w14:textId="77777777" w:rsidR="00000000" w:rsidRDefault="00195E73">
            <w:pPr>
              <w:rPr>
                <w:rFonts w:eastAsia="Times New Roman"/>
                <w:sz w:val="20"/>
                <w:szCs w:val="20"/>
              </w:rPr>
            </w:pPr>
          </w:p>
        </w:tc>
        <w:tc>
          <w:tcPr>
            <w:tcW w:w="0" w:type="auto"/>
            <w:vAlign w:val="center"/>
            <w:hideMark/>
          </w:tcPr>
          <w:p w14:paraId="292EBC09" w14:textId="77777777" w:rsidR="00000000" w:rsidRDefault="00195E73">
            <w:pPr>
              <w:rPr>
                <w:rFonts w:eastAsia="Times New Roman"/>
                <w:sz w:val="20"/>
                <w:szCs w:val="20"/>
              </w:rPr>
            </w:pPr>
          </w:p>
        </w:tc>
        <w:tc>
          <w:tcPr>
            <w:tcW w:w="0" w:type="auto"/>
            <w:vAlign w:val="center"/>
            <w:hideMark/>
          </w:tcPr>
          <w:p w14:paraId="00F0785F" w14:textId="77777777" w:rsidR="00000000" w:rsidRDefault="00195E73">
            <w:pPr>
              <w:rPr>
                <w:rFonts w:eastAsia="Times New Roman"/>
                <w:sz w:val="20"/>
                <w:szCs w:val="20"/>
              </w:rPr>
            </w:pPr>
          </w:p>
        </w:tc>
        <w:tc>
          <w:tcPr>
            <w:tcW w:w="0" w:type="auto"/>
            <w:vAlign w:val="center"/>
            <w:hideMark/>
          </w:tcPr>
          <w:p w14:paraId="2446727C" w14:textId="77777777" w:rsidR="00000000" w:rsidRDefault="00195E73">
            <w:pPr>
              <w:rPr>
                <w:rFonts w:eastAsia="Times New Roman"/>
                <w:sz w:val="20"/>
                <w:szCs w:val="20"/>
              </w:rPr>
            </w:pPr>
          </w:p>
        </w:tc>
        <w:tc>
          <w:tcPr>
            <w:tcW w:w="0" w:type="auto"/>
            <w:vAlign w:val="center"/>
            <w:hideMark/>
          </w:tcPr>
          <w:p w14:paraId="3DA2CBB3" w14:textId="77777777" w:rsidR="00000000" w:rsidRDefault="00195E73">
            <w:pPr>
              <w:rPr>
                <w:rFonts w:eastAsia="Times New Roman"/>
                <w:sz w:val="20"/>
                <w:szCs w:val="20"/>
              </w:rPr>
            </w:pPr>
          </w:p>
        </w:tc>
        <w:tc>
          <w:tcPr>
            <w:tcW w:w="0" w:type="auto"/>
            <w:vAlign w:val="center"/>
            <w:hideMark/>
          </w:tcPr>
          <w:p w14:paraId="296D7067" w14:textId="77777777" w:rsidR="00000000" w:rsidRDefault="00195E73">
            <w:pPr>
              <w:rPr>
                <w:rFonts w:eastAsia="Times New Roman"/>
                <w:sz w:val="20"/>
                <w:szCs w:val="20"/>
              </w:rPr>
            </w:pPr>
          </w:p>
        </w:tc>
        <w:tc>
          <w:tcPr>
            <w:tcW w:w="0" w:type="auto"/>
            <w:vAlign w:val="center"/>
            <w:hideMark/>
          </w:tcPr>
          <w:p w14:paraId="667DDD75" w14:textId="77777777" w:rsidR="00000000" w:rsidRDefault="00195E73">
            <w:pPr>
              <w:rPr>
                <w:rFonts w:eastAsia="Times New Roman"/>
                <w:sz w:val="20"/>
                <w:szCs w:val="20"/>
              </w:rPr>
            </w:pPr>
          </w:p>
        </w:tc>
        <w:tc>
          <w:tcPr>
            <w:tcW w:w="0" w:type="auto"/>
            <w:vAlign w:val="center"/>
            <w:hideMark/>
          </w:tcPr>
          <w:p w14:paraId="05A5BAA2" w14:textId="77777777" w:rsidR="00000000" w:rsidRDefault="00195E73">
            <w:pPr>
              <w:rPr>
                <w:rFonts w:eastAsia="Times New Roman"/>
                <w:sz w:val="20"/>
                <w:szCs w:val="20"/>
              </w:rPr>
            </w:pPr>
          </w:p>
        </w:tc>
      </w:tr>
      <w:tr w:rsidR="00000000" w14:paraId="68008EC0" w14:textId="77777777">
        <w:trPr>
          <w:divId w:val="1371416633"/>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032C6EAB" w14:textId="77777777" w:rsidR="00000000" w:rsidRDefault="00195E73">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A9E3DA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3B138D3" w14:textId="77777777" w:rsidR="00000000" w:rsidRDefault="00195E73">
            <w:pPr>
              <w:jc w:val="right"/>
              <w:rPr>
                <w:rFonts w:eastAsia="Times New Roman"/>
              </w:rPr>
            </w:pPr>
            <w:r>
              <w:rPr>
                <w:rFonts w:eastAsia="Times New Roman"/>
                <w:color w:val="000000"/>
                <w:sz w:val="20"/>
                <w:szCs w:val="20"/>
              </w:rPr>
              <w:t>(1,097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0DD9D6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0EBDBA6"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3562C5F"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BF113C6" w14:textId="77777777" w:rsidR="00000000" w:rsidRDefault="00195E73">
            <w:pPr>
              <w:jc w:val="right"/>
              <w:rPr>
                <w:rFonts w:eastAsia="Times New Roman"/>
              </w:rPr>
            </w:pPr>
            <w:r>
              <w:rPr>
                <w:rFonts w:eastAsia="Times New Roman"/>
                <w:color w:val="000000"/>
                <w:sz w:val="20"/>
                <w:szCs w:val="20"/>
              </w:rPr>
              <w:t>1,483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A9075E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3084376" w14:textId="77777777" w:rsidR="00000000" w:rsidRDefault="00195E73">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F10DB37"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4B67C30" w14:textId="77777777" w:rsidR="00000000" w:rsidRDefault="00195E73">
            <w:pPr>
              <w:jc w:val="right"/>
              <w:rPr>
                <w:rFonts w:eastAsia="Times New Roman"/>
              </w:rPr>
            </w:pPr>
            <w:r>
              <w:rPr>
                <w:rFonts w:eastAsia="Times New Roman"/>
                <w:color w:val="000000"/>
                <w:sz w:val="20"/>
                <w:szCs w:val="20"/>
              </w:rPr>
              <w:t>2,456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7C7018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89335F8" w14:textId="77777777" w:rsidR="00000000" w:rsidRDefault="00195E73">
            <w:pPr>
              <w:rPr>
                <w:rFonts w:eastAsia="Times New Roman"/>
                <w:sz w:val="20"/>
                <w:szCs w:val="20"/>
              </w:rPr>
            </w:pPr>
          </w:p>
        </w:tc>
        <w:tc>
          <w:tcPr>
            <w:tcW w:w="0" w:type="auto"/>
            <w:vAlign w:val="center"/>
            <w:hideMark/>
          </w:tcPr>
          <w:p w14:paraId="728A4A53" w14:textId="77777777" w:rsidR="00000000" w:rsidRDefault="00195E73">
            <w:pPr>
              <w:rPr>
                <w:rFonts w:eastAsia="Times New Roman"/>
                <w:sz w:val="20"/>
                <w:szCs w:val="20"/>
              </w:rPr>
            </w:pPr>
          </w:p>
        </w:tc>
        <w:tc>
          <w:tcPr>
            <w:tcW w:w="0" w:type="auto"/>
            <w:vAlign w:val="center"/>
            <w:hideMark/>
          </w:tcPr>
          <w:p w14:paraId="3E524D2F" w14:textId="77777777" w:rsidR="00000000" w:rsidRDefault="00195E73">
            <w:pPr>
              <w:rPr>
                <w:rFonts w:eastAsia="Times New Roman"/>
                <w:sz w:val="20"/>
                <w:szCs w:val="20"/>
              </w:rPr>
            </w:pPr>
          </w:p>
        </w:tc>
        <w:tc>
          <w:tcPr>
            <w:tcW w:w="0" w:type="auto"/>
            <w:vAlign w:val="center"/>
            <w:hideMark/>
          </w:tcPr>
          <w:p w14:paraId="7667E7CD" w14:textId="77777777" w:rsidR="00000000" w:rsidRDefault="00195E73">
            <w:pPr>
              <w:rPr>
                <w:rFonts w:eastAsia="Times New Roman"/>
                <w:sz w:val="20"/>
                <w:szCs w:val="20"/>
              </w:rPr>
            </w:pPr>
          </w:p>
        </w:tc>
        <w:tc>
          <w:tcPr>
            <w:tcW w:w="0" w:type="auto"/>
            <w:vAlign w:val="center"/>
            <w:hideMark/>
          </w:tcPr>
          <w:p w14:paraId="0B349A9D" w14:textId="77777777" w:rsidR="00000000" w:rsidRDefault="00195E73">
            <w:pPr>
              <w:rPr>
                <w:rFonts w:eastAsia="Times New Roman"/>
                <w:sz w:val="20"/>
                <w:szCs w:val="20"/>
              </w:rPr>
            </w:pPr>
          </w:p>
        </w:tc>
        <w:tc>
          <w:tcPr>
            <w:tcW w:w="0" w:type="auto"/>
            <w:vAlign w:val="center"/>
            <w:hideMark/>
          </w:tcPr>
          <w:p w14:paraId="7C1C2550" w14:textId="77777777" w:rsidR="00000000" w:rsidRDefault="00195E73">
            <w:pPr>
              <w:rPr>
                <w:rFonts w:eastAsia="Times New Roman"/>
                <w:sz w:val="20"/>
                <w:szCs w:val="20"/>
              </w:rPr>
            </w:pPr>
          </w:p>
        </w:tc>
        <w:tc>
          <w:tcPr>
            <w:tcW w:w="0" w:type="auto"/>
            <w:vAlign w:val="center"/>
            <w:hideMark/>
          </w:tcPr>
          <w:p w14:paraId="5ED07BAD" w14:textId="77777777" w:rsidR="00000000" w:rsidRDefault="00195E73">
            <w:pPr>
              <w:rPr>
                <w:rFonts w:eastAsia="Times New Roman"/>
                <w:sz w:val="20"/>
                <w:szCs w:val="20"/>
              </w:rPr>
            </w:pPr>
          </w:p>
        </w:tc>
        <w:tc>
          <w:tcPr>
            <w:tcW w:w="0" w:type="auto"/>
            <w:vAlign w:val="center"/>
            <w:hideMark/>
          </w:tcPr>
          <w:p w14:paraId="7F25815F" w14:textId="77777777" w:rsidR="00000000" w:rsidRDefault="00195E73">
            <w:pPr>
              <w:rPr>
                <w:rFonts w:eastAsia="Times New Roman"/>
                <w:sz w:val="20"/>
                <w:szCs w:val="20"/>
              </w:rPr>
            </w:pPr>
          </w:p>
        </w:tc>
        <w:tc>
          <w:tcPr>
            <w:tcW w:w="0" w:type="auto"/>
            <w:vAlign w:val="center"/>
            <w:hideMark/>
          </w:tcPr>
          <w:p w14:paraId="5CE11E6F" w14:textId="77777777" w:rsidR="00000000" w:rsidRDefault="00195E73">
            <w:pPr>
              <w:rPr>
                <w:rFonts w:eastAsia="Times New Roman"/>
                <w:sz w:val="20"/>
                <w:szCs w:val="20"/>
              </w:rPr>
            </w:pPr>
          </w:p>
        </w:tc>
        <w:tc>
          <w:tcPr>
            <w:tcW w:w="0" w:type="auto"/>
            <w:vAlign w:val="center"/>
            <w:hideMark/>
          </w:tcPr>
          <w:p w14:paraId="43596B28" w14:textId="77777777" w:rsidR="00000000" w:rsidRDefault="00195E73">
            <w:pPr>
              <w:rPr>
                <w:rFonts w:eastAsia="Times New Roman"/>
                <w:sz w:val="20"/>
                <w:szCs w:val="20"/>
              </w:rPr>
            </w:pPr>
          </w:p>
        </w:tc>
        <w:tc>
          <w:tcPr>
            <w:tcW w:w="0" w:type="auto"/>
            <w:vAlign w:val="center"/>
            <w:hideMark/>
          </w:tcPr>
          <w:p w14:paraId="5870A769" w14:textId="77777777" w:rsidR="00000000" w:rsidRDefault="00195E73">
            <w:pPr>
              <w:rPr>
                <w:rFonts w:eastAsia="Times New Roman"/>
                <w:sz w:val="20"/>
                <w:szCs w:val="20"/>
              </w:rPr>
            </w:pPr>
          </w:p>
        </w:tc>
        <w:tc>
          <w:tcPr>
            <w:tcW w:w="0" w:type="auto"/>
            <w:vAlign w:val="center"/>
            <w:hideMark/>
          </w:tcPr>
          <w:p w14:paraId="74D344BA" w14:textId="77777777" w:rsidR="00000000" w:rsidRDefault="00195E73">
            <w:pPr>
              <w:rPr>
                <w:rFonts w:eastAsia="Times New Roman"/>
                <w:sz w:val="20"/>
                <w:szCs w:val="20"/>
              </w:rPr>
            </w:pPr>
          </w:p>
        </w:tc>
      </w:tr>
      <w:tr w:rsidR="00000000" w14:paraId="4EAB0565" w14:textId="77777777">
        <w:trPr>
          <w:divId w:val="1371416633"/>
          <w:jc w:val="center"/>
        </w:trPr>
        <w:tc>
          <w:tcPr>
            <w:tcW w:w="0" w:type="auto"/>
            <w:gridSpan w:val="3"/>
            <w:tcBorders>
              <w:top w:val="double" w:sz="6" w:space="0" w:color="FFFFFF"/>
            </w:tcBorders>
            <w:shd w:val="clear" w:color="auto" w:fill="CCEEFF"/>
            <w:tcMar>
              <w:top w:w="30" w:type="dxa"/>
              <w:left w:w="20" w:type="dxa"/>
              <w:bottom w:w="30" w:type="dxa"/>
              <w:right w:w="20" w:type="dxa"/>
            </w:tcMar>
            <w:vAlign w:val="bottom"/>
            <w:hideMark/>
          </w:tcPr>
          <w:p w14:paraId="78714D43" w14:textId="77777777" w:rsidR="00000000" w:rsidRDefault="00195E73">
            <w:pPr>
              <w:rPr>
                <w:rFonts w:eastAsia="Times New Roman"/>
              </w:rPr>
            </w:pPr>
            <w:r>
              <w:rPr>
                <w:rFonts w:eastAsia="Times New Roman"/>
                <w:color w:val="000000"/>
                <w:sz w:val="20"/>
                <w:szCs w:val="20"/>
              </w:rPr>
              <w:t>Net (loss) income allocated to</w:t>
            </w:r>
            <w:r>
              <w:rPr>
                <w:rFonts w:eastAsia="Times New Roman"/>
                <w:color w:val="000000"/>
                <w:sz w:val="20"/>
                <w:szCs w:val="20"/>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DAE0AA9"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08DBD109"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3EEFF5D"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2C77C5C" w14:textId="77777777" w:rsidR="00000000" w:rsidRDefault="00195E73">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9FAACB7" w14:textId="77777777" w:rsidR="00000000" w:rsidRDefault="00195E73">
            <w:pPr>
              <w:rPr>
                <w:rFonts w:eastAsia="Times New Roman"/>
                <w:sz w:val="20"/>
                <w:szCs w:val="20"/>
              </w:rPr>
            </w:pPr>
          </w:p>
        </w:tc>
        <w:tc>
          <w:tcPr>
            <w:tcW w:w="0" w:type="auto"/>
            <w:vAlign w:val="center"/>
            <w:hideMark/>
          </w:tcPr>
          <w:p w14:paraId="10C0B369" w14:textId="77777777" w:rsidR="00000000" w:rsidRDefault="00195E73">
            <w:pPr>
              <w:rPr>
                <w:rFonts w:eastAsia="Times New Roman"/>
                <w:sz w:val="20"/>
                <w:szCs w:val="20"/>
              </w:rPr>
            </w:pPr>
          </w:p>
        </w:tc>
        <w:tc>
          <w:tcPr>
            <w:tcW w:w="0" w:type="auto"/>
            <w:vAlign w:val="center"/>
            <w:hideMark/>
          </w:tcPr>
          <w:p w14:paraId="4BAF8F32" w14:textId="77777777" w:rsidR="00000000" w:rsidRDefault="00195E73">
            <w:pPr>
              <w:rPr>
                <w:rFonts w:eastAsia="Times New Roman"/>
                <w:sz w:val="20"/>
                <w:szCs w:val="20"/>
              </w:rPr>
            </w:pPr>
          </w:p>
        </w:tc>
        <w:tc>
          <w:tcPr>
            <w:tcW w:w="0" w:type="auto"/>
            <w:vAlign w:val="center"/>
            <w:hideMark/>
          </w:tcPr>
          <w:p w14:paraId="29155904" w14:textId="77777777" w:rsidR="00000000" w:rsidRDefault="00195E73">
            <w:pPr>
              <w:rPr>
                <w:rFonts w:eastAsia="Times New Roman"/>
                <w:sz w:val="20"/>
                <w:szCs w:val="20"/>
              </w:rPr>
            </w:pPr>
          </w:p>
        </w:tc>
        <w:tc>
          <w:tcPr>
            <w:tcW w:w="0" w:type="auto"/>
            <w:vAlign w:val="center"/>
            <w:hideMark/>
          </w:tcPr>
          <w:p w14:paraId="3304BEDA" w14:textId="77777777" w:rsidR="00000000" w:rsidRDefault="00195E73">
            <w:pPr>
              <w:rPr>
                <w:rFonts w:eastAsia="Times New Roman"/>
                <w:sz w:val="20"/>
                <w:szCs w:val="20"/>
              </w:rPr>
            </w:pPr>
          </w:p>
        </w:tc>
        <w:tc>
          <w:tcPr>
            <w:tcW w:w="0" w:type="auto"/>
            <w:vAlign w:val="center"/>
            <w:hideMark/>
          </w:tcPr>
          <w:p w14:paraId="581A8736" w14:textId="77777777" w:rsidR="00000000" w:rsidRDefault="00195E73">
            <w:pPr>
              <w:rPr>
                <w:rFonts w:eastAsia="Times New Roman"/>
                <w:sz w:val="20"/>
                <w:szCs w:val="20"/>
              </w:rPr>
            </w:pPr>
          </w:p>
        </w:tc>
        <w:tc>
          <w:tcPr>
            <w:tcW w:w="0" w:type="auto"/>
            <w:vAlign w:val="center"/>
            <w:hideMark/>
          </w:tcPr>
          <w:p w14:paraId="0CC2108A" w14:textId="77777777" w:rsidR="00000000" w:rsidRDefault="00195E73">
            <w:pPr>
              <w:rPr>
                <w:rFonts w:eastAsia="Times New Roman"/>
                <w:sz w:val="20"/>
                <w:szCs w:val="20"/>
              </w:rPr>
            </w:pPr>
          </w:p>
        </w:tc>
        <w:tc>
          <w:tcPr>
            <w:tcW w:w="0" w:type="auto"/>
            <w:vAlign w:val="center"/>
            <w:hideMark/>
          </w:tcPr>
          <w:p w14:paraId="0C014385" w14:textId="77777777" w:rsidR="00000000" w:rsidRDefault="00195E73">
            <w:pPr>
              <w:rPr>
                <w:rFonts w:eastAsia="Times New Roman"/>
                <w:sz w:val="20"/>
                <w:szCs w:val="20"/>
              </w:rPr>
            </w:pPr>
          </w:p>
        </w:tc>
        <w:tc>
          <w:tcPr>
            <w:tcW w:w="0" w:type="auto"/>
            <w:vAlign w:val="center"/>
            <w:hideMark/>
          </w:tcPr>
          <w:p w14:paraId="27880070" w14:textId="77777777" w:rsidR="00000000" w:rsidRDefault="00195E73">
            <w:pPr>
              <w:rPr>
                <w:rFonts w:eastAsia="Times New Roman"/>
                <w:sz w:val="20"/>
                <w:szCs w:val="20"/>
              </w:rPr>
            </w:pPr>
          </w:p>
        </w:tc>
        <w:tc>
          <w:tcPr>
            <w:tcW w:w="0" w:type="auto"/>
            <w:vAlign w:val="center"/>
            <w:hideMark/>
          </w:tcPr>
          <w:p w14:paraId="2785883A" w14:textId="77777777" w:rsidR="00000000" w:rsidRDefault="00195E73">
            <w:pPr>
              <w:rPr>
                <w:rFonts w:eastAsia="Times New Roman"/>
                <w:sz w:val="20"/>
                <w:szCs w:val="20"/>
              </w:rPr>
            </w:pPr>
          </w:p>
        </w:tc>
        <w:tc>
          <w:tcPr>
            <w:tcW w:w="0" w:type="auto"/>
            <w:vAlign w:val="center"/>
            <w:hideMark/>
          </w:tcPr>
          <w:p w14:paraId="48C7F41C" w14:textId="77777777" w:rsidR="00000000" w:rsidRDefault="00195E73">
            <w:pPr>
              <w:rPr>
                <w:rFonts w:eastAsia="Times New Roman"/>
                <w:sz w:val="20"/>
                <w:szCs w:val="20"/>
              </w:rPr>
            </w:pPr>
          </w:p>
        </w:tc>
        <w:tc>
          <w:tcPr>
            <w:tcW w:w="0" w:type="auto"/>
            <w:vAlign w:val="center"/>
            <w:hideMark/>
          </w:tcPr>
          <w:p w14:paraId="39ECA43F" w14:textId="77777777" w:rsidR="00000000" w:rsidRDefault="00195E73">
            <w:pPr>
              <w:rPr>
                <w:rFonts w:eastAsia="Times New Roman"/>
                <w:sz w:val="20"/>
                <w:szCs w:val="20"/>
              </w:rPr>
            </w:pPr>
          </w:p>
        </w:tc>
        <w:tc>
          <w:tcPr>
            <w:tcW w:w="0" w:type="auto"/>
            <w:vAlign w:val="center"/>
            <w:hideMark/>
          </w:tcPr>
          <w:p w14:paraId="4665E911" w14:textId="77777777" w:rsidR="00000000" w:rsidRDefault="00195E73">
            <w:pPr>
              <w:rPr>
                <w:rFonts w:eastAsia="Times New Roman"/>
                <w:sz w:val="20"/>
                <w:szCs w:val="20"/>
              </w:rPr>
            </w:pPr>
          </w:p>
        </w:tc>
      </w:tr>
      <w:tr w:rsidR="00000000" w14:paraId="5799B554" w14:textId="77777777">
        <w:trPr>
          <w:divId w:val="1371416633"/>
          <w:jc w:val="center"/>
        </w:trPr>
        <w:tc>
          <w:tcPr>
            <w:tcW w:w="0" w:type="auto"/>
            <w:gridSpan w:val="3"/>
            <w:shd w:val="clear" w:color="auto" w:fill="FFFFFF"/>
            <w:tcMar>
              <w:top w:w="30" w:type="dxa"/>
              <w:left w:w="20" w:type="dxa"/>
              <w:bottom w:w="30" w:type="dxa"/>
              <w:right w:w="20" w:type="dxa"/>
            </w:tcMar>
            <w:vAlign w:val="bottom"/>
            <w:hideMark/>
          </w:tcPr>
          <w:p w14:paraId="11FAD3D4" w14:textId="77777777" w:rsidR="00000000" w:rsidRDefault="00195E73">
            <w:pPr>
              <w:rPr>
                <w:rFonts w:eastAsia="Times New Roman"/>
              </w:rPr>
            </w:pPr>
            <w:r>
              <w:rPr>
                <w:rFonts w:eastAsia="Times New Roman"/>
                <w:color w:val="000000"/>
                <w:sz w:val="20"/>
                <w:szCs w:val="20"/>
              </w:rPr>
              <w:t>     Limited partne</w:t>
            </w:r>
            <w:r>
              <w:rPr>
                <w:rFonts w:eastAsia="Times New Roman"/>
                <w:color w:val="000000"/>
                <w:sz w:val="20"/>
                <w:szCs w:val="20"/>
              </w:rPr>
              <w:t>r</w:t>
            </w:r>
          </w:p>
        </w:tc>
        <w:tc>
          <w:tcPr>
            <w:tcW w:w="0" w:type="auto"/>
            <w:shd w:val="clear" w:color="auto" w:fill="FFFFFF"/>
            <w:tcMar>
              <w:top w:w="30" w:type="dxa"/>
              <w:left w:w="20" w:type="dxa"/>
              <w:bottom w:w="30" w:type="dxa"/>
              <w:right w:w="15" w:type="dxa"/>
            </w:tcMar>
            <w:vAlign w:val="bottom"/>
            <w:hideMark/>
          </w:tcPr>
          <w:p w14:paraId="5E9D2137"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4D101378" w14:textId="77777777" w:rsidR="00000000" w:rsidRDefault="00195E73">
            <w:pPr>
              <w:jc w:val="right"/>
              <w:rPr>
                <w:rFonts w:eastAsia="Times New Roman"/>
              </w:rPr>
            </w:pPr>
            <w:r>
              <w:rPr>
                <w:rFonts w:eastAsia="Times New Roman"/>
                <w:color w:val="000000"/>
                <w:sz w:val="20"/>
                <w:szCs w:val="20"/>
              </w:rPr>
              <w:t>(1,086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CC7D04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88E7DBA"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D7A1021"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EC9875F" w14:textId="77777777" w:rsidR="00000000" w:rsidRDefault="00195E73">
            <w:pPr>
              <w:jc w:val="right"/>
              <w:rPr>
                <w:rFonts w:eastAsia="Times New Roman"/>
              </w:rPr>
            </w:pPr>
            <w:r>
              <w:rPr>
                <w:rFonts w:eastAsia="Times New Roman"/>
                <w:color w:val="000000"/>
                <w:sz w:val="20"/>
                <w:szCs w:val="20"/>
              </w:rPr>
              <w:t>2,060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45B28F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8407E2D" w14:textId="77777777" w:rsidR="00000000" w:rsidRDefault="00195E73">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6D355F62" w14:textId="77777777" w:rsidR="00000000" w:rsidRDefault="00195E73">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399270B" w14:textId="77777777" w:rsidR="00000000" w:rsidRDefault="00195E73">
            <w:pPr>
              <w:jc w:val="right"/>
              <w:rPr>
                <w:rFonts w:eastAsia="Times New Roman"/>
              </w:rPr>
            </w:pPr>
            <w:r>
              <w:rPr>
                <w:rFonts w:eastAsia="Times New Roman"/>
                <w:color w:val="000000"/>
                <w:sz w:val="20"/>
                <w:szCs w:val="20"/>
              </w:rPr>
              <w:t>2,431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57B8EF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0285586" w14:textId="77777777" w:rsidR="00000000" w:rsidRDefault="00195E73">
            <w:pPr>
              <w:rPr>
                <w:rFonts w:eastAsia="Times New Roman"/>
                <w:sz w:val="20"/>
                <w:szCs w:val="20"/>
              </w:rPr>
            </w:pPr>
          </w:p>
        </w:tc>
        <w:tc>
          <w:tcPr>
            <w:tcW w:w="0" w:type="auto"/>
            <w:vAlign w:val="center"/>
            <w:hideMark/>
          </w:tcPr>
          <w:p w14:paraId="6665CD92" w14:textId="77777777" w:rsidR="00000000" w:rsidRDefault="00195E73">
            <w:pPr>
              <w:rPr>
                <w:rFonts w:eastAsia="Times New Roman"/>
                <w:sz w:val="20"/>
                <w:szCs w:val="20"/>
              </w:rPr>
            </w:pPr>
          </w:p>
        </w:tc>
        <w:tc>
          <w:tcPr>
            <w:tcW w:w="0" w:type="auto"/>
            <w:vAlign w:val="center"/>
            <w:hideMark/>
          </w:tcPr>
          <w:p w14:paraId="6A8C3659" w14:textId="77777777" w:rsidR="00000000" w:rsidRDefault="00195E73">
            <w:pPr>
              <w:rPr>
                <w:rFonts w:eastAsia="Times New Roman"/>
                <w:sz w:val="20"/>
                <w:szCs w:val="20"/>
              </w:rPr>
            </w:pPr>
          </w:p>
        </w:tc>
        <w:tc>
          <w:tcPr>
            <w:tcW w:w="0" w:type="auto"/>
            <w:vAlign w:val="center"/>
            <w:hideMark/>
          </w:tcPr>
          <w:p w14:paraId="200DEC25" w14:textId="77777777" w:rsidR="00000000" w:rsidRDefault="00195E73">
            <w:pPr>
              <w:rPr>
                <w:rFonts w:eastAsia="Times New Roman"/>
                <w:sz w:val="20"/>
                <w:szCs w:val="20"/>
              </w:rPr>
            </w:pPr>
          </w:p>
        </w:tc>
        <w:tc>
          <w:tcPr>
            <w:tcW w:w="0" w:type="auto"/>
            <w:vAlign w:val="center"/>
            <w:hideMark/>
          </w:tcPr>
          <w:p w14:paraId="51290BED" w14:textId="77777777" w:rsidR="00000000" w:rsidRDefault="00195E73">
            <w:pPr>
              <w:rPr>
                <w:rFonts w:eastAsia="Times New Roman"/>
                <w:sz w:val="20"/>
                <w:szCs w:val="20"/>
              </w:rPr>
            </w:pPr>
          </w:p>
        </w:tc>
        <w:tc>
          <w:tcPr>
            <w:tcW w:w="0" w:type="auto"/>
            <w:vAlign w:val="center"/>
            <w:hideMark/>
          </w:tcPr>
          <w:p w14:paraId="2EBB5DB0" w14:textId="77777777" w:rsidR="00000000" w:rsidRDefault="00195E73">
            <w:pPr>
              <w:rPr>
                <w:rFonts w:eastAsia="Times New Roman"/>
                <w:sz w:val="20"/>
                <w:szCs w:val="20"/>
              </w:rPr>
            </w:pPr>
          </w:p>
        </w:tc>
        <w:tc>
          <w:tcPr>
            <w:tcW w:w="0" w:type="auto"/>
            <w:vAlign w:val="center"/>
            <w:hideMark/>
          </w:tcPr>
          <w:p w14:paraId="6505F390" w14:textId="77777777" w:rsidR="00000000" w:rsidRDefault="00195E73">
            <w:pPr>
              <w:rPr>
                <w:rFonts w:eastAsia="Times New Roman"/>
                <w:sz w:val="20"/>
                <w:szCs w:val="20"/>
              </w:rPr>
            </w:pPr>
          </w:p>
        </w:tc>
        <w:tc>
          <w:tcPr>
            <w:tcW w:w="0" w:type="auto"/>
            <w:vAlign w:val="center"/>
            <w:hideMark/>
          </w:tcPr>
          <w:p w14:paraId="305DD838" w14:textId="77777777" w:rsidR="00000000" w:rsidRDefault="00195E73">
            <w:pPr>
              <w:rPr>
                <w:rFonts w:eastAsia="Times New Roman"/>
                <w:sz w:val="20"/>
                <w:szCs w:val="20"/>
              </w:rPr>
            </w:pPr>
          </w:p>
        </w:tc>
        <w:tc>
          <w:tcPr>
            <w:tcW w:w="0" w:type="auto"/>
            <w:vAlign w:val="center"/>
            <w:hideMark/>
          </w:tcPr>
          <w:p w14:paraId="1B3CAE51" w14:textId="77777777" w:rsidR="00000000" w:rsidRDefault="00195E73">
            <w:pPr>
              <w:rPr>
                <w:rFonts w:eastAsia="Times New Roman"/>
                <w:sz w:val="20"/>
                <w:szCs w:val="20"/>
              </w:rPr>
            </w:pPr>
          </w:p>
        </w:tc>
        <w:tc>
          <w:tcPr>
            <w:tcW w:w="0" w:type="auto"/>
            <w:vAlign w:val="center"/>
            <w:hideMark/>
          </w:tcPr>
          <w:p w14:paraId="01F82854" w14:textId="77777777" w:rsidR="00000000" w:rsidRDefault="00195E73">
            <w:pPr>
              <w:rPr>
                <w:rFonts w:eastAsia="Times New Roman"/>
                <w:sz w:val="20"/>
                <w:szCs w:val="20"/>
              </w:rPr>
            </w:pPr>
          </w:p>
        </w:tc>
        <w:tc>
          <w:tcPr>
            <w:tcW w:w="0" w:type="auto"/>
            <w:vAlign w:val="center"/>
            <w:hideMark/>
          </w:tcPr>
          <w:p w14:paraId="282FDC42" w14:textId="77777777" w:rsidR="00000000" w:rsidRDefault="00195E73">
            <w:pPr>
              <w:rPr>
                <w:rFonts w:eastAsia="Times New Roman"/>
                <w:sz w:val="20"/>
                <w:szCs w:val="20"/>
              </w:rPr>
            </w:pPr>
          </w:p>
        </w:tc>
        <w:tc>
          <w:tcPr>
            <w:tcW w:w="0" w:type="auto"/>
            <w:vAlign w:val="center"/>
            <w:hideMark/>
          </w:tcPr>
          <w:p w14:paraId="4F219D3B" w14:textId="77777777" w:rsidR="00000000" w:rsidRDefault="00195E73">
            <w:pPr>
              <w:rPr>
                <w:rFonts w:eastAsia="Times New Roman"/>
                <w:sz w:val="20"/>
                <w:szCs w:val="20"/>
              </w:rPr>
            </w:pPr>
          </w:p>
        </w:tc>
      </w:tr>
      <w:tr w:rsidR="00000000" w14:paraId="15C4A9C6" w14:textId="77777777">
        <w:trPr>
          <w:divId w:val="1371416633"/>
          <w:jc w:val="center"/>
        </w:trPr>
        <w:tc>
          <w:tcPr>
            <w:tcW w:w="0" w:type="auto"/>
            <w:gridSpan w:val="3"/>
            <w:shd w:val="clear" w:color="auto" w:fill="CCEEFF"/>
            <w:tcMar>
              <w:top w:w="30" w:type="dxa"/>
              <w:left w:w="20" w:type="dxa"/>
              <w:bottom w:w="30" w:type="dxa"/>
              <w:right w:w="20" w:type="dxa"/>
            </w:tcMar>
            <w:vAlign w:val="bottom"/>
            <w:hideMark/>
          </w:tcPr>
          <w:p w14:paraId="3ECE29A3" w14:textId="77777777" w:rsidR="00000000" w:rsidRDefault="00195E73">
            <w:pPr>
              <w:rPr>
                <w:rFonts w:eastAsia="Times New Roman"/>
              </w:rPr>
            </w:pPr>
            <w:r>
              <w:rPr>
                <w:rFonts w:eastAsia="Times New Roman"/>
                <w:color w:val="000000"/>
                <w:sz w:val="20"/>
                <w:szCs w:val="20"/>
              </w:rPr>
              <w:t>     General partne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06202F0E" w14:textId="77777777" w:rsidR="00000000" w:rsidRDefault="00195E73">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BB9E19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510057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AF8FFD" w14:textId="77777777" w:rsidR="00000000" w:rsidRDefault="00195E73">
            <w:pPr>
              <w:jc w:val="right"/>
              <w:rPr>
                <w:rFonts w:eastAsia="Times New Roman"/>
              </w:rPr>
            </w:pPr>
            <w:r>
              <w:rPr>
                <w:rFonts w:eastAsia="Times New Roman"/>
                <w:color w:val="000000"/>
                <w:sz w:val="20"/>
                <w:szCs w:val="20"/>
              </w:rPr>
              <w:t>(577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4338EE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8FD7A38"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46BBF1" w14:textId="77777777" w:rsidR="00000000" w:rsidRDefault="00195E73">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7A4E14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B63E4CC" w14:textId="77777777" w:rsidR="00000000" w:rsidRDefault="00195E73">
            <w:pPr>
              <w:rPr>
                <w:rFonts w:eastAsia="Times New Roman"/>
                <w:sz w:val="20"/>
                <w:szCs w:val="20"/>
              </w:rPr>
            </w:pPr>
          </w:p>
        </w:tc>
        <w:tc>
          <w:tcPr>
            <w:tcW w:w="0" w:type="auto"/>
            <w:vAlign w:val="center"/>
            <w:hideMark/>
          </w:tcPr>
          <w:p w14:paraId="624D24D3" w14:textId="77777777" w:rsidR="00000000" w:rsidRDefault="00195E73">
            <w:pPr>
              <w:rPr>
                <w:rFonts w:eastAsia="Times New Roman"/>
                <w:sz w:val="20"/>
                <w:szCs w:val="20"/>
              </w:rPr>
            </w:pPr>
          </w:p>
        </w:tc>
        <w:tc>
          <w:tcPr>
            <w:tcW w:w="0" w:type="auto"/>
            <w:vAlign w:val="center"/>
            <w:hideMark/>
          </w:tcPr>
          <w:p w14:paraId="448A8DC4" w14:textId="77777777" w:rsidR="00000000" w:rsidRDefault="00195E73">
            <w:pPr>
              <w:rPr>
                <w:rFonts w:eastAsia="Times New Roman"/>
                <w:sz w:val="20"/>
                <w:szCs w:val="20"/>
              </w:rPr>
            </w:pPr>
          </w:p>
        </w:tc>
        <w:tc>
          <w:tcPr>
            <w:tcW w:w="0" w:type="auto"/>
            <w:vAlign w:val="center"/>
            <w:hideMark/>
          </w:tcPr>
          <w:p w14:paraId="126D6D40" w14:textId="77777777" w:rsidR="00000000" w:rsidRDefault="00195E73">
            <w:pPr>
              <w:rPr>
                <w:rFonts w:eastAsia="Times New Roman"/>
                <w:sz w:val="20"/>
                <w:szCs w:val="20"/>
              </w:rPr>
            </w:pPr>
          </w:p>
        </w:tc>
        <w:tc>
          <w:tcPr>
            <w:tcW w:w="0" w:type="auto"/>
            <w:vAlign w:val="center"/>
            <w:hideMark/>
          </w:tcPr>
          <w:p w14:paraId="0B04E9F3" w14:textId="77777777" w:rsidR="00000000" w:rsidRDefault="00195E73">
            <w:pPr>
              <w:rPr>
                <w:rFonts w:eastAsia="Times New Roman"/>
                <w:sz w:val="20"/>
                <w:szCs w:val="20"/>
              </w:rPr>
            </w:pPr>
          </w:p>
        </w:tc>
        <w:tc>
          <w:tcPr>
            <w:tcW w:w="0" w:type="auto"/>
            <w:vAlign w:val="center"/>
            <w:hideMark/>
          </w:tcPr>
          <w:p w14:paraId="568FBD82" w14:textId="77777777" w:rsidR="00000000" w:rsidRDefault="00195E73">
            <w:pPr>
              <w:rPr>
                <w:rFonts w:eastAsia="Times New Roman"/>
                <w:sz w:val="20"/>
                <w:szCs w:val="20"/>
              </w:rPr>
            </w:pPr>
          </w:p>
        </w:tc>
        <w:tc>
          <w:tcPr>
            <w:tcW w:w="0" w:type="auto"/>
            <w:vAlign w:val="center"/>
            <w:hideMark/>
          </w:tcPr>
          <w:p w14:paraId="636600D6" w14:textId="77777777" w:rsidR="00000000" w:rsidRDefault="00195E73">
            <w:pPr>
              <w:rPr>
                <w:rFonts w:eastAsia="Times New Roman"/>
                <w:sz w:val="20"/>
                <w:szCs w:val="20"/>
              </w:rPr>
            </w:pPr>
          </w:p>
        </w:tc>
        <w:tc>
          <w:tcPr>
            <w:tcW w:w="0" w:type="auto"/>
            <w:vAlign w:val="center"/>
            <w:hideMark/>
          </w:tcPr>
          <w:p w14:paraId="5B3AFF10" w14:textId="77777777" w:rsidR="00000000" w:rsidRDefault="00195E73">
            <w:pPr>
              <w:rPr>
                <w:rFonts w:eastAsia="Times New Roman"/>
                <w:sz w:val="20"/>
                <w:szCs w:val="20"/>
              </w:rPr>
            </w:pPr>
          </w:p>
        </w:tc>
        <w:tc>
          <w:tcPr>
            <w:tcW w:w="0" w:type="auto"/>
            <w:vAlign w:val="center"/>
            <w:hideMark/>
          </w:tcPr>
          <w:p w14:paraId="0157E32E" w14:textId="77777777" w:rsidR="00000000" w:rsidRDefault="00195E73">
            <w:pPr>
              <w:rPr>
                <w:rFonts w:eastAsia="Times New Roman"/>
                <w:sz w:val="20"/>
                <w:szCs w:val="20"/>
              </w:rPr>
            </w:pPr>
          </w:p>
        </w:tc>
        <w:tc>
          <w:tcPr>
            <w:tcW w:w="0" w:type="auto"/>
            <w:vAlign w:val="center"/>
            <w:hideMark/>
          </w:tcPr>
          <w:p w14:paraId="23B31170" w14:textId="77777777" w:rsidR="00000000" w:rsidRDefault="00195E73">
            <w:pPr>
              <w:rPr>
                <w:rFonts w:eastAsia="Times New Roman"/>
                <w:sz w:val="20"/>
                <w:szCs w:val="20"/>
              </w:rPr>
            </w:pPr>
          </w:p>
        </w:tc>
        <w:tc>
          <w:tcPr>
            <w:tcW w:w="0" w:type="auto"/>
            <w:vAlign w:val="center"/>
            <w:hideMark/>
          </w:tcPr>
          <w:p w14:paraId="27B0B23C" w14:textId="77777777" w:rsidR="00000000" w:rsidRDefault="00195E73">
            <w:pPr>
              <w:rPr>
                <w:rFonts w:eastAsia="Times New Roman"/>
                <w:sz w:val="20"/>
                <w:szCs w:val="20"/>
              </w:rPr>
            </w:pPr>
          </w:p>
        </w:tc>
        <w:tc>
          <w:tcPr>
            <w:tcW w:w="0" w:type="auto"/>
            <w:vAlign w:val="center"/>
            <w:hideMark/>
          </w:tcPr>
          <w:p w14:paraId="40B25DC8" w14:textId="77777777" w:rsidR="00000000" w:rsidRDefault="00195E73">
            <w:pPr>
              <w:rPr>
                <w:rFonts w:eastAsia="Times New Roman"/>
                <w:sz w:val="20"/>
                <w:szCs w:val="20"/>
              </w:rPr>
            </w:pPr>
          </w:p>
        </w:tc>
      </w:tr>
      <w:tr w:rsidR="00000000" w14:paraId="44178EEE" w14:textId="77777777">
        <w:trPr>
          <w:divId w:val="1371416633"/>
          <w:jc w:val="center"/>
        </w:trPr>
        <w:tc>
          <w:tcPr>
            <w:tcW w:w="0" w:type="auto"/>
            <w:gridSpan w:val="3"/>
            <w:tcBorders>
              <w:top w:val="single" w:sz="8" w:space="0" w:color="FFFFFF"/>
              <w:bottom w:val="double" w:sz="6" w:space="0" w:color="FFFFFF"/>
            </w:tcBorders>
            <w:shd w:val="clear" w:color="auto" w:fill="FFFFFF"/>
            <w:tcMar>
              <w:top w:w="15" w:type="dxa"/>
              <w:left w:w="20" w:type="dxa"/>
              <w:bottom w:w="15" w:type="dxa"/>
              <w:right w:w="20" w:type="dxa"/>
            </w:tcMar>
            <w:vAlign w:val="bottom"/>
            <w:hideMark/>
          </w:tcPr>
          <w:p w14:paraId="34B1C023"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224C2D4"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752F6C2" w14:textId="77777777" w:rsidR="00000000" w:rsidRDefault="00195E73">
            <w:pPr>
              <w:jc w:val="right"/>
              <w:rPr>
                <w:rFonts w:eastAsia="Times New Roman"/>
              </w:rPr>
            </w:pPr>
            <w:r>
              <w:rPr>
                <w:rFonts w:eastAsia="Times New Roman"/>
                <w:color w:val="000000"/>
                <w:sz w:val="20"/>
                <w:szCs w:val="20"/>
              </w:rPr>
              <w:t>(1,097</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4D17613"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2AB8BA6"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A19237C"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173577D" w14:textId="77777777" w:rsidR="00000000" w:rsidRDefault="00195E73">
            <w:pPr>
              <w:jc w:val="right"/>
              <w:rPr>
                <w:rFonts w:eastAsia="Times New Roman"/>
              </w:rPr>
            </w:pPr>
            <w:r>
              <w:rPr>
                <w:rFonts w:eastAsia="Times New Roman"/>
                <w:color w:val="000000"/>
                <w:sz w:val="20"/>
                <w:szCs w:val="20"/>
              </w:rPr>
              <w:t>1,483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0F0319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9AB9699"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6BD212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0ADD07F" w14:textId="77777777" w:rsidR="00000000" w:rsidRDefault="00195E73">
            <w:pPr>
              <w:jc w:val="right"/>
              <w:rPr>
                <w:rFonts w:eastAsia="Times New Roman"/>
              </w:rPr>
            </w:pPr>
            <w:r>
              <w:rPr>
                <w:rFonts w:eastAsia="Times New Roman"/>
                <w:color w:val="000000"/>
                <w:sz w:val="20"/>
                <w:szCs w:val="20"/>
              </w:rPr>
              <w:t>2,456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724979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1D854A6" w14:textId="77777777" w:rsidR="00000000" w:rsidRDefault="00195E73">
            <w:pPr>
              <w:rPr>
                <w:rFonts w:eastAsia="Times New Roman"/>
                <w:sz w:val="20"/>
                <w:szCs w:val="20"/>
              </w:rPr>
            </w:pPr>
          </w:p>
        </w:tc>
        <w:tc>
          <w:tcPr>
            <w:tcW w:w="0" w:type="auto"/>
            <w:vAlign w:val="center"/>
            <w:hideMark/>
          </w:tcPr>
          <w:p w14:paraId="53342125" w14:textId="77777777" w:rsidR="00000000" w:rsidRDefault="00195E73">
            <w:pPr>
              <w:rPr>
                <w:rFonts w:eastAsia="Times New Roman"/>
                <w:sz w:val="20"/>
                <w:szCs w:val="20"/>
              </w:rPr>
            </w:pPr>
          </w:p>
        </w:tc>
        <w:tc>
          <w:tcPr>
            <w:tcW w:w="0" w:type="auto"/>
            <w:vAlign w:val="center"/>
            <w:hideMark/>
          </w:tcPr>
          <w:p w14:paraId="11E8752A" w14:textId="77777777" w:rsidR="00000000" w:rsidRDefault="00195E73">
            <w:pPr>
              <w:rPr>
                <w:rFonts w:eastAsia="Times New Roman"/>
                <w:sz w:val="20"/>
                <w:szCs w:val="20"/>
              </w:rPr>
            </w:pPr>
          </w:p>
        </w:tc>
        <w:tc>
          <w:tcPr>
            <w:tcW w:w="0" w:type="auto"/>
            <w:vAlign w:val="center"/>
            <w:hideMark/>
          </w:tcPr>
          <w:p w14:paraId="1DE3953E" w14:textId="77777777" w:rsidR="00000000" w:rsidRDefault="00195E73">
            <w:pPr>
              <w:rPr>
                <w:rFonts w:eastAsia="Times New Roman"/>
                <w:sz w:val="20"/>
                <w:szCs w:val="20"/>
              </w:rPr>
            </w:pPr>
          </w:p>
        </w:tc>
        <w:tc>
          <w:tcPr>
            <w:tcW w:w="0" w:type="auto"/>
            <w:vAlign w:val="center"/>
            <w:hideMark/>
          </w:tcPr>
          <w:p w14:paraId="3EE11BDA" w14:textId="77777777" w:rsidR="00000000" w:rsidRDefault="00195E73">
            <w:pPr>
              <w:rPr>
                <w:rFonts w:eastAsia="Times New Roman"/>
                <w:sz w:val="20"/>
                <w:szCs w:val="20"/>
              </w:rPr>
            </w:pPr>
          </w:p>
        </w:tc>
        <w:tc>
          <w:tcPr>
            <w:tcW w:w="0" w:type="auto"/>
            <w:vAlign w:val="center"/>
            <w:hideMark/>
          </w:tcPr>
          <w:p w14:paraId="5CF65A1A" w14:textId="77777777" w:rsidR="00000000" w:rsidRDefault="00195E73">
            <w:pPr>
              <w:rPr>
                <w:rFonts w:eastAsia="Times New Roman"/>
                <w:sz w:val="20"/>
                <w:szCs w:val="20"/>
              </w:rPr>
            </w:pPr>
          </w:p>
        </w:tc>
        <w:tc>
          <w:tcPr>
            <w:tcW w:w="0" w:type="auto"/>
            <w:vAlign w:val="center"/>
            <w:hideMark/>
          </w:tcPr>
          <w:p w14:paraId="71EB8477" w14:textId="77777777" w:rsidR="00000000" w:rsidRDefault="00195E73">
            <w:pPr>
              <w:rPr>
                <w:rFonts w:eastAsia="Times New Roman"/>
                <w:sz w:val="20"/>
                <w:szCs w:val="20"/>
              </w:rPr>
            </w:pPr>
          </w:p>
        </w:tc>
        <w:tc>
          <w:tcPr>
            <w:tcW w:w="0" w:type="auto"/>
            <w:vAlign w:val="center"/>
            <w:hideMark/>
          </w:tcPr>
          <w:p w14:paraId="7345AE15" w14:textId="77777777" w:rsidR="00000000" w:rsidRDefault="00195E73">
            <w:pPr>
              <w:rPr>
                <w:rFonts w:eastAsia="Times New Roman"/>
                <w:sz w:val="20"/>
                <w:szCs w:val="20"/>
              </w:rPr>
            </w:pPr>
          </w:p>
        </w:tc>
        <w:tc>
          <w:tcPr>
            <w:tcW w:w="0" w:type="auto"/>
            <w:vAlign w:val="center"/>
            <w:hideMark/>
          </w:tcPr>
          <w:p w14:paraId="53344859" w14:textId="77777777" w:rsidR="00000000" w:rsidRDefault="00195E73">
            <w:pPr>
              <w:rPr>
                <w:rFonts w:eastAsia="Times New Roman"/>
                <w:sz w:val="20"/>
                <w:szCs w:val="20"/>
              </w:rPr>
            </w:pPr>
          </w:p>
        </w:tc>
        <w:tc>
          <w:tcPr>
            <w:tcW w:w="0" w:type="auto"/>
            <w:vAlign w:val="center"/>
            <w:hideMark/>
          </w:tcPr>
          <w:p w14:paraId="17C86DC1" w14:textId="77777777" w:rsidR="00000000" w:rsidRDefault="00195E73">
            <w:pPr>
              <w:rPr>
                <w:rFonts w:eastAsia="Times New Roman"/>
                <w:sz w:val="20"/>
                <w:szCs w:val="20"/>
              </w:rPr>
            </w:pPr>
          </w:p>
        </w:tc>
        <w:tc>
          <w:tcPr>
            <w:tcW w:w="0" w:type="auto"/>
            <w:vAlign w:val="center"/>
            <w:hideMark/>
          </w:tcPr>
          <w:p w14:paraId="7F273C68" w14:textId="77777777" w:rsidR="00000000" w:rsidRDefault="00195E73">
            <w:pPr>
              <w:rPr>
                <w:rFonts w:eastAsia="Times New Roman"/>
                <w:sz w:val="20"/>
                <w:szCs w:val="20"/>
              </w:rPr>
            </w:pPr>
          </w:p>
        </w:tc>
        <w:tc>
          <w:tcPr>
            <w:tcW w:w="0" w:type="auto"/>
            <w:vAlign w:val="center"/>
            <w:hideMark/>
          </w:tcPr>
          <w:p w14:paraId="1F4563EF" w14:textId="77777777" w:rsidR="00000000" w:rsidRDefault="00195E73">
            <w:pPr>
              <w:rPr>
                <w:rFonts w:eastAsia="Times New Roman"/>
                <w:sz w:val="20"/>
                <w:szCs w:val="20"/>
              </w:rPr>
            </w:pPr>
          </w:p>
        </w:tc>
      </w:tr>
    </w:tbl>
    <w:p w14:paraId="56D328C3" w14:textId="77777777" w:rsidR="00000000" w:rsidRDefault="00195E73">
      <w:pPr>
        <w:jc w:val="center"/>
        <w:rPr>
          <w:rFonts w:eastAsia="Times New Roman"/>
        </w:rPr>
      </w:pPr>
    </w:p>
    <w:p w14:paraId="7DCF94AE" w14:textId="77777777" w:rsidR="00000000" w:rsidRDefault="00195E73">
      <w:pPr>
        <w:jc w:val="center"/>
        <w:rPr>
          <w:rFonts w:eastAsia="Times New Roman"/>
        </w:rPr>
      </w:pPr>
    </w:p>
    <w:p w14:paraId="1F87E13B" w14:textId="77777777" w:rsidR="00000000" w:rsidRDefault="00195E73">
      <w:pPr>
        <w:jc w:val="center"/>
        <w:rPr>
          <w:rFonts w:eastAsia="Times New Roman"/>
        </w:rPr>
      </w:pPr>
    </w:p>
    <w:p w14:paraId="3AD85E63" w14:textId="77777777" w:rsidR="00000000" w:rsidRDefault="00195E73">
      <w:pPr>
        <w:jc w:val="center"/>
        <w:rPr>
          <w:rFonts w:eastAsia="Times New Roman"/>
        </w:rPr>
      </w:pPr>
    </w:p>
    <w:p w14:paraId="19A9E085" w14:textId="77777777" w:rsidR="00000000" w:rsidRDefault="00195E73">
      <w:pPr>
        <w:jc w:val="center"/>
        <w:rPr>
          <w:rFonts w:eastAsia="Times New Roman"/>
        </w:rPr>
      </w:pPr>
    </w:p>
    <w:p w14:paraId="25171F04" w14:textId="77777777" w:rsidR="00000000" w:rsidRDefault="00195E73">
      <w:pPr>
        <w:jc w:val="center"/>
        <w:rPr>
          <w:rFonts w:eastAsia="Times New Roman"/>
        </w:rPr>
      </w:pPr>
    </w:p>
    <w:p w14:paraId="030DA7FC" w14:textId="77777777" w:rsidR="00000000" w:rsidRDefault="00195E73">
      <w:pPr>
        <w:jc w:val="center"/>
        <w:rPr>
          <w:rFonts w:eastAsia="Times New Roman"/>
        </w:rPr>
      </w:pPr>
    </w:p>
    <w:p w14:paraId="3DF2259F" w14:textId="77777777" w:rsidR="00000000" w:rsidRDefault="00195E73">
      <w:pPr>
        <w:jc w:val="center"/>
        <w:rPr>
          <w:rFonts w:eastAsia="Times New Roman"/>
        </w:rPr>
      </w:pPr>
    </w:p>
    <w:p w14:paraId="0D9A0BA6" w14:textId="77777777" w:rsidR="00000000" w:rsidRDefault="00195E73">
      <w:pPr>
        <w:jc w:val="center"/>
        <w:rPr>
          <w:rFonts w:eastAsia="Times New Roman"/>
        </w:rPr>
      </w:pPr>
    </w:p>
    <w:p w14:paraId="69BDA356" w14:textId="77777777" w:rsidR="00000000" w:rsidRDefault="00195E73">
      <w:pPr>
        <w:jc w:val="center"/>
        <w:rPr>
          <w:rFonts w:eastAsia="Times New Roman"/>
        </w:rPr>
      </w:pPr>
    </w:p>
    <w:p w14:paraId="2B3017C0" w14:textId="77777777" w:rsidR="00000000" w:rsidRDefault="00195E73">
      <w:pPr>
        <w:jc w:val="center"/>
        <w:rPr>
          <w:rFonts w:eastAsia="Times New Roman"/>
        </w:rPr>
      </w:pPr>
    </w:p>
    <w:p w14:paraId="6F0BDDBD" w14:textId="77777777" w:rsidR="00000000" w:rsidRDefault="00195E73">
      <w:pPr>
        <w:jc w:val="center"/>
        <w:rPr>
          <w:rFonts w:eastAsia="Times New Roman"/>
        </w:rPr>
      </w:pPr>
    </w:p>
    <w:p w14:paraId="35469652" w14:textId="77777777" w:rsidR="00000000" w:rsidRDefault="00195E73">
      <w:pPr>
        <w:jc w:val="center"/>
        <w:rPr>
          <w:rFonts w:eastAsia="Times New Roman"/>
        </w:rPr>
      </w:pPr>
    </w:p>
    <w:p w14:paraId="70018899" w14:textId="77777777" w:rsidR="00000000" w:rsidRDefault="00195E73">
      <w:pPr>
        <w:jc w:val="center"/>
        <w:rPr>
          <w:rFonts w:eastAsia="Times New Roman"/>
        </w:rPr>
      </w:pPr>
    </w:p>
    <w:p w14:paraId="05E25A5C" w14:textId="77777777" w:rsidR="00000000" w:rsidRDefault="00195E73">
      <w:pPr>
        <w:jc w:val="center"/>
        <w:rPr>
          <w:rFonts w:eastAsia="Times New Roman"/>
        </w:rPr>
      </w:pPr>
    </w:p>
    <w:p w14:paraId="57B129CD" w14:textId="77777777" w:rsidR="00000000" w:rsidRDefault="00195E73">
      <w:pPr>
        <w:jc w:val="center"/>
        <w:rPr>
          <w:rFonts w:eastAsia="Times New Roman"/>
        </w:rPr>
      </w:pPr>
    </w:p>
    <w:p w14:paraId="429D8805" w14:textId="77777777" w:rsidR="00000000" w:rsidRDefault="00195E73">
      <w:pPr>
        <w:jc w:val="center"/>
        <w:rPr>
          <w:rFonts w:eastAsia="Times New Roman"/>
        </w:rPr>
      </w:pPr>
    </w:p>
    <w:p w14:paraId="30780CE5" w14:textId="77777777" w:rsidR="00000000" w:rsidRDefault="00195E73">
      <w:pPr>
        <w:jc w:val="center"/>
        <w:rPr>
          <w:rFonts w:eastAsia="Times New Roman"/>
        </w:rPr>
      </w:pPr>
    </w:p>
    <w:p w14:paraId="0893884F" w14:textId="77777777" w:rsidR="00000000" w:rsidRDefault="00195E73">
      <w:pPr>
        <w:jc w:val="center"/>
        <w:rPr>
          <w:rFonts w:eastAsia="Times New Roman"/>
        </w:rPr>
      </w:pPr>
    </w:p>
    <w:p w14:paraId="1EE0ED62" w14:textId="77777777" w:rsidR="00000000" w:rsidRDefault="00195E73">
      <w:pPr>
        <w:jc w:val="center"/>
        <w:rPr>
          <w:rFonts w:eastAsia="Times New Roman"/>
        </w:rPr>
      </w:pPr>
    </w:p>
    <w:p w14:paraId="35FF824C" w14:textId="77777777" w:rsidR="00000000" w:rsidRDefault="00195E73">
      <w:pPr>
        <w:jc w:val="center"/>
        <w:rPr>
          <w:rFonts w:eastAsia="Times New Roman"/>
        </w:rPr>
      </w:pPr>
    </w:p>
    <w:p w14:paraId="26367235" w14:textId="77777777" w:rsidR="00000000" w:rsidRDefault="00195E73">
      <w:pPr>
        <w:jc w:val="center"/>
        <w:rPr>
          <w:rFonts w:eastAsia="Times New Roman"/>
        </w:rPr>
      </w:pPr>
    </w:p>
    <w:p w14:paraId="11C81181" w14:textId="77777777" w:rsidR="00000000" w:rsidRDefault="00195E73">
      <w:pPr>
        <w:jc w:val="center"/>
        <w:rPr>
          <w:rFonts w:eastAsia="Times New Roman"/>
        </w:rPr>
      </w:pPr>
    </w:p>
    <w:p w14:paraId="435448D2" w14:textId="77777777" w:rsidR="00000000" w:rsidRDefault="00195E73">
      <w:pPr>
        <w:jc w:val="center"/>
        <w:rPr>
          <w:rFonts w:eastAsia="Times New Roman"/>
        </w:rPr>
      </w:pPr>
    </w:p>
    <w:p w14:paraId="137A7AA8" w14:textId="77777777" w:rsidR="00000000" w:rsidRDefault="00195E73">
      <w:pPr>
        <w:jc w:val="center"/>
        <w:rPr>
          <w:rFonts w:eastAsia="Times New Roman"/>
        </w:rPr>
      </w:pPr>
    </w:p>
    <w:p w14:paraId="5CC034C1" w14:textId="77777777" w:rsidR="00000000" w:rsidRDefault="00195E73">
      <w:pPr>
        <w:jc w:val="center"/>
        <w:rPr>
          <w:rFonts w:eastAsia="Times New Roman"/>
        </w:rPr>
      </w:pPr>
    </w:p>
    <w:p w14:paraId="54B4B305" w14:textId="77777777" w:rsidR="00000000" w:rsidRDefault="00195E73">
      <w:pPr>
        <w:jc w:val="center"/>
        <w:rPr>
          <w:rFonts w:eastAsia="Times New Roman"/>
        </w:rPr>
      </w:pPr>
    </w:p>
    <w:p w14:paraId="334497AA" w14:textId="77777777" w:rsidR="00000000" w:rsidRDefault="00195E73">
      <w:pPr>
        <w:jc w:val="center"/>
        <w:rPr>
          <w:rFonts w:eastAsia="Times New Roman"/>
        </w:rPr>
      </w:pPr>
    </w:p>
    <w:p w14:paraId="697B2E38" w14:textId="77777777" w:rsidR="00000000" w:rsidRDefault="00195E73">
      <w:pPr>
        <w:jc w:val="center"/>
        <w:rPr>
          <w:rFonts w:eastAsia="Times New Roman"/>
        </w:rPr>
      </w:pPr>
    </w:p>
    <w:p w14:paraId="35A915E7" w14:textId="77777777" w:rsidR="00000000" w:rsidRDefault="00195E73">
      <w:pPr>
        <w:jc w:val="center"/>
        <w:rPr>
          <w:rFonts w:eastAsia="Times New Roman"/>
        </w:rPr>
      </w:pPr>
      <w:r>
        <w:rPr>
          <w:rFonts w:eastAsia="Times New Roman"/>
          <w:i/>
          <w:iCs/>
          <w:color w:val="000000"/>
          <w:sz w:val="20"/>
          <w:szCs w:val="20"/>
        </w:rPr>
        <w:t>See notes to condensed financial statements</w:t>
      </w:r>
      <w:r>
        <w:rPr>
          <w:rFonts w:eastAsia="Times New Roman"/>
          <w:i/>
          <w:iCs/>
          <w:color w:val="000000"/>
          <w:sz w:val="20"/>
          <w:szCs w:val="20"/>
        </w:rPr>
        <w:t>.</w:t>
      </w:r>
    </w:p>
    <w:p w14:paraId="32BA068D" w14:textId="77777777" w:rsidR="00000000" w:rsidRDefault="00195E73">
      <w:pPr>
        <w:jc w:val="center"/>
        <w:divId w:val="730732092"/>
        <w:rPr>
          <w:rFonts w:eastAsia="Times New Roman"/>
        </w:rPr>
      </w:pPr>
      <w:r>
        <w:rPr>
          <w:rFonts w:eastAsia="Times New Roman"/>
          <w:color w:val="000000"/>
          <w:sz w:val="20"/>
          <w:szCs w:val="20"/>
        </w:rPr>
        <w:t>13</w:t>
      </w:r>
      <w:r>
        <w:rPr>
          <w:rFonts w:eastAsia="Times New Roman"/>
          <w:color w:val="000000"/>
          <w:sz w:val="20"/>
          <w:szCs w:val="20"/>
        </w:rPr>
        <w:t>8</w:t>
      </w:r>
    </w:p>
    <w:p w14:paraId="259A1B94" w14:textId="77777777" w:rsidR="00000000" w:rsidRDefault="00195E73">
      <w:pPr>
        <w:rPr>
          <w:rFonts w:eastAsia="Times New Roman"/>
        </w:rPr>
      </w:pPr>
      <w:r>
        <w:rPr>
          <w:rFonts w:eastAsia="Times New Roman"/>
        </w:rPr>
        <w:pict w14:anchorId="70E5F8D3">
          <v:rect id="_x0000_i1164" style="width:0;height:1.5pt" o:hralign="center" o:hrstd="t" o:hr="t" fillcolor="#a0a0a0" stroked="f"/>
        </w:pict>
      </w:r>
    </w:p>
    <w:p w14:paraId="2420B3C4" w14:textId="77777777" w:rsidR="00000000" w:rsidRDefault="00195E73">
      <w:pPr>
        <w:divId w:val="183205807"/>
        <w:rPr>
          <w:rFonts w:eastAsia="Times New Roman"/>
        </w:rPr>
      </w:pPr>
    </w:p>
    <w:p w14:paraId="159D261F" w14:textId="77777777" w:rsidR="00000000" w:rsidRDefault="00195E73">
      <w:pPr>
        <w:jc w:val="center"/>
        <w:divId w:val="1493446362"/>
        <w:rPr>
          <w:rFonts w:eastAsia="Times New Roman"/>
        </w:rPr>
      </w:pPr>
      <w:r>
        <w:rPr>
          <w:rFonts w:eastAsia="Times New Roman"/>
          <w:b/>
          <w:bCs/>
          <w:color w:val="000000"/>
          <w:sz w:val="20"/>
          <w:szCs w:val="20"/>
        </w:rPr>
        <w:t xml:space="preserve">SCHEDULE </w:t>
      </w:r>
      <w:r>
        <w:rPr>
          <w:rFonts w:eastAsia="Times New Roman"/>
          <w:b/>
          <w:bCs/>
          <w:color w:val="000000"/>
          <w:sz w:val="20"/>
          <w:szCs w:val="20"/>
        </w:rPr>
        <w:t>I</w:t>
      </w:r>
    </w:p>
    <w:p w14:paraId="48CC246A" w14:textId="77777777" w:rsidR="00000000" w:rsidRDefault="00195E73">
      <w:pPr>
        <w:jc w:val="center"/>
        <w:rPr>
          <w:rFonts w:eastAsia="Times New Roman"/>
        </w:rPr>
      </w:pPr>
    </w:p>
    <w:p w14:paraId="5A9DD657" w14:textId="77777777" w:rsidR="00000000" w:rsidRDefault="00195E73">
      <w:pPr>
        <w:jc w:val="center"/>
        <w:rPr>
          <w:rFonts w:eastAsia="Times New Roman"/>
        </w:rPr>
      </w:pPr>
      <w:r>
        <w:rPr>
          <w:rFonts w:eastAsia="Times New Roman"/>
          <w:b/>
          <w:bCs/>
          <w:color w:val="000000"/>
          <w:sz w:val="20"/>
          <w:szCs w:val="20"/>
        </w:rPr>
        <w:t>ICAHN ENTERPRISES HOLDINGS L.P</w:t>
      </w:r>
      <w:r>
        <w:rPr>
          <w:rFonts w:eastAsia="Times New Roman"/>
          <w:b/>
          <w:bCs/>
          <w:color w:val="000000"/>
          <w:sz w:val="20"/>
          <w:szCs w:val="20"/>
        </w:rPr>
        <w:t>.</w:t>
      </w:r>
    </w:p>
    <w:p w14:paraId="7434ADA8" w14:textId="77777777" w:rsidR="00000000" w:rsidRDefault="00195E73">
      <w:pPr>
        <w:jc w:val="center"/>
        <w:rPr>
          <w:rFonts w:eastAsia="Times New Roman"/>
        </w:rPr>
      </w:pPr>
      <w:r>
        <w:rPr>
          <w:rFonts w:eastAsia="Times New Roman"/>
          <w:b/>
          <w:bCs/>
          <w:color w:val="000000"/>
          <w:sz w:val="20"/>
          <w:szCs w:val="20"/>
        </w:rPr>
        <w:t>(Parent Company</w:t>
      </w:r>
      <w:r>
        <w:rPr>
          <w:rFonts w:eastAsia="Times New Roman"/>
          <w:b/>
          <w:bCs/>
          <w:color w:val="000000"/>
          <w:sz w:val="20"/>
          <w:szCs w:val="20"/>
        </w:rPr>
        <w:t>)</w:t>
      </w:r>
    </w:p>
    <w:p w14:paraId="23F6EF02" w14:textId="77777777" w:rsidR="00000000" w:rsidRDefault="00195E73">
      <w:pPr>
        <w:jc w:val="center"/>
        <w:divId w:val="23217412"/>
        <w:rPr>
          <w:rFonts w:eastAsia="Times New Roman"/>
        </w:rPr>
      </w:pPr>
      <w:r>
        <w:rPr>
          <w:rFonts w:eastAsia="Times New Roman"/>
          <w:b/>
          <w:bCs/>
          <w:color w:val="000000"/>
          <w:sz w:val="20"/>
          <w:szCs w:val="20"/>
        </w:rPr>
        <w:t>CONDENSED STATEMENTS OF CASH FLOW</w:t>
      </w:r>
      <w:r>
        <w:rPr>
          <w:rFonts w:eastAsia="Times New Roman"/>
          <w:b/>
          <w:bCs/>
          <w:color w:val="000000"/>
          <w:sz w:val="20"/>
          <w:szCs w:val="20"/>
        </w:rPr>
        <w:t>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331"/>
        <w:gridCol w:w="40"/>
        <w:gridCol w:w="135"/>
        <w:gridCol w:w="875"/>
        <w:gridCol w:w="85"/>
        <w:gridCol w:w="36"/>
        <w:gridCol w:w="36"/>
        <w:gridCol w:w="36"/>
        <w:gridCol w:w="135"/>
        <w:gridCol w:w="843"/>
        <w:gridCol w:w="85"/>
        <w:gridCol w:w="36"/>
        <w:gridCol w:w="36"/>
        <w:gridCol w:w="36"/>
        <w:gridCol w:w="135"/>
        <w:gridCol w:w="844"/>
        <w:gridCol w:w="85"/>
        <w:gridCol w:w="36"/>
        <w:gridCol w:w="36"/>
        <w:gridCol w:w="36"/>
        <w:gridCol w:w="36"/>
        <w:gridCol w:w="36"/>
        <w:gridCol w:w="36"/>
        <w:gridCol w:w="36"/>
        <w:gridCol w:w="36"/>
        <w:gridCol w:w="36"/>
        <w:gridCol w:w="36"/>
        <w:gridCol w:w="36"/>
        <w:gridCol w:w="36"/>
      </w:tblGrid>
      <w:tr w:rsidR="00000000" w14:paraId="491A59B0" w14:textId="77777777">
        <w:trPr>
          <w:gridAfter w:val="12"/>
          <w:divId w:val="687021843"/>
          <w:jc w:val="center"/>
        </w:trPr>
        <w:tc>
          <w:tcPr>
            <w:tcW w:w="50" w:type="pct"/>
            <w:vAlign w:val="center"/>
            <w:hideMark/>
          </w:tcPr>
          <w:p w14:paraId="533BE5A2" w14:textId="77777777" w:rsidR="00000000" w:rsidRDefault="00195E73">
            <w:pPr>
              <w:jc w:val="center"/>
              <w:rPr>
                <w:rFonts w:eastAsia="Times New Roman"/>
              </w:rPr>
            </w:pPr>
          </w:p>
        </w:tc>
        <w:tc>
          <w:tcPr>
            <w:tcW w:w="2781" w:type="pct"/>
            <w:vAlign w:val="center"/>
            <w:hideMark/>
          </w:tcPr>
          <w:p w14:paraId="3BE563C0" w14:textId="77777777" w:rsidR="00000000" w:rsidRDefault="00195E73">
            <w:pPr>
              <w:rPr>
                <w:rFonts w:eastAsia="Times New Roman"/>
                <w:sz w:val="20"/>
                <w:szCs w:val="20"/>
              </w:rPr>
            </w:pPr>
          </w:p>
        </w:tc>
        <w:tc>
          <w:tcPr>
            <w:tcW w:w="50" w:type="pct"/>
            <w:vAlign w:val="center"/>
            <w:hideMark/>
          </w:tcPr>
          <w:p w14:paraId="6A3085CE" w14:textId="77777777" w:rsidR="00000000" w:rsidRDefault="00195E73">
            <w:pPr>
              <w:rPr>
                <w:rFonts w:eastAsia="Times New Roman"/>
                <w:sz w:val="20"/>
                <w:szCs w:val="20"/>
              </w:rPr>
            </w:pPr>
          </w:p>
        </w:tc>
        <w:tc>
          <w:tcPr>
            <w:tcW w:w="50" w:type="pct"/>
            <w:vAlign w:val="center"/>
            <w:hideMark/>
          </w:tcPr>
          <w:p w14:paraId="628A0D7F" w14:textId="77777777" w:rsidR="00000000" w:rsidRDefault="00195E73">
            <w:pPr>
              <w:rPr>
                <w:rFonts w:eastAsia="Times New Roman"/>
                <w:sz w:val="20"/>
                <w:szCs w:val="20"/>
              </w:rPr>
            </w:pPr>
          </w:p>
        </w:tc>
        <w:tc>
          <w:tcPr>
            <w:tcW w:w="581" w:type="pct"/>
            <w:vAlign w:val="center"/>
            <w:hideMark/>
          </w:tcPr>
          <w:p w14:paraId="65349CEC" w14:textId="77777777" w:rsidR="00000000" w:rsidRDefault="00195E73">
            <w:pPr>
              <w:rPr>
                <w:rFonts w:eastAsia="Times New Roman"/>
                <w:sz w:val="20"/>
                <w:szCs w:val="20"/>
              </w:rPr>
            </w:pPr>
          </w:p>
        </w:tc>
        <w:tc>
          <w:tcPr>
            <w:tcW w:w="50" w:type="pct"/>
            <w:vAlign w:val="center"/>
            <w:hideMark/>
          </w:tcPr>
          <w:p w14:paraId="2E74F722" w14:textId="77777777" w:rsidR="00000000" w:rsidRDefault="00195E73">
            <w:pPr>
              <w:rPr>
                <w:rFonts w:eastAsia="Times New Roman"/>
                <w:sz w:val="20"/>
                <w:szCs w:val="20"/>
              </w:rPr>
            </w:pPr>
          </w:p>
        </w:tc>
        <w:tc>
          <w:tcPr>
            <w:tcW w:w="5" w:type="pct"/>
            <w:vAlign w:val="center"/>
            <w:hideMark/>
          </w:tcPr>
          <w:p w14:paraId="58398E52" w14:textId="77777777" w:rsidR="00000000" w:rsidRDefault="00195E73">
            <w:pPr>
              <w:rPr>
                <w:rFonts w:eastAsia="Times New Roman"/>
                <w:sz w:val="20"/>
                <w:szCs w:val="20"/>
              </w:rPr>
            </w:pPr>
          </w:p>
        </w:tc>
        <w:tc>
          <w:tcPr>
            <w:tcW w:w="26" w:type="pct"/>
            <w:vAlign w:val="center"/>
            <w:hideMark/>
          </w:tcPr>
          <w:p w14:paraId="3315B7C2" w14:textId="77777777" w:rsidR="00000000" w:rsidRDefault="00195E73">
            <w:pPr>
              <w:rPr>
                <w:rFonts w:eastAsia="Times New Roman"/>
                <w:sz w:val="20"/>
                <w:szCs w:val="20"/>
              </w:rPr>
            </w:pPr>
          </w:p>
        </w:tc>
        <w:tc>
          <w:tcPr>
            <w:tcW w:w="5" w:type="pct"/>
            <w:vAlign w:val="center"/>
            <w:hideMark/>
          </w:tcPr>
          <w:p w14:paraId="63374A64" w14:textId="77777777" w:rsidR="00000000" w:rsidRDefault="00195E73">
            <w:pPr>
              <w:rPr>
                <w:rFonts w:eastAsia="Times New Roman"/>
                <w:sz w:val="20"/>
                <w:szCs w:val="20"/>
              </w:rPr>
            </w:pPr>
          </w:p>
        </w:tc>
        <w:tc>
          <w:tcPr>
            <w:tcW w:w="50" w:type="pct"/>
            <w:vAlign w:val="center"/>
            <w:hideMark/>
          </w:tcPr>
          <w:p w14:paraId="5B2DD204" w14:textId="77777777" w:rsidR="00000000" w:rsidRDefault="00195E73">
            <w:pPr>
              <w:rPr>
                <w:rFonts w:eastAsia="Times New Roman"/>
                <w:sz w:val="20"/>
                <w:szCs w:val="20"/>
              </w:rPr>
            </w:pPr>
          </w:p>
        </w:tc>
        <w:tc>
          <w:tcPr>
            <w:tcW w:w="581" w:type="pct"/>
            <w:vAlign w:val="center"/>
            <w:hideMark/>
          </w:tcPr>
          <w:p w14:paraId="07DECEAE" w14:textId="77777777" w:rsidR="00000000" w:rsidRDefault="00195E73">
            <w:pPr>
              <w:rPr>
                <w:rFonts w:eastAsia="Times New Roman"/>
                <w:sz w:val="20"/>
                <w:szCs w:val="20"/>
              </w:rPr>
            </w:pPr>
          </w:p>
        </w:tc>
        <w:tc>
          <w:tcPr>
            <w:tcW w:w="50" w:type="pct"/>
            <w:vAlign w:val="center"/>
            <w:hideMark/>
          </w:tcPr>
          <w:p w14:paraId="09AB99EB" w14:textId="77777777" w:rsidR="00000000" w:rsidRDefault="00195E73">
            <w:pPr>
              <w:rPr>
                <w:rFonts w:eastAsia="Times New Roman"/>
                <w:sz w:val="20"/>
                <w:szCs w:val="20"/>
              </w:rPr>
            </w:pPr>
          </w:p>
        </w:tc>
        <w:tc>
          <w:tcPr>
            <w:tcW w:w="5" w:type="pct"/>
            <w:vAlign w:val="center"/>
            <w:hideMark/>
          </w:tcPr>
          <w:p w14:paraId="173C8266" w14:textId="77777777" w:rsidR="00000000" w:rsidRDefault="00195E73">
            <w:pPr>
              <w:rPr>
                <w:rFonts w:eastAsia="Times New Roman"/>
                <w:sz w:val="20"/>
                <w:szCs w:val="20"/>
              </w:rPr>
            </w:pPr>
          </w:p>
        </w:tc>
        <w:tc>
          <w:tcPr>
            <w:tcW w:w="26" w:type="pct"/>
            <w:vAlign w:val="center"/>
            <w:hideMark/>
          </w:tcPr>
          <w:p w14:paraId="0763351C" w14:textId="77777777" w:rsidR="00000000" w:rsidRDefault="00195E73">
            <w:pPr>
              <w:rPr>
                <w:rFonts w:eastAsia="Times New Roman"/>
                <w:sz w:val="20"/>
                <w:szCs w:val="20"/>
              </w:rPr>
            </w:pPr>
          </w:p>
        </w:tc>
        <w:tc>
          <w:tcPr>
            <w:tcW w:w="5" w:type="pct"/>
            <w:vAlign w:val="center"/>
            <w:hideMark/>
          </w:tcPr>
          <w:p w14:paraId="03F9338A" w14:textId="77777777" w:rsidR="00000000" w:rsidRDefault="00195E73">
            <w:pPr>
              <w:rPr>
                <w:rFonts w:eastAsia="Times New Roman"/>
                <w:sz w:val="20"/>
                <w:szCs w:val="20"/>
              </w:rPr>
            </w:pPr>
          </w:p>
        </w:tc>
        <w:tc>
          <w:tcPr>
            <w:tcW w:w="50" w:type="pct"/>
            <w:vAlign w:val="center"/>
            <w:hideMark/>
          </w:tcPr>
          <w:p w14:paraId="0A3AE9BC" w14:textId="77777777" w:rsidR="00000000" w:rsidRDefault="00195E73">
            <w:pPr>
              <w:rPr>
                <w:rFonts w:eastAsia="Times New Roman"/>
                <w:sz w:val="20"/>
                <w:szCs w:val="20"/>
              </w:rPr>
            </w:pPr>
          </w:p>
        </w:tc>
        <w:tc>
          <w:tcPr>
            <w:tcW w:w="581" w:type="pct"/>
            <w:vAlign w:val="center"/>
            <w:hideMark/>
          </w:tcPr>
          <w:p w14:paraId="11259868" w14:textId="77777777" w:rsidR="00000000" w:rsidRDefault="00195E73">
            <w:pPr>
              <w:rPr>
                <w:rFonts w:eastAsia="Times New Roman"/>
                <w:sz w:val="20"/>
                <w:szCs w:val="20"/>
              </w:rPr>
            </w:pPr>
          </w:p>
        </w:tc>
        <w:tc>
          <w:tcPr>
            <w:tcW w:w="50" w:type="pct"/>
            <w:vAlign w:val="center"/>
            <w:hideMark/>
          </w:tcPr>
          <w:p w14:paraId="6A548FB7" w14:textId="77777777" w:rsidR="00000000" w:rsidRDefault="00195E73">
            <w:pPr>
              <w:rPr>
                <w:rFonts w:eastAsia="Times New Roman"/>
                <w:sz w:val="20"/>
                <w:szCs w:val="20"/>
              </w:rPr>
            </w:pPr>
          </w:p>
        </w:tc>
      </w:tr>
      <w:tr w:rsidR="00000000" w14:paraId="663AFDE9" w14:textId="77777777">
        <w:trPr>
          <w:divId w:val="687021843"/>
          <w:jc w:val="center"/>
        </w:trPr>
        <w:tc>
          <w:tcPr>
            <w:tcW w:w="0" w:type="auto"/>
            <w:gridSpan w:val="3"/>
            <w:tcMar>
              <w:top w:w="15" w:type="dxa"/>
              <w:left w:w="20" w:type="dxa"/>
              <w:bottom w:w="15" w:type="dxa"/>
              <w:right w:w="20" w:type="dxa"/>
            </w:tcMar>
            <w:vAlign w:val="bottom"/>
            <w:hideMark/>
          </w:tcPr>
          <w:p w14:paraId="12EF9898" w14:textId="77777777" w:rsidR="00000000" w:rsidRDefault="00195E73">
            <w:pPr>
              <w:rPr>
                <w:rFonts w:eastAsia="Times New Roman"/>
                <w:sz w:val="20"/>
                <w:szCs w:val="20"/>
              </w:rPr>
            </w:pPr>
          </w:p>
        </w:tc>
        <w:tc>
          <w:tcPr>
            <w:tcW w:w="0" w:type="auto"/>
            <w:gridSpan w:val="15"/>
            <w:tcMar>
              <w:top w:w="30" w:type="dxa"/>
              <w:left w:w="20" w:type="dxa"/>
              <w:bottom w:w="30" w:type="dxa"/>
              <w:right w:w="20" w:type="dxa"/>
            </w:tcMar>
            <w:vAlign w:val="bottom"/>
            <w:hideMark/>
          </w:tcPr>
          <w:p w14:paraId="0CBDC907" w14:textId="77777777" w:rsidR="00000000" w:rsidRDefault="00195E73">
            <w:pPr>
              <w:jc w:val="center"/>
              <w:rPr>
                <w:rFonts w:eastAsia="Times New Roman"/>
              </w:rPr>
            </w:pPr>
            <w:r>
              <w:rPr>
                <w:rFonts w:eastAsia="Times New Roman"/>
                <w:b/>
                <w:bCs/>
                <w:color w:val="000000"/>
                <w:sz w:val="20"/>
                <w:szCs w:val="20"/>
              </w:rPr>
              <w:t>Year Ended December 31</w:t>
            </w:r>
            <w:r>
              <w:rPr>
                <w:rFonts w:eastAsia="Times New Roman"/>
                <w:b/>
                <w:bCs/>
                <w:color w:val="000000"/>
                <w:sz w:val="20"/>
                <w:szCs w:val="20"/>
              </w:rPr>
              <w:t>,</w:t>
            </w:r>
          </w:p>
        </w:tc>
        <w:tc>
          <w:tcPr>
            <w:tcW w:w="0" w:type="auto"/>
            <w:gridSpan w:val="3"/>
            <w:vAlign w:val="center"/>
            <w:hideMark/>
          </w:tcPr>
          <w:p w14:paraId="67D5C1CB" w14:textId="77777777" w:rsidR="00000000" w:rsidRDefault="00195E73">
            <w:pPr>
              <w:jc w:val="center"/>
              <w:rPr>
                <w:rFonts w:eastAsia="Times New Roman"/>
              </w:rPr>
            </w:pPr>
          </w:p>
        </w:tc>
        <w:tc>
          <w:tcPr>
            <w:tcW w:w="0" w:type="auto"/>
            <w:gridSpan w:val="3"/>
            <w:vAlign w:val="center"/>
            <w:hideMark/>
          </w:tcPr>
          <w:p w14:paraId="0E78880D" w14:textId="77777777" w:rsidR="00000000" w:rsidRDefault="00195E73">
            <w:pPr>
              <w:rPr>
                <w:rFonts w:eastAsia="Times New Roman"/>
                <w:sz w:val="20"/>
                <w:szCs w:val="20"/>
              </w:rPr>
            </w:pPr>
          </w:p>
        </w:tc>
        <w:tc>
          <w:tcPr>
            <w:tcW w:w="0" w:type="auto"/>
            <w:gridSpan w:val="3"/>
            <w:vAlign w:val="center"/>
            <w:hideMark/>
          </w:tcPr>
          <w:p w14:paraId="41082580" w14:textId="77777777" w:rsidR="00000000" w:rsidRDefault="00195E73">
            <w:pPr>
              <w:rPr>
                <w:rFonts w:eastAsia="Times New Roman"/>
                <w:sz w:val="20"/>
                <w:szCs w:val="20"/>
              </w:rPr>
            </w:pPr>
          </w:p>
        </w:tc>
        <w:tc>
          <w:tcPr>
            <w:tcW w:w="0" w:type="auto"/>
            <w:gridSpan w:val="3"/>
            <w:vAlign w:val="center"/>
            <w:hideMark/>
          </w:tcPr>
          <w:p w14:paraId="709383FA" w14:textId="77777777" w:rsidR="00000000" w:rsidRDefault="00195E73">
            <w:pPr>
              <w:rPr>
                <w:rFonts w:eastAsia="Times New Roman"/>
                <w:sz w:val="20"/>
                <w:szCs w:val="20"/>
              </w:rPr>
            </w:pPr>
          </w:p>
        </w:tc>
      </w:tr>
      <w:tr w:rsidR="00000000" w14:paraId="708FA9B1" w14:textId="77777777">
        <w:trPr>
          <w:divId w:val="687021843"/>
          <w:jc w:val="center"/>
        </w:trPr>
        <w:tc>
          <w:tcPr>
            <w:tcW w:w="0" w:type="auto"/>
            <w:gridSpan w:val="3"/>
            <w:tcMar>
              <w:top w:w="15" w:type="dxa"/>
              <w:left w:w="20" w:type="dxa"/>
              <w:bottom w:w="15" w:type="dxa"/>
              <w:right w:w="20" w:type="dxa"/>
            </w:tcMar>
            <w:vAlign w:val="bottom"/>
            <w:hideMark/>
          </w:tcPr>
          <w:p w14:paraId="002BC9A9"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AE40F18"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0A23D621"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BDA59A7"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gridSpan w:val="3"/>
            <w:tcBorders>
              <w:top w:val="single" w:sz="8" w:space="0" w:color="000000"/>
            </w:tcBorders>
            <w:tcMar>
              <w:top w:w="15" w:type="dxa"/>
              <w:left w:w="20" w:type="dxa"/>
              <w:bottom w:w="15" w:type="dxa"/>
              <w:right w:w="20" w:type="dxa"/>
            </w:tcMar>
            <w:vAlign w:val="bottom"/>
            <w:hideMark/>
          </w:tcPr>
          <w:p w14:paraId="22AE0ED9"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A7C50A2"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7</w:t>
            </w:r>
          </w:p>
        </w:tc>
        <w:tc>
          <w:tcPr>
            <w:tcW w:w="0" w:type="auto"/>
            <w:vAlign w:val="center"/>
            <w:hideMark/>
          </w:tcPr>
          <w:p w14:paraId="5E2E1A5C" w14:textId="77777777" w:rsidR="00000000" w:rsidRDefault="00195E73">
            <w:pPr>
              <w:rPr>
                <w:rFonts w:eastAsia="Times New Roman"/>
                <w:sz w:val="20"/>
                <w:szCs w:val="20"/>
              </w:rPr>
            </w:pPr>
          </w:p>
        </w:tc>
        <w:tc>
          <w:tcPr>
            <w:tcW w:w="0" w:type="auto"/>
            <w:vAlign w:val="center"/>
            <w:hideMark/>
          </w:tcPr>
          <w:p w14:paraId="29B62E83" w14:textId="77777777" w:rsidR="00000000" w:rsidRDefault="00195E73">
            <w:pPr>
              <w:rPr>
                <w:rFonts w:eastAsia="Times New Roman"/>
                <w:sz w:val="20"/>
                <w:szCs w:val="20"/>
              </w:rPr>
            </w:pPr>
          </w:p>
        </w:tc>
        <w:tc>
          <w:tcPr>
            <w:tcW w:w="0" w:type="auto"/>
            <w:vAlign w:val="center"/>
            <w:hideMark/>
          </w:tcPr>
          <w:p w14:paraId="4D23316E" w14:textId="77777777" w:rsidR="00000000" w:rsidRDefault="00195E73">
            <w:pPr>
              <w:rPr>
                <w:rFonts w:eastAsia="Times New Roman"/>
                <w:sz w:val="20"/>
                <w:szCs w:val="20"/>
              </w:rPr>
            </w:pPr>
          </w:p>
        </w:tc>
        <w:tc>
          <w:tcPr>
            <w:tcW w:w="0" w:type="auto"/>
            <w:vAlign w:val="center"/>
            <w:hideMark/>
          </w:tcPr>
          <w:p w14:paraId="5A2C1AA2" w14:textId="77777777" w:rsidR="00000000" w:rsidRDefault="00195E73">
            <w:pPr>
              <w:rPr>
                <w:rFonts w:eastAsia="Times New Roman"/>
                <w:sz w:val="20"/>
                <w:szCs w:val="20"/>
              </w:rPr>
            </w:pPr>
          </w:p>
        </w:tc>
        <w:tc>
          <w:tcPr>
            <w:tcW w:w="0" w:type="auto"/>
            <w:vAlign w:val="center"/>
            <w:hideMark/>
          </w:tcPr>
          <w:p w14:paraId="6906923D" w14:textId="77777777" w:rsidR="00000000" w:rsidRDefault="00195E73">
            <w:pPr>
              <w:rPr>
                <w:rFonts w:eastAsia="Times New Roman"/>
                <w:sz w:val="20"/>
                <w:szCs w:val="20"/>
              </w:rPr>
            </w:pPr>
          </w:p>
        </w:tc>
        <w:tc>
          <w:tcPr>
            <w:tcW w:w="0" w:type="auto"/>
            <w:vAlign w:val="center"/>
            <w:hideMark/>
          </w:tcPr>
          <w:p w14:paraId="3C2522C0" w14:textId="77777777" w:rsidR="00000000" w:rsidRDefault="00195E73">
            <w:pPr>
              <w:rPr>
                <w:rFonts w:eastAsia="Times New Roman"/>
                <w:sz w:val="20"/>
                <w:szCs w:val="20"/>
              </w:rPr>
            </w:pPr>
          </w:p>
        </w:tc>
        <w:tc>
          <w:tcPr>
            <w:tcW w:w="0" w:type="auto"/>
            <w:vAlign w:val="center"/>
            <w:hideMark/>
          </w:tcPr>
          <w:p w14:paraId="77B2EB80" w14:textId="77777777" w:rsidR="00000000" w:rsidRDefault="00195E73">
            <w:pPr>
              <w:rPr>
                <w:rFonts w:eastAsia="Times New Roman"/>
                <w:sz w:val="20"/>
                <w:szCs w:val="20"/>
              </w:rPr>
            </w:pPr>
          </w:p>
        </w:tc>
        <w:tc>
          <w:tcPr>
            <w:tcW w:w="0" w:type="auto"/>
            <w:vAlign w:val="center"/>
            <w:hideMark/>
          </w:tcPr>
          <w:p w14:paraId="26017FD8" w14:textId="77777777" w:rsidR="00000000" w:rsidRDefault="00195E73">
            <w:pPr>
              <w:rPr>
                <w:rFonts w:eastAsia="Times New Roman"/>
                <w:sz w:val="20"/>
                <w:szCs w:val="20"/>
              </w:rPr>
            </w:pPr>
          </w:p>
        </w:tc>
        <w:tc>
          <w:tcPr>
            <w:tcW w:w="0" w:type="auto"/>
            <w:vAlign w:val="center"/>
            <w:hideMark/>
          </w:tcPr>
          <w:p w14:paraId="22923C24" w14:textId="77777777" w:rsidR="00000000" w:rsidRDefault="00195E73">
            <w:pPr>
              <w:rPr>
                <w:rFonts w:eastAsia="Times New Roman"/>
                <w:sz w:val="20"/>
                <w:szCs w:val="20"/>
              </w:rPr>
            </w:pPr>
          </w:p>
        </w:tc>
        <w:tc>
          <w:tcPr>
            <w:tcW w:w="0" w:type="auto"/>
            <w:vAlign w:val="center"/>
            <w:hideMark/>
          </w:tcPr>
          <w:p w14:paraId="5F19ED2B" w14:textId="77777777" w:rsidR="00000000" w:rsidRDefault="00195E73">
            <w:pPr>
              <w:rPr>
                <w:rFonts w:eastAsia="Times New Roman"/>
                <w:sz w:val="20"/>
                <w:szCs w:val="20"/>
              </w:rPr>
            </w:pPr>
          </w:p>
        </w:tc>
        <w:tc>
          <w:tcPr>
            <w:tcW w:w="0" w:type="auto"/>
            <w:vAlign w:val="center"/>
            <w:hideMark/>
          </w:tcPr>
          <w:p w14:paraId="00AC7E64" w14:textId="77777777" w:rsidR="00000000" w:rsidRDefault="00195E73">
            <w:pPr>
              <w:rPr>
                <w:rFonts w:eastAsia="Times New Roman"/>
                <w:sz w:val="20"/>
                <w:szCs w:val="20"/>
              </w:rPr>
            </w:pPr>
          </w:p>
        </w:tc>
        <w:tc>
          <w:tcPr>
            <w:tcW w:w="0" w:type="auto"/>
            <w:vAlign w:val="center"/>
            <w:hideMark/>
          </w:tcPr>
          <w:p w14:paraId="747967CA" w14:textId="77777777" w:rsidR="00000000" w:rsidRDefault="00195E73">
            <w:pPr>
              <w:rPr>
                <w:rFonts w:eastAsia="Times New Roman"/>
                <w:sz w:val="20"/>
                <w:szCs w:val="20"/>
              </w:rPr>
            </w:pPr>
          </w:p>
        </w:tc>
      </w:tr>
      <w:tr w:rsidR="00000000" w14:paraId="00D2D387" w14:textId="77777777">
        <w:trPr>
          <w:divId w:val="687021843"/>
          <w:jc w:val="center"/>
        </w:trPr>
        <w:tc>
          <w:tcPr>
            <w:tcW w:w="0" w:type="auto"/>
            <w:gridSpan w:val="3"/>
            <w:tcMar>
              <w:top w:w="15" w:type="dxa"/>
              <w:left w:w="20" w:type="dxa"/>
              <w:bottom w:w="15" w:type="dxa"/>
              <w:right w:w="20" w:type="dxa"/>
            </w:tcMar>
            <w:vAlign w:val="bottom"/>
            <w:hideMark/>
          </w:tcPr>
          <w:p w14:paraId="526DD3AD" w14:textId="77777777" w:rsidR="00000000" w:rsidRDefault="00195E73">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A5E6EBC"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14:paraId="73CB08CC" w14:textId="77777777" w:rsidR="00000000" w:rsidRDefault="00195E73">
            <w:pPr>
              <w:jc w:val="center"/>
              <w:rPr>
                <w:rFonts w:eastAsia="Times New Roman"/>
              </w:rPr>
            </w:pPr>
          </w:p>
        </w:tc>
        <w:tc>
          <w:tcPr>
            <w:tcW w:w="0" w:type="auto"/>
            <w:gridSpan w:val="3"/>
            <w:vAlign w:val="center"/>
            <w:hideMark/>
          </w:tcPr>
          <w:p w14:paraId="4F1D6688" w14:textId="77777777" w:rsidR="00000000" w:rsidRDefault="00195E73">
            <w:pPr>
              <w:rPr>
                <w:rFonts w:eastAsia="Times New Roman"/>
                <w:sz w:val="20"/>
                <w:szCs w:val="20"/>
              </w:rPr>
            </w:pPr>
          </w:p>
        </w:tc>
        <w:tc>
          <w:tcPr>
            <w:tcW w:w="0" w:type="auto"/>
            <w:gridSpan w:val="3"/>
            <w:vAlign w:val="center"/>
            <w:hideMark/>
          </w:tcPr>
          <w:p w14:paraId="35F342F4" w14:textId="77777777" w:rsidR="00000000" w:rsidRDefault="00195E73">
            <w:pPr>
              <w:rPr>
                <w:rFonts w:eastAsia="Times New Roman"/>
                <w:sz w:val="20"/>
                <w:szCs w:val="20"/>
              </w:rPr>
            </w:pPr>
          </w:p>
        </w:tc>
        <w:tc>
          <w:tcPr>
            <w:tcW w:w="0" w:type="auto"/>
            <w:gridSpan w:val="3"/>
            <w:vAlign w:val="center"/>
            <w:hideMark/>
          </w:tcPr>
          <w:p w14:paraId="505C526C" w14:textId="77777777" w:rsidR="00000000" w:rsidRDefault="00195E73">
            <w:pPr>
              <w:rPr>
                <w:rFonts w:eastAsia="Times New Roman"/>
                <w:sz w:val="20"/>
                <w:szCs w:val="20"/>
              </w:rPr>
            </w:pPr>
          </w:p>
        </w:tc>
      </w:tr>
      <w:tr w:rsidR="00000000" w14:paraId="0955C548" w14:textId="77777777">
        <w:trPr>
          <w:divId w:val="687021843"/>
          <w:jc w:val="center"/>
        </w:trPr>
        <w:tc>
          <w:tcPr>
            <w:tcW w:w="0" w:type="auto"/>
            <w:gridSpan w:val="3"/>
            <w:tcMar>
              <w:top w:w="30" w:type="dxa"/>
              <w:left w:w="20" w:type="dxa"/>
              <w:bottom w:w="30" w:type="dxa"/>
              <w:right w:w="20" w:type="dxa"/>
            </w:tcMar>
            <w:vAlign w:val="bottom"/>
            <w:hideMark/>
          </w:tcPr>
          <w:p w14:paraId="330990CD" w14:textId="77777777" w:rsidR="00000000" w:rsidRDefault="00195E73">
            <w:pPr>
              <w:rPr>
                <w:rFonts w:eastAsia="Times New Roman"/>
              </w:rPr>
            </w:pPr>
            <w:r>
              <w:rPr>
                <w:rFonts w:eastAsia="Times New Roman"/>
                <w:b/>
                <w:bCs/>
                <w:color w:val="000000"/>
                <w:sz w:val="20"/>
                <w:szCs w:val="20"/>
              </w:rPr>
              <w:t>Cash flows from operating activities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14:paraId="1104C924"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7FA51FB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CBD8E92"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F13615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58AFD08" w14:textId="77777777" w:rsidR="00000000" w:rsidRDefault="00195E73">
            <w:pPr>
              <w:rPr>
                <w:rFonts w:eastAsia="Times New Roman"/>
                <w:sz w:val="20"/>
                <w:szCs w:val="20"/>
              </w:rPr>
            </w:pPr>
          </w:p>
        </w:tc>
        <w:tc>
          <w:tcPr>
            <w:tcW w:w="0" w:type="auto"/>
            <w:vAlign w:val="center"/>
            <w:hideMark/>
          </w:tcPr>
          <w:p w14:paraId="701A0A59" w14:textId="77777777" w:rsidR="00000000" w:rsidRDefault="00195E73">
            <w:pPr>
              <w:rPr>
                <w:rFonts w:eastAsia="Times New Roman"/>
                <w:sz w:val="20"/>
                <w:szCs w:val="20"/>
              </w:rPr>
            </w:pPr>
          </w:p>
        </w:tc>
        <w:tc>
          <w:tcPr>
            <w:tcW w:w="0" w:type="auto"/>
            <w:vAlign w:val="center"/>
            <w:hideMark/>
          </w:tcPr>
          <w:p w14:paraId="320BEEA5" w14:textId="77777777" w:rsidR="00000000" w:rsidRDefault="00195E73">
            <w:pPr>
              <w:rPr>
                <w:rFonts w:eastAsia="Times New Roman"/>
                <w:sz w:val="20"/>
                <w:szCs w:val="20"/>
              </w:rPr>
            </w:pPr>
          </w:p>
        </w:tc>
        <w:tc>
          <w:tcPr>
            <w:tcW w:w="0" w:type="auto"/>
            <w:vAlign w:val="center"/>
            <w:hideMark/>
          </w:tcPr>
          <w:p w14:paraId="0ECF0297" w14:textId="77777777" w:rsidR="00000000" w:rsidRDefault="00195E73">
            <w:pPr>
              <w:rPr>
                <w:rFonts w:eastAsia="Times New Roman"/>
                <w:sz w:val="20"/>
                <w:szCs w:val="20"/>
              </w:rPr>
            </w:pPr>
          </w:p>
        </w:tc>
        <w:tc>
          <w:tcPr>
            <w:tcW w:w="0" w:type="auto"/>
            <w:vAlign w:val="center"/>
            <w:hideMark/>
          </w:tcPr>
          <w:p w14:paraId="36A31BBF" w14:textId="77777777" w:rsidR="00000000" w:rsidRDefault="00195E73">
            <w:pPr>
              <w:rPr>
                <w:rFonts w:eastAsia="Times New Roman"/>
                <w:sz w:val="20"/>
                <w:szCs w:val="20"/>
              </w:rPr>
            </w:pPr>
          </w:p>
        </w:tc>
        <w:tc>
          <w:tcPr>
            <w:tcW w:w="0" w:type="auto"/>
            <w:vAlign w:val="center"/>
            <w:hideMark/>
          </w:tcPr>
          <w:p w14:paraId="2A6C2D67" w14:textId="77777777" w:rsidR="00000000" w:rsidRDefault="00195E73">
            <w:pPr>
              <w:rPr>
                <w:rFonts w:eastAsia="Times New Roman"/>
                <w:sz w:val="20"/>
                <w:szCs w:val="20"/>
              </w:rPr>
            </w:pPr>
          </w:p>
        </w:tc>
        <w:tc>
          <w:tcPr>
            <w:tcW w:w="0" w:type="auto"/>
            <w:vAlign w:val="center"/>
            <w:hideMark/>
          </w:tcPr>
          <w:p w14:paraId="1316990B" w14:textId="77777777" w:rsidR="00000000" w:rsidRDefault="00195E73">
            <w:pPr>
              <w:rPr>
                <w:rFonts w:eastAsia="Times New Roman"/>
                <w:sz w:val="20"/>
                <w:szCs w:val="20"/>
              </w:rPr>
            </w:pPr>
          </w:p>
        </w:tc>
        <w:tc>
          <w:tcPr>
            <w:tcW w:w="0" w:type="auto"/>
            <w:vAlign w:val="center"/>
            <w:hideMark/>
          </w:tcPr>
          <w:p w14:paraId="64F9FF8E" w14:textId="77777777" w:rsidR="00000000" w:rsidRDefault="00195E73">
            <w:pPr>
              <w:rPr>
                <w:rFonts w:eastAsia="Times New Roman"/>
                <w:sz w:val="20"/>
                <w:szCs w:val="20"/>
              </w:rPr>
            </w:pPr>
          </w:p>
        </w:tc>
        <w:tc>
          <w:tcPr>
            <w:tcW w:w="0" w:type="auto"/>
            <w:vAlign w:val="center"/>
            <w:hideMark/>
          </w:tcPr>
          <w:p w14:paraId="65CDCC24" w14:textId="77777777" w:rsidR="00000000" w:rsidRDefault="00195E73">
            <w:pPr>
              <w:rPr>
                <w:rFonts w:eastAsia="Times New Roman"/>
                <w:sz w:val="20"/>
                <w:szCs w:val="20"/>
              </w:rPr>
            </w:pPr>
          </w:p>
        </w:tc>
        <w:tc>
          <w:tcPr>
            <w:tcW w:w="0" w:type="auto"/>
            <w:vAlign w:val="center"/>
            <w:hideMark/>
          </w:tcPr>
          <w:p w14:paraId="231D6DF3" w14:textId="77777777" w:rsidR="00000000" w:rsidRDefault="00195E73">
            <w:pPr>
              <w:rPr>
                <w:rFonts w:eastAsia="Times New Roman"/>
                <w:sz w:val="20"/>
                <w:szCs w:val="20"/>
              </w:rPr>
            </w:pPr>
          </w:p>
        </w:tc>
        <w:tc>
          <w:tcPr>
            <w:tcW w:w="0" w:type="auto"/>
            <w:vAlign w:val="center"/>
            <w:hideMark/>
          </w:tcPr>
          <w:p w14:paraId="3B0FDA32" w14:textId="77777777" w:rsidR="00000000" w:rsidRDefault="00195E73">
            <w:pPr>
              <w:rPr>
                <w:rFonts w:eastAsia="Times New Roman"/>
                <w:sz w:val="20"/>
                <w:szCs w:val="20"/>
              </w:rPr>
            </w:pPr>
          </w:p>
        </w:tc>
        <w:tc>
          <w:tcPr>
            <w:tcW w:w="0" w:type="auto"/>
            <w:vAlign w:val="center"/>
            <w:hideMark/>
          </w:tcPr>
          <w:p w14:paraId="6A327E9D" w14:textId="77777777" w:rsidR="00000000" w:rsidRDefault="00195E73">
            <w:pPr>
              <w:rPr>
                <w:rFonts w:eastAsia="Times New Roman"/>
                <w:sz w:val="20"/>
                <w:szCs w:val="20"/>
              </w:rPr>
            </w:pPr>
          </w:p>
        </w:tc>
        <w:tc>
          <w:tcPr>
            <w:tcW w:w="0" w:type="auto"/>
            <w:vAlign w:val="center"/>
            <w:hideMark/>
          </w:tcPr>
          <w:p w14:paraId="2E302DB2" w14:textId="77777777" w:rsidR="00000000" w:rsidRDefault="00195E73">
            <w:pPr>
              <w:rPr>
                <w:rFonts w:eastAsia="Times New Roman"/>
                <w:sz w:val="20"/>
                <w:szCs w:val="20"/>
              </w:rPr>
            </w:pPr>
          </w:p>
        </w:tc>
      </w:tr>
      <w:tr w:rsidR="00000000" w14:paraId="445AAB47" w14:textId="77777777">
        <w:trPr>
          <w:divId w:val="687021843"/>
          <w:jc w:val="center"/>
        </w:trPr>
        <w:tc>
          <w:tcPr>
            <w:tcW w:w="0" w:type="auto"/>
            <w:gridSpan w:val="3"/>
            <w:shd w:val="clear" w:color="auto" w:fill="CCEEFF"/>
            <w:tcMar>
              <w:top w:w="30" w:type="dxa"/>
              <w:left w:w="20" w:type="dxa"/>
              <w:bottom w:w="30" w:type="dxa"/>
              <w:right w:w="20" w:type="dxa"/>
            </w:tcMar>
            <w:vAlign w:val="bottom"/>
            <w:hideMark/>
          </w:tcPr>
          <w:p w14:paraId="3A7E16CD" w14:textId="77777777" w:rsidR="00000000" w:rsidRDefault="00195E73">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14:paraId="123D806E"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C74BA26" w14:textId="77777777" w:rsidR="00000000" w:rsidRDefault="00195E73">
            <w:pPr>
              <w:jc w:val="right"/>
              <w:rPr>
                <w:rFonts w:eastAsia="Times New Roman"/>
              </w:rPr>
            </w:pPr>
            <w:r>
              <w:rPr>
                <w:rFonts w:eastAsia="Times New Roman"/>
                <w:color w:val="000000"/>
                <w:sz w:val="20"/>
                <w:szCs w:val="20"/>
              </w:rPr>
              <w:t>(1,097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5163AD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DD222D"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E74F5C8"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805E6E6" w14:textId="77777777" w:rsidR="00000000" w:rsidRDefault="00195E73">
            <w:pPr>
              <w:jc w:val="right"/>
              <w:rPr>
                <w:rFonts w:eastAsia="Times New Roman"/>
              </w:rPr>
            </w:pPr>
            <w:r>
              <w:rPr>
                <w:rFonts w:eastAsia="Times New Roman"/>
                <w:color w:val="000000"/>
                <w:sz w:val="20"/>
                <w:szCs w:val="20"/>
              </w:rPr>
              <w:t>1,483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77FF7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7904003"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3F48D60"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7E0975C" w14:textId="77777777" w:rsidR="00000000" w:rsidRDefault="00195E73">
            <w:pPr>
              <w:jc w:val="right"/>
              <w:rPr>
                <w:rFonts w:eastAsia="Times New Roman"/>
              </w:rPr>
            </w:pPr>
            <w:r>
              <w:rPr>
                <w:rFonts w:eastAsia="Times New Roman"/>
                <w:color w:val="000000"/>
                <w:sz w:val="20"/>
                <w:szCs w:val="20"/>
              </w:rPr>
              <w:t>2,456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E1B651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C01CD77" w14:textId="77777777" w:rsidR="00000000" w:rsidRDefault="00195E73">
            <w:pPr>
              <w:rPr>
                <w:rFonts w:eastAsia="Times New Roman"/>
                <w:sz w:val="20"/>
                <w:szCs w:val="20"/>
              </w:rPr>
            </w:pPr>
          </w:p>
        </w:tc>
        <w:tc>
          <w:tcPr>
            <w:tcW w:w="0" w:type="auto"/>
            <w:vAlign w:val="center"/>
            <w:hideMark/>
          </w:tcPr>
          <w:p w14:paraId="2C342B38" w14:textId="77777777" w:rsidR="00000000" w:rsidRDefault="00195E73">
            <w:pPr>
              <w:rPr>
                <w:rFonts w:eastAsia="Times New Roman"/>
                <w:sz w:val="20"/>
                <w:szCs w:val="20"/>
              </w:rPr>
            </w:pPr>
          </w:p>
        </w:tc>
        <w:tc>
          <w:tcPr>
            <w:tcW w:w="0" w:type="auto"/>
            <w:vAlign w:val="center"/>
            <w:hideMark/>
          </w:tcPr>
          <w:p w14:paraId="686AC6C7" w14:textId="77777777" w:rsidR="00000000" w:rsidRDefault="00195E73">
            <w:pPr>
              <w:rPr>
                <w:rFonts w:eastAsia="Times New Roman"/>
                <w:sz w:val="20"/>
                <w:szCs w:val="20"/>
              </w:rPr>
            </w:pPr>
          </w:p>
        </w:tc>
        <w:tc>
          <w:tcPr>
            <w:tcW w:w="0" w:type="auto"/>
            <w:vAlign w:val="center"/>
            <w:hideMark/>
          </w:tcPr>
          <w:p w14:paraId="6358AC6A" w14:textId="77777777" w:rsidR="00000000" w:rsidRDefault="00195E73">
            <w:pPr>
              <w:rPr>
                <w:rFonts w:eastAsia="Times New Roman"/>
                <w:sz w:val="20"/>
                <w:szCs w:val="20"/>
              </w:rPr>
            </w:pPr>
          </w:p>
        </w:tc>
        <w:tc>
          <w:tcPr>
            <w:tcW w:w="0" w:type="auto"/>
            <w:vAlign w:val="center"/>
            <w:hideMark/>
          </w:tcPr>
          <w:p w14:paraId="5BDB3C77" w14:textId="77777777" w:rsidR="00000000" w:rsidRDefault="00195E73">
            <w:pPr>
              <w:rPr>
                <w:rFonts w:eastAsia="Times New Roman"/>
                <w:sz w:val="20"/>
                <w:szCs w:val="20"/>
              </w:rPr>
            </w:pPr>
          </w:p>
        </w:tc>
        <w:tc>
          <w:tcPr>
            <w:tcW w:w="0" w:type="auto"/>
            <w:vAlign w:val="center"/>
            <w:hideMark/>
          </w:tcPr>
          <w:p w14:paraId="04AB98E5" w14:textId="77777777" w:rsidR="00000000" w:rsidRDefault="00195E73">
            <w:pPr>
              <w:rPr>
                <w:rFonts w:eastAsia="Times New Roman"/>
                <w:sz w:val="20"/>
                <w:szCs w:val="20"/>
              </w:rPr>
            </w:pPr>
          </w:p>
        </w:tc>
        <w:tc>
          <w:tcPr>
            <w:tcW w:w="0" w:type="auto"/>
            <w:vAlign w:val="center"/>
            <w:hideMark/>
          </w:tcPr>
          <w:p w14:paraId="46153FBD" w14:textId="77777777" w:rsidR="00000000" w:rsidRDefault="00195E73">
            <w:pPr>
              <w:rPr>
                <w:rFonts w:eastAsia="Times New Roman"/>
                <w:sz w:val="20"/>
                <w:szCs w:val="20"/>
              </w:rPr>
            </w:pPr>
          </w:p>
        </w:tc>
        <w:tc>
          <w:tcPr>
            <w:tcW w:w="0" w:type="auto"/>
            <w:vAlign w:val="center"/>
            <w:hideMark/>
          </w:tcPr>
          <w:p w14:paraId="383B187E" w14:textId="77777777" w:rsidR="00000000" w:rsidRDefault="00195E73">
            <w:pPr>
              <w:rPr>
                <w:rFonts w:eastAsia="Times New Roman"/>
                <w:sz w:val="20"/>
                <w:szCs w:val="20"/>
              </w:rPr>
            </w:pPr>
          </w:p>
        </w:tc>
        <w:tc>
          <w:tcPr>
            <w:tcW w:w="0" w:type="auto"/>
            <w:vAlign w:val="center"/>
            <w:hideMark/>
          </w:tcPr>
          <w:p w14:paraId="4E2763A7" w14:textId="77777777" w:rsidR="00000000" w:rsidRDefault="00195E73">
            <w:pPr>
              <w:rPr>
                <w:rFonts w:eastAsia="Times New Roman"/>
                <w:sz w:val="20"/>
                <w:szCs w:val="20"/>
              </w:rPr>
            </w:pPr>
          </w:p>
        </w:tc>
        <w:tc>
          <w:tcPr>
            <w:tcW w:w="0" w:type="auto"/>
            <w:vAlign w:val="center"/>
            <w:hideMark/>
          </w:tcPr>
          <w:p w14:paraId="5826DB41" w14:textId="77777777" w:rsidR="00000000" w:rsidRDefault="00195E73">
            <w:pPr>
              <w:rPr>
                <w:rFonts w:eastAsia="Times New Roman"/>
                <w:sz w:val="20"/>
                <w:szCs w:val="20"/>
              </w:rPr>
            </w:pPr>
          </w:p>
        </w:tc>
        <w:tc>
          <w:tcPr>
            <w:tcW w:w="0" w:type="auto"/>
            <w:vAlign w:val="center"/>
            <w:hideMark/>
          </w:tcPr>
          <w:p w14:paraId="65B6216E" w14:textId="77777777" w:rsidR="00000000" w:rsidRDefault="00195E73">
            <w:pPr>
              <w:rPr>
                <w:rFonts w:eastAsia="Times New Roman"/>
                <w:sz w:val="20"/>
                <w:szCs w:val="20"/>
              </w:rPr>
            </w:pPr>
          </w:p>
        </w:tc>
        <w:tc>
          <w:tcPr>
            <w:tcW w:w="0" w:type="auto"/>
            <w:vAlign w:val="center"/>
            <w:hideMark/>
          </w:tcPr>
          <w:p w14:paraId="172D6A7B" w14:textId="77777777" w:rsidR="00000000" w:rsidRDefault="00195E73">
            <w:pPr>
              <w:rPr>
                <w:rFonts w:eastAsia="Times New Roman"/>
                <w:sz w:val="20"/>
                <w:szCs w:val="20"/>
              </w:rPr>
            </w:pPr>
          </w:p>
        </w:tc>
      </w:tr>
      <w:tr w:rsidR="00000000" w14:paraId="5ECEB37E" w14:textId="77777777">
        <w:trPr>
          <w:divId w:val="687021843"/>
          <w:jc w:val="center"/>
        </w:trPr>
        <w:tc>
          <w:tcPr>
            <w:tcW w:w="0" w:type="auto"/>
            <w:gridSpan w:val="3"/>
            <w:shd w:val="clear" w:color="auto" w:fill="FFFFFF"/>
            <w:tcMar>
              <w:top w:w="30" w:type="dxa"/>
              <w:left w:w="20" w:type="dxa"/>
              <w:bottom w:w="30" w:type="dxa"/>
              <w:right w:w="20" w:type="dxa"/>
            </w:tcMar>
            <w:vAlign w:val="bottom"/>
            <w:hideMark/>
          </w:tcPr>
          <w:p w14:paraId="65699E47" w14:textId="77777777" w:rsidR="00000000" w:rsidRDefault="00195E73">
            <w:pPr>
              <w:ind w:hanging="180"/>
              <w:divId w:val="1396392519"/>
              <w:rPr>
                <w:rFonts w:eastAsia="Times New Roman"/>
              </w:rPr>
            </w:pPr>
            <w:r>
              <w:rPr>
                <w:rFonts w:eastAsia="Times New Roman"/>
                <w:color w:val="000000"/>
                <w:sz w:val="20"/>
                <w:szCs w:val="20"/>
              </w:rPr>
              <w:t>Adjustments to reconcile net (loss) income to net cash used in operating activities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1FEA01AE" w14:textId="77777777" w:rsidR="00000000" w:rsidRDefault="00195E73">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6F4F3BA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DB0BF39"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10A4DF3A" w14:textId="77777777" w:rsidR="00000000" w:rsidRDefault="00195E73">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0146EAB" w14:textId="77777777" w:rsidR="00000000" w:rsidRDefault="00195E73">
            <w:pPr>
              <w:rPr>
                <w:rFonts w:eastAsia="Times New Roman"/>
                <w:sz w:val="20"/>
                <w:szCs w:val="20"/>
              </w:rPr>
            </w:pPr>
          </w:p>
        </w:tc>
        <w:tc>
          <w:tcPr>
            <w:tcW w:w="0" w:type="auto"/>
            <w:vAlign w:val="center"/>
            <w:hideMark/>
          </w:tcPr>
          <w:p w14:paraId="4AE64B3F" w14:textId="77777777" w:rsidR="00000000" w:rsidRDefault="00195E73">
            <w:pPr>
              <w:rPr>
                <w:rFonts w:eastAsia="Times New Roman"/>
                <w:sz w:val="20"/>
                <w:szCs w:val="20"/>
              </w:rPr>
            </w:pPr>
          </w:p>
        </w:tc>
        <w:tc>
          <w:tcPr>
            <w:tcW w:w="0" w:type="auto"/>
            <w:vAlign w:val="center"/>
            <w:hideMark/>
          </w:tcPr>
          <w:p w14:paraId="7FE18168" w14:textId="77777777" w:rsidR="00000000" w:rsidRDefault="00195E73">
            <w:pPr>
              <w:rPr>
                <w:rFonts w:eastAsia="Times New Roman"/>
                <w:sz w:val="20"/>
                <w:szCs w:val="20"/>
              </w:rPr>
            </w:pPr>
          </w:p>
        </w:tc>
        <w:tc>
          <w:tcPr>
            <w:tcW w:w="0" w:type="auto"/>
            <w:vAlign w:val="center"/>
            <w:hideMark/>
          </w:tcPr>
          <w:p w14:paraId="092E649A" w14:textId="77777777" w:rsidR="00000000" w:rsidRDefault="00195E73">
            <w:pPr>
              <w:rPr>
                <w:rFonts w:eastAsia="Times New Roman"/>
                <w:sz w:val="20"/>
                <w:szCs w:val="20"/>
              </w:rPr>
            </w:pPr>
          </w:p>
        </w:tc>
        <w:tc>
          <w:tcPr>
            <w:tcW w:w="0" w:type="auto"/>
            <w:vAlign w:val="center"/>
            <w:hideMark/>
          </w:tcPr>
          <w:p w14:paraId="53D61820" w14:textId="77777777" w:rsidR="00000000" w:rsidRDefault="00195E73">
            <w:pPr>
              <w:rPr>
                <w:rFonts w:eastAsia="Times New Roman"/>
                <w:sz w:val="20"/>
                <w:szCs w:val="20"/>
              </w:rPr>
            </w:pPr>
          </w:p>
        </w:tc>
        <w:tc>
          <w:tcPr>
            <w:tcW w:w="0" w:type="auto"/>
            <w:vAlign w:val="center"/>
            <w:hideMark/>
          </w:tcPr>
          <w:p w14:paraId="57685598" w14:textId="77777777" w:rsidR="00000000" w:rsidRDefault="00195E73">
            <w:pPr>
              <w:rPr>
                <w:rFonts w:eastAsia="Times New Roman"/>
                <w:sz w:val="20"/>
                <w:szCs w:val="20"/>
              </w:rPr>
            </w:pPr>
          </w:p>
        </w:tc>
        <w:tc>
          <w:tcPr>
            <w:tcW w:w="0" w:type="auto"/>
            <w:vAlign w:val="center"/>
            <w:hideMark/>
          </w:tcPr>
          <w:p w14:paraId="58A89D7B" w14:textId="77777777" w:rsidR="00000000" w:rsidRDefault="00195E73">
            <w:pPr>
              <w:rPr>
                <w:rFonts w:eastAsia="Times New Roman"/>
                <w:sz w:val="20"/>
                <w:szCs w:val="20"/>
              </w:rPr>
            </w:pPr>
          </w:p>
        </w:tc>
        <w:tc>
          <w:tcPr>
            <w:tcW w:w="0" w:type="auto"/>
            <w:vAlign w:val="center"/>
            <w:hideMark/>
          </w:tcPr>
          <w:p w14:paraId="57AE5BC9" w14:textId="77777777" w:rsidR="00000000" w:rsidRDefault="00195E73">
            <w:pPr>
              <w:rPr>
                <w:rFonts w:eastAsia="Times New Roman"/>
                <w:sz w:val="20"/>
                <w:szCs w:val="20"/>
              </w:rPr>
            </w:pPr>
          </w:p>
        </w:tc>
        <w:tc>
          <w:tcPr>
            <w:tcW w:w="0" w:type="auto"/>
            <w:vAlign w:val="center"/>
            <w:hideMark/>
          </w:tcPr>
          <w:p w14:paraId="570421A2" w14:textId="77777777" w:rsidR="00000000" w:rsidRDefault="00195E73">
            <w:pPr>
              <w:rPr>
                <w:rFonts w:eastAsia="Times New Roman"/>
                <w:sz w:val="20"/>
                <w:szCs w:val="20"/>
              </w:rPr>
            </w:pPr>
          </w:p>
        </w:tc>
        <w:tc>
          <w:tcPr>
            <w:tcW w:w="0" w:type="auto"/>
            <w:vAlign w:val="center"/>
            <w:hideMark/>
          </w:tcPr>
          <w:p w14:paraId="548B281B" w14:textId="77777777" w:rsidR="00000000" w:rsidRDefault="00195E73">
            <w:pPr>
              <w:rPr>
                <w:rFonts w:eastAsia="Times New Roman"/>
                <w:sz w:val="20"/>
                <w:szCs w:val="20"/>
              </w:rPr>
            </w:pPr>
          </w:p>
        </w:tc>
        <w:tc>
          <w:tcPr>
            <w:tcW w:w="0" w:type="auto"/>
            <w:vAlign w:val="center"/>
            <w:hideMark/>
          </w:tcPr>
          <w:p w14:paraId="798E6EFE" w14:textId="77777777" w:rsidR="00000000" w:rsidRDefault="00195E73">
            <w:pPr>
              <w:rPr>
                <w:rFonts w:eastAsia="Times New Roman"/>
                <w:sz w:val="20"/>
                <w:szCs w:val="20"/>
              </w:rPr>
            </w:pPr>
          </w:p>
        </w:tc>
        <w:tc>
          <w:tcPr>
            <w:tcW w:w="0" w:type="auto"/>
            <w:vAlign w:val="center"/>
            <w:hideMark/>
          </w:tcPr>
          <w:p w14:paraId="684508A6" w14:textId="77777777" w:rsidR="00000000" w:rsidRDefault="00195E73">
            <w:pPr>
              <w:rPr>
                <w:rFonts w:eastAsia="Times New Roman"/>
                <w:sz w:val="20"/>
                <w:szCs w:val="20"/>
              </w:rPr>
            </w:pPr>
          </w:p>
        </w:tc>
        <w:tc>
          <w:tcPr>
            <w:tcW w:w="0" w:type="auto"/>
            <w:vAlign w:val="center"/>
            <w:hideMark/>
          </w:tcPr>
          <w:p w14:paraId="3B69A43E" w14:textId="77777777" w:rsidR="00000000" w:rsidRDefault="00195E73">
            <w:pPr>
              <w:rPr>
                <w:rFonts w:eastAsia="Times New Roman"/>
                <w:sz w:val="20"/>
                <w:szCs w:val="20"/>
              </w:rPr>
            </w:pPr>
          </w:p>
        </w:tc>
      </w:tr>
      <w:tr w:rsidR="00000000" w14:paraId="77C2342E" w14:textId="77777777">
        <w:trPr>
          <w:divId w:val="687021843"/>
          <w:jc w:val="center"/>
        </w:trPr>
        <w:tc>
          <w:tcPr>
            <w:tcW w:w="0" w:type="auto"/>
            <w:gridSpan w:val="3"/>
            <w:shd w:val="clear" w:color="auto" w:fill="CCEEFF"/>
            <w:tcMar>
              <w:top w:w="30" w:type="dxa"/>
              <w:left w:w="20" w:type="dxa"/>
              <w:bottom w:w="30" w:type="dxa"/>
              <w:right w:w="20" w:type="dxa"/>
            </w:tcMar>
            <w:vAlign w:val="bottom"/>
            <w:hideMark/>
          </w:tcPr>
          <w:p w14:paraId="3AC8C1DD" w14:textId="77777777" w:rsidR="00000000" w:rsidRDefault="00195E73">
            <w:pPr>
              <w:rPr>
                <w:rFonts w:eastAsia="Times New Roman"/>
              </w:rPr>
            </w:pPr>
            <w:r>
              <w:rPr>
                <w:rFonts w:eastAsia="Times New Roman"/>
                <w:color w:val="000000"/>
                <w:sz w:val="20"/>
                <w:szCs w:val="20"/>
              </w:rPr>
              <w:t>     Equity in loss (income) of subsidiar</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42C21400" w14:textId="77777777" w:rsidR="00000000" w:rsidRDefault="00195E73">
            <w:pPr>
              <w:jc w:val="right"/>
              <w:rPr>
                <w:rFonts w:eastAsia="Times New Roman"/>
              </w:rPr>
            </w:pPr>
            <w:r>
              <w:rPr>
                <w:rFonts w:eastAsia="Times New Roman"/>
                <w:color w:val="000000"/>
                <w:sz w:val="20"/>
                <w:szCs w:val="20"/>
              </w:rPr>
              <w:t>363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A86203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8F8EA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5FF22E" w14:textId="77777777" w:rsidR="00000000" w:rsidRDefault="00195E73">
            <w:pPr>
              <w:jc w:val="right"/>
              <w:rPr>
                <w:rFonts w:eastAsia="Times New Roman"/>
              </w:rPr>
            </w:pPr>
            <w:r>
              <w:rPr>
                <w:rFonts w:eastAsia="Times New Roman"/>
                <w:color w:val="000000"/>
                <w:sz w:val="20"/>
                <w:szCs w:val="20"/>
              </w:rPr>
              <w:t>(2,200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7DACF5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051F7F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A31FD1" w14:textId="77777777" w:rsidR="00000000" w:rsidRDefault="00195E73">
            <w:pPr>
              <w:jc w:val="right"/>
              <w:rPr>
                <w:rFonts w:eastAsia="Times New Roman"/>
              </w:rPr>
            </w:pPr>
            <w:r>
              <w:rPr>
                <w:rFonts w:eastAsia="Times New Roman"/>
                <w:color w:val="000000"/>
                <w:sz w:val="20"/>
                <w:szCs w:val="20"/>
              </w:rPr>
              <w:t>(2,763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408614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088BE28" w14:textId="77777777" w:rsidR="00000000" w:rsidRDefault="00195E73">
            <w:pPr>
              <w:rPr>
                <w:rFonts w:eastAsia="Times New Roman"/>
                <w:sz w:val="20"/>
                <w:szCs w:val="20"/>
              </w:rPr>
            </w:pPr>
          </w:p>
        </w:tc>
        <w:tc>
          <w:tcPr>
            <w:tcW w:w="0" w:type="auto"/>
            <w:vAlign w:val="center"/>
            <w:hideMark/>
          </w:tcPr>
          <w:p w14:paraId="18F3C499" w14:textId="77777777" w:rsidR="00000000" w:rsidRDefault="00195E73">
            <w:pPr>
              <w:rPr>
                <w:rFonts w:eastAsia="Times New Roman"/>
                <w:sz w:val="20"/>
                <w:szCs w:val="20"/>
              </w:rPr>
            </w:pPr>
          </w:p>
        </w:tc>
        <w:tc>
          <w:tcPr>
            <w:tcW w:w="0" w:type="auto"/>
            <w:vAlign w:val="center"/>
            <w:hideMark/>
          </w:tcPr>
          <w:p w14:paraId="5AC9E0AC" w14:textId="77777777" w:rsidR="00000000" w:rsidRDefault="00195E73">
            <w:pPr>
              <w:rPr>
                <w:rFonts w:eastAsia="Times New Roman"/>
                <w:sz w:val="20"/>
                <w:szCs w:val="20"/>
              </w:rPr>
            </w:pPr>
          </w:p>
        </w:tc>
        <w:tc>
          <w:tcPr>
            <w:tcW w:w="0" w:type="auto"/>
            <w:vAlign w:val="center"/>
            <w:hideMark/>
          </w:tcPr>
          <w:p w14:paraId="0DBD0995" w14:textId="77777777" w:rsidR="00000000" w:rsidRDefault="00195E73">
            <w:pPr>
              <w:rPr>
                <w:rFonts w:eastAsia="Times New Roman"/>
                <w:sz w:val="20"/>
                <w:szCs w:val="20"/>
              </w:rPr>
            </w:pPr>
          </w:p>
        </w:tc>
        <w:tc>
          <w:tcPr>
            <w:tcW w:w="0" w:type="auto"/>
            <w:vAlign w:val="center"/>
            <w:hideMark/>
          </w:tcPr>
          <w:p w14:paraId="282541E4" w14:textId="77777777" w:rsidR="00000000" w:rsidRDefault="00195E73">
            <w:pPr>
              <w:rPr>
                <w:rFonts w:eastAsia="Times New Roman"/>
                <w:sz w:val="20"/>
                <w:szCs w:val="20"/>
              </w:rPr>
            </w:pPr>
          </w:p>
        </w:tc>
        <w:tc>
          <w:tcPr>
            <w:tcW w:w="0" w:type="auto"/>
            <w:vAlign w:val="center"/>
            <w:hideMark/>
          </w:tcPr>
          <w:p w14:paraId="385D9A7A" w14:textId="77777777" w:rsidR="00000000" w:rsidRDefault="00195E73">
            <w:pPr>
              <w:rPr>
                <w:rFonts w:eastAsia="Times New Roman"/>
                <w:sz w:val="20"/>
                <w:szCs w:val="20"/>
              </w:rPr>
            </w:pPr>
          </w:p>
        </w:tc>
        <w:tc>
          <w:tcPr>
            <w:tcW w:w="0" w:type="auto"/>
            <w:vAlign w:val="center"/>
            <w:hideMark/>
          </w:tcPr>
          <w:p w14:paraId="79FBFB34" w14:textId="77777777" w:rsidR="00000000" w:rsidRDefault="00195E73">
            <w:pPr>
              <w:rPr>
                <w:rFonts w:eastAsia="Times New Roman"/>
                <w:sz w:val="20"/>
                <w:szCs w:val="20"/>
              </w:rPr>
            </w:pPr>
          </w:p>
        </w:tc>
        <w:tc>
          <w:tcPr>
            <w:tcW w:w="0" w:type="auto"/>
            <w:vAlign w:val="center"/>
            <w:hideMark/>
          </w:tcPr>
          <w:p w14:paraId="52E105A2" w14:textId="77777777" w:rsidR="00000000" w:rsidRDefault="00195E73">
            <w:pPr>
              <w:rPr>
                <w:rFonts w:eastAsia="Times New Roman"/>
                <w:sz w:val="20"/>
                <w:szCs w:val="20"/>
              </w:rPr>
            </w:pPr>
          </w:p>
        </w:tc>
        <w:tc>
          <w:tcPr>
            <w:tcW w:w="0" w:type="auto"/>
            <w:vAlign w:val="center"/>
            <w:hideMark/>
          </w:tcPr>
          <w:p w14:paraId="1DA1E88D" w14:textId="77777777" w:rsidR="00000000" w:rsidRDefault="00195E73">
            <w:pPr>
              <w:rPr>
                <w:rFonts w:eastAsia="Times New Roman"/>
                <w:sz w:val="20"/>
                <w:szCs w:val="20"/>
              </w:rPr>
            </w:pPr>
          </w:p>
        </w:tc>
        <w:tc>
          <w:tcPr>
            <w:tcW w:w="0" w:type="auto"/>
            <w:vAlign w:val="center"/>
            <w:hideMark/>
          </w:tcPr>
          <w:p w14:paraId="676334C0" w14:textId="77777777" w:rsidR="00000000" w:rsidRDefault="00195E73">
            <w:pPr>
              <w:rPr>
                <w:rFonts w:eastAsia="Times New Roman"/>
                <w:sz w:val="20"/>
                <w:szCs w:val="20"/>
              </w:rPr>
            </w:pPr>
          </w:p>
        </w:tc>
        <w:tc>
          <w:tcPr>
            <w:tcW w:w="0" w:type="auto"/>
            <w:vAlign w:val="center"/>
            <w:hideMark/>
          </w:tcPr>
          <w:p w14:paraId="63EB872F" w14:textId="77777777" w:rsidR="00000000" w:rsidRDefault="00195E73">
            <w:pPr>
              <w:rPr>
                <w:rFonts w:eastAsia="Times New Roman"/>
                <w:sz w:val="20"/>
                <w:szCs w:val="20"/>
              </w:rPr>
            </w:pPr>
          </w:p>
        </w:tc>
        <w:tc>
          <w:tcPr>
            <w:tcW w:w="0" w:type="auto"/>
            <w:vAlign w:val="center"/>
            <w:hideMark/>
          </w:tcPr>
          <w:p w14:paraId="5DAE0351" w14:textId="77777777" w:rsidR="00000000" w:rsidRDefault="00195E73">
            <w:pPr>
              <w:rPr>
                <w:rFonts w:eastAsia="Times New Roman"/>
                <w:sz w:val="20"/>
                <w:szCs w:val="20"/>
              </w:rPr>
            </w:pPr>
          </w:p>
        </w:tc>
      </w:tr>
      <w:tr w:rsidR="00000000" w14:paraId="79D2930C" w14:textId="77777777">
        <w:trPr>
          <w:divId w:val="687021843"/>
          <w:jc w:val="center"/>
        </w:trPr>
        <w:tc>
          <w:tcPr>
            <w:tcW w:w="0" w:type="auto"/>
            <w:gridSpan w:val="3"/>
            <w:shd w:val="clear" w:color="auto" w:fill="FFFFFF"/>
            <w:tcMar>
              <w:top w:w="30" w:type="dxa"/>
              <w:left w:w="20" w:type="dxa"/>
              <w:bottom w:w="30" w:type="dxa"/>
              <w:right w:w="20" w:type="dxa"/>
            </w:tcMar>
            <w:vAlign w:val="bottom"/>
            <w:hideMark/>
          </w:tcPr>
          <w:p w14:paraId="7058CF48"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(Gain) loss on disposition of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A14DFB1" w14:textId="77777777" w:rsidR="00000000" w:rsidRDefault="00195E73">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DD6376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E17794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9467FE" w14:textId="77777777" w:rsidR="00000000" w:rsidRDefault="00195E73">
            <w:pPr>
              <w:jc w:val="right"/>
              <w:rPr>
                <w:rFonts w:eastAsia="Times New Roman"/>
              </w:rPr>
            </w:pPr>
            <w:r>
              <w:rPr>
                <w:rFonts w:eastAsia="Times New Roman"/>
                <w:color w:val="000000"/>
                <w:sz w:val="20"/>
                <w:szCs w:val="20"/>
              </w:rPr>
              <w:t>(23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96654E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5D36B99"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D38BF9"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0AD9C8F"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F5BF044" w14:textId="77777777" w:rsidR="00000000" w:rsidRDefault="00195E73">
            <w:pPr>
              <w:rPr>
                <w:rFonts w:eastAsia="Times New Roman"/>
                <w:sz w:val="20"/>
                <w:szCs w:val="20"/>
              </w:rPr>
            </w:pPr>
          </w:p>
        </w:tc>
        <w:tc>
          <w:tcPr>
            <w:tcW w:w="0" w:type="auto"/>
            <w:vAlign w:val="center"/>
            <w:hideMark/>
          </w:tcPr>
          <w:p w14:paraId="651D4422" w14:textId="77777777" w:rsidR="00000000" w:rsidRDefault="00195E73">
            <w:pPr>
              <w:rPr>
                <w:rFonts w:eastAsia="Times New Roman"/>
                <w:sz w:val="20"/>
                <w:szCs w:val="20"/>
              </w:rPr>
            </w:pPr>
          </w:p>
        </w:tc>
        <w:tc>
          <w:tcPr>
            <w:tcW w:w="0" w:type="auto"/>
            <w:vAlign w:val="center"/>
            <w:hideMark/>
          </w:tcPr>
          <w:p w14:paraId="2ECBA79E" w14:textId="77777777" w:rsidR="00000000" w:rsidRDefault="00195E73">
            <w:pPr>
              <w:rPr>
                <w:rFonts w:eastAsia="Times New Roman"/>
                <w:sz w:val="20"/>
                <w:szCs w:val="20"/>
              </w:rPr>
            </w:pPr>
          </w:p>
        </w:tc>
        <w:tc>
          <w:tcPr>
            <w:tcW w:w="0" w:type="auto"/>
            <w:vAlign w:val="center"/>
            <w:hideMark/>
          </w:tcPr>
          <w:p w14:paraId="55EA1504" w14:textId="77777777" w:rsidR="00000000" w:rsidRDefault="00195E73">
            <w:pPr>
              <w:rPr>
                <w:rFonts w:eastAsia="Times New Roman"/>
                <w:sz w:val="20"/>
                <w:szCs w:val="20"/>
              </w:rPr>
            </w:pPr>
          </w:p>
        </w:tc>
        <w:tc>
          <w:tcPr>
            <w:tcW w:w="0" w:type="auto"/>
            <w:vAlign w:val="center"/>
            <w:hideMark/>
          </w:tcPr>
          <w:p w14:paraId="10351246" w14:textId="77777777" w:rsidR="00000000" w:rsidRDefault="00195E73">
            <w:pPr>
              <w:rPr>
                <w:rFonts w:eastAsia="Times New Roman"/>
                <w:sz w:val="20"/>
                <w:szCs w:val="20"/>
              </w:rPr>
            </w:pPr>
          </w:p>
        </w:tc>
        <w:tc>
          <w:tcPr>
            <w:tcW w:w="0" w:type="auto"/>
            <w:vAlign w:val="center"/>
            <w:hideMark/>
          </w:tcPr>
          <w:p w14:paraId="5F0AB668" w14:textId="77777777" w:rsidR="00000000" w:rsidRDefault="00195E73">
            <w:pPr>
              <w:rPr>
                <w:rFonts w:eastAsia="Times New Roman"/>
                <w:sz w:val="20"/>
                <w:szCs w:val="20"/>
              </w:rPr>
            </w:pPr>
          </w:p>
        </w:tc>
        <w:tc>
          <w:tcPr>
            <w:tcW w:w="0" w:type="auto"/>
            <w:vAlign w:val="center"/>
            <w:hideMark/>
          </w:tcPr>
          <w:p w14:paraId="3904AFB7" w14:textId="77777777" w:rsidR="00000000" w:rsidRDefault="00195E73">
            <w:pPr>
              <w:rPr>
                <w:rFonts w:eastAsia="Times New Roman"/>
                <w:sz w:val="20"/>
                <w:szCs w:val="20"/>
              </w:rPr>
            </w:pPr>
          </w:p>
        </w:tc>
        <w:tc>
          <w:tcPr>
            <w:tcW w:w="0" w:type="auto"/>
            <w:vAlign w:val="center"/>
            <w:hideMark/>
          </w:tcPr>
          <w:p w14:paraId="03D5C398" w14:textId="77777777" w:rsidR="00000000" w:rsidRDefault="00195E73">
            <w:pPr>
              <w:rPr>
                <w:rFonts w:eastAsia="Times New Roman"/>
                <w:sz w:val="20"/>
                <w:szCs w:val="20"/>
              </w:rPr>
            </w:pPr>
          </w:p>
        </w:tc>
        <w:tc>
          <w:tcPr>
            <w:tcW w:w="0" w:type="auto"/>
            <w:vAlign w:val="center"/>
            <w:hideMark/>
          </w:tcPr>
          <w:p w14:paraId="3ABD55F7" w14:textId="77777777" w:rsidR="00000000" w:rsidRDefault="00195E73">
            <w:pPr>
              <w:rPr>
                <w:rFonts w:eastAsia="Times New Roman"/>
                <w:sz w:val="20"/>
                <w:szCs w:val="20"/>
              </w:rPr>
            </w:pPr>
          </w:p>
        </w:tc>
        <w:tc>
          <w:tcPr>
            <w:tcW w:w="0" w:type="auto"/>
            <w:vAlign w:val="center"/>
            <w:hideMark/>
          </w:tcPr>
          <w:p w14:paraId="0C97C3F8" w14:textId="77777777" w:rsidR="00000000" w:rsidRDefault="00195E73">
            <w:pPr>
              <w:rPr>
                <w:rFonts w:eastAsia="Times New Roman"/>
                <w:sz w:val="20"/>
                <w:szCs w:val="20"/>
              </w:rPr>
            </w:pPr>
          </w:p>
        </w:tc>
        <w:tc>
          <w:tcPr>
            <w:tcW w:w="0" w:type="auto"/>
            <w:vAlign w:val="center"/>
            <w:hideMark/>
          </w:tcPr>
          <w:p w14:paraId="3545AF67" w14:textId="77777777" w:rsidR="00000000" w:rsidRDefault="00195E73">
            <w:pPr>
              <w:rPr>
                <w:rFonts w:eastAsia="Times New Roman"/>
                <w:sz w:val="20"/>
                <w:szCs w:val="20"/>
              </w:rPr>
            </w:pPr>
          </w:p>
        </w:tc>
        <w:tc>
          <w:tcPr>
            <w:tcW w:w="0" w:type="auto"/>
            <w:vAlign w:val="center"/>
            <w:hideMark/>
          </w:tcPr>
          <w:p w14:paraId="4D66BFA2" w14:textId="77777777" w:rsidR="00000000" w:rsidRDefault="00195E73">
            <w:pPr>
              <w:rPr>
                <w:rFonts w:eastAsia="Times New Roman"/>
                <w:sz w:val="20"/>
                <w:szCs w:val="20"/>
              </w:rPr>
            </w:pPr>
          </w:p>
        </w:tc>
      </w:tr>
      <w:tr w:rsidR="00000000" w14:paraId="4B462336" w14:textId="77777777">
        <w:trPr>
          <w:divId w:val="687021843"/>
          <w:jc w:val="center"/>
        </w:trPr>
        <w:tc>
          <w:tcPr>
            <w:tcW w:w="0" w:type="auto"/>
            <w:gridSpan w:val="3"/>
            <w:shd w:val="clear" w:color="auto" w:fill="CCEEFF"/>
            <w:tcMar>
              <w:top w:w="30" w:type="dxa"/>
              <w:left w:w="20" w:type="dxa"/>
              <w:bottom w:w="30" w:type="dxa"/>
              <w:right w:w="20" w:type="dxa"/>
            </w:tcMar>
            <w:vAlign w:val="bottom"/>
            <w:hideMark/>
          </w:tcPr>
          <w:p w14:paraId="1E603477" w14:textId="77777777" w:rsidR="00000000" w:rsidRDefault="00195E73">
            <w:pPr>
              <w:rPr>
                <w:rFonts w:eastAsia="Times New Roman"/>
              </w:rPr>
            </w:pPr>
            <w:r>
              <w:rPr>
                <w:rFonts w:eastAsia="Times New Roman"/>
                <w:color w:val="000000"/>
                <w:sz w:val="20"/>
                <w:szCs w:val="20"/>
              </w:rPr>
              <w:t>     Investment gain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BC96B81" w14:textId="77777777" w:rsidR="00000000" w:rsidRDefault="00195E73">
            <w:pPr>
              <w:jc w:val="right"/>
              <w:rPr>
                <w:rFonts w:eastAsia="Times New Roman"/>
              </w:rPr>
            </w:pPr>
            <w:r>
              <w:rPr>
                <w:rFonts w:eastAsia="Times New Roman"/>
                <w:color w:val="000000"/>
                <w:sz w:val="20"/>
                <w:szCs w:val="20"/>
              </w:rPr>
              <w:t>377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2E2F7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BE0E9E2"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797FA2" w14:textId="77777777" w:rsidR="00000000" w:rsidRDefault="00195E73">
            <w:pPr>
              <w:jc w:val="right"/>
              <w:rPr>
                <w:rFonts w:eastAsia="Times New Roman"/>
              </w:rPr>
            </w:pPr>
            <w:r>
              <w:rPr>
                <w:rFonts w:eastAsia="Times New Roman"/>
                <w:color w:val="000000"/>
                <w:sz w:val="20"/>
                <w:szCs w:val="20"/>
              </w:rPr>
              <w:t>389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6223F8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AEAB636"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5D35F8"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7EC4AC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EFD8C68" w14:textId="77777777" w:rsidR="00000000" w:rsidRDefault="00195E73">
            <w:pPr>
              <w:rPr>
                <w:rFonts w:eastAsia="Times New Roman"/>
                <w:sz w:val="20"/>
                <w:szCs w:val="20"/>
              </w:rPr>
            </w:pPr>
          </w:p>
        </w:tc>
        <w:tc>
          <w:tcPr>
            <w:tcW w:w="0" w:type="auto"/>
            <w:vAlign w:val="center"/>
            <w:hideMark/>
          </w:tcPr>
          <w:p w14:paraId="40006300" w14:textId="77777777" w:rsidR="00000000" w:rsidRDefault="00195E73">
            <w:pPr>
              <w:rPr>
                <w:rFonts w:eastAsia="Times New Roman"/>
                <w:sz w:val="20"/>
                <w:szCs w:val="20"/>
              </w:rPr>
            </w:pPr>
          </w:p>
        </w:tc>
        <w:tc>
          <w:tcPr>
            <w:tcW w:w="0" w:type="auto"/>
            <w:vAlign w:val="center"/>
            <w:hideMark/>
          </w:tcPr>
          <w:p w14:paraId="69E2BC15" w14:textId="77777777" w:rsidR="00000000" w:rsidRDefault="00195E73">
            <w:pPr>
              <w:rPr>
                <w:rFonts w:eastAsia="Times New Roman"/>
                <w:sz w:val="20"/>
                <w:szCs w:val="20"/>
              </w:rPr>
            </w:pPr>
          </w:p>
        </w:tc>
        <w:tc>
          <w:tcPr>
            <w:tcW w:w="0" w:type="auto"/>
            <w:vAlign w:val="center"/>
            <w:hideMark/>
          </w:tcPr>
          <w:p w14:paraId="3A565D9A" w14:textId="77777777" w:rsidR="00000000" w:rsidRDefault="00195E73">
            <w:pPr>
              <w:rPr>
                <w:rFonts w:eastAsia="Times New Roman"/>
                <w:sz w:val="20"/>
                <w:szCs w:val="20"/>
              </w:rPr>
            </w:pPr>
          </w:p>
        </w:tc>
        <w:tc>
          <w:tcPr>
            <w:tcW w:w="0" w:type="auto"/>
            <w:vAlign w:val="center"/>
            <w:hideMark/>
          </w:tcPr>
          <w:p w14:paraId="1E51ACF9" w14:textId="77777777" w:rsidR="00000000" w:rsidRDefault="00195E73">
            <w:pPr>
              <w:rPr>
                <w:rFonts w:eastAsia="Times New Roman"/>
                <w:sz w:val="20"/>
                <w:szCs w:val="20"/>
              </w:rPr>
            </w:pPr>
          </w:p>
        </w:tc>
        <w:tc>
          <w:tcPr>
            <w:tcW w:w="0" w:type="auto"/>
            <w:vAlign w:val="center"/>
            <w:hideMark/>
          </w:tcPr>
          <w:p w14:paraId="3E657FA2" w14:textId="77777777" w:rsidR="00000000" w:rsidRDefault="00195E73">
            <w:pPr>
              <w:rPr>
                <w:rFonts w:eastAsia="Times New Roman"/>
                <w:sz w:val="20"/>
                <w:szCs w:val="20"/>
              </w:rPr>
            </w:pPr>
          </w:p>
        </w:tc>
        <w:tc>
          <w:tcPr>
            <w:tcW w:w="0" w:type="auto"/>
            <w:vAlign w:val="center"/>
            <w:hideMark/>
          </w:tcPr>
          <w:p w14:paraId="56DE4603" w14:textId="77777777" w:rsidR="00000000" w:rsidRDefault="00195E73">
            <w:pPr>
              <w:rPr>
                <w:rFonts w:eastAsia="Times New Roman"/>
                <w:sz w:val="20"/>
                <w:szCs w:val="20"/>
              </w:rPr>
            </w:pPr>
          </w:p>
        </w:tc>
        <w:tc>
          <w:tcPr>
            <w:tcW w:w="0" w:type="auto"/>
            <w:vAlign w:val="center"/>
            <w:hideMark/>
          </w:tcPr>
          <w:p w14:paraId="2830CAF7" w14:textId="77777777" w:rsidR="00000000" w:rsidRDefault="00195E73">
            <w:pPr>
              <w:rPr>
                <w:rFonts w:eastAsia="Times New Roman"/>
                <w:sz w:val="20"/>
                <w:szCs w:val="20"/>
              </w:rPr>
            </w:pPr>
          </w:p>
        </w:tc>
        <w:tc>
          <w:tcPr>
            <w:tcW w:w="0" w:type="auto"/>
            <w:vAlign w:val="center"/>
            <w:hideMark/>
          </w:tcPr>
          <w:p w14:paraId="72E73274" w14:textId="77777777" w:rsidR="00000000" w:rsidRDefault="00195E73">
            <w:pPr>
              <w:rPr>
                <w:rFonts w:eastAsia="Times New Roman"/>
                <w:sz w:val="20"/>
                <w:szCs w:val="20"/>
              </w:rPr>
            </w:pPr>
          </w:p>
        </w:tc>
        <w:tc>
          <w:tcPr>
            <w:tcW w:w="0" w:type="auto"/>
            <w:vAlign w:val="center"/>
            <w:hideMark/>
          </w:tcPr>
          <w:p w14:paraId="2A878C58" w14:textId="77777777" w:rsidR="00000000" w:rsidRDefault="00195E73">
            <w:pPr>
              <w:rPr>
                <w:rFonts w:eastAsia="Times New Roman"/>
                <w:sz w:val="20"/>
                <w:szCs w:val="20"/>
              </w:rPr>
            </w:pPr>
          </w:p>
        </w:tc>
        <w:tc>
          <w:tcPr>
            <w:tcW w:w="0" w:type="auto"/>
            <w:vAlign w:val="center"/>
            <w:hideMark/>
          </w:tcPr>
          <w:p w14:paraId="2D1FDDB8" w14:textId="77777777" w:rsidR="00000000" w:rsidRDefault="00195E73">
            <w:pPr>
              <w:rPr>
                <w:rFonts w:eastAsia="Times New Roman"/>
                <w:sz w:val="20"/>
                <w:szCs w:val="20"/>
              </w:rPr>
            </w:pPr>
          </w:p>
        </w:tc>
        <w:tc>
          <w:tcPr>
            <w:tcW w:w="0" w:type="auto"/>
            <w:vAlign w:val="center"/>
            <w:hideMark/>
          </w:tcPr>
          <w:p w14:paraId="3A8995D7" w14:textId="77777777" w:rsidR="00000000" w:rsidRDefault="00195E73">
            <w:pPr>
              <w:rPr>
                <w:rFonts w:eastAsia="Times New Roman"/>
                <w:sz w:val="20"/>
                <w:szCs w:val="20"/>
              </w:rPr>
            </w:pPr>
          </w:p>
        </w:tc>
      </w:tr>
      <w:tr w:rsidR="00000000" w14:paraId="18E4176A" w14:textId="77777777">
        <w:trPr>
          <w:divId w:val="687021843"/>
          <w:jc w:val="center"/>
        </w:trPr>
        <w:tc>
          <w:tcPr>
            <w:tcW w:w="0" w:type="auto"/>
            <w:gridSpan w:val="3"/>
            <w:shd w:val="clear" w:color="auto" w:fill="FFFFFF"/>
            <w:tcMar>
              <w:top w:w="30" w:type="dxa"/>
              <w:left w:w="20" w:type="dxa"/>
              <w:bottom w:w="30" w:type="dxa"/>
              <w:right w:w="20" w:type="dxa"/>
            </w:tcMar>
            <w:vAlign w:val="bottom"/>
            <w:hideMark/>
          </w:tcPr>
          <w:p w14:paraId="5CC19ABE" w14:textId="77777777" w:rsidR="00000000" w:rsidRDefault="00195E73">
            <w:pPr>
              <w:rPr>
                <w:rFonts w:eastAsia="Times New Roman"/>
              </w:rPr>
            </w:pPr>
            <w:r>
              <w:rPr>
                <w:rFonts w:eastAsia="Times New Roman"/>
                <w:color w:val="000000"/>
                <w:sz w:val="20"/>
                <w:szCs w:val="20"/>
              </w:rPr>
              <w:t>     Other,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0A5A59D9" w14:textId="77777777" w:rsidR="00000000" w:rsidRDefault="00195E73">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7357FB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A7298C7"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5BF4B1"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7C7017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88F2F6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1A7D14" w14:textId="77777777" w:rsidR="00000000" w:rsidRDefault="00195E73">
            <w:pPr>
              <w:jc w:val="right"/>
              <w:rPr>
                <w:rFonts w:eastAsia="Times New Roman"/>
              </w:rPr>
            </w:pPr>
            <w:r>
              <w:rPr>
                <w:rFonts w:eastAsia="Times New Roman"/>
                <w:color w:val="000000"/>
                <w:sz w:val="20"/>
                <w:szCs w:val="20"/>
              </w:rPr>
              <w:t>(36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B3D290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45AE2CD" w14:textId="77777777" w:rsidR="00000000" w:rsidRDefault="00195E73">
            <w:pPr>
              <w:rPr>
                <w:rFonts w:eastAsia="Times New Roman"/>
                <w:sz w:val="20"/>
                <w:szCs w:val="20"/>
              </w:rPr>
            </w:pPr>
          </w:p>
        </w:tc>
        <w:tc>
          <w:tcPr>
            <w:tcW w:w="0" w:type="auto"/>
            <w:vAlign w:val="center"/>
            <w:hideMark/>
          </w:tcPr>
          <w:p w14:paraId="5DBBD1C6" w14:textId="77777777" w:rsidR="00000000" w:rsidRDefault="00195E73">
            <w:pPr>
              <w:rPr>
                <w:rFonts w:eastAsia="Times New Roman"/>
                <w:sz w:val="20"/>
                <w:szCs w:val="20"/>
              </w:rPr>
            </w:pPr>
          </w:p>
        </w:tc>
        <w:tc>
          <w:tcPr>
            <w:tcW w:w="0" w:type="auto"/>
            <w:vAlign w:val="center"/>
            <w:hideMark/>
          </w:tcPr>
          <w:p w14:paraId="096B8A26" w14:textId="77777777" w:rsidR="00000000" w:rsidRDefault="00195E73">
            <w:pPr>
              <w:rPr>
                <w:rFonts w:eastAsia="Times New Roman"/>
                <w:sz w:val="20"/>
                <w:szCs w:val="20"/>
              </w:rPr>
            </w:pPr>
          </w:p>
        </w:tc>
        <w:tc>
          <w:tcPr>
            <w:tcW w:w="0" w:type="auto"/>
            <w:vAlign w:val="center"/>
            <w:hideMark/>
          </w:tcPr>
          <w:p w14:paraId="7D9F98E3" w14:textId="77777777" w:rsidR="00000000" w:rsidRDefault="00195E73">
            <w:pPr>
              <w:rPr>
                <w:rFonts w:eastAsia="Times New Roman"/>
                <w:sz w:val="20"/>
                <w:szCs w:val="20"/>
              </w:rPr>
            </w:pPr>
          </w:p>
        </w:tc>
        <w:tc>
          <w:tcPr>
            <w:tcW w:w="0" w:type="auto"/>
            <w:vAlign w:val="center"/>
            <w:hideMark/>
          </w:tcPr>
          <w:p w14:paraId="6EB9286F" w14:textId="77777777" w:rsidR="00000000" w:rsidRDefault="00195E73">
            <w:pPr>
              <w:rPr>
                <w:rFonts w:eastAsia="Times New Roman"/>
                <w:sz w:val="20"/>
                <w:szCs w:val="20"/>
              </w:rPr>
            </w:pPr>
          </w:p>
        </w:tc>
        <w:tc>
          <w:tcPr>
            <w:tcW w:w="0" w:type="auto"/>
            <w:vAlign w:val="center"/>
            <w:hideMark/>
          </w:tcPr>
          <w:p w14:paraId="505120C9" w14:textId="77777777" w:rsidR="00000000" w:rsidRDefault="00195E73">
            <w:pPr>
              <w:rPr>
                <w:rFonts w:eastAsia="Times New Roman"/>
                <w:sz w:val="20"/>
                <w:szCs w:val="20"/>
              </w:rPr>
            </w:pPr>
          </w:p>
        </w:tc>
        <w:tc>
          <w:tcPr>
            <w:tcW w:w="0" w:type="auto"/>
            <w:vAlign w:val="center"/>
            <w:hideMark/>
          </w:tcPr>
          <w:p w14:paraId="53639F9A" w14:textId="77777777" w:rsidR="00000000" w:rsidRDefault="00195E73">
            <w:pPr>
              <w:rPr>
                <w:rFonts w:eastAsia="Times New Roman"/>
                <w:sz w:val="20"/>
                <w:szCs w:val="20"/>
              </w:rPr>
            </w:pPr>
          </w:p>
        </w:tc>
        <w:tc>
          <w:tcPr>
            <w:tcW w:w="0" w:type="auto"/>
            <w:vAlign w:val="center"/>
            <w:hideMark/>
          </w:tcPr>
          <w:p w14:paraId="2FEEB5F5" w14:textId="77777777" w:rsidR="00000000" w:rsidRDefault="00195E73">
            <w:pPr>
              <w:rPr>
                <w:rFonts w:eastAsia="Times New Roman"/>
                <w:sz w:val="20"/>
                <w:szCs w:val="20"/>
              </w:rPr>
            </w:pPr>
          </w:p>
        </w:tc>
        <w:tc>
          <w:tcPr>
            <w:tcW w:w="0" w:type="auto"/>
            <w:vAlign w:val="center"/>
            <w:hideMark/>
          </w:tcPr>
          <w:p w14:paraId="73C737C4" w14:textId="77777777" w:rsidR="00000000" w:rsidRDefault="00195E73">
            <w:pPr>
              <w:rPr>
                <w:rFonts w:eastAsia="Times New Roman"/>
                <w:sz w:val="20"/>
                <w:szCs w:val="20"/>
              </w:rPr>
            </w:pPr>
          </w:p>
        </w:tc>
        <w:tc>
          <w:tcPr>
            <w:tcW w:w="0" w:type="auto"/>
            <w:vAlign w:val="center"/>
            <w:hideMark/>
          </w:tcPr>
          <w:p w14:paraId="3CB34A26" w14:textId="77777777" w:rsidR="00000000" w:rsidRDefault="00195E73">
            <w:pPr>
              <w:rPr>
                <w:rFonts w:eastAsia="Times New Roman"/>
                <w:sz w:val="20"/>
                <w:szCs w:val="20"/>
              </w:rPr>
            </w:pPr>
          </w:p>
        </w:tc>
        <w:tc>
          <w:tcPr>
            <w:tcW w:w="0" w:type="auto"/>
            <w:vAlign w:val="center"/>
            <w:hideMark/>
          </w:tcPr>
          <w:p w14:paraId="453055AB" w14:textId="77777777" w:rsidR="00000000" w:rsidRDefault="00195E73">
            <w:pPr>
              <w:rPr>
                <w:rFonts w:eastAsia="Times New Roman"/>
                <w:sz w:val="20"/>
                <w:szCs w:val="20"/>
              </w:rPr>
            </w:pPr>
          </w:p>
        </w:tc>
        <w:tc>
          <w:tcPr>
            <w:tcW w:w="0" w:type="auto"/>
            <w:vAlign w:val="center"/>
            <w:hideMark/>
          </w:tcPr>
          <w:p w14:paraId="6A534DFF" w14:textId="77777777" w:rsidR="00000000" w:rsidRDefault="00195E73">
            <w:pPr>
              <w:rPr>
                <w:rFonts w:eastAsia="Times New Roman"/>
                <w:sz w:val="20"/>
                <w:szCs w:val="20"/>
              </w:rPr>
            </w:pPr>
          </w:p>
        </w:tc>
      </w:tr>
      <w:tr w:rsidR="00000000" w14:paraId="50663F16" w14:textId="77777777">
        <w:trPr>
          <w:divId w:val="687021843"/>
          <w:jc w:val="center"/>
        </w:trPr>
        <w:tc>
          <w:tcPr>
            <w:tcW w:w="0" w:type="auto"/>
            <w:gridSpan w:val="3"/>
            <w:shd w:val="clear" w:color="auto" w:fill="CCEEFF"/>
            <w:tcMar>
              <w:top w:w="30" w:type="dxa"/>
              <w:left w:w="20" w:type="dxa"/>
              <w:bottom w:w="30" w:type="dxa"/>
              <w:right w:w="20" w:type="dxa"/>
            </w:tcMar>
            <w:vAlign w:val="bottom"/>
            <w:hideMark/>
          </w:tcPr>
          <w:p w14:paraId="016306F1" w14:textId="77777777" w:rsidR="00000000" w:rsidRDefault="00195E73">
            <w:pPr>
              <w:rPr>
                <w:rFonts w:eastAsia="Times New Roman"/>
              </w:rPr>
            </w:pPr>
            <w:r>
              <w:rPr>
                <w:rFonts w:eastAsia="Times New Roman"/>
                <w:color w:val="000000"/>
                <w:sz w:val="20"/>
                <w:szCs w:val="20"/>
              </w:rPr>
              <w:t>     </w:t>
            </w:r>
            <w:r>
              <w:rPr>
                <w:rFonts w:eastAsia="Times New Roman"/>
                <w:color w:val="000000"/>
                <w:sz w:val="20"/>
                <w:szCs w:val="20"/>
              </w:rPr>
              <w:t>Change in operating assets and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F0DFF53" w14:textId="77777777" w:rsidR="00000000" w:rsidRDefault="00195E73">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70900B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F6CA765"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5EBBC2" w14:textId="77777777" w:rsidR="00000000" w:rsidRDefault="00195E73">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B55FB2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C912D23"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7D5801" w14:textId="77777777" w:rsidR="00000000" w:rsidRDefault="00195E73">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BA5F25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84F7EA6" w14:textId="77777777" w:rsidR="00000000" w:rsidRDefault="00195E73">
            <w:pPr>
              <w:rPr>
                <w:rFonts w:eastAsia="Times New Roman"/>
                <w:sz w:val="20"/>
                <w:szCs w:val="20"/>
              </w:rPr>
            </w:pPr>
          </w:p>
        </w:tc>
        <w:tc>
          <w:tcPr>
            <w:tcW w:w="0" w:type="auto"/>
            <w:vAlign w:val="center"/>
            <w:hideMark/>
          </w:tcPr>
          <w:p w14:paraId="4CBA8E3B" w14:textId="77777777" w:rsidR="00000000" w:rsidRDefault="00195E73">
            <w:pPr>
              <w:rPr>
                <w:rFonts w:eastAsia="Times New Roman"/>
                <w:sz w:val="20"/>
                <w:szCs w:val="20"/>
              </w:rPr>
            </w:pPr>
          </w:p>
        </w:tc>
        <w:tc>
          <w:tcPr>
            <w:tcW w:w="0" w:type="auto"/>
            <w:vAlign w:val="center"/>
            <w:hideMark/>
          </w:tcPr>
          <w:p w14:paraId="2BEF44CD" w14:textId="77777777" w:rsidR="00000000" w:rsidRDefault="00195E73">
            <w:pPr>
              <w:rPr>
                <w:rFonts w:eastAsia="Times New Roman"/>
                <w:sz w:val="20"/>
                <w:szCs w:val="20"/>
              </w:rPr>
            </w:pPr>
          </w:p>
        </w:tc>
        <w:tc>
          <w:tcPr>
            <w:tcW w:w="0" w:type="auto"/>
            <w:vAlign w:val="center"/>
            <w:hideMark/>
          </w:tcPr>
          <w:p w14:paraId="152F3E5F" w14:textId="77777777" w:rsidR="00000000" w:rsidRDefault="00195E73">
            <w:pPr>
              <w:rPr>
                <w:rFonts w:eastAsia="Times New Roman"/>
                <w:sz w:val="20"/>
                <w:szCs w:val="20"/>
              </w:rPr>
            </w:pPr>
          </w:p>
        </w:tc>
        <w:tc>
          <w:tcPr>
            <w:tcW w:w="0" w:type="auto"/>
            <w:vAlign w:val="center"/>
            <w:hideMark/>
          </w:tcPr>
          <w:p w14:paraId="50788A71" w14:textId="77777777" w:rsidR="00000000" w:rsidRDefault="00195E73">
            <w:pPr>
              <w:rPr>
                <w:rFonts w:eastAsia="Times New Roman"/>
                <w:sz w:val="20"/>
                <w:szCs w:val="20"/>
              </w:rPr>
            </w:pPr>
          </w:p>
        </w:tc>
        <w:tc>
          <w:tcPr>
            <w:tcW w:w="0" w:type="auto"/>
            <w:vAlign w:val="center"/>
            <w:hideMark/>
          </w:tcPr>
          <w:p w14:paraId="3B63F947" w14:textId="77777777" w:rsidR="00000000" w:rsidRDefault="00195E73">
            <w:pPr>
              <w:rPr>
                <w:rFonts w:eastAsia="Times New Roman"/>
                <w:sz w:val="20"/>
                <w:szCs w:val="20"/>
              </w:rPr>
            </w:pPr>
          </w:p>
        </w:tc>
        <w:tc>
          <w:tcPr>
            <w:tcW w:w="0" w:type="auto"/>
            <w:vAlign w:val="center"/>
            <w:hideMark/>
          </w:tcPr>
          <w:p w14:paraId="055EE5AC" w14:textId="77777777" w:rsidR="00000000" w:rsidRDefault="00195E73">
            <w:pPr>
              <w:rPr>
                <w:rFonts w:eastAsia="Times New Roman"/>
                <w:sz w:val="20"/>
                <w:szCs w:val="20"/>
              </w:rPr>
            </w:pPr>
          </w:p>
        </w:tc>
        <w:tc>
          <w:tcPr>
            <w:tcW w:w="0" w:type="auto"/>
            <w:vAlign w:val="center"/>
            <w:hideMark/>
          </w:tcPr>
          <w:p w14:paraId="249DB8E6" w14:textId="77777777" w:rsidR="00000000" w:rsidRDefault="00195E73">
            <w:pPr>
              <w:rPr>
                <w:rFonts w:eastAsia="Times New Roman"/>
                <w:sz w:val="20"/>
                <w:szCs w:val="20"/>
              </w:rPr>
            </w:pPr>
          </w:p>
        </w:tc>
        <w:tc>
          <w:tcPr>
            <w:tcW w:w="0" w:type="auto"/>
            <w:vAlign w:val="center"/>
            <w:hideMark/>
          </w:tcPr>
          <w:p w14:paraId="51CB18FC" w14:textId="77777777" w:rsidR="00000000" w:rsidRDefault="00195E73">
            <w:pPr>
              <w:rPr>
                <w:rFonts w:eastAsia="Times New Roman"/>
                <w:sz w:val="20"/>
                <w:szCs w:val="20"/>
              </w:rPr>
            </w:pPr>
          </w:p>
        </w:tc>
        <w:tc>
          <w:tcPr>
            <w:tcW w:w="0" w:type="auto"/>
            <w:vAlign w:val="center"/>
            <w:hideMark/>
          </w:tcPr>
          <w:p w14:paraId="778A55AF" w14:textId="77777777" w:rsidR="00000000" w:rsidRDefault="00195E73">
            <w:pPr>
              <w:rPr>
                <w:rFonts w:eastAsia="Times New Roman"/>
                <w:sz w:val="20"/>
                <w:szCs w:val="20"/>
              </w:rPr>
            </w:pPr>
          </w:p>
        </w:tc>
        <w:tc>
          <w:tcPr>
            <w:tcW w:w="0" w:type="auto"/>
            <w:vAlign w:val="center"/>
            <w:hideMark/>
          </w:tcPr>
          <w:p w14:paraId="1106081F" w14:textId="77777777" w:rsidR="00000000" w:rsidRDefault="00195E73">
            <w:pPr>
              <w:rPr>
                <w:rFonts w:eastAsia="Times New Roman"/>
                <w:sz w:val="20"/>
                <w:szCs w:val="20"/>
              </w:rPr>
            </w:pPr>
          </w:p>
        </w:tc>
        <w:tc>
          <w:tcPr>
            <w:tcW w:w="0" w:type="auto"/>
            <w:vAlign w:val="center"/>
            <w:hideMark/>
          </w:tcPr>
          <w:p w14:paraId="2F725651" w14:textId="77777777" w:rsidR="00000000" w:rsidRDefault="00195E73">
            <w:pPr>
              <w:rPr>
                <w:rFonts w:eastAsia="Times New Roman"/>
                <w:sz w:val="20"/>
                <w:szCs w:val="20"/>
              </w:rPr>
            </w:pPr>
          </w:p>
        </w:tc>
      </w:tr>
      <w:tr w:rsidR="00000000" w14:paraId="6A926DC8" w14:textId="77777777">
        <w:trPr>
          <w:divId w:val="687021843"/>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7D8F0AC7" w14:textId="77777777" w:rsidR="00000000" w:rsidRDefault="00195E73">
            <w:pPr>
              <w:rPr>
                <w:rFonts w:eastAsia="Times New Roman"/>
              </w:rPr>
            </w:pPr>
            <w:r>
              <w:rPr>
                <w:rFonts w:eastAsia="Times New Roman"/>
                <w:color w:val="000000"/>
                <w:sz w:val="20"/>
                <w:szCs w:val="20"/>
              </w:rPr>
              <w:t>Net cash used in operating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9D61AF" w14:textId="77777777" w:rsidR="00000000" w:rsidRDefault="00195E73">
            <w:pPr>
              <w:jc w:val="right"/>
              <w:rPr>
                <w:rFonts w:eastAsia="Times New Roman"/>
              </w:rPr>
            </w:pPr>
            <w:r>
              <w:rPr>
                <w:rFonts w:eastAsia="Times New Roman"/>
                <w:color w:val="000000"/>
                <w:sz w:val="20"/>
                <w:szCs w:val="20"/>
              </w:rPr>
              <w:t>(315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7B97E4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22DF51C"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20F721" w14:textId="77777777" w:rsidR="00000000" w:rsidRDefault="00195E73">
            <w:pPr>
              <w:jc w:val="right"/>
              <w:rPr>
                <w:rFonts w:eastAsia="Times New Roman"/>
              </w:rPr>
            </w:pPr>
            <w:r>
              <w:rPr>
                <w:rFonts w:eastAsia="Times New Roman"/>
                <w:color w:val="000000"/>
                <w:sz w:val="20"/>
                <w:szCs w:val="20"/>
              </w:rPr>
              <w:t>(343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3B5A38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A4F3327"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6A5973" w14:textId="77777777" w:rsidR="00000000" w:rsidRDefault="00195E73">
            <w:pPr>
              <w:jc w:val="right"/>
              <w:rPr>
                <w:rFonts w:eastAsia="Times New Roman"/>
              </w:rPr>
            </w:pPr>
            <w:r>
              <w:rPr>
                <w:rFonts w:eastAsia="Times New Roman"/>
                <w:color w:val="000000"/>
                <w:sz w:val="20"/>
                <w:szCs w:val="20"/>
              </w:rPr>
              <w:t>(324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9F67B6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FE8E42D" w14:textId="77777777" w:rsidR="00000000" w:rsidRDefault="00195E73">
            <w:pPr>
              <w:rPr>
                <w:rFonts w:eastAsia="Times New Roman"/>
                <w:sz w:val="20"/>
                <w:szCs w:val="20"/>
              </w:rPr>
            </w:pPr>
          </w:p>
        </w:tc>
        <w:tc>
          <w:tcPr>
            <w:tcW w:w="0" w:type="auto"/>
            <w:vAlign w:val="center"/>
            <w:hideMark/>
          </w:tcPr>
          <w:p w14:paraId="6486704E" w14:textId="77777777" w:rsidR="00000000" w:rsidRDefault="00195E73">
            <w:pPr>
              <w:rPr>
                <w:rFonts w:eastAsia="Times New Roman"/>
                <w:sz w:val="20"/>
                <w:szCs w:val="20"/>
              </w:rPr>
            </w:pPr>
          </w:p>
        </w:tc>
        <w:tc>
          <w:tcPr>
            <w:tcW w:w="0" w:type="auto"/>
            <w:vAlign w:val="center"/>
            <w:hideMark/>
          </w:tcPr>
          <w:p w14:paraId="148F5800" w14:textId="77777777" w:rsidR="00000000" w:rsidRDefault="00195E73">
            <w:pPr>
              <w:rPr>
                <w:rFonts w:eastAsia="Times New Roman"/>
                <w:sz w:val="20"/>
                <w:szCs w:val="20"/>
              </w:rPr>
            </w:pPr>
          </w:p>
        </w:tc>
        <w:tc>
          <w:tcPr>
            <w:tcW w:w="0" w:type="auto"/>
            <w:vAlign w:val="center"/>
            <w:hideMark/>
          </w:tcPr>
          <w:p w14:paraId="5A2FAE8C" w14:textId="77777777" w:rsidR="00000000" w:rsidRDefault="00195E73">
            <w:pPr>
              <w:rPr>
                <w:rFonts w:eastAsia="Times New Roman"/>
                <w:sz w:val="20"/>
                <w:szCs w:val="20"/>
              </w:rPr>
            </w:pPr>
          </w:p>
        </w:tc>
        <w:tc>
          <w:tcPr>
            <w:tcW w:w="0" w:type="auto"/>
            <w:vAlign w:val="center"/>
            <w:hideMark/>
          </w:tcPr>
          <w:p w14:paraId="724813B0" w14:textId="77777777" w:rsidR="00000000" w:rsidRDefault="00195E73">
            <w:pPr>
              <w:rPr>
                <w:rFonts w:eastAsia="Times New Roman"/>
                <w:sz w:val="20"/>
                <w:szCs w:val="20"/>
              </w:rPr>
            </w:pPr>
          </w:p>
        </w:tc>
        <w:tc>
          <w:tcPr>
            <w:tcW w:w="0" w:type="auto"/>
            <w:vAlign w:val="center"/>
            <w:hideMark/>
          </w:tcPr>
          <w:p w14:paraId="5228372E" w14:textId="77777777" w:rsidR="00000000" w:rsidRDefault="00195E73">
            <w:pPr>
              <w:rPr>
                <w:rFonts w:eastAsia="Times New Roman"/>
                <w:sz w:val="20"/>
                <w:szCs w:val="20"/>
              </w:rPr>
            </w:pPr>
          </w:p>
        </w:tc>
        <w:tc>
          <w:tcPr>
            <w:tcW w:w="0" w:type="auto"/>
            <w:vAlign w:val="center"/>
            <w:hideMark/>
          </w:tcPr>
          <w:p w14:paraId="6BD9BD72" w14:textId="77777777" w:rsidR="00000000" w:rsidRDefault="00195E73">
            <w:pPr>
              <w:rPr>
                <w:rFonts w:eastAsia="Times New Roman"/>
                <w:sz w:val="20"/>
                <w:szCs w:val="20"/>
              </w:rPr>
            </w:pPr>
          </w:p>
        </w:tc>
        <w:tc>
          <w:tcPr>
            <w:tcW w:w="0" w:type="auto"/>
            <w:vAlign w:val="center"/>
            <w:hideMark/>
          </w:tcPr>
          <w:p w14:paraId="1B45A12C" w14:textId="77777777" w:rsidR="00000000" w:rsidRDefault="00195E73">
            <w:pPr>
              <w:rPr>
                <w:rFonts w:eastAsia="Times New Roman"/>
                <w:sz w:val="20"/>
                <w:szCs w:val="20"/>
              </w:rPr>
            </w:pPr>
          </w:p>
        </w:tc>
        <w:tc>
          <w:tcPr>
            <w:tcW w:w="0" w:type="auto"/>
            <w:vAlign w:val="center"/>
            <w:hideMark/>
          </w:tcPr>
          <w:p w14:paraId="5944D80B" w14:textId="77777777" w:rsidR="00000000" w:rsidRDefault="00195E73">
            <w:pPr>
              <w:rPr>
                <w:rFonts w:eastAsia="Times New Roman"/>
                <w:sz w:val="20"/>
                <w:szCs w:val="20"/>
              </w:rPr>
            </w:pPr>
          </w:p>
        </w:tc>
        <w:tc>
          <w:tcPr>
            <w:tcW w:w="0" w:type="auto"/>
            <w:vAlign w:val="center"/>
            <w:hideMark/>
          </w:tcPr>
          <w:p w14:paraId="41210DA4" w14:textId="77777777" w:rsidR="00000000" w:rsidRDefault="00195E73">
            <w:pPr>
              <w:rPr>
                <w:rFonts w:eastAsia="Times New Roman"/>
                <w:sz w:val="20"/>
                <w:szCs w:val="20"/>
              </w:rPr>
            </w:pPr>
          </w:p>
        </w:tc>
        <w:tc>
          <w:tcPr>
            <w:tcW w:w="0" w:type="auto"/>
            <w:vAlign w:val="center"/>
            <w:hideMark/>
          </w:tcPr>
          <w:p w14:paraId="2C1518C8" w14:textId="77777777" w:rsidR="00000000" w:rsidRDefault="00195E73">
            <w:pPr>
              <w:rPr>
                <w:rFonts w:eastAsia="Times New Roman"/>
                <w:sz w:val="20"/>
                <w:szCs w:val="20"/>
              </w:rPr>
            </w:pPr>
          </w:p>
        </w:tc>
        <w:tc>
          <w:tcPr>
            <w:tcW w:w="0" w:type="auto"/>
            <w:vAlign w:val="center"/>
            <w:hideMark/>
          </w:tcPr>
          <w:p w14:paraId="40648015" w14:textId="77777777" w:rsidR="00000000" w:rsidRDefault="00195E73">
            <w:pPr>
              <w:rPr>
                <w:rFonts w:eastAsia="Times New Roman"/>
                <w:sz w:val="20"/>
                <w:szCs w:val="20"/>
              </w:rPr>
            </w:pPr>
          </w:p>
        </w:tc>
      </w:tr>
      <w:tr w:rsidR="00000000" w14:paraId="7DC2DFC7" w14:textId="77777777">
        <w:trPr>
          <w:divId w:val="687021843"/>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0E8A8ECA" w14:textId="77777777" w:rsidR="00000000" w:rsidRDefault="00195E73">
            <w:pPr>
              <w:rPr>
                <w:rFonts w:eastAsia="Times New Roman"/>
              </w:rPr>
            </w:pPr>
            <w:r>
              <w:rPr>
                <w:rFonts w:eastAsia="Times New Roman"/>
                <w:b/>
                <w:bCs/>
                <w:color w:val="000000"/>
                <w:sz w:val="20"/>
                <w:szCs w:val="20"/>
              </w:rPr>
              <w:t>Cash flows from investing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4949BE5"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042D8918"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1F11C95"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9E2692D"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DE9D682" w14:textId="77777777" w:rsidR="00000000" w:rsidRDefault="00195E73">
            <w:pPr>
              <w:rPr>
                <w:rFonts w:eastAsia="Times New Roman"/>
                <w:sz w:val="20"/>
                <w:szCs w:val="20"/>
              </w:rPr>
            </w:pPr>
          </w:p>
        </w:tc>
        <w:tc>
          <w:tcPr>
            <w:tcW w:w="0" w:type="auto"/>
            <w:vAlign w:val="center"/>
            <w:hideMark/>
          </w:tcPr>
          <w:p w14:paraId="0ED7407A" w14:textId="77777777" w:rsidR="00000000" w:rsidRDefault="00195E73">
            <w:pPr>
              <w:rPr>
                <w:rFonts w:eastAsia="Times New Roman"/>
                <w:sz w:val="20"/>
                <w:szCs w:val="20"/>
              </w:rPr>
            </w:pPr>
          </w:p>
        </w:tc>
        <w:tc>
          <w:tcPr>
            <w:tcW w:w="0" w:type="auto"/>
            <w:vAlign w:val="center"/>
            <w:hideMark/>
          </w:tcPr>
          <w:p w14:paraId="72D1368C" w14:textId="77777777" w:rsidR="00000000" w:rsidRDefault="00195E73">
            <w:pPr>
              <w:rPr>
                <w:rFonts w:eastAsia="Times New Roman"/>
                <w:sz w:val="20"/>
                <w:szCs w:val="20"/>
              </w:rPr>
            </w:pPr>
          </w:p>
        </w:tc>
        <w:tc>
          <w:tcPr>
            <w:tcW w:w="0" w:type="auto"/>
            <w:vAlign w:val="center"/>
            <w:hideMark/>
          </w:tcPr>
          <w:p w14:paraId="5F269BD5" w14:textId="77777777" w:rsidR="00000000" w:rsidRDefault="00195E73">
            <w:pPr>
              <w:rPr>
                <w:rFonts w:eastAsia="Times New Roman"/>
                <w:sz w:val="20"/>
                <w:szCs w:val="20"/>
              </w:rPr>
            </w:pPr>
          </w:p>
        </w:tc>
        <w:tc>
          <w:tcPr>
            <w:tcW w:w="0" w:type="auto"/>
            <w:vAlign w:val="center"/>
            <w:hideMark/>
          </w:tcPr>
          <w:p w14:paraId="673527B2" w14:textId="77777777" w:rsidR="00000000" w:rsidRDefault="00195E73">
            <w:pPr>
              <w:rPr>
                <w:rFonts w:eastAsia="Times New Roman"/>
                <w:sz w:val="20"/>
                <w:szCs w:val="20"/>
              </w:rPr>
            </w:pPr>
          </w:p>
        </w:tc>
        <w:tc>
          <w:tcPr>
            <w:tcW w:w="0" w:type="auto"/>
            <w:vAlign w:val="center"/>
            <w:hideMark/>
          </w:tcPr>
          <w:p w14:paraId="7D40D863" w14:textId="77777777" w:rsidR="00000000" w:rsidRDefault="00195E73">
            <w:pPr>
              <w:rPr>
                <w:rFonts w:eastAsia="Times New Roman"/>
                <w:sz w:val="20"/>
                <w:szCs w:val="20"/>
              </w:rPr>
            </w:pPr>
          </w:p>
        </w:tc>
        <w:tc>
          <w:tcPr>
            <w:tcW w:w="0" w:type="auto"/>
            <w:vAlign w:val="center"/>
            <w:hideMark/>
          </w:tcPr>
          <w:p w14:paraId="3BBA506A" w14:textId="77777777" w:rsidR="00000000" w:rsidRDefault="00195E73">
            <w:pPr>
              <w:rPr>
                <w:rFonts w:eastAsia="Times New Roman"/>
                <w:sz w:val="20"/>
                <w:szCs w:val="20"/>
              </w:rPr>
            </w:pPr>
          </w:p>
        </w:tc>
        <w:tc>
          <w:tcPr>
            <w:tcW w:w="0" w:type="auto"/>
            <w:vAlign w:val="center"/>
            <w:hideMark/>
          </w:tcPr>
          <w:p w14:paraId="75ABD57C" w14:textId="77777777" w:rsidR="00000000" w:rsidRDefault="00195E73">
            <w:pPr>
              <w:rPr>
                <w:rFonts w:eastAsia="Times New Roman"/>
                <w:sz w:val="20"/>
                <w:szCs w:val="20"/>
              </w:rPr>
            </w:pPr>
          </w:p>
        </w:tc>
        <w:tc>
          <w:tcPr>
            <w:tcW w:w="0" w:type="auto"/>
            <w:vAlign w:val="center"/>
            <w:hideMark/>
          </w:tcPr>
          <w:p w14:paraId="5C29F43A" w14:textId="77777777" w:rsidR="00000000" w:rsidRDefault="00195E73">
            <w:pPr>
              <w:rPr>
                <w:rFonts w:eastAsia="Times New Roman"/>
                <w:sz w:val="20"/>
                <w:szCs w:val="20"/>
              </w:rPr>
            </w:pPr>
          </w:p>
        </w:tc>
        <w:tc>
          <w:tcPr>
            <w:tcW w:w="0" w:type="auto"/>
            <w:vAlign w:val="center"/>
            <w:hideMark/>
          </w:tcPr>
          <w:p w14:paraId="508B2A6A" w14:textId="77777777" w:rsidR="00000000" w:rsidRDefault="00195E73">
            <w:pPr>
              <w:rPr>
                <w:rFonts w:eastAsia="Times New Roman"/>
                <w:sz w:val="20"/>
                <w:szCs w:val="20"/>
              </w:rPr>
            </w:pPr>
          </w:p>
        </w:tc>
        <w:tc>
          <w:tcPr>
            <w:tcW w:w="0" w:type="auto"/>
            <w:vAlign w:val="center"/>
            <w:hideMark/>
          </w:tcPr>
          <w:p w14:paraId="05E6FA14" w14:textId="77777777" w:rsidR="00000000" w:rsidRDefault="00195E73">
            <w:pPr>
              <w:rPr>
                <w:rFonts w:eastAsia="Times New Roman"/>
                <w:sz w:val="20"/>
                <w:szCs w:val="20"/>
              </w:rPr>
            </w:pPr>
          </w:p>
        </w:tc>
        <w:tc>
          <w:tcPr>
            <w:tcW w:w="0" w:type="auto"/>
            <w:vAlign w:val="center"/>
            <w:hideMark/>
          </w:tcPr>
          <w:p w14:paraId="09149561" w14:textId="77777777" w:rsidR="00000000" w:rsidRDefault="00195E73">
            <w:pPr>
              <w:rPr>
                <w:rFonts w:eastAsia="Times New Roman"/>
                <w:sz w:val="20"/>
                <w:szCs w:val="20"/>
              </w:rPr>
            </w:pPr>
          </w:p>
        </w:tc>
        <w:tc>
          <w:tcPr>
            <w:tcW w:w="0" w:type="auto"/>
            <w:vAlign w:val="center"/>
            <w:hideMark/>
          </w:tcPr>
          <w:p w14:paraId="75B361FB" w14:textId="77777777" w:rsidR="00000000" w:rsidRDefault="00195E73">
            <w:pPr>
              <w:rPr>
                <w:rFonts w:eastAsia="Times New Roman"/>
                <w:sz w:val="20"/>
                <w:szCs w:val="20"/>
              </w:rPr>
            </w:pPr>
          </w:p>
        </w:tc>
      </w:tr>
      <w:tr w:rsidR="00000000" w14:paraId="63BED4EE" w14:textId="77777777">
        <w:trPr>
          <w:divId w:val="687021843"/>
          <w:jc w:val="center"/>
        </w:trPr>
        <w:tc>
          <w:tcPr>
            <w:tcW w:w="0" w:type="auto"/>
            <w:gridSpan w:val="3"/>
            <w:shd w:val="clear" w:color="auto" w:fill="FFFFFF"/>
            <w:tcMar>
              <w:top w:w="30" w:type="dxa"/>
              <w:left w:w="20" w:type="dxa"/>
              <w:bottom w:w="30" w:type="dxa"/>
              <w:right w:w="20" w:type="dxa"/>
            </w:tcMar>
            <w:vAlign w:val="bottom"/>
            <w:hideMark/>
          </w:tcPr>
          <w:p w14:paraId="380FD067" w14:textId="77777777" w:rsidR="00000000" w:rsidRDefault="00195E73">
            <w:pPr>
              <w:rPr>
                <w:rFonts w:eastAsia="Times New Roman"/>
              </w:rPr>
            </w:pPr>
            <w:r>
              <w:rPr>
                <w:rFonts w:eastAsia="Times New Roman"/>
                <w:color w:val="000000"/>
                <w:sz w:val="20"/>
                <w:szCs w:val="20"/>
              </w:rPr>
              <w:t>Net investment in subsidiarie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1BAC3AD" w14:textId="77777777" w:rsidR="00000000" w:rsidRDefault="00195E73">
            <w:pPr>
              <w:jc w:val="right"/>
              <w:rPr>
                <w:rFonts w:eastAsia="Times New Roman"/>
              </w:rPr>
            </w:pPr>
            <w:r>
              <w:rPr>
                <w:rFonts w:eastAsia="Times New Roman"/>
                <w:color w:val="000000"/>
                <w:sz w:val="20"/>
                <w:szCs w:val="20"/>
              </w:rPr>
              <w:t>567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4F1AFE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F5BB2F"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1ACF7E" w14:textId="77777777" w:rsidR="00000000" w:rsidRDefault="00195E73">
            <w:pPr>
              <w:jc w:val="right"/>
              <w:rPr>
                <w:rFonts w:eastAsia="Times New Roman"/>
              </w:rPr>
            </w:pPr>
            <w:r>
              <w:rPr>
                <w:rFonts w:eastAsia="Times New Roman"/>
                <w:color w:val="000000"/>
                <w:sz w:val="20"/>
                <w:szCs w:val="20"/>
              </w:rPr>
              <w:t>238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B96F15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8B44A0D"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89B334" w14:textId="77777777" w:rsidR="00000000" w:rsidRDefault="00195E73">
            <w:pPr>
              <w:jc w:val="right"/>
              <w:rPr>
                <w:rFonts w:eastAsia="Times New Roman"/>
              </w:rPr>
            </w:pPr>
            <w:r>
              <w:rPr>
                <w:rFonts w:eastAsia="Times New Roman"/>
                <w:color w:val="000000"/>
                <w:sz w:val="20"/>
                <w:szCs w:val="20"/>
              </w:rPr>
              <w:t>(97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8ACD3F7"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94C9129" w14:textId="77777777" w:rsidR="00000000" w:rsidRDefault="00195E73">
            <w:pPr>
              <w:rPr>
                <w:rFonts w:eastAsia="Times New Roman"/>
                <w:sz w:val="20"/>
                <w:szCs w:val="20"/>
              </w:rPr>
            </w:pPr>
          </w:p>
        </w:tc>
        <w:tc>
          <w:tcPr>
            <w:tcW w:w="0" w:type="auto"/>
            <w:vAlign w:val="center"/>
            <w:hideMark/>
          </w:tcPr>
          <w:p w14:paraId="29699110" w14:textId="77777777" w:rsidR="00000000" w:rsidRDefault="00195E73">
            <w:pPr>
              <w:rPr>
                <w:rFonts w:eastAsia="Times New Roman"/>
                <w:sz w:val="20"/>
                <w:szCs w:val="20"/>
              </w:rPr>
            </w:pPr>
          </w:p>
        </w:tc>
        <w:tc>
          <w:tcPr>
            <w:tcW w:w="0" w:type="auto"/>
            <w:vAlign w:val="center"/>
            <w:hideMark/>
          </w:tcPr>
          <w:p w14:paraId="51EECB02" w14:textId="77777777" w:rsidR="00000000" w:rsidRDefault="00195E73">
            <w:pPr>
              <w:rPr>
                <w:rFonts w:eastAsia="Times New Roman"/>
                <w:sz w:val="20"/>
                <w:szCs w:val="20"/>
              </w:rPr>
            </w:pPr>
          </w:p>
        </w:tc>
        <w:tc>
          <w:tcPr>
            <w:tcW w:w="0" w:type="auto"/>
            <w:vAlign w:val="center"/>
            <w:hideMark/>
          </w:tcPr>
          <w:p w14:paraId="50EEEE68" w14:textId="77777777" w:rsidR="00000000" w:rsidRDefault="00195E73">
            <w:pPr>
              <w:rPr>
                <w:rFonts w:eastAsia="Times New Roman"/>
                <w:sz w:val="20"/>
                <w:szCs w:val="20"/>
              </w:rPr>
            </w:pPr>
          </w:p>
        </w:tc>
        <w:tc>
          <w:tcPr>
            <w:tcW w:w="0" w:type="auto"/>
            <w:vAlign w:val="center"/>
            <w:hideMark/>
          </w:tcPr>
          <w:p w14:paraId="793CEE16" w14:textId="77777777" w:rsidR="00000000" w:rsidRDefault="00195E73">
            <w:pPr>
              <w:rPr>
                <w:rFonts w:eastAsia="Times New Roman"/>
                <w:sz w:val="20"/>
                <w:szCs w:val="20"/>
              </w:rPr>
            </w:pPr>
          </w:p>
        </w:tc>
        <w:tc>
          <w:tcPr>
            <w:tcW w:w="0" w:type="auto"/>
            <w:vAlign w:val="center"/>
            <w:hideMark/>
          </w:tcPr>
          <w:p w14:paraId="3186A7D2" w14:textId="77777777" w:rsidR="00000000" w:rsidRDefault="00195E73">
            <w:pPr>
              <w:rPr>
                <w:rFonts w:eastAsia="Times New Roman"/>
                <w:sz w:val="20"/>
                <w:szCs w:val="20"/>
              </w:rPr>
            </w:pPr>
          </w:p>
        </w:tc>
        <w:tc>
          <w:tcPr>
            <w:tcW w:w="0" w:type="auto"/>
            <w:vAlign w:val="center"/>
            <w:hideMark/>
          </w:tcPr>
          <w:p w14:paraId="15E0F770" w14:textId="77777777" w:rsidR="00000000" w:rsidRDefault="00195E73">
            <w:pPr>
              <w:rPr>
                <w:rFonts w:eastAsia="Times New Roman"/>
                <w:sz w:val="20"/>
                <w:szCs w:val="20"/>
              </w:rPr>
            </w:pPr>
          </w:p>
        </w:tc>
        <w:tc>
          <w:tcPr>
            <w:tcW w:w="0" w:type="auto"/>
            <w:vAlign w:val="center"/>
            <w:hideMark/>
          </w:tcPr>
          <w:p w14:paraId="7281367C" w14:textId="77777777" w:rsidR="00000000" w:rsidRDefault="00195E73">
            <w:pPr>
              <w:rPr>
                <w:rFonts w:eastAsia="Times New Roman"/>
                <w:sz w:val="20"/>
                <w:szCs w:val="20"/>
              </w:rPr>
            </w:pPr>
          </w:p>
        </w:tc>
        <w:tc>
          <w:tcPr>
            <w:tcW w:w="0" w:type="auto"/>
            <w:vAlign w:val="center"/>
            <w:hideMark/>
          </w:tcPr>
          <w:p w14:paraId="62143918" w14:textId="77777777" w:rsidR="00000000" w:rsidRDefault="00195E73">
            <w:pPr>
              <w:rPr>
                <w:rFonts w:eastAsia="Times New Roman"/>
                <w:sz w:val="20"/>
                <w:szCs w:val="20"/>
              </w:rPr>
            </w:pPr>
          </w:p>
        </w:tc>
        <w:tc>
          <w:tcPr>
            <w:tcW w:w="0" w:type="auto"/>
            <w:vAlign w:val="center"/>
            <w:hideMark/>
          </w:tcPr>
          <w:p w14:paraId="3CDF25E9" w14:textId="77777777" w:rsidR="00000000" w:rsidRDefault="00195E73">
            <w:pPr>
              <w:rPr>
                <w:rFonts w:eastAsia="Times New Roman"/>
                <w:sz w:val="20"/>
                <w:szCs w:val="20"/>
              </w:rPr>
            </w:pPr>
          </w:p>
        </w:tc>
        <w:tc>
          <w:tcPr>
            <w:tcW w:w="0" w:type="auto"/>
            <w:vAlign w:val="center"/>
            <w:hideMark/>
          </w:tcPr>
          <w:p w14:paraId="57BE2D77" w14:textId="77777777" w:rsidR="00000000" w:rsidRDefault="00195E73">
            <w:pPr>
              <w:rPr>
                <w:rFonts w:eastAsia="Times New Roman"/>
                <w:sz w:val="20"/>
                <w:szCs w:val="20"/>
              </w:rPr>
            </w:pPr>
          </w:p>
        </w:tc>
        <w:tc>
          <w:tcPr>
            <w:tcW w:w="0" w:type="auto"/>
            <w:vAlign w:val="center"/>
            <w:hideMark/>
          </w:tcPr>
          <w:p w14:paraId="35E3158F" w14:textId="77777777" w:rsidR="00000000" w:rsidRDefault="00195E73">
            <w:pPr>
              <w:rPr>
                <w:rFonts w:eastAsia="Times New Roman"/>
                <w:sz w:val="20"/>
                <w:szCs w:val="20"/>
              </w:rPr>
            </w:pPr>
          </w:p>
        </w:tc>
      </w:tr>
      <w:tr w:rsidR="00000000" w14:paraId="6EB7D515" w14:textId="77777777">
        <w:trPr>
          <w:divId w:val="687021843"/>
          <w:jc w:val="center"/>
        </w:trPr>
        <w:tc>
          <w:tcPr>
            <w:tcW w:w="0" w:type="auto"/>
            <w:gridSpan w:val="3"/>
            <w:vAlign w:val="center"/>
            <w:hideMark/>
          </w:tcPr>
          <w:p w14:paraId="2AFBA154" w14:textId="77777777" w:rsidR="00000000" w:rsidRDefault="00195E73">
            <w:pPr>
              <w:jc w:val="right"/>
              <w:rPr>
                <w:rFonts w:eastAsia="Times New Roman"/>
              </w:rPr>
            </w:pPr>
          </w:p>
        </w:tc>
        <w:tc>
          <w:tcPr>
            <w:tcW w:w="0" w:type="auto"/>
            <w:gridSpan w:val="3"/>
            <w:vAlign w:val="center"/>
            <w:hideMark/>
          </w:tcPr>
          <w:p w14:paraId="1268D874" w14:textId="77777777" w:rsidR="00000000" w:rsidRDefault="00195E73">
            <w:pPr>
              <w:rPr>
                <w:rFonts w:eastAsia="Times New Roman"/>
                <w:sz w:val="20"/>
                <w:szCs w:val="20"/>
              </w:rPr>
            </w:pPr>
          </w:p>
        </w:tc>
        <w:tc>
          <w:tcPr>
            <w:tcW w:w="0" w:type="auto"/>
            <w:gridSpan w:val="3"/>
            <w:vAlign w:val="center"/>
            <w:hideMark/>
          </w:tcPr>
          <w:p w14:paraId="5B4491D0" w14:textId="77777777" w:rsidR="00000000" w:rsidRDefault="00195E73">
            <w:pPr>
              <w:rPr>
                <w:rFonts w:eastAsia="Times New Roman"/>
                <w:sz w:val="20"/>
                <w:szCs w:val="20"/>
              </w:rPr>
            </w:pPr>
          </w:p>
        </w:tc>
        <w:tc>
          <w:tcPr>
            <w:tcW w:w="0" w:type="auto"/>
            <w:gridSpan w:val="3"/>
            <w:vAlign w:val="center"/>
            <w:hideMark/>
          </w:tcPr>
          <w:p w14:paraId="709AB0D3" w14:textId="77777777" w:rsidR="00000000" w:rsidRDefault="00195E73">
            <w:pPr>
              <w:rPr>
                <w:rFonts w:eastAsia="Times New Roman"/>
                <w:sz w:val="20"/>
                <w:szCs w:val="20"/>
              </w:rPr>
            </w:pPr>
          </w:p>
        </w:tc>
        <w:tc>
          <w:tcPr>
            <w:tcW w:w="0" w:type="auto"/>
            <w:gridSpan w:val="3"/>
            <w:vAlign w:val="center"/>
            <w:hideMark/>
          </w:tcPr>
          <w:p w14:paraId="797E8DCD" w14:textId="77777777" w:rsidR="00000000" w:rsidRDefault="00195E73">
            <w:pPr>
              <w:rPr>
                <w:rFonts w:eastAsia="Times New Roman"/>
                <w:sz w:val="20"/>
                <w:szCs w:val="20"/>
              </w:rPr>
            </w:pPr>
          </w:p>
        </w:tc>
        <w:tc>
          <w:tcPr>
            <w:tcW w:w="0" w:type="auto"/>
            <w:gridSpan w:val="3"/>
            <w:vAlign w:val="center"/>
            <w:hideMark/>
          </w:tcPr>
          <w:p w14:paraId="0712FB1F" w14:textId="77777777" w:rsidR="00000000" w:rsidRDefault="00195E73">
            <w:pPr>
              <w:rPr>
                <w:rFonts w:eastAsia="Times New Roman"/>
                <w:sz w:val="20"/>
                <w:szCs w:val="20"/>
              </w:rPr>
            </w:pPr>
          </w:p>
        </w:tc>
        <w:tc>
          <w:tcPr>
            <w:tcW w:w="0" w:type="auto"/>
            <w:vAlign w:val="center"/>
            <w:hideMark/>
          </w:tcPr>
          <w:p w14:paraId="7E387B4C" w14:textId="77777777" w:rsidR="00000000" w:rsidRDefault="00195E73">
            <w:pPr>
              <w:rPr>
                <w:rFonts w:eastAsia="Times New Roman"/>
                <w:sz w:val="20"/>
                <w:szCs w:val="20"/>
              </w:rPr>
            </w:pPr>
          </w:p>
        </w:tc>
        <w:tc>
          <w:tcPr>
            <w:tcW w:w="0" w:type="auto"/>
            <w:vAlign w:val="center"/>
            <w:hideMark/>
          </w:tcPr>
          <w:p w14:paraId="57DF04CD" w14:textId="77777777" w:rsidR="00000000" w:rsidRDefault="00195E73">
            <w:pPr>
              <w:rPr>
                <w:rFonts w:eastAsia="Times New Roman"/>
                <w:sz w:val="20"/>
                <w:szCs w:val="20"/>
              </w:rPr>
            </w:pPr>
          </w:p>
        </w:tc>
        <w:tc>
          <w:tcPr>
            <w:tcW w:w="0" w:type="auto"/>
            <w:vAlign w:val="center"/>
            <w:hideMark/>
          </w:tcPr>
          <w:p w14:paraId="21C7FF6C" w14:textId="77777777" w:rsidR="00000000" w:rsidRDefault="00195E73">
            <w:pPr>
              <w:rPr>
                <w:rFonts w:eastAsia="Times New Roman"/>
                <w:sz w:val="20"/>
                <w:szCs w:val="20"/>
              </w:rPr>
            </w:pPr>
          </w:p>
        </w:tc>
        <w:tc>
          <w:tcPr>
            <w:tcW w:w="0" w:type="auto"/>
            <w:vAlign w:val="center"/>
            <w:hideMark/>
          </w:tcPr>
          <w:p w14:paraId="109E88A3" w14:textId="77777777" w:rsidR="00000000" w:rsidRDefault="00195E73">
            <w:pPr>
              <w:rPr>
                <w:rFonts w:eastAsia="Times New Roman"/>
                <w:sz w:val="20"/>
                <w:szCs w:val="20"/>
              </w:rPr>
            </w:pPr>
          </w:p>
        </w:tc>
        <w:tc>
          <w:tcPr>
            <w:tcW w:w="0" w:type="auto"/>
            <w:vAlign w:val="center"/>
            <w:hideMark/>
          </w:tcPr>
          <w:p w14:paraId="2CEC83BF" w14:textId="77777777" w:rsidR="00000000" w:rsidRDefault="00195E73">
            <w:pPr>
              <w:rPr>
                <w:rFonts w:eastAsia="Times New Roman"/>
                <w:sz w:val="20"/>
                <w:szCs w:val="20"/>
              </w:rPr>
            </w:pPr>
          </w:p>
        </w:tc>
        <w:tc>
          <w:tcPr>
            <w:tcW w:w="0" w:type="auto"/>
            <w:vAlign w:val="center"/>
            <w:hideMark/>
          </w:tcPr>
          <w:p w14:paraId="08870883" w14:textId="77777777" w:rsidR="00000000" w:rsidRDefault="00195E73">
            <w:pPr>
              <w:rPr>
                <w:rFonts w:eastAsia="Times New Roman"/>
                <w:sz w:val="20"/>
                <w:szCs w:val="20"/>
              </w:rPr>
            </w:pPr>
          </w:p>
        </w:tc>
        <w:tc>
          <w:tcPr>
            <w:tcW w:w="0" w:type="auto"/>
            <w:vAlign w:val="center"/>
            <w:hideMark/>
          </w:tcPr>
          <w:p w14:paraId="3F5E4010" w14:textId="77777777" w:rsidR="00000000" w:rsidRDefault="00195E73">
            <w:pPr>
              <w:rPr>
                <w:rFonts w:eastAsia="Times New Roman"/>
                <w:sz w:val="20"/>
                <w:szCs w:val="20"/>
              </w:rPr>
            </w:pPr>
          </w:p>
        </w:tc>
        <w:tc>
          <w:tcPr>
            <w:tcW w:w="0" w:type="auto"/>
            <w:vAlign w:val="center"/>
            <w:hideMark/>
          </w:tcPr>
          <w:p w14:paraId="1DCC81AD" w14:textId="77777777" w:rsidR="00000000" w:rsidRDefault="00195E73">
            <w:pPr>
              <w:rPr>
                <w:rFonts w:eastAsia="Times New Roman"/>
                <w:sz w:val="20"/>
                <w:szCs w:val="20"/>
              </w:rPr>
            </w:pPr>
          </w:p>
        </w:tc>
        <w:tc>
          <w:tcPr>
            <w:tcW w:w="0" w:type="auto"/>
            <w:vAlign w:val="center"/>
            <w:hideMark/>
          </w:tcPr>
          <w:p w14:paraId="499797D9" w14:textId="77777777" w:rsidR="00000000" w:rsidRDefault="00195E73">
            <w:pPr>
              <w:rPr>
                <w:rFonts w:eastAsia="Times New Roman"/>
                <w:sz w:val="20"/>
                <w:szCs w:val="20"/>
              </w:rPr>
            </w:pPr>
          </w:p>
        </w:tc>
        <w:tc>
          <w:tcPr>
            <w:tcW w:w="0" w:type="auto"/>
            <w:vAlign w:val="center"/>
            <w:hideMark/>
          </w:tcPr>
          <w:p w14:paraId="57A93D0B" w14:textId="77777777" w:rsidR="00000000" w:rsidRDefault="00195E73">
            <w:pPr>
              <w:rPr>
                <w:rFonts w:eastAsia="Times New Roman"/>
                <w:sz w:val="20"/>
                <w:szCs w:val="20"/>
              </w:rPr>
            </w:pPr>
          </w:p>
        </w:tc>
        <w:tc>
          <w:tcPr>
            <w:tcW w:w="0" w:type="auto"/>
            <w:vAlign w:val="center"/>
            <w:hideMark/>
          </w:tcPr>
          <w:p w14:paraId="1297A757" w14:textId="77777777" w:rsidR="00000000" w:rsidRDefault="00195E73">
            <w:pPr>
              <w:rPr>
                <w:rFonts w:eastAsia="Times New Roman"/>
                <w:sz w:val="20"/>
                <w:szCs w:val="20"/>
              </w:rPr>
            </w:pPr>
          </w:p>
        </w:tc>
        <w:tc>
          <w:tcPr>
            <w:tcW w:w="0" w:type="auto"/>
            <w:vAlign w:val="center"/>
            <w:hideMark/>
          </w:tcPr>
          <w:p w14:paraId="5EFB6E00" w14:textId="77777777" w:rsidR="00000000" w:rsidRDefault="00195E73">
            <w:pPr>
              <w:rPr>
                <w:rFonts w:eastAsia="Times New Roman"/>
                <w:sz w:val="20"/>
                <w:szCs w:val="20"/>
              </w:rPr>
            </w:pPr>
          </w:p>
        </w:tc>
      </w:tr>
      <w:tr w:rsidR="00000000" w14:paraId="420D53CA" w14:textId="77777777">
        <w:trPr>
          <w:divId w:val="687021843"/>
          <w:jc w:val="center"/>
        </w:trPr>
        <w:tc>
          <w:tcPr>
            <w:tcW w:w="0" w:type="auto"/>
            <w:gridSpan w:val="3"/>
            <w:shd w:val="clear" w:color="auto" w:fill="CCEEFF"/>
            <w:tcMar>
              <w:top w:w="30" w:type="dxa"/>
              <w:left w:w="20" w:type="dxa"/>
              <w:bottom w:w="30" w:type="dxa"/>
              <w:right w:w="20" w:type="dxa"/>
            </w:tcMar>
            <w:vAlign w:val="bottom"/>
            <w:hideMark/>
          </w:tcPr>
          <w:p w14:paraId="1D7673BA" w14:textId="77777777" w:rsidR="00000000" w:rsidRDefault="00195E73">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64426C07"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33730F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5F620E"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418E81" w14:textId="77777777" w:rsidR="00000000" w:rsidRDefault="00195E73">
            <w:pPr>
              <w:jc w:val="right"/>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B048F0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8F0DBAA"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27C3F4" w14:textId="77777777" w:rsidR="00000000" w:rsidRDefault="00195E73">
            <w:pPr>
              <w:jc w:val="right"/>
              <w:rPr>
                <w:rFonts w:eastAsia="Times New Roman"/>
              </w:rPr>
            </w:pPr>
            <w:r>
              <w:rPr>
                <w:rFonts w:eastAsia="Times New Roman"/>
                <w:color w:val="000000"/>
                <w:sz w:val="20"/>
                <w:szCs w:val="20"/>
              </w:rPr>
              <w:t>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F952E2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9183EB8" w14:textId="77777777" w:rsidR="00000000" w:rsidRDefault="00195E73">
            <w:pPr>
              <w:rPr>
                <w:rFonts w:eastAsia="Times New Roman"/>
                <w:sz w:val="20"/>
                <w:szCs w:val="20"/>
              </w:rPr>
            </w:pPr>
          </w:p>
        </w:tc>
        <w:tc>
          <w:tcPr>
            <w:tcW w:w="0" w:type="auto"/>
            <w:vAlign w:val="center"/>
            <w:hideMark/>
          </w:tcPr>
          <w:p w14:paraId="322B0DA8" w14:textId="77777777" w:rsidR="00000000" w:rsidRDefault="00195E73">
            <w:pPr>
              <w:rPr>
                <w:rFonts w:eastAsia="Times New Roman"/>
                <w:sz w:val="20"/>
                <w:szCs w:val="20"/>
              </w:rPr>
            </w:pPr>
          </w:p>
        </w:tc>
        <w:tc>
          <w:tcPr>
            <w:tcW w:w="0" w:type="auto"/>
            <w:vAlign w:val="center"/>
            <w:hideMark/>
          </w:tcPr>
          <w:p w14:paraId="38B7C6C4" w14:textId="77777777" w:rsidR="00000000" w:rsidRDefault="00195E73">
            <w:pPr>
              <w:rPr>
                <w:rFonts w:eastAsia="Times New Roman"/>
                <w:sz w:val="20"/>
                <w:szCs w:val="20"/>
              </w:rPr>
            </w:pPr>
          </w:p>
        </w:tc>
        <w:tc>
          <w:tcPr>
            <w:tcW w:w="0" w:type="auto"/>
            <w:vAlign w:val="center"/>
            <w:hideMark/>
          </w:tcPr>
          <w:p w14:paraId="7D5113C8" w14:textId="77777777" w:rsidR="00000000" w:rsidRDefault="00195E73">
            <w:pPr>
              <w:rPr>
                <w:rFonts w:eastAsia="Times New Roman"/>
                <w:sz w:val="20"/>
                <w:szCs w:val="20"/>
              </w:rPr>
            </w:pPr>
          </w:p>
        </w:tc>
        <w:tc>
          <w:tcPr>
            <w:tcW w:w="0" w:type="auto"/>
            <w:vAlign w:val="center"/>
            <w:hideMark/>
          </w:tcPr>
          <w:p w14:paraId="2A70E3E8" w14:textId="77777777" w:rsidR="00000000" w:rsidRDefault="00195E73">
            <w:pPr>
              <w:rPr>
                <w:rFonts w:eastAsia="Times New Roman"/>
                <w:sz w:val="20"/>
                <w:szCs w:val="20"/>
              </w:rPr>
            </w:pPr>
          </w:p>
        </w:tc>
        <w:tc>
          <w:tcPr>
            <w:tcW w:w="0" w:type="auto"/>
            <w:vAlign w:val="center"/>
            <w:hideMark/>
          </w:tcPr>
          <w:p w14:paraId="47E405AF" w14:textId="77777777" w:rsidR="00000000" w:rsidRDefault="00195E73">
            <w:pPr>
              <w:rPr>
                <w:rFonts w:eastAsia="Times New Roman"/>
                <w:sz w:val="20"/>
                <w:szCs w:val="20"/>
              </w:rPr>
            </w:pPr>
          </w:p>
        </w:tc>
        <w:tc>
          <w:tcPr>
            <w:tcW w:w="0" w:type="auto"/>
            <w:vAlign w:val="center"/>
            <w:hideMark/>
          </w:tcPr>
          <w:p w14:paraId="11BAF294" w14:textId="77777777" w:rsidR="00000000" w:rsidRDefault="00195E73">
            <w:pPr>
              <w:rPr>
                <w:rFonts w:eastAsia="Times New Roman"/>
                <w:sz w:val="20"/>
                <w:szCs w:val="20"/>
              </w:rPr>
            </w:pPr>
          </w:p>
        </w:tc>
        <w:tc>
          <w:tcPr>
            <w:tcW w:w="0" w:type="auto"/>
            <w:vAlign w:val="center"/>
            <w:hideMark/>
          </w:tcPr>
          <w:p w14:paraId="4BF8CFBD" w14:textId="77777777" w:rsidR="00000000" w:rsidRDefault="00195E73">
            <w:pPr>
              <w:rPr>
                <w:rFonts w:eastAsia="Times New Roman"/>
                <w:sz w:val="20"/>
                <w:szCs w:val="20"/>
              </w:rPr>
            </w:pPr>
          </w:p>
        </w:tc>
        <w:tc>
          <w:tcPr>
            <w:tcW w:w="0" w:type="auto"/>
            <w:vAlign w:val="center"/>
            <w:hideMark/>
          </w:tcPr>
          <w:p w14:paraId="23465370" w14:textId="77777777" w:rsidR="00000000" w:rsidRDefault="00195E73">
            <w:pPr>
              <w:rPr>
                <w:rFonts w:eastAsia="Times New Roman"/>
                <w:sz w:val="20"/>
                <w:szCs w:val="20"/>
              </w:rPr>
            </w:pPr>
          </w:p>
        </w:tc>
        <w:tc>
          <w:tcPr>
            <w:tcW w:w="0" w:type="auto"/>
            <w:vAlign w:val="center"/>
            <w:hideMark/>
          </w:tcPr>
          <w:p w14:paraId="5BFBB7FE" w14:textId="77777777" w:rsidR="00000000" w:rsidRDefault="00195E73">
            <w:pPr>
              <w:rPr>
                <w:rFonts w:eastAsia="Times New Roman"/>
                <w:sz w:val="20"/>
                <w:szCs w:val="20"/>
              </w:rPr>
            </w:pPr>
          </w:p>
        </w:tc>
        <w:tc>
          <w:tcPr>
            <w:tcW w:w="0" w:type="auto"/>
            <w:vAlign w:val="center"/>
            <w:hideMark/>
          </w:tcPr>
          <w:p w14:paraId="62CE6FFA" w14:textId="77777777" w:rsidR="00000000" w:rsidRDefault="00195E73">
            <w:pPr>
              <w:rPr>
                <w:rFonts w:eastAsia="Times New Roman"/>
                <w:sz w:val="20"/>
                <w:szCs w:val="20"/>
              </w:rPr>
            </w:pPr>
          </w:p>
        </w:tc>
        <w:tc>
          <w:tcPr>
            <w:tcW w:w="0" w:type="auto"/>
            <w:vAlign w:val="center"/>
            <w:hideMark/>
          </w:tcPr>
          <w:p w14:paraId="24AAA875" w14:textId="77777777" w:rsidR="00000000" w:rsidRDefault="00195E73">
            <w:pPr>
              <w:rPr>
                <w:rFonts w:eastAsia="Times New Roman"/>
                <w:sz w:val="20"/>
                <w:szCs w:val="20"/>
              </w:rPr>
            </w:pPr>
          </w:p>
        </w:tc>
      </w:tr>
      <w:tr w:rsidR="00000000" w14:paraId="036225CB" w14:textId="77777777">
        <w:trPr>
          <w:divId w:val="687021843"/>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14544A92" w14:textId="77777777" w:rsidR="00000000" w:rsidRDefault="00195E73">
            <w:pPr>
              <w:rPr>
                <w:rFonts w:eastAsia="Times New Roman"/>
              </w:rPr>
            </w:pPr>
            <w:r>
              <w:rPr>
                <w:rFonts w:eastAsia="Times New Roman"/>
                <w:color w:val="000000"/>
                <w:sz w:val="20"/>
                <w:szCs w:val="20"/>
              </w:rPr>
              <w:t>Net cash provided by investing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BD82E2" w14:textId="77777777" w:rsidR="00000000" w:rsidRDefault="00195E73">
            <w:pPr>
              <w:jc w:val="right"/>
              <w:rPr>
                <w:rFonts w:eastAsia="Times New Roman"/>
              </w:rPr>
            </w:pPr>
            <w:r>
              <w:rPr>
                <w:rFonts w:eastAsia="Times New Roman"/>
                <w:color w:val="000000"/>
                <w:sz w:val="20"/>
                <w:szCs w:val="20"/>
              </w:rPr>
              <w:t>567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152C24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EF44E79"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736922" w14:textId="77777777" w:rsidR="00000000" w:rsidRDefault="00195E73">
            <w:pPr>
              <w:jc w:val="right"/>
              <w:rPr>
                <w:rFonts w:eastAsia="Times New Roman"/>
              </w:rPr>
            </w:pPr>
            <w:r>
              <w:rPr>
                <w:rFonts w:eastAsia="Times New Roman"/>
                <w:color w:val="000000"/>
                <w:sz w:val="20"/>
                <w:szCs w:val="20"/>
              </w:rPr>
              <w:t>279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F952188"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73432A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870441" w14:textId="77777777" w:rsidR="00000000" w:rsidRDefault="00195E73">
            <w:pPr>
              <w:jc w:val="right"/>
              <w:rPr>
                <w:rFonts w:eastAsia="Times New Roman"/>
              </w:rPr>
            </w:pPr>
            <w:r>
              <w:rPr>
                <w:rFonts w:eastAsia="Times New Roman"/>
                <w:color w:val="000000"/>
                <w:sz w:val="20"/>
                <w:szCs w:val="20"/>
              </w:rPr>
              <w:t>(44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EBB338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EB50DC6" w14:textId="77777777" w:rsidR="00000000" w:rsidRDefault="00195E73">
            <w:pPr>
              <w:rPr>
                <w:rFonts w:eastAsia="Times New Roman"/>
                <w:sz w:val="20"/>
                <w:szCs w:val="20"/>
              </w:rPr>
            </w:pPr>
          </w:p>
        </w:tc>
        <w:tc>
          <w:tcPr>
            <w:tcW w:w="0" w:type="auto"/>
            <w:vAlign w:val="center"/>
            <w:hideMark/>
          </w:tcPr>
          <w:p w14:paraId="22DE3A46" w14:textId="77777777" w:rsidR="00000000" w:rsidRDefault="00195E73">
            <w:pPr>
              <w:rPr>
                <w:rFonts w:eastAsia="Times New Roman"/>
                <w:sz w:val="20"/>
                <w:szCs w:val="20"/>
              </w:rPr>
            </w:pPr>
          </w:p>
        </w:tc>
        <w:tc>
          <w:tcPr>
            <w:tcW w:w="0" w:type="auto"/>
            <w:vAlign w:val="center"/>
            <w:hideMark/>
          </w:tcPr>
          <w:p w14:paraId="426E64FF" w14:textId="77777777" w:rsidR="00000000" w:rsidRDefault="00195E73">
            <w:pPr>
              <w:rPr>
                <w:rFonts w:eastAsia="Times New Roman"/>
                <w:sz w:val="20"/>
                <w:szCs w:val="20"/>
              </w:rPr>
            </w:pPr>
          </w:p>
        </w:tc>
        <w:tc>
          <w:tcPr>
            <w:tcW w:w="0" w:type="auto"/>
            <w:vAlign w:val="center"/>
            <w:hideMark/>
          </w:tcPr>
          <w:p w14:paraId="2025751D" w14:textId="77777777" w:rsidR="00000000" w:rsidRDefault="00195E73">
            <w:pPr>
              <w:rPr>
                <w:rFonts w:eastAsia="Times New Roman"/>
                <w:sz w:val="20"/>
                <w:szCs w:val="20"/>
              </w:rPr>
            </w:pPr>
          </w:p>
        </w:tc>
        <w:tc>
          <w:tcPr>
            <w:tcW w:w="0" w:type="auto"/>
            <w:vAlign w:val="center"/>
            <w:hideMark/>
          </w:tcPr>
          <w:p w14:paraId="580A9148" w14:textId="77777777" w:rsidR="00000000" w:rsidRDefault="00195E73">
            <w:pPr>
              <w:rPr>
                <w:rFonts w:eastAsia="Times New Roman"/>
                <w:sz w:val="20"/>
                <w:szCs w:val="20"/>
              </w:rPr>
            </w:pPr>
          </w:p>
        </w:tc>
        <w:tc>
          <w:tcPr>
            <w:tcW w:w="0" w:type="auto"/>
            <w:vAlign w:val="center"/>
            <w:hideMark/>
          </w:tcPr>
          <w:p w14:paraId="28745664" w14:textId="77777777" w:rsidR="00000000" w:rsidRDefault="00195E73">
            <w:pPr>
              <w:rPr>
                <w:rFonts w:eastAsia="Times New Roman"/>
                <w:sz w:val="20"/>
                <w:szCs w:val="20"/>
              </w:rPr>
            </w:pPr>
          </w:p>
        </w:tc>
        <w:tc>
          <w:tcPr>
            <w:tcW w:w="0" w:type="auto"/>
            <w:vAlign w:val="center"/>
            <w:hideMark/>
          </w:tcPr>
          <w:p w14:paraId="12230F00" w14:textId="77777777" w:rsidR="00000000" w:rsidRDefault="00195E73">
            <w:pPr>
              <w:rPr>
                <w:rFonts w:eastAsia="Times New Roman"/>
                <w:sz w:val="20"/>
                <w:szCs w:val="20"/>
              </w:rPr>
            </w:pPr>
          </w:p>
        </w:tc>
        <w:tc>
          <w:tcPr>
            <w:tcW w:w="0" w:type="auto"/>
            <w:vAlign w:val="center"/>
            <w:hideMark/>
          </w:tcPr>
          <w:p w14:paraId="66033037" w14:textId="77777777" w:rsidR="00000000" w:rsidRDefault="00195E73">
            <w:pPr>
              <w:rPr>
                <w:rFonts w:eastAsia="Times New Roman"/>
                <w:sz w:val="20"/>
                <w:szCs w:val="20"/>
              </w:rPr>
            </w:pPr>
          </w:p>
        </w:tc>
        <w:tc>
          <w:tcPr>
            <w:tcW w:w="0" w:type="auto"/>
            <w:vAlign w:val="center"/>
            <w:hideMark/>
          </w:tcPr>
          <w:p w14:paraId="235D972F" w14:textId="77777777" w:rsidR="00000000" w:rsidRDefault="00195E73">
            <w:pPr>
              <w:rPr>
                <w:rFonts w:eastAsia="Times New Roman"/>
                <w:sz w:val="20"/>
                <w:szCs w:val="20"/>
              </w:rPr>
            </w:pPr>
          </w:p>
        </w:tc>
        <w:tc>
          <w:tcPr>
            <w:tcW w:w="0" w:type="auto"/>
            <w:vAlign w:val="center"/>
            <w:hideMark/>
          </w:tcPr>
          <w:p w14:paraId="587D9A73" w14:textId="77777777" w:rsidR="00000000" w:rsidRDefault="00195E73">
            <w:pPr>
              <w:rPr>
                <w:rFonts w:eastAsia="Times New Roman"/>
                <w:sz w:val="20"/>
                <w:szCs w:val="20"/>
              </w:rPr>
            </w:pPr>
          </w:p>
        </w:tc>
        <w:tc>
          <w:tcPr>
            <w:tcW w:w="0" w:type="auto"/>
            <w:vAlign w:val="center"/>
            <w:hideMark/>
          </w:tcPr>
          <w:p w14:paraId="659B0657" w14:textId="77777777" w:rsidR="00000000" w:rsidRDefault="00195E73">
            <w:pPr>
              <w:rPr>
                <w:rFonts w:eastAsia="Times New Roman"/>
                <w:sz w:val="20"/>
                <w:szCs w:val="20"/>
              </w:rPr>
            </w:pPr>
          </w:p>
        </w:tc>
        <w:tc>
          <w:tcPr>
            <w:tcW w:w="0" w:type="auto"/>
            <w:vAlign w:val="center"/>
            <w:hideMark/>
          </w:tcPr>
          <w:p w14:paraId="074F2C46" w14:textId="77777777" w:rsidR="00000000" w:rsidRDefault="00195E73">
            <w:pPr>
              <w:rPr>
                <w:rFonts w:eastAsia="Times New Roman"/>
                <w:sz w:val="20"/>
                <w:szCs w:val="20"/>
              </w:rPr>
            </w:pPr>
          </w:p>
        </w:tc>
      </w:tr>
      <w:tr w:rsidR="00000000" w14:paraId="0459F6E4" w14:textId="77777777">
        <w:trPr>
          <w:divId w:val="687021843"/>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67507E3D" w14:textId="77777777" w:rsidR="00000000" w:rsidRDefault="00195E73">
            <w:pPr>
              <w:rPr>
                <w:rFonts w:eastAsia="Times New Roman"/>
              </w:rPr>
            </w:pPr>
            <w:r>
              <w:rPr>
                <w:rFonts w:eastAsia="Times New Roman"/>
                <w:b/>
                <w:bCs/>
                <w:color w:val="000000"/>
                <w:sz w:val="20"/>
                <w:szCs w:val="20"/>
              </w:rPr>
              <w:t>Cash flows from financing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607CB6C" w14:textId="77777777" w:rsidR="00000000" w:rsidRDefault="00195E73">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41398DE"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3EDC640D" w14:textId="77777777" w:rsidR="00000000" w:rsidRDefault="00195E73">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7F713AD" w14:textId="77777777" w:rsidR="00000000" w:rsidRDefault="00195E73">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CBA9C3A" w14:textId="77777777" w:rsidR="00000000" w:rsidRDefault="00195E73">
            <w:pPr>
              <w:rPr>
                <w:rFonts w:eastAsia="Times New Roman"/>
                <w:sz w:val="20"/>
                <w:szCs w:val="20"/>
              </w:rPr>
            </w:pPr>
          </w:p>
        </w:tc>
        <w:tc>
          <w:tcPr>
            <w:tcW w:w="0" w:type="auto"/>
            <w:vAlign w:val="center"/>
            <w:hideMark/>
          </w:tcPr>
          <w:p w14:paraId="2E0848BE" w14:textId="77777777" w:rsidR="00000000" w:rsidRDefault="00195E73">
            <w:pPr>
              <w:rPr>
                <w:rFonts w:eastAsia="Times New Roman"/>
                <w:sz w:val="20"/>
                <w:szCs w:val="20"/>
              </w:rPr>
            </w:pPr>
          </w:p>
        </w:tc>
        <w:tc>
          <w:tcPr>
            <w:tcW w:w="0" w:type="auto"/>
            <w:vAlign w:val="center"/>
            <w:hideMark/>
          </w:tcPr>
          <w:p w14:paraId="0EDB7B8A" w14:textId="77777777" w:rsidR="00000000" w:rsidRDefault="00195E73">
            <w:pPr>
              <w:rPr>
                <w:rFonts w:eastAsia="Times New Roman"/>
                <w:sz w:val="20"/>
                <w:szCs w:val="20"/>
              </w:rPr>
            </w:pPr>
          </w:p>
        </w:tc>
        <w:tc>
          <w:tcPr>
            <w:tcW w:w="0" w:type="auto"/>
            <w:vAlign w:val="center"/>
            <w:hideMark/>
          </w:tcPr>
          <w:p w14:paraId="151F20CC" w14:textId="77777777" w:rsidR="00000000" w:rsidRDefault="00195E73">
            <w:pPr>
              <w:rPr>
                <w:rFonts w:eastAsia="Times New Roman"/>
                <w:sz w:val="20"/>
                <w:szCs w:val="20"/>
              </w:rPr>
            </w:pPr>
          </w:p>
        </w:tc>
        <w:tc>
          <w:tcPr>
            <w:tcW w:w="0" w:type="auto"/>
            <w:vAlign w:val="center"/>
            <w:hideMark/>
          </w:tcPr>
          <w:p w14:paraId="6639E668" w14:textId="77777777" w:rsidR="00000000" w:rsidRDefault="00195E73">
            <w:pPr>
              <w:rPr>
                <w:rFonts w:eastAsia="Times New Roman"/>
                <w:sz w:val="20"/>
                <w:szCs w:val="20"/>
              </w:rPr>
            </w:pPr>
          </w:p>
        </w:tc>
        <w:tc>
          <w:tcPr>
            <w:tcW w:w="0" w:type="auto"/>
            <w:vAlign w:val="center"/>
            <w:hideMark/>
          </w:tcPr>
          <w:p w14:paraId="56491BBE" w14:textId="77777777" w:rsidR="00000000" w:rsidRDefault="00195E73">
            <w:pPr>
              <w:rPr>
                <w:rFonts w:eastAsia="Times New Roman"/>
                <w:sz w:val="20"/>
                <w:szCs w:val="20"/>
              </w:rPr>
            </w:pPr>
          </w:p>
        </w:tc>
        <w:tc>
          <w:tcPr>
            <w:tcW w:w="0" w:type="auto"/>
            <w:vAlign w:val="center"/>
            <w:hideMark/>
          </w:tcPr>
          <w:p w14:paraId="4DBA1A72" w14:textId="77777777" w:rsidR="00000000" w:rsidRDefault="00195E73">
            <w:pPr>
              <w:rPr>
                <w:rFonts w:eastAsia="Times New Roman"/>
                <w:sz w:val="20"/>
                <w:szCs w:val="20"/>
              </w:rPr>
            </w:pPr>
          </w:p>
        </w:tc>
        <w:tc>
          <w:tcPr>
            <w:tcW w:w="0" w:type="auto"/>
            <w:vAlign w:val="center"/>
            <w:hideMark/>
          </w:tcPr>
          <w:p w14:paraId="779559C2" w14:textId="77777777" w:rsidR="00000000" w:rsidRDefault="00195E73">
            <w:pPr>
              <w:rPr>
                <w:rFonts w:eastAsia="Times New Roman"/>
                <w:sz w:val="20"/>
                <w:szCs w:val="20"/>
              </w:rPr>
            </w:pPr>
          </w:p>
        </w:tc>
        <w:tc>
          <w:tcPr>
            <w:tcW w:w="0" w:type="auto"/>
            <w:vAlign w:val="center"/>
            <w:hideMark/>
          </w:tcPr>
          <w:p w14:paraId="37A15938" w14:textId="77777777" w:rsidR="00000000" w:rsidRDefault="00195E73">
            <w:pPr>
              <w:rPr>
                <w:rFonts w:eastAsia="Times New Roman"/>
                <w:sz w:val="20"/>
                <w:szCs w:val="20"/>
              </w:rPr>
            </w:pPr>
          </w:p>
        </w:tc>
        <w:tc>
          <w:tcPr>
            <w:tcW w:w="0" w:type="auto"/>
            <w:vAlign w:val="center"/>
            <w:hideMark/>
          </w:tcPr>
          <w:p w14:paraId="43E888FE" w14:textId="77777777" w:rsidR="00000000" w:rsidRDefault="00195E73">
            <w:pPr>
              <w:rPr>
                <w:rFonts w:eastAsia="Times New Roman"/>
                <w:sz w:val="20"/>
                <w:szCs w:val="20"/>
              </w:rPr>
            </w:pPr>
          </w:p>
        </w:tc>
        <w:tc>
          <w:tcPr>
            <w:tcW w:w="0" w:type="auto"/>
            <w:vAlign w:val="center"/>
            <w:hideMark/>
          </w:tcPr>
          <w:p w14:paraId="4ADC5556" w14:textId="77777777" w:rsidR="00000000" w:rsidRDefault="00195E73">
            <w:pPr>
              <w:rPr>
                <w:rFonts w:eastAsia="Times New Roman"/>
                <w:sz w:val="20"/>
                <w:szCs w:val="20"/>
              </w:rPr>
            </w:pPr>
          </w:p>
        </w:tc>
        <w:tc>
          <w:tcPr>
            <w:tcW w:w="0" w:type="auto"/>
            <w:vAlign w:val="center"/>
            <w:hideMark/>
          </w:tcPr>
          <w:p w14:paraId="01C28EA6" w14:textId="77777777" w:rsidR="00000000" w:rsidRDefault="00195E73">
            <w:pPr>
              <w:rPr>
                <w:rFonts w:eastAsia="Times New Roman"/>
                <w:sz w:val="20"/>
                <w:szCs w:val="20"/>
              </w:rPr>
            </w:pPr>
          </w:p>
        </w:tc>
        <w:tc>
          <w:tcPr>
            <w:tcW w:w="0" w:type="auto"/>
            <w:vAlign w:val="center"/>
            <w:hideMark/>
          </w:tcPr>
          <w:p w14:paraId="1FE737F2" w14:textId="77777777" w:rsidR="00000000" w:rsidRDefault="00195E73">
            <w:pPr>
              <w:rPr>
                <w:rFonts w:eastAsia="Times New Roman"/>
                <w:sz w:val="20"/>
                <w:szCs w:val="20"/>
              </w:rPr>
            </w:pPr>
          </w:p>
        </w:tc>
      </w:tr>
      <w:tr w:rsidR="00000000" w14:paraId="4AC0E241" w14:textId="77777777">
        <w:trPr>
          <w:divId w:val="687021843"/>
          <w:jc w:val="center"/>
        </w:trPr>
        <w:tc>
          <w:tcPr>
            <w:tcW w:w="0" w:type="auto"/>
            <w:gridSpan w:val="3"/>
            <w:shd w:val="clear" w:color="auto" w:fill="FFFFFF"/>
            <w:tcMar>
              <w:top w:w="30" w:type="dxa"/>
              <w:left w:w="20" w:type="dxa"/>
              <w:bottom w:w="30" w:type="dxa"/>
              <w:right w:w="20" w:type="dxa"/>
            </w:tcMar>
            <w:vAlign w:val="bottom"/>
            <w:hideMark/>
          </w:tcPr>
          <w:p w14:paraId="0A61473F" w14:textId="77777777" w:rsidR="00000000" w:rsidRDefault="00195E73">
            <w:pPr>
              <w:rPr>
                <w:rFonts w:eastAsia="Times New Roman"/>
              </w:rPr>
            </w:pPr>
            <w:r>
              <w:rPr>
                <w:rFonts w:eastAsia="Times New Roman"/>
                <w:color w:val="000000"/>
                <w:sz w:val="20"/>
                <w:szCs w:val="20"/>
              </w:rPr>
              <w:t>Partnership distribution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0F6FB20" w14:textId="77777777" w:rsidR="00000000" w:rsidRDefault="00195E73">
            <w:pPr>
              <w:jc w:val="right"/>
              <w:rPr>
                <w:rFonts w:eastAsia="Times New Roman"/>
              </w:rPr>
            </w:pPr>
            <w:r>
              <w:rPr>
                <w:rFonts w:eastAsia="Times New Roman"/>
                <w:color w:val="000000"/>
                <w:sz w:val="20"/>
                <w:szCs w:val="20"/>
              </w:rPr>
              <w:t>(112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E0CE02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0016B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74C041" w14:textId="77777777" w:rsidR="00000000" w:rsidRDefault="00195E73">
            <w:pPr>
              <w:jc w:val="right"/>
              <w:rPr>
                <w:rFonts w:eastAsia="Times New Roman"/>
              </w:rPr>
            </w:pPr>
            <w:r>
              <w:rPr>
                <w:rFonts w:eastAsia="Times New Roman"/>
                <w:color w:val="000000"/>
                <w:sz w:val="20"/>
                <w:szCs w:val="20"/>
              </w:rPr>
              <w:t>(97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700398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EACE26A"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76DC31" w14:textId="77777777" w:rsidR="00000000" w:rsidRDefault="00195E73">
            <w:pPr>
              <w:jc w:val="right"/>
              <w:rPr>
                <w:rFonts w:eastAsia="Times New Roman"/>
              </w:rPr>
            </w:pPr>
            <w:r>
              <w:rPr>
                <w:rFonts w:eastAsia="Times New Roman"/>
                <w:color w:val="000000"/>
                <w:sz w:val="20"/>
                <w:szCs w:val="20"/>
              </w:rPr>
              <w:t>(81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FEA1BE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633DD139" w14:textId="77777777" w:rsidR="00000000" w:rsidRDefault="00195E73">
            <w:pPr>
              <w:rPr>
                <w:rFonts w:eastAsia="Times New Roman"/>
                <w:sz w:val="20"/>
                <w:szCs w:val="20"/>
              </w:rPr>
            </w:pPr>
          </w:p>
        </w:tc>
        <w:tc>
          <w:tcPr>
            <w:tcW w:w="0" w:type="auto"/>
            <w:vAlign w:val="center"/>
            <w:hideMark/>
          </w:tcPr>
          <w:p w14:paraId="55906327" w14:textId="77777777" w:rsidR="00000000" w:rsidRDefault="00195E73">
            <w:pPr>
              <w:rPr>
                <w:rFonts w:eastAsia="Times New Roman"/>
                <w:sz w:val="20"/>
                <w:szCs w:val="20"/>
              </w:rPr>
            </w:pPr>
          </w:p>
        </w:tc>
        <w:tc>
          <w:tcPr>
            <w:tcW w:w="0" w:type="auto"/>
            <w:vAlign w:val="center"/>
            <w:hideMark/>
          </w:tcPr>
          <w:p w14:paraId="1F38BB24" w14:textId="77777777" w:rsidR="00000000" w:rsidRDefault="00195E73">
            <w:pPr>
              <w:rPr>
                <w:rFonts w:eastAsia="Times New Roman"/>
                <w:sz w:val="20"/>
                <w:szCs w:val="20"/>
              </w:rPr>
            </w:pPr>
          </w:p>
        </w:tc>
        <w:tc>
          <w:tcPr>
            <w:tcW w:w="0" w:type="auto"/>
            <w:vAlign w:val="center"/>
            <w:hideMark/>
          </w:tcPr>
          <w:p w14:paraId="5E70241A" w14:textId="77777777" w:rsidR="00000000" w:rsidRDefault="00195E73">
            <w:pPr>
              <w:rPr>
                <w:rFonts w:eastAsia="Times New Roman"/>
                <w:sz w:val="20"/>
                <w:szCs w:val="20"/>
              </w:rPr>
            </w:pPr>
          </w:p>
        </w:tc>
        <w:tc>
          <w:tcPr>
            <w:tcW w:w="0" w:type="auto"/>
            <w:vAlign w:val="center"/>
            <w:hideMark/>
          </w:tcPr>
          <w:p w14:paraId="0F25D2FD" w14:textId="77777777" w:rsidR="00000000" w:rsidRDefault="00195E73">
            <w:pPr>
              <w:rPr>
                <w:rFonts w:eastAsia="Times New Roman"/>
                <w:sz w:val="20"/>
                <w:szCs w:val="20"/>
              </w:rPr>
            </w:pPr>
          </w:p>
        </w:tc>
        <w:tc>
          <w:tcPr>
            <w:tcW w:w="0" w:type="auto"/>
            <w:vAlign w:val="center"/>
            <w:hideMark/>
          </w:tcPr>
          <w:p w14:paraId="391BE9B6" w14:textId="77777777" w:rsidR="00000000" w:rsidRDefault="00195E73">
            <w:pPr>
              <w:rPr>
                <w:rFonts w:eastAsia="Times New Roman"/>
                <w:sz w:val="20"/>
                <w:szCs w:val="20"/>
              </w:rPr>
            </w:pPr>
          </w:p>
        </w:tc>
        <w:tc>
          <w:tcPr>
            <w:tcW w:w="0" w:type="auto"/>
            <w:vAlign w:val="center"/>
            <w:hideMark/>
          </w:tcPr>
          <w:p w14:paraId="7EE1AEA0" w14:textId="77777777" w:rsidR="00000000" w:rsidRDefault="00195E73">
            <w:pPr>
              <w:rPr>
                <w:rFonts w:eastAsia="Times New Roman"/>
                <w:sz w:val="20"/>
                <w:szCs w:val="20"/>
              </w:rPr>
            </w:pPr>
          </w:p>
        </w:tc>
        <w:tc>
          <w:tcPr>
            <w:tcW w:w="0" w:type="auto"/>
            <w:vAlign w:val="center"/>
            <w:hideMark/>
          </w:tcPr>
          <w:p w14:paraId="32F52337" w14:textId="77777777" w:rsidR="00000000" w:rsidRDefault="00195E73">
            <w:pPr>
              <w:rPr>
                <w:rFonts w:eastAsia="Times New Roman"/>
                <w:sz w:val="20"/>
                <w:szCs w:val="20"/>
              </w:rPr>
            </w:pPr>
          </w:p>
        </w:tc>
        <w:tc>
          <w:tcPr>
            <w:tcW w:w="0" w:type="auto"/>
            <w:vAlign w:val="center"/>
            <w:hideMark/>
          </w:tcPr>
          <w:p w14:paraId="0154CED3" w14:textId="77777777" w:rsidR="00000000" w:rsidRDefault="00195E73">
            <w:pPr>
              <w:rPr>
                <w:rFonts w:eastAsia="Times New Roman"/>
                <w:sz w:val="20"/>
                <w:szCs w:val="20"/>
              </w:rPr>
            </w:pPr>
          </w:p>
        </w:tc>
        <w:tc>
          <w:tcPr>
            <w:tcW w:w="0" w:type="auto"/>
            <w:vAlign w:val="center"/>
            <w:hideMark/>
          </w:tcPr>
          <w:p w14:paraId="2D8F1FF6" w14:textId="77777777" w:rsidR="00000000" w:rsidRDefault="00195E73">
            <w:pPr>
              <w:rPr>
                <w:rFonts w:eastAsia="Times New Roman"/>
                <w:sz w:val="20"/>
                <w:szCs w:val="20"/>
              </w:rPr>
            </w:pPr>
          </w:p>
        </w:tc>
        <w:tc>
          <w:tcPr>
            <w:tcW w:w="0" w:type="auto"/>
            <w:vAlign w:val="center"/>
            <w:hideMark/>
          </w:tcPr>
          <w:p w14:paraId="66C9F9C1" w14:textId="77777777" w:rsidR="00000000" w:rsidRDefault="00195E73">
            <w:pPr>
              <w:rPr>
                <w:rFonts w:eastAsia="Times New Roman"/>
                <w:sz w:val="20"/>
                <w:szCs w:val="20"/>
              </w:rPr>
            </w:pPr>
          </w:p>
        </w:tc>
        <w:tc>
          <w:tcPr>
            <w:tcW w:w="0" w:type="auto"/>
            <w:vAlign w:val="center"/>
            <w:hideMark/>
          </w:tcPr>
          <w:p w14:paraId="6D7F6133" w14:textId="77777777" w:rsidR="00000000" w:rsidRDefault="00195E73">
            <w:pPr>
              <w:rPr>
                <w:rFonts w:eastAsia="Times New Roman"/>
                <w:sz w:val="20"/>
                <w:szCs w:val="20"/>
              </w:rPr>
            </w:pPr>
          </w:p>
        </w:tc>
      </w:tr>
      <w:tr w:rsidR="00000000" w14:paraId="1CD331E9" w14:textId="77777777">
        <w:trPr>
          <w:divId w:val="687021843"/>
          <w:jc w:val="center"/>
        </w:trPr>
        <w:tc>
          <w:tcPr>
            <w:tcW w:w="0" w:type="auto"/>
            <w:gridSpan w:val="3"/>
            <w:shd w:val="clear" w:color="auto" w:fill="CCEEFF"/>
            <w:tcMar>
              <w:top w:w="30" w:type="dxa"/>
              <w:left w:w="20" w:type="dxa"/>
              <w:bottom w:w="30" w:type="dxa"/>
              <w:right w:w="20" w:type="dxa"/>
            </w:tcMar>
            <w:vAlign w:val="bottom"/>
            <w:hideMark/>
          </w:tcPr>
          <w:p w14:paraId="64B4B3D9" w14:textId="77777777" w:rsidR="00000000" w:rsidRDefault="00195E73">
            <w:pPr>
              <w:rPr>
                <w:rFonts w:eastAsia="Times New Roman"/>
              </w:rPr>
            </w:pPr>
            <w:r>
              <w:rPr>
                <w:rFonts w:eastAsia="Times New Roman"/>
                <w:color w:val="000000"/>
                <w:sz w:val="20"/>
                <w:szCs w:val="20"/>
              </w:rPr>
              <w:t>Partner contribution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3647CAE" w14:textId="77777777" w:rsidR="00000000" w:rsidRDefault="00195E73">
            <w:pPr>
              <w:jc w:val="right"/>
              <w:rPr>
                <w:rFonts w:eastAsia="Times New Roman"/>
              </w:rPr>
            </w:pPr>
            <w:r>
              <w:rPr>
                <w:rFonts w:eastAsia="Times New Roman"/>
                <w:color w:val="000000"/>
                <w:sz w:val="20"/>
                <w:szCs w:val="20"/>
              </w:rPr>
              <w:t>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10FC174"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7D595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D9C636"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895CA6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582A184"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7B2577" w14:textId="77777777" w:rsidR="00000000" w:rsidRDefault="00195E73">
            <w:pPr>
              <w:jc w:val="right"/>
              <w:rPr>
                <w:rFonts w:eastAsia="Times New Roman"/>
              </w:rPr>
            </w:pPr>
            <w:r>
              <w:rPr>
                <w:rFonts w:eastAsia="Times New Roman"/>
                <w:color w:val="000000"/>
                <w:sz w:val="20"/>
                <w:szCs w:val="20"/>
              </w:rPr>
              <w:t>612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258F7E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2A2B6988" w14:textId="77777777" w:rsidR="00000000" w:rsidRDefault="00195E73">
            <w:pPr>
              <w:rPr>
                <w:rFonts w:eastAsia="Times New Roman"/>
                <w:sz w:val="20"/>
                <w:szCs w:val="20"/>
              </w:rPr>
            </w:pPr>
          </w:p>
        </w:tc>
        <w:tc>
          <w:tcPr>
            <w:tcW w:w="0" w:type="auto"/>
            <w:vAlign w:val="center"/>
            <w:hideMark/>
          </w:tcPr>
          <w:p w14:paraId="5E7C4F9D" w14:textId="77777777" w:rsidR="00000000" w:rsidRDefault="00195E73">
            <w:pPr>
              <w:rPr>
                <w:rFonts w:eastAsia="Times New Roman"/>
                <w:sz w:val="20"/>
                <w:szCs w:val="20"/>
              </w:rPr>
            </w:pPr>
          </w:p>
        </w:tc>
        <w:tc>
          <w:tcPr>
            <w:tcW w:w="0" w:type="auto"/>
            <w:vAlign w:val="center"/>
            <w:hideMark/>
          </w:tcPr>
          <w:p w14:paraId="62071645" w14:textId="77777777" w:rsidR="00000000" w:rsidRDefault="00195E73">
            <w:pPr>
              <w:rPr>
                <w:rFonts w:eastAsia="Times New Roman"/>
                <w:sz w:val="20"/>
                <w:szCs w:val="20"/>
              </w:rPr>
            </w:pPr>
          </w:p>
        </w:tc>
        <w:tc>
          <w:tcPr>
            <w:tcW w:w="0" w:type="auto"/>
            <w:vAlign w:val="center"/>
            <w:hideMark/>
          </w:tcPr>
          <w:p w14:paraId="44EE45E9" w14:textId="77777777" w:rsidR="00000000" w:rsidRDefault="00195E73">
            <w:pPr>
              <w:rPr>
                <w:rFonts w:eastAsia="Times New Roman"/>
                <w:sz w:val="20"/>
                <w:szCs w:val="20"/>
              </w:rPr>
            </w:pPr>
          </w:p>
        </w:tc>
        <w:tc>
          <w:tcPr>
            <w:tcW w:w="0" w:type="auto"/>
            <w:vAlign w:val="center"/>
            <w:hideMark/>
          </w:tcPr>
          <w:p w14:paraId="03FCC441" w14:textId="77777777" w:rsidR="00000000" w:rsidRDefault="00195E73">
            <w:pPr>
              <w:rPr>
                <w:rFonts w:eastAsia="Times New Roman"/>
                <w:sz w:val="20"/>
                <w:szCs w:val="20"/>
              </w:rPr>
            </w:pPr>
          </w:p>
        </w:tc>
        <w:tc>
          <w:tcPr>
            <w:tcW w:w="0" w:type="auto"/>
            <w:vAlign w:val="center"/>
            <w:hideMark/>
          </w:tcPr>
          <w:p w14:paraId="1301A577" w14:textId="77777777" w:rsidR="00000000" w:rsidRDefault="00195E73">
            <w:pPr>
              <w:rPr>
                <w:rFonts w:eastAsia="Times New Roman"/>
                <w:sz w:val="20"/>
                <w:szCs w:val="20"/>
              </w:rPr>
            </w:pPr>
          </w:p>
        </w:tc>
        <w:tc>
          <w:tcPr>
            <w:tcW w:w="0" w:type="auto"/>
            <w:vAlign w:val="center"/>
            <w:hideMark/>
          </w:tcPr>
          <w:p w14:paraId="41359462" w14:textId="77777777" w:rsidR="00000000" w:rsidRDefault="00195E73">
            <w:pPr>
              <w:rPr>
                <w:rFonts w:eastAsia="Times New Roman"/>
                <w:sz w:val="20"/>
                <w:szCs w:val="20"/>
              </w:rPr>
            </w:pPr>
          </w:p>
        </w:tc>
        <w:tc>
          <w:tcPr>
            <w:tcW w:w="0" w:type="auto"/>
            <w:vAlign w:val="center"/>
            <w:hideMark/>
          </w:tcPr>
          <w:p w14:paraId="3F8A3863" w14:textId="77777777" w:rsidR="00000000" w:rsidRDefault="00195E73">
            <w:pPr>
              <w:rPr>
                <w:rFonts w:eastAsia="Times New Roman"/>
                <w:sz w:val="20"/>
                <w:szCs w:val="20"/>
              </w:rPr>
            </w:pPr>
          </w:p>
        </w:tc>
        <w:tc>
          <w:tcPr>
            <w:tcW w:w="0" w:type="auto"/>
            <w:vAlign w:val="center"/>
            <w:hideMark/>
          </w:tcPr>
          <w:p w14:paraId="34A1FE10" w14:textId="77777777" w:rsidR="00000000" w:rsidRDefault="00195E73">
            <w:pPr>
              <w:rPr>
                <w:rFonts w:eastAsia="Times New Roman"/>
                <w:sz w:val="20"/>
                <w:szCs w:val="20"/>
              </w:rPr>
            </w:pPr>
          </w:p>
        </w:tc>
        <w:tc>
          <w:tcPr>
            <w:tcW w:w="0" w:type="auto"/>
            <w:vAlign w:val="center"/>
            <w:hideMark/>
          </w:tcPr>
          <w:p w14:paraId="459C8C52" w14:textId="77777777" w:rsidR="00000000" w:rsidRDefault="00195E73">
            <w:pPr>
              <w:rPr>
                <w:rFonts w:eastAsia="Times New Roman"/>
                <w:sz w:val="20"/>
                <w:szCs w:val="20"/>
              </w:rPr>
            </w:pPr>
          </w:p>
        </w:tc>
        <w:tc>
          <w:tcPr>
            <w:tcW w:w="0" w:type="auto"/>
            <w:vAlign w:val="center"/>
            <w:hideMark/>
          </w:tcPr>
          <w:p w14:paraId="21BFFDD5" w14:textId="77777777" w:rsidR="00000000" w:rsidRDefault="00195E73">
            <w:pPr>
              <w:rPr>
                <w:rFonts w:eastAsia="Times New Roman"/>
                <w:sz w:val="20"/>
                <w:szCs w:val="20"/>
              </w:rPr>
            </w:pPr>
          </w:p>
        </w:tc>
        <w:tc>
          <w:tcPr>
            <w:tcW w:w="0" w:type="auto"/>
            <w:vAlign w:val="center"/>
            <w:hideMark/>
          </w:tcPr>
          <w:p w14:paraId="5D799843" w14:textId="77777777" w:rsidR="00000000" w:rsidRDefault="00195E73">
            <w:pPr>
              <w:rPr>
                <w:rFonts w:eastAsia="Times New Roman"/>
                <w:sz w:val="20"/>
                <w:szCs w:val="20"/>
              </w:rPr>
            </w:pPr>
          </w:p>
        </w:tc>
      </w:tr>
      <w:tr w:rsidR="00000000" w14:paraId="4013CF62" w14:textId="77777777">
        <w:trPr>
          <w:divId w:val="687021843"/>
          <w:jc w:val="center"/>
        </w:trPr>
        <w:tc>
          <w:tcPr>
            <w:tcW w:w="0" w:type="auto"/>
            <w:gridSpan w:val="3"/>
            <w:shd w:val="clear" w:color="auto" w:fill="FFFFFF"/>
            <w:tcMar>
              <w:top w:w="30" w:type="dxa"/>
              <w:left w:w="20" w:type="dxa"/>
              <w:bottom w:w="30" w:type="dxa"/>
              <w:right w:w="20" w:type="dxa"/>
            </w:tcMar>
            <w:vAlign w:val="bottom"/>
            <w:hideMark/>
          </w:tcPr>
          <w:p w14:paraId="6D2E7CE0" w14:textId="77777777" w:rsidR="00000000" w:rsidRDefault="00195E73">
            <w:pPr>
              <w:rPr>
                <w:rFonts w:eastAsia="Times New Roman"/>
              </w:rPr>
            </w:pPr>
            <w:r>
              <w:rPr>
                <w:rFonts w:eastAsia="Times New Roman"/>
                <w:color w:val="000000"/>
                <w:sz w:val="20"/>
                <w:szCs w:val="20"/>
              </w:rPr>
              <w:t>Proceeds from borrowing</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B799749" w14:textId="77777777" w:rsidR="00000000" w:rsidRDefault="00195E73">
            <w:pPr>
              <w:jc w:val="right"/>
              <w:rPr>
                <w:rFonts w:eastAsia="Times New Roman"/>
              </w:rPr>
            </w:pPr>
            <w:r>
              <w:rPr>
                <w:rFonts w:eastAsia="Times New Roman"/>
                <w:color w:val="000000"/>
                <w:sz w:val="20"/>
                <w:szCs w:val="20"/>
              </w:rPr>
              <w:t>2,507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AD935F"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7FBAB23"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E1087F"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00FE57A"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CE33E08"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CF8209" w14:textId="77777777" w:rsidR="00000000" w:rsidRDefault="00195E73">
            <w:pPr>
              <w:jc w:val="right"/>
              <w:rPr>
                <w:rFonts w:eastAsia="Times New Roman"/>
              </w:rPr>
            </w:pPr>
            <w:r>
              <w:rPr>
                <w:rFonts w:eastAsia="Times New Roman"/>
                <w:color w:val="000000"/>
                <w:sz w:val="20"/>
                <w:szCs w:val="20"/>
              </w:rPr>
              <w:t>2,470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7BC77E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4508A4B" w14:textId="77777777" w:rsidR="00000000" w:rsidRDefault="00195E73">
            <w:pPr>
              <w:rPr>
                <w:rFonts w:eastAsia="Times New Roman"/>
                <w:sz w:val="20"/>
                <w:szCs w:val="20"/>
              </w:rPr>
            </w:pPr>
          </w:p>
        </w:tc>
        <w:tc>
          <w:tcPr>
            <w:tcW w:w="0" w:type="auto"/>
            <w:vAlign w:val="center"/>
            <w:hideMark/>
          </w:tcPr>
          <w:p w14:paraId="50D653FC" w14:textId="77777777" w:rsidR="00000000" w:rsidRDefault="00195E73">
            <w:pPr>
              <w:rPr>
                <w:rFonts w:eastAsia="Times New Roman"/>
                <w:sz w:val="20"/>
                <w:szCs w:val="20"/>
              </w:rPr>
            </w:pPr>
          </w:p>
        </w:tc>
        <w:tc>
          <w:tcPr>
            <w:tcW w:w="0" w:type="auto"/>
            <w:vAlign w:val="center"/>
            <w:hideMark/>
          </w:tcPr>
          <w:p w14:paraId="4960C463" w14:textId="77777777" w:rsidR="00000000" w:rsidRDefault="00195E73">
            <w:pPr>
              <w:rPr>
                <w:rFonts w:eastAsia="Times New Roman"/>
                <w:sz w:val="20"/>
                <w:szCs w:val="20"/>
              </w:rPr>
            </w:pPr>
          </w:p>
        </w:tc>
        <w:tc>
          <w:tcPr>
            <w:tcW w:w="0" w:type="auto"/>
            <w:vAlign w:val="center"/>
            <w:hideMark/>
          </w:tcPr>
          <w:p w14:paraId="205ADBA4" w14:textId="77777777" w:rsidR="00000000" w:rsidRDefault="00195E73">
            <w:pPr>
              <w:rPr>
                <w:rFonts w:eastAsia="Times New Roman"/>
                <w:sz w:val="20"/>
                <w:szCs w:val="20"/>
              </w:rPr>
            </w:pPr>
          </w:p>
        </w:tc>
        <w:tc>
          <w:tcPr>
            <w:tcW w:w="0" w:type="auto"/>
            <w:vAlign w:val="center"/>
            <w:hideMark/>
          </w:tcPr>
          <w:p w14:paraId="58A8D59A" w14:textId="77777777" w:rsidR="00000000" w:rsidRDefault="00195E73">
            <w:pPr>
              <w:rPr>
                <w:rFonts w:eastAsia="Times New Roman"/>
                <w:sz w:val="20"/>
                <w:szCs w:val="20"/>
              </w:rPr>
            </w:pPr>
          </w:p>
        </w:tc>
        <w:tc>
          <w:tcPr>
            <w:tcW w:w="0" w:type="auto"/>
            <w:vAlign w:val="center"/>
            <w:hideMark/>
          </w:tcPr>
          <w:p w14:paraId="60176988" w14:textId="77777777" w:rsidR="00000000" w:rsidRDefault="00195E73">
            <w:pPr>
              <w:rPr>
                <w:rFonts w:eastAsia="Times New Roman"/>
                <w:sz w:val="20"/>
                <w:szCs w:val="20"/>
              </w:rPr>
            </w:pPr>
          </w:p>
        </w:tc>
        <w:tc>
          <w:tcPr>
            <w:tcW w:w="0" w:type="auto"/>
            <w:vAlign w:val="center"/>
            <w:hideMark/>
          </w:tcPr>
          <w:p w14:paraId="7D387885" w14:textId="77777777" w:rsidR="00000000" w:rsidRDefault="00195E73">
            <w:pPr>
              <w:rPr>
                <w:rFonts w:eastAsia="Times New Roman"/>
                <w:sz w:val="20"/>
                <w:szCs w:val="20"/>
              </w:rPr>
            </w:pPr>
          </w:p>
        </w:tc>
        <w:tc>
          <w:tcPr>
            <w:tcW w:w="0" w:type="auto"/>
            <w:vAlign w:val="center"/>
            <w:hideMark/>
          </w:tcPr>
          <w:p w14:paraId="7A7478A7" w14:textId="77777777" w:rsidR="00000000" w:rsidRDefault="00195E73">
            <w:pPr>
              <w:rPr>
                <w:rFonts w:eastAsia="Times New Roman"/>
                <w:sz w:val="20"/>
                <w:szCs w:val="20"/>
              </w:rPr>
            </w:pPr>
          </w:p>
        </w:tc>
        <w:tc>
          <w:tcPr>
            <w:tcW w:w="0" w:type="auto"/>
            <w:vAlign w:val="center"/>
            <w:hideMark/>
          </w:tcPr>
          <w:p w14:paraId="6145A610" w14:textId="77777777" w:rsidR="00000000" w:rsidRDefault="00195E73">
            <w:pPr>
              <w:rPr>
                <w:rFonts w:eastAsia="Times New Roman"/>
                <w:sz w:val="20"/>
                <w:szCs w:val="20"/>
              </w:rPr>
            </w:pPr>
          </w:p>
        </w:tc>
        <w:tc>
          <w:tcPr>
            <w:tcW w:w="0" w:type="auto"/>
            <w:vAlign w:val="center"/>
            <w:hideMark/>
          </w:tcPr>
          <w:p w14:paraId="48009658" w14:textId="77777777" w:rsidR="00000000" w:rsidRDefault="00195E73">
            <w:pPr>
              <w:rPr>
                <w:rFonts w:eastAsia="Times New Roman"/>
                <w:sz w:val="20"/>
                <w:szCs w:val="20"/>
              </w:rPr>
            </w:pPr>
          </w:p>
        </w:tc>
        <w:tc>
          <w:tcPr>
            <w:tcW w:w="0" w:type="auto"/>
            <w:vAlign w:val="center"/>
            <w:hideMark/>
          </w:tcPr>
          <w:p w14:paraId="59948256" w14:textId="77777777" w:rsidR="00000000" w:rsidRDefault="00195E73">
            <w:pPr>
              <w:rPr>
                <w:rFonts w:eastAsia="Times New Roman"/>
                <w:sz w:val="20"/>
                <w:szCs w:val="20"/>
              </w:rPr>
            </w:pPr>
          </w:p>
        </w:tc>
        <w:tc>
          <w:tcPr>
            <w:tcW w:w="0" w:type="auto"/>
            <w:vAlign w:val="center"/>
            <w:hideMark/>
          </w:tcPr>
          <w:p w14:paraId="31590B50" w14:textId="77777777" w:rsidR="00000000" w:rsidRDefault="00195E73">
            <w:pPr>
              <w:rPr>
                <w:rFonts w:eastAsia="Times New Roman"/>
                <w:sz w:val="20"/>
                <w:szCs w:val="20"/>
              </w:rPr>
            </w:pPr>
          </w:p>
        </w:tc>
      </w:tr>
      <w:tr w:rsidR="00000000" w14:paraId="76EE727A" w14:textId="77777777">
        <w:trPr>
          <w:divId w:val="687021843"/>
          <w:jc w:val="center"/>
        </w:trPr>
        <w:tc>
          <w:tcPr>
            <w:tcW w:w="0" w:type="auto"/>
            <w:gridSpan w:val="3"/>
            <w:shd w:val="clear" w:color="auto" w:fill="CCEEFF"/>
            <w:tcMar>
              <w:top w:w="30" w:type="dxa"/>
              <w:left w:w="20" w:type="dxa"/>
              <w:bottom w:w="30" w:type="dxa"/>
              <w:right w:w="20" w:type="dxa"/>
            </w:tcMar>
            <w:vAlign w:val="bottom"/>
            <w:hideMark/>
          </w:tcPr>
          <w:p w14:paraId="5307BBD7" w14:textId="77777777" w:rsidR="00000000" w:rsidRDefault="00195E73">
            <w:pPr>
              <w:rPr>
                <w:rFonts w:eastAsia="Times New Roman"/>
              </w:rPr>
            </w:pPr>
            <w:r>
              <w:rPr>
                <w:rFonts w:eastAsia="Times New Roman"/>
                <w:color w:val="000000"/>
                <w:sz w:val="20"/>
                <w:szCs w:val="20"/>
              </w:rPr>
              <w:t>Repayments of borrowing</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ABE0DC1" w14:textId="77777777" w:rsidR="00000000" w:rsidRDefault="00195E73">
            <w:pPr>
              <w:jc w:val="right"/>
              <w:rPr>
                <w:rFonts w:eastAsia="Times New Roman"/>
              </w:rPr>
            </w:pPr>
            <w:r>
              <w:rPr>
                <w:rFonts w:eastAsia="Times New Roman"/>
                <w:color w:val="000000"/>
                <w:sz w:val="20"/>
                <w:szCs w:val="20"/>
              </w:rPr>
              <w:t>(1,700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8229F7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34CB030"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0FE300" w14:textId="77777777" w:rsidR="00000000" w:rsidRDefault="00195E73">
            <w:pPr>
              <w:jc w:val="right"/>
              <w:rPr>
                <w:rFonts w:eastAsia="Times New Roman"/>
              </w:rPr>
            </w:pPr>
            <w:r>
              <w:rPr>
                <w:rFonts w:eastAsia="Times New Roman"/>
                <w:color w:val="000000"/>
                <w:sz w:val="20"/>
                <w:szCs w:val="20"/>
              </w:rPr>
              <w:t>(21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C844E5E"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ABF550D"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2E9297" w14:textId="77777777" w:rsidR="00000000" w:rsidRDefault="00195E73">
            <w:pPr>
              <w:jc w:val="right"/>
              <w:rPr>
                <w:rFonts w:eastAsia="Times New Roman"/>
              </w:rPr>
            </w:pPr>
            <w:r>
              <w:rPr>
                <w:rFonts w:eastAsia="Times New Roman"/>
                <w:color w:val="000000"/>
                <w:sz w:val="20"/>
                <w:szCs w:val="20"/>
              </w:rPr>
              <w:t>(2,450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ABA6D8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3D093A4C" w14:textId="77777777" w:rsidR="00000000" w:rsidRDefault="00195E73">
            <w:pPr>
              <w:rPr>
                <w:rFonts w:eastAsia="Times New Roman"/>
                <w:sz w:val="20"/>
                <w:szCs w:val="20"/>
              </w:rPr>
            </w:pPr>
          </w:p>
        </w:tc>
        <w:tc>
          <w:tcPr>
            <w:tcW w:w="0" w:type="auto"/>
            <w:vAlign w:val="center"/>
            <w:hideMark/>
          </w:tcPr>
          <w:p w14:paraId="260E566B" w14:textId="77777777" w:rsidR="00000000" w:rsidRDefault="00195E73">
            <w:pPr>
              <w:rPr>
                <w:rFonts w:eastAsia="Times New Roman"/>
                <w:sz w:val="20"/>
                <w:szCs w:val="20"/>
              </w:rPr>
            </w:pPr>
          </w:p>
        </w:tc>
        <w:tc>
          <w:tcPr>
            <w:tcW w:w="0" w:type="auto"/>
            <w:vAlign w:val="center"/>
            <w:hideMark/>
          </w:tcPr>
          <w:p w14:paraId="0F16146D" w14:textId="77777777" w:rsidR="00000000" w:rsidRDefault="00195E73">
            <w:pPr>
              <w:rPr>
                <w:rFonts w:eastAsia="Times New Roman"/>
                <w:sz w:val="20"/>
                <w:szCs w:val="20"/>
              </w:rPr>
            </w:pPr>
          </w:p>
        </w:tc>
        <w:tc>
          <w:tcPr>
            <w:tcW w:w="0" w:type="auto"/>
            <w:vAlign w:val="center"/>
            <w:hideMark/>
          </w:tcPr>
          <w:p w14:paraId="5D1A4CFF" w14:textId="77777777" w:rsidR="00000000" w:rsidRDefault="00195E73">
            <w:pPr>
              <w:rPr>
                <w:rFonts w:eastAsia="Times New Roman"/>
                <w:sz w:val="20"/>
                <w:szCs w:val="20"/>
              </w:rPr>
            </w:pPr>
          </w:p>
        </w:tc>
        <w:tc>
          <w:tcPr>
            <w:tcW w:w="0" w:type="auto"/>
            <w:vAlign w:val="center"/>
            <w:hideMark/>
          </w:tcPr>
          <w:p w14:paraId="5508C3B4" w14:textId="77777777" w:rsidR="00000000" w:rsidRDefault="00195E73">
            <w:pPr>
              <w:rPr>
                <w:rFonts w:eastAsia="Times New Roman"/>
                <w:sz w:val="20"/>
                <w:szCs w:val="20"/>
              </w:rPr>
            </w:pPr>
          </w:p>
        </w:tc>
        <w:tc>
          <w:tcPr>
            <w:tcW w:w="0" w:type="auto"/>
            <w:vAlign w:val="center"/>
            <w:hideMark/>
          </w:tcPr>
          <w:p w14:paraId="4C48ADE7" w14:textId="77777777" w:rsidR="00000000" w:rsidRDefault="00195E73">
            <w:pPr>
              <w:rPr>
                <w:rFonts w:eastAsia="Times New Roman"/>
                <w:sz w:val="20"/>
                <w:szCs w:val="20"/>
              </w:rPr>
            </w:pPr>
          </w:p>
        </w:tc>
        <w:tc>
          <w:tcPr>
            <w:tcW w:w="0" w:type="auto"/>
            <w:vAlign w:val="center"/>
            <w:hideMark/>
          </w:tcPr>
          <w:p w14:paraId="1B4444C5" w14:textId="77777777" w:rsidR="00000000" w:rsidRDefault="00195E73">
            <w:pPr>
              <w:rPr>
                <w:rFonts w:eastAsia="Times New Roman"/>
                <w:sz w:val="20"/>
                <w:szCs w:val="20"/>
              </w:rPr>
            </w:pPr>
          </w:p>
        </w:tc>
        <w:tc>
          <w:tcPr>
            <w:tcW w:w="0" w:type="auto"/>
            <w:vAlign w:val="center"/>
            <w:hideMark/>
          </w:tcPr>
          <w:p w14:paraId="250F08D8" w14:textId="77777777" w:rsidR="00000000" w:rsidRDefault="00195E73">
            <w:pPr>
              <w:rPr>
                <w:rFonts w:eastAsia="Times New Roman"/>
                <w:sz w:val="20"/>
                <w:szCs w:val="20"/>
              </w:rPr>
            </w:pPr>
          </w:p>
        </w:tc>
        <w:tc>
          <w:tcPr>
            <w:tcW w:w="0" w:type="auto"/>
            <w:vAlign w:val="center"/>
            <w:hideMark/>
          </w:tcPr>
          <w:p w14:paraId="4CD300B0" w14:textId="77777777" w:rsidR="00000000" w:rsidRDefault="00195E73">
            <w:pPr>
              <w:rPr>
                <w:rFonts w:eastAsia="Times New Roman"/>
                <w:sz w:val="20"/>
                <w:szCs w:val="20"/>
              </w:rPr>
            </w:pPr>
          </w:p>
        </w:tc>
        <w:tc>
          <w:tcPr>
            <w:tcW w:w="0" w:type="auto"/>
            <w:vAlign w:val="center"/>
            <w:hideMark/>
          </w:tcPr>
          <w:p w14:paraId="55CE3EF2" w14:textId="77777777" w:rsidR="00000000" w:rsidRDefault="00195E73">
            <w:pPr>
              <w:rPr>
                <w:rFonts w:eastAsia="Times New Roman"/>
                <w:sz w:val="20"/>
                <w:szCs w:val="20"/>
              </w:rPr>
            </w:pPr>
          </w:p>
        </w:tc>
        <w:tc>
          <w:tcPr>
            <w:tcW w:w="0" w:type="auto"/>
            <w:vAlign w:val="center"/>
            <w:hideMark/>
          </w:tcPr>
          <w:p w14:paraId="6451B00A" w14:textId="77777777" w:rsidR="00000000" w:rsidRDefault="00195E73">
            <w:pPr>
              <w:rPr>
                <w:rFonts w:eastAsia="Times New Roman"/>
                <w:sz w:val="20"/>
                <w:szCs w:val="20"/>
              </w:rPr>
            </w:pPr>
          </w:p>
        </w:tc>
        <w:tc>
          <w:tcPr>
            <w:tcW w:w="0" w:type="auto"/>
            <w:vAlign w:val="center"/>
            <w:hideMark/>
          </w:tcPr>
          <w:p w14:paraId="2CDB5F94" w14:textId="77777777" w:rsidR="00000000" w:rsidRDefault="00195E73">
            <w:pPr>
              <w:rPr>
                <w:rFonts w:eastAsia="Times New Roman"/>
                <w:sz w:val="20"/>
                <w:szCs w:val="20"/>
              </w:rPr>
            </w:pPr>
          </w:p>
        </w:tc>
      </w:tr>
      <w:tr w:rsidR="00000000" w14:paraId="16211B0E" w14:textId="77777777">
        <w:trPr>
          <w:divId w:val="687021843"/>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34AA97A0" w14:textId="77777777" w:rsidR="00000000" w:rsidRDefault="00195E73">
            <w:pPr>
              <w:rPr>
                <w:rFonts w:eastAsia="Times New Roman"/>
              </w:rPr>
            </w:pPr>
            <w:r>
              <w:rPr>
                <w:rFonts w:eastAsia="Times New Roman"/>
                <w:color w:val="000000"/>
                <w:sz w:val="20"/>
                <w:szCs w:val="20"/>
              </w:rPr>
              <w:t>Debt issuance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F879EC8" w14:textId="77777777" w:rsidR="00000000" w:rsidRDefault="00195E73">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0E32756"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568EF6E"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B5F2A1"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029CFA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F0FDFE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0CAD01" w14:textId="77777777" w:rsidR="00000000" w:rsidRDefault="00195E73">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455D95A"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C80314D" w14:textId="77777777" w:rsidR="00000000" w:rsidRDefault="00195E73">
            <w:pPr>
              <w:rPr>
                <w:rFonts w:eastAsia="Times New Roman"/>
                <w:sz w:val="20"/>
                <w:szCs w:val="20"/>
              </w:rPr>
            </w:pPr>
          </w:p>
        </w:tc>
        <w:tc>
          <w:tcPr>
            <w:tcW w:w="0" w:type="auto"/>
            <w:vAlign w:val="center"/>
            <w:hideMark/>
          </w:tcPr>
          <w:p w14:paraId="3CF04E7C" w14:textId="77777777" w:rsidR="00000000" w:rsidRDefault="00195E73">
            <w:pPr>
              <w:rPr>
                <w:rFonts w:eastAsia="Times New Roman"/>
                <w:sz w:val="20"/>
                <w:szCs w:val="20"/>
              </w:rPr>
            </w:pPr>
          </w:p>
        </w:tc>
        <w:tc>
          <w:tcPr>
            <w:tcW w:w="0" w:type="auto"/>
            <w:vAlign w:val="center"/>
            <w:hideMark/>
          </w:tcPr>
          <w:p w14:paraId="69FFBA05" w14:textId="77777777" w:rsidR="00000000" w:rsidRDefault="00195E73">
            <w:pPr>
              <w:rPr>
                <w:rFonts w:eastAsia="Times New Roman"/>
                <w:sz w:val="20"/>
                <w:szCs w:val="20"/>
              </w:rPr>
            </w:pPr>
          </w:p>
        </w:tc>
        <w:tc>
          <w:tcPr>
            <w:tcW w:w="0" w:type="auto"/>
            <w:vAlign w:val="center"/>
            <w:hideMark/>
          </w:tcPr>
          <w:p w14:paraId="12903CE4" w14:textId="77777777" w:rsidR="00000000" w:rsidRDefault="00195E73">
            <w:pPr>
              <w:rPr>
                <w:rFonts w:eastAsia="Times New Roman"/>
                <w:sz w:val="20"/>
                <w:szCs w:val="20"/>
              </w:rPr>
            </w:pPr>
          </w:p>
        </w:tc>
        <w:tc>
          <w:tcPr>
            <w:tcW w:w="0" w:type="auto"/>
            <w:vAlign w:val="center"/>
            <w:hideMark/>
          </w:tcPr>
          <w:p w14:paraId="427CBFF5" w14:textId="77777777" w:rsidR="00000000" w:rsidRDefault="00195E73">
            <w:pPr>
              <w:rPr>
                <w:rFonts w:eastAsia="Times New Roman"/>
                <w:sz w:val="20"/>
                <w:szCs w:val="20"/>
              </w:rPr>
            </w:pPr>
          </w:p>
        </w:tc>
        <w:tc>
          <w:tcPr>
            <w:tcW w:w="0" w:type="auto"/>
            <w:vAlign w:val="center"/>
            <w:hideMark/>
          </w:tcPr>
          <w:p w14:paraId="46DCFEA2" w14:textId="77777777" w:rsidR="00000000" w:rsidRDefault="00195E73">
            <w:pPr>
              <w:rPr>
                <w:rFonts w:eastAsia="Times New Roman"/>
                <w:sz w:val="20"/>
                <w:szCs w:val="20"/>
              </w:rPr>
            </w:pPr>
          </w:p>
        </w:tc>
        <w:tc>
          <w:tcPr>
            <w:tcW w:w="0" w:type="auto"/>
            <w:vAlign w:val="center"/>
            <w:hideMark/>
          </w:tcPr>
          <w:p w14:paraId="27216485" w14:textId="77777777" w:rsidR="00000000" w:rsidRDefault="00195E73">
            <w:pPr>
              <w:rPr>
                <w:rFonts w:eastAsia="Times New Roman"/>
                <w:sz w:val="20"/>
                <w:szCs w:val="20"/>
              </w:rPr>
            </w:pPr>
          </w:p>
        </w:tc>
        <w:tc>
          <w:tcPr>
            <w:tcW w:w="0" w:type="auto"/>
            <w:vAlign w:val="center"/>
            <w:hideMark/>
          </w:tcPr>
          <w:p w14:paraId="471A09B9" w14:textId="77777777" w:rsidR="00000000" w:rsidRDefault="00195E73">
            <w:pPr>
              <w:rPr>
                <w:rFonts w:eastAsia="Times New Roman"/>
                <w:sz w:val="20"/>
                <w:szCs w:val="20"/>
              </w:rPr>
            </w:pPr>
          </w:p>
        </w:tc>
        <w:tc>
          <w:tcPr>
            <w:tcW w:w="0" w:type="auto"/>
            <w:vAlign w:val="center"/>
            <w:hideMark/>
          </w:tcPr>
          <w:p w14:paraId="4CF3DC04" w14:textId="77777777" w:rsidR="00000000" w:rsidRDefault="00195E73">
            <w:pPr>
              <w:rPr>
                <w:rFonts w:eastAsia="Times New Roman"/>
                <w:sz w:val="20"/>
                <w:szCs w:val="20"/>
              </w:rPr>
            </w:pPr>
          </w:p>
        </w:tc>
        <w:tc>
          <w:tcPr>
            <w:tcW w:w="0" w:type="auto"/>
            <w:vAlign w:val="center"/>
            <w:hideMark/>
          </w:tcPr>
          <w:p w14:paraId="424C6F2D" w14:textId="77777777" w:rsidR="00000000" w:rsidRDefault="00195E73">
            <w:pPr>
              <w:rPr>
                <w:rFonts w:eastAsia="Times New Roman"/>
                <w:sz w:val="20"/>
                <w:szCs w:val="20"/>
              </w:rPr>
            </w:pPr>
          </w:p>
        </w:tc>
        <w:tc>
          <w:tcPr>
            <w:tcW w:w="0" w:type="auto"/>
            <w:vAlign w:val="center"/>
            <w:hideMark/>
          </w:tcPr>
          <w:p w14:paraId="0951F681" w14:textId="77777777" w:rsidR="00000000" w:rsidRDefault="00195E73">
            <w:pPr>
              <w:rPr>
                <w:rFonts w:eastAsia="Times New Roman"/>
                <w:sz w:val="20"/>
                <w:szCs w:val="20"/>
              </w:rPr>
            </w:pPr>
          </w:p>
        </w:tc>
        <w:tc>
          <w:tcPr>
            <w:tcW w:w="0" w:type="auto"/>
            <w:vAlign w:val="center"/>
            <w:hideMark/>
          </w:tcPr>
          <w:p w14:paraId="286A6E95" w14:textId="77777777" w:rsidR="00000000" w:rsidRDefault="00195E73">
            <w:pPr>
              <w:rPr>
                <w:rFonts w:eastAsia="Times New Roman"/>
                <w:sz w:val="20"/>
                <w:szCs w:val="20"/>
              </w:rPr>
            </w:pPr>
          </w:p>
        </w:tc>
      </w:tr>
      <w:tr w:rsidR="00000000" w14:paraId="086004B2" w14:textId="77777777">
        <w:trPr>
          <w:divId w:val="687021843"/>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0F17A229" w14:textId="77777777" w:rsidR="00000000" w:rsidRDefault="00195E73">
            <w:pPr>
              <w:rPr>
                <w:rFonts w:eastAsia="Times New Roman"/>
              </w:rPr>
            </w:pPr>
            <w:r>
              <w:rPr>
                <w:rFonts w:eastAsia="Times New Roman"/>
                <w:color w:val="000000"/>
                <w:sz w:val="20"/>
                <w:szCs w:val="20"/>
              </w:rPr>
              <w:t>Net cash provided by (used in) financing activitie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B4A99B" w14:textId="77777777" w:rsidR="00000000" w:rsidRDefault="00195E73">
            <w:pPr>
              <w:jc w:val="right"/>
              <w:rPr>
                <w:rFonts w:eastAsia="Times New Roman"/>
              </w:rPr>
            </w:pPr>
            <w:r>
              <w:rPr>
                <w:rFonts w:eastAsia="Times New Roman"/>
                <w:color w:val="000000"/>
                <w:sz w:val="20"/>
                <w:szCs w:val="20"/>
              </w:rPr>
              <w:t>738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5DB675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D175742"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7B47BB" w14:textId="77777777" w:rsidR="00000000" w:rsidRDefault="00195E73">
            <w:pPr>
              <w:jc w:val="right"/>
              <w:rPr>
                <w:rFonts w:eastAsia="Times New Roman"/>
              </w:rPr>
            </w:pPr>
            <w:r>
              <w:rPr>
                <w:rFonts w:eastAsia="Times New Roman"/>
                <w:color w:val="000000"/>
                <w:sz w:val="20"/>
                <w:szCs w:val="20"/>
              </w:rPr>
              <w:t>(118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B7BB91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478470D" w14:textId="77777777" w:rsidR="00000000" w:rsidRDefault="00195E73">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4A9132" w14:textId="77777777" w:rsidR="00000000" w:rsidRDefault="00195E73">
            <w:pPr>
              <w:jc w:val="right"/>
              <w:rPr>
                <w:rFonts w:eastAsia="Times New Roman"/>
              </w:rPr>
            </w:pPr>
            <w:r>
              <w:rPr>
                <w:rFonts w:eastAsia="Times New Roman"/>
                <w:color w:val="000000"/>
                <w:sz w:val="20"/>
                <w:szCs w:val="20"/>
              </w:rPr>
              <w:t>544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8B0EBF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659B43B" w14:textId="77777777" w:rsidR="00000000" w:rsidRDefault="00195E73">
            <w:pPr>
              <w:rPr>
                <w:rFonts w:eastAsia="Times New Roman"/>
                <w:sz w:val="20"/>
                <w:szCs w:val="20"/>
              </w:rPr>
            </w:pPr>
          </w:p>
        </w:tc>
        <w:tc>
          <w:tcPr>
            <w:tcW w:w="0" w:type="auto"/>
            <w:vAlign w:val="center"/>
            <w:hideMark/>
          </w:tcPr>
          <w:p w14:paraId="4A64102D" w14:textId="77777777" w:rsidR="00000000" w:rsidRDefault="00195E73">
            <w:pPr>
              <w:rPr>
                <w:rFonts w:eastAsia="Times New Roman"/>
                <w:sz w:val="20"/>
                <w:szCs w:val="20"/>
              </w:rPr>
            </w:pPr>
          </w:p>
        </w:tc>
        <w:tc>
          <w:tcPr>
            <w:tcW w:w="0" w:type="auto"/>
            <w:vAlign w:val="center"/>
            <w:hideMark/>
          </w:tcPr>
          <w:p w14:paraId="7BCD78E4" w14:textId="77777777" w:rsidR="00000000" w:rsidRDefault="00195E73">
            <w:pPr>
              <w:rPr>
                <w:rFonts w:eastAsia="Times New Roman"/>
                <w:sz w:val="20"/>
                <w:szCs w:val="20"/>
              </w:rPr>
            </w:pPr>
          </w:p>
        </w:tc>
        <w:tc>
          <w:tcPr>
            <w:tcW w:w="0" w:type="auto"/>
            <w:vAlign w:val="center"/>
            <w:hideMark/>
          </w:tcPr>
          <w:p w14:paraId="14A3CE46" w14:textId="77777777" w:rsidR="00000000" w:rsidRDefault="00195E73">
            <w:pPr>
              <w:rPr>
                <w:rFonts w:eastAsia="Times New Roman"/>
                <w:sz w:val="20"/>
                <w:szCs w:val="20"/>
              </w:rPr>
            </w:pPr>
          </w:p>
        </w:tc>
        <w:tc>
          <w:tcPr>
            <w:tcW w:w="0" w:type="auto"/>
            <w:vAlign w:val="center"/>
            <w:hideMark/>
          </w:tcPr>
          <w:p w14:paraId="6B2D0840" w14:textId="77777777" w:rsidR="00000000" w:rsidRDefault="00195E73">
            <w:pPr>
              <w:rPr>
                <w:rFonts w:eastAsia="Times New Roman"/>
                <w:sz w:val="20"/>
                <w:szCs w:val="20"/>
              </w:rPr>
            </w:pPr>
          </w:p>
        </w:tc>
        <w:tc>
          <w:tcPr>
            <w:tcW w:w="0" w:type="auto"/>
            <w:vAlign w:val="center"/>
            <w:hideMark/>
          </w:tcPr>
          <w:p w14:paraId="39A281A0" w14:textId="77777777" w:rsidR="00000000" w:rsidRDefault="00195E73">
            <w:pPr>
              <w:rPr>
                <w:rFonts w:eastAsia="Times New Roman"/>
                <w:sz w:val="20"/>
                <w:szCs w:val="20"/>
              </w:rPr>
            </w:pPr>
          </w:p>
        </w:tc>
        <w:tc>
          <w:tcPr>
            <w:tcW w:w="0" w:type="auto"/>
            <w:vAlign w:val="center"/>
            <w:hideMark/>
          </w:tcPr>
          <w:p w14:paraId="2A53B310" w14:textId="77777777" w:rsidR="00000000" w:rsidRDefault="00195E73">
            <w:pPr>
              <w:rPr>
                <w:rFonts w:eastAsia="Times New Roman"/>
                <w:sz w:val="20"/>
                <w:szCs w:val="20"/>
              </w:rPr>
            </w:pPr>
          </w:p>
        </w:tc>
        <w:tc>
          <w:tcPr>
            <w:tcW w:w="0" w:type="auto"/>
            <w:vAlign w:val="center"/>
            <w:hideMark/>
          </w:tcPr>
          <w:p w14:paraId="680941C7" w14:textId="77777777" w:rsidR="00000000" w:rsidRDefault="00195E73">
            <w:pPr>
              <w:rPr>
                <w:rFonts w:eastAsia="Times New Roman"/>
                <w:sz w:val="20"/>
                <w:szCs w:val="20"/>
              </w:rPr>
            </w:pPr>
          </w:p>
        </w:tc>
        <w:tc>
          <w:tcPr>
            <w:tcW w:w="0" w:type="auto"/>
            <w:vAlign w:val="center"/>
            <w:hideMark/>
          </w:tcPr>
          <w:p w14:paraId="462D6EBF" w14:textId="77777777" w:rsidR="00000000" w:rsidRDefault="00195E73">
            <w:pPr>
              <w:rPr>
                <w:rFonts w:eastAsia="Times New Roman"/>
                <w:sz w:val="20"/>
                <w:szCs w:val="20"/>
              </w:rPr>
            </w:pPr>
          </w:p>
        </w:tc>
        <w:tc>
          <w:tcPr>
            <w:tcW w:w="0" w:type="auto"/>
            <w:vAlign w:val="center"/>
            <w:hideMark/>
          </w:tcPr>
          <w:p w14:paraId="57FE6E1A" w14:textId="77777777" w:rsidR="00000000" w:rsidRDefault="00195E73">
            <w:pPr>
              <w:rPr>
                <w:rFonts w:eastAsia="Times New Roman"/>
                <w:sz w:val="20"/>
                <w:szCs w:val="20"/>
              </w:rPr>
            </w:pPr>
          </w:p>
        </w:tc>
        <w:tc>
          <w:tcPr>
            <w:tcW w:w="0" w:type="auto"/>
            <w:vAlign w:val="center"/>
            <w:hideMark/>
          </w:tcPr>
          <w:p w14:paraId="56D2B7AE" w14:textId="77777777" w:rsidR="00000000" w:rsidRDefault="00195E73">
            <w:pPr>
              <w:rPr>
                <w:rFonts w:eastAsia="Times New Roman"/>
                <w:sz w:val="20"/>
                <w:szCs w:val="20"/>
              </w:rPr>
            </w:pPr>
          </w:p>
        </w:tc>
        <w:tc>
          <w:tcPr>
            <w:tcW w:w="0" w:type="auto"/>
            <w:vAlign w:val="center"/>
            <w:hideMark/>
          </w:tcPr>
          <w:p w14:paraId="6CDD7F0D" w14:textId="77777777" w:rsidR="00000000" w:rsidRDefault="00195E73">
            <w:pPr>
              <w:rPr>
                <w:rFonts w:eastAsia="Times New Roman"/>
                <w:sz w:val="20"/>
                <w:szCs w:val="20"/>
              </w:rPr>
            </w:pPr>
          </w:p>
        </w:tc>
      </w:tr>
      <w:tr w:rsidR="00000000" w14:paraId="7BC695ED" w14:textId="77777777">
        <w:trPr>
          <w:divId w:val="687021843"/>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66A0D496" w14:textId="77777777" w:rsidR="00000000" w:rsidRDefault="00195E73">
            <w:pPr>
              <w:ind w:hanging="180"/>
              <w:divId w:val="1066145121"/>
              <w:rPr>
                <w:rFonts w:eastAsia="Times New Roman"/>
              </w:rPr>
            </w:pPr>
            <w:r>
              <w:rPr>
                <w:rFonts w:eastAsia="Times New Roman"/>
                <w:b/>
                <w:bCs/>
                <w:color w:val="000000"/>
                <w:sz w:val="20"/>
                <w:szCs w:val="20"/>
              </w:rPr>
              <w:t>Net change in cash and cash equivalents and restricted cash and restricted cash equivalent</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0879F9" w14:textId="77777777" w:rsidR="00000000" w:rsidRDefault="00195E73">
            <w:pPr>
              <w:jc w:val="right"/>
              <w:rPr>
                <w:rFonts w:eastAsia="Times New Roman"/>
              </w:rPr>
            </w:pPr>
            <w:r>
              <w:rPr>
                <w:rFonts w:eastAsia="Times New Roman"/>
                <w:color w:val="000000"/>
                <w:sz w:val="20"/>
                <w:szCs w:val="20"/>
              </w:rPr>
              <w:t>990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73C2C7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A836186"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41084E" w14:textId="77777777" w:rsidR="00000000" w:rsidRDefault="00195E73">
            <w:pPr>
              <w:jc w:val="right"/>
              <w:rPr>
                <w:rFonts w:eastAsia="Times New Roman"/>
              </w:rPr>
            </w:pPr>
            <w:r>
              <w:rPr>
                <w:rFonts w:eastAsia="Times New Roman"/>
                <w:color w:val="000000"/>
                <w:sz w:val="20"/>
                <w:szCs w:val="20"/>
              </w:rPr>
              <w:t>(182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2E85BC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71580B1" w14:textId="77777777" w:rsidR="00000000" w:rsidRDefault="00195E73">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F6BDE5" w14:textId="77777777" w:rsidR="00000000" w:rsidRDefault="00195E73">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AE008DB"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FC08D67" w14:textId="77777777" w:rsidR="00000000" w:rsidRDefault="00195E73">
            <w:pPr>
              <w:rPr>
                <w:rFonts w:eastAsia="Times New Roman"/>
                <w:sz w:val="20"/>
                <w:szCs w:val="20"/>
              </w:rPr>
            </w:pPr>
          </w:p>
        </w:tc>
        <w:tc>
          <w:tcPr>
            <w:tcW w:w="0" w:type="auto"/>
            <w:vAlign w:val="center"/>
            <w:hideMark/>
          </w:tcPr>
          <w:p w14:paraId="78FD8C12" w14:textId="77777777" w:rsidR="00000000" w:rsidRDefault="00195E73">
            <w:pPr>
              <w:rPr>
                <w:rFonts w:eastAsia="Times New Roman"/>
                <w:sz w:val="20"/>
                <w:szCs w:val="20"/>
              </w:rPr>
            </w:pPr>
          </w:p>
        </w:tc>
        <w:tc>
          <w:tcPr>
            <w:tcW w:w="0" w:type="auto"/>
            <w:vAlign w:val="center"/>
            <w:hideMark/>
          </w:tcPr>
          <w:p w14:paraId="31F37EB5" w14:textId="77777777" w:rsidR="00000000" w:rsidRDefault="00195E73">
            <w:pPr>
              <w:rPr>
                <w:rFonts w:eastAsia="Times New Roman"/>
                <w:sz w:val="20"/>
                <w:szCs w:val="20"/>
              </w:rPr>
            </w:pPr>
          </w:p>
        </w:tc>
        <w:tc>
          <w:tcPr>
            <w:tcW w:w="0" w:type="auto"/>
            <w:vAlign w:val="center"/>
            <w:hideMark/>
          </w:tcPr>
          <w:p w14:paraId="6550BC72" w14:textId="77777777" w:rsidR="00000000" w:rsidRDefault="00195E73">
            <w:pPr>
              <w:rPr>
                <w:rFonts w:eastAsia="Times New Roman"/>
                <w:sz w:val="20"/>
                <w:szCs w:val="20"/>
              </w:rPr>
            </w:pPr>
          </w:p>
        </w:tc>
        <w:tc>
          <w:tcPr>
            <w:tcW w:w="0" w:type="auto"/>
            <w:vAlign w:val="center"/>
            <w:hideMark/>
          </w:tcPr>
          <w:p w14:paraId="655A4152" w14:textId="77777777" w:rsidR="00000000" w:rsidRDefault="00195E73">
            <w:pPr>
              <w:rPr>
                <w:rFonts w:eastAsia="Times New Roman"/>
                <w:sz w:val="20"/>
                <w:szCs w:val="20"/>
              </w:rPr>
            </w:pPr>
          </w:p>
        </w:tc>
        <w:tc>
          <w:tcPr>
            <w:tcW w:w="0" w:type="auto"/>
            <w:vAlign w:val="center"/>
            <w:hideMark/>
          </w:tcPr>
          <w:p w14:paraId="5288D3CF" w14:textId="77777777" w:rsidR="00000000" w:rsidRDefault="00195E73">
            <w:pPr>
              <w:rPr>
                <w:rFonts w:eastAsia="Times New Roman"/>
                <w:sz w:val="20"/>
                <w:szCs w:val="20"/>
              </w:rPr>
            </w:pPr>
          </w:p>
        </w:tc>
        <w:tc>
          <w:tcPr>
            <w:tcW w:w="0" w:type="auto"/>
            <w:vAlign w:val="center"/>
            <w:hideMark/>
          </w:tcPr>
          <w:p w14:paraId="6632910D" w14:textId="77777777" w:rsidR="00000000" w:rsidRDefault="00195E73">
            <w:pPr>
              <w:rPr>
                <w:rFonts w:eastAsia="Times New Roman"/>
                <w:sz w:val="20"/>
                <w:szCs w:val="20"/>
              </w:rPr>
            </w:pPr>
          </w:p>
        </w:tc>
        <w:tc>
          <w:tcPr>
            <w:tcW w:w="0" w:type="auto"/>
            <w:vAlign w:val="center"/>
            <w:hideMark/>
          </w:tcPr>
          <w:p w14:paraId="3CF38C4B" w14:textId="77777777" w:rsidR="00000000" w:rsidRDefault="00195E73">
            <w:pPr>
              <w:rPr>
                <w:rFonts w:eastAsia="Times New Roman"/>
                <w:sz w:val="20"/>
                <w:szCs w:val="20"/>
              </w:rPr>
            </w:pPr>
          </w:p>
        </w:tc>
        <w:tc>
          <w:tcPr>
            <w:tcW w:w="0" w:type="auto"/>
            <w:vAlign w:val="center"/>
            <w:hideMark/>
          </w:tcPr>
          <w:p w14:paraId="6659FAA7" w14:textId="77777777" w:rsidR="00000000" w:rsidRDefault="00195E73">
            <w:pPr>
              <w:rPr>
                <w:rFonts w:eastAsia="Times New Roman"/>
                <w:sz w:val="20"/>
                <w:szCs w:val="20"/>
              </w:rPr>
            </w:pPr>
          </w:p>
        </w:tc>
        <w:tc>
          <w:tcPr>
            <w:tcW w:w="0" w:type="auto"/>
            <w:vAlign w:val="center"/>
            <w:hideMark/>
          </w:tcPr>
          <w:p w14:paraId="24F1B79B" w14:textId="77777777" w:rsidR="00000000" w:rsidRDefault="00195E73">
            <w:pPr>
              <w:rPr>
                <w:rFonts w:eastAsia="Times New Roman"/>
                <w:sz w:val="20"/>
                <w:szCs w:val="20"/>
              </w:rPr>
            </w:pPr>
          </w:p>
        </w:tc>
        <w:tc>
          <w:tcPr>
            <w:tcW w:w="0" w:type="auto"/>
            <w:vAlign w:val="center"/>
            <w:hideMark/>
          </w:tcPr>
          <w:p w14:paraId="681D6E1A" w14:textId="77777777" w:rsidR="00000000" w:rsidRDefault="00195E73">
            <w:pPr>
              <w:rPr>
                <w:rFonts w:eastAsia="Times New Roman"/>
                <w:sz w:val="20"/>
                <w:szCs w:val="20"/>
              </w:rPr>
            </w:pPr>
          </w:p>
        </w:tc>
        <w:tc>
          <w:tcPr>
            <w:tcW w:w="0" w:type="auto"/>
            <w:vAlign w:val="center"/>
            <w:hideMark/>
          </w:tcPr>
          <w:p w14:paraId="4C15CF82" w14:textId="77777777" w:rsidR="00000000" w:rsidRDefault="00195E73">
            <w:pPr>
              <w:rPr>
                <w:rFonts w:eastAsia="Times New Roman"/>
                <w:sz w:val="20"/>
                <w:szCs w:val="20"/>
              </w:rPr>
            </w:pPr>
          </w:p>
        </w:tc>
      </w:tr>
      <w:tr w:rsidR="00000000" w14:paraId="78A8EC22" w14:textId="77777777">
        <w:trPr>
          <w:divId w:val="687021843"/>
          <w:jc w:val="center"/>
        </w:trPr>
        <w:tc>
          <w:tcPr>
            <w:tcW w:w="0" w:type="auto"/>
            <w:gridSpan w:val="3"/>
            <w:shd w:val="clear" w:color="auto" w:fill="CCEEFF"/>
            <w:tcMar>
              <w:top w:w="30" w:type="dxa"/>
              <w:left w:w="20" w:type="dxa"/>
              <w:bottom w:w="30" w:type="dxa"/>
              <w:right w:w="20" w:type="dxa"/>
            </w:tcMar>
            <w:vAlign w:val="bottom"/>
            <w:hideMark/>
          </w:tcPr>
          <w:p w14:paraId="0C728DED" w14:textId="77777777" w:rsidR="00000000" w:rsidRDefault="00195E73">
            <w:pPr>
              <w:ind w:hanging="180"/>
              <w:divId w:val="1258367171"/>
              <w:rPr>
                <w:rFonts w:eastAsia="Times New Roman"/>
              </w:rPr>
            </w:pPr>
            <w:r>
              <w:rPr>
                <w:rFonts w:eastAsia="Times New Roman"/>
                <w:color w:val="000000"/>
                <w:sz w:val="20"/>
                <w:szCs w:val="20"/>
              </w:rPr>
              <w:t>Cash and cash equivalents and restricted cash and restricted cash equivalents, beginning of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21BB7512" w14:textId="77777777" w:rsidR="00000000" w:rsidRDefault="00195E73">
            <w:pPr>
              <w:jc w:val="right"/>
              <w:rPr>
                <w:rFonts w:eastAsia="Times New Roman"/>
              </w:rPr>
            </w:pPr>
            <w:r>
              <w:rPr>
                <w:rFonts w:eastAsia="Times New Roman"/>
                <w:color w:val="000000"/>
                <w:sz w:val="20"/>
                <w:szCs w:val="20"/>
              </w:rPr>
              <w:t>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F870151"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94A48BB"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D512A3" w14:textId="77777777" w:rsidR="00000000" w:rsidRDefault="00195E73">
            <w:pPr>
              <w:jc w:val="right"/>
              <w:rPr>
                <w:rFonts w:eastAsia="Times New Roman"/>
              </w:rPr>
            </w:pPr>
            <w:r>
              <w:rPr>
                <w:rFonts w:eastAsia="Times New Roman"/>
                <w:color w:val="000000"/>
                <w:sz w:val="20"/>
                <w:szCs w:val="20"/>
              </w:rPr>
              <w:t>241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638D5D9"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70CF7C"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D47FDE" w14:textId="77777777" w:rsidR="00000000" w:rsidRDefault="00195E73">
            <w:pPr>
              <w:jc w:val="right"/>
              <w:rPr>
                <w:rFonts w:eastAsia="Times New Roman"/>
              </w:rPr>
            </w:pPr>
            <w:r>
              <w:rPr>
                <w:rFonts w:eastAsia="Times New Roman"/>
                <w:color w:val="000000"/>
                <w:sz w:val="20"/>
                <w:szCs w:val="20"/>
              </w:rPr>
              <w:t>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23A4DD9"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1C974BE" w14:textId="77777777" w:rsidR="00000000" w:rsidRDefault="00195E73">
            <w:pPr>
              <w:rPr>
                <w:rFonts w:eastAsia="Times New Roman"/>
                <w:sz w:val="20"/>
                <w:szCs w:val="20"/>
              </w:rPr>
            </w:pPr>
          </w:p>
        </w:tc>
        <w:tc>
          <w:tcPr>
            <w:tcW w:w="0" w:type="auto"/>
            <w:vAlign w:val="center"/>
            <w:hideMark/>
          </w:tcPr>
          <w:p w14:paraId="589080FA" w14:textId="77777777" w:rsidR="00000000" w:rsidRDefault="00195E73">
            <w:pPr>
              <w:rPr>
                <w:rFonts w:eastAsia="Times New Roman"/>
                <w:sz w:val="20"/>
                <w:szCs w:val="20"/>
              </w:rPr>
            </w:pPr>
          </w:p>
        </w:tc>
        <w:tc>
          <w:tcPr>
            <w:tcW w:w="0" w:type="auto"/>
            <w:vAlign w:val="center"/>
            <w:hideMark/>
          </w:tcPr>
          <w:p w14:paraId="3AB0DCA6" w14:textId="77777777" w:rsidR="00000000" w:rsidRDefault="00195E73">
            <w:pPr>
              <w:rPr>
                <w:rFonts w:eastAsia="Times New Roman"/>
                <w:sz w:val="20"/>
                <w:szCs w:val="20"/>
              </w:rPr>
            </w:pPr>
          </w:p>
        </w:tc>
        <w:tc>
          <w:tcPr>
            <w:tcW w:w="0" w:type="auto"/>
            <w:vAlign w:val="center"/>
            <w:hideMark/>
          </w:tcPr>
          <w:p w14:paraId="2E0DA060" w14:textId="77777777" w:rsidR="00000000" w:rsidRDefault="00195E73">
            <w:pPr>
              <w:rPr>
                <w:rFonts w:eastAsia="Times New Roman"/>
                <w:sz w:val="20"/>
                <w:szCs w:val="20"/>
              </w:rPr>
            </w:pPr>
          </w:p>
        </w:tc>
        <w:tc>
          <w:tcPr>
            <w:tcW w:w="0" w:type="auto"/>
            <w:vAlign w:val="center"/>
            <w:hideMark/>
          </w:tcPr>
          <w:p w14:paraId="5BCE5512" w14:textId="77777777" w:rsidR="00000000" w:rsidRDefault="00195E73">
            <w:pPr>
              <w:rPr>
                <w:rFonts w:eastAsia="Times New Roman"/>
                <w:sz w:val="20"/>
                <w:szCs w:val="20"/>
              </w:rPr>
            </w:pPr>
          </w:p>
        </w:tc>
        <w:tc>
          <w:tcPr>
            <w:tcW w:w="0" w:type="auto"/>
            <w:vAlign w:val="center"/>
            <w:hideMark/>
          </w:tcPr>
          <w:p w14:paraId="15A27759" w14:textId="77777777" w:rsidR="00000000" w:rsidRDefault="00195E73">
            <w:pPr>
              <w:rPr>
                <w:rFonts w:eastAsia="Times New Roman"/>
                <w:sz w:val="20"/>
                <w:szCs w:val="20"/>
              </w:rPr>
            </w:pPr>
          </w:p>
        </w:tc>
        <w:tc>
          <w:tcPr>
            <w:tcW w:w="0" w:type="auto"/>
            <w:vAlign w:val="center"/>
            <w:hideMark/>
          </w:tcPr>
          <w:p w14:paraId="14C942B6" w14:textId="77777777" w:rsidR="00000000" w:rsidRDefault="00195E73">
            <w:pPr>
              <w:rPr>
                <w:rFonts w:eastAsia="Times New Roman"/>
                <w:sz w:val="20"/>
                <w:szCs w:val="20"/>
              </w:rPr>
            </w:pPr>
          </w:p>
        </w:tc>
        <w:tc>
          <w:tcPr>
            <w:tcW w:w="0" w:type="auto"/>
            <w:vAlign w:val="center"/>
            <w:hideMark/>
          </w:tcPr>
          <w:p w14:paraId="08110E7F" w14:textId="77777777" w:rsidR="00000000" w:rsidRDefault="00195E73">
            <w:pPr>
              <w:rPr>
                <w:rFonts w:eastAsia="Times New Roman"/>
                <w:sz w:val="20"/>
                <w:szCs w:val="20"/>
              </w:rPr>
            </w:pPr>
          </w:p>
        </w:tc>
        <w:tc>
          <w:tcPr>
            <w:tcW w:w="0" w:type="auto"/>
            <w:vAlign w:val="center"/>
            <w:hideMark/>
          </w:tcPr>
          <w:p w14:paraId="1165D177" w14:textId="77777777" w:rsidR="00000000" w:rsidRDefault="00195E73">
            <w:pPr>
              <w:rPr>
                <w:rFonts w:eastAsia="Times New Roman"/>
                <w:sz w:val="20"/>
                <w:szCs w:val="20"/>
              </w:rPr>
            </w:pPr>
          </w:p>
        </w:tc>
        <w:tc>
          <w:tcPr>
            <w:tcW w:w="0" w:type="auto"/>
            <w:vAlign w:val="center"/>
            <w:hideMark/>
          </w:tcPr>
          <w:p w14:paraId="0A2185F8" w14:textId="77777777" w:rsidR="00000000" w:rsidRDefault="00195E73">
            <w:pPr>
              <w:rPr>
                <w:rFonts w:eastAsia="Times New Roman"/>
                <w:sz w:val="20"/>
                <w:szCs w:val="20"/>
              </w:rPr>
            </w:pPr>
          </w:p>
        </w:tc>
        <w:tc>
          <w:tcPr>
            <w:tcW w:w="0" w:type="auto"/>
            <w:vAlign w:val="center"/>
            <w:hideMark/>
          </w:tcPr>
          <w:p w14:paraId="431D365D" w14:textId="77777777" w:rsidR="00000000" w:rsidRDefault="00195E73">
            <w:pPr>
              <w:rPr>
                <w:rFonts w:eastAsia="Times New Roman"/>
                <w:sz w:val="20"/>
                <w:szCs w:val="20"/>
              </w:rPr>
            </w:pPr>
          </w:p>
        </w:tc>
        <w:tc>
          <w:tcPr>
            <w:tcW w:w="0" w:type="auto"/>
            <w:vAlign w:val="center"/>
            <w:hideMark/>
          </w:tcPr>
          <w:p w14:paraId="52BB5B43" w14:textId="77777777" w:rsidR="00000000" w:rsidRDefault="00195E73">
            <w:pPr>
              <w:rPr>
                <w:rFonts w:eastAsia="Times New Roman"/>
                <w:sz w:val="20"/>
                <w:szCs w:val="20"/>
              </w:rPr>
            </w:pPr>
          </w:p>
        </w:tc>
      </w:tr>
      <w:tr w:rsidR="00000000" w14:paraId="693505AE" w14:textId="77777777">
        <w:trPr>
          <w:divId w:val="687021843"/>
          <w:jc w:val="center"/>
        </w:trPr>
        <w:tc>
          <w:tcPr>
            <w:tcW w:w="0" w:type="auto"/>
            <w:gridSpan w:val="3"/>
            <w:tcBorders>
              <w:top w:val="single" w:sz="8" w:space="0" w:color="FFFFFF"/>
              <w:bottom w:val="single" w:sz="8" w:space="0" w:color="FFFFFF"/>
            </w:tcBorders>
            <w:shd w:val="clear" w:color="auto" w:fill="FFFFFF"/>
            <w:tcMar>
              <w:top w:w="30" w:type="dxa"/>
              <w:left w:w="20" w:type="dxa"/>
              <w:bottom w:w="30" w:type="dxa"/>
              <w:right w:w="20" w:type="dxa"/>
            </w:tcMar>
            <w:vAlign w:val="bottom"/>
            <w:hideMark/>
          </w:tcPr>
          <w:p w14:paraId="0377C98B" w14:textId="77777777" w:rsidR="00000000" w:rsidRDefault="00195E73">
            <w:pPr>
              <w:ind w:hanging="180"/>
              <w:divId w:val="1568299975"/>
              <w:rPr>
                <w:rFonts w:eastAsia="Times New Roman"/>
              </w:rPr>
            </w:pPr>
            <w:r>
              <w:rPr>
                <w:rFonts w:eastAsia="Times New Roman"/>
                <w:color w:val="000000"/>
                <w:sz w:val="20"/>
                <w:szCs w:val="20"/>
              </w:rPr>
              <w:t>Cash and cash equivalents and restricted cash and restricted cash equivalents, end of perio</w:t>
            </w:r>
            <w:r>
              <w:rPr>
                <w:rFonts w:eastAsia="Times New Roman"/>
                <w:color w:val="000000"/>
                <w:sz w:val="20"/>
                <w:szCs w:val="20"/>
              </w:rPr>
              <w:t>d</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57B9045"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05A7871" w14:textId="77777777" w:rsidR="00000000" w:rsidRDefault="00195E73">
            <w:pPr>
              <w:jc w:val="right"/>
              <w:rPr>
                <w:rFonts w:eastAsia="Times New Roman"/>
              </w:rPr>
            </w:pPr>
            <w:r>
              <w:rPr>
                <w:rFonts w:eastAsia="Times New Roman"/>
                <w:color w:val="000000"/>
                <w:sz w:val="20"/>
                <w:szCs w:val="20"/>
              </w:rPr>
              <w:t>1,049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9CB449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6124D64"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72F9939"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4815D368" w14:textId="77777777" w:rsidR="00000000" w:rsidRDefault="00195E73">
            <w:pPr>
              <w:jc w:val="right"/>
              <w:rPr>
                <w:rFonts w:eastAsia="Times New Roman"/>
              </w:rPr>
            </w:pPr>
            <w:r>
              <w:rPr>
                <w:rFonts w:eastAsia="Times New Roman"/>
                <w:color w:val="000000"/>
                <w:sz w:val="20"/>
                <w:szCs w:val="20"/>
              </w:rPr>
              <w:t>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85C235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1C54D73"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9390421"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B60272D" w14:textId="77777777" w:rsidR="00000000" w:rsidRDefault="00195E73">
            <w:pPr>
              <w:jc w:val="right"/>
              <w:rPr>
                <w:rFonts w:eastAsia="Times New Roman"/>
              </w:rPr>
            </w:pPr>
            <w:r>
              <w:rPr>
                <w:rFonts w:eastAsia="Times New Roman"/>
                <w:color w:val="000000"/>
                <w:sz w:val="20"/>
                <w:szCs w:val="20"/>
              </w:rPr>
              <w:t>241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2CBC43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E34184D" w14:textId="77777777" w:rsidR="00000000" w:rsidRDefault="00195E73">
            <w:pPr>
              <w:rPr>
                <w:rFonts w:eastAsia="Times New Roman"/>
                <w:sz w:val="20"/>
                <w:szCs w:val="20"/>
              </w:rPr>
            </w:pPr>
          </w:p>
        </w:tc>
        <w:tc>
          <w:tcPr>
            <w:tcW w:w="0" w:type="auto"/>
            <w:vAlign w:val="center"/>
            <w:hideMark/>
          </w:tcPr>
          <w:p w14:paraId="7F950807" w14:textId="77777777" w:rsidR="00000000" w:rsidRDefault="00195E73">
            <w:pPr>
              <w:rPr>
                <w:rFonts w:eastAsia="Times New Roman"/>
                <w:sz w:val="20"/>
                <w:szCs w:val="20"/>
              </w:rPr>
            </w:pPr>
          </w:p>
        </w:tc>
        <w:tc>
          <w:tcPr>
            <w:tcW w:w="0" w:type="auto"/>
            <w:vAlign w:val="center"/>
            <w:hideMark/>
          </w:tcPr>
          <w:p w14:paraId="1361EE61" w14:textId="77777777" w:rsidR="00000000" w:rsidRDefault="00195E73">
            <w:pPr>
              <w:rPr>
                <w:rFonts w:eastAsia="Times New Roman"/>
                <w:sz w:val="20"/>
                <w:szCs w:val="20"/>
              </w:rPr>
            </w:pPr>
          </w:p>
        </w:tc>
        <w:tc>
          <w:tcPr>
            <w:tcW w:w="0" w:type="auto"/>
            <w:vAlign w:val="center"/>
            <w:hideMark/>
          </w:tcPr>
          <w:p w14:paraId="2F02C034" w14:textId="77777777" w:rsidR="00000000" w:rsidRDefault="00195E73">
            <w:pPr>
              <w:rPr>
                <w:rFonts w:eastAsia="Times New Roman"/>
                <w:sz w:val="20"/>
                <w:szCs w:val="20"/>
              </w:rPr>
            </w:pPr>
          </w:p>
        </w:tc>
        <w:tc>
          <w:tcPr>
            <w:tcW w:w="0" w:type="auto"/>
            <w:vAlign w:val="center"/>
            <w:hideMark/>
          </w:tcPr>
          <w:p w14:paraId="179450E0" w14:textId="77777777" w:rsidR="00000000" w:rsidRDefault="00195E73">
            <w:pPr>
              <w:rPr>
                <w:rFonts w:eastAsia="Times New Roman"/>
                <w:sz w:val="20"/>
                <w:szCs w:val="20"/>
              </w:rPr>
            </w:pPr>
          </w:p>
        </w:tc>
        <w:tc>
          <w:tcPr>
            <w:tcW w:w="0" w:type="auto"/>
            <w:vAlign w:val="center"/>
            <w:hideMark/>
          </w:tcPr>
          <w:p w14:paraId="2FEF6DE1" w14:textId="77777777" w:rsidR="00000000" w:rsidRDefault="00195E73">
            <w:pPr>
              <w:rPr>
                <w:rFonts w:eastAsia="Times New Roman"/>
                <w:sz w:val="20"/>
                <w:szCs w:val="20"/>
              </w:rPr>
            </w:pPr>
          </w:p>
        </w:tc>
        <w:tc>
          <w:tcPr>
            <w:tcW w:w="0" w:type="auto"/>
            <w:vAlign w:val="center"/>
            <w:hideMark/>
          </w:tcPr>
          <w:p w14:paraId="0F5715AD" w14:textId="77777777" w:rsidR="00000000" w:rsidRDefault="00195E73">
            <w:pPr>
              <w:rPr>
                <w:rFonts w:eastAsia="Times New Roman"/>
                <w:sz w:val="20"/>
                <w:szCs w:val="20"/>
              </w:rPr>
            </w:pPr>
          </w:p>
        </w:tc>
        <w:tc>
          <w:tcPr>
            <w:tcW w:w="0" w:type="auto"/>
            <w:vAlign w:val="center"/>
            <w:hideMark/>
          </w:tcPr>
          <w:p w14:paraId="1AE74586" w14:textId="77777777" w:rsidR="00000000" w:rsidRDefault="00195E73">
            <w:pPr>
              <w:rPr>
                <w:rFonts w:eastAsia="Times New Roman"/>
                <w:sz w:val="20"/>
                <w:szCs w:val="20"/>
              </w:rPr>
            </w:pPr>
          </w:p>
        </w:tc>
        <w:tc>
          <w:tcPr>
            <w:tcW w:w="0" w:type="auto"/>
            <w:vAlign w:val="center"/>
            <w:hideMark/>
          </w:tcPr>
          <w:p w14:paraId="3562D795" w14:textId="77777777" w:rsidR="00000000" w:rsidRDefault="00195E73">
            <w:pPr>
              <w:rPr>
                <w:rFonts w:eastAsia="Times New Roman"/>
                <w:sz w:val="20"/>
                <w:szCs w:val="20"/>
              </w:rPr>
            </w:pPr>
          </w:p>
        </w:tc>
        <w:tc>
          <w:tcPr>
            <w:tcW w:w="0" w:type="auto"/>
            <w:vAlign w:val="center"/>
            <w:hideMark/>
          </w:tcPr>
          <w:p w14:paraId="2BF547EC" w14:textId="77777777" w:rsidR="00000000" w:rsidRDefault="00195E73">
            <w:pPr>
              <w:rPr>
                <w:rFonts w:eastAsia="Times New Roman"/>
                <w:sz w:val="20"/>
                <w:szCs w:val="20"/>
              </w:rPr>
            </w:pPr>
          </w:p>
        </w:tc>
        <w:tc>
          <w:tcPr>
            <w:tcW w:w="0" w:type="auto"/>
            <w:vAlign w:val="center"/>
            <w:hideMark/>
          </w:tcPr>
          <w:p w14:paraId="7BD4E593" w14:textId="77777777" w:rsidR="00000000" w:rsidRDefault="00195E73">
            <w:pPr>
              <w:rPr>
                <w:rFonts w:eastAsia="Times New Roman"/>
                <w:sz w:val="20"/>
                <w:szCs w:val="20"/>
              </w:rPr>
            </w:pPr>
          </w:p>
        </w:tc>
        <w:tc>
          <w:tcPr>
            <w:tcW w:w="0" w:type="auto"/>
            <w:vAlign w:val="center"/>
            <w:hideMark/>
          </w:tcPr>
          <w:p w14:paraId="31782520" w14:textId="77777777" w:rsidR="00000000" w:rsidRDefault="00195E73">
            <w:pPr>
              <w:rPr>
                <w:rFonts w:eastAsia="Times New Roman"/>
                <w:sz w:val="20"/>
                <w:szCs w:val="20"/>
              </w:rPr>
            </w:pPr>
          </w:p>
        </w:tc>
      </w:tr>
    </w:tbl>
    <w:p w14:paraId="3227C1DF" w14:textId="77777777" w:rsidR="00000000" w:rsidRDefault="00195E73">
      <w:pPr>
        <w:jc w:val="center"/>
        <w:rPr>
          <w:rFonts w:eastAsia="Times New Roman"/>
        </w:rPr>
      </w:pPr>
    </w:p>
    <w:p w14:paraId="3A4563CD" w14:textId="77777777" w:rsidR="00000000" w:rsidRDefault="00195E73">
      <w:pPr>
        <w:jc w:val="center"/>
        <w:rPr>
          <w:rFonts w:eastAsia="Times New Roman"/>
        </w:rPr>
      </w:pPr>
    </w:p>
    <w:p w14:paraId="13127682" w14:textId="77777777" w:rsidR="00000000" w:rsidRDefault="00195E73">
      <w:pPr>
        <w:jc w:val="center"/>
        <w:rPr>
          <w:rFonts w:eastAsia="Times New Roman"/>
        </w:rPr>
      </w:pPr>
    </w:p>
    <w:p w14:paraId="46591432" w14:textId="77777777" w:rsidR="00000000" w:rsidRDefault="00195E73">
      <w:pPr>
        <w:jc w:val="center"/>
        <w:rPr>
          <w:rFonts w:eastAsia="Times New Roman"/>
        </w:rPr>
      </w:pPr>
    </w:p>
    <w:p w14:paraId="62689A21" w14:textId="77777777" w:rsidR="00000000" w:rsidRDefault="00195E73">
      <w:pPr>
        <w:jc w:val="center"/>
        <w:rPr>
          <w:rFonts w:eastAsia="Times New Roman"/>
        </w:rPr>
      </w:pPr>
    </w:p>
    <w:p w14:paraId="61EDC744" w14:textId="77777777" w:rsidR="00000000" w:rsidRDefault="00195E73">
      <w:pPr>
        <w:jc w:val="center"/>
        <w:rPr>
          <w:rFonts w:eastAsia="Times New Roman"/>
        </w:rPr>
      </w:pPr>
    </w:p>
    <w:p w14:paraId="7A026F64" w14:textId="77777777" w:rsidR="00000000" w:rsidRDefault="00195E73">
      <w:pPr>
        <w:jc w:val="center"/>
        <w:rPr>
          <w:rFonts w:eastAsia="Times New Roman"/>
        </w:rPr>
      </w:pPr>
    </w:p>
    <w:p w14:paraId="4A783A8D" w14:textId="77777777" w:rsidR="00000000" w:rsidRDefault="00195E73">
      <w:pPr>
        <w:jc w:val="center"/>
        <w:rPr>
          <w:rFonts w:eastAsia="Times New Roman"/>
        </w:rPr>
      </w:pPr>
    </w:p>
    <w:p w14:paraId="016B0A5E" w14:textId="77777777" w:rsidR="00000000" w:rsidRDefault="00195E73">
      <w:pPr>
        <w:jc w:val="center"/>
        <w:rPr>
          <w:rFonts w:eastAsia="Times New Roman"/>
        </w:rPr>
      </w:pPr>
    </w:p>
    <w:p w14:paraId="02797525" w14:textId="77777777" w:rsidR="00000000" w:rsidRDefault="00195E73">
      <w:pPr>
        <w:jc w:val="center"/>
        <w:rPr>
          <w:rFonts w:eastAsia="Times New Roman"/>
        </w:rPr>
      </w:pPr>
    </w:p>
    <w:p w14:paraId="088FBA61" w14:textId="77777777" w:rsidR="00000000" w:rsidRDefault="00195E73">
      <w:pPr>
        <w:jc w:val="center"/>
        <w:rPr>
          <w:rFonts w:eastAsia="Times New Roman"/>
        </w:rPr>
      </w:pPr>
    </w:p>
    <w:p w14:paraId="0CEDC11E" w14:textId="77777777" w:rsidR="00000000" w:rsidRDefault="00195E73">
      <w:pPr>
        <w:jc w:val="center"/>
        <w:rPr>
          <w:rFonts w:eastAsia="Times New Roman"/>
        </w:rPr>
      </w:pPr>
    </w:p>
    <w:p w14:paraId="181644A2" w14:textId="77777777" w:rsidR="00000000" w:rsidRDefault="00195E73">
      <w:pPr>
        <w:jc w:val="center"/>
        <w:rPr>
          <w:rFonts w:eastAsia="Times New Roman"/>
        </w:rPr>
      </w:pPr>
    </w:p>
    <w:p w14:paraId="2953C617" w14:textId="77777777" w:rsidR="00000000" w:rsidRDefault="00195E73">
      <w:pPr>
        <w:jc w:val="center"/>
        <w:rPr>
          <w:rFonts w:eastAsia="Times New Roman"/>
        </w:rPr>
      </w:pPr>
    </w:p>
    <w:p w14:paraId="0DE3312B" w14:textId="77777777" w:rsidR="00000000" w:rsidRDefault="00195E73">
      <w:pPr>
        <w:jc w:val="center"/>
        <w:rPr>
          <w:rFonts w:eastAsia="Times New Roman"/>
        </w:rPr>
      </w:pPr>
      <w:r>
        <w:rPr>
          <w:rFonts w:eastAsia="Times New Roman"/>
          <w:i/>
          <w:iCs/>
          <w:color w:val="000000"/>
          <w:sz w:val="20"/>
          <w:szCs w:val="20"/>
        </w:rPr>
        <w:t>See notes to condensed financial statements</w:t>
      </w:r>
      <w:r>
        <w:rPr>
          <w:rFonts w:eastAsia="Times New Roman"/>
          <w:i/>
          <w:iCs/>
          <w:color w:val="000000"/>
          <w:sz w:val="20"/>
          <w:szCs w:val="20"/>
        </w:rPr>
        <w:t>.</w:t>
      </w:r>
    </w:p>
    <w:p w14:paraId="5FE2016B" w14:textId="77777777" w:rsidR="00000000" w:rsidRDefault="00195E73">
      <w:pPr>
        <w:jc w:val="center"/>
        <w:divId w:val="951519545"/>
        <w:rPr>
          <w:rFonts w:eastAsia="Times New Roman"/>
        </w:rPr>
      </w:pPr>
      <w:r>
        <w:rPr>
          <w:rFonts w:eastAsia="Times New Roman"/>
          <w:color w:val="000000"/>
          <w:sz w:val="20"/>
          <w:szCs w:val="20"/>
        </w:rPr>
        <w:t>13</w:t>
      </w:r>
      <w:r>
        <w:rPr>
          <w:rFonts w:eastAsia="Times New Roman"/>
          <w:color w:val="000000"/>
          <w:sz w:val="20"/>
          <w:szCs w:val="20"/>
        </w:rPr>
        <w:t>9</w:t>
      </w:r>
    </w:p>
    <w:p w14:paraId="7C5D504E" w14:textId="77777777" w:rsidR="00000000" w:rsidRDefault="00195E73">
      <w:pPr>
        <w:rPr>
          <w:rFonts w:eastAsia="Times New Roman"/>
        </w:rPr>
      </w:pPr>
      <w:r>
        <w:rPr>
          <w:rFonts w:eastAsia="Times New Roman"/>
        </w:rPr>
        <w:pict w14:anchorId="4187B3B5">
          <v:rect id="_x0000_i1165" style="width:0;height:1.5pt" o:hralign="center" o:hrstd="t" o:hr="t" fillcolor="#a0a0a0" stroked="f"/>
        </w:pict>
      </w:r>
    </w:p>
    <w:p w14:paraId="22DEAE2F" w14:textId="77777777" w:rsidR="00000000" w:rsidRDefault="00195E73">
      <w:pPr>
        <w:divId w:val="2033342210"/>
        <w:rPr>
          <w:rFonts w:eastAsia="Times New Roman"/>
        </w:rPr>
      </w:pPr>
    </w:p>
    <w:p w14:paraId="53CCFFA3" w14:textId="77777777" w:rsidR="00000000" w:rsidRDefault="00195E73">
      <w:pPr>
        <w:jc w:val="center"/>
        <w:divId w:val="463036573"/>
        <w:rPr>
          <w:rFonts w:eastAsia="Times New Roman"/>
        </w:rPr>
      </w:pPr>
      <w:r>
        <w:rPr>
          <w:rFonts w:eastAsia="Times New Roman"/>
          <w:b/>
          <w:bCs/>
          <w:color w:val="000000"/>
          <w:sz w:val="20"/>
          <w:szCs w:val="20"/>
        </w:rPr>
        <w:t>ICAHN ENTERPRISES HOLDINGS L.P. (Parent Company</w:t>
      </w:r>
      <w:r>
        <w:rPr>
          <w:rFonts w:eastAsia="Times New Roman"/>
          <w:b/>
          <w:bCs/>
          <w:color w:val="000000"/>
          <w:sz w:val="20"/>
          <w:szCs w:val="20"/>
        </w:rPr>
        <w:t>)</w:t>
      </w:r>
    </w:p>
    <w:p w14:paraId="7A7803C0" w14:textId="77777777" w:rsidR="00000000" w:rsidRDefault="00195E73">
      <w:pPr>
        <w:jc w:val="center"/>
        <w:divId w:val="375853687"/>
        <w:rPr>
          <w:rFonts w:eastAsia="Times New Roman"/>
        </w:rPr>
      </w:pPr>
      <w:r>
        <w:rPr>
          <w:rFonts w:eastAsia="Times New Roman"/>
          <w:b/>
          <w:bCs/>
          <w:color w:val="000000"/>
          <w:sz w:val="20"/>
          <w:szCs w:val="20"/>
        </w:rPr>
        <w:t>NOTES TO CONDENSED FINANCIAL STATEMENT</w:t>
      </w:r>
      <w:r>
        <w:rPr>
          <w:rFonts w:eastAsia="Times New Roman"/>
          <w:b/>
          <w:bCs/>
          <w:color w:val="000000"/>
          <w:sz w:val="20"/>
          <w:szCs w:val="20"/>
        </w:rPr>
        <w:t>S</w:t>
      </w:r>
    </w:p>
    <w:p w14:paraId="6934E066" w14:textId="77777777" w:rsidR="00000000" w:rsidRDefault="00195E73">
      <w:pPr>
        <w:divId w:val="2058890204"/>
        <w:rPr>
          <w:rFonts w:eastAsia="Times New Roman"/>
        </w:rPr>
      </w:pPr>
    </w:p>
    <w:p w14:paraId="2C918871" w14:textId="77777777" w:rsidR="00000000" w:rsidRDefault="00195E73">
      <w:pPr>
        <w:divId w:val="724720965"/>
        <w:rPr>
          <w:rFonts w:eastAsia="Times New Roman"/>
        </w:rPr>
      </w:pPr>
      <w:r>
        <w:rPr>
          <w:rFonts w:eastAsia="Times New Roman"/>
          <w:b/>
          <w:bCs/>
          <w:color w:val="000000"/>
          <w:sz w:val="20"/>
          <w:szCs w:val="20"/>
        </w:rPr>
        <w:t>1.  Description of Business and Basis of Presentation</w:t>
      </w:r>
      <w:r>
        <w:rPr>
          <w:rFonts w:eastAsia="Times New Roman"/>
          <w:b/>
          <w:bCs/>
          <w:color w:val="000000"/>
          <w:sz w:val="20"/>
          <w:szCs w:val="20"/>
        </w:rPr>
        <w:t>.</w:t>
      </w:r>
    </w:p>
    <w:p w14:paraId="662C134B" w14:textId="77777777" w:rsidR="00000000" w:rsidRDefault="00195E73">
      <w:pPr>
        <w:ind w:firstLine="315"/>
        <w:divId w:val="1344168843"/>
        <w:rPr>
          <w:rFonts w:eastAsia="Times New Roman"/>
        </w:rPr>
      </w:pPr>
      <w:r>
        <w:rPr>
          <w:rFonts w:eastAsia="Times New Roman"/>
          <w:color w:val="000000"/>
          <w:sz w:val="20"/>
          <w:szCs w:val="20"/>
        </w:rPr>
        <w:t>Icahn Enterprises Holdings L.P. (“Icahn Enterprises Holdings”) is a limi</w:t>
      </w:r>
      <w:r>
        <w:rPr>
          <w:rFonts w:eastAsia="Times New Roman"/>
          <w:color w:val="000000"/>
          <w:sz w:val="20"/>
          <w:szCs w:val="20"/>
        </w:rPr>
        <w:t>ted partnership formed in Delaware on February 17, 1987. Our sole limited partner is Icahn Enterprises L.P., a master limited partnership which owns a 99% interest in us. Icahn Enterprises G.P. Inc., our sole 1% general partner, is a Delaware corporation w</w:t>
      </w:r>
      <w:r>
        <w:rPr>
          <w:rFonts w:eastAsia="Times New Roman"/>
          <w:color w:val="000000"/>
          <w:sz w:val="20"/>
          <w:szCs w:val="20"/>
        </w:rPr>
        <w:t>hich is owned and controlled by Carl C. Icahn. As of December 31, 2019, Icahn Enterprises Holdings is engaged in the following continuing operating businesses:</w:t>
      </w:r>
      <w:r>
        <w:rPr>
          <w:rFonts w:eastAsia="Times New Roman"/>
          <w:color w:val="000000"/>
          <w:sz w:val="20"/>
          <w:szCs w:val="20"/>
        </w:rPr>
        <w:t xml:space="preserve"> </w:t>
      </w:r>
      <w:r>
        <w:rPr>
          <w:rFonts w:eastAsia="Times New Roman"/>
          <w:color w:val="231F20"/>
          <w:sz w:val="20"/>
          <w:szCs w:val="20"/>
        </w:rPr>
        <w:t>Investment, Energy, Automotive, Food Packaging, Metals, Real Estate and Home Fashio</w:t>
      </w:r>
      <w:r>
        <w:rPr>
          <w:rFonts w:eastAsia="Times New Roman"/>
          <w:color w:val="231F20"/>
          <w:sz w:val="20"/>
          <w:szCs w:val="20"/>
        </w:rPr>
        <w:t>n</w:t>
      </w:r>
      <w:r>
        <w:rPr>
          <w:rFonts w:eastAsia="Times New Roman"/>
          <w:color w:val="000000"/>
          <w:sz w:val="20"/>
          <w:szCs w:val="20"/>
        </w:rPr>
        <w:t>.</w:t>
      </w:r>
    </w:p>
    <w:p w14:paraId="43ECFF95" w14:textId="77777777" w:rsidR="00000000" w:rsidRDefault="00195E73">
      <w:pPr>
        <w:ind w:firstLine="405"/>
        <w:divId w:val="1605112683"/>
        <w:rPr>
          <w:rFonts w:eastAsia="Times New Roman"/>
        </w:rPr>
      </w:pPr>
      <w:r>
        <w:rPr>
          <w:rFonts w:eastAsia="Times New Roman"/>
          <w:color w:val="000000"/>
          <w:sz w:val="20"/>
          <w:szCs w:val="20"/>
        </w:rPr>
        <w:t>For the years ended December 31, 2019, 2018 and 2017, Icahn Enterprises Holdings received (paid) $567 million, $238 million and $(97) million, respectively, in dividends and distributions from consolidated subsidiaries.</w:t>
      </w:r>
      <w:r>
        <w:rPr>
          <w:rFonts w:eastAsia="Times New Roman"/>
          <w:color w:val="000000"/>
          <w:sz w:val="20"/>
          <w:szCs w:val="20"/>
        </w:rPr>
        <w:t xml:space="preserve"> </w:t>
      </w:r>
    </w:p>
    <w:p w14:paraId="7615E113" w14:textId="77777777" w:rsidR="00000000" w:rsidRDefault="00195E73">
      <w:pPr>
        <w:ind w:firstLine="315"/>
        <w:divId w:val="25763108"/>
        <w:rPr>
          <w:rFonts w:eastAsia="Times New Roman"/>
        </w:rPr>
      </w:pPr>
      <w:r>
        <w:rPr>
          <w:rFonts w:eastAsia="Times New Roman"/>
          <w:color w:val="000000"/>
          <w:sz w:val="20"/>
          <w:szCs w:val="20"/>
        </w:rPr>
        <w:t xml:space="preserve">The condensed financial statements </w:t>
      </w:r>
      <w:r>
        <w:rPr>
          <w:rFonts w:eastAsia="Times New Roman"/>
          <w:color w:val="000000"/>
          <w:sz w:val="20"/>
          <w:szCs w:val="20"/>
        </w:rPr>
        <w:t>of Icahn Enterprises Holdings should be read in conjunction with the consolidated financial statements and notes thereto included in Item 8 of this Report</w:t>
      </w:r>
      <w:r>
        <w:rPr>
          <w:rFonts w:eastAsia="Times New Roman"/>
          <w:color w:val="000000"/>
          <w:sz w:val="20"/>
          <w:szCs w:val="20"/>
        </w:rPr>
        <w:t>.</w:t>
      </w:r>
    </w:p>
    <w:p w14:paraId="40688FF6" w14:textId="77777777" w:rsidR="00000000" w:rsidRDefault="00195E73">
      <w:pPr>
        <w:divId w:val="224225611"/>
        <w:rPr>
          <w:rFonts w:eastAsia="Times New Roman"/>
        </w:rPr>
      </w:pPr>
      <w:r>
        <w:rPr>
          <w:rFonts w:eastAsia="Times New Roman"/>
          <w:b/>
          <w:bCs/>
          <w:color w:val="000000"/>
          <w:sz w:val="20"/>
          <w:szCs w:val="20"/>
        </w:rPr>
        <w:t>2.  Debt</w:t>
      </w:r>
      <w:r>
        <w:rPr>
          <w:rFonts w:eastAsia="Times New Roman"/>
          <w:b/>
          <w:bCs/>
          <w:color w:val="000000"/>
          <w:sz w:val="20"/>
          <w:szCs w:val="20"/>
        </w:rPr>
        <w:t>.</w:t>
      </w:r>
    </w:p>
    <w:p w14:paraId="0667A62A" w14:textId="77777777" w:rsidR="00000000" w:rsidRDefault="00195E73">
      <w:pPr>
        <w:ind w:firstLine="315"/>
        <w:divId w:val="2098011351"/>
        <w:rPr>
          <w:rFonts w:eastAsia="Times New Roman"/>
        </w:rPr>
      </w:pPr>
      <w:r>
        <w:rPr>
          <w:rFonts w:eastAsia="Times New Roman"/>
          <w:color w:val="000000"/>
          <w:sz w:val="20"/>
          <w:szCs w:val="20"/>
        </w:rPr>
        <w:t>See Note 11, “Debt,” to the consolidated financial statements located in Item 8 of this Re</w:t>
      </w:r>
      <w:r>
        <w:rPr>
          <w:rFonts w:eastAsia="Times New Roman"/>
          <w:color w:val="000000"/>
          <w:sz w:val="20"/>
          <w:szCs w:val="20"/>
        </w:rPr>
        <w:t>port. Icahn Enterprises Holdings’ Parent company debt consists of the following</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51"/>
        <w:gridCol w:w="5439"/>
        <w:gridCol w:w="52"/>
        <w:gridCol w:w="135"/>
        <w:gridCol w:w="993"/>
        <w:gridCol w:w="85"/>
        <w:gridCol w:w="36"/>
        <w:gridCol w:w="37"/>
        <w:gridCol w:w="36"/>
        <w:gridCol w:w="135"/>
        <w:gridCol w:w="993"/>
        <w:gridCol w:w="85"/>
        <w:gridCol w:w="36"/>
        <w:gridCol w:w="36"/>
        <w:gridCol w:w="36"/>
        <w:gridCol w:w="36"/>
        <w:gridCol w:w="36"/>
        <w:gridCol w:w="36"/>
      </w:tblGrid>
      <w:tr w:rsidR="00000000" w14:paraId="61837A01" w14:textId="77777777">
        <w:trPr>
          <w:gridAfter w:val="6"/>
          <w:divId w:val="986781791"/>
          <w:jc w:val="center"/>
        </w:trPr>
        <w:tc>
          <w:tcPr>
            <w:tcW w:w="50" w:type="pct"/>
            <w:vAlign w:val="center"/>
            <w:hideMark/>
          </w:tcPr>
          <w:p w14:paraId="515E4BE9" w14:textId="77777777" w:rsidR="00000000" w:rsidRDefault="00195E73">
            <w:pPr>
              <w:ind w:firstLine="315"/>
              <w:rPr>
                <w:rFonts w:eastAsia="Times New Roman"/>
              </w:rPr>
            </w:pPr>
          </w:p>
        </w:tc>
        <w:tc>
          <w:tcPr>
            <w:tcW w:w="3384" w:type="pct"/>
            <w:vAlign w:val="center"/>
            <w:hideMark/>
          </w:tcPr>
          <w:p w14:paraId="2992FB65" w14:textId="77777777" w:rsidR="00000000" w:rsidRDefault="00195E73">
            <w:pPr>
              <w:rPr>
                <w:rFonts w:eastAsia="Times New Roman"/>
                <w:sz w:val="20"/>
                <w:szCs w:val="20"/>
              </w:rPr>
            </w:pPr>
          </w:p>
        </w:tc>
        <w:tc>
          <w:tcPr>
            <w:tcW w:w="50" w:type="pct"/>
            <w:vAlign w:val="center"/>
            <w:hideMark/>
          </w:tcPr>
          <w:p w14:paraId="06C30BB1" w14:textId="77777777" w:rsidR="00000000" w:rsidRDefault="00195E73">
            <w:pPr>
              <w:rPr>
                <w:rFonts w:eastAsia="Times New Roman"/>
                <w:sz w:val="20"/>
                <w:szCs w:val="20"/>
              </w:rPr>
            </w:pPr>
          </w:p>
        </w:tc>
        <w:tc>
          <w:tcPr>
            <w:tcW w:w="50" w:type="pct"/>
            <w:vAlign w:val="center"/>
            <w:hideMark/>
          </w:tcPr>
          <w:p w14:paraId="03A4290C" w14:textId="77777777" w:rsidR="00000000" w:rsidRDefault="00195E73">
            <w:pPr>
              <w:rPr>
                <w:rFonts w:eastAsia="Times New Roman"/>
                <w:sz w:val="20"/>
                <w:szCs w:val="20"/>
              </w:rPr>
            </w:pPr>
          </w:p>
        </w:tc>
        <w:tc>
          <w:tcPr>
            <w:tcW w:w="632" w:type="pct"/>
            <w:vAlign w:val="center"/>
            <w:hideMark/>
          </w:tcPr>
          <w:p w14:paraId="4BC7571F" w14:textId="77777777" w:rsidR="00000000" w:rsidRDefault="00195E73">
            <w:pPr>
              <w:rPr>
                <w:rFonts w:eastAsia="Times New Roman"/>
                <w:sz w:val="20"/>
                <w:szCs w:val="20"/>
              </w:rPr>
            </w:pPr>
          </w:p>
        </w:tc>
        <w:tc>
          <w:tcPr>
            <w:tcW w:w="50" w:type="pct"/>
            <w:vAlign w:val="center"/>
            <w:hideMark/>
          </w:tcPr>
          <w:p w14:paraId="39662F15" w14:textId="77777777" w:rsidR="00000000" w:rsidRDefault="00195E73">
            <w:pPr>
              <w:rPr>
                <w:rFonts w:eastAsia="Times New Roman"/>
                <w:sz w:val="20"/>
                <w:szCs w:val="20"/>
              </w:rPr>
            </w:pPr>
          </w:p>
        </w:tc>
        <w:tc>
          <w:tcPr>
            <w:tcW w:w="5" w:type="pct"/>
            <w:vAlign w:val="center"/>
            <w:hideMark/>
          </w:tcPr>
          <w:p w14:paraId="202904E8" w14:textId="77777777" w:rsidR="00000000" w:rsidRDefault="00195E73">
            <w:pPr>
              <w:rPr>
                <w:rFonts w:eastAsia="Times New Roman"/>
                <w:sz w:val="20"/>
                <w:szCs w:val="20"/>
              </w:rPr>
            </w:pPr>
          </w:p>
        </w:tc>
        <w:tc>
          <w:tcPr>
            <w:tcW w:w="41" w:type="pct"/>
            <w:vAlign w:val="center"/>
            <w:hideMark/>
          </w:tcPr>
          <w:p w14:paraId="60AE0EAC" w14:textId="77777777" w:rsidR="00000000" w:rsidRDefault="00195E73">
            <w:pPr>
              <w:rPr>
                <w:rFonts w:eastAsia="Times New Roman"/>
                <w:sz w:val="20"/>
                <w:szCs w:val="20"/>
              </w:rPr>
            </w:pPr>
          </w:p>
        </w:tc>
        <w:tc>
          <w:tcPr>
            <w:tcW w:w="5" w:type="pct"/>
            <w:vAlign w:val="center"/>
            <w:hideMark/>
          </w:tcPr>
          <w:p w14:paraId="1075C6E3" w14:textId="77777777" w:rsidR="00000000" w:rsidRDefault="00195E73">
            <w:pPr>
              <w:rPr>
                <w:rFonts w:eastAsia="Times New Roman"/>
                <w:sz w:val="20"/>
                <w:szCs w:val="20"/>
              </w:rPr>
            </w:pPr>
          </w:p>
        </w:tc>
        <w:tc>
          <w:tcPr>
            <w:tcW w:w="50" w:type="pct"/>
            <w:vAlign w:val="center"/>
            <w:hideMark/>
          </w:tcPr>
          <w:p w14:paraId="115BA33F" w14:textId="77777777" w:rsidR="00000000" w:rsidRDefault="00195E73">
            <w:pPr>
              <w:rPr>
                <w:rFonts w:eastAsia="Times New Roman"/>
                <w:sz w:val="20"/>
                <w:szCs w:val="20"/>
              </w:rPr>
            </w:pPr>
          </w:p>
        </w:tc>
        <w:tc>
          <w:tcPr>
            <w:tcW w:w="632" w:type="pct"/>
            <w:vAlign w:val="center"/>
            <w:hideMark/>
          </w:tcPr>
          <w:p w14:paraId="039264E2" w14:textId="77777777" w:rsidR="00000000" w:rsidRDefault="00195E73">
            <w:pPr>
              <w:rPr>
                <w:rFonts w:eastAsia="Times New Roman"/>
                <w:sz w:val="20"/>
                <w:szCs w:val="20"/>
              </w:rPr>
            </w:pPr>
          </w:p>
        </w:tc>
        <w:tc>
          <w:tcPr>
            <w:tcW w:w="50" w:type="pct"/>
            <w:vAlign w:val="center"/>
            <w:hideMark/>
          </w:tcPr>
          <w:p w14:paraId="2234E009" w14:textId="77777777" w:rsidR="00000000" w:rsidRDefault="00195E73">
            <w:pPr>
              <w:rPr>
                <w:rFonts w:eastAsia="Times New Roman"/>
                <w:sz w:val="20"/>
                <w:szCs w:val="20"/>
              </w:rPr>
            </w:pPr>
          </w:p>
        </w:tc>
      </w:tr>
      <w:tr w:rsidR="00000000" w14:paraId="1F6A2845" w14:textId="77777777">
        <w:trPr>
          <w:divId w:val="986781791"/>
          <w:jc w:val="center"/>
        </w:trPr>
        <w:tc>
          <w:tcPr>
            <w:tcW w:w="0" w:type="auto"/>
            <w:gridSpan w:val="3"/>
            <w:tcMar>
              <w:top w:w="15" w:type="dxa"/>
              <w:left w:w="20" w:type="dxa"/>
              <w:bottom w:w="15" w:type="dxa"/>
              <w:right w:w="20" w:type="dxa"/>
            </w:tcMar>
            <w:vAlign w:val="bottom"/>
            <w:hideMark/>
          </w:tcPr>
          <w:p w14:paraId="0BEC762C" w14:textId="77777777" w:rsidR="00000000" w:rsidRDefault="00195E73">
            <w:pPr>
              <w:rPr>
                <w:rFonts w:eastAsia="Times New Roman"/>
                <w:sz w:val="20"/>
                <w:szCs w:val="20"/>
              </w:rPr>
            </w:pPr>
          </w:p>
        </w:tc>
        <w:tc>
          <w:tcPr>
            <w:tcW w:w="0" w:type="auto"/>
            <w:gridSpan w:val="9"/>
            <w:tcMar>
              <w:top w:w="30" w:type="dxa"/>
              <w:left w:w="20" w:type="dxa"/>
              <w:bottom w:w="30" w:type="dxa"/>
              <w:right w:w="20" w:type="dxa"/>
            </w:tcMar>
            <w:vAlign w:val="bottom"/>
            <w:hideMark/>
          </w:tcPr>
          <w:p w14:paraId="097E287D" w14:textId="77777777" w:rsidR="00000000" w:rsidRDefault="00195E73">
            <w:pPr>
              <w:jc w:val="center"/>
              <w:rPr>
                <w:rFonts w:eastAsia="Times New Roman"/>
              </w:rPr>
            </w:pPr>
            <w:r>
              <w:rPr>
                <w:rFonts w:eastAsia="Times New Roman"/>
                <w:b/>
                <w:bCs/>
                <w:color w:val="000000"/>
                <w:sz w:val="20"/>
                <w:szCs w:val="20"/>
              </w:rPr>
              <w:t>December 31</w:t>
            </w:r>
            <w:r>
              <w:rPr>
                <w:rFonts w:eastAsia="Times New Roman"/>
                <w:b/>
                <w:bCs/>
                <w:color w:val="000000"/>
                <w:sz w:val="20"/>
                <w:szCs w:val="20"/>
              </w:rPr>
              <w:t>,</w:t>
            </w:r>
          </w:p>
        </w:tc>
        <w:tc>
          <w:tcPr>
            <w:tcW w:w="0" w:type="auto"/>
            <w:gridSpan w:val="3"/>
            <w:vAlign w:val="center"/>
            <w:hideMark/>
          </w:tcPr>
          <w:p w14:paraId="47E40738" w14:textId="77777777" w:rsidR="00000000" w:rsidRDefault="00195E73">
            <w:pPr>
              <w:jc w:val="center"/>
              <w:rPr>
                <w:rFonts w:eastAsia="Times New Roman"/>
              </w:rPr>
            </w:pPr>
          </w:p>
        </w:tc>
        <w:tc>
          <w:tcPr>
            <w:tcW w:w="0" w:type="auto"/>
            <w:gridSpan w:val="3"/>
            <w:vAlign w:val="center"/>
            <w:hideMark/>
          </w:tcPr>
          <w:p w14:paraId="11F5D7F2" w14:textId="77777777" w:rsidR="00000000" w:rsidRDefault="00195E73">
            <w:pPr>
              <w:rPr>
                <w:rFonts w:eastAsia="Times New Roman"/>
                <w:sz w:val="20"/>
                <w:szCs w:val="20"/>
              </w:rPr>
            </w:pPr>
          </w:p>
        </w:tc>
      </w:tr>
      <w:tr w:rsidR="00000000" w14:paraId="51600878" w14:textId="77777777">
        <w:trPr>
          <w:divId w:val="986781791"/>
          <w:jc w:val="center"/>
        </w:trPr>
        <w:tc>
          <w:tcPr>
            <w:tcW w:w="0" w:type="auto"/>
            <w:gridSpan w:val="3"/>
            <w:tcMar>
              <w:top w:w="15" w:type="dxa"/>
              <w:left w:w="20" w:type="dxa"/>
              <w:bottom w:w="15" w:type="dxa"/>
              <w:right w:w="20" w:type="dxa"/>
            </w:tcMar>
            <w:vAlign w:val="bottom"/>
            <w:hideMark/>
          </w:tcPr>
          <w:p w14:paraId="4697B23D"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49D9977"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14:paraId="6D1532C2" w14:textId="77777777" w:rsidR="00000000" w:rsidRDefault="00195E73">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493615" w14:textId="77777777" w:rsidR="00000000" w:rsidRDefault="00195E73">
            <w:pPr>
              <w:jc w:val="center"/>
              <w:rPr>
                <w:rFonts w:eastAsia="Times New Roman"/>
              </w:rPr>
            </w:pPr>
            <w:r>
              <w:rPr>
                <w:rFonts w:eastAsia="Times New Roman"/>
                <w:b/>
                <w:bCs/>
                <w:color w:val="000000"/>
                <w:sz w:val="20"/>
                <w:szCs w:val="20"/>
              </w:rPr>
              <w:t>201</w:t>
            </w:r>
            <w:r>
              <w:rPr>
                <w:rFonts w:eastAsia="Times New Roman"/>
                <w:b/>
                <w:bCs/>
                <w:color w:val="000000"/>
                <w:sz w:val="20"/>
                <w:szCs w:val="20"/>
              </w:rPr>
              <w:t>8</w:t>
            </w:r>
          </w:p>
        </w:tc>
        <w:tc>
          <w:tcPr>
            <w:tcW w:w="0" w:type="auto"/>
            <w:vAlign w:val="center"/>
            <w:hideMark/>
          </w:tcPr>
          <w:p w14:paraId="50ACBC56" w14:textId="77777777" w:rsidR="00000000" w:rsidRDefault="00195E73">
            <w:pPr>
              <w:rPr>
                <w:rFonts w:eastAsia="Times New Roman"/>
                <w:sz w:val="20"/>
                <w:szCs w:val="20"/>
              </w:rPr>
            </w:pPr>
          </w:p>
        </w:tc>
        <w:tc>
          <w:tcPr>
            <w:tcW w:w="0" w:type="auto"/>
            <w:vAlign w:val="center"/>
            <w:hideMark/>
          </w:tcPr>
          <w:p w14:paraId="0DC220FD" w14:textId="77777777" w:rsidR="00000000" w:rsidRDefault="00195E73">
            <w:pPr>
              <w:rPr>
                <w:rFonts w:eastAsia="Times New Roman"/>
                <w:sz w:val="20"/>
                <w:szCs w:val="20"/>
              </w:rPr>
            </w:pPr>
          </w:p>
        </w:tc>
        <w:tc>
          <w:tcPr>
            <w:tcW w:w="0" w:type="auto"/>
            <w:vAlign w:val="center"/>
            <w:hideMark/>
          </w:tcPr>
          <w:p w14:paraId="6B78330B" w14:textId="77777777" w:rsidR="00000000" w:rsidRDefault="00195E73">
            <w:pPr>
              <w:rPr>
                <w:rFonts w:eastAsia="Times New Roman"/>
                <w:sz w:val="20"/>
                <w:szCs w:val="20"/>
              </w:rPr>
            </w:pPr>
          </w:p>
        </w:tc>
        <w:tc>
          <w:tcPr>
            <w:tcW w:w="0" w:type="auto"/>
            <w:vAlign w:val="center"/>
            <w:hideMark/>
          </w:tcPr>
          <w:p w14:paraId="7D4B227B" w14:textId="77777777" w:rsidR="00000000" w:rsidRDefault="00195E73">
            <w:pPr>
              <w:rPr>
                <w:rFonts w:eastAsia="Times New Roman"/>
                <w:sz w:val="20"/>
                <w:szCs w:val="20"/>
              </w:rPr>
            </w:pPr>
          </w:p>
        </w:tc>
        <w:tc>
          <w:tcPr>
            <w:tcW w:w="0" w:type="auto"/>
            <w:vAlign w:val="center"/>
            <w:hideMark/>
          </w:tcPr>
          <w:p w14:paraId="4676C1B1" w14:textId="77777777" w:rsidR="00000000" w:rsidRDefault="00195E73">
            <w:pPr>
              <w:rPr>
                <w:rFonts w:eastAsia="Times New Roman"/>
                <w:sz w:val="20"/>
                <w:szCs w:val="20"/>
              </w:rPr>
            </w:pPr>
          </w:p>
        </w:tc>
        <w:tc>
          <w:tcPr>
            <w:tcW w:w="0" w:type="auto"/>
            <w:vAlign w:val="center"/>
            <w:hideMark/>
          </w:tcPr>
          <w:p w14:paraId="54F18AA0" w14:textId="77777777" w:rsidR="00000000" w:rsidRDefault="00195E73">
            <w:pPr>
              <w:rPr>
                <w:rFonts w:eastAsia="Times New Roman"/>
                <w:sz w:val="20"/>
                <w:szCs w:val="20"/>
              </w:rPr>
            </w:pPr>
          </w:p>
        </w:tc>
      </w:tr>
      <w:tr w:rsidR="00000000" w14:paraId="74632397" w14:textId="77777777">
        <w:trPr>
          <w:divId w:val="986781791"/>
          <w:jc w:val="center"/>
        </w:trPr>
        <w:tc>
          <w:tcPr>
            <w:tcW w:w="0" w:type="auto"/>
            <w:gridSpan w:val="3"/>
            <w:tcMar>
              <w:top w:w="15" w:type="dxa"/>
              <w:left w:w="20" w:type="dxa"/>
              <w:bottom w:w="15" w:type="dxa"/>
              <w:right w:w="20" w:type="dxa"/>
            </w:tcMar>
            <w:vAlign w:val="bottom"/>
            <w:hideMark/>
          </w:tcPr>
          <w:p w14:paraId="6C31D675" w14:textId="77777777" w:rsidR="00000000" w:rsidRDefault="00195E73">
            <w:pPr>
              <w:jc w:val="center"/>
              <w:rPr>
                <w:rFonts w:eastAsia="Times New Roman"/>
              </w:rPr>
            </w:pPr>
          </w:p>
        </w:tc>
        <w:tc>
          <w:tcPr>
            <w:tcW w:w="0" w:type="auto"/>
            <w:gridSpan w:val="8"/>
            <w:tcBorders>
              <w:top w:val="single" w:sz="8" w:space="0" w:color="000000"/>
            </w:tcBorders>
            <w:tcMar>
              <w:top w:w="30" w:type="dxa"/>
              <w:left w:w="20" w:type="dxa"/>
              <w:bottom w:w="30" w:type="dxa"/>
              <w:right w:w="0" w:type="dxa"/>
            </w:tcMar>
            <w:vAlign w:val="bottom"/>
            <w:hideMark/>
          </w:tcPr>
          <w:p w14:paraId="4EFD31CD" w14:textId="77777777" w:rsidR="00000000" w:rsidRDefault="00195E73">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tcBorders>
              <w:top w:val="single" w:sz="8" w:space="0" w:color="000000"/>
            </w:tcBorders>
            <w:tcMar>
              <w:top w:w="30" w:type="dxa"/>
              <w:left w:w="15" w:type="dxa"/>
              <w:bottom w:w="30" w:type="dxa"/>
              <w:right w:w="20" w:type="dxa"/>
            </w:tcMar>
            <w:vAlign w:val="bottom"/>
            <w:hideMark/>
          </w:tcPr>
          <w:p w14:paraId="626C6382" w14:textId="77777777" w:rsidR="00000000" w:rsidRDefault="00195E73">
            <w:pPr>
              <w:jc w:val="right"/>
              <w:rPr>
                <w:rFonts w:eastAsia="Times New Roman"/>
              </w:rPr>
            </w:pPr>
            <w:r>
              <w:rPr>
                <w:rFonts w:eastAsia="Times New Roman"/>
                <w:color w:val="000000"/>
                <w:sz w:val="16"/>
                <w:szCs w:val="16"/>
              </w:rPr>
              <w:t> </w:t>
            </w:r>
          </w:p>
        </w:tc>
        <w:tc>
          <w:tcPr>
            <w:tcW w:w="0" w:type="auto"/>
            <w:gridSpan w:val="3"/>
            <w:vAlign w:val="center"/>
            <w:hideMark/>
          </w:tcPr>
          <w:p w14:paraId="73324A7D" w14:textId="77777777" w:rsidR="00000000" w:rsidRDefault="00195E73">
            <w:pPr>
              <w:jc w:val="right"/>
              <w:rPr>
                <w:rFonts w:eastAsia="Times New Roman"/>
              </w:rPr>
            </w:pPr>
          </w:p>
        </w:tc>
        <w:tc>
          <w:tcPr>
            <w:tcW w:w="0" w:type="auto"/>
            <w:gridSpan w:val="3"/>
            <w:vAlign w:val="center"/>
            <w:hideMark/>
          </w:tcPr>
          <w:p w14:paraId="6B609C90" w14:textId="77777777" w:rsidR="00000000" w:rsidRDefault="00195E73">
            <w:pPr>
              <w:rPr>
                <w:rFonts w:eastAsia="Times New Roman"/>
                <w:sz w:val="20"/>
                <w:szCs w:val="20"/>
              </w:rPr>
            </w:pPr>
          </w:p>
        </w:tc>
      </w:tr>
      <w:tr w:rsidR="00000000" w14:paraId="39092547" w14:textId="77777777">
        <w:trPr>
          <w:divId w:val="986781791"/>
          <w:jc w:val="center"/>
        </w:trPr>
        <w:tc>
          <w:tcPr>
            <w:tcW w:w="0" w:type="auto"/>
            <w:gridSpan w:val="3"/>
            <w:shd w:val="clear" w:color="auto" w:fill="CCEEFF"/>
            <w:tcMar>
              <w:top w:w="30" w:type="dxa"/>
              <w:left w:w="20" w:type="dxa"/>
              <w:bottom w:w="30" w:type="dxa"/>
              <w:right w:w="20" w:type="dxa"/>
            </w:tcMar>
            <w:vAlign w:val="bottom"/>
            <w:hideMark/>
          </w:tcPr>
          <w:p w14:paraId="1A594B9F" w14:textId="77777777" w:rsidR="00000000" w:rsidRDefault="00195E73">
            <w:pPr>
              <w:rPr>
                <w:rFonts w:eastAsia="Times New Roman"/>
              </w:rPr>
            </w:pPr>
            <w:r>
              <w:rPr>
                <w:rFonts w:eastAsia="Times New Roman"/>
                <w:color w:val="000000"/>
                <w:sz w:val="20"/>
                <w:szCs w:val="20"/>
              </w:rPr>
              <w:t>6.000% senior unsecured notes due 202</w:t>
            </w:r>
            <w:r>
              <w:rPr>
                <w:rFonts w:eastAsia="Times New Roman"/>
                <w:color w:val="000000"/>
                <w:sz w:val="20"/>
                <w:szCs w:val="20"/>
              </w:rPr>
              <w:t>0</w:t>
            </w:r>
          </w:p>
        </w:tc>
        <w:tc>
          <w:tcPr>
            <w:tcW w:w="0" w:type="auto"/>
            <w:shd w:val="clear" w:color="auto" w:fill="CCEEFF"/>
            <w:tcMar>
              <w:top w:w="30" w:type="dxa"/>
              <w:left w:w="20" w:type="dxa"/>
              <w:bottom w:w="30" w:type="dxa"/>
              <w:right w:w="15" w:type="dxa"/>
            </w:tcMar>
            <w:vAlign w:val="bottom"/>
            <w:hideMark/>
          </w:tcPr>
          <w:p w14:paraId="6EB6DEA9"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888F9AB"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9DF142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13E4F8" w14:textId="77777777" w:rsidR="00000000" w:rsidRDefault="00195E73">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C43D3AA" w14:textId="77777777" w:rsidR="00000000" w:rsidRDefault="00195E73">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711BE4DD" w14:textId="77777777" w:rsidR="00000000" w:rsidRDefault="00195E73">
            <w:pPr>
              <w:jc w:val="right"/>
              <w:rPr>
                <w:rFonts w:eastAsia="Times New Roman"/>
              </w:rPr>
            </w:pPr>
            <w:r>
              <w:rPr>
                <w:rFonts w:eastAsia="Times New Roman"/>
                <w:color w:val="000000"/>
                <w:sz w:val="20"/>
                <w:szCs w:val="20"/>
              </w:rPr>
              <w:t>1,703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627F6C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6324FB6" w14:textId="77777777" w:rsidR="00000000" w:rsidRDefault="00195E73">
            <w:pPr>
              <w:rPr>
                <w:rFonts w:eastAsia="Times New Roman"/>
                <w:sz w:val="20"/>
                <w:szCs w:val="20"/>
              </w:rPr>
            </w:pPr>
          </w:p>
        </w:tc>
        <w:tc>
          <w:tcPr>
            <w:tcW w:w="0" w:type="auto"/>
            <w:vAlign w:val="center"/>
            <w:hideMark/>
          </w:tcPr>
          <w:p w14:paraId="6328CDC9" w14:textId="77777777" w:rsidR="00000000" w:rsidRDefault="00195E73">
            <w:pPr>
              <w:rPr>
                <w:rFonts w:eastAsia="Times New Roman"/>
                <w:sz w:val="20"/>
                <w:szCs w:val="20"/>
              </w:rPr>
            </w:pPr>
          </w:p>
        </w:tc>
        <w:tc>
          <w:tcPr>
            <w:tcW w:w="0" w:type="auto"/>
            <w:vAlign w:val="center"/>
            <w:hideMark/>
          </w:tcPr>
          <w:p w14:paraId="2F6B7B9A" w14:textId="77777777" w:rsidR="00000000" w:rsidRDefault="00195E73">
            <w:pPr>
              <w:rPr>
                <w:rFonts w:eastAsia="Times New Roman"/>
                <w:sz w:val="20"/>
                <w:szCs w:val="20"/>
              </w:rPr>
            </w:pPr>
          </w:p>
        </w:tc>
        <w:tc>
          <w:tcPr>
            <w:tcW w:w="0" w:type="auto"/>
            <w:vAlign w:val="center"/>
            <w:hideMark/>
          </w:tcPr>
          <w:p w14:paraId="497185C8" w14:textId="77777777" w:rsidR="00000000" w:rsidRDefault="00195E73">
            <w:pPr>
              <w:rPr>
                <w:rFonts w:eastAsia="Times New Roman"/>
                <w:sz w:val="20"/>
                <w:szCs w:val="20"/>
              </w:rPr>
            </w:pPr>
          </w:p>
        </w:tc>
        <w:tc>
          <w:tcPr>
            <w:tcW w:w="0" w:type="auto"/>
            <w:vAlign w:val="center"/>
            <w:hideMark/>
          </w:tcPr>
          <w:p w14:paraId="23262466" w14:textId="77777777" w:rsidR="00000000" w:rsidRDefault="00195E73">
            <w:pPr>
              <w:rPr>
                <w:rFonts w:eastAsia="Times New Roman"/>
                <w:sz w:val="20"/>
                <w:szCs w:val="20"/>
              </w:rPr>
            </w:pPr>
          </w:p>
        </w:tc>
        <w:tc>
          <w:tcPr>
            <w:tcW w:w="0" w:type="auto"/>
            <w:vAlign w:val="center"/>
            <w:hideMark/>
          </w:tcPr>
          <w:p w14:paraId="094F0F43" w14:textId="77777777" w:rsidR="00000000" w:rsidRDefault="00195E73">
            <w:pPr>
              <w:rPr>
                <w:rFonts w:eastAsia="Times New Roman"/>
                <w:sz w:val="20"/>
                <w:szCs w:val="20"/>
              </w:rPr>
            </w:pPr>
          </w:p>
        </w:tc>
      </w:tr>
      <w:tr w:rsidR="00000000" w14:paraId="4524D534" w14:textId="77777777">
        <w:trPr>
          <w:divId w:val="986781791"/>
          <w:jc w:val="center"/>
        </w:trPr>
        <w:tc>
          <w:tcPr>
            <w:tcW w:w="0" w:type="auto"/>
            <w:gridSpan w:val="3"/>
            <w:shd w:val="clear" w:color="auto" w:fill="FFFFFF"/>
            <w:tcMar>
              <w:top w:w="30" w:type="dxa"/>
              <w:left w:w="20" w:type="dxa"/>
              <w:bottom w:w="30" w:type="dxa"/>
              <w:right w:w="20" w:type="dxa"/>
            </w:tcMar>
            <w:vAlign w:val="bottom"/>
            <w:hideMark/>
          </w:tcPr>
          <w:p w14:paraId="2EE7E784" w14:textId="77777777" w:rsidR="00000000" w:rsidRDefault="00195E73">
            <w:pPr>
              <w:rPr>
                <w:rFonts w:eastAsia="Times New Roman"/>
              </w:rPr>
            </w:pPr>
            <w:r>
              <w:rPr>
                <w:rFonts w:eastAsia="Times New Roman"/>
                <w:color w:val="000000"/>
                <w:sz w:val="20"/>
                <w:szCs w:val="20"/>
              </w:rPr>
              <w:t>5.875% senior unsecured notes due 202</w:t>
            </w:r>
            <w:r>
              <w:rPr>
                <w:rFonts w:eastAsia="Times New Roman"/>
                <w:color w:val="000000"/>
                <w:sz w:val="20"/>
                <w:szCs w:val="20"/>
              </w:rPr>
              <w:t>2</w:t>
            </w:r>
          </w:p>
        </w:tc>
        <w:tc>
          <w:tcPr>
            <w:tcW w:w="0" w:type="auto"/>
            <w:gridSpan w:val="2"/>
            <w:shd w:val="clear" w:color="auto" w:fill="FFFFFF"/>
            <w:tcMar>
              <w:top w:w="30" w:type="dxa"/>
              <w:left w:w="20" w:type="dxa"/>
              <w:bottom w:w="30" w:type="dxa"/>
              <w:right w:w="0" w:type="dxa"/>
            </w:tcMar>
            <w:vAlign w:val="bottom"/>
            <w:hideMark/>
          </w:tcPr>
          <w:p w14:paraId="11A97AD0" w14:textId="77777777" w:rsidR="00000000" w:rsidRDefault="00195E73">
            <w:pPr>
              <w:jc w:val="right"/>
              <w:rPr>
                <w:rFonts w:eastAsia="Times New Roman"/>
              </w:rPr>
            </w:pPr>
            <w:r>
              <w:rPr>
                <w:rFonts w:eastAsia="Times New Roman"/>
                <w:color w:val="000000"/>
                <w:sz w:val="20"/>
                <w:szCs w:val="20"/>
              </w:rPr>
              <w:t>1,345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DD9387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57B18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4162E7" w14:textId="77777777" w:rsidR="00000000" w:rsidRDefault="00195E73">
            <w:pPr>
              <w:jc w:val="right"/>
              <w:rPr>
                <w:rFonts w:eastAsia="Times New Roman"/>
              </w:rPr>
            </w:pPr>
            <w:r>
              <w:rPr>
                <w:rFonts w:eastAsia="Times New Roman"/>
                <w:color w:val="000000"/>
                <w:sz w:val="20"/>
                <w:szCs w:val="20"/>
              </w:rPr>
              <w:t>1,344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37C04E0"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7D3B2E6" w14:textId="77777777" w:rsidR="00000000" w:rsidRDefault="00195E73">
            <w:pPr>
              <w:rPr>
                <w:rFonts w:eastAsia="Times New Roman"/>
                <w:sz w:val="20"/>
                <w:szCs w:val="20"/>
              </w:rPr>
            </w:pPr>
          </w:p>
        </w:tc>
        <w:tc>
          <w:tcPr>
            <w:tcW w:w="0" w:type="auto"/>
            <w:vAlign w:val="center"/>
            <w:hideMark/>
          </w:tcPr>
          <w:p w14:paraId="2F82CF26" w14:textId="77777777" w:rsidR="00000000" w:rsidRDefault="00195E73">
            <w:pPr>
              <w:rPr>
                <w:rFonts w:eastAsia="Times New Roman"/>
                <w:sz w:val="20"/>
                <w:szCs w:val="20"/>
              </w:rPr>
            </w:pPr>
          </w:p>
        </w:tc>
        <w:tc>
          <w:tcPr>
            <w:tcW w:w="0" w:type="auto"/>
            <w:vAlign w:val="center"/>
            <w:hideMark/>
          </w:tcPr>
          <w:p w14:paraId="4851BFBB" w14:textId="77777777" w:rsidR="00000000" w:rsidRDefault="00195E73">
            <w:pPr>
              <w:rPr>
                <w:rFonts w:eastAsia="Times New Roman"/>
                <w:sz w:val="20"/>
                <w:szCs w:val="20"/>
              </w:rPr>
            </w:pPr>
          </w:p>
        </w:tc>
        <w:tc>
          <w:tcPr>
            <w:tcW w:w="0" w:type="auto"/>
            <w:vAlign w:val="center"/>
            <w:hideMark/>
          </w:tcPr>
          <w:p w14:paraId="03353FBE" w14:textId="77777777" w:rsidR="00000000" w:rsidRDefault="00195E73">
            <w:pPr>
              <w:rPr>
                <w:rFonts w:eastAsia="Times New Roman"/>
                <w:sz w:val="20"/>
                <w:szCs w:val="20"/>
              </w:rPr>
            </w:pPr>
          </w:p>
        </w:tc>
        <w:tc>
          <w:tcPr>
            <w:tcW w:w="0" w:type="auto"/>
            <w:vAlign w:val="center"/>
            <w:hideMark/>
          </w:tcPr>
          <w:p w14:paraId="2CDB0CE1" w14:textId="77777777" w:rsidR="00000000" w:rsidRDefault="00195E73">
            <w:pPr>
              <w:rPr>
                <w:rFonts w:eastAsia="Times New Roman"/>
                <w:sz w:val="20"/>
                <w:szCs w:val="20"/>
              </w:rPr>
            </w:pPr>
          </w:p>
        </w:tc>
        <w:tc>
          <w:tcPr>
            <w:tcW w:w="0" w:type="auto"/>
            <w:vAlign w:val="center"/>
            <w:hideMark/>
          </w:tcPr>
          <w:p w14:paraId="6A89D7B3" w14:textId="77777777" w:rsidR="00000000" w:rsidRDefault="00195E73">
            <w:pPr>
              <w:rPr>
                <w:rFonts w:eastAsia="Times New Roman"/>
                <w:sz w:val="20"/>
                <w:szCs w:val="20"/>
              </w:rPr>
            </w:pPr>
          </w:p>
        </w:tc>
      </w:tr>
      <w:tr w:rsidR="00000000" w14:paraId="76334124" w14:textId="77777777">
        <w:trPr>
          <w:divId w:val="986781791"/>
          <w:jc w:val="center"/>
        </w:trPr>
        <w:tc>
          <w:tcPr>
            <w:tcW w:w="0" w:type="auto"/>
            <w:gridSpan w:val="3"/>
            <w:shd w:val="clear" w:color="auto" w:fill="CCEEFF"/>
            <w:tcMar>
              <w:top w:w="30" w:type="dxa"/>
              <w:left w:w="20" w:type="dxa"/>
              <w:bottom w:w="30" w:type="dxa"/>
              <w:right w:w="20" w:type="dxa"/>
            </w:tcMar>
            <w:vAlign w:val="bottom"/>
            <w:hideMark/>
          </w:tcPr>
          <w:p w14:paraId="31140A4D" w14:textId="77777777" w:rsidR="00000000" w:rsidRDefault="00195E73">
            <w:pPr>
              <w:rPr>
                <w:rFonts w:eastAsia="Times New Roman"/>
              </w:rPr>
            </w:pPr>
            <w:r>
              <w:rPr>
                <w:rFonts w:eastAsia="Times New Roman"/>
                <w:color w:val="000000"/>
                <w:sz w:val="20"/>
                <w:szCs w:val="20"/>
              </w:rPr>
              <w:t>6.250% senior unsecured notes due 202</w:t>
            </w:r>
            <w:r>
              <w:rPr>
                <w:rFonts w:eastAsia="Times New Roman"/>
                <w:color w:val="000000"/>
                <w:sz w:val="20"/>
                <w:szCs w:val="20"/>
              </w:rPr>
              <w:t>2</w:t>
            </w:r>
          </w:p>
        </w:tc>
        <w:tc>
          <w:tcPr>
            <w:tcW w:w="0" w:type="auto"/>
            <w:gridSpan w:val="2"/>
            <w:shd w:val="clear" w:color="auto" w:fill="CCEEFF"/>
            <w:tcMar>
              <w:top w:w="30" w:type="dxa"/>
              <w:left w:w="20" w:type="dxa"/>
              <w:bottom w:w="30" w:type="dxa"/>
              <w:right w:w="0" w:type="dxa"/>
            </w:tcMar>
            <w:vAlign w:val="bottom"/>
            <w:hideMark/>
          </w:tcPr>
          <w:p w14:paraId="68DC00B7" w14:textId="77777777" w:rsidR="00000000" w:rsidRDefault="00195E73">
            <w:pPr>
              <w:jc w:val="right"/>
              <w:rPr>
                <w:rFonts w:eastAsia="Times New Roman"/>
              </w:rPr>
            </w:pPr>
            <w:r>
              <w:rPr>
                <w:rFonts w:eastAsia="Times New Roman"/>
                <w:color w:val="000000"/>
                <w:sz w:val="20"/>
                <w:szCs w:val="20"/>
              </w:rPr>
              <w:t>1,211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B145707"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65B8C9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2E8ADF" w14:textId="77777777" w:rsidR="00000000" w:rsidRDefault="00195E73">
            <w:pPr>
              <w:jc w:val="right"/>
              <w:rPr>
                <w:rFonts w:eastAsia="Times New Roman"/>
              </w:rPr>
            </w:pPr>
            <w:r>
              <w:rPr>
                <w:rFonts w:eastAsia="Times New Roman"/>
                <w:color w:val="000000"/>
                <w:sz w:val="20"/>
                <w:szCs w:val="20"/>
              </w:rPr>
              <w:t>1,214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192886C"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0D885102" w14:textId="77777777" w:rsidR="00000000" w:rsidRDefault="00195E73">
            <w:pPr>
              <w:rPr>
                <w:rFonts w:eastAsia="Times New Roman"/>
                <w:sz w:val="20"/>
                <w:szCs w:val="20"/>
              </w:rPr>
            </w:pPr>
          </w:p>
        </w:tc>
        <w:tc>
          <w:tcPr>
            <w:tcW w:w="0" w:type="auto"/>
            <w:vAlign w:val="center"/>
            <w:hideMark/>
          </w:tcPr>
          <w:p w14:paraId="41986EED" w14:textId="77777777" w:rsidR="00000000" w:rsidRDefault="00195E73">
            <w:pPr>
              <w:rPr>
                <w:rFonts w:eastAsia="Times New Roman"/>
                <w:sz w:val="20"/>
                <w:szCs w:val="20"/>
              </w:rPr>
            </w:pPr>
          </w:p>
        </w:tc>
        <w:tc>
          <w:tcPr>
            <w:tcW w:w="0" w:type="auto"/>
            <w:vAlign w:val="center"/>
            <w:hideMark/>
          </w:tcPr>
          <w:p w14:paraId="0FE45297" w14:textId="77777777" w:rsidR="00000000" w:rsidRDefault="00195E73">
            <w:pPr>
              <w:rPr>
                <w:rFonts w:eastAsia="Times New Roman"/>
                <w:sz w:val="20"/>
                <w:szCs w:val="20"/>
              </w:rPr>
            </w:pPr>
          </w:p>
        </w:tc>
        <w:tc>
          <w:tcPr>
            <w:tcW w:w="0" w:type="auto"/>
            <w:vAlign w:val="center"/>
            <w:hideMark/>
          </w:tcPr>
          <w:p w14:paraId="45413230" w14:textId="77777777" w:rsidR="00000000" w:rsidRDefault="00195E73">
            <w:pPr>
              <w:rPr>
                <w:rFonts w:eastAsia="Times New Roman"/>
                <w:sz w:val="20"/>
                <w:szCs w:val="20"/>
              </w:rPr>
            </w:pPr>
          </w:p>
        </w:tc>
        <w:tc>
          <w:tcPr>
            <w:tcW w:w="0" w:type="auto"/>
            <w:vAlign w:val="center"/>
            <w:hideMark/>
          </w:tcPr>
          <w:p w14:paraId="712F3247" w14:textId="77777777" w:rsidR="00000000" w:rsidRDefault="00195E73">
            <w:pPr>
              <w:rPr>
                <w:rFonts w:eastAsia="Times New Roman"/>
                <w:sz w:val="20"/>
                <w:szCs w:val="20"/>
              </w:rPr>
            </w:pPr>
          </w:p>
        </w:tc>
        <w:tc>
          <w:tcPr>
            <w:tcW w:w="0" w:type="auto"/>
            <w:vAlign w:val="center"/>
            <w:hideMark/>
          </w:tcPr>
          <w:p w14:paraId="3AA8BBA3" w14:textId="77777777" w:rsidR="00000000" w:rsidRDefault="00195E73">
            <w:pPr>
              <w:rPr>
                <w:rFonts w:eastAsia="Times New Roman"/>
                <w:sz w:val="20"/>
                <w:szCs w:val="20"/>
              </w:rPr>
            </w:pPr>
          </w:p>
        </w:tc>
      </w:tr>
      <w:tr w:rsidR="00000000" w14:paraId="462A76D4" w14:textId="77777777">
        <w:trPr>
          <w:divId w:val="986781791"/>
          <w:jc w:val="center"/>
        </w:trPr>
        <w:tc>
          <w:tcPr>
            <w:tcW w:w="0" w:type="auto"/>
            <w:gridSpan w:val="3"/>
            <w:shd w:val="clear" w:color="auto" w:fill="FFFFFF"/>
            <w:tcMar>
              <w:top w:w="30" w:type="dxa"/>
              <w:left w:w="20" w:type="dxa"/>
              <w:bottom w:w="30" w:type="dxa"/>
              <w:right w:w="20" w:type="dxa"/>
            </w:tcMar>
            <w:vAlign w:val="bottom"/>
            <w:hideMark/>
          </w:tcPr>
          <w:p w14:paraId="2756F59F" w14:textId="77777777" w:rsidR="00000000" w:rsidRDefault="00195E73">
            <w:pPr>
              <w:rPr>
                <w:rFonts w:eastAsia="Times New Roman"/>
              </w:rPr>
            </w:pPr>
            <w:r>
              <w:rPr>
                <w:rFonts w:eastAsia="Times New Roman"/>
                <w:color w:val="000000"/>
                <w:sz w:val="20"/>
                <w:szCs w:val="20"/>
              </w:rPr>
              <w:t>6.750% senior unsecured notes due 202</w:t>
            </w:r>
            <w:r>
              <w:rPr>
                <w:rFonts w:eastAsia="Times New Roman"/>
                <w:color w:val="000000"/>
                <w:sz w:val="20"/>
                <w:szCs w:val="20"/>
              </w:rPr>
              <w:t>4</w:t>
            </w:r>
          </w:p>
        </w:tc>
        <w:tc>
          <w:tcPr>
            <w:tcW w:w="0" w:type="auto"/>
            <w:gridSpan w:val="2"/>
            <w:shd w:val="clear" w:color="auto" w:fill="FFFFFF"/>
            <w:tcMar>
              <w:top w:w="30" w:type="dxa"/>
              <w:left w:w="20" w:type="dxa"/>
              <w:bottom w:w="30" w:type="dxa"/>
              <w:right w:w="0" w:type="dxa"/>
            </w:tcMar>
            <w:vAlign w:val="bottom"/>
            <w:hideMark/>
          </w:tcPr>
          <w:p w14:paraId="4E198BD5" w14:textId="77777777" w:rsidR="00000000" w:rsidRDefault="00195E73">
            <w:pPr>
              <w:jc w:val="right"/>
              <w:rPr>
                <w:rFonts w:eastAsia="Times New Roman"/>
              </w:rPr>
            </w:pPr>
            <w:r>
              <w:rPr>
                <w:rFonts w:eastAsia="Times New Roman"/>
                <w:color w:val="000000"/>
                <w:sz w:val="20"/>
                <w:szCs w:val="20"/>
              </w:rPr>
              <w:t>499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51657A0"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52C688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B29687" w14:textId="77777777" w:rsidR="00000000" w:rsidRDefault="00195E73">
            <w:pPr>
              <w:jc w:val="right"/>
              <w:rPr>
                <w:rFonts w:eastAsia="Times New Roman"/>
              </w:rPr>
            </w:pPr>
            <w:r>
              <w:rPr>
                <w:rFonts w:eastAsia="Times New Roman"/>
                <w:color w:val="000000"/>
                <w:sz w:val="20"/>
                <w:szCs w:val="20"/>
              </w:rPr>
              <w:t>499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545753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14AE6CFD" w14:textId="77777777" w:rsidR="00000000" w:rsidRDefault="00195E73">
            <w:pPr>
              <w:rPr>
                <w:rFonts w:eastAsia="Times New Roman"/>
                <w:sz w:val="20"/>
                <w:szCs w:val="20"/>
              </w:rPr>
            </w:pPr>
          </w:p>
        </w:tc>
        <w:tc>
          <w:tcPr>
            <w:tcW w:w="0" w:type="auto"/>
            <w:vAlign w:val="center"/>
            <w:hideMark/>
          </w:tcPr>
          <w:p w14:paraId="0297ED9F" w14:textId="77777777" w:rsidR="00000000" w:rsidRDefault="00195E73">
            <w:pPr>
              <w:rPr>
                <w:rFonts w:eastAsia="Times New Roman"/>
                <w:sz w:val="20"/>
                <w:szCs w:val="20"/>
              </w:rPr>
            </w:pPr>
          </w:p>
        </w:tc>
        <w:tc>
          <w:tcPr>
            <w:tcW w:w="0" w:type="auto"/>
            <w:vAlign w:val="center"/>
            <w:hideMark/>
          </w:tcPr>
          <w:p w14:paraId="198399B9" w14:textId="77777777" w:rsidR="00000000" w:rsidRDefault="00195E73">
            <w:pPr>
              <w:rPr>
                <w:rFonts w:eastAsia="Times New Roman"/>
                <w:sz w:val="20"/>
                <w:szCs w:val="20"/>
              </w:rPr>
            </w:pPr>
          </w:p>
        </w:tc>
        <w:tc>
          <w:tcPr>
            <w:tcW w:w="0" w:type="auto"/>
            <w:vAlign w:val="center"/>
            <w:hideMark/>
          </w:tcPr>
          <w:p w14:paraId="68AD0115" w14:textId="77777777" w:rsidR="00000000" w:rsidRDefault="00195E73">
            <w:pPr>
              <w:rPr>
                <w:rFonts w:eastAsia="Times New Roman"/>
                <w:sz w:val="20"/>
                <w:szCs w:val="20"/>
              </w:rPr>
            </w:pPr>
          </w:p>
        </w:tc>
        <w:tc>
          <w:tcPr>
            <w:tcW w:w="0" w:type="auto"/>
            <w:vAlign w:val="center"/>
            <w:hideMark/>
          </w:tcPr>
          <w:p w14:paraId="500F8048" w14:textId="77777777" w:rsidR="00000000" w:rsidRDefault="00195E73">
            <w:pPr>
              <w:rPr>
                <w:rFonts w:eastAsia="Times New Roman"/>
                <w:sz w:val="20"/>
                <w:szCs w:val="20"/>
              </w:rPr>
            </w:pPr>
          </w:p>
        </w:tc>
        <w:tc>
          <w:tcPr>
            <w:tcW w:w="0" w:type="auto"/>
            <w:vAlign w:val="center"/>
            <w:hideMark/>
          </w:tcPr>
          <w:p w14:paraId="7DB93B72" w14:textId="77777777" w:rsidR="00000000" w:rsidRDefault="00195E73">
            <w:pPr>
              <w:rPr>
                <w:rFonts w:eastAsia="Times New Roman"/>
                <w:sz w:val="20"/>
                <w:szCs w:val="20"/>
              </w:rPr>
            </w:pPr>
          </w:p>
        </w:tc>
      </w:tr>
      <w:tr w:rsidR="00000000" w14:paraId="46DA9C55" w14:textId="77777777">
        <w:trPr>
          <w:divId w:val="986781791"/>
          <w:jc w:val="center"/>
        </w:trPr>
        <w:tc>
          <w:tcPr>
            <w:tcW w:w="0" w:type="auto"/>
            <w:gridSpan w:val="3"/>
            <w:shd w:val="clear" w:color="auto" w:fill="CCEEFF"/>
            <w:tcMar>
              <w:top w:w="30" w:type="dxa"/>
              <w:left w:w="20" w:type="dxa"/>
              <w:bottom w:w="30" w:type="dxa"/>
              <w:right w:w="20" w:type="dxa"/>
            </w:tcMar>
            <w:vAlign w:val="bottom"/>
            <w:hideMark/>
          </w:tcPr>
          <w:p w14:paraId="661D8AF0" w14:textId="77777777" w:rsidR="00000000" w:rsidRDefault="00195E73">
            <w:pPr>
              <w:rPr>
                <w:rFonts w:eastAsia="Times New Roman"/>
              </w:rPr>
            </w:pPr>
            <w:r>
              <w:rPr>
                <w:rFonts w:eastAsia="Times New Roman"/>
                <w:color w:val="000000"/>
                <w:sz w:val="20"/>
                <w:szCs w:val="20"/>
              </w:rPr>
              <w:t>4.750% senior unsecured notes due 202</w:t>
            </w:r>
            <w:r>
              <w:rPr>
                <w:rFonts w:eastAsia="Times New Roman"/>
                <w:color w:val="000000"/>
                <w:sz w:val="20"/>
                <w:szCs w:val="20"/>
              </w:rPr>
              <w:t>4</w:t>
            </w:r>
          </w:p>
        </w:tc>
        <w:tc>
          <w:tcPr>
            <w:tcW w:w="0" w:type="auto"/>
            <w:gridSpan w:val="2"/>
            <w:shd w:val="clear" w:color="auto" w:fill="CCEEFF"/>
            <w:tcMar>
              <w:top w:w="30" w:type="dxa"/>
              <w:left w:w="20" w:type="dxa"/>
              <w:bottom w:w="30" w:type="dxa"/>
              <w:right w:w="0" w:type="dxa"/>
            </w:tcMar>
            <w:vAlign w:val="bottom"/>
            <w:hideMark/>
          </w:tcPr>
          <w:p w14:paraId="166816EC" w14:textId="77777777" w:rsidR="00000000" w:rsidRDefault="00195E73">
            <w:pPr>
              <w:jc w:val="right"/>
              <w:rPr>
                <w:rFonts w:eastAsia="Times New Roman"/>
              </w:rPr>
            </w:pPr>
            <w:r>
              <w:rPr>
                <w:rFonts w:eastAsia="Times New Roman"/>
                <w:color w:val="000000"/>
                <w:sz w:val="20"/>
                <w:szCs w:val="20"/>
              </w:rPr>
              <w:t>499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2440745"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D7A9FF"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A183D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14C823D"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5F2D268A" w14:textId="77777777" w:rsidR="00000000" w:rsidRDefault="00195E73">
            <w:pPr>
              <w:rPr>
                <w:rFonts w:eastAsia="Times New Roman"/>
                <w:sz w:val="20"/>
                <w:szCs w:val="20"/>
              </w:rPr>
            </w:pPr>
          </w:p>
        </w:tc>
        <w:tc>
          <w:tcPr>
            <w:tcW w:w="0" w:type="auto"/>
            <w:vAlign w:val="center"/>
            <w:hideMark/>
          </w:tcPr>
          <w:p w14:paraId="622C67CE" w14:textId="77777777" w:rsidR="00000000" w:rsidRDefault="00195E73">
            <w:pPr>
              <w:rPr>
                <w:rFonts w:eastAsia="Times New Roman"/>
                <w:sz w:val="20"/>
                <w:szCs w:val="20"/>
              </w:rPr>
            </w:pPr>
          </w:p>
        </w:tc>
        <w:tc>
          <w:tcPr>
            <w:tcW w:w="0" w:type="auto"/>
            <w:vAlign w:val="center"/>
            <w:hideMark/>
          </w:tcPr>
          <w:p w14:paraId="5C972459" w14:textId="77777777" w:rsidR="00000000" w:rsidRDefault="00195E73">
            <w:pPr>
              <w:rPr>
                <w:rFonts w:eastAsia="Times New Roman"/>
                <w:sz w:val="20"/>
                <w:szCs w:val="20"/>
              </w:rPr>
            </w:pPr>
          </w:p>
        </w:tc>
        <w:tc>
          <w:tcPr>
            <w:tcW w:w="0" w:type="auto"/>
            <w:vAlign w:val="center"/>
            <w:hideMark/>
          </w:tcPr>
          <w:p w14:paraId="2D5A545B" w14:textId="77777777" w:rsidR="00000000" w:rsidRDefault="00195E73">
            <w:pPr>
              <w:rPr>
                <w:rFonts w:eastAsia="Times New Roman"/>
                <w:sz w:val="20"/>
                <w:szCs w:val="20"/>
              </w:rPr>
            </w:pPr>
          </w:p>
        </w:tc>
        <w:tc>
          <w:tcPr>
            <w:tcW w:w="0" w:type="auto"/>
            <w:vAlign w:val="center"/>
            <w:hideMark/>
          </w:tcPr>
          <w:p w14:paraId="7D6301B8" w14:textId="77777777" w:rsidR="00000000" w:rsidRDefault="00195E73">
            <w:pPr>
              <w:rPr>
                <w:rFonts w:eastAsia="Times New Roman"/>
                <w:sz w:val="20"/>
                <w:szCs w:val="20"/>
              </w:rPr>
            </w:pPr>
          </w:p>
        </w:tc>
        <w:tc>
          <w:tcPr>
            <w:tcW w:w="0" w:type="auto"/>
            <w:vAlign w:val="center"/>
            <w:hideMark/>
          </w:tcPr>
          <w:p w14:paraId="5A45E7CD" w14:textId="77777777" w:rsidR="00000000" w:rsidRDefault="00195E73">
            <w:pPr>
              <w:rPr>
                <w:rFonts w:eastAsia="Times New Roman"/>
                <w:sz w:val="20"/>
                <w:szCs w:val="20"/>
              </w:rPr>
            </w:pPr>
          </w:p>
        </w:tc>
      </w:tr>
      <w:tr w:rsidR="00000000" w14:paraId="6B3217D1" w14:textId="77777777">
        <w:trPr>
          <w:divId w:val="986781791"/>
          <w:jc w:val="center"/>
        </w:trPr>
        <w:tc>
          <w:tcPr>
            <w:tcW w:w="0" w:type="auto"/>
            <w:gridSpan w:val="3"/>
            <w:shd w:val="clear" w:color="auto" w:fill="FFFFFF"/>
            <w:tcMar>
              <w:top w:w="30" w:type="dxa"/>
              <w:left w:w="20" w:type="dxa"/>
              <w:bottom w:w="30" w:type="dxa"/>
              <w:right w:w="20" w:type="dxa"/>
            </w:tcMar>
            <w:vAlign w:val="bottom"/>
            <w:hideMark/>
          </w:tcPr>
          <w:p w14:paraId="4BAC4231" w14:textId="77777777" w:rsidR="00000000" w:rsidRDefault="00195E73">
            <w:pPr>
              <w:rPr>
                <w:rFonts w:eastAsia="Times New Roman"/>
              </w:rPr>
            </w:pPr>
            <w:r>
              <w:rPr>
                <w:rFonts w:eastAsia="Times New Roman"/>
                <w:color w:val="000000"/>
                <w:sz w:val="20"/>
                <w:szCs w:val="20"/>
              </w:rPr>
              <w:t>6.375% senior unsecured notes due 202</w:t>
            </w:r>
            <w:r>
              <w:rPr>
                <w:rFonts w:eastAsia="Times New Roman"/>
                <w:color w:val="000000"/>
                <w:sz w:val="20"/>
                <w:szCs w:val="20"/>
              </w:rPr>
              <w:t>5</w:t>
            </w:r>
          </w:p>
        </w:tc>
        <w:tc>
          <w:tcPr>
            <w:tcW w:w="0" w:type="auto"/>
            <w:gridSpan w:val="2"/>
            <w:shd w:val="clear" w:color="auto" w:fill="FFFFFF"/>
            <w:tcMar>
              <w:top w:w="30" w:type="dxa"/>
              <w:left w:w="20" w:type="dxa"/>
              <w:bottom w:w="30" w:type="dxa"/>
              <w:right w:w="0" w:type="dxa"/>
            </w:tcMar>
            <w:vAlign w:val="bottom"/>
            <w:hideMark/>
          </w:tcPr>
          <w:p w14:paraId="2A743F6C" w14:textId="77777777" w:rsidR="00000000" w:rsidRDefault="00195E73">
            <w:pPr>
              <w:jc w:val="right"/>
              <w:rPr>
                <w:rFonts w:eastAsia="Times New Roman"/>
              </w:rPr>
            </w:pPr>
            <w:r>
              <w:rPr>
                <w:rFonts w:eastAsia="Times New Roman"/>
                <w:color w:val="000000"/>
                <w:sz w:val="20"/>
                <w:szCs w:val="20"/>
              </w:rPr>
              <w:t>749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8B1E21C"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B3C17C6"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68EB55" w14:textId="77777777" w:rsidR="00000000" w:rsidRDefault="00195E73">
            <w:pPr>
              <w:jc w:val="right"/>
              <w:rPr>
                <w:rFonts w:eastAsia="Times New Roman"/>
              </w:rPr>
            </w:pPr>
            <w:r>
              <w:rPr>
                <w:rFonts w:eastAsia="Times New Roman"/>
                <w:color w:val="000000"/>
                <w:sz w:val="20"/>
                <w:szCs w:val="20"/>
              </w:rPr>
              <w:t>749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190502"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1E1CB35" w14:textId="77777777" w:rsidR="00000000" w:rsidRDefault="00195E73">
            <w:pPr>
              <w:rPr>
                <w:rFonts w:eastAsia="Times New Roman"/>
                <w:sz w:val="20"/>
                <w:szCs w:val="20"/>
              </w:rPr>
            </w:pPr>
          </w:p>
        </w:tc>
        <w:tc>
          <w:tcPr>
            <w:tcW w:w="0" w:type="auto"/>
            <w:vAlign w:val="center"/>
            <w:hideMark/>
          </w:tcPr>
          <w:p w14:paraId="7E3D93E8" w14:textId="77777777" w:rsidR="00000000" w:rsidRDefault="00195E73">
            <w:pPr>
              <w:rPr>
                <w:rFonts w:eastAsia="Times New Roman"/>
                <w:sz w:val="20"/>
                <w:szCs w:val="20"/>
              </w:rPr>
            </w:pPr>
          </w:p>
        </w:tc>
        <w:tc>
          <w:tcPr>
            <w:tcW w:w="0" w:type="auto"/>
            <w:vAlign w:val="center"/>
            <w:hideMark/>
          </w:tcPr>
          <w:p w14:paraId="1B603288" w14:textId="77777777" w:rsidR="00000000" w:rsidRDefault="00195E73">
            <w:pPr>
              <w:rPr>
                <w:rFonts w:eastAsia="Times New Roman"/>
                <w:sz w:val="20"/>
                <w:szCs w:val="20"/>
              </w:rPr>
            </w:pPr>
          </w:p>
        </w:tc>
        <w:tc>
          <w:tcPr>
            <w:tcW w:w="0" w:type="auto"/>
            <w:vAlign w:val="center"/>
            <w:hideMark/>
          </w:tcPr>
          <w:p w14:paraId="547F39A3" w14:textId="77777777" w:rsidR="00000000" w:rsidRDefault="00195E73">
            <w:pPr>
              <w:rPr>
                <w:rFonts w:eastAsia="Times New Roman"/>
                <w:sz w:val="20"/>
                <w:szCs w:val="20"/>
              </w:rPr>
            </w:pPr>
          </w:p>
        </w:tc>
        <w:tc>
          <w:tcPr>
            <w:tcW w:w="0" w:type="auto"/>
            <w:vAlign w:val="center"/>
            <w:hideMark/>
          </w:tcPr>
          <w:p w14:paraId="2FD2FED4" w14:textId="77777777" w:rsidR="00000000" w:rsidRDefault="00195E73">
            <w:pPr>
              <w:rPr>
                <w:rFonts w:eastAsia="Times New Roman"/>
                <w:sz w:val="20"/>
                <w:szCs w:val="20"/>
              </w:rPr>
            </w:pPr>
          </w:p>
        </w:tc>
        <w:tc>
          <w:tcPr>
            <w:tcW w:w="0" w:type="auto"/>
            <w:vAlign w:val="center"/>
            <w:hideMark/>
          </w:tcPr>
          <w:p w14:paraId="4C86D1F9" w14:textId="77777777" w:rsidR="00000000" w:rsidRDefault="00195E73">
            <w:pPr>
              <w:rPr>
                <w:rFonts w:eastAsia="Times New Roman"/>
                <w:sz w:val="20"/>
                <w:szCs w:val="20"/>
              </w:rPr>
            </w:pPr>
          </w:p>
        </w:tc>
      </w:tr>
      <w:tr w:rsidR="00000000" w14:paraId="1CA617D3" w14:textId="77777777">
        <w:trPr>
          <w:divId w:val="986781791"/>
          <w:jc w:val="center"/>
        </w:trPr>
        <w:tc>
          <w:tcPr>
            <w:tcW w:w="0" w:type="auto"/>
            <w:gridSpan w:val="3"/>
            <w:shd w:val="clear" w:color="auto" w:fill="CCEEFF"/>
            <w:tcMar>
              <w:top w:w="30" w:type="dxa"/>
              <w:left w:w="20" w:type="dxa"/>
              <w:bottom w:w="30" w:type="dxa"/>
              <w:right w:w="20" w:type="dxa"/>
            </w:tcMar>
            <w:vAlign w:val="bottom"/>
            <w:hideMark/>
          </w:tcPr>
          <w:p w14:paraId="7BC8AF5F" w14:textId="77777777" w:rsidR="00000000" w:rsidRDefault="00195E73">
            <w:pPr>
              <w:rPr>
                <w:rFonts w:eastAsia="Times New Roman"/>
              </w:rPr>
            </w:pPr>
            <w:r>
              <w:rPr>
                <w:rFonts w:eastAsia="Times New Roman"/>
                <w:color w:val="000000"/>
                <w:sz w:val="20"/>
                <w:szCs w:val="20"/>
              </w:rPr>
              <w:t>6.250% senior unsecured notes due 202</w:t>
            </w:r>
            <w:r>
              <w:rPr>
                <w:rFonts w:eastAsia="Times New Roman"/>
                <w:color w:val="000000"/>
                <w:sz w:val="20"/>
                <w:szCs w:val="20"/>
              </w:rPr>
              <w:t>6</w:t>
            </w:r>
          </w:p>
        </w:tc>
        <w:tc>
          <w:tcPr>
            <w:tcW w:w="0" w:type="auto"/>
            <w:gridSpan w:val="2"/>
            <w:shd w:val="clear" w:color="auto" w:fill="CCEEFF"/>
            <w:tcMar>
              <w:top w:w="30" w:type="dxa"/>
              <w:left w:w="20" w:type="dxa"/>
              <w:bottom w:w="30" w:type="dxa"/>
              <w:right w:w="0" w:type="dxa"/>
            </w:tcMar>
            <w:vAlign w:val="bottom"/>
            <w:hideMark/>
          </w:tcPr>
          <w:p w14:paraId="5CFCD8DB" w14:textId="77777777" w:rsidR="00000000" w:rsidRDefault="00195E73">
            <w:pPr>
              <w:jc w:val="right"/>
              <w:rPr>
                <w:rFonts w:eastAsia="Times New Roman"/>
              </w:rPr>
            </w:pPr>
            <w:r>
              <w:rPr>
                <w:rFonts w:eastAsia="Times New Roman"/>
                <w:color w:val="000000"/>
                <w:sz w:val="20"/>
                <w:szCs w:val="20"/>
              </w:rPr>
              <w:t>1,250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B182172"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7C81517" w14:textId="77777777" w:rsidR="00000000" w:rsidRDefault="00195E7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DDE4C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89F7751"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8B15F87" w14:textId="77777777" w:rsidR="00000000" w:rsidRDefault="00195E73">
            <w:pPr>
              <w:rPr>
                <w:rFonts w:eastAsia="Times New Roman"/>
                <w:sz w:val="20"/>
                <w:szCs w:val="20"/>
              </w:rPr>
            </w:pPr>
          </w:p>
        </w:tc>
        <w:tc>
          <w:tcPr>
            <w:tcW w:w="0" w:type="auto"/>
            <w:vAlign w:val="center"/>
            <w:hideMark/>
          </w:tcPr>
          <w:p w14:paraId="57AA969B" w14:textId="77777777" w:rsidR="00000000" w:rsidRDefault="00195E73">
            <w:pPr>
              <w:rPr>
                <w:rFonts w:eastAsia="Times New Roman"/>
                <w:sz w:val="20"/>
                <w:szCs w:val="20"/>
              </w:rPr>
            </w:pPr>
          </w:p>
        </w:tc>
        <w:tc>
          <w:tcPr>
            <w:tcW w:w="0" w:type="auto"/>
            <w:vAlign w:val="center"/>
            <w:hideMark/>
          </w:tcPr>
          <w:p w14:paraId="4660ACF9" w14:textId="77777777" w:rsidR="00000000" w:rsidRDefault="00195E73">
            <w:pPr>
              <w:rPr>
                <w:rFonts w:eastAsia="Times New Roman"/>
                <w:sz w:val="20"/>
                <w:szCs w:val="20"/>
              </w:rPr>
            </w:pPr>
          </w:p>
        </w:tc>
        <w:tc>
          <w:tcPr>
            <w:tcW w:w="0" w:type="auto"/>
            <w:vAlign w:val="center"/>
            <w:hideMark/>
          </w:tcPr>
          <w:p w14:paraId="05D89F2F" w14:textId="77777777" w:rsidR="00000000" w:rsidRDefault="00195E73">
            <w:pPr>
              <w:rPr>
                <w:rFonts w:eastAsia="Times New Roman"/>
                <w:sz w:val="20"/>
                <w:szCs w:val="20"/>
              </w:rPr>
            </w:pPr>
          </w:p>
        </w:tc>
        <w:tc>
          <w:tcPr>
            <w:tcW w:w="0" w:type="auto"/>
            <w:vAlign w:val="center"/>
            <w:hideMark/>
          </w:tcPr>
          <w:p w14:paraId="625F6F91" w14:textId="77777777" w:rsidR="00000000" w:rsidRDefault="00195E73">
            <w:pPr>
              <w:rPr>
                <w:rFonts w:eastAsia="Times New Roman"/>
                <w:sz w:val="20"/>
                <w:szCs w:val="20"/>
              </w:rPr>
            </w:pPr>
          </w:p>
        </w:tc>
        <w:tc>
          <w:tcPr>
            <w:tcW w:w="0" w:type="auto"/>
            <w:vAlign w:val="center"/>
            <w:hideMark/>
          </w:tcPr>
          <w:p w14:paraId="0247EEF0" w14:textId="77777777" w:rsidR="00000000" w:rsidRDefault="00195E73">
            <w:pPr>
              <w:rPr>
                <w:rFonts w:eastAsia="Times New Roman"/>
                <w:sz w:val="20"/>
                <w:szCs w:val="20"/>
              </w:rPr>
            </w:pPr>
          </w:p>
        </w:tc>
      </w:tr>
      <w:tr w:rsidR="00000000" w14:paraId="03AA3098" w14:textId="77777777">
        <w:trPr>
          <w:divId w:val="986781791"/>
          <w:jc w:val="center"/>
        </w:trPr>
        <w:tc>
          <w:tcPr>
            <w:tcW w:w="0" w:type="auto"/>
            <w:gridSpan w:val="3"/>
            <w:shd w:val="clear" w:color="auto" w:fill="FFFFFF"/>
            <w:tcMar>
              <w:top w:w="30" w:type="dxa"/>
              <w:left w:w="20" w:type="dxa"/>
              <w:bottom w:w="30" w:type="dxa"/>
              <w:right w:w="20" w:type="dxa"/>
            </w:tcMar>
            <w:vAlign w:val="bottom"/>
            <w:hideMark/>
          </w:tcPr>
          <w:p w14:paraId="2AECBAB2" w14:textId="77777777" w:rsidR="00000000" w:rsidRDefault="00195E73">
            <w:pPr>
              <w:rPr>
                <w:rFonts w:eastAsia="Times New Roman"/>
              </w:rPr>
            </w:pPr>
            <w:r>
              <w:rPr>
                <w:rFonts w:eastAsia="Times New Roman"/>
                <w:color w:val="000000"/>
                <w:sz w:val="20"/>
                <w:szCs w:val="20"/>
              </w:rPr>
              <w:t>5.250% senior unsecured notes due 202</w:t>
            </w:r>
            <w:r>
              <w:rPr>
                <w:rFonts w:eastAsia="Times New Roman"/>
                <w:color w:val="000000"/>
                <w:sz w:val="20"/>
                <w:szCs w:val="20"/>
              </w:rPr>
              <w:t>7</w:t>
            </w:r>
          </w:p>
        </w:tc>
        <w:tc>
          <w:tcPr>
            <w:tcW w:w="0" w:type="auto"/>
            <w:gridSpan w:val="2"/>
            <w:shd w:val="clear" w:color="auto" w:fill="FFFFFF"/>
            <w:tcMar>
              <w:top w:w="30" w:type="dxa"/>
              <w:left w:w="20" w:type="dxa"/>
              <w:bottom w:w="30" w:type="dxa"/>
              <w:right w:w="0" w:type="dxa"/>
            </w:tcMar>
            <w:vAlign w:val="bottom"/>
            <w:hideMark/>
          </w:tcPr>
          <w:p w14:paraId="56C2FC41" w14:textId="77777777" w:rsidR="00000000" w:rsidRDefault="00195E73">
            <w:pPr>
              <w:jc w:val="right"/>
              <w:rPr>
                <w:rFonts w:eastAsia="Times New Roman"/>
              </w:rPr>
            </w:pPr>
            <w:r>
              <w:rPr>
                <w:rFonts w:eastAsia="Times New Roman"/>
                <w:color w:val="000000"/>
                <w:sz w:val="20"/>
                <w:szCs w:val="20"/>
              </w:rPr>
              <w:t>747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1542F4B"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A71661" w14:textId="77777777" w:rsidR="00000000" w:rsidRDefault="00195E7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1261AD" w14:textId="77777777" w:rsidR="00000000" w:rsidRDefault="00195E7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A3A0CE8"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400DD8B4" w14:textId="77777777" w:rsidR="00000000" w:rsidRDefault="00195E73">
            <w:pPr>
              <w:rPr>
                <w:rFonts w:eastAsia="Times New Roman"/>
                <w:sz w:val="20"/>
                <w:szCs w:val="20"/>
              </w:rPr>
            </w:pPr>
          </w:p>
        </w:tc>
        <w:tc>
          <w:tcPr>
            <w:tcW w:w="0" w:type="auto"/>
            <w:vAlign w:val="center"/>
            <w:hideMark/>
          </w:tcPr>
          <w:p w14:paraId="6E3F429C" w14:textId="77777777" w:rsidR="00000000" w:rsidRDefault="00195E73">
            <w:pPr>
              <w:rPr>
                <w:rFonts w:eastAsia="Times New Roman"/>
                <w:sz w:val="20"/>
                <w:szCs w:val="20"/>
              </w:rPr>
            </w:pPr>
          </w:p>
        </w:tc>
        <w:tc>
          <w:tcPr>
            <w:tcW w:w="0" w:type="auto"/>
            <w:vAlign w:val="center"/>
            <w:hideMark/>
          </w:tcPr>
          <w:p w14:paraId="0BEB56FB" w14:textId="77777777" w:rsidR="00000000" w:rsidRDefault="00195E73">
            <w:pPr>
              <w:rPr>
                <w:rFonts w:eastAsia="Times New Roman"/>
                <w:sz w:val="20"/>
                <w:szCs w:val="20"/>
              </w:rPr>
            </w:pPr>
          </w:p>
        </w:tc>
        <w:tc>
          <w:tcPr>
            <w:tcW w:w="0" w:type="auto"/>
            <w:vAlign w:val="center"/>
            <w:hideMark/>
          </w:tcPr>
          <w:p w14:paraId="5E749BD8" w14:textId="77777777" w:rsidR="00000000" w:rsidRDefault="00195E73">
            <w:pPr>
              <w:rPr>
                <w:rFonts w:eastAsia="Times New Roman"/>
                <w:sz w:val="20"/>
                <w:szCs w:val="20"/>
              </w:rPr>
            </w:pPr>
          </w:p>
        </w:tc>
        <w:tc>
          <w:tcPr>
            <w:tcW w:w="0" w:type="auto"/>
            <w:vAlign w:val="center"/>
            <w:hideMark/>
          </w:tcPr>
          <w:p w14:paraId="3A8BA44E" w14:textId="77777777" w:rsidR="00000000" w:rsidRDefault="00195E73">
            <w:pPr>
              <w:rPr>
                <w:rFonts w:eastAsia="Times New Roman"/>
                <w:sz w:val="20"/>
                <w:szCs w:val="20"/>
              </w:rPr>
            </w:pPr>
          </w:p>
        </w:tc>
        <w:tc>
          <w:tcPr>
            <w:tcW w:w="0" w:type="auto"/>
            <w:vAlign w:val="center"/>
            <w:hideMark/>
          </w:tcPr>
          <w:p w14:paraId="1A2B2153" w14:textId="77777777" w:rsidR="00000000" w:rsidRDefault="00195E73">
            <w:pPr>
              <w:rPr>
                <w:rFonts w:eastAsia="Times New Roman"/>
                <w:sz w:val="20"/>
                <w:szCs w:val="20"/>
              </w:rPr>
            </w:pPr>
          </w:p>
        </w:tc>
      </w:tr>
      <w:tr w:rsidR="00000000" w14:paraId="6E7F1E53" w14:textId="77777777">
        <w:trPr>
          <w:divId w:val="986781791"/>
          <w:jc w:val="center"/>
        </w:trPr>
        <w:tc>
          <w:tcPr>
            <w:tcW w:w="0" w:type="auto"/>
            <w:gridSpan w:val="3"/>
            <w:shd w:val="clear" w:color="auto" w:fill="CCEEFF"/>
            <w:tcMar>
              <w:top w:w="30" w:type="dxa"/>
              <w:left w:w="20" w:type="dxa"/>
              <w:bottom w:w="30" w:type="dxa"/>
              <w:right w:w="20" w:type="dxa"/>
            </w:tcMar>
            <w:vAlign w:val="bottom"/>
            <w:hideMark/>
          </w:tcPr>
          <w:p w14:paraId="3316D69D" w14:textId="77777777" w:rsidR="00000000" w:rsidRDefault="00195E73">
            <w:pPr>
              <w:rPr>
                <w:rFonts w:eastAsia="Times New Roman"/>
              </w:rPr>
            </w:pPr>
            <w:r>
              <w:rPr>
                <w:rFonts w:eastAsia="Times New Roman"/>
                <w:color w:val="000000"/>
                <w:sz w:val="20"/>
                <w:szCs w:val="20"/>
              </w:rPr>
              <w:t>Total deb</w:t>
            </w:r>
            <w:r>
              <w:rPr>
                <w:rFonts w:eastAsia="Times New Roman"/>
                <w:color w:val="000000"/>
                <w:sz w:val="20"/>
                <w:szCs w:val="20"/>
              </w:rPr>
              <w:t>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E342300"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12F61F0" w14:textId="77777777" w:rsidR="00000000" w:rsidRDefault="00195E73">
            <w:pPr>
              <w:jc w:val="right"/>
              <w:rPr>
                <w:rFonts w:eastAsia="Times New Roman"/>
              </w:rPr>
            </w:pPr>
            <w:r>
              <w:rPr>
                <w:rFonts w:eastAsia="Times New Roman"/>
                <w:color w:val="000000"/>
                <w:sz w:val="20"/>
                <w:szCs w:val="20"/>
              </w:rPr>
              <w:t>6,300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1CCEABD" w14:textId="77777777" w:rsidR="00000000" w:rsidRDefault="00195E73">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D561120" w14:textId="77777777" w:rsidR="00000000" w:rsidRDefault="00195E73">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9DBF45E" w14:textId="77777777" w:rsidR="00000000" w:rsidRDefault="00195E7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63AA66C" w14:textId="77777777" w:rsidR="00000000" w:rsidRDefault="00195E73">
            <w:pPr>
              <w:jc w:val="right"/>
              <w:rPr>
                <w:rFonts w:eastAsia="Times New Roman"/>
              </w:rPr>
            </w:pPr>
            <w:r>
              <w:rPr>
                <w:rFonts w:eastAsia="Times New Roman"/>
                <w:color w:val="000000"/>
                <w:sz w:val="20"/>
                <w:szCs w:val="20"/>
              </w:rPr>
              <w:t>5,509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30F42C6" w14:textId="77777777" w:rsidR="00000000" w:rsidRDefault="00195E73">
            <w:pPr>
              <w:jc w:val="right"/>
              <w:rPr>
                <w:rFonts w:eastAsia="Times New Roman"/>
              </w:rPr>
            </w:pPr>
            <w:r>
              <w:rPr>
                <w:rFonts w:eastAsia="Times New Roman"/>
                <w:color w:val="000000"/>
                <w:sz w:val="20"/>
                <w:szCs w:val="20"/>
              </w:rPr>
              <w:t> </w:t>
            </w:r>
          </w:p>
        </w:tc>
        <w:tc>
          <w:tcPr>
            <w:tcW w:w="0" w:type="auto"/>
            <w:vAlign w:val="center"/>
            <w:hideMark/>
          </w:tcPr>
          <w:p w14:paraId="7B81489E" w14:textId="77777777" w:rsidR="00000000" w:rsidRDefault="00195E73">
            <w:pPr>
              <w:rPr>
                <w:rFonts w:eastAsia="Times New Roman"/>
                <w:sz w:val="20"/>
                <w:szCs w:val="20"/>
              </w:rPr>
            </w:pPr>
          </w:p>
        </w:tc>
        <w:tc>
          <w:tcPr>
            <w:tcW w:w="0" w:type="auto"/>
            <w:vAlign w:val="center"/>
            <w:hideMark/>
          </w:tcPr>
          <w:p w14:paraId="29CBD96D" w14:textId="77777777" w:rsidR="00000000" w:rsidRDefault="00195E73">
            <w:pPr>
              <w:rPr>
                <w:rFonts w:eastAsia="Times New Roman"/>
                <w:sz w:val="20"/>
                <w:szCs w:val="20"/>
              </w:rPr>
            </w:pPr>
          </w:p>
        </w:tc>
        <w:tc>
          <w:tcPr>
            <w:tcW w:w="0" w:type="auto"/>
            <w:vAlign w:val="center"/>
            <w:hideMark/>
          </w:tcPr>
          <w:p w14:paraId="0C60F71A" w14:textId="77777777" w:rsidR="00000000" w:rsidRDefault="00195E73">
            <w:pPr>
              <w:rPr>
                <w:rFonts w:eastAsia="Times New Roman"/>
                <w:sz w:val="20"/>
                <w:szCs w:val="20"/>
              </w:rPr>
            </w:pPr>
          </w:p>
        </w:tc>
        <w:tc>
          <w:tcPr>
            <w:tcW w:w="0" w:type="auto"/>
            <w:vAlign w:val="center"/>
            <w:hideMark/>
          </w:tcPr>
          <w:p w14:paraId="7EF46560" w14:textId="77777777" w:rsidR="00000000" w:rsidRDefault="00195E73">
            <w:pPr>
              <w:rPr>
                <w:rFonts w:eastAsia="Times New Roman"/>
                <w:sz w:val="20"/>
                <w:szCs w:val="20"/>
              </w:rPr>
            </w:pPr>
          </w:p>
        </w:tc>
        <w:tc>
          <w:tcPr>
            <w:tcW w:w="0" w:type="auto"/>
            <w:vAlign w:val="center"/>
            <w:hideMark/>
          </w:tcPr>
          <w:p w14:paraId="00E21847" w14:textId="77777777" w:rsidR="00000000" w:rsidRDefault="00195E73">
            <w:pPr>
              <w:rPr>
                <w:rFonts w:eastAsia="Times New Roman"/>
                <w:sz w:val="20"/>
                <w:szCs w:val="20"/>
              </w:rPr>
            </w:pPr>
          </w:p>
        </w:tc>
        <w:tc>
          <w:tcPr>
            <w:tcW w:w="0" w:type="auto"/>
            <w:vAlign w:val="center"/>
            <w:hideMark/>
          </w:tcPr>
          <w:p w14:paraId="7CCA0DC4" w14:textId="77777777" w:rsidR="00000000" w:rsidRDefault="00195E73">
            <w:pPr>
              <w:rPr>
                <w:rFonts w:eastAsia="Times New Roman"/>
                <w:sz w:val="20"/>
                <w:szCs w:val="20"/>
              </w:rPr>
            </w:pPr>
          </w:p>
        </w:tc>
      </w:tr>
    </w:tbl>
    <w:p w14:paraId="1DBB40C7" w14:textId="77777777" w:rsidR="00000000" w:rsidRDefault="00195E73">
      <w:pPr>
        <w:jc w:val="center"/>
        <w:rPr>
          <w:rFonts w:eastAsia="Times New Roman"/>
        </w:rPr>
      </w:pPr>
    </w:p>
    <w:p w14:paraId="33B0D80D" w14:textId="77777777" w:rsidR="00000000" w:rsidRDefault="00195E73">
      <w:pPr>
        <w:divId w:val="90392273"/>
        <w:rPr>
          <w:rFonts w:eastAsia="Times New Roman"/>
        </w:rPr>
      </w:pPr>
      <w:r>
        <w:rPr>
          <w:rFonts w:eastAsia="Times New Roman"/>
          <w:b/>
          <w:bCs/>
          <w:color w:val="000000"/>
          <w:sz w:val="20"/>
          <w:szCs w:val="20"/>
        </w:rPr>
        <w:t>3.  Commitments and Contingencies</w:t>
      </w:r>
      <w:r>
        <w:rPr>
          <w:rFonts w:eastAsia="Times New Roman"/>
          <w:b/>
          <w:bCs/>
          <w:color w:val="000000"/>
          <w:sz w:val="20"/>
          <w:szCs w:val="20"/>
        </w:rPr>
        <w:t>.</w:t>
      </w:r>
    </w:p>
    <w:p w14:paraId="225D48AF" w14:textId="77777777" w:rsidR="00000000" w:rsidRDefault="00195E73">
      <w:pPr>
        <w:ind w:firstLine="315"/>
        <w:divId w:val="1519656108"/>
        <w:rPr>
          <w:rFonts w:eastAsia="Times New Roman"/>
        </w:rPr>
      </w:pPr>
      <w:r>
        <w:rPr>
          <w:rFonts w:eastAsia="Times New Roman"/>
          <w:color w:val="000000"/>
          <w:sz w:val="20"/>
          <w:szCs w:val="20"/>
        </w:rPr>
        <w:t>See Note 18, “</w:t>
      </w:r>
      <w:r>
        <w:rPr>
          <w:rFonts w:eastAsia="Times New Roman"/>
          <w:color w:val="000000"/>
          <w:sz w:val="20"/>
          <w:szCs w:val="20"/>
        </w:rPr>
        <w:t>Commitments and Contingencies,” to the consolidated financial statements</w:t>
      </w:r>
      <w:r>
        <w:rPr>
          <w:rFonts w:eastAsia="Times New Roman"/>
          <w:color w:val="000000"/>
          <w:sz w:val="20"/>
          <w:szCs w:val="20"/>
        </w:rPr>
        <w:t>.</w:t>
      </w:r>
    </w:p>
    <w:p w14:paraId="6FBA32DE" w14:textId="77777777" w:rsidR="00000000" w:rsidRDefault="00195E73">
      <w:pPr>
        <w:divId w:val="1902322076"/>
        <w:rPr>
          <w:rFonts w:eastAsia="Times New Roman"/>
        </w:rPr>
      </w:pPr>
    </w:p>
    <w:p w14:paraId="553E71EC" w14:textId="77777777" w:rsidR="00000000" w:rsidRDefault="00195E73">
      <w:pPr>
        <w:divId w:val="1644849412"/>
        <w:rPr>
          <w:rFonts w:eastAsia="Times New Roman"/>
        </w:rPr>
      </w:pPr>
    </w:p>
    <w:p w14:paraId="57A54D90" w14:textId="77777777" w:rsidR="00000000" w:rsidRDefault="00195E73">
      <w:pPr>
        <w:jc w:val="center"/>
        <w:divId w:val="1896161842"/>
        <w:rPr>
          <w:rFonts w:eastAsia="Times New Roman"/>
        </w:rPr>
      </w:pPr>
      <w:r>
        <w:rPr>
          <w:rFonts w:eastAsia="Times New Roman"/>
          <w:color w:val="000000"/>
          <w:sz w:val="20"/>
          <w:szCs w:val="20"/>
        </w:rPr>
        <w:t>14</w:t>
      </w:r>
      <w:r>
        <w:rPr>
          <w:rFonts w:eastAsia="Times New Roman"/>
          <w:color w:val="000000"/>
          <w:sz w:val="20"/>
          <w:szCs w:val="20"/>
        </w:rPr>
        <w:t>0</w:t>
      </w:r>
    </w:p>
    <w:p w14:paraId="7B9D7D8D" w14:textId="77777777" w:rsidR="00000000" w:rsidRDefault="00195E73">
      <w:pPr>
        <w:rPr>
          <w:rFonts w:eastAsia="Times New Roman"/>
        </w:rPr>
      </w:pPr>
      <w:r>
        <w:rPr>
          <w:rFonts w:eastAsia="Times New Roman"/>
        </w:rPr>
        <w:pict w14:anchorId="0E0606BE">
          <v:rect id="_x0000_i1166" style="width:0;height:1.5pt" o:hralign="center" o:hrstd="t" o:hr="t" fillcolor="#a0a0a0" stroked="f"/>
        </w:pict>
      </w:r>
    </w:p>
    <w:p w14:paraId="63E68E2B" w14:textId="77777777" w:rsidR="00000000" w:rsidRDefault="00195E73">
      <w:pPr>
        <w:divId w:val="852720001"/>
        <w:rPr>
          <w:rFonts w:eastAsia="Times New Roman"/>
        </w:rPr>
      </w:pPr>
    </w:p>
    <w:p w14:paraId="1EE902E1" w14:textId="77777777" w:rsidR="00000000" w:rsidRDefault="00195E73">
      <w:pPr>
        <w:jc w:val="center"/>
        <w:divId w:val="66266945"/>
        <w:rPr>
          <w:rFonts w:eastAsia="Times New Roman"/>
        </w:rPr>
      </w:pPr>
      <w:r>
        <w:rPr>
          <w:rFonts w:eastAsia="Times New Roman"/>
          <w:b/>
          <w:bCs/>
          <w:color w:val="000000"/>
          <w:sz w:val="20"/>
          <w:szCs w:val="20"/>
        </w:rPr>
        <w:t>SIGNATURE</w:t>
      </w:r>
      <w:r>
        <w:rPr>
          <w:rFonts w:eastAsia="Times New Roman"/>
          <w:b/>
          <w:bCs/>
          <w:color w:val="000000"/>
          <w:sz w:val="20"/>
          <w:szCs w:val="20"/>
        </w:rPr>
        <w:t>S</w:t>
      </w:r>
    </w:p>
    <w:p w14:paraId="6C2043DB" w14:textId="77777777" w:rsidR="00000000" w:rsidRDefault="00195E73">
      <w:pPr>
        <w:ind w:firstLine="315"/>
        <w:divId w:val="159857736"/>
        <w:rPr>
          <w:rFonts w:eastAsia="Times New Roman"/>
        </w:rPr>
      </w:pPr>
      <w:r>
        <w:rPr>
          <w:rFonts w:eastAsia="Times New Roman"/>
          <w:color w:val="000000"/>
          <w:sz w:val="20"/>
          <w:szCs w:val="20"/>
        </w:rPr>
        <w:t>Pursuant to the requirements of Section 13 or 15(d) of the Securities Exchange Act of 1934, the registrant has duly caused th</w:t>
      </w:r>
      <w:r>
        <w:rPr>
          <w:rFonts w:eastAsia="Times New Roman"/>
          <w:color w:val="000000"/>
          <w:sz w:val="20"/>
          <w:szCs w:val="20"/>
        </w:rPr>
        <w:t>is report to be signed on its behalf by the undersigned, thereunto duly authorized.</w:t>
      </w:r>
      <w:r>
        <w:rPr>
          <w:rFonts w:eastAsia="Times New Roman"/>
          <w:color w:val="000000"/>
          <w:sz w:val="20"/>
          <w:szCs w:val="20"/>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82"/>
        <w:gridCol w:w="4272"/>
        <w:gridCol w:w="83"/>
        <w:gridCol w:w="83"/>
        <w:gridCol w:w="232"/>
        <w:gridCol w:w="83"/>
        <w:gridCol w:w="83"/>
        <w:gridCol w:w="3256"/>
        <w:gridCol w:w="83"/>
        <w:gridCol w:w="36"/>
      </w:tblGrid>
      <w:tr w:rsidR="00000000" w14:paraId="525D5D03" w14:textId="77777777">
        <w:trPr>
          <w:gridAfter w:val="1"/>
          <w:divId w:val="1647397427"/>
          <w:jc w:val="center"/>
        </w:trPr>
        <w:tc>
          <w:tcPr>
            <w:tcW w:w="50" w:type="pct"/>
            <w:vAlign w:val="center"/>
            <w:hideMark/>
          </w:tcPr>
          <w:p w14:paraId="2CD82BC2" w14:textId="77777777" w:rsidR="00000000" w:rsidRDefault="00195E73">
            <w:pPr>
              <w:ind w:firstLine="315"/>
              <w:rPr>
                <w:rFonts w:eastAsia="Times New Roman"/>
              </w:rPr>
            </w:pPr>
          </w:p>
        </w:tc>
        <w:tc>
          <w:tcPr>
            <w:tcW w:w="2586" w:type="pct"/>
            <w:vAlign w:val="center"/>
            <w:hideMark/>
          </w:tcPr>
          <w:p w14:paraId="7C138D69" w14:textId="77777777" w:rsidR="00000000" w:rsidRDefault="00195E73">
            <w:pPr>
              <w:rPr>
                <w:rFonts w:eastAsia="Times New Roman"/>
                <w:sz w:val="20"/>
                <w:szCs w:val="20"/>
              </w:rPr>
            </w:pPr>
          </w:p>
        </w:tc>
        <w:tc>
          <w:tcPr>
            <w:tcW w:w="50" w:type="pct"/>
            <w:vAlign w:val="center"/>
            <w:hideMark/>
          </w:tcPr>
          <w:p w14:paraId="1524F07B" w14:textId="77777777" w:rsidR="00000000" w:rsidRDefault="00195E73">
            <w:pPr>
              <w:rPr>
                <w:rFonts w:eastAsia="Times New Roman"/>
                <w:sz w:val="20"/>
                <w:szCs w:val="20"/>
              </w:rPr>
            </w:pPr>
          </w:p>
        </w:tc>
        <w:tc>
          <w:tcPr>
            <w:tcW w:w="50" w:type="pct"/>
            <w:vAlign w:val="center"/>
            <w:hideMark/>
          </w:tcPr>
          <w:p w14:paraId="452A518F" w14:textId="77777777" w:rsidR="00000000" w:rsidRDefault="00195E73">
            <w:pPr>
              <w:rPr>
                <w:rFonts w:eastAsia="Times New Roman"/>
                <w:sz w:val="20"/>
                <w:szCs w:val="20"/>
              </w:rPr>
            </w:pPr>
          </w:p>
        </w:tc>
        <w:tc>
          <w:tcPr>
            <w:tcW w:w="141" w:type="pct"/>
            <w:vAlign w:val="center"/>
            <w:hideMark/>
          </w:tcPr>
          <w:p w14:paraId="0387C19B" w14:textId="77777777" w:rsidR="00000000" w:rsidRDefault="00195E73">
            <w:pPr>
              <w:rPr>
                <w:rFonts w:eastAsia="Times New Roman"/>
                <w:sz w:val="20"/>
                <w:szCs w:val="20"/>
              </w:rPr>
            </w:pPr>
          </w:p>
        </w:tc>
        <w:tc>
          <w:tcPr>
            <w:tcW w:w="50" w:type="pct"/>
            <w:vAlign w:val="center"/>
            <w:hideMark/>
          </w:tcPr>
          <w:p w14:paraId="0A1B04F2" w14:textId="77777777" w:rsidR="00000000" w:rsidRDefault="00195E73">
            <w:pPr>
              <w:rPr>
                <w:rFonts w:eastAsia="Times New Roman"/>
                <w:sz w:val="20"/>
                <w:szCs w:val="20"/>
              </w:rPr>
            </w:pPr>
          </w:p>
        </w:tc>
        <w:tc>
          <w:tcPr>
            <w:tcW w:w="50" w:type="pct"/>
            <w:vAlign w:val="center"/>
            <w:hideMark/>
          </w:tcPr>
          <w:p w14:paraId="49995CC7" w14:textId="77777777" w:rsidR="00000000" w:rsidRDefault="00195E73">
            <w:pPr>
              <w:rPr>
                <w:rFonts w:eastAsia="Times New Roman"/>
                <w:sz w:val="20"/>
                <w:szCs w:val="20"/>
              </w:rPr>
            </w:pPr>
          </w:p>
        </w:tc>
        <w:tc>
          <w:tcPr>
            <w:tcW w:w="1971" w:type="pct"/>
            <w:vAlign w:val="center"/>
            <w:hideMark/>
          </w:tcPr>
          <w:p w14:paraId="1B892639" w14:textId="77777777" w:rsidR="00000000" w:rsidRDefault="00195E73">
            <w:pPr>
              <w:rPr>
                <w:rFonts w:eastAsia="Times New Roman"/>
                <w:sz w:val="20"/>
                <w:szCs w:val="20"/>
              </w:rPr>
            </w:pPr>
          </w:p>
        </w:tc>
        <w:tc>
          <w:tcPr>
            <w:tcW w:w="50" w:type="pct"/>
            <w:vAlign w:val="center"/>
            <w:hideMark/>
          </w:tcPr>
          <w:p w14:paraId="778C09B5" w14:textId="77777777" w:rsidR="00000000" w:rsidRDefault="00195E73">
            <w:pPr>
              <w:rPr>
                <w:rFonts w:eastAsia="Times New Roman"/>
                <w:sz w:val="20"/>
                <w:szCs w:val="20"/>
              </w:rPr>
            </w:pPr>
          </w:p>
        </w:tc>
      </w:tr>
      <w:tr w:rsidR="00000000" w14:paraId="480570CE" w14:textId="77777777">
        <w:trPr>
          <w:divId w:val="1647397427"/>
          <w:jc w:val="center"/>
        </w:trPr>
        <w:tc>
          <w:tcPr>
            <w:tcW w:w="0" w:type="auto"/>
            <w:gridSpan w:val="3"/>
            <w:tcMar>
              <w:top w:w="15" w:type="dxa"/>
              <w:left w:w="20" w:type="dxa"/>
              <w:bottom w:w="15" w:type="dxa"/>
              <w:right w:w="20" w:type="dxa"/>
            </w:tcMar>
            <w:vAlign w:val="bottom"/>
            <w:hideMark/>
          </w:tcPr>
          <w:p w14:paraId="62C62A75" w14:textId="77777777" w:rsidR="00000000" w:rsidRDefault="00195E73">
            <w:pPr>
              <w:rPr>
                <w:rFonts w:eastAsia="Times New Roman"/>
                <w:sz w:val="20"/>
                <w:szCs w:val="20"/>
              </w:rPr>
            </w:pPr>
          </w:p>
        </w:tc>
        <w:tc>
          <w:tcPr>
            <w:tcW w:w="0" w:type="auto"/>
            <w:gridSpan w:val="6"/>
            <w:tcMar>
              <w:top w:w="30" w:type="dxa"/>
              <w:left w:w="20" w:type="dxa"/>
              <w:bottom w:w="30" w:type="dxa"/>
              <w:right w:w="20" w:type="dxa"/>
            </w:tcMar>
            <w:vAlign w:val="bottom"/>
            <w:hideMark/>
          </w:tcPr>
          <w:p w14:paraId="6757B9B2" w14:textId="77777777" w:rsidR="00000000" w:rsidRDefault="00195E73">
            <w:pPr>
              <w:rPr>
                <w:rFonts w:eastAsia="Times New Roman"/>
              </w:rPr>
            </w:pPr>
            <w:r>
              <w:rPr>
                <w:rFonts w:eastAsia="Times New Roman"/>
                <w:b/>
                <w:bCs/>
                <w:color w:val="000000"/>
                <w:sz w:val="20"/>
                <w:szCs w:val="20"/>
              </w:rPr>
              <w:t>Icahn Enterprises L.P</w:t>
            </w:r>
            <w:r>
              <w:rPr>
                <w:rFonts w:eastAsia="Times New Roman"/>
                <w:b/>
                <w:bCs/>
                <w:color w:val="000000"/>
                <w:sz w:val="20"/>
                <w:szCs w:val="20"/>
              </w:rPr>
              <w:t>.</w:t>
            </w:r>
          </w:p>
        </w:tc>
        <w:tc>
          <w:tcPr>
            <w:tcW w:w="0" w:type="auto"/>
            <w:vAlign w:val="center"/>
            <w:hideMark/>
          </w:tcPr>
          <w:p w14:paraId="2B7BD0C9" w14:textId="77777777" w:rsidR="00000000" w:rsidRDefault="00195E73">
            <w:pPr>
              <w:rPr>
                <w:rFonts w:eastAsia="Times New Roman"/>
              </w:rPr>
            </w:pPr>
          </w:p>
        </w:tc>
      </w:tr>
    </w:tbl>
    <w:p w14:paraId="13C57B1C" w14:textId="77777777" w:rsidR="00000000" w:rsidRDefault="00195E73">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2"/>
        <w:gridCol w:w="4291"/>
        <w:gridCol w:w="83"/>
        <w:gridCol w:w="83"/>
        <w:gridCol w:w="234"/>
        <w:gridCol w:w="83"/>
        <w:gridCol w:w="83"/>
        <w:gridCol w:w="3271"/>
        <w:gridCol w:w="83"/>
      </w:tblGrid>
      <w:tr w:rsidR="00000000" w14:paraId="1690BBD9" w14:textId="77777777">
        <w:trPr>
          <w:divId w:val="692413878"/>
          <w:jc w:val="center"/>
        </w:trPr>
        <w:tc>
          <w:tcPr>
            <w:tcW w:w="50" w:type="pct"/>
            <w:vAlign w:val="center"/>
            <w:hideMark/>
          </w:tcPr>
          <w:p w14:paraId="1A10A6B5" w14:textId="77777777" w:rsidR="00000000" w:rsidRDefault="00195E73">
            <w:pPr>
              <w:jc w:val="center"/>
              <w:rPr>
                <w:rFonts w:eastAsia="Times New Roman"/>
              </w:rPr>
            </w:pPr>
          </w:p>
        </w:tc>
        <w:tc>
          <w:tcPr>
            <w:tcW w:w="2586" w:type="pct"/>
            <w:vAlign w:val="center"/>
            <w:hideMark/>
          </w:tcPr>
          <w:p w14:paraId="0BD836D0" w14:textId="77777777" w:rsidR="00000000" w:rsidRDefault="00195E73">
            <w:pPr>
              <w:rPr>
                <w:rFonts w:eastAsia="Times New Roman"/>
                <w:sz w:val="20"/>
                <w:szCs w:val="20"/>
              </w:rPr>
            </w:pPr>
          </w:p>
        </w:tc>
        <w:tc>
          <w:tcPr>
            <w:tcW w:w="50" w:type="pct"/>
            <w:vAlign w:val="center"/>
            <w:hideMark/>
          </w:tcPr>
          <w:p w14:paraId="00BB80DD" w14:textId="77777777" w:rsidR="00000000" w:rsidRDefault="00195E73">
            <w:pPr>
              <w:rPr>
                <w:rFonts w:eastAsia="Times New Roman"/>
                <w:sz w:val="20"/>
                <w:szCs w:val="20"/>
              </w:rPr>
            </w:pPr>
          </w:p>
        </w:tc>
        <w:tc>
          <w:tcPr>
            <w:tcW w:w="50" w:type="pct"/>
            <w:vAlign w:val="center"/>
            <w:hideMark/>
          </w:tcPr>
          <w:p w14:paraId="344B53B6" w14:textId="77777777" w:rsidR="00000000" w:rsidRDefault="00195E73">
            <w:pPr>
              <w:rPr>
                <w:rFonts w:eastAsia="Times New Roman"/>
                <w:sz w:val="20"/>
                <w:szCs w:val="20"/>
              </w:rPr>
            </w:pPr>
          </w:p>
        </w:tc>
        <w:tc>
          <w:tcPr>
            <w:tcW w:w="141" w:type="pct"/>
            <w:vAlign w:val="center"/>
            <w:hideMark/>
          </w:tcPr>
          <w:p w14:paraId="48D73426" w14:textId="77777777" w:rsidR="00000000" w:rsidRDefault="00195E73">
            <w:pPr>
              <w:rPr>
                <w:rFonts w:eastAsia="Times New Roman"/>
                <w:sz w:val="20"/>
                <w:szCs w:val="20"/>
              </w:rPr>
            </w:pPr>
          </w:p>
        </w:tc>
        <w:tc>
          <w:tcPr>
            <w:tcW w:w="50" w:type="pct"/>
            <w:vAlign w:val="center"/>
            <w:hideMark/>
          </w:tcPr>
          <w:p w14:paraId="02F882A4" w14:textId="77777777" w:rsidR="00000000" w:rsidRDefault="00195E73">
            <w:pPr>
              <w:rPr>
                <w:rFonts w:eastAsia="Times New Roman"/>
                <w:sz w:val="20"/>
                <w:szCs w:val="20"/>
              </w:rPr>
            </w:pPr>
          </w:p>
        </w:tc>
        <w:tc>
          <w:tcPr>
            <w:tcW w:w="50" w:type="pct"/>
            <w:vAlign w:val="center"/>
            <w:hideMark/>
          </w:tcPr>
          <w:p w14:paraId="12B88DDF" w14:textId="77777777" w:rsidR="00000000" w:rsidRDefault="00195E73">
            <w:pPr>
              <w:rPr>
                <w:rFonts w:eastAsia="Times New Roman"/>
                <w:sz w:val="20"/>
                <w:szCs w:val="20"/>
              </w:rPr>
            </w:pPr>
          </w:p>
        </w:tc>
        <w:tc>
          <w:tcPr>
            <w:tcW w:w="1971" w:type="pct"/>
            <w:vAlign w:val="center"/>
            <w:hideMark/>
          </w:tcPr>
          <w:p w14:paraId="4D2751A5" w14:textId="77777777" w:rsidR="00000000" w:rsidRDefault="00195E73">
            <w:pPr>
              <w:rPr>
                <w:rFonts w:eastAsia="Times New Roman"/>
                <w:sz w:val="20"/>
                <w:szCs w:val="20"/>
              </w:rPr>
            </w:pPr>
          </w:p>
        </w:tc>
        <w:tc>
          <w:tcPr>
            <w:tcW w:w="50" w:type="pct"/>
            <w:vAlign w:val="center"/>
            <w:hideMark/>
          </w:tcPr>
          <w:p w14:paraId="7874092B" w14:textId="77777777" w:rsidR="00000000" w:rsidRDefault="00195E73">
            <w:pPr>
              <w:rPr>
                <w:rFonts w:eastAsia="Times New Roman"/>
                <w:sz w:val="20"/>
                <w:szCs w:val="20"/>
              </w:rPr>
            </w:pPr>
          </w:p>
        </w:tc>
      </w:tr>
      <w:tr w:rsidR="00000000" w14:paraId="5E075BD0" w14:textId="77777777">
        <w:trPr>
          <w:divId w:val="692413878"/>
          <w:jc w:val="center"/>
        </w:trPr>
        <w:tc>
          <w:tcPr>
            <w:tcW w:w="0" w:type="auto"/>
            <w:gridSpan w:val="3"/>
            <w:tcMar>
              <w:top w:w="15" w:type="dxa"/>
              <w:left w:w="20" w:type="dxa"/>
              <w:bottom w:w="15" w:type="dxa"/>
              <w:right w:w="20" w:type="dxa"/>
            </w:tcMar>
            <w:vAlign w:val="bottom"/>
            <w:hideMark/>
          </w:tcPr>
          <w:p w14:paraId="498325CF"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474E55F5" w14:textId="77777777" w:rsidR="00000000" w:rsidRDefault="00195E73">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23447717" w14:textId="77777777" w:rsidR="00000000" w:rsidRDefault="00195E73">
            <w:pPr>
              <w:divId w:val="317536290"/>
              <w:rPr>
                <w:rFonts w:eastAsia="Times New Roman"/>
              </w:rPr>
            </w:pPr>
            <w:r>
              <w:rPr>
                <w:rFonts w:eastAsia="Times New Roman"/>
                <w:color w:val="000000"/>
                <w:sz w:val="20"/>
                <w:szCs w:val="20"/>
              </w:rPr>
              <w:t>Icahn Enterprises G.P. Inc., it</w:t>
            </w:r>
            <w:r>
              <w:rPr>
                <w:rFonts w:eastAsia="Times New Roman"/>
                <w:color w:val="000000"/>
                <w:sz w:val="20"/>
                <w:szCs w:val="20"/>
              </w:rPr>
              <w:t>s</w:t>
            </w:r>
          </w:p>
          <w:p w14:paraId="14997417" w14:textId="77777777" w:rsidR="00000000" w:rsidRDefault="00195E73">
            <w:pPr>
              <w:divId w:val="285939441"/>
              <w:rPr>
                <w:rFonts w:eastAsia="Times New Roman"/>
              </w:rPr>
            </w:pPr>
            <w:r>
              <w:rPr>
                <w:rFonts w:eastAsia="Times New Roman"/>
                <w:color w:val="000000"/>
                <w:sz w:val="20"/>
                <w:szCs w:val="20"/>
              </w:rPr>
              <w:t>general partner</w:t>
            </w:r>
            <w:r>
              <w:rPr>
                <w:rFonts w:eastAsia="Times New Roman"/>
                <w:color w:val="000000"/>
                <w:sz w:val="20"/>
                <w:szCs w:val="20"/>
              </w:rPr>
              <w:t xml:space="preserve"> </w:t>
            </w:r>
          </w:p>
        </w:tc>
      </w:tr>
    </w:tbl>
    <w:p w14:paraId="5B5A2303" w14:textId="77777777" w:rsidR="00000000" w:rsidRDefault="00195E73">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2"/>
        <w:gridCol w:w="4291"/>
        <w:gridCol w:w="83"/>
        <w:gridCol w:w="83"/>
        <w:gridCol w:w="234"/>
        <w:gridCol w:w="83"/>
        <w:gridCol w:w="83"/>
        <w:gridCol w:w="3271"/>
        <w:gridCol w:w="83"/>
      </w:tblGrid>
      <w:tr w:rsidR="00000000" w14:paraId="70383A48" w14:textId="77777777">
        <w:trPr>
          <w:divId w:val="2007005541"/>
          <w:jc w:val="center"/>
        </w:trPr>
        <w:tc>
          <w:tcPr>
            <w:tcW w:w="50" w:type="pct"/>
            <w:vAlign w:val="center"/>
            <w:hideMark/>
          </w:tcPr>
          <w:p w14:paraId="2BFE0BDF" w14:textId="77777777" w:rsidR="00000000" w:rsidRDefault="00195E73">
            <w:pPr>
              <w:jc w:val="center"/>
              <w:rPr>
                <w:rFonts w:eastAsia="Times New Roman"/>
              </w:rPr>
            </w:pPr>
          </w:p>
        </w:tc>
        <w:tc>
          <w:tcPr>
            <w:tcW w:w="2586" w:type="pct"/>
            <w:vAlign w:val="center"/>
            <w:hideMark/>
          </w:tcPr>
          <w:p w14:paraId="4C1A456C" w14:textId="77777777" w:rsidR="00000000" w:rsidRDefault="00195E73">
            <w:pPr>
              <w:rPr>
                <w:rFonts w:eastAsia="Times New Roman"/>
                <w:sz w:val="20"/>
                <w:szCs w:val="20"/>
              </w:rPr>
            </w:pPr>
          </w:p>
        </w:tc>
        <w:tc>
          <w:tcPr>
            <w:tcW w:w="50" w:type="pct"/>
            <w:vAlign w:val="center"/>
            <w:hideMark/>
          </w:tcPr>
          <w:p w14:paraId="26E63127" w14:textId="77777777" w:rsidR="00000000" w:rsidRDefault="00195E73">
            <w:pPr>
              <w:rPr>
                <w:rFonts w:eastAsia="Times New Roman"/>
                <w:sz w:val="20"/>
                <w:szCs w:val="20"/>
              </w:rPr>
            </w:pPr>
          </w:p>
        </w:tc>
        <w:tc>
          <w:tcPr>
            <w:tcW w:w="50" w:type="pct"/>
            <w:vAlign w:val="center"/>
            <w:hideMark/>
          </w:tcPr>
          <w:p w14:paraId="67F874BD" w14:textId="77777777" w:rsidR="00000000" w:rsidRDefault="00195E73">
            <w:pPr>
              <w:rPr>
                <w:rFonts w:eastAsia="Times New Roman"/>
                <w:sz w:val="20"/>
                <w:szCs w:val="20"/>
              </w:rPr>
            </w:pPr>
          </w:p>
        </w:tc>
        <w:tc>
          <w:tcPr>
            <w:tcW w:w="141" w:type="pct"/>
            <w:vAlign w:val="center"/>
            <w:hideMark/>
          </w:tcPr>
          <w:p w14:paraId="41A3731E" w14:textId="77777777" w:rsidR="00000000" w:rsidRDefault="00195E73">
            <w:pPr>
              <w:rPr>
                <w:rFonts w:eastAsia="Times New Roman"/>
                <w:sz w:val="20"/>
                <w:szCs w:val="20"/>
              </w:rPr>
            </w:pPr>
          </w:p>
        </w:tc>
        <w:tc>
          <w:tcPr>
            <w:tcW w:w="50" w:type="pct"/>
            <w:vAlign w:val="center"/>
            <w:hideMark/>
          </w:tcPr>
          <w:p w14:paraId="3684146D" w14:textId="77777777" w:rsidR="00000000" w:rsidRDefault="00195E73">
            <w:pPr>
              <w:rPr>
                <w:rFonts w:eastAsia="Times New Roman"/>
                <w:sz w:val="20"/>
                <w:szCs w:val="20"/>
              </w:rPr>
            </w:pPr>
          </w:p>
        </w:tc>
        <w:tc>
          <w:tcPr>
            <w:tcW w:w="50" w:type="pct"/>
            <w:vAlign w:val="center"/>
            <w:hideMark/>
          </w:tcPr>
          <w:p w14:paraId="04105ADD" w14:textId="77777777" w:rsidR="00000000" w:rsidRDefault="00195E73">
            <w:pPr>
              <w:rPr>
                <w:rFonts w:eastAsia="Times New Roman"/>
                <w:sz w:val="20"/>
                <w:szCs w:val="20"/>
              </w:rPr>
            </w:pPr>
          </w:p>
        </w:tc>
        <w:tc>
          <w:tcPr>
            <w:tcW w:w="1971" w:type="pct"/>
            <w:vAlign w:val="center"/>
            <w:hideMark/>
          </w:tcPr>
          <w:p w14:paraId="027A8BC8" w14:textId="77777777" w:rsidR="00000000" w:rsidRDefault="00195E73">
            <w:pPr>
              <w:rPr>
                <w:rFonts w:eastAsia="Times New Roman"/>
                <w:sz w:val="20"/>
                <w:szCs w:val="20"/>
              </w:rPr>
            </w:pPr>
          </w:p>
        </w:tc>
        <w:tc>
          <w:tcPr>
            <w:tcW w:w="50" w:type="pct"/>
            <w:vAlign w:val="center"/>
            <w:hideMark/>
          </w:tcPr>
          <w:p w14:paraId="325133AD" w14:textId="77777777" w:rsidR="00000000" w:rsidRDefault="00195E73">
            <w:pPr>
              <w:rPr>
                <w:rFonts w:eastAsia="Times New Roman"/>
                <w:sz w:val="20"/>
                <w:szCs w:val="20"/>
              </w:rPr>
            </w:pPr>
          </w:p>
        </w:tc>
      </w:tr>
      <w:tr w:rsidR="00000000" w14:paraId="0FE4A8D9" w14:textId="77777777">
        <w:trPr>
          <w:divId w:val="2007005541"/>
          <w:jc w:val="center"/>
        </w:trPr>
        <w:tc>
          <w:tcPr>
            <w:tcW w:w="0" w:type="auto"/>
            <w:gridSpan w:val="3"/>
            <w:tcMar>
              <w:top w:w="15" w:type="dxa"/>
              <w:left w:w="20" w:type="dxa"/>
              <w:bottom w:w="15" w:type="dxa"/>
              <w:right w:w="20" w:type="dxa"/>
            </w:tcMar>
            <w:vAlign w:val="bottom"/>
            <w:hideMark/>
          </w:tcPr>
          <w:p w14:paraId="3820C31C"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5BE9D2D3" w14:textId="77777777" w:rsidR="00000000" w:rsidRDefault="00195E73">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3449D7B2" w14:textId="77777777" w:rsidR="00000000" w:rsidRDefault="00195E73">
            <w:pPr>
              <w:rPr>
                <w:rFonts w:eastAsia="Times New Roman"/>
              </w:rPr>
            </w:pPr>
            <w:r>
              <w:rPr>
                <w:rFonts w:eastAsia="Times New Roman"/>
                <w:color w:val="000000"/>
                <w:sz w:val="20"/>
                <w:szCs w:val="20"/>
              </w:rPr>
              <w:t>/s/Keith Cozz</w:t>
            </w:r>
            <w:r>
              <w:rPr>
                <w:rFonts w:eastAsia="Times New Roman"/>
                <w:color w:val="000000"/>
                <w:sz w:val="20"/>
                <w:szCs w:val="20"/>
              </w:rPr>
              <w:t>a</w:t>
            </w:r>
          </w:p>
        </w:tc>
      </w:tr>
      <w:tr w:rsidR="00000000" w14:paraId="3873D243" w14:textId="77777777">
        <w:trPr>
          <w:divId w:val="2007005541"/>
          <w:jc w:val="center"/>
        </w:trPr>
        <w:tc>
          <w:tcPr>
            <w:tcW w:w="0" w:type="auto"/>
            <w:gridSpan w:val="3"/>
            <w:tcMar>
              <w:top w:w="15" w:type="dxa"/>
              <w:left w:w="20" w:type="dxa"/>
              <w:bottom w:w="15" w:type="dxa"/>
              <w:right w:w="20" w:type="dxa"/>
            </w:tcMar>
            <w:vAlign w:val="bottom"/>
            <w:hideMark/>
          </w:tcPr>
          <w:p w14:paraId="522E56DC"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56C72171"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05ADEFE" w14:textId="77777777" w:rsidR="00000000" w:rsidRDefault="00195E73">
            <w:pPr>
              <w:divId w:val="728192493"/>
              <w:rPr>
                <w:rFonts w:eastAsia="Times New Roman"/>
              </w:rPr>
            </w:pPr>
            <w:r>
              <w:rPr>
                <w:rFonts w:eastAsia="Times New Roman"/>
                <w:color w:val="000000"/>
                <w:sz w:val="20"/>
                <w:szCs w:val="20"/>
              </w:rPr>
              <w:t>Keith Cozz</w:t>
            </w:r>
            <w:r>
              <w:rPr>
                <w:rFonts w:eastAsia="Times New Roman"/>
                <w:color w:val="000000"/>
                <w:sz w:val="20"/>
                <w:szCs w:val="20"/>
              </w:rPr>
              <w:t>a</w:t>
            </w:r>
          </w:p>
          <w:p w14:paraId="2929822D" w14:textId="77777777" w:rsidR="00000000" w:rsidRDefault="00195E73">
            <w:pPr>
              <w:divId w:val="200671773"/>
              <w:rPr>
                <w:rFonts w:eastAsia="Times New Roman"/>
              </w:rPr>
            </w:pPr>
            <w:r>
              <w:rPr>
                <w:rFonts w:eastAsia="Times New Roman"/>
                <w:color w:val="000000"/>
                <w:sz w:val="20"/>
                <w:szCs w:val="20"/>
              </w:rPr>
              <w:t>President, Chief Executive Officer and Directo</w:t>
            </w:r>
            <w:r>
              <w:rPr>
                <w:rFonts w:eastAsia="Times New Roman"/>
                <w:color w:val="000000"/>
                <w:sz w:val="20"/>
                <w:szCs w:val="20"/>
              </w:rPr>
              <w:t>r</w:t>
            </w:r>
          </w:p>
        </w:tc>
      </w:tr>
    </w:tbl>
    <w:p w14:paraId="4E562CFB" w14:textId="77777777" w:rsidR="00000000" w:rsidRDefault="00195E73">
      <w:pPr>
        <w:divId w:val="853496516"/>
        <w:rPr>
          <w:rFonts w:eastAsia="Times New Roman"/>
        </w:rPr>
      </w:pPr>
      <w:r>
        <w:rPr>
          <w:rFonts w:eastAsia="Times New Roman"/>
          <w:color w:val="000000"/>
          <w:sz w:val="20"/>
          <w:szCs w:val="20"/>
        </w:rPr>
        <w:t>Date: February 28, 2020</w:t>
      </w:r>
      <w:r>
        <w:rPr>
          <w:rFonts w:eastAsia="Times New Roman"/>
          <w:color w:val="000000"/>
          <w:sz w:val="20"/>
          <w:szCs w:val="20"/>
        </w:rPr>
        <w:t xml:space="preserve"> </w:t>
      </w:r>
    </w:p>
    <w:p w14:paraId="5B086E73" w14:textId="77777777" w:rsidR="00000000" w:rsidRDefault="00195E73">
      <w:pPr>
        <w:ind w:firstLine="315"/>
        <w:divId w:val="1527325633"/>
        <w:rPr>
          <w:rFonts w:eastAsia="Times New Roman"/>
        </w:rPr>
      </w:pPr>
      <w:r>
        <w:rPr>
          <w:rFonts w:eastAsia="Times New Roman"/>
          <w:color w:val="000000"/>
          <w:sz w:val="20"/>
          <w:szCs w:val="20"/>
        </w:rPr>
        <w:t>Pursuant to the requirements of the Securities Exchange Act of 1934, this report has been signed below by the following persons in the capacities indicated with respect to Icahn Enterprises G.P. Inc., the general partner of Icahn Enterprises L.P., and on b</w:t>
      </w:r>
      <w:r>
        <w:rPr>
          <w:rFonts w:eastAsia="Times New Roman"/>
          <w:color w:val="000000"/>
          <w:sz w:val="20"/>
          <w:szCs w:val="20"/>
        </w:rPr>
        <w:t>ehalf of the registrant and on the dates indicated below by the following persons in the capacities and on the dates indicated.</w:t>
      </w:r>
      <w:r>
        <w:rPr>
          <w:rFonts w:eastAsia="Times New Roman"/>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72"/>
        <w:gridCol w:w="2203"/>
        <w:gridCol w:w="73"/>
        <w:gridCol w:w="36"/>
        <w:gridCol w:w="36"/>
        <w:gridCol w:w="36"/>
        <w:gridCol w:w="70"/>
        <w:gridCol w:w="3967"/>
        <w:gridCol w:w="73"/>
        <w:gridCol w:w="36"/>
        <w:gridCol w:w="36"/>
        <w:gridCol w:w="36"/>
        <w:gridCol w:w="70"/>
        <w:gridCol w:w="1464"/>
        <w:gridCol w:w="73"/>
      </w:tblGrid>
      <w:tr w:rsidR="00000000" w14:paraId="05C2C012" w14:textId="77777777">
        <w:trPr>
          <w:divId w:val="2124301179"/>
          <w:jc w:val="center"/>
        </w:trPr>
        <w:tc>
          <w:tcPr>
            <w:tcW w:w="50" w:type="pct"/>
            <w:vAlign w:val="center"/>
            <w:hideMark/>
          </w:tcPr>
          <w:p w14:paraId="6D8226BD" w14:textId="77777777" w:rsidR="00000000" w:rsidRDefault="00195E73">
            <w:pPr>
              <w:ind w:firstLine="315"/>
              <w:rPr>
                <w:rFonts w:eastAsia="Times New Roman"/>
              </w:rPr>
            </w:pPr>
          </w:p>
        </w:tc>
        <w:tc>
          <w:tcPr>
            <w:tcW w:w="1336" w:type="pct"/>
            <w:vAlign w:val="center"/>
            <w:hideMark/>
          </w:tcPr>
          <w:p w14:paraId="35150F41" w14:textId="77777777" w:rsidR="00000000" w:rsidRDefault="00195E73">
            <w:pPr>
              <w:rPr>
                <w:rFonts w:eastAsia="Times New Roman"/>
                <w:sz w:val="20"/>
                <w:szCs w:val="20"/>
              </w:rPr>
            </w:pPr>
          </w:p>
        </w:tc>
        <w:tc>
          <w:tcPr>
            <w:tcW w:w="50" w:type="pct"/>
            <w:vAlign w:val="center"/>
            <w:hideMark/>
          </w:tcPr>
          <w:p w14:paraId="03F70E5A" w14:textId="77777777" w:rsidR="00000000" w:rsidRDefault="00195E73">
            <w:pPr>
              <w:rPr>
                <w:rFonts w:eastAsia="Times New Roman"/>
                <w:sz w:val="20"/>
                <w:szCs w:val="20"/>
              </w:rPr>
            </w:pPr>
          </w:p>
        </w:tc>
        <w:tc>
          <w:tcPr>
            <w:tcW w:w="5" w:type="pct"/>
            <w:vAlign w:val="center"/>
            <w:hideMark/>
          </w:tcPr>
          <w:p w14:paraId="37EE4F17" w14:textId="77777777" w:rsidR="00000000" w:rsidRDefault="00195E73">
            <w:pPr>
              <w:rPr>
                <w:rFonts w:eastAsia="Times New Roman"/>
                <w:sz w:val="20"/>
                <w:szCs w:val="20"/>
              </w:rPr>
            </w:pPr>
          </w:p>
        </w:tc>
        <w:tc>
          <w:tcPr>
            <w:tcW w:w="26" w:type="pct"/>
            <w:vAlign w:val="center"/>
            <w:hideMark/>
          </w:tcPr>
          <w:p w14:paraId="4C5CE844" w14:textId="77777777" w:rsidR="00000000" w:rsidRDefault="00195E73">
            <w:pPr>
              <w:rPr>
                <w:rFonts w:eastAsia="Times New Roman"/>
                <w:sz w:val="20"/>
                <w:szCs w:val="20"/>
              </w:rPr>
            </w:pPr>
          </w:p>
        </w:tc>
        <w:tc>
          <w:tcPr>
            <w:tcW w:w="5" w:type="pct"/>
            <w:vAlign w:val="center"/>
            <w:hideMark/>
          </w:tcPr>
          <w:p w14:paraId="23475A69" w14:textId="77777777" w:rsidR="00000000" w:rsidRDefault="00195E73">
            <w:pPr>
              <w:rPr>
                <w:rFonts w:eastAsia="Times New Roman"/>
                <w:sz w:val="20"/>
                <w:szCs w:val="20"/>
              </w:rPr>
            </w:pPr>
          </w:p>
        </w:tc>
        <w:tc>
          <w:tcPr>
            <w:tcW w:w="50" w:type="pct"/>
            <w:vAlign w:val="center"/>
            <w:hideMark/>
          </w:tcPr>
          <w:p w14:paraId="03644298" w14:textId="77777777" w:rsidR="00000000" w:rsidRDefault="00195E73">
            <w:pPr>
              <w:rPr>
                <w:rFonts w:eastAsia="Times New Roman"/>
                <w:sz w:val="20"/>
                <w:szCs w:val="20"/>
              </w:rPr>
            </w:pPr>
          </w:p>
        </w:tc>
        <w:tc>
          <w:tcPr>
            <w:tcW w:w="2400" w:type="pct"/>
            <w:vAlign w:val="center"/>
            <w:hideMark/>
          </w:tcPr>
          <w:p w14:paraId="385B6988" w14:textId="77777777" w:rsidR="00000000" w:rsidRDefault="00195E73">
            <w:pPr>
              <w:rPr>
                <w:rFonts w:eastAsia="Times New Roman"/>
                <w:sz w:val="20"/>
                <w:szCs w:val="20"/>
              </w:rPr>
            </w:pPr>
          </w:p>
        </w:tc>
        <w:tc>
          <w:tcPr>
            <w:tcW w:w="50" w:type="pct"/>
            <w:vAlign w:val="center"/>
            <w:hideMark/>
          </w:tcPr>
          <w:p w14:paraId="25EC559B" w14:textId="77777777" w:rsidR="00000000" w:rsidRDefault="00195E73">
            <w:pPr>
              <w:rPr>
                <w:rFonts w:eastAsia="Times New Roman"/>
                <w:sz w:val="20"/>
                <w:szCs w:val="20"/>
              </w:rPr>
            </w:pPr>
          </w:p>
        </w:tc>
        <w:tc>
          <w:tcPr>
            <w:tcW w:w="5" w:type="pct"/>
            <w:vAlign w:val="center"/>
            <w:hideMark/>
          </w:tcPr>
          <w:p w14:paraId="769CF4EB" w14:textId="77777777" w:rsidR="00000000" w:rsidRDefault="00195E73">
            <w:pPr>
              <w:rPr>
                <w:rFonts w:eastAsia="Times New Roman"/>
                <w:sz w:val="20"/>
                <w:szCs w:val="20"/>
              </w:rPr>
            </w:pPr>
          </w:p>
        </w:tc>
        <w:tc>
          <w:tcPr>
            <w:tcW w:w="26" w:type="pct"/>
            <w:vAlign w:val="center"/>
            <w:hideMark/>
          </w:tcPr>
          <w:p w14:paraId="7E6CE4DC" w14:textId="77777777" w:rsidR="00000000" w:rsidRDefault="00195E73">
            <w:pPr>
              <w:rPr>
                <w:rFonts w:eastAsia="Times New Roman"/>
                <w:sz w:val="20"/>
                <w:szCs w:val="20"/>
              </w:rPr>
            </w:pPr>
          </w:p>
        </w:tc>
        <w:tc>
          <w:tcPr>
            <w:tcW w:w="5" w:type="pct"/>
            <w:vAlign w:val="center"/>
            <w:hideMark/>
          </w:tcPr>
          <w:p w14:paraId="3294D81D" w14:textId="77777777" w:rsidR="00000000" w:rsidRDefault="00195E73">
            <w:pPr>
              <w:rPr>
                <w:rFonts w:eastAsia="Times New Roman"/>
                <w:sz w:val="20"/>
                <w:szCs w:val="20"/>
              </w:rPr>
            </w:pPr>
          </w:p>
        </w:tc>
        <w:tc>
          <w:tcPr>
            <w:tcW w:w="50" w:type="pct"/>
            <w:vAlign w:val="center"/>
            <w:hideMark/>
          </w:tcPr>
          <w:p w14:paraId="1333A4AF" w14:textId="77777777" w:rsidR="00000000" w:rsidRDefault="00195E73">
            <w:pPr>
              <w:rPr>
                <w:rFonts w:eastAsia="Times New Roman"/>
                <w:sz w:val="20"/>
                <w:szCs w:val="20"/>
              </w:rPr>
            </w:pPr>
          </w:p>
        </w:tc>
        <w:tc>
          <w:tcPr>
            <w:tcW w:w="889" w:type="pct"/>
            <w:vAlign w:val="center"/>
            <w:hideMark/>
          </w:tcPr>
          <w:p w14:paraId="3F418060" w14:textId="77777777" w:rsidR="00000000" w:rsidRDefault="00195E73">
            <w:pPr>
              <w:rPr>
                <w:rFonts w:eastAsia="Times New Roman"/>
                <w:sz w:val="20"/>
                <w:szCs w:val="20"/>
              </w:rPr>
            </w:pPr>
          </w:p>
        </w:tc>
        <w:tc>
          <w:tcPr>
            <w:tcW w:w="50" w:type="pct"/>
            <w:vAlign w:val="center"/>
            <w:hideMark/>
          </w:tcPr>
          <w:p w14:paraId="4EE6C28F" w14:textId="77777777" w:rsidR="00000000" w:rsidRDefault="00195E73">
            <w:pPr>
              <w:rPr>
                <w:rFonts w:eastAsia="Times New Roman"/>
                <w:sz w:val="20"/>
                <w:szCs w:val="20"/>
              </w:rPr>
            </w:pPr>
          </w:p>
        </w:tc>
      </w:tr>
      <w:tr w:rsidR="00000000" w14:paraId="1060DF3F" w14:textId="77777777">
        <w:trPr>
          <w:divId w:val="2124301179"/>
          <w:jc w:val="center"/>
        </w:trPr>
        <w:tc>
          <w:tcPr>
            <w:tcW w:w="0" w:type="auto"/>
            <w:gridSpan w:val="3"/>
            <w:tcMar>
              <w:top w:w="30" w:type="dxa"/>
              <w:left w:w="20" w:type="dxa"/>
              <w:bottom w:w="30" w:type="dxa"/>
              <w:right w:w="20" w:type="dxa"/>
            </w:tcMar>
            <w:vAlign w:val="bottom"/>
            <w:hideMark/>
          </w:tcPr>
          <w:p w14:paraId="1B4F1708" w14:textId="77777777" w:rsidR="00000000" w:rsidRDefault="00195E73">
            <w:pPr>
              <w:jc w:val="center"/>
              <w:rPr>
                <w:rFonts w:eastAsia="Times New Roman"/>
              </w:rPr>
            </w:pPr>
            <w:r>
              <w:rPr>
                <w:rFonts w:eastAsia="Times New Roman"/>
                <w:b/>
                <w:bCs/>
                <w:color w:val="000000"/>
                <w:sz w:val="20"/>
                <w:szCs w:val="20"/>
              </w:rPr>
              <w:t>Signatur</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14:paraId="443352FD" w14:textId="77777777" w:rsidR="00000000" w:rsidRDefault="00195E73">
            <w:pPr>
              <w:jc w:val="center"/>
              <w:rPr>
                <w:rFonts w:eastAsia="Times New Roman"/>
              </w:rPr>
            </w:pPr>
          </w:p>
        </w:tc>
        <w:tc>
          <w:tcPr>
            <w:tcW w:w="0" w:type="auto"/>
            <w:gridSpan w:val="3"/>
            <w:tcMar>
              <w:top w:w="30" w:type="dxa"/>
              <w:left w:w="20" w:type="dxa"/>
              <w:bottom w:w="30" w:type="dxa"/>
              <w:right w:w="20" w:type="dxa"/>
            </w:tcMar>
            <w:vAlign w:val="bottom"/>
            <w:hideMark/>
          </w:tcPr>
          <w:p w14:paraId="00039FE3" w14:textId="77777777" w:rsidR="00000000" w:rsidRDefault="00195E73">
            <w:pPr>
              <w:jc w:val="center"/>
              <w:rPr>
                <w:rFonts w:eastAsia="Times New Roman"/>
              </w:rPr>
            </w:pPr>
            <w:r>
              <w:rPr>
                <w:rFonts w:eastAsia="Times New Roman"/>
                <w:b/>
                <w:bCs/>
                <w:color w:val="000000"/>
                <w:sz w:val="20"/>
                <w:szCs w:val="20"/>
              </w:rPr>
              <w:t>Titl</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14:paraId="26197120" w14:textId="77777777" w:rsidR="00000000" w:rsidRDefault="00195E73">
            <w:pPr>
              <w:jc w:val="center"/>
              <w:rPr>
                <w:rFonts w:eastAsia="Times New Roman"/>
              </w:rPr>
            </w:pPr>
          </w:p>
        </w:tc>
        <w:tc>
          <w:tcPr>
            <w:tcW w:w="0" w:type="auto"/>
            <w:gridSpan w:val="3"/>
            <w:tcMar>
              <w:top w:w="30" w:type="dxa"/>
              <w:left w:w="20" w:type="dxa"/>
              <w:bottom w:w="30" w:type="dxa"/>
              <w:right w:w="20" w:type="dxa"/>
            </w:tcMar>
            <w:vAlign w:val="bottom"/>
            <w:hideMark/>
          </w:tcPr>
          <w:p w14:paraId="3915B22B" w14:textId="77777777" w:rsidR="00000000" w:rsidRDefault="00195E73">
            <w:pPr>
              <w:jc w:val="center"/>
              <w:rPr>
                <w:rFonts w:eastAsia="Times New Roman"/>
              </w:rPr>
            </w:pPr>
            <w:r>
              <w:rPr>
                <w:rFonts w:eastAsia="Times New Roman"/>
                <w:b/>
                <w:bCs/>
                <w:color w:val="000000"/>
                <w:sz w:val="20"/>
                <w:szCs w:val="20"/>
              </w:rPr>
              <w:t>Dat</w:t>
            </w:r>
            <w:r>
              <w:rPr>
                <w:rFonts w:eastAsia="Times New Roman"/>
                <w:b/>
                <w:bCs/>
                <w:color w:val="000000"/>
                <w:sz w:val="20"/>
                <w:szCs w:val="20"/>
              </w:rPr>
              <w:t>e</w:t>
            </w:r>
          </w:p>
        </w:tc>
      </w:tr>
      <w:tr w:rsidR="00000000" w14:paraId="23462E85" w14:textId="77777777">
        <w:trPr>
          <w:divId w:val="2124301179"/>
          <w:trHeight w:val="300"/>
          <w:jc w:val="center"/>
        </w:trPr>
        <w:tc>
          <w:tcPr>
            <w:tcW w:w="0" w:type="auto"/>
            <w:gridSpan w:val="3"/>
            <w:tcBorders>
              <w:top w:val="single" w:sz="8" w:space="0" w:color="000000"/>
            </w:tcBorders>
            <w:tcMar>
              <w:top w:w="15" w:type="dxa"/>
              <w:left w:w="20" w:type="dxa"/>
              <w:bottom w:w="15" w:type="dxa"/>
              <w:right w:w="20" w:type="dxa"/>
            </w:tcMar>
            <w:vAlign w:val="bottom"/>
            <w:hideMark/>
          </w:tcPr>
          <w:p w14:paraId="6F6137EB" w14:textId="77777777" w:rsidR="00000000" w:rsidRDefault="00195E73">
            <w:pPr>
              <w:jc w:val="center"/>
              <w:rPr>
                <w:rFonts w:eastAsia="Times New Roman"/>
              </w:rPr>
            </w:pPr>
          </w:p>
        </w:tc>
        <w:tc>
          <w:tcPr>
            <w:tcW w:w="0" w:type="auto"/>
            <w:gridSpan w:val="3"/>
            <w:tcMar>
              <w:top w:w="15" w:type="dxa"/>
              <w:left w:w="20" w:type="dxa"/>
              <w:bottom w:w="15" w:type="dxa"/>
              <w:right w:w="20" w:type="dxa"/>
            </w:tcMar>
            <w:vAlign w:val="bottom"/>
            <w:hideMark/>
          </w:tcPr>
          <w:p w14:paraId="7FAB2FDF" w14:textId="77777777" w:rsidR="00000000" w:rsidRDefault="00195E73">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655887C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05EC52D" w14:textId="77777777" w:rsidR="00000000" w:rsidRDefault="00195E73">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1EBF12EF" w14:textId="77777777" w:rsidR="00000000" w:rsidRDefault="00195E73">
            <w:pPr>
              <w:rPr>
                <w:rFonts w:eastAsia="Times New Roman"/>
                <w:sz w:val="20"/>
                <w:szCs w:val="20"/>
              </w:rPr>
            </w:pPr>
          </w:p>
        </w:tc>
      </w:tr>
      <w:tr w:rsidR="00000000" w14:paraId="1024C02F" w14:textId="77777777">
        <w:trPr>
          <w:divId w:val="2124301179"/>
          <w:jc w:val="center"/>
        </w:trPr>
        <w:tc>
          <w:tcPr>
            <w:tcW w:w="0" w:type="auto"/>
            <w:gridSpan w:val="3"/>
            <w:tcMar>
              <w:top w:w="30" w:type="dxa"/>
              <w:left w:w="20" w:type="dxa"/>
              <w:bottom w:w="30" w:type="dxa"/>
              <w:right w:w="20" w:type="dxa"/>
            </w:tcMar>
            <w:vAlign w:val="bottom"/>
            <w:hideMark/>
          </w:tcPr>
          <w:p w14:paraId="56737A09" w14:textId="77777777" w:rsidR="00000000" w:rsidRDefault="00195E73">
            <w:pPr>
              <w:rPr>
                <w:rFonts w:eastAsia="Times New Roman"/>
              </w:rPr>
            </w:pPr>
            <w:r>
              <w:rPr>
                <w:rFonts w:eastAsia="Times New Roman"/>
                <w:color w:val="000000"/>
                <w:sz w:val="20"/>
                <w:szCs w:val="20"/>
              </w:rPr>
              <w:t>/s/Keith Cozz</w:t>
            </w:r>
            <w:r>
              <w:rPr>
                <w:rFonts w:eastAsia="Times New Roman"/>
                <w:color w:val="000000"/>
                <w:sz w:val="20"/>
                <w:szCs w:val="20"/>
              </w:rPr>
              <w:t>a</w:t>
            </w:r>
          </w:p>
        </w:tc>
        <w:tc>
          <w:tcPr>
            <w:tcW w:w="0" w:type="auto"/>
            <w:gridSpan w:val="3"/>
            <w:tcMar>
              <w:top w:w="15" w:type="dxa"/>
              <w:left w:w="20" w:type="dxa"/>
              <w:bottom w:w="15" w:type="dxa"/>
              <w:right w:w="20" w:type="dxa"/>
            </w:tcMar>
            <w:vAlign w:val="bottom"/>
            <w:hideMark/>
          </w:tcPr>
          <w:p w14:paraId="271D7D51"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315D624B" w14:textId="77777777" w:rsidR="00000000" w:rsidRDefault="00195E73">
            <w:pPr>
              <w:rPr>
                <w:rFonts w:eastAsia="Times New Roman"/>
              </w:rPr>
            </w:pPr>
            <w:r>
              <w:rPr>
                <w:rFonts w:eastAsia="Times New Roman"/>
                <w:color w:val="000000"/>
                <w:sz w:val="20"/>
                <w:szCs w:val="20"/>
              </w:rPr>
              <w:t>President, Chief Executive Officer and 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6690B73A"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58D2200F" w14:textId="77777777" w:rsidR="00000000" w:rsidRDefault="00195E73">
            <w:pPr>
              <w:jc w:val="center"/>
              <w:rPr>
                <w:rFonts w:eastAsia="Times New Roman"/>
              </w:rPr>
            </w:pPr>
            <w:r>
              <w:rPr>
                <w:rFonts w:eastAsia="Times New Roman"/>
                <w:color w:val="000000"/>
                <w:sz w:val="20"/>
                <w:szCs w:val="20"/>
              </w:rPr>
              <w:t>February 28, 202</w:t>
            </w:r>
            <w:r>
              <w:rPr>
                <w:rFonts w:eastAsia="Times New Roman"/>
                <w:color w:val="000000"/>
                <w:sz w:val="20"/>
                <w:szCs w:val="20"/>
              </w:rPr>
              <w:t>0</w:t>
            </w:r>
          </w:p>
        </w:tc>
      </w:tr>
      <w:tr w:rsidR="00000000" w14:paraId="7E6F08C6" w14:textId="77777777">
        <w:trPr>
          <w:divId w:val="2124301179"/>
          <w:jc w:val="center"/>
        </w:trPr>
        <w:tc>
          <w:tcPr>
            <w:tcW w:w="0" w:type="auto"/>
            <w:gridSpan w:val="3"/>
            <w:tcBorders>
              <w:top w:val="single" w:sz="8" w:space="0" w:color="000000"/>
            </w:tcBorders>
            <w:tcMar>
              <w:top w:w="30" w:type="dxa"/>
              <w:left w:w="20" w:type="dxa"/>
              <w:bottom w:w="30" w:type="dxa"/>
              <w:right w:w="20" w:type="dxa"/>
            </w:tcMar>
            <w:vAlign w:val="bottom"/>
            <w:hideMark/>
          </w:tcPr>
          <w:p w14:paraId="6CED91A7" w14:textId="77777777" w:rsidR="00000000" w:rsidRDefault="00195E73">
            <w:pPr>
              <w:rPr>
                <w:rFonts w:eastAsia="Times New Roman"/>
              </w:rPr>
            </w:pPr>
            <w:r>
              <w:rPr>
                <w:rFonts w:eastAsia="Times New Roman"/>
                <w:color w:val="000000"/>
                <w:sz w:val="20"/>
                <w:szCs w:val="20"/>
              </w:rPr>
              <w:t>Keith Cozz</w:t>
            </w:r>
            <w:r>
              <w:rPr>
                <w:rFonts w:eastAsia="Times New Roman"/>
                <w:color w:val="000000"/>
                <w:sz w:val="20"/>
                <w:szCs w:val="20"/>
              </w:rPr>
              <w:t>a</w:t>
            </w:r>
          </w:p>
        </w:tc>
        <w:tc>
          <w:tcPr>
            <w:tcW w:w="0" w:type="auto"/>
            <w:gridSpan w:val="3"/>
            <w:tcMar>
              <w:top w:w="15" w:type="dxa"/>
              <w:left w:w="20" w:type="dxa"/>
              <w:bottom w:w="15" w:type="dxa"/>
              <w:right w:w="20" w:type="dxa"/>
            </w:tcMar>
            <w:vAlign w:val="bottom"/>
            <w:hideMark/>
          </w:tcPr>
          <w:p w14:paraId="70F9B7EA"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37117CC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4ECA002"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4C32BAA" w14:textId="77777777" w:rsidR="00000000" w:rsidRDefault="00195E73">
            <w:pPr>
              <w:rPr>
                <w:rFonts w:eastAsia="Times New Roman"/>
                <w:sz w:val="20"/>
                <w:szCs w:val="20"/>
              </w:rPr>
            </w:pPr>
          </w:p>
        </w:tc>
      </w:tr>
      <w:tr w:rsidR="00000000" w14:paraId="41B9C97B" w14:textId="77777777">
        <w:trPr>
          <w:divId w:val="2124301179"/>
          <w:trHeight w:val="300"/>
          <w:jc w:val="center"/>
        </w:trPr>
        <w:tc>
          <w:tcPr>
            <w:tcW w:w="0" w:type="auto"/>
            <w:gridSpan w:val="3"/>
            <w:tcMar>
              <w:top w:w="15" w:type="dxa"/>
              <w:left w:w="20" w:type="dxa"/>
              <w:bottom w:w="15" w:type="dxa"/>
              <w:right w:w="20" w:type="dxa"/>
            </w:tcMar>
            <w:vAlign w:val="bottom"/>
            <w:hideMark/>
          </w:tcPr>
          <w:p w14:paraId="04B0830D"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2A04B9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A80865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FAFABE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1638387" w14:textId="77777777" w:rsidR="00000000" w:rsidRDefault="00195E73">
            <w:pPr>
              <w:rPr>
                <w:rFonts w:eastAsia="Times New Roman"/>
                <w:sz w:val="20"/>
                <w:szCs w:val="20"/>
              </w:rPr>
            </w:pPr>
          </w:p>
        </w:tc>
      </w:tr>
      <w:tr w:rsidR="00000000" w14:paraId="400AEE54" w14:textId="77777777">
        <w:trPr>
          <w:divId w:val="2124301179"/>
          <w:jc w:val="center"/>
        </w:trPr>
        <w:tc>
          <w:tcPr>
            <w:tcW w:w="0" w:type="auto"/>
            <w:gridSpan w:val="3"/>
            <w:tcMar>
              <w:top w:w="30" w:type="dxa"/>
              <w:left w:w="20" w:type="dxa"/>
              <w:bottom w:w="30" w:type="dxa"/>
              <w:right w:w="20" w:type="dxa"/>
            </w:tcMar>
            <w:vAlign w:val="bottom"/>
            <w:hideMark/>
          </w:tcPr>
          <w:p w14:paraId="0F733BB1" w14:textId="77777777" w:rsidR="00000000" w:rsidRDefault="00195E73">
            <w:pPr>
              <w:rPr>
                <w:rFonts w:eastAsia="Times New Roman"/>
              </w:rPr>
            </w:pPr>
            <w:r>
              <w:rPr>
                <w:rFonts w:eastAsia="Times New Roman"/>
                <w:color w:val="000000"/>
                <w:sz w:val="20"/>
                <w:szCs w:val="20"/>
              </w:rPr>
              <w:t>/s/SungHwan Ch</w:t>
            </w:r>
            <w:r>
              <w:rPr>
                <w:rFonts w:eastAsia="Times New Roman"/>
                <w:color w:val="000000"/>
                <w:sz w:val="20"/>
                <w:szCs w:val="20"/>
              </w:rPr>
              <w:t>o</w:t>
            </w:r>
          </w:p>
        </w:tc>
        <w:tc>
          <w:tcPr>
            <w:tcW w:w="0" w:type="auto"/>
            <w:gridSpan w:val="3"/>
            <w:tcMar>
              <w:top w:w="15" w:type="dxa"/>
              <w:left w:w="20" w:type="dxa"/>
              <w:bottom w:w="15" w:type="dxa"/>
              <w:right w:w="20" w:type="dxa"/>
            </w:tcMar>
            <w:vAlign w:val="bottom"/>
            <w:hideMark/>
          </w:tcPr>
          <w:p w14:paraId="52C5BE21"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071BE71C" w14:textId="77777777" w:rsidR="00000000" w:rsidRDefault="00195E73">
            <w:pPr>
              <w:rPr>
                <w:rFonts w:eastAsia="Times New Roman"/>
              </w:rPr>
            </w:pPr>
            <w:r>
              <w:rPr>
                <w:rFonts w:eastAsia="Times New Roman"/>
                <w:color w:val="000000"/>
                <w:sz w:val="20"/>
                <w:szCs w:val="20"/>
              </w:rPr>
              <w:t>Chief Financial Officer and 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547DDEF5"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7BDF4946" w14:textId="77777777" w:rsidR="00000000" w:rsidRDefault="00195E73">
            <w:pPr>
              <w:jc w:val="center"/>
              <w:rPr>
                <w:rFonts w:eastAsia="Times New Roman"/>
              </w:rPr>
            </w:pPr>
            <w:r>
              <w:rPr>
                <w:rFonts w:eastAsia="Times New Roman"/>
                <w:color w:val="000000"/>
                <w:sz w:val="20"/>
                <w:szCs w:val="20"/>
              </w:rPr>
              <w:t>February 28, 202</w:t>
            </w:r>
            <w:r>
              <w:rPr>
                <w:rFonts w:eastAsia="Times New Roman"/>
                <w:color w:val="000000"/>
                <w:sz w:val="20"/>
                <w:szCs w:val="20"/>
              </w:rPr>
              <w:t>0</w:t>
            </w:r>
          </w:p>
        </w:tc>
      </w:tr>
      <w:tr w:rsidR="00000000" w14:paraId="10DAE05C" w14:textId="77777777">
        <w:trPr>
          <w:divId w:val="2124301179"/>
          <w:jc w:val="center"/>
        </w:trPr>
        <w:tc>
          <w:tcPr>
            <w:tcW w:w="0" w:type="auto"/>
            <w:gridSpan w:val="3"/>
            <w:tcBorders>
              <w:top w:val="single" w:sz="8" w:space="0" w:color="000000"/>
            </w:tcBorders>
            <w:tcMar>
              <w:top w:w="30" w:type="dxa"/>
              <w:left w:w="20" w:type="dxa"/>
              <w:bottom w:w="30" w:type="dxa"/>
              <w:right w:w="20" w:type="dxa"/>
            </w:tcMar>
            <w:vAlign w:val="bottom"/>
            <w:hideMark/>
          </w:tcPr>
          <w:p w14:paraId="7E65D591" w14:textId="77777777" w:rsidR="00000000" w:rsidRDefault="00195E73">
            <w:pPr>
              <w:rPr>
                <w:rFonts w:eastAsia="Times New Roman"/>
              </w:rPr>
            </w:pPr>
            <w:r>
              <w:rPr>
                <w:rFonts w:eastAsia="Times New Roman"/>
                <w:color w:val="000000"/>
                <w:sz w:val="20"/>
                <w:szCs w:val="20"/>
              </w:rPr>
              <w:t>SungHwan Ch</w:t>
            </w:r>
            <w:r>
              <w:rPr>
                <w:rFonts w:eastAsia="Times New Roman"/>
                <w:color w:val="000000"/>
                <w:sz w:val="20"/>
                <w:szCs w:val="20"/>
              </w:rPr>
              <w:t>o</w:t>
            </w:r>
          </w:p>
        </w:tc>
        <w:tc>
          <w:tcPr>
            <w:tcW w:w="0" w:type="auto"/>
            <w:gridSpan w:val="3"/>
            <w:tcMar>
              <w:top w:w="15" w:type="dxa"/>
              <w:left w:w="20" w:type="dxa"/>
              <w:bottom w:w="15" w:type="dxa"/>
              <w:right w:w="20" w:type="dxa"/>
            </w:tcMar>
            <w:vAlign w:val="bottom"/>
            <w:hideMark/>
          </w:tcPr>
          <w:p w14:paraId="23BF1FB4"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762FF1F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86265B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1E45D44" w14:textId="77777777" w:rsidR="00000000" w:rsidRDefault="00195E73">
            <w:pPr>
              <w:rPr>
                <w:rFonts w:eastAsia="Times New Roman"/>
                <w:sz w:val="20"/>
                <w:szCs w:val="20"/>
              </w:rPr>
            </w:pPr>
          </w:p>
        </w:tc>
      </w:tr>
      <w:tr w:rsidR="00000000" w14:paraId="7F25FB3A" w14:textId="77777777">
        <w:trPr>
          <w:divId w:val="2124301179"/>
          <w:trHeight w:val="300"/>
          <w:jc w:val="center"/>
        </w:trPr>
        <w:tc>
          <w:tcPr>
            <w:tcW w:w="0" w:type="auto"/>
            <w:gridSpan w:val="3"/>
            <w:tcMar>
              <w:top w:w="15" w:type="dxa"/>
              <w:left w:w="20" w:type="dxa"/>
              <w:bottom w:w="15" w:type="dxa"/>
              <w:right w:w="20" w:type="dxa"/>
            </w:tcMar>
            <w:vAlign w:val="bottom"/>
            <w:hideMark/>
          </w:tcPr>
          <w:p w14:paraId="37DDD70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48FFF5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34287FD"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A67CC4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B1491B1" w14:textId="77777777" w:rsidR="00000000" w:rsidRDefault="00195E73">
            <w:pPr>
              <w:rPr>
                <w:rFonts w:eastAsia="Times New Roman"/>
                <w:sz w:val="20"/>
                <w:szCs w:val="20"/>
              </w:rPr>
            </w:pPr>
          </w:p>
        </w:tc>
      </w:tr>
      <w:tr w:rsidR="00000000" w14:paraId="267F1329" w14:textId="77777777">
        <w:trPr>
          <w:divId w:val="2124301179"/>
          <w:jc w:val="center"/>
        </w:trPr>
        <w:tc>
          <w:tcPr>
            <w:tcW w:w="0" w:type="auto"/>
            <w:gridSpan w:val="3"/>
            <w:tcMar>
              <w:top w:w="30" w:type="dxa"/>
              <w:left w:w="20" w:type="dxa"/>
              <w:bottom w:w="30" w:type="dxa"/>
              <w:right w:w="20" w:type="dxa"/>
            </w:tcMar>
            <w:vAlign w:val="bottom"/>
            <w:hideMark/>
          </w:tcPr>
          <w:p w14:paraId="6F23EEA8" w14:textId="77777777" w:rsidR="00000000" w:rsidRDefault="00195E73">
            <w:pPr>
              <w:rPr>
                <w:rFonts w:eastAsia="Times New Roman"/>
              </w:rPr>
            </w:pPr>
            <w:r>
              <w:rPr>
                <w:rFonts w:eastAsia="Times New Roman"/>
                <w:color w:val="000000"/>
                <w:sz w:val="20"/>
                <w:szCs w:val="20"/>
              </w:rPr>
              <w:t>/s/Peter Rec</w:t>
            </w:r>
            <w:r>
              <w:rPr>
                <w:rFonts w:eastAsia="Times New Roman"/>
                <w:color w:val="000000"/>
                <w:sz w:val="20"/>
                <w:szCs w:val="20"/>
              </w:rPr>
              <w:t>k</w:t>
            </w:r>
          </w:p>
        </w:tc>
        <w:tc>
          <w:tcPr>
            <w:tcW w:w="0" w:type="auto"/>
            <w:gridSpan w:val="3"/>
            <w:tcMar>
              <w:top w:w="15" w:type="dxa"/>
              <w:left w:w="20" w:type="dxa"/>
              <w:bottom w:w="15" w:type="dxa"/>
              <w:right w:w="20" w:type="dxa"/>
            </w:tcMar>
            <w:vAlign w:val="bottom"/>
            <w:hideMark/>
          </w:tcPr>
          <w:p w14:paraId="50879658"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7C9F9CC9" w14:textId="77777777" w:rsidR="00000000" w:rsidRDefault="00195E73">
            <w:pPr>
              <w:rPr>
                <w:rFonts w:eastAsia="Times New Roman"/>
              </w:rPr>
            </w:pPr>
            <w:r>
              <w:rPr>
                <w:rFonts w:eastAsia="Times New Roman"/>
                <w:color w:val="000000"/>
                <w:sz w:val="20"/>
                <w:szCs w:val="20"/>
              </w:rPr>
              <w:t>Chief Accounting Office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124EBDAA"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71CED2EF" w14:textId="77777777" w:rsidR="00000000" w:rsidRDefault="00195E73">
            <w:pPr>
              <w:jc w:val="center"/>
              <w:rPr>
                <w:rFonts w:eastAsia="Times New Roman"/>
              </w:rPr>
            </w:pPr>
            <w:r>
              <w:rPr>
                <w:rFonts w:eastAsia="Times New Roman"/>
                <w:color w:val="000000"/>
                <w:sz w:val="20"/>
                <w:szCs w:val="20"/>
              </w:rPr>
              <w:t>February 28, 202</w:t>
            </w:r>
            <w:r>
              <w:rPr>
                <w:rFonts w:eastAsia="Times New Roman"/>
                <w:color w:val="000000"/>
                <w:sz w:val="20"/>
                <w:szCs w:val="20"/>
              </w:rPr>
              <w:t>0</w:t>
            </w:r>
          </w:p>
        </w:tc>
      </w:tr>
      <w:tr w:rsidR="00000000" w14:paraId="5CFE2752" w14:textId="77777777">
        <w:trPr>
          <w:divId w:val="2124301179"/>
          <w:jc w:val="center"/>
        </w:trPr>
        <w:tc>
          <w:tcPr>
            <w:tcW w:w="0" w:type="auto"/>
            <w:gridSpan w:val="3"/>
            <w:tcBorders>
              <w:top w:val="single" w:sz="8" w:space="0" w:color="000000"/>
            </w:tcBorders>
            <w:tcMar>
              <w:top w:w="30" w:type="dxa"/>
              <w:left w:w="20" w:type="dxa"/>
              <w:bottom w:w="30" w:type="dxa"/>
              <w:right w:w="20" w:type="dxa"/>
            </w:tcMar>
            <w:vAlign w:val="bottom"/>
            <w:hideMark/>
          </w:tcPr>
          <w:p w14:paraId="740EDAF1" w14:textId="77777777" w:rsidR="00000000" w:rsidRDefault="00195E73">
            <w:pPr>
              <w:rPr>
                <w:rFonts w:eastAsia="Times New Roman"/>
              </w:rPr>
            </w:pPr>
            <w:r>
              <w:rPr>
                <w:rFonts w:eastAsia="Times New Roman"/>
                <w:color w:val="000000"/>
                <w:sz w:val="20"/>
                <w:szCs w:val="20"/>
              </w:rPr>
              <w:t>Peter Rec</w:t>
            </w:r>
            <w:r>
              <w:rPr>
                <w:rFonts w:eastAsia="Times New Roman"/>
                <w:color w:val="000000"/>
                <w:sz w:val="20"/>
                <w:szCs w:val="20"/>
              </w:rPr>
              <w:t>k</w:t>
            </w:r>
          </w:p>
        </w:tc>
        <w:tc>
          <w:tcPr>
            <w:tcW w:w="0" w:type="auto"/>
            <w:gridSpan w:val="3"/>
            <w:tcMar>
              <w:top w:w="15" w:type="dxa"/>
              <w:left w:w="20" w:type="dxa"/>
              <w:bottom w:w="15" w:type="dxa"/>
              <w:right w:w="20" w:type="dxa"/>
            </w:tcMar>
            <w:vAlign w:val="bottom"/>
            <w:hideMark/>
          </w:tcPr>
          <w:p w14:paraId="78F24197"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00CB2962"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CFF3AE5"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6830FB3" w14:textId="77777777" w:rsidR="00000000" w:rsidRDefault="00195E73">
            <w:pPr>
              <w:rPr>
                <w:rFonts w:eastAsia="Times New Roman"/>
                <w:sz w:val="20"/>
                <w:szCs w:val="20"/>
              </w:rPr>
            </w:pPr>
          </w:p>
        </w:tc>
      </w:tr>
      <w:tr w:rsidR="00000000" w14:paraId="082F2988" w14:textId="77777777">
        <w:trPr>
          <w:divId w:val="2124301179"/>
          <w:trHeight w:val="300"/>
          <w:jc w:val="center"/>
        </w:trPr>
        <w:tc>
          <w:tcPr>
            <w:tcW w:w="0" w:type="auto"/>
            <w:gridSpan w:val="3"/>
            <w:tcMar>
              <w:top w:w="15" w:type="dxa"/>
              <w:left w:w="20" w:type="dxa"/>
              <w:bottom w:w="15" w:type="dxa"/>
              <w:right w:w="20" w:type="dxa"/>
            </w:tcMar>
            <w:vAlign w:val="bottom"/>
            <w:hideMark/>
          </w:tcPr>
          <w:p w14:paraId="1D375C7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FE4103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B4FAC0F"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A88826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1FFAA25" w14:textId="77777777" w:rsidR="00000000" w:rsidRDefault="00195E73">
            <w:pPr>
              <w:rPr>
                <w:rFonts w:eastAsia="Times New Roman"/>
                <w:sz w:val="20"/>
                <w:szCs w:val="20"/>
              </w:rPr>
            </w:pPr>
          </w:p>
        </w:tc>
      </w:tr>
      <w:tr w:rsidR="00000000" w14:paraId="7D31C2C7" w14:textId="77777777">
        <w:trPr>
          <w:divId w:val="2124301179"/>
          <w:jc w:val="center"/>
        </w:trPr>
        <w:tc>
          <w:tcPr>
            <w:tcW w:w="0" w:type="auto"/>
            <w:gridSpan w:val="3"/>
            <w:tcMar>
              <w:top w:w="30" w:type="dxa"/>
              <w:left w:w="20" w:type="dxa"/>
              <w:bottom w:w="30" w:type="dxa"/>
              <w:right w:w="20" w:type="dxa"/>
            </w:tcMar>
            <w:vAlign w:val="bottom"/>
            <w:hideMark/>
          </w:tcPr>
          <w:p w14:paraId="145902F4" w14:textId="77777777" w:rsidR="00000000" w:rsidRDefault="00195E73">
            <w:pPr>
              <w:rPr>
                <w:rFonts w:eastAsia="Times New Roman"/>
              </w:rPr>
            </w:pPr>
            <w:r>
              <w:rPr>
                <w:rFonts w:eastAsia="Times New Roman"/>
                <w:color w:val="000000"/>
                <w:sz w:val="20"/>
                <w:szCs w:val="20"/>
              </w:rPr>
              <w:t>/s/Michael Nevi</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14:paraId="35D2F520"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7912A616" w14:textId="77777777" w:rsidR="00000000" w:rsidRDefault="00195E73">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5B7A958C"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08C809EF" w14:textId="77777777" w:rsidR="00000000" w:rsidRDefault="00195E73">
            <w:pPr>
              <w:jc w:val="center"/>
              <w:rPr>
                <w:rFonts w:eastAsia="Times New Roman"/>
              </w:rPr>
            </w:pPr>
            <w:r>
              <w:rPr>
                <w:rFonts w:eastAsia="Times New Roman"/>
                <w:color w:val="000000"/>
                <w:sz w:val="20"/>
                <w:szCs w:val="20"/>
              </w:rPr>
              <w:t>February 28, 202</w:t>
            </w:r>
            <w:r>
              <w:rPr>
                <w:rFonts w:eastAsia="Times New Roman"/>
                <w:color w:val="000000"/>
                <w:sz w:val="20"/>
                <w:szCs w:val="20"/>
              </w:rPr>
              <w:t>0</w:t>
            </w:r>
          </w:p>
        </w:tc>
      </w:tr>
      <w:tr w:rsidR="00000000" w14:paraId="001F1AE7" w14:textId="77777777">
        <w:trPr>
          <w:divId w:val="2124301179"/>
          <w:jc w:val="center"/>
        </w:trPr>
        <w:tc>
          <w:tcPr>
            <w:tcW w:w="0" w:type="auto"/>
            <w:gridSpan w:val="3"/>
            <w:tcBorders>
              <w:top w:val="single" w:sz="8" w:space="0" w:color="000000"/>
            </w:tcBorders>
            <w:tcMar>
              <w:top w:w="30" w:type="dxa"/>
              <w:left w:w="20" w:type="dxa"/>
              <w:bottom w:w="30" w:type="dxa"/>
              <w:right w:w="20" w:type="dxa"/>
            </w:tcMar>
            <w:vAlign w:val="bottom"/>
            <w:hideMark/>
          </w:tcPr>
          <w:p w14:paraId="790A4BE5" w14:textId="77777777" w:rsidR="00000000" w:rsidRDefault="00195E73">
            <w:pPr>
              <w:rPr>
                <w:rFonts w:eastAsia="Times New Roman"/>
              </w:rPr>
            </w:pPr>
            <w:r>
              <w:rPr>
                <w:rFonts w:eastAsia="Times New Roman"/>
                <w:color w:val="000000"/>
                <w:sz w:val="20"/>
                <w:szCs w:val="20"/>
              </w:rPr>
              <w:t>Michael Nevi</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14:paraId="1B0E76EC"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14F4F06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3B7BA3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A6FDA87" w14:textId="77777777" w:rsidR="00000000" w:rsidRDefault="00195E73">
            <w:pPr>
              <w:rPr>
                <w:rFonts w:eastAsia="Times New Roman"/>
                <w:sz w:val="20"/>
                <w:szCs w:val="20"/>
              </w:rPr>
            </w:pPr>
          </w:p>
        </w:tc>
      </w:tr>
      <w:tr w:rsidR="00000000" w14:paraId="32D08A79" w14:textId="77777777">
        <w:trPr>
          <w:divId w:val="2124301179"/>
          <w:trHeight w:val="300"/>
          <w:jc w:val="center"/>
        </w:trPr>
        <w:tc>
          <w:tcPr>
            <w:tcW w:w="0" w:type="auto"/>
            <w:gridSpan w:val="3"/>
            <w:tcMar>
              <w:top w:w="15" w:type="dxa"/>
              <w:left w:w="20" w:type="dxa"/>
              <w:bottom w:w="15" w:type="dxa"/>
              <w:right w:w="20" w:type="dxa"/>
            </w:tcMar>
            <w:vAlign w:val="bottom"/>
            <w:hideMark/>
          </w:tcPr>
          <w:p w14:paraId="4457C9B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6E1408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A745561"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BFC2CDA"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4516D08" w14:textId="77777777" w:rsidR="00000000" w:rsidRDefault="00195E73">
            <w:pPr>
              <w:rPr>
                <w:rFonts w:eastAsia="Times New Roman"/>
                <w:sz w:val="20"/>
                <w:szCs w:val="20"/>
              </w:rPr>
            </w:pPr>
          </w:p>
        </w:tc>
      </w:tr>
      <w:tr w:rsidR="00000000" w14:paraId="77982FAC" w14:textId="77777777">
        <w:trPr>
          <w:divId w:val="2124301179"/>
          <w:jc w:val="center"/>
        </w:trPr>
        <w:tc>
          <w:tcPr>
            <w:tcW w:w="0" w:type="auto"/>
            <w:gridSpan w:val="3"/>
            <w:tcMar>
              <w:top w:w="30" w:type="dxa"/>
              <w:left w:w="20" w:type="dxa"/>
              <w:bottom w:w="30" w:type="dxa"/>
              <w:right w:w="20" w:type="dxa"/>
            </w:tcMar>
            <w:vAlign w:val="bottom"/>
            <w:hideMark/>
          </w:tcPr>
          <w:p w14:paraId="055D1123" w14:textId="77777777" w:rsidR="00000000" w:rsidRDefault="00195E73">
            <w:pPr>
              <w:rPr>
                <w:rFonts w:eastAsia="Times New Roman"/>
              </w:rPr>
            </w:pPr>
            <w:r>
              <w:rPr>
                <w:rFonts w:eastAsia="Times New Roman"/>
                <w:color w:val="000000"/>
                <w:sz w:val="20"/>
                <w:szCs w:val="20"/>
              </w:rPr>
              <w:t>/s/Denise Barto</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14:paraId="5E6722A3"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35A8A686" w14:textId="77777777" w:rsidR="00000000" w:rsidRDefault="00195E73">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22093E52"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57A888E2" w14:textId="77777777" w:rsidR="00000000" w:rsidRDefault="00195E73">
            <w:pPr>
              <w:jc w:val="center"/>
              <w:rPr>
                <w:rFonts w:eastAsia="Times New Roman"/>
              </w:rPr>
            </w:pPr>
            <w:r>
              <w:rPr>
                <w:rFonts w:eastAsia="Times New Roman"/>
                <w:color w:val="000000"/>
                <w:sz w:val="20"/>
                <w:szCs w:val="20"/>
              </w:rPr>
              <w:t>February 28, 202</w:t>
            </w:r>
            <w:r>
              <w:rPr>
                <w:rFonts w:eastAsia="Times New Roman"/>
                <w:color w:val="000000"/>
                <w:sz w:val="20"/>
                <w:szCs w:val="20"/>
              </w:rPr>
              <w:t>0</w:t>
            </w:r>
          </w:p>
        </w:tc>
      </w:tr>
      <w:tr w:rsidR="00000000" w14:paraId="0EDC9738" w14:textId="77777777">
        <w:trPr>
          <w:divId w:val="2124301179"/>
          <w:jc w:val="center"/>
        </w:trPr>
        <w:tc>
          <w:tcPr>
            <w:tcW w:w="0" w:type="auto"/>
            <w:gridSpan w:val="3"/>
            <w:tcBorders>
              <w:top w:val="single" w:sz="8" w:space="0" w:color="000000"/>
            </w:tcBorders>
            <w:tcMar>
              <w:top w:w="30" w:type="dxa"/>
              <w:left w:w="20" w:type="dxa"/>
              <w:bottom w:w="30" w:type="dxa"/>
              <w:right w:w="20" w:type="dxa"/>
            </w:tcMar>
            <w:vAlign w:val="bottom"/>
            <w:hideMark/>
          </w:tcPr>
          <w:p w14:paraId="2469D711" w14:textId="77777777" w:rsidR="00000000" w:rsidRDefault="00195E73">
            <w:pPr>
              <w:rPr>
                <w:rFonts w:eastAsia="Times New Roman"/>
              </w:rPr>
            </w:pPr>
            <w:r>
              <w:rPr>
                <w:rFonts w:eastAsia="Times New Roman"/>
                <w:color w:val="000000"/>
                <w:sz w:val="20"/>
                <w:szCs w:val="20"/>
              </w:rPr>
              <w:t>Denise Barto</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14:paraId="0B6C6B24"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5956EDE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6F104F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7576579" w14:textId="77777777" w:rsidR="00000000" w:rsidRDefault="00195E73">
            <w:pPr>
              <w:rPr>
                <w:rFonts w:eastAsia="Times New Roman"/>
                <w:sz w:val="20"/>
                <w:szCs w:val="20"/>
              </w:rPr>
            </w:pPr>
          </w:p>
        </w:tc>
      </w:tr>
      <w:tr w:rsidR="00000000" w14:paraId="4A697BAF" w14:textId="77777777">
        <w:trPr>
          <w:divId w:val="2124301179"/>
          <w:trHeight w:val="300"/>
          <w:jc w:val="center"/>
        </w:trPr>
        <w:tc>
          <w:tcPr>
            <w:tcW w:w="0" w:type="auto"/>
            <w:gridSpan w:val="3"/>
            <w:tcMar>
              <w:top w:w="15" w:type="dxa"/>
              <w:left w:w="20" w:type="dxa"/>
              <w:bottom w:w="15" w:type="dxa"/>
              <w:right w:w="20" w:type="dxa"/>
            </w:tcMar>
            <w:vAlign w:val="bottom"/>
            <w:hideMark/>
          </w:tcPr>
          <w:p w14:paraId="3FA2050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5A7B48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DC5C13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6912AFA"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A2A78CE" w14:textId="77777777" w:rsidR="00000000" w:rsidRDefault="00195E73">
            <w:pPr>
              <w:rPr>
                <w:rFonts w:eastAsia="Times New Roman"/>
                <w:sz w:val="20"/>
                <w:szCs w:val="20"/>
              </w:rPr>
            </w:pPr>
          </w:p>
        </w:tc>
      </w:tr>
      <w:tr w:rsidR="00000000" w14:paraId="087C5473" w14:textId="77777777">
        <w:trPr>
          <w:divId w:val="2124301179"/>
          <w:jc w:val="center"/>
        </w:trPr>
        <w:tc>
          <w:tcPr>
            <w:tcW w:w="0" w:type="auto"/>
            <w:gridSpan w:val="3"/>
            <w:tcMar>
              <w:top w:w="15" w:type="dxa"/>
              <w:left w:w="20" w:type="dxa"/>
              <w:bottom w:w="15" w:type="dxa"/>
              <w:right w:w="20" w:type="dxa"/>
            </w:tcMar>
            <w:vAlign w:val="bottom"/>
            <w:hideMark/>
          </w:tcPr>
          <w:p w14:paraId="4BBAC45C"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70BEAD1"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7F3C3541" w14:textId="77777777" w:rsidR="00000000" w:rsidRDefault="00195E73">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43D3FCF1"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369B8CFB" w14:textId="77777777" w:rsidR="00000000" w:rsidRDefault="00195E73">
            <w:pPr>
              <w:rPr>
                <w:rFonts w:eastAsia="Times New Roman"/>
                <w:sz w:val="20"/>
                <w:szCs w:val="20"/>
              </w:rPr>
            </w:pPr>
          </w:p>
        </w:tc>
      </w:tr>
      <w:tr w:rsidR="00000000" w14:paraId="101446C5" w14:textId="77777777">
        <w:trPr>
          <w:divId w:val="2124301179"/>
          <w:jc w:val="center"/>
        </w:trPr>
        <w:tc>
          <w:tcPr>
            <w:tcW w:w="0" w:type="auto"/>
            <w:gridSpan w:val="3"/>
            <w:tcBorders>
              <w:top w:val="single" w:sz="8" w:space="0" w:color="000000"/>
            </w:tcBorders>
            <w:tcMar>
              <w:top w:w="30" w:type="dxa"/>
              <w:left w:w="20" w:type="dxa"/>
              <w:bottom w:w="30" w:type="dxa"/>
              <w:right w:w="20" w:type="dxa"/>
            </w:tcMar>
            <w:vAlign w:val="bottom"/>
            <w:hideMark/>
          </w:tcPr>
          <w:p w14:paraId="24C07C65" w14:textId="77777777" w:rsidR="00000000" w:rsidRDefault="00195E73">
            <w:pPr>
              <w:rPr>
                <w:rFonts w:eastAsia="Times New Roman"/>
              </w:rPr>
            </w:pPr>
            <w:r>
              <w:rPr>
                <w:rFonts w:eastAsia="Times New Roman"/>
                <w:color w:val="000000"/>
                <w:sz w:val="20"/>
                <w:szCs w:val="20"/>
              </w:rPr>
              <w:t>Alvin B. Krongar</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14:paraId="07710683"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16137E9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4EB7C9C"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91830C8" w14:textId="77777777" w:rsidR="00000000" w:rsidRDefault="00195E73">
            <w:pPr>
              <w:rPr>
                <w:rFonts w:eastAsia="Times New Roman"/>
                <w:sz w:val="20"/>
                <w:szCs w:val="20"/>
              </w:rPr>
            </w:pPr>
          </w:p>
        </w:tc>
      </w:tr>
      <w:tr w:rsidR="00000000" w14:paraId="620CDF99" w14:textId="77777777">
        <w:trPr>
          <w:divId w:val="2124301179"/>
          <w:trHeight w:val="300"/>
          <w:jc w:val="center"/>
        </w:trPr>
        <w:tc>
          <w:tcPr>
            <w:tcW w:w="0" w:type="auto"/>
            <w:gridSpan w:val="3"/>
            <w:tcMar>
              <w:top w:w="15" w:type="dxa"/>
              <w:left w:w="20" w:type="dxa"/>
              <w:bottom w:w="15" w:type="dxa"/>
              <w:right w:w="20" w:type="dxa"/>
            </w:tcMar>
            <w:vAlign w:val="bottom"/>
            <w:hideMark/>
          </w:tcPr>
          <w:p w14:paraId="74EBAC6F"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043195C"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9309BC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8D5652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D96822E" w14:textId="77777777" w:rsidR="00000000" w:rsidRDefault="00195E73">
            <w:pPr>
              <w:rPr>
                <w:rFonts w:eastAsia="Times New Roman"/>
                <w:sz w:val="20"/>
                <w:szCs w:val="20"/>
              </w:rPr>
            </w:pPr>
          </w:p>
        </w:tc>
      </w:tr>
      <w:tr w:rsidR="00000000" w14:paraId="2C4CEA95" w14:textId="77777777">
        <w:trPr>
          <w:divId w:val="2124301179"/>
          <w:jc w:val="center"/>
        </w:trPr>
        <w:tc>
          <w:tcPr>
            <w:tcW w:w="0" w:type="auto"/>
            <w:gridSpan w:val="3"/>
            <w:tcMar>
              <w:top w:w="15" w:type="dxa"/>
              <w:left w:w="20" w:type="dxa"/>
              <w:bottom w:w="15" w:type="dxa"/>
              <w:right w:w="20" w:type="dxa"/>
            </w:tcMar>
            <w:vAlign w:val="bottom"/>
            <w:hideMark/>
          </w:tcPr>
          <w:p w14:paraId="22EAD5F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61F0EFE"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108EEAD6" w14:textId="77777777" w:rsidR="00000000" w:rsidRDefault="00195E73">
            <w:pPr>
              <w:rPr>
                <w:rFonts w:eastAsia="Times New Roman"/>
              </w:rPr>
            </w:pPr>
            <w:r>
              <w:rPr>
                <w:rFonts w:eastAsia="Times New Roman"/>
                <w:color w:val="000000"/>
                <w:sz w:val="20"/>
                <w:szCs w:val="20"/>
              </w:rPr>
              <w:t>Chairman of the Boar</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14:paraId="55D3CEEF"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39B693B2" w14:textId="77777777" w:rsidR="00000000" w:rsidRDefault="00195E73">
            <w:pPr>
              <w:rPr>
                <w:rFonts w:eastAsia="Times New Roman"/>
                <w:sz w:val="20"/>
                <w:szCs w:val="20"/>
              </w:rPr>
            </w:pPr>
          </w:p>
        </w:tc>
      </w:tr>
      <w:tr w:rsidR="00000000" w14:paraId="702AC3D1" w14:textId="77777777">
        <w:trPr>
          <w:divId w:val="2124301179"/>
          <w:jc w:val="center"/>
        </w:trPr>
        <w:tc>
          <w:tcPr>
            <w:tcW w:w="0" w:type="auto"/>
            <w:gridSpan w:val="3"/>
            <w:tcBorders>
              <w:top w:val="single" w:sz="8" w:space="0" w:color="000000"/>
            </w:tcBorders>
            <w:tcMar>
              <w:top w:w="30" w:type="dxa"/>
              <w:left w:w="20" w:type="dxa"/>
              <w:bottom w:w="30" w:type="dxa"/>
              <w:right w:w="20" w:type="dxa"/>
            </w:tcMar>
            <w:vAlign w:val="bottom"/>
            <w:hideMark/>
          </w:tcPr>
          <w:p w14:paraId="1DD02495" w14:textId="77777777" w:rsidR="00000000" w:rsidRDefault="00195E73">
            <w:pPr>
              <w:rPr>
                <w:rFonts w:eastAsia="Times New Roman"/>
              </w:rPr>
            </w:pPr>
            <w:r>
              <w:rPr>
                <w:rFonts w:eastAsia="Times New Roman"/>
                <w:color w:val="000000"/>
                <w:sz w:val="20"/>
                <w:szCs w:val="20"/>
              </w:rPr>
              <w:t>Carl C. Icah</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14:paraId="5518226C"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19ED6F37"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4D04CA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6186015" w14:textId="77777777" w:rsidR="00000000" w:rsidRDefault="00195E73">
            <w:pPr>
              <w:rPr>
                <w:rFonts w:eastAsia="Times New Roman"/>
                <w:sz w:val="20"/>
                <w:szCs w:val="20"/>
              </w:rPr>
            </w:pPr>
          </w:p>
        </w:tc>
      </w:tr>
    </w:tbl>
    <w:p w14:paraId="33A71FFD" w14:textId="77777777" w:rsidR="00000000" w:rsidRDefault="00195E73">
      <w:pPr>
        <w:jc w:val="center"/>
        <w:rPr>
          <w:rFonts w:eastAsia="Times New Roman"/>
        </w:rPr>
      </w:pPr>
    </w:p>
    <w:p w14:paraId="2D82F884" w14:textId="77777777" w:rsidR="00000000" w:rsidRDefault="00195E73">
      <w:pPr>
        <w:jc w:val="center"/>
        <w:divId w:val="1321538982"/>
        <w:rPr>
          <w:rFonts w:eastAsia="Times New Roman"/>
        </w:rPr>
      </w:pPr>
      <w:r>
        <w:rPr>
          <w:rFonts w:eastAsia="Times New Roman"/>
          <w:color w:val="000000"/>
          <w:sz w:val="20"/>
          <w:szCs w:val="20"/>
        </w:rPr>
        <w:t>14</w:t>
      </w:r>
      <w:r>
        <w:rPr>
          <w:rFonts w:eastAsia="Times New Roman"/>
          <w:color w:val="000000"/>
          <w:sz w:val="20"/>
          <w:szCs w:val="20"/>
        </w:rPr>
        <w:t>1</w:t>
      </w:r>
    </w:p>
    <w:p w14:paraId="14849DFF" w14:textId="77777777" w:rsidR="00000000" w:rsidRDefault="00195E73">
      <w:pPr>
        <w:rPr>
          <w:rFonts w:eastAsia="Times New Roman"/>
        </w:rPr>
      </w:pPr>
      <w:r>
        <w:rPr>
          <w:rFonts w:eastAsia="Times New Roman"/>
        </w:rPr>
        <w:pict w14:anchorId="183D4E4A">
          <v:rect id="_x0000_i1167" style="width:0;height:1.5pt" o:hralign="center" o:hrstd="t" o:hr="t" fillcolor="#a0a0a0" stroked="f"/>
        </w:pict>
      </w:r>
    </w:p>
    <w:p w14:paraId="3EAE0266" w14:textId="77777777" w:rsidR="00000000" w:rsidRDefault="00195E73">
      <w:pPr>
        <w:divId w:val="830219714"/>
        <w:rPr>
          <w:rFonts w:eastAsia="Times New Roman"/>
        </w:rPr>
      </w:pPr>
    </w:p>
    <w:p w14:paraId="349ED6D3" w14:textId="77777777" w:rsidR="00000000" w:rsidRDefault="00195E73">
      <w:pPr>
        <w:jc w:val="center"/>
        <w:divId w:val="1013072713"/>
        <w:rPr>
          <w:rFonts w:eastAsia="Times New Roman"/>
        </w:rPr>
      </w:pPr>
      <w:r>
        <w:rPr>
          <w:rFonts w:eastAsia="Times New Roman"/>
          <w:b/>
          <w:bCs/>
          <w:color w:val="000000"/>
          <w:sz w:val="20"/>
          <w:szCs w:val="20"/>
        </w:rPr>
        <w:t>SIGNATURE</w:t>
      </w:r>
      <w:r>
        <w:rPr>
          <w:rFonts w:eastAsia="Times New Roman"/>
          <w:b/>
          <w:bCs/>
          <w:color w:val="000000"/>
          <w:sz w:val="20"/>
          <w:szCs w:val="20"/>
        </w:rPr>
        <w:t>S</w:t>
      </w:r>
    </w:p>
    <w:p w14:paraId="4CA43957" w14:textId="77777777" w:rsidR="00000000" w:rsidRDefault="00195E73">
      <w:pPr>
        <w:ind w:firstLine="315"/>
        <w:divId w:val="1966036047"/>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 thereunto duly authorized</w:t>
      </w:r>
      <w:r>
        <w:rPr>
          <w:rFonts w:eastAsia="Times New Roman"/>
          <w:color w:val="000000"/>
          <w:sz w:val="20"/>
          <w:szCs w:val="20"/>
        </w:rPr>
        <w:t>.</w:t>
      </w:r>
      <w:r>
        <w:rPr>
          <w:rFonts w:eastAsia="Times New Roman"/>
          <w:color w:val="000000"/>
          <w:sz w:val="20"/>
          <w:szCs w:val="20"/>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82"/>
        <w:gridCol w:w="4272"/>
        <w:gridCol w:w="83"/>
        <w:gridCol w:w="83"/>
        <w:gridCol w:w="232"/>
        <w:gridCol w:w="83"/>
        <w:gridCol w:w="83"/>
        <w:gridCol w:w="3256"/>
        <w:gridCol w:w="83"/>
        <w:gridCol w:w="36"/>
      </w:tblGrid>
      <w:tr w:rsidR="00000000" w14:paraId="328CB7A8" w14:textId="77777777">
        <w:trPr>
          <w:gridAfter w:val="1"/>
          <w:divId w:val="2072582301"/>
          <w:jc w:val="center"/>
        </w:trPr>
        <w:tc>
          <w:tcPr>
            <w:tcW w:w="50" w:type="pct"/>
            <w:vAlign w:val="center"/>
            <w:hideMark/>
          </w:tcPr>
          <w:p w14:paraId="53388C88" w14:textId="77777777" w:rsidR="00000000" w:rsidRDefault="00195E73">
            <w:pPr>
              <w:ind w:firstLine="315"/>
              <w:rPr>
                <w:rFonts w:eastAsia="Times New Roman"/>
              </w:rPr>
            </w:pPr>
          </w:p>
        </w:tc>
        <w:tc>
          <w:tcPr>
            <w:tcW w:w="2586" w:type="pct"/>
            <w:vAlign w:val="center"/>
            <w:hideMark/>
          </w:tcPr>
          <w:p w14:paraId="3B7413A6" w14:textId="77777777" w:rsidR="00000000" w:rsidRDefault="00195E73">
            <w:pPr>
              <w:rPr>
                <w:rFonts w:eastAsia="Times New Roman"/>
                <w:sz w:val="20"/>
                <w:szCs w:val="20"/>
              </w:rPr>
            </w:pPr>
          </w:p>
        </w:tc>
        <w:tc>
          <w:tcPr>
            <w:tcW w:w="50" w:type="pct"/>
            <w:vAlign w:val="center"/>
            <w:hideMark/>
          </w:tcPr>
          <w:p w14:paraId="6F22A3C3" w14:textId="77777777" w:rsidR="00000000" w:rsidRDefault="00195E73">
            <w:pPr>
              <w:rPr>
                <w:rFonts w:eastAsia="Times New Roman"/>
                <w:sz w:val="20"/>
                <w:szCs w:val="20"/>
              </w:rPr>
            </w:pPr>
          </w:p>
        </w:tc>
        <w:tc>
          <w:tcPr>
            <w:tcW w:w="50" w:type="pct"/>
            <w:vAlign w:val="center"/>
            <w:hideMark/>
          </w:tcPr>
          <w:p w14:paraId="1EF17597" w14:textId="77777777" w:rsidR="00000000" w:rsidRDefault="00195E73">
            <w:pPr>
              <w:rPr>
                <w:rFonts w:eastAsia="Times New Roman"/>
                <w:sz w:val="20"/>
                <w:szCs w:val="20"/>
              </w:rPr>
            </w:pPr>
          </w:p>
        </w:tc>
        <w:tc>
          <w:tcPr>
            <w:tcW w:w="141" w:type="pct"/>
            <w:vAlign w:val="center"/>
            <w:hideMark/>
          </w:tcPr>
          <w:p w14:paraId="3038DE2D" w14:textId="77777777" w:rsidR="00000000" w:rsidRDefault="00195E73">
            <w:pPr>
              <w:rPr>
                <w:rFonts w:eastAsia="Times New Roman"/>
                <w:sz w:val="20"/>
                <w:szCs w:val="20"/>
              </w:rPr>
            </w:pPr>
          </w:p>
        </w:tc>
        <w:tc>
          <w:tcPr>
            <w:tcW w:w="50" w:type="pct"/>
            <w:vAlign w:val="center"/>
            <w:hideMark/>
          </w:tcPr>
          <w:p w14:paraId="10B0204B" w14:textId="77777777" w:rsidR="00000000" w:rsidRDefault="00195E73">
            <w:pPr>
              <w:rPr>
                <w:rFonts w:eastAsia="Times New Roman"/>
                <w:sz w:val="20"/>
                <w:szCs w:val="20"/>
              </w:rPr>
            </w:pPr>
          </w:p>
        </w:tc>
        <w:tc>
          <w:tcPr>
            <w:tcW w:w="50" w:type="pct"/>
            <w:vAlign w:val="center"/>
            <w:hideMark/>
          </w:tcPr>
          <w:p w14:paraId="4FD39CB6" w14:textId="77777777" w:rsidR="00000000" w:rsidRDefault="00195E73">
            <w:pPr>
              <w:rPr>
                <w:rFonts w:eastAsia="Times New Roman"/>
                <w:sz w:val="20"/>
                <w:szCs w:val="20"/>
              </w:rPr>
            </w:pPr>
          </w:p>
        </w:tc>
        <w:tc>
          <w:tcPr>
            <w:tcW w:w="1971" w:type="pct"/>
            <w:vAlign w:val="center"/>
            <w:hideMark/>
          </w:tcPr>
          <w:p w14:paraId="042FC631" w14:textId="77777777" w:rsidR="00000000" w:rsidRDefault="00195E73">
            <w:pPr>
              <w:rPr>
                <w:rFonts w:eastAsia="Times New Roman"/>
                <w:sz w:val="20"/>
                <w:szCs w:val="20"/>
              </w:rPr>
            </w:pPr>
          </w:p>
        </w:tc>
        <w:tc>
          <w:tcPr>
            <w:tcW w:w="50" w:type="pct"/>
            <w:vAlign w:val="center"/>
            <w:hideMark/>
          </w:tcPr>
          <w:p w14:paraId="37D2F1A2" w14:textId="77777777" w:rsidR="00000000" w:rsidRDefault="00195E73">
            <w:pPr>
              <w:rPr>
                <w:rFonts w:eastAsia="Times New Roman"/>
                <w:sz w:val="20"/>
                <w:szCs w:val="20"/>
              </w:rPr>
            </w:pPr>
          </w:p>
        </w:tc>
      </w:tr>
      <w:tr w:rsidR="00000000" w14:paraId="17403748" w14:textId="77777777">
        <w:trPr>
          <w:divId w:val="2072582301"/>
          <w:jc w:val="center"/>
        </w:trPr>
        <w:tc>
          <w:tcPr>
            <w:tcW w:w="0" w:type="auto"/>
            <w:gridSpan w:val="3"/>
            <w:tcMar>
              <w:top w:w="15" w:type="dxa"/>
              <w:left w:w="20" w:type="dxa"/>
              <w:bottom w:w="15" w:type="dxa"/>
              <w:right w:w="20" w:type="dxa"/>
            </w:tcMar>
            <w:vAlign w:val="bottom"/>
            <w:hideMark/>
          </w:tcPr>
          <w:p w14:paraId="5B6E7FC5" w14:textId="77777777" w:rsidR="00000000" w:rsidRDefault="00195E73">
            <w:pPr>
              <w:rPr>
                <w:rFonts w:eastAsia="Times New Roman"/>
                <w:sz w:val="20"/>
                <w:szCs w:val="20"/>
              </w:rPr>
            </w:pPr>
          </w:p>
        </w:tc>
        <w:tc>
          <w:tcPr>
            <w:tcW w:w="0" w:type="auto"/>
            <w:gridSpan w:val="6"/>
            <w:tcMar>
              <w:top w:w="30" w:type="dxa"/>
              <w:left w:w="20" w:type="dxa"/>
              <w:bottom w:w="30" w:type="dxa"/>
              <w:right w:w="20" w:type="dxa"/>
            </w:tcMar>
            <w:vAlign w:val="bottom"/>
            <w:hideMark/>
          </w:tcPr>
          <w:p w14:paraId="39289D4E" w14:textId="77777777" w:rsidR="00000000" w:rsidRDefault="00195E73">
            <w:pPr>
              <w:rPr>
                <w:rFonts w:eastAsia="Times New Roman"/>
              </w:rPr>
            </w:pPr>
            <w:r>
              <w:rPr>
                <w:rFonts w:eastAsia="Times New Roman"/>
                <w:b/>
                <w:bCs/>
                <w:color w:val="000000"/>
                <w:sz w:val="20"/>
                <w:szCs w:val="20"/>
              </w:rPr>
              <w:t>Icahn Enterprises Holdings L.P</w:t>
            </w:r>
            <w:r>
              <w:rPr>
                <w:rFonts w:eastAsia="Times New Roman"/>
                <w:b/>
                <w:bCs/>
                <w:color w:val="000000"/>
                <w:sz w:val="20"/>
                <w:szCs w:val="20"/>
              </w:rPr>
              <w:t>.</w:t>
            </w:r>
          </w:p>
        </w:tc>
        <w:tc>
          <w:tcPr>
            <w:tcW w:w="0" w:type="auto"/>
            <w:vAlign w:val="center"/>
            <w:hideMark/>
          </w:tcPr>
          <w:p w14:paraId="66279306" w14:textId="77777777" w:rsidR="00000000" w:rsidRDefault="00195E73">
            <w:pPr>
              <w:rPr>
                <w:rFonts w:eastAsia="Times New Roman"/>
              </w:rPr>
            </w:pPr>
          </w:p>
        </w:tc>
      </w:tr>
    </w:tbl>
    <w:p w14:paraId="1595806D" w14:textId="77777777" w:rsidR="00000000" w:rsidRDefault="00195E73">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2"/>
        <w:gridCol w:w="4291"/>
        <w:gridCol w:w="83"/>
        <w:gridCol w:w="83"/>
        <w:gridCol w:w="234"/>
        <w:gridCol w:w="83"/>
        <w:gridCol w:w="83"/>
        <w:gridCol w:w="3271"/>
        <w:gridCol w:w="83"/>
      </w:tblGrid>
      <w:tr w:rsidR="00000000" w14:paraId="737FBF6B" w14:textId="77777777">
        <w:trPr>
          <w:divId w:val="2010135156"/>
          <w:jc w:val="center"/>
        </w:trPr>
        <w:tc>
          <w:tcPr>
            <w:tcW w:w="50" w:type="pct"/>
            <w:vAlign w:val="center"/>
            <w:hideMark/>
          </w:tcPr>
          <w:p w14:paraId="236CA313" w14:textId="77777777" w:rsidR="00000000" w:rsidRDefault="00195E73">
            <w:pPr>
              <w:jc w:val="center"/>
              <w:rPr>
                <w:rFonts w:eastAsia="Times New Roman"/>
              </w:rPr>
            </w:pPr>
          </w:p>
        </w:tc>
        <w:tc>
          <w:tcPr>
            <w:tcW w:w="2586" w:type="pct"/>
            <w:vAlign w:val="center"/>
            <w:hideMark/>
          </w:tcPr>
          <w:p w14:paraId="19B8E2B3" w14:textId="77777777" w:rsidR="00000000" w:rsidRDefault="00195E73">
            <w:pPr>
              <w:rPr>
                <w:rFonts w:eastAsia="Times New Roman"/>
                <w:sz w:val="20"/>
                <w:szCs w:val="20"/>
              </w:rPr>
            </w:pPr>
          </w:p>
        </w:tc>
        <w:tc>
          <w:tcPr>
            <w:tcW w:w="50" w:type="pct"/>
            <w:vAlign w:val="center"/>
            <w:hideMark/>
          </w:tcPr>
          <w:p w14:paraId="64DDBBDA" w14:textId="77777777" w:rsidR="00000000" w:rsidRDefault="00195E73">
            <w:pPr>
              <w:rPr>
                <w:rFonts w:eastAsia="Times New Roman"/>
                <w:sz w:val="20"/>
                <w:szCs w:val="20"/>
              </w:rPr>
            </w:pPr>
          </w:p>
        </w:tc>
        <w:tc>
          <w:tcPr>
            <w:tcW w:w="50" w:type="pct"/>
            <w:vAlign w:val="center"/>
            <w:hideMark/>
          </w:tcPr>
          <w:p w14:paraId="297C7755" w14:textId="77777777" w:rsidR="00000000" w:rsidRDefault="00195E73">
            <w:pPr>
              <w:rPr>
                <w:rFonts w:eastAsia="Times New Roman"/>
                <w:sz w:val="20"/>
                <w:szCs w:val="20"/>
              </w:rPr>
            </w:pPr>
          </w:p>
        </w:tc>
        <w:tc>
          <w:tcPr>
            <w:tcW w:w="141" w:type="pct"/>
            <w:vAlign w:val="center"/>
            <w:hideMark/>
          </w:tcPr>
          <w:p w14:paraId="26FAC941" w14:textId="77777777" w:rsidR="00000000" w:rsidRDefault="00195E73">
            <w:pPr>
              <w:rPr>
                <w:rFonts w:eastAsia="Times New Roman"/>
                <w:sz w:val="20"/>
                <w:szCs w:val="20"/>
              </w:rPr>
            </w:pPr>
          </w:p>
        </w:tc>
        <w:tc>
          <w:tcPr>
            <w:tcW w:w="50" w:type="pct"/>
            <w:vAlign w:val="center"/>
            <w:hideMark/>
          </w:tcPr>
          <w:p w14:paraId="7E078020" w14:textId="77777777" w:rsidR="00000000" w:rsidRDefault="00195E73">
            <w:pPr>
              <w:rPr>
                <w:rFonts w:eastAsia="Times New Roman"/>
                <w:sz w:val="20"/>
                <w:szCs w:val="20"/>
              </w:rPr>
            </w:pPr>
          </w:p>
        </w:tc>
        <w:tc>
          <w:tcPr>
            <w:tcW w:w="50" w:type="pct"/>
            <w:vAlign w:val="center"/>
            <w:hideMark/>
          </w:tcPr>
          <w:p w14:paraId="00CB50B4" w14:textId="77777777" w:rsidR="00000000" w:rsidRDefault="00195E73">
            <w:pPr>
              <w:rPr>
                <w:rFonts w:eastAsia="Times New Roman"/>
                <w:sz w:val="20"/>
                <w:szCs w:val="20"/>
              </w:rPr>
            </w:pPr>
          </w:p>
        </w:tc>
        <w:tc>
          <w:tcPr>
            <w:tcW w:w="1971" w:type="pct"/>
            <w:vAlign w:val="center"/>
            <w:hideMark/>
          </w:tcPr>
          <w:p w14:paraId="12E3AD49" w14:textId="77777777" w:rsidR="00000000" w:rsidRDefault="00195E73">
            <w:pPr>
              <w:rPr>
                <w:rFonts w:eastAsia="Times New Roman"/>
                <w:sz w:val="20"/>
                <w:szCs w:val="20"/>
              </w:rPr>
            </w:pPr>
          </w:p>
        </w:tc>
        <w:tc>
          <w:tcPr>
            <w:tcW w:w="50" w:type="pct"/>
            <w:vAlign w:val="center"/>
            <w:hideMark/>
          </w:tcPr>
          <w:p w14:paraId="437B7D39" w14:textId="77777777" w:rsidR="00000000" w:rsidRDefault="00195E73">
            <w:pPr>
              <w:rPr>
                <w:rFonts w:eastAsia="Times New Roman"/>
                <w:sz w:val="20"/>
                <w:szCs w:val="20"/>
              </w:rPr>
            </w:pPr>
          </w:p>
        </w:tc>
      </w:tr>
      <w:tr w:rsidR="00000000" w14:paraId="1ACC3783" w14:textId="77777777">
        <w:trPr>
          <w:divId w:val="2010135156"/>
          <w:jc w:val="center"/>
        </w:trPr>
        <w:tc>
          <w:tcPr>
            <w:tcW w:w="0" w:type="auto"/>
            <w:gridSpan w:val="3"/>
            <w:tcMar>
              <w:top w:w="15" w:type="dxa"/>
              <w:left w:w="20" w:type="dxa"/>
              <w:bottom w:w="15" w:type="dxa"/>
              <w:right w:w="20" w:type="dxa"/>
            </w:tcMar>
            <w:vAlign w:val="bottom"/>
            <w:hideMark/>
          </w:tcPr>
          <w:p w14:paraId="06DF6DF3"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4489C357" w14:textId="77777777" w:rsidR="00000000" w:rsidRDefault="00195E73">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7417C60E" w14:textId="77777777" w:rsidR="00000000" w:rsidRDefault="00195E73">
            <w:pPr>
              <w:divId w:val="1296985137"/>
              <w:rPr>
                <w:rFonts w:eastAsia="Times New Roman"/>
              </w:rPr>
            </w:pPr>
            <w:r>
              <w:rPr>
                <w:rFonts w:eastAsia="Times New Roman"/>
                <w:color w:val="000000"/>
                <w:sz w:val="20"/>
                <w:szCs w:val="20"/>
              </w:rPr>
              <w:t>Icahn Enterprises G.P. Inc., it</w:t>
            </w:r>
            <w:r>
              <w:rPr>
                <w:rFonts w:eastAsia="Times New Roman"/>
                <w:color w:val="000000"/>
                <w:sz w:val="20"/>
                <w:szCs w:val="20"/>
              </w:rPr>
              <w:t>s</w:t>
            </w:r>
          </w:p>
          <w:p w14:paraId="4F16050A" w14:textId="77777777" w:rsidR="00000000" w:rsidRDefault="00195E73">
            <w:pPr>
              <w:divId w:val="804470901"/>
              <w:rPr>
                <w:rFonts w:eastAsia="Times New Roman"/>
              </w:rPr>
            </w:pPr>
            <w:r>
              <w:rPr>
                <w:rFonts w:eastAsia="Times New Roman"/>
                <w:color w:val="000000"/>
                <w:sz w:val="20"/>
                <w:szCs w:val="20"/>
              </w:rPr>
              <w:t>general partner</w:t>
            </w:r>
            <w:r>
              <w:rPr>
                <w:rFonts w:eastAsia="Times New Roman"/>
                <w:color w:val="000000"/>
                <w:sz w:val="20"/>
                <w:szCs w:val="20"/>
              </w:rPr>
              <w:t xml:space="preserve"> </w:t>
            </w:r>
          </w:p>
        </w:tc>
      </w:tr>
    </w:tbl>
    <w:p w14:paraId="277A5F21" w14:textId="77777777" w:rsidR="00000000" w:rsidRDefault="00195E73">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2"/>
        <w:gridCol w:w="4291"/>
        <w:gridCol w:w="83"/>
        <w:gridCol w:w="83"/>
        <w:gridCol w:w="234"/>
        <w:gridCol w:w="83"/>
        <w:gridCol w:w="83"/>
        <w:gridCol w:w="3271"/>
        <w:gridCol w:w="83"/>
      </w:tblGrid>
      <w:tr w:rsidR="00000000" w14:paraId="2037271F" w14:textId="77777777">
        <w:trPr>
          <w:divId w:val="220603264"/>
          <w:jc w:val="center"/>
        </w:trPr>
        <w:tc>
          <w:tcPr>
            <w:tcW w:w="50" w:type="pct"/>
            <w:vAlign w:val="center"/>
            <w:hideMark/>
          </w:tcPr>
          <w:p w14:paraId="1CA033DB" w14:textId="77777777" w:rsidR="00000000" w:rsidRDefault="00195E73">
            <w:pPr>
              <w:jc w:val="center"/>
              <w:rPr>
                <w:rFonts w:eastAsia="Times New Roman"/>
              </w:rPr>
            </w:pPr>
          </w:p>
        </w:tc>
        <w:tc>
          <w:tcPr>
            <w:tcW w:w="2586" w:type="pct"/>
            <w:vAlign w:val="center"/>
            <w:hideMark/>
          </w:tcPr>
          <w:p w14:paraId="48F21B3F" w14:textId="77777777" w:rsidR="00000000" w:rsidRDefault="00195E73">
            <w:pPr>
              <w:rPr>
                <w:rFonts w:eastAsia="Times New Roman"/>
                <w:sz w:val="20"/>
                <w:szCs w:val="20"/>
              </w:rPr>
            </w:pPr>
          </w:p>
        </w:tc>
        <w:tc>
          <w:tcPr>
            <w:tcW w:w="50" w:type="pct"/>
            <w:vAlign w:val="center"/>
            <w:hideMark/>
          </w:tcPr>
          <w:p w14:paraId="0B0C0CB1" w14:textId="77777777" w:rsidR="00000000" w:rsidRDefault="00195E73">
            <w:pPr>
              <w:rPr>
                <w:rFonts w:eastAsia="Times New Roman"/>
                <w:sz w:val="20"/>
                <w:szCs w:val="20"/>
              </w:rPr>
            </w:pPr>
          </w:p>
        </w:tc>
        <w:tc>
          <w:tcPr>
            <w:tcW w:w="50" w:type="pct"/>
            <w:vAlign w:val="center"/>
            <w:hideMark/>
          </w:tcPr>
          <w:p w14:paraId="684F9CBE" w14:textId="77777777" w:rsidR="00000000" w:rsidRDefault="00195E73">
            <w:pPr>
              <w:rPr>
                <w:rFonts w:eastAsia="Times New Roman"/>
                <w:sz w:val="20"/>
                <w:szCs w:val="20"/>
              </w:rPr>
            </w:pPr>
          </w:p>
        </w:tc>
        <w:tc>
          <w:tcPr>
            <w:tcW w:w="141" w:type="pct"/>
            <w:vAlign w:val="center"/>
            <w:hideMark/>
          </w:tcPr>
          <w:p w14:paraId="513D18F0" w14:textId="77777777" w:rsidR="00000000" w:rsidRDefault="00195E73">
            <w:pPr>
              <w:rPr>
                <w:rFonts w:eastAsia="Times New Roman"/>
                <w:sz w:val="20"/>
                <w:szCs w:val="20"/>
              </w:rPr>
            </w:pPr>
          </w:p>
        </w:tc>
        <w:tc>
          <w:tcPr>
            <w:tcW w:w="50" w:type="pct"/>
            <w:vAlign w:val="center"/>
            <w:hideMark/>
          </w:tcPr>
          <w:p w14:paraId="2FF288F4" w14:textId="77777777" w:rsidR="00000000" w:rsidRDefault="00195E73">
            <w:pPr>
              <w:rPr>
                <w:rFonts w:eastAsia="Times New Roman"/>
                <w:sz w:val="20"/>
                <w:szCs w:val="20"/>
              </w:rPr>
            </w:pPr>
          </w:p>
        </w:tc>
        <w:tc>
          <w:tcPr>
            <w:tcW w:w="50" w:type="pct"/>
            <w:vAlign w:val="center"/>
            <w:hideMark/>
          </w:tcPr>
          <w:p w14:paraId="067CC359" w14:textId="77777777" w:rsidR="00000000" w:rsidRDefault="00195E73">
            <w:pPr>
              <w:rPr>
                <w:rFonts w:eastAsia="Times New Roman"/>
                <w:sz w:val="20"/>
                <w:szCs w:val="20"/>
              </w:rPr>
            </w:pPr>
          </w:p>
        </w:tc>
        <w:tc>
          <w:tcPr>
            <w:tcW w:w="1971" w:type="pct"/>
            <w:vAlign w:val="center"/>
            <w:hideMark/>
          </w:tcPr>
          <w:p w14:paraId="7B5EE47A" w14:textId="77777777" w:rsidR="00000000" w:rsidRDefault="00195E73">
            <w:pPr>
              <w:rPr>
                <w:rFonts w:eastAsia="Times New Roman"/>
                <w:sz w:val="20"/>
                <w:szCs w:val="20"/>
              </w:rPr>
            </w:pPr>
          </w:p>
        </w:tc>
        <w:tc>
          <w:tcPr>
            <w:tcW w:w="50" w:type="pct"/>
            <w:vAlign w:val="center"/>
            <w:hideMark/>
          </w:tcPr>
          <w:p w14:paraId="0270108A" w14:textId="77777777" w:rsidR="00000000" w:rsidRDefault="00195E73">
            <w:pPr>
              <w:rPr>
                <w:rFonts w:eastAsia="Times New Roman"/>
                <w:sz w:val="20"/>
                <w:szCs w:val="20"/>
              </w:rPr>
            </w:pPr>
          </w:p>
        </w:tc>
      </w:tr>
      <w:tr w:rsidR="00000000" w14:paraId="6254C7D4" w14:textId="77777777">
        <w:trPr>
          <w:divId w:val="220603264"/>
          <w:jc w:val="center"/>
        </w:trPr>
        <w:tc>
          <w:tcPr>
            <w:tcW w:w="0" w:type="auto"/>
            <w:gridSpan w:val="3"/>
            <w:tcMar>
              <w:top w:w="15" w:type="dxa"/>
              <w:left w:w="20" w:type="dxa"/>
              <w:bottom w:w="15" w:type="dxa"/>
              <w:right w:w="20" w:type="dxa"/>
            </w:tcMar>
            <w:vAlign w:val="bottom"/>
            <w:hideMark/>
          </w:tcPr>
          <w:p w14:paraId="7EE49173"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21ACDAAC" w14:textId="77777777" w:rsidR="00000000" w:rsidRDefault="00195E73">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7F4DAF8E" w14:textId="77777777" w:rsidR="00000000" w:rsidRDefault="00195E73">
            <w:pPr>
              <w:rPr>
                <w:rFonts w:eastAsia="Times New Roman"/>
              </w:rPr>
            </w:pPr>
            <w:r>
              <w:rPr>
                <w:rFonts w:eastAsia="Times New Roman"/>
                <w:color w:val="000000"/>
                <w:sz w:val="20"/>
                <w:szCs w:val="20"/>
              </w:rPr>
              <w:t>/s/Keith Cozz</w:t>
            </w:r>
            <w:r>
              <w:rPr>
                <w:rFonts w:eastAsia="Times New Roman"/>
                <w:color w:val="000000"/>
                <w:sz w:val="20"/>
                <w:szCs w:val="20"/>
              </w:rPr>
              <w:t>a</w:t>
            </w:r>
          </w:p>
        </w:tc>
      </w:tr>
      <w:tr w:rsidR="00000000" w14:paraId="3385FBAA" w14:textId="77777777">
        <w:trPr>
          <w:divId w:val="220603264"/>
          <w:jc w:val="center"/>
        </w:trPr>
        <w:tc>
          <w:tcPr>
            <w:tcW w:w="0" w:type="auto"/>
            <w:gridSpan w:val="3"/>
            <w:tcMar>
              <w:top w:w="15" w:type="dxa"/>
              <w:left w:w="20" w:type="dxa"/>
              <w:bottom w:w="15" w:type="dxa"/>
              <w:right w:w="20" w:type="dxa"/>
            </w:tcMar>
            <w:vAlign w:val="bottom"/>
            <w:hideMark/>
          </w:tcPr>
          <w:p w14:paraId="698309EC"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632090E1" w14:textId="77777777" w:rsidR="00000000" w:rsidRDefault="00195E7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362E206" w14:textId="77777777" w:rsidR="00000000" w:rsidRDefault="00195E73">
            <w:pPr>
              <w:rPr>
                <w:rFonts w:eastAsia="Times New Roman"/>
              </w:rPr>
            </w:pPr>
            <w:r>
              <w:rPr>
                <w:rFonts w:eastAsia="Times New Roman"/>
                <w:color w:val="000000"/>
                <w:sz w:val="20"/>
                <w:szCs w:val="20"/>
              </w:rPr>
              <w:t>Keith Cozza</w:t>
            </w:r>
            <w:r>
              <w:rPr>
                <w:rFonts w:eastAsia="Times New Roman"/>
                <w:color w:val="000000"/>
                <w:sz w:val="20"/>
                <w:szCs w:val="20"/>
              </w:rPr>
              <w:br/>
            </w:r>
            <w:r>
              <w:rPr>
                <w:rFonts w:eastAsia="Times New Roman"/>
                <w:color w:val="000000"/>
                <w:sz w:val="20"/>
                <w:szCs w:val="20"/>
              </w:rPr>
              <w:t>President, Chief Executive Officer and Directo</w:t>
            </w:r>
            <w:r>
              <w:rPr>
                <w:rFonts w:eastAsia="Times New Roman"/>
                <w:color w:val="000000"/>
                <w:sz w:val="20"/>
                <w:szCs w:val="20"/>
              </w:rPr>
              <w:t>r</w:t>
            </w:r>
          </w:p>
        </w:tc>
      </w:tr>
    </w:tbl>
    <w:p w14:paraId="3614696C" w14:textId="77777777" w:rsidR="00000000" w:rsidRDefault="00195E73">
      <w:pPr>
        <w:divId w:val="1751384270"/>
        <w:rPr>
          <w:rFonts w:eastAsia="Times New Roman"/>
        </w:rPr>
      </w:pPr>
      <w:r>
        <w:rPr>
          <w:rFonts w:eastAsia="Times New Roman"/>
          <w:color w:val="000000"/>
          <w:sz w:val="20"/>
          <w:szCs w:val="20"/>
        </w:rPr>
        <w:t>Date: February 28, 2020</w:t>
      </w:r>
      <w:r>
        <w:rPr>
          <w:rFonts w:eastAsia="Times New Roman"/>
          <w:color w:val="000000"/>
          <w:sz w:val="20"/>
          <w:szCs w:val="20"/>
        </w:rPr>
        <w:t xml:space="preserve"> </w:t>
      </w:r>
    </w:p>
    <w:p w14:paraId="481D24B5" w14:textId="77777777" w:rsidR="00000000" w:rsidRDefault="00195E73">
      <w:pPr>
        <w:ind w:firstLine="315"/>
        <w:divId w:val="1893688113"/>
        <w:rPr>
          <w:rFonts w:eastAsia="Times New Roman"/>
        </w:rPr>
      </w:pPr>
      <w:r>
        <w:rPr>
          <w:rFonts w:eastAsia="Times New Roman"/>
          <w:color w:val="000000"/>
          <w:sz w:val="20"/>
          <w:szCs w:val="20"/>
        </w:rPr>
        <w:t>Pursuant to the requirements of the Securities Exchange Act of 1934, this report has been signed below by the following persons in the capacities indicated with respect to Icahn Enterprises G.P. Inc., the general partner of Icahn Enterprises Holdings L.P.,</w:t>
      </w:r>
      <w:r>
        <w:rPr>
          <w:rFonts w:eastAsia="Times New Roman"/>
          <w:color w:val="000000"/>
          <w:sz w:val="20"/>
          <w:szCs w:val="20"/>
        </w:rPr>
        <w:t xml:space="preserve"> and on behalf of the registrant and on the dates indicated below by the following persons in the capacities and on the dates indicated.</w:t>
      </w:r>
      <w:r>
        <w:rPr>
          <w:rFonts w:eastAsia="Times New Roman"/>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72"/>
        <w:gridCol w:w="2203"/>
        <w:gridCol w:w="73"/>
        <w:gridCol w:w="36"/>
        <w:gridCol w:w="36"/>
        <w:gridCol w:w="36"/>
        <w:gridCol w:w="70"/>
        <w:gridCol w:w="3967"/>
        <w:gridCol w:w="73"/>
        <w:gridCol w:w="36"/>
        <w:gridCol w:w="36"/>
        <w:gridCol w:w="36"/>
        <w:gridCol w:w="70"/>
        <w:gridCol w:w="1464"/>
        <w:gridCol w:w="73"/>
      </w:tblGrid>
      <w:tr w:rsidR="00000000" w14:paraId="3966D356" w14:textId="77777777">
        <w:trPr>
          <w:divId w:val="2110731505"/>
          <w:jc w:val="center"/>
        </w:trPr>
        <w:tc>
          <w:tcPr>
            <w:tcW w:w="50" w:type="pct"/>
            <w:vAlign w:val="center"/>
            <w:hideMark/>
          </w:tcPr>
          <w:p w14:paraId="211610BE" w14:textId="77777777" w:rsidR="00000000" w:rsidRDefault="00195E73">
            <w:pPr>
              <w:ind w:firstLine="315"/>
              <w:rPr>
                <w:rFonts w:eastAsia="Times New Roman"/>
              </w:rPr>
            </w:pPr>
          </w:p>
        </w:tc>
        <w:tc>
          <w:tcPr>
            <w:tcW w:w="1336" w:type="pct"/>
            <w:vAlign w:val="center"/>
            <w:hideMark/>
          </w:tcPr>
          <w:p w14:paraId="668D0C75" w14:textId="77777777" w:rsidR="00000000" w:rsidRDefault="00195E73">
            <w:pPr>
              <w:rPr>
                <w:rFonts w:eastAsia="Times New Roman"/>
                <w:sz w:val="20"/>
                <w:szCs w:val="20"/>
              </w:rPr>
            </w:pPr>
          </w:p>
        </w:tc>
        <w:tc>
          <w:tcPr>
            <w:tcW w:w="50" w:type="pct"/>
            <w:vAlign w:val="center"/>
            <w:hideMark/>
          </w:tcPr>
          <w:p w14:paraId="4C23D0A0" w14:textId="77777777" w:rsidR="00000000" w:rsidRDefault="00195E73">
            <w:pPr>
              <w:rPr>
                <w:rFonts w:eastAsia="Times New Roman"/>
                <w:sz w:val="20"/>
                <w:szCs w:val="20"/>
              </w:rPr>
            </w:pPr>
          </w:p>
        </w:tc>
        <w:tc>
          <w:tcPr>
            <w:tcW w:w="5" w:type="pct"/>
            <w:vAlign w:val="center"/>
            <w:hideMark/>
          </w:tcPr>
          <w:p w14:paraId="15076817" w14:textId="77777777" w:rsidR="00000000" w:rsidRDefault="00195E73">
            <w:pPr>
              <w:rPr>
                <w:rFonts w:eastAsia="Times New Roman"/>
                <w:sz w:val="20"/>
                <w:szCs w:val="20"/>
              </w:rPr>
            </w:pPr>
          </w:p>
        </w:tc>
        <w:tc>
          <w:tcPr>
            <w:tcW w:w="26" w:type="pct"/>
            <w:vAlign w:val="center"/>
            <w:hideMark/>
          </w:tcPr>
          <w:p w14:paraId="5830E54A" w14:textId="77777777" w:rsidR="00000000" w:rsidRDefault="00195E73">
            <w:pPr>
              <w:rPr>
                <w:rFonts w:eastAsia="Times New Roman"/>
                <w:sz w:val="20"/>
                <w:szCs w:val="20"/>
              </w:rPr>
            </w:pPr>
          </w:p>
        </w:tc>
        <w:tc>
          <w:tcPr>
            <w:tcW w:w="5" w:type="pct"/>
            <w:vAlign w:val="center"/>
            <w:hideMark/>
          </w:tcPr>
          <w:p w14:paraId="66D924CB" w14:textId="77777777" w:rsidR="00000000" w:rsidRDefault="00195E73">
            <w:pPr>
              <w:rPr>
                <w:rFonts w:eastAsia="Times New Roman"/>
                <w:sz w:val="20"/>
                <w:szCs w:val="20"/>
              </w:rPr>
            </w:pPr>
          </w:p>
        </w:tc>
        <w:tc>
          <w:tcPr>
            <w:tcW w:w="50" w:type="pct"/>
            <w:vAlign w:val="center"/>
            <w:hideMark/>
          </w:tcPr>
          <w:p w14:paraId="33656294" w14:textId="77777777" w:rsidR="00000000" w:rsidRDefault="00195E73">
            <w:pPr>
              <w:rPr>
                <w:rFonts w:eastAsia="Times New Roman"/>
                <w:sz w:val="20"/>
                <w:szCs w:val="20"/>
              </w:rPr>
            </w:pPr>
          </w:p>
        </w:tc>
        <w:tc>
          <w:tcPr>
            <w:tcW w:w="2400" w:type="pct"/>
            <w:vAlign w:val="center"/>
            <w:hideMark/>
          </w:tcPr>
          <w:p w14:paraId="538391A5" w14:textId="77777777" w:rsidR="00000000" w:rsidRDefault="00195E73">
            <w:pPr>
              <w:rPr>
                <w:rFonts w:eastAsia="Times New Roman"/>
                <w:sz w:val="20"/>
                <w:szCs w:val="20"/>
              </w:rPr>
            </w:pPr>
          </w:p>
        </w:tc>
        <w:tc>
          <w:tcPr>
            <w:tcW w:w="50" w:type="pct"/>
            <w:vAlign w:val="center"/>
            <w:hideMark/>
          </w:tcPr>
          <w:p w14:paraId="79774486" w14:textId="77777777" w:rsidR="00000000" w:rsidRDefault="00195E73">
            <w:pPr>
              <w:rPr>
                <w:rFonts w:eastAsia="Times New Roman"/>
                <w:sz w:val="20"/>
                <w:szCs w:val="20"/>
              </w:rPr>
            </w:pPr>
          </w:p>
        </w:tc>
        <w:tc>
          <w:tcPr>
            <w:tcW w:w="5" w:type="pct"/>
            <w:vAlign w:val="center"/>
            <w:hideMark/>
          </w:tcPr>
          <w:p w14:paraId="6F8CC3DC" w14:textId="77777777" w:rsidR="00000000" w:rsidRDefault="00195E73">
            <w:pPr>
              <w:rPr>
                <w:rFonts w:eastAsia="Times New Roman"/>
                <w:sz w:val="20"/>
                <w:szCs w:val="20"/>
              </w:rPr>
            </w:pPr>
          </w:p>
        </w:tc>
        <w:tc>
          <w:tcPr>
            <w:tcW w:w="26" w:type="pct"/>
            <w:vAlign w:val="center"/>
            <w:hideMark/>
          </w:tcPr>
          <w:p w14:paraId="0642C071" w14:textId="77777777" w:rsidR="00000000" w:rsidRDefault="00195E73">
            <w:pPr>
              <w:rPr>
                <w:rFonts w:eastAsia="Times New Roman"/>
                <w:sz w:val="20"/>
                <w:szCs w:val="20"/>
              </w:rPr>
            </w:pPr>
          </w:p>
        </w:tc>
        <w:tc>
          <w:tcPr>
            <w:tcW w:w="5" w:type="pct"/>
            <w:vAlign w:val="center"/>
            <w:hideMark/>
          </w:tcPr>
          <w:p w14:paraId="49DD69B8" w14:textId="77777777" w:rsidR="00000000" w:rsidRDefault="00195E73">
            <w:pPr>
              <w:rPr>
                <w:rFonts w:eastAsia="Times New Roman"/>
                <w:sz w:val="20"/>
                <w:szCs w:val="20"/>
              </w:rPr>
            </w:pPr>
          </w:p>
        </w:tc>
        <w:tc>
          <w:tcPr>
            <w:tcW w:w="50" w:type="pct"/>
            <w:vAlign w:val="center"/>
            <w:hideMark/>
          </w:tcPr>
          <w:p w14:paraId="4E2D9A4D" w14:textId="77777777" w:rsidR="00000000" w:rsidRDefault="00195E73">
            <w:pPr>
              <w:rPr>
                <w:rFonts w:eastAsia="Times New Roman"/>
                <w:sz w:val="20"/>
                <w:szCs w:val="20"/>
              </w:rPr>
            </w:pPr>
          </w:p>
        </w:tc>
        <w:tc>
          <w:tcPr>
            <w:tcW w:w="889" w:type="pct"/>
            <w:vAlign w:val="center"/>
            <w:hideMark/>
          </w:tcPr>
          <w:p w14:paraId="46854960" w14:textId="77777777" w:rsidR="00000000" w:rsidRDefault="00195E73">
            <w:pPr>
              <w:rPr>
                <w:rFonts w:eastAsia="Times New Roman"/>
                <w:sz w:val="20"/>
                <w:szCs w:val="20"/>
              </w:rPr>
            </w:pPr>
          </w:p>
        </w:tc>
        <w:tc>
          <w:tcPr>
            <w:tcW w:w="50" w:type="pct"/>
            <w:vAlign w:val="center"/>
            <w:hideMark/>
          </w:tcPr>
          <w:p w14:paraId="025CB3B5" w14:textId="77777777" w:rsidR="00000000" w:rsidRDefault="00195E73">
            <w:pPr>
              <w:rPr>
                <w:rFonts w:eastAsia="Times New Roman"/>
                <w:sz w:val="20"/>
                <w:szCs w:val="20"/>
              </w:rPr>
            </w:pPr>
          </w:p>
        </w:tc>
      </w:tr>
      <w:tr w:rsidR="00000000" w14:paraId="74428013" w14:textId="77777777">
        <w:trPr>
          <w:divId w:val="2110731505"/>
          <w:jc w:val="center"/>
        </w:trPr>
        <w:tc>
          <w:tcPr>
            <w:tcW w:w="0" w:type="auto"/>
            <w:gridSpan w:val="3"/>
            <w:tcMar>
              <w:top w:w="30" w:type="dxa"/>
              <w:left w:w="20" w:type="dxa"/>
              <w:bottom w:w="30" w:type="dxa"/>
              <w:right w:w="20" w:type="dxa"/>
            </w:tcMar>
            <w:vAlign w:val="bottom"/>
            <w:hideMark/>
          </w:tcPr>
          <w:p w14:paraId="38C66702" w14:textId="77777777" w:rsidR="00000000" w:rsidRDefault="00195E73">
            <w:pPr>
              <w:jc w:val="center"/>
              <w:rPr>
                <w:rFonts w:eastAsia="Times New Roman"/>
              </w:rPr>
            </w:pPr>
            <w:r>
              <w:rPr>
                <w:rFonts w:eastAsia="Times New Roman"/>
                <w:b/>
                <w:bCs/>
                <w:color w:val="000000"/>
                <w:sz w:val="20"/>
                <w:szCs w:val="20"/>
              </w:rPr>
              <w:t>Signatur</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14:paraId="2E6A7D43" w14:textId="77777777" w:rsidR="00000000" w:rsidRDefault="00195E73">
            <w:pPr>
              <w:jc w:val="center"/>
              <w:rPr>
                <w:rFonts w:eastAsia="Times New Roman"/>
              </w:rPr>
            </w:pPr>
          </w:p>
        </w:tc>
        <w:tc>
          <w:tcPr>
            <w:tcW w:w="0" w:type="auto"/>
            <w:gridSpan w:val="3"/>
            <w:tcMar>
              <w:top w:w="30" w:type="dxa"/>
              <w:left w:w="20" w:type="dxa"/>
              <w:bottom w:w="30" w:type="dxa"/>
              <w:right w:w="20" w:type="dxa"/>
            </w:tcMar>
            <w:vAlign w:val="bottom"/>
            <w:hideMark/>
          </w:tcPr>
          <w:p w14:paraId="46543C65" w14:textId="77777777" w:rsidR="00000000" w:rsidRDefault="00195E73">
            <w:pPr>
              <w:jc w:val="center"/>
              <w:rPr>
                <w:rFonts w:eastAsia="Times New Roman"/>
              </w:rPr>
            </w:pPr>
            <w:r>
              <w:rPr>
                <w:rFonts w:eastAsia="Times New Roman"/>
                <w:b/>
                <w:bCs/>
                <w:color w:val="000000"/>
                <w:sz w:val="20"/>
                <w:szCs w:val="20"/>
              </w:rPr>
              <w:t>Titl</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14:paraId="289DCC5B" w14:textId="77777777" w:rsidR="00000000" w:rsidRDefault="00195E73">
            <w:pPr>
              <w:jc w:val="center"/>
              <w:rPr>
                <w:rFonts w:eastAsia="Times New Roman"/>
              </w:rPr>
            </w:pPr>
          </w:p>
        </w:tc>
        <w:tc>
          <w:tcPr>
            <w:tcW w:w="0" w:type="auto"/>
            <w:gridSpan w:val="3"/>
            <w:tcMar>
              <w:top w:w="30" w:type="dxa"/>
              <w:left w:w="20" w:type="dxa"/>
              <w:bottom w:w="30" w:type="dxa"/>
              <w:right w:w="20" w:type="dxa"/>
            </w:tcMar>
            <w:vAlign w:val="bottom"/>
            <w:hideMark/>
          </w:tcPr>
          <w:p w14:paraId="48B5747B" w14:textId="77777777" w:rsidR="00000000" w:rsidRDefault="00195E73">
            <w:pPr>
              <w:jc w:val="center"/>
              <w:rPr>
                <w:rFonts w:eastAsia="Times New Roman"/>
              </w:rPr>
            </w:pPr>
            <w:r>
              <w:rPr>
                <w:rFonts w:eastAsia="Times New Roman"/>
                <w:b/>
                <w:bCs/>
                <w:color w:val="000000"/>
                <w:sz w:val="20"/>
                <w:szCs w:val="20"/>
              </w:rPr>
              <w:t>Dat</w:t>
            </w:r>
            <w:r>
              <w:rPr>
                <w:rFonts w:eastAsia="Times New Roman"/>
                <w:b/>
                <w:bCs/>
                <w:color w:val="000000"/>
                <w:sz w:val="20"/>
                <w:szCs w:val="20"/>
              </w:rPr>
              <w:t>e</w:t>
            </w:r>
          </w:p>
        </w:tc>
      </w:tr>
      <w:tr w:rsidR="00000000" w14:paraId="2AE34104" w14:textId="77777777">
        <w:trPr>
          <w:divId w:val="2110731505"/>
          <w:trHeight w:val="300"/>
          <w:jc w:val="center"/>
        </w:trPr>
        <w:tc>
          <w:tcPr>
            <w:tcW w:w="0" w:type="auto"/>
            <w:gridSpan w:val="3"/>
            <w:tcBorders>
              <w:top w:val="single" w:sz="8" w:space="0" w:color="000000"/>
            </w:tcBorders>
            <w:tcMar>
              <w:top w:w="15" w:type="dxa"/>
              <w:left w:w="20" w:type="dxa"/>
              <w:bottom w:w="15" w:type="dxa"/>
              <w:right w:w="20" w:type="dxa"/>
            </w:tcMar>
            <w:vAlign w:val="bottom"/>
            <w:hideMark/>
          </w:tcPr>
          <w:p w14:paraId="36386099" w14:textId="77777777" w:rsidR="00000000" w:rsidRDefault="00195E73">
            <w:pPr>
              <w:jc w:val="center"/>
              <w:rPr>
                <w:rFonts w:eastAsia="Times New Roman"/>
              </w:rPr>
            </w:pPr>
          </w:p>
        </w:tc>
        <w:tc>
          <w:tcPr>
            <w:tcW w:w="0" w:type="auto"/>
            <w:gridSpan w:val="3"/>
            <w:tcMar>
              <w:top w:w="15" w:type="dxa"/>
              <w:left w:w="20" w:type="dxa"/>
              <w:bottom w:w="15" w:type="dxa"/>
              <w:right w:w="20" w:type="dxa"/>
            </w:tcMar>
            <w:vAlign w:val="bottom"/>
            <w:hideMark/>
          </w:tcPr>
          <w:p w14:paraId="2BDEA5A0" w14:textId="77777777" w:rsidR="00000000" w:rsidRDefault="00195E73">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1784AF0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83ACF4B" w14:textId="77777777" w:rsidR="00000000" w:rsidRDefault="00195E73">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632F5BD7" w14:textId="77777777" w:rsidR="00000000" w:rsidRDefault="00195E73">
            <w:pPr>
              <w:rPr>
                <w:rFonts w:eastAsia="Times New Roman"/>
                <w:sz w:val="20"/>
                <w:szCs w:val="20"/>
              </w:rPr>
            </w:pPr>
          </w:p>
        </w:tc>
      </w:tr>
      <w:tr w:rsidR="00000000" w14:paraId="267D7231" w14:textId="77777777">
        <w:trPr>
          <w:divId w:val="2110731505"/>
          <w:jc w:val="center"/>
        </w:trPr>
        <w:tc>
          <w:tcPr>
            <w:tcW w:w="0" w:type="auto"/>
            <w:gridSpan w:val="3"/>
            <w:tcMar>
              <w:top w:w="30" w:type="dxa"/>
              <w:left w:w="20" w:type="dxa"/>
              <w:bottom w:w="30" w:type="dxa"/>
              <w:right w:w="20" w:type="dxa"/>
            </w:tcMar>
            <w:vAlign w:val="bottom"/>
            <w:hideMark/>
          </w:tcPr>
          <w:p w14:paraId="6B41FE3B" w14:textId="77777777" w:rsidR="00000000" w:rsidRDefault="00195E73">
            <w:pPr>
              <w:rPr>
                <w:rFonts w:eastAsia="Times New Roman"/>
              </w:rPr>
            </w:pPr>
            <w:r>
              <w:rPr>
                <w:rFonts w:eastAsia="Times New Roman"/>
                <w:color w:val="000000"/>
                <w:sz w:val="20"/>
                <w:szCs w:val="20"/>
              </w:rPr>
              <w:t>/s/Keith Cozz</w:t>
            </w:r>
            <w:r>
              <w:rPr>
                <w:rFonts w:eastAsia="Times New Roman"/>
                <w:color w:val="000000"/>
                <w:sz w:val="20"/>
                <w:szCs w:val="20"/>
              </w:rPr>
              <w:t>a</w:t>
            </w:r>
          </w:p>
        </w:tc>
        <w:tc>
          <w:tcPr>
            <w:tcW w:w="0" w:type="auto"/>
            <w:gridSpan w:val="3"/>
            <w:tcMar>
              <w:top w:w="15" w:type="dxa"/>
              <w:left w:w="20" w:type="dxa"/>
              <w:bottom w:w="15" w:type="dxa"/>
              <w:right w:w="20" w:type="dxa"/>
            </w:tcMar>
            <w:vAlign w:val="bottom"/>
            <w:hideMark/>
          </w:tcPr>
          <w:p w14:paraId="5DC31E15"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21660730" w14:textId="77777777" w:rsidR="00000000" w:rsidRDefault="00195E73">
            <w:pPr>
              <w:rPr>
                <w:rFonts w:eastAsia="Times New Roman"/>
              </w:rPr>
            </w:pPr>
            <w:r>
              <w:rPr>
                <w:rFonts w:eastAsia="Times New Roman"/>
                <w:color w:val="000000"/>
                <w:sz w:val="20"/>
                <w:szCs w:val="20"/>
              </w:rPr>
              <w:t>President, Chief Executive Officer and 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622E8411"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2D8D72E4" w14:textId="77777777" w:rsidR="00000000" w:rsidRDefault="00195E73">
            <w:pPr>
              <w:jc w:val="center"/>
              <w:rPr>
                <w:rFonts w:eastAsia="Times New Roman"/>
              </w:rPr>
            </w:pPr>
            <w:r>
              <w:rPr>
                <w:rFonts w:eastAsia="Times New Roman"/>
                <w:color w:val="000000"/>
                <w:sz w:val="20"/>
                <w:szCs w:val="20"/>
              </w:rPr>
              <w:t>February 28, 202</w:t>
            </w:r>
            <w:r>
              <w:rPr>
                <w:rFonts w:eastAsia="Times New Roman"/>
                <w:color w:val="000000"/>
                <w:sz w:val="20"/>
                <w:szCs w:val="20"/>
              </w:rPr>
              <w:t>0</w:t>
            </w:r>
          </w:p>
        </w:tc>
      </w:tr>
      <w:tr w:rsidR="00000000" w14:paraId="33A9CE06" w14:textId="77777777">
        <w:trPr>
          <w:divId w:val="2110731505"/>
          <w:jc w:val="center"/>
        </w:trPr>
        <w:tc>
          <w:tcPr>
            <w:tcW w:w="0" w:type="auto"/>
            <w:gridSpan w:val="3"/>
            <w:tcBorders>
              <w:top w:val="single" w:sz="8" w:space="0" w:color="000000"/>
            </w:tcBorders>
            <w:tcMar>
              <w:top w:w="30" w:type="dxa"/>
              <w:left w:w="20" w:type="dxa"/>
              <w:bottom w:w="30" w:type="dxa"/>
              <w:right w:w="20" w:type="dxa"/>
            </w:tcMar>
            <w:vAlign w:val="bottom"/>
            <w:hideMark/>
          </w:tcPr>
          <w:p w14:paraId="359281B7" w14:textId="77777777" w:rsidR="00000000" w:rsidRDefault="00195E73">
            <w:pPr>
              <w:rPr>
                <w:rFonts w:eastAsia="Times New Roman"/>
              </w:rPr>
            </w:pPr>
            <w:r>
              <w:rPr>
                <w:rFonts w:eastAsia="Times New Roman"/>
                <w:color w:val="000000"/>
                <w:sz w:val="20"/>
                <w:szCs w:val="20"/>
              </w:rPr>
              <w:t>Keith Cozz</w:t>
            </w:r>
            <w:r>
              <w:rPr>
                <w:rFonts w:eastAsia="Times New Roman"/>
                <w:color w:val="000000"/>
                <w:sz w:val="20"/>
                <w:szCs w:val="20"/>
              </w:rPr>
              <w:t>a</w:t>
            </w:r>
          </w:p>
        </w:tc>
        <w:tc>
          <w:tcPr>
            <w:tcW w:w="0" w:type="auto"/>
            <w:gridSpan w:val="3"/>
            <w:tcMar>
              <w:top w:w="15" w:type="dxa"/>
              <w:left w:w="20" w:type="dxa"/>
              <w:bottom w:w="15" w:type="dxa"/>
              <w:right w:w="20" w:type="dxa"/>
            </w:tcMar>
            <w:vAlign w:val="bottom"/>
            <w:hideMark/>
          </w:tcPr>
          <w:p w14:paraId="508720FF"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6B09B67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EA9FFA5"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AC14612" w14:textId="77777777" w:rsidR="00000000" w:rsidRDefault="00195E73">
            <w:pPr>
              <w:rPr>
                <w:rFonts w:eastAsia="Times New Roman"/>
                <w:sz w:val="20"/>
                <w:szCs w:val="20"/>
              </w:rPr>
            </w:pPr>
          </w:p>
        </w:tc>
      </w:tr>
      <w:tr w:rsidR="00000000" w14:paraId="1346D03A" w14:textId="77777777">
        <w:trPr>
          <w:divId w:val="2110731505"/>
          <w:trHeight w:val="300"/>
          <w:jc w:val="center"/>
        </w:trPr>
        <w:tc>
          <w:tcPr>
            <w:tcW w:w="0" w:type="auto"/>
            <w:gridSpan w:val="3"/>
            <w:tcMar>
              <w:top w:w="15" w:type="dxa"/>
              <w:left w:w="20" w:type="dxa"/>
              <w:bottom w:w="15" w:type="dxa"/>
              <w:right w:w="20" w:type="dxa"/>
            </w:tcMar>
            <w:vAlign w:val="bottom"/>
            <w:hideMark/>
          </w:tcPr>
          <w:p w14:paraId="14517979"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4ADE0C4"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D946F74"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284B471"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80B4444" w14:textId="77777777" w:rsidR="00000000" w:rsidRDefault="00195E73">
            <w:pPr>
              <w:rPr>
                <w:rFonts w:eastAsia="Times New Roman"/>
                <w:sz w:val="20"/>
                <w:szCs w:val="20"/>
              </w:rPr>
            </w:pPr>
          </w:p>
        </w:tc>
      </w:tr>
      <w:tr w:rsidR="00000000" w14:paraId="41E4B846" w14:textId="77777777">
        <w:trPr>
          <w:divId w:val="2110731505"/>
          <w:jc w:val="center"/>
        </w:trPr>
        <w:tc>
          <w:tcPr>
            <w:tcW w:w="0" w:type="auto"/>
            <w:gridSpan w:val="3"/>
            <w:tcMar>
              <w:top w:w="30" w:type="dxa"/>
              <w:left w:w="20" w:type="dxa"/>
              <w:bottom w:w="30" w:type="dxa"/>
              <w:right w:w="20" w:type="dxa"/>
            </w:tcMar>
            <w:vAlign w:val="bottom"/>
            <w:hideMark/>
          </w:tcPr>
          <w:p w14:paraId="1EAF0DA6" w14:textId="77777777" w:rsidR="00000000" w:rsidRDefault="00195E73">
            <w:pPr>
              <w:rPr>
                <w:rFonts w:eastAsia="Times New Roman"/>
              </w:rPr>
            </w:pPr>
            <w:r>
              <w:rPr>
                <w:rFonts w:eastAsia="Times New Roman"/>
                <w:color w:val="000000"/>
                <w:sz w:val="20"/>
                <w:szCs w:val="20"/>
              </w:rPr>
              <w:t>/s/SungHwan Ch</w:t>
            </w:r>
            <w:r>
              <w:rPr>
                <w:rFonts w:eastAsia="Times New Roman"/>
                <w:color w:val="000000"/>
                <w:sz w:val="20"/>
                <w:szCs w:val="20"/>
              </w:rPr>
              <w:t>o</w:t>
            </w:r>
          </w:p>
        </w:tc>
        <w:tc>
          <w:tcPr>
            <w:tcW w:w="0" w:type="auto"/>
            <w:gridSpan w:val="3"/>
            <w:tcMar>
              <w:top w:w="15" w:type="dxa"/>
              <w:left w:w="20" w:type="dxa"/>
              <w:bottom w:w="15" w:type="dxa"/>
              <w:right w:w="20" w:type="dxa"/>
            </w:tcMar>
            <w:vAlign w:val="bottom"/>
            <w:hideMark/>
          </w:tcPr>
          <w:p w14:paraId="3CAB6535"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16567C2C" w14:textId="77777777" w:rsidR="00000000" w:rsidRDefault="00195E73">
            <w:pPr>
              <w:rPr>
                <w:rFonts w:eastAsia="Times New Roman"/>
              </w:rPr>
            </w:pPr>
            <w:r>
              <w:rPr>
                <w:rFonts w:eastAsia="Times New Roman"/>
                <w:color w:val="000000"/>
                <w:sz w:val="20"/>
                <w:szCs w:val="20"/>
              </w:rPr>
              <w:t>Chief Financial Officer and 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0EE65644"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35881D9C" w14:textId="77777777" w:rsidR="00000000" w:rsidRDefault="00195E73">
            <w:pPr>
              <w:jc w:val="center"/>
              <w:rPr>
                <w:rFonts w:eastAsia="Times New Roman"/>
              </w:rPr>
            </w:pPr>
            <w:r>
              <w:rPr>
                <w:rFonts w:eastAsia="Times New Roman"/>
                <w:color w:val="000000"/>
                <w:sz w:val="20"/>
                <w:szCs w:val="20"/>
              </w:rPr>
              <w:t>February 28, 202</w:t>
            </w:r>
            <w:r>
              <w:rPr>
                <w:rFonts w:eastAsia="Times New Roman"/>
                <w:color w:val="000000"/>
                <w:sz w:val="20"/>
                <w:szCs w:val="20"/>
              </w:rPr>
              <w:t>0</w:t>
            </w:r>
          </w:p>
        </w:tc>
      </w:tr>
      <w:tr w:rsidR="00000000" w14:paraId="56374912" w14:textId="77777777">
        <w:trPr>
          <w:divId w:val="2110731505"/>
          <w:jc w:val="center"/>
        </w:trPr>
        <w:tc>
          <w:tcPr>
            <w:tcW w:w="0" w:type="auto"/>
            <w:gridSpan w:val="3"/>
            <w:tcBorders>
              <w:top w:val="single" w:sz="8" w:space="0" w:color="000000"/>
            </w:tcBorders>
            <w:tcMar>
              <w:top w:w="30" w:type="dxa"/>
              <w:left w:w="20" w:type="dxa"/>
              <w:bottom w:w="30" w:type="dxa"/>
              <w:right w:w="20" w:type="dxa"/>
            </w:tcMar>
            <w:vAlign w:val="bottom"/>
            <w:hideMark/>
          </w:tcPr>
          <w:p w14:paraId="7E7E1DA8" w14:textId="77777777" w:rsidR="00000000" w:rsidRDefault="00195E73">
            <w:pPr>
              <w:rPr>
                <w:rFonts w:eastAsia="Times New Roman"/>
              </w:rPr>
            </w:pPr>
            <w:r>
              <w:rPr>
                <w:rFonts w:eastAsia="Times New Roman"/>
                <w:color w:val="000000"/>
                <w:sz w:val="20"/>
                <w:szCs w:val="20"/>
              </w:rPr>
              <w:t>SungHwan Ch</w:t>
            </w:r>
            <w:r>
              <w:rPr>
                <w:rFonts w:eastAsia="Times New Roman"/>
                <w:color w:val="000000"/>
                <w:sz w:val="20"/>
                <w:szCs w:val="20"/>
              </w:rPr>
              <w:t>o</w:t>
            </w:r>
          </w:p>
        </w:tc>
        <w:tc>
          <w:tcPr>
            <w:tcW w:w="0" w:type="auto"/>
            <w:gridSpan w:val="3"/>
            <w:tcMar>
              <w:top w:w="15" w:type="dxa"/>
              <w:left w:w="20" w:type="dxa"/>
              <w:bottom w:w="15" w:type="dxa"/>
              <w:right w:w="20" w:type="dxa"/>
            </w:tcMar>
            <w:vAlign w:val="bottom"/>
            <w:hideMark/>
          </w:tcPr>
          <w:p w14:paraId="4744BA21"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32A566D2"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E66502C"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61E5F36" w14:textId="77777777" w:rsidR="00000000" w:rsidRDefault="00195E73">
            <w:pPr>
              <w:rPr>
                <w:rFonts w:eastAsia="Times New Roman"/>
                <w:sz w:val="20"/>
                <w:szCs w:val="20"/>
              </w:rPr>
            </w:pPr>
          </w:p>
        </w:tc>
      </w:tr>
      <w:tr w:rsidR="00000000" w14:paraId="02B6DE3F" w14:textId="77777777">
        <w:trPr>
          <w:divId w:val="2110731505"/>
          <w:trHeight w:val="300"/>
          <w:jc w:val="center"/>
        </w:trPr>
        <w:tc>
          <w:tcPr>
            <w:tcW w:w="0" w:type="auto"/>
            <w:gridSpan w:val="3"/>
            <w:tcMar>
              <w:top w:w="15" w:type="dxa"/>
              <w:left w:w="20" w:type="dxa"/>
              <w:bottom w:w="15" w:type="dxa"/>
              <w:right w:w="20" w:type="dxa"/>
            </w:tcMar>
            <w:vAlign w:val="bottom"/>
            <w:hideMark/>
          </w:tcPr>
          <w:p w14:paraId="21FB290F"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B62DF0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B13847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6CE5A92"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5755E7F" w14:textId="77777777" w:rsidR="00000000" w:rsidRDefault="00195E73">
            <w:pPr>
              <w:rPr>
                <w:rFonts w:eastAsia="Times New Roman"/>
                <w:sz w:val="20"/>
                <w:szCs w:val="20"/>
              </w:rPr>
            </w:pPr>
          </w:p>
        </w:tc>
      </w:tr>
      <w:tr w:rsidR="00000000" w14:paraId="07FDBB9B" w14:textId="77777777">
        <w:trPr>
          <w:divId w:val="2110731505"/>
          <w:jc w:val="center"/>
        </w:trPr>
        <w:tc>
          <w:tcPr>
            <w:tcW w:w="0" w:type="auto"/>
            <w:gridSpan w:val="3"/>
            <w:tcMar>
              <w:top w:w="30" w:type="dxa"/>
              <w:left w:w="20" w:type="dxa"/>
              <w:bottom w:w="30" w:type="dxa"/>
              <w:right w:w="20" w:type="dxa"/>
            </w:tcMar>
            <w:vAlign w:val="bottom"/>
            <w:hideMark/>
          </w:tcPr>
          <w:p w14:paraId="3C78BB87" w14:textId="77777777" w:rsidR="00000000" w:rsidRDefault="00195E73">
            <w:pPr>
              <w:rPr>
                <w:rFonts w:eastAsia="Times New Roman"/>
              </w:rPr>
            </w:pPr>
            <w:r>
              <w:rPr>
                <w:rFonts w:eastAsia="Times New Roman"/>
                <w:color w:val="000000"/>
                <w:sz w:val="20"/>
                <w:szCs w:val="20"/>
              </w:rPr>
              <w:t>/s/Peter Rec</w:t>
            </w:r>
            <w:r>
              <w:rPr>
                <w:rFonts w:eastAsia="Times New Roman"/>
                <w:color w:val="000000"/>
                <w:sz w:val="20"/>
                <w:szCs w:val="20"/>
              </w:rPr>
              <w:t>k</w:t>
            </w:r>
          </w:p>
        </w:tc>
        <w:tc>
          <w:tcPr>
            <w:tcW w:w="0" w:type="auto"/>
            <w:gridSpan w:val="3"/>
            <w:tcMar>
              <w:top w:w="15" w:type="dxa"/>
              <w:left w:w="20" w:type="dxa"/>
              <w:bottom w:w="15" w:type="dxa"/>
              <w:right w:w="20" w:type="dxa"/>
            </w:tcMar>
            <w:vAlign w:val="bottom"/>
            <w:hideMark/>
          </w:tcPr>
          <w:p w14:paraId="7EBEFD10"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7FFF498B" w14:textId="77777777" w:rsidR="00000000" w:rsidRDefault="00195E73">
            <w:pPr>
              <w:rPr>
                <w:rFonts w:eastAsia="Times New Roman"/>
              </w:rPr>
            </w:pPr>
            <w:r>
              <w:rPr>
                <w:rFonts w:eastAsia="Times New Roman"/>
                <w:color w:val="000000"/>
                <w:sz w:val="20"/>
                <w:szCs w:val="20"/>
              </w:rPr>
              <w:t>Chief Accounting Office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7FB547B6"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688D18CF" w14:textId="77777777" w:rsidR="00000000" w:rsidRDefault="00195E73">
            <w:pPr>
              <w:jc w:val="center"/>
              <w:rPr>
                <w:rFonts w:eastAsia="Times New Roman"/>
              </w:rPr>
            </w:pPr>
            <w:r>
              <w:rPr>
                <w:rFonts w:eastAsia="Times New Roman"/>
                <w:color w:val="000000"/>
                <w:sz w:val="20"/>
                <w:szCs w:val="20"/>
              </w:rPr>
              <w:t>February 28, 202</w:t>
            </w:r>
            <w:r>
              <w:rPr>
                <w:rFonts w:eastAsia="Times New Roman"/>
                <w:color w:val="000000"/>
                <w:sz w:val="20"/>
                <w:szCs w:val="20"/>
              </w:rPr>
              <w:t>0</w:t>
            </w:r>
          </w:p>
        </w:tc>
      </w:tr>
      <w:tr w:rsidR="00000000" w14:paraId="0E0F339A" w14:textId="77777777">
        <w:trPr>
          <w:divId w:val="2110731505"/>
          <w:jc w:val="center"/>
        </w:trPr>
        <w:tc>
          <w:tcPr>
            <w:tcW w:w="0" w:type="auto"/>
            <w:gridSpan w:val="3"/>
            <w:tcBorders>
              <w:top w:val="single" w:sz="8" w:space="0" w:color="000000"/>
            </w:tcBorders>
            <w:tcMar>
              <w:top w:w="30" w:type="dxa"/>
              <w:left w:w="20" w:type="dxa"/>
              <w:bottom w:w="30" w:type="dxa"/>
              <w:right w:w="20" w:type="dxa"/>
            </w:tcMar>
            <w:vAlign w:val="bottom"/>
            <w:hideMark/>
          </w:tcPr>
          <w:p w14:paraId="2C12ED32" w14:textId="77777777" w:rsidR="00000000" w:rsidRDefault="00195E73">
            <w:pPr>
              <w:rPr>
                <w:rFonts w:eastAsia="Times New Roman"/>
              </w:rPr>
            </w:pPr>
            <w:r>
              <w:rPr>
                <w:rFonts w:eastAsia="Times New Roman"/>
                <w:color w:val="000000"/>
                <w:sz w:val="20"/>
                <w:szCs w:val="20"/>
              </w:rPr>
              <w:t>Peter Rec</w:t>
            </w:r>
            <w:r>
              <w:rPr>
                <w:rFonts w:eastAsia="Times New Roman"/>
                <w:color w:val="000000"/>
                <w:sz w:val="20"/>
                <w:szCs w:val="20"/>
              </w:rPr>
              <w:t>k</w:t>
            </w:r>
          </w:p>
        </w:tc>
        <w:tc>
          <w:tcPr>
            <w:tcW w:w="0" w:type="auto"/>
            <w:gridSpan w:val="3"/>
            <w:tcMar>
              <w:top w:w="15" w:type="dxa"/>
              <w:left w:w="20" w:type="dxa"/>
              <w:bottom w:w="15" w:type="dxa"/>
              <w:right w:w="20" w:type="dxa"/>
            </w:tcMar>
            <w:vAlign w:val="bottom"/>
            <w:hideMark/>
          </w:tcPr>
          <w:p w14:paraId="6D22605E"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5AD7E1BF"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6FC2FEF"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3C7AB9B" w14:textId="77777777" w:rsidR="00000000" w:rsidRDefault="00195E73">
            <w:pPr>
              <w:rPr>
                <w:rFonts w:eastAsia="Times New Roman"/>
                <w:sz w:val="20"/>
                <w:szCs w:val="20"/>
              </w:rPr>
            </w:pPr>
          </w:p>
        </w:tc>
      </w:tr>
      <w:tr w:rsidR="00000000" w14:paraId="2564C38D" w14:textId="77777777">
        <w:trPr>
          <w:divId w:val="2110731505"/>
          <w:trHeight w:val="300"/>
          <w:jc w:val="center"/>
        </w:trPr>
        <w:tc>
          <w:tcPr>
            <w:tcW w:w="0" w:type="auto"/>
            <w:gridSpan w:val="3"/>
            <w:tcMar>
              <w:top w:w="15" w:type="dxa"/>
              <w:left w:w="20" w:type="dxa"/>
              <w:bottom w:w="15" w:type="dxa"/>
              <w:right w:w="20" w:type="dxa"/>
            </w:tcMar>
            <w:vAlign w:val="bottom"/>
            <w:hideMark/>
          </w:tcPr>
          <w:p w14:paraId="783B49B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5873F0F"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08ACCA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7D946CE"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57E3285" w14:textId="77777777" w:rsidR="00000000" w:rsidRDefault="00195E73">
            <w:pPr>
              <w:rPr>
                <w:rFonts w:eastAsia="Times New Roman"/>
                <w:sz w:val="20"/>
                <w:szCs w:val="20"/>
              </w:rPr>
            </w:pPr>
          </w:p>
        </w:tc>
      </w:tr>
      <w:tr w:rsidR="00000000" w14:paraId="79CC4E14" w14:textId="77777777">
        <w:trPr>
          <w:divId w:val="2110731505"/>
          <w:jc w:val="center"/>
        </w:trPr>
        <w:tc>
          <w:tcPr>
            <w:tcW w:w="0" w:type="auto"/>
            <w:gridSpan w:val="3"/>
            <w:tcMar>
              <w:top w:w="30" w:type="dxa"/>
              <w:left w:w="20" w:type="dxa"/>
              <w:bottom w:w="30" w:type="dxa"/>
              <w:right w:w="20" w:type="dxa"/>
            </w:tcMar>
            <w:vAlign w:val="bottom"/>
            <w:hideMark/>
          </w:tcPr>
          <w:p w14:paraId="25AECAA5" w14:textId="77777777" w:rsidR="00000000" w:rsidRDefault="00195E73">
            <w:pPr>
              <w:rPr>
                <w:rFonts w:eastAsia="Times New Roman"/>
              </w:rPr>
            </w:pPr>
            <w:r>
              <w:rPr>
                <w:rFonts w:eastAsia="Times New Roman"/>
                <w:color w:val="000000"/>
                <w:sz w:val="20"/>
                <w:szCs w:val="20"/>
              </w:rPr>
              <w:t>/s/Michael Nevi</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14:paraId="3DA0EE4A"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61E25842" w14:textId="77777777" w:rsidR="00000000" w:rsidRDefault="00195E73">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4360D1D7"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745EF43A" w14:textId="77777777" w:rsidR="00000000" w:rsidRDefault="00195E73">
            <w:pPr>
              <w:jc w:val="center"/>
              <w:rPr>
                <w:rFonts w:eastAsia="Times New Roman"/>
              </w:rPr>
            </w:pPr>
            <w:r>
              <w:rPr>
                <w:rFonts w:eastAsia="Times New Roman"/>
                <w:color w:val="000000"/>
                <w:sz w:val="20"/>
                <w:szCs w:val="20"/>
              </w:rPr>
              <w:t>February 28, 202</w:t>
            </w:r>
            <w:r>
              <w:rPr>
                <w:rFonts w:eastAsia="Times New Roman"/>
                <w:color w:val="000000"/>
                <w:sz w:val="20"/>
                <w:szCs w:val="20"/>
              </w:rPr>
              <w:t>0</w:t>
            </w:r>
          </w:p>
        </w:tc>
      </w:tr>
      <w:tr w:rsidR="00000000" w14:paraId="2F3A1B50" w14:textId="77777777">
        <w:trPr>
          <w:divId w:val="2110731505"/>
          <w:jc w:val="center"/>
        </w:trPr>
        <w:tc>
          <w:tcPr>
            <w:tcW w:w="0" w:type="auto"/>
            <w:gridSpan w:val="3"/>
            <w:tcBorders>
              <w:top w:val="single" w:sz="8" w:space="0" w:color="000000"/>
            </w:tcBorders>
            <w:tcMar>
              <w:top w:w="30" w:type="dxa"/>
              <w:left w:w="20" w:type="dxa"/>
              <w:bottom w:w="30" w:type="dxa"/>
              <w:right w:w="20" w:type="dxa"/>
            </w:tcMar>
            <w:vAlign w:val="bottom"/>
            <w:hideMark/>
          </w:tcPr>
          <w:p w14:paraId="2DDC3C98" w14:textId="77777777" w:rsidR="00000000" w:rsidRDefault="00195E73">
            <w:pPr>
              <w:rPr>
                <w:rFonts w:eastAsia="Times New Roman"/>
              </w:rPr>
            </w:pPr>
            <w:r>
              <w:rPr>
                <w:rFonts w:eastAsia="Times New Roman"/>
                <w:color w:val="000000"/>
                <w:sz w:val="20"/>
                <w:szCs w:val="20"/>
              </w:rPr>
              <w:t>Michael Nevi</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14:paraId="750D5946"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1C26CC44"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7770DA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D541F1B" w14:textId="77777777" w:rsidR="00000000" w:rsidRDefault="00195E73">
            <w:pPr>
              <w:rPr>
                <w:rFonts w:eastAsia="Times New Roman"/>
                <w:sz w:val="20"/>
                <w:szCs w:val="20"/>
              </w:rPr>
            </w:pPr>
          </w:p>
        </w:tc>
      </w:tr>
      <w:tr w:rsidR="00000000" w14:paraId="5B5844F6" w14:textId="77777777">
        <w:trPr>
          <w:divId w:val="2110731505"/>
          <w:trHeight w:val="300"/>
          <w:jc w:val="center"/>
        </w:trPr>
        <w:tc>
          <w:tcPr>
            <w:tcW w:w="0" w:type="auto"/>
            <w:gridSpan w:val="3"/>
            <w:tcMar>
              <w:top w:w="15" w:type="dxa"/>
              <w:left w:w="20" w:type="dxa"/>
              <w:bottom w:w="15" w:type="dxa"/>
              <w:right w:w="20" w:type="dxa"/>
            </w:tcMar>
            <w:vAlign w:val="bottom"/>
            <w:hideMark/>
          </w:tcPr>
          <w:p w14:paraId="633690FF"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F6564AC"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FD3F2C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7114888A"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BC6F957" w14:textId="77777777" w:rsidR="00000000" w:rsidRDefault="00195E73">
            <w:pPr>
              <w:rPr>
                <w:rFonts w:eastAsia="Times New Roman"/>
                <w:sz w:val="20"/>
                <w:szCs w:val="20"/>
              </w:rPr>
            </w:pPr>
          </w:p>
        </w:tc>
      </w:tr>
      <w:tr w:rsidR="00000000" w14:paraId="2977235F" w14:textId="77777777">
        <w:trPr>
          <w:divId w:val="2110731505"/>
          <w:jc w:val="center"/>
        </w:trPr>
        <w:tc>
          <w:tcPr>
            <w:tcW w:w="0" w:type="auto"/>
            <w:gridSpan w:val="3"/>
            <w:tcMar>
              <w:top w:w="30" w:type="dxa"/>
              <w:left w:w="20" w:type="dxa"/>
              <w:bottom w:w="30" w:type="dxa"/>
              <w:right w:w="20" w:type="dxa"/>
            </w:tcMar>
            <w:vAlign w:val="bottom"/>
            <w:hideMark/>
          </w:tcPr>
          <w:p w14:paraId="645A80B5" w14:textId="77777777" w:rsidR="00000000" w:rsidRDefault="00195E73">
            <w:pPr>
              <w:rPr>
                <w:rFonts w:eastAsia="Times New Roman"/>
              </w:rPr>
            </w:pPr>
            <w:r>
              <w:rPr>
                <w:rFonts w:eastAsia="Times New Roman"/>
                <w:color w:val="000000"/>
                <w:sz w:val="20"/>
                <w:szCs w:val="20"/>
              </w:rPr>
              <w:t>/s/Denise Barto</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14:paraId="7F089CCE"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0874911C" w14:textId="77777777" w:rsidR="00000000" w:rsidRDefault="00195E73">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7AEFA5D3" w14:textId="77777777" w:rsidR="00000000" w:rsidRDefault="00195E73">
            <w:pPr>
              <w:rPr>
                <w:rFonts w:eastAsia="Times New Roman"/>
              </w:rPr>
            </w:pPr>
          </w:p>
        </w:tc>
        <w:tc>
          <w:tcPr>
            <w:tcW w:w="0" w:type="auto"/>
            <w:gridSpan w:val="3"/>
            <w:tcMar>
              <w:top w:w="30" w:type="dxa"/>
              <w:left w:w="20" w:type="dxa"/>
              <w:bottom w:w="30" w:type="dxa"/>
              <w:right w:w="20" w:type="dxa"/>
            </w:tcMar>
            <w:vAlign w:val="bottom"/>
            <w:hideMark/>
          </w:tcPr>
          <w:p w14:paraId="56B99ADE" w14:textId="77777777" w:rsidR="00000000" w:rsidRDefault="00195E73">
            <w:pPr>
              <w:jc w:val="center"/>
              <w:rPr>
                <w:rFonts w:eastAsia="Times New Roman"/>
              </w:rPr>
            </w:pPr>
            <w:r>
              <w:rPr>
                <w:rFonts w:eastAsia="Times New Roman"/>
                <w:color w:val="000000"/>
                <w:sz w:val="20"/>
                <w:szCs w:val="20"/>
              </w:rPr>
              <w:t>February 28, 202</w:t>
            </w:r>
            <w:r>
              <w:rPr>
                <w:rFonts w:eastAsia="Times New Roman"/>
                <w:color w:val="000000"/>
                <w:sz w:val="20"/>
                <w:szCs w:val="20"/>
              </w:rPr>
              <w:t>0</w:t>
            </w:r>
          </w:p>
        </w:tc>
      </w:tr>
      <w:tr w:rsidR="00000000" w14:paraId="4B375B86" w14:textId="77777777">
        <w:trPr>
          <w:divId w:val="2110731505"/>
          <w:jc w:val="center"/>
        </w:trPr>
        <w:tc>
          <w:tcPr>
            <w:tcW w:w="0" w:type="auto"/>
            <w:gridSpan w:val="3"/>
            <w:tcBorders>
              <w:top w:val="single" w:sz="8" w:space="0" w:color="000000"/>
            </w:tcBorders>
            <w:tcMar>
              <w:top w:w="30" w:type="dxa"/>
              <w:left w:w="20" w:type="dxa"/>
              <w:bottom w:w="30" w:type="dxa"/>
              <w:right w:w="20" w:type="dxa"/>
            </w:tcMar>
            <w:vAlign w:val="bottom"/>
            <w:hideMark/>
          </w:tcPr>
          <w:p w14:paraId="5A94BC7E" w14:textId="77777777" w:rsidR="00000000" w:rsidRDefault="00195E73">
            <w:pPr>
              <w:rPr>
                <w:rFonts w:eastAsia="Times New Roman"/>
              </w:rPr>
            </w:pPr>
            <w:r>
              <w:rPr>
                <w:rFonts w:eastAsia="Times New Roman"/>
                <w:color w:val="000000"/>
                <w:sz w:val="20"/>
                <w:szCs w:val="20"/>
              </w:rPr>
              <w:t>Denise Barto</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14:paraId="17100478"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5C88292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E9F10BC"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751E126" w14:textId="77777777" w:rsidR="00000000" w:rsidRDefault="00195E73">
            <w:pPr>
              <w:rPr>
                <w:rFonts w:eastAsia="Times New Roman"/>
                <w:sz w:val="20"/>
                <w:szCs w:val="20"/>
              </w:rPr>
            </w:pPr>
          </w:p>
        </w:tc>
      </w:tr>
      <w:tr w:rsidR="00000000" w14:paraId="51655748" w14:textId="77777777">
        <w:trPr>
          <w:divId w:val="2110731505"/>
          <w:trHeight w:val="300"/>
          <w:jc w:val="center"/>
        </w:trPr>
        <w:tc>
          <w:tcPr>
            <w:tcW w:w="0" w:type="auto"/>
            <w:gridSpan w:val="3"/>
            <w:tcMar>
              <w:top w:w="15" w:type="dxa"/>
              <w:left w:w="20" w:type="dxa"/>
              <w:bottom w:w="15" w:type="dxa"/>
              <w:right w:w="20" w:type="dxa"/>
            </w:tcMar>
            <w:vAlign w:val="bottom"/>
            <w:hideMark/>
          </w:tcPr>
          <w:p w14:paraId="25BF130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E49A3E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A2081E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C250165"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2B33E2F" w14:textId="77777777" w:rsidR="00000000" w:rsidRDefault="00195E73">
            <w:pPr>
              <w:rPr>
                <w:rFonts w:eastAsia="Times New Roman"/>
                <w:sz w:val="20"/>
                <w:szCs w:val="20"/>
              </w:rPr>
            </w:pPr>
          </w:p>
        </w:tc>
      </w:tr>
      <w:tr w:rsidR="00000000" w14:paraId="11EDF0A2" w14:textId="77777777">
        <w:trPr>
          <w:divId w:val="2110731505"/>
          <w:jc w:val="center"/>
        </w:trPr>
        <w:tc>
          <w:tcPr>
            <w:tcW w:w="0" w:type="auto"/>
            <w:gridSpan w:val="3"/>
            <w:tcMar>
              <w:top w:w="15" w:type="dxa"/>
              <w:left w:w="20" w:type="dxa"/>
              <w:bottom w:w="15" w:type="dxa"/>
              <w:right w:w="20" w:type="dxa"/>
            </w:tcMar>
            <w:vAlign w:val="bottom"/>
            <w:hideMark/>
          </w:tcPr>
          <w:p w14:paraId="37D24690"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18E9E140"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5F730D0B" w14:textId="77777777" w:rsidR="00000000" w:rsidRDefault="00195E73">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5BC8530F"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2F274E27" w14:textId="77777777" w:rsidR="00000000" w:rsidRDefault="00195E73">
            <w:pPr>
              <w:rPr>
                <w:rFonts w:eastAsia="Times New Roman"/>
                <w:sz w:val="20"/>
                <w:szCs w:val="20"/>
              </w:rPr>
            </w:pPr>
          </w:p>
        </w:tc>
      </w:tr>
      <w:tr w:rsidR="00000000" w14:paraId="159F9075" w14:textId="77777777">
        <w:trPr>
          <w:divId w:val="2110731505"/>
          <w:jc w:val="center"/>
        </w:trPr>
        <w:tc>
          <w:tcPr>
            <w:tcW w:w="0" w:type="auto"/>
            <w:gridSpan w:val="3"/>
            <w:tcBorders>
              <w:top w:val="single" w:sz="8" w:space="0" w:color="000000"/>
            </w:tcBorders>
            <w:tcMar>
              <w:top w:w="30" w:type="dxa"/>
              <w:left w:w="20" w:type="dxa"/>
              <w:bottom w:w="30" w:type="dxa"/>
              <w:right w:w="20" w:type="dxa"/>
            </w:tcMar>
            <w:vAlign w:val="bottom"/>
            <w:hideMark/>
          </w:tcPr>
          <w:p w14:paraId="70352EBF" w14:textId="77777777" w:rsidR="00000000" w:rsidRDefault="00195E73">
            <w:pPr>
              <w:rPr>
                <w:rFonts w:eastAsia="Times New Roman"/>
              </w:rPr>
            </w:pPr>
            <w:r>
              <w:rPr>
                <w:rFonts w:eastAsia="Times New Roman"/>
                <w:color w:val="000000"/>
                <w:sz w:val="20"/>
                <w:szCs w:val="20"/>
              </w:rPr>
              <w:t>Alvin B. Krongar</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14:paraId="434F428F"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52B93473"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61E0B14"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699BB5EF" w14:textId="77777777" w:rsidR="00000000" w:rsidRDefault="00195E73">
            <w:pPr>
              <w:rPr>
                <w:rFonts w:eastAsia="Times New Roman"/>
                <w:sz w:val="20"/>
                <w:szCs w:val="20"/>
              </w:rPr>
            </w:pPr>
          </w:p>
        </w:tc>
      </w:tr>
      <w:tr w:rsidR="00000000" w14:paraId="47FD37AF" w14:textId="77777777">
        <w:trPr>
          <w:divId w:val="2110731505"/>
          <w:trHeight w:val="300"/>
          <w:jc w:val="center"/>
        </w:trPr>
        <w:tc>
          <w:tcPr>
            <w:tcW w:w="0" w:type="auto"/>
            <w:gridSpan w:val="3"/>
            <w:tcMar>
              <w:top w:w="15" w:type="dxa"/>
              <w:left w:w="20" w:type="dxa"/>
              <w:bottom w:w="15" w:type="dxa"/>
              <w:right w:w="20" w:type="dxa"/>
            </w:tcMar>
            <w:vAlign w:val="bottom"/>
            <w:hideMark/>
          </w:tcPr>
          <w:p w14:paraId="25758AEF"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95FAFAB"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6E2F97A"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5C89ACAA"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28B1CC74" w14:textId="77777777" w:rsidR="00000000" w:rsidRDefault="00195E73">
            <w:pPr>
              <w:rPr>
                <w:rFonts w:eastAsia="Times New Roman"/>
                <w:sz w:val="20"/>
                <w:szCs w:val="20"/>
              </w:rPr>
            </w:pPr>
          </w:p>
        </w:tc>
      </w:tr>
      <w:tr w:rsidR="00000000" w14:paraId="0C840D31" w14:textId="77777777">
        <w:trPr>
          <w:divId w:val="2110731505"/>
          <w:jc w:val="center"/>
        </w:trPr>
        <w:tc>
          <w:tcPr>
            <w:tcW w:w="0" w:type="auto"/>
            <w:gridSpan w:val="3"/>
            <w:tcMar>
              <w:top w:w="15" w:type="dxa"/>
              <w:left w:w="20" w:type="dxa"/>
              <w:bottom w:w="15" w:type="dxa"/>
              <w:right w:w="20" w:type="dxa"/>
            </w:tcMar>
            <w:vAlign w:val="bottom"/>
            <w:hideMark/>
          </w:tcPr>
          <w:p w14:paraId="584E219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486BA912" w14:textId="77777777" w:rsidR="00000000" w:rsidRDefault="00195E73">
            <w:pPr>
              <w:rPr>
                <w:rFonts w:eastAsia="Times New Roman"/>
                <w:sz w:val="20"/>
                <w:szCs w:val="20"/>
              </w:rPr>
            </w:pPr>
          </w:p>
        </w:tc>
        <w:tc>
          <w:tcPr>
            <w:tcW w:w="0" w:type="auto"/>
            <w:gridSpan w:val="3"/>
            <w:tcMar>
              <w:top w:w="30" w:type="dxa"/>
              <w:left w:w="20" w:type="dxa"/>
              <w:bottom w:w="30" w:type="dxa"/>
              <w:right w:w="20" w:type="dxa"/>
            </w:tcMar>
            <w:vAlign w:val="bottom"/>
            <w:hideMark/>
          </w:tcPr>
          <w:p w14:paraId="6542041C" w14:textId="77777777" w:rsidR="00000000" w:rsidRDefault="00195E73">
            <w:pPr>
              <w:rPr>
                <w:rFonts w:eastAsia="Times New Roman"/>
              </w:rPr>
            </w:pPr>
            <w:r>
              <w:rPr>
                <w:rFonts w:eastAsia="Times New Roman"/>
                <w:color w:val="000000"/>
                <w:sz w:val="20"/>
                <w:szCs w:val="20"/>
              </w:rPr>
              <w:t>Chairman of the Boar</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14:paraId="30A48794"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32F217B3" w14:textId="77777777" w:rsidR="00000000" w:rsidRDefault="00195E73">
            <w:pPr>
              <w:rPr>
                <w:rFonts w:eastAsia="Times New Roman"/>
                <w:sz w:val="20"/>
                <w:szCs w:val="20"/>
              </w:rPr>
            </w:pPr>
          </w:p>
        </w:tc>
      </w:tr>
      <w:tr w:rsidR="00000000" w14:paraId="3A79E1C8" w14:textId="77777777">
        <w:trPr>
          <w:divId w:val="2110731505"/>
          <w:jc w:val="center"/>
        </w:trPr>
        <w:tc>
          <w:tcPr>
            <w:tcW w:w="0" w:type="auto"/>
            <w:gridSpan w:val="3"/>
            <w:tcBorders>
              <w:top w:val="single" w:sz="8" w:space="0" w:color="000000"/>
            </w:tcBorders>
            <w:tcMar>
              <w:top w:w="30" w:type="dxa"/>
              <w:left w:w="20" w:type="dxa"/>
              <w:bottom w:w="30" w:type="dxa"/>
              <w:right w:w="20" w:type="dxa"/>
            </w:tcMar>
            <w:vAlign w:val="bottom"/>
            <w:hideMark/>
          </w:tcPr>
          <w:p w14:paraId="40FAB823" w14:textId="77777777" w:rsidR="00000000" w:rsidRDefault="00195E73">
            <w:pPr>
              <w:rPr>
                <w:rFonts w:eastAsia="Times New Roman"/>
              </w:rPr>
            </w:pPr>
            <w:r>
              <w:rPr>
                <w:rFonts w:eastAsia="Times New Roman"/>
                <w:color w:val="000000"/>
                <w:sz w:val="20"/>
                <w:szCs w:val="20"/>
              </w:rPr>
              <w:t>Carl C. Icah</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14:paraId="6D76FE6A" w14:textId="77777777" w:rsidR="00000000" w:rsidRDefault="00195E73">
            <w:pPr>
              <w:rPr>
                <w:rFonts w:eastAsia="Times New Roman"/>
              </w:rPr>
            </w:pPr>
          </w:p>
        </w:tc>
        <w:tc>
          <w:tcPr>
            <w:tcW w:w="0" w:type="auto"/>
            <w:gridSpan w:val="3"/>
            <w:tcMar>
              <w:top w:w="15" w:type="dxa"/>
              <w:left w:w="20" w:type="dxa"/>
              <w:bottom w:w="15" w:type="dxa"/>
              <w:right w:w="20" w:type="dxa"/>
            </w:tcMar>
            <w:vAlign w:val="bottom"/>
            <w:hideMark/>
          </w:tcPr>
          <w:p w14:paraId="090B1156"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08A4C838" w14:textId="77777777" w:rsidR="00000000" w:rsidRDefault="00195E73">
            <w:pPr>
              <w:rPr>
                <w:rFonts w:eastAsia="Times New Roman"/>
                <w:sz w:val="20"/>
                <w:szCs w:val="20"/>
              </w:rPr>
            </w:pPr>
          </w:p>
        </w:tc>
        <w:tc>
          <w:tcPr>
            <w:tcW w:w="0" w:type="auto"/>
            <w:gridSpan w:val="3"/>
            <w:tcMar>
              <w:top w:w="15" w:type="dxa"/>
              <w:left w:w="20" w:type="dxa"/>
              <w:bottom w:w="15" w:type="dxa"/>
              <w:right w:w="20" w:type="dxa"/>
            </w:tcMar>
            <w:vAlign w:val="bottom"/>
            <w:hideMark/>
          </w:tcPr>
          <w:p w14:paraId="34A1B3C2" w14:textId="77777777" w:rsidR="00000000" w:rsidRDefault="00195E73">
            <w:pPr>
              <w:rPr>
                <w:rFonts w:eastAsia="Times New Roman"/>
                <w:sz w:val="20"/>
                <w:szCs w:val="20"/>
              </w:rPr>
            </w:pPr>
          </w:p>
        </w:tc>
      </w:tr>
    </w:tbl>
    <w:p w14:paraId="70D79A5B" w14:textId="77777777" w:rsidR="00000000" w:rsidRDefault="00195E73">
      <w:pPr>
        <w:jc w:val="center"/>
        <w:rPr>
          <w:rFonts w:eastAsia="Times New Roman"/>
        </w:rPr>
      </w:pPr>
    </w:p>
    <w:p w14:paraId="1A499A0F" w14:textId="77777777" w:rsidR="00000000" w:rsidRDefault="00195E73">
      <w:pPr>
        <w:divId w:val="554391347"/>
        <w:rPr>
          <w:rFonts w:eastAsia="Times New Roman"/>
        </w:rPr>
      </w:pPr>
    </w:p>
    <w:p w14:paraId="14A7F4D0" w14:textId="77777777" w:rsidR="00000000" w:rsidRDefault="00195E73">
      <w:pPr>
        <w:jc w:val="center"/>
        <w:divId w:val="1535388671"/>
        <w:rPr>
          <w:rFonts w:eastAsia="Times New Roman"/>
        </w:rPr>
      </w:pPr>
      <w:r>
        <w:rPr>
          <w:rFonts w:eastAsia="Times New Roman"/>
          <w:color w:val="000000"/>
          <w:sz w:val="20"/>
          <w:szCs w:val="20"/>
        </w:rPr>
        <w:t>14</w:t>
      </w:r>
      <w:r>
        <w:rPr>
          <w:rFonts w:eastAsia="Times New Roman"/>
          <w:color w:val="000000"/>
          <w:sz w:val="20"/>
          <w:szCs w:val="20"/>
        </w:rPr>
        <w:t>2</w:t>
      </w:r>
    </w:p>
    <w:p w14:paraId="0A678E5B" w14:textId="77777777" w:rsidR="00000000" w:rsidRDefault="00195E73">
      <w:pPr>
        <w:rPr>
          <w:rFonts w:eastAsia="Times New Roman"/>
        </w:rPr>
      </w:pPr>
      <w:r>
        <w:rPr>
          <w:rFonts w:eastAsia="Times New Roman"/>
        </w:rPr>
        <w:pict w14:anchorId="02F12742">
          <v:rect id="_x0000_i1168" style="width:0;height:1.5pt" o:hralign="center" o:hrstd="t" o:hr="t" fillcolor="#a0a0a0" stroked="f"/>
        </w:pict>
      </w:r>
    </w:p>
    <w:p w14:paraId="41CCF4C7" w14:textId="77777777" w:rsidR="00000000" w:rsidRDefault="00195E73">
      <w:pPr>
        <w:divId w:val="396630881"/>
        <w:rPr>
          <w:rFonts w:eastAsia="Times New Roman"/>
        </w:rPr>
      </w:pPr>
    </w:p>
    <w:p w14:paraId="6ED74737" w14:textId="77777777" w:rsidR="00000000" w:rsidRDefault="00195E73">
      <w:pPr>
        <w:jc w:val="center"/>
        <w:rPr>
          <w:rFonts w:eastAsia="Times New Roman"/>
        </w:rPr>
      </w:pPr>
      <w:r>
        <w:rPr>
          <w:rFonts w:eastAsia="Times New Roman"/>
          <w:b/>
          <w:bCs/>
          <w:color w:val="000000"/>
          <w:sz w:val="20"/>
          <w:szCs w:val="20"/>
        </w:rPr>
        <w:t>EXHIBIT INDE</w:t>
      </w:r>
      <w:r>
        <w:rPr>
          <w:rFonts w:eastAsia="Times New Roman"/>
          <w:b/>
          <w:bCs/>
          <w:color w:val="000000"/>
          <w:sz w:val="20"/>
          <w:szCs w:val="20"/>
        </w:rPr>
        <w:t>X</w:t>
      </w:r>
    </w:p>
    <w:p w14:paraId="53D3E96A" w14:textId="77777777" w:rsidR="00000000" w:rsidRDefault="00195E73">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73"/>
        <w:gridCol w:w="710"/>
        <w:gridCol w:w="85"/>
        <w:gridCol w:w="36"/>
        <w:gridCol w:w="36"/>
        <w:gridCol w:w="36"/>
        <w:gridCol w:w="70"/>
        <w:gridCol w:w="7173"/>
        <w:gridCol w:w="74"/>
      </w:tblGrid>
      <w:tr w:rsidR="00000000" w14:paraId="4DA96E22" w14:textId="77777777">
        <w:trPr>
          <w:divId w:val="2092043122"/>
          <w:jc w:val="center"/>
        </w:trPr>
        <w:tc>
          <w:tcPr>
            <w:tcW w:w="50" w:type="pct"/>
            <w:vAlign w:val="center"/>
            <w:hideMark/>
          </w:tcPr>
          <w:p w14:paraId="03AE58A9" w14:textId="77777777" w:rsidR="00000000" w:rsidRDefault="00195E73">
            <w:pPr>
              <w:jc w:val="center"/>
              <w:rPr>
                <w:rFonts w:eastAsia="Times New Roman"/>
              </w:rPr>
            </w:pPr>
          </w:p>
        </w:tc>
        <w:tc>
          <w:tcPr>
            <w:tcW w:w="434" w:type="pct"/>
            <w:vAlign w:val="center"/>
            <w:hideMark/>
          </w:tcPr>
          <w:p w14:paraId="528BF401" w14:textId="77777777" w:rsidR="00000000" w:rsidRDefault="00195E73">
            <w:pPr>
              <w:rPr>
                <w:rFonts w:eastAsia="Times New Roman"/>
                <w:sz w:val="20"/>
                <w:szCs w:val="20"/>
              </w:rPr>
            </w:pPr>
          </w:p>
        </w:tc>
        <w:tc>
          <w:tcPr>
            <w:tcW w:w="50" w:type="pct"/>
            <w:vAlign w:val="center"/>
            <w:hideMark/>
          </w:tcPr>
          <w:p w14:paraId="5E1CB56F" w14:textId="77777777" w:rsidR="00000000" w:rsidRDefault="00195E73">
            <w:pPr>
              <w:rPr>
                <w:rFonts w:eastAsia="Times New Roman"/>
                <w:sz w:val="20"/>
                <w:szCs w:val="20"/>
              </w:rPr>
            </w:pPr>
          </w:p>
        </w:tc>
        <w:tc>
          <w:tcPr>
            <w:tcW w:w="5" w:type="pct"/>
            <w:vAlign w:val="center"/>
            <w:hideMark/>
          </w:tcPr>
          <w:p w14:paraId="0E6952D2" w14:textId="77777777" w:rsidR="00000000" w:rsidRDefault="00195E73">
            <w:pPr>
              <w:rPr>
                <w:rFonts w:eastAsia="Times New Roman"/>
                <w:sz w:val="20"/>
                <w:szCs w:val="20"/>
              </w:rPr>
            </w:pPr>
          </w:p>
        </w:tc>
        <w:tc>
          <w:tcPr>
            <w:tcW w:w="26" w:type="pct"/>
            <w:vAlign w:val="center"/>
            <w:hideMark/>
          </w:tcPr>
          <w:p w14:paraId="799B008D" w14:textId="77777777" w:rsidR="00000000" w:rsidRDefault="00195E73">
            <w:pPr>
              <w:rPr>
                <w:rFonts w:eastAsia="Times New Roman"/>
                <w:sz w:val="20"/>
                <w:szCs w:val="20"/>
              </w:rPr>
            </w:pPr>
          </w:p>
        </w:tc>
        <w:tc>
          <w:tcPr>
            <w:tcW w:w="5" w:type="pct"/>
            <w:vAlign w:val="center"/>
            <w:hideMark/>
          </w:tcPr>
          <w:p w14:paraId="4A711F40" w14:textId="77777777" w:rsidR="00000000" w:rsidRDefault="00195E73">
            <w:pPr>
              <w:rPr>
                <w:rFonts w:eastAsia="Times New Roman"/>
                <w:sz w:val="20"/>
                <w:szCs w:val="20"/>
              </w:rPr>
            </w:pPr>
          </w:p>
        </w:tc>
        <w:tc>
          <w:tcPr>
            <w:tcW w:w="50" w:type="pct"/>
            <w:vAlign w:val="center"/>
            <w:hideMark/>
          </w:tcPr>
          <w:p w14:paraId="70C8C82B" w14:textId="77777777" w:rsidR="00000000" w:rsidRDefault="00195E73">
            <w:pPr>
              <w:rPr>
                <w:rFonts w:eastAsia="Times New Roman"/>
                <w:sz w:val="20"/>
                <w:szCs w:val="20"/>
              </w:rPr>
            </w:pPr>
          </w:p>
        </w:tc>
        <w:tc>
          <w:tcPr>
            <w:tcW w:w="4329" w:type="pct"/>
            <w:vAlign w:val="center"/>
            <w:hideMark/>
          </w:tcPr>
          <w:p w14:paraId="61B4055E" w14:textId="77777777" w:rsidR="00000000" w:rsidRDefault="00195E73">
            <w:pPr>
              <w:rPr>
                <w:rFonts w:eastAsia="Times New Roman"/>
                <w:sz w:val="20"/>
                <w:szCs w:val="20"/>
              </w:rPr>
            </w:pPr>
          </w:p>
        </w:tc>
        <w:tc>
          <w:tcPr>
            <w:tcW w:w="50" w:type="pct"/>
            <w:vAlign w:val="center"/>
            <w:hideMark/>
          </w:tcPr>
          <w:p w14:paraId="523EC8C7" w14:textId="77777777" w:rsidR="00000000" w:rsidRDefault="00195E73">
            <w:pPr>
              <w:rPr>
                <w:rFonts w:eastAsia="Times New Roman"/>
                <w:sz w:val="20"/>
                <w:szCs w:val="20"/>
              </w:rPr>
            </w:pPr>
          </w:p>
        </w:tc>
      </w:tr>
      <w:tr w:rsidR="00000000" w14:paraId="69AF997F" w14:textId="77777777">
        <w:trPr>
          <w:divId w:val="2092043122"/>
          <w:jc w:val="center"/>
        </w:trPr>
        <w:tc>
          <w:tcPr>
            <w:tcW w:w="0" w:type="auto"/>
            <w:gridSpan w:val="3"/>
            <w:tcMar>
              <w:top w:w="30" w:type="dxa"/>
              <w:left w:w="20" w:type="dxa"/>
              <w:bottom w:w="30" w:type="dxa"/>
              <w:right w:w="20" w:type="dxa"/>
            </w:tcMar>
            <w:vAlign w:val="bottom"/>
            <w:hideMark/>
          </w:tcPr>
          <w:p w14:paraId="77F2E125" w14:textId="77777777" w:rsidR="00000000" w:rsidRDefault="00195E73">
            <w:pPr>
              <w:jc w:val="center"/>
              <w:rPr>
                <w:rFonts w:eastAsia="Times New Roman"/>
              </w:rPr>
            </w:pPr>
            <w:r>
              <w:rPr>
                <w:rFonts w:eastAsia="Times New Roman"/>
                <w:b/>
                <w:bCs/>
                <w:color w:val="000000"/>
                <w:sz w:val="20"/>
                <w:szCs w:val="20"/>
              </w:rPr>
              <w:t>Exhibit No</w:t>
            </w:r>
            <w:r>
              <w:rPr>
                <w:rFonts w:eastAsia="Times New Roman"/>
                <w:b/>
                <w:bCs/>
                <w:color w:val="000000"/>
                <w:sz w:val="20"/>
                <w:szCs w:val="20"/>
              </w:rPr>
              <w:t>.</w:t>
            </w:r>
          </w:p>
        </w:tc>
        <w:tc>
          <w:tcPr>
            <w:tcW w:w="0" w:type="auto"/>
            <w:gridSpan w:val="3"/>
            <w:tcMar>
              <w:top w:w="30" w:type="dxa"/>
              <w:left w:w="20" w:type="dxa"/>
              <w:bottom w:w="30" w:type="dxa"/>
              <w:right w:w="20" w:type="dxa"/>
            </w:tcMar>
            <w:vAlign w:val="bottom"/>
            <w:hideMark/>
          </w:tcPr>
          <w:p w14:paraId="3BB43DA1"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CAD26A1" w14:textId="77777777" w:rsidR="00000000" w:rsidRDefault="00195E73">
            <w:pPr>
              <w:jc w:val="center"/>
              <w:rPr>
                <w:rFonts w:eastAsia="Times New Roman"/>
              </w:rPr>
            </w:pPr>
            <w:r>
              <w:rPr>
                <w:rFonts w:eastAsia="Times New Roman"/>
                <w:b/>
                <w:bCs/>
                <w:color w:val="000000"/>
                <w:sz w:val="20"/>
                <w:szCs w:val="20"/>
              </w:rPr>
              <w:t>Descriptio</w:t>
            </w:r>
            <w:r>
              <w:rPr>
                <w:rFonts w:eastAsia="Times New Roman"/>
                <w:b/>
                <w:bCs/>
                <w:color w:val="000000"/>
                <w:sz w:val="20"/>
                <w:szCs w:val="20"/>
              </w:rPr>
              <w:t>n</w:t>
            </w:r>
          </w:p>
        </w:tc>
      </w:tr>
      <w:tr w:rsidR="00000000" w14:paraId="07A7A21F" w14:textId="77777777">
        <w:trPr>
          <w:divId w:val="2092043122"/>
          <w:jc w:val="center"/>
        </w:trPr>
        <w:tc>
          <w:tcPr>
            <w:tcW w:w="0" w:type="auto"/>
            <w:gridSpan w:val="2"/>
            <w:tcBorders>
              <w:top w:val="single" w:sz="8" w:space="0" w:color="000000"/>
            </w:tcBorders>
            <w:tcMar>
              <w:top w:w="30" w:type="dxa"/>
              <w:left w:w="20" w:type="dxa"/>
              <w:bottom w:w="30" w:type="dxa"/>
              <w:right w:w="0" w:type="dxa"/>
            </w:tcMar>
            <w:hideMark/>
          </w:tcPr>
          <w:p w14:paraId="10A08105" w14:textId="77777777" w:rsidR="00000000" w:rsidRDefault="00195E73">
            <w:pPr>
              <w:jc w:val="center"/>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hideMark/>
          </w:tcPr>
          <w:p w14:paraId="78825529"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3B09F683" w14:textId="77777777" w:rsidR="00000000" w:rsidRDefault="00195E73">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0842D9BB" w14:textId="77777777" w:rsidR="00000000" w:rsidRDefault="00195E73">
            <w:pPr>
              <w:divId w:val="965239007"/>
              <w:rPr>
                <w:rFonts w:eastAsia="Times New Roman"/>
              </w:rPr>
            </w:pPr>
            <w:hyperlink r:id="rId4" w:history="1">
              <w:r>
                <w:rPr>
                  <w:rStyle w:val="a3"/>
                  <w:rFonts w:eastAsia="Times New Roman"/>
                  <w:sz w:val="20"/>
                  <w:szCs w:val="20"/>
                </w:rPr>
                <w:t xml:space="preserve">Agreement and Plan of Merger, dated as of September 6, 2016, by and among Federal Mogul Holdings Corporation, American Entertainment Properties Corp. and </w:t>
              </w:r>
              <w:r>
                <w:rPr>
                  <w:rStyle w:val="a3"/>
                  <w:rFonts w:eastAsia="Times New Roman"/>
                  <w:sz w:val="20"/>
                  <w:szCs w:val="20"/>
                </w:rPr>
                <w:t>IEH FM Holdings LLC (incorporated by reference to Exhibit 2.1 to Icahn Enterprises' Form 8-K (SEC File No. 1-9516), filed on September 7, 2016).</w:t>
              </w:r>
            </w:hyperlink>
          </w:p>
        </w:tc>
      </w:tr>
      <w:tr w:rsidR="00000000" w14:paraId="557CA49B" w14:textId="77777777">
        <w:trPr>
          <w:divId w:val="2092043122"/>
          <w:jc w:val="center"/>
        </w:trPr>
        <w:tc>
          <w:tcPr>
            <w:tcW w:w="0" w:type="auto"/>
            <w:gridSpan w:val="2"/>
            <w:tcMar>
              <w:top w:w="30" w:type="dxa"/>
              <w:left w:w="20" w:type="dxa"/>
              <w:bottom w:w="30" w:type="dxa"/>
              <w:right w:w="0" w:type="dxa"/>
            </w:tcMar>
            <w:hideMark/>
          </w:tcPr>
          <w:p w14:paraId="450321CE" w14:textId="77777777" w:rsidR="00000000" w:rsidRDefault="00195E73">
            <w:pPr>
              <w:jc w:val="center"/>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tcMar>
              <w:top w:w="30" w:type="dxa"/>
              <w:left w:w="15" w:type="dxa"/>
              <w:bottom w:w="30" w:type="dxa"/>
              <w:right w:w="20" w:type="dxa"/>
            </w:tcMar>
            <w:hideMark/>
          </w:tcPr>
          <w:p w14:paraId="2434AB90"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3A670FB"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73491377" w14:textId="77777777" w:rsidR="00000000" w:rsidRDefault="00195E73">
            <w:pPr>
              <w:divId w:val="2116632665"/>
              <w:rPr>
                <w:rFonts w:eastAsia="Times New Roman"/>
              </w:rPr>
            </w:pPr>
            <w:hyperlink r:id="rId5" w:history="1">
              <w:r>
                <w:rPr>
                  <w:rStyle w:val="a3"/>
                  <w:rFonts w:eastAsia="Times New Roman"/>
                  <w:sz w:val="20"/>
                  <w:szCs w:val="20"/>
                </w:rPr>
                <w:t>Equity Asset and Purchase Agreement, dated as of December 16, 2016, by and among American Railcar Leasing LLC, American Entertainment Properties Corp., AEP R</w:t>
              </w:r>
              <w:r>
                <w:rPr>
                  <w:rStyle w:val="a3"/>
                  <w:rFonts w:eastAsia="Times New Roman"/>
                  <w:sz w:val="20"/>
                  <w:szCs w:val="20"/>
                </w:rPr>
                <w:t>ail Corp., SMBC Rail Services LLC and Sumitomo Mitsui Banking Corporation (incorporated by reference to Exhibit 2.1 to Icahn Enterprises' and Icahn Enterprises Holdings' joint Form 8-K (SEC File Nos. 1-9516 and 333-118021-01, respectively), filed on Decemb</w:t>
              </w:r>
              <w:r>
                <w:rPr>
                  <w:rStyle w:val="a3"/>
                  <w:rFonts w:eastAsia="Times New Roman"/>
                  <w:sz w:val="20"/>
                  <w:szCs w:val="20"/>
                </w:rPr>
                <w:t>er 19, 2016).</w:t>
              </w:r>
            </w:hyperlink>
          </w:p>
        </w:tc>
      </w:tr>
      <w:tr w:rsidR="00000000" w14:paraId="7643A6E2" w14:textId="77777777">
        <w:trPr>
          <w:divId w:val="2092043122"/>
          <w:jc w:val="center"/>
        </w:trPr>
        <w:tc>
          <w:tcPr>
            <w:tcW w:w="0" w:type="auto"/>
            <w:gridSpan w:val="2"/>
            <w:tcMar>
              <w:top w:w="30" w:type="dxa"/>
              <w:left w:w="20" w:type="dxa"/>
              <w:bottom w:w="30" w:type="dxa"/>
              <w:right w:w="0" w:type="dxa"/>
            </w:tcMar>
            <w:hideMark/>
          </w:tcPr>
          <w:p w14:paraId="29C3A933" w14:textId="77777777" w:rsidR="00000000" w:rsidRDefault="00195E73">
            <w:pPr>
              <w:jc w:val="center"/>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tcMar>
              <w:top w:w="30" w:type="dxa"/>
              <w:left w:w="15" w:type="dxa"/>
              <w:bottom w:w="30" w:type="dxa"/>
              <w:right w:w="20" w:type="dxa"/>
            </w:tcMar>
            <w:hideMark/>
          </w:tcPr>
          <w:p w14:paraId="523EC9AA"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DCB6B2E"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0FDB972F" w14:textId="77777777" w:rsidR="00000000" w:rsidRDefault="00195E73">
            <w:pPr>
              <w:divId w:val="551890370"/>
              <w:rPr>
                <w:rFonts w:eastAsia="Times New Roman"/>
              </w:rPr>
            </w:pPr>
            <w:hyperlink r:id="rId6" w:history="1">
              <w:r>
                <w:rPr>
                  <w:rStyle w:val="a3"/>
                  <w:rFonts w:eastAsia="Times New Roman"/>
                  <w:sz w:val="20"/>
                  <w:szCs w:val="20"/>
                </w:rPr>
                <w:t>Membership Interest Purchase Agreement, dated April 10, 2018, by and among Tenneco Inc., Federal-Mogul LLC, American Entertainment</w:t>
              </w:r>
              <w:r>
                <w:rPr>
                  <w:rStyle w:val="a3"/>
                  <w:rFonts w:eastAsia="Times New Roman"/>
                  <w:sz w:val="20"/>
                  <w:szCs w:val="20"/>
                </w:rPr>
                <w:t xml:space="preserve"> Properties Corp., and Icahn Enterprises L.P. (incorporated by reference to Exhibit 2.1 to Icahn Enterprises' and Icahn Enterprises Holdings' joint Form 8-K (SEC File Nos. 1-9516 and 333-118021-01, respectively) file April 10, 2018).</w:t>
              </w:r>
            </w:hyperlink>
          </w:p>
        </w:tc>
      </w:tr>
      <w:tr w:rsidR="00000000" w14:paraId="00A52DF7" w14:textId="77777777">
        <w:trPr>
          <w:divId w:val="2092043122"/>
          <w:jc w:val="center"/>
        </w:trPr>
        <w:tc>
          <w:tcPr>
            <w:tcW w:w="0" w:type="auto"/>
            <w:gridSpan w:val="2"/>
            <w:tcMar>
              <w:top w:w="30" w:type="dxa"/>
              <w:left w:w="20" w:type="dxa"/>
              <w:bottom w:w="30" w:type="dxa"/>
              <w:right w:w="0" w:type="dxa"/>
            </w:tcMar>
            <w:hideMark/>
          </w:tcPr>
          <w:p w14:paraId="1C6630E1" w14:textId="77777777" w:rsidR="00000000" w:rsidRDefault="00195E73">
            <w:pPr>
              <w:jc w:val="center"/>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tcMar>
              <w:top w:w="30" w:type="dxa"/>
              <w:left w:w="15" w:type="dxa"/>
              <w:bottom w:w="30" w:type="dxa"/>
              <w:right w:w="20" w:type="dxa"/>
            </w:tcMar>
            <w:hideMark/>
          </w:tcPr>
          <w:p w14:paraId="176DD61F"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6BBC2772"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2C42257E" w14:textId="77777777" w:rsidR="00000000" w:rsidRDefault="00195E73">
            <w:pPr>
              <w:divId w:val="1955281454"/>
              <w:rPr>
                <w:rFonts w:eastAsia="Times New Roman"/>
              </w:rPr>
            </w:pPr>
            <w:hyperlink r:id="rId7" w:history="1">
              <w:r>
                <w:rPr>
                  <w:rStyle w:val="a3"/>
                  <w:rFonts w:eastAsia="Times New Roman"/>
                  <w:sz w:val="20"/>
                  <w:szCs w:val="20"/>
                </w:rPr>
                <w:t>Agreement and Plan of Merger, dated April 15, 2018, by and among Eldorado Resorts, Inc., Delta Merger Sub, Inc., GLP Capital, L.P. and Tropicana Entertain</w:t>
              </w:r>
              <w:r>
                <w:rPr>
                  <w:rStyle w:val="a3"/>
                  <w:rFonts w:eastAsia="Times New Roman"/>
                  <w:sz w:val="20"/>
                  <w:szCs w:val="20"/>
                </w:rPr>
                <w:t>ment Inc. (incorporated by reference to Exhibit 2.1 to Icahn Enterprises' and Icahn Enterprises Holdings' joint Form 8-K (SEC File Nos. 1-9516 and 333-118021-01, respectively) file April 16, 2018).</w:t>
              </w:r>
            </w:hyperlink>
          </w:p>
        </w:tc>
      </w:tr>
      <w:tr w:rsidR="00000000" w14:paraId="72058BF0" w14:textId="77777777">
        <w:trPr>
          <w:divId w:val="2092043122"/>
          <w:jc w:val="center"/>
        </w:trPr>
        <w:tc>
          <w:tcPr>
            <w:tcW w:w="0" w:type="auto"/>
            <w:gridSpan w:val="2"/>
            <w:tcMar>
              <w:top w:w="30" w:type="dxa"/>
              <w:left w:w="20" w:type="dxa"/>
              <w:bottom w:w="30" w:type="dxa"/>
              <w:right w:w="0" w:type="dxa"/>
            </w:tcMar>
            <w:hideMark/>
          </w:tcPr>
          <w:p w14:paraId="5BE11261" w14:textId="77777777" w:rsidR="00000000" w:rsidRDefault="00195E73">
            <w:pPr>
              <w:jc w:val="center"/>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tcMar>
              <w:top w:w="30" w:type="dxa"/>
              <w:left w:w="15" w:type="dxa"/>
              <w:bottom w:w="30" w:type="dxa"/>
              <w:right w:w="20" w:type="dxa"/>
            </w:tcMar>
            <w:hideMark/>
          </w:tcPr>
          <w:p w14:paraId="648AEF2D"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10671C8"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2F47D6BB" w14:textId="77777777" w:rsidR="00000000" w:rsidRDefault="00195E73">
            <w:pPr>
              <w:divId w:val="366953029"/>
              <w:rPr>
                <w:rFonts w:eastAsia="Times New Roman"/>
              </w:rPr>
            </w:pPr>
            <w:hyperlink r:id="rId8" w:history="1">
              <w:r>
                <w:rPr>
                  <w:rStyle w:val="a3"/>
                  <w:rFonts w:eastAsia="Times New Roman"/>
                  <w:sz w:val="20"/>
                  <w:szCs w:val="20"/>
                </w:rPr>
                <w:t>Agreement and Plan of Merger, dated as of October 22, 2018, by and between STL Parent Corp. and American Railcar Industries, Inc. (incorporated by reference to Exhibit 2.1 to Icahn Enterprises' and I</w:t>
              </w:r>
              <w:r>
                <w:rPr>
                  <w:rStyle w:val="a3"/>
                  <w:rFonts w:eastAsia="Times New Roman"/>
                  <w:sz w:val="20"/>
                  <w:szCs w:val="20"/>
                </w:rPr>
                <w:t>cahn Enterprises Holdings' joint Form 8-K (SEC File Nos. 1-9516 and 333-118021-01, respectively) file October 22, 2018).</w:t>
              </w:r>
            </w:hyperlink>
          </w:p>
        </w:tc>
      </w:tr>
      <w:tr w:rsidR="00000000" w14:paraId="3FEE3994" w14:textId="77777777">
        <w:trPr>
          <w:divId w:val="2092043122"/>
          <w:jc w:val="center"/>
        </w:trPr>
        <w:tc>
          <w:tcPr>
            <w:tcW w:w="0" w:type="auto"/>
            <w:gridSpan w:val="2"/>
            <w:tcMar>
              <w:top w:w="30" w:type="dxa"/>
              <w:left w:w="20" w:type="dxa"/>
              <w:bottom w:w="30" w:type="dxa"/>
              <w:right w:w="0" w:type="dxa"/>
            </w:tcMar>
            <w:hideMark/>
          </w:tcPr>
          <w:p w14:paraId="59D66561" w14:textId="77777777" w:rsidR="00000000" w:rsidRDefault="00195E73">
            <w:pPr>
              <w:jc w:val="center"/>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tcMar>
              <w:top w:w="30" w:type="dxa"/>
              <w:left w:w="15" w:type="dxa"/>
              <w:bottom w:w="30" w:type="dxa"/>
              <w:right w:w="20" w:type="dxa"/>
            </w:tcMar>
            <w:hideMark/>
          </w:tcPr>
          <w:p w14:paraId="10FC295C"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4CB7036"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B9C8D86" w14:textId="77777777" w:rsidR="00000000" w:rsidRDefault="00195E73">
            <w:pPr>
              <w:divId w:val="1905093933"/>
              <w:rPr>
                <w:rFonts w:eastAsia="Times New Roman"/>
              </w:rPr>
            </w:pPr>
            <w:hyperlink r:id="rId9" w:history="1">
              <w:r>
                <w:rPr>
                  <w:rStyle w:val="a3"/>
                  <w:rFonts w:eastAsia="Times New Roman"/>
                  <w:sz w:val="20"/>
                  <w:szCs w:val="20"/>
                </w:rPr>
                <w:t>Certificate of Limited Partnership of Icahn Enterprises L.P., f/k/a American Real Estate Partners, L.P. (“Icahn Enterprises”) dated February 17, 1987, as the</w:t>
              </w:r>
              <w:r>
                <w:rPr>
                  <w:rStyle w:val="a3"/>
                  <w:rFonts w:eastAsia="Times New Roman"/>
                  <w:sz w:val="20"/>
                  <w:szCs w:val="20"/>
                </w:rPr>
                <w:t>reafter amended from time to time (incorporated by reference to Exhibit 3.1 to Icahn Enterprises' Form 8-K (SEC File No. 1-9516), filed on September 20, 2007).</w:t>
              </w:r>
            </w:hyperlink>
          </w:p>
        </w:tc>
      </w:tr>
      <w:tr w:rsidR="00000000" w14:paraId="3B873396" w14:textId="77777777">
        <w:trPr>
          <w:divId w:val="2092043122"/>
          <w:jc w:val="center"/>
        </w:trPr>
        <w:tc>
          <w:tcPr>
            <w:tcW w:w="0" w:type="auto"/>
            <w:gridSpan w:val="2"/>
            <w:tcMar>
              <w:top w:w="30" w:type="dxa"/>
              <w:left w:w="20" w:type="dxa"/>
              <w:bottom w:w="30" w:type="dxa"/>
              <w:right w:w="0" w:type="dxa"/>
            </w:tcMar>
            <w:hideMark/>
          </w:tcPr>
          <w:p w14:paraId="3123ABD2" w14:textId="77777777" w:rsidR="00000000" w:rsidRDefault="00195E73">
            <w:pPr>
              <w:jc w:val="center"/>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tcMar>
              <w:top w:w="30" w:type="dxa"/>
              <w:left w:w="15" w:type="dxa"/>
              <w:bottom w:w="30" w:type="dxa"/>
              <w:right w:w="20" w:type="dxa"/>
            </w:tcMar>
            <w:hideMark/>
          </w:tcPr>
          <w:p w14:paraId="408374F3"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E2A6A11"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C33D536" w14:textId="77777777" w:rsidR="00000000" w:rsidRDefault="00195E73">
            <w:pPr>
              <w:divId w:val="21590030"/>
              <w:rPr>
                <w:rFonts w:eastAsia="Times New Roman"/>
              </w:rPr>
            </w:pPr>
            <w:hyperlink r:id="rId10" w:history="1">
              <w:r>
                <w:rPr>
                  <w:rStyle w:val="a3"/>
                  <w:rFonts w:eastAsia="Times New Roman"/>
                  <w:sz w:val="20"/>
                  <w:szCs w:val="20"/>
                </w:rPr>
                <w:t>Certificate of Limited Partnership of Icahn Enterprises Holdings L.P., f/k/a American Real Estate Holdings Limited Partnership (“Icahn Enterprises Holdings”)</w:t>
              </w:r>
              <w:r>
                <w:rPr>
                  <w:rStyle w:val="a3"/>
                  <w:rFonts w:eastAsia="Times New Roman"/>
                  <w:sz w:val="20"/>
                  <w:szCs w:val="20"/>
                </w:rPr>
                <w:t>, dated February 17, 1987, as amended pursuant to the First Amendment thereto, dated March 10, 1987 (incorporated by reference to Exhibit 3.5 to Icahn Enterprises' Form 10-Q for the quarter ended March 31, 2004 (SEC File No. 1-9516), filed on May 10, 2004,</w:t>
              </w:r>
              <w:r>
                <w:rPr>
                  <w:rStyle w:val="a3"/>
                  <w:rFonts w:eastAsia="Times New Roman"/>
                  <w:sz w:val="20"/>
                  <w:szCs w:val="20"/>
                </w:rPr>
                <w:t xml:space="preserve"> as further amended pursuant to the Certificate of Amendment thereto, dated September 17, 2007 (incorporated by reference to Exhibit 3.9 to Icahn Enterprises' Form 10-K for the year ended December 31, 2007 (SEC File No. 1-9516), filed on March 17, 2008).</w:t>
              </w:r>
            </w:hyperlink>
          </w:p>
        </w:tc>
      </w:tr>
      <w:tr w:rsidR="00000000" w14:paraId="162389DF" w14:textId="77777777">
        <w:trPr>
          <w:divId w:val="2092043122"/>
          <w:jc w:val="center"/>
        </w:trPr>
        <w:tc>
          <w:tcPr>
            <w:tcW w:w="0" w:type="auto"/>
            <w:gridSpan w:val="2"/>
            <w:tcMar>
              <w:top w:w="30" w:type="dxa"/>
              <w:left w:w="20" w:type="dxa"/>
              <w:bottom w:w="30" w:type="dxa"/>
              <w:right w:w="0" w:type="dxa"/>
            </w:tcMar>
            <w:hideMark/>
          </w:tcPr>
          <w:p w14:paraId="4CD2D975" w14:textId="77777777" w:rsidR="00000000" w:rsidRDefault="00195E73">
            <w:pPr>
              <w:jc w:val="center"/>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tcMar>
              <w:top w:w="30" w:type="dxa"/>
              <w:left w:w="15" w:type="dxa"/>
              <w:bottom w:w="30" w:type="dxa"/>
              <w:right w:w="20" w:type="dxa"/>
            </w:tcMar>
            <w:hideMark/>
          </w:tcPr>
          <w:p w14:paraId="4FED40C9"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5BDB2C58"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02411732" w14:textId="77777777" w:rsidR="00000000" w:rsidRDefault="00195E73">
            <w:pPr>
              <w:divId w:val="2007049645"/>
              <w:rPr>
                <w:rFonts w:eastAsia="Times New Roman"/>
              </w:rPr>
            </w:pPr>
            <w:hyperlink r:id="rId11" w:history="1">
              <w:r>
                <w:rPr>
                  <w:rStyle w:val="a3"/>
                  <w:rFonts w:eastAsia="Times New Roman"/>
                  <w:sz w:val="20"/>
                  <w:szCs w:val="20"/>
                </w:rPr>
                <w:t>Second Amended and Restated Agreement of Limited Partnership of Icahn Enterprises L.P., dated August 2, 2016 (incorporated by refer</w:t>
              </w:r>
              <w:r>
                <w:rPr>
                  <w:rStyle w:val="a3"/>
                  <w:rFonts w:eastAsia="Times New Roman"/>
                  <w:sz w:val="20"/>
                  <w:szCs w:val="20"/>
                </w:rPr>
                <w:t>ence to Exhibit 3.1 to Icahn Enterprises' and Icahn Enterprises Holdings' joint Form 10-Q for the quarterly period ended June 30, 2016 (SEC File Nos. 1-9516 and 333-118021-01, respectively), filed on August 4, 2016).</w:t>
              </w:r>
            </w:hyperlink>
          </w:p>
        </w:tc>
      </w:tr>
      <w:tr w:rsidR="00000000" w14:paraId="1F088570" w14:textId="77777777">
        <w:trPr>
          <w:divId w:val="2092043122"/>
          <w:jc w:val="center"/>
        </w:trPr>
        <w:tc>
          <w:tcPr>
            <w:tcW w:w="0" w:type="auto"/>
            <w:gridSpan w:val="2"/>
            <w:tcMar>
              <w:top w:w="30" w:type="dxa"/>
              <w:left w:w="20" w:type="dxa"/>
              <w:bottom w:w="30" w:type="dxa"/>
              <w:right w:w="0" w:type="dxa"/>
            </w:tcMar>
            <w:hideMark/>
          </w:tcPr>
          <w:p w14:paraId="6C6CE609" w14:textId="77777777" w:rsidR="00000000" w:rsidRDefault="00195E73">
            <w:pPr>
              <w:jc w:val="center"/>
              <w:rPr>
                <w:rFonts w:eastAsia="Times New Roman"/>
              </w:rPr>
            </w:pPr>
            <w:r>
              <w:rPr>
                <w:rFonts w:eastAsia="Times New Roman"/>
                <w:color w:val="000000"/>
                <w:sz w:val="20"/>
                <w:szCs w:val="20"/>
              </w:rPr>
              <w:t>3.4</w:t>
            </w:r>
            <w:r>
              <w:rPr>
                <w:rFonts w:eastAsia="Times New Roman"/>
                <w:color w:val="000000"/>
                <w:sz w:val="20"/>
                <w:szCs w:val="20"/>
              </w:rPr>
              <w:t> </w:t>
            </w:r>
          </w:p>
        </w:tc>
        <w:tc>
          <w:tcPr>
            <w:tcW w:w="0" w:type="auto"/>
            <w:tcMar>
              <w:top w:w="30" w:type="dxa"/>
              <w:left w:w="15" w:type="dxa"/>
              <w:bottom w:w="30" w:type="dxa"/>
              <w:right w:w="20" w:type="dxa"/>
            </w:tcMar>
            <w:hideMark/>
          </w:tcPr>
          <w:p w14:paraId="28C1D6B1"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F55FBAD"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10A4D83E" w14:textId="77777777" w:rsidR="00000000" w:rsidRDefault="00195E73">
            <w:pPr>
              <w:divId w:val="1993288007"/>
              <w:rPr>
                <w:rFonts w:eastAsia="Times New Roman"/>
              </w:rPr>
            </w:pPr>
            <w:hyperlink r:id="rId12" w:history="1">
              <w:r>
                <w:rPr>
                  <w:rStyle w:val="a3"/>
                  <w:rFonts w:eastAsia="Times New Roman"/>
                  <w:sz w:val="20"/>
                  <w:szCs w:val="20"/>
                </w:rPr>
                <w:t>Amended and Restated Agreement of Limited Partnership of Icahn Enterprises Holdings, dated as of July 1, 1987 (incorporated by reference to Exhibit 3.5 to Ica</w:t>
              </w:r>
              <w:r>
                <w:rPr>
                  <w:rStyle w:val="a3"/>
                  <w:rFonts w:eastAsia="Times New Roman"/>
                  <w:sz w:val="20"/>
                  <w:szCs w:val="20"/>
                </w:rPr>
                <w:t>hn Enterprises' Form 10-Q for the quarter ended March 31, 2004 (SEC File No. 1-9516), filed on May 10, 2004).</w:t>
              </w:r>
            </w:hyperlink>
          </w:p>
        </w:tc>
      </w:tr>
      <w:tr w:rsidR="00000000" w14:paraId="452309CE" w14:textId="77777777">
        <w:trPr>
          <w:divId w:val="2092043122"/>
          <w:jc w:val="center"/>
        </w:trPr>
        <w:tc>
          <w:tcPr>
            <w:tcW w:w="0" w:type="auto"/>
            <w:gridSpan w:val="2"/>
            <w:tcMar>
              <w:top w:w="30" w:type="dxa"/>
              <w:left w:w="20" w:type="dxa"/>
              <w:bottom w:w="30" w:type="dxa"/>
              <w:right w:w="0" w:type="dxa"/>
            </w:tcMar>
            <w:hideMark/>
          </w:tcPr>
          <w:p w14:paraId="24F3D508" w14:textId="77777777" w:rsidR="00000000" w:rsidRDefault="00195E73">
            <w:pPr>
              <w:jc w:val="center"/>
              <w:rPr>
                <w:rFonts w:eastAsia="Times New Roman"/>
              </w:rPr>
            </w:pPr>
            <w:r>
              <w:rPr>
                <w:rFonts w:eastAsia="Times New Roman"/>
                <w:color w:val="000000"/>
                <w:sz w:val="20"/>
                <w:szCs w:val="20"/>
              </w:rPr>
              <w:t>3.5</w:t>
            </w:r>
            <w:r>
              <w:rPr>
                <w:rFonts w:eastAsia="Times New Roman"/>
                <w:color w:val="000000"/>
                <w:sz w:val="20"/>
                <w:szCs w:val="20"/>
              </w:rPr>
              <w:t> </w:t>
            </w:r>
          </w:p>
        </w:tc>
        <w:tc>
          <w:tcPr>
            <w:tcW w:w="0" w:type="auto"/>
            <w:tcMar>
              <w:top w:w="30" w:type="dxa"/>
              <w:left w:w="15" w:type="dxa"/>
              <w:bottom w:w="30" w:type="dxa"/>
              <w:right w:w="20" w:type="dxa"/>
            </w:tcMar>
            <w:hideMark/>
          </w:tcPr>
          <w:p w14:paraId="3940685A"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76F0135E"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7323F2B5" w14:textId="77777777" w:rsidR="00000000" w:rsidRDefault="00195E73">
            <w:pPr>
              <w:divId w:val="333995520"/>
              <w:rPr>
                <w:rFonts w:eastAsia="Times New Roman"/>
              </w:rPr>
            </w:pPr>
            <w:hyperlink r:id="rId13" w:history="1">
              <w:r>
                <w:rPr>
                  <w:rStyle w:val="a3"/>
                  <w:rFonts w:eastAsia="Times New Roman"/>
                  <w:sz w:val="20"/>
                  <w:szCs w:val="20"/>
                </w:rPr>
                <w:t>Amendment No. 1 to the Amended and Res</w:t>
              </w:r>
              <w:r>
                <w:rPr>
                  <w:rStyle w:val="a3"/>
                  <w:rFonts w:eastAsia="Times New Roman"/>
                  <w:sz w:val="20"/>
                  <w:szCs w:val="20"/>
                </w:rPr>
                <w:t>tated Agreement of Limited Partnership of Icahn Enterprises Holdings, dated August 16, 1996 (incorporated by reference to Exhibit 10.2 to Icahn Enterprises' Form 8-K (SEC File No. 1-9516), filed on August 16, 1996).</w:t>
              </w:r>
            </w:hyperlink>
          </w:p>
        </w:tc>
      </w:tr>
      <w:tr w:rsidR="00000000" w14:paraId="09766A61" w14:textId="77777777">
        <w:trPr>
          <w:divId w:val="2092043122"/>
          <w:jc w:val="center"/>
        </w:trPr>
        <w:tc>
          <w:tcPr>
            <w:tcW w:w="0" w:type="auto"/>
            <w:gridSpan w:val="2"/>
            <w:tcMar>
              <w:top w:w="30" w:type="dxa"/>
              <w:left w:w="20" w:type="dxa"/>
              <w:bottom w:w="30" w:type="dxa"/>
              <w:right w:w="0" w:type="dxa"/>
            </w:tcMar>
            <w:hideMark/>
          </w:tcPr>
          <w:p w14:paraId="6C3C0E02" w14:textId="77777777" w:rsidR="00000000" w:rsidRDefault="00195E73">
            <w:pPr>
              <w:jc w:val="center"/>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tcMar>
              <w:top w:w="30" w:type="dxa"/>
              <w:left w:w="15" w:type="dxa"/>
              <w:bottom w:w="30" w:type="dxa"/>
              <w:right w:w="20" w:type="dxa"/>
            </w:tcMar>
            <w:hideMark/>
          </w:tcPr>
          <w:p w14:paraId="56F24B53"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28409EDF"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521BA42E" w14:textId="77777777" w:rsidR="00000000" w:rsidRDefault="00195E73">
            <w:pPr>
              <w:divId w:val="1483159415"/>
              <w:rPr>
                <w:rFonts w:eastAsia="Times New Roman"/>
              </w:rPr>
            </w:pPr>
            <w:hyperlink r:id="rId14" w:history="1">
              <w:r>
                <w:rPr>
                  <w:rStyle w:val="a3"/>
                  <w:rFonts w:eastAsia="Times New Roman"/>
                  <w:sz w:val="20"/>
                  <w:szCs w:val="20"/>
                </w:rPr>
                <w:t>Amendment No. 2 to the Amended and Restated Agreement of Limited Partnership of Icahn Enterprises Holdings, dated June 14, 2002 (incorporated by reference to Exhibit</w:t>
              </w:r>
              <w:r>
                <w:rPr>
                  <w:rStyle w:val="a3"/>
                  <w:rFonts w:eastAsia="Times New Roman"/>
                  <w:sz w:val="20"/>
                  <w:szCs w:val="20"/>
                </w:rPr>
                <w:t xml:space="preserve"> 3.9 to Icahn Enterprises' Form 10-K for the year ended December 31, 2002 (SEC File No. 1-9516), filed on March 31, 2003).</w:t>
              </w:r>
            </w:hyperlink>
          </w:p>
        </w:tc>
      </w:tr>
      <w:tr w:rsidR="00000000" w14:paraId="5C68C987" w14:textId="77777777">
        <w:trPr>
          <w:divId w:val="2092043122"/>
          <w:jc w:val="center"/>
        </w:trPr>
        <w:tc>
          <w:tcPr>
            <w:tcW w:w="0" w:type="auto"/>
            <w:gridSpan w:val="2"/>
            <w:tcMar>
              <w:top w:w="30" w:type="dxa"/>
              <w:left w:w="20" w:type="dxa"/>
              <w:bottom w:w="30" w:type="dxa"/>
              <w:right w:w="0" w:type="dxa"/>
            </w:tcMar>
            <w:hideMark/>
          </w:tcPr>
          <w:p w14:paraId="1EDBD3C5" w14:textId="77777777" w:rsidR="00000000" w:rsidRDefault="00195E73">
            <w:pPr>
              <w:jc w:val="center"/>
              <w:rPr>
                <w:rFonts w:eastAsia="Times New Roman"/>
              </w:rPr>
            </w:pPr>
            <w:r>
              <w:rPr>
                <w:rFonts w:eastAsia="Times New Roman"/>
                <w:color w:val="000000"/>
                <w:sz w:val="20"/>
                <w:szCs w:val="20"/>
              </w:rPr>
              <w:t>3.7</w:t>
            </w:r>
            <w:r>
              <w:rPr>
                <w:rFonts w:eastAsia="Times New Roman"/>
                <w:color w:val="000000"/>
                <w:sz w:val="20"/>
                <w:szCs w:val="20"/>
              </w:rPr>
              <w:t> </w:t>
            </w:r>
          </w:p>
        </w:tc>
        <w:tc>
          <w:tcPr>
            <w:tcW w:w="0" w:type="auto"/>
            <w:tcMar>
              <w:top w:w="30" w:type="dxa"/>
              <w:left w:w="15" w:type="dxa"/>
              <w:bottom w:w="30" w:type="dxa"/>
              <w:right w:w="20" w:type="dxa"/>
            </w:tcMar>
            <w:hideMark/>
          </w:tcPr>
          <w:p w14:paraId="7257FFCF"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34FDA0D6"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010FF64E" w14:textId="77777777" w:rsidR="00000000" w:rsidRDefault="00195E73">
            <w:pPr>
              <w:divId w:val="1786001071"/>
              <w:rPr>
                <w:rFonts w:eastAsia="Times New Roman"/>
              </w:rPr>
            </w:pPr>
            <w:hyperlink r:id="rId15" w:history="1">
              <w:r>
                <w:rPr>
                  <w:rStyle w:val="a3"/>
                  <w:rFonts w:eastAsia="Times New Roman"/>
                  <w:sz w:val="20"/>
                  <w:szCs w:val="20"/>
                </w:rPr>
                <w:t>Amendment No. 3 to th</w:t>
              </w:r>
              <w:r>
                <w:rPr>
                  <w:rStyle w:val="a3"/>
                  <w:rFonts w:eastAsia="Times New Roman"/>
                  <w:sz w:val="20"/>
                  <w:szCs w:val="20"/>
                </w:rPr>
                <w:t xml:space="preserve">e Amended and Restated Agreement of Limited Partnership of Icahn Enterprises Holdings, dated June 29, 2005 (incorporated by reference to Exhibit 3.2 to Icahn Enterprises' Form 10-Q for the quarter ended June 30, 2005 (SEC File No. 1-9516), filed on August </w:t>
              </w:r>
              <w:r>
                <w:rPr>
                  <w:rStyle w:val="a3"/>
                  <w:rFonts w:eastAsia="Times New Roman"/>
                  <w:sz w:val="20"/>
                  <w:szCs w:val="20"/>
                </w:rPr>
                <w:t>9, 2005).</w:t>
              </w:r>
            </w:hyperlink>
          </w:p>
        </w:tc>
      </w:tr>
      <w:tr w:rsidR="00000000" w14:paraId="7DCCFCF3" w14:textId="77777777">
        <w:trPr>
          <w:divId w:val="2092043122"/>
          <w:jc w:val="center"/>
        </w:trPr>
        <w:tc>
          <w:tcPr>
            <w:tcW w:w="0" w:type="auto"/>
            <w:gridSpan w:val="2"/>
            <w:tcMar>
              <w:top w:w="30" w:type="dxa"/>
              <w:left w:w="20" w:type="dxa"/>
              <w:bottom w:w="30" w:type="dxa"/>
              <w:right w:w="0" w:type="dxa"/>
            </w:tcMar>
            <w:hideMark/>
          </w:tcPr>
          <w:p w14:paraId="3B082CEA" w14:textId="77777777" w:rsidR="00000000" w:rsidRDefault="00195E73">
            <w:pPr>
              <w:jc w:val="center"/>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tcMar>
              <w:top w:w="30" w:type="dxa"/>
              <w:left w:w="15" w:type="dxa"/>
              <w:bottom w:w="30" w:type="dxa"/>
              <w:right w:w="20" w:type="dxa"/>
            </w:tcMar>
            <w:hideMark/>
          </w:tcPr>
          <w:p w14:paraId="43AFEF64"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F7F95C3"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6CA129C9" w14:textId="77777777" w:rsidR="00000000" w:rsidRDefault="00195E73">
            <w:pPr>
              <w:divId w:val="1618829130"/>
              <w:rPr>
                <w:rFonts w:eastAsia="Times New Roman"/>
              </w:rPr>
            </w:pPr>
            <w:hyperlink r:id="rId16" w:history="1">
              <w:r>
                <w:rPr>
                  <w:rStyle w:val="a3"/>
                  <w:rFonts w:eastAsia="Times New Roman"/>
                  <w:sz w:val="20"/>
                  <w:szCs w:val="20"/>
                </w:rPr>
                <w:t>Amendment No. 4 to the Amended and Restated Agreement of Limited Partnership of Icahn Enterprises Holdings, dated September 17, 2007</w:t>
              </w:r>
              <w:r>
                <w:rPr>
                  <w:rStyle w:val="a3"/>
                  <w:rFonts w:eastAsia="Times New Roman"/>
                  <w:sz w:val="20"/>
                  <w:szCs w:val="20"/>
                </w:rPr>
                <w:t xml:space="preserve"> (incorporated by reference to Exhibit 3.11 to Icahn Enterprises' Form 10-K for the year ended December 31, 2007 (SEC File No. 1-9516), filed on March 17, 2008).</w:t>
              </w:r>
            </w:hyperlink>
          </w:p>
        </w:tc>
      </w:tr>
      <w:tr w:rsidR="00000000" w14:paraId="5CD51E88" w14:textId="77777777">
        <w:trPr>
          <w:divId w:val="2092043122"/>
          <w:jc w:val="center"/>
        </w:trPr>
        <w:tc>
          <w:tcPr>
            <w:tcW w:w="0" w:type="auto"/>
            <w:gridSpan w:val="2"/>
            <w:tcMar>
              <w:top w:w="30" w:type="dxa"/>
              <w:left w:w="20" w:type="dxa"/>
              <w:bottom w:w="30" w:type="dxa"/>
              <w:right w:w="0" w:type="dxa"/>
            </w:tcMar>
            <w:hideMark/>
          </w:tcPr>
          <w:p w14:paraId="3C10FD13" w14:textId="77777777" w:rsidR="00000000" w:rsidRDefault="00195E73">
            <w:pPr>
              <w:jc w:val="center"/>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tcMar>
              <w:top w:w="30" w:type="dxa"/>
              <w:left w:w="15" w:type="dxa"/>
              <w:bottom w:w="30" w:type="dxa"/>
              <w:right w:w="20" w:type="dxa"/>
            </w:tcMar>
            <w:hideMark/>
          </w:tcPr>
          <w:p w14:paraId="72C9930C"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3A1B28B3"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3EF51FE3" w14:textId="77777777" w:rsidR="00000000" w:rsidRDefault="00195E73">
            <w:pPr>
              <w:divId w:val="773669918"/>
              <w:rPr>
                <w:rFonts w:eastAsia="Times New Roman"/>
              </w:rPr>
            </w:pPr>
            <w:hyperlink r:id="rId17" w:history="1">
              <w:r>
                <w:rPr>
                  <w:rStyle w:val="a3"/>
                  <w:rFonts w:eastAsia="Times New Roman"/>
                  <w:sz w:val="20"/>
                  <w:szCs w:val="20"/>
                </w:rPr>
                <w:t>Description of securities</w:t>
              </w:r>
            </w:hyperlink>
            <w:hyperlink r:id="rId18" w:history="1">
              <w:r>
                <w:rPr>
                  <w:rStyle w:val="a3"/>
                  <w:rFonts w:eastAsia="Times New Roman"/>
                  <w:sz w:val="20"/>
                  <w:szCs w:val="20"/>
                </w:rPr>
                <w:t>.</w:t>
              </w:r>
            </w:hyperlink>
          </w:p>
        </w:tc>
      </w:tr>
      <w:tr w:rsidR="00000000" w14:paraId="4D5D7DAE" w14:textId="77777777">
        <w:trPr>
          <w:divId w:val="2092043122"/>
          <w:jc w:val="center"/>
        </w:trPr>
        <w:tc>
          <w:tcPr>
            <w:tcW w:w="0" w:type="auto"/>
            <w:gridSpan w:val="2"/>
            <w:tcMar>
              <w:top w:w="30" w:type="dxa"/>
              <w:left w:w="20" w:type="dxa"/>
              <w:bottom w:w="30" w:type="dxa"/>
              <w:right w:w="0" w:type="dxa"/>
            </w:tcMar>
            <w:hideMark/>
          </w:tcPr>
          <w:p w14:paraId="770123CA" w14:textId="77777777" w:rsidR="00000000" w:rsidRDefault="00195E73">
            <w:pPr>
              <w:jc w:val="center"/>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tcMar>
              <w:top w:w="30" w:type="dxa"/>
              <w:left w:w="15" w:type="dxa"/>
              <w:bottom w:w="30" w:type="dxa"/>
              <w:right w:w="20" w:type="dxa"/>
            </w:tcMar>
            <w:hideMark/>
          </w:tcPr>
          <w:p w14:paraId="01C6FB2A"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99E3A9F"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63BC0BA" w14:textId="77777777" w:rsidR="00000000" w:rsidRDefault="00195E73">
            <w:pPr>
              <w:divId w:val="1312251797"/>
              <w:rPr>
                <w:rFonts w:eastAsia="Times New Roman"/>
              </w:rPr>
            </w:pPr>
            <w:hyperlink r:id="rId19" w:history="1">
              <w:r>
                <w:rPr>
                  <w:rStyle w:val="a3"/>
                  <w:rFonts w:eastAsia="Times New Roman"/>
                  <w:sz w:val="20"/>
                  <w:szCs w:val="20"/>
                </w:rPr>
                <w:t>Form of Transfer Application (incorporated by reference to Exhibit 4.4 to Icahn Enter</w:t>
              </w:r>
              <w:r>
                <w:rPr>
                  <w:rStyle w:val="a3"/>
                  <w:rFonts w:eastAsia="Times New Roman"/>
                  <w:sz w:val="20"/>
                  <w:szCs w:val="20"/>
                </w:rPr>
                <w:t>prises' Form 10-K for the year ended December 31, 2004 (SEC File No. 1-9516), filed on March 16, 2005).</w:t>
              </w:r>
            </w:hyperlink>
          </w:p>
        </w:tc>
      </w:tr>
      <w:tr w:rsidR="00000000" w14:paraId="6F315CE0" w14:textId="77777777">
        <w:trPr>
          <w:divId w:val="2092043122"/>
          <w:jc w:val="center"/>
        </w:trPr>
        <w:tc>
          <w:tcPr>
            <w:tcW w:w="0" w:type="auto"/>
            <w:gridSpan w:val="2"/>
            <w:tcMar>
              <w:top w:w="30" w:type="dxa"/>
              <w:left w:w="20" w:type="dxa"/>
              <w:bottom w:w="30" w:type="dxa"/>
              <w:right w:w="0" w:type="dxa"/>
            </w:tcMar>
            <w:hideMark/>
          </w:tcPr>
          <w:p w14:paraId="16AB5B73" w14:textId="77777777" w:rsidR="00000000" w:rsidRDefault="00195E73">
            <w:pPr>
              <w:jc w:val="center"/>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tcMar>
              <w:top w:w="30" w:type="dxa"/>
              <w:left w:w="15" w:type="dxa"/>
              <w:bottom w:w="30" w:type="dxa"/>
              <w:right w:w="20" w:type="dxa"/>
            </w:tcMar>
            <w:hideMark/>
          </w:tcPr>
          <w:p w14:paraId="46DFF915"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9637E36"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18EDA075" w14:textId="77777777" w:rsidR="00000000" w:rsidRDefault="00195E73">
            <w:pPr>
              <w:divId w:val="1793859078"/>
              <w:rPr>
                <w:rFonts w:eastAsia="Times New Roman"/>
              </w:rPr>
            </w:pPr>
            <w:hyperlink r:id="rId20" w:history="1">
              <w:r>
                <w:rPr>
                  <w:rStyle w:val="a3"/>
                  <w:rFonts w:eastAsia="Times New Roman"/>
                  <w:sz w:val="20"/>
                  <w:szCs w:val="20"/>
                </w:rPr>
                <w:t>Specimen Depositary Receipt (incorporated by reference to Exhibit 4.3 to Icahn Enterprises' Form 10-K for the year ended December 31, 2014 (SEC File No. 1-9516), filed on March 16, 2005).</w:t>
              </w:r>
            </w:hyperlink>
          </w:p>
        </w:tc>
      </w:tr>
      <w:tr w:rsidR="00000000" w14:paraId="389833A9" w14:textId="77777777">
        <w:trPr>
          <w:divId w:val="2092043122"/>
          <w:jc w:val="center"/>
        </w:trPr>
        <w:tc>
          <w:tcPr>
            <w:tcW w:w="0" w:type="auto"/>
            <w:gridSpan w:val="2"/>
            <w:tcMar>
              <w:top w:w="30" w:type="dxa"/>
              <w:left w:w="20" w:type="dxa"/>
              <w:bottom w:w="30" w:type="dxa"/>
              <w:right w:w="0" w:type="dxa"/>
            </w:tcMar>
            <w:hideMark/>
          </w:tcPr>
          <w:p w14:paraId="53C4FC4D" w14:textId="77777777" w:rsidR="00000000" w:rsidRDefault="00195E73">
            <w:pPr>
              <w:jc w:val="center"/>
              <w:rPr>
                <w:rFonts w:eastAsia="Times New Roman"/>
              </w:rPr>
            </w:pPr>
            <w:r>
              <w:rPr>
                <w:rFonts w:eastAsia="Times New Roman"/>
                <w:color w:val="000000"/>
                <w:sz w:val="20"/>
                <w:szCs w:val="20"/>
              </w:rPr>
              <w:t>4.4</w:t>
            </w:r>
            <w:r>
              <w:rPr>
                <w:rFonts w:eastAsia="Times New Roman"/>
                <w:color w:val="000000"/>
                <w:sz w:val="20"/>
                <w:szCs w:val="20"/>
              </w:rPr>
              <w:t> </w:t>
            </w:r>
          </w:p>
        </w:tc>
        <w:tc>
          <w:tcPr>
            <w:tcW w:w="0" w:type="auto"/>
            <w:tcMar>
              <w:top w:w="30" w:type="dxa"/>
              <w:left w:w="15" w:type="dxa"/>
              <w:bottom w:w="30" w:type="dxa"/>
              <w:right w:w="20" w:type="dxa"/>
            </w:tcMar>
            <w:hideMark/>
          </w:tcPr>
          <w:p w14:paraId="47100AC9"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D7AA1AD"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74994FD2" w14:textId="77777777" w:rsidR="00000000" w:rsidRDefault="00195E73">
            <w:pPr>
              <w:divId w:val="1362978476"/>
              <w:rPr>
                <w:rFonts w:eastAsia="Times New Roman"/>
              </w:rPr>
            </w:pPr>
            <w:hyperlink r:id="rId21" w:history="1">
              <w:r>
                <w:rPr>
                  <w:rStyle w:val="a3"/>
                  <w:rFonts w:eastAsia="Times New Roman"/>
                  <w:sz w:val="20"/>
                  <w:szCs w:val="20"/>
                </w:rPr>
                <w:t>Specimen Depositary Certificate (incorporated by reference to Exhibit 4.1 to Icahn Enterprises' Form 10-Q for the quarterly period ended June 30, 2016 (SEC File No. 1-9516), filed on August 4, 2016).</w:t>
              </w:r>
            </w:hyperlink>
          </w:p>
        </w:tc>
      </w:tr>
      <w:tr w:rsidR="00000000" w14:paraId="635E1D66" w14:textId="77777777">
        <w:trPr>
          <w:divId w:val="2092043122"/>
          <w:jc w:val="center"/>
        </w:trPr>
        <w:tc>
          <w:tcPr>
            <w:tcW w:w="0" w:type="auto"/>
            <w:gridSpan w:val="2"/>
            <w:tcMar>
              <w:top w:w="30" w:type="dxa"/>
              <w:left w:w="20" w:type="dxa"/>
              <w:bottom w:w="30" w:type="dxa"/>
              <w:right w:w="0" w:type="dxa"/>
            </w:tcMar>
            <w:hideMark/>
          </w:tcPr>
          <w:p w14:paraId="4202A459" w14:textId="77777777" w:rsidR="00000000" w:rsidRDefault="00195E73">
            <w:pPr>
              <w:jc w:val="center"/>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tcMar>
              <w:top w:w="30" w:type="dxa"/>
              <w:left w:w="15" w:type="dxa"/>
              <w:bottom w:w="30" w:type="dxa"/>
              <w:right w:w="20" w:type="dxa"/>
            </w:tcMar>
            <w:hideMark/>
          </w:tcPr>
          <w:p w14:paraId="7A67CEE2"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B78AB29"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F4B35DC" w14:textId="77777777" w:rsidR="00000000" w:rsidRDefault="00195E73">
            <w:pPr>
              <w:divId w:val="2087606570"/>
              <w:rPr>
                <w:rFonts w:eastAsia="Times New Roman"/>
              </w:rPr>
            </w:pPr>
            <w:hyperlink r:id="rId22" w:history="1">
              <w:r>
                <w:rPr>
                  <w:rStyle w:val="a3"/>
                  <w:rFonts w:eastAsia="Times New Roman"/>
                  <w:sz w:val="20"/>
                  <w:szCs w:val="20"/>
                </w:rPr>
                <w:t>Specimen Certificate representing preferred units (incorporated by reference to Exhibit 4.9 to Icahn Enterprises' Form S-3/A (SEC File No. 33-5476</w:t>
              </w:r>
              <w:r>
                <w:rPr>
                  <w:rStyle w:val="a3"/>
                  <w:rFonts w:eastAsia="Times New Roman"/>
                  <w:sz w:val="20"/>
                  <w:szCs w:val="20"/>
                </w:rPr>
                <w:t>7), filed on February 22, 1995).</w:t>
              </w:r>
            </w:hyperlink>
          </w:p>
        </w:tc>
      </w:tr>
    </w:tbl>
    <w:p w14:paraId="2C9AC226" w14:textId="77777777" w:rsidR="00000000" w:rsidRDefault="00195E73">
      <w:pPr>
        <w:jc w:val="center"/>
        <w:divId w:val="301154888"/>
        <w:rPr>
          <w:rFonts w:eastAsia="Times New Roman"/>
        </w:rPr>
      </w:pPr>
      <w:r>
        <w:rPr>
          <w:rFonts w:eastAsia="Times New Roman"/>
          <w:color w:val="000000"/>
          <w:sz w:val="20"/>
          <w:szCs w:val="20"/>
        </w:rPr>
        <w:t>14</w:t>
      </w:r>
      <w:r>
        <w:rPr>
          <w:rFonts w:eastAsia="Times New Roman"/>
          <w:color w:val="000000"/>
          <w:sz w:val="20"/>
          <w:szCs w:val="20"/>
        </w:rPr>
        <w:t>3</w:t>
      </w:r>
    </w:p>
    <w:p w14:paraId="4816FB74" w14:textId="77777777" w:rsidR="00000000" w:rsidRDefault="00195E73">
      <w:pPr>
        <w:rPr>
          <w:rFonts w:eastAsia="Times New Roman"/>
        </w:rPr>
      </w:pPr>
      <w:r>
        <w:rPr>
          <w:rFonts w:eastAsia="Times New Roman"/>
        </w:rPr>
        <w:pict w14:anchorId="787BAF31">
          <v:rect id="_x0000_i1169" style="width:0;height:1.5pt" o:hralign="center" o:hrstd="t" o:hr="t" fillcolor="#a0a0a0" stroked="f"/>
        </w:pict>
      </w:r>
    </w:p>
    <w:p w14:paraId="34B96E34" w14:textId="77777777" w:rsidR="00000000" w:rsidRDefault="00195E73">
      <w:pPr>
        <w:divId w:val="338506040"/>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73"/>
        <w:gridCol w:w="710"/>
        <w:gridCol w:w="85"/>
        <w:gridCol w:w="36"/>
        <w:gridCol w:w="36"/>
        <w:gridCol w:w="36"/>
        <w:gridCol w:w="70"/>
        <w:gridCol w:w="7173"/>
        <w:gridCol w:w="74"/>
      </w:tblGrid>
      <w:tr w:rsidR="00000000" w14:paraId="04E4600E" w14:textId="77777777">
        <w:trPr>
          <w:divId w:val="1718047651"/>
          <w:jc w:val="center"/>
        </w:trPr>
        <w:tc>
          <w:tcPr>
            <w:tcW w:w="50" w:type="pct"/>
            <w:vAlign w:val="center"/>
            <w:hideMark/>
          </w:tcPr>
          <w:p w14:paraId="48C58B4B" w14:textId="77777777" w:rsidR="00000000" w:rsidRDefault="00195E73">
            <w:pPr>
              <w:rPr>
                <w:rFonts w:eastAsia="Times New Roman"/>
              </w:rPr>
            </w:pPr>
          </w:p>
        </w:tc>
        <w:tc>
          <w:tcPr>
            <w:tcW w:w="434" w:type="pct"/>
            <w:vAlign w:val="center"/>
            <w:hideMark/>
          </w:tcPr>
          <w:p w14:paraId="5D7DA43F" w14:textId="77777777" w:rsidR="00000000" w:rsidRDefault="00195E73">
            <w:pPr>
              <w:rPr>
                <w:rFonts w:eastAsia="Times New Roman"/>
                <w:sz w:val="20"/>
                <w:szCs w:val="20"/>
              </w:rPr>
            </w:pPr>
          </w:p>
        </w:tc>
        <w:tc>
          <w:tcPr>
            <w:tcW w:w="50" w:type="pct"/>
            <w:vAlign w:val="center"/>
            <w:hideMark/>
          </w:tcPr>
          <w:p w14:paraId="3812E339" w14:textId="77777777" w:rsidR="00000000" w:rsidRDefault="00195E73">
            <w:pPr>
              <w:rPr>
                <w:rFonts w:eastAsia="Times New Roman"/>
                <w:sz w:val="20"/>
                <w:szCs w:val="20"/>
              </w:rPr>
            </w:pPr>
          </w:p>
        </w:tc>
        <w:tc>
          <w:tcPr>
            <w:tcW w:w="5" w:type="pct"/>
            <w:vAlign w:val="center"/>
            <w:hideMark/>
          </w:tcPr>
          <w:p w14:paraId="47A3CF7C" w14:textId="77777777" w:rsidR="00000000" w:rsidRDefault="00195E73">
            <w:pPr>
              <w:rPr>
                <w:rFonts w:eastAsia="Times New Roman"/>
                <w:sz w:val="20"/>
                <w:szCs w:val="20"/>
              </w:rPr>
            </w:pPr>
          </w:p>
        </w:tc>
        <w:tc>
          <w:tcPr>
            <w:tcW w:w="26" w:type="pct"/>
            <w:vAlign w:val="center"/>
            <w:hideMark/>
          </w:tcPr>
          <w:p w14:paraId="725B905A" w14:textId="77777777" w:rsidR="00000000" w:rsidRDefault="00195E73">
            <w:pPr>
              <w:rPr>
                <w:rFonts w:eastAsia="Times New Roman"/>
                <w:sz w:val="20"/>
                <w:szCs w:val="20"/>
              </w:rPr>
            </w:pPr>
          </w:p>
        </w:tc>
        <w:tc>
          <w:tcPr>
            <w:tcW w:w="5" w:type="pct"/>
            <w:vAlign w:val="center"/>
            <w:hideMark/>
          </w:tcPr>
          <w:p w14:paraId="3DBDB166" w14:textId="77777777" w:rsidR="00000000" w:rsidRDefault="00195E73">
            <w:pPr>
              <w:rPr>
                <w:rFonts w:eastAsia="Times New Roman"/>
                <w:sz w:val="20"/>
                <w:szCs w:val="20"/>
              </w:rPr>
            </w:pPr>
          </w:p>
        </w:tc>
        <w:tc>
          <w:tcPr>
            <w:tcW w:w="50" w:type="pct"/>
            <w:vAlign w:val="center"/>
            <w:hideMark/>
          </w:tcPr>
          <w:p w14:paraId="314B74B1" w14:textId="77777777" w:rsidR="00000000" w:rsidRDefault="00195E73">
            <w:pPr>
              <w:rPr>
                <w:rFonts w:eastAsia="Times New Roman"/>
                <w:sz w:val="20"/>
                <w:szCs w:val="20"/>
              </w:rPr>
            </w:pPr>
          </w:p>
        </w:tc>
        <w:tc>
          <w:tcPr>
            <w:tcW w:w="4329" w:type="pct"/>
            <w:vAlign w:val="center"/>
            <w:hideMark/>
          </w:tcPr>
          <w:p w14:paraId="36C86D96" w14:textId="77777777" w:rsidR="00000000" w:rsidRDefault="00195E73">
            <w:pPr>
              <w:rPr>
                <w:rFonts w:eastAsia="Times New Roman"/>
                <w:sz w:val="20"/>
                <w:szCs w:val="20"/>
              </w:rPr>
            </w:pPr>
          </w:p>
        </w:tc>
        <w:tc>
          <w:tcPr>
            <w:tcW w:w="50" w:type="pct"/>
            <w:vAlign w:val="center"/>
            <w:hideMark/>
          </w:tcPr>
          <w:p w14:paraId="4220F1AD" w14:textId="77777777" w:rsidR="00000000" w:rsidRDefault="00195E73">
            <w:pPr>
              <w:rPr>
                <w:rFonts w:eastAsia="Times New Roman"/>
                <w:sz w:val="20"/>
                <w:szCs w:val="20"/>
              </w:rPr>
            </w:pPr>
          </w:p>
        </w:tc>
      </w:tr>
      <w:tr w:rsidR="00000000" w14:paraId="4DBBCE81" w14:textId="77777777">
        <w:trPr>
          <w:divId w:val="1718047651"/>
          <w:jc w:val="center"/>
        </w:trPr>
        <w:tc>
          <w:tcPr>
            <w:tcW w:w="0" w:type="auto"/>
            <w:gridSpan w:val="2"/>
            <w:tcMar>
              <w:top w:w="30" w:type="dxa"/>
              <w:left w:w="20" w:type="dxa"/>
              <w:bottom w:w="30" w:type="dxa"/>
              <w:right w:w="0" w:type="dxa"/>
            </w:tcMar>
            <w:hideMark/>
          </w:tcPr>
          <w:p w14:paraId="4845A345" w14:textId="77777777" w:rsidR="00000000" w:rsidRDefault="00195E73">
            <w:pPr>
              <w:jc w:val="center"/>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tcMar>
              <w:top w:w="30" w:type="dxa"/>
              <w:left w:w="15" w:type="dxa"/>
              <w:bottom w:w="30" w:type="dxa"/>
              <w:right w:w="20" w:type="dxa"/>
            </w:tcMar>
            <w:hideMark/>
          </w:tcPr>
          <w:p w14:paraId="32957206"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A440F7F"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10134146" w14:textId="77777777" w:rsidR="00000000" w:rsidRDefault="00195E73">
            <w:pPr>
              <w:divId w:val="712923114"/>
              <w:rPr>
                <w:rFonts w:eastAsia="Times New Roman"/>
              </w:rPr>
            </w:pPr>
            <w:hyperlink r:id="rId23" w:history="1">
              <w:r>
                <w:rPr>
                  <w:rStyle w:val="a3"/>
                  <w:rFonts w:eastAsia="Times New Roman"/>
                  <w:sz w:val="20"/>
                  <w:szCs w:val="20"/>
                </w:rPr>
                <w:t>Registration Rights Agreement between Icahn Enterprises and High Coast Limited Partnership (f/k/a</w:t>
              </w:r>
              <w:r>
                <w:rPr>
                  <w:rStyle w:val="a3"/>
                  <w:rFonts w:eastAsia="Times New Roman"/>
                  <w:sz w:val="20"/>
                  <w:szCs w:val="20"/>
                </w:rPr>
                <w:t xml:space="preserve"> X LP) (incorporated by reference to Exhibit 10.2 to Icahn Enterprises' Form 10-K for the year ended December 31, 2004 (SEC File No. 1-9516), filed on March 16, 2005).</w:t>
              </w:r>
            </w:hyperlink>
          </w:p>
        </w:tc>
      </w:tr>
      <w:tr w:rsidR="00000000" w14:paraId="5E520C09" w14:textId="77777777">
        <w:trPr>
          <w:divId w:val="1718047651"/>
          <w:jc w:val="center"/>
        </w:trPr>
        <w:tc>
          <w:tcPr>
            <w:tcW w:w="0" w:type="auto"/>
            <w:gridSpan w:val="2"/>
            <w:tcMar>
              <w:top w:w="30" w:type="dxa"/>
              <w:left w:w="20" w:type="dxa"/>
              <w:bottom w:w="30" w:type="dxa"/>
              <w:right w:w="0" w:type="dxa"/>
            </w:tcMar>
            <w:hideMark/>
          </w:tcPr>
          <w:p w14:paraId="38EE0DEB" w14:textId="77777777" w:rsidR="00000000" w:rsidRDefault="00195E73">
            <w:pPr>
              <w:jc w:val="center"/>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Mar>
              <w:top w:w="30" w:type="dxa"/>
              <w:left w:w="15" w:type="dxa"/>
              <w:bottom w:w="30" w:type="dxa"/>
              <w:right w:w="20" w:type="dxa"/>
            </w:tcMar>
            <w:hideMark/>
          </w:tcPr>
          <w:p w14:paraId="1F98CF28"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45002C1"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C867C0E" w14:textId="77777777" w:rsidR="00000000" w:rsidRDefault="00195E73">
            <w:pPr>
              <w:divId w:val="1140805954"/>
              <w:rPr>
                <w:rFonts w:eastAsia="Times New Roman"/>
              </w:rPr>
            </w:pPr>
            <w:hyperlink r:id="rId24" w:history="1">
              <w:r>
                <w:rPr>
                  <w:rStyle w:val="a3"/>
                  <w:rFonts w:eastAsia="Times New Roman"/>
                  <w:sz w:val="20"/>
                  <w:szCs w:val="20"/>
                </w:rPr>
                <w:t>Registration Rights Agreement, dated June 30, 2005 between Icahn Enterprises and Highcrest Investors Corp., Amos Corp., Cyprus, LLC and Gascon Partners (inc</w:t>
              </w:r>
              <w:r>
                <w:rPr>
                  <w:rStyle w:val="a3"/>
                  <w:rFonts w:eastAsia="Times New Roman"/>
                  <w:sz w:val="20"/>
                  <w:szCs w:val="20"/>
                </w:rPr>
                <w:t xml:space="preserve">orporated by reference to Exhibit 10.6 to Icahn Enterprises' Form 10-Q (SEC File No. 1-9516), filed on August 9, 2005), as amended by Amendment No. 1 thereto, dated as of August 8, 2007 (incorporated by reference to Exhibit 10.5 to Icahn Enterprises' Form </w:t>
              </w:r>
              <w:r>
                <w:rPr>
                  <w:rStyle w:val="a3"/>
                  <w:rFonts w:eastAsia="Times New Roman"/>
                  <w:sz w:val="20"/>
                  <w:szCs w:val="20"/>
                </w:rPr>
                <w:t>10-Q for the quarter ended June 30, 2007 (SEC File No. 1-9516), filed on August 9, 2007).</w:t>
              </w:r>
            </w:hyperlink>
          </w:p>
        </w:tc>
      </w:tr>
      <w:tr w:rsidR="00000000" w14:paraId="5678BF0A" w14:textId="77777777">
        <w:trPr>
          <w:divId w:val="1718047651"/>
          <w:jc w:val="center"/>
        </w:trPr>
        <w:tc>
          <w:tcPr>
            <w:tcW w:w="0" w:type="auto"/>
            <w:gridSpan w:val="2"/>
            <w:tcMar>
              <w:top w:w="30" w:type="dxa"/>
              <w:left w:w="20" w:type="dxa"/>
              <w:bottom w:w="30" w:type="dxa"/>
              <w:right w:w="0" w:type="dxa"/>
            </w:tcMar>
            <w:hideMark/>
          </w:tcPr>
          <w:p w14:paraId="0CA4A524" w14:textId="77777777" w:rsidR="00000000" w:rsidRDefault="00195E73">
            <w:pPr>
              <w:jc w:val="center"/>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Mar>
              <w:top w:w="30" w:type="dxa"/>
              <w:left w:w="15" w:type="dxa"/>
              <w:bottom w:w="30" w:type="dxa"/>
              <w:right w:w="20" w:type="dxa"/>
            </w:tcMar>
            <w:hideMark/>
          </w:tcPr>
          <w:p w14:paraId="236010D3"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77231B7"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32EA02C3" w14:textId="77777777" w:rsidR="00000000" w:rsidRDefault="00195E73">
            <w:pPr>
              <w:divId w:val="2113433859"/>
              <w:rPr>
                <w:rFonts w:eastAsia="Times New Roman"/>
              </w:rPr>
            </w:pPr>
            <w:hyperlink r:id="rId25" w:history="1">
              <w:r>
                <w:rPr>
                  <w:rStyle w:val="a3"/>
                  <w:rFonts w:eastAsia="Times New Roman"/>
                  <w:sz w:val="20"/>
                  <w:szCs w:val="20"/>
                </w:rPr>
                <w:t>Amended and Restated Depositary Agreement among Icahn Enterprises, Icahn Enterprises GP and Registrar and Transfer Company, dated as of August 23, 2013 (inc</w:t>
              </w:r>
              <w:r>
                <w:rPr>
                  <w:rStyle w:val="a3"/>
                  <w:rFonts w:eastAsia="Times New Roman"/>
                  <w:sz w:val="20"/>
                  <w:szCs w:val="20"/>
                </w:rPr>
                <w:t>orporated by reference to Exhibit 10.1 to Icahn Enterprises' Form 8-K (SEC File No. 1-9516), filed on August 23, 2013).</w:t>
              </w:r>
            </w:hyperlink>
          </w:p>
        </w:tc>
      </w:tr>
      <w:tr w:rsidR="00000000" w14:paraId="63581302" w14:textId="77777777">
        <w:trPr>
          <w:divId w:val="1718047651"/>
          <w:jc w:val="center"/>
        </w:trPr>
        <w:tc>
          <w:tcPr>
            <w:tcW w:w="0" w:type="auto"/>
            <w:gridSpan w:val="2"/>
            <w:tcMar>
              <w:top w:w="30" w:type="dxa"/>
              <w:left w:w="20" w:type="dxa"/>
              <w:bottom w:w="30" w:type="dxa"/>
              <w:right w:w="0" w:type="dxa"/>
            </w:tcMar>
            <w:hideMark/>
          </w:tcPr>
          <w:p w14:paraId="7145D86B" w14:textId="77777777" w:rsidR="00000000" w:rsidRDefault="00195E73">
            <w:pPr>
              <w:jc w:val="center"/>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tcMar>
              <w:top w:w="30" w:type="dxa"/>
              <w:left w:w="15" w:type="dxa"/>
              <w:bottom w:w="30" w:type="dxa"/>
              <w:right w:w="20" w:type="dxa"/>
            </w:tcMar>
            <w:hideMark/>
          </w:tcPr>
          <w:p w14:paraId="1F8C6F65"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99A262B"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9B72D77" w14:textId="77777777" w:rsidR="00000000" w:rsidRDefault="00195E73">
            <w:pPr>
              <w:divId w:val="685644005"/>
              <w:rPr>
                <w:rFonts w:eastAsia="Times New Roman"/>
              </w:rPr>
            </w:pPr>
            <w:hyperlink r:id="rId26" w:history="1">
              <w:r>
                <w:rPr>
                  <w:rStyle w:val="a3"/>
                  <w:rFonts w:eastAsia="Times New Roman"/>
                  <w:sz w:val="20"/>
                  <w:szCs w:val="20"/>
                </w:rPr>
                <w:t>Indenture, dated as of August 1, 2013, among Icahn Enterprises, Icahn Enterprises Finance, Icahn Enterprises Holdings, as Guarantor, and Wilmington Trust Com</w:t>
              </w:r>
              <w:r>
                <w:rPr>
                  <w:rStyle w:val="a3"/>
                  <w:rFonts w:eastAsia="Times New Roman"/>
                  <w:sz w:val="20"/>
                  <w:szCs w:val="20"/>
                </w:rPr>
                <w:t>pany, as Trustee relating to the 6.000% Senior Notes Due 2020 (incorporated by reference to Exhibit 4.1 to Icahn Enterprises' and Icahn Enterprises Holdings' joint Form 8-K (SEC File Nos. 1-9516 and 333-118021-01, respectively), filed on August 1, 2013).</w:t>
              </w:r>
            </w:hyperlink>
          </w:p>
        </w:tc>
      </w:tr>
      <w:tr w:rsidR="00000000" w14:paraId="5456CE15" w14:textId="77777777">
        <w:trPr>
          <w:divId w:val="1718047651"/>
          <w:jc w:val="center"/>
        </w:trPr>
        <w:tc>
          <w:tcPr>
            <w:tcW w:w="0" w:type="auto"/>
            <w:gridSpan w:val="2"/>
            <w:tcMar>
              <w:top w:w="30" w:type="dxa"/>
              <w:left w:w="20" w:type="dxa"/>
              <w:bottom w:w="30" w:type="dxa"/>
              <w:right w:w="0" w:type="dxa"/>
            </w:tcMar>
            <w:hideMark/>
          </w:tcPr>
          <w:p w14:paraId="44DE1954" w14:textId="77777777" w:rsidR="00000000" w:rsidRDefault="00195E73">
            <w:pPr>
              <w:jc w:val="center"/>
              <w:rPr>
                <w:rFonts w:eastAsia="Times New Roman"/>
              </w:rPr>
            </w:pPr>
            <w:r>
              <w:rPr>
                <w:rFonts w:eastAsia="Times New Roman"/>
                <w:color w:val="000000"/>
                <w:sz w:val="20"/>
                <w:szCs w:val="20"/>
              </w:rPr>
              <w:t>4.10</w:t>
            </w:r>
            <w:r>
              <w:rPr>
                <w:rFonts w:eastAsia="Times New Roman"/>
                <w:color w:val="000000"/>
                <w:sz w:val="20"/>
                <w:szCs w:val="20"/>
              </w:rPr>
              <w:t> </w:t>
            </w:r>
          </w:p>
        </w:tc>
        <w:tc>
          <w:tcPr>
            <w:tcW w:w="0" w:type="auto"/>
            <w:tcMar>
              <w:top w:w="30" w:type="dxa"/>
              <w:left w:w="15" w:type="dxa"/>
              <w:bottom w:w="30" w:type="dxa"/>
              <w:right w:w="20" w:type="dxa"/>
            </w:tcMar>
            <w:hideMark/>
          </w:tcPr>
          <w:p w14:paraId="177E910C"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D8F318E"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296CF745" w14:textId="77777777" w:rsidR="00000000" w:rsidRDefault="00195E73">
            <w:pPr>
              <w:divId w:val="126894780"/>
              <w:rPr>
                <w:rFonts w:eastAsia="Times New Roman"/>
              </w:rPr>
            </w:pPr>
            <w:hyperlink r:id="rId27" w:history="1">
              <w:r>
                <w:rPr>
                  <w:rStyle w:val="a3"/>
                  <w:rFonts w:eastAsia="Times New Roman"/>
                  <w:sz w:val="20"/>
                  <w:szCs w:val="20"/>
                </w:rPr>
                <w:t>Indenture, dated as of January 29, 2014, among Icahn Enterprises, Icahn Enterprises Finance, Icahn Enterprises Holdings, as Guarantor, and Wil</w:t>
              </w:r>
              <w:r>
                <w:rPr>
                  <w:rStyle w:val="a3"/>
                  <w:rFonts w:eastAsia="Times New Roman"/>
                  <w:sz w:val="20"/>
                  <w:szCs w:val="20"/>
                </w:rPr>
                <w:t>mington Trust Company, as Trustee relating to the 5.875% Senior Notes Due 2022 (incorporated by reference to Exhibit 4.1 to Icahn Enterprises' and Icahn Enterprises Holdings' joint Form 8-K/A (SEC File Nos. 1-9516 and 333-118021-01, respectively), filed on</w:t>
              </w:r>
              <w:r>
                <w:rPr>
                  <w:rStyle w:val="a3"/>
                  <w:rFonts w:eastAsia="Times New Roman"/>
                  <w:sz w:val="20"/>
                  <w:szCs w:val="20"/>
                </w:rPr>
                <w:t xml:space="preserve"> January 30, 2014).</w:t>
              </w:r>
            </w:hyperlink>
          </w:p>
        </w:tc>
      </w:tr>
      <w:tr w:rsidR="00000000" w14:paraId="77C6B605" w14:textId="77777777">
        <w:trPr>
          <w:divId w:val="1718047651"/>
          <w:jc w:val="center"/>
        </w:trPr>
        <w:tc>
          <w:tcPr>
            <w:tcW w:w="0" w:type="auto"/>
            <w:gridSpan w:val="2"/>
            <w:tcMar>
              <w:top w:w="30" w:type="dxa"/>
              <w:left w:w="20" w:type="dxa"/>
              <w:bottom w:w="30" w:type="dxa"/>
              <w:right w:w="0" w:type="dxa"/>
            </w:tcMar>
            <w:hideMark/>
          </w:tcPr>
          <w:p w14:paraId="212CE86D" w14:textId="77777777" w:rsidR="00000000" w:rsidRDefault="00195E73">
            <w:pPr>
              <w:jc w:val="center"/>
              <w:rPr>
                <w:rFonts w:eastAsia="Times New Roman"/>
              </w:rPr>
            </w:pPr>
            <w:r>
              <w:rPr>
                <w:rFonts w:eastAsia="Times New Roman"/>
                <w:color w:val="000000"/>
                <w:sz w:val="20"/>
                <w:szCs w:val="20"/>
              </w:rPr>
              <w:t>4.11</w:t>
            </w:r>
            <w:r>
              <w:rPr>
                <w:rFonts w:eastAsia="Times New Roman"/>
                <w:color w:val="000000"/>
                <w:sz w:val="20"/>
                <w:szCs w:val="20"/>
              </w:rPr>
              <w:t> </w:t>
            </w:r>
          </w:p>
        </w:tc>
        <w:tc>
          <w:tcPr>
            <w:tcW w:w="0" w:type="auto"/>
            <w:tcMar>
              <w:top w:w="30" w:type="dxa"/>
              <w:left w:w="15" w:type="dxa"/>
              <w:bottom w:w="30" w:type="dxa"/>
              <w:right w:w="20" w:type="dxa"/>
            </w:tcMar>
            <w:hideMark/>
          </w:tcPr>
          <w:p w14:paraId="52DD6D8C"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3C0666F"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7266A3E" w14:textId="77777777" w:rsidR="00000000" w:rsidRDefault="00195E73">
            <w:pPr>
              <w:divId w:val="851066870"/>
              <w:rPr>
                <w:rFonts w:eastAsia="Times New Roman"/>
              </w:rPr>
            </w:pPr>
            <w:hyperlink r:id="rId28" w:history="1">
              <w:r>
                <w:rPr>
                  <w:rStyle w:val="a3"/>
                  <w:rFonts w:eastAsia="Times New Roman"/>
                  <w:sz w:val="20"/>
                  <w:szCs w:val="20"/>
                </w:rPr>
                <w:t xml:space="preserve">Indenture, dated as of January 18, 2017, among Icahn Enterprises, Icahn Enterprises Finance, Icahn Enterprises Holdings, </w:t>
              </w:r>
              <w:r>
                <w:rPr>
                  <w:rStyle w:val="a3"/>
                  <w:rFonts w:eastAsia="Times New Roman"/>
                  <w:sz w:val="20"/>
                  <w:szCs w:val="20"/>
                </w:rPr>
                <w:t>as Guarantor, and Wilmington Trust Company, as Trustee relating to the 6.250% Senior Notes Due 2022 and 6.750% Senior Notes Due 2024 (incorporated by reference to Exhibit 4.1 to Icahn Enterprises' and Icahn Enterprises Holdings' joint Form 8-K (SEC File No</w:t>
              </w:r>
              <w:r>
                <w:rPr>
                  <w:rStyle w:val="a3"/>
                  <w:rFonts w:eastAsia="Times New Roman"/>
                  <w:sz w:val="20"/>
                  <w:szCs w:val="20"/>
                </w:rPr>
                <w:t>s. 1-9516 and 333-118021-01, respectively), filed on January 18, 2017).</w:t>
              </w:r>
            </w:hyperlink>
          </w:p>
        </w:tc>
      </w:tr>
      <w:tr w:rsidR="00000000" w14:paraId="716F4040" w14:textId="77777777">
        <w:trPr>
          <w:divId w:val="1718047651"/>
          <w:jc w:val="center"/>
        </w:trPr>
        <w:tc>
          <w:tcPr>
            <w:tcW w:w="0" w:type="auto"/>
            <w:gridSpan w:val="2"/>
            <w:tcMar>
              <w:top w:w="30" w:type="dxa"/>
              <w:left w:w="20" w:type="dxa"/>
              <w:bottom w:w="30" w:type="dxa"/>
              <w:right w:w="0" w:type="dxa"/>
            </w:tcMar>
            <w:hideMark/>
          </w:tcPr>
          <w:p w14:paraId="1D41D46E" w14:textId="77777777" w:rsidR="00000000" w:rsidRDefault="00195E73">
            <w:pPr>
              <w:jc w:val="center"/>
              <w:rPr>
                <w:rFonts w:eastAsia="Times New Roman"/>
              </w:rPr>
            </w:pPr>
            <w:r>
              <w:rPr>
                <w:rFonts w:eastAsia="Times New Roman"/>
                <w:color w:val="000000"/>
                <w:sz w:val="20"/>
                <w:szCs w:val="20"/>
              </w:rPr>
              <w:t>4.12</w:t>
            </w:r>
            <w:r>
              <w:rPr>
                <w:rFonts w:eastAsia="Times New Roman"/>
                <w:color w:val="000000"/>
                <w:sz w:val="20"/>
                <w:szCs w:val="20"/>
              </w:rPr>
              <w:t> </w:t>
            </w:r>
          </w:p>
        </w:tc>
        <w:tc>
          <w:tcPr>
            <w:tcW w:w="0" w:type="auto"/>
            <w:tcMar>
              <w:top w:w="30" w:type="dxa"/>
              <w:left w:w="15" w:type="dxa"/>
              <w:bottom w:w="30" w:type="dxa"/>
              <w:right w:w="20" w:type="dxa"/>
            </w:tcMar>
            <w:hideMark/>
          </w:tcPr>
          <w:p w14:paraId="017F481F"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0AFE7DAB"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6027C9A2" w14:textId="77777777" w:rsidR="00000000" w:rsidRDefault="00195E73">
            <w:pPr>
              <w:divId w:val="1313828001"/>
              <w:rPr>
                <w:rFonts w:eastAsia="Times New Roman"/>
              </w:rPr>
            </w:pPr>
            <w:hyperlink r:id="rId29" w:history="1">
              <w:r>
                <w:rPr>
                  <w:rStyle w:val="a3"/>
                  <w:rFonts w:eastAsia="Times New Roman"/>
                  <w:sz w:val="20"/>
                  <w:szCs w:val="20"/>
                </w:rPr>
                <w:t xml:space="preserve">Indenture, dated as of December 6, 2017, among Icahn Enterprises, Icahn Enterprises Finance, Icahn Enterprises Holdings, as Guarantor, and Wilmington Trust </w:t>
              </w:r>
              <w:r>
                <w:rPr>
                  <w:rStyle w:val="a3"/>
                  <w:rFonts w:eastAsia="Times New Roman"/>
                  <w:sz w:val="20"/>
                  <w:szCs w:val="20"/>
                </w:rPr>
                <w:t>Company, as Trustee relating to the 6.375% Senior Notes Due 2025 incorporated by reference to Exhibit 4.1 to Icahn Enterprises' and Icahn Enterprises Holdings' joint Form 8-K (SEC File Nos. 1-9516 and 333-118021-01, respectively), filed on December 6, 2017</w:t>
              </w:r>
              <w:r>
                <w:rPr>
                  <w:rStyle w:val="a3"/>
                  <w:rFonts w:eastAsia="Times New Roman"/>
                  <w:sz w:val="20"/>
                  <w:szCs w:val="20"/>
                </w:rPr>
                <w:t>).</w:t>
              </w:r>
            </w:hyperlink>
          </w:p>
        </w:tc>
      </w:tr>
      <w:tr w:rsidR="00000000" w14:paraId="5521B0EC" w14:textId="77777777">
        <w:trPr>
          <w:divId w:val="1718047651"/>
          <w:jc w:val="center"/>
        </w:trPr>
        <w:tc>
          <w:tcPr>
            <w:tcW w:w="0" w:type="auto"/>
            <w:gridSpan w:val="2"/>
            <w:tcMar>
              <w:top w:w="30" w:type="dxa"/>
              <w:left w:w="20" w:type="dxa"/>
              <w:bottom w:w="30" w:type="dxa"/>
              <w:right w:w="0" w:type="dxa"/>
            </w:tcMar>
            <w:hideMark/>
          </w:tcPr>
          <w:p w14:paraId="5400CB17" w14:textId="77777777" w:rsidR="00000000" w:rsidRDefault="00195E73">
            <w:pPr>
              <w:jc w:val="center"/>
              <w:rPr>
                <w:rFonts w:eastAsia="Times New Roman"/>
              </w:rPr>
            </w:pPr>
            <w:r>
              <w:rPr>
                <w:rFonts w:eastAsia="Times New Roman"/>
                <w:color w:val="000000"/>
                <w:sz w:val="20"/>
                <w:szCs w:val="20"/>
              </w:rPr>
              <w:t>4.13</w:t>
            </w:r>
            <w:r>
              <w:rPr>
                <w:rFonts w:eastAsia="Times New Roman"/>
                <w:color w:val="000000"/>
                <w:sz w:val="20"/>
                <w:szCs w:val="20"/>
              </w:rPr>
              <w:t> </w:t>
            </w:r>
          </w:p>
        </w:tc>
        <w:tc>
          <w:tcPr>
            <w:tcW w:w="0" w:type="auto"/>
            <w:tcMar>
              <w:top w:w="30" w:type="dxa"/>
              <w:left w:w="15" w:type="dxa"/>
              <w:bottom w:w="30" w:type="dxa"/>
              <w:right w:w="20" w:type="dxa"/>
            </w:tcMar>
            <w:hideMark/>
          </w:tcPr>
          <w:p w14:paraId="3D7C044D"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59BDDABC"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637D3330" w14:textId="77777777" w:rsidR="00000000" w:rsidRDefault="00195E73">
            <w:pPr>
              <w:divId w:val="2017684415"/>
              <w:rPr>
                <w:rFonts w:eastAsia="Times New Roman"/>
              </w:rPr>
            </w:pPr>
            <w:hyperlink r:id="rId30" w:history="1">
              <w:r>
                <w:rPr>
                  <w:rStyle w:val="a3"/>
                  <w:rFonts w:eastAsia="Times New Roman"/>
                  <w:sz w:val="20"/>
                  <w:szCs w:val="20"/>
                </w:rPr>
                <w:t>Indenture, dated as of May 10, 2019, among Icahn Enterprises, Icahn Enterprises Finance, Icahn Enterprises Holdings, as Guarantor, and Wilmington Trust Company, as Trustee relating to the 6.250% Senior Notes Due 2026 incorporated by reference to Exhibit 4.</w:t>
              </w:r>
              <w:r>
                <w:rPr>
                  <w:rStyle w:val="a3"/>
                  <w:rFonts w:eastAsia="Times New Roman"/>
                  <w:sz w:val="20"/>
                  <w:szCs w:val="20"/>
                </w:rPr>
                <w:t>1 to Icahn Enterprises' and Icahn Enterprises Holdings' joint Form 8-K (SEC File Nos. 1-9516 and 333-118021-01, respectively), filed on May 10, 2019).</w:t>
              </w:r>
            </w:hyperlink>
          </w:p>
        </w:tc>
      </w:tr>
      <w:tr w:rsidR="00000000" w14:paraId="737F6977" w14:textId="77777777">
        <w:trPr>
          <w:divId w:val="1718047651"/>
          <w:jc w:val="center"/>
        </w:trPr>
        <w:tc>
          <w:tcPr>
            <w:tcW w:w="0" w:type="auto"/>
            <w:gridSpan w:val="2"/>
            <w:tcMar>
              <w:top w:w="30" w:type="dxa"/>
              <w:left w:w="20" w:type="dxa"/>
              <w:bottom w:w="30" w:type="dxa"/>
              <w:right w:w="0" w:type="dxa"/>
            </w:tcMar>
            <w:hideMark/>
          </w:tcPr>
          <w:p w14:paraId="088D2A93" w14:textId="77777777" w:rsidR="00000000" w:rsidRDefault="00195E73">
            <w:pPr>
              <w:jc w:val="center"/>
              <w:rPr>
                <w:rFonts w:eastAsia="Times New Roman"/>
              </w:rPr>
            </w:pPr>
            <w:r>
              <w:rPr>
                <w:rFonts w:eastAsia="Times New Roman"/>
                <w:color w:val="000000"/>
                <w:sz w:val="20"/>
                <w:szCs w:val="20"/>
              </w:rPr>
              <w:t>4.14</w:t>
            </w:r>
            <w:r>
              <w:rPr>
                <w:rFonts w:eastAsia="Times New Roman"/>
                <w:color w:val="000000"/>
                <w:sz w:val="20"/>
                <w:szCs w:val="20"/>
              </w:rPr>
              <w:t> </w:t>
            </w:r>
          </w:p>
        </w:tc>
        <w:tc>
          <w:tcPr>
            <w:tcW w:w="0" w:type="auto"/>
            <w:tcMar>
              <w:top w:w="30" w:type="dxa"/>
              <w:left w:w="15" w:type="dxa"/>
              <w:bottom w:w="30" w:type="dxa"/>
              <w:right w:w="20" w:type="dxa"/>
            </w:tcMar>
            <w:hideMark/>
          </w:tcPr>
          <w:p w14:paraId="2AA6FEE7"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638DB1EB"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4DEF6195" w14:textId="77777777" w:rsidR="00000000" w:rsidRDefault="00195E73">
            <w:pPr>
              <w:divId w:val="808474486"/>
              <w:rPr>
                <w:rFonts w:eastAsia="Times New Roman"/>
              </w:rPr>
            </w:pPr>
            <w:hyperlink r:id="rId31" w:history="1">
              <w:r>
                <w:rPr>
                  <w:rStyle w:val="a3"/>
                  <w:rFonts w:eastAsia="Times New Roman"/>
                  <w:sz w:val="20"/>
                  <w:szCs w:val="20"/>
                </w:rPr>
                <w:t>Indenture, dated as of September 6, 2019, among Icahn Enterprises, Icahn Enterprises Finance, Icahn Enterprises Holdings, as Guarantor, and Wilmington Trust</w:t>
              </w:r>
              <w:r>
                <w:rPr>
                  <w:rStyle w:val="a3"/>
                  <w:rFonts w:eastAsia="Times New Roman"/>
                  <w:sz w:val="20"/>
                  <w:szCs w:val="20"/>
                </w:rPr>
                <w:t xml:space="preserve"> Company, as Trustee relating to the 4.750% Senior Notes Due 2024 incorporated by reference to Exhibit 4.1 to Icahn Enterprises' and Icahn Enterprises Holdings' joint Form 8-K (SEC File Nos. 1-9516 and 333-118021-01, respectively), filed on September 6, 20</w:t>
              </w:r>
              <w:r>
                <w:rPr>
                  <w:rStyle w:val="a3"/>
                  <w:rFonts w:eastAsia="Times New Roman"/>
                  <w:sz w:val="20"/>
                  <w:szCs w:val="20"/>
                </w:rPr>
                <w:t>19).</w:t>
              </w:r>
            </w:hyperlink>
          </w:p>
        </w:tc>
      </w:tr>
      <w:tr w:rsidR="00000000" w14:paraId="5651ECC4" w14:textId="77777777">
        <w:trPr>
          <w:divId w:val="1718047651"/>
          <w:jc w:val="center"/>
        </w:trPr>
        <w:tc>
          <w:tcPr>
            <w:tcW w:w="0" w:type="auto"/>
            <w:gridSpan w:val="2"/>
            <w:tcMar>
              <w:top w:w="30" w:type="dxa"/>
              <w:left w:w="20" w:type="dxa"/>
              <w:bottom w:w="30" w:type="dxa"/>
              <w:right w:w="0" w:type="dxa"/>
            </w:tcMar>
            <w:hideMark/>
          </w:tcPr>
          <w:p w14:paraId="79FE0059" w14:textId="77777777" w:rsidR="00000000" w:rsidRDefault="00195E73">
            <w:pPr>
              <w:jc w:val="center"/>
              <w:rPr>
                <w:rFonts w:eastAsia="Times New Roman"/>
              </w:rPr>
            </w:pPr>
            <w:r>
              <w:rPr>
                <w:rFonts w:eastAsia="Times New Roman"/>
                <w:color w:val="000000"/>
                <w:sz w:val="20"/>
                <w:szCs w:val="20"/>
              </w:rPr>
              <w:t>4.15</w:t>
            </w:r>
            <w:r>
              <w:rPr>
                <w:rFonts w:eastAsia="Times New Roman"/>
                <w:color w:val="000000"/>
                <w:sz w:val="20"/>
                <w:szCs w:val="20"/>
              </w:rPr>
              <w:t> </w:t>
            </w:r>
          </w:p>
        </w:tc>
        <w:tc>
          <w:tcPr>
            <w:tcW w:w="0" w:type="auto"/>
            <w:tcMar>
              <w:top w:w="30" w:type="dxa"/>
              <w:left w:w="15" w:type="dxa"/>
              <w:bottom w:w="30" w:type="dxa"/>
              <w:right w:w="20" w:type="dxa"/>
            </w:tcMar>
            <w:hideMark/>
          </w:tcPr>
          <w:p w14:paraId="20605BEE"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2BB38E35"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22634B71" w14:textId="77777777" w:rsidR="00000000" w:rsidRDefault="00195E73">
            <w:pPr>
              <w:divId w:val="1823623021"/>
              <w:rPr>
                <w:rFonts w:eastAsia="Times New Roman"/>
              </w:rPr>
            </w:pPr>
            <w:hyperlink r:id="rId32" w:history="1">
              <w:r>
                <w:rPr>
                  <w:rStyle w:val="a3"/>
                  <w:rFonts w:eastAsia="Times New Roman"/>
                  <w:sz w:val="20"/>
                  <w:szCs w:val="20"/>
                </w:rPr>
                <w:t>Indenture, dated as of December 12, 2019, among Icahn Enterprises, Icahn Enterprises Finance, Icahn Enterprises Holdings, as Guaranto</w:t>
              </w:r>
              <w:r>
                <w:rPr>
                  <w:rStyle w:val="a3"/>
                  <w:rFonts w:eastAsia="Times New Roman"/>
                  <w:sz w:val="20"/>
                  <w:szCs w:val="20"/>
                </w:rPr>
                <w:t>r, and Wilmington Trust Company, as Trustee relating to the 5.250% Senior Notes Due 2027 incorporated by reference to Exhibit 4.1 to Icahn Enterprises' and Icahn Enterprises Holdings' joint Form 8-K (SEC File Nos. 1-9516 and 333-118021-01, respectively), f</w:t>
              </w:r>
              <w:r>
                <w:rPr>
                  <w:rStyle w:val="a3"/>
                  <w:rFonts w:eastAsia="Times New Roman"/>
                  <w:sz w:val="20"/>
                  <w:szCs w:val="20"/>
                </w:rPr>
                <w:t>iled on December 12, 2019).</w:t>
              </w:r>
            </w:hyperlink>
          </w:p>
        </w:tc>
      </w:tr>
      <w:tr w:rsidR="00000000" w14:paraId="657616F3" w14:textId="77777777">
        <w:trPr>
          <w:divId w:val="1718047651"/>
          <w:jc w:val="center"/>
        </w:trPr>
        <w:tc>
          <w:tcPr>
            <w:tcW w:w="0" w:type="auto"/>
            <w:gridSpan w:val="2"/>
            <w:tcMar>
              <w:top w:w="30" w:type="dxa"/>
              <w:left w:w="20" w:type="dxa"/>
              <w:bottom w:w="30" w:type="dxa"/>
              <w:right w:w="0" w:type="dxa"/>
            </w:tcMar>
            <w:hideMark/>
          </w:tcPr>
          <w:p w14:paraId="1FF4F651" w14:textId="77777777" w:rsidR="00000000" w:rsidRDefault="00195E73">
            <w:pPr>
              <w:jc w:val="center"/>
              <w:rPr>
                <w:rFonts w:eastAsia="Times New Roman"/>
              </w:rPr>
            </w:pPr>
            <w:r>
              <w:rPr>
                <w:rFonts w:eastAsia="Times New Roman"/>
                <w:color w:val="000000"/>
                <w:sz w:val="20"/>
                <w:szCs w:val="20"/>
              </w:rPr>
              <w:t>4.16</w:t>
            </w:r>
            <w:r>
              <w:rPr>
                <w:rFonts w:eastAsia="Times New Roman"/>
                <w:color w:val="000000"/>
                <w:sz w:val="20"/>
                <w:szCs w:val="20"/>
              </w:rPr>
              <w:t> </w:t>
            </w:r>
          </w:p>
        </w:tc>
        <w:tc>
          <w:tcPr>
            <w:tcW w:w="0" w:type="auto"/>
            <w:tcMar>
              <w:top w:w="30" w:type="dxa"/>
              <w:left w:w="15" w:type="dxa"/>
              <w:bottom w:w="30" w:type="dxa"/>
              <w:right w:w="20" w:type="dxa"/>
            </w:tcMar>
            <w:hideMark/>
          </w:tcPr>
          <w:p w14:paraId="139A5679"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22F419A7"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0988F044" w14:textId="77777777" w:rsidR="00000000" w:rsidRDefault="00195E73">
            <w:pPr>
              <w:divId w:val="1151827506"/>
              <w:rPr>
                <w:rFonts w:eastAsia="Times New Roman"/>
              </w:rPr>
            </w:pPr>
            <w:hyperlink r:id="rId33" w:history="1">
              <w:r>
                <w:rPr>
                  <w:rStyle w:val="a3"/>
                  <w:rFonts w:eastAsia="Times New Roman"/>
                  <w:sz w:val="20"/>
                  <w:szCs w:val="20"/>
                </w:rPr>
                <w:t>Shareholders Agreement, dated as of October 1, 2018, by and among Icahn Enterprises L.P., Icahn Enterprises Holdings L.P., American Entertainment Properties Corp. and Tenneco Inc. (incorporated by reference to Exhibit 4.1 to Icahn Enterprises' and Icahn En</w:t>
              </w:r>
              <w:r>
                <w:rPr>
                  <w:rStyle w:val="a3"/>
                  <w:rFonts w:eastAsia="Times New Roman"/>
                  <w:sz w:val="20"/>
                  <w:szCs w:val="20"/>
                </w:rPr>
                <w:t>terprises Holdings' joint Form 8-K (SEC File Nos. 1-9516 and 333-118021-01, respectively) file October 2, 2018).</w:t>
              </w:r>
            </w:hyperlink>
          </w:p>
        </w:tc>
      </w:tr>
      <w:tr w:rsidR="00000000" w14:paraId="3B16EAE9" w14:textId="77777777">
        <w:trPr>
          <w:divId w:val="1718047651"/>
          <w:jc w:val="center"/>
        </w:trPr>
        <w:tc>
          <w:tcPr>
            <w:tcW w:w="0" w:type="auto"/>
            <w:gridSpan w:val="2"/>
            <w:tcMar>
              <w:top w:w="30" w:type="dxa"/>
              <w:left w:w="20" w:type="dxa"/>
              <w:bottom w:w="30" w:type="dxa"/>
              <w:right w:w="0" w:type="dxa"/>
            </w:tcMar>
            <w:hideMark/>
          </w:tcPr>
          <w:p w14:paraId="7E5B5598" w14:textId="77777777" w:rsidR="00000000" w:rsidRDefault="00195E73">
            <w:pPr>
              <w:jc w:val="center"/>
              <w:rPr>
                <w:rFonts w:eastAsia="Times New Roman"/>
              </w:rPr>
            </w:pPr>
            <w:r>
              <w:rPr>
                <w:rFonts w:eastAsia="Times New Roman"/>
                <w:color w:val="000000"/>
                <w:sz w:val="20"/>
                <w:szCs w:val="20"/>
              </w:rPr>
              <w:t>10.1</w:t>
            </w:r>
            <w:r>
              <w:rPr>
                <w:rFonts w:eastAsia="Times New Roman"/>
                <w:color w:val="000000"/>
                <w:sz w:val="20"/>
                <w:szCs w:val="20"/>
              </w:rPr>
              <w:t> </w:t>
            </w:r>
          </w:p>
        </w:tc>
        <w:tc>
          <w:tcPr>
            <w:tcW w:w="0" w:type="auto"/>
            <w:tcMar>
              <w:top w:w="30" w:type="dxa"/>
              <w:left w:w="15" w:type="dxa"/>
              <w:bottom w:w="30" w:type="dxa"/>
              <w:right w:w="20" w:type="dxa"/>
            </w:tcMar>
            <w:hideMark/>
          </w:tcPr>
          <w:p w14:paraId="10EFA8F3"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5312826"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9DE2AA5" w14:textId="77777777" w:rsidR="00000000" w:rsidRDefault="00195E73">
            <w:pPr>
              <w:divId w:val="1676298730"/>
              <w:rPr>
                <w:rFonts w:eastAsia="Times New Roman"/>
              </w:rPr>
            </w:pPr>
            <w:hyperlink r:id="rId34" w:history="1">
              <w:r>
                <w:rPr>
                  <w:rStyle w:val="a3"/>
                  <w:rFonts w:eastAsia="Times New Roman"/>
                  <w:sz w:val="20"/>
                  <w:szCs w:val="20"/>
                </w:rPr>
                <w:t>Amended and Restated Agency Agree</w:t>
              </w:r>
              <w:r>
                <w:rPr>
                  <w:rStyle w:val="a3"/>
                  <w:rFonts w:eastAsia="Times New Roman"/>
                  <w:sz w:val="20"/>
                  <w:szCs w:val="20"/>
                </w:rPr>
                <w:t>ment (incorporated by reference to Exhibit 10.12 to Icahn Enterprises' Form 10-K for the year ended December 31, 1994 (SEC File No. 1-9516), filed on March 31, 1995).</w:t>
              </w:r>
            </w:hyperlink>
          </w:p>
        </w:tc>
      </w:tr>
      <w:tr w:rsidR="00000000" w14:paraId="1B5DBC8B" w14:textId="77777777">
        <w:trPr>
          <w:divId w:val="1718047651"/>
          <w:jc w:val="center"/>
        </w:trPr>
        <w:tc>
          <w:tcPr>
            <w:tcW w:w="0" w:type="auto"/>
            <w:gridSpan w:val="2"/>
            <w:tcMar>
              <w:top w:w="30" w:type="dxa"/>
              <w:left w:w="20" w:type="dxa"/>
              <w:bottom w:w="30" w:type="dxa"/>
              <w:right w:w="0" w:type="dxa"/>
            </w:tcMar>
            <w:hideMark/>
          </w:tcPr>
          <w:p w14:paraId="793EC6DB" w14:textId="77777777" w:rsidR="00000000" w:rsidRDefault="00195E73">
            <w:pPr>
              <w:jc w:val="center"/>
              <w:rPr>
                <w:rFonts w:eastAsia="Times New Roman"/>
              </w:rPr>
            </w:pPr>
            <w:r>
              <w:rPr>
                <w:rFonts w:eastAsia="Times New Roman"/>
                <w:color w:val="000000"/>
                <w:sz w:val="20"/>
                <w:szCs w:val="20"/>
              </w:rPr>
              <w:t>10.2</w:t>
            </w:r>
            <w:r>
              <w:rPr>
                <w:rFonts w:eastAsia="Times New Roman"/>
                <w:color w:val="000000"/>
                <w:sz w:val="20"/>
                <w:szCs w:val="20"/>
              </w:rPr>
              <w:t> </w:t>
            </w:r>
          </w:p>
        </w:tc>
        <w:tc>
          <w:tcPr>
            <w:tcW w:w="0" w:type="auto"/>
            <w:tcMar>
              <w:top w:w="30" w:type="dxa"/>
              <w:left w:w="15" w:type="dxa"/>
              <w:bottom w:w="30" w:type="dxa"/>
              <w:right w:w="20" w:type="dxa"/>
            </w:tcMar>
            <w:hideMark/>
          </w:tcPr>
          <w:p w14:paraId="785FB412"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A8C01C4"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382C6CFB" w14:textId="77777777" w:rsidR="00000000" w:rsidRDefault="00195E73">
            <w:pPr>
              <w:divId w:val="818307866"/>
              <w:rPr>
                <w:rFonts w:eastAsia="Times New Roman"/>
              </w:rPr>
            </w:pPr>
            <w:hyperlink r:id="rId35" w:history="1">
              <w:r>
                <w:rPr>
                  <w:rStyle w:val="a3"/>
                  <w:rFonts w:eastAsia="Times New Roman"/>
                  <w:sz w:val="20"/>
                  <w:szCs w:val="20"/>
                </w:rPr>
                <w:t>Undertaking, dated November 20, 1998, by Starfire Holding Corporation, for the benefit of Icahn Enterprises and its subsidiaries (incorporated by reference to Exhibit 10.42 to Icahn Enterprises' Form 10-K for the year ended Decem</w:t>
              </w:r>
              <w:r>
                <w:rPr>
                  <w:rStyle w:val="a3"/>
                  <w:rFonts w:eastAsia="Times New Roman"/>
                  <w:sz w:val="20"/>
                  <w:szCs w:val="20"/>
                </w:rPr>
                <w:t>ber 31, 2005 (SEC File No. 1-9516), filed on March 16, 2006).</w:t>
              </w:r>
            </w:hyperlink>
          </w:p>
        </w:tc>
      </w:tr>
      <w:tr w:rsidR="00000000" w14:paraId="21624AAE" w14:textId="77777777">
        <w:trPr>
          <w:divId w:val="1718047651"/>
          <w:jc w:val="center"/>
        </w:trPr>
        <w:tc>
          <w:tcPr>
            <w:tcW w:w="0" w:type="auto"/>
            <w:gridSpan w:val="2"/>
            <w:tcMar>
              <w:top w:w="30" w:type="dxa"/>
              <w:left w:w="20" w:type="dxa"/>
              <w:bottom w:w="30" w:type="dxa"/>
              <w:right w:w="0" w:type="dxa"/>
            </w:tcMar>
            <w:hideMark/>
          </w:tcPr>
          <w:p w14:paraId="7616CE6D" w14:textId="77777777" w:rsidR="00000000" w:rsidRDefault="00195E73">
            <w:pPr>
              <w:jc w:val="center"/>
              <w:rPr>
                <w:rFonts w:eastAsia="Times New Roman"/>
              </w:rPr>
            </w:pPr>
            <w:r>
              <w:rPr>
                <w:rFonts w:eastAsia="Times New Roman"/>
                <w:color w:val="000000"/>
                <w:sz w:val="20"/>
                <w:szCs w:val="20"/>
              </w:rPr>
              <w:t>10.3</w:t>
            </w:r>
            <w:r>
              <w:rPr>
                <w:rFonts w:eastAsia="Times New Roman"/>
                <w:color w:val="000000"/>
                <w:sz w:val="20"/>
                <w:szCs w:val="20"/>
              </w:rPr>
              <w:t> </w:t>
            </w:r>
          </w:p>
        </w:tc>
        <w:tc>
          <w:tcPr>
            <w:tcW w:w="0" w:type="auto"/>
            <w:tcMar>
              <w:top w:w="30" w:type="dxa"/>
              <w:left w:w="15" w:type="dxa"/>
              <w:bottom w:w="30" w:type="dxa"/>
              <w:right w:w="20" w:type="dxa"/>
            </w:tcMar>
            <w:hideMark/>
          </w:tcPr>
          <w:p w14:paraId="63FA12B2"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0BAC3479"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6865B875" w14:textId="77777777" w:rsidR="00000000" w:rsidRDefault="00195E73">
            <w:pPr>
              <w:divId w:val="18513076"/>
              <w:rPr>
                <w:rFonts w:eastAsia="Times New Roman"/>
              </w:rPr>
            </w:pPr>
            <w:hyperlink r:id="rId36" w:history="1">
              <w:r>
                <w:rPr>
                  <w:rStyle w:val="a3"/>
                  <w:rFonts w:eastAsia="Times New Roman"/>
                  <w:sz w:val="20"/>
                  <w:szCs w:val="20"/>
                </w:rPr>
                <w:t>Covered Affiliate and Shared Expenses Agreement by and among Icahn Enterprises, Icahn Partners LP, Icahn Fund Ltd., Icahn Fund II Ltd., Icahn Fund III Ltd.,</w:t>
              </w:r>
              <w:r>
                <w:rPr>
                  <w:rStyle w:val="a3"/>
                  <w:rFonts w:eastAsia="Times New Roman"/>
                  <w:sz w:val="20"/>
                  <w:szCs w:val="20"/>
                </w:rPr>
                <w:t xml:space="preserve"> Icahn Partners Master Fund L.P., Icahn Partners Master Fund II L.P., Icahn Partners Master Fund III L.P., Icahn Cayman Partners, L.P. and Icahn Partners Master Fund II Feeder LP (incorporated by reference to Exhibit 10.4 to Icahn Enterprises' Form 10-Q fo</w:t>
              </w:r>
              <w:r>
                <w:rPr>
                  <w:rStyle w:val="a3"/>
                  <w:rFonts w:eastAsia="Times New Roman"/>
                  <w:sz w:val="20"/>
                  <w:szCs w:val="20"/>
                </w:rPr>
                <w:t>r the quarter ended June 30, 2007 (SEC File No. 1-9516), filed on August 9, 2007).</w:t>
              </w:r>
            </w:hyperlink>
          </w:p>
        </w:tc>
      </w:tr>
      <w:tr w:rsidR="00000000" w14:paraId="0F099215" w14:textId="77777777">
        <w:trPr>
          <w:divId w:val="1718047651"/>
          <w:jc w:val="center"/>
        </w:trPr>
        <w:tc>
          <w:tcPr>
            <w:tcW w:w="0" w:type="auto"/>
            <w:gridSpan w:val="2"/>
            <w:tcMar>
              <w:top w:w="30" w:type="dxa"/>
              <w:left w:w="20" w:type="dxa"/>
              <w:bottom w:w="30" w:type="dxa"/>
              <w:right w:w="0" w:type="dxa"/>
            </w:tcMar>
            <w:hideMark/>
          </w:tcPr>
          <w:p w14:paraId="52D7B772" w14:textId="77777777" w:rsidR="00000000" w:rsidRDefault="00195E73">
            <w:pPr>
              <w:jc w:val="center"/>
              <w:rPr>
                <w:rFonts w:eastAsia="Times New Roman"/>
              </w:rPr>
            </w:pPr>
            <w:r>
              <w:rPr>
                <w:rFonts w:eastAsia="Times New Roman"/>
                <w:color w:val="000000"/>
                <w:sz w:val="20"/>
                <w:szCs w:val="20"/>
              </w:rPr>
              <w:t>10.4</w:t>
            </w:r>
            <w:r>
              <w:rPr>
                <w:rFonts w:eastAsia="Times New Roman"/>
                <w:color w:val="000000"/>
                <w:sz w:val="20"/>
                <w:szCs w:val="20"/>
              </w:rPr>
              <w:t> </w:t>
            </w:r>
          </w:p>
        </w:tc>
        <w:tc>
          <w:tcPr>
            <w:tcW w:w="0" w:type="auto"/>
            <w:tcMar>
              <w:top w:w="30" w:type="dxa"/>
              <w:left w:w="15" w:type="dxa"/>
              <w:bottom w:w="30" w:type="dxa"/>
              <w:right w:w="20" w:type="dxa"/>
            </w:tcMar>
            <w:hideMark/>
          </w:tcPr>
          <w:p w14:paraId="38A58022"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0316B86"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42F6BEFC" w14:textId="77777777" w:rsidR="00000000" w:rsidRDefault="00195E73">
            <w:pPr>
              <w:divId w:val="776826545"/>
              <w:rPr>
                <w:rFonts w:eastAsia="Times New Roman"/>
              </w:rPr>
            </w:pPr>
            <w:hyperlink r:id="rId37" w:history="1">
              <w:r>
                <w:rPr>
                  <w:rStyle w:val="a3"/>
                  <w:rFonts w:eastAsia="Times New Roman"/>
                  <w:sz w:val="20"/>
                  <w:szCs w:val="20"/>
                </w:rPr>
                <w:t>Agreement dated as of March 31, 2011 among Icahn E</w:t>
              </w:r>
              <w:r>
                <w:rPr>
                  <w:rStyle w:val="a3"/>
                  <w:rFonts w:eastAsia="Times New Roman"/>
                  <w:sz w:val="20"/>
                  <w:szCs w:val="20"/>
                </w:rPr>
                <w:t>nterprises L.P., Icahn Enterprises Holdings L.P. and Icahn Enterprises G.P. Inc., Icahn Onshore LP, Icahn Offshore LP and Icahn Capital LP, Icahn Partners LP, Icahn Partners Master Fund LP, Icahn Partners Master Fund II LP, Icahn Partners Master Fund III L</w:t>
              </w:r>
              <w:r>
                <w:rPr>
                  <w:rStyle w:val="a3"/>
                  <w:rFonts w:eastAsia="Times New Roman"/>
                  <w:sz w:val="20"/>
                  <w:szCs w:val="20"/>
                </w:rPr>
                <w:t>P, Carl C. Icahn, Brett Icahn, Samuel Merksamer, David Schechter, Vincent Intrieri and David Yim (incorporated by reference to Exhibit 10.2 to Icahn Enterprises' Form 10-Q (SEC File No. 1-9516), filed on August 9, 2011).</w:t>
              </w:r>
            </w:hyperlink>
          </w:p>
        </w:tc>
      </w:tr>
    </w:tbl>
    <w:p w14:paraId="7D35DC82" w14:textId="77777777" w:rsidR="00000000" w:rsidRDefault="00195E73">
      <w:pPr>
        <w:jc w:val="center"/>
        <w:divId w:val="944650414"/>
        <w:rPr>
          <w:rFonts w:eastAsia="Times New Roman"/>
        </w:rPr>
      </w:pPr>
      <w:r>
        <w:rPr>
          <w:rFonts w:eastAsia="Times New Roman"/>
          <w:color w:val="000000"/>
          <w:sz w:val="20"/>
          <w:szCs w:val="20"/>
        </w:rPr>
        <w:t>14</w:t>
      </w:r>
      <w:r>
        <w:rPr>
          <w:rFonts w:eastAsia="Times New Roman"/>
          <w:color w:val="000000"/>
          <w:sz w:val="20"/>
          <w:szCs w:val="20"/>
        </w:rPr>
        <w:t>4</w:t>
      </w:r>
    </w:p>
    <w:p w14:paraId="16595FDD" w14:textId="77777777" w:rsidR="00000000" w:rsidRDefault="00195E73">
      <w:pPr>
        <w:rPr>
          <w:rFonts w:eastAsia="Times New Roman"/>
        </w:rPr>
      </w:pPr>
      <w:r>
        <w:rPr>
          <w:rFonts w:eastAsia="Times New Roman"/>
        </w:rPr>
        <w:pict w14:anchorId="3BFCEF0D">
          <v:rect id="_x0000_i1170" style="width:0;height:1.5pt" o:hralign="center" o:hrstd="t" o:hr="t" fillcolor="#a0a0a0" stroked="f"/>
        </w:pict>
      </w:r>
    </w:p>
    <w:p w14:paraId="7DBF65D7" w14:textId="77777777" w:rsidR="00000000" w:rsidRDefault="00195E73">
      <w:pPr>
        <w:divId w:val="315694790"/>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73"/>
        <w:gridCol w:w="710"/>
        <w:gridCol w:w="85"/>
        <w:gridCol w:w="36"/>
        <w:gridCol w:w="36"/>
        <w:gridCol w:w="36"/>
        <w:gridCol w:w="70"/>
        <w:gridCol w:w="7173"/>
        <w:gridCol w:w="74"/>
      </w:tblGrid>
      <w:tr w:rsidR="00000000" w14:paraId="65D3553A" w14:textId="77777777">
        <w:trPr>
          <w:divId w:val="360059978"/>
          <w:jc w:val="center"/>
        </w:trPr>
        <w:tc>
          <w:tcPr>
            <w:tcW w:w="50" w:type="pct"/>
            <w:vAlign w:val="center"/>
            <w:hideMark/>
          </w:tcPr>
          <w:p w14:paraId="32B2F107" w14:textId="77777777" w:rsidR="00000000" w:rsidRDefault="00195E73">
            <w:pPr>
              <w:rPr>
                <w:rFonts w:eastAsia="Times New Roman"/>
              </w:rPr>
            </w:pPr>
          </w:p>
        </w:tc>
        <w:tc>
          <w:tcPr>
            <w:tcW w:w="434" w:type="pct"/>
            <w:vAlign w:val="center"/>
            <w:hideMark/>
          </w:tcPr>
          <w:p w14:paraId="15D56034" w14:textId="77777777" w:rsidR="00000000" w:rsidRDefault="00195E73">
            <w:pPr>
              <w:rPr>
                <w:rFonts w:eastAsia="Times New Roman"/>
                <w:sz w:val="20"/>
                <w:szCs w:val="20"/>
              </w:rPr>
            </w:pPr>
          </w:p>
        </w:tc>
        <w:tc>
          <w:tcPr>
            <w:tcW w:w="50" w:type="pct"/>
            <w:vAlign w:val="center"/>
            <w:hideMark/>
          </w:tcPr>
          <w:p w14:paraId="35D86962" w14:textId="77777777" w:rsidR="00000000" w:rsidRDefault="00195E73">
            <w:pPr>
              <w:rPr>
                <w:rFonts w:eastAsia="Times New Roman"/>
                <w:sz w:val="20"/>
                <w:szCs w:val="20"/>
              </w:rPr>
            </w:pPr>
          </w:p>
        </w:tc>
        <w:tc>
          <w:tcPr>
            <w:tcW w:w="5" w:type="pct"/>
            <w:vAlign w:val="center"/>
            <w:hideMark/>
          </w:tcPr>
          <w:p w14:paraId="4A4F9ACF" w14:textId="77777777" w:rsidR="00000000" w:rsidRDefault="00195E73">
            <w:pPr>
              <w:rPr>
                <w:rFonts w:eastAsia="Times New Roman"/>
                <w:sz w:val="20"/>
                <w:szCs w:val="20"/>
              </w:rPr>
            </w:pPr>
          </w:p>
        </w:tc>
        <w:tc>
          <w:tcPr>
            <w:tcW w:w="26" w:type="pct"/>
            <w:vAlign w:val="center"/>
            <w:hideMark/>
          </w:tcPr>
          <w:p w14:paraId="6AF2D89B" w14:textId="77777777" w:rsidR="00000000" w:rsidRDefault="00195E73">
            <w:pPr>
              <w:rPr>
                <w:rFonts w:eastAsia="Times New Roman"/>
                <w:sz w:val="20"/>
                <w:szCs w:val="20"/>
              </w:rPr>
            </w:pPr>
          </w:p>
        </w:tc>
        <w:tc>
          <w:tcPr>
            <w:tcW w:w="5" w:type="pct"/>
            <w:vAlign w:val="center"/>
            <w:hideMark/>
          </w:tcPr>
          <w:p w14:paraId="016C913F" w14:textId="77777777" w:rsidR="00000000" w:rsidRDefault="00195E73">
            <w:pPr>
              <w:rPr>
                <w:rFonts w:eastAsia="Times New Roman"/>
                <w:sz w:val="20"/>
                <w:szCs w:val="20"/>
              </w:rPr>
            </w:pPr>
          </w:p>
        </w:tc>
        <w:tc>
          <w:tcPr>
            <w:tcW w:w="50" w:type="pct"/>
            <w:vAlign w:val="center"/>
            <w:hideMark/>
          </w:tcPr>
          <w:p w14:paraId="3D0CD6C2" w14:textId="77777777" w:rsidR="00000000" w:rsidRDefault="00195E73">
            <w:pPr>
              <w:rPr>
                <w:rFonts w:eastAsia="Times New Roman"/>
                <w:sz w:val="20"/>
                <w:szCs w:val="20"/>
              </w:rPr>
            </w:pPr>
          </w:p>
        </w:tc>
        <w:tc>
          <w:tcPr>
            <w:tcW w:w="4329" w:type="pct"/>
            <w:vAlign w:val="center"/>
            <w:hideMark/>
          </w:tcPr>
          <w:p w14:paraId="3097A526" w14:textId="77777777" w:rsidR="00000000" w:rsidRDefault="00195E73">
            <w:pPr>
              <w:rPr>
                <w:rFonts w:eastAsia="Times New Roman"/>
                <w:sz w:val="20"/>
                <w:szCs w:val="20"/>
              </w:rPr>
            </w:pPr>
          </w:p>
        </w:tc>
        <w:tc>
          <w:tcPr>
            <w:tcW w:w="50" w:type="pct"/>
            <w:vAlign w:val="center"/>
            <w:hideMark/>
          </w:tcPr>
          <w:p w14:paraId="44A76B7C" w14:textId="77777777" w:rsidR="00000000" w:rsidRDefault="00195E73">
            <w:pPr>
              <w:rPr>
                <w:rFonts w:eastAsia="Times New Roman"/>
                <w:sz w:val="20"/>
                <w:szCs w:val="20"/>
              </w:rPr>
            </w:pPr>
          </w:p>
        </w:tc>
      </w:tr>
      <w:tr w:rsidR="00000000" w14:paraId="07E3CAE2" w14:textId="77777777">
        <w:trPr>
          <w:divId w:val="360059978"/>
          <w:jc w:val="center"/>
        </w:trPr>
        <w:tc>
          <w:tcPr>
            <w:tcW w:w="0" w:type="auto"/>
            <w:gridSpan w:val="2"/>
            <w:tcMar>
              <w:top w:w="30" w:type="dxa"/>
              <w:left w:w="20" w:type="dxa"/>
              <w:bottom w:w="30" w:type="dxa"/>
              <w:right w:w="0" w:type="dxa"/>
            </w:tcMar>
            <w:hideMark/>
          </w:tcPr>
          <w:p w14:paraId="77798276" w14:textId="77777777" w:rsidR="00000000" w:rsidRDefault="00195E73">
            <w:pPr>
              <w:jc w:val="center"/>
              <w:rPr>
                <w:rFonts w:eastAsia="Times New Roman"/>
              </w:rPr>
            </w:pPr>
            <w:r>
              <w:rPr>
                <w:rFonts w:eastAsia="Times New Roman"/>
                <w:color w:val="000000"/>
                <w:sz w:val="20"/>
                <w:szCs w:val="20"/>
              </w:rPr>
              <w:t>10.5</w:t>
            </w:r>
            <w:r>
              <w:rPr>
                <w:rFonts w:eastAsia="Times New Roman"/>
                <w:color w:val="000000"/>
                <w:sz w:val="20"/>
                <w:szCs w:val="20"/>
              </w:rPr>
              <w:t> </w:t>
            </w:r>
          </w:p>
        </w:tc>
        <w:tc>
          <w:tcPr>
            <w:tcW w:w="0" w:type="auto"/>
            <w:tcMar>
              <w:top w:w="30" w:type="dxa"/>
              <w:left w:w="15" w:type="dxa"/>
              <w:bottom w:w="30" w:type="dxa"/>
              <w:right w:w="20" w:type="dxa"/>
            </w:tcMar>
            <w:hideMark/>
          </w:tcPr>
          <w:p w14:paraId="0B8ED465"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0176CCFC"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45A28C0E" w14:textId="77777777" w:rsidR="00000000" w:rsidRDefault="00195E73">
            <w:pPr>
              <w:divId w:val="783618314"/>
              <w:rPr>
                <w:rFonts w:eastAsia="Times New Roman"/>
              </w:rPr>
            </w:pPr>
            <w:hyperlink r:id="rId38" w:history="1">
              <w:r>
                <w:rPr>
                  <w:rStyle w:val="a3"/>
                  <w:rFonts w:eastAsia="Times New Roman"/>
                  <w:sz w:val="20"/>
                  <w:szCs w:val="20"/>
                </w:rPr>
                <w:t>Registration Rights Agreement, dated January 18, 2017, among Icahn Enterprises, Icahn Enterprises Finance, Icahn Enterprises Holdings, as Guarantor, and Jefferies LLC, as the Initial Purchaser (incorporated by reference to Exhibit 10.1 to Icahn Enterprises</w:t>
              </w:r>
              <w:r>
                <w:rPr>
                  <w:rStyle w:val="a3"/>
                  <w:rFonts w:eastAsia="Times New Roman"/>
                  <w:sz w:val="20"/>
                  <w:szCs w:val="20"/>
                </w:rPr>
                <w:t>' and Icahn Enterprises Holdings' joint Form 8-K (SEC File Nos. 1-9516 and 333-118021-01, respectively), filed on January 18, 2017).</w:t>
              </w:r>
            </w:hyperlink>
          </w:p>
        </w:tc>
      </w:tr>
      <w:tr w:rsidR="00000000" w14:paraId="79E00CCA" w14:textId="77777777">
        <w:trPr>
          <w:divId w:val="360059978"/>
          <w:jc w:val="center"/>
        </w:trPr>
        <w:tc>
          <w:tcPr>
            <w:tcW w:w="0" w:type="auto"/>
            <w:gridSpan w:val="2"/>
            <w:tcMar>
              <w:top w:w="30" w:type="dxa"/>
              <w:left w:w="20" w:type="dxa"/>
              <w:bottom w:w="30" w:type="dxa"/>
              <w:right w:w="0" w:type="dxa"/>
            </w:tcMar>
            <w:hideMark/>
          </w:tcPr>
          <w:p w14:paraId="48EAFE38" w14:textId="77777777" w:rsidR="00000000" w:rsidRDefault="00195E73">
            <w:pPr>
              <w:jc w:val="center"/>
              <w:rPr>
                <w:rFonts w:eastAsia="Times New Roman"/>
              </w:rPr>
            </w:pPr>
            <w:r>
              <w:rPr>
                <w:rFonts w:eastAsia="Times New Roman"/>
                <w:color w:val="000000"/>
                <w:sz w:val="20"/>
                <w:szCs w:val="20"/>
              </w:rPr>
              <w:t>10.6</w:t>
            </w:r>
            <w:r>
              <w:rPr>
                <w:rFonts w:eastAsia="Times New Roman"/>
                <w:color w:val="000000"/>
                <w:sz w:val="20"/>
                <w:szCs w:val="20"/>
              </w:rPr>
              <w:t> </w:t>
            </w:r>
          </w:p>
        </w:tc>
        <w:tc>
          <w:tcPr>
            <w:tcW w:w="0" w:type="auto"/>
            <w:tcMar>
              <w:top w:w="30" w:type="dxa"/>
              <w:left w:w="15" w:type="dxa"/>
              <w:bottom w:w="30" w:type="dxa"/>
              <w:right w:w="20" w:type="dxa"/>
            </w:tcMar>
            <w:hideMark/>
          </w:tcPr>
          <w:p w14:paraId="7A277412"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569CCC8D"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58601A5B" w14:textId="77777777" w:rsidR="00000000" w:rsidRDefault="00195E73">
            <w:pPr>
              <w:divId w:val="719325959"/>
              <w:rPr>
                <w:rFonts w:eastAsia="Times New Roman"/>
              </w:rPr>
            </w:pPr>
            <w:hyperlink r:id="rId39" w:history="1">
              <w:r>
                <w:rPr>
                  <w:rStyle w:val="a3"/>
                  <w:rFonts w:eastAsia="Times New Roman"/>
                  <w:sz w:val="20"/>
                  <w:szCs w:val="20"/>
                </w:rPr>
                <w:t>Registr</w:t>
              </w:r>
              <w:r>
                <w:rPr>
                  <w:rStyle w:val="a3"/>
                  <w:rFonts w:eastAsia="Times New Roman"/>
                  <w:sz w:val="20"/>
                  <w:szCs w:val="20"/>
                </w:rPr>
                <w:t>ation Rights Agreement, dated December 6, 2017, among Icahn Enterprises, Icahn Enterprises Finance, Icahn Enterprises Holdings, as Guarantor, and Jefferies LLC, as the Initial Purchaser (incorporated by reference to Exhibit 10.1 to Icahn Enterprises' and I</w:t>
              </w:r>
              <w:r>
                <w:rPr>
                  <w:rStyle w:val="a3"/>
                  <w:rFonts w:eastAsia="Times New Roman"/>
                  <w:sz w:val="20"/>
                  <w:szCs w:val="20"/>
                </w:rPr>
                <w:t>cahn Enterprises Holdings' joint Form 8-K (SEC File Nos. 1-9516 and 333-118021-01, respectively), filed on December 6, 2017).</w:t>
              </w:r>
            </w:hyperlink>
          </w:p>
        </w:tc>
      </w:tr>
      <w:tr w:rsidR="00000000" w14:paraId="461F9FE2" w14:textId="77777777">
        <w:trPr>
          <w:divId w:val="360059978"/>
          <w:jc w:val="center"/>
        </w:trPr>
        <w:tc>
          <w:tcPr>
            <w:tcW w:w="0" w:type="auto"/>
            <w:gridSpan w:val="2"/>
            <w:tcMar>
              <w:top w:w="30" w:type="dxa"/>
              <w:left w:w="20" w:type="dxa"/>
              <w:bottom w:w="30" w:type="dxa"/>
              <w:right w:w="0" w:type="dxa"/>
            </w:tcMar>
            <w:hideMark/>
          </w:tcPr>
          <w:p w14:paraId="2357ABA1" w14:textId="77777777" w:rsidR="00000000" w:rsidRDefault="00195E73">
            <w:pPr>
              <w:jc w:val="center"/>
              <w:rPr>
                <w:rFonts w:eastAsia="Times New Roman"/>
              </w:rPr>
            </w:pPr>
            <w:r>
              <w:rPr>
                <w:rFonts w:eastAsia="Times New Roman"/>
                <w:color w:val="000000"/>
                <w:sz w:val="20"/>
                <w:szCs w:val="20"/>
              </w:rPr>
              <w:t>10.7</w:t>
            </w:r>
            <w:r>
              <w:rPr>
                <w:rFonts w:eastAsia="Times New Roman"/>
                <w:color w:val="000000"/>
                <w:sz w:val="20"/>
                <w:szCs w:val="20"/>
              </w:rPr>
              <w:t> </w:t>
            </w:r>
          </w:p>
        </w:tc>
        <w:tc>
          <w:tcPr>
            <w:tcW w:w="0" w:type="auto"/>
            <w:tcMar>
              <w:top w:w="30" w:type="dxa"/>
              <w:left w:w="15" w:type="dxa"/>
              <w:bottom w:w="30" w:type="dxa"/>
              <w:right w:w="20" w:type="dxa"/>
            </w:tcMar>
            <w:hideMark/>
          </w:tcPr>
          <w:p w14:paraId="755FF7E8"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7DB676DD"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5BFAF897" w14:textId="77777777" w:rsidR="00000000" w:rsidRDefault="00195E73">
            <w:pPr>
              <w:divId w:val="593781324"/>
              <w:rPr>
                <w:rFonts w:eastAsia="Times New Roman"/>
              </w:rPr>
            </w:pPr>
            <w:hyperlink r:id="rId40" w:history="1">
              <w:r>
                <w:rPr>
                  <w:rStyle w:val="a3"/>
                  <w:rFonts w:eastAsia="Times New Roman"/>
                  <w:sz w:val="20"/>
                  <w:szCs w:val="20"/>
                </w:rPr>
                <w:t>Registration Rights Agreement, dated May 10, 2019, among Icahn Enterprises, Icahn Enterprises Finance, Icahn Enterprises Holdings, as Guarantor, and Jeffer</w:t>
              </w:r>
              <w:r>
                <w:rPr>
                  <w:rStyle w:val="a3"/>
                  <w:rFonts w:eastAsia="Times New Roman"/>
                  <w:sz w:val="20"/>
                  <w:szCs w:val="20"/>
                </w:rPr>
                <w:t>ies LLC, as the Initial Purchaser (incorporated by reference to Exhibit 10.1 to Icahn Enterprises' and Icahn Enterprises Holdings' joint Form 8-K (SEC File Nos. 1-9516 and 333-118021-01, respectively), filed on May 10, 2019).</w:t>
              </w:r>
            </w:hyperlink>
          </w:p>
        </w:tc>
      </w:tr>
      <w:tr w:rsidR="00000000" w14:paraId="259B7B54" w14:textId="77777777">
        <w:trPr>
          <w:divId w:val="360059978"/>
          <w:jc w:val="center"/>
        </w:trPr>
        <w:tc>
          <w:tcPr>
            <w:tcW w:w="0" w:type="auto"/>
            <w:gridSpan w:val="2"/>
            <w:tcMar>
              <w:top w:w="30" w:type="dxa"/>
              <w:left w:w="20" w:type="dxa"/>
              <w:bottom w:w="30" w:type="dxa"/>
              <w:right w:w="0" w:type="dxa"/>
            </w:tcMar>
            <w:hideMark/>
          </w:tcPr>
          <w:p w14:paraId="46457193" w14:textId="77777777" w:rsidR="00000000" w:rsidRDefault="00195E73">
            <w:pPr>
              <w:jc w:val="center"/>
              <w:rPr>
                <w:rFonts w:eastAsia="Times New Roman"/>
              </w:rPr>
            </w:pPr>
            <w:r>
              <w:rPr>
                <w:rFonts w:eastAsia="Times New Roman"/>
                <w:color w:val="000000"/>
                <w:sz w:val="20"/>
                <w:szCs w:val="20"/>
              </w:rPr>
              <w:t>10.8</w:t>
            </w:r>
            <w:r>
              <w:rPr>
                <w:rFonts w:eastAsia="Times New Roman"/>
                <w:color w:val="000000"/>
                <w:sz w:val="20"/>
                <w:szCs w:val="20"/>
              </w:rPr>
              <w:t> </w:t>
            </w:r>
          </w:p>
        </w:tc>
        <w:tc>
          <w:tcPr>
            <w:tcW w:w="0" w:type="auto"/>
            <w:tcMar>
              <w:top w:w="30" w:type="dxa"/>
              <w:left w:w="15" w:type="dxa"/>
              <w:bottom w:w="30" w:type="dxa"/>
              <w:right w:w="20" w:type="dxa"/>
            </w:tcMar>
            <w:hideMark/>
          </w:tcPr>
          <w:p w14:paraId="7122F163"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64934CC3"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01F4C0F7" w14:textId="77777777" w:rsidR="00000000" w:rsidRDefault="00195E73">
            <w:pPr>
              <w:divId w:val="515312110"/>
              <w:rPr>
                <w:rFonts w:eastAsia="Times New Roman"/>
              </w:rPr>
            </w:pPr>
            <w:hyperlink r:id="rId41" w:history="1">
              <w:r>
                <w:rPr>
                  <w:rStyle w:val="a3"/>
                  <w:rFonts w:eastAsia="Times New Roman"/>
                  <w:sz w:val="20"/>
                  <w:szCs w:val="20"/>
                </w:rPr>
                <w:t>Registration Rights Agreement, dated June 27, 2019, among Icahn Enterprises, Icahn Enterprises Finance, Icahn Enterprises Holdings, as Guarantor, and Jefferies LLC, as the Initial Purchaser (incorporated by reference to Exhibit 10.1 to Icahn Enterprises' a</w:t>
              </w:r>
              <w:r>
                <w:rPr>
                  <w:rStyle w:val="a3"/>
                  <w:rFonts w:eastAsia="Times New Roman"/>
                  <w:sz w:val="20"/>
                  <w:szCs w:val="20"/>
                </w:rPr>
                <w:t>nd Icahn Enterprises Holdings' joint Form 8-K (SEC File Nos. 1-9516 and 333-118021-01, respectively), filed on June 27, 2019).</w:t>
              </w:r>
            </w:hyperlink>
          </w:p>
        </w:tc>
      </w:tr>
      <w:tr w:rsidR="00000000" w14:paraId="5756CB40" w14:textId="77777777">
        <w:trPr>
          <w:divId w:val="360059978"/>
          <w:jc w:val="center"/>
        </w:trPr>
        <w:tc>
          <w:tcPr>
            <w:tcW w:w="0" w:type="auto"/>
            <w:gridSpan w:val="2"/>
            <w:tcMar>
              <w:top w:w="30" w:type="dxa"/>
              <w:left w:w="20" w:type="dxa"/>
              <w:bottom w:w="30" w:type="dxa"/>
              <w:right w:w="0" w:type="dxa"/>
            </w:tcMar>
            <w:hideMark/>
          </w:tcPr>
          <w:p w14:paraId="58D716D0" w14:textId="77777777" w:rsidR="00000000" w:rsidRDefault="00195E73">
            <w:pPr>
              <w:jc w:val="center"/>
              <w:rPr>
                <w:rFonts w:eastAsia="Times New Roman"/>
              </w:rPr>
            </w:pPr>
            <w:r>
              <w:rPr>
                <w:rFonts w:eastAsia="Times New Roman"/>
                <w:color w:val="000000"/>
                <w:sz w:val="20"/>
                <w:szCs w:val="20"/>
              </w:rPr>
              <w:t>10.9</w:t>
            </w:r>
            <w:r>
              <w:rPr>
                <w:rFonts w:eastAsia="Times New Roman"/>
                <w:color w:val="000000"/>
                <w:sz w:val="20"/>
                <w:szCs w:val="20"/>
              </w:rPr>
              <w:t> </w:t>
            </w:r>
          </w:p>
        </w:tc>
        <w:tc>
          <w:tcPr>
            <w:tcW w:w="0" w:type="auto"/>
            <w:tcMar>
              <w:top w:w="30" w:type="dxa"/>
              <w:left w:w="15" w:type="dxa"/>
              <w:bottom w:w="30" w:type="dxa"/>
              <w:right w:w="20" w:type="dxa"/>
            </w:tcMar>
            <w:hideMark/>
          </w:tcPr>
          <w:p w14:paraId="4E931D7A"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7CDEAB15"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055635B3" w14:textId="77777777" w:rsidR="00000000" w:rsidRDefault="00195E73">
            <w:pPr>
              <w:divId w:val="123237256"/>
              <w:rPr>
                <w:rFonts w:eastAsia="Times New Roman"/>
              </w:rPr>
            </w:pPr>
            <w:hyperlink r:id="rId42" w:history="1">
              <w:r>
                <w:rPr>
                  <w:rStyle w:val="a3"/>
                  <w:rFonts w:eastAsia="Times New Roman"/>
                  <w:sz w:val="20"/>
                  <w:szCs w:val="20"/>
                </w:rPr>
                <w:t>Registration Rights Agreement, dated September 6, 2019, among Icahn Enterprises, Icahn Enterprises Finance, Icahn Enterprises Holdings, as Guarantor, and J</w:t>
              </w:r>
              <w:r>
                <w:rPr>
                  <w:rStyle w:val="a3"/>
                  <w:rFonts w:eastAsia="Times New Roman"/>
                  <w:sz w:val="20"/>
                  <w:szCs w:val="20"/>
                </w:rPr>
                <w:t>efferies LLC, as the Initial Purchaser (incorporated by reference to Exhibit 10.1 to Icahn Enterprises' and Icahn Enterprises Holdings' joint Form 8-K (SEC File Nos. 1-9516 and 333-118021-01, respectively), filed on September 6, 2019).</w:t>
              </w:r>
            </w:hyperlink>
          </w:p>
        </w:tc>
      </w:tr>
      <w:tr w:rsidR="00000000" w14:paraId="71DC74D3" w14:textId="77777777">
        <w:trPr>
          <w:divId w:val="360059978"/>
          <w:jc w:val="center"/>
        </w:trPr>
        <w:tc>
          <w:tcPr>
            <w:tcW w:w="0" w:type="auto"/>
            <w:gridSpan w:val="2"/>
            <w:tcMar>
              <w:top w:w="30" w:type="dxa"/>
              <w:left w:w="20" w:type="dxa"/>
              <w:bottom w:w="30" w:type="dxa"/>
              <w:right w:w="0" w:type="dxa"/>
            </w:tcMar>
            <w:hideMark/>
          </w:tcPr>
          <w:p w14:paraId="37C02B12" w14:textId="77777777" w:rsidR="00000000" w:rsidRDefault="00195E73">
            <w:pPr>
              <w:jc w:val="center"/>
              <w:rPr>
                <w:rFonts w:eastAsia="Times New Roman"/>
              </w:rPr>
            </w:pPr>
            <w:r>
              <w:rPr>
                <w:rFonts w:eastAsia="Times New Roman"/>
                <w:color w:val="000000"/>
                <w:sz w:val="20"/>
                <w:szCs w:val="20"/>
              </w:rPr>
              <w:t>10.10</w:t>
            </w:r>
            <w:r>
              <w:rPr>
                <w:rFonts w:eastAsia="Times New Roman"/>
                <w:color w:val="000000"/>
                <w:sz w:val="20"/>
                <w:szCs w:val="20"/>
              </w:rPr>
              <w:t> </w:t>
            </w:r>
          </w:p>
        </w:tc>
        <w:tc>
          <w:tcPr>
            <w:tcW w:w="0" w:type="auto"/>
            <w:tcMar>
              <w:top w:w="30" w:type="dxa"/>
              <w:left w:w="15" w:type="dxa"/>
              <w:bottom w:w="30" w:type="dxa"/>
              <w:right w:w="20" w:type="dxa"/>
            </w:tcMar>
            <w:hideMark/>
          </w:tcPr>
          <w:p w14:paraId="62411CB1"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76F69341"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6C7C2676" w14:textId="77777777" w:rsidR="00000000" w:rsidRDefault="00195E73">
            <w:pPr>
              <w:divId w:val="1577205410"/>
              <w:rPr>
                <w:rFonts w:eastAsia="Times New Roman"/>
              </w:rPr>
            </w:pPr>
            <w:hyperlink r:id="rId43" w:history="1">
              <w:r>
                <w:rPr>
                  <w:rStyle w:val="a3"/>
                  <w:rFonts w:eastAsia="Times New Roman"/>
                  <w:sz w:val="20"/>
                  <w:szCs w:val="20"/>
                </w:rPr>
                <w:t>Registration Rights Agreement, dated December 12, 2019, among Icahn Enterprises, Icahn Enterprises Finance, Icahn Enterprises Holdings, as Guarantor, and Je</w:t>
              </w:r>
              <w:r>
                <w:rPr>
                  <w:rStyle w:val="a3"/>
                  <w:rFonts w:eastAsia="Times New Roman"/>
                  <w:sz w:val="20"/>
                  <w:szCs w:val="20"/>
                </w:rPr>
                <w:t>fferies LLC, as the Initial Purchaser (incorporated by reference to Exhibit 10.1 to Icahn Enterprises' and Icahn Enterprises Holdings' joint Form 8-K (SEC File Nos. 1-9516 and 333-118021-01, respectively), filed on December 12, 2019).</w:t>
              </w:r>
            </w:hyperlink>
          </w:p>
        </w:tc>
      </w:tr>
      <w:tr w:rsidR="00000000" w14:paraId="348D5E88" w14:textId="77777777">
        <w:trPr>
          <w:divId w:val="360059978"/>
          <w:jc w:val="center"/>
        </w:trPr>
        <w:tc>
          <w:tcPr>
            <w:tcW w:w="0" w:type="auto"/>
            <w:gridSpan w:val="2"/>
            <w:tcMar>
              <w:top w:w="30" w:type="dxa"/>
              <w:left w:w="20" w:type="dxa"/>
              <w:bottom w:w="30" w:type="dxa"/>
              <w:right w:w="0" w:type="dxa"/>
            </w:tcMar>
            <w:hideMark/>
          </w:tcPr>
          <w:p w14:paraId="317ABB83" w14:textId="77777777" w:rsidR="00000000" w:rsidRDefault="00195E73">
            <w:pPr>
              <w:jc w:val="center"/>
              <w:rPr>
                <w:rFonts w:eastAsia="Times New Roman"/>
              </w:rPr>
            </w:pPr>
            <w:r>
              <w:rPr>
                <w:rFonts w:eastAsia="Times New Roman"/>
                <w:color w:val="000000"/>
                <w:sz w:val="20"/>
                <w:szCs w:val="20"/>
              </w:rPr>
              <w:t>10.11</w:t>
            </w:r>
            <w:r>
              <w:rPr>
                <w:rFonts w:eastAsia="Times New Roman"/>
                <w:color w:val="000000"/>
                <w:sz w:val="20"/>
                <w:szCs w:val="20"/>
              </w:rPr>
              <w:t> </w:t>
            </w:r>
          </w:p>
        </w:tc>
        <w:tc>
          <w:tcPr>
            <w:tcW w:w="0" w:type="auto"/>
            <w:tcMar>
              <w:top w:w="30" w:type="dxa"/>
              <w:left w:w="15" w:type="dxa"/>
              <w:bottom w:w="30" w:type="dxa"/>
              <w:right w:w="20" w:type="dxa"/>
            </w:tcMar>
            <w:hideMark/>
          </w:tcPr>
          <w:p w14:paraId="4C7869FB"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2869069"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3F5ED7E6" w14:textId="77777777" w:rsidR="00000000" w:rsidRDefault="00195E73">
            <w:pPr>
              <w:divId w:val="1871607955"/>
              <w:rPr>
                <w:rFonts w:eastAsia="Times New Roman"/>
              </w:rPr>
            </w:pPr>
            <w:hyperlink r:id="rId44" w:history="1">
              <w:r>
                <w:rPr>
                  <w:rStyle w:val="a3"/>
                  <w:rFonts w:eastAsia="Times New Roman"/>
                  <w:sz w:val="20"/>
                  <w:szCs w:val="20"/>
                </w:rPr>
                <w:t>Registration Rights Agreement, dated January 9, 2020, among Icahn Enterprises, Icahn Enterprises Finance, Icahn Enterprises Holdings, as Guarantor, and Jeffer</w:t>
              </w:r>
              <w:r>
                <w:rPr>
                  <w:rStyle w:val="a3"/>
                  <w:rFonts w:eastAsia="Times New Roman"/>
                  <w:sz w:val="20"/>
                  <w:szCs w:val="20"/>
                </w:rPr>
                <w:t>ies LLC, as the Initial Purchaser (incorporated by reference to Exhibit 10.1 to Icahn Enterprises' and Icahn Enterprises Holdings' joint Form 8-K (SEC File Nos. 1-9516 and 333-118021-01, respectively), filed on January 9, 2020).</w:t>
              </w:r>
            </w:hyperlink>
          </w:p>
        </w:tc>
      </w:tr>
      <w:tr w:rsidR="00000000" w14:paraId="5FA320D1" w14:textId="77777777">
        <w:trPr>
          <w:divId w:val="360059978"/>
          <w:jc w:val="center"/>
        </w:trPr>
        <w:tc>
          <w:tcPr>
            <w:tcW w:w="0" w:type="auto"/>
            <w:gridSpan w:val="2"/>
            <w:tcMar>
              <w:top w:w="30" w:type="dxa"/>
              <w:left w:w="20" w:type="dxa"/>
              <w:bottom w:w="30" w:type="dxa"/>
              <w:right w:w="0" w:type="dxa"/>
            </w:tcMar>
            <w:hideMark/>
          </w:tcPr>
          <w:p w14:paraId="2E70684A" w14:textId="77777777" w:rsidR="00000000" w:rsidRDefault="00195E73">
            <w:pPr>
              <w:jc w:val="center"/>
              <w:rPr>
                <w:rFonts w:eastAsia="Times New Roman"/>
              </w:rPr>
            </w:pPr>
            <w:r>
              <w:rPr>
                <w:rFonts w:eastAsia="Times New Roman"/>
                <w:color w:val="000000"/>
                <w:sz w:val="20"/>
                <w:szCs w:val="20"/>
              </w:rPr>
              <w:t>10.12</w:t>
            </w:r>
            <w:r>
              <w:rPr>
                <w:rFonts w:eastAsia="Times New Roman"/>
                <w:color w:val="000000"/>
                <w:sz w:val="20"/>
                <w:szCs w:val="20"/>
              </w:rPr>
              <w:t> </w:t>
            </w:r>
          </w:p>
        </w:tc>
        <w:tc>
          <w:tcPr>
            <w:tcW w:w="0" w:type="auto"/>
            <w:tcMar>
              <w:top w:w="30" w:type="dxa"/>
              <w:left w:w="15" w:type="dxa"/>
              <w:bottom w:w="30" w:type="dxa"/>
              <w:right w:w="20" w:type="dxa"/>
            </w:tcMar>
            <w:hideMark/>
          </w:tcPr>
          <w:p w14:paraId="295DB367"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0AB84C11"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5B4ACCE4" w14:textId="77777777" w:rsidR="00000000" w:rsidRDefault="00195E73">
            <w:pPr>
              <w:divId w:val="1303314716"/>
              <w:rPr>
                <w:rFonts w:eastAsia="Times New Roman"/>
              </w:rPr>
            </w:pPr>
            <w:hyperlink r:id="rId45" w:history="1">
              <w:r>
                <w:rPr>
                  <w:rStyle w:val="a3"/>
                  <w:rFonts w:eastAsia="Times New Roman"/>
                  <w:sz w:val="20"/>
                  <w:szCs w:val="20"/>
                </w:rPr>
                <w:t xml:space="preserve">Registration Rights Agreement, dated January 28, 2020, among Icahn Enterprises, Icahn Enterprises Finance, Icahn Enterprises Holdings, as Guarantor, and </w:t>
              </w:r>
              <w:r>
                <w:rPr>
                  <w:rStyle w:val="a3"/>
                  <w:rFonts w:eastAsia="Times New Roman"/>
                  <w:sz w:val="20"/>
                  <w:szCs w:val="20"/>
                </w:rPr>
                <w:t>Jefferies LLC, as the Initial Purchaser (incorporated by reference to Exhibit 10.1 to Icahn Enterprises' and Icahn Enterprises Holdings' joint Form 8-K (SEC File Nos. 1-9516 and 333-118021-01, respectively), filed on January 28, 2020).</w:t>
              </w:r>
            </w:hyperlink>
          </w:p>
        </w:tc>
      </w:tr>
      <w:tr w:rsidR="00000000" w14:paraId="636B0CDE" w14:textId="77777777">
        <w:trPr>
          <w:divId w:val="360059978"/>
          <w:jc w:val="center"/>
        </w:trPr>
        <w:tc>
          <w:tcPr>
            <w:tcW w:w="0" w:type="auto"/>
            <w:gridSpan w:val="2"/>
            <w:tcMar>
              <w:top w:w="30" w:type="dxa"/>
              <w:left w:w="20" w:type="dxa"/>
              <w:bottom w:w="30" w:type="dxa"/>
              <w:right w:w="0" w:type="dxa"/>
            </w:tcMar>
            <w:hideMark/>
          </w:tcPr>
          <w:p w14:paraId="102ED18A" w14:textId="77777777" w:rsidR="00000000" w:rsidRDefault="00195E73">
            <w:pPr>
              <w:jc w:val="center"/>
              <w:rPr>
                <w:rFonts w:eastAsia="Times New Roman"/>
              </w:rPr>
            </w:pPr>
            <w:r>
              <w:rPr>
                <w:rFonts w:eastAsia="Times New Roman"/>
                <w:color w:val="000000"/>
                <w:sz w:val="20"/>
                <w:szCs w:val="20"/>
              </w:rPr>
              <w:t>10.13</w:t>
            </w:r>
            <w:r>
              <w:rPr>
                <w:rFonts w:eastAsia="Times New Roman"/>
                <w:color w:val="000000"/>
                <w:sz w:val="20"/>
                <w:szCs w:val="20"/>
              </w:rPr>
              <w:t> </w:t>
            </w:r>
          </w:p>
        </w:tc>
        <w:tc>
          <w:tcPr>
            <w:tcW w:w="0" w:type="auto"/>
            <w:tcMar>
              <w:top w:w="30" w:type="dxa"/>
              <w:left w:w="15" w:type="dxa"/>
              <w:bottom w:w="30" w:type="dxa"/>
              <w:right w:w="20" w:type="dxa"/>
            </w:tcMar>
            <w:hideMark/>
          </w:tcPr>
          <w:p w14:paraId="6F2945EA"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D6C1759"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56C87631" w14:textId="77777777" w:rsidR="00000000" w:rsidRDefault="00195E73">
            <w:pPr>
              <w:divId w:val="690230973"/>
              <w:rPr>
                <w:rFonts w:eastAsia="Times New Roman"/>
              </w:rPr>
            </w:pPr>
            <w:hyperlink r:id="rId46" w:history="1">
              <w:r>
                <w:rPr>
                  <w:rStyle w:val="a3"/>
                  <w:rFonts w:eastAsia="Times New Roman"/>
                  <w:sz w:val="20"/>
                  <w:szCs w:val="20"/>
                </w:rPr>
                <w:t>Amendment No. 1 and Joinder to Purchase and Sale Agreement, dated October 1, 2018, by and among Tropicana Entertainment Inc., GLP Capital, L.P. and Eldorado Reso</w:t>
              </w:r>
              <w:r>
                <w:rPr>
                  <w:rStyle w:val="a3"/>
                  <w:rFonts w:eastAsia="Times New Roman"/>
                  <w:sz w:val="20"/>
                  <w:szCs w:val="20"/>
                </w:rPr>
                <w:t>rts, Inc. (incorporated by reference to Exhibit 10.1 to Icahn Enterprises' and Icahn Enterprises Holdings' joint Form 8-K (SEC File Nos. 1-9516 and 333-118021-01, respectively) file October 2, 2018).</w:t>
              </w:r>
            </w:hyperlink>
          </w:p>
        </w:tc>
      </w:tr>
      <w:tr w:rsidR="00000000" w14:paraId="55A6344B" w14:textId="77777777">
        <w:trPr>
          <w:divId w:val="360059978"/>
          <w:jc w:val="center"/>
        </w:trPr>
        <w:tc>
          <w:tcPr>
            <w:tcW w:w="0" w:type="auto"/>
            <w:gridSpan w:val="2"/>
            <w:tcMar>
              <w:top w:w="30" w:type="dxa"/>
              <w:left w:w="20" w:type="dxa"/>
              <w:bottom w:w="30" w:type="dxa"/>
              <w:right w:w="0" w:type="dxa"/>
            </w:tcMar>
            <w:hideMark/>
          </w:tcPr>
          <w:p w14:paraId="1CD97D0A" w14:textId="77777777" w:rsidR="00000000" w:rsidRDefault="00195E73">
            <w:pPr>
              <w:jc w:val="center"/>
              <w:rPr>
                <w:rFonts w:eastAsia="Times New Roman"/>
              </w:rPr>
            </w:pPr>
            <w:r>
              <w:rPr>
                <w:rFonts w:eastAsia="Times New Roman"/>
                <w:color w:val="000000"/>
                <w:sz w:val="20"/>
                <w:szCs w:val="20"/>
              </w:rPr>
              <w:t>10.14</w:t>
            </w:r>
            <w:r>
              <w:rPr>
                <w:rFonts w:eastAsia="Times New Roman"/>
                <w:color w:val="000000"/>
                <w:sz w:val="20"/>
                <w:szCs w:val="20"/>
              </w:rPr>
              <w:t> </w:t>
            </w:r>
          </w:p>
        </w:tc>
        <w:tc>
          <w:tcPr>
            <w:tcW w:w="0" w:type="auto"/>
            <w:tcMar>
              <w:top w:w="30" w:type="dxa"/>
              <w:left w:w="15" w:type="dxa"/>
              <w:bottom w:w="30" w:type="dxa"/>
              <w:right w:w="20" w:type="dxa"/>
            </w:tcMar>
            <w:hideMark/>
          </w:tcPr>
          <w:p w14:paraId="5E9E9AAF"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05A1124E"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0F47EEF0" w14:textId="77777777" w:rsidR="00000000" w:rsidRDefault="00195E73">
            <w:pPr>
              <w:divId w:val="1392971017"/>
              <w:rPr>
                <w:rFonts w:eastAsia="Times New Roman"/>
              </w:rPr>
            </w:pPr>
            <w:hyperlink r:id="rId47" w:history="1">
              <w:r>
                <w:rPr>
                  <w:rStyle w:val="a3"/>
                  <w:rFonts w:eastAsia="Times New Roman"/>
                  <w:sz w:val="20"/>
                  <w:szCs w:val="20"/>
                </w:rPr>
                <w:t>Employment Agreement with Keith Cozza, dated December 20, 2019 (incorporated by reference to Exhibit 10.1 to Icahn Enterprises' and Icahn Enterprises Holdings' joint Form 8-K (SEC File Nos. 1-9516 and 333-118021-01, respectively), filed on December 23, 201</w:t>
              </w:r>
              <w:r>
                <w:rPr>
                  <w:rStyle w:val="a3"/>
                  <w:rFonts w:eastAsia="Times New Roman"/>
                  <w:sz w:val="20"/>
                  <w:szCs w:val="20"/>
                </w:rPr>
                <w:t>9).</w:t>
              </w:r>
            </w:hyperlink>
          </w:p>
        </w:tc>
      </w:tr>
      <w:tr w:rsidR="00000000" w14:paraId="1E5983E1" w14:textId="77777777">
        <w:trPr>
          <w:divId w:val="360059978"/>
          <w:jc w:val="center"/>
        </w:trPr>
        <w:tc>
          <w:tcPr>
            <w:tcW w:w="0" w:type="auto"/>
            <w:gridSpan w:val="2"/>
            <w:tcMar>
              <w:top w:w="30" w:type="dxa"/>
              <w:left w:w="20" w:type="dxa"/>
              <w:bottom w:w="30" w:type="dxa"/>
              <w:right w:w="0" w:type="dxa"/>
            </w:tcMar>
            <w:hideMark/>
          </w:tcPr>
          <w:p w14:paraId="6431098B" w14:textId="77777777" w:rsidR="00000000" w:rsidRDefault="00195E73">
            <w:pPr>
              <w:jc w:val="center"/>
              <w:rPr>
                <w:rFonts w:eastAsia="Times New Roman"/>
              </w:rPr>
            </w:pPr>
            <w:r>
              <w:rPr>
                <w:rFonts w:eastAsia="Times New Roman"/>
                <w:color w:val="000000"/>
                <w:sz w:val="20"/>
                <w:szCs w:val="20"/>
              </w:rPr>
              <w:t>14.1</w:t>
            </w:r>
            <w:r>
              <w:rPr>
                <w:rFonts w:eastAsia="Times New Roman"/>
                <w:color w:val="000000"/>
                <w:sz w:val="20"/>
                <w:szCs w:val="20"/>
              </w:rPr>
              <w:t> </w:t>
            </w:r>
          </w:p>
        </w:tc>
        <w:tc>
          <w:tcPr>
            <w:tcW w:w="0" w:type="auto"/>
            <w:tcMar>
              <w:top w:w="30" w:type="dxa"/>
              <w:left w:w="15" w:type="dxa"/>
              <w:bottom w:w="30" w:type="dxa"/>
              <w:right w:w="20" w:type="dxa"/>
            </w:tcMar>
            <w:hideMark/>
          </w:tcPr>
          <w:p w14:paraId="484813B4"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028C40C"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6F5CA2B" w14:textId="77777777" w:rsidR="00000000" w:rsidRDefault="00195E73">
            <w:pPr>
              <w:divId w:val="313413338"/>
              <w:rPr>
                <w:rFonts w:eastAsia="Times New Roman"/>
              </w:rPr>
            </w:pPr>
            <w:hyperlink r:id="rId48" w:history="1">
              <w:r>
                <w:rPr>
                  <w:rStyle w:val="a3"/>
                  <w:rFonts w:eastAsia="Times New Roman"/>
                  <w:sz w:val="20"/>
                  <w:szCs w:val="20"/>
                </w:rPr>
                <w:t>Code of Business Conduct and Ethics (incorporated by reference to Exhibit 14.1 to Icahn Enterprises' Form 10-Q for the quart</w:t>
              </w:r>
              <w:r>
                <w:rPr>
                  <w:rStyle w:val="a3"/>
                  <w:rFonts w:eastAsia="Times New Roman"/>
                  <w:sz w:val="20"/>
                  <w:szCs w:val="20"/>
                </w:rPr>
                <w:t>er ended September 30, 2012 (SEC File No. 1-9516), filed on November 7, 2012).</w:t>
              </w:r>
            </w:hyperlink>
          </w:p>
        </w:tc>
      </w:tr>
      <w:tr w:rsidR="00000000" w14:paraId="14D1F9F5" w14:textId="77777777">
        <w:trPr>
          <w:divId w:val="360059978"/>
          <w:jc w:val="center"/>
        </w:trPr>
        <w:tc>
          <w:tcPr>
            <w:tcW w:w="0" w:type="auto"/>
            <w:gridSpan w:val="2"/>
            <w:tcMar>
              <w:top w:w="30" w:type="dxa"/>
              <w:left w:w="20" w:type="dxa"/>
              <w:bottom w:w="30" w:type="dxa"/>
              <w:right w:w="0" w:type="dxa"/>
            </w:tcMar>
            <w:hideMark/>
          </w:tcPr>
          <w:p w14:paraId="6B250150" w14:textId="77777777" w:rsidR="00000000" w:rsidRDefault="00195E73">
            <w:pPr>
              <w:jc w:val="center"/>
              <w:rPr>
                <w:rFonts w:eastAsia="Times New Roman"/>
              </w:rPr>
            </w:pPr>
            <w:r>
              <w:rPr>
                <w:rFonts w:eastAsia="Times New Roman"/>
                <w:color w:val="000000"/>
                <w:sz w:val="20"/>
                <w:szCs w:val="20"/>
              </w:rPr>
              <w:t>21.1</w:t>
            </w:r>
            <w:r>
              <w:rPr>
                <w:rFonts w:eastAsia="Times New Roman"/>
                <w:color w:val="000000"/>
                <w:sz w:val="20"/>
                <w:szCs w:val="20"/>
              </w:rPr>
              <w:t> </w:t>
            </w:r>
          </w:p>
        </w:tc>
        <w:tc>
          <w:tcPr>
            <w:tcW w:w="0" w:type="auto"/>
            <w:tcMar>
              <w:top w:w="30" w:type="dxa"/>
              <w:left w:w="15" w:type="dxa"/>
              <w:bottom w:w="30" w:type="dxa"/>
              <w:right w:w="20" w:type="dxa"/>
            </w:tcMar>
            <w:hideMark/>
          </w:tcPr>
          <w:p w14:paraId="05B04B35"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741EE85"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17683BFC" w14:textId="77777777" w:rsidR="00000000" w:rsidRDefault="00195E73">
            <w:pPr>
              <w:divId w:val="801774544"/>
              <w:rPr>
                <w:rFonts w:eastAsia="Times New Roman"/>
              </w:rPr>
            </w:pPr>
            <w:hyperlink r:id="rId49" w:history="1">
              <w:r>
                <w:rPr>
                  <w:rStyle w:val="a3"/>
                  <w:rFonts w:eastAsia="Times New Roman"/>
                  <w:sz w:val="20"/>
                  <w:szCs w:val="20"/>
                </w:rPr>
                <w:t>Subsidiaries of the Registrants.</w:t>
              </w:r>
            </w:hyperlink>
          </w:p>
        </w:tc>
      </w:tr>
      <w:tr w:rsidR="00000000" w14:paraId="60F5956A" w14:textId="77777777">
        <w:trPr>
          <w:divId w:val="360059978"/>
          <w:jc w:val="center"/>
        </w:trPr>
        <w:tc>
          <w:tcPr>
            <w:tcW w:w="0" w:type="auto"/>
            <w:gridSpan w:val="2"/>
            <w:tcMar>
              <w:top w:w="30" w:type="dxa"/>
              <w:left w:w="20" w:type="dxa"/>
              <w:bottom w:w="30" w:type="dxa"/>
              <w:right w:w="0" w:type="dxa"/>
            </w:tcMar>
            <w:hideMark/>
          </w:tcPr>
          <w:p w14:paraId="566EE373" w14:textId="77777777" w:rsidR="00000000" w:rsidRDefault="00195E73">
            <w:pPr>
              <w:jc w:val="center"/>
              <w:rPr>
                <w:rFonts w:eastAsia="Times New Roman"/>
              </w:rPr>
            </w:pPr>
            <w:r>
              <w:rPr>
                <w:rFonts w:eastAsia="Times New Roman"/>
                <w:color w:val="000000"/>
                <w:sz w:val="20"/>
                <w:szCs w:val="20"/>
              </w:rPr>
              <w:t>23.1</w:t>
            </w:r>
            <w:r>
              <w:rPr>
                <w:rFonts w:eastAsia="Times New Roman"/>
                <w:color w:val="000000"/>
                <w:sz w:val="20"/>
                <w:szCs w:val="20"/>
              </w:rPr>
              <w:t> </w:t>
            </w:r>
          </w:p>
        </w:tc>
        <w:tc>
          <w:tcPr>
            <w:tcW w:w="0" w:type="auto"/>
            <w:tcMar>
              <w:top w:w="30" w:type="dxa"/>
              <w:left w:w="15" w:type="dxa"/>
              <w:bottom w:w="30" w:type="dxa"/>
              <w:right w:w="20" w:type="dxa"/>
            </w:tcMar>
            <w:hideMark/>
          </w:tcPr>
          <w:p w14:paraId="77189C80"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638BFA8"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A1D4BE6" w14:textId="77777777" w:rsidR="00000000" w:rsidRDefault="00195E73">
            <w:pPr>
              <w:divId w:val="373310043"/>
              <w:rPr>
                <w:rFonts w:eastAsia="Times New Roman"/>
              </w:rPr>
            </w:pPr>
            <w:hyperlink r:id="rId50" w:history="1">
              <w:r>
                <w:rPr>
                  <w:rStyle w:val="a3"/>
                  <w:rFonts w:eastAsia="Times New Roman"/>
                  <w:sz w:val="20"/>
                  <w:szCs w:val="20"/>
                </w:rPr>
                <w:t>Consent of Grant Thornton LLP.</w:t>
              </w:r>
            </w:hyperlink>
          </w:p>
        </w:tc>
      </w:tr>
      <w:tr w:rsidR="00000000" w14:paraId="3326513E" w14:textId="77777777">
        <w:trPr>
          <w:divId w:val="360059978"/>
          <w:jc w:val="center"/>
        </w:trPr>
        <w:tc>
          <w:tcPr>
            <w:tcW w:w="0" w:type="auto"/>
            <w:gridSpan w:val="2"/>
            <w:tcMar>
              <w:top w:w="30" w:type="dxa"/>
              <w:left w:w="20" w:type="dxa"/>
              <w:bottom w:w="30" w:type="dxa"/>
              <w:right w:w="0" w:type="dxa"/>
            </w:tcMar>
            <w:hideMark/>
          </w:tcPr>
          <w:p w14:paraId="4871DBB3" w14:textId="77777777" w:rsidR="00000000" w:rsidRDefault="00195E73">
            <w:pPr>
              <w:jc w:val="center"/>
              <w:rPr>
                <w:rFonts w:eastAsia="Times New Roman"/>
              </w:rPr>
            </w:pPr>
            <w:r>
              <w:rPr>
                <w:rFonts w:eastAsia="Times New Roman"/>
                <w:color w:val="000000"/>
                <w:sz w:val="20"/>
                <w:szCs w:val="20"/>
              </w:rPr>
              <w:t>23.2</w:t>
            </w:r>
            <w:r>
              <w:rPr>
                <w:rFonts w:eastAsia="Times New Roman"/>
                <w:color w:val="000000"/>
                <w:sz w:val="20"/>
                <w:szCs w:val="20"/>
              </w:rPr>
              <w:t> </w:t>
            </w:r>
          </w:p>
        </w:tc>
        <w:tc>
          <w:tcPr>
            <w:tcW w:w="0" w:type="auto"/>
            <w:tcMar>
              <w:top w:w="30" w:type="dxa"/>
              <w:left w:w="15" w:type="dxa"/>
              <w:bottom w:w="30" w:type="dxa"/>
              <w:right w:w="20" w:type="dxa"/>
            </w:tcMar>
            <w:hideMark/>
          </w:tcPr>
          <w:p w14:paraId="530633D9"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2FFFF329"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092031E2" w14:textId="77777777" w:rsidR="00000000" w:rsidRDefault="00195E73">
            <w:pPr>
              <w:divId w:val="676425144"/>
              <w:rPr>
                <w:rFonts w:eastAsia="Times New Roman"/>
              </w:rPr>
            </w:pPr>
            <w:hyperlink r:id="rId51" w:history="1">
              <w:r>
                <w:rPr>
                  <w:rStyle w:val="a3"/>
                  <w:rFonts w:eastAsia="Times New Roman"/>
                  <w:sz w:val="20"/>
                  <w:szCs w:val="20"/>
                </w:rPr>
                <w:t>Consent of Grant Thornton LLP.</w:t>
              </w:r>
            </w:hyperlink>
          </w:p>
        </w:tc>
      </w:tr>
      <w:tr w:rsidR="00000000" w14:paraId="6AD3AEAC" w14:textId="77777777">
        <w:trPr>
          <w:divId w:val="360059978"/>
          <w:jc w:val="center"/>
        </w:trPr>
        <w:tc>
          <w:tcPr>
            <w:tcW w:w="0" w:type="auto"/>
            <w:gridSpan w:val="2"/>
            <w:tcMar>
              <w:top w:w="30" w:type="dxa"/>
              <w:left w:w="20" w:type="dxa"/>
              <w:bottom w:w="30" w:type="dxa"/>
              <w:right w:w="0" w:type="dxa"/>
            </w:tcMar>
            <w:hideMark/>
          </w:tcPr>
          <w:p w14:paraId="60077C75" w14:textId="77777777" w:rsidR="00000000" w:rsidRDefault="00195E73">
            <w:pPr>
              <w:jc w:val="center"/>
              <w:rPr>
                <w:rFonts w:eastAsia="Times New Roman"/>
              </w:rPr>
            </w:pPr>
            <w:r>
              <w:rPr>
                <w:rFonts w:eastAsia="Times New Roman"/>
                <w:color w:val="000000"/>
                <w:sz w:val="20"/>
                <w:szCs w:val="20"/>
              </w:rPr>
              <w:t>23.3</w:t>
            </w:r>
            <w:r>
              <w:rPr>
                <w:rFonts w:eastAsia="Times New Roman"/>
                <w:color w:val="000000"/>
                <w:sz w:val="20"/>
                <w:szCs w:val="20"/>
              </w:rPr>
              <w:t> </w:t>
            </w:r>
          </w:p>
        </w:tc>
        <w:tc>
          <w:tcPr>
            <w:tcW w:w="0" w:type="auto"/>
            <w:tcMar>
              <w:top w:w="30" w:type="dxa"/>
              <w:left w:w="15" w:type="dxa"/>
              <w:bottom w:w="30" w:type="dxa"/>
              <w:right w:w="20" w:type="dxa"/>
            </w:tcMar>
            <w:hideMark/>
          </w:tcPr>
          <w:p w14:paraId="1A3E728B"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68BCF065"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335F51D9" w14:textId="77777777" w:rsidR="00000000" w:rsidRDefault="00195E73">
            <w:pPr>
              <w:divId w:val="1138768158"/>
              <w:rPr>
                <w:rFonts w:eastAsia="Times New Roman"/>
              </w:rPr>
            </w:pPr>
            <w:hyperlink r:id="rId52" w:history="1">
              <w:r>
                <w:rPr>
                  <w:rStyle w:val="a3"/>
                  <w:rFonts w:eastAsia="Times New Roman"/>
                  <w:sz w:val="20"/>
                  <w:szCs w:val="20"/>
                </w:rPr>
                <w:t>Consent of PricewaterhouseCoopers LLP.</w:t>
              </w:r>
            </w:hyperlink>
          </w:p>
        </w:tc>
      </w:tr>
      <w:tr w:rsidR="00000000" w14:paraId="789EFEA5" w14:textId="77777777">
        <w:trPr>
          <w:divId w:val="360059978"/>
          <w:jc w:val="center"/>
        </w:trPr>
        <w:tc>
          <w:tcPr>
            <w:tcW w:w="0" w:type="auto"/>
            <w:gridSpan w:val="2"/>
            <w:tcMar>
              <w:top w:w="30" w:type="dxa"/>
              <w:left w:w="20" w:type="dxa"/>
              <w:bottom w:w="30" w:type="dxa"/>
              <w:right w:w="0" w:type="dxa"/>
            </w:tcMar>
            <w:hideMark/>
          </w:tcPr>
          <w:p w14:paraId="55E0E934" w14:textId="77777777" w:rsidR="00000000" w:rsidRDefault="00195E73">
            <w:pPr>
              <w:jc w:val="center"/>
              <w:rPr>
                <w:rFonts w:eastAsia="Times New Roman"/>
              </w:rPr>
            </w:pPr>
            <w:r>
              <w:rPr>
                <w:rFonts w:eastAsia="Times New Roman"/>
                <w:color w:val="000000"/>
                <w:sz w:val="20"/>
                <w:szCs w:val="20"/>
              </w:rPr>
              <w:t>23.4</w:t>
            </w:r>
            <w:r>
              <w:rPr>
                <w:rFonts w:eastAsia="Times New Roman"/>
                <w:color w:val="000000"/>
                <w:sz w:val="20"/>
                <w:szCs w:val="20"/>
              </w:rPr>
              <w:t> </w:t>
            </w:r>
          </w:p>
        </w:tc>
        <w:tc>
          <w:tcPr>
            <w:tcW w:w="0" w:type="auto"/>
            <w:tcMar>
              <w:top w:w="30" w:type="dxa"/>
              <w:left w:w="15" w:type="dxa"/>
              <w:bottom w:w="30" w:type="dxa"/>
              <w:right w:w="20" w:type="dxa"/>
            </w:tcMar>
            <w:hideMark/>
          </w:tcPr>
          <w:p w14:paraId="305F5F4F"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55D8375C"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62D0A035" w14:textId="77777777" w:rsidR="00000000" w:rsidRDefault="00195E73">
            <w:pPr>
              <w:divId w:val="1335572831"/>
              <w:rPr>
                <w:rFonts w:eastAsia="Times New Roman"/>
              </w:rPr>
            </w:pPr>
            <w:hyperlink r:id="rId53" w:history="1">
              <w:r>
                <w:rPr>
                  <w:rStyle w:val="a3"/>
                  <w:rFonts w:eastAsia="Times New Roman"/>
                  <w:sz w:val="20"/>
                  <w:szCs w:val="20"/>
                </w:rPr>
                <w:t>Consent of PricewaterhouseCoopers LLP.</w:t>
              </w:r>
            </w:hyperlink>
          </w:p>
        </w:tc>
      </w:tr>
      <w:tr w:rsidR="00000000" w14:paraId="72FFC101" w14:textId="77777777">
        <w:trPr>
          <w:divId w:val="360059978"/>
          <w:jc w:val="center"/>
        </w:trPr>
        <w:tc>
          <w:tcPr>
            <w:tcW w:w="0" w:type="auto"/>
            <w:gridSpan w:val="2"/>
            <w:tcMar>
              <w:top w:w="30" w:type="dxa"/>
              <w:left w:w="20" w:type="dxa"/>
              <w:bottom w:w="30" w:type="dxa"/>
              <w:right w:w="0" w:type="dxa"/>
            </w:tcMar>
            <w:hideMark/>
          </w:tcPr>
          <w:p w14:paraId="069C07A4" w14:textId="77777777" w:rsidR="00000000" w:rsidRDefault="00195E73">
            <w:pPr>
              <w:jc w:val="center"/>
              <w:rPr>
                <w:rFonts w:eastAsia="Times New Roman"/>
              </w:rPr>
            </w:pPr>
            <w:r>
              <w:rPr>
                <w:rFonts w:eastAsia="Times New Roman"/>
                <w:color w:val="000000"/>
                <w:sz w:val="20"/>
                <w:szCs w:val="20"/>
              </w:rPr>
              <w:t>23.5</w:t>
            </w:r>
            <w:r>
              <w:rPr>
                <w:rFonts w:eastAsia="Times New Roman"/>
                <w:color w:val="000000"/>
                <w:sz w:val="20"/>
                <w:szCs w:val="20"/>
              </w:rPr>
              <w:t> </w:t>
            </w:r>
          </w:p>
        </w:tc>
        <w:tc>
          <w:tcPr>
            <w:tcW w:w="0" w:type="auto"/>
            <w:tcMar>
              <w:top w:w="30" w:type="dxa"/>
              <w:left w:w="15" w:type="dxa"/>
              <w:bottom w:w="30" w:type="dxa"/>
              <w:right w:w="20" w:type="dxa"/>
            </w:tcMar>
            <w:hideMark/>
          </w:tcPr>
          <w:p w14:paraId="2ADDD042"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A8B37DD"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69EAE27D" w14:textId="77777777" w:rsidR="00000000" w:rsidRDefault="00195E73">
            <w:pPr>
              <w:divId w:val="2078627501"/>
              <w:rPr>
                <w:rFonts w:eastAsia="Times New Roman"/>
              </w:rPr>
            </w:pPr>
            <w:hyperlink r:id="rId54" w:history="1">
              <w:r>
                <w:rPr>
                  <w:rStyle w:val="a3"/>
                  <w:rFonts w:eastAsia="Times New Roman"/>
                  <w:sz w:val="20"/>
                  <w:szCs w:val="20"/>
                </w:rPr>
                <w:t>Consent of PricewaterhouseCoopers LLP.</w:t>
              </w:r>
            </w:hyperlink>
          </w:p>
        </w:tc>
      </w:tr>
      <w:tr w:rsidR="00000000" w14:paraId="00423408" w14:textId="77777777">
        <w:trPr>
          <w:divId w:val="360059978"/>
          <w:jc w:val="center"/>
        </w:trPr>
        <w:tc>
          <w:tcPr>
            <w:tcW w:w="0" w:type="auto"/>
            <w:gridSpan w:val="2"/>
            <w:tcMar>
              <w:top w:w="30" w:type="dxa"/>
              <w:left w:w="20" w:type="dxa"/>
              <w:bottom w:w="30" w:type="dxa"/>
              <w:right w:w="0" w:type="dxa"/>
            </w:tcMar>
            <w:hideMark/>
          </w:tcPr>
          <w:p w14:paraId="589C3D45" w14:textId="77777777" w:rsidR="00000000" w:rsidRDefault="00195E73">
            <w:pPr>
              <w:jc w:val="center"/>
              <w:rPr>
                <w:rFonts w:eastAsia="Times New Roman"/>
              </w:rPr>
            </w:pPr>
            <w:r>
              <w:rPr>
                <w:rFonts w:eastAsia="Times New Roman"/>
                <w:color w:val="000000"/>
                <w:sz w:val="20"/>
                <w:szCs w:val="20"/>
              </w:rPr>
              <w:t>23.6</w:t>
            </w:r>
            <w:r>
              <w:rPr>
                <w:rFonts w:eastAsia="Times New Roman"/>
                <w:color w:val="000000"/>
                <w:sz w:val="20"/>
                <w:szCs w:val="20"/>
              </w:rPr>
              <w:t> </w:t>
            </w:r>
          </w:p>
        </w:tc>
        <w:tc>
          <w:tcPr>
            <w:tcW w:w="0" w:type="auto"/>
            <w:tcMar>
              <w:top w:w="30" w:type="dxa"/>
              <w:left w:w="15" w:type="dxa"/>
              <w:bottom w:w="30" w:type="dxa"/>
              <w:right w:w="20" w:type="dxa"/>
            </w:tcMar>
            <w:hideMark/>
          </w:tcPr>
          <w:p w14:paraId="7CE76E48"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557EC7C7"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7BC2EE70" w14:textId="77777777" w:rsidR="00000000" w:rsidRDefault="00195E73">
            <w:pPr>
              <w:divId w:val="1581869824"/>
              <w:rPr>
                <w:rFonts w:eastAsia="Times New Roman"/>
              </w:rPr>
            </w:pPr>
            <w:hyperlink r:id="rId55" w:history="1">
              <w:r>
                <w:rPr>
                  <w:rStyle w:val="a3"/>
                  <w:rFonts w:eastAsia="Times New Roman"/>
                  <w:sz w:val="20"/>
                  <w:szCs w:val="20"/>
                </w:rPr>
                <w:t>Consent of PricewaterhouseCoopers LLP.</w:t>
              </w:r>
            </w:hyperlink>
          </w:p>
        </w:tc>
      </w:tr>
      <w:tr w:rsidR="00000000" w14:paraId="1632F136" w14:textId="77777777">
        <w:trPr>
          <w:divId w:val="360059978"/>
          <w:jc w:val="center"/>
        </w:trPr>
        <w:tc>
          <w:tcPr>
            <w:tcW w:w="0" w:type="auto"/>
            <w:gridSpan w:val="2"/>
            <w:tcMar>
              <w:top w:w="30" w:type="dxa"/>
              <w:left w:w="20" w:type="dxa"/>
              <w:bottom w:w="30" w:type="dxa"/>
              <w:right w:w="0" w:type="dxa"/>
            </w:tcMar>
            <w:hideMark/>
          </w:tcPr>
          <w:p w14:paraId="06D2B568" w14:textId="77777777" w:rsidR="00000000" w:rsidRDefault="00195E73">
            <w:pPr>
              <w:jc w:val="center"/>
              <w:rPr>
                <w:rFonts w:eastAsia="Times New Roman"/>
              </w:rPr>
            </w:pPr>
            <w:r>
              <w:rPr>
                <w:rFonts w:eastAsia="Times New Roman"/>
                <w:color w:val="000000"/>
                <w:sz w:val="20"/>
                <w:szCs w:val="20"/>
              </w:rPr>
              <w:t>23.7</w:t>
            </w:r>
            <w:r>
              <w:rPr>
                <w:rFonts w:eastAsia="Times New Roman"/>
                <w:color w:val="000000"/>
                <w:sz w:val="20"/>
                <w:szCs w:val="20"/>
              </w:rPr>
              <w:t> </w:t>
            </w:r>
          </w:p>
        </w:tc>
        <w:tc>
          <w:tcPr>
            <w:tcW w:w="0" w:type="auto"/>
            <w:tcMar>
              <w:top w:w="30" w:type="dxa"/>
              <w:left w:w="15" w:type="dxa"/>
              <w:bottom w:w="30" w:type="dxa"/>
              <w:right w:w="20" w:type="dxa"/>
            </w:tcMar>
            <w:hideMark/>
          </w:tcPr>
          <w:p w14:paraId="5C86077C"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CDA0AD0"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73DD91E5" w14:textId="77777777" w:rsidR="00000000" w:rsidRDefault="00195E73">
            <w:pPr>
              <w:divId w:val="2137873669"/>
              <w:rPr>
                <w:rFonts w:eastAsia="Times New Roman"/>
              </w:rPr>
            </w:pPr>
            <w:hyperlink r:id="rId56" w:history="1">
              <w:r>
                <w:rPr>
                  <w:rStyle w:val="a3"/>
                  <w:rFonts w:eastAsia="Times New Roman"/>
                  <w:sz w:val="20"/>
                  <w:szCs w:val="20"/>
                </w:rPr>
                <w:t>Consent of PricewaterhouseCoopers LLP.</w:t>
              </w:r>
            </w:hyperlink>
          </w:p>
        </w:tc>
      </w:tr>
      <w:tr w:rsidR="00000000" w14:paraId="2B5C7C58" w14:textId="77777777">
        <w:trPr>
          <w:divId w:val="360059978"/>
          <w:jc w:val="center"/>
        </w:trPr>
        <w:tc>
          <w:tcPr>
            <w:tcW w:w="0" w:type="auto"/>
            <w:gridSpan w:val="2"/>
            <w:tcMar>
              <w:top w:w="30" w:type="dxa"/>
              <w:left w:w="20" w:type="dxa"/>
              <w:bottom w:w="30" w:type="dxa"/>
              <w:right w:w="0" w:type="dxa"/>
            </w:tcMar>
            <w:hideMark/>
          </w:tcPr>
          <w:p w14:paraId="3B5C5133" w14:textId="77777777" w:rsidR="00000000" w:rsidRDefault="00195E73">
            <w:pPr>
              <w:jc w:val="center"/>
              <w:rPr>
                <w:rFonts w:eastAsia="Times New Roman"/>
              </w:rPr>
            </w:pPr>
            <w:r>
              <w:rPr>
                <w:rFonts w:eastAsia="Times New Roman"/>
                <w:color w:val="000000"/>
                <w:sz w:val="20"/>
                <w:szCs w:val="20"/>
              </w:rPr>
              <w:t>23.8</w:t>
            </w:r>
            <w:r>
              <w:rPr>
                <w:rFonts w:eastAsia="Times New Roman"/>
                <w:color w:val="000000"/>
                <w:sz w:val="20"/>
                <w:szCs w:val="20"/>
              </w:rPr>
              <w:t> </w:t>
            </w:r>
          </w:p>
        </w:tc>
        <w:tc>
          <w:tcPr>
            <w:tcW w:w="0" w:type="auto"/>
            <w:tcMar>
              <w:top w:w="30" w:type="dxa"/>
              <w:left w:w="15" w:type="dxa"/>
              <w:bottom w:w="30" w:type="dxa"/>
              <w:right w:w="20" w:type="dxa"/>
            </w:tcMar>
            <w:hideMark/>
          </w:tcPr>
          <w:p w14:paraId="5FA3EE49"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2EF961C7"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3028E16A" w14:textId="77777777" w:rsidR="00000000" w:rsidRDefault="00195E73">
            <w:pPr>
              <w:divId w:val="983046529"/>
              <w:rPr>
                <w:rFonts w:eastAsia="Times New Roman"/>
              </w:rPr>
            </w:pPr>
            <w:hyperlink r:id="rId57" w:history="1">
              <w:r>
                <w:rPr>
                  <w:rStyle w:val="a3"/>
                  <w:rFonts w:eastAsia="Times New Roman"/>
                  <w:sz w:val="20"/>
                  <w:szCs w:val="20"/>
                </w:rPr>
                <w:t>Consent of PricewaterhouseCoopers LLP.</w:t>
              </w:r>
            </w:hyperlink>
          </w:p>
        </w:tc>
      </w:tr>
      <w:tr w:rsidR="00000000" w14:paraId="4E8E1CA8" w14:textId="77777777">
        <w:trPr>
          <w:divId w:val="360059978"/>
          <w:jc w:val="center"/>
        </w:trPr>
        <w:tc>
          <w:tcPr>
            <w:tcW w:w="0" w:type="auto"/>
            <w:gridSpan w:val="2"/>
            <w:tcMar>
              <w:top w:w="30" w:type="dxa"/>
              <w:left w:w="20" w:type="dxa"/>
              <w:bottom w:w="30" w:type="dxa"/>
              <w:right w:w="0" w:type="dxa"/>
            </w:tcMar>
            <w:hideMark/>
          </w:tcPr>
          <w:p w14:paraId="161B17D5" w14:textId="77777777" w:rsidR="00000000" w:rsidRDefault="00195E73">
            <w:pPr>
              <w:jc w:val="center"/>
              <w:rPr>
                <w:rFonts w:eastAsia="Times New Roman"/>
              </w:rPr>
            </w:pPr>
            <w:r>
              <w:rPr>
                <w:rFonts w:eastAsia="Times New Roman"/>
                <w:color w:val="000000"/>
                <w:sz w:val="20"/>
                <w:szCs w:val="20"/>
              </w:rPr>
              <w:t>23.9</w:t>
            </w:r>
            <w:r>
              <w:rPr>
                <w:rFonts w:eastAsia="Times New Roman"/>
                <w:color w:val="000000"/>
                <w:sz w:val="20"/>
                <w:szCs w:val="20"/>
              </w:rPr>
              <w:t> </w:t>
            </w:r>
          </w:p>
        </w:tc>
        <w:tc>
          <w:tcPr>
            <w:tcW w:w="0" w:type="auto"/>
            <w:tcMar>
              <w:top w:w="30" w:type="dxa"/>
              <w:left w:w="15" w:type="dxa"/>
              <w:bottom w:w="30" w:type="dxa"/>
              <w:right w:w="20" w:type="dxa"/>
            </w:tcMar>
            <w:hideMark/>
          </w:tcPr>
          <w:p w14:paraId="286E1462"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2210AA74"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7467D61D" w14:textId="77777777" w:rsidR="00000000" w:rsidRDefault="00195E73">
            <w:pPr>
              <w:divId w:val="1809590461"/>
              <w:rPr>
                <w:rFonts w:eastAsia="Times New Roman"/>
              </w:rPr>
            </w:pPr>
            <w:hyperlink r:id="rId58" w:history="1">
              <w:r>
                <w:rPr>
                  <w:rStyle w:val="a3"/>
                  <w:rFonts w:eastAsia="Times New Roman"/>
                  <w:sz w:val="20"/>
                  <w:szCs w:val="20"/>
                </w:rPr>
                <w:t>Consent of Ernst &amp; Young LLP.</w:t>
              </w:r>
            </w:hyperlink>
          </w:p>
        </w:tc>
      </w:tr>
      <w:tr w:rsidR="00000000" w14:paraId="45E02253" w14:textId="77777777">
        <w:trPr>
          <w:divId w:val="360059978"/>
          <w:jc w:val="center"/>
        </w:trPr>
        <w:tc>
          <w:tcPr>
            <w:tcW w:w="0" w:type="auto"/>
            <w:gridSpan w:val="2"/>
            <w:tcMar>
              <w:top w:w="30" w:type="dxa"/>
              <w:left w:w="20" w:type="dxa"/>
              <w:bottom w:w="30" w:type="dxa"/>
              <w:right w:w="0" w:type="dxa"/>
            </w:tcMar>
            <w:hideMark/>
          </w:tcPr>
          <w:p w14:paraId="3CEE3844" w14:textId="77777777" w:rsidR="00000000" w:rsidRDefault="00195E73">
            <w:pPr>
              <w:jc w:val="center"/>
              <w:rPr>
                <w:rFonts w:eastAsia="Times New Roman"/>
              </w:rPr>
            </w:pPr>
            <w:r>
              <w:rPr>
                <w:rFonts w:eastAsia="Times New Roman"/>
                <w:color w:val="000000"/>
                <w:sz w:val="20"/>
                <w:szCs w:val="20"/>
              </w:rPr>
              <w:t>31.1</w:t>
            </w:r>
            <w:r>
              <w:rPr>
                <w:rFonts w:eastAsia="Times New Roman"/>
                <w:color w:val="000000"/>
                <w:sz w:val="20"/>
                <w:szCs w:val="20"/>
              </w:rPr>
              <w:t> </w:t>
            </w:r>
          </w:p>
        </w:tc>
        <w:tc>
          <w:tcPr>
            <w:tcW w:w="0" w:type="auto"/>
            <w:tcMar>
              <w:top w:w="30" w:type="dxa"/>
              <w:left w:w="15" w:type="dxa"/>
              <w:bottom w:w="30" w:type="dxa"/>
              <w:right w:w="20" w:type="dxa"/>
            </w:tcMar>
            <w:hideMark/>
          </w:tcPr>
          <w:p w14:paraId="19F15D60"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B97E917"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6DD6008D" w14:textId="77777777" w:rsidR="00000000" w:rsidRDefault="00195E73">
            <w:pPr>
              <w:divId w:val="1770735519"/>
              <w:rPr>
                <w:rFonts w:eastAsia="Times New Roman"/>
              </w:rPr>
            </w:pPr>
            <w:hyperlink r:id="rId59" w:history="1">
              <w:r>
                <w:rPr>
                  <w:rStyle w:val="a3"/>
                  <w:rFonts w:eastAsia="Times New Roman"/>
                  <w:sz w:val="20"/>
                  <w:szCs w:val="20"/>
                </w:rPr>
                <w:t>Certification of Chief Executive Officer pursuant to Section 302(a) of the Sarbanes-Oxley Act of 2002 and Rule 13a-14(a) of the Securities Exchange Act of 1934.</w:t>
              </w:r>
            </w:hyperlink>
          </w:p>
        </w:tc>
      </w:tr>
      <w:tr w:rsidR="00000000" w14:paraId="76E8ED28" w14:textId="77777777">
        <w:trPr>
          <w:divId w:val="360059978"/>
          <w:jc w:val="center"/>
        </w:trPr>
        <w:tc>
          <w:tcPr>
            <w:tcW w:w="0" w:type="auto"/>
            <w:gridSpan w:val="2"/>
            <w:tcMar>
              <w:top w:w="30" w:type="dxa"/>
              <w:left w:w="20" w:type="dxa"/>
              <w:bottom w:w="30" w:type="dxa"/>
              <w:right w:w="0" w:type="dxa"/>
            </w:tcMar>
            <w:hideMark/>
          </w:tcPr>
          <w:p w14:paraId="4291A2CB" w14:textId="77777777" w:rsidR="00000000" w:rsidRDefault="00195E73">
            <w:pPr>
              <w:jc w:val="center"/>
              <w:rPr>
                <w:rFonts w:eastAsia="Times New Roman"/>
              </w:rPr>
            </w:pPr>
            <w:r>
              <w:rPr>
                <w:rFonts w:eastAsia="Times New Roman"/>
                <w:color w:val="000000"/>
                <w:sz w:val="20"/>
                <w:szCs w:val="20"/>
              </w:rPr>
              <w:t>31.2</w:t>
            </w:r>
            <w:r>
              <w:rPr>
                <w:rFonts w:eastAsia="Times New Roman"/>
                <w:color w:val="000000"/>
                <w:sz w:val="20"/>
                <w:szCs w:val="20"/>
              </w:rPr>
              <w:t> </w:t>
            </w:r>
          </w:p>
        </w:tc>
        <w:tc>
          <w:tcPr>
            <w:tcW w:w="0" w:type="auto"/>
            <w:tcMar>
              <w:top w:w="30" w:type="dxa"/>
              <w:left w:w="15" w:type="dxa"/>
              <w:bottom w:w="30" w:type="dxa"/>
              <w:right w:w="20" w:type="dxa"/>
            </w:tcMar>
            <w:hideMark/>
          </w:tcPr>
          <w:p w14:paraId="681F1B03"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C5C370E"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8B8DC51" w14:textId="77777777" w:rsidR="00000000" w:rsidRDefault="00195E73">
            <w:pPr>
              <w:divId w:val="1156798939"/>
              <w:rPr>
                <w:rFonts w:eastAsia="Times New Roman"/>
              </w:rPr>
            </w:pPr>
            <w:hyperlink r:id="rId60" w:history="1">
              <w:r>
                <w:rPr>
                  <w:rStyle w:val="a3"/>
                  <w:rFonts w:eastAsia="Times New Roman"/>
                  <w:sz w:val="20"/>
                  <w:szCs w:val="20"/>
                </w:rPr>
                <w:t>Certification of Chief Financial Officer pursua</w:t>
              </w:r>
              <w:r>
                <w:rPr>
                  <w:rStyle w:val="a3"/>
                  <w:rFonts w:eastAsia="Times New Roman"/>
                  <w:sz w:val="20"/>
                  <w:szCs w:val="20"/>
                </w:rPr>
                <w:t>nt to Section 302(a) of the Sarbanes-Oxley Act of 2002 and Rule 13a-14(a) of the Securities Exchange Act of 1934.</w:t>
              </w:r>
            </w:hyperlink>
          </w:p>
        </w:tc>
      </w:tr>
      <w:tr w:rsidR="00000000" w14:paraId="09E5D03E" w14:textId="77777777">
        <w:trPr>
          <w:divId w:val="360059978"/>
          <w:jc w:val="center"/>
        </w:trPr>
        <w:tc>
          <w:tcPr>
            <w:tcW w:w="0" w:type="auto"/>
            <w:gridSpan w:val="2"/>
            <w:tcMar>
              <w:top w:w="30" w:type="dxa"/>
              <w:left w:w="20" w:type="dxa"/>
              <w:bottom w:w="30" w:type="dxa"/>
              <w:right w:w="0" w:type="dxa"/>
            </w:tcMar>
            <w:hideMark/>
          </w:tcPr>
          <w:p w14:paraId="60DF20A6" w14:textId="77777777" w:rsidR="00000000" w:rsidRDefault="00195E73">
            <w:pPr>
              <w:jc w:val="center"/>
              <w:rPr>
                <w:rFonts w:eastAsia="Times New Roman"/>
              </w:rPr>
            </w:pPr>
            <w:r>
              <w:rPr>
                <w:rFonts w:eastAsia="Times New Roman"/>
                <w:color w:val="000000"/>
                <w:sz w:val="20"/>
                <w:szCs w:val="20"/>
              </w:rPr>
              <w:t>32.1</w:t>
            </w:r>
            <w:r>
              <w:rPr>
                <w:rFonts w:eastAsia="Times New Roman"/>
                <w:color w:val="000000"/>
                <w:sz w:val="20"/>
                <w:szCs w:val="20"/>
              </w:rPr>
              <w:t> </w:t>
            </w:r>
          </w:p>
        </w:tc>
        <w:tc>
          <w:tcPr>
            <w:tcW w:w="0" w:type="auto"/>
            <w:tcMar>
              <w:top w:w="30" w:type="dxa"/>
              <w:left w:w="15" w:type="dxa"/>
              <w:bottom w:w="30" w:type="dxa"/>
              <w:right w:w="20" w:type="dxa"/>
            </w:tcMar>
            <w:hideMark/>
          </w:tcPr>
          <w:p w14:paraId="6AF469BA"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D88F437" w14:textId="77777777" w:rsidR="00000000" w:rsidRDefault="00195E73">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A0DAE55" w14:textId="77777777" w:rsidR="00000000" w:rsidRDefault="00195E73">
            <w:pPr>
              <w:divId w:val="1478301250"/>
              <w:rPr>
                <w:rFonts w:eastAsia="Times New Roman"/>
              </w:rPr>
            </w:pPr>
            <w:hyperlink r:id="rId61" w:history="1">
              <w:r>
                <w:rPr>
                  <w:rStyle w:val="a3"/>
                  <w:rFonts w:eastAsia="Times New Roman"/>
                  <w:sz w:val="20"/>
                  <w:szCs w:val="20"/>
                </w:rPr>
                <w:t>Certification of Chief Executive Officer and Chief Financial Officer pursuant to Section 906 of the Sarbanes-Oxley Act of 2002 (18 U.S.C. 1350) and Rule 13a-14(b) of the Securities Exchange Act of 1934.</w:t>
              </w:r>
            </w:hyperlink>
          </w:p>
        </w:tc>
      </w:tr>
    </w:tbl>
    <w:p w14:paraId="50729A70" w14:textId="77777777" w:rsidR="00000000" w:rsidRDefault="00195E73">
      <w:pPr>
        <w:jc w:val="center"/>
        <w:divId w:val="1602378663"/>
        <w:rPr>
          <w:rFonts w:eastAsia="Times New Roman"/>
        </w:rPr>
      </w:pPr>
      <w:r>
        <w:rPr>
          <w:rFonts w:eastAsia="Times New Roman"/>
          <w:color w:val="000000"/>
          <w:sz w:val="20"/>
          <w:szCs w:val="20"/>
        </w:rPr>
        <w:t>14</w:t>
      </w:r>
      <w:r>
        <w:rPr>
          <w:rFonts w:eastAsia="Times New Roman"/>
          <w:color w:val="000000"/>
          <w:sz w:val="20"/>
          <w:szCs w:val="20"/>
        </w:rPr>
        <w:t>5</w:t>
      </w:r>
    </w:p>
    <w:p w14:paraId="579B9234" w14:textId="77777777" w:rsidR="00000000" w:rsidRDefault="00195E73">
      <w:pPr>
        <w:rPr>
          <w:rFonts w:eastAsia="Times New Roman"/>
        </w:rPr>
      </w:pPr>
      <w:r>
        <w:rPr>
          <w:rFonts w:eastAsia="Times New Roman"/>
        </w:rPr>
        <w:pict w14:anchorId="716BA70D">
          <v:rect id="_x0000_i1171" style="width:0;height:1.5pt" o:hralign="center" o:hrstd="t" o:hr="t" fillcolor="#a0a0a0" stroked="f"/>
        </w:pict>
      </w:r>
    </w:p>
    <w:p w14:paraId="0644B4BA" w14:textId="77777777" w:rsidR="00000000" w:rsidRDefault="00195E73">
      <w:pPr>
        <w:divId w:val="90572938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5"/>
        <w:gridCol w:w="735"/>
        <w:gridCol w:w="85"/>
        <w:gridCol w:w="36"/>
        <w:gridCol w:w="36"/>
        <w:gridCol w:w="36"/>
        <w:gridCol w:w="52"/>
        <w:gridCol w:w="7163"/>
        <w:gridCol w:w="65"/>
      </w:tblGrid>
      <w:tr w:rsidR="00000000" w14:paraId="1BBD2A57" w14:textId="77777777">
        <w:trPr>
          <w:divId w:val="1754886423"/>
          <w:jc w:val="center"/>
        </w:trPr>
        <w:tc>
          <w:tcPr>
            <w:tcW w:w="50" w:type="pct"/>
            <w:vAlign w:val="center"/>
            <w:hideMark/>
          </w:tcPr>
          <w:p w14:paraId="14D60343" w14:textId="77777777" w:rsidR="00000000" w:rsidRDefault="00195E73">
            <w:pPr>
              <w:rPr>
                <w:rFonts w:eastAsia="Times New Roman"/>
              </w:rPr>
            </w:pPr>
          </w:p>
        </w:tc>
        <w:tc>
          <w:tcPr>
            <w:tcW w:w="434" w:type="pct"/>
            <w:vAlign w:val="center"/>
            <w:hideMark/>
          </w:tcPr>
          <w:p w14:paraId="7147E3F3" w14:textId="77777777" w:rsidR="00000000" w:rsidRDefault="00195E73">
            <w:pPr>
              <w:rPr>
                <w:rFonts w:eastAsia="Times New Roman"/>
                <w:sz w:val="20"/>
                <w:szCs w:val="20"/>
              </w:rPr>
            </w:pPr>
          </w:p>
        </w:tc>
        <w:tc>
          <w:tcPr>
            <w:tcW w:w="50" w:type="pct"/>
            <w:vAlign w:val="center"/>
            <w:hideMark/>
          </w:tcPr>
          <w:p w14:paraId="6E00CD79" w14:textId="77777777" w:rsidR="00000000" w:rsidRDefault="00195E73">
            <w:pPr>
              <w:rPr>
                <w:rFonts w:eastAsia="Times New Roman"/>
                <w:sz w:val="20"/>
                <w:szCs w:val="20"/>
              </w:rPr>
            </w:pPr>
          </w:p>
        </w:tc>
        <w:tc>
          <w:tcPr>
            <w:tcW w:w="5" w:type="pct"/>
            <w:vAlign w:val="center"/>
            <w:hideMark/>
          </w:tcPr>
          <w:p w14:paraId="2FD77FE3" w14:textId="77777777" w:rsidR="00000000" w:rsidRDefault="00195E73">
            <w:pPr>
              <w:rPr>
                <w:rFonts w:eastAsia="Times New Roman"/>
                <w:sz w:val="20"/>
                <w:szCs w:val="20"/>
              </w:rPr>
            </w:pPr>
          </w:p>
        </w:tc>
        <w:tc>
          <w:tcPr>
            <w:tcW w:w="26" w:type="pct"/>
            <w:vAlign w:val="center"/>
            <w:hideMark/>
          </w:tcPr>
          <w:p w14:paraId="7951F4B6" w14:textId="77777777" w:rsidR="00000000" w:rsidRDefault="00195E73">
            <w:pPr>
              <w:rPr>
                <w:rFonts w:eastAsia="Times New Roman"/>
                <w:sz w:val="20"/>
                <w:szCs w:val="20"/>
              </w:rPr>
            </w:pPr>
          </w:p>
        </w:tc>
        <w:tc>
          <w:tcPr>
            <w:tcW w:w="5" w:type="pct"/>
            <w:vAlign w:val="center"/>
            <w:hideMark/>
          </w:tcPr>
          <w:p w14:paraId="5825F4BC" w14:textId="77777777" w:rsidR="00000000" w:rsidRDefault="00195E73">
            <w:pPr>
              <w:rPr>
                <w:rFonts w:eastAsia="Times New Roman"/>
                <w:sz w:val="20"/>
                <w:szCs w:val="20"/>
              </w:rPr>
            </w:pPr>
          </w:p>
        </w:tc>
        <w:tc>
          <w:tcPr>
            <w:tcW w:w="50" w:type="pct"/>
            <w:vAlign w:val="center"/>
            <w:hideMark/>
          </w:tcPr>
          <w:p w14:paraId="432AABA2" w14:textId="77777777" w:rsidR="00000000" w:rsidRDefault="00195E73">
            <w:pPr>
              <w:rPr>
                <w:rFonts w:eastAsia="Times New Roman"/>
                <w:sz w:val="20"/>
                <w:szCs w:val="20"/>
              </w:rPr>
            </w:pPr>
          </w:p>
        </w:tc>
        <w:tc>
          <w:tcPr>
            <w:tcW w:w="4329" w:type="pct"/>
            <w:vAlign w:val="center"/>
            <w:hideMark/>
          </w:tcPr>
          <w:p w14:paraId="57074FCD" w14:textId="77777777" w:rsidR="00000000" w:rsidRDefault="00195E73">
            <w:pPr>
              <w:rPr>
                <w:rFonts w:eastAsia="Times New Roman"/>
                <w:sz w:val="20"/>
                <w:szCs w:val="20"/>
              </w:rPr>
            </w:pPr>
          </w:p>
        </w:tc>
        <w:tc>
          <w:tcPr>
            <w:tcW w:w="50" w:type="pct"/>
            <w:vAlign w:val="center"/>
            <w:hideMark/>
          </w:tcPr>
          <w:p w14:paraId="4E8D3F2B" w14:textId="77777777" w:rsidR="00000000" w:rsidRDefault="00195E73">
            <w:pPr>
              <w:rPr>
                <w:rFonts w:eastAsia="Times New Roman"/>
                <w:sz w:val="20"/>
                <w:szCs w:val="20"/>
              </w:rPr>
            </w:pPr>
          </w:p>
        </w:tc>
      </w:tr>
      <w:tr w:rsidR="00000000" w14:paraId="75DA4064" w14:textId="77777777">
        <w:trPr>
          <w:divId w:val="1754886423"/>
          <w:jc w:val="center"/>
        </w:trPr>
        <w:tc>
          <w:tcPr>
            <w:tcW w:w="0" w:type="auto"/>
            <w:gridSpan w:val="2"/>
            <w:tcMar>
              <w:top w:w="30" w:type="dxa"/>
              <w:left w:w="20" w:type="dxa"/>
              <w:bottom w:w="30" w:type="dxa"/>
              <w:right w:w="0" w:type="dxa"/>
            </w:tcMar>
            <w:hideMark/>
          </w:tcPr>
          <w:p w14:paraId="430E1DA7" w14:textId="77777777" w:rsidR="00000000" w:rsidRDefault="00195E73">
            <w:pPr>
              <w:jc w:val="center"/>
              <w:rPr>
                <w:rFonts w:eastAsia="Times New Roman"/>
              </w:rPr>
            </w:pPr>
            <w:r>
              <w:rPr>
                <w:rFonts w:eastAsia="Times New Roman"/>
                <w:color w:val="000000"/>
                <w:sz w:val="20"/>
                <w:szCs w:val="20"/>
              </w:rPr>
              <w:t>99.1</w:t>
            </w:r>
            <w:r>
              <w:rPr>
                <w:rFonts w:eastAsia="Times New Roman"/>
                <w:color w:val="000000"/>
                <w:sz w:val="20"/>
                <w:szCs w:val="20"/>
              </w:rPr>
              <w:t> </w:t>
            </w:r>
          </w:p>
        </w:tc>
        <w:tc>
          <w:tcPr>
            <w:tcW w:w="0" w:type="auto"/>
            <w:tcMar>
              <w:top w:w="30" w:type="dxa"/>
              <w:left w:w="15" w:type="dxa"/>
              <w:bottom w:w="30" w:type="dxa"/>
              <w:right w:w="20" w:type="dxa"/>
            </w:tcMar>
            <w:hideMark/>
          </w:tcPr>
          <w:p w14:paraId="0F94658A"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B0818C1"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10AA71BE" w14:textId="77777777" w:rsidR="00000000" w:rsidRDefault="00195E73">
            <w:pPr>
              <w:divId w:val="529493749"/>
              <w:rPr>
                <w:rFonts w:eastAsia="Times New Roman"/>
              </w:rPr>
            </w:pPr>
            <w:hyperlink r:id="rId62" w:history="1">
              <w:r>
                <w:rPr>
                  <w:rStyle w:val="a3"/>
                  <w:rFonts w:eastAsia="Times New Roman"/>
                  <w:sz w:val="20"/>
                  <w:szCs w:val="20"/>
                </w:rPr>
                <w:t>The consolidated financial statements and notes thereto and management’s report on internal control over financial reporting of Herbalife Nutriti</w:t>
              </w:r>
              <w:r>
                <w:rPr>
                  <w:rStyle w:val="a3"/>
                  <w:rFonts w:eastAsia="Times New Roman"/>
                  <w:sz w:val="20"/>
                  <w:szCs w:val="20"/>
                </w:rPr>
                <w:t>on Ltd. (incorporated by reference to Part II, Items 8 and 9A to Herbalife Nutrition Ltd.’s Form 10-K for the year ended December 31, 2019 (SEC File No. 1-32381), filed on February 18, 2020).</w:t>
              </w:r>
            </w:hyperlink>
          </w:p>
        </w:tc>
      </w:tr>
      <w:tr w:rsidR="00000000" w14:paraId="5AF5F34E" w14:textId="77777777">
        <w:trPr>
          <w:divId w:val="1754886423"/>
          <w:jc w:val="center"/>
        </w:trPr>
        <w:tc>
          <w:tcPr>
            <w:tcW w:w="0" w:type="auto"/>
            <w:gridSpan w:val="2"/>
            <w:tcMar>
              <w:top w:w="30" w:type="dxa"/>
              <w:left w:w="20" w:type="dxa"/>
              <w:bottom w:w="30" w:type="dxa"/>
              <w:right w:w="0" w:type="dxa"/>
            </w:tcMar>
            <w:hideMark/>
          </w:tcPr>
          <w:p w14:paraId="50E52946" w14:textId="77777777" w:rsidR="00000000" w:rsidRDefault="00195E73">
            <w:pPr>
              <w:jc w:val="center"/>
              <w:rPr>
                <w:rFonts w:eastAsia="Times New Roman"/>
              </w:rPr>
            </w:pPr>
            <w:r>
              <w:rPr>
                <w:rFonts w:eastAsia="Times New Roman"/>
                <w:color w:val="000000"/>
                <w:sz w:val="20"/>
                <w:szCs w:val="20"/>
              </w:rPr>
              <w:t>99.2</w:t>
            </w:r>
            <w:r>
              <w:rPr>
                <w:rFonts w:eastAsia="Times New Roman"/>
                <w:color w:val="000000"/>
                <w:sz w:val="20"/>
                <w:szCs w:val="20"/>
              </w:rPr>
              <w:t> </w:t>
            </w:r>
          </w:p>
        </w:tc>
        <w:tc>
          <w:tcPr>
            <w:tcW w:w="0" w:type="auto"/>
            <w:tcMar>
              <w:top w:w="30" w:type="dxa"/>
              <w:left w:w="15" w:type="dxa"/>
              <w:bottom w:w="30" w:type="dxa"/>
              <w:right w:w="20" w:type="dxa"/>
            </w:tcMar>
            <w:hideMark/>
          </w:tcPr>
          <w:p w14:paraId="026D4078"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344EED7F"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52F9F9EE" w14:textId="77777777" w:rsidR="00000000" w:rsidRDefault="00195E73">
            <w:pPr>
              <w:divId w:val="1438868096"/>
              <w:rPr>
                <w:rFonts w:eastAsia="Times New Roman"/>
              </w:rPr>
            </w:pPr>
            <w:hyperlink r:id="rId63" w:history="1">
              <w:r>
                <w:rPr>
                  <w:rStyle w:val="a3"/>
                  <w:rFonts w:eastAsia="Times New Roman"/>
                  <w:sz w:val="20"/>
                  <w:szCs w:val="20"/>
                </w:rPr>
                <w:t>The consolidated financial statements and notes thereto</w:t>
              </w:r>
            </w:hyperlink>
            <w:hyperlink r:id="rId64" w:history="1">
              <w:r>
                <w:rPr>
                  <w:rStyle w:val="a3"/>
                  <w:rFonts w:eastAsia="Times New Roman"/>
                  <w:sz w:val="20"/>
                  <w:szCs w:val="20"/>
                </w:rPr>
                <w:t>, the financial statement schedules</w:t>
              </w:r>
            </w:hyperlink>
            <w:hyperlink r:id="rId65" w:history="1">
              <w:r>
                <w:rPr>
                  <w:rStyle w:val="a3"/>
                  <w:rFonts w:eastAsia="Times New Roman"/>
                  <w:sz w:val="20"/>
                  <w:szCs w:val="20"/>
                </w:rPr>
                <w:t xml:space="preserve"> and ma</w:t>
              </w:r>
              <w:r>
                <w:rPr>
                  <w:rStyle w:val="a3"/>
                  <w:rFonts w:eastAsia="Times New Roman"/>
                  <w:sz w:val="20"/>
                  <w:szCs w:val="20"/>
                </w:rPr>
                <w:t>nagement’s report on internal control over financial reporting of Hertz Global Holdings, Inc. and The Hertz Corporation (incorporated by reference to Part II, Items 8</w:t>
              </w:r>
            </w:hyperlink>
            <w:hyperlink r:id="rId66" w:history="1">
              <w:r>
                <w:rPr>
                  <w:rStyle w:val="a3"/>
                  <w:rFonts w:eastAsia="Times New Roman"/>
                  <w:sz w:val="20"/>
                  <w:szCs w:val="20"/>
                </w:rPr>
                <w:t xml:space="preserve"> and </w:t>
              </w:r>
            </w:hyperlink>
            <w:hyperlink r:id="rId67" w:history="1">
              <w:r>
                <w:rPr>
                  <w:rStyle w:val="a3"/>
                  <w:rFonts w:eastAsia="Times New Roman"/>
                  <w:sz w:val="20"/>
                  <w:szCs w:val="20"/>
                </w:rPr>
                <w:t>9A</w:t>
              </w:r>
            </w:hyperlink>
            <w:hyperlink r:id="rId68" w:history="1">
              <w:r>
                <w:rPr>
                  <w:rStyle w:val="a3"/>
                  <w:rFonts w:eastAsia="Times New Roman"/>
                  <w:sz w:val="20"/>
                  <w:szCs w:val="20"/>
                </w:rPr>
                <w:t xml:space="preserve"> and </w:t>
              </w:r>
            </w:hyperlink>
            <w:hyperlink r:id="rId69" w:history="1">
              <w:r>
                <w:rPr>
                  <w:rStyle w:val="a3"/>
                  <w:rFonts w:eastAsia="Times New Roman"/>
                  <w:sz w:val="20"/>
                  <w:szCs w:val="20"/>
                </w:rPr>
                <w:t xml:space="preserve">Part IV, Item </w:t>
              </w:r>
            </w:hyperlink>
            <w:hyperlink r:id="rId70" w:history="1">
              <w:r>
                <w:rPr>
                  <w:rStyle w:val="a3"/>
                  <w:rFonts w:eastAsia="Times New Roman"/>
                  <w:sz w:val="20"/>
                  <w:szCs w:val="20"/>
                </w:rPr>
                <w:t>15</w:t>
              </w:r>
            </w:hyperlink>
            <w:hyperlink r:id="rId71" w:history="1">
              <w:r>
                <w:rPr>
                  <w:rStyle w:val="a3"/>
                  <w:rFonts w:eastAsia="Times New Roman"/>
                  <w:sz w:val="20"/>
                  <w:szCs w:val="20"/>
                </w:rPr>
                <w:t xml:space="preserve"> to Hertz Global Holdings, Inc.’s and The Hertz Corporation’s joint Form 10-K for the year ended December 31, 2019 (SEC File Nos. </w:t>
              </w:r>
            </w:hyperlink>
            <w:hyperlink r:id="rId72" w:history="1">
              <w:r>
                <w:rPr>
                  <w:rStyle w:val="a3"/>
                  <w:rFonts w:eastAsia="Times New Roman"/>
                  <w:sz w:val="20"/>
                  <w:szCs w:val="20"/>
                </w:rPr>
                <w:t>1-37665</w:t>
              </w:r>
            </w:hyperlink>
            <w:hyperlink r:id="rId73" w:history="1">
              <w:r>
                <w:rPr>
                  <w:rStyle w:val="a3"/>
                  <w:rFonts w:eastAsia="Times New Roman"/>
                  <w:sz w:val="20"/>
                  <w:szCs w:val="20"/>
                </w:rPr>
                <w:t xml:space="preserve"> and </w:t>
              </w:r>
            </w:hyperlink>
            <w:hyperlink r:id="rId74" w:history="1">
              <w:r>
                <w:rPr>
                  <w:rStyle w:val="a3"/>
                  <w:rFonts w:eastAsia="Times New Roman"/>
                  <w:sz w:val="20"/>
                  <w:szCs w:val="20"/>
                </w:rPr>
                <w:t>1-07541</w:t>
              </w:r>
            </w:hyperlink>
            <w:hyperlink r:id="rId75" w:history="1">
              <w:r>
                <w:rPr>
                  <w:rStyle w:val="a3"/>
                  <w:rFonts w:eastAsia="Times New Roman"/>
                  <w:sz w:val="20"/>
                  <w:szCs w:val="20"/>
                </w:rPr>
                <w:t>, respectively), filed on February 25, 2020).</w:t>
              </w:r>
            </w:hyperlink>
          </w:p>
        </w:tc>
      </w:tr>
      <w:tr w:rsidR="00000000" w14:paraId="158964C7" w14:textId="77777777">
        <w:trPr>
          <w:divId w:val="1754886423"/>
          <w:jc w:val="center"/>
        </w:trPr>
        <w:tc>
          <w:tcPr>
            <w:tcW w:w="0" w:type="auto"/>
            <w:gridSpan w:val="2"/>
            <w:tcMar>
              <w:top w:w="30" w:type="dxa"/>
              <w:left w:w="20" w:type="dxa"/>
              <w:bottom w:w="30" w:type="dxa"/>
              <w:right w:w="0" w:type="dxa"/>
            </w:tcMar>
            <w:hideMark/>
          </w:tcPr>
          <w:p w14:paraId="2883DAFE" w14:textId="77777777" w:rsidR="00000000" w:rsidRDefault="00195E73">
            <w:pPr>
              <w:jc w:val="center"/>
              <w:rPr>
                <w:rFonts w:eastAsia="Times New Roman"/>
              </w:rPr>
            </w:pPr>
            <w:r>
              <w:rPr>
                <w:rFonts w:eastAsia="Times New Roman"/>
                <w:color w:val="000000"/>
                <w:sz w:val="20"/>
                <w:szCs w:val="20"/>
              </w:rPr>
              <w:t>101.SCH</w:t>
            </w:r>
            <w:r>
              <w:rPr>
                <w:rFonts w:eastAsia="Times New Roman"/>
                <w:color w:val="000000"/>
                <w:sz w:val="20"/>
                <w:szCs w:val="20"/>
              </w:rPr>
              <w:t> </w:t>
            </w:r>
          </w:p>
        </w:tc>
        <w:tc>
          <w:tcPr>
            <w:tcW w:w="0" w:type="auto"/>
            <w:tcMar>
              <w:top w:w="30" w:type="dxa"/>
              <w:left w:w="15" w:type="dxa"/>
              <w:bottom w:w="30" w:type="dxa"/>
              <w:right w:w="20" w:type="dxa"/>
            </w:tcMar>
            <w:hideMark/>
          </w:tcPr>
          <w:p w14:paraId="65750C13"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565D31E2"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504F840A" w14:textId="77777777" w:rsidR="00000000" w:rsidRDefault="00195E73">
            <w:pPr>
              <w:rPr>
                <w:rFonts w:eastAsia="Times New Roman"/>
              </w:rPr>
            </w:pPr>
            <w:r>
              <w:rPr>
                <w:rFonts w:eastAsia="Times New Roman"/>
                <w:color w:val="000000"/>
                <w:sz w:val="20"/>
                <w:szCs w:val="20"/>
              </w:rPr>
              <w:t>Inline XBRL Taxonomy Extension Schema Document</w:t>
            </w:r>
            <w:r>
              <w:rPr>
                <w:rFonts w:eastAsia="Times New Roman"/>
                <w:color w:val="000000"/>
                <w:sz w:val="20"/>
                <w:szCs w:val="20"/>
              </w:rPr>
              <w:t>.</w:t>
            </w:r>
          </w:p>
        </w:tc>
      </w:tr>
      <w:tr w:rsidR="00000000" w14:paraId="77D6D1ED" w14:textId="77777777">
        <w:trPr>
          <w:divId w:val="1754886423"/>
          <w:jc w:val="center"/>
        </w:trPr>
        <w:tc>
          <w:tcPr>
            <w:tcW w:w="0" w:type="auto"/>
            <w:gridSpan w:val="2"/>
            <w:tcMar>
              <w:top w:w="30" w:type="dxa"/>
              <w:left w:w="20" w:type="dxa"/>
              <w:bottom w:w="30" w:type="dxa"/>
              <w:right w:w="0" w:type="dxa"/>
            </w:tcMar>
            <w:hideMark/>
          </w:tcPr>
          <w:p w14:paraId="52EBE468" w14:textId="77777777" w:rsidR="00000000" w:rsidRDefault="00195E73">
            <w:pPr>
              <w:jc w:val="center"/>
              <w:rPr>
                <w:rFonts w:eastAsia="Times New Roman"/>
              </w:rPr>
            </w:pPr>
            <w:r>
              <w:rPr>
                <w:rFonts w:eastAsia="Times New Roman"/>
                <w:color w:val="000000"/>
                <w:sz w:val="20"/>
                <w:szCs w:val="20"/>
              </w:rPr>
              <w:t>101.CAL</w:t>
            </w:r>
            <w:r>
              <w:rPr>
                <w:rFonts w:eastAsia="Times New Roman"/>
                <w:color w:val="000000"/>
                <w:sz w:val="20"/>
                <w:szCs w:val="20"/>
              </w:rPr>
              <w:t> </w:t>
            </w:r>
          </w:p>
        </w:tc>
        <w:tc>
          <w:tcPr>
            <w:tcW w:w="0" w:type="auto"/>
            <w:tcMar>
              <w:top w:w="30" w:type="dxa"/>
              <w:left w:w="15" w:type="dxa"/>
              <w:bottom w:w="30" w:type="dxa"/>
              <w:right w:w="20" w:type="dxa"/>
            </w:tcMar>
            <w:hideMark/>
          </w:tcPr>
          <w:p w14:paraId="3EA659E0"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0ED2B607"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449DE13E" w14:textId="77777777" w:rsidR="00000000" w:rsidRDefault="00195E73">
            <w:pPr>
              <w:rPr>
                <w:rFonts w:eastAsia="Times New Roman"/>
              </w:rPr>
            </w:pPr>
            <w:r>
              <w:rPr>
                <w:rFonts w:eastAsia="Times New Roman"/>
                <w:color w:val="000000"/>
                <w:sz w:val="20"/>
                <w:szCs w:val="20"/>
              </w:rPr>
              <w:t>Inline XBRL Taxonomy Extension Calculation Linkbase Document</w:t>
            </w:r>
            <w:r>
              <w:rPr>
                <w:rFonts w:eastAsia="Times New Roman"/>
                <w:color w:val="000000"/>
                <w:sz w:val="20"/>
                <w:szCs w:val="20"/>
              </w:rPr>
              <w:t>.</w:t>
            </w:r>
          </w:p>
        </w:tc>
      </w:tr>
      <w:tr w:rsidR="00000000" w14:paraId="24B70D61" w14:textId="77777777">
        <w:trPr>
          <w:divId w:val="1754886423"/>
          <w:jc w:val="center"/>
        </w:trPr>
        <w:tc>
          <w:tcPr>
            <w:tcW w:w="0" w:type="auto"/>
            <w:gridSpan w:val="2"/>
            <w:tcMar>
              <w:top w:w="30" w:type="dxa"/>
              <w:left w:w="20" w:type="dxa"/>
              <w:bottom w:w="30" w:type="dxa"/>
              <w:right w:w="0" w:type="dxa"/>
            </w:tcMar>
            <w:hideMark/>
          </w:tcPr>
          <w:p w14:paraId="0740591A" w14:textId="77777777" w:rsidR="00000000" w:rsidRDefault="00195E73">
            <w:pPr>
              <w:jc w:val="center"/>
              <w:rPr>
                <w:rFonts w:eastAsia="Times New Roman"/>
              </w:rPr>
            </w:pPr>
            <w:r>
              <w:rPr>
                <w:rFonts w:eastAsia="Times New Roman"/>
                <w:color w:val="000000"/>
                <w:sz w:val="20"/>
                <w:szCs w:val="20"/>
              </w:rPr>
              <w:t>101.LAB</w:t>
            </w:r>
            <w:r>
              <w:rPr>
                <w:rFonts w:eastAsia="Times New Roman"/>
                <w:color w:val="000000"/>
                <w:sz w:val="20"/>
                <w:szCs w:val="20"/>
              </w:rPr>
              <w:t> </w:t>
            </w:r>
          </w:p>
        </w:tc>
        <w:tc>
          <w:tcPr>
            <w:tcW w:w="0" w:type="auto"/>
            <w:tcMar>
              <w:top w:w="30" w:type="dxa"/>
              <w:left w:w="15" w:type="dxa"/>
              <w:bottom w:w="30" w:type="dxa"/>
              <w:right w:w="20" w:type="dxa"/>
            </w:tcMar>
            <w:hideMark/>
          </w:tcPr>
          <w:p w14:paraId="4AA6F26B"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01AEC0A7"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2821689D" w14:textId="77777777" w:rsidR="00000000" w:rsidRDefault="00195E73">
            <w:pPr>
              <w:rPr>
                <w:rFonts w:eastAsia="Times New Roman"/>
              </w:rPr>
            </w:pPr>
            <w:r>
              <w:rPr>
                <w:rFonts w:eastAsia="Times New Roman"/>
                <w:color w:val="000000"/>
                <w:sz w:val="20"/>
                <w:szCs w:val="20"/>
              </w:rPr>
              <w:t>Inline XBRL Taxonomy Extension Label Linkbase Document</w:t>
            </w:r>
            <w:r>
              <w:rPr>
                <w:rFonts w:eastAsia="Times New Roman"/>
                <w:color w:val="000000"/>
                <w:sz w:val="20"/>
                <w:szCs w:val="20"/>
              </w:rPr>
              <w:t>.</w:t>
            </w:r>
          </w:p>
        </w:tc>
      </w:tr>
      <w:tr w:rsidR="00000000" w14:paraId="2D79A800" w14:textId="77777777">
        <w:trPr>
          <w:divId w:val="1754886423"/>
          <w:jc w:val="center"/>
        </w:trPr>
        <w:tc>
          <w:tcPr>
            <w:tcW w:w="0" w:type="auto"/>
            <w:gridSpan w:val="2"/>
            <w:tcMar>
              <w:top w:w="30" w:type="dxa"/>
              <w:left w:w="20" w:type="dxa"/>
              <w:bottom w:w="30" w:type="dxa"/>
              <w:right w:w="0" w:type="dxa"/>
            </w:tcMar>
            <w:hideMark/>
          </w:tcPr>
          <w:p w14:paraId="1D891184" w14:textId="77777777" w:rsidR="00000000" w:rsidRDefault="00195E73">
            <w:pPr>
              <w:jc w:val="center"/>
              <w:rPr>
                <w:rFonts w:eastAsia="Times New Roman"/>
              </w:rPr>
            </w:pPr>
            <w:r>
              <w:rPr>
                <w:rFonts w:eastAsia="Times New Roman"/>
                <w:color w:val="000000"/>
                <w:sz w:val="20"/>
                <w:szCs w:val="20"/>
              </w:rPr>
              <w:t>101.PRE</w:t>
            </w:r>
            <w:r>
              <w:rPr>
                <w:rFonts w:eastAsia="Times New Roman"/>
                <w:color w:val="000000"/>
                <w:sz w:val="20"/>
                <w:szCs w:val="20"/>
              </w:rPr>
              <w:t> </w:t>
            </w:r>
          </w:p>
        </w:tc>
        <w:tc>
          <w:tcPr>
            <w:tcW w:w="0" w:type="auto"/>
            <w:tcMar>
              <w:top w:w="30" w:type="dxa"/>
              <w:left w:w="15" w:type="dxa"/>
              <w:bottom w:w="30" w:type="dxa"/>
              <w:right w:w="20" w:type="dxa"/>
            </w:tcMar>
            <w:hideMark/>
          </w:tcPr>
          <w:p w14:paraId="2E71AF2C"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5A5A09FE"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4B3E3B66" w14:textId="77777777" w:rsidR="00000000" w:rsidRDefault="00195E73">
            <w:pPr>
              <w:rPr>
                <w:rFonts w:eastAsia="Times New Roman"/>
              </w:rPr>
            </w:pPr>
            <w:r>
              <w:rPr>
                <w:rFonts w:eastAsia="Times New Roman"/>
                <w:color w:val="000000"/>
                <w:sz w:val="20"/>
                <w:szCs w:val="20"/>
              </w:rPr>
              <w:t>Inline XBRL Taxonomy Extension Presentation Linkbase Document</w:t>
            </w:r>
            <w:r>
              <w:rPr>
                <w:rFonts w:eastAsia="Times New Roman"/>
                <w:color w:val="000000"/>
                <w:sz w:val="20"/>
                <w:szCs w:val="20"/>
              </w:rPr>
              <w:t>.</w:t>
            </w:r>
          </w:p>
        </w:tc>
      </w:tr>
      <w:tr w:rsidR="00000000" w14:paraId="7A894B8E" w14:textId="77777777">
        <w:trPr>
          <w:divId w:val="1754886423"/>
          <w:jc w:val="center"/>
        </w:trPr>
        <w:tc>
          <w:tcPr>
            <w:tcW w:w="0" w:type="auto"/>
            <w:gridSpan w:val="2"/>
            <w:tcMar>
              <w:top w:w="30" w:type="dxa"/>
              <w:left w:w="20" w:type="dxa"/>
              <w:bottom w:w="30" w:type="dxa"/>
              <w:right w:w="0" w:type="dxa"/>
            </w:tcMar>
            <w:hideMark/>
          </w:tcPr>
          <w:p w14:paraId="2F2EC9B7" w14:textId="77777777" w:rsidR="00000000" w:rsidRDefault="00195E73">
            <w:pPr>
              <w:jc w:val="center"/>
              <w:rPr>
                <w:rFonts w:eastAsia="Times New Roman"/>
              </w:rPr>
            </w:pPr>
            <w:r>
              <w:rPr>
                <w:rFonts w:eastAsia="Times New Roman"/>
                <w:color w:val="000000"/>
                <w:sz w:val="20"/>
                <w:szCs w:val="20"/>
              </w:rPr>
              <w:t>101.DEF</w:t>
            </w:r>
            <w:r>
              <w:rPr>
                <w:rFonts w:eastAsia="Times New Roman"/>
                <w:color w:val="000000"/>
                <w:sz w:val="20"/>
                <w:szCs w:val="20"/>
              </w:rPr>
              <w:t> </w:t>
            </w:r>
          </w:p>
        </w:tc>
        <w:tc>
          <w:tcPr>
            <w:tcW w:w="0" w:type="auto"/>
            <w:tcMar>
              <w:top w:w="30" w:type="dxa"/>
              <w:left w:w="15" w:type="dxa"/>
              <w:bottom w:w="30" w:type="dxa"/>
              <w:right w:w="20" w:type="dxa"/>
            </w:tcMar>
            <w:hideMark/>
          </w:tcPr>
          <w:p w14:paraId="30FD306C"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7C3768E3"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74BFBB81" w14:textId="77777777" w:rsidR="00000000" w:rsidRDefault="00195E73">
            <w:pPr>
              <w:rPr>
                <w:rFonts w:eastAsia="Times New Roman"/>
              </w:rPr>
            </w:pPr>
            <w:r>
              <w:rPr>
                <w:rFonts w:eastAsia="Times New Roman"/>
                <w:color w:val="000000"/>
                <w:sz w:val="20"/>
                <w:szCs w:val="20"/>
              </w:rPr>
              <w:t>Inline XBRL Taxonomy Extension Definition Linkbase Document</w:t>
            </w:r>
            <w:r>
              <w:rPr>
                <w:rFonts w:eastAsia="Times New Roman"/>
                <w:color w:val="000000"/>
                <w:sz w:val="20"/>
                <w:szCs w:val="20"/>
              </w:rPr>
              <w:t>.</w:t>
            </w:r>
          </w:p>
        </w:tc>
      </w:tr>
      <w:tr w:rsidR="00000000" w14:paraId="0500EE2A" w14:textId="77777777">
        <w:trPr>
          <w:divId w:val="1754886423"/>
          <w:jc w:val="center"/>
        </w:trPr>
        <w:tc>
          <w:tcPr>
            <w:tcW w:w="0" w:type="auto"/>
            <w:gridSpan w:val="2"/>
            <w:tcMar>
              <w:top w:w="30" w:type="dxa"/>
              <w:left w:w="20" w:type="dxa"/>
              <w:bottom w:w="30" w:type="dxa"/>
              <w:right w:w="0" w:type="dxa"/>
            </w:tcMar>
            <w:hideMark/>
          </w:tcPr>
          <w:p w14:paraId="002484FF" w14:textId="77777777" w:rsidR="00000000" w:rsidRDefault="00195E73">
            <w:pPr>
              <w:jc w:val="center"/>
              <w:rPr>
                <w:rFonts w:eastAsia="Times New Roman"/>
              </w:rPr>
            </w:pPr>
            <w:r>
              <w:rPr>
                <w:rFonts w:eastAsia="Times New Roman"/>
                <w:color w:val="000000"/>
                <w:sz w:val="20"/>
                <w:szCs w:val="20"/>
              </w:rPr>
              <w:t>104</w:t>
            </w:r>
            <w:r>
              <w:rPr>
                <w:rFonts w:eastAsia="Times New Roman"/>
                <w:color w:val="000000"/>
                <w:sz w:val="20"/>
                <w:szCs w:val="20"/>
              </w:rPr>
              <w:t> </w:t>
            </w:r>
          </w:p>
        </w:tc>
        <w:tc>
          <w:tcPr>
            <w:tcW w:w="0" w:type="auto"/>
            <w:tcMar>
              <w:top w:w="30" w:type="dxa"/>
              <w:left w:w="15" w:type="dxa"/>
              <w:bottom w:w="30" w:type="dxa"/>
              <w:right w:w="20" w:type="dxa"/>
            </w:tcMar>
            <w:hideMark/>
          </w:tcPr>
          <w:p w14:paraId="140EC83D" w14:textId="77777777" w:rsidR="00000000" w:rsidRDefault="00195E73">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62475F9" w14:textId="77777777" w:rsidR="00000000" w:rsidRDefault="00195E73">
            <w:pPr>
              <w:jc w:val="right"/>
              <w:rPr>
                <w:rFonts w:eastAsia="Times New Roman"/>
              </w:rPr>
            </w:pPr>
          </w:p>
        </w:tc>
        <w:tc>
          <w:tcPr>
            <w:tcW w:w="0" w:type="auto"/>
            <w:gridSpan w:val="3"/>
            <w:tcMar>
              <w:top w:w="30" w:type="dxa"/>
              <w:left w:w="20" w:type="dxa"/>
              <w:bottom w:w="30" w:type="dxa"/>
              <w:right w:w="20" w:type="dxa"/>
            </w:tcMar>
            <w:hideMark/>
          </w:tcPr>
          <w:p w14:paraId="0FCEA0F1" w14:textId="77777777" w:rsidR="00000000" w:rsidRDefault="00195E73">
            <w:pPr>
              <w:rPr>
                <w:rFonts w:eastAsia="Times New Roman"/>
              </w:rPr>
            </w:pPr>
            <w:r>
              <w:rPr>
                <w:rFonts w:eastAsia="Times New Roman"/>
                <w:color w:val="000000"/>
                <w:sz w:val="20"/>
                <w:szCs w:val="20"/>
              </w:rPr>
              <w:t>Cover Page Interactive Data File (formatted in Inline XBRL in Exhibit 101)</w:t>
            </w:r>
            <w:r>
              <w:rPr>
                <w:rFonts w:eastAsia="Times New Roman"/>
                <w:color w:val="000000"/>
                <w:sz w:val="20"/>
                <w:szCs w:val="20"/>
              </w:rPr>
              <w:t>.</w:t>
            </w:r>
          </w:p>
        </w:tc>
      </w:tr>
    </w:tbl>
    <w:p w14:paraId="0FBD782A" w14:textId="77777777" w:rsidR="00000000" w:rsidRDefault="00195E73">
      <w:pPr>
        <w:divId w:val="926842400"/>
        <w:rPr>
          <w:rFonts w:eastAsia="Times New Roman"/>
        </w:rPr>
      </w:pPr>
    </w:p>
    <w:p w14:paraId="72B7A40D" w14:textId="77777777" w:rsidR="00000000" w:rsidRDefault="00195E73">
      <w:pPr>
        <w:divId w:val="981739580"/>
        <w:rPr>
          <w:rFonts w:eastAsia="Times New Roman"/>
        </w:rPr>
      </w:pPr>
    </w:p>
    <w:p w14:paraId="0A1D6CFC" w14:textId="77777777" w:rsidR="00000000" w:rsidRDefault="00195E73">
      <w:pPr>
        <w:divId w:val="700474333"/>
        <w:rPr>
          <w:rFonts w:eastAsia="Times New Roman"/>
        </w:rPr>
      </w:pPr>
    </w:p>
    <w:p w14:paraId="25EAB892" w14:textId="77777777" w:rsidR="00195E73" w:rsidRDefault="00195E73">
      <w:pPr>
        <w:jc w:val="center"/>
        <w:divId w:val="1031027164"/>
        <w:rPr>
          <w:rFonts w:eastAsia="Times New Roman"/>
        </w:rPr>
      </w:pPr>
      <w:r>
        <w:rPr>
          <w:rFonts w:eastAsia="Times New Roman"/>
          <w:color w:val="000000"/>
          <w:sz w:val="20"/>
          <w:szCs w:val="20"/>
        </w:rPr>
        <w:t>14</w:t>
      </w:r>
      <w:r>
        <w:rPr>
          <w:rFonts w:eastAsia="Times New Roman"/>
          <w:color w:val="000000"/>
          <w:sz w:val="20"/>
          <w:szCs w:val="20"/>
        </w:rPr>
        <w:t>6</w:t>
      </w:r>
    </w:p>
    <w:sectPr w:rsidR="00195E7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95E73"/>
    <w:rsid w:val="00195E73"/>
  </w:rsids>
  <m:mathPr>
    <m:mathFont m:val="Cambria Math"/>
    <m:brkBin m:val="before"/>
    <m:brkBinSub m:val="--"/>
    <m:smallFrac m:val="0"/>
    <m:dispDef/>
    <m:lMargin m:val="0"/>
    <m:rMargin m:val="0"/>
    <m:defJc m:val="centerGroup"/>
    <m:wrapIndent m:val="1440"/>
    <m:intLim m:val="subSup"/>
    <m:naryLim m:val="undOvr"/>
  </m:mathPr>
  <w:attachedSchema w:val="http://xbrl.sec.gov/stpr/2018-01-31"/>
  <w:attachedSchema w:val="http://xbrl.sec.gov/country/2017-01-31"/>
  <w:attachedSchema w:val="http://fasb.org/srt/2019-01-31"/>
  <w:attachedSchema w:val="http://www.ielp.com/20191231"/>
  <w:attachedSchema w:val="http://fasb.org/us-gaap/2019-01-31"/>
  <w:attachedSchema w:val="http://xbrl.sec.gov/dei/2019-01-31"/>
  <w:attachedSchema w:val="http://www.xbrl.org/2003/linkbase"/>
  <w:attachedSchema w:val="http://xbrl.sec.gov/invest/2013-01-31"/>
  <w:attachedSchema w:val="http://www.w3.org/1999/xlink"/>
  <w:attachedSchema w:val="http://xbrl.sec.gov/sic/2011-01-31"/>
  <w:attachedSchema w:val="http://www.xbrl.org/inlineXBRL/transformation/2015-02-26"/>
  <w:attachedSchema w:val="http://xbrl.org/2006/xbrldi"/>
  <w:attachedSchema w:val="http://www.xbrl.org/2013/inlineXBRL"/>
  <w:attachedSchema w:val="http://www.xbrl.org/2003/iso4217"/>
  <w:attachedSchema w:val="http://www.xbrl.org/2003/instance"/>
  <w:attachedSchema w:val="http://www.sec.gov/inlineXBRL/transformation/2015-08-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38227"/>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044">
      <w:marLeft w:val="0"/>
      <w:marRight w:val="0"/>
      <w:marTop w:val="120"/>
      <w:marBottom w:val="0"/>
      <w:divBdr>
        <w:top w:val="none" w:sz="0" w:space="0" w:color="auto"/>
        <w:left w:val="none" w:sz="0" w:space="0" w:color="auto"/>
        <w:bottom w:val="none" w:sz="0" w:space="0" w:color="auto"/>
        <w:right w:val="none" w:sz="0" w:space="0" w:color="auto"/>
      </w:divBdr>
    </w:div>
    <w:div w:id="3555913">
      <w:marLeft w:val="0"/>
      <w:marRight w:val="0"/>
      <w:marTop w:val="0"/>
      <w:marBottom w:val="120"/>
      <w:divBdr>
        <w:top w:val="none" w:sz="0" w:space="0" w:color="auto"/>
        <w:left w:val="none" w:sz="0" w:space="0" w:color="auto"/>
        <w:bottom w:val="none" w:sz="0" w:space="0" w:color="auto"/>
        <w:right w:val="none" w:sz="0" w:space="0" w:color="auto"/>
      </w:divBdr>
    </w:div>
    <w:div w:id="3633863">
      <w:marLeft w:val="0"/>
      <w:marRight w:val="0"/>
      <w:marTop w:val="0"/>
      <w:marBottom w:val="0"/>
      <w:divBdr>
        <w:top w:val="none" w:sz="0" w:space="0" w:color="auto"/>
        <w:left w:val="none" w:sz="0" w:space="0" w:color="auto"/>
        <w:bottom w:val="none" w:sz="0" w:space="0" w:color="auto"/>
        <w:right w:val="none" w:sz="0" w:space="0" w:color="auto"/>
      </w:divBdr>
    </w:div>
    <w:div w:id="4485322">
      <w:marLeft w:val="0"/>
      <w:marRight w:val="0"/>
      <w:marTop w:val="120"/>
      <w:marBottom w:val="0"/>
      <w:divBdr>
        <w:top w:val="none" w:sz="0" w:space="0" w:color="auto"/>
        <w:left w:val="none" w:sz="0" w:space="0" w:color="auto"/>
        <w:bottom w:val="none" w:sz="0" w:space="0" w:color="auto"/>
        <w:right w:val="none" w:sz="0" w:space="0" w:color="auto"/>
      </w:divBdr>
    </w:div>
    <w:div w:id="8455018">
      <w:marLeft w:val="0"/>
      <w:marRight w:val="0"/>
      <w:marTop w:val="120"/>
      <w:marBottom w:val="0"/>
      <w:divBdr>
        <w:top w:val="none" w:sz="0" w:space="0" w:color="auto"/>
        <w:left w:val="none" w:sz="0" w:space="0" w:color="auto"/>
        <w:bottom w:val="none" w:sz="0" w:space="0" w:color="auto"/>
        <w:right w:val="none" w:sz="0" w:space="0" w:color="auto"/>
      </w:divBdr>
    </w:div>
    <w:div w:id="8872623">
      <w:marLeft w:val="0"/>
      <w:marRight w:val="0"/>
      <w:marTop w:val="180"/>
      <w:marBottom w:val="0"/>
      <w:divBdr>
        <w:top w:val="none" w:sz="0" w:space="0" w:color="auto"/>
        <w:left w:val="none" w:sz="0" w:space="0" w:color="auto"/>
        <w:bottom w:val="none" w:sz="0" w:space="0" w:color="auto"/>
        <w:right w:val="none" w:sz="0" w:space="0" w:color="auto"/>
      </w:divBdr>
    </w:div>
    <w:div w:id="8919516">
      <w:marLeft w:val="0"/>
      <w:marRight w:val="0"/>
      <w:marTop w:val="0"/>
      <w:marBottom w:val="0"/>
      <w:divBdr>
        <w:top w:val="none" w:sz="0" w:space="0" w:color="auto"/>
        <w:left w:val="none" w:sz="0" w:space="0" w:color="auto"/>
        <w:bottom w:val="none" w:sz="0" w:space="0" w:color="auto"/>
        <w:right w:val="none" w:sz="0" w:space="0" w:color="auto"/>
      </w:divBdr>
      <w:divsChild>
        <w:div w:id="1944221057">
          <w:marLeft w:val="0"/>
          <w:marRight w:val="0"/>
          <w:marTop w:val="0"/>
          <w:marBottom w:val="0"/>
          <w:divBdr>
            <w:top w:val="none" w:sz="0" w:space="0" w:color="auto"/>
            <w:left w:val="none" w:sz="0" w:space="0" w:color="auto"/>
            <w:bottom w:val="none" w:sz="0" w:space="0" w:color="auto"/>
            <w:right w:val="none" w:sz="0" w:space="0" w:color="auto"/>
          </w:divBdr>
        </w:div>
      </w:divsChild>
    </w:div>
    <w:div w:id="9528430">
      <w:marLeft w:val="0"/>
      <w:marRight w:val="0"/>
      <w:marTop w:val="0"/>
      <w:marBottom w:val="0"/>
      <w:divBdr>
        <w:top w:val="none" w:sz="0" w:space="0" w:color="auto"/>
        <w:left w:val="none" w:sz="0" w:space="0" w:color="auto"/>
        <w:bottom w:val="none" w:sz="0" w:space="0" w:color="auto"/>
        <w:right w:val="none" w:sz="0" w:space="0" w:color="auto"/>
      </w:divBdr>
    </w:div>
    <w:div w:id="10837737">
      <w:marLeft w:val="0"/>
      <w:marRight w:val="0"/>
      <w:marTop w:val="120"/>
      <w:marBottom w:val="120"/>
      <w:divBdr>
        <w:top w:val="none" w:sz="0" w:space="0" w:color="auto"/>
        <w:left w:val="none" w:sz="0" w:space="0" w:color="auto"/>
        <w:bottom w:val="none" w:sz="0" w:space="0" w:color="auto"/>
        <w:right w:val="none" w:sz="0" w:space="0" w:color="auto"/>
      </w:divBdr>
      <w:divsChild>
        <w:div w:id="711223145">
          <w:marLeft w:val="0"/>
          <w:marRight w:val="0"/>
          <w:marTop w:val="0"/>
          <w:marBottom w:val="0"/>
          <w:divBdr>
            <w:top w:val="none" w:sz="0" w:space="0" w:color="auto"/>
            <w:left w:val="none" w:sz="0" w:space="0" w:color="auto"/>
            <w:bottom w:val="none" w:sz="0" w:space="0" w:color="auto"/>
            <w:right w:val="none" w:sz="0" w:space="0" w:color="auto"/>
          </w:divBdr>
        </w:div>
        <w:div w:id="1626890669">
          <w:marLeft w:val="0"/>
          <w:marRight w:val="0"/>
          <w:marTop w:val="0"/>
          <w:marBottom w:val="0"/>
          <w:divBdr>
            <w:top w:val="none" w:sz="0" w:space="0" w:color="auto"/>
            <w:left w:val="none" w:sz="0" w:space="0" w:color="auto"/>
            <w:bottom w:val="none" w:sz="0" w:space="0" w:color="auto"/>
            <w:right w:val="none" w:sz="0" w:space="0" w:color="auto"/>
          </w:divBdr>
        </w:div>
        <w:div w:id="1637488894">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1983733896">
          <w:marLeft w:val="0"/>
          <w:marRight w:val="0"/>
          <w:marTop w:val="0"/>
          <w:marBottom w:val="0"/>
          <w:divBdr>
            <w:top w:val="none" w:sz="0" w:space="0" w:color="auto"/>
            <w:left w:val="none" w:sz="0" w:space="0" w:color="auto"/>
            <w:bottom w:val="none" w:sz="0" w:space="0" w:color="auto"/>
            <w:right w:val="none" w:sz="0" w:space="0" w:color="auto"/>
          </w:divBdr>
        </w:div>
        <w:div w:id="1572110121">
          <w:marLeft w:val="0"/>
          <w:marRight w:val="0"/>
          <w:marTop w:val="0"/>
          <w:marBottom w:val="0"/>
          <w:divBdr>
            <w:top w:val="none" w:sz="0" w:space="0" w:color="auto"/>
            <w:left w:val="none" w:sz="0" w:space="0" w:color="auto"/>
            <w:bottom w:val="none" w:sz="0" w:space="0" w:color="auto"/>
            <w:right w:val="none" w:sz="0" w:space="0" w:color="auto"/>
          </w:divBdr>
        </w:div>
        <w:div w:id="1983850103">
          <w:marLeft w:val="0"/>
          <w:marRight w:val="0"/>
          <w:marTop w:val="0"/>
          <w:marBottom w:val="0"/>
          <w:divBdr>
            <w:top w:val="none" w:sz="0" w:space="0" w:color="auto"/>
            <w:left w:val="none" w:sz="0" w:space="0" w:color="auto"/>
            <w:bottom w:val="none" w:sz="0" w:space="0" w:color="auto"/>
            <w:right w:val="none" w:sz="0" w:space="0" w:color="auto"/>
          </w:divBdr>
        </w:div>
        <w:div w:id="721321460">
          <w:marLeft w:val="0"/>
          <w:marRight w:val="0"/>
          <w:marTop w:val="0"/>
          <w:marBottom w:val="0"/>
          <w:divBdr>
            <w:top w:val="none" w:sz="0" w:space="0" w:color="auto"/>
            <w:left w:val="none" w:sz="0" w:space="0" w:color="auto"/>
            <w:bottom w:val="none" w:sz="0" w:space="0" w:color="auto"/>
            <w:right w:val="none" w:sz="0" w:space="0" w:color="auto"/>
          </w:divBdr>
        </w:div>
        <w:div w:id="720128797">
          <w:marLeft w:val="0"/>
          <w:marRight w:val="0"/>
          <w:marTop w:val="0"/>
          <w:marBottom w:val="0"/>
          <w:divBdr>
            <w:top w:val="none" w:sz="0" w:space="0" w:color="auto"/>
            <w:left w:val="none" w:sz="0" w:space="0" w:color="auto"/>
            <w:bottom w:val="none" w:sz="0" w:space="0" w:color="auto"/>
            <w:right w:val="none" w:sz="0" w:space="0" w:color="auto"/>
          </w:divBdr>
        </w:div>
        <w:div w:id="680855199">
          <w:marLeft w:val="0"/>
          <w:marRight w:val="0"/>
          <w:marTop w:val="0"/>
          <w:marBottom w:val="0"/>
          <w:divBdr>
            <w:top w:val="none" w:sz="0" w:space="0" w:color="auto"/>
            <w:left w:val="none" w:sz="0" w:space="0" w:color="auto"/>
            <w:bottom w:val="none" w:sz="0" w:space="0" w:color="auto"/>
            <w:right w:val="none" w:sz="0" w:space="0" w:color="auto"/>
          </w:divBdr>
        </w:div>
        <w:div w:id="365718931">
          <w:marLeft w:val="0"/>
          <w:marRight w:val="0"/>
          <w:marTop w:val="0"/>
          <w:marBottom w:val="0"/>
          <w:divBdr>
            <w:top w:val="none" w:sz="0" w:space="0" w:color="auto"/>
            <w:left w:val="none" w:sz="0" w:space="0" w:color="auto"/>
            <w:bottom w:val="none" w:sz="0" w:space="0" w:color="auto"/>
            <w:right w:val="none" w:sz="0" w:space="0" w:color="auto"/>
          </w:divBdr>
        </w:div>
        <w:div w:id="1294824302">
          <w:marLeft w:val="0"/>
          <w:marRight w:val="0"/>
          <w:marTop w:val="0"/>
          <w:marBottom w:val="0"/>
          <w:divBdr>
            <w:top w:val="none" w:sz="0" w:space="0" w:color="auto"/>
            <w:left w:val="none" w:sz="0" w:space="0" w:color="auto"/>
            <w:bottom w:val="none" w:sz="0" w:space="0" w:color="auto"/>
            <w:right w:val="none" w:sz="0" w:space="0" w:color="auto"/>
          </w:divBdr>
        </w:div>
        <w:div w:id="1842112552">
          <w:marLeft w:val="0"/>
          <w:marRight w:val="0"/>
          <w:marTop w:val="0"/>
          <w:marBottom w:val="0"/>
          <w:divBdr>
            <w:top w:val="none" w:sz="0" w:space="0" w:color="auto"/>
            <w:left w:val="none" w:sz="0" w:space="0" w:color="auto"/>
            <w:bottom w:val="none" w:sz="0" w:space="0" w:color="auto"/>
            <w:right w:val="none" w:sz="0" w:space="0" w:color="auto"/>
          </w:divBdr>
        </w:div>
        <w:div w:id="1612585534">
          <w:marLeft w:val="0"/>
          <w:marRight w:val="0"/>
          <w:marTop w:val="0"/>
          <w:marBottom w:val="0"/>
          <w:divBdr>
            <w:top w:val="none" w:sz="0" w:space="0" w:color="auto"/>
            <w:left w:val="none" w:sz="0" w:space="0" w:color="auto"/>
            <w:bottom w:val="none" w:sz="0" w:space="0" w:color="auto"/>
            <w:right w:val="none" w:sz="0" w:space="0" w:color="auto"/>
          </w:divBdr>
        </w:div>
      </w:divsChild>
    </w:div>
    <w:div w:id="10958994">
      <w:marLeft w:val="0"/>
      <w:marRight w:val="0"/>
      <w:marTop w:val="120"/>
      <w:marBottom w:val="0"/>
      <w:divBdr>
        <w:top w:val="none" w:sz="0" w:space="0" w:color="auto"/>
        <w:left w:val="none" w:sz="0" w:space="0" w:color="auto"/>
        <w:bottom w:val="none" w:sz="0" w:space="0" w:color="auto"/>
        <w:right w:val="none" w:sz="0" w:space="0" w:color="auto"/>
      </w:divBdr>
    </w:div>
    <w:div w:id="11954335">
      <w:marLeft w:val="0"/>
      <w:marRight w:val="0"/>
      <w:marTop w:val="0"/>
      <w:marBottom w:val="0"/>
      <w:divBdr>
        <w:top w:val="none" w:sz="0" w:space="0" w:color="auto"/>
        <w:left w:val="none" w:sz="0" w:space="0" w:color="auto"/>
        <w:bottom w:val="none" w:sz="0" w:space="0" w:color="auto"/>
        <w:right w:val="none" w:sz="0" w:space="0" w:color="auto"/>
      </w:divBdr>
      <w:divsChild>
        <w:div w:id="951126977">
          <w:marLeft w:val="0"/>
          <w:marRight w:val="0"/>
          <w:marTop w:val="0"/>
          <w:marBottom w:val="0"/>
          <w:divBdr>
            <w:top w:val="none" w:sz="0" w:space="0" w:color="auto"/>
            <w:left w:val="none" w:sz="0" w:space="0" w:color="auto"/>
            <w:bottom w:val="none" w:sz="0" w:space="0" w:color="auto"/>
            <w:right w:val="none" w:sz="0" w:space="0" w:color="auto"/>
          </w:divBdr>
        </w:div>
      </w:divsChild>
    </w:div>
    <w:div w:id="12190248">
      <w:marLeft w:val="0"/>
      <w:marRight w:val="0"/>
      <w:marTop w:val="0"/>
      <w:marBottom w:val="0"/>
      <w:divBdr>
        <w:top w:val="none" w:sz="0" w:space="0" w:color="auto"/>
        <w:left w:val="none" w:sz="0" w:space="0" w:color="auto"/>
        <w:bottom w:val="none" w:sz="0" w:space="0" w:color="auto"/>
        <w:right w:val="none" w:sz="0" w:space="0" w:color="auto"/>
      </w:divBdr>
      <w:divsChild>
        <w:div w:id="206723001">
          <w:marLeft w:val="0"/>
          <w:marRight w:val="0"/>
          <w:marTop w:val="0"/>
          <w:marBottom w:val="0"/>
          <w:divBdr>
            <w:top w:val="none" w:sz="0" w:space="0" w:color="auto"/>
            <w:left w:val="none" w:sz="0" w:space="0" w:color="auto"/>
            <w:bottom w:val="none" w:sz="0" w:space="0" w:color="auto"/>
            <w:right w:val="none" w:sz="0" w:space="0" w:color="auto"/>
          </w:divBdr>
        </w:div>
      </w:divsChild>
    </w:div>
    <w:div w:id="12998836">
      <w:marLeft w:val="0"/>
      <w:marRight w:val="0"/>
      <w:marTop w:val="0"/>
      <w:marBottom w:val="0"/>
      <w:divBdr>
        <w:top w:val="none" w:sz="0" w:space="0" w:color="auto"/>
        <w:left w:val="none" w:sz="0" w:space="0" w:color="auto"/>
        <w:bottom w:val="none" w:sz="0" w:space="0" w:color="auto"/>
        <w:right w:val="none" w:sz="0" w:space="0" w:color="auto"/>
      </w:divBdr>
      <w:divsChild>
        <w:div w:id="1146051654">
          <w:marLeft w:val="0"/>
          <w:marRight w:val="0"/>
          <w:marTop w:val="0"/>
          <w:marBottom w:val="0"/>
          <w:divBdr>
            <w:top w:val="none" w:sz="0" w:space="0" w:color="auto"/>
            <w:left w:val="none" w:sz="0" w:space="0" w:color="auto"/>
            <w:bottom w:val="none" w:sz="0" w:space="0" w:color="auto"/>
            <w:right w:val="none" w:sz="0" w:space="0" w:color="auto"/>
          </w:divBdr>
        </w:div>
      </w:divsChild>
    </w:div>
    <w:div w:id="13847361">
      <w:marLeft w:val="0"/>
      <w:marRight w:val="0"/>
      <w:marTop w:val="0"/>
      <w:marBottom w:val="0"/>
      <w:divBdr>
        <w:top w:val="none" w:sz="0" w:space="0" w:color="auto"/>
        <w:left w:val="none" w:sz="0" w:space="0" w:color="auto"/>
        <w:bottom w:val="none" w:sz="0" w:space="0" w:color="auto"/>
        <w:right w:val="none" w:sz="0" w:space="0" w:color="auto"/>
      </w:divBdr>
    </w:div>
    <w:div w:id="14311611">
      <w:marLeft w:val="0"/>
      <w:marRight w:val="0"/>
      <w:marTop w:val="120"/>
      <w:marBottom w:val="0"/>
      <w:divBdr>
        <w:top w:val="none" w:sz="0" w:space="0" w:color="auto"/>
        <w:left w:val="none" w:sz="0" w:space="0" w:color="auto"/>
        <w:bottom w:val="none" w:sz="0" w:space="0" w:color="auto"/>
        <w:right w:val="none" w:sz="0" w:space="0" w:color="auto"/>
      </w:divBdr>
    </w:div>
    <w:div w:id="15471486">
      <w:marLeft w:val="0"/>
      <w:marRight w:val="0"/>
      <w:marTop w:val="120"/>
      <w:marBottom w:val="0"/>
      <w:divBdr>
        <w:top w:val="none" w:sz="0" w:space="0" w:color="auto"/>
        <w:left w:val="none" w:sz="0" w:space="0" w:color="auto"/>
        <w:bottom w:val="none" w:sz="0" w:space="0" w:color="auto"/>
        <w:right w:val="none" w:sz="0" w:space="0" w:color="auto"/>
      </w:divBdr>
    </w:div>
    <w:div w:id="16473107">
      <w:marLeft w:val="0"/>
      <w:marRight w:val="0"/>
      <w:marTop w:val="0"/>
      <w:marBottom w:val="0"/>
      <w:divBdr>
        <w:top w:val="none" w:sz="0" w:space="0" w:color="auto"/>
        <w:left w:val="none" w:sz="0" w:space="0" w:color="auto"/>
        <w:bottom w:val="none" w:sz="0" w:space="0" w:color="auto"/>
        <w:right w:val="none" w:sz="0" w:space="0" w:color="auto"/>
      </w:divBdr>
      <w:divsChild>
        <w:div w:id="239602425">
          <w:marLeft w:val="0"/>
          <w:marRight w:val="0"/>
          <w:marTop w:val="0"/>
          <w:marBottom w:val="0"/>
          <w:divBdr>
            <w:top w:val="none" w:sz="0" w:space="0" w:color="auto"/>
            <w:left w:val="none" w:sz="0" w:space="0" w:color="auto"/>
            <w:bottom w:val="none" w:sz="0" w:space="0" w:color="auto"/>
            <w:right w:val="none" w:sz="0" w:space="0" w:color="auto"/>
          </w:divBdr>
        </w:div>
      </w:divsChild>
    </w:div>
    <w:div w:id="18434109">
      <w:marLeft w:val="0"/>
      <w:marRight w:val="0"/>
      <w:marTop w:val="120"/>
      <w:marBottom w:val="0"/>
      <w:divBdr>
        <w:top w:val="none" w:sz="0" w:space="0" w:color="auto"/>
        <w:left w:val="none" w:sz="0" w:space="0" w:color="auto"/>
        <w:bottom w:val="none" w:sz="0" w:space="0" w:color="auto"/>
        <w:right w:val="none" w:sz="0" w:space="0" w:color="auto"/>
      </w:divBdr>
    </w:div>
    <w:div w:id="19015067">
      <w:marLeft w:val="0"/>
      <w:marRight w:val="0"/>
      <w:marTop w:val="0"/>
      <w:marBottom w:val="0"/>
      <w:divBdr>
        <w:top w:val="none" w:sz="0" w:space="0" w:color="auto"/>
        <w:left w:val="none" w:sz="0" w:space="0" w:color="auto"/>
        <w:bottom w:val="none" w:sz="0" w:space="0" w:color="auto"/>
        <w:right w:val="none" w:sz="0" w:space="0" w:color="auto"/>
      </w:divBdr>
    </w:div>
    <w:div w:id="19211975">
      <w:marLeft w:val="0"/>
      <w:marRight w:val="0"/>
      <w:marTop w:val="120"/>
      <w:marBottom w:val="0"/>
      <w:divBdr>
        <w:top w:val="none" w:sz="0" w:space="0" w:color="auto"/>
        <w:left w:val="none" w:sz="0" w:space="0" w:color="auto"/>
        <w:bottom w:val="none" w:sz="0" w:space="0" w:color="auto"/>
        <w:right w:val="none" w:sz="0" w:space="0" w:color="auto"/>
      </w:divBdr>
    </w:div>
    <w:div w:id="19672145">
      <w:marLeft w:val="0"/>
      <w:marRight w:val="0"/>
      <w:marTop w:val="0"/>
      <w:marBottom w:val="0"/>
      <w:divBdr>
        <w:top w:val="none" w:sz="0" w:space="0" w:color="auto"/>
        <w:left w:val="none" w:sz="0" w:space="0" w:color="auto"/>
        <w:bottom w:val="none" w:sz="0" w:space="0" w:color="auto"/>
        <w:right w:val="none" w:sz="0" w:space="0" w:color="auto"/>
      </w:divBdr>
    </w:div>
    <w:div w:id="20866166">
      <w:marLeft w:val="0"/>
      <w:marRight w:val="0"/>
      <w:marTop w:val="120"/>
      <w:marBottom w:val="0"/>
      <w:divBdr>
        <w:top w:val="none" w:sz="0" w:space="0" w:color="auto"/>
        <w:left w:val="none" w:sz="0" w:space="0" w:color="auto"/>
        <w:bottom w:val="none" w:sz="0" w:space="0" w:color="auto"/>
        <w:right w:val="none" w:sz="0" w:space="0" w:color="auto"/>
      </w:divBdr>
    </w:div>
    <w:div w:id="21826982">
      <w:marLeft w:val="0"/>
      <w:marRight w:val="0"/>
      <w:marTop w:val="180"/>
      <w:marBottom w:val="0"/>
      <w:divBdr>
        <w:top w:val="none" w:sz="0" w:space="0" w:color="auto"/>
        <w:left w:val="none" w:sz="0" w:space="0" w:color="auto"/>
        <w:bottom w:val="none" w:sz="0" w:space="0" w:color="auto"/>
        <w:right w:val="none" w:sz="0" w:space="0" w:color="auto"/>
      </w:divBdr>
    </w:div>
    <w:div w:id="22025558">
      <w:marLeft w:val="0"/>
      <w:marRight w:val="0"/>
      <w:marTop w:val="120"/>
      <w:marBottom w:val="0"/>
      <w:divBdr>
        <w:top w:val="none" w:sz="0" w:space="0" w:color="auto"/>
        <w:left w:val="none" w:sz="0" w:space="0" w:color="auto"/>
        <w:bottom w:val="none" w:sz="0" w:space="0" w:color="auto"/>
        <w:right w:val="none" w:sz="0" w:space="0" w:color="auto"/>
      </w:divBdr>
    </w:div>
    <w:div w:id="22560354">
      <w:marLeft w:val="0"/>
      <w:marRight w:val="0"/>
      <w:marTop w:val="0"/>
      <w:marBottom w:val="120"/>
      <w:divBdr>
        <w:top w:val="none" w:sz="0" w:space="0" w:color="auto"/>
        <w:left w:val="none" w:sz="0" w:space="0" w:color="auto"/>
        <w:bottom w:val="none" w:sz="0" w:space="0" w:color="auto"/>
        <w:right w:val="none" w:sz="0" w:space="0" w:color="auto"/>
      </w:divBdr>
    </w:div>
    <w:div w:id="22942152">
      <w:marLeft w:val="0"/>
      <w:marRight w:val="0"/>
      <w:marTop w:val="120"/>
      <w:marBottom w:val="0"/>
      <w:divBdr>
        <w:top w:val="none" w:sz="0" w:space="0" w:color="auto"/>
        <w:left w:val="none" w:sz="0" w:space="0" w:color="auto"/>
        <w:bottom w:val="none" w:sz="0" w:space="0" w:color="auto"/>
        <w:right w:val="none" w:sz="0" w:space="0" w:color="auto"/>
      </w:divBdr>
    </w:div>
    <w:div w:id="23099529">
      <w:marLeft w:val="0"/>
      <w:marRight w:val="0"/>
      <w:marTop w:val="120"/>
      <w:marBottom w:val="0"/>
      <w:divBdr>
        <w:top w:val="none" w:sz="0" w:space="0" w:color="auto"/>
        <w:left w:val="none" w:sz="0" w:space="0" w:color="auto"/>
        <w:bottom w:val="none" w:sz="0" w:space="0" w:color="auto"/>
        <w:right w:val="none" w:sz="0" w:space="0" w:color="auto"/>
      </w:divBdr>
    </w:div>
    <w:div w:id="23217412">
      <w:marLeft w:val="0"/>
      <w:marRight w:val="0"/>
      <w:marTop w:val="180"/>
      <w:marBottom w:val="0"/>
      <w:divBdr>
        <w:top w:val="none" w:sz="0" w:space="0" w:color="auto"/>
        <w:left w:val="none" w:sz="0" w:space="0" w:color="auto"/>
        <w:bottom w:val="none" w:sz="0" w:space="0" w:color="auto"/>
        <w:right w:val="none" w:sz="0" w:space="0" w:color="auto"/>
      </w:divBdr>
    </w:div>
    <w:div w:id="23605520">
      <w:marLeft w:val="0"/>
      <w:marRight w:val="0"/>
      <w:marTop w:val="120"/>
      <w:marBottom w:val="0"/>
      <w:divBdr>
        <w:top w:val="none" w:sz="0" w:space="0" w:color="auto"/>
        <w:left w:val="none" w:sz="0" w:space="0" w:color="auto"/>
        <w:bottom w:val="none" w:sz="0" w:space="0" w:color="auto"/>
        <w:right w:val="none" w:sz="0" w:space="0" w:color="auto"/>
      </w:divBdr>
    </w:div>
    <w:div w:id="24991556">
      <w:marLeft w:val="0"/>
      <w:marRight w:val="0"/>
      <w:marTop w:val="120"/>
      <w:marBottom w:val="0"/>
      <w:divBdr>
        <w:top w:val="none" w:sz="0" w:space="0" w:color="auto"/>
        <w:left w:val="none" w:sz="0" w:space="0" w:color="auto"/>
        <w:bottom w:val="none" w:sz="0" w:space="0" w:color="auto"/>
        <w:right w:val="none" w:sz="0" w:space="0" w:color="auto"/>
      </w:divBdr>
    </w:div>
    <w:div w:id="25104564">
      <w:marLeft w:val="0"/>
      <w:marRight w:val="0"/>
      <w:marTop w:val="0"/>
      <w:marBottom w:val="0"/>
      <w:divBdr>
        <w:top w:val="none" w:sz="0" w:space="0" w:color="auto"/>
        <w:left w:val="none" w:sz="0" w:space="0" w:color="auto"/>
        <w:bottom w:val="none" w:sz="0" w:space="0" w:color="auto"/>
        <w:right w:val="none" w:sz="0" w:space="0" w:color="auto"/>
      </w:divBdr>
    </w:div>
    <w:div w:id="25446097">
      <w:marLeft w:val="0"/>
      <w:marRight w:val="0"/>
      <w:marTop w:val="120"/>
      <w:marBottom w:val="0"/>
      <w:divBdr>
        <w:top w:val="none" w:sz="0" w:space="0" w:color="auto"/>
        <w:left w:val="none" w:sz="0" w:space="0" w:color="auto"/>
        <w:bottom w:val="none" w:sz="0" w:space="0" w:color="auto"/>
        <w:right w:val="none" w:sz="0" w:space="0" w:color="auto"/>
      </w:divBdr>
    </w:div>
    <w:div w:id="25758923">
      <w:marLeft w:val="0"/>
      <w:marRight w:val="0"/>
      <w:marTop w:val="0"/>
      <w:marBottom w:val="0"/>
      <w:divBdr>
        <w:top w:val="none" w:sz="0" w:space="0" w:color="auto"/>
        <w:left w:val="none" w:sz="0" w:space="0" w:color="auto"/>
        <w:bottom w:val="none" w:sz="0" w:space="0" w:color="auto"/>
        <w:right w:val="none" w:sz="0" w:space="0" w:color="auto"/>
      </w:divBdr>
      <w:divsChild>
        <w:div w:id="1342663127">
          <w:marLeft w:val="0"/>
          <w:marRight w:val="0"/>
          <w:marTop w:val="0"/>
          <w:marBottom w:val="0"/>
          <w:divBdr>
            <w:top w:val="none" w:sz="0" w:space="0" w:color="auto"/>
            <w:left w:val="none" w:sz="0" w:space="0" w:color="auto"/>
            <w:bottom w:val="none" w:sz="0" w:space="0" w:color="auto"/>
            <w:right w:val="none" w:sz="0" w:space="0" w:color="auto"/>
          </w:divBdr>
        </w:div>
      </w:divsChild>
    </w:div>
    <w:div w:id="25763108">
      <w:marLeft w:val="0"/>
      <w:marRight w:val="0"/>
      <w:marTop w:val="60"/>
      <w:marBottom w:val="0"/>
      <w:divBdr>
        <w:top w:val="none" w:sz="0" w:space="0" w:color="auto"/>
        <w:left w:val="none" w:sz="0" w:space="0" w:color="auto"/>
        <w:bottom w:val="none" w:sz="0" w:space="0" w:color="auto"/>
        <w:right w:val="none" w:sz="0" w:space="0" w:color="auto"/>
      </w:divBdr>
    </w:div>
    <w:div w:id="29258338">
      <w:marLeft w:val="0"/>
      <w:marRight w:val="0"/>
      <w:marTop w:val="120"/>
      <w:marBottom w:val="0"/>
      <w:divBdr>
        <w:top w:val="none" w:sz="0" w:space="0" w:color="auto"/>
        <w:left w:val="none" w:sz="0" w:space="0" w:color="auto"/>
        <w:bottom w:val="none" w:sz="0" w:space="0" w:color="auto"/>
        <w:right w:val="none" w:sz="0" w:space="0" w:color="auto"/>
      </w:divBdr>
    </w:div>
    <w:div w:id="29501429">
      <w:marLeft w:val="0"/>
      <w:marRight w:val="0"/>
      <w:marTop w:val="0"/>
      <w:marBottom w:val="0"/>
      <w:divBdr>
        <w:top w:val="none" w:sz="0" w:space="0" w:color="auto"/>
        <w:left w:val="none" w:sz="0" w:space="0" w:color="auto"/>
        <w:bottom w:val="none" w:sz="0" w:space="0" w:color="auto"/>
        <w:right w:val="none" w:sz="0" w:space="0" w:color="auto"/>
      </w:divBdr>
      <w:divsChild>
        <w:div w:id="646325127">
          <w:marLeft w:val="0"/>
          <w:marRight w:val="0"/>
          <w:marTop w:val="0"/>
          <w:marBottom w:val="0"/>
          <w:divBdr>
            <w:top w:val="none" w:sz="0" w:space="0" w:color="auto"/>
            <w:left w:val="none" w:sz="0" w:space="0" w:color="auto"/>
            <w:bottom w:val="none" w:sz="0" w:space="0" w:color="auto"/>
            <w:right w:val="none" w:sz="0" w:space="0" w:color="auto"/>
          </w:divBdr>
        </w:div>
      </w:divsChild>
    </w:div>
    <w:div w:id="30569385">
      <w:marLeft w:val="0"/>
      <w:marRight w:val="0"/>
      <w:marTop w:val="0"/>
      <w:marBottom w:val="0"/>
      <w:divBdr>
        <w:top w:val="none" w:sz="0" w:space="0" w:color="auto"/>
        <w:left w:val="none" w:sz="0" w:space="0" w:color="auto"/>
        <w:bottom w:val="none" w:sz="0" w:space="0" w:color="auto"/>
        <w:right w:val="none" w:sz="0" w:space="0" w:color="auto"/>
      </w:divBdr>
      <w:divsChild>
        <w:div w:id="1235431761">
          <w:marLeft w:val="0"/>
          <w:marRight w:val="0"/>
          <w:marTop w:val="0"/>
          <w:marBottom w:val="0"/>
          <w:divBdr>
            <w:top w:val="none" w:sz="0" w:space="0" w:color="auto"/>
            <w:left w:val="none" w:sz="0" w:space="0" w:color="auto"/>
            <w:bottom w:val="none" w:sz="0" w:space="0" w:color="auto"/>
            <w:right w:val="none" w:sz="0" w:space="0" w:color="auto"/>
          </w:divBdr>
        </w:div>
      </w:divsChild>
    </w:div>
    <w:div w:id="32586117">
      <w:marLeft w:val="0"/>
      <w:marRight w:val="0"/>
      <w:marTop w:val="0"/>
      <w:marBottom w:val="0"/>
      <w:divBdr>
        <w:top w:val="none" w:sz="0" w:space="0" w:color="auto"/>
        <w:left w:val="none" w:sz="0" w:space="0" w:color="auto"/>
        <w:bottom w:val="none" w:sz="0" w:space="0" w:color="auto"/>
        <w:right w:val="none" w:sz="0" w:space="0" w:color="auto"/>
      </w:divBdr>
    </w:div>
    <w:div w:id="32727884">
      <w:marLeft w:val="0"/>
      <w:marRight w:val="0"/>
      <w:marTop w:val="0"/>
      <w:marBottom w:val="0"/>
      <w:divBdr>
        <w:top w:val="none" w:sz="0" w:space="0" w:color="auto"/>
        <w:left w:val="none" w:sz="0" w:space="0" w:color="auto"/>
        <w:bottom w:val="none" w:sz="0" w:space="0" w:color="auto"/>
        <w:right w:val="none" w:sz="0" w:space="0" w:color="auto"/>
      </w:divBdr>
    </w:div>
    <w:div w:id="32848035">
      <w:marLeft w:val="0"/>
      <w:marRight w:val="0"/>
      <w:marTop w:val="0"/>
      <w:marBottom w:val="0"/>
      <w:divBdr>
        <w:top w:val="none" w:sz="0" w:space="0" w:color="auto"/>
        <w:left w:val="none" w:sz="0" w:space="0" w:color="auto"/>
        <w:bottom w:val="none" w:sz="0" w:space="0" w:color="auto"/>
        <w:right w:val="none" w:sz="0" w:space="0" w:color="auto"/>
      </w:divBdr>
    </w:div>
    <w:div w:id="33116659">
      <w:marLeft w:val="0"/>
      <w:marRight w:val="0"/>
      <w:marTop w:val="0"/>
      <w:marBottom w:val="0"/>
      <w:divBdr>
        <w:top w:val="none" w:sz="0" w:space="0" w:color="auto"/>
        <w:left w:val="none" w:sz="0" w:space="0" w:color="auto"/>
        <w:bottom w:val="none" w:sz="0" w:space="0" w:color="auto"/>
        <w:right w:val="none" w:sz="0" w:space="0" w:color="auto"/>
      </w:divBdr>
    </w:div>
    <w:div w:id="34041947">
      <w:marLeft w:val="0"/>
      <w:marRight w:val="0"/>
      <w:marTop w:val="0"/>
      <w:marBottom w:val="0"/>
      <w:divBdr>
        <w:top w:val="none" w:sz="0" w:space="0" w:color="auto"/>
        <w:left w:val="none" w:sz="0" w:space="0" w:color="auto"/>
        <w:bottom w:val="none" w:sz="0" w:space="0" w:color="auto"/>
        <w:right w:val="none" w:sz="0" w:space="0" w:color="auto"/>
      </w:divBdr>
    </w:div>
    <w:div w:id="37055672">
      <w:marLeft w:val="0"/>
      <w:marRight w:val="0"/>
      <w:marTop w:val="0"/>
      <w:marBottom w:val="0"/>
      <w:divBdr>
        <w:top w:val="none" w:sz="0" w:space="0" w:color="auto"/>
        <w:left w:val="none" w:sz="0" w:space="0" w:color="auto"/>
        <w:bottom w:val="none" w:sz="0" w:space="0" w:color="auto"/>
        <w:right w:val="none" w:sz="0" w:space="0" w:color="auto"/>
      </w:divBdr>
    </w:div>
    <w:div w:id="37248897">
      <w:marLeft w:val="0"/>
      <w:marRight w:val="0"/>
      <w:marTop w:val="120"/>
      <w:marBottom w:val="0"/>
      <w:divBdr>
        <w:top w:val="none" w:sz="0" w:space="0" w:color="auto"/>
        <w:left w:val="none" w:sz="0" w:space="0" w:color="auto"/>
        <w:bottom w:val="none" w:sz="0" w:space="0" w:color="auto"/>
        <w:right w:val="none" w:sz="0" w:space="0" w:color="auto"/>
      </w:divBdr>
    </w:div>
    <w:div w:id="39013350">
      <w:marLeft w:val="0"/>
      <w:marRight w:val="0"/>
      <w:marTop w:val="120"/>
      <w:marBottom w:val="0"/>
      <w:divBdr>
        <w:top w:val="none" w:sz="0" w:space="0" w:color="auto"/>
        <w:left w:val="none" w:sz="0" w:space="0" w:color="auto"/>
        <w:bottom w:val="none" w:sz="0" w:space="0" w:color="auto"/>
        <w:right w:val="none" w:sz="0" w:space="0" w:color="auto"/>
      </w:divBdr>
    </w:div>
    <w:div w:id="39016375">
      <w:marLeft w:val="0"/>
      <w:marRight w:val="0"/>
      <w:marTop w:val="120"/>
      <w:marBottom w:val="0"/>
      <w:divBdr>
        <w:top w:val="none" w:sz="0" w:space="0" w:color="auto"/>
        <w:left w:val="none" w:sz="0" w:space="0" w:color="auto"/>
        <w:bottom w:val="none" w:sz="0" w:space="0" w:color="auto"/>
        <w:right w:val="none" w:sz="0" w:space="0" w:color="auto"/>
      </w:divBdr>
    </w:div>
    <w:div w:id="39475113">
      <w:marLeft w:val="0"/>
      <w:marRight w:val="0"/>
      <w:marTop w:val="120"/>
      <w:marBottom w:val="0"/>
      <w:divBdr>
        <w:top w:val="none" w:sz="0" w:space="0" w:color="auto"/>
        <w:left w:val="none" w:sz="0" w:space="0" w:color="auto"/>
        <w:bottom w:val="none" w:sz="0" w:space="0" w:color="auto"/>
        <w:right w:val="none" w:sz="0" w:space="0" w:color="auto"/>
      </w:divBdr>
    </w:div>
    <w:div w:id="40138071">
      <w:marLeft w:val="0"/>
      <w:marRight w:val="0"/>
      <w:marTop w:val="120"/>
      <w:marBottom w:val="0"/>
      <w:divBdr>
        <w:top w:val="none" w:sz="0" w:space="0" w:color="auto"/>
        <w:left w:val="none" w:sz="0" w:space="0" w:color="auto"/>
        <w:bottom w:val="none" w:sz="0" w:space="0" w:color="auto"/>
        <w:right w:val="none" w:sz="0" w:space="0" w:color="auto"/>
      </w:divBdr>
    </w:div>
    <w:div w:id="41710658">
      <w:marLeft w:val="0"/>
      <w:marRight w:val="0"/>
      <w:marTop w:val="120"/>
      <w:marBottom w:val="0"/>
      <w:divBdr>
        <w:top w:val="none" w:sz="0" w:space="0" w:color="auto"/>
        <w:left w:val="none" w:sz="0" w:space="0" w:color="auto"/>
        <w:bottom w:val="none" w:sz="0" w:space="0" w:color="auto"/>
        <w:right w:val="none" w:sz="0" w:space="0" w:color="auto"/>
      </w:divBdr>
    </w:div>
    <w:div w:id="43410129">
      <w:marLeft w:val="0"/>
      <w:marRight w:val="0"/>
      <w:marTop w:val="120"/>
      <w:marBottom w:val="0"/>
      <w:divBdr>
        <w:top w:val="none" w:sz="0" w:space="0" w:color="auto"/>
        <w:left w:val="none" w:sz="0" w:space="0" w:color="auto"/>
        <w:bottom w:val="none" w:sz="0" w:space="0" w:color="auto"/>
        <w:right w:val="none" w:sz="0" w:space="0" w:color="auto"/>
      </w:divBdr>
    </w:div>
    <w:div w:id="44909550">
      <w:marLeft w:val="0"/>
      <w:marRight w:val="0"/>
      <w:marTop w:val="0"/>
      <w:marBottom w:val="0"/>
      <w:divBdr>
        <w:top w:val="none" w:sz="0" w:space="0" w:color="auto"/>
        <w:left w:val="none" w:sz="0" w:space="0" w:color="auto"/>
        <w:bottom w:val="none" w:sz="0" w:space="0" w:color="auto"/>
        <w:right w:val="none" w:sz="0" w:space="0" w:color="auto"/>
      </w:divBdr>
      <w:divsChild>
        <w:div w:id="1662659630">
          <w:marLeft w:val="0"/>
          <w:marRight w:val="0"/>
          <w:marTop w:val="0"/>
          <w:marBottom w:val="0"/>
          <w:divBdr>
            <w:top w:val="none" w:sz="0" w:space="0" w:color="auto"/>
            <w:left w:val="none" w:sz="0" w:space="0" w:color="auto"/>
            <w:bottom w:val="none" w:sz="0" w:space="0" w:color="auto"/>
            <w:right w:val="none" w:sz="0" w:space="0" w:color="auto"/>
          </w:divBdr>
        </w:div>
      </w:divsChild>
    </w:div>
    <w:div w:id="45377079">
      <w:marLeft w:val="0"/>
      <w:marRight w:val="0"/>
      <w:marTop w:val="0"/>
      <w:marBottom w:val="0"/>
      <w:divBdr>
        <w:top w:val="none" w:sz="0" w:space="0" w:color="auto"/>
        <w:left w:val="none" w:sz="0" w:space="0" w:color="auto"/>
        <w:bottom w:val="none" w:sz="0" w:space="0" w:color="auto"/>
        <w:right w:val="none" w:sz="0" w:space="0" w:color="auto"/>
      </w:divBdr>
    </w:div>
    <w:div w:id="47657851">
      <w:marLeft w:val="0"/>
      <w:marRight w:val="0"/>
      <w:marTop w:val="0"/>
      <w:marBottom w:val="60"/>
      <w:divBdr>
        <w:top w:val="none" w:sz="0" w:space="0" w:color="auto"/>
        <w:left w:val="none" w:sz="0" w:space="0" w:color="auto"/>
        <w:bottom w:val="none" w:sz="0" w:space="0" w:color="auto"/>
        <w:right w:val="none" w:sz="0" w:space="0" w:color="auto"/>
      </w:divBdr>
    </w:div>
    <w:div w:id="48379222">
      <w:marLeft w:val="0"/>
      <w:marRight w:val="0"/>
      <w:marTop w:val="0"/>
      <w:marBottom w:val="0"/>
      <w:divBdr>
        <w:top w:val="none" w:sz="0" w:space="0" w:color="auto"/>
        <w:left w:val="none" w:sz="0" w:space="0" w:color="auto"/>
        <w:bottom w:val="none" w:sz="0" w:space="0" w:color="auto"/>
        <w:right w:val="none" w:sz="0" w:space="0" w:color="auto"/>
      </w:divBdr>
    </w:div>
    <w:div w:id="50083942">
      <w:marLeft w:val="0"/>
      <w:marRight w:val="0"/>
      <w:marTop w:val="120"/>
      <w:marBottom w:val="0"/>
      <w:divBdr>
        <w:top w:val="none" w:sz="0" w:space="0" w:color="auto"/>
        <w:left w:val="none" w:sz="0" w:space="0" w:color="auto"/>
        <w:bottom w:val="none" w:sz="0" w:space="0" w:color="auto"/>
        <w:right w:val="none" w:sz="0" w:space="0" w:color="auto"/>
      </w:divBdr>
    </w:div>
    <w:div w:id="50348340">
      <w:marLeft w:val="0"/>
      <w:marRight w:val="0"/>
      <w:marTop w:val="120"/>
      <w:marBottom w:val="0"/>
      <w:divBdr>
        <w:top w:val="none" w:sz="0" w:space="0" w:color="auto"/>
        <w:left w:val="none" w:sz="0" w:space="0" w:color="auto"/>
        <w:bottom w:val="none" w:sz="0" w:space="0" w:color="auto"/>
        <w:right w:val="none" w:sz="0" w:space="0" w:color="auto"/>
      </w:divBdr>
    </w:div>
    <w:div w:id="50662686">
      <w:marLeft w:val="0"/>
      <w:marRight w:val="0"/>
      <w:marTop w:val="0"/>
      <w:marBottom w:val="120"/>
      <w:divBdr>
        <w:top w:val="none" w:sz="0" w:space="0" w:color="auto"/>
        <w:left w:val="none" w:sz="0" w:space="0" w:color="auto"/>
        <w:bottom w:val="none" w:sz="0" w:space="0" w:color="auto"/>
        <w:right w:val="none" w:sz="0" w:space="0" w:color="auto"/>
      </w:divBdr>
    </w:div>
    <w:div w:id="54478303">
      <w:marLeft w:val="0"/>
      <w:marRight w:val="0"/>
      <w:marTop w:val="120"/>
      <w:marBottom w:val="0"/>
      <w:divBdr>
        <w:top w:val="none" w:sz="0" w:space="0" w:color="auto"/>
        <w:left w:val="none" w:sz="0" w:space="0" w:color="auto"/>
        <w:bottom w:val="none" w:sz="0" w:space="0" w:color="auto"/>
        <w:right w:val="none" w:sz="0" w:space="0" w:color="auto"/>
      </w:divBdr>
    </w:div>
    <w:div w:id="55904966">
      <w:marLeft w:val="0"/>
      <w:marRight w:val="0"/>
      <w:marTop w:val="120"/>
      <w:marBottom w:val="0"/>
      <w:divBdr>
        <w:top w:val="none" w:sz="0" w:space="0" w:color="auto"/>
        <w:left w:val="none" w:sz="0" w:space="0" w:color="auto"/>
        <w:bottom w:val="none" w:sz="0" w:space="0" w:color="auto"/>
        <w:right w:val="none" w:sz="0" w:space="0" w:color="auto"/>
      </w:divBdr>
    </w:div>
    <w:div w:id="56710648">
      <w:marLeft w:val="0"/>
      <w:marRight w:val="0"/>
      <w:marTop w:val="0"/>
      <w:marBottom w:val="0"/>
      <w:divBdr>
        <w:top w:val="none" w:sz="0" w:space="0" w:color="auto"/>
        <w:left w:val="none" w:sz="0" w:space="0" w:color="auto"/>
        <w:bottom w:val="none" w:sz="0" w:space="0" w:color="auto"/>
        <w:right w:val="none" w:sz="0" w:space="0" w:color="auto"/>
      </w:divBdr>
    </w:div>
    <w:div w:id="58863683">
      <w:marLeft w:val="0"/>
      <w:marRight w:val="0"/>
      <w:marTop w:val="0"/>
      <w:marBottom w:val="0"/>
      <w:divBdr>
        <w:top w:val="none" w:sz="0" w:space="0" w:color="auto"/>
        <w:left w:val="none" w:sz="0" w:space="0" w:color="auto"/>
        <w:bottom w:val="none" w:sz="0" w:space="0" w:color="auto"/>
        <w:right w:val="none" w:sz="0" w:space="0" w:color="auto"/>
      </w:divBdr>
    </w:div>
    <w:div w:id="61175525">
      <w:marLeft w:val="0"/>
      <w:marRight w:val="0"/>
      <w:marTop w:val="120"/>
      <w:marBottom w:val="120"/>
      <w:divBdr>
        <w:top w:val="none" w:sz="0" w:space="0" w:color="auto"/>
        <w:left w:val="none" w:sz="0" w:space="0" w:color="auto"/>
        <w:bottom w:val="none" w:sz="0" w:space="0" w:color="auto"/>
        <w:right w:val="none" w:sz="0" w:space="0" w:color="auto"/>
      </w:divBdr>
    </w:div>
    <w:div w:id="63576787">
      <w:marLeft w:val="0"/>
      <w:marRight w:val="0"/>
      <w:marTop w:val="0"/>
      <w:marBottom w:val="0"/>
      <w:divBdr>
        <w:top w:val="none" w:sz="0" w:space="0" w:color="auto"/>
        <w:left w:val="none" w:sz="0" w:space="0" w:color="auto"/>
        <w:bottom w:val="none" w:sz="0" w:space="0" w:color="auto"/>
        <w:right w:val="none" w:sz="0" w:space="0" w:color="auto"/>
      </w:divBdr>
    </w:div>
    <w:div w:id="64766074">
      <w:marLeft w:val="0"/>
      <w:marRight w:val="0"/>
      <w:marTop w:val="0"/>
      <w:marBottom w:val="0"/>
      <w:divBdr>
        <w:top w:val="none" w:sz="0" w:space="0" w:color="auto"/>
        <w:left w:val="none" w:sz="0" w:space="0" w:color="auto"/>
        <w:bottom w:val="none" w:sz="0" w:space="0" w:color="auto"/>
        <w:right w:val="none" w:sz="0" w:space="0" w:color="auto"/>
      </w:divBdr>
    </w:div>
    <w:div w:id="66266945">
      <w:marLeft w:val="0"/>
      <w:marRight w:val="0"/>
      <w:marTop w:val="0"/>
      <w:marBottom w:val="240"/>
      <w:divBdr>
        <w:top w:val="none" w:sz="0" w:space="0" w:color="auto"/>
        <w:left w:val="none" w:sz="0" w:space="0" w:color="auto"/>
        <w:bottom w:val="none" w:sz="0" w:space="0" w:color="auto"/>
        <w:right w:val="none" w:sz="0" w:space="0" w:color="auto"/>
      </w:divBdr>
    </w:div>
    <w:div w:id="66391516">
      <w:marLeft w:val="0"/>
      <w:marRight w:val="0"/>
      <w:marTop w:val="0"/>
      <w:marBottom w:val="0"/>
      <w:divBdr>
        <w:top w:val="none" w:sz="0" w:space="0" w:color="auto"/>
        <w:left w:val="none" w:sz="0" w:space="0" w:color="auto"/>
        <w:bottom w:val="none" w:sz="0" w:space="0" w:color="auto"/>
        <w:right w:val="none" w:sz="0" w:space="0" w:color="auto"/>
      </w:divBdr>
    </w:div>
    <w:div w:id="66540580">
      <w:marLeft w:val="0"/>
      <w:marRight w:val="0"/>
      <w:marTop w:val="0"/>
      <w:marBottom w:val="0"/>
      <w:divBdr>
        <w:top w:val="none" w:sz="0" w:space="0" w:color="auto"/>
        <w:left w:val="none" w:sz="0" w:space="0" w:color="auto"/>
        <w:bottom w:val="none" w:sz="0" w:space="0" w:color="auto"/>
        <w:right w:val="none" w:sz="0" w:space="0" w:color="auto"/>
      </w:divBdr>
      <w:divsChild>
        <w:div w:id="561915423">
          <w:marLeft w:val="0"/>
          <w:marRight w:val="0"/>
          <w:marTop w:val="0"/>
          <w:marBottom w:val="0"/>
          <w:divBdr>
            <w:top w:val="none" w:sz="0" w:space="0" w:color="auto"/>
            <w:left w:val="none" w:sz="0" w:space="0" w:color="auto"/>
            <w:bottom w:val="none" w:sz="0" w:space="0" w:color="auto"/>
            <w:right w:val="none" w:sz="0" w:space="0" w:color="auto"/>
          </w:divBdr>
        </w:div>
      </w:divsChild>
    </w:div>
    <w:div w:id="70466082">
      <w:marLeft w:val="0"/>
      <w:marRight w:val="0"/>
      <w:marTop w:val="0"/>
      <w:marBottom w:val="0"/>
      <w:divBdr>
        <w:top w:val="none" w:sz="0" w:space="0" w:color="auto"/>
        <w:left w:val="none" w:sz="0" w:space="0" w:color="auto"/>
        <w:bottom w:val="none" w:sz="0" w:space="0" w:color="auto"/>
        <w:right w:val="none" w:sz="0" w:space="0" w:color="auto"/>
      </w:divBdr>
    </w:div>
    <w:div w:id="71858731">
      <w:marLeft w:val="0"/>
      <w:marRight w:val="0"/>
      <w:marTop w:val="120"/>
      <w:marBottom w:val="0"/>
      <w:divBdr>
        <w:top w:val="none" w:sz="0" w:space="0" w:color="auto"/>
        <w:left w:val="none" w:sz="0" w:space="0" w:color="auto"/>
        <w:bottom w:val="none" w:sz="0" w:space="0" w:color="auto"/>
        <w:right w:val="none" w:sz="0" w:space="0" w:color="auto"/>
      </w:divBdr>
    </w:div>
    <w:div w:id="73205556">
      <w:marLeft w:val="0"/>
      <w:marRight w:val="0"/>
      <w:marTop w:val="120"/>
      <w:marBottom w:val="0"/>
      <w:divBdr>
        <w:top w:val="none" w:sz="0" w:space="0" w:color="auto"/>
        <w:left w:val="none" w:sz="0" w:space="0" w:color="auto"/>
        <w:bottom w:val="none" w:sz="0" w:space="0" w:color="auto"/>
        <w:right w:val="none" w:sz="0" w:space="0" w:color="auto"/>
      </w:divBdr>
    </w:div>
    <w:div w:id="76025280">
      <w:marLeft w:val="0"/>
      <w:marRight w:val="0"/>
      <w:marTop w:val="0"/>
      <w:marBottom w:val="0"/>
      <w:divBdr>
        <w:top w:val="none" w:sz="0" w:space="0" w:color="auto"/>
        <w:left w:val="none" w:sz="0" w:space="0" w:color="auto"/>
        <w:bottom w:val="none" w:sz="0" w:space="0" w:color="auto"/>
        <w:right w:val="none" w:sz="0" w:space="0" w:color="auto"/>
      </w:divBdr>
      <w:divsChild>
        <w:div w:id="730732092">
          <w:marLeft w:val="0"/>
          <w:marRight w:val="0"/>
          <w:marTop w:val="0"/>
          <w:marBottom w:val="0"/>
          <w:divBdr>
            <w:top w:val="none" w:sz="0" w:space="0" w:color="auto"/>
            <w:left w:val="none" w:sz="0" w:space="0" w:color="auto"/>
            <w:bottom w:val="none" w:sz="0" w:space="0" w:color="auto"/>
            <w:right w:val="none" w:sz="0" w:space="0" w:color="auto"/>
          </w:divBdr>
        </w:div>
      </w:divsChild>
    </w:div>
    <w:div w:id="76443067">
      <w:marLeft w:val="0"/>
      <w:marRight w:val="0"/>
      <w:marTop w:val="120"/>
      <w:marBottom w:val="0"/>
      <w:divBdr>
        <w:top w:val="none" w:sz="0" w:space="0" w:color="auto"/>
        <w:left w:val="none" w:sz="0" w:space="0" w:color="auto"/>
        <w:bottom w:val="none" w:sz="0" w:space="0" w:color="auto"/>
        <w:right w:val="none" w:sz="0" w:space="0" w:color="auto"/>
      </w:divBdr>
    </w:div>
    <w:div w:id="76682068">
      <w:marLeft w:val="0"/>
      <w:marRight w:val="0"/>
      <w:marTop w:val="0"/>
      <w:marBottom w:val="0"/>
      <w:divBdr>
        <w:top w:val="none" w:sz="0" w:space="0" w:color="auto"/>
        <w:left w:val="none" w:sz="0" w:space="0" w:color="auto"/>
        <w:bottom w:val="none" w:sz="0" w:space="0" w:color="auto"/>
        <w:right w:val="none" w:sz="0" w:space="0" w:color="auto"/>
      </w:divBdr>
    </w:div>
    <w:div w:id="77603317">
      <w:marLeft w:val="0"/>
      <w:marRight w:val="0"/>
      <w:marTop w:val="120"/>
      <w:marBottom w:val="0"/>
      <w:divBdr>
        <w:top w:val="none" w:sz="0" w:space="0" w:color="auto"/>
        <w:left w:val="none" w:sz="0" w:space="0" w:color="auto"/>
        <w:bottom w:val="none" w:sz="0" w:space="0" w:color="auto"/>
        <w:right w:val="none" w:sz="0" w:space="0" w:color="auto"/>
      </w:divBdr>
    </w:div>
    <w:div w:id="81220636">
      <w:marLeft w:val="0"/>
      <w:marRight w:val="0"/>
      <w:marTop w:val="120"/>
      <w:marBottom w:val="0"/>
      <w:divBdr>
        <w:top w:val="none" w:sz="0" w:space="0" w:color="auto"/>
        <w:left w:val="none" w:sz="0" w:space="0" w:color="auto"/>
        <w:bottom w:val="none" w:sz="0" w:space="0" w:color="auto"/>
        <w:right w:val="none" w:sz="0" w:space="0" w:color="auto"/>
      </w:divBdr>
    </w:div>
    <w:div w:id="82537161">
      <w:marLeft w:val="0"/>
      <w:marRight w:val="0"/>
      <w:marTop w:val="0"/>
      <w:marBottom w:val="0"/>
      <w:divBdr>
        <w:top w:val="none" w:sz="0" w:space="0" w:color="auto"/>
        <w:left w:val="none" w:sz="0" w:space="0" w:color="auto"/>
        <w:bottom w:val="none" w:sz="0" w:space="0" w:color="auto"/>
        <w:right w:val="none" w:sz="0" w:space="0" w:color="auto"/>
      </w:divBdr>
      <w:divsChild>
        <w:div w:id="123352875">
          <w:marLeft w:val="0"/>
          <w:marRight w:val="0"/>
          <w:marTop w:val="0"/>
          <w:marBottom w:val="0"/>
          <w:divBdr>
            <w:top w:val="none" w:sz="0" w:space="0" w:color="auto"/>
            <w:left w:val="none" w:sz="0" w:space="0" w:color="auto"/>
            <w:bottom w:val="none" w:sz="0" w:space="0" w:color="auto"/>
            <w:right w:val="none" w:sz="0" w:space="0" w:color="auto"/>
          </w:divBdr>
        </w:div>
      </w:divsChild>
    </w:div>
    <w:div w:id="83187407">
      <w:marLeft w:val="0"/>
      <w:marRight w:val="0"/>
      <w:marTop w:val="120"/>
      <w:marBottom w:val="0"/>
      <w:divBdr>
        <w:top w:val="none" w:sz="0" w:space="0" w:color="auto"/>
        <w:left w:val="none" w:sz="0" w:space="0" w:color="auto"/>
        <w:bottom w:val="none" w:sz="0" w:space="0" w:color="auto"/>
        <w:right w:val="none" w:sz="0" w:space="0" w:color="auto"/>
      </w:divBdr>
    </w:div>
    <w:div w:id="83962558">
      <w:marLeft w:val="0"/>
      <w:marRight w:val="0"/>
      <w:marTop w:val="120"/>
      <w:marBottom w:val="0"/>
      <w:divBdr>
        <w:top w:val="none" w:sz="0" w:space="0" w:color="auto"/>
        <w:left w:val="none" w:sz="0" w:space="0" w:color="auto"/>
        <w:bottom w:val="none" w:sz="0" w:space="0" w:color="auto"/>
        <w:right w:val="none" w:sz="0" w:space="0" w:color="auto"/>
      </w:divBdr>
    </w:div>
    <w:div w:id="84155801">
      <w:marLeft w:val="0"/>
      <w:marRight w:val="0"/>
      <w:marTop w:val="0"/>
      <w:marBottom w:val="0"/>
      <w:divBdr>
        <w:top w:val="none" w:sz="0" w:space="0" w:color="auto"/>
        <w:left w:val="none" w:sz="0" w:space="0" w:color="auto"/>
        <w:bottom w:val="none" w:sz="0" w:space="0" w:color="auto"/>
        <w:right w:val="none" w:sz="0" w:space="0" w:color="auto"/>
      </w:divBdr>
    </w:div>
    <w:div w:id="84308433">
      <w:marLeft w:val="0"/>
      <w:marRight w:val="0"/>
      <w:marTop w:val="120"/>
      <w:marBottom w:val="0"/>
      <w:divBdr>
        <w:top w:val="none" w:sz="0" w:space="0" w:color="auto"/>
        <w:left w:val="none" w:sz="0" w:space="0" w:color="auto"/>
        <w:bottom w:val="none" w:sz="0" w:space="0" w:color="auto"/>
        <w:right w:val="none" w:sz="0" w:space="0" w:color="auto"/>
      </w:divBdr>
    </w:div>
    <w:div w:id="85544644">
      <w:marLeft w:val="0"/>
      <w:marRight w:val="0"/>
      <w:marTop w:val="0"/>
      <w:marBottom w:val="60"/>
      <w:divBdr>
        <w:top w:val="none" w:sz="0" w:space="0" w:color="auto"/>
        <w:left w:val="none" w:sz="0" w:space="0" w:color="auto"/>
        <w:bottom w:val="none" w:sz="0" w:space="0" w:color="auto"/>
        <w:right w:val="none" w:sz="0" w:space="0" w:color="auto"/>
      </w:divBdr>
    </w:div>
    <w:div w:id="85738236">
      <w:marLeft w:val="0"/>
      <w:marRight w:val="0"/>
      <w:marTop w:val="0"/>
      <w:marBottom w:val="60"/>
      <w:divBdr>
        <w:top w:val="none" w:sz="0" w:space="0" w:color="auto"/>
        <w:left w:val="none" w:sz="0" w:space="0" w:color="auto"/>
        <w:bottom w:val="none" w:sz="0" w:space="0" w:color="auto"/>
        <w:right w:val="none" w:sz="0" w:space="0" w:color="auto"/>
      </w:divBdr>
    </w:div>
    <w:div w:id="87507407">
      <w:marLeft w:val="0"/>
      <w:marRight w:val="0"/>
      <w:marTop w:val="120"/>
      <w:marBottom w:val="0"/>
      <w:divBdr>
        <w:top w:val="none" w:sz="0" w:space="0" w:color="auto"/>
        <w:left w:val="none" w:sz="0" w:space="0" w:color="auto"/>
        <w:bottom w:val="none" w:sz="0" w:space="0" w:color="auto"/>
        <w:right w:val="none" w:sz="0" w:space="0" w:color="auto"/>
      </w:divBdr>
    </w:div>
    <w:div w:id="89470659">
      <w:marLeft w:val="0"/>
      <w:marRight w:val="0"/>
      <w:marTop w:val="120"/>
      <w:marBottom w:val="0"/>
      <w:divBdr>
        <w:top w:val="none" w:sz="0" w:space="0" w:color="auto"/>
        <w:left w:val="none" w:sz="0" w:space="0" w:color="auto"/>
        <w:bottom w:val="none" w:sz="0" w:space="0" w:color="auto"/>
        <w:right w:val="none" w:sz="0" w:space="0" w:color="auto"/>
      </w:divBdr>
    </w:div>
    <w:div w:id="90392273">
      <w:marLeft w:val="0"/>
      <w:marRight w:val="0"/>
      <w:marTop w:val="100"/>
      <w:marBottom w:val="0"/>
      <w:divBdr>
        <w:top w:val="none" w:sz="0" w:space="0" w:color="auto"/>
        <w:left w:val="none" w:sz="0" w:space="0" w:color="auto"/>
        <w:bottom w:val="none" w:sz="0" w:space="0" w:color="auto"/>
        <w:right w:val="none" w:sz="0" w:space="0" w:color="auto"/>
      </w:divBdr>
    </w:div>
    <w:div w:id="95097938">
      <w:marLeft w:val="0"/>
      <w:marRight w:val="0"/>
      <w:marTop w:val="0"/>
      <w:marBottom w:val="0"/>
      <w:divBdr>
        <w:top w:val="none" w:sz="0" w:space="0" w:color="auto"/>
        <w:left w:val="none" w:sz="0" w:space="0" w:color="auto"/>
        <w:bottom w:val="none" w:sz="0" w:space="0" w:color="auto"/>
        <w:right w:val="none" w:sz="0" w:space="0" w:color="auto"/>
      </w:divBdr>
    </w:div>
    <w:div w:id="96291312">
      <w:marLeft w:val="0"/>
      <w:marRight w:val="0"/>
      <w:marTop w:val="120"/>
      <w:marBottom w:val="0"/>
      <w:divBdr>
        <w:top w:val="none" w:sz="0" w:space="0" w:color="auto"/>
        <w:left w:val="none" w:sz="0" w:space="0" w:color="auto"/>
        <w:bottom w:val="none" w:sz="0" w:space="0" w:color="auto"/>
        <w:right w:val="none" w:sz="0" w:space="0" w:color="auto"/>
      </w:divBdr>
    </w:div>
    <w:div w:id="96801642">
      <w:marLeft w:val="0"/>
      <w:marRight w:val="0"/>
      <w:marTop w:val="120"/>
      <w:marBottom w:val="0"/>
      <w:divBdr>
        <w:top w:val="none" w:sz="0" w:space="0" w:color="auto"/>
        <w:left w:val="none" w:sz="0" w:space="0" w:color="auto"/>
        <w:bottom w:val="none" w:sz="0" w:space="0" w:color="auto"/>
        <w:right w:val="none" w:sz="0" w:space="0" w:color="auto"/>
      </w:divBdr>
    </w:div>
    <w:div w:id="97023035">
      <w:marLeft w:val="0"/>
      <w:marRight w:val="0"/>
      <w:marTop w:val="0"/>
      <w:marBottom w:val="0"/>
      <w:divBdr>
        <w:top w:val="none" w:sz="0" w:space="0" w:color="auto"/>
        <w:left w:val="none" w:sz="0" w:space="0" w:color="auto"/>
        <w:bottom w:val="none" w:sz="0" w:space="0" w:color="auto"/>
        <w:right w:val="none" w:sz="0" w:space="0" w:color="auto"/>
      </w:divBdr>
    </w:div>
    <w:div w:id="97257996">
      <w:marLeft w:val="0"/>
      <w:marRight w:val="0"/>
      <w:marTop w:val="120"/>
      <w:marBottom w:val="0"/>
      <w:divBdr>
        <w:top w:val="none" w:sz="0" w:space="0" w:color="auto"/>
        <w:left w:val="none" w:sz="0" w:space="0" w:color="auto"/>
        <w:bottom w:val="none" w:sz="0" w:space="0" w:color="auto"/>
        <w:right w:val="none" w:sz="0" w:space="0" w:color="auto"/>
      </w:divBdr>
    </w:div>
    <w:div w:id="98644045">
      <w:marLeft w:val="0"/>
      <w:marRight w:val="0"/>
      <w:marTop w:val="120"/>
      <w:marBottom w:val="0"/>
      <w:divBdr>
        <w:top w:val="none" w:sz="0" w:space="0" w:color="auto"/>
        <w:left w:val="none" w:sz="0" w:space="0" w:color="auto"/>
        <w:bottom w:val="none" w:sz="0" w:space="0" w:color="auto"/>
        <w:right w:val="none" w:sz="0" w:space="0" w:color="auto"/>
      </w:divBdr>
    </w:div>
    <w:div w:id="101073825">
      <w:marLeft w:val="0"/>
      <w:marRight w:val="0"/>
      <w:marTop w:val="120"/>
      <w:marBottom w:val="0"/>
      <w:divBdr>
        <w:top w:val="none" w:sz="0" w:space="0" w:color="auto"/>
        <w:left w:val="none" w:sz="0" w:space="0" w:color="auto"/>
        <w:bottom w:val="none" w:sz="0" w:space="0" w:color="auto"/>
        <w:right w:val="none" w:sz="0" w:space="0" w:color="auto"/>
      </w:divBdr>
    </w:div>
    <w:div w:id="102115307">
      <w:marLeft w:val="0"/>
      <w:marRight w:val="0"/>
      <w:marTop w:val="180"/>
      <w:marBottom w:val="0"/>
      <w:divBdr>
        <w:top w:val="none" w:sz="0" w:space="0" w:color="auto"/>
        <w:left w:val="none" w:sz="0" w:space="0" w:color="auto"/>
        <w:bottom w:val="none" w:sz="0" w:space="0" w:color="auto"/>
        <w:right w:val="none" w:sz="0" w:space="0" w:color="auto"/>
      </w:divBdr>
    </w:div>
    <w:div w:id="103768106">
      <w:marLeft w:val="0"/>
      <w:marRight w:val="0"/>
      <w:marTop w:val="180"/>
      <w:marBottom w:val="0"/>
      <w:divBdr>
        <w:top w:val="none" w:sz="0" w:space="0" w:color="auto"/>
        <w:left w:val="none" w:sz="0" w:space="0" w:color="auto"/>
        <w:bottom w:val="none" w:sz="0" w:space="0" w:color="auto"/>
        <w:right w:val="none" w:sz="0" w:space="0" w:color="auto"/>
      </w:divBdr>
    </w:div>
    <w:div w:id="104733047">
      <w:marLeft w:val="0"/>
      <w:marRight w:val="0"/>
      <w:marTop w:val="0"/>
      <w:marBottom w:val="0"/>
      <w:divBdr>
        <w:top w:val="none" w:sz="0" w:space="0" w:color="auto"/>
        <w:left w:val="none" w:sz="0" w:space="0" w:color="auto"/>
        <w:bottom w:val="none" w:sz="0" w:space="0" w:color="auto"/>
        <w:right w:val="none" w:sz="0" w:space="0" w:color="auto"/>
      </w:divBdr>
      <w:divsChild>
        <w:div w:id="759519592">
          <w:marLeft w:val="0"/>
          <w:marRight w:val="0"/>
          <w:marTop w:val="0"/>
          <w:marBottom w:val="0"/>
          <w:divBdr>
            <w:top w:val="none" w:sz="0" w:space="0" w:color="auto"/>
            <w:left w:val="none" w:sz="0" w:space="0" w:color="auto"/>
            <w:bottom w:val="none" w:sz="0" w:space="0" w:color="auto"/>
            <w:right w:val="none" w:sz="0" w:space="0" w:color="auto"/>
          </w:divBdr>
        </w:div>
      </w:divsChild>
    </w:div>
    <w:div w:id="106237646">
      <w:marLeft w:val="0"/>
      <w:marRight w:val="0"/>
      <w:marTop w:val="120"/>
      <w:marBottom w:val="0"/>
      <w:divBdr>
        <w:top w:val="none" w:sz="0" w:space="0" w:color="auto"/>
        <w:left w:val="none" w:sz="0" w:space="0" w:color="auto"/>
        <w:bottom w:val="none" w:sz="0" w:space="0" w:color="auto"/>
        <w:right w:val="none" w:sz="0" w:space="0" w:color="auto"/>
      </w:divBdr>
    </w:div>
    <w:div w:id="106967936">
      <w:marLeft w:val="0"/>
      <w:marRight w:val="0"/>
      <w:marTop w:val="0"/>
      <w:marBottom w:val="120"/>
      <w:divBdr>
        <w:top w:val="none" w:sz="0" w:space="0" w:color="auto"/>
        <w:left w:val="none" w:sz="0" w:space="0" w:color="auto"/>
        <w:bottom w:val="none" w:sz="0" w:space="0" w:color="auto"/>
        <w:right w:val="none" w:sz="0" w:space="0" w:color="auto"/>
      </w:divBdr>
    </w:div>
    <w:div w:id="110322510">
      <w:marLeft w:val="0"/>
      <w:marRight w:val="0"/>
      <w:marTop w:val="0"/>
      <w:marBottom w:val="0"/>
      <w:divBdr>
        <w:top w:val="none" w:sz="0" w:space="0" w:color="auto"/>
        <w:left w:val="none" w:sz="0" w:space="0" w:color="auto"/>
        <w:bottom w:val="none" w:sz="0" w:space="0" w:color="auto"/>
        <w:right w:val="none" w:sz="0" w:space="0" w:color="auto"/>
      </w:divBdr>
    </w:div>
    <w:div w:id="111481830">
      <w:marLeft w:val="0"/>
      <w:marRight w:val="0"/>
      <w:marTop w:val="120"/>
      <w:marBottom w:val="0"/>
      <w:divBdr>
        <w:top w:val="none" w:sz="0" w:space="0" w:color="auto"/>
        <w:left w:val="none" w:sz="0" w:space="0" w:color="auto"/>
        <w:bottom w:val="none" w:sz="0" w:space="0" w:color="auto"/>
        <w:right w:val="none" w:sz="0" w:space="0" w:color="auto"/>
      </w:divBdr>
    </w:div>
    <w:div w:id="112941656">
      <w:marLeft w:val="0"/>
      <w:marRight w:val="0"/>
      <w:marTop w:val="0"/>
      <w:marBottom w:val="0"/>
      <w:divBdr>
        <w:top w:val="none" w:sz="0" w:space="0" w:color="auto"/>
        <w:left w:val="none" w:sz="0" w:space="0" w:color="auto"/>
        <w:bottom w:val="none" w:sz="0" w:space="0" w:color="auto"/>
        <w:right w:val="none" w:sz="0" w:space="0" w:color="auto"/>
      </w:divBdr>
      <w:divsChild>
        <w:div w:id="1441145061">
          <w:marLeft w:val="0"/>
          <w:marRight w:val="0"/>
          <w:marTop w:val="0"/>
          <w:marBottom w:val="0"/>
          <w:divBdr>
            <w:top w:val="none" w:sz="0" w:space="0" w:color="auto"/>
            <w:left w:val="none" w:sz="0" w:space="0" w:color="auto"/>
            <w:bottom w:val="none" w:sz="0" w:space="0" w:color="auto"/>
            <w:right w:val="none" w:sz="0" w:space="0" w:color="auto"/>
          </w:divBdr>
        </w:div>
      </w:divsChild>
    </w:div>
    <w:div w:id="113790830">
      <w:marLeft w:val="0"/>
      <w:marRight w:val="0"/>
      <w:marTop w:val="120"/>
      <w:marBottom w:val="0"/>
      <w:divBdr>
        <w:top w:val="none" w:sz="0" w:space="0" w:color="auto"/>
        <w:left w:val="none" w:sz="0" w:space="0" w:color="auto"/>
        <w:bottom w:val="none" w:sz="0" w:space="0" w:color="auto"/>
        <w:right w:val="none" w:sz="0" w:space="0" w:color="auto"/>
      </w:divBdr>
    </w:div>
    <w:div w:id="114063964">
      <w:marLeft w:val="0"/>
      <w:marRight w:val="0"/>
      <w:marTop w:val="120"/>
      <w:marBottom w:val="0"/>
      <w:divBdr>
        <w:top w:val="none" w:sz="0" w:space="0" w:color="auto"/>
        <w:left w:val="none" w:sz="0" w:space="0" w:color="auto"/>
        <w:bottom w:val="none" w:sz="0" w:space="0" w:color="auto"/>
        <w:right w:val="none" w:sz="0" w:space="0" w:color="auto"/>
      </w:divBdr>
    </w:div>
    <w:div w:id="114256290">
      <w:marLeft w:val="0"/>
      <w:marRight w:val="0"/>
      <w:marTop w:val="0"/>
      <w:marBottom w:val="0"/>
      <w:divBdr>
        <w:top w:val="none" w:sz="0" w:space="0" w:color="auto"/>
        <w:left w:val="none" w:sz="0" w:space="0" w:color="auto"/>
        <w:bottom w:val="none" w:sz="0" w:space="0" w:color="auto"/>
        <w:right w:val="none" w:sz="0" w:space="0" w:color="auto"/>
      </w:divBdr>
      <w:divsChild>
        <w:div w:id="1383677162">
          <w:marLeft w:val="0"/>
          <w:marRight w:val="0"/>
          <w:marTop w:val="0"/>
          <w:marBottom w:val="0"/>
          <w:divBdr>
            <w:top w:val="none" w:sz="0" w:space="0" w:color="auto"/>
            <w:left w:val="none" w:sz="0" w:space="0" w:color="auto"/>
            <w:bottom w:val="none" w:sz="0" w:space="0" w:color="auto"/>
            <w:right w:val="none" w:sz="0" w:space="0" w:color="auto"/>
          </w:divBdr>
        </w:div>
      </w:divsChild>
    </w:div>
    <w:div w:id="114563612">
      <w:marLeft w:val="0"/>
      <w:marRight w:val="0"/>
      <w:marTop w:val="120"/>
      <w:marBottom w:val="0"/>
      <w:divBdr>
        <w:top w:val="none" w:sz="0" w:space="0" w:color="auto"/>
        <w:left w:val="none" w:sz="0" w:space="0" w:color="auto"/>
        <w:bottom w:val="none" w:sz="0" w:space="0" w:color="auto"/>
        <w:right w:val="none" w:sz="0" w:space="0" w:color="auto"/>
      </w:divBdr>
    </w:div>
    <w:div w:id="114756558">
      <w:marLeft w:val="0"/>
      <w:marRight w:val="0"/>
      <w:marTop w:val="120"/>
      <w:marBottom w:val="0"/>
      <w:divBdr>
        <w:top w:val="none" w:sz="0" w:space="0" w:color="auto"/>
        <w:left w:val="none" w:sz="0" w:space="0" w:color="auto"/>
        <w:bottom w:val="none" w:sz="0" w:space="0" w:color="auto"/>
        <w:right w:val="none" w:sz="0" w:space="0" w:color="auto"/>
      </w:divBdr>
    </w:div>
    <w:div w:id="115949992">
      <w:marLeft w:val="0"/>
      <w:marRight w:val="0"/>
      <w:marTop w:val="0"/>
      <w:marBottom w:val="0"/>
      <w:divBdr>
        <w:top w:val="none" w:sz="0" w:space="0" w:color="auto"/>
        <w:left w:val="none" w:sz="0" w:space="0" w:color="auto"/>
        <w:bottom w:val="none" w:sz="0" w:space="0" w:color="auto"/>
        <w:right w:val="none" w:sz="0" w:space="0" w:color="auto"/>
      </w:divBdr>
    </w:div>
    <w:div w:id="116225151">
      <w:marLeft w:val="0"/>
      <w:marRight w:val="0"/>
      <w:marTop w:val="120"/>
      <w:marBottom w:val="0"/>
      <w:divBdr>
        <w:top w:val="none" w:sz="0" w:space="0" w:color="auto"/>
        <w:left w:val="none" w:sz="0" w:space="0" w:color="auto"/>
        <w:bottom w:val="none" w:sz="0" w:space="0" w:color="auto"/>
        <w:right w:val="none" w:sz="0" w:space="0" w:color="auto"/>
      </w:divBdr>
    </w:div>
    <w:div w:id="116416750">
      <w:marLeft w:val="0"/>
      <w:marRight w:val="0"/>
      <w:marTop w:val="120"/>
      <w:marBottom w:val="0"/>
      <w:divBdr>
        <w:top w:val="none" w:sz="0" w:space="0" w:color="auto"/>
        <w:left w:val="none" w:sz="0" w:space="0" w:color="auto"/>
        <w:bottom w:val="none" w:sz="0" w:space="0" w:color="auto"/>
        <w:right w:val="none" w:sz="0" w:space="0" w:color="auto"/>
      </w:divBdr>
    </w:div>
    <w:div w:id="116685193">
      <w:marLeft w:val="0"/>
      <w:marRight w:val="0"/>
      <w:marTop w:val="120"/>
      <w:marBottom w:val="120"/>
      <w:divBdr>
        <w:top w:val="none" w:sz="0" w:space="0" w:color="auto"/>
        <w:left w:val="none" w:sz="0" w:space="0" w:color="auto"/>
        <w:bottom w:val="none" w:sz="0" w:space="0" w:color="auto"/>
        <w:right w:val="none" w:sz="0" w:space="0" w:color="auto"/>
      </w:divBdr>
      <w:divsChild>
        <w:div w:id="1160849120">
          <w:marLeft w:val="0"/>
          <w:marRight w:val="0"/>
          <w:marTop w:val="0"/>
          <w:marBottom w:val="0"/>
          <w:divBdr>
            <w:top w:val="none" w:sz="0" w:space="0" w:color="auto"/>
            <w:left w:val="none" w:sz="0" w:space="0" w:color="auto"/>
            <w:bottom w:val="none" w:sz="0" w:space="0" w:color="auto"/>
            <w:right w:val="none" w:sz="0" w:space="0" w:color="auto"/>
          </w:divBdr>
        </w:div>
        <w:div w:id="6294080">
          <w:marLeft w:val="0"/>
          <w:marRight w:val="0"/>
          <w:marTop w:val="0"/>
          <w:marBottom w:val="0"/>
          <w:divBdr>
            <w:top w:val="none" w:sz="0" w:space="0" w:color="auto"/>
            <w:left w:val="none" w:sz="0" w:space="0" w:color="auto"/>
            <w:bottom w:val="none" w:sz="0" w:space="0" w:color="auto"/>
            <w:right w:val="none" w:sz="0" w:space="0" w:color="auto"/>
          </w:divBdr>
        </w:div>
      </w:divsChild>
    </w:div>
    <w:div w:id="117768596">
      <w:marLeft w:val="0"/>
      <w:marRight w:val="0"/>
      <w:marTop w:val="0"/>
      <w:marBottom w:val="0"/>
      <w:divBdr>
        <w:top w:val="none" w:sz="0" w:space="0" w:color="auto"/>
        <w:left w:val="none" w:sz="0" w:space="0" w:color="auto"/>
        <w:bottom w:val="none" w:sz="0" w:space="0" w:color="auto"/>
        <w:right w:val="none" w:sz="0" w:space="0" w:color="auto"/>
      </w:divBdr>
    </w:div>
    <w:div w:id="117800399">
      <w:marLeft w:val="0"/>
      <w:marRight w:val="0"/>
      <w:marTop w:val="120"/>
      <w:marBottom w:val="0"/>
      <w:divBdr>
        <w:top w:val="none" w:sz="0" w:space="0" w:color="auto"/>
        <w:left w:val="none" w:sz="0" w:space="0" w:color="auto"/>
        <w:bottom w:val="none" w:sz="0" w:space="0" w:color="auto"/>
        <w:right w:val="none" w:sz="0" w:space="0" w:color="auto"/>
      </w:divBdr>
    </w:div>
    <w:div w:id="119032346">
      <w:marLeft w:val="0"/>
      <w:marRight w:val="0"/>
      <w:marTop w:val="120"/>
      <w:marBottom w:val="0"/>
      <w:divBdr>
        <w:top w:val="none" w:sz="0" w:space="0" w:color="auto"/>
        <w:left w:val="none" w:sz="0" w:space="0" w:color="auto"/>
        <w:bottom w:val="none" w:sz="0" w:space="0" w:color="auto"/>
        <w:right w:val="none" w:sz="0" w:space="0" w:color="auto"/>
      </w:divBdr>
    </w:div>
    <w:div w:id="120151932">
      <w:marLeft w:val="0"/>
      <w:marRight w:val="0"/>
      <w:marTop w:val="120"/>
      <w:marBottom w:val="0"/>
      <w:divBdr>
        <w:top w:val="none" w:sz="0" w:space="0" w:color="auto"/>
        <w:left w:val="none" w:sz="0" w:space="0" w:color="auto"/>
        <w:bottom w:val="none" w:sz="0" w:space="0" w:color="auto"/>
        <w:right w:val="none" w:sz="0" w:space="0" w:color="auto"/>
      </w:divBdr>
    </w:div>
    <w:div w:id="120929170">
      <w:marLeft w:val="0"/>
      <w:marRight w:val="0"/>
      <w:marTop w:val="0"/>
      <w:marBottom w:val="0"/>
      <w:divBdr>
        <w:top w:val="none" w:sz="0" w:space="0" w:color="auto"/>
        <w:left w:val="none" w:sz="0" w:space="0" w:color="auto"/>
        <w:bottom w:val="none" w:sz="0" w:space="0" w:color="auto"/>
        <w:right w:val="none" w:sz="0" w:space="0" w:color="auto"/>
      </w:divBdr>
    </w:div>
    <w:div w:id="123815524">
      <w:marLeft w:val="0"/>
      <w:marRight w:val="0"/>
      <w:marTop w:val="120"/>
      <w:marBottom w:val="0"/>
      <w:divBdr>
        <w:top w:val="none" w:sz="0" w:space="0" w:color="auto"/>
        <w:left w:val="none" w:sz="0" w:space="0" w:color="auto"/>
        <w:bottom w:val="none" w:sz="0" w:space="0" w:color="auto"/>
        <w:right w:val="none" w:sz="0" w:space="0" w:color="auto"/>
      </w:divBdr>
    </w:div>
    <w:div w:id="124784020">
      <w:marLeft w:val="0"/>
      <w:marRight w:val="0"/>
      <w:marTop w:val="120"/>
      <w:marBottom w:val="0"/>
      <w:divBdr>
        <w:top w:val="none" w:sz="0" w:space="0" w:color="auto"/>
        <w:left w:val="none" w:sz="0" w:space="0" w:color="auto"/>
        <w:bottom w:val="none" w:sz="0" w:space="0" w:color="auto"/>
        <w:right w:val="none" w:sz="0" w:space="0" w:color="auto"/>
      </w:divBdr>
    </w:div>
    <w:div w:id="125582812">
      <w:marLeft w:val="0"/>
      <w:marRight w:val="0"/>
      <w:marTop w:val="120"/>
      <w:marBottom w:val="0"/>
      <w:divBdr>
        <w:top w:val="none" w:sz="0" w:space="0" w:color="auto"/>
        <w:left w:val="none" w:sz="0" w:space="0" w:color="auto"/>
        <w:bottom w:val="none" w:sz="0" w:space="0" w:color="auto"/>
        <w:right w:val="none" w:sz="0" w:space="0" w:color="auto"/>
      </w:divBdr>
    </w:div>
    <w:div w:id="128013708">
      <w:marLeft w:val="0"/>
      <w:marRight w:val="0"/>
      <w:marTop w:val="0"/>
      <w:marBottom w:val="0"/>
      <w:divBdr>
        <w:top w:val="none" w:sz="0" w:space="0" w:color="auto"/>
        <w:left w:val="none" w:sz="0" w:space="0" w:color="auto"/>
        <w:bottom w:val="none" w:sz="0" w:space="0" w:color="auto"/>
        <w:right w:val="none" w:sz="0" w:space="0" w:color="auto"/>
      </w:divBdr>
    </w:div>
    <w:div w:id="128324294">
      <w:marLeft w:val="0"/>
      <w:marRight w:val="0"/>
      <w:marTop w:val="120"/>
      <w:marBottom w:val="0"/>
      <w:divBdr>
        <w:top w:val="none" w:sz="0" w:space="0" w:color="auto"/>
        <w:left w:val="none" w:sz="0" w:space="0" w:color="auto"/>
        <w:bottom w:val="none" w:sz="0" w:space="0" w:color="auto"/>
        <w:right w:val="none" w:sz="0" w:space="0" w:color="auto"/>
      </w:divBdr>
    </w:div>
    <w:div w:id="129177327">
      <w:marLeft w:val="0"/>
      <w:marRight w:val="0"/>
      <w:marTop w:val="0"/>
      <w:marBottom w:val="0"/>
      <w:divBdr>
        <w:top w:val="none" w:sz="0" w:space="0" w:color="auto"/>
        <w:left w:val="none" w:sz="0" w:space="0" w:color="auto"/>
        <w:bottom w:val="none" w:sz="0" w:space="0" w:color="auto"/>
        <w:right w:val="none" w:sz="0" w:space="0" w:color="auto"/>
      </w:divBdr>
      <w:divsChild>
        <w:div w:id="1752115093">
          <w:marLeft w:val="0"/>
          <w:marRight w:val="0"/>
          <w:marTop w:val="0"/>
          <w:marBottom w:val="0"/>
          <w:divBdr>
            <w:top w:val="none" w:sz="0" w:space="0" w:color="auto"/>
            <w:left w:val="none" w:sz="0" w:space="0" w:color="auto"/>
            <w:bottom w:val="none" w:sz="0" w:space="0" w:color="auto"/>
            <w:right w:val="none" w:sz="0" w:space="0" w:color="auto"/>
          </w:divBdr>
        </w:div>
      </w:divsChild>
    </w:div>
    <w:div w:id="129523181">
      <w:marLeft w:val="0"/>
      <w:marRight w:val="0"/>
      <w:marTop w:val="120"/>
      <w:marBottom w:val="0"/>
      <w:divBdr>
        <w:top w:val="none" w:sz="0" w:space="0" w:color="auto"/>
        <w:left w:val="none" w:sz="0" w:space="0" w:color="auto"/>
        <w:bottom w:val="none" w:sz="0" w:space="0" w:color="auto"/>
        <w:right w:val="none" w:sz="0" w:space="0" w:color="auto"/>
      </w:divBdr>
    </w:div>
    <w:div w:id="129634208">
      <w:marLeft w:val="0"/>
      <w:marRight w:val="0"/>
      <w:marTop w:val="120"/>
      <w:marBottom w:val="0"/>
      <w:divBdr>
        <w:top w:val="none" w:sz="0" w:space="0" w:color="auto"/>
        <w:left w:val="none" w:sz="0" w:space="0" w:color="auto"/>
        <w:bottom w:val="none" w:sz="0" w:space="0" w:color="auto"/>
        <w:right w:val="none" w:sz="0" w:space="0" w:color="auto"/>
      </w:divBdr>
    </w:div>
    <w:div w:id="129640244">
      <w:marLeft w:val="0"/>
      <w:marRight w:val="0"/>
      <w:marTop w:val="0"/>
      <w:marBottom w:val="0"/>
      <w:divBdr>
        <w:top w:val="none" w:sz="0" w:space="0" w:color="auto"/>
        <w:left w:val="none" w:sz="0" w:space="0" w:color="auto"/>
        <w:bottom w:val="none" w:sz="0" w:space="0" w:color="auto"/>
        <w:right w:val="none" w:sz="0" w:space="0" w:color="auto"/>
      </w:divBdr>
      <w:divsChild>
        <w:div w:id="310795377">
          <w:marLeft w:val="0"/>
          <w:marRight w:val="0"/>
          <w:marTop w:val="0"/>
          <w:marBottom w:val="0"/>
          <w:divBdr>
            <w:top w:val="none" w:sz="0" w:space="0" w:color="auto"/>
            <w:left w:val="none" w:sz="0" w:space="0" w:color="auto"/>
            <w:bottom w:val="none" w:sz="0" w:space="0" w:color="auto"/>
            <w:right w:val="none" w:sz="0" w:space="0" w:color="auto"/>
          </w:divBdr>
        </w:div>
      </w:divsChild>
    </w:div>
    <w:div w:id="131295208">
      <w:marLeft w:val="0"/>
      <w:marRight w:val="0"/>
      <w:marTop w:val="0"/>
      <w:marBottom w:val="0"/>
      <w:divBdr>
        <w:top w:val="none" w:sz="0" w:space="0" w:color="auto"/>
        <w:left w:val="none" w:sz="0" w:space="0" w:color="auto"/>
        <w:bottom w:val="none" w:sz="0" w:space="0" w:color="auto"/>
        <w:right w:val="none" w:sz="0" w:space="0" w:color="auto"/>
      </w:divBdr>
    </w:div>
    <w:div w:id="132842356">
      <w:marLeft w:val="0"/>
      <w:marRight w:val="0"/>
      <w:marTop w:val="120"/>
      <w:marBottom w:val="120"/>
      <w:divBdr>
        <w:top w:val="none" w:sz="0" w:space="0" w:color="auto"/>
        <w:left w:val="none" w:sz="0" w:space="0" w:color="auto"/>
        <w:bottom w:val="none" w:sz="0" w:space="0" w:color="auto"/>
        <w:right w:val="none" w:sz="0" w:space="0" w:color="auto"/>
      </w:divBdr>
    </w:div>
    <w:div w:id="133840022">
      <w:marLeft w:val="0"/>
      <w:marRight w:val="0"/>
      <w:marTop w:val="120"/>
      <w:marBottom w:val="0"/>
      <w:divBdr>
        <w:top w:val="none" w:sz="0" w:space="0" w:color="auto"/>
        <w:left w:val="none" w:sz="0" w:space="0" w:color="auto"/>
        <w:bottom w:val="none" w:sz="0" w:space="0" w:color="auto"/>
        <w:right w:val="none" w:sz="0" w:space="0" w:color="auto"/>
      </w:divBdr>
    </w:div>
    <w:div w:id="133915390">
      <w:marLeft w:val="0"/>
      <w:marRight w:val="0"/>
      <w:marTop w:val="120"/>
      <w:marBottom w:val="0"/>
      <w:divBdr>
        <w:top w:val="none" w:sz="0" w:space="0" w:color="auto"/>
        <w:left w:val="none" w:sz="0" w:space="0" w:color="auto"/>
        <w:bottom w:val="none" w:sz="0" w:space="0" w:color="auto"/>
        <w:right w:val="none" w:sz="0" w:space="0" w:color="auto"/>
      </w:divBdr>
    </w:div>
    <w:div w:id="135682817">
      <w:marLeft w:val="0"/>
      <w:marRight w:val="0"/>
      <w:marTop w:val="120"/>
      <w:marBottom w:val="0"/>
      <w:divBdr>
        <w:top w:val="none" w:sz="0" w:space="0" w:color="auto"/>
        <w:left w:val="none" w:sz="0" w:space="0" w:color="auto"/>
        <w:bottom w:val="none" w:sz="0" w:space="0" w:color="auto"/>
        <w:right w:val="none" w:sz="0" w:space="0" w:color="auto"/>
      </w:divBdr>
    </w:div>
    <w:div w:id="136074327">
      <w:marLeft w:val="0"/>
      <w:marRight w:val="0"/>
      <w:marTop w:val="120"/>
      <w:marBottom w:val="0"/>
      <w:divBdr>
        <w:top w:val="none" w:sz="0" w:space="0" w:color="auto"/>
        <w:left w:val="none" w:sz="0" w:space="0" w:color="auto"/>
        <w:bottom w:val="none" w:sz="0" w:space="0" w:color="auto"/>
        <w:right w:val="none" w:sz="0" w:space="0" w:color="auto"/>
      </w:divBdr>
    </w:div>
    <w:div w:id="136798714">
      <w:marLeft w:val="0"/>
      <w:marRight w:val="0"/>
      <w:marTop w:val="120"/>
      <w:marBottom w:val="0"/>
      <w:divBdr>
        <w:top w:val="none" w:sz="0" w:space="0" w:color="auto"/>
        <w:left w:val="none" w:sz="0" w:space="0" w:color="auto"/>
        <w:bottom w:val="none" w:sz="0" w:space="0" w:color="auto"/>
        <w:right w:val="none" w:sz="0" w:space="0" w:color="auto"/>
      </w:divBdr>
    </w:div>
    <w:div w:id="139619879">
      <w:marLeft w:val="0"/>
      <w:marRight w:val="0"/>
      <w:marTop w:val="0"/>
      <w:marBottom w:val="0"/>
      <w:divBdr>
        <w:top w:val="none" w:sz="0" w:space="0" w:color="auto"/>
        <w:left w:val="none" w:sz="0" w:space="0" w:color="auto"/>
        <w:bottom w:val="none" w:sz="0" w:space="0" w:color="auto"/>
        <w:right w:val="none" w:sz="0" w:space="0" w:color="auto"/>
      </w:divBdr>
    </w:div>
    <w:div w:id="139809775">
      <w:marLeft w:val="0"/>
      <w:marRight w:val="0"/>
      <w:marTop w:val="0"/>
      <w:marBottom w:val="0"/>
      <w:divBdr>
        <w:top w:val="none" w:sz="0" w:space="0" w:color="auto"/>
        <w:left w:val="none" w:sz="0" w:space="0" w:color="auto"/>
        <w:bottom w:val="none" w:sz="0" w:space="0" w:color="auto"/>
        <w:right w:val="none" w:sz="0" w:space="0" w:color="auto"/>
      </w:divBdr>
    </w:div>
    <w:div w:id="140005631">
      <w:marLeft w:val="0"/>
      <w:marRight w:val="0"/>
      <w:marTop w:val="120"/>
      <w:marBottom w:val="0"/>
      <w:divBdr>
        <w:top w:val="none" w:sz="0" w:space="0" w:color="auto"/>
        <w:left w:val="none" w:sz="0" w:space="0" w:color="auto"/>
        <w:bottom w:val="none" w:sz="0" w:space="0" w:color="auto"/>
        <w:right w:val="none" w:sz="0" w:space="0" w:color="auto"/>
      </w:divBdr>
    </w:div>
    <w:div w:id="140194248">
      <w:marLeft w:val="0"/>
      <w:marRight w:val="0"/>
      <w:marTop w:val="120"/>
      <w:marBottom w:val="0"/>
      <w:divBdr>
        <w:top w:val="none" w:sz="0" w:space="0" w:color="auto"/>
        <w:left w:val="none" w:sz="0" w:space="0" w:color="auto"/>
        <w:bottom w:val="none" w:sz="0" w:space="0" w:color="auto"/>
        <w:right w:val="none" w:sz="0" w:space="0" w:color="auto"/>
      </w:divBdr>
    </w:div>
    <w:div w:id="141896196">
      <w:marLeft w:val="0"/>
      <w:marRight w:val="0"/>
      <w:marTop w:val="120"/>
      <w:marBottom w:val="0"/>
      <w:divBdr>
        <w:top w:val="none" w:sz="0" w:space="0" w:color="auto"/>
        <w:left w:val="none" w:sz="0" w:space="0" w:color="auto"/>
        <w:bottom w:val="none" w:sz="0" w:space="0" w:color="auto"/>
        <w:right w:val="none" w:sz="0" w:space="0" w:color="auto"/>
      </w:divBdr>
    </w:div>
    <w:div w:id="144206721">
      <w:marLeft w:val="0"/>
      <w:marRight w:val="0"/>
      <w:marTop w:val="120"/>
      <w:marBottom w:val="0"/>
      <w:divBdr>
        <w:top w:val="none" w:sz="0" w:space="0" w:color="auto"/>
        <w:left w:val="none" w:sz="0" w:space="0" w:color="auto"/>
        <w:bottom w:val="none" w:sz="0" w:space="0" w:color="auto"/>
        <w:right w:val="none" w:sz="0" w:space="0" w:color="auto"/>
      </w:divBdr>
    </w:div>
    <w:div w:id="144664466">
      <w:marLeft w:val="0"/>
      <w:marRight w:val="0"/>
      <w:marTop w:val="120"/>
      <w:marBottom w:val="0"/>
      <w:divBdr>
        <w:top w:val="none" w:sz="0" w:space="0" w:color="auto"/>
        <w:left w:val="none" w:sz="0" w:space="0" w:color="auto"/>
        <w:bottom w:val="none" w:sz="0" w:space="0" w:color="auto"/>
        <w:right w:val="none" w:sz="0" w:space="0" w:color="auto"/>
      </w:divBdr>
    </w:div>
    <w:div w:id="145634514">
      <w:marLeft w:val="0"/>
      <w:marRight w:val="0"/>
      <w:marTop w:val="120"/>
      <w:marBottom w:val="0"/>
      <w:divBdr>
        <w:top w:val="none" w:sz="0" w:space="0" w:color="auto"/>
        <w:left w:val="none" w:sz="0" w:space="0" w:color="auto"/>
        <w:bottom w:val="none" w:sz="0" w:space="0" w:color="auto"/>
        <w:right w:val="none" w:sz="0" w:space="0" w:color="auto"/>
      </w:divBdr>
    </w:div>
    <w:div w:id="146477747">
      <w:marLeft w:val="0"/>
      <w:marRight w:val="0"/>
      <w:marTop w:val="120"/>
      <w:marBottom w:val="0"/>
      <w:divBdr>
        <w:top w:val="none" w:sz="0" w:space="0" w:color="auto"/>
        <w:left w:val="none" w:sz="0" w:space="0" w:color="auto"/>
        <w:bottom w:val="none" w:sz="0" w:space="0" w:color="auto"/>
        <w:right w:val="none" w:sz="0" w:space="0" w:color="auto"/>
      </w:divBdr>
    </w:div>
    <w:div w:id="146559754">
      <w:marLeft w:val="0"/>
      <w:marRight w:val="0"/>
      <w:marTop w:val="0"/>
      <w:marBottom w:val="0"/>
      <w:divBdr>
        <w:top w:val="none" w:sz="0" w:space="0" w:color="auto"/>
        <w:left w:val="none" w:sz="0" w:space="0" w:color="auto"/>
        <w:bottom w:val="none" w:sz="0" w:space="0" w:color="auto"/>
        <w:right w:val="none" w:sz="0" w:space="0" w:color="auto"/>
      </w:divBdr>
      <w:divsChild>
        <w:div w:id="1645116371">
          <w:marLeft w:val="0"/>
          <w:marRight w:val="0"/>
          <w:marTop w:val="0"/>
          <w:marBottom w:val="0"/>
          <w:divBdr>
            <w:top w:val="none" w:sz="0" w:space="0" w:color="auto"/>
            <w:left w:val="none" w:sz="0" w:space="0" w:color="auto"/>
            <w:bottom w:val="none" w:sz="0" w:space="0" w:color="auto"/>
            <w:right w:val="none" w:sz="0" w:space="0" w:color="auto"/>
          </w:divBdr>
        </w:div>
      </w:divsChild>
    </w:div>
    <w:div w:id="147286756">
      <w:marLeft w:val="0"/>
      <w:marRight w:val="0"/>
      <w:marTop w:val="0"/>
      <w:marBottom w:val="0"/>
      <w:divBdr>
        <w:top w:val="none" w:sz="0" w:space="0" w:color="auto"/>
        <w:left w:val="none" w:sz="0" w:space="0" w:color="auto"/>
        <w:bottom w:val="none" w:sz="0" w:space="0" w:color="auto"/>
        <w:right w:val="none" w:sz="0" w:space="0" w:color="auto"/>
      </w:divBdr>
    </w:div>
    <w:div w:id="148374441">
      <w:marLeft w:val="0"/>
      <w:marRight w:val="0"/>
      <w:marTop w:val="0"/>
      <w:marBottom w:val="0"/>
      <w:divBdr>
        <w:top w:val="none" w:sz="0" w:space="0" w:color="auto"/>
        <w:left w:val="none" w:sz="0" w:space="0" w:color="auto"/>
        <w:bottom w:val="none" w:sz="0" w:space="0" w:color="auto"/>
        <w:right w:val="none" w:sz="0" w:space="0" w:color="auto"/>
      </w:divBdr>
    </w:div>
    <w:div w:id="150566943">
      <w:marLeft w:val="0"/>
      <w:marRight w:val="0"/>
      <w:marTop w:val="120"/>
      <w:marBottom w:val="0"/>
      <w:divBdr>
        <w:top w:val="none" w:sz="0" w:space="0" w:color="auto"/>
        <w:left w:val="none" w:sz="0" w:space="0" w:color="auto"/>
        <w:bottom w:val="none" w:sz="0" w:space="0" w:color="auto"/>
        <w:right w:val="none" w:sz="0" w:space="0" w:color="auto"/>
      </w:divBdr>
    </w:div>
    <w:div w:id="151414709">
      <w:marLeft w:val="0"/>
      <w:marRight w:val="0"/>
      <w:marTop w:val="120"/>
      <w:marBottom w:val="0"/>
      <w:divBdr>
        <w:top w:val="none" w:sz="0" w:space="0" w:color="auto"/>
        <w:left w:val="none" w:sz="0" w:space="0" w:color="auto"/>
        <w:bottom w:val="none" w:sz="0" w:space="0" w:color="auto"/>
        <w:right w:val="none" w:sz="0" w:space="0" w:color="auto"/>
      </w:divBdr>
    </w:div>
    <w:div w:id="152188129">
      <w:marLeft w:val="0"/>
      <w:marRight w:val="0"/>
      <w:marTop w:val="120"/>
      <w:marBottom w:val="0"/>
      <w:divBdr>
        <w:top w:val="none" w:sz="0" w:space="0" w:color="auto"/>
        <w:left w:val="none" w:sz="0" w:space="0" w:color="auto"/>
        <w:bottom w:val="none" w:sz="0" w:space="0" w:color="auto"/>
        <w:right w:val="none" w:sz="0" w:space="0" w:color="auto"/>
      </w:divBdr>
    </w:div>
    <w:div w:id="152651758">
      <w:marLeft w:val="0"/>
      <w:marRight w:val="0"/>
      <w:marTop w:val="0"/>
      <w:marBottom w:val="0"/>
      <w:divBdr>
        <w:top w:val="none" w:sz="0" w:space="0" w:color="auto"/>
        <w:left w:val="none" w:sz="0" w:space="0" w:color="auto"/>
        <w:bottom w:val="none" w:sz="0" w:space="0" w:color="auto"/>
        <w:right w:val="none" w:sz="0" w:space="0" w:color="auto"/>
      </w:divBdr>
      <w:divsChild>
        <w:div w:id="725950890">
          <w:marLeft w:val="0"/>
          <w:marRight w:val="0"/>
          <w:marTop w:val="0"/>
          <w:marBottom w:val="0"/>
          <w:divBdr>
            <w:top w:val="none" w:sz="0" w:space="0" w:color="auto"/>
            <w:left w:val="none" w:sz="0" w:space="0" w:color="auto"/>
            <w:bottom w:val="none" w:sz="0" w:space="0" w:color="auto"/>
            <w:right w:val="none" w:sz="0" w:space="0" w:color="auto"/>
          </w:divBdr>
        </w:div>
      </w:divsChild>
    </w:div>
    <w:div w:id="152991536">
      <w:marLeft w:val="0"/>
      <w:marRight w:val="0"/>
      <w:marTop w:val="120"/>
      <w:marBottom w:val="0"/>
      <w:divBdr>
        <w:top w:val="none" w:sz="0" w:space="0" w:color="auto"/>
        <w:left w:val="none" w:sz="0" w:space="0" w:color="auto"/>
        <w:bottom w:val="none" w:sz="0" w:space="0" w:color="auto"/>
        <w:right w:val="none" w:sz="0" w:space="0" w:color="auto"/>
      </w:divBdr>
    </w:div>
    <w:div w:id="153834991">
      <w:marLeft w:val="0"/>
      <w:marRight w:val="0"/>
      <w:marTop w:val="120"/>
      <w:marBottom w:val="0"/>
      <w:divBdr>
        <w:top w:val="none" w:sz="0" w:space="0" w:color="auto"/>
        <w:left w:val="none" w:sz="0" w:space="0" w:color="auto"/>
        <w:bottom w:val="none" w:sz="0" w:space="0" w:color="auto"/>
        <w:right w:val="none" w:sz="0" w:space="0" w:color="auto"/>
      </w:divBdr>
    </w:div>
    <w:div w:id="157769205">
      <w:marLeft w:val="0"/>
      <w:marRight w:val="0"/>
      <w:marTop w:val="0"/>
      <w:marBottom w:val="0"/>
      <w:divBdr>
        <w:top w:val="none" w:sz="0" w:space="0" w:color="auto"/>
        <w:left w:val="none" w:sz="0" w:space="0" w:color="auto"/>
        <w:bottom w:val="none" w:sz="0" w:space="0" w:color="auto"/>
        <w:right w:val="none" w:sz="0" w:space="0" w:color="auto"/>
      </w:divBdr>
    </w:div>
    <w:div w:id="159857736">
      <w:marLeft w:val="0"/>
      <w:marRight w:val="0"/>
      <w:marTop w:val="0"/>
      <w:marBottom w:val="240"/>
      <w:divBdr>
        <w:top w:val="none" w:sz="0" w:space="0" w:color="auto"/>
        <w:left w:val="none" w:sz="0" w:space="0" w:color="auto"/>
        <w:bottom w:val="none" w:sz="0" w:space="0" w:color="auto"/>
        <w:right w:val="none" w:sz="0" w:space="0" w:color="auto"/>
      </w:divBdr>
    </w:div>
    <w:div w:id="161631388">
      <w:marLeft w:val="0"/>
      <w:marRight w:val="0"/>
      <w:marTop w:val="120"/>
      <w:marBottom w:val="0"/>
      <w:divBdr>
        <w:top w:val="none" w:sz="0" w:space="0" w:color="auto"/>
        <w:left w:val="none" w:sz="0" w:space="0" w:color="auto"/>
        <w:bottom w:val="none" w:sz="0" w:space="0" w:color="auto"/>
        <w:right w:val="none" w:sz="0" w:space="0" w:color="auto"/>
      </w:divBdr>
    </w:div>
    <w:div w:id="161705070">
      <w:marLeft w:val="0"/>
      <w:marRight w:val="0"/>
      <w:marTop w:val="120"/>
      <w:marBottom w:val="0"/>
      <w:divBdr>
        <w:top w:val="none" w:sz="0" w:space="0" w:color="auto"/>
        <w:left w:val="none" w:sz="0" w:space="0" w:color="auto"/>
        <w:bottom w:val="none" w:sz="0" w:space="0" w:color="auto"/>
        <w:right w:val="none" w:sz="0" w:space="0" w:color="auto"/>
      </w:divBdr>
    </w:div>
    <w:div w:id="162866317">
      <w:marLeft w:val="0"/>
      <w:marRight w:val="0"/>
      <w:marTop w:val="120"/>
      <w:marBottom w:val="0"/>
      <w:divBdr>
        <w:top w:val="none" w:sz="0" w:space="0" w:color="auto"/>
        <w:left w:val="none" w:sz="0" w:space="0" w:color="auto"/>
        <w:bottom w:val="none" w:sz="0" w:space="0" w:color="auto"/>
        <w:right w:val="none" w:sz="0" w:space="0" w:color="auto"/>
      </w:divBdr>
    </w:div>
    <w:div w:id="163135271">
      <w:marLeft w:val="0"/>
      <w:marRight w:val="0"/>
      <w:marTop w:val="120"/>
      <w:marBottom w:val="0"/>
      <w:divBdr>
        <w:top w:val="none" w:sz="0" w:space="0" w:color="auto"/>
        <w:left w:val="none" w:sz="0" w:space="0" w:color="auto"/>
        <w:bottom w:val="none" w:sz="0" w:space="0" w:color="auto"/>
        <w:right w:val="none" w:sz="0" w:space="0" w:color="auto"/>
      </w:divBdr>
    </w:div>
    <w:div w:id="164370729">
      <w:marLeft w:val="0"/>
      <w:marRight w:val="0"/>
      <w:marTop w:val="120"/>
      <w:marBottom w:val="0"/>
      <w:divBdr>
        <w:top w:val="none" w:sz="0" w:space="0" w:color="auto"/>
        <w:left w:val="none" w:sz="0" w:space="0" w:color="auto"/>
        <w:bottom w:val="none" w:sz="0" w:space="0" w:color="auto"/>
        <w:right w:val="none" w:sz="0" w:space="0" w:color="auto"/>
      </w:divBdr>
    </w:div>
    <w:div w:id="165244001">
      <w:marLeft w:val="0"/>
      <w:marRight w:val="0"/>
      <w:marTop w:val="120"/>
      <w:marBottom w:val="0"/>
      <w:divBdr>
        <w:top w:val="none" w:sz="0" w:space="0" w:color="auto"/>
        <w:left w:val="none" w:sz="0" w:space="0" w:color="auto"/>
        <w:bottom w:val="none" w:sz="0" w:space="0" w:color="auto"/>
        <w:right w:val="none" w:sz="0" w:space="0" w:color="auto"/>
      </w:divBdr>
    </w:div>
    <w:div w:id="167991425">
      <w:marLeft w:val="0"/>
      <w:marRight w:val="0"/>
      <w:marTop w:val="120"/>
      <w:marBottom w:val="0"/>
      <w:divBdr>
        <w:top w:val="none" w:sz="0" w:space="0" w:color="auto"/>
        <w:left w:val="none" w:sz="0" w:space="0" w:color="auto"/>
        <w:bottom w:val="none" w:sz="0" w:space="0" w:color="auto"/>
        <w:right w:val="none" w:sz="0" w:space="0" w:color="auto"/>
      </w:divBdr>
    </w:div>
    <w:div w:id="168645921">
      <w:marLeft w:val="0"/>
      <w:marRight w:val="0"/>
      <w:marTop w:val="120"/>
      <w:marBottom w:val="0"/>
      <w:divBdr>
        <w:top w:val="none" w:sz="0" w:space="0" w:color="auto"/>
        <w:left w:val="none" w:sz="0" w:space="0" w:color="auto"/>
        <w:bottom w:val="none" w:sz="0" w:space="0" w:color="auto"/>
        <w:right w:val="none" w:sz="0" w:space="0" w:color="auto"/>
      </w:divBdr>
    </w:div>
    <w:div w:id="169831088">
      <w:marLeft w:val="0"/>
      <w:marRight w:val="0"/>
      <w:marTop w:val="120"/>
      <w:marBottom w:val="0"/>
      <w:divBdr>
        <w:top w:val="none" w:sz="0" w:space="0" w:color="auto"/>
        <w:left w:val="none" w:sz="0" w:space="0" w:color="auto"/>
        <w:bottom w:val="none" w:sz="0" w:space="0" w:color="auto"/>
        <w:right w:val="none" w:sz="0" w:space="0" w:color="auto"/>
      </w:divBdr>
    </w:div>
    <w:div w:id="170685292">
      <w:marLeft w:val="0"/>
      <w:marRight w:val="0"/>
      <w:marTop w:val="0"/>
      <w:marBottom w:val="0"/>
      <w:divBdr>
        <w:top w:val="none" w:sz="0" w:space="0" w:color="auto"/>
        <w:left w:val="none" w:sz="0" w:space="0" w:color="auto"/>
        <w:bottom w:val="none" w:sz="0" w:space="0" w:color="auto"/>
        <w:right w:val="none" w:sz="0" w:space="0" w:color="auto"/>
      </w:divBdr>
    </w:div>
    <w:div w:id="171384083">
      <w:marLeft w:val="0"/>
      <w:marRight w:val="0"/>
      <w:marTop w:val="0"/>
      <w:marBottom w:val="0"/>
      <w:divBdr>
        <w:top w:val="none" w:sz="0" w:space="0" w:color="auto"/>
        <w:left w:val="none" w:sz="0" w:space="0" w:color="auto"/>
        <w:bottom w:val="none" w:sz="0" w:space="0" w:color="auto"/>
        <w:right w:val="none" w:sz="0" w:space="0" w:color="auto"/>
      </w:divBdr>
      <w:divsChild>
        <w:div w:id="367415699">
          <w:marLeft w:val="0"/>
          <w:marRight w:val="0"/>
          <w:marTop w:val="0"/>
          <w:marBottom w:val="0"/>
          <w:divBdr>
            <w:top w:val="none" w:sz="0" w:space="0" w:color="auto"/>
            <w:left w:val="none" w:sz="0" w:space="0" w:color="auto"/>
            <w:bottom w:val="none" w:sz="0" w:space="0" w:color="auto"/>
            <w:right w:val="none" w:sz="0" w:space="0" w:color="auto"/>
          </w:divBdr>
        </w:div>
      </w:divsChild>
    </w:div>
    <w:div w:id="171653683">
      <w:marLeft w:val="0"/>
      <w:marRight w:val="0"/>
      <w:marTop w:val="0"/>
      <w:marBottom w:val="0"/>
      <w:divBdr>
        <w:top w:val="none" w:sz="0" w:space="0" w:color="auto"/>
        <w:left w:val="none" w:sz="0" w:space="0" w:color="auto"/>
        <w:bottom w:val="none" w:sz="0" w:space="0" w:color="auto"/>
        <w:right w:val="none" w:sz="0" w:space="0" w:color="auto"/>
      </w:divBdr>
    </w:div>
    <w:div w:id="171799993">
      <w:marLeft w:val="0"/>
      <w:marRight w:val="0"/>
      <w:marTop w:val="0"/>
      <w:marBottom w:val="0"/>
      <w:divBdr>
        <w:top w:val="none" w:sz="0" w:space="0" w:color="auto"/>
        <w:left w:val="none" w:sz="0" w:space="0" w:color="auto"/>
        <w:bottom w:val="none" w:sz="0" w:space="0" w:color="auto"/>
        <w:right w:val="none" w:sz="0" w:space="0" w:color="auto"/>
      </w:divBdr>
    </w:div>
    <w:div w:id="172453764">
      <w:marLeft w:val="0"/>
      <w:marRight w:val="0"/>
      <w:marTop w:val="120"/>
      <w:marBottom w:val="0"/>
      <w:divBdr>
        <w:top w:val="none" w:sz="0" w:space="0" w:color="auto"/>
        <w:left w:val="none" w:sz="0" w:space="0" w:color="auto"/>
        <w:bottom w:val="none" w:sz="0" w:space="0" w:color="auto"/>
        <w:right w:val="none" w:sz="0" w:space="0" w:color="auto"/>
      </w:divBdr>
    </w:div>
    <w:div w:id="172647790">
      <w:marLeft w:val="0"/>
      <w:marRight w:val="0"/>
      <w:marTop w:val="0"/>
      <w:marBottom w:val="0"/>
      <w:divBdr>
        <w:top w:val="none" w:sz="0" w:space="0" w:color="auto"/>
        <w:left w:val="none" w:sz="0" w:space="0" w:color="auto"/>
        <w:bottom w:val="none" w:sz="0" w:space="0" w:color="auto"/>
        <w:right w:val="none" w:sz="0" w:space="0" w:color="auto"/>
      </w:divBdr>
      <w:divsChild>
        <w:div w:id="1610699899">
          <w:marLeft w:val="0"/>
          <w:marRight w:val="0"/>
          <w:marTop w:val="0"/>
          <w:marBottom w:val="0"/>
          <w:divBdr>
            <w:top w:val="none" w:sz="0" w:space="0" w:color="auto"/>
            <w:left w:val="none" w:sz="0" w:space="0" w:color="auto"/>
            <w:bottom w:val="none" w:sz="0" w:space="0" w:color="auto"/>
            <w:right w:val="none" w:sz="0" w:space="0" w:color="auto"/>
          </w:divBdr>
        </w:div>
      </w:divsChild>
    </w:div>
    <w:div w:id="173694546">
      <w:marLeft w:val="0"/>
      <w:marRight w:val="0"/>
      <w:marTop w:val="0"/>
      <w:marBottom w:val="0"/>
      <w:divBdr>
        <w:top w:val="none" w:sz="0" w:space="0" w:color="auto"/>
        <w:left w:val="none" w:sz="0" w:space="0" w:color="auto"/>
        <w:bottom w:val="none" w:sz="0" w:space="0" w:color="auto"/>
        <w:right w:val="none" w:sz="0" w:space="0" w:color="auto"/>
      </w:divBdr>
      <w:divsChild>
        <w:div w:id="424962653">
          <w:marLeft w:val="0"/>
          <w:marRight w:val="0"/>
          <w:marTop w:val="0"/>
          <w:marBottom w:val="0"/>
          <w:divBdr>
            <w:top w:val="none" w:sz="0" w:space="0" w:color="auto"/>
            <w:left w:val="none" w:sz="0" w:space="0" w:color="auto"/>
            <w:bottom w:val="none" w:sz="0" w:space="0" w:color="auto"/>
            <w:right w:val="none" w:sz="0" w:space="0" w:color="auto"/>
          </w:divBdr>
        </w:div>
      </w:divsChild>
    </w:div>
    <w:div w:id="174466068">
      <w:marLeft w:val="0"/>
      <w:marRight w:val="0"/>
      <w:marTop w:val="0"/>
      <w:marBottom w:val="0"/>
      <w:divBdr>
        <w:top w:val="none" w:sz="0" w:space="0" w:color="auto"/>
        <w:left w:val="none" w:sz="0" w:space="0" w:color="auto"/>
        <w:bottom w:val="none" w:sz="0" w:space="0" w:color="auto"/>
        <w:right w:val="none" w:sz="0" w:space="0" w:color="auto"/>
      </w:divBdr>
      <w:divsChild>
        <w:div w:id="1534878200">
          <w:marLeft w:val="0"/>
          <w:marRight w:val="0"/>
          <w:marTop w:val="0"/>
          <w:marBottom w:val="0"/>
          <w:divBdr>
            <w:top w:val="none" w:sz="0" w:space="0" w:color="auto"/>
            <w:left w:val="none" w:sz="0" w:space="0" w:color="auto"/>
            <w:bottom w:val="none" w:sz="0" w:space="0" w:color="auto"/>
            <w:right w:val="none" w:sz="0" w:space="0" w:color="auto"/>
          </w:divBdr>
        </w:div>
      </w:divsChild>
    </w:div>
    <w:div w:id="174613994">
      <w:marLeft w:val="0"/>
      <w:marRight w:val="0"/>
      <w:marTop w:val="0"/>
      <w:marBottom w:val="0"/>
      <w:divBdr>
        <w:top w:val="none" w:sz="0" w:space="0" w:color="auto"/>
        <w:left w:val="none" w:sz="0" w:space="0" w:color="auto"/>
        <w:bottom w:val="none" w:sz="0" w:space="0" w:color="auto"/>
        <w:right w:val="none" w:sz="0" w:space="0" w:color="auto"/>
      </w:divBdr>
    </w:div>
    <w:div w:id="175000896">
      <w:marLeft w:val="0"/>
      <w:marRight w:val="0"/>
      <w:marTop w:val="120"/>
      <w:marBottom w:val="0"/>
      <w:divBdr>
        <w:top w:val="none" w:sz="0" w:space="0" w:color="auto"/>
        <w:left w:val="none" w:sz="0" w:space="0" w:color="auto"/>
        <w:bottom w:val="none" w:sz="0" w:space="0" w:color="auto"/>
        <w:right w:val="none" w:sz="0" w:space="0" w:color="auto"/>
      </w:divBdr>
    </w:div>
    <w:div w:id="177550993">
      <w:marLeft w:val="0"/>
      <w:marRight w:val="0"/>
      <w:marTop w:val="120"/>
      <w:marBottom w:val="0"/>
      <w:divBdr>
        <w:top w:val="none" w:sz="0" w:space="0" w:color="auto"/>
        <w:left w:val="none" w:sz="0" w:space="0" w:color="auto"/>
        <w:bottom w:val="none" w:sz="0" w:space="0" w:color="auto"/>
        <w:right w:val="none" w:sz="0" w:space="0" w:color="auto"/>
      </w:divBdr>
    </w:div>
    <w:div w:id="178590511">
      <w:marLeft w:val="0"/>
      <w:marRight w:val="0"/>
      <w:marTop w:val="120"/>
      <w:marBottom w:val="0"/>
      <w:divBdr>
        <w:top w:val="none" w:sz="0" w:space="0" w:color="auto"/>
        <w:left w:val="none" w:sz="0" w:space="0" w:color="auto"/>
        <w:bottom w:val="none" w:sz="0" w:space="0" w:color="auto"/>
        <w:right w:val="none" w:sz="0" w:space="0" w:color="auto"/>
      </w:divBdr>
    </w:div>
    <w:div w:id="180974360">
      <w:marLeft w:val="0"/>
      <w:marRight w:val="0"/>
      <w:marTop w:val="120"/>
      <w:marBottom w:val="0"/>
      <w:divBdr>
        <w:top w:val="none" w:sz="0" w:space="0" w:color="auto"/>
        <w:left w:val="none" w:sz="0" w:space="0" w:color="auto"/>
        <w:bottom w:val="none" w:sz="0" w:space="0" w:color="auto"/>
        <w:right w:val="none" w:sz="0" w:space="0" w:color="auto"/>
      </w:divBdr>
    </w:div>
    <w:div w:id="181021437">
      <w:marLeft w:val="0"/>
      <w:marRight w:val="0"/>
      <w:marTop w:val="120"/>
      <w:marBottom w:val="0"/>
      <w:divBdr>
        <w:top w:val="none" w:sz="0" w:space="0" w:color="auto"/>
        <w:left w:val="none" w:sz="0" w:space="0" w:color="auto"/>
        <w:bottom w:val="none" w:sz="0" w:space="0" w:color="auto"/>
        <w:right w:val="none" w:sz="0" w:space="0" w:color="auto"/>
      </w:divBdr>
    </w:div>
    <w:div w:id="181169674">
      <w:marLeft w:val="0"/>
      <w:marRight w:val="0"/>
      <w:marTop w:val="0"/>
      <w:marBottom w:val="120"/>
      <w:divBdr>
        <w:top w:val="none" w:sz="0" w:space="0" w:color="auto"/>
        <w:left w:val="none" w:sz="0" w:space="0" w:color="auto"/>
        <w:bottom w:val="none" w:sz="0" w:space="0" w:color="auto"/>
        <w:right w:val="none" w:sz="0" w:space="0" w:color="auto"/>
      </w:divBdr>
      <w:divsChild>
        <w:div w:id="753936336">
          <w:marLeft w:val="0"/>
          <w:marRight w:val="0"/>
          <w:marTop w:val="0"/>
          <w:marBottom w:val="0"/>
          <w:divBdr>
            <w:top w:val="none" w:sz="0" w:space="0" w:color="auto"/>
            <w:left w:val="none" w:sz="0" w:space="0" w:color="auto"/>
            <w:bottom w:val="none" w:sz="0" w:space="0" w:color="auto"/>
            <w:right w:val="none" w:sz="0" w:space="0" w:color="auto"/>
          </w:divBdr>
        </w:div>
        <w:div w:id="1618218704">
          <w:marLeft w:val="0"/>
          <w:marRight w:val="0"/>
          <w:marTop w:val="0"/>
          <w:marBottom w:val="0"/>
          <w:divBdr>
            <w:top w:val="none" w:sz="0" w:space="0" w:color="auto"/>
            <w:left w:val="none" w:sz="0" w:space="0" w:color="auto"/>
            <w:bottom w:val="none" w:sz="0" w:space="0" w:color="auto"/>
            <w:right w:val="none" w:sz="0" w:space="0" w:color="auto"/>
          </w:divBdr>
        </w:div>
        <w:div w:id="1105079439">
          <w:marLeft w:val="0"/>
          <w:marRight w:val="0"/>
          <w:marTop w:val="0"/>
          <w:marBottom w:val="0"/>
          <w:divBdr>
            <w:top w:val="none" w:sz="0" w:space="0" w:color="auto"/>
            <w:left w:val="none" w:sz="0" w:space="0" w:color="auto"/>
            <w:bottom w:val="none" w:sz="0" w:space="0" w:color="auto"/>
            <w:right w:val="none" w:sz="0" w:space="0" w:color="auto"/>
          </w:divBdr>
        </w:div>
        <w:div w:id="2054040060">
          <w:marLeft w:val="0"/>
          <w:marRight w:val="0"/>
          <w:marTop w:val="0"/>
          <w:marBottom w:val="0"/>
          <w:divBdr>
            <w:top w:val="none" w:sz="0" w:space="0" w:color="auto"/>
            <w:left w:val="none" w:sz="0" w:space="0" w:color="auto"/>
            <w:bottom w:val="none" w:sz="0" w:space="0" w:color="auto"/>
            <w:right w:val="none" w:sz="0" w:space="0" w:color="auto"/>
          </w:divBdr>
        </w:div>
        <w:div w:id="720978007">
          <w:marLeft w:val="0"/>
          <w:marRight w:val="0"/>
          <w:marTop w:val="0"/>
          <w:marBottom w:val="0"/>
          <w:divBdr>
            <w:top w:val="none" w:sz="0" w:space="0" w:color="auto"/>
            <w:left w:val="none" w:sz="0" w:space="0" w:color="auto"/>
            <w:bottom w:val="none" w:sz="0" w:space="0" w:color="auto"/>
            <w:right w:val="none" w:sz="0" w:space="0" w:color="auto"/>
          </w:divBdr>
        </w:div>
        <w:div w:id="1810978401">
          <w:marLeft w:val="0"/>
          <w:marRight w:val="0"/>
          <w:marTop w:val="0"/>
          <w:marBottom w:val="0"/>
          <w:divBdr>
            <w:top w:val="none" w:sz="0" w:space="0" w:color="auto"/>
            <w:left w:val="none" w:sz="0" w:space="0" w:color="auto"/>
            <w:bottom w:val="none" w:sz="0" w:space="0" w:color="auto"/>
            <w:right w:val="none" w:sz="0" w:space="0" w:color="auto"/>
          </w:divBdr>
        </w:div>
        <w:div w:id="1846632418">
          <w:marLeft w:val="0"/>
          <w:marRight w:val="0"/>
          <w:marTop w:val="0"/>
          <w:marBottom w:val="0"/>
          <w:divBdr>
            <w:top w:val="none" w:sz="0" w:space="0" w:color="auto"/>
            <w:left w:val="none" w:sz="0" w:space="0" w:color="auto"/>
            <w:bottom w:val="none" w:sz="0" w:space="0" w:color="auto"/>
            <w:right w:val="none" w:sz="0" w:space="0" w:color="auto"/>
          </w:divBdr>
        </w:div>
        <w:div w:id="410392626">
          <w:marLeft w:val="0"/>
          <w:marRight w:val="0"/>
          <w:marTop w:val="0"/>
          <w:marBottom w:val="0"/>
          <w:divBdr>
            <w:top w:val="none" w:sz="0" w:space="0" w:color="auto"/>
            <w:left w:val="none" w:sz="0" w:space="0" w:color="auto"/>
            <w:bottom w:val="none" w:sz="0" w:space="0" w:color="auto"/>
            <w:right w:val="none" w:sz="0" w:space="0" w:color="auto"/>
          </w:divBdr>
        </w:div>
      </w:divsChild>
    </w:div>
    <w:div w:id="181283168">
      <w:marLeft w:val="0"/>
      <w:marRight w:val="0"/>
      <w:marTop w:val="120"/>
      <w:marBottom w:val="0"/>
      <w:divBdr>
        <w:top w:val="none" w:sz="0" w:space="0" w:color="auto"/>
        <w:left w:val="none" w:sz="0" w:space="0" w:color="auto"/>
        <w:bottom w:val="none" w:sz="0" w:space="0" w:color="auto"/>
        <w:right w:val="none" w:sz="0" w:space="0" w:color="auto"/>
      </w:divBdr>
    </w:div>
    <w:div w:id="181555074">
      <w:marLeft w:val="0"/>
      <w:marRight w:val="0"/>
      <w:marTop w:val="120"/>
      <w:marBottom w:val="0"/>
      <w:divBdr>
        <w:top w:val="none" w:sz="0" w:space="0" w:color="auto"/>
        <w:left w:val="none" w:sz="0" w:space="0" w:color="auto"/>
        <w:bottom w:val="none" w:sz="0" w:space="0" w:color="auto"/>
        <w:right w:val="none" w:sz="0" w:space="0" w:color="auto"/>
      </w:divBdr>
    </w:div>
    <w:div w:id="182206548">
      <w:marLeft w:val="0"/>
      <w:marRight w:val="0"/>
      <w:marTop w:val="120"/>
      <w:marBottom w:val="0"/>
      <w:divBdr>
        <w:top w:val="none" w:sz="0" w:space="0" w:color="auto"/>
        <w:left w:val="none" w:sz="0" w:space="0" w:color="auto"/>
        <w:bottom w:val="none" w:sz="0" w:space="0" w:color="auto"/>
        <w:right w:val="none" w:sz="0" w:space="0" w:color="auto"/>
      </w:divBdr>
    </w:div>
    <w:div w:id="182597426">
      <w:marLeft w:val="0"/>
      <w:marRight w:val="0"/>
      <w:marTop w:val="120"/>
      <w:marBottom w:val="0"/>
      <w:divBdr>
        <w:top w:val="none" w:sz="0" w:space="0" w:color="auto"/>
        <w:left w:val="none" w:sz="0" w:space="0" w:color="auto"/>
        <w:bottom w:val="none" w:sz="0" w:space="0" w:color="auto"/>
        <w:right w:val="none" w:sz="0" w:space="0" w:color="auto"/>
      </w:divBdr>
    </w:div>
    <w:div w:id="183177161">
      <w:marLeft w:val="0"/>
      <w:marRight w:val="0"/>
      <w:marTop w:val="120"/>
      <w:marBottom w:val="0"/>
      <w:divBdr>
        <w:top w:val="none" w:sz="0" w:space="0" w:color="auto"/>
        <w:left w:val="none" w:sz="0" w:space="0" w:color="auto"/>
        <w:bottom w:val="none" w:sz="0" w:space="0" w:color="auto"/>
        <w:right w:val="none" w:sz="0" w:space="0" w:color="auto"/>
      </w:divBdr>
    </w:div>
    <w:div w:id="183828908">
      <w:marLeft w:val="0"/>
      <w:marRight w:val="0"/>
      <w:marTop w:val="240"/>
      <w:marBottom w:val="0"/>
      <w:divBdr>
        <w:top w:val="none" w:sz="0" w:space="0" w:color="auto"/>
        <w:left w:val="none" w:sz="0" w:space="0" w:color="auto"/>
        <w:bottom w:val="none" w:sz="0" w:space="0" w:color="auto"/>
        <w:right w:val="none" w:sz="0" w:space="0" w:color="auto"/>
      </w:divBdr>
    </w:div>
    <w:div w:id="183833536">
      <w:marLeft w:val="0"/>
      <w:marRight w:val="0"/>
      <w:marTop w:val="120"/>
      <w:marBottom w:val="0"/>
      <w:divBdr>
        <w:top w:val="none" w:sz="0" w:space="0" w:color="auto"/>
        <w:left w:val="none" w:sz="0" w:space="0" w:color="auto"/>
        <w:bottom w:val="none" w:sz="0" w:space="0" w:color="auto"/>
        <w:right w:val="none" w:sz="0" w:space="0" w:color="auto"/>
      </w:divBdr>
    </w:div>
    <w:div w:id="184245975">
      <w:marLeft w:val="0"/>
      <w:marRight w:val="0"/>
      <w:marTop w:val="120"/>
      <w:marBottom w:val="0"/>
      <w:divBdr>
        <w:top w:val="none" w:sz="0" w:space="0" w:color="auto"/>
        <w:left w:val="none" w:sz="0" w:space="0" w:color="auto"/>
        <w:bottom w:val="none" w:sz="0" w:space="0" w:color="auto"/>
        <w:right w:val="none" w:sz="0" w:space="0" w:color="auto"/>
      </w:divBdr>
    </w:div>
    <w:div w:id="184367197">
      <w:marLeft w:val="0"/>
      <w:marRight w:val="0"/>
      <w:marTop w:val="120"/>
      <w:marBottom w:val="0"/>
      <w:divBdr>
        <w:top w:val="none" w:sz="0" w:space="0" w:color="auto"/>
        <w:left w:val="none" w:sz="0" w:space="0" w:color="auto"/>
        <w:bottom w:val="none" w:sz="0" w:space="0" w:color="auto"/>
        <w:right w:val="none" w:sz="0" w:space="0" w:color="auto"/>
      </w:divBdr>
    </w:div>
    <w:div w:id="185142867">
      <w:marLeft w:val="0"/>
      <w:marRight w:val="0"/>
      <w:marTop w:val="120"/>
      <w:marBottom w:val="0"/>
      <w:divBdr>
        <w:top w:val="none" w:sz="0" w:space="0" w:color="auto"/>
        <w:left w:val="none" w:sz="0" w:space="0" w:color="auto"/>
        <w:bottom w:val="none" w:sz="0" w:space="0" w:color="auto"/>
        <w:right w:val="none" w:sz="0" w:space="0" w:color="auto"/>
      </w:divBdr>
    </w:div>
    <w:div w:id="185825871">
      <w:marLeft w:val="0"/>
      <w:marRight w:val="0"/>
      <w:marTop w:val="0"/>
      <w:marBottom w:val="0"/>
      <w:divBdr>
        <w:top w:val="none" w:sz="0" w:space="0" w:color="auto"/>
        <w:left w:val="none" w:sz="0" w:space="0" w:color="auto"/>
        <w:bottom w:val="none" w:sz="0" w:space="0" w:color="auto"/>
        <w:right w:val="none" w:sz="0" w:space="0" w:color="auto"/>
      </w:divBdr>
    </w:div>
    <w:div w:id="187373067">
      <w:marLeft w:val="0"/>
      <w:marRight w:val="0"/>
      <w:marTop w:val="120"/>
      <w:marBottom w:val="120"/>
      <w:divBdr>
        <w:top w:val="none" w:sz="0" w:space="0" w:color="auto"/>
        <w:left w:val="none" w:sz="0" w:space="0" w:color="auto"/>
        <w:bottom w:val="none" w:sz="0" w:space="0" w:color="auto"/>
        <w:right w:val="none" w:sz="0" w:space="0" w:color="auto"/>
      </w:divBdr>
    </w:div>
    <w:div w:id="188884313">
      <w:marLeft w:val="0"/>
      <w:marRight w:val="0"/>
      <w:marTop w:val="120"/>
      <w:marBottom w:val="0"/>
      <w:divBdr>
        <w:top w:val="none" w:sz="0" w:space="0" w:color="auto"/>
        <w:left w:val="none" w:sz="0" w:space="0" w:color="auto"/>
        <w:bottom w:val="none" w:sz="0" w:space="0" w:color="auto"/>
        <w:right w:val="none" w:sz="0" w:space="0" w:color="auto"/>
      </w:divBdr>
    </w:div>
    <w:div w:id="190530451">
      <w:marLeft w:val="0"/>
      <w:marRight w:val="0"/>
      <w:marTop w:val="0"/>
      <w:marBottom w:val="0"/>
      <w:divBdr>
        <w:top w:val="none" w:sz="0" w:space="0" w:color="auto"/>
        <w:left w:val="none" w:sz="0" w:space="0" w:color="auto"/>
        <w:bottom w:val="none" w:sz="0" w:space="0" w:color="auto"/>
        <w:right w:val="none" w:sz="0" w:space="0" w:color="auto"/>
      </w:divBdr>
      <w:divsChild>
        <w:div w:id="927693896">
          <w:marLeft w:val="0"/>
          <w:marRight w:val="0"/>
          <w:marTop w:val="0"/>
          <w:marBottom w:val="0"/>
          <w:divBdr>
            <w:top w:val="none" w:sz="0" w:space="0" w:color="auto"/>
            <w:left w:val="none" w:sz="0" w:space="0" w:color="auto"/>
            <w:bottom w:val="none" w:sz="0" w:space="0" w:color="auto"/>
            <w:right w:val="none" w:sz="0" w:space="0" w:color="auto"/>
          </w:divBdr>
        </w:div>
      </w:divsChild>
    </w:div>
    <w:div w:id="190537559">
      <w:marLeft w:val="0"/>
      <w:marRight w:val="0"/>
      <w:marTop w:val="0"/>
      <w:marBottom w:val="0"/>
      <w:divBdr>
        <w:top w:val="none" w:sz="0" w:space="0" w:color="auto"/>
        <w:left w:val="none" w:sz="0" w:space="0" w:color="auto"/>
        <w:bottom w:val="none" w:sz="0" w:space="0" w:color="auto"/>
        <w:right w:val="none" w:sz="0" w:space="0" w:color="auto"/>
      </w:divBdr>
    </w:div>
    <w:div w:id="191184986">
      <w:marLeft w:val="0"/>
      <w:marRight w:val="0"/>
      <w:marTop w:val="0"/>
      <w:marBottom w:val="0"/>
      <w:divBdr>
        <w:top w:val="none" w:sz="0" w:space="0" w:color="auto"/>
        <w:left w:val="none" w:sz="0" w:space="0" w:color="auto"/>
        <w:bottom w:val="none" w:sz="0" w:space="0" w:color="auto"/>
        <w:right w:val="none" w:sz="0" w:space="0" w:color="auto"/>
      </w:divBdr>
    </w:div>
    <w:div w:id="191384978">
      <w:marLeft w:val="0"/>
      <w:marRight w:val="0"/>
      <w:marTop w:val="0"/>
      <w:marBottom w:val="0"/>
      <w:divBdr>
        <w:top w:val="none" w:sz="0" w:space="0" w:color="auto"/>
        <w:left w:val="none" w:sz="0" w:space="0" w:color="auto"/>
        <w:bottom w:val="none" w:sz="0" w:space="0" w:color="auto"/>
        <w:right w:val="none" w:sz="0" w:space="0" w:color="auto"/>
      </w:divBdr>
    </w:div>
    <w:div w:id="193081556">
      <w:marLeft w:val="0"/>
      <w:marRight w:val="0"/>
      <w:marTop w:val="0"/>
      <w:marBottom w:val="0"/>
      <w:divBdr>
        <w:top w:val="none" w:sz="0" w:space="0" w:color="auto"/>
        <w:left w:val="none" w:sz="0" w:space="0" w:color="auto"/>
        <w:bottom w:val="none" w:sz="0" w:space="0" w:color="auto"/>
        <w:right w:val="none" w:sz="0" w:space="0" w:color="auto"/>
      </w:divBdr>
    </w:div>
    <w:div w:id="193230214">
      <w:marLeft w:val="0"/>
      <w:marRight w:val="0"/>
      <w:marTop w:val="120"/>
      <w:marBottom w:val="0"/>
      <w:divBdr>
        <w:top w:val="none" w:sz="0" w:space="0" w:color="auto"/>
        <w:left w:val="none" w:sz="0" w:space="0" w:color="auto"/>
        <w:bottom w:val="none" w:sz="0" w:space="0" w:color="auto"/>
        <w:right w:val="none" w:sz="0" w:space="0" w:color="auto"/>
      </w:divBdr>
    </w:div>
    <w:div w:id="195242581">
      <w:marLeft w:val="0"/>
      <w:marRight w:val="0"/>
      <w:marTop w:val="120"/>
      <w:marBottom w:val="120"/>
      <w:divBdr>
        <w:top w:val="none" w:sz="0" w:space="0" w:color="auto"/>
        <w:left w:val="none" w:sz="0" w:space="0" w:color="auto"/>
        <w:bottom w:val="none" w:sz="0" w:space="0" w:color="auto"/>
        <w:right w:val="none" w:sz="0" w:space="0" w:color="auto"/>
      </w:divBdr>
    </w:div>
    <w:div w:id="196549653">
      <w:marLeft w:val="0"/>
      <w:marRight w:val="0"/>
      <w:marTop w:val="0"/>
      <w:marBottom w:val="0"/>
      <w:divBdr>
        <w:top w:val="none" w:sz="0" w:space="0" w:color="auto"/>
        <w:left w:val="none" w:sz="0" w:space="0" w:color="auto"/>
        <w:bottom w:val="none" w:sz="0" w:space="0" w:color="auto"/>
        <w:right w:val="none" w:sz="0" w:space="0" w:color="auto"/>
      </w:divBdr>
      <w:divsChild>
        <w:div w:id="1877234113">
          <w:marLeft w:val="0"/>
          <w:marRight w:val="0"/>
          <w:marTop w:val="0"/>
          <w:marBottom w:val="0"/>
          <w:divBdr>
            <w:top w:val="none" w:sz="0" w:space="0" w:color="auto"/>
            <w:left w:val="none" w:sz="0" w:space="0" w:color="auto"/>
            <w:bottom w:val="none" w:sz="0" w:space="0" w:color="auto"/>
            <w:right w:val="none" w:sz="0" w:space="0" w:color="auto"/>
          </w:divBdr>
        </w:div>
      </w:divsChild>
    </w:div>
    <w:div w:id="197663319">
      <w:marLeft w:val="0"/>
      <w:marRight w:val="0"/>
      <w:marTop w:val="120"/>
      <w:marBottom w:val="0"/>
      <w:divBdr>
        <w:top w:val="none" w:sz="0" w:space="0" w:color="auto"/>
        <w:left w:val="none" w:sz="0" w:space="0" w:color="auto"/>
        <w:bottom w:val="none" w:sz="0" w:space="0" w:color="auto"/>
        <w:right w:val="none" w:sz="0" w:space="0" w:color="auto"/>
      </w:divBdr>
    </w:div>
    <w:div w:id="198277650">
      <w:marLeft w:val="0"/>
      <w:marRight w:val="0"/>
      <w:marTop w:val="120"/>
      <w:marBottom w:val="0"/>
      <w:divBdr>
        <w:top w:val="none" w:sz="0" w:space="0" w:color="auto"/>
        <w:left w:val="none" w:sz="0" w:space="0" w:color="auto"/>
        <w:bottom w:val="none" w:sz="0" w:space="0" w:color="auto"/>
        <w:right w:val="none" w:sz="0" w:space="0" w:color="auto"/>
      </w:divBdr>
    </w:div>
    <w:div w:id="199168597">
      <w:marLeft w:val="0"/>
      <w:marRight w:val="0"/>
      <w:marTop w:val="120"/>
      <w:marBottom w:val="0"/>
      <w:divBdr>
        <w:top w:val="none" w:sz="0" w:space="0" w:color="auto"/>
        <w:left w:val="none" w:sz="0" w:space="0" w:color="auto"/>
        <w:bottom w:val="none" w:sz="0" w:space="0" w:color="auto"/>
        <w:right w:val="none" w:sz="0" w:space="0" w:color="auto"/>
      </w:divBdr>
    </w:div>
    <w:div w:id="199704039">
      <w:marLeft w:val="0"/>
      <w:marRight w:val="0"/>
      <w:marTop w:val="120"/>
      <w:marBottom w:val="0"/>
      <w:divBdr>
        <w:top w:val="none" w:sz="0" w:space="0" w:color="auto"/>
        <w:left w:val="none" w:sz="0" w:space="0" w:color="auto"/>
        <w:bottom w:val="none" w:sz="0" w:space="0" w:color="auto"/>
        <w:right w:val="none" w:sz="0" w:space="0" w:color="auto"/>
      </w:divBdr>
    </w:div>
    <w:div w:id="200362335">
      <w:marLeft w:val="0"/>
      <w:marRight w:val="0"/>
      <w:marTop w:val="120"/>
      <w:marBottom w:val="0"/>
      <w:divBdr>
        <w:top w:val="none" w:sz="0" w:space="0" w:color="auto"/>
        <w:left w:val="none" w:sz="0" w:space="0" w:color="auto"/>
        <w:bottom w:val="none" w:sz="0" w:space="0" w:color="auto"/>
        <w:right w:val="none" w:sz="0" w:space="0" w:color="auto"/>
      </w:divBdr>
    </w:div>
    <w:div w:id="201328514">
      <w:marLeft w:val="0"/>
      <w:marRight w:val="0"/>
      <w:marTop w:val="0"/>
      <w:marBottom w:val="0"/>
      <w:divBdr>
        <w:top w:val="none" w:sz="0" w:space="0" w:color="auto"/>
        <w:left w:val="none" w:sz="0" w:space="0" w:color="auto"/>
        <w:bottom w:val="none" w:sz="0" w:space="0" w:color="auto"/>
        <w:right w:val="none" w:sz="0" w:space="0" w:color="auto"/>
      </w:divBdr>
    </w:div>
    <w:div w:id="202718481">
      <w:marLeft w:val="0"/>
      <w:marRight w:val="0"/>
      <w:marTop w:val="120"/>
      <w:marBottom w:val="0"/>
      <w:divBdr>
        <w:top w:val="none" w:sz="0" w:space="0" w:color="auto"/>
        <w:left w:val="none" w:sz="0" w:space="0" w:color="auto"/>
        <w:bottom w:val="none" w:sz="0" w:space="0" w:color="auto"/>
        <w:right w:val="none" w:sz="0" w:space="0" w:color="auto"/>
      </w:divBdr>
    </w:div>
    <w:div w:id="204299962">
      <w:marLeft w:val="0"/>
      <w:marRight w:val="0"/>
      <w:marTop w:val="120"/>
      <w:marBottom w:val="0"/>
      <w:divBdr>
        <w:top w:val="none" w:sz="0" w:space="0" w:color="auto"/>
        <w:left w:val="none" w:sz="0" w:space="0" w:color="auto"/>
        <w:bottom w:val="none" w:sz="0" w:space="0" w:color="auto"/>
        <w:right w:val="none" w:sz="0" w:space="0" w:color="auto"/>
      </w:divBdr>
    </w:div>
    <w:div w:id="205266302">
      <w:marLeft w:val="0"/>
      <w:marRight w:val="0"/>
      <w:marTop w:val="120"/>
      <w:marBottom w:val="0"/>
      <w:divBdr>
        <w:top w:val="none" w:sz="0" w:space="0" w:color="auto"/>
        <w:left w:val="none" w:sz="0" w:space="0" w:color="auto"/>
        <w:bottom w:val="none" w:sz="0" w:space="0" w:color="auto"/>
        <w:right w:val="none" w:sz="0" w:space="0" w:color="auto"/>
      </w:divBdr>
    </w:div>
    <w:div w:id="207761573">
      <w:marLeft w:val="0"/>
      <w:marRight w:val="0"/>
      <w:marTop w:val="120"/>
      <w:marBottom w:val="0"/>
      <w:divBdr>
        <w:top w:val="none" w:sz="0" w:space="0" w:color="auto"/>
        <w:left w:val="none" w:sz="0" w:space="0" w:color="auto"/>
        <w:bottom w:val="none" w:sz="0" w:space="0" w:color="auto"/>
        <w:right w:val="none" w:sz="0" w:space="0" w:color="auto"/>
      </w:divBdr>
    </w:div>
    <w:div w:id="208995691">
      <w:marLeft w:val="0"/>
      <w:marRight w:val="0"/>
      <w:marTop w:val="0"/>
      <w:marBottom w:val="0"/>
      <w:divBdr>
        <w:top w:val="none" w:sz="0" w:space="0" w:color="auto"/>
        <w:left w:val="none" w:sz="0" w:space="0" w:color="auto"/>
        <w:bottom w:val="none" w:sz="0" w:space="0" w:color="auto"/>
        <w:right w:val="none" w:sz="0" w:space="0" w:color="auto"/>
      </w:divBdr>
      <w:divsChild>
        <w:div w:id="1662543729">
          <w:marLeft w:val="0"/>
          <w:marRight w:val="0"/>
          <w:marTop w:val="0"/>
          <w:marBottom w:val="0"/>
          <w:divBdr>
            <w:top w:val="none" w:sz="0" w:space="0" w:color="auto"/>
            <w:left w:val="none" w:sz="0" w:space="0" w:color="auto"/>
            <w:bottom w:val="none" w:sz="0" w:space="0" w:color="auto"/>
            <w:right w:val="none" w:sz="0" w:space="0" w:color="auto"/>
          </w:divBdr>
        </w:div>
      </w:divsChild>
    </w:div>
    <w:div w:id="210193893">
      <w:marLeft w:val="0"/>
      <w:marRight w:val="0"/>
      <w:marTop w:val="120"/>
      <w:marBottom w:val="0"/>
      <w:divBdr>
        <w:top w:val="none" w:sz="0" w:space="0" w:color="auto"/>
        <w:left w:val="none" w:sz="0" w:space="0" w:color="auto"/>
        <w:bottom w:val="none" w:sz="0" w:space="0" w:color="auto"/>
        <w:right w:val="none" w:sz="0" w:space="0" w:color="auto"/>
      </w:divBdr>
    </w:div>
    <w:div w:id="210269585">
      <w:marLeft w:val="0"/>
      <w:marRight w:val="0"/>
      <w:marTop w:val="0"/>
      <w:marBottom w:val="0"/>
      <w:divBdr>
        <w:top w:val="none" w:sz="0" w:space="0" w:color="auto"/>
        <w:left w:val="none" w:sz="0" w:space="0" w:color="auto"/>
        <w:bottom w:val="none" w:sz="0" w:space="0" w:color="auto"/>
        <w:right w:val="none" w:sz="0" w:space="0" w:color="auto"/>
      </w:divBdr>
    </w:div>
    <w:div w:id="210387803">
      <w:marLeft w:val="0"/>
      <w:marRight w:val="0"/>
      <w:marTop w:val="120"/>
      <w:marBottom w:val="0"/>
      <w:divBdr>
        <w:top w:val="none" w:sz="0" w:space="0" w:color="auto"/>
        <w:left w:val="none" w:sz="0" w:space="0" w:color="auto"/>
        <w:bottom w:val="none" w:sz="0" w:space="0" w:color="auto"/>
        <w:right w:val="none" w:sz="0" w:space="0" w:color="auto"/>
      </w:divBdr>
    </w:div>
    <w:div w:id="210768123">
      <w:marLeft w:val="0"/>
      <w:marRight w:val="0"/>
      <w:marTop w:val="0"/>
      <w:marBottom w:val="0"/>
      <w:divBdr>
        <w:top w:val="none" w:sz="0" w:space="0" w:color="auto"/>
        <w:left w:val="none" w:sz="0" w:space="0" w:color="auto"/>
        <w:bottom w:val="none" w:sz="0" w:space="0" w:color="auto"/>
        <w:right w:val="none" w:sz="0" w:space="0" w:color="auto"/>
      </w:divBdr>
    </w:div>
    <w:div w:id="210770427">
      <w:marLeft w:val="0"/>
      <w:marRight w:val="0"/>
      <w:marTop w:val="0"/>
      <w:marBottom w:val="0"/>
      <w:divBdr>
        <w:top w:val="none" w:sz="0" w:space="0" w:color="auto"/>
        <w:left w:val="none" w:sz="0" w:space="0" w:color="auto"/>
        <w:bottom w:val="none" w:sz="0" w:space="0" w:color="auto"/>
        <w:right w:val="none" w:sz="0" w:space="0" w:color="auto"/>
      </w:divBdr>
    </w:div>
    <w:div w:id="210927341">
      <w:marLeft w:val="0"/>
      <w:marRight w:val="0"/>
      <w:marTop w:val="120"/>
      <w:marBottom w:val="0"/>
      <w:divBdr>
        <w:top w:val="none" w:sz="0" w:space="0" w:color="auto"/>
        <w:left w:val="none" w:sz="0" w:space="0" w:color="auto"/>
        <w:bottom w:val="none" w:sz="0" w:space="0" w:color="auto"/>
        <w:right w:val="none" w:sz="0" w:space="0" w:color="auto"/>
      </w:divBdr>
    </w:div>
    <w:div w:id="211113642">
      <w:marLeft w:val="0"/>
      <w:marRight w:val="0"/>
      <w:marTop w:val="120"/>
      <w:marBottom w:val="0"/>
      <w:divBdr>
        <w:top w:val="none" w:sz="0" w:space="0" w:color="auto"/>
        <w:left w:val="none" w:sz="0" w:space="0" w:color="auto"/>
        <w:bottom w:val="none" w:sz="0" w:space="0" w:color="auto"/>
        <w:right w:val="none" w:sz="0" w:space="0" w:color="auto"/>
      </w:divBdr>
    </w:div>
    <w:div w:id="211842506">
      <w:marLeft w:val="0"/>
      <w:marRight w:val="0"/>
      <w:marTop w:val="120"/>
      <w:marBottom w:val="0"/>
      <w:divBdr>
        <w:top w:val="none" w:sz="0" w:space="0" w:color="auto"/>
        <w:left w:val="none" w:sz="0" w:space="0" w:color="auto"/>
        <w:bottom w:val="none" w:sz="0" w:space="0" w:color="auto"/>
        <w:right w:val="none" w:sz="0" w:space="0" w:color="auto"/>
      </w:divBdr>
    </w:div>
    <w:div w:id="212616246">
      <w:marLeft w:val="0"/>
      <w:marRight w:val="0"/>
      <w:marTop w:val="120"/>
      <w:marBottom w:val="0"/>
      <w:divBdr>
        <w:top w:val="none" w:sz="0" w:space="0" w:color="auto"/>
        <w:left w:val="none" w:sz="0" w:space="0" w:color="auto"/>
        <w:bottom w:val="none" w:sz="0" w:space="0" w:color="auto"/>
        <w:right w:val="none" w:sz="0" w:space="0" w:color="auto"/>
      </w:divBdr>
    </w:div>
    <w:div w:id="213127954">
      <w:marLeft w:val="0"/>
      <w:marRight w:val="0"/>
      <w:marTop w:val="0"/>
      <w:marBottom w:val="0"/>
      <w:divBdr>
        <w:top w:val="none" w:sz="0" w:space="0" w:color="auto"/>
        <w:left w:val="none" w:sz="0" w:space="0" w:color="auto"/>
        <w:bottom w:val="none" w:sz="0" w:space="0" w:color="auto"/>
        <w:right w:val="none" w:sz="0" w:space="0" w:color="auto"/>
      </w:divBdr>
    </w:div>
    <w:div w:id="213664149">
      <w:marLeft w:val="0"/>
      <w:marRight w:val="0"/>
      <w:marTop w:val="0"/>
      <w:marBottom w:val="0"/>
      <w:divBdr>
        <w:top w:val="none" w:sz="0" w:space="0" w:color="auto"/>
        <w:left w:val="none" w:sz="0" w:space="0" w:color="auto"/>
        <w:bottom w:val="none" w:sz="0" w:space="0" w:color="auto"/>
        <w:right w:val="none" w:sz="0" w:space="0" w:color="auto"/>
      </w:divBdr>
    </w:div>
    <w:div w:id="214004936">
      <w:marLeft w:val="0"/>
      <w:marRight w:val="0"/>
      <w:marTop w:val="120"/>
      <w:marBottom w:val="0"/>
      <w:divBdr>
        <w:top w:val="none" w:sz="0" w:space="0" w:color="auto"/>
        <w:left w:val="none" w:sz="0" w:space="0" w:color="auto"/>
        <w:bottom w:val="none" w:sz="0" w:space="0" w:color="auto"/>
        <w:right w:val="none" w:sz="0" w:space="0" w:color="auto"/>
      </w:divBdr>
    </w:div>
    <w:div w:id="215358134">
      <w:marLeft w:val="0"/>
      <w:marRight w:val="0"/>
      <w:marTop w:val="120"/>
      <w:marBottom w:val="0"/>
      <w:divBdr>
        <w:top w:val="none" w:sz="0" w:space="0" w:color="auto"/>
        <w:left w:val="none" w:sz="0" w:space="0" w:color="auto"/>
        <w:bottom w:val="none" w:sz="0" w:space="0" w:color="auto"/>
        <w:right w:val="none" w:sz="0" w:space="0" w:color="auto"/>
      </w:divBdr>
    </w:div>
    <w:div w:id="217937974">
      <w:marLeft w:val="0"/>
      <w:marRight w:val="0"/>
      <w:marTop w:val="0"/>
      <w:marBottom w:val="0"/>
      <w:divBdr>
        <w:top w:val="none" w:sz="0" w:space="0" w:color="auto"/>
        <w:left w:val="none" w:sz="0" w:space="0" w:color="auto"/>
        <w:bottom w:val="none" w:sz="0" w:space="0" w:color="auto"/>
        <w:right w:val="none" w:sz="0" w:space="0" w:color="auto"/>
      </w:divBdr>
    </w:div>
    <w:div w:id="218132308">
      <w:marLeft w:val="0"/>
      <w:marRight w:val="0"/>
      <w:marTop w:val="0"/>
      <w:marBottom w:val="200"/>
      <w:divBdr>
        <w:top w:val="none" w:sz="0" w:space="0" w:color="auto"/>
        <w:left w:val="none" w:sz="0" w:space="0" w:color="auto"/>
        <w:bottom w:val="none" w:sz="0" w:space="0" w:color="auto"/>
        <w:right w:val="none" w:sz="0" w:space="0" w:color="auto"/>
      </w:divBdr>
    </w:div>
    <w:div w:id="220603264">
      <w:marLeft w:val="0"/>
      <w:marRight w:val="0"/>
      <w:marTop w:val="0"/>
      <w:marBottom w:val="120"/>
      <w:divBdr>
        <w:top w:val="none" w:sz="0" w:space="0" w:color="auto"/>
        <w:left w:val="none" w:sz="0" w:space="0" w:color="auto"/>
        <w:bottom w:val="none" w:sz="0" w:space="0" w:color="auto"/>
        <w:right w:val="none" w:sz="0" w:space="0" w:color="auto"/>
      </w:divBdr>
    </w:div>
    <w:div w:id="220869792">
      <w:marLeft w:val="0"/>
      <w:marRight w:val="0"/>
      <w:marTop w:val="120"/>
      <w:marBottom w:val="0"/>
      <w:divBdr>
        <w:top w:val="none" w:sz="0" w:space="0" w:color="auto"/>
        <w:left w:val="none" w:sz="0" w:space="0" w:color="auto"/>
        <w:bottom w:val="none" w:sz="0" w:space="0" w:color="auto"/>
        <w:right w:val="none" w:sz="0" w:space="0" w:color="auto"/>
      </w:divBdr>
    </w:div>
    <w:div w:id="222909899">
      <w:marLeft w:val="0"/>
      <w:marRight w:val="0"/>
      <w:marTop w:val="120"/>
      <w:marBottom w:val="0"/>
      <w:divBdr>
        <w:top w:val="none" w:sz="0" w:space="0" w:color="auto"/>
        <w:left w:val="none" w:sz="0" w:space="0" w:color="auto"/>
        <w:bottom w:val="none" w:sz="0" w:space="0" w:color="auto"/>
        <w:right w:val="none" w:sz="0" w:space="0" w:color="auto"/>
      </w:divBdr>
    </w:div>
    <w:div w:id="223418730">
      <w:marLeft w:val="0"/>
      <w:marRight w:val="0"/>
      <w:marTop w:val="0"/>
      <w:marBottom w:val="0"/>
      <w:divBdr>
        <w:top w:val="none" w:sz="0" w:space="0" w:color="auto"/>
        <w:left w:val="none" w:sz="0" w:space="0" w:color="auto"/>
        <w:bottom w:val="none" w:sz="0" w:space="0" w:color="auto"/>
        <w:right w:val="none" w:sz="0" w:space="0" w:color="auto"/>
      </w:divBdr>
    </w:div>
    <w:div w:id="223756948">
      <w:marLeft w:val="0"/>
      <w:marRight w:val="0"/>
      <w:marTop w:val="120"/>
      <w:marBottom w:val="0"/>
      <w:divBdr>
        <w:top w:val="none" w:sz="0" w:space="0" w:color="auto"/>
        <w:left w:val="none" w:sz="0" w:space="0" w:color="auto"/>
        <w:bottom w:val="none" w:sz="0" w:space="0" w:color="auto"/>
        <w:right w:val="none" w:sz="0" w:space="0" w:color="auto"/>
      </w:divBdr>
    </w:div>
    <w:div w:id="224027633">
      <w:marLeft w:val="0"/>
      <w:marRight w:val="0"/>
      <w:marTop w:val="120"/>
      <w:marBottom w:val="0"/>
      <w:divBdr>
        <w:top w:val="none" w:sz="0" w:space="0" w:color="auto"/>
        <w:left w:val="none" w:sz="0" w:space="0" w:color="auto"/>
        <w:bottom w:val="none" w:sz="0" w:space="0" w:color="auto"/>
        <w:right w:val="none" w:sz="0" w:space="0" w:color="auto"/>
      </w:divBdr>
    </w:div>
    <w:div w:id="224225611">
      <w:marLeft w:val="0"/>
      <w:marRight w:val="0"/>
      <w:marTop w:val="100"/>
      <w:marBottom w:val="0"/>
      <w:divBdr>
        <w:top w:val="none" w:sz="0" w:space="0" w:color="auto"/>
        <w:left w:val="none" w:sz="0" w:space="0" w:color="auto"/>
        <w:bottom w:val="none" w:sz="0" w:space="0" w:color="auto"/>
        <w:right w:val="none" w:sz="0" w:space="0" w:color="auto"/>
      </w:divBdr>
    </w:div>
    <w:div w:id="226768715">
      <w:marLeft w:val="0"/>
      <w:marRight w:val="0"/>
      <w:marTop w:val="0"/>
      <w:marBottom w:val="60"/>
      <w:divBdr>
        <w:top w:val="none" w:sz="0" w:space="0" w:color="auto"/>
        <w:left w:val="none" w:sz="0" w:space="0" w:color="auto"/>
        <w:bottom w:val="none" w:sz="0" w:space="0" w:color="auto"/>
        <w:right w:val="none" w:sz="0" w:space="0" w:color="auto"/>
      </w:divBdr>
    </w:div>
    <w:div w:id="227763157">
      <w:marLeft w:val="0"/>
      <w:marRight w:val="0"/>
      <w:marTop w:val="0"/>
      <w:marBottom w:val="0"/>
      <w:divBdr>
        <w:top w:val="none" w:sz="0" w:space="0" w:color="auto"/>
        <w:left w:val="none" w:sz="0" w:space="0" w:color="auto"/>
        <w:bottom w:val="none" w:sz="0" w:space="0" w:color="auto"/>
        <w:right w:val="none" w:sz="0" w:space="0" w:color="auto"/>
      </w:divBdr>
    </w:div>
    <w:div w:id="228420050">
      <w:marLeft w:val="0"/>
      <w:marRight w:val="0"/>
      <w:marTop w:val="120"/>
      <w:marBottom w:val="0"/>
      <w:divBdr>
        <w:top w:val="none" w:sz="0" w:space="0" w:color="auto"/>
        <w:left w:val="none" w:sz="0" w:space="0" w:color="auto"/>
        <w:bottom w:val="none" w:sz="0" w:space="0" w:color="auto"/>
        <w:right w:val="none" w:sz="0" w:space="0" w:color="auto"/>
      </w:divBdr>
    </w:div>
    <w:div w:id="229006124">
      <w:marLeft w:val="0"/>
      <w:marRight w:val="0"/>
      <w:marTop w:val="120"/>
      <w:marBottom w:val="0"/>
      <w:divBdr>
        <w:top w:val="none" w:sz="0" w:space="0" w:color="auto"/>
        <w:left w:val="none" w:sz="0" w:space="0" w:color="auto"/>
        <w:bottom w:val="none" w:sz="0" w:space="0" w:color="auto"/>
        <w:right w:val="none" w:sz="0" w:space="0" w:color="auto"/>
      </w:divBdr>
    </w:div>
    <w:div w:id="229537290">
      <w:marLeft w:val="0"/>
      <w:marRight w:val="0"/>
      <w:marTop w:val="120"/>
      <w:marBottom w:val="0"/>
      <w:divBdr>
        <w:top w:val="none" w:sz="0" w:space="0" w:color="auto"/>
        <w:left w:val="none" w:sz="0" w:space="0" w:color="auto"/>
        <w:bottom w:val="none" w:sz="0" w:space="0" w:color="auto"/>
        <w:right w:val="none" w:sz="0" w:space="0" w:color="auto"/>
      </w:divBdr>
    </w:div>
    <w:div w:id="231278995">
      <w:marLeft w:val="0"/>
      <w:marRight w:val="0"/>
      <w:marTop w:val="120"/>
      <w:marBottom w:val="0"/>
      <w:divBdr>
        <w:top w:val="none" w:sz="0" w:space="0" w:color="auto"/>
        <w:left w:val="none" w:sz="0" w:space="0" w:color="auto"/>
        <w:bottom w:val="none" w:sz="0" w:space="0" w:color="auto"/>
        <w:right w:val="none" w:sz="0" w:space="0" w:color="auto"/>
      </w:divBdr>
    </w:div>
    <w:div w:id="232744323">
      <w:marLeft w:val="0"/>
      <w:marRight w:val="0"/>
      <w:marTop w:val="0"/>
      <w:marBottom w:val="120"/>
      <w:divBdr>
        <w:top w:val="none" w:sz="0" w:space="0" w:color="auto"/>
        <w:left w:val="none" w:sz="0" w:space="0" w:color="auto"/>
        <w:bottom w:val="none" w:sz="0" w:space="0" w:color="auto"/>
        <w:right w:val="none" w:sz="0" w:space="0" w:color="auto"/>
      </w:divBdr>
    </w:div>
    <w:div w:id="233055563">
      <w:marLeft w:val="0"/>
      <w:marRight w:val="0"/>
      <w:marTop w:val="120"/>
      <w:marBottom w:val="0"/>
      <w:divBdr>
        <w:top w:val="none" w:sz="0" w:space="0" w:color="auto"/>
        <w:left w:val="none" w:sz="0" w:space="0" w:color="auto"/>
        <w:bottom w:val="none" w:sz="0" w:space="0" w:color="auto"/>
        <w:right w:val="none" w:sz="0" w:space="0" w:color="auto"/>
      </w:divBdr>
    </w:div>
    <w:div w:id="235744509">
      <w:marLeft w:val="0"/>
      <w:marRight w:val="0"/>
      <w:marTop w:val="120"/>
      <w:marBottom w:val="0"/>
      <w:divBdr>
        <w:top w:val="none" w:sz="0" w:space="0" w:color="auto"/>
        <w:left w:val="none" w:sz="0" w:space="0" w:color="auto"/>
        <w:bottom w:val="none" w:sz="0" w:space="0" w:color="auto"/>
        <w:right w:val="none" w:sz="0" w:space="0" w:color="auto"/>
      </w:divBdr>
    </w:div>
    <w:div w:id="236406345">
      <w:marLeft w:val="0"/>
      <w:marRight w:val="0"/>
      <w:marTop w:val="0"/>
      <w:marBottom w:val="0"/>
      <w:divBdr>
        <w:top w:val="none" w:sz="0" w:space="0" w:color="auto"/>
        <w:left w:val="none" w:sz="0" w:space="0" w:color="auto"/>
        <w:bottom w:val="none" w:sz="0" w:space="0" w:color="auto"/>
        <w:right w:val="none" w:sz="0" w:space="0" w:color="auto"/>
      </w:divBdr>
    </w:div>
    <w:div w:id="236676590">
      <w:marLeft w:val="0"/>
      <w:marRight w:val="0"/>
      <w:marTop w:val="0"/>
      <w:marBottom w:val="0"/>
      <w:divBdr>
        <w:top w:val="none" w:sz="0" w:space="0" w:color="auto"/>
        <w:left w:val="none" w:sz="0" w:space="0" w:color="auto"/>
        <w:bottom w:val="none" w:sz="0" w:space="0" w:color="auto"/>
        <w:right w:val="none" w:sz="0" w:space="0" w:color="auto"/>
      </w:divBdr>
      <w:divsChild>
        <w:div w:id="864171292">
          <w:marLeft w:val="0"/>
          <w:marRight w:val="0"/>
          <w:marTop w:val="0"/>
          <w:marBottom w:val="0"/>
          <w:divBdr>
            <w:top w:val="none" w:sz="0" w:space="0" w:color="auto"/>
            <w:left w:val="none" w:sz="0" w:space="0" w:color="auto"/>
            <w:bottom w:val="none" w:sz="0" w:space="0" w:color="auto"/>
            <w:right w:val="none" w:sz="0" w:space="0" w:color="auto"/>
          </w:divBdr>
        </w:div>
      </w:divsChild>
    </w:div>
    <w:div w:id="239869560">
      <w:marLeft w:val="0"/>
      <w:marRight w:val="0"/>
      <w:marTop w:val="0"/>
      <w:marBottom w:val="0"/>
      <w:divBdr>
        <w:top w:val="none" w:sz="0" w:space="0" w:color="auto"/>
        <w:left w:val="none" w:sz="0" w:space="0" w:color="auto"/>
        <w:bottom w:val="none" w:sz="0" w:space="0" w:color="auto"/>
        <w:right w:val="none" w:sz="0" w:space="0" w:color="auto"/>
      </w:divBdr>
      <w:divsChild>
        <w:div w:id="555704000">
          <w:marLeft w:val="0"/>
          <w:marRight w:val="0"/>
          <w:marTop w:val="0"/>
          <w:marBottom w:val="0"/>
          <w:divBdr>
            <w:top w:val="none" w:sz="0" w:space="0" w:color="auto"/>
            <w:left w:val="none" w:sz="0" w:space="0" w:color="auto"/>
            <w:bottom w:val="none" w:sz="0" w:space="0" w:color="auto"/>
            <w:right w:val="none" w:sz="0" w:space="0" w:color="auto"/>
          </w:divBdr>
        </w:div>
      </w:divsChild>
    </w:div>
    <w:div w:id="240141989">
      <w:marLeft w:val="0"/>
      <w:marRight w:val="0"/>
      <w:marTop w:val="120"/>
      <w:marBottom w:val="0"/>
      <w:divBdr>
        <w:top w:val="none" w:sz="0" w:space="0" w:color="auto"/>
        <w:left w:val="none" w:sz="0" w:space="0" w:color="auto"/>
        <w:bottom w:val="none" w:sz="0" w:space="0" w:color="auto"/>
        <w:right w:val="none" w:sz="0" w:space="0" w:color="auto"/>
      </w:divBdr>
    </w:div>
    <w:div w:id="241331698">
      <w:marLeft w:val="0"/>
      <w:marRight w:val="0"/>
      <w:marTop w:val="120"/>
      <w:marBottom w:val="0"/>
      <w:divBdr>
        <w:top w:val="none" w:sz="0" w:space="0" w:color="auto"/>
        <w:left w:val="none" w:sz="0" w:space="0" w:color="auto"/>
        <w:bottom w:val="none" w:sz="0" w:space="0" w:color="auto"/>
        <w:right w:val="none" w:sz="0" w:space="0" w:color="auto"/>
      </w:divBdr>
    </w:div>
    <w:div w:id="241717150">
      <w:marLeft w:val="0"/>
      <w:marRight w:val="0"/>
      <w:marTop w:val="0"/>
      <w:marBottom w:val="0"/>
      <w:divBdr>
        <w:top w:val="none" w:sz="0" w:space="0" w:color="auto"/>
        <w:left w:val="none" w:sz="0" w:space="0" w:color="auto"/>
        <w:bottom w:val="none" w:sz="0" w:space="0" w:color="auto"/>
        <w:right w:val="none" w:sz="0" w:space="0" w:color="auto"/>
      </w:divBdr>
    </w:div>
    <w:div w:id="243491631">
      <w:marLeft w:val="0"/>
      <w:marRight w:val="0"/>
      <w:marTop w:val="120"/>
      <w:marBottom w:val="0"/>
      <w:divBdr>
        <w:top w:val="none" w:sz="0" w:space="0" w:color="auto"/>
        <w:left w:val="none" w:sz="0" w:space="0" w:color="auto"/>
        <w:bottom w:val="none" w:sz="0" w:space="0" w:color="auto"/>
        <w:right w:val="none" w:sz="0" w:space="0" w:color="auto"/>
      </w:divBdr>
    </w:div>
    <w:div w:id="243610941">
      <w:marLeft w:val="0"/>
      <w:marRight w:val="0"/>
      <w:marTop w:val="120"/>
      <w:marBottom w:val="0"/>
      <w:divBdr>
        <w:top w:val="none" w:sz="0" w:space="0" w:color="auto"/>
        <w:left w:val="none" w:sz="0" w:space="0" w:color="auto"/>
        <w:bottom w:val="none" w:sz="0" w:space="0" w:color="auto"/>
        <w:right w:val="none" w:sz="0" w:space="0" w:color="auto"/>
      </w:divBdr>
    </w:div>
    <w:div w:id="247157447">
      <w:marLeft w:val="0"/>
      <w:marRight w:val="0"/>
      <w:marTop w:val="120"/>
      <w:marBottom w:val="0"/>
      <w:divBdr>
        <w:top w:val="none" w:sz="0" w:space="0" w:color="auto"/>
        <w:left w:val="none" w:sz="0" w:space="0" w:color="auto"/>
        <w:bottom w:val="none" w:sz="0" w:space="0" w:color="auto"/>
        <w:right w:val="none" w:sz="0" w:space="0" w:color="auto"/>
      </w:divBdr>
    </w:div>
    <w:div w:id="249698043">
      <w:marLeft w:val="0"/>
      <w:marRight w:val="0"/>
      <w:marTop w:val="120"/>
      <w:marBottom w:val="0"/>
      <w:divBdr>
        <w:top w:val="none" w:sz="0" w:space="0" w:color="auto"/>
        <w:left w:val="none" w:sz="0" w:space="0" w:color="auto"/>
        <w:bottom w:val="none" w:sz="0" w:space="0" w:color="auto"/>
        <w:right w:val="none" w:sz="0" w:space="0" w:color="auto"/>
      </w:divBdr>
    </w:div>
    <w:div w:id="250890026">
      <w:marLeft w:val="0"/>
      <w:marRight w:val="0"/>
      <w:marTop w:val="120"/>
      <w:marBottom w:val="0"/>
      <w:divBdr>
        <w:top w:val="none" w:sz="0" w:space="0" w:color="auto"/>
        <w:left w:val="none" w:sz="0" w:space="0" w:color="auto"/>
        <w:bottom w:val="none" w:sz="0" w:space="0" w:color="auto"/>
        <w:right w:val="none" w:sz="0" w:space="0" w:color="auto"/>
      </w:divBdr>
    </w:div>
    <w:div w:id="251817613">
      <w:marLeft w:val="0"/>
      <w:marRight w:val="0"/>
      <w:marTop w:val="0"/>
      <w:marBottom w:val="0"/>
      <w:divBdr>
        <w:top w:val="none" w:sz="0" w:space="0" w:color="auto"/>
        <w:left w:val="none" w:sz="0" w:space="0" w:color="auto"/>
        <w:bottom w:val="none" w:sz="0" w:space="0" w:color="auto"/>
        <w:right w:val="none" w:sz="0" w:space="0" w:color="auto"/>
      </w:divBdr>
      <w:divsChild>
        <w:div w:id="1794593865">
          <w:marLeft w:val="0"/>
          <w:marRight w:val="0"/>
          <w:marTop w:val="0"/>
          <w:marBottom w:val="0"/>
          <w:divBdr>
            <w:top w:val="none" w:sz="0" w:space="0" w:color="auto"/>
            <w:left w:val="none" w:sz="0" w:space="0" w:color="auto"/>
            <w:bottom w:val="none" w:sz="0" w:space="0" w:color="auto"/>
            <w:right w:val="none" w:sz="0" w:space="0" w:color="auto"/>
          </w:divBdr>
          <w:divsChild>
            <w:div w:id="10606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7068">
      <w:marLeft w:val="0"/>
      <w:marRight w:val="0"/>
      <w:marTop w:val="120"/>
      <w:marBottom w:val="0"/>
      <w:divBdr>
        <w:top w:val="none" w:sz="0" w:space="0" w:color="auto"/>
        <w:left w:val="none" w:sz="0" w:space="0" w:color="auto"/>
        <w:bottom w:val="none" w:sz="0" w:space="0" w:color="auto"/>
        <w:right w:val="none" w:sz="0" w:space="0" w:color="auto"/>
      </w:divBdr>
    </w:div>
    <w:div w:id="253364753">
      <w:marLeft w:val="0"/>
      <w:marRight w:val="0"/>
      <w:marTop w:val="120"/>
      <w:marBottom w:val="0"/>
      <w:divBdr>
        <w:top w:val="none" w:sz="0" w:space="0" w:color="auto"/>
        <w:left w:val="none" w:sz="0" w:space="0" w:color="auto"/>
        <w:bottom w:val="none" w:sz="0" w:space="0" w:color="auto"/>
        <w:right w:val="none" w:sz="0" w:space="0" w:color="auto"/>
      </w:divBdr>
    </w:div>
    <w:div w:id="253437726">
      <w:marLeft w:val="0"/>
      <w:marRight w:val="0"/>
      <w:marTop w:val="120"/>
      <w:marBottom w:val="0"/>
      <w:divBdr>
        <w:top w:val="none" w:sz="0" w:space="0" w:color="auto"/>
        <w:left w:val="none" w:sz="0" w:space="0" w:color="auto"/>
        <w:bottom w:val="none" w:sz="0" w:space="0" w:color="auto"/>
        <w:right w:val="none" w:sz="0" w:space="0" w:color="auto"/>
      </w:divBdr>
    </w:div>
    <w:div w:id="257257306">
      <w:marLeft w:val="0"/>
      <w:marRight w:val="0"/>
      <w:marTop w:val="120"/>
      <w:marBottom w:val="0"/>
      <w:divBdr>
        <w:top w:val="none" w:sz="0" w:space="0" w:color="auto"/>
        <w:left w:val="none" w:sz="0" w:space="0" w:color="auto"/>
        <w:bottom w:val="none" w:sz="0" w:space="0" w:color="auto"/>
        <w:right w:val="none" w:sz="0" w:space="0" w:color="auto"/>
      </w:divBdr>
    </w:div>
    <w:div w:id="257564198">
      <w:marLeft w:val="0"/>
      <w:marRight w:val="0"/>
      <w:marTop w:val="0"/>
      <w:marBottom w:val="0"/>
      <w:divBdr>
        <w:top w:val="none" w:sz="0" w:space="0" w:color="auto"/>
        <w:left w:val="none" w:sz="0" w:space="0" w:color="auto"/>
        <w:bottom w:val="none" w:sz="0" w:space="0" w:color="auto"/>
        <w:right w:val="none" w:sz="0" w:space="0" w:color="auto"/>
      </w:divBdr>
    </w:div>
    <w:div w:id="258296399">
      <w:marLeft w:val="0"/>
      <w:marRight w:val="0"/>
      <w:marTop w:val="120"/>
      <w:marBottom w:val="0"/>
      <w:divBdr>
        <w:top w:val="none" w:sz="0" w:space="0" w:color="auto"/>
        <w:left w:val="none" w:sz="0" w:space="0" w:color="auto"/>
        <w:bottom w:val="none" w:sz="0" w:space="0" w:color="auto"/>
        <w:right w:val="none" w:sz="0" w:space="0" w:color="auto"/>
      </w:divBdr>
    </w:div>
    <w:div w:id="259336969">
      <w:marLeft w:val="0"/>
      <w:marRight w:val="0"/>
      <w:marTop w:val="0"/>
      <w:marBottom w:val="0"/>
      <w:divBdr>
        <w:top w:val="none" w:sz="0" w:space="0" w:color="auto"/>
        <w:left w:val="none" w:sz="0" w:space="0" w:color="auto"/>
        <w:bottom w:val="none" w:sz="0" w:space="0" w:color="auto"/>
        <w:right w:val="none" w:sz="0" w:space="0" w:color="auto"/>
      </w:divBdr>
    </w:div>
    <w:div w:id="261455361">
      <w:marLeft w:val="0"/>
      <w:marRight w:val="0"/>
      <w:marTop w:val="120"/>
      <w:marBottom w:val="0"/>
      <w:divBdr>
        <w:top w:val="none" w:sz="0" w:space="0" w:color="auto"/>
        <w:left w:val="none" w:sz="0" w:space="0" w:color="auto"/>
        <w:bottom w:val="none" w:sz="0" w:space="0" w:color="auto"/>
        <w:right w:val="none" w:sz="0" w:space="0" w:color="auto"/>
      </w:divBdr>
    </w:div>
    <w:div w:id="263463084">
      <w:marLeft w:val="0"/>
      <w:marRight w:val="0"/>
      <w:marTop w:val="120"/>
      <w:marBottom w:val="0"/>
      <w:divBdr>
        <w:top w:val="none" w:sz="0" w:space="0" w:color="auto"/>
        <w:left w:val="none" w:sz="0" w:space="0" w:color="auto"/>
        <w:bottom w:val="none" w:sz="0" w:space="0" w:color="auto"/>
        <w:right w:val="none" w:sz="0" w:space="0" w:color="auto"/>
      </w:divBdr>
    </w:div>
    <w:div w:id="263997912">
      <w:marLeft w:val="0"/>
      <w:marRight w:val="0"/>
      <w:marTop w:val="120"/>
      <w:marBottom w:val="0"/>
      <w:divBdr>
        <w:top w:val="none" w:sz="0" w:space="0" w:color="auto"/>
        <w:left w:val="none" w:sz="0" w:space="0" w:color="auto"/>
        <w:bottom w:val="none" w:sz="0" w:space="0" w:color="auto"/>
        <w:right w:val="none" w:sz="0" w:space="0" w:color="auto"/>
      </w:divBdr>
    </w:div>
    <w:div w:id="268047093">
      <w:marLeft w:val="0"/>
      <w:marRight w:val="0"/>
      <w:marTop w:val="0"/>
      <w:marBottom w:val="60"/>
      <w:divBdr>
        <w:top w:val="none" w:sz="0" w:space="0" w:color="auto"/>
        <w:left w:val="none" w:sz="0" w:space="0" w:color="auto"/>
        <w:bottom w:val="none" w:sz="0" w:space="0" w:color="auto"/>
        <w:right w:val="none" w:sz="0" w:space="0" w:color="auto"/>
      </w:divBdr>
    </w:div>
    <w:div w:id="268202200">
      <w:marLeft w:val="0"/>
      <w:marRight w:val="0"/>
      <w:marTop w:val="0"/>
      <w:marBottom w:val="0"/>
      <w:divBdr>
        <w:top w:val="none" w:sz="0" w:space="0" w:color="auto"/>
        <w:left w:val="none" w:sz="0" w:space="0" w:color="auto"/>
        <w:bottom w:val="none" w:sz="0" w:space="0" w:color="auto"/>
        <w:right w:val="none" w:sz="0" w:space="0" w:color="auto"/>
      </w:divBdr>
    </w:div>
    <w:div w:id="268314693">
      <w:marLeft w:val="0"/>
      <w:marRight w:val="0"/>
      <w:marTop w:val="120"/>
      <w:marBottom w:val="0"/>
      <w:divBdr>
        <w:top w:val="none" w:sz="0" w:space="0" w:color="auto"/>
        <w:left w:val="none" w:sz="0" w:space="0" w:color="auto"/>
        <w:bottom w:val="none" w:sz="0" w:space="0" w:color="auto"/>
        <w:right w:val="none" w:sz="0" w:space="0" w:color="auto"/>
      </w:divBdr>
    </w:div>
    <w:div w:id="268515632">
      <w:marLeft w:val="0"/>
      <w:marRight w:val="0"/>
      <w:marTop w:val="120"/>
      <w:marBottom w:val="0"/>
      <w:divBdr>
        <w:top w:val="none" w:sz="0" w:space="0" w:color="auto"/>
        <w:left w:val="none" w:sz="0" w:space="0" w:color="auto"/>
        <w:bottom w:val="none" w:sz="0" w:space="0" w:color="auto"/>
        <w:right w:val="none" w:sz="0" w:space="0" w:color="auto"/>
      </w:divBdr>
    </w:div>
    <w:div w:id="269045455">
      <w:marLeft w:val="0"/>
      <w:marRight w:val="0"/>
      <w:marTop w:val="120"/>
      <w:marBottom w:val="0"/>
      <w:divBdr>
        <w:top w:val="none" w:sz="0" w:space="0" w:color="auto"/>
        <w:left w:val="none" w:sz="0" w:space="0" w:color="auto"/>
        <w:bottom w:val="none" w:sz="0" w:space="0" w:color="auto"/>
        <w:right w:val="none" w:sz="0" w:space="0" w:color="auto"/>
      </w:divBdr>
    </w:div>
    <w:div w:id="269818307">
      <w:marLeft w:val="0"/>
      <w:marRight w:val="0"/>
      <w:marTop w:val="0"/>
      <w:marBottom w:val="0"/>
      <w:divBdr>
        <w:top w:val="none" w:sz="0" w:space="0" w:color="auto"/>
        <w:left w:val="none" w:sz="0" w:space="0" w:color="auto"/>
        <w:bottom w:val="none" w:sz="0" w:space="0" w:color="auto"/>
        <w:right w:val="none" w:sz="0" w:space="0" w:color="auto"/>
      </w:divBdr>
      <w:divsChild>
        <w:div w:id="1286276544">
          <w:marLeft w:val="0"/>
          <w:marRight w:val="0"/>
          <w:marTop w:val="0"/>
          <w:marBottom w:val="0"/>
          <w:divBdr>
            <w:top w:val="none" w:sz="0" w:space="0" w:color="auto"/>
            <w:left w:val="none" w:sz="0" w:space="0" w:color="auto"/>
            <w:bottom w:val="none" w:sz="0" w:space="0" w:color="auto"/>
            <w:right w:val="none" w:sz="0" w:space="0" w:color="auto"/>
          </w:divBdr>
        </w:div>
      </w:divsChild>
    </w:div>
    <w:div w:id="270821163">
      <w:marLeft w:val="0"/>
      <w:marRight w:val="0"/>
      <w:marTop w:val="120"/>
      <w:marBottom w:val="0"/>
      <w:divBdr>
        <w:top w:val="none" w:sz="0" w:space="0" w:color="auto"/>
        <w:left w:val="none" w:sz="0" w:space="0" w:color="auto"/>
        <w:bottom w:val="none" w:sz="0" w:space="0" w:color="auto"/>
        <w:right w:val="none" w:sz="0" w:space="0" w:color="auto"/>
      </w:divBdr>
    </w:div>
    <w:div w:id="271128284">
      <w:marLeft w:val="0"/>
      <w:marRight w:val="0"/>
      <w:marTop w:val="0"/>
      <w:marBottom w:val="0"/>
      <w:divBdr>
        <w:top w:val="none" w:sz="0" w:space="0" w:color="auto"/>
        <w:left w:val="none" w:sz="0" w:space="0" w:color="auto"/>
        <w:bottom w:val="none" w:sz="0" w:space="0" w:color="auto"/>
        <w:right w:val="none" w:sz="0" w:space="0" w:color="auto"/>
      </w:divBdr>
      <w:divsChild>
        <w:div w:id="219218838">
          <w:marLeft w:val="0"/>
          <w:marRight w:val="0"/>
          <w:marTop w:val="0"/>
          <w:marBottom w:val="0"/>
          <w:divBdr>
            <w:top w:val="none" w:sz="0" w:space="0" w:color="auto"/>
            <w:left w:val="none" w:sz="0" w:space="0" w:color="auto"/>
            <w:bottom w:val="none" w:sz="0" w:space="0" w:color="auto"/>
            <w:right w:val="none" w:sz="0" w:space="0" w:color="auto"/>
          </w:divBdr>
        </w:div>
      </w:divsChild>
    </w:div>
    <w:div w:id="271279661">
      <w:marLeft w:val="0"/>
      <w:marRight w:val="0"/>
      <w:marTop w:val="0"/>
      <w:marBottom w:val="120"/>
      <w:divBdr>
        <w:top w:val="none" w:sz="0" w:space="0" w:color="auto"/>
        <w:left w:val="none" w:sz="0" w:space="0" w:color="auto"/>
        <w:bottom w:val="none" w:sz="0" w:space="0" w:color="auto"/>
        <w:right w:val="none" w:sz="0" w:space="0" w:color="auto"/>
      </w:divBdr>
    </w:div>
    <w:div w:id="272908209">
      <w:marLeft w:val="0"/>
      <w:marRight w:val="0"/>
      <w:marTop w:val="120"/>
      <w:marBottom w:val="0"/>
      <w:divBdr>
        <w:top w:val="none" w:sz="0" w:space="0" w:color="auto"/>
        <w:left w:val="none" w:sz="0" w:space="0" w:color="auto"/>
        <w:bottom w:val="none" w:sz="0" w:space="0" w:color="auto"/>
        <w:right w:val="none" w:sz="0" w:space="0" w:color="auto"/>
      </w:divBdr>
    </w:div>
    <w:div w:id="273250345">
      <w:marLeft w:val="0"/>
      <w:marRight w:val="0"/>
      <w:marTop w:val="0"/>
      <w:marBottom w:val="0"/>
      <w:divBdr>
        <w:top w:val="none" w:sz="0" w:space="0" w:color="auto"/>
        <w:left w:val="none" w:sz="0" w:space="0" w:color="auto"/>
        <w:bottom w:val="none" w:sz="0" w:space="0" w:color="auto"/>
        <w:right w:val="none" w:sz="0" w:space="0" w:color="auto"/>
      </w:divBdr>
      <w:divsChild>
        <w:div w:id="941258667">
          <w:marLeft w:val="0"/>
          <w:marRight w:val="0"/>
          <w:marTop w:val="0"/>
          <w:marBottom w:val="0"/>
          <w:divBdr>
            <w:top w:val="none" w:sz="0" w:space="0" w:color="auto"/>
            <w:left w:val="none" w:sz="0" w:space="0" w:color="auto"/>
            <w:bottom w:val="none" w:sz="0" w:space="0" w:color="auto"/>
            <w:right w:val="none" w:sz="0" w:space="0" w:color="auto"/>
          </w:divBdr>
        </w:div>
      </w:divsChild>
    </w:div>
    <w:div w:id="274872707">
      <w:marLeft w:val="0"/>
      <w:marRight w:val="0"/>
      <w:marTop w:val="0"/>
      <w:marBottom w:val="0"/>
      <w:divBdr>
        <w:top w:val="none" w:sz="0" w:space="0" w:color="auto"/>
        <w:left w:val="none" w:sz="0" w:space="0" w:color="auto"/>
        <w:bottom w:val="none" w:sz="0" w:space="0" w:color="auto"/>
        <w:right w:val="none" w:sz="0" w:space="0" w:color="auto"/>
      </w:divBdr>
    </w:div>
    <w:div w:id="274944453">
      <w:marLeft w:val="0"/>
      <w:marRight w:val="0"/>
      <w:marTop w:val="120"/>
      <w:marBottom w:val="0"/>
      <w:divBdr>
        <w:top w:val="none" w:sz="0" w:space="0" w:color="auto"/>
        <w:left w:val="none" w:sz="0" w:space="0" w:color="auto"/>
        <w:bottom w:val="none" w:sz="0" w:space="0" w:color="auto"/>
        <w:right w:val="none" w:sz="0" w:space="0" w:color="auto"/>
      </w:divBdr>
    </w:div>
    <w:div w:id="276065184">
      <w:marLeft w:val="0"/>
      <w:marRight w:val="0"/>
      <w:marTop w:val="120"/>
      <w:marBottom w:val="0"/>
      <w:divBdr>
        <w:top w:val="none" w:sz="0" w:space="0" w:color="auto"/>
        <w:left w:val="none" w:sz="0" w:space="0" w:color="auto"/>
        <w:bottom w:val="none" w:sz="0" w:space="0" w:color="auto"/>
        <w:right w:val="none" w:sz="0" w:space="0" w:color="auto"/>
      </w:divBdr>
    </w:div>
    <w:div w:id="276177139">
      <w:marLeft w:val="0"/>
      <w:marRight w:val="0"/>
      <w:marTop w:val="120"/>
      <w:marBottom w:val="0"/>
      <w:divBdr>
        <w:top w:val="none" w:sz="0" w:space="0" w:color="auto"/>
        <w:left w:val="none" w:sz="0" w:space="0" w:color="auto"/>
        <w:bottom w:val="none" w:sz="0" w:space="0" w:color="auto"/>
        <w:right w:val="none" w:sz="0" w:space="0" w:color="auto"/>
      </w:divBdr>
    </w:div>
    <w:div w:id="278225913">
      <w:marLeft w:val="0"/>
      <w:marRight w:val="0"/>
      <w:marTop w:val="120"/>
      <w:marBottom w:val="0"/>
      <w:divBdr>
        <w:top w:val="none" w:sz="0" w:space="0" w:color="auto"/>
        <w:left w:val="none" w:sz="0" w:space="0" w:color="auto"/>
        <w:bottom w:val="none" w:sz="0" w:space="0" w:color="auto"/>
        <w:right w:val="none" w:sz="0" w:space="0" w:color="auto"/>
      </w:divBdr>
    </w:div>
    <w:div w:id="280459770">
      <w:marLeft w:val="0"/>
      <w:marRight w:val="0"/>
      <w:marTop w:val="0"/>
      <w:marBottom w:val="0"/>
      <w:divBdr>
        <w:top w:val="none" w:sz="0" w:space="0" w:color="auto"/>
        <w:left w:val="none" w:sz="0" w:space="0" w:color="auto"/>
        <w:bottom w:val="none" w:sz="0" w:space="0" w:color="auto"/>
        <w:right w:val="none" w:sz="0" w:space="0" w:color="auto"/>
      </w:divBdr>
    </w:div>
    <w:div w:id="282347496">
      <w:marLeft w:val="0"/>
      <w:marRight w:val="0"/>
      <w:marTop w:val="120"/>
      <w:marBottom w:val="0"/>
      <w:divBdr>
        <w:top w:val="none" w:sz="0" w:space="0" w:color="auto"/>
        <w:left w:val="none" w:sz="0" w:space="0" w:color="auto"/>
        <w:bottom w:val="none" w:sz="0" w:space="0" w:color="auto"/>
        <w:right w:val="none" w:sz="0" w:space="0" w:color="auto"/>
      </w:divBdr>
    </w:div>
    <w:div w:id="284772799">
      <w:marLeft w:val="0"/>
      <w:marRight w:val="0"/>
      <w:marTop w:val="0"/>
      <w:marBottom w:val="0"/>
      <w:divBdr>
        <w:top w:val="none" w:sz="0" w:space="0" w:color="auto"/>
        <w:left w:val="none" w:sz="0" w:space="0" w:color="auto"/>
        <w:bottom w:val="none" w:sz="0" w:space="0" w:color="auto"/>
        <w:right w:val="none" w:sz="0" w:space="0" w:color="auto"/>
      </w:divBdr>
    </w:div>
    <w:div w:id="288055379">
      <w:marLeft w:val="0"/>
      <w:marRight w:val="0"/>
      <w:marTop w:val="120"/>
      <w:marBottom w:val="0"/>
      <w:divBdr>
        <w:top w:val="none" w:sz="0" w:space="0" w:color="auto"/>
        <w:left w:val="none" w:sz="0" w:space="0" w:color="auto"/>
        <w:bottom w:val="none" w:sz="0" w:space="0" w:color="auto"/>
        <w:right w:val="none" w:sz="0" w:space="0" w:color="auto"/>
      </w:divBdr>
    </w:div>
    <w:div w:id="288165055">
      <w:marLeft w:val="0"/>
      <w:marRight w:val="0"/>
      <w:marTop w:val="120"/>
      <w:marBottom w:val="0"/>
      <w:divBdr>
        <w:top w:val="none" w:sz="0" w:space="0" w:color="auto"/>
        <w:left w:val="none" w:sz="0" w:space="0" w:color="auto"/>
        <w:bottom w:val="none" w:sz="0" w:space="0" w:color="auto"/>
        <w:right w:val="none" w:sz="0" w:space="0" w:color="auto"/>
      </w:divBdr>
    </w:div>
    <w:div w:id="288627453">
      <w:marLeft w:val="0"/>
      <w:marRight w:val="0"/>
      <w:marTop w:val="120"/>
      <w:marBottom w:val="0"/>
      <w:divBdr>
        <w:top w:val="none" w:sz="0" w:space="0" w:color="auto"/>
        <w:left w:val="none" w:sz="0" w:space="0" w:color="auto"/>
        <w:bottom w:val="none" w:sz="0" w:space="0" w:color="auto"/>
        <w:right w:val="none" w:sz="0" w:space="0" w:color="auto"/>
      </w:divBdr>
    </w:div>
    <w:div w:id="289746112">
      <w:marLeft w:val="0"/>
      <w:marRight w:val="0"/>
      <w:marTop w:val="120"/>
      <w:marBottom w:val="0"/>
      <w:divBdr>
        <w:top w:val="none" w:sz="0" w:space="0" w:color="auto"/>
        <w:left w:val="none" w:sz="0" w:space="0" w:color="auto"/>
        <w:bottom w:val="none" w:sz="0" w:space="0" w:color="auto"/>
        <w:right w:val="none" w:sz="0" w:space="0" w:color="auto"/>
      </w:divBdr>
    </w:div>
    <w:div w:id="289822414">
      <w:marLeft w:val="0"/>
      <w:marRight w:val="0"/>
      <w:marTop w:val="180"/>
      <w:marBottom w:val="0"/>
      <w:divBdr>
        <w:top w:val="none" w:sz="0" w:space="0" w:color="auto"/>
        <w:left w:val="none" w:sz="0" w:space="0" w:color="auto"/>
        <w:bottom w:val="none" w:sz="0" w:space="0" w:color="auto"/>
        <w:right w:val="none" w:sz="0" w:space="0" w:color="auto"/>
      </w:divBdr>
    </w:div>
    <w:div w:id="290089562">
      <w:marLeft w:val="0"/>
      <w:marRight w:val="0"/>
      <w:marTop w:val="120"/>
      <w:marBottom w:val="0"/>
      <w:divBdr>
        <w:top w:val="none" w:sz="0" w:space="0" w:color="auto"/>
        <w:left w:val="none" w:sz="0" w:space="0" w:color="auto"/>
        <w:bottom w:val="none" w:sz="0" w:space="0" w:color="auto"/>
        <w:right w:val="none" w:sz="0" w:space="0" w:color="auto"/>
      </w:divBdr>
    </w:div>
    <w:div w:id="292060186">
      <w:marLeft w:val="0"/>
      <w:marRight w:val="0"/>
      <w:marTop w:val="120"/>
      <w:marBottom w:val="0"/>
      <w:divBdr>
        <w:top w:val="none" w:sz="0" w:space="0" w:color="auto"/>
        <w:left w:val="none" w:sz="0" w:space="0" w:color="auto"/>
        <w:bottom w:val="none" w:sz="0" w:space="0" w:color="auto"/>
        <w:right w:val="none" w:sz="0" w:space="0" w:color="auto"/>
      </w:divBdr>
    </w:div>
    <w:div w:id="292368784">
      <w:marLeft w:val="0"/>
      <w:marRight w:val="0"/>
      <w:marTop w:val="120"/>
      <w:marBottom w:val="0"/>
      <w:divBdr>
        <w:top w:val="none" w:sz="0" w:space="0" w:color="auto"/>
        <w:left w:val="none" w:sz="0" w:space="0" w:color="auto"/>
        <w:bottom w:val="none" w:sz="0" w:space="0" w:color="auto"/>
        <w:right w:val="none" w:sz="0" w:space="0" w:color="auto"/>
      </w:divBdr>
    </w:div>
    <w:div w:id="292758040">
      <w:marLeft w:val="0"/>
      <w:marRight w:val="0"/>
      <w:marTop w:val="180"/>
      <w:marBottom w:val="0"/>
      <w:divBdr>
        <w:top w:val="none" w:sz="0" w:space="0" w:color="auto"/>
        <w:left w:val="none" w:sz="0" w:space="0" w:color="auto"/>
        <w:bottom w:val="none" w:sz="0" w:space="0" w:color="auto"/>
        <w:right w:val="none" w:sz="0" w:space="0" w:color="auto"/>
      </w:divBdr>
    </w:div>
    <w:div w:id="293215136">
      <w:marLeft w:val="0"/>
      <w:marRight w:val="0"/>
      <w:marTop w:val="120"/>
      <w:marBottom w:val="0"/>
      <w:divBdr>
        <w:top w:val="none" w:sz="0" w:space="0" w:color="auto"/>
        <w:left w:val="none" w:sz="0" w:space="0" w:color="auto"/>
        <w:bottom w:val="none" w:sz="0" w:space="0" w:color="auto"/>
        <w:right w:val="none" w:sz="0" w:space="0" w:color="auto"/>
      </w:divBdr>
    </w:div>
    <w:div w:id="294022278">
      <w:marLeft w:val="0"/>
      <w:marRight w:val="0"/>
      <w:marTop w:val="0"/>
      <w:marBottom w:val="0"/>
      <w:divBdr>
        <w:top w:val="none" w:sz="0" w:space="0" w:color="auto"/>
        <w:left w:val="none" w:sz="0" w:space="0" w:color="auto"/>
        <w:bottom w:val="none" w:sz="0" w:space="0" w:color="auto"/>
        <w:right w:val="none" w:sz="0" w:space="0" w:color="auto"/>
      </w:divBdr>
    </w:div>
    <w:div w:id="294337661">
      <w:marLeft w:val="0"/>
      <w:marRight w:val="0"/>
      <w:marTop w:val="0"/>
      <w:marBottom w:val="0"/>
      <w:divBdr>
        <w:top w:val="none" w:sz="0" w:space="0" w:color="auto"/>
        <w:left w:val="none" w:sz="0" w:space="0" w:color="auto"/>
        <w:bottom w:val="none" w:sz="0" w:space="0" w:color="auto"/>
        <w:right w:val="none" w:sz="0" w:space="0" w:color="auto"/>
      </w:divBdr>
    </w:div>
    <w:div w:id="294718749">
      <w:marLeft w:val="0"/>
      <w:marRight w:val="0"/>
      <w:marTop w:val="120"/>
      <w:marBottom w:val="120"/>
      <w:divBdr>
        <w:top w:val="none" w:sz="0" w:space="0" w:color="auto"/>
        <w:left w:val="none" w:sz="0" w:space="0" w:color="auto"/>
        <w:bottom w:val="none" w:sz="0" w:space="0" w:color="auto"/>
        <w:right w:val="none" w:sz="0" w:space="0" w:color="auto"/>
      </w:divBdr>
    </w:div>
    <w:div w:id="296880314">
      <w:marLeft w:val="0"/>
      <w:marRight w:val="0"/>
      <w:marTop w:val="120"/>
      <w:marBottom w:val="0"/>
      <w:divBdr>
        <w:top w:val="none" w:sz="0" w:space="0" w:color="auto"/>
        <w:left w:val="none" w:sz="0" w:space="0" w:color="auto"/>
        <w:bottom w:val="none" w:sz="0" w:space="0" w:color="auto"/>
        <w:right w:val="none" w:sz="0" w:space="0" w:color="auto"/>
      </w:divBdr>
    </w:div>
    <w:div w:id="297342294">
      <w:marLeft w:val="0"/>
      <w:marRight w:val="0"/>
      <w:marTop w:val="120"/>
      <w:marBottom w:val="0"/>
      <w:divBdr>
        <w:top w:val="none" w:sz="0" w:space="0" w:color="auto"/>
        <w:left w:val="none" w:sz="0" w:space="0" w:color="auto"/>
        <w:bottom w:val="none" w:sz="0" w:space="0" w:color="auto"/>
        <w:right w:val="none" w:sz="0" w:space="0" w:color="auto"/>
      </w:divBdr>
    </w:div>
    <w:div w:id="297807177">
      <w:marLeft w:val="0"/>
      <w:marRight w:val="0"/>
      <w:marTop w:val="120"/>
      <w:marBottom w:val="0"/>
      <w:divBdr>
        <w:top w:val="none" w:sz="0" w:space="0" w:color="auto"/>
        <w:left w:val="none" w:sz="0" w:space="0" w:color="auto"/>
        <w:bottom w:val="none" w:sz="0" w:space="0" w:color="auto"/>
        <w:right w:val="none" w:sz="0" w:space="0" w:color="auto"/>
      </w:divBdr>
    </w:div>
    <w:div w:id="297997728">
      <w:marLeft w:val="0"/>
      <w:marRight w:val="0"/>
      <w:marTop w:val="120"/>
      <w:marBottom w:val="0"/>
      <w:divBdr>
        <w:top w:val="none" w:sz="0" w:space="0" w:color="auto"/>
        <w:left w:val="none" w:sz="0" w:space="0" w:color="auto"/>
        <w:bottom w:val="none" w:sz="0" w:space="0" w:color="auto"/>
        <w:right w:val="none" w:sz="0" w:space="0" w:color="auto"/>
      </w:divBdr>
    </w:div>
    <w:div w:id="298076625">
      <w:marLeft w:val="0"/>
      <w:marRight w:val="0"/>
      <w:marTop w:val="120"/>
      <w:marBottom w:val="0"/>
      <w:divBdr>
        <w:top w:val="none" w:sz="0" w:space="0" w:color="auto"/>
        <w:left w:val="none" w:sz="0" w:space="0" w:color="auto"/>
        <w:bottom w:val="none" w:sz="0" w:space="0" w:color="auto"/>
        <w:right w:val="none" w:sz="0" w:space="0" w:color="auto"/>
      </w:divBdr>
    </w:div>
    <w:div w:id="299501717">
      <w:marLeft w:val="0"/>
      <w:marRight w:val="0"/>
      <w:marTop w:val="120"/>
      <w:marBottom w:val="0"/>
      <w:divBdr>
        <w:top w:val="none" w:sz="0" w:space="0" w:color="auto"/>
        <w:left w:val="none" w:sz="0" w:space="0" w:color="auto"/>
        <w:bottom w:val="none" w:sz="0" w:space="0" w:color="auto"/>
        <w:right w:val="none" w:sz="0" w:space="0" w:color="auto"/>
      </w:divBdr>
    </w:div>
    <w:div w:id="299651698">
      <w:marLeft w:val="0"/>
      <w:marRight w:val="0"/>
      <w:marTop w:val="120"/>
      <w:marBottom w:val="0"/>
      <w:divBdr>
        <w:top w:val="none" w:sz="0" w:space="0" w:color="auto"/>
        <w:left w:val="none" w:sz="0" w:space="0" w:color="auto"/>
        <w:bottom w:val="none" w:sz="0" w:space="0" w:color="auto"/>
        <w:right w:val="none" w:sz="0" w:space="0" w:color="auto"/>
      </w:divBdr>
    </w:div>
    <w:div w:id="300158572">
      <w:marLeft w:val="0"/>
      <w:marRight w:val="0"/>
      <w:marTop w:val="120"/>
      <w:marBottom w:val="0"/>
      <w:divBdr>
        <w:top w:val="none" w:sz="0" w:space="0" w:color="auto"/>
        <w:left w:val="none" w:sz="0" w:space="0" w:color="auto"/>
        <w:bottom w:val="none" w:sz="0" w:space="0" w:color="auto"/>
        <w:right w:val="none" w:sz="0" w:space="0" w:color="auto"/>
      </w:divBdr>
    </w:div>
    <w:div w:id="301424343">
      <w:marLeft w:val="0"/>
      <w:marRight w:val="0"/>
      <w:marTop w:val="120"/>
      <w:marBottom w:val="0"/>
      <w:divBdr>
        <w:top w:val="none" w:sz="0" w:space="0" w:color="auto"/>
        <w:left w:val="none" w:sz="0" w:space="0" w:color="auto"/>
        <w:bottom w:val="none" w:sz="0" w:space="0" w:color="auto"/>
        <w:right w:val="none" w:sz="0" w:space="0" w:color="auto"/>
      </w:divBdr>
    </w:div>
    <w:div w:id="302468260">
      <w:marLeft w:val="0"/>
      <w:marRight w:val="0"/>
      <w:marTop w:val="0"/>
      <w:marBottom w:val="120"/>
      <w:divBdr>
        <w:top w:val="none" w:sz="0" w:space="0" w:color="auto"/>
        <w:left w:val="none" w:sz="0" w:space="0" w:color="auto"/>
        <w:bottom w:val="none" w:sz="0" w:space="0" w:color="auto"/>
        <w:right w:val="none" w:sz="0" w:space="0" w:color="auto"/>
      </w:divBdr>
    </w:div>
    <w:div w:id="303436269">
      <w:marLeft w:val="0"/>
      <w:marRight w:val="0"/>
      <w:marTop w:val="0"/>
      <w:marBottom w:val="0"/>
      <w:divBdr>
        <w:top w:val="none" w:sz="0" w:space="0" w:color="auto"/>
        <w:left w:val="none" w:sz="0" w:space="0" w:color="auto"/>
        <w:bottom w:val="none" w:sz="0" w:space="0" w:color="auto"/>
        <w:right w:val="none" w:sz="0" w:space="0" w:color="auto"/>
      </w:divBdr>
    </w:div>
    <w:div w:id="303776965">
      <w:marLeft w:val="0"/>
      <w:marRight w:val="0"/>
      <w:marTop w:val="0"/>
      <w:marBottom w:val="0"/>
      <w:divBdr>
        <w:top w:val="none" w:sz="0" w:space="0" w:color="auto"/>
        <w:left w:val="none" w:sz="0" w:space="0" w:color="auto"/>
        <w:bottom w:val="none" w:sz="0" w:space="0" w:color="auto"/>
        <w:right w:val="none" w:sz="0" w:space="0" w:color="auto"/>
      </w:divBdr>
    </w:div>
    <w:div w:id="304242362">
      <w:marLeft w:val="0"/>
      <w:marRight w:val="0"/>
      <w:marTop w:val="0"/>
      <w:marBottom w:val="60"/>
      <w:divBdr>
        <w:top w:val="none" w:sz="0" w:space="0" w:color="auto"/>
        <w:left w:val="none" w:sz="0" w:space="0" w:color="auto"/>
        <w:bottom w:val="none" w:sz="0" w:space="0" w:color="auto"/>
        <w:right w:val="none" w:sz="0" w:space="0" w:color="auto"/>
      </w:divBdr>
    </w:div>
    <w:div w:id="304548712">
      <w:marLeft w:val="0"/>
      <w:marRight w:val="0"/>
      <w:marTop w:val="0"/>
      <w:marBottom w:val="60"/>
      <w:divBdr>
        <w:top w:val="none" w:sz="0" w:space="0" w:color="auto"/>
        <w:left w:val="none" w:sz="0" w:space="0" w:color="auto"/>
        <w:bottom w:val="none" w:sz="0" w:space="0" w:color="auto"/>
        <w:right w:val="none" w:sz="0" w:space="0" w:color="auto"/>
      </w:divBdr>
    </w:div>
    <w:div w:id="305083897">
      <w:marLeft w:val="0"/>
      <w:marRight w:val="0"/>
      <w:marTop w:val="120"/>
      <w:marBottom w:val="0"/>
      <w:divBdr>
        <w:top w:val="none" w:sz="0" w:space="0" w:color="auto"/>
        <w:left w:val="none" w:sz="0" w:space="0" w:color="auto"/>
        <w:bottom w:val="none" w:sz="0" w:space="0" w:color="auto"/>
        <w:right w:val="none" w:sz="0" w:space="0" w:color="auto"/>
      </w:divBdr>
    </w:div>
    <w:div w:id="305163807">
      <w:marLeft w:val="0"/>
      <w:marRight w:val="0"/>
      <w:marTop w:val="0"/>
      <w:marBottom w:val="120"/>
      <w:divBdr>
        <w:top w:val="none" w:sz="0" w:space="0" w:color="auto"/>
        <w:left w:val="none" w:sz="0" w:space="0" w:color="auto"/>
        <w:bottom w:val="none" w:sz="0" w:space="0" w:color="auto"/>
        <w:right w:val="none" w:sz="0" w:space="0" w:color="auto"/>
      </w:divBdr>
    </w:div>
    <w:div w:id="305858788">
      <w:marLeft w:val="0"/>
      <w:marRight w:val="0"/>
      <w:marTop w:val="120"/>
      <w:marBottom w:val="0"/>
      <w:divBdr>
        <w:top w:val="none" w:sz="0" w:space="0" w:color="auto"/>
        <w:left w:val="none" w:sz="0" w:space="0" w:color="auto"/>
        <w:bottom w:val="none" w:sz="0" w:space="0" w:color="auto"/>
        <w:right w:val="none" w:sz="0" w:space="0" w:color="auto"/>
      </w:divBdr>
    </w:div>
    <w:div w:id="309092664">
      <w:marLeft w:val="0"/>
      <w:marRight w:val="0"/>
      <w:marTop w:val="120"/>
      <w:marBottom w:val="0"/>
      <w:divBdr>
        <w:top w:val="none" w:sz="0" w:space="0" w:color="auto"/>
        <w:left w:val="none" w:sz="0" w:space="0" w:color="auto"/>
        <w:bottom w:val="none" w:sz="0" w:space="0" w:color="auto"/>
        <w:right w:val="none" w:sz="0" w:space="0" w:color="auto"/>
      </w:divBdr>
    </w:div>
    <w:div w:id="314649049">
      <w:marLeft w:val="0"/>
      <w:marRight w:val="0"/>
      <w:marTop w:val="120"/>
      <w:marBottom w:val="0"/>
      <w:divBdr>
        <w:top w:val="none" w:sz="0" w:space="0" w:color="auto"/>
        <w:left w:val="none" w:sz="0" w:space="0" w:color="auto"/>
        <w:bottom w:val="none" w:sz="0" w:space="0" w:color="auto"/>
        <w:right w:val="none" w:sz="0" w:space="0" w:color="auto"/>
      </w:divBdr>
    </w:div>
    <w:div w:id="315301911">
      <w:marLeft w:val="0"/>
      <w:marRight w:val="0"/>
      <w:marTop w:val="0"/>
      <w:marBottom w:val="0"/>
      <w:divBdr>
        <w:top w:val="none" w:sz="0" w:space="0" w:color="auto"/>
        <w:left w:val="none" w:sz="0" w:space="0" w:color="auto"/>
        <w:bottom w:val="none" w:sz="0" w:space="0" w:color="auto"/>
        <w:right w:val="none" w:sz="0" w:space="0" w:color="auto"/>
      </w:divBdr>
      <w:divsChild>
        <w:div w:id="944650414">
          <w:marLeft w:val="0"/>
          <w:marRight w:val="0"/>
          <w:marTop w:val="0"/>
          <w:marBottom w:val="0"/>
          <w:divBdr>
            <w:top w:val="none" w:sz="0" w:space="0" w:color="auto"/>
            <w:left w:val="none" w:sz="0" w:space="0" w:color="auto"/>
            <w:bottom w:val="none" w:sz="0" w:space="0" w:color="auto"/>
            <w:right w:val="none" w:sz="0" w:space="0" w:color="auto"/>
          </w:divBdr>
        </w:div>
      </w:divsChild>
    </w:div>
    <w:div w:id="318382621">
      <w:marLeft w:val="0"/>
      <w:marRight w:val="0"/>
      <w:marTop w:val="200"/>
      <w:marBottom w:val="0"/>
      <w:divBdr>
        <w:top w:val="none" w:sz="0" w:space="0" w:color="auto"/>
        <w:left w:val="none" w:sz="0" w:space="0" w:color="auto"/>
        <w:bottom w:val="none" w:sz="0" w:space="0" w:color="auto"/>
        <w:right w:val="none" w:sz="0" w:space="0" w:color="auto"/>
      </w:divBdr>
    </w:div>
    <w:div w:id="318850255">
      <w:marLeft w:val="0"/>
      <w:marRight w:val="0"/>
      <w:marTop w:val="120"/>
      <w:marBottom w:val="0"/>
      <w:divBdr>
        <w:top w:val="none" w:sz="0" w:space="0" w:color="auto"/>
        <w:left w:val="none" w:sz="0" w:space="0" w:color="auto"/>
        <w:bottom w:val="none" w:sz="0" w:space="0" w:color="auto"/>
        <w:right w:val="none" w:sz="0" w:space="0" w:color="auto"/>
      </w:divBdr>
    </w:div>
    <w:div w:id="319580903">
      <w:marLeft w:val="0"/>
      <w:marRight w:val="0"/>
      <w:marTop w:val="180"/>
      <w:marBottom w:val="0"/>
      <w:divBdr>
        <w:top w:val="none" w:sz="0" w:space="0" w:color="auto"/>
        <w:left w:val="none" w:sz="0" w:space="0" w:color="auto"/>
        <w:bottom w:val="none" w:sz="0" w:space="0" w:color="auto"/>
        <w:right w:val="none" w:sz="0" w:space="0" w:color="auto"/>
      </w:divBdr>
    </w:div>
    <w:div w:id="319887481">
      <w:marLeft w:val="0"/>
      <w:marRight w:val="0"/>
      <w:marTop w:val="120"/>
      <w:marBottom w:val="0"/>
      <w:divBdr>
        <w:top w:val="none" w:sz="0" w:space="0" w:color="auto"/>
        <w:left w:val="none" w:sz="0" w:space="0" w:color="auto"/>
        <w:bottom w:val="none" w:sz="0" w:space="0" w:color="auto"/>
        <w:right w:val="none" w:sz="0" w:space="0" w:color="auto"/>
      </w:divBdr>
    </w:div>
    <w:div w:id="321665833">
      <w:marLeft w:val="0"/>
      <w:marRight w:val="0"/>
      <w:marTop w:val="0"/>
      <w:marBottom w:val="0"/>
      <w:divBdr>
        <w:top w:val="none" w:sz="0" w:space="0" w:color="auto"/>
        <w:left w:val="none" w:sz="0" w:space="0" w:color="auto"/>
        <w:bottom w:val="none" w:sz="0" w:space="0" w:color="auto"/>
        <w:right w:val="none" w:sz="0" w:space="0" w:color="auto"/>
      </w:divBdr>
    </w:div>
    <w:div w:id="322124726">
      <w:marLeft w:val="0"/>
      <w:marRight w:val="0"/>
      <w:marTop w:val="0"/>
      <w:marBottom w:val="0"/>
      <w:divBdr>
        <w:top w:val="none" w:sz="0" w:space="0" w:color="auto"/>
        <w:left w:val="none" w:sz="0" w:space="0" w:color="auto"/>
        <w:bottom w:val="none" w:sz="0" w:space="0" w:color="auto"/>
        <w:right w:val="none" w:sz="0" w:space="0" w:color="auto"/>
      </w:divBdr>
    </w:div>
    <w:div w:id="322439176">
      <w:marLeft w:val="0"/>
      <w:marRight w:val="0"/>
      <w:marTop w:val="120"/>
      <w:marBottom w:val="0"/>
      <w:divBdr>
        <w:top w:val="none" w:sz="0" w:space="0" w:color="auto"/>
        <w:left w:val="none" w:sz="0" w:space="0" w:color="auto"/>
        <w:bottom w:val="none" w:sz="0" w:space="0" w:color="auto"/>
        <w:right w:val="none" w:sz="0" w:space="0" w:color="auto"/>
      </w:divBdr>
    </w:div>
    <w:div w:id="322977676">
      <w:marLeft w:val="0"/>
      <w:marRight w:val="0"/>
      <w:marTop w:val="120"/>
      <w:marBottom w:val="0"/>
      <w:divBdr>
        <w:top w:val="none" w:sz="0" w:space="0" w:color="auto"/>
        <w:left w:val="none" w:sz="0" w:space="0" w:color="auto"/>
        <w:bottom w:val="none" w:sz="0" w:space="0" w:color="auto"/>
        <w:right w:val="none" w:sz="0" w:space="0" w:color="auto"/>
      </w:divBdr>
    </w:div>
    <w:div w:id="324556126">
      <w:marLeft w:val="0"/>
      <w:marRight w:val="0"/>
      <w:marTop w:val="0"/>
      <w:marBottom w:val="0"/>
      <w:divBdr>
        <w:top w:val="none" w:sz="0" w:space="0" w:color="auto"/>
        <w:left w:val="none" w:sz="0" w:space="0" w:color="auto"/>
        <w:bottom w:val="none" w:sz="0" w:space="0" w:color="auto"/>
        <w:right w:val="none" w:sz="0" w:space="0" w:color="auto"/>
      </w:divBdr>
      <w:divsChild>
        <w:div w:id="1498155046">
          <w:marLeft w:val="0"/>
          <w:marRight w:val="0"/>
          <w:marTop w:val="0"/>
          <w:marBottom w:val="0"/>
          <w:divBdr>
            <w:top w:val="none" w:sz="0" w:space="0" w:color="auto"/>
            <w:left w:val="none" w:sz="0" w:space="0" w:color="auto"/>
            <w:bottom w:val="none" w:sz="0" w:space="0" w:color="auto"/>
            <w:right w:val="none" w:sz="0" w:space="0" w:color="auto"/>
          </w:divBdr>
        </w:div>
      </w:divsChild>
    </w:div>
    <w:div w:id="325481285">
      <w:marLeft w:val="0"/>
      <w:marRight w:val="0"/>
      <w:marTop w:val="120"/>
      <w:marBottom w:val="0"/>
      <w:divBdr>
        <w:top w:val="none" w:sz="0" w:space="0" w:color="auto"/>
        <w:left w:val="none" w:sz="0" w:space="0" w:color="auto"/>
        <w:bottom w:val="none" w:sz="0" w:space="0" w:color="auto"/>
        <w:right w:val="none" w:sz="0" w:space="0" w:color="auto"/>
      </w:divBdr>
    </w:div>
    <w:div w:id="327634785">
      <w:marLeft w:val="0"/>
      <w:marRight w:val="0"/>
      <w:marTop w:val="120"/>
      <w:marBottom w:val="0"/>
      <w:divBdr>
        <w:top w:val="none" w:sz="0" w:space="0" w:color="auto"/>
        <w:left w:val="none" w:sz="0" w:space="0" w:color="auto"/>
        <w:bottom w:val="none" w:sz="0" w:space="0" w:color="auto"/>
        <w:right w:val="none" w:sz="0" w:space="0" w:color="auto"/>
      </w:divBdr>
    </w:div>
    <w:div w:id="327752768">
      <w:marLeft w:val="0"/>
      <w:marRight w:val="0"/>
      <w:marTop w:val="120"/>
      <w:marBottom w:val="0"/>
      <w:divBdr>
        <w:top w:val="none" w:sz="0" w:space="0" w:color="auto"/>
        <w:left w:val="none" w:sz="0" w:space="0" w:color="auto"/>
        <w:bottom w:val="none" w:sz="0" w:space="0" w:color="auto"/>
        <w:right w:val="none" w:sz="0" w:space="0" w:color="auto"/>
      </w:divBdr>
    </w:div>
    <w:div w:id="328602851">
      <w:marLeft w:val="0"/>
      <w:marRight w:val="0"/>
      <w:marTop w:val="120"/>
      <w:marBottom w:val="0"/>
      <w:divBdr>
        <w:top w:val="none" w:sz="0" w:space="0" w:color="auto"/>
        <w:left w:val="none" w:sz="0" w:space="0" w:color="auto"/>
        <w:bottom w:val="none" w:sz="0" w:space="0" w:color="auto"/>
        <w:right w:val="none" w:sz="0" w:space="0" w:color="auto"/>
      </w:divBdr>
    </w:div>
    <w:div w:id="329217216">
      <w:marLeft w:val="0"/>
      <w:marRight w:val="0"/>
      <w:marTop w:val="100"/>
      <w:marBottom w:val="0"/>
      <w:divBdr>
        <w:top w:val="none" w:sz="0" w:space="0" w:color="auto"/>
        <w:left w:val="none" w:sz="0" w:space="0" w:color="auto"/>
        <w:bottom w:val="none" w:sz="0" w:space="0" w:color="auto"/>
        <w:right w:val="none" w:sz="0" w:space="0" w:color="auto"/>
      </w:divBdr>
    </w:div>
    <w:div w:id="331373308">
      <w:marLeft w:val="0"/>
      <w:marRight w:val="0"/>
      <w:marTop w:val="120"/>
      <w:marBottom w:val="0"/>
      <w:divBdr>
        <w:top w:val="none" w:sz="0" w:space="0" w:color="auto"/>
        <w:left w:val="none" w:sz="0" w:space="0" w:color="auto"/>
        <w:bottom w:val="none" w:sz="0" w:space="0" w:color="auto"/>
        <w:right w:val="none" w:sz="0" w:space="0" w:color="auto"/>
      </w:divBdr>
    </w:div>
    <w:div w:id="331951248">
      <w:marLeft w:val="0"/>
      <w:marRight w:val="0"/>
      <w:marTop w:val="0"/>
      <w:marBottom w:val="0"/>
      <w:divBdr>
        <w:top w:val="none" w:sz="0" w:space="0" w:color="auto"/>
        <w:left w:val="none" w:sz="0" w:space="0" w:color="auto"/>
        <w:bottom w:val="none" w:sz="0" w:space="0" w:color="auto"/>
        <w:right w:val="none" w:sz="0" w:space="0" w:color="auto"/>
      </w:divBdr>
    </w:div>
    <w:div w:id="332269332">
      <w:marLeft w:val="0"/>
      <w:marRight w:val="0"/>
      <w:marTop w:val="120"/>
      <w:marBottom w:val="0"/>
      <w:divBdr>
        <w:top w:val="none" w:sz="0" w:space="0" w:color="auto"/>
        <w:left w:val="none" w:sz="0" w:space="0" w:color="auto"/>
        <w:bottom w:val="none" w:sz="0" w:space="0" w:color="auto"/>
        <w:right w:val="none" w:sz="0" w:space="0" w:color="auto"/>
      </w:divBdr>
    </w:div>
    <w:div w:id="333723478">
      <w:marLeft w:val="0"/>
      <w:marRight w:val="0"/>
      <w:marTop w:val="0"/>
      <w:marBottom w:val="0"/>
      <w:divBdr>
        <w:top w:val="none" w:sz="0" w:space="0" w:color="auto"/>
        <w:left w:val="none" w:sz="0" w:space="0" w:color="auto"/>
        <w:bottom w:val="none" w:sz="0" w:space="0" w:color="auto"/>
        <w:right w:val="none" w:sz="0" w:space="0" w:color="auto"/>
      </w:divBdr>
    </w:div>
    <w:div w:id="334266262">
      <w:marLeft w:val="0"/>
      <w:marRight w:val="0"/>
      <w:marTop w:val="120"/>
      <w:marBottom w:val="0"/>
      <w:divBdr>
        <w:top w:val="none" w:sz="0" w:space="0" w:color="auto"/>
        <w:left w:val="none" w:sz="0" w:space="0" w:color="auto"/>
        <w:bottom w:val="none" w:sz="0" w:space="0" w:color="auto"/>
        <w:right w:val="none" w:sz="0" w:space="0" w:color="auto"/>
      </w:divBdr>
    </w:div>
    <w:div w:id="338043578">
      <w:marLeft w:val="0"/>
      <w:marRight w:val="0"/>
      <w:marTop w:val="120"/>
      <w:marBottom w:val="0"/>
      <w:divBdr>
        <w:top w:val="none" w:sz="0" w:space="0" w:color="auto"/>
        <w:left w:val="none" w:sz="0" w:space="0" w:color="auto"/>
        <w:bottom w:val="none" w:sz="0" w:space="0" w:color="auto"/>
        <w:right w:val="none" w:sz="0" w:space="0" w:color="auto"/>
      </w:divBdr>
    </w:div>
    <w:div w:id="338628363">
      <w:marLeft w:val="0"/>
      <w:marRight w:val="0"/>
      <w:marTop w:val="0"/>
      <w:marBottom w:val="0"/>
      <w:divBdr>
        <w:top w:val="none" w:sz="0" w:space="0" w:color="auto"/>
        <w:left w:val="none" w:sz="0" w:space="0" w:color="auto"/>
        <w:bottom w:val="none" w:sz="0" w:space="0" w:color="auto"/>
        <w:right w:val="none" w:sz="0" w:space="0" w:color="auto"/>
      </w:divBdr>
      <w:divsChild>
        <w:div w:id="1502693999">
          <w:marLeft w:val="0"/>
          <w:marRight w:val="0"/>
          <w:marTop w:val="0"/>
          <w:marBottom w:val="0"/>
          <w:divBdr>
            <w:top w:val="none" w:sz="0" w:space="0" w:color="auto"/>
            <w:left w:val="none" w:sz="0" w:space="0" w:color="auto"/>
            <w:bottom w:val="none" w:sz="0" w:space="0" w:color="auto"/>
            <w:right w:val="none" w:sz="0" w:space="0" w:color="auto"/>
          </w:divBdr>
        </w:div>
      </w:divsChild>
    </w:div>
    <w:div w:id="339550412">
      <w:marLeft w:val="0"/>
      <w:marRight w:val="0"/>
      <w:marTop w:val="120"/>
      <w:marBottom w:val="0"/>
      <w:divBdr>
        <w:top w:val="none" w:sz="0" w:space="0" w:color="auto"/>
        <w:left w:val="none" w:sz="0" w:space="0" w:color="auto"/>
        <w:bottom w:val="none" w:sz="0" w:space="0" w:color="auto"/>
        <w:right w:val="none" w:sz="0" w:space="0" w:color="auto"/>
      </w:divBdr>
    </w:div>
    <w:div w:id="340475969">
      <w:marLeft w:val="0"/>
      <w:marRight w:val="0"/>
      <w:marTop w:val="120"/>
      <w:marBottom w:val="0"/>
      <w:divBdr>
        <w:top w:val="none" w:sz="0" w:space="0" w:color="auto"/>
        <w:left w:val="none" w:sz="0" w:space="0" w:color="auto"/>
        <w:bottom w:val="none" w:sz="0" w:space="0" w:color="auto"/>
        <w:right w:val="none" w:sz="0" w:space="0" w:color="auto"/>
      </w:divBdr>
    </w:div>
    <w:div w:id="342436677">
      <w:marLeft w:val="0"/>
      <w:marRight w:val="0"/>
      <w:marTop w:val="0"/>
      <w:marBottom w:val="0"/>
      <w:divBdr>
        <w:top w:val="none" w:sz="0" w:space="0" w:color="auto"/>
        <w:left w:val="none" w:sz="0" w:space="0" w:color="auto"/>
        <w:bottom w:val="none" w:sz="0" w:space="0" w:color="auto"/>
        <w:right w:val="none" w:sz="0" w:space="0" w:color="auto"/>
      </w:divBdr>
    </w:div>
    <w:div w:id="342711306">
      <w:marLeft w:val="0"/>
      <w:marRight w:val="0"/>
      <w:marTop w:val="100"/>
      <w:marBottom w:val="0"/>
      <w:divBdr>
        <w:top w:val="none" w:sz="0" w:space="0" w:color="auto"/>
        <w:left w:val="none" w:sz="0" w:space="0" w:color="auto"/>
        <w:bottom w:val="none" w:sz="0" w:space="0" w:color="auto"/>
        <w:right w:val="none" w:sz="0" w:space="0" w:color="auto"/>
      </w:divBdr>
    </w:div>
    <w:div w:id="342821590">
      <w:marLeft w:val="0"/>
      <w:marRight w:val="0"/>
      <w:marTop w:val="120"/>
      <w:marBottom w:val="0"/>
      <w:divBdr>
        <w:top w:val="none" w:sz="0" w:space="0" w:color="auto"/>
        <w:left w:val="none" w:sz="0" w:space="0" w:color="auto"/>
        <w:bottom w:val="none" w:sz="0" w:space="0" w:color="auto"/>
        <w:right w:val="none" w:sz="0" w:space="0" w:color="auto"/>
      </w:divBdr>
    </w:div>
    <w:div w:id="342830079">
      <w:marLeft w:val="0"/>
      <w:marRight w:val="0"/>
      <w:marTop w:val="0"/>
      <w:marBottom w:val="0"/>
      <w:divBdr>
        <w:top w:val="none" w:sz="0" w:space="0" w:color="auto"/>
        <w:left w:val="none" w:sz="0" w:space="0" w:color="auto"/>
        <w:bottom w:val="none" w:sz="0" w:space="0" w:color="auto"/>
        <w:right w:val="none" w:sz="0" w:space="0" w:color="auto"/>
      </w:divBdr>
    </w:div>
    <w:div w:id="344523843">
      <w:marLeft w:val="0"/>
      <w:marRight w:val="0"/>
      <w:marTop w:val="0"/>
      <w:marBottom w:val="0"/>
      <w:divBdr>
        <w:top w:val="none" w:sz="0" w:space="0" w:color="auto"/>
        <w:left w:val="none" w:sz="0" w:space="0" w:color="auto"/>
        <w:bottom w:val="none" w:sz="0" w:space="0" w:color="auto"/>
        <w:right w:val="none" w:sz="0" w:space="0" w:color="auto"/>
      </w:divBdr>
    </w:div>
    <w:div w:id="345451300">
      <w:marLeft w:val="0"/>
      <w:marRight w:val="0"/>
      <w:marTop w:val="0"/>
      <w:marBottom w:val="0"/>
      <w:divBdr>
        <w:top w:val="none" w:sz="0" w:space="0" w:color="auto"/>
        <w:left w:val="none" w:sz="0" w:space="0" w:color="auto"/>
        <w:bottom w:val="none" w:sz="0" w:space="0" w:color="auto"/>
        <w:right w:val="none" w:sz="0" w:space="0" w:color="auto"/>
      </w:divBdr>
    </w:div>
    <w:div w:id="346054952">
      <w:marLeft w:val="0"/>
      <w:marRight w:val="0"/>
      <w:marTop w:val="0"/>
      <w:marBottom w:val="0"/>
      <w:divBdr>
        <w:top w:val="none" w:sz="0" w:space="0" w:color="auto"/>
        <w:left w:val="none" w:sz="0" w:space="0" w:color="auto"/>
        <w:bottom w:val="none" w:sz="0" w:space="0" w:color="auto"/>
        <w:right w:val="none" w:sz="0" w:space="0" w:color="auto"/>
      </w:divBdr>
    </w:div>
    <w:div w:id="346836099">
      <w:marLeft w:val="0"/>
      <w:marRight w:val="0"/>
      <w:marTop w:val="120"/>
      <w:marBottom w:val="0"/>
      <w:divBdr>
        <w:top w:val="none" w:sz="0" w:space="0" w:color="auto"/>
        <w:left w:val="none" w:sz="0" w:space="0" w:color="auto"/>
        <w:bottom w:val="none" w:sz="0" w:space="0" w:color="auto"/>
        <w:right w:val="none" w:sz="0" w:space="0" w:color="auto"/>
      </w:divBdr>
    </w:div>
    <w:div w:id="347102862">
      <w:marLeft w:val="0"/>
      <w:marRight w:val="0"/>
      <w:marTop w:val="120"/>
      <w:marBottom w:val="0"/>
      <w:divBdr>
        <w:top w:val="none" w:sz="0" w:space="0" w:color="auto"/>
        <w:left w:val="none" w:sz="0" w:space="0" w:color="auto"/>
        <w:bottom w:val="none" w:sz="0" w:space="0" w:color="auto"/>
        <w:right w:val="none" w:sz="0" w:space="0" w:color="auto"/>
      </w:divBdr>
    </w:div>
    <w:div w:id="347214582">
      <w:marLeft w:val="0"/>
      <w:marRight w:val="0"/>
      <w:marTop w:val="120"/>
      <w:marBottom w:val="0"/>
      <w:divBdr>
        <w:top w:val="none" w:sz="0" w:space="0" w:color="auto"/>
        <w:left w:val="none" w:sz="0" w:space="0" w:color="auto"/>
        <w:bottom w:val="none" w:sz="0" w:space="0" w:color="auto"/>
        <w:right w:val="none" w:sz="0" w:space="0" w:color="auto"/>
      </w:divBdr>
    </w:div>
    <w:div w:id="347610620">
      <w:marLeft w:val="0"/>
      <w:marRight w:val="0"/>
      <w:marTop w:val="120"/>
      <w:marBottom w:val="0"/>
      <w:divBdr>
        <w:top w:val="none" w:sz="0" w:space="0" w:color="auto"/>
        <w:left w:val="none" w:sz="0" w:space="0" w:color="auto"/>
        <w:bottom w:val="none" w:sz="0" w:space="0" w:color="auto"/>
        <w:right w:val="none" w:sz="0" w:space="0" w:color="auto"/>
      </w:divBdr>
    </w:div>
    <w:div w:id="348336187">
      <w:marLeft w:val="0"/>
      <w:marRight w:val="0"/>
      <w:marTop w:val="120"/>
      <w:marBottom w:val="0"/>
      <w:divBdr>
        <w:top w:val="none" w:sz="0" w:space="0" w:color="auto"/>
        <w:left w:val="none" w:sz="0" w:space="0" w:color="auto"/>
        <w:bottom w:val="none" w:sz="0" w:space="0" w:color="auto"/>
        <w:right w:val="none" w:sz="0" w:space="0" w:color="auto"/>
      </w:divBdr>
    </w:div>
    <w:div w:id="350762718">
      <w:marLeft w:val="0"/>
      <w:marRight w:val="0"/>
      <w:marTop w:val="120"/>
      <w:marBottom w:val="0"/>
      <w:divBdr>
        <w:top w:val="none" w:sz="0" w:space="0" w:color="auto"/>
        <w:left w:val="none" w:sz="0" w:space="0" w:color="auto"/>
        <w:bottom w:val="none" w:sz="0" w:space="0" w:color="auto"/>
        <w:right w:val="none" w:sz="0" w:space="0" w:color="auto"/>
      </w:divBdr>
    </w:div>
    <w:div w:id="354235430">
      <w:marLeft w:val="0"/>
      <w:marRight w:val="0"/>
      <w:marTop w:val="0"/>
      <w:marBottom w:val="0"/>
      <w:divBdr>
        <w:top w:val="none" w:sz="0" w:space="0" w:color="auto"/>
        <w:left w:val="none" w:sz="0" w:space="0" w:color="auto"/>
        <w:bottom w:val="none" w:sz="0" w:space="0" w:color="auto"/>
        <w:right w:val="none" w:sz="0" w:space="0" w:color="auto"/>
      </w:divBdr>
      <w:divsChild>
        <w:div w:id="1287199967">
          <w:marLeft w:val="0"/>
          <w:marRight w:val="0"/>
          <w:marTop w:val="0"/>
          <w:marBottom w:val="0"/>
          <w:divBdr>
            <w:top w:val="none" w:sz="0" w:space="0" w:color="auto"/>
            <w:left w:val="none" w:sz="0" w:space="0" w:color="auto"/>
            <w:bottom w:val="none" w:sz="0" w:space="0" w:color="auto"/>
            <w:right w:val="none" w:sz="0" w:space="0" w:color="auto"/>
          </w:divBdr>
        </w:div>
      </w:divsChild>
    </w:div>
    <w:div w:id="354622682">
      <w:marLeft w:val="0"/>
      <w:marRight w:val="0"/>
      <w:marTop w:val="0"/>
      <w:marBottom w:val="120"/>
      <w:divBdr>
        <w:top w:val="none" w:sz="0" w:space="0" w:color="auto"/>
        <w:left w:val="none" w:sz="0" w:space="0" w:color="auto"/>
        <w:bottom w:val="none" w:sz="0" w:space="0" w:color="auto"/>
        <w:right w:val="none" w:sz="0" w:space="0" w:color="auto"/>
      </w:divBdr>
    </w:div>
    <w:div w:id="355467377">
      <w:marLeft w:val="0"/>
      <w:marRight w:val="0"/>
      <w:marTop w:val="120"/>
      <w:marBottom w:val="0"/>
      <w:divBdr>
        <w:top w:val="none" w:sz="0" w:space="0" w:color="auto"/>
        <w:left w:val="none" w:sz="0" w:space="0" w:color="auto"/>
        <w:bottom w:val="none" w:sz="0" w:space="0" w:color="auto"/>
        <w:right w:val="none" w:sz="0" w:space="0" w:color="auto"/>
      </w:divBdr>
    </w:div>
    <w:div w:id="355926352">
      <w:marLeft w:val="0"/>
      <w:marRight w:val="0"/>
      <w:marTop w:val="120"/>
      <w:marBottom w:val="0"/>
      <w:divBdr>
        <w:top w:val="none" w:sz="0" w:space="0" w:color="auto"/>
        <w:left w:val="none" w:sz="0" w:space="0" w:color="auto"/>
        <w:bottom w:val="none" w:sz="0" w:space="0" w:color="auto"/>
        <w:right w:val="none" w:sz="0" w:space="0" w:color="auto"/>
      </w:divBdr>
    </w:div>
    <w:div w:id="356929235">
      <w:marLeft w:val="0"/>
      <w:marRight w:val="0"/>
      <w:marTop w:val="120"/>
      <w:marBottom w:val="0"/>
      <w:divBdr>
        <w:top w:val="none" w:sz="0" w:space="0" w:color="auto"/>
        <w:left w:val="none" w:sz="0" w:space="0" w:color="auto"/>
        <w:bottom w:val="none" w:sz="0" w:space="0" w:color="auto"/>
        <w:right w:val="none" w:sz="0" w:space="0" w:color="auto"/>
      </w:divBdr>
    </w:div>
    <w:div w:id="357241215">
      <w:marLeft w:val="0"/>
      <w:marRight w:val="0"/>
      <w:marTop w:val="120"/>
      <w:marBottom w:val="0"/>
      <w:divBdr>
        <w:top w:val="none" w:sz="0" w:space="0" w:color="auto"/>
        <w:left w:val="none" w:sz="0" w:space="0" w:color="auto"/>
        <w:bottom w:val="none" w:sz="0" w:space="0" w:color="auto"/>
        <w:right w:val="none" w:sz="0" w:space="0" w:color="auto"/>
      </w:divBdr>
    </w:div>
    <w:div w:id="357975209">
      <w:marLeft w:val="0"/>
      <w:marRight w:val="0"/>
      <w:marTop w:val="120"/>
      <w:marBottom w:val="0"/>
      <w:divBdr>
        <w:top w:val="none" w:sz="0" w:space="0" w:color="auto"/>
        <w:left w:val="none" w:sz="0" w:space="0" w:color="auto"/>
        <w:bottom w:val="none" w:sz="0" w:space="0" w:color="auto"/>
        <w:right w:val="none" w:sz="0" w:space="0" w:color="auto"/>
      </w:divBdr>
    </w:div>
    <w:div w:id="359016809">
      <w:marLeft w:val="0"/>
      <w:marRight w:val="0"/>
      <w:marTop w:val="0"/>
      <w:marBottom w:val="0"/>
      <w:divBdr>
        <w:top w:val="none" w:sz="0" w:space="0" w:color="auto"/>
        <w:left w:val="none" w:sz="0" w:space="0" w:color="auto"/>
        <w:bottom w:val="none" w:sz="0" w:space="0" w:color="auto"/>
        <w:right w:val="none" w:sz="0" w:space="0" w:color="auto"/>
      </w:divBdr>
    </w:div>
    <w:div w:id="360059978">
      <w:marLeft w:val="0"/>
      <w:marRight w:val="0"/>
      <w:marTop w:val="0"/>
      <w:marBottom w:val="120"/>
      <w:divBdr>
        <w:top w:val="none" w:sz="0" w:space="0" w:color="auto"/>
        <w:left w:val="none" w:sz="0" w:space="0" w:color="auto"/>
        <w:bottom w:val="none" w:sz="0" w:space="0" w:color="auto"/>
        <w:right w:val="none" w:sz="0" w:space="0" w:color="auto"/>
      </w:divBdr>
      <w:divsChild>
        <w:div w:id="783618314">
          <w:marLeft w:val="0"/>
          <w:marRight w:val="0"/>
          <w:marTop w:val="0"/>
          <w:marBottom w:val="0"/>
          <w:divBdr>
            <w:top w:val="none" w:sz="0" w:space="0" w:color="auto"/>
            <w:left w:val="none" w:sz="0" w:space="0" w:color="auto"/>
            <w:bottom w:val="none" w:sz="0" w:space="0" w:color="auto"/>
            <w:right w:val="none" w:sz="0" w:space="0" w:color="auto"/>
          </w:divBdr>
        </w:div>
        <w:div w:id="719325959">
          <w:marLeft w:val="0"/>
          <w:marRight w:val="0"/>
          <w:marTop w:val="0"/>
          <w:marBottom w:val="0"/>
          <w:divBdr>
            <w:top w:val="none" w:sz="0" w:space="0" w:color="auto"/>
            <w:left w:val="none" w:sz="0" w:space="0" w:color="auto"/>
            <w:bottom w:val="none" w:sz="0" w:space="0" w:color="auto"/>
            <w:right w:val="none" w:sz="0" w:space="0" w:color="auto"/>
          </w:divBdr>
        </w:div>
        <w:div w:id="593781324">
          <w:marLeft w:val="0"/>
          <w:marRight w:val="0"/>
          <w:marTop w:val="0"/>
          <w:marBottom w:val="0"/>
          <w:divBdr>
            <w:top w:val="none" w:sz="0" w:space="0" w:color="auto"/>
            <w:left w:val="none" w:sz="0" w:space="0" w:color="auto"/>
            <w:bottom w:val="none" w:sz="0" w:space="0" w:color="auto"/>
            <w:right w:val="none" w:sz="0" w:space="0" w:color="auto"/>
          </w:divBdr>
        </w:div>
        <w:div w:id="515312110">
          <w:marLeft w:val="0"/>
          <w:marRight w:val="0"/>
          <w:marTop w:val="0"/>
          <w:marBottom w:val="0"/>
          <w:divBdr>
            <w:top w:val="none" w:sz="0" w:space="0" w:color="auto"/>
            <w:left w:val="none" w:sz="0" w:space="0" w:color="auto"/>
            <w:bottom w:val="none" w:sz="0" w:space="0" w:color="auto"/>
            <w:right w:val="none" w:sz="0" w:space="0" w:color="auto"/>
          </w:divBdr>
        </w:div>
        <w:div w:id="123237256">
          <w:marLeft w:val="0"/>
          <w:marRight w:val="0"/>
          <w:marTop w:val="0"/>
          <w:marBottom w:val="0"/>
          <w:divBdr>
            <w:top w:val="none" w:sz="0" w:space="0" w:color="auto"/>
            <w:left w:val="none" w:sz="0" w:space="0" w:color="auto"/>
            <w:bottom w:val="none" w:sz="0" w:space="0" w:color="auto"/>
            <w:right w:val="none" w:sz="0" w:space="0" w:color="auto"/>
          </w:divBdr>
        </w:div>
        <w:div w:id="1577205410">
          <w:marLeft w:val="0"/>
          <w:marRight w:val="0"/>
          <w:marTop w:val="0"/>
          <w:marBottom w:val="0"/>
          <w:divBdr>
            <w:top w:val="none" w:sz="0" w:space="0" w:color="auto"/>
            <w:left w:val="none" w:sz="0" w:space="0" w:color="auto"/>
            <w:bottom w:val="none" w:sz="0" w:space="0" w:color="auto"/>
            <w:right w:val="none" w:sz="0" w:space="0" w:color="auto"/>
          </w:divBdr>
        </w:div>
        <w:div w:id="1871607955">
          <w:marLeft w:val="0"/>
          <w:marRight w:val="0"/>
          <w:marTop w:val="0"/>
          <w:marBottom w:val="0"/>
          <w:divBdr>
            <w:top w:val="none" w:sz="0" w:space="0" w:color="auto"/>
            <w:left w:val="none" w:sz="0" w:space="0" w:color="auto"/>
            <w:bottom w:val="none" w:sz="0" w:space="0" w:color="auto"/>
            <w:right w:val="none" w:sz="0" w:space="0" w:color="auto"/>
          </w:divBdr>
        </w:div>
        <w:div w:id="1303314716">
          <w:marLeft w:val="0"/>
          <w:marRight w:val="0"/>
          <w:marTop w:val="0"/>
          <w:marBottom w:val="0"/>
          <w:divBdr>
            <w:top w:val="none" w:sz="0" w:space="0" w:color="auto"/>
            <w:left w:val="none" w:sz="0" w:space="0" w:color="auto"/>
            <w:bottom w:val="none" w:sz="0" w:space="0" w:color="auto"/>
            <w:right w:val="none" w:sz="0" w:space="0" w:color="auto"/>
          </w:divBdr>
        </w:div>
        <w:div w:id="690230973">
          <w:marLeft w:val="0"/>
          <w:marRight w:val="0"/>
          <w:marTop w:val="0"/>
          <w:marBottom w:val="0"/>
          <w:divBdr>
            <w:top w:val="none" w:sz="0" w:space="0" w:color="auto"/>
            <w:left w:val="none" w:sz="0" w:space="0" w:color="auto"/>
            <w:bottom w:val="none" w:sz="0" w:space="0" w:color="auto"/>
            <w:right w:val="none" w:sz="0" w:space="0" w:color="auto"/>
          </w:divBdr>
        </w:div>
        <w:div w:id="1392971017">
          <w:marLeft w:val="0"/>
          <w:marRight w:val="0"/>
          <w:marTop w:val="0"/>
          <w:marBottom w:val="0"/>
          <w:divBdr>
            <w:top w:val="none" w:sz="0" w:space="0" w:color="auto"/>
            <w:left w:val="none" w:sz="0" w:space="0" w:color="auto"/>
            <w:bottom w:val="none" w:sz="0" w:space="0" w:color="auto"/>
            <w:right w:val="none" w:sz="0" w:space="0" w:color="auto"/>
          </w:divBdr>
        </w:div>
        <w:div w:id="313413338">
          <w:marLeft w:val="0"/>
          <w:marRight w:val="0"/>
          <w:marTop w:val="0"/>
          <w:marBottom w:val="0"/>
          <w:divBdr>
            <w:top w:val="none" w:sz="0" w:space="0" w:color="auto"/>
            <w:left w:val="none" w:sz="0" w:space="0" w:color="auto"/>
            <w:bottom w:val="none" w:sz="0" w:space="0" w:color="auto"/>
            <w:right w:val="none" w:sz="0" w:space="0" w:color="auto"/>
          </w:divBdr>
        </w:div>
        <w:div w:id="801774544">
          <w:marLeft w:val="0"/>
          <w:marRight w:val="0"/>
          <w:marTop w:val="0"/>
          <w:marBottom w:val="0"/>
          <w:divBdr>
            <w:top w:val="none" w:sz="0" w:space="0" w:color="auto"/>
            <w:left w:val="none" w:sz="0" w:space="0" w:color="auto"/>
            <w:bottom w:val="none" w:sz="0" w:space="0" w:color="auto"/>
            <w:right w:val="none" w:sz="0" w:space="0" w:color="auto"/>
          </w:divBdr>
        </w:div>
        <w:div w:id="373310043">
          <w:marLeft w:val="0"/>
          <w:marRight w:val="0"/>
          <w:marTop w:val="0"/>
          <w:marBottom w:val="0"/>
          <w:divBdr>
            <w:top w:val="none" w:sz="0" w:space="0" w:color="auto"/>
            <w:left w:val="none" w:sz="0" w:space="0" w:color="auto"/>
            <w:bottom w:val="none" w:sz="0" w:space="0" w:color="auto"/>
            <w:right w:val="none" w:sz="0" w:space="0" w:color="auto"/>
          </w:divBdr>
        </w:div>
        <w:div w:id="676425144">
          <w:marLeft w:val="0"/>
          <w:marRight w:val="0"/>
          <w:marTop w:val="0"/>
          <w:marBottom w:val="0"/>
          <w:divBdr>
            <w:top w:val="none" w:sz="0" w:space="0" w:color="auto"/>
            <w:left w:val="none" w:sz="0" w:space="0" w:color="auto"/>
            <w:bottom w:val="none" w:sz="0" w:space="0" w:color="auto"/>
            <w:right w:val="none" w:sz="0" w:space="0" w:color="auto"/>
          </w:divBdr>
        </w:div>
        <w:div w:id="1138768158">
          <w:marLeft w:val="0"/>
          <w:marRight w:val="0"/>
          <w:marTop w:val="0"/>
          <w:marBottom w:val="0"/>
          <w:divBdr>
            <w:top w:val="none" w:sz="0" w:space="0" w:color="auto"/>
            <w:left w:val="none" w:sz="0" w:space="0" w:color="auto"/>
            <w:bottom w:val="none" w:sz="0" w:space="0" w:color="auto"/>
            <w:right w:val="none" w:sz="0" w:space="0" w:color="auto"/>
          </w:divBdr>
        </w:div>
        <w:div w:id="1335572831">
          <w:marLeft w:val="0"/>
          <w:marRight w:val="0"/>
          <w:marTop w:val="0"/>
          <w:marBottom w:val="0"/>
          <w:divBdr>
            <w:top w:val="none" w:sz="0" w:space="0" w:color="auto"/>
            <w:left w:val="none" w:sz="0" w:space="0" w:color="auto"/>
            <w:bottom w:val="none" w:sz="0" w:space="0" w:color="auto"/>
            <w:right w:val="none" w:sz="0" w:space="0" w:color="auto"/>
          </w:divBdr>
        </w:div>
        <w:div w:id="2078627501">
          <w:marLeft w:val="0"/>
          <w:marRight w:val="0"/>
          <w:marTop w:val="0"/>
          <w:marBottom w:val="0"/>
          <w:divBdr>
            <w:top w:val="none" w:sz="0" w:space="0" w:color="auto"/>
            <w:left w:val="none" w:sz="0" w:space="0" w:color="auto"/>
            <w:bottom w:val="none" w:sz="0" w:space="0" w:color="auto"/>
            <w:right w:val="none" w:sz="0" w:space="0" w:color="auto"/>
          </w:divBdr>
        </w:div>
        <w:div w:id="1581869824">
          <w:marLeft w:val="0"/>
          <w:marRight w:val="0"/>
          <w:marTop w:val="0"/>
          <w:marBottom w:val="0"/>
          <w:divBdr>
            <w:top w:val="none" w:sz="0" w:space="0" w:color="auto"/>
            <w:left w:val="none" w:sz="0" w:space="0" w:color="auto"/>
            <w:bottom w:val="none" w:sz="0" w:space="0" w:color="auto"/>
            <w:right w:val="none" w:sz="0" w:space="0" w:color="auto"/>
          </w:divBdr>
        </w:div>
        <w:div w:id="2137873669">
          <w:marLeft w:val="0"/>
          <w:marRight w:val="0"/>
          <w:marTop w:val="0"/>
          <w:marBottom w:val="0"/>
          <w:divBdr>
            <w:top w:val="none" w:sz="0" w:space="0" w:color="auto"/>
            <w:left w:val="none" w:sz="0" w:space="0" w:color="auto"/>
            <w:bottom w:val="none" w:sz="0" w:space="0" w:color="auto"/>
            <w:right w:val="none" w:sz="0" w:space="0" w:color="auto"/>
          </w:divBdr>
        </w:div>
        <w:div w:id="983046529">
          <w:marLeft w:val="0"/>
          <w:marRight w:val="0"/>
          <w:marTop w:val="0"/>
          <w:marBottom w:val="0"/>
          <w:divBdr>
            <w:top w:val="none" w:sz="0" w:space="0" w:color="auto"/>
            <w:left w:val="none" w:sz="0" w:space="0" w:color="auto"/>
            <w:bottom w:val="none" w:sz="0" w:space="0" w:color="auto"/>
            <w:right w:val="none" w:sz="0" w:space="0" w:color="auto"/>
          </w:divBdr>
        </w:div>
        <w:div w:id="1809590461">
          <w:marLeft w:val="0"/>
          <w:marRight w:val="0"/>
          <w:marTop w:val="0"/>
          <w:marBottom w:val="0"/>
          <w:divBdr>
            <w:top w:val="none" w:sz="0" w:space="0" w:color="auto"/>
            <w:left w:val="none" w:sz="0" w:space="0" w:color="auto"/>
            <w:bottom w:val="none" w:sz="0" w:space="0" w:color="auto"/>
            <w:right w:val="none" w:sz="0" w:space="0" w:color="auto"/>
          </w:divBdr>
        </w:div>
        <w:div w:id="1770735519">
          <w:marLeft w:val="0"/>
          <w:marRight w:val="0"/>
          <w:marTop w:val="0"/>
          <w:marBottom w:val="0"/>
          <w:divBdr>
            <w:top w:val="none" w:sz="0" w:space="0" w:color="auto"/>
            <w:left w:val="none" w:sz="0" w:space="0" w:color="auto"/>
            <w:bottom w:val="none" w:sz="0" w:space="0" w:color="auto"/>
            <w:right w:val="none" w:sz="0" w:space="0" w:color="auto"/>
          </w:divBdr>
        </w:div>
        <w:div w:id="1156798939">
          <w:marLeft w:val="0"/>
          <w:marRight w:val="0"/>
          <w:marTop w:val="0"/>
          <w:marBottom w:val="0"/>
          <w:divBdr>
            <w:top w:val="none" w:sz="0" w:space="0" w:color="auto"/>
            <w:left w:val="none" w:sz="0" w:space="0" w:color="auto"/>
            <w:bottom w:val="none" w:sz="0" w:space="0" w:color="auto"/>
            <w:right w:val="none" w:sz="0" w:space="0" w:color="auto"/>
          </w:divBdr>
        </w:div>
        <w:div w:id="1478301250">
          <w:marLeft w:val="0"/>
          <w:marRight w:val="0"/>
          <w:marTop w:val="0"/>
          <w:marBottom w:val="0"/>
          <w:divBdr>
            <w:top w:val="none" w:sz="0" w:space="0" w:color="auto"/>
            <w:left w:val="none" w:sz="0" w:space="0" w:color="auto"/>
            <w:bottom w:val="none" w:sz="0" w:space="0" w:color="auto"/>
            <w:right w:val="none" w:sz="0" w:space="0" w:color="auto"/>
          </w:divBdr>
        </w:div>
      </w:divsChild>
    </w:div>
    <w:div w:id="360788558">
      <w:marLeft w:val="0"/>
      <w:marRight w:val="0"/>
      <w:marTop w:val="120"/>
      <w:marBottom w:val="0"/>
      <w:divBdr>
        <w:top w:val="none" w:sz="0" w:space="0" w:color="auto"/>
        <w:left w:val="none" w:sz="0" w:space="0" w:color="auto"/>
        <w:bottom w:val="none" w:sz="0" w:space="0" w:color="auto"/>
        <w:right w:val="none" w:sz="0" w:space="0" w:color="auto"/>
      </w:divBdr>
    </w:div>
    <w:div w:id="361826525">
      <w:marLeft w:val="0"/>
      <w:marRight w:val="0"/>
      <w:marTop w:val="120"/>
      <w:marBottom w:val="0"/>
      <w:divBdr>
        <w:top w:val="none" w:sz="0" w:space="0" w:color="auto"/>
        <w:left w:val="none" w:sz="0" w:space="0" w:color="auto"/>
        <w:bottom w:val="none" w:sz="0" w:space="0" w:color="auto"/>
        <w:right w:val="none" w:sz="0" w:space="0" w:color="auto"/>
      </w:divBdr>
    </w:div>
    <w:div w:id="366026097">
      <w:marLeft w:val="0"/>
      <w:marRight w:val="0"/>
      <w:marTop w:val="120"/>
      <w:marBottom w:val="0"/>
      <w:divBdr>
        <w:top w:val="none" w:sz="0" w:space="0" w:color="auto"/>
        <w:left w:val="none" w:sz="0" w:space="0" w:color="auto"/>
        <w:bottom w:val="none" w:sz="0" w:space="0" w:color="auto"/>
        <w:right w:val="none" w:sz="0" w:space="0" w:color="auto"/>
      </w:divBdr>
    </w:div>
    <w:div w:id="370304632">
      <w:marLeft w:val="0"/>
      <w:marRight w:val="0"/>
      <w:marTop w:val="120"/>
      <w:marBottom w:val="0"/>
      <w:divBdr>
        <w:top w:val="none" w:sz="0" w:space="0" w:color="auto"/>
        <w:left w:val="none" w:sz="0" w:space="0" w:color="auto"/>
        <w:bottom w:val="none" w:sz="0" w:space="0" w:color="auto"/>
        <w:right w:val="none" w:sz="0" w:space="0" w:color="auto"/>
      </w:divBdr>
    </w:div>
    <w:div w:id="370422157">
      <w:marLeft w:val="0"/>
      <w:marRight w:val="0"/>
      <w:marTop w:val="0"/>
      <w:marBottom w:val="0"/>
      <w:divBdr>
        <w:top w:val="none" w:sz="0" w:space="0" w:color="auto"/>
        <w:left w:val="none" w:sz="0" w:space="0" w:color="auto"/>
        <w:bottom w:val="none" w:sz="0" w:space="0" w:color="auto"/>
        <w:right w:val="none" w:sz="0" w:space="0" w:color="auto"/>
      </w:divBdr>
      <w:divsChild>
        <w:div w:id="1640301572">
          <w:marLeft w:val="0"/>
          <w:marRight w:val="0"/>
          <w:marTop w:val="0"/>
          <w:marBottom w:val="0"/>
          <w:divBdr>
            <w:top w:val="none" w:sz="0" w:space="0" w:color="auto"/>
            <w:left w:val="none" w:sz="0" w:space="0" w:color="auto"/>
            <w:bottom w:val="none" w:sz="0" w:space="0" w:color="auto"/>
            <w:right w:val="none" w:sz="0" w:space="0" w:color="auto"/>
          </w:divBdr>
        </w:div>
      </w:divsChild>
    </w:div>
    <w:div w:id="371195962">
      <w:marLeft w:val="0"/>
      <w:marRight w:val="0"/>
      <w:marTop w:val="0"/>
      <w:marBottom w:val="60"/>
      <w:divBdr>
        <w:top w:val="none" w:sz="0" w:space="0" w:color="auto"/>
        <w:left w:val="none" w:sz="0" w:space="0" w:color="auto"/>
        <w:bottom w:val="none" w:sz="0" w:space="0" w:color="auto"/>
        <w:right w:val="none" w:sz="0" w:space="0" w:color="auto"/>
      </w:divBdr>
    </w:div>
    <w:div w:id="371269742">
      <w:marLeft w:val="0"/>
      <w:marRight w:val="0"/>
      <w:marTop w:val="0"/>
      <w:marBottom w:val="0"/>
      <w:divBdr>
        <w:top w:val="none" w:sz="0" w:space="0" w:color="auto"/>
        <w:left w:val="none" w:sz="0" w:space="0" w:color="auto"/>
        <w:bottom w:val="none" w:sz="0" w:space="0" w:color="auto"/>
        <w:right w:val="none" w:sz="0" w:space="0" w:color="auto"/>
      </w:divBdr>
    </w:div>
    <w:div w:id="371466353">
      <w:marLeft w:val="0"/>
      <w:marRight w:val="0"/>
      <w:marTop w:val="120"/>
      <w:marBottom w:val="0"/>
      <w:divBdr>
        <w:top w:val="none" w:sz="0" w:space="0" w:color="auto"/>
        <w:left w:val="none" w:sz="0" w:space="0" w:color="auto"/>
        <w:bottom w:val="none" w:sz="0" w:space="0" w:color="auto"/>
        <w:right w:val="none" w:sz="0" w:space="0" w:color="auto"/>
      </w:divBdr>
    </w:div>
    <w:div w:id="372580405">
      <w:marLeft w:val="0"/>
      <w:marRight w:val="0"/>
      <w:marTop w:val="120"/>
      <w:marBottom w:val="0"/>
      <w:divBdr>
        <w:top w:val="none" w:sz="0" w:space="0" w:color="auto"/>
        <w:left w:val="none" w:sz="0" w:space="0" w:color="auto"/>
        <w:bottom w:val="none" w:sz="0" w:space="0" w:color="auto"/>
        <w:right w:val="none" w:sz="0" w:space="0" w:color="auto"/>
      </w:divBdr>
    </w:div>
    <w:div w:id="373624119">
      <w:marLeft w:val="0"/>
      <w:marRight w:val="0"/>
      <w:marTop w:val="0"/>
      <w:marBottom w:val="0"/>
      <w:divBdr>
        <w:top w:val="none" w:sz="0" w:space="0" w:color="auto"/>
        <w:left w:val="none" w:sz="0" w:space="0" w:color="auto"/>
        <w:bottom w:val="none" w:sz="0" w:space="0" w:color="auto"/>
        <w:right w:val="none" w:sz="0" w:space="0" w:color="auto"/>
      </w:divBdr>
    </w:div>
    <w:div w:id="375853687">
      <w:marLeft w:val="0"/>
      <w:marRight w:val="0"/>
      <w:marTop w:val="180"/>
      <w:marBottom w:val="0"/>
      <w:divBdr>
        <w:top w:val="none" w:sz="0" w:space="0" w:color="auto"/>
        <w:left w:val="none" w:sz="0" w:space="0" w:color="auto"/>
        <w:bottom w:val="none" w:sz="0" w:space="0" w:color="auto"/>
        <w:right w:val="none" w:sz="0" w:space="0" w:color="auto"/>
      </w:divBdr>
    </w:div>
    <w:div w:id="376704570">
      <w:marLeft w:val="0"/>
      <w:marRight w:val="0"/>
      <w:marTop w:val="120"/>
      <w:marBottom w:val="0"/>
      <w:divBdr>
        <w:top w:val="none" w:sz="0" w:space="0" w:color="auto"/>
        <w:left w:val="none" w:sz="0" w:space="0" w:color="auto"/>
        <w:bottom w:val="none" w:sz="0" w:space="0" w:color="auto"/>
        <w:right w:val="none" w:sz="0" w:space="0" w:color="auto"/>
      </w:divBdr>
    </w:div>
    <w:div w:id="376861560">
      <w:marLeft w:val="0"/>
      <w:marRight w:val="0"/>
      <w:marTop w:val="0"/>
      <w:marBottom w:val="0"/>
      <w:divBdr>
        <w:top w:val="none" w:sz="0" w:space="0" w:color="auto"/>
        <w:left w:val="none" w:sz="0" w:space="0" w:color="auto"/>
        <w:bottom w:val="none" w:sz="0" w:space="0" w:color="auto"/>
        <w:right w:val="none" w:sz="0" w:space="0" w:color="auto"/>
      </w:divBdr>
      <w:divsChild>
        <w:div w:id="1415855836">
          <w:marLeft w:val="0"/>
          <w:marRight w:val="0"/>
          <w:marTop w:val="0"/>
          <w:marBottom w:val="0"/>
          <w:divBdr>
            <w:top w:val="none" w:sz="0" w:space="0" w:color="auto"/>
            <w:left w:val="none" w:sz="0" w:space="0" w:color="auto"/>
            <w:bottom w:val="none" w:sz="0" w:space="0" w:color="auto"/>
            <w:right w:val="none" w:sz="0" w:space="0" w:color="auto"/>
          </w:divBdr>
        </w:div>
      </w:divsChild>
    </w:div>
    <w:div w:id="377248331">
      <w:marLeft w:val="0"/>
      <w:marRight w:val="0"/>
      <w:marTop w:val="0"/>
      <w:marBottom w:val="0"/>
      <w:divBdr>
        <w:top w:val="none" w:sz="0" w:space="0" w:color="auto"/>
        <w:left w:val="none" w:sz="0" w:space="0" w:color="auto"/>
        <w:bottom w:val="none" w:sz="0" w:space="0" w:color="auto"/>
        <w:right w:val="none" w:sz="0" w:space="0" w:color="auto"/>
      </w:divBdr>
    </w:div>
    <w:div w:id="379327064">
      <w:marLeft w:val="0"/>
      <w:marRight w:val="0"/>
      <w:marTop w:val="120"/>
      <w:marBottom w:val="0"/>
      <w:divBdr>
        <w:top w:val="none" w:sz="0" w:space="0" w:color="auto"/>
        <w:left w:val="none" w:sz="0" w:space="0" w:color="auto"/>
        <w:bottom w:val="none" w:sz="0" w:space="0" w:color="auto"/>
        <w:right w:val="none" w:sz="0" w:space="0" w:color="auto"/>
      </w:divBdr>
    </w:div>
    <w:div w:id="382943782">
      <w:marLeft w:val="0"/>
      <w:marRight w:val="0"/>
      <w:marTop w:val="120"/>
      <w:marBottom w:val="0"/>
      <w:divBdr>
        <w:top w:val="none" w:sz="0" w:space="0" w:color="auto"/>
        <w:left w:val="none" w:sz="0" w:space="0" w:color="auto"/>
        <w:bottom w:val="none" w:sz="0" w:space="0" w:color="auto"/>
        <w:right w:val="none" w:sz="0" w:space="0" w:color="auto"/>
      </w:divBdr>
    </w:div>
    <w:div w:id="382945133">
      <w:marLeft w:val="0"/>
      <w:marRight w:val="0"/>
      <w:marTop w:val="0"/>
      <w:marBottom w:val="120"/>
      <w:divBdr>
        <w:top w:val="none" w:sz="0" w:space="0" w:color="auto"/>
        <w:left w:val="none" w:sz="0" w:space="0" w:color="auto"/>
        <w:bottom w:val="none" w:sz="0" w:space="0" w:color="auto"/>
        <w:right w:val="none" w:sz="0" w:space="0" w:color="auto"/>
      </w:divBdr>
      <w:divsChild>
        <w:div w:id="122507455">
          <w:marLeft w:val="0"/>
          <w:marRight w:val="0"/>
          <w:marTop w:val="0"/>
          <w:marBottom w:val="0"/>
          <w:divBdr>
            <w:top w:val="none" w:sz="0" w:space="0" w:color="auto"/>
            <w:left w:val="none" w:sz="0" w:space="0" w:color="auto"/>
            <w:bottom w:val="none" w:sz="0" w:space="0" w:color="auto"/>
            <w:right w:val="none" w:sz="0" w:space="0" w:color="auto"/>
          </w:divBdr>
        </w:div>
        <w:div w:id="1538397930">
          <w:marLeft w:val="0"/>
          <w:marRight w:val="0"/>
          <w:marTop w:val="0"/>
          <w:marBottom w:val="0"/>
          <w:divBdr>
            <w:top w:val="none" w:sz="0" w:space="0" w:color="auto"/>
            <w:left w:val="none" w:sz="0" w:space="0" w:color="auto"/>
            <w:bottom w:val="none" w:sz="0" w:space="0" w:color="auto"/>
            <w:right w:val="none" w:sz="0" w:space="0" w:color="auto"/>
          </w:divBdr>
        </w:div>
        <w:div w:id="320961083">
          <w:marLeft w:val="0"/>
          <w:marRight w:val="0"/>
          <w:marTop w:val="0"/>
          <w:marBottom w:val="0"/>
          <w:divBdr>
            <w:top w:val="none" w:sz="0" w:space="0" w:color="auto"/>
            <w:left w:val="none" w:sz="0" w:space="0" w:color="auto"/>
            <w:bottom w:val="none" w:sz="0" w:space="0" w:color="auto"/>
            <w:right w:val="none" w:sz="0" w:space="0" w:color="auto"/>
          </w:divBdr>
        </w:div>
        <w:div w:id="1664895593">
          <w:marLeft w:val="0"/>
          <w:marRight w:val="0"/>
          <w:marTop w:val="0"/>
          <w:marBottom w:val="0"/>
          <w:divBdr>
            <w:top w:val="none" w:sz="0" w:space="0" w:color="auto"/>
            <w:left w:val="none" w:sz="0" w:space="0" w:color="auto"/>
            <w:bottom w:val="none" w:sz="0" w:space="0" w:color="auto"/>
            <w:right w:val="none" w:sz="0" w:space="0" w:color="auto"/>
          </w:divBdr>
        </w:div>
        <w:div w:id="1325429963">
          <w:marLeft w:val="0"/>
          <w:marRight w:val="0"/>
          <w:marTop w:val="0"/>
          <w:marBottom w:val="0"/>
          <w:divBdr>
            <w:top w:val="none" w:sz="0" w:space="0" w:color="auto"/>
            <w:left w:val="none" w:sz="0" w:space="0" w:color="auto"/>
            <w:bottom w:val="none" w:sz="0" w:space="0" w:color="auto"/>
            <w:right w:val="none" w:sz="0" w:space="0" w:color="auto"/>
          </w:divBdr>
        </w:div>
        <w:div w:id="1032682545">
          <w:marLeft w:val="0"/>
          <w:marRight w:val="0"/>
          <w:marTop w:val="0"/>
          <w:marBottom w:val="0"/>
          <w:divBdr>
            <w:top w:val="none" w:sz="0" w:space="0" w:color="auto"/>
            <w:left w:val="none" w:sz="0" w:space="0" w:color="auto"/>
            <w:bottom w:val="none" w:sz="0" w:space="0" w:color="auto"/>
            <w:right w:val="none" w:sz="0" w:space="0" w:color="auto"/>
          </w:divBdr>
        </w:div>
      </w:divsChild>
    </w:div>
    <w:div w:id="384380373">
      <w:marLeft w:val="0"/>
      <w:marRight w:val="0"/>
      <w:marTop w:val="0"/>
      <w:marBottom w:val="120"/>
      <w:divBdr>
        <w:top w:val="none" w:sz="0" w:space="0" w:color="auto"/>
        <w:left w:val="none" w:sz="0" w:space="0" w:color="auto"/>
        <w:bottom w:val="none" w:sz="0" w:space="0" w:color="auto"/>
        <w:right w:val="none" w:sz="0" w:space="0" w:color="auto"/>
      </w:divBdr>
      <w:divsChild>
        <w:div w:id="1172338156">
          <w:marLeft w:val="0"/>
          <w:marRight w:val="0"/>
          <w:marTop w:val="0"/>
          <w:marBottom w:val="0"/>
          <w:divBdr>
            <w:top w:val="none" w:sz="0" w:space="0" w:color="auto"/>
            <w:left w:val="none" w:sz="0" w:space="0" w:color="auto"/>
            <w:bottom w:val="none" w:sz="0" w:space="0" w:color="auto"/>
            <w:right w:val="none" w:sz="0" w:space="0" w:color="auto"/>
          </w:divBdr>
        </w:div>
        <w:div w:id="193345565">
          <w:marLeft w:val="0"/>
          <w:marRight w:val="0"/>
          <w:marTop w:val="0"/>
          <w:marBottom w:val="0"/>
          <w:divBdr>
            <w:top w:val="none" w:sz="0" w:space="0" w:color="auto"/>
            <w:left w:val="none" w:sz="0" w:space="0" w:color="auto"/>
            <w:bottom w:val="none" w:sz="0" w:space="0" w:color="auto"/>
            <w:right w:val="none" w:sz="0" w:space="0" w:color="auto"/>
          </w:divBdr>
        </w:div>
        <w:div w:id="992441814">
          <w:marLeft w:val="0"/>
          <w:marRight w:val="0"/>
          <w:marTop w:val="0"/>
          <w:marBottom w:val="0"/>
          <w:divBdr>
            <w:top w:val="none" w:sz="0" w:space="0" w:color="auto"/>
            <w:left w:val="none" w:sz="0" w:space="0" w:color="auto"/>
            <w:bottom w:val="none" w:sz="0" w:space="0" w:color="auto"/>
            <w:right w:val="none" w:sz="0" w:space="0" w:color="auto"/>
          </w:divBdr>
        </w:div>
        <w:div w:id="1165633564">
          <w:marLeft w:val="0"/>
          <w:marRight w:val="0"/>
          <w:marTop w:val="0"/>
          <w:marBottom w:val="0"/>
          <w:divBdr>
            <w:top w:val="none" w:sz="0" w:space="0" w:color="auto"/>
            <w:left w:val="none" w:sz="0" w:space="0" w:color="auto"/>
            <w:bottom w:val="none" w:sz="0" w:space="0" w:color="auto"/>
            <w:right w:val="none" w:sz="0" w:space="0" w:color="auto"/>
          </w:divBdr>
        </w:div>
        <w:div w:id="1397899565">
          <w:marLeft w:val="0"/>
          <w:marRight w:val="0"/>
          <w:marTop w:val="0"/>
          <w:marBottom w:val="0"/>
          <w:divBdr>
            <w:top w:val="none" w:sz="0" w:space="0" w:color="auto"/>
            <w:left w:val="none" w:sz="0" w:space="0" w:color="auto"/>
            <w:bottom w:val="none" w:sz="0" w:space="0" w:color="auto"/>
            <w:right w:val="none" w:sz="0" w:space="0" w:color="auto"/>
          </w:divBdr>
        </w:div>
        <w:div w:id="1920673169">
          <w:marLeft w:val="0"/>
          <w:marRight w:val="0"/>
          <w:marTop w:val="0"/>
          <w:marBottom w:val="0"/>
          <w:divBdr>
            <w:top w:val="none" w:sz="0" w:space="0" w:color="auto"/>
            <w:left w:val="none" w:sz="0" w:space="0" w:color="auto"/>
            <w:bottom w:val="none" w:sz="0" w:space="0" w:color="auto"/>
            <w:right w:val="none" w:sz="0" w:space="0" w:color="auto"/>
          </w:divBdr>
        </w:div>
        <w:div w:id="812796519">
          <w:marLeft w:val="0"/>
          <w:marRight w:val="0"/>
          <w:marTop w:val="0"/>
          <w:marBottom w:val="0"/>
          <w:divBdr>
            <w:top w:val="none" w:sz="0" w:space="0" w:color="auto"/>
            <w:left w:val="none" w:sz="0" w:space="0" w:color="auto"/>
            <w:bottom w:val="none" w:sz="0" w:space="0" w:color="auto"/>
            <w:right w:val="none" w:sz="0" w:space="0" w:color="auto"/>
          </w:divBdr>
        </w:div>
        <w:div w:id="2014919711">
          <w:marLeft w:val="0"/>
          <w:marRight w:val="0"/>
          <w:marTop w:val="0"/>
          <w:marBottom w:val="0"/>
          <w:divBdr>
            <w:top w:val="none" w:sz="0" w:space="0" w:color="auto"/>
            <w:left w:val="none" w:sz="0" w:space="0" w:color="auto"/>
            <w:bottom w:val="none" w:sz="0" w:space="0" w:color="auto"/>
            <w:right w:val="none" w:sz="0" w:space="0" w:color="auto"/>
          </w:divBdr>
        </w:div>
        <w:div w:id="364839236">
          <w:marLeft w:val="0"/>
          <w:marRight w:val="0"/>
          <w:marTop w:val="0"/>
          <w:marBottom w:val="0"/>
          <w:divBdr>
            <w:top w:val="none" w:sz="0" w:space="0" w:color="auto"/>
            <w:left w:val="none" w:sz="0" w:space="0" w:color="auto"/>
            <w:bottom w:val="none" w:sz="0" w:space="0" w:color="auto"/>
            <w:right w:val="none" w:sz="0" w:space="0" w:color="auto"/>
          </w:divBdr>
        </w:div>
      </w:divsChild>
    </w:div>
    <w:div w:id="385377681">
      <w:marLeft w:val="0"/>
      <w:marRight w:val="0"/>
      <w:marTop w:val="120"/>
      <w:marBottom w:val="0"/>
      <w:divBdr>
        <w:top w:val="none" w:sz="0" w:space="0" w:color="auto"/>
        <w:left w:val="none" w:sz="0" w:space="0" w:color="auto"/>
        <w:bottom w:val="none" w:sz="0" w:space="0" w:color="auto"/>
        <w:right w:val="none" w:sz="0" w:space="0" w:color="auto"/>
      </w:divBdr>
    </w:div>
    <w:div w:id="385840357">
      <w:marLeft w:val="0"/>
      <w:marRight w:val="0"/>
      <w:marTop w:val="120"/>
      <w:marBottom w:val="0"/>
      <w:divBdr>
        <w:top w:val="none" w:sz="0" w:space="0" w:color="auto"/>
        <w:left w:val="none" w:sz="0" w:space="0" w:color="auto"/>
        <w:bottom w:val="none" w:sz="0" w:space="0" w:color="auto"/>
        <w:right w:val="none" w:sz="0" w:space="0" w:color="auto"/>
      </w:divBdr>
    </w:div>
    <w:div w:id="385877867">
      <w:marLeft w:val="0"/>
      <w:marRight w:val="0"/>
      <w:marTop w:val="120"/>
      <w:marBottom w:val="0"/>
      <w:divBdr>
        <w:top w:val="none" w:sz="0" w:space="0" w:color="auto"/>
        <w:left w:val="none" w:sz="0" w:space="0" w:color="auto"/>
        <w:bottom w:val="none" w:sz="0" w:space="0" w:color="auto"/>
        <w:right w:val="none" w:sz="0" w:space="0" w:color="auto"/>
      </w:divBdr>
    </w:div>
    <w:div w:id="386421545">
      <w:marLeft w:val="0"/>
      <w:marRight w:val="0"/>
      <w:marTop w:val="120"/>
      <w:marBottom w:val="0"/>
      <w:divBdr>
        <w:top w:val="none" w:sz="0" w:space="0" w:color="auto"/>
        <w:left w:val="none" w:sz="0" w:space="0" w:color="auto"/>
        <w:bottom w:val="none" w:sz="0" w:space="0" w:color="auto"/>
        <w:right w:val="none" w:sz="0" w:space="0" w:color="auto"/>
      </w:divBdr>
    </w:div>
    <w:div w:id="388118206">
      <w:marLeft w:val="0"/>
      <w:marRight w:val="0"/>
      <w:marTop w:val="0"/>
      <w:marBottom w:val="0"/>
      <w:divBdr>
        <w:top w:val="none" w:sz="0" w:space="0" w:color="auto"/>
        <w:left w:val="none" w:sz="0" w:space="0" w:color="auto"/>
        <w:bottom w:val="none" w:sz="0" w:space="0" w:color="auto"/>
        <w:right w:val="none" w:sz="0" w:space="0" w:color="auto"/>
      </w:divBdr>
    </w:div>
    <w:div w:id="388386636">
      <w:marLeft w:val="0"/>
      <w:marRight w:val="0"/>
      <w:marTop w:val="120"/>
      <w:marBottom w:val="0"/>
      <w:divBdr>
        <w:top w:val="none" w:sz="0" w:space="0" w:color="auto"/>
        <w:left w:val="none" w:sz="0" w:space="0" w:color="auto"/>
        <w:bottom w:val="none" w:sz="0" w:space="0" w:color="auto"/>
        <w:right w:val="none" w:sz="0" w:space="0" w:color="auto"/>
      </w:divBdr>
    </w:div>
    <w:div w:id="388462110">
      <w:marLeft w:val="0"/>
      <w:marRight w:val="0"/>
      <w:marTop w:val="120"/>
      <w:marBottom w:val="0"/>
      <w:divBdr>
        <w:top w:val="none" w:sz="0" w:space="0" w:color="auto"/>
        <w:left w:val="none" w:sz="0" w:space="0" w:color="auto"/>
        <w:bottom w:val="none" w:sz="0" w:space="0" w:color="auto"/>
        <w:right w:val="none" w:sz="0" w:space="0" w:color="auto"/>
      </w:divBdr>
    </w:div>
    <w:div w:id="388501271">
      <w:marLeft w:val="0"/>
      <w:marRight w:val="0"/>
      <w:marTop w:val="120"/>
      <w:marBottom w:val="0"/>
      <w:divBdr>
        <w:top w:val="none" w:sz="0" w:space="0" w:color="auto"/>
        <w:left w:val="none" w:sz="0" w:space="0" w:color="auto"/>
        <w:bottom w:val="none" w:sz="0" w:space="0" w:color="auto"/>
        <w:right w:val="none" w:sz="0" w:space="0" w:color="auto"/>
      </w:divBdr>
    </w:div>
    <w:div w:id="388697922">
      <w:marLeft w:val="0"/>
      <w:marRight w:val="0"/>
      <w:marTop w:val="120"/>
      <w:marBottom w:val="0"/>
      <w:divBdr>
        <w:top w:val="none" w:sz="0" w:space="0" w:color="auto"/>
        <w:left w:val="none" w:sz="0" w:space="0" w:color="auto"/>
        <w:bottom w:val="none" w:sz="0" w:space="0" w:color="auto"/>
        <w:right w:val="none" w:sz="0" w:space="0" w:color="auto"/>
      </w:divBdr>
    </w:div>
    <w:div w:id="389118070">
      <w:marLeft w:val="0"/>
      <w:marRight w:val="0"/>
      <w:marTop w:val="120"/>
      <w:marBottom w:val="0"/>
      <w:divBdr>
        <w:top w:val="none" w:sz="0" w:space="0" w:color="auto"/>
        <w:left w:val="none" w:sz="0" w:space="0" w:color="auto"/>
        <w:bottom w:val="none" w:sz="0" w:space="0" w:color="auto"/>
        <w:right w:val="none" w:sz="0" w:space="0" w:color="auto"/>
      </w:divBdr>
    </w:div>
    <w:div w:id="390344433">
      <w:marLeft w:val="0"/>
      <w:marRight w:val="0"/>
      <w:marTop w:val="120"/>
      <w:marBottom w:val="0"/>
      <w:divBdr>
        <w:top w:val="none" w:sz="0" w:space="0" w:color="auto"/>
        <w:left w:val="none" w:sz="0" w:space="0" w:color="auto"/>
        <w:bottom w:val="none" w:sz="0" w:space="0" w:color="auto"/>
        <w:right w:val="none" w:sz="0" w:space="0" w:color="auto"/>
      </w:divBdr>
    </w:div>
    <w:div w:id="390426801">
      <w:marLeft w:val="0"/>
      <w:marRight w:val="0"/>
      <w:marTop w:val="0"/>
      <w:marBottom w:val="120"/>
      <w:divBdr>
        <w:top w:val="none" w:sz="0" w:space="0" w:color="auto"/>
        <w:left w:val="none" w:sz="0" w:space="0" w:color="auto"/>
        <w:bottom w:val="none" w:sz="0" w:space="0" w:color="auto"/>
        <w:right w:val="none" w:sz="0" w:space="0" w:color="auto"/>
      </w:divBdr>
    </w:div>
    <w:div w:id="392579623">
      <w:marLeft w:val="0"/>
      <w:marRight w:val="0"/>
      <w:marTop w:val="120"/>
      <w:marBottom w:val="0"/>
      <w:divBdr>
        <w:top w:val="none" w:sz="0" w:space="0" w:color="auto"/>
        <w:left w:val="none" w:sz="0" w:space="0" w:color="auto"/>
        <w:bottom w:val="none" w:sz="0" w:space="0" w:color="auto"/>
        <w:right w:val="none" w:sz="0" w:space="0" w:color="auto"/>
      </w:divBdr>
    </w:div>
    <w:div w:id="393622969">
      <w:marLeft w:val="0"/>
      <w:marRight w:val="0"/>
      <w:marTop w:val="120"/>
      <w:marBottom w:val="0"/>
      <w:divBdr>
        <w:top w:val="none" w:sz="0" w:space="0" w:color="auto"/>
        <w:left w:val="none" w:sz="0" w:space="0" w:color="auto"/>
        <w:bottom w:val="none" w:sz="0" w:space="0" w:color="auto"/>
        <w:right w:val="none" w:sz="0" w:space="0" w:color="auto"/>
      </w:divBdr>
    </w:div>
    <w:div w:id="394595533">
      <w:marLeft w:val="0"/>
      <w:marRight w:val="0"/>
      <w:marTop w:val="0"/>
      <w:marBottom w:val="0"/>
      <w:divBdr>
        <w:top w:val="none" w:sz="0" w:space="0" w:color="auto"/>
        <w:left w:val="none" w:sz="0" w:space="0" w:color="auto"/>
        <w:bottom w:val="none" w:sz="0" w:space="0" w:color="auto"/>
        <w:right w:val="none" w:sz="0" w:space="0" w:color="auto"/>
      </w:divBdr>
    </w:div>
    <w:div w:id="396168156">
      <w:marLeft w:val="0"/>
      <w:marRight w:val="0"/>
      <w:marTop w:val="120"/>
      <w:marBottom w:val="0"/>
      <w:divBdr>
        <w:top w:val="none" w:sz="0" w:space="0" w:color="auto"/>
        <w:left w:val="none" w:sz="0" w:space="0" w:color="auto"/>
        <w:bottom w:val="none" w:sz="0" w:space="0" w:color="auto"/>
        <w:right w:val="none" w:sz="0" w:space="0" w:color="auto"/>
      </w:divBdr>
    </w:div>
    <w:div w:id="397362775">
      <w:marLeft w:val="0"/>
      <w:marRight w:val="0"/>
      <w:marTop w:val="120"/>
      <w:marBottom w:val="0"/>
      <w:divBdr>
        <w:top w:val="none" w:sz="0" w:space="0" w:color="auto"/>
        <w:left w:val="none" w:sz="0" w:space="0" w:color="auto"/>
        <w:bottom w:val="none" w:sz="0" w:space="0" w:color="auto"/>
        <w:right w:val="none" w:sz="0" w:space="0" w:color="auto"/>
      </w:divBdr>
    </w:div>
    <w:div w:id="398290542">
      <w:marLeft w:val="0"/>
      <w:marRight w:val="0"/>
      <w:marTop w:val="0"/>
      <w:marBottom w:val="0"/>
      <w:divBdr>
        <w:top w:val="none" w:sz="0" w:space="0" w:color="auto"/>
        <w:left w:val="none" w:sz="0" w:space="0" w:color="auto"/>
        <w:bottom w:val="none" w:sz="0" w:space="0" w:color="auto"/>
        <w:right w:val="none" w:sz="0" w:space="0" w:color="auto"/>
      </w:divBdr>
    </w:div>
    <w:div w:id="398410380">
      <w:marLeft w:val="0"/>
      <w:marRight w:val="0"/>
      <w:marTop w:val="120"/>
      <w:marBottom w:val="0"/>
      <w:divBdr>
        <w:top w:val="none" w:sz="0" w:space="0" w:color="auto"/>
        <w:left w:val="none" w:sz="0" w:space="0" w:color="auto"/>
        <w:bottom w:val="none" w:sz="0" w:space="0" w:color="auto"/>
        <w:right w:val="none" w:sz="0" w:space="0" w:color="auto"/>
      </w:divBdr>
    </w:div>
    <w:div w:id="399180031">
      <w:marLeft w:val="0"/>
      <w:marRight w:val="0"/>
      <w:marTop w:val="120"/>
      <w:marBottom w:val="0"/>
      <w:divBdr>
        <w:top w:val="none" w:sz="0" w:space="0" w:color="auto"/>
        <w:left w:val="none" w:sz="0" w:space="0" w:color="auto"/>
        <w:bottom w:val="none" w:sz="0" w:space="0" w:color="auto"/>
        <w:right w:val="none" w:sz="0" w:space="0" w:color="auto"/>
      </w:divBdr>
    </w:div>
    <w:div w:id="399522075">
      <w:marLeft w:val="0"/>
      <w:marRight w:val="0"/>
      <w:marTop w:val="120"/>
      <w:marBottom w:val="0"/>
      <w:divBdr>
        <w:top w:val="none" w:sz="0" w:space="0" w:color="auto"/>
        <w:left w:val="none" w:sz="0" w:space="0" w:color="auto"/>
        <w:bottom w:val="none" w:sz="0" w:space="0" w:color="auto"/>
        <w:right w:val="none" w:sz="0" w:space="0" w:color="auto"/>
      </w:divBdr>
    </w:div>
    <w:div w:id="401217140">
      <w:marLeft w:val="0"/>
      <w:marRight w:val="0"/>
      <w:marTop w:val="60"/>
      <w:marBottom w:val="120"/>
      <w:divBdr>
        <w:top w:val="none" w:sz="0" w:space="0" w:color="auto"/>
        <w:left w:val="none" w:sz="0" w:space="0" w:color="auto"/>
        <w:bottom w:val="none" w:sz="0" w:space="0" w:color="auto"/>
        <w:right w:val="none" w:sz="0" w:space="0" w:color="auto"/>
      </w:divBdr>
    </w:div>
    <w:div w:id="401758224">
      <w:marLeft w:val="0"/>
      <w:marRight w:val="0"/>
      <w:marTop w:val="0"/>
      <w:marBottom w:val="0"/>
      <w:divBdr>
        <w:top w:val="none" w:sz="0" w:space="0" w:color="auto"/>
        <w:left w:val="none" w:sz="0" w:space="0" w:color="auto"/>
        <w:bottom w:val="none" w:sz="0" w:space="0" w:color="auto"/>
        <w:right w:val="none" w:sz="0" w:space="0" w:color="auto"/>
      </w:divBdr>
    </w:div>
    <w:div w:id="402920754">
      <w:marLeft w:val="0"/>
      <w:marRight w:val="0"/>
      <w:marTop w:val="0"/>
      <w:marBottom w:val="0"/>
      <w:divBdr>
        <w:top w:val="none" w:sz="0" w:space="0" w:color="auto"/>
        <w:left w:val="none" w:sz="0" w:space="0" w:color="auto"/>
        <w:bottom w:val="none" w:sz="0" w:space="0" w:color="auto"/>
        <w:right w:val="none" w:sz="0" w:space="0" w:color="auto"/>
      </w:divBdr>
      <w:divsChild>
        <w:div w:id="294406763">
          <w:marLeft w:val="0"/>
          <w:marRight w:val="0"/>
          <w:marTop w:val="0"/>
          <w:marBottom w:val="0"/>
          <w:divBdr>
            <w:top w:val="none" w:sz="0" w:space="0" w:color="auto"/>
            <w:left w:val="none" w:sz="0" w:space="0" w:color="auto"/>
            <w:bottom w:val="none" w:sz="0" w:space="0" w:color="auto"/>
            <w:right w:val="none" w:sz="0" w:space="0" w:color="auto"/>
          </w:divBdr>
        </w:div>
      </w:divsChild>
    </w:div>
    <w:div w:id="403380583">
      <w:marLeft w:val="0"/>
      <w:marRight w:val="0"/>
      <w:marTop w:val="0"/>
      <w:marBottom w:val="200"/>
      <w:divBdr>
        <w:top w:val="none" w:sz="0" w:space="0" w:color="auto"/>
        <w:left w:val="none" w:sz="0" w:space="0" w:color="auto"/>
        <w:bottom w:val="none" w:sz="0" w:space="0" w:color="auto"/>
        <w:right w:val="none" w:sz="0" w:space="0" w:color="auto"/>
      </w:divBdr>
    </w:div>
    <w:div w:id="403458980">
      <w:marLeft w:val="0"/>
      <w:marRight w:val="0"/>
      <w:marTop w:val="0"/>
      <w:marBottom w:val="0"/>
      <w:divBdr>
        <w:top w:val="none" w:sz="0" w:space="0" w:color="auto"/>
        <w:left w:val="none" w:sz="0" w:space="0" w:color="auto"/>
        <w:bottom w:val="none" w:sz="0" w:space="0" w:color="auto"/>
        <w:right w:val="none" w:sz="0" w:space="0" w:color="auto"/>
      </w:divBdr>
    </w:div>
    <w:div w:id="403576859">
      <w:marLeft w:val="0"/>
      <w:marRight w:val="0"/>
      <w:marTop w:val="0"/>
      <w:marBottom w:val="0"/>
      <w:divBdr>
        <w:top w:val="none" w:sz="0" w:space="0" w:color="auto"/>
        <w:left w:val="none" w:sz="0" w:space="0" w:color="auto"/>
        <w:bottom w:val="none" w:sz="0" w:space="0" w:color="auto"/>
        <w:right w:val="none" w:sz="0" w:space="0" w:color="auto"/>
      </w:divBdr>
    </w:div>
    <w:div w:id="407532899">
      <w:marLeft w:val="0"/>
      <w:marRight w:val="0"/>
      <w:marTop w:val="120"/>
      <w:marBottom w:val="0"/>
      <w:divBdr>
        <w:top w:val="none" w:sz="0" w:space="0" w:color="auto"/>
        <w:left w:val="none" w:sz="0" w:space="0" w:color="auto"/>
        <w:bottom w:val="none" w:sz="0" w:space="0" w:color="auto"/>
        <w:right w:val="none" w:sz="0" w:space="0" w:color="auto"/>
      </w:divBdr>
    </w:div>
    <w:div w:id="408160171">
      <w:marLeft w:val="0"/>
      <w:marRight w:val="0"/>
      <w:marTop w:val="120"/>
      <w:marBottom w:val="0"/>
      <w:divBdr>
        <w:top w:val="none" w:sz="0" w:space="0" w:color="auto"/>
        <w:left w:val="none" w:sz="0" w:space="0" w:color="auto"/>
        <w:bottom w:val="none" w:sz="0" w:space="0" w:color="auto"/>
        <w:right w:val="none" w:sz="0" w:space="0" w:color="auto"/>
      </w:divBdr>
    </w:div>
    <w:div w:id="409811895">
      <w:marLeft w:val="0"/>
      <w:marRight w:val="0"/>
      <w:marTop w:val="0"/>
      <w:marBottom w:val="0"/>
      <w:divBdr>
        <w:top w:val="none" w:sz="0" w:space="0" w:color="auto"/>
        <w:left w:val="none" w:sz="0" w:space="0" w:color="auto"/>
        <w:bottom w:val="none" w:sz="0" w:space="0" w:color="auto"/>
        <w:right w:val="none" w:sz="0" w:space="0" w:color="auto"/>
      </w:divBdr>
      <w:divsChild>
        <w:div w:id="1860267313">
          <w:marLeft w:val="0"/>
          <w:marRight w:val="0"/>
          <w:marTop w:val="0"/>
          <w:marBottom w:val="0"/>
          <w:divBdr>
            <w:top w:val="none" w:sz="0" w:space="0" w:color="auto"/>
            <w:left w:val="none" w:sz="0" w:space="0" w:color="auto"/>
            <w:bottom w:val="none" w:sz="0" w:space="0" w:color="auto"/>
            <w:right w:val="none" w:sz="0" w:space="0" w:color="auto"/>
          </w:divBdr>
        </w:div>
      </w:divsChild>
    </w:div>
    <w:div w:id="410470244">
      <w:marLeft w:val="0"/>
      <w:marRight w:val="0"/>
      <w:marTop w:val="0"/>
      <w:marBottom w:val="0"/>
      <w:divBdr>
        <w:top w:val="none" w:sz="0" w:space="0" w:color="auto"/>
        <w:left w:val="none" w:sz="0" w:space="0" w:color="auto"/>
        <w:bottom w:val="none" w:sz="0" w:space="0" w:color="auto"/>
        <w:right w:val="none" w:sz="0" w:space="0" w:color="auto"/>
      </w:divBdr>
      <w:divsChild>
        <w:div w:id="20782259">
          <w:marLeft w:val="0"/>
          <w:marRight w:val="0"/>
          <w:marTop w:val="0"/>
          <w:marBottom w:val="0"/>
          <w:divBdr>
            <w:top w:val="none" w:sz="0" w:space="0" w:color="auto"/>
            <w:left w:val="none" w:sz="0" w:space="0" w:color="auto"/>
            <w:bottom w:val="none" w:sz="0" w:space="0" w:color="auto"/>
            <w:right w:val="none" w:sz="0" w:space="0" w:color="auto"/>
          </w:divBdr>
        </w:div>
      </w:divsChild>
    </w:div>
    <w:div w:id="410781390">
      <w:marLeft w:val="0"/>
      <w:marRight w:val="0"/>
      <w:marTop w:val="120"/>
      <w:marBottom w:val="0"/>
      <w:divBdr>
        <w:top w:val="none" w:sz="0" w:space="0" w:color="auto"/>
        <w:left w:val="none" w:sz="0" w:space="0" w:color="auto"/>
        <w:bottom w:val="none" w:sz="0" w:space="0" w:color="auto"/>
        <w:right w:val="none" w:sz="0" w:space="0" w:color="auto"/>
      </w:divBdr>
    </w:div>
    <w:div w:id="411243130">
      <w:marLeft w:val="0"/>
      <w:marRight w:val="0"/>
      <w:marTop w:val="0"/>
      <w:marBottom w:val="120"/>
      <w:divBdr>
        <w:top w:val="none" w:sz="0" w:space="0" w:color="auto"/>
        <w:left w:val="none" w:sz="0" w:space="0" w:color="auto"/>
        <w:bottom w:val="none" w:sz="0" w:space="0" w:color="auto"/>
        <w:right w:val="none" w:sz="0" w:space="0" w:color="auto"/>
      </w:divBdr>
    </w:div>
    <w:div w:id="411243403">
      <w:marLeft w:val="0"/>
      <w:marRight w:val="0"/>
      <w:marTop w:val="0"/>
      <w:marBottom w:val="0"/>
      <w:divBdr>
        <w:top w:val="none" w:sz="0" w:space="0" w:color="auto"/>
        <w:left w:val="none" w:sz="0" w:space="0" w:color="auto"/>
        <w:bottom w:val="none" w:sz="0" w:space="0" w:color="auto"/>
        <w:right w:val="none" w:sz="0" w:space="0" w:color="auto"/>
      </w:divBdr>
      <w:divsChild>
        <w:div w:id="1559629195">
          <w:marLeft w:val="0"/>
          <w:marRight w:val="0"/>
          <w:marTop w:val="0"/>
          <w:marBottom w:val="0"/>
          <w:divBdr>
            <w:top w:val="none" w:sz="0" w:space="0" w:color="auto"/>
            <w:left w:val="none" w:sz="0" w:space="0" w:color="auto"/>
            <w:bottom w:val="none" w:sz="0" w:space="0" w:color="auto"/>
            <w:right w:val="none" w:sz="0" w:space="0" w:color="auto"/>
          </w:divBdr>
        </w:div>
      </w:divsChild>
    </w:div>
    <w:div w:id="411854865">
      <w:marLeft w:val="0"/>
      <w:marRight w:val="0"/>
      <w:marTop w:val="120"/>
      <w:marBottom w:val="0"/>
      <w:divBdr>
        <w:top w:val="none" w:sz="0" w:space="0" w:color="auto"/>
        <w:left w:val="none" w:sz="0" w:space="0" w:color="auto"/>
        <w:bottom w:val="none" w:sz="0" w:space="0" w:color="auto"/>
        <w:right w:val="none" w:sz="0" w:space="0" w:color="auto"/>
      </w:divBdr>
    </w:div>
    <w:div w:id="412626355">
      <w:marLeft w:val="0"/>
      <w:marRight w:val="0"/>
      <w:marTop w:val="120"/>
      <w:marBottom w:val="0"/>
      <w:divBdr>
        <w:top w:val="none" w:sz="0" w:space="0" w:color="auto"/>
        <w:left w:val="none" w:sz="0" w:space="0" w:color="auto"/>
        <w:bottom w:val="none" w:sz="0" w:space="0" w:color="auto"/>
        <w:right w:val="none" w:sz="0" w:space="0" w:color="auto"/>
      </w:divBdr>
    </w:div>
    <w:div w:id="413746567">
      <w:marLeft w:val="0"/>
      <w:marRight w:val="0"/>
      <w:marTop w:val="0"/>
      <w:marBottom w:val="120"/>
      <w:divBdr>
        <w:top w:val="none" w:sz="0" w:space="0" w:color="auto"/>
        <w:left w:val="none" w:sz="0" w:space="0" w:color="auto"/>
        <w:bottom w:val="none" w:sz="0" w:space="0" w:color="auto"/>
        <w:right w:val="none" w:sz="0" w:space="0" w:color="auto"/>
      </w:divBdr>
      <w:divsChild>
        <w:div w:id="1103646603">
          <w:marLeft w:val="0"/>
          <w:marRight w:val="0"/>
          <w:marTop w:val="0"/>
          <w:marBottom w:val="0"/>
          <w:divBdr>
            <w:top w:val="none" w:sz="0" w:space="0" w:color="auto"/>
            <w:left w:val="none" w:sz="0" w:space="0" w:color="auto"/>
            <w:bottom w:val="none" w:sz="0" w:space="0" w:color="auto"/>
            <w:right w:val="none" w:sz="0" w:space="0" w:color="auto"/>
          </w:divBdr>
        </w:div>
      </w:divsChild>
    </w:div>
    <w:div w:id="414280153">
      <w:marLeft w:val="0"/>
      <w:marRight w:val="0"/>
      <w:marTop w:val="0"/>
      <w:marBottom w:val="0"/>
      <w:divBdr>
        <w:top w:val="none" w:sz="0" w:space="0" w:color="auto"/>
        <w:left w:val="none" w:sz="0" w:space="0" w:color="auto"/>
        <w:bottom w:val="none" w:sz="0" w:space="0" w:color="auto"/>
        <w:right w:val="none" w:sz="0" w:space="0" w:color="auto"/>
      </w:divBdr>
    </w:div>
    <w:div w:id="414402816">
      <w:marLeft w:val="0"/>
      <w:marRight w:val="0"/>
      <w:marTop w:val="0"/>
      <w:marBottom w:val="0"/>
      <w:divBdr>
        <w:top w:val="none" w:sz="0" w:space="0" w:color="auto"/>
        <w:left w:val="none" w:sz="0" w:space="0" w:color="auto"/>
        <w:bottom w:val="none" w:sz="0" w:space="0" w:color="auto"/>
        <w:right w:val="none" w:sz="0" w:space="0" w:color="auto"/>
      </w:divBdr>
    </w:div>
    <w:div w:id="414523538">
      <w:marLeft w:val="0"/>
      <w:marRight w:val="0"/>
      <w:marTop w:val="120"/>
      <w:marBottom w:val="0"/>
      <w:divBdr>
        <w:top w:val="none" w:sz="0" w:space="0" w:color="auto"/>
        <w:left w:val="none" w:sz="0" w:space="0" w:color="auto"/>
        <w:bottom w:val="none" w:sz="0" w:space="0" w:color="auto"/>
        <w:right w:val="none" w:sz="0" w:space="0" w:color="auto"/>
      </w:divBdr>
    </w:div>
    <w:div w:id="415326182">
      <w:marLeft w:val="0"/>
      <w:marRight w:val="0"/>
      <w:marTop w:val="120"/>
      <w:marBottom w:val="0"/>
      <w:divBdr>
        <w:top w:val="none" w:sz="0" w:space="0" w:color="auto"/>
        <w:left w:val="none" w:sz="0" w:space="0" w:color="auto"/>
        <w:bottom w:val="none" w:sz="0" w:space="0" w:color="auto"/>
        <w:right w:val="none" w:sz="0" w:space="0" w:color="auto"/>
      </w:divBdr>
    </w:div>
    <w:div w:id="416246640">
      <w:marLeft w:val="0"/>
      <w:marRight w:val="0"/>
      <w:marTop w:val="120"/>
      <w:marBottom w:val="0"/>
      <w:divBdr>
        <w:top w:val="none" w:sz="0" w:space="0" w:color="auto"/>
        <w:left w:val="none" w:sz="0" w:space="0" w:color="auto"/>
        <w:bottom w:val="none" w:sz="0" w:space="0" w:color="auto"/>
        <w:right w:val="none" w:sz="0" w:space="0" w:color="auto"/>
      </w:divBdr>
    </w:div>
    <w:div w:id="416706876">
      <w:marLeft w:val="0"/>
      <w:marRight w:val="0"/>
      <w:marTop w:val="0"/>
      <w:marBottom w:val="120"/>
      <w:divBdr>
        <w:top w:val="none" w:sz="0" w:space="0" w:color="auto"/>
        <w:left w:val="none" w:sz="0" w:space="0" w:color="auto"/>
        <w:bottom w:val="none" w:sz="0" w:space="0" w:color="auto"/>
        <w:right w:val="none" w:sz="0" w:space="0" w:color="auto"/>
      </w:divBdr>
    </w:div>
    <w:div w:id="417554225">
      <w:marLeft w:val="0"/>
      <w:marRight w:val="0"/>
      <w:marTop w:val="0"/>
      <w:marBottom w:val="0"/>
      <w:divBdr>
        <w:top w:val="none" w:sz="0" w:space="0" w:color="auto"/>
        <w:left w:val="none" w:sz="0" w:space="0" w:color="auto"/>
        <w:bottom w:val="none" w:sz="0" w:space="0" w:color="auto"/>
        <w:right w:val="none" w:sz="0" w:space="0" w:color="auto"/>
      </w:divBdr>
    </w:div>
    <w:div w:id="419719901">
      <w:marLeft w:val="0"/>
      <w:marRight w:val="0"/>
      <w:marTop w:val="120"/>
      <w:marBottom w:val="0"/>
      <w:divBdr>
        <w:top w:val="none" w:sz="0" w:space="0" w:color="auto"/>
        <w:left w:val="none" w:sz="0" w:space="0" w:color="auto"/>
        <w:bottom w:val="none" w:sz="0" w:space="0" w:color="auto"/>
        <w:right w:val="none" w:sz="0" w:space="0" w:color="auto"/>
      </w:divBdr>
    </w:div>
    <w:div w:id="422260394">
      <w:marLeft w:val="0"/>
      <w:marRight w:val="0"/>
      <w:marTop w:val="0"/>
      <w:marBottom w:val="0"/>
      <w:divBdr>
        <w:top w:val="none" w:sz="0" w:space="0" w:color="auto"/>
        <w:left w:val="none" w:sz="0" w:space="0" w:color="auto"/>
        <w:bottom w:val="none" w:sz="0" w:space="0" w:color="auto"/>
        <w:right w:val="none" w:sz="0" w:space="0" w:color="auto"/>
      </w:divBdr>
      <w:divsChild>
        <w:div w:id="1389958279">
          <w:marLeft w:val="0"/>
          <w:marRight w:val="0"/>
          <w:marTop w:val="0"/>
          <w:marBottom w:val="0"/>
          <w:divBdr>
            <w:top w:val="none" w:sz="0" w:space="0" w:color="auto"/>
            <w:left w:val="none" w:sz="0" w:space="0" w:color="auto"/>
            <w:bottom w:val="none" w:sz="0" w:space="0" w:color="auto"/>
            <w:right w:val="none" w:sz="0" w:space="0" w:color="auto"/>
          </w:divBdr>
        </w:div>
      </w:divsChild>
    </w:div>
    <w:div w:id="422921290">
      <w:marLeft w:val="0"/>
      <w:marRight w:val="0"/>
      <w:marTop w:val="120"/>
      <w:marBottom w:val="0"/>
      <w:divBdr>
        <w:top w:val="none" w:sz="0" w:space="0" w:color="auto"/>
        <w:left w:val="none" w:sz="0" w:space="0" w:color="auto"/>
        <w:bottom w:val="none" w:sz="0" w:space="0" w:color="auto"/>
        <w:right w:val="none" w:sz="0" w:space="0" w:color="auto"/>
      </w:divBdr>
    </w:div>
    <w:div w:id="423769607">
      <w:marLeft w:val="0"/>
      <w:marRight w:val="0"/>
      <w:marTop w:val="0"/>
      <w:marBottom w:val="0"/>
      <w:divBdr>
        <w:top w:val="none" w:sz="0" w:space="0" w:color="auto"/>
        <w:left w:val="none" w:sz="0" w:space="0" w:color="auto"/>
        <w:bottom w:val="none" w:sz="0" w:space="0" w:color="auto"/>
        <w:right w:val="none" w:sz="0" w:space="0" w:color="auto"/>
      </w:divBdr>
    </w:div>
    <w:div w:id="424226197">
      <w:marLeft w:val="0"/>
      <w:marRight w:val="0"/>
      <w:marTop w:val="100"/>
      <w:marBottom w:val="0"/>
      <w:divBdr>
        <w:top w:val="none" w:sz="0" w:space="0" w:color="auto"/>
        <w:left w:val="none" w:sz="0" w:space="0" w:color="auto"/>
        <w:bottom w:val="none" w:sz="0" w:space="0" w:color="auto"/>
        <w:right w:val="none" w:sz="0" w:space="0" w:color="auto"/>
      </w:divBdr>
    </w:div>
    <w:div w:id="427163661">
      <w:marLeft w:val="0"/>
      <w:marRight w:val="0"/>
      <w:marTop w:val="0"/>
      <w:marBottom w:val="0"/>
      <w:divBdr>
        <w:top w:val="none" w:sz="0" w:space="0" w:color="auto"/>
        <w:left w:val="none" w:sz="0" w:space="0" w:color="auto"/>
        <w:bottom w:val="none" w:sz="0" w:space="0" w:color="auto"/>
        <w:right w:val="none" w:sz="0" w:space="0" w:color="auto"/>
      </w:divBdr>
    </w:div>
    <w:div w:id="428161887">
      <w:marLeft w:val="0"/>
      <w:marRight w:val="0"/>
      <w:marTop w:val="120"/>
      <w:marBottom w:val="0"/>
      <w:divBdr>
        <w:top w:val="none" w:sz="0" w:space="0" w:color="auto"/>
        <w:left w:val="none" w:sz="0" w:space="0" w:color="auto"/>
        <w:bottom w:val="none" w:sz="0" w:space="0" w:color="auto"/>
        <w:right w:val="none" w:sz="0" w:space="0" w:color="auto"/>
      </w:divBdr>
    </w:div>
    <w:div w:id="430710750">
      <w:marLeft w:val="0"/>
      <w:marRight w:val="0"/>
      <w:marTop w:val="0"/>
      <w:marBottom w:val="0"/>
      <w:divBdr>
        <w:top w:val="none" w:sz="0" w:space="0" w:color="auto"/>
        <w:left w:val="none" w:sz="0" w:space="0" w:color="auto"/>
        <w:bottom w:val="none" w:sz="0" w:space="0" w:color="auto"/>
        <w:right w:val="none" w:sz="0" w:space="0" w:color="auto"/>
      </w:divBdr>
    </w:div>
    <w:div w:id="431896696">
      <w:marLeft w:val="0"/>
      <w:marRight w:val="0"/>
      <w:marTop w:val="120"/>
      <w:marBottom w:val="0"/>
      <w:divBdr>
        <w:top w:val="none" w:sz="0" w:space="0" w:color="auto"/>
        <w:left w:val="none" w:sz="0" w:space="0" w:color="auto"/>
        <w:bottom w:val="none" w:sz="0" w:space="0" w:color="auto"/>
        <w:right w:val="none" w:sz="0" w:space="0" w:color="auto"/>
      </w:divBdr>
    </w:div>
    <w:div w:id="431903809">
      <w:marLeft w:val="0"/>
      <w:marRight w:val="0"/>
      <w:marTop w:val="120"/>
      <w:marBottom w:val="0"/>
      <w:divBdr>
        <w:top w:val="none" w:sz="0" w:space="0" w:color="auto"/>
        <w:left w:val="none" w:sz="0" w:space="0" w:color="auto"/>
        <w:bottom w:val="none" w:sz="0" w:space="0" w:color="auto"/>
        <w:right w:val="none" w:sz="0" w:space="0" w:color="auto"/>
      </w:divBdr>
    </w:div>
    <w:div w:id="435909692">
      <w:marLeft w:val="0"/>
      <w:marRight w:val="0"/>
      <w:marTop w:val="120"/>
      <w:marBottom w:val="0"/>
      <w:divBdr>
        <w:top w:val="none" w:sz="0" w:space="0" w:color="auto"/>
        <w:left w:val="none" w:sz="0" w:space="0" w:color="auto"/>
        <w:bottom w:val="none" w:sz="0" w:space="0" w:color="auto"/>
        <w:right w:val="none" w:sz="0" w:space="0" w:color="auto"/>
      </w:divBdr>
    </w:div>
    <w:div w:id="438064724">
      <w:marLeft w:val="0"/>
      <w:marRight w:val="0"/>
      <w:marTop w:val="0"/>
      <w:marBottom w:val="0"/>
      <w:divBdr>
        <w:top w:val="none" w:sz="0" w:space="0" w:color="auto"/>
        <w:left w:val="none" w:sz="0" w:space="0" w:color="auto"/>
        <w:bottom w:val="none" w:sz="0" w:space="0" w:color="auto"/>
        <w:right w:val="none" w:sz="0" w:space="0" w:color="auto"/>
      </w:divBdr>
    </w:div>
    <w:div w:id="438643579">
      <w:marLeft w:val="0"/>
      <w:marRight w:val="0"/>
      <w:marTop w:val="0"/>
      <w:marBottom w:val="0"/>
      <w:divBdr>
        <w:top w:val="none" w:sz="0" w:space="0" w:color="auto"/>
        <w:left w:val="none" w:sz="0" w:space="0" w:color="auto"/>
        <w:bottom w:val="none" w:sz="0" w:space="0" w:color="auto"/>
        <w:right w:val="none" w:sz="0" w:space="0" w:color="auto"/>
      </w:divBdr>
    </w:div>
    <w:div w:id="439490051">
      <w:marLeft w:val="0"/>
      <w:marRight w:val="0"/>
      <w:marTop w:val="120"/>
      <w:marBottom w:val="0"/>
      <w:divBdr>
        <w:top w:val="none" w:sz="0" w:space="0" w:color="auto"/>
        <w:left w:val="none" w:sz="0" w:space="0" w:color="auto"/>
        <w:bottom w:val="none" w:sz="0" w:space="0" w:color="auto"/>
        <w:right w:val="none" w:sz="0" w:space="0" w:color="auto"/>
      </w:divBdr>
    </w:div>
    <w:div w:id="440076111">
      <w:marLeft w:val="0"/>
      <w:marRight w:val="0"/>
      <w:marTop w:val="0"/>
      <w:marBottom w:val="60"/>
      <w:divBdr>
        <w:top w:val="none" w:sz="0" w:space="0" w:color="auto"/>
        <w:left w:val="none" w:sz="0" w:space="0" w:color="auto"/>
        <w:bottom w:val="none" w:sz="0" w:space="0" w:color="auto"/>
        <w:right w:val="none" w:sz="0" w:space="0" w:color="auto"/>
      </w:divBdr>
    </w:div>
    <w:div w:id="440104876">
      <w:marLeft w:val="0"/>
      <w:marRight w:val="0"/>
      <w:marTop w:val="120"/>
      <w:marBottom w:val="0"/>
      <w:divBdr>
        <w:top w:val="none" w:sz="0" w:space="0" w:color="auto"/>
        <w:left w:val="none" w:sz="0" w:space="0" w:color="auto"/>
        <w:bottom w:val="none" w:sz="0" w:space="0" w:color="auto"/>
        <w:right w:val="none" w:sz="0" w:space="0" w:color="auto"/>
      </w:divBdr>
    </w:div>
    <w:div w:id="442917331">
      <w:marLeft w:val="0"/>
      <w:marRight w:val="0"/>
      <w:marTop w:val="0"/>
      <w:marBottom w:val="0"/>
      <w:divBdr>
        <w:top w:val="none" w:sz="0" w:space="0" w:color="auto"/>
        <w:left w:val="none" w:sz="0" w:space="0" w:color="auto"/>
        <w:bottom w:val="none" w:sz="0" w:space="0" w:color="auto"/>
        <w:right w:val="none" w:sz="0" w:space="0" w:color="auto"/>
      </w:divBdr>
      <w:divsChild>
        <w:div w:id="1813014539">
          <w:marLeft w:val="0"/>
          <w:marRight w:val="0"/>
          <w:marTop w:val="0"/>
          <w:marBottom w:val="0"/>
          <w:divBdr>
            <w:top w:val="none" w:sz="0" w:space="0" w:color="auto"/>
            <w:left w:val="none" w:sz="0" w:space="0" w:color="auto"/>
            <w:bottom w:val="none" w:sz="0" w:space="0" w:color="auto"/>
            <w:right w:val="none" w:sz="0" w:space="0" w:color="auto"/>
          </w:divBdr>
        </w:div>
      </w:divsChild>
    </w:div>
    <w:div w:id="444082248">
      <w:marLeft w:val="0"/>
      <w:marRight w:val="0"/>
      <w:marTop w:val="120"/>
      <w:marBottom w:val="0"/>
      <w:divBdr>
        <w:top w:val="none" w:sz="0" w:space="0" w:color="auto"/>
        <w:left w:val="none" w:sz="0" w:space="0" w:color="auto"/>
        <w:bottom w:val="none" w:sz="0" w:space="0" w:color="auto"/>
        <w:right w:val="none" w:sz="0" w:space="0" w:color="auto"/>
      </w:divBdr>
    </w:div>
    <w:div w:id="447627015">
      <w:marLeft w:val="0"/>
      <w:marRight w:val="0"/>
      <w:marTop w:val="120"/>
      <w:marBottom w:val="0"/>
      <w:divBdr>
        <w:top w:val="none" w:sz="0" w:space="0" w:color="auto"/>
        <w:left w:val="none" w:sz="0" w:space="0" w:color="auto"/>
        <w:bottom w:val="none" w:sz="0" w:space="0" w:color="auto"/>
        <w:right w:val="none" w:sz="0" w:space="0" w:color="auto"/>
      </w:divBdr>
    </w:div>
    <w:div w:id="447628708">
      <w:marLeft w:val="0"/>
      <w:marRight w:val="0"/>
      <w:marTop w:val="120"/>
      <w:marBottom w:val="0"/>
      <w:divBdr>
        <w:top w:val="none" w:sz="0" w:space="0" w:color="auto"/>
        <w:left w:val="none" w:sz="0" w:space="0" w:color="auto"/>
        <w:bottom w:val="none" w:sz="0" w:space="0" w:color="auto"/>
        <w:right w:val="none" w:sz="0" w:space="0" w:color="auto"/>
      </w:divBdr>
    </w:div>
    <w:div w:id="449082790">
      <w:marLeft w:val="0"/>
      <w:marRight w:val="0"/>
      <w:marTop w:val="120"/>
      <w:marBottom w:val="0"/>
      <w:divBdr>
        <w:top w:val="none" w:sz="0" w:space="0" w:color="auto"/>
        <w:left w:val="none" w:sz="0" w:space="0" w:color="auto"/>
        <w:bottom w:val="none" w:sz="0" w:space="0" w:color="auto"/>
        <w:right w:val="none" w:sz="0" w:space="0" w:color="auto"/>
      </w:divBdr>
    </w:div>
    <w:div w:id="450709624">
      <w:marLeft w:val="0"/>
      <w:marRight w:val="0"/>
      <w:marTop w:val="120"/>
      <w:marBottom w:val="0"/>
      <w:divBdr>
        <w:top w:val="none" w:sz="0" w:space="0" w:color="auto"/>
        <w:left w:val="none" w:sz="0" w:space="0" w:color="auto"/>
        <w:bottom w:val="none" w:sz="0" w:space="0" w:color="auto"/>
        <w:right w:val="none" w:sz="0" w:space="0" w:color="auto"/>
      </w:divBdr>
    </w:div>
    <w:div w:id="450976526">
      <w:marLeft w:val="0"/>
      <w:marRight w:val="0"/>
      <w:marTop w:val="120"/>
      <w:marBottom w:val="0"/>
      <w:divBdr>
        <w:top w:val="none" w:sz="0" w:space="0" w:color="auto"/>
        <w:left w:val="none" w:sz="0" w:space="0" w:color="auto"/>
        <w:bottom w:val="none" w:sz="0" w:space="0" w:color="auto"/>
        <w:right w:val="none" w:sz="0" w:space="0" w:color="auto"/>
      </w:divBdr>
    </w:div>
    <w:div w:id="452599709">
      <w:marLeft w:val="0"/>
      <w:marRight w:val="0"/>
      <w:marTop w:val="120"/>
      <w:marBottom w:val="0"/>
      <w:divBdr>
        <w:top w:val="none" w:sz="0" w:space="0" w:color="auto"/>
        <w:left w:val="none" w:sz="0" w:space="0" w:color="auto"/>
        <w:bottom w:val="none" w:sz="0" w:space="0" w:color="auto"/>
        <w:right w:val="none" w:sz="0" w:space="0" w:color="auto"/>
      </w:divBdr>
    </w:div>
    <w:div w:id="456024217">
      <w:marLeft w:val="0"/>
      <w:marRight w:val="0"/>
      <w:marTop w:val="120"/>
      <w:marBottom w:val="0"/>
      <w:divBdr>
        <w:top w:val="none" w:sz="0" w:space="0" w:color="auto"/>
        <w:left w:val="none" w:sz="0" w:space="0" w:color="auto"/>
        <w:bottom w:val="none" w:sz="0" w:space="0" w:color="auto"/>
        <w:right w:val="none" w:sz="0" w:space="0" w:color="auto"/>
      </w:divBdr>
    </w:div>
    <w:div w:id="457722689">
      <w:marLeft w:val="0"/>
      <w:marRight w:val="0"/>
      <w:marTop w:val="120"/>
      <w:marBottom w:val="0"/>
      <w:divBdr>
        <w:top w:val="none" w:sz="0" w:space="0" w:color="auto"/>
        <w:left w:val="none" w:sz="0" w:space="0" w:color="auto"/>
        <w:bottom w:val="none" w:sz="0" w:space="0" w:color="auto"/>
        <w:right w:val="none" w:sz="0" w:space="0" w:color="auto"/>
      </w:divBdr>
    </w:div>
    <w:div w:id="460466780">
      <w:marLeft w:val="0"/>
      <w:marRight w:val="0"/>
      <w:marTop w:val="0"/>
      <w:marBottom w:val="0"/>
      <w:divBdr>
        <w:top w:val="none" w:sz="0" w:space="0" w:color="auto"/>
        <w:left w:val="none" w:sz="0" w:space="0" w:color="auto"/>
        <w:bottom w:val="none" w:sz="0" w:space="0" w:color="auto"/>
        <w:right w:val="none" w:sz="0" w:space="0" w:color="auto"/>
      </w:divBdr>
      <w:divsChild>
        <w:div w:id="149031243">
          <w:marLeft w:val="0"/>
          <w:marRight w:val="0"/>
          <w:marTop w:val="0"/>
          <w:marBottom w:val="0"/>
          <w:divBdr>
            <w:top w:val="none" w:sz="0" w:space="0" w:color="auto"/>
            <w:left w:val="none" w:sz="0" w:space="0" w:color="auto"/>
            <w:bottom w:val="none" w:sz="0" w:space="0" w:color="auto"/>
            <w:right w:val="none" w:sz="0" w:space="0" w:color="auto"/>
          </w:divBdr>
        </w:div>
      </w:divsChild>
    </w:div>
    <w:div w:id="463036573">
      <w:marLeft w:val="0"/>
      <w:marRight w:val="0"/>
      <w:marTop w:val="180"/>
      <w:marBottom w:val="0"/>
      <w:divBdr>
        <w:top w:val="none" w:sz="0" w:space="0" w:color="auto"/>
        <w:left w:val="none" w:sz="0" w:space="0" w:color="auto"/>
        <w:bottom w:val="none" w:sz="0" w:space="0" w:color="auto"/>
        <w:right w:val="none" w:sz="0" w:space="0" w:color="auto"/>
      </w:divBdr>
    </w:div>
    <w:div w:id="463620016">
      <w:marLeft w:val="0"/>
      <w:marRight w:val="0"/>
      <w:marTop w:val="0"/>
      <w:marBottom w:val="0"/>
      <w:divBdr>
        <w:top w:val="none" w:sz="0" w:space="0" w:color="auto"/>
        <w:left w:val="none" w:sz="0" w:space="0" w:color="auto"/>
        <w:bottom w:val="none" w:sz="0" w:space="0" w:color="auto"/>
        <w:right w:val="none" w:sz="0" w:space="0" w:color="auto"/>
      </w:divBdr>
    </w:div>
    <w:div w:id="465398034">
      <w:marLeft w:val="0"/>
      <w:marRight w:val="0"/>
      <w:marTop w:val="0"/>
      <w:marBottom w:val="120"/>
      <w:divBdr>
        <w:top w:val="none" w:sz="0" w:space="0" w:color="auto"/>
        <w:left w:val="none" w:sz="0" w:space="0" w:color="auto"/>
        <w:bottom w:val="none" w:sz="0" w:space="0" w:color="auto"/>
        <w:right w:val="none" w:sz="0" w:space="0" w:color="auto"/>
      </w:divBdr>
    </w:div>
    <w:div w:id="465926627">
      <w:marLeft w:val="0"/>
      <w:marRight w:val="0"/>
      <w:marTop w:val="0"/>
      <w:marBottom w:val="0"/>
      <w:divBdr>
        <w:top w:val="none" w:sz="0" w:space="0" w:color="auto"/>
        <w:left w:val="none" w:sz="0" w:space="0" w:color="auto"/>
        <w:bottom w:val="none" w:sz="0" w:space="0" w:color="auto"/>
        <w:right w:val="none" w:sz="0" w:space="0" w:color="auto"/>
      </w:divBdr>
    </w:div>
    <w:div w:id="466507953">
      <w:marLeft w:val="0"/>
      <w:marRight w:val="0"/>
      <w:marTop w:val="120"/>
      <w:marBottom w:val="0"/>
      <w:divBdr>
        <w:top w:val="none" w:sz="0" w:space="0" w:color="auto"/>
        <w:left w:val="none" w:sz="0" w:space="0" w:color="auto"/>
        <w:bottom w:val="none" w:sz="0" w:space="0" w:color="auto"/>
        <w:right w:val="none" w:sz="0" w:space="0" w:color="auto"/>
      </w:divBdr>
    </w:div>
    <w:div w:id="466581971">
      <w:marLeft w:val="0"/>
      <w:marRight w:val="0"/>
      <w:marTop w:val="0"/>
      <w:marBottom w:val="0"/>
      <w:divBdr>
        <w:top w:val="none" w:sz="0" w:space="0" w:color="auto"/>
        <w:left w:val="none" w:sz="0" w:space="0" w:color="auto"/>
        <w:bottom w:val="none" w:sz="0" w:space="0" w:color="auto"/>
        <w:right w:val="none" w:sz="0" w:space="0" w:color="auto"/>
      </w:divBdr>
    </w:div>
    <w:div w:id="466704551">
      <w:marLeft w:val="0"/>
      <w:marRight w:val="0"/>
      <w:marTop w:val="0"/>
      <w:marBottom w:val="0"/>
      <w:divBdr>
        <w:top w:val="none" w:sz="0" w:space="0" w:color="auto"/>
        <w:left w:val="none" w:sz="0" w:space="0" w:color="auto"/>
        <w:bottom w:val="none" w:sz="0" w:space="0" w:color="auto"/>
        <w:right w:val="none" w:sz="0" w:space="0" w:color="auto"/>
      </w:divBdr>
      <w:divsChild>
        <w:div w:id="1317606839">
          <w:marLeft w:val="0"/>
          <w:marRight w:val="0"/>
          <w:marTop w:val="0"/>
          <w:marBottom w:val="0"/>
          <w:divBdr>
            <w:top w:val="none" w:sz="0" w:space="0" w:color="auto"/>
            <w:left w:val="none" w:sz="0" w:space="0" w:color="auto"/>
            <w:bottom w:val="none" w:sz="0" w:space="0" w:color="auto"/>
            <w:right w:val="none" w:sz="0" w:space="0" w:color="auto"/>
          </w:divBdr>
        </w:div>
      </w:divsChild>
    </w:div>
    <w:div w:id="467089764">
      <w:marLeft w:val="0"/>
      <w:marRight w:val="0"/>
      <w:marTop w:val="120"/>
      <w:marBottom w:val="0"/>
      <w:divBdr>
        <w:top w:val="none" w:sz="0" w:space="0" w:color="auto"/>
        <w:left w:val="none" w:sz="0" w:space="0" w:color="auto"/>
        <w:bottom w:val="none" w:sz="0" w:space="0" w:color="auto"/>
        <w:right w:val="none" w:sz="0" w:space="0" w:color="auto"/>
      </w:divBdr>
    </w:div>
    <w:div w:id="467361804">
      <w:marLeft w:val="0"/>
      <w:marRight w:val="0"/>
      <w:marTop w:val="120"/>
      <w:marBottom w:val="0"/>
      <w:divBdr>
        <w:top w:val="none" w:sz="0" w:space="0" w:color="auto"/>
        <w:left w:val="none" w:sz="0" w:space="0" w:color="auto"/>
        <w:bottom w:val="none" w:sz="0" w:space="0" w:color="auto"/>
        <w:right w:val="none" w:sz="0" w:space="0" w:color="auto"/>
      </w:divBdr>
    </w:div>
    <w:div w:id="467548202">
      <w:marLeft w:val="0"/>
      <w:marRight w:val="0"/>
      <w:marTop w:val="120"/>
      <w:marBottom w:val="0"/>
      <w:divBdr>
        <w:top w:val="none" w:sz="0" w:space="0" w:color="auto"/>
        <w:left w:val="none" w:sz="0" w:space="0" w:color="auto"/>
        <w:bottom w:val="none" w:sz="0" w:space="0" w:color="auto"/>
        <w:right w:val="none" w:sz="0" w:space="0" w:color="auto"/>
      </w:divBdr>
    </w:div>
    <w:div w:id="468326233">
      <w:marLeft w:val="0"/>
      <w:marRight w:val="0"/>
      <w:marTop w:val="0"/>
      <w:marBottom w:val="0"/>
      <w:divBdr>
        <w:top w:val="none" w:sz="0" w:space="0" w:color="auto"/>
        <w:left w:val="none" w:sz="0" w:space="0" w:color="auto"/>
        <w:bottom w:val="none" w:sz="0" w:space="0" w:color="auto"/>
        <w:right w:val="none" w:sz="0" w:space="0" w:color="auto"/>
      </w:divBdr>
    </w:div>
    <w:div w:id="469903101">
      <w:marLeft w:val="0"/>
      <w:marRight w:val="0"/>
      <w:marTop w:val="0"/>
      <w:marBottom w:val="0"/>
      <w:divBdr>
        <w:top w:val="none" w:sz="0" w:space="0" w:color="auto"/>
        <w:left w:val="none" w:sz="0" w:space="0" w:color="auto"/>
        <w:bottom w:val="none" w:sz="0" w:space="0" w:color="auto"/>
        <w:right w:val="none" w:sz="0" w:space="0" w:color="auto"/>
      </w:divBdr>
    </w:div>
    <w:div w:id="470561506">
      <w:marLeft w:val="0"/>
      <w:marRight w:val="0"/>
      <w:marTop w:val="120"/>
      <w:marBottom w:val="0"/>
      <w:divBdr>
        <w:top w:val="none" w:sz="0" w:space="0" w:color="auto"/>
        <w:left w:val="none" w:sz="0" w:space="0" w:color="auto"/>
        <w:bottom w:val="none" w:sz="0" w:space="0" w:color="auto"/>
        <w:right w:val="none" w:sz="0" w:space="0" w:color="auto"/>
      </w:divBdr>
    </w:div>
    <w:div w:id="470900400">
      <w:marLeft w:val="0"/>
      <w:marRight w:val="0"/>
      <w:marTop w:val="0"/>
      <w:marBottom w:val="0"/>
      <w:divBdr>
        <w:top w:val="none" w:sz="0" w:space="0" w:color="auto"/>
        <w:left w:val="none" w:sz="0" w:space="0" w:color="auto"/>
        <w:bottom w:val="none" w:sz="0" w:space="0" w:color="auto"/>
        <w:right w:val="none" w:sz="0" w:space="0" w:color="auto"/>
      </w:divBdr>
    </w:div>
    <w:div w:id="475027469">
      <w:marLeft w:val="0"/>
      <w:marRight w:val="0"/>
      <w:marTop w:val="120"/>
      <w:marBottom w:val="0"/>
      <w:divBdr>
        <w:top w:val="none" w:sz="0" w:space="0" w:color="auto"/>
        <w:left w:val="none" w:sz="0" w:space="0" w:color="auto"/>
        <w:bottom w:val="none" w:sz="0" w:space="0" w:color="auto"/>
        <w:right w:val="none" w:sz="0" w:space="0" w:color="auto"/>
      </w:divBdr>
    </w:div>
    <w:div w:id="475680766">
      <w:marLeft w:val="0"/>
      <w:marRight w:val="0"/>
      <w:marTop w:val="120"/>
      <w:marBottom w:val="0"/>
      <w:divBdr>
        <w:top w:val="none" w:sz="0" w:space="0" w:color="auto"/>
        <w:left w:val="none" w:sz="0" w:space="0" w:color="auto"/>
        <w:bottom w:val="none" w:sz="0" w:space="0" w:color="auto"/>
        <w:right w:val="none" w:sz="0" w:space="0" w:color="auto"/>
      </w:divBdr>
    </w:div>
    <w:div w:id="476148536">
      <w:marLeft w:val="0"/>
      <w:marRight w:val="0"/>
      <w:marTop w:val="120"/>
      <w:marBottom w:val="0"/>
      <w:divBdr>
        <w:top w:val="none" w:sz="0" w:space="0" w:color="auto"/>
        <w:left w:val="none" w:sz="0" w:space="0" w:color="auto"/>
        <w:bottom w:val="none" w:sz="0" w:space="0" w:color="auto"/>
        <w:right w:val="none" w:sz="0" w:space="0" w:color="auto"/>
      </w:divBdr>
    </w:div>
    <w:div w:id="478154744">
      <w:marLeft w:val="0"/>
      <w:marRight w:val="0"/>
      <w:marTop w:val="0"/>
      <w:marBottom w:val="0"/>
      <w:divBdr>
        <w:top w:val="none" w:sz="0" w:space="0" w:color="auto"/>
        <w:left w:val="none" w:sz="0" w:space="0" w:color="auto"/>
        <w:bottom w:val="none" w:sz="0" w:space="0" w:color="auto"/>
        <w:right w:val="none" w:sz="0" w:space="0" w:color="auto"/>
      </w:divBdr>
    </w:div>
    <w:div w:id="479468131">
      <w:marLeft w:val="0"/>
      <w:marRight w:val="0"/>
      <w:marTop w:val="0"/>
      <w:marBottom w:val="0"/>
      <w:divBdr>
        <w:top w:val="none" w:sz="0" w:space="0" w:color="auto"/>
        <w:left w:val="none" w:sz="0" w:space="0" w:color="auto"/>
        <w:bottom w:val="none" w:sz="0" w:space="0" w:color="auto"/>
        <w:right w:val="none" w:sz="0" w:space="0" w:color="auto"/>
      </w:divBdr>
      <w:divsChild>
        <w:div w:id="1061058969">
          <w:marLeft w:val="0"/>
          <w:marRight w:val="0"/>
          <w:marTop w:val="0"/>
          <w:marBottom w:val="0"/>
          <w:divBdr>
            <w:top w:val="none" w:sz="0" w:space="0" w:color="auto"/>
            <w:left w:val="none" w:sz="0" w:space="0" w:color="auto"/>
            <w:bottom w:val="none" w:sz="0" w:space="0" w:color="auto"/>
            <w:right w:val="none" w:sz="0" w:space="0" w:color="auto"/>
          </w:divBdr>
        </w:div>
      </w:divsChild>
    </w:div>
    <w:div w:id="480578546">
      <w:marLeft w:val="0"/>
      <w:marRight w:val="0"/>
      <w:marTop w:val="180"/>
      <w:marBottom w:val="0"/>
      <w:divBdr>
        <w:top w:val="none" w:sz="0" w:space="0" w:color="auto"/>
        <w:left w:val="none" w:sz="0" w:space="0" w:color="auto"/>
        <w:bottom w:val="none" w:sz="0" w:space="0" w:color="auto"/>
        <w:right w:val="none" w:sz="0" w:space="0" w:color="auto"/>
      </w:divBdr>
    </w:div>
    <w:div w:id="482048284">
      <w:marLeft w:val="0"/>
      <w:marRight w:val="0"/>
      <w:marTop w:val="0"/>
      <w:marBottom w:val="0"/>
      <w:divBdr>
        <w:top w:val="none" w:sz="0" w:space="0" w:color="auto"/>
        <w:left w:val="none" w:sz="0" w:space="0" w:color="auto"/>
        <w:bottom w:val="none" w:sz="0" w:space="0" w:color="auto"/>
        <w:right w:val="none" w:sz="0" w:space="0" w:color="auto"/>
      </w:divBdr>
    </w:div>
    <w:div w:id="482283717">
      <w:marLeft w:val="0"/>
      <w:marRight w:val="0"/>
      <w:marTop w:val="120"/>
      <w:marBottom w:val="0"/>
      <w:divBdr>
        <w:top w:val="none" w:sz="0" w:space="0" w:color="auto"/>
        <w:left w:val="none" w:sz="0" w:space="0" w:color="auto"/>
        <w:bottom w:val="none" w:sz="0" w:space="0" w:color="auto"/>
        <w:right w:val="none" w:sz="0" w:space="0" w:color="auto"/>
      </w:divBdr>
    </w:div>
    <w:div w:id="482934994">
      <w:marLeft w:val="0"/>
      <w:marRight w:val="0"/>
      <w:marTop w:val="120"/>
      <w:marBottom w:val="0"/>
      <w:divBdr>
        <w:top w:val="none" w:sz="0" w:space="0" w:color="auto"/>
        <w:left w:val="none" w:sz="0" w:space="0" w:color="auto"/>
        <w:bottom w:val="none" w:sz="0" w:space="0" w:color="auto"/>
        <w:right w:val="none" w:sz="0" w:space="0" w:color="auto"/>
      </w:divBdr>
    </w:div>
    <w:div w:id="483737588">
      <w:marLeft w:val="0"/>
      <w:marRight w:val="0"/>
      <w:marTop w:val="120"/>
      <w:marBottom w:val="0"/>
      <w:divBdr>
        <w:top w:val="none" w:sz="0" w:space="0" w:color="auto"/>
        <w:left w:val="none" w:sz="0" w:space="0" w:color="auto"/>
        <w:bottom w:val="none" w:sz="0" w:space="0" w:color="auto"/>
        <w:right w:val="none" w:sz="0" w:space="0" w:color="auto"/>
      </w:divBdr>
    </w:div>
    <w:div w:id="484321938">
      <w:marLeft w:val="0"/>
      <w:marRight w:val="0"/>
      <w:marTop w:val="120"/>
      <w:marBottom w:val="0"/>
      <w:divBdr>
        <w:top w:val="none" w:sz="0" w:space="0" w:color="auto"/>
        <w:left w:val="none" w:sz="0" w:space="0" w:color="auto"/>
        <w:bottom w:val="none" w:sz="0" w:space="0" w:color="auto"/>
        <w:right w:val="none" w:sz="0" w:space="0" w:color="auto"/>
      </w:divBdr>
    </w:div>
    <w:div w:id="485391526">
      <w:marLeft w:val="0"/>
      <w:marRight w:val="0"/>
      <w:marTop w:val="120"/>
      <w:marBottom w:val="0"/>
      <w:divBdr>
        <w:top w:val="none" w:sz="0" w:space="0" w:color="auto"/>
        <w:left w:val="none" w:sz="0" w:space="0" w:color="auto"/>
        <w:bottom w:val="none" w:sz="0" w:space="0" w:color="auto"/>
        <w:right w:val="none" w:sz="0" w:space="0" w:color="auto"/>
      </w:divBdr>
    </w:div>
    <w:div w:id="485586370">
      <w:marLeft w:val="0"/>
      <w:marRight w:val="0"/>
      <w:marTop w:val="0"/>
      <w:marBottom w:val="0"/>
      <w:divBdr>
        <w:top w:val="none" w:sz="0" w:space="0" w:color="auto"/>
        <w:left w:val="none" w:sz="0" w:space="0" w:color="auto"/>
        <w:bottom w:val="none" w:sz="0" w:space="0" w:color="auto"/>
        <w:right w:val="none" w:sz="0" w:space="0" w:color="auto"/>
      </w:divBdr>
      <w:divsChild>
        <w:div w:id="2111779257">
          <w:marLeft w:val="0"/>
          <w:marRight w:val="0"/>
          <w:marTop w:val="0"/>
          <w:marBottom w:val="0"/>
          <w:divBdr>
            <w:top w:val="none" w:sz="0" w:space="0" w:color="auto"/>
            <w:left w:val="none" w:sz="0" w:space="0" w:color="auto"/>
            <w:bottom w:val="none" w:sz="0" w:space="0" w:color="auto"/>
            <w:right w:val="none" w:sz="0" w:space="0" w:color="auto"/>
          </w:divBdr>
        </w:div>
      </w:divsChild>
    </w:div>
    <w:div w:id="485706678">
      <w:marLeft w:val="0"/>
      <w:marRight w:val="0"/>
      <w:marTop w:val="120"/>
      <w:marBottom w:val="0"/>
      <w:divBdr>
        <w:top w:val="none" w:sz="0" w:space="0" w:color="auto"/>
        <w:left w:val="none" w:sz="0" w:space="0" w:color="auto"/>
        <w:bottom w:val="none" w:sz="0" w:space="0" w:color="auto"/>
        <w:right w:val="none" w:sz="0" w:space="0" w:color="auto"/>
      </w:divBdr>
    </w:div>
    <w:div w:id="488710356">
      <w:marLeft w:val="0"/>
      <w:marRight w:val="0"/>
      <w:marTop w:val="0"/>
      <w:marBottom w:val="0"/>
      <w:divBdr>
        <w:top w:val="none" w:sz="0" w:space="0" w:color="auto"/>
        <w:left w:val="none" w:sz="0" w:space="0" w:color="auto"/>
        <w:bottom w:val="none" w:sz="0" w:space="0" w:color="auto"/>
        <w:right w:val="none" w:sz="0" w:space="0" w:color="auto"/>
      </w:divBdr>
      <w:divsChild>
        <w:div w:id="1334146607">
          <w:marLeft w:val="0"/>
          <w:marRight w:val="0"/>
          <w:marTop w:val="0"/>
          <w:marBottom w:val="0"/>
          <w:divBdr>
            <w:top w:val="none" w:sz="0" w:space="0" w:color="auto"/>
            <w:left w:val="none" w:sz="0" w:space="0" w:color="auto"/>
            <w:bottom w:val="none" w:sz="0" w:space="0" w:color="auto"/>
            <w:right w:val="none" w:sz="0" w:space="0" w:color="auto"/>
          </w:divBdr>
        </w:div>
      </w:divsChild>
    </w:div>
    <w:div w:id="488711117">
      <w:marLeft w:val="0"/>
      <w:marRight w:val="0"/>
      <w:marTop w:val="120"/>
      <w:marBottom w:val="0"/>
      <w:divBdr>
        <w:top w:val="none" w:sz="0" w:space="0" w:color="auto"/>
        <w:left w:val="none" w:sz="0" w:space="0" w:color="auto"/>
        <w:bottom w:val="none" w:sz="0" w:space="0" w:color="auto"/>
        <w:right w:val="none" w:sz="0" w:space="0" w:color="auto"/>
      </w:divBdr>
    </w:div>
    <w:div w:id="488717133">
      <w:marLeft w:val="0"/>
      <w:marRight w:val="0"/>
      <w:marTop w:val="120"/>
      <w:marBottom w:val="0"/>
      <w:divBdr>
        <w:top w:val="none" w:sz="0" w:space="0" w:color="auto"/>
        <w:left w:val="none" w:sz="0" w:space="0" w:color="auto"/>
        <w:bottom w:val="none" w:sz="0" w:space="0" w:color="auto"/>
        <w:right w:val="none" w:sz="0" w:space="0" w:color="auto"/>
      </w:divBdr>
    </w:div>
    <w:div w:id="491414703">
      <w:marLeft w:val="0"/>
      <w:marRight w:val="0"/>
      <w:marTop w:val="240"/>
      <w:marBottom w:val="0"/>
      <w:divBdr>
        <w:top w:val="none" w:sz="0" w:space="0" w:color="auto"/>
        <w:left w:val="none" w:sz="0" w:space="0" w:color="auto"/>
        <w:bottom w:val="none" w:sz="0" w:space="0" w:color="auto"/>
        <w:right w:val="none" w:sz="0" w:space="0" w:color="auto"/>
      </w:divBdr>
    </w:div>
    <w:div w:id="491874013">
      <w:marLeft w:val="0"/>
      <w:marRight w:val="0"/>
      <w:marTop w:val="120"/>
      <w:marBottom w:val="0"/>
      <w:divBdr>
        <w:top w:val="none" w:sz="0" w:space="0" w:color="auto"/>
        <w:left w:val="none" w:sz="0" w:space="0" w:color="auto"/>
        <w:bottom w:val="none" w:sz="0" w:space="0" w:color="auto"/>
        <w:right w:val="none" w:sz="0" w:space="0" w:color="auto"/>
      </w:divBdr>
    </w:div>
    <w:div w:id="492645258">
      <w:marLeft w:val="0"/>
      <w:marRight w:val="0"/>
      <w:marTop w:val="120"/>
      <w:marBottom w:val="0"/>
      <w:divBdr>
        <w:top w:val="none" w:sz="0" w:space="0" w:color="auto"/>
        <w:left w:val="none" w:sz="0" w:space="0" w:color="auto"/>
        <w:bottom w:val="none" w:sz="0" w:space="0" w:color="auto"/>
        <w:right w:val="none" w:sz="0" w:space="0" w:color="auto"/>
      </w:divBdr>
    </w:div>
    <w:div w:id="493450767">
      <w:marLeft w:val="0"/>
      <w:marRight w:val="0"/>
      <w:marTop w:val="120"/>
      <w:marBottom w:val="0"/>
      <w:divBdr>
        <w:top w:val="none" w:sz="0" w:space="0" w:color="auto"/>
        <w:left w:val="none" w:sz="0" w:space="0" w:color="auto"/>
        <w:bottom w:val="none" w:sz="0" w:space="0" w:color="auto"/>
        <w:right w:val="none" w:sz="0" w:space="0" w:color="auto"/>
      </w:divBdr>
    </w:div>
    <w:div w:id="496068906">
      <w:marLeft w:val="0"/>
      <w:marRight w:val="0"/>
      <w:marTop w:val="0"/>
      <w:marBottom w:val="0"/>
      <w:divBdr>
        <w:top w:val="none" w:sz="0" w:space="0" w:color="auto"/>
        <w:left w:val="none" w:sz="0" w:space="0" w:color="auto"/>
        <w:bottom w:val="none" w:sz="0" w:space="0" w:color="auto"/>
        <w:right w:val="none" w:sz="0" w:space="0" w:color="auto"/>
      </w:divBdr>
    </w:div>
    <w:div w:id="497040374">
      <w:marLeft w:val="0"/>
      <w:marRight w:val="0"/>
      <w:marTop w:val="0"/>
      <w:marBottom w:val="0"/>
      <w:divBdr>
        <w:top w:val="none" w:sz="0" w:space="0" w:color="auto"/>
        <w:left w:val="none" w:sz="0" w:space="0" w:color="auto"/>
        <w:bottom w:val="none" w:sz="0" w:space="0" w:color="auto"/>
        <w:right w:val="none" w:sz="0" w:space="0" w:color="auto"/>
      </w:divBdr>
    </w:div>
    <w:div w:id="497040946">
      <w:marLeft w:val="0"/>
      <w:marRight w:val="0"/>
      <w:marTop w:val="240"/>
      <w:marBottom w:val="60"/>
      <w:divBdr>
        <w:top w:val="none" w:sz="0" w:space="0" w:color="auto"/>
        <w:left w:val="none" w:sz="0" w:space="0" w:color="auto"/>
        <w:bottom w:val="none" w:sz="0" w:space="0" w:color="auto"/>
        <w:right w:val="none" w:sz="0" w:space="0" w:color="auto"/>
      </w:divBdr>
    </w:div>
    <w:div w:id="497042407">
      <w:marLeft w:val="0"/>
      <w:marRight w:val="0"/>
      <w:marTop w:val="120"/>
      <w:marBottom w:val="0"/>
      <w:divBdr>
        <w:top w:val="none" w:sz="0" w:space="0" w:color="auto"/>
        <w:left w:val="none" w:sz="0" w:space="0" w:color="auto"/>
        <w:bottom w:val="none" w:sz="0" w:space="0" w:color="auto"/>
        <w:right w:val="none" w:sz="0" w:space="0" w:color="auto"/>
      </w:divBdr>
    </w:div>
    <w:div w:id="499124435">
      <w:marLeft w:val="0"/>
      <w:marRight w:val="0"/>
      <w:marTop w:val="0"/>
      <w:marBottom w:val="0"/>
      <w:divBdr>
        <w:top w:val="none" w:sz="0" w:space="0" w:color="auto"/>
        <w:left w:val="none" w:sz="0" w:space="0" w:color="auto"/>
        <w:bottom w:val="none" w:sz="0" w:space="0" w:color="auto"/>
        <w:right w:val="none" w:sz="0" w:space="0" w:color="auto"/>
      </w:divBdr>
      <w:divsChild>
        <w:div w:id="1015959618">
          <w:marLeft w:val="0"/>
          <w:marRight w:val="0"/>
          <w:marTop w:val="0"/>
          <w:marBottom w:val="0"/>
          <w:divBdr>
            <w:top w:val="none" w:sz="0" w:space="0" w:color="auto"/>
            <w:left w:val="none" w:sz="0" w:space="0" w:color="auto"/>
            <w:bottom w:val="none" w:sz="0" w:space="0" w:color="auto"/>
            <w:right w:val="none" w:sz="0" w:space="0" w:color="auto"/>
          </w:divBdr>
        </w:div>
      </w:divsChild>
    </w:div>
    <w:div w:id="500122237">
      <w:marLeft w:val="0"/>
      <w:marRight w:val="0"/>
      <w:marTop w:val="0"/>
      <w:marBottom w:val="0"/>
      <w:divBdr>
        <w:top w:val="none" w:sz="0" w:space="0" w:color="auto"/>
        <w:left w:val="none" w:sz="0" w:space="0" w:color="auto"/>
        <w:bottom w:val="none" w:sz="0" w:space="0" w:color="auto"/>
        <w:right w:val="none" w:sz="0" w:space="0" w:color="auto"/>
      </w:divBdr>
    </w:div>
    <w:div w:id="506478787">
      <w:marLeft w:val="0"/>
      <w:marRight w:val="0"/>
      <w:marTop w:val="0"/>
      <w:marBottom w:val="0"/>
      <w:divBdr>
        <w:top w:val="none" w:sz="0" w:space="0" w:color="auto"/>
        <w:left w:val="none" w:sz="0" w:space="0" w:color="auto"/>
        <w:bottom w:val="none" w:sz="0" w:space="0" w:color="auto"/>
        <w:right w:val="none" w:sz="0" w:space="0" w:color="auto"/>
      </w:divBdr>
      <w:divsChild>
        <w:div w:id="1400250885">
          <w:marLeft w:val="0"/>
          <w:marRight w:val="0"/>
          <w:marTop w:val="0"/>
          <w:marBottom w:val="0"/>
          <w:divBdr>
            <w:top w:val="none" w:sz="0" w:space="0" w:color="auto"/>
            <w:left w:val="none" w:sz="0" w:space="0" w:color="auto"/>
            <w:bottom w:val="none" w:sz="0" w:space="0" w:color="auto"/>
            <w:right w:val="none" w:sz="0" w:space="0" w:color="auto"/>
          </w:divBdr>
        </w:div>
      </w:divsChild>
    </w:div>
    <w:div w:id="506559904">
      <w:marLeft w:val="0"/>
      <w:marRight w:val="0"/>
      <w:marTop w:val="120"/>
      <w:marBottom w:val="0"/>
      <w:divBdr>
        <w:top w:val="none" w:sz="0" w:space="0" w:color="auto"/>
        <w:left w:val="none" w:sz="0" w:space="0" w:color="auto"/>
        <w:bottom w:val="none" w:sz="0" w:space="0" w:color="auto"/>
        <w:right w:val="none" w:sz="0" w:space="0" w:color="auto"/>
      </w:divBdr>
    </w:div>
    <w:div w:id="507870411">
      <w:marLeft w:val="0"/>
      <w:marRight w:val="0"/>
      <w:marTop w:val="120"/>
      <w:marBottom w:val="0"/>
      <w:divBdr>
        <w:top w:val="none" w:sz="0" w:space="0" w:color="auto"/>
        <w:left w:val="none" w:sz="0" w:space="0" w:color="auto"/>
        <w:bottom w:val="none" w:sz="0" w:space="0" w:color="auto"/>
        <w:right w:val="none" w:sz="0" w:space="0" w:color="auto"/>
      </w:divBdr>
    </w:div>
    <w:div w:id="508250525">
      <w:marLeft w:val="0"/>
      <w:marRight w:val="0"/>
      <w:marTop w:val="120"/>
      <w:marBottom w:val="0"/>
      <w:divBdr>
        <w:top w:val="none" w:sz="0" w:space="0" w:color="auto"/>
        <w:left w:val="none" w:sz="0" w:space="0" w:color="auto"/>
        <w:bottom w:val="none" w:sz="0" w:space="0" w:color="auto"/>
        <w:right w:val="none" w:sz="0" w:space="0" w:color="auto"/>
      </w:divBdr>
    </w:div>
    <w:div w:id="511334424">
      <w:marLeft w:val="0"/>
      <w:marRight w:val="0"/>
      <w:marTop w:val="120"/>
      <w:marBottom w:val="0"/>
      <w:divBdr>
        <w:top w:val="none" w:sz="0" w:space="0" w:color="auto"/>
        <w:left w:val="none" w:sz="0" w:space="0" w:color="auto"/>
        <w:bottom w:val="none" w:sz="0" w:space="0" w:color="auto"/>
        <w:right w:val="none" w:sz="0" w:space="0" w:color="auto"/>
      </w:divBdr>
    </w:div>
    <w:div w:id="511915197">
      <w:marLeft w:val="0"/>
      <w:marRight w:val="0"/>
      <w:marTop w:val="0"/>
      <w:marBottom w:val="60"/>
      <w:divBdr>
        <w:top w:val="none" w:sz="0" w:space="0" w:color="auto"/>
        <w:left w:val="none" w:sz="0" w:space="0" w:color="auto"/>
        <w:bottom w:val="none" w:sz="0" w:space="0" w:color="auto"/>
        <w:right w:val="none" w:sz="0" w:space="0" w:color="auto"/>
      </w:divBdr>
    </w:div>
    <w:div w:id="511995466">
      <w:marLeft w:val="0"/>
      <w:marRight w:val="0"/>
      <w:marTop w:val="0"/>
      <w:marBottom w:val="0"/>
      <w:divBdr>
        <w:top w:val="none" w:sz="0" w:space="0" w:color="auto"/>
        <w:left w:val="none" w:sz="0" w:space="0" w:color="auto"/>
        <w:bottom w:val="none" w:sz="0" w:space="0" w:color="auto"/>
        <w:right w:val="none" w:sz="0" w:space="0" w:color="auto"/>
      </w:divBdr>
      <w:divsChild>
        <w:div w:id="835803136">
          <w:marLeft w:val="0"/>
          <w:marRight w:val="0"/>
          <w:marTop w:val="0"/>
          <w:marBottom w:val="0"/>
          <w:divBdr>
            <w:top w:val="none" w:sz="0" w:space="0" w:color="auto"/>
            <w:left w:val="none" w:sz="0" w:space="0" w:color="auto"/>
            <w:bottom w:val="none" w:sz="0" w:space="0" w:color="auto"/>
            <w:right w:val="none" w:sz="0" w:space="0" w:color="auto"/>
          </w:divBdr>
        </w:div>
      </w:divsChild>
    </w:div>
    <w:div w:id="516429521">
      <w:marLeft w:val="0"/>
      <w:marRight w:val="0"/>
      <w:marTop w:val="120"/>
      <w:marBottom w:val="0"/>
      <w:divBdr>
        <w:top w:val="none" w:sz="0" w:space="0" w:color="auto"/>
        <w:left w:val="none" w:sz="0" w:space="0" w:color="auto"/>
        <w:bottom w:val="none" w:sz="0" w:space="0" w:color="auto"/>
        <w:right w:val="none" w:sz="0" w:space="0" w:color="auto"/>
      </w:divBdr>
    </w:div>
    <w:div w:id="516508219">
      <w:marLeft w:val="0"/>
      <w:marRight w:val="0"/>
      <w:marTop w:val="120"/>
      <w:marBottom w:val="0"/>
      <w:divBdr>
        <w:top w:val="none" w:sz="0" w:space="0" w:color="auto"/>
        <w:left w:val="none" w:sz="0" w:space="0" w:color="auto"/>
        <w:bottom w:val="none" w:sz="0" w:space="0" w:color="auto"/>
        <w:right w:val="none" w:sz="0" w:space="0" w:color="auto"/>
      </w:divBdr>
    </w:div>
    <w:div w:id="516818089">
      <w:marLeft w:val="0"/>
      <w:marRight w:val="0"/>
      <w:marTop w:val="0"/>
      <w:marBottom w:val="0"/>
      <w:divBdr>
        <w:top w:val="none" w:sz="0" w:space="0" w:color="auto"/>
        <w:left w:val="none" w:sz="0" w:space="0" w:color="auto"/>
        <w:bottom w:val="none" w:sz="0" w:space="0" w:color="auto"/>
        <w:right w:val="none" w:sz="0" w:space="0" w:color="auto"/>
      </w:divBdr>
    </w:div>
    <w:div w:id="517700049">
      <w:marLeft w:val="0"/>
      <w:marRight w:val="0"/>
      <w:marTop w:val="120"/>
      <w:marBottom w:val="0"/>
      <w:divBdr>
        <w:top w:val="none" w:sz="0" w:space="0" w:color="auto"/>
        <w:left w:val="none" w:sz="0" w:space="0" w:color="auto"/>
        <w:bottom w:val="none" w:sz="0" w:space="0" w:color="auto"/>
        <w:right w:val="none" w:sz="0" w:space="0" w:color="auto"/>
      </w:divBdr>
    </w:div>
    <w:div w:id="519395323">
      <w:marLeft w:val="0"/>
      <w:marRight w:val="0"/>
      <w:marTop w:val="120"/>
      <w:marBottom w:val="0"/>
      <w:divBdr>
        <w:top w:val="none" w:sz="0" w:space="0" w:color="auto"/>
        <w:left w:val="none" w:sz="0" w:space="0" w:color="auto"/>
        <w:bottom w:val="none" w:sz="0" w:space="0" w:color="auto"/>
        <w:right w:val="none" w:sz="0" w:space="0" w:color="auto"/>
      </w:divBdr>
    </w:div>
    <w:div w:id="519439868">
      <w:marLeft w:val="0"/>
      <w:marRight w:val="0"/>
      <w:marTop w:val="0"/>
      <w:marBottom w:val="0"/>
      <w:divBdr>
        <w:top w:val="none" w:sz="0" w:space="0" w:color="auto"/>
        <w:left w:val="none" w:sz="0" w:space="0" w:color="auto"/>
        <w:bottom w:val="none" w:sz="0" w:space="0" w:color="auto"/>
        <w:right w:val="none" w:sz="0" w:space="0" w:color="auto"/>
      </w:divBdr>
    </w:div>
    <w:div w:id="519466836">
      <w:marLeft w:val="0"/>
      <w:marRight w:val="0"/>
      <w:marTop w:val="120"/>
      <w:marBottom w:val="0"/>
      <w:divBdr>
        <w:top w:val="none" w:sz="0" w:space="0" w:color="auto"/>
        <w:left w:val="none" w:sz="0" w:space="0" w:color="auto"/>
        <w:bottom w:val="none" w:sz="0" w:space="0" w:color="auto"/>
        <w:right w:val="none" w:sz="0" w:space="0" w:color="auto"/>
      </w:divBdr>
    </w:div>
    <w:div w:id="519584193">
      <w:marLeft w:val="0"/>
      <w:marRight w:val="0"/>
      <w:marTop w:val="0"/>
      <w:marBottom w:val="0"/>
      <w:divBdr>
        <w:top w:val="none" w:sz="0" w:space="0" w:color="auto"/>
        <w:left w:val="none" w:sz="0" w:space="0" w:color="auto"/>
        <w:bottom w:val="none" w:sz="0" w:space="0" w:color="auto"/>
        <w:right w:val="none" w:sz="0" w:space="0" w:color="auto"/>
      </w:divBdr>
      <w:divsChild>
        <w:div w:id="1380939495">
          <w:marLeft w:val="0"/>
          <w:marRight w:val="0"/>
          <w:marTop w:val="0"/>
          <w:marBottom w:val="0"/>
          <w:divBdr>
            <w:top w:val="none" w:sz="0" w:space="0" w:color="auto"/>
            <w:left w:val="none" w:sz="0" w:space="0" w:color="auto"/>
            <w:bottom w:val="none" w:sz="0" w:space="0" w:color="auto"/>
            <w:right w:val="none" w:sz="0" w:space="0" w:color="auto"/>
          </w:divBdr>
        </w:div>
      </w:divsChild>
    </w:div>
    <w:div w:id="520243690">
      <w:marLeft w:val="0"/>
      <w:marRight w:val="0"/>
      <w:marTop w:val="0"/>
      <w:marBottom w:val="0"/>
      <w:divBdr>
        <w:top w:val="none" w:sz="0" w:space="0" w:color="auto"/>
        <w:left w:val="none" w:sz="0" w:space="0" w:color="auto"/>
        <w:bottom w:val="none" w:sz="0" w:space="0" w:color="auto"/>
        <w:right w:val="none" w:sz="0" w:space="0" w:color="auto"/>
      </w:divBdr>
      <w:divsChild>
        <w:div w:id="1321538982">
          <w:marLeft w:val="0"/>
          <w:marRight w:val="0"/>
          <w:marTop w:val="0"/>
          <w:marBottom w:val="0"/>
          <w:divBdr>
            <w:top w:val="none" w:sz="0" w:space="0" w:color="auto"/>
            <w:left w:val="none" w:sz="0" w:space="0" w:color="auto"/>
            <w:bottom w:val="none" w:sz="0" w:space="0" w:color="auto"/>
            <w:right w:val="none" w:sz="0" w:space="0" w:color="auto"/>
          </w:divBdr>
        </w:div>
      </w:divsChild>
    </w:div>
    <w:div w:id="521474559">
      <w:marLeft w:val="0"/>
      <w:marRight w:val="0"/>
      <w:marTop w:val="0"/>
      <w:marBottom w:val="0"/>
      <w:divBdr>
        <w:top w:val="none" w:sz="0" w:space="0" w:color="auto"/>
        <w:left w:val="none" w:sz="0" w:space="0" w:color="auto"/>
        <w:bottom w:val="none" w:sz="0" w:space="0" w:color="auto"/>
        <w:right w:val="none" w:sz="0" w:space="0" w:color="auto"/>
      </w:divBdr>
      <w:divsChild>
        <w:div w:id="1014959482">
          <w:marLeft w:val="0"/>
          <w:marRight w:val="0"/>
          <w:marTop w:val="0"/>
          <w:marBottom w:val="0"/>
          <w:divBdr>
            <w:top w:val="none" w:sz="0" w:space="0" w:color="auto"/>
            <w:left w:val="none" w:sz="0" w:space="0" w:color="auto"/>
            <w:bottom w:val="none" w:sz="0" w:space="0" w:color="auto"/>
            <w:right w:val="none" w:sz="0" w:space="0" w:color="auto"/>
          </w:divBdr>
        </w:div>
      </w:divsChild>
    </w:div>
    <w:div w:id="521476299">
      <w:marLeft w:val="0"/>
      <w:marRight w:val="0"/>
      <w:marTop w:val="120"/>
      <w:marBottom w:val="0"/>
      <w:divBdr>
        <w:top w:val="none" w:sz="0" w:space="0" w:color="auto"/>
        <w:left w:val="none" w:sz="0" w:space="0" w:color="auto"/>
        <w:bottom w:val="none" w:sz="0" w:space="0" w:color="auto"/>
        <w:right w:val="none" w:sz="0" w:space="0" w:color="auto"/>
      </w:divBdr>
    </w:div>
    <w:div w:id="522591743">
      <w:marLeft w:val="0"/>
      <w:marRight w:val="0"/>
      <w:marTop w:val="120"/>
      <w:marBottom w:val="0"/>
      <w:divBdr>
        <w:top w:val="none" w:sz="0" w:space="0" w:color="auto"/>
        <w:left w:val="none" w:sz="0" w:space="0" w:color="auto"/>
        <w:bottom w:val="none" w:sz="0" w:space="0" w:color="auto"/>
        <w:right w:val="none" w:sz="0" w:space="0" w:color="auto"/>
      </w:divBdr>
    </w:div>
    <w:div w:id="524052982">
      <w:marLeft w:val="0"/>
      <w:marRight w:val="0"/>
      <w:marTop w:val="180"/>
      <w:marBottom w:val="0"/>
      <w:divBdr>
        <w:top w:val="none" w:sz="0" w:space="0" w:color="auto"/>
        <w:left w:val="none" w:sz="0" w:space="0" w:color="auto"/>
        <w:bottom w:val="none" w:sz="0" w:space="0" w:color="auto"/>
        <w:right w:val="none" w:sz="0" w:space="0" w:color="auto"/>
      </w:divBdr>
    </w:div>
    <w:div w:id="524095495">
      <w:marLeft w:val="0"/>
      <w:marRight w:val="0"/>
      <w:marTop w:val="0"/>
      <w:marBottom w:val="0"/>
      <w:divBdr>
        <w:top w:val="none" w:sz="0" w:space="0" w:color="auto"/>
        <w:left w:val="none" w:sz="0" w:space="0" w:color="auto"/>
        <w:bottom w:val="none" w:sz="0" w:space="0" w:color="auto"/>
        <w:right w:val="none" w:sz="0" w:space="0" w:color="auto"/>
      </w:divBdr>
      <w:divsChild>
        <w:div w:id="1234927379">
          <w:marLeft w:val="0"/>
          <w:marRight w:val="0"/>
          <w:marTop w:val="0"/>
          <w:marBottom w:val="0"/>
          <w:divBdr>
            <w:top w:val="none" w:sz="0" w:space="0" w:color="auto"/>
            <w:left w:val="none" w:sz="0" w:space="0" w:color="auto"/>
            <w:bottom w:val="none" w:sz="0" w:space="0" w:color="auto"/>
            <w:right w:val="none" w:sz="0" w:space="0" w:color="auto"/>
          </w:divBdr>
        </w:div>
      </w:divsChild>
    </w:div>
    <w:div w:id="524902935">
      <w:marLeft w:val="0"/>
      <w:marRight w:val="0"/>
      <w:marTop w:val="120"/>
      <w:marBottom w:val="0"/>
      <w:divBdr>
        <w:top w:val="none" w:sz="0" w:space="0" w:color="auto"/>
        <w:left w:val="none" w:sz="0" w:space="0" w:color="auto"/>
        <w:bottom w:val="none" w:sz="0" w:space="0" w:color="auto"/>
        <w:right w:val="none" w:sz="0" w:space="0" w:color="auto"/>
      </w:divBdr>
    </w:div>
    <w:div w:id="524909445">
      <w:marLeft w:val="0"/>
      <w:marRight w:val="0"/>
      <w:marTop w:val="0"/>
      <w:marBottom w:val="0"/>
      <w:divBdr>
        <w:top w:val="none" w:sz="0" w:space="0" w:color="auto"/>
        <w:left w:val="none" w:sz="0" w:space="0" w:color="auto"/>
        <w:bottom w:val="none" w:sz="0" w:space="0" w:color="auto"/>
        <w:right w:val="none" w:sz="0" w:space="0" w:color="auto"/>
      </w:divBdr>
      <w:divsChild>
        <w:div w:id="1871406968">
          <w:marLeft w:val="0"/>
          <w:marRight w:val="0"/>
          <w:marTop w:val="0"/>
          <w:marBottom w:val="0"/>
          <w:divBdr>
            <w:top w:val="none" w:sz="0" w:space="0" w:color="auto"/>
            <w:left w:val="none" w:sz="0" w:space="0" w:color="auto"/>
            <w:bottom w:val="none" w:sz="0" w:space="0" w:color="auto"/>
            <w:right w:val="none" w:sz="0" w:space="0" w:color="auto"/>
          </w:divBdr>
        </w:div>
      </w:divsChild>
    </w:div>
    <w:div w:id="526212743">
      <w:marLeft w:val="0"/>
      <w:marRight w:val="0"/>
      <w:marTop w:val="120"/>
      <w:marBottom w:val="0"/>
      <w:divBdr>
        <w:top w:val="none" w:sz="0" w:space="0" w:color="auto"/>
        <w:left w:val="none" w:sz="0" w:space="0" w:color="auto"/>
        <w:bottom w:val="none" w:sz="0" w:space="0" w:color="auto"/>
        <w:right w:val="none" w:sz="0" w:space="0" w:color="auto"/>
      </w:divBdr>
    </w:div>
    <w:div w:id="527766325">
      <w:marLeft w:val="0"/>
      <w:marRight w:val="0"/>
      <w:marTop w:val="0"/>
      <w:marBottom w:val="120"/>
      <w:divBdr>
        <w:top w:val="none" w:sz="0" w:space="0" w:color="auto"/>
        <w:left w:val="none" w:sz="0" w:space="0" w:color="auto"/>
        <w:bottom w:val="none" w:sz="0" w:space="0" w:color="auto"/>
        <w:right w:val="none" w:sz="0" w:space="0" w:color="auto"/>
      </w:divBdr>
    </w:div>
    <w:div w:id="528951266">
      <w:marLeft w:val="0"/>
      <w:marRight w:val="0"/>
      <w:marTop w:val="120"/>
      <w:marBottom w:val="120"/>
      <w:divBdr>
        <w:top w:val="none" w:sz="0" w:space="0" w:color="auto"/>
        <w:left w:val="none" w:sz="0" w:space="0" w:color="auto"/>
        <w:bottom w:val="none" w:sz="0" w:space="0" w:color="auto"/>
        <w:right w:val="none" w:sz="0" w:space="0" w:color="auto"/>
      </w:divBdr>
    </w:div>
    <w:div w:id="529995492">
      <w:marLeft w:val="0"/>
      <w:marRight w:val="0"/>
      <w:marTop w:val="120"/>
      <w:marBottom w:val="0"/>
      <w:divBdr>
        <w:top w:val="none" w:sz="0" w:space="0" w:color="auto"/>
        <w:left w:val="none" w:sz="0" w:space="0" w:color="auto"/>
        <w:bottom w:val="none" w:sz="0" w:space="0" w:color="auto"/>
        <w:right w:val="none" w:sz="0" w:space="0" w:color="auto"/>
      </w:divBdr>
    </w:div>
    <w:div w:id="534973125">
      <w:marLeft w:val="0"/>
      <w:marRight w:val="0"/>
      <w:marTop w:val="120"/>
      <w:marBottom w:val="0"/>
      <w:divBdr>
        <w:top w:val="none" w:sz="0" w:space="0" w:color="auto"/>
        <w:left w:val="none" w:sz="0" w:space="0" w:color="auto"/>
        <w:bottom w:val="none" w:sz="0" w:space="0" w:color="auto"/>
        <w:right w:val="none" w:sz="0" w:space="0" w:color="auto"/>
      </w:divBdr>
    </w:div>
    <w:div w:id="535117432">
      <w:marLeft w:val="0"/>
      <w:marRight w:val="0"/>
      <w:marTop w:val="120"/>
      <w:marBottom w:val="0"/>
      <w:divBdr>
        <w:top w:val="none" w:sz="0" w:space="0" w:color="auto"/>
        <w:left w:val="none" w:sz="0" w:space="0" w:color="auto"/>
        <w:bottom w:val="none" w:sz="0" w:space="0" w:color="auto"/>
        <w:right w:val="none" w:sz="0" w:space="0" w:color="auto"/>
      </w:divBdr>
    </w:div>
    <w:div w:id="538053120">
      <w:marLeft w:val="0"/>
      <w:marRight w:val="0"/>
      <w:marTop w:val="120"/>
      <w:marBottom w:val="0"/>
      <w:divBdr>
        <w:top w:val="none" w:sz="0" w:space="0" w:color="auto"/>
        <w:left w:val="none" w:sz="0" w:space="0" w:color="auto"/>
        <w:bottom w:val="none" w:sz="0" w:space="0" w:color="auto"/>
        <w:right w:val="none" w:sz="0" w:space="0" w:color="auto"/>
      </w:divBdr>
    </w:div>
    <w:div w:id="538398938">
      <w:marLeft w:val="0"/>
      <w:marRight w:val="0"/>
      <w:marTop w:val="120"/>
      <w:marBottom w:val="0"/>
      <w:divBdr>
        <w:top w:val="none" w:sz="0" w:space="0" w:color="auto"/>
        <w:left w:val="none" w:sz="0" w:space="0" w:color="auto"/>
        <w:bottom w:val="none" w:sz="0" w:space="0" w:color="auto"/>
        <w:right w:val="none" w:sz="0" w:space="0" w:color="auto"/>
      </w:divBdr>
    </w:div>
    <w:div w:id="538593430">
      <w:marLeft w:val="0"/>
      <w:marRight w:val="0"/>
      <w:marTop w:val="0"/>
      <w:marBottom w:val="60"/>
      <w:divBdr>
        <w:top w:val="none" w:sz="0" w:space="0" w:color="auto"/>
        <w:left w:val="none" w:sz="0" w:space="0" w:color="auto"/>
        <w:bottom w:val="none" w:sz="0" w:space="0" w:color="auto"/>
        <w:right w:val="none" w:sz="0" w:space="0" w:color="auto"/>
      </w:divBdr>
    </w:div>
    <w:div w:id="538981306">
      <w:marLeft w:val="0"/>
      <w:marRight w:val="0"/>
      <w:marTop w:val="120"/>
      <w:marBottom w:val="0"/>
      <w:divBdr>
        <w:top w:val="none" w:sz="0" w:space="0" w:color="auto"/>
        <w:left w:val="none" w:sz="0" w:space="0" w:color="auto"/>
        <w:bottom w:val="none" w:sz="0" w:space="0" w:color="auto"/>
        <w:right w:val="none" w:sz="0" w:space="0" w:color="auto"/>
      </w:divBdr>
    </w:div>
    <w:div w:id="539318059">
      <w:marLeft w:val="0"/>
      <w:marRight w:val="0"/>
      <w:marTop w:val="120"/>
      <w:marBottom w:val="0"/>
      <w:divBdr>
        <w:top w:val="none" w:sz="0" w:space="0" w:color="auto"/>
        <w:left w:val="none" w:sz="0" w:space="0" w:color="auto"/>
        <w:bottom w:val="none" w:sz="0" w:space="0" w:color="auto"/>
        <w:right w:val="none" w:sz="0" w:space="0" w:color="auto"/>
      </w:divBdr>
    </w:div>
    <w:div w:id="539897673">
      <w:marLeft w:val="0"/>
      <w:marRight w:val="0"/>
      <w:marTop w:val="120"/>
      <w:marBottom w:val="0"/>
      <w:divBdr>
        <w:top w:val="none" w:sz="0" w:space="0" w:color="auto"/>
        <w:left w:val="none" w:sz="0" w:space="0" w:color="auto"/>
        <w:bottom w:val="none" w:sz="0" w:space="0" w:color="auto"/>
        <w:right w:val="none" w:sz="0" w:space="0" w:color="auto"/>
      </w:divBdr>
    </w:div>
    <w:div w:id="539905854">
      <w:marLeft w:val="0"/>
      <w:marRight w:val="0"/>
      <w:marTop w:val="0"/>
      <w:marBottom w:val="66"/>
      <w:divBdr>
        <w:top w:val="none" w:sz="0" w:space="0" w:color="auto"/>
        <w:left w:val="none" w:sz="0" w:space="0" w:color="auto"/>
        <w:bottom w:val="none" w:sz="0" w:space="0" w:color="auto"/>
        <w:right w:val="none" w:sz="0" w:space="0" w:color="auto"/>
      </w:divBdr>
    </w:div>
    <w:div w:id="541480842">
      <w:marLeft w:val="0"/>
      <w:marRight w:val="0"/>
      <w:marTop w:val="0"/>
      <w:marBottom w:val="0"/>
      <w:divBdr>
        <w:top w:val="none" w:sz="0" w:space="0" w:color="auto"/>
        <w:left w:val="none" w:sz="0" w:space="0" w:color="auto"/>
        <w:bottom w:val="none" w:sz="0" w:space="0" w:color="auto"/>
        <w:right w:val="none" w:sz="0" w:space="0" w:color="auto"/>
      </w:divBdr>
      <w:divsChild>
        <w:div w:id="756295086">
          <w:marLeft w:val="0"/>
          <w:marRight w:val="0"/>
          <w:marTop w:val="0"/>
          <w:marBottom w:val="0"/>
          <w:divBdr>
            <w:top w:val="none" w:sz="0" w:space="0" w:color="auto"/>
            <w:left w:val="none" w:sz="0" w:space="0" w:color="auto"/>
            <w:bottom w:val="none" w:sz="0" w:space="0" w:color="auto"/>
            <w:right w:val="none" w:sz="0" w:space="0" w:color="auto"/>
          </w:divBdr>
        </w:div>
      </w:divsChild>
    </w:div>
    <w:div w:id="542015207">
      <w:marLeft w:val="0"/>
      <w:marRight w:val="0"/>
      <w:marTop w:val="120"/>
      <w:marBottom w:val="0"/>
      <w:divBdr>
        <w:top w:val="none" w:sz="0" w:space="0" w:color="auto"/>
        <w:left w:val="none" w:sz="0" w:space="0" w:color="auto"/>
        <w:bottom w:val="none" w:sz="0" w:space="0" w:color="auto"/>
        <w:right w:val="none" w:sz="0" w:space="0" w:color="auto"/>
      </w:divBdr>
    </w:div>
    <w:div w:id="542254063">
      <w:marLeft w:val="0"/>
      <w:marRight w:val="0"/>
      <w:marTop w:val="0"/>
      <w:marBottom w:val="0"/>
      <w:divBdr>
        <w:top w:val="none" w:sz="0" w:space="0" w:color="auto"/>
        <w:left w:val="none" w:sz="0" w:space="0" w:color="auto"/>
        <w:bottom w:val="none" w:sz="0" w:space="0" w:color="auto"/>
        <w:right w:val="none" w:sz="0" w:space="0" w:color="auto"/>
      </w:divBdr>
    </w:div>
    <w:div w:id="542640841">
      <w:marLeft w:val="0"/>
      <w:marRight w:val="0"/>
      <w:marTop w:val="0"/>
      <w:marBottom w:val="120"/>
      <w:divBdr>
        <w:top w:val="none" w:sz="0" w:space="0" w:color="auto"/>
        <w:left w:val="none" w:sz="0" w:space="0" w:color="auto"/>
        <w:bottom w:val="none" w:sz="0" w:space="0" w:color="auto"/>
        <w:right w:val="none" w:sz="0" w:space="0" w:color="auto"/>
      </w:divBdr>
    </w:div>
    <w:div w:id="542720222">
      <w:marLeft w:val="0"/>
      <w:marRight w:val="0"/>
      <w:marTop w:val="180"/>
      <w:marBottom w:val="0"/>
      <w:divBdr>
        <w:top w:val="none" w:sz="0" w:space="0" w:color="auto"/>
        <w:left w:val="none" w:sz="0" w:space="0" w:color="auto"/>
        <w:bottom w:val="none" w:sz="0" w:space="0" w:color="auto"/>
        <w:right w:val="none" w:sz="0" w:space="0" w:color="auto"/>
      </w:divBdr>
    </w:div>
    <w:div w:id="542795192">
      <w:marLeft w:val="0"/>
      <w:marRight w:val="0"/>
      <w:marTop w:val="0"/>
      <w:marBottom w:val="0"/>
      <w:divBdr>
        <w:top w:val="none" w:sz="0" w:space="0" w:color="auto"/>
        <w:left w:val="none" w:sz="0" w:space="0" w:color="auto"/>
        <w:bottom w:val="none" w:sz="0" w:space="0" w:color="auto"/>
        <w:right w:val="none" w:sz="0" w:space="0" w:color="auto"/>
      </w:divBdr>
    </w:div>
    <w:div w:id="544023306">
      <w:marLeft w:val="0"/>
      <w:marRight w:val="0"/>
      <w:marTop w:val="120"/>
      <w:marBottom w:val="0"/>
      <w:divBdr>
        <w:top w:val="none" w:sz="0" w:space="0" w:color="auto"/>
        <w:left w:val="none" w:sz="0" w:space="0" w:color="auto"/>
        <w:bottom w:val="none" w:sz="0" w:space="0" w:color="auto"/>
        <w:right w:val="none" w:sz="0" w:space="0" w:color="auto"/>
      </w:divBdr>
    </w:div>
    <w:div w:id="546112540">
      <w:marLeft w:val="0"/>
      <w:marRight w:val="0"/>
      <w:marTop w:val="0"/>
      <w:marBottom w:val="0"/>
      <w:divBdr>
        <w:top w:val="none" w:sz="0" w:space="0" w:color="auto"/>
        <w:left w:val="none" w:sz="0" w:space="0" w:color="auto"/>
        <w:bottom w:val="none" w:sz="0" w:space="0" w:color="auto"/>
        <w:right w:val="none" w:sz="0" w:space="0" w:color="auto"/>
      </w:divBdr>
    </w:div>
    <w:div w:id="546380363">
      <w:marLeft w:val="0"/>
      <w:marRight w:val="0"/>
      <w:marTop w:val="0"/>
      <w:marBottom w:val="0"/>
      <w:divBdr>
        <w:top w:val="none" w:sz="0" w:space="0" w:color="auto"/>
        <w:left w:val="none" w:sz="0" w:space="0" w:color="auto"/>
        <w:bottom w:val="none" w:sz="0" w:space="0" w:color="auto"/>
        <w:right w:val="none" w:sz="0" w:space="0" w:color="auto"/>
      </w:divBdr>
      <w:divsChild>
        <w:div w:id="1366557497">
          <w:marLeft w:val="0"/>
          <w:marRight w:val="0"/>
          <w:marTop w:val="0"/>
          <w:marBottom w:val="0"/>
          <w:divBdr>
            <w:top w:val="none" w:sz="0" w:space="0" w:color="auto"/>
            <w:left w:val="none" w:sz="0" w:space="0" w:color="auto"/>
            <w:bottom w:val="none" w:sz="0" w:space="0" w:color="auto"/>
            <w:right w:val="none" w:sz="0" w:space="0" w:color="auto"/>
          </w:divBdr>
        </w:div>
      </w:divsChild>
    </w:div>
    <w:div w:id="546719725">
      <w:marLeft w:val="0"/>
      <w:marRight w:val="0"/>
      <w:marTop w:val="0"/>
      <w:marBottom w:val="0"/>
      <w:divBdr>
        <w:top w:val="none" w:sz="0" w:space="0" w:color="auto"/>
        <w:left w:val="none" w:sz="0" w:space="0" w:color="auto"/>
        <w:bottom w:val="none" w:sz="0" w:space="0" w:color="auto"/>
        <w:right w:val="none" w:sz="0" w:space="0" w:color="auto"/>
      </w:divBdr>
    </w:div>
    <w:div w:id="548031907">
      <w:marLeft w:val="0"/>
      <w:marRight w:val="0"/>
      <w:marTop w:val="120"/>
      <w:marBottom w:val="0"/>
      <w:divBdr>
        <w:top w:val="none" w:sz="0" w:space="0" w:color="auto"/>
        <w:left w:val="none" w:sz="0" w:space="0" w:color="auto"/>
        <w:bottom w:val="none" w:sz="0" w:space="0" w:color="auto"/>
        <w:right w:val="none" w:sz="0" w:space="0" w:color="auto"/>
      </w:divBdr>
    </w:div>
    <w:div w:id="548616918">
      <w:marLeft w:val="0"/>
      <w:marRight w:val="0"/>
      <w:marTop w:val="120"/>
      <w:marBottom w:val="0"/>
      <w:divBdr>
        <w:top w:val="none" w:sz="0" w:space="0" w:color="auto"/>
        <w:left w:val="none" w:sz="0" w:space="0" w:color="auto"/>
        <w:bottom w:val="none" w:sz="0" w:space="0" w:color="auto"/>
        <w:right w:val="none" w:sz="0" w:space="0" w:color="auto"/>
      </w:divBdr>
    </w:div>
    <w:div w:id="548884203">
      <w:marLeft w:val="0"/>
      <w:marRight w:val="0"/>
      <w:marTop w:val="0"/>
      <w:marBottom w:val="0"/>
      <w:divBdr>
        <w:top w:val="none" w:sz="0" w:space="0" w:color="auto"/>
        <w:left w:val="none" w:sz="0" w:space="0" w:color="auto"/>
        <w:bottom w:val="none" w:sz="0" w:space="0" w:color="auto"/>
        <w:right w:val="none" w:sz="0" w:space="0" w:color="auto"/>
      </w:divBdr>
    </w:div>
    <w:div w:id="549658139">
      <w:marLeft w:val="0"/>
      <w:marRight w:val="0"/>
      <w:marTop w:val="120"/>
      <w:marBottom w:val="0"/>
      <w:divBdr>
        <w:top w:val="none" w:sz="0" w:space="0" w:color="auto"/>
        <w:left w:val="none" w:sz="0" w:space="0" w:color="auto"/>
        <w:bottom w:val="none" w:sz="0" w:space="0" w:color="auto"/>
        <w:right w:val="none" w:sz="0" w:space="0" w:color="auto"/>
      </w:divBdr>
    </w:div>
    <w:div w:id="549920363">
      <w:marLeft w:val="0"/>
      <w:marRight w:val="0"/>
      <w:marTop w:val="120"/>
      <w:marBottom w:val="0"/>
      <w:divBdr>
        <w:top w:val="none" w:sz="0" w:space="0" w:color="auto"/>
        <w:left w:val="none" w:sz="0" w:space="0" w:color="auto"/>
        <w:bottom w:val="none" w:sz="0" w:space="0" w:color="auto"/>
        <w:right w:val="none" w:sz="0" w:space="0" w:color="auto"/>
      </w:divBdr>
    </w:div>
    <w:div w:id="551111575">
      <w:marLeft w:val="0"/>
      <w:marRight w:val="0"/>
      <w:marTop w:val="120"/>
      <w:marBottom w:val="0"/>
      <w:divBdr>
        <w:top w:val="none" w:sz="0" w:space="0" w:color="auto"/>
        <w:left w:val="none" w:sz="0" w:space="0" w:color="auto"/>
        <w:bottom w:val="none" w:sz="0" w:space="0" w:color="auto"/>
        <w:right w:val="none" w:sz="0" w:space="0" w:color="auto"/>
      </w:divBdr>
    </w:div>
    <w:div w:id="551962590">
      <w:marLeft w:val="0"/>
      <w:marRight w:val="0"/>
      <w:marTop w:val="120"/>
      <w:marBottom w:val="0"/>
      <w:divBdr>
        <w:top w:val="none" w:sz="0" w:space="0" w:color="auto"/>
        <w:left w:val="none" w:sz="0" w:space="0" w:color="auto"/>
        <w:bottom w:val="none" w:sz="0" w:space="0" w:color="auto"/>
        <w:right w:val="none" w:sz="0" w:space="0" w:color="auto"/>
      </w:divBdr>
    </w:div>
    <w:div w:id="552035743">
      <w:marLeft w:val="0"/>
      <w:marRight w:val="0"/>
      <w:marTop w:val="120"/>
      <w:marBottom w:val="0"/>
      <w:divBdr>
        <w:top w:val="none" w:sz="0" w:space="0" w:color="auto"/>
        <w:left w:val="none" w:sz="0" w:space="0" w:color="auto"/>
        <w:bottom w:val="none" w:sz="0" w:space="0" w:color="auto"/>
        <w:right w:val="none" w:sz="0" w:space="0" w:color="auto"/>
      </w:divBdr>
    </w:div>
    <w:div w:id="552086149">
      <w:marLeft w:val="0"/>
      <w:marRight w:val="0"/>
      <w:marTop w:val="120"/>
      <w:marBottom w:val="0"/>
      <w:divBdr>
        <w:top w:val="none" w:sz="0" w:space="0" w:color="auto"/>
        <w:left w:val="none" w:sz="0" w:space="0" w:color="auto"/>
        <w:bottom w:val="none" w:sz="0" w:space="0" w:color="auto"/>
        <w:right w:val="none" w:sz="0" w:space="0" w:color="auto"/>
      </w:divBdr>
    </w:div>
    <w:div w:id="553397085">
      <w:marLeft w:val="0"/>
      <w:marRight w:val="0"/>
      <w:marTop w:val="120"/>
      <w:marBottom w:val="0"/>
      <w:divBdr>
        <w:top w:val="none" w:sz="0" w:space="0" w:color="auto"/>
        <w:left w:val="none" w:sz="0" w:space="0" w:color="auto"/>
        <w:bottom w:val="none" w:sz="0" w:space="0" w:color="auto"/>
        <w:right w:val="none" w:sz="0" w:space="0" w:color="auto"/>
      </w:divBdr>
    </w:div>
    <w:div w:id="554391347">
      <w:marLeft w:val="0"/>
      <w:marRight w:val="0"/>
      <w:marTop w:val="0"/>
      <w:marBottom w:val="0"/>
      <w:divBdr>
        <w:top w:val="none" w:sz="0" w:space="0" w:color="auto"/>
        <w:left w:val="none" w:sz="0" w:space="0" w:color="auto"/>
        <w:bottom w:val="none" w:sz="0" w:space="0" w:color="auto"/>
        <w:right w:val="none" w:sz="0" w:space="0" w:color="auto"/>
      </w:divBdr>
    </w:div>
    <w:div w:id="554588372">
      <w:marLeft w:val="0"/>
      <w:marRight w:val="0"/>
      <w:marTop w:val="120"/>
      <w:marBottom w:val="0"/>
      <w:divBdr>
        <w:top w:val="none" w:sz="0" w:space="0" w:color="auto"/>
        <w:left w:val="none" w:sz="0" w:space="0" w:color="auto"/>
        <w:bottom w:val="none" w:sz="0" w:space="0" w:color="auto"/>
        <w:right w:val="none" w:sz="0" w:space="0" w:color="auto"/>
      </w:divBdr>
    </w:div>
    <w:div w:id="554971470">
      <w:marLeft w:val="0"/>
      <w:marRight w:val="0"/>
      <w:marTop w:val="0"/>
      <w:marBottom w:val="0"/>
      <w:divBdr>
        <w:top w:val="none" w:sz="0" w:space="0" w:color="auto"/>
        <w:left w:val="none" w:sz="0" w:space="0" w:color="auto"/>
        <w:bottom w:val="none" w:sz="0" w:space="0" w:color="auto"/>
        <w:right w:val="none" w:sz="0" w:space="0" w:color="auto"/>
      </w:divBdr>
    </w:div>
    <w:div w:id="556160304">
      <w:marLeft w:val="0"/>
      <w:marRight w:val="0"/>
      <w:marTop w:val="0"/>
      <w:marBottom w:val="0"/>
      <w:divBdr>
        <w:top w:val="none" w:sz="0" w:space="0" w:color="auto"/>
        <w:left w:val="none" w:sz="0" w:space="0" w:color="auto"/>
        <w:bottom w:val="none" w:sz="0" w:space="0" w:color="auto"/>
        <w:right w:val="none" w:sz="0" w:space="0" w:color="auto"/>
      </w:divBdr>
      <w:divsChild>
        <w:div w:id="306252118">
          <w:marLeft w:val="0"/>
          <w:marRight w:val="0"/>
          <w:marTop w:val="0"/>
          <w:marBottom w:val="0"/>
          <w:divBdr>
            <w:top w:val="none" w:sz="0" w:space="0" w:color="auto"/>
            <w:left w:val="none" w:sz="0" w:space="0" w:color="auto"/>
            <w:bottom w:val="none" w:sz="0" w:space="0" w:color="auto"/>
            <w:right w:val="none" w:sz="0" w:space="0" w:color="auto"/>
          </w:divBdr>
        </w:div>
      </w:divsChild>
    </w:div>
    <w:div w:id="556164089">
      <w:marLeft w:val="0"/>
      <w:marRight w:val="0"/>
      <w:marTop w:val="0"/>
      <w:marBottom w:val="0"/>
      <w:divBdr>
        <w:top w:val="none" w:sz="0" w:space="0" w:color="auto"/>
        <w:left w:val="none" w:sz="0" w:space="0" w:color="auto"/>
        <w:bottom w:val="none" w:sz="0" w:space="0" w:color="auto"/>
        <w:right w:val="none" w:sz="0" w:space="0" w:color="auto"/>
      </w:divBdr>
      <w:divsChild>
        <w:div w:id="725180937">
          <w:marLeft w:val="0"/>
          <w:marRight w:val="0"/>
          <w:marTop w:val="0"/>
          <w:marBottom w:val="0"/>
          <w:divBdr>
            <w:top w:val="none" w:sz="0" w:space="0" w:color="auto"/>
            <w:left w:val="none" w:sz="0" w:space="0" w:color="auto"/>
            <w:bottom w:val="none" w:sz="0" w:space="0" w:color="auto"/>
            <w:right w:val="none" w:sz="0" w:space="0" w:color="auto"/>
          </w:divBdr>
        </w:div>
      </w:divsChild>
    </w:div>
    <w:div w:id="559946493">
      <w:marLeft w:val="0"/>
      <w:marRight w:val="0"/>
      <w:marTop w:val="0"/>
      <w:marBottom w:val="0"/>
      <w:divBdr>
        <w:top w:val="none" w:sz="0" w:space="0" w:color="auto"/>
        <w:left w:val="none" w:sz="0" w:space="0" w:color="auto"/>
        <w:bottom w:val="none" w:sz="0" w:space="0" w:color="auto"/>
        <w:right w:val="none" w:sz="0" w:space="0" w:color="auto"/>
      </w:divBdr>
    </w:div>
    <w:div w:id="560404272">
      <w:marLeft w:val="0"/>
      <w:marRight w:val="0"/>
      <w:marTop w:val="0"/>
      <w:marBottom w:val="0"/>
      <w:divBdr>
        <w:top w:val="none" w:sz="0" w:space="0" w:color="auto"/>
        <w:left w:val="none" w:sz="0" w:space="0" w:color="auto"/>
        <w:bottom w:val="none" w:sz="0" w:space="0" w:color="auto"/>
        <w:right w:val="none" w:sz="0" w:space="0" w:color="auto"/>
      </w:divBdr>
    </w:div>
    <w:div w:id="562328182">
      <w:marLeft w:val="0"/>
      <w:marRight w:val="0"/>
      <w:marTop w:val="120"/>
      <w:marBottom w:val="0"/>
      <w:divBdr>
        <w:top w:val="none" w:sz="0" w:space="0" w:color="auto"/>
        <w:left w:val="none" w:sz="0" w:space="0" w:color="auto"/>
        <w:bottom w:val="none" w:sz="0" w:space="0" w:color="auto"/>
        <w:right w:val="none" w:sz="0" w:space="0" w:color="auto"/>
      </w:divBdr>
    </w:div>
    <w:div w:id="563954333">
      <w:marLeft w:val="0"/>
      <w:marRight w:val="0"/>
      <w:marTop w:val="120"/>
      <w:marBottom w:val="0"/>
      <w:divBdr>
        <w:top w:val="none" w:sz="0" w:space="0" w:color="auto"/>
        <w:left w:val="none" w:sz="0" w:space="0" w:color="auto"/>
        <w:bottom w:val="none" w:sz="0" w:space="0" w:color="auto"/>
        <w:right w:val="none" w:sz="0" w:space="0" w:color="auto"/>
      </w:divBdr>
    </w:div>
    <w:div w:id="564949071">
      <w:marLeft w:val="0"/>
      <w:marRight w:val="0"/>
      <w:marTop w:val="120"/>
      <w:marBottom w:val="0"/>
      <w:divBdr>
        <w:top w:val="none" w:sz="0" w:space="0" w:color="auto"/>
        <w:left w:val="none" w:sz="0" w:space="0" w:color="auto"/>
        <w:bottom w:val="none" w:sz="0" w:space="0" w:color="auto"/>
        <w:right w:val="none" w:sz="0" w:space="0" w:color="auto"/>
      </w:divBdr>
    </w:div>
    <w:div w:id="566841183">
      <w:marLeft w:val="0"/>
      <w:marRight w:val="0"/>
      <w:marTop w:val="0"/>
      <w:marBottom w:val="0"/>
      <w:divBdr>
        <w:top w:val="none" w:sz="0" w:space="0" w:color="auto"/>
        <w:left w:val="none" w:sz="0" w:space="0" w:color="auto"/>
        <w:bottom w:val="none" w:sz="0" w:space="0" w:color="auto"/>
        <w:right w:val="none" w:sz="0" w:space="0" w:color="auto"/>
      </w:divBdr>
      <w:divsChild>
        <w:div w:id="716123080">
          <w:marLeft w:val="0"/>
          <w:marRight w:val="0"/>
          <w:marTop w:val="0"/>
          <w:marBottom w:val="0"/>
          <w:divBdr>
            <w:top w:val="none" w:sz="0" w:space="0" w:color="auto"/>
            <w:left w:val="none" w:sz="0" w:space="0" w:color="auto"/>
            <w:bottom w:val="none" w:sz="0" w:space="0" w:color="auto"/>
            <w:right w:val="none" w:sz="0" w:space="0" w:color="auto"/>
          </w:divBdr>
        </w:div>
      </w:divsChild>
    </w:div>
    <w:div w:id="567614519">
      <w:marLeft w:val="0"/>
      <w:marRight w:val="0"/>
      <w:marTop w:val="120"/>
      <w:marBottom w:val="0"/>
      <w:divBdr>
        <w:top w:val="none" w:sz="0" w:space="0" w:color="auto"/>
        <w:left w:val="none" w:sz="0" w:space="0" w:color="auto"/>
        <w:bottom w:val="none" w:sz="0" w:space="0" w:color="auto"/>
        <w:right w:val="none" w:sz="0" w:space="0" w:color="auto"/>
      </w:divBdr>
    </w:div>
    <w:div w:id="570192001">
      <w:marLeft w:val="0"/>
      <w:marRight w:val="0"/>
      <w:marTop w:val="120"/>
      <w:marBottom w:val="0"/>
      <w:divBdr>
        <w:top w:val="none" w:sz="0" w:space="0" w:color="auto"/>
        <w:left w:val="none" w:sz="0" w:space="0" w:color="auto"/>
        <w:bottom w:val="none" w:sz="0" w:space="0" w:color="auto"/>
        <w:right w:val="none" w:sz="0" w:space="0" w:color="auto"/>
      </w:divBdr>
    </w:div>
    <w:div w:id="570625601">
      <w:marLeft w:val="0"/>
      <w:marRight w:val="0"/>
      <w:marTop w:val="0"/>
      <w:marBottom w:val="0"/>
      <w:divBdr>
        <w:top w:val="none" w:sz="0" w:space="0" w:color="auto"/>
        <w:left w:val="none" w:sz="0" w:space="0" w:color="auto"/>
        <w:bottom w:val="none" w:sz="0" w:space="0" w:color="auto"/>
        <w:right w:val="none" w:sz="0" w:space="0" w:color="auto"/>
      </w:divBdr>
    </w:div>
    <w:div w:id="570819736">
      <w:marLeft w:val="0"/>
      <w:marRight w:val="0"/>
      <w:marTop w:val="0"/>
      <w:marBottom w:val="0"/>
      <w:divBdr>
        <w:top w:val="none" w:sz="0" w:space="0" w:color="auto"/>
        <w:left w:val="none" w:sz="0" w:space="0" w:color="auto"/>
        <w:bottom w:val="none" w:sz="0" w:space="0" w:color="auto"/>
        <w:right w:val="none" w:sz="0" w:space="0" w:color="auto"/>
      </w:divBdr>
      <w:divsChild>
        <w:div w:id="1013998920">
          <w:marLeft w:val="0"/>
          <w:marRight w:val="0"/>
          <w:marTop w:val="0"/>
          <w:marBottom w:val="0"/>
          <w:divBdr>
            <w:top w:val="none" w:sz="0" w:space="0" w:color="auto"/>
            <w:left w:val="none" w:sz="0" w:space="0" w:color="auto"/>
            <w:bottom w:val="none" w:sz="0" w:space="0" w:color="auto"/>
            <w:right w:val="none" w:sz="0" w:space="0" w:color="auto"/>
          </w:divBdr>
        </w:div>
      </w:divsChild>
    </w:div>
    <w:div w:id="573929859">
      <w:marLeft w:val="0"/>
      <w:marRight w:val="0"/>
      <w:marTop w:val="0"/>
      <w:marBottom w:val="120"/>
      <w:divBdr>
        <w:top w:val="none" w:sz="0" w:space="0" w:color="auto"/>
        <w:left w:val="none" w:sz="0" w:space="0" w:color="auto"/>
        <w:bottom w:val="none" w:sz="0" w:space="0" w:color="auto"/>
        <w:right w:val="none" w:sz="0" w:space="0" w:color="auto"/>
      </w:divBdr>
      <w:divsChild>
        <w:div w:id="669941240">
          <w:marLeft w:val="0"/>
          <w:marRight w:val="0"/>
          <w:marTop w:val="0"/>
          <w:marBottom w:val="0"/>
          <w:divBdr>
            <w:top w:val="none" w:sz="0" w:space="0" w:color="auto"/>
            <w:left w:val="none" w:sz="0" w:space="0" w:color="auto"/>
            <w:bottom w:val="none" w:sz="0" w:space="0" w:color="auto"/>
            <w:right w:val="none" w:sz="0" w:space="0" w:color="auto"/>
          </w:divBdr>
        </w:div>
      </w:divsChild>
    </w:div>
    <w:div w:id="574820390">
      <w:marLeft w:val="0"/>
      <w:marRight w:val="0"/>
      <w:marTop w:val="120"/>
      <w:marBottom w:val="0"/>
      <w:divBdr>
        <w:top w:val="none" w:sz="0" w:space="0" w:color="auto"/>
        <w:left w:val="none" w:sz="0" w:space="0" w:color="auto"/>
        <w:bottom w:val="none" w:sz="0" w:space="0" w:color="auto"/>
        <w:right w:val="none" w:sz="0" w:space="0" w:color="auto"/>
      </w:divBdr>
    </w:div>
    <w:div w:id="576522028">
      <w:marLeft w:val="0"/>
      <w:marRight w:val="0"/>
      <w:marTop w:val="120"/>
      <w:marBottom w:val="0"/>
      <w:divBdr>
        <w:top w:val="none" w:sz="0" w:space="0" w:color="auto"/>
        <w:left w:val="none" w:sz="0" w:space="0" w:color="auto"/>
        <w:bottom w:val="none" w:sz="0" w:space="0" w:color="auto"/>
        <w:right w:val="none" w:sz="0" w:space="0" w:color="auto"/>
      </w:divBdr>
    </w:div>
    <w:div w:id="577136900">
      <w:marLeft w:val="0"/>
      <w:marRight w:val="0"/>
      <w:marTop w:val="0"/>
      <w:marBottom w:val="0"/>
      <w:divBdr>
        <w:top w:val="none" w:sz="0" w:space="0" w:color="auto"/>
        <w:left w:val="none" w:sz="0" w:space="0" w:color="auto"/>
        <w:bottom w:val="none" w:sz="0" w:space="0" w:color="auto"/>
        <w:right w:val="none" w:sz="0" w:space="0" w:color="auto"/>
      </w:divBdr>
    </w:div>
    <w:div w:id="577207634">
      <w:marLeft w:val="0"/>
      <w:marRight w:val="0"/>
      <w:marTop w:val="120"/>
      <w:marBottom w:val="0"/>
      <w:divBdr>
        <w:top w:val="none" w:sz="0" w:space="0" w:color="auto"/>
        <w:left w:val="none" w:sz="0" w:space="0" w:color="auto"/>
        <w:bottom w:val="none" w:sz="0" w:space="0" w:color="auto"/>
        <w:right w:val="none" w:sz="0" w:space="0" w:color="auto"/>
      </w:divBdr>
    </w:div>
    <w:div w:id="577637955">
      <w:marLeft w:val="0"/>
      <w:marRight w:val="0"/>
      <w:marTop w:val="120"/>
      <w:marBottom w:val="0"/>
      <w:divBdr>
        <w:top w:val="none" w:sz="0" w:space="0" w:color="auto"/>
        <w:left w:val="none" w:sz="0" w:space="0" w:color="auto"/>
        <w:bottom w:val="none" w:sz="0" w:space="0" w:color="auto"/>
        <w:right w:val="none" w:sz="0" w:space="0" w:color="auto"/>
      </w:divBdr>
    </w:div>
    <w:div w:id="578178456">
      <w:marLeft w:val="0"/>
      <w:marRight w:val="0"/>
      <w:marTop w:val="120"/>
      <w:marBottom w:val="0"/>
      <w:divBdr>
        <w:top w:val="none" w:sz="0" w:space="0" w:color="auto"/>
        <w:left w:val="none" w:sz="0" w:space="0" w:color="auto"/>
        <w:bottom w:val="none" w:sz="0" w:space="0" w:color="auto"/>
        <w:right w:val="none" w:sz="0" w:space="0" w:color="auto"/>
      </w:divBdr>
    </w:div>
    <w:div w:id="579297070">
      <w:marLeft w:val="0"/>
      <w:marRight w:val="0"/>
      <w:marTop w:val="120"/>
      <w:marBottom w:val="0"/>
      <w:divBdr>
        <w:top w:val="none" w:sz="0" w:space="0" w:color="auto"/>
        <w:left w:val="none" w:sz="0" w:space="0" w:color="auto"/>
        <w:bottom w:val="none" w:sz="0" w:space="0" w:color="auto"/>
        <w:right w:val="none" w:sz="0" w:space="0" w:color="auto"/>
      </w:divBdr>
    </w:div>
    <w:div w:id="579944375">
      <w:marLeft w:val="0"/>
      <w:marRight w:val="0"/>
      <w:marTop w:val="0"/>
      <w:marBottom w:val="0"/>
      <w:divBdr>
        <w:top w:val="none" w:sz="0" w:space="0" w:color="auto"/>
        <w:left w:val="none" w:sz="0" w:space="0" w:color="auto"/>
        <w:bottom w:val="none" w:sz="0" w:space="0" w:color="auto"/>
        <w:right w:val="none" w:sz="0" w:space="0" w:color="auto"/>
      </w:divBdr>
    </w:div>
    <w:div w:id="581067814">
      <w:marLeft w:val="0"/>
      <w:marRight w:val="0"/>
      <w:marTop w:val="120"/>
      <w:marBottom w:val="0"/>
      <w:divBdr>
        <w:top w:val="none" w:sz="0" w:space="0" w:color="auto"/>
        <w:left w:val="none" w:sz="0" w:space="0" w:color="auto"/>
        <w:bottom w:val="none" w:sz="0" w:space="0" w:color="auto"/>
        <w:right w:val="none" w:sz="0" w:space="0" w:color="auto"/>
      </w:divBdr>
    </w:div>
    <w:div w:id="581455144">
      <w:marLeft w:val="0"/>
      <w:marRight w:val="0"/>
      <w:marTop w:val="120"/>
      <w:marBottom w:val="0"/>
      <w:divBdr>
        <w:top w:val="none" w:sz="0" w:space="0" w:color="auto"/>
        <w:left w:val="none" w:sz="0" w:space="0" w:color="auto"/>
        <w:bottom w:val="none" w:sz="0" w:space="0" w:color="auto"/>
        <w:right w:val="none" w:sz="0" w:space="0" w:color="auto"/>
      </w:divBdr>
    </w:div>
    <w:div w:id="582178356">
      <w:marLeft w:val="0"/>
      <w:marRight w:val="0"/>
      <w:marTop w:val="0"/>
      <w:marBottom w:val="0"/>
      <w:divBdr>
        <w:top w:val="none" w:sz="0" w:space="0" w:color="auto"/>
        <w:left w:val="none" w:sz="0" w:space="0" w:color="auto"/>
        <w:bottom w:val="none" w:sz="0" w:space="0" w:color="auto"/>
        <w:right w:val="none" w:sz="0" w:space="0" w:color="auto"/>
      </w:divBdr>
    </w:div>
    <w:div w:id="583151586">
      <w:marLeft w:val="0"/>
      <w:marRight w:val="0"/>
      <w:marTop w:val="120"/>
      <w:marBottom w:val="0"/>
      <w:divBdr>
        <w:top w:val="none" w:sz="0" w:space="0" w:color="auto"/>
        <w:left w:val="none" w:sz="0" w:space="0" w:color="auto"/>
        <w:bottom w:val="none" w:sz="0" w:space="0" w:color="auto"/>
        <w:right w:val="none" w:sz="0" w:space="0" w:color="auto"/>
      </w:divBdr>
    </w:div>
    <w:div w:id="584339411">
      <w:marLeft w:val="0"/>
      <w:marRight w:val="0"/>
      <w:marTop w:val="0"/>
      <w:marBottom w:val="120"/>
      <w:divBdr>
        <w:top w:val="none" w:sz="0" w:space="0" w:color="auto"/>
        <w:left w:val="none" w:sz="0" w:space="0" w:color="auto"/>
        <w:bottom w:val="none" w:sz="0" w:space="0" w:color="auto"/>
        <w:right w:val="none" w:sz="0" w:space="0" w:color="auto"/>
      </w:divBdr>
      <w:divsChild>
        <w:div w:id="1473789887">
          <w:marLeft w:val="0"/>
          <w:marRight w:val="0"/>
          <w:marTop w:val="0"/>
          <w:marBottom w:val="0"/>
          <w:divBdr>
            <w:top w:val="none" w:sz="0" w:space="0" w:color="auto"/>
            <w:left w:val="none" w:sz="0" w:space="0" w:color="auto"/>
            <w:bottom w:val="none" w:sz="0" w:space="0" w:color="auto"/>
            <w:right w:val="none" w:sz="0" w:space="0" w:color="auto"/>
          </w:divBdr>
        </w:div>
        <w:div w:id="399713059">
          <w:marLeft w:val="0"/>
          <w:marRight w:val="0"/>
          <w:marTop w:val="0"/>
          <w:marBottom w:val="0"/>
          <w:divBdr>
            <w:top w:val="none" w:sz="0" w:space="0" w:color="auto"/>
            <w:left w:val="none" w:sz="0" w:space="0" w:color="auto"/>
            <w:bottom w:val="none" w:sz="0" w:space="0" w:color="auto"/>
            <w:right w:val="none" w:sz="0" w:space="0" w:color="auto"/>
          </w:divBdr>
        </w:div>
        <w:div w:id="100301975">
          <w:marLeft w:val="0"/>
          <w:marRight w:val="0"/>
          <w:marTop w:val="0"/>
          <w:marBottom w:val="0"/>
          <w:divBdr>
            <w:top w:val="none" w:sz="0" w:space="0" w:color="auto"/>
            <w:left w:val="none" w:sz="0" w:space="0" w:color="auto"/>
            <w:bottom w:val="none" w:sz="0" w:space="0" w:color="auto"/>
            <w:right w:val="none" w:sz="0" w:space="0" w:color="auto"/>
          </w:divBdr>
        </w:div>
        <w:div w:id="1788617487">
          <w:marLeft w:val="0"/>
          <w:marRight w:val="0"/>
          <w:marTop w:val="0"/>
          <w:marBottom w:val="0"/>
          <w:divBdr>
            <w:top w:val="none" w:sz="0" w:space="0" w:color="auto"/>
            <w:left w:val="none" w:sz="0" w:space="0" w:color="auto"/>
            <w:bottom w:val="none" w:sz="0" w:space="0" w:color="auto"/>
            <w:right w:val="none" w:sz="0" w:space="0" w:color="auto"/>
          </w:divBdr>
        </w:div>
      </w:divsChild>
    </w:div>
    <w:div w:id="585267139">
      <w:marLeft w:val="0"/>
      <w:marRight w:val="0"/>
      <w:marTop w:val="0"/>
      <w:marBottom w:val="0"/>
      <w:divBdr>
        <w:top w:val="none" w:sz="0" w:space="0" w:color="auto"/>
        <w:left w:val="none" w:sz="0" w:space="0" w:color="auto"/>
        <w:bottom w:val="none" w:sz="0" w:space="0" w:color="auto"/>
        <w:right w:val="none" w:sz="0" w:space="0" w:color="auto"/>
      </w:divBdr>
      <w:divsChild>
        <w:div w:id="332608656">
          <w:marLeft w:val="0"/>
          <w:marRight w:val="0"/>
          <w:marTop w:val="0"/>
          <w:marBottom w:val="0"/>
          <w:divBdr>
            <w:top w:val="none" w:sz="0" w:space="0" w:color="auto"/>
            <w:left w:val="none" w:sz="0" w:space="0" w:color="auto"/>
            <w:bottom w:val="none" w:sz="0" w:space="0" w:color="auto"/>
            <w:right w:val="none" w:sz="0" w:space="0" w:color="auto"/>
          </w:divBdr>
        </w:div>
      </w:divsChild>
    </w:div>
    <w:div w:id="588391418">
      <w:marLeft w:val="0"/>
      <w:marRight w:val="0"/>
      <w:marTop w:val="0"/>
      <w:marBottom w:val="0"/>
      <w:divBdr>
        <w:top w:val="none" w:sz="0" w:space="0" w:color="auto"/>
        <w:left w:val="none" w:sz="0" w:space="0" w:color="auto"/>
        <w:bottom w:val="none" w:sz="0" w:space="0" w:color="auto"/>
        <w:right w:val="none" w:sz="0" w:space="0" w:color="auto"/>
      </w:divBdr>
      <w:divsChild>
        <w:div w:id="158086162">
          <w:marLeft w:val="0"/>
          <w:marRight w:val="0"/>
          <w:marTop w:val="0"/>
          <w:marBottom w:val="0"/>
          <w:divBdr>
            <w:top w:val="none" w:sz="0" w:space="0" w:color="auto"/>
            <w:left w:val="none" w:sz="0" w:space="0" w:color="auto"/>
            <w:bottom w:val="none" w:sz="0" w:space="0" w:color="auto"/>
            <w:right w:val="none" w:sz="0" w:space="0" w:color="auto"/>
          </w:divBdr>
        </w:div>
      </w:divsChild>
    </w:div>
    <w:div w:id="589774870">
      <w:marLeft w:val="0"/>
      <w:marRight w:val="0"/>
      <w:marTop w:val="120"/>
      <w:marBottom w:val="0"/>
      <w:divBdr>
        <w:top w:val="none" w:sz="0" w:space="0" w:color="auto"/>
        <w:left w:val="none" w:sz="0" w:space="0" w:color="auto"/>
        <w:bottom w:val="none" w:sz="0" w:space="0" w:color="auto"/>
        <w:right w:val="none" w:sz="0" w:space="0" w:color="auto"/>
      </w:divBdr>
    </w:div>
    <w:div w:id="590049247">
      <w:marLeft w:val="0"/>
      <w:marRight w:val="0"/>
      <w:marTop w:val="120"/>
      <w:marBottom w:val="0"/>
      <w:divBdr>
        <w:top w:val="none" w:sz="0" w:space="0" w:color="auto"/>
        <w:left w:val="none" w:sz="0" w:space="0" w:color="auto"/>
        <w:bottom w:val="none" w:sz="0" w:space="0" w:color="auto"/>
        <w:right w:val="none" w:sz="0" w:space="0" w:color="auto"/>
      </w:divBdr>
    </w:div>
    <w:div w:id="590356735">
      <w:marLeft w:val="0"/>
      <w:marRight w:val="0"/>
      <w:marTop w:val="0"/>
      <w:marBottom w:val="0"/>
      <w:divBdr>
        <w:top w:val="none" w:sz="0" w:space="0" w:color="auto"/>
        <w:left w:val="none" w:sz="0" w:space="0" w:color="auto"/>
        <w:bottom w:val="none" w:sz="0" w:space="0" w:color="auto"/>
        <w:right w:val="none" w:sz="0" w:space="0" w:color="auto"/>
      </w:divBdr>
    </w:div>
    <w:div w:id="592209068">
      <w:marLeft w:val="0"/>
      <w:marRight w:val="0"/>
      <w:marTop w:val="120"/>
      <w:marBottom w:val="0"/>
      <w:divBdr>
        <w:top w:val="none" w:sz="0" w:space="0" w:color="auto"/>
        <w:left w:val="none" w:sz="0" w:space="0" w:color="auto"/>
        <w:bottom w:val="none" w:sz="0" w:space="0" w:color="auto"/>
        <w:right w:val="none" w:sz="0" w:space="0" w:color="auto"/>
      </w:divBdr>
    </w:div>
    <w:div w:id="594435438">
      <w:marLeft w:val="0"/>
      <w:marRight w:val="0"/>
      <w:marTop w:val="0"/>
      <w:marBottom w:val="0"/>
      <w:divBdr>
        <w:top w:val="none" w:sz="0" w:space="0" w:color="auto"/>
        <w:left w:val="none" w:sz="0" w:space="0" w:color="auto"/>
        <w:bottom w:val="none" w:sz="0" w:space="0" w:color="auto"/>
        <w:right w:val="none" w:sz="0" w:space="0" w:color="auto"/>
      </w:divBdr>
    </w:div>
    <w:div w:id="597325273">
      <w:marLeft w:val="0"/>
      <w:marRight w:val="0"/>
      <w:marTop w:val="120"/>
      <w:marBottom w:val="0"/>
      <w:divBdr>
        <w:top w:val="none" w:sz="0" w:space="0" w:color="auto"/>
        <w:left w:val="none" w:sz="0" w:space="0" w:color="auto"/>
        <w:bottom w:val="none" w:sz="0" w:space="0" w:color="auto"/>
        <w:right w:val="none" w:sz="0" w:space="0" w:color="auto"/>
      </w:divBdr>
    </w:div>
    <w:div w:id="597568338">
      <w:marLeft w:val="0"/>
      <w:marRight w:val="0"/>
      <w:marTop w:val="120"/>
      <w:marBottom w:val="0"/>
      <w:divBdr>
        <w:top w:val="none" w:sz="0" w:space="0" w:color="auto"/>
        <w:left w:val="none" w:sz="0" w:space="0" w:color="auto"/>
        <w:bottom w:val="none" w:sz="0" w:space="0" w:color="auto"/>
        <w:right w:val="none" w:sz="0" w:space="0" w:color="auto"/>
      </w:divBdr>
    </w:div>
    <w:div w:id="597908034">
      <w:marLeft w:val="0"/>
      <w:marRight w:val="0"/>
      <w:marTop w:val="0"/>
      <w:marBottom w:val="0"/>
      <w:divBdr>
        <w:top w:val="none" w:sz="0" w:space="0" w:color="auto"/>
        <w:left w:val="none" w:sz="0" w:space="0" w:color="auto"/>
        <w:bottom w:val="none" w:sz="0" w:space="0" w:color="auto"/>
        <w:right w:val="none" w:sz="0" w:space="0" w:color="auto"/>
      </w:divBdr>
    </w:div>
    <w:div w:id="603462259">
      <w:marLeft w:val="0"/>
      <w:marRight w:val="0"/>
      <w:marTop w:val="120"/>
      <w:marBottom w:val="0"/>
      <w:divBdr>
        <w:top w:val="none" w:sz="0" w:space="0" w:color="auto"/>
        <w:left w:val="none" w:sz="0" w:space="0" w:color="auto"/>
        <w:bottom w:val="none" w:sz="0" w:space="0" w:color="auto"/>
        <w:right w:val="none" w:sz="0" w:space="0" w:color="auto"/>
      </w:divBdr>
    </w:div>
    <w:div w:id="604383870">
      <w:marLeft w:val="0"/>
      <w:marRight w:val="0"/>
      <w:marTop w:val="0"/>
      <w:marBottom w:val="60"/>
      <w:divBdr>
        <w:top w:val="none" w:sz="0" w:space="0" w:color="auto"/>
        <w:left w:val="none" w:sz="0" w:space="0" w:color="auto"/>
        <w:bottom w:val="none" w:sz="0" w:space="0" w:color="auto"/>
        <w:right w:val="none" w:sz="0" w:space="0" w:color="auto"/>
      </w:divBdr>
    </w:div>
    <w:div w:id="605502946">
      <w:marLeft w:val="0"/>
      <w:marRight w:val="0"/>
      <w:marTop w:val="120"/>
      <w:marBottom w:val="0"/>
      <w:divBdr>
        <w:top w:val="none" w:sz="0" w:space="0" w:color="auto"/>
        <w:left w:val="none" w:sz="0" w:space="0" w:color="auto"/>
        <w:bottom w:val="none" w:sz="0" w:space="0" w:color="auto"/>
        <w:right w:val="none" w:sz="0" w:space="0" w:color="auto"/>
      </w:divBdr>
    </w:div>
    <w:div w:id="607271334">
      <w:marLeft w:val="0"/>
      <w:marRight w:val="0"/>
      <w:marTop w:val="120"/>
      <w:marBottom w:val="0"/>
      <w:divBdr>
        <w:top w:val="none" w:sz="0" w:space="0" w:color="auto"/>
        <w:left w:val="none" w:sz="0" w:space="0" w:color="auto"/>
        <w:bottom w:val="none" w:sz="0" w:space="0" w:color="auto"/>
        <w:right w:val="none" w:sz="0" w:space="0" w:color="auto"/>
      </w:divBdr>
    </w:div>
    <w:div w:id="607278171">
      <w:marLeft w:val="0"/>
      <w:marRight w:val="0"/>
      <w:marTop w:val="120"/>
      <w:marBottom w:val="0"/>
      <w:divBdr>
        <w:top w:val="none" w:sz="0" w:space="0" w:color="auto"/>
        <w:left w:val="none" w:sz="0" w:space="0" w:color="auto"/>
        <w:bottom w:val="none" w:sz="0" w:space="0" w:color="auto"/>
        <w:right w:val="none" w:sz="0" w:space="0" w:color="auto"/>
      </w:divBdr>
    </w:div>
    <w:div w:id="607738899">
      <w:marLeft w:val="0"/>
      <w:marRight w:val="0"/>
      <w:marTop w:val="120"/>
      <w:marBottom w:val="0"/>
      <w:divBdr>
        <w:top w:val="none" w:sz="0" w:space="0" w:color="auto"/>
        <w:left w:val="none" w:sz="0" w:space="0" w:color="auto"/>
        <w:bottom w:val="none" w:sz="0" w:space="0" w:color="auto"/>
        <w:right w:val="none" w:sz="0" w:space="0" w:color="auto"/>
      </w:divBdr>
    </w:div>
    <w:div w:id="608702460">
      <w:marLeft w:val="0"/>
      <w:marRight w:val="0"/>
      <w:marTop w:val="0"/>
      <w:marBottom w:val="0"/>
      <w:divBdr>
        <w:top w:val="none" w:sz="0" w:space="0" w:color="auto"/>
        <w:left w:val="none" w:sz="0" w:space="0" w:color="auto"/>
        <w:bottom w:val="none" w:sz="0" w:space="0" w:color="auto"/>
        <w:right w:val="none" w:sz="0" w:space="0" w:color="auto"/>
      </w:divBdr>
      <w:divsChild>
        <w:div w:id="830219714">
          <w:marLeft w:val="0"/>
          <w:marRight w:val="0"/>
          <w:marTop w:val="0"/>
          <w:marBottom w:val="0"/>
          <w:divBdr>
            <w:top w:val="none" w:sz="0" w:space="0" w:color="auto"/>
            <w:left w:val="none" w:sz="0" w:space="0" w:color="auto"/>
            <w:bottom w:val="none" w:sz="0" w:space="0" w:color="auto"/>
            <w:right w:val="none" w:sz="0" w:space="0" w:color="auto"/>
          </w:divBdr>
        </w:div>
      </w:divsChild>
    </w:div>
    <w:div w:id="609777483">
      <w:marLeft w:val="0"/>
      <w:marRight w:val="0"/>
      <w:marTop w:val="120"/>
      <w:marBottom w:val="0"/>
      <w:divBdr>
        <w:top w:val="none" w:sz="0" w:space="0" w:color="auto"/>
        <w:left w:val="none" w:sz="0" w:space="0" w:color="auto"/>
        <w:bottom w:val="none" w:sz="0" w:space="0" w:color="auto"/>
        <w:right w:val="none" w:sz="0" w:space="0" w:color="auto"/>
      </w:divBdr>
    </w:div>
    <w:div w:id="611018275">
      <w:marLeft w:val="0"/>
      <w:marRight w:val="0"/>
      <w:marTop w:val="120"/>
      <w:marBottom w:val="0"/>
      <w:divBdr>
        <w:top w:val="none" w:sz="0" w:space="0" w:color="auto"/>
        <w:left w:val="none" w:sz="0" w:space="0" w:color="auto"/>
        <w:bottom w:val="none" w:sz="0" w:space="0" w:color="auto"/>
        <w:right w:val="none" w:sz="0" w:space="0" w:color="auto"/>
      </w:divBdr>
    </w:div>
    <w:div w:id="611523499">
      <w:marLeft w:val="0"/>
      <w:marRight w:val="0"/>
      <w:marTop w:val="0"/>
      <w:marBottom w:val="0"/>
      <w:divBdr>
        <w:top w:val="none" w:sz="0" w:space="0" w:color="auto"/>
        <w:left w:val="none" w:sz="0" w:space="0" w:color="auto"/>
        <w:bottom w:val="none" w:sz="0" w:space="0" w:color="auto"/>
        <w:right w:val="none" w:sz="0" w:space="0" w:color="auto"/>
      </w:divBdr>
      <w:divsChild>
        <w:div w:id="1446461318">
          <w:marLeft w:val="0"/>
          <w:marRight w:val="0"/>
          <w:marTop w:val="0"/>
          <w:marBottom w:val="0"/>
          <w:divBdr>
            <w:top w:val="none" w:sz="0" w:space="0" w:color="auto"/>
            <w:left w:val="none" w:sz="0" w:space="0" w:color="auto"/>
            <w:bottom w:val="none" w:sz="0" w:space="0" w:color="auto"/>
            <w:right w:val="none" w:sz="0" w:space="0" w:color="auto"/>
          </w:divBdr>
        </w:div>
      </w:divsChild>
    </w:div>
    <w:div w:id="611790375">
      <w:marLeft w:val="0"/>
      <w:marRight w:val="0"/>
      <w:marTop w:val="0"/>
      <w:marBottom w:val="0"/>
      <w:divBdr>
        <w:top w:val="none" w:sz="0" w:space="0" w:color="auto"/>
        <w:left w:val="none" w:sz="0" w:space="0" w:color="auto"/>
        <w:bottom w:val="none" w:sz="0" w:space="0" w:color="auto"/>
        <w:right w:val="none" w:sz="0" w:space="0" w:color="auto"/>
      </w:divBdr>
      <w:divsChild>
        <w:div w:id="156187279">
          <w:marLeft w:val="0"/>
          <w:marRight w:val="0"/>
          <w:marTop w:val="0"/>
          <w:marBottom w:val="0"/>
          <w:divBdr>
            <w:top w:val="none" w:sz="0" w:space="0" w:color="auto"/>
            <w:left w:val="none" w:sz="0" w:space="0" w:color="auto"/>
            <w:bottom w:val="none" w:sz="0" w:space="0" w:color="auto"/>
            <w:right w:val="none" w:sz="0" w:space="0" w:color="auto"/>
          </w:divBdr>
        </w:div>
      </w:divsChild>
    </w:div>
    <w:div w:id="611981011">
      <w:marLeft w:val="0"/>
      <w:marRight w:val="0"/>
      <w:marTop w:val="120"/>
      <w:marBottom w:val="0"/>
      <w:divBdr>
        <w:top w:val="none" w:sz="0" w:space="0" w:color="auto"/>
        <w:left w:val="none" w:sz="0" w:space="0" w:color="auto"/>
        <w:bottom w:val="none" w:sz="0" w:space="0" w:color="auto"/>
        <w:right w:val="none" w:sz="0" w:space="0" w:color="auto"/>
      </w:divBdr>
    </w:div>
    <w:div w:id="613244581">
      <w:marLeft w:val="0"/>
      <w:marRight w:val="0"/>
      <w:marTop w:val="120"/>
      <w:marBottom w:val="0"/>
      <w:divBdr>
        <w:top w:val="none" w:sz="0" w:space="0" w:color="auto"/>
        <w:left w:val="none" w:sz="0" w:space="0" w:color="auto"/>
        <w:bottom w:val="none" w:sz="0" w:space="0" w:color="auto"/>
        <w:right w:val="none" w:sz="0" w:space="0" w:color="auto"/>
      </w:divBdr>
    </w:div>
    <w:div w:id="614094667">
      <w:marLeft w:val="0"/>
      <w:marRight w:val="0"/>
      <w:marTop w:val="0"/>
      <w:marBottom w:val="0"/>
      <w:divBdr>
        <w:top w:val="none" w:sz="0" w:space="0" w:color="auto"/>
        <w:left w:val="none" w:sz="0" w:space="0" w:color="auto"/>
        <w:bottom w:val="none" w:sz="0" w:space="0" w:color="auto"/>
        <w:right w:val="none" w:sz="0" w:space="0" w:color="auto"/>
      </w:divBdr>
      <w:divsChild>
        <w:div w:id="288317331">
          <w:marLeft w:val="0"/>
          <w:marRight w:val="0"/>
          <w:marTop w:val="0"/>
          <w:marBottom w:val="0"/>
          <w:divBdr>
            <w:top w:val="none" w:sz="0" w:space="0" w:color="auto"/>
            <w:left w:val="none" w:sz="0" w:space="0" w:color="auto"/>
            <w:bottom w:val="none" w:sz="0" w:space="0" w:color="auto"/>
            <w:right w:val="none" w:sz="0" w:space="0" w:color="auto"/>
          </w:divBdr>
        </w:div>
      </w:divsChild>
    </w:div>
    <w:div w:id="617952150">
      <w:marLeft w:val="0"/>
      <w:marRight w:val="0"/>
      <w:marTop w:val="120"/>
      <w:marBottom w:val="0"/>
      <w:divBdr>
        <w:top w:val="none" w:sz="0" w:space="0" w:color="auto"/>
        <w:left w:val="none" w:sz="0" w:space="0" w:color="auto"/>
        <w:bottom w:val="none" w:sz="0" w:space="0" w:color="auto"/>
        <w:right w:val="none" w:sz="0" w:space="0" w:color="auto"/>
      </w:divBdr>
    </w:div>
    <w:div w:id="619267093">
      <w:marLeft w:val="0"/>
      <w:marRight w:val="0"/>
      <w:marTop w:val="120"/>
      <w:marBottom w:val="0"/>
      <w:divBdr>
        <w:top w:val="none" w:sz="0" w:space="0" w:color="auto"/>
        <w:left w:val="none" w:sz="0" w:space="0" w:color="auto"/>
        <w:bottom w:val="none" w:sz="0" w:space="0" w:color="auto"/>
        <w:right w:val="none" w:sz="0" w:space="0" w:color="auto"/>
      </w:divBdr>
    </w:div>
    <w:div w:id="619992309">
      <w:marLeft w:val="0"/>
      <w:marRight w:val="0"/>
      <w:marTop w:val="120"/>
      <w:marBottom w:val="0"/>
      <w:divBdr>
        <w:top w:val="none" w:sz="0" w:space="0" w:color="auto"/>
        <w:left w:val="none" w:sz="0" w:space="0" w:color="auto"/>
        <w:bottom w:val="none" w:sz="0" w:space="0" w:color="auto"/>
        <w:right w:val="none" w:sz="0" w:space="0" w:color="auto"/>
      </w:divBdr>
    </w:div>
    <w:div w:id="620454386">
      <w:marLeft w:val="0"/>
      <w:marRight w:val="0"/>
      <w:marTop w:val="120"/>
      <w:marBottom w:val="0"/>
      <w:divBdr>
        <w:top w:val="none" w:sz="0" w:space="0" w:color="auto"/>
        <w:left w:val="none" w:sz="0" w:space="0" w:color="auto"/>
        <w:bottom w:val="none" w:sz="0" w:space="0" w:color="auto"/>
        <w:right w:val="none" w:sz="0" w:space="0" w:color="auto"/>
      </w:divBdr>
    </w:div>
    <w:div w:id="621496060">
      <w:marLeft w:val="0"/>
      <w:marRight w:val="0"/>
      <w:marTop w:val="120"/>
      <w:marBottom w:val="0"/>
      <w:divBdr>
        <w:top w:val="none" w:sz="0" w:space="0" w:color="auto"/>
        <w:left w:val="none" w:sz="0" w:space="0" w:color="auto"/>
        <w:bottom w:val="none" w:sz="0" w:space="0" w:color="auto"/>
        <w:right w:val="none" w:sz="0" w:space="0" w:color="auto"/>
      </w:divBdr>
    </w:div>
    <w:div w:id="622688915">
      <w:marLeft w:val="0"/>
      <w:marRight w:val="0"/>
      <w:marTop w:val="120"/>
      <w:marBottom w:val="0"/>
      <w:divBdr>
        <w:top w:val="none" w:sz="0" w:space="0" w:color="auto"/>
        <w:left w:val="none" w:sz="0" w:space="0" w:color="auto"/>
        <w:bottom w:val="none" w:sz="0" w:space="0" w:color="auto"/>
        <w:right w:val="none" w:sz="0" w:space="0" w:color="auto"/>
      </w:divBdr>
    </w:div>
    <w:div w:id="623971815">
      <w:marLeft w:val="0"/>
      <w:marRight w:val="0"/>
      <w:marTop w:val="120"/>
      <w:marBottom w:val="0"/>
      <w:divBdr>
        <w:top w:val="none" w:sz="0" w:space="0" w:color="auto"/>
        <w:left w:val="none" w:sz="0" w:space="0" w:color="auto"/>
        <w:bottom w:val="none" w:sz="0" w:space="0" w:color="auto"/>
        <w:right w:val="none" w:sz="0" w:space="0" w:color="auto"/>
      </w:divBdr>
    </w:div>
    <w:div w:id="624312649">
      <w:marLeft w:val="0"/>
      <w:marRight w:val="0"/>
      <w:marTop w:val="0"/>
      <w:marBottom w:val="0"/>
      <w:divBdr>
        <w:top w:val="none" w:sz="0" w:space="0" w:color="auto"/>
        <w:left w:val="none" w:sz="0" w:space="0" w:color="auto"/>
        <w:bottom w:val="none" w:sz="0" w:space="0" w:color="auto"/>
        <w:right w:val="none" w:sz="0" w:space="0" w:color="auto"/>
      </w:divBdr>
      <w:divsChild>
        <w:div w:id="315694790">
          <w:marLeft w:val="0"/>
          <w:marRight w:val="0"/>
          <w:marTop w:val="0"/>
          <w:marBottom w:val="0"/>
          <w:divBdr>
            <w:top w:val="none" w:sz="0" w:space="0" w:color="auto"/>
            <w:left w:val="none" w:sz="0" w:space="0" w:color="auto"/>
            <w:bottom w:val="none" w:sz="0" w:space="0" w:color="auto"/>
            <w:right w:val="none" w:sz="0" w:space="0" w:color="auto"/>
          </w:divBdr>
        </w:div>
      </w:divsChild>
    </w:div>
    <w:div w:id="625427766">
      <w:marLeft w:val="0"/>
      <w:marRight w:val="0"/>
      <w:marTop w:val="120"/>
      <w:marBottom w:val="0"/>
      <w:divBdr>
        <w:top w:val="none" w:sz="0" w:space="0" w:color="auto"/>
        <w:left w:val="none" w:sz="0" w:space="0" w:color="auto"/>
        <w:bottom w:val="none" w:sz="0" w:space="0" w:color="auto"/>
        <w:right w:val="none" w:sz="0" w:space="0" w:color="auto"/>
      </w:divBdr>
    </w:div>
    <w:div w:id="625896109">
      <w:marLeft w:val="0"/>
      <w:marRight w:val="0"/>
      <w:marTop w:val="120"/>
      <w:marBottom w:val="0"/>
      <w:divBdr>
        <w:top w:val="none" w:sz="0" w:space="0" w:color="auto"/>
        <w:left w:val="none" w:sz="0" w:space="0" w:color="auto"/>
        <w:bottom w:val="none" w:sz="0" w:space="0" w:color="auto"/>
        <w:right w:val="none" w:sz="0" w:space="0" w:color="auto"/>
      </w:divBdr>
    </w:div>
    <w:div w:id="626736601">
      <w:marLeft w:val="0"/>
      <w:marRight w:val="0"/>
      <w:marTop w:val="120"/>
      <w:marBottom w:val="0"/>
      <w:divBdr>
        <w:top w:val="none" w:sz="0" w:space="0" w:color="auto"/>
        <w:left w:val="none" w:sz="0" w:space="0" w:color="auto"/>
        <w:bottom w:val="none" w:sz="0" w:space="0" w:color="auto"/>
        <w:right w:val="none" w:sz="0" w:space="0" w:color="auto"/>
      </w:divBdr>
    </w:div>
    <w:div w:id="628556058">
      <w:marLeft w:val="0"/>
      <w:marRight w:val="0"/>
      <w:marTop w:val="120"/>
      <w:marBottom w:val="120"/>
      <w:divBdr>
        <w:top w:val="none" w:sz="0" w:space="0" w:color="auto"/>
        <w:left w:val="none" w:sz="0" w:space="0" w:color="auto"/>
        <w:bottom w:val="none" w:sz="0" w:space="0" w:color="auto"/>
        <w:right w:val="none" w:sz="0" w:space="0" w:color="auto"/>
      </w:divBdr>
    </w:div>
    <w:div w:id="629018570">
      <w:marLeft w:val="0"/>
      <w:marRight w:val="0"/>
      <w:marTop w:val="0"/>
      <w:marBottom w:val="0"/>
      <w:divBdr>
        <w:top w:val="none" w:sz="0" w:space="0" w:color="auto"/>
        <w:left w:val="none" w:sz="0" w:space="0" w:color="auto"/>
        <w:bottom w:val="none" w:sz="0" w:space="0" w:color="auto"/>
        <w:right w:val="none" w:sz="0" w:space="0" w:color="auto"/>
      </w:divBdr>
    </w:div>
    <w:div w:id="629022155">
      <w:marLeft w:val="0"/>
      <w:marRight w:val="0"/>
      <w:marTop w:val="180"/>
      <w:marBottom w:val="0"/>
      <w:divBdr>
        <w:top w:val="none" w:sz="0" w:space="0" w:color="auto"/>
        <w:left w:val="none" w:sz="0" w:space="0" w:color="auto"/>
        <w:bottom w:val="none" w:sz="0" w:space="0" w:color="auto"/>
        <w:right w:val="none" w:sz="0" w:space="0" w:color="auto"/>
      </w:divBdr>
    </w:div>
    <w:div w:id="630017042">
      <w:marLeft w:val="0"/>
      <w:marRight w:val="0"/>
      <w:marTop w:val="120"/>
      <w:marBottom w:val="0"/>
      <w:divBdr>
        <w:top w:val="none" w:sz="0" w:space="0" w:color="auto"/>
        <w:left w:val="none" w:sz="0" w:space="0" w:color="auto"/>
        <w:bottom w:val="none" w:sz="0" w:space="0" w:color="auto"/>
        <w:right w:val="none" w:sz="0" w:space="0" w:color="auto"/>
      </w:divBdr>
    </w:div>
    <w:div w:id="630524473">
      <w:marLeft w:val="0"/>
      <w:marRight w:val="0"/>
      <w:marTop w:val="120"/>
      <w:marBottom w:val="0"/>
      <w:divBdr>
        <w:top w:val="none" w:sz="0" w:space="0" w:color="auto"/>
        <w:left w:val="none" w:sz="0" w:space="0" w:color="auto"/>
        <w:bottom w:val="none" w:sz="0" w:space="0" w:color="auto"/>
        <w:right w:val="none" w:sz="0" w:space="0" w:color="auto"/>
      </w:divBdr>
    </w:div>
    <w:div w:id="631181470">
      <w:marLeft w:val="0"/>
      <w:marRight w:val="0"/>
      <w:marTop w:val="120"/>
      <w:marBottom w:val="0"/>
      <w:divBdr>
        <w:top w:val="none" w:sz="0" w:space="0" w:color="auto"/>
        <w:left w:val="none" w:sz="0" w:space="0" w:color="auto"/>
        <w:bottom w:val="none" w:sz="0" w:space="0" w:color="auto"/>
        <w:right w:val="none" w:sz="0" w:space="0" w:color="auto"/>
      </w:divBdr>
    </w:div>
    <w:div w:id="632520125">
      <w:marLeft w:val="0"/>
      <w:marRight w:val="0"/>
      <w:marTop w:val="0"/>
      <w:marBottom w:val="0"/>
      <w:divBdr>
        <w:top w:val="none" w:sz="0" w:space="0" w:color="auto"/>
        <w:left w:val="none" w:sz="0" w:space="0" w:color="auto"/>
        <w:bottom w:val="none" w:sz="0" w:space="0" w:color="auto"/>
        <w:right w:val="none" w:sz="0" w:space="0" w:color="auto"/>
      </w:divBdr>
    </w:div>
    <w:div w:id="633870742">
      <w:marLeft w:val="0"/>
      <w:marRight w:val="0"/>
      <w:marTop w:val="120"/>
      <w:marBottom w:val="0"/>
      <w:divBdr>
        <w:top w:val="none" w:sz="0" w:space="0" w:color="auto"/>
        <w:left w:val="none" w:sz="0" w:space="0" w:color="auto"/>
        <w:bottom w:val="none" w:sz="0" w:space="0" w:color="auto"/>
        <w:right w:val="none" w:sz="0" w:space="0" w:color="auto"/>
      </w:divBdr>
    </w:div>
    <w:div w:id="636377910">
      <w:marLeft w:val="0"/>
      <w:marRight w:val="0"/>
      <w:marTop w:val="0"/>
      <w:marBottom w:val="0"/>
      <w:divBdr>
        <w:top w:val="none" w:sz="0" w:space="0" w:color="auto"/>
        <w:left w:val="none" w:sz="0" w:space="0" w:color="auto"/>
        <w:bottom w:val="none" w:sz="0" w:space="0" w:color="auto"/>
        <w:right w:val="none" w:sz="0" w:space="0" w:color="auto"/>
      </w:divBdr>
      <w:divsChild>
        <w:div w:id="752821435">
          <w:marLeft w:val="0"/>
          <w:marRight w:val="0"/>
          <w:marTop w:val="0"/>
          <w:marBottom w:val="0"/>
          <w:divBdr>
            <w:top w:val="none" w:sz="0" w:space="0" w:color="auto"/>
            <w:left w:val="none" w:sz="0" w:space="0" w:color="auto"/>
            <w:bottom w:val="none" w:sz="0" w:space="0" w:color="auto"/>
            <w:right w:val="none" w:sz="0" w:space="0" w:color="auto"/>
          </w:divBdr>
        </w:div>
      </w:divsChild>
    </w:div>
    <w:div w:id="638192294">
      <w:marLeft w:val="0"/>
      <w:marRight w:val="0"/>
      <w:marTop w:val="120"/>
      <w:marBottom w:val="0"/>
      <w:divBdr>
        <w:top w:val="none" w:sz="0" w:space="0" w:color="auto"/>
        <w:left w:val="none" w:sz="0" w:space="0" w:color="auto"/>
        <w:bottom w:val="none" w:sz="0" w:space="0" w:color="auto"/>
        <w:right w:val="none" w:sz="0" w:space="0" w:color="auto"/>
      </w:divBdr>
    </w:div>
    <w:div w:id="638340065">
      <w:marLeft w:val="0"/>
      <w:marRight w:val="0"/>
      <w:marTop w:val="120"/>
      <w:marBottom w:val="0"/>
      <w:divBdr>
        <w:top w:val="none" w:sz="0" w:space="0" w:color="auto"/>
        <w:left w:val="none" w:sz="0" w:space="0" w:color="auto"/>
        <w:bottom w:val="none" w:sz="0" w:space="0" w:color="auto"/>
        <w:right w:val="none" w:sz="0" w:space="0" w:color="auto"/>
      </w:divBdr>
    </w:div>
    <w:div w:id="640112642">
      <w:marLeft w:val="0"/>
      <w:marRight w:val="0"/>
      <w:marTop w:val="120"/>
      <w:marBottom w:val="0"/>
      <w:divBdr>
        <w:top w:val="none" w:sz="0" w:space="0" w:color="auto"/>
        <w:left w:val="none" w:sz="0" w:space="0" w:color="auto"/>
        <w:bottom w:val="none" w:sz="0" w:space="0" w:color="auto"/>
        <w:right w:val="none" w:sz="0" w:space="0" w:color="auto"/>
      </w:divBdr>
    </w:div>
    <w:div w:id="641085882">
      <w:marLeft w:val="0"/>
      <w:marRight w:val="0"/>
      <w:marTop w:val="120"/>
      <w:marBottom w:val="0"/>
      <w:divBdr>
        <w:top w:val="none" w:sz="0" w:space="0" w:color="auto"/>
        <w:left w:val="none" w:sz="0" w:space="0" w:color="auto"/>
        <w:bottom w:val="none" w:sz="0" w:space="0" w:color="auto"/>
        <w:right w:val="none" w:sz="0" w:space="0" w:color="auto"/>
      </w:divBdr>
    </w:div>
    <w:div w:id="642076863">
      <w:marLeft w:val="0"/>
      <w:marRight w:val="0"/>
      <w:marTop w:val="120"/>
      <w:marBottom w:val="0"/>
      <w:divBdr>
        <w:top w:val="none" w:sz="0" w:space="0" w:color="auto"/>
        <w:left w:val="none" w:sz="0" w:space="0" w:color="auto"/>
        <w:bottom w:val="none" w:sz="0" w:space="0" w:color="auto"/>
        <w:right w:val="none" w:sz="0" w:space="0" w:color="auto"/>
      </w:divBdr>
    </w:div>
    <w:div w:id="643126160">
      <w:marLeft w:val="0"/>
      <w:marRight w:val="0"/>
      <w:marTop w:val="120"/>
      <w:marBottom w:val="0"/>
      <w:divBdr>
        <w:top w:val="none" w:sz="0" w:space="0" w:color="auto"/>
        <w:left w:val="none" w:sz="0" w:space="0" w:color="auto"/>
        <w:bottom w:val="none" w:sz="0" w:space="0" w:color="auto"/>
        <w:right w:val="none" w:sz="0" w:space="0" w:color="auto"/>
      </w:divBdr>
    </w:div>
    <w:div w:id="643240756">
      <w:marLeft w:val="0"/>
      <w:marRight w:val="0"/>
      <w:marTop w:val="120"/>
      <w:marBottom w:val="0"/>
      <w:divBdr>
        <w:top w:val="none" w:sz="0" w:space="0" w:color="auto"/>
        <w:left w:val="none" w:sz="0" w:space="0" w:color="auto"/>
        <w:bottom w:val="none" w:sz="0" w:space="0" w:color="auto"/>
        <w:right w:val="none" w:sz="0" w:space="0" w:color="auto"/>
      </w:divBdr>
    </w:div>
    <w:div w:id="645091964">
      <w:marLeft w:val="0"/>
      <w:marRight w:val="0"/>
      <w:marTop w:val="120"/>
      <w:marBottom w:val="0"/>
      <w:divBdr>
        <w:top w:val="none" w:sz="0" w:space="0" w:color="auto"/>
        <w:left w:val="none" w:sz="0" w:space="0" w:color="auto"/>
        <w:bottom w:val="none" w:sz="0" w:space="0" w:color="auto"/>
        <w:right w:val="none" w:sz="0" w:space="0" w:color="auto"/>
      </w:divBdr>
    </w:div>
    <w:div w:id="645741120">
      <w:marLeft w:val="0"/>
      <w:marRight w:val="0"/>
      <w:marTop w:val="120"/>
      <w:marBottom w:val="0"/>
      <w:divBdr>
        <w:top w:val="none" w:sz="0" w:space="0" w:color="auto"/>
        <w:left w:val="none" w:sz="0" w:space="0" w:color="auto"/>
        <w:bottom w:val="none" w:sz="0" w:space="0" w:color="auto"/>
        <w:right w:val="none" w:sz="0" w:space="0" w:color="auto"/>
      </w:divBdr>
    </w:div>
    <w:div w:id="646783324">
      <w:marLeft w:val="0"/>
      <w:marRight w:val="0"/>
      <w:marTop w:val="0"/>
      <w:marBottom w:val="0"/>
      <w:divBdr>
        <w:top w:val="none" w:sz="0" w:space="0" w:color="auto"/>
        <w:left w:val="none" w:sz="0" w:space="0" w:color="auto"/>
        <w:bottom w:val="none" w:sz="0" w:space="0" w:color="auto"/>
        <w:right w:val="none" w:sz="0" w:space="0" w:color="auto"/>
      </w:divBdr>
      <w:divsChild>
        <w:div w:id="963148189">
          <w:marLeft w:val="0"/>
          <w:marRight w:val="0"/>
          <w:marTop w:val="0"/>
          <w:marBottom w:val="0"/>
          <w:divBdr>
            <w:top w:val="none" w:sz="0" w:space="0" w:color="auto"/>
            <w:left w:val="none" w:sz="0" w:space="0" w:color="auto"/>
            <w:bottom w:val="none" w:sz="0" w:space="0" w:color="auto"/>
            <w:right w:val="none" w:sz="0" w:space="0" w:color="auto"/>
          </w:divBdr>
        </w:div>
      </w:divsChild>
    </w:div>
    <w:div w:id="648706002">
      <w:marLeft w:val="0"/>
      <w:marRight w:val="0"/>
      <w:marTop w:val="120"/>
      <w:marBottom w:val="0"/>
      <w:divBdr>
        <w:top w:val="none" w:sz="0" w:space="0" w:color="auto"/>
        <w:left w:val="none" w:sz="0" w:space="0" w:color="auto"/>
        <w:bottom w:val="none" w:sz="0" w:space="0" w:color="auto"/>
        <w:right w:val="none" w:sz="0" w:space="0" w:color="auto"/>
      </w:divBdr>
    </w:div>
    <w:div w:id="649331744">
      <w:marLeft w:val="0"/>
      <w:marRight w:val="0"/>
      <w:marTop w:val="0"/>
      <w:marBottom w:val="0"/>
      <w:divBdr>
        <w:top w:val="none" w:sz="0" w:space="0" w:color="auto"/>
        <w:left w:val="none" w:sz="0" w:space="0" w:color="auto"/>
        <w:bottom w:val="none" w:sz="0" w:space="0" w:color="auto"/>
        <w:right w:val="none" w:sz="0" w:space="0" w:color="auto"/>
      </w:divBdr>
    </w:div>
    <w:div w:id="650137692">
      <w:marLeft w:val="0"/>
      <w:marRight w:val="0"/>
      <w:marTop w:val="0"/>
      <w:marBottom w:val="0"/>
      <w:divBdr>
        <w:top w:val="none" w:sz="0" w:space="0" w:color="auto"/>
        <w:left w:val="none" w:sz="0" w:space="0" w:color="auto"/>
        <w:bottom w:val="none" w:sz="0" w:space="0" w:color="auto"/>
        <w:right w:val="none" w:sz="0" w:space="0" w:color="auto"/>
      </w:divBdr>
    </w:div>
    <w:div w:id="651450678">
      <w:marLeft w:val="0"/>
      <w:marRight w:val="0"/>
      <w:marTop w:val="0"/>
      <w:marBottom w:val="120"/>
      <w:divBdr>
        <w:top w:val="none" w:sz="0" w:space="0" w:color="auto"/>
        <w:left w:val="none" w:sz="0" w:space="0" w:color="auto"/>
        <w:bottom w:val="none" w:sz="0" w:space="0" w:color="auto"/>
        <w:right w:val="none" w:sz="0" w:space="0" w:color="auto"/>
      </w:divBdr>
    </w:div>
    <w:div w:id="652636699">
      <w:marLeft w:val="0"/>
      <w:marRight w:val="0"/>
      <w:marTop w:val="120"/>
      <w:marBottom w:val="0"/>
      <w:divBdr>
        <w:top w:val="none" w:sz="0" w:space="0" w:color="auto"/>
        <w:left w:val="none" w:sz="0" w:space="0" w:color="auto"/>
        <w:bottom w:val="none" w:sz="0" w:space="0" w:color="auto"/>
        <w:right w:val="none" w:sz="0" w:space="0" w:color="auto"/>
      </w:divBdr>
    </w:div>
    <w:div w:id="653069563">
      <w:marLeft w:val="0"/>
      <w:marRight w:val="0"/>
      <w:marTop w:val="0"/>
      <w:marBottom w:val="0"/>
      <w:divBdr>
        <w:top w:val="none" w:sz="0" w:space="0" w:color="auto"/>
        <w:left w:val="none" w:sz="0" w:space="0" w:color="auto"/>
        <w:bottom w:val="none" w:sz="0" w:space="0" w:color="auto"/>
        <w:right w:val="none" w:sz="0" w:space="0" w:color="auto"/>
      </w:divBdr>
      <w:divsChild>
        <w:div w:id="995113479">
          <w:marLeft w:val="0"/>
          <w:marRight w:val="0"/>
          <w:marTop w:val="0"/>
          <w:marBottom w:val="0"/>
          <w:divBdr>
            <w:top w:val="none" w:sz="0" w:space="0" w:color="auto"/>
            <w:left w:val="none" w:sz="0" w:space="0" w:color="auto"/>
            <w:bottom w:val="none" w:sz="0" w:space="0" w:color="auto"/>
            <w:right w:val="none" w:sz="0" w:space="0" w:color="auto"/>
          </w:divBdr>
        </w:div>
      </w:divsChild>
    </w:div>
    <w:div w:id="653412845">
      <w:marLeft w:val="0"/>
      <w:marRight w:val="0"/>
      <w:marTop w:val="120"/>
      <w:marBottom w:val="0"/>
      <w:divBdr>
        <w:top w:val="none" w:sz="0" w:space="0" w:color="auto"/>
        <w:left w:val="none" w:sz="0" w:space="0" w:color="auto"/>
        <w:bottom w:val="none" w:sz="0" w:space="0" w:color="auto"/>
        <w:right w:val="none" w:sz="0" w:space="0" w:color="auto"/>
      </w:divBdr>
    </w:div>
    <w:div w:id="653723241">
      <w:marLeft w:val="0"/>
      <w:marRight w:val="0"/>
      <w:marTop w:val="120"/>
      <w:marBottom w:val="0"/>
      <w:divBdr>
        <w:top w:val="none" w:sz="0" w:space="0" w:color="auto"/>
        <w:left w:val="none" w:sz="0" w:space="0" w:color="auto"/>
        <w:bottom w:val="none" w:sz="0" w:space="0" w:color="auto"/>
        <w:right w:val="none" w:sz="0" w:space="0" w:color="auto"/>
      </w:divBdr>
    </w:div>
    <w:div w:id="654181934">
      <w:marLeft w:val="0"/>
      <w:marRight w:val="0"/>
      <w:marTop w:val="0"/>
      <w:marBottom w:val="0"/>
      <w:divBdr>
        <w:top w:val="none" w:sz="0" w:space="0" w:color="auto"/>
        <w:left w:val="none" w:sz="0" w:space="0" w:color="auto"/>
        <w:bottom w:val="none" w:sz="0" w:space="0" w:color="auto"/>
        <w:right w:val="none" w:sz="0" w:space="0" w:color="auto"/>
      </w:divBdr>
      <w:divsChild>
        <w:div w:id="1865249220">
          <w:marLeft w:val="0"/>
          <w:marRight w:val="0"/>
          <w:marTop w:val="0"/>
          <w:marBottom w:val="0"/>
          <w:divBdr>
            <w:top w:val="none" w:sz="0" w:space="0" w:color="auto"/>
            <w:left w:val="none" w:sz="0" w:space="0" w:color="auto"/>
            <w:bottom w:val="none" w:sz="0" w:space="0" w:color="auto"/>
            <w:right w:val="none" w:sz="0" w:space="0" w:color="auto"/>
          </w:divBdr>
        </w:div>
      </w:divsChild>
    </w:div>
    <w:div w:id="658339497">
      <w:marLeft w:val="0"/>
      <w:marRight w:val="0"/>
      <w:marTop w:val="120"/>
      <w:marBottom w:val="0"/>
      <w:divBdr>
        <w:top w:val="none" w:sz="0" w:space="0" w:color="auto"/>
        <w:left w:val="none" w:sz="0" w:space="0" w:color="auto"/>
        <w:bottom w:val="none" w:sz="0" w:space="0" w:color="auto"/>
        <w:right w:val="none" w:sz="0" w:space="0" w:color="auto"/>
      </w:divBdr>
    </w:div>
    <w:div w:id="658770617">
      <w:marLeft w:val="0"/>
      <w:marRight w:val="0"/>
      <w:marTop w:val="120"/>
      <w:marBottom w:val="0"/>
      <w:divBdr>
        <w:top w:val="none" w:sz="0" w:space="0" w:color="auto"/>
        <w:left w:val="none" w:sz="0" w:space="0" w:color="auto"/>
        <w:bottom w:val="none" w:sz="0" w:space="0" w:color="auto"/>
        <w:right w:val="none" w:sz="0" w:space="0" w:color="auto"/>
      </w:divBdr>
    </w:div>
    <w:div w:id="659580277">
      <w:marLeft w:val="0"/>
      <w:marRight w:val="0"/>
      <w:marTop w:val="120"/>
      <w:marBottom w:val="0"/>
      <w:divBdr>
        <w:top w:val="none" w:sz="0" w:space="0" w:color="auto"/>
        <w:left w:val="none" w:sz="0" w:space="0" w:color="auto"/>
        <w:bottom w:val="none" w:sz="0" w:space="0" w:color="auto"/>
        <w:right w:val="none" w:sz="0" w:space="0" w:color="auto"/>
      </w:divBdr>
    </w:div>
    <w:div w:id="659626106">
      <w:marLeft w:val="0"/>
      <w:marRight w:val="0"/>
      <w:marTop w:val="120"/>
      <w:marBottom w:val="0"/>
      <w:divBdr>
        <w:top w:val="none" w:sz="0" w:space="0" w:color="auto"/>
        <w:left w:val="none" w:sz="0" w:space="0" w:color="auto"/>
        <w:bottom w:val="none" w:sz="0" w:space="0" w:color="auto"/>
        <w:right w:val="none" w:sz="0" w:space="0" w:color="auto"/>
      </w:divBdr>
    </w:div>
    <w:div w:id="661735299">
      <w:marLeft w:val="0"/>
      <w:marRight w:val="0"/>
      <w:marTop w:val="0"/>
      <w:marBottom w:val="0"/>
      <w:divBdr>
        <w:top w:val="none" w:sz="0" w:space="0" w:color="auto"/>
        <w:left w:val="none" w:sz="0" w:space="0" w:color="auto"/>
        <w:bottom w:val="none" w:sz="0" w:space="0" w:color="auto"/>
        <w:right w:val="none" w:sz="0" w:space="0" w:color="auto"/>
      </w:divBdr>
    </w:div>
    <w:div w:id="662045938">
      <w:marLeft w:val="0"/>
      <w:marRight w:val="0"/>
      <w:marTop w:val="120"/>
      <w:marBottom w:val="0"/>
      <w:divBdr>
        <w:top w:val="none" w:sz="0" w:space="0" w:color="auto"/>
        <w:left w:val="none" w:sz="0" w:space="0" w:color="auto"/>
        <w:bottom w:val="none" w:sz="0" w:space="0" w:color="auto"/>
        <w:right w:val="none" w:sz="0" w:space="0" w:color="auto"/>
      </w:divBdr>
    </w:div>
    <w:div w:id="664211414">
      <w:marLeft w:val="0"/>
      <w:marRight w:val="0"/>
      <w:marTop w:val="0"/>
      <w:marBottom w:val="0"/>
      <w:divBdr>
        <w:top w:val="none" w:sz="0" w:space="0" w:color="auto"/>
        <w:left w:val="none" w:sz="0" w:space="0" w:color="auto"/>
        <w:bottom w:val="none" w:sz="0" w:space="0" w:color="auto"/>
        <w:right w:val="none" w:sz="0" w:space="0" w:color="auto"/>
      </w:divBdr>
    </w:div>
    <w:div w:id="665473675">
      <w:marLeft w:val="0"/>
      <w:marRight w:val="0"/>
      <w:marTop w:val="0"/>
      <w:marBottom w:val="120"/>
      <w:divBdr>
        <w:top w:val="none" w:sz="0" w:space="0" w:color="auto"/>
        <w:left w:val="none" w:sz="0" w:space="0" w:color="auto"/>
        <w:bottom w:val="none" w:sz="0" w:space="0" w:color="auto"/>
        <w:right w:val="none" w:sz="0" w:space="0" w:color="auto"/>
      </w:divBdr>
      <w:divsChild>
        <w:div w:id="1727147221">
          <w:marLeft w:val="0"/>
          <w:marRight w:val="0"/>
          <w:marTop w:val="0"/>
          <w:marBottom w:val="0"/>
          <w:divBdr>
            <w:top w:val="none" w:sz="0" w:space="0" w:color="auto"/>
            <w:left w:val="none" w:sz="0" w:space="0" w:color="auto"/>
            <w:bottom w:val="none" w:sz="0" w:space="0" w:color="auto"/>
            <w:right w:val="none" w:sz="0" w:space="0" w:color="auto"/>
          </w:divBdr>
        </w:div>
      </w:divsChild>
    </w:div>
    <w:div w:id="666787449">
      <w:marLeft w:val="0"/>
      <w:marRight w:val="0"/>
      <w:marTop w:val="120"/>
      <w:marBottom w:val="0"/>
      <w:divBdr>
        <w:top w:val="none" w:sz="0" w:space="0" w:color="auto"/>
        <w:left w:val="none" w:sz="0" w:space="0" w:color="auto"/>
        <w:bottom w:val="none" w:sz="0" w:space="0" w:color="auto"/>
        <w:right w:val="none" w:sz="0" w:space="0" w:color="auto"/>
      </w:divBdr>
    </w:div>
    <w:div w:id="669941467">
      <w:marLeft w:val="0"/>
      <w:marRight w:val="0"/>
      <w:marTop w:val="0"/>
      <w:marBottom w:val="0"/>
      <w:divBdr>
        <w:top w:val="none" w:sz="0" w:space="0" w:color="auto"/>
        <w:left w:val="none" w:sz="0" w:space="0" w:color="auto"/>
        <w:bottom w:val="none" w:sz="0" w:space="0" w:color="auto"/>
        <w:right w:val="none" w:sz="0" w:space="0" w:color="auto"/>
      </w:divBdr>
    </w:div>
    <w:div w:id="669983609">
      <w:marLeft w:val="0"/>
      <w:marRight w:val="0"/>
      <w:marTop w:val="0"/>
      <w:marBottom w:val="60"/>
      <w:divBdr>
        <w:top w:val="none" w:sz="0" w:space="0" w:color="auto"/>
        <w:left w:val="none" w:sz="0" w:space="0" w:color="auto"/>
        <w:bottom w:val="none" w:sz="0" w:space="0" w:color="auto"/>
        <w:right w:val="none" w:sz="0" w:space="0" w:color="auto"/>
      </w:divBdr>
    </w:div>
    <w:div w:id="670303571">
      <w:marLeft w:val="0"/>
      <w:marRight w:val="0"/>
      <w:marTop w:val="0"/>
      <w:marBottom w:val="0"/>
      <w:divBdr>
        <w:top w:val="none" w:sz="0" w:space="0" w:color="auto"/>
        <w:left w:val="none" w:sz="0" w:space="0" w:color="auto"/>
        <w:bottom w:val="none" w:sz="0" w:space="0" w:color="auto"/>
        <w:right w:val="none" w:sz="0" w:space="0" w:color="auto"/>
      </w:divBdr>
      <w:divsChild>
        <w:div w:id="732890030">
          <w:marLeft w:val="0"/>
          <w:marRight w:val="0"/>
          <w:marTop w:val="0"/>
          <w:marBottom w:val="0"/>
          <w:divBdr>
            <w:top w:val="none" w:sz="0" w:space="0" w:color="auto"/>
            <w:left w:val="none" w:sz="0" w:space="0" w:color="auto"/>
            <w:bottom w:val="none" w:sz="0" w:space="0" w:color="auto"/>
            <w:right w:val="none" w:sz="0" w:space="0" w:color="auto"/>
          </w:divBdr>
        </w:div>
      </w:divsChild>
    </w:div>
    <w:div w:id="673455156">
      <w:marLeft w:val="0"/>
      <w:marRight w:val="0"/>
      <w:marTop w:val="120"/>
      <w:marBottom w:val="120"/>
      <w:divBdr>
        <w:top w:val="none" w:sz="0" w:space="0" w:color="auto"/>
        <w:left w:val="none" w:sz="0" w:space="0" w:color="auto"/>
        <w:bottom w:val="none" w:sz="0" w:space="0" w:color="auto"/>
        <w:right w:val="none" w:sz="0" w:space="0" w:color="auto"/>
      </w:divBdr>
    </w:div>
    <w:div w:id="673652988">
      <w:marLeft w:val="0"/>
      <w:marRight w:val="0"/>
      <w:marTop w:val="120"/>
      <w:marBottom w:val="0"/>
      <w:divBdr>
        <w:top w:val="none" w:sz="0" w:space="0" w:color="auto"/>
        <w:left w:val="none" w:sz="0" w:space="0" w:color="auto"/>
        <w:bottom w:val="none" w:sz="0" w:space="0" w:color="auto"/>
        <w:right w:val="none" w:sz="0" w:space="0" w:color="auto"/>
      </w:divBdr>
    </w:div>
    <w:div w:id="674847138">
      <w:marLeft w:val="0"/>
      <w:marRight w:val="0"/>
      <w:marTop w:val="0"/>
      <w:marBottom w:val="0"/>
      <w:divBdr>
        <w:top w:val="none" w:sz="0" w:space="0" w:color="auto"/>
        <w:left w:val="none" w:sz="0" w:space="0" w:color="auto"/>
        <w:bottom w:val="none" w:sz="0" w:space="0" w:color="auto"/>
        <w:right w:val="none" w:sz="0" w:space="0" w:color="auto"/>
      </w:divBdr>
      <w:divsChild>
        <w:div w:id="1330065312">
          <w:marLeft w:val="0"/>
          <w:marRight w:val="0"/>
          <w:marTop w:val="0"/>
          <w:marBottom w:val="0"/>
          <w:divBdr>
            <w:top w:val="none" w:sz="0" w:space="0" w:color="auto"/>
            <w:left w:val="none" w:sz="0" w:space="0" w:color="auto"/>
            <w:bottom w:val="none" w:sz="0" w:space="0" w:color="auto"/>
            <w:right w:val="none" w:sz="0" w:space="0" w:color="auto"/>
          </w:divBdr>
        </w:div>
      </w:divsChild>
    </w:div>
    <w:div w:id="675813157">
      <w:marLeft w:val="0"/>
      <w:marRight w:val="0"/>
      <w:marTop w:val="0"/>
      <w:marBottom w:val="0"/>
      <w:divBdr>
        <w:top w:val="none" w:sz="0" w:space="0" w:color="auto"/>
        <w:left w:val="none" w:sz="0" w:space="0" w:color="auto"/>
        <w:bottom w:val="none" w:sz="0" w:space="0" w:color="auto"/>
        <w:right w:val="none" w:sz="0" w:space="0" w:color="auto"/>
      </w:divBdr>
    </w:div>
    <w:div w:id="677924042">
      <w:marLeft w:val="0"/>
      <w:marRight w:val="0"/>
      <w:marTop w:val="0"/>
      <w:marBottom w:val="0"/>
      <w:divBdr>
        <w:top w:val="none" w:sz="0" w:space="0" w:color="auto"/>
        <w:left w:val="none" w:sz="0" w:space="0" w:color="auto"/>
        <w:bottom w:val="none" w:sz="0" w:space="0" w:color="auto"/>
        <w:right w:val="none" w:sz="0" w:space="0" w:color="auto"/>
      </w:divBdr>
      <w:divsChild>
        <w:div w:id="640887482">
          <w:marLeft w:val="0"/>
          <w:marRight w:val="0"/>
          <w:marTop w:val="0"/>
          <w:marBottom w:val="0"/>
          <w:divBdr>
            <w:top w:val="none" w:sz="0" w:space="0" w:color="auto"/>
            <w:left w:val="none" w:sz="0" w:space="0" w:color="auto"/>
            <w:bottom w:val="none" w:sz="0" w:space="0" w:color="auto"/>
            <w:right w:val="none" w:sz="0" w:space="0" w:color="auto"/>
          </w:divBdr>
        </w:div>
      </w:divsChild>
    </w:div>
    <w:div w:id="679744433">
      <w:marLeft w:val="0"/>
      <w:marRight w:val="0"/>
      <w:marTop w:val="0"/>
      <w:marBottom w:val="0"/>
      <w:divBdr>
        <w:top w:val="none" w:sz="0" w:space="0" w:color="auto"/>
        <w:left w:val="none" w:sz="0" w:space="0" w:color="auto"/>
        <w:bottom w:val="none" w:sz="0" w:space="0" w:color="auto"/>
        <w:right w:val="none" w:sz="0" w:space="0" w:color="auto"/>
      </w:divBdr>
    </w:div>
    <w:div w:id="682315704">
      <w:marLeft w:val="0"/>
      <w:marRight w:val="0"/>
      <w:marTop w:val="0"/>
      <w:marBottom w:val="0"/>
      <w:divBdr>
        <w:top w:val="none" w:sz="0" w:space="0" w:color="auto"/>
        <w:left w:val="none" w:sz="0" w:space="0" w:color="auto"/>
        <w:bottom w:val="none" w:sz="0" w:space="0" w:color="auto"/>
        <w:right w:val="none" w:sz="0" w:space="0" w:color="auto"/>
      </w:divBdr>
    </w:div>
    <w:div w:id="682361383">
      <w:marLeft w:val="0"/>
      <w:marRight w:val="0"/>
      <w:marTop w:val="0"/>
      <w:marBottom w:val="0"/>
      <w:divBdr>
        <w:top w:val="none" w:sz="0" w:space="0" w:color="auto"/>
        <w:left w:val="none" w:sz="0" w:space="0" w:color="auto"/>
        <w:bottom w:val="none" w:sz="0" w:space="0" w:color="auto"/>
        <w:right w:val="none" w:sz="0" w:space="0" w:color="auto"/>
      </w:divBdr>
      <w:divsChild>
        <w:div w:id="1711612414">
          <w:marLeft w:val="0"/>
          <w:marRight w:val="0"/>
          <w:marTop w:val="0"/>
          <w:marBottom w:val="0"/>
          <w:divBdr>
            <w:top w:val="none" w:sz="0" w:space="0" w:color="auto"/>
            <w:left w:val="none" w:sz="0" w:space="0" w:color="auto"/>
            <w:bottom w:val="none" w:sz="0" w:space="0" w:color="auto"/>
            <w:right w:val="none" w:sz="0" w:space="0" w:color="auto"/>
          </w:divBdr>
        </w:div>
      </w:divsChild>
    </w:div>
    <w:div w:id="682897767">
      <w:marLeft w:val="0"/>
      <w:marRight w:val="0"/>
      <w:marTop w:val="120"/>
      <w:marBottom w:val="0"/>
      <w:divBdr>
        <w:top w:val="none" w:sz="0" w:space="0" w:color="auto"/>
        <w:left w:val="none" w:sz="0" w:space="0" w:color="auto"/>
        <w:bottom w:val="none" w:sz="0" w:space="0" w:color="auto"/>
        <w:right w:val="none" w:sz="0" w:space="0" w:color="auto"/>
      </w:divBdr>
    </w:div>
    <w:div w:id="685593541">
      <w:marLeft w:val="0"/>
      <w:marRight w:val="0"/>
      <w:marTop w:val="0"/>
      <w:marBottom w:val="0"/>
      <w:divBdr>
        <w:top w:val="none" w:sz="0" w:space="0" w:color="auto"/>
        <w:left w:val="none" w:sz="0" w:space="0" w:color="auto"/>
        <w:bottom w:val="none" w:sz="0" w:space="0" w:color="auto"/>
        <w:right w:val="none" w:sz="0" w:space="0" w:color="auto"/>
      </w:divBdr>
    </w:div>
    <w:div w:id="686446696">
      <w:marLeft w:val="0"/>
      <w:marRight w:val="0"/>
      <w:marTop w:val="120"/>
      <w:marBottom w:val="0"/>
      <w:divBdr>
        <w:top w:val="none" w:sz="0" w:space="0" w:color="auto"/>
        <w:left w:val="none" w:sz="0" w:space="0" w:color="auto"/>
        <w:bottom w:val="none" w:sz="0" w:space="0" w:color="auto"/>
        <w:right w:val="none" w:sz="0" w:space="0" w:color="auto"/>
      </w:divBdr>
    </w:div>
    <w:div w:id="687021843">
      <w:marLeft w:val="0"/>
      <w:marRight w:val="0"/>
      <w:marTop w:val="0"/>
      <w:marBottom w:val="120"/>
      <w:divBdr>
        <w:top w:val="none" w:sz="0" w:space="0" w:color="auto"/>
        <w:left w:val="none" w:sz="0" w:space="0" w:color="auto"/>
        <w:bottom w:val="none" w:sz="0" w:space="0" w:color="auto"/>
        <w:right w:val="none" w:sz="0" w:space="0" w:color="auto"/>
      </w:divBdr>
      <w:divsChild>
        <w:div w:id="1396392519">
          <w:marLeft w:val="0"/>
          <w:marRight w:val="0"/>
          <w:marTop w:val="0"/>
          <w:marBottom w:val="0"/>
          <w:divBdr>
            <w:top w:val="none" w:sz="0" w:space="0" w:color="auto"/>
            <w:left w:val="none" w:sz="0" w:space="0" w:color="auto"/>
            <w:bottom w:val="none" w:sz="0" w:space="0" w:color="auto"/>
            <w:right w:val="none" w:sz="0" w:space="0" w:color="auto"/>
          </w:divBdr>
        </w:div>
        <w:div w:id="1066145121">
          <w:marLeft w:val="0"/>
          <w:marRight w:val="0"/>
          <w:marTop w:val="0"/>
          <w:marBottom w:val="0"/>
          <w:divBdr>
            <w:top w:val="none" w:sz="0" w:space="0" w:color="auto"/>
            <w:left w:val="none" w:sz="0" w:space="0" w:color="auto"/>
            <w:bottom w:val="none" w:sz="0" w:space="0" w:color="auto"/>
            <w:right w:val="none" w:sz="0" w:space="0" w:color="auto"/>
          </w:divBdr>
        </w:div>
        <w:div w:id="1258367171">
          <w:marLeft w:val="0"/>
          <w:marRight w:val="0"/>
          <w:marTop w:val="0"/>
          <w:marBottom w:val="0"/>
          <w:divBdr>
            <w:top w:val="none" w:sz="0" w:space="0" w:color="auto"/>
            <w:left w:val="none" w:sz="0" w:space="0" w:color="auto"/>
            <w:bottom w:val="none" w:sz="0" w:space="0" w:color="auto"/>
            <w:right w:val="none" w:sz="0" w:space="0" w:color="auto"/>
          </w:divBdr>
        </w:div>
        <w:div w:id="1568299975">
          <w:marLeft w:val="0"/>
          <w:marRight w:val="0"/>
          <w:marTop w:val="0"/>
          <w:marBottom w:val="0"/>
          <w:divBdr>
            <w:top w:val="none" w:sz="0" w:space="0" w:color="auto"/>
            <w:left w:val="none" w:sz="0" w:space="0" w:color="auto"/>
            <w:bottom w:val="none" w:sz="0" w:space="0" w:color="auto"/>
            <w:right w:val="none" w:sz="0" w:space="0" w:color="auto"/>
          </w:divBdr>
        </w:div>
      </w:divsChild>
    </w:div>
    <w:div w:id="689523818">
      <w:marLeft w:val="0"/>
      <w:marRight w:val="0"/>
      <w:marTop w:val="120"/>
      <w:marBottom w:val="0"/>
      <w:divBdr>
        <w:top w:val="none" w:sz="0" w:space="0" w:color="auto"/>
        <w:left w:val="none" w:sz="0" w:space="0" w:color="auto"/>
        <w:bottom w:val="none" w:sz="0" w:space="0" w:color="auto"/>
        <w:right w:val="none" w:sz="0" w:space="0" w:color="auto"/>
      </w:divBdr>
    </w:div>
    <w:div w:id="689647201">
      <w:marLeft w:val="0"/>
      <w:marRight w:val="0"/>
      <w:marTop w:val="0"/>
      <w:marBottom w:val="120"/>
      <w:divBdr>
        <w:top w:val="none" w:sz="0" w:space="0" w:color="auto"/>
        <w:left w:val="none" w:sz="0" w:space="0" w:color="auto"/>
        <w:bottom w:val="none" w:sz="0" w:space="0" w:color="auto"/>
        <w:right w:val="none" w:sz="0" w:space="0" w:color="auto"/>
      </w:divBdr>
      <w:divsChild>
        <w:div w:id="2025285192">
          <w:marLeft w:val="0"/>
          <w:marRight w:val="0"/>
          <w:marTop w:val="0"/>
          <w:marBottom w:val="0"/>
          <w:divBdr>
            <w:top w:val="none" w:sz="0" w:space="0" w:color="auto"/>
            <w:left w:val="none" w:sz="0" w:space="0" w:color="auto"/>
            <w:bottom w:val="none" w:sz="0" w:space="0" w:color="auto"/>
            <w:right w:val="none" w:sz="0" w:space="0" w:color="auto"/>
          </w:divBdr>
        </w:div>
        <w:div w:id="202063702">
          <w:marLeft w:val="0"/>
          <w:marRight w:val="0"/>
          <w:marTop w:val="0"/>
          <w:marBottom w:val="0"/>
          <w:divBdr>
            <w:top w:val="none" w:sz="0" w:space="0" w:color="auto"/>
            <w:left w:val="none" w:sz="0" w:space="0" w:color="auto"/>
            <w:bottom w:val="none" w:sz="0" w:space="0" w:color="auto"/>
            <w:right w:val="none" w:sz="0" w:space="0" w:color="auto"/>
          </w:divBdr>
        </w:div>
        <w:div w:id="1434015458">
          <w:marLeft w:val="0"/>
          <w:marRight w:val="0"/>
          <w:marTop w:val="0"/>
          <w:marBottom w:val="0"/>
          <w:divBdr>
            <w:top w:val="none" w:sz="0" w:space="0" w:color="auto"/>
            <w:left w:val="none" w:sz="0" w:space="0" w:color="auto"/>
            <w:bottom w:val="none" w:sz="0" w:space="0" w:color="auto"/>
            <w:right w:val="none" w:sz="0" w:space="0" w:color="auto"/>
          </w:divBdr>
        </w:div>
        <w:div w:id="1031995616">
          <w:marLeft w:val="0"/>
          <w:marRight w:val="0"/>
          <w:marTop w:val="0"/>
          <w:marBottom w:val="0"/>
          <w:divBdr>
            <w:top w:val="none" w:sz="0" w:space="0" w:color="auto"/>
            <w:left w:val="none" w:sz="0" w:space="0" w:color="auto"/>
            <w:bottom w:val="none" w:sz="0" w:space="0" w:color="auto"/>
            <w:right w:val="none" w:sz="0" w:space="0" w:color="auto"/>
          </w:divBdr>
        </w:div>
        <w:div w:id="402486228">
          <w:marLeft w:val="0"/>
          <w:marRight w:val="0"/>
          <w:marTop w:val="0"/>
          <w:marBottom w:val="0"/>
          <w:divBdr>
            <w:top w:val="none" w:sz="0" w:space="0" w:color="auto"/>
            <w:left w:val="none" w:sz="0" w:space="0" w:color="auto"/>
            <w:bottom w:val="none" w:sz="0" w:space="0" w:color="auto"/>
            <w:right w:val="none" w:sz="0" w:space="0" w:color="auto"/>
          </w:divBdr>
        </w:div>
        <w:div w:id="1219438370">
          <w:marLeft w:val="0"/>
          <w:marRight w:val="0"/>
          <w:marTop w:val="0"/>
          <w:marBottom w:val="0"/>
          <w:divBdr>
            <w:top w:val="none" w:sz="0" w:space="0" w:color="auto"/>
            <w:left w:val="none" w:sz="0" w:space="0" w:color="auto"/>
            <w:bottom w:val="none" w:sz="0" w:space="0" w:color="auto"/>
            <w:right w:val="none" w:sz="0" w:space="0" w:color="auto"/>
          </w:divBdr>
        </w:div>
        <w:div w:id="1324822356">
          <w:marLeft w:val="0"/>
          <w:marRight w:val="0"/>
          <w:marTop w:val="0"/>
          <w:marBottom w:val="0"/>
          <w:divBdr>
            <w:top w:val="none" w:sz="0" w:space="0" w:color="auto"/>
            <w:left w:val="none" w:sz="0" w:space="0" w:color="auto"/>
            <w:bottom w:val="none" w:sz="0" w:space="0" w:color="auto"/>
            <w:right w:val="none" w:sz="0" w:space="0" w:color="auto"/>
          </w:divBdr>
        </w:div>
        <w:div w:id="1303002422">
          <w:marLeft w:val="0"/>
          <w:marRight w:val="0"/>
          <w:marTop w:val="0"/>
          <w:marBottom w:val="0"/>
          <w:divBdr>
            <w:top w:val="none" w:sz="0" w:space="0" w:color="auto"/>
            <w:left w:val="none" w:sz="0" w:space="0" w:color="auto"/>
            <w:bottom w:val="none" w:sz="0" w:space="0" w:color="auto"/>
            <w:right w:val="none" w:sz="0" w:space="0" w:color="auto"/>
          </w:divBdr>
        </w:div>
        <w:div w:id="1223911151">
          <w:marLeft w:val="0"/>
          <w:marRight w:val="0"/>
          <w:marTop w:val="0"/>
          <w:marBottom w:val="0"/>
          <w:divBdr>
            <w:top w:val="none" w:sz="0" w:space="0" w:color="auto"/>
            <w:left w:val="none" w:sz="0" w:space="0" w:color="auto"/>
            <w:bottom w:val="none" w:sz="0" w:space="0" w:color="auto"/>
            <w:right w:val="none" w:sz="0" w:space="0" w:color="auto"/>
          </w:divBdr>
        </w:div>
        <w:div w:id="293415845">
          <w:marLeft w:val="0"/>
          <w:marRight w:val="0"/>
          <w:marTop w:val="0"/>
          <w:marBottom w:val="0"/>
          <w:divBdr>
            <w:top w:val="none" w:sz="0" w:space="0" w:color="auto"/>
            <w:left w:val="none" w:sz="0" w:space="0" w:color="auto"/>
            <w:bottom w:val="none" w:sz="0" w:space="0" w:color="auto"/>
            <w:right w:val="none" w:sz="0" w:space="0" w:color="auto"/>
          </w:divBdr>
        </w:div>
        <w:div w:id="1648825873">
          <w:marLeft w:val="0"/>
          <w:marRight w:val="0"/>
          <w:marTop w:val="0"/>
          <w:marBottom w:val="0"/>
          <w:divBdr>
            <w:top w:val="none" w:sz="0" w:space="0" w:color="auto"/>
            <w:left w:val="none" w:sz="0" w:space="0" w:color="auto"/>
            <w:bottom w:val="none" w:sz="0" w:space="0" w:color="auto"/>
            <w:right w:val="none" w:sz="0" w:space="0" w:color="auto"/>
          </w:divBdr>
        </w:div>
        <w:div w:id="220557227">
          <w:marLeft w:val="0"/>
          <w:marRight w:val="0"/>
          <w:marTop w:val="0"/>
          <w:marBottom w:val="0"/>
          <w:divBdr>
            <w:top w:val="none" w:sz="0" w:space="0" w:color="auto"/>
            <w:left w:val="none" w:sz="0" w:space="0" w:color="auto"/>
            <w:bottom w:val="none" w:sz="0" w:space="0" w:color="auto"/>
            <w:right w:val="none" w:sz="0" w:space="0" w:color="auto"/>
          </w:divBdr>
        </w:div>
        <w:div w:id="573197921">
          <w:marLeft w:val="0"/>
          <w:marRight w:val="0"/>
          <w:marTop w:val="0"/>
          <w:marBottom w:val="0"/>
          <w:divBdr>
            <w:top w:val="none" w:sz="0" w:space="0" w:color="auto"/>
            <w:left w:val="none" w:sz="0" w:space="0" w:color="auto"/>
            <w:bottom w:val="none" w:sz="0" w:space="0" w:color="auto"/>
            <w:right w:val="none" w:sz="0" w:space="0" w:color="auto"/>
          </w:divBdr>
        </w:div>
        <w:div w:id="2026782154">
          <w:marLeft w:val="0"/>
          <w:marRight w:val="0"/>
          <w:marTop w:val="0"/>
          <w:marBottom w:val="0"/>
          <w:divBdr>
            <w:top w:val="none" w:sz="0" w:space="0" w:color="auto"/>
            <w:left w:val="none" w:sz="0" w:space="0" w:color="auto"/>
            <w:bottom w:val="none" w:sz="0" w:space="0" w:color="auto"/>
            <w:right w:val="none" w:sz="0" w:space="0" w:color="auto"/>
          </w:divBdr>
        </w:div>
        <w:div w:id="2074615365">
          <w:marLeft w:val="0"/>
          <w:marRight w:val="0"/>
          <w:marTop w:val="0"/>
          <w:marBottom w:val="0"/>
          <w:divBdr>
            <w:top w:val="none" w:sz="0" w:space="0" w:color="auto"/>
            <w:left w:val="none" w:sz="0" w:space="0" w:color="auto"/>
            <w:bottom w:val="none" w:sz="0" w:space="0" w:color="auto"/>
            <w:right w:val="none" w:sz="0" w:space="0" w:color="auto"/>
          </w:divBdr>
        </w:div>
        <w:div w:id="1597520715">
          <w:marLeft w:val="0"/>
          <w:marRight w:val="0"/>
          <w:marTop w:val="0"/>
          <w:marBottom w:val="0"/>
          <w:divBdr>
            <w:top w:val="none" w:sz="0" w:space="0" w:color="auto"/>
            <w:left w:val="none" w:sz="0" w:space="0" w:color="auto"/>
            <w:bottom w:val="none" w:sz="0" w:space="0" w:color="auto"/>
            <w:right w:val="none" w:sz="0" w:space="0" w:color="auto"/>
          </w:divBdr>
        </w:div>
        <w:div w:id="998852674">
          <w:marLeft w:val="0"/>
          <w:marRight w:val="0"/>
          <w:marTop w:val="0"/>
          <w:marBottom w:val="0"/>
          <w:divBdr>
            <w:top w:val="none" w:sz="0" w:space="0" w:color="auto"/>
            <w:left w:val="none" w:sz="0" w:space="0" w:color="auto"/>
            <w:bottom w:val="none" w:sz="0" w:space="0" w:color="auto"/>
            <w:right w:val="none" w:sz="0" w:space="0" w:color="auto"/>
          </w:divBdr>
        </w:div>
        <w:div w:id="902839160">
          <w:marLeft w:val="0"/>
          <w:marRight w:val="0"/>
          <w:marTop w:val="0"/>
          <w:marBottom w:val="0"/>
          <w:divBdr>
            <w:top w:val="none" w:sz="0" w:space="0" w:color="auto"/>
            <w:left w:val="none" w:sz="0" w:space="0" w:color="auto"/>
            <w:bottom w:val="none" w:sz="0" w:space="0" w:color="auto"/>
            <w:right w:val="none" w:sz="0" w:space="0" w:color="auto"/>
          </w:divBdr>
        </w:div>
        <w:div w:id="344096747">
          <w:marLeft w:val="0"/>
          <w:marRight w:val="0"/>
          <w:marTop w:val="0"/>
          <w:marBottom w:val="0"/>
          <w:divBdr>
            <w:top w:val="none" w:sz="0" w:space="0" w:color="auto"/>
            <w:left w:val="none" w:sz="0" w:space="0" w:color="auto"/>
            <w:bottom w:val="none" w:sz="0" w:space="0" w:color="auto"/>
            <w:right w:val="none" w:sz="0" w:space="0" w:color="auto"/>
          </w:divBdr>
        </w:div>
        <w:div w:id="2135445324">
          <w:marLeft w:val="0"/>
          <w:marRight w:val="0"/>
          <w:marTop w:val="0"/>
          <w:marBottom w:val="0"/>
          <w:divBdr>
            <w:top w:val="none" w:sz="0" w:space="0" w:color="auto"/>
            <w:left w:val="none" w:sz="0" w:space="0" w:color="auto"/>
            <w:bottom w:val="none" w:sz="0" w:space="0" w:color="auto"/>
            <w:right w:val="none" w:sz="0" w:space="0" w:color="auto"/>
          </w:divBdr>
        </w:div>
        <w:div w:id="1156535280">
          <w:marLeft w:val="0"/>
          <w:marRight w:val="0"/>
          <w:marTop w:val="0"/>
          <w:marBottom w:val="0"/>
          <w:divBdr>
            <w:top w:val="none" w:sz="0" w:space="0" w:color="auto"/>
            <w:left w:val="none" w:sz="0" w:space="0" w:color="auto"/>
            <w:bottom w:val="none" w:sz="0" w:space="0" w:color="auto"/>
            <w:right w:val="none" w:sz="0" w:space="0" w:color="auto"/>
          </w:divBdr>
        </w:div>
        <w:div w:id="773405989">
          <w:marLeft w:val="0"/>
          <w:marRight w:val="0"/>
          <w:marTop w:val="0"/>
          <w:marBottom w:val="0"/>
          <w:divBdr>
            <w:top w:val="none" w:sz="0" w:space="0" w:color="auto"/>
            <w:left w:val="none" w:sz="0" w:space="0" w:color="auto"/>
            <w:bottom w:val="none" w:sz="0" w:space="0" w:color="auto"/>
            <w:right w:val="none" w:sz="0" w:space="0" w:color="auto"/>
          </w:divBdr>
        </w:div>
        <w:div w:id="1575818743">
          <w:marLeft w:val="0"/>
          <w:marRight w:val="0"/>
          <w:marTop w:val="0"/>
          <w:marBottom w:val="0"/>
          <w:divBdr>
            <w:top w:val="none" w:sz="0" w:space="0" w:color="auto"/>
            <w:left w:val="none" w:sz="0" w:space="0" w:color="auto"/>
            <w:bottom w:val="none" w:sz="0" w:space="0" w:color="auto"/>
            <w:right w:val="none" w:sz="0" w:space="0" w:color="auto"/>
          </w:divBdr>
        </w:div>
        <w:div w:id="1069306438">
          <w:marLeft w:val="0"/>
          <w:marRight w:val="0"/>
          <w:marTop w:val="0"/>
          <w:marBottom w:val="0"/>
          <w:divBdr>
            <w:top w:val="none" w:sz="0" w:space="0" w:color="auto"/>
            <w:left w:val="none" w:sz="0" w:space="0" w:color="auto"/>
            <w:bottom w:val="none" w:sz="0" w:space="0" w:color="auto"/>
            <w:right w:val="none" w:sz="0" w:space="0" w:color="auto"/>
          </w:divBdr>
        </w:div>
        <w:div w:id="1831404415">
          <w:marLeft w:val="0"/>
          <w:marRight w:val="0"/>
          <w:marTop w:val="0"/>
          <w:marBottom w:val="0"/>
          <w:divBdr>
            <w:top w:val="none" w:sz="0" w:space="0" w:color="auto"/>
            <w:left w:val="none" w:sz="0" w:space="0" w:color="auto"/>
            <w:bottom w:val="none" w:sz="0" w:space="0" w:color="auto"/>
            <w:right w:val="none" w:sz="0" w:space="0" w:color="auto"/>
          </w:divBdr>
        </w:div>
        <w:div w:id="543294186">
          <w:marLeft w:val="0"/>
          <w:marRight w:val="0"/>
          <w:marTop w:val="0"/>
          <w:marBottom w:val="0"/>
          <w:divBdr>
            <w:top w:val="none" w:sz="0" w:space="0" w:color="auto"/>
            <w:left w:val="none" w:sz="0" w:space="0" w:color="auto"/>
            <w:bottom w:val="none" w:sz="0" w:space="0" w:color="auto"/>
            <w:right w:val="none" w:sz="0" w:space="0" w:color="auto"/>
          </w:divBdr>
        </w:div>
        <w:div w:id="1355959065">
          <w:marLeft w:val="0"/>
          <w:marRight w:val="0"/>
          <w:marTop w:val="0"/>
          <w:marBottom w:val="0"/>
          <w:divBdr>
            <w:top w:val="none" w:sz="0" w:space="0" w:color="auto"/>
            <w:left w:val="none" w:sz="0" w:space="0" w:color="auto"/>
            <w:bottom w:val="none" w:sz="0" w:space="0" w:color="auto"/>
            <w:right w:val="none" w:sz="0" w:space="0" w:color="auto"/>
          </w:divBdr>
        </w:div>
        <w:div w:id="299842473">
          <w:marLeft w:val="0"/>
          <w:marRight w:val="0"/>
          <w:marTop w:val="0"/>
          <w:marBottom w:val="0"/>
          <w:divBdr>
            <w:top w:val="none" w:sz="0" w:space="0" w:color="auto"/>
            <w:left w:val="none" w:sz="0" w:space="0" w:color="auto"/>
            <w:bottom w:val="none" w:sz="0" w:space="0" w:color="auto"/>
            <w:right w:val="none" w:sz="0" w:space="0" w:color="auto"/>
          </w:divBdr>
        </w:div>
        <w:div w:id="1552495801">
          <w:marLeft w:val="0"/>
          <w:marRight w:val="0"/>
          <w:marTop w:val="0"/>
          <w:marBottom w:val="0"/>
          <w:divBdr>
            <w:top w:val="none" w:sz="0" w:space="0" w:color="auto"/>
            <w:left w:val="none" w:sz="0" w:space="0" w:color="auto"/>
            <w:bottom w:val="none" w:sz="0" w:space="0" w:color="auto"/>
            <w:right w:val="none" w:sz="0" w:space="0" w:color="auto"/>
          </w:divBdr>
        </w:div>
        <w:div w:id="904880639">
          <w:marLeft w:val="0"/>
          <w:marRight w:val="0"/>
          <w:marTop w:val="0"/>
          <w:marBottom w:val="0"/>
          <w:divBdr>
            <w:top w:val="none" w:sz="0" w:space="0" w:color="auto"/>
            <w:left w:val="none" w:sz="0" w:space="0" w:color="auto"/>
            <w:bottom w:val="none" w:sz="0" w:space="0" w:color="auto"/>
            <w:right w:val="none" w:sz="0" w:space="0" w:color="auto"/>
          </w:divBdr>
        </w:div>
        <w:div w:id="127405749">
          <w:marLeft w:val="0"/>
          <w:marRight w:val="0"/>
          <w:marTop w:val="0"/>
          <w:marBottom w:val="0"/>
          <w:divBdr>
            <w:top w:val="none" w:sz="0" w:space="0" w:color="auto"/>
            <w:left w:val="none" w:sz="0" w:space="0" w:color="auto"/>
            <w:bottom w:val="none" w:sz="0" w:space="0" w:color="auto"/>
            <w:right w:val="none" w:sz="0" w:space="0" w:color="auto"/>
          </w:divBdr>
        </w:div>
        <w:div w:id="1285499079">
          <w:marLeft w:val="0"/>
          <w:marRight w:val="0"/>
          <w:marTop w:val="0"/>
          <w:marBottom w:val="0"/>
          <w:divBdr>
            <w:top w:val="none" w:sz="0" w:space="0" w:color="auto"/>
            <w:left w:val="none" w:sz="0" w:space="0" w:color="auto"/>
            <w:bottom w:val="none" w:sz="0" w:space="0" w:color="auto"/>
            <w:right w:val="none" w:sz="0" w:space="0" w:color="auto"/>
          </w:divBdr>
        </w:div>
        <w:div w:id="1924030487">
          <w:marLeft w:val="0"/>
          <w:marRight w:val="0"/>
          <w:marTop w:val="0"/>
          <w:marBottom w:val="0"/>
          <w:divBdr>
            <w:top w:val="none" w:sz="0" w:space="0" w:color="auto"/>
            <w:left w:val="none" w:sz="0" w:space="0" w:color="auto"/>
            <w:bottom w:val="none" w:sz="0" w:space="0" w:color="auto"/>
            <w:right w:val="none" w:sz="0" w:space="0" w:color="auto"/>
          </w:divBdr>
        </w:div>
        <w:div w:id="2083287731">
          <w:marLeft w:val="0"/>
          <w:marRight w:val="0"/>
          <w:marTop w:val="0"/>
          <w:marBottom w:val="0"/>
          <w:divBdr>
            <w:top w:val="none" w:sz="0" w:space="0" w:color="auto"/>
            <w:left w:val="none" w:sz="0" w:space="0" w:color="auto"/>
            <w:bottom w:val="none" w:sz="0" w:space="0" w:color="auto"/>
            <w:right w:val="none" w:sz="0" w:space="0" w:color="auto"/>
          </w:divBdr>
        </w:div>
        <w:div w:id="1816222297">
          <w:marLeft w:val="0"/>
          <w:marRight w:val="0"/>
          <w:marTop w:val="0"/>
          <w:marBottom w:val="0"/>
          <w:divBdr>
            <w:top w:val="none" w:sz="0" w:space="0" w:color="auto"/>
            <w:left w:val="none" w:sz="0" w:space="0" w:color="auto"/>
            <w:bottom w:val="none" w:sz="0" w:space="0" w:color="auto"/>
            <w:right w:val="none" w:sz="0" w:space="0" w:color="auto"/>
          </w:divBdr>
        </w:div>
        <w:div w:id="408426815">
          <w:marLeft w:val="0"/>
          <w:marRight w:val="0"/>
          <w:marTop w:val="0"/>
          <w:marBottom w:val="0"/>
          <w:divBdr>
            <w:top w:val="none" w:sz="0" w:space="0" w:color="auto"/>
            <w:left w:val="none" w:sz="0" w:space="0" w:color="auto"/>
            <w:bottom w:val="none" w:sz="0" w:space="0" w:color="auto"/>
            <w:right w:val="none" w:sz="0" w:space="0" w:color="auto"/>
          </w:divBdr>
        </w:div>
        <w:div w:id="86465090">
          <w:marLeft w:val="0"/>
          <w:marRight w:val="0"/>
          <w:marTop w:val="0"/>
          <w:marBottom w:val="0"/>
          <w:divBdr>
            <w:top w:val="none" w:sz="0" w:space="0" w:color="auto"/>
            <w:left w:val="none" w:sz="0" w:space="0" w:color="auto"/>
            <w:bottom w:val="none" w:sz="0" w:space="0" w:color="auto"/>
            <w:right w:val="none" w:sz="0" w:space="0" w:color="auto"/>
          </w:divBdr>
        </w:div>
        <w:div w:id="1064453201">
          <w:marLeft w:val="0"/>
          <w:marRight w:val="0"/>
          <w:marTop w:val="0"/>
          <w:marBottom w:val="0"/>
          <w:divBdr>
            <w:top w:val="none" w:sz="0" w:space="0" w:color="auto"/>
            <w:left w:val="none" w:sz="0" w:space="0" w:color="auto"/>
            <w:bottom w:val="none" w:sz="0" w:space="0" w:color="auto"/>
            <w:right w:val="none" w:sz="0" w:space="0" w:color="auto"/>
          </w:divBdr>
        </w:div>
        <w:div w:id="2091920543">
          <w:marLeft w:val="0"/>
          <w:marRight w:val="0"/>
          <w:marTop w:val="0"/>
          <w:marBottom w:val="0"/>
          <w:divBdr>
            <w:top w:val="none" w:sz="0" w:space="0" w:color="auto"/>
            <w:left w:val="none" w:sz="0" w:space="0" w:color="auto"/>
            <w:bottom w:val="none" w:sz="0" w:space="0" w:color="auto"/>
            <w:right w:val="none" w:sz="0" w:space="0" w:color="auto"/>
          </w:divBdr>
        </w:div>
        <w:div w:id="1417438254">
          <w:marLeft w:val="0"/>
          <w:marRight w:val="0"/>
          <w:marTop w:val="0"/>
          <w:marBottom w:val="0"/>
          <w:divBdr>
            <w:top w:val="none" w:sz="0" w:space="0" w:color="auto"/>
            <w:left w:val="none" w:sz="0" w:space="0" w:color="auto"/>
            <w:bottom w:val="none" w:sz="0" w:space="0" w:color="auto"/>
            <w:right w:val="none" w:sz="0" w:space="0" w:color="auto"/>
          </w:divBdr>
        </w:div>
        <w:div w:id="1558936028">
          <w:marLeft w:val="0"/>
          <w:marRight w:val="0"/>
          <w:marTop w:val="0"/>
          <w:marBottom w:val="0"/>
          <w:divBdr>
            <w:top w:val="none" w:sz="0" w:space="0" w:color="auto"/>
            <w:left w:val="none" w:sz="0" w:space="0" w:color="auto"/>
            <w:bottom w:val="none" w:sz="0" w:space="0" w:color="auto"/>
            <w:right w:val="none" w:sz="0" w:space="0" w:color="auto"/>
          </w:divBdr>
        </w:div>
        <w:div w:id="105271997">
          <w:marLeft w:val="0"/>
          <w:marRight w:val="0"/>
          <w:marTop w:val="0"/>
          <w:marBottom w:val="0"/>
          <w:divBdr>
            <w:top w:val="none" w:sz="0" w:space="0" w:color="auto"/>
            <w:left w:val="none" w:sz="0" w:space="0" w:color="auto"/>
            <w:bottom w:val="none" w:sz="0" w:space="0" w:color="auto"/>
            <w:right w:val="none" w:sz="0" w:space="0" w:color="auto"/>
          </w:divBdr>
        </w:div>
        <w:div w:id="1172524869">
          <w:marLeft w:val="0"/>
          <w:marRight w:val="0"/>
          <w:marTop w:val="0"/>
          <w:marBottom w:val="0"/>
          <w:divBdr>
            <w:top w:val="none" w:sz="0" w:space="0" w:color="auto"/>
            <w:left w:val="none" w:sz="0" w:space="0" w:color="auto"/>
            <w:bottom w:val="none" w:sz="0" w:space="0" w:color="auto"/>
            <w:right w:val="none" w:sz="0" w:space="0" w:color="auto"/>
          </w:divBdr>
        </w:div>
      </w:divsChild>
    </w:div>
    <w:div w:id="690643509">
      <w:marLeft w:val="0"/>
      <w:marRight w:val="0"/>
      <w:marTop w:val="0"/>
      <w:marBottom w:val="0"/>
      <w:divBdr>
        <w:top w:val="none" w:sz="0" w:space="0" w:color="auto"/>
        <w:left w:val="none" w:sz="0" w:space="0" w:color="auto"/>
        <w:bottom w:val="none" w:sz="0" w:space="0" w:color="auto"/>
        <w:right w:val="none" w:sz="0" w:space="0" w:color="auto"/>
      </w:divBdr>
    </w:div>
    <w:div w:id="690883483">
      <w:marLeft w:val="0"/>
      <w:marRight w:val="0"/>
      <w:marTop w:val="120"/>
      <w:marBottom w:val="0"/>
      <w:divBdr>
        <w:top w:val="none" w:sz="0" w:space="0" w:color="auto"/>
        <w:left w:val="none" w:sz="0" w:space="0" w:color="auto"/>
        <w:bottom w:val="none" w:sz="0" w:space="0" w:color="auto"/>
        <w:right w:val="none" w:sz="0" w:space="0" w:color="auto"/>
      </w:divBdr>
    </w:div>
    <w:div w:id="692413878">
      <w:marLeft w:val="0"/>
      <w:marRight w:val="0"/>
      <w:marTop w:val="0"/>
      <w:marBottom w:val="120"/>
      <w:divBdr>
        <w:top w:val="none" w:sz="0" w:space="0" w:color="auto"/>
        <w:left w:val="none" w:sz="0" w:space="0" w:color="auto"/>
        <w:bottom w:val="none" w:sz="0" w:space="0" w:color="auto"/>
        <w:right w:val="none" w:sz="0" w:space="0" w:color="auto"/>
      </w:divBdr>
      <w:divsChild>
        <w:div w:id="317536290">
          <w:marLeft w:val="0"/>
          <w:marRight w:val="0"/>
          <w:marTop w:val="0"/>
          <w:marBottom w:val="0"/>
          <w:divBdr>
            <w:top w:val="none" w:sz="0" w:space="0" w:color="auto"/>
            <w:left w:val="none" w:sz="0" w:space="0" w:color="auto"/>
            <w:bottom w:val="none" w:sz="0" w:space="0" w:color="auto"/>
            <w:right w:val="none" w:sz="0" w:space="0" w:color="auto"/>
          </w:divBdr>
        </w:div>
        <w:div w:id="285939441">
          <w:marLeft w:val="0"/>
          <w:marRight w:val="0"/>
          <w:marTop w:val="0"/>
          <w:marBottom w:val="0"/>
          <w:divBdr>
            <w:top w:val="none" w:sz="0" w:space="0" w:color="auto"/>
            <w:left w:val="none" w:sz="0" w:space="0" w:color="auto"/>
            <w:bottom w:val="none" w:sz="0" w:space="0" w:color="auto"/>
            <w:right w:val="none" w:sz="0" w:space="0" w:color="auto"/>
          </w:divBdr>
        </w:div>
      </w:divsChild>
    </w:div>
    <w:div w:id="692651496">
      <w:marLeft w:val="0"/>
      <w:marRight w:val="0"/>
      <w:marTop w:val="0"/>
      <w:marBottom w:val="0"/>
      <w:divBdr>
        <w:top w:val="none" w:sz="0" w:space="0" w:color="auto"/>
        <w:left w:val="none" w:sz="0" w:space="0" w:color="auto"/>
        <w:bottom w:val="none" w:sz="0" w:space="0" w:color="auto"/>
        <w:right w:val="none" w:sz="0" w:space="0" w:color="auto"/>
      </w:divBdr>
      <w:divsChild>
        <w:div w:id="1479303719">
          <w:marLeft w:val="0"/>
          <w:marRight w:val="0"/>
          <w:marTop w:val="0"/>
          <w:marBottom w:val="0"/>
          <w:divBdr>
            <w:top w:val="none" w:sz="0" w:space="0" w:color="auto"/>
            <w:left w:val="none" w:sz="0" w:space="0" w:color="auto"/>
            <w:bottom w:val="none" w:sz="0" w:space="0" w:color="auto"/>
            <w:right w:val="none" w:sz="0" w:space="0" w:color="auto"/>
          </w:divBdr>
        </w:div>
      </w:divsChild>
    </w:div>
    <w:div w:id="696009078">
      <w:marLeft w:val="0"/>
      <w:marRight w:val="0"/>
      <w:marTop w:val="120"/>
      <w:marBottom w:val="0"/>
      <w:divBdr>
        <w:top w:val="none" w:sz="0" w:space="0" w:color="auto"/>
        <w:left w:val="none" w:sz="0" w:space="0" w:color="auto"/>
        <w:bottom w:val="none" w:sz="0" w:space="0" w:color="auto"/>
        <w:right w:val="none" w:sz="0" w:space="0" w:color="auto"/>
      </w:divBdr>
    </w:div>
    <w:div w:id="696539281">
      <w:marLeft w:val="0"/>
      <w:marRight w:val="0"/>
      <w:marTop w:val="120"/>
      <w:marBottom w:val="0"/>
      <w:divBdr>
        <w:top w:val="none" w:sz="0" w:space="0" w:color="auto"/>
        <w:left w:val="none" w:sz="0" w:space="0" w:color="auto"/>
        <w:bottom w:val="none" w:sz="0" w:space="0" w:color="auto"/>
        <w:right w:val="none" w:sz="0" w:space="0" w:color="auto"/>
      </w:divBdr>
    </w:div>
    <w:div w:id="697662974">
      <w:marLeft w:val="0"/>
      <w:marRight w:val="0"/>
      <w:marTop w:val="0"/>
      <w:marBottom w:val="120"/>
      <w:divBdr>
        <w:top w:val="none" w:sz="0" w:space="0" w:color="auto"/>
        <w:left w:val="none" w:sz="0" w:space="0" w:color="auto"/>
        <w:bottom w:val="none" w:sz="0" w:space="0" w:color="auto"/>
        <w:right w:val="none" w:sz="0" w:space="0" w:color="auto"/>
      </w:divBdr>
      <w:divsChild>
        <w:div w:id="2070227722">
          <w:marLeft w:val="0"/>
          <w:marRight w:val="0"/>
          <w:marTop w:val="0"/>
          <w:marBottom w:val="0"/>
          <w:divBdr>
            <w:top w:val="none" w:sz="0" w:space="0" w:color="auto"/>
            <w:left w:val="none" w:sz="0" w:space="0" w:color="auto"/>
            <w:bottom w:val="none" w:sz="0" w:space="0" w:color="auto"/>
            <w:right w:val="none" w:sz="0" w:space="0" w:color="auto"/>
          </w:divBdr>
        </w:div>
        <w:div w:id="1115514193">
          <w:marLeft w:val="0"/>
          <w:marRight w:val="0"/>
          <w:marTop w:val="0"/>
          <w:marBottom w:val="0"/>
          <w:divBdr>
            <w:top w:val="none" w:sz="0" w:space="0" w:color="auto"/>
            <w:left w:val="none" w:sz="0" w:space="0" w:color="auto"/>
            <w:bottom w:val="none" w:sz="0" w:space="0" w:color="auto"/>
            <w:right w:val="none" w:sz="0" w:space="0" w:color="auto"/>
          </w:divBdr>
        </w:div>
      </w:divsChild>
    </w:div>
    <w:div w:id="697705802">
      <w:marLeft w:val="0"/>
      <w:marRight w:val="0"/>
      <w:marTop w:val="120"/>
      <w:marBottom w:val="0"/>
      <w:divBdr>
        <w:top w:val="none" w:sz="0" w:space="0" w:color="auto"/>
        <w:left w:val="none" w:sz="0" w:space="0" w:color="auto"/>
        <w:bottom w:val="none" w:sz="0" w:space="0" w:color="auto"/>
        <w:right w:val="none" w:sz="0" w:space="0" w:color="auto"/>
      </w:divBdr>
    </w:div>
    <w:div w:id="698702801">
      <w:marLeft w:val="0"/>
      <w:marRight w:val="0"/>
      <w:marTop w:val="0"/>
      <w:marBottom w:val="0"/>
      <w:divBdr>
        <w:top w:val="none" w:sz="0" w:space="0" w:color="auto"/>
        <w:left w:val="none" w:sz="0" w:space="0" w:color="auto"/>
        <w:bottom w:val="none" w:sz="0" w:space="0" w:color="auto"/>
        <w:right w:val="none" w:sz="0" w:space="0" w:color="auto"/>
      </w:divBdr>
    </w:div>
    <w:div w:id="698776309">
      <w:marLeft w:val="0"/>
      <w:marRight w:val="0"/>
      <w:marTop w:val="0"/>
      <w:marBottom w:val="0"/>
      <w:divBdr>
        <w:top w:val="none" w:sz="0" w:space="0" w:color="auto"/>
        <w:left w:val="none" w:sz="0" w:space="0" w:color="auto"/>
        <w:bottom w:val="none" w:sz="0" w:space="0" w:color="auto"/>
        <w:right w:val="none" w:sz="0" w:space="0" w:color="auto"/>
      </w:divBdr>
      <w:divsChild>
        <w:div w:id="1602378663">
          <w:marLeft w:val="0"/>
          <w:marRight w:val="0"/>
          <w:marTop w:val="0"/>
          <w:marBottom w:val="0"/>
          <w:divBdr>
            <w:top w:val="none" w:sz="0" w:space="0" w:color="auto"/>
            <w:left w:val="none" w:sz="0" w:space="0" w:color="auto"/>
            <w:bottom w:val="none" w:sz="0" w:space="0" w:color="auto"/>
            <w:right w:val="none" w:sz="0" w:space="0" w:color="auto"/>
          </w:divBdr>
        </w:div>
      </w:divsChild>
    </w:div>
    <w:div w:id="699428184">
      <w:marLeft w:val="0"/>
      <w:marRight w:val="0"/>
      <w:marTop w:val="120"/>
      <w:marBottom w:val="0"/>
      <w:divBdr>
        <w:top w:val="none" w:sz="0" w:space="0" w:color="auto"/>
        <w:left w:val="none" w:sz="0" w:space="0" w:color="auto"/>
        <w:bottom w:val="none" w:sz="0" w:space="0" w:color="auto"/>
        <w:right w:val="none" w:sz="0" w:space="0" w:color="auto"/>
      </w:divBdr>
    </w:div>
    <w:div w:id="700326582">
      <w:marLeft w:val="0"/>
      <w:marRight w:val="0"/>
      <w:marTop w:val="120"/>
      <w:marBottom w:val="0"/>
      <w:divBdr>
        <w:top w:val="none" w:sz="0" w:space="0" w:color="auto"/>
        <w:left w:val="none" w:sz="0" w:space="0" w:color="auto"/>
        <w:bottom w:val="none" w:sz="0" w:space="0" w:color="auto"/>
        <w:right w:val="none" w:sz="0" w:space="0" w:color="auto"/>
      </w:divBdr>
    </w:div>
    <w:div w:id="700401133">
      <w:marLeft w:val="0"/>
      <w:marRight w:val="0"/>
      <w:marTop w:val="0"/>
      <w:marBottom w:val="0"/>
      <w:divBdr>
        <w:top w:val="none" w:sz="0" w:space="0" w:color="auto"/>
        <w:left w:val="none" w:sz="0" w:space="0" w:color="auto"/>
        <w:bottom w:val="none" w:sz="0" w:space="0" w:color="auto"/>
        <w:right w:val="none" w:sz="0" w:space="0" w:color="auto"/>
      </w:divBdr>
      <w:divsChild>
        <w:div w:id="811867523">
          <w:marLeft w:val="0"/>
          <w:marRight w:val="0"/>
          <w:marTop w:val="0"/>
          <w:marBottom w:val="0"/>
          <w:divBdr>
            <w:top w:val="none" w:sz="0" w:space="0" w:color="auto"/>
            <w:left w:val="none" w:sz="0" w:space="0" w:color="auto"/>
            <w:bottom w:val="none" w:sz="0" w:space="0" w:color="auto"/>
            <w:right w:val="none" w:sz="0" w:space="0" w:color="auto"/>
          </w:divBdr>
        </w:div>
      </w:divsChild>
    </w:div>
    <w:div w:id="700474333">
      <w:marLeft w:val="0"/>
      <w:marRight w:val="0"/>
      <w:marTop w:val="0"/>
      <w:marBottom w:val="0"/>
      <w:divBdr>
        <w:top w:val="none" w:sz="0" w:space="0" w:color="auto"/>
        <w:left w:val="none" w:sz="0" w:space="0" w:color="auto"/>
        <w:bottom w:val="none" w:sz="0" w:space="0" w:color="auto"/>
        <w:right w:val="none" w:sz="0" w:space="0" w:color="auto"/>
      </w:divBdr>
    </w:div>
    <w:div w:id="702167691">
      <w:marLeft w:val="0"/>
      <w:marRight w:val="0"/>
      <w:marTop w:val="120"/>
      <w:marBottom w:val="0"/>
      <w:divBdr>
        <w:top w:val="none" w:sz="0" w:space="0" w:color="auto"/>
        <w:left w:val="none" w:sz="0" w:space="0" w:color="auto"/>
        <w:bottom w:val="none" w:sz="0" w:space="0" w:color="auto"/>
        <w:right w:val="none" w:sz="0" w:space="0" w:color="auto"/>
      </w:divBdr>
    </w:div>
    <w:div w:id="702679514">
      <w:marLeft w:val="0"/>
      <w:marRight w:val="0"/>
      <w:marTop w:val="0"/>
      <w:marBottom w:val="60"/>
      <w:divBdr>
        <w:top w:val="none" w:sz="0" w:space="0" w:color="auto"/>
        <w:left w:val="none" w:sz="0" w:space="0" w:color="auto"/>
        <w:bottom w:val="none" w:sz="0" w:space="0" w:color="auto"/>
        <w:right w:val="none" w:sz="0" w:space="0" w:color="auto"/>
      </w:divBdr>
    </w:div>
    <w:div w:id="703023111">
      <w:marLeft w:val="0"/>
      <w:marRight w:val="0"/>
      <w:marTop w:val="120"/>
      <w:marBottom w:val="0"/>
      <w:divBdr>
        <w:top w:val="none" w:sz="0" w:space="0" w:color="auto"/>
        <w:left w:val="none" w:sz="0" w:space="0" w:color="auto"/>
        <w:bottom w:val="none" w:sz="0" w:space="0" w:color="auto"/>
        <w:right w:val="none" w:sz="0" w:space="0" w:color="auto"/>
      </w:divBdr>
    </w:div>
    <w:div w:id="703023699">
      <w:marLeft w:val="0"/>
      <w:marRight w:val="0"/>
      <w:marTop w:val="120"/>
      <w:marBottom w:val="0"/>
      <w:divBdr>
        <w:top w:val="none" w:sz="0" w:space="0" w:color="auto"/>
        <w:left w:val="none" w:sz="0" w:space="0" w:color="auto"/>
        <w:bottom w:val="none" w:sz="0" w:space="0" w:color="auto"/>
        <w:right w:val="none" w:sz="0" w:space="0" w:color="auto"/>
      </w:divBdr>
    </w:div>
    <w:div w:id="703672365">
      <w:marLeft w:val="0"/>
      <w:marRight w:val="0"/>
      <w:marTop w:val="120"/>
      <w:marBottom w:val="0"/>
      <w:divBdr>
        <w:top w:val="none" w:sz="0" w:space="0" w:color="auto"/>
        <w:left w:val="none" w:sz="0" w:space="0" w:color="auto"/>
        <w:bottom w:val="none" w:sz="0" w:space="0" w:color="auto"/>
        <w:right w:val="none" w:sz="0" w:space="0" w:color="auto"/>
      </w:divBdr>
    </w:div>
    <w:div w:id="705443391">
      <w:marLeft w:val="0"/>
      <w:marRight w:val="0"/>
      <w:marTop w:val="120"/>
      <w:marBottom w:val="0"/>
      <w:divBdr>
        <w:top w:val="none" w:sz="0" w:space="0" w:color="auto"/>
        <w:left w:val="none" w:sz="0" w:space="0" w:color="auto"/>
        <w:bottom w:val="none" w:sz="0" w:space="0" w:color="auto"/>
        <w:right w:val="none" w:sz="0" w:space="0" w:color="auto"/>
      </w:divBdr>
    </w:div>
    <w:div w:id="706301649">
      <w:marLeft w:val="0"/>
      <w:marRight w:val="0"/>
      <w:marTop w:val="0"/>
      <w:marBottom w:val="0"/>
      <w:divBdr>
        <w:top w:val="none" w:sz="0" w:space="0" w:color="auto"/>
        <w:left w:val="none" w:sz="0" w:space="0" w:color="auto"/>
        <w:bottom w:val="none" w:sz="0" w:space="0" w:color="auto"/>
        <w:right w:val="none" w:sz="0" w:space="0" w:color="auto"/>
      </w:divBdr>
    </w:div>
    <w:div w:id="706492511">
      <w:marLeft w:val="0"/>
      <w:marRight w:val="0"/>
      <w:marTop w:val="120"/>
      <w:marBottom w:val="0"/>
      <w:divBdr>
        <w:top w:val="none" w:sz="0" w:space="0" w:color="auto"/>
        <w:left w:val="none" w:sz="0" w:space="0" w:color="auto"/>
        <w:bottom w:val="none" w:sz="0" w:space="0" w:color="auto"/>
        <w:right w:val="none" w:sz="0" w:space="0" w:color="auto"/>
      </w:divBdr>
    </w:div>
    <w:div w:id="706829361">
      <w:marLeft w:val="0"/>
      <w:marRight w:val="0"/>
      <w:marTop w:val="0"/>
      <w:marBottom w:val="0"/>
      <w:divBdr>
        <w:top w:val="none" w:sz="0" w:space="0" w:color="auto"/>
        <w:left w:val="none" w:sz="0" w:space="0" w:color="auto"/>
        <w:bottom w:val="none" w:sz="0" w:space="0" w:color="auto"/>
        <w:right w:val="none" w:sz="0" w:space="0" w:color="auto"/>
      </w:divBdr>
    </w:div>
    <w:div w:id="708452666">
      <w:marLeft w:val="0"/>
      <w:marRight w:val="0"/>
      <w:marTop w:val="120"/>
      <w:marBottom w:val="0"/>
      <w:divBdr>
        <w:top w:val="none" w:sz="0" w:space="0" w:color="auto"/>
        <w:left w:val="none" w:sz="0" w:space="0" w:color="auto"/>
        <w:bottom w:val="none" w:sz="0" w:space="0" w:color="auto"/>
        <w:right w:val="none" w:sz="0" w:space="0" w:color="auto"/>
      </w:divBdr>
    </w:div>
    <w:div w:id="708458220">
      <w:marLeft w:val="0"/>
      <w:marRight w:val="0"/>
      <w:marTop w:val="120"/>
      <w:marBottom w:val="0"/>
      <w:divBdr>
        <w:top w:val="none" w:sz="0" w:space="0" w:color="auto"/>
        <w:left w:val="none" w:sz="0" w:space="0" w:color="auto"/>
        <w:bottom w:val="none" w:sz="0" w:space="0" w:color="auto"/>
        <w:right w:val="none" w:sz="0" w:space="0" w:color="auto"/>
      </w:divBdr>
    </w:div>
    <w:div w:id="709304404">
      <w:marLeft w:val="0"/>
      <w:marRight w:val="0"/>
      <w:marTop w:val="120"/>
      <w:marBottom w:val="0"/>
      <w:divBdr>
        <w:top w:val="none" w:sz="0" w:space="0" w:color="auto"/>
        <w:left w:val="none" w:sz="0" w:space="0" w:color="auto"/>
        <w:bottom w:val="none" w:sz="0" w:space="0" w:color="auto"/>
        <w:right w:val="none" w:sz="0" w:space="0" w:color="auto"/>
      </w:divBdr>
    </w:div>
    <w:div w:id="709763224">
      <w:marLeft w:val="0"/>
      <w:marRight w:val="0"/>
      <w:marTop w:val="120"/>
      <w:marBottom w:val="0"/>
      <w:divBdr>
        <w:top w:val="none" w:sz="0" w:space="0" w:color="auto"/>
        <w:left w:val="none" w:sz="0" w:space="0" w:color="auto"/>
        <w:bottom w:val="none" w:sz="0" w:space="0" w:color="auto"/>
        <w:right w:val="none" w:sz="0" w:space="0" w:color="auto"/>
      </w:divBdr>
    </w:div>
    <w:div w:id="710308001">
      <w:marLeft w:val="0"/>
      <w:marRight w:val="0"/>
      <w:marTop w:val="100"/>
      <w:marBottom w:val="100"/>
      <w:divBdr>
        <w:top w:val="none" w:sz="0" w:space="0" w:color="auto"/>
        <w:left w:val="none" w:sz="0" w:space="0" w:color="auto"/>
        <w:bottom w:val="none" w:sz="0" w:space="0" w:color="auto"/>
        <w:right w:val="none" w:sz="0" w:space="0" w:color="auto"/>
      </w:divBdr>
    </w:div>
    <w:div w:id="711809444">
      <w:marLeft w:val="0"/>
      <w:marRight w:val="0"/>
      <w:marTop w:val="120"/>
      <w:marBottom w:val="0"/>
      <w:divBdr>
        <w:top w:val="none" w:sz="0" w:space="0" w:color="auto"/>
        <w:left w:val="none" w:sz="0" w:space="0" w:color="auto"/>
        <w:bottom w:val="none" w:sz="0" w:space="0" w:color="auto"/>
        <w:right w:val="none" w:sz="0" w:space="0" w:color="auto"/>
      </w:divBdr>
    </w:div>
    <w:div w:id="712538879">
      <w:marLeft w:val="0"/>
      <w:marRight w:val="0"/>
      <w:marTop w:val="120"/>
      <w:marBottom w:val="0"/>
      <w:divBdr>
        <w:top w:val="none" w:sz="0" w:space="0" w:color="auto"/>
        <w:left w:val="none" w:sz="0" w:space="0" w:color="auto"/>
        <w:bottom w:val="none" w:sz="0" w:space="0" w:color="auto"/>
        <w:right w:val="none" w:sz="0" w:space="0" w:color="auto"/>
      </w:divBdr>
    </w:div>
    <w:div w:id="712654183">
      <w:marLeft w:val="0"/>
      <w:marRight w:val="0"/>
      <w:marTop w:val="120"/>
      <w:marBottom w:val="0"/>
      <w:divBdr>
        <w:top w:val="none" w:sz="0" w:space="0" w:color="auto"/>
        <w:left w:val="none" w:sz="0" w:space="0" w:color="auto"/>
        <w:bottom w:val="none" w:sz="0" w:space="0" w:color="auto"/>
        <w:right w:val="none" w:sz="0" w:space="0" w:color="auto"/>
      </w:divBdr>
    </w:div>
    <w:div w:id="713238018">
      <w:marLeft w:val="0"/>
      <w:marRight w:val="0"/>
      <w:marTop w:val="0"/>
      <w:marBottom w:val="60"/>
      <w:divBdr>
        <w:top w:val="none" w:sz="0" w:space="0" w:color="auto"/>
        <w:left w:val="none" w:sz="0" w:space="0" w:color="auto"/>
        <w:bottom w:val="none" w:sz="0" w:space="0" w:color="auto"/>
        <w:right w:val="none" w:sz="0" w:space="0" w:color="auto"/>
      </w:divBdr>
    </w:div>
    <w:div w:id="714309287">
      <w:marLeft w:val="0"/>
      <w:marRight w:val="0"/>
      <w:marTop w:val="120"/>
      <w:marBottom w:val="0"/>
      <w:divBdr>
        <w:top w:val="none" w:sz="0" w:space="0" w:color="auto"/>
        <w:left w:val="none" w:sz="0" w:space="0" w:color="auto"/>
        <w:bottom w:val="none" w:sz="0" w:space="0" w:color="auto"/>
        <w:right w:val="none" w:sz="0" w:space="0" w:color="auto"/>
      </w:divBdr>
    </w:div>
    <w:div w:id="716003966">
      <w:marLeft w:val="0"/>
      <w:marRight w:val="0"/>
      <w:marTop w:val="120"/>
      <w:marBottom w:val="0"/>
      <w:divBdr>
        <w:top w:val="none" w:sz="0" w:space="0" w:color="auto"/>
        <w:left w:val="none" w:sz="0" w:space="0" w:color="auto"/>
        <w:bottom w:val="none" w:sz="0" w:space="0" w:color="auto"/>
        <w:right w:val="none" w:sz="0" w:space="0" w:color="auto"/>
      </w:divBdr>
    </w:div>
    <w:div w:id="716667228">
      <w:marLeft w:val="0"/>
      <w:marRight w:val="0"/>
      <w:marTop w:val="0"/>
      <w:marBottom w:val="0"/>
      <w:divBdr>
        <w:top w:val="none" w:sz="0" w:space="0" w:color="auto"/>
        <w:left w:val="none" w:sz="0" w:space="0" w:color="auto"/>
        <w:bottom w:val="none" w:sz="0" w:space="0" w:color="auto"/>
        <w:right w:val="none" w:sz="0" w:space="0" w:color="auto"/>
      </w:divBdr>
    </w:div>
    <w:div w:id="717440504">
      <w:marLeft w:val="0"/>
      <w:marRight w:val="0"/>
      <w:marTop w:val="120"/>
      <w:marBottom w:val="0"/>
      <w:divBdr>
        <w:top w:val="none" w:sz="0" w:space="0" w:color="auto"/>
        <w:left w:val="none" w:sz="0" w:space="0" w:color="auto"/>
        <w:bottom w:val="none" w:sz="0" w:space="0" w:color="auto"/>
        <w:right w:val="none" w:sz="0" w:space="0" w:color="auto"/>
      </w:divBdr>
    </w:div>
    <w:div w:id="717825202">
      <w:marLeft w:val="0"/>
      <w:marRight w:val="0"/>
      <w:marTop w:val="0"/>
      <w:marBottom w:val="120"/>
      <w:divBdr>
        <w:top w:val="none" w:sz="0" w:space="0" w:color="auto"/>
        <w:left w:val="none" w:sz="0" w:space="0" w:color="auto"/>
        <w:bottom w:val="none" w:sz="0" w:space="0" w:color="auto"/>
        <w:right w:val="none" w:sz="0" w:space="0" w:color="auto"/>
      </w:divBdr>
    </w:div>
    <w:div w:id="718286947">
      <w:marLeft w:val="0"/>
      <w:marRight w:val="0"/>
      <w:marTop w:val="120"/>
      <w:marBottom w:val="0"/>
      <w:divBdr>
        <w:top w:val="none" w:sz="0" w:space="0" w:color="auto"/>
        <w:left w:val="none" w:sz="0" w:space="0" w:color="auto"/>
        <w:bottom w:val="none" w:sz="0" w:space="0" w:color="auto"/>
        <w:right w:val="none" w:sz="0" w:space="0" w:color="auto"/>
      </w:divBdr>
    </w:div>
    <w:div w:id="719283529">
      <w:marLeft w:val="0"/>
      <w:marRight w:val="0"/>
      <w:marTop w:val="120"/>
      <w:marBottom w:val="0"/>
      <w:divBdr>
        <w:top w:val="none" w:sz="0" w:space="0" w:color="auto"/>
        <w:left w:val="none" w:sz="0" w:space="0" w:color="auto"/>
        <w:bottom w:val="none" w:sz="0" w:space="0" w:color="auto"/>
        <w:right w:val="none" w:sz="0" w:space="0" w:color="auto"/>
      </w:divBdr>
    </w:div>
    <w:div w:id="720129760">
      <w:marLeft w:val="0"/>
      <w:marRight w:val="0"/>
      <w:marTop w:val="0"/>
      <w:marBottom w:val="120"/>
      <w:divBdr>
        <w:top w:val="none" w:sz="0" w:space="0" w:color="auto"/>
        <w:left w:val="none" w:sz="0" w:space="0" w:color="auto"/>
        <w:bottom w:val="none" w:sz="0" w:space="0" w:color="auto"/>
        <w:right w:val="none" w:sz="0" w:space="0" w:color="auto"/>
      </w:divBdr>
      <w:divsChild>
        <w:div w:id="327057069">
          <w:marLeft w:val="0"/>
          <w:marRight w:val="0"/>
          <w:marTop w:val="0"/>
          <w:marBottom w:val="0"/>
          <w:divBdr>
            <w:top w:val="none" w:sz="0" w:space="0" w:color="auto"/>
            <w:left w:val="none" w:sz="0" w:space="0" w:color="auto"/>
            <w:bottom w:val="none" w:sz="0" w:space="0" w:color="auto"/>
            <w:right w:val="none" w:sz="0" w:space="0" w:color="auto"/>
          </w:divBdr>
        </w:div>
      </w:divsChild>
    </w:div>
    <w:div w:id="720402569">
      <w:marLeft w:val="0"/>
      <w:marRight w:val="0"/>
      <w:marTop w:val="120"/>
      <w:marBottom w:val="0"/>
      <w:divBdr>
        <w:top w:val="none" w:sz="0" w:space="0" w:color="auto"/>
        <w:left w:val="none" w:sz="0" w:space="0" w:color="auto"/>
        <w:bottom w:val="none" w:sz="0" w:space="0" w:color="auto"/>
        <w:right w:val="none" w:sz="0" w:space="0" w:color="auto"/>
      </w:divBdr>
    </w:div>
    <w:div w:id="721367742">
      <w:marLeft w:val="0"/>
      <w:marRight w:val="0"/>
      <w:marTop w:val="120"/>
      <w:marBottom w:val="0"/>
      <w:divBdr>
        <w:top w:val="none" w:sz="0" w:space="0" w:color="auto"/>
        <w:left w:val="none" w:sz="0" w:space="0" w:color="auto"/>
        <w:bottom w:val="none" w:sz="0" w:space="0" w:color="auto"/>
        <w:right w:val="none" w:sz="0" w:space="0" w:color="auto"/>
      </w:divBdr>
    </w:div>
    <w:div w:id="722214391">
      <w:marLeft w:val="0"/>
      <w:marRight w:val="0"/>
      <w:marTop w:val="0"/>
      <w:marBottom w:val="0"/>
      <w:divBdr>
        <w:top w:val="none" w:sz="0" w:space="0" w:color="auto"/>
        <w:left w:val="none" w:sz="0" w:space="0" w:color="auto"/>
        <w:bottom w:val="none" w:sz="0" w:space="0" w:color="auto"/>
        <w:right w:val="none" w:sz="0" w:space="0" w:color="auto"/>
      </w:divBdr>
    </w:div>
    <w:div w:id="722367243">
      <w:marLeft w:val="0"/>
      <w:marRight w:val="0"/>
      <w:marTop w:val="0"/>
      <w:marBottom w:val="0"/>
      <w:divBdr>
        <w:top w:val="none" w:sz="0" w:space="0" w:color="auto"/>
        <w:left w:val="none" w:sz="0" w:space="0" w:color="auto"/>
        <w:bottom w:val="none" w:sz="0" w:space="0" w:color="auto"/>
        <w:right w:val="none" w:sz="0" w:space="0" w:color="auto"/>
      </w:divBdr>
    </w:div>
    <w:div w:id="722407739">
      <w:marLeft w:val="0"/>
      <w:marRight w:val="0"/>
      <w:marTop w:val="120"/>
      <w:marBottom w:val="0"/>
      <w:divBdr>
        <w:top w:val="none" w:sz="0" w:space="0" w:color="auto"/>
        <w:left w:val="none" w:sz="0" w:space="0" w:color="auto"/>
        <w:bottom w:val="none" w:sz="0" w:space="0" w:color="auto"/>
        <w:right w:val="none" w:sz="0" w:space="0" w:color="auto"/>
      </w:divBdr>
    </w:div>
    <w:div w:id="722874223">
      <w:marLeft w:val="0"/>
      <w:marRight w:val="0"/>
      <w:marTop w:val="120"/>
      <w:marBottom w:val="0"/>
      <w:divBdr>
        <w:top w:val="none" w:sz="0" w:space="0" w:color="auto"/>
        <w:left w:val="none" w:sz="0" w:space="0" w:color="auto"/>
        <w:bottom w:val="none" w:sz="0" w:space="0" w:color="auto"/>
        <w:right w:val="none" w:sz="0" w:space="0" w:color="auto"/>
      </w:divBdr>
    </w:div>
    <w:div w:id="723723885">
      <w:marLeft w:val="0"/>
      <w:marRight w:val="0"/>
      <w:marTop w:val="120"/>
      <w:marBottom w:val="0"/>
      <w:divBdr>
        <w:top w:val="none" w:sz="0" w:space="0" w:color="auto"/>
        <w:left w:val="none" w:sz="0" w:space="0" w:color="auto"/>
        <w:bottom w:val="none" w:sz="0" w:space="0" w:color="auto"/>
        <w:right w:val="none" w:sz="0" w:space="0" w:color="auto"/>
      </w:divBdr>
    </w:div>
    <w:div w:id="724720965">
      <w:marLeft w:val="0"/>
      <w:marRight w:val="0"/>
      <w:marTop w:val="100"/>
      <w:marBottom w:val="0"/>
      <w:divBdr>
        <w:top w:val="none" w:sz="0" w:space="0" w:color="auto"/>
        <w:left w:val="none" w:sz="0" w:space="0" w:color="auto"/>
        <w:bottom w:val="none" w:sz="0" w:space="0" w:color="auto"/>
        <w:right w:val="none" w:sz="0" w:space="0" w:color="auto"/>
      </w:divBdr>
    </w:div>
    <w:div w:id="725759238">
      <w:marLeft w:val="0"/>
      <w:marRight w:val="0"/>
      <w:marTop w:val="0"/>
      <w:marBottom w:val="60"/>
      <w:divBdr>
        <w:top w:val="none" w:sz="0" w:space="0" w:color="auto"/>
        <w:left w:val="none" w:sz="0" w:space="0" w:color="auto"/>
        <w:bottom w:val="none" w:sz="0" w:space="0" w:color="auto"/>
        <w:right w:val="none" w:sz="0" w:space="0" w:color="auto"/>
      </w:divBdr>
    </w:div>
    <w:div w:id="727875246">
      <w:marLeft w:val="0"/>
      <w:marRight w:val="0"/>
      <w:marTop w:val="120"/>
      <w:marBottom w:val="0"/>
      <w:divBdr>
        <w:top w:val="none" w:sz="0" w:space="0" w:color="auto"/>
        <w:left w:val="none" w:sz="0" w:space="0" w:color="auto"/>
        <w:bottom w:val="none" w:sz="0" w:space="0" w:color="auto"/>
        <w:right w:val="none" w:sz="0" w:space="0" w:color="auto"/>
      </w:divBdr>
    </w:div>
    <w:div w:id="728184676">
      <w:marLeft w:val="0"/>
      <w:marRight w:val="0"/>
      <w:marTop w:val="120"/>
      <w:marBottom w:val="0"/>
      <w:divBdr>
        <w:top w:val="none" w:sz="0" w:space="0" w:color="auto"/>
        <w:left w:val="none" w:sz="0" w:space="0" w:color="auto"/>
        <w:bottom w:val="none" w:sz="0" w:space="0" w:color="auto"/>
        <w:right w:val="none" w:sz="0" w:space="0" w:color="auto"/>
      </w:divBdr>
    </w:div>
    <w:div w:id="728725081">
      <w:marLeft w:val="0"/>
      <w:marRight w:val="0"/>
      <w:marTop w:val="0"/>
      <w:marBottom w:val="0"/>
      <w:divBdr>
        <w:top w:val="none" w:sz="0" w:space="0" w:color="auto"/>
        <w:left w:val="none" w:sz="0" w:space="0" w:color="auto"/>
        <w:bottom w:val="none" w:sz="0" w:space="0" w:color="auto"/>
        <w:right w:val="none" w:sz="0" w:space="0" w:color="auto"/>
      </w:divBdr>
    </w:div>
    <w:div w:id="730272019">
      <w:marLeft w:val="0"/>
      <w:marRight w:val="0"/>
      <w:marTop w:val="120"/>
      <w:marBottom w:val="0"/>
      <w:divBdr>
        <w:top w:val="none" w:sz="0" w:space="0" w:color="auto"/>
        <w:left w:val="none" w:sz="0" w:space="0" w:color="auto"/>
        <w:bottom w:val="none" w:sz="0" w:space="0" w:color="auto"/>
        <w:right w:val="none" w:sz="0" w:space="0" w:color="auto"/>
      </w:divBdr>
    </w:div>
    <w:div w:id="730621155">
      <w:marLeft w:val="0"/>
      <w:marRight w:val="0"/>
      <w:marTop w:val="0"/>
      <w:marBottom w:val="120"/>
      <w:divBdr>
        <w:top w:val="none" w:sz="0" w:space="0" w:color="auto"/>
        <w:left w:val="none" w:sz="0" w:space="0" w:color="auto"/>
        <w:bottom w:val="none" w:sz="0" w:space="0" w:color="auto"/>
        <w:right w:val="none" w:sz="0" w:space="0" w:color="auto"/>
      </w:divBdr>
    </w:div>
    <w:div w:id="731583650">
      <w:marLeft w:val="0"/>
      <w:marRight w:val="0"/>
      <w:marTop w:val="0"/>
      <w:marBottom w:val="0"/>
      <w:divBdr>
        <w:top w:val="none" w:sz="0" w:space="0" w:color="auto"/>
        <w:left w:val="none" w:sz="0" w:space="0" w:color="auto"/>
        <w:bottom w:val="none" w:sz="0" w:space="0" w:color="auto"/>
        <w:right w:val="none" w:sz="0" w:space="0" w:color="auto"/>
      </w:divBdr>
    </w:div>
    <w:div w:id="731973854">
      <w:marLeft w:val="0"/>
      <w:marRight w:val="0"/>
      <w:marTop w:val="0"/>
      <w:marBottom w:val="0"/>
      <w:divBdr>
        <w:top w:val="none" w:sz="0" w:space="0" w:color="auto"/>
        <w:left w:val="none" w:sz="0" w:space="0" w:color="auto"/>
        <w:bottom w:val="none" w:sz="0" w:space="0" w:color="auto"/>
        <w:right w:val="none" w:sz="0" w:space="0" w:color="auto"/>
      </w:divBdr>
    </w:div>
    <w:div w:id="732630142">
      <w:marLeft w:val="0"/>
      <w:marRight w:val="0"/>
      <w:marTop w:val="120"/>
      <w:marBottom w:val="0"/>
      <w:divBdr>
        <w:top w:val="none" w:sz="0" w:space="0" w:color="auto"/>
        <w:left w:val="none" w:sz="0" w:space="0" w:color="auto"/>
        <w:bottom w:val="none" w:sz="0" w:space="0" w:color="auto"/>
        <w:right w:val="none" w:sz="0" w:space="0" w:color="auto"/>
      </w:divBdr>
    </w:div>
    <w:div w:id="732966558">
      <w:marLeft w:val="0"/>
      <w:marRight w:val="0"/>
      <w:marTop w:val="120"/>
      <w:marBottom w:val="0"/>
      <w:divBdr>
        <w:top w:val="none" w:sz="0" w:space="0" w:color="auto"/>
        <w:left w:val="none" w:sz="0" w:space="0" w:color="auto"/>
        <w:bottom w:val="none" w:sz="0" w:space="0" w:color="auto"/>
        <w:right w:val="none" w:sz="0" w:space="0" w:color="auto"/>
      </w:divBdr>
    </w:div>
    <w:div w:id="733236072">
      <w:marLeft w:val="0"/>
      <w:marRight w:val="0"/>
      <w:marTop w:val="0"/>
      <w:marBottom w:val="0"/>
      <w:divBdr>
        <w:top w:val="none" w:sz="0" w:space="0" w:color="auto"/>
        <w:left w:val="none" w:sz="0" w:space="0" w:color="auto"/>
        <w:bottom w:val="none" w:sz="0" w:space="0" w:color="auto"/>
        <w:right w:val="none" w:sz="0" w:space="0" w:color="auto"/>
      </w:divBdr>
    </w:div>
    <w:div w:id="735326014">
      <w:marLeft w:val="0"/>
      <w:marRight w:val="0"/>
      <w:marTop w:val="60"/>
      <w:marBottom w:val="0"/>
      <w:divBdr>
        <w:top w:val="none" w:sz="0" w:space="0" w:color="auto"/>
        <w:left w:val="none" w:sz="0" w:space="0" w:color="auto"/>
        <w:bottom w:val="none" w:sz="0" w:space="0" w:color="auto"/>
        <w:right w:val="none" w:sz="0" w:space="0" w:color="auto"/>
      </w:divBdr>
    </w:div>
    <w:div w:id="735517372">
      <w:marLeft w:val="0"/>
      <w:marRight w:val="0"/>
      <w:marTop w:val="120"/>
      <w:marBottom w:val="0"/>
      <w:divBdr>
        <w:top w:val="none" w:sz="0" w:space="0" w:color="auto"/>
        <w:left w:val="none" w:sz="0" w:space="0" w:color="auto"/>
        <w:bottom w:val="none" w:sz="0" w:space="0" w:color="auto"/>
        <w:right w:val="none" w:sz="0" w:space="0" w:color="auto"/>
      </w:divBdr>
    </w:div>
    <w:div w:id="736248497">
      <w:marLeft w:val="0"/>
      <w:marRight w:val="0"/>
      <w:marTop w:val="0"/>
      <w:marBottom w:val="0"/>
      <w:divBdr>
        <w:top w:val="none" w:sz="0" w:space="0" w:color="auto"/>
        <w:left w:val="none" w:sz="0" w:space="0" w:color="auto"/>
        <w:bottom w:val="none" w:sz="0" w:space="0" w:color="auto"/>
        <w:right w:val="none" w:sz="0" w:space="0" w:color="auto"/>
      </w:divBdr>
      <w:divsChild>
        <w:div w:id="1188982950">
          <w:marLeft w:val="0"/>
          <w:marRight w:val="0"/>
          <w:marTop w:val="0"/>
          <w:marBottom w:val="0"/>
          <w:divBdr>
            <w:top w:val="none" w:sz="0" w:space="0" w:color="auto"/>
            <w:left w:val="none" w:sz="0" w:space="0" w:color="auto"/>
            <w:bottom w:val="none" w:sz="0" w:space="0" w:color="auto"/>
            <w:right w:val="none" w:sz="0" w:space="0" w:color="auto"/>
          </w:divBdr>
        </w:div>
      </w:divsChild>
    </w:div>
    <w:div w:id="736509769">
      <w:marLeft w:val="0"/>
      <w:marRight w:val="0"/>
      <w:marTop w:val="0"/>
      <w:marBottom w:val="0"/>
      <w:divBdr>
        <w:top w:val="none" w:sz="0" w:space="0" w:color="auto"/>
        <w:left w:val="none" w:sz="0" w:space="0" w:color="auto"/>
        <w:bottom w:val="none" w:sz="0" w:space="0" w:color="auto"/>
        <w:right w:val="none" w:sz="0" w:space="0" w:color="auto"/>
      </w:divBdr>
      <w:divsChild>
        <w:div w:id="426198612">
          <w:marLeft w:val="0"/>
          <w:marRight w:val="0"/>
          <w:marTop w:val="0"/>
          <w:marBottom w:val="0"/>
          <w:divBdr>
            <w:top w:val="none" w:sz="0" w:space="0" w:color="auto"/>
            <w:left w:val="none" w:sz="0" w:space="0" w:color="auto"/>
            <w:bottom w:val="none" w:sz="0" w:space="0" w:color="auto"/>
            <w:right w:val="none" w:sz="0" w:space="0" w:color="auto"/>
          </w:divBdr>
        </w:div>
      </w:divsChild>
    </w:div>
    <w:div w:id="737558020">
      <w:marLeft w:val="0"/>
      <w:marRight w:val="0"/>
      <w:marTop w:val="120"/>
      <w:marBottom w:val="0"/>
      <w:divBdr>
        <w:top w:val="none" w:sz="0" w:space="0" w:color="auto"/>
        <w:left w:val="none" w:sz="0" w:space="0" w:color="auto"/>
        <w:bottom w:val="none" w:sz="0" w:space="0" w:color="auto"/>
        <w:right w:val="none" w:sz="0" w:space="0" w:color="auto"/>
      </w:divBdr>
    </w:div>
    <w:div w:id="737744964">
      <w:marLeft w:val="0"/>
      <w:marRight w:val="0"/>
      <w:marTop w:val="240"/>
      <w:marBottom w:val="0"/>
      <w:divBdr>
        <w:top w:val="none" w:sz="0" w:space="0" w:color="auto"/>
        <w:left w:val="none" w:sz="0" w:space="0" w:color="auto"/>
        <w:bottom w:val="none" w:sz="0" w:space="0" w:color="auto"/>
        <w:right w:val="none" w:sz="0" w:space="0" w:color="auto"/>
      </w:divBdr>
    </w:div>
    <w:div w:id="737938416">
      <w:marLeft w:val="0"/>
      <w:marRight w:val="0"/>
      <w:marTop w:val="120"/>
      <w:marBottom w:val="0"/>
      <w:divBdr>
        <w:top w:val="none" w:sz="0" w:space="0" w:color="auto"/>
        <w:left w:val="none" w:sz="0" w:space="0" w:color="auto"/>
        <w:bottom w:val="none" w:sz="0" w:space="0" w:color="auto"/>
        <w:right w:val="none" w:sz="0" w:space="0" w:color="auto"/>
      </w:divBdr>
    </w:div>
    <w:div w:id="738023241">
      <w:marLeft w:val="0"/>
      <w:marRight w:val="0"/>
      <w:marTop w:val="120"/>
      <w:marBottom w:val="0"/>
      <w:divBdr>
        <w:top w:val="none" w:sz="0" w:space="0" w:color="auto"/>
        <w:left w:val="none" w:sz="0" w:space="0" w:color="auto"/>
        <w:bottom w:val="none" w:sz="0" w:space="0" w:color="auto"/>
        <w:right w:val="none" w:sz="0" w:space="0" w:color="auto"/>
      </w:divBdr>
    </w:div>
    <w:div w:id="740326935">
      <w:marLeft w:val="0"/>
      <w:marRight w:val="0"/>
      <w:marTop w:val="180"/>
      <w:marBottom w:val="0"/>
      <w:divBdr>
        <w:top w:val="none" w:sz="0" w:space="0" w:color="auto"/>
        <w:left w:val="none" w:sz="0" w:space="0" w:color="auto"/>
        <w:bottom w:val="none" w:sz="0" w:space="0" w:color="auto"/>
        <w:right w:val="none" w:sz="0" w:space="0" w:color="auto"/>
      </w:divBdr>
    </w:div>
    <w:div w:id="740638033">
      <w:marLeft w:val="0"/>
      <w:marRight w:val="0"/>
      <w:marTop w:val="120"/>
      <w:marBottom w:val="0"/>
      <w:divBdr>
        <w:top w:val="none" w:sz="0" w:space="0" w:color="auto"/>
        <w:left w:val="none" w:sz="0" w:space="0" w:color="auto"/>
        <w:bottom w:val="none" w:sz="0" w:space="0" w:color="auto"/>
        <w:right w:val="none" w:sz="0" w:space="0" w:color="auto"/>
      </w:divBdr>
    </w:div>
    <w:div w:id="741414903">
      <w:marLeft w:val="0"/>
      <w:marRight w:val="0"/>
      <w:marTop w:val="0"/>
      <w:marBottom w:val="0"/>
      <w:divBdr>
        <w:top w:val="none" w:sz="0" w:space="0" w:color="auto"/>
        <w:left w:val="none" w:sz="0" w:space="0" w:color="auto"/>
        <w:bottom w:val="none" w:sz="0" w:space="0" w:color="auto"/>
        <w:right w:val="none" w:sz="0" w:space="0" w:color="auto"/>
      </w:divBdr>
      <w:divsChild>
        <w:div w:id="934554374">
          <w:marLeft w:val="0"/>
          <w:marRight w:val="0"/>
          <w:marTop w:val="0"/>
          <w:marBottom w:val="0"/>
          <w:divBdr>
            <w:top w:val="none" w:sz="0" w:space="0" w:color="auto"/>
            <w:left w:val="none" w:sz="0" w:space="0" w:color="auto"/>
            <w:bottom w:val="none" w:sz="0" w:space="0" w:color="auto"/>
            <w:right w:val="none" w:sz="0" w:space="0" w:color="auto"/>
          </w:divBdr>
        </w:div>
      </w:divsChild>
    </w:div>
    <w:div w:id="741954305">
      <w:marLeft w:val="0"/>
      <w:marRight w:val="0"/>
      <w:marTop w:val="120"/>
      <w:marBottom w:val="0"/>
      <w:divBdr>
        <w:top w:val="none" w:sz="0" w:space="0" w:color="auto"/>
        <w:left w:val="none" w:sz="0" w:space="0" w:color="auto"/>
        <w:bottom w:val="none" w:sz="0" w:space="0" w:color="auto"/>
        <w:right w:val="none" w:sz="0" w:space="0" w:color="auto"/>
      </w:divBdr>
    </w:div>
    <w:div w:id="742796279">
      <w:marLeft w:val="0"/>
      <w:marRight w:val="0"/>
      <w:marTop w:val="120"/>
      <w:marBottom w:val="0"/>
      <w:divBdr>
        <w:top w:val="none" w:sz="0" w:space="0" w:color="auto"/>
        <w:left w:val="none" w:sz="0" w:space="0" w:color="auto"/>
        <w:bottom w:val="none" w:sz="0" w:space="0" w:color="auto"/>
        <w:right w:val="none" w:sz="0" w:space="0" w:color="auto"/>
      </w:divBdr>
    </w:div>
    <w:div w:id="743407301">
      <w:marLeft w:val="0"/>
      <w:marRight w:val="0"/>
      <w:marTop w:val="120"/>
      <w:marBottom w:val="0"/>
      <w:divBdr>
        <w:top w:val="none" w:sz="0" w:space="0" w:color="auto"/>
        <w:left w:val="none" w:sz="0" w:space="0" w:color="auto"/>
        <w:bottom w:val="none" w:sz="0" w:space="0" w:color="auto"/>
        <w:right w:val="none" w:sz="0" w:space="0" w:color="auto"/>
      </w:divBdr>
    </w:div>
    <w:div w:id="744571232">
      <w:marLeft w:val="0"/>
      <w:marRight w:val="0"/>
      <w:marTop w:val="0"/>
      <w:marBottom w:val="0"/>
      <w:divBdr>
        <w:top w:val="none" w:sz="0" w:space="0" w:color="auto"/>
        <w:left w:val="none" w:sz="0" w:space="0" w:color="auto"/>
        <w:bottom w:val="none" w:sz="0" w:space="0" w:color="auto"/>
        <w:right w:val="none" w:sz="0" w:space="0" w:color="auto"/>
      </w:divBdr>
      <w:divsChild>
        <w:div w:id="318577457">
          <w:marLeft w:val="0"/>
          <w:marRight w:val="0"/>
          <w:marTop w:val="0"/>
          <w:marBottom w:val="0"/>
          <w:divBdr>
            <w:top w:val="none" w:sz="0" w:space="0" w:color="auto"/>
            <w:left w:val="none" w:sz="0" w:space="0" w:color="auto"/>
            <w:bottom w:val="none" w:sz="0" w:space="0" w:color="auto"/>
            <w:right w:val="none" w:sz="0" w:space="0" w:color="auto"/>
          </w:divBdr>
        </w:div>
      </w:divsChild>
    </w:div>
    <w:div w:id="746341111">
      <w:marLeft w:val="0"/>
      <w:marRight w:val="0"/>
      <w:marTop w:val="120"/>
      <w:marBottom w:val="120"/>
      <w:divBdr>
        <w:top w:val="none" w:sz="0" w:space="0" w:color="auto"/>
        <w:left w:val="none" w:sz="0" w:space="0" w:color="auto"/>
        <w:bottom w:val="none" w:sz="0" w:space="0" w:color="auto"/>
        <w:right w:val="none" w:sz="0" w:space="0" w:color="auto"/>
      </w:divBdr>
      <w:divsChild>
        <w:div w:id="1369380434">
          <w:marLeft w:val="0"/>
          <w:marRight w:val="0"/>
          <w:marTop w:val="0"/>
          <w:marBottom w:val="0"/>
          <w:divBdr>
            <w:top w:val="none" w:sz="0" w:space="0" w:color="auto"/>
            <w:left w:val="none" w:sz="0" w:space="0" w:color="auto"/>
            <w:bottom w:val="none" w:sz="0" w:space="0" w:color="auto"/>
            <w:right w:val="none" w:sz="0" w:space="0" w:color="auto"/>
          </w:divBdr>
        </w:div>
        <w:div w:id="1612515684">
          <w:marLeft w:val="0"/>
          <w:marRight w:val="0"/>
          <w:marTop w:val="0"/>
          <w:marBottom w:val="0"/>
          <w:divBdr>
            <w:top w:val="none" w:sz="0" w:space="0" w:color="auto"/>
            <w:left w:val="none" w:sz="0" w:space="0" w:color="auto"/>
            <w:bottom w:val="none" w:sz="0" w:space="0" w:color="auto"/>
            <w:right w:val="none" w:sz="0" w:space="0" w:color="auto"/>
          </w:divBdr>
        </w:div>
        <w:div w:id="1348360922">
          <w:marLeft w:val="0"/>
          <w:marRight w:val="0"/>
          <w:marTop w:val="0"/>
          <w:marBottom w:val="0"/>
          <w:divBdr>
            <w:top w:val="none" w:sz="0" w:space="0" w:color="auto"/>
            <w:left w:val="none" w:sz="0" w:space="0" w:color="auto"/>
            <w:bottom w:val="none" w:sz="0" w:space="0" w:color="auto"/>
            <w:right w:val="none" w:sz="0" w:space="0" w:color="auto"/>
          </w:divBdr>
        </w:div>
        <w:div w:id="123696045">
          <w:marLeft w:val="0"/>
          <w:marRight w:val="0"/>
          <w:marTop w:val="0"/>
          <w:marBottom w:val="0"/>
          <w:divBdr>
            <w:top w:val="none" w:sz="0" w:space="0" w:color="auto"/>
            <w:left w:val="none" w:sz="0" w:space="0" w:color="auto"/>
            <w:bottom w:val="none" w:sz="0" w:space="0" w:color="auto"/>
            <w:right w:val="none" w:sz="0" w:space="0" w:color="auto"/>
          </w:divBdr>
        </w:div>
        <w:div w:id="1348824518">
          <w:marLeft w:val="0"/>
          <w:marRight w:val="0"/>
          <w:marTop w:val="0"/>
          <w:marBottom w:val="0"/>
          <w:divBdr>
            <w:top w:val="none" w:sz="0" w:space="0" w:color="auto"/>
            <w:left w:val="none" w:sz="0" w:space="0" w:color="auto"/>
            <w:bottom w:val="none" w:sz="0" w:space="0" w:color="auto"/>
            <w:right w:val="none" w:sz="0" w:space="0" w:color="auto"/>
          </w:divBdr>
        </w:div>
        <w:div w:id="1684749084">
          <w:marLeft w:val="0"/>
          <w:marRight w:val="0"/>
          <w:marTop w:val="0"/>
          <w:marBottom w:val="0"/>
          <w:divBdr>
            <w:top w:val="none" w:sz="0" w:space="0" w:color="auto"/>
            <w:left w:val="none" w:sz="0" w:space="0" w:color="auto"/>
            <w:bottom w:val="none" w:sz="0" w:space="0" w:color="auto"/>
            <w:right w:val="none" w:sz="0" w:space="0" w:color="auto"/>
          </w:divBdr>
        </w:div>
        <w:div w:id="1000691691">
          <w:marLeft w:val="0"/>
          <w:marRight w:val="0"/>
          <w:marTop w:val="0"/>
          <w:marBottom w:val="0"/>
          <w:divBdr>
            <w:top w:val="none" w:sz="0" w:space="0" w:color="auto"/>
            <w:left w:val="none" w:sz="0" w:space="0" w:color="auto"/>
            <w:bottom w:val="none" w:sz="0" w:space="0" w:color="auto"/>
            <w:right w:val="none" w:sz="0" w:space="0" w:color="auto"/>
          </w:divBdr>
        </w:div>
        <w:div w:id="1699774411">
          <w:marLeft w:val="0"/>
          <w:marRight w:val="0"/>
          <w:marTop w:val="0"/>
          <w:marBottom w:val="0"/>
          <w:divBdr>
            <w:top w:val="none" w:sz="0" w:space="0" w:color="auto"/>
            <w:left w:val="none" w:sz="0" w:space="0" w:color="auto"/>
            <w:bottom w:val="none" w:sz="0" w:space="0" w:color="auto"/>
            <w:right w:val="none" w:sz="0" w:space="0" w:color="auto"/>
          </w:divBdr>
        </w:div>
        <w:div w:id="1147824261">
          <w:marLeft w:val="0"/>
          <w:marRight w:val="0"/>
          <w:marTop w:val="0"/>
          <w:marBottom w:val="0"/>
          <w:divBdr>
            <w:top w:val="none" w:sz="0" w:space="0" w:color="auto"/>
            <w:left w:val="none" w:sz="0" w:space="0" w:color="auto"/>
            <w:bottom w:val="none" w:sz="0" w:space="0" w:color="auto"/>
            <w:right w:val="none" w:sz="0" w:space="0" w:color="auto"/>
          </w:divBdr>
        </w:div>
      </w:divsChild>
    </w:div>
    <w:div w:id="746614361">
      <w:marLeft w:val="0"/>
      <w:marRight w:val="0"/>
      <w:marTop w:val="120"/>
      <w:marBottom w:val="0"/>
      <w:divBdr>
        <w:top w:val="none" w:sz="0" w:space="0" w:color="auto"/>
        <w:left w:val="none" w:sz="0" w:space="0" w:color="auto"/>
        <w:bottom w:val="none" w:sz="0" w:space="0" w:color="auto"/>
        <w:right w:val="none" w:sz="0" w:space="0" w:color="auto"/>
      </w:divBdr>
    </w:div>
    <w:div w:id="746808768">
      <w:marLeft w:val="0"/>
      <w:marRight w:val="0"/>
      <w:marTop w:val="120"/>
      <w:marBottom w:val="0"/>
      <w:divBdr>
        <w:top w:val="none" w:sz="0" w:space="0" w:color="auto"/>
        <w:left w:val="none" w:sz="0" w:space="0" w:color="auto"/>
        <w:bottom w:val="none" w:sz="0" w:space="0" w:color="auto"/>
        <w:right w:val="none" w:sz="0" w:space="0" w:color="auto"/>
      </w:divBdr>
    </w:div>
    <w:div w:id="748041778">
      <w:marLeft w:val="0"/>
      <w:marRight w:val="0"/>
      <w:marTop w:val="120"/>
      <w:marBottom w:val="0"/>
      <w:divBdr>
        <w:top w:val="none" w:sz="0" w:space="0" w:color="auto"/>
        <w:left w:val="none" w:sz="0" w:space="0" w:color="auto"/>
        <w:bottom w:val="none" w:sz="0" w:space="0" w:color="auto"/>
        <w:right w:val="none" w:sz="0" w:space="0" w:color="auto"/>
      </w:divBdr>
    </w:div>
    <w:div w:id="751196280">
      <w:marLeft w:val="0"/>
      <w:marRight w:val="0"/>
      <w:marTop w:val="0"/>
      <w:marBottom w:val="0"/>
      <w:divBdr>
        <w:top w:val="none" w:sz="0" w:space="0" w:color="auto"/>
        <w:left w:val="none" w:sz="0" w:space="0" w:color="auto"/>
        <w:bottom w:val="none" w:sz="0" w:space="0" w:color="auto"/>
        <w:right w:val="none" w:sz="0" w:space="0" w:color="auto"/>
      </w:divBdr>
    </w:div>
    <w:div w:id="751203205">
      <w:marLeft w:val="0"/>
      <w:marRight w:val="0"/>
      <w:marTop w:val="120"/>
      <w:marBottom w:val="0"/>
      <w:divBdr>
        <w:top w:val="none" w:sz="0" w:space="0" w:color="auto"/>
        <w:left w:val="none" w:sz="0" w:space="0" w:color="auto"/>
        <w:bottom w:val="none" w:sz="0" w:space="0" w:color="auto"/>
        <w:right w:val="none" w:sz="0" w:space="0" w:color="auto"/>
      </w:divBdr>
    </w:div>
    <w:div w:id="751896365">
      <w:marLeft w:val="0"/>
      <w:marRight w:val="0"/>
      <w:marTop w:val="120"/>
      <w:marBottom w:val="0"/>
      <w:divBdr>
        <w:top w:val="none" w:sz="0" w:space="0" w:color="auto"/>
        <w:left w:val="none" w:sz="0" w:space="0" w:color="auto"/>
        <w:bottom w:val="none" w:sz="0" w:space="0" w:color="auto"/>
        <w:right w:val="none" w:sz="0" w:space="0" w:color="auto"/>
      </w:divBdr>
    </w:div>
    <w:div w:id="752701756">
      <w:marLeft w:val="0"/>
      <w:marRight w:val="0"/>
      <w:marTop w:val="120"/>
      <w:marBottom w:val="0"/>
      <w:divBdr>
        <w:top w:val="none" w:sz="0" w:space="0" w:color="auto"/>
        <w:left w:val="none" w:sz="0" w:space="0" w:color="auto"/>
        <w:bottom w:val="none" w:sz="0" w:space="0" w:color="auto"/>
        <w:right w:val="none" w:sz="0" w:space="0" w:color="auto"/>
      </w:divBdr>
    </w:div>
    <w:div w:id="754933248">
      <w:marLeft w:val="0"/>
      <w:marRight w:val="0"/>
      <w:marTop w:val="0"/>
      <w:marBottom w:val="0"/>
      <w:divBdr>
        <w:top w:val="none" w:sz="0" w:space="0" w:color="auto"/>
        <w:left w:val="none" w:sz="0" w:space="0" w:color="auto"/>
        <w:bottom w:val="none" w:sz="0" w:space="0" w:color="auto"/>
        <w:right w:val="none" w:sz="0" w:space="0" w:color="auto"/>
      </w:divBdr>
      <w:divsChild>
        <w:div w:id="811871420">
          <w:marLeft w:val="0"/>
          <w:marRight w:val="0"/>
          <w:marTop w:val="0"/>
          <w:marBottom w:val="0"/>
          <w:divBdr>
            <w:top w:val="none" w:sz="0" w:space="0" w:color="auto"/>
            <w:left w:val="none" w:sz="0" w:space="0" w:color="auto"/>
            <w:bottom w:val="none" w:sz="0" w:space="0" w:color="auto"/>
            <w:right w:val="none" w:sz="0" w:space="0" w:color="auto"/>
          </w:divBdr>
        </w:div>
      </w:divsChild>
    </w:div>
    <w:div w:id="755979282">
      <w:marLeft w:val="0"/>
      <w:marRight w:val="0"/>
      <w:marTop w:val="0"/>
      <w:marBottom w:val="0"/>
      <w:divBdr>
        <w:top w:val="none" w:sz="0" w:space="0" w:color="auto"/>
        <w:left w:val="none" w:sz="0" w:space="0" w:color="auto"/>
        <w:bottom w:val="none" w:sz="0" w:space="0" w:color="auto"/>
        <w:right w:val="none" w:sz="0" w:space="0" w:color="auto"/>
      </w:divBdr>
      <w:divsChild>
        <w:div w:id="1098332178">
          <w:marLeft w:val="0"/>
          <w:marRight w:val="0"/>
          <w:marTop w:val="0"/>
          <w:marBottom w:val="0"/>
          <w:divBdr>
            <w:top w:val="none" w:sz="0" w:space="0" w:color="auto"/>
            <w:left w:val="none" w:sz="0" w:space="0" w:color="auto"/>
            <w:bottom w:val="none" w:sz="0" w:space="0" w:color="auto"/>
            <w:right w:val="none" w:sz="0" w:space="0" w:color="auto"/>
          </w:divBdr>
        </w:div>
      </w:divsChild>
    </w:div>
    <w:div w:id="758019750">
      <w:marLeft w:val="0"/>
      <w:marRight w:val="0"/>
      <w:marTop w:val="120"/>
      <w:marBottom w:val="0"/>
      <w:divBdr>
        <w:top w:val="none" w:sz="0" w:space="0" w:color="auto"/>
        <w:left w:val="none" w:sz="0" w:space="0" w:color="auto"/>
        <w:bottom w:val="none" w:sz="0" w:space="0" w:color="auto"/>
        <w:right w:val="none" w:sz="0" w:space="0" w:color="auto"/>
      </w:divBdr>
    </w:div>
    <w:div w:id="758596555">
      <w:marLeft w:val="0"/>
      <w:marRight w:val="0"/>
      <w:marTop w:val="120"/>
      <w:marBottom w:val="0"/>
      <w:divBdr>
        <w:top w:val="none" w:sz="0" w:space="0" w:color="auto"/>
        <w:left w:val="none" w:sz="0" w:space="0" w:color="auto"/>
        <w:bottom w:val="none" w:sz="0" w:space="0" w:color="auto"/>
        <w:right w:val="none" w:sz="0" w:space="0" w:color="auto"/>
      </w:divBdr>
    </w:div>
    <w:div w:id="759134020">
      <w:marLeft w:val="0"/>
      <w:marRight w:val="0"/>
      <w:marTop w:val="120"/>
      <w:marBottom w:val="0"/>
      <w:divBdr>
        <w:top w:val="none" w:sz="0" w:space="0" w:color="auto"/>
        <w:left w:val="none" w:sz="0" w:space="0" w:color="auto"/>
        <w:bottom w:val="none" w:sz="0" w:space="0" w:color="auto"/>
        <w:right w:val="none" w:sz="0" w:space="0" w:color="auto"/>
      </w:divBdr>
    </w:div>
    <w:div w:id="759180609">
      <w:marLeft w:val="0"/>
      <w:marRight w:val="0"/>
      <w:marTop w:val="0"/>
      <w:marBottom w:val="0"/>
      <w:divBdr>
        <w:top w:val="none" w:sz="0" w:space="0" w:color="auto"/>
        <w:left w:val="none" w:sz="0" w:space="0" w:color="auto"/>
        <w:bottom w:val="none" w:sz="0" w:space="0" w:color="auto"/>
        <w:right w:val="none" w:sz="0" w:space="0" w:color="auto"/>
      </w:divBdr>
      <w:divsChild>
        <w:div w:id="443813933">
          <w:marLeft w:val="0"/>
          <w:marRight w:val="0"/>
          <w:marTop w:val="0"/>
          <w:marBottom w:val="0"/>
          <w:divBdr>
            <w:top w:val="none" w:sz="0" w:space="0" w:color="auto"/>
            <w:left w:val="none" w:sz="0" w:space="0" w:color="auto"/>
            <w:bottom w:val="none" w:sz="0" w:space="0" w:color="auto"/>
            <w:right w:val="none" w:sz="0" w:space="0" w:color="auto"/>
          </w:divBdr>
        </w:div>
      </w:divsChild>
    </w:div>
    <w:div w:id="760293004">
      <w:marLeft w:val="0"/>
      <w:marRight w:val="0"/>
      <w:marTop w:val="180"/>
      <w:marBottom w:val="0"/>
      <w:divBdr>
        <w:top w:val="none" w:sz="0" w:space="0" w:color="auto"/>
        <w:left w:val="none" w:sz="0" w:space="0" w:color="auto"/>
        <w:bottom w:val="none" w:sz="0" w:space="0" w:color="auto"/>
        <w:right w:val="none" w:sz="0" w:space="0" w:color="auto"/>
      </w:divBdr>
    </w:div>
    <w:div w:id="761144079">
      <w:marLeft w:val="0"/>
      <w:marRight w:val="0"/>
      <w:marTop w:val="0"/>
      <w:marBottom w:val="200"/>
      <w:divBdr>
        <w:top w:val="none" w:sz="0" w:space="0" w:color="auto"/>
        <w:left w:val="none" w:sz="0" w:space="0" w:color="auto"/>
        <w:bottom w:val="none" w:sz="0" w:space="0" w:color="auto"/>
        <w:right w:val="none" w:sz="0" w:space="0" w:color="auto"/>
      </w:divBdr>
    </w:div>
    <w:div w:id="762650174">
      <w:marLeft w:val="0"/>
      <w:marRight w:val="0"/>
      <w:marTop w:val="120"/>
      <w:marBottom w:val="0"/>
      <w:divBdr>
        <w:top w:val="none" w:sz="0" w:space="0" w:color="auto"/>
        <w:left w:val="none" w:sz="0" w:space="0" w:color="auto"/>
        <w:bottom w:val="none" w:sz="0" w:space="0" w:color="auto"/>
        <w:right w:val="none" w:sz="0" w:space="0" w:color="auto"/>
      </w:divBdr>
    </w:div>
    <w:div w:id="765033361">
      <w:marLeft w:val="0"/>
      <w:marRight w:val="0"/>
      <w:marTop w:val="120"/>
      <w:marBottom w:val="0"/>
      <w:divBdr>
        <w:top w:val="none" w:sz="0" w:space="0" w:color="auto"/>
        <w:left w:val="none" w:sz="0" w:space="0" w:color="auto"/>
        <w:bottom w:val="none" w:sz="0" w:space="0" w:color="auto"/>
        <w:right w:val="none" w:sz="0" w:space="0" w:color="auto"/>
      </w:divBdr>
    </w:div>
    <w:div w:id="767043303">
      <w:marLeft w:val="0"/>
      <w:marRight w:val="0"/>
      <w:marTop w:val="120"/>
      <w:marBottom w:val="0"/>
      <w:divBdr>
        <w:top w:val="none" w:sz="0" w:space="0" w:color="auto"/>
        <w:left w:val="none" w:sz="0" w:space="0" w:color="auto"/>
        <w:bottom w:val="none" w:sz="0" w:space="0" w:color="auto"/>
        <w:right w:val="none" w:sz="0" w:space="0" w:color="auto"/>
      </w:divBdr>
    </w:div>
    <w:div w:id="771322621">
      <w:marLeft w:val="0"/>
      <w:marRight w:val="0"/>
      <w:marTop w:val="0"/>
      <w:marBottom w:val="0"/>
      <w:divBdr>
        <w:top w:val="none" w:sz="0" w:space="0" w:color="auto"/>
        <w:left w:val="none" w:sz="0" w:space="0" w:color="auto"/>
        <w:bottom w:val="none" w:sz="0" w:space="0" w:color="auto"/>
        <w:right w:val="none" w:sz="0" w:space="0" w:color="auto"/>
      </w:divBdr>
    </w:div>
    <w:div w:id="772437402">
      <w:marLeft w:val="0"/>
      <w:marRight w:val="0"/>
      <w:marTop w:val="0"/>
      <w:marBottom w:val="0"/>
      <w:divBdr>
        <w:top w:val="none" w:sz="0" w:space="0" w:color="auto"/>
        <w:left w:val="none" w:sz="0" w:space="0" w:color="auto"/>
        <w:bottom w:val="none" w:sz="0" w:space="0" w:color="auto"/>
        <w:right w:val="none" w:sz="0" w:space="0" w:color="auto"/>
      </w:divBdr>
    </w:div>
    <w:div w:id="773553448">
      <w:marLeft w:val="0"/>
      <w:marRight w:val="0"/>
      <w:marTop w:val="120"/>
      <w:marBottom w:val="0"/>
      <w:divBdr>
        <w:top w:val="none" w:sz="0" w:space="0" w:color="auto"/>
        <w:left w:val="none" w:sz="0" w:space="0" w:color="auto"/>
        <w:bottom w:val="none" w:sz="0" w:space="0" w:color="auto"/>
        <w:right w:val="none" w:sz="0" w:space="0" w:color="auto"/>
      </w:divBdr>
    </w:div>
    <w:div w:id="774137786">
      <w:marLeft w:val="0"/>
      <w:marRight w:val="0"/>
      <w:marTop w:val="120"/>
      <w:marBottom w:val="0"/>
      <w:divBdr>
        <w:top w:val="none" w:sz="0" w:space="0" w:color="auto"/>
        <w:left w:val="none" w:sz="0" w:space="0" w:color="auto"/>
        <w:bottom w:val="none" w:sz="0" w:space="0" w:color="auto"/>
        <w:right w:val="none" w:sz="0" w:space="0" w:color="auto"/>
      </w:divBdr>
    </w:div>
    <w:div w:id="775321383">
      <w:marLeft w:val="0"/>
      <w:marRight w:val="0"/>
      <w:marTop w:val="0"/>
      <w:marBottom w:val="0"/>
      <w:divBdr>
        <w:top w:val="none" w:sz="0" w:space="0" w:color="auto"/>
        <w:left w:val="none" w:sz="0" w:space="0" w:color="auto"/>
        <w:bottom w:val="none" w:sz="0" w:space="0" w:color="auto"/>
        <w:right w:val="none" w:sz="0" w:space="0" w:color="auto"/>
      </w:divBdr>
    </w:div>
    <w:div w:id="776877127">
      <w:marLeft w:val="0"/>
      <w:marRight w:val="0"/>
      <w:marTop w:val="120"/>
      <w:marBottom w:val="0"/>
      <w:divBdr>
        <w:top w:val="none" w:sz="0" w:space="0" w:color="auto"/>
        <w:left w:val="none" w:sz="0" w:space="0" w:color="auto"/>
        <w:bottom w:val="none" w:sz="0" w:space="0" w:color="auto"/>
        <w:right w:val="none" w:sz="0" w:space="0" w:color="auto"/>
      </w:divBdr>
    </w:div>
    <w:div w:id="778334735">
      <w:marLeft w:val="0"/>
      <w:marRight w:val="0"/>
      <w:marTop w:val="0"/>
      <w:marBottom w:val="120"/>
      <w:divBdr>
        <w:top w:val="none" w:sz="0" w:space="0" w:color="auto"/>
        <w:left w:val="none" w:sz="0" w:space="0" w:color="auto"/>
        <w:bottom w:val="none" w:sz="0" w:space="0" w:color="auto"/>
        <w:right w:val="none" w:sz="0" w:space="0" w:color="auto"/>
      </w:divBdr>
      <w:divsChild>
        <w:div w:id="123935900">
          <w:marLeft w:val="0"/>
          <w:marRight w:val="0"/>
          <w:marTop w:val="0"/>
          <w:marBottom w:val="0"/>
          <w:divBdr>
            <w:top w:val="none" w:sz="0" w:space="0" w:color="auto"/>
            <w:left w:val="none" w:sz="0" w:space="0" w:color="auto"/>
            <w:bottom w:val="none" w:sz="0" w:space="0" w:color="auto"/>
            <w:right w:val="none" w:sz="0" w:space="0" w:color="auto"/>
          </w:divBdr>
        </w:div>
      </w:divsChild>
    </w:div>
    <w:div w:id="779565281">
      <w:marLeft w:val="0"/>
      <w:marRight w:val="0"/>
      <w:marTop w:val="120"/>
      <w:marBottom w:val="0"/>
      <w:divBdr>
        <w:top w:val="none" w:sz="0" w:space="0" w:color="auto"/>
        <w:left w:val="none" w:sz="0" w:space="0" w:color="auto"/>
        <w:bottom w:val="none" w:sz="0" w:space="0" w:color="auto"/>
        <w:right w:val="none" w:sz="0" w:space="0" w:color="auto"/>
      </w:divBdr>
    </w:div>
    <w:div w:id="779573343">
      <w:marLeft w:val="0"/>
      <w:marRight w:val="0"/>
      <w:marTop w:val="0"/>
      <w:marBottom w:val="0"/>
      <w:divBdr>
        <w:top w:val="none" w:sz="0" w:space="0" w:color="auto"/>
        <w:left w:val="none" w:sz="0" w:space="0" w:color="auto"/>
        <w:bottom w:val="none" w:sz="0" w:space="0" w:color="auto"/>
        <w:right w:val="none" w:sz="0" w:space="0" w:color="auto"/>
      </w:divBdr>
      <w:divsChild>
        <w:div w:id="1125464680">
          <w:marLeft w:val="0"/>
          <w:marRight w:val="0"/>
          <w:marTop w:val="0"/>
          <w:marBottom w:val="0"/>
          <w:divBdr>
            <w:top w:val="none" w:sz="0" w:space="0" w:color="auto"/>
            <w:left w:val="none" w:sz="0" w:space="0" w:color="auto"/>
            <w:bottom w:val="none" w:sz="0" w:space="0" w:color="auto"/>
            <w:right w:val="none" w:sz="0" w:space="0" w:color="auto"/>
          </w:divBdr>
        </w:div>
      </w:divsChild>
    </w:div>
    <w:div w:id="780027470">
      <w:marLeft w:val="0"/>
      <w:marRight w:val="0"/>
      <w:marTop w:val="120"/>
      <w:marBottom w:val="0"/>
      <w:divBdr>
        <w:top w:val="none" w:sz="0" w:space="0" w:color="auto"/>
        <w:left w:val="none" w:sz="0" w:space="0" w:color="auto"/>
        <w:bottom w:val="none" w:sz="0" w:space="0" w:color="auto"/>
        <w:right w:val="none" w:sz="0" w:space="0" w:color="auto"/>
      </w:divBdr>
    </w:div>
    <w:div w:id="780955926">
      <w:marLeft w:val="0"/>
      <w:marRight w:val="0"/>
      <w:marTop w:val="0"/>
      <w:marBottom w:val="0"/>
      <w:divBdr>
        <w:top w:val="none" w:sz="0" w:space="0" w:color="auto"/>
        <w:left w:val="none" w:sz="0" w:space="0" w:color="auto"/>
        <w:bottom w:val="none" w:sz="0" w:space="0" w:color="auto"/>
        <w:right w:val="none" w:sz="0" w:space="0" w:color="auto"/>
      </w:divBdr>
    </w:div>
    <w:div w:id="781262594">
      <w:marLeft w:val="0"/>
      <w:marRight w:val="0"/>
      <w:marTop w:val="0"/>
      <w:marBottom w:val="0"/>
      <w:divBdr>
        <w:top w:val="none" w:sz="0" w:space="0" w:color="auto"/>
        <w:left w:val="none" w:sz="0" w:space="0" w:color="auto"/>
        <w:bottom w:val="none" w:sz="0" w:space="0" w:color="auto"/>
        <w:right w:val="none" w:sz="0" w:space="0" w:color="auto"/>
      </w:divBdr>
      <w:divsChild>
        <w:div w:id="98795430">
          <w:marLeft w:val="0"/>
          <w:marRight w:val="0"/>
          <w:marTop w:val="0"/>
          <w:marBottom w:val="0"/>
          <w:divBdr>
            <w:top w:val="none" w:sz="0" w:space="0" w:color="auto"/>
            <w:left w:val="none" w:sz="0" w:space="0" w:color="auto"/>
            <w:bottom w:val="none" w:sz="0" w:space="0" w:color="auto"/>
            <w:right w:val="none" w:sz="0" w:space="0" w:color="auto"/>
          </w:divBdr>
        </w:div>
      </w:divsChild>
    </w:div>
    <w:div w:id="782307977">
      <w:marLeft w:val="0"/>
      <w:marRight w:val="0"/>
      <w:marTop w:val="120"/>
      <w:marBottom w:val="0"/>
      <w:divBdr>
        <w:top w:val="none" w:sz="0" w:space="0" w:color="auto"/>
        <w:left w:val="none" w:sz="0" w:space="0" w:color="auto"/>
        <w:bottom w:val="none" w:sz="0" w:space="0" w:color="auto"/>
        <w:right w:val="none" w:sz="0" w:space="0" w:color="auto"/>
      </w:divBdr>
    </w:div>
    <w:div w:id="782310989">
      <w:marLeft w:val="0"/>
      <w:marRight w:val="0"/>
      <w:marTop w:val="0"/>
      <w:marBottom w:val="0"/>
      <w:divBdr>
        <w:top w:val="none" w:sz="0" w:space="0" w:color="auto"/>
        <w:left w:val="none" w:sz="0" w:space="0" w:color="auto"/>
        <w:bottom w:val="none" w:sz="0" w:space="0" w:color="auto"/>
        <w:right w:val="none" w:sz="0" w:space="0" w:color="auto"/>
      </w:divBdr>
    </w:div>
    <w:div w:id="783111751">
      <w:marLeft w:val="0"/>
      <w:marRight w:val="0"/>
      <w:marTop w:val="120"/>
      <w:marBottom w:val="0"/>
      <w:divBdr>
        <w:top w:val="none" w:sz="0" w:space="0" w:color="auto"/>
        <w:left w:val="none" w:sz="0" w:space="0" w:color="auto"/>
        <w:bottom w:val="none" w:sz="0" w:space="0" w:color="auto"/>
        <w:right w:val="none" w:sz="0" w:space="0" w:color="auto"/>
      </w:divBdr>
    </w:div>
    <w:div w:id="784420272">
      <w:marLeft w:val="0"/>
      <w:marRight w:val="0"/>
      <w:marTop w:val="0"/>
      <w:marBottom w:val="0"/>
      <w:divBdr>
        <w:top w:val="none" w:sz="0" w:space="0" w:color="auto"/>
        <w:left w:val="none" w:sz="0" w:space="0" w:color="auto"/>
        <w:bottom w:val="none" w:sz="0" w:space="0" w:color="auto"/>
        <w:right w:val="none" w:sz="0" w:space="0" w:color="auto"/>
      </w:divBdr>
    </w:div>
    <w:div w:id="784466670">
      <w:marLeft w:val="0"/>
      <w:marRight w:val="0"/>
      <w:marTop w:val="0"/>
      <w:marBottom w:val="0"/>
      <w:divBdr>
        <w:top w:val="none" w:sz="0" w:space="0" w:color="auto"/>
        <w:left w:val="none" w:sz="0" w:space="0" w:color="auto"/>
        <w:bottom w:val="none" w:sz="0" w:space="0" w:color="auto"/>
        <w:right w:val="none" w:sz="0" w:space="0" w:color="auto"/>
      </w:divBdr>
    </w:div>
    <w:div w:id="784613716">
      <w:marLeft w:val="0"/>
      <w:marRight w:val="0"/>
      <w:marTop w:val="0"/>
      <w:marBottom w:val="0"/>
      <w:divBdr>
        <w:top w:val="none" w:sz="0" w:space="0" w:color="auto"/>
        <w:left w:val="none" w:sz="0" w:space="0" w:color="auto"/>
        <w:bottom w:val="none" w:sz="0" w:space="0" w:color="auto"/>
        <w:right w:val="none" w:sz="0" w:space="0" w:color="auto"/>
      </w:divBdr>
    </w:div>
    <w:div w:id="784813714">
      <w:marLeft w:val="0"/>
      <w:marRight w:val="0"/>
      <w:marTop w:val="120"/>
      <w:marBottom w:val="0"/>
      <w:divBdr>
        <w:top w:val="none" w:sz="0" w:space="0" w:color="auto"/>
        <w:left w:val="none" w:sz="0" w:space="0" w:color="auto"/>
        <w:bottom w:val="none" w:sz="0" w:space="0" w:color="auto"/>
        <w:right w:val="none" w:sz="0" w:space="0" w:color="auto"/>
      </w:divBdr>
    </w:div>
    <w:div w:id="786890961">
      <w:marLeft w:val="0"/>
      <w:marRight w:val="0"/>
      <w:marTop w:val="120"/>
      <w:marBottom w:val="0"/>
      <w:divBdr>
        <w:top w:val="none" w:sz="0" w:space="0" w:color="auto"/>
        <w:left w:val="none" w:sz="0" w:space="0" w:color="auto"/>
        <w:bottom w:val="none" w:sz="0" w:space="0" w:color="auto"/>
        <w:right w:val="none" w:sz="0" w:space="0" w:color="auto"/>
      </w:divBdr>
    </w:div>
    <w:div w:id="790392734">
      <w:marLeft w:val="0"/>
      <w:marRight w:val="0"/>
      <w:marTop w:val="120"/>
      <w:marBottom w:val="0"/>
      <w:divBdr>
        <w:top w:val="none" w:sz="0" w:space="0" w:color="auto"/>
        <w:left w:val="none" w:sz="0" w:space="0" w:color="auto"/>
        <w:bottom w:val="none" w:sz="0" w:space="0" w:color="auto"/>
        <w:right w:val="none" w:sz="0" w:space="0" w:color="auto"/>
      </w:divBdr>
    </w:div>
    <w:div w:id="790438021">
      <w:marLeft w:val="0"/>
      <w:marRight w:val="0"/>
      <w:marTop w:val="0"/>
      <w:marBottom w:val="0"/>
      <w:divBdr>
        <w:top w:val="none" w:sz="0" w:space="0" w:color="auto"/>
        <w:left w:val="none" w:sz="0" w:space="0" w:color="auto"/>
        <w:bottom w:val="none" w:sz="0" w:space="0" w:color="auto"/>
        <w:right w:val="none" w:sz="0" w:space="0" w:color="auto"/>
      </w:divBdr>
      <w:divsChild>
        <w:div w:id="1805350544">
          <w:marLeft w:val="0"/>
          <w:marRight w:val="0"/>
          <w:marTop w:val="0"/>
          <w:marBottom w:val="0"/>
          <w:divBdr>
            <w:top w:val="none" w:sz="0" w:space="0" w:color="auto"/>
            <w:left w:val="none" w:sz="0" w:space="0" w:color="auto"/>
            <w:bottom w:val="none" w:sz="0" w:space="0" w:color="auto"/>
            <w:right w:val="none" w:sz="0" w:space="0" w:color="auto"/>
          </w:divBdr>
        </w:div>
      </w:divsChild>
    </w:div>
    <w:div w:id="791023239">
      <w:marLeft w:val="0"/>
      <w:marRight w:val="0"/>
      <w:marTop w:val="120"/>
      <w:marBottom w:val="0"/>
      <w:divBdr>
        <w:top w:val="none" w:sz="0" w:space="0" w:color="auto"/>
        <w:left w:val="none" w:sz="0" w:space="0" w:color="auto"/>
        <w:bottom w:val="none" w:sz="0" w:space="0" w:color="auto"/>
        <w:right w:val="none" w:sz="0" w:space="0" w:color="auto"/>
      </w:divBdr>
    </w:div>
    <w:div w:id="791366986">
      <w:marLeft w:val="0"/>
      <w:marRight w:val="0"/>
      <w:marTop w:val="0"/>
      <w:marBottom w:val="120"/>
      <w:divBdr>
        <w:top w:val="none" w:sz="0" w:space="0" w:color="auto"/>
        <w:left w:val="none" w:sz="0" w:space="0" w:color="auto"/>
        <w:bottom w:val="none" w:sz="0" w:space="0" w:color="auto"/>
        <w:right w:val="none" w:sz="0" w:space="0" w:color="auto"/>
      </w:divBdr>
    </w:div>
    <w:div w:id="791704990">
      <w:marLeft w:val="0"/>
      <w:marRight w:val="0"/>
      <w:marTop w:val="120"/>
      <w:marBottom w:val="0"/>
      <w:divBdr>
        <w:top w:val="none" w:sz="0" w:space="0" w:color="auto"/>
        <w:left w:val="none" w:sz="0" w:space="0" w:color="auto"/>
        <w:bottom w:val="none" w:sz="0" w:space="0" w:color="auto"/>
        <w:right w:val="none" w:sz="0" w:space="0" w:color="auto"/>
      </w:divBdr>
    </w:div>
    <w:div w:id="791748311">
      <w:marLeft w:val="0"/>
      <w:marRight w:val="0"/>
      <w:marTop w:val="120"/>
      <w:marBottom w:val="0"/>
      <w:divBdr>
        <w:top w:val="none" w:sz="0" w:space="0" w:color="auto"/>
        <w:left w:val="none" w:sz="0" w:space="0" w:color="auto"/>
        <w:bottom w:val="none" w:sz="0" w:space="0" w:color="auto"/>
        <w:right w:val="none" w:sz="0" w:space="0" w:color="auto"/>
      </w:divBdr>
    </w:div>
    <w:div w:id="791941229">
      <w:marLeft w:val="0"/>
      <w:marRight w:val="0"/>
      <w:marTop w:val="120"/>
      <w:marBottom w:val="0"/>
      <w:divBdr>
        <w:top w:val="none" w:sz="0" w:space="0" w:color="auto"/>
        <w:left w:val="none" w:sz="0" w:space="0" w:color="auto"/>
        <w:bottom w:val="none" w:sz="0" w:space="0" w:color="auto"/>
        <w:right w:val="none" w:sz="0" w:space="0" w:color="auto"/>
      </w:divBdr>
    </w:div>
    <w:div w:id="793257470">
      <w:marLeft w:val="0"/>
      <w:marRight w:val="0"/>
      <w:marTop w:val="120"/>
      <w:marBottom w:val="0"/>
      <w:divBdr>
        <w:top w:val="none" w:sz="0" w:space="0" w:color="auto"/>
        <w:left w:val="none" w:sz="0" w:space="0" w:color="auto"/>
        <w:bottom w:val="none" w:sz="0" w:space="0" w:color="auto"/>
        <w:right w:val="none" w:sz="0" w:space="0" w:color="auto"/>
      </w:divBdr>
    </w:div>
    <w:div w:id="793906320">
      <w:marLeft w:val="0"/>
      <w:marRight w:val="0"/>
      <w:marTop w:val="0"/>
      <w:marBottom w:val="0"/>
      <w:divBdr>
        <w:top w:val="none" w:sz="0" w:space="0" w:color="auto"/>
        <w:left w:val="none" w:sz="0" w:space="0" w:color="auto"/>
        <w:bottom w:val="none" w:sz="0" w:space="0" w:color="auto"/>
        <w:right w:val="none" w:sz="0" w:space="0" w:color="auto"/>
      </w:divBdr>
    </w:div>
    <w:div w:id="794517636">
      <w:marLeft w:val="0"/>
      <w:marRight w:val="0"/>
      <w:marTop w:val="0"/>
      <w:marBottom w:val="0"/>
      <w:divBdr>
        <w:top w:val="none" w:sz="0" w:space="0" w:color="auto"/>
        <w:left w:val="none" w:sz="0" w:space="0" w:color="auto"/>
        <w:bottom w:val="none" w:sz="0" w:space="0" w:color="auto"/>
        <w:right w:val="none" w:sz="0" w:space="0" w:color="auto"/>
      </w:divBdr>
    </w:div>
    <w:div w:id="795952016">
      <w:marLeft w:val="0"/>
      <w:marRight w:val="0"/>
      <w:marTop w:val="0"/>
      <w:marBottom w:val="0"/>
      <w:divBdr>
        <w:top w:val="none" w:sz="0" w:space="0" w:color="auto"/>
        <w:left w:val="none" w:sz="0" w:space="0" w:color="auto"/>
        <w:bottom w:val="none" w:sz="0" w:space="0" w:color="auto"/>
        <w:right w:val="none" w:sz="0" w:space="0" w:color="auto"/>
      </w:divBdr>
    </w:div>
    <w:div w:id="796407798">
      <w:marLeft w:val="0"/>
      <w:marRight w:val="0"/>
      <w:marTop w:val="120"/>
      <w:marBottom w:val="0"/>
      <w:divBdr>
        <w:top w:val="none" w:sz="0" w:space="0" w:color="auto"/>
        <w:left w:val="none" w:sz="0" w:space="0" w:color="auto"/>
        <w:bottom w:val="none" w:sz="0" w:space="0" w:color="auto"/>
        <w:right w:val="none" w:sz="0" w:space="0" w:color="auto"/>
      </w:divBdr>
    </w:div>
    <w:div w:id="796534453">
      <w:marLeft w:val="0"/>
      <w:marRight w:val="0"/>
      <w:marTop w:val="120"/>
      <w:marBottom w:val="0"/>
      <w:divBdr>
        <w:top w:val="none" w:sz="0" w:space="0" w:color="auto"/>
        <w:left w:val="none" w:sz="0" w:space="0" w:color="auto"/>
        <w:bottom w:val="none" w:sz="0" w:space="0" w:color="auto"/>
        <w:right w:val="none" w:sz="0" w:space="0" w:color="auto"/>
      </w:divBdr>
    </w:div>
    <w:div w:id="797840202">
      <w:marLeft w:val="0"/>
      <w:marRight w:val="0"/>
      <w:marTop w:val="0"/>
      <w:marBottom w:val="0"/>
      <w:divBdr>
        <w:top w:val="none" w:sz="0" w:space="0" w:color="auto"/>
        <w:left w:val="none" w:sz="0" w:space="0" w:color="auto"/>
        <w:bottom w:val="none" w:sz="0" w:space="0" w:color="auto"/>
        <w:right w:val="none" w:sz="0" w:space="0" w:color="auto"/>
      </w:divBdr>
    </w:div>
    <w:div w:id="798301596">
      <w:marLeft w:val="0"/>
      <w:marRight w:val="0"/>
      <w:marTop w:val="0"/>
      <w:marBottom w:val="0"/>
      <w:divBdr>
        <w:top w:val="none" w:sz="0" w:space="0" w:color="auto"/>
        <w:left w:val="none" w:sz="0" w:space="0" w:color="auto"/>
        <w:bottom w:val="none" w:sz="0" w:space="0" w:color="auto"/>
        <w:right w:val="none" w:sz="0" w:space="0" w:color="auto"/>
      </w:divBdr>
    </w:div>
    <w:div w:id="798885623">
      <w:marLeft w:val="0"/>
      <w:marRight w:val="0"/>
      <w:marTop w:val="0"/>
      <w:marBottom w:val="0"/>
      <w:divBdr>
        <w:top w:val="none" w:sz="0" w:space="0" w:color="auto"/>
        <w:left w:val="none" w:sz="0" w:space="0" w:color="auto"/>
        <w:bottom w:val="none" w:sz="0" w:space="0" w:color="auto"/>
        <w:right w:val="none" w:sz="0" w:space="0" w:color="auto"/>
      </w:divBdr>
    </w:div>
    <w:div w:id="800073161">
      <w:marLeft w:val="0"/>
      <w:marRight w:val="0"/>
      <w:marTop w:val="120"/>
      <w:marBottom w:val="0"/>
      <w:divBdr>
        <w:top w:val="none" w:sz="0" w:space="0" w:color="auto"/>
        <w:left w:val="none" w:sz="0" w:space="0" w:color="auto"/>
        <w:bottom w:val="none" w:sz="0" w:space="0" w:color="auto"/>
        <w:right w:val="none" w:sz="0" w:space="0" w:color="auto"/>
      </w:divBdr>
    </w:div>
    <w:div w:id="801267673">
      <w:marLeft w:val="0"/>
      <w:marRight w:val="0"/>
      <w:marTop w:val="120"/>
      <w:marBottom w:val="0"/>
      <w:divBdr>
        <w:top w:val="none" w:sz="0" w:space="0" w:color="auto"/>
        <w:left w:val="none" w:sz="0" w:space="0" w:color="auto"/>
        <w:bottom w:val="none" w:sz="0" w:space="0" w:color="auto"/>
        <w:right w:val="none" w:sz="0" w:space="0" w:color="auto"/>
      </w:divBdr>
    </w:div>
    <w:div w:id="802505634">
      <w:marLeft w:val="0"/>
      <w:marRight w:val="0"/>
      <w:marTop w:val="0"/>
      <w:marBottom w:val="60"/>
      <w:divBdr>
        <w:top w:val="none" w:sz="0" w:space="0" w:color="auto"/>
        <w:left w:val="none" w:sz="0" w:space="0" w:color="auto"/>
        <w:bottom w:val="none" w:sz="0" w:space="0" w:color="auto"/>
        <w:right w:val="none" w:sz="0" w:space="0" w:color="auto"/>
      </w:divBdr>
    </w:div>
    <w:div w:id="803618449">
      <w:marLeft w:val="0"/>
      <w:marRight w:val="0"/>
      <w:marTop w:val="120"/>
      <w:marBottom w:val="0"/>
      <w:divBdr>
        <w:top w:val="none" w:sz="0" w:space="0" w:color="auto"/>
        <w:left w:val="none" w:sz="0" w:space="0" w:color="auto"/>
        <w:bottom w:val="none" w:sz="0" w:space="0" w:color="auto"/>
        <w:right w:val="none" w:sz="0" w:space="0" w:color="auto"/>
      </w:divBdr>
    </w:div>
    <w:div w:id="803742518">
      <w:marLeft w:val="0"/>
      <w:marRight w:val="0"/>
      <w:marTop w:val="120"/>
      <w:marBottom w:val="0"/>
      <w:divBdr>
        <w:top w:val="none" w:sz="0" w:space="0" w:color="auto"/>
        <w:left w:val="none" w:sz="0" w:space="0" w:color="auto"/>
        <w:bottom w:val="none" w:sz="0" w:space="0" w:color="auto"/>
        <w:right w:val="none" w:sz="0" w:space="0" w:color="auto"/>
      </w:divBdr>
    </w:div>
    <w:div w:id="804128817">
      <w:marLeft w:val="0"/>
      <w:marRight w:val="0"/>
      <w:marTop w:val="120"/>
      <w:marBottom w:val="0"/>
      <w:divBdr>
        <w:top w:val="none" w:sz="0" w:space="0" w:color="auto"/>
        <w:left w:val="none" w:sz="0" w:space="0" w:color="auto"/>
        <w:bottom w:val="none" w:sz="0" w:space="0" w:color="auto"/>
        <w:right w:val="none" w:sz="0" w:space="0" w:color="auto"/>
      </w:divBdr>
    </w:div>
    <w:div w:id="804348969">
      <w:marLeft w:val="0"/>
      <w:marRight w:val="0"/>
      <w:marTop w:val="180"/>
      <w:marBottom w:val="0"/>
      <w:divBdr>
        <w:top w:val="none" w:sz="0" w:space="0" w:color="auto"/>
        <w:left w:val="none" w:sz="0" w:space="0" w:color="auto"/>
        <w:bottom w:val="none" w:sz="0" w:space="0" w:color="auto"/>
        <w:right w:val="none" w:sz="0" w:space="0" w:color="auto"/>
      </w:divBdr>
    </w:div>
    <w:div w:id="805506212">
      <w:marLeft w:val="0"/>
      <w:marRight w:val="0"/>
      <w:marTop w:val="120"/>
      <w:marBottom w:val="0"/>
      <w:divBdr>
        <w:top w:val="none" w:sz="0" w:space="0" w:color="auto"/>
        <w:left w:val="none" w:sz="0" w:space="0" w:color="auto"/>
        <w:bottom w:val="none" w:sz="0" w:space="0" w:color="auto"/>
        <w:right w:val="none" w:sz="0" w:space="0" w:color="auto"/>
      </w:divBdr>
    </w:div>
    <w:div w:id="808522327">
      <w:marLeft w:val="0"/>
      <w:marRight w:val="0"/>
      <w:marTop w:val="120"/>
      <w:marBottom w:val="0"/>
      <w:divBdr>
        <w:top w:val="none" w:sz="0" w:space="0" w:color="auto"/>
        <w:left w:val="none" w:sz="0" w:space="0" w:color="auto"/>
        <w:bottom w:val="none" w:sz="0" w:space="0" w:color="auto"/>
        <w:right w:val="none" w:sz="0" w:space="0" w:color="auto"/>
      </w:divBdr>
    </w:div>
    <w:div w:id="809789672">
      <w:marLeft w:val="0"/>
      <w:marRight w:val="0"/>
      <w:marTop w:val="120"/>
      <w:marBottom w:val="0"/>
      <w:divBdr>
        <w:top w:val="none" w:sz="0" w:space="0" w:color="auto"/>
        <w:left w:val="none" w:sz="0" w:space="0" w:color="auto"/>
        <w:bottom w:val="none" w:sz="0" w:space="0" w:color="auto"/>
        <w:right w:val="none" w:sz="0" w:space="0" w:color="auto"/>
      </w:divBdr>
    </w:div>
    <w:div w:id="811487233">
      <w:marLeft w:val="0"/>
      <w:marRight w:val="0"/>
      <w:marTop w:val="120"/>
      <w:marBottom w:val="0"/>
      <w:divBdr>
        <w:top w:val="none" w:sz="0" w:space="0" w:color="auto"/>
        <w:left w:val="none" w:sz="0" w:space="0" w:color="auto"/>
        <w:bottom w:val="none" w:sz="0" w:space="0" w:color="auto"/>
        <w:right w:val="none" w:sz="0" w:space="0" w:color="auto"/>
      </w:divBdr>
    </w:div>
    <w:div w:id="813067982">
      <w:marLeft w:val="0"/>
      <w:marRight w:val="0"/>
      <w:marTop w:val="0"/>
      <w:marBottom w:val="0"/>
      <w:divBdr>
        <w:top w:val="none" w:sz="0" w:space="0" w:color="auto"/>
        <w:left w:val="none" w:sz="0" w:space="0" w:color="auto"/>
        <w:bottom w:val="none" w:sz="0" w:space="0" w:color="auto"/>
        <w:right w:val="none" w:sz="0" w:space="0" w:color="auto"/>
      </w:divBdr>
      <w:divsChild>
        <w:div w:id="2092315853">
          <w:marLeft w:val="0"/>
          <w:marRight w:val="0"/>
          <w:marTop w:val="0"/>
          <w:marBottom w:val="0"/>
          <w:divBdr>
            <w:top w:val="none" w:sz="0" w:space="0" w:color="auto"/>
            <w:left w:val="none" w:sz="0" w:space="0" w:color="auto"/>
            <w:bottom w:val="none" w:sz="0" w:space="0" w:color="auto"/>
            <w:right w:val="none" w:sz="0" w:space="0" w:color="auto"/>
          </w:divBdr>
        </w:div>
      </w:divsChild>
    </w:div>
    <w:div w:id="813303321">
      <w:marLeft w:val="0"/>
      <w:marRight w:val="0"/>
      <w:marTop w:val="120"/>
      <w:marBottom w:val="0"/>
      <w:divBdr>
        <w:top w:val="none" w:sz="0" w:space="0" w:color="auto"/>
        <w:left w:val="none" w:sz="0" w:space="0" w:color="auto"/>
        <w:bottom w:val="none" w:sz="0" w:space="0" w:color="auto"/>
        <w:right w:val="none" w:sz="0" w:space="0" w:color="auto"/>
      </w:divBdr>
    </w:div>
    <w:div w:id="813331291">
      <w:marLeft w:val="0"/>
      <w:marRight w:val="0"/>
      <w:marTop w:val="0"/>
      <w:marBottom w:val="0"/>
      <w:divBdr>
        <w:top w:val="none" w:sz="0" w:space="0" w:color="auto"/>
        <w:left w:val="none" w:sz="0" w:space="0" w:color="auto"/>
        <w:bottom w:val="none" w:sz="0" w:space="0" w:color="auto"/>
        <w:right w:val="none" w:sz="0" w:space="0" w:color="auto"/>
      </w:divBdr>
      <w:divsChild>
        <w:div w:id="1569461341">
          <w:marLeft w:val="0"/>
          <w:marRight w:val="0"/>
          <w:marTop w:val="0"/>
          <w:marBottom w:val="0"/>
          <w:divBdr>
            <w:top w:val="none" w:sz="0" w:space="0" w:color="auto"/>
            <w:left w:val="none" w:sz="0" w:space="0" w:color="auto"/>
            <w:bottom w:val="none" w:sz="0" w:space="0" w:color="auto"/>
            <w:right w:val="none" w:sz="0" w:space="0" w:color="auto"/>
          </w:divBdr>
        </w:div>
      </w:divsChild>
    </w:div>
    <w:div w:id="814641198">
      <w:marLeft w:val="0"/>
      <w:marRight w:val="0"/>
      <w:marTop w:val="120"/>
      <w:marBottom w:val="0"/>
      <w:divBdr>
        <w:top w:val="none" w:sz="0" w:space="0" w:color="auto"/>
        <w:left w:val="none" w:sz="0" w:space="0" w:color="auto"/>
        <w:bottom w:val="none" w:sz="0" w:space="0" w:color="auto"/>
        <w:right w:val="none" w:sz="0" w:space="0" w:color="auto"/>
      </w:divBdr>
    </w:div>
    <w:div w:id="818349253">
      <w:marLeft w:val="0"/>
      <w:marRight w:val="0"/>
      <w:marTop w:val="0"/>
      <w:marBottom w:val="0"/>
      <w:divBdr>
        <w:top w:val="none" w:sz="0" w:space="0" w:color="auto"/>
        <w:left w:val="none" w:sz="0" w:space="0" w:color="auto"/>
        <w:bottom w:val="none" w:sz="0" w:space="0" w:color="auto"/>
        <w:right w:val="none" w:sz="0" w:space="0" w:color="auto"/>
      </w:divBdr>
    </w:div>
    <w:div w:id="820005111">
      <w:marLeft w:val="0"/>
      <w:marRight w:val="0"/>
      <w:marTop w:val="120"/>
      <w:marBottom w:val="0"/>
      <w:divBdr>
        <w:top w:val="none" w:sz="0" w:space="0" w:color="auto"/>
        <w:left w:val="none" w:sz="0" w:space="0" w:color="auto"/>
        <w:bottom w:val="none" w:sz="0" w:space="0" w:color="auto"/>
        <w:right w:val="none" w:sz="0" w:space="0" w:color="auto"/>
      </w:divBdr>
    </w:div>
    <w:div w:id="820345017">
      <w:marLeft w:val="0"/>
      <w:marRight w:val="0"/>
      <w:marTop w:val="0"/>
      <w:marBottom w:val="0"/>
      <w:divBdr>
        <w:top w:val="none" w:sz="0" w:space="0" w:color="auto"/>
        <w:left w:val="none" w:sz="0" w:space="0" w:color="auto"/>
        <w:bottom w:val="none" w:sz="0" w:space="0" w:color="auto"/>
        <w:right w:val="none" w:sz="0" w:space="0" w:color="auto"/>
      </w:divBdr>
    </w:div>
    <w:div w:id="820586829">
      <w:marLeft w:val="0"/>
      <w:marRight w:val="0"/>
      <w:marTop w:val="0"/>
      <w:marBottom w:val="0"/>
      <w:divBdr>
        <w:top w:val="none" w:sz="0" w:space="0" w:color="auto"/>
        <w:left w:val="none" w:sz="0" w:space="0" w:color="auto"/>
        <w:bottom w:val="none" w:sz="0" w:space="0" w:color="auto"/>
        <w:right w:val="none" w:sz="0" w:space="0" w:color="auto"/>
      </w:divBdr>
    </w:div>
    <w:div w:id="827019760">
      <w:marLeft w:val="0"/>
      <w:marRight w:val="0"/>
      <w:marTop w:val="120"/>
      <w:marBottom w:val="0"/>
      <w:divBdr>
        <w:top w:val="none" w:sz="0" w:space="0" w:color="auto"/>
        <w:left w:val="none" w:sz="0" w:space="0" w:color="auto"/>
        <w:bottom w:val="none" w:sz="0" w:space="0" w:color="auto"/>
        <w:right w:val="none" w:sz="0" w:space="0" w:color="auto"/>
      </w:divBdr>
    </w:div>
    <w:div w:id="827088065">
      <w:marLeft w:val="0"/>
      <w:marRight w:val="0"/>
      <w:marTop w:val="120"/>
      <w:marBottom w:val="0"/>
      <w:divBdr>
        <w:top w:val="none" w:sz="0" w:space="0" w:color="auto"/>
        <w:left w:val="none" w:sz="0" w:space="0" w:color="auto"/>
        <w:bottom w:val="none" w:sz="0" w:space="0" w:color="auto"/>
        <w:right w:val="none" w:sz="0" w:space="0" w:color="auto"/>
      </w:divBdr>
    </w:div>
    <w:div w:id="828713239">
      <w:marLeft w:val="0"/>
      <w:marRight w:val="0"/>
      <w:marTop w:val="0"/>
      <w:marBottom w:val="0"/>
      <w:divBdr>
        <w:top w:val="none" w:sz="0" w:space="0" w:color="auto"/>
        <w:left w:val="none" w:sz="0" w:space="0" w:color="auto"/>
        <w:bottom w:val="none" w:sz="0" w:space="0" w:color="auto"/>
        <w:right w:val="none" w:sz="0" w:space="0" w:color="auto"/>
      </w:divBdr>
    </w:div>
    <w:div w:id="828718518">
      <w:marLeft w:val="0"/>
      <w:marRight w:val="0"/>
      <w:marTop w:val="120"/>
      <w:marBottom w:val="0"/>
      <w:divBdr>
        <w:top w:val="none" w:sz="0" w:space="0" w:color="auto"/>
        <w:left w:val="none" w:sz="0" w:space="0" w:color="auto"/>
        <w:bottom w:val="none" w:sz="0" w:space="0" w:color="auto"/>
        <w:right w:val="none" w:sz="0" w:space="0" w:color="auto"/>
      </w:divBdr>
    </w:div>
    <w:div w:id="831531380">
      <w:marLeft w:val="0"/>
      <w:marRight w:val="0"/>
      <w:marTop w:val="120"/>
      <w:marBottom w:val="0"/>
      <w:divBdr>
        <w:top w:val="none" w:sz="0" w:space="0" w:color="auto"/>
        <w:left w:val="none" w:sz="0" w:space="0" w:color="auto"/>
        <w:bottom w:val="none" w:sz="0" w:space="0" w:color="auto"/>
        <w:right w:val="none" w:sz="0" w:space="0" w:color="auto"/>
      </w:divBdr>
    </w:div>
    <w:div w:id="831871999">
      <w:marLeft w:val="0"/>
      <w:marRight w:val="0"/>
      <w:marTop w:val="120"/>
      <w:marBottom w:val="0"/>
      <w:divBdr>
        <w:top w:val="none" w:sz="0" w:space="0" w:color="auto"/>
        <w:left w:val="none" w:sz="0" w:space="0" w:color="auto"/>
        <w:bottom w:val="none" w:sz="0" w:space="0" w:color="auto"/>
        <w:right w:val="none" w:sz="0" w:space="0" w:color="auto"/>
      </w:divBdr>
    </w:div>
    <w:div w:id="834496986">
      <w:marLeft w:val="0"/>
      <w:marRight w:val="0"/>
      <w:marTop w:val="120"/>
      <w:marBottom w:val="0"/>
      <w:divBdr>
        <w:top w:val="none" w:sz="0" w:space="0" w:color="auto"/>
        <w:left w:val="none" w:sz="0" w:space="0" w:color="auto"/>
        <w:bottom w:val="none" w:sz="0" w:space="0" w:color="auto"/>
        <w:right w:val="none" w:sz="0" w:space="0" w:color="auto"/>
      </w:divBdr>
    </w:div>
    <w:div w:id="834683130">
      <w:marLeft w:val="0"/>
      <w:marRight w:val="0"/>
      <w:marTop w:val="120"/>
      <w:marBottom w:val="0"/>
      <w:divBdr>
        <w:top w:val="none" w:sz="0" w:space="0" w:color="auto"/>
        <w:left w:val="none" w:sz="0" w:space="0" w:color="auto"/>
        <w:bottom w:val="none" w:sz="0" w:space="0" w:color="auto"/>
        <w:right w:val="none" w:sz="0" w:space="0" w:color="auto"/>
      </w:divBdr>
    </w:div>
    <w:div w:id="835532088">
      <w:marLeft w:val="0"/>
      <w:marRight w:val="0"/>
      <w:marTop w:val="120"/>
      <w:marBottom w:val="0"/>
      <w:divBdr>
        <w:top w:val="none" w:sz="0" w:space="0" w:color="auto"/>
        <w:left w:val="none" w:sz="0" w:space="0" w:color="auto"/>
        <w:bottom w:val="none" w:sz="0" w:space="0" w:color="auto"/>
        <w:right w:val="none" w:sz="0" w:space="0" w:color="auto"/>
      </w:divBdr>
    </w:div>
    <w:div w:id="835729739">
      <w:marLeft w:val="0"/>
      <w:marRight w:val="0"/>
      <w:marTop w:val="0"/>
      <w:marBottom w:val="0"/>
      <w:divBdr>
        <w:top w:val="none" w:sz="0" w:space="0" w:color="auto"/>
        <w:left w:val="none" w:sz="0" w:space="0" w:color="auto"/>
        <w:bottom w:val="none" w:sz="0" w:space="0" w:color="auto"/>
        <w:right w:val="none" w:sz="0" w:space="0" w:color="auto"/>
      </w:divBdr>
    </w:div>
    <w:div w:id="836388738">
      <w:marLeft w:val="0"/>
      <w:marRight w:val="0"/>
      <w:marTop w:val="0"/>
      <w:marBottom w:val="0"/>
      <w:divBdr>
        <w:top w:val="none" w:sz="0" w:space="0" w:color="auto"/>
        <w:left w:val="none" w:sz="0" w:space="0" w:color="auto"/>
        <w:bottom w:val="none" w:sz="0" w:space="0" w:color="auto"/>
        <w:right w:val="none" w:sz="0" w:space="0" w:color="auto"/>
      </w:divBdr>
      <w:divsChild>
        <w:div w:id="44764309">
          <w:marLeft w:val="0"/>
          <w:marRight w:val="0"/>
          <w:marTop w:val="0"/>
          <w:marBottom w:val="0"/>
          <w:divBdr>
            <w:top w:val="none" w:sz="0" w:space="0" w:color="auto"/>
            <w:left w:val="none" w:sz="0" w:space="0" w:color="auto"/>
            <w:bottom w:val="none" w:sz="0" w:space="0" w:color="auto"/>
            <w:right w:val="none" w:sz="0" w:space="0" w:color="auto"/>
          </w:divBdr>
        </w:div>
      </w:divsChild>
    </w:div>
    <w:div w:id="837429593">
      <w:marLeft w:val="0"/>
      <w:marRight w:val="0"/>
      <w:marTop w:val="120"/>
      <w:marBottom w:val="0"/>
      <w:divBdr>
        <w:top w:val="none" w:sz="0" w:space="0" w:color="auto"/>
        <w:left w:val="none" w:sz="0" w:space="0" w:color="auto"/>
        <w:bottom w:val="none" w:sz="0" w:space="0" w:color="auto"/>
        <w:right w:val="none" w:sz="0" w:space="0" w:color="auto"/>
      </w:divBdr>
    </w:div>
    <w:div w:id="837812293">
      <w:marLeft w:val="0"/>
      <w:marRight w:val="0"/>
      <w:marTop w:val="0"/>
      <w:marBottom w:val="0"/>
      <w:divBdr>
        <w:top w:val="none" w:sz="0" w:space="0" w:color="auto"/>
        <w:left w:val="none" w:sz="0" w:space="0" w:color="auto"/>
        <w:bottom w:val="none" w:sz="0" w:space="0" w:color="auto"/>
        <w:right w:val="none" w:sz="0" w:space="0" w:color="auto"/>
      </w:divBdr>
    </w:div>
    <w:div w:id="840042795">
      <w:marLeft w:val="0"/>
      <w:marRight w:val="0"/>
      <w:marTop w:val="120"/>
      <w:marBottom w:val="0"/>
      <w:divBdr>
        <w:top w:val="none" w:sz="0" w:space="0" w:color="auto"/>
        <w:left w:val="none" w:sz="0" w:space="0" w:color="auto"/>
        <w:bottom w:val="none" w:sz="0" w:space="0" w:color="auto"/>
        <w:right w:val="none" w:sz="0" w:space="0" w:color="auto"/>
      </w:divBdr>
    </w:div>
    <w:div w:id="840126333">
      <w:marLeft w:val="0"/>
      <w:marRight w:val="0"/>
      <w:marTop w:val="0"/>
      <w:marBottom w:val="0"/>
      <w:divBdr>
        <w:top w:val="none" w:sz="0" w:space="0" w:color="auto"/>
        <w:left w:val="none" w:sz="0" w:space="0" w:color="auto"/>
        <w:bottom w:val="none" w:sz="0" w:space="0" w:color="auto"/>
        <w:right w:val="none" w:sz="0" w:space="0" w:color="auto"/>
      </w:divBdr>
      <w:divsChild>
        <w:div w:id="2006400112">
          <w:marLeft w:val="0"/>
          <w:marRight w:val="0"/>
          <w:marTop w:val="0"/>
          <w:marBottom w:val="0"/>
          <w:divBdr>
            <w:top w:val="none" w:sz="0" w:space="0" w:color="auto"/>
            <w:left w:val="none" w:sz="0" w:space="0" w:color="auto"/>
            <w:bottom w:val="none" w:sz="0" w:space="0" w:color="auto"/>
            <w:right w:val="none" w:sz="0" w:space="0" w:color="auto"/>
          </w:divBdr>
        </w:div>
      </w:divsChild>
    </w:div>
    <w:div w:id="840849670">
      <w:marLeft w:val="0"/>
      <w:marRight w:val="0"/>
      <w:marTop w:val="120"/>
      <w:marBottom w:val="0"/>
      <w:divBdr>
        <w:top w:val="none" w:sz="0" w:space="0" w:color="auto"/>
        <w:left w:val="none" w:sz="0" w:space="0" w:color="auto"/>
        <w:bottom w:val="none" w:sz="0" w:space="0" w:color="auto"/>
        <w:right w:val="none" w:sz="0" w:space="0" w:color="auto"/>
      </w:divBdr>
    </w:div>
    <w:div w:id="841507974">
      <w:marLeft w:val="0"/>
      <w:marRight w:val="0"/>
      <w:marTop w:val="0"/>
      <w:marBottom w:val="120"/>
      <w:divBdr>
        <w:top w:val="none" w:sz="0" w:space="0" w:color="auto"/>
        <w:left w:val="none" w:sz="0" w:space="0" w:color="auto"/>
        <w:bottom w:val="none" w:sz="0" w:space="0" w:color="auto"/>
        <w:right w:val="none" w:sz="0" w:space="0" w:color="auto"/>
      </w:divBdr>
    </w:div>
    <w:div w:id="842744847">
      <w:marLeft w:val="0"/>
      <w:marRight w:val="0"/>
      <w:marTop w:val="120"/>
      <w:marBottom w:val="0"/>
      <w:divBdr>
        <w:top w:val="none" w:sz="0" w:space="0" w:color="auto"/>
        <w:left w:val="none" w:sz="0" w:space="0" w:color="auto"/>
        <w:bottom w:val="none" w:sz="0" w:space="0" w:color="auto"/>
        <w:right w:val="none" w:sz="0" w:space="0" w:color="auto"/>
      </w:divBdr>
    </w:div>
    <w:div w:id="843007824">
      <w:marLeft w:val="0"/>
      <w:marRight w:val="0"/>
      <w:marTop w:val="120"/>
      <w:marBottom w:val="0"/>
      <w:divBdr>
        <w:top w:val="none" w:sz="0" w:space="0" w:color="auto"/>
        <w:left w:val="none" w:sz="0" w:space="0" w:color="auto"/>
        <w:bottom w:val="none" w:sz="0" w:space="0" w:color="auto"/>
        <w:right w:val="none" w:sz="0" w:space="0" w:color="auto"/>
      </w:divBdr>
    </w:div>
    <w:div w:id="843668950">
      <w:marLeft w:val="0"/>
      <w:marRight w:val="0"/>
      <w:marTop w:val="120"/>
      <w:marBottom w:val="0"/>
      <w:divBdr>
        <w:top w:val="none" w:sz="0" w:space="0" w:color="auto"/>
        <w:left w:val="none" w:sz="0" w:space="0" w:color="auto"/>
        <w:bottom w:val="none" w:sz="0" w:space="0" w:color="auto"/>
        <w:right w:val="none" w:sz="0" w:space="0" w:color="auto"/>
      </w:divBdr>
    </w:div>
    <w:div w:id="843857645">
      <w:marLeft w:val="0"/>
      <w:marRight w:val="0"/>
      <w:marTop w:val="120"/>
      <w:marBottom w:val="0"/>
      <w:divBdr>
        <w:top w:val="none" w:sz="0" w:space="0" w:color="auto"/>
        <w:left w:val="none" w:sz="0" w:space="0" w:color="auto"/>
        <w:bottom w:val="none" w:sz="0" w:space="0" w:color="auto"/>
        <w:right w:val="none" w:sz="0" w:space="0" w:color="auto"/>
      </w:divBdr>
    </w:div>
    <w:div w:id="843931958">
      <w:marLeft w:val="0"/>
      <w:marRight w:val="0"/>
      <w:marTop w:val="120"/>
      <w:marBottom w:val="0"/>
      <w:divBdr>
        <w:top w:val="none" w:sz="0" w:space="0" w:color="auto"/>
        <w:left w:val="none" w:sz="0" w:space="0" w:color="auto"/>
        <w:bottom w:val="none" w:sz="0" w:space="0" w:color="auto"/>
        <w:right w:val="none" w:sz="0" w:space="0" w:color="auto"/>
      </w:divBdr>
    </w:div>
    <w:div w:id="845166651">
      <w:marLeft w:val="0"/>
      <w:marRight w:val="0"/>
      <w:marTop w:val="120"/>
      <w:marBottom w:val="0"/>
      <w:divBdr>
        <w:top w:val="none" w:sz="0" w:space="0" w:color="auto"/>
        <w:left w:val="none" w:sz="0" w:space="0" w:color="auto"/>
        <w:bottom w:val="none" w:sz="0" w:space="0" w:color="auto"/>
        <w:right w:val="none" w:sz="0" w:space="0" w:color="auto"/>
      </w:divBdr>
    </w:div>
    <w:div w:id="846478632">
      <w:marLeft w:val="0"/>
      <w:marRight w:val="0"/>
      <w:marTop w:val="0"/>
      <w:marBottom w:val="0"/>
      <w:divBdr>
        <w:top w:val="none" w:sz="0" w:space="0" w:color="auto"/>
        <w:left w:val="none" w:sz="0" w:space="0" w:color="auto"/>
        <w:bottom w:val="none" w:sz="0" w:space="0" w:color="auto"/>
        <w:right w:val="none" w:sz="0" w:space="0" w:color="auto"/>
      </w:divBdr>
      <w:divsChild>
        <w:div w:id="853113906">
          <w:marLeft w:val="0"/>
          <w:marRight w:val="0"/>
          <w:marTop w:val="0"/>
          <w:marBottom w:val="0"/>
          <w:divBdr>
            <w:top w:val="none" w:sz="0" w:space="0" w:color="auto"/>
            <w:left w:val="none" w:sz="0" w:space="0" w:color="auto"/>
            <w:bottom w:val="none" w:sz="0" w:space="0" w:color="auto"/>
            <w:right w:val="none" w:sz="0" w:space="0" w:color="auto"/>
          </w:divBdr>
        </w:div>
      </w:divsChild>
    </w:div>
    <w:div w:id="848329728">
      <w:marLeft w:val="0"/>
      <w:marRight w:val="0"/>
      <w:marTop w:val="0"/>
      <w:marBottom w:val="0"/>
      <w:divBdr>
        <w:top w:val="none" w:sz="0" w:space="0" w:color="auto"/>
        <w:left w:val="none" w:sz="0" w:space="0" w:color="auto"/>
        <w:bottom w:val="none" w:sz="0" w:space="0" w:color="auto"/>
        <w:right w:val="none" w:sz="0" w:space="0" w:color="auto"/>
      </w:divBdr>
    </w:div>
    <w:div w:id="850068938">
      <w:marLeft w:val="0"/>
      <w:marRight w:val="0"/>
      <w:marTop w:val="0"/>
      <w:marBottom w:val="0"/>
      <w:divBdr>
        <w:top w:val="none" w:sz="0" w:space="0" w:color="auto"/>
        <w:left w:val="none" w:sz="0" w:space="0" w:color="auto"/>
        <w:bottom w:val="none" w:sz="0" w:space="0" w:color="auto"/>
        <w:right w:val="none" w:sz="0" w:space="0" w:color="auto"/>
      </w:divBdr>
    </w:div>
    <w:div w:id="850291618">
      <w:marLeft w:val="0"/>
      <w:marRight w:val="0"/>
      <w:marTop w:val="120"/>
      <w:marBottom w:val="120"/>
      <w:divBdr>
        <w:top w:val="none" w:sz="0" w:space="0" w:color="auto"/>
        <w:left w:val="none" w:sz="0" w:space="0" w:color="auto"/>
        <w:bottom w:val="none" w:sz="0" w:space="0" w:color="auto"/>
        <w:right w:val="none" w:sz="0" w:space="0" w:color="auto"/>
      </w:divBdr>
      <w:divsChild>
        <w:div w:id="711922900">
          <w:marLeft w:val="0"/>
          <w:marRight w:val="0"/>
          <w:marTop w:val="0"/>
          <w:marBottom w:val="0"/>
          <w:divBdr>
            <w:top w:val="none" w:sz="0" w:space="0" w:color="auto"/>
            <w:left w:val="none" w:sz="0" w:space="0" w:color="auto"/>
            <w:bottom w:val="none" w:sz="0" w:space="0" w:color="auto"/>
            <w:right w:val="none" w:sz="0" w:space="0" w:color="auto"/>
          </w:divBdr>
        </w:div>
      </w:divsChild>
    </w:div>
    <w:div w:id="852643482">
      <w:marLeft w:val="0"/>
      <w:marRight w:val="0"/>
      <w:marTop w:val="0"/>
      <w:marBottom w:val="0"/>
      <w:divBdr>
        <w:top w:val="none" w:sz="0" w:space="0" w:color="auto"/>
        <w:left w:val="none" w:sz="0" w:space="0" w:color="auto"/>
        <w:bottom w:val="none" w:sz="0" w:space="0" w:color="auto"/>
        <w:right w:val="none" w:sz="0" w:space="0" w:color="auto"/>
      </w:divBdr>
      <w:divsChild>
        <w:div w:id="606734678">
          <w:marLeft w:val="0"/>
          <w:marRight w:val="0"/>
          <w:marTop w:val="0"/>
          <w:marBottom w:val="0"/>
          <w:divBdr>
            <w:top w:val="none" w:sz="0" w:space="0" w:color="auto"/>
            <w:left w:val="none" w:sz="0" w:space="0" w:color="auto"/>
            <w:bottom w:val="none" w:sz="0" w:space="0" w:color="auto"/>
            <w:right w:val="none" w:sz="0" w:space="0" w:color="auto"/>
          </w:divBdr>
        </w:div>
      </w:divsChild>
    </w:div>
    <w:div w:id="852914452">
      <w:marLeft w:val="0"/>
      <w:marRight w:val="0"/>
      <w:marTop w:val="120"/>
      <w:marBottom w:val="0"/>
      <w:divBdr>
        <w:top w:val="none" w:sz="0" w:space="0" w:color="auto"/>
        <w:left w:val="none" w:sz="0" w:space="0" w:color="auto"/>
        <w:bottom w:val="none" w:sz="0" w:space="0" w:color="auto"/>
        <w:right w:val="none" w:sz="0" w:space="0" w:color="auto"/>
      </w:divBdr>
    </w:div>
    <w:div w:id="853231555">
      <w:marLeft w:val="0"/>
      <w:marRight w:val="0"/>
      <w:marTop w:val="0"/>
      <w:marBottom w:val="0"/>
      <w:divBdr>
        <w:top w:val="none" w:sz="0" w:space="0" w:color="auto"/>
        <w:left w:val="none" w:sz="0" w:space="0" w:color="auto"/>
        <w:bottom w:val="none" w:sz="0" w:space="0" w:color="auto"/>
        <w:right w:val="none" w:sz="0" w:space="0" w:color="auto"/>
      </w:divBdr>
      <w:divsChild>
        <w:div w:id="395278522">
          <w:marLeft w:val="0"/>
          <w:marRight w:val="0"/>
          <w:marTop w:val="0"/>
          <w:marBottom w:val="0"/>
          <w:divBdr>
            <w:top w:val="none" w:sz="0" w:space="0" w:color="auto"/>
            <w:left w:val="none" w:sz="0" w:space="0" w:color="auto"/>
            <w:bottom w:val="none" w:sz="0" w:space="0" w:color="auto"/>
            <w:right w:val="none" w:sz="0" w:space="0" w:color="auto"/>
          </w:divBdr>
        </w:div>
      </w:divsChild>
    </w:div>
    <w:div w:id="853496516">
      <w:marLeft w:val="0"/>
      <w:marRight w:val="0"/>
      <w:marTop w:val="0"/>
      <w:marBottom w:val="240"/>
      <w:divBdr>
        <w:top w:val="none" w:sz="0" w:space="0" w:color="auto"/>
        <w:left w:val="none" w:sz="0" w:space="0" w:color="auto"/>
        <w:bottom w:val="none" w:sz="0" w:space="0" w:color="auto"/>
        <w:right w:val="none" w:sz="0" w:space="0" w:color="auto"/>
      </w:divBdr>
    </w:div>
    <w:div w:id="854803021">
      <w:marLeft w:val="0"/>
      <w:marRight w:val="0"/>
      <w:marTop w:val="0"/>
      <w:marBottom w:val="120"/>
      <w:divBdr>
        <w:top w:val="none" w:sz="0" w:space="0" w:color="auto"/>
        <w:left w:val="none" w:sz="0" w:space="0" w:color="auto"/>
        <w:bottom w:val="none" w:sz="0" w:space="0" w:color="auto"/>
        <w:right w:val="none" w:sz="0" w:space="0" w:color="auto"/>
      </w:divBdr>
    </w:div>
    <w:div w:id="857893746">
      <w:marLeft w:val="0"/>
      <w:marRight w:val="0"/>
      <w:marTop w:val="120"/>
      <w:marBottom w:val="0"/>
      <w:divBdr>
        <w:top w:val="none" w:sz="0" w:space="0" w:color="auto"/>
        <w:left w:val="none" w:sz="0" w:space="0" w:color="auto"/>
        <w:bottom w:val="none" w:sz="0" w:space="0" w:color="auto"/>
        <w:right w:val="none" w:sz="0" w:space="0" w:color="auto"/>
      </w:divBdr>
    </w:div>
    <w:div w:id="857960504">
      <w:marLeft w:val="0"/>
      <w:marRight w:val="0"/>
      <w:marTop w:val="0"/>
      <w:marBottom w:val="120"/>
      <w:divBdr>
        <w:top w:val="none" w:sz="0" w:space="0" w:color="auto"/>
        <w:left w:val="none" w:sz="0" w:space="0" w:color="auto"/>
        <w:bottom w:val="none" w:sz="0" w:space="0" w:color="auto"/>
        <w:right w:val="none" w:sz="0" w:space="0" w:color="auto"/>
      </w:divBdr>
    </w:div>
    <w:div w:id="858930322">
      <w:marLeft w:val="0"/>
      <w:marRight w:val="0"/>
      <w:marTop w:val="120"/>
      <w:marBottom w:val="0"/>
      <w:divBdr>
        <w:top w:val="none" w:sz="0" w:space="0" w:color="auto"/>
        <w:left w:val="none" w:sz="0" w:space="0" w:color="auto"/>
        <w:bottom w:val="none" w:sz="0" w:space="0" w:color="auto"/>
        <w:right w:val="none" w:sz="0" w:space="0" w:color="auto"/>
      </w:divBdr>
    </w:div>
    <w:div w:id="861699616">
      <w:marLeft w:val="0"/>
      <w:marRight w:val="0"/>
      <w:marTop w:val="0"/>
      <w:marBottom w:val="0"/>
      <w:divBdr>
        <w:top w:val="none" w:sz="0" w:space="0" w:color="auto"/>
        <w:left w:val="none" w:sz="0" w:space="0" w:color="auto"/>
        <w:bottom w:val="none" w:sz="0" w:space="0" w:color="auto"/>
        <w:right w:val="none" w:sz="0" w:space="0" w:color="auto"/>
      </w:divBdr>
    </w:div>
    <w:div w:id="867717456">
      <w:marLeft w:val="0"/>
      <w:marRight w:val="0"/>
      <w:marTop w:val="0"/>
      <w:marBottom w:val="0"/>
      <w:divBdr>
        <w:top w:val="none" w:sz="0" w:space="0" w:color="auto"/>
        <w:left w:val="none" w:sz="0" w:space="0" w:color="auto"/>
        <w:bottom w:val="none" w:sz="0" w:space="0" w:color="auto"/>
        <w:right w:val="none" w:sz="0" w:space="0" w:color="auto"/>
      </w:divBdr>
    </w:div>
    <w:div w:id="867717940">
      <w:marLeft w:val="0"/>
      <w:marRight w:val="0"/>
      <w:marTop w:val="120"/>
      <w:marBottom w:val="120"/>
      <w:divBdr>
        <w:top w:val="none" w:sz="0" w:space="0" w:color="auto"/>
        <w:left w:val="none" w:sz="0" w:space="0" w:color="auto"/>
        <w:bottom w:val="none" w:sz="0" w:space="0" w:color="auto"/>
        <w:right w:val="none" w:sz="0" w:space="0" w:color="auto"/>
      </w:divBdr>
    </w:div>
    <w:div w:id="867913683">
      <w:marLeft w:val="0"/>
      <w:marRight w:val="0"/>
      <w:marTop w:val="120"/>
      <w:marBottom w:val="0"/>
      <w:divBdr>
        <w:top w:val="none" w:sz="0" w:space="0" w:color="auto"/>
        <w:left w:val="none" w:sz="0" w:space="0" w:color="auto"/>
        <w:bottom w:val="none" w:sz="0" w:space="0" w:color="auto"/>
        <w:right w:val="none" w:sz="0" w:space="0" w:color="auto"/>
      </w:divBdr>
    </w:div>
    <w:div w:id="868446125">
      <w:marLeft w:val="0"/>
      <w:marRight w:val="0"/>
      <w:marTop w:val="120"/>
      <w:marBottom w:val="0"/>
      <w:divBdr>
        <w:top w:val="none" w:sz="0" w:space="0" w:color="auto"/>
        <w:left w:val="none" w:sz="0" w:space="0" w:color="auto"/>
        <w:bottom w:val="none" w:sz="0" w:space="0" w:color="auto"/>
        <w:right w:val="none" w:sz="0" w:space="0" w:color="auto"/>
      </w:divBdr>
    </w:div>
    <w:div w:id="870459125">
      <w:marLeft w:val="0"/>
      <w:marRight w:val="0"/>
      <w:marTop w:val="120"/>
      <w:marBottom w:val="0"/>
      <w:divBdr>
        <w:top w:val="none" w:sz="0" w:space="0" w:color="auto"/>
        <w:left w:val="none" w:sz="0" w:space="0" w:color="auto"/>
        <w:bottom w:val="none" w:sz="0" w:space="0" w:color="auto"/>
        <w:right w:val="none" w:sz="0" w:space="0" w:color="auto"/>
      </w:divBdr>
    </w:div>
    <w:div w:id="873226919">
      <w:marLeft w:val="0"/>
      <w:marRight w:val="0"/>
      <w:marTop w:val="120"/>
      <w:marBottom w:val="0"/>
      <w:divBdr>
        <w:top w:val="none" w:sz="0" w:space="0" w:color="auto"/>
        <w:left w:val="none" w:sz="0" w:space="0" w:color="auto"/>
        <w:bottom w:val="none" w:sz="0" w:space="0" w:color="auto"/>
        <w:right w:val="none" w:sz="0" w:space="0" w:color="auto"/>
      </w:divBdr>
    </w:div>
    <w:div w:id="873352627">
      <w:marLeft w:val="0"/>
      <w:marRight w:val="0"/>
      <w:marTop w:val="120"/>
      <w:marBottom w:val="0"/>
      <w:divBdr>
        <w:top w:val="none" w:sz="0" w:space="0" w:color="auto"/>
        <w:left w:val="none" w:sz="0" w:space="0" w:color="auto"/>
        <w:bottom w:val="none" w:sz="0" w:space="0" w:color="auto"/>
        <w:right w:val="none" w:sz="0" w:space="0" w:color="auto"/>
      </w:divBdr>
    </w:div>
    <w:div w:id="874079207">
      <w:marLeft w:val="0"/>
      <w:marRight w:val="0"/>
      <w:marTop w:val="120"/>
      <w:marBottom w:val="0"/>
      <w:divBdr>
        <w:top w:val="none" w:sz="0" w:space="0" w:color="auto"/>
        <w:left w:val="none" w:sz="0" w:space="0" w:color="auto"/>
        <w:bottom w:val="none" w:sz="0" w:space="0" w:color="auto"/>
        <w:right w:val="none" w:sz="0" w:space="0" w:color="auto"/>
      </w:divBdr>
    </w:div>
    <w:div w:id="875391517">
      <w:marLeft w:val="0"/>
      <w:marRight w:val="0"/>
      <w:marTop w:val="120"/>
      <w:marBottom w:val="0"/>
      <w:divBdr>
        <w:top w:val="none" w:sz="0" w:space="0" w:color="auto"/>
        <w:left w:val="none" w:sz="0" w:space="0" w:color="auto"/>
        <w:bottom w:val="none" w:sz="0" w:space="0" w:color="auto"/>
        <w:right w:val="none" w:sz="0" w:space="0" w:color="auto"/>
      </w:divBdr>
    </w:div>
    <w:div w:id="877623689">
      <w:marLeft w:val="0"/>
      <w:marRight w:val="0"/>
      <w:marTop w:val="120"/>
      <w:marBottom w:val="0"/>
      <w:divBdr>
        <w:top w:val="none" w:sz="0" w:space="0" w:color="auto"/>
        <w:left w:val="none" w:sz="0" w:space="0" w:color="auto"/>
        <w:bottom w:val="none" w:sz="0" w:space="0" w:color="auto"/>
        <w:right w:val="none" w:sz="0" w:space="0" w:color="auto"/>
      </w:divBdr>
    </w:div>
    <w:div w:id="881676812">
      <w:marLeft w:val="0"/>
      <w:marRight w:val="0"/>
      <w:marTop w:val="120"/>
      <w:marBottom w:val="0"/>
      <w:divBdr>
        <w:top w:val="none" w:sz="0" w:space="0" w:color="auto"/>
        <w:left w:val="none" w:sz="0" w:space="0" w:color="auto"/>
        <w:bottom w:val="none" w:sz="0" w:space="0" w:color="auto"/>
        <w:right w:val="none" w:sz="0" w:space="0" w:color="auto"/>
      </w:divBdr>
    </w:div>
    <w:div w:id="885217053">
      <w:marLeft w:val="0"/>
      <w:marRight w:val="0"/>
      <w:marTop w:val="120"/>
      <w:marBottom w:val="0"/>
      <w:divBdr>
        <w:top w:val="none" w:sz="0" w:space="0" w:color="auto"/>
        <w:left w:val="none" w:sz="0" w:space="0" w:color="auto"/>
        <w:bottom w:val="none" w:sz="0" w:space="0" w:color="auto"/>
        <w:right w:val="none" w:sz="0" w:space="0" w:color="auto"/>
      </w:divBdr>
    </w:div>
    <w:div w:id="890265052">
      <w:marLeft w:val="0"/>
      <w:marRight w:val="0"/>
      <w:marTop w:val="120"/>
      <w:marBottom w:val="0"/>
      <w:divBdr>
        <w:top w:val="none" w:sz="0" w:space="0" w:color="auto"/>
        <w:left w:val="none" w:sz="0" w:space="0" w:color="auto"/>
        <w:bottom w:val="none" w:sz="0" w:space="0" w:color="auto"/>
        <w:right w:val="none" w:sz="0" w:space="0" w:color="auto"/>
      </w:divBdr>
    </w:div>
    <w:div w:id="892160631">
      <w:marLeft w:val="0"/>
      <w:marRight w:val="0"/>
      <w:marTop w:val="0"/>
      <w:marBottom w:val="0"/>
      <w:divBdr>
        <w:top w:val="none" w:sz="0" w:space="0" w:color="auto"/>
        <w:left w:val="none" w:sz="0" w:space="0" w:color="auto"/>
        <w:bottom w:val="none" w:sz="0" w:space="0" w:color="auto"/>
        <w:right w:val="none" w:sz="0" w:space="0" w:color="auto"/>
      </w:divBdr>
    </w:div>
    <w:div w:id="895050379">
      <w:marLeft w:val="0"/>
      <w:marRight w:val="0"/>
      <w:marTop w:val="0"/>
      <w:marBottom w:val="0"/>
      <w:divBdr>
        <w:top w:val="none" w:sz="0" w:space="0" w:color="auto"/>
        <w:left w:val="none" w:sz="0" w:space="0" w:color="auto"/>
        <w:bottom w:val="none" w:sz="0" w:space="0" w:color="auto"/>
        <w:right w:val="none" w:sz="0" w:space="0" w:color="auto"/>
      </w:divBdr>
      <w:divsChild>
        <w:div w:id="578442444">
          <w:marLeft w:val="0"/>
          <w:marRight w:val="0"/>
          <w:marTop w:val="0"/>
          <w:marBottom w:val="0"/>
          <w:divBdr>
            <w:top w:val="none" w:sz="0" w:space="0" w:color="auto"/>
            <w:left w:val="none" w:sz="0" w:space="0" w:color="auto"/>
            <w:bottom w:val="none" w:sz="0" w:space="0" w:color="auto"/>
            <w:right w:val="none" w:sz="0" w:space="0" w:color="auto"/>
          </w:divBdr>
        </w:div>
      </w:divsChild>
    </w:div>
    <w:div w:id="895971236">
      <w:marLeft w:val="0"/>
      <w:marRight w:val="0"/>
      <w:marTop w:val="0"/>
      <w:marBottom w:val="0"/>
      <w:divBdr>
        <w:top w:val="none" w:sz="0" w:space="0" w:color="auto"/>
        <w:left w:val="none" w:sz="0" w:space="0" w:color="auto"/>
        <w:bottom w:val="none" w:sz="0" w:space="0" w:color="auto"/>
        <w:right w:val="none" w:sz="0" w:space="0" w:color="auto"/>
      </w:divBdr>
    </w:div>
    <w:div w:id="898596290">
      <w:marLeft w:val="0"/>
      <w:marRight w:val="0"/>
      <w:marTop w:val="240"/>
      <w:marBottom w:val="0"/>
      <w:divBdr>
        <w:top w:val="none" w:sz="0" w:space="0" w:color="auto"/>
        <w:left w:val="none" w:sz="0" w:space="0" w:color="auto"/>
        <w:bottom w:val="none" w:sz="0" w:space="0" w:color="auto"/>
        <w:right w:val="none" w:sz="0" w:space="0" w:color="auto"/>
      </w:divBdr>
    </w:div>
    <w:div w:id="899441861">
      <w:marLeft w:val="0"/>
      <w:marRight w:val="0"/>
      <w:marTop w:val="120"/>
      <w:marBottom w:val="0"/>
      <w:divBdr>
        <w:top w:val="none" w:sz="0" w:space="0" w:color="auto"/>
        <w:left w:val="none" w:sz="0" w:space="0" w:color="auto"/>
        <w:bottom w:val="none" w:sz="0" w:space="0" w:color="auto"/>
        <w:right w:val="none" w:sz="0" w:space="0" w:color="auto"/>
      </w:divBdr>
    </w:div>
    <w:div w:id="903684387">
      <w:marLeft w:val="0"/>
      <w:marRight w:val="0"/>
      <w:marTop w:val="0"/>
      <w:marBottom w:val="0"/>
      <w:divBdr>
        <w:top w:val="none" w:sz="0" w:space="0" w:color="auto"/>
        <w:left w:val="none" w:sz="0" w:space="0" w:color="auto"/>
        <w:bottom w:val="none" w:sz="0" w:space="0" w:color="auto"/>
        <w:right w:val="none" w:sz="0" w:space="0" w:color="auto"/>
      </w:divBdr>
    </w:div>
    <w:div w:id="903835501">
      <w:marLeft w:val="0"/>
      <w:marRight w:val="0"/>
      <w:marTop w:val="120"/>
      <w:marBottom w:val="0"/>
      <w:divBdr>
        <w:top w:val="none" w:sz="0" w:space="0" w:color="auto"/>
        <w:left w:val="none" w:sz="0" w:space="0" w:color="auto"/>
        <w:bottom w:val="none" w:sz="0" w:space="0" w:color="auto"/>
        <w:right w:val="none" w:sz="0" w:space="0" w:color="auto"/>
      </w:divBdr>
    </w:div>
    <w:div w:id="904874055">
      <w:marLeft w:val="0"/>
      <w:marRight w:val="0"/>
      <w:marTop w:val="180"/>
      <w:marBottom w:val="0"/>
      <w:divBdr>
        <w:top w:val="none" w:sz="0" w:space="0" w:color="auto"/>
        <w:left w:val="none" w:sz="0" w:space="0" w:color="auto"/>
        <w:bottom w:val="none" w:sz="0" w:space="0" w:color="auto"/>
        <w:right w:val="none" w:sz="0" w:space="0" w:color="auto"/>
      </w:divBdr>
    </w:div>
    <w:div w:id="905452476">
      <w:marLeft w:val="0"/>
      <w:marRight w:val="0"/>
      <w:marTop w:val="120"/>
      <w:marBottom w:val="0"/>
      <w:divBdr>
        <w:top w:val="none" w:sz="0" w:space="0" w:color="auto"/>
        <w:left w:val="none" w:sz="0" w:space="0" w:color="auto"/>
        <w:bottom w:val="none" w:sz="0" w:space="0" w:color="auto"/>
        <w:right w:val="none" w:sz="0" w:space="0" w:color="auto"/>
      </w:divBdr>
    </w:div>
    <w:div w:id="905460440">
      <w:marLeft w:val="0"/>
      <w:marRight w:val="0"/>
      <w:marTop w:val="120"/>
      <w:marBottom w:val="0"/>
      <w:divBdr>
        <w:top w:val="none" w:sz="0" w:space="0" w:color="auto"/>
        <w:left w:val="none" w:sz="0" w:space="0" w:color="auto"/>
        <w:bottom w:val="none" w:sz="0" w:space="0" w:color="auto"/>
        <w:right w:val="none" w:sz="0" w:space="0" w:color="auto"/>
      </w:divBdr>
    </w:div>
    <w:div w:id="908225918">
      <w:marLeft w:val="0"/>
      <w:marRight w:val="0"/>
      <w:marTop w:val="120"/>
      <w:marBottom w:val="0"/>
      <w:divBdr>
        <w:top w:val="none" w:sz="0" w:space="0" w:color="auto"/>
        <w:left w:val="none" w:sz="0" w:space="0" w:color="auto"/>
        <w:bottom w:val="none" w:sz="0" w:space="0" w:color="auto"/>
        <w:right w:val="none" w:sz="0" w:space="0" w:color="auto"/>
      </w:divBdr>
    </w:div>
    <w:div w:id="908227381">
      <w:marLeft w:val="0"/>
      <w:marRight w:val="0"/>
      <w:marTop w:val="120"/>
      <w:marBottom w:val="0"/>
      <w:divBdr>
        <w:top w:val="none" w:sz="0" w:space="0" w:color="auto"/>
        <w:left w:val="none" w:sz="0" w:space="0" w:color="auto"/>
        <w:bottom w:val="none" w:sz="0" w:space="0" w:color="auto"/>
        <w:right w:val="none" w:sz="0" w:space="0" w:color="auto"/>
      </w:divBdr>
    </w:div>
    <w:div w:id="909463259">
      <w:marLeft w:val="0"/>
      <w:marRight w:val="0"/>
      <w:marTop w:val="120"/>
      <w:marBottom w:val="0"/>
      <w:divBdr>
        <w:top w:val="none" w:sz="0" w:space="0" w:color="auto"/>
        <w:left w:val="none" w:sz="0" w:space="0" w:color="auto"/>
        <w:bottom w:val="none" w:sz="0" w:space="0" w:color="auto"/>
        <w:right w:val="none" w:sz="0" w:space="0" w:color="auto"/>
      </w:divBdr>
    </w:div>
    <w:div w:id="909535616">
      <w:marLeft w:val="0"/>
      <w:marRight w:val="0"/>
      <w:marTop w:val="120"/>
      <w:marBottom w:val="0"/>
      <w:divBdr>
        <w:top w:val="none" w:sz="0" w:space="0" w:color="auto"/>
        <w:left w:val="none" w:sz="0" w:space="0" w:color="auto"/>
        <w:bottom w:val="none" w:sz="0" w:space="0" w:color="auto"/>
        <w:right w:val="none" w:sz="0" w:space="0" w:color="auto"/>
      </w:divBdr>
    </w:div>
    <w:div w:id="910238249">
      <w:marLeft w:val="0"/>
      <w:marRight w:val="0"/>
      <w:marTop w:val="0"/>
      <w:marBottom w:val="0"/>
      <w:divBdr>
        <w:top w:val="none" w:sz="0" w:space="0" w:color="auto"/>
        <w:left w:val="none" w:sz="0" w:space="0" w:color="auto"/>
        <w:bottom w:val="none" w:sz="0" w:space="0" w:color="auto"/>
        <w:right w:val="none" w:sz="0" w:space="0" w:color="auto"/>
      </w:divBdr>
      <w:divsChild>
        <w:div w:id="75908813">
          <w:marLeft w:val="0"/>
          <w:marRight w:val="0"/>
          <w:marTop w:val="0"/>
          <w:marBottom w:val="0"/>
          <w:divBdr>
            <w:top w:val="none" w:sz="0" w:space="0" w:color="auto"/>
            <w:left w:val="none" w:sz="0" w:space="0" w:color="auto"/>
            <w:bottom w:val="none" w:sz="0" w:space="0" w:color="auto"/>
            <w:right w:val="none" w:sz="0" w:space="0" w:color="auto"/>
          </w:divBdr>
        </w:div>
      </w:divsChild>
    </w:div>
    <w:div w:id="912204443">
      <w:marLeft w:val="0"/>
      <w:marRight w:val="0"/>
      <w:marTop w:val="0"/>
      <w:marBottom w:val="60"/>
      <w:divBdr>
        <w:top w:val="none" w:sz="0" w:space="0" w:color="auto"/>
        <w:left w:val="none" w:sz="0" w:space="0" w:color="auto"/>
        <w:bottom w:val="none" w:sz="0" w:space="0" w:color="auto"/>
        <w:right w:val="none" w:sz="0" w:space="0" w:color="auto"/>
      </w:divBdr>
    </w:div>
    <w:div w:id="914435580">
      <w:marLeft w:val="0"/>
      <w:marRight w:val="0"/>
      <w:marTop w:val="0"/>
      <w:marBottom w:val="0"/>
      <w:divBdr>
        <w:top w:val="none" w:sz="0" w:space="0" w:color="auto"/>
        <w:left w:val="none" w:sz="0" w:space="0" w:color="auto"/>
        <w:bottom w:val="none" w:sz="0" w:space="0" w:color="auto"/>
        <w:right w:val="none" w:sz="0" w:space="0" w:color="auto"/>
      </w:divBdr>
    </w:div>
    <w:div w:id="916399799">
      <w:marLeft w:val="0"/>
      <w:marRight w:val="0"/>
      <w:marTop w:val="0"/>
      <w:marBottom w:val="120"/>
      <w:divBdr>
        <w:top w:val="none" w:sz="0" w:space="0" w:color="auto"/>
        <w:left w:val="none" w:sz="0" w:space="0" w:color="auto"/>
        <w:bottom w:val="none" w:sz="0" w:space="0" w:color="auto"/>
        <w:right w:val="none" w:sz="0" w:space="0" w:color="auto"/>
      </w:divBdr>
    </w:div>
    <w:div w:id="916479527">
      <w:marLeft w:val="0"/>
      <w:marRight w:val="0"/>
      <w:marTop w:val="0"/>
      <w:marBottom w:val="0"/>
      <w:divBdr>
        <w:top w:val="none" w:sz="0" w:space="0" w:color="auto"/>
        <w:left w:val="none" w:sz="0" w:space="0" w:color="auto"/>
        <w:bottom w:val="none" w:sz="0" w:space="0" w:color="auto"/>
        <w:right w:val="none" w:sz="0" w:space="0" w:color="auto"/>
      </w:divBdr>
    </w:div>
    <w:div w:id="917326247">
      <w:marLeft w:val="0"/>
      <w:marRight w:val="0"/>
      <w:marTop w:val="120"/>
      <w:marBottom w:val="0"/>
      <w:divBdr>
        <w:top w:val="none" w:sz="0" w:space="0" w:color="auto"/>
        <w:left w:val="none" w:sz="0" w:space="0" w:color="auto"/>
        <w:bottom w:val="none" w:sz="0" w:space="0" w:color="auto"/>
        <w:right w:val="none" w:sz="0" w:space="0" w:color="auto"/>
      </w:divBdr>
    </w:div>
    <w:div w:id="917398673">
      <w:marLeft w:val="0"/>
      <w:marRight w:val="0"/>
      <w:marTop w:val="0"/>
      <w:marBottom w:val="0"/>
      <w:divBdr>
        <w:top w:val="none" w:sz="0" w:space="0" w:color="auto"/>
        <w:left w:val="none" w:sz="0" w:space="0" w:color="auto"/>
        <w:bottom w:val="none" w:sz="0" w:space="0" w:color="auto"/>
        <w:right w:val="none" w:sz="0" w:space="0" w:color="auto"/>
      </w:divBdr>
    </w:div>
    <w:div w:id="917440249">
      <w:marLeft w:val="0"/>
      <w:marRight w:val="0"/>
      <w:marTop w:val="120"/>
      <w:marBottom w:val="0"/>
      <w:divBdr>
        <w:top w:val="none" w:sz="0" w:space="0" w:color="auto"/>
        <w:left w:val="none" w:sz="0" w:space="0" w:color="auto"/>
        <w:bottom w:val="none" w:sz="0" w:space="0" w:color="auto"/>
        <w:right w:val="none" w:sz="0" w:space="0" w:color="auto"/>
      </w:divBdr>
    </w:div>
    <w:div w:id="919749274">
      <w:marLeft w:val="0"/>
      <w:marRight w:val="0"/>
      <w:marTop w:val="120"/>
      <w:marBottom w:val="0"/>
      <w:divBdr>
        <w:top w:val="none" w:sz="0" w:space="0" w:color="auto"/>
        <w:left w:val="none" w:sz="0" w:space="0" w:color="auto"/>
        <w:bottom w:val="none" w:sz="0" w:space="0" w:color="auto"/>
        <w:right w:val="none" w:sz="0" w:space="0" w:color="auto"/>
      </w:divBdr>
    </w:div>
    <w:div w:id="920329157">
      <w:marLeft w:val="0"/>
      <w:marRight w:val="0"/>
      <w:marTop w:val="120"/>
      <w:marBottom w:val="0"/>
      <w:divBdr>
        <w:top w:val="none" w:sz="0" w:space="0" w:color="auto"/>
        <w:left w:val="none" w:sz="0" w:space="0" w:color="auto"/>
        <w:bottom w:val="none" w:sz="0" w:space="0" w:color="auto"/>
        <w:right w:val="none" w:sz="0" w:space="0" w:color="auto"/>
      </w:divBdr>
    </w:div>
    <w:div w:id="920523501">
      <w:marLeft w:val="0"/>
      <w:marRight w:val="0"/>
      <w:marTop w:val="120"/>
      <w:marBottom w:val="0"/>
      <w:divBdr>
        <w:top w:val="none" w:sz="0" w:space="0" w:color="auto"/>
        <w:left w:val="none" w:sz="0" w:space="0" w:color="auto"/>
        <w:bottom w:val="none" w:sz="0" w:space="0" w:color="auto"/>
        <w:right w:val="none" w:sz="0" w:space="0" w:color="auto"/>
      </w:divBdr>
    </w:div>
    <w:div w:id="920601609">
      <w:marLeft w:val="0"/>
      <w:marRight w:val="0"/>
      <w:marTop w:val="120"/>
      <w:marBottom w:val="0"/>
      <w:divBdr>
        <w:top w:val="none" w:sz="0" w:space="0" w:color="auto"/>
        <w:left w:val="none" w:sz="0" w:space="0" w:color="auto"/>
        <w:bottom w:val="none" w:sz="0" w:space="0" w:color="auto"/>
        <w:right w:val="none" w:sz="0" w:space="0" w:color="auto"/>
      </w:divBdr>
    </w:div>
    <w:div w:id="920870519">
      <w:marLeft w:val="0"/>
      <w:marRight w:val="0"/>
      <w:marTop w:val="120"/>
      <w:marBottom w:val="0"/>
      <w:divBdr>
        <w:top w:val="none" w:sz="0" w:space="0" w:color="auto"/>
        <w:left w:val="none" w:sz="0" w:space="0" w:color="auto"/>
        <w:bottom w:val="none" w:sz="0" w:space="0" w:color="auto"/>
        <w:right w:val="none" w:sz="0" w:space="0" w:color="auto"/>
      </w:divBdr>
    </w:div>
    <w:div w:id="923031928">
      <w:marLeft w:val="0"/>
      <w:marRight w:val="0"/>
      <w:marTop w:val="0"/>
      <w:marBottom w:val="0"/>
      <w:divBdr>
        <w:top w:val="none" w:sz="0" w:space="0" w:color="auto"/>
        <w:left w:val="none" w:sz="0" w:space="0" w:color="auto"/>
        <w:bottom w:val="none" w:sz="0" w:space="0" w:color="auto"/>
        <w:right w:val="none" w:sz="0" w:space="0" w:color="auto"/>
      </w:divBdr>
      <w:divsChild>
        <w:div w:id="264920822">
          <w:marLeft w:val="0"/>
          <w:marRight w:val="0"/>
          <w:marTop w:val="0"/>
          <w:marBottom w:val="0"/>
          <w:divBdr>
            <w:top w:val="none" w:sz="0" w:space="0" w:color="auto"/>
            <w:left w:val="none" w:sz="0" w:space="0" w:color="auto"/>
            <w:bottom w:val="none" w:sz="0" w:space="0" w:color="auto"/>
            <w:right w:val="none" w:sz="0" w:space="0" w:color="auto"/>
          </w:divBdr>
        </w:div>
      </w:divsChild>
    </w:div>
    <w:div w:id="926842400">
      <w:marLeft w:val="0"/>
      <w:marRight w:val="0"/>
      <w:marTop w:val="0"/>
      <w:marBottom w:val="0"/>
      <w:divBdr>
        <w:top w:val="none" w:sz="0" w:space="0" w:color="auto"/>
        <w:left w:val="none" w:sz="0" w:space="0" w:color="auto"/>
        <w:bottom w:val="none" w:sz="0" w:space="0" w:color="auto"/>
        <w:right w:val="none" w:sz="0" w:space="0" w:color="auto"/>
      </w:divBdr>
    </w:div>
    <w:div w:id="927956661">
      <w:marLeft w:val="0"/>
      <w:marRight w:val="0"/>
      <w:marTop w:val="120"/>
      <w:marBottom w:val="0"/>
      <w:divBdr>
        <w:top w:val="none" w:sz="0" w:space="0" w:color="auto"/>
        <w:left w:val="none" w:sz="0" w:space="0" w:color="auto"/>
        <w:bottom w:val="none" w:sz="0" w:space="0" w:color="auto"/>
        <w:right w:val="none" w:sz="0" w:space="0" w:color="auto"/>
      </w:divBdr>
    </w:div>
    <w:div w:id="928536260">
      <w:marLeft w:val="0"/>
      <w:marRight w:val="0"/>
      <w:marTop w:val="0"/>
      <w:marBottom w:val="0"/>
      <w:divBdr>
        <w:top w:val="none" w:sz="0" w:space="0" w:color="auto"/>
        <w:left w:val="none" w:sz="0" w:space="0" w:color="auto"/>
        <w:bottom w:val="none" w:sz="0" w:space="0" w:color="auto"/>
        <w:right w:val="none" w:sz="0" w:space="0" w:color="auto"/>
      </w:divBdr>
    </w:div>
    <w:div w:id="928583622">
      <w:marLeft w:val="0"/>
      <w:marRight w:val="0"/>
      <w:marTop w:val="0"/>
      <w:marBottom w:val="0"/>
      <w:divBdr>
        <w:top w:val="none" w:sz="0" w:space="0" w:color="auto"/>
        <w:left w:val="none" w:sz="0" w:space="0" w:color="auto"/>
        <w:bottom w:val="none" w:sz="0" w:space="0" w:color="auto"/>
        <w:right w:val="none" w:sz="0" w:space="0" w:color="auto"/>
      </w:divBdr>
      <w:divsChild>
        <w:div w:id="352460730">
          <w:marLeft w:val="0"/>
          <w:marRight w:val="0"/>
          <w:marTop w:val="0"/>
          <w:marBottom w:val="0"/>
          <w:divBdr>
            <w:top w:val="none" w:sz="0" w:space="0" w:color="auto"/>
            <w:left w:val="none" w:sz="0" w:space="0" w:color="auto"/>
            <w:bottom w:val="none" w:sz="0" w:space="0" w:color="auto"/>
            <w:right w:val="none" w:sz="0" w:space="0" w:color="auto"/>
          </w:divBdr>
        </w:div>
      </w:divsChild>
    </w:div>
    <w:div w:id="928660948">
      <w:marLeft w:val="0"/>
      <w:marRight w:val="0"/>
      <w:marTop w:val="0"/>
      <w:marBottom w:val="120"/>
      <w:divBdr>
        <w:top w:val="none" w:sz="0" w:space="0" w:color="auto"/>
        <w:left w:val="none" w:sz="0" w:space="0" w:color="auto"/>
        <w:bottom w:val="none" w:sz="0" w:space="0" w:color="auto"/>
        <w:right w:val="none" w:sz="0" w:space="0" w:color="auto"/>
      </w:divBdr>
    </w:div>
    <w:div w:id="929392922">
      <w:marLeft w:val="0"/>
      <w:marRight w:val="0"/>
      <w:marTop w:val="180"/>
      <w:marBottom w:val="0"/>
      <w:divBdr>
        <w:top w:val="none" w:sz="0" w:space="0" w:color="auto"/>
        <w:left w:val="none" w:sz="0" w:space="0" w:color="auto"/>
        <w:bottom w:val="none" w:sz="0" w:space="0" w:color="auto"/>
        <w:right w:val="none" w:sz="0" w:space="0" w:color="auto"/>
      </w:divBdr>
    </w:div>
    <w:div w:id="930044266">
      <w:marLeft w:val="0"/>
      <w:marRight w:val="0"/>
      <w:marTop w:val="0"/>
      <w:marBottom w:val="0"/>
      <w:divBdr>
        <w:top w:val="none" w:sz="0" w:space="0" w:color="auto"/>
        <w:left w:val="none" w:sz="0" w:space="0" w:color="auto"/>
        <w:bottom w:val="none" w:sz="0" w:space="0" w:color="auto"/>
        <w:right w:val="none" w:sz="0" w:space="0" w:color="auto"/>
      </w:divBdr>
    </w:div>
    <w:div w:id="930629356">
      <w:marLeft w:val="0"/>
      <w:marRight w:val="0"/>
      <w:marTop w:val="120"/>
      <w:marBottom w:val="0"/>
      <w:divBdr>
        <w:top w:val="none" w:sz="0" w:space="0" w:color="auto"/>
        <w:left w:val="none" w:sz="0" w:space="0" w:color="auto"/>
        <w:bottom w:val="none" w:sz="0" w:space="0" w:color="auto"/>
        <w:right w:val="none" w:sz="0" w:space="0" w:color="auto"/>
      </w:divBdr>
    </w:div>
    <w:div w:id="931086611">
      <w:marLeft w:val="0"/>
      <w:marRight w:val="0"/>
      <w:marTop w:val="120"/>
      <w:marBottom w:val="0"/>
      <w:divBdr>
        <w:top w:val="none" w:sz="0" w:space="0" w:color="auto"/>
        <w:left w:val="none" w:sz="0" w:space="0" w:color="auto"/>
        <w:bottom w:val="none" w:sz="0" w:space="0" w:color="auto"/>
        <w:right w:val="none" w:sz="0" w:space="0" w:color="auto"/>
      </w:divBdr>
    </w:div>
    <w:div w:id="931546778">
      <w:marLeft w:val="0"/>
      <w:marRight w:val="0"/>
      <w:marTop w:val="0"/>
      <w:marBottom w:val="0"/>
      <w:divBdr>
        <w:top w:val="none" w:sz="0" w:space="0" w:color="auto"/>
        <w:left w:val="none" w:sz="0" w:space="0" w:color="auto"/>
        <w:bottom w:val="none" w:sz="0" w:space="0" w:color="auto"/>
        <w:right w:val="none" w:sz="0" w:space="0" w:color="auto"/>
      </w:divBdr>
      <w:divsChild>
        <w:div w:id="338506040">
          <w:marLeft w:val="0"/>
          <w:marRight w:val="0"/>
          <w:marTop w:val="0"/>
          <w:marBottom w:val="0"/>
          <w:divBdr>
            <w:top w:val="none" w:sz="0" w:space="0" w:color="auto"/>
            <w:left w:val="none" w:sz="0" w:space="0" w:color="auto"/>
            <w:bottom w:val="none" w:sz="0" w:space="0" w:color="auto"/>
            <w:right w:val="none" w:sz="0" w:space="0" w:color="auto"/>
          </w:divBdr>
        </w:div>
      </w:divsChild>
    </w:div>
    <w:div w:id="931663710">
      <w:marLeft w:val="0"/>
      <w:marRight w:val="0"/>
      <w:marTop w:val="0"/>
      <w:marBottom w:val="0"/>
      <w:divBdr>
        <w:top w:val="none" w:sz="0" w:space="0" w:color="auto"/>
        <w:left w:val="none" w:sz="0" w:space="0" w:color="auto"/>
        <w:bottom w:val="none" w:sz="0" w:space="0" w:color="auto"/>
        <w:right w:val="none" w:sz="0" w:space="0" w:color="auto"/>
      </w:divBdr>
      <w:divsChild>
        <w:div w:id="859513856">
          <w:marLeft w:val="0"/>
          <w:marRight w:val="0"/>
          <w:marTop w:val="0"/>
          <w:marBottom w:val="0"/>
          <w:divBdr>
            <w:top w:val="none" w:sz="0" w:space="0" w:color="auto"/>
            <w:left w:val="none" w:sz="0" w:space="0" w:color="auto"/>
            <w:bottom w:val="none" w:sz="0" w:space="0" w:color="auto"/>
            <w:right w:val="none" w:sz="0" w:space="0" w:color="auto"/>
          </w:divBdr>
        </w:div>
      </w:divsChild>
    </w:div>
    <w:div w:id="933589132">
      <w:marLeft w:val="0"/>
      <w:marRight w:val="0"/>
      <w:marTop w:val="120"/>
      <w:marBottom w:val="0"/>
      <w:divBdr>
        <w:top w:val="none" w:sz="0" w:space="0" w:color="auto"/>
        <w:left w:val="none" w:sz="0" w:space="0" w:color="auto"/>
        <w:bottom w:val="none" w:sz="0" w:space="0" w:color="auto"/>
        <w:right w:val="none" w:sz="0" w:space="0" w:color="auto"/>
      </w:divBdr>
    </w:div>
    <w:div w:id="933855085">
      <w:marLeft w:val="0"/>
      <w:marRight w:val="0"/>
      <w:marTop w:val="120"/>
      <w:marBottom w:val="0"/>
      <w:divBdr>
        <w:top w:val="none" w:sz="0" w:space="0" w:color="auto"/>
        <w:left w:val="none" w:sz="0" w:space="0" w:color="auto"/>
        <w:bottom w:val="none" w:sz="0" w:space="0" w:color="auto"/>
        <w:right w:val="none" w:sz="0" w:space="0" w:color="auto"/>
      </w:divBdr>
    </w:div>
    <w:div w:id="935863233">
      <w:marLeft w:val="0"/>
      <w:marRight w:val="0"/>
      <w:marTop w:val="0"/>
      <w:marBottom w:val="0"/>
      <w:divBdr>
        <w:top w:val="none" w:sz="0" w:space="0" w:color="auto"/>
        <w:left w:val="none" w:sz="0" w:space="0" w:color="auto"/>
        <w:bottom w:val="none" w:sz="0" w:space="0" w:color="auto"/>
        <w:right w:val="none" w:sz="0" w:space="0" w:color="auto"/>
      </w:divBdr>
      <w:divsChild>
        <w:div w:id="907764844">
          <w:marLeft w:val="0"/>
          <w:marRight w:val="0"/>
          <w:marTop w:val="0"/>
          <w:marBottom w:val="0"/>
          <w:divBdr>
            <w:top w:val="none" w:sz="0" w:space="0" w:color="auto"/>
            <w:left w:val="none" w:sz="0" w:space="0" w:color="auto"/>
            <w:bottom w:val="none" w:sz="0" w:space="0" w:color="auto"/>
            <w:right w:val="none" w:sz="0" w:space="0" w:color="auto"/>
          </w:divBdr>
        </w:div>
      </w:divsChild>
    </w:div>
    <w:div w:id="936600712">
      <w:marLeft w:val="0"/>
      <w:marRight w:val="0"/>
      <w:marTop w:val="120"/>
      <w:marBottom w:val="0"/>
      <w:divBdr>
        <w:top w:val="none" w:sz="0" w:space="0" w:color="auto"/>
        <w:left w:val="none" w:sz="0" w:space="0" w:color="auto"/>
        <w:bottom w:val="none" w:sz="0" w:space="0" w:color="auto"/>
        <w:right w:val="none" w:sz="0" w:space="0" w:color="auto"/>
      </w:divBdr>
    </w:div>
    <w:div w:id="937325398">
      <w:marLeft w:val="0"/>
      <w:marRight w:val="0"/>
      <w:marTop w:val="120"/>
      <w:marBottom w:val="0"/>
      <w:divBdr>
        <w:top w:val="none" w:sz="0" w:space="0" w:color="auto"/>
        <w:left w:val="none" w:sz="0" w:space="0" w:color="auto"/>
        <w:bottom w:val="none" w:sz="0" w:space="0" w:color="auto"/>
        <w:right w:val="none" w:sz="0" w:space="0" w:color="auto"/>
      </w:divBdr>
    </w:div>
    <w:div w:id="938173726">
      <w:marLeft w:val="0"/>
      <w:marRight w:val="0"/>
      <w:marTop w:val="0"/>
      <w:marBottom w:val="0"/>
      <w:divBdr>
        <w:top w:val="none" w:sz="0" w:space="0" w:color="auto"/>
        <w:left w:val="none" w:sz="0" w:space="0" w:color="auto"/>
        <w:bottom w:val="none" w:sz="0" w:space="0" w:color="auto"/>
        <w:right w:val="none" w:sz="0" w:space="0" w:color="auto"/>
      </w:divBdr>
    </w:div>
    <w:div w:id="938492235">
      <w:marLeft w:val="0"/>
      <w:marRight w:val="0"/>
      <w:marTop w:val="120"/>
      <w:marBottom w:val="0"/>
      <w:divBdr>
        <w:top w:val="none" w:sz="0" w:space="0" w:color="auto"/>
        <w:left w:val="none" w:sz="0" w:space="0" w:color="auto"/>
        <w:bottom w:val="none" w:sz="0" w:space="0" w:color="auto"/>
        <w:right w:val="none" w:sz="0" w:space="0" w:color="auto"/>
      </w:divBdr>
    </w:div>
    <w:div w:id="938559276">
      <w:marLeft w:val="0"/>
      <w:marRight w:val="0"/>
      <w:marTop w:val="0"/>
      <w:marBottom w:val="0"/>
      <w:divBdr>
        <w:top w:val="none" w:sz="0" w:space="0" w:color="auto"/>
        <w:left w:val="none" w:sz="0" w:space="0" w:color="auto"/>
        <w:bottom w:val="none" w:sz="0" w:space="0" w:color="auto"/>
        <w:right w:val="none" w:sz="0" w:space="0" w:color="auto"/>
      </w:divBdr>
      <w:divsChild>
        <w:div w:id="157313163">
          <w:marLeft w:val="0"/>
          <w:marRight w:val="0"/>
          <w:marTop w:val="0"/>
          <w:marBottom w:val="0"/>
          <w:divBdr>
            <w:top w:val="none" w:sz="0" w:space="0" w:color="auto"/>
            <w:left w:val="none" w:sz="0" w:space="0" w:color="auto"/>
            <w:bottom w:val="none" w:sz="0" w:space="0" w:color="auto"/>
            <w:right w:val="none" w:sz="0" w:space="0" w:color="auto"/>
          </w:divBdr>
        </w:div>
      </w:divsChild>
    </w:div>
    <w:div w:id="943459459">
      <w:marLeft w:val="0"/>
      <w:marRight w:val="0"/>
      <w:marTop w:val="120"/>
      <w:marBottom w:val="0"/>
      <w:divBdr>
        <w:top w:val="none" w:sz="0" w:space="0" w:color="auto"/>
        <w:left w:val="none" w:sz="0" w:space="0" w:color="auto"/>
        <w:bottom w:val="none" w:sz="0" w:space="0" w:color="auto"/>
        <w:right w:val="none" w:sz="0" w:space="0" w:color="auto"/>
      </w:divBdr>
    </w:div>
    <w:div w:id="943735111">
      <w:marLeft w:val="0"/>
      <w:marRight w:val="0"/>
      <w:marTop w:val="0"/>
      <w:marBottom w:val="0"/>
      <w:divBdr>
        <w:top w:val="none" w:sz="0" w:space="0" w:color="auto"/>
        <w:left w:val="none" w:sz="0" w:space="0" w:color="auto"/>
        <w:bottom w:val="none" w:sz="0" w:space="0" w:color="auto"/>
        <w:right w:val="none" w:sz="0" w:space="0" w:color="auto"/>
      </w:divBdr>
    </w:div>
    <w:div w:id="945575521">
      <w:marLeft w:val="0"/>
      <w:marRight w:val="0"/>
      <w:marTop w:val="0"/>
      <w:marBottom w:val="0"/>
      <w:divBdr>
        <w:top w:val="none" w:sz="0" w:space="0" w:color="auto"/>
        <w:left w:val="none" w:sz="0" w:space="0" w:color="auto"/>
        <w:bottom w:val="none" w:sz="0" w:space="0" w:color="auto"/>
        <w:right w:val="none" w:sz="0" w:space="0" w:color="auto"/>
      </w:divBdr>
    </w:div>
    <w:div w:id="945817451">
      <w:marLeft w:val="0"/>
      <w:marRight w:val="0"/>
      <w:marTop w:val="0"/>
      <w:marBottom w:val="0"/>
      <w:divBdr>
        <w:top w:val="none" w:sz="0" w:space="0" w:color="auto"/>
        <w:left w:val="none" w:sz="0" w:space="0" w:color="auto"/>
        <w:bottom w:val="none" w:sz="0" w:space="0" w:color="auto"/>
        <w:right w:val="none" w:sz="0" w:space="0" w:color="auto"/>
      </w:divBdr>
      <w:divsChild>
        <w:div w:id="1079060010">
          <w:marLeft w:val="0"/>
          <w:marRight w:val="0"/>
          <w:marTop w:val="0"/>
          <w:marBottom w:val="0"/>
          <w:divBdr>
            <w:top w:val="none" w:sz="0" w:space="0" w:color="auto"/>
            <w:left w:val="none" w:sz="0" w:space="0" w:color="auto"/>
            <w:bottom w:val="none" w:sz="0" w:space="0" w:color="auto"/>
            <w:right w:val="none" w:sz="0" w:space="0" w:color="auto"/>
          </w:divBdr>
        </w:div>
      </w:divsChild>
    </w:div>
    <w:div w:id="945890840">
      <w:marLeft w:val="0"/>
      <w:marRight w:val="0"/>
      <w:marTop w:val="0"/>
      <w:marBottom w:val="120"/>
      <w:divBdr>
        <w:top w:val="none" w:sz="0" w:space="0" w:color="auto"/>
        <w:left w:val="none" w:sz="0" w:space="0" w:color="auto"/>
        <w:bottom w:val="none" w:sz="0" w:space="0" w:color="auto"/>
        <w:right w:val="none" w:sz="0" w:space="0" w:color="auto"/>
      </w:divBdr>
      <w:divsChild>
        <w:div w:id="322587416">
          <w:marLeft w:val="0"/>
          <w:marRight w:val="0"/>
          <w:marTop w:val="0"/>
          <w:marBottom w:val="0"/>
          <w:divBdr>
            <w:top w:val="none" w:sz="0" w:space="0" w:color="auto"/>
            <w:left w:val="none" w:sz="0" w:space="0" w:color="auto"/>
            <w:bottom w:val="none" w:sz="0" w:space="0" w:color="auto"/>
            <w:right w:val="none" w:sz="0" w:space="0" w:color="auto"/>
          </w:divBdr>
        </w:div>
        <w:div w:id="2027754913">
          <w:marLeft w:val="0"/>
          <w:marRight w:val="0"/>
          <w:marTop w:val="0"/>
          <w:marBottom w:val="0"/>
          <w:divBdr>
            <w:top w:val="none" w:sz="0" w:space="0" w:color="auto"/>
            <w:left w:val="none" w:sz="0" w:space="0" w:color="auto"/>
            <w:bottom w:val="none" w:sz="0" w:space="0" w:color="auto"/>
            <w:right w:val="none" w:sz="0" w:space="0" w:color="auto"/>
          </w:divBdr>
        </w:div>
        <w:div w:id="1544488728">
          <w:marLeft w:val="0"/>
          <w:marRight w:val="0"/>
          <w:marTop w:val="0"/>
          <w:marBottom w:val="0"/>
          <w:divBdr>
            <w:top w:val="none" w:sz="0" w:space="0" w:color="auto"/>
            <w:left w:val="none" w:sz="0" w:space="0" w:color="auto"/>
            <w:bottom w:val="none" w:sz="0" w:space="0" w:color="auto"/>
            <w:right w:val="none" w:sz="0" w:space="0" w:color="auto"/>
          </w:divBdr>
        </w:div>
        <w:div w:id="734008403">
          <w:marLeft w:val="0"/>
          <w:marRight w:val="0"/>
          <w:marTop w:val="0"/>
          <w:marBottom w:val="0"/>
          <w:divBdr>
            <w:top w:val="none" w:sz="0" w:space="0" w:color="auto"/>
            <w:left w:val="none" w:sz="0" w:space="0" w:color="auto"/>
            <w:bottom w:val="none" w:sz="0" w:space="0" w:color="auto"/>
            <w:right w:val="none" w:sz="0" w:space="0" w:color="auto"/>
          </w:divBdr>
        </w:div>
        <w:div w:id="1206916172">
          <w:marLeft w:val="0"/>
          <w:marRight w:val="0"/>
          <w:marTop w:val="0"/>
          <w:marBottom w:val="0"/>
          <w:divBdr>
            <w:top w:val="none" w:sz="0" w:space="0" w:color="auto"/>
            <w:left w:val="none" w:sz="0" w:space="0" w:color="auto"/>
            <w:bottom w:val="none" w:sz="0" w:space="0" w:color="auto"/>
            <w:right w:val="none" w:sz="0" w:space="0" w:color="auto"/>
          </w:divBdr>
        </w:div>
        <w:div w:id="788208897">
          <w:marLeft w:val="0"/>
          <w:marRight w:val="0"/>
          <w:marTop w:val="0"/>
          <w:marBottom w:val="0"/>
          <w:divBdr>
            <w:top w:val="none" w:sz="0" w:space="0" w:color="auto"/>
            <w:left w:val="none" w:sz="0" w:space="0" w:color="auto"/>
            <w:bottom w:val="none" w:sz="0" w:space="0" w:color="auto"/>
            <w:right w:val="none" w:sz="0" w:space="0" w:color="auto"/>
          </w:divBdr>
        </w:div>
      </w:divsChild>
    </w:div>
    <w:div w:id="946159372">
      <w:marLeft w:val="0"/>
      <w:marRight w:val="0"/>
      <w:marTop w:val="120"/>
      <w:marBottom w:val="0"/>
      <w:divBdr>
        <w:top w:val="none" w:sz="0" w:space="0" w:color="auto"/>
        <w:left w:val="none" w:sz="0" w:space="0" w:color="auto"/>
        <w:bottom w:val="none" w:sz="0" w:space="0" w:color="auto"/>
        <w:right w:val="none" w:sz="0" w:space="0" w:color="auto"/>
      </w:divBdr>
    </w:div>
    <w:div w:id="946427768">
      <w:marLeft w:val="0"/>
      <w:marRight w:val="0"/>
      <w:marTop w:val="120"/>
      <w:marBottom w:val="0"/>
      <w:divBdr>
        <w:top w:val="none" w:sz="0" w:space="0" w:color="auto"/>
        <w:left w:val="none" w:sz="0" w:space="0" w:color="auto"/>
        <w:bottom w:val="none" w:sz="0" w:space="0" w:color="auto"/>
        <w:right w:val="none" w:sz="0" w:space="0" w:color="auto"/>
      </w:divBdr>
    </w:div>
    <w:div w:id="946696630">
      <w:marLeft w:val="0"/>
      <w:marRight w:val="0"/>
      <w:marTop w:val="120"/>
      <w:marBottom w:val="0"/>
      <w:divBdr>
        <w:top w:val="none" w:sz="0" w:space="0" w:color="auto"/>
        <w:left w:val="none" w:sz="0" w:space="0" w:color="auto"/>
        <w:bottom w:val="none" w:sz="0" w:space="0" w:color="auto"/>
        <w:right w:val="none" w:sz="0" w:space="0" w:color="auto"/>
      </w:divBdr>
    </w:div>
    <w:div w:id="946884531">
      <w:marLeft w:val="0"/>
      <w:marRight w:val="0"/>
      <w:marTop w:val="120"/>
      <w:marBottom w:val="0"/>
      <w:divBdr>
        <w:top w:val="none" w:sz="0" w:space="0" w:color="auto"/>
        <w:left w:val="none" w:sz="0" w:space="0" w:color="auto"/>
        <w:bottom w:val="none" w:sz="0" w:space="0" w:color="auto"/>
        <w:right w:val="none" w:sz="0" w:space="0" w:color="auto"/>
      </w:divBdr>
    </w:div>
    <w:div w:id="947473206">
      <w:marLeft w:val="0"/>
      <w:marRight w:val="0"/>
      <w:marTop w:val="120"/>
      <w:marBottom w:val="0"/>
      <w:divBdr>
        <w:top w:val="none" w:sz="0" w:space="0" w:color="auto"/>
        <w:left w:val="none" w:sz="0" w:space="0" w:color="auto"/>
        <w:bottom w:val="none" w:sz="0" w:space="0" w:color="auto"/>
        <w:right w:val="none" w:sz="0" w:space="0" w:color="auto"/>
      </w:divBdr>
    </w:div>
    <w:div w:id="948045122">
      <w:marLeft w:val="0"/>
      <w:marRight w:val="0"/>
      <w:marTop w:val="0"/>
      <w:marBottom w:val="0"/>
      <w:divBdr>
        <w:top w:val="none" w:sz="0" w:space="0" w:color="auto"/>
        <w:left w:val="none" w:sz="0" w:space="0" w:color="auto"/>
        <w:bottom w:val="none" w:sz="0" w:space="0" w:color="auto"/>
        <w:right w:val="none" w:sz="0" w:space="0" w:color="auto"/>
      </w:divBdr>
      <w:divsChild>
        <w:div w:id="57680102">
          <w:marLeft w:val="0"/>
          <w:marRight w:val="0"/>
          <w:marTop w:val="0"/>
          <w:marBottom w:val="0"/>
          <w:divBdr>
            <w:top w:val="none" w:sz="0" w:space="0" w:color="auto"/>
            <w:left w:val="none" w:sz="0" w:space="0" w:color="auto"/>
            <w:bottom w:val="none" w:sz="0" w:space="0" w:color="auto"/>
            <w:right w:val="none" w:sz="0" w:space="0" w:color="auto"/>
          </w:divBdr>
        </w:div>
      </w:divsChild>
    </w:div>
    <w:div w:id="949237886">
      <w:marLeft w:val="0"/>
      <w:marRight w:val="0"/>
      <w:marTop w:val="120"/>
      <w:marBottom w:val="0"/>
      <w:divBdr>
        <w:top w:val="none" w:sz="0" w:space="0" w:color="auto"/>
        <w:left w:val="none" w:sz="0" w:space="0" w:color="auto"/>
        <w:bottom w:val="none" w:sz="0" w:space="0" w:color="auto"/>
        <w:right w:val="none" w:sz="0" w:space="0" w:color="auto"/>
      </w:divBdr>
    </w:div>
    <w:div w:id="950018276">
      <w:marLeft w:val="0"/>
      <w:marRight w:val="0"/>
      <w:marTop w:val="120"/>
      <w:marBottom w:val="0"/>
      <w:divBdr>
        <w:top w:val="none" w:sz="0" w:space="0" w:color="auto"/>
        <w:left w:val="none" w:sz="0" w:space="0" w:color="auto"/>
        <w:bottom w:val="none" w:sz="0" w:space="0" w:color="auto"/>
        <w:right w:val="none" w:sz="0" w:space="0" w:color="auto"/>
      </w:divBdr>
    </w:div>
    <w:div w:id="950891200">
      <w:marLeft w:val="0"/>
      <w:marRight w:val="0"/>
      <w:marTop w:val="120"/>
      <w:marBottom w:val="0"/>
      <w:divBdr>
        <w:top w:val="none" w:sz="0" w:space="0" w:color="auto"/>
        <w:left w:val="none" w:sz="0" w:space="0" w:color="auto"/>
        <w:bottom w:val="none" w:sz="0" w:space="0" w:color="auto"/>
        <w:right w:val="none" w:sz="0" w:space="0" w:color="auto"/>
      </w:divBdr>
    </w:div>
    <w:div w:id="951976318">
      <w:marLeft w:val="0"/>
      <w:marRight w:val="0"/>
      <w:marTop w:val="120"/>
      <w:marBottom w:val="0"/>
      <w:divBdr>
        <w:top w:val="none" w:sz="0" w:space="0" w:color="auto"/>
        <w:left w:val="none" w:sz="0" w:space="0" w:color="auto"/>
        <w:bottom w:val="none" w:sz="0" w:space="0" w:color="auto"/>
        <w:right w:val="none" w:sz="0" w:space="0" w:color="auto"/>
      </w:divBdr>
    </w:div>
    <w:div w:id="953442467">
      <w:marLeft w:val="0"/>
      <w:marRight w:val="0"/>
      <w:marTop w:val="120"/>
      <w:marBottom w:val="0"/>
      <w:divBdr>
        <w:top w:val="none" w:sz="0" w:space="0" w:color="auto"/>
        <w:left w:val="none" w:sz="0" w:space="0" w:color="auto"/>
        <w:bottom w:val="none" w:sz="0" w:space="0" w:color="auto"/>
        <w:right w:val="none" w:sz="0" w:space="0" w:color="auto"/>
      </w:divBdr>
    </w:div>
    <w:div w:id="956914187">
      <w:marLeft w:val="0"/>
      <w:marRight w:val="0"/>
      <w:marTop w:val="0"/>
      <w:marBottom w:val="0"/>
      <w:divBdr>
        <w:top w:val="none" w:sz="0" w:space="0" w:color="auto"/>
        <w:left w:val="none" w:sz="0" w:space="0" w:color="auto"/>
        <w:bottom w:val="none" w:sz="0" w:space="0" w:color="auto"/>
        <w:right w:val="none" w:sz="0" w:space="0" w:color="auto"/>
      </w:divBdr>
    </w:div>
    <w:div w:id="962350722">
      <w:marLeft w:val="0"/>
      <w:marRight w:val="0"/>
      <w:marTop w:val="0"/>
      <w:marBottom w:val="0"/>
      <w:divBdr>
        <w:top w:val="none" w:sz="0" w:space="0" w:color="auto"/>
        <w:left w:val="none" w:sz="0" w:space="0" w:color="auto"/>
        <w:bottom w:val="none" w:sz="0" w:space="0" w:color="auto"/>
        <w:right w:val="none" w:sz="0" w:space="0" w:color="auto"/>
      </w:divBdr>
    </w:div>
    <w:div w:id="963343899">
      <w:marLeft w:val="0"/>
      <w:marRight w:val="0"/>
      <w:marTop w:val="0"/>
      <w:marBottom w:val="120"/>
      <w:divBdr>
        <w:top w:val="none" w:sz="0" w:space="0" w:color="auto"/>
        <w:left w:val="none" w:sz="0" w:space="0" w:color="auto"/>
        <w:bottom w:val="none" w:sz="0" w:space="0" w:color="auto"/>
        <w:right w:val="none" w:sz="0" w:space="0" w:color="auto"/>
      </w:divBdr>
      <w:divsChild>
        <w:div w:id="1179347746">
          <w:marLeft w:val="0"/>
          <w:marRight w:val="0"/>
          <w:marTop w:val="0"/>
          <w:marBottom w:val="0"/>
          <w:divBdr>
            <w:top w:val="none" w:sz="0" w:space="0" w:color="auto"/>
            <w:left w:val="none" w:sz="0" w:space="0" w:color="auto"/>
            <w:bottom w:val="none" w:sz="0" w:space="0" w:color="auto"/>
            <w:right w:val="none" w:sz="0" w:space="0" w:color="auto"/>
          </w:divBdr>
        </w:div>
        <w:div w:id="608858854">
          <w:marLeft w:val="0"/>
          <w:marRight w:val="0"/>
          <w:marTop w:val="0"/>
          <w:marBottom w:val="0"/>
          <w:divBdr>
            <w:top w:val="none" w:sz="0" w:space="0" w:color="auto"/>
            <w:left w:val="none" w:sz="0" w:space="0" w:color="auto"/>
            <w:bottom w:val="none" w:sz="0" w:space="0" w:color="auto"/>
            <w:right w:val="none" w:sz="0" w:space="0" w:color="auto"/>
          </w:divBdr>
        </w:div>
        <w:div w:id="189421584">
          <w:marLeft w:val="0"/>
          <w:marRight w:val="0"/>
          <w:marTop w:val="0"/>
          <w:marBottom w:val="0"/>
          <w:divBdr>
            <w:top w:val="none" w:sz="0" w:space="0" w:color="auto"/>
            <w:left w:val="none" w:sz="0" w:space="0" w:color="auto"/>
            <w:bottom w:val="none" w:sz="0" w:space="0" w:color="auto"/>
            <w:right w:val="none" w:sz="0" w:space="0" w:color="auto"/>
          </w:divBdr>
        </w:div>
        <w:div w:id="177282791">
          <w:marLeft w:val="0"/>
          <w:marRight w:val="0"/>
          <w:marTop w:val="0"/>
          <w:marBottom w:val="0"/>
          <w:divBdr>
            <w:top w:val="none" w:sz="0" w:space="0" w:color="auto"/>
            <w:left w:val="none" w:sz="0" w:space="0" w:color="auto"/>
            <w:bottom w:val="none" w:sz="0" w:space="0" w:color="auto"/>
            <w:right w:val="none" w:sz="0" w:space="0" w:color="auto"/>
          </w:divBdr>
        </w:div>
        <w:div w:id="368065868">
          <w:marLeft w:val="0"/>
          <w:marRight w:val="0"/>
          <w:marTop w:val="0"/>
          <w:marBottom w:val="0"/>
          <w:divBdr>
            <w:top w:val="none" w:sz="0" w:space="0" w:color="auto"/>
            <w:left w:val="none" w:sz="0" w:space="0" w:color="auto"/>
            <w:bottom w:val="none" w:sz="0" w:space="0" w:color="auto"/>
            <w:right w:val="none" w:sz="0" w:space="0" w:color="auto"/>
          </w:divBdr>
        </w:div>
      </w:divsChild>
    </w:div>
    <w:div w:id="963581495">
      <w:marLeft w:val="0"/>
      <w:marRight w:val="0"/>
      <w:marTop w:val="120"/>
      <w:marBottom w:val="0"/>
      <w:divBdr>
        <w:top w:val="none" w:sz="0" w:space="0" w:color="auto"/>
        <w:left w:val="none" w:sz="0" w:space="0" w:color="auto"/>
        <w:bottom w:val="none" w:sz="0" w:space="0" w:color="auto"/>
        <w:right w:val="none" w:sz="0" w:space="0" w:color="auto"/>
      </w:divBdr>
    </w:div>
    <w:div w:id="966158709">
      <w:marLeft w:val="0"/>
      <w:marRight w:val="0"/>
      <w:marTop w:val="120"/>
      <w:marBottom w:val="0"/>
      <w:divBdr>
        <w:top w:val="none" w:sz="0" w:space="0" w:color="auto"/>
        <w:left w:val="none" w:sz="0" w:space="0" w:color="auto"/>
        <w:bottom w:val="none" w:sz="0" w:space="0" w:color="auto"/>
        <w:right w:val="none" w:sz="0" w:space="0" w:color="auto"/>
      </w:divBdr>
    </w:div>
    <w:div w:id="968390334">
      <w:marLeft w:val="0"/>
      <w:marRight w:val="0"/>
      <w:marTop w:val="120"/>
      <w:marBottom w:val="0"/>
      <w:divBdr>
        <w:top w:val="none" w:sz="0" w:space="0" w:color="auto"/>
        <w:left w:val="none" w:sz="0" w:space="0" w:color="auto"/>
        <w:bottom w:val="none" w:sz="0" w:space="0" w:color="auto"/>
        <w:right w:val="none" w:sz="0" w:space="0" w:color="auto"/>
      </w:divBdr>
    </w:div>
    <w:div w:id="968898912">
      <w:marLeft w:val="0"/>
      <w:marRight w:val="0"/>
      <w:marTop w:val="0"/>
      <w:marBottom w:val="0"/>
      <w:divBdr>
        <w:top w:val="none" w:sz="0" w:space="0" w:color="auto"/>
        <w:left w:val="none" w:sz="0" w:space="0" w:color="auto"/>
        <w:bottom w:val="none" w:sz="0" w:space="0" w:color="auto"/>
        <w:right w:val="none" w:sz="0" w:space="0" w:color="auto"/>
      </w:divBdr>
    </w:div>
    <w:div w:id="969895628">
      <w:marLeft w:val="0"/>
      <w:marRight w:val="0"/>
      <w:marTop w:val="120"/>
      <w:marBottom w:val="0"/>
      <w:divBdr>
        <w:top w:val="none" w:sz="0" w:space="0" w:color="auto"/>
        <w:left w:val="none" w:sz="0" w:space="0" w:color="auto"/>
        <w:bottom w:val="none" w:sz="0" w:space="0" w:color="auto"/>
        <w:right w:val="none" w:sz="0" w:space="0" w:color="auto"/>
      </w:divBdr>
    </w:div>
    <w:div w:id="971977946">
      <w:marLeft w:val="0"/>
      <w:marRight w:val="0"/>
      <w:marTop w:val="0"/>
      <w:marBottom w:val="0"/>
      <w:divBdr>
        <w:top w:val="none" w:sz="0" w:space="0" w:color="auto"/>
        <w:left w:val="none" w:sz="0" w:space="0" w:color="auto"/>
        <w:bottom w:val="none" w:sz="0" w:space="0" w:color="auto"/>
        <w:right w:val="none" w:sz="0" w:space="0" w:color="auto"/>
      </w:divBdr>
    </w:div>
    <w:div w:id="973021867">
      <w:marLeft w:val="0"/>
      <w:marRight w:val="0"/>
      <w:marTop w:val="120"/>
      <w:marBottom w:val="0"/>
      <w:divBdr>
        <w:top w:val="none" w:sz="0" w:space="0" w:color="auto"/>
        <w:left w:val="none" w:sz="0" w:space="0" w:color="auto"/>
        <w:bottom w:val="none" w:sz="0" w:space="0" w:color="auto"/>
        <w:right w:val="none" w:sz="0" w:space="0" w:color="auto"/>
      </w:divBdr>
    </w:div>
    <w:div w:id="974917308">
      <w:marLeft w:val="0"/>
      <w:marRight w:val="0"/>
      <w:marTop w:val="120"/>
      <w:marBottom w:val="0"/>
      <w:divBdr>
        <w:top w:val="none" w:sz="0" w:space="0" w:color="auto"/>
        <w:left w:val="none" w:sz="0" w:space="0" w:color="auto"/>
        <w:bottom w:val="none" w:sz="0" w:space="0" w:color="auto"/>
        <w:right w:val="none" w:sz="0" w:space="0" w:color="auto"/>
      </w:divBdr>
    </w:div>
    <w:div w:id="975065633">
      <w:marLeft w:val="0"/>
      <w:marRight w:val="0"/>
      <w:marTop w:val="120"/>
      <w:marBottom w:val="0"/>
      <w:divBdr>
        <w:top w:val="none" w:sz="0" w:space="0" w:color="auto"/>
        <w:left w:val="none" w:sz="0" w:space="0" w:color="auto"/>
        <w:bottom w:val="none" w:sz="0" w:space="0" w:color="auto"/>
        <w:right w:val="none" w:sz="0" w:space="0" w:color="auto"/>
      </w:divBdr>
    </w:div>
    <w:div w:id="975836855">
      <w:marLeft w:val="0"/>
      <w:marRight w:val="0"/>
      <w:marTop w:val="120"/>
      <w:marBottom w:val="0"/>
      <w:divBdr>
        <w:top w:val="none" w:sz="0" w:space="0" w:color="auto"/>
        <w:left w:val="none" w:sz="0" w:space="0" w:color="auto"/>
        <w:bottom w:val="none" w:sz="0" w:space="0" w:color="auto"/>
        <w:right w:val="none" w:sz="0" w:space="0" w:color="auto"/>
      </w:divBdr>
    </w:div>
    <w:div w:id="979070044">
      <w:marLeft w:val="0"/>
      <w:marRight w:val="0"/>
      <w:marTop w:val="0"/>
      <w:marBottom w:val="120"/>
      <w:divBdr>
        <w:top w:val="none" w:sz="0" w:space="0" w:color="auto"/>
        <w:left w:val="none" w:sz="0" w:space="0" w:color="auto"/>
        <w:bottom w:val="none" w:sz="0" w:space="0" w:color="auto"/>
        <w:right w:val="none" w:sz="0" w:space="0" w:color="auto"/>
      </w:divBdr>
    </w:div>
    <w:div w:id="979532535">
      <w:marLeft w:val="0"/>
      <w:marRight w:val="0"/>
      <w:marTop w:val="120"/>
      <w:marBottom w:val="0"/>
      <w:divBdr>
        <w:top w:val="none" w:sz="0" w:space="0" w:color="auto"/>
        <w:left w:val="none" w:sz="0" w:space="0" w:color="auto"/>
        <w:bottom w:val="none" w:sz="0" w:space="0" w:color="auto"/>
        <w:right w:val="none" w:sz="0" w:space="0" w:color="auto"/>
      </w:divBdr>
    </w:div>
    <w:div w:id="979771069">
      <w:marLeft w:val="0"/>
      <w:marRight w:val="0"/>
      <w:marTop w:val="0"/>
      <w:marBottom w:val="0"/>
      <w:divBdr>
        <w:top w:val="none" w:sz="0" w:space="0" w:color="auto"/>
        <w:left w:val="none" w:sz="0" w:space="0" w:color="auto"/>
        <w:bottom w:val="none" w:sz="0" w:space="0" w:color="auto"/>
        <w:right w:val="none" w:sz="0" w:space="0" w:color="auto"/>
      </w:divBdr>
      <w:divsChild>
        <w:div w:id="2040352054">
          <w:marLeft w:val="0"/>
          <w:marRight w:val="0"/>
          <w:marTop w:val="0"/>
          <w:marBottom w:val="0"/>
          <w:divBdr>
            <w:top w:val="none" w:sz="0" w:space="0" w:color="auto"/>
            <w:left w:val="none" w:sz="0" w:space="0" w:color="auto"/>
            <w:bottom w:val="none" w:sz="0" w:space="0" w:color="auto"/>
            <w:right w:val="none" w:sz="0" w:space="0" w:color="auto"/>
          </w:divBdr>
        </w:div>
      </w:divsChild>
    </w:div>
    <w:div w:id="981739580">
      <w:marLeft w:val="0"/>
      <w:marRight w:val="0"/>
      <w:marTop w:val="0"/>
      <w:marBottom w:val="0"/>
      <w:divBdr>
        <w:top w:val="none" w:sz="0" w:space="0" w:color="auto"/>
        <w:left w:val="none" w:sz="0" w:space="0" w:color="auto"/>
        <w:bottom w:val="none" w:sz="0" w:space="0" w:color="auto"/>
        <w:right w:val="none" w:sz="0" w:space="0" w:color="auto"/>
      </w:divBdr>
    </w:div>
    <w:div w:id="981810082">
      <w:marLeft w:val="0"/>
      <w:marRight w:val="0"/>
      <w:marTop w:val="180"/>
      <w:marBottom w:val="0"/>
      <w:divBdr>
        <w:top w:val="none" w:sz="0" w:space="0" w:color="auto"/>
        <w:left w:val="none" w:sz="0" w:space="0" w:color="auto"/>
        <w:bottom w:val="none" w:sz="0" w:space="0" w:color="auto"/>
        <w:right w:val="none" w:sz="0" w:space="0" w:color="auto"/>
      </w:divBdr>
    </w:div>
    <w:div w:id="983268767">
      <w:marLeft w:val="0"/>
      <w:marRight w:val="0"/>
      <w:marTop w:val="120"/>
      <w:marBottom w:val="0"/>
      <w:divBdr>
        <w:top w:val="none" w:sz="0" w:space="0" w:color="auto"/>
        <w:left w:val="none" w:sz="0" w:space="0" w:color="auto"/>
        <w:bottom w:val="none" w:sz="0" w:space="0" w:color="auto"/>
        <w:right w:val="none" w:sz="0" w:space="0" w:color="auto"/>
      </w:divBdr>
    </w:div>
    <w:div w:id="983462356">
      <w:marLeft w:val="0"/>
      <w:marRight w:val="0"/>
      <w:marTop w:val="120"/>
      <w:marBottom w:val="0"/>
      <w:divBdr>
        <w:top w:val="none" w:sz="0" w:space="0" w:color="auto"/>
        <w:left w:val="none" w:sz="0" w:space="0" w:color="auto"/>
        <w:bottom w:val="none" w:sz="0" w:space="0" w:color="auto"/>
        <w:right w:val="none" w:sz="0" w:space="0" w:color="auto"/>
      </w:divBdr>
    </w:div>
    <w:div w:id="983781089">
      <w:marLeft w:val="0"/>
      <w:marRight w:val="0"/>
      <w:marTop w:val="0"/>
      <w:marBottom w:val="0"/>
      <w:divBdr>
        <w:top w:val="none" w:sz="0" w:space="0" w:color="auto"/>
        <w:left w:val="none" w:sz="0" w:space="0" w:color="auto"/>
        <w:bottom w:val="none" w:sz="0" w:space="0" w:color="auto"/>
        <w:right w:val="none" w:sz="0" w:space="0" w:color="auto"/>
      </w:divBdr>
    </w:div>
    <w:div w:id="984357330">
      <w:marLeft w:val="0"/>
      <w:marRight w:val="0"/>
      <w:marTop w:val="0"/>
      <w:marBottom w:val="0"/>
      <w:divBdr>
        <w:top w:val="none" w:sz="0" w:space="0" w:color="auto"/>
        <w:left w:val="none" w:sz="0" w:space="0" w:color="auto"/>
        <w:bottom w:val="none" w:sz="0" w:space="0" w:color="auto"/>
        <w:right w:val="none" w:sz="0" w:space="0" w:color="auto"/>
      </w:divBdr>
    </w:div>
    <w:div w:id="984699599">
      <w:marLeft w:val="0"/>
      <w:marRight w:val="0"/>
      <w:marTop w:val="120"/>
      <w:marBottom w:val="0"/>
      <w:divBdr>
        <w:top w:val="none" w:sz="0" w:space="0" w:color="auto"/>
        <w:left w:val="none" w:sz="0" w:space="0" w:color="auto"/>
        <w:bottom w:val="none" w:sz="0" w:space="0" w:color="auto"/>
        <w:right w:val="none" w:sz="0" w:space="0" w:color="auto"/>
      </w:divBdr>
    </w:div>
    <w:div w:id="986544888">
      <w:marLeft w:val="0"/>
      <w:marRight w:val="0"/>
      <w:marTop w:val="120"/>
      <w:marBottom w:val="0"/>
      <w:divBdr>
        <w:top w:val="none" w:sz="0" w:space="0" w:color="auto"/>
        <w:left w:val="none" w:sz="0" w:space="0" w:color="auto"/>
        <w:bottom w:val="none" w:sz="0" w:space="0" w:color="auto"/>
        <w:right w:val="none" w:sz="0" w:space="0" w:color="auto"/>
      </w:divBdr>
    </w:div>
    <w:div w:id="986781791">
      <w:marLeft w:val="0"/>
      <w:marRight w:val="0"/>
      <w:marTop w:val="0"/>
      <w:marBottom w:val="120"/>
      <w:divBdr>
        <w:top w:val="none" w:sz="0" w:space="0" w:color="auto"/>
        <w:left w:val="none" w:sz="0" w:space="0" w:color="auto"/>
        <w:bottom w:val="none" w:sz="0" w:space="0" w:color="auto"/>
        <w:right w:val="none" w:sz="0" w:space="0" w:color="auto"/>
      </w:divBdr>
    </w:div>
    <w:div w:id="987174738">
      <w:marLeft w:val="0"/>
      <w:marRight w:val="0"/>
      <w:marTop w:val="0"/>
      <w:marBottom w:val="0"/>
      <w:divBdr>
        <w:top w:val="none" w:sz="0" w:space="0" w:color="auto"/>
        <w:left w:val="none" w:sz="0" w:space="0" w:color="auto"/>
        <w:bottom w:val="none" w:sz="0" w:space="0" w:color="auto"/>
        <w:right w:val="none" w:sz="0" w:space="0" w:color="auto"/>
      </w:divBdr>
    </w:div>
    <w:div w:id="988289956">
      <w:marLeft w:val="0"/>
      <w:marRight w:val="0"/>
      <w:marTop w:val="0"/>
      <w:marBottom w:val="0"/>
      <w:divBdr>
        <w:top w:val="none" w:sz="0" w:space="0" w:color="auto"/>
        <w:left w:val="none" w:sz="0" w:space="0" w:color="auto"/>
        <w:bottom w:val="none" w:sz="0" w:space="0" w:color="auto"/>
        <w:right w:val="none" w:sz="0" w:space="0" w:color="auto"/>
      </w:divBdr>
    </w:div>
    <w:div w:id="989987781">
      <w:marLeft w:val="0"/>
      <w:marRight w:val="0"/>
      <w:marTop w:val="120"/>
      <w:marBottom w:val="0"/>
      <w:divBdr>
        <w:top w:val="none" w:sz="0" w:space="0" w:color="auto"/>
        <w:left w:val="none" w:sz="0" w:space="0" w:color="auto"/>
        <w:bottom w:val="none" w:sz="0" w:space="0" w:color="auto"/>
        <w:right w:val="none" w:sz="0" w:space="0" w:color="auto"/>
      </w:divBdr>
    </w:div>
    <w:div w:id="990215697">
      <w:marLeft w:val="0"/>
      <w:marRight w:val="0"/>
      <w:marTop w:val="120"/>
      <w:marBottom w:val="0"/>
      <w:divBdr>
        <w:top w:val="none" w:sz="0" w:space="0" w:color="auto"/>
        <w:left w:val="none" w:sz="0" w:space="0" w:color="auto"/>
        <w:bottom w:val="none" w:sz="0" w:space="0" w:color="auto"/>
        <w:right w:val="none" w:sz="0" w:space="0" w:color="auto"/>
      </w:divBdr>
    </w:div>
    <w:div w:id="990714608">
      <w:marLeft w:val="0"/>
      <w:marRight w:val="0"/>
      <w:marTop w:val="0"/>
      <w:marBottom w:val="0"/>
      <w:divBdr>
        <w:top w:val="none" w:sz="0" w:space="0" w:color="auto"/>
        <w:left w:val="none" w:sz="0" w:space="0" w:color="auto"/>
        <w:bottom w:val="none" w:sz="0" w:space="0" w:color="auto"/>
        <w:right w:val="none" w:sz="0" w:space="0" w:color="auto"/>
      </w:divBdr>
    </w:div>
    <w:div w:id="991176569">
      <w:marLeft w:val="0"/>
      <w:marRight w:val="0"/>
      <w:marTop w:val="0"/>
      <w:marBottom w:val="0"/>
      <w:divBdr>
        <w:top w:val="none" w:sz="0" w:space="0" w:color="auto"/>
        <w:left w:val="none" w:sz="0" w:space="0" w:color="auto"/>
        <w:bottom w:val="none" w:sz="0" w:space="0" w:color="auto"/>
        <w:right w:val="none" w:sz="0" w:space="0" w:color="auto"/>
      </w:divBdr>
      <w:divsChild>
        <w:div w:id="1187014458">
          <w:marLeft w:val="0"/>
          <w:marRight w:val="0"/>
          <w:marTop w:val="0"/>
          <w:marBottom w:val="0"/>
          <w:divBdr>
            <w:top w:val="none" w:sz="0" w:space="0" w:color="auto"/>
            <w:left w:val="none" w:sz="0" w:space="0" w:color="auto"/>
            <w:bottom w:val="none" w:sz="0" w:space="0" w:color="auto"/>
            <w:right w:val="none" w:sz="0" w:space="0" w:color="auto"/>
          </w:divBdr>
        </w:div>
      </w:divsChild>
    </w:div>
    <w:div w:id="991442146">
      <w:marLeft w:val="0"/>
      <w:marRight w:val="0"/>
      <w:marTop w:val="0"/>
      <w:marBottom w:val="0"/>
      <w:divBdr>
        <w:top w:val="none" w:sz="0" w:space="0" w:color="auto"/>
        <w:left w:val="none" w:sz="0" w:space="0" w:color="auto"/>
        <w:bottom w:val="none" w:sz="0" w:space="0" w:color="auto"/>
        <w:right w:val="none" w:sz="0" w:space="0" w:color="auto"/>
      </w:divBdr>
    </w:div>
    <w:div w:id="994915347">
      <w:marLeft w:val="0"/>
      <w:marRight w:val="0"/>
      <w:marTop w:val="120"/>
      <w:marBottom w:val="0"/>
      <w:divBdr>
        <w:top w:val="none" w:sz="0" w:space="0" w:color="auto"/>
        <w:left w:val="none" w:sz="0" w:space="0" w:color="auto"/>
        <w:bottom w:val="none" w:sz="0" w:space="0" w:color="auto"/>
        <w:right w:val="none" w:sz="0" w:space="0" w:color="auto"/>
      </w:divBdr>
    </w:div>
    <w:div w:id="996344980">
      <w:marLeft w:val="0"/>
      <w:marRight w:val="0"/>
      <w:marTop w:val="120"/>
      <w:marBottom w:val="0"/>
      <w:divBdr>
        <w:top w:val="none" w:sz="0" w:space="0" w:color="auto"/>
        <w:left w:val="none" w:sz="0" w:space="0" w:color="auto"/>
        <w:bottom w:val="none" w:sz="0" w:space="0" w:color="auto"/>
        <w:right w:val="none" w:sz="0" w:space="0" w:color="auto"/>
      </w:divBdr>
    </w:div>
    <w:div w:id="998075185">
      <w:marLeft w:val="0"/>
      <w:marRight w:val="0"/>
      <w:marTop w:val="0"/>
      <w:marBottom w:val="0"/>
      <w:divBdr>
        <w:top w:val="none" w:sz="0" w:space="0" w:color="auto"/>
        <w:left w:val="none" w:sz="0" w:space="0" w:color="auto"/>
        <w:bottom w:val="none" w:sz="0" w:space="0" w:color="auto"/>
        <w:right w:val="none" w:sz="0" w:space="0" w:color="auto"/>
      </w:divBdr>
      <w:divsChild>
        <w:div w:id="1522625588">
          <w:marLeft w:val="0"/>
          <w:marRight w:val="0"/>
          <w:marTop w:val="0"/>
          <w:marBottom w:val="0"/>
          <w:divBdr>
            <w:top w:val="none" w:sz="0" w:space="0" w:color="auto"/>
            <w:left w:val="none" w:sz="0" w:space="0" w:color="auto"/>
            <w:bottom w:val="none" w:sz="0" w:space="0" w:color="auto"/>
            <w:right w:val="none" w:sz="0" w:space="0" w:color="auto"/>
          </w:divBdr>
        </w:div>
      </w:divsChild>
    </w:div>
    <w:div w:id="998264985">
      <w:marLeft w:val="0"/>
      <w:marRight w:val="0"/>
      <w:marTop w:val="120"/>
      <w:marBottom w:val="0"/>
      <w:divBdr>
        <w:top w:val="none" w:sz="0" w:space="0" w:color="auto"/>
        <w:left w:val="none" w:sz="0" w:space="0" w:color="auto"/>
        <w:bottom w:val="none" w:sz="0" w:space="0" w:color="auto"/>
        <w:right w:val="none" w:sz="0" w:space="0" w:color="auto"/>
      </w:divBdr>
    </w:div>
    <w:div w:id="999574848">
      <w:marLeft w:val="0"/>
      <w:marRight w:val="0"/>
      <w:marTop w:val="120"/>
      <w:marBottom w:val="0"/>
      <w:divBdr>
        <w:top w:val="none" w:sz="0" w:space="0" w:color="auto"/>
        <w:left w:val="none" w:sz="0" w:space="0" w:color="auto"/>
        <w:bottom w:val="none" w:sz="0" w:space="0" w:color="auto"/>
        <w:right w:val="none" w:sz="0" w:space="0" w:color="auto"/>
      </w:divBdr>
    </w:div>
    <w:div w:id="1000424408">
      <w:marLeft w:val="0"/>
      <w:marRight w:val="0"/>
      <w:marTop w:val="120"/>
      <w:marBottom w:val="0"/>
      <w:divBdr>
        <w:top w:val="none" w:sz="0" w:space="0" w:color="auto"/>
        <w:left w:val="none" w:sz="0" w:space="0" w:color="auto"/>
        <w:bottom w:val="none" w:sz="0" w:space="0" w:color="auto"/>
        <w:right w:val="none" w:sz="0" w:space="0" w:color="auto"/>
      </w:divBdr>
    </w:div>
    <w:div w:id="1002513893">
      <w:marLeft w:val="0"/>
      <w:marRight w:val="0"/>
      <w:marTop w:val="120"/>
      <w:marBottom w:val="0"/>
      <w:divBdr>
        <w:top w:val="none" w:sz="0" w:space="0" w:color="auto"/>
        <w:left w:val="none" w:sz="0" w:space="0" w:color="auto"/>
        <w:bottom w:val="none" w:sz="0" w:space="0" w:color="auto"/>
        <w:right w:val="none" w:sz="0" w:space="0" w:color="auto"/>
      </w:divBdr>
    </w:div>
    <w:div w:id="1003973162">
      <w:marLeft w:val="0"/>
      <w:marRight w:val="0"/>
      <w:marTop w:val="0"/>
      <w:marBottom w:val="120"/>
      <w:divBdr>
        <w:top w:val="none" w:sz="0" w:space="0" w:color="auto"/>
        <w:left w:val="none" w:sz="0" w:space="0" w:color="auto"/>
        <w:bottom w:val="none" w:sz="0" w:space="0" w:color="auto"/>
        <w:right w:val="none" w:sz="0" w:space="0" w:color="auto"/>
      </w:divBdr>
    </w:div>
    <w:div w:id="1004405925">
      <w:marLeft w:val="0"/>
      <w:marRight w:val="0"/>
      <w:marTop w:val="0"/>
      <w:marBottom w:val="120"/>
      <w:divBdr>
        <w:top w:val="none" w:sz="0" w:space="0" w:color="auto"/>
        <w:left w:val="none" w:sz="0" w:space="0" w:color="auto"/>
        <w:bottom w:val="none" w:sz="0" w:space="0" w:color="auto"/>
        <w:right w:val="none" w:sz="0" w:space="0" w:color="auto"/>
      </w:divBdr>
      <w:divsChild>
        <w:div w:id="400248699">
          <w:marLeft w:val="0"/>
          <w:marRight w:val="0"/>
          <w:marTop w:val="0"/>
          <w:marBottom w:val="0"/>
          <w:divBdr>
            <w:top w:val="none" w:sz="0" w:space="0" w:color="auto"/>
            <w:left w:val="none" w:sz="0" w:space="0" w:color="auto"/>
            <w:bottom w:val="none" w:sz="0" w:space="0" w:color="auto"/>
            <w:right w:val="none" w:sz="0" w:space="0" w:color="auto"/>
          </w:divBdr>
        </w:div>
        <w:div w:id="1104228474">
          <w:marLeft w:val="0"/>
          <w:marRight w:val="0"/>
          <w:marTop w:val="0"/>
          <w:marBottom w:val="0"/>
          <w:divBdr>
            <w:top w:val="none" w:sz="0" w:space="0" w:color="auto"/>
            <w:left w:val="none" w:sz="0" w:space="0" w:color="auto"/>
            <w:bottom w:val="none" w:sz="0" w:space="0" w:color="auto"/>
            <w:right w:val="none" w:sz="0" w:space="0" w:color="auto"/>
          </w:divBdr>
        </w:div>
        <w:div w:id="1067805545">
          <w:marLeft w:val="0"/>
          <w:marRight w:val="0"/>
          <w:marTop w:val="0"/>
          <w:marBottom w:val="0"/>
          <w:divBdr>
            <w:top w:val="none" w:sz="0" w:space="0" w:color="auto"/>
            <w:left w:val="none" w:sz="0" w:space="0" w:color="auto"/>
            <w:bottom w:val="none" w:sz="0" w:space="0" w:color="auto"/>
            <w:right w:val="none" w:sz="0" w:space="0" w:color="auto"/>
          </w:divBdr>
        </w:div>
        <w:div w:id="1199322850">
          <w:marLeft w:val="0"/>
          <w:marRight w:val="0"/>
          <w:marTop w:val="0"/>
          <w:marBottom w:val="0"/>
          <w:divBdr>
            <w:top w:val="none" w:sz="0" w:space="0" w:color="auto"/>
            <w:left w:val="none" w:sz="0" w:space="0" w:color="auto"/>
            <w:bottom w:val="none" w:sz="0" w:space="0" w:color="auto"/>
            <w:right w:val="none" w:sz="0" w:space="0" w:color="auto"/>
          </w:divBdr>
        </w:div>
        <w:div w:id="577180763">
          <w:marLeft w:val="0"/>
          <w:marRight w:val="0"/>
          <w:marTop w:val="0"/>
          <w:marBottom w:val="0"/>
          <w:divBdr>
            <w:top w:val="none" w:sz="0" w:space="0" w:color="auto"/>
            <w:left w:val="none" w:sz="0" w:space="0" w:color="auto"/>
            <w:bottom w:val="none" w:sz="0" w:space="0" w:color="auto"/>
            <w:right w:val="none" w:sz="0" w:space="0" w:color="auto"/>
          </w:divBdr>
        </w:div>
        <w:div w:id="2000649134">
          <w:marLeft w:val="0"/>
          <w:marRight w:val="0"/>
          <w:marTop w:val="0"/>
          <w:marBottom w:val="0"/>
          <w:divBdr>
            <w:top w:val="none" w:sz="0" w:space="0" w:color="auto"/>
            <w:left w:val="none" w:sz="0" w:space="0" w:color="auto"/>
            <w:bottom w:val="none" w:sz="0" w:space="0" w:color="auto"/>
            <w:right w:val="none" w:sz="0" w:space="0" w:color="auto"/>
          </w:divBdr>
        </w:div>
      </w:divsChild>
    </w:div>
    <w:div w:id="1004626234">
      <w:marLeft w:val="0"/>
      <w:marRight w:val="0"/>
      <w:marTop w:val="0"/>
      <w:marBottom w:val="0"/>
      <w:divBdr>
        <w:top w:val="none" w:sz="0" w:space="0" w:color="auto"/>
        <w:left w:val="none" w:sz="0" w:space="0" w:color="auto"/>
        <w:bottom w:val="none" w:sz="0" w:space="0" w:color="auto"/>
        <w:right w:val="none" w:sz="0" w:space="0" w:color="auto"/>
      </w:divBdr>
    </w:div>
    <w:div w:id="1004698616">
      <w:marLeft w:val="0"/>
      <w:marRight w:val="0"/>
      <w:marTop w:val="120"/>
      <w:marBottom w:val="0"/>
      <w:divBdr>
        <w:top w:val="none" w:sz="0" w:space="0" w:color="auto"/>
        <w:left w:val="none" w:sz="0" w:space="0" w:color="auto"/>
        <w:bottom w:val="none" w:sz="0" w:space="0" w:color="auto"/>
        <w:right w:val="none" w:sz="0" w:space="0" w:color="auto"/>
      </w:divBdr>
    </w:div>
    <w:div w:id="1005548040">
      <w:marLeft w:val="0"/>
      <w:marRight w:val="0"/>
      <w:marTop w:val="120"/>
      <w:marBottom w:val="0"/>
      <w:divBdr>
        <w:top w:val="none" w:sz="0" w:space="0" w:color="auto"/>
        <w:left w:val="none" w:sz="0" w:space="0" w:color="auto"/>
        <w:bottom w:val="none" w:sz="0" w:space="0" w:color="auto"/>
        <w:right w:val="none" w:sz="0" w:space="0" w:color="auto"/>
      </w:divBdr>
    </w:div>
    <w:div w:id="1006519718">
      <w:marLeft w:val="0"/>
      <w:marRight w:val="0"/>
      <w:marTop w:val="0"/>
      <w:marBottom w:val="0"/>
      <w:divBdr>
        <w:top w:val="none" w:sz="0" w:space="0" w:color="auto"/>
        <w:left w:val="none" w:sz="0" w:space="0" w:color="auto"/>
        <w:bottom w:val="none" w:sz="0" w:space="0" w:color="auto"/>
        <w:right w:val="none" w:sz="0" w:space="0" w:color="auto"/>
      </w:divBdr>
      <w:divsChild>
        <w:div w:id="1625845376">
          <w:marLeft w:val="0"/>
          <w:marRight w:val="0"/>
          <w:marTop w:val="0"/>
          <w:marBottom w:val="0"/>
          <w:divBdr>
            <w:top w:val="none" w:sz="0" w:space="0" w:color="auto"/>
            <w:left w:val="none" w:sz="0" w:space="0" w:color="auto"/>
            <w:bottom w:val="none" w:sz="0" w:space="0" w:color="auto"/>
            <w:right w:val="none" w:sz="0" w:space="0" w:color="auto"/>
          </w:divBdr>
        </w:div>
      </w:divsChild>
    </w:div>
    <w:div w:id="1008289021">
      <w:marLeft w:val="0"/>
      <w:marRight w:val="0"/>
      <w:marTop w:val="0"/>
      <w:marBottom w:val="0"/>
      <w:divBdr>
        <w:top w:val="none" w:sz="0" w:space="0" w:color="auto"/>
        <w:left w:val="none" w:sz="0" w:space="0" w:color="auto"/>
        <w:bottom w:val="none" w:sz="0" w:space="0" w:color="auto"/>
        <w:right w:val="none" w:sz="0" w:space="0" w:color="auto"/>
      </w:divBdr>
      <w:divsChild>
        <w:div w:id="2102333686">
          <w:marLeft w:val="0"/>
          <w:marRight w:val="0"/>
          <w:marTop w:val="0"/>
          <w:marBottom w:val="0"/>
          <w:divBdr>
            <w:top w:val="none" w:sz="0" w:space="0" w:color="auto"/>
            <w:left w:val="none" w:sz="0" w:space="0" w:color="auto"/>
            <w:bottom w:val="none" w:sz="0" w:space="0" w:color="auto"/>
            <w:right w:val="none" w:sz="0" w:space="0" w:color="auto"/>
          </w:divBdr>
        </w:div>
      </w:divsChild>
    </w:div>
    <w:div w:id="1008289090">
      <w:marLeft w:val="0"/>
      <w:marRight w:val="0"/>
      <w:marTop w:val="120"/>
      <w:marBottom w:val="0"/>
      <w:divBdr>
        <w:top w:val="none" w:sz="0" w:space="0" w:color="auto"/>
        <w:left w:val="none" w:sz="0" w:space="0" w:color="auto"/>
        <w:bottom w:val="none" w:sz="0" w:space="0" w:color="auto"/>
        <w:right w:val="none" w:sz="0" w:space="0" w:color="auto"/>
      </w:divBdr>
    </w:div>
    <w:div w:id="1008366889">
      <w:marLeft w:val="0"/>
      <w:marRight w:val="0"/>
      <w:marTop w:val="120"/>
      <w:marBottom w:val="0"/>
      <w:divBdr>
        <w:top w:val="none" w:sz="0" w:space="0" w:color="auto"/>
        <w:left w:val="none" w:sz="0" w:space="0" w:color="auto"/>
        <w:bottom w:val="none" w:sz="0" w:space="0" w:color="auto"/>
        <w:right w:val="none" w:sz="0" w:space="0" w:color="auto"/>
      </w:divBdr>
    </w:div>
    <w:div w:id="1008824480">
      <w:marLeft w:val="0"/>
      <w:marRight w:val="0"/>
      <w:marTop w:val="0"/>
      <w:marBottom w:val="0"/>
      <w:divBdr>
        <w:top w:val="none" w:sz="0" w:space="0" w:color="auto"/>
        <w:left w:val="none" w:sz="0" w:space="0" w:color="auto"/>
        <w:bottom w:val="none" w:sz="0" w:space="0" w:color="auto"/>
        <w:right w:val="none" w:sz="0" w:space="0" w:color="auto"/>
      </w:divBdr>
      <w:divsChild>
        <w:div w:id="552277479">
          <w:marLeft w:val="0"/>
          <w:marRight w:val="0"/>
          <w:marTop w:val="0"/>
          <w:marBottom w:val="0"/>
          <w:divBdr>
            <w:top w:val="none" w:sz="0" w:space="0" w:color="auto"/>
            <w:left w:val="none" w:sz="0" w:space="0" w:color="auto"/>
            <w:bottom w:val="none" w:sz="0" w:space="0" w:color="auto"/>
            <w:right w:val="none" w:sz="0" w:space="0" w:color="auto"/>
          </w:divBdr>
        </w:div>
      </w:divsChild>
    </w:div>
    <w:div w:id="1011179993">
      <w:marLeft w:val="0"/>
      <w:marRight w:val="0"/>
      <w:marTop w:val="0"/>
      <w:marBottom w:val="0"/>
      <w:divBdr>
        <w:top w:val="none" w:sz="0" w:space="0" w:color="auto"/>
        <w:left w:val="none" w:sz="0" w:space="0" w:color="auto"/>
        <w:bottom w:val="none" w:sz="0" w:space="0" w:color="auto"/>
        <w:right w:val="none" w:sz="0" w:space="0" w:color="auto"/>
      </w:divBdr>
      <w:divsChild>
        <w:div w:id="889654187">
          <w:marLeft w:val="0"/>
          <w:marRight w:val="0"/>
          <w:marTop w:val="0"/>
          <w:marBottom w:val="0"/>
          <w:divBdr>
            <w:top w:val="none" w:sz="0" w:space="0" w:color="auto"/>
            <w:left w:val="none" w:sz="0" w:space="0" w:color="auto"/>
            <w:bottom w:val="none" w:sz="0" w:space="0" w:color="auto"/>
            <w:right w:val="none" w:sz="0" w:space="0" w:color="auto"/>
          </w:divBdr>
        </w:div>
      </w:divsChild>
    </w:div>
    <w:div w:id="1012415839">
      <w:marLeft w:val="0"/>
      <w:marRight w:val="0"/>
      <w:marTop w:val="120"/>
      <w:marBottom w:val="0"/>
      <w:divBdr>
        <w:top w:val="none" w:sz="0" w:space="0" w:color="auto"/>
        <w:left w:val="none" w:sz="0" w:space="0" w:color="auto"/>
        <w:bottom w:val="none" w:sz="0" w:space="0" w:color="auto"/>
        <w:right w:val="none" w:sz="0" w:space="0" w:color="auto"/>
      </w:divBdr>
    </w:div>
    <w:div w:id="1013072713">
      <w:marLeft w:val="0"/>
      <w:marRight w:val="0"/>
      <w:marTop w:val="0"/>
      <w:marBottom w:val="240"/>
      <w:divBdr>
        <w:top w:val="none" w:sz="0" w:space="0" w:color="auto"/>
        <w:left w:val="none" w:sz="0" w:space="0" w:color="auto"/>
        <w:bottom w:val="none" w:sz="0" w:space="0" w:color="auto"/>
        <w:right w:val="none" w:sz="0" w:space="0" w:color="auto"/>
      </w:divBdr>
    </w:div>
    <w:div w:id="1013148167">
      <w:marLeft w:val="0"/>
      <w:marRight w:val="0"/>
      <w:marTop w:val="180"/>
      <w:marBottom w:val="0"/>
      <w:divBdr>
        <w:top w:val="none" w:sz="0" w:space="0" w:color="auto"/>
        <w:left w:val="none" w:sz="0" w:space="0" w:color="auto"/>
        <w:bottom w:val="none" w:sz="0" w:space="0" w:color="auto"/>
        <w:right w:val="none" w:sz="0" w:space="0" w:color="auto"/>
      </w:divBdr>
    </w:div>
    <w:div w:id="1014308506">
      <w:marLeft w:val="0"/>
      <w:marRight w:val="0"/>
      <w:marTop w:val="120"/>
      <w:marBottom w:val="0"/>
      <w:divBdr>
        <w:top w:val="none" w:sz="0" w:space="0" w:color="auto"/>
        <w:left w:val="none" w:sz="0" w:space="0" w:color="auto"/>
        <w:bottom w:val="none" w:sz="0" w:space="0" w:color="auto"/>
        <w:right w:val="none" w:sz="0" w:space="0" w:color="auto"/>
      </w:divBdr>
    </w:div>
    <w:div w:id="1016730771">
      <w:marLeft w:val="0"/>
      <w:marRight w:val="0"/>
      <w:marTop w:val="120"/>
      <w:marBottom w:val="0"/>
      <w:divBdr>
        <w:top w:val="none" w:sz="0" w:space="0" w:color="auto"/>
        <w:left w:val="none" w:sz="0" w:space="0" w:color="auto"/>
        <w:bottom w:val="none" w:sz="0" w:space="0" w:color="auto"/>
        <w:right w:val="none" w:sz="0" w:space="0" w:color="auto"/>
      </w:divBdr>
    </w:div>
    <w:div w:id="1017804485">
      <w:marLeft w:val="0"/>
      <w:marRight w:val="0"/>
      <w:marTop w:val="120"/>
      <w:marBottom w:val="0"/>
      <w:divBdr>
        <w:top w:val="none" w:sz="0" w:space="0" w:color="auto"/>
        <w:left w:val="none" w:sz="0" w:space="0" w:color="auto"/>
        <w:bottom w:val="none" w:sz="0" w:space="0" w:color="auto"/>
        <w:right w:val="none" w:sz="0" w:space="0" w:color="auto"/>
      </w:divBdr>
    </w:div>
    <w:div w:id="1018893254">
      <w:marLeft w:val="0"/>
      <w:marRight w:val="0"/>
      <w:marTop w:val="120"/>
      <w:marBottom w:val="0"/>
      <w:divBdr>
        <w:top w:val="none" w:sz="0" w:space="0" w:color="auto"/>
        <w:left w:val="none" w:sz="0" w:space="0" w:color="auto"/>
        <w:bottom w:val="none" w:sz="0" w:space="0" w:color="auto"/>
        <w:right w:val="none" w:sz="0" w:space="0" w:color="auto"/>
      </w:divBdr>
    </w:div>
    <w:div w:id="1020546784">
      <w:marLeft w:val="0"/>
      <w:marRight w:val="0"/>
      <w:marTop w:val="0"/>
      <w:marBottom w:val="0"/>
      <w:divBdr>
        <w:top w:val="none" w:sz="0" w:space="0" w:color="auto"/>
        <w:left w:val="none" w:sz="0" w:space="0" w:color="auto"/>
        <w:bottom w:val="none" w:sz="0" w:space="0" w:color="auto"/>
        <w:right w:val="none" w:sz="0" w:space="0" w:color="auto"/>
      </w:divBdr>
    </w:div>
    <w:div w:id="1020592890">
      <w:marLeft w:val="0"/>
      <w:marRight w:val="0"/>
      <w:marTop w:val="0"/>
      <w:marBottom w:val="0"/>
      <w:divBdr>
        <w:top w:val="none" w:sz="0" w:space="0" w:color="auto"/>
        <w:left w:val="none" w:sz="0" w:space="0" w:color="auto"/>
        <w:bottom w:val="none" w:sz="0" w:space="0" w:color="auto"/>
        <w:right w:val="none" w:sz="0" w:space="0" w:color="auto"/>
      </w:divBdr>
    </w:div>
    <w:div w:id="1023165460">
      <w:marLeft w:val="0"/>
      <w:marRight w:val="0"/>
      <w:marTop w:val="120"/>
      <w:marBottom w:val="0"/>
      <w:divBdr>
        <w:top w:val="none" w:sz="0" w:space="0" w:color="auto"/>
        <w:left w:val="none" w:sz="0" w:space="0" w:color="auto"/>
        <w:bottom w:val="none" w:sz="0" w:space="0" w:color="auto"/>
        <w:right w:val="none" w:sz="0" w:space="0" w:color="auto"/>
      </w:divBdr>
    </w:div>
    <w:div w:id="1024408161">
      <w:marLeft w:val="0"/>
      <w:marRight w:val="0"/>
      <w:marTop w:val="120"/>
      <w:marBottom w:val="0"/>
      <w:divBdr>
        <w:top w:val="none" w:sz="0" w:space="0" w:color="auto"/>
        <w:left w:val="none" w:sz="0" w:space="0" w:color="auto"/>
        <w:bottom w:val="none" w:sz="0" w:space="0" w:color="auto"/>
        <w:right w:val="none" w:sz="0" w:space="0" w:color="auto"/>
      </w:divBdr>
    </w:div>
    <w:div w:id="1024555464">
      <w:marLeft w:val="0"/>
      <w:marRight w:val="0"/>
      <w:marTop w:val="120"/>
      <w:marBottom w:val="0"/>
      <w:divBdr>
        <w:top w:val="none" w:sz="0" w:space="0" w:color="auto"/>
        <w:left w:val="none" w:sz="0" w:space="0" w:color="auto"/>
        <w:bottom w:val="none" w:sz="0" w:space="0" w:color="auto"/>
        <w:right w:val="none" w:sz="0" w:space="0" w:color="auto"/>
      </w:divBdr>
    </w:div>
    <w:div w:id="1024592905">
      <w:marLeft w:val="0"/>
      <w:marRight w:val="0"/>
      <w:marTop w:val="0"/>
      <w:marBottom w:val="0"/>
      <w:divBdr>
        <w:top w:val="none" w:sz="0" w:space="0" w:color="auto"/>
        <w:left w:val="none" w:sz="0" w:space="0" w:color="auto"/>
        <w:bottom w:val="none" w:sz="0" w:space="0" w:color="auto"/>
        <w:right w:val="none" w:sz="0" w:space="0" w:color="auto"/>
      </w:divBdr>
      <w:divsChild>
        <w:div w:id="1970162314">
          <w:marLeft w:val="0"/>
          <w:marRight w:val="0"/>
          <w:marTop w:val="0"/>
          <w:marBottom w:val="0"/>
          <w:divBdr>
            <w:top w:val="none" w:sz="0" w:space="0" w:color="auto"/>
            <w:left w:val="none" w:sz="0" w:space="0" w:color="auto"/>
            <w:bottom w:val="none" w:sz="0" w:space="0" w:color="auto"/>
            <w:right w:val="none" w:sz="0" w:space="0" w:color="auto"/>
          </w:divBdr>
        </w:div>
      </w:divsChild>
    </w:div>
    <w:div w:id="1024673906">
      <w:marLeft w:val="0"/>
      <w:marRight w:val="0"/>
      <w:marTop w:val="120"/>
      <w:marBottom w:val="0"/>
      <w:divBdr>
        <w:top w:val="none" w:sz="0" w:space="0" w:color="auto"/>
        <w:left w:val="none" w:sz="0" w:space="0" w:color="auto"/>
        <w:bottom w:val="none" w:sz="0" w:space="0" w:color="auto"/>
        <w:right w:val="none" w:sz="0" w:space="0" w:color="auto"/>
      </w:divBdr>
    </w:div>
    <w:div w:id="1029380993">
      <w:marLeft w:val="0"/>
      <w:marRight w:val="0"/>
      <w:marTop w:val="120"/>
      <w:marBottom w:val="0"/>
      <w:divBdr>
        <w:top w:val="none" w:sz="0" w:space="0" w:color="auto"/>
        <w:left w:val="none" w:sz="0" w:space="0" w:color="auto"/>
        <w:bottom w:val="none" w:sz="0" w:space="0" w:color="auto"/>
        <w:right w:val="none" w:sz="0" w:space="0" w:color="auto"/>
      </w:divBdr>
    </w:div>
    <w:div w:id="1029721360">
      <w:marLeft w:val="0"/>
      <w:marRight w:val="0"/>
      <w:marTop w:val="120"/>
      <w:marBottom w:val="0"/>
      <w:divBdr>
        <w:top w:val="none" w:sz="0" w:space="0" w:color="auto"/>
        <w:left w:val="none" w:sz="0" w:space="0" w:color="auto"/>
        <w:bottom w:val="none" w:sz="0" w:space="0" w:color="auto"/>
        <w:right w:val="none" w:sz="0" w:space="0" w:color="auto"/>
      </w:divBdr>
    </w:div>
    <w:div w:id="1029794030">
      <w:marLeft w:val="0"/>
      <w:marRight w:val="0"/>
      <w:marTop w:val="120"/>
      <w:marBottom w:val="0"/>
      <w:divBdr>
        <w:top w:val="none" w:sz="0" w:space="0" w:color="auto"/>
        <w:left w:val="none" w:sz="0" w:space="0" w:color="auto"/>
        <w:bottom w:val="none" w:sz="0" w:space="0" w:color="auto"/>
        <w:right w:val="none" w:sz="0" w:space="0" w:color="auto"/>
      </w:divBdr>
    </w:div>
    <w:div w:id="1030571932">
      <w:marLeft w:val="0"/>
      <w:marRight w:val="0"/>
      <w:marTop w:val="120"/>
      <w:marBottom w:val="0"/>
      <w:divBdr>
        <w:top w:val="none" w:sz="0" w:space="0" w:color="auto"/>
        <w:left w:val="none" w:sz="0" w:space="0" w:color="auto"/>
        <w:bottom w:val="none" w:sz="0" w:space="0" w:color="auto"/>
        <w:right w:val="none" w:sz="0" w:space="0" w:color="auto"/>
      </w:divBdr>
    </w:div>
    <w:div w:id="1031303929">
      <w:marLeft w:val="0"/>
      <w:marRight w:val="0"/>
      <w:marTop w:val="120"/>
      <w:marBottom w:val="0"/>
      <w:divBdr>
        <w:top w:val="none" w:sz="0" w:space="0" w:color="auto"/>
        <w:left w:val="none" w:sz="0" w:space="0" w:color="auto"/>
        <w:bottom w:val="none" w:sz="0" w:space="0" w:color="auto"/>
        <w:right w:val="none" w:sz="0" w:space="0" w:color="auto"/>
      </w:divBdr>
    </w:div>
    <w:div w:id="1031880138">
      <w:marLeft w:val="0"/>
      <w:marRight w:val="0"/>
      <w:marTop w:val="120"/>
      <w:marBottom w:val="0"/>
      <w:divBdr>
        <w:top w:val="none" w:sz="0" w:space="0" w:color="auto"/>
        <w:left w:val="none" w:sz="0" w:space="0" w:color="auto"/>
        <w:bottom w:val="none" w:sz="0" w:space="0" w:color="auto"/>
        <w:right w:val="none" w:sz="0" w:space="0" w:color="auto"/>
      </w:divBdr>
    </w:div>
    <w:div w:id="1032340772">
      <w:marLeft w:val="0"/>
      <w:marRight w:val="0"/>
      <w:marTop w:val="0"/>
      <w:marBottom w:val="0"/>
      <w:divBdr>
        <w:top w:val="none" w:sz="0" w:space="0" w:color="auto"/>
        <w:left w:val="none" w:sz="0" w:space="0" w:color="auto"/>
        <w:bottom w:val="none" w:sz="0" w:space="0" w:color="auto"/>
        <w:right w:val="none" w:sz="0" w:space="0" w:color="auto"/>
      </w:divBdr>
    </w:div>
    <w:div w:id="1033387430">
      <w:marLeft w:val="0"/>
      <w:marRight w:val="0"/>
      <w:marTop w:val="0"/>
      <w:marBottom w:val="0"/>
      <w:divBdr>
        <w:top w:val="none" w:sz="0" w:space="0" w:color="auto"/>
        <w:left w:val="none" w:sz="0" w:space="0" w:color="auto"/>
        <w:bottom w:val="none" w:sz="0" w:space="0" w:color="auto"/>
        <w:right w:val="none" w:sz="0" w:space="0" w:color="auto"/>
      </w:divBdr>
    </w:div>
    <w:div w:id="1033457740">
      <w:marLeft w:val="0"/>
      <w:marRight w:val="0"/>
      <w:marTop w:val="120"/>
      <w:marBottom w:val="0"/>
      <w:divBdr>
        <w:top w:val="none" w:sz="0" w:space="0" w:color="auto"/>
        <w:left w:val="none" w:sz="0" w:space="0" w:color="auto"/>
        <w:bottom w:val="none" w:sz="0" w:space="0" w:color="auto"/>
        <w:right w:val="none" w:sz="0" w:space="0" w:color="auto"/>
      </w:divBdr>
    </w:div>
    <w:div w:id="1034967137">
      <w:marLeft w:val="0"/>
      <w:marRight w:val="0"/>
      <w:marTop w:val="120"/>
      <w:marBottom w:val="0"/>
      <w:divBdr>
        <w:top w:val="none" w:sz="0" w:space="0" w:color="auto"/>
        <w:left w:val="none" w:sz="0" w:space="0" w:color="auto"/>
        <w:bottom w:val="none" w:sz="0" w:space="0" w:color="auto"/>
        <w:right w:val="none" w:sz="0" w:space="0" w:color="auto"/>
      </w:divBdr>
    </w:div>
    <w:div w:id="1036348884">
      <w:marLeft w:val="0"/>
      <w:marRight w:val="0"/>
      <w:marTop w:val="120"/>
      <w:marBottom w:val="0"/>
      <w:divBdr>
        <w:top w:val="none" w:sz="0" w:space="0" w:color="auto"/>
        <w:left w:val="none" w:sz="0" w:space="0" w:color="auto"/>
        <w:bottom w:val="none" w:sz="0" w:space="0" w:color="auto"/>
        <w:right w:val="none" w:sz="0" w:space="0" w:color="auto"/>
      </w:divBdr>
    </w:div>
    <w:div w:id="1036930345">
      <w:marLeft w:val="0"/>
      <w:marRight w:val="0"/>
      <w:marTop w:val="0"/>
      <w:marBottom w:val="0"/>
      <w:divBdr>
        <w:top w:val="none" w:sz="0" w:space="0" w:color="auto"/>
        <w:left w:val="none" w:sz="0" w:space="0" w:color="auto"/>
        <w:bottom w:val="none" w:sz="0" w:space="0" w:color="auto"/>
        <w:right w:val="none" w:sz="0" w:space="0" w:color="auto"/>
      </w:divBdr>
    </w:div>
    <w:div w:id="1038354657">
      <w:marLeft w:val="0"/>
      <w:marRight w:val="0"/>
      <w:marTop w:val="0"/>
      <w:marBottom w:val="0"/>
      <w:divBdr>
        <w:top w:val="none" w:sz="0" w:space="0" w:color="auto"/>
        <w:left w:val="none" w:sz="0" w:space="0" w:color="auto"/>
        <w:bottom w:val="none" w:sz="0" w:space="0" w:color="auto"/>
        <w:right w:val="none" w:sz="0" w:space="0" w:color="auto"/>
      </w:divBdr>
    </w:div>
    <w:div w:id="1042828930">
      <w:marLeft w:val="0"/>
      <w:marRight w:val="0"/>
      <w:marTop w:val="0"/>
      <w:marBottom w:val="0"/>
      <w:divBdr>
        <w:top w:val="none" w:sz="0" w:space="0" w:color="auto"/>
        <w:left w:val="none" w:sz="0" w:space="0" w:color="auto"/>
        <w:bottom w:val="none" w:sz="0" w:space="0" w:color="auto"/>
        <w:right w:val="none" w:sz="0" w:space="0" w:color="auto"/>
      </w:divBdr>
    </w:div>
    <w:div w:id="1045107861">
      <w:marLeft w:val="0"/>
      <w:marRight w:val="0"/>
      <w:marTop w:val="0"/>
      <w:marBottom w:val="0"/>
      <w:divBdr>
        <w:top w:val="none" w:sz="0" w:space="0" w:color="auto"/>
        <w:left w:val="none" w:sz="0" w:space="0" w:color="auto"/>
        <w:bottom w:val="none" w:sz="0" w:space="0" w:color="auto"/>
        <w:right w:val="none" w:sz="0" w:space="0" w:color="auto"/>
      </w:divBdr>
    </w:div>
    <w:div w:id="1047148905">
      <w:marLeft w:val="0"/>
      <w:marRight w:val="0"/>
      <w:marTop w:val="120"/>
      <w:marBottom w:val="0"/>
      <w:divBdr>
        <w:top w:val="none" w:sz="0" w:space="0" w:color="auto"/>
        <w:left w:val="none" w:sz="0" w:space="0" w:color="auto"/>
        <w:bottom w:val="none" w:sz="0" w:space="0" w:color="auto"/>
        <w:right w:val="none" w:sz="0" w:space="0" w:color="auto"/>
      </w:divBdr>
    </w:div>
    <w:div w:id="1049260349">
      <w:marLeft w:val="0"/>
      <w:marRight w:val="0"/>
      <w:marTop w:val="120"/>
      <w:marBottom w:val="0"/>
      <w:divBdr>
        <w:top w:val="none" w:sz="0" w:space="0" w:color="auto"/>
        <w:left w:val="none" w:sz="0" w:space="0" w:color="auto"/>
        <w:bottom w:val="none" w:sz="0" w:space="0" w:color="auto"/>
        <w:right w:val="none" w:sz="0" w:space="0" w:color="auto"/>
      </w:divBdr>
    </w:div>
    <w:div w:id="1050376255">
      <w:marLeft w:val="0"/>
      <w:marRight w:val="0"/>
      <w:marTop w:val="0"/>
      <w:marBottom w:val="0"/>
      <w:divBdr>
        <w:top w:val="none" w:sz="0" w:space="0" w:color="auto"/>
        <w:left w:val="none" w:sz="0" w:space="0" w:color="auto"/>
        <w:bottom w:val="none" w:sz="0" w:space="0" w:color="auto"/>
        <w:right w:val="none" w:sz="0" w:space="0" w:color="auto"/>
      </w:divBdr>
    </w:div>
    <w:div w:id="1051614805">
      <w:marLeft w:val="0"/>
      <w:marRight w:val="0"/>
      <w:marTop w:val="0"/>
      <w:marBottom w:val="0"/>
      <w:divBdr>
        <w:top w:val="none" w:sz="0" w:space="0" w:color="auto"/>
        <w:left w:val="none" w:sz="0" w:space="0" w:color="auto"/>
        <w:bottom w:val="none" w:sz="0" w:space="0" w:color="auto"/>
        <w:right w:val="none" w:sz="0" w:space="0" w:color="auto"/>
      </w:divBdr>
      <w:divsChild>
        <w:div w:id="1530029512">
          <w:marLeft w:val="0"/>
          <w:marRight w:val="0"/>
          <w:marTop w:val="0"/>
          <w:marBottom w:val="0"/>
          <w:divBdr>
            <w:top w:val="none" w:sz="0" w:space="0" w:color="auto"/>
            <w:left w:val="none" w:sz="0" w:space="0" w:color="auto"/>
            <w:bottom w:val="none" w:sz="0" w:space="0" w:color="auto"/>
            <w:right w:val="none" w:sz="0" w:space="0" w:color="auto"/>
          </w:divBdr>
        </w:div>
      </w:divsChild>
    </w:div>
    <w:div w:id="1051684848">
      <w:marLeft w:val="0"/>
      <w:marRight w:val="0"/>
      <w:marTop w:val="0"/>
      <w:marBottom w:val="0"/>
      <w:divBdr>
        <w:top w:val="none" w:sz="0" w:space="0" w:color="auto"/>
        <w:left w:val="none" w:sz="0" w:space="0" w:color="auto"/>
        <w:bottom w:val="none" w:sz="0" w:space="0" w:color="auto"/>
        <w:right w:val="none" w:sz="0" w:space="0" w:color="auto"/>
      </w:divBdr>
      <w:divsChild>
        <w:div w:id="552546676">
          <w:marLeft w:val="0"/>
          <w:marRight w:val="0"/>
          <w:marTop w:val="0"/>
          <w:marBottom w:val="0"/>
          <w:divBdr>
            <w:top w:val="none" w:sz="0" w:space="0" w:color="auto"/>
            <w:left w:val="none" w:sz="0" w:space="0" w:color="auto"/>
            <w:bottom w:val="none" w:sz="0" w:space="0" w:color="auto"/>
            <w:right w:val="none" w:sz="0" w:space="0" w:color="auto"/>
          </w:divBdr>
        </w:div>
      </w:divsChild>
    </w:div>
    <w:div w:id="1052540911">
      <w:marLeft w:val="0"/>
      <w:marRight w:val="0"/>
      <w:marTop w:val="0"/>
      <w:marBottom w:val="0"/>
      <w:divBdr>
        <w:top w:val="none" w:sz="0" w:space="0" w:color="auto"/>
        <w:left w:val="none" w:sz="0" w:space="0" w:color="auto"/>
        <w:bottom w:val="none" w:sz="0" w:space="0" w:color="auto"/>
        <w:right w:val="none" w:sz="0" w:space="0" w:color="auto"/>
      </w:divBdr>
    </w:div>
    <w:div w:id="1052777229">
      <w:marLeft w:val="0"/>
      <w:marRight w:val="0"/>
      <w:marTop w:val="120"/>
      <w:marBottom w:val="0"/>
      <w:divBdr>
        <w:top w:val="none" w:sz="0" w:space="0" w:color="auto"/>
        <w:left w:val="none" w:sz="0" w:space="0" w:color="auto"/>
        <w:bottom w:val="none" w:sz="0" w:space="0" w:color="auto"/>
        <w:right w:val="none" w:sz="0" w:space="0" w:color="auto"/>
      </w:divBdr>
    </w:div>
    <w:div w:id="1053847486">
      <w:marLeft w:val="0"/>
      <w:marRight w:val="0"/>
      <w:marTop w:val="0"/>
      <w:marBottom w:val="0"/>
      <w:divBdr>
        <w:top w:val="none" w:sz="0" w:space="0" w:color="auto"/>
        <w:left w:val="none" w:sz="0" w:space="0" w:color="auto"/>
        <w:bottom w:val="none" w:sz="0" w:space="0" w:color="auto"/>
        <w:right w:val="none" w:sz="0" w:space="0" w:color="auto"/>
      </w:divBdr>
      <w:divsChild>
        <w:div w:id="707603761">
          <w:marLeft w:val="0"/>
          <w:marRight w:val="0"/>
          <w:marTop w:val="0"/>
          <w:marBottom w:val="0"/>
          <w:divBdr>
            <w:top w:val="none" w:sz="0" w:space="0" w:color="auto"/>
            <w:left w:val="none" w:sz="0" w:space="0" w:color="auto"/>
            <w:bottom w:val="none" w:sz="0" w:space="0" w:color="auto"/>
            <w:right w:val="none" w:sz="0" w:space="0" w:color="auto"/>
          </w:divBdr>
        </w:div>
      </w:divsChild>
    </w:div>
    <w:div w:id="1056660888">
      <w:marLeft w:val="0"/>
      <w:marRight w:val="0"/>
      <w:marTop w:val="0"/>
      <w:marBottom w:val="0"/>
      <w:divBdr>
        <w:top w:val="none" w:sz="0" w:space="0" w:color="auto"/>
        <w:left w:val="none" w:sz="0" w:space="0" w:color="auto"/>
        <w:bottom w:val="none" w:sz="0" w:space="0" w:color="auto"/>
        <w:right w:val="none" w:sz="0" w:space="0" w:color="auto"/>
      </w:divBdr>
    </w:div>
    <w:div w:id="1056900153">
      <w:marLeft w:val="0"/>
      <w:marRight w:val="0"/>
      <w:marTop w:val="120"/>
      <w:marBottom w:val="0"/>
      <w:divBdr>
        <w:top w:val="none" w:sz="0" w:space="0" w:color="auto"/>
        <w:left w:val="none" w:sz="0" w:space="0" w:color="auto"/>
        <w:bottom w:val="none" w:sz="0" w:space="0" w:color="auto"/>
        <w:right w:val="none" w:sz="0" w:space="0" w:color="auto"/>
      </w:divBdr>
    </w:div>
    <w:div w:id="1057053930">
      <w:marLeft w:val="0"/>
      <w:marRight w:val="0"/>
      <w:marTop w:val="120"/>
      <w:marBottom w:val="0"/>
      <w:divBdr>
        <w:top w:val="none" w:sz="0" w:space="0" w:color="auto"/>
        <w:left w:val="none" w:sz="0" w:space="0" w:color="auto"/>
        <w:bottom w:val="none" w:sz="0" w:space="0" w:color="auto"/>
        <w:right w:val="none" w:sz="0" w:space="0" w:color="auto"/>
      </w:divBdr>
    </w:div>
    <w:div w:id="1058867873">
      <w:marLeft w:val="0"/>
      <w:marRight w:val="0"/>
      <w:marTop w:val="120"/>
      <w:marBottom w:val="0"/>
      <w:divBdr>
        <w:top w:val="none" w:sz="0" w:space="0" w:color="auto"/>
        <w:left w:val="none" w:sz="0" w:space="0" w:color="auto"/>
        <w:bottom w:val="none" w:sz="0" w:space="0" w:color="auto"/>
        <w:right w:val="none" w:sz="0" w:space="0" w:color="auto"/>
      </w:divBdr>
    </w:div>
    <w:div w:id="1059329876">
      <w:marLeft w:val="0"/>
      <w:marRight w:val="0"/>
      <w:marTop w:val="0"/>
      <w:marBottom w:val="0"/>
      <w:divBdr>
        <w:top w:val="none" w:sz="0" w:space="0" w:color="auto"/>
        <w:left w:val="none" w:sz="0" w:space="0" w:color="auto"/>
        <w:bottom w:val="none" w:sz="0" w:space="0" w:color="auto"/>
        <w:right w:val="none" w:sz="0" w:space="0" w:color="auto"/>
      </w:divBdr>
    </w:div>
    <w:div w:id="1060404973">
      <w:marLeft w:val="0"/>
      <w:marRight w:val="0"/>
      <w:marTop w:val="0"/>
      <w:marBottom w:val="0"/>
      <w:divBdr>
        <w:top w:val="none" w:sz="0" w:space="0" w:color="auto"/>
        <w:left w:val="none" w:sz="0" w:space="0" w:color="auto"/>
        <w:bottom w:val="none" w:sz="0" w:space="0" w:color="auto"/>
        <w:right w:val="none" w:sz="0" w:space="0" w:color="auto"/>
      </w:divBdr>
      <w:divsChild>
        <w:div w:id="86078143">
          <w:marLeft w:val="0"/>
          <w:marRight w:val="0"/>
          <w:marTop w:val="0"/>
          <w:marBottom w:val="0"/>
          <w:divBdr>
            <w:top w:val="none" w:sz="0" w:space="0" w:color="auto"/>
            <w:left w:val="none" w:sz="0" w:space="0" w:color="auto"/>
            <w:bottom w:val="none" w:sz="0" w:space="0" w:color="auto"/>
            <w:right w:val="none" w:sz="0" w:space="0" w:color="auto"/>
          </w:divBdr>
        </w:div>
      </w:divsChild>
    </w:div>
    <w:div w:id="1061900322">
      <w:marLeft w:val="0"/>
      <w:marRight w:val="0"/>
      <w:marTop w:val="120"/>
      <w:marBottom w:val="0"/>
      <w:divBdr>
        <w:top w:val="none" w:sz="0" w:space="0" w:color="auto"/>
        <w:left w:val="none" w:sz="0" w:space="0" w:color="auto"/>
        <w:bottom w:val="none" w:sz="0" w:space="0" w:color="auto"/>
        <w:right w:val="none" w:sz="0" w:space="0" w:color="auto"/>
      </w:divBdr>
    </w:div>
    <w:div w:id="1062363892">
      <w:marLeft w:val="0"/>
      <w:marRight w:val="0"/>
      <w:marTop w:val="0"/>
      <w:marBottom w:val="60"/>
      <w:divBdr>
        <w:top w:val="none" w:sz="0" w:space="0" w:color="auto"/>
        <w:left w:val="none" w:sz="0" w:space="0" w:color="auto"/>
        <w:bottom w:val="none" w:sz="0" w:space="0" w:color="auto"/>
        <w:right w:val="none" w:sz="0" w:space="0" w:color="auto"/>
      </w:divBdr>
    </w:div>
    <w:div w:id="1062673305">
      <w:marLeft w:val="0"/>
      <w:marRight w:val="0"/>
      <w:marTop w:val="120"/>
      <w:marBottom w:val="0"/>
      <w:divBdr>
        <w:top w:val="none" w:sz="0" w:space="0" w:color="auto"/>
        <w:left w:val="none" w:sz="0" w:space="0" w:color="auto"/>
        <w:bottom w:val="none" w:sz="0" w:space="0" w:color="auto"/>
        <w:right w:val="none" w:sz="0" w:space="0" w:color="auto"/>
      </w:divBdr>
    </w:div>
    <w:div w:id="1063915414">
      <w:marLeft w:val="0"/>
      <w:marRight w:val="0"/>
      <w:marTop w:val="120"/>
      <w:marBottom w:val="0"/>
      <w:divBdr>
        <w:top w:val="none" w:sz="0" w:space="0" w:color="auto"/>
        <w:left w:val="none" w:sz="0" w:space="0" w:color="auto"/>
        <w:bottom w:val="none" w:sz="0" w:space="0" w:color="auto"/>
        <w:right w:val="none" w:sz="0" w:space="0" w:color="auto"/>
      </w:divBdr>
    </w:div>
    <w:div w:id="1064640402">
      <w:marLeft w:val="0"/>
      <w:marRight w:val="0"/>
      <w:marTop w:val="0"/>
      <w:marBottom w:val="0"/>
      <w:divBdr>
        <w:top w:val="none" w:sz="0" w:space="0" w:color="auto"/>
        <w:left w:val="none" w:sz="0" w:space="0" w:color="auto"/>
        <w:bottom w:val="none" w:sz="0" w:space="0" w:color="auto"/>
        <w:right w:val="none" w:sz="0" w:space="0" w:color="auto"/>
      </w:divBdr>
    </w:div>
    <w:div w:id="1065638284">
      <w:marLeft w:val="0"/>
      <w:marRight w:val="0"/>
      <w:marTop w:val="120"/>
      <w:marBottom w:val="0"/>
      <w:divBdr>
        <w:top w:val="none" w:sz="0" w:space="0" w:color="auto"/>
        <w:left w:val="none" w:sz="0" w:space="0" w:color="auto"/>
        <w:bottom w:val="none" w:sz="0" w:space="0" w:color="auto"/>
        <w:right w:val="none" w:sz="0" w:space="0" w:color="auto"/>
      </w:divBdr>
    </w:div>
    <w:div w:id="1065952323">
      <w:marLeft w:val="0"/>
      <w:marRight w:val="0"/>
      <w:marTop w:val="0"/>
      <w:marBottom w:val="0"/>
      <w:divBdr>
        <w:top w:val="none" w:sz="0" w:space="0" w:color="auto"/>
        <w:left w:val="none" w:sz="0" w:space="0" w:color="auto"/>
        <w:bottom w:val="none" w:sz="0" w:space="0" w:color="auto"/>
        <w:right w:val="none" w:sz="0" w:space="0" w:color="auto"/>
      </w:divBdr>
    </w:div>
    <w:div w:id="1066298916">
      <w:marLeft w:val="0"/>
      <w:marRight w:val="0"/>
      <w:marTop w:val="120"/>
      <w:marBottom w:val="0"/>
      <w:divBdr>
        <w:top w:val="none" w:sz="0" w:space="0" w:color="auto"/>
        <w:left w:val="none" w:sz="0" w:space="0" w:color="auto"/>
        <w:bottom w:val="none" w:sz="0" w:space="0" w:color="auto"/>
        <w:right w:val="none" w:sz="0" w:space="0" w:color="auto"/>
      </w:divBdr>
    </w:div>
    <w:div w:id="1068066955">
      <w:marLeft w:val="0"/>
      <w:marRight w:val="0"/>
      <w:marTop w:val="0"/>
      <w:marBottom w:val="0"/>
      <w:divBdr>
        <w:top w:val="none" w:sz="0" w:space="0" w:color="auto"/>
        <w:left w:val="none" w:sz="0" w:space="0" w:color="auto"/>
        <w:bottom w:val="none" w:sz="0" w:space="0" w:color="auto"/>
        <w:right w:val="none" w:sz="0" w:space="0" w:color="auto"/>
      </w:divBdr>
    </w:div>
    <w:div w:id="1070614985">
      <w:marLeft w:val="0"/>
      <w:marRight w:val="0"/>
      <w:marTop w:val="120"/>
      <w:marBottom w:val="0"/>
      <w:divBdr>
        <w:top w:val="none" w:sz="0" w:space="0" w:color="auto"/>
        <w:left w:val="none" w:sz="0" w:space="0" w:color="auto"/>
        <w:bottom w:val="none" w:sz="0" w:space="0" w:color="auto"/>
        <w:right w:val="none" w:sz="0" w:space="0" w:color="auto"/>
      </w:divBdr>
    </w:div>
    <w:div w:id="1073697673">
      <w:marLeft w:val="0"/>
      <w:marRight w:val="0"/>
      <w:marTop w:val="120"/>
      <w:marBottom w:val="0"/>
      <w:divBdr>
        <w:top w:val="none" w:sz="0" w:space="0" w:color="auto"/>
        <w:left w:val="none" w:sz="0" w:space="0" w:color="auto"/>
        <w:bottom w:val="none" w:sz="0" w:space="0" w:color="auto"/>
        <w:right w:val="none" w:sz="0" w:space="0" w:color="auto"/>
      </w:divBdr>
    </w:div>
    <w:div w:id="1075128920">
      <w:marLeft w:val="0"/>
      <w:marRight w:val="0"/>
      <w:marTop w:val="120"/>
      <w:marBottom w:val="0"/>
      <w:divBdr>
        <w:top w:val="none" w:sz="0" w:space="0" w:color="auto"/>
        <w:left w:val="none" w:sz="0" w:space="0" w:color="auto"/>
        <w:bottom w:val="none" w:sz="0" w:space="0" w:color="auto"/>
        <w:right w:val="none" w:sz="0" w:space="0" w:color="auto"/>
      </w:divBdr>
    </w:div>
    <w:div w:id="1075474950">
      <w:marLeft w:val="0"/>
      <w:marRight w:val="0"/>
      <w:marTop w:val="0"/>
      <w:marBottom w:val="0"/>
      <w:divBdr>
        <w:top w:val="none" w:sz="0" w:space="0" w:color="auto"/>
        <w:left w:val="none" w:sz="0" w:space="0" w:color="auto"/>
        <w:bottom w:val="none" w:sz="0" w:space="0" w:color="auto"/>
        <w:right w:val="none" w:sz="0" w:space="0" w:color="auto"/>
      </w:divBdr>
      <w:divsChild>
        <w:div w:id="2078892017">
          <w:marLeft w:val="0"/>
          <w:marRight w:val="0"/>
          <w:marTop w:val="0"/>
          <w:marBottom w:val="0"/>
          <w:divBdr>
            <w:top w:val="none" w:sz="0" w:space="0" w:color="auto"/>
            <w:left w:val="none" w:sz="0" w:space="0" w:color="auto"/>
            <w:bottom w:val="none" w:sz="0" w:space="0" w:color="auto"/>
            <w:right w:val="none" w:sz="0" w:space="0" w:color="auto"/>
          </w:divBdr>
        </w:div>
      </w:divsChild>
    </w:div>
    <w:div w:id="1076051210">
      <w:marLeft w:val="0"/>
      <w:marRight w:val="0"/>
      <w:marTop w:val="120"/>
      <w:marBottom w:val="0"/>
      <w:divBdr>
        <w:top w:val="none" w:sz="0" w:space="0" w:color="auto"/>
        <w:left w:val="none" w:sz="0" w:space="0" w:color="auto"/>
        <w:bottom w:val="none" w:sz="0" w:space="0" w:color="auto"/>
        <w:right w:val="none" w:sz="0" w:space="0" w:color="auto"/>
      </w:divBdr>
    </w:div>
    <w:div w:id="1076903647">
      <w:marLeft w:val="0"/>
      <w:marRight w:val="0"/>
      <w:marTop w:val="120"/>
      <w:marBottom w:val="120"/>
      <w:divBdr>
        <w:top w:val="none" w:sz="0" w:space="0" w:color="auto"/>
        <w:left w:val="none" w:sz="0" w:space="0" w:color="auto"/>
        <w:bottom w:val="none" w:sz="0" w:space="0" w:color="auto"/>
        <w:right w:val="none" w:sz="0" w:space="0" w:color="auto"/>
      </w:divBdr>
    </w:div>
    <w:div w:id="1080372315">
      <w:marLeft w:val="0"/>
      <w:marRight w:val="0"/>
      <w:marTop w:val="0"/>
      <w:marBottom w:val="0"/>
      <w:divBdr>
        <w:top w:val="none" w:sz="0" w:space="0" w:color="auto"/>
        <w:left w:val="none" w:sz="0" w:space="0" w:color="auto"/>
        <w:bottom w:val="none" w:sz="0" w:space="0" w:color="auto"/>
        <w:right w:val="none" w:sz="0" w:space="0" w:color="auto"/>
      </w:divBdr>
    </w:div>
    <w:div w:id="1080710109">
      <w:marLeft w:val="0"/>
      <w:marRight w:val="0"/>
      <w:marTop w:val="0"/>
      <w:marBottom w:val="287"/>
      <w:divBdr>
        <w:top w:val="none" w:sz="0" w:space="0" w:color="auto"/>
        <w:left w:val="none" w:sz="0" w:space="0" w:color="auto"/>
        <w:bottom w:val="none" w:sz="0" w:space="0" w:color="auto"/>
        <w:right w:val="none" w:sz="0" w:space="0" w:color="auto"/>
      </w:divBdr>
    </w:div>
    <w:div w:id="1081559164">
      <w:marLeft w:val="0"/>
      <w:marRight w:val="0"/>
      <w:marTop w:val="0"/>
      <w:marBottom w:val="0"/>
      <w:divBdr>
        <w:top w:val="none" w:sz="0" w:space="0" w:color="auto"/>
        <w:left w:val="none" w:sz="0" w:space="0" w:color="auto"/>
        <w:bottom w:val="none" w:sz="0" w:space="0" w:color="auto"/>
        <w:right w:val="none" w:sz="0" w:space="0" w:color="auto"/>
      </w:divBdr>
      <w:divsChild>
        <w:div w:id="475880082">
          <w:marLeft w:val="0"/>
          <w:marRight w:val="0"/>
          <w:marTop w:val="0"/>
          <w:marBottom w:val="0"/>
          <w:divBdr>
            <w:top w:val="none" w:sz="0" w:space="0" w:color="auto"/>
            <w:left w:val="none" w:sz="0" w:space="0" w:color="auto"/>
            <w:bottom w:val="none" w:sz="0" w:space="0" w:color="auto"/>
            <w:right w:val="none" w:sz="0" w:space="0" w:color="auto"/>
          </w:divBdr>
        </w:div>
      </w:divsChild>
    </w:div>
    <w:div w:id="1084835200">
      <w:marLeft w:val="0"/>
      <w:marRight w:val="0"/>
      <w:marTop w:val="0"/>
      <w:marBottom w:val="120"/>
      <w:divBdr>
        <w:top w:val="none" w:sz="0" w:space="0" w:color="auto"/>
        <w:left w:val="none" w:sz="0" w:space="0" w:color="auto"/>
        <w:bottom w:val="none" w:sz="0" w:space="0" w:color="auto"/>
        <w:right w:val="none" w:sz="0" w:space="0" w:color="auto"/>
      </w:divBdr>
    </w:div>
    <w:div w:id="1086224667">
      <w:marLeft w:val="0"/>
      <w:marRight w:val="0"/>
      <w:marTop w:val="0"/>
      <w:marBottom w:val="120"/>
      <w:divBdr>
        <w:top w:val="none" w:sz="0" w:space="0" w:color="auto"/>
        <w:left w:val="none" w:sz="0" w:space="0" w:color="auto"/>
        <w:bottom w:val="none" w:sz="0" w:space="0" w:color="auto"/>
        <w:right w:val="none" w:sz="0" w:space="0" w:color="auto"/>
      </w:divBdr>
    </w:div>
    <w:div w:id="1087382950">
      <w:marLeft w:val="0"/>
      <w:marRight w:val="0"/>
      <w:marTop w:val="120"/>
      <w:marBottom w:val="0"/>
      <w:divBdr>
        <w:top w:val="none" w:sz="0" w:space="0" w:color="auto"/>
        <w:left w:val="none" w:sz="0" w:space="0" w:color="auto"/>
        <w:bottom w:val="none" w:sz="0" w:space="0" w:color="auto"/>
        <w:right w:val="none" w:sz="0" w:space="0" w:color="auto"/>
      </w:divBdr>
    </w:div>
    <w:div w:id="1087769888">
      <w:marLeft w:val="0"/>
      <w:marRight w:val="0"/>
      <w:marTop w:val="120"/>
      <w:marBottom w:val="0"/>
      <w:divBdr>
        <w:top w:val="none" w:sz="0" w:space="0" w:color="auto"/>
        <w:left w:val="none" w:sz="0" w:space="0" w:color="auto"/>
        <w:bottom w:val="none" w:sz="0" w:space="0" w:color="auto"/>
        <w:right w:val="none" w:sz="0" w:space="0" w:color="auto"/>
      </w:divBdr>
    </w:div>
    <w:div w:id="1088042324">
      <w:marLeft w:val="0"/>
      <w:marRight w:val="0"/>
      <w:marTop w:val="120"/>
      <w:marBottom w:val="0"/>
      <w:divBdr>
        <w:top w:val="none" w:sz="0" w:space="0" w:color="auto"/>
        <w:left w:val="none" w:sz="0" w:space="0" w:color="auto"/>
        <w:bottom w:val="none" w:sz="0" w:space="0" w:color="auto"/>
        <w:right w:val="none" w:sz="0" w:space="0" w:color="auto"/>
      </w:divBdr>
    </w:div>
    <w:div w:id="1091395278">
      <w:marLeft w:val="0"/>
      <w:marRight w:val="0"/>
      <w:marTop w:val="120"/>
      <w:marBottom w:val="0"/>
      <w:divBdr>
        <w:top w:val="none" w:sz="0" w:space="0" w:color="auto"/>
        <w:left w:val="none" w:sz="0" w:space="0" w:color="auto"/>
        <w:bottom w:val="none" w:sz="0" w:space="0" w:color="auto"/>
        <w:right w:val="none" w:sz="0" w:space="0" w:color="auto"/>
      </w:divBdr>
    </w:div>
    <w:div w:id="1093280836">
      <w:marLeft w:val="0"/>
      <w:marRight w:val="0"/>
      <w:marTop w:val="0"/>
      <w:marBottom w:val="0"/>
      <w:divBdr>
        <w:top w:val="none" w:sz="0" w:space="0" w:color="auto"/>
        <w:left w:val="none" w:sz="0" w:space="0" w:color="auto"/>
        <w:bottom w:val="none" w:sz="0" w:space="0" w:color="auto"/>
        <w:right w:val="none" w:sz="0" w:space="0" w:color="auto"/>
      </w:divBdr>
    </w:div>
    <w:div w:id="1093555176">
      <w:marLeft w:val="0"/>
      <w:marRight w:val="0"/>
      <w:marTop w:val="120"/>
      <w:marBottom w:val="0"/>
      <w:divBdr>
        <w:top w:val="none" w:sz="0" w:space="0" w:color="auto"/>
        <w:left w:val="none" w:sz="0" w:space="0" w:color="auto"/>
        <w:bottom w:val="none" w:sz="0" w:space="0" w:color="auto"/>
        <w:right w:val="none" w:sz="0" w:space="0" w:color="auto"/>
      </w:divBdr>
    </w:div>
    <w:div w:id="1094204554">
      <w:marLeft w:val="0"/>
      <w:marRight w:val="0"/>
      <w:marTop w:val="120"/>
      <w:marBottom w:val="0"/>
      <w:divBdr>
        <w:top w:val="none" w:sz="0" w:space="0" w:color="auto"/>
        <w:left w:val="none" w:sz="0" w:space="0" w:color="auto"/>
        <w:bottom w:val="none" w:sz="0" w:space="0" w:color="auto"/>
        <w:right w:val="none" w:sz="0" w:space="0" w:color="auto"/>
      </w:divBdr>
    </w:div>
    <w:div w:id="1096706933">
      <w:marLeft w:val="0"/>
      <w:marRight w:val="0"/>
      <w:marTop w:val="120"/>
      <w:marBottom w:val="0"/>
      <w:divBdr>
        <w:top w:val="none" w:sz="0" w:space="0" w:color="auto"/>
        <w:left w:val="none" w:sz="0" w:space="0" w:color="auto"/>
        <w:bottom w:val="none" w:sz="0" w:space="0" w:color="auto"/>
        <w:right w:val="none" w:sz="0" w:space="0" w:color="auto"/>
      </w:divBdr>
    </w:div>
    <w:div w:id="1097603506">
      <w:marLeft w:val="0"/>
      <w:marRight w:val="0"/>
      <w:marTop w:val="0"/>
      <w:marBottom w:val="0"/>
      <w:divBdr>
        <w:top w:val="none" w:sz="0" w:space="0" w:color="auto"/>
        <w:left w:val="none" w:sz="0" w:space="0" w:color="auto"/>
        <w:bottom w:val="none" w:sz="0" w:space="0" w:color="auto"/>
        <w:right w:val="none" w:sz="0" w:space="0" w:color="auto"/>
      </w:divBdr>
      <w:divsChild>
        <w:div w:id="1882211324">
          <w:marLeft w:val="0"/>
          <w:marRight w:val="0"/>
          <w:marTop w:val="0"/>
          <w:marBottom w:val="0"/>
          <w:divBdr>
            <w:top w:val="none" w:sz="0" w:space="0" w:color="auto"/>
            <w:left w:val="none" w:sz="0" w:space="0" w:color="auto"/>
            <w:bottom w:val="none" w:sz="0" w:space="0" w:color="auto"/>
            <w:right w:val="none" w:sz="0" w:space="0" w:color="auto"/>
          </w:divBdr>
        </w:div>
      </w:divsChild>
    </w:div>
    <w:div w:id="1098336052">
      <w:marLeft w:val="0"/>
      <w:marRight w:val="0"/>
      <w:marTop w:val="0"/>
      <w:marBottom w:val="0"/>
      <w:divBdr>
        <w:top w:val="none" w:sz="0" w:space="0" w:color="auto"/>
        <w:left w:val="none" w:sz="0" w:space="0" w:color="auto"/>
        <w:bottom w:val="none" w:sz="0" w:space="0" w:color="auto"/>
        <w:right w:val="none" w:sz="0" w:space="0" w:color="auto"/>
      </w:divBdr>
      <w:divsChild>
        <w:div w:id="1811746665">
          <w:marLeft w:val="0"/>
          <w:marRight w:val="0"/>
          <w:marTop w:val="0"/>
          <w:marBottom w:val="0"/>
          <w:divBdr>
            <w:top w:val="none" w:sz="0" w:space="0" w:color="auto"/>
            <w:left w:val="none" w:sz="0" w:space="0" w:color="auto"/>
            <w:bottom w:val="none" w:sz="0" w:space="0" w:color="auto"/>
            <w:right w:val="none" w:sz="0" w:space="0" w:color="auto"/>
          </w:divBdr>
        </w:div>
      </w:divsChild>
    </w:div>
    <w:div w:id="1098871300">
      <w:marLeft w:val="0"/>
      <w:marRight w:val="0"/>
      <w:marTop w:val="0"/>
      <w:marBottom w:val="0"/>
      <w:divBdr>
        <w:top w:val="none" w:sz="0" w:space="0" w:color="auto"/>
        <w:left w:val="none" w:sz="0" w:space="0" w:color="auto"/>
        <w:bottom w:val="none" w:sz="0" w:space="0" w:color="auto"/>
        <w:right w:val="none" w:sz="0" w:space="0" w:color="auto"/>
      </w:divBdr>
    </w:div>
    <w:div w:id="1101798239">
      <w:marLeft w:val="0"/>
      <w:marRight w:val="0"/>
      <w:marTop w:val="120"/>
      <w:marBottom w:val="0"/>
      <w:divBdr>
        <w:top w:val="none" w:sz="0" w:space="0" w:color="auto"/>
        <w:left w:val="none" w:sz="0" w:space="0" w:color="auto"/>
        <w:bottom w:val="none" w:sz="0" w:space="0" w:color="auto"/>
        <w:right w:val="none" w:sz="0" w:space="0" w:color="auto"/>
      </w:divBdr>
    </w:div>
    <w:div w:id="1102456017">
      <w:marLeft w:val="0"/>
      <w:marRight w:val="0"/>
      <w:marTop w:val="120"/>
      <w:marBottom w:val="0"/>
      <w:divBdr>
        <w:top w:val="none" w:sz="0" w:space="0" w:color="auto"/>
        <w:left w:val="none" w:sz="0" w:space="0" w:color="auto"/>
        <w:bottom w:val="none" w:sz="0" w:space="0" w:color="auto"/>
        <w:right w:val="none" w:sz="0" w:space="0" w:color="auto"/>
      </w:divBdr>
    </w:div>
    <w:div w:id="1104418691">
      <w:marLeft w:val="0"/>
      <w:marRight w:val="0"/>
      <w:marTop w:val="120"/>
      <w:marBottom w:val="0"/>
      <w:divBdr>
        <w:top w:val="none" w:sz="0" w:space="0" w:color="auto"/>
        <w:left w:val="none" w:sz="0" w:space="0" w:color="auto"/>
        <w:bottom w:val="none" w:sz="0" w:space="0" w:color="auto"/>
        <w:right w:val="none" w:sz="0" w:space="0" w:color="auto"/>
      </w:divBdr>
    </w:div>
    <w:div w:id="1105030208">
      <w:marLeft w:val="0"/>
      <w:marRight w:val="0"/>
      <w:marTop w:val="120"/>
      <w:marBottom w:val="0"/>
      <w:divBdr>
        <w:top w:val="none" w:sz="0" w:space="0" w:color="auto"/>
        <w:left w:val="none" w:sz="0" w:space="0" w:color="auto"/>
        <w:bottom w:val="none" w:sz="0" w:space="0" w:color="auto"/>
        <w:right w:val="none" w:sz="0" w:space="0" w:color="auto"/>
      </w:divBdr>
    </w:div>
    <w:div w:id="1105921567">
      <w:marLeft w:val="0"/>
      <w:marRight w:val="0"/>
      <w:marTop w:val="120"/>
      <w:marBottom w:val="0"/>
      <w:divBdr>
        <w:top w:val="none" w:sz="0" w:space="0" w:color="auto"/>
        <w:left w:val="none" w:sz="0" w:space="0" w:color="auto"/>
        <w:bottom w:val="none" w:sz="0" w:space="0" w:color="auto"/>
        <w:right w:val="none" w:sz="0" w:space="0" w:color="auto"/>
      </w:divBdr>
    </w:div>
    <w:div w:id="1108694190">
      <w:marLeft w:val="0"/>
      <w:marRight w:val="0"/>
      <w:marTop w:val="120"/>
      <w:marBottom w:val="0"/>
      <w:divBdr>
        <w:top w:val="none" w:sz="0" w:space="0" w:color="auto"/>
        <w:left w:val="none" w:sz="0" w:space="0" w:color="auto"/>
        <w:bottom w:val="none" w:sz="0" w:space="0" w:color="auto"/>
        <w:right w:val="none" w:sz="0" w:space="0" w:color="auto"/>
      </w:divBdr>
    </w:div>
    <w:div w:id="1110589465">
      <w:marLeft w:val="0"/>
      <w:marRight w:val="0"/>
      <w:marTop w:val="120"/>
      <w:marBottom w:val="0"/>
      <w:divBdr>
        <w:top w:val="none" w:sz="0" w:space="0" w:color="auto"/>
        <w:left w:val="none" w:sz="0" w:space="0" w:color="auto"/>
        <w:bottom w:val="none" w:sz="0" w:space="0" w:color="auto"/>
        <w:right w:val="none" w:sz="0" w:space="0" w:color="auto"/>
      </w:divBdr>
    </w:div>
    <w:div w:id="1111172156">
      <w:marLeft w:val="0"/>
      <w:marRight w:val="0"/>
      <w:marTop w:val="120"/>
      <w:marBottom w:val="0"/>
      <w:divBdr>
        <w:top w:val="none" w:sz="0" w:space="0" w:color="auto"/>
        <w:left w:val="none" w:sz="0" w:space="0" w:color="auto"/>
        <w:bottom w:val="none" w:sz="0" w:space="0" w:color="auto"/>
        <w:right w:val="none" w:sz="0" w:space="0" w:color="auto"/>
      </w:divBdr>
    </w:div>
    <w:div w:id="1111629478">
      <w:marLeft w:val="0"/>
      <w:marRight w:val="0"/>
      <w:marTop w:val="120"/>
      <w:marBottom w:val="0"/>
      <w:divBdr>
        <w:top w:val="none" w:sz="0" w:space="0" w:color="auto"/>
        <w:left w:val="none" w:sz="0" w:space="0" w:color="auto"/>
        <w:bottom w:val="none" w:sz="0" w:space="0" w:color="auto"/>
        <w:right w:val="none" w:sz="0" w:space="0" w:color="auto"/>
      </w:divBdr>
    </w:div>
    <w:div w:id="1112868420">
      <w:marLeft w:val="0"/>
      <w:marRight w:val="0"/>
      <w:marTop w:val="120"/>
      <w:marBottom w:val="0"/>
      <w:divBdr>
        <w:top w:val="none" w:sz="0" w:space="0" w:color="auto"/>
        <w:left w:val="none" w:sz="0" w:space="0" w:color="auto"/>
        <w:bottom w:val="none" w:sz="0" w:space="0" w:color="auto"/>
        <w:right w:val="none" w:sz="0" w:space="0" w:color="auto"/>
      </w:divBdr>
    </w:div>
    <w:div w:id="1112944607">
      <w:marLeft w:val="0"/>
      <w:marRight w:val="0"/>
      <w:marTop w:val="0"/>
      <w:marBottom w:val="0"/>
      <w:divBdr>
        <w:top w:val="none" w:sz="0" w:space="0" w:color="auto"/>
        <w:left w:val="none" w:sz="0" w:space="0" w:color="auto"/>
        <w:bottom w:val="none" w:sz="0" w:space="0" w:color="auto"/>
        <w:right w:val="none" w:sz="0" w:space="0" w:color="auto"/>
      </w:divBdr>
      <w:divsChild>
        <w:div w:id="1115634560">
          <w:marLeft w:val="0"/>
          <w:marRight w:val="0"/>
          <w:marTop w:val="0"/>
          <w:marBottom w:val="0"/>
          <w:divBdr>
            <w:top w:val="none" w:sz="0" w:space="0" w:color="auto"/>
            <w:left w:val="none" w:sz="0" w:space="0" w:color="auto"/>
            <w:bottom w:val="none" w:sz="0" w:space="0" w:color="auto"/>
            <w:right w:val="none" w:sz="0" w:space="0" w:color="auto"/>
          </w:divBdr>
        </w:div>
      </w:divsChild>
    </w:div>
    <w:div w:id="1113675418">
      <w:marLeft w:val="0"/>
      <w:marRight w:val="0"/>
      <w:marTop w:val="120"/>
      <w:marBottom w:val="0"/>
      <w:divBdr>
        <w:top w:val="none" w:sz="0" w:space="0" w:color="auto"/>
        <w:left w:val="none" w:sz="0" w:space="0" w:color="auto"/>
        <w:bottom w:val="none" w:sz="0" w:space="0" w:color="auto"/>
        <w:right w:val="none" w:sz="0" w:space="0" w:color="auto"/>
      </w:divBdr>
    </w:div>
    <w:div w:id="1114442376">
      <w:marLeft w:val="0"/>
      <w:marRight w:val="0"/>
      <w:marTop w:val="0"/>
      <w:marBottom w:val="0"/>
      <w:divBdr>
        <w:top w:val="none" w:sz="0" w:space="0" w:color="auto"/>
        <w:left w:val="none" w:sz="0" w:space="0" w:color="auto"/>
        <w:bottom w:val="none" w:sz="0" w:space="0" w:color="auto"/>
        <w:right w:val="none" w:sz="0" w:space="0" w:color="auto"/>
      </w:divBdr>
    </w:div>
    <w:div w:id="1117067526">
      <w:marLeft w:val="0"/>
      <w:marRight w:val="0"/>
      <w:marTop w:val="120"/>
      <w:marBottom w:val="0"/>
      <w:divBdr>
        <w:top w:val="none" w:sz="0" w:space="0" w:color="auto"/>
        <w:left w:val="none" w:sz="0" w:space="0" w:color="auto"/>
        <w:bottom w:val="none" w:sz="0" w:space="0" w:color="auto"/>
        <w:right w:val="none" w:sz="0" w:space="0" w:color="auto"/>
      </w:divBdr>
    </w:div>
    <w:div w:id="1118765553">
      <w:marLeft w:val="0"/>
      <w:marRight w:val="0"/>
      <w:marTop w:val="120"/>
      <w:marBottom w:val="0"/>
      <w:divBdr>
        <w:top w:val="none" w:sz="0" w:space="0" w:color="auto"/>
        <w:left w:val="none" w:sz="0" w:space="0" w:color="auto"/>
        <w:bottom w:val="none" w:sz="0" w:space="0" w:color="auto"/>
        <w:right w:val="none" w:sz="0" w:space="0" w:color="auto"/>
      </w:divBdr>
    </w:div>
    <w:div w:id="1119300258">
      <w:marLeft w:val="0"/>
      <w:marRight w:val="0"/>
      <w:marTop w:val="120"/>
      <w:marBottom w:val="0"/>
      <w:divBdr>
        <w:top w:val="none" w:sz="0" w:space="0" w:color="auto"/>
        <w:left w:val="none" w:sz="0" w:space="0" w:color="auto"/>
        <w:bottom w:val="none" w:sz="0" w:space="0" w:color="auto"/>
        <w:right w:val="none" w:sz="0" w:space="0" w:color="auto"/>
      </w:divBdr>
    </w:div>
    <w:div w:id="1119836157">
      <w:marLeft w:val="0"/>
      <w:marRight w:val="0"/>
      <w:marTop w:val="0"/>
      <w:marBottom w:val="0"/>
      <w:divBdr>
        <w:top w:val="none" w:sz="0" w:space="0" w:color="auto"/>
        <w:left w:val="none" w:sz="0" w:space="0" w:color="auto"/>
        <w:bottom w:val="none" w:sz="0" w:space="0" w:color="auto"/>
        <w:right w:val="none" w:sz="0" w:space="0" w:color="auto"/>
      </w:divBdr>
    </w:div>
    <w:div w:id="1120026023">
      <w:marLeft w:val="0"/>
      <w:marRight w:val="0"/>
      <w:marTop w:val="120"/>
      <w:marBottom w:val="0"/>
      <w:divBdr>
        <w:top w:val="none" w:sz="0" w:space="0" w:color="auto"/>
        <w:left w:val="none" w:sz="0" w:space="0" w:color="auto"/>
        <w:bottom w:val="none" w:sz="0" w:space="0" w:color="auto"/>
        <w:right w:val="none" w:sz="0" w:space="0" w:color="auto"/>
      </w:divBdr>
    </w:div>
    <w:div w:id="1120105735">
      <w:marLeft w:val="0"/>
      <w:marRight w:val="0"/>
      <w:marTop w:val="120"/>
      <w:marBottom w:val="0"/>
      <w:divBdr>
        <w:top w:val="none" w:sz="0" w:space="0" w:color="auto"/>
        <w:left w:val="none" w:sz="0" w:space="0" w:color="auto"/>
        <w:bottom w:val="none" w:sz="0" w:space="0" w:color="auto"/>
        <w:right w:val="none" w:sz="0" w:space="0" w:color="auto"/>
      </w:divBdr>
    </w:div>
    <w:div w:id="1120145548">
      <w:marLeft w:val="0"/>
      <w:marRight w:val="0"/>
      <w:marTop w:val="120"/>
      <w:marBottom w:val="0"/>
      <w:divBdr>
        <w:top w:val="none" w:sz="0" w:space="0" w:color="auto"/>
        <w:left w:val="none" w:sz="0" w:space="0" w:color="auto"/>
        <w:bottom w:val="none" w:sz="0" w:space="0" w:color="auto"/>
        <w:right w:val="none" w:sz="0" w:space="0" w:color="auto"/>
      </w:divBdr>
    </w:div>
    <w:div w:id="1120152728">
      <w:marLeft w:val="0"/>
      <w:marRight w:val="0"/>
      <w:marTop w:val="120"/>
      <w:marBottom w:val="0"/>
      <w:divBdr>
        <w:top w:val="none" w:sz="0" w:space="0" w:color="auto"/>
        <w:left w:val="none" w:sz="0" w:space="0" w:color="auto"/>
        <w:bottom w:val="none" w:sz="0" w:space="0" w:color="auto"/>
        <w:right w:val="none" w:sz="0" w:space="0" w:color="auto"/>
      </w:divBdr>
    </w:div>
    <w:div w:id="1120799179">
      <w:marLeft w:val="0"/>
      <w:marRight w:val="0"/>
      <w:marTop w:val="120"/>
      <w:marBottom w:val="0"/>
      <w:divBdr>
        <w:top w:val="none" w:sz="0" w:space="0" w:color="auto"/>
        <w:left w:val="none" w:sz="0" w:space="0" w:color="auto"/>
        <w:bottom w:val="none" w:sz="0" w:space="0" w:color="auto"/>
        <w:right w:val="none" w:sz="0" w:space="0" w:color="auto"/>
      </w:divBdr>
    </w:div>
    <w:div w:id="1120882962">
      <w:marLeft w:val="0"/>
      <w:marRight w:val="0"/>
      <w:marTop w:val="120"/>
      <w:marBottom w:val="0"/>
      <w:divBdr>
        <w:top w:val="none" w:sz="0" w:space="0" w:color="auto"/>
        <w:left w:val="none" w:sz="0" w:space="0" w:color="auto"/>
        <w:bottom w:val="none" w:sz="0" w:space="0" w:color="auto"/>
        <w:right w:val="none" w:sz="0" w:space="0" w:color="auto"/>
      </w:divBdr>
    </w:div>
    <w:div w:id="1121191786">
      <w:marLeft w:val="0"/>
      <w:marRight w:val="0"/>
      <w:marTop w:val="120"/>
      <w:marBottom w:val="0"/>
      <w:divBdr>
        <w:top w:val="none" w:sz="0" w:space="0" w:color="auto"/>
        <w:left w:val="none" w:sz="0" w:space="0" w:color="auto"/>
        <w:bottom w:val="none" w:sz="0" w:space="0" w:color="auto"/>
        <w:right w:val="none" w:sz="0" w:space="0" w:color="auto"/>
      </w:divBdr>
    </w:div>
    <w:div w:id="1123962767">
      <w:marLeft w:val="0"/>
      <w:marRight w:val="0"/>
      <w:marTop w:val="0"/>
      <w:marBottom w:val="0"/>
      <w:divBdr>
        <w:top w:val="none" w:sz="0" w:space="0" w:color="auto"/>
        <w:left w:val="none" w:sz="0" w:space="0" w:color="auto"/>
        <w:bottom w:val="none" w:sz="0" w:space="0" w:color="auto"/>
        <w:right w:val="none" w:sz="0" w:space="0" w:color="auto"/>
      </w:divBdr>
      <w:divsChild>
        <w:div w:id="581305843">
          <w:marLeft w:val="0"/>
          <w:marRight w:val="0"/>
          <w:marTop w:val="0"/>
          <w:marBottom w:val="0"/>
          <w:divBdr>
            <w:top w:val="none" w:sz="0" w:space="0" w:color="auto"/>
            <w:left w:val="none" w:sz="0" w:space="0" w:color="auto"/>
            <w:bottom w:val="none" w:sz="0" w:space="0" w:color="auto"/>
            <w:right w:val="none" w:sz="0" w:space="0" w:color="auto"/>
          </w:divBdr>
        </w:div>
      </w:divsChild>
    </w:div>
    <w:div w:id="1125462765">
      <w:marLeft w:val="0"/>
      <w:marRight w:val="0"/>
      <w:marTop w:val="0"/>
      <w:marBottom w:val="0"/>
      <w:divBdr>
        <w:top w:val="none" w:sz="0" w:space="0" w:color="auto"/>
        <w:left w:val="none" w:sz="0" w:space="0" w:color="auto"/>
        <w:bottom w:val="none" w:sz="0" w:space="0" w:color="auto"/>
        <w:right w:val="none" w:sz="0" w:space="0" w:color="auto"/>
      </w:divBdr>
      <w:divsChild>
        <w:div w:id="995567183">
          <w:marLeft w:val="0"/>
          <w:marRight w:val="0"/>
          <w:marTop w:val="0"/>
          <w:marBottom w:val="0"/>
          <w:divBdr>
            <w:top w:val="none" w:sz="0" w:space="0" w:color="auto"/>
            <w:left w:val="none" w:sz="0" w:space="0" w:color="auto"/>
            <w:bottom w:val="none" w:sz="0" w:space="0" w:color="auto"/>
            <w:right w:val="none" w:sz="0" w:space="0" w:color="auto"/>
          </w:divBdr>
        </w:div>
      </w:divsChild>
    </w:div>
    <w:div w:id="1126777715">
      <w:marLeft w:val="0"/>
      <w:marRight w:val="0"/>
      <w:marTop w:val="120"/>
      <w:marBottom w:val="120"/>
      <w:divBdr>
        <w:top w:val="none" w:sz="0" w:space="0" w:color="auto"/>
        <w:left w:val="none" w:sz="0" w:space="0" w:color="auto"/>
        <w:bottom w:val="none" w:sz="0" w:space="0" w:color="auto"/>
        <w:right w:val="none" w:sz="0" w:space="0" w:color="auto"/>
      </w:divBdr>
    </w:div>
    <w:div w:id="1126848110">
      <w:marLeft w:val="0"/>
      <w:marRight w:val="0"/>
      <w:marTop w:val="120"/>
      <w:marBottom w:val="0"/>
      <w:divBdr>
        <w:top w:val="none" w:sz="0" w:space="0" w:color="auto"/>
        <w:left w:val="none" w:sz="0" w:space="0" w:color="auto"/>
        <w:bottom w:val="none" w:sz="0" w:space="0" w:color="auto"/>
        <w:right w:val="none" w:sz="0" w:space="0" w:color="auto"/>
      </w:divBdr>
    </w:div>
    <w:div w:id="1127241108">
      <w:marLeft w:val="0"/>
      <w:marRight w:val="0"/>
      <w:marTop w:val="120"/>
      <w:marBottom w:val="0"/>
      <w:divBdr>
        <w:top w:val="none" w:sz="0" w:space="0" w:color="auto"/>
        <w:left w:val="none" w:sz="0" w:space="0" w:color="auto"/>
        <w:bottom w:val="none" w:sz="0" w:space="0" w:color="auto"/>
        <w:right w:val="none" w:sz="0" w:space="0" w:color="auto"/>
      </w:divBdr>
    </w:div>
    <w:div w:id="1127355350">
      <w:marLeft w:val="0"/>
      <w:marRight w:val="0"/>
      <w:marTop w:val="120"/>
      <w:marBottom w:val="0"/>
      <w:divBdr>
        <w:top w:val="none" w:sz="0" w:space="0" w:color="auto"/>
        <w:left w:val="none" w:sz="0" w:space="0" w:color="auto"/>
        <w:bottom w:val="none" w:sz="0" w:space="0" w:color="auto"/>
        <w:right w:val="none" w:sz="0" w:space="0" w:color="auto"/>
      </w:divBdr>
    </w:div>
    <w:div w:id="1127429107">
      <w:marLeft w:val="0"/>
      <w:marRight w:val="0"/>
      <w:marTop w:val="120"/>
      <w:marBottom w:val="0"/>
      <w:divBdr>
        <w:top w:val="none" w:sz="0" w:space="0" w:color="auto"/>
        <w:left w:val="none" w:sz="0" w:space="0" w:color="auto"/>
        <w:bottom w:val="none" w:sz="0" w:space="0" w:color="auto"/>
        <w:right w:val="none" w:sz="0" w:space="0" w:color="auto"/>
      </w:divBdr>
    </w:div>
    <w:div w:id="1127509413">
      <w:marLeft w:val="0"/>
      <w:marRight w:val="0"/>
      <w:marTop w:val="0"/>
      <w:marBottom w:val="120"/>
      <w:divBdr>
        <w:top w:val="none" w:sz="0" w:space="0" w:color="auto"/>
        <w:left w:val="none" w:sz="0" w:space="0" w:color="auto"/>
        <w:bottom w:val="none" w:sz="0" w:space="0" w:color="auto"/>
        <w:right w:val="none" w:sz="0" w:space="0" w:color="auto"/>
      </w:divBdr>
    </w:div>
    <w:div w:id="1129975977">
      <w:marLeft w:val="0"/>
      <w:marRight w:val="0"/>
      <w:marTop w:val="120"/>
      <w:marBottom w:val="0"/>
      <w:divBdr>
        <w:top w:val="none" w:sz="0" w:space="0" w:color="auto"/>
        <w:left w:val="none" w:sz="0" w:space="0" w:color="auto"/>
        <w:bottom w:val="none" w:sz="0" w:space="0" w:color="auto"/>
        <w:right w:val="none" w:sz="0" w:space="0" w:color="auto"/>
      </w:divBdr>
    </w:div>
    <w:div w:id="1132212357">
      <w:marLeft w:val="0"/>
      <w:marRight w:val="0"/>
      <w:marTop w:val="0"/>
      <w:marBottom w:val="0"/>
      <w:divBdr>
        <w:top w:val="none" w:sz="0" w:space="0" w:color="auto"/>
        <w:left w:val="none" w:sz="0" w:space="0" w:color="auto"/>
        <w:bottom w:val="none" w:sz="0" w:space="0" w:color="auto"/>
        <w:right w:val="none" w:sz="0" w:space="0" w:color="auto"/>
      </w:divBdr>
      <w:divsChild>
        <w:div w:id="728310678">
          <w:marLeft w:val="0"/>
          <w:marRight w:val="0"/>
          <w:marTop w:val="0"/>
          <w:marBottom w:val="0"/>
          <w:divBdr>
            <w:top w:val="none" w:sz="0" w:space="0" w:color="auto"/>
            <w:left w:val="none" w:sz="0" w:space="0" w:color="auto"/>
            <w:bottom w:val="none" w:sz="0" w:space="0" w:color="auto"/>
            <w:right w:val="none" w:sz="0" w:space="0" w:color="auto"/>
          </w:divBdr>
        </w:div>
      </w:divsChild>
    </w:div>
    <w:div w:id="1132402678">
      <w:marLeft w:val="0"/>
      <w:marRight w:val="0"/>
      <w:marTop w:val="120"/>
      <w:marBottom w:val="120"/>
      <w:divBdr>
        <w:top w:val="none" w:sz="0" w:space="0" w:color="auto"/>
        <w:left w:val="none" w:sz="0" w:space="0" w:color="auto"/>
        <w:bottom w:val="none" w:sz="0" w:space="0" w:color="auto"/>
        <w:right w:val="none" w:sz="0" w:space="0" w:color="auto"/>
      </w:divBdr>
    </w:div>
    <w:div w:id="1134299048">
      <w:marLeft w:val="0"/>
      <w:marRight w:val="0"/>
      <w:marTop w:val="0"/>
      <w:marBottom w:val="120"/>
      <w:divBdr>
        <w:top w:val="none" w:sz="0" w:space="0" w:color="auto"/>
        <w:left w:val="none" w:sz="0" w:space="0" w:color="auto"/>
        <w:bottom w:val="none" w:sz="0" w:space="0" w:color="auto"/>
        <w:right w:val="none" w:sz="0" w:space="0" w:color="auto"/>
      </w:divBdr>
      <w:divsChild>
        <w:div w:id="1673095878">
          <w:marLeft w:val="0"/>
          <w:marRight w:val="0"/>
          <w:marTop w:val="0"/>
          <w:marBottom w:val="0"/>
          <w:divBdr>
            <w:top w:val="none" w:sz="0" w:space="0" w:color="auto"/>
            <w:left w:val="none" w:sz="0" w:space="0" w:color="auto"/>
            <w:bottom w:val="none" w:sz="0" w:space="0" w:color="auto"/>
            <w:right w:val="none" w:sz="0" w:space="0" w:color="auto"/>
          </w:divBdr>
        </w:div>
      </w:divsChild>
    </w:div>
    <w:div w:id="1134913005">
      <w:marLeft w:val="0"/>
      <w:marRight w:val="0"/>
      <w:marTop w:val="0"/>
      <w:marBottom w:val="0"/>
      <w:divBdr>
        <w:top w:val="none" w:sz="0" w:space="0" w:color="auto"/>
        <w:left w:val="none" w:sz="0" w:space="0" w:color="auto"/>
        <w:bottom w:val="none" w:sz="0" w:space="0" w:color="auto"/>
        <w:right w:val="none" w:sz="0" w:space="0" w:color="auto"/>
      </w:divBdr>
      <w:divsChild>
        <w:div w:id="1814711103">
          <w:marLeft w:val="0"/>
          <w:marRight w:val="0"/>
          <w:marTop w:val="0"/>
          <w:marBottom w:val="0"/>
          <w:divBdr>
            <w:top w:val="none" w:sz="0" w:space="0" w:color="auto"/>
            <w:left w:val="none" w:sz="0" w:space="0" w:color="auto"/>
            <w:bottom w:val="none" w:sz="0" w:space="0" w:color="auto"/>
            <w:right w:val="none" w:sz="0" w:space="0" w:color="auto"/>
          </w:divBdr>
        </w:div>
      </w:divsChild>
    </w:div>
    <w:div w:id="1137064901">
      <w:marLeft w:val="0"/>
      <w:marRight w:val="0"/>
      <w:marTop w:val="120"/>
      <w:marBottom w:val="0"/>
      <w:divBdr>
        <w:top w:val="none" w:sz="0" w:space="0" w:color="auto"/>
        <w:left w:val="none" w:sz="0" w:space="0" w:color="auto"/>
        <w:bottom w:val="none" w:sz="0" w:space="0" w:color="auto"/>
        <w:right w:val="none" w:sz="0" w:space="0" w:color="auto"/>
      </w:divBdr>
    </w:div>
    <w:div w:id="1137408141">
      <w:marLeft w:val="0"/>
      <w:marRight w:val="0"/>
      <w:marTop w:val="0"/>
      <w:marBottom w:val="0"/>
      <w:divBdr>
        <w:top w:val="none" w:sz="0" w:space="0" w:color="auto"/>
        <w:left w:val="none" w:sz="0" w:space="0" w:color="auto"/>
        <w:bottom w:val="none" w:sz="0" w:space="0" w:color="auto"/>
        <w:right w:val="none" w:sz="0" w:space="0" w:color="auto"/>
      </w:divBdr>
    </w:div>
    <w:div w:id="1137726378">
      <w:marLeft w:val="0"/>
      <w:marRight w:val="0"/>
      <w:marTop w:val="120"/>
      <w:marBottom w:val="0"/>
      <w:divBdr>
        <w:top w:val="none" w:sz="0" w:space="0" w:color="auto"/>
        <w:left w:val="none" w:sz="0" w:space="0" w:color="auto"/>
        <w:bottom w:val="none" w:sz="0" w:space="0" w:color="auto"/>
        <w:right w:val="none" w:sz="0" w:space="0" w:color="auto"/>
      </w:divBdr>
    </w:div>
    <w:div w:id="1137801698">
      <w:marLeft w:val="0"/>
      <w:marRight w:val="0"/>
      <w:marTop w:val="120"/>
      <w:marBottom w:val="0"/>
      <w:divBdr>
        <w:top w:val="none" w:sz="0" w:space="0" w:color="auto"/>
        <w:left w:val="none" w:sz="0" w:space="0" w:color="auto"/>
        <w:bottom w:val="none" w:sz="0" w:space="0" w:color="auto"/>
        <w:right w:val="none" w:sz="0" w:space="0" w:color="auto"/>
      </w:divBdr>
    </w:div>
    <w:div w:id="1138375315">
      <w:marLeft w:val="0"/>
      <w:marRight w:val="0"/>
      <w:marTop w:val="120"/>
      <w:marBottom w:val="0"/>
      <w:divBdr>
        <w:top w:val="none" w:sz="0" w:space="0" w:color="auto"/>
        <w:left w:val="none" w:sz="0" w:space="0" w:color="auto"/>
        <w:bottom w:val="none" w:sz="0" w:space="0" w:color="auto"/>
        <w:right w:val="none" w:sz="0" w:space="0" w:color="auto"/>
      </w:divBdr>
    </w:div>
    <w:div w:id="1138768673">
      <w:marLeft w:val="0"/>
      <w:marRight w:val="0"/>
      <w:marTop w:val="0"/>
      <w:marBottom w:val="0"/>
      <w:divBdr>
        <w:top w:val="none" w:sz="0" w:space="0" w:color="auto"/>
        <w:left w:val="none" w:sz="0" w:space="0" w:color="auto"/>
        <w:bottom w:val="none" w:sz="0" w:space="0" w:color="auto"/>
        <w:right w:val="none" w:sz="0" w:space="0" w:color="auto"/>
      </w:divBdr>
      <w:divsChild>
        <w:div w:id="1640568625">
          <w:marLeft w:val="0"/>
          <w:marRight w:val="0"/>
          <w:marTop w:val="0"/>
          <w:marBottom w:val="0"/>
          <w:divBdr>
            <w:top w:val="none" w:sz="0" w:space="0" w:color="auto"/>
            <w:left w:val="none" w:sz="0" w:space="0" w:color="auto"/>
            <w:bottom w:val="none" w:sz="0" w:space="0" w:color="auto"/>
            <w:right w:val="none" w:sz="0" w:space="0" w:color="auto"/>
          </w:divBdr>
        </w:div>
      </w:divsChild>
    </w:div>
    <w:div w:id="1139415777">
      <w:marLeft w:val="0"/>
      <w:marRight w:val="0"/>
      <w:marTop w:val="0"/>
      <w:marBottom w:val="0"/>
      <w:divBdr>
        <w:top w:val="none" w:sz="0" w:space="0" w:color="auto"/>
        <w:left w:val="none" w:sz="0" w:space="0" w:color="auto"/>
        <w:bottom w:val="none" w:sz="0" w:space="0" w:color="auto"/>
        <w:right w:val="none" w:sz="0" w:space="0" w:color="auto"/>
      </w:divBdr>
      <w:divsChild>
        <w:div w:id="1281915451">
          <w:marLeft w:val="0"/>
          <w:marRight w:val="0"/>
          <w:marTop w:val="0"/>
          <w:marBottom w:val="0"/>
          <w:divBdr>
            <w:top w:val="none" w:sz="0" w:space="0" w:color="auto"/>
            <w:left w:val="none" w:sz="0" w:space="0" w:color="auto"/>
            <w:bottom w:val="none" w:sz="0" w:space="0" w:color="auto"/>
            <w:right w:val="none" w:sz="0" w:space="0" w:color="auto"/>
          </w:divBdr>
        </w:div>
      </w:divsChild>
    </w:div>
    <w:div w:id="1140614621">
      <w:marLeft w:val="0"/>
      <w:marRight w:val="0"/>
      <w:marTop w:val="120"/>
      <w:marBottom w:val="0"/>
      <w:divBdr>
        <w:top w:val="none" w:sz="0" w:space="0" w:color="auto"/>
        <w:left w:val="none" w:sz="0" w:space="0" w:color="auto"/>
        <w:bottom w:val="none" w:sz="0" w:space="0" w:color="auto"/>
        <w:right w:val="none" w:sz="0" w:space="0" w:color="auto"/>
      </w:divBdr>
    </w:div>
    <w:div w:id="1142116118">
      <w:marLeft w:val="0"/>
      <w:marRight w:val="0"/>
      <w:marTop w:val="120"/>
      <w:marBottom w:val="0"/>
      <w:divBdr>
        <w:top w:val="none" w:sz="0" w:space="0" w:color="auto"/>
        <w:left w:val="none" w:sz="0" w:space="0" w:color="auto"/>
        <w:bottom w:val="none" w:sz="0" w:space="0" w:color="auto"/>
        <w:right w:val="none" w:sz="0" w:space="0" w:color="auto"/>
      </w:divBdr>
    </w:div>
    <w:div w:id="1142582442">
      <w:marLeft w:val="0"/>
      <w:marRight w:val="0"/>
      <w:marTop w:val="0"/>
      <w:marBottom w:val="120"/>
      <w:divBdr>
        <w:top w:val="none" w:sz="0" w:space="0" w:color="auto"/>
        <w:left w:val="none" w:sz="0" w:space="0" w:color="auto"/>
        <w:bottom w:val="none" w:sz="0" w:space="0" w:color="auto"/>
        <w:right w:val="none" w:sz="0" w:space="0" w:color="auto"/>
      </w:divBdr>
    </w:div>
    <w:div w:id="1143690701">
      <w:marLeft w:val="0"/>
      <w:marRight w:val="0"/>
      <w:marTop w:val="120"/>
      <w:marBottom w:val="0"/>
      <w:divBdr>
        <w:top w:val="none" w:sz="0" w:space="0" w:color="auto"/>
        <w:left w:val="none" w:sz="0" w:space="0" w:color="auto"/>
        <w:bottom w:val="none" w:sz="0" w:space="0" w:color="auto"/>
        <w:right w:val="none" w:sz="0" w:space="0" w:color="auto"/>
      </w:divBdr>
    </w:div>
    <w:div w:id="1144391054">
      <w:marLeft w:val="0"/>
      <w:marRight w:val="0"/>
      <w:marTop w:val="120"/>
      <w:marBottom w:val="0"/>
      <w:divBdr>
        <w:top w:val="none" w:sz="0" w:space="0" w:color="auto"/>
        <w:left w:val="none" w:sz="0" w:space="0" w:color="auto"/>
        <w:bottom w:val="none" w:sz="0" w:space="0" w:color="auto"/>
        <w:right w:val="none" w:sz="0" w:space="0" w:color="auto"/>
      </w:divBdr>
    </w:div>
    <w:div w:id="1145198163">
      <w:marLeft w:val="0"/>
      <w:marRight w:val="0"/>
      <w:marTop w:val="0"/>
      <w:marBottom w:val="0"/>
      <w:divBdr>
        <w:top w:val="none" w:sz="0" w:space="0" w:color="auto"/>
        <w:left w:val="none" w:sz="0" w:space="0" w:color="auto"/>
        <w:bottom w:val="none" w:sz="0" w:space="0" w:color="auto"/>
        <w:right w:val="none" w:sz="0" w:space="0" w:color="auto"/>
      </w:divBdr>
      <w:divsChild>
        <w:div w:id="895967070">
          <w:marLeft w:val="0"/>
          <w:marRight w:val="0"/>
          <w:marTop w:val="0"/>
          <w:marBottom w:val="0"/>
          <w:divBdr>
            <w:top w:val="none" w:sz="0" w:space="0" w:color="auto"/>
            <w:left w:val="none" w:sz="0" w:space="0" w:color="auto"/>
            <w:bottom w:val="none" w:sz="0" w:space="0" w:color="auto"/>
            <w:right w:val="none" w:sz="0" w:space="0" w:color="auto"/>
          </w:divBdr>
        </w:div>
      </w:divsChild>
    </w:div>
    <w:div w:id="1145463747">
      <w:marLeft w:val="0"/>
      <w:marRight w:val="0"/>
      <w:marTop w:val="120"/>
      <w:marBottom w:val="0"/>
      <w:divBdr>
        <w:top w:val="none" w:sz="0" w:space="0" w:color="auto"/>
        <w:left w:val="none" w:sz="0" w:space="0" w:color="auto"/>
        <w:bottom w:val="none" w:sz="0" w:space="0" w:color="auto"/>
        <w:right w:val="none" w:sz="0" w:space="0" w:color="auto"/>
      </w:divBdr>
    </w:div>
    <w:div w:id="1148745440">
      <w:marLeft w:val="0"/>
      <w:marRight w:val="0"/>
      <w:marTop w:val="120"/>
      <w:marBottom w:val="0"/>
      <w:divBdr>
        <w:top w:val="none" w:sz="0" w:space="0" w:color="auto"/>
        <w:left w:val="none" w:sz="0" w:space="0" w:color="auto"/>
        <w:bottom w:val="none" w:sz="0" w:space="0" w:color="auto"/>
        <w:right w:val="none" w:sz="0" w:space="0" w:color="auto"/>
      </w:divBdr>
    </w:div>
    <w:div w:id="1149135180">
      <w:marLeft w:val="0"/>
      <w:marRight w:val="0"/>
      <w:marTop w:val="0"/>
      <w:marBottom w:val="0"/>
      <w:divBdr>
        <w:top w:val="none" w:sz="0" w:space="0" w:color="auto"/>
        <w:left w:val="none" w:sz="0" w:space="0" w:color="auto"/>
        <w:bottom w:val="none" w:sz="0" w:space="0" w:color="auto"/>
        <w:right w:val="none" w:sz="0" w:space="0" w:color="auto"/>
      </w:divBdr>
    </w:div>
    <w:div w:id="1154181096">
      <w:marLeft w:val="0"/>
      <w:marRight w:val="0"/>
      <w:marTop w:val="0"/>
      <w:marBottom w:val="0"/>
      <w:divBdr>
        <w:top w:val="none" w:sz="0" w:space="0" w:color="auto"/>
        <w:left w:val="none" w:sz="0" w:space="0" w:color="auto"/>
        <w:bottom w:val="none" w:sz="0" w:space="0" w:color="auto"/>
        <w:right w:val="none" w:sz="0" w:space="0" w:color="auto"/>
      </w:divBdr>
    </w:div>
    <w:div w:id="1154643669">
      <w:marLeft w:val="0"/>
      <w:marRight w:val="0"/>
      <w:marTop w:val="120"/>
      <w:marBottom w:val="0"/>
      <w:divBdr>
        <w:top w:val="none" w:sz="0" w:space="0" w:color="auto"/>
        <w:left w:val="none" w:sz="0" w:space="0" w:color="auto"/>
        <w:bottom w:val="none" w:sz="0" w:space="0" w:color="auto"/>
        <w:right w:val="none" w:sz="0" w:space="0" w:color="auto"/>
      </w:divBdr>
    </w:div>
    <w:div w:id="1154875728">
      <w:marLeft w:val="0"/>
      <w:marRight w:val="0"/>
      <w:marTop w:val="0"/>
      <w:marBottom w:val="0"/>
      <w:divBdr>
        <w:top w:val="none" w:sz="0" w:space="0" w:color="auto"/>
        <w:left w:val="none" w:sz="0" w:space="0" w:color="auto"/>
        <w:bottom w:val="none" w:sz="0" w:space="0" w:color="auto"/>
        <w:right w:val="none" w:sz="0" w:space="0" w:color="auto"/>
      </w:divBdr>
    </w:div>
    <w:div w:id="1157111792">
      <w:marLeft w:val="0"/>
      <w:marRight w:val="0"/>
      <w:marTop w:val="120"/>
      <w:marBottom w:val="0"/>
      <w:divBdr>
        <w:top w:val="none" w:sz="0" w:space="0" w:color="auto"/>
        <w:left w:val="none" w:sz="0" w:space="0" w:color="auto"/>
        <w:bottom w:val="none" w:sz="0" w:space="0" w:color="auto"/>
        <w:right w:val="none" w:sz="0" w:space="0" w:color="auto"/>
      </w:divBdr>
    </w:div>
    <w:div w:id="1157651963">
      <w:marLeft w:val="0"/>
      <w:marRight w:val="0"/>
      <w:marTop w:val="120"/>
      <w:marBottom w:val="120"/>
      <w:divBdr>
        <w:top w:val="none" w:sz="0" w:space="0" w:color="auto"/>
        <w:left w:val="none" w:sz="0" w:space="0" w:color="auto"/>
        <w:bottom w:val="none" w:sz="0" w:space="0" w:color="auto"/>
        <w:right w:val="none" w:sz="0" w:space="0" w:color="auto"/>
      </w:divBdr>
      <w:divsChild>
        <w:div w:id="2007856069">
          <w:marLeft w:val="0"/>
          <w:marRight w:val="0"/>
          <w:marTop w:val="0"/>
          <w:marBottom w:val="0"/>
          <w:divBdr>
            <w:top w:val="none" w:sz="0" w:space="0" w:color="auto"/>
            <w:left w:val="none" w:sz="0" w:space="0" w:color="auto"/>
            <w:bottom w:val="none" w:sz="0" w:space="0" w:color="auto"/>
            <w:right w:val="none" w:sz="0" w:space="0" w:color="auto"/>
          </w:divBdr>
        </w:div>
        <w:div w:id="1715083361">
          <w:marLeft w:val="0"/>
          <w:marRight w:val="0"/>
          <w:marTop w:val="0"/>
          <w:marBottom w:val="0"/>
          <w:divBdr>
            <w:top w:val="none" w:sz="0" w:space="0" w:color="auto"/>
            <w:left w:val="none" w:sz="0" w:space="0" w:color="auto"/>
            <w:bottom w:val="none" w:sz="0" w:space="0" w:color="auto"/>
            <w:right w:val="none" w:sz="0" w:space="0" w:color="auto"/>
          </w:divBdr>
        </w:div>
        <w:div w:id="1076249874">
          <w:marLeft w:val="0"/>
          <w:marRight w:val="0"/>
          <w:marTop w:val="0"/>
          <w:marBottom w:val="0"/>
          <w:divBdr>
            <w:top w:val="none" w:sz="0" w:space="0" w:color="auto"/>
            <w:left w:val="none" w:sz="0" w:space="0" w:color="auto"/>
            <w:bottom w:val="none" w:sz="0" w:space="0" w:color="auto"/>
            <w:right w:val="none" w:sz="0" w:space="0" w:color="auto"/>
          </w:divBdr>
        </w:div>
        <w:div w:id="1766419787">
          <w:marLeft w:val="0"/>
          <w:marRight w:val="0"/>
          <w:marTop w:val="0"/>
          <w:marBottom w:val="0"/>
          <w:divBdr>
            <w:top w:val="none" w:sz="0" w:space="0" w:color="auto"/>
            <w:left w:val="none" w:sz="0" w:space="0" w:color="auto"/>
            <w:bottom w:val="none" w:sz="0" w:space="0" w:color="auto"/>
            <w:right w:val="none" w:sz="0" w:space="0" w:color="auto"/>
          </w:divBdr>
        </w:div>
        <w:div w:id="1888369376">
          <w:marLeft w:val="0"/>
          <w:marRight w:val="0"/>
          <w:marTop w:val="0"/>
          <w:marBottom w:val="0"/>
          <w:divBdr>
            <w:top w:val="none" w:sz="0" w:space="0" w:color="auto"/>
            <w:left w:val="none" w:sz="0" w:space="0" w:color="auto"/>
            <w:bottom w:val="none" w:sz="0" w:space="0" w:color="auto"/>
            <w:right w:val="none" w:sz="0" w:space="0" w:color="auto"/>
          </w:divBdr>
        </w:div>
      </w:divsChild>
    </w:div>
    <w:div w:id="1157841906">
      <w:marLeft w:val="0"/>
      <w:marRight w:val="0"/>
      <w:marTop w:val="120"/>
      <w:marBottom w:val="0"/>
      <w:divBdr>
        <w:top w:val="none" w:sz="0" w:space="0" w:color="auto"/>
        <w:left w:val="none" w:sz="0" w:space="0" w:color="auto"/>
        <w:bottom w:val="none" w:sz="0" w:space="0" w:color="auto"/>
        <w:right w:val="none" w:sz="0" w:space="0" w:color="auto"/>
      </w:divBdr>
    </w:div>
    <w:div w:id="1157963917">
      <w:marLeft w:val="0"/>
      <w:marRight w:val="0"/>
      <w:marTop w:val="120"/>
      <w:marBottom w:val="0"/>
      <w:divBdr>
        <w:top w:val="none" w:sz="0" w:space="0" w:color="auto"/>
        <w:left w:val="none" w:sz="0" w:space="0" w:color="auto"/>
        <w:bottom w:val="none" w:sz="0" w:space="0" w:color="auto"/>
        <w:right w:val="none" w:sz="0" w:space="0" w:color="auto"/>
      </w:divBdr>
    </w:div>
    <w:div w:id="1159688350">
      <w:marLeft w:val="0"/>
      <w:marRight w:val="0"/>
      <w:marTop w:val="0"/>
      <w:marBottom w:val="0"/>
      <w:divBdr>
        <w:top w:val="none" w:sz="0" w:space="0" w:color="auto"/>
        <w:left w:val="none" w:sz="0" w:space="0" w:color="auto"/>
        <w:bottom w:val="none" w:sz="0" w:space="0" w:color="auto"/>
        <w:right w:val="none" w:sz="0" w:space="0" w:color="auto"/>
      </w:divBdr>
    </w:div>
    <w:div w:id="1161041793">
      <w:marLeft w:val="0"/>
      <w:marRight w:val="0"/>
      <w:marTop w:val="0"/>
      <w:marBottom w:val="0"/>
      <w:divBdr>
        <w:top w:val="none" w:sz="0" w:space="0" w:color="auto"/>
        <w:left w:val="none" w:sz="0" w:space="0" w:color="auto"/>
        <w:bottom w:val="none" w:sz="0" w:space="0" w:color="auto"/>
        <w:right w:val="none" w:sz="0" w:space="0" w:color="auto"/>
      </w:divBdr>
    </w:div>
    <w:div w:id="1164517481">
      <w:marLeft w:val="0"/>
      <w:marRight w:val="0"/>
      <w:marTop w:val="0"/>
      <w:marBottom w:val="0"/>
      <w:divBdr>
        <w:top w:val="none" w:sz="0" w:space="0" w:color="auto"/>
        <w:left w:val="none" w:sz="0" w:space="0" w:color="auto"/>
        <w:bottom w:val="none" w:sz="0" w:space="0" w:color="auto"/>
        <w:right w:val="none" w:sz="0" w:space="0" w:color="auto"/>
      </w:divBdr>
      <w:divsChild>
        <w:div w:id="2088306033">
          <w:marLeft w:val="0"/>
          <w:marRight w:val="0"/>
          <w:marTop w:val="0"/>
          <w:marBottom w:val="0"/>
          <w:divBdr>
            <w:top w:val="none" w:sz="0" w:space="0" w:color="auto"/>
            <w:left w:val="none" w:sz="0" w:space="0" w:color="auto"/>
            <w:bottom w:val="none" w:sz="0" w:space="0" w:color="auto"/>
            <w:right w:val="none" w:sz="0" w:space="0" w:color="auto"/>
          </w:divBdr>
        </w:div>
      </w:divsChild>
    </w:div>
    <w:div w:id="1165244928">
      <w:marLeft w:val="0"/>
      <w:marRight w:val="0"/>
      <w:marTop w:val="0"/>
      <w:marBottom w:val="0"/>
      <w:divBdr>
        <w:top w:val="none" w:sz="0" w:space="0" w:color="auto"/>
        <w:left w:val="none" w:sz="0" w:space="0" w:color="auto"/>
        <w:bottom w:val="none" w:sz="0" w:space="0" w:color="auto"/>
        <w:right w:val="none" w:sz="0" w:space="0" w:color="auto"/>
      </w:divBdr>
    </w:div>
    <w:div w:id="1165248476">
      <w:marLeft w:val="0"/>
      <w:marRight w:val="0"/>
      <w:marTop w:val="120"/>
      <w:marBottom w:val="0"/>
      <w:divBdr>
        <w:top w:val="none" w:sz="0" w:space="0" w:color="auto"/>
        <w:left w:val="none" w:sz="0" w:space="0" w:color="auto"/>
        <w:bottom w:val="none" w:sz="0" w:space="0" w:color="auto"/>
        <w:right w:val="none" w:sz="0" w:space="0" w:color="auto"/>
      </w:divBdr>
    </w:div>
    <w:div w:id="1165633154">
      <w:marLeft w:val="0"/>
      <w:marRight w:val="0"/>
      <w:marTop w:val="120"/>
      <w:marBottom w:val="0"/>
      <w:divBdr>
        <w:top w:val="none" w:sz="0" w:space="0" w:color="auto"/>
        <w:left w:val="none" w:sz="0" w:space="0" w:color="auto"/>
        <w:bottom w:val="none" w:sz="0" w:space="0" w:color="auto"/>
        <w:right w:val="none" w:sz="0" w:space="0" w:color="auto"/>
      </w:divBdr>
    </w:div>
    <w:div w:id="1168669228">
      <w:marLeft w:val="0"/>
      <w:marRight w:val="0"/>
      <w:marTop w:val="120"/>
      <w:marBottom w:val="0"/>
      <w:divBdr>
        <w:top w:val="none" w:sz="0" w:space="0" w:color="auto"/>
        <w:left w:val="none" w:sz="0" w:space="0" w:color="auto"/>
        <w:bottom w:val="none" w:sz="0" w:space="0" w:color="auto"/>
        <w:right w:val="none" w:sz="0" w:space="0" w:color="auto"/>
      </w:divBdr>
    </w:div>
    <w:div w:id="1169521034">
      <w:marLeft w:val="0"/>
      <w:marRight w:val="0"/>
      <w:marTop w:val="120"/>
      <w:marBottom w:val="0"/>
      <w:divBdr>
        <w:top w:val="none" w:sz="0" w:space="0" w:color="auto"/>
        <w:left w:val="none" w:sz="0" w:space="0" w:color="auto"/>
        <w:bottom w:val="none" w:sz="0" w:space="0" w:color="auto"/>
        <w:right w:val="none" w:sz="0" w:space="0" w:color="auto"/>
      </w:divBdr>
    </w:div>
    <w:div w:id="1171065015">
      <w:marLeft w:val="0"/>
      <w:marRight w:val="0"/>
      <w:marTop w:val="120"/>
      <w:marBottom w:val="0"/>
      <w:divBdr>
        <w:top w:val="none" w:sz="0" w:space="0" w:color="auto"/>
        <w:left w:val="none" w:sz="0" w:space="0" w:color="auto"/>
        <w:bottom w:val="none" w:sz="0" w:space="0" w:color="auto"/>
        <w:right w:val="none" w:sz="0" w:space="0" w:color="auto"/>
      </w:divBdr>
    </w:div>
    <w:div w:id="1171800601">
      <w:marLeft w:val="0"/>
      <w:marRight w:val="0"/>
      <w:marTop w:val="120"/>
      <w:marBottom w:val="0"/>
      <w:divBdr>
        <w:top w:val="none" w:sz="0" w:space="0" w:color="auto"/>
        <w:left w:val="none" w:sz="0" w:space="0" w:color="auto"/>
        <w:bottom w:val="none" w:sz="0" w:space="0" w:color="auto"/>
        <w:right w:val="none" w:sz="0" w:space="0" w:color="auto"/>
      </w:divBdr>
    </w:div>
    <w:div w:id="1173764328">
      <w:marLeft w:val="0"/>
      <w:marRight w:val="0"/>
      <w:marTop w:val="120"/>
      <w:marBottom w:val="0"/>
      <w:divBdr>
        <w:top w:val="none" w:sz="0" w:space="0" w:color="auto"/>
        <w:left w:val="none" w:sz="0" w:space="0" w:color="auto"/>
        <w:bottom w:val="none" w:sz="0" w:space="0" w:color="auto"/>
        <w:right w:val="none" w:sz="0" w:space="0" w:color="auto"/>
      </w:divBdr>
    </w:div>
    <w:div w:id="1173952993">
      <w:marLeft w:val="0"/>
      <w:marRight w:val="0"/>
      <w:marTop w:val="0"/>
      <w:marBottom w:val="0"/>
      <w:divBdr>
        <w:top w:val="none" w:sz="0" w:space="0" w:color="auto"/>
        <w:left w:val="none" w:sz="0" w:space="0" w:color="auto"/>
        <w:bottom w:val="none" w:sz="0" w:space="0" w:color="auto"/>
        <w:right w:val="none" w:sz="0" w:space="0" w:color="auto"/>
      </w:divBdr>
      <w:divsChild>
        <w:div w:id="497114941">
          <w:marLeft w:val="0"/>
          <w:marRight w:val="0"/>
          <w:marTop w:val="0"/>
          <w:marBottom w:val="0"/>
          <w:divBdr>
            <w:top w:val="none" w:sz="0" w:space="0" w:color="auto"/>
            <w:left w:val="none" w:sz="0" w:space="0" w:color="auto"/>
            <w:bottom w:val="none" w:sz="0" w:space="0" w:color="auto"/>
            <w:right w:val="none" w:sz="0" w:space="0" w:color="auto"/>
          </w:divBdr>
        </w:div>
      </w:divsChild>
    </w:div>
    <w:div w:id="1179395057">
      <w:marLeft w:val="0"/>
      <w:marRight w:val="0"/>
      <w:marTop w:val="120"/>
      <w:marBottom w:val="0"/>
      <w:divBdr>
        <w:top w:val="none" w:sz="0" w:space="0" w:color="auto"/>
        <w:left w:val="none" w:sz="0" w:space="0" w:color="auto"/>
        <w:bottom w:val="none" w:sz="0" w:space="0" w:color="auto"/>
        <w:right w:val="none" w:sz="0" w:space="0" w:color="auto"/>
      </w:divBdr>
    </w:div>
    <w:div w:id="1179537390">
      <w:marLeft w:val="0"/>
      <w:marRight w:val="0"/>
      <w:marTop w:val="120"/>
      <w:marBottom w:val="0"/>
      <w:divBdr>
        <w:top w:val="none" w:sz="0" w:space="0" w:color="auto"/>
        <w:left w:val="none" w:sz="0" w:space="0" w:color="auto"/>
        <w:bottom w:val="none" w:sz="0" w:space="0" w:color="auto"/>
        <w:right w:val="none" w:sz="0" w:space="0" w:color="auto"/>
      </w:divBdr>
    </w:div>
    <w:div w:id="1179851541">
      <w:marLeft w:val="0"/>
      <w:marRight w:val="0"/>
      <w:marTop w:val="120"/>
      <w:marBottom w:val="0"/>
      <w:divBdr>
        <w:top w:val="none" w:sz="0" w:space="0" w:color="auto"/>
        <w:left w:val="none" w:sz="0" w:space="0" w:color="auto"/>
        <w:bottom w:val="none" w:sz="0" w:space="0" w:color="auto"/>
        <w:right w:val="none" w:sz="0" w:space="0" w:color="auto"/>
      </w:divBdr>
    </w:div>
    <w:div w:id="1180434784">
      <w:marLeft w:val="0"/>
      <w:marRight w:val="0"/>
      <w:marTop w:val="120"/>
      <w:marBottom w:val="0"/>
      <w:divBdr>
        <w:top w:val="none" w:sz="0" w:space="0" w:color="auto"/>
        <w:left w:val="none" w:sz="0" w:space="0" w:color="auto"/>
        <w:bottom w:val="none" w:sz="0" w:space="0" w:color="auto"/>
        <w:right w:val="none" w:sz="0" w:space="0" w:color="auto"/>
      </w:divBdr>
    </w:div>
    <w:div w:id="1180849841">
      <w:marLeft w:val="0"/>
      <w:marRight w:val="0"/>
      <w:marTop w:val="120"/>
      <w:marBottom w:val="0"/>
      <w:divBdr>
        <w:top w:val="none" w:sz="0" w:space="0" w:color="auto"/>
        <w:left w:val="none" w:sz="0" w:space="0" w:color="auto"/>
        <w:bottom w:val="none" w:sz="0" w:space="0" w:color="auto"/>
        <w:right w:val="none" w:sz="0" w:space="0" w:color="auto"/>
      </w:divBdr>
    </w:div>
    <w:div w:id="1181435719">
      <w:marLeft w:val="0"/>
      <w:marRight w:val="0"/>
      <w:marTop w:val="120"/>
      <w:marBottom w:val="0"/>
      <w:divBdr>
        <w:top w:val="none" w:sz="0" w:space="0" w:color="auto"/>
        <w:left w:val="none" w:sz="0" w:space="0" w:color="auto"/>
        <w:bottom w:val="none" w:sz="0" w:space="0" w:color="auto"/>
        <w:right w:val="none" w:sz="0" w:space="0" w:color="auto"/>
      </w:divBdr>
    </w:div>
    <w:div w:id="1182015593">
      <w:marLeft w:val="0"/>
      <w:marRight w:val="0"/>
      <w:marTop w:val="120"/>
      <w:marBottom w:val="0"/>
      <w:divBdr>
        <w:top w:val="none" w:sz="0" w:space="0" w:color="auto"/>
        <w:left w:val="none" w:sz="0" w:space="0" w:color="auto"/>
        <w:bottom w:val="none" w:sz="0" w:space="0" w:color="auto"/>
        <w:right w:val="none" w:sz="0" w:space="0" w:color="auto"/>
      </w:divBdr>
    </w:div>
    <w:div w:id="1182623223">
      <w:marLeft w:val="0"/>
      <w:marRight w:val="0"/>
      <w:marTop w:val="120"/>
      <w:marBottom w:val="0"/>
      <w:divBdr>
        <w:top w:val="none" w:sz="0" w:space="0" w:color="auto"/>
        <w:left w:val="none" w:sz="0" w:space="0" w:color="auto"/>
        <w:bottom w:val="none" w:sz="0" w:space="0" w:color="auto"/>
        <w:right w:val="none" w:sz="0" w:space="0" w:color="auto"/>
      </w:divBdr>
    </w:div>
    <w:div w:id="1185285067">
      <w:marLeft w:val="0"/>
      <w:marRight w:val="0"/>
      <w:marTop w:val="120"/>
      <w:marBottom w:val="0"/>
      <w:divBdr>
        <w:top w:val="none" w:sz="0" w:space="0" w:color="auto"/>
        <w:left w:val="none" w:sz="0" w:space="0" w:color="auto"/>
        <w:bottom w:val="none" w:sz="0" w:space="0" w:color="auto"/>
        <w:right w:val="none" w:sz="0" w:space="0" w:color="auto"/>
      </w:divBdr>
    </w:div>
    <w:div w:id="1186167362">
      <w:marLeft w:val="0"/>
      <w:marRight w:val="0"/>
      <w:marTop w:val="120"/>
      <w:marBottom w:val="0"/>
      <w:divBdr>
        <w:top w:val="none" w:sz="0" w:space="0" w:color="auto"/>
        <w:left w:val="none" w:sz="0" w:space="0" w:color="auto"/>
        <w:bottom w:val="none" w:sz="0" w:space="0" w:color="auto"/>
        <w:right w:val="none" w:sz="0" w:space="0" w:color="auto"/>
      </w:divBdr>
    </w:div>
    <w:div w:id="1187327792">
      <w:marLeft w:val="0"/>
      <w:marRight w:val="0"/>
      <w:marTop w:val="120"/>
      <w:marBottom w:val="0"/>
      <w:divBdr>
        <w:top w:val="none" w:sz="0" w:space="0" w:color="auto"/>
        <w:left w:val="none" w:sz="0" w:space="0" w:color="auto"/>
        <w:bottom w:val="none" w:sz="0" w:space="0" w:color="auto"/>
        <w:right w:val="none" w:sz="0" w:space="0" w:color="auto"/>
      </w:divBdr>
    </w:div>
    <w:div w:id="1189030102">
      <w:marLeft w:val="0"/>
      <w:marRight w:val="0"/>
      <w:marTop w:val="120"/>
      <w:marBottom w:val="0"/>
      <w:divBdr>
        <w:top w:val="none" w:sz="0" w:space="0" w:color="auto"/>
        <w:left w:val="none" w:sz="0" w:space="0" w:color="auto"/>
        <w:bottom w:val="none" w:sz="0" w:space="0" w:color="auto"/>
        <w:right w:val="none" w:sz="0" w:space="0" w:color="auto"/>
      </w:divBdr>
    </w:div>
    <w:div w:id="1189417217">
      <w:marLeft w:val="0"/>
      <w:marRight w:val="0"/>
      <w:marTop w:val="0"/>
      <w:marBottom w:val="120"/>
      <w:divBdr>
        <w:top w:val="none" w:sz="0" w:space="0" w:color="auto"/>
        <w:left w:val="none" w:sz="0" w:space="0" w:color="auto"/>
        <w:bottom w:val="none" w:sz="0" w:space="0" w:color="auto"/>
        <w:right w:val="none" w:sz="0" w:space="0" w:color="auto"/>
      </w:divBdr>
      <w:divsChild>
        <w:div w:id="1848864497">
          <w:marLeft w:val="0"/>
          <w:marRight w:val="0"/>
          <w:marTop w:val="0"/>
          <w:marBottom w:val="0"/>
          <w:divBdr>
            <w:top w:val="none" w:sz="0" w:space="0" w:color="auto"/>
            <w:left w:val="none" w:sz="0" w:space="0" w:color="auto"/>
            <w:bottom w:val="none" w:sz="0" w:space="0" w:color="auto"/>
            <w:right w:val="none" w:sz="0" w:space="0" w:color="auto"/>
          </w:divBdr>
        </w:div>
        <w:div w:id="721027169">
          <w:marLeft w:val="0"/>
          <w:marRight w:val="0"/>
          <w:marTop w:val="0"/>
          <w:marBottom w:val="0"/>
          <w:divBdr>
            <w:top w:val="none" w:sz="0" w:space="0" w:color="auto"/>
            <w:left w:val="none" w:sz="0" w:space="0" w:color="auto"/>
            <w:bottom w:val="none" w:sz="0" w:space="0" w:color="auto"/>
            <w:right w:val="none" w:sz="0" w:space="0" w:color="auto"/>
          </w:divBdr>
        </w:div>
        <w:div w:id="502208438">
          <w:marLeft w:val="0"/>
          <w:marRight w:val="0"/>
          <w:marTop w:val="0"/>
          <w:marBottom w:val="0"/>
          <w:divBdr>
            <w:top w:val="none" w:sz="0" w:space="0" w:color="auto"/>
            <w:left w:val="none" w:sz="0" w:space="0" w:color="auto"/>
            <w:bottom w:val="none" w:sz="0" w:space="0" w:color="auto"/>
            <w:right w:val="none" w:sz="0" w:space="0" w:color="auto"/>
          </w:divBdr>
        </w:div>
      </w:divsChild>
    </w:div>
    <w:div w:id="1192767011">
      <w:marLeft w:val="0"/>
      <w:marRight w:val="0"/>
      <w:marTop w:val="120"/>
      <w:marBottom w:val="0"/>
      <w:divBdr>
        <w:top w:val="none" w:sz="0" w:space="0" w:color="auto"/>
        <w:left w:val="none" w:sz="0" w:space="0" w:color="auto"/>
        <w:bottom w:val="none" w:sz="0" w:space="0" w:color="auto"/>
        <w:right w:val="none" w:sz="0" w:space="0" w:color="auto"/>
      </w:divBdr>
    </w:div>
    <w:div w:id="1193573907">
      <w:marLeft w:val="0"/>
      <w:marRight w:val="0"/>
      <w:marTop w:val="0"/>
      <w:marBottom w:val="0"/>
      <w:divBdr>
        <w:top w:val="none" w:sz="0" w:space="0" w:color="auto"/>
        <w:left w:val="none" w:sz="0" w:space="0" w:color="auto"/>
        <w:bottom w:val="none" w:sz="0" w:space="0" w:color="auto"/>
        <w:right w:val="none" w:sz="0" w:space="0" w:color="auto"/>
      </w:divBdr>
    </w:div>
    <w:div w:id="1195075141">
      <w:marLeft w:val="0"/>
      <w:marRight w:val="0"/>
      <w:marTop w:val="120"/>
      <w:marBottom w:val="0"/>
      <w:divBdr>
        <w:top w:val="none" w:sz="0" w:space="0" w:color="auto"/>
        <w:left w:val="none" w:sz="0" w:space="0" w:color="auto"/>
        <w:bottom w:val="none" w:sz="0" w:space="0" w:color="auto"/>
        <w:right w:val="none" w:sz="0" w:space="0" w:color="auto"/>
      </w:divBdr>
    </w:div>
    <w:div w:id="1195459813">
      <w:marLeft w:val="0"/>
      <w:marRight w:val="0"/>
      <w:marTop w:val="0"/>
      <w:marBottom w:val="120"/>
      <w:divBdr>
        <w:top w:val="none" w:sz="0" w:space="0" w:color="auto"/>
        <w:left w:val="none" w:sz="0" w:space="0" w:color="auto"/>
        <w:bottom w:val="none" w:sz="0" w:space="0" w:color="auto"/>
        <w:right w:val="none" w:sz="0" w:space="0" w:color="auto"/>
      </w:divBdr>
      <w:divsChild>
        <w:div w:id="1014189066">
          <w:marLeft w:val="0"/>
          <w:marRight w:val="0"/>
          <w:marTop w:val="0"/>
          <w:marBottom w:val="0"/>
          <w:divBdr>
            <w:top w:val="none" w:sz="0" w:space="0" w:color="auto"/>
            <w:left w:val="none" w:sz="0" w:space="0" w:color="auto"/>
            <w:bottom w:val="none" w:sz="0" w:space="0" w:color="auto"/>
            <w:right w:val="none" w:sz="0" w:space="0" w:color="auto"/>
          </w:divBdr>
        </w:div>
        <w:div w:id="1074860054">
          <w:marLeft w:val="0"/>
          <w:marRight w:val="0"/>
          <w:marTop w:val="0"/>
          <w:marBottom w:val="0"/>
          <w:divBdr>
            <w:top w:val="none" w:sz="0" w:space="0" w:color="auto"/>
            <w:left w:val="none" w:sz="0" w:space="0" w:color="auto"/>
            <w:bottom w:val="none" w:sz="0" w:space="0" w:color="auto"/>
            <w:right w:val="none" w:sz="0" w:space="0" w:color="auto"/>
          </w:divBdr>
        </w:div>
        <w:div w:id="398215206">
          <w:marLeft w:val="0"/>
          <w:marRight w:val="0"/>
          <w:marTop w:val="0"/>
          <w:marBottom w:val="0"/>
          <w:divBdr>
            <w:top w:val="none" w:sz="0" w:space="0" w:color="auto"/>
            <w:left w:val="none" w:sz="0" w:space="0" w:color="auto"/>
            <w:bottom w:val="none" w:sz="0" w:space="0" w:color="auto"/>
            <w:right w:val="none" w:sz="0" w:space="0" w:color="auto"/>
          </w:divBdr>
        </w:div>
        <w:div w:id="1809008193">
          <w:marLeft w:val="0"/>
          <w:marRight w:val="0"/>
          <w:marTop w:val="0"/>
          <w:marBottom w:val="0"/>
          <w:divBdr>
            <w:top w:val="none" w:sz="0" w:space="0" w:color="auto"/>
            <w:left w:val="none" w:sz="0" w:space="0" w:color="auto"/>
            <w:bottom w:val="none" w:sz="0" w:space="0" w:color="auto"/>
            <w:right w:val="none" w:sz="0" w:space="0" w:color="auto"/>
          </w:divBdr>
        </w:div>
        <w:div w:id="1066227688">
          <w:marLeft w:val="0"/>
          <w:marRight w:val="0"/>
          <w:marTop w:val="0"/>
          <w:marBottom w:val="0"/>
          <w:divBdr>
            <w:top w:val="none" w:sz="0" w:space="0" w:color="auto"/>
            <w:left w:val="none" w:sz="0" w:space="0" w:color="auto"/>
            <w:bottom w:val="none" w:sz="0" w:space="0" w:color="auto"/>
            <w:right w:val="none" w:sz="0" w:space="0" w:color="auto"/>
          </w:divBdr>
        </w:div>
      </w:divsChild>
    </w:div>
    <w:div w:id="1196506821">
      <w:marLeft w:val="0"/>
      <w:marRight w:val="0"/>
      <w:marTop w:val="0"/>
      <w:marBottom w:val="0"/>
      <w:divBdr>
        <w:top w:val="none" w:sz="0" w:space="0" w:color="auto"/>
        <w:left w:val="none" w:sz="0" w:space="0" w:color="auto"/>
        <w:bottom w:val="none" w:sz="0" w:space="0" w:color="auto"/>
        <w:right w:val="none" w:sz="0" w:space="0" w:color="auto"/>
      </w:divBdr>
      <w:divsChild>
        <w:div w:id="1649748013">
          <w:marLeft w:val="0"/>
          <w:marRight w:val="0"/>
          <w:marTop w:val="0"/>
          <w:marBottom w:val="0"/>
          <w:divBdr>
            <w:top w:val="none" w:sz="0" w:space="0" w:color="auto"/>
            <w:left w:val="none" w:sz="0" w:space="0" w:color="auto"/>
            <w:bottom w:val="none" w:sz="0" w:space="0" w:color="auto"/>
            <w:right w:val="none" w:sz="0" w:space="0" w:color="auto"/>
          </w:divBdr>
        </w:div>
      </w:divsChild>
    </w:div>
    <w:div w:id="1197042187">
      <w:marLeft w:val="0"/>
      <w:marRight w:val="0"/>
      <w:marTop w:val="120"/>
      <w:marBottom w:val="0"/>
      <w:divBdr>
        <w:top w:val="none" w:sz="0" w:space="0" w:color="auto"/>
        <w:left w:val="none" w:sz="0" w:space="0" w:color="auto"/>
        <w:bottom w:val="none" w:sz="0" w:space="0" w:color="auto"/>
        <w:right w:val="none" w:sz="0" w:space="0" w:color="auto"/>
      </w:divBdr>
    </w:div>
    <w:div w:id="1197695904">
      <w:marLeft w:val="0"/>
      <w:marRight w:val="0"/>
      <w:marTop w:val="120"/>
      <w:marBottom w:val="0"/>
      <w:divBdr>
        <w:top w:val="none" w:sz="0" w:space="0" w:color="auto"/>
        <w:left w:val="none" w:sz="0" w:space="0" w:color="auto"/>
        <w:bottom w:val="none" w:sz="0" w:space="0" w:color="auto"/>
        <w:right w:val="none" w:sz="0" w:space="0" w:color="auto"/>
      </w:divBdr>
    </w:div>
    <w:div w:id="1198002748">
      <w:marLeft w:val="0"/>
      <w:marRight w:val="0"/>
      <w:marTop w:val="0"/>
      <w:marBottom w:val="0"/>
      <w:divBdr>
        <w:top w:val="none" w:sz="0" w:space="0" w:color="auto"/>
        <w:left w:val="none" w:sz="0" w:space="0" w:color="auto"/>
        <w:bottom w:val="none" w:sz="0" w:space="0" w:color="auto"/>
        <w:right w:val="none" w:sz="0" w:space="0" w:color="auto"/>
      </w:divBdr>
      <w:divsChild>
        <w:div w:id="589702322">
          <w:marLeft w:val="0"/>
          <w:marRight w:val="0"/>
          <w:marTop w:val="0"/>
          <w:marBottom w:val="0"/>
          <w:divBdr>
            <w:top w:val="none" w:sz="0" w:space="0" w:color="auto"/>
            <w:left w:val="none" w:sz="0" w:space="0" w:color="auto"/>
            <w:bottom w:val="none" w:sz="0" w:space="0" w:color="auto"/>
            <w:right w:val="none" w:sz="0" w:space="0" w:color="auto"/>
          </w:divBdr>
        </w:div>
      </w:divsChild>
    </w:div>
    <w:div w:id="1198812240">
      <w:marLeft w:val="0"/>
      <w:marRight w:val="0"/>
      <w:marTop w:val="120"/>
      <w:marBottom w:val="0"/>
      <w:divBdr>
        <w:top w:val="none" w:sz="0" w:space="0" w:color="auto"/>
        <w:left w:val="none" w:sz="0" w:space="0" w:color="auto"/>
        <w:bottom w:val="none" w:sz="0" w:space="0" w:color="auto"/>
        <w:right w:val="none" w:sz="0" w:space="0" w:color="auto"/>
      </w:divBdr>
    </w:div>
    <w:div w:id="1199973493">
      <w:marLeft w:val="0"/>
      <w:marRight w:val="0"/>
      <w:marTop w:val="0"/>
      <w:marBottom w:val="0"/>
      <w:divBdr>
        <w:top w:val="none" w:sz="0" w:space="0" w:color="auto"/>
        <w:left w:val="none" w:sz="0" w:space="0" w:color="auto"/>
        <w:bottom w:val="none" w:sz="0" w:space="0" w:color="auto"/>
        <w:right w:val="none" w:sz="0" w:space="0" w:color="auto"/>
      </w:divBdr>
    </w:div>
    <w:div w:id="1205093068">
      <w:marLeft w:val="0"/>
      <w:marRight w:val="0"/>
      <w:marTop w:val="120"/>
      <w:marBottom w:val="0"/>
      <w:divBdr>
        <w:top w:val="none" w:sz="0" w:space="0" w:color="auto"/>
        <w:left w:val="none" w:sz="0" w:space="0" w:color="auto"/>
        <w:bottom w:val="none" w:sz="0" w:space="0" w:color="auto"/>
        <w:right w:val="none" w:sz="0" w:space="0" w:color="auto"/>
      </w:divBdr>
    </w:div>
    <w:div w:id="1206408618">
      <w:marLeft w:val="0"/>
      <w:marRight w:val="0"/>
      <w:marTop w:val="0"/>
      <w:marBottom w:val="60"/>
      <w:divBdr>
        <w:top w:val="none" w:sz="0" w:space="0" w:color="auto"/>
        <w:left w:val="none" w:sz="0" w:space="0" w:color="auto"/>
        <w:bottom w:val="none" w:sz="0" w:space="0" w:color="auto"/>
        <w:right w:val="none" w:sz="0" w:space="0" w:color="auto"/>
      </w:divBdr>
    </w:div>
    <w:div w:id="1210798654">
      <w:marLeft w:val="0"/>
      <w:marRight w:val="0"/>
      <w:marTop w:val="0"/>
      <w:marBottom w:val="0"/>
      <w:divBdr>
        <w:top w:val="none" w:sz="0" w:space="0" w:color="auto"/>
        <w:left w:val="none" w:sz="0" w:space="0" w:color="auto"/>
        <w:bottom w:val="none" w:sz="0" w:space="0" w:color="auto"/>
        <w:right w:val="none" w:sz="0" w:space="0" w:color="auto"/>
      </w:divBdr>
    </w:div>
    <w:div w:id="1211066034">
      <w:marLeft w:val="0"/>
      <w:marRight w:val="0"/>
      <w:marTop w:val="120"/>
      <w:marBottom w:val="0"/>
      <w:divBdr>
        <w:top w:val="none" w:sz="0" w:space="0" w:color="auto"/>
        <w:left w:val="none" w:sz="0" w:space="0" w:color="auto"/>
        <w:bottom w:val="none" w:sz="0" w:space="0" w:color="auto"/>
        <w:right w:val="none" w:sz="0" w:space="0" w:color="auto"/>
      </w:divBdr>
    </w:div>
    <w:div w:id="1212502255">
      <w:marLeft w:val="0"/>
      <w:marRight w:val="0"/>
      <w:marTop w:val="120"/>
      <w:marBottom w:val="0"/>
      <w:divBdr>
        <w:top w:val="none" w:sz="0" w:space="0" w:color="auto"/>
        <w:left w:val="none" w:sz="0" w:space="0" w:color="auto"/>
        <w:bottom w:val="none" w:sz="0" w:space="0" w:color="auto"/>
        <w:right w:val="none" w:sz="0" w:space="0" w:color="auto"/>
      </w:divBdr>
    </w:div>
    <w:div w:id="1213804865">
      <w:marLeft w:val="0"/>
      <w:marRight w:val="0"/>
      <w:marTop w:val="120"/>
      <w:marBottom w:val="0"/>
      <w:divBdr>
        <w:top w:val="none" w:sz="0" w:space="0" w:color="auto"/>
        <w:left w:val="none" w:sz="0" w:space="0" w:color="auto"/>
        <w:bottom w:val="none" w:sz="0" w:space="0" w:color="auto"/>
        <w:right w:val="none" w:sz="0" w:space="0" w:color="auto"/>
      </w:divBdr>
    </w:div>
    <w:div w:id="1214343037">
      <w:marLeft w:val="0"/>
      <w:marRight w:val="0"/>
      <w:marTop w:val="0"/>
      <w:marBottom w:val="120"/>
      <w:divBdr>
        <w:top w:val="none" w:sz="0" w:space="0" w:color="auto"/>
        <w:left w:val="none" w:sz="0" w:space="0" w:color="auto"/>
        <w:bottom w:val="none" w:sz="0" w:space="0" w:color="auto"/>
        <w:right w:val="none" w:sz="0" w:space="0" w:color="auto"/>
      </w:divBdr>
      <w:divsChild>
        <w:div w:id="468059047">
          <w:marLeft w:val="0"/>
          <w:marRight w:val="0"/>
          <w:marTop w:val="0"/>
          <w:marBottom w:val="0"/>
          <w:divBdr>
            <w:top w:val="none" w:sz="0" w:space="0" w:color="auto"/>
            <w:left w:val="none" w:sz="0" w:space="0" w:color="auto"/>
            <w:bottom w:val="none" w:sz="0" w:space="0" w:color="auto"/>
            <w:right w:val="none" w:sz="0" w:space="0" w:color="auto"/>
          </w:divBdr>
        </w:div>
        <w:div w:id="783118172">
          <w:marLeft w:val="0"/>
          <w:marRight w:val="0"/>
          <w:marTop w:val="0"/>
          <w:marBottom w:val="0"/>
          <w:divBdr>
            <w:top w:val="none" w:sz="0" w:space="0" w:color="auto"/>
            <w:left w:val="none" w:sz="0" w:space="0" w:color="auto"/>
            <w:bottom w:val="none" w:sz="0" w:space="0" w:color="auto"/>
            <w:right w:val="none" w:sz="0" w:space="0" w:color="auto"/>
          </w:divBdr>
        </w:div>
        <w:div w:id="1282374306">
          <w:marLeft w:val="0"/>
          <w:marRight w:val="0"/>
          <w:marTop w:val="0"/>
          <w:marBottom w:val="0"/>
          <w:divBdr>
            <w:top w:val="none" w:sz="0" w:space="0" w:color="auto"/>
            <w:left w:val="none" w:sz="0" w:space="0" w:color="auto"/>
            <w:bottom w:val="none" w:sz="0" w:space="0" w:color="auto"/>
            <w:right w:val="none" w:sz="0" w:space="0" w:color="auto"/>
          </w:divBdr>
        </w:div>
      </w:divsChild>
    </w:div>
    <w:div w:id="1217280438">
      <w:marLeft w:val="0"/>
      <w:marRight w:val="0"/>
      <w:marTop w:val="120"/>
      <w:marBottom w:val="0"/>
      <w:divBdr>
        <w:top w:val="none" w:sz="0" w:space="0" w:color="auto"/>
        <w:left w:val="none" w:sz="0" w:space="0" w:color="auto"/>
        <w:bottom w:val="none" w:sz="0" w:space="0" w:color="auto"/>
        <w:right w:val="none" w:sz="0" w:space="0" w:color="auto"/>
      </w:divBdr>
    </w:div>
    <w:div w:id="1217469646">
      <w:marLeft w:val="0"/>
      <w:marRight w:val="0"/>
      <w:marTop w:val="120"/>
      <w:marBottom w:val="0"/>
      <w:divBdr>
        <w:top w:val="none" w:sz="0" w:space="0" w:color="auto"/>
        <w:left w:val="none" w:sz="0" w:space="0" w:color="auto"/>
        <w:bottom w:val="none" w:sz="0" w:space="0" w:color="auto"/>
        <w:right w:val="none" w:sz="0" w:space="0" w:color="auto"/>
      </w:divBdr>
    </w:div>
    <w:div w:id="1218853500">
      <w:marLeft w:val="0"/>
      <w:marRight w:val="0"/>
      <w:marTop w:val="120"/>
      <w:marBottom w:val="0"/>
      <w:divBdr>
        <w:top w:val="none" w:sz="0" w:space="0" w:color="auto"/>
        <w:left w:val="none" w:sz="0" w:space="0" w:color="auto"/>
        <w:bottom w:val="none" w:sz="0" w:space="0" w:color="auto"/>
        <w:right w:val="none" w:sz="0" w:space="0" w:color="auto"/>
      </w:divBdr>
    </w:div>
    <w:div w:id="1222516240">
      <w:marLeft w:val="0"/>
      <w:marRight w:val="0"/>
      <w:marTop w:val="120"/>
      <w:marBottom w:val="0"/>
      <w:divBdr>
        <w:top w:val="none" w:sz="0" w:space="0" w:color="auto"/>
        <w:left w:val="none" w:sz="0" w:space="0" w:color="auto"/>
        <w:bottom w:val="none" w:sz="0" w:space="0" w:color="auto"/>
        <w:right w:val="none" w:sz="0" w:space="0" w:color="auto"/>
      </w:divBdr>
    </w:div>
    <w:div w:id="1222641061">
      <w:marLeft w:val="0"/>
      <w:marRight w:val="0"/>
      <w:marTop w:val="0"/>
      <w:marBottom w:val="0"/>
      <w:divBdr>
        <w:top w:val="none" w:sz="0" w:space="0" w:color="auto"/>
        <w:left w:val="none" w:sz="0" w:space="0" w:color="auto"/>
        <w:bottom w:val="none" w:sz="0" w:space="0" w:color="auto"/>
        <w:right w:val="none" w:sz="0" w:space="0" w:color="auto"/>
      </w:divBdr>
    </w:div>
    <w:div w:id="1223063103">
      <w:marLeft w:val="0"/>
      <w:marRight w:val="0"/>
      <w:marTop w:val="0"/>
      <w:marBottom w:val="0"/>
      <w:divBdr>
        <w:top w:val="none" w:sz="0" w:space="0" w:color="auto"/>
        <w:left w:val="none" w:sz="0" w:space="0" w:color="auto"/>
        <w:bottom w:val="none" w:sz="0" w:space="0" w:color="auto"/>
        <w:right w:val="none" w:sz="0" w:space="0" w:color="auto"/>
      </w:divBdr>
      <w:divsChild>
        <w:div w:id="1825732822">
          <w:marLeft w:val="0"/>
          <w:marRight w:val="0"/>
          <w:marTop w:val="0"/>
          <w:marBottom w:val="0"/>
          <w:divBdr>
            <w:top w:val="none" w:sz="0" w:space="0" w:color="auto"/>
            <w:left w:val="none" w:sz="0" w:space="0" w:color="auto"/>
            <w:bottom w:val="none" w:sz="0" w:space="0" w:color="auto"/>
            <w:right w:val="none" w:sz="0" w:space="0" w:color="auto"/>
          </w:divBdr>
        </w:div>
      </w:divsChild>
    </w:div>
    <w:div w:id="1226915329">
      <w:marLeft w:val="0"/>
      <w:marRight w:val="0"/>
      <w:marTop w:val="120"/>
      <w:marBottom w:val="0"/>
      <w:divBdr>
        <w:top w:val="none" w:sz="0" w:space="0" w:color="auto"/>
        <w:left w:val="none" w:sz="0" w:space="0" w:color="auto"/>
        <w:bottom w:val="none" w:sz="0" w:space="0" w:color="auto"/>
        <w:right w:val="none" w:sz="0" w:space="0" w:color="auto"/>
      </w:divBdr>
    </w:div>
    <w:div w:id="1226990387">
      <w:marLeft w:val="0"/>
      <w:marRight w:val="0"/>
      <w:marTop w:val="120"/>
      <w:marBottom w:val="0"/>
      <w:divBdr>
        <w:top w:val="none" w:sz="0" w:space="0" w:color="auto"/>
        <w:left w:val="none" w:sz="0" w:space="0" w:color="auto"/>
        <w:bottom w:val="none" w:sz="0" w:space="0" w:color="auto"/>
        <w:right w:val="none" w:sz="0" w:space="0" w:color="auto"/>
      </w:divBdr>
    </w:div>
    <w:div w:id="1227569429">
      <w:marLeft w:val="0"/>
      <w:marRight w:val="0"/>
      <w:marTop w:val="120"/>
      <w:marBottom w:val="0"/>
      <w:divBdr>
        <w:top w:val="none" w:sz="0" w:space="0" w:color="auto"/>
        <w:left w:val="none" w:sz="0" w:space="0" w:color="auto"/>
        <w:bottom w:val="none" w:sz="0" w:space="0" w:color="auto"/>
        <w:right w:val="none" w:sz="0" w:space="0" w:color="auto"/>
      </w:divBdr>
    </w:div>
    <w:div w:id="1228229875">
      <w:marLeft w:val="0"/>
      <w:marRight w:val="0"/>
      <w:marTop w:val="120"/>
      <w:marBottom w:val="0"/>
      <w:divBdr>
        <w:top w:val="none" w:sz="0" w:space="0" w:color="auto"/>
        <w:left w:val="none" w:sz="0" w:space="0" w:color="auto"/>
        <w:bottom w:val="none" w:sz="0" w:space="0" w:color="auto"/>
        <w:right w:val="none" w:sz="0" w:space="0" w:color="auto"/>
      </w:divBdr>
    </w:div>
    <w:div w:id="1229926318">
      <w:marLeft w:val="0"/>
      <w:marRight w:val="0"/>
      <w:marTop w:val="120"/>
      <w:marBottom w:val="0"/>
      <w:divBdr>
        <w:top w:val="none" w:sz="0" w:space="0" w:color="auto"/>
        <w:left w:val="none" w:sz="0" w:space="0" w:color="auto"/>
        <w:bottom w:val="none" w:sz="0" w:space="0" w:color="auto"/>
        <w:right w:val="none" w:sz="0" w:space="0" w:color="auto"/>
      </w:divBdr>
    </w:div>
    <w:div w:id="1230336832">
      <w:marLeft w:val="0"/>
      <w:marRight w:val="0"/>
      <w:marTop w:val="0"/>
      <w:marBottom w:val="120"/>
      <w:divBdr>
        <w:top w:val="none" w:sz="0" w:space="0" w:color="auto"/>
        <w:left w:val="none" w:sz="0" w:space="0" w:color="auto"/>
        <w:bottom w:val="none" w:sz="0" w:space="0" w:color="auto"/>
        <w:right w:val="none" w:sz="0" w:space="0" w:color="auto"/>
      </w:divBdr>
      <w:divsChild>
        <w:div w:id="2097550395">
          <w:marLeft w:val="0"/>
          <w:marRight w:val="0"/>
          <w:marTop w:val="0"/>
          <w:marBottom w:val="0"/>
          <w:divBdr>
            <w:top w:val="none" w:sz="0" w:space="0" w:color="auto"/>
            <w:left w:val="none" w:sz="0" w:space="0" w:color="auto"/>
            <w:bottom w:val="none" w:sz="0" w:space="0" w:color="auto"/>
            <w:right w:val="none" w:sz="0" w:space="0" w:color="auto"/>
          </w:divBdr>
        </w:div>
        <w:div w:id="566647976">
          <w:marLeft w:val="0"/>
          <w:marRight w:val="0"/>
          <w:marTop w:val="0"/>
          <w:marBottom w:val="0"/>
          <w:divBdr>
            <w:top w:val="none" w:sz="0" w:space="0" w:color="auto"/>
            <w:left w:val="none" w:sz="0" w:space="0" w:color="auto"/>
            <w:bottom w:val="none" w:sz="0" w:space="0" w:color="auto"/>
            <w:right w:val="none" w:sz="0" w:space="0" w:color="auto"/>
          </w:divBdr>
        </w:div>
        <w:div w:id="1021667170">
          <w:marLeft w:val="0"/>
          <w:marRight w:val="0"/>
          <w:marTop w:val="0"/>
          <w:marBottom w:val="0"/>
          <w:divBdr>
            <w:top w:val="none" w:sz="0" w:space="0" w:color="auto"/>
            <w:left w:val="none" w:sz="0" w:space="0" w:color="auto"/>
            <w:bottom w:val="none" w:sz="0" w:space="0" w:color="auto"/>
            <w:right w:val="none" w:sz="0" w:space="0" w:color="auto"/>
          </w:divBdr>
        </w:div>
        <w:div w:id="833498942">
          <w:marLeft w:val="0"/>
          <w:marRight w:val="0"/>
          <w:marTop w:val="0"/>
          <w:marBottom w:val="0"/>
          <w:divBdr>
            <w:top w:val="none" w:sz="0" w:space="0" w:color="auto"/>
            <w:left w:val="none" w:sz="0" w:space="0" w:color="auto"/>
            <w:bottom w:val="none" w:sz="0" w:space="0" w:color="auto"/>
            <w:right w:val="none" w:sz="0" w:space="0" w:color="auto"/>
          </w:divBdr>
        </w:div>
      </w:divsChild>
    </w:div>
    <w:div w:id="1230732210">
      <w:marLeft w:val="0"/>
      <w:marRight w:val="0"/>
      <w:marTop w:val="120"/>
      <w:marBottom w:val="0"/>
      <w:divBdr>
        <w:top w:val="none" w:sz="0" w:space="0" w:color="auto"/>
        <w:left w:val="none" w:sz="0" w:space="0" w:color="auto"/>
        <w:bottom w:val="none" w:sz="0" w:space="0" w:color="auto"/>
        <w:right w:val="none" w:sz="0" w:space="0" w:color="auto"/>
      </w:divBdr>
    </w:div>
    <w:div w:id="1233007898">
      <w:marLeft w:val="0"/>
      <w:marRight w:val="0"/>
      <w:marTop w:val="120"/>
      <w:marBottom w:val="0"/>
      <w:divBdr>
        <w:top w:val="none" w:sz="0" w:space="0" w:color="auto"/>
        <w:left w:val="none" w:sz="0" w:space="0" w:color="auto"/>
        <w:bottom w:val="none" w:sz="0" w:space="0" w:color="auto"/>
        <w:right w:val="none" w:sz="0" w:space="0" w:color="auto"/>
      </w:divBdr>
    </w:div>
    <w:div w:id="1234008595">
      <w:marLeft w:val="0"/>
      <w:marRight w:val="0"/>
      <w:marTop w:val="120"/>
      <w:marBottom w:val="0"/>
      <w:divBdr>
        <w:top w:val="none" w:sz="0" w:space="0" w:color="auto"/>
        <w:left w:val="none" w:sz="0" w:space="0" w:color="auto"/>
        <w:bottom w:val="none" w:sz="0" w:space="0" w:color="auto"/>
        <w:right w:val="none" w:sz="0" w:space="0" w:color="auto"/>
      </w:divBdr>
    </w:div>
    <w:div w:id="1235043778">
      <w:marLeft w:val="0"/>
      <w:marRight w:val="0"/>
      <w:marTop w:val="0"/>
      <w:marBottom w:val="0"/>
      <w:divBdr>
        <w:top w:val="none" w:sz="0" w:space="0" w:color="auto"/>
        <w:left w:val="none" w:sz="0" w:space="0" w:color="auto"/>
        <w:bottom w:val="none" w:sz="0" w:space="0" w:color="auto"/>
        <w:right w:val="none" w:sz="0" w:space="0" w:color="auto"/>
      </w:divBdr>
    </w:div>
    <w:div w:id="1235120473">
      <w:marLeft w:val="0"/>
      <w:marRight w:val="0"/>
      <w:marTop w:val="120"/>
      <w:marBottom w:val="0"/>
      <w:divBdr>
        <w:top w:val="none" w:sz="0" w:space="0" w:color="auto"/>
        <w:left w:val="none" w:sz="0" w:space="0" w:color="auto"/>
        <w:bottom w:val="none" w:sz="0" w:space="0" w:color="auto"/>
        <w:right w:val="none" w:sz="0" w:space="0" w:color="auto"/>
      </w:divBdr>
    </w:div>
    <w:div w:id="1236087900">
      <w:marLeft w:val="0"/>
      <w:marRight w:val="0"/>
      <w:marTop w:val="0"/>
      <w:marBottom w:val="0"/>
      <w:divBdr>
        <w:top w:val="none" w:sz="0" w:space="0" w:color="auto"/>
        <w:left w:val="none" w:sz="0" w:space="0" w:color="auto"/>
        <w:bottom w:val="none" w:sz="0" w:space="0" w:color="auto"/>
        <w:right w:val="none" w:sz="0" w:space="0" w:color="auto"/>
      </w:divBdr>
    </w:div>
    <w:div w:id="1237128619">
      <w:marLeft w:val="0"/>
      <w:marRight w:val="0"/>
      <w:marTop w:val="0"/>
      <w:marBottom w:val="120"/>
      <w:divBdr>
        <w:top w:val="none" w:sz="0" w:space="0" w:color="auto"/>
        <w:left w:val="none" w:sz="0" w:space="0" w:color="auto"/>
        <w:bottom w:val="none" w:sz="0" w:space="0" w:color="auto"/>
        <w:right w:val="none" w:sz="0" w:space="0" w:color="auto"/>
      </w:divBdr>
      <w:divsChild>
        <w:div w:id="793522112">
          <w:marLeft w:val="0"/>
          <w:marRight w:val="0"/>
          <w:marTop w:val="0"/>
          <w:marBottom w:val="0"/>
          <w:divBdr>
            <w:top w:val="none" w:sz="0" w:space="0" w:color="auto"/>
            <w:left w:val="none" w:sz="0" w:space="0" w:color="auto"/>
            <w:bottom w:val="none" w:sz="0" w:space="0" w:color="auto"/>
            <w:right w:val="none" w:sz="0" w:space="0" w:color="auto"/>
          </w:divBdr>
        </w:div>
        <w:div w:id="1842161569">
          <w:marLeft w:val="0"/>
          <w:marRight w:val="0"/>
          <w:marTop w:val="0"/>
          <w:marBottom w:val="0"/>
          <w:divBdr>
            <w:top w:val="none" w:sz="0" w:space="0" w:color="auto"/>
            <w:left w:val="none" w:sz="0" w:space="0" w:color="auto"/>
            <w:bottom w:val="none" w:sz="0" w:space="0" w:color="auto"/>
            <w:right w:val="none" w:sz="0" w:space="0" w:color="auto"/>
          </w:divBdr>
        </w:div>
        <w:div w:id="1532063085">
          <w:marLeft w:val="0"/>
          <w:marRight w:val="0"/>
          <w:marTop w:val="0"/>
          <w:marBottom w:val="0"/>
          <w:divBdr>
            <w:top w:val="none" w:sz="0" w:space="0" w:color="auto"/>
            <w:left w:val="none" w:sz="0" w:space="0" w:color="auto"/>
            <w:bottom w:val="none" w:sz="0" w:space="0" w:color="auto"/>
            <w:right w:val="none" w:sz="0" w:space="0" w:color="auto"/>
          </w:divBdr>
        </w:div>
        <w:div w:id="297027965">
          <w:marLeft w:val="0"/>
          <w:marRight w:val="0"/>
          <w:marTop w:val="0"/>
          <w:marBottom w:val="0"/>
          <w:divBdr>
            <w:top w:val="none" w:sz="0" w:space="0" w:color="auto"/>
            <w:left w:val="none" w:sz="0" w:space="0" w:color="auto"/>
            <w:bottom w:val="none" w:sz="0" w:space="0" w:color="auto"/>
            <w:right w:val="none" w:sz="0" w:space="0" w:color="auto"/>
          </w:divBdr>
        </w:div>
        <w:div w:id="1694529413">
          <w:marLeft w:val="0"/>
          <w:marRight w:val="0"/>
          <w:marTop w:val="0"/>
          <w:marBottom w:val="0"/>
          <w:divBdr>
            <w:top w:val="none" w:sz="0" w:space="0" w:color="auto"/>
            <w:left w:val="none" w:sz="0" w:space="0" w:color="auto"/>
            <w:bottom w:val="none" w:sz="0" w:space="0" w:color="auto"/>
            <w:right w:val="none" w:sz="0" w:space="0" w:color="auto"/>
          </w:divBdr>
        </w:div>
        <w:div w:id="1727144926">
          <w:marLeft w:val="0"/>
          <w:marRight w:val="0"/>
          <w:marTop w:val="0"/>
          <w:marBottom w:val="0"/>
          <w:divBdr>
            <w:top w:val="none" w:sz="0" w:space="0" w:color="auto"/>
            <w:left w:val="none" w:sz="0" w:space="0" w:color="auto"/>
            <w:bottom w:val="none" w:sz="0" w:space="0" w:color="auto"/>
            <w:right w:val="none" w:sz="0" w:space="0" w:color="auto"/>
          </w:divBdr>
        </w:div>
      </w:divsChild>
    </w:div>
    <w:div w:id="1238054928">
      <w:marLeft w:val="0"/>
      <w:marRight w:val="0"/>
      <w:marTop w:val="120"/>
      <w:marBottom w:val="0"/>
      <w:divBdr>
        <w:top w:val="none" w:sz="0" w:space="0" w:color="auto"/>
        <w:left w:val="none" w:sz="0" w:space="0" w:color="auto"/>
        <w:bottom w:val="none" w:sz="0" w:space="0" w:color="auto"/>
        <w:right w:val="none" w:sz="0" w:space="0" w:color="auto"/>
      </w:divBdr>
    </w:div>
    <w:div w:id="1238907274">
      <w:marLeft w:val="0"/>
      <w:marRight w:val="0"/>
      <w:marTop w:val="120"/>
      <w:marBottom w:val="0"/>
      <w:divBdr>
        <w:top w:val="none" w:sz="0" w:space="0" w:color="auto"/>
        <w:left w:val="none" w:sz="0" w:space="0" w:color="auto"/>
        <w:bottom w:val="none" w:sz="0" w:space="0" w:color="auto"/>
        <w:right w:val="none" w:sz="0" w:space="0" w:color="auto"/>
      </w:divBdr>
    </w:div>
    <w:div w:id="1240599787">
      <w:marLeft w:val="0"/>
      <w:marRight w:val="0"/>
      <w:marTop w:val="120"/>
      <w:marBottom w:val="0"/>
      <w:divBdr>
        <w:top w:val="none" w:sz="0" w:space="0" w:color="auto"/>
        <w:left w:val="none" w:sz="0" w:space="0" w:color="auto"/>
        <w:bottom w:val="none" w:sz="0" w:space="0" w:color="auto"/>
        <w:right w:val="none" w:sz="0" w:space="0" w:color="auto"/>
      </w:divBdr>
    </w:div>
    <w:div w:id="1240796259">
      <w:marLeft w:val="0"/>
      <w:marRight w:val="0"/>
      <w:marTop w:val="120"/>
      <w:marBottom w:val="0"/>
      <w:divBdr>
        <w:top w:val="none" w:sz="0" w:space="0" w:color="auto"/>
        <w:left w:val="none" w:sz="0" w:space="0" w:color="auto"/>
        <w:bottom w:val="none" w:sz="0" w:space="0" w:color="auto"/>
        <w:right w:val="none" w:sz="0" w:space="0" w:color="auto"/>
      </w:divBdr>
    </w:div>
    <w:div w:id="1241448993">
      <w:marLeft w:val="0"/>
      <w:marRight w:val="0"/>
      <w:marTop w:val="120"/>
      <w:marBottom w:val="0"/>
      <w:divBdr>
        <w:top w:val="none" w:sz="0" w:space="0" w:color="auto"/>
        <w:left w:val="none" w:sz="0" w:space="0" w:color="auto"/>
        <w:bottom w:val="none" w:sz="0" w:space="0" w:color="auto"/>
        <w:right w:val="none" w:sz="0" w:space="0" w:color="auto"/>
      </w:divBdr>
    </w:div>
    <w:div w:id="1241791304">
      <w:marLeft w:val="0"/>
      <w:marRight w:val="0"/>
      <w:marTop w:val="0"/>
      <w:marBottom w:val="0"/>
      <w:divBdr>
        <w:top w:val="none" w:sz="0" w:space="0" w:color="auto"/>
        <w:left w:val="none" w:sz="0" w:space="0" w:color="auto"/>
        <w:bottom w:val="none" w:sz="0" w:space="0" w:color="auto"/>
        <w:right w:val="none" w:sz="0" w:space="0" w:color="auto"/>
      </w:divBdr>
      <w:divsChild>
        <w:div w:id="1540236452">
          <w:marLeft w:val="0"/>
          <w:marRight w:val="0"/>
          <w:marTop w:val="0"/>
          <w:marBottom w:val="0"/>
          <w:divBdr>
            <w:top w:val="none" w:sz="0" w:space="0" w:color="auto"/>
            <w:left w:val="none" w:sz="0" w:space="0" w:color="auto"/>
            <w:bottom w:val="none" w:sz="0" w:space="0" w:color="auto"/>
            <w:right w:val="none" w:sz="0" w:space="0" w:color="auto"/>
          </w:divBdr>
        </w:div>
      </w:divsChild>
    </w:div>
    <w:div w:id="1241988055">
      <w:marLeft w:val="0"/>
      <w:marRight w:val="0"/>
      <w:marTop w:val="0"/>
      <w:marBottom w:val="0"/>
      <w:divBdr>
        <w:top w:val="none" w:sz="0" w:space="0" w:color="auto"/>
        <w:left w:val="none" w:sz="0" w:space="0" w:color="auto"/>
        <w:bottom w:val="none" w:sz="0" w:space="0" w:color="auto"/>
        <w:right w:val="none" w:sz="0" w:space="0" w:color="auto"/>
      </w:divBdr>
    </w:div>
    <w:div w:id="1242174890">
      <w:marLeft w:val="0"/>
      <w:marRight w:val="0"/>
      <w:marTop w:val="120"/>
      <w:marBottom w:val="0"/>
      <w:divBdr>
        <w:top w:val="none" w:sz="0" w:space="0" w:color="auto"/>
        <w:left w:val="none" w:sz="0" w:space="0" w:color="auto"/>
        <w:bottom w:val="none" w:sz="0" w:space="0" w:color="auto"/>
        <w:right w:val="none" w:sz="0" w:space="0" w:color="auto"/>
      </w:divBdr>
    </w:div>
    <w:div w:id="1244147454">
      <w:marLeft w:val="0"/>
      <w:marRight w:val="0"/>
      <w:marTop w:val="120"/>
      <w:marBottom w:val="0"/>
      <w:divBdr>
        <w:top w:val="none" w:sz="0" w:space="0" w:color="auto"/>
        <w:left w:val="none" w:sz="0" w:space="0" w:color="auto"/>
        <w:bottom w:val="none" w:sz="0" w:space="0" w:color="auto"/>
        <w:right w:val="none" w:sz="0" w:space="0" w:color="auto"/>
      </w:divBdr>
    </w:div>
    <w:div w:id="1245722568">
      <w:marLeft w:val="0"/>
      <w:marRight w:val="0"/>
      <w:marTop w:val="120"/>
      <w:marBottom w:val="0"/>
      <w:divBdr>
        <w:top w:val="none" w:sz="0" w:space="0" w:color="auto"/>
        <w:left w:val="none" w:sz="0" w:space="0" w:color="auto"/>
        <w:bottom w:val="none" w:sz="0" w:space="0" w:color="auto"/>
        <w:right w:val="none" w:sz="0" w:space="0" w:color="auto"/>
      </w:divBdr>
    </w:div>
    <w:div w:id="1247038395">
      <w:marLeft w:val="0"/>
      <w:marRight w:val="0"/>
      <w:marTop w:val="120"/>
      <w:marBottom w:val="0"/>
      <w:divBdr>
        <w:top w:val="none" w:sz="0" w:space="0" w:color="auto"/>
        <w:left w:val="none" w:sz="0" w:space="0" w:color="auto"/>
        <w:bottom w:val="none" w:sz="0" w:space="0" w:color="auto"/>
        <w:right w:val="none" w:sz="0" w:space="0" w:color="auto"/>
      </w:divBdr>
    </w:div>
    <w:div w:id="1248686304">
      <w:marLeft w:val="0"/>
      <w:marRight w:val="0"/>
      <w:marTop w:val="120"/>
      <w:marBottom w:val="0"/>
      <w:divBdr>
        <w:top w:val="none" w:sz="0" w:space="0" w:color="auto"/>
        <w:left w:val="none" w:sz="0" w:space="0" w:color="auto"/>
        <w:bottom w:val="none" w:sz="0" w:space="0" w:color="auto"/>
        <w:right w:val="none" w:sz="0" w:space="0" w:color="auto"/>
      </w:divBdr>
    </w:div>
    <w:div w:id="1249383221">
      <w:marLeft w:val="0"/>
      <w:marRight w:val="0"/>
      <w:marTop w:val="120"/>
      <w:marBottom w:val="0"/>
      <w:divBdr>
        <w:top w:val="none" w:sz="0" w:space="0" w:color="auto"/>
        <w:left w:val="none" w:sz="0" w:space="0" w:color="auto"/>
        <w:bottom w:val="none" w:sz="0" w:space="0" w:color="auto"/>
        <w:right w:val="none" w:sz="0" w:space="0" w:color="auto"/>
      </w:divBdr>
    </w:div>
    <w:div w:id="1249971146">
      <w:marLeft w:val="0"/>
      <w:marRight w:val="0"/>
      <w:marTop w:val="120"/>
      <w:marBottom w:val="0"/>
      <w:divBdr>
        <w:top w:val="none" w:sz="0" w:space="0" w:color="auto"/>
        <w:left w:val="none" w:sz="0" w:space="0" w:color="auto"/>
        <w:bottom w:val="none" w:sz="0" w:space="0" w:color="auto"/>
        <w:right w:val="none" w:sz="0" w:space="0" w:color="auto"/>
      </w:divBdr>
    </w:div>
    <w:div w:id="1250888865">
      <w:marLeft w:val="0"/>
      <w:marRight w:val="0"/>
      <w:marTop w:val="120"/>
      <w:marBottom w:val="0"/>
      <w:divBdr>
        <w:top w:val="none" w:sz="0" w:space="0" w:color="auto"/>
        <w:left w:val="none" w:sz="0" w:space="0" w:color="auto"/>
        <w:bottom w:val="none" w:sz="0" w:space="0" w:color="auto"/>
        <w:right w:val="none" w:sz="0" w:space="0" w:color="auto"/>
      </w:divBdr>
    </w:div>
    <w:div w:id="1251505288">
      <w:marLeft w:val="0"/>
      <w:marRight w:val="0"/>
      <w:marTop w:val="0"/>
      <w:marBottom w:val="0"/>
      <w:divBdr>
        <w:top w:val="none" w:sz="0" w:space="0" w:color="auto"/>
        <w:left w:val="none" w:sz="0" w:space="0" w:color="auto"/>
        <w:bottom w:val="none" w:sz="0" w:space="0" w:color="auto"/>
        <w:right w:val="none" w:sz="0" w:space="0" w:color="auto"/>
      </w:divBdr>
    </w:div>
    <w:div w:id="1251811458">
      <w:marLeft w:val="0"/>
      <w:marRight w:val="0"/>
      <w:marTop w:val="120"/>
      <w:marBottom w:val="0"/>
      <w:divBdr>
        <w:top w:val="none" w:sz="0" w:space="0" w:color="auto"/>
        <w:left w:val="none" w:sz="0" w:space="0" w:color="auto"/>
        <w:bottom w:val="none" w:sz="0" w:space="0" w:color="auto"/>
        <w:right w:val="none" w:sz="0" w:space="0" w:color="auto"/>
      </w:divBdr>
    </w:div>
    <w:div w:id="1254126269">
      <w:marLeft w:val="0"/>
      <w:marRight w:val="0"/>
      <w:marTop w:val="120"/>
      <w:marBottom w:val="0"/>
      <w:divBdr>
        <w:top w:val="none" w:sz="0" w:space="0" w:color="auto"/>
        <w:left w:val="none" w:sz="0" w:space="0" w:color="auto"/>
        <w:bottom w:val="none" w:sz="0" w:space="0" w:color="auto"/>
        <w:right w:val="none" w:sz="0" w:space="0" w:color="auto"/>
      </w:divBdr>
    </w:div>
    <w:div w:id="1254360776">
      <w:marLeft w:val="0"/>
      <w:marRight w:val="0"/>
      <w:marTop w:val="120"/>
      <w:marBottom w:val="0"/>
      <w:divBdr>
        <w:top w:val="none" w:sz="0" w:space="0" w:color="auto"/>
        <w:left w:val="none" w:sz="0" w:space="0" w:color="auto"/>
        <w:bottom w:val="none" w:sz="0" w:space="0" w:color="auto"/>
        <w:right w:val="none" w:sz="0" w:space="0" w:color="auto"/>
      </w:divBdr>
    </w:div>
    <w:div w:id="1255017860">
      <w:marLeft w:val="0"/>
      <w:marRight w:val="0"/>
      <w:marTop w:val="0"/>
      <w:marBottom w:val="120"/>
      <w:divBdr>
        <w:top w:val="none" w:sz="0" w:space="0" w:color="auto"/>
        <w:left w:val="none" w:sz="0" w:space="0" w:color="auto"/>
        <w:bottom w:val="none" w:sz="0" w:space="0" w:color="auto"/>
        <w:right w:val="none" w:sz="0" w:space="0" w:color="auto"/>
      </w:divBdr>
      <w:divsChild>
        <w:div w:id="641081162">
          <w:marLeft w:val="0"/>
          <w:marRight w:val="0"/>
          <w:marTop w:val="0"/>
          <w:marBottom w:val="0"/>
          <w:divBdr>
            <w:top w:val="none" w:sz="0" w:space="0" w:color="auto"/>
            <w:left w:val="none" w:sz="0" w:space="0" w:color="auto"/>
            <w:bottom w:val="none" w:sz="0" w:space="0" w:color="auto"/>
            <w:right w:val="none" w:sz="0" w:space="0" w:color="auto"/>
          </w:divBdr>
        </w:div>
        <w:div w:id="1973166920">
          <w:marLeft w:val="0"/>
          <w:marRight w:val="0"/>
          <w:marTop w:val="0"/>
          <w:marBottom w:val="0"/>
          <w:divBdr>
            <w:top w:val="none" w:sz="0" w:space="0" w:color="auto"/>
            <w:left w:val="none" w:sz="0" w:space="0" w:color="auto"/>
            <w:bottom w:val="none" w:sz="0" w:space="0" w:color="auto"/>
            <w:right w:val="none" w:sz="0" w:space="0" w:color="auto"/>
          </w:divBdr>
        </w:div>
        <w:div w:id="90901377">
          <w:marLeft w:val="0"/>
          <w:marRight w:val="0"/>
          <w:marTop w:val="0"/>
          <w:marBottom w:val="0"/>
          <w:divBdr>
            <w:top w:val="none" w:sz="0" w:space="0" w:color="auto"/>
            <w:left w:val="none" w:sz="0" w:space="0" w:color="auto"/>
            <w:bottom w:val="none" w:sz="0" w:space="0" w:color="auto"/>
            <w:right w:val="none" w:sz="0" w:space="0" w:color="auto"/>
          </w:divBdr>
        </w:div>
        <w:div w:id="1734352035">
          <w:marLeft w:val="0"/>
          <w:marRight w:val="0"/>
          <w:marTop w:val="0"/>
          <w:marBottom w:val="0"/>
          <w:divBdr>
            <w:top w:val="none" w:sz="0" w:space="0" w:color="auto"/>
            <w:left w:val="none" w:sz="0" w:space="0" w:color="auto"/>
            <w:bottom w:val="none" w:sz="0" w:space="0" w:color="auto"/>
            <w:right w:val="none" w:sz="0" w:space="0" w:color="auto"/>
          </w:divBdr>
        </w:div>
        <w:div w:id="849373394">
          <w:marLeft w:val="0"/>
          <w:marRight w:val="0"/>
          <w:marTop w:val="0"/>
          <w:marBottom w:val="0"/>
          <w:divBdr>
            <w:top w:val="none" w:sz="0" w:space="0" w:color="auto"/>
            <w:left w:val="none" w:sz="0" w:space="0" w:color="auto"/>
            <w:bottom w:val="none" w:sz="0" w:space="0" w:color="auto"/>
            <w:right w:val="none" w:sz="0" w:space="0" w:color="auto"/>
          </w:divBdr>
        </w:div>
        <w:div w:id="1472744921">
          <w:marLeft w:val="0"/>
          <w:marRight w:val="0"/>
          <w:marTop w:val="0"/>
          <w:marBottom w:val="0"/>
          <w:divBdr>
            <w:top w:val="none" w:sz="0" w:space="0" w:color="auto"/>
            <w:left w:val="none" w:sz="0" w:space="0" w:color="auto"/>
            <w:bottom w:val="none" w:sz="0" w:space="0" w:color="auto"/>
            <w:right w:val="none" w:sz="0" w:space="0" w:color="auto"/>
          </w:divBdr>
        </w:div>
        <w:div w:id="799417488">
          <w:marLeft w:val="0"/>
          <w:marRight w:val="0"/>
          <w:marTop w:val="0"/>
          <w:marBottom w:val="0"/>
          <w:divBdr>
            <w:top w:val="none" w:sz="0" w:space="0" w:color="auto"/>
            <w:left w:val="none" w:sz="0" w:space="0" w:color="auto"/>
            <w:bottom w:val="none" w:sz="0" w:space="0" w:color="auto"/>
            <w:right w:val="none" w:sz="0" w:space="0" w:color="auto"/>
          </w:divBdr>
        </w:div>
        <w:div w:id="1299414989">
          <w:marLeft w:val="0"/>
          <w:marRight w:val="0"/>
          <w:marTop w:val="0"/>
          <w:marBottom w:val="0"/>
          <w:divBdr>
            <w:top w:val="none" w:sz="0" w:space="0" w:color="auto"/>
            <w:left w:val="none" w:sz="0" w:space="0" w:color="auto"/>
            <w:bottom w:val="none" w:sz="0" w:space="0" w:color="auto"/>
            <w:right w:val="none" w:sz="0" w:space="0" w:color="auto"/>
          </w:divBdr>
        </w:div>
        <w:div w:id="120661433">
          <w:marLeft w:val="0"/>
          <w:marRight w:val="0"/>
          <w:marTop w:val="0"/>
          <w:marBottom w:val="0"/>
          <w:divBdr>
            <w:top w:val="none" w:sz="0" w:space="0" w:color="auto"/>
            <w:left w:val="none" w:sz="0" w:space="0" w:color="auto"/>
            <w:bottom w:val="none" w:sz="0" w:space="0" w:color="auto"/>
            <w:right w:val="none" w:sz="0" w:space="0" w:color="auto"/>
          </w:divBdr>
        </w:div>
        <w:div w:id="1321075969">
          <w:marLeft w:val="0"/>
          <w:marRight w:val="0"/>
          <w:marTop w:val="0"/>
          <w:marBottom w:val="0"/>
          <w:divBdr>
            <w:top w:val="none" w:sz="0" w:space="0" w:color="auto"/>
            <w:left w:val="none" w:sz="0" w:space="0" w:color="auto"/>
            <w:bottom w:val="none" w:sz="0" w:space="0" w:color="auto"/>
            <w:right w:val="none" w:sz="0" w:space="0" w:color="auto"/>
          </w:divBdr>
        </w:div>
        <w:div w:id="1851219146">
          <w:marLeft w:val="0"/>
          <w:marRight w:val="0"/>
          <w:marTop w:val="0"/>
          <w:marBottom w:val="0"/>
          <w:divBdr>
            <w:top w:val="none" w:sz="0" w:space="0" w:color="auto"/>
            <w:left w:val="none" w:sz="0" w:space="0" w:color="auto"/>
            <w:bottom w:val="none" w:sz="0" w:space="0" w:color="auto"/>
            <w:right w:val="none" w:sz="0" w:space="0" w:color="auto"/>
          </w:divBdr>
        </w:div>
        <w:div w:id="1494179153">
          <w:marLeft w:val="0"/>
          <w:marRight w:val="0"/>
          <w:marTop w:val="0"/>
          <w:marBottom w:val="0"/>
          <w:divBdr>
            <w:top w:val="none" w:sz="0" w:space="0" w:color="auto"/>
            <w:left w:val="none" w:sz="0" w:space="0" w:color="auto"/>
            <w:bottom w:val="none" w:sz="0" w:space="0" w:color="auto"/>
            <w:right w:val="none" w:sz="0" w:space="0" w:color="auto"/>
          </w:divBdr>
        </w:div>
        <w:div w:id="51202731">
          <w:marLeft w:val="0"/>
          <w:marRight w:val="0"/>
          <w:marTop w:val="0"/>
          <w:marBottom w:val="0"/>
          <w:divBdr>
            <w:top w:val="none" w:sz="0" w:space="0" w:color="auto"/>
            <w:left w:val="none" w:sz="0" w:space="0" w:color="auto"/>
            <w:bottom w:val="none" w:sz="0" w:space="0" w:color="auto"/>
            <w:right w:val="none" w:sz="0" w:space="0" w:color="auto"/>
          </w:divBdr>
        </w:div>
        <w:div w:id="464085232">
          <w:marLeft w:val="0"/>
          <w:marRight w:val="0"/>
          <w:marTop w:val="0"/>
          <w:marBottom w:val="0"/>
          <w:divBdr>
            <w:top w:val="none" w:sz="0" w:space="0" w:color="auto"/>
            <w:left w:val="none" w:sz="0" w:space="0" w:color="auto"/>
            <w:bottom w:val="none" w:sz="0" w:space="0" w:color="auto"/>
            <w:right w:val="none" w:sz="0" w:space="0" w:color="auto"/>
          </w:divBdr>
        </w:div>
        <w:div w:id="2119980930">
          <w:marLeft w:val="0"/>
          <w:marRight w:val="0"/>
          <w:marTop w:val="0"/>
          <w:marBottom w:val="0"/>
          <w:divBdr>
            <w:top w:val="none" w:sz="0" w:space="0" w:color="auto"/>
            <w:left w:val="none" w:sz="0" w:space="0" w:color="auto"/>
            <w:bottom w:val="none" w:sz="0" w:space="0" w:color="auto"/>
            <w:right w:val="none" w:sz="0" w:space="0" w:color="auto"/>
          </w:divBdr>
        </w:div>
        <w:div w:id="793405817">
          <w:marLeft w:val="0"/>
          <w:marRight w:val="0"/>
          <w:marTop w:val="0"/>
          <w:marBottom w:val="0"/>
          <w:divBdr>
            <w:top w:val="none" w:sz="0" w:space="0" w:color="auto"/>
            <w:left w:val="none" w:sz="0" w:space="0" w:color="auto"/>
            <w:bottom w:val="none" w:sz="0" w:space="0" w:color="auto"/>
            <w:right w:val="none" w:sz="0" w:space="0" w:color="auto"/>
          </w:divBdr>
        </w:div>
        <w:div w:id="1805467209">
          <w:marLeft w:val="0"/>
          <w:marRight w:val="0"/>
          <w:marTop w:val="0"/>
          <w:marBottom w:val="0"/>
          <w:divBdr>
            <w:top w:val="none" w:sz="0" w:space="0" w:color="auto"/>
            <w:left w:val="none" w:sz="0" w:space="0" w:color="auto"/>
            <w:bottom w:val="none" w:sz="0" w:space="0" w:color="auto"/>
            <w:right w:val="none" w:sz="0" w:space="0" w:color="auto"/>
          </w:divBdr>
        </w:div>
        <w:div w:id="382944383">
          <w:marLeft w:val="0"/>
          <w:marRight w:val="0"/>
          <w:marTop w:val="0"/>
          <w:marBottom w:val="0"/>
          <w:divBdr>
            <w:top w:val="none" w:sz="0" w:space="0" w:color="auto"/>
            <w:left w:val="none" w:sz="0" w:space="0" w:color="auto"/>
            <w:bottom w:val="none" w:sz="0" w:space="0" w:color="auto"/>
            <w:right w:val="none" w:sz="0" w:space="0" w:color="auto"/>
          </w:divBdr>
        </w:div>
      </w:divsChild>
    </w:div>
    <w:div w:id="1255165285">
      <w:marLeft w:val="0"/>
      <w:marRight w:val="0"/>
      <w:marTop w:val="120"/>
      <w:marBottom w:val="0"/>
      <w:divBdr>
        <w:top w:val="none" w:sz="0" w:space="0" w:color="auto"/>
        <w:left w:val="none" w:sz="0" w:space="0" w:color="auto"/>
        <w:bottom w:val="none" w:sz="0" w:space="0" w:color="auto"/>
        <w:right w:val="none" w:sz="0" w:space="0" w:color="auto"/>
      </w:divBdr>
    </w:div>
    <w:div w:id="1256086650">
      <w:marLeft w:val="0"/>
      <w:marRight w:val="0"/>
      <w:marTop w:val="120"/>
      <w:marBottom w:val="0"/>
      <w:divBdr>
        <w:top w:val="none" w:sz="0" w:space="0" w:color="auto"/>
        <w:left w:val="none" w:sz="0" w:space="0" w:color="auto"/>
        <w:bottom w:val="none" w:sz="0" w:space="0" w:color="auto"/>
        <w:right w:val="none" w:sz="0" w:space="0" w:color="auto"/>
      </w:divBdr>
    </w:div>
    <w:div w:id="1256134443">
      <w:marLeft w:val="0"/>
      <w:marRight w:val="0"/>
      <w:marTop w:val="120"/>
      <w:marBottom w:val="0"/>
      <w:divBdr>
        <w:top w:val="none" w:sz="0" w:space="0" w:color="auto"/>
        <w:left w:val="none" w:sz="0" w:space="0" w:color="auto"/>
        <w:bottom w:val="none" w:sz="0" w:space="0" w:color="auto"/>
        <w:right w:val="none" w:sz="0" w:space="0" w:color="auto"/>
      </w:divBdr>
    </w:div>
    <w:div w:id="1256785295">
      <w:marLeft w:val="0"/>
      <w:marRight w:val="0"/>
      <w:marTop w:val="120"/>
      <w:marBottom w:val="0"/>
      <w:divBdr>
        <w:top w:val="none" w:sz="0" w:space="0" w:color="auto"/>
        <w:left w:val="none" w:sz="0" w:space="0" w:color="auto"/>
        <w:bottom w:val="none" w:sz="0" w:space="0" w:color="auto"/>
        <w:right w:val="none" w:sz="0" w:space="0" w:color="auto"/>
      </w:divBdr>
    </w:div>
    <w:div w:id="1257208304">
      <w:marLeft w:val="0"/>
      <w:marRight w:val="0"/>
      <w:marTop w:val="120"/>
      <w:marBottom w:val="0"/>
      <w:divBdr>
        <w:top w:val="none" w:sz="0" w:space="0" w:color="auto"/>
        <w:left w:val="none" w:sz="0" w:space="0" w:color="auto"/>
        <w:bottom w:val="none" w:sz="0" w:space="0" w:color="auto"/>
        <w:right w:val="none" w:sz="0" w:space="0" w:color="auto"/>
      </w:divBdr>
    </w:div>
    <w:div w:id="1258636230">
      <w:marLeft w:val="0"/>
      <w:marRight w:val="0"/>
      <w:marTop w:val="120"/>
      <w:marBottom w:val="0"/>
      <w:divBdr>
        <w:top w:val="none" w:sz="0" w:space="0" w:color="auto"/>
        <w:left w:val="none" w:sz="0" w:space="0" w:color="auto"/>
        <w:bottom w:val="none" w:sz="0" w:space="0" w:color="auto"/>
        <w:right w:val="none" w:sz="0" w:space="0" w:color="auto"/>
      </w:divBdr>
    </w:div>
    <w:div w:id="1259217141">
      <w:marLeft w:val="0"/>
      <w:marRight w:val="0"/>
      <w:marTop w:val="0"/>
      <w:marBottom w:val="0"/>
      <w:divBdr>
        <w:top w:val="none" w:sz="0" w:space="0" w:color="auto"/>
        <w:left w:val="none" w:sz="0" w:space="0" w:color="auto"/>
        <w:bottom w:val="none" w:sz="0" w:space="0" w:color="auto"/>
        <w:right w:val="none" w:sz="0" w:space="0" w:color="auto"/>
      </w:divBdr>
    </w:div>
    <w:div w:id="1260021318">
      <w:marLeft w:val="0"/>
      <w:marRight w:val="0"/>
      <w:marTop w:val="0"/>
      <w:marBottom w:val="0"/>
      <w:divBdr>
        <w:top w:val="none" w:sz="0" w:space="0" w:color="auto"/>
        <w:left w:val="none" w:sz="0" w:space="0" w:color="auto"/>
        <w:bottom w:val="none" w:sz="0" w:space="0" w:color="auto"/>
        <w:right w:val="none" w:sz="0" w:space="0" w:color="auto"/>
      </w:divBdr>
    </w:div>
    <w:div w:id="1263419249">
      <w:marLeft w:val="0"/>
      <w:marRight w:val="0"/>
      <w:marTop w:val="120"/>
      <w:marBottom w:val="0"/>
      <w:divBdr>
        <w:top w:val="none" w:sz="0" w:space="0" w:color="auto"/>
        <w:left w:val="none" w:sz="0" w:space="0" w:color="auto"/>
        <w:bottom w:val="none" w:sz="0" w:space="0" w:color="auto"/>
        <w:right w:val="none" w:sz="0" w:space="0" w:color="auto"/>
      </w:divBdr>
    </w:div>
    <w:div w:id="1264410767">
      <w:marLeft w:val="0"/>
      <w:marRight w:val="0"/>
      <w:marTop w:val="120"/>
      <w:marBottom w:val="0"/>
      <w:divBdr>
        <w:top w:val="none" w:sz="0" w:space="0" w:color="auto"/>
        <w:left w:val="none" w:sz="0" w:space="0" w:color="auto"/>
        <w:bottom w:val="none" w:sz="0" w:space="0" w:color="auto"/>
        <w:right w:val="none" w:sz="0" w:space="0" w:color="auto"/>
      </w:divBdr>
    </w:div>
    <w:div w:id="1265305746">
      <w:marLeft w:val="0"/>
      <w:marRight w:val="0"/>
      <w:marTop w:val="120"/>
      <w:marBottom w:val="0"/>
      <w:divBdr>
        <w:top w:val="none" w:sz="0" w:space="0" w:color="auto"/>
        <w:left w:val="none" w:sz="0" w:space="0" w:color="auto"/>
        <w:bottom w:val="none" w:sz="0" w:space="0" w:color="auto"/>
        <w:right w:val="none" w:sz="0" w:space="0" w:color="auto"/>
      </w:divBdr>
    </w:div>
    <w:div w:id="1265915488">
      <w:marLeft w:val="0"/>
      <w:marRight w:val="0"/>
      <w:marTop w:val="120"/>
      <w:marBottom w:val="0"/>
      <w:divBdr>
        <w:top w:val="none" w:sz="0" w:space="0" w:color="auto"/>
        <w:left w:val="none" w:sz="0" w:space="0" w:color="auto"/>
        <w:bottom w:val="none" w:sz="0" w:space="0" w:color="auto"/>
        <w:right w:val="none" w:sz="0" w:space="0" w:color="auto"/>
      </w:divBdr>
    </w:div>
    <w:div w:id="1267038824">
      <w:marLeft w:val="0"/>
      <w:marRight w:val="0"/>
      <w:marTop w:val="120"/>
      <w:marBottom w:val="0"/>
      <w:divBdr>
        <w:top w:val="none" w:sz="0" w:space="0" w:color="auto"/>
        <w:left w:val="none" w:sz="0" w:space="0" w:color="auto"/>
        <w:bottom w:val="none" w:sz="0" w:space="0" w:color="auto"/>
        <w:right w:val="none" w:sz="0" w:space="0" w:color="auto"/>
      </w:divBdr>
    </w:div>
    <w:div w:id="1268386161">
      <w:marLeft w:val="0"/>
      <w:marRight w:val="0"/>
      <w:marTop w:val="0"/>
      <w:marBottom w:val="180"/>
      <w:divBdr>
        <w:top w:val="none" w:sz="0" w:space="0" w:color="auto"/>
        <w:left w:val="none" w:sz="0" w:space="0" w:color="auto"/>
        <w:bottom w:val="none" w:sz="0" w:space="0" w:color="auto"/>
        <w:right w:val="none" w:sz="0" w:space="0" w:color="auto"/>
      </w:divBdr>
    </w:div>
    <w:div w:id="1268540485">
      <w:marLeft w:val="0"/>
      <w:marRight w:val="0"/>
      <w:marTop w:val="120"/>
      <w:marBottom w:val="0"/>
      <w:divBdr>
        <w:top w:val="none" w:sz="0" w:space="0" w:color="auto"/>
        <w:left w:val="none" w:sz="0" w:space="0" w:color="auto"/>
        <w:bottom w:val="none" w:sz="0" w:space="0" w:color="auto"/>
        <w:right w:val="none" w:sz="0" w:space="0" w:color="auto"/>
      </w:divBdr>
    </w:div>
    <w:div w:id="1270118323">
      <w:marLeft w:val="0"/>
      <w:marRight w:val="0"/>
      <w:marTop w:val="120"/>
      <w:marBottom w:val="0"/>
      <w:divBdr>
        <w:top w:val="none" w:sz="0" w:space="0" w:color="auto"/>
        <w:left w:val="none" w:sz="0" w:space="0" w:color="auto"/>
        <w:bottom w:val="none" w:sz="0" w:space="0" w:color="auto"/>
        <w:right w:val="none" w:sz="0" w:space="0" w:color="auto"/>
      </w:divBdr>
    </w:div>
    <w:div w:id="1273896454">
      <w:marLeft w:val="0"/>
      <w:marRight w:val="0"/>
      <w:marTop w:val="120"/>
      <w:marBottom w:val="0"/>
      <w:divBdr>
        <w:top w:val="none" w:sz="0" w:space="0" w:color="auto"/>
        <w:left w:val="none" w:sz="0" w:space="0" w:color="auto"/>
        <w:bottom w:val="none" w:sz="0" w:space="0" w:color="auto"/>
        <w:right w:val="none" w:sz="0" w:space="0" w:color="auto"/>
      </w:divBdr>
    </w:div>
    <w:div w:id="1276064114">
      <w:marLeft w:val="0"/>
      <w:marRight w:val="0"/>
      <w:marTop w:val="120"/>
      <w:marBottom w:val="0"/>
      <w:divBdr>
        <w:top w:val="none" w:sz="0" w:space="0" w:color="auto"/>
        <w:left w:val="none" w:sz="0" w:space="0" w:color="auto"/>
        <w:bottom w:val="none" w:sz="0" w:space="0" w:color="auto"/>
        <w:right w:val="none" w:sz="0" w:space="0" w:color="auto"/>
      </w:divBdr>
    </w:div>
    <w:div w:id="1277253839">
      <w:marLeft w:val="0"/>
      <w:marRight w:val="0"/>
      <w:marTop w:val="120"/>
      <w:marBottom w:val="0"/>
      <w:divBdr>
        <w:top w:val="none" w:sz="0" w:space="0" w:color="auto"/>
        <w:left w:val="none" w:sz="0" w:space="0" w:color="auto"/>
        <w:bottom w:val="none" w:sz="0" w:space="0" w:color="auto"/>
        <w:right w:val="none" w:sz="0" w:space="0" w:color="auto"/>
      </w:divBdr>
    </w:div>
    <w:div w:id="1277323828">
      <w:marLeft w:val="0"/>
      <w:marRight w:val="0"/>
      <w:marTop w:val="120"/>
      <w:marBottom w:val="0"/>
      <w:divBdr>
        <w:top w:val="none" w:sz="0" w:space="0" w:color="auto"/>
        <w:left w:val="none" w:sz="0" w:space="0" w:color="auto"/>
        <w:bottom w:val="none" w:sz="0" w:space="0" w:color="auto"/>
        <w:right w:val="none" w:sz="0" w:space="0" w:color="auto"/>
      </w:divBdr>
    </w:div>
    <w:div w:id="1277524153">
      <w:marLeft w:val="0"/>
      <w:marRight w:val="0"/>
      <w:marTop w:val="120"/>
      <w:marBottom w:val="0"/>
      <w:divBdr>
        <w:top w:val="none" w:sz="0" w:space="0" w:color="auto"/>
        <w:left w:val="none" w:sz="0" w:space="0" w:color="auto"/>
        <w:bottom w:val="none" w:sz="0" w:space="0" w:color="auto"/>
        <w:right w:val="none" w:sz="0" w:space="0" w:color="auto"/>
      </w:divBdr>
    </w:div>
    <w:div w:id="1279482519">
      <w:marLeft w:val="0"/>
      <w:marRight w:val="0"/>
      <w:marTop w:val="200"/>
      <w:marBottom w:val="0"/>
      <w:divBdr>
        <w:top w:val="none" w:sz="0" w:space="0" w:color="auto"/>
        <w:left w:val="none" w:sz="0" w:space="0" w:color="auto"/>
        <w:bottom w:val="none" w:sz="0" w:space="0" w:color="auto"/>
        <w:right w:val="none" w:sz="0" w:space="0" w:color="auto"/>
      </w:divBdr>
    </w:div>
    <w:div w:id="1279608167">
      <w:marLeft w:val="0"/>
      <w:marRight w:val="0"/>
      <w:marTop w:val="120"/>
      <w:marBottom w:val="0"/>
      <w:divBdr>
        <w:top w:val="none" w:sz="0" w:space="0" w:color="auto"/>
        <w:left w:val="none" w:sz="0" w:space="0" w:color="auto"/>
        <w:bottom w:val="none" w:sz="0" w:space="0" w:color="auto"/>
        <w:right w:val="none" w:sz="0" w:space="0" w:color="auto"/>
      </w:divBdr>
    </w:div>
    <w:div w:id="1279800492">
      <w:marLeft w:val="0"/>
      <w:marRight w:val="0"/>
      <w:marTop w:val="180"/>
      <w:marBottom w:val="0"/>
      <w:divBdr>
        <w:top w:val="none" w:sz="0" w:space="0" w:color="auto"/>
        <w:left w:val="none" w:sz="0" w:space="0" w:color="auto"/>
        <w:bottom w:val="none" w:sz="0" w:space="0" w:color="auto"/>
        <w:right w:val="none" w:sz="0" w:space="0" w:color="auto"/>
      </w:divBdr>
    </w:div>
    <w:div w:id="1280409507">
      <w:marLeft w:val="0"/>
      <w:marRight w:val="0"/>
      <w:marTop w:val="0"/>
      <w:marBottom w:val="0"/>
      <w:divBdr>
        <w:top w:val="none" w:sz="0" w:space="0" w:color="auto"/>
        <w:left w:val="none" w:sz="0" w:space="0" w:color="auto"/>
        <w:bottom w:val="none" w:sz="0" w:space="0" w:color="auto"/>
        <w:right w:val="none" w:sz="0" w:space="0" w:color="auto"/>
      </w:divBdr>
      <w:divsChild>
        <w:div w:id="2096508893">
          <w:marLeft w:val="0"/>
          <w:marRight w:val="0"/>
          <w:marTop w:val="0"/>
          <w:marBottom w:val="0"/>
          <w:divBdr>
            <w:top w:val="none" w:sz="0" w:space="0" w:color="auto"/>
            <w:left w:val="none" w:sz="0" w:space="0" w:color="auto"/>
            <w:bottom w:val="none" w:sz="0" w:space="0" w:color="auto"/>
            <w:right w:val="none" w:sz="0" w:space="0" w:color="auto"/>
          </w:divBdr>
        </w:div>
      </w:divsChild>
    </w:div>
    <w:div w:id="1280574037">
      <w:marLeft w:val="0"/>
      <w:marRight w:val="0"/>
      <w:marTop w:val="120"/>
      <w:marBottom w:val="0"/>
      <w:divBdr>
        <w:top w:val="none" w:sz="0" w:space="0" w:color="auto"/>
        <w:left w:val="none" w:sz="0" w:space="0" w:color="auto"/>
        <w:bottom w:val="none" w:sz="0" w:space="0" w:color="auto"/>
        <w:right w:val="none" w:sz="0" w:space="0" w:color="auto"/>
      </w:divBdr>
    </w:div>
    <w:div w:id="1280794542">
      <w:marLeft w:val="0"/>
      <w:marRight w:val="0"/>
      <w:marTop w:val="120"/>
      <w:marBottom w:val="0"/>
      <w:divBdr>
        <w:top w:val="none" w:sz="0" w:space="0" w:color="auto"/>
        <w:left w:val="none" w:sz="0" w:space="0" w:color="auto"/>
        <w:bottom w:val="none" w:sz="0" w:space="0" w:color="auto"/>
        <w:right w:val="none" w:sz="0" w:space="0" w:color="auto"/>
      </w:divBdr>
    </w:div>
    <w:div w:id="1281106996">
      <w:marLeft w:val="0"/>
      <w:marRight w:val="0"/>
      <w:marTop w:val="120"/>
      <w:marBottom w:val="0"/>
      <w:divBdr>
        <w:top w:val="none" w:sz="0" w:space="0" w:color="auto"/>
        <w:left w:val="none" w:sz="0" w:space="0" w:color="auto"/>
        <w:bottom w:val="none" w:sz="0" w:space="0" w:color="auto"/>
        <w:right w:val="none" w:sz="0" w:space="0" w:color="auto"/>
      </w:divBdr>
    </w:div>
    <w:div w:id="1282229498">
      <w:marLeft w:val="0"/>
      <w:marRight w:val="0"/>
      <w:marTop w:val="120"/>
      <w:marBottom w:val="0"/>
      <w:divBdr>
        <w:top w:val="none" w:sz="0" w:space="0" w:color="auto"/>
        <w:left w:val="none" w:sz="0" w:space="0" w:color="auto"/>
        <w:bottom w:val="none" w:sz="0" w:space="0" w:color="auto"/>
        <w:right w:val="none" w:sz="0" w:space="0" w:color="auto"/>
      </w:divBdr>
    </w:div>
    <w:div w:id="1282343715">
      <w:marLeft w:val="0"/>
      <w:marRight w:val="0"/>
      <w:marTop w:val="0"/>
      <w:marBottom w:val="0"/>
      <w:divBdr>
        <w:top w:val="none" w:sz="0" w:space="0" w:color="auto"/>
        <w:left w:val="none" w:sz="0" w:space="0" w:color="auto"/>
        <w:bottom w:val="none" w:sz="0" w:space="0" w:color="auto"/>
        <w:right w:val="none" w:sz="0" w:space="0" w:color="auto"/>
      </w:divBdr>
    </w:div>
    <w:div w:id="1284505640">
      <w:marLeft w:val="0"/>
      <w:marRight w:val="0"/>
      <w:marTop w:val="0"/>
      <w:marBottom w:val="0"/>
      <w:divBdr>
        <w:top w:val="none" w:sz="0" w:space="0" w:color="auto"/>
        <w:left w:val="none" w:sz="0" w:space="0" w:color="auto"/>
        <w:bottom w:val="none" w:sz="0" w:space="0" w:color="auto"/>
        <w:right w:val="none" w:sz="0" w:space="0" w:color="auto"/>
      </w:divBdr>
      <w:divsChild>
        <w:div w:id="290401188">
          <w:marLeft w:val="0"/>
          <w:marRight w:val="0"/>
          <w:marTop w:val="0"/>
          <w:marBottom w:val="0"/>
          <w:divBdr>
            <w:top w:val="none" w:sz="0" w:space="0" w:color="auto"/>
            <w:left w:val="none" w:sz="0" w:space="0" w:color="auto"/>
            <w:bottom w:val="none" w:sz="0" w:space="0" w:color="auto"/>
            <w:right w:val="none" w:sz="0" w:space="0" w:color="auto"/>
          </w:divBdr>
        </w:div>
      </w:divsChild>
    </w:div>
    <w:div w:id="1286235381">
      <w:marLeft w:val="0"/>
      <w:marRight w:val="0"/>
      <w:marTop w:val="120"/>
      <w:marBottom w:val="0"/>
      <w:divBdr>
        <w:top w:val="none" w:sz="0" w:space="0" w:color="auto"/>
        <w:left w:val="none" w:sz="0" w:space="0" w:color="auto"/>
        <w:bottom w:val="none" w:sz="0" w:space="0" w:color="auto"/>
        <w:right w:val="none" w:sz="0" w:space="0" w:color="auto"/>
      </w:divBdr>
    </w:div>
    <w:div w:id="1286472780">
      <w:marLeft w:val="0"/>
      <w:marRight w:val="0"/>
      <w:marTop w:val="180"/>
      <w:marBottom w:val="0"/>
      <w:divBdr>
        <w:top w:val="none" w:sz="0" w:space="0" w:color="auto"/>
        <w:left w:val="none" w:sz="0" w:space="0" w:color="auto"/>
        <w:bottom w:val="none" w:sz="0" w:space="0" w:color="auto"/>
        <w:right w:val="none" w:sz="0" w:space="0" w:color="auto"/>
      </w:divBdr>
    </w:div>
    <w:div w:id="1286933545">
      <w:marLeft w:val="0"/>
      <w:marRight w:val="0"/>
      <w:marTop w:val="120"/>
      <w:marBottom w:val="0"/>
      <w:divBdr>
        <w:top w:val="none" w:sz="0" w:space="0" w:color="auto"/>
        <w:left w:val="none" w:sz="0" w:space="0" w:color="auto"/>
        <w:bottom w:val="none" w:sz="0" w:space="0" w:color="auto"/>
        <w:right w:val="none" w:sz="0" w:space="0" w:color="auto"/>
      </w:divBdr>
    </w:div>
    <w:div w:id="1288897083">
      <w:marLeft w:val="0"/>
      <w:marRight w:val="0"/>
      <w:marTop w:val="120"/>
      <w:marBottom w:val="0"/>
      <w:divBdr>
        <w:top w:val="none" w:sz="0" w:space="0" w:color="auto"/>
        <w:left w:val="none" w:sz="0" w:space="0" w:color="auto"/>
        <w:bottom w:val="none" w:sz="0" w:space="0" w:color="auto"/>
        <w:right w:val="none" w:sz="0" w:space="0" w:color="auto"/>
      </w:divBdr>
    </w:div>
    <w:div w:id="1289815588">
      <w:marLeft w:val="0"/>
      <w:marRight w:val="0"/>
      <w:marTop w:val="0"/>
      <w:marBottom w:val="120"/>
      <w:divBdr>
        <w:top w:val="none" w:sz="0" w:space="0" w:color="auto"/>
        <w:left w:val="none" w:sz="0" w:space="0" w:color="auto"/>
        <w:bottom w:val="none" w:sz="0" w:space="0" w:color="auto"/>
        <w:right w:val="none" w:sz="0" w:space="0" w:color="auto"/>
      </w:divBdr>
    </w:div>
    <w:div w:id="1291782572">
      <w:marLeft w:val="0"/>
      <w:marRight w:val="0"/>
      <w:marTop w:val="120"/>
      <w:marBottom w:val="0"/>
      <w:divBdr>
        <w:top w:val="none" w:sz="0" w:space="0" w:color="auto"/>
        <w:left w:val="none" w:sz="0" w:space="0" w:color="auto"/>
        <w:bottom w:val="none" w:sz="0" w:space="0" w:color="auto"/>
        <w:right w:val="none" w:sz="0" w:space="0" w:color="auto"/>
      </w:divBdr>
    </w:div>
    <w:div w:id="1292053889">
      <w:marLeft w:val="0"/>
      <w:marRight w:val="0"/>
      <w:marTop w:val="120"/>
      <w:marBottom w:val="0"/>
      <w:divBdr>
        <w:top w:val="none" w:sz="0" w:space="0" w:color="auto"/>
        <w:left w:val="none" w:sz="0" w:space="0" w:color="auto"/>
        <w:bottom w:val="none" w:sz="0" w:space="0" w:color="auto"/>
        <w:right w:val="none" w:sz="0" w:space="0" w:color="auto"/>
      </w:divBdr>
    </w:div>
    <w:div w:id="1292252633">
      <w:marLeft w:val="0"/>
      <w:marRight w:val="0"/>
      <w:marTop w:val="120"/>
      <w:marBottom w:val="0"/>
      <w:divBdr>
        <w:top w:val="none" w:sz="0" w:space="0" w:color="auto"/>
        <w:left w:val="none" w:sz="0" w:space="0" w:color="auto"/>
        <w:bottom w:val="none" w:sz="0" w:space="0" w:color="auto"/>
        <w:right w:val="none" w:sz="0" w:space="0" w:color="auto"/>
      </w:divBdr>
    </w:div>
    <w:div w:id="1294289248">
      <w:marLeft w:val="0"/>
      <w:marRight w:val="0"/>
      <w:marTop w:val="120"/>
      <w:marBottom w:val="0"/>
      <w:divBdr>
        <w:top w:val="none" w:sz="0" w:space="0" w:color="auto"/>
        <w:left w:val="none" w:sz="0" w:space="0" w:color="auto"/>
        <w:bottom w:val="none" w:sz="0" w:space="0" w:color="auto"/>
        <w:right w:val="none" w:sz="0" w:space="0" w:color="auto"/>
      </w:divBdr>
    </w:div>
    <w:div w:id="1294402852">
      <w:marLeft w:val="0"/>
      <w:marRight w:val="0"/>
      <w:marTop w:val="120"/>
      <w:marBottom w:val="0"/>
      <w:divBdr>
        <w:top w:val="none" w:sz="0" w:space="0" w:color="auto"/>
        <w:left w:val="none" w:sz="0" w:space="0" w:color="auto"/>
        <w:bottom w:val="none" w:sz="0" w:space="0" w:color="auto"/>
        <w:right w:val="none" w:sz="0" w:space="0" w:color="auto"/>
      </w:divBdr>
    </w:div>
    <w:div w:id="1299335599">
      <w:marLeft w:val="0"/>
      <w:marRight w:val="0"/>
      <w:marTop w:val="0"/>
      <w:marBottom w:val="0"/>
      <w:divBdr>
        <w:top w:val="none" w:sz="0" w:space="0" w:color="auto"/>
        <w:left w:val="none" w:sz="0" w:space="0" w:color="auto"/>
        <w:bottom w:val="none" w:sz="0" w:space="0" w:color="auto"/>
        <w:right w:val="none" w:sz="0" w:space="0" w:color="auto"/>
      </w:divBdr>
      <w:divsChild>
        <w:div w:id="1441535163">
          <w:marLeft w:val="0"/>
          <w:marRight w:val="0"/>
          <w:marTop w:val="0"/>
          <w:marBottom w:val="0"/>
          <w:divBdr>
            <w:top w:val="none" w:sz="0" w:space="0" w:color="auto"/>
            <w:left w:val="none" w:sz="0" w:space="0" w:color="auto"/>
            <w:bottom w:val="none" w:sz="0" w:space="0" w:color="auto"/>
            <w:right w:val="none" w:sz="0" w:space="0" w:color="auto"/>
          </w:divBdr>
        </w:div>
      </w:divsChild>
    </w:div>
    <w:div w:id="1299919295">
      <w:marLeft w:val="0"/>
      <w:marRight w:val="0"/>
      <w:marTop w:val="0"/>
      <w:marBottom w:val="0"/>
      <w:divBdr>
        <w:top w:val="none" w:sz="0" w:space="0" w:color="auto"/>
        <w:left w:val="none" w:sz="0" w:space="0" w:color="auto"/>
        <w:bottom w:val="none" w:sz="0" w:space="0" w:color="auto"/>
        <w:right w:val="none" w:sz="0" w:space="0" w:color="auto"/>
      </w:divBdr>
    </w:div>
    <w:div w:id="1300501010">
      <w:marLeft w:val="0"/>
      <w:marRight w:val="0"/>
      <w:marTop w:val="0"/>
      <w:marBottom w:val="0"/>
      <w:divBdr>
        <w:top w:val="none" w:sz="0" w:space="0" w:color="auto"/>
        <w:left w:val="none" w:sz="0" w:space="0" w:color="auto"/>
        <w:bottom w:val="none" w:sz="0" w:space="0" w:color="auto"/>
        <w:right w:val="none" w:sz="0" w:space="0" w:color="auto"/>
      </w:divBdr>
      <w:divsChild>
        <w:div w:id="642848822">
          <w:marLeft w:val="0"/>
          <w:marRight w:val="0"/>
          <w:marTop w:val="0"/>
          <w:marBottom w:val="0"/>
          <w:divBdr>
            <w:top w:val="none" w:sz="0" w:space="0" w:color="auto"/>
            <w:left w:val="none" w:sz="0" w:space="0" w:color="auto"/>
            <w:bottom w:val="none" w:sz="0" w:space="0" w:color="auto"/>
            <w:right w:val="none" w:sz="0" w:space="0" w:color="auto"/>
          </w:divBdr>
        </w:div>
      </w:divsChild>
    </w:div>
    <w:div w:id="1301573285">
      <w:marLeft w:val="0"/>
      <w:marRight w:val="0"/>
      <w:marTop w:val="120"/>
      <w:marBottom w:val="0"/>
      <w:divBdr>
        <w:top w:val="none" w:sz="0" w:space="0" w:color="auto"/>
        <w:left w:val="none" w:sz="0" w:space="0" w:color="auto"/>
        <w:bottom w:val="none" w:sz="0" w:space="0" w:color="auto"/>
        <w:right w:val="none" w:sz="0" w:space="0" w:color="auto"/>
      </w:divBdr>
    </w:div>
    <w:div w:id="1303076242">
      <w:marLeft w:val="0"/>
      <w:marRight w:val="0"/>
      <w:marTop w:val="0"/>
      <w:marBottom w:val="0"/>
      <w:divBdr>
        <w:top w:val="none" w:sz="0" w:space="0" w:color="auto"/>
        <w:left w:val="none" w:sz="0" w:space="0" w:color="auto"/>
        <w:bottom w:val="none" w:sz="0" w:space="0" w:color="auto"/>
        <w:right w:val="none" w:sz="0" w:space="0" w:color="auto"/>
      </w:divBdr>
    </w:div>
    <w:div w:id="1305116388">
      <w:marLeft w:val="0"/>
      <w:marRight w:val="0"/>
      <w:marTop w:val="120"/>
      <w:marBottom w:val="0"/>
      <w:divBdr>
        <w:top w:val="none" w:sz="0" w:space="0" w:color="auto"/>
        <w:left w:val="none" w:sz="0" w:space="0" w:color="auto"/>
        <w:bottom w:val="none" w:sz="0" w:space="0" w:color="auto"/>
        <w:right w:val="none" w:sz="0" w:space="0" w:color="auto"/>
      </w:divBdr>
    </w:div>
    <w:div w:id="1305432358">
      <w:marLeft w:val="0"/>
      <w:marRight w:val="0"/>
      <w:marTop w:val="120"/>
      <w:marBottom w:val="0"/>
      <w:divBdr>
        <w:top w:val="none" w:sz="0" w:space="0" w:color="auto"/>
        <w:left w:val="none" w:sz="0" w:space="0" w:color="auto"/>
        <w:bottom w:val="none" w:sz="0" w:space="0" w:color="auto"/>
        <w:right w:val="none" w:sz="0" w:space="0" w:color="auto"/>
      </w:divBdr>
    </w:div>
    <w:div w:id="1305745065">
      <w:marLeft w:val="0"/>
      <w:marRight w:val="0"/>
      <w:marTop w:val="120"/>
      <w:marBottom w:val="0"/>
      <w:divBdr>
        <w:top w:val="none" w:sz="0" w:space="0" w:color="auto"/>
        <w:left w:val="none" w:sz="0" w:space="0" w:color="auto"/>
        <w:bottom w:val="none" w:sz="0" w:space="0" w:color="auto"/>
        <w:right w:val="none" w:sz="0" w:space="0" w:color="auto"/>
      </w:divBdr>
    </w:div>
    <w:div w:id="1305937037">
      <w:marLeft w:val="0"/>
      <w:marRight w:val="0"/>
      <w:marTop w:val="0"/>
      <w:marBottom w:val="0"/>
      <w:divBdr>
        <w:top w:val="none" w:sz="0" w:space="0" w:color="auto"/>
        <w:left w:val="none" w:sz="0" w:space="0" w:color="auto"/>
        <w:bottom w:val="none" w:sz="0" w:space="0" w:color="auto"/>
        <w:right w:val="none" w:sz="0" w:space="0" w:color="auto"/>
      </w:divBdr>
    </w:div>
    <w:div w:id="1306009091">
      <w:marLeft w:val="0"/>
      <w:marRight w:val="0"/>
      <w:marTop w:val="0"/>
      <w:marBottom w:val="0"/>
      <w:divBdr>
        <w:top w:val="none" w:sz="0" w:space="0" w:color="auto"/>
        <w:left w:val="none" w:sz="0" w:space="0" w:color="auto"/>
        <w:bottom w:val="none" w:sz="0" w:space="0" w:color="auto"/>
        <w:right w:val="none" w:sz="0" w:space="0" w:color="auto"/>
      </w:divBdr>
    </w:div>
    <w:div w:id="1307784816">
      <w:marLeft w:val="0"/>
      <w:marRight w:val="0"/>
      <w:marTop w:val="120"/>
      <w:marBottom w:val="0"/>
      <w:divBdr>
        <w:top w:val="none" w:sz="0" w:space="0" w:color="auto"/>
        <w:left w:val="none" w:sz="0" w:space="0" w:color="auto"/>
        <w:bottom w:val="none" w:sz="0" w:space="0" w:color="auto"/>
        <w:right w:val="none" w:sz="0" w:space="0" w:color="auto"/>
      </w:divBdr>
    </w:div>
    <w:div w:id="1308509011">
      <w:marLeft w:val="0"/>
      <w:marRight w:val="0"/>
      <w:marTop w:val="120"/>
      <w:marBottom w:val="0"/>
      <w:divBdr>
        <w:top w:val="none" w:sz="0" w:space="0" w:color="auto"/>
        <w:left w:val="none" w:sz="0" w:space="0" w:color="auto"/>
        <w:bottom w:val="none" w:sz="0" w:space="0" w:color="auto"/>
        <w:right w:val="none" w:sz="0" w:space="0" w:color="auto"/>
      </w:divBdr>
    </w:div>
    <w:div w:id="1310089487">
      <w:marLeft w:val="0"/>
      <w:marRight w:val="0"/>
      <w:marTop w:val="0"/>
      <w:marBottom w:val="0"/>
      <w:divBdr>
        <w:top w:val="none" w:sz="0" w:space="0" w:color="auto"/>
        <w:left w:val="none" w:sz="0" w:space="0" w:color="auto"/>
        <w:bottom w:val="none" w:sz="0" w:space="0" w:color="auto"/>
        <w:right w:val="none" w:sz="0" w:space="0" w:color="auto"/>
      </w:divBdr>
    </w:div>
    <w:div w:id="1310861455">
      <w:marLeft w:val="0"/>
      <w:marRight w:val="0"/>
      <w:marTop w:val="120"/>
      <w:marBottom w:val="0"/>
      <w:divBdr>
        <w:top w:val="none" w:sz="0" w:space="0" w:color="auto"/>
        <w:left w:val="none" w:sz="0" w:space="0" w:color="auto"/>
        <w:bottom w:val="none" w:sz="0" w:space="0" w:color="auto"/>
        <w:right w:val="none" w:sz="0" w:space="0" w:color="auto"/>
      </w:divBdr>
    </w:div>
    <w:div w:id="1310940106">
      <w:marLeft w:val="0"/>
      <w:marRight w:val="0"/>
      <w:marTop w:val="0"/>
      <w:marBottom w:val="60"/>
      <w:divBdr>
        <w:top w:val="none" w:sz="0" w:space="0" w:color="auto"/>
        <w:left w:val="none" w:sz="0" w:space="0" w:color="auto"/>
        <w:bottom w:val="none" w:sz="0" w:space="0" w:color="auto"/>
        <w:right w:val="none" w:sz="0" w:space="0" w:color="auto"/>
      </w:divBdr>
    </w:div>
    <w:div w:id="1312253885">
      <w:marLeft w:val="0"/>
      <w:marRight w:val="0"/>
      <w:marTop w:val="0"/>
      <w:marBottom w:val="0"/>
      <w:divBdr>
        <w:top w:val="none" w:sz="0" w:space="0" w:color="auto"/>
        <w:left w:val="none" w:sz="0" w:space="0" w:color="auto"/>
        <w:bottom w:val="none" w:sz="0" w:space="0" w:color="auto"/>
        <w:right w:val="none" w:sz="0" w:space="0" w:color="auto"/>
      </w:divBdr>
    </w:div>
    <w:div w:id="1312905948">
      <w:marLeft w:val="0"/>
      <w:marRight w:val="0"/>
      <w:marTop w:val="0"/>
      <w:marBottom w:val="0"/>
      <w:divBdr>
        <w:top w:val="none" w:sz="0" w:space="0" w:color="auto"/>
        <w:left w:val="none" w:sz="0" w:space="0" w:color="auto"/>
        <w:bottom w:val="none" w:sz="0" w:space="0" w:color="auto"/>
        <w:right w:val="none" w:sz="0" w:space="0" w:color="auto"/>
      </w:divBdr>
    </w:div>
    <w:div w:id="1312952308">
      <w:marLeft w:val="0"/>
      <w:marRight w:val="0"/>
      <w:marTop w:val="0"/>
      <w:marBottom w:val="0"/>
      <w:divBdr>
        <w:top w:val="none" w:sz="0" w:space="0" w:color="auto"/>
        <w:left w:val="none" w:sz="0" w:space="0" w:color="auto"/>
        <w:bottom w:val="none" w:sz="0" w:space="0" w:color="auto"/>
        <w:right w:val="none" w:sz="0" w:space="0" w:color="auto"/>
      </w:divBdr>
    </w:div>
    <w:div w:id="1317564663">
      <w:marLeft w:val="0"/>
      <w:marRight w:val="0"/>
      <w:marTop w:val="0"/>
      <w:marBottom w:val="0"/>
      <w:divBdr>
        <w:top w:val="none" w:sz="0" w:space="0" w:color="auto"/>
        <w:left w:val="none" w:sz="0" w:space="0" w:color="auto"/>
        <w:bottom w:val="none" w:sz="0" w:space="0" w:color="auto"/>
        <w:right w:val="none" w:sz="0" w:space="0" w:color="auto"/>
      </w:divBdr>
    </w:div>
    <w:div w:id="1317613727">
      <w:marLeft w:val="0"/>
      <w:marRight w:val="0"/>
      <w:marTop w:val="0"/>
      <w:marBottom w:val="66"/>
      <w:divBdr>
        <w:top w:val="none" w:sz="0" w:space="0" w:color="auto"/>
        <w:left w:val="none" w:sz="0" w:space="0" w:color="auto"/>
        <w:bottom w:val="none" w:sz="0" w:space="0" w:color="auto"/>
        <w:right w:val="none" w:sz="0" w:space="0" w:color="auto"/>
      </w:divBdr>
    </w:div>
    <w:div w:id="1318681853">
      <w:marLeft w:val="0"/>
      <w:marRight w:val="0"/>
      <w:marTop w:val="0"/>
      <w:marBottom w:val="0"/>
      <w:divBdr>
        <w:top w:val="none" w:sz="0" w:space="0" w:color="auto"/>
        <w:left w:val="none" w:sz="0" w:space="0" w:color="auto"/>
        <w:bottom w:val="none" w:sz="0" w:space="0" w:color="auto"/>
        <w:right w:val="none" w:sz="0" w:space="0" w:color="auto"/>
      </w:divBdr>
    </w:div>
    <w:div w:id="1321077825">
      <w:marLeft w:val="0"/>
      <w:marRight w:val="0"/>
      <w:marTop w:val="0"/>
      <w:marBottom w:val="0"/>
      <w:divBdr>
        <w:top w:val="none" w:sz="0" w:space="0" w:color="auto"/>
        <w:left w:val="none" w:sz="0" w:space="0" w:color="auto"/>
        <w:bottom w:val="none" w:sz="0" w:space="0" w:color="auto"/>
        <w:right w:val="none" w:sz="0" w:space="0" w:color="auto"/>
      </w:divBdr>
      <w:divsChild>
        <w:div w:id="1389576782">
          <w:marLeft w:val="0"/>
          <w:marRight w:val="0"/>
          <w:marTop w:val="0"/>
          <w:marBottom w:val="0"/>
          <w:divBdr>
            <w:top w:val="none" w:sz="0" w:space="0" w:color="auto"/>
            <w:left w:val="none" w:sz="0" w:space="0" w:color="auto"/>
            <w:bottom w:val="none" w:sz="0" w:space="0" w:color="auto"/>
            <w:right w:val="none" w:sz="0" w:space="0" w:color="auto"/>
          </w:divBdr>
        </w:div>
      </w:divsChild>
    </w:div>
    <w:div w:id="1321543694">
      <w:marLeft w:val="0"/>
      <w:marRight w:val="0"/>
      <w:marTop w:val="0"/>
      <w:marBottom w:val="0"/>
      <w:divBdr>
        <w:top w:val="none" w:sz="0" w:space="0" w:color="auto"/>
        <w:left w:val="none" w:sz="0" w:space="0" w:color="auto"/>
        <w:bottom w:val="none" w:sz="0" w:space="0" w:color="auto"/>
        <w:right w:val="none" w:sz="0" w:space="0" w:color="auto"/>
      </w:divBdr>
    </w:div>
    <w:div w:id="1321734943">
      <w:marLeft w:val="0"/>
      <w:marRight w:val="0"/>
      <w:marTop w:val="120"/>
      <w:marBottom w:val="0"/>
      <w:divBdr>
        <w:top w:val="none" w:sz="0" w:space="0" w:color="auto"/>
        <w:left w:val="none" w:sz="0" w:space="0" w:color="auto"/>
        <w:bottom w:val="none" w:sz="0" w:space="0" w:color="auto"/>
        <w:right w:val="none" w:sz="0" w:space="0" w:color="auto"/>
      </w:divBdr>
    </w:div>
    <w:div w:id="1322343524">
      <w:marLeft w:val="0"/>
      <w:marRight w:val="0"/>
      <w:marTop w:val="100"/>
      <w:marBottom w:val="0"/>
      <w:divBdr>
        <w:top w:val="none" w:sz="0" w:space="0" w:color="auto"/>
        <w:left w:val="none" w:sz="0" w:space="0" w:color="auto"/>
        <w:bottom w:val="none" w:sz="0" w:space="0" w:color="auto"/>
        <w:right w:val="none" w:sz="0" w:space="0" w:color="auto"/>
      </w:divBdr>
    </w:div>
    <w:div w:id="1323392357">
      <w:marLeft w:val="0"/>
      <w:marRight w:val="0"/>
      <w:marTop w:val="0"/>
      <w:marBottom w:val="0"/>
      <w:divBdr>
        <w:top w:val="none" w:sz="0" w:space="0" w:color="auto"/>
        <w:left w:val="none" w:sz="0" w:space="0" w:color="auto"/>
        <w:bottom w:val="none" w:sz="0" w:space="0" w:color="auto"/>
        <w:right w:val="none" w:sz="0" w:space="0" w:color="auto"/>
      </w:divBdr>
    </w:div>
    <w:div w:id="1324626182">
      <w:marLeft w:val="0"/>
      <w:marRight w:val="0"/>
      <w:marTop w:val="120"/>
      <w:marBottom w:val="0"/>
      <w:divBdr>
        <w:top w:val="none" w:sz="0" w:space="0" w:color="auto"/>
        <w:left w:val="none" w:sz="0" w:space="0" w:color="auto"/>
        <w:bottom w:val="none" w:sz="0" w:space="0" w:color="auto"/>
        <w:right w:val="none" w:sz="0" w:space="0" w:color="auto"/>
      </w:divBdr>
    </w:div>
    <w:div w:id="1326126979">
      <w:marLeft w:val="0"/>
      <w:marRight w:val="0"/>
      <w:marTop w:val="120"/>
      <w:marBottom w:val="0"/>
      <w:divBdr>
        <w:top w:val="none" w:sz="0" w:space="0" w:color="auto"/>
        <w:left w:val="none" w:sz="0" w:space="0" w:color="auto"/>
        <w:bottom w:val="none" w:sz="0" w:space="0" w:color="auto"/>
        <w:right w:val="none" w:sz="0" w:space="0" w:color="auto"/>
      </w:divBdr>
    </w:div>
    <w:div w:id="1327246808">
      <w:marLeft w:val="0"/>
      <w:marRight w:val="0"/>
      <w:marTop w:val="120"/>
      <w:marBottom w:val="0"/>
      <w:divBdr>
        <w:top w:val="none" w:sz="0" w:space="0" w:color="auto"/>
        <w:left w:val="none" w:sz="0" w:space="0" w:color="auto"/>
        <w:bottom w:val="none" w:sz="0" w:space="0" w:color="auto"/>
        <w:right w:val="none" w:sz="0" w:space="0" w:color="auto"/>
      </w:divBdr>
    </w:div>
    <w:div w:id="1328362901">
      <w:marLeft w:val="0"/>
      <w:marRight w:val="0"/>
      <w:marTop w:val="0"/>
      <w:marBottom w:val="0"/>
      <w:divBdr>
        <w:top w:val="none" w:sz="0" w:space="0" w:color="auto"/>
        <w:left w:val="none" w:sz="0" w:space="0" w:color="auto"/>
        <w:bottom w:val="none" w:sz="0" w:space="0" w:color="auto"/>
        <w:right w:val="none" w:sz="0" w:space="0" w:color="auto"/>
      </w:divBdr>
      <w:divsChild>
        <w:div w:id="1081022778">
          <w:marLeft w:val="0"/>
          <w:marRight w:val="0"/>
          <w:marTop w:val="0"/>
          <w:marBottom w:val="0"/>
          <w:divBdr>
            <w:top w:val="none" w:sz="0" w:space="0" w:color="auto"/>
            <w:left w:val="none" w:sz="0" w:space="0" w:color="auto"/>
            <w:bottom w:val="none" w:sz="0" w:space="0" w:color="auto"/>
            <w:right w:val="none" w:sz="0" w:space="0" w:color="auto"/>
          </w:divBdr>
        </w:div>
      </w:divsChild>
    </w:div>
    <w:div w:id="1328631769">
      <w:marLeft w:val="0"/>
      <w:marRight w:val="0"/>
      <w:marTop w:val="240"/>
      <w:marBottom w:val="0"/>
      <w:divBdr>
        <w:top w:val="none" w:sz="0" w:space="0" w:color="auto"/>
        <w:left w:val="none" w:sz="0" w:space="0" w:color="auto"/>
        <w:bottom w:val="none" w:sz="0" w:space="0" w:color="auto"/>
        <w:right w:val="none" w:sz="0" w:space="0" w:color="auto"/>
      </w:divBdr>
    </w:div>
    <w:div w:id="1328822810">
      <w:marLeft w:val="0"/>
      <w:marRight w:val="0"/>
      <w:marTop w:val="120"/>
      <w:marBottom w:val="0"/>
      <w:divBdr>
        <w:top w:val="none" w:sz="0" w:space="0" w:color="auto"/>
        <w:left w:val="none" w:sz="0" w:space="0" w:color="auto"/>
        <w:bottom w:val="none" w:sz="0" w:space="0" w:color="auto"/>
        <w:right w:val="none" w:sz="0" w:space="0" w:color="auto"/>
      </w:divBdr>
    </w:div>
    <w:div w:id="1329601305">
      <w:marLeft w:val="0"/>
      <w:marRight w:val="0"/>
      <w:marTop w:val="0"/>
      <w:marBottom w:val="0"/>
      <w:divBdr>
        <w:top w:val="none" w:sz="0" w:space="0" w:color="auto"/>
        <w:left w:val="none" w:sz="0" w:space="0" w:color="auto"/>
        <w:bottom w:val="none" w:sz="0" w:space="0" w:color="auto"/>
        <w:right w:val="none" w:sz="0" w:space="0" w:color="auto"/>
      </w:divBdr>
    </w:div>
    <w:div w:id="1330983599">
      <w:marLeft w:val="0"/>
      <w:marRight w:val="0"/>
      <w:marTop w:val="120"/>
      <w:marBottom w:val="0"/>
      <w:divBdr>
        <w:top w:val="none" w:sz="0" w:space="0" w:color="auto"/>
        <w:left w:val="none" w:sz="0" w:space="0" w:color="auto"/>
        <w:bottom w:val="none" w:sz="0" w:space="0" w:color="auto"/>
        <w:right w:val="none" w:sz="0" w:space="0" w:color="auto"/>
      </w:divBdr>
    </w:div>
    <w:div w:id="1332412723">
      <w:marLeft w:val="0"/>
      <w:marRight w:val="0"/>
      <w:marTop w:val="120"/>
      <w:marBottom w:val="0"/>
      <w:divBdr>
        <w:top w:val="none" w:sz="0" w:space="0" w:color="auto"/>
        <w:left w:val="none" w:sz="0" w:space="0" w:color="auto"/>
        <w:bottom w:val="none" w:sz="0" w:space="0" w:color="auto"/>
        <w:right w:val="none" w:sz="0" w:space="0" w:color="auto"/>
      </w:divBdr>
    </w:div>
    <w:div w:id="1333264973">
      <w:marLeft w:val="0"/>
      <w:marRight w:val="0"/>
      <w:marTop w:val="0"/>
      <w:marBottom w:val="0"/>
      <w:divBdr>
        <w:top w:val="none" w:sz="0" w:space="0" w:color="auto"/>
        <w:left w:val="none" w:sz="0" w:space="0" w:color="auto"/>
        <w:bottom w:val="none" w:sz="0" w:space="0" w:color="auto"/>
        <w:right w:val="none" w:sz="0" w:space="0" w:color="auto"/>
      </w:divBdr>
    </w:div>
    <w:div w:id="1333484491">
      <w:marLeft w:val="0"/>
      <w:marRight w:val="0"/>
      <w:marTop w:val="120"/>
      <w:marBottom w:val="0"/>
      <w:divBdr>
        <w:top w:val="none" w:sz="0" w:space="0" w:color="auto"/>
        <w:left w:val="none" w:sz="0" w:space="0" w:color="auto"/>
        <w:bottom w:val="none" w:sz="0" w:space="0" w:color="auto"/>
        <w:right w:val="none" w:sz="0" w:space="0" w:color="auto"/>
      </w:divBdr>
    </w:div>
    <w:div w:id="1334802810">
      <w:marLeft w:val="0"/>
      <w:marRight w:val="0"/>
      <w:marTop w:val="120"/>
      <w:marBottom w:val="0"/>
      <w:divBdr>
        <w:top w:val="none" w:sz="0" w:space="0" w:color="auto"/>
        <w:left w:val="none" w:sz="0" w:space="0" w:color="auto"/>
        <w:bottom w:val="none" w:sz="0" w:space="0" w:color="auto"/>
        <w:right w:val="none" w:sz="0" w:space="0" w:color="auto"/>
      </w:divBdr>
    </w:div>
    <w:div w:id="1336759542">
      <w:marLeft w:val="0"/>
      <w:marRight w:val="0"/>
      <w:marTop w:val="120"/>
      <w:marBottom w:val="0"/>
      <w:divBdr>
        <w:top w:val="none" w:sz="0" w:space="0" w:color="auto"/>
        <w:left w:val="none" w:sz="0" w:space="0" w:color="auto"/>
        <w:bottom w:val="none" w:sz="0" w:space="0" w:color="auto"/>
        <w:right w:val="none" w:sz="0" w:space="0" w:color="auto"/>
      </w:divBdr>
    </w:div>
    <w:div w:id="1338193931">
      <w:marLeft w:val="0"/>
      <w:marRight w:val="0"/>
      <w:marTop w:val="0"/>
      <w:marBottom w:val="0"/>
      <w:divBdr>
        <w:top w:val="none" w:sz="0" w:space="0" w:color="auto"/>
        <w:left w:val="none" w:sz="0" w:space="0" w:color="auto"/>
        <w:bottom w:val="none" w:sz="0" w:space="0" w:color="auto"/>
        <w:right w:val="none" w:sz="0" w:space="0" w:color="auto"/>
      </w:divBdr>
    </w:div>
    <w:div w:id="1338342539">
      <w:marLeft w:val="0"/>
      <w:marRight w:val="0"/>
      <w:marTop w:val="120"/>
      <w:marBottom w:val="0"/>
      <w:divBdr>
        <w:top w:val="none" w:sz="0" w:space="0" w:color="auto"/>
        <w:left w:val="none" w:sz="0" w:space="0" w:color="auto"/>
        <w:bottom w:val="none" w:sz="0" w:space="0" w:color="auto"/>
        <w:right w:val="none" w:sz="0" w:space="0" w:color="auto"/>
      </w:divBdr>
    </w:div>
    <w:div w:id="1338727644">
      <w:marLeft w:val="0"/>
      <w:marRight w:val="0"/>
      <w:marTop w:val="120"/>
      <w:marBottom w:val="0"/>
      <w:divBdr>
        <w:top w:val="none" w:sz="0" w:space="0" w:color="auto"/>
        <w:left w:val="none" w:sz="0" w:space="0" w:color="auto"/>
        <w:bottom w:val="none" w:sz="0" w:space="0" w:color="auto"/>
        <w:right w:val="none" w:sz="0" w:space="0" w:color="auto"/>
      </w:divBdr>
    </w:div>
    <w:div w:id="1343050254">
      <w:marLeft w:val="0"/>
      <w:marRight w:val="0"/>
      <w:marTop w:val="0"/>
      <w:marBottom w:val="0"/>
      <w:divBdr>
        <w:top w:val="none" w:sz="0" w:space="0" w:color="auto"/>
        <w:left w:val="none" w:sz="0" w:space="0" w:color="auto"/>
        <w:bottom w:val="none" w:sz="0" w:space="0" w:color="auto"/>
        <w:right w:val="none" w:sz="0" w:space="0" w:color="auto"/>
      </w:divBdr>
      <w:divsChild>
        <w:div w:id="1031027164">
          <w:marLeft w:val="0"/>
          <w:marRight w:val="0"/>
          <w:marTop w:val="0"/>
          <w:marBottom w:val="0"/>
          <w:divBdr>
            <w:top w:val="none" w:sz="0" w:space="0" w:color="auto"/>
            <w:left w:val="none" w:sz="0" w:space="0" w:color="auto"/>
            <w:bottom w:val="none" w:sz="0" w:space="0" w:color="auto"/>
            <w:right w:val="none" w:sz="0" w:space="0" w:color="auto"/>
          </w:divBdr>
        </w:div>
      </w:divsChild>
    </w:div>
    <w:div w:id="1343313640">
      <w:marLeft w:val="0"/>
      <w:marRight w:val="0"/>
      <w:marTop w:val="120"/>
      <w:marBottom w:val="0"/>
      <w:divBdr>
        <w:top w:val="none" w:sz="0" w:space="0" w:color="auto"/>
        <w:left w:val="none" w:sz="0" w:space="0" w:color="auto"/>
        <w:bottom w:val="none" w:sz="0" w:space="0" w:color="auto"/>
        <w:right w:val="none" w:sz="0" w:space="0" w:color="auto"/>
      </w:divBdr>
    </w:div>
    <w:div w:id="1344168843">
      <w:marLeft w:val="0"/>
      <w:marRight w:val="0"/>
      <w:marTop w:val="60"/>
      <w:marBottom w:val="0"/>
      <w:divBdr>
        <w:top w:val="none" w:sz="0" w:space="0" w:color="auto"/>
        <w:left w:val="none" w:sz="0" w:space="0" w:color="auto"/>
        <w:bottom w:val="none" w:sz="0" w:space="0" w:color="auto"/>
        <w:right w:val="none" w:sz="0" w:space="0" w:color="auto"/>
      </w:divBdr>
    </w:div>
    <w:div w:id="1344362314">
      <w:marLeft w:val="0"/>
      <w:marRight w:val="0"/>
      <w:marTop w:val="120"/>
      <w:marBottom w:val="0"/>
      <w:divBdr>
        <w:top w:val="none" w:sz="0" w:space="0" w:color="auto"/>
        <w:left w:val="none" w:sz="0" w:space="0" w:color="auto"/>
        <w:bottom w:val="none" w:sz="0" w:space="0" w:color="auto"/>
        <w:right w:val="none" w:sz="0" w:space="0" w:color="auto"/>
      </w:divBdr>
    </w:div>
    <w:div w:id="1344550776">
      <w:marLeft w:val="0"/>
      <w:marRight w:val="0"/>
      <w:marTop w:val="0"/>
      <w:marBottom w:val="0"/>
      <w:divBdr>
        <w:top w:val="none" w:sz="0" w:space="0" w:color="auto"/>
        <w:left w:val="none" w:sz="0" w:space="0" w:color="auto"/>
        <w:bottom w:val="none" w:sz="0" w:space="0" w:color="auto"/>
        <w:right w:val="none" w:sz="0" w:space="0" w:color="auto"/>
      </w:divBdr>
      <w:divsChild>
        <w:div w:id="2145156974">
          <w:marLeft w:val="0"/>
          <w:marRight w:val="0"/>
          <w:marTop w:val="0"/>
          <w:marBottom w:val="0"/>
          <w:divBdr>
            <w:top w:val="none" w:sz="0" w:space="0" w:color="auto"/>
            <w:left w:val="none" w:sz="0" w:space="0" w:color="auto"/>
            <w:bottom w:val="none" w:sz="0" w:space="0" w:color="auto"/>
            <w:right w:val="none" w:sz="0" w:space="0" w:color="auto"/>
          </w:divBdr>
        </w:div>
      </w:divsChild>
    </w:div>
    <w:div w:id="1347749677">
      <w:marLeft w:val="0"/>
      <w:marRight w:val="0"/>
      <w:marTop w:val="0"/>
      <w:marBottom w:val="0"/>
      <w:divBdr>
        <w:top w:val="none" w:sz="0" w:space="0" w:color="auto"/>
        <w:left w:val="none" w:sz="0" w:space="0" w:color="auto"/>
        <w:bottom w:val="none" w:sz="0" w:space="0" w:color="auto"/>
        <w:right w:val="none" w:sz="0" w:space="0" w:color="auto"/>
      </w:divBdr>
      <w:divsChild>
        <w:div w:id="1141001830">
          <w:marLeft w:val="0"/>
          <w:marRight w:val="0"/>
          <w:marTop w:val="0"/>
          <w:marBottom w:val="0"/>
          <w:divBdr>
            <w:top w:val="none" w:sz="0" w:space="0" w:color="auto"/>
            <w:left w:val="none" w:sz="0" w:space="0" w:color="auto"/>
            <w:bottom w:val="none" w:sz="0" w:space="0" w:color="auto"/>
            <w:right w:val="none" w:sz="0" w:space="0" w:color="auto"/>
          </w:divBdr>
        </w:div>
      </w:divsChild>
    </w:div>
    <w:div w:id="1350714867">
      <w:marLeft w:val="0"/>
      <w:marRight w:val="0"/>
      <w:marTop w:val="120"/>
      <w:marBottom w:val="0"/>
      <w:divBdr>
        <w:top w:val="none" w:sz="0" w:space="0" w:color="auto"/>
        <w:left w:val="none" w:sz="0" w:space="0" w:color="auto"/>
        <w:bottom w:val="none" w:sz="0" w:space="0" w:color="auto"/>
        <w:right w:val="none" w:sz="0" w:space="0" w:color="auto"/>
      </w:divBdr>
    </w:div>
    <w:div w:id="1351178219">
      <w:marLeft w:val="0"/>
      <w:marRight w:val="0"/>
      <w:marTop w:val="120"/>
      <w:marBottom w:val="0"/>
      <w:divBdr>
        <w:top w:val="none" w:sz="0" w:space="0" w:color="auto"/>
        <w:left w:val="none" w:sz="0" w:space="0" w:color="auto"/>
        <w:bottom w:val="none" w:sz="0" w:space="0" w:color="auto"/>
        <w:right w:val="none" w:sz="0" w:space="0" w:color="auto"/>
      </w:divBdr>
    </w:div>
    <w:div w:id="1351756666">
      <w:marLeft w:val="0"/>
      <w:marRight w:val="0"/>
      <w:marTop w:val="120"/>
      <w:marBottom w:val="0"/>
      <w:divBdr>
        <w:top w:val="none" w:sz="0" w:space="0" w:color="auto"/>
        <w:left w:val="none" w:sz="0" w:space="0" w:color="auto"/>
        <w:bottom w:val="none" w:sz="0" w:space="0" w:color="auto"/>
        <w:right w:val="none" w:sz="0" w:space="0" w:color="auto"/>
      </w:divBdr>
    </w:div>
    <w:div w:id="1352681114">
      <w:marLeft w:val="0"/>
      <w:marRight w:val="0"/>
      <w:marTop w:val="120"/>
      <w:marBottom w:val="0"/>
      <w:divBdr>
        <w:top w:val="none" w:sz="0" w:space="0" w:color="auto"/>
        <w:left w:val="none" w:sz="0" w:space="0" w:color="auto"/>
        <w:bottom w:val="none" w:sz="0" w:space="0" w:color="auto"/>
        <w:right w:val="none" w:sz="0" w:space="0" w:color="auto"/>
      </w:divBdr>
    </w:div>
    <w:div w:id="1353723727">
      <w:marLeft w:val="0"/>
      <w:marRight w:val="0"/>
      <w:marTop w:val="120"/>
      <w:marBottom w:val="0"/>
      <w:divBdr>
        <w:top w:val="none" w:sz="0" w:space="0" w:color="auto"/>
        <w:left w:val="none" w:sz="0" w:space="0" w:color="auto"/>
        <w:bottom w:val="none" w:sz="0" w:space="0" w:color="auto"/>
        <w:right w:val="none" w:sz="0" w:space="0" w:color="auto"/>
      </w:divBdr>
    </w:div>
    <w:div w:id="1355840968">
      <w:marLeft w:val="0"/>
      <w:marRight w:val="0"/>
      <w:marTop w:val="0"/>
      <w:marBottom w:val="0"/>
      <w:divBdr>
        <w:top w:val="none" w:sz="0" w:space="0" w:color="auto"/>
        <w:left w:val="none" w:sz="0" w:space="0" w:color="auto"/>
        <w:bottom w:val="none" w:sz="0" w:space="0" w:color="auto"/>
        <w:right w:val="none" w:sz="0" w:space="0" w:color="auto"/>
      </w:divBdr>
      <w:divsChild>
        <w:div w:id="456795377">
          <w:marLeft w:val="0"/>
          <w:marRight w:val="0"/>
          <w:marTop w:val="0"/>
          <w:marBottom w:val="0"/>
          <w:divBdr>
            <w:top w:val="none" w:sz="0" w:space="0" w:color="auto"/>
            <w:left w:val="none" w:sz="0" w:space="0" w:color="auto"/>
            <w:bottom w:val="none" w:sz="0" w:space="0" w:color="auto"/>
            <w:right w:val="none" w:sz="0" w:space="0" w:color="auto"/>
          </w:divBdr>
        </w:div>
      </w:divsChild>
    </w:div>
    <w:div w:id="1356273381">
      <w:marLeft w:val="0"/>
      <w:marRight w:val="0"/>
      <w:marTop w:val="120"/>
      <w:marBottom w:val="0"/>
      <w:divBdr>
        <w:top w:val="none" w:sz="0" w:space="0" w:color="auto"/>
        <w:left w:val="none" w:sz="0" w:space="0" w:color="auto"/>
        <w:bottom w:val="none" w:sz="0" w:space="0" w:color="auto"/>
        <w:right w:val="none" w:sz="0" w:space="0" w:color="auto"/>
      </w:divBdr>
    </w:div>
    <w:div w:id="1356737767">
      <w:marLeft w:val="0"/>
      <w:marRight w:val="0"/>
      <w:marTop w:val="0"/>
      <w:marBottom w:val="0"/>
      <w:divBdr>
        <w:top w:val="none" w:sz="0" w:space="0" w:color="auto"/>
        <w:left w:val="none" w:sz="0" w:space="0" w:color="auto"/>
        <w:bottom w:val="none" w:sz="0" w:space="0" w:color="auto"/>
        <w:right w:val="none" w:sz="0" w:space="0" w:color="auto"/>
      </w:divBdr>
    </w:div>
    <w:div w:id="1359164635">
      <w:marLeft w:val="0"/>
      <w:marRight w:val="0"/>
      <w:marTop w:val="120"/>
      <w:marBottom w:val="0"/>
      <w:divBdr>
        <w:top w:val="none" w:sz="0" w:space="0" w:color="auto"/>
        <w:left w:val="none" w:sz="0" w:space="0" w:color="auto"/>
        <w:bottom w:val="none" w:sz="0" w:space="0" w:color="auto"/>
        <w:right w:val="none" w:sz="0" w:space="0" w:color="auto"/>
      </w:divBdr>
    </w:div>
    <w:div w:id="1359964153">
      <w:marLeft w:val="0"/>
      <w:marRight w:val="0"/>
      <w:marTop w:val="180"/>
      <w:marBottom w:val="0"/>
      <w:divBdr>
        <w:top w:val="none" w:sz="0" w:space="0" w:color="auto"/>
        <w:left w:val="none" w:sz="0" w:space="0" w:color="auto"/>
        <w:bottom w:val="none" w:sz="0" w:space="0" w:color="auto"/>
        <w:right w:val="none" w:sz="0" w:space="0" w:color="auto"/>
      </w:divBdr>
    </w:div>
    <w:div w:id="1362590526">
      <w:marLeft w:val="0"/>
      <w:marRight w:val="0"/>
      <w:marTop w:val="0"/>
      <w:marBottom w:val="0"/>
      <w:divBdr>
        <w:top w:val="none" w:sz="0" w:space="0" w:color="auto"/>
        <w:left w:val="none" w:sz="0" w:space="0" w:color="auto"/>
        <w:bottom w:val="none" w:sz="0" w:space="0" w:color="auto"/>
        <w:right w:val="none" w:sz="0" w:space="0" w:color="auto"/>
      </w:divBdr>
      <w:divsChild>
        <w:div w:id="683242329">
          <w:marLeft w:val="0"/>
          <w:marRight w:val="0"/>
          <w:marTop w:val="0"/>
          <w:marBottom w:val="0"/>
          <w:divBdr>
            <w:top w:val="none" w:sz="0" w:space="0" w:color="auto"/>
            <w:left w:val="none" w:sz="0" w:space="0" w:color="auto"/>
            <w:bottom w:val="none" w:sz="0" w:space="0" w:color="auto"/>
            <w:right w:val="none" w:sz="0" w:space="0" w:color="auto"/>
          </w:divBdr>
        </w:div>
      </w:divsChild>
    </w:div>
    <w:div w:id="1362710222">
      <w:marLeft w:val="0"/>
      <w:marRight w:val="0"/>
      <w:marTop w:val="0"/>
      <w:marBottom w:val="0"/>
      <w:divBdr>
        <w:top w:val="none" w:sz="0" w:space="0" w:color="auto"/>
        <w:left w:val="none" w:sz="0" w:space="0" w:color="auto"/>
        <w:bottom w:val="none" w:sz="0" w:space="0" w:color="auto"/>
        <w:right w:val="none" w:sz="0" w:space="0" w:color="auto"/>
      </w:divBdr>
      <w:divsChild>
        <w:div w:id="1047334061">
          <w:marLeft w:val="0"/>
          <w:marRight w:val="0"/>
          <w:marTop w:val="0"/>
          <w:marBottom w:val="0"/>
          <w:divBdr>
            <w:top w:val="none" w:sz="0" w:space="0" w:color="auto"/>
            <w:left w:val="none" w:sz="0" w:space="0" w:color="auto"/>
            <w:bottom w:val="none" w:sz="0" w:space="0" w:color="auto"/>
            <w:right w:val="none" w:sz="0" w:space="0" w:color="auto"/>
          </w:divBdr>
        </w:div>
      </w:divsChild>
    </w:div>
    <w:div w:id="1362779789">
      <w:marLeft w:val="0"/>
      <w:marRight w:val="0"/>
      <w:marTop w:val="120"/>
      <w:marBottom w:val="0"/>
      <w:divBdr>
        <w:top w:val="none" w:sz="0" w:space="0" w:color="auto"/>
        <w:left w:val="none" w:sz="0" w:space="0" w:color="auto"/>
        <w:bottom w:val="none" w:sz="0" w:space="0" w:color="auto"/>
        <w:right w:val="none" w:sz="0" w:space="0" w:color="auto"/>
      </w:divBdr>
    </w:div>
    <w:div w:id="1363285749">
      <w:marLeft w:val="0"/>
      <w:marRight w:val="0"/>
      <w:marTop w:val="120"/>
      <w:marBottom w:val="0"/>
      <w:divBdr>
        <w:top w:val="none" w:sz="0" w:space="0" w:color="auto"/>
        <w:left w:val="none" w:sz="0" w:space="0" w:color="auto"/>
        <w:bottom w:val="none" w:sz="0" w:space="0" w:color="auto"/>
        <w:right w:val="none" w:sz="0" w:space="0" w:color="auto"/>
      </w:divBdr>
    </w:div>
    <w:div w:id="1368027139">
      <w:marLeft w:val="0"/>
      <w:marRight w:val="0"/>
      <w:marTop w:val="120"/>
      <w:marBottom w:val="0"/>
      <w:divBdr>
        <w:top w:val="none" w:sz="0" w:space="0" w:color="auto"/>
        <w:left w:val="none" w:sz="0" w:space="0" w:color="auto"/>
        <w:bottom w:val="none" w:sz="0" w:space="0" w:color="auto"/>
        <w:right w:val="none" w:sz="0" w:space="0" w:color="auto"/>
      </w:divBdr>
    </w:div>
    <w:div w:id="1368487657">
      <w:marLeft w:val="0"/>
      <w:marRight w:val="0"/>
      <w:marTop w:val="120"/>
      <w:marBottom w:val="0"/>
      <w:divBdr>
        <w:top w:val="none" w:sz="0" w:space="0" w:color="auto"/>
        <w:left w:val="none" w:sz="0" w:space="0" w:color="auto"/>
        <w:bottom w:val="none" w:sz="0" w:space="0" w:color="auto"/>
        <w:right w:val="none" w:sz="0" w:space="0" w:color="auto"/>
      </w:divBdr>
    </w:div>
    <w:div w:id="1369063943">
      <w:marLeft w:val="0"/>
      <w:marRight w:val="0"/>
      <w:marTop w:val="120"/>
      <w:marBottom w:val="0"/>
      <w:divBdr>
        <w:top w:val="none" w:sz="0" w:space="0" w:color="auto"/>
        <w:left w:val="none" w:sz="0" w:space="0" w:color="auto"/>
        <w:bottom w:val="none" w:sz="0" w:space="0" w:color="auto"/>
        <w:right w:val="none" w:sz="0" w:space="0" w:color="auto"/>
      </w:divBdr>
    </w:div>
    <w:div w:id="1369721880">
      <w:marLeft w:val="0"/>
      <w:marRight w:val="0"/>
      <w:marTop w:val="120"/>
      <w:marBottom w:val="0"/>
      <w:divBdr>
        <w:top w:val="none" w:sz="0" w:space="0" w:color="auto"/>
        <w:left w:val="none" w:sz="0" w:space="0" w:color="auto"/>
        <w:bottom w:val="none" w:sz="0" w:space="0" w:color="auto"/>
        <w:right w:val="none" w:sz="0" w:space="0" w:color="auto"/>
      </w:divBdr>
    </w:div>
    <w:div w:id="1370106583">
      <w:marLeft w:val="0"/>
      <w:marRight w:val="0"/>
      <w:marTop w:val="0"/>
      <w:marBottom w:val="0"/>
      <w:divBdr>
        <w:top w:val="none" w:sz="0" w:space="0" w:color="auto"/>
        <w:left w:val="none" w:sz="0" w:space="0" w:color="auto"/>
        <w:bottom w:val="none" w:sz="0" w:space="0" w:color="auto"/>
        <w:right w:val="none" w:sz="0" w:space="0" w:color="auto"/>
      </w:divBdr>
    </w:div>
    <w:div w:id="1371416633">
      <w:marLeft w:val="0"/>
      <w:marRight w:val="0"/>
      <w:marTop w:val="0"/>
      <w:marBottom w:val="120"/>
      <w:divBdr>
        <w:top w:val="none" w:sz="0" w:space="0" w:color="auto"/>
        <w:left w:val="none" w:sz="0" w:space="0" w:color="auto"/>
        <w:bottom w:val="none" w:sz="0" w:space="0" w:color="auto"/>
        <w:right w:val="none" w:sz="0" w:space="0" w:color="auto"/>
      </w:divBdr>
    </w:div>
    <w:div w:id="1372150586">
      <w:marLeft w:val="0"/>
      <w:marRight w:val="0"/>
      <w:marTop w:val="0"/>
      <w:marBottom w:val="0"/>
      <w:divBdr>
        <w:top w:val="none" w:sz="0" w:space="0" w:color="auto"/>
        <w:left w:val="none" w:sz="0" w:space="0" w:color="auto"/>
        <w:bottom w:val="none" w:sz="0" w:space="0" w:color="auto"/>
        <w:right w:val="none" w:sz="0" w:space="0" w:color="auto"/>
      </w:divBdr>
    </w:div>
    <w:div w:id="1375160229">
      <w:marLeft w:val="0"/>
      <w:marRight w:val="0"/>
      <w:marTop w:val="180"/>
      <w:marBottom w:val="0"/>
      <w:divBdr>
        <w:top w:val="none" w:sz="0" w:space="0" w:color="auto"/>
        <w:left w:val="none" w:sz="0" w:space="0" w:color="auto"/>
        <w:bottom w:val="none" w:sz="0" w:space="0" w:color="auto"/>
        <w:right w:val="none" w:sz="0" w:space="0" w:color="auto"/>
      </w:divBdr>
    </w:div>
    <w:div w:id="1376274375">
      <w:marLeft w:val="0"/>
      <w:marRight w:val="0"/>
      <w:marTop w:val="120"/>
      <w:marBottom w:val="0"/>
      <w:divBdr>
        <w:top w:val="none" w:sz="0" w:space="0" w:color="auto"/>
        <w:left w:val="none" w:sz="0" w:space="0" w:color="auto"/>
        <w:bottom w:val="none" w:sz="0" w:space="0" w:color="auto"/>
        <w:right w:val="none" w:sz="0" w:space="0" w:color="auto"/>
      </w:divBdr>
    </w:div>
    <w:div w:id="1376349328">
      <w:marLeft w:val="0"/>
      <w:marRight w:val="0"/>
      <w:marTop w:val="120"/>
      <w:marBottom w:val="0"/>
      <w:divBdr>
        <w:top w:val="none" w:sz="0" w:space="0" w:color="auto"/>
        <w:left w:val="none" w:sz="0" w:space="0" w:color="auto"/>
        <w:bottom w:val="none" w:sz="0" w:space="0" w:color="auto"/>
        <w:right w:val="none" w:sz="0" w:space="0" w:color="auto"/>
      </w:divBdr>
    </w:div>
    <w:div w:id="1377781804">
      <w:marLeft w:val="0"/>
      <w:marRight w:val="0"/>
      <w:marTop w:val="120"/>
      <w:marBottom w:val="0"/>
      <w:divBdr>
        <w:top w:val="none" w:sz="0" w:space="0" w:color="auto"/>
        <w:left w:val="none" w:sz="0" w:space="0" w:color="auto"/>
        <w:bottom w:val="none" w:sz="0" w:space="0" w:color="auto"/>
        <w:right w:val="none" w:sz="0" w:space="0" w:color="auto"/>
      </w:divBdr>
    </w:div>
    <w:div w:id="1379745976">
      <w:marLeft w:val="0"/>
      <w:marRight w:val="0"/>
      <w:marTop w:val="120"/>
      <w:marBottom w:val="0"/>
      <w:divBdr>
        <w:top w:val="none" w:sz="0" w:space="0" w:color="auto"/>
        <w:left w:val="none" w:sz="0" w:space="0" w:color="auto"/>
        <w:bottom w:val="none" w:sz="0" w:space="0" w:color="auto"/>
        <w:right w:val="none" w:sz="0" w:space="0" w:color="auto"/>
      </w:divBdr>
    </w:div>
    <w:div w:id="1379934354">
      <w:marLeft w:val="0"/>
      <w:marRight w:val="0"/>
      <w:marTop w:val="120"/>
      <w:marBottom w:val="0"/>
      <w:divBdr>
        <w:top w:val="none" w:sz="0" w:space="0" w:color="auto"/>
        <w:left w:val="none" w:sz="0" w:space="0" w:color="auto"/>
        <w:bottom w:val="none" w:sz="0" w:space="0" w:color="auto"/>
        <w:right w:val="none" w:sz="0" w:space="0" w:color="auto"/>
      </w:divBdr>
    </w:div>
    <w:div w:id="1383793229">
      <w:marLeft w:val="0"/>
      <w:marRight w:val="0"/>
      <w:marTop w:val="0"/>
      <w:marBottom w:val="0"/>
      <w:divBdr>
        <w:top w:val="none" w:sz="0" w:space="0" w:color="auto"/>
        <w:left w:val="none" w:sz="0" w:space="0" w:color="auto"/>
        <w:bottom w:val="none" w:sz="0" w:space="0" w:color="auto"/>
        <w:right w:val="none" w:sz="0" w:space="0" w:color="auto"/>
      </w:divBdr>
    </w:div>
    <w:div w:id="1384790163">
      <w:marLeft w:val="0"/>
      <w:marRight w:val="0"/>
      <w:marTop w:val="0"/>
      <w:marBottom w:val="120"/>
      <w:divBdr>
        <w:top w:val="none" w:sz="0" w:space="0" w:color="auto"/>
        <w:left w:val="none" w:sz="0" w:space="0" w:color="auto"/>
        <w:bottom w:val="none" w:sz="0" w:space="0" w:color="auto"/>
        <w:right w:val="none" w:sz="0" w:space="0" w:color="auto"/>
      </w:divBdr>
      <w:divsChild>
        <w:div w:id="1108238373">
          <w:marLeft w:val="0"/>
          <w:marRight w:val="0"/>
          <w:marTop w:val="0"/>
          <w:marBottom w:val="0"/>
          <w:divBdr>
            <w:top w:val="none" w:sz="0" w:space="0" w:color="auto"/>
            <w:left w:val="none" w:sz="0" w:space="0" w:color="auto"/>
            <w:bottom w:val="none" w:sz="0" w:space="0" w:color="auto"/>
            <w:right w:val="none" w:sz="0" w:space="0" w:color="auto"/>
          </w:divBdr>
        </w:div>
      </w:divsChild>
    </w:div>
    <w:div w:id="1385373288">
      <w:marLeft w:val="0"/>
      <w:marRight w:val="0"/>
      <w:marTop w:val="0"/>
      <w:marBottom w:val="0"/>
      <w:divBdr>
        <w:top w:val="none" w:sz="0" w:space="0" w:color="auto"/>
        <w:left w:val="none" w:sz="0" w:space="0" w:color="auto"/>
        <w:bottom w:val="none" w:sz="0" w:space="0" w:color="auto"/>
        <w:right w:val="none" w:sz="0" w:space="0" w:color="auto"/>
      </w:divBdr>
    </w:div>
    <w:div w:id="1385956205">
      <w:marLeft w:val="0"/>
      <w:marRight w:val="0"/>
      <w:marTop w:val="0"/>
      <w:marBottom w:val="0"/>
      <w:divBdr>
        <w:top w:val="none" w:sz="0" w:space="0" w:color="auto"/>
        <w:left w:val="none" w:sz="0" w:space="0" w:color="auto"/>
        <w:bottom w:val="none" w:sz="0" w:space="0" w:color="auto"/>
        <w:right w:val="none" w:sz="0" w:space="0" w:color="auto"/>
      </w:divBdr>
    </w:div>
    <w:div w:id="1386568936">
      <w:marLeft w:val="0"/>
      <w:marRight w:val="0"/>
      <w:marTop w:val="120"/>
      <w:marBottom w:val="0"/>
      <w:divBdr>
        <w:top w:val="none" w:sz="0" w:space="0" w:color="auto"/>
        <w:left w:val="none" w:sz="0" w:space="0" w:color="auto"/>
        <w:bottom w:val="none" w:sz="0" w:space="0" w:color="auto"/>
        <w:right w:val="none" w:sz="0" w:space="0" w:color="auto"/>
      </w:divBdr>
    </w:div>
    <w:div w:id="1386954671">
      <w:marLeft w:val="0"/>
      <w:marRight w:val="0"/>
      <w:marTop w:val="180"/>
      <w:marBottom w:val="0"/>
      <w:divBdr>
        <w:top w:val="none" w:sz="0" w:space="0" w:color="auto"/>
        <w:left w:val="none" w:sz="0" w:space="0" w:color="auto"/>
        <w:bottom w:val="none" w:sz="0" w:space="0" w:color="auto"/>
        <w:right w:val="none" w:sz="0" w:space="0" w:color="auto"/>
      </w:divBdr>
    </w:div>
    <w:div w:id="1388921363">
      <w:marLeft w:val="0"/>
      <w:marRight w:val="0"/>
      <w:marTop w:val="120"/>
      <w:marBottom w:val="0"/>
      <w:divBdr>
        <w:top w:val="none" w:sz="0" w:space="0" w:color="auto"/>
        <w:left w:val="none" w:sz="0" w:space="0" w:color="auto"/>
        <w:bottom w:val="none" w:sz="0" w:space="0" w:color="auto"/>
        <w:right w:val="none" w:sz="0" w:space="0" w:color="auto"/>
      </w:divBdr>
    </w:div>
    <w:div w:id="1389261681">
      <w:marLeft w:val="0"/>
      <w:marRight w:val="0"/>
      <w:marTop w:val="0"/>
      <w:marBottom w:val="0"/>
      <w:divBdr>
        <w:top w:val="none" w:sz="0" w:space="0" w:color="auto"/>
        <w:left w:val="none" w:sz="0" w:space="0" w:color="auto"/>
        <w:bottom w:val="none" w:sz="0" w:space="0" w:color="auto"/>
        <w:right w:val="none" w:sz="0" w:space="0" w:color="auto"/>
      </w:divBdr>
      <w:divsChild>
        <w:div w:id="1684670216">
          <w:marLeft w:val="0"/>
          <w:marRight w:val="0"/>
          <w:marTop w:val="0"/>
          <w:marBottom w:val="0"/>
          <w:divBdr>
            <w:top w:val="none" w:sz="0" w:space="0" w:color="auto"/>
            <w:left w:val="none" w:sz="0" w:space="0" w:color="auto"/>
            <w:bottom w:val="none" w:sz="0" w:space="0" w:color="auto"/>
            <w:right w:val="none" w:sz="0" w:space="0" w:color="auto"/>
          </w:divBdr>
        </w:div>
      </w:divsChild>
    </w:div>
    <w:div w:id="1390109319">
      <w:marLeft w:val="0"/>
      <w:marRight w:val="0"/>
      <w:marTop w:val="120"/>
      <w:marBottom w:val="0"/>
      <w:divBdr>
        <w:top w:val="none" w:sz="0" w:space="0" w:color="auto"/>
        <w:left w:val="none" w:sz="0" w:space="0" w:color="auto"/>
        <w:bottom w:val="none" w:sz="0" w:space="0" w:color="auto"/>
        <w:right w:val="none" w:sz="0" w:space="0" w:color="auto"/>
      </w:divBdr>
    </w:div>
    <w:div w:id="1391075216">
      <w:marLeft w:val="0"/>
      <w:marRight w:val="0"/>
      <w:marTop w:val="0"/>
      <w:marBottom w:val="120"/>
      <w:divBdr>
        <w:top w:val="none" w:sz="0" w:space="0" w:color="auto"/>
        <w:left w:val="none" w:sz="0" w:space="0" w:color="auto"/>
        <w:bottom w:val="none" w:sz="0" w:space="0" w:color="auto"/>
        <w:right w:val="none" w:sz="0" w:space="0" w:color="auto"/>
      </w:divBdr>
    </w:div>
    <w:div w:id="1391462266">
      <w:marLeft w:val="0"/>
      <w:marRight w:val="0"/>
      <w:marTop w:val="120"/>
      <w:marBottom w:val="0"/>
      <w:divBdr>
        <w:top w:val="none" w:sz="0" w:space="0" w:color="auto"/>
        <w:left w:val="none" w:sz="0" w:space="0" w:color="auto"/>
        <w:bottom w:val="none" w:sz="0" w:space="0" w:color="auto"/>
        <w:right w:val="none" w:sz="0" w:space="0" w:color="auto"/>
      </w:divBdr>
    </w:div>
    <w:div w:id="1391996904">
      <w:marLeft w:val="0"/>
      <w:marRight w:val="0"/>
      <w:marTop w:val="120"/>
      <w:marBottom w:val="0"/>
      <w:divBdr>
        <w:top w:val="none" w:sz="0" w:space="0" w:color="auto"/>
        <w:left w:val="none" w:sz="0" w:space="0" w:color="auto"/>
        <w:bottom w:val="none" w:sz="0" w:space="0" w:color="auto"/>
        <w:right w:val="none" w:sz="0" w:space="0" w:color="auto"/>
      </w:divBdr>
    </w:div>
    <w:div w:id="1393582649">
      <w:marLeft w:val="0"/>
      <w:marRight w:val="0"/>
      <w:marTop w:val="120"/>
      <w:marBottom w:val="0"/>
      <w:divBdr>
        <w:top w:val="none" w:sz="0" w:space="0" w:color="auto"/>
        <w:left w:val="none" w:sz="0" w:space="0" w:color="auto"/>
        <w:bottom w:val="none" w:sz="0" w:space="0" w:color="auto"/>
        <w:right w:val="none" w:sz="0" w:space="0" w:color="auto"/>
      </w:divBdr>
    </w:div>
    <w:div w:id="1393969766">
      <w:marLeft w:val="0"/>
      <w:marRight w:val="0"/>
      <w:marTop w:val="120"/>
      <w:marBottom w:val="0"/>
      <w:divBdr>
        <w:top w:val="none" w:sz="0" w:space="0" w:color="auto"/>
        <w:left w:val="none" w:sz="0" w:space="0" w:color="auto"/>
        <w:bottom w:val="none" w:sz="0" w:space="0" w:color="auto"/>
        <w:right w:val="none" w:sz="0" w:space="0" w:color="auto"/>
      </w:divBdr>
    </w:div>
    <w:div w:id="1394547702">
      <w:marLeft w:val="0"/>
      <w:marRight w:val="0"/>
      <w:marTop w:val="120"/>
      <w:marBottom w:val="0"/>
      <w:divBdr>
        <w:top w:val="none" w:sz="0" w:space="0" w:color="auto"/>
        <w:left w:val="none" w:sz="0" w:space="0" w:color="auto"/>
        <w:bottom w:val="none" w:sz="0" w:space="0" w:color="auto"/>
        <w:right w:val="none" w:sz="0" w:space="0" w:color="auto"/>
      </w:divBdr>
    </w:div>
    <w:div w:id="1394694035">
      <w:marLeft w:val="0"/>
      <w:marRight w:val="0"/>
      <w:marTop w:val="0"/>
      <w:marBottom w:val="0"/>
      <w:divBdr>
        <w:top w:val="none" w:sz="0" w:space="0" w:color="auto"/>
        <w:left w:val="none" w:sz="0" w:space="0" w:color="auto"/>
        <w:bottom w:val="none" w:sz="0" w:space="0" w:color="auto"/>
        <w:right w:val="none" w:sz="0" w:space="0" w:color="auto"/>
      </w:divBdr>
    </w:div>
    <w:div w:id="1395279073">
      <w:marLeft w:val="0"/>
      <w:marRight w:val="0"/>
      <w:marTop w:val="0"/>
      <w:marBottom w:val="0"/>
      <w:divBdr>
        <w:top w:val="none" w:sz="0" w:space="0" w:color="auto"/>
        <w:left w:val="none" w:sz="0" w:space="0" w:color="auto"/>
        <w:bottom w:val="none" w:sz="0" w:space="0" w:color="auto"/>
        <w:right w:val="none" w:sz="0" w:space="0" w:color="auto"/>
      </w:divBdr>
    </w:div>
    <w:div w:id="1395734123">
      <w:marLeft w:val="0"/>
      <w:marRight w:val="0"/>
      <w:marTop w:val="120"/>
      <w:marBottom w:val="0"/>
      <w:divBdr>
        <w:top w:val="none" w:sz="0" w:space="0" w:color="auto"/>
        <w:left w:val="none" w:sz="0" w:space="0" w:color="auto"/>
        <w:bottom w:val="none" w:sz="0" w:space="0" w:color="auto"/>
        <w:right w:val="none" w:sz="0" w:space="0" w:color="auto"/>
      </w:divBdr>
    </w:div>
    <w:div w:id="1397167451">
      <w:marLeft w:val="0"/>
      <w:marRight w:val="0"/>
      <w:marTop w:val="120"/>
      <w:marBottom w:val="0"/>
      <w:divBdr>
        <w:top w:val="none" w:sz="0" w:space="0" w:color="auto"/>
        <w:left w:val="none" w:sz="0" w:space="0" w:color="auto"/>
        <w:bottom w:val="none" w:sz="0" w:space="0" w:color="auto"/>
        <w:right w:val="none" w:sz="0" w:space="0" w:color="auto"/>
      </w:divBdr>
    </w:div>
    <w:div w:id="1397239258">
      <w:marLeft w:val="0"/>
      <w:marRight w:val="0"/>
      <w:marTop w:val="120"/>
      <w:marBottom w:val="0"/>
      <w:divBdr>
        <w:top w:val="none" w:sz="0" w:space="0" w:color="auto"/>
        <w:left w:val="none" w:sz="0" w:space="0" w:color="auto"/>
        <w:bottom w:val="none" w:sz="0" w:space="0" w:color="auto"/>
        <w:right w:val="none" w:sz="0" w:space="0" w:color="auto"/>
      </w:divBdr>
    </w:div>
    <w:div w:id="1399160606">
      <w:marLeft w:val="0"/>
      <w:marRight w:val="0"/>
      <w:marTop w:val="0"/>
      <w:marBottom w:val="0"/>
      <w:divBdr>
        <w:top w:val="none" w:sz="0" w:space="0" w:color="auto"/>
        <w:left w:val="none" w:sz="0" w:space="0" w:color="auto"/>
        <w:bottom w:val="none" w:sz="0" w:space="0" w:color="auto"/>
        <w:right w:val="none" w:sz="0" w:space="0" w:color="auto"/>
      </w:divBdr>
    </w:div>
    <w:div w:id="1399865985">
      <w:marLeft w:val="0"/>
      <w:marRight w:val="0"/>
      <w:marTop w:val="0"/>
      <w:marBottom w:val="0"/>
      <w:divBdr>
        <w:top w:val="none" w:sz="0" w:space="0" w:color="auto"/>
        <w:left w:val="none" w:sz="0" w:space="0" w:color="auto"/>
        <w:bottom w:val="none" w:sz="0" w:space="0" w:color="auto"/>
        <w:right w:val="none" w:sz="0" w:space="0" w:color="auto"/>
      </w:divBdr>
    </w:div>
    <w:div w:id="1401638725">
      <w:marLeft w:val="0"/>
      <w:marRight w:val="0"/>
      <w:marTop w:val="120"/>
      <w:marBottom w:val="0"/>
      <w:divBdr>
        <w:top w:val="none" w:sz="0" w:space="0" w:color="auto"/>
        <w:left w:val="none" w:sz="0" w:space="0" w:color="auto"/>
        <w:bottom w:val="none" w:sz="0" w:space="0" w:color="auto"/>
        <w:right w:val="none" w:sz="0" w:space="0" w:color="auto"/>
      </w:divBdr>
    </w:div>
    <w:div w:id="1403061528">
      <w:marLeft w:val="0"/>
      <w:marRight w:val="0"/>
      <w:marTop w:val="120"/>
      <w:marBottom w:val="0"/>
      <w:divBdr>
        <w:top w:val="none" w:sz="0" w:space="0" w:color="auto"/>
        <w:left w:val="none" w:sz="0" w:space="0" w:color="auto"/>
        <w:bottom w:val="none" w:sz="0" w:space="0" w:color="auto"/>
        <w:right w:val="none" w:sz="0" w:space="0" w:color="auto"/>
      </w:divBdr>
    </w:div>
    <w:div w:id="1405102487">
      <w:marLeft w:val="0"/>
      <w:marRight w:val="0"/>
      <w:marTop w:val="0"/>
      <w:marBottom w:val="0"/>
      <w:divBdr>
        <w:top w:val="none" w:sz="0" w:space="0" w:color="auto"/>
        <w:left w:val="none" w:sz="0" w:space="0" w:color="auto"/>
        <w:bottom w:val="none" w:sz="0" w:space="0" w:color="auto"/>
        <w:right w:val="none" w:sz="0" w:space="0" w:color="auto"/>
      </w:divBdr>
    </w:div>
    <w:div w:id="1408531810">
      <w:marLeft w:val="0"/>
      <w:marRight w:val="0"/>
      <w:marTop w:val="0"/>
      <w:marBottom w:val="0"/>
      <w:divBdr>
        <w:top w:val="none" w:sz="0" w:space="0" w:color="auto"/>
        <w:left w:val="none" w:sz="0" w:space="0" w:color="auto"/>
        <w:bottom w:val="none" w:sz="0" w:space="0" w:color="auto"/>
        <w:right w:val="none" w:sz="0" w:space="0" w:color="auto"/>
      </w:divBdr>
    </w:div>
    <w:div w:id="1409576575">
      <w:marLeft w:val="0"/>
      <w:marRight w:val="0"/>
      <w:marTop w:val="0"/>
      <w:marBottom w:val="0"/>
      <w:divBdr>
        <w:top w:val="none" w:sz="0" w:space="0" w:color="auto"/>
        <w:left w:val="none" w:sz="0" w:space="0" w:color="auto"/>
        <w:bottom w:val="none" w:sz="0" w:space="0" w:color="auto"/>
        <w:right w:val="none" w:sz="0" w:space="0" w:color="auto"/>
      </w:divBdr>
    </w:div>
    <w:div w:id="1411391579">
      <w:marLeft w:val="0"/>
      <w:marRight w:val="0"/>
      <w:marTop w:val="120"/>
      <w:marBottom w:val="0"/>
      <w:divBdr>
        <w:top w:val="none" w:sz="0" w:space="0" w:color="auto"/>
        <w:left w:val="none" w:sz="0" w:space="0" w:color="auto"/>
        <w:bottom w:val="none" w:sz="0" w:space="0" w:color="auto"/>
        <w:right w:val="none" w:sz="0" w:space="0" w:color="auto"/>
      </w:divBdr>
    </w:div>
    <w:div w:id="1411660593">
      <w:marLeft w:val="0"/>
      <w:marRight w:val="0"/>
      <w:marTop w:val="120"/>
      <w:marBottom w:val="0"/>
      <w:divBdr>
        <w:top w:val="none" w:sz="0" w:space="0" w:color="auto"/>
        <w:left w:val="none" w:sz="0" w:space="0" w:color="auto"/>
        <w:bottom w:val="none" w:sz="0" w:space="0" w:color="auto"/>
        <w:right w:val="none" w:sz="0" w:space="0" w:color="auto"/>
      </w:divBdr>
    </w:div>
    <w:div w:id="1413240931">
      <w:marLeft w:val="0"/>
      <w:marRight w:val="0"/>
      <w:marTop w:val="200"/>
      <w:marBottom w:val="0"/>
      <w:divBdr>
        <w:top w:val="none" w:sz="0" w:space="0" w:color="auto"/>
        <w:left w:val="none" w:sz="0" w:space="0" w:color="auto"/>
        <w:bottom w:val="none" w:sz="0" w:space="0" w:color="auto"/>
        <w:right w:val="none" w:sz="0" w:space="0" w:color="auto"/>
      </w:divBdr>
    </w:div>
    <w:div w:id="1414741542">
      <w:marLeft w:val="0"/>
      <w:marRight w:val="0"/>
      <w:marTop w:val="120"/>
      <w:marBottom w:val="0"/>
      <w:divBdr>
        <w:top w:val="none" w:sz="0" w:space="0" w:color="auto"/>
        <w:left w:val="none" w:sz="0" w:space="0" w:color="auto"/>
        <w:bottom w:val="none" w:sz="0" w:space="0" w:color="auto"/>
        <w:right w:val="none" w:sz="0" w:space="0" w:color="auto"/>
      </w:divBdr>
    </w:div>
    <w:div w:id="1415735934">
      <w:marLeft w:val="0"/>
      <w:marRight w:val="0"/>
      <w:marTop w:val="180"/>
      <w:marBottom w:val="0"/>
      <w:divBdr>
        <w:top w:val="none" w:sz="0" w:space="0" w:color="auto"/>
        <w:left w:val="none" w:sz="0" w:space="0" w:color="auto"/>
        <w:bottom w:val="none" w:sz="0" w:space="0" w:color="auto"/>
        <w:right w:val="none" w:sz="0" w:space="0" w:color="auto"/>
      </w:divBdr>
    </w:div>
    <w:div w:id="1418750374">
      <w:marLeft w:val="0"/>
      <w:marRight w:val="0"/>
      <w:marTop w:val="0"/>
      <w:marBottom w:val="0"/>
      <w:divBdr>
        <w:top w:val="none" w:sz="0" w:space="0" w:color="auto"/>
        <w:left w:val="none" w:sz="0" w:space="0" w:color="auto"/>
        <w:bottom w:val="none" w:sz="0" w:space="0" w:color="auto"/>
        <w:right w:val="none" w:sz="0" w:space="0" w:color="auto"/>
      </w:divBdr>
      <w:divsChild>
        <w:div w:id="1703439463">
          <w:marLeft w:val="0"/>
          <w:marRight w:val="0"/>
          <w:marTop w:val="0"/>
          <w:marBottom w:val="0"/>
          <w:divBdr>
            <w:top w:val="none" w:sz="0" w:space="0" w:color="auto"/>
            <w:left w:val="none" w:sz="0" w:space="0" w:color="auto"/>
            <w:bottom w:val="none" w:sz="0" w:space="0" w:color="auto"/>
            <w:right w:val="none" w:sz="0" w:space="0" w:color="auto"/>
          </w:divBdr>
        </w:div>
      </w:divsChild>
    </w:div>
    <w:div w:id="1419711356">
      <w:marLeft w:val="0"/>
      <w:marRight w:val="0"/>
      <w:marTop w:val="0"/>
      <w:marBottom w:val="0"/>
      <w:divBdr>
        <w:top w:val="none" w:sz="0" w:space="0" w:color="auto"/>
        <w:left w:val="none" w:sz="0" w:space="0" w:color="auto"/>
        <w:bottom w:val="none" w:sz="0" w:space="0" w:color="auto"/>
        <w:right w:val="none" w:sz="0" w:space="0" w:color="auto"/>
      </w:divBdr>
    </w:div>
    <w:div w:id="1419983991">
      <w:marLeft w:val="0"/>
      <w:marRight w:val="0"/>
      <w:marTop w:val="120"/>
      <w:marBottom w:val="0"/>
      <w:divBdr>
        <w:top w:val="none" w:sz="0" w:space="0" w:color="auto"/>
        <w:left w:val="none" w:sz="0" w:space="0" w:color="auto"/>
        <w:bottom w:val="none" w:sz="0" w:space="0" w:color="auto"/>
        <w:right w:val="none" w:sz="0" w:space="0" w:color="auto"/>
      </w:divBdr>
    </w:div>
    <w:div w:id="1423070845">
      <w:marLeft w:val="0"/>
      <w:marRight w:val="0"/>
      <w:marTop w:val="120"/>
      <w:marBottom w:val="0"/>
      <w:divBdr>
        <w:top w:val="none" w:sz="0" w:space="0" w:color="auto"/>
        <w:left w:val="none" w:sz="0" w:space="0" w:color="auto"/>
        <w:bottom w:val="none" w:sz="0" w:space="0" w:color="auto"/>
        <w:right w:val="none" w:sz="0" w:space="0" w:color="auto"/>
      </w:divBdr>
    </w:div>
    <w:div w:id="1423336298">
      <w:marLeft w:val="0"/>
      <w:marRight w:val="0"/>
      <w:marTop w:val="0"/>
      <w:marBottom w:val="0"/>
      <w:divBdr>
        <w:top w:val="none" w:sz="0" w:space="0" w:color="auto"/>
        <w:left w:val="none" w:sz="0" w:space="0" w:color="auto"/>
        <w:bottom w:val="none" w:sz="0" w:space="0" w:color="auto"/>
        <w:right w:val="none" w:sz="0" w:space="0" w:color="auto"/>
      </w:divBdr>
      <w:divsChild>
        <w:div w:id="1177772925">
          <w:marLeft w:val="0"/>
          <w:marRight w:val="0"/>
          <w:marTop w:val="0"/>
          <w:marBottom w:val="0"/>
          <w:divBdr>
            <w:top w:val="none" w:sz="0" w:space="0" w:color="auto"/>
            <w:left w:val="none" w:sz="0" w:space="0" w:color="auto"/>
            <w:bottom w:val="none" w:sz="0" w:space="0" w:color="auto"/>
            <w:right w:val="none" w:sz="0" w:space="0" w:color="auto"/>
          </w:divBdr>
        </w:div>
      </w:divsChild>
    </w:div>
    <w:div w:id="1424447152">
      <w:marLeft w:val="0"/>
      <w:marRight w:val="0"/>
      <w:marTop w:val="120"/>
      <w:marBottom w:val="0"/>
      <w:divBdr>
        <w:top w:val="none" w:sz="0" w:space="0" w:color="auto"/>
        <w:left w:val="none" w:sz="0" w:space="0" w:color="auto"/>
        <w:bottom w:val="none" w:sz="0" w:space="0" w:color="auto"/>
        <w:right w:val="none" w:sz="0" w:space="0" w:color="auto"/>
      </w:divBdr>
    </w:div>
    <w:div w:id="1425373804">
      <w:marLeft w:val="0"/>
      <w:marRight w:val="0"/>
      <w:marTop w:val="120"/>
      <w:marBottom w:val="0"/>
      <w:divBdr>
        <w:top w:val="none" w:sz="0" w:space="0" w:color="auto"/>
        <w:left w:val="none" w:sz="0" w:space="0" w:color="auto"/>
        <w:bottom w:val="none" w:sz="0" w:space="0" w:color="auto"/>
        <w:right w:val="none" w:sz="0" w:space="0" w:color="auto"/>
      </w:divBdr>
    </w:div>
    <w:div w:id="1426611476">
      <w:marLeft w:val="0"/>
      <w:marRight w:val="0"/>
      <w:marTop w:val="0"/>
      <w:marBottom w:val="0"/>
      <w:divBdr>
        <w:top w:val="none" w:sz="0" w:space="0" w:color="auto"/>
        <w:left w:val="none" w:sz="0" w:space="0" w:color="auto"/>
        <w:bottom w:val="none" w:sz="0" w:space="0" w:color="auto"/>
        <w:right w:val="none" w:sz="0" w:space="0" w:color="auto"/>
      </w:divBdr>
      <w:divsChild>
        <w:div w:id="220872827">
          <w:marLeft w:val="0"/>
          <w:marRight w:val="0"/>
          <w:marTop w:val="0"/>
          <w:marBottom w:val="0"/>
          <w:divBdr>
            <w:top w:val="none" w:sz="0" w:space="0" w:color="auto"/>
            <w:left w:val="none" w:sz="0" w:space="0" w:color="auto"/>
            <w:bottom w:val="none" w:sz="0" w:space="0" w:color="auto"/>
            <w:right w:val="none" w:sz="0" w:space="0" w:color="auto"/>
          </w:divBdr>
        </w:div>
      </w:divsChild>
    </w:div>
    <w:div w:id="1427848713">
      <w:marLeft w:val="0"/>
      <w:marRight w:val="0"/>
      <w:marTop w:val="0"/>
      <w:marBottom w:val="0"/>
      <w:divBdr>
        <w:top w:val="none" w:sz="0" w:space="0" w:color="auto"/>
        <w:left w:val="none" w:sz="0" w:space="0" w:color="auto"/>
        <w:bottom w:val="none" w:sz="0" w:space="0" w:color="auto"/>
        <w:right w:val="none" w:sz="0" w:space="0" w:color="auto"/>
      </w:divBdr>
    </w:div>
    <w:div w:id="1428235129">
      <w:marLeft w:val="0"/>
      <w:marRight w:val="0"/>
      <w:marTop w:val="0"/>
      <w:marBottom w:val="0"/>
      <w:divBdr>
        <w:top w:val="none" w:sz="0" w:space="0" w:color="auto"/>
        <w:left w:val="none" w:sz="0" w:space="0" w:color="auto"/>
        <w:bottom w:val="none" w:sz="0" w:space="0" w:color="auto"/>
        <w:right w:val="none" w:sz="0" w:space="0" w:color="auto"/>
      </w:divBdr>
    </w:div>
    <w:div w:id="1429227530">
      <w:marLeft w:val="0"/>
      <w:marRight w:val="0"/>
      <w:marTop w:val="120"/>
      <w:marBottom w:val="0"/>
      <w:divBdr>
        <w:top w:val="none" w:sz="0" w:space="0" w:color="auto"/>
        <w:left w:val="none" w:sz="0" w:space="0" w:color="auto"/>
        <w:bottom w:val="none" w:sz="0" w:space="0" w:color="auto"/>
        <w:right w:val="none" w:sz="0" w:space="0" w:color="auto"/>
      </w:divBdr>
    </w:div>
    <w:div w:id="1429421301">
      <w:marLeft w:val="0"/>
      <w:marRight w:val="0"/>
      <w:marTop w:val="0"/>
      <w:marBottom w:val="0"/>
      <w:divBdr>
        <w:top w:val="none" w:sz="0" w:space="0" w:color="auto"/>
        <w:left w:val="none" w:sz="0" w:space="0" w:color="auto"/>
        <w:bottom w:val="none" w:sz="0" w:space="0" w:color="auto"/>
        <w:right w:val="none" w:sz="0" w:space="0" w:color="auto"/>
      </w:divBdr>
    </w:div>
    <w:div w:id="1430345819">
      <w:marLeft w:val="0"/>
      <w:marRight w:val="0"/>
      <w:marTop w:val="0"/>
      <w:marBottom w:val="66"/>
      <w:divBdr>
        <w:top w:val="none" w:sz="0" w:space="0" w:color="auto"/>
        <w:left w:val="none" w:sz="0" w:space="0" w:color="auto"/>
        <w:bottom w:val="none" w:sz="0" w:space="0" w:color="auto"/>
        <w:right w:val="none" w:sz="0" w:space="0" w:color="auto"/>
      </w:divBdr>
    </w:div>
    <w:div w:id="1432624994">
      <w:marLeft w:val="0"/>
      <w:marRight w:val="0"/>
      <w:marTop w:val="0"/>
      <w:marBottom w:val="0"/>
      <w:divBdr>
        <w:top w:val="none" w:sz="0" w:space="0" w:color="auto"/>
        <w:left w:val="none" w:sz="0" w:space="0" w:color="auto"/>
        <w:bottom w:val="none" w:sz="0" w:space="0" w:color="auto"/>
        <w:right w:val="none" w:sz="0" w:space="0" w:color="auto"/>
      </w:divBdr>
      <w:divsChild>
        <w:div w:id="1466662149">
          <w:marLeft w:val="0"/>
          <w:marRight w:val="0"/>
          <w:marTop w:val="0"/>
          <w:marBottom w:val="0"/>
          <w:divBdr>
            <w:top w:val="none" w:sz="0" w:space="0" w:color="auto"/>
            <w:left w:val="none" w:sz="0" w:space="0" w:color="auto"/>
            <w:bottom w:val="none" w:sz="0" w:space="0" w:color="auto"/>
            <w:right w:val="none" w:sz="0" w:space="0" w:color="auto"/>
          </w:divBdr>
        </w:div>
      </w:divsChild>
    </w:div>
    <w:div w:id="1432698691">
      <w:marLeft w:val="0"/>
      <w:marRight w:val="0"/>
      <w:marTop w:val="120"/>
      <w:marBottom w:val="0"/>
      <w:divBdr>
        <w:top w:val="none" w:sz="0" w:space="0" w:color="auto"/>
        <w:left w:val="none" w:sz="0" w:space="0" w:color="auto"/>
        <w:bottom w:val="none" w:sz="0" w:space="0" w:color="auto"/>
        <w:right w:val="none" w:sz="0" w:space="0" w:color="auto"/>
      </w:divBdr>
    </w:div>
    <w:div w:id="1432699124">
      <w:marLeft w:val="0"/>
      <w:marRight w:val="0"/>
      <w:marTop w:val="120"/>
      <w:marBottom w:val="0"/>
      <w:divBdr>
        <w:top w:val="none" w:sz="0" w:space="0" w:color="auto"/>
        <w:left w:val="none" w:sz="0" w:space="0" w:color="auto"/>
        <w:bottom w:val="none" w:sz="0" w:space="0" w:color="auto"/>
        <w:right w:val="none" w:sz="0" w:space="0" w:color="auto"/>
      </w:divBdr>
    </w:div>
    <w:div w:id="1433475623">
      <w:marLeft w:val="0"/>
      <w:marRight w:val="0"/>
      <w:marTop w:val="120"/>
      <w:marBottom w:val="0"/>
      <w:divBdr>
        <w:top w:val="none" w:sz="0" w:space="0" w:color="auto"/>
        <w:left w:val="none" w:sz="0" w:space="0" w:color="auto"/>
        <w:bottom w:val="none" w:sz="0" w:space="0" w:color="auto"/>
        <w:right w:val="none" w:sz="0" w:space="0" w:color="auto"/>
      </w:divBdr>
    </w:div>
    <w:div w:id="1435636663">
      <w:marLeft w:val="0"/>
      <w:marRight w:val="0"/>
      <w:marTop w:val="120"/>
      <w:marBottom w:val="0"/>
      <w:divBdr>
        <w:top w:val="none" w:sz="0" w:space="0" w:color="auto"/>
        <w:left w:val="none" w:sz="0" w:space="0" w:color="auto"/>
        <w:bottom w:val="none" w:sz="0" w:space="0" w:color="auto"/>
        <w:right w:val="none" w:sz="0" w:space="0" w:color="auto"/>
      </w:divBdr>
    </w:div>
    <w:div w:id="1435859443">
      <w:marLeft w:val="0"/>
      <w:marRight w:val="0"/>
      <w:marTop w:val="120"/>
      <w:marBottom w:val="0"/>
      <w:divBdr>
        <w:top w:val="none" w:sz="0" w:space="0" w:color="auto"/>
        <w:left w:val="none" w:sz="0" w:space="0" w:color="auto"/>
        <w:bottom w:val="none" w:sz="0" w:space="0" w:color="auto"/>
        <w:right w:val="none" w:sz="0" w:space="0" w:color="auto"/>
      </w:divBdr>
    </w:div>
    <w:div w:id="1437211066">
      <w:marLeft w:val="0"/>
      <w:marRight w:val="0"/>
      <w:marTop w:val="120"/>
      <w:marBottom w:val="0"/>
      <w:divBdr>
        <w:top w:val="none" w:sz="0" w:space="0" w:color="auto"/>
        <w:left w:val="none" w:sz="0" w:space="0" w:color="auto"/>
        <w:bottom w:val="none" w:sz="0" w:space="0" w:color="auto"/>
        <w:right w:val="none" w:sz="0" w:space="0" w:color="auto"/>
      </w:divBdr>
    </w:div>
    <w:div w:id="1438016607">
      <w:marLeft w:val="0"/>
      <w:marRight w:val="0"/>
      <w:marTop w:val="120"/>
      <w:marBottom w:val="0"/>
      <w:divBdr>
        <w:top w:val="none" w:sz="0" w:space="0" w:color="auto"/>
        <w:left w:val="none" w:sz="0" w:space="0" w:color="auto"/>
        <w:bottom w:val="none" w:sz="0" w:space="0" w:color="auto"/>
        <w:right w:val="none" w:sz="0" w:space="0" w:color="auto"/>
      </w:divBdr>
    </w:div>
    <w:div w:id="1438208009">
      <w:marLeft w:val="0"/>
      <w:marRight w:val="0"/>
      <w:marTop w:val="120"/>
      <w:marBottom w:val="0"/>
      <w:divBdr>
        <w:top w:val="none" w:sz="0" w:space="0" w:color="auto"/>
        <w:left w:val="none" w:sz="0" w:space="0" w:color="auto"/>
        <w:bottom w:val="none" w:sz="0" w:space="0" w:color="auto"/>
        <w:right w:val="none" w:sz="0" w:space="0" w:color="auto"/>
      </w:divBdr>
    </w:div>
    <w:div w:id="1440644783">
      <w:marLeft w:val="0"/>
      <w:marRight w:val="0"/>
      <w:marTop w:val="120"/>
      <w:marBottom w:val="0"/>
      <w:divBdr>
        <w:top w:val="none" w:sz="0" w:space="0" w:color="auto"/>
        <w:left w:val="none" w:sz="0" w:space="0" w:color="auto"/>
        <w:bottom w:val="none" w:sz="0" w:space="0" w:color="auto"/>
        <w:right w:val="none" w:sz="0" w:space="0" w:color="auto"/>
      </w:divBdr>
    </w:div>
    <w:div w:id="1440684637">
      <w:marLeft w:val="0"/>
      <w:marRight w:val="0"/>
      <w:marTop w:val="0"/>
      <w:marBottom w:val="0"/>
      <w:divBdr>
        <w:top w:val="none" w:sz="0" w:space="0" w:color="auto"/>
        <w:left w:val="none" w:sz="0" w:space="0" w:color="auto"/>
        <w:bottom w:val="none" w:sz="0" w:space="0" w:color="auto"/>
        <w:right w:val="none" w:sz="0" w:space="0" w:color="auto"/>
      </w:divBdr>
    </w:div>
    <w:div w:id="1442453274">
      <w:marLeft w:val="0"/>
      <w:marRight w:val="0"/>
      <w:marTop w:val="0"/>
      <w:marBottom w:val="60"/>
      <w:divBdr>
        <w:top w:val="none" w:sz="0" w:space="0" w:color="auto"/>
        <w:left w:val="none" w:sz="0" w:space="0" w:color="auto"/>
        <w:bottom w:val="none" w:sz="0" w:space="0" w:color="auto"/>
        <w:right w:val="none" w:sz="0" w:space="0" w:color="auto"/>
      </w:divBdr>
    </w:div>
    <w:div w:id="1443265273">
      <w:marLeft w:val="0"/>
      <w:marRight w:val="0"/>
      <w:marTop w:val="120"/>
      <w:marBottom w:val="0"/>
      <w:divBdr>
        <w:top w:val="none" w:sz="0" w:space="0" w:color="auto"/>
        <w:left w:val="none" w:sz="0" w:space="0" w:color="auto"/>
        <w:bottom w:val="none" w:sz="0" w:space="0" w:color="auto"/>
        <w:right w:val="none" w:sz="0" w:space="0" w:color="auto"/>
      </w:divBdr>
    </w:div>
    <w:div w:id="1443332093">
      <w:marLeft w:val="0"/>
      <w:marRight w:val="0"/>
      <w:marTop w:val="120"/>
      <w:marBottom w:val="0"/>
      <w:divBdr>
        <w:top w:val="none" w:sz="0" w:space="0" w:color="auto"/>
        <w:left w:val="none" w:sz="0" w:space="0" w:color="auto"/>
        <w:bottom w:val="none" w:sz="0" w:space="0" w:color="auto"/>
        <w:right w:val="none" w:sz="0" w:space="0" w:color="auto"/>
      </w:divBdr>
    </w:div>
    <w:div w:id="1443649419">
      <w:marLeft w:val="0"/>
      <w:marRight w:val="0"/>
      <w:marTop w:val="120"/>
      <w:marBottom w:val="0"/>
      <w:divBdr>
        <w:top w:val="none" w:sz="0" w:space="0" w:color="auto"/>
        <w:left w:val="none" w:sz="0" w:space="0" w:color="auto"/>
        <w:bottom w:val="none" w:sz="0" w:space="0" w:color="auto"/>
        <w:right w:val="none" w:sz="0" w:space="0" w:color="auto"/>
      </w:divBdr>
    </w:div>
    <w:div w:id="1444037821">
      <w:marLeft w:val="0"/>
      <w:marRight w:val="0"/>
      <w:marTop w:val="120"/>
      <w:marBottom w:val="0"/>
      <w:divBdr>
        <w:top w:val="none" w:sz="0" w:space="0" w:color="auto"/>
        <w:left w:val="none" w:sz="0" w:space="0" w:color="auto"/>
        <w:bottom w:val="none" w:sz="0" w:space="0" w:color="auto"/>
        <w:right w:val="none" w:sz="0" w:space="0" w:color="auto"/>
      </w:divBdr>
    </w:div>
    <w:div w:id="1444767873">
      <w:marLeft w:val="0"/>
      <w:marRight w:val="0"/>
      <w:marTop w:val="120"/>
      <w:marBottom w:val="0"/>
      <w:divBdr>
        <w:top w:val="none" w:sz="0" w:space="0" w:color="auto"/>
        <w:left w:val="none" w:sz="0" w:space="0" w:color="auto"/>
        <w:bottom w:val="none" w:sz="0" w:space="0" w:color="auto"/>
        <w:right w:val="none" w:sz="0" w:space="0" w:color="auto"/>
      </w:divBdr>
    </w:div>
    <w:div w:id="1445536312">
      <w:marLeft w:val="0"/>
      <w:marRight w:val="0"/>
      <w:marTop w:val="0"/>
      <w:marBottom w:val="60"/>
      <w:divBdr>
        <w:top w:val="none" w:sz="0" w:space="0" w:color="auto"/>
        <w:left w:val="none" w:sz="0" w:space="0" w:color="auto"/>
        <w:bottom w:val="none" w:sz="0" w:space="0" w:color="auto"/>
        <w:right w:val="none" w:sz="0" w:space="0" w:color="auto"/>
      </w:divBdr>
    </w:div>
    <w:div w:id="1445661130">
      <w:marLeft w:val="0"/>
      <w:marRight w:val="0"/>
      <w:marTop w:val="0"/>
      <w:marBottom w:val="0"/>
      <w:divBdr>
        <w:top w:val="none" w:sz="0" w:space="0" w:color="auto"/>
        <w:left w:val="none" w:sz="0" w:space="0" w:color="auto"/>
        <w:bottom w:val="none" w:sz="0" w:space="0" w:color="auto"/>
        <w:right w:val="none" w:sz="0" w:space="0" w:color="auto"/>
      </w:divBdr>
    </w:div>
    <w:div w:id="1445953477">
      <w:marLeft w:val="0"/>
      <w:marRight w:val="0"/>
      <w:marTop w:val="120"/>
      <w:marBottom w:val="0"/>
      <w:divBdr>
        <w:top w:val="none" w:sz="0" w:space="0" w:color="auto"/>
        <w:left w:val="none" w:sz="0" w:space="0" w:color="auto"/>
        <w:bottom w:val="none" w:sz="0" w:space="0" w:color="auto"/>
        <w:right w:val="none" w:sz="0" w:space="0" w:color="auto"/>
      </w:divBdr>
    </w:div>
    <w:div w:id="1446002601">
      <w:marLeft w:val="0"/>
      <w:marRight w:val="0"/>
      <w:marTop w:val="0"/>
      <w:marBottom w:val="0"/>
      <w:divBdr>
        <w:top w:val="none" w:sz="0" w:space="0" w:color="auto"/>
        <w:left w:val="none" w:sz="0" w:space="0" w:color="auto"/>
        <w:bottom w:val="none" w:sz="0" w:space="0" w:color="auto"/>
        <w:right w:val="none" w:sz="0" w:space="0" w:color="auto"/>
      </w:divBdr>
    </w:div>
    <w:div w:id="1446652083">
      <w:marLeft w:val="0"/>
      <w:marRight w:val="0"/>
      <w:marTop w:val="0"/>
      <w:marBottom w:val="0"/>
      <w:divBdr>
        <w:top w:val="none" w:sz="0" w:space="0" w:color="auto"/>
        <w:left w:val="none" w:sz="0" w:space="0" w:color="auto"/>
        <w:bottom w:val="none" w:sz="0" w:space="0" w:color="auto"/>
        <w:right w:val="none" w:sz="0" w:space="0" w:color="auto"/>
      </w:divBdr>
      <w:divsChild>
        <w:div w:id="736166167">
          <w:marLeft w:val="0"/>
          <w:marRight w:val="0"/>
          <w:marTop w:val="0"/>
          <w:marBottom w:val="0"/>
          <w:divBdr>
            <w:top w:val="none" w:sz="0" w:space="0" w:color="auto"/>
            <w:left w:val="none" w:sz="0" w:space="0" w:color="auto"/>
            <w:bottom w:val="none" w:sz="0" w:space="0" w:color="auto"/>
            <w:right w:val="none" w:sz="0" w:space="0" w:color="auto"/>
          </w:divBdr>
        </w:div>
      </w:divsChild>
    </w:div>
    <w:div w:id="1449274793">
      <w:marLeft w:val="0"/>
      <w:marRight w:val="0"/>
      <w:marTop w:val="0"/>
      <w:marBottom w:val="0"/>
      <w:divBdr>
        <w:top w:val="none" w:sz="0" w:space="0" w:color="auto"/>
        <w:left w:val="none" w:sz="0" w:space="0" w:color="auto"/>
        <w:bottom w:val="none" w:sz="0" w:space="0" w:color="auto"/>
        <w:right w:val="none" w:sz="0" w:space="0" w:color="auto"/>
      </w:divBdr>
      <w:divsChild>
        <w:div w:id="342324408">
          <w:marLeft w:val="0"/>
          <w:marRight w:val="0"/>
          <w:marTop w:val="0"/>
          <w:marBottom w:val="0"/>
          <w:divBdr>
            <w:top w:val="none" w:sz="0" w:space="0" w:color="auto"/>
            <w:left w:val="none" w:sz="0" w:space="0" w:color="auto"/>
            <w:bottom w:val="none" w:sz="0" w:space="0" w:color="auto"/>
            <w:right w:val="none" w:sz="0" w:space="0" w:color="auto"/>
          </w:divBdr>
        </w:div>
      </w:divsChild>
    </w:div>
    <w:div w:id="1449280625">
      <w:marLeft w:val="0"/>
      <w:marRight w:val="0"/>
      <w:marTop w:val="240"/>
      <w:marBottom w:val="0"/>
      <w:divBdr>
        <w:top w:val="none" w:sz="0" w:space="0" w:color="auto"/>
        <w:left w:val="none" w:sz="0" w:space="0" w:color="auto"/>
        <w:bottom w:val="none" w:sz="0" w:space="0" w:color="auto"/>
        <w:right w:val="none" w:sz="0" w:space="0" w:color="auto"/>
      </w:divBdr>
    </w:div>
    <w:div w:id="1451586904">
      <w:marLeft w:val="0"/>
      <w:marRight w:val="0"/>
      <w:marTop w:val="180"/>
      <w:marBottom w:val="0"/>
      <w:divBdr>
        <w:top w:val="none" w:sz="0" w:space="0" w:color="auto"/>
        <w:left w:val="none" w:sz="0" w:space="0" w:color="auto"/>
        <w:bottom w:val="none" w:sz="0" w:space="0" w:color="auto"/>
        <w:right w:val="none" w:sz="0" w:space="0" w:color="auto"/>
      </w:divBdr>
    </w:div>
    <w:div w:id="1451630514">
      <w:marLeft w:val="0"/>
      <w:marRight w:val="0"/>
      <w:marTop w:val="0"/>
      <w:marBottom w:val="0"/>
      <w:divBdr>
        <w:top w:val="none" w:sz="0" w:space="0" w:color="auto"/>
        <w:left w:val="none" w:sz="0" w:space="0" w:color="auto"/>
        <w:bottom w:val="none" w:sz="0" w:space="0" w:color="auto"/>
        <w:right w:val="none" w:sz="0" w:space="0" w:color="auto"/>
      </w:divBdr>
    </w:div>
    <w:div w:id="1453396897">
      <w:marLeft w:val="0"/>
      <w:marRight w:val="0"/>
      <w:marTop w:val="120"/>
      <w:marBottom w:val="0"/>
      <w:divBdr>
        <w:top w:val="none" w:sz="0" w:space="0" w:color="auto"/>
        <w:left w:val="none" w:sz="0" w:space="0" w:color="auto"/>
        <w:bottom w:val="none" w:sz="0" w:space="0" w:color="auto"/>
        <w:right w:val="none" w:sz="0" w:space="0" w:color="auto"/>
      </w:divBdr>
    </w:div>
    <w:div w:id="1453591916">
      <w:marLeft w:val="0"/>
      <w:marRight w:val="0"/>
      <w:marTop w:val="120"/>
      <w:marBottom w:val="0"/>
      <w:divBdr>
        <w:top w:val="none" w:sz="0" w:space="0" w:color="auto"/>
        <w:left w:val="none" w:sz="0" w:space="0" w:color="auto"/>
        <w:bottom w:val="none" w:sz="0" w:space="0" w:color="auto"/>
        <w:right w:val="none" w:sz="0" w:space="0" w:color="auto"/>
      </w:divBdr>
    </w:div>
    <w:div w:id="1454521510">
      <w:marLeft w:val="0"/>
      <w:marRight w:val="0"/>
      <w:marTop w:val="120"/>
      <w:marBottom w:val="0"/>
      <w:divBdr>
        <w:top w:val="none" w:sz="0" w:space="0" w:color="auto"/>
        <w:left w:val="none" w:sz="0" w:space="0" w:color="auto"/>
        <w:bottom w:val="none" w:sz="0" w:space="0" w:color="auto"/>
        <w:right w:val="none" w:sz="0" w:space="0" w:color="auto"/>
      </w:divBdr>
    </w:div>
    <w:div w:id="1455322619">
      <w:marLeft w:val="0"/>
      <w:marRight w:val="0"/>
      <w:marTop w:val="120"/>
      <w:marBottom w:val="0"/>
      <w:divBdr>
        <w:top w:val="none" w:sz="0" w:space="0" w:color="auto"/>
        <w:left w:val="none" w:sz="0" w:space="0" w:color="auto"/>
        <w:bottom w:val="none" w:sz="0" w:space="0" w:color="auto"/>
        <w:right w:val="none" w:sz="0" w:space="0" w:color="auto"/>
      </w:divBdr>
    </w:div>
    <w:div w:id="1455518801">
      <w:marLeft w:val="0"/>
      <w:marRight w:val="0"/>
      <w:marTop w:val="0"/>
      <w:marBottom w:val="120"/>
      <w:divBdr>
        <w:top w:val="none" w:sz="0" w:space="0" w:color="auto"/>
        <w:left w:val="none" w:sz="0" w:space="0" w:color="auto"/>
        <w:bottom w:val="none" w:sz="0" w:space="0" w:color="auto"/>
        <w:right w:val="none" w:sz="0" w:space="0" w:color="auto"/>
      </w:divBdr>
      <w:divsChild>
        <w:div w:id="310453025">
          <w:marLeft w:val="0"/>
          <w:marRight w:val="0"/>
          <w:marTop w:val="0"/>
          <w:marBottom w:val="0"/>
          <w:divBdr>
            <w:top w:val="none" w:sz="0" w:space="0" w:color="auto"/>
            <w:left w:val="none" w:sz="0" w:space="0" w:color="auto"/>
            <w:bottom w:val="none" w:sz="0" w:space="0" w:color="auto"/>
            <w:right w:val="none" w:sz="0" w:space="0" w:color="auto"/>
          </w:divBdr>
        </w:div>
        <w:div w:id="1270966587">
          <w:marLeft w:val="0"/>
          <w:marRight w:val="0"/>
          <w:marTop w:val="0"/>
          <w:marBottom w:val="0"/>
          <w:divBdr>
            <w:top w:val="none" w:sz="0" w:space="0" w:color="auto"/>
            <w:left w:val="none" w:sz="0" w:space="0" w:color="auto"/>
            <w:bottom w:val="none" w:sz="0" w:space="0" w:color="auto"/>
            <w:right w:val="none" w:sz="0" w:space="0" w:color="auto"/>
          </w:divBdr>
        </w:div>
        <w:div w:id="358242393">
          <w:marLeft w:val="0"/>
          <w:marRight w:val="0"/>
          <w:marTop w:val="0"/>
          <w:marBottom w:val="0"/>
          <w:divBdr>
            <w:top w:val="none" w:sz="0" w:space="0" w:color="auto"/>
            <w:left w:val="none" w:sz="0" w:space="0" w:color="auto"/>
            <w:bottom w:val="none" w:sz="0" w:space="0" w:color="auto"/>
            <w:right w:val="none" w:sz="0" w:space="0" w:color="auto"/>
          </w:divBdr>
        </w:div>
        <w:div w:id="1822383180">
          <w:marLeft w:val="0"/>
          <w:marRight w:val="0"/>
          <w:marTop w:val="0"/>
          <w:marBottom w:val="0"/>
          <w:divBdr>
            <w:top w:val="none" w:sz="0" w:space="0" w:color="auto"/>
            <w:left w:val="none" w:sz="0" w:space="0" w:color="auto"/>
            <w:bottom w:val="none" w:sz="0" w:space="0" w:color="auto"/>
            <w:right w:val="none" w:sz="0" w:space="0" w:color="auto"/>
          </w:divBdr>
        </w:div>
        <w:div w:id="1651977892">
          <w:marLeft w:val="0"/>
          <w:marRight w:val="0"/>
          <w:marTop w:val="0"/>
          <w:marBottom w:val="0"/>
          <w:divBdr>
            <w:top w:val="none" w:sz="0" w:space="0" w:color="auto"/>
            <w:left w:val="none" w:sz="0" w:space="0" w:color="auto"/>
            <w:bottom w:val="none" w:sz="0" w:space="0" w:color="auto"/>
            <w:right w:val="none" w:sz="0" w:space="0" w:color="auto"/>
          </w:divBdr>
        </w:div>
        <w:div w:id="1762336415">
          <w:marLeft w:val="0"/>
          <w:marRight w:val="0"/>
          <w:marTop w:val="0"/>
          <w:marBottom w:val="0"/>
          <w:divBdr>
            <w:top w:val="none" w:sz="0" w:space="0" w:color="auto"/>
            <w:left w:val="none" w:sz="0" w:space="0" w:color="auto"/>
            <w:bottom w:val="none" w:sz="0" w:space="0" w:color="auto"/>
            <w:right w:val="none" w:sz="0" w:space="0" w:color="auto"/>
          </w:divBdr>
        </w:div>
        <w:div w:id="1064336097">
          <w:marLeft w:val="0"/>
          <w:marRight w:val="0"/>
          <w:marTop w:val="0"/>
          <w:marBottom w:val="0"/>
          <w:divBdr>
            <w:top w:val="none" w:sz="0" w:space="0" w:color="auto"/>
            <w:left w:val="none" w:sz="0" w:space="0" w:color="auto"/>
            <w:bottom w:val="none" w:sz="0" w:space="0" w:color="auto"/>
            <w:right w:val="none" w:sz="0" w:space="0" w:color="auto"/>
          </w:divBdr>
        </w:div>
        <w:div w:id="883247573">
          <w:marLeft w:val="0"/>
          <w:marRight w:val="0"/>
          <w:marTop w:val="0"/>
          <w:marBottom w:val="0"/>
          <w:divBdr>
            <w:top w:val="none" w:sz="0" w:space="0" w:color="auto"/>
            <w:left w:val="none" w:sz="0" w:space="0" w:color="auto"/>
            <w:bottom w:val="none" w:sz="0" w:space="0" w:color="auto"/>
            <w:right w:val="none" w:sz="0" w:space="0" w:color="auto"/>
          </w:divBdr>
        </w:div>
        <w:div w:id="378676256">
          <w:marLeft w:val="0"/>
          <w:marRight w:val="0"/>
          <w:marTop w:val="0"/>
          <w:marBottom w:val="0"/>
          <w:divBdr>
            <w:top w:val="none" w:sz="0" w:space="0" w:color="auto"/>
            <w:left w:val="none" w:sz="0" w:space="0" w:color="auto"/>
            <w:bottom w:val="none" w:sz="0" w:space="0" w:color="auto"/>
            <w:right w:val="none" w:sz="0" w:space="0" w:color="auto"/>
          </w:divBdr>
        </w:div>
        <w:div w:id="1773668899">
          <w:marLeft w:val="0"/>
          <w:marRight w:val="0"/>
          <w:marTop w:val="0"/>
          <w:marBottom w:val="0"/>
          <w:divBdr>
            <w:top w:val="none" w:sz="0" w:space="0" w:color="auto"/>
            <w:left w:val="none" w:sz="0" w:space="0" w:color="auto"/>
            <w:bottom w:val="none" w:sz="0" w:space="0" w:color="auto"/>
            <w:right w:val="none" w:sz="0" w:space="0" w:color="auto"/>
          </w:divBdr>
        </w:div>
      </w:divsChild>
    </w:div>
    <w:div w:id="1458328256">
      <w:marLeft w:val="0"/>
      <w:marRight w:val="0"/>
      <w:marTop w:val="120"/>
      <w:marBottom w:val="0"/>
      <w:divBdr>
        <w:top w:val="none" w:sz="0" w:space="0" w:color="auto"/>
        <w:left w:val="none" w:sz="0" w:space="0" w:color="auto"/>
        <w:bottom w:val="none" w:sz="0" w:space="0" w:color="auto"/>
        <w:right w:val="none" w:sz="0" w:space="0" w:color="auto"/>
      </w:divBdr>
    </w:div>
    <w:div w:id="1460109280">
      <w:marLeft w:val="0"/>
      <w:marRight w:val="0"/>
      <w:marTop w:val="120"/>
      <w:marBottom w:val="0"/>
      <w:divBdr>
        <w:top w:val="none" w:sz="0" w:space="0" w:color="auto"/>
        <w:left w:val="none" w:sz="0" w:space="0" w:color="auto"/>
        <w:bottom w:val="none" w:sz="0" w:space="0" w:color="auto"/>
        <w:right w:val="none" w:sz="0" w:space="0" w:color="auto"/>
      </w:divBdr>
    </w:div>
    <w:div w:id="1460950647">
      <w:marLeft w:val="0"/>
      <w:marRight w:val="0"/>
      <w:marTop w:val="120"/>
      <w:marBottom w:val="0"/>
      <w:divBdr>
        <w:top w:val="none" w:sz="0" w:space="0" w:color="auto"/>
        <w:left w:val="none" w:sz="0" w:space="0" w:color="auto"/>
        <w:bottom w:val="none" w:sz="0" w:space="0" w:color="auto"/>
        <w:right w:val="none" w:sz="0" w:space="0" w:color="auto"/>
      </w:divBdr>
    </w:div>
    <w:div w:id="1462839618">
      <w:marLeft w:val="0"/>
      <w:marRight w:val="0"/>
      <w:marTop w:val="120"/>
      <w:marBottom w:val="0"/>
      <w:divBdr>
        <w:top w:val="none" w:sz="0" w:space="0" w:color="auto"/>
        <w:left w:val="none" w:sz="0" w:space="0" w:color="auto"/>
        <w:bottom w:val="none" w:sz="0" w:space="0" w:color="auto"/>
        <w:right w:val="none" w:sz="0" w:space="0" w:color="auto"/>
      </w:divBdr>
    </w:div>
    <w:div w:id="1463184444">
      <w:marLeft w:val="0"/>
      <w:marRight w:val="0"/>
      <w:marTop w:val="120"/>
      <w:marBottom w:val="0"/>
      <w:divBdr>
        <w:top w:val="none" w:sz="0" w:space="0" w:color="auto"/>
        <w:left w:val="none" w:sz="0" w:space="0" w:color="auto"/>
        <w:bottom w:val="none" w:sz="0" w:space="0" w:color="auto"/>
        <w:right w:val="none" w:sz="0" w:space="0" w:color="auto"/>
      </w:divBdr>
    </w:div>
    <w:div w:id="1465083196">
      <w:marLeft w:val="0"/>
      <w:marRight w:val="0"/>
      <w:marTop w:val="0"/>
      <w:marBottom w:val="0"/>
      <w:divBdr>
        <w:top w:val="none" w:sz="0" w:space="0" w:color="auto"/>
        <w:left w:val="none" w:sz="0" w:space="0" w:color="auto"/>
        <w:bottom w:val="none" w:sz="0" w:space="0" w:color="auto"/>
        <w:right w:val="none" w:sz="0" w:space="0" w:color="auto"/>
      </w:divBdr>
    </w:div>
    <w:div w:id="1465460889">
      <w:marLeft w:val="0"/>
      <w:marRight w:val="0"/>
      <w:marTop w:val="0"/>
      <w:marBottom w:val="0"/>
      <w:divBdr>
        <w:top w:val="none" w:sz="0" w:space="0" w:color="auto"/>
        <w:left w:val="none" w:sz="0" w:space="0" w:color="auto"/>
        <w:bottom w:val="none" w:sz="0" w:space="0" w:color="auto"/>
        <w:right w:val="none" w:sz="0" w:space="0" w:color="auto"/>
      </w:divBdr>
    </w:div>
    <w:div w:id="1465582917">
      <w:marLeft w:val="0"/>
      <w:marRight w:val="0"/>
      <w:marTop w:val="0"/>
      <w:marBottom w:val="0"/>
      <w:divBdr>
        <w:top w:val="none" w:sz="0" w:space="0" w:color="auto"/>
        <w:left w:val="none" w:sz="0" w:space="0" w:color="auto"/>
        <w:bottom w:val="none" w:sz="0" w:space="0" w:color="auto"/>
        <w:right w:val="none" w:sz="0" w:space="0" w:color="auto"/>
      </w:divBdr>
      <w:divsChild>
        <w:div w:id="1407073076">
          <w:marLeft w:val="0"/>
          <w:marRight w:val="0"/>
          <w:marTop w:val="0"/>
          <w:marBottom w:val="0"/>
          <w:divBdr>
            <w:top w:val="none" w:sz="0" w:space="0" w:color="auto"/>
            <w:left w:val="none" w:sz="0" w:space="0" w:color="auto"/>
            <w:bottom w:val="none" w:sz="0" w:space="0" w:color="auto"/>
            <w:right w:val="none" w:sz="0" w:space="0" w:color="auto"/>
          </w:divBdr>
        </w:div>
      </w:divsChild>
    </w:div>
    <w:div w:id="1466509722">
      <w:marLeft w:val="0"/>
      <w:marRight w:val="0"/>
      <w:marTop w:val="120"/>
      <w:marBottom w:val="0"/>
      <w:divBdr>
        <w:top w:val="none" w:sz="0" w:space="0" w:color="auto"/>
        <w:left w:val="none" w:sz="0" w:space="0" w:color="auto"/>
        <w:bottom w:val="none" w:sz="0" w:space="0" w:color="auto"/>
        <w:right w:val="none" w:sz="0" w:space="0" w:color="auto"/>
      </w:divBdr>
    </w:div>
    <w:div w:id="1466897809">
      <w:marLeft w:val="0"/>
      <w:marRight w:val="0"/>
      <w:marTop w:val="120"/>
      <w:marBottom w:val="0"/>
      <w:divBdr>
        <w:top w:val="none" w:sz="0" w:space="0" w:color="auto"/>
        <w:left w:val="none" w:sz="0" w:space="0" w:color="auto"/>
        <w:bottom w:val="none" w:sz="0" w:space="0" w:color="auto"/>
        <w:right w:val="none" w:sz="0" w:space="0" w:color="auto"/>
      </w:divBdr>
    </w:div>
    <w:div w:id="1467315072">
      <w:marLeft w:val="0"/>
      <w:marRight w:val="0"/>
      <w:marTop w:val="120"/>
      <w:marBottom w:val="0"/>
      <w:divBdr>
        <w:top w:val="none" w:sz="0" w:space="0" w:color="auto"/>
        <w:left w:val="none" w:sz="0" w:space="0" w:color="auto"/>
        <w:bottom w:val="none" w:sz="0" w:space="0" w:color="auto"/>
        <w:right w:val="none" w:sz="0" w:space="0" w:color="auto"/>
      </w:divBdr>
    </w:div>
    <w:div w:id="1468472985">
      <w:marLeft w:val="0"/>
      <w:marRight w:val="0"/>
      <w:marTop w:val="0"/>
      <w:marBottom w:val="0"/>
      <w:divBdr>
        <w:top w:val="none" w:sz="0" w:space="0" w:color="auto"/>
        <w:left w:val="none" w:sz="0" w:space="0" w:color="auto"/>
        <w:bottom w:val="none" w:sz="0" w:space="0" w:color="auto"/>
        <w:right w:val="none" w:sz="0" w:space="0" w:color="auto"/>
      </w:divBdr>
      <w:divsChild>
        <w:div w:id="1565218868">
          <w:marLeft w:val="0"/>
          <w:marRight w:val="0"/>
          <w:marTop w:val="0"/>
          <w:marBottom w:val="0"/>
          <w:divBdr>
            <w:top w:val="none" w:sz="0" w:space="0" w:color="auto"/>
            <w:left w:val="none" w:sz="0" w:space="0" w:color="auto"/>
            <w:bottom w:val="none" w:sz="0" w:space="0" w:color="auto"/>
            <w:right w:val="none" w:sz="0" w:space="0" w:color="auto"/>
          </w:divBdr>
        </w:div>
      </w:divsChild>
    </w:div>
    <w:div w:id="1468553223">
      <w:marLeft w:val="0"/>
      <w:marRight w:val="0"/>
      <w:marTop w:val="0"/>
      <w:marBottom w:val="0"/>
      <w:divBdr>
        <w:top w:val="none" w:sz="0" w:space="0" w:color="auto"/>
        <w:left w:val="none" w:sz="0" w:space="0" w:color="auto"/>
        <w:bottom w:val="none" w:sz="0" w:space="0" w:color="auto"/>
        <w:right w:val="none" w:sz="0" w:space="0" w:color="auto"/>
      </w:divBdr>
      <w:divsChild>
        <w:div w:id="1833984436">
          <w:marLeft w:val="0"/>
          <w:marRight w:val="0"/>
          <w:marTop w:val="0"/>
          <w:marBottom w:val="0"/>
          <w:divBdr>
            <w:top w:val="none" w:sz="0" w:space="0" w:color="auto"/>
            <w:left w:val="none" w:sz="0" w:space="0" w:color="auto"/>
            <w:bottom w:val="none" w:sz="0" w:space="0" w:color="auto"/>
            <w:right w:val="none" w:sz="0" w:space="0" w:color="auto"/>
          </w:divBdr>
        </w:div>
      </w:divsChild>
    </w:div>
    <w:div w:id="1469395200">
      <w:marLeft w:val="0"/>
      <w:marRight w:val="0"/>
      <w:marTop w:val="0"/>
      <w:marBottom w:val="0"/>
      <w:divBdr>
        <w:top w:val="none" w:sz="0" w:space="0" w:color="auto"/>
        <w:left w:val="none" w:sz="0" w:space="0" w:color="auto"/>
        <w:bottom w:val="none" w:sz="0" w:space="0" w:color="auto"/>
        <w:right w:val="none" w:sz="0" w:space="0" w:color="auto"/>
      </w:divBdr>
    </w:div>
    <w:div w:id="1469471793">
      <w:marLeft w:val="0"/>
      <w:marRight w:val="0"/>
      <w:marTop w:val="0"/>
      <w:marBottom w:val="0"/>
      <w:divBdr>
        <w:top w:val="none" w:sz="0" w:space="0" w:color="auto"/>
        <w:left w:val="none" w:sz="0" w:space="0" w:color="auto"/>
        <w:bottom w:val="none" w:sz="0" w:space="0" w:color="auto"/>
        <w:right w:val="none" w:sz="0" w:space="0" w:color="auto"/>
      </w:divBdr>
      <w:divsChild>
        <w:div w:id="823548560">
          <w:marLeft w:val="0"/>
          <w:marRight w:val="0"/>
          <w:marTop w:val="0"/>
          <w:marBottom w:val="0"/>
          <w:divBdr>
            <w:top w:val="none" w:sz="0" w:space="0" w:color="auto"/>
            <w:left w:val="none" w:sz="0" w:space="0" w:color="auto"/>
            <w:bottom w:val="none" w:sz="0" w:space="0" w:color="auto"/>
            <w:right w:val="none" w:sz="0" w:space="0" w:color="auto"/>
          </w:divBdr>
        </w:div>
      </w:divsChild>
    </w:div>
    <w:div w:id="1469711889">
      <w:marLeft w:val="0"/>
      <w:marRight w:val="0"/>
      <w:marTop w:val="120"/>
      <w:marBottom w:val="0"/>
      <w:divBdr>
        <w:top w:val="none" w:sz="0" w:space="0" w:color="auto"/>
        <w:left w:val="none" w:sz="0" w:space="0" w:color="auto"/>
        <w:bottom w:val="none" w:sz="0" w:space="0" w:color="auto"/>
        <w:right w:val="none" w:sz="0" w:space="0" w:color="auto"/>
      </w:divBdr>
    </w:div>
    <w:div w:id="1469782012">
      <w:marLeft w:val="0"/>
      <w:marRight w:val="0"/>
      <w:marTop w:val="0"/>
      <w:marBottom w:val="0"/>
      <w:divBdr>
        <w:top w:val="none" w:sz="0" w:space="0" w:color="auto"/>
        <w:left w:val="none" w:sz="0" w:space="0" w:color="auto"/>
        <w:bottom w:val="none" w:sz="0" w:space="0" w:color="auto"/>
        <w:right w:val="none" w:sz="0" w:space="0" w:color="auto"/>
      </w:divBdr>
      <w:divsChild>
        <w:div w:id="1114402826">
          <w:marLeft w:val="0"/>
          <w:marRight w:val="0"/>
          <w:marTop w:val="0"/>
          <w:marBottom w:val="0"/>
          <w:divBdr>
            <w:top w:val="none" w:sz="0" w:space="0" w:color="auto"/>
            <w:left w:val="none" w:sz="0" w:space="0" w:color="auto"/>
            <w:bottom w:val="none" w:sz="0" w:space="0" w:color="auto"/>
            <w:right w:val="none" w:sz="0" w:space="0" w:color="auto"/>
          </w:divBdr>
        </w:div>
      </w:divsChild>
    </w:div>
    <w:div w:id="1470898262">
      <w:marLeft w:val="0"/>
      <w:marRight w:val="0"/>
      <w:marTop w:val="0"/>
      <w:marBottom w:val="120"/>
      <w:divBdr>
        <w:top w:val="none" w:sz="0" w:space="0" w:color="auto"/>
        <w:left w:val="none" w:sz="0" w:space="0" w:color="auto"/>
        <w:bottom w:val="none" w:sz="0" w:space="0" w:color="auto"/>
        <w:right w:val="none" w:sz="0" w:space="0" w:color="auto"/>
      </w:divBdr>
    </w:div>
    <w:div w:id="1474446266">
      <w:marLeft w:val="0"/>
      <w:marRight w:val="0"/>
      <w:marTop w:val="0"/>
      <w:marBottom w:val="0"/>
      <w:divBdr>
        <w:top w:val="none" w:sz="0" w:space="0" w:color="auto"/>
        <w:left w:val="none" w:sz="0" w:space="0" w:color="auto"/>
        <w:bottom w:val="none" w:sz="0" w:space="0" w:color="auto"/>
        <w:right w:val="none" w:sz="0" w:space="0" w:color="auto"/>
      </w:divBdr>
    </w:div>
    <w:div w:id="1475291658">
      <w:marLeft w:val="0"/>
      <w:marRight w:val="0"/>
      <w:marTop w:val="120"/>
      <w:marBottom w:val="0"/>
      <w:divBdr>
        <w:top w:val="none" w:sz="0" w:space="0" w:color="auto"/>
        <w:left w:val="none" w:sz="0" w:space="0" w:color="auto"/>
        <w:bottom w:val="none" w:sz="0" w:space="0" w:color="auto"/>
        <w:right w:val="none" w:sz="0" w:space="0" w:color="auto"/>
      </w:divBdr>
    </w:div>
    <w:div w:id="1475415669">
      <w:marLeft w:val="0"/>
      <w:marRight w:val="0"/>
      <w:marTop w:val="0"/>
      <w:marBottom w:val="120"/>
      <w:divBdr>
        <w:top w:val="none" w:sz="0" w:space="0" w:color="auto"/>
        <w:left w:val="none" w:sz="0" w:space="0" w:color="auto"/>
        <w:bottom w:val="none" w:sz="0" w:space="0" w:color="auto"/>
        <w:right w:val="none" w:sz="0" w:space="0" w:color="auto"/>
      </w:divBdr>
    </w:div>
    <w:div w:id="1476529580">
      <w:marLeft w:val="0"/>
      <w:marRight w:val="0"/>
      <w:marTop w:val="120"/>
      <w:marBottom w:val="0"/>
      <w:divBdr>
        <w:top w:val="none" w:sz="0" w:space="0" w:color="auto"/>
        <w:left w:val="none" w:sz="0" w:space="0" w:color="auto"/>
        <w:bottom w:val="none" w:sz="0" w:space="0" w:color="auto"/>
        <w:right w:val="none" w:sz="0" w:space="0" w:color="auto"/>
      </w:divBdr>
    </w:div>
    <w:div w:id="1477187585">
      <w:marLeft w:val="0"/>
      <w:marRight w:val="0"/>
      <w:marTop w:val="120"/>
      <w:marBottom w:val="0"/>
      <w:divBdr>
        <w:top w:val="none" w:sz="0" w:space="0" w:color="auto"/>
        <w:left w:val="none" w:sz="0" w:space="0" w:color="auto"/>
        <w:bottom w:val="none" w:sz="0" w:space="0" w:color="auto"/>
        <w:right w:val="none" w:sz="0" w:space="0" w:color="auto"/>
      </w:divBdr>
    </w:div>
    <w:div w:id="1477793803">
      <w:marLeft w:val="0"/>
      <w:marRight w:val="0"/>
      <w:marTop w:val="120"/>
      <w:marBottom w:val="0"/>
      <w:divBdr>
        <w:top w:val="none" w:sz="0" w:space="0" w:color="auto"/>
        <w:left w:val="none" w:sz="0" w:space="0" w:color="auto"/>
        <w:bottom w:val="none" w:sz="0" w:space="0" w:color="auto"/>
        <w:right w:val="none" w:sz="0" w:space="0" w:color="auto"/>
      </w:divBdr>
    </w:div>
    <w:div w:id="1479371819">
      <w:marLeft w:val="0"/>
      <w:marRight w:val="0"/>
      <w:marTop w:val="120"/>
      <w:marBottom w:val="0"/>
      <w:divBdr>
        <w:top w:val="none" w:sz="0" w:space="0" w:color="auto"/>
        <w:left w:val="none" w:sz="0" w:space="0" w:color="auto"/>
        <w:bottom w:val="none" w:sz="0" w:space="0" w:color="auto"/>
        <w:right w:val="none" w:sz="0" w:space="0" w:color="auto"/>
      </w:divBdr>
    </w:div>
    <w:div w:id="1479690673">
      <w:marLeft w:val="0"/>
      <w:marRight w:val="0"/>
      <w:marTop w:val="120"/>
      <w:marBottom w:val="0"/>
      <w:divBdr>
        <w:top w:val="none" w:sz="0" w:space="0" w:color="auto"/>
        <w:left w:val="none" w:sz="0" w:space="0" w:color="auto"/>
        <w:bottom w:val="none" w:sz="0" w:space="0" w:color="auto"/>
        <w:right w:val="none" w:sz="0" w:space="0" w:color="auto"/>
      </w:divBdr>
    </w:div>
    <w:div w:id="1481728592">
      <w:marLeft w:val="0"/>
      <w:marRight w:val="0"/>
      <w:marTop w:val="120"/>
      <w:marBottom w:val="0"/>
      <w:divBdr>
        <w:top w:val="none" w:sz="0" w:space="0" w:color="auto"/>
        <w:left w:val="none" w:sz="0" w:space="0" w:color="auto"/>
        <w:bottom w:val="none" w:sz="0" w:space="0" w:color="auto"/>
        <w:right w:val="none" w:sz="0" w:space="0" w:color="auto"/>
      </w:divBdr>
    </w:div>
    <w:div w:id="1482383662">
      <w:marLeft w:val="0"/>
      <w:marRight w:val="0"/>
      <w:marTop w:val="0"/>
      <w:marBottom w:val="0"/>
      <w:divBdr>
        <w:top w:val="none" w:sz="0" w:space="0" w:color="auto"/>
        <w:left w:val="none" w:sz="0" w:space="0" w:color="auto"/>
        <w:bottom w:val="none" w:sz="0" w:space="0" w:color="auto"/>
        <w:right w:val="none" w:sz="0" w:space="0" w:color="auto"/>
      </w:divBdr>
    </w:div>
    <w:div w:id="1486051563">
      <w:marLeft w:val="0"/>
      <w:marRight w:val="0"/>
      <w:marTop w:val="0"/>
      <w:marBottom w:val="120"/>
      <w:divBdr>
        <w:top w:val="none" w:sz="0" w:space="0" w:color="auto"/>
        <w:left w:val="none" w:sz="0" w:space="0" w:color="auto"/>
        <w:bottom w:val="none" w:sz="0" w:space="0" w:color="auto"/>
        <w:right w:val="none" w:sz="0" w:space="0" w:color="auto"/>
      </w:divBdr>
    </w:div>
    <w:div w:id="1486580363">
      <w:marLeft w:val="0"/>
      <w:marRight w:val="0"/>
      <w:marTop w:val="120"/>
      <w:marBottom w:val="0"/>
      <w:divBdr>
        <w:top w:val="none" w:sz="0" w:space="0" w:color="auto"/>
        <w:left w:val="none" w:sz="0" w:space="0" w:color="auto"/>
        <w:bottom w:val="none" w:sz="0" w:space="0" w:color="auto"/>
        <w:right w:val="none" w:sz="0" w:space="0" w:color="auto"/>
      </w:divBdr>
    </w:div>
    <w:div w:id="1487471073">
      <w:marLeft w:val="0"/>
      <w:marRight w:val="0"/>
      <w:marTop w:val="120"/>
      <w:marBottom w:val="0"/>
      <w:divBdr>
        <w:top w:val="none" w:sz="0" w:space="0" w:color="auto"/>
        <w:left w:val="none" w:sz="0" w:space="0" w:color="auto"/>
        <w:bottom w:val="none" w:sz="0" w:space="0" w:color="auto"/>
        <w:right w:val="none" w:sz="0" w:space="0" w:color="auto"/>
      </w:divBdr>
    </w:div>
    <w:div w:id="1487667537">
      <w:marLeft w:val="0"/>
      <w:marRight w:val="0"/>
      <w:marTop w:val="120"/>
      <w:marBottom w:val="0"/>
      <w:divBdr>
        <w:top w:val="none" w:sz="0" w:space="0" w:color="auto"/>
        <w:left w:val="none" w:sz="0" w:space="0" w:color="auto"/>
        <w:bottom w:val="none" w:sz="0" w:space="0" w:color="auto"/>
        <w:right w:val="none" w:sz="0" w:space="0" w:color="auto"/>
      </w:divBdr>
    </w:div>
    <w:div w:id="1487747222">
      <w:marLeft w:val="0"/>
      <w:marRight w:val="0"/>
      <w:marTop w:val="0"/>
      <w:marBottom w:val="0"/>
      <w:divBdr>
        <w:top w:val="none" w:sz="0" w:space="0" w:color="auto"/>
        <w:left w:val="none" w:sz="0" w:space="0" w:color="auto"/>
        <w:bottom w:val="none" w:sz="0" w:space="0" w:color="auto"/>
        <w:right w:val="none" w:sz="0" w:space="0" w:color="auto"/>
      </w:divBdr>
      <w:divsChild>
        <w:div w:id="1724058774">
          <w:marLeft w:val="0"/>
          <w:marRight w:val="0"/>
          <w:marTop w:val="0"/>
          <w:marBottom w:val="0"/>
          <w:divBdr>
            <w:top w:val="none" w:sz="0" w:space="0" w:color="auto"/>
            <w:left w:val="none" w:sz="0" w:space="0" w:color="auto"/>
            <w:bottom w:val="none" w:sz="0" w:space="0" w:color="auto"/>
            <w:right w:val="none" w:sz="0" w:space="0" w:color="auto"/>
          </w:divBdr>
        </w:div>
      </w:divsChild>
    </w:div>
    <w:div w:id="1490097897">
      <w:marLeft w:val="0"/>
      <w:marRight w:val="0"/>
      <w:marTop w:val="0"/>
      <w:marBottom w:val="120"/>
      <w:divBdr>
        <w:top w:val="none" w:sz="0" w:space="0" w:color="auto"/>
        <w:left w:val="none" w:sz="0" w:space="0" w:color="auto"/>
        <w:bottom w:val="none" w:sz="0" w:space="0" w:color="auto"/>
        <w:right w:val="none" w:sz="0" w:space="0" w:color="auto"/>
      </w:divBdr>
      <w:divsChild>
        <w:div w:id="408619881">
          <w:marLeft w:val="0"/>
          <w:marRight w:val="0"/>
          <w:marTop w:val="0"/>
          <w:marBottom w:val="0"/>
          <w:divBdr>
            <w:top w:val="none" w:sz="0" w:space="0" w:color="auto"/>
            <w:left w:val="none" w:sz="0" w:space="0" w:color="auto"/>
            <w:bottom w:val="none" w:sz="0" w:space="0" w:color="auto"/>
            <w:right w:val="none" w:sz="0" w:space="0" w:color="auto"/>
          </w:divBdr>
        </w:div>
        <w:div w:id="1152913111">
          <w:marLeft w:val="0"/>
          <w:marRight w:val="0"/>
          <w:marTop w:val="0"/>
          <w:marBottom w:val="0"/>
          <w:divBdr>
            <w:top w:val="none" w:sz="0" w:space="0" w:color="auto"/>
            <w:left w:val="none" w:sz="0" w:space="0" w:color="auto"/>
            <w:bottom w:val="none" w:sz="0" w:space="0" w:color="auto"/>
            <w:right w:val="none" w:sz="0" w:space="0" w:color="auto"/>
          </w:divBdr>
        </w:div>
      </w:divsChild>
    </w:div>
    <w:div w:id="1490101461">
      <w:marLeft w:val="0"/>
      <w:marRight w:val="0"/>
      <w:marTop w:val="120"/>
      <w:marBottom w:val="0"/>
      <w:divBdr>
        <w:top w:val="none" w:sz="0" w:space="0" w:color="auto"/>
        <w:left w:val="none" w:sz="0" w:space="0" w:color="auto"/>
        <w:bottom w:val="none" w:sz="0" w:space="0" w:color="auto"/>
        <w:right w:val="none" w:sz="0" w:space="0" w:color="auto"/>
      </w:divBdr>
    </w:div>
    <w:div w:id="1490362613">
      <w:marLeft w:val="0"/>
      <w:marRight w:val="0"/>
      <w:marTop w:val="0"/>
      <w:marBottom w:val="0"/>
      <w:divBdr>
        <w:top w:val="none" w:sz="0" w:space="0" w:color="auto"/>
        <w:left w:val="none" w:sz="0" w:space="0" w:color="auto"/>
        <w:bottom w:val="none" w:sz="0" w:space="0" w:color="auto"/>
        <w:right w:val="none" w:sz="0" w:space="0" w:color="auto"/>
      </w:divBdr>
    </w:div>
    <w:div w:id="1490558168">
      <w:marLeft w:val="0"/>
      <w:marRight w:val="0"/>
      <w:marTop w:val="0"/>
      <w:marBottom w:val="0"/>
      <w:divBdr>
        <w:top w:val="none" w:sz="0" w:space="0" w:color="auto"/>
        <w:left w:val="none" w:sz="0" w:space="0" w:color="auto"/>
        <w:bottom w:val="none" w:sz="0" w:space="0" w:color="auto"/>
        <w:right w:val="none" w:sz="0" w:space="0" w:color="auto"/>
      </w:divBdr>
      <w:divsChild>
        <w:div w:id="313415181">
          <w:marLeft w:val="0"/>
          <w:marRight w:val="0"/>
          <w:marTop w:val="0"/>
          <w:marBottom w:val="0"/>
          <w:divBdr>
            <w:top w:val="none" w:sz="0" w:space="0" w:color="auto"/>
            <w:left w:val="none" w:sz="0" w:space="0" w:color="auto"/>
            <w:bottom w:val="none" w:sz="0" w:space="0" w:color="auto"/>
            <w:right w:val="none" w:sz="0" w:space="0" w:color="auto"/>
          </w:divBdr>
        </w:div>
      </w:divsChild>
    </w:div>
    <w:div w:id="1491094031">
      <w:marLeft w:val="0"/>
      <w:marRight w:val="0"/>
      <w:marTop w:val="120"/>
      <w:marBottom w:val="0"/>
      <w:divBdr>
        <w:top w:val="none" w:sz="0" w:space="0" w:color="auto"/>
        <w:left w:val="none" w:sz="0" w:space="0" w:color="auto"/>
        <w:bottom w:val="none" w:sz="0" w:space="0" w:color="auto"/>
        <w:right w:val="none" w:sz="0" w:space="0" w:color="auto"/>
      </w:divBdr>
    </w:div>
    <w:div w:id="1491486779">
      <w:marLeft w:val="0"/>
      <w:marRight w:val="0"/>
      <w:marTop w:val="0"/>
      <w:marBottom w:val="0"/>
      <w:divBdr>
        <w:top w:val="none" w:sz="0" w:space="0" w:color="auto"/>
        <w:left w:val="none" w:sz="0" w:space="0" w:color="auto"/>
        <w:bottom w:val="none" w:sz="0" w:space="0" w:color="auto"/>
        <w:right w:val="none" w:sz="0" w:space="0" w:color="auto"/>
      </w:divBdr>
    </w:div>
    <w:div w:id="1493446362">
      <w:marLeft w:val="0"/>
      <w:marRight w:val="0"/>
      <w:marTop w:val="180"/>
      <w:marBottom w:val="0"/>
      <w:divBdr>
        <w:top w:val="none" w:sz="0" w:space="0" w:color="auto"/>
        <w:left w:val="none" w:sz="0" w:space="0" w:color="auto"/>
        <w:bottom w:val="none" w:sz="0" w:space="0" w:color="auto"/>
        <w:right w:val="none" w:sz="0" w:space="0" w:color="auto"/>
      </w:divBdr>
    </w:div>
    <w:div w:id="1493595924">
      <w:marLeft w:val="0"/>
      <w:marRight w:val="0"/>
      <w:marTop w:val="120"/>
      <w:marBottom w:val="0"/>
      <w:divBdr>
        <w:top w:val="none" w:sz="0" w:space="0" w:color="auto"/>
        <w:left w:val="none" w:sz="0" w:space="0" w:color="auto"/>
        <w:bottom w:val="none" w:sz="0" w:space="0" w:color="auto"/>
        <w:right w:val="none" w:sz="0" w:space="0" w:color="auto"/>
      </w:divBdr>
    </w:div>
    <w:div w:id="1493597201">
      <w:marLeft w:val="0"/>
      <w:marRight w:val="0"/>
      <w:marTop w:val="120"/>
      <w:marBottom w:val="0"/>
      <w:divBdr>
        <w:top w:val="none" w:sz="0" w:space="0" w:color="auto"/>
        <w:left w:val="none" w:sz="0" w:space="0" w:color="auto"/>
        <w:bottom w:val="none" w:sz="0" w:space="0" w:color="auto"/>
        <w:right w:val="none" w:sz="0" w:space="0" w:color="auto"/>
      </w:divBdr>
    </w:div>
    <w:div w:id="1494569933">
      <w:marLeft w:val="0"/>
      <w:marRight w:val="0"/>
      <w:marTop w:val="0"/>
      <w:marBottom w:val="0"/>
      <w:divBdr>
        <w:top w:val="none" w:sz="0" w:space="0" w:color="auto"/>
        <w:left w:val="none" w:sz="0" w:space="0" w:color="auto"/>
        <w:bottom w:val="none" w:sz="0" w:space="0" w:color="auto"/>
        <w:right w:val="none" w:sz="0" w:space="0" w:color="auto"/>
      </w:divBdr>
      <w:divsChild>
        <w:div w:id="382801694">
          <w:marLeft w:val="0"/>
          <w:marRight w:val="0"/>
          <w:marTop w:val="0"/>
          <w:marBottom w:val="0"/>
          <w:divBdr>
            <w:top w:val="none" w:sz="0" w:space="0" w:color="auto"/>
            <w:left w:val="none" w:sz="0" w:space="0" w:color="auto"/>
            <w:bottom w:val="none" w:sz="0" w:space="0" w:color="auto"/>
            <w:right w:val="none" w:sz="0" w:space="0" w:color="auto"/>
          </w:divBdr>
        </w:div>
      </w:divsChild>
    </w:div>
    <w:div w:id="1495103141">
      <w:marLeft w:val="0"/>
      <w:marRight w:val="0"/>
      <w:marTop w:val="120"/>
      <w:marBottom w:val="0"/>
      <w:divBdr>
        <w:top w:val="none" w:sz="0" w:space="0" w:color="auto"/>
        <w:left w:val="none" w:sz="0" w:space="0" w:color="auto"/>
        <w:bottom w:val="none" w:sz="0" w:space="0" w:color="auto"/>
        <w:right w:val="none" w:sz="0" w:space="0" w:color="auto"/>
      </w:divBdr>
    </w:div>
    <w:div w:id="1496258648">
      <w:marLeft w:val="0"/>
      <w:marRight w:val="0"/>
      <w:marTop w:val="120"/>
      <w:marBottom w:val="0"/>
      <w:divBdr>
        <w:top w:val="none" w:sz="0" w:space="0" w:color="auto"/>
        <w:left w:val="none" w:sz="0" w:space="0" w:color="auto"/>
        <w:bottom w:val="none" w:sz="0" w:space="0" w:color="auto"/>
        <w:right w:val="none" w:sz="0" w:space="0" w:color="auto"/>
      </w:divBdr>
    </w:div>
    <w:div w:id="1497963123">
      <w:marLeft w:val="0"/>
      <w:marRight w:val="0"/>
      <w:marTop w:val="120"/>
      <w:marBottom w:val="0"/>
      <w:divBdr>
        <w:top w:val="none" w:sz="0" w:space="0" w:color="auto"/>
        <w:left w:val="none" w:sz="0" w:space="0" w:color="auto"/>
        <w:bottom w:val="none" w:sz="0" w:space="0" w:color="auto"/>
        <w:right w:val="none" w:sz="0" w:space="0" w:color="auto"/>
      </w:divBdr>
    </w:div>
    <w:div w:id="1500001335">
      <w:marLeft w:val="0"/>
      <w:marRight w:val="0"/>
      <w:marTop w:val="120"/>
      <w:marBottom w:val="0"/>
      <w:divBdr>
        <w:top w:val="none" w:sz="0" w:space="0" w:color="auto"/>
        <w:left w:val="none" w:sz="0" w:space="0" w:color="auto"/>
        <w:bottom w:val="none" w:sz="0" w:space="0" w:color="auto"/>
        <w:right w:val="none" w:sz="0" w:space="0" w:color="auto"/>
      </w:divBdr>
    </w:div>
    <w:div w:id="1500149147">
      <w:marLeft w:val="0"/>
      <w:marRight w:val="0"/>
      <w:marTop w:val="0"/>
      <w:marBottom w:val="0"/>
      <w:divBdr>
        <w:top w:val="none" w:sz="0" w:space="0" w:color="auto"/>
        <w:left w:val="none" w:sz="0" w:space="0" w:color="auto"/>
        <w:bottom w:val="none" w:sz="0" w:space="0" w:color="auto"/>
        <w:right w:val="none" w:sz="0" w:space="0" w:color="auto"/>
      </w:divBdr>
      <w:divsChild>
        <w:div w:id="1005787467">
          <w:marLeft w:val="0"/>
          <w:marRight w:val="0"/>
          <w:marTop w:val="0"/>
          <w:marBottom w:val="0"/>
          <w:divBdr>
            <w:top w:val="none" w:sz="0" w:space="0" w:color="auto"/>
            <w:left w:val="none" w:sz="0" w:space="0" w:color="auto"/>
            <w:bottom w:val="none" w:sz="0" w:space="0" w:color="auto"/>
            <w:right w:val="none" w:sz="0" w:space="0" w:color="auto"/>
          </w:divBdr>
        </w:div>
      </w:divsChild>
    </w:div>
    <w:div w:id="1503425691">
      <w:marLeft w:val="0"/>
      <w:marRight w:val="0"/>
      <w:marTop w:val="0"/>
      <w:marBottom w:val="0"/>
      <w:divBdr>
        <w:top w:val="none" w:sz="0" w:space="0" w:color="auto"/>
        <w:left w:val="none" w:sz="0" w:space="0" w:color="auto"/>
        <w:bottom w:val="none" w:sz="0" w:space="0" w:color="auto"/>
        <w:right w:val="none" w:sz="0" w:space="0" w:color="auto"/>
      </w:divBdr>
      <w:divsChild>
        <w:div w:id="200286262">
          <w:marLeft w:val="0"/>
          <w:marRight w:val="0"/>
          <w:marTop w:val="0"/>
          <w:marBottom w:val="0"/>
          <w:divBdr>
            <w:top w:val="none" w:sz="0" w:space="0" w:color="auto"/>
            <w:left w:val="none" w:sz="0" w:space="0" w:color="auto"/>
            <w:bottom w:val="none" w:sz="0" w:space="0" w:color="auto"/>
            <w:right w:val="none" w:sz="0" w:space="0" w:color="auto"/>
          </w:divBdr>
        </w:div>
      </w:divsChild>
    </w:div>
    <w:div w:id="1504122678">
      <w:marLeft w:val="0"/>
      <w:marRight w:val="0"/>
      <w:marTop w:val="0"/>
      <w:marBottom w:val="0"/>
      <w:divBdr>
        <w:top w:val="none" w:sz="0" w:space="0" w:color="auto"/>
        <w:left w:val="none" w:sz="0" w:space="0" w:color="auto"/>
        <w:bottom w:val="none" w:sz="0" w:space="0" w:color="auto"/>
        <w:right w:val="none" w:sz="0" w:space="0" w:color="auto"/>
      </w:divBdr>
    </w:div>
    <w:div w:id="1505977116">
      <w:marLeft w:val="0"/>
      <w:marRight w:val="0"/>
      <w:marTop w:val="120"/>
      <w:marBottom w:val="0"/>
      <w:divBdr>
        <w:top w:val="none" w:sz="0" w:space="0" w:color="auto"/>
        <w:left w:val="none" w:sz="0" w:space="0" w:color="auto"/>
        <w:bottom w:val="none" w:sz="0" w:space="0" w:color="auto"/>
        <w:right w:val="none" w:sz="0" w:space="0" w:color="auto"/>
      </w:divBdr>
    </w:div>
    <w:div w:id="1506094028">
      <w:marLeft w:val="0"/>
      <w:marRight w:val="0"/>
      <w:marTop w:val="0"/>
      <w:marBottom w:val="0"/>
      <w:divBdr>
        <w:top w:val="none" w:sz="0" w:space="0" w:color="auto"/>
        <w:left w:val="none" w:sz="0" w:space="0" w:color="auto"/>
        <w:bottom w:val="none" w:sz="0" w:space="0" w:color="auto"/>
        <w:right w:val="none" w:sz="0" w:space="0" w:color="auto"/>
      </w:divBdr>
      <w:divsChild>
        <w:div w:id="1945962168">
          <w:marLeft w:val="0"/>
          <w:marRight w:val="0"/>
          <w:marTop w:val="0"/>
          <w:marBottom w:val="0"/>
          <w:divBdr>
            <w:top w:val="none" w:sz="0" w:space="0" w:color="auto"/>
            <w:left w:val="none" w:sz="0" w:space="0" w:color="auto"/>
            <w:bottom w:val="none" w:sz="0" w:space="0" w:color="auto"/>
            <w:right w:val="none" w:sz="0" w:space="0" w:color="auto"/>
          </w:divBdr>
        </w:div>
      </w:divsChild>
    </w:div>
    <w:div w:id="1507864666">
      <w:marLeft w:val="0"/>
      <w:marRight w:val="0"/>
      <w:marTop w:val="120"/>
      <w:marBottom w:val="0"/>
      <w:divBdr>
        <w:top w:val="none" w:sz="0" w:space="0" w:color="auto"/>
        <w:left w:val="none" w:sz="0" w:space="0" w:color="auto"/>
        <w:bottom w:val="none" w:sz="0" w:space="0" w:color="auto"/>
        <w:right w:val="none" w:sz="0" w:space="0" w:color="auto"/>
      </w:divBdr>
    </w:div>
    <w:div w:id="1508400198">
      <w:marLeft w:val="0"/>
      <w:marRight w:val="0"/>
      <w:marTop w:val="120"/>
      <w:marBottom w:val="0"/>
      <w:divBdr>
        <w:top w:val="none" w:sz="0" w:space="0" w:color="auto"/>
        <w:left w:val="none" w:sz="0" w:space="0" w:color="auto"/>
        <w:bottom w:val="none" w:sz="0" w:space="0" w:color="auto"/>
        <w:right w:val="none" w:sz="0" w:space="0" w:color="auto"/>
      </w:divBdr>
    </w:div>
    <w:div w:id="1508449052">
      <w:marLeft w:val="0"/>
      <w:marRight w:val="0"/>
      <w:marTop w:val="120"/>
      <w:marBottom w:val="0"/>
      <w:divBdr>
        <w:top w:val="none" w:sz="0" w:space="0" w:color="auto"/>
        <w:left w:val="none" w:sz="0" w:space="0" w:color="auto"/>
        <w:bottom w:val="none" w:sz="0" w:space="0" w:color="auto"/>
        <w:right w:val="none" w:sz="0" w:space="0" w:color="auto"/>
      </w:divBdr>
    </w:div>
    <w:div w:id="1509248362">
      <w:marLeft w:val="0"/>
      <w:marRight w:val="0"/>
      <w:marTop w:val="0"/>
      <w:marBottom w:val="0"/>
      <w:divBdr>
        <w:top w:val="none" w:sz="0" w:space="0" w:color="auto"/>
        <w:left w:val="none" w:sz="0" w:space="0" w:color="auto"/>
        <w:bottom w:val="none" w:sz="0" w:space="0" w:color="auto"/>
        <w:right w:val="none" w:sz="0" w:space="0" w:color="auto"/>
      </w:divBdr>
      <w:divsChild>
        <w:div w:id="357585945">
          <w:marLeft w:val="0"/>
          <w:marRight w:val="0"/>
          <w:marTop w:val="0"/>
          <w:marBottom w:val="0"/>
          <w:divBdr>
            <w:top w:val="none" w:sz="0" w:space="0" w:color="auto"/>
            <w:left w:val="none" w:sz="0" w:space="0" w:color="auto"/>
            <w:bottom w:val="none" w:sz="0" w:space="0" w:color="auto"/>
            <w:right w:val="none" w:sz="0" w:space="0" w:color="auto"/>
          </w:divBdr>
        </w:div>
      </w:divsChild>
    </w:div>
    <w:div w:id="1509323139">
      <w:marLeft w:val="0"/>
      <w:marRight w:val="0"/>
      <w:marTop w:val="120"/>
      <w:marBottom w:val="0"/>
      <w:divBdr>
        <w:top w:val="none" w:sz="0" w:space="0" w:color="auto"/>
        <w:left w:val="none" w:sz="0" w:space="0" w:color="auto"/>
        <w:bottom w:val="none" w:sz="0" w:space="0" w:color="auto"/>
        <w:right w:val="none" w:sz="0" w:space="0" w:color="auto"/>
      </w:divBdr>
    </w:div>
    <w:div w:id="1509521042">
      <w:marLeft w:val="0"/>
      <w:marRight w:val="0"/>
      <w:marTop w:val="0"/>
      <w:marBottom w:val="0"/>
      <w:divBdr>
        <w:top w:val="none" w:sz="0" w:space="0" w:color="auto"/>
        <w:left w:val="none" w:sz="0" w:space="0" w:color="auto"/>
        <w:bottom w:val="none" w:sz="0" w:space="0" w:color="auto"/>
        <w:right w:val="none" w:sz="0" w:space="0" w:color="auto"/>
      </w:divBdr>
    </w:div>
    <w:div w:id="1511484121">
      <w:marLeft w:val="0"/>
      <w:marRight w:val="0"/>
      <w:marTop w:val="120"/>
      <w:marBottom w:val="0"/>
      <w:divBdr>
        <w:top w:val="none" w:sz="0" w:space="0" w:color="auto"/>
        <w:left w:val="none" w:sz="0" w:space="0" w:color="auto"/>
        <w:bottom w:val="none" w:sz="0" w:space="0" w:color="auto"/>
        <w:right w:val="none" w:sz="0" w:space="0" w:color="auto"/>
      </w:divBdr>
    </w:div>
    <w:div w:id="1512254407">
      <w:marLeft w:val="0"/>
      <w:marRight w:val="0"/>
      <w:marTop w:val="120"/>
      <w:marBottom w:val="0"/>
      <w:divBdr>
        <w:top w:val="none" w:sz="0" w:space="0" w:color="auto"/>
        <w:left w:val="none" w:sz="0" w:space="0" w:color="auto"/>
        <w:bottom w:val="none" w:sz="0" w:space="0" w:color="auto"/>
        <w:right w:val="none" w:sz="0" w:space="0" w:color="auto"/>
      </w:divBdr>
    </w:div>
    <w:div w:id="1512376030">
      <w:marLeft w:val="0"/>
      <w:marRight w:val="0"/>
      <w:marTop w:val="0"/>
      <w:marBottom w:val="120"/>
      <w:divBdr>
        <w:top w:val="none" w:sz="0" w:space="0" w:color="auto"/>
        <w:left w:val="none" w:sz="0" w:space="0" w:color="auto"/>
        <w:bottom w:val="none" w:sz="0" w:space="0" w:color="auto"/>
        <w:right w:val="none" w:sz="0" w:space="0" w:color="auto"/>
      </w:divBdr>
      <w:divsChild>
        <w:div w:id="106195018">
          <w:marLeft w:val="0"/>
          <w:marRight w:val="0"/>
          <w:marTop w:val="0"/>
          <w:marBottom w:val="0"/>
          <w:divBdr>
            <w:top w:val="none" w:sz="0" w:space="0" w:color="auto"/>
            <w:left w:val="none" w:sz="0" w:space="0" w:color="auto"/>
            <w:bottom w:val="none" w:sz="0" w:space="0" w:color="auto"/>
            <w:right w:val="none" w:sz="0" w:space="0" w:color="auto"/>
          </w:divBdr>
        </w:div>
        <w:div w:id="374080492">
          <w:marLeft w:val="0"/>
          <w:marRight w:val="0"/>
          <w:marTop w:val="0"/>
          <w:marBottom w:val="0"/>
          <w:divBdr>
            <w:top w:val="none" w:sz="0" w:space="0" w:color="auto"/>
            <w:left w:val="none" w:sz="0" w:space="0" w:color="auto"/>
            <w:bottom w:val="none" w:sz="0" w:space="0" w:color="auto"/>
            <w:right w:val="none" w:sz="0" w:space="0" w:color="auto"/>
          </w:divBdr>
        </w:div>
        <w:div w:id="2064212843">
          <w:marLeft w:val="0"/>
          <w:marRight w:val="0"/>
          <w:marTop w:val="0"/>
          <w:marBottom w:val="0"/>
          <w:divBdr>
            <w:top w:val="none" w:sz="0" w:space="0" w:color="auto"/>
            <w:left w:val="none" w:sz="0" w:space="0" w:color="auto"/>
            <w:bottom w:val="none" w:sz="0" w:space="0" w:color="auto"/>
            <w:right w:val="none" w:sz="0" w:space="0" w:color="auto"/>
          </w:divBdr>
        </w:div>
        <w:div w:id="832069294">
          <w:marLeft w:val="0"/>
          <w:marRight w:val="0"/>
          <w:marTop w:val="0"/>
          <w:marBottom w:val="0"/>
          <w:divBdr>
            <w:top w:val="none" w:sz="0" w:space="0" w:color="auto"/>
            <w:left w:val="none" w:sz="0" w:space="0" w:color="auto"/>
            <w:bottom w:val="none" w:sz="0" w:space="0" w:color="auto"/>
            <w:right w:val="none" w:sz="0" w:space="0" w:color="auto"/>
          </w:divBdr>
        </w:div>
        <w:div w:id="1286888813">
          <w:marLeft w:val="0"/>
          <w:marRight w:val="0"/>
          <w:marTop w:val="0"/>
          <w:marBottom w:val="0"/>
          <w:divBdr>
            <w:top w:val="none" w:sz="0" w:space="0" w:color="auto"/>
            <w:left w:val="none" w:sz="0" w:space="0" w:color="auto"/>
            <w:bottom w:val="none" w:sz="0" w:space="0" w:color="auto"/>
            <w:right w:val="none" w:sz="0" w:space="0" w:color="auto"/>
          </w:divBdr>
        </w:div>
        <w:div w:id="1057169044">
          <w:marLeft w:val="0"/>
          <w:marRight w:val="0"/>
          <w:marTop w:val="0"/>
          <w:marBottom w:val="0"/>
          <w:divBdr>
            <w:top w:val="none" w:sz="0" w:space="0" w:color="auto"/>
            <w:left w:val="none" w:sz="0" w:space="0" w:color="auto"/>
            <w:bottom w:val="none" w:sz="0" w:space="0" w:color="auto"/>
            <w:right w:val="none" w:sz="0" w:space="0" w:color="auto"/>
          </w:divBdr>
        </w:div>
        <w:div w:id="320230917">
          <w:marLeft w:val="0"/>
          <w:marRight w:val="0"/>
          <w:marTop w:val="0"/>
          <w:marBottom w:val="0"/>
          <w:divBdr>
            <w:top w:val="none" w:sz="0" w:space="0" w:color="auto"/>
            <w:left w:val="none" w:sz="0" w:space="0" w:color="auto"/>
            <w:bottom w:val="none" w:sz="0" w:space="0" w:color="auto"/>
            <w:right w:val="none" w:sz="0" w:space="0" w:color="auto"/>
          </w:divBdr>
        </w:div>
        <w:div w:id="639068967">
          <w:marLeft w:val="0"/>
          <w:marRight w:val="0"/>
          <w:marTop w:val="0"/>
          <w:marBottom w:val="0"/>
          <w:divBdr>
            <w:top w:val="none" w:sz="0" w:space="0" w:color="auto"/>
            <w:left w:val="none" w:sz="0" w:space="0" w:color="auto"/>
            <w:bottom w:val="none" w:sz="0" w:space="0" w:color="auto"/>
            <w:right w:val="none" w:sz="0" w:space="0" w:color="auto"/>
          </w:divBdr>
        </w:div>
        <w:div w:id="1643385010">
          <w:marLeft w:val="0"/>
          <w:marRight w:val="0"/>
          <w:marTop w:val="0"/>
          <w:marBottom w:val="0"/>
          <w:divBdr>
            <w:top w:val="none" w:sz="0" w:space="0" w:color="auto"/>
            <w:left w:val="none" w:sz="0" w:space="0" w:color="auto"/>
            <w:bottom w:val="none" w:sz="0" w:space="0" w:color="auto"/>
            <w:right w:val="none" w:sz="0" w:space="0" w:color="auto"/>
          </w:divBdr>
        </w:div>
        <w:div w:id="2065368350">
          <w:marLeft w:val="0"/>
          <w:marRight w:val="0"/>
          <w:marTop w:val="0"/>
          <w:marBottom w:val="0"/>
          <w:divBdr>
            <w:top w:val="none" w:sz="0" w:space="0" w:color="auto"/>
            <w:left w:val="none" w:sz="0" w:space="0" w:color="auto"/>
            <w:bottom w:val="none" w:sz="0" w:space="0" w:color="auto"/>
            <w:right w:val="none" w:sz="0" w:space="0" w:color="auto"/>
          </w:divBdr>
        </w:div>
        <w:div w:id="1505588333">
          <w:marLeft w:val="0"/>
          <w:marRight w:val="0"/>
          <w:marTop w:val="0"/>
          <w:marBottom w:val="0"/>
          <w:divBdr>
            <w:top w:val="none" w:sz="0" w:space="0" w:color="auto"/>
            <w:left w:val="none" w:sz="0" w:space="0" w:color="auto"/>
            <w:bottom w:val="none" w:sz="0" w:space="0" w:color="auto"/>
            <w:right w:val="none" w:sz="0" w:space="0" w:color="auto"/>
          </w:divBdr>
        </w:div>
        <w:div w:id="739909777">
          <w:marLeft w:val="0"/>
          <w:marRight w:val="0"/>
          <w:marTop w:val="0"/>
          <w:marBottom w:val="0"/>
          <w:divBdr>
            <w:top w:val="none" w:sz="0" w:space="0" w:color="auto"/>
            <w:left w:val="none" w:sz="0" w:space="0" w:color="auto"/>
            <w:bottom w:val="none" w:sz="0" w:space="0" w:color="auto"/>
            <w:right w:val="none" w:sz="0" w:space="0" w:color="auto"/>
          </w:divBdr>
        </w:div>
        <w:div w:id="1566069280">
          <w:marLeft w:val="0"/>
          <w:marRight w:val="0"/>
          <w:marTop w:val="0"/>
          <w:marBottom w:val="0"/>
          <w:divBdr>
            <w:top w:val="none" w:sz="0" w:space="0" w:color="auto"/>
            <w:left w:val="none" w:sz="0" w:space="0" w:color="auto"/>
            <w:bottom w:val="none" w:sz="0" w:space="0" w:color="auto"/>
            <w:right w:val="none" w:sz="0" w:space="0" w:color="auto"/>
          </w:divBdr>
        </w:div>
        <w:div w:id="724256990">
          <w:marLeft w:val="0"/>
          <w:marRight w:val="0"/>
          <w:marTop w:val="0"/>
          <w:marBottom w:val="0"/>
          <w:divBdr>
            <w:top w:val="none" w:sz="0" w:space="0" w:color="auto"/>
            <w:left w:val="none" w:sz="0" w:space="0" w:color="auto"/>
            <w:bottom w:val="none" w:sz="0" w:space="0" w:color="auto"/>
            <w:right w:val="none" w:sz="0" w:space="0" w:color="auto"/>
          </w:divBdr>
        </w:div>
        <w:div w:id="179202253">
          <w:marLeft w:val="0"/>
          <w:marRight w:val="0"/>
          <w:marTop w:val="0"/>
          <w:marBottom w:val="0"/>
          <w:divBdr>
            <w:top w:val="none" w:sz="0" w:space="0" w:color="auto"/>
            <w:left w:val="none" w:sz="0" w:space="0" w:color="auto"/>
            <w:bottom w:val="none" w:sz="0" w:space="0" w:color="auto"/>
            <w:right w:val="none" w:sz="0" w:space="0" w:color="auto"/>
          </w:divBdr>
        </w:div>
        <w:div w:id="750933263">
          <w:marLeft w:val="0"/>
          <w:marRight w:val="0"/>
          <w:marTop w:val="0"/>
          <w:marBottom w:val="0"/>
          <w:divBdr>
            <w:top w:val="none" w:sz="0" w:space="0" w:color="auto"/>
            <w:left w:val="none" w:sz="0" w:space="0" w:color="auto"/>
            <w:bottom w:val="none" w:sz="0" w:space="0" w:color="auto"/>
            <w:right w:val="none" w:sz="0" w:space="0" w:color="auto"/>
          </w:divBdr>
        </w:div>
        <w:div w:id="1119252514">
          <w:marLeft w:val="0"/>
          <w:marRight w:val="0"/>
          <w:marTop w:val="0"/>
          <w:marBottom w:val="0"/>
          <w:divBdr>
            <w:top w:val="none" w:sz="0" w:space="0" w:color="auto"/>
            <w:left w:val="none" w:sz="0" w:space="0" w:color="auto"/>
            <w:bottom w:val="none" w:sz="0" w:space="0" w:color="auto"/>
            <w:right w:val="none" w:sz="0" w:space="0" w:color="auto"/>
          </w:divBdr>
        </w:div>
        <w:div w:id="71895009">
          <w:marLeft w:val="0"/>
          <w:marRight w:val="0"/>
          <w:marTop w:val="0"/>
          <w:marBottom w:val="0"/>
          <w:divBdr>
            <w:top w:val="none" w:sz="0" w:space="0" w:color="auto"/>
            <w:left w:val="none" w:sz="0" w:space="0" w:color="auto"/>
            <w:bottom w:val="none" w:sz="0" w:space="0" w:color="auto"/>
            <w:right w:val="none" w:sz="0" w:space="0" w:color="auto"/>
          </w:divBdr>
        </w:div>
      </w:divsChild>
    </w:div>
    <w:div w:id="1512526407">
      <w:marLeft w:val="0"/>
      <w:marRight w:val="0"/>
      <w:marTop w:val="0"/>
      <w:marBottom w:val="0"/>
      <w:divBdr>
        <w:top w:val="none" w:sz="0" w:space="0" w:color="auto"/>
        <w:left w:val="none" w:sz="0" w:space="0" w:color="auto"/>
        <w:bottom w:val="none" w:sz="0" w:space="0" w:color="auto"/>
        <w:right w:val="none" w:sz="0" w:space="0" w:color="auto"/>
      </w:divBdr>
    </w:div>
    <w:div w:id="1514103023">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 w:id="1516846417">
      <w:marLeft w:val="0"/>
      <w:marRight w:val="0"/>
      <w:marTop w:val="0"/>
      <w:marBottom w:val="0"/>
      <w:divBdr>
        <w:top w:val="none" w:sz="0" w:space="0" w:color="auto"/>
        <w:left w:val="none" w:sz="0" w:space="0" w:color="auto"/>
        <w:bottom w:val="none" w:sz="0" w:space="0" w:color="auto"/>
        <w:right w:val="none" w:sz="0" w:space="0" w:color="auto"/>
      </w:divBdr>
    </w:div>
    <w:div w:id="1517422886">
      <w:marLeft w:val="0"/>
      <w:marRight w:val="0"/>
      <w:marTop w:val="0"/>
      <w:marBottom w:val="0"/>
      <w:divBdr>
        <w:top w:val="none" w:sz="0" w:space="0" w:color="auto"/>
        <w:left w:val="none" w:sz="0" w:space="0" w:color="auto"/>
        <w:bottom w:val="none" w:sz="0" w:space="0" w:color="auto"/>
        <w:right w:val="none" w:sz="0" w:space="0" w:color="auto"/>
      </w:divBdr>
    </w:div>
    <w:div w:id="1519656108">
      <w:marLeft w:val="0"/>
      <w:marRight w:val="0"/>
      <w:marTop w:val="60"/>
      <w:marBottom w:val="0"/>
      <w:divBdr>
        <w:top w:val="none" w:sz="0" w:space="0" w:color="auto"/>
        <w:left w:val="none" w:sz="0" w:space="0" w:color="auto"/>
        <w:bottom w:val="none" w:sz="0" w:space="0" w:color="auto"/>
        <w:right w:val="none" w:sz="0" w:space="0" w:color="auto"/>
      </w:divBdr>
    </w:div>
    <w:div w:id="1520314288">
      <w:marLeft w:val="0"/>
      <w:marRight w:val="0"/>
      <w:marTop w:val="120"/>
      <w:marBottom w:val="0"/>
      <w:divBdr>
        <w:top w:val="none" w:sz="0" w:space="0" w:color="auto"/>
        <w:left w:val="none" w:sz="0" w:space="0" w:color="auto"/>
        <w:bottom w:val="none" w:sz="0" w:space="0" w:color="auto"/>
        <w:right w:val="none" w:sz="0" w:space="0" w:color="auto"/>
      </w:divBdr>
    </w:div>
    <w:div w:id="1523518471">
      <w:marLeft w:val="0"/>
      <w:marRight w:val="0"/>
      <w:marTop w:val="0"/>
      <w:marBottom w:val="0"/>
      <w:divBdr>
        <w:top w:val="none" w:sz="0" w:space="0" w:color="auto"/>
        <w:left w:val="none" w:sz="0" w:space="0" w:color="auto"/>
        <w:bottom w:val="none" w:sz="0" w:space="0" w:color="auto"/>
        <w:right w:val="none" w:sz="0" w:space="0" w:color="auto"/>
      </w:divBdr>
    </w:div>
    <w:div w:id="1523740894">
      <w:marLeft w:val="0"/>
      <w:marRight w:val="0"/>
      <w:marTop w:val="120"/>
      <w:marBottom w:val="0"/>
      <w:divBdr>
        <w:top w:val="none" w:sz="0" w:space="0" w:color="auto"/>
        <w:left w:val="none" w:sz="0" w:space="0" w:color="auto"/>
        <w:bottom w:val="none" w:sz="0" w:space="0" w:color="auto"/>
        <w:right w:val="none" w:sz="0" w:space="0" w:color="auto"/>
      </w:divBdr>
    </w:div>
    <w:div w:id="1524979132">
      <w:marLeft w:val="0"/>
      <w:marRight w:val="0"/>
      <w:marTop w:val="120"/>
      <w:marBottom w:val="0"/>
      <w:divBdr>
        <w:top w:val="none" w:sz="0" w:space="0" w:color="auto"/>
        <w:left w:val="none" w:sz="0" w:space="0" w:color="auto"/>
        <w:bottom w:val="none" w:sz="0" w:space="0" w:color="auto"/>
        <w:right w:val="none" w:sz="0" w:space="0" w:color="auto"/>
      </w:divBdr>
    </w:div>
    <w:div w:id="1525359152">
      <w:marLeft w:val="0"/>
      <w:marRight w:val="0"/>
      <w:marTop w:val="120"/>
      <w:marBottom w:val="0"/>
      <w:divBdr>
        <w:top w:val="none" w:sz="0" w:space="0" w:color="auto"/>
        <w:left w:val="none" w:sz="0" w:space="0" w:color="auto"/>
        <w:bottom w:val="none" w:sz="0" w:space="0" w:color="auto"/>
        <w:right w:val="none" w:sz="0" w:space="0" w:color="auto"/>
      </w:divBdr>
    </w:div>
    <w:div w:id="1525442250">
      <w:marLeft w:val="0"/>
      <w:marRight w:val="0"/>
      <w:marTop w:val="120"/>
      <w:marBottom w:val="0"/>
      <w:divBdr>
        <w:top w:val="none" w:sz="0" w:space="0" w:color="auto"/>
        <w:left w:val="none" w:sz="0" w:space="0" w:color="auto"/>
        <w:bottom w:val="none" w:sz="0" w:space="0" w:color="auto"/>
        <w:right w:val="none" w:sz="0" w:space="0" w:color="auto"/>
      </w:divBdr>
    </w:div>
    <w:div w:id="1527325633">
      <w:marLeft w:val="0"/>
      <w:marRight w:val="0"/>
      <w:marTop w:val="0"/>
      <w:marBottom w:val="240"/>
      <w:divBdr>
        <w:top w:val="none" w:sz="0" w:space="0" w:color="auto"/>
        <w:left w:val="none" w:sz="0" w:space="0" w:color="auto"/>
        <w:bottom w:val="none" w:sz="0" w:space="0" w:color="auto"/>
        <w:right w:val="none" w:sz="0" w:space="0" w:color="auto"/>
      </w:divBdr>
    </w:div>
    <w:div w:id="1530989942">
      <w:marLeft w:val="0"/>
      <w:marRight w:val="0"/>
      <w:marTop w:val="120"/>
      <w:marBottom w:val="0"/>
      <w:divBdr>
        <w:top w:val="none" w:sz="0" w:space="0" w:color="auto"/>
        <w:left w:val="none" w:sz="0" w:space="0" w:color="auto"/>
        <w:bottom w:val="none" w:sz="0" w:space="0" w:color="auto"/>
        <w:right w:val="none" w:sz="0" w:space="0" w:color="auto"/>
      </w:divBdr>
    </w:div>
    <w:div w:id="1532107843">
      <w:marLeft w:val="0"/>
      <w:marRight w:val="0"/>
      <w:marTop w:val="120"/>
      <w:marBottom w:val="0"/>
      <w:divBdr>
        <w:top w:val="none" w:sz="0" w:space="0" w:color="auto"/>
        <w:left w:val="none" w:sz="0" w:space="0" w:color="auto"/>
        <w:bottom w:val="none" w:sz="0" w:space="0" w:color="auto"/>
        <w:right w:val="none" w:sz="0" w:space="0" w:color="auto"/>
      </w:divBdr>
    </w:div>
    <w:div w:id="1532839084">
      <w:marLeft w:val="0"/>
      <w:marRight w:val="0"/>
      <w:marTop w:val="120"/>
      <w:marBottom w:val="0"/>
      <w:divBdr>
        <w:top w:val="none" w:sz="0" w:space="0" w:color="auto"/>
        <w:left w:val="none" w:sz="0" w:space="0" w:color="auto"/>
        <w:bottom w:val="none" w:sz="0" w:space="0" w:color="auto"/>
        <w:right w:val="none" w:sz="0" w:space="0" w:color="auto"/>
      </w:divBdr>
    </w:div>
    <w:div w:id="1533611943">
      <w:marLeft w:val="0"/>
      <w:marRight w:val="0"/>
      <w:marTop w:val="120"/>
      <w:marBottom w:val="0"/>
      <w:divBdr>
        <w:top w:val="none" w:sz="0" w:space="0" w:color="auto"/>
        <w:left w:val="none" w:sz="0" w:space="0" w:color="auto"/>
        <w:bottom w:val="none" w:sz="0" w:space="0" w:color="auto"/>
        <w:right w:val="none" w:sz="0" w:space="0" w:color="auto"/>
      </w:divBdr>
    </w:div>
    <w:div w:id="1533765050">
      <w:marLeft w:val="0"/>
      <w:marRight w:val="0"/>
      <w:marTop w:val="120"/>
      <w:marBottom w:val="0"/>
      <w:divBdr>
        <w:top w:val="none" w:sz="0" w:space="0" w:color="auto"/>
        <w:left w:val="none" w:sz="0" w:space="0" w:color="auto"/>
        <w:bottom w:val="none" w:sz="0" w:space="0" w:color="auto"/>
        <w:right w:val="none" w:sz="0" w:space="0" w:color="auto"/>
      </w:divBdr>
    </w:div>
    <w:div w:id="1534883601">
      <w:marLeft w:val="0"/>
      <w:marRight w:val="0"/>
      <w:marTop w:val="120"/>
      <w:marBottom w:val="0"/>
      <w:divBdr>
        <w:top w:val="none" w:sz="0" w:space="0" w:color="auto"/>
        <w:left w:val="none" w:sz="0" w:space="0" w:color="auto"/>
        <w:bottom w:val="none" w:sz="0" w:space="0" w:color="auto"/>
        <w:right w:val="none" w:sz="0" w:space="0" w:color="auto"/>
      </w:divBdr>
    </w:div>
    <w:div w:id="1535076966">
      <w:marLeft w:val="0"/>
      <w:marRight w:val="0"/>
      <w:marTop w:val="0"/>
      <w:marBottom w:val="0"/>
      <w:divBdr>
        <w:top w:val="none" w:sz="0" w:space="0" w:color="auto"/>
        <w:left w:val="none" w:sz="0" w:space="0" w:color="auto"/>
        <w:bottom w:val="none" w:sz="0" w:space="0" w:color="auto"/>
        <w:right w:val="none" w:sz="0" w:space="0" w:color="auto"/>
      </w:divBdr>
    </w:div>
    <w:div w:id="1537237929">
      <w:marLeft w:val="0"/>
      <w:marRight w:val="0"/>
      <w:marTop w:val="120"/>
      <w:marBottom w:val="0"/>
      <w:divBdr>
        <w:top w:val="none" w:sz="0" w:space="0" w:color="auto"/>
        <w:left w:val="none" w:sz="0" w:space="0" w:color="auto"/>
        <w:bottom w:val="none" w:sz="0" w:space="0" w:color="auto"/>
        <w:right w:val="none" w:sz="0" w:space="0" w:color="auto"/>
      </w:divBdr>
    </w:div>
    <w:div w:id="1538930149">
      <w:marLeft w:val="0"/>
      <w:marRight w:val="0"/>
      <w:marTop w:val="0"/>
      <w:marBottom w:val="120"/>
      <w:divBdr>
        <w:top w:val="none" w:sz="0" w:space="0" w:color="auto"/>
        <w:left w:val="none" w:sz="0" w:space="0" w:color="auto"/>
        <w:bottom w:val="none" w:sz="0" w:space="0" w:color="auto"/>
        <w:right w:val="none" w:sz="0" w:space="0" w:color="auto"/>
      </w:divBdr>
      <w:divsChild>
        <w:div w:id="2128429846">
          <w:marLeft w:val="0"/>
          <w:marRight w:val="0"/>
          <w:marTop w:val="0"/>
          <w:marBottom w:val="0"/>
          <w:divBdr>
            <w:top w:val="none" w:sz="0" w:space="0" w:color="auto"/>
            <w:left w:val="none" w:sz="0" w:space="0" w:color="auto"/>
            <w:bottom w:val="none" w:sz="0" w:space="0" w:color="auto"/>
            <w:right w:val="none" w:sz="0" w:space="0" w:color="auto"/>
          </w:divBdr>
        </w:div>
        <w:div w:id="807161487">
          <w:marLeft w:val="0"/>
          <w:marRight w:val="0"/>
          <w:marTop w:val="0"/>
          <w:marBottom w:val="0"/>
          <w:divBdr>
            <w:top w:val="none" w:sz="0" w:space="0" w:color="auto"/>
            <w:left w:val="none" w:sz="0" w:space="0" w:color="auto"/>
            <w:bottom w:val="none" w:sz="0" w:space="0" w:color="auto"/>
            <w:right w:val="none" w:sz="0" w:space="0" w:color="auto"/>
          </w:divBdr>
        </w:div>
        <w:div w:id="1888642269">
          <w:marLeft w:val="0"/>
          <w:marRight w:val="0"/>
          <w:marTop w:val="0"/>
          <w:marBottom w:val="0"/>
          <w:divBdr>
            <w:top w:val="none" w:sz="0" w:space="0" w:color="auto"/>
            <w:left w:val="none" w:sz="0" w:space="0" w:color="auto"/>
            <w:bottom w:val="none" w:sz="0" w:space="0" w:color="auto"/>
            <w:right w:val="none" w:sz="0" w:space="0" w:color="auto"/>
          </w:divBdr>
        </w:div>
      </w:divsChild>
    </w:div>
    <w:div w:id="1541673936">
      <w:marLeft w:val="0"/>
      <w:marRight w:val="0"/>
      <w:marTop w:val="0"/>
      <w:marBottom w:val="120"/>
      <w:divBdr>
        <w:top w:val="none" w:sz="0" w:space="0" w:color="auto"/>
        <w:left w:val="none" w:sz="0" w:space="0" w:color="auto"/>
        <w:bottom w:val="none" w:sz="0" w:space="0" w:color="auto"/>
        <w:right w:val="none" w:sz="0" w:space="0" w:color="auto"/>
      </w:divBdr>
    </w:div>
    <w:div w:id="1542472605">
      <w:marLeft w:val="0"/>
      <w:marRight w:val="0"/>
      <w:marTop w:val="0"/>
      <w:marBottom w:val="0"/>
      <w:divBdr>
        <w:top w:val="none" w:sz="0" w:space="0" w:color="auto"/>
        <w:left w:val="none" w:sz="0" w:space="0" w:color="auto"/>
        <w:bottom w:val="none" w:sz="0" w:space="0" w:color="auto"/>
        <w:right w:val="none" w:sz="0" w:space="0" w:color="auto"/>
      </w:divBdr>
      <w:divsChild>
        <w:div w:id="593173511">
          <w:marLeft w:val="0"/>
          <w:marRight w:val="0"/>
          <w:marTop w:val="0"/>
          <w:marBottom w:val="0"/>
          <w:divBdr>
            <w:top w:val="none" w:sz="0" w:space="0" w:color="auto"/>
            <w:left w:val="none" w:sz="0" w:space="0" w:color="auto"/>
            <w:bottom w:val="none" w:sz="0" w:space="0" w:color="auto"/>
            <w:right w:val="none" w:sz="0" w:space="0" w:color="auto"/>
          </w:divBdr>
        </w:div>
      </w:divsChild>
    </w:div>
    <w:div w:id="1543442530">
      <w:marLeft w:val="0"/>
      <w:marRight w:val="0"/>
      <w:marTop w:val="0"/>
      <w:marBottom w:val="0"/>
      <w:divBdr>
        <w:top w:val="none" w:sz="0" w:space="0" w:color="auto"/>
        <w:left w:val="none" w:sz="0" w:space="0" w:color="auto"/>
        <w:bottom w:val="none" w:sz="0" w:space="0" w:color="auto"/>
        <w:right w:val="none" w:sz="0" w:space="0" w:color="auto"/>
      </w:divBdr>
    </w:div>
    <w:div w:id="1543713779">
      <w:marLeft w:val="0"/>
      <w:marRight w:val="0"/>
      <w:marTop w:val="120"/>
      <w:marBottom w:val="0"/>
      <w:divBdr>
        <w:top w:val="none" w:sz="0" w:space="0" w:color="auto"/>
        <w:left w:val="none" w:sz="0" w:space="0" w:color="auto"/>
        <w:bottom w:val="none" w:sz="0" w:space="0" w:color="auto"/>
        <w:right w:val="none" w:sz="0" w:space="0" w:color="auto"/>
      </w:divBdr>
    </w:div>
    <w:div w:id="1543858714">
      <w:marLeft w:val="0"/>
      <w:marRight w:val="0"/>
      <w:marTop w:val="0"/>
      <w:marBottom w:val="0"/>
      <w:divBdr>
        <w:top w:val="none" w:sz="0" w:space="0" w:color="auto"/>
        <w:left w:val="none" w:sz="0" w:space="0" w:color="auto"/>
        <w:bottom w:val="none" w:sz="0" w:space="0" w:color="auto"/>
        <w:right w:val="none" w:sz="0" w:space="0" w:color="auto"/>
      </w:divBdr>
    </w:div>
    <w:div w:id="1544633163">
      <w:marLeft w:val="0"/>
      <w:marRight w:val="0"/>
      <w:marTop w:val="120"/>
      <w:marBottom w:val="0"/>
      <w:divBdr>
        <w:top w:val="none" w:sz="0" w:space="0" w:color="auto"/>
        <w:left w:val="none" w:sz="0" w:space="0" w:color="auto"/>
        <w:bottom w:val="none" w:sz="0" w:space="0" w:color="auto"/>
        <w:right w:val="none" w:sz="0" w:space="0" w:color="auto"/>
      </w:divBdr>
    </w:div>
    <w:div w:id="1545485882">
      <w:marLeft w:val="0"/>
      <w:marRight w:val="0"/>
      <w:marTop w:val="120"/>
      <w:marBottom w:val="0"/>
      <w:divBdr>
        <w:top w:val="none" w:sz="0" w:space="0" w:color="auto"/>
        <w:left w:val="none" w:sz="0" w:space="0" w:color="auto"/>
        <w:bottom w:val="none" w:sz="0" w:space="0" w:color="auto"/>
        <w:right w:val="none" w:sz="0" w:space="0" w:color="auto"/>
      </w:divBdr>
    </w:div>
    <w:div w:id="1546286360">
      <w:marLeft w:val="0"/>
      <w:marRight w:val="0"/>
      <w:marTop w:val="120"/>
      <w:marBottom w:val="0"/>
      <w:divBdr>
        <w:top w:val="none" w:sz="0" w:space="0" w:color="auto"/>
        <w:left w:val="none" w:sz="0" w:space="0" w:color="auto"/>
        <w:bottom w:val="none" w:sz="0" w:space="0" w:color="auto"/>
        <w:right w:val="none" w:sz="0" w:space="0" w:color="auto"/>
      </w:divBdr>
    </w:div>
    <w:div w:id="1548681972">
      <w:marLeft w:val="0"/>
      <w:marRight w:val="0"/>
      <w:marTop w:val="0"/>
      <w:marBottom w:val="0"/>
      <w:divBdr>
        <w:top w:val="none" w:sz="0" w:space="0" w:color="auto"/>
        <w:left w:val="none" w:sz="0" w:space="0" w:color="auto"/>
        <w:bottom w:val="none" w:sz="0" w:space="0" w:color="auto"/>
        <w:right w:val="none" w:sz="0" w:space="0" w:color="auto"/>
      </w:divBdr>
    </w:div>
    <w:div w:id="1549102332">
      <w:marLeft w:val="0"/>
      <w:marRight w:val="0"/>
      <w:marTop w:val="120"/>
      <w:marBottom w:val="0"/>
      <w:divBdr>
        <w:top w:val="none" w:sz="0" w:space="0" w:color="auto"/>
        <w:left w:val="none" w:sz="0" w:space="0" w:color="auto"/>
        <w:bottom w:val="none" w:sz="0" w:space="0" w:color="auto"/>
        <w:right w:val="none" w:sz="0" w:space="0" w:color="auto"/>
      </w:divBdr>
    </w:div>
    <w:div w:id="1551183917">
      <w:marLeft w:val="0"/>
      <w:marRight w:val="0"/>
      <w:marTop w:val="120"/>
      <w:marBottom w:val="0"/>
      <w:divBdr>
        <w:top w:val="none" w:sz="0" w:space="0" w:color="auto"/>
        <w:left w:val="none" w:sz="0" w:space="0" w:color="auto"/>
        <w:bottom w:val="none" w:sz="0" w:space="0" w:color="auto"/>
        <w:right w:val="none" w:sz="0" w:space="0" w:color="auto"/>
      </w:divBdr>
    </w:div>
    <w:div w:id="1553998752">
      <w:marLeft w:val="0"/>
      <w:marRight w:val="0"/>
      <w:marTop w:val="0"/>
      <w:marBottom w:val="120"/>
      <w:divBdr>
        <w:top w:val="none" w:sz="0" w:space="0" w:color="auto"/>
        <w:left w:val="none" w:sz="0" w:space="0" w:color="auto"/>
        <w:bottom w:val="none" w:sz="0" w:space="0" w:color="auto"/>
        <w:right w:val="none" w:sz="0" w:space="0" w:color="auto"/>
      </w:divBdr>
      <w:divsChild>
        <w:div w:id="446579413">
          <w:marLeft w:val="0"/>
          <w:marRight w:val="0"/>
          <w:marTop w:val="0"/>
          <w:marBottom w:val="0"/>
          <w:divBdr>
            <w:top w:val="none" w:sz="0" w:space="0" w:color="auto"/>
            <w:left w:val="none" w:sz="0" w:space="0" w:color="auto"/>
            <w:bottom w:val="none" w:sz="0" w:space="0" w:color="auto"/>
            <w:right w:val="none" w:sz="0" w:space="0" w:color="auto"/>
          </w:divBdr>
        </w:div>
        <w:div w:id="1921478690">
          <w:marLeft w:val="0"/>
          <w:marRight w:val="0"/>
          <w:marTop w:val="0"/>
          <w:marBottom w:val="0"/>
          <w:divBdr>
            <w:top w:val="none" w:sz="0" w:space="0" w:color="auto"/>
            <w:left w:val="none" w:sz="0" w:space="0" w:color="auto"/>
            <w:bottom w:val="none" w:sz="0" w:space="0" w:color="auto"/>
            <w:right w:val="none" w:sz="0" w:space="0" w:color="auto"/>
          </w:divBdr>
        </w:div>
        <w:div w:id="1599366335">
          <w:marLeft w:val="0"/>
          <w:marRight w:val="0"/>
          <w:marTop w:val="0"/>
          <w:marBottom w:val="0"/>
          <w:divBdr>
            <w:top w:val="none" w:sz="0" w:space="0" w:color="auto"/>
            <w:left w:val="none" w:sz="0" w:space="0" w:color="auto"/>
            <w:bottom w:val="none" w:sz="0" w:space="0" w:color="auto"/>
            <w:right w:val="none" w:sz="0" w:space="0" w:color="auto"/>
          </w:divBdr>
        </w:div>
        <w:div w:id="183439742">
          <w:marLeft w:val="0"/>
          <w:marRight w:val="0"/>
          <w:marTop w:val="0"/>
          <w:marBottom w:val="0"/>
          <w:divBdr>
            <w:top w:val="none" w:sz="0" w:space="0" w:color="auto"/>
            <w:left w:val="none" w:sz="0" w:space="0" w:color="auto"/>
            <w:bottom w:val="none" w:sz="0" w:space="0" w:color="auto"/>
            <w:right w:val="none" w:sz="0" w:space="0" w:color="auto"/>
          </w:divBdr>
        </w:div>
        <w:div w:id="729305875">
          <w:marLeft w:val="0"/>
          <w:marRight w:val="0"/>
          <w:marTop w:val="0"/>
          <w:marBottom w:val="0"/>
          <w:divBdr>
            <w:top w:val="none" w:sz="0" w:space="0" w:color="auto"/>
            <w:left w:val="none" w:sz="0" w:space="0" w:color="auto"/>
            <w:bottom w:val="none" w:sz="0" w:space="0" w:color="auto"/>
            <w:right w:val="none" w:sz="0" w:space="0" w:color="auto"/>
          </w:divBdr>
        </w:div>
      </w:divsChild>
    </w:div>
    <w:div w:id="1554004445">
      <w:marLeft w:val="0"/>
      <w:marRight w:val="0"/>
      <w:marTop w:val="200"/>
      <w:marBottom w:val="0"/>
      <w:divBdr>
        <w:top w:val="none" w:sz="0" w:space="0" w:color="auto"/>
        <w:left w:val="none" w:sz="0" w:space="0" w:color="auto"/>
        <w:bottom w:val="none" w:sz="0" w:space="0" w:color="auto"/>
        <w:right w:val="none" w:sz="0" w:space="0" w:color="auto"/>
      </w:divBdr>
    </w:div>
    <w:div w:id="1555774930">
      <w:marLeft w:val="0"/>
      <w:marRight w:val="0"/>
      <w:marTop w:val="120"/>
      <w:marBottom w:val="0"/>
      <w:divBdr>
        <w:top w:val="none" w:sz="0" w:space="0" w:color="auto"/>
        <w:left w:val="none" w:sz="0" w:space="0" w:color="auto"/>
        <w:bottom w:val="none" w:sz="0" w:space="0" w:color="auto"/>
        <w:right w:val="none" w:sz="0" w:space="0" w:color="auto"/>
      </w:divBdr>
    </w:div>
    <w:div w:id="1556619349">
      <w:marLeft w:val="0"/>
      <w:marRight w:val="0"/>
      <w:marTop w:val="120"/>
      <w:marBottom w:val="0"/>
      <w:divBdr>
        <w:top w:val="none" w:sz="0" w:space="0" w:color="auto"/>
        <w:left w:val="none" w:sz="0" w:space="0" w:color="auto"/>
        <w:bottom w:val="none" w:sz="0" w:space="0" w:color="auto"/>
        <w:right w:val="none" w:sz="0" w:space="0" w:color="auto"/>
      </w:divBdr>
    </w:div>
    <w:div w:id="1556818133">
      <w:marLeft w:val="0"/>
      <w:marRight w:val="0"/>
      <w:marTop w:val="120"/>
      <w:marBottom w:val="0"/>
      <w:divBdr>
        <w:top w:val="none" w:sz="0" w:space="0" w:color="auto"/>
        <w:left w:val="none" w:sz="0" w:space="0" w:color="auto"/>
        <w:bottom w:val="none" w:sz="0" w:space="0" w:color="auto"/>
        <w:right w:val="none" w:sz="0" w:space="0" w:color="auto"/>
      </w:divBdr>
    </w:div>
    <w:div w:id="1557861474">
      <w:marLeft w:val="0"/>
      <w:marRight w:val="0"/>
      <w:marTop w:val="0"/>
      <w:marBottom w:val="0"/>
      <w:divBdr>
        <w:top w:val="none" w:sz="0" w:space="0" w:color="auto"/>
        <w:left w:val="none" w:sz="0" w:space="0" w:color="auto"/>
        <w:bottom w:val="none" w:sz="0" w:space="0" w:color="auto"/>
        <w:right w:val="none" w:sz="0" w:space="0" w:color="auto"/>
      </w:divBdr>
    </w:div>
    <w:div w:id="1558281561">
      <w:marLeft w:val="0"/>
      <w:marRight w:val="0"/>
      <w:marTop w:val="120"/>
      <w:marBottom w:val="0"/>
      <w:divBdr>
        <w:top w:val="none" w:sz="0" w:space="0" w:color="auto"/>
        <w:left w:val="none" w:sz="0" w:space="0" w:color="auto"/>
        <w:bottom w:val="none" w:sz="0" w:space="0" w:color="auto"/>
        <w:right w:val="none" w:sz="0" w:space="0" w:color="auto"/>
      </w:divBdr>
    </w:div>
    <w:div w:id="1558781933">
      <w:marLeft w:val="0"/>
      <w:marRight w:val="0"/>
      <w:marTop w:val="120"/>
      <w:marBottom w:val="0"/>
      <w:divBdr>
        <w:top w:val="none" w:sz="0" w:space="0" w:color="auto"/>
        <w:left w:val="none" w:sz="0" w:space="0" w:color="auto"/>
        <w:bottom w:val="none" w:sz="0" w:space="0" w:color="auto"/>
        <w:right w:val="none" w:sz="0" w:space="0" w:color="auto"/>
      </w:divBdr>
    </w:div>
    <w:div w:id="1559049573">
      <w:marLeft w:val="0"/>
      <w:marRight w:val="0"/>
      <w:marTop w:val="0"/>
      <w:marBottom w:val="0"/>
      <w:divBdr>
        <w:top w:val="none" w:sz="0" w:space="0" w:color="auto"/>
        <w:left w:val="none" w:sz="0" w:space="0" w:color="auto"/>
        <w:bottom w:val="none" w:sz="0" w:space="0" w:color="auto"/>
        <w:right w:val="none" w:sz="0" w:space="0" w:color="auto"/>
      </w:divBdr>
    </w:div>
    <w:div w:id="1560245510">
      <w:marLeft w:val="0"/>
      <w:marRight w:val="0"/>
      <w:marTop w:val="120"/>
      <w:marBottom w:val="0"/>
      <w:divBdr>
        <w:top w:val="none" w:sz="0" w:space="0" w:color="auto"/>
        <w:left w:val="none" w:sz="0" w:space="0" w:color="auto"/>
        <w:bottom w:val="none" w:sz="0" w:space="0" w:color="auto"/>
        <w:right w:val="none" w:sz="0" w:space="0" w:color="auto"/>
      </w:divBdr>
    </w:div>
    <w:div w:id="1561016253">
      <w:marLeft w:val="0"/>
      <w:marRight w:val="0"/>
      <w:marTop w:val="120"/>
      <w:marBottom w:val="0"/>
      <w:divBdr>
        <w:top w:val="none" w:sz="0" w:space="0" w:color="auto"/>
        <w:left w:val="none" w:sz="0" w:space="0" w:color="auto"/>
        <w:bottom w:val="none" w:sz="0" w:space="0" w:color="auto"/>
        <w:right w:val="none" w:sz="0" w:space="0" w:color="auto"/>
      </w:divBdr>
    </w:div>
    <w:div w:id="1561867217">
      <w:marLeft w:val="0"/>
      <w:marRight w:val="0"/>
      <w:marTop w:val="120"/>
      <w:marBottom w:val="0"/>
      <w:divBdr>
        <w:top w:val="none" w:sz="0" w:space="0" w:color="auto"/>
        <w:left w:val="none" w:sz="0" w:space="0" w:color="auto"/>
        <w:bottom w:val="none" w:sz="0" w:space="0" w:color="auto"/>
        <w:right w:val="none" w:sz="0" w:space="0" w:color="auto"/>
      </w:divBdr>
    </w:div>
    <w:div w:id="1563441804">
      <w:marLeft w:val="0"/>
      <w:marRight w:val="0"/>
      <w:marTop w:val="120"/>
      <w:marBottom w:val="0"/>
      <w:divBdr>
        <w:top w:val="none" w:sz="0" w:space="0" w:color="auto"/>
        <w:left w:val="none" w:sz="0" w:space="0" w:color="auto"/>
        <w:bottom w:val="none" w:sz="0" w:space="0" w:color="auto"/>
        <w:right w:val="none" w:sz="0" w:space="0" w:color="auto"/>
      </w:divBdr>
    </w:div>
    <w:div w:id="1564632507">
      <w:marLeft w:val="0"/>
      <w:marRight w:val="0"/>
      <w:marTop w:val="120"/>
      <w:marBottom w:val="0"/>
      <w:divBdr>
        <w:top w:val="none" w:sz="0" w:space="0" w:color="auto"/>
        <w:left w:val="none" w:sz="0" w:space="0" w:color="auto"/>
        <w:bottom w:val="none" w:sz="0" w:space="0" w:color="auto"/>
        <w:right w:val="none" w:sz="0" w:space="0" w:color="auto"/>
      </w:divBdr>
    </w:div>
    <w:div w:id="1569418081">
      <w:marLeft w:val="0"/>
      <w:marRight w:val="0"/>
      <w:marTop w:val="0"/>
      <w:marBottom w:val="0"/>
      <w:divBdr>
        <w:top w:val="none" w:sz="0" w:space="0" w:color="auto"/>
        <w:left w:val="none" w:sz="0" w:space="0" w:color="auto"/>
        <w:bottom w:val="none" w:sz="0" w:space="0" w:color="auto"/>
        <w:right w:val="none" w:sz="0" w:space="0" w:color="auto"/>
      </w:divBdr>
      <w:divsChild>
        <w:div w:id="990325729">
          <w:marLeft w:val="0"/>
          <w:marRight w:val="0"/>
          <w:marTop w:val="0"/>
          <w:marBottom w:val="0"/>
          <w:divBdr>
            <w:top w:val="none" w:sz="0" w:space="0" w:color="auto"/>
            <w:left w:val="none" w:sz="0" w:space="0" w:color="auto"/>
            <w:bottom w:val="none" w:sz="0" w:space="0" w:color="auto"/>
            <w:right w:val="none" w:sz="0" w:space="0" w:color="auto"/>
          </w:divBdr>
        </w:div>
      </w:divsChild>
    </w:div>
    <w:div w:id="1570194461">
      <w:marLeft w:val="0"/>
      <w:marRight w:val="0"/>
      <w:marTop w:val="120"/>
      <w:marBottom w:val="0"/>
      <w:divBdr>
        <w:top w:val="none" w:sz="0" w:space="0" w:color="auto"/>
        <w:left w:val="none" w:sz="0" w:space="0" w:color="auto"/>
        <w:bottom w:val="none" w:sz="0" w:space="0" w:color="auto"/>
        <w:right w:val="none" w:sz="0" w:space="0" w:color="auto"/>
      </w:divBdr>
    </w:div>
    <w:div w:id="1572739122">
      <w:marLeft w:val="0"/>
      <w:marRight w:val="0"/>
      <w:marTop w:val="0"/>
      <w:marBottom w:val="0"/>
      <w:divBdr>
        <w:top w:val="none" w:sz="0" w:space="0" w:color="auto"/>
        <w:left w:val="none" w:sz="0" w:space="0" w:color="auto"/>
        <w:bottom w:val="none" w:sz="0" w:space="0" w:color="auto"/>
        <w:right w:val="none" w:sz="0" w:space="0" w:color="auto"/>
      </w:divBdr>
    </w:div>
    <w:div w:id="1574318806">
      <w:marLeft w:val="0"/>
      <w:marRight w:val="0"/>
      <w:marTop w:val="120"/>
      <w:marBottom w:val="0"/>
      <w:divBdr>
        <w:top w:val="none" w:sz="0" w:space="0" w:color="auto"/>
        <w:left w:val="none" w:sz="0" w:space="0" w:color="auto"/>
        <w:bottom w:val="none" w:sz="0" w:space="0" w:color="auto"/>
        <w:right w:val="none" w:sz="0" w:space="0" w:color="auto"/>
      </w:divBdr>
    </w:div>
    <w:div w:id="1574664142">
      <w:marLeft w:val="0"/>
      <w:marRight w:val="0"/>
      <w:marTop w:val="0"/>
      <w:marBottom w:val="0"/>
      <w:divBdr>
        <w:top w:val="none" w:sz="0" w:space="0" w:color="auto"/>
        <w:left w:val="none" w:sz="0" w:space="0" w:color="auto"/>
        <w:bottom w:val="none" w:sz="0" w:space="0" w:color="auto"/>
        <w:right w:val="none" w:sz="0" w:space="0" w:color="auto"/>
      </w:divBdr>
    </w:div>
    <w:div w:id="1575819962">
      <w:marLeft w:val="0"/>
      <w:marRight w:val="0"/>
      <w:marTop w:val="0"/>
      <w:marBottom w:val="0"/>
      <w:divBdr>
        <w:top w:val="none" w:sz="0" w:space="0" w:color="auto"/>
        <w:left w:val="none" w:sz="0" w:space="0" w:color="auto"/>
        <w:bottom w:val="none" w:sz="0" w:space="0" w:color="auto"/>
        <w:right w:val="none" w:sz="0" w:space="0" w:color="auto"/>
      </w:divBdr>
    </w:div>
    <w:div w:id="1577133080">
      <w:marLeft w:val="0"/>
      <w:marRight w:val="0"/>
      <w:marTop w:val="0"/>
      <w:marBottom w:val="0"/>
      <w:divBdr>
        <w:top w:val="none" w:sz="0" w:space="0" w:color="auto"/>
        <w:left w:val="none" w:sz="0" w:space="0" w:color="auto"/>
        <w:bottom w:val="none" w:sz="0" w:space="0" w:color="auto"/>
        <w:right w:val="none" w:sz="0" w:space="0" w:color="auto"/>
      </w:divBdr>
    </w:div>
    <w:div w:id="1578326813">
      <w:marLeft w:val="0"/>
      <w:marRight w:val="0"/>
      <w:marTop w:val="0"/>
      <w:marBottom w:val="0"/>
      <w:divBdr>
        <w:top w:val="none" w:sz="0" w:space="0" w:color="auto"/>
        <w:left w:val="none" w:sz="0" w:space="0" w:color="auto"/>
        <w:bottom w:val="none" w:sz="0" w:space="0" w:color="auto"/>
        <w:right w:val="none" w:sz="0" w:space="0" w:color="auto"/>
      </w:divBdr>
      <w:divsChild>
        <w:div w:id="1535388671">
          <w:marLeft w:val="0"/>
          <w:marRight w:val="0"/>
          <w:marTop w:val="0"/>
          <w:marBottom w:val="0"/>
          <w:divBdr>
            <w:top w:val="none" w:sz="0" w:space="0" w:color="auto"/>
            <w:left w:val="none" w:sz="0" w:space="0" w:color="auto"/>
            <w:bottom w:val="none" w:sz="0" w:space="0" w:color="auto"/>
            <w:right w:val="none" w:sz="0" w:space="0" w:color="auto"/>
          </w:divBdr>
        </w:div>
      </w:divsChild>
    </w:div>
    <w:div w:id="1585603278">
      <w:marLeft w:val="0"/>
      <w:marRight w:val="0"/>
      <w:marTop w:val="120"/>
      <w:marBottom w:val="0"/>
      <w:divBdr>
        <w:top w:val="none" w:sz="0" w:space="0" w:color="auto"/>
        <w:left w:val="none" w:sz="0" w:space="0" w:color="auto"/>
        <w:bottom w:val="none" w:sz="0" w:space="0" w:color="auto"/>
        <w:right w:val="none" w:sz="0" w:space="0" w:color="auto"/>
      </w:divBdr>
    </w:div>
    <w:div w:id="1586911995">
      <w:marLeft w:val="0"/>
      <w:marRight w:val="0"/>
      <w:marTop w:val="0"/>
      <w:marBottom w:val="0"/>
      <w:divBdr>
        <w:top w:val="none" w:sz="0" w:space="0" w:color="auto"/>
        <w:left w:val="none" w:sz="0" w:space="0" w:color="auto"/>
        <w:bottom w:val="none" w:sz="0" w:space="0" w:color="auto"/>
        <w:right w:val="none" w:sz="0" w:space="0" w:color="auto"/>
      </w:divBdr>
    </w:div>
    <w:div w:id="1587885136">
      <w:marLeft w:val="0"/>
      <w:marRight w:val="0"/>
      <w:marTop w:val="0"/>
      <w:marBottom w:val="0"/>
      <w:divBdr>
        <w:top w:val="none" w:sz="0" w:space="0" w:color="auto"/>
        <w:left w:val="none" w:sz="0" w:space="0" w:color="auto"/>
        <w:bottom w:val="none" w:sz="0" w:space="0" w:color="auto"/>
        <w:right w:val="none" w:sz="0" w:space="0" w:color="auto"/>
      </w:divBdr>
    </w:div>
    <w:div w:id="1590429602">
      <w:marLeft w:val="0"/>
      <w:marRight w:val="0"/>
      <w:marTop w:val="120"/>
      <w:marBottom w:val="0"/>
      <w:divBdr>
        <w:top w:val="none" w:sz="0" w:space="0" w:color="auto"/>
        <w:left w:val="none" w:sz="0" w:space="0" w:color="auto"/>
        <w:bottom w:val="none" w:sz="0" w:space="0" w:color="auto"/>
        <w:right w:val="none" w:sz="0" w:space="0" w:color="auto"/>
      </w:divBdr>
    </w:div>
    <w:div w:id="1590459767">
      <w:marLeft w:val="0"/>
      <w:marRight w:val="0"/>
      <w:marTop w:val="0"/>
      <w:marBottom w:val="0"/>
      <w:divBdr>
        <w:top w:val="none" w:sz="0" w:space="0" w:color="auto"/>
        <w:left w:val="none" w:sz="0" w:space="0" w:color="auto"/>
        <w:bottom w:val="none" w:sz="0" w:space="0" w:color="auto"/>
        <w:right w:val="none" w:sz="0" w:space="0" w:color="auto"/>
      </w:divBdr>
      <w:divsChild>
        <w:div w:id="951519545">
          <w:marLeft w:val="0"/>
          <w:marRight w:val="0"/>
          <w:marTop w:val="0"/>
          <w:marBottom w:val="0"/>
          <w:divBdr>
            <w:top w:val="none" w:sz="0" w:space="0" w:color="auto"/>
            <w:left w:val="none" w:sz="0" w:space="0" w:color="auto"/>
            <w:bottom w:val="none" w:sz="0" w:space="0" w:color="auto"/>
            <w:right w:val="none" w:sz="0" w:space="0" w:color="auto"/>
          </w:divBdr>
        </w:div>
      </w:divsChild>
    </w:div>
    <w:div w:id="1592080196">
      <w:marLeft w:val="0"/>
      <w:marRight w:val="0"/>
      <w:marTop w:val="0"/>
      <w:marBottom w:val="0"/>
      <w:divBdr>
        <w:top w:val="none" w:sz="0" w:space="0" w:color="auto"/>
        <w:left w:val="none" w:sz="0" w:space="0" w:color="auto"/>
        <w:bottom w:val="none" w:sz="0" w:space="0" w:color="auto"/>
        <w:right w:val="none" w:sz="0" w:space="0" w:color="auto"/>
      </w:divBdr>
    </w:div>
    <w:div w:id="1593009223">
      <w:marLeft w:val="0"/>
      <w:marRight w:val="0"/>
      <w:marTop w:val="0"/>
      <w:marBottom w:val="0"/>
      <w:divBdr>
        <w:top w:val="none" w:sz="0" w:space="0" w:color="auto"/>
        <w:left w:val="none" w:sz="0" w:space="0" w:color="auto"/>
        <w:bottom w:val="none" w:sz="0" w:space="0" w:color="auto"/>
        <w:right w:val="none" w:sz="0" w:space="0" w:color="auto"/>
      </w:divBdr>
    </w:div>
    <w:div w:id="1595087431">
      <w:marLeft w:val="0"/>
      <w:marRight w:val="0"/>
      <w:marTop w:val="120"/>
      <w:marBottom w:val="0"/>
      <w:divBdr>
        <w:top w:val="none" w:sz="0" w:space="0" w:color="auto"/>
        <w:left w:val="none" w:sz="0" w:space="0" w:color="auto"/>
        <w:bottom w:val="none" w:sz="0" w:space="0" w:color="auto"/>
        <w:right w:val="none" w:sz="0" w:space="0" w:color="auto"/>
      </w:divBdr>
    </w:div>
    <w:div w:id="1596012341">
      <w:marLeft w:val="0"/>
      <w:marRight w:val="0"/>
      <w:marTop w:val="120"/>
      <w:marBottom w:val="0"/>
      <w:divBdr>
        <w:top w:val="none" w:sz="0" w:space="0" w:color="auto"/>
        <w:left w:val="none" w:sz="0" w:space="0" w:color="auto"/>
        <w:bottom w:val="none" w:sz="0" w:space="0" w:color="auto"/>
        <w:right w:val="none" w:sz="0" w:space="0" w:color="auto"/>
      </w:divBdr>
    </w:div>
    <w:div w:id="1596747120">
      <w:marLeft w:val="0"/>
      <w:marRight w:val="0"/>
      <w:marTop w:val="120"/>
      <w:marBottom w:val="0"/>
      <w:divBdr>
        <w:top w:val="none" w:sz="0" w:space="0" w:color="auto"/>
        <w:left w:val="none" w:sz="0" w:space="0" w:color="auto"/>
        <w:bottom w:val="none" w:sz="0" w:space="0" w:color="auto"/>
        <w:right w:val="none" w:sz="0" w:space="0" w:color="auto"/>
      </w:divBdr>
    </w:div>
    <w:div w:id="1598442076">
      <w:marLeft w:val="0"/>
      <w:marRight w:val="0"/>
      <w:marTop w:val="0"/>
      <w:marBottom w:val="120"/>
      <w:divBdr>
        <w:top w:val="none" w:sz="0" w:space="0" w:color="auto"/>
        <w:left w:val="none" w:sz="0" w:space="0" w:color="auto"/>
        <w:bottom w:val="none" w:sz="0" w:space="0" w:color="auto"/>
        <w:right w:val="none" w:sz="0" w:space="0" w:color="auto"/>
      </w:divBdr>
    </w:div>
    <w:div w:id="1598635977">
      <w:marLeft w:val="0"/>
      <w:marRight w:val="0"/>
      <w:marTop w:val="0"/>
      <w:marBottom w:val="120"/>
      <w:divBdr>
        <w:top w:val="none" w:sz="0" w:space="0" w:color="auto"/>
        <w:left w:val="none" w:sz="0" w:space="0" w:color="auto"/>
        <w:bottom w:val="none" w:sz="0" w:space="0" w:color="auto"/>
        <w:right w:val="none" w:sz="0" w:space="0" w:color="auto"/>
      </w:divBdr>
    </w:div>
    <w:div w:id="1603344932">
      <w:marLeft w:val="0"/>
      <w:marRight w:val="0"/>
      <w:marTop w:val="120"/>
      <w:marBottom w:val="0"/>
      <w:divBdr>
        <w:top w:val="none" w:sz="0" w:space="0" w:color="auto"/>
        <w:left w:val="none" w:sz="0" w:space="0" w:color="auto"/>
        <w:bottom w:val="none" w:sz="0" w:space="0" w:color="auto"/>
        <w:right w:val="none" w:sz="0" w:space="0" w:color="auto"/>
      </w:divBdr>
    </w:div>
    <w:div w:id="1603414563">
      <w:marLeft w:val="0"/>
      <w:marRight w:val="0"/>
      <w:marTop w:val="120"/>
      <w:marBottom w:val="0"/>
      <w:divBdr>
        <w:top w:val="none" w:sz="0" w:space="0" w:color="auto"/>
        <w:left w:val="none" w:sz="0" w:space="0" w:color="auto"/>
        <w:bottom w:val="none" w:sz="0" w:space="0" w:color="auto"/>
        <w:right w:val="none" w:sz="0" w:space="0" w:color="auto"/>
      </w:divBdr>
    </w:div>
    <w:div w:id="1605112683">
      <w:marLeft w:val="0"/>
      <w:marRight w:val="0"/>
      <w:marTop w:val="120"/>
      <w:marBottom w:val="0"/>
      <w:divBdr>
        <w:top w:val="none" w:sz="0" w:space="0" w:color="auto"/>
        <w:left w:val="none" w:sz="0" w:space="0" w:color="auto"/>
        <w:bottom w:val="none" w:sz="0" w:space="0" w:color="auto"/>
        <w:right w:val="none" w:sz="0" w:space="0" w:color="auto"/>
      </w:divBdr>
    </w:div>
    <w:div w:id="1607731793">
      <w:marLeft w:val="0"/>
      <w:marRight w:val="0"/>
      <w:marTop w:val="0"/>
      <w:marBottom w:val="0"/>
      <w:divBdr>
        <w:top w:val="none" w:sz="0" w:space="0" w:color="auto"/>
        <w:left w:val="none" w:sz="0" w:space="0" w:color="auto"/>
        <w:bottom w:val="none" w:sz="0" w:space="0" w:color="auto"/>
        <w:right w:val="none" w:sz="0" w:space="0" w:color="auto"/>
      </w:divBdr>
    </w:div>
    <w:div w:id="1608343940">
      <w:marLeft w:val="0"/>
      <w:marRight w:val="0"/>
      <w:marTop w:val="120"/>
      <w:marBottom w:val="0"/>
      <w:divBdr>
        <w:top w:val="none" w:sz="0" w:space="0" w:color="auto"/>
        <w:left w:val="none" w:sz="0" w:space="0" w:color="auto"/>
        <w:bottom w:val="none" w:sz="0" w:space="0" w:color="auto"/>
        <w:right w:val="none" w:sz="0" w:space="0" w:color="auto"/>
      </w:divBdr>
    </w:div>
    <w:div w:id="1610552608">
      <w:marLeft w:val="0"/>
      <w:marRight w:val="0"/>
      <w:marTop w:val="120"/>
      <w:marBottom w:val="0"/>
      <w:divBdr>
        <w:top w:val="none" w:sz="0" w:space="0" w:color="auto"/>
        <w:left w:val="none" w:sz="0" w:space="0" w:color="auto"/>
        <w:bottom w:val="none" w:sz="0" w:space="0" w:color="auto"/>
        <w:right w:val="none" w:sz="0" w:space="0" w:color="auto"/>
      </w:divBdr>
    </w:div>
    <w:div w:id="1611006104">
      <w:marLeft w:val="0"/>
      <w:marRight w:val="0"/>
      <w:marTop w:val="120"/>
      <w:marBottom w:val="0"/>
      <w:divBdr>
        <w:top w:val="none" w:sz="0" w:space="0" w:color="auto"/>
        <w:left w:val="none" w:sz="0" w:space="0" w:color="auto"/>
        <w:bottom w:val="none" w:sz="0" w:space="0" w:color="auto"/>
        <w:right w:val="none" w:sz="0" w:space="0" w:color="auto"/>
      </w:divBdr>
    </w:div>
    <w:div w:id="1612006866">
      <w:marLeft w:val="0"/>
      <w:marRight w:val="0"/>
      <w:marTop w:val="120"/>
      <w:marBottom w:val="0"/>
      <w:divBdr>
        <w:top w:val="none" w:sz="0" w:space="0" w:color="auto"/>
        <w:left w:val="none" w:sz="0" w:space="0" w:color="auto"/>
        <w:bottom w:val="none" w:sz="0" w:space="0" w:color="auto"/>
        <w:right w:val="none" w:sz="0" w:space="0" w:color="auto"/>
      </w:divBdr>
    </w:div>
    <w:div w:id="1612931036">
      <w:marLeft w:val="0"/>
      <w:marRight w:val="0"/>
      <w:marTop w:val="120"/>
      <w:marBottom w:val="120"/>
      <w:divBdr>
        <w:top w:val="none" w:sz="0" w:space="0" w:color="auto"/>
        <w:left w:val="none" w:sz="0" w:space="0" w:color="auto"/>
        <w:bottom w:val="none" w:sz="0" w:space="0" w:color="auto"/>
        <w:right w:val="none" w:sz="0" w:space="0" w:color="auto"/>
      </w:divBdr>
    </w:div>
    <w:div w:id="1615214845">
      <w:marLeft w:val="0"/>
      <w:marRight w:val="0"/>
      <w:marTop w:val="120"/>
      <w:marBottom w:val="0"/>
      <w:divBdr>
        <w:top w:val="none" w:sz="0" w:space="0" w:color="auto"/>
        <w:left w:val="none" w:sz="0" w:space="0" w:color="auto"/>
        <w:bottom w:val="none" w:sz="0" w:space="0" w:color="auto"/>
        <w:right w:val="none" w:sz="0" w:space="0" w:color="auto"/>
      </w:divBdr>
    </w:div>
    <w:div w:id="1616062345">
      <w:marLeft w:val="0"/>
      <w:marRight w:val="0"/>
      <w:marTop w:val="120"/>
      <w:marBottom w:val="0"/>
      <w:divBdr>
        <w:top w:val="none" w:sz="0" w:space="0" w:color="auto"/>
        <w:left w:val="none" w:sz="0" w:space="0" w:color="auto"/>
        <w:bottom w:val="none" w:sz="0" w:space="0" w:color="auto"/>
        <w:right w:val="none" w:sz="0" w:space="0" w:color="auto"/>
      </w:divBdr>
    </w:div>
    <w:div w:id="1616517829">
      <w:marLeft w:val="0"/>
      <w:marRight w:val="0"/>
      <w:marTop w:val="0"/>
      <w:marBottom w:val="120"/>
      <w:divBdr>
        <w:top w:val="none" w:sz="0" w:space="0" w:color="auto"/>
        <w:left w:val="none" w:sz="0" w:space="0" w:color="auto"/>
        <w:bottom w:val="none" w:sz="0" w:space="0" w:color="auto"/>
        <w:right w:val="none" w:sz="0" w:space="0" w:color="auto"/>
      </w:divBdr>
      <w:divsChild>
        <w:div w:id="1889299798">
          <w:marLeft w:val="0"/>
          <w:marRight w:val="0"/>
          <w:marTop w:val="0"/>
          <w:marBottom w:val="0"/>
          <w:divBdr>
            <w:top w:val="none" w:sz="0" w:space="0" w:color="auto"/>
            <w:left w:val="none" w:sz="0" w:space="0" w:color="auto"/>
            <w:bottom w:val="none" w:sz="0" w:space="0" w:color="auto"/>
            <w:right w:val="none" w:sz="0" w:space="0" w:color="auto"/>
          </w:divBdr>
        </w:div>
        <w:div w:id="359626609">
          <w:marLeft w:val="0"/>
          <w:marRight w:val="0"/>
          <w:marTop w:val="0"/>
          <w:marBottom w:val="0"/>
          <w:divBdr>
            <w:top w:val="none" w:sz="0" w:space="0" w:color="auto"/>
            <w:left w:val="none" w:sz="0" w:space="0" w:color="auto"/>
            <w:bottom w:val="none" w:sz="0" w:space="0" w:color="auto"/>
            <w:right w:val="none" w:sz="0" w:space="0" w:color="auto"/>
          </w:divBdr>
        </w:div>
      </w:divsChild>
    </w:div>
    <w:div w:id="1617835271">
      <w:marLeft w:val="0"/>
      <w:marRight w:val="0"/>
      <w:marTop w:val="120"/>
      <w:marBottom w:val="0"/>
      <w:divBdr>
        <w:top w:val="none" w:sz="0" w:space="0" w:color="auto"/>
        <w:left w:val="none" w:sz="0" w:space="0" w:color="auto"/>
        <w:bottom w:val="none" w:sz="0" w:space="0" w:color="auto"/>
        <w:right w:val="none" w:sz="0" w:space="0" w:color="auto"/>
      </w:divBdr>
    </w:div>
    <w:div w:id="1620837586">
      <w:marLeft w:val="0"/>
      <w:marRight w:val="0"/>
      <w:marTop w:val="120"/>
      <w:marBottom w:val="0"/>
      <w:divBdr>
        <w:top w:val="none" w:sz="0" w:space="0" w:color="auto"/>
        <w:left w:val="none" w:sz="0" w:space="0" w:color="auto"/>
        <w:bottom w:val="none" w:sz="0" w:space="0" w:color="auto"/>
        <w:right w:val="none" w:sz="0" w:space="0" w:color="auto"/>
      </w:divBdr>
    </w:div>
    <w:div w:id="1621571538">
      <w:marLeft w:val="0"/>
      <w:marRight w:val="0"/>
      <w:marTop w:val="0"/>
      <w:marBottom w:val="0"/>
      <w:divBdr>
        <w:top w:val="none" w:sz="0" w:space="0" w:color="auto"/>
        <w:left w:val="none" w:sz="0" w:space="0" w:color="auto"/>
        <w:bottom w:val="none" w:sz="0" w:space="0" w:color="auto"/>
        <w:right w:val="none" w:sz="0" w:space="0" w:color="auto"/>
      </w:divBdr>
      <w:divsChild>
        <w:div w:id="1876234577">
          <w:marLeft w:val="0"/>
          <w:marRight w:val="0"/>
          <w:marTop w:val="0"/>
          <w:marBottom w:val="0"/>
          <w:divBdr>
            <w:top w:val="none" w:sz="0" w:space="0" w:color="auto"/>
            <w:left w:val="none" w:sz="0" w:space="0" w:color="auto"/>
            <w:bottom w:val="none" w:sz="0" w:space="0" w:color="auto"/>
            <w:right w:val="none" w:sz="0" w:space="0" w:color="auto"/>
          </w:divBdr>
        </w:div>
      </w:divsChild>
    </w:div>
    <w:div w:id="1622153320">
      <w:marLeft w:val="0"/>
      <w:marRight w:val="0"/>
      <w:marTop w:val="0"/>
      <w:marBottom w:val="60"/>
      <w:divBdr>
        <w:top w:val="none" w:sz="0" w:space="0" w:color="auto"/>
        <w:left w:val="none" w:sz="0" w:space="0" w:color="auto"/>
        <w:bottom w:val="none" w:sz="0" w:space="0" w:color="auto"/>
        <w:right w:val="none" w:sz="0" w:space="0" w:color="auto"/>
      </w:divBdr>
    </w:div>
    <w:div w:id="1622684563">
      <w:marLeft w:val="0"/>
      <w:marRight w:val="0"/>
      <w:marTop w:val="0"/>
      <w:marBottom w:val="0"/>
      <w:divBdr>
        <w:top w:val="none" w:sz="0" w:space="0" w:color="auto"/>
        <w:left w:val="none" w:sz="0" w:space="0" w:color="auto"/>
        <w:bottom w:val="none" w:sz="0" w:space="0" w:color="auto"/>
        <w:right w:val="none" w:sz="0" w:space="0" w:color="auto"/>
      </w:divBdr>
    </w:div>
    <w:div w:id="1623415825">
      <w:marLeft w:val="0"/>
      <w:marRight w:val="0"/>
      <w:marTop w:val="120"/>
      <w:marBottom w:val="0"/>
      <w:divBdr>
        <w:top w:val="none" w:sz="0" w:space="0" w:color="auto"/>
        <w:left w:val="none" w:sz="0" w:space="0" w:color="auto"/>
        <w:bottom w:val="none" w:sz="0" w:space="0" w:color="auto"/>
        <w:right w:val="none" w:sz="0" w:space="0" w:color="auto"/>
      </w:divBdr>
    </w:div>
    <w:div w:id="1624113649">
      <w:marLeft w:val="0"/>
      <w:marRight w:val="0"/>
      <w:marTop w:val="120"/>
      <w:marBottom w:val="0"/>
      <w:divBdr>
        <w:top w:val="none" w:sz="0" w:space="0" w:color="auto"/>
        <w:left w:val="none" w:sz="0" w:space="0" w:color="auto"/>
        <w:bottom w:val="none" w:sz="0" w:space="0" w:color="auto"/>
        <w:right w:val="none" w:sz="0" w:space="0" w:color="auto"/>
      </w:divBdr>
    </w:div>
    <w:div w:id="1626690743">
      <w:marLeft w:val="0"/>
      <w:marRight w:val="0"/>
      <w:marTop w:val="120"/>
      <w:marBottom w:val="0"/>
      <w:divBdr>
        <w:top w:val="none" w:sz="0" w:space="0" w:color="auto"/>
        <w:left w:val="none" w:sz="0" w:space="0" w:color="auto"/>
        <w:bottom w:val="none" w:sz="0" w:space="0" w:color="auto"/>
        <w:right w:val="none" w:sz="0" w:space="0" w:color="auto"/>
      </w:divBdr>
    </w:div>
    <w:div w:id="1626740225">
      <w:marLeft w:val="0"/>
      <w:marRight w:val="0"/>
      <w:marTop w:val="0"/>
      <w:marBottom w:val="0"/>
      <w:divBdr>
        <w:top w:val="none" w:sz="0" w:space="0" w:color="auto"/>
        <w:left w:val="none" w:sz="0" w:space="0" w:color="auto"/>
        <w:bottom w:val="none" w:sz="0" w:space="0" w:color="auto"/>
        <w:right w:val="none" w:sz="0" w:space="0" w:color="auto"/>
      </w:divBdr>
      <w:divsChild>
        <w:div w:id="362873128">
          <w:marLeft w:val="0"/>
          <w:marRight w:val="0"/>
          <w:marTop w:val="0"/>
          <w:marBottom w:val="0"/>
          <w:divBdr>
            <w:top w:val="none" w:sz="0" w:space="0" w:color="auto"/>
            <w:left w:val="none" w:sz="0" w:space="0" w:color="auto"/>
            <w:bottom w:val="none" w:sz="0" w:space="0" w:color="auto"/>
            <w:right w:val="none" w:sz="0" w:space="0" w:color="auto"/>
          </w:divBdr>
        </w:div>
      </w:divsChild>
    </w:div>
    <w:div w:id="1627201934">
      <w:marLeft w:val="0"/>
      <w:marRight w:val="0"/>
      <w:marTop w:val="120"/>
      <w:marBottom w:val="0"/>
      <w:divBdr>
        <w:top w:val="none" w:sz="0" w:space="0" w:color="auto"/>
        <w:left w:val="none" w:sz="0" w:space="0" w:color="auto"/>
        <w:bottom w:val="none" w:sz="0" w:space="0" w:color="auto"/>
        <w:right w:val="none" w:sz="0" w:space="0" w:color="auto"/>
      </w:divBdr>
    </w:div>
    <w:div w:id="1628006095">
      <w:marLeft w:val="0"/>
      <w:marRight w:val="0"/>
      <w:marTop w:val="0"/>
      <w:marBottom w:val="0"/>
      <w:divBdr>
        <w:top w:val="none" w:sz="0" w:space="0" w:color="auto"/>
        <w:left w:val="none" w:sz="0" w:space="0" w:color="auto"/>
        <w:bottom w:val="none" w:sz="0" w:space="0" w:color="auto"/>
        <w:right w:val="none" w:sz="0" w:space="0" w:color="auto"/>
      </w:divBdr>
      <w:divsChild>
        <w:div w:id="482357971">
          <w:marLeft w:val="0"/>
          <w:marRight w:val="0"/>
          <w:marTop w:val="0"/>
          <w:marBottom w:val="0"/>
          <w:divBdr>
            <w:top w:val="none" w:sz="0" w:space="0" w:color="auto"/>
            <w:left w:val="none" w:sz="0" w:space="0" w:color="auto"/>
            <w:bottom w:val="none" w:sz="0" w:space="0" w:color="auto"/>
            <w:right w:val="none" w:sz="0" w:space="0" w:color="auto"/>
          </w:divBdr>
        </w:div>
      </w:divsChild>
    </w:div>
    <w:div w:id="1628050427">
      <w:marLeft w:val="0"/>
      <w:marRight w:val="0"/>
      <w:marTop w:val="0"/>
      <w:marBottom w:val="0"/>
      <w:divBdr>
        <w:top w:val="none" w:sz="0" w:space="0" w:color="auto"/>
        <w:left w:val="none" w:sz="0" w:space="0" w:color="auto"/>
        <w:bottom w:val="none" w:sz="0" w:space="0" w:color="auto"/>
        <w:right w:val="none" w:sz="0" w:space="0" w:color="auto"/>
      </w:divBdr>
    </w:div>
    <w:div w:id="1628656577">
      <w:marLeft w:val="0"/>
      <w:marRight w:val="0"/>
      <w:marTop w:val="120"/>
      <w:marBottom w:val="0"/>
      <w:divBdr>
        <w:top w:val="none" w:sz="0" w:space="0" w:color="auto"/>
        <w:left w:val="none" w:sz="0" w:space="0" w:color="auto"/>
        <w:bottom w:val="none" w:sz="0" w:space="0" w:color="auto"/>
        <w:right w:val="none" w:sz="0" w:space="0" w:color="auto"/>
      </w:divBdr>
    </w:div>
    <w:div w:id="1628971918">
      <w:marLeft w:val="0"/>
      <w:marRight w:val="0"/>
      <w:marTop w:val="0"/>
      <w:marBottom w:val="0"/>
      <w:divBdr>
        <w:top w:val="none" w:sz="0" w:space="0" w:color="auto"/>
        <w:left w:val="none" w:sz="0" w:space="0" w:color="auto"/>
        <w:bottom w:val="none" w:sz="0" w:space="0" w:color="auto"/>
        <w:right w:val="none" w:sz="0" w:space="0" w:color="auto"/>
      </w:divBdr>
    </w:div>
    <w:div w:id="1630354792">
      <w:marLeft w:val="0"/>
      <w:marRight w:val="0"/>
      <w:marTop w:val="120"/>
      <w:marBottom w:val="0"/>
      <w:divBdr>
        <w:top w:val="none" w:sz="0" w:space="0" w:color="auto"/>
        <w:left w:val="none" w:sz="0" w:space="0" w:color="auto"/>
        <w:bottom w:val="none" w:sz="0" w:space="0" w:color="auto"/>
        <w:right w:val="none" w:sz="0" w:space="0" w:color="auto"/>
      </w:divBdr>
    </w:div>
    <w:div w:id="1630748329">
      <w:marLeft w:val="0"/>
      <w:marRight w:val="0"/>
      <w:marTop w:val="0"/>
      <w:marBottom w:val="60"/>
      <w:divBdr>
        <w:top w:val="none" w:sz="0" w:space="0" w:color="auto"/>
        <w:left w:val="none" w:sz="0" w:space="0" w:color="auto"/>
        <w:bottom w:val="none" w:sz="0" w:space="0" w:color="auto"/>
        <w:right w:val="none" w:sz="0" w:space="0" w:color="auto"/>
      </w:divBdr>
    </w:div>
    <w:div w:id="1631324259">
      <w:marLeft w:val="0"/>
      <w:marRight w:val="0"/>
      <w:marTop w:val="0"/>
      <w:marBottom w:val="0"/>
      <w:divBdr>
        <w:top w:val="none" w:sz="0" w:space="0" w:color="auto"/>
        <w:left w:val="none" w:sz="0" w:space="0" w:color="auto"/>
        <w:bottom w:val="none" w:sz="0" w:space="0" w:color="auto"/>
        <w:right w:val="none" w:sz="0" w:space="0" w:color="auto"/>
      </w:divBdr>
    </w:div>
    <w:div w:id="1632053429">
      <w:marLeft w:val="0"/>
      <w:marRight w:val="0"/>
      <w:marTop w:val="120"/>
      <w:marBottom w:val="0"/>
      <w:divBdr>
        <w:top w:val="none" w:sz="0" w:space="0" w:color="auto"/>
        <w:left w:val="none" w:sz="0" w:space="0" w:color="auto"/>
        <w:bottom w:val="none" w:sz="0" w:space="0" w:color="auto"/>
        <w:right w:val="none" w:sz="0" w:space="0" w:color="auto"/>
      </w:divBdr>
    </w:div>
    <w:div w:id="1632130490">
      <w:marLeft w:val="0"/>
      <w:marRight w:val="0"/>
      <w:marTop w:val="0"/>
      <w:marBottom w:val="0"/>
      <w:divBdr>
        <w:top w:val="none" w:sz="0" w:space="0" w:color="auto"/>
        <w:left w:val="none" w:sz="0" w:space="0" w:color="auto"/>
        <w:bottom w:val="none" w:sz="0" w:space="0" w:color="auto"/>
        <w:right w:val="none" w:sz="0" w:space="0" w:color="auto"/>
      </w:divBdr>
    </w:div>
    <w:div w:id="1632512886">
      <w:marLeft w:val="0"/>
      <w:marRight w:val="0"/>
      <w:marTop w:val="120"/>
      <w:marBottom w:val="0"/>
      <w:divBdr>
        <w:top w:val="none" w:sz="0" w:space="0" w:color="auto"/>
        <w:left w:val="none" w:sz="0" w:space="0" w:color="auto"/>
        <w:bottom w:val="none" w:sz="0" w:space="0" w:color="auto"/>
        <w:right w:val="none" w:sz="0" w:space="0" w:color="auto"/>
      </w:divBdr>
    </w:div>
    <w:div w:id="1633167912">
      <w:marLeft w:val="0"/>
      <w:marRight w:val="0"/>
      <w:marTop w:val="120"/>
      <w:marBottom w:val="0"/>
      <w:divBdr>
        <w:top w:val="none" w:sz="0" w:space="0" w:color="auto"/>
        <w:left w:val="none" w:sz="0" w:space="0" w:color="auto"/>
        <w:bottom w:val="none" w:sz="0" w:space="0" w:color="auto"/>
        <w:right w:val="none" w:sz="0" w:space="0" w:color="auto"/>
      </w:divBdr>
    </w:div>
    <w:div w:id="1633363313">
      <w:marLeft w:val="0"/>
      <w:marRight w:val="0"/>
      <w:marTop w:val="0"/>
      <w:marBottom w:val="0"/>
      <w:divBdr>
        <w:top w:val="none" w:sz="0" w:space="0" w:color="auto"/>
        <w:left w:val="none" w:sz="0" w:space="0" w:color="auto"/>
        <w:bottom w:val="none" w:sz="0" w:space="0" w:color="auto"/>
        <w:right w:val="none" w:sz="0" w:space="0" w:color="auto"/>
      </w:divBdr>
    </w:div>
    <w:div w:id="1634286428">
      <w:marLeft w:val="0"/>
      <w:marRight w:val="0"/>
      <w:marTop w:val="120"/>
      <w:marBottom w:val="0"/>
      <w:divBdr>
        <w:top w:val="none" w:sz="0" w:space="0" w:color="auto"/>
        <w:left w:val="none" w:sz="0" w:space="0" w:color="auto"/>
        <w:bottom w:val="none" w:sz="0" w:space="0" w:color="auto"/>
        <w:right w:val="none" w:sz="0" w:space="0" w:color="auto"/>
      </w:divBdr>
    </w:div>
    <w:div w:id="1634602609">
      <w:marLeft w:val="0"/>
      <w:marRight w:val="0"/>
      <w:marTop w:val="120"/>
      <w:marBottom w:val="0"/>
      <w:divBdr>
        <w:top w:val="none" w:sz="0" w:space="0" w:color="auto"/>
        <w:left w:val="none" w:sz="0" w:space="0" w:color="auto"/>
        <w:bottom w:val="none" w:sz="0" w:space="0" w:color="auto"/>
        <w:right w:val="none" w:sz="0" w:space="0" w:color="auto"/>
      </w:divBdr>
    </w:div>
    <w:div w:id="1635327665">
      <w:marLeft w:val="0"/>
      <w:marRight w:val="0"/>
      <w:marTop w:val="120"/>
      <w:marBottom w:val="0"/>
      <w:divBdr>
        <w:top w:val="none" w:sz="0" w:space="0" w:color="auto"/>
        <w:left w:val="none" w:sz="0" w:space="0" w:color="auto"/>
        <w:bottom w:val="none" w:sz="0" w:space="0" w:color="auto"/>
        <w:right w:val="none" w:sz="0" w:space="0" w:color="auto"/>
      </w:divBdr>
    </w:div>
    <w:div w:id="1636566343">
      <w:marLeft w:val="0"/>
      <w:marRight w:val="0"/>
      <w:marTop w:val="120"/>
      <w:marBottom w:val="0"/>
      <w:divBdr>
        <w:top w:val="none" w:sz="0" w:space="0" w:color="auto"/>
        <w:left w:val="none" w:sz="0" w:space="0" w:color="auto"/>
        <w:bottom w:val="none" w:sz="0" w:space="0" w:color="auto"/>
        <w:right w:val="none" w:sz="0" w:space="0" w:color="auto"/>
      </w:divBdr>
    </w:div>
    <w:div w:id="1637876064">
      <w:marLeft w:val="0"/>
      <w:marRight w:val="0"/>
      <w:marTop w:val="0"/>
      <w:marBottom w:val="0"/>
      <w:divBdr>
        <w:top w:val="none" w:sz="0" w:space="0" w:color="auto"/>
        <w:left w:val="none" w:sz="0" w:space="0" w:color="auto"/>
        <w:bottom w:val="none" w:sz="0" w:space="0" w:color="auto"/>
        <w:right w:val="none" w:sz="0" w:space="0" w:color="auto"/>
      </w:divBdr>
    </w:div>
    <w:div w:id="1638485332">
      <w:marLeft w:val="0"/>
      <w:marRight w:val="0"/>
      <w:marTop w:val="120"/>
      <w:marBottom w:val="0"/>
      <w:divBdr>
        <w:top w:val="none" w:sz="0" w:space="0" w:color="auto"/>
        <w:left w:val="none" w:sz="0" w:space="0" w:color="auto"/>
        <w:bottom w:val="none" w:sz="0" w:space="0" w:color="auto"/>
        <w:right w:val="none" w:sz="0" w:space="0" w:color="auto"/>
      </w:divBdr>
    </w:div>
    <w:div w:id="1640840636">
      <w:marLeft w:val="0"/>
      <w:marRight w:val="0"/>
      <w:marTop w:val="0"/>
      <w:marBottom w:val="0"/>
      <w:divBdr>
        <w:top w:val="none" w:sz="0" w:space="0" w:color="auto"/>
        <w:left w:val="none" w:sz="0" w:space="0" w:color="auto"/>
        <w:bottom w:val="none" w:sz="0" w:space="0" w:color="auto"/>
        <w:right w:val="none" w:sz="0" w:space="0" w:color="auto"/>
      </w:divBdr>
      <w:divsChild>
        <w:div w:id="1889686289">
          <w:marLeft w:val="0"/>
          <w:marRight w:val="0"/>
          <w:marTop w:val="0"/>
          <w:marBottom w:val="0"/>
          <w:divBdr>
            <w:top w:val="none" w:sz="0" w:space="0" w:color="auto"/>
            <w:left w:val="none" w:sz="0" w:space="0" w:color="auto"/>
            <w:bottom w:val="none" w:sz="0" w:space="0" w:color="auto"/>
            <w:right w:val="none" w:sz="0" w:space="0" w:color="auto"/>
          </w:divBdr>
        </w:div>
      </w:divsChild>
    </w:div>
    <w:div w:id="1642540969">
      <w:marLeft w:val="0"/>
      <w:marRight w:val="0"/>
      <w:marTop w:val="120"/>
      <w:marBottom w:val="0"/>
      <w:divBdr>
        <w:top w:val="none" w:sz="0" w:space="0" w:color="auto"/>
        <w:left w:val="none" w:sz="0" w:space="0" w:color="auto"/>
        <w:bottom w:val="none" w:sz="0" w:space="0" w:color="auto"/>
        <w:right w:val="none" w:sz="0" w:space="0" w:color="auto"/>
      </w:divBdr>
    </w:div>
    <w:div w:id="1643774635">
      <w:marLeft w:val="0"/>
      <w:marRight w:val="0"/>
      <w:marTop w:val="120"/>
      <w:marBottom w:val="0"/>
      <w:divBdr>
        <w:top w:val="none" w:sz="0" w:space="0" w:color="auto"/>
        <w:left w:val="none" w:sz="0" w:space="0" w:color="auto"/>
        <w:bottom w:val="none" w:sz="0" w:space="0" w:color="auto"/>
        <w:right w:val="none" w:sz="0" w:space="0" w:color="auto"/>
      </w:divBdr>
    </w:div>
    <w:div w:id="1643929338">
      <w:marLeft w:val="0"/>
      <w:marRight w:val="0"/>
      <w:marTop w:val="120"/>
      <w:marBottom w:val="0"/>
      <w:divBdr>
        <w:top w:val="none" w:sz="0" w:space="0" w:color="auto"/>
        <w:left w:val="none" w:sz="0" w:space="0" w:color="auto"/>
        <w:bottom w:val="none" w:sz="0" w:space="0" w:color="auto"/>
        <w:right w:val="none" w:sz="0" w:space="0" w:color="auto"/>
      </w:divBdr>
    </w:div>
    <w:div w:id="1644849412">
      <w:marLeft w:val="0"/>
      <w:marRight w:val="0"/>
      <w:marTop w:val="0"/>
      <w:marBottom w:val="0"/>
      <w:divBdr>
        <w:top w:val="none" w:sz="0" w:space="0" w:color="auto"/>
        <w:left w:val="none" w:sz="0" w:space="0" w:color="auto"/>
        <w:bottom w:val="none" w:sz="0" w:space="0" w:color="auto"/>
        <w:right w:val="none" w:sz="0" w:space="0" w:color="auto"/>
      </w:divBdr>
    </w:div>
    <w:div w:id="1645037048">
      <w:marLeft w:val="0"/>
      <w:marRight w:val="0"/>
      <w:marTop w:val="120"/>
      <w:marBottom w:val="0"/>
      <w:divBdr>
        <w:top w:val="none" w:sz="0" w:space="0" w:color="auto"/>
        <w:left w:val="none" w:sz="0" w:space="0" w:color="auto"/>
        <w:bottom w:val="none" w:sz="0" w:space="0" w:color="auto"/>
        <w:right w:val="none" w:sz="0" w:space="0" w:color="auto"/>
      </w:divBdr>
    </w:div>
    <w:div w:id="1645231696">
      <w:marLeft w:val="0"/>
      <w:marRight w:val="0"/>
      <w:marTop w:val="120"/>
      <w:marBottom w:val="0"/>
      <w:divBdr>
        <w:top w:val="none" w:sz="0" w:space="0" w:color="auto"/>
        <w:left w:val="none" w:sz="0" w:space="0" w:color="auto"/>
        <w:bottom w:val="none" w:sz="0" w:space="0" w:color="auto"/>
        <w:right w:val="none" w:sz="0" w:space="0" w:color="auto"/>
      </w:divBdr>
    </w:div>
    <w:div w:id="1646205293">
      <w:marLeft w:val="0"/>
      <w:marRight w:val="0"/>
      <w:marTop w:val="120"/>
      <w:marBottom w:val="0"/>
      <w:divBdr>
        <w:top w:val="none" w:sz="0" w:space="0" w:color="auto"/>
        <w:left w:val="none" w:sz="0" w:space="0" w:color="auto"/>
        <w:bottom w:val="none" w:sz="0" w:space="0" w:color="auto"/>
        <w:right w:val="none" w:sz="0" w:space="0" w:color="auto"/>
      </w:divBdr>
    </w:div>
    <w:div w:id="1647397427">
      <w:marLeft w:val="0"/>
      <w:marRight w:val="0"/>
      <w:marTop w:val="0"/>
      <w:marBottom w:val="120"/>
      <w:divBdr>
        <w:top w:val="none" w:sz="0" w:space="0" w:color="auto"/>
        <w:left w:val="none" w:sz="0" w:space="0" w:color="auto"/>
        <w:bottom w:val="none" w:sz="0" w:space="0" w:color="auto"/>
        <w:right w:val="none" w:sz="0" w:space="0" w:color="auto"/>
      </w:divBdr>
    </w:div>
    <w:div w:id="1650792341">
      <w:marLeft w:val="0"/>
      <w:marRight w:val="0"/>
      <w:marTop w:val="0"/>
      <w:marBottom w:val="0"/>
      <w:divBdr>
        <w:top w:val="none" w:sz="0" w:space="0" w:color="auto"/>
        <w:left w:val="none" w:sz="0" w:space="0" w:color="auto"/>
        <w:bottom w:val="none" w:sz="0" w:space="0" w:color="auto"/>
        <w:right w:val="none" w:sz="0" w:space="0" w:color="auto"/>
      </w:divBdr>
      <w:divsChild>
        <w:div w:id="1563172512">
          <w:marLeft w:val="0"/>
          <w:marRight w:val="0"/>
          <w:marTop w:val="0"/>
          <w:marBottom w:val="0"/>
          <w:divBdr>
            <w:top w:val="none" w:sz="0" w:space="0" w:color="auto"/>
            <w:left w:val="none" w:sz="0" w:space="0" w:color="auto"/>
            <w:bottom w:val="none" w:sz="0" w:space="0" w:color="auto"/>
            <w:right w:val="none" w:sz="0" w:space="0" w:color="auto"/>
          </w:divBdr>
        </w:div>
      </w:divsChild>
    </w:div>
    <w:div w:id="1650866044">
      <w:marLeft w:val="0"/>
      <w:marRight w:val="0"/>
      <w:marTop w:val="120"/>
      <w:marBottom w:val="0"/>
      <w:divBdr>
        <w:top w:val="none" w:sz="0" w:space="0" w:color="auto"/>
        <w:left w:val="none" w:sz="0" w:space="0" w:color="auto"/>
        <w:bottom w:val="none" w:sz="0" w:space="0" w:color="auto"/>
        <w:right w:val="none" w:sz="0" w:space="0" w:color="auto"/>
      </w:divBdr>
    </w:div>
    <w:div w:id="1651866238">
      <w:marLeft w:val="0"/>
      <w:marRight w:val="0"/>
      <w:marTop w:val="120"/>
      <w:marBottom w:val="0"/>
      <w:divBdr>
        <w:top w:val="none" w:sz="0" w:space="0" w:color="auto"/>
        <w:left w:val="none" w:sz="0" w:space="0" w:color="auto"/>
        <w:bottom w:val="none" w:sz="0" w:space="0" w:color="auto"/>
        <w:right w:val="none" w:sz="0" w:space="0" w:color="auto"/>
      </w:divBdr>
    </w:div>
    <w:div w:id="1652060098">
      <w:marLeft w:val="0"/>
      <w:marRight w:val="0"/>
      <w:marTop w:val="120"/>
      <w:marBottom w:val="0"/>
      <w:divBdr>
        <w:top w:val="none" w:sz="0" w:space="0" w:color="auto"/>
        <w:left w:val="none" w:sz="0" w:space="0" w:color="auto"/>
        <w:bottom w:val="none" w:sz="0" w:space="0" w:color="auto"/>
        <w:right w:val="none" w:sz="0" w:space="0" w:color="auto"/>
      </w:divBdr>
    </w:div>
    <w:div w:id="1654143460">
      <w:marLeft w:val="0"/>
      <w:marRight w:val="0"/>
      <w:marTop w:val="120"/>
      <w:marBottom w:val="0"/>
      <w:divBdr>
        <w:top w:val="none" w:sz="0" w:space="0" w:color="auto"/>
        <w:left w:val="none" w:sz="0" w:space="0" w:color="auto"/>
        <w:bottom w:val="none" w:sz="0" w:space="0" w:color="auto"/>
        <w:right w:val="none" w:sz="0" w:space="0" w:color="auto"/>
      </w:divBdr>
    </w:div>
    <w:div w:id="1656030404">
      <w:marLeft w:val="0"/>
      <w:marRight w:val="0"/>
      <w:marTop w:val="120"/>
      <w:marBottom w:val="0"/>
      <w:divBdr>
        <w:top w:val="none" w:sz="0" w:space="0" w:color="auto"/>
        <w:left w:val="none" w:sz="0" w:space="0" w:color="auto"/>
        <w:bottom w:val="none" w:sz="0" w:space="0" w:color="auto"/>
        <w:right w:val="none" w:sz="0" w:space="0" w:color="auto"/>
      </w:divBdr>
    </w:div>
    <w:div w:id="1657103550">
      <w:marLeft w:val="0"/>
      <w:marRight w:val="0"/>
      <w:marTop w:val="0"/>
      <w:marBottom w:val="0"/>
      <w:divBdr>
        <w:top w:val="none" w:sz="0" w:space="0" w:color="auto"/>
        <w:left w:val="none" w:sz="0" w:space="0" w:color="auto"/>
        <w:bottom w:val="none" w:sz="0" w:space="0" w:color="auto"/>
        <w:right w:val="none" w:sz="0" w:space="0" w:color="auto"/>
      </w:divBdr>
      <w:divsChild>
        <w:div w:id="1285770218">
          <w:marLeft w:val="0"/>
          <w:marRight w:val="0"/>
          <w:marTop w:val="0"/>
          <w:marBottom w:val="0"/>
          <w:divBdr>
            <w:top w:val="none" w:sz="0" w:space="0" w:color="auto"/>
            <w:left w:val="none" w:sz="0" w:space="0" w:color="auto"/>
            <w:bottom w:val="none" w:sz="0" w:space="0" w:color="auto"/>
            <w:right w:val="none" w:sz="0" w:space="0" w:color="auto"/>
          </w:divBdr>
        </w:div>
      </w:divsChild>
    </w:div>
    <w:div w:id="1657295885">
      <w:marLeft w:val="0"/>
      <w:marRight w:val="0"/>
      <w:marTop w:val="0"/>
      <w:marBottom w:val="0"/>
      <w:divBdr>
        <w:top w:val="none" w:sz="0" w:space="0" w:color="auto"/>
        <w:left w:val="none" w:sz="0" w:space="0" w:color="auto"/>
        <w:bottom w:val="none" w:sz="0" w:space="0" w:color="auto"/>
        <w:right w:val="none" w:sz="0" w:space="0" w:color="auto"/>
      </w:divBdr>
    </w:div>
    <w:div w:id="1659917381">
      <w:marLeft w:val="0"/>
      <w:marRight w:val="0"/>
      <w:marTop w:val="120"/>
      <w:marBottom w:val="0"/>
      <w:divBdr>
        <w:top w:val="none" w:sz="0" w:space="0" w:color="auto"/>
        <w:left w:val="none" w:sz="0" w:space="0" w:color="auto"/>
        <w:bottom w:val="none" w:sz="0" w:space="0" w:color="auto"/>
        <w:right w:val="none" w:sz="0" w:space="0" w:color="auto"/>
      </w:divBdr>
    </w:div>
    <w:div w:id="1660502939">
      <w:marLeft w:val="0"/>
      <w:marRight w:val="0"/>
      <w:marTop w:val="0"/>
      <w:marBottom w:val="0"/>
      <w:divBdr>
        <w:top w:val="none" w:sz="0" w:space="0" w:color="auto"/>
        <w:left w:val="none" w:sz="0" w:space="0" w:color="auto"/>
        <w:bottom w:val="none" w:sz="0" w:space="0" w:color="auto"/>
        <w:right w:val="none" w:sz="0" w:space="0" w:color="auto"/>
      </w:divBdr>
    </w:div>
    <w:div w:id="1660766628">
      <w:marLeft w:val="0"/>
      <w:marRight w:val="0"/>
      <w:marTop w:val="0"/>
      <w:marBottom w:val="0"/>
      <w:divBdr>
        <w:top w:val="none" w:sz="0" w:space="0" w:color="auto"/>
        <w:left w:val="none" w:sz="0" w:space="0" w:color="auto"/>
        <w:bottom w:val="none" w:sz="0" w:space="0" w:color="auto"/>
        <w:right w:val="none" w:sz="0" w:space="0" w:color="auto"/>
      </w:divBdr>
      <w:divsChild>
        <w:div w:id="965353950">
          <w:marLeft w:val="0"/>
          <w:marRight w:val="0"/>
          <w:marTop w:val="0"/>
          <w:marBottom w:val="0"/>
          <w:divBdr>
            <w:top w:val="none" w:sz="0" w:space="0" w:color="auto"/>
            <w:left w:val="none" w:sz="0" w:space="0" w:color="auto"/>
            <w:bottom w:val="none" w:sz="0" w:space="0" w:color="auto"/>
            <w:right w:val="none" w:sz="0" w:space="0" w:color="auto"/>
          </w:divBdr>
        </w:div>
      </w:divsChild>
    </w:div>
    <w:div w:id="1661545010">
      <w:marLeft w:val="0"/>
      <w:marRight w:val="0"/>
      <w:marTop w:val="120"/>
      <w:marBottom w:val="0"/>
      <w:divBdr>
        <w:top w:val="none" w:sz="0" w:space="0" w:color="auto"/>
        <w:left w:val="none" w:sz="0" w:space="0" w:color="auto"/>
        <w:bottom w:val="none" w:sz="0" w:space="0" w:color="auto"/>
        <w:right w:val="none" w:sz="0" w:space="0" w:color="auto"/>
      </w:divBdr>
    </w:div>
    <w:div w:id="1663970373">
      <w:marLeft w:val="0"/>
      <w:marRight w:val="0"/>
      <w:marTop w:val="120"/>
      <w:marBottom w:val="0"/>
      <w:divBdr>
        <w:top w:val="none" w:sz="0" w:space="0" w:color="auto"/>
        <w:left w:val="none" w:sz="0" w:space="0" w:color="auto"/>
        <w:bottom w:val="none" w:sz="0" w:space="0" w:color="auto"/>
        <w:right w:val="none" w:sz="0" w:space="0" w:color="auto"/>
      </w:divBdr>
    </w:div>
    <w:div w:id="1665039282">
      <w:marLeft w:val="0"/>
      <w:marRight w:val="0"/>
      <w:marTop w:val="120"/>
      <w:marBottom w:val="0"/>
      <w:divBdr>
        <w:top w:val="none" w:sz="0" w:space="0" w:color="auto"/>
        <w:left w:val="none" w:sz="0" w:space="0" w:color="auto"/>
        <w:bottom w:val="none" w:sz="0" w:space="0" w:color="auto"/>
        <w:right w:val="none" w:sz="0" w:space="0" w:color="auto"/>
      </w:divBdr>
    </w:div>
    <w:div w:id="1666780705">
      <w:marLeft w:val="0"/>
      <w:marRight w:val="0"/>
      <w:marTop w:val="120"/>
      <w:marBottom w:val="0"/>
      <w:divBdr>
        <w:top w:val="none" w:sz="0" w:space="0" w:color="auto"/>
        <w:left w:val="none" w:sz="0" w:space="0" w:color="auto"/>
        <w:bottom w:val="none" w:sz="0" w:space="0" w:color="auto"/>
        <w:right w:val="none" w:sz="0" w:space="0" w:color="auto"/>
      </w:divBdr>
    </w:div>
    <w:div w:id="1667512125">
      <w:marLeft w:val="0"/>
      <w:marRight w:val="0"/>
      <w:marTop w:val="120"/>
      <w:marBottom w:val="0"/>
      <w:divBdr>
        <w:top w:val="none" w:sz="0" w:space="0" w:color="auto"/>
        <w:left w:val="none" w:sz="0" w:space="0" w:color="auto"/>
        <w:bottom w:val="none" w:sz="0" w:space="0" w:color="auto"/>
        <w:right w:val="none" w:sz="0" w:space="0" w:color="auto"/>
      </w:divBdr>
    </w:div>
    <w:div w:id="1668560706">
      <w:marLeft w:val="0"/>
      <w:marRight w:val="0"/>
      <w:marTop w:val="120"/>
      <w:marBottom w:val="0"/>
      <w:divBdr>
        <w:top w:val="none" w:sz="0" w:space="0" w:color="auto"/>
        <w:left w:val="none" w:sz="0" w:space="0" w:color="auto"/>
        <w:bottom w:val="none" w:sz="0" w:space="0" w:color="auto"/>
        <w:right w:val="none" w:sz="0" w:space="0" w:color="auto"/>
      </w:divBdr>
    </w:div>
    <w:div w:id="1669552764">
      <w:marLeft w:val="0"/>
      <w:marRight w:val="0"/>
      <w:marTop w:val="0"/>
      <w:marBottom w:val="0"/>
      <w:divBdr>
        <w:top w:val="none" w:sz="0" w:space="0" w:color="auto"/>
        <w:left w:val="none" w:sz="0" w:space="0" w:color="auto"/>
        <w:bottom w:val="none" w:sz="0" w:space="0" w:color="auto"/>
        <w:right w:val="none" w:sz="0" w:space="0" w:color="auto"/>
      </w:divBdr>
      <w:divsChild>
        <w:div w:id="1045522905">
          <w:marLeft w:val="0"/>
          <w:marRight w:val="0"/>
          <w:marTop w:val="0"/>
          <w:marBottom w:val="0"/>
          <w:divBdr>
            <w:top w:val="none" w:sz="0" w:space="0" w:color="auto"/>
            <w:left w:val="none" w:sz="0" w:space="0" w:color="auto"/>
            <w:bottom w:val="none" w:sz="0" w:space="0" w:color="auto"/>
            <w:right w:val="none" w:sz="0" w:space="0" w:color="auto"/>
          </w:divBdr>
        </w:div>
      </w:divsChild>
    </w:div>
    <w:div w:id="1671909140">
      <w:marLeft w:val="0"/>
      <w:marRight w:val="0"/>
      <w:marTop w:val="120"/>
      <w:marBottom w:val="0"/>
      <w:divBdr>
        <w:top w:val="none" w:sz="0" w:space="0" w:color="auto"/>
        <w:left w:val="none" w:sz="0" w:space="0" w:color="auto"/>
        <w:bottom w:val="none" w:sz="0" w:space="0" w:color="auto"/>
        <w:right w:val="none" w:sz="0" w:space="0" w:color="auto"/>
      </w:divBdr>
    </w:div>
    <w:div w:id="1672096819">
      <w:marLeft w:val="0"/>
      <w:marRight w:val="0"/>
      <w:marTop w:val="120"/>
      <w:marBottom w:val="0"/>
      <w:divBdr>
        <w:top w:val="none" w:sz="0" w:space="0" w:color="auto"/>
        <w:left w:val="none" w:sz="0" w:space="0" w:color="auto"/>
        <w:bottom w:val="none" w:sz="0" w:space="0" w:color="auto"/>
        <w:right w:val="none" w:sz="0" w:space="0" w:color="auto"/>
      </w:divBdr>
    </w:div>
    <w:div w:id="1672681005">
      <w:marLeft w:val="0"/>
      <w:marRight w:val="0"/>
      <w:marTop w:val="120"/>
      <w:marBottom w:val="0"/>
      <w:divBdr>
        <w:top w:val="none" w:sz="0" w:space="0" w:color="auto"/>
        <w:left w:val="none" w:sz="0" w:space="0" w:color="auto"/>
        <w:bottom w:val="none" w:sz="0" w:space="0" w:color="auto"/>
        <w:right w:val="none" w:sz="0" w:space="0" w:color="auto"/>
      </w:divBdr>
    </w:div>
    <w:div w:id="1673147082">
      <w:marLeft w:val="0"/>
      <w:marRight w:val="0"/>
      <w:marTop w:val="0"/>
      <w:marBottom w:val="120"/>
      <w:divBdr>
        <w:top w:val="none" w:sz="0" w:space="0" w:color="auto"/>
        <w:left w:val="none" w:sz="0" w:space="0" w:color="auto"/>
        <w:bottom w:val="none" w:sz="0" w:space="0" w:color="auto"/>
        <w:right w:val="none" w:sz="0" w:space="0" w:color="auto"/>
      </w:divBdr>
      <w:divsChild>
        <w:div w:id="1954435983">
          <w:marLeft w:val="0"/>
          <w:marRight w:val="0"/>
          <w:marTop w:val="0"/>
          <w:marBottom w:val="0"/>
          <w:divBdr>
            <w:top w:val="none" w:sz="0" w:space="0" w:color="auto"/>
            <w:left w:val="none" w:sz="0" w:space="0" w:color="auto"/>
            <w:bottom w:val="none" w:sz="0" w:space="0" w:color="auto"/>
            <w:right w:val="none" w:sz="0" w:space="0" w:color="auto"/>
          </w:divBdr>
        </w:div>
        <w:div w:id="626007038">
          <w:marLeft w:val="0"/>
          <w:marRight w:val="0"/>
          <w:marTop w:val="0"/>
          <w:marBottom w:val="0"/>
          <w:divBdr>
            <w:top w:val="none" w:sz="0" w:space="0" w:color="auto"/>
            <w:left w:val="none" w:sz="0" w:space="0" w:color="auto"/>
            <w:bottom w:val="none" w:sz="0" w:space="0" w:color="auto"/>
            <w:right w:val="none" w:sz="0" w:space="0" w:color="auto"/>
          </w:divBdr>
        </w:div>
        <w:div w:id="1786197019">
          <w:marLeft w:val="0"/>
          <w:marRight w:val="0"/>
          <w:marTop w:val="0"/>
          <w:marBottom w:val="0"/>
          <w:divBdr>
            <w:top w:val="none" w:sz="0" w:space="0" w:color="auto"/>
            <w:left w:val="none" w:sz="0" w:space="0" w:color="auto"/>
            <w:bottom w:val="none" w:sz="0" w:space="0" w:color="auto"/>
            <w:right w:val="none" w:sz="0" w:space="0" w:color="auto"/>
          </w:divBdr>
        </w:div>
        <w:div w:id="1970746014">
          <w:marLeft w:val="0"/>
          <w:marRight w:val="0"/>
          <w:marTop w:val="0"/>
          <w:marBottom w:val="0"/>
          <w:divBdr>
            <w:top w:val="none" w:sz="0" w:space="0" w:color="auto"/>
            <w:left w:val="none" w:sz="0" w:space="0" w:color="auto"/>
            <w:bottom w:val="none" w:sz="0" w:space="0" w:color="auto"/>
            <w:right w:val="none" w:sz="0" w:space="0" w:color="auto"/>
          </w:divBdr>
        </w:div>
        <w:div w:id="1887716847">
          <w:marLeft w:val="0"/>
          <w:marRight w:val="0"/>
          <w:marTop w:val="0"/>
          <w:marBottom w:val="0"/>
          <w:divBdr>
            <w:top w:val="none" w:sz="0" w:space="0" w:color="auto"/>
            <w:left w:val="none" w:sz="0" w:space="0" w:color="auto"/>
            <w:bottom w:val="none" w:sz="0" w:space="0" w:color="auto"/>
            <w:right w:val="none" w:sz="0" w:space="0" w:color="auto"/>
          </w:divBdr>
        </w:div>
        <w:div w:id="69280510">
          <w:marLeft w:val="0"/>
          <w:marRight w:val="0"/>
          <w:marTop w:val="0"/>
          <w:marBottom w:val="0"/>
          <w:divBdr>
            <w:top w:val="none" w:sz="0" w:space="0" w:color="auto"/>
            <w:left w:val="none" w:sz="0" w:space="0" w:color="auto"/>
            <w:bottom w:val="none" w:sz="0" w:space="0" w:color="auto"/>
            <w:right w:val="none" w:sz="0" w:space="0" w:color="auto"/>
          </w:divBdr>
        </w:div>
        <w:div w:id="32728013">
          <w:marLeft w:val="0"/>
          <w:marRight w:val="0"/>
          <w:marTop w:val="0"/>
          <w:marBottom w:val="0"/>
          <w:divBdr>
            <w:top w:val="none" w:sz="0" w:space="0" w:color="auto"/>
            <w:left w:val="none" w:sz="0" w:space="0" w:color="auto"/>
            <w:bottom w:val="none" w:sz="0" w:space="0" w:color="auto"/>
            <w:right w:val="none" w:sz="0" w:space="0" w:color="auto"/>
          </w:divBdr>
        </w:div>
      </w:divsChild>
    </w:div>
    <w:div w:id="1674213598">
      <w:marLeft w:val="0"/>
      <w:marRight w:val="0"/>
      <w:marTop w:val="0"/>
      <w:marBottom w:val="120"/>
      <w:divBdr>
        <w:top w:val="none" w:sz="0" w:space="0" w:color="auto"/>
        <w:left w:val="none" w:sz="0" w:space="0" w:color="auto"/>
        <w:bottom w:val="none" w:sz="0" w:space="0" w:color="auto"/>
        <w:right w:val="none" w:sz="0" w:space="0" w:color="auto"/>
      </w:divBdr>
      <w:divsChild>
        <w:div w:id="1936742594">
          <w:marLeft w:val="0"/>
          <w:marRight w:val="0"/>
          <w:marTop w:val="0"/>
          <w:marBottom w:val="0"/>
          <w:divBdr>
            <w:top w:val="none" w:sz="0" w:space="0" w:color="auto"/>
            <w:left w:val="none" w:sz="0" w:space="0" w:color="auto"/>
            <w:bottom w:val="none" w:sz="0" w:space="0" w:color="auto"/>
            <w:right w:val="none" w:sz="0" w:space="0" w:color="auto"/>
          </w:divBdr>
        </w:div>
        <w:div w:id="891038082">
          <w:marLeft w:val="0"/>
          <w:marRight w:val="0"/>
          <w:marTop w:val="0"/>
          <w:marBottom w:val="0"/>
          <w:divBdr>
            <w:top w:val="none" w:sz="0" w:space="0" w:color="auto"/>
            <w:left w:val="none" w:sz="0" w:space="0" w:color="auto"/>
            <w:bottom w:val="none" w:sz="0" w:space="0" w:color="auto"/>
            <w:right w:val="none" w:sz="0" w:space="0" w:color="auto"/>
          </w:divBdr>
        </w:div>
        <w:div w:id="1836527838">
          <w:marLeft w:val="0"/>
          <w:marRight w:val="0"/>
          <w:marTop w:val="0"/>
          <w:marBottom w:val="0"/>
          <w:divBdr>
            <w:top w:val="none" w:sz="0" w:space="0" w:color="auto"/>
            <w:left w:val="none" w:sz="0" w:space="0" w:color="auto"/>
            <w:bottom w:val="none" w:sz="0" w:space="0" w:color="auto"/>
            <w:right w:val="none" w:sz="0" w:space="0" w:color="auto"/>
          </w:divBdr>
        </w:div>
        <w:div w:id="1305739962">
          <w:marLeft w:val="0"/>
          <w:marRight w:val="0"/>
          <w:marTop w:val="0"/>
          <w:marBottom w:val="0"/>
          <w:divBdr>
            <w:top w:val="none" w:sz="0" w:space="0" w:color="auto"/>
            <w:left w:val="none" w:sz="0" w:space="0" w:color="auto"/>
            <w:bottom w:val="none" w:sz="0" w:space="0" w:color="auto"/>
            <w:right w:val="none" w:sz="0" w:space="0" w:color="auto"/>
          </w:divBdr>
        </w:div>
      </w:divsChild>
    </w:div>
    <w:div w:id="1674799342">
      <w:marLeft w:val="0"/>
      <w:marRight w:val="0"/>
      <w:marTop w:val="0"/>
      <w:marBottom w:val="0"/>
      <w:divBdr>
        <w:top w:val="none" w:sz="0" w:space="0" w:color="auto"/>
        <w:left w:val="none" w:sz="0" w:space="0" w:color="auto"/>
        <w:bottom w:val="none" w:sz="0" w:space="0" w:color="auto"/>
        <w:right w:val="none" w:sz="0" w:space="0" w:color="auto"/>
      </w:divBdr>
    </w:div>
    <w:div w:id="1675960831">
      <w:marLeft w:val="0"/>
      <w:marRight w:val="0"/>
      <w:marTop w:val="0"/>
      <w:marBottom w:val="0"/>
      <w:divBdr>
        <w:top w:val="none" w:sz="0" w:space="0" w:color="auto"/>
        <w:left w:val="none" w:sz="0" w:space="0" w:color="auto"/>
        <w:bottom w:val="none" w:sz="0" w:space="0" w:color="auto"/>
        <w:right w:val="none" w:sz="0" w:space="0" w:color="auto"/>
      </w:divBdr>
      <w:divsChild>
        <w:div w:id="1788045275">
          <w:marLeft w:val="0"/>
          <w:marRight w:val="0"/>
          <w:marTop w:val="0"/>
          <w:marBottom w:val="0"/>
          <w:divBdr>
            <w:top w:val="none" w:sz="0" w:space="0" w:color="auto"/>
            <w:left w:val="none" w:sz="0" w:space="0" w:color="auto"/>
            <w:bottom w:val="none" w:sz="0" w:space="0" w:color="auto"/>
            <w:right w:val="none" w:sz="0" w:space="0" w:color="auto"/>
          </w:divBdr>
        </w:div>
      </w:divsChild>
    </w:div>
    <w:div w:id="1676030215">
      <w:marLeft w:val="0"/>
      <w:marRight w:val="0"/>
      <w:marTop w:val="0"/>
      <w:marBottom w:val="0"/>
      <w:divBdr>
        <w:top w:val="none" w:sz="0" w:space="0" w:color="auto"/>
        <w:left w:val="none" w:sz="0" w:space="0" w:color="auto"/>
        <w:bottom w:val="none" w:sz="0" w:space="0" w:color="auto"/>
        <w:right w:val="none" w:sz="0" w:space="0" w:color="auto"/>
      </w:divBdr>
    </w:div>
    <w:div w:id="1677030008">
      <w:marLeft w:val="0"/>
      <w:marRight w:val="0"/>
      <w:marTop w:val="120"/>
      <w:marBottom w:val="0"/>
      <w:divBdr>
        <w:top w:val="none" w:sz="0" w:space="0" w:color="auto"/>
        <w:left w:val="none" w:sz="0" w:space="0" w:color="auto"/>
        <w:bottom w:val="none" w:sz="0" w:space="0" w:color="auto"/>
        <w:right w:val="none" w:sz="0" w:space="0" w:color="auto"/>
      </w:divBdr>
    </w:div>
    <w:div w:id="1677268546">
      <w:marLeft w:val="0"/>
      <w:marRight w:val="0"/>
      <w:marTop w:val="120"/>
      <w:marBottom w:val="0"/>
      <w:divBdr>
        <w:top w:val="none" w:sz="0" w:space="0" w:color="auto"/>
        <w:left w:val="none" w:sz="0" w:space="0" w:color="auto"/>
        <w:bottom w:val="none" w:sz="0" w:space="0" w:color="auto"/>
        <w:right w:val="none" w:sz="0" w:space="0" w:color="auto"/>
      </w:divBdr>
    </w:div>
    <w:div w:id="1677731044">
      <w:marLeft w:val="0"/>
      <w:marRight w:val="0"/>
      <w:marTop w:val="100"/>
      <w:marBottom w:val="0"/>
      <w:divBdr>
        <w:top w:val="none" w:sz="0" w:space="0" w:color="auto"/>
        <w:left w:val="none" w:sz="0" w:space="0" w:color="auto"/>
        <w:bottom w:val="none" w:sz="0" w:space="0" w:color="auto"/>
        <w:right w:val="none" w:sz="0" w:space="0" w:color="auto"/>
      </w:divBdr>
    </w:div>
    <w:div w:id="1679966983">
      <w:marLeft w:val="0"/>
      <w:marRight w:val="0"/>
      <w:marTop w:val="0"/>
      <w:marBottom w:val="0"/>
      <w:divBdr>
        <w:top w:val="none" w:sz="0" w:space="0" w:color="auto"/>
        <w:left w:val="none" w:sz="0" w:space="0" w:color="auto"/>
        <w:bottom w:val="none" w:sz="0" w:space="0" w:color="auto"/>
        <w:right w:val="none" w:sz="0" w:space="0" w:color="auto"/>
      </w:divBdr>
      <w:divsChild>
        <w:div w:id="716512097">
          <w:marLeft w:val="0"/>
          <w:marRight w:val="0"/>
          <w:marTop w:val="0"/>
          <w:marBottom w:val="0"/>
          <w:divBdr>
            <w:top w:val="none" w:sz="0" w:space="0" w:color="auto"/>
            <w:left w:val="none" w:sz="0" w:space="0" w:color="auto"/>
            <w:bottom w:val="none" w:sz="0" w:space="0" w:color="auto"/>
            <w:right w:val="none" w:sz="0" w:space="0" w:color="auto"/>
          </w:divBdr>
        </w:div>
      </w:divsChild>
    </w:div>
    <w:div w:id="1681539488">
      <w:marLeft w:val="0"/>
      <w:marRight w:val="0"/>
      <w:marTop w:val="120"/>
      <w:marBottom w:val="0"/>
      <w:divBdr>
        <w:top w:val="none" w:sz="0" w:space="0" w:color="auto"/>
        <w:left w:val="none" w:sz="0" w:space="0" w:color="auto"/>
        <w:bottom w:val="none" w:sz="0" w:space="0" w:color="auto"/>
        <w:right w:val="none" w:sz="0" w:space="0" w:color="auto"/>
      </w:divBdr>
    </w:div>
    <w:div w:id="1681660700">
      <w:marLeft w:val="0"/>
      <w:marRight w:val="0"/>
      <w:marTop w:val="120"/>
      <w:marBottom w:val="0"/>
      <w:divBdr>
        <w:top w:val="none" w:sz="0" w:space="0" w:color="auto"/>
        <w:left w:val="none" w:sz="0" w:space="0" w:color="auto"/>
        <w:bottom w:val="none" w:sz="0" w:space="0" w:color="auto"/>
        <w:right w:val="none" w:sz="0" w:space="0" w:color="auto"/>
      </w:divBdr>
    </w:div>
    <w:div w:id="1682000719">
      <w:marLeft w:val="0"/>
      <w:marRight w:val="0"/>
      <w:marTop w:val="0"/>
      <w:marBottom w:val="200"/>
      <w:divBdr>
        <w:top w:val="none" w:sz="0" w:space="0" w:color="auto"/>
        <w:left w:val="none" w:sz="0" w:space="0" w:color="auto"/>
        <w:bottom w:val="none" w:sz="0" w:space="0" w:color="auto"/>
        <w:right w:val="none" w:sz="0" w:space="0" w:color="auto"/>
      </w:divBdr>
    </w:div>
    <w:div w:id="1682856859">
      <w:marLeft w:val="0"/>
      <w:marRight w:val="0"/>
      <w:marTop w:val="120"/>
      <w:marBottom w:val="0"/>
      <w:divBdr>
        <w:top w:val="none" w:sz="0" w:space="0" w:color="auto"/>
        <w:left w:val="none" w:sz="0" w:space="0" w:color="auto"/>
        <w:bottom w:val="none" w:sz="0" w:space="0" w:color="auto"/>
        <w:right w:val="none" w:sz="0" w:space="0" w:color="auto"/>
      </w:divBdr>
    </w:div>
    <w:div w:id="1683315148">
      <w:marLeft w:val="0"/>
      <w:marRight w:val="0"/>
      <w:marTop w:val="120"/>
      <w:marBottom w:val="0"/>
      <w:divBdr>
        <w:top w:val="none" w:sz="0" w:space="0" w:color="auto"/>
        <w:left w:val="none" w:sz="0" w:space="0" w:color="auto"/>
        <w:bottom w:val="none" w:sz="0" w:space="0" w:color="auto"/>
        <w:right w:val="none" w:sz="0" w:space="0" w:color="auto"/>
      </w:divBdr>
    </w:div>
    <w:div w:id="1683972357">
      <w:marLeft w:val="0"/>
      <w:marRight w:val="0"/>
      <w:marTop w:val="120"/>
      <w:marBottom w:val="0"/>
      <w:divBdr>
        <w:top w:val="none" w:sz="0" w:space="0" w:color="auto"/>
        <w:left w:val="none" w:sz="0" w:space="0" w:color="auto"/>
        <w:bottom w:val="none" w:sz="0" w:space="0" w:color="auto"/>
        <w:right w:val="none" w:sz="0" w:space="0" w:color="auto"/>
      </w:divBdr>
    </w:div>
    <w:div w:id="1685547538">
      <w:marLeft w:val="0"/>
      <w:marRight w:val="0"/>
      <w:marTop w:val="120"/>
      <w:marBottom w:val="0"/>
      <w:divBdr>
        <w:top w:val="none" w:sz="0" w:space="0" w:color="auto"/>
        <w:left w:val="none" w:sz="0" w:space="0" w:color="auto"/>
        <w:bottom w:val="none" w:sz="0" w:space="0" w:color="auto"/>
        <w:right w:val="none" w:sz="0" w:space="0" w:color="auto"/>
      </w:divBdr>
    </w:div>
    <w:div w:id="1686176613">
      <w:marLeft w:val="0"/>
      <w:marRight w:val="0"/>
      <w:marTop w:val="0"/>
      <w:marBottom w:val="0"/>
      <w:divBdr>
        <w:top w:val="none" w:sz="0" w:space="0" w:color="auto"/>
        <w:left w:val="none" w:sz="0" w:space="0" w:color="auto"/>
        <w:bottom w:val="none" w:sz="0" w:space="0" w:color="auto"/>
        <w:right w:val="none" w:sz="0" w:space="0" w:color="auto"/>
      </w:divBdr>
    </w:div>
    <w:div w:id="1688751024">
      <w:marLeft w:val="0"/>
      <w:marRight w:val="0"/>
      <w:marTop w:val="120"/>
      <w:marBottom w:val="0"/>
      <w:divBdr>
        <w:top w:val="none" w:sz="0" w:space="0" w:color="auto"/>
        <w:left w:val="none" w:sz="0" w:space="0" w:color="auto"/>
        <w:bottom w:val="none" w:sz="0" w:space="0" w:color="auto"/>
        <w:right w:val="none" w:sz="0" w:space="0" w:color="auto"/>
      </w:divBdr>
    </w:div>
    <w:div w:id="1689914030">
      <w:marLeft w:val="0"/>
      <w:marRight w:val="0"/>
      <w:marTop w:val="0"/>
      <w:marBottom w:val="0"/>
      <w:divBdr>
        <w:top w:val="none" w:sz="0" w:space="0" w:color="auto"/>
        <w:left w:val="none" w:sz="0" w:space="0" w:color="auto"/>
        <w:bottom w:val="none" w:sz="0" w:space="0" w:color="auto"/>
        <w:right w:val="none" w:sz="0" w:space="0" w:color="auto"/>
      </w:divBdr>
      <w:divsChild>
        <w:div w:id="872353032">
          <w:marLeft w:val="0"/>
          <w:marRight w:val="0"/>
          <w:marTop w:val="0"/>
          <w:marBottom w:val="0"/>
          <w:divBdr>
            <w:top w:val="none" w:sz="0" w:space="0" w:color="auto"/>
            <w:left w:val="none" w:sz="0" w:space="0" w:color="auto"/>
            <w:bottom w:val="none" w:sz="0" w:space="0" w:color="auto"/>
            <w:right w:val="none" w:sz="0" w:space="0" w:color="auto"/>
          </w:divBdr>
        </w:div>
      </w:divsChild>
    </w:div>
    <w:div w:id="1691253266">
      <w:marLeft w:val="0"/>
      <w:marRight w:val="0"/>
      <w:marTop w:val="120"/>
      <w:marBottom w:val="0"/>
      <w:divBdr>
        <w:top w:val="none" w:sz="0" w:space="0" w:color="auto"/>
        <w:left w:val="none" w:sz="0" w:space="0" w:color="auto"/>
        <w:bottom w:val="none" w:sz="0" w:space="0" w:color="auto"/>
        <w:right w:val="none" w:sz="0" w:space="0" w:color="auto"/>
      </w:divBdr>
    </w:div>
    <w:div w:id="1691293629">
      <w:marLeft w:val="0"/>
      <w:marRight w:val="0"/>
      <w:marTop w:val="120"/>
      <w:marBottom w:val="0"/>
      <w:divBdr>
        <w:top w:val="none" w:sz="0" w:space="0" w:color="auto"/>
        <w:left w:val="none" w:sz="0" w:space="0" w:color="auto"/>
        <w:bottom w:val="none" w:sz="0" w:space="0" w:color="auto"/>
        <w:right w:val="none" w:sz="0" w:space="0" w:color="auto"/>
      </w:divBdr>
    </w:div>
    <w:div w:id="1691877637">
      <w:marLeft w:val="0"/>
      <w:marRight w:val="0"/>
      <w:marTop w:val="120"/>
      <w:marBottom w:val="0"/>
      <w:divBdr>
        <w:top w:val="none" w:sz="0" w:space="0" w:color="auto"/>
        <w:left w:val="none" w:sz="0" w:space="0" w:color="auto"/>
        <w:bottom w:val="none" w:sz="0" w:space="0" w:color="auto"/>
        <w:right w:val="none" w:sz="0" w:space="0" w:color="auto"/>
      </w:divBdr>
    </w:div>
    <w:div w:id="1692338235">
      <w:marLeft w:val="0"/>
      <w:marRight w:val="0"/>
      <w:marTop w:val="0"/>
      <w:marBottom w:val="0"/>
      <w:divBdr>
        <w:top w:val="none" w:sz="0" w:space="0" w:color="auto"/>
        <w:left w:val="none" w:sz="0" w:space="0" w:color="auto"/>
        <w:bottom w:val="none" w:sz="0" w:space="0" w:color="auto"/>
        <w:right w:val="none" w:sz="0" w:space="0" w:color="auto"/>
      </w:divBdr>
      <w:divsChild>
        <w:div w:id="1829203475">
          <w:marLeft w:val="0"/>
          <w:marRight w:val="0"/>
          <w:marTop w:val="0"/>
          <w:marBottom w:val="0"/>
          <w:divBdr>
            <w:top w:val="none" w:sz="0" w:space="0" w:color="auto"/>
            <w:left w:val="none" w:sz="0" w:space="0" w:color="auto"/>
            <w:bottom w:val="none" w:sz="0" w:space="0" w:color="auto"/>
            <w:right w:val="none" w:sz="0" w:space="0" w:color="auto"/>
          </w:divBdr>
        </w:div>
      </w:divsChild>
    </w:div>
    <w:div w:id="1693721932">
      <w:marLeft w:val="0"/>
      <w:marRight w:val="0"/>
      <w:marTop w:val="120"/>
      <w:marBottom w:val="0"/>
      <w:divBdr>
        <w:top w:val="none" w:sz="0" w:space="0" w:color="auto"/>
        <w:left w:val="none" w:sz="0" w:space="0" w:color="auto"/>
        <w:bottom w:val="none" w:sz="0" w:space="0" w:color="auto"/>
        <w:right w:val="none" w:sz="0" w:space="0" w:color="auto"/>
      </w:divBdr>
    </w:div>
    <w:div w:id="1693728604">
      <w:marLeft w:val="0"/>
      <w:marRight w:val="0"/>
      <w:marTop w:val="120"/>
      <w:marBottom w:val="0"/>
      <w:divBdr>
        <w:top w:val="none" w:sz="0" w:space="0" w:color="auto"/>
        <w:left w:val="none" w:sz="0" w:space="0" w:color="auto"/>
        <w:bottom w:val="none" w:sz="0" w:space="0" w:color="auto"/>
        <w:right w:val="none" w:sz="0" w:space="0" w:color="auto"/>
      </w:divBdr>
    </w:div>
    <w:div w:id="1694720294">
      <w:marLeft w:val="0"/>
      <w:marRight w:val="0"/>
      <w:marTop w:val="120"/>
      <w:marBottom w:val="0"/>
      <w:divBdr>
        <w:top w:val="none" w:sz="0" w:space="0" w:color="auto"/>
        <w:left w:val="none" w:sz="0" w:space="0" w:color="auto"/>
        <w:bottom w:val="none" w:sz="0" w:space="0" w:color="auto"/>
        <w:right w:val="none" w:sz="0" w:space="0" w:color="auto"/>
      </w:divBdr>
    </w:div>
    <w:div w:id="1696157322">
      <w:marLeft w:val="0"/>
      <w:marRight w:val="0"/>
      <w:marTop w:val="120"/>
      <w:marBottom w:val="0"/>
      <w:divBdr>
        <w:top w:val="none" w:sz="0" w:space="0" w:color="auto"/>
        <w:left w:val="none" w:sz="0" w:space="0" w:color="auto"/>
        <w:bottom w:val="none" w:sz="0" w:space="0" w:color="auto"/>
        <w:right w:val="none" w:sz="0" w:space="0" w:color="auto"/>
      </w:divBdr>
    </w:div>
    <w:div w:id="1697004918">
      <w:marLeft w:val="0"/>
      <w:marRight w:val="0"/>
      <w:marTop w:val="120"/>
      <w:marBottom w:val="0"/>
      <w:divBdr>
        <w:top w:val="none" w:sz="0" w:space="0" w:color="auto"/>
        <w:left w:val="none" w:sz="0" w:space="0" w:color="auto"/>
        <w:bottom w:val="none" w:sz="0" w:space="0" w:color="auto"/>
        <w:right w:val="none" w:sz="0" w:space="0" w:color="auto"/>
      </w:divBdr>
    </w:div>
    <w:div w:id="1697585871">
      <w:marLeft w:val="0"/>
      <w:marRight w:val="0"/>
      <w:marTop w:val="120"/>
      <w:marBottom w:val="0"/>
      <w:divBdr>
        <w:top w:val="none" w:sz="0" w:space="0" w:color="auto"/>
        <w:left w:val="none" w:sz="0" w:space="0" w:color="auto"/>
        <w:bottom w:val="none" w:sz="0" w:space="0" w:color="auto"/>
        <w:right w:val="none" w:sz="0" w:space="0" w:color="auto"/>
      </w:divBdr>
    </w:div>
    <w:div w:id="1698851204">
      <w:marLeft w:val="0"/>
      <w:marRight w:val="0"/>
      <w:marTop w:val="0"/>
      <w:marBottom w:val="0"/>
      <w:divBdr>
        <w:top w:val="none" w:sz="0" w:space="0" w:color="auto"/>
        <w:left w:val="none" w:sz="0" w:space="0" w:color="auto"/>
        <w:bottom w:val="none" w:sz="0" w:space="0" w:color="auto"/>
        <w:right w:val="none" w:sz="0" w:space="0" w:color="auto"/>
      </w:divBdr>
    </w:div>
    <w:div w:id="1699352210">
      <w:marLeft w:val="0"/>
      <w:marRight w:val="0"/>
      <w:marTop w:val="120"/>
      <w:marBottom w:val="0"/>
      <w:divBdr>
        <w:top w:val="none" w:sz="0" w:space="0" w:color="auto"/>
        <w:left w:val="none" w:sz="0" w:space="0" w:color="auto"/>
        <w:bottom w:val="none" w:sz="0" w:space="0" w:color="auto"/>
        <w:right w:val="none" w:sz="0" w:space="0" w:color="auto"/>
      </w:divBdr>
    </w:div>
    <w:div w:id="1699355729">
      <w:marLeft w:val="0"/>
      <w:marRight w:val="0"/>
      <w:marTop w:val="120"/>
      <w:marBottom w:val="0"/>
      <w:divBdr>
        <w:top w:val="none" w:sz="0" w:space="0" w:color="auto"/>
        <w:left w:val="none" w:sz="0" w:space="0" w:color="auto"/>
        <w:bottom w:val="none" w:sz="0" w:space="0" w:color="auto"/>
        <w:right w:val="none" w:sz="0" w:space="0" w:color="auto"/>
      </w:divBdr>
    </w:div>
    <w:div w:id="1700424101">
      <w:marLeft w:val="0"/>
      <w:marRight w:val="0"/>
      <w:marTop w:val="120"/>
      <w:marBottom w:val="0"/>
      <w:divBdr>
        <w:top w:val="none" w:sz="0" w:space="0" w:color="auto"/>
        <w:left w:val="none" w:sz="0" w:space="0" w:color="auto"/>
        <w:bottom w:val="none" w:sz="0" w:space="0" w:color="auto"/>
        <w:right w:val="none" w:sz="0" w:space="0" w:color="auto"/>
      </w:divBdr>
    </w:div>
    <w:div w:id="1700475032">
      <w:marLeft w:val="0"/>
      <w:marRight w:val="0"/>
      <w:marTop w:val="120"/>
      <w:marBottom w:val="0"/>
      <w:divBdr>
        <w:top w:val="none" w:sz="0" w:space="0" w:color="auto"/>
        <w:left w:val="none" w:sz="0" w:space="0" w:color="auto"/>
        <w:bottom w:val="none" w:sz="0" w:space="0" w:color="auto"/>
        <w:right w:val="none" w:sz="0" w:space="0" w:color="auto"/>
      </w:divBdr>
    </w:div>
    <w:div w:id="1700739532">
      <w:marLeft w:val="0"/>
      <w:marRight w:val="0"/>
      <w:marTop w:val="0"/>
      <w:marBottom w:val="0"/>
      <w:divBdr>
        <w:top w:val="none" w:sz="0" w:space="0" w:color="auto"/>
        <w:left w:val="none" w:sz="0" w:space="0" w:color="auto"/>
        <w:bottom w:val="none" w:sz="0" w:space="0" w:color="auto"/>
        <w:right w:val="none" w:sz="0" w:space="0" w:color="auto"/>
      </w:divBdr>
      <w:divsChild>
        <w:div w:id="1759903853">
          <w:marLeft w:val="0"/>
          <w:marRight w:val="0"/>
          <w:marTop w:val="0"/>
          <w:marBottom w:val="0"/>
          <w:divBdr>
            <w:top w:val="none" w:sz="0" w:space="0" w:color="auto"/>
            <w:left w:val="none" w:sz="0" w:space="0" w:color="auto"/>
            <w:bottom w:val="none" w:sz="0" w:space="0" w:color="auto"/>
            <w:right w:val="none" w:sz="0" w:space="0" w:color="auto"/>
          </w:divBdr>
        </w:div>
      </w:divsChild>
    </w:div>
    <w:div w:id="1701274791">
      <w:marLeft w:val="0"/>
      <w:marRight w:val="0"/>
      <w:marTop w:val="120"/>
      <w:marBottom w:val="0"/>
      <w:divBdr>
        <w:top w:val="none" w:sz="0" w:space="0" w:color="auto"/>
        <w:left w:val="none" w:sz="0" w:space="0" w:color="auto"/>
        <w:bottom w:val="none" w:sz="0" w:space="0" w:color="auto"/>
        <w:right w:val="none" w:sz="0" w:space="0" w:color="auto"/>
      </w:divBdr>
    </w:div>
    <w:div w:id="1701396468">
      <w:marLeft w:val="0"/>
      <w:marRight w:val="0"/>
      <w:marTop w:val="0"/>
      <w:marBottom w:val="0"/>
      <w:divBdr>
        <w:top w:val="none" w:sz="0" w:space="0" w:color="auto"/>
        <w:left w:val="none" w:sz="0" w:space="0" w:color="auto"/>
        <w:bottom w:val="none" w:sz="0" w:space="0" w:color="auto"/>
        <w:right w:val="none" w:sz="0" w:space="0" w:color="auto"/>
      </w:divBdr>
      <w:divsChild>
        <w:div w:id="141586265">
          <w:marLeft w:val="0"/>
          <w:marRight w:val="0"/>
          <w:marTop w:val="0"/>
          <w:marBottom w:val="0"/>
          <w:divBdr>
            <w:top w:val="none" w:sz="0" w:space="0" w:color="auto"/>
            <w:left w:val="none" w:sz="0" w:space="0" w:color="auto"/>
            <w:bottom w:val="none" w:sz="0" w:space="0" w:color="auto"/>
            <w:right w:val="none" w:sz="0" w:space="0" w:color="auto"/>
          </w:divBdr>
        </w:div>
      </w:divsChild>
    </w:div>
    <w:div w:id="1703509046">
      <w:marLeft w:val="0"/>
      <w:marRight w:val="0"/>
      <w:marTop w:val="0"/>
      <w:marBottom w:val="120"/>
      <w:divBdr>
        <w:top w:val="none" w:sz="0" w:space="0" w:color="auto"/>
        <w:left w:val="none" w:sz="0" w:space="0" w:color="auto"/>
        <w:bottom w:val="none" w:sz="0" w:space="0" w:color="auto"/>
        <w:right w:val="none" w:sz="0" w:space="0" w:color="auto"/>
      </w:divBdr>
      <w:divsChild>
        <w:div w:id="1348366944">
          <w:marLeft w:val="0"/>
          <w:marRight w:val="0"/>
          <w:marTop w:val="0"/>
          <w:marBottom w:val="0"/>
          <w:divBdr>
            <w:top w:val="none" w:sz="0" w:space="0" w:color="auto"/>
            <w:left w:val="none" w:sz="0" w:space="0" w:color="auto"/>
            <w:bottom w:val="none" w:sz="0" w:space="0" w:color="auto"/>
            <w:right w:val="none" w:sz="0" w:space="0" w:color="auto"/>
          </w:divBdr>
        </w:div>
        <w:div w:id="1897234029">
          <w:marLeft w:val="0"/>
          <w:marRight w:val="0"/>
          <w:marTop w:val="0"/>
          <w:marBottom w:val="0"/>
          <w:divBdr>
            <w:top w:val="none" w:sz="0" w:space="0" w:color="auto"/>
            <w:left w:val="none" w:sz="0" w:space="0" w:color="auto"/>
            <w:bottom w:val="none" w:sz="0" w:space="0" w:color="auto"/>
            <w:right w:val="none" w:sz="0" w:space="0" w:color="auto"/>
          </w:divBdr>
        </w:div>
        <w:div w:id="1198010895">
          <w:marLeft w:val="0"/>
          <w:marRight w:val="0"/>
          <w:marTop w:val="0"/>
          <w:marBottom w:val="0"/>
          <w:divBdr>
            <w:top w:val="none" w:sz="0" w:space="0" w:color="auto"/>
            <w:left w:val="none" w:sz="0" w:space="0" w:color="auto"/>
            <w:bottom w:val="none" w:sz="0" w:space="0" w:color="auto"/>
            <w:right w:val="none" w:sz="0" w:space="0" w:color="auto"/>
          </w:divBdr>
        </w:div>
      </w:divsChild>
    </w:div>
    <w:div w:id="1704011097">
      <w:marLeft w:val="0"/>
      <w:marRight w:val="0"/>
      <w:marTop w:val="120"/>
      <w:marBottom w:val="0"/>
      <w:divBdr>
        <w:top w:val="none" w:sz="0" w:space="0" w:color="auto"/>
        <w:left w:val="none" w:sz="0" w:space="0" w:color="auto"/>
        <w:bottom w:val="none" w:sz="0" w:space="0" w:color="auto"/>
        <w:right w:val="none" w:sz="0" w:space="0" w:color="auto"/>
      </w:divBdr>
    </w:div>
    <w:div w:id="1704089203">
      <w:marLeft w:val="0"/>
      <w:marRight w:val="0"/>
      <w:marTop w:val="0"/>
      <w:marBottom w:val="0"/>
      <w:divBdr>
        <w:top w:val="none" w:sz="0" w:space="0" w:color="auto"/>
        <w:left w:val="none" w:sz="0" w:space="0" w:color="auto"/>
        <w:bottom w:val="none" w:sz="0" w:space="0" w:color="auto"/>
        <w:right w:val="none" w:sz="0" w:space="0" w:color="auto"/>
      </w:divBdr>
    </w:div>
    <w:div w:id="1704939965">
      <w:marLeft w:val="0"/>
      <w:marRight w:val="0"/>
      <w:marTop w:val="120"/>
      <w:marBottom w:val="120"/>
      <w:divBdr>
        <w:top w:val="none" w:sz="0" w:space="0" w:color="auto"/>
        <w:left w:val="none" w:sz="0" w:space="0" w:color="auto"/>
        <w:bottom w:val="none" w:sz="0" w:space="0" w:color="auto"/>
        <w:right w:val="none" w:sz="0" w:space="0" w:color="auto"/>
      </w:divBdr>
    </w:div>
    <w:div w:id="1705981322">
      <w:marLeft w:val="0"/>
      <w:marRight w:val="0"/>
      <w:marTop w:val="240"/>
      <w:marBottom w:val="60"/>
      <w:divBdr>
        <w:top w:val="none" w:sz="0" w:space="0" w:color="auto"/>
        <w:left w:val="none" w:sz="0" w:space="0" w:color="auto"/>
        <w:bottom w:val="none" w:sz="0" w:space="0" w:color="auto"/>
        <w:right w:val="none" w:sz="0" w:space="0" w:color="auto"/>
      </w:divBdr>
    </w:div>
    <w:div w:id="1706328019">
      <w:marLeft w:val="0"/>
      <w:marRight w:val="0"/>
      <w:marTop w:val="0"/>
      <w:marBottom w:val="0"/>
      <w:divBdr>
        <w:top w:val="none" w:sz="0" w:space="0" w:color="auto"/>
        <w:left w:val="none" w:sz="0" w:space="0" w:color="auto"/>
        <w:bottom w:val="none" w:sz="0" w:space="0" w:color="auto"/>
        <w:right w:val="none" w:sz="0" w:space="0" w:color="auto"/>
      </w:divBdr>
    </w:div>
    <w:div w:id="1706978361">
      <w:marLeft w:val="0"/>
      <w:marRight w:val="0"/>
      <w:marTop w:val="120"/>
      <w:marBottom w:val="0"/>
      <w:divBdr>
        <w:top w:val="none" w:sz="0" w:space="0" w:color="auto"/>
        <w:left w:val="none" w:sz="0" w:space="0" w:color="auto"/>
        <w:bottom w:val="none" w:sz="0" w:space="0" w:color="auto"/>
        <w:right w:val="none" w:sz="0" w:space="0" w:color="auto"/>
      </w:divBdr>
    </w:div>
    <w:div w:id="1708024810">
      <w:marLeft w:val="0"/>
      <w:marRight w:val="0"/>
      <w:marTop w:val="0"/>
      <w:marBottom w:val="0"/>
      <w:divBdr>
        <w:top w:val="none" w:sz="0" w:space="0" w:color="auto"/>
        <w:left w:val="none" w:sz="0" w:space="0" w:color="auto"/>
        <w:bottom w:val="none" w:sz="0" w:space="0" w:color="auto"/>
        <w:right w:val="none" w:sz="0" w:space="0" w:color="auto"/>
      </w:divBdr>
      <w:divsChild>
        <w:div w:id="936599041">
          <w:marLeft w:val="0"/>
          <w:marRight w:val="0"/>
          <w:marTop w:val="0"/>
          <w:marBottom w:val="0"/>
          <w:divBdr>
            <w:top w:val="none" w:sz="0" w:space="0" w:color="auto"/>
            <w:left w:val="none" w:sz="0" w:space="0" w:color="auto"/>
            <w:bottom w:val="none" w:sz="0" w:space="0" w:color="auto"/>
            <w:right w:val="none" w:sz="0" w:space="0" w:color="auto"/>
          </w:divBdr>
        </w:div>
      </w:divsChild>
    </w:div>
    <w:div w:id="1708406427">
      <w:marLeft w:val="0"/>
      <w:marRight w:val="0"/>
      <w:marTop w:val="120"/>
      <w:marBottom w:val="0"/>
      <w:divBdr>
        <w:top w:val="none" w:sz="0" w:space="0" w:color="auto"/>
        <w:left w:val="none" w:sz="0" w:space="0" w:color="auto"/>
        <w:bottom w:val="none" w:sz="0" w:space="0" w:color="auto"/>
        <w:right w:val="none" w:sz="0" w:space="0" w:color="auto"/>
      </w:divBdr>
    </w:div>
    <w:div w:id="1709918229">
      <w:marLeft w:val="0"/>
      <w:marRight w:val="0"/>
      <w:marTop w:val="120"/>
      <w:marBottom w:val="0"/>
      <w:divBdr>
        <w:top w:val="none" w:sz="0" w:space="0" w:color="auto"/>
        <w:left w:val="none" w:sz="0" w:space="0" w:color="auto"/>
        <w:bottom w:val="none" w:sz="0" w:space="0" w:color="auto"/>
        <w:right w:val="none" w:sz="0" w:space="0" w:color="auto"/>
      </w:divBdr>
    </w:div>
    <w:div w:id="1710103058">
      <w:marLeft w:val="0"/>
      <w:marRight w:val="0"/>
      <w:marTop w:val="0"/>
      <w:marBottom w:val="0"/>
      <w:divBdr>
        <w:top w:val="none" w:sz="0" w:space="0" w:color="auto"/>
        <w:left w:val="none" w:sz="0" w:space="0" w:color="auto"/>
        <w:bottom w:val="none" w:sz="0" w:space="0" w:color="auto"/>
        <w:right w:val="none" w:sz="0" w:space="0" w:color="auto"/>
      </w:divBdr>
    </w:div>
    <w:div w:id="1711108569">
      <w:marLeft w:val="0"/>
      <w:marRight w:val="0"/>
      <w:marTop w:val="0"/>
      <w:marBottom w:val="0"/>
      <w:divBdr>
        <w:top w:val="none" w:sz="0" w:space="0" w:color="auto"/>
        <w:left w:val="none" w:sz="0" w:space="0" w:color="auto"/>
        <w:bottom w:val="none" w:sz="0" w:space="0" w:color="auto"/>
        <w:right w:val="none" w:sz="0" w:space="0" w:color="auto"/>
      </w:divBdr>
    </w:div>
    <w:div w:id="1711488229">
      <w:marLeft w:val="0"/>
      <w:marRight w:val="0"/>
      <w:marTop w:val="120"/>
      <w:marBottom w:val="0"/>
      <w:divBdr>
        <w:top w:val="none" w:sz="0" w:space="0" w:color="auto"/>
        <w:left w:val="none" w:sz="0" w:space="0" w:color="auto"/>
        <w:bottom w:val="none" w:sz="0" w:space="0" w:color="auto"/>
        <w:right w:val="none" w:sz="0" w:space="0" w:color="auto"/>
      </w:divBdr>
    </w:div>
    <w:div w:id="1714118357">
      <w:marLeft w:val="0"/>
      <w:marRight w:val="0"/>
      <w:marTop w:val="0"/>
      <w:marBottom w:val="0"/>
      <w:divBdr>
        <w:top w:val="none" w:sz="0" w:space="0" w:color="auto"/>
        <w:left w:val="none" w:sz="0" w:space="0" w:color="auto"/>
        <w:bottom w:val="none" w:sz="0" w:space="0" w:color="auto"/>
        <w:right w:val="none" w:sz="0" w:space="0" w:color="auto"/>
      </w:divBdr>
    </w:div>
    <w:div w:id="1715740005">
      <w:marLeft w:val="0"/>
      <w:marRight w:val="0"/>
      <w:marTop w:val="120"/>
      <w:marBottom w:val="0"/>
      <w:divBdr>
        <w:top w:val="none" w:sz="0" w:space="0" w:color="auto"/>
        <w:left w:val="none" w:sz="0" w:space="0" w:color="auto"/>
        <w:bottom w:val="none" w:sz="0" w:space="0" w:color="auto"/>
        <w:right w:val="none" w:sz="0" w:space="0" w:color="auto"/>
      </w:divBdr>
    </w:div>
    <w:div w:id="1716810459">
      <w:marLeft w:val="0"/>
      <w:marRight w:val="0"/>
      <w:marTop w:val="120"/>
      <w:marBottom w:val="0"/>
      <w:divBdr>
        <w:top w:val="none" w:sz="0" w:space="0" w:color="auto"/>
        <w:left w:val="none" w:sz="0" w:space="0" w:color="auto"/>
        <w:bottom w:val="none" w:sz="0" w:space="0" w:color="auto"/>
        <w:right w:val="none" w:sz="0" w:space="0" w:color="auto"/>
      </w:divBdr>
    </w:div>
    <w:div w:id="1716923818">
      <w:marLeft w:val="0"/>
      <w:marRight w:val="0"/>
      <w:marTop w:val="120"/>
      <w:marBottom w:val="0"/>
      <w:divBdr>
        <w:top w:val="none" w:sz="0" w:space="0" w:color="auto"/>
        <w:left w:val="none" w:sz="0" w:space="0" w:color="auto"/>
        <w:bottom w:val="none" w:sz="0" w:space="0" w:color="auto"/>
        <w:right w:val="none" w:sz="0" w:space="0" w:color="auto"/>
      </w:divBdr>
    </w:div>
    <w:div w:id="1717772994">
      <w:marLeft w:val="0"/>
      <w:marRight w:val="0"/>
      <w:marTop w:val="120"/>
      <w:marBottom w:val="0"/>
      <w:divBdr>
        <w:top w:val="none" w:sz="0" w:space="0" w:color="auto"/>
        <w:left w:val="none" w:sz="0" w:space="0" w:color="auto"/>
        <w:bottom w:val="none" w:sz="0" w:space="0" w:color="auto"/>
        <w:right w:val="none" w:sz="0" w:space="0" w:color="auto"/>
      </w:divBdr>
    </w:div>
    <w:div w:id="1717968706">
      <w:marLeft w:val="0"/>
      <w:marRight w:val="0"/>
      <w:marTop w:val="180"/>
      <w:marBottom w:val="0"/>
      <w:divBdr>
        <w:top w:val="none" w:sz="0" w:space="0" w:color="auto"/>
        <w:left w:val="none" w:sz="0" w:space="0" w:color="auto"/>
        <w:bottom w:val="none" w:sz="0" w:space="0" w:color="auto"/>
        <w:right w:val="none" w:sz="0" w:space="0" w:color="auto"/>
      </w:divBdr>
    </w:div>
    <w:div w:id="1718047651">
      <w:marLeft w:val="0"/>
      <w:marRight w:val="0"/>
      <w:marTop w:val="0"/>
      <w:marBottom w:val="120"/>
      <w:divBdr>
        <w:top w:val="none" w:sz="0" w:space="0" w:color="auto"/>
        <w:left w:val="none" w:sz="0" w:space="0" w:color="auto"/>
        <w:bottom w:val="none" w:sz="0" w:space="0" w:color="auto"/>
        <w:right w:val="none" w:sz="0" w:space="0" w:color="auto"/>
      </w:divBdr>
      <w:divsChild>
        <w:div w:id="712923114">
          <w:marLeft w:val="0"/>
          <w:marRight w:val="0"/>
          <w:marTop w:val="0"/>
          <w:marBottom w:val="0"/>
          <w:divBdr>
            <w:top w:val="none" w:sz="0" w:space="0" w:color="auto"/>
            <w:left w:val="none" w:sz="0" w:space="0" w:color="auto"/>
            <w:bottom w:val="none" w:sz="0" w:space="0" w:color="auto"/>
            <w:right w:val="none" w:sz="0" w:space="0" w:color="auto"/>
          </w:divBdr>
        </w:div>
        <w:div w:id="1140805954">
          <w:marLeft w:val="0"/>
          <w:marRight w:val="0"/>
          <w:marTop w:val="0"/>
          <w:marBottom w:val="0"/>
          <w:divBdr>
            <w:top w:val="none" w:sz="0" w:space="0" w:color="auto"/>
            <w:left w:val="none" w:sz="0" w:space="0" w:color="auto"/>
            <w:bottom w:val="none" w:sz="0" w:space="0" w:color="auto"/>
            <w:right w:val="none" w:sz="0" w:space="0" w:color="auto"/>
          </w:divBdr>
        </w:div>
        <w:div w:id="2113433859">
          <w:marLeft w:val="0"/>
          <w:marRight w:val="0"/>
          <w:marTop w:val="0"/>
          <w:marBottom w:val="0"/>
          <w:divBdr>
            <w:top w:val="none" w:sz="0" w:space="0" w:color="auto"/>
            <w:left w:val="none" w:sz="0" w:space="0" w:color="auto"/>
            <w:bottom w:val="none" w:sz="0" w:space="0" w:color="auto"/>
            <w:right w:val="none" w:sz="0" w:space="0" w:color="auto"/>
          </w:divBdr>
        </w:div>
        <w:div w:id="685644005">
          <w:marLeft w:val="0"/>
          <w:marRight w:val="0"/>
          <w:marTop w:val="0"/>
          <w:marBottom w:val="0"/>
          <w:divBdr>
            <w:top w:val="none" w:sz="0" w:space="0" w:color="auto"/>
            <w:left w:val="none" w:sz="0" w:space="0" w:color="auto"/>
            <w:bottom w:val="none" w:sz="0" w:space="0" w:color="auto"/>
            <w:right w:val="none" w:sz="0" w:space="0" w:color="auto"/>
          </w:divBdr>
        </w:div>
        <w:div w:id="126894780">
          <w:marLeft w:val="0"/>
          <w:marRight w:val="0"/>
          <w:marTop w:val="0"/>
          <w:marBottom w:val="0"/>
          <w:divBdr>
            <w:top w:val="none" w:sz="0" w:space="0" w:color="auto"/>
            <w:left w:val="none" w:sz="0" w:space="0" w:color="auto"/>
            <w:bottom w:val="none" w:sz="0" w:space="0" w:color="auto"/>
            <w:right w:val="none" w:sz="0" w:space="0" w:color="auto"/>
          </w:divBdr>
        </w:div>
        <w:div w:id="851066870">
          <w:marLeft w:val="0"/>
          <w:marRight w:val="0"/>
          <w:marTop w:val="0"/>
          <w:marBottom w:val="0"/>
          <w:divBdr>
            <w:top w:val="none" w:sz="0" w:space="0" w:color="auto"/>
            <w:left w:val="none" w:sz="0" w:space="0" w:color="auto"/>
            <w:bottom w:val="none" w:sz="0" w:space="0" w:color="auto"/>
            <w:right w:val="none" w:sz="0" w:space="0" w:color="auto"/>
          </w:divBdr>
        </w:div>
        <w:div w:id="1313828001">
          <w:marLeft w:val="0"/>
          <w:marRight w:val="0"/>
          <w:marTop w:val="0"/>
          <w:marBottom w:val="0"/>
          <w:divBdr>
            <w:top w:val="none" w:sz="0" w:space="0" w:color="auto"/>
            <w:left w:val="none" w:sz="0" w:space="0" w:color="auto"/>
            <w:bottom w:val="none" w:sz="0" w:space="0" w:color="auto"/>
            <w:right w:val="none" w:sz="0" w:space="0" w:color="auto"/>
          </w:divBdr>
        </w:div>
        <w:div w:id="2017684415">
          <w:marLeft w:val="0"/>
          <w:marRight w:val="0"/>
          <w:marTop w:val="0"/>
          <w:marBottom w:val="0"/>
          <w:divBdr>
            <w:top w:val="none" w:sz="0" w:space="0" w:color="auto"/>
            <w:left w:val="none" w:sz="0" w:space="0" w:color="auto"/>
            <w:bottom w:val="none" w:sz="0" w:space="0" w:color="auto"/>
            <w:right w:val="none" w:sz="0" w:space="0" w:color="auto"/>
          </w:divBdr>
        </w:div>
        <w:div w:id="808474486">
          <w:marLeft w:val="0"/>
          <w:marRight w:val="0"/>
          <w:marTop w:val="0"/>
          <w:marBottom w:val="0"/>
          <w:divBdr>
            <w:top w:val="none" w:sz="0" w:space="0" w:color="auto"/>
            <w:left w:val="none" w:sz="0" w:space="0" w:color="auto"/>
            <w:bottom w:val="none" w:sz="0" w:space="0" w:color="auto"/>
            <w:right w:val="none" w:sz="0" w:space="0" w:color="auto"/>
          </w:divBdr>
        </w:div>
        <w:div w:id="1823623021">
          <w:marLeft w:val="0"/>
          <w:marRight w:val="0"/>
          <w:marTop w:val="0"/>
          <w:marBottom w:val="0"/>
          <w:divBdr>
            <w:top w:val="none" w:sz="0" w:space="0" w:color="auto"/>
            <w:left w:val="none" w:sz="0" w:space="0" w:color="auto"/>
            <w:bottom w:val="none" w:sz="0" w:space="0" w:color="auto"/>
            <w:right w:val="none" w:sz="0" w:space="0" w:color="auto"/>
          </w:divBdr>
        </w:div>
        <w:div w:id="1151827506">
          <w:marLeft w:val="0"/>
          <w:marRight w:val="0"/>
          <w:marTop w:val="0"/>
          <w:marBottom w:val="0"/>
          <w:divBdr>
            <w:top w:val="none" w:sz="0" w:space="0" w:color="auto"/>
            <w:left w:val="none" w:sz="0" w:space="0" w:color="auto"/>
            <w:bottom w:val="none" w:sz="0" w:space="0" w:color="auto"/>
            <w:right w:val="none" w:sz="0" w:space="0" w:color="auto"/>
          </w:divBdr>
        </w:div>
        <w:div w:id="1676298730">
          <w:marLeft w:val="0"/>
          <w:marRight w:val="0"/>
          <w:marTop w:val="0"/>
          <w:marBottom w:val="0"/>
          <w:divBdr>
            <w:top w:val="none" w:sz="0" w:space="0" w:color="auto"/>
            <w:left w:val="none" w:sz="0" w:space="0" w:color="auto"/>
            <w:bottom w:val="none" w:sz="0" w:space="0" w:color="auto"/>
            <w:right w:val="none" w:sz="0" w:space="0" w:color="auto"/>
          </w:divBdr>
        </w:div>
        <w:div w:id="818307866">
          <w:marLeft w:val="0"/>
          <w:marRight w:val="0"/>
          <w:marTop w:val="0"/>
          <w:marBottom w:val="0"/>
          <w:divBdr>
            <w:top w:val="none" w:sz="0" w:space="0" w:color="auto"/>
            <w:left w:val="none" w:sz="0" w:space="0" w:color="auto"/>
            <w:bottom w:val="none" w:sz="0" w:space="0" w:color="auto"/>
            <w:right w:val="none" w:sz="0" w:space="0" w:color="auto"/>
          </w:divBdr>
        </w:div>
        <w:div w:id="18513076">
          <w:marLeft w:val="0"/>
          <w:marRight w:val="0"/>
          <w:marTop w:val="0"/>
          <w:marBottom w:val="0"/>
          <w:divBdr>
            <w:top w:val="none" w:sz="0" w:space="0" w:color="auto"/>
            <w:left w:val="none" w:sz="0" w:space="0" w:color="auto"/>
            <w:bottom w:val="none" w:sz="0" w:space="0" w:color="auto"/>
            <w:right w:val="none" w:sz="0" w:space="0" w:color="auto"/>
          </w:divBdr>
        </w:div>
        <w:div w:id="776826545">
          <w:marLeft w:val="0"/>
          <w:marRight w:val="0"/>
          <w:marTop w:val="0"/>
          <w:marBottom w:val="0"/>
          <w:divBdr>
            <w:top w:val="none" w:sz="0" w:space="0" w:color="auto"/>
            <w:left w:val="none" w:sz="0" w:space="0" w:color="auto"/>
            <w:bottom w:val="none" w:sz="0" w:space="0" w:color="auto"/>
            <w:right w:val="none" w:sz="0" w:space="0" w:color="auto"/>
          </w:divBdr>
        </w:div>
      </w:divsChild>
    </w:div>
    <w:div w:id="1718158558">
      <w:marLeft w:val="0"/>
      <w:marRight w:val="0"/>
      <w:marTop w:val="120"/>
      <w:marBottom w:val="120"/>
      <w:divBdr>
        <w:top w:val="none" w:sz="0" w:space="0" w:color="auto"/>
        <w:left w:val="none" w:sz="0" w:space="0" w:color="auto"/>
        <w:bottom w:val="none" w:sz="0" w:space="0" w:color="auto"/>
        <w:right w:val="none" w:sz="0" w:space="0" w:color="auto"/>
      </w:divBdr>
      <w:divsChild>
        <w:div w:id="1454589933">
          <w:marLeft w:val="0"/>
          <w:marRight w:val="0"/>
          <w:marTop w:val="0"/>
          <w:marBottom w:val="0"/>
          <w:divBdr>
            <w:top w:val="none" w:sz="0" w:space="0" w:color="auto"/>
            <w:left w:val="none" w:sz="0" w:space="0" w:color="auto"/>
            <w:bottom w:val="none" w:sz="0" w:space="0" w:color="auto"/>
            <w:right w:val="none" w:sz="0" w:space="0" w:color="auto"/>
          </w:divBdr>
        </w:div>
        <w:div w:id="1513453569">
          <w:marLeft w:val="0"/>
          <w:marRight w:val="0"/>
          <w:marTop w:val="0"/>
          <w:marBottom w:val="0"/>
          <w:divBdr>
            <w:top w:val="none" w:sz="0" w:space="0" w:color="auto"/>
            <w:left w:val="none" w:sz="0" w:space="0" w:color="auto"/>
            <w:bottom w:val="none" w:sz="0" w:space="0" w:color="auto"/>
            <w:right w:val="none" w:sz="0" w:space="0" w:color="auto"/>
          </w:divBdr>
        </w:div>
      </w:divsChild>
    </w:div>
    <w:div w:id="1718234638">
      <w:marLeft w:val="0"/>
      <w:marRight w:val="0"/>
      <w:marTop w:val="0"/>
      <w:marBottom w:val="60"/>
      <w:divBdr>
        <w:top w:val="none" w:sz="0" w:space="0" w:color="auto"/>
        <w:left w:val="none" w:sz="0" w:space="0" w:color="auto"/>
        <w:bottom w:val="none" w:sz="0" w:space="0" w:color="auto"/>
        <w:right w:val="none" w:sz="0" w:space="0" w:color="auto"/>
      </w:divBdr>
    </w:div>
    <w:div w:id="1718625705">
      <w:marLeft w:val="0"/>
      <w:marRight w:val="0"/>
      <w:marTop w:val="0"/>
      <w:marBottom w:val="0"/>
      <w:divBdr>
        <w:top w:val="none" w:sz="0" w:space="0" w:color="auto"/>
        <w:left w:val="none" w:sz="0" w:space="0" w:color="auto"/>
        <w:bottom w:val="none" w:sz="0" w:space="0" w:color="auto"/>
        <w:right w:val="none" w:sz="0" w:space="0" w:color="auto"/>
      </w:divBdr>
    </w:div>
    <w:div w:id="1719936619">
      <w:marLeft w:val="0"/>
      <w:marRight w:val="0"/>
      <w:marTop w:val="120"/>
      <w:marBottom w:val="0"/>
      <w:divBdr>
        <w:top w:val="none" w:sz="0" w:space="0" w:color="auto"/>
        <w:left w:val="none" w:sz="0" w:space="0" w:color="auto"/>
        <w:bottom w:val="none" w:sz="0" w:space="0" w:color="auto"/>
        <w:right w:val="none" w:sz="0" w:space="0" w:color="auto"/>
      </w:divBdr>
    </w:div>
    <w:div w:id="1721784010">
      <w:marLeft w:val="0"/>
      <w:marRight w:val="0"/>
      <w:marTop w:val="0"/>
      <w:marBottom w:val="0"/>
      <w:divBdr>
        <w:top w:val="none" w:sz="0" w:space="0" w:color="auto"/>
        <w:left w:val="none" w:sz="0" w:space="0" w:color="auto"/>
        <w:bottom w:val="none" w:sz="0" w:space="0" w:color="auto"/>
        <w:right w:val="none" w:sz="0" w:space="0" w:color="auto"/>
      </w:divBdr>
      <w:divsChild>
        <w:div w:id="1692563033">
          <w:marLeft w:val="0"/>
          <w:marRight w:val="0"/>
          <w:marTop w:val="0"/>
          <w:marBottom w:val="0"/>
          <w:divBdr>
            <w:top w:val="none" w:sz="0" w:space="0" w:color="auto"/>
            <w:left w:val="none" w:sz="0" w:space="0" w:color="auto"/>
            <w:bottom w:val="none" w:sz="0" w:space="0" w:color="auto"/>
            <w:right w:val="none" w:sz="0" w:space="0" w:color="auto"/>
          </w:divBdr>
        </w:div>
      </w:divsChild>
    </w:div>
    <w:div w:id="1723559273">
      <w:marLeft w:val="0"/>
      <w:marRight w:val="0"/>
      <w:marTop w:val="120"/>
      <w:marBottom w:val="0"/>
      <w:divBdr>
        <w:top w:val="none" w:sz="0" w:space="0" w:color="auto"/>
        <w:left w:val="none" w:sz="0" w:space="0" w:color="auto"/>
        <w:bottom w:val="none" w:sz="0" w:space="0" w:color="auto"/>
        <w:right w:val="none" w:sz="0" w:space="0" w:color="auto"/>
      </w:divBdr>
    </w:div>
    <w:div w:id="1725330198">
      <w:marLeft w:val="0"/>
      <w:marRight w:val="0"/>
      <w:marTop w:val="120"/>
      <w:marBottom w:val="0"/>
      <w:divBdr>
        <w:top w:val="none" w:sz="0" w:space="0" w:color="auto"/>
        <w:left w:val="none" w:sz="0" w:space="0" w:color="auto"/>
        <w:bottom w:val="none" w:sz="0" w:space="0" w:color="auto"/>
        <w:right w:val="none" w:sz="0" w:space="0" w:color="auto"/>
      </w:divBdr>
    </w:div>
    <w:div w:id="1725829478">
      <w:marLeft w:val="0"/>
      <w:marRight w:val="0"/>
      <w:marTop w:val="0"/>
      <w:marBottom w:val="0"/>
      <w:divBdr>
        <w:top w:val="none" w:sz="0" w:space="0" w:color="auto"/>
        <w:left w:val="none" w:sz="0" w:space="0" w:color="auto"/>
        <w:bottom w:val="none" w:sz="0" w:space="0" w:color="auto"/>
        <w:right w:val="none" w:sz="0" w:space="0" w:color="auto"/>
      </w:divBdr>
    </w:div>
    <w:div w:id="1727096253">
      <w:marLeft w:val="0"/>
      <w:marRight w:val="0"/>
      <w:marTop w:val="120"/>
      <w:marBottom w:val="0"/>
      <w:divBdr>
        <w:top w:val="none" w:sz="0" w:space="0" w:color="auto"/>
        <w:left w:val="none" w:sz="0" w:space="0" w:color="auto"/>
        <w:bottom w:val="none" w:sz="0" w:space="0" w:color="auto"/>
        <w:right w:val="none" w:sz="0" w:space="0" w:color="auto"/>
      </w:divBdr>
    </w:div>
    <w:div w:id="1728529295">
      <w:marLeft w:val="0"/>
      <w:marRight w:val="0"/>
      <w:marTop w:val="0"/>
      <w:marBottom w:val="0"/>
      <w:divBdr>
        <w:top w:val="none" w:sz="0" w:space="0" w:color="auto"/>
        <w:left w:val="none" w:sz="0" w:space="0" w:color="auto"/>
        <w:bottom w:val="none" w:sz="0" w:space="0" w:color="auto"/>
        <w:right w:val="none" w:sz="0" w:space="0" w:color="auto"/>
      </w:divBdr>
      <w:divsChild>
        <w:div w:id="27263402">
          <w:marLeft w:val="0"/>
          <w:marRight w:val="0"/>
          <w:marTop w:val="0"/>
          <w:marBottom w:val="0"/>
          <w:divBdr>
            <w:top w:val="none" w:sz="0" w:space="0" w:color="auto"/>
            <w:left w:val="none" w:sz="0" w:space="0" w:color="auto"/>
            <w:bottom w:val="none" w:sz="0" w:space="0" w:color="auto"/>
            <w:right w:val="none" w:sz="0" w:space="0" w:color="auto"/>
          </w:divBdr>
        </w:div>
      </w:divsChild>
    </w:div>
    <w:div w:id="1729496401">
      <w:marLeft w:val="0"/>
      <w:marRight w:val="0"/>
      <w:marTop w:val="120"/>
      <w:marBottom w:val="0"/>
      <w:divBdr>
        <w:top w:val="none" w:sz="0" w:space="0" w:color="auto"/>
        <w:left w:val="none" w:sz="0" w:space="0" w:color="auto"/>
        <w:bottom w:val="none" w:sz="0" w:space="0" w:color="auto"/>
        <w:right w:val="none" w:sz="0" w:space="0" w:color="auto"/>
      </w:divBdr>
    </w:div>
    <w:div w:id="1731417327">
      <w:marLeft w:val="0"/>
      <w:marRight w:val="0"/>
      <w:marTop w:val="0"/>
      <w:marBottom w:val="0"/>
      <w:divBdr>
        <w:top w:val="none" w:sz="0" w:space="0" w:color="auto"/>
        <w:left w:val="none" w:sz="0" w:space="0" w:color="auto"/>
        <w:bottom w:val="none" w:sz="0" w:space="0" w:color="auto"/>
        <w:right w:val="none" w:sz="0" w:space="0" w:color="auto"/>
      </w:divBdr>
    </w:div>
    <w:div w:id="1732731997">
      <w:marLeft w:val="0"/>
      <w:marRight w:val="0"/>
      <w:marTop w:val="120"/>
      <w:marBottom w:val="0"/>
      <w:divBdr>
        <w:top w:val="none" w:sz="0" w:space="0" w:color="auto"/>
        <w:left w:val="none" w:sz="0" w:space="0" w:color="auto"/>
        <w:bottom w:val="none" w:sz="0" w:space="0" w:color="auto"/>
        <w:right w:val="none" w:sz="0" w:space="0" w:color="auto"/>
      </w:divBdr>
    </w:div>
    <w:div w:id="1733190685">
      <w:marLeft w:val="0"/>
      <w:marRight w:val="0"/>
      <w:marTop w:val="0"/>
      <w:marBottom w:val="0"/>
      <w:divBdr>
        <w:top w:val="none" w:sz="0" w:space="0" w:color="auto"/>
        <w:left w:val="none" w:sz="0" w:space="0" w:color="auto"/>
        <w:bottom w:val="none" w:sz="0" w:space="0" w:color="auto"/>
        <w:right w:val="none" w:sz="0" w:space="0" w:color="auto"/>
      </w:divBdr>
    </w:div>
    <w:div w:id="1733456738">
      <w:marLeft w:val="0"/>
      <w:marRight w:val="0"/>
      <w:marTop w:val="120"/>
      <w:marBottom w:val="0"/>
      <w:divBdr>
        <w:top w:val="none" w:sz="0" w:space="0" w:color="auto"/>
        <w:left w:val="none" w:sz="0" w:space="0" w:color="auto"/>
        <w:bottom w:val="none" w:sz="0" w:space="0" w:color="auto"/>
        <w:right w:val="none" w:sz="0" w:space="0" w:color="auto"/>
      </w:divBdr>
    </w:div>
    <w:div w:id="1733773007">
      <w:marLeft w:val="0"/>
      <w:marRight w:val="0"/>
      <w:marTop w:val="180"/>
      <w:marBottom w:val="0"/>
      <w:divBdr>
        <w:top w:val="none" w:sz="0" w:space="0" w:color="auto"/>
        <w:left w:val="none" w:sz="0" w:space="0" w:color="auto"/>
        <w:bottom w:val="none" w:sz="0" w:space="0" w:color="auto"/>
        <w:right w:val="none" w:sz="0" w:space="0" w:color="auto"/>
      </w:divBdr>
    </w:div>
    <w:div w:id="1734279977">
      <w:marLeft w:val="0"/>
      <w:marRight w:val="0"/>
      <w:marTop w:val="0"/>
      <w:marBottom w:val="120"/>
      <w:divBdr>
        <w:top w:val="none" w:sz="0" w:space="0" w:color="auto"/>
        <w:left w:val="none" w:sz="0" w:space="0" w:color="auto"/>
        <w:bottom w:val="none" w:sz="0" w:space="0" w:color="auto"/>
        <w:right w:val="none" w:sz="0" w:space="0" w:color="auto"/>
      </w:divBdr>
      <w:divsChild>
        <w:div w:id="1285846379">
          <w:marLeft w:val="0"/>
          <w:marRight w:val="0"/>
          <w:marTop w:val="0"/>
          <w:marBottom w:val="0"/>
          <w:divBdr>
            <w:top w:val="none" w:sz="0" w:space="0" w:color="auto"/>
            <w:left w:val="none" w:sz="0" w:space="0" w:color="auto"/>
            <w:bottom w:val="none" w:sz="0" w:space="0" w:color="auto"/>
            <w:right w:val="none" w:sz="0" w:space="0" w:color="auto"/>
          </w:divBdr>
        </w:div>
        <w:div w:id="871186051">
          <w:marLeft w:val="0"/>
          <w:marRight w:val="0"/>
          <w:marTop w:val="0"/>
          <w:marBottom w:val="0"/>
          <w:divBdr>
            <w:top w:val="none" w:sz="0" w:space="0" w:color="auto"/>
            <w:left w:val="none" w:sz="0" w:space="0" w:color="auto"/>
            <w:bottom w:val="none" w:sz="0" w:space="0" w:color="auto"/>
            <w:right w:val="none" w:sz="0" w:space="0" w:color="auto"/>
          </w:divBdr>
        </w:div>
        <w:div w:id="1017463191">
          <w:marLeft w:val="0"/>
          <w:marRight w:val="0"/>
          <w:marTop w:val="0"/>
          <w:marBottom w:val="0"/>
          <w:divBdr>
            <w:top w:val="none" w:sz="0" w:space="0" w:color="auto"/>
            <w:left w:val="none" w:sz="0" w:space="0" w:color="auto"/>
            <w:bottom w:val="none" w:sz="0" w:space="0" w:color="auto"/>
            <w:right w:val="none" w:sz="0" w:space="0" w:color="auto"/>
          </w:divBdr>
        </w:div>
        <w:div w:id="1603537513">
          <w:marLeft w:val="0"/>
          <w:marRight w:val="0"/>
          <w:marTop w:val="0"/>
          <w:marBottom w:val="0"/>
          <w:divBdr>
            <w:top w:val="none" w:sz="0" w:space="0" w:color="auto"/>
            <w:left w:val="none" w:sz="0" w:space="0" w:color="auto"/>
            <w:bottom w:val="none" w:sz="0" w:space="0" w:color="auto"/>
            <w:right w:val="none" w:sz="0" w:space="0" w:color="auto"/>
          </w:divBdr>
        </w:div>
        <w:div w:id="1500269840">
          <w:marLeft w:val="0"/>
          <w:marRight w:val="0"/>
          <w:marTop w:val="0"/>
          <w:marBottom w:val="0"/>
          <w:divBdr>
            <w:top w:val="none" w:sz="0" w:space="0" w:color="auto"/>
            <w:left w:val="none" w:sz="0" w:space="0" w:color="auto"/>
            <w:bottom w:val="none" w:sz="0" w:space="0" w:color="auto"/>
            <w:right w:val="none" w:sz="0" w:space="0" w:color="auto"/>
          </w:divBdr>
        </w:div>
        <w:div w:id="1995715110">
          <w:marLeft w:val="0"/>
          <w:marRight w:val="0"/>
          <w:marTop w:val="0"/>
          <w:marBottom w:val="0"/>
          <w:divBdr>
            <w:top w:val="none" w:sz="0" w:space="0" w:color="auto"/>
            <w:left w:val="none" w:sz="0" w:space="0" w:color="auto"/>
            <w:bottom w:val="none" w:sz="0" w:space="0" w:color="auto"/>
            <w:right w:val="none" w:sz="0" w:space="0" w:color="auto"/>
          </w:divBdr>
        </w:div>
        <w:div w:id="1694262230">
          <w:marLeft w:val="0"/>
          <w:marRight w:val="0"/>
          <w:marTop w:val="0"/>
          <w:marBottom w:val="0"/>
          <w:divBdr>
            <w:top w:val="none" w:sz="0" w:space="0" w:color="auto"/>
            <w:left w:val="none" w:sz="0" w:space="0" w:color="auto"/>
            <w:bottom w:val="none" w:sz="0" w:space="0" w:color="auto"/>
            <w:right w:val="none" w:sz="0" w:space="0" w:color="auto"/>
          </w:divBdr>
        </w:div>
        <w:div w:id="810367883">
          <w:marLeft w:val="0"/>
          <w:marRight w:val="0"/>
          <w:marTop w:val="0"/>
          <w:marBottom w:val="0"/>
          <w:divBdr>
            <w:top w:val="none" w:sz="0" w:space="0" w:color="auto"/>
            <w:left w:val="none" w:sz="0" w:space="0" w:color="auto"/>
            <w:bottom w:val="none" w:sz="0" w:space="0" w:color="auto"/>
            <w:right w:val="none" w:sz="0" w:space="0" w:color="auto"/>
          </w:divBdr>
        </w:div>
        <w:div w:id="1259831083">
          <w:marLeft w:val="0"/>
          <w:marRight w:val="0"/>
          <w:marTop w:val="0"/>
          <w:marBottom w:val="0"/>
          <w:divBdr>
            <w:top w:val="none" w:sz="0" w:space="0" w:color="auto"/>
            <w:left w:val="none" w:sz="0" w:space="0" w:color="auto"/>
            <w:bottom w:val="none" w:sz="0" w:space="0" w:color="auto"/>
            <w:right w:val="none" w:sz="0" w:space="0" w:color="auto"/>
          </w:divBdr>
        </w:div>
        <w:div w:id="1129086406">
          <w:marLeft w:val="0"/>
          <w:marRight w:val="0"/>
          <w:marTop w:val="0"/>
          <w:marBottom w:val="0"/>
          <w:divBdr>
            <w:top w:val="none" w:sz="0" w:space="0" w:color="auto"/>
            <w:left w:val="none" w:sz="0" w:space="0" w:color="auto"/>
            <w:bottom w:val="none" w:sz="0" w:space="0" w:color="auto"/>
            <w:right w:val="none" w:sz="0" w:space="0" w:color="auto"/>
          </w:divBdr>
        </w:div>
        <w:div w:id="906577381">
          <w:marLeft w:val="0"/>
          <w:marRight w:val="0"/>
          <w:marTop w:val="0"/>
          <w:marBottom w:val="0"/>
          <w:divBdr>
            <w:top w:val="none" w:sz="0" w:space="0" w:color="auto"/>
            <w:left w:val="none" w:sz="0" w:space="0" w:color="auto"/>
            <w:bottom w:val="none" w:sz="0" w:space="0" w:color="auto"/>
            <w:right w:val="none" w:sz="0" w:space="0" w:color="auto"/>
          </w:divBdr>
        </w:div>
        <w:div w:id="2020544362">
          <w:marLeft w:val="0"/>
          <w:marRight w:val="0"/>
          <w:marTop w:val="0"/>
          <w:marBottom w:val="0"/>
          <w:divBdr>
            <w:top w:val="none" w:sz="0" w:space="0" w:color="auto"/>
            <w:left w:val="none" w:sz="0" w:space="0" w:color="auto"/>
            <w:bottom w:val="none" w:sz="0" w:space="0" w:color="auto"/>
            <w:right w:val="none" w:sz="0" w:space="0" w:color="auto"/>
          </w:divBdr>
        </w:div>
        <w:div w:id="1455244810">
          <w:marLeft w:val="0"/>
          <w:marRight w:val="0"/>
          <w:marTop w:val="0"/>
          <w:marBottom w:val="0"/>
          <w:divBdr>
            <w:top w:val="none" w:sz="0" w:space="0" w:color="auto"/>
            <w:left w:val="none" w:sz="0" w:space="0" w:color="auto"/>
            <w:bottom w:val="none" w:sz="0" w:space="0" w:color="auto"/>
            <w:right w:val="none" w:sz="0" w:space="0" w:color="auto"/>
          </w:divBdr>
        </w:div>
        <w:div w:id="472211964">
          <w:marLeft w:val="0"/>
          <w:marRight w:val="0"/>
          <w:marTop w:val="0"/>
          <w:marBottom w:val="0"/>
          <w:divBdr>
            <w:top w:val="none" w:sz="0" w:space="0" w:color="auto"/>
            <w:left w:val="none" w:sz="0" w:space="0" w:color="auto"/>
            <w:bottom w:val="none" w:sz="0" w:space="0" w:color="auto"/>
            <w:right w:val="none" w:sz="0" w:space="0" w:color="auto"/>
          </w:divBdr>
        </w:div>
        <w:div w:id="467630249">
          <w:marLeft w:val="0"/>
          <w:marRight w:val="0"/>
          <w:marTop w:val="0"/>
          <w:marBottom w:val="0"/>
          <w:divBdr>
            <w:top w:val="none" w:sz="0" w:space="0" w:color="auto"/>
            <w:left w:val="none" w:sz="0" w:space="0" w:color="auto"/>
            <w:bottom w:val="none" w:sz="0" w:space="0" w:color="auto"/>
            <w:right w:val="none" w:sz="0" w:space="0" w:color="auto"/>
          </w:divBdr>
        </w:div>
        <w:div w:id="714112886">
          <w:marLeft w:val="0"/>
          <w:marRight w:val="0"/>
          <w:marTop w:val="0"/>
          <w:marBottom w:val="0"/>
          <w:divBdr>
            <w:top w:val="none" w:sz="0" w:space="0" w:color="auto"/>
            <w:left w:val="none" w:sz="0" w:space="0" w:color="auto"/>
            <w:bottom w:val="none" w:sz="0" w:space="0" w:color="auto"/>
            <w:right w:val="none" w:sz="0" w:space="0" w:color="auto"/>
          </w:divBdr>
        </w:div>
        <w:div w:id="275872903">
          <w:marLeft w:val="0"/>
          <w:marRight w:val="0"/>
          <w:marTop w:val="0"/>
          <w:marBottom w:val="0"/>
          <w:divBdr>
            <w:top w:val="none" w:sz="0" w:space="0" w:color="auto"/>
            <w:left w:val="none" w:sz="0" w:space="0" w:color="auto"/>
            <w:bottom w:val="none" w:sz="0" w:space="0" w:color="auto"/>
            <w:right w:val="none" w:sz="0" w:space="0" w:color="auto"/>
          </w:divBdr>
        </w:div>
        <w:div w:id="1959868970">
          <w:marLeft w:val="0"/>
          <w:marRight w:val="0"/>
          <w:marTop w:val="0"/>
          <w:marBottom w:val="0"/>
          <w:divBdr>
            <w:top w:val="none" w:sz="0" w:space="0" w:color="auto"/>
            <w:left w:val="none" w:sz="0" w:space="0" w:color="auto"/>
            <w:bottom w:val="none" w:sz="0" w:space="0" w:color="auto"/>
            <w:right w:val="none" w:sz="0" w:space="0" w:color="auto"/>
          </w:divBdr>
        </w:div>
      </w:divsChild>
    </w:div>
    <w:div w:id="1734305894">
      <w:marLeft w:val="0"/>
      <w:marRight w:val="0"/>
      <w:marTop w:val="120"/>
      <w:marBottom w:val="0"/>
      <w:divBdr>
        <w:top w:val="none" w:sz="0" w:space="0" w:color="auto"/>
        <w:left w:val="none" w:sz="0" w:space="0" w:color="auto"/>
        <w:bottom w:val="none" w:sz="0" w:space="0" w:color="auto"/>
        <w:right w:val="none" w:sz="0" w:space="0" w:color="auto"/>
      </w:divBdr>
    </w:div>
    <w:div w:id="1734429611">
      <w:marLeft w:val="0"/>
      <w:marRight w:val="0"/>
      <w:marTop w:val="0"/>
      <w:marBottom w:val="0"/>
      <w:divBdr>
        <w:top w:val="none" w:sz="0" w:space="0" w:color="auto"/>
        <w:left w:val="none" w:sz="0" w:space="0" w:color="auto"/>
        <w:bottom w:val="none" w:sz="0" w:space="0" w:color="auto"/>
        <w:right w:val="none" w:sz="0" w:space="0" w:color="auto"/>
      </w:divBdr>
    </w:div>
    <w:div w:id="1734548212">
      <w:marLeft w:val="0"/>
      <w:marRight w:val="0"/>
      <w:marTop w:val="120"/>
      <w:marBottom w:val="0"/>
      <w:divBdr>
        <w:top w:val="none" w:sz="0" w:space="0" w:color="auto"/>
        <w:left w:val="none" w:sz="0" w:space="0" w:color="auto"/>
        <w:bottom w:val="none" w:sz="0" w:space="0" w:color="auto"/>
        <w:right w:val="none" w:sz="0" w:space="0" w:color="auto"/>
      </w:divBdr>
    </w:div>
    <w:div w:id="1734886251">
      <w:marLeft w:val="0"/>
      <w:marRight w:val="0"/>
      <w:marTop w:val="120"/>
      <w:marBottom w:val="0"/>
      <w:divBdr>
        <w:top w:val="none" w:sz="0" w:space="0" w:color="auto"/>
        <w:left w:val="none" w:sz="0" w:space="0" w:color="auto"/>
        <w:bottom w:val="none" w:sz="0" w:space="0" w:color="auto"/>
        <w:right w:val="none" w:sz="0" w:space="0" w:color="auto"/>
      </w:divBdr>
    </w:div>
    <w:div w:id="1735007527">
      <w:marLeft w:val="0"/>
      <w:marRight w:val="0"/>
      <w:marTop w:val="0"/>
      <w:marBottom w:val="0"/>
      <w:divBdr>
        <w:top w:val="none" w:sz="0" w:space="0" w:color="auto"/>
        <w:left w:val="none" w:sz="0" w:space="0" w:color="auto"/>
        <w:bottom w:val="none" w:sz="0" w:space="0" w:color="auto"/>
        <w:right w:val="none" w:sz="0" w:space="0" w:color="auto"/>
      </w:divBdr>
    </w:div>
    <w:div w:id="1736077557">
      <w:marLeft w:val="0"/>
      <w:marRight w:val="0"/>
      <w:marTop w:val="0"/>
      <w:marBottom w:val="0"/>
      <w:divBdr>
        <w:top w:val="none" w:sz="0" w:space="0" w:color="auto"/>
        <w:left w:val="none" w:sz="0" w:space="0" w:color="auto"/>
        <w:bottom w:val="none" w:sz="0" w:space="0" w:color="auto"/>
        <w:right w:val="none" w:sz="0" w:space="0" w:color="auto"/>
      </w:divBdr>
      <w:divsChild>
        <w:div w:id="970017283">
          <w:marLeft w:val="0"/>
          <w:marRight w:val="0"/>
          <w:marTop w:val="0"/>
          <w:marBottom w:val="0"/>
          <w:divBdr>
            <w:top w:val="none" w:sz="0" w:space="0" w:color="auto"/>
            <w:left w:val="none" w:sz="0" w:space="0" w:color="auto"/>
            <w:bottom w:val="none" w:sz="0" w:space="0" w:color="auto"/>
            <w:right w:val="none" w:sz="0" w:space="0" w:color="auto"/>
          </w:divBdr>
        </w:div>
      </w:divsChild>
    </w:div>
    <w:div w:id="1736467735">
      <w:marLeft w:val="0"/>
      <w:marRight w:val="0"/>
      <w:marTop w:val="0"/>
      <w:marBottom w:val="0"/>
      <w:divBdr>
        <w:top w:val="none" w:sz="0" w:space="0" w:color="auto"/>
        <w:left w:val="none" w:sz="0" w:space="0" w:color="auto"/>
        <w:bottom w:val="none" w:sz="0" w:space="0" w:color="auto"/>
        <w:right w:val="none" w:sz="0" w:space="0" w:color="auto"/>
      </w:divBdr>
      <w:divsChild>
        <w:div w:id="828788494">
          <w:marLeft w:val="0"/>
          <w:marRight w:val="0"/>
          <w:marTop w:val="0"/>
          <w:marBottom w:val="0"/>
          <w:divBdr>
            <w:top w:val="none" w:sz="0" w:space="0" w:color="auto"/>
            <w:left w:val="none" w:sz="0" w:space="0" w:color="auto"/>
            <w:bottom w:val="none" w:sz="0" w:space="0" w:color="auto"/>
            <w:right w:val="none" w:sz="0" w:space="0" w:color="auto"/>
          </w:divBdr>
        </w:div>
      </w:divsChild>
    </w:div>
    <w:div w:id="1736976587">
      <w:marLeft w:val="0"/>
      <w:marRight w:val="0"/>
      <w:marTop w:val="120"/>
      <w:marBottom w:val="0"/>
      <w:divBdr>
        <w:top w:val="none" w:sz="0" w:space="0" w:color="auto"/>
        <w:left w:val="none" w:sz="0" w:space="0" w:color="auto"/>
        <w:bottom w:val="none" w:sz="0" w:space="0" w:color="auto"/>
        <w:right w:val="none" w:sz="0" w:space="0" w:color="auto"/>
      </w:divBdr>
    </w:div>
    <w:div w:id="1737820087">
      <w:marLeft w:val="0"/>
      <w:marRight w:val="0"/>
      <w:marTop w:val="120"/>
      <w:marBottom w:val="0"/>
      <w:divBdr>
        <w:top w:val="none" w:sz="0" w:space="0" w:color="auto"/>
        <w:left w:val="none" w:sz="0" w:space="0" w:color="auto"/>
        <w:bottom w:val="none" w:sz="0" w:space="0" w:color="auto"/>
        <w:right w:val="none" w:sz="0" w:space="0" w:color="auto"/>
      </w:divBdr>
    </w:div>
    <w:div w:id="1739815712">
      <w:marLeft w:val="0"/>
      <w:marRight w:val="0"/>
      <w:marTop w:val="0"/>
      <w:marBottom w:val="120"/>
      <w:divBdr>
        <w:top w:val="none" w:sz="0" w:space="0" w:color="auto"/>
        <w:left w:val="none" w:sz="0" w:space="0" w:color="auto"/>
        <w:bottom w:val="none" w:sz="0" w:space="0" w:color="auto"/>
        <w:right w:val="none" w:sz="0" w:space="0" w:color="auto"/>
      </w:divBdr>
    </w:div>
    <w:div w:id="1740249368">
      <w:marLeft w:val="0"/>
      <w:marRight w:val="0"/>
      <w:marTop w:val="120"/>
      <w:marBottom w:val="0"/>
      <w:divBdr>
        <w:top w:val="none" w:sz="0" w:space="0" w:color="auto"/>
        <w:left w:val="none" w:sz="0" w:space="0" w:color="auto"/>
        <w:bottom w:val="none" w:sz="0" w:space="0" w:color="auto"/>
        <w:right w:val="none" w:sz="0" w:space="0" w:color="auto"/>
      </w:divBdr>
    </w:div>
    <w:div w:id="1740249390">
      <w:marLeft w:val="0"/>
      <w:marRight w:val="0"/>
      <w:marTop w:val="0"/>
      <w:marBottom w:val="0"/>
      <w:divBdr>
        <w:top w:val="none" w:sz="0" w:space="0" w:color="auto"/>
        <w:left w:val="none" w:sz="0" w:space="0" w:color="auto"/>
        <w:bottom w:val="none" w:sz="0" w:space="0" w:color="auto"/>
        <w:right w:val="none" w:sz="0" w:space="0" w:color="auto"/>
      </w:divBdr>
    </w:div>
    <w:div w:id="1740250364">
      <w:marLeft w:val="0"/>
      <w:marRight w:val="0"/>
      <w:marTop w:val="0"/>
      <w:marBottom w:val="0"/>
      <w:divBdr>
        <w:top w:val="none" w:sz="0" w:space="0" w:color="auto"/>
        <w:left w:val="none" w:sz="0" w:space="0" w:color="auto"/>
        <w:bottom w:val="none" w:sz="0" w:space="0" w:color="auto"/>
        <w:right w:val="none" w:sz="0" w:space="0" w:color="auto"/>
      </w:divBdr>
    </w:div>
    <w:div w:id="1741904150">
      <w:marLeft w:val="0"/>
      <w:marRight w:val="0"/>
      <w:marTop w:val="200"/>
      <w:marBottom w:val="0"/>
      <w:divBdr>
        <w:top w:val="none" w:sz="0" w:space="0" w:color="auto"/>
        <w:left w:val="none" w:sz="0" w:space="0" w:color="auto"/>
        <w:bottom w:val="none" w:sz="0" w:space="0" w:color="auto"/>
        <w:right w:val="none" w:sz="0" w:space="0" w:color="auto"/>
      </w:divBdr>
    </w:div>
    <w:div w:id="1742143898">
      <w:marLeft w:val="0"/>
      <w:marRight w:val="0"/>
      <w:marTop w:val="120"/>
      <w:marBottom w:val="0"/>
      <w:divBdr>
        <w:top w:val="none" w:sz="0" w:space="0" w:color="auto"/>
        <w:left w:val="none" w:sz="0" w:space="0" w:color="auto"/>
        <w:bottom w:val="none" w:sz="0" w:space="0" w:color="auto"/>
        <w:right w:val="none" w:sz="0" w:space="0" w:color="auto"/>
      </w:divBdr>
    </w:div>
    <w:div w:id="1743717545">
      <w:marLeft w:val="0"/>
      <w:marRight w:val="0"/>
      <w:marTop w:val="120"/>
      <w:marBottom w:val="0"/>
      <w:divBdr>
        <w:top w:val="none" w:sz="0" w:space="0" w:color="auto"/>
        <w:left w:val="none" w:sz="0" w:space="0" w:color="auto"/>
        <w:bottom w:val="none" w:sz="0" w:space="0" w:color="auto"/>
        <w:right w:val="none" w:sz="0" w:space="0" w:color="auto"/>
      </w:divBdr>
    </w:div>
    <w:div w:id="1746029058">
      <w:marLeft w:val="0"/>
      <w:marRight w:val="0"/>
      <w:marTop w:val="0"/>
      <w:marBottom w:val="120"/>
      <w:divBdr>
        <w:top w:val="none" w:sz="0" w:space="0" w:color="auto"/>
        <w:left w:val="none" w:sz="0" w:space="0" w:color="auto"/>
        <w:bottom w:val="none" w:sz="0" w:space="0" w:color="auto"/>
        <w:right w:val="none" w:sz="0" w:space="0" w:color="auto"/>
      </w:divBdr>
      <w:divsChild>
        <w:div w:id="1324622550">
          <w:marLeft w:val="0"/>
          <w:marRight w:val="0"/>
          <w:marTop w:val="0"/>
          <w:marBottom w:val="0"/>
          <w:divBdr>
            <w:top w:val="none" w:sz="0" w:space="0" w:color="auto"/>
            <w:left w:val="none" w:sz="0" w:space="0" w:color="auto"/>
            <w:bottom w:val="none" w:sz="0" w:space="0" w:color="auto"/>
            <w:right w:val="none" w:sz="0" w:space="0" w:color="auto"/>
          </w:divBdr>
        </w:div>
      </w:divsChild>
    </w:div>
    <w:div w:id="1746299383">
      <w:marLeft w:val="0"/>
      <w:marRight w:val="0"/>
      <w:marTop w:val="0"/>
      <w:marBottom w:val="0"/>
      <w:divBdr>
        <w:top w:val="none" w:sz="0" w:space="0" w:color="auto"/>
        <w:left w:val="none" w:sz="0" w:space="0" w:color="auto"/>
        <w:bottom w:val="none" w:sz="0" w:space="0" w:color="auto"/>
        <w:right w:val="none" w:sz="0" w:space="0" w:color="auto"/>
      </w:divBdr>
    </w:div>
    <w:div w:id="1746535674">
      <w:marLeft w:val="0"/>
      <w:marRight w:val="0"/>
      <w:marTop w:val="120"/>
      <w:marBottom w:val="0"/>
      <w:divBdr>
        <w:top w:val="none" w:sz="0" w:space="0" w:color="auto"/>
        <w:left w:val="none" w:sz="0" w:space="0" w:color="auto"/>
        <w:bottom w:val="none" w:sz="0" w:space="0" w:color="auto"/>
        <w:right w:val="none" w:sz="0" w:space="0" w:color="auto"/>
      </w:divBdr>
    </w:div>
    <w:div w:id="1747602917">
      <w:marLeft w:val="0"/>
      <w:marRight w:val="0"/>
      <w:marTop w:val="120"/>
      <w:marBottom w:val="0"/>
      <w:divBdr>
        <w:top w:val="none" w:sz="0" w:space="0" w:color="auto"/>
        <w:left w:val="none" w:sz="0" w:space="0" w:color="auto"/>
        <w:bottom w:val="none" w:sz="0" w:space="0" w:color="auto"/>
        <w:right w:val="none" w:sz="0" w:space="0" w:color="auto"/>
      </w:divBdr>
    </w:div>
    <w:div w:id="1747727080">
      <w:marLeft w:val="0"/>
      <w:marRight w:val="0"/>
      <w:marTop w:val="120"/>
      <w:marBottom w:val="0"/>
      <w:divBdr>
        <w:top w:val="none" w:sz="0" w:space="0" w:color="auto"/>
        <w:left w:val="none" w:sz="0" w:space="0" w:color="auto"/>
        <w:bottom w:val="none" w:sz="0" w:space="0" w:color="auto"/>
        <w:right w:val="none" w:sz="0" w:space="0" w:color="auto"/>
      </w:divBdr>
    </w:div>
    <w:div w:id="1750880613">
      <w:marLeft w:val="0"/>
      <w:marRight w:val="0"/>
      <w:marTop w:val="0"/>
      <w:marBottom w:val="0"/>
      <w:divBdr>
        <w:top w:val="none" w:sz="0" w:space="0" w:color="auto"/>
        <w:left w:val="none" w:sz="0" w:space="0" w:color="auto"/>
        <w:bottom w:val="none" w:sz="0" w:space="0" w:color="auto"/>
        <w:right w:val="none" w:sz="0" w:space="0" w:color="auto"/>
      </w:divBdr>
    </w:div>
    <w:div w:id="1751384270">
      <w:marLeft w:val="0"/>
      <w:marRight w:val="0"/>
      <w:marTop w:val="0"/>
      <w:marBottom w:val="240"/>
      <w:divBdr>
        <w:top w:val="none" w:sz="0" w:space="0" w:color="auto"/>
        <w:left w:val="none" w:sz="0" w:space="0" w:color="auto"/>
        <w:bottom w:val="none" w:sz="0" w:space="0" w:color="auto"/>
        <w:right w:val="none" w:sz="0" w:space="0" w:color="auto"/>
      </w:divBdr>
    </w:div>
    <w:div w:id="1751733944">
      <w:marLeft w:val="0"/>
      <w:marRight w:val="0"/>
      <w:marTop w:val="0"/>
      <w:marBottom w:val="120"/>
      <w:divBdr>
        <w:top w:val="none" w:sz="0" w:space="0" w:color="auto"/>
        <w:left w:val="none" w:sz="0" w:space="0" w:color="auto"/>
        <w:bottom w:val="none" w:sz="0" w:space="0" w:color="auto"/>
        <w:right w:val="none" w:sz="0" w:space="0" w:color="auto"/>
      </w:divBdr>
    </w:div>
    <w:div w:id="1752000225">
      <w:marLeft w:val="0"/>
      <w:marRight w:val="0"/>
      <w:marTop w:val="0"/>
      <w:marBottom w:val="0"/>
      <w:divBdr>
        <w:top w:val="none" w:sz="0" w:space="0" w:color="auto"/>
        <w:left w:val="none" w:sz="0" w:space="0" w:color="auto"/>
        <w:bottom w:val="none" w:sz="0" w:space="0" w:color="auto"/>
        <w:right w:val="none" w:sz="0" w:space="0" w:color="auto"/>
      </w:divBdr>
    </w:div>
    <w:div w:id="1753046981">
      <w:marLeft w:val="0"/>
      <w:marRight w:val="0"/>
      <w:marTop w:val="120"/>
      <w:marBottom w:val="0"/>
      <w:divBdr>
        <w:top w:val="none" w:sz="0" w:space="0" w:color="auto"/>
        <w:left w:val="none" w:sz="0" w:space="0" w:color="auto"/>
        <w:bottom w:val="none" w:sz="0" w:space="0" w:color="auto"/>
        <w:right w:val="none" w:sz="0" w:space="0" w:color="auto"/>
      </w:divBdr>
    </w:div>
    <w:div w:id="1753232595">
      <w:marLeft w:val="0"/>
      <w:marRight w:val="0"/>
      <w:marTop w:val="0"/>
      <w:marBottom w:val="0"/>
      <w:divBdr>
        <w:top w:val="none" w:sz="0" w:space="0" w:color="auto"/>
        <w:left w:val="none" w:sz="0" w:space="0" w:color="auto"/>
        <w:bottom w:val="none" w:sz="0" w:space="0" w:color="auto"/>
        <w:right w:val="none" w:sz="0" w:space="0" w:color="auto"/>
      </w:divBdr>
    </w:div>
    <w:div w:id="1754886423">
      <w:marLeft w:val="0"/>
      <w:marRight w:val="0"/>
      <w:marTop w:val="0"/>
      <w:marBottom w:val="120"/>
      <w:divBdr>
        <w:top w:val="none" w:sz="0" w:space="0" w:color="auto"/>
        <w:left w:val="none" w:sz="0" w:space="0" w:color="auto"/>
        <w:bottom w:val="none" w:sz="0" w:space="0" w:color="auto"/>
        <w:right w:val="none" w:sz="0" w:space="0" w:color="auto"/>
      </w:divBdr>
      <w:divsChild>
        <w:div w:id="529493749">
          <w:marLeft w:val="0"/>
          <w:marRight w:val="0"/>
          <w:marTop w:val="0"/>
          <w:marBottom w:val="0"/>
          <w:divBdr>
            <w:top w:val="none" w:sz="0" w:space="0" w:color="auto"/>
            <w:left w:val="none" w:sz="0" w:space="0" w:color="auto"/>
            <w:bottom w:val="none" w:sz="0" w:space="0" w:color="auto"/>
            <w:right w:val="none" w:sz="0" w:space="0" w:color="auto"/>
          </w:divBdr>
        </w:div>
        <w:div w:id="1438868096">
          <w:marLeft w:val="0"/>
          <w:marRight w:val="0"/>
          <w:marTop w:val="0"/>
          <w:marBottom w:val="0"/>
          <w:divBdr>
            <w:top w:val="none" w:sz="0" w:space="0" w:color="auto"/>
            <w:left w:val="none" w:sz="0" w:space="0" w:color="auto"/>
            <w:bottom w:val="none" w:sz="0" w:space="0" w:color="auto"/>
            <w:right w:val="none" w:sz="0" w:space="0" w:color="auto"/>
          </w:divBdr>
        </w:div>
      </w:divsChild>
    </w:div>
    <w:div w:id="1755933826">
      <w:marLeft w:val="0"/>
      <w:marRight w:val="0"/>
      <w:marTop w:val="0"/>
      <w:marBottom w:val="0"/>
      <w:divBdr>
        <w:top w:val="none" w:sz="0" w:space="0" w:color="auto"/>
        <w:left w:val="none" w:sz="0" w:space="0" w:color="auto"/>
        <w:bottom w:val="none" w:sz="0" w:space="0" w:color="auto"/>
        <w:right w:val="none" w:sz="0" w:space="0" w:color="auto"/>
      </w:divBdr>
    </w:div>
    <w:div w:id="1756509135">
      <w:marLeft w:val="0"/>
      <w:marRight w:val="0"/>
      <w:marTop w:val="120"/>
      <w:marBottom w:val="0"/>
      <w:divBdr>
        <w:top w:val="none" w:sz="0" w:space="0" w:color="auto"/>
        <w:left w:val="none" w:sz="0" w:space="0" w:color="auto"/>
        <w:bottom w:val="none" w:sz="0" w:space="0" w:color="auto"/>
        <w:right w:val="none" w:sz="0" w:space="0" w:color="auto"/>
      </w:divBdr>
    </w:div>
    <w:div w:id="1757050040">
      <w:marLeft w:val="0"/>
      <w:marRight w:val="0"/>
      <w:marTop w:val="120"/>
      <w:marBottom w:val="0"/>
      <w:divBdr>
        <w:top w:val="none" w:sz="0" w:space="0" w:color="auto"/>
        <w:left w:val="none" w:sz="0" w:space="0" w:color="auto"/>
        <w:bottom w:val="none" w:sz="0" w:space="0" w:color="auto"/>
        <w:right w:val="none" w:sz="0" w:space="0" w:color="auto"/>
      </w:divBdr>
    </w:div>
    <w:div w:id="1758794168">
      <w:marLeft w:val="0"/>
      <w:marRight w:val="0"/>
      <w:marTop w:val="120"/>
      <w:marBottom w:val="0"/>
      <w:divBdr>
        <w:top w:val="none" w:sz="0" w:space="0" w:color="auto"/>
        <w:left w:val="none" w:sz="0" w:space="0" w:color="auto"/>
        <w:bottom w:val="none" w:sz="0" w:space="0" w:color="auto"/>
        <w:right w:val="none" w:sz="0" w:space="0" w:color="auto"/>
      </w:divBdr>
    </w:div>
    <w:div w:id="1760057791">
      <w:marLeft w:val="0"/>
      <w:marRight w:val="0"/>
      <w:marTop w:val="120"/>
      <w:marBottom w:val="0"/>
      <w:divBdr>
        <w:top w:val="none" w:sz="0" w:space="0" w:color="auto"/>
        <w:left w:val="none" w:sz="0" w:space="0" w:color="auto"/>
        <w:bottom w:val="none" w:sz="0" w:space="0" w:color="auto"/>
        <w:right w:val="none" w:sz="0" w:space="0" w:color="auto"/>
      </w:divBdr>
    </w:div>
    <w:div w:id="1760517270">
      <w:marLeft w:val="0"/>
      <w:marRight w:val="0"/>
      <w:marTop w:val="120"/>
      <w:marBottom w:val="0"/>
      <w:divBdr>
        <w:top w:val="none" w:sz="0" w:space="0" w:color="auto"/>
        <w:left w:val="none" w:sz="0" w:space="0" w:color="auto"/>
        <w:bottom w:val="none" w:sz="0" w:space="0" w:color="auto"/>
        <w:right w:val="none" w:sz="0" w:space="0" w:color="auto"/>
      </w:divBdr>
    </w:div>
    <w:div w:id="1760984427">
      <w:marLeft w:val="0"/>
      <w:marRight w:val="0"/>
      <w:marTop w:val="0"/>
      <w:marBottom w:val="0"/>
      <w:divBdr>
        <w:top w:val="none" w:sz="0" w:space="0" w:color="auto"/>
        <w:left w:val="none" w:sz="0" w:space="0" w:color="auto"/>
        <w:bottom w:val="none" w:sz="0" w:space="0" w:color="auto"/>
        <w:right w:val="none" w:sz="0" w:space="0" w:color="auto"/>
      </w:divBdr>
      <w:divsChild>
        <w:div w:id="1653177746">
          <w:marLeft w:val="0"/>
          <w:marRight w:val="0"/>
          <w:marTop w:val="0"/>
          <w:marBottom w:val="0"/>
          <w:divBdr>
            <w:top w:val="none" w:sz="0" w:space="0" w:color="auto"/>
            <w:left w:val="none" w:sz="0" w:space="0" w:color="auto"/>
            <w:bottom w:val="none" w:sz="0" w:space="0" w:color="auto"/>
            <w:right w:val="none" w:sz="0" w:space="0" w:color="auto"/>
          </w:divBdr>
        </w:div>
      </w:divsChild>
    </w:div>
    <w:div w:id="1763141340">
      <w:marLeft w:val="0"/>
      <w:marRight w:val="0"/>
      <w:marTop w:val="0"/>
      <w:marBottom w:val="0"/>
      <w:divBdr>
        <w:top w:val="none" w:sz="0" w:space="0" w:color="auto"/>
        <w:left w:val="none" w:sz="0" w:space="0" w:color="auto"/>
        <w:bottom w:val="none" w:sz="0" w:space="0" w:color="auto"/>
        <w:right w:val="none" w:sz="0" w:space="0" w:color="auto"/>
      </w:divBdr>
      <w:divsChild>
        <w:div w:id="537280729">
          <w:marLeft w:val="0"/>
          <w:marRight w:val="0"/>
          <w:marTop w:val="0"/>
          <w:marBottom w:val="0"/>
          <w:divBdr>
            <w:top w:val="none" w:sz="0" w:space="0" w:color="auto"/>
            <w:left w:val="none" w:sz="0" w:space="0" w:color="auto"/>
            <w:bottom w:val="none" w:sz="0" w:space="0" w:color="auto"/>
            <w:right w:val="none" w:sz="0" w:space="0" w:color="auto"/>
          </w:divBdr>
        </w:div>
      </w:divsChild>
    </w:div>
    <w:div w:id="1763404998">
      <w:marLeft w:val="0"/>
      <w:marRight w:val="0"/>
      <w:marTop w:val="0"/>
      <w:marBottom w:val="0"/>
      <w:divBdr>
        <w:top w:val="none" w:sz="0" w:space="0" w:color="auto"/>
        <w:left w:val="none" w:sz="0" w:space="0" w:color="auto"/>
        <w:bottom w:val="none" w:sz="0" w:space="0" w:color="auto"/>
        <w:right w:val="none" w:sz="0" w:space="0" w:color="auto"/>
      </w:divBdr>
    </w:div>
    <w:div w:id="1763455881">
      <w:marLeft w:val="0"/>
      <w:marRight w:val="0"/>
      <w:marTop w:val="120"/>
      <w:marBottom w:val="0"/>
      <w:divBdr>
        <w:top w:val="none" w:sz="0" w:space="0" w:color="auto"/>
        <w:left w:val="none" w:sz="0" w:space="0" w:color="auto"/>
        <w:bottom w:val="none" w:sz="0" w:space="0" w:color="auto"/>
        <w:right w:val="none" w:sz="0" w:space="0" w:color="auto"/>
      </w:divBdr>
    </w:div>
    <w:div w:id="1764108133">
      <w:marLeft w:val="0"/>
      <w:marRight w:val="0"/>
      <w:marTop w:val="120"/>
      <w:marBottom w:val="0"/>
      <w:divBdr>
        <w:top w:val="none" w:sz="0" w:space="0" w:color="auto"/>
        <w:left w:val="none" w:sz="0" w:space="0" w:color="auto"/>
        <w:bottom w:val="none" w:sz="0" w:space="0" w:color="auto"/>
        <w:right w:val="none" w:sz="0" w:space="0" w:color="auto"/>
      </w:divBdr>
    </w:div>
    <w:div w:id="1767387985">
      <w:marLeft w:val="0"/>
      <w:marRight w:val="0"/>
      <w:marTop w:val="0"/>
      <w:marBottom w:val="60"/>
      <w:divBdr>
        <w:top w:val="none" w:sz="0" w:space="0" w:color="auto"/>
        <w:left w:val="none" w:sz="0" w:space="0" w:color="auto"/>
        <w:bottom w:val="none" w:sz="0" w:space="0" w:color="auto"/>
        <w:right w:val="none" w:sz="0" w:space="0" w:color="auto"/>
      </w:divBdr>
    </w:div>
    <w:div w:id="1768187824">
      <w:marLeft w:val="0"/>
      <w:marRight w:val="0"/>
      <w:marTop w:val="120"/>
      <w:marBottom w:val="0"/>
      <w:divBdr>
        <w:top w:val="none" w:sz="0" w:space="0" w:color="auto"/>
        <w:left w:val="none" w:sz="0" w:space="0" w:color="auto"/>
        <w:bottom w:val="none" w:sz="0" w:space="0" w:color="auto"/>
        <w:right w:val="none" w:sz="0" w:space="0" w:color="auto"/>
      </w:divBdr>
    </w:div>
    <w:div w:id="1768234690">
      <w:marLeft w:val="0"/>
      <w:marRight w:val="0"/>
      <w:marTop w:val="0"/>
      <w:marBottom w:val="0"/>
      <w:divBdr>
        <w:top w:val="none" w:sz="0" w:space="0" w:color="auto"/>
        <w:left w:val="none" w:sz="0" w:space="0" w:color="auto"/>
        <w:bottom w:val="none" w:sz="0" w:space="0" w:color="auto"/>
        <w:right w:val="none" w:sz="0" w:space="0" w:color="auto"/>
      </w:divBdr>
      <w:divsChild>
        <w:div w:id="301154888">
          <w:marLeft w:val="0"/>
          <w:marRight w:val="0"/>
          <w:marTop w:val="0"/>
          <w:marBottom w:val="0"/>
          <w:divBdr>
            <w:top w:val="none" w:sz="0" w:space="0" w:color="auto"/>
            <w:left w:val="none" w:sz="0" w:space="0" w:color="auto"/>
            <w:bottom w:val="none" w:sz="0" w:space="0" w:color="auto"/>
            <w:right w:val="none" w:sz="0" w:space="0" w:color="auto"/>
          </w:divBdr>
        </w:div>
      </w:divsChild>
    </w:div>
    <w:div w:id="1768891319">
      <w:marLeft w:val="0"/>
      <w:marRight w:val="0"/>
      <w:marTop w:val="120"/>
      <w:marBottom w:val="120"/>
      <w:divBdr>
        <w:top w:val="none" w:sz="0" w:space="0" w:color="auto"/>
        <w:left w:val="none" w:sz="0" w:space="0" w:color="auto"/>
        <w:bottom w:val="none" w:sz="0" w:space="0" w:color="auto"/>
        <w:right w:val="none" w:sz="0" w:space="0" w:color="auto"/>
      </w:divBdr>
    </w:div>
    <w:div w:id="1769808965">
      <w:marLeft w:val="0"/>
      <w:marRight w:val="0"/>
      <w:marTop w:val="120"/>
      <w:marBottom w:val="0"/>
      <w:divBdr>
        <w:top w:val="none" w:sz="0" w:space="0" w:color="auto"/>
        <w:left w:val="none" w:sz="0" w:space="0" w:color="auto"/>
        <w:bottom w:val="none" w:sz="0" w:space="0" w:color="auto"/>
        <w:right w:val="none" w:sz="0" w:space="0" w:color="auto"/>
      </w:divBdr>
    </w:div>
    <w:div w:id="1769958138">
      <w:marLeft w:val="0"/>
      <w:marRight w:val="0"/>
      <w:marTop w:val="120"/>
      <w:marBottom w:val="0"/>
      <w:divBdr>
        <w:top w:val="none" w:sz="0" w:space="0" w:color="auto"/>
        <w:left w:val="none" w:sz="0" w:space="0" w:color="auto"/>
        <w:bottom w:val="none" w:sz="0" w:space="0" w:color="auto"/>
        <w:right w:val="none" w:sz="0" w:space="0" w:color="auto"/>
      </w:divBdr>
    </w:div>
    <w:div w:id="1770005204">
      <w:marLeft w:val="0"/>
      <w:marRight w:val="0"/>
      <w:marTop w:val="0"/>
      <w:marBottom w:val="0"/>
      <w:divBdr>
        <w:top w:val="none" w:sz="0" w:space="0" w:color="auto"/>
        <w:left w:val="none" w:sz="0" w:space="0" w:color="auto"/>
        <w:bottom w:val="none" w:sz="0" w:space="0" w:color="auto"/>
        <w:right w:val="none" w:sz="0" w:space="0" w:color="auto"/>
      </w:divBdr>
      <w:divsChild>
        <w:div w:id="1896161842">
          <w:marLeft w:val="0"/>
          <w:marRight w:val="0"/>
          <w:marTop w:val="0"/>
          <w:marBottom w:val="0"/>
          <w:divBdr>
            <w:top w:val="none" w:sz="0" w:space="0" w:color="auto"/>
            <w:left w:val="none" w:sz="0" w:space="0" w:color="auto"/>
            <w:bottom w:val="none" w:sz="0" w:space="0" w:color="auto"/>
            <w:right w:val="none" w:sz="0" w:space="0" w:color="auto"/>
          </w:divBdr>
        </w:div>
      </w:divsChild>
    </w:div>
    <w:div w:id="1773353222">
      <w:marLeft w:val="0"/>
      <w:marRight w:val="0"/>
      <w:marTop w:val="0"/>
      <w:marBottom w:val="0"/>
      <w:divBdr>
        <w:top w:val="none" w:sz="0" w:space="0" w:color="auto"/>
        <w:left w:val="none" w:sz="0" w:space="0" w:color="auto"/>
        <w:bottom w:val="none" w:sz="0" w:space="0" w:color="auto"/>
        <w:right w:val="none" w:sz="0" w:space="0" w:color="auto"/>
      </w:divBdr>
      <w:divsChild>
        <w:div w:id="1312368906">
          <w:marLeft w:val="0"/>
          <w:marRight w:val="0"/>
          <w:marTop w:val="0"/>
          <w:marBottom w:val="0"/>
          <w:divBdr>
            <w:top w:val="none" w:sz="0" w:space="0" w:color="auto"/>
            <w:left w:val="none" w:sz="0" w:space="0" w:color="auto"/>
            <w:bottom w:val="none" w:sz="0" w:space="0" w:color="auto"/>
            <w:right w:val="none" w:sz="0" w:space="0" w:color="auto"/>
          </w:divBdr>
        </w:div>
      </w:divsChild>
    </w:div>
    <w:div w:id="1773624254">
      <w:marLeft w:val="0"/>
      <w:marRight w:val="0"/>
      <w:marTop w:val="120"/>
      <w:marBottom w:val="0"/>
      <w:divBdr>
        <w:top w:val="none" w:sz="0" w:space="0" w:color="auto"/>
        <w:left w:val="none" w:sz="0" w:space="0" w:color="auto"/>
        <w:bottom w:val="none" w:sz="0" w:space="0" w:color="auto"/>
        <w:right w:val="none" w:sz="0" w:space="0" w:color="auto"/>
      </w:divBdr>
    </w:div>
    <w:div w:id="1774858972">
      <w:marLeft w:val="0"/>
      <w:marRight w:val="0"/>
      <w:marTop w:val="0"/>
      <w:marBottom w:val="0"/>
      <w:divBdr>
        <w:top w:val="none" w:sz="0" w:space="0" w:color="auto"/>
        <w:left w:val="none" w:sz="0" w:space="0" w:color="auto"/>
        <w:bottom w:val="none" w:sz="0" w:space="0" w:color="auto"/>
        <w:right w:val="none" w:sz="0" w:space="0" w:color="auto"/>
      </w:divBdr>
    </w:div>
    <w:div w:id="1775976473">
      <w:marLeft w:val="0"/>
      <w:marRight w:val="0"/>
      <w:marTop w:val="120"/>
      <w:marBottom w:val="0"/>
      <w:divBdr>
        <w:top w:val="none" w:sz="0" w:space="0" w:color="auto"/>
        <w:left w:val="none" w:sz="0" w:space="0" w:color="auto"/>
        <w:bottom w:val="none" w:sz="0" w:space="0" w:color="auto"/>
        <w:right w:val="none" w:sz="0" w:space="0" w:color="auto"/>
      </w:divBdr>
    </w:div>
    <w:div w:id="1776435686">
      <w:marLeft w:val="0"/>
      <w:marRight w:val="0"/>
      <w:marTop w:val="120"/>
      <w:marBottom w:val="0"/>
      <w:divBdr>
        <w:top w:val="none" w:sz="0" w:space="0" w:color="auto"/>
        <w:left w:val="none" w:sz="0" w:space="0" w:color="auto"/>
        <w:bottom w:val="none" w:sz="0" w:space="0" w:color="auto"/>
        <w:right w:val="none" w:sz="0" w:space="0" w:color="auto"/>
      </w:divBdr>
    </w:div>
    <w:div w:id="1776634297">
      <w:marLeft w:val="0"/>
      <w:marRight w:val="0"/>
      <w:marTop w:val="0"/>
      <w:marBottom w:val="0"/>
      <w:divBdr>
        <w:top w:val="none" w:sz="0" w:space="0" w:color="auto"/>
        <w:left w:val="none" w:sz="0" w:space="0" w:color="auto"/>
        <w:bottom w:val="none" w:sz="0" w:space="0" w:color="auto"/>
        <w:right w:val="none" w:sz="0" w:space="0" w:color="auto"/>
      </w:divBdr>
      <w:divsChild>
        <w:div w:id="1445228061">
          <w:marLeft w:val="0"/>
          <w:marRight w:val="0"/>
          <w:marTop w:val="0"/>
          <w:marBottom w:val="0"/>
          <w:divBdr>
            <w:top w:val="none" w:sz="0" w:space="0" w:color="auto"/>
            <w:left w:val="none" w:sz="0" w:space="0" w:color="auto"/>
            <w:bottom w:val="none" w:sz="0" w:space="0" w:color="auto"/>
            <w:right w:val="none" w:sz="0" w:space="0" w:color="auto"/>
          </w:divBdr>
        </w:div>
      </w:divsChild>
    </w:div>
    <w:div w:id="1779912873">
      <w:marLeft w:val="0"/>
      <w:marRight w:val="0"/>
      <w:marTop w:val="120"/>
      <w:marBottom w:val="0"/>
      <w:divBdr>
        <w:top w:val="none" w:sz="0" w:space="0" w:color="auto"/>
        <w:left w:val="none" w:sz="0" w:space="0" w:color="auto"/>
        <w:bottom w:val="none" w:sz="0" w:space="0" w:color="auto"/>
        <w:right w:val="none" w:sz="0" w:space="0" w:color="auto"/>
      </w:divBdr>
    </w:div>
    <w:div w:id="1780300175">
      <w:marLeft w:val="0"/>
      <w:marRight w:val="0"/>
      <w:marTop w:val="0"/>
      <w:marBottom w:val="0"/>
      <w:divBdr>
        <w:top w:val="none" w:sz="0" w:space="0" w:color="auto"/>
        <w:left w:val="none" w:sz="0" w:space="0" w:color="auto"/>
        <w:bottom w:val="none" w:sz="0" w:space="0" w:color="auto"/>
        <w:right w:val="none" w:sz="0" w:space="0" w:color="auto"/>
      </w:divBdr>
      <w:divsChild>
        <w:div w:id="75791001">
          <w:marLeft w:val="0"/>
          <w:marRight w:val="0"/>
          <w:marTop w:val="0"/>
          <w:marBottom w:val="0"/>
          <w:divBdr>
            <w:top w:val="none" w:sz="0" w:space="0" w:color="auto"/>
            <w:left w:val="none" w:sz="0" w:space="0" w:color="auto"/>
            <w:bottom w:val="none" w:sz="0" w:space="0" w:color="auto"/>
            <w:right w:val="none" w:sz="0" w:space="0" w:color="auto"/>
          </w:divBdr>
        </w:div>
      </w:divsChild>
    </w:div>
    <w:div w:id="1781803986">
      <w:marLeft w:val="0"/>
      <w:marRight w:val="0"/>
      <w:marTop w:val="0"/>
      <w:marBottom w:val="0"/>
      <w:divBdr>
        <w:top w:val="none" w:sz="0" w:space="0" w:color="auto"/>
        <w:left w:val="none" w:sz="0" w:space="0" w:color="auto"/>
        <w:bottom w:val="none" w:sz="0" w:space="0" w:color="auto"/>
        <w:right w:val="none" w:sz="0" w:space="0" w:color="auto"/>
      </w:divBdr>
    </w:div>
    <w:div w:id="1784109635">
      <w:marLeft w:val="0"/>
      <w:marRight w:val="0"/>
      <w:marTop w:val="120"/>
      <w:marBottom w:val="0"/>
      <w:divBdr>
        <w:top w:val="none" w:sz="0" w:space="0" w:color="auto"/>
        <w:left w:val="none" w:sz="0" w:space="0" w:color="auto"/>
        <w:bottom w:val="none" w:sz="0" w:space="0" w:color="auto"/>
        <w:right w:val="none" w:sz="0" w:space="0" w:color="auto"/>
      </w:divBdr>
    </w:div>
    <w:div w:id="1785808612">
      <w:marLeft w:val="0"/>
      <w:marRight w:val="0"/>
      <w:marTop w:val="120"/>
      <w:marBottom w:val="0"/>
      <w:divBdr>
        <w:top w:val="none" w:sz="0" w:space="0" w:color="auto"/>
        <w:left w:val="none" w:sz="0" w:space="0" w:color="auto"/>
        <w:bottom w:val="none" w:sz="0" w:space="0" w:color="auto"/>
        <w:right w:val="none" w:sz="0" w:space="0" w:color="auto"/>
      </w:divBdr>
    </w:div>
    <w:div w:id="1785923942">
      <w:marLeft w:val="0"/>
      <w:marRight w:val="0"/>
      <w:marTop w:val="0"/>
      <w:marBottom w:val="0"/>
      <w:divBdr>
        <w:top w:val="none" w:sz="0" w:space="0" w:color="auto"/>
        <w:left w:val="none" w:sz="0" w:space="0" w:color="auto"/>
        <w:bottom w:val="none" w:sz="0" w:space="0" w:color="auto"/>
        <w:right w:val="none" w:sz="0" w:space="0" w:color="auto"/>
      </w:divBdr>
    </w:div>
    <w:div w:id="1787894538">
      <w:marLeft w:val="0"/>
      <w:marRight w:val="0"/>
      <w:marTop w:val="120"/>
      <w:marBottom w:val="0"/>
      <w:divBdr>
        <w:top w:val="none" w:sz="0" w:space="0" w:color="auto"/>
        <w:left w:val="none" w:sz="0" w:space="0" w:color="auto"/>
        <w:bottom w:val="none" w:sz="0" w:space="0" w:color="auto"/>
        <w:right w:val="none" w:sz="0" w:space="0" w:color="auto"/>
      </w:divBdr>
    </w:div>
    <w:div w:id="1788503079">
      <w:marLeft w:val="0"/>
      <w:marRight w:val="0"/>
      <w:marTop w:val="120"/>
      <w:marBottom w:val="0"/>
      <w:divBdr>
        <w:top w:val="none" w:sz="0" w:space="0" w:color="auto"/>
        <w:left w:val="none" w:sz="0" w:space="0" w:color="auto"/>
        <w:bottom w:val="none" w:sz="0" w:space="0" w:color="auto"/>
        <w:right w:val="none" w:sz="0" w:space="0" w:color="auto"/>
      </w:divBdr>
    </w:div>
    <w:div w:id="1789163229">
      <w:marLeft w:val="0"/>
      <w:marRight w:val="0"/>
      <w:marTop w:val="0"/>
      <w:marBottom w:val="0"/>
      <w:divBdr>
        <w:top w:val="none" w:sz="0" w:space="0" w:color="auto"/>
        <w:left w:val="none" w:sz="0" w:space="0" w:color="auto"/>
        <w:bottom w:val="none" w:sz="0" w:space="0" w:color="auto"/>
        <w:right w:val="none" w:sz="0" w:space="0" w:color="auto"/>
      </w:divBdr>
    </w:div>
    <w:div w:id="1790123223">
      <w:marLeft w:val="0"/>
      <w:marRight w:val="0"/>
      <w:marTop w:val="120"/>
      <w:marBottom w:val="0"/>
      <w:divBdr>
        <w:top w:val="none" w:sz="0" w:space="0" w:color="auto"/>
        <w:left w:val="none" w:sz="0" w:space="0" w:color="auto"/>
        <w:bottom w:val="none" w:sz="0" w:space="0" w:color="auto"/>
        <w:right w:val="none" w:sz="0" w:space="0" w:color="auto"/>
      </w:divBdr>
    </w:div>
    <w:div w:id="1790279542">
      <w:marLeft w:val="0"/>
      <w:marRight w:val="0"/>
      <w:marTop w:val="120"/>
      <w:marBottom w:val="0"/>
      <w:divBdr>
        <w:top w:val="none" w:sz="0" w:space="0" w:color="auto"/>
        <w:left w:val="none" w:sz="0" w:space="0" w:color="auto"/>
        <w:bottom w:val="none" w:sz="0" w:space="0" w:color="auto"/>
        <w:right w:val="none" w:sz="0" w:space="0" w:color="auto"/>
      </w:divBdr>
    </w:div>
    <w:div w:id="1790666975">
      <w:marLeft w:val="0"/>
      <w:marRight w:val="0"/>
      <w:marTop w:val="120"/>
      <w:marBottom w:val="0"/>
      <w:divBdr>
        <w:top w:val="none" w:sz="0" w:space="0" w:color="auto"/>
        <w:left w:val="none" w:sz="0" w:space="0" w:color="auto"/>
        <w:bottom w:val="none" w:sz="0" w:space="0" w:color="auto"/>
        <w:right w:val="none" w:sz="0" w:space="0" w:color="auto"/>
      </w:divBdr>
    </w:div>
    <w:div w:id="1791506251">
      <w:marLeft w:val="0"/>
      <w:marRight w:val="0"/>
      <w:marTop w:val="0"/>
      <w:marBottom w:val="0"/>
      <w:divBdr>
        <w:top w:val="none" w:sz="0" w:space="0" w:color="auto"/>
        <w:left w:val="none" w:sz="0" w:space="0" w:color="auto"/>
        <w:bottom w:val="none" w:sz="0" w:space="0" w:color="auto"/>
        <w:right w:val="none" w:sz="0" w:space="0" w:color="auto"/>
      </w:divBdr>
      <w:divsChild>
        <w:div w:id="2145081543">
          <w:marLeft w:val="0"/>
          <w:marRight w:val="0"/>
          <w:marTop w:val="0"/>
          <w:marBottom w:val="0"/>
          <w:divBdr>
            <w:top w:val="none" w:sz="0" w:space="0" w:color="auto"/>
            <w:left w:val="none" w:sz="0" w:space="0" w:color="auto"/>
            <w:bottom w:val="none" w:sz="0" w:space="0" w:color="auto"/>
            <w:right w:val="none" w:sz="0" w:space="0" w:color="auto"/>
          </w:divBdr>
        </w:div>
      </w:divsChild>
    </w:div>
    <w:div w:id="1791512698">
      <w:marLeft w:val="0"/>
      <w:marRight w:val="0"/>
      <w:marTop w:val="120"/>
      <w:marBottom w:val="0"/>
      <w:divBdr>
        <w:top w:val="none" w:sz="0" w:space="0" w:color="auto"/>
        <w:left w:val="none" w:sz="0" w:space="0" w:color="auto"/>
        <w:bottom w:val="none" w:sz="0" w:space="0" w:color="auto"/>
        <w:right w:val="none" w:sz="0" w:space="0" w:color="auto"/>
      </w:divBdr>
    </w:div>
    <w:div w:id="1791700996">
      <w:marLeft w:val="0"/>
      <w:marRight w:val="0"/>
      <w:marTop w:val="120"/>
      <w:marBottom w:val="0"/>
      <w:divBdr>
        <w:top w:val="none" w:sz="0" w:space="0" w:color="auto"/>
        <w:left w:val="none" w:sz="0" w:space="0" w:color="auto"/>
        <w:bottom w:val="none" w:sz="0" w:space="0" w:color="auto"/>
        <w:right w:val="none" w:sz="0" w:space="0" w:color="auto"/>
      </w:divBdr>
    </w:div>
    <w:div w:id="1792630958">
      <w:marLeft w:val="0"/>
      <w:marRight w:val="0"/>
      <w:marTop w:val="0"/>
      <w:marBottom w:val="0"/>
      <w:divBdr>
        <w:top w:val="none" w:sz="0" w:space="0" w:color="auto"/>
        <w:left w:val="none" w:sz="0" w:space="0" w:color="auto"/>
        <w:bottom w:val="none" w:sz="0" w:space="0" w:color="auto"/>
        <w:right w:val="none" w:sz="0" w:space="0" w:color="auto"/>
      </w:divBdr>
      <w:divsChild>
        <w:div w:id="207498803">
          <w:marLeft w:val="0"/>
          <w:marRight w:val="0"/>
          <w:marTop w:val="0"/>
          <w:marBottom w:val="0"/>
          <w:divBdr>
            <w:top w:val="none" w:sz="0" w:space="0" w:color="auto"/>
            <w:left w:val="none" w:sz="0" w:space="0" w:color="auto"/>
            <w:bottom w:val="none" w:sz="0" w:space="0" w:color="auto"/>
            <w:right w:val="none" w:sz="0" w:space="0" w:color="auto"/>
          </w:divBdr>
        </w:div>
      </w:divsChild>
    </w:div>
    <w:div w:id="1793859440">
      <w:marLeft w:val="0"/>
      <w:marRight w:val="0"/>
      <w:marTop w:val="120"/>
      <w:marBottom w:val="0"/>
      <w:divBdr>
        <w:top w:val="none" w:sz="0" w:space="0" w:color="auto"/>
        <w:left w:val="none" w:sz="0" w:space="0" w:color="auto"/>
        <w:bottom w:val="none" w:sz="0" w:space="0" w:color="auto"/>
        <w:right w:val="none" w:sz="0" w:space="0" w:color="auto"/>
      </w:divBdr>
    </w:div>
    <w:div w:id="1794861978">
      <w:marLeft w:val="0"/>
      <w:marRight w:val="0"/>
      <w:marTop w:val="120"/>
      <w:marBottom w:val="0"/>
      <w:divBdr>
        <w:top w:val="none" w:sz="0" w:space="0" w:color="auto"/>
        <w:left w:val="none" w:sz="0" w:space="0" w:color="auto"/>
        <w:bottom w:val="none" w:sz="0" w:space="0" w:color="auto"/>
        <w:right w:val="none" w:sz="0" w:space="0" w:color="auto"/>
      </w:divBdr>
    </w:div>
    <w:div w:id="1795250362">
      <w:marLeft w:val="0"/>
      <w:marRight w:val="0"/>
      <w:marTop w:val="120"/>
      <w:marBottom w:val="0"/>
      <w:divBdr>
        <w:top w:val="none" w:sz="0" w:space="0" w:color="auto"/>
        <w:left w:val="none" w:sz="0" w:space="0" w:color="auto"/>
        <w:bottom w:val="none" w:sz="0" w:space="0" w:color="auto"/>
        <w:right w:val="none" w:sz="0" w:space="0" w:color="auto"/>
      </w:divBdr>
    </w:div>
    <w:div w:id="1798252803">
      <w:marLeft w:val="0"/>
      <w:marRight w:val="0"/>
      <w:marTop w:val="60"/>
      <w:marBottom w:val="0"/>
      <w:divBdr>
        <w:top w:val="none" w:sz="0" w:space="0" w:color="auto"/>
        <w:left w:val="none" w:sz="0" w:space="0" w:color="auto"/>
        <w:bottom w:val="none" w:sz="0" w:space="0" w:color="auto"/>
        <w:right w:val="none" w:sz="0" w:space="0" w:color="auto"/>
      </w:divBdr>
    </w:div>
    <w:div w:id="1799759122">
      <w:marLeft w:val="0"/>
      <w:marRight w:val="0"/>
      <w:marTop w:val="0"/>
      <w:marBottom w:val="0"/>
      <w:divBdr>
        <w:top w:val="none" w:sz="0" w:space="0" w:color="auto"/>
        <w:left w:val="none" w:sz="0" w:space="0" w:color="auto"/>
        <w:bottom w:val="none" w:sz="0" w:space="0" w:color="auto"/>
        <w:right w:val="none" w:sz="0" w:space="0" w:color="auto"/>
      </w:divBdr>
    </w:div>
    <w:div w:id="1800683675">
      <w:marLeft w:val="0"/>
      <w:marRight w:val="0"/>
      <w:marTop w:val="0"/>
      <w:marBottom w:val="0"/>
      <w:divBdr>
        <w:top w:val="none" w:sz="0" w:space="0" w:color="auto"/>
        <w:left w:val="none" w:sz="0" w:space="0" w:color="auto"/>
        <w:bottom w:val="none" w:sz="0" w:space="0" w:color="auto"/>
        <w:right w:val="none" w:sz="0" w:space="0" w:color="auto"/>
      </w:divBdr>
    </w:div>
    <w:div w:id="1802456531">
      <w:marLeft w:val="0"/>
      <w:marRight w:val="0"/>
      <w:marTop w:val="120"/>
      <w:marBottom w:val="0"/>
      <w:divBdr>
        <w:top w:val="none" w:sz="0" w:space="0" w:color="auto"/>
        <w:left w:val="none" w:sz="0" w:space="0" w:color="auto"/>
        <w:bottom w:val="none" w:sz="0" w:space="0" w:color="auto"/>
        <w:right w:val="none" w:sz="0" w:space="0" w:color="auto"/>
      </w:divBdr>
    </w:div>
    <w:div w:id="1803845260">
      <w:marLeft w:val="0"/>
      <w:marRight w:val="0"/>
      <w:marTop w:val="120"/>
      <w:marBottom w:val="0"/>
      <w:divBdr>
        <w:top w:val="none" w:sz="0" w:space="0" w:color="auto"/>
        <w:left w:val="none" w:sz="0" w:space="0" w:color="auto"/>
        <w:bottom w:val="none" w:sz="0" w:space="0" w:color="auto"/>
        <w:right w:val="none" w:sz="0" w:space="0" w:color="auto"/>
      </w:divBdr>
    </w:div>
    <w:div w:id="1805348601">
      <w:marLeft w:val="0"/>
      <w:marRight w:val="0"/>
      <w:marTop w:val="120"/>
      <w:marBottom w:val="0"/>
      <w:divBdr>
        <w:top w:val="none" w:sz="0" w:space="0" w:color="auto"/>
        <w:left w:val="none" w:sz="0" w:space="0" w:color="auto"/>
        <w:bottom w:val="none" w:sz="0" w:space="0" w:color="auto"/>
        <w:right w:val="none" w:sz="0" w:space="0" w:color="auto"/>
      </w:divBdr>
    </w:div>
    <w:div w:id="1809979574">
      <w:marLeft w:val="0"/>
      <w:marRight w:val="0"/>
      <w:marTop w:val="0"/>
      <w:marBottom w:val="120"/>
      <w:divBdr>
        <w:top w:val="none" w:sz="0" w:space="0" w:color="auto"/>
        <w:left w:val="none" w:sz="0" w:space="0" w:color="auto"/>
        <w:bottom w:val="none" w:sz="0" w:space="0" w:color="auto"/>
        <w:right w:val="none" w:sz="0" w:space="0" w:color="auto"/>
      </w:divBdr>
    </w:div>
    <w:div w:id="1811358798">
      <w:marLeft w:val="0"/>
      <w:marRight w:val="0"/>
      <w:marTop w:val="0"/>
      <w:marBottom w:val="0"/>
      <w:divBdr>
        <w:top w:val="none" w:sz="0" w:space="0" w:color="auto"/>
        <w:left w:val="none" w:sz="0" w:space="0" w:color="auto"/>
        <w:bottom w:val="none" w:sz="0" w:space="0" w:color="auto"/>
        <w:right w:val="none" w:sz="0" w:space="0" w:color="auto"/>
      </w:divBdr>
      <w:divsChild>
        <w:div w:id="312563687">
          <w:marLeft w:val="0"/>
          <w:marRight w:val="0"/>
          <w:marTop w:val="0"/>
          <w:marBottom w:val="0"/>
          <w:divBdr>
            <w:top w:val="none" w:sz="0" w:space="0" w:color="auto"/>
            <w:left w:val="none" w:sz="0" w:space="0" w:color="auto"/>
            <w:bottom w:val="none" w:sz="0" w:space="0" w:color="auto"/>
            <w:right w:val="none" w:sz="0" w:space="0" w:color="auto"/>
          </w:divBdr>
        </w:div>
      </w:divsChild>
    </w:div>
    <w:div w:id="1812284248">
      <w:marLeft w:val="0"/>
      <w:marRight w:val="0"/>
      <w:marTop w:val="120"/>
      <w:marBottom w:val="0"/>
      <w:divBdr>
        <w:top w:val="none" w:sz="0" w:space="0" w:color="auto"/>
        <w:left w:val="none" w:sz="0" w:space="0" w:color="auto"/>
        <w:bottom w:val="none" w:sz="0" w:space="0" w:color="auto"/>
        <w:right w:val="none" w:sz="0" w:space="0" w:color="auto"/>
      </w:divBdr>
    </w:div>
    <w:div w:id="1813131240">
      <w:marLeft w:val="0"/>
      <w:marRight w:val="0"/>
      <w:marTop w:val="120"/>
      <w:marBottom w:val="0"/>
      <w:divBdr>
        <w:top w:val="none" w:sz="0" w:space="0" w:color="auto"/>
        <w:left w:val="none" w:sz="0" w:space="0" w:color="auto"/>
        <w:bottom w:val="none" w:sz="0" w:space="0" w:color="auto"/>
        <w:right w:val="none" w:sz="0" w:space="0" w:color="auto"/>
      </w:divBdr>
    </w:div>
    <w:div w:id="1813715734">
      <w:marLeft w:val="0"/>
      <w:marRight w:val="0"/>
      <w:marTop w:val="120"/>
      <w:marBottom w:val="0"/>
      <w:divBdr>
        <w:top w:val="none" w:sz="0" w:space="0" w:color="auto"/>
        <w:left w:val="none" w:sz="0" w:space="0" w:color="auto"/>
        <w:bottom w:val="none" w:sz="0" w:space="0" w:color="auto"/>
        <w:right w:val="none" w:sz="0" w:space="0" w:color="auto"/>
      </w:divBdr>
    </w:div>
    <w:div w:id="1815026139">
      <w:marLeft w:val="0"/>
      <w:marRight w:val="0"/>
      <w:marTop w:val="120"/>
      <w:marBottom w:val="0"/>
      <w:divBdr>
        <w:top w:val="none" w:sz="0" w:space="0" w:color="auto"/>
        <w:left w:val="none" w:sz="0" w:space="0" w:color="auto"/>
        <w:bottom w:val="none" w:sz="0" w:space="0" w:color="auto"/>
        <w:right w:val="none" w:sz="0" w:space="0" w:color="auto"/>
      </w:divBdr>
    </w:div>
    <w:div w:id="1815952282">
      <w:marLeft w:val="0"/>
      <w:marRight w:val="0"/>
      <w:marTop w:val="0"/>
      <w:marBottom w:val="0"/>
      <w:divBdr>
        <w:top w:val="none" w:sz="0" w:space="0" w:color="auto"/>
        <w:left w:val="none" w:sz="0" w:space="0" w:color="auto"/>
        <w:bottom w:val="none" w:sz="0" w:space="0" w:color="auto"/>
        <w:right w:val="none" w:sz="0" w:space="0" w:color="auto"/>
      </w:divBdr>
      <w:divsChild>
        <w:div w:id="1881504416">
          <w:marLeft w:val="0"/>
          <w:marRight w:val="0"/>
          <w:marTop w:val="0"/>
          <w:marBottom w:val="0"/>
          <w:divBdr>
            <w:top w:val="none" w:sz="0" w:space="0" w:color="auto"/>
            <w:left w:val="none" w:sz="0" w:space="0" w:color="auto"/>
            <w:bottom w:val="none" w:sz="0" w:space="0" w:color="auto"/>
            <w:right w:val="none" w:sz="0" w:space="0" w:color="auto"/>
          </w:divBdr>
        </w:div>
      </w:divsChild>
    </w:div>
    <w:div w:id="1819688341">
      <w:marLeft w:val="0"/>
      <w:marRight w:val="0"/>
      <w:marTop w:val="120"/>
      <w:marBottom w:val="0"/>
      <w:divBdr>
        <w:top w:val="none" w:sz="0" w:space="0" w:color="auto"/>
        <w:left w:val="none" w:sz="0" w:space="0" w:color="auto"/>
        <w:bottom w:val="none" w:sz="0" w:space="0" w:color="auto"/>
        <w:right w:val="none" w:sz="0" w:space="0" w:color="auto"/>
      </w:divBdr>
    </w:div>
    <w:div w:id="1819959288">
      <w:marLeft w:val="0"/>
      <w:marRight w:val="0"/>
      <w:marTop w:val="0"/>
      <w:marBottom w:val="0"/>
      <w:divBdr>
        <w:top w:val="none" w:sz="0" w:space="0" w:color="auto"/>
        <w:left w:val="none" w:sz="0" w:space="0" w:color="auto"/>
        <w:bottom w:val="none" w:sz="0" w:space="0" w:color="auto"/>
        <w:right w:val="none" w:sz="0" w:space="0" w:color="auto"/>
      </w:divBdr>
      <w:divsChild>
        <w:div w:id="464782596">
          <w:marLeft w:val="0"/>
          <w:marRight w:val="0"/>
          <w:marTop w:val="0"/>
          <w:marBottom w:val="0"/>
          <w:divBdr>
            <w:top w:val="none" w:sz="0" w:space="0" w:color="auto"/>
            <w:left w:val="none" w:sz="0" w:space="0" w:color="auto"/>
            <w:bottom w:val="none" w:sz="0" w:space="0" w:color="auto"/>
            <w:right w:val="none" w:sz="0" w:space="0" w:color="auto"/>
          </w:divBdr>
        </w:div>
      </w:divsChild>
    </w:div>
    <w:div w:id="1820918936">
      <w:marLeft w:val="0"/>
      <w:marRight w:val="0"/>
      <w:marTop w:val="0"/>
      <w:marBottom w:val="0"/>
      <w:divBdr>
        <w:top w:val="none" w:sz="0" w:space="0" w:color="auto"/>
        <w:left w:val="none" w:sz="0" w:space="0" w:color="auto"/>
        <w:bottom w:val="none" w:sz="0" w:space="0" w:color="auto"/>
        <w:right w:val="none" w:sz="0" w:space="0" w:color="auto"/>
      </w:divBdr>
      <w:divsChild>
        <w:div w:id="1621185011">
          <w:marLeft w:val="0"/>
          <w:marRight w:val="0"/>
          <w:marTop w:val="0"/>
          <w:marBottom w:val="0"/>
          <w:divBdr>
            <w:top w:val="none" w:sz="0" w:space="0" w:color="auto"/>
            <w:left w:val="none" w:sz="0" w:space="0" w:color="auto"/>
            <w:bottom w:val="none" w:sz="0" w:space="0" w:color="auto"/>
            <w:right w:val="none" w:sz="0" w:space="0" w:color="auto"/>
          </w:divBdr>
        </w:div>
      </w:divsChild>
    </w:div>
    <w:div w:id="1820923872">
      <w:marLeft w:val="0"/>
      <w:marRight w:val="0"/>
      <w:marTop w:val="0"/>
      <w:marBottom w:val="0"/>
      <w:divBdr>
        <w:top w:val="none" w:sz="0" w:space="0" w:color="auto"/>
        <w:left w:val="none" w:sz="0" w:space="0" w:color="auto"/>
        <w:bottom w:val="none" w:sz="0" w:space="0" w:color="auto"/>
        <w:right w:val="none" w:sz="0" w:space="0" w:color="auto"/>
      </w:divBdr>
    </w:div>
    <w:div w:id="1821116815">
      <w:marLeft w:val="0"/>
      <w:marRight w:val="0"/>
      <w:marTop w:val="200"/>
      <w:marBottom w:val="0"/>
      <w:divBdr>
        <w:top w:val="none" w:sz="0" w:space="0" w:color="auto"/>
        <w:left w:val="none" w:sz="0" w:space="0" w:color="auto"/>
        <w:bottom w:val="none" w:sz="0" w:space="0" w:color="auto"/>
        <w:right w:val="none" w:sz="0" w:space="0" w:color="auto"/>
      </w:divBdr>
    </w:div>
    <w:div w:id="1821848849">
      <w:marLeft w:val="0"/>
      <w:marRight w:val="0"/>
      <w:marTop w:val="0"/>
      <w:marBottom w:val="0"/>
      <w:divBdr>
        <w:top w:val="none" w:sz="0" w:space="0" w:color="auto"/>
        <w:left w:val="none" w:sz="0" w:space="0" w:color="auto"/>
        <w:bottom w:val="none" w:sz="0" w:space="0" w:color="auto"/>
        <w:right w:val="none" w:sz="0" w:space="0" w:color="auto"/>
      </w:divBdr>
    </w:div>
    <w:div w:id="1822041482">
      <w:marLeft w:val="0"/>
      <w:marRight w:val="0"/>
      <w:marTop w:val="120"/>
      <w:marBottom w:val="0"/>
      <w:divBdr>
        <w:top w:val="none" w:sz="0" w:space="0" w:color="auto"/>
        <w:left w:val="none" w:sz="0" w:space="0" w:color="auto"/>
        <w:bottom w:val="none" w:sz="0" w:space="0" w:color="auto"/>
        <w:right w:val="none" w:sz="0" w:space="0" w:color="auto"/>
      </w:divBdr>
    </w:div>
    <w:div w:id="1822043983">
      <w:marLeft w:val="0"/>
      <w:marRight w:val="0"/>
      <w:marTop w:val="180"/>
      <w:marBottom w:val="0"/>
      <w:divBdr>
        <w:top w:val="none" w:sz="0" w:space="0" w:color="auto"/>
        <w:left w:val="none" w:sz="0" w:space="0" w:color="auto"/>
        <w:bottom w:val="none" w:sz="0" w:space="0" w:color="auto"/>
        <w:right w:val="none" w:sz="0" w:space="0" w:color="auto"/>
      </w:divBdr>
    </w:div>
    <w:div w:id="1822574526">
      <w:marLeft w:val="0"/>
      <w:marRight w:val="0"/>
      <w:marTop w:val="120"/>
      <w:marBottom w:val="0"/>
      <w:divBdr>
        <w:top w:val="none" w:sz="0" w:space="0" w:color="auto"/>
        <w:left w:val="none" w:sz="0" w:space="0" w:color="auto"/>
        <w:bottom w:val="none" w:sz="0" w:space="0" w:color="auto"/>
        <w:right w:val="none" w:sz="0" w:space="0" w:color="auto"/>
      </w:divBdr>
    </w:div>
    <w:div w:id="1823692998">
      <w:marLeft w:val="0"/>
      <w:marRight w:val="0"/>
      <w:marTop w:val="0"/>
      <w:marBottom w:val="60"/>
      <w:divBdr>
        <w:top w:val="none" w:sz="0" w:space="0" w:color="auto"/>
        <w:left w:val="none" w:sz="0" w:space="0" w:color="auto"/>
        <w:bottom w:val="none" w:sz="0" w:space="0" w:color="auto"/>
        <w:right w:val="none" w:sz="0" w:space="0" w:color="auto"/>
      </w:divBdr>
    </w:div>
    <w:div w:id="1823963137">
      <w:marLeft w:val="0"/>
      <w:marRight w:val="0"/>
      <w:marTop w:val="120"/>
      <w:marBottom w:val="0"/>
      <w:divBdr>
        <w:top w:val="none" w:sz="0" w:space="0" w:color="auto"/>
        <w:left w:val="none" w:sz="0" w:space="0" w:color="auto"/>
        <w:bottom w:val="none" w:sz="0" w:space="0" w:color="auto"/>
        <w:right w:val="none" w:sz="0" w:space="0" w:color="auto"/>
      </w:divBdr>
    </w:div>
    <w:div w:id="1826555015">
      <w:marLeft w:val="0"/>
      <w:marRight w:val="0"/>
      <w:marTop w:val="0"/>
      <w:marBottom w:val="0"/>
      <w:divBdr>
        <w:top w:val="none" w:sz="0" w:space="0" w:color="auto"/>
        <w:left w:val="none" w:sz="0" w:space="0" w:color="auto"/>
        <w:bottom w:val="none" w:sz="0" w:space="0" w:color="auto"/>
        <w:right w:val="none" w:sz="0" w:space="0" w:color="auto"/>
      </w:divBdr>
      <w:divsChild>
        <w:div w:id="928855563">
          <w:marLeft w:val="0"/>
          <w:marRight w:val="0"/>
          <w:marTop w:val="0"/>
          <w:marBottom w:val="0"/>
          <w:divBdr>
            <w:top w:val="none" w:sz="0" w:space="0" w:color="auto"/>
            <w:left w:val="none" w:sz="0" w:space="0" w:color="auto"/>
            <w:bottom w:val="none" w:sz="0" w:space="0" w:color="auto"/>
            <w:right w:val="none" w:sz="0" w:space="0" w:color="auto"/>
          </w:divBdr>
        </w:div>
      </w:divsChild>
    </w:div>
    <w:div w:id="1826820262">
      <w:marLeft w:val="0"/>
      <w:marRight w:val="0"/>
      <w:marTop w:val="120"/>
      <w:marBottom w:val="0"/>
      <w:divBdr>
        <w:top w:val="none" w:sz="0" w:space="0" w:color="auto"/>
        <w:left w:val="none" w:sz="0" w:space="0" w:color="auto"/>
        <w:bottom w:val="none" w:sz="0" w:space="0" w:color="auto"/>
        <w:right w:val="none" w:sz="0" w:space="0" w:color="auto"/>
      </w:divBdr>
    </w:div>
    <w:div w:id="1827479209">
      <w:marLeft w:val="0"/>
      <w:marRight w:val="0"/>
      <w:marTop w:val="120"/>
      <w:marBottom w:val="0"/>
      <w:divBdr>
        <w:top w:val="none" w:sz="0" w:space="0" w:color="auto"/>
        <w:left w:val="none" w:sz="0" w:space="0" w:color="auto"/>
        <w:bottom w:val="none" w:sz="0" w:space="0" w:color="auto"/>
        <w:right w:val="none" w:sz="0" w:space="0" w:color="auto"/>
      </w:divBdr>
    </w:div>
    <w:div w:id="1828790577">
      <w:marLeft w:val="0"/>
      <w:marRight w:val="0"/>
      <w:marTop w:val="120"/>
      <w:marBottom w:val="0"/>
      <w:divBdr>
        <w:top w:val="none" w:sz="0" w:space="0" w:color="auto"/>
        <w:left w:val="none" w:sz="0" w:space="0" w:color="auto"/>
        <w:bottom w:val="none" w:sz="0" w:space="0" w:color="auto"/>
        <w:right w:val="none" w:sz="0" w:space="0" w:color="auto"/>
      </w:divBdr>
    </w:div>
    <w:div w:id="1828864456">
      <w:marLeft w:val="0"/>
      <w:marRight w:val="0"/>
      <w:marTop w:val="0"/>
      <w:marBottom w:val="0"/>
      <w:divBdr>
        <w:top w:val="none" w:sz="0" w:space="0" w:color="auto"/>
        <w:left w:val="none" w:sz="0" w:space="0" w:color="auto"/>
        <w:bottom w:val="none" w:sz="0" w:space="0" w:color="auto"/>
        <w:right w:val="none" w:sz="0" w:space="0" w:color="auto"/>
      </w:divBdr>
    </w:div>
    <w:div w:id="1829513461">
      <w:marLeft w:val="0"/>
      <w:marRight w:val="0"/>
      <w:marTop w:val="120"/>
      <w:marBottom w:val="0"/>
      <w:divBdr>
        <w:top w:val="none" w:sz="0" w:space="0" w:color="auto"/>
        <w:left w:val="none" w:sz="0" w:space="0" w:color="auto"/>
        <w:bottom w:val="none" w:sz="0" w:space="0" w:color="auto"/>
        <w:right w:val="none" w:sz="0" w:space="0" w:color="auto"/>
      </w:divBdr>
    </w:div>
    <w:div w:id="1830051461">
      <w:marLeft w:val="0"/>
      <w:marRight w:val="0"/>
      <w:marTop w:val="0"/>
      <w:marBottom w:val="0"/>
      <w:divBdr>
        <w:top w:val="none" w:sz="0" w:space="0" w:color="auto"/>
        <w:left w:val="none" w:sz="0" w:space="0" w:color="auto"/>
        <w:bottom w:val="none" w:sz="0" w:space="0" w:color="auto"/>
        <w:right w:val="none" w:sz="0" w:space="0" w:color="auto"/>
      </w:divBdr>
      <w:divsChild>
        <w:div w:id="508057669">
          <w:marLeft w:val="0"/>
          <w:marRight w:val="0"/>
          <w:marTop w:val="0"/>
          <w:marBottom w:val="0"/>
          <w:divBdr>
            <w:top w:val="none" w:sz="0" w:space="0" w:color="auto"/>
            <w:left w:val="none" w:sz="0" w:space="0" w:color="auto"/>
            <w:bottom w:val="none" w:sz="0" w:space="0" w:color="auto"/>
            <w:right w:val="none" w:sz="0" w:space="0" w:color="auto"/>
          </w:divBdr>
        </w:div>
      </w:divsChild>
    </w:div>
    <w:div w:id="1831560128">
      <w:marLeft w:val="0"/>
      <w:marRight w:val="0"/>
      <w:marTop w:val="120"/>
      <w:marBottom w:val="0"/>
      <w:divBdr>
        <w:top w:val="none" w:sz="0" w:space="0" w:color="auto"/>
        <w:left w:val="none" w:sz="0" w:space="0" w:color="auto"/>
        <w:bottom w:val="none" w:sz="0" w:space="0" w:color="auto"/>
        <w:right w:val="none" w:sz="0" w:space="0" w:color="auto"/>
      </w:divBdr>
    </w:div>
    <w:div w:id="1832018543">
      <w:marLeft w:val="0"/>
      <w:marRight w:val="0"/>
      <w:marTop w:val="120"/>
      <w:marBottom w:val="0"/>
      <w:divBdr>
        <w:top w:val="none" w:sz="0" w:space="0" w:color="auto"/>
        <w:left w:val="none" w:sz="0" w:space="0" w:color="auto"/>
        <w:bottom w:val="none" w:sz="0" w:space="0" w:color="auto"/>
        <w:right w:val="none" w:sz="0" w:space="0" w:color="auto"/>
      </w:divBdr>
    </w:div>
    <w:div w:id="1833060898">
      <w:marLeft w:val="0"/>
      <w:marRight w:val="0"/>
      <w:marTop w:val="120"/>
      <w:marBottom w:val="0"/>
      <w:divBdr>
        <w:top w:val="none" w:sz="0" w:space="0" w:color="auto"/>
        <w:left w:val="none" w:sz="0" w:space="0" w:color="auto"/>
        <w:bottom w:val="none" w:sz="0" w:space="0" w:color="auto"/>
        <w:right w:val="none" w:sz="0" w:space="0" w:color="auto"/>
      </w:divBdr>
    </w:div>
    <w:div w:id="1834640195">
      <w:marLeft w:val="0"/>
      <w:marRight w:val="0"/>
      <w:marTop w:val="0"/>
      <w:marBottom w:val="0"/>
      <w:divBdr>
        <w:top w:val="none" w:sz="0" w:space="0" w:color="auto"/>
        <w:left w:val="none" w:sz="0" w:space="0" w:color="auto"/>
        <w:bottom w:val="none" w:sz="0" w:space="0" w:color="auto"/>
        <w:right w:val="none" w:sz="0" w:space="0" w:color="auto"/>
      </w:divBdr>
    </w:div>
    <w:div w:id="1834682959">
      <w:marLeft w:val="0"/>
      <w:marRight w:val="0"/>
      <w:marTop w:val="120"/>
      <w:marBottom w:val="0"/>
      <w:divBdr>
        <w:top w:val="none" w:sz="0" w:space="0" w:color="auto"/>
        <w:left w:val="none" w:sz="0" w:space="0" w:color="auto"/>
        <w:bottom w:val="none" w:sz="0" w:space="0" w:color="auto"/>
        <w:right w:val="none" w:sz="0" w:space="0" w:color="auto"/>
      </w:divBdr>
    </w:div>
    <w:div w:id="1836719477">
      <w:marLeft w:val="0"/>
      <w:marRight w:val="0"/>
      <w:marTop w:val="0"/>
      <w:marBottom w:val="60"/>
      <w:divBdr>
        <w:top w:val="none" w:sz="0" w:space="0" w:color="auto"/>
        <w:left w:val="none" w:sz="0" w:space="0" w:color="auto"/>
        <w:bottom w:val="none" w:sz="0" w:space="0" w:color="auto"/>
        <w:right w:val="none" w:sz="0" w:space="0" w:color="auto"/>
      </w:divBdr>
    </w:div>
    <w:div w:id="1836873200">
      <w:marLeft w:val="0"/>
      <w:marRight w:val="0"/>
      <w:marTop w:val="0"/>
      <w:marBottom w:val="0"/>
      <w:divBdr>
        <w:top w:val="none" w:sz="0" w:space="0" w:color="auto"/>
        <w:left w:val="none" w:sz="0" w:space="0" w:color="auto"/>
        <w:bottom w:val="none" w:sz="0" w:space="0" w:color="auto"/>
        <w:right w:val="none" w:sz="0" w:space="0" w:color="auto"/>
      </w:divBdr>
    </w:div>
    <w:div w:id="1838839227">
      <w:marLeft w:val="0"/>
      <w:marRight w:val="0"/>
      <w:marTop w:val="0"/>
      <w:marBottom w:val="60"/>
      <w:divBdr>
        <w:top w:val="none" w:sz="0" w:space="0" w:color="auto"/>
        <w:left w:val="none" w:sz="0" w:space="0" w:color="auto"/>
        <w:bottom w:val="none" w:sz="0" w:space="0" w:color="auto"/>
        <w:right w:val="none" w:sz="0" w:space="0" w:color="auto"/>
      </w:divBdr>
    </w:div>
    <w:div w:id="1839031348">
      <w:marLeft w:val="0"/>
      <w:marRight w:val="0"/>
      <w:marTop w:val="0"/>
      <w:marBottom w:val="120"/>
      <w:divBdr>
        <w:top w:val="none" w:sz="0" w:space="0" w:color="auto"/>
        <w:left w:val="none" w:sz="0" w:space="0" w:color="auto"/>
        <w:bottom w:val="none" w:sz="0" w:space="0" w:color="auto"/>
        <w:right w:val="none" w:sz="0" w:space="0" w:color="auto"/>
      </w:divBdr>
      <w:divsChild>
        <w:div w:id="115687517">
          <w:marLeft w:val="0"/>
          <w:marRight w:val="0"/>
          <w:marTop w:val="0"/>
          <w:marBottom w:val="0"/>
          <w:divBdr>
            <w:top w:val="none" w:sz="0" w:space="0" w:color="auto"/>
            <w:left w:val="none" w:sz="0" w:space="0" w:color="auto"/>
            <w:bottom w:val="none" w:sz="0" w:space="0" w:color="auto"/>
            <w:right w:val="none" w:sz="0" w:space="0" w:color="auto"/>
          </w:divBdr>
        </w:div>
        <w:div w:id="1491676496">
          <w:marLeft w:val="0"/>
          <w:marRight w:val="0"/>
          <w:marTop w:val="0"/>
          <w:marBottom w:val="0"/>
          <w:divBdr>
            <w:top w:val="none" w:sz="0" w:space="0" w:color="auto"/>
            <w:left w:val="none" w:sz="0" w:space="0" w:color="auto"/>
            <w:bottom w:val="none" w:sz="0" w:space="0" w:color="auto"/>
            <w:right w:val="none" w:sz="0" w:space="0" w:color="auto"/>
          </w:divBdr>
        </w:div>
        <w:div w:id="1630208305">
          <w:marLeft w:val="0"/>
          <w:marRight w:val="0"/>
          <w:marTop w:val="0"/>
          <w:marBottom w:val="0"/>
          <w:divBdr>
            <w:top w:val="none" w:sz="0" w:space="0" w:color="auto"/>
            <w:left w:val="none" w:sz="0" w:space="0" w:color="auto"/>
            <w:bottom w:val="none" w:sz="0" w:space="0" w:color="auto"/>
            <w:right w:val="none" w:sz="0" w:space="0" w:color="auto"/>
          </w:divBdr>
        </w:div>
        <w:div w:id="858858320">
          <w:marLeft w:val="0"/>
          <w:marRight w:val="0"/>
          <w:marTop w:val="0"/>
          <w:marBottom w:val="0"/>
          <w:divBdr>
            <w:top w:val="none" w:sz="0" w:space="0" w:color="auto"/>
            <w:left w:val="none" w:sz="0" w:space="0" w:color="auto"/>
            <w:bottom w:val="none" w:sz="0" w:space="0" w:color="auto"/>
            <w:right w:val="none" w:sz="0" w:space="0" w:color="auto"/>
          </w:divBdr>
        </w:div>
        <w:div w:id="1166477479">
          <w:marLeft w:val="0"/>
          <w:marRight w:val="0"/>
          <w:marTop w:val="0"/>
          <w:marBottom w:val="0"/>
          <w:divBdr>
            <w:top w:val="none" w:sz="0" w:space="0" w:color="auto"/>
            <w:left w:val="none" w:sz="0" w:space="0" w:color="auto"/>
            <w:bottom w:val="none" w:sz="0" w:space="0" w:color="auto"/>
            <w:right w:val="none" w:sz="0" w:space="0" w:color="auto"/>
          </w:divBdr>
        </w:div>
      </w:divsChild>
    </w:div>
    <w:div w:id="1840148576">
      <w:marLeft w:val="0"/>
      <w:marRight w:val="0"/>
      <w:marTop w:val="120"/>
      <w:marBottom w:val="0"/>
      <w:divBdr>
        <w:top w:val="none" w:sz="0" w:space="0" w:color="auto"/>
        <w:left w:val="none" w:sz="0" w:space="0" w:color="auto"/>
        <w:bottom w:val="none" w:sz="0" w:space="0" w:color="auto"/>
        <w:right w:val="none" w:sz="0" w:space="0" w:color="auto"/>
      </w:divBdr>
    </w:div>
    <w:div w:id="1846358718">
      <w:marLeft w:val="0"/>
      <w:marRight w:val="0"/>
      <w:marTop w:val="0"/>
      <w:marBottom w:val="0"/>
      <w:divBdr>
        <w:top w:val="none" w:sz="0" w:space="0" w:color="auto"/>
        <w:left w:val="none" w:sz="0" w:space="0" w:color="auto"/>
        <w:bottom w:val="none" w:sz="0" w:space="0" w:color="auto"/>
        <w:right w:val="none" w:sz="0" w:space="0" w:color="auto"/>
      </w:divBdr>
    </w:div>
    <w:div w:id="1847551816">
      <w:marLeft w:val="0"/>
      <w:marRight w:val="0"/>
      <w:marTop w:val="120"/>
      <w:marBottom w:val="0"/>
      <w:divBdr>
        <w:top w:val="none" w:sz="0" w:space="0" w:color="auto"/>
        <w:left w:val="none" w:sz="0" w:space="0" w:color="auto"/>
        <w:bottom w:val="none" w:sz="0" w:space="0" w:color="auto"/>
        <w:right w:val="none" w:sz="0" w:space="0" w:color="auto"/>
      </w:divBdr>
    </w:div>
    <w:div w:id="1848447821">
      <w:marLeft w:val="0"/>
      <w:marRight w:val="0"/>
      <w:marTop w:val="0"/>
      <w:marBottom w:val="0"/>
      <w:divBdr>
        <w:top w:val="none" w:sz="0" w:space="0" w:color="auto"/>
        <w:left w:val="none" w:sz="0" w:space="0" w:color="auto"/>
        <w:bottom w:val="none" w:sz="0" w:space="0" w:color="auto"/>
        <w:right w:val="none" w:sz="0" w:space="0" w:color="auto"/>
      </w:divBdr>
    </w:div>
    <w:div w:id="1849254108">
      <w:marLeft w:val="0"/>
      <w:marRight w:val="0"/>
      <w:marTop w:val="120"/>
      <w:marBottom w:val="0"/>
      <w:divBdr>
        <w:top w:val="none" w:sz="0" w:space="0" w:color="auto"/>
        <w:left w:val="none" w:sz="0" w:space="0" w:color="auto"/>
        <w:bottom w:val="none" w:sz="0" w:space="0" w:color="auto"/>
        <w:right w:val="none" w:sz="0" w:space="0" w:color="auto"/>
      </w:divBdr>
    </w:div>
    <w:div w:id="1849369324">
      <w:marLeft w:val="0"/>
      <w:marRight w:val="0"/>
      <w:marTop w:val="120"/>
      <w:marBottom w:val="0"/>
      <w:divBdr>
        <w:top w:val="none" w:sz="0" w:space="0" w:color="auto"/>
        <w:left w:val="none" w:sz="0" w:space="0" w:color="auto"/>
        <w:bottom w:val="none" w:sz="0" w:space="0" w:color="auto"/>
        <w:right w:val="none" w:sz="0" w:space="0" w:color="auto"/>
      </w:divBdr>
    </w:div>
    <w:div w:id="1850480470">
      <w:marLeft w:val="0"/>
      <w:marRight w:val="0"/>
      <w:marTop w:val="120"/>
      <w:marBottom w:val="0"/>
      <w:divBdr>
        <w:top w:val="none" w:sz="0" w:space="0" w:color="auto"/>
        <w:left w:val="none" w:sz="0" w:space="0" w:color="auto"/>
        <w:bottom w:val="none" w:sz="0" w:space="0" w:color="auto"/>
        <w:right w:val="none" w:sz="0" w:space="0" w:color="auto"/>
      </w:divBdr>
    </w:div>
    <w:div w:id="1854613185">
      <w:marLeft w:val="0"/>
      <w:marRight w:val="0"/>
      <w:marTop w:val="0"/>
      <w:marBottom w:val="0"/>
      <w:divBdr>
        <w:top w:val="none" w:sz="0" w:space="0" w:color="auto"/>
        <w:left w:val="none" w:sz="0" w:space="0" w:color="auto"/>
        <w:bottom w:val="none" w:sz="0" w:space="0" w:color="auto"/>
        <w:right w:val="none" w:sz="0" w:space="0" w:color="auto"/>
      </w:divBdr>
      <w:divsChild>
        <w:div w:id="1930500147">
          <w:marLeft w:val="0"/>
          <w:marRight w:val="0"/>
          <w:marTop w:val="0"/>
          <w:marBottom w:val="0"/>
          <w:divBdr>
            <w:top w:val="none" w:sz="0" w:space="0" w:color="auto"/>
            <w:left w:val="none" w:sz="0" w:space="0" w:color="auto"/>
            <w:bottom w:val="none" w:sz="0" w:space="0" w:color="auto"/>
            <w:right w:val="none" w:sz="0" w:space="0" w:color="auto"/>
          </w:divBdr>
        </w:div>
      </w:divsChild>
    </w:div>
    <w:div w:id="1855221980">
      <w:marLeft w:val="0"/>
      <w:marRight w:val="0"/>
      <w:marTop w:val="120"/>
      <w:marBottom w:val="0"/>
      <w:divBdr>
        <w:top w:val="none" w:sz="0" w:space="0" w:color="auto"/>
        <w:left w:val="none" w:sz="0" w:space="0" w:color="auto"/>
        <w:bottom w:val="none" w:sz="0" w:space="0" w:color="auto"/>
        <w:right w:val="none" w:sz="0" w:space="0" w:color="auto"/>
      </w:divBdr>
    </w:div>
    <w:div w:id="1856113128">
      <w:marLeft w:val="0"/>
      <w:marRight w:val="0"/>
      <w:marTop w:val="120"/>
      <w:marBottom w:val="0"/>
      <w:divBdr>
        <w:top w:val="none" w:sz="0" w:space="0" w:color="auto"/>
        <w:left w:val="none" w:sz="0" w:space="0" w:color="auto"/>
        <w:bottom w:val="none" w:sz="0" w:space="0" w:color="auto"/>
        <w:right w:val="none" w:sz="0" w:space="0" w:color="auto"/>
      </w:divBdr>
    </w:div>
    <w:div w:id="1856649213">
      <w:marLeft w:val="0"/>
      <w:marRight w:val="0"/>
      <w:marTop w:val="120"/>
      <w:marBottom w:val="0"/>
      <w:divBdr>
        <w:top w:val="none" w:sz="0" w:space="0" w:color="auto"/>
        <w:left w:val="none" w:sz="0" w:space="0" w:color="auto"/>
        <w:bottom w:val="none" w:sz="0" w:space="0" w:color="auto"/>
        <w:right w:val="none" w:sz="0" w:space="0" w:color="auto"/>
      </w:divBdr>
    </w:div>
    <w:div w:id="1858038708">
      <w:marLeft w:val="0"/>
      <w:marRight w:val="0"/>
      <w:marTop w:val="120"/>
      <w:marBottom w:val="0"/>
      <w:divBdr>
        <w:top w:val="none" w:sz="0" w:space="0" w:color="auto"/>
        <w:left w:val="none" w:sz="0" w:space="0" w:color="auto"/>
        <w:bottom w:val="none" w:sz="0" w:space="0" w:color="auto"/>
        <w:right w:val="none" w:sz="0" w:space="0" w:color="auto"/>
      </w:divBdr>
    </w:div>
    <w:div w:id="1858083140">
      <w:marLeft w:val="0"/>
      <w:marRight w:val="0"/>
      <w:marTop w:val="180"/>
      <w:marBottom w:val="0"/>
      <w:divBdr>
        <w:top w:val="none" w:sz="0" w:space="0" w:color="auto"/>
        <w:left w:val="none" w:sz="0" w:space="0" w:color="auto"/>
        <w:bottom w:val="none" w:sz="0" w:space="0" w:color="auto"/>
        <w:right w:val="none" w:sz="0" w:space="0" w:color="auto"/>
      </w:divBdr>
    </w:div>
    <w:div w:id="1859461249">
      <w:marLeft w:val="0"/>
      <w:marRight w:val="0"/>
      <w:marTop w:val="0"/>
      <w:marBottom w:val="0"/>
      <w:divBdr>
        <w:top w:val="none" w:sz="0" w:space="0" w:color="auto"/>
        <w:left w:val="none" w:sz="0" w:space="0" w:color="auto"/>
        <w:bottom w:val="none" w:sz="0" w:space="0" w:color="auto"/>
        <w:right w:val="none" w:sz="0" w:space="0" w:color="auto"/>
      </w:divBdr>
    </w:div>
    <w:div w:id="1860850846">
      <w:marLeft w:val="0"/>
      <w:marRight w:val="0"/>
      <w:marTop w:val="120"/>
      <w:marBottom w:val="0"/>
      <w:divBdr>
        <w:top w:val="none" w:sz="0" w:space="0" w:color="auto"/>
        <w:left w:val="none" w:sz="0" w:space="0" w:color="auto"/>
        <w:bottom w:val="none" w:sz="0" w:space="0" w:color="auto"/>
        <w:right w:val="none" w:sz="0" w:space="0" w:color="auto"/>
      </w:divBdr>
    </w:div>
    <w:div w:id="1861814819">
      <w:marLeft w:val="0"/>
      <w:marRight w:val="0"/>
      <w:marTop w:val="0"/>
      <w:marBottom w:val="0"/>
      <w:divBdr>
        <w:top w:val="none" w:sz="0" w:space="0" w:color="auto"/>
        <w:left w:val="none" w:sz="0" w:space="0" w:color="auto"/>
        <w:bottom w:val="none" w:sz="0" w:space="0" w:color="auto"/>
        <w:right w:val="none" w:sz="0" w:space="0" w:color="auto"/>
      </w:divBdr>
    </w:div>
    <w:div w:id="1862696297">
      <w:marLeft w:val="0"/>
      <w:marRight w:val="0"/>
      <w:marTop w:val="240"/>
      <w:marBottom w:val="0"/>
      <w:divBdr>
        <w:top w:val="none" w:sz="0" w:space="0" w:color="auto"/>
        <w:left w:val="none" w:sz="0" w:space="0" w:color="auto"/>
        <w:bottom w:val="none" w:sz="0" w:space="0" w:color="auto"/>
        <w:right w:val="none" w:sz="0" w:space="0" w:color="auto"/>
      </w:divBdr>
    </w:div>
    <w:div w:id="1863663848">
      <w:marLeft w:val="0"/>
      <w:marRight w:val="0"/>
      <w:marTop w:val="0"/>
      <w:marBottom w:val="0"/>
      <w:divBdr>
        <w:top w:val="none" w:sz="0" w:space="0" w:color="auto"/>
        <w:left w:val="none" w:sz="0" w:space="0" w:color="auto"/>
        <w:bottom w:val="none" w:sz="0" w:space="0" w:color="auto"/>
        <w:right w:val="none" w:sz="0" w:space="0" w:color="auto"/>
      </w:divBdr>
      <w:divsChild>
        <w:div w:id="129252663">
          <w:marLeft w:val="0"/>
          <w:marRight w:val="0"/>
          <w:marTop w:val="0"/>
          <w:marBottom w:val="0"/>
          <w:divBdr>
            <w:top w:val="none" w:sz="0" w:space="0" w:color="auto"/>
            <w:left w:val="none" w:sz="0" w:space="0" w:color="auto"/>
            <w:bottom w:val="none" w:sz="0" w:space="0" w:color="auto"/>
            <w:right w:val="none" w:sz="0" w:space="0" w:color="auto"/>
          </w:divBdr>
        </w:div>
      </w:divsChild>
    </w:div>
    <w:div w:id="1864854367">
      <w:marLeft w:val="0"/>
      <w:marRight w:val="0"/>
      <w:marTop w:val="120"/>
      <w:marBottom w:val="0"/>
      <w:divBdr>
        <w:top w:val="none" w:sz="0" w:space="0" w:color="auto"/>
        <w:left w:val="none" w:sz="0" w:space="0" w:color="auto"/>
        <w:bottom w:val="none" w:sz="0" w:space="0" w:color="auto"/>
        <w:right w:val="none" w:sz="0" w:space="0" w:color="auto"/>
      </w:divBdr>
    </w:div>
    <w:div w:id="1866090293">
      <w:marLeft w:val="0"/>
      <w:marRight w:val="0"/>
      <w:marTop w:val="0"/>
      <w:marBottom w:val="0"/>
      <w:divBdr>
        <w:top w:val="none" w:sz="0" w:space="0" w:color="auto"/>
        <w:left w:val="none" w:sz="0" w:space="0" w:color="auto"/>
        <w:bottom w:val="none" w:sz="0" w:space="0" w:color="auto"/>
        <w:right w:val="none" w:sz="0" w:space="0" w:color="auto"/>
      </w:divBdr>
      <w:divsChild>
        <w:div w:id="477840398">
          <w:marLeft w:val="0"/>
          <w:marRight w:val="0"/>
          <w:marTop w:val="0"/>
          <w:marBottom w:val="0"/>
          <w:divBdr>
            <w:top w:val="none" w:sz="0" w:space="0" w:color="auto"/>
            <w:left w:val="none" w:sz="0" w:space="0" w:color="auto"/>
            <w:bottom w:val="none" w:sz="0" w:space="0" w:color="auto"/>
            <w:right w:val="none" w:sz="0" w:space="0" w:color="auto"/>
          </w:divBdr>
        </w:div>
      </w:divsChild>
    </w:div>
    <w:div w:id="1866477662">
      <w:marLeft w:val="0"/>
      <w:marRight w:val="0"/>
      <w:marTop w:val="120"/>
      <w:marBottom w:val="0"/>
      <w:divBdr>
        <w:top w:val="none" w:sz="0" w:space="0" w:color="auto"/>
        <w:left w:val="none" w:sz="0" w:space="0" w:color="auto"/>
        <w:bottom w:val="none" w:sz="0" w:space="0" w:color="auto"/>
        <w:right w:val="none" w:sz="0" w:space="0" w:color="auto"/>
      </w:divBdr>
    </w:div>
    <w:div w:id="1867139805">
      <w:marLeft w:val="0"/>
      <w:marRight w:val="0"/>
      <w:marTop w:val="0"/>
      <w:marBottom w:val="0"/>
      <w:divBdr>
        <w:top w:val="none" w:sz="0" w:space="0" w:color="auto"/>
        <w:left w:val="none" w:sz="0" w:space="0" w:color="auto"/>
        <w:bottom w:val="none" w:sz="0" w:space="0" w:color="auto"/>
        <w:right w:val="none" w:sz="0" w:space="0" w:color="auto"/>
      </w:divBdr>
    </w:div>
    <w:div w:id="1867406063">
      <w:marLeft w:val="0"/>
      <w:marRight w:val="0"/>
      <w:marTop w:val="120"/>
      <w:marBottom w:val="0"/>
      <w:divBdr>
        <w:top w:val="none" w:sz="0" w:space="0" w:color="auto"/>
        <w:left w:val="none" w:sz="0" w:space="0" w:color="auto"/>
        <w:bottom w:val="none" w:sz="0" w:space="0" w:color="auto"/>
        <w:right w:val="none" w:sz="0" w:space="0" w:color="auto"/>
      </w:divBdr>
    </w:div>
    <w:div w:id="1868134511">
      <w:marLeft w:val="0"/>
      <w:marRight w:val="0"/>
      <w:marTop w:val="120"/>
      <w:marBottom w:val="0"/>
      <w:divBdr>
        <w:top w:val="none" w:sz="0" w:space="0" w:color="auto"/>
        <w:left w:val="none" w:sz="0" w:space="0" w:color="auto"/>
        <w:bottom w:val="none" w:sz="0" w:space="0" w:color="auto"/>
        <w:right w:val="none" w:sz="0" w:space="0" w:color="auto"/>
      </w:divBdr>
    </w:div>
    <w:div w:id="1868715309">
      <w:marLeft w:val="0"/>
      <w:marRight w:val="0"/>
      <w:marTop w:val="120"/>
      <w:marBottom w:val="0"/>
      <w:divBdr>
        <w:top w:val="none" w:sz="0" w:space="0" w:color="auto"/>
        <w:left w:val="none" w:sz="0" w:space="0" w:color="auto"/>
        <w:bottom w:val="none" w:sz="0" w:space="0" w:color="auto"/>
        <w:right w:val="none" w:sz="0" w:space="0" w:color="auto"/>
      </w:divBdr>
    </w:div>
    <w:div w:id="1869222789">
      <w:marLeft w:val="0"/>
      <w:marRight w:val="0"/>
      <w:marTop w:val="120"/>
      <w:marBottom w:val="0"/>
      <w:divBdr>
        <w:top w:val="none" w:sz="0" w:space="0" w:color="auto"/>
        <w:left w:val="none" w:sz="0" w:space="0" w:color="auto"/>
        <w:bottom w:val="none" w:sz="0" w:space="0" w:color="auto"/>
        <w:right w:val="none" w:sz="0" w:space="0" w:color="auto"/>
      </w:divBdr>
    </w:div>
    <w:div w:id="1869298512">
      <w:marLeft w:val="0"/>
      <w:marRight w:val="0"/>
      <w:marTop w:val="120"/>
      <w:marBottom w:val="0"/>
      <w:divBdr>
        <w:top w:val="none" w:sz="0" w:space="0" w:color="auto"/>
        <w:left w:val="none" w:sz="0" w:space="0" w:color="auto"/>
        <w:bottom w:val="none" w:sz="0" w:space="0" w:color="auto"/>
        <w:right w:val="none" w:sz="0" w:space="0" w:color="auto"/>
      </w:divBdr>
    </w:div>
    <w:div w:id="1870949453">
      <w:marLeft w:val="0"/>
      <w:marRight w:val="0"/>
      <w:marTop w:val="0"/>
      <w:marBottom w:val="120"/>
      <w:divBdr>
        <w:top w:val="none" w:sz="0" w:space="0" w:color="auto"/>
        <w:left w:val="none" w:sz="0" w:space="0" w:color="auto"/>
        <w:bottom w:val="none" w:sz="0" w:space="0" w:color="auto"/>
        <w:right w:val="none" w:sz="0" w:space="0" w:color="auto"/>
      </w:divBdr>
    </w:div>
    <w:div w:id="1871140133">
      <w:marLeft w:val="0"/>
      <w:marRight w:val="0"/>
      <w:marTop w:val="0"/>
      <w:marBottom w:val="0"/>
      <w:divBdr>
        <w:top w:val="none" w:sz="0" w:space="0" w:color="auto"/>
        <w:left w:val="none" w:sz="0" w:space="0" w:color="auto"/>
        <w:bottom w:val="none" w:sz="0" w:space="0" w:color="auto"/>
        <w:right w:val="none" w:sz="0" w:space="0" w:color="auto"/>
      </w:divBdr>
      <w:divsChild>
        <w:div w:id="1218785433">
          <w:marLeft w:val="0"/>
          <w:marRight w:val="0"/>
          <w:marTop w:val="0"/>
          <w:marBottom w:val="0"/>
          <w:divBdr>
            <w:top w:val="none" w:sz="0" w:space="0" w:color="auto"/>
            <w:left w:val="none" w:sz="0" w:space="0" w:color="auto"/>
            <w:bottom w:val="none" w:sz="0" w:space="0" w:color="auto"/>
            <w:right w:val="none" w:sz="0" w:space="0" w:color="auto"/>
          </w:divBdr>
        </w:div>
      </w:divsChild>
    </w:div>
    <w:div w:id="1872721707">
      <w:marLeft w:val="0"/>
      <w:marRight w:val="0"/>
      <w:marTop w:val="0"/>
      <w:marBottom w:val="0"/>
      <w:divBdr>
        <w:top w:val="none" w:sz="0" w:space="0" w:color="auto"/>
        <w:left w:val="none" w:sz="0" w:space="0" w:color="auto"/>
        <w:bottom w:val="none" w:sz="0" w:space="0" w:color="auto"/>
        <w:right w:val="none" w:sz="0" w:space="0" w:color="auto"/>
      </w:divBdr>
      <w:divsChild>
        <w:div w:id="1084953998">
          <w:marLeft w:val="0"/>
          <w:marRight w:val="0"/>
          <w:marTop w:val="0"/>
          <w:marBottom w:val="0"/>
          <w:divBdr>
            <w:top w:val="none" w:sz="0" w:space="0" w:color="auto"/>
            <w:left w:val="none" w:sz="0" w:space="0" w:color="auto"/>
            <w:bottom w:val="none" w:sz="0" w:space="0" w:color="auto"/>
            <w:right w:val="none" w:sz="0" w:space="0" w:color="auto"/>
          </w:divBdr>
        </w:div>
      </w:divsChild>
    </w:div>
    <w:div w:id="1873495792">
      <w:marLeft w:val="0"/>
      <w:marRight w:val="0"/>
      <w:marTop w:val="120"/>
      <w:marBottom w:val="0"/>
      <w:divBdr>
        <w:top w:val="none" w:sz="0" w:space="0" w:color="auto"/>
        <w:left w:val="none" w:sz="0" w:space="0" w:color="auto"/>
        <w:bottom w:val="none" w:sz="0" w:space="0" w:color="auto"/>
        <w:right w:val="none" w:sz="0" w:space="0" w:color="auto"/>
      </w:divBdr>
    </w:div>
    <w:div w:id="1873574613">
      <w:marLeft w:val="0"/>
      <w:marRight w:val="0"/>
      <w:marTop w:val="120"/>
      <w:marBottom w:val="0"/>
      <w:divBdr>
        <w:top w:val="none" w:sz="0" w:space="0" w:color="auto"/>
        <w:left w:val="none" w:sz="0" w:space="0" w:color="auto"/>
        <w:bottom w:val="none" w:sz="0" w:space="0" w:color="auto"/>
        <w:right w:val="none" w:sz="0" w:space="0" w:color="auto"/>
      </w:divBdr>
    </w:div>
    <w:div w:id="1874226744">
      <w:marLeft w:val="0"/>
      <w:marRight w:val="0"/>
      <w:marTop w:val="0"/>
      <w:marBottom w:val="0"/>
      <w:divBdr>
        <w:top w:val="none" w:sz="0" w:space="0" w:color="auto"/>
        <w:left w:val="none" w:sz="0" w:space="0" w:color="auto"/>
        <w:bottom w:val="none" w:sz="0" w:space="0" w:color="auto"/>
        <w:right w:val="none" w:sz="0" w:space="0" w:color="auto"/>
      </w:divBdr>
    </w:div>
    <w:div w:id="1875729109">
      <w:marLeft w:val="0"/>
      <w:marRight w:val="0"/>
      <w:marTop w:val="0"/>
      <w:marBottom w:val="60"/>
      <w:divBdr>
        <w:top w:val="none" w:sz="0" w:space="0" w:color="auto"/>
        <w:left w:val="none" w:sz="0" w:space="0" w:color="auto"/>
        <w:bottom w:val="none" w:sz="0" w:space="0" w:color="auto"/>
        <w:right w:val="none" w:sz="0" w:space="0" w:color="auto"/>
      </w:divBdr>
    </w:div>
    <w:div w:id="1876381386">
      <w:marLeft w:val="0"/>
      <w:marRight w:val="0"/>
      <w:marTop w:val="120"/>
      <w:marBottom w:val="0"/>
      <w:divBdr>
        <w:top w:val="none" w:sz="0" w:space="0" w:color="auto"/>
        <w:left w:val="none" w:sz="0" w:space="0" w:color="auto"/>
        <w:bottom w:val="none" w:sz="0" w:space="0" w:color="auto"/>
        <w:right w:val="none" w:sz="0" w:space="0" w:color="auto"/>
      </w:divBdr>
    </w:div>
    <w:div w:id="1876429196">
      <w:marLeft w:val="0"/>
      <w:marRight w:val="0"/>
      <w:marTop w:val="120"/>
      <w:marBottom w:val="0"/>
      <w:divBdr>
        <w:top w:val="none" w:sz="0" w:space="0" w:color="auto"/>
        <w:left w:val="none" w:sz="0" w:space="0" w:color="auto"/>
        <w:bottom w:val="none" w:sz="0" w:space="0" w:color="auto"/>
        <w:right w:val="none" w:sz="0" w:space="0" w:color="auto"/>
      </w:divBdr>
    </w:div>
    <w:div w:id="1877039901">
      <w:marLeft w:val="0"/>
      <w:marRight w:val="0"/>
      <w:marTop w:val="120"/>
      <w:marBottom w:val="0"/>
      <w:divBdr>
        <w:top w:val="none" w:sz="0" w:space="0" w:color="auto"/>
        <w:left w:val="none" w:sz="0" w:space="0" w:color="auto"/>
        <w:bottom w:val="none" w:sz="0" w:space="0" w:color="auto"/>
        <w:right w:val="none" w:sz="0" w:space="0" w:color="auto"/>
      </w:divBdr>
    </w:div>
    <w:div w:id="1877506347">
      <w:marLeft w:val="0"/>
      <w:marRight w:val="0"/>
      <w:marTop w:val="120"/>
      <w:marBottom w:val="0"/>
      <w:divBdr>
        <w:top w:val="none" w:sz="0" w:space="0" w:color="auto"/>
        <w:left w:val="none" w:sz="0" w:space="0" w:color="auto"/>
        <w:bottom w:val="none" w:sz="0" w:space="0" w:color="auto"/>
        <w:right w:val="none" w:sz="0" w:space="0" w:color="auto"/>
      </w:divBdr>
    </w:div>
    <w:div w:id="1878346739">
      <w:marLeft w:val="0"/>
      <w:marRight w:val="0"/>
      <w:marTop w:val="120"/>
      <w:marBottom w:val="0"/>
      <w:divBdr>
        <w:top w:val="none" w:sz="0" w:space="0" w:color="auto"/>
        <w:left w:val="none" w:sz="0" w:space="0" w:color="auto"/>
        <w:bottom w:val="none" w:sz="0" w:space="0" w:color="auto"/>
        <w:right w:val="none" w:sz="0" w:space="0" w:color="auto"/>
      </w:divBdr>
    </w:div>
    <w:div w:id="1878424276">
      <w:marLeft w:val="0"/>
      <w:marRight w:val="0"/>
      <w:marTop w:val="0"/>
      <w:marBottom w:val="0"/>
      <w:divBdr>
        <w:top w:val="none" w:sz="0" w:space="0" w:color="auto"/>
        <w:left w:val="none" w:sz="0" w:space="0" w:color="auto"/>
        <w:bottom w:val="none" w:sz="0" w:space="0" w:color="auto"/>
        <w:right w:val="none" w:sz="0" w:space="0" w:color="auto"/>
      </w:divBdr>
      <w:divsChild>
        <w:div w:id="1688946529">
          <w:marLeft w:val="0"/>
          <w:marRight w:val="0"/>
          <w:marTop w:val="0"/>
          <w:marBottom w:val="0"/>
          <w:divBdr>
            <w:top w:val="none" w:sz="0" w:space="0" w:color="auto"/>
            <w:left w:val="none" w:sz="0" w:space="0" w:color="auto"/>
            <w:bottom w:val="none" w:sz="0" w:space="0" w:color="auto"/>
            <w:right w:val="none" w:sz="0" w:space="0" w:color="auto"/>
          </w:divBdr>
        </w:div>
      </w:divsChild>
    </w:div>
    <w:div w:id="1878808006">
      <w:marLeft w:val="0"/>
      <w:marRight w:val="0"/>
      <w:marTop w:val="120"/>
      <w:marBottom w:val="0"/>
      <w:divBdr>
        <w:top w:val="none" w:sz="0" w:space="0" w:color="auto"/>
        <w:left w:val="none" w:sz="0" w:space="0" w:color="auto"/>
        <w:bottom w:val="none" w:sz="0" w:space="0" w:color="auto"/>
        <w:right w:val="none" w:sz="0" w:space="0" w:color="auto"/>
      </w:divBdr>
    </w:div>
    <w:div w:id="1881625181">
      <w:marLeft w:val="0"/>
      <w:marRight w:val="0"/>
      <w:marTop w:val="0"/>
      <w:marBottom w:val="0"/>
      <w:divBdr>
        <w:top w:val="none" w:sz="0" w:space="0" w:color="auto"/>
        <w:left w:val="none" w:sz="0" w:space="0" w:color="auto"/>
        <w:bottom w:val="none" w:sz="0" w:space="0" w:color="auto"/>
        <w:right w:val="none" w:sz="0" w:space="0" w:color="auto"/>
      </w:divBdr>
    </w:div>
    <w:div w:id="1883445733">
      <w:marLeft w:val="0"/>
      <w:marRight w:val="0"/>
      <w:marTop w:val="0"/>
      <w:marBottom w:val="0"/>
      <w:divBdr>
        <w:top w:val="none" w:sz="0" w:space="0" w:color="auto"/>
        <w:left w:val="none" w:sz="0" w:space="0" w:color="auto"/>
        <w:bottom w:val="none" w:sz="0" w:space="0" w:color="auto"/>
        <w:right w:val="none" w:sz="0" w:space="0" w:color="auto"/>
      </w:divBdr>
    </w:div>
    <w:div w:id="1884631887">
      <w:marLeft w:val="0"/>
      <w:marRight w:val="0"/>
      <w:marTop w:val="120"/>
      <w:marBottom w:val="0"/>
      <w:divBdr>
        <w:top w:val="none" w:sz="0" w:space="0" w:color="auto"/>
        <w:left w:val="none" w:sz="0" w:space="0" w:color="auto"/>
        <w:bottom w:val="none" w:sz="0" w:space="0" w:color="auto"/>
        <w:right w:val="none" w:sz="0" w:space="0" w:color="auto"/>
      </w:divBdr>
    </w:div>
    <w:div w:id="1886486460">
      <w:marLeft w:val="0"/>
      <w:marRight w:val="0"/>
      <w:marTop w:val="180"/>
      <w:marBottom w:val="0"/>
      <w:divBdr>
        <w:top w:val="none" w:sz="0" w:space="0" w:color="auto"/>
        <w:left w:val="none" w:sz="0" w:space="0" w:color="auto"/>
        <w:bottom w:val="none" w:sz="0" w:space="0" w:color="auto"/>
        <w:right w:val="none" w:sz="0" w:space="0" w:color="auto"/>
      </w:divBdr>
    </w:div>
    <w:div w:id="1887839407">
      <w:marLeft w:val="0"/>
      <w:marRight w:val="0"/>
      <w:marTop w:val="120"/>
      <w:marBottom w:val="0"/>
      <w:divBdr>
        <w:top w:val="none" w:sz="0" w:space="0" w:color="auto"/>
        <w:left w:val="none" w:sz="0" w:space="0" w:color="auto"/>
        <w:bottom w:val="none" w:sz="0" w:space="0" w:color="auto"/>
        <w:right w:val="none" w:sz="0" w:space="0" w:color="auto"/>
      </w:divBdr>
    </w:div>
    <w:div w:id="1887915212">
      <w:marLeft w:val="0"/>
      <w:marRight w:val="0"/>
      <w:marTop w:val="120"/>
      <w:marBottom w:val="0"/>
      <w:divBdr>
        <w:top w:val="none" w:sz="0" w:space="0" w:color="auto"/>
        <w:left w:val="none" w:sz="0" w:space="0" w:color="auto"/>
        <w:bottom w:val="none" w:sz="0" w:space="0" w:color="auto"/>
        <w:right w:val="none" w:sz="0" w:space="0" w:color="auto"/>
      </w:divBdr>
    </w:div>
    <w:div w:id="1888177604">
      <w:marLeft w:val="0"/>
      <w:marRight w:val="0"/>
      <w:marTop w:val="0"/>
      <w:marBottom w:val="60"/>
      <w:divBdr>
        <w:top w:val="none" w:sz="0" w:space="0" w:color="auto"/>
        <w:left w:val="none" w:sz="0" w:space="0" w:color="auto"/>
        <w:bottom w:val="none" w:sz="0" w:space="0" w:color="auto"/>
        <w:right w:val="none" w:sz="0" w:space="0" w:color="auto"/>
      </w:divBdr>
    </w:div>
    <w:div w:id="1890989725">
      <w:marLeft w:val="0"/>
      <w:marRight w:val="0"/>
      <w:marTop w:val="120"/>
      <w:marBottom w:val="0"/>
      <w:divBdr>
        <w:top w:val="none" w:sz="0" w:space="0" w:color="auto"/>
        <w:left w:val="none" w:sz="0" w:space="0" w:color="auto"/>
        <w:bottom w:val="none" w:sz="0" w:space="0" w:color="auto"/>
        <w:right w:val="none" w:sz="0" w:space="0" w:color="auto"/>
      </w:divBdr>
    </w:div>
    <w:div w:id="1891762240">
      <w:marLeft w:val="0"/>
      <w:marRight w:val="0"/>
      <w:marTop w:val="120"/>
      <w:marBottom w:val="0"/>
      <w:divBdr>
        <w:top w:val="none" w:sz="0" w:space="0" w:color="auto"/>
        <w:left w:val="none" w:sz="0" w:space="0" w:color="auto"/>
        <w:bottom w:val="none" w:sz="0" w:space="0" w:color="auto"/>
        <w:right w:val="none" w:sz="0" w:space="0" w:color="auto"/>
      </w:divBdr>
    </w:div>
    <w:div w:id="1892765908">
      <w:marLeft w:val="0"/>
      <w:marRight w:val="0"/>
      <w:marTop w:val="0"/>
      <w:marBottom w:val="120"/>
      <w:divBdr>
        <w:top w:val="none" w:sz="0" w:space="0" w:color="auto"/>
        <w:left w:val="none" w:sz="0" w:space="0" w:color="auto"/>
        <w:bottom w:val="none" w:sz="0" w:space="0" w:color="auto"/>
        <w:right w:val="none" w:sz="0" w:space="0" w:color="auto"/>
      </w:divBdr>
    </w:div>
    <w:div w:id="1893342506">
      <w:marLeft w:val="0"/>
      <w:marRight w:val="0"/>
      <w:marTop w:val="120"/>
      <w:marBottom w:val="0"/>
      <w:divBdr>
        <w:top w:val="none" w:sz="0" w:space="0" w:color="auto"/>
        <w:left w:val="none" w:sz="0" w:space="0" w:color="auto"/>
        <w:bottom w:val="none" w:sz="0" w:space="0" w:color="auto"/>
        <w:right w:val="none" w:sz="0" w:space="0" w:color="auto"/>
      </w:divBdr>
    </w:div>
    <w:div w:id="1893542355">
      <w:marLeft w:val="0"/>
      <w:marRight w:val="0"/>
      <w:marTop w:val="0"/>
      <w:marBottom w:val="0"/>
      <w:divBdr>
        <w:top w:val="none" w:sz="0" w:space="0" w:color="auto"/>
        <w:left w:val="none" w:sz="0" w:space="0" w:color="auto"/>
        <w:bottom w:val="none" w:sz="0" w:space="0" w:color="auto"/>
        <w:right w:val="none" w:sz="0" w:space="0" w:color="auto"/>
      </w:divBdr>
    </w:div>
    <w:div w:id="1893688113">
      <w:marLeft w:val="0"/>
      <w:marRight w:val="0"/>
      <w:marTop w:val="0"/>
      <w:marBottom w:val="240"/>
      <w:divBdr>
        <w:top w:val="none" w:sz="0" w:space="0" w:color="auto"/>
        <w:left w:val="none" w:sz="0" w:space="0" w:color="auto"/>
        <w:bottom w:val="none" w:sz="0" w:space="0" w:color="auto"/>
        <w:right w:val="none" w:sz="0" w:space="0" w:color="auto"/>
      </w:divBdr>
    </w:div>
    <w:div w:id="1895240332">
      <w:marLeft w:val="0"/>
      <w:marRight w:val="0"/>
      <w:marTop w:val="120"/>
      <w:marBottom w:val="0"/>
      <w:divBdr>
        <w:top w:val="none" w:sz="0" w:space="0" w:color="auto"/>
        <w:left w:val="none" w:sz="0" w:space="0" w:color="auto"/>
        <w:bottom w:val="none" w:sz="0" w:space="0" w:color="auto"/>
        <w:right w:val="none" w:sz="0" w:space="0" w:color="auto"/>
      </w:divBdr>
    </w:div>
    <w:div w:id="1896771473">
      <w:marLeft w:val="0"/>
      <w:marRight w:val="0"/>
      <w:marTop w:val="120"/>
      <w:marBottom w:val="0"/>
      <w:divBdr>
        <w:top w:val="none" w:sz="0" w:space="0" w:color="auto"/>
        <w:left w:val="none" w:sz="0" w:space="0" w:color="auto"/>
        <w:bottom w:val="none" w:sz="0" w:space="0" w:color="auto"/>
        <w:right w:val="none" w:sz="0" w:space="0" w:color="auto"/>
      </w:divBdr>
    </w:div>
    <w:div w:id="1898393391">
      <w:marLeft w:val="0"/>
      <w:marRight w:val="0"/>
      <w:marTop w:val="120"/>
      <w:marBottom w:val="0"/>
      <w:divBdr>
        <w:top w:val="none" w:sz="0" w:space="0" w:color="auto"/>
        <w:left w:val="none" w:sz="0" w:space="0" w:color="auto"/>
        <w:bottom w:val="none" w:sz="0" w:space="0" w:color="auto"/>
        <w:right w:val="none" w:sz="0" w:space="0" w:color="auto"/>
      </w:divBdr>
    </w:div>
    <w:div w:id="1898937104">
      <w:marLeft w:val="0"/>
      <w:marRight w:val="0"/>
      <w:marTop w:val="0"/>
      <w:marBottom w:val="120"/>
      <w:divBdr>
        <w:top w:val="none" w:sz="0" w:space="0" w:color="auto"/>
        <w:left w:val="none" w:sz="0" w:space="0" w:color="auto"/>
        <w:bottom w:val="none" w:sz="0" w:space="0" w:color="auto"/>
        <w:right w:val="none" w:sz="0" w:space="0" w:color="auto"/>
      </w:divBdr>
    </w:div>
    <w:div w:id="1901557842">
      <w:marLeft w:val="0"/>
      <w:marRight w:val="0"/>
      <w:marTop w:val="0"/>
      <w:marBottom w:val="0"/>
      <w:divBdr>
        <w:top w:val="none" w:sz="0" w:space="0" w:color="auto"/>
        <w:left w:val="none" w:sz="0" w:space="0" w:color="auto"/>
        <w:bottom w:val="none" w:sz="0" w:space="0" w:color="auto"/>
        <w:right w:val="none" w:sz="0" w:space="0" w:color="auto"/>
      </w:divBdr>
    </w:div>
    <w:div w:id="1901673925">
      <w:marLeft w:val="0"/>
      <w:marRight w:val="0"/>
      <w:marTop w:val="0"/>
      <w:marBottom w:val="0"/>
      <w:divBdr>
        <w:top w:val="none" w:sz="0" w:space="0" w:color="auto"/>
        <w:left w:val="none" w:sz="0" w:space="0" w:color="auto"/>
        <w:bottom w:val="none" w:sz="0" w:space="0" w:color="auto"/>
        <w:right w:val="none" w:sz="0" w:space="0" w:color="auto"/>
      </w:divBdr>
      <w:divsChild>
        <w:div w:id="396630881">
          <w:marLeft w:val="0"/>
          <w:marRight w:val="0"/>
          <w:marTop w:val="0"/>
          <w:marBottom w:val="0"/>
          <w:divBdr>
            <w:top w:val="none" w:sz="0" w:space="0" w:color="auto"/>
            <w:left w:val="none" w:sz="0" w:space="0" w:color="auto"/>
            <w:bottom w:val="none" w:sz="0" w:space="0" w:color="auto"/>
            <w:right w:val="none" w:sz="0" w:space="0" w:color="auto"/>
          </w:divBdr>
        </w:div>
      </w:divsChild>
    </w:div>
    <w:div w:id="1902136039">
      <w:marLeft w:val="0"/>
      <w:marRight w:val="0"/>
      <w:marTop w:val="0"/>
      <w:marBottom w:val="120"/>
      <w:divBdr>
        <w:top w:val="none" w:sz="0" w:space="0" w:color="auto"/>
        <w:left w:val="none" w:sz="0" w:space="0" w:color="auto"/>
        <w:bottom w:val="none" w:sz="0" w:space="0" w:color="auto"/>
        <w:right w:val="none" w:sz="0" w:space="0" w:color="auto"/>
      </w:divBdr>
    </w:div>
    <w:div w:id="1902322076">
      <w:marLeft w:val="0"/>
      <w:marRight w:val="0"/>
      <w:marTop w:val="0"/>
      <w:marBottom w:val="0"/>
      <w:divBdr>
        <w:top w:val="none" w:sz="0" w:space="0" w:color="auto"/>
        <w:left w:val="none" w:sz="0" w:space="0" w:color="auto"/>
        <w:bottom w:val="none" w:sz="0" w:space="0" w:color="auto"/>
        <w:right w:val="none" w:sz="0" w:space="0" w:color="auto"/>
      </w:divBdr>
    </w:div>
    <w:div w:id="1904169773">
      <w:marLeft w:val="0"/>
      <w:marRight w:val="0"/>
      <w:marTop w:val="0"/>
      <w:marBottom w:val="0"/>
      <w:divBdr>
        <w:top w:val="none" w:sz="0" w:space="0" w:color="auto"/>
        <w:left w:val="none" w:sz="0" w:space="0" w:color="auto"/>
        <w:bottom w:val="none" w:sz="0" w:space="0" w:color="auto"/>
        <w:right w:val="none" w:sz="0" w:space="0" w:color="auto"/>
      </w:divBdr>
    </w:div>
    <w:div w:id="1907449003">
      <w:marLeft w:val="0"/>
      <w:marRight w:val="0"/>
      <w:marTop w:val="120"/>
      <w:marBottom w:val="120"/>
      <w:divBdr>
        <w:top w:val="none" w:sz="0" w:space="0" w:color="auto"/>
        <w:left w:val="none" w:sz="0" w:space="0" w:color="auto"/>
        <w:bottom w:val="none" w:sz="0" w:space="0" w:color="auto"/>
        <w:right w:val="none" w:sz="0" w:space="0" w:color="auto"/>
      </w:divBdr>
    </w:div>
    <w:div w:id="1907717140">
      <w:marLeft w:val="0"/>
      <w:marRight w:val="0"/>
      <w:marTop w:val="0"/>
      <w:marBottom w:val="0"/>
      <w:divBdr>
        <w:top w:val="none" w:sz="0" w:space="0" w:color="auto"/>
        <w:left w:val="none" w:sz="0" w:space="0" w:color="auto"/>
        <w:bottom w:val="none" w:sz="0" w:space="0" w:color="auto"/>
        <w:right w:val="none" w:sz="0" w:space="0" w:color="auto"/>
      </w:divBdr>
    </w:div>
    <w:div w:id="1907719480">
      <w:marLeft w:val="0"/>
      <w:marRight w:val="0"/>
      <w:marTop w:val="120"/>
      <w:marBottom w:val="0"/>
      <w:divBdr>
        <w:top w:val="none" w:sz="0" w:space="0" w:color="auto"/>
        <w:left w:val="none" w:sz="0" w:space="0" w:color="auto"/>
        <w:bottom w:val="none" w:sz="0" w:space="0" w:color="auto"/>
        <w:right w:val="none" w:sz="0" w:space="0" w:color="auto"/>
      </w:divBdr>
    </w:div>
    <w:div w:id="1910964773">
      <w:marLeft w:val="0"/>
      <w:marRight w:val="0"/>
      <w:marTop w:val="120"/>
      <w:marBottom w:val="0"/>
      <w:divBdr>
        <w:top w:val="none" w:sz="0" w:space="0" w:color="auto"/>
        <w:left w:val="none" w:sz="0" w:space="0" w:color="auto"/>
        <w:bottom w:val="none" w:sz="0" w:space="0" w:color="auto"/>
        <w:right w:val="none" w:sz="0" w:space="0" w:color="auto"/>
      </w:divBdr>
    </w:div>
    <w:div w:id="1911188346">
      <w:marLeft w:val="0"/>
      <w:marRight w:val="0"/>
      <w:marTop w:val="0"/>
      <w:marBottom w:val="0"/>
      <w:divBdr>
        <w:top w:val="none" w:sz="0" w:space="0" w:color="auto"/>
        <w:left w:val="none" w:sz="0" w:space="0" w:color="auto"/>
        <w:bottom w:val="none" w:sz="0" w:space="0" w:color="auto"/>
        <w:right w:val="none" w:sz="0" w:space="0" w:color="auto"/>
      </w:divBdr>
    </w:div>
    <w:div w:id="1912501317">
      <w:marLeft w:val="0"/>
      <w:marRight w:val="0"/>
      <w:marTop w:val="0"/>
      <w:marBottom w:val="120"/>
      <w:divBdr>
        <w:top w:val="none" w:sz="0" w:space="0" w:color="auto"/>
        <w:left w:val="none" w:sz="0" w:space="0" w:color="auto"/>
        <w:bottom w:val="none" w:sz="0" w:space="0" w:color="auto"/>
        <w:right w:val="none" w:sz="0" w:space="0" w:color="auto"/>
      </w:divBdr>
    </w:div>
    <w:div w:id="1913008453">
      <w:marLeft w:val="0"/>
      <w:marRight w:val="0"/>
      <w:marTop w:val="120"/>
      <w:marBottom w:val="0"/>
      <w:divBdr>
        <w:top w:val="none" w:sz="0" w:space="0" w:color="auto"/>
        <w:left w:val="none" w:sz="0" w:space="0" w:color="auto"/>
        <w:bottom w:val="none" w:sz="0" w:space="0" w:color="auto"/>
        <w:right w:val="none" w:sz="0" w:space="0" w:color="auto"/>
      </w:divBdr>
    </w:div>
    <w:div w:id="1913421606">
      <w:marLeft w:val="0"/>
      <w:marRight w:val="0"/>
      <w:marTop w:val="120"/>
      <w:marBottom w:val="120"/>
      <w:divBdr>
        <w:top w:val="none" w:sz="0" w:space="0" w:color="auto"/>
        <w:left w:val="none" w:sz="0" w:space="0" w:color="auto"/>
        <w:bottom w:val="none" w:sz="0" w:space="0" w:color="auto"/>
        <w:right w:val="none" w:sz="0" w:space="0" w:color="auto"/>
      </w:divBdr>
      <w:divsChild>
        <w:div w:id="1544562733">
          <w:marLeft w:val="0"/>
          <w:marRight w:val="0"/>
          <w:marTop w:val="0"/>
          <w:marBottom w:val="0"/>
          <w:divBdr>
            <w:top w:val="none" w:sz="0" w:space="0" w:color="auto"/>
            <w:left w:val="none" w:sz="0" w:space="0" w:color="auto"/>
            <w:bottom w:val="none" w:sz="0" w:space="0" w:color="auto"/>
            <w:right w:val="none" w:sz="0" w:space="0" w:color="auto"/>
          </w:divBdr>
        </w:div>
        <w:div w:id="1271359659">
          <w:marLeft w:val="0"/>
          <w:marRight w:val="0"/>
          <w:marTop w:val="0"/>
          <w:marBottom w:val="0"/>
          <w:divBdr>
            <w:top w:val="none" w:sz="0" w:space="0" w:color="auto"/>
            <w:left w:val="none" w:sz="0" w:space="0" w:color="auto"/>
            <w:bottom w:val="none" w:sz="0" w:space="0" w:color="auto"/>
            <w:right w:val="none" w:sz="0" w:space="0" w:color="auto"/>
          </w:divBdr>
        </w:div>
        <w:div w:id="315690625">
          <w:marLeft w:val="0"/>
          <w:marRight w:val="0"/>
          <w:marTop w:val="0"/>
          <w:marBottom w:val="0"/>
          <w:divBdr>
            <w:top w:val="none" w:sz="0" w:space="0" w:color="auto"/>
            <w:left w:val="none" w:sz="0" w:space="0" w:color="auto"/>
            <w:bottom w:val="none" w:sz="0" w:space="0" w:color="auto"/>
            <w:right w:val="none" w:sz="0" w:space="0" w:color="auto"/>
          </w:divBdr>
        </w:div>
        <w:div w:id="2129617432">
          <w:marLeft w:val="0"/>
          <w:marRight w:val="0"/>
          <w:marTop w:val="0"/>
          <w:marBottom w:val="0"/>
          <w:divBdr>
            <w:top w:val="none" w:sz="0" w:space="0" w:color="auto"/>
            <w:left w:val="none" w:sz="0" w:space="0" w:color="auto"/>
            <w:bottom w:val="none" w:sz="0" w:space="0" w:color="auto"/>
            <w:right w:val="none" w:sz="0" w:space="0" w:color="auto"/>
          </w:divBdr>
        </w:div>
        <w:div w:id="1576353650">
          <w:marLeft w:val="0"/>
          <w:marRight w:val="0"/>
          <w:marTop w:val="0"/>
          <w:marBottom w:val="0"/>
          <w:divBdr>
            <w:top w:val="none" w:sz="0" w:space="0" w:color="auto"/>
            <w:left w:val="none" w:sz="0" w:space="0" w:color="auto"/>
            <w:bottom w:val="none" w:sz="0" w:space="0" w:color="auto"/>
            <w:right w:val="none" w:sz="0" w:space="0" w:color="auto"/>
          </w:divBdr>
        </w:div>
        <w:div w:id="134182121">
          <w:marLeft w:val="0"/>
          <w:marRight w:val="0"/>
          <w:marTop w:val="0"/>
          <w:marBottom w:val="0"/>
          <w:divBdr>
            <w:top w:val="none" w:sz="0" w:space="0" w:color="auto"/>
            <w:left w:val="none" w:sz="0" w:space="0" w:color="auto"/>
            <w:bottom w:val="none" w:sz="0" w:space="0" w:color="auto"/>
            <w:right w:val="none" w:sz="0" w:space="0" w:color="auto"/>
          </w:divBdr>
        </w:div>
        <w:div w:id="728655476">
          <w:marLeft w:val="0"/>
          <w:marRight w:val="0"/>
          <w:marTop w:val="0"/>
          <w:marBottom w:val="0"/>
          <w:divBdr>
            <w:top w:val="none" w:sz="0" w:space="0" w:color="auto"/>
            <w:left w:val="none" w:sz="0" w:space="0" w:color="auto"/>
            <w:bottom w:val="none" w:sz="0" w:space="0" w:color="auto"/>
            <w:right w:val="none" w:sz="0" w:space="0" w:color="auto"/>
          </w:divBdr>
        </w:div>
        <w:div w:id="8599815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120"/>
      <w:marBottom w:val="0"/>
      <w:divBdr>
        <w:top w:val="none" w:sz="0" w:space="0" w:color="auto"/>
        <w:left w:val="none" w:sz="0" w:space="0" w:color="auto"/>
        <w:bottom w:val="none" w:sz="0" w:space="0" w:color="auto"/>
        <w:right w:val="none" w:sz="0" w:space="0" w:color="auto"/>
      </w:divBdr>
    </w:div>
    <w:div w:id="1915124340">
      <w:marLeft w:val="0"/>
      <w:marRight w:val="0"/>
      <w:marTop w:val="120"/>
      <w:marBottom w:val="0"/>
      <w:divBdr>
        <w:top w:val="none" w:sz="0" w:space="0" w:color="auto"/>
        <w:left w:val="none" w:sz="0" w:space="0" w:color="auto"/>
        <w:bottom w:val="none" w:sz="0" w:space="0" w:color="auto"/>
        <w:right w:val="none" w:sz="0" w:space="0" w:color="auto"/>
      </w:divBdr>
    </w:div>
    <w:div w:id="1916277434">
      <w:marLeft w:val="0"/>
      <w:marRight w:val="0"/>
      <w:marTop w:val="120"/>
      <w:marBottom w:val="0"/>
      <w:divBdr>
        <w:top w:val="none" w:sz="0" w:space="0" w:color="auto"/>
        <w:left w:val="none" w:sz="0" w:space="0" w:color="auto"/>
        <w:bottom w:val="none" w:sz="0" w:space="0" w:color="auto"/>
        <w:right w:val="none" w:sz="0" w:space="0" w:color="auto"/>
      </w:divBdr>
    </w:div>
    <w:div w:id="1916476178">
      <w:marLeft w:val="0"/>
      <w:marRight w:val="0"/>
      <w:marTop w:val="0"/>
      <w:marBottom w:val="0"/>
      <w:divBdr>
        <w:top w:val="none" w:sz="0" w:space="0" w:color="auto"/>
        <w:left w:val="none" w:sz="0" w:space="0" w:color="auto"/>
        <w:bottom w:val="none" w:sz="0" w:space="0" w:color="auto"/>
        <w:right w:val="none" w:sz="0" w:space="0" w:color="auto"/>
      </w:divBdr>
    </w:div>
    <w:div w:id="1917402567">
      <w:marLeft w:val="0"/>
      <w:marRight w:val="0"/>
      <w:marTop w:val="0"/>
      <w:marBottom w:val="0"/>
      <w:divBdr>
        <w:top w:val="none" w:sz="0" w:space="0" w:color="auto"/>
        <w:left w:val="none" w:sz="0" w:space="0" w:color="auto"/>
        <w:bottom w:val="none" w:sz="0" w:space="0" w:color="auto"/>
        <w:right w:val="none" w:sz="0" w:space="0" w:color="auto"/>
      </w:divBdr>
      <w:divsChild>
        <w:div w:id="494993921">
          <w:marLeft w:val="0"/>
          <w:marRight w:val="0"/>
          <w:marTop w:val="0"/>
          <w:marBottom w:val="0"/>
          <w:divBdr>
            <w:top w:val="none" w:sz="0" w:space="0" w:color="auto"/>
            <w:left w:val="none" w:sz="0" w:space="0" w:color="auto"/>
            <w:bottom w:val="none" w:sz="0" w:space="0" w:color="auto"/>
            <w:right w:val="none" w:sz="0" w:space="0" w:color="auto"/>
          </w:divBdr>
        </w:div>
      </w:divsChild>
    </w:div>
    <w:div w:id="1919513071">
      <w:marLeft w:val="0"/>
      <w:marRight w:val="0"/>
      <w:marTop w:val="120"/>
      <w:marBottom w:val="0"/>
      <w:divBdr>
        <w:top w:val="none" w:sz="0" w:space="0" w:color="auto"/>
        <w:left w:val="none" w:sz="0" w:space="0" w:color="auto"/>
        <w:bottom w:val="none" w:sz="0" w:space="0" w:color="auto"/>
        <w:right w:val="none" w:sz="0" w:space="0" w:color="auto"/>
      </w:divBdr>
    </w:div>
    <w:div w:id="1919901619">
      <w:marLeft w:val="0"/>
      <w:marRight w:val="0"/>
      <w:marTop w:val="0"/>
      <w:marBottom w:val="0"/>
      <w:divBdr>
        <w:top w:val="none" w:sz="0" w:space="0" w:color="auto"/>
        <w:left w:val="none" w:sz="0" w:space="0" w:color="auto"/>
        <w:bottom w:val="none" w:sz="0" w:space="0" w:color="auto"/>
        <w:right w:val="none" w:sz="0" w:space="0" w:color="auto"/>
      </w:divBdr>
    </w:div>
    <w:div w:id="1920095086">
      <w:marLeft w:val="0"/>
      <w:marRight w:val="0"/>
      <w:marTop w:val="120"/>
      <w:marBottom w:val="0"/>
      <w:divBdr>
        <w:top w:val="none" w:sz="0" w:space="0" w:color="auto"/>
        <w:left w:val="none" w:sz="0" w:space="0" w:color="auto"/>
        <w:bottom w:val="none" w:sz="0" w:space="0" w:color="auto"/>
        <w:right w:val="none" w:sz="0" w:space="0" w:color="auto"/>
      </w:divBdr>
    </w:div>
    <w:div w:id="1920942695">
      <w:marLeft w:val="0"/>
      <w:marRight w:val="0"/>
      <w:marTop w:val="120"/>
      <w:marBottom w:val="0"/>
      <w:divBdr>
        <w:top w:val="none" w:sz="0" w:space="0" w:color="auto"/>
        <w:left w:val="none" w:sz="0" w:space="0" w:color="auto"/>
        <w:bottom w:val="none" w:sz="0" w:space="0" w:color="auto"/>
        <w:right w:val="none" w:sz="0" w:space="0" w:color="auto"/>
      </w:divBdr>
    </w:div>
    <w:div w:id="1922525376">
      <w:marLeft w:val="0"/>
      <w:marRight w:val="0"/>
      <w:marTop w:val="0"/>
      <w:marBottom w:val="120"/>
      <w:divBdr>
        <w:top w:val="none" w:sz="0" w:space="0" w:color="auto"/>
        <w:left w:val="none" w:sz="0" w:space="0" w:color="auto"/>
        <w:bottom w:val="none" w:sz="0" w:space="0" w:color="auto"/>
        <w:right w:val="none" w:sz="0" w:space="0" w:color="auto"/>
      </w:divBdr>
    </w:div>
    <w:div w:id="1923635814">
      <w:marLeft w:val="0"/>
      <w:marRight w:val="0"/>
      <w:marTop w:val="120"/>
      <w:marBottom w:val="0"/>
      <w:divBdr>
        <w:top w:val="none" w:sz="0" w:space="0" w:color="auto"/>
        <w:left w:val="none" w:sz="0" w:space="0" w:color="auto"/>
        <w:bottom w:val="none" w:sz="0" w:space="0" w:color="auto"/>
        <w:right w:val="none" w:sz="0" w:space="0" w:color="auto"/>
      </w:divBdr>
    </w:div>
    <w:div w:id="1923906650">
      <w:marLeft w:val="0"/>
      <w:marRight w:val="0"/>
      <w:marTop w:val="120"/>
      <w:marBottom w:val="0"/>
      <w:divBdr>
        <w:top w:val="none" w:sz="0" w:space="0" w:color="auto"/>
        <w:left w:val="none" w:sz="0" w:space="0" w:color="auto"/>
        <w:bottom w:val="none" w:sz="0" w:space="0" w:color="auto"/>
        <w:right w:val="none" w:sz="0" w:space="0" w:color="auto"/>
      </w:divBdr>
    </w:div>
    <w:div w:id="1925187669">
      <w:marLeft w:val="0"/>
      <w:marRight w:val="0"/>
      <w:marTop w:val="120"/>
      <w:marBottom w:val="0"/>
      <w:divBdr>
        <w:top w:val="none" w:sz="0" w:space="0" w:color="auto"/>
        <w:left w:val="none" w:sz="0" w:space="0" w:color="auto"/>
        <w:bottom w:val="none" w:sz="0" w:space="0" w:color="auto"/>
        <w:right w:val="none" w:sz="0" w:space="0" w:color="auto"/>
      </w:divBdr>
    </w:div>
    <w:div w:id="1925871040">
      <w:marLeft w:val="0"/>
      <w:marRight w:val="0"/>
      <w:marTop w:val="0"/>
      <w:marBottom w:val="0"/>
      <w:divBdr>
        <w:top w:val="none" w:sz="0" w:space="0" w:color="auto"/>
        <w:left w:val="none" w:sz="0" w:space="0" w:color="auto"/>
        <w:bottom w:val="none" w:sz="0" w:space="0" w:color="auto"/>
        <w:right w:val="none" w:sz="0" w:space="0" w:color="auto"/>
      </w:divBdr>
      <w:divsChild>
        <w:div w:id="147942814">
          <w:marLeft w:val="0"/>
          <w:marRight w:val="0"/>
          <w:marTop w:val="0"/>
          <w:marBottom w:val="0"/>
          <w:divBdr>
            <w:top w:val="none" w:sz="0" w:space="0" w:color="auto"/>
            <w:left w:val="none" w:sz="0" w:space="0" w:color="auto"/>
            <w:bottom w:val="none" w:sz="0" w:space="0" w:color="auto"/>
            <w:right w:val="none" w:sz="0" w:space="0" w:color="auto"/>
          </w:divBdr>
        </w:div>
      </w:divsChild>
    </w:div>
    <w:div w:id="1926377701">
      <w:marLeft w:val="0"/>
      <w:marRight w:val="0"/>
      <w:marTop w:val="0"/>
      <w:marBottom w:val="120"/>
      <w:divBdr>
        <w:top w:val="none" w:sz="0" w:space="0" w:color="auto"/>
        <w:left w:val="none" w:sz="0" w:space="0" w:color="auto"/>
        <w:bottom w:val="none" w:sz="0" w:space="0" w:color="auto"/>
        <w:right w:val="none" w:sz="0" w:space="0" w:color="auto"/>
      </w:divBdr>
      <w:divsChild>
        <w:div w:id="818152786">
          <w:marLeft w:val="0"/>
          <w:marRight w:val="0"/>
          <w:marTop w:val="0"/>
          <w:marBottom w:val="0"/>
          <w:divBdr>
            <w:top w:val="none" w:sz="0" w:space="0" w:color="auto"/>
            <w:left w:val="none" w:sz="0" w:space="0" w:color="auto"/>
            <w:bottom w:val="none" w:sz="0" w:space="0" w:color="auto"/>
            <w:right w:val="none" w:sz="0" w:space="0" w:color="auto"/>
          </w:divBdr>
        </w:div>
      </w:divsChild>
    </w:div>
    <w:div w:id="1926915772">
      <w:marLeft w:val="0"/>
      <w:marRight w:val="0"/>
      <w:marTop w:val="0"/>
      <w:marBottom w:val="0"/>
      <w:divBdr>
        <w:top w:val="none" w:sz="0" w:space="0" w:color="auto"/>
        <w:left w:val="none" w:sz="0" w:space="0" w:color="auto"/>
        <w:bottom w:val="none" w:sz="0" w:space="0" w:color="auto"/>
        <w:right w:val="none" w:sz="0" w:space="0" w:color="auto"/>
      </w:divBdr>
      <w:divsChild>
        <w:div w:id="1634823382">
          <w:marLeft w:val="0"/>
          <w:marRight w:val="0"/>
          <w:marTop w:val="0"/>
          <w:marBottom w:val="0"/>
          <w:divBdr>
            <w:top w:val="none" w:sz="0" w:space="0" w:color="auto"/>
            <w:left w:val="none" w:sz="0" w:space="0" w:color="auto"/>
            <w:bottom w:val="none" w:sz="0" w:space="0" w:color="auto"/>
            <w:right w:val="none" w:sz="0" w:space="0" w:color="auto"/>
          </w:divBdr>
        </w:div>
      </w:divsChild>
    </w:div>
    <w:div w:id="1929803887">
      <w:marLeft w:val="0"/>
      <w:marRight w:val="0"/>
      <w:marTop w:val="120"/>
      <w:marBottom w:val="0"/>
      <w:divBdr>
        <w:top w:val="none" w:sz="0" w:space="0" w:color="auto"/>
        <w:left w:val="none" w:sz="0" w:space="0" w:color="auto"/>
        <w:bottom w:val="none" w:sz="0" w:space="0" w:color="auto"/>
        <w:right w:val="none" w:sz="0" w:space="0" w:color="auto"/>
      </w:divBdr>
    </w:div>
    <w:div w:id="1931312653">
      <w:marLeft w:val="0"/>
      <w:marRight w:val="0"/>
      <w:marTop w:val="120"/>
      <w:marBottom w:val="0"/>
      <w:divBdr>
        <w:top w:val="none" w:sz="0" w:space="0" w:color="auto"/>
        <w:left w:val="none" w:sz="0" w:space="0" w:color="auto"/>
        <w:bottom w:val="none" w:sz="0" w:space="0" w:color="auto"/>
        <w:right w:val="none" w:sz="0" w:space="0" w:color="auto"/>
      </w:divBdr>
    </w:div>
    <w:div w:id="1932009600">
      <w:marLeft w:val="0"/>
      <w:marRight w:val="0"/>
      <w:marTop w:val="120"/>
      <w:marBottom w:val="0"/>
      <w:divBdr>
        <w:top w:val="none" w:sz="0" w:space="0" w:color="auto"/>
        <w:left w:val="none" w:sz="0" w:space="0" w:color="auto"/>
        <w:bottom w:val="none" w:sz="0" w:space="0" w:color="auto"/>
        <w:right w:val="none" w:sz="0" w:space="0" w:color="auto"/>
      </w:divBdr>
    </w:div>
    <w:div w:id="1933079040">
      <w:marLeft w:val="0"/>
      <w:marRight w:val="0"/>
      <w:marTop w:val="120"/>
      <w:marBottom w:val="0"/>
      <w:divBdr>
        <w:top w:val="none" w:sz="0" w:space="0" w:color="auto"/>
        <w:left w:val="none" w:sz="0" w:space="0" w:color="auto"/>
        <w:bottom w:val="none" w:sz="0" w:space="0" w:color="auto"/>
        <w:right w:val="none" w:sz="0" w:space="0" w:color="auto"/>
      </w:divBdr>
    </w:div>
    <w:div w:id="1933197562">
      <w:marLeft w:val="0"/>
      <w:marRight w:val="0"/>
      <w:marTop w:val="120"/>
      <w:marBottom w:val="0"/>
      <w:divBdr>
        <w:top w:val="none" w:sz="0" w:space="0" w:color="auto"/>
        <w:left w:val="none" w:sz="0" w:space="0" w:color="auto"/>
        <w:bottom w:val="none" w:sz="0" w:space="0" w:color="auto"/>
        <w:right w:val="none" w:sz="0" w:space="0" w:color="auto"/>
      </w:divBdr>
    </w:div>
    <w:div w:id="1933271285">
      <w:marLeft w:val="0"/>
      <w:marRight w:val="0"/>
      <w:marTop w:val="0"/>
      <w:marBottom w:val="0"/>
      <w:divBdr>
        <w:top w:val="none" w:sz="0" w:space="0" w:color="auto"/>
        <w:left w:val="none" w:sz="0" w:space="0" w:color="auto"/>
        <w:bottom w:val="none" w:sz="0" w:space="0" w:color="auto"/>
        <w:right w:val="none" w:sz="0" w:space="0" w:color="auto"/>
      </w:divBdr>
      <w:divsChild>
        <w:div w:id="797646916">
          <w:marLeft w:val="0"/>
          <w:marRight w:val="0"/>
          <w:marTop w:val="0"/>
          <w:marBottom w:val="0"/>
          <w:divBdr>
            <w:top w:val="none" w:sz="0" w:space="0" w:color="auto"/>
            <w:left w:val="none" w:sz="0" w:space="0" w:color="auto"/>
            <w:bottom w:val="none" w:sz="0" w:space="0" w:color="auto"/>
            <w:right w:val="none" w:sz="0" w:space="0" w:color="auto"/>
          </w:divBdr>
        </w:div>
      </w:divsChild>
    </w:div>
    <w:div w:id="1934317434">
      <w:marLeft w:val="0"/>
      <w:marRight w:val="0"/>
      <w:marTop w:val="120"/>
      <w:marBottom w:val="0"/>
      <w:divBdr>
        <w:top w:val="none" w:sz="0" w:space="0" w:color="auto"/>
        <w:left w:val="none" w:sz="0" w:space="0" w:color="auto"/>
        <w:bottom w:val="none" w:sz="0" w:space="0" w:color="auto"/>
        <w:right w:val="none" w:sz="0" w:space="0" w:color="auto"/>
      </w:divBdr>
    </w:div>
    <w:div w:id="1935698728">
      <w:marLeft w:val="0"/>
      <w:marRight w:val="0"/>
      <w:marTop w:val="120"/>
      <w:marBottom w:val="0"/>
      <w:divBdr>
        <w:top w:val="none" w:sz="0" w:space="0" w:color="auto"/>
        <w:left w:val="none" w:sz="0" w:space="0" w:color="auto"/>
        <w:bottom w:val="none" w:sz="0" w:space="0" w:color="auto"/>
        <w:right w:val="none" w:sz="0" w:space="0" w:color="auto"/>
      </w:divBdr>
    </w:div>
    <w:div w:id="1935747634">
      <w:marLeft w:val="0"/>
      <w:marRight w:val="0"/>
      <w:marTop w:val="0"/>
      <w:marBottom w:val="0"/>
      <w:divBdr>
        <w:top w:val="none" w:sz="0" w:space="0" w:color="auto"/>
        <w:left w:val="none" w:sz="0" w:space="0" w:color="auto"/>
        <w:bottom w:val="none" w:sz="0" w:space="0" w:color="auto"/>
        <w:right w:val="none" w:sz="0" w:space="0" w:color="auto"/>
      </w:divBdr>
      <w:divsChild>
        <w:div w:id="1729256858">
          <w:marLeft w:val="0"/>
          <w:marRight w:val="0"/>
          <w:marTop w:val="0"/>
          <w:marBottom w:val="0"/>
          <w:divBdr>
            <w:top w:val="none" w:sz="0" w:space="0" w:color="auto"/>
            <w:left w:val="none" w:sz="0" w:space="0" w:color="auto"/>
            <w:bottom w:val="none" w:sz="0" w:space="0" w:color="auto"/>
            <w:right w:val="none" w:sz="0" w:space="0" w:color="auto"/>
          </w:divBdr>
        </w:div>
      </w:divsChild>
    </w:div>
    <w:div w:id="1935822176">
      <w:marLeft w:val="0"/>
      <w:marRight w:val="0"/>
      <w:marTop w:val="0"/>
      <w:marBottom w:val="0"/>
      <w:divBdr>
        <w:top w:val="none" w:sz="0" w:space="0" w:color="auto"/>
        <w:left w:val="none" w:sz="0" w:space="0" w:color="auto"/>
        <w:bottom w:val="none" w:sz="0" w:space="0" w:color="auto"/>
        <w:right w:val="none" w:sz="0" w:space="0" w:color="auto"/>
      </w:divBdr>
      <w:divsChild>
        <w:div w:id="852720001">
          <w:marLeft w:val="0"/>
          <w:marRight w:val="0"/>
          <w:marTop w:val="0"/>
          <w:marBottom w:val="0"/>
          <w:divBdr>
            <w:top w:val="none" w:sz="0" w:space="0" w:color="auto"/>
            <w:left w:val="none" w:sz="0" w:space="0" w:color="auto"/>
            <w:bottom w:val="none" w:sz="0" w:space="0" w:color="auto"/>
            <w:right w:val="none" w:sz="0" w:space="0" w:color="auto"/>
          </w:divBdr>
        </w:div>
      </w:divsChild>
    </w:div>
    <w:div w:id="1937975224">
      <w:marLeft w:val="0"/>
      <w:marRight w:val="0"/>
      <w:marTop w:val="0"/>
      <w:marBottom w:val="120"/>
      <w:divBdr>
        <w:top w:val="none" w:sz="0" w:space="0" w:color="auto"/>
        <w:left w:val="none" w:sz="0" w:space="0" w:color="auto"/>
        <w:bottom w:val="none" w:sz="0" w:space="0" w:color="auto"/>
        <w:right w:val="none" w:sz="0" w:space="0" w:color="auto"/>
      </w:divBdr>
    </w:div>
    <w:div w:id="1938710279">
      <w:marLeft w:val="0"/>
      <w:marRight w:val="0"/>
      <w:marTop w:val="120"/>
      <w:marBottom w:val="0"/>
      <w:divBdr>
        <w:top w:val="none" w:sz="0" w:space="0" w:color="auto"/>
        <w:left w:val="none" w:sz="0" w:space="0" w:color="auto"/>
        <w:bottom w:val="none" w:sz="0" w:space="0" w:color="auto"/>
        <w:right w:val="none" w:sz="0" w:space="0" w:color="auto"/>
      </w:divBdr>
    </w:div>
    <w:div w:id="1938713345">
      <w:marLeft w:val="0"/>
      <w:marRight w:val="0"/>
      <w:marTop w:val="120"/>
      <w:marBottom w:val="0"/>
      <w:divBdr>
        <w:top w:val="none" w:sz="0" w:space="0" w:color="auto"/>
        <w:left w:val="none" w:sz="0" w:space="0" w:color="auto"/>
        <w:bottom w:val="none" w:sz="0" w:space="0" w:color="auto"/>
        <w:right w:val="none" w:sz="0" w:space="0" w:color="auto"/>
      </w:divBdr>
    </w:div>
    <w:div w:id="1941521590">
      <w:marLeft w:val="0"/>
      <w:marRight w:val="0"/>
      <w:marTop w:val="0"/>
      <w:marBottom w:val="0"/>
      <w:divBdr>
        <w:top w:val="none" w:sz="0" w:space="0" w:color="auto"/>
        <w:left w:val="none" w:sz="0" w:space="0" w:color="auto"/>
        <w:bottom w:val="none" w:sz="0" w:space="0" w:color="auto"/>
        <w:right w:val="none" w:sz="0" w:space="0" w:color="auto"/>
      </w:divBdr>
      <w:divsChild>
        <w:div w:id="621113485">
          <w:marLeft w:val="0"/>
          <w:marRight w:val="0"/>
          <w:marTop w:val="0"/>
          <w:marBottom w:val="0"/>
          <w:divBdr>
            <w:top w:val="none" w:sz="0" w:space="0" w:color="auto"/>
            <w:left w:val="none" w:sz="0" w:space="0" w:color="auto"/>
            <w:bottom w:val="none" w:sz="0" w:space="0" w:color="auto"/>
            <w:right w:val="none" w:sz="0" w:space="0" w:color="auto"/>
          </w:divBdr>
        </w:div>
      </w:divsChild>
    </w:div>
    <w:div w:id="1942832784">
      <w:marLeft w:val="0"/>
      <w:marRight w:val="0"/>
      <w:marTop w:val="120"/>
      <w:marBottom w:val="0"/>
      <w:divBdr>
        <w:top w:val="none" w:sz="0" w:space="0" w:color="auto"/>
        <w:left w:val="none" w:sz="0" w:space="0" w:color="auto"/>
        <w:bottom w:val="none" w:sz="0" w:space="0" w:color="auto"/>
        <w:right w:val="none" w:sz="0" w:space="0" w:color="auto"/>
      </w:divBdr>
    </w:div>
    <w:div w:id="1944066804">
      <w:marLeft w:val="0"/>
      <w:marRight w:val="0"/>
      <w:marTop w:val="0"/>
      <w:marBottom w:val="0"/>
      <w:divBdr>
        <w:top w:val="none" w:sz="0" w:space="0" w:color="auto"/>
        <w:left w:val="none" w:sz="0" w:space="0" w:color="auto"/>
        <w:bottom w:val="none" w:sz="0" w:space="0" w:color="auto"/>
        <w:right w:val="none" w:sz="0" w:space="0" w:color="auto"/>
      </w:divBdr>
    </w:div>
    <w:div w:id="1944729061">
      <w:marLeft w:val="0"/>
      <w:marRight w:val="0"/>
      <w:marTop w:val="120"/>
      <w:marBottom w:val="0"/>
      <w:divBdr>
        <w:top w:val="none" w:sz="0" w:space="0" w:color="auto"/>
        <w:left w:val="none" w:sz="0" w:space="0" w:color="auto"/>
        <w:bottom w:val="none" w:sz="0" w:space="0" w:color="auto"/>
        <w:right w:val="none" w:sz="0" w:space="0" w:color="auto"/>
      </w:divBdr>
    </w:div>
    <w:div w:id="1945069435">
      <w:marLeft w:val="0"/>
      <w:marRight w:val="0"/>
      <w:marTop w:val="120"/>
      <w:marBottom w:val="0"/>
      <w:divBdr>
        <w:top w:val="none" w:sz="0" w:space="0" w:color="auto"/>
        <w:left w:val="none" w:sz="0" w:space="0" w:color="auto"/>
        <w:bottom w:val="none" w:sz="0" w:space="0" w:color="auto"/>
        <w:right w:val="none" w:sz="0" w:space="0" w:color="auto"/>
      </w:divBdr>
    </w:div>
    <w:div w:id="1945841121">
      <w:marLeft w:val="0"/>
      <w:marRight w:val="0"/>
      <w:marTop w:val="0"/>
      <w:marBottom w:val="0"/>
      <w:divBdr>
        <w:top w:val="none" w:sz="0" w:space="0" w:color="auto"/>
        <w:left w:val="none" w:sz="0" w:space="0" w:color="auto"/>
        <w:bottom w:val="none" w:sz="0" w:space="0" w:color="auto"/>
        <w:right w:val="none" w:sz="0" w:space="0" w:color="auto"/>
      </w:divBdr>
    </w:div>
    <w:div w:id="1948005542">
      <w:marLeft w:val="0"/>
      <w:marRight w:val="0"/>
      <w:marTop w:val="120"/>
      <w:marBottom w:val="0"/>
      <w:divBdr>
        <w:top w:val="none" w:sz="0" w:space="0" w:color="auto"/>
        <w:left w:val="none" w:sz="0" w:space="0" w:color="auto"/>
        <w:bottom w:val="none" w:sz="0" w:space="0" w:color="auto"/>
        <w:right w:val="none" w:sz="0" w:space="0" w:color="auto"/>
      </w:divBdr>
    </w:div>
    <w:div w:id="1948268054">
      <w:marLeft w:val="0"/>
      <w:marRight w:val="0"/>
      <w:marTop w:val="0"/>
      <w:marBottom w:val="120"/>
      <w:divBdr>
        <w:top w:val="none" w:sz="0" w:space="0" w:color="auto"/>
        <w:left w:val="none" w:sz="0" w:space="0" w:color="auto"/>
        <w:bottom w:val="none" w:sz="0" w:space="0" w:color="auto"/>
        <w:right w:val="none" w:sz="0" w:space="0" w:color="auto"/>
      </w:divBdr>
    </w:div>
    <w:div w:id="1948655956">
      <w:marLeft w:val="0"/>
      <w:marRight w:val="0"/>
      <w:marTop w:val="120"/>
      <w:marBottom w:val="0"/>
      <w:divBdr>
        <w:top w:val="none" w:sz="0" w:space="0" w:color="auto"/>
        <w:left w:val="none" w:sz="0" w:space="0" w:color="auto"/>
        <w:bottom w:val="none" w:sz="0" w:space="0" w:color="auto"/>
        <w:right w:val="none" w:sz="0" w:space="0" w:color="auto"/>
      </w:divBdr>
    </w:div>
    <w:div w:id="1948729632">
      <w:marLeft w:val="0"/>
      <w:marRight w:val="0"/>
      <w:marTop w:val="0"/>
      <w:marBottom w:val="0"/>
      <w:divBdr>
        <w:top w:val="none" w:sz="0" w:space="0" w:color="auto"/>
        <w:left w:val="none" w:sz="0" w:space="0" w:color="auto"/>
        <w:bottom w:val="none" w:sz="0" w:space="0" w:color="auto"/>
        <w:right w:val="none" w:sz="0" w:space="0" w:color="auto"/>
      </w:divBdr>
      <w:divsChild>
        <w:div w:id="1484195219">
          <w:marLeft w:val="0"/>
          <w:marRight w:val="0"/>
          <w:marTop w:val="0"/>
          <w:marBottom w:val="0"/>
          <w:divBdr>
            <w:top w:val="none" w:sz="0" w:space="0" w:color="auto"/>
            <w:left w:val="none" w:sz="0" w:space="0" w:color="auto"/>
            <w:bottom w:val="none" w:sz="0" w:space="0" w:color="auto"/>
            <w:right w:val="none" w:sz="0" w:space="0" w:color="auto"/>
          </w:divBdr>
        </w:div>
      </w:divsChild>
    </w:div>
    <w:div w:id="1949894663">
      <w:marLeft w:val="0"/>
      <w:marRight w:val="0"/>
      <w:marTop w:val="120"/>
      <w:marBottom w:val="0"/>
      <w:divBdr>
        <w:top w:val="none" w:sz="0" w:space="0" w:color="auto"/>
        <w:left w:val="none" w:sz="0" w:space="0" w:color="auto"/>
        <w:bottom w:val="none" w:sz="0" w:space="0" w:color="auto"/>
        <w:right w:val="none" w:sz="0" w:space="0" w:color="auto"/>
      </w:divBdr>
    </w:div>
    <w:div w:id="1949923715">
      <w:marLeft w:val="0"/>
      <w:marRight w:val="0"/>
      <w:marTop w:val="120"/>
      <w:marBottom w:val="120"/>
      <w:divBdr>
        <w:top w:val="none" w:sz="0" w:space="0" w:color="auto"/>
        <w:left w:val="none" w:sz="0" w:space="0" w:color="auto"/>
        <w:bottom w:val="none" w:sz="0" w:space="0" w:color="auto"/>
        <w:right w:val="none" w:sz="0" w:space="0" w:color="auto"/>
      </w:divBdr>
      <w:divsChild>
        <w:div w:id="1273434183">
          <w:marLeft w:val="0"/>
          <w:marRight w:val="0"/>
          <w:marTop w:val="0"/>
          <w:marBottom w:val="0"/>
          <w:divBdr>
            <w:top w:val="none" w:sz="0" w:space="0" w:color="auto"/>
            <w:left w:val="none" w:sz="0" w:space="0" w:color="auto"/>
            <w:bottom w:val="none" w:sz="0" w:space="0" w:color="auto"/>
            <w:right w:val="none" w:sz="0" w:space="0" w:color="auto"/>
          </w:divBdr>
        </w:div>
        <w:div w:id="1979843479">
          <w:marLeft w:val="0"/>
          <w:marRight w:val="0"/>
          <w:marTop w:val="0"/>
          <w:marBottom w:val="0"/>
          <w:divBdr>
            <w:top w:val="none" w:sz="0" w:space="0" w:color="auto"/>
            <w:left w:val="none" w:sz="0" w:space="0" w:color="auto"/>
            <w:bottom w:val="none" w:sz="0" w:space="0" w:color="auto"/>
            <w:right w:val="none" w:sz="0" w:space="0" w:color="auto"/>
          </w:divBdr>
        </w:div>
      </w:divsChild>
    </w:div>
    <w:div w:id="1950233756">
      <w:marLeft w:val="0"/>
      <w:marRight w:val="0"/>
      <w:marTop w:val="120"/>
      <w:marBottom w:val="0"/>
      <w:divBdr>
        <w:top w:val="none" w:sz="0" w:space="0" w:color="auto"/>
        <w:left w:val="none" w:sz="0" w:space="0" w:color="auto"/>
        <w:bottom w:val="none" w:sz="0" w:space="0" w:color="auto"/>
        <w:right w:val="none" w:sz="0" w:space="0" w:color="auto"/>
      </w:divBdr>
    </w:div>
    <w:div w:id="1950699864">
      <w:marLeft w:val="0"/>
      <w:marRight w:val="0"/>
      <w:marTop w:val="0"/>
      <w:marBottom w:val="0"/>
      <w:divBdr>
        <w:top w:val="none" w:sz="0" w:space="0" w:color="auto"/>
        <w:left w:val="none" w:sz="0" w:space="0" w:color="auto"/>
        <w:bottom w:val="none" w:sz="0" w:space="0" w:color="auto"/>
        <w:right w:val="none" w:sz="0" w:space="0" w:color="auto"/>
      </w:divBdr>
    </w:div>
    <w:div w:id="1951468174">
      <w:marLeft w:val="0"/>
      <w:marRight w:val="0"/>
      <w:marTop w:val="120"/>
      <w:marBottom w:val="120"/>
      <w:divBdr>
        <w:top w:val="none" w:sz="0" w:space="0" w:color="auto"/>
        <w:left w:val="none" w:sz="0" w:space="0" w:color="auto"/>
        <w:bottom w:val="none" w:sz="0" w:space="0" w:color="auto"/>
        <w:right w:val="none" w:sz="0" w:space="0" w:color="auto"/>
      </w:divBdr>
    </w:div>
    <w:div w:id="1951740139">
      <w:marLeft w:val="0"/>
      <w:marRight w:val="0"/>
      <w:marTop w:val="120"/>
      <w:marBottom w:val="0"/>
      <w:divBdr>
        <w:top w:val="none" w:sz="0" w:space="0" w:color="auto"/>
        <w:left w:val="none" w:sz="0" w:space="0" w:color="auto"/>
        <w:bottom w:val="none" w:sz="0" w:space="0" w:color="auto"/>
        <w:right w:val="none" w:sz="0" w:space="0" w:color="auto"/>
      </w:divBdr>
    </w:div>
    <w:div w:id="1954245127">
      <w:marLeft w:val="0"/>
      <w:marRight w:val="0"/>
      <w:marTop w:val="0"/>
      <w:marBottom w:val="0"/>
      <w:divBdr>
        <w:top w:val="none" w:sz="0" w:space="0" w:color="auto"/>
        <w:left w:val="none" w:sz="0" w:space="0" w:color="auto"/>
        <w:bottom w:val="none" w:sz="0" w:space="0" w:color="auto"/>
        <w:right w:val="none" w:sz="0" w:space="0" w:color="auto"/>
      </w:divBdr>
    </w:div>
    <w:div w:id="1954481600">
      <w:marLeft w:val="0"/>
      <w:marRight w:val="0"/>
      <w:marTop w:val="120"/>
      <w:marBottom w:val="0"/>
      <w:divBdr>
        <w:top w:val="none" w:sz="0" w:space="0" w:color="auto"/>
        <w:left w:val="none" w:sz="0" w:space="0" w:color="auto"/>
        <w:bottom w:val="none" w:sz="0" w:space="0" w:color="auto"/>
        <w:right w:val="none" w:sz="0" w:space="0" w:color="auto"/>
      </w:divBdr>
    </w:div>
    <w:div w:id="1954896345">
      <w:marLeft w:val="0"/>
      <w:marRight w:val="0"/>
      <w:marTop w:val="120"/>
      <w:marBottom w:val="0"/>
      <w:divBdr>
        <w:top w:val="none" w:sz="0" w:space="0" w:color="auto"/>
        <w:left w:val="none" w:sz="0" w:space="0" w:color="auto"/>
        <w:bottom w:val="none" w:sz="0" w:space="0" w:color="auto"/>
        <w:right w:val="none" w:sz="0" w:space="0" w:color="auto"/>
      </w:divBdr>
    </w:div>
    <w:div w:id="1955357675">
      <w:marLeft w:val="0"/>
      <w:marRight w:val="0"/>
      <w:marTop w:val="120"/>
      <w:marBottom w:val="0"/>
      <w:divBdr>
        <w:top w:val="none" w:sz="0" w:space="0" w:color="auto"/>
        <w:left w:val="none" w:sz="0" w:space="0" w:color="auto"/>
        <w:bottom w:val="none" w:sz="0" w:space="0" w:color="auto"/>
        <w:right w:val="none" w:sz="0" w:space="0" w:color="auto"/>
      </w:divBdr>
    </w:div>
    <w:div w:id="1956861494">
      <w:marLeft w:val="0"/>
      <w:marRight w:val="0"/>
      <w:marTop w:val="120"/>
      <w:marBottom w:val="0"/>
      <w:divBdr>
        <w:top w:val="none" w:sz="0" w:space="0" w:color="auto"/>
        <w:left w:val="none" w:sz="0" w:space="0" w:color="auto"/>
        <w:bottom w:val="none" w:sz="0" w:space="0" w:color="auto"/>
        <w:right w:val="none" w:sz="0" w:space="0" w:color="auto"/>
      </w:divBdr>
    </w:div>
    <w:div w:id="1957365234">
      <w:marLeft w:val="0"/>
      <w:marRight w:val="0"/>
      <w:marTop w:val="0"/>
      <w:marBottom w:val="0"/>
      <w:divBdr>
        <w:top w:val="none" w:sz="0" w:space="0" w:color="auto"/>
        <w:left w:val="none" w:sz="0" w:space="0" w:color="auto"/>
        <w:bottom w:val="none" w:sz="0" w:space="0" w:color="auto"/>
        <w:right w:val="none" w:sz="0" w:space="0" w:color="auto"/>
      </w:divBdr>
    </w:div>
    <w:div w:id="1957522184">
      <w:marLeft w:val="0"/>
      <w:marRight w:val="0"/>
      <w:marTop w:val="120"/>
      <w:marBottom w:val="0"/>
      <w:divBdr>
        <w:top w:val="none" w:sz="0" w:space="0" w:color="auto"/>
        <w:left w:val="none" w:sz="0" w:space="0" w:color="auto"/>
        <w:bottom w:val="none" w:sz="0" w:space="0" w:color="auto"/>
        <w:right w:val="none" w:sz="0" w:space="0" w:color="auto"/>
      </w:divBdr>
    </w:div>
    <w:div w:id="1958635511">
      <w:marLeft w:val="0"/>
      <w:marRight w:val="0"/>
      <w:marTop w:val="0"/>
      <w:marBottom w:val="0"/>
      <w:divBdr>
        <w:top w:val="none" w:sz="0" w:space="0" w:color="auto"/>
        <w:left w:val="none" w:sz="0" w:space="0" w:color="auto"/>
        <w:bottom w:val="none" w:sz="0" w:space="0" w:color="auto"/>
        <w:right w:val="none" w:sz="0" w:space="0" w:color="auto"/>
      </w:divBdr>
      <w:divsChild>
        <w:div w:id="1936741972">
          <w:marLeft w:val="0"/>
          <w:marRight w:val="0"/>
          <w:marTop w:val="0"/>
          <w:marBottom w:val="0"/>
          <w:divBdr>
            <w:top w:val="none" w:sz="0" w:space="0" w:color="auto"/>
            <w:left w:val="none" w:sz="0" w:space="0" w:color="auto"/>
            <w:bottom w:val="none" w:sz="0" w:space="0" w:color="auto"/>
            <w:right w:val="none" w:sz="0" w:space="0" w:color="auto"/>
          </w:divBdr>
        </w:div>
      </w:divsChild>
    </w:div>
    <w:div w:id="1958948148">
      <w:marLeft w:val="0"/>
      <w:marRight w:val="0"/>
      <w:marTop w:val="0"/>
      <w:marBottom w:val="0"/>
      <w:divBdr>
        <w:top w:val="none" w:sz="0" w:space="0" w:color="auto"/>
        <w:left w:val="none" w:sz="0" w:space="0" w:color="auto"/>
        <w:bottom w:val="none" w:sz="0" w:space="0" w:color="auto"/>
        <w:right w:val="none" w:sz="0" w:space="0" w:color="auto"/>
      </w:divBdr>
      <w:divsChild>
        <w:div w:id="978808165">
          <w:marLeft w:val="0"/>
          <w:marRight w:val="0"/>
          <w:marTop w:val="0"/>
          <w:marBottom w:val="0"/>
          <w:divBdr>
            <w:top w:val="none" w:sz="0" w:space="0" w:color="auto"/>
            <w:left w:val="none" w:sz="0" w:space="0" w:color="auto"/>
            <w:bottom w:val="none" w:sz="0" w:space="0" w:color="auto"/>
            <w:right w:val="none" w:sz="0" w:space="0" w:color="auto"/>
          </w:divBdr>
        </w:div>
      </w:divsChild>
    </w:div>
    <w:div w:id="1960334111">
      <w:marLeft w:val="0"/>
      <w:marRight w:val="0"/>
      <w:marTop w:val="120"/>
      <w:marBottom w:val="0"/>
      <w:divBdr>
        <w:top w:val="none" w:sz="0" w:space="0" w:color="auto"/>
        <w:left w:val="none" w:sz="0" w:space="0" w:color="auto"/>
        <w:bottom w:val="none" w:sz="0" w:space="0" w:color="auto"/>
        <w:right w:val="none" w:sz="0" w:space="0" w:color="auto"/>
      </w:divBdr>
    </w:div>
    <w:div w:id="1960988758">
      <w:marLeft w:val="0"/>
      <w:marRight w:val="0"/>
      <w:marTop w:val="120"/>
      <w:marBottom w:val="0"/>
      <w:divBdr>
        <w:top w:val="none" w:sz="0" w:space="0" w:color="auto"/>
        <w:left w:val="none" w:sz="0" w:space="0" w:color="auto"/>
        <w:bottom w:val="none" w:sz="0" w:space="0" w:color="auto"/>
        <w:right w:val="none" w:sz="0" w:space="0" w:color="auto"/>
      </w:divBdr>
    </w:div>
    <w:div w:id="1962035212">
      <w:marLeft w:val="0"/>
      <w:marRight w:val="0"/>
      <w:marTop w:val="0"/>
      <w:marBottom w:val="0"/>
      <w:divBdr>
        <w:top w:val="none" w:sz="0" w:space="0" w:color="auto"/>
        <w:left w:val="none" w:sz="0" w:space="0" w:color="auto"/>
        <w:bottom w:val="none" w:sz="0" w:space="0" w:color="auto"/>
        <w:right w:val="none" w:sz="0" w:space="0" w:color="auto"/>
      </w:divBdr>
    </w:div>
    <w:div w:id="1962569419">
      <w:marLeft w:val="0"/>
      <w:marRight w:val="0"/>
      <w:marTop w:val="120"/>
      <w:marBottom w:val="0"/>
      <w:divBdr>
        <w:top w:val="none" w:sz="0" w:space="0" w:color="auto"/>
        <w:left w:val="none" w:sz="0" w:space="0" w:color="auto"/>
        <w:bottom w:val="none" w:sz="0" w:space="0" w:color="auto"/>
        <w:right w:val="none" w:sz="0" w:space="0" w:color="auto"/>
      </w:divBdr>
    </w:div>
    <w:div w:id="1963264173">
      <w:marLeft w:val="0"/>
      <w:marRight w:val="0"/>
      <w:marTop w:val="120"/>
      <w:marBottom w:val="0"/>
      <w:divBdr>
        <w:top w:val="none" w:sz="0" w:space="0" w:color="auto"/>
        <w:left w:val="none" w:sz="0" w:space="0" w:color="auto"/>
        <w:bottom w:val="none" w:sz="0" w:space="0" w:color="auto"/>
        <w:right w:val="none" w:sz="0" w:space="0" w:color="auto"/>
      </w:divBdr>
    </w:div>
    <w:div w:id="1965380905">
      <w:marLeft w:val="0"/>
      <w:marRight w:val="0"/>
      <w:marTop w:val="120"/>
      <w:marBottom w:val="0"/>
      <w:divBdr>
        <w:top w:val="none" w:sz="0" w:space="0" w:color="auto"/>
        <w:left w:val="none" w:sz="0" w:space="0" w:color="auto"/>
        <w:bottom w:val="none" w:sz="0" w:space="0" w:color="auto"/>
        <w:right w:val="none" w:sz="0" w:space="0" w:color="auto"/>
      </w:divBdr>
    </w:div>
    <w:div w:id="1966036047">
      <w:marLeft w:val="0"/>
      <w:marRight w:val="0"/>
      <w:marTop w:val="0"/>
      <w:marBottom w:val="240"/>
      <w:divBdr>
        <w:top w:val="none" w:sz="0" w:space="0" w:color="auto"/>
        <w:left w:val="none" w:sz="0" w:space="0" w:color="auto"/>
        <w:bottom w:val="none" w:sz="0" w:space="0" w:color="auto"/>
        <w:right w:val="none" w:sz="0" w:space="0" w:color="auto"/>
      </w:divBdr>
    </w:div>
    <w:div w:id="1969973946">
      <w:marLeft w:val="0"/>
      <w:marRight w:val="0"/>
      <w:marTop w:val="0"/>
      <w:marBottom w:val="0"/>
      <w:divBdr>
        <w:top w:val="none" w:sz="0" w:space="0" w:color="auto"/>
        <w:left w:val="none" w:sz="0" w:space="0" w:color="auto"/>
        <w:bottom w:val="none" w:sz="0" w:space="0" w:color="auto"/>
        <w:right w:val="none" w:sz="0" w:space="0" w:color="auto"/>
      </w:divBdr>
    </w:div>
    <w:div w:id="1972437877">
      <w:marLeft w:val="0"/>
      <w:marRight w:val="0"/>
      <w:marTop w:val="0"/>
      <w:marBottom w:val="0"/>
      <w:divBdr>
        <w:top w:val="none" w:sz="0" w:space="0" w:color="auto"/>
        <w:left w:val="none" w:sz="0" w:space="0" w:color="auto"/>
        <w:bottom w:val="none" w:sz="0" w:space="0" w:color="auto"/>
        <w:right w:val="none" w:sz="0" w:space="0" w:color="auto"/>
      </w:divBdr>
    </w:div>
    <w:div w:id="1972516591">
      <w:marLeft w:val="0"/>
      <w:marRight w:val="0"/>
      <w:marTop w:val="120"/>
      <w:marBottom w:val="0"/>
      <w:divBdr>
        <w:top w:val="none" w:sz="0" w:space="0" w:color="auto"/>
        <w:left w:val="none" w:sz="0" w:space="0" w:color="auto"/>
        <w:bottom w:val="none" w:sz="0" w:space="0" w:color="auto"/>
        <w:right w:val="none" w:sz="0" w:space="0" w:color="auto"/>
      </w:divBdr>
    </w:div>
    <w:div w:id="1973360939">
      <w:marLeft w:val="0"/>
      <w:marRight w:val="0"/>
      <w:marTop w:val="120"/>
      <w:marBottom w:val="0"/>
      <w:divBdr>
        <w:top w:val="none" w:sz="0" w:space="0" w:color="auto"/>
        <w:left w:val="none" w:sz="0" w:space="0" w:color="auto"/>
        <w:bottom w:val="none" w:sz="0" w:space="0" w:color="auto"/>
        <w:right w:val="none" w:sz="0" w:space="0" w:color="auto"/>
      </w:divBdr>
    </w:div>
    <w:div w:id="1973512137">
      <w:marLeft w:val="0"/>
      <w:marRight w:val="0"/>
      <w:marTop w:val="0"/>
      <w:marBottom w:val="120"/>
      <w:divBdr>
        <w:top w:val="none" w:sz="0" w:space="0" w:color="auto"/>
        <w:left w:val="none" w:sz="0" w:space="0" w:color="auto"/>
        <w:bottom w:val="none" w:sz="0" w:space="0" w:color="auto"/>
        <w:right w:val="none" w:sz="0" w:space="0" w:color="auto"/>
      </w:divBdr>
    </w:div>
    <w:div w:id="1975408380">
      <w:marLeft w:val="0"/>
      <w:marRight w:val="0"/>
      <w:marTop w:val="120"/>
      <w:marBottom w:val="0"/>
      <w:divBdr>
        <w:top w:val="none" w:sz="0" w:space="0" w:color="auto"/>
        <w:left w:val="none" w:sz="0" w:space="0" w:color="auto"/>
        <w:bottom w:val="none" w:sz="0" w:space="0" w:color="auto"/>
        <w:right w:val="none" w:sz="0" w:space="0" w:color="auto"/>
      </w:divBdr>
    </w:div>
    <w:div w:id="1976641165">
      <w:marLeft w:val="0"/>
      <w:marRight w:val="0"/>
      <w:marTop w:val="120"/>
      <w:marBottom w:val="0"/>
      <w:divBdr>
        <w:top w:val="none" w:sz="0" w:space="0" w:color="auto"/>
        <w:left w:val="none" w:sz="0" w:space="0" w:color="auto"/>
        <w:bottom w:val="none" w:sz="0" w:space="0" w:color="auto"/>
        <w:right w:val="none" w:sz="0" w:space="0" w:color="auto"/>
      </w:divBdr>
    </w:div>
    <w:div w:id="1977756899">
      <w:marLeft w:val="0"/>
      <w:marRight w:val="0"/>
      <w:marTop w:val="120"/>
      <w:marBottom w:val="0"/>
      <w:divBdr>
        <w:top w:val="none" w:sz="0" w:space="0" w:color="auto"/>
        <w:left w:val="none" w:sz="0" w:space="0" w:color="auto"/>
        <w:bottom w:val="none" w:sz="0" w:space="0" w:color="auto"/>
        <w:right w:val="none" w:sz="0" w:space="0" w:color="auto"/>
      </w:divBdr>
    </w:div>
    <w:div w:id="1978294722">
      <w:marLeft w:val="0"/>
      <w:marRight w:val="0"/>
      <w:marTop w:val="120"/>
      <w:marBottom w:val="0"/>
      <w:divBdr>
        <w:top w:val="none" w:sz="0" w:space="0" w:color="auto"/>
        <w:left w:val="none" w:sz="0" w:space="0" w:color="auto"/>
        <w:bottom w:val="none" w:sz="0" w:space="0" w:color="auto"/>
        <w:right w:val="none" w:sz="0" w:space="0" w:color="auto"/>
      </w:divBdr>
    </w:div>
    <w:div w:id="1979534593">
      <w:marLeft w:val="0"/>
      <w:marRight w:val="0"/>
      <w:marTop w:val="120"/>
      <w:marBottom w:val="0"/>
      <w:divBdr>
        <w:top w:val="none" w:sz="0" w:space="0" w:color="auto"/>
        <w:left w:val="none" w:sz="0" w:space="0" w:color="auto"/>
        <w:bottom w:val="none" w:sz="0" w:space="0" w:color="auto"/>
        <w:right w:val="none" w:sz="0" w:space="0" w:color="auto"/>
      </w:divBdr>
    </w:div>
    <w:div w:id="1979872608">
      <w:marLeft w:val="0"/>
      <w:marRight w:val="0"/>
      <w:marTop w:val="0"/>
      <w:marBottom w:val="120"/>
      <w:divBdr>
        <w:top w:val="none" w:sz="0" w:space="0" w:color="auto"/>
        <w:left w:val="none" w:sz="0" w:space="0" w:color="auto"/>
        <w:bottom w:val="none" w:sz="0" w:space="0" w:color="auto"/>
        <w:right w:val="none" w:sz="0" w:space="0" w:color="auto"/>
      </w:divBdr>
      <w:divsChild>
        <w:div w:id="1429960337">
          <w:marLeft w:val="0"/>
          <w:marRight w:val="0"/>
          <w:marTop w:val="0"/>
          <w:marBottom w:val="0"/>
          <w:divBdr>
            <w:top w:val="none" w:sz="0" w:space="0" w:color="auto"/>
            <w:left w:val="none" w:sz="0" w:space="0" w:color="auto"/>
            <w:bottom w:val="none" w:sz="0" w:space="0" w:color="auto"/>
            <w:right w:val="none" w:sz="0" w:space="0" w:color="auto"/>
          </w:divBdr>
        </w:div>
        <w:div w:id="846482890">
          <w:marLeft w:val="0"/>
          <w:marRight w:val="0"/>
          <w:marTop w:val="0"/>
          <w:marBottom w:val="0"/>
          <w:divBdr>
            <w:top w:val="none" w:sz="0" w:space="0" w:color="auto"/>
            <w:left w:val="none" w:sz="0" w:space="0" w:color="auto"/>
            <w:bottom w:val="none" w:sz="0" w:space="0" w:color="auto"/>
            <w:right w:val="none" w:sz="0" w:space="0" w:color="auto"/>
          </w:divBdr>
        </w:div>
        <w:div w:id="1292200788">
          <w:marLeft w:val="0"/>
          <w:marRight w:val="0"/>
          <w:marTop w:val="0"/>
          <w:marBottom w:val="0"/>
          <w:divBdr>
            <w:top w:val="none" w:sz="0" w:space="0" w:color="auto"/>
            <w:left w:val="none" w:sz="0" w:space="0" w:color="auto"/>
            <w:bottom w:val="none" w:sz="0" w:space="0" w:color="auto"/>
            <w:right w:val="none" w:sz="0" w:space="0" w:color="auto"/>
          </w:divBdr>
        </w:div>
        <w:div w:id="532420576">
          <w:marLeft w:val="0"/>
          <w:marRight w:val="0"/>
          <w:marTop w:val="0"/>
          <w:marBottom w:val="0"/>
          <w:divBdr>
            <w:top w:val="none" w:sz="0" w:space="0" w:color="auto"/>
            <w:left w:val="none" w:sz="0" w:space="0" w:color="auto"/>
            <w:bottom w:val="none" w:sz="0" w:space="0" w:color="auto"/>
            <w:right w:val="none" w:sz="0" w:space="0" w:color="auto"/>
          </w:divBdr>
        </w:div>
      </w:divsChild>
    </w:div>
    <w:div w:id="1980039205">
      <w:marLeft w:val="0"/>
      <w:marRight w:val="0"/>
      <w:marTop w:val="120"/>
      <w:marBottom w:val="0"/>
      <w:divBdr>
        <w:top w:val="none" w:sz="0" w:space="0" w:color="auto"/>
        <w:left w:val="none" w:sz="0" w:space="0" w:color="auto"/>
        <w:bottom w:val="none" w:sz="0" w:space="0" w:color="auto"/>
        <w:right w:val="none" w:sz="0" w:space="0" w:color="auto"/>
      </w:divBdr>
    </w:div>
    <w:div w:id="1983536987">
      <w:marLeft w:val="0"/>
      <w:marRight w:val="0"/>
      <w:marTop w:val="120"/>
      <w:marBottom w:val="0"/>
      <w:divBdr>
        <w:top w:val="none" w:sz="0" w:space="0" w:color="auto"/>
        <w:left w:val="none" w:sz="0" w:space="0" w:color="auto"/>
        <w:bottom w:val="none" w:sz="0" w:space="0" w:color="auto"/>
        <w:right w:val="none" w:sz="0" w:space="0" w:color="auto"/>
      </w:divBdr>
    </w:div>
    <w:div w:id="1986080048">
      <w:marLeft w:val="0"/>
      <w:marRight w:val="0"/>
      <w:marTop w:val="0"/>
      <w:marBottom w:val="0"/>
      <w:divBdr>
        <w:top w:val="none" w:sz="0" w:space="0" w:color="auto"/>
        <w:left w:val="none" w:sz="0" w:space="0" w:color="auto"/>
        <w:bottom w:val="none" w:sz="0" w:space="0" w:color="auto"/>
        <w:right w:val="none" w:sz="0" w:space="0" w:color="auto"/>
      </w:divBdr>
      <w:divsChild>
        <w:div w:id="1338339079">
          <w:marLeft w:val="0"/>
          <w:marRight w:val="0"/>
          <w:marTop w:val="0"/>
          <w:marBottom w:val="0"/>
          <w:divBdr>
            <w:top w:val="none" w:sz="0" w:space="0" w:color="auto"/>
            <w:left w:val="none" w:sz="0" w:space="0" w:color="auto"/>
            <w:bottom w:val="none" w:sz="0" w:space="0" w:color="auto"/>
            <w:right w:val="none" w:sz="0" w:space="0" w:color="auto"/>
          </w:divBdr>
        </w:div>
      </w:divsChild>
    </w:div>
    <w:div w:id="1986348740">
      <w:marLeft w:val="0"/>
      <w:marRight w:val="0"/>
      <w:marTop w:val="120"/>
      <w:marBottom w:val="0"/>
      <w:divBdr>
        <w:top w:val="none" w:sz="0" w:space="0" w:color="auto"/>
        <w:left w:val="none" w:sz="0" w:space="0" w:color="auto"/>
        <w:bottom w:val="none" w:sz="0" w:space="0" w:color="auto"/>
        <w:right w:val="none" w:sz="0" w:space="0" w:color="auto"/>
      </w:divBdr>
    </w:div>
    <w:div w:id="1987514727">
      <w:marLeft w:val="0"/>
      <w:marRight w:val="0"/>
      <w:marTop w:val="0"/>
      <w:marBottom w:val="0"/>
      <w:divBdr>
        <w:top w:val="none" w:sz="0" w:space="0" w:color="auto"/>
        <w:left w:val="none" w:sz="0" w:space="0" w:color="auto"/>
        <w:bottom w:val="none" w:sz="0" w:space="0" w:color="auto"/>
        <w:right w:val="none" w:sz="0" w:space="0" w:color="auto"/>
      </w:divBdr>
      <w:divsChild>
        <w:div w:id="905729386">
          <w:marLeft w:val="0"/>
          <w:marRight w:val="0"/>
          <w:marTop w:val="0"/>
          <w:marBottom w:val="0"/>
          <w:divBdr>
            <w:top w:val="none" w:sz="0" w:space="0" w:color="auto"/>
            <w:left w:val="none" w:sz="0" w:space="0" w:color="auto"/>
            <w:bottom w:val="none" w:sz="0" w:space="0" w:color="auto"/>
            <w:right w:val="none" w:sz="0" w:space="0" w:color="auto"/>
          </w:divBdr>
        </w:div>
      </w:divsChild>
    </w:div>
    <w:div w:id="1988242856">
      <w:marLeft w:val="0"/>
      <w:marRight w:val="0"/>
      <w:marTop w:val="120"/>
      <w:marBottom w:val="0"/>
      <w:divBdr>
        <w:top w:val="none" w:sz="0" w:space="0" w:color="auto"/>
        <w:left w:val="none" w:sz="0" w:space="0" w:color="auto"/>
        <w:bottom w:val="none" w:sz="0" w:space="0" w:color="auto"/>
        <w:right w:val="none" w:sz="0" w:space="0" w:color="auto"/>
      </w:divBdr>
    </w:div>
    <w:div w:id="1989361944">
      <w:marLeft w:val="0"/>
      <w:marRight w:val="0"/>
      <w:marTop w:val="120"/>
      <w:marBottom w:val="0"/>
      <w:divBdr>
        <w:top w:val="none" w:sz="0" w:space="0" w:color="auto"/>
        <w:left w:val="none" w:sz="0" w:space="0" w:color="auto"/>
        <w:bottom w:val="none" w:sz="0" w:space="0" w:color="auto"/>
        <w:right w:val="none" w:sz="0" w:space="0" w:color="auto"/>
      </w:divBdr>
    </w:div>
    <w:div w:id="1990283094">
      <w:marLeft w:val="0"/>
      <w:marRight w:val="0"/>
      <w:marTop w:val="120"/>
      <w:marBottom w:val="0"/>
      <w:divBdr>
        <w:top w:val="none" w:sz="0" w:space="0" w:color="auto"/>
        <w:left w:val="none" w:sz="0" w:space="0" w:color="auto"/>
        <w:bottom w:val="none" w:sz="0" w:space="0" w:color="auto"/>
        <w:right w:val="none" w:sz="0" w:space="0" w:color="auto"/>
      </w:divBdr>
    </w:div>
    <w:div w:id="1990553926">
      <w:marLeft w:val="0"/>
      <w:marRight w:val="0"/>
      <w:marTop w:val="0"/>
      <w:marBottom w:val="287"/>
      <w:divBdr>
        <w:top w:val="none" w:sz="0" w:space="0" w:color="auto"/>
        <w:left w:val="none" w:sz="0" w:space="0" w:color="auto"/>
        <w:bottom w:val="none" w:sz="0" w:space="0" w:color="auto"/>
        <w:right w:val="none" w:sz="0" w:space="0" w:color="auto"/>
      </w:divBdr>
    </w:div>
    <w:div w:id="1991404719">
      <w:marLeft w:val="0"/>
      <w:marRight w:val="0"/>
      <w:marTop w:val="0"/>
      <w:marBottom w:val="120"/>
      <w:divBdr>
        <w:top w:val="none" w:sz="0" w:space="0" w:color="auto"/>
        <w:left w:val="none" w:sz="0" w:space="0" w:color="auto"/>
        <w:bottom w:val="none" w:sz="0" w:space="0" w:color="auto"/>
        <w:right w:val="none" w:sz="0" w:space="0" w:color="auto"/>
      </w:divBdr>
    </w:div>
    <w:div w:id="1992100894">
      <w:marLeft w:val="0"/>
      <w:marRight w:val="0"/>
      <w:marTop w:val="200"/>
      <w:marBottom w:val="0"/>
      <w:divBdr>
        <w:top w:val="none" w:sz="0" w:space="0" w:color="auto"/>
        <w:left w:val="none" w:sz="0" w:space="0" w:color="auto"/>
        <w:bottom w:val="none" w:sz="0" w:space="0" w:color="auto"/>
        <w:right w:val="none" w:sz="0" w:space="0" w:color="auto"/>
      </w:divBdr>
    </w:div>
    <w:div w:id="1993948298">
      <w:marLeft w:val="0"/>
      <w:marRight w:val="0"/>
      <w:marTop w:val="120"/>
      <w:marBottom w:val="0"/>
      <w:divBdr>
        <w:top w:val="none" w:sz="0" w:space="0" w:color="auto"/>
        <w:left w:val="none" w:sz="0" w:space="0" w:color="auto"/>
        <w:bottom w:val="none" w:sz="0" w:space="0" w:color="auto"/>
        <w:right w:val="none" w:sz="0" w:space="0" w:color="auto"/>
      </w:divBdr>
    </w:div>
    <w:div w:id="1994482790">
      <w:marLeft w:val="0"/>
      <w:marRight w:val="0"/>
      <w:marTop w:val="120"/>
      <w:marBottom w:val="0"/>
      <w:divBdr>
        <w:top w:val="none" w:sz="0" w:space="0" w:color="auto"/>
        <w:left w:val="none" w:sz="0" w:space="0" w:color="auto"/>
        <w:bottom w:val="none" w:sz="0" w:space="0" w:color="auto"/>
        <w:right w:val="none" w:sz="0" w:space="0" w:color="auto"/>
      </w:divBdr>
    </w:div>
    <w:div w:id="1995137661">
      <w:marLeft w:val="0"/>
      <w:marRight w:val="0"/>
      <w:marTop w:val="0"/>
      <w:marBottom w:val="0"/>
      <w:divBdr>
        <w:top w:val="none" w:sz="0" w:space="0" w:color="auto"/>
        <w:left w:val="none" w:sz="0" w:space="0" w:color="auto"/>
        <w:bottom w:val="none" w:sz="0" w:space="0" w:color="auto"/>
        <w:right w:val="none" w:sz="0" w:space="0" w:color="auto"/>
      </w:divBdr>
    </w:div>
    <w:div w:id="1995910975">
      <w:marLeft w:val="0"/>
      <w:marRight w:val="0"/>
      <w:marTop w:val="120"/>
      <w:marBottom w:val="0"/>
      <w:divBdr>
        <w:top w:val="none" w:sz="0" w:space="0" w:color="auto"/>
        <w:left w:val="none" w:sz="0" w:space="0" w:color="auto"/>
        <w:bottom w:val="none" w:sz="0" w:space="0" w:color="auto"/>
        <w:right w:val="none" w:sz="0" w:space="0" w:color="auto"/>
      </w:divBdr>
    </w:div>
    <w:div w:id="1997218223">
      <w:marLeft w:val="0"/>
      <w:marRight w:val="0"/>
      <w:marTop w:val="120"/>
      <w:marBottom w:val="0"/>
      <w:divBdr>
        <w:top w:val="none" w:sz="0" w:space="0" w:color="auto"/>
        <w:left w:val="none" w:sz="0" w:space="0" w:color="auto"/>
        <w:bottom w:val="none" w:sz="0" w:space="0" w:color="auto"/>
        <w:right w:val="none" w:sz="0" w:space="0" w:color="auto"/>
      </w:divBdr>
    </w:div>
    <w:div w:id="1999649178">
      <w:marLeft w:val="0"/>
      <w:marRight w:val="0"/>
      <w:marTop w:val="120"/>
      <w:marBottom w:val="0"/>
      <w:divBdr>
        <w:top w:val="none" w:sz="0" w:space="0" w:color="auto"/>
        <w:left w:val="none" w:sz="0" w:space="0" w:color="auto"/>
        <w:bottom w:val="none" w:sz="0" w:space="0" w:color="auto"/>
        <w:right w:val="none" w:sz="0" w:space="0" w:color="auto"/>
      </w:divBdr>
    </w:div>
    <w:div w:id="2000619374">
      <w:marLeft w:val="0"/>
      <w:marRight w:val="0"/>
      <w:marTop w:val="0"/>
      <w:marBottom w:val="0"/>
      <w:divBdr>
        <w:top w:val="none" w:sz="0" w:space="0" w:color="auto"/>
        <w:left w:val="none" w:sz="0" w:space="0" w:color="auto"/>
        <w:bottom w:val="none" w:sz="0" w:space="0" w:color="auto"/>
        <w:right w:val="none" w:sz="0" w:space="0" w:color="auto"/>
      </w:divBdr>
      <w:divsChild>
        <w:div w:id="1247496040">
          <w:marLeft w:val="0"/>
          <w:marRight w:val="0"/>
          <w:marTop w:val="0"/>
          <w:marBottom w:val="0"/>
          <w:divBdr>
            <w:top w:val="none" w:sz="0" w:space="0" w:color="auto"/>
            <w:left w:val="none" w:sz="0" w:space="0" w:color="auto"/>
            <w:bottom w:val="none" w:sz="0" w:space="0" w:color="auto"/>
            <w:right w:val="none" w:sz="0" w:space="0" w:color="auto"/>
          </w:divBdr>
        </w:div>
      </w:divsChild>
    </w:div>
    <w:div w:id="2001233249">
      <w:marLeft w:val="0"/>
      <w:marRight w:val="0"/>
      <w:marTop w:val="120"/>
      <w:marBottom w:val="0"/>
      <w:divBdr>
        <w:top w:val="none" w:sz="0" w:space="0" w:color="auto"/>
        <w:left w:val="none" w:sz="0" w:space="0" w:color="auto"/>
        <w:bottom w:val="none" w:sz="0" w:space="0" w:color="auto"/>
        <w:right w:val="none" w:sz="0" w:space="0" w:color="auto"/>
      </w:divBdr>
    </w:div>
    <w:div w:id="2001888977">
      <w:marLeft w:val="0"/>
      <w:marRight w:val="0"/>
      <w:marTop w:val="120"/>
      <w:marBottom w:val="0"/>
      <w:divBdr>
        <w:top w:val="none" w:sz="0" w:space="0" w:color="auto"/>
        <w:left w:val="none" w:sz="0" w:space="0" w:color="auto"/>
        <w:bottom w:val="none" w:sz="0" w:space="0" w:color="auto"/>
        <w:right w:val="none" w:sz="0" w:space="0" w:color="auto"/>
      </w:divBdr>
    </w:div>
    <w:div w:id="2002003805">
      <w:marLeft w:val="0"/>
      <w:marRight w:val="0"/>
      <w:marTop w:val="120"/>
      <w:marBottom w:val="0"/>
      <w:divBdr>
        <w:top w:val="none" w:sz="0" w:space="0" w:color="auto"/>
        <w:left w:val="none" w:sz="0" w:space="0" w:color="auto"/>
        <w:bottom w:val="none" w:sz="0" w:space="0" w:color="auto"/>
        <w:right w:val="none" w:sz="0" w:space="0" w:color="auto"/>
      </w:divBdr>
    </w:div>
    <w:div w:id="2002193050">
      <w:marLeft w:val="0"/>
      <w:marRight w:val="0"/>
      <w:marTop w:val="120"/>
      <w:marBottom w:val="0"/>
      <w:divBdr>
        <w:top w:val="none" w:sz="0" w:space="0" w:color="auto"/>
        <w:left w:val="none" w:sz="0" w:space="0" w:color="auto"/>
        <w:bottom w:val="none" w:sz="0" w:space="0" w:color="auto"/>
        <w:right w:val="none" w:sz="0" w:space="0" w:color="auto"/>
      </w:divBdr>
    </w:div>
    <w:div w:id="2002998837">
      <w:marLeft w:val="0"/>
      <w:marRight w:val="0"/>
      <w:marTop w:val="120"/>
      <w:marBottom w:val="0"/>
      <w:divBdr>
        <w:top w:val="none" w:sz="0" w:space="0" w:color="auto"/>
        <w:left w:val="none" w:sz="0" w:space="0" w:color="auto"/>
        <w:bottom w:val="none" w:sz="0" w:space="0" w:color="auto"/>
        <w:right w:val="none" w:sz="0" w:space="0" w:color="auto"/>
      </w:divBdr>
    </w:div>
    <w:div w:id="2003200282">
      <w:marLeft w:val="0"/>
      <w:marRight w:val="0"/>
      <w:marTop w:val="120"/>
      <w:marBottom w:val="120"/>
      <w:divBdr>
        <w:top w:val="none" w:sz="0" w:space="0" w:color="auto"/>
        <w:left w:val="none" w:sz="0" w:space="0" w:color="auto"/>
        <w:bottom w:val="none" w:sz="0" w:space="0" w:color="auto"/>
        <w:right w:val="none" w:sz="0" w:space="0" w:color="auto"/>
      </w:divBdr>
      <w:divsChild>
        <w:div w:id="624821055">
          <w:marLeft w:val="0"/>
          <w:marRight w:val="0"/>
          <w:marTop w:val="0"/>
          <w:marBottom w:val="0"/>
          <w:divBdr>
            <w:top w:val="none" w:sz="0" w:space="0" w:color="auto"/>
            <w:left w:val="none" w:sz="0" w:space="0" w:color="auto"/>
            <w:bottom w:val="none" w:sz="0" w:space="0" w:color="auto"/>
            <w:right w:val="none" w:sz="0" w:space="0" w:color="auto"/>
          </w:divBdr>
        </w:div>
        <w:div w:id="577639337">
          <w:marLeft w:val="0"/>
          <w:marRight w:val="0"/>
          <w:marTop w:val="0"/>
          <w:marBottom w:val="0"/>
          <w:divBdr>
            <w:top w:val="none" w:sz="0" w:space="0" w:color="auto"/>
            <w:left w:val="none" w:sz="0" w:space="0" w:color="auto"/>
            <w:bottom w:val="none" w:sz="0" w:space="0" w:color="auto"/>
            <w:right w:val="none" w:sz="0" w:space="0" w:color="auto"/>
          </w:divBdr>
        </w:div>
      </w:divsChild>
    </w:div>
    <w:div w:id="2003652582">
      <w:marLeft w:val="0"/>
      <w:marRight w:val="0"/>
      <w:marTop w:val="120"/>
      <w:marBottom w:val="0"/>
      <w:divBdr>
        <w:top w:val="none" w:sz="0" w:space="0" w:color="auto"/>
        <w:left w:val="none" w:sz="0" w:space="0" w:color="auto"/>
        <w:bottom w:val="none" w:sz="0" w:space="0" w:color="auto"/>
        <w:right w:val="none" w:sz="0" w:space="0" w:color="auto"/>
      </w:divBdr>
    </w:div>
    <w:div w:id="2003897932">
      <w:marLeft w:val="0"/>
      <w:marRight w:val="0"/>
      <w:marTop w:val="0"/>
      <w:marBottom w:val="0"/>
      <w:divBdr>
        <w:top w:val="none" w:sz="0" w:space="0" w:color="auto"/>
        <w:left w:val="none" w:sz="0" w:space="0" w:color="auto"/>
        <w:bottom w:val="none" w:sz="0" w:space="0" w:color="auto"/>
        <w:right w:val="none" w:sz="0" w:space="0" w:color="auto"/>
      </w:divBdr>
    </w:div>
    <w:div w:id="2004117155">
      <w:marLeft w:val="0"/>
      <w:marRight w:val="0"/>
      <w:marTop w:val="120"/>
      <w:marBottom w:val="0"/>
      <w:divBdr>
        <w:top w:val="none" w:sz="0" w:space="0" w:color="auto"/>
        <w:left w:val="none" w:sz="0" w:space="0" w:color="auto"/>
        <w:bottom w:val="none" w:sz="0" w:space="0" w:color="auto"/>
        <w:right w:val="none" w:sz="0" w:space="0" w:color="auto"/>
      </w:divBdr>
    </w:div>
    <w:div w:id="2004697824">
      <w:marLeft w:val="0"/>
      <w:marRight w:val="0"/>
      <w:marTop w:val="0"/>
      <w:marBottom w:val="120"/>
      <w:divBdr>
        <w:top w:val="none" w:sz="0" w:space="0" w:color="auto"/>
        <w:left w:val="none" w:sz="0" w:space="0" w:color="auto"/>
        <w:bottom w:val="none" w:sz="0" w:space="0" w:color="auto"/>
        <w:right w:val="none" w:sz="0" w:space="0" w:color="auto"/>
      </w:divBdr>
    </w:div>
    <w:div w:id="2005890312">
      <w:marLeft w:val="0"/>
      <w:marRight w:val="0"/>
      <w:marTop w:val="120"/>
      <w:marBottom w:val="0"/>
      <w:divBdr>
        <w:top w:val="none" w:sz="0" w:space="0" w:color="auto"/>
        <w:left w:val="none" w:sz="0" w:space="0" w:color="auto"/>
        <w:bottom w:val="none" w:sz="0" w:space="0" w:color="auto"/>
        <w:right w:val="none" w:sz="0" w:space="0" w:color="auto"/>
      </w:divBdr>
    </w:div>
    <w:div w:id="2006548188">
      <w:marLeft w:val="0"/>
      <w:marRight w:val="0"/>
      <w:marTop w:val="0"/>
      <w:marBottom w:val="120"/>
      <w:divBdr>
        <w:top w:val="none" w:sz="0" w:space="0" w:color="auto"/>
        <w:left w:val="none" w:sz="0" w:space="0" w:color="auto"/>
        <w:bottom w:val="none" w:sz="0" w:space="0" w:color="auto"/>
        <w:right w:val="none" w:sz="0" w:space="0" w:color="auto"/>
      </w:divBdr>
    </w:div>
    <w:div w:id="2007005541">
      <w:marLeft w:val="0"/>
      <w:marRight w:val="0"/>
      <w:marTop w:val="0"/>
      <w:marBottom w:val="120"/>
      <w:divBdr>
        <w:top w:val="none" w:sz="0" w:space="0" w:color="auto"/>
        <w:left w:val="none" w:sz="0" w:space="0" w:color="auto"/>
        <w:bottom w:val="none" w:sz="0" w:space="0" w:color="auto"/>
        <w:right w:val="none" w:sz="0" w:space="0" w:color="auto"/>
      </w:divBdr>
      <w:divsChild>
        <w:div w:id="728192493">
          <w:marLeft w:val="0"/>
          <w:marRight w:val="0"/>
          <w:marTop w:val="0"/>
          <w:marBottom w:val="0"/>
          <w:divBdr>
            <w:top w:val="none" w:sz="0" w:space="0" w:color="auto"/>
            <w:left w:val="none" w:sz="0" w:space="0" w:color="auto"/>
            <w:bottom w:val="none" w:sz="0" w:space="0" w:color="auto"/>
            <w:right w:val="none" w:sz="0" w:space="0" w:color="auto"/>
          </w:divBdr>
        </w:div>
        <w:div w:id="200671773">
          <w:marLeft w:val="0"/>
          <w:marRight w:val="0"/>
          <w:marTop w:val="0"/>
          <w:marBottom w:val="0"/>
          <w:divBdr>
            <w:top w:val="none" w:sz="0" w:space="0" w:color="auto"/>
            <w:left w:val="none" w:sz="0" w:space="0" w:color="auto"/>
            <w:bottom w:val="none" w:sz="0" w:space="0" w:color="auto"/>
            <w:right w:val="none" w:sz="0" w:space="0" w:color="auto"/>
          </w:divBdr>
        </w:div>
      </w:divsChild>
    </w:div>
    <w:div w:id="2009091240">
      <w:marLeft w:val="0"/>
      <w:marRight w:val="0"/>
      <w:marTop w:val="0"/>
      <w:marBottom w:val="0"/>
      <w:divBdr>
        <w:top w:val="none" w:sz="0" w:space="0" w:color="auto"/>
        <w:left w:val="none" w:sz="0" w:space="0" w:color="auto"/>
        <w:bottom w:val="none" w:sz="0" w:space="0" w:color="auto"/>
        <w:right w:val="none" w:sz="0" w:space="0" w:color="auto"/>
      </w:divBdr>
      <w:divsChild>
        <w:div w:id="1352805052">
          <w:marLeft w:val="0"/>
          <w:marRight w:val="0"/>
          <w:marTop w:val="0"/>
          <w:marBottom w:val="0"/>
          <w:divBdr>
            <w:top w:val="none" w:sz="0" w:space="0" w:color="auto"/>
            <w:left w:val="none" w:sz="0" w:space="0" w:color="auto"/>
            <w:bottom w:val="none" w:sz="0" w:space="0" w:color="auto"/>
            <w:right w:val="none" w:sz="0" w:space="0" w:color="auto"/>
          </w:divBdr>
        </w:div>
      </w:divsChild>
    </w:div>
    <w:div w:id="2009598992">
      <w:marLeft w:val="0"/>
      <w:marRight w:val="0"/>
      <w:marTop w:val="0"/>
      <w:marBottom w:val="0"/>
      <w:divBdr>
        <w:top w:val="none" w:sz="0" w:space="0" w:color="auto"/>
        <w:left w:val="none" w:sz="0" w:space="0" w:color="auto"/>
        <w:bottom w:val="none" w:sz="0" w:space="0" w:color="auto"/>
        <w:right w:val="none" w:sz="0" w:space="0" w:color="auto"/>
      </w:divBdr>
      <w:divsChild>
        <w:div w:id="1033309882">
          <w:marLeft w:val="0"/>
          <w:marRight w:val="0"/>
          <w:marTop w:val="0"/>
          <w:marBottom w:val="0"/>
          <w:divBdr>
            <w:top w:val="none" w:sz="0" w:space="0" w:color="auto"/>
            <w:left w:val="none" w:sz="0" w:space="0" w:color="auto"/>
            <w:bottom w:val="none" w:sz="0" w:space="0" w:color="auto"/>
            <w:right w:val="none" w:sz="0" w:space="0" w:color="auto"/>
          </w:divBdr>
        </w:div>
      </w:divsChild>
    </w:div>
    <w:div w:id="2010014186">
      <w:marLeft w:val="0"/>
      <w:marRight w:val="0"/>
      <w:marTop w:val="0"/>
      <w:marBottom w:val="60"/>
      <w:divBdr>
        <w:top w:val="none" w:sz="0" w:space="0" w:color="auto"/>
        <w:left w:val="none" w:sz="0" w:space="0" w:color="auto"/>
        <w:bottom w:val="none" w:sz="0" w:space="0" w:color="auto"/>
        <w:right w:val="none" w:sz="0" w:space="0" w:color="auto"/>
      </w:divBdr>
    </w:div>
    <w:div w:id="2010135156">
      <w:marLeft w:val="0"/>
      <w:marRight w:val="0"/>
      <w:marTop w:val="0"/>
      <w:marBottom w:val="120"/>
      <w:divBdr>
        <w:top w:val="none" w:sz="0" w:space="0" w:color="auto"/>
        <w:left w:val="none" w:sz="0" w:space="0" w:color="auto"/>
        <w:bottom w:val="none" w:sz="0" w:space="0" w:color="auto"/>
        <w:right w:val="none" w:sz="0" w:space="0" w:color="auto"/>
      </w:divBdr>
      <w:divsChild>
        <w:div w:id="1296985137">
          <w:marLeft w:val="0"/>
          <w:marRight w:val="0"/>
          <w:marTop w:val="0"/>
          <w:marBottom w:val="0"/>
          <w:divBdr>
            <w:top w:val="none" w:sz="0" w:space="0" w:color="auto"/>
            <w:left w:val="none" w:sz="0" w:space="0" w:color="auto"/>
            <w:bottom w:val="none" w:sz="0" w:space="0" w:color="auto"/>
            <w:right w:val="none" w:sz="0" w:space="0" w:color="auto"/>
          </w:divBdr>
        </w:div>
        <w:div w:id="804470901">
          <w:marLeft w:val="0"/>
          <w:marRight w:val="0"/>
          <w:marTop w:val="0"/>
          <w:marBottom w:val="0"/>
          <w:divBdr>
            <w:top w:val="none" w:sz="0" w:space="0" w:color="auto"/>
            <w:left w:val="none" w:sz="0" w:space="0" w:color="auto"/>
            <w:bottom w:val="none" w:sz="0" w:space="0" w:color="auto"/>
            <w:right w:val="none" w:sz="0" w:space="0" w:color="auto"/>
          </w:divBdr>
        </w:div>
      </w:divsChild>
    </w:div>
    <w:div w:id="2010283573">
      <w:marLeft w:val="0"/>
      <w:marRight w:val="0"/>
      <w:marTop w:val="0"/>
      <w:marBottom w:val="0"/>
      <w:divBdr>
        <w:top w:val="none" w:sz="0" w:space="0" w:color="auto"/>
        <w:left w:val="none" w:sz="0" w:space="0" w:color="auto"/>
        <w:bottom w:val="none" w:sz="0" w:space="0" w:color="auto"/>
        <w:right w:val="none" w:sz="0" w:space="0" w:color="auto"/>
      </w:divBdr>
      <w:divsChild>
        <w:div w:id="1916351641">
          <w:marLeft w:val="0"/>
          <w:marRight w:val="0"/>
          <w:marTop w:val="0"/>
          <w:marBottom w:val="0"/>
          <w:divBdr>
            <w:top w:val="none" w:sz="0" w:space="0" w:color="auto"/>
            <w:left w:val="none" w:sz="0" w:space="0" w:color="auto"/>
            <w:bottom w:val="none" w:sz="0" w:space="0" w:color="auto"/>
            <w:right w:val="none" w:sz="0" w:space="0" w:color="auto"/>
          </w:divBdr>
        </w:div>
      </w:divsChild>
    </w:div>
    <w:div w:id="2011709745">
      <w:marLeft w:val="0"/>
      <w:marRight w:val="0"/>
      <w:marTop w:val="120"/>
      <w:marBottom w:val="0"/>
      <w:divBdr>
        <w:top w:val="none" w:sz="0" w:space="0" w:color="auto"/>
        <w:left w:val="none" w:sz="0" w:space="0" w:color="auto"/>
        <w:bottom w:val="none" w:sz="0" w:space="0" w:color="auto"/>
        <w:right w:val="none" w:sz="0" w:space="0" w:color="auto"/>
      </w:divBdr>
    </w:div>
    <w:div w:id="2012024242">
      <w:marLeft w:val="0"/>
      <w:marRight w:val="0"/>
      <w:marTop w:val="120"/>
      <w:marBottom w:val="0"/>
      <w:divBdr>
        <w:top w:val="none" w:sz="0" w:space="0" w:color="auto"/>
        <w:left w:val="none" w:sz="0" w:space="0" w:color="auto"/>
        <w:bottom w:val="none" w:sz="0" w:space="0" w:color="auto"/>
        <w:right w:val="none" w:sz="0" w:space="0" w:color="auto"/>
      </w:divBdr>
    </w:div>
    <w:div w:id="2012368197">
      <w:marLeft w:val="0"/>
      <w:marRight w:val="0"/>
      <w:marTop w:val="0"/>
      <w:marBottom w:val="60"/>
      <w:divBdr>
        <w:top w:val="none" w:sz="0" w:space="0" w:color="auto"/>
        <w:left w:val="none" w:sz="0" w:space="0" w:color="auto"/>
        <w:bottom w:val="none" w:sz="0" w:space="0" w:color="auto"/>
        <w:right w:val="none" w:sz="0" w:space="0" w:color="auto"/>
      </w:divBdr>
    </w:div>
    <w:div w:id="2013291582">
      <w:marLeft w:val="0"/>
      <w:marRight w:val="0"/>
      <w:marTop w:val="120"/>
      <w:marBottom w:val="0"/>
      <w:divBdr>
        <w:top w:val="none" w:sz="0" w:space="0" w:color="auto"/>
        <w:left w:val="none" w:sz="0" w:space="0" w:color="auto"/>
        <w:bottom w:val="none" w:sz="0" w:space="0" w:color="auto"/>
        <w:right w:val="none" w:sz="0" w:space="0" w:color="auto"/>
      </w:divBdr>
    </w:div>
    <w:div w:id="2016035787">
      <w:marLeft w:val="0"/>
      <w:marRight w:val="0"/>
      <w:marTop w:val="120"/>
      <w:marBottom w:val="0"/>
      <w:divBdr>
        <w:top w:val="none" w:sz="0" w:space="0" w:color="auto"/>
        <w:left w:val="none" w:sz="0" w:space="0" w:color="auto"/>
        <w:bottom w:val="none" w:sz="0" w:space="0" w:color="auto"/>
        <w:right w:val="none" w:sz="0" w:space="0" w:color="auto"/>
      </w:divBdr>
    </w:div>
    <w:div w:id="2016565851">
      <w:marLeft w:val="0"/>
      <w:marRight w:val="0"/>
      <w:marTop w:val="120"/>
      <w:marBottom w:val="0"/>
      <w:divBdr>
        <w:top w:val="none" w:sz="0" w:space="0" w:color="auto"/>
        <w:left w:val="none" w:sz="0" w:space="0" w:color="auto"/>
        <w:bottom w:val="none" w:sz="0" w:space="0" w:color="auto"/>
        <w:right w:val="none" w:sz="0" w:space="0" w:color="auto"/>
      </w:divBdr>
    </w:div>
    <w:div w:id="2019848595">
      <w:marLeft w:val="0"/>
      <w:marRight w:val="0"/>
      <w:marTop w:val="0"/>
      <w:marBottom w:val="0"/>
      <w:divBdr>
        <w:top w:val="none" w:sz="0" w:space="0" w:color="auto"/>
        <w:left w:val="none" w:sz="0" w:space="0" w:color="auto"/>
        <w:bottom w:val="none" w:sz="0" w:space="0" w:color="auto"/>
        <w:right w:val="none" w:sz="0" w:space="0" w:color="auto"/>
      </w:divBdr>
      <w:divsChild>
        <w:div w:id="560873476">
          <w:marLeft w:val="0"/>
          <w:marRight w:val="0"/>
          <w:marTop w:val="0"/>
          <w:marBottom w:val="0"/>
          <w:divBdr>
            <w:top w:val="none" w:sz="0" w:space="0" w:color="auto"/>
            <w:left w:val="none" w:sz="0" w:space="0" w:color="auto"/>
            <w:bottom w:val="none" w:sz="0" w:space="0" w:color="auto"/>
            <w:right w:val="none" w:sz="0" w:space="0" w:color="auto"/>
          </w:divBdr>
        </w:div>
      </w:divsChild>
    </w:div>
    <w:div w:id="2021620240">
      <w:marLeft w:val="0"/>
      <w:marRight w:val="0"/>
      <w:marTop w:val="120"/>
      <w:marBottom w:val="0"/>
      <w:divBdr>
        <w:top w:val="none" w:sz="0" w:space="0" w:color="auto"/>
        <w:left w:val="none" w:sz="0" w:space="0" w:color="auto"/>
        <w:bottom w:val="none" w:sz="0" w:space="0" w:color="auto"/>
        <w:right w:val="none" w:sz="0" w:space="0" w:color="auto"/>
      </w:divBdr>
    </w:div>
    <w:div w:id="2021930400">
      <w:marLeft w:val="0"/>
      <w:marRight w:val="0"/>
      <w:marTop w:val="0"/>
      <w:marBottom w:val="0"/>
      <w:divBdr>
        <w:top w:val="none" w:sz="0" w:space="0" w:color="auto"/>
        <w:left w:val="none" w:sz="0" w:space="0" w:color="auto"/>
        <w:bottom w:val="none" w:sz="0" w:space="0" w:color="auto"/>
        <w:right w:val="none" w:sz="0" w:space="0" w:color="auto"/>
      </w:divBdr>
      <w:divsChild>
        <w:div w:id="183205807">
          <w:marLeft w:val="0"/>
          <w:marRight w:val="0"/>
          <w:marTop w:val="0"/>
          <w:marBottom w:val="0"/>
          <w:divBdr>
            <w:top w:val="none" w:sz="0" w:space="0" w:color="auto"/>
            <w:left w:val="none" w:sz="0" w:space="0" w:color="auto"/>
            <w:bottom w:val="none" w:sz="0" w:space="0" w:color="auto"/>
            <w:right w:val="none" w:sz="0" w:space="0" w:color="auto"/>
          </w:divBdr>
        </w:div>
      </w:divsChild>
    </w:div>
    <w:div w:id="2022320209">
      <w:marLeft w:val="0"/>
      <w:marRight w:val="0"/>
      <w:marTop w:val="120"/>
      <w:marBottom w:val="0"/>
      <w:divBdr>
        <w:top w:val="none" w:sz="0" w:space="0" w:color="auto"/>
        <w:left w:val="none" w:sz="0" w:space="0" w:color="auto"/>
        <w:bottom w:val="none" w:sz="0" w:space="0" w:color="auto"/>
        <w:right w:val="none" w:sz="0" w:space="0" w:color="auto"/>
      </w:divBdr>
    </w:div>
    <w:div w:id="2023043926">
      <w:marLeft w:val="0"/>
      <w:marRight w:val="0"/>
      <w:marTop w:val="120"/>
      <w:marBottom w:val="0"/>
      <w:divBdr>
        <w:top w:val="none" w:sz="0" w:space="0" w:color="auto"/>
        <w:left w:val="none" w:sz="0" w:space="0" w:color="auto"/>
        <w:bottom w:val="none" w:sz="0" w:space="0" w:color="auto"/>
        <w:right w:val="none" w:sz="0" w:space="0" w:color="auto"/>
      </w:divBdr>
    </w:div>
    <w:div w:id="2023126715">
      <w:marLeft w:val="0"/>
      <w:marRight w:val="0"/>
      <w:marTop w:val="120"/>
      <w:marBottom w:val="0"/>
      <w:divBdr>
        <w:top w:val="none" w:sz="0" w:space="0" w:color="auto"/>
        <w:left w:val="none" w:sz="0" w:space="0" w:color="auto"/>
        <w:bottom w:val="none" w:sz="0" w:space="0" w:color="auto"/>
        <w:right w:val="none" w:sz="0" w:space="0" w:color="auto"/>
      </w:divBdr>
    </w:div>
    <w:div w:id="2024090108">
      <w:marLeft w:val="0"/>
      <w:marRight w:val="0"/>
      <w:marTop w:val="120"/>
      <w:marBottom w:val="0"/>
      <w:divBdr>
        <w:top w:val="none" w:sz="0" w:space="0" w:color="auto"/>
        <w:left w:val="none" w:sz="0" w:space="0" w:color="auto"/>
        <w:bottom w:val="none" w:sz="0" w:space="0" w:color="auto"/>
        <w:right w:val="none" w:sz="0" w:space="0" w:color="auto"/>
      </w:divBdr>
    </w:div>
    <w:div w:id="2025550768">
      <w:marLeft w:val="0"/>
      <w:marRight w:val="0"/>
      <w:marTop w:val="120"/>
      <w:marBottom w:val="0"/>
      <w:divBdr>
        <w:top w:val="none" w:sz="0" w:space="0" w:color="auto"/>
        <w:left w:val="none" w:sz="0" w:space="0" w:color="auto"/>
        <w:bottom w:val="none" w:sz="0" w:space="0" w:color="auto"/>
        <w:right w:val="none" w:sz="0" w:space="0" w:color="auto"/>
      </w:divBdr>
    </w:div>
    <w:div w:id="2026667890">
      <w:marLeft w:val="0"/>
      <w:marRight w:val="0"/>
      <w:marTop w:val="0"/>
      <w:marBottom w:val="0"/>
      <w:divBdr>
        <w:top w:val="none" w:sz="0" w:space="0" w:color="auto"/>
        <w:left w:val="none" w:sz="0" w:space="0" w:color="auto"/>
        <w:bottom w:val="none" w:sz="0" w:space="0" w:color="auto"/>
        <w:right w:val="none" w:sz="0" w:space="0" w:color="auto"/>
      </w:divBdr>
    </w:div>
    <w:div w:id="2029016605">
      <w:marLeft w:val="0"/>
      <w:marRight w:val="0"/>
      <w:marTop w:val="0"/>
      <w:marBottom w:val="0"/>
      <w:divBdr>
        <w:top w:val="none" w:sz="0" w:space="0" w:color="auto"/>
        <w:left w:val="none" w:sz="0" w:space="0" w:color="auto"/>
        <w:bottom w:val="none" w:sz="0" w:space="0" w:color="auto"/>
        <w:right w:val="none" w:sz="0" w:space="0" w:color="auto"/>
      </w:divBdr>
    </w:div>
    <w:div w:id="2029521251">
      <w:marLeft w:val="0"/>
      <w:marRight w:val="0"/>
      <w:marTop w:val="0"/>
      <w:marBottom w:val="0"/>
      <w:divBdr>
        <w:top w:val="none" w:sz="0" w:space="0" w:color="auto"/>
        <w:left w:val="none" w:sz="0" w:space="0" w:color="auto"/>
        <w:bottom w:val="none" w:sz="0" w:space="0" w:color="auto"/>
        <w:right w:val="none" w:sz="0" w:space="0" w:color="auto"/>
      </w:divBdr>
      <w:divsChild>
        <w:div w:id="907033063">
          <w:marLeft w:val="0"/>
          <w:marRight w:val="0"/>
          <w:marTop w:val="0"/>
          <w:marBottom w:val="0"/>
          <w:divBdr>
            <w:top w:val="none" w:sz="0" w:space="0" w:color="auto"/>
            <w:left w:val="none" w:sz="0" w:space="0" w:color="auto"/>
            <w:bottom w:val="none" w:sz="0" w:space="0" w:color="auto"/>
            <w:right w:val="none" w:sz="0" w:space="0" w:color="auto"/>
          </w:divBdr>
        </w:div>
      </w:divsChild>
    </w:div>
    <w:div w:id="2029913421">
      <w:marLeft w:val="0"/>
      <w:marRight w:val="0"/>
      <w:marTop w:val="0"/>
      <w:marBottom w:val="120"/>
      <w:divBdr>
        <w:top w:val="none" w:sz="0" w:space="0" w:color="auto"/>
        <w:left w:val="none" w:sz="0" w:space="0" w:color="auto"/>
        <w:bottom w:val="none" w:sz="0" w:space="0" w:color="auto"/>
        <w:right w:val="none" w:sz="0" w:space="0" w:color="auto"/>
      </w:divBdr>
    </w:div>
    <w:div w:id="2032753421">
      <w:marLeft w:val="0"/>
      <w:marRight w:val="0"/>
      <w:marTop w:val="120"/>
      <w:marBottom w:val="0"/>
      <w:divBdr>
        <w:top w:val="none" w:sz="0" w:space="0" w:color="auto"/>
        <w:left w:val="none" w:sz="0" w:space="0" w:color="auto"/>
        <w:bottom w:val="none" w:sz="0" w:space="0" w:color="auto"/>
        <w:right w:val="none" w:sz="0" w:space="0" w:color="auto"/>
      </w:divBdr>
    </w:div>
    <w:div w:id="2034265232">
      <w:marLeft w:val="0"/>
      <w:marRight w:val="0"/>
      <w:marTop w:val="120"/>
      <w:marBottom w:val="0"/>
      <w:divBdr>
        <w:top w:val="none" w:sz="0" w:space="0" w:color="auto"/>
        <w:left w:val="none" w:sz="0" w:space="0" w:color="auto"/>
        <w:bottom w:val="none" w:sz="0" w:space="0" w:color="auto"/>
        <w:right w:val="none" w:sz="0" w:space="0" w:color="auto"/>
      </w:divBdr>
    </w:div>
    <w:div w:id="2036543030">
      <w:marLeft w:val="0"/>
      <w:marRight w:val="0"/>
      <w:marTop w:val="0"/>
      <w:marBottom w:val="0"/>
      <w:divBdr>
        <w:top w:val="none" w:sz="0" w:space="0" w:color="auto"/>
        <w:left w:val="none" w:sz="0" w:space="0" w:color="auto"/>
        <w:bottom w:val="none" w:sz="0" w:space="0" w:color="auto"/>
        <w:right w:val="none" w:sz="0" w:space="0" w:color="auto"/>
      </w:divBdr>
      <w:divsChild>
        <w:div w:id="2118013894">
          <w:marLeft w:val="0"/>
          <w:marRight w:val="0"/>
          <w:marTop w:val="0"/>
          <w:marBottom w:val="0"/>
          <w:divBdr>
            <w:top w:val="none" w:sz="0" w:space="0" w:color="auto"/>
            <w:left w:val="none" w:sz="0" w:space="0" w:color="auto"/>
            <w:bottom w:val="none" w:sz="0" w:space="0" w:color="auto"/>
            <w:right w:val="none" w:sz="0" w:space="0" w:color="auto"/>
          </w:divBdr>
        </w:div>
      </w:divsChild>
    </w:div>
    <w:div w:id="2037072580">
      <w:marLeft w:val="0"/>
      <w:marRight w:val="0"/>
      <w:marTop w:val="0"/>
      <w:marBottom w:val="0"/>
      <w:divBdr>
        <w:top w:val="none" w:sz="0" w:space="0" w:color="auto"/>
        <w:left w:val="none" w:sz="0" w:space="0" w:color="auto"/>
        <w:bottom w:val="none" w:sz="0" w:space="0" w:color="auto"/>
        <w:right w:val="none" w:sz="0" w:space="0" w:color="auto"/>
      </w:divBdr>
    </w:div>
    <w:div w:id="2044283929">
      <w:marLeft w:val="0"/>
      <w:marRight w:val="0"/>
      <w:marTop w:val="180"/>
      <w:marBottom w:val="0"/>
      <w:divBdr>
        <w:top w:val="none" w:sz="0" w:space="0" w:color="auto"/>
        <w:left w:val="none" w:sz="0" w:space="0" w:color="auto"/>
        <w:bottom w:val="none" w:sz="0" w:space="0" w:color="auto"/>
        <w:right w:val="none" w:sz="0" w:space="0" w:color="auto"/>
      </w:divBdr>
    </w:div>
    <w:div w:id="2044675299">
      <w:marLeft w:val="0"/>
      <w:marRight w:val="0"/>
      <w:marTop w:val="120"/>
      <w:marBottom w:val="0"/>
      <w:divBdr>
        <w:top w:val="none" w:sz="0" w:space="0" w:color="auto"/>
        <w:left w:val="none" w:sz="0" w:space="0" w:color="auto"/>
        <w:bottom w:val="none" w:sz="0" w:space="0" w:color="auto"/>
        <w:right w:val="none" w:sz="0" w:space="0" w:color="auto"/>
      </w:divBdr>
    </w:div>
    <w:div w:id="2044939712">
      <w:marLeft w:val="0"/>
      <w:marRight w:val="0"/>
      <w:marTop w:val="0"/>
      <w:marBottom w:val="0"/>
      <w:divBdr>
        <w:top w:val="none" w:sz="0" w:space="0" w:color="auto"/>
        <w:left w:val="none" w:sz="0" w:space="0" w:color="auto"/>
        <w:bottom w:val="none" w:sz="0" w:space="0" w:color="auto"/>
        <w:right w:val="none" w:sz="0" w:space="0" w:color="auto"/>
      </w:divBdr>
    </w:div>
    <w:div w:id="2045398368">
      <w:marLeft w:val="0"/>
      <w:marRight w:val="0"/>
      <w:marTop w:val="120"/>
      <w:marBottom w:val="0"/>
      <w:divBdr>
        <w:top w:val="none" w:sz="0" w:space="0" w:color="auto"/>
        <w:left w:val="none" w:sz="0" w:space="0" w:color="auto"/>
        <w:bottom w:val="none" w:sz="0" w:space="0" w:color="auto"/>
        <w:right w:val="none" w:sz="0" w:space="0" w:color="auto"/>
      </w:divBdr>
    </w:div>
    <w:div w:id="2045402498">
      <w:marLeft w:val="0"/>
      <w:marRight w:val="0"/>
      <w:marTop w:val="120"/>
      <w:marBottom w:val="0"/>
      <w:divBdr>
        <w:top w:val="none" w:sz="0" w:space="0" w:color="auto"/>
        <w:left w:val="none" w:sz="0" w:space="0" w:color="auto"/>
        <w:bottom w:val="none" w:sz="0" w:space="0" w:color="auto"/>
        <w:right w:val="none" w:sz="0" w:space="0" w:color="auto"/>
      </w:divBdr>
    </w:div>
    <w:div w:id="2047102900">
      <w:marLeft w:val="0"/>
      <w:marRight w:val="0"/>
      <w:marTop w:val="0"/>
      <w:marBottom w:val="0"/>
      <w:divBdr>
        <w:top w:val="none" w:sz="0" w:space="0" w:color="auto"/>
        <w:left w:val="none" w:sz="0" w:space="0" w:color="auto"/>
        <w:bottom w:val="none" w:sz="0" w:space="0" w:color="auto"/>
        <w:right w:val="none" w:sz="0" w:space="0" w:color="auto"/>
      </w:divBdr>
      <w:divsChild>
        <w:div w:id="668140440">
          <w:marLeft w:val="0"/>
          <w:marRight w:val="0"/>
          <w:marTop w:val="0"/>
          <w:marBottom w:val="0"/>
          <w:divBdr>
            <w:top w:val="none" w:sz="0" w:space="0" w:color="auto"/>
            <w:left w:val="none" w:sz="0" w:space="0" w:color="auto"/>
            <w:bottom w:val="none" w:sz="0" w:space="0" w:color="auto"/>
            <w:right w:val="none" w:sz="0" w:space="0" w:color="auto"/>
          </w:divBdr>
        </w:div>
      </w:divsChild>
    </w:div>
    <w:div w:id="2051374093">
      <w:marLeft w:val="0"/>
      <w:marRight w:val="0"/>
      <w:marTop w:val="0"/>
      <w:marBottom w:val="0"/>
      <w:divBdr>
        <w:top w:val="none" w:sz="0" w:space="0" w:color="auto"/>
        <w:left w:val="none" w:sz="0" w:space="0" w:color="auto"/>
        <w:bottom w:val="none" w:sz="0" w:space="0" w:color="auto"/>
        <w:right w:val="none" w:sz="0" w:space="0" w:color="auto"/>
      </w:divBdr>
    </w:div>
    <w:div w:id="2052536755">
      <w:marLeft w:val="0"/>
      <w:marRight w:val="0"/>
      <w:marTop w:val="120"/>
      <w:marBottom w:val="0"/>
      <w:divBdr>
        <w:top w:val="none" w:sz="0" w:space="0" w:color="auto"/>
        <w:left w:val="none" w:sz="0" w:space="0" w:color="auto"/>
        <w:bottom w:val="none" w:sz="0" w:space="0" w:color="auto"/>
        <w:right w:val="none" w:sz="0" w:space="0" w:color="auto"/>
      </w:divBdr>
    </w:div>
    <w:div w:id="2054423472">
      <w:marLeft w:val="0"/>
      <w:marRight w:val="0"/>
      <w:marTop w:val="120"/>
      <w:marBottom w:val="0"/>
      <w:divBdr>
        <w:top w:val="none" w:sz="0" w:space="0" w:color="auto"/>
        <w:left w:val="none" w:sz="0" w:space="0" w:color="auto"/>
        <w:bottom w:val="none" w:sz="0" w:space="0" w:color="auto"/>
        <w:right w:val="none" w:sz="0" w:space="0" w:color="auto"/>
      </w:divBdr>
    </w:div>
    <w:div w:id="2055037635">
      <w:marLeft w:val="0"/>
      <w:marRight w:val="0"/>
      <w:marTop w:val="120"/>
      <w:marBottom w:val="0"/>
      <w:divBdr>
        <w:top w:val="none" w:sz="0" w:space="0" w:color="auto"/>
        <w:left w:val="none" w:sz="0" w:space="0" w:color="auto"/>
        <w:bottom w:val="none" w:sz="0" w:space="0" w:color="auto"/>
        <w:right w:val="none" w:sz="0" w:space="0" w:color="auto"/>
      </w:divBdr>
    </w:div>
    <w:div w:id="2056880066">
      <w:marLeft w:val="0"/>
      <w:marRight w:val="0"/>
      <w:marTop w:val="0"/>
      <w:marBottom w:val="120"/>
      <w:divBdr>
        <w:top w:val="none" w:sz="0" w:space="0" w:color="auto"/>
        <w:left w:val="none" w:sz="0" w:space="0" w:color="auto"/>
        <w:bottom w:val="none" w:sz="0" w:space="0" w:color="auto"/>
        <w:right w:val="none" w:sz="0" w:space="0" w:color="auto"/>
      </w:divBdr>
      <w:divsChild>
        <w:div w:id="1724865521">
          <w:marLeft w:val="0"/>
          <w:marRight w:val="0"/>
          <w:marTop w:val="0"/>
          <w:marBottom w:val="0"/>
          <w:divBdr>
            <w:top w:val="none" w:sz="0" w:space="0" w:color="auto"/>
            <w:left w:val="none" w:sz="0" w:space="0" w:color="auto"/>
            <w:bottom w:val="none" w:sz="0" w:space="0" w:color="auto"/>
            <w:right w:val="none" w:sz="0" w:space="0" w:color="auto"/>
          </w:divBdr>
        </w:div>
        <w:div w:id="1323705530">
          <w:marLeft w:val="0"/>
          <w:marRight w:val="0"/>
          <w:marTop w:val="0"/>
          <w:marBottom w:val="0"/>
          <w:divBdr>
            <w:top w:val="none" w:sz="0" w:space="0" w:color="auto"/>
            <w:left w:val="none" w:sz="0" w:space="0" w:color="auto"/>
            <w:bottom w:val="none" w:sz="0" w:space="0" w:color="auto"/>
            <w:right w:val="none" w:sz="0" w:space="0" w:color="auto"/>
          </w:divBdr>
        </w:div>
        <w:div w:id="3169908">
          <w:marLeft w:val="0"/>
          <w:marRight w:val="0"/>
          <w:marTop w:val="0"/>
          <w:marBottom w:val="0"/>
          <w:divBdr>
            <w:top w:val="none" w:sz="0" w:space="0" w:color="auto"/>
            <w:left w:val="none" w:sz="0" w:space="0" w:color="auto"/>
            <w:bottom w:val="none" w:sz="0" w:space="0" w:color="auto"/>
            <w:right w:val="none" w:sz="0" w:space="0" w:color="auto"/>
          </w:divBdr>
        </w:div>
      </w:divsChild>
    </w:div>
    <w:div w:id="2058890204">
      <w:marLeft w:val="0"/>
      <w:marRight w:val="0"/>
      <w:marTop w:val="100"/>
      <w:marBottom w:val="0"/>
      <w:divBdr>
        <w:top w:val="none" w:sz="0" w:space="0" w:color="auto"/>
        <w:left w:val="none" w:sz="0" w:space="0" w:color="auto"/>
        <w:bottom w:val="none" w:sz="0" w:space="0" w:color="auto"/>
        <w:right w:val="none" w:sz="0" w:space="0" w:color="auto"/>
      </w:divBdr>
    </w:div>
    <w:div w:id="2059157907">
      <w:marLeft w:val="0"/>
      <w:marRight w:val="0"/>
      <w:marTop w:val="0"/>
      <w:marBottom w:val="120"/>
      <w:divBdr>
        <w:top w:val="none" w:sz="0" w:space="0" w:color="auto"/>
        <w:left w:val="none" w:sz="0" w:space="0" w:color="auto"/>
        <w:bottom w:val="none" w:sz="0" w:space="0" w:color="auto"/>
        <w:right w:val="none" w:sz="0" w:space="0" w:color="auto"/>
      </w:divBdr>
      <w:divsChild>
        <w:div w:id="2085490506">
          <w:marLeft w:val="0"/>
          <w:marRight w:val="0"/>
          <w:marTop w:val="0"/>
          <w:marBottom w:val="0"/>
          <w:divBdr>
            <w:top w:val="none" w:sz="0" w:space="0" w:color="auto"/>
            <w:left w:val="none" w:sz="0" w:space="0" w:color="auto"/>
            <w:bottom w:val="none" w:sz="0" w:space="0" w:color="auto"/>
            <w:right w:val="none" w:sz="0" w:space="0" w:color="auto"/>
          </w:divBdr>
        </w:div>
        <w:div w:id="663513162">
          <w:marLeft w:val="0"/>
          <w:marRight w:val="0"/>
          <w:marTop w:val="0"/>
          <w:marBottom w:val="0"/>
          <w:divBdr>
            <w:top w:val="none" w:sz="0" w:space="0" w:color="auto"/>
            <w:left w:val="none" w:sz="0" w:space="0" w:color="auto"/>
            <w:bottom w:val="none" w:sz="0" w:space="0" w:color="auto"/>
            <w:right w:val="none" w:sz="0" w:space="0" w:color="auto"/>
          </w:divBdr>
        </w:div>
        <w:div w:id="1981495964">
          <w:marLeft w:val="0"/>
          <w:marRight w:val="0"/>
          <w:marTop w:val="0"/>
          <w:marBottom w:val="0"/>
          <w:divBdr>
            <w:top w:val="none" w:sz="0" w:space="0" w:color="auto"/>
            <w:left w:val="none" w:sz="0" w:space="0" w:color="auto"/>
            <w:bottom w:val="none" w:sz="0" w:space="0" w:color="auto"/>
            <w:right w:val="none" w:sz="0" w:space="0" w:color="auto"/>
          </w:divBdr>
        </w:div>
        <w:div w:id="339625556">
          <w:marLeft w:val="0"/>
          <w:marRight w:val="0"/>
          <w:marTop w:val="0"/>
          <w:marBottom w:val="0"/>
          <w:divBdr>
            <w:top w:val="none" w:sz="0" w:space="0" w:color="auto"/>
            <w:left w:val="none" w:sz="0" w:space="0" w:color="auto"/>
            <w:bottom w:val="none" w:sz="0" w:space="0" w:color="auto"/>
            <w:right w:val="none" w:sz="0" w:space="0" w:color="auto"/>
          </w:divBdr>
        </w:div>
        <w:div w:id="293413608">
          <w:marLeft w:val="0"/>
          <w:marRight w:val="0"/>
          <w:marTop w:val="0"/>
          <w:marBottom w:val="0"/>
          <w:divBdr>
            <w:top w:val="none" w:sz="0" w:space="0" w:color="auto"/>
            <w:left w:val="none" w:sz="0" w:space="0" w:color="auto"/>
            <w:bottom w:val="none" w:sz="0" w:space="0" w:color="auto"/>
            <w:right w:val="none" w:sz="0" w:space="0" w:color="auto"/>
          </w:divBdr>
        </w:div>
        <w:div w:id="598412553">
          <w:marLeft w:val="0"/>
          <w:marRight w:val="0"/>
          <w:marTop w:val="0"/>
          <w:marBottom w:val="0"/>
          <w:divBdr>
            <w:top w:val="none" w:sz="0" w:space="0" w:color="auto"/>
            <w:left w:val="none" w:sz="0" w:space="0" w:color="auto"/>
            <w:bottom w:val="none" w:sz="0" w:space="0" w:color="auto"/>
            <w:right w:val="none" w:sz="0" w:space="0" w:color="auto"/>
          </w:divBdr>
        </w:div>
        <w:div w:id="293366115">
          <w:marLeft w:val="0"/>
          <w:marRight w:val="0"/>
          <w:marTop w:val="0"/>
          <w:marBottom w:val="0"/>
          <w:divBdr>
            <w:top w:val="none" w:sz="0" w:space="0" w:color="auto"/>
            <w:left w:val="none" w:sz="0" w:space="0" w:color="auto"/>
            <w:bottom w:val="none" w:sz="0" w:space="0" w:color="auto"/>
            <w:right w:val="none" w:sz="0" w:space="0" w:color="auto"/>
          </w:divBdr>
        </w:div>
        <w:div w:id="853617440">
          <w:marLeft w:val="0"/>
          <w:marRight w:val="0"/>
          <w:marTop w:val="0"/>
          <w:marBottom w:val="0"/>
          <w:divBdr>
            <w:top w:val="none" w:sz="0" w:space="0" w:color="auto"/>
            <w:left w:val="none" w:sz="0" w:space="0" w:color="auto"/>
            <w:bottom w:val="none" w:sz="0" w:space="0" w:color="auto"/>
            <w:right w:val="none" w:sz="0" w:space="0" w:color="auto"/>
          </w:divBdr>
        </w:div>
        <w:div w:id="190992965">
          <w:marLeft w:val="0"/>
          <w:marRight w:val="0"/>
          <w:marTop w:val="0"/>
          <w:marBottom w:val="0"/>
          <w:divBdr>
            <w:top w:val="none" w:sz="0" w:space="0" w:color="auto"/>
            <w:left w:val="none" w:sz="0" w:space="0" w:color="auto"/>
            <w:bottom w:val="none" w:sz="0" w:space="0" w:color="auto"/>
            <w:right w:val="none" w:sz="0" w:space="0" w:color="auto"/>
          </w:divBdr>
        </w:div>
      </w:divsChild>
    </w:div>
    <w:div w:id="2059552521">
      <w:marLeft w:val="0"/>
      <w:marRight w:val="0"/>
      <w:marTop w:val="0"/>
      <w:marBottom w:val="0"/>
      <w:divBdr>
        <w:top w:val="none" w:sz="0" w:space="0" w:color="auto"/>
        <w:left w:val="none" w:sz="0" w:space="0" w:color="auto"/>
        <w:bottom w:val="none" w:sz="0" w:space="0" w:color="auto"/>
        <w:right w:val="none" w:sz="0" w:space="0" w:color="auto"/>
      </w:divBdr>
    </w:div>
    <w:div w:id="2061243416">
      <w:marLeft w:val="0"/>
      <w:marRight w:val="0"/>
      <w:marTop w:val="120"/>
      <w:marBottom w:val="0"/>
      <w:divBdr>
        <w:top w:val="none" w:sz="0" w:space="0" w:color="auto"/>
        <w:left w:val="none" w:sz="0" w:space="0" w:color="auto"/>
        <w:bottom w:val="none" w:sz="0" w:space="0" w:color="auto"/>
        <w:right w:val="none" w:sz="0" w:space="0" w:color="auto"/>
      </w:divBdr>
    </w:div>
    <w:div w:id="2061592818">
      <w:marLeft w:val="0"/>
      <w:marRight w:val="0"/>
      <w:marTop w:val="120"/>
      <w:marBottom w:val="0"/>
      <w:divBdr>
        <w:top w:val="none" w:sz="0" w:space="0" w:color="auto"/>
        <w:left w:val="none" w:sz="0" w:space="0" w:color="auto"/>
        <w:bottom w:val="none" w:sz="0" w:space="0" w:color="auto"/>
        <w:right w:val="none" w:sz="0" w:space="0" w:color="auto"/>
      </w:divBdr>
    </w:div>
    <w:div w:id="2063359412">
      <w:marLeft w:val="0"/>
      <w:marRight w:val="0"/>
      <w:marTop w:val="120"/>
      <w:marBottom w:val="0"/>
      <w:divBdr>
        <w:top w:val="none" w:sz="0" w:space="0" w:color="auto"/>
        <w:left w:val="none" w:sz="0" w:space="0" w:color="auto"/>
        <w:bottom w:val="none" w:sz="0" w:space="0" w:color="auto"/>
        <w:right w:val="none" w:sz="0" w:space="0" w:color="auto"/>
      </w:divBdr>
    </w:div>
    <w:div w:id="2064519271">
      <w:marLeft w:val="0"/>
      <w:marRight w:val="0"/>
      <w:marTop w:val="120"/>
      <w:marBottom w:val="0"/>
      <w:divBdr>
        <w:top w:val="none" w:sz="0" w:space="0" w:color="auto"/>
        <w:left w:val="none" w:sz="0" w:space="0" w:color="auto"/>
        <w:bottom w:val="none" w:sz="0" w:space="0" w:color="auto"/>
        <w:right w:val="none" w:sz="0" w:space="0" w:color="auto"/>
      </w:divBdr>
    </w:div>
    <w:div w:id="2065375178">
      <w:marLeft w:val="0"/>
      <w:marRight w:val="0"/>
      <w:marTop w:val="120"/>
      <w:marBottom w:val="0"/>
      <w:divBdr>
        <w:top w:val="none" w:sz="0" w:space="0" w:color="auto"/>
        <w:left w:val="none" w:sz="0" w:space="0" w:color="auto"/>
        <w:bottom w:val="none" w:sz="0" w:space="0" w:color="auto"/>
        <w:right w:val="none" w:sz="0" w:space="0" w:color="auto"/>
      </w:divBdr>
    </w:div>
    <w:div w:id="2066681773">
      <w:marLeft w:val="0"/>
      <w:marRight w:val="0"/>
      <w:marTop w:val="0"/>
      <w:marBottom w:val="0"/>
      <w:divBdr>
        <w:top w:val="none" w:sz="0" w:space="0" w:color="auto"/>
        <w:left w:val="none" w:sz="0" w:space="0" w:color="auto"/>
        <w:bottom w:val="none" w:sz="0" w:space="0" w:color="auto"/>
        <w:right w:val="none" w:sz="0" w:space="0" w:color="auto"/>
      </w:divBdr>
      <w:divsChild>
        <w:div w:id="2060471601">
          <w:marLeft w:val="0"/>
          <w:marRight w:val="0"/>
          <w:marTop w:val="0"/>
          <w:marBottom w:val="0"/>
          <w:divBdr>
            <w:top w:val="none" w:sz="0" w:space="0" w:color="auto"/>
            <w:left w:val="none" w:sz="0" w:space="0" w:color="auto"/>
            <w:bottom w:val="none" w:sz="0" w:space="0" w:color="auto"/>
            <w:right w:val="none" w:sz="0" w:space="0" w:color="auto"/>
          </w:divBdr>
        </w:div>
      </w:divsChild>
    </w:div>
    <w:div w:id="2066905624">
      <w:marLeft w:val="0"/>
      <w:marRight w:val="0"/>
      <w:marTop w:val="120"/>
      <w:marBottom w:val="0"/>
      <w:divBdr>
        <w:top w:val="none" w:sz="0" w:space="0" w:color="auto"/>
        <w:left w:val="none" w:sz="0" w:space="0" w:color="auto"/>
        <w:bottom w:val="none" w:sz="0" w:space="0" w:color="auto"/>
        <w:right w:val="none" w:sz="0" w:space="0" w:color="auto"/>
      </w:divBdr>
    </w:div>
    <w:div w:id="2067679314">
      <w:marLeft w:val="0"/>
      <w:marRight w:val="0"/>
      <w:marTop w:val="0"/>
      <w:marBottom w:val="0"/>
      <w:divBdr>
        <w:top w:val="none" w:sz="0" w:space="0" w:color="auto"/>
        <w:left w:val="none" w:sz="0" w:space="0" w:color="auto"/>
        <w:bottom w:val="none" w:sz="0" w:space="0" w:color="auto"/>
        <w:right w:val="none" w:sz="0" w:space="0" w:color="auto"/>
      </w:divBdr>
    </w:div>
    <w:div w:id="2068406246">
      <w:marLeft w:val="0"/>
      <w:marRight w:val="0"/>
      <w:marTop w:val="120"/>
      <w:marBottom w:val="0"/>
      <w:divBdr>
        <w:top w:val="none" w:sz="0" w:space="0" w:color="auto"/>
        <w:left w:val="none" w:sz="0" w:space="0" w:color="auto"/>
        <w:bottom w:val="none" w:sz="0" w:space="0" w:color="auto"/>
        <w:right w:val="none" w:sz="0" w:space="0" w:color="auto"/>
      </w:divBdr>
    </w:div>
    <w:div w:id="2070806978">
      <w:marLeft w:val="0"/>
      <w:marRight w:val="0"/>
      <w:marTop w:val="0"/>
      <w:marBottom w:val="0"/>
      <w:divBdr>
        <w:top w:val="none" w:sz="0" w:space="0" w:color="auto"/>
        <w:left w:val="none" w:sz="0" w:space="0" w:color="auto"/>
        <w:bottom w:val="none" w:sz="0" w:space="0" w:color="auto"/>
        <w:right w:val="none" w:sz="0" w:space="0" w:color="auto"/>
      </w:divBdr>
    </w:div>
    <w:div w:id="2071151694">
      <w:marLeft w:val="0"/>
      <w:marRight w:val="0"/>
      <w:marTop w:val="200"/>
      <w:marBottom w:val="0"/>
      <w:divBdr>
        <w:top w:val="none" w:sz="0" w:space="0" w:color="auto"/>
        <w:left w:val="none" w:sz="0" w:space="0" w:color="auto"/>
        <w:bottom w:val="none" w:sz="0" w:space="0" w:color="auto"/>
        <w:right w:val="none" w:sz="0" w:space="0" w:color="auto"/>
      </w:divBdr>
    </w:div>
    <w:div w:id="2072582301">
      <w:marLeft w:val="0"/>
      <w:marRight w:val="0"/>
      <w:marTop w:val="0"/>
      <w:marBottom w:val="120"/>
      <w:divBdr>
        <w:top w:val="none" w:sz="0" w:space="0" w:color="auto"/>
        <w:left w:val="none" w:sz="0" w:space="0" w:color="auto"/>
        <w:bottom w:val="none" w:sz="0" w:space="0" w:color="auto"/>
        <w:right w:val="none" w:sz="0" w:space="0" w:color="auto"/>
      </w:divBdr>
    </w:div>
    <w:div w:id="2074424523">
      <w:marLeft w:val="0"/>
      <w:marRight w:val="0"/>
      <w:marTop w:val="120"/>
      <w:marBottom w:val="0"/>
      <w:divBdr>
        <w:top w:val="none" w:sz="0" w:space="0" w:color="auto"/>
        <w:left w:val="none" w:sz="0" w:space="0" w:color="auto"/>
        <w:bottom w:val="none" w:sz="0" w:space="0" w:color="auto"/>
        <w:right w:val="none" w:sz="0" w:space="0" w:color="auto"/>
      </w:divBdr>
    </w:div>
    <w:div w:id="2074809979">
      <w:marLeft w:val="0"/>
      <w:marRight w:val="0"/>
      <w:marTop w:val="120"/>
      <w:marBottom w:val="0"/>
      <w:divBdr>
        <w:top w:val="none" w:sz="0" w:space="0" w:color="auto"/>
        <w:left w:val="none" w:sz="0" w:space="0" w:color="auto"/>
        <w:bottom w:val="none" w:sz="0" w:space="0" w:color="auto"/>
        <w:right w:val="none" w:sz="0" w:space="0" w:color="auto"/>
      </w:divBdr>
    </w:div>
    <w:div w:id="2077706578">
      <w:marLeft w:val="0"/>
      <w:marRight w:val="0"/>
      <w:marTop w:val="0"/>
      <w:marBottom w:val="0"/>
      <w:divBdr>
        <w:top w:val="none" w:sz="0" w:space="0" w:color="auto"/>
        <w:left w:val="none" w:sz="0" w:space="0" w:color="auto"/>
        <w:bottom w:val="none" w:sz="0" w:space="0" w:color="auto"/>
        <w:right w:val="none" w:sz="0" w:space="0" w:color="auto"/>
      </w:divBdr>
      <w:divsChild>
        <w:div w:id="1634628362">
          <w:marLeft w:val="0"/>
          <w:marRight w:val="0"/>
          <w:marTop w:val="0"/>
          <w:marBottom w:val="0"/>
          <w:divBdr>
            <w:top w:val="none" w:sz="0" w:space="0" w:color="auto"/>
            <w:left w:val="none" w:sz="0" w:space="0" w:color="auto"/>
            <w:bottom w:val="none" w:sz="0" w:space="0" w:color="auto"/>
            <w:right w:val="none" w:sz="0" w:space="0" w:color="auto"/>
          </w:divBdr>
        </w:div>
      </w:divsChild>
    </w:div>
    <w:div w:id="2079088112">
      <w:marLeft w:val="0"/>
      <w:marRight w:val="0"/>
      <w:marTop w:val="120"/>
      <w:marBottom w:val="0"/>
      <w:divBdr>
        <w:top w:val="none" w:sz="0" w:space="0" w:color="auto"/>
        <w:left w:val="none" w:sz="0" w:space="0" w:color="auto"/>
        <w:bottom w:val="none" w:sz="0" w:space="0" w:color="auto"/>
        <w:right w:val="none" w:sz="0" w:space="0" w:color="auto"/>
      </w:divBdr>
    </w:div>
    <w:div w:id="2079665476">
      <w:marLeft w:val="0"/>
      <w:marRight w:val="0"/>
      <w:marTop w:val="0"/>
      <w:marBottom w:val="0"/>
      <w:divBdr>
        <w:top w:val="none" w:sz="0" w:space="0" w:color="auto"/>
        <w:left w:val="none" w:sz="0" w:space="0" w:color="auto"/>
        <w:bottom w:val="none" w:sz="0" w:space="0" w:color="auto"/>
        <w:right w:val="none" w:sz="0" w:space="0" w:color="auto"/>
      </w:divBdr>
    </w:div>
    <w:div w:id="2081051051">
      <w:marLeft w:val="0"/>
      <w:marRight w:val="0"/>
      <w:marTop w:val="0"/>
      <w:marBottom w:val="120"/>
      <w:divBdr>
        <w:top w:val="none" w:sz="0" w:space="0" w:color="auto"/>
        <w:left w:val="none" w:sz="0" w:space="0" w:color="auto"/>
        <w:bottom w:val="none" w:sz="0" w:space="0" w:color="auto"/>
        <w:right w:val="none" w:sz="0" w:space="0" w:color="auto"/>
      </w:divBdr>
    </w:div>
    <w:div w:id="2082632376">
      <w:marLeft w:val="0"/>
      <w:marRight w:val="0"/>
      <w:marTop w:val="0"/>
      <w:marBottom w:val="0"/>
      <w:divBdr>
        <w:top w:val="none" w:sz="0" w:space="0" w:color="auto"/>
        <w:left w:val="none" w:sz="0" w:space="0" w:color="auto"/>
        <w:bottom w:val="none" w:sz="0" w:space="0" w:color="auto"/>
        <w:right w:val="none" w:sz="0" w:space="0" w:color="auto"/>
      </w:divBdr>
    </w:div>
    <w:div w:id="2082755576">
      <w:marLeft w:val="0"/>
      <w:marRight w:val="0"/>
      <w:marTop w:val="120"/>
      <w:marBottom w:val="0"/>
      <w:divBdr>
        <w:top w:val="none" w:sz="0" w:space="0" w:color="auto"/>
        <w:left w:val="none" w:sz="0" w:space="0" w:color="auto"/>
        <w:bottom w:val="none" w:sz="0" w:space="0" w:color="auto"/>
        <w:right w:val="none" w:sz="0" w:space="0" w:color="auto"/>
      </w:divBdr>
    </w:div>
    <w:div w:id="2083943663">
      <w:marLeft w:val="0"/>
      <w:marRight w:val="0"/>
      <w:marTop w:val="120"/>
      <w:marBottom w:val="0"/>
      <w:divBdr>
        <w:top w:val="none" w:sz="0" w:space="0" w:color="auto"/>
        <w:left w:val="none" w:sz="0" w:space="0" w:color="auto"/>
        <w:bottom w:val="none" w:sz="0" w:space="0" w:color="auto"/>
        <w:right w:val="none" w:sz="0" w:space="0" w:color="auto"/>
      </w:divBdr>
    </w:div>
    <w:div w:id="2085367892">
      <w:marLeft w:val="0"/>
      <w:marRight w:val="0"/>
      <w:marTop w:val="0"/>
      <w:marBottom w:val="0"/>
      <w:divBdr>
        <w:top w:val="none" w:sz="0" w:space="0" w:color="auto"/>
        <w:left w:val="none" w:sz="0" w:space="0" w:color="auto"/>
        <w:bottom w:val="none" w:sz="0" w:space="0" w:color="auto"/>
        <w:right w:val="none" w:sz="0" w:space="0" w:color="auto"/>
      </w:divBdr>
      <w:divsChild>
        <w:div w:id="2033342210">
          <w:marLeft w:val="0"/>
          <w:marRight w:val="0"/>
          <w:marTop w:val="0"/>
          <w:marBottom w:val="0"/>
          <w:divBdr>
            <w:top w:val="none" w:sz="0" w:space="0" w:color="auto"/>
            <w:left w:val="none" w:sz="0" w:space="0" w:color="auto"/>
            <w:bottom w:val="none" w:sz="0" w:space="0" w:color="auto"/>
            <w:right w:val="none" w:sz="0" w:space="0" w:color="auto"/>
          </w:divBdr>
        </w:div>
      </w:divsChild>
    </w:div>
    <w:div w:id="2085835954">
      <w:marLeft w:val="0"/>
      <w:marRight w:val="0"/>
      <w:marTop w:val="120"/>
      <w:marBottom w:val="0"/>
      <w:divBdr>
        <w:top w:val="none" w:sz="0" w:space="0" w:color="auto"/>
        <w:left w:val="none" w:sz="0" w:space="0" w:color="auto"/>
        <w:bottom w:val="none" w:sz="0" w:space="0" w:color="auto"/>
        <w:right w:val="none" w:sz="0" w:space="0" w:color="auto"/>
      </w:divBdr>
    </w:div>
    <w:div w:id="2091350382">
      <w:marLeft w:val="0"/>
      <w:marRight w:val="0"/>
      <w:marTop w:val="120"/>
      <w:marBottom w:val="0"/>
      <w:divBdr>
        <w:top w:val="none" w:sz="0" w:space="0" w:color="auto"/>
        <w:left w:val="none" w:sz="0" w:space="0" w:color="auto"/>
        <w:bottom w:val="none" w:sz="0" w:space="0" w:color="auto"/>
        <w:right w:val="none" w:sz="0" w:space="0" w:color="auto"/>
      </w:divBdr>
    </w:div>
    <w:div w:id="2092043122">
      <w:marLeft w:val="0"/>
      <w:marRight w:val="0"/>
      <w:marTop w:val="0"/>
      <w:marBottom w:val="120"/>
      <w:divBdr>
        <w:top w:val="none" w:sz="0" w:space="0" w:color="auto"/>
        <w:left w:val="none" w:sz="0" w:space="0" w:color="auto"/>
        <w:bottom w:val="none" w:sz="0" w:space="0" w:color="auto"/>
        <w:right w:val="none" w:sz="0" w:space="0" w:color="auto"/>
      </w:divBdr>
      <w:divsChild>
        <w:div w:id="965239007">
          <w:marLeft w:val="0"/>
          <w:marRight w:val="0"/>
          <w:marTop w:val="0"/>
          <w:marBottom w:val="0"/>
          <w:divBdr>
            <w:top w:val="none" w:sz="0" w:space="0" w:color="auto"/>
            <w:left w:val="none" w:sz="0" w:space="0" w:color="auto"/>
            <w:bottom w:val="none" w:sz="0" w:space="0" w:color="auto"/>
            <w:right w:val="none" w:sz="0" w:space="0" w:color="auto"/>
          </w:divBdr>
        </w:div>
        <w:div w:id="2116632665">
          <w:marLeft w:val="0"/>
          <w:marRight w:val="0"/>
          <w:marTop w:val="0"/>
          <w:marBottom w:val="0"/>
          <w:divBdr>
            <w:top w:val="none" w:sz="0" w:space="0" w:color="auto"/>
            <w:left w:val="none" w:sz="0" w:space="0" w:color="auto"/>
            <w:bottom w:val="none" w:sz="0" w:space="0" w:color="auto"/>
            <w:right w:val="none" w:sz="0" w:space="0" w:color="auto"/>
          </w:divBdr>
        </w:div>
        <w:div w:id="551890370">
          <w:marLeft w:val="0"/>
          <w:marRight w:val="0"/>
          <w:marTop w:val="0"/>
          <w:marBottom w:val="0"/>
          <w:divBdr>
            <w:top w:val="none" w:sz="0" w:space="0" w:color="auto"/>
            <w:left w:val="none" w:sz="0" w:space="0" w:color="auto"/>
            <w:bottom w:val="none" w:sz="0" w:space="0" w:color="auto"/>
            <w:right w:val="none" w:sz="0" w:space="0" w:color="auto"/>
          </w:divBdr>
        </w:div>
        <w:div w:id="1955281454">
          <w:marLeft w:val="0"/>
          <w:marRight w:val="0"/>
          <w:marTop w:val="0"/>
          <w:marBottom w:val="0"/>
          <w:divBdr>
            <w:top w:val="none" w:sz="0" w:space="0" w:color="auto"/>
            <w:left w:val="none" w:sz="0" w:space="0" w:color="auto"/>
            <w:bottom w:val="none" w:sz="0" w:space="0" w:color="auto"/>
            <w:right w:val="none" w:sz="0" w:space="0" w:color="auto"/>
          </w:divBdr>
        </w:div>
        <w:div w:id="366953029">
          <w:marLeft w:val="0"/>
          <w:marRight w:val="0"/>
          <w:marTop w:val="0"/>
          <w:marBottom w:val="0"/>
          <w:divBdr>
            <w:top w:val="none" w:sz="0" w:space="0" w:color="auto"/>
            <w:left w:val="none" w:sz="0" w:space="0" w:color="auto"/>
            <w:bottom w:val="none" w:sz="0" w:space="0" w:color="auto"/>
            <w:right w:val="none" w:sz="0" w:space="0" w:color="auto"/>
          </w:divBdr>
        </w:div>
        <w:div w:id="1905093933">
          <w:marLeft w:val="0"/>
          <w:marRight w:val="0"/>
          <w:marTop w:val="0"/>
          <w:marBottom w:val="0"/>
          <w:divBdr>
            <w:top w:val="none" w:sz="0" w:space="0" w:color="auto"/>
            <w:left w:val="none" w:sz="0" w:space="0" w:color="auto"/>
            <w:bottom w:val="none" w:sz="0" w:space="0" w:color="auto"/>
            <w:right w:val="none" w:sz="0" w:space="0" w:color="auto"/>
          </w:divBdr>
        </w:div>
        <w:div w:id="21590030">
          <w:marLeft w:val="0"/>
          <w:marRight w:val="0"/>
          <w:marTop w:val="0"/>
          <w:marBottom w:val="0"/>
          <w:divBdr>
            <w:top w:val="none" w:sz="0" w:space="0" w:color="auto"/>
            <w:left w:val="none" w:sz="0" w:space="0" w:color="auto"/>
            <w:bottom w:val="none" w:sz="0" w:space="0" w:color="auto"/>
            <w:right w:val="none" w:sz="0" w:space="0" w:color="auto"/>
          </w:divBdr>
        </w:div>
        <w:div w:id="2007049645">
          <w:marLeft w:val="0"/>
          <w:marRight w:val="0"/>
          <w:marTop w:val="0"/>
          <w:marBottom w:val="0"/>
          <w:divBdr>
            <w:top w:val="none" w:sz="0" w:space="0" w:color="auto"/>
            <w:left w:val="none" w:sz="0" w:space="0" w:color="auto"/>
            <w:bottom w:val="none" w:sz="0" w:space="0" w:color="auto"/>
            <w:right w:val="none" w:sz="0" w:space="0" w:color="auto"/>
          </w:divBdr>
        </w:div>
        <w:div w:id="1993288007">
          <w:marLeft w:val="0"/>
          <w:marRight w:val="0"/>
          <w:marTop w:val="0"/>
          <w:marBottom w:val="0"/>
          <w:divBdr>
            <w:top w:val="none" w:sz="0" w:space="0" w:color="auto"/>
            <w:left w:val="none" w:sz="0" w:space="0" w:color="auto"/>
            <w:bottom w:val="none" w:sz="0" w:space="0" w:color="auto"/>
            <w:right w:val="none" w:sz="0" w:space="0" w:color="auto"/>
          </w:divBdr>
        </w:div>
        <w:div w:id="333995520">
          <w:marLeft w:val="0"/>
          <w:marRight w:val="0"/>
          <w:marTop w:val="0"/>
          <w:marBottom w:val="0"/>
          <w:divBdr>
            <w:top w:val="none" w:sz="0" w:space="0" w:color="auto"/>
            <w:left w:val="none" w:sz="0" w:space="0" w:color="auto"/>
            <w:bottom w:val="none" w:sz="0" w:space="0" w:color="auto"/>
            <w:right w:val="none" w:sz="0" w:space="0" w:color="auto"/>
          </w:divBdr>
        </w:div>
        <w:div w:id="1483159415">
          <w:marLeft w:val="0"/>
          <w:marRight w:val="0"/>
          <w:marTop w:val="0"/>
          <w:marBottom w:val="0"/>
          <w:divBdr>
            <w:top w:val="none" w:sz="0" w:space="0" w:color="auto"/>
            <w:left w:val="none" w:sz="0" w:space="0" w:color="auto"/>
            <w:bottom w:val="none" w:sz="0" w:space="0" w:color="auto"/>
            <w:right w:val="none" w:sz="0" w:space="0" w:color="auto"/>
          </w:divBdr>
        </w:div>
        <w:div w:id="1786001071">
          <w:marLeft w:val="0"/>
          <w:marRight w:val="0"/>
          <w:marTop w:val="0"/>
          <w:marBottom w:val="0"/>
          <w:divBdr>
            <w:top w:val="none" w:sz="0" w:space="0" w:color="auto"/>
            <w:left w:val="none" w:sz="0" w:space="0" w:color="auto"/>
            <w:bottom w:val="none" w:sz="0" w:space="0" w:color="auto"/>
            <w:right w:val="none" w:sz="0" w:space="0" w:color="auto"/>
          </w:divBdr>
        </w:div>
        <w:div w:id="1618829130">
          <w:marLeft w:val="0"/>
          <w:marRight w:val="0"/>
          <w:marTop w:val="0"/>
          <w:marBottom w:val="0"/>
          <w:divBdr>
            <w:top w:val="none" w:sz="0" w:space="0" w:color="auto"/>
            <w:left w:val="none" w:sz="0" w:space="0" w:color="auto"/>
            <w:bottom w:val="none" w:sz="0" w:space="0" w:color="auto"/>
            <w:right w:val="none" w:sz="0" w:space="0" w:color="auto"/>
          </w:divBdr>
        </w:div>
        <w:div w:id="773669918">
          <w:marLeft w:val="0"/>
          <w:marRight w:val="0"/>
          <w:marTop w:val="0"/>
          <w:marBottom w:val="0"/>
          <w:divBdr>
            <w:top w:val="none" w:sz="0" w:space="0" w:color="auto"/>
            <w:left w:val="none" w:sz="0" w:space="0" w:color="auto"/>
            <w:bottom w:val="none" w:sz="0" w:space="0" w:color="auto"/>
            <w:right w:val="none" w:sz="0" w:space="0" w:color="auto"/>
          </w:divBdr>
        </w:div>
        <w:div w:id="1312251797">
          <w:marLeft w:val="0"/>
          <w:marRight w:val="0"/>
          <w:marTop w:val="0"/>
          <w:marBottom w:val="0"/>
          <w:divBdr>
            <w:top w:val="none" w:sz="0" w:space="0" w:color="auto"/>
            <w:left w:val="none" w:sz="0" w:space="0" w:color="auto"/>
            <w:bottom w:val="none" w:sz="0" w:space="0" w:color="auto"/>
            <w:right w:val="none" w:sz="0" w:space="0" w:color="auto"/>
          </w:divBdr>
        </w:div>
        <w:div w:id="1793859078">
          <w:marLeft w:val="0"/>
          <w:marRight w:val="0"/>
          <w:marTop w:val="0"/>
          <w:marBottom w:val="0"/>
          <w:divBdr>
            <w:top w:val="none" w:sz="0" w:space="0" w:color="auto"/>
            <w:left w:val="none" w:sz="0" w:space="0" w:color="auto"/>
            <w:bottom w:val="none" w:sz="0" w:space="0" w:color="auto"/>
            <w:right w:val="none" w:sz="0" w:space="0" w:color="auto"/>
          </w:divBdr>
        </w:div>
        <w:div w:id="1362978476">
          <w:marLeft w:val="0"/>
          <w:marRight w:val="0"/>
          <w:marTop w:val="0"/>
          <w:marBottom w:val="0"/>
          <w:divBdr>
            <w:top w:val="none" w:sz="0" w:space="0" w:color="auto"/>
            <w:left w:val="none" w:sz="0" w:space="0" w:color="auto"/>
            <w:bottom w:val="none" w:sz="0" w:space="0" w:color="auto"/>
            <w:right w:val="none" w:sz="0" w:space="0" w:color="auto"/>
          </w:divBdr>
        </w:div>
        <w:div w:id="2087606570">
          <w:marLeft w:val="0"/>
          <w:marRight w:val="0"/>
          <w:marTop w:val="0"/>
          <w:marBottom w:val="0"/>
          <w:divBdr>
            <w:top w:val="none" w:sz="0" w:space="0" w:color="auto"/>
            <w:left w:val="none" w:sz="0" w:space="0" w:color="auto"/>
            <w:bottom w:val="none" w:sz="0" w:space="0" w:color="auto"/>
            <w:right w:val="none" w:sz="0" w:space="0" w:color="auto"/>
          </w:divBdr>
        </w:div>
      </w:divsChild>
    </w:div>
    <w:div w:id="2092118491">
      <w:marLeft w:val="0"/>
      <w:marRight w:val="0"/>
      <w:marTop w:val="0"/>
      <w:marBottom w:val="0"/>
      <w:divBdr>
        <w:top w:val="none" w:sz="0" w:space="0" w:color="auto"/>
        <w:left w:val="none" w:sz="0" w:space="0" w:color="auto"/>
        <w:bottom w:val="none" w:sz="0" w:space="0" w:color="auto"/>
        <w:right w:val="none" w:sz="0" w:space="0" w:color="auto"/>
      </w:divBdr>
      <w:divsChild>
        <w:div w:id="1328901074">
          <w:marLeft w:val="0"/>
          <w:marRight w:val="0"/>
          <w:marTop w:val="0"/>
          <w:marBottom w:val="0"/>
          <w:divBdr>
            <w:top w:val="none" w:sz="0" w:space="0" w:color="auto"/>
            <w:left w:val="none" w:sz="0" w:space="0" w:color="auto"/>
            <w:bottom w:val="none" w:sz="0" w:space="0" w:color="auto"/>
            <w:right w:val="none" w:sz="0" w:space="0" w:color="auto"/>
          </w:divBdr>
        </w:div>
      </w:divsChild>
    </w:div>
    <w:div w:id="2093382616">
      <w:marLeft w:val="0"/>
      <w:marRight w:val="0"/>
      <w:marTop w:val="0"/>
      <w:marBottom w:val="0"/>
      <w:divBdr>
        <w:top w:val="none" w:sz="0" w:space="0" w:color="auto"/>
        <w:left w:val="none" w:sz="0" w:space="0" w:color="auto"/>
        <w:bottom w:val="none" w:sz="0" w:space="0" w:color="auto"/>
        <w:right w:val="none" w:sz="0" w:space="0" w:color="auto"/>
      </w:divBdr>
    </w:div>
    <w:div w:id="2093627348">
      <w:marLeft w:val="0"/>
      <w:marRight w:val="0"/>
      <w:marTop w:val="120"/>
      <w:marBottom w:val="0"/>
      <w:divBdr>
        <w:top w:val="none" w:sz="0" w:space="0" w:color="auto"/>
        <w:left w:val="none" w:sz="0" w:space="0" w:color="auto"/>
        <w:bottom w:val="none" w:sz="0" w:space="0" w:color="auto"/>
        <w:right w:val="none" w:sz="0" w:space="0" w:color="auto"/>
      </w:divBdr>
    </w:div>
    <w:div w:id="2096516635">
      <w:marLeft w:val="0"/>
      <w:marRight w:val="0"/>
      <w:marTop w:val="0"/>
      <w:marBottom w:val="120"/>
      <w:divBdr>
        <w:top w:val="none" w:sz="0" w:space="0" w:color="auto"/>
        <w:left w:val="none" w:sz="0" w:space="0" w:color="auto"/>
        <w:bottom w:val="none" w:sz="0" w:space="0" w:color="auto"/>
        <w:right w:val="none" w:sz="0" w:space="0" w:color="auto"/>
      </w:divBdr>
    </w:div>
    <w:div w:id="2097437648">
      <w:marLeft w:val="0"/>
      <w:marRight w:val="0"/>
      <w:marTop w:val="0"/>
      <w:marBottom w:val="0"/>
      <w:divBdr>
        <w:top w:val="none" w:sz="0" w:space="0" w:color="auto"/>
        <w:left w:val="none" w:sz="0" w:space="0" w:color="auto"/>
        <w:bottom w:val="none" w:sz="0" w:space="0" w:color="auto"/>
        <w:right w:val="none" w:sz="0" w:space="0" w:color="auto"/>
      </w:divBdr>
      <w:divsChild>
        <w:div w:id="947464488">
          <w:marLeft w:val="0"/>
          <w:marRight w:val="0"/>
          <w:marTop w:val="0"/>
          <w:marBottom w:val="0"/>
          <w:divBdr>
            <w:top w:val="none" w:sz="0" w:space="0" w:color="auto"/>
            <w:left w:val="none" w:sz="0" w:space="0" w:color="auto"/>
            <w:bottom w:val="none" w:sz="0" w:space="0" w:color="auto"/>
            <w:right w:val="none" w:sz="0" w:space="0" w:color="auto"/>
          </w:divBdr>
        </w:div>
      </w:divsChild>
    </w:div>
    <w:div w:id="2097898235">
      <w:marLeft w:val="0"/>
      <w:marRight w:val="0"/>
      <w:marTop w:val="120"/>
      <w:marBottom w:val="0"/>
      <w:divBdr>
        <w:top w:val="none" w:sz="0" w:space="0" w:color="auto"/>
        <w:left w:val="none" w:sz="0" w:space="0" w:color="auto"/>
        <w:bottom w:val="none" w:sz="0" w:space="0" w:color="auto"/>
        <w:right w:val="none" w:sz="0" w:space="0" w:color="auto"/>
      </w:divBdr>
    </w:div>
    <w:div w:id="2098011351">
      <w:marLeft w:val="0"/>
      <w:marRight w:val="0"/>
      <w:marTop w:val="60"/>
      <w:marBottom w:val="0"/>
      <w:divBdr>
        <w:top w:val="none" w:sz="0" w:space="0" w:color="auto"/>
        <w:left w:val="none" w:sz="0" w:space="0" w:color="auto"/>
        <w:bottom w:val="none" w:sz="0" w:space="0" w:color="auto"/>
        <w:right w:val="none" w:sz="0" w:space="0" w:color="auto"/>
      </w:divBdr>
    </w:div>
    <w:div w:id="2100442710">
      <w:marLeft w:val="0"/>
      <w:marRight w:val="0"/>
      <w:marTop w:val="120"/>
      <w:marBottom w:val="0"/>
      <w:divBdr>
        <w:top w:val="none" w:sz="0" w:space="0" w:color="auto"/>
        <w:left w:val="none" w:sz="0" w:space="0" w:color="auto"/>
        <w:bottom w:val="none" w:sz="0" w:space="0" w:color="auto"/>
        <w:right w:val="none" w:sz="0" w:space="0" w:color="auto"/>
      </w:divBdr>
    </w:div>
    <w:div w:id="2101750719">
      <w:marLeft w:val="0"/>
      <w:marRight w:val="0"/>
      <w:marTop w:val="120"/>
      <w:marBottom w:val="0"/>
      <w:divBdr>
        <w:top w:val="none" w:sz="0" w:space="0" w:color="auto"/>
        <w:left w:val="none" w:sz="0" w:space="0" w:color="auto"/>
        <w:bottom w:val="none" w:sz="0" w:space="0" w:color="auto"/>
        <w:right w:val="none" w:sz="0" w:space="0" w:color="auto"/>
      </w:divBdr>
    </w:div>
    <w:div w:id="2104522813">
      <w:marLeft w:val="0"/>
      <w:marRight w:val="0"/>
      <w:marTop w:val="120"/>
      <w:marBottom w:val="0"/>
      <w:divBdr>
        <w:top w:val="none" w:sz="0" w:space="0" w:color="auto"/>
        <w:left w:val="none" w:sz="0" w:space="0" w:color="auto"/>
        <w:bottom w:val="none" w:sz="0" w:space="0" w:color="auto"/>
        <w:right w:val="none" w:sz="0" w:space="0" w:color="auto"/>
      </w:divBdr>
    </w:div>
    <w:div w:id="2104917238">
      <w:marLeft w:val="0"/>
      <w:marRight w:val="0"/>
      <w:marTop w:val="120"/>
      <w:marBottom w:val="0"/>
      <w:divBdr>
        <w:top w:val="none" w:sz="0" w:space="0" w:color="auto"/>
        <w:left w:val="none" w:sz="0" w:space="0" w:color="auto"/>
        <w:bottom w:val="none" w:sz="0" w:space="0" w:color="auto"/>
        <w:right w:val="none" w:sz="0" w:space="0" w:color="auto"/>
      </w:divBdr>
    </w:div>
    <w:div w:id="2105102169">
      <w:marLeft w:val="0"/>
      <w:marRight w:val="0"/>
      <w:marTop w:val="120"/>
      <w:marBottom w:val="0"/>
      <w:divBdr>
        <w:top w:val="none" w:sz="0" w:space="0" w:color="auto"/>
        <w:left w:val="none" w:sz="0" w:space="0" w:color="auto"/>
        <w:bottom w:val="none" w:sz="0" w:space="0" w:color="auto"/>
        <w:right w:val="none" w:sz="0" w:space="0" w:color="auto"/>
      </w:divBdr>
    </w:div>
    <w:div w:id="2107380623">
      <w:marLeft w:val="0"/>
      <w:marRight w:val="0"/>
      <w:marTop w:val="120"/>
      <w:marBottom w:val="0"/>
      <w:divBdr>
        <w:top w:val="none" w:sz="0" w:space="0" w:color="auto"/>
        <w:left w:val="none" w:sz="0" w:space="0" w:color="auto"/>
        <w:bottom w:val="none" w:sz="0" w:space="0" w:color="auto"/>
        <w:right w:val="none" w:sz="0" w:space="0" w:color="auto"/>
      </w:divBdr>
    </w:div>
    <w:div w:id="2108622495">
      <w:marLeft w:val="0"/>
      <w:marRight w:val="0"/>
      <w:marTop w:val="0"/>
      <w:marBottom w:val="0"/>
      <w:divBdr>
        <w:top w:val="none" w:sz="0" w:space="0" w:color="auto"/>
        <w:left w:val="none" w:sz="0" w:space="0" w:color="auto"/>
        <w:bottom w:val="none" w:sz="0" w:space="0" w:color="auto"/>
        <w:right w:val="none" w:sz="0" w:space="0" w:color="auto"/>
      </w:divBdr>
    </w:div>
    <w:div w:id="2109344947">
      <w:marLeft w:val="0"/>
      <w:marRight w:val="0"/>
      <w:marTop w:val="120"/>
      <w:marBottom w:val="0"/>
      <w:divBdr>
        <w:top w:val="none" w:sz="0" w:space="0" w:color="auto"/>
        <w:left w:val="none" w:sz="0" w:space="0" w:color="auto"/>
        <w:bottom w:val="none" w:sz="0" w:space="0" w:color="auto"/>
        <w:right w:val="none" w:sz="0" w:space="0" w:color="auto"/>
      </w:divBdr>
    </w:div>
    <w:div w:id="2109688249">
      <w:marLeft w:val="0"/>
      <w:marRight w:val="0"/>
      <w:marTop w:val="120"/>
      <w:marBottom w:val="0"/>
      <w:divBdr>
        <w:top w:val="none" w:sz="0" w:space="0" w:color="auto"/>
        <w:left w:val="none" w:sz="0" w:space="0" w:color="auto"/>
        <w:bottom w:val="none" w:sz="0" w:space="0" w:color="auto"/>
        <w:right w:val="none" w:sz="0" w:space="0" w:color="auto"/>
      </w:divBdr>
    </w:div>
    <w:div w:id="2110613522">
      <w:marLeft w:val="0"/>
      <w:marRight w:val="0"/>
      <w:marTop w:val="0"/>
      <w:marBottom w:val="0"/>
      <w:divBdr>
        <w:top w:val="none" w:sz="0" w:space="0" w:color="auto"/>
        <w:left w:val="none" w:sz="0" w:space="0" w:color="auto"/>
        <w:bottom w:val="none" w:sz="0" w:space="0" w:color="auto"/>
        <w:right w:val="none" w:sz="0" w:space="0" w:color="auto"/>
      </w:divBdr>
    </w:div>
    <w:div w:id="2110731505">
      <w:marLeft w:val="0"/>
      <w:marRight w:val="0"/>
      <w:marTop w:val="0"/>
      <w:marBottom w:val="120"/>
      <w:divBdr>
        <w:top w:val="none" w:sz="0" w:space="0" w:color="auto"/>
        <w:left w:val="none" w:sz="0" w:space="0" w:color="auto"/>
        <w:bottom w:val="none" w:sz="0" w:space="0" w:color="auto"/>
        <w:right w:val="none" w:sz="0" w:space="0" w:color="auto"/>
      </w:divBdr>
    </w:div>
    <w:div w:id="2111310685">
      <w:marLeft w:val="0"/>
      <w:marRight w:val="0"/>
      <w:marTop w:val="0"/>
      <w:marBottom w:val="0"/>
      <w:divBdr>
        <w:top w:val="none" w:sz="0" w:space="0" w:color="auto"/>
        <w:left w:val="none" w:sz="0" w:space="0" w:color="auto"/>
        <w:bottom w:val="none" w:sz="0" w:space="0" w:color="auto"/>
        <w:right w:val="none" w:sz="0" w:space="0" w:color="auto"/>
      </w:divBdr>
    </w:div>
    <w:div w:id="2113281621">
      <w:marLeft w:val="0"/>
      <w:marRight w:val="0"/>
      <w:marTop w:val="120"/>
      <w:marBottom w:val="0"/>
      <w:divBdr>
        <w:top w:val="none" w:sz="0" w:space="0" w:color="auto"/>
        <w:left w:val="none" w:sz="0" w:space="0" w:color="auto"/>
        <w:bottom w:val="none" w:sz="0" w:space="0" w:color="auto"/>
        <w:right w:val="none" w:sz="0" w:space="0" w:color="auto"/>
      </w:divBdr>
    </w:div>
    <w:div w:id="2113354845">
      <w:marLeft w:val="0"/>
      <w:marRight w:val="0"/>
      <w:marTop w:val="0"/>
      <w:marBottom w:val="0"/>
      <w:divBdr>
        <w:top w:val="none" w:sz="0" w:space="0" w:color="auto"/>
        <w:left w:val="none" w:sz="0" w:space="0" w:color="auto"/>
        <w:bottom w:val="none" w:sz="0" w:space="0" w:color="auto"/>
        <w:right w:val="none" w:sz="0" w:space="0" w:color="auto"/>
      </w:divBdr>
      <w:divsChild>
        <w:div w:id="1055785140">
          <w:marLeft w:val="0"/>
          <w:marRight w:val="0"/>
          <w:marTop w:val="0"/>
          <w:marBottom w:val="0"/>
          <w:divBdr>
            <w:top w:val="none" w:sz="0" w:space="0" w:color="auto"/>
            <w:left w:val="none" w:sz="0" w:space="0" w:color="auto"/>
            <w:bottom w:val="none" w:sz="0" w:space="0" w:color="auto"/>
            <w:right w:val="none" w:sz="0" w:space="0" w:color="auto"/>
          </w:divBdr>
        </w:div>
      </w:divsChild>
    </w:div>
    <w:div w:id="2115006958">
      <w:marLeft w:val="0"/>
      <w:marRight w:val="0"/>
      <w:marTop w:val="120"/>
      <w:marBottom w:val="0"/>
      <w:divBdr>
        <w:top w:val="none" w:sz="0" w:space="0" w:color="auto"/>
        <w:left w:val="none" w:sz="0" w:space="0" w:color="auto"/>
        <w:bottom w:val="none" w:sz="0" w:space="0" w:color="auto"/>
        <w:right w:val="none" w:sz="0" w:space="0" w:color="auto"/>
      </w:divBdr>
    </w:div>
    <w:div w:id="2115398400">
      <w:marLeft w:val="0"/>
      <w:marRight w:val="0"/>
      <w:marTop w:val="120"/>
      <w:marBottom w:val="0"/>
      <w:divBdr>
        <w:top w:val="none" w:sz="0" w:space="0" w:color="auto"/>
        <w:left w:val="none" w:sz="0" w:space="0" w:color="auto"/>
        <w:bottom w:val="none" w:sz="0" w:space="0" w:color="auto"/>
        <w:right w:val="none" w:sz="0" w:space="0" w:color="auto"/>
      </w:divBdr>
    </w:div>
    <w:div w:id="2115972548">
      <w:marLeft w:val="0"/>
      <w:marRight w:val="0"/>
      <w:marTop w:val="120"/>
      <w:marBottom w:val="0"/>
      <w:divBdr>
        <w:top w:val="none" w:sz="0" w:space="0" w:color="auto"/>
        <w:left w:val="none" w:sz="0" w:space="0" w:color="auto"/>
        <w:bottom w:val="none" w:sz="0" w:space="0" w:color="auto"/>
        <w:right w:val="none" w:sz="0" w:space="0" w:color="auto"/>
      </w:divBdr>
    </w:div>
    <w:div w:id="2117405040">
      <w:marLeft w:val="0"/>
      <w:marRight w:val="0"/>
      <w:marTop w:val="120"/>
      <w:marBottom w:val="0"/>
      <w:divBdr>
        <w:top w:val="none" w:sz="0" w:space="0" w:color="auto"/>
        <w:left w:val="none" w:sz="0" w:space="0" w:color="auto"/>
        <w:bottom w:val="none" w:sz="0" w:space="0" w:color="auto"/>
        <w:right w:val="none" w:sz="0" w:space="0" w:color="auto"/>
      </w:divBdr>
    </w:div>
    <w:div w:id="2117669735">
      <w:marLeft w:val="0"/>
      <w:marRight w:val="0"/>
      <w:marTop w:val="120"/>
      <w:marBottom w:val="0"/>
      <w:divBdr>
        <w:top w:val="none" w:sz="0" w:space="0" w:color="auto"/>
        <w:left w:val="none" w:sz="0" w:space="0" w:color="auto"/>
        <w:bottom w:val="none" w:sz="0" w:space="0" w:color="auto"/>
        <w:right w:val="none" w:sz="0" w:space="0" w:color="auto"/>
      </w:divBdr>
    </w:div>
    <w:div w:id="2118482971">
      <w:marLeft w:val="0"/>
      <w:marRight w:val="0"/>
      <w:marTop w:val="0"/>
      <w:marBottom w:val="0"/>
      <w:divBdr>
        <w:top w:val="none" w:sz="0" w:space="0" w:color="auto"/>
        <w:left w:val="none" w:sz="0" w:space="0" w:color="auto"/>
        <w:bottom w:val="none" w:sz="0" w:space="0" w:color="auto"/>
        <w:right w:val="none" w:sz="0" w:space="0" w:color="auto"/>
      </w:divBdr>
    </w:div>
    <w:div w:id="2118939661">
      <w:marLeft w:val="0"/>
      <w:marRight w:val="0"/>
      <w:marTop w:val="0"/>
      <w:marBottom w:val="0"/>
      <w:divBdr>
        <w:top w:val="none" w:sz="0" w:space="0" w:color="auto"/>
        <w:left w:val="none" w:sz="0" w:space="0" w:color="auto"/>
        <w:bottom w:val="none" w:sz="0" w:space="0" w:color="auto"/>
        <w:right w:val="none" w:sz="0" w:space="0" w:color="auto"/>
      </w:divBdr>
    </w:div>
    <w:div w:id="2119249353">
      <w:marLeft w:val="0"/>
      <w:marRight w:val="0"/>
      <w:marTop w:val="120"/>
      <w:marBottom w:val="0"/>
      <w:divBdr>
        <w:top w:val="none" w:sz="0" w:space="0" w:color="auto"/>
        <w:left w:val="none" w:sz="0" w:space="0" w:color="auto"/>
        <w:bottom w:val="none" w:sz="0" w:space="0" w:color="auto"/>
        <w:right w:val="none" w:sz="0" w:space="0" w:color="auto"/>
      </w:divBdr>
    </w:div>
    <w:div w:id="2121949929">
      <w:marLeft w:val="0"/>
      <w:marRight w:val="0"/>
      <w:marTop w:val="120"/>
      <w:marBottom w:val="0"/>
      <w:divBdr>
        <w:top w:val="none" w:sz="0" w:space="0" w:color="auto"/>
        <w:left w:val="none" w:sz="0" w:space="0" w:color="auto"/>
        <w:bottom w:val="none" w:sz="0" w:space="0" w:color="auto"/>
        <w:right w:val="none" w:sz="0" w:space="0" w:color="auto"/>
      </w:divBdr>
    </w:div>
    <w:div w:id="2122651142">
      <w:marLeft w:val="0"/>
      <w:marRight w:val="0"/>
      <w:marTop w:val="120"/>
      <w:marBottom w:val="0"/>
      <w:divBdr>
        <w:top w:val="none" w:sz="0" w:space="0" w:color="auto"/>
        <w:left w:val="none" w:sz="0" w:space="0" w:color="auto"/>
        <w:bottom w:val="none" w:sz="0" w:space="0" w:color="auto"/>
        <w:right w:val="none" w:sz="0" w:space="0" w:color="auto"/>
      </w:divBdr>
    </w:div>
    <w:div w:id="2123649411">
      <w:marLeft w:val="0"/>
      <w:marRight w:val="0"/>
      <w:marTop w:val="120"/>
      <w:marBottom w:val="0"/>
      <w:divBdr>
        <w:top w:val="none" w:sz="0" w:space="0" w:color="auto"/>
        <w:left w:val="none" w:sz="0" w:space="0" w:color="auto"/>
        <w:bottom w:val="none" w:sz="0" w:space="0" w:color="auto"/>
        <w:right w:val="none" w:sz="0" w:space="0" w:color="auto"/>
      </w:divBdr>
    </w:div>
    <w:div w:id="2124301179">
      <w:marLeft w:val="0"/>
      <w:marRight w:val="0"/>
      <w:marTop w:val="0"/>
      <w:marBottom w:val="120"/>
      <w:divBdr>
        <w:top w:val="none" w:sz="0" w:space="0" w:color="auto"/>
        <w:left w:val="none" w:sz="0" w:space="0" w:color="auto"/>
        <w:bottom w:val="none" w:sz="0" w:space="0" w:color="auto"/>
        <w:right w:val="none" w:sz="0" w:space="0" w:color="auto"/>
      </w:divBdr>
    </w:div>
    <w:div w:id="2124763141">
      <w:marLeft w:val="0"/>
      <w:marRight w:val="0"/>
      <w:marTop w:val="120"/>
      <w:marBottom w:val="0"/>
      <w:divBdr>
        <w:top w:val="none" w:sz="0" w:space="0" w:color="auto"/>
        <w:left w:val="none" w:sz="0" w:space="0" w:color="auto"/>
        <w:bottom w:val="none" w:sz="0" w:space="0" w:color="auto"/>
        <w:right w:val="none" w:sz="0" w:space="0" w:color="auto"/>
      </w:divBdr>
    </w:div>
    <w:div w:id="2125415938">
      <w:marLeft w:val="0"/>
      <w:marRight w:val="0"/>
      <w:marTop w:val="120"/>
      <w:marBottom w:val="0"/>
      <w:divBdr>
        <w:top w:val="none" w:sz="0" w:space="0" w:color="auto"/>
        <w:left w:val="none" w:sz="0" w:space="0" w:color="auto"/>
        <w:bottom w:val="none" w:sz="0" w:space="0" w:color="auto"/>
        <w:right w:val="none" w:sz="0" w:space="0" w:color="auto"/>
      </w:divBdr>
    </w:div>
    <w:div w:id="2125806068">
      <w:marLeft w:val="0"/>
      <w:marRight w:val="0"/>
      <w:marTop w:val="120"/>
      <w:marBottom w:val="0"/>
      <w:divBdr>
        <w:top w:val="none" w:sz="0" w:space="0" w:color="auto"/>
        <w:left w:val="none" w:sz="0" w:space="0" w:color="auto"/>
        <w:bottom w:val="none" w:sz="0" w:space="0" w:color="auto"/>
        <w:right w:val="none" w:sz="0" w:space="0" w:color="auto"/>
      </w:divBdr>
    </w:div>
    <w:div w:id="2126002405">
      <w:marLeft w:val="0"/>
      <w:marRight w:val="0"/>
      <w:marTop w:val="120"/>
      <w:marBottom w:val="0"/>
      <w:divBdr>
        <w:top w:val="none" w:sz="0" w:space="0" w:color="auto"/>
        <w:left w:val="none" w:sz="0" w:space="0" w:color="auto"/>
        <w:bottom w:val="none" w:sz="0" w:space="0" w:color="auto"/>
        <w:right w:val="none" w:sz="0" w:space="0" w:color="auto"/>
      </w:divBdr>
    </w:div>
    <w:div w:id="2126270664">
      <w:marLeft w:val="0"/>
      <w:marRight w:val="0"/>
      <w:marTop w:val="120"/>
      <w:marBottom w:val="0"/>
      <w:divBdr>
        <w:top w:val="none" w:sz="0" w:space="0" w:color="auto"/>
        <w:left w:val="none" w:sz="0" w:space="0" w:color="auto"/>
        <w:bottom w:val="none" w:sz="0" w:space="0" w:color="auto"/>
        <w:right w:val="none" w:sz="0" w:space="0" w:color="auto"/>
      </w:divBdr>
    </w:div>
    <w:div w:id="2127313293">
      <w:marLeft w:val="0"/>
      <w:marRight w:val="0"/>
      <w:marTop w:val="240"/>
      <w:marBottom w:val="60"/>
      <w:divBdr>
        <w:top w:val="none" w:sz="0" w:space="0" w:color="auto"/>
        <w:left w:val="none" w:sz="0" w:space="0" w:color="auto"/>
        <w:bottom w:val="none" w:sz="0" w:space="0" w:color="auto"/>
        <w:right w:val="none" w:sz="0" w:space="0" w:color="auto"/>
      </w:divBdr>
    </w:div>
    <w:div w:id="2127657802">
      <w:marLeft w:val="0"/>
      <w:marRight w:val="0"/>
      <w:marTop w:val="0"/>
      <w:marBottom w:val="0"/>
      <w:divBdr>
        <w:top w:val="none" w:sz="0" w:space="0" w:color="auto"/>
        <w:left w:val="none" w:sz="0" w:space="0" w:color="auto"/>
        <w:bottom w:val="none" w:sz="0" w:space="0" w:color="auto"/>
        <w:right w:val="none" w:sz="0" w:space="0" w:color="auto"/>
      </w:divBdr>
    </w:div>
    <w:div w:id="2128313656">
      <w:marLeft w:val="0"/>
      <w:marRight w:val="0"/>
      <w:marTop w:val="120"/>
      <w:marBottom w:val="0"/>
      <w:divBdr>
        <w:top w:val="none" w:sz="0" w:space="0" w:color="auto"/>
        <w:left w:val="none" w:sz="0" w:space="0" w:color="auto"/>
        <w:bottom w:val="none" w:sz="0" w:space="0" w:color="auto"/>
        <w:right w:val="none" w:sz="0" w:space="0" w:color="auto"/>
      </w:divBdr>
    </w:div>
    <w:div w:id="2128887402">
      <w:marLeft w:val="0"/>
      <w:marRight w:val="0"/>
      <w:marTop w:val="120"/>
      <w:marBottom w:val="0"/>
      <w:divBdr>
        <w:top w:val="none" w:sz="0" w:space="0" w:color="auto"/>
        <w:left w:val="none" w:sz="0" w:space="0" w:color="auto"/>
        <w:bottom w:val="none" w:sz="0" w:space="0" w:color="auto"/>
        <w:right w:val="none" w:sz="0" w:space="0" w:color="auto"/>
      </w:divBdr>
    </w:div>
    <w:div w:id="2129735424">
      <w:marLeft w:val="0"/>
      <w:marRight w:val="0"/>
      <w:marTop w:val="120"/>
      <w:marBottom w:val="0"/>
      <w:divBdr>
        <w:top w:val="none" w:sz="0" w:space="0" w:color="auto"/>
        <w:left w:val="none" w:sz="0" w:space="0" w:color="auto"/>
        <w:bottom w:val="none" w:sz="0" w:space="0" w:color="auto"/>
        <w:right w:val="none" w:sz="0" w:space="0" w:color="auto"/>
      </w:divBdr>
    </w:div>
    <w:div w:id="2131629797">
      <w:marLeft w:val="0"/>
      <w:marRight w:val="0"/>
      <w:marTop w:val="120"/>
      <w:marBottom w:val="0"/>
      <w:divBdr>
        <w:top w:val="none" w:sz="0" w:space="0" w:color="auto"/>
        <w:left w:val="none" w:sz="0" w:space="0" w:color="auto"/>
        <w:bottom w:val="none" w:sz="0" w:space="0" w:color="auto"/>
        <w:right w:val="none" w:sz="0" w:space="0" w:color="auto"/>
      </w:divBdr>
    </w:div>
    <w:div w:id="2131900874">
      <w:marLeft w:val="0"/>
      <w:marRight w:val="0"/>
      <w:marTop w:val="0"/>
      <w:marBottom w:val="0"/>
      <w:divBdr>
        <w:top w:val="none" w:sz="0" w:space="0" w:color="auto"/>
        <w:left w:val="none" w:sz="0" w:space="0" w:color="auto"/>
        <w:bottom w:val="none" w:sz="0" w:space="0" w:color="auto"/>
        <w:right w:val="none" w:sz="0" w:space="0" w:color="auto"/>
      </w:divBdr>
      <w:divsChild>
        <w:div w:id="133837951">
          <w:marLeft w:val="0"/>
          <w:marRight w:val="0"/>
          <w:marTop w:val="0"/>
          <w:marBottom w:val="0"/>
          <w:divBdr>
            <w:top w:val="none" w:sz="0" w:space="0" w:color="auto"/>
            <w:left w:val="none" w:sz="0" w:space="0" w:color="auto"/>
            <w:bottom w:val="none" w:sz="0" w:space="0" w:color="auto"/>
            <w:right w:val="none" w:sz="0" w:space="0" w:color="auto"/>
          </w:divBdr>
        </w:div>
      </w:divsChild>
    </w:div>
    <w:div w:id="2133474925">
      <w:marLeft w:val="0"/>
      <w:marRight w:val="0"/>
      <w:marTop w:val="0"/>
      <w:marBottom w:val="0"/>
      <w:divBdr>
        <w:top w:val="none" w:sz="0" w:space="0" w:color="auto"/>
        <w:left w:val="none" w:sz="0" w:space="0" w:color="auto"/>
        <w:bottom w:val="none" w:sz="0" w:space="0" w:color="auto"/>
        <w:right w:val="none" w:sz="0" w:space="0" w:color="auto"/>
      </w:divBdr>
    </w:div>
    <w:div w:id="2134589405">
      <w:marLeft w:val="0"/>
      <w:marRight w:val="0"/>
      <w:marTop w:val="120"/>
      <w:marBottom w:val="0"/>
      <w:divBdr>
        <w:top w:val="none" w:sz="0" w:space="0" w:color="auto"/>
        <w:left w:val="none" w:sz="0" w:space="0" w:color="auto"/>
        <w:bottom w:val="none" w:sz="0" w:space="0" w:color="auto"/>
        <w:right w:val="none" w:sz="0" w:space="0" w:color="auto"/>
      </w:divBdr>
    </w:div>
    <w:div w:id="2136869768">
      <w:marLeft w:val="0"/>
      <w:marRight w:val="0"/>
      <w:marTop w:val="120"/>
      <w:marBottom w:val="0"/>
      <w:divBdr>
        <w:top w:val="none" w:sz="0" w:space="0" w:color="auto"/>
        <w:left w:val="none" w:sz="0" w:space="0" w:color="auto"/>
        <w:bottom w:val="none" w:sz="0" w:space="0" w:color="auto"/>
        <w:right w:val="none" w:sz="0" w:space="0" w:color="auto"/>
      </w:divBdr>
    </w:div>
    <w:div w:id="2136947293">
      <w:marLeft w:val="0"/>
      <w:marRight w:val="0"/>
      <w:marTop w:val="120"/>
      <w:marBottom w:val="0"/>
      <w:divBdr>
        <w:top w:val="none" w:sz="0" w:space="0" w:color="auto"/>
        <w:left w:val="none" w:sz="0" w:space="0" w:color="auto"/>
        <w:bottom w:val="none" w:sz="0" w:space="0" w:color="auto"/>
        <w:right w:val="none" w:sz="0" w:space="0" w:color="auto"/>
      </w:divBdr>
    </w:div>
    <w:div w:id="2137676063">
      <w:marLeft w:val="0"/>
      <w:marRight w:val="0"/>
      <w:marTop w:val="120"/>
      <w:marBottom w:val="0"/>
      <w:divBdr>
        <w:top w:val="none" w:sz="0" w:space="0" w:color="auto"/>
        <w:left w:val="none" w:sz="0" w:space="0" w:color="auto"/>
        <w:bottom w:val="none" w:sz="0" w:space="0" w:color="auto"/>
        <w:right w:val="none" w:sz="0" w:space="0" w:color="auto"/>
      </w:divBdr>
    </w:div>
    <w:div w:id="2139444591">
      <w:marLeft w:val="0"/>
      <w:marRight w:val="0"/>
      <w:marTop w:val="0"/>
      <w:marBottom w:val="0"/>
      <w:divBdr>
        <w:top w:val="none" w:sz="0" w:space="0" w:color="auto"/>
        <w:left w:val="none" w:sz="0" w:space="0" w:color="auto"/>
        <w:bottom w:val="none" w:sz="0" w:space="0" w:color="auto"/>
        <w:right w:val="none" w:sz="0" w:space="0" w:color="auto"/>
      </w:divBdr>
    </w:div>
    <w:div w:id="2139908016">
      <w:marLeft w:val="0"/>
      <w:marRight w:val="0"/>
      <w:marTop w:val="120"/>
      <w:marBottom w:val="0"/>
      <w:divBdr>
        <w:top w:val="none" w:sz="0" w:space="0" w:color="auto"/>
        <w:left w:val="none" w:sz="0" w:space="0" w:color="auto"/>
        <w:bottom w:val="none" w:sz="0" w:space="0" w:color="auto"/>
        <w:right w:val="none" w:sz="0" w:space="0" w:color="auto"/>
      </w:divBdr>
    </w:div>
    <w:div w:id="2142308246">
      <w:marLeft w:val="0"/>
      <w:marRight w:val="0"/>
      <w:marTop w:val="0"/>
      <w:marBottom w:val="0"/>
      <w:divBdr>
        <w:top w:val="none" w:sz="0" w:space="0" w:color="auto"/>
        <w:left w:val="none" w:sz="0" w:space="0" w:color="auto"/>
        <w:bottom w:val="none" w:sz="0" w:space="0" w:color="auto"/>
        <w:right w:val="none" w:sz="0" w:space="0" w:color="auto"/>
      </w:divBdr>
      <w:divsChild>
        <w:div w:id="1756702823">
          <w:marLeft w:val="0"/>
          <w:marRight w:val="0"/>
          <w:marTop w:val="0"/>
          <w:marBottom w:val="0"/>
          <w:divBdr>
            <w:top w:val="none" w:sz="0" w:space="0" w:color="auto"/>
            <w:left w:val="none" w:sz="0" w:space="0" w:color="auto"/>
            <w:bottom w:val="none" w:sz="0" w:space="0" w:color="auto"/>
            <w:right w:val="none" w:sz="0" w:space="0" w:color="auto"/>
          </w:divBdr>
        </w:div>
      </w:divsChild>
    </w:div>
    <w:div w:id="2144225822">
      <w:marLeft w:val="0"/>
      <w:marRight w:val="0"/>
      <w:marTop w:val="0"/>
      <w:marBottom w:val="0"/>
      <w:divBdr>
        <w:top w:val="none" w:sz="0" w:space="0" w:color="auto"/>
        <w:left w:val="none" w:sz="0" w:space="0" w:color="auto"/>
        <w:bottom w:val="none" w:sz="0" w:space="0" w:color="auto"/>
        <w:right w:val="none" w:sz="0" w:space="0" w:color="auto"/>
      </w:divBdr>
      <w:divsChild>
        <w:div w:id="1073694865">
          <w:marLeft w:val="0"/>
          <w:marRight w:val="0"/>
          <w:marTop w:val="0"/>
          <w:marBottom w:val="0"/>
          <w:divBdr>
            <w:top w:val="none" w:sz="0" w:space="0" w:color="auto"/>
            <w:left w:val="none" w:sz="0" w:space="0" w:color="auto"/>
            <w:bottom w:val="none" w:sz="0" w:space="0" w:color="auto"/>
            <w:right w:val="none" w:sz="0" w:space="0" w:color="auto"/>
          </w:divBdr>
        </w:div>
      </w:divsChild>
    </w:div>
    <w:div w:id="2144807314">
      <w:marLeft w:val="0"/>
      <w:marRight w:val="0"/>
      <w:marTop w:val="120"/>
      <w:marBottom w:val="0"/>
      <w:divBdr>
        <w:top w:val="none" w:sz="0" w:space="0" w:color="auto"/>
        <w:left w:val="none" w:sz="0" w:space="0" w:color="auto"/>
        <w:bottom w:val="none" w:sz="0" w:space="0" w:color="auto"/>
        <w:right w:val="none" w:sz="0" w:space="0" w:color="auto"/>
      </w:divBdr>
    </w:div>
    <w:div w:id="2146000202">
      <w:marLeft w:val="0"/>
      <w:marRight w:val="0"/>
      <w:marTop w:val="0"/>
      <w:marBottom w:val="0"/>
      <w:divBdr>
        <w:top w:val="none" w:sz="0" w:space="0" w:color="auto"/>
        <w:left w:val="none" w:sz="0" w:space="0" w:color="auto"/>
        <w:bottom w:val="none" w:sz="0" w:space="0" w:color="auto"/>
        <w:right w:val="none" w:sz="0" w:space="0" w:color="auto"/>
      </w:divBdr>
      <w:divsChild>
        <w:div w:id="1848212669">
          <w:marLeft w:val="0"/>
          <w:marRight w:val="0"/>
          <w:marTop w:val="0"/>
          <w:marBottom w:val="0"/>
          <w:divBdr>
            <w:top w:val="none" w:sz="0" w:space="0" w:color="auto"/>
            <w:left w:val="none" w:sz="0" w:space="0" w:color="auto"/>
            <w:bottom w:val="none" w:sz="0" w:space="0" w:color="auto"/>
            <w:right w:val="none" w:sz="0" w:space="0" w:color="auto"/>
          </w:divBdr>
        </w:div>
      </w:divsChild>
    </w:div>
    <w:div w:id="2146317286">
      <w:marLeft w:val="0"/>
      <w:marRight w:val="0"/>
      <w:marTop w:val="12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813762/000114420413042533/v351461_ex4-1.htm" TargetMode="External"/><Relationship Id="rId21" Type="http://schemas.openxmlformats.org/officeDocument/2006/relationships/hyperlink" Target="http://www.sec.gov/Archives/edgar/data/813762/000081376216000089/iep-ex41_certificatex8416.htm" TargetMode="External"/><Relationship Id="rId42" Type="http://schemas.openxmlformats.org/officeDocument/2006/relationships/hyperlink" Target="http://www.sec.gov/Archives/edgar/data/813762/000114420419043783/tv528967_ex10-1.htm" TargetMode="External"/><Relationship Id="rId47" Type="http://schemas.openxmlformats.org/officeDocument/2006/relationships/hyperlink" Target="http://www.sec.gov/Archives/edgar/data/813762/000110465919075671/tm1927295d1_ex10-1.htm" TargetMode="External"/><Relationship Id="rId63" Type="http://schemas.openxmlformats.org/officeDocument/2006/relationships/hyperlink" Target="http://www.sec.gov/ix?doc=/Archives/edgar/data/47129/000165785320000007/hghthc201910-k.htm" TargetMode="External"/><Relationship Id="rId68" Type="http://schemas.openxmlformats.org/officeDocument/2006/relationships/hyperlink" Target="http://www.sec.gov/ix?doc=/Archives/edgar/data/47129/000165785320000007/hghthc201910-k.htm" TargetMode="External"/><Relationship Id="rId16" Type="http://schemas.openxmlformats.org/officeDocument/2006/relationships/hyperlink" Target="http://www.sec.gov/Archives/edgar/data/813762/000114420408015862/v106776_ex3-11.htm" TargetMode="External"/><Relationship Id="rId11" Type="http://schemas.openxmlformats.org/officeDocument/2006/relationships/hyperlink" Target="http://www.sec.gov/Archives/edgar/data/813762/000081376216000089/iep-ex31_amendedandrestate.htm" TargetMode="External"/><Relationship Id="rId24" Type="http://schemas.openxmlformats.org/officeDocument/2006/relationships/hyperlink" Target="http://www.sec.gov/Archives/edgar/data/813762/000114420407041620/v083035_ex10-5.htm" TargetMode="External"/><Relationship Id="rId32" Type="http://schemas.openxmlformats.org/officeDocument/2006/relationships/hyperlink" Target="http://www.sec.gov/Archives/edgar/data/813762/000110465919072211/tm1925028d1_ex4-1.htm" TargetMode="External"/><Relationship Id="rId37" Type="http://schemas.openxmlformats.org/officeDocument/2006/relationships/hyperlink" Target="http://www.sec.gov/Archives/edgar/data/813762/000081376211000033/iepex102icahnagreement.htm" TargetMode="External"/><Relationship Id="rId40" Type="http://schemas.openxmlformats.org/officeDocument/2006/relationships/hyperlink" Target="http://www.sec.gov/Archives/edgar/data/813762/000114420419025269/tv521264_ex10-1.htm" TargetMode="External"/><Relationship Id="rId45" Type="http://schemas.openxmlformats.org/officeDocument/2006/relationships/hyperlink" Target="http://www.sec.gov/Archives/edgar/data/813762/000110465920007677/tm205861d2_ex10-1.htm" TargetMode="External"/><Relationship Id="rId53" Type="http://schemas.openxmlformats.org/officeDocument/2006/relationships/hyperlink" Target="ex234123119.htm" TargetMode="External"/><Relationship Id="rId58" Type="http://schemas.openxmlformats.org/officeDocument/2006/relationships/hyperlink" Target="ex239123119.htm" TargetMode="External"/><Relationship Id="rId66" Type="http://schemas.openxmlformats.org/officeDocument/2006/relationships/hyperlink" Target="http://www.sec.gov/ix?doc=/Archives/edgar/data/47129/000165785320000007/hghthc201910-k.htm" TargetMode="External"/><Relationship Id="rId74" Type="http://schemas.openxmlformats.org/officeDocument/2006/relationships/hyperlink" Target="http://www.sec.gov/ix?doc=/Archives/edgar/data/47129/000165785320000007/hghthc201910-k.htm" TargetMode="External"/><Relationship Id="rId5" Type="http://schemas.openxmlformats.org/officeDocument/2006/relationships/hyperlink" Target="http://www.sec.gov/Archives/edgar/data/813762/000114420416140174/v449727_ex2-1.htm" TargetMode="External"/><Relationship Id="rId61" Type="http://schemas.openxmlformats.org/officeDocument/2006/relationships/hyperlink" Target="ex321123119.htm" TargetMode="External"/><Relationship Id="rId19" Type="http://schemas.openxmlformats.org/officeDocument/2006/relationships/hyperlink" Target="http://www.sec.gov/Archives/edgar/data/813762/000095012305003242/y06341exv4w4.htm" TargetMode="External"/><Relationship Id="rId14" Type="http://schemas.openxmlformats.org/officeDocument/2006/relationships/hyperlink" Target="http://www.sec.gov/Archives/edgar/data/813762/000095011703001233/ex3-9.txt" TargetMode="External"/><Relationship Id="rId22" Type="http://schemas.openxmlformats.org/officeDocument/2006/relationships/hyperlink" Target="http://www.sec.gov/Archives/edgar/data/813762/0000897204-95-000016-index.html" TargetMode="External"/><Relationship Id="rId27" Type="http://schemas.openxmlformats.org/officeDocument/2006/relationships/hyperlink" Target="http://www.sec.gov/Archives/edgar/data/813762/000114420414004986/v366725_ex4-1.htm" TargetMode="External"/><Relationship Id="rId30" Type="http://schemas.openxmlformats.org/officeDocument/2006/relationships/hyperlink" Target="http://www.sec.gov/Archives/edgar/data/813762/000114420419025269/tv521264_ex4-1.htm" TargetMode="External"/><Relationship Id="rId35" Type="http://schemas.openxmlformats.org/officeDocument/2006/relationships/hyperlink" Target="http://www.sec.gov/Archives/edgar/data/813762/000095012306003289/y18546exv10w42.htm" TargetMode="External"/><Relationship Id="rId43" Type="http://schemas.openxmlformats.org/officeDocument/2006/relationships/hyperlink" Target="http://www.sec.gov/Archives/edgar/data/813762/000110465919072211/tm1925028d1_ex10-1.htm" TargetMode="External"/><Relationship Id="rId48" Type="http://schemas.openxmlformats.org/officeDocument/2006/relationships/hyperlink" Target="http://www.sec.gov/Archives/edgar/data/813762/000081376212000064/iep-ex141_93012xcodeofethi.htm" TargetMode="External"/><Relationship Id="rId56" Type="http://schemas.openxmlformats.org/officeDocument/2006/relationships/hyperlink" Target="ex237123119.htm" TargetMode="External"/><Relationship Id="rId64" Type="http://schemas.openxmlformats.org/officeDocument/2006/relationships/hyperlink" Target="http://www.sec.gov/ix?doc=/Archives/edgar/data/47129/000165785320000007/hghthc201910-k.htm" TargetMode="External"/><Relationship Id="rId69" Type="http://schemas.openxmlformats.org/officeDocument/2006/relationships/hyperlink" Target="http://www.sec.gov/ix?doc=/Archives/edgar/data/47129/000165785320000007/hghthc201910-k.htm" TargetMode="External"/><Relationship Id="rId77" Type="http://schemas.openxmlformats.org/officeDocument/2006/relationships/theme" Target="theme/theme1.xml"/><Relationship Id="rId8" Type="http://schemas.openxmlformats.org/officeDocument/2006/relationships/hyperlink" Target="http://www.sec.gov/Archives/edgar/data/813762/000114036118040981/s002486x3_ex2-1.htm" TargetMode="External"/><Relationship Id="rId51" Type="http://schemas.openxmlformats.org/officeDocument/2006/relationships/hyperlink" Target="ex232123119.htm" TargetMode="External"/><Relationship Id="rId72" Type="http://schemas.openxmlformats.org/officeDocument/2006/relationships/hyperlink" Target="http://www.sec.gov/ix?doc=/Archives/edgar/data/47129/000165785320000007/hghthc201910-k.htm" TargetMode="External"/><Relationship Id="rId3" Type="http://schemas.openxmlformats.org/officeDocument/2006/relationships/webSettings" Target="webSettings.xml"/><Relationship Id="rId12" Type="http://schemas.openxmlformats.org/officeDocument/2006/relationships/hyperlink" Target="http://www.sec.gov/Archives/edgar/data/813762/000095012304006078/y97041exv3w5.txt" TargetMode="External"/><Relationship Id="rId17" Type="http://schemas.openxmlformats.org/officeDocument/2006/relationships/hyperlink" Target="ex41123119.htm" TargetMode="External"/><Relationship Id="rId25" Type="http://schemas.openxmlformats.org/officeDocument/2006/relationships/hyperlink" Target="http://www.sec.gov/Archives/edgar/data/813762/000114420413047710/v353661_ex10-1.htm" TargetMode="External"/><Relationship Id="rId33" Type="http://schemas.openxmlformats.org/officeDocument/2006/relationships/hyperlink" Target="http://www.sec.gov/Archives/edgar/data/813762/000119312518290879/d629636dex41.htm" TargetMode="External"/><Relationship Id="rId38" Type="http://schemas.openxmlformats.org/officeDocument/2006/relationships/hyperlink" Target="http://www.sec.gov/Archives/edgar/data/813762/000114420417002748/v457095_ex10-1.htm" TargetMode="External"/><Relationship Id="rId46" Type="http://schemas.openxmlformats.org/officeDocument/2006/relationships/hyperlink" Target="http://www.sec.gov/Archives/edgar/data/813762/000119312518290879/d629636dex101.htm" TargetMode="External"/><Relationship Id="rId59" Type="http://schemas.openxmlformats.org/officeDocument/2006/relationships/hyperlink" Target="ex311123119.htm" TargetMode="External"/><Relationship Id="rId67" Type="http://schemas.openxmlformats.org/officeDocument/2006/relationships/hyperlink" Target="http://www.sec.gov/ix?doc=/Archives/edgar/data/47129/000165785320000007/hghthc201910-k.htm" TargetMode="External"/><Relationship Id="rId20" Type="http://schemas.openxmlformats.org/officeDocument/2006/relationships/hyperlink" Target="http://www.sec.gov/Archives/edgar/data/813762/000095012305003242/y06341exv4w3.htm" TargetMode="External"/><Relationship Id="rId41" Type="http://schemas.openxmlformats.org/officeDocument/2006/relationships/hyperlink" Target="http://www.sec.gov/Archives/edgar/data/813762/000114420419032722/tv524288_ex10-1.htm" TargetMode="External"/><Relationship Id="rId54" Type="http://schemas.openxmlformats.org/officeDocument/2006/relationships/hyperlink" Target="ex235123119.htm" TargetMode="External"/><Relationship Id="rId62" Type="http://schemas.openxmlformats.org/officeDocument/2006/relationships/hyperlink" Target="http://www.sec.gov/ix?doc=/Archives/edgar/data/1180262/000156459020005039/hlf-10k_20191231.htm" TargetMode="External"/><Relationship Id="rId70" Type="http://schemas.openxmlformats.org/officeDocument/2006/relationships/hyperlink" Target="http://www.sec.gov/ix?doc=/Archives/edgar/data/47129/000165785320000007/hghthc201910-k.htm" TargetMode="External"/><Relationship Id="rId75" Type="http://schemas.openxmlformats.org/officeDocument/2006/relationships/hyperlink" Target="http://www.sec.gov/ix?doc=/Archives/edgar/data/47129/000165785320000007/hghthc201910-k.htm" TargetMode="External"/><Relationship Id="rId1" Type="http://schemas.openxmlformats.org/officeDocument/2006/relationships/styles" Target="styles.xml"/><Relationship Id="rId6" Type="http://schemas.openxmlformats.org/officeDocument/2006/relationships/hyperlink" Target="http://www.sec.gov/Archives/edgar/data/813762/000119312518112277/d554615dex21.htm" TargetMode="External"/><Relationship Id="rId15" Type="http://schemas.openxmlformats.org/officeDocument/2006/relationships/hyperlink" Target="http://www.sec.gov/Archives/edgar/data/813762/000095012305009643/y11364exv3w2.htm" TargetMode="External"/><Relationship Id="rId23" Type="http://schemas.openxmlformats.org/officeDocument/2006/relationships/hyperlink" Target="http://www.sec.gov/Archives/edgar/data/813762/000095012305003242/y06341exv10w2.htm" TargetMode="External"/><Relationship Id="rId28" Type="http://schemas.openxmlformats.org/officeDocument/2006/relationships/hyperlink" Target="http://www.sec.gov/Archives/edgar/data/813762/000114420417002748/v457095_ex4-1.htm" TargetMode="External"/><Relationship Id="rId36" Type="http://schemas.openxmlformats.org/officeDocument/2006/relationships/hyperlink" Target="http://www.sec.gov/Archives/edgar/data/813762/000114420407041620/v083035_ex10-4.htm" TargetMode="External"/><Relationship Id="rId49" Type="http://schemas.openxmlformats.org/officeDocument/2006/relationships/hyperlink" Target="ex211123119.htm" TargetMode="External"/><Relationship Id="rId57" Type="http://schemas.openxmlformats.org/officeDocument/2006/relationships/hyperlink" Target="ex238123119.htm" TargetMode="External"/><Relationship Id="rId10" Type="http://schemas.openxmlformats.org/officeDocument/2006/relationships/hyperlink" Target="http://www.sec.gov/Archives/edgar/data/813762/000114420408015862/v106776_ex3-9.htm" TargetMode="External"/><Relationship Id="rId31" Type="http://schemas.openxmlformats.org/officeDocument/2006/relationships/hyperlink" Target="http://www.sec.gov/Archives/edgar/data/813762/000114420419043783/tv528967_ex4-1.htm" TargetMode="External"/><Relationship Id="rId44" Type="http://schemas.openxmlformats.org/officeDocument/2006/relationships/hyperlink" Target="http://www.sec.gov/Archives/edgar/data/813762/000110465920002683/tm201494d1_ex10-1.htm" TargetMode="External"/><Relationship Id="rId52" Type="http://schemas.openxmlformats.org/officeDocument/2006/relationships/hyperlink" Target="ex233123119.htm" TargetMode="External"/><Relationship Id="rId60" Type="http://schemas.openxmlformats.org/officeDocument/2006/relationships/hyperlink" Target="ex312123119.htm" TargetMode="External"/><Relationship Id="rId65" Type="http://schemas.openxmlformats.org/officeDocument/2006/relationships/hyperlink" Target="http://www.sec.gov/ix?doc=/Archives/edgar/data/47129/000165785320000007/hghthc201910-k.htm" TargetMode="External"/><Relationship Id="rId73" Type="http://schemas.openxmlformats.org/officeDocument/2006/relationships/hyperlink" Target="http://www.sec.gov/ix?doc=/Archives/edgar/data/47129/000165785320000007/hghthc201910-k.htm" TargetMode="External"/><Relationship Id="rId4" Type="http://schemas.openxmlformats.org/officeDocument/2006/relationships/hyperlink" Target="http://www.sec.gov/Archives/edgar/data/813762/000110465916143329/a16-17984_1ex2d1.htm" TargetMode="External"/><Relationship Id="rId9" Type="http://schemas.openxmlformats.org/officeDocument/2006/relationships/hyperlink" Target="http://www.sec.gov/Archives/edgar/data/813762/000114420407050385/v088216_ex3-1.htm" TargetMode="External"/><Relationship Id="rId13" Type="http://schemas.openxmlformats.org/officeDocument/2006/relationships/hyperlink" Target="http://www.sec.gov/Archives/edgar/data/813762/0000897204-96-000093-index.html" TargetMode="External"/><Relationship Id="rId18" Type="http://schemas.openxmlformats.org/officeDocument/2006/relationships/hyperlink" Target="ex41123119.htm" TargetMode="External"/><Relationship Id="rId39" Type="http://schemas.openxmlformats.org/officeDocument/2006/relationships/hyperlink" Target="http://www.sec.gov/Archives/edgar/data/813762/000114420417062610/tv480904_ex10-1.htm" TargetMode="External"/><Relationship Id="rId34" Type="http://schemas.openxmlformats.org/officeDocument/2006/relationships/hyperlink" Target="http://www.sec.gov/Archives/edgar/data/813762/0000897204-95-000029-index.html" TargetMode="External"/><Relationship Id="rId50" Type="http://schemas.openxmlformats.org/officeDocument/2006/relationships/hyperlink" Target="ex231123119.htm" TargetMode="External"/><Relationship Id="rId55" Type="http://schemas.openxmlformats.org/officeDocument/2006/relationships/hyperlink" Target="ex236123119.htm" TargetMode="External"/><Relationship Id="rId76" Type="http://schemas.openxmlformats.org/officeDocument/2006/relationships/fontTable" Target="fontTable.xml"/><Relationship Id="rId7" Type="http://schemas.openxmlformats.org/officeDocument/2006/relationships/hyperlink" Target="http://www.sec.gov/Archives/edgar/data/813762/000110465918024062/a18-11003_1ex2d1.htm" TargetMode="External"/><Relationship Id="rId71" Type="http://schemas.openxmlformats.org/officeDocument/2006/relationships/hyperlink" Target="http://www.sec.gov/ix?doc=/Archives/edgar/data/47129/000165785320000007/hghthc201910-k.htm" TargetMode="External"/><Relationship Id="rId2" Type="http://schemas.openxmlformats.org/officeDocument/2006/relationships/settings" Target="settings.xml"/><Relationship Id="rId29" Type="http://schemas.openxmlformats.org/officeDocument/2006/relationships/hyperlink" Target="http://www.sec.gov/Archives/edgar/data/813762/000114420417062610/tv480904_ex4-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98820</Words>
  <Characters>563275</Characters>
  <Application>Microsoft Office Word</Application>
  <DocSecurity>0</DocSecurity>
  <Lines>4693</Lines>
  <Paragraphs>1321</Paragraphs>
  <ScaleCrop>false</ScaleCrop>
  <Company/>
  <LinksUpToDate>false</LinksUpToDate>
  <CharactersWithSpaces>660774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iep-20191231</dc:title>
  <dc:subject/>
  <dc:creator>Chongjian.Yue</dc:creator>
  <cp:keywords/>
  <dc:description/>
  <cp:lastModifiedBy>Yue Chongjian</cp:lastModifiedBy>
  <cp:revision>1</cp:revision>
  <dcterms:created xsi:type="dcterms:W3CDTF">2024-01-04T15:47:00Z</dcterms:created>
  <dcterms:modified xsi:type="dcterms:W3CDTF">2024-01-04T15:47:00Z</dcterms:modified>
</cp:coreProperties>
</file>